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640" w:type="dxa"/>
        <w:tblInd w:w="-147" w:type="dxa"/>
        <w:tblLook w:val="04A0" w:firstRow="1" w:lastRow="0" w:firstColumn="1" w:lastColumn="0" w:noHBand="0" w:noVBand="1"/>
      </w:tblPr>
      <w:tblGrid>
        <w:gridCol w:w="993"/>
        <w:gridCol w:w="8647"/>
      </w:tblGrid>
      <w:tr w:rsidR="00537986" w:rsidRPr="005C3846" w14:paraId="3C2FAA12" w14:textId="77777777" w:rsidTr="006D3555">
        <w:trPr>
          <w:ins w:id="0" w:author="만든 이"/>
        </w:trPr>
        <w:tc>
          <w:tcPr>
            <w:tcW w:w="993" w:type="dxa"/>
          </w:tcPr>
          <w:p w14:paraId="0DE2220A" w14:textId="77777777" w:rsidR="00537986" w:rsidRPr="006D3555" w:rsidRDefault="00537986" w:rsidP="006D1220">
            <w:pPr>
              <w:outlineLvl w:val="0"/>
              <w:rPr>
                <w:ins w:id="1" w:author="만든 이"/>
                <w:rFonts w:ascii="Times New Roman" w:hAnsi="Times New Roman" w:cs="Times New Roman"/>
                <w:b/>
              </w:rPr>
            </w:pPr>
            <w:ins w:id="2" w:author="만든 이">
              <w:r w:rsidRPr="006D3555">
                <w:rPr>
                  <w:rFonts w:ascii="Times New Roman" w:hAnsi="Times New Roman" w:cs="Times New Roman"/>
                  <w:lang w:val="en-GB"/>
                </w:rPr>
                <w:t>PL</w:t>
              </w:r>
            </w:ins>
          </w:p>
        </w:tc>
        <w:tc>
          <w:tcPr>
            <w:tcW w:w="8647" w:type="dxa"/>
          </w:tcPr>
          <w:p w14:paraId="37408026" w14:textId="1FD7B2F8" w:rsidR="00537986" w:rsidRPr="006D3555" w:rsidRDefault="00537986" w:rsidP="006D1220">
            <w:pPr>
              <w:rPr>
                <w:ins w:id="3" w:author="만든 이"/>
                <w:rFonts w:ascii="Times New Roman" w:hAnsi="Times New Roman" w:cs="Times New Roman"/>
              </w:rPr>
            </w:pPr>
            <w:ins w:id="4" w:author="만든 이">
              <w:r w:rsidRPr="006D3555">
                <w:rPr>
                  <w:rFonts w:ascii="Times New Roman" w:hAnsi="Times New Roman" w:cs="Times New Roman"/>
                </w:rPr>
                <w:t xml:space="preserve">Niniejszy dokument to zatwierdzone druki informacyjne produktu leczniczego </w:t>
              </w:r>
              <w:r>
                <w:rPr>
                  <w:rFonts w:ascii="Times New Roman" w:hAnsi="Times New Roman" w:cs="Times New Roman" w:hint="eastAsia"/>
                  <w:lang w:val="pl-PL" w:eastAsia="ko-KR"/>
                </w:rPr>
                <w:t>Yuflyma</w:t>
              </w:r>
              <w:r w:rsidRPr="006D3555">
                <w:rPr>
                  <w:rFonts w:ascii="Times New Roman" w:hAnsi="Times New Roman" w:cs="Times New Roman"/>
                </w:rPr>
                <w:t xml:space="preserve"> z wyróżnionymi zmianami wprowadzonymi od czasu poprzedniej procedury, mającymi wpływ na druki informacyjne </w:t>
              </w:r>
              <w:r w:rsidRPr="006D3555">
                <w:rPr>
                  <w:rFonts w:ascii="Times New Roman" w:eastAsia="맑은 고딕" w:hAnsi="Times New Roman" w:cs="Times New Roman"/>
                  <w:lang w:eastAsia="ko-KR"/>
                </w:rPr>
                <w:t>(</w:t>
              </w:r>
              <w:r w:rsidR="00587BB1" w:rsidRPr="00587BB1">
                <w:rPr>
                  <w:rFonts w:ascii="Times New Roman" w:eastAsia="맑은 고딕" w:hAnsi="Times New Roman" w:cs="Times New Roman"/>
                  <w:lang w:eastAsia="ko-KR"/>
                </w:rPr>
                <w:t>VR/0000255330</w:t>
              </w:r>
              <w:r w:rsidRPr="006D3555">
                <w:rPr>
                  <w:rFonts w:ascii="Times New Roman" w:hAnsi="Times New Roman" w:cs="Times New Roman"/>
                </w:rPr>
                <w:t>).</w:t>
              </w:r>
            </w:ins>
          </w:p>
          <w:p w14:paraId="4080F338" w14:textId="77777777" w:rsidR="00537986" w:rsidRPr="006D3555" w:rsidRDefault="00537986" w:rsidP="006D1220">
            <w:pPr>
              <w:rPr>
                <w:ins w:id="5" w:author="만든 이"/>
                <w:rFonts w:ascii="Times New Roman" w:hAnsi="Times New Roman" w:cs="Times New Roman"/>
              </w:rPr>
            </w:pPr>
          </w:p>
          <w:p w14:paraId="2DFF74C6" w14:textId="3DBAA0AA" w:rsidR="00537986" w:rsidRPr="00537986" w:rsidRDefault="00537986" w:rsidP="006D1220">
            <w:pPr>
              <w:pStyle w:val="Style1"/>
              <w:pBdr>
                <w:top w:val="none" w:sz="0" w:space="0" w:color="auto"/>
                <w:left w:val="none" w:sz="0" w:space="0" w:color="auto"/>
                <w:bottom w:val="none" w:sz="0" w:space="0" w:color="auto"/>
                <w:right w:val="none" w:sz="0" w:space="0" w:color="auto"/>
              </w:pBdr>
              <w:rPr>
                <w:ins w:id="6" w:author="만든 이"/>
                <w:rFonts w:eastAsia="맑은 고딕"/>
                <w:szCs w:val="22"/>
                <w:lang w:eastAsia="ko-KR"/>
              </w:rPr>
            </w:pPr>
            <w:ins w:id="7" w:author="만든 이">
              <w:r w:rsidRPr="00537986">
                <w:rPr>
                  <w:szCs w:val="22"/>
                </w:rPr>
                <w:t xml:space="preserve">Więcej informacji znajduje się na stronie internetowej Europejskiej Agencji Leków: </w:t>
              </w:r>
              <w:r w:rsidRPr="00537986">
                <w:fldChar w:fldCharType="begin"/>
              </w:r>
              <w:r>
                <w:rPr>
                  <w:szCs w:val="22"/>
                </w:rPr>
                <w:instrText>HYPERLINK "https://www.ema.europa.eu/en/medicines/human/EPAR/yuflyma"</w:instrText>
              </w:r>
              <w:r w:rsidRPr="00537986">
                <w:fldChar w:fldCharType="separate"/>
              </w:r>
              <w:r>
                <w:rPr>
                  <w:rStyle w:val="ad"/>
                  <w:rFonts w:eastAsia="맑은 고딕"/>
                  <w:szCs w:val="22"/>
                  <w:lang w:eastAsia="ko-KR"/>
                </w:rPr>
                <w:t>https://www.ema.europa.eu/en/medicines/human/EPAR/yuflyma</w:t>
              </w:r>
              <w:r w:rsidRPr="00537986">
                <w:rPr>
                  <w:rStyle w:val="ad"/>
                  <w:rFonts w:eastAsia="맑은 고딕"/>
                  <w:szCs w:val="22"/>
                  <w:lang w:eastAsia="ko-KR"/>
                </w:rPr>
                <w:fldChar w:fldCharType="end"/>
              </w:r>
            </w:ins>
          </w:p>
        </w:tc>
      </w:tr>
    </w:tbl>
    <w:p w14:paraId="6BEC656C" w14:textId="77777777" w:rsidR="002E5800" w:rsidRPr="008F328C" w:rsidRDefault="002E5800">
      <w:pPr>
        <w:spacing w:line="200" w:lineRule="exact"/>
        <w:rPr>
          <w:rFonts w:ascii="Times New Roman" w:hAnsi="Times New Roman" w:cs="Times New Roman"/>
          <w:sz w:val="20"/>
          <w:szCs w:val="20"/>
          <w:lang w:val="pl-PL"/>
        </w:rPr>
      </w:pPr>
    </w:p>
    <w:p w14:paraId="66FBD545" w14:textId="77777777" w:rsidR="002E5800" w:rsidRPr="008F328C" w:rsidRDefault="002E5800">
      <w:pPr>
        <w:spacing w:line="200" w:lineRule="exact"/>
        <w:rPr>
          <w:rFonts w:ascii="Times New Roman" w:hAnsi="Times New Roman" w:cs="Times New Roman"/>
          <w:sz w:val="20"/>
          <w:szCs w:val="20"/>
          <w:lang w:val="pl-PL"/>
        </w:rPr>
      </w:pPr>
    </w:p>
    <w:p w14:paraId="6631ADC7" w14:textId="77777777" w:rsidR="002E5800" w:rsidRPr="008F328C" w:rsidRDefault="002E5800">
      <w:pPr>
        <w:spacing w:line="200" w:lineRule="exact"/>
        <w:rPr>
          <w:rFonts w:ascii="Times New Roman" w:hAnsi="Times New Roman" w:cs="Times New Roman"/>
          <w:sz w:val="20"/>
          <w:szCs w:val="20"/>
          <w:lang w:val="pl-PL"/>
        </w:rPr>
      </w:pPr>
    </w:p>
    <w:p w14:paraId="1AE492D9" w14:textId="77777777" w:rsidR="002E5800" w:rsidRPr="008F328C" w:rsidRDefault="002E5800">
      <w:pPr>
        <w:spacing w:line="200" w:lineRule="exact"/>
        <w:rPr>
          <w:rFonts w:ascii="Times New Roman" w:hAnsi="Times New Roman" w:cs="Times New Roman"/>
          <w:sz w:val="20"/>
          <w:szCs w:val="20"/>
          <w:lang w:val="pl-PL"/>
        </w:rPr>
      </w:pPr>
    </w:p>
    <w:p w14:paraId="4DE2435B" w14:textId="77777777" w:rsidR="002E5800" w:rsidRPr="008F328C" w:rsidRDefault="002E5800">
      <w:pPr>
        <w:spacing w:line="200" w:lineRule="exact"/>
        <w:rPr>
          <w:rFonts w:ascii="Times New Roman" w:hAnsi="Times New Roman" w:cs="Times New Roman"/>
          <w:sz w:val="20"/>
          <w:szCs w:val="20"/>
          <w:lang w:val="pl-PL"/>
        </w:rPr>
      </w:pPr>
    </w:p>
    <w:p w14:paraId="7C3EE08F" w14:textId="77777777" w:rsidR="002E5800" w:rsidRPr="008F328C" w:rsidRDefault="002E5800">
      <w:pPr>
        <w:spacing w:line="200" w:lineRule="exact"/>
        <w:rPr>
          <w:rFonts w:ascii="Times New Roman" w:hAnsi="Times New Roman" w:cs="Times New Roman"/>
          <w:sz w:val="20"/>
          <w:szCs w:val="20"/>
          <w:lang w:val="pl-PL"/>
        </w:rPr>
      </w:pPr>
    </w:p>
    <w:p w14:paraId="1339BA60" w14:textId="77777777" w:rsidR="002E5800" w:rsidRPr="008F328C" w:rsidRDefault="002E5800">
      <w:pPr>
        <w:spacing w:line="200" w:lineRule="exact"/>
        <w:rPr>
          <w:rFonts w:ascii="Times New Roman" w:hAnsi="Times New Roman" w:cs="Times New Roman"/>
          <w:sz w:val="20"/>
          <w:szCs w:val="20"/>
          <w:lang w:val="pl-PL"/>
        </w:rPr>
      </w:pPr>
    </w:p>
    <w:p w14:paraId="28AFA20F" w14:textId="77777777" w:rsidR="002E5800" w:rsidRPr="008F328C" w:rsidRDefault="002E5800">
      <w:pPr>
        <w:spacing w:line="200" w:lineRule="exact"/>
        <w:rPr>
          <w:rFonts w:ascii="Times New Roman" w:hAnsi="Times New Roman" w:cs="Times New Roman"/>
          <w:sz w:val="20"/>
          <w:szCs w:val="20"/>
          <w:lang w:val="pl-PL"/>
        </w:rPr>
      </w:pPr>
    </w:p>
    <w:p w14:paraId="74E8E13A" w14:textId="77777777" w:rsidR="002E5800" w:rsidRPr="008F328C" w:rsidRDefault="002E5800">
      <w:pPr>
        <w:spacing w:line="200" w:lineRule="exact"/>
        <w:rPr>
          <w:rFonts w:ascii="Times New Roman" w:hAnsi="Times New Roman" w:cs="Times New Roman"/>
          <w:sz w:val="20"/>
          <w:szCs w:val="20"/>
          <w:lang w:val="pl-PL"/>
        </w:rPr>
      </w:pPr>
    </w:p>
    <w:p w14:paraId="25156EB9" w14:textId="77777777" w:rsidR="002E5800" w:rsidRPr="008F328C" w:rsidRDefault="002E5800">
      <w:pPr>
        <w:spacing w:line="200" w:lineRule="exact"/>
        <w:rPr>
          <w:rFonts w:ascii="Times New Roman" w:hAnsi="Times New Roman" w:cs="Times New Roman"/>
          <w:sz w:val="20"/>
          <w:szCs w:val="20"/>
          <w:lang w:val="pl-PL"/>
        </w:rPr>
      </w:pPr>
    </w:p>
    <w:p w14:paraId="42458467" w14:textId="77777777" w:rsidR="002E5800" w:rsidRPr="008F328C" w:rsidRDefault="002E5800">
      <w:pPr>
        <w:spacing w:line="200" w:lineRule="exact"/>
        <w:rPr>
          <w:rFonts w:ascii="Times New Roman" w:hAnsi="Times New Roman" w:cs="Times New Roman"/>
          <w:sz w:val="20"/>
          <w:szCs w:val="20"/>
          <w:lang w:val="pl-PL"/>
        </w:rPr>
      </w:pPr>
    </w:p>
    <w:p w14:paraId="7FF52B0C" w14:textId="77777777" w:rsidR="002E5800" w:rsidRPr="008F328C" w:rsidRDefault="002E5800">
      <w:pPr>
        <w:spacing w:line="200" w:lineRule="exact"/>
        <w:rPr>
          <w:rFonts w:ascii="Times New Roman" w:hAnsi="Times New Roman" w:cs="Times New Roman"/>
          <w:sz w:val="20"/>
          <w:szCs w:val="20"/>
          <w:lang w:val="pl-PL"/>
        </w:rPr>
      </w:pPr>
    </w:p>
    <w:p w14:paraId="7B815E12" w14:textId="77777777" w:rsidR="002E5800" w:rsidRPr="008F328C" w:rsidRDefault="002E5800">
      <w:pPr>
        <w:spacing w:line="200" w:lineRule="exact"/>
        <w:rPr>
          <w:rFonts w:ascii="Times New Roman" w:hAnsi="Times New Roman" w:cs="Times New Roman"/>
          <w:sz w:val="20"/>
          <w:szCs w:val="20"/>
          <w:lang w:val="pl-PL"/>
        </w:rPr>
      </w:pPr>
    </w:p>
    <w:p w14:paraId="2D02DC57" w14:textId="77777777" w:rsidR="002E5800" w:rsidRPr="008F328C" w:rsidRDefault="002E5800">
      <w:pPr>
        <w:spacing w:line="200" w:lineRule="exact"/>
        <w:rPr>
          <w:rFonts w:ascii="Times New Roman" w:hAnsi="Times New Roman" w:cs="Times New Roman"/>
          <w:sz w:val="20"/>
          <w:szCs w:val="20"/>
          <w:lang w:val="pl-PL" w:eastAsia="ko-KR"/>
        </w:rPr>
      </w:pPr>
    </w:p>
    <w:p w14:paraId="600DBAAD" w14:textId="77777777" w:rsidR="002E5800" w:rsidRPr="008F328C" w:rsidRDefault="002E5800">
      <w:pPr>
        <w:spacing w:line="200" w:lineRule="exact"/>
        <w:rPr>
          <w:rFonts w:ascii="Times New Roman" w:hAnsi="Times New Roman" w:cs="Times New Roman"/>
          <w:sz w:val="20"/>
          <w:szCs w:val="20"/>
          <w:lang w:val="pl-PL" w:eastAsia="ko-KR"/>
        </w:rPr>
      </w:pPr>
    </w:p>
    <w:p w14:paraId="09BF5AF0" w14:textId="77777777" w:rsidR="002E5800" w:rsidRPr="008F328C" w:rsidRDefault="002E5800">
      <w:pPr>
        <w:spacing w:line="200" w:lineRule="exact"/>
        <w:rPr>
          <w:rFonts w:ascii="Times New Roman" w:hAnsi="Times New Roman" w:cs="Times New Roman"/>
          <w:sz w:val="20"/>
          <w:szCs w:val="20"/>
          <w:lang w:val="pl-PL" w:eastAsia="ko-KR"/>
        </w:rPr>
      </w:pPr>
    </w:p>
    <w:p w14:paraId="0D1065BC" w14:textId="77777777" w:rsidR="002E5800" w:rsidRPr="008F328C" w:rsidRDefault="002E5800">
      <w:pPr>
        <w:spacing w:line="200" w:lineRule="exact"/>
        <w:rPr>
          <w:rFonts w:ascii="Times New Roman" w:hAnsi="Times New Roman" w:cs="Times New Roman"/>
          <w:sz w:val="20"/>
          <w:szCs w:val="20"/>
          <w:lang w:val="pl-PL" w:eastAsia="ko-KR"/>
        </w:rPr>
      </w:pPr>
    </w:p>
    <w:p w14:paraId="491B87C8" w14:textId="77777777" w:rsidR="002E5800" w:rsidRPr="008F328C" w:rsidRDefault="002E5800">
      <w:pPr>
        <w:spacing w:line="200" w:lineRule="exact"/>
        <w:rPr>
          <w:rFonts w:ascii="Times New Roman" w:hAnsi="Times New Roman" w:cs="Times New Roman"/>
          <w:sz w:val="20"/>
          <w:szCs w:val="20"/>
          <w:lang w:val="pl-PL" w:eastAsia="ko-KR"/>
        </w:rPr>
      </w:pPr>
    </w:p>
    <w:p w14:paraId="4034DD1F" w14:textId="77777777" w:rsidR="002E5800" w:rsidRPr="008F328C" w:rsidRDefault="002E5800">
      <w:pPr>
        <w:spacing w:line="200" w:lineRule="exact"/>
        <w:rPr>
          <w:rFonts w:ascii="Times New Roman" w:hAnsi="Times New Roman" w:cs="Times New Roman"/>
          <w:sz w:val="20"/>
          <w:szCs w:val="20"/>
          <w:lang w:val="pl-PL" w:eastAsia="ko-KR"/>
        </w:rPr>
      </w:pPr>
    </w:p>
    <w:p w14:paraId="4713C375" w14:textId="77777777" w:rsidR="002E5800" w:rsidRPr="008F328C" w:rsidRDefault="002E5800">
      <w:pPr>
        <w:spacing w:line="200" w:lineRule="exact"/>
        <w:rPr>
          <w:rFonts w:ascii="Times New Roman" w:hAnsi="Times New Roman" w:cs="Times New Roman"/>
          <w:sz w:val="20"/>
          <w:szCs w:val="20"/>
          <w:lang w:val="pl-PL" w:eastAsia="ko-KR"/>
        </w:rPr>
      </w:pPr>
    </w:p>
    <w:p w14:paraId="5C3E2722" w14:textId="77777777" w:rsidR="002E5800" w:rsidRPr="008F328C" w:rsidRDefault="002E5800">
      <w:pPr>
        <w:spacing w:line="200" w:lineRule="exact"/>
        <w:rPr>
          <w:rFonts w:ascii="Times New Roman" w:hAnsi="Times New Roman" w:cs="Times New Roman"/>
          <w:sz w:val="20"/>
          <w:szCs w:val="20"/>
          <w:lang w:val="pl-PL" w:eastAsia="ko-KR"/>
        </w:rPr>
      </w:pPr>
    </w:p>
    <w:p w14:paraId="57703611" w14:textId="77777777" w:rsidR="002E5800" w:rsidRPr="008F328C" w:rsidRDefault="002E5800">
      <w:pPr>
        <w:spacing w:line="200" w:lineRule="exact"/>
        <w:rPr>
          <w:rFonts w:ascii="Times New Roman" w:hAnsi="Times New Roman" w:cs="Times New Roman"/>
          <w:sz w:val="20"/>
          <w:szCs w:val="20"/>
          <w:lang w:val="pl-PL" w:eastAsia="ko-KR"/>
        </w:rPr>
      </w:pPr>
    </w:p>
    <w:p w14:paraId="06D7078A" w14:textId="77777777" w:rsidR="002E5800" w:rsidRPr="008F328C" w:rsidRDefault="002E5800">
      <w:pPr>
        <w:spacing w:line="200" w:lineRule="exact"/>
        <w:rPr>
          <w:rFonts w:ascii="Times New Roman" w:hAnsi="Times New Roman" w:cs="Times New Roman"/>
          <w:sz w:val="20"/>
          <w:szCs w:val="20"/>
          <w:lang w:val="pl-PL" w:eastAsia="ko-KR"/>
        </w:rPr>
      </w:pPr>
    </w:p>
    <w:p w14:paraId="0248F90D" w14:textId="77777777" w:rsidR="002E5800" w:rsidRPr="008F328C" w:rsidRDefault="002E5800">
      <w:pPr>
        <w:spacing w:line="200" w:lineRule="exact"/>
        <w:rPr>
          <w:rFonts w:ascii="Times New Roman" w:hAnsi="Times New Roman" w:cs="Times New Roman"/>
          <w:sz w:val="20"/>
          <w:szCs w:val="20"/>
          <w:lang w:val="pl-PL" w:eastAsia="ko-KR"/>
        </w:rPr>
      </w:pPr>
    </w:p>
    <w:p w14:paraId="448718E0" w14:textId="77777777" w:rsidR="002E5800" w:rsidRPr="008F328C" w:rsidRDefault="002E5800">
      <w:pPr>
        <w:spacing w:line="200" w:lineRule="exact"/>
        <w:rPr>
          <w:rFonts w:ascii="Times New Roman" w:hAnsi="Times New Roman" w:cs="Times New Roman"/>
          <w:sz w:val="20"/>
          <w:szCs w:val="20"/>
          <w:lang w:val="pl-PL" w:eastAsia="ko-KR"/>
        </w:rPr>
      </w:pPr>
    </w:p>
    <w:p w14:paraId="0DD22937" w14:textId="77777777" w:rsidR="002E5800" w:rsidRPr="008F328C" w:rsidRDefault="002E5800">
      <w:pPr>
        <w:spacing w:line="200" w:lineRule="exact"/>
        <w:rPr>
          <w:rFonts w:ascii="Times New Roman" w:hAnsi="Times New Roman" w:cs="Times New Roman"/>
          <w:sz w:val="20"/>
          <w:szCs w:val="20"/>
          <w:lang w:val="pl-PL" w:eastAsia="ko-KR"/>
        </w:rPr>
      </w:pPr>
    </w:p>
    <w:p w14:paraId="5283D34F" w14:textId="77777777" w:rsidR="002E5800" w:rsidRPr="008F328C" w:rsidRDefault="002E5800">
      <w:pPr>
        <w:spacing w:line="200" w:lineRule="exact"/>
        <w:rPr>
          <w:rFonts w:ascii="Times New Roman" w:hAnsi="Times New Roman" w:cs="Times New Roman"/>
          <w:sz w:val="20"/>
          <w:szCs w:val="20"/>
          <w:lang w:val="pl-PL" w:eastAsia="ko-KR"/>
        </w:rPr>
      </w:pPr>
    </w:p>
    <w:p w14:paraId="264E5D9C" w14:textId="77777777" w:rsidR="002E5800" w:rsidRPr="008F328C" w:rsidRDefault="002E5800">
      <w:pPr>
        <w:spacing w:line="200" w:lineRule="exact"/>
        <w:rPr>
          <w:rFonts w:ascii="Times New Roman" w:hAnsi="Times New Roman" w:cs="Times New Roman"/>
          <w:sz w:val="20"/>
          <w:szCs w:val="20"/>
          <w:lang w:val="pl-PL" w:eastAsia="ko-KR"/>
        </w:rPr>
      </w:pPr>
    </w:p>
    <w:p w14:paraId="2769F055" w14:textId="77777777" w:rsidR="002E5800" w:rsidRPr="008F328C" w:rsidRDefault="002E5800">
      <w:pPr>
        <w:spacing w:before="4" w:line="200" w:lineRule="exact"/>
        <w:jc w:val="center"/>
        <w:rPr>
          <w:rFonts w:ascii="Times New Roman" w:hAnsi="Times New Roman" w:cs="Times New Roman"/>
          <w:sz w:val="20"/>
          <w:szCs w:val="20"/>
          <w:lang w:val="pl-PL" w:eastAsia="ko-KR"/>
        </w:rPr>
      </w:pPr>
    </w:p>
    <w:p w14:paraId="2635AB5F" w14:textId="77777777" w:rsidR="002E5800" w:rsidRPr="008F328C" w:rsidRDefault="000E0B7C">
      <w:pPr>
        <w:pStyle w:val="TableParagraph"/>
        <w:jc w:val="center"/>
        <w:rPr>
          <w:rFonts w:ascii="Times New Roman" w:hAnsi="Times New Roman" w:cs="Times New Roman"/>
          <w:b/>
          <w:lang w:val="pl-PL"/>
        </w:rPr>
      </w:pPr>
      <w:r w:rsidRPr="008F328C">
        <w:rPr>
          <w:rFonts w:ascii="Times New Roman" w:eastAsia="Times New Roman" w:hAnsi="Times New Roman" w:cs="Times New Roman"/>
          <w:b/>
          <w:bCs/>
          <w:lang w:val="pl-PL"/>
        </w:rPr>
        <w:t>ANEKS I</w:t>
      </w:r>
    </w:p>
    <w:p w14:paraId="73FC21B7" w14:textId="77777777" w:rsidR="002E5800" w:rsidRPr="008F328C" w:rsidRDefault="002E5800">
      <w:pPr>
        <w:pStyle w:val="1"/>
        <w:spacing w:before="72"/>
        <w:ind w:left="0" w:right="5"/>
        <w:jc w:val="center"/>
        <w:rPr>
          <w:rFonts w:cs="Times New Roman"/>
          <w:spacing w:val="-1"/>
          <w:lang w:val="pl-PL"/>
        </w:rPr>
      </w:pPr>
    </w:p>
    <w:p w14:paraId="2AA67141" w14:textId="77777777" w:rsidR="002E5800" w:rsidRPr="008F328C" w:rsidRDefault="000E0B7C">
      <w:pPr>
        <w:pStyle w:val="1"/>
        <w:spacing w:before="72"/>
        <w:ind w:left="0" w:right="5"/>
        <w:jc w:val="center"/>
        <w:rPr>
          <w:rFonts w:cs="Times New Roman"/>
          <w:spacing w:val="-1"/>
          <w:lang w:val="pl-PL"/>
        </w:rPr>
      </w:pPr>
      <w:r w:rsidRPr="008F328C">
        <w:rPr>
          <w:rFonts w:cs="Times New Roman"/>
          <w:spacing w:val="-1"/>
          <w:lang w:val="pl-PL"/>
        </w:rPr>
        <w:t>CHARAKTERYSTYKA PRODUKTU LECZNICZEGO</w:t>
      </w:r>
    </w:p>
    <w:p w14:paraId="4E53832F" w14:textId="77777777" w:rsidR="002E5800" w:rsidRPr="008F328C" w:rsidRDefault="000E0B7C">
      <w:pPr>
        <w:rPr>
          <w:rFonts w:ascii="Times New Roman" w:eastAsia="맑은 고딕" w:hAnsi="Times New Roman" w:cs="Times New Roman"/>
          <w:lang w:val="pl-PL" w:eastAsia="ko-KR"/>
        </w:rPr>
      </w:pPr>
      <w:bookmarkStart w:id="8" w:name="SUMMARY_OF_PRODUCT_CHARACTERISTICS"/>
      <w:bookmarkEnd w:id="8"/>
      <w:r w:rsidRPr="008F328C">
        <w:rPr>
          <w:rFonts w:ascii="Times New Roman" w:eastAsia="Times New Roman" w:hAnsi="Times New Roman" w:cs="Times New Roman"/>
          <w:lang w:val="pl-PL"/>
        </w:rPr>
        <w:br w:type="page"/>
      </w:r>
      <w:r w:rsidRPr="008F328C">
        <w:rPr>
          <w:rFonts w:ascii="Times New Roman" w:hAnsi="Times New Roman" w:cs="Times New Roman"/>
          <w:noProof/>
          <w:lang w:eastAsia="ko-KR"/>
        </w:rPr>
        <w:lastRenderedPageBreak/>
        <w:drawing>
          <wp:inline distT="0" distB="0" distL="0" distR="0" wp14:anchorId="44362247" wp14:editId="6BCDC8F2">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Osoby należące do fachowego personelu medycznego powinny zgłaszać wszelkie podejrzewane działania niepożądane. Aby dowiedzieć się, jak zgłaszać działania niepożądane – patrz punkt 4.8.</w:t>
      </w:r>
    </w:p>
    <w:p w14:paraId="4A56A87F" w14:textId="77777777" w:rsidR="002E5800" w:rsidRPr="008F328C" w:rsidRDefault="002E5800">
      <w:pPr>
        <w:widowControl/>
        <w:tabs>
          <w:tab w:val="left" w:pos="567"/>
        </w:tabs>
        <w:rPr>
          <w:rFonts w:ascii="Times New Roman" w:eastAsia="Times New Roman" w:hAnsi="Times New Roman" w:cs="Times New Roman"/>
          <w:lang w:val="pl-PL"/>
        </w:rPr>
      </w:pPr>
    </w:p>
    <w:p w14:paraId="798AF7E9" w14:textId="77777777" w:rsidR="002E5800" w:rsidRPr="008F328C" w:rsidRDefault="000E0B7C">
      <w:pPr>
        <w:widowControl/>
        <w:numPr>
          <w:ilvl w:val="0"/>
          <w:numId w:val="26"/>
        </w:numPr>
        <w:tabs>
          <w:tab w:val="left" w:pos="567"/>
        </w:tabs>
        <w:spacing w:line="260" w:lineRule="exact"/>
        <w:ind w:left="0" w:firstLine="0"/>
        <w:rPr>
          <w:rFonts w:ascii="Times New Roman" w:hAnsi="Times New Roman" w:cs="Times New Roman"/>
          <w:lang w:val="pl-PL"/>
        </w:rPr>
      </w:pPr>
      <w:r w:rsidRPr="008F328C">
        <w:rPr>
          <w:rFonts w:ascii="Times New Roman" w:eastAsia="Times New Roman" w:hAnsi="Times New Roman" w:cs="Times New Roman"/>
          <w:b/>
          <w:bCs/>
          <w:lang w:val="pl-PL"/>
        </w:rPr>
        <w:t>NAZWA PRODUKTU LECZNICZEGO</w:t>
      </w:r>
    </w:p>
    <w:p w14:paraId="63559570" w14:textId="77777777" w:rsidR="002E5800" w:rsidRPr="008F328C" w:rsidRDefault="002E5800">
      <w:pPr>
        <w:spacing w:line="240" w:lineRule="exact"/>
        <w:rPr>
          <w:rFonts w:ascii="Times New Roman" w:hAnsi="Times New Roman" w:cs="Times New Roman"/>
          <w:lang w:val="pl-PL"/>
        </w:rPr>
      </w:pPr>
    </w:p>
    <w:p w14:paraId="6552C3D3" w14:textId="77777777" w:rsidR="002E5800" w:rsidRPr="008F328C" w:rsidRDefault="000E0B7C">
      <w:pPr>
        <w:widowControl/>
        <w:tabs>
          <w:tab w:val="left" w:pos="567"/>
        </w:tabs>
        <w:rPr>
          <w:rFonts w:ascii="Times New Roman" w:eastAsia="Times New Roman" w:hAnsi="Times New Roman" w:cs="Times New Roman"/>
          <w:lang w:val="pl-PL"/>
        </w:rPr>
      </w:pPr>
      <w:r w:rsidRPr="008F328C">
        <w:rPr>
          <w:rFonts w:ascii="Times New Roman" w:eastAsia="Times New Roman" w:hAnsi="Times New Roman" w:cs="Times New Roman"/>
          <w:lang w:val="pl-PL"/>
        </w:rPr>
        <w:t>Yuflyma 40 mg w postaci roztworu do wstrzykiwań w ampułko-strzykawce</w:t>
      </w:r>
    </w:p>
    <w:p w14:paraId="332F6333" w14:textId="77777777" w:rsidR="002E5800" w:rsidRPr="008F328C" w:rsidRDefault="002E5800">
      <w:pPr>
        <w:widowControl/>
        <w:tabs>
          <w:tab w:val="left" w:pos="567"/>
        </w:tabs>
        <w:rPr>
          <w:rFonts w:ascii="Times New Roman" w:eastAsia="Times New Roman" w:hAnsi="Times New Roman" w:cs="Times New Roman"/>
          <w:lang w:val="pl-PL"/>
        </w:rPr>
      </w:pPr>
    </w:p>
    <w:p w14:paraId="3BFD646F" w14:textId="08A814F8" w:rsidR="002E5800" w:rsidRPr="008F328C" w:rsidRDefault="000E0B7C">
      <w:pPr>
        <w:widowControl/>
        <w:tabs>
          <w:tab w:val="left" w:pos="567"/>
        </w:tabs>
        <w:rPr>
          <w:rFonts w:ascii="Times New Roman" w:eastAsia="Times New Roman" w:hAnsi="Times New Roman" w:cs="Times New Roman"/>
          <w:lang w:val="pl-PL"/>
        </w:rPr>
      </w:pPr>
      <w:r w:rsidRPr="008F328C">
        <w:rPr>
          <w:rFonts w:ascii="Times New Roman" w:eastAsia="Times New Roman" w:hAnsi="Times New Roman" w:cs="Times New Roman"/>
          <w:lang w:val="pl-PL"/>
        </w:rPr>
        <w:t>Yuflyma 40 mg w postaci roztworu do wstrzykiwań w</w:t>
      </w:r>
      <w:r w:rsidR="00DA7A82" w:rsidRPr="008F328C">
        <w:rPr>
          <w:rFonts w:ascii="Times New Roman" w:eastAsia="Times New Roman" w:hAnsi="Times New Roman" w:cs="Times New Roman"/>
          <w:lang w:val="pl-PL"/>
        </w:rPr>
        <w:t>e</w:t>
      </w:r>
      <w:r w:rsidRPr="008F328C">
        <w:rPr>
          <w:rFonts w:ascii="Times New Roman" w:eastAsia="Times New Roman" w:hAnsi="Times New Roman" w:cs="Times New Roman"/>
          <w:lang w:val="pl-PL"/>
        </w:rPr>
        <w:t xml:space="preserve"> wstrzykiwaczu</w:t>
      </w:r>
    </w:p>
    <w:p w14:paraId="0302C60D" w14:textId="77777777" w:rsidR="002E5800" w:rsidRPr="008F328C" w:rsidRDefault="002E5800">
      <w:pPr>
        <w:spacing w:line="200" w:lineRule="exact"/>
        <w:rPr>
          <w:rFonts w:ascii="Times New Roman" w:hAnsi="Times New Roman" w:cs="Times New Roman"/>
          <w:lang w:val="pl-PL"/>
        </w:rPr>
      </w:pPr>
    </w:p>
    <w:p w14:paraId="1C749E64" w14:textId="77777777" w:rsidR="002E5800" w:rsidRPr="008F328C" w:rsidRDefault="002E5800">
      <w:pPr>
        <w:widowControl/>
        <w:tabs>
          <w:tab w:val="left" w:pos="567"/>
        </w:tabs>
        <w:spacing w:line="260" w:lineRule="exact"/>
        <w:rPr>
          <w:rFonts w:ascii="Times New Roman" w:eastAsia="Times New Roman" w:hAnsi="Times New Roman" w:cs="Times New Roman"/>
          <w:b/>
          <w:lang w:val="pl-PL"/>
        </w:rPr>
      </w:pPr>
    </w:p>
    <w:p w14:paraId="40ED289D" w14:textId="77777777" w:rsidR="002E5800" w:rsidRPr="008F328C" w:rsidRDefault="000E0B7C">
      <w:pPr>
        <w:widowControl/>
        <w:numPr>
          <w:ilvl w:val="0"/>
          <w:numId w:val="26"/>
        </w:numPr>
        <w:tabs>
          <w:tab w:val="left" w:pos="567"/>
        </w:tabs>
        <w:spacing w:line="260" w:lineRule="exact"/>
        <w:ind w:left="0" w:firstLine="0"/>
        <w:rPr>
          <w:rFonts w:ascii="Times New Roman" w:hAnsi="Times New Roman" w:cs="Times New Roman"/>
          <w:b/>
          <w:bCs/>
          <w:spacing w:val="-1"/>
          <w:lang w:val="pl-PL"/>
        </w:rPr>
      </w:pPr>
      <w:r w:rsidRPr="008F328C">
        <w:rPr>
          <w:rFonts w:ascii="Times New Roman" w:eastAsia="Times New Roman" w:hAnsi="Times New Roman" w:cs="Times New Roman"/>
          <w:b/>
          <w:bCs/>
          <w:lang w:val="pl-PL"/>
        </w:rPr>
        <w:t>SKŁAD JAKOŚCIOWY I ILOŚCIOWY</w:t>
      </w:r>
    </w:p>
    <w:p w14:paraId="653BE80C" w14:textId="77777777" w:rsidR="002E5800" w:rsidRPr="008F328C" w:rsidRDefault="002E5800">
      <w:pPr>
        <w:widowControl/>
        <w:tabs>
          <w:tab w:val="left" w:pos="567"/>
        </w:tabs>
        <w:rPr>
          <w:rFonts w:ascii="Times New Roman" w:eastAsia="Times New Roman" w:hAnsi="Times New Roman" w:cs="Times New Roman"/>
          <w:u w:val="single"/>
          <w:lang w:val="pl-PL"/>
        </w:rPr>
      </w:pPr>
    </w:p>
    <w:p w14:paraId="46420C78" w14:textId="77777777" w:rsidR="002E5800" w:rsidRPr="008F328C" w:rsidRDefault="000E0B7C">
      <w:pPr>
        <w:widowControl/>
        <w:tabs>
          <w:tab w:val="left" w:pos="567"/>
        </w:tabs>
        <w:rPr>
          <w:rFonts w:ascii="Times New Roman" w:eastAsia="Times New Roman" w:hAnsi="Times New Roman" w:cs="Times New Roman"/>
          <w:u w:val="single"/>
          <w:lang w:val="pl-PL"/>
        </w:rPr>
      </w:pPr>
      <w:r w:rsidRPr="008F328C">
        <w:rPr>
          <w:rFonts w:ascii="Times New Roman" w:eastAsia="Times New Roman" w:hAnsi="Times New Roman" w:cs="Times New Roman"/>
          <w:u w:val="single"/>
          <w:lang w:val="pl-PL"/>
        </w:rPr>
        <w:t>Yuflyma 40 mg w postaci roztworu do wstrzykiwań w ampułko-strzykawce</w:t>
      </w:r>
    </w:p>
    <w:p w14:paraId="6EE537F3" w14:textId="77777777" w:rsidR="002E5800" w:rsidRPr="008F328C" w:rsidRDefault="002E5800">
      <w:pPr>
        <w:widowControl/>
        <w:tabs>
          <w:tab w:val="left" w:pos="567"/>
        </w:tabs>
        <w:adjustRightInd w:val="0"/>
        <w:rPr>
          <w:rFonts w:ascii="Times New Roman" w:eastAsia="Times New Roman" w:hAnsi="Times New Roman" w:cs="Times New Roman"/>
          <w:lang w:val="pl-PL"/>
        </w:rPr>
      </w:pPr>
    </w:p>
    <w:p w14:paraId="6AA055BE" w14:textId="77777777" w:rsidR="002E5800" w:rsidRPr="008F328C" w:rsidRDefault="000E0B7C">
      <w:pPr>
        <w:widowControl/>
        <w:tabs>
          <w:tab w:val="left" w:pos="567"/>
        </w:tabs>
        <w:adjustRightInd w:val="0"/>
        <w:rPr>
          <w:rFonts w:ascii="Times New Roman" w:hAnsi="Times New Roman" w:cs="Times New Roman"/>
          <w:lang w:val="pl-PL"/>
        </w:rPr>
      </w:pPr>
      <w:r w:rsidRPr="008F328C">
        <w:rPr>
          <w:rFonts w:ascii="Times New Roman" w:eastAsia="Times New Roman" w:hAnsi="Times New Roman" w:cs="Times New Roman"/>
          <w:lang w:val="pl-PL"/>
        </w:rPr>
        <w:t>Każda ampułko-strzykawka z pojedynczą dawką 0,4 ml zawiera 40 mg adalimumabu.</w:t>
      </w:r>
    </w:p>
    <w:p w14:paraId="24064C97" w14:textId="77777777" w:rsidR="002E5800" w:rsidRPr="008F328C" w:rsidRDefault="002E5800">
      <w:pPr>
        <w:spacing w:line="240" w:lineRule="exact"/>
        <w:rPr>
          <w:rFonts w:ascii="Times New Roman" w:hAnsi="Times New Roman" w:cs="Times New Roman"/>
          <w:lang w:val="pl-PL"/>
        </w:rPr>
      </w:pPr>
    </w:p>
    <w:p w14:paraId="20B50C48" w14:textId="333928D7" w:rsidR="002E5800" w:rsidRPr="008F328C" w:rsidRDefault="000E0B7C">
      <w:pPr>
        <w:widowControl/>
        <w:tabs>
          <w:tab w:val="left" w:pos="567"/>
        </w:tabs>
        <w:rPr>
          <w:rFonts w:ascii="Times New Roman" w:eastAsia="Times New Roman" w:hAnsi="Times New Roman" w:cs="Times New Roman"/>
          <w:u w:val="single"/>
          <w:lang w:val="pl-PL"/>
        </w:rPr>
      </w:pPr>
      <w:r w:rsidRPr="008F328C">
        <w:rPr>
          <w:rFonts w:ascii="Times New Roman" w:eastAsia="Times New Roman" w:hAnsi="Times New Roman" w:cs="Times New Roman"/>
          <w:u w:val="single"/>
          <w:lang w:val="pl-PL"/>
        </w:rPr>
        <w:t>Yuflyma 40 mg w postaci roztworu do wstrzykiwań w</w:t>
      </w:r>
      <w:r w:rsidR="009137B7" w:rsidRPr="008F328C">
        <w:rPr>
          <w:rFonts w:ascii="Times New Roman" w:eastAsia="Times New Roman" w:hAnsi="Times New Roman" w:cs="Times New Roman"/>
          <w:u w:val="single"/>
          <w:lang w:val="pl-PL"/>
        </w:rPr>
        <w:t>e</w:t>
      </w:r>
      <w:r w:rsidRPr="008F328C">
        <w:rPr>
          <w:rFonts w:ascii="Times New Roman" w:eastAsia="Times New Roman" w:hAnsi="Times New Roman" w:cs="Times New Roman"/>
          <w:u w:val="single"/>
          <w:lang w:val="pl-PL"/>
        </w:rPr>
        <w:t xml:space="preserve"> wstrzykiwaczu</w:t>
      </w:r>
    </w:p>
    <w:p w14:paraId="5CA4EE50" w14:textId="77777777" w:rsidR="002E5800" w:rsidRPr="008F328C" w:rsidRDefault="002E5800">
      <w:pPr>
        <w:widowControl/>
        <w:tabs>
          <w:tab w:val="left" w:pos="567"/>
        </w:tabs>
        <w:rPr>
          <w:rFonts w:ascii="Times New Roman" w:hAnsi="Times New Roman" w:cs="Times New Roman"/>
          <w:lang w:val="pl-PL"/>
        </w:rPr>
      </w:pPr>
    </w:p>
    <w:p w14:paraId="3E5749D4" w14:textId="32E0832B" w:rsidR="002E5800" w:rsidRPr="008F328C" w:rsidRDefault="000E0B7C">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Każdy wstrzykiwacz z pojedynczą dawką 0,4 ml zawiera 40 mg adalimumabu.</w:t>
      </w:r>
    </w:p>
    <w:p w14:paraId="35B830E5" w14:textId="77777777" w:rsidR="002E5800" w:rsidRPr="008F328C" w:rsidRDefault="002E5800">
      <w:pPr>
        <w:spacing w:line="240" w:lineRule="exact"/>
        <w:rPr>
          <w:rFonts w:ascii="Times New Roman" w:hAnsi="Times New Roman" w:cs="Times New Roman"/>
          <w:lang w:val="pl-PL"/>
        </w:rPr>
      </w:pPr>
    </w:p>
    <w:p w14:paraId="763883BA" w14:textId="77777777" w:rsidR="002E5800" w:rsidRPr="008F328C" w:rsidRDefault="000E0B7C">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Adalimumab jest rekombinowanym, ludzkim przeciwciałem monoklonalnym produkowanym w komórkach jajnika chomika chińskiego.</w:t>
      </w:r>
    </w:p>
    <w:p w14:paraId="71225BCC" w14:textId="77777777" w:rsidR="002E5800" w:rsidRPr="008F328C" w:rsidRDefault="002E5800">
      <w:pPr>
        <w:widowControl/>
        <w:tabs>
          <w:tab w:val="left" w:pos="567"/>
        </w:tabs>
        <w:adjustRightInd w:val="0"/>
        <w:rPr>
          <w:rFonts w:ascii="Times New Roman" w:eastAsia="Times New Roman" w:hAnsi="Times New Roman" w:cs="Times New Roman"/>
          <w:lang w:val="pl-PL"/>
        </w:rPr>
      </w:pPr>
    </w:p>
    <w:p w14:paraId="4E288A3C" w14:textId="77777777" w:rsidR="002E5800" w:rsidRPr="008F328C" w:rsidRDefault="000E0B7C">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Pełny wykaz substancji pomocniczych, patrz punkt 6.1.</w:t>
      </w:r>
    </w:p>
    <w:p w14:paraId="70CEBE3B" w14:textId="6384A558" w:rsidR="002E5800" w:rsidRPr="008F328C" w:rsidRDefault="002E5800">
      <w:pPr>
        <w:spacing w:line="260" w:lineRule="exact"/>
        <w:rPr>
          <w:rFonts w:ascii="Times New Roman" w:hAnsi="Times New Roman" w:cs="Times New Roman"/>
          <w:lang w:val="pl-PL"/>
        </w:rPr>
      </w:pPr>
    </w:p>
    <w:p w14:paraId="72C815B4" w14:textId="77777777" w:rsidR="00382385" w:rsidRPr="008F328C" w:rsidRDefault="00382385">
      <w:pPr>
        <w:spacing w:line="260" w:lineRule="exact"/>
        <w:rPr>
          <w:rFonts w:ascii="Times New Roman" w:hAnsi="Times New Roman" w:cs="Times New Roman"/>
          <w:lang w:val="pl-PL"/>
        </w:rPr>
      </w:pPr>
    </w:p>
    <w:p w14:paraId="4664CD9A" w14:textId="77777777" w:rsidR="002E5800" w:rsidRPr="008F328C" w:rsidRDefault="000E0B7C">
      <w:pPr>
        <w:widowControl/>
        <w:numPr>
          <w:ilvl w:val="0"/>
          <w:numId w:val="26"/>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POSTAĆ FARMACEUTYCZNA</w:t>
      </w:r>
    </w:p>
    <w:p w14:paraId="243063A4" w14:textId="77777777" w:rsidR="002E5800" w:rsidRPr="008F328C" w:rsidRDefault="002E5800">
      <w:pPr>
        <w:spacing w:line="240" w:lineRule="exact"/>
        <w:rPr>
          <w:rFonts w:ascii="Times New Roman" w:hAnsi="Times New Roman" w:cs="Times New Roman"/>
          <w:lang w:val="pl-PL"/>
        </w:rPr>
      </w:pPr>
    </w:p>
    <w:p w14:paraId="6F6B441F" w14:textId="6A14D1E6" w:rsidR="002E5800" w:rsidRPr="008F328C" w:rsidRDefault="000E0B7C">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Roztwór do wstrzykiwań (</w:t>
      </w:r>
      <w:r w:rsidR="009137B7" w:rsidRPr="008F328C">
        <w:rPr>
          <w:rFonts w:ascii="Times New Roman" w:eastAsia="Times New Roman" w:hAnsi="Times New Roman" w:cs="Times New Roman"/>
          <w:lang w:val="pl-PL"/>
        </w:rPr>
        <w:t>wstrzyknięcie</w:t>
      </w:r>
      <w:r w:rsidRPr="008F328C">
        <w:rPr>
          <w:rFonts w:ascii="Times New Roman" w:eastAsia="Times New Roman" w:hAnsi="Times New Roman" w:cs="Times New Roman"/>
          <w:lang w:val="pl-PL"/>
        </w:rPr>
        <w:t>)</w:t>
      </w:r>
    </w:p>
    <w:p w14:paraId="01214649" w14:textId="77777777" w:rsidR="002E5800" w:rsidRPr="008F328C" w:rsidRDefault="002E5800">
      <w:pPr>
        <w:widowControl/>
        <w:tabs>
          <w:tab w:val="left" w:pos="567"/>
        </w:tabs>
        <w:adjustRightInd w:val="0"/>
        <w:rPr>
          <w:rFonts w:ascii="Times New Roman" w:eastAsia="Times New Roman" w:hAnsi="Times New Roman" w:cs="Times New Roman"/>
          <w:lang w:val="pl-PL"/>
        </w:rPr>
      </w:pPr>
    </w:p>
    <w:p w14:paraId="74921D15" w14:textId="3BC5571F" w:rsidR="002E5800" w:rsidRPr="008F328C" w:rsidRDefault="000E0B7C">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Roztwór ma postać lekko opalizującego, bezbarwnego do </w:t>
      </w:r>
      <w:r w:rsidR="009137B7" w:rsidRPr="008F328C">
        <w:rPr>
          <w:rFonts w:ascii="Times New Roman" w:eastAsia="Times New Roman" w:hAnsi="Times New Roman" w:cs="Times New Roman"/>
          <w:lang w:val="pl-PL"/>
        </w:rPr>
        <w:t xml:space="preserve">jasnobrązowego </w:t>
      </w:r>
      <w:r w:rsidRPr="008F328C">
        <w:rPr>
          <w:rFonts w:ascii="Times New Roman" w:eastAsia="Times New Roman" w:hAnsi="Times New Roman" w:cs="Times New Roman"/>
          <w:lang w:val="pl-PL"/>
        </w:rPr>
        <w:t>płynu.</w:t>
      </w:r>
    </w:p>
    <w:p w14:paraId="5CC43472" w14:textId="568D3A2A" w:rsidR="002E5800" w:rsidRPr="008F328C" w:rsidRDefault="002E5800">
      <w:pPr>
        <w:spacing w:line="260" w:lineRule="exact"/>
        <w:rPr>
          <w:rFonts w:ascii="Times New Roman" w:hAnsi="Times New Roman" w:cs="Times New Roman"/>
          <w:lang w:val="pl-PL"/>
        </w:rPr>
      </w:pPr>
    </w:p>
    <w:p w14:paraId="02FD3228" w14:textId="77777777" w:rsidR="00382385" w:rsidRPr="008F328C" w:rsidRDefault="00382385">
      <w:pPr>
        <w:spacing w:line="260" w:lineRule="exact"/>
        <w:rPr>
          <w:rFonts w:ascii="Times New Roman" w:hAnsi="Times New Roman" w:cs="Times New Roman"/>
          <w:lang w:val="pl-PL"/>
        </w:rPr>
      </w:pPr>
    </w:p>
    <w:p w14:paraId="6E1CD7AC" w14:textId="77777777" w:rsidR="002E5800" w:rsidRPr="008F328C" w:rsidRDefault="000E0B7C">
      <w:pPr>
        <w:widowControl/>
        <w:numPr>
          <w:ilvl w:val="0"/>
          <w:numId w:val="26"/>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SZCZEGÓŁOWE DANE KLINICZNE</w:t>
      </w:r>
    </w:p>
    <w:p w14:paraId="638ACEA7" w14:textId="77777777" w:rsidR="002E5800" w:rsidRPr="008F328C" w:rsidRDefault="002E5800">
      <w:pPr>
        <w:pStyle w:val="a4"/>
        <w:tabs>
          <w:tab w:val="left" w:pos="672"/>
        </w:tabs>
        <w:rPr>
          <w:rFonts w:ascii="Times New Roman" w:eastAsia="Times New Roman" w:hAnsi="Times New Roman" w:cs="Times New Roman"/>
          <w:b/>
          <w:lang w:val="pl-PL"/>
        </w:rPr>
      </w:pPr>
    </w:p>
    <w:p w14:paraId="5F26CF88"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lang w:val="pl-PL"/>
        </w:rPr>
      </w:pPr>
      <w:r w:rsidRPr="008F328C">
        <w:rPr>
          <w:rFonts w:ascii="Times New Roman" w:eastAsia="Times New Roman" w:hAnsi="Times New Roman" w:cs="Times New Roman"/>
          <w:b/>
          <w:bCs/>
          <w:lang w:val="pl-PL"/>
        </w:rPr>
        <w:t>Wskazania do stosowania</w:t>
      </w:r>
    </w:p>
    <w:p w14:paraId="6EF47FB3" w14:textId="77777777" w:rsidR="002E5800" w:rsidRPr="008F328C" w:rsidRDefault="002E5800">
      <w:pPr>
        <w:spacing w:line="240" w:lineRule="exact"/>
        <w:rPr>
          <w:rFonts w:ascii="Times New Roman" w:hAnsi="Times New Roman" w:cs="Times New Roman"/>
          <w:lang w:val="pl-PL"/>
        </w:rPr>
      </w:pPr>
    </w:p>
    <w:p w14:paraId="34D3FA6D" w14:textId="77777777" w:rsidR="002E5800" w:rsidRPr="008F328C" w:rsidRDefault="000E0B7C">
      <w:pPr>
        <w:pStyle w:val="a3"/>
        <w:rPr>
          <w:u w:val="single"/>
          <w:lang w:val="pl-PL"/>
        </w:rPr>
      </w:pPr>
      <w:r w:rsidRPr="008F328C">
        <w:rPr>
          <w:rFonts w:eastAsia="Times New Roman"/>
          <w:u w:val="single" w:color="000000"/>
          <w:lang w:val="pl-PL"/>
        </w:rPr>
        <w:t>Reumatoidalne zapalenie stawów (RZS)</w:t>
      </w:r>
    </w:p>
    <w:p w14:paraId="433AFFF0" w14:textId="77777777" w:rsidR="002E5800" w:rsidRPr="008F328C" w:rsidRDefault="002E5800">
      <w:pPr>
        <w:spacing w:line="170" w:lineRule="exact"/>
        <w:rPr>
          <w:rFonts w:ascii="Times New Roman" w:hAnsi="Times New Roman" w:cs="Times New Roman"/>
          <w:lang w:val="pl-PL"/>
        </w:rPr>
      </w:pPr>
    </w:p>
    <w:p w14:paraId="497979F2" w14:textId="77777777" w:rsidR="002E5800" w:rsidRPr="008F328C" w:rsidRDefault="000E0B7C">
      <w:pPr>
        <w:pStyle w:val="a3"/>
        <w:rPr>
          <w:lang w:val="pl-PL"/>
        </w:rPr>
      </w:pPr>
      <w:r w:rsidRPr="008F328C">
        <w:rPr>
          <w:rFonts w:eastAsia="Times New Roman"/>
          <w:lang w:val="pl-PL"/>
        </w:rPr>
        <w:t>Produkt Yuflyma w skojarzeniu z metotreksatem, jest wskazany w:</w:t>
      </w:r>
    </w:p>
    <w:p w14:paraId="544817FF" w14:textId="77777777" w:rsidR="002E5800" w:rsidRPr="008F328C" w:rsidRDefault="002E5800">
      <w:pPr>
        <w:spacing w:line="240" w:lineRule="exact"/>
        <w:rPr>
          <w:rFonts w:ascii="Times New Roman" w:hAnsi="Times New Roman" w:cs="Times New Roman"/>
          <w:lang w:val="pl-PL"/>
        </w:rPr>
      </w:pPr>
    </w:p>
    <w:p w14:paraId="6CCD7EBB" w14:textId="77777777" w:rsidR="002E5800" w:rsidRPr="008F328C" w:rsidRDefault="000E0B7C">
      <w:pPr>
        <w:pStyle w:val="a3"/>
        <w:numPr>
          <w:ilvl w:val="0"/>
          <w:numId w:val="15"/>
        </w:numPr>
        <w:ind w:left="660" w:hanging="660"/>
        <w:rPr>
          <w:lang w:val="pl-PL"/>
        </w:rPr>
      </w:pPr>
      <w:r w:rsidRPr="008F328C">
        <w:rPr>
          <w:rFonts w:eastAsia="Times New Roman"/>
          <w:lang w:val="pl-PL"/>
        </w:rPr>
        <w:t>leczeniu umiarkowanego do ciężkiego, aktywnego reumatoidalnego zapalenia stawów u dorosłych pacjentów, w przypadku gdy odpowiedź na leki przeciwreumatyczne modyfikujące przebieg choroby, w tym metotreksat, była niewystarczająca.</w:t>
      </w:r>
    </w:p>
    <w:p w14:paraId="2283B7C2" w14:textId="77777777" w:rsidR="002E5800" w:rsidRPr="008F328C" w:rsidRDefault="000E0B7C">
      <w:pPr>
        <w:pStyle w:val="a3"/>
        <w:numPr>
          <w:ilvl w:val="0"/>
          <w:numId w:val="15"/>
        </w:numPr>
        <w:ind w:left="660" w:hanging="660"/>
        <w:rPr>
          <w:lang w:val="pl-PL"/>
        </w:rPr>
      </w:pPr>
      <w:r w:rsidRPr="008F328C">
        <w:rPr>
          <w:rFonts w:eastAsia="Times New Roman"/>
          <w:lang w:val="pl-PL"/>
        </w:rPr>
        <w:t>leczeniu ciężkiego, aktywnego i postępującego reumatoidalnego zapalenia stawów u dorosłych, którzy nie byli wcześniej leczeni metotreksatem.</w:t>
      </w:r>
    </w:p>
    <w:p w14:paraId="322D4FA4" w14:textId="77777777" w:rsidR="002E5800" w:rsidRPr="008F328C" w:rsidRDefault="002E5800">
      <w:pPr>
        <w:spacing w:line="240" w:lineRule="exact"/>
        <w:rPr>
          <w:rFonts w:ascii="Times New Roman" w:hAnsi="Times New Roman" w:cs="Times New Roman"/>
          <w:lang w:val="pl-PL"/>
        </w:rPr>
      </w:pPr>
    </w:p>
    <w:p w14:paraId="0F5508F8" w14:textId="77777777" w:rsidR="002E5800" w:rsidRPr="008F328C" w:rsidRDefault="000E0B7C">
      <w:pPr>
        <w:pStyle w:val="a3"/>
        <w:rPr>
          <w:lang w:val="pl-PL"/>
        </w:rPr>
      </w:pPr>
      <w:r w:rsidRPr="008F328C">
        <w:rPr>
          <w:rFonts w:eastAsia="Times New Roman"/>
          <w:lang w:val="pl-PL"/>
        </w:rPr>
        <w:t>Produkt Yuflyma może być podawany w monoterapii w przypadku nietolerancji metotreksatu lub gdy dalsze leczenie metotreksatem jest nieodpowiednie.</w:t>
      </w:r>
    </w:p>
    <w:p w14:paraId="4C45C306" w14:textId="77777777" w:rsidR="002E5800" w:rsidRPr="008F328C" w:rsidRDefault="002E5800">
      <w:pPr>
        <w:spacing w:line="240" w:lineRule="exact"/>
        <w:rPr>
          <w:rFonts w:ascii="Times New Roman" w:hAnsi="Times New Roman" w:cs="Times New Roman"/>
          <w:lang w:val="pl-PL"/>
        </w:rPr>
      </w:pPr>
    </w:p>
    <w:p w14:paraId="2B57881C" w14:textId="5400E314" w:rsidR="002E5800" w:rsidRPr="008F328C" w:rsidRDefault="000E0B7C">
      <w:pPr>
        <w:pStyle w:val="a3"/>
        <w:rPr>
          <w:lang w:val="pl-PL"/>
        </w:rPr>
      </w:pPr>
      <w:r w:rsidRPr="008F328C">
        <w:rPr>
          <w:rFonts w:eastAsia="Times New Roman"/>
          <w:lang w:val="pl-PL" w:eastAsia="ko-KR"/>
        </w:rPr>
        <w:t xml:space="preserve">Wykazano, że adalimumab zmniejsza częstość występowania progresji uszkodzenia stawów </w:t>
      </w:r>
      <w:r w:rsidR="0058075D" w:rsidRPr="008F328C">
        <w:rPr>
          <w:rFonts w:eastAsia="Times New Roman"/>
          <w:lang w:val="pl-PL" w:eastAsia="ko-KR"/>
        </w:rPr>
        <w:t xml:space="preserve">mierzone w </w:t>
      </w:r>
      <w:r w:rsidR="0058075D" w:rsidRPr="008F328C">
        <w:rPr>
          <w:rFonts w:eastAsia="Times New Roman"/>
          <w:lang w:val="pl-PL" w:eastAsia="ko-KR"/>
        </w:rPr>
        <w:lastRenderedPageBreak/>
        <w:t xml:space="preserve">badaniu rentgenowskim </w:t>
      </w:r>
      <w:r w:rsidRPr="008F328C">
        <w:rPr>
          <w:rFonts w:eastAsia="Times New Roman"/>
          <w:lang w:val="pl-PL" w:eastAsia="ko-KR"/>
        </w:rPr>
        <w:t xml:space="preserve">i </w:t>
      </w:r>
      <w:r w:rsidR="0058075D" w:rsidRPr="008F328C">
        <w:rPr>
          <w:rFonts w:eastAsia="Times New Roman"/>
          <w:lang w:val="pl-PL" w:eastAsia="ko-KR"/>
        </w:rPr>
        <w:t>poprawia sprawność fizyczną</w:t>
      </w:r>
      <w:r w:rsidRPr="008F328C">
        <w:rPr>
          <w:rFonts w:eastAsia="Times New Roman"/>
          <w:lang w:val="pl-PL" w:eastAsia="ko-KR"/>
        </w:rPr>
        <w:t>, gdy jest podawany w skojarzeniu z metotreksatem.</w:t>
      </w:r>
    </w:p>
    <w:p w14:paraId="580D6639" w14:textId="77777777" w:rsidR="002E5800" w:rsidRPr="008F328C" w:rsidRDefault="002E5800">
      <w:pPr>
        <w:pStyle w:val="a3"/>
        <w:rPr>
          <w:u w:color="000000"/>
          <w:lang w:val="pl-PL"/>
        </w:rPr>
      </w:pPr>
    </w:p>
    <w:p w14:paraId="15178090" w14:textId="77777777" w:rsidR="002E5800" w:rsidRPr="008F328C" w:rsidRDefault="000E0B7C">
      <w:pPr>
        <w:pStyle w:val="a3"/>
        <w:rPr>
          <w:u w:val="single" w:color="000000"/>
          <w:lang w:val="pl-PL"/>
        </w:rPr>
      </w:pPr>
      <w:r w:rsidRPr="008F328C">
        <w:rPr>
          <w:rFonts w:eastAsia="Times New Roman"/>
          <w:u w:val="single" w:color="000000"/>
          <w:lang w:val="pl-PL"/>
        </w:rPr>
        <w:t>Młodzieńcze idiopatyczne zapalenie stawów</w:t>
      </w:r>
    </w:p>
    <w:p w14:paraId="41ABBE59" w14:textId="77777777" w:rsidR="002E5800" w:rsidRPr="008F328C" w:rsidRDefault="002E5800">
      <w:pPr>
        <w:spacing w:line="180" w:lineRule="exact"/>
        <w:rPr>
          <w:rFonts w:ascii="Times New Roman" w:hAnsi="Times New Roman" w:cs="Times New Roman"/>
          <w:lang w:val="pl-PL"/>
        </w:rPr>
      </w:pPr>
    </w:p>
    <w:p w14:paraId="74B23259"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Wielostawowe młodzieńcze idiopatyczne zapalenie stawów</w:t>
      </w:r>
    </w:p>
    <w:p w14:paraId="73426E40" w14:textId="77777777" w:rsidR="002E5800" w:rsidRPr="008F328C" w:rsidRDefault="002E5800">
      <w:pPr>
        <w:spacing w:line="240" w:lineRule="exact"/>
        <w:rPr>
          <w:rFonts w:ascii="Times New Roman" w:hAnsi="Times New Roman" w:cs="Times New Roman"/>
          <w:lang w:val="pl-PL"/>
        </w:rPr>
      </w:pPr>
    </w:p>
    <w:p w14:paraId="568C7912" w14:textId="77777777" w:rsidR="002E5800" w:rsidRPr="008F328C" w:rsidRDefault="000E0B7C">
      <w:pPr>
        <w:pStyle w:val="a3"/>
        <w:rPr>
          <w:lang w:val="pl-PL"/>
        </w:rPr>
      </w:pPr>
      <w:r w:rsidRPr="008F328C">
        <w:rPr>
          <w:rFonts w:eastAsia="Times New Roman"/>
          <w:lang w:val="pl-PL"/>
        </w:rPr>
        <w:t xml:space="preserve">Produkt Yuflyma w skojarzeniu z metotreksatemjest wskazany w leczeniu czynnego wielostawowego młodzieńczego idiopatycznegozapalenia stawów, u pacjentów w wieku od 2 lat, gdy odpowiedź na jeden lub więcej leków modyfikujących przebieg choroby (ang. </w:t>
      </w:r>
      <w:r w:rsidRPr="008F328C">
        <w:rPr>
          <w:rFonts w:eastAsia="Times New Roman"/>
          <w:i/>
          <w:iCs/>
          <w:lang w:val="pl-PL"/>
        </w:rPr>
        <w:t>disease-modifying anti-rheumatic drugs</w:t>
      </w:r>
      <w:r w:rsidRPr="008F328C">
        <w:rPr>
          <w:rFonts w:eastAsia="Times New Roman"/>
          <w:lang w:val="pl-PL"/>
        </w:rPr>
        <w:t>, DMARDs) okazała się niewystarczająca. Produkt Yuflyma można stosować w monoterapii, jeśli metotreksat jest źle tolerowany lub gdy dalsze leczenie metotreksatem jest niewskazane (skuteczność stosowania w monoterapii, patrz punkt 5.1). Adalimumabu nie badano u pacjentów w wieku poniżej 2 lat.</w:t>
      </w:r>
    </w:p>
    <w:p w14:paraId="660D9010" w14:textId="77777777" w:rsidR="002E5800" w:rsidRPr="008F328C" w:rsidRDefault="002E5800">
      <w:pPr>
        <w:spacing w:line="240" w:lineRule="exact"/>
        <w:rPr>
          <w:rFonts w:ascii="Times New Roman" w:hAnsi="Times New Roman" w:cs="Times New Roman"/>
          <w:lang w:val="pl-PL"/>
        </w:rPr>
      </w:pPr>
    </w:p>
    <w:p w14:paraId="315C9E90"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lang w:val="pl-PL"/>
        </w:rPr>
        <w:t>Zapalenie stawów z towarzyszącym zapaleniem przyczepów ścięgnistych</w:t>
      </w:r>
    </w:p>
    <w:p w14:paraId="493BD19B" w14:textId="77777777" w:rsidR="002E5800" w:rsidRPr="008F328C" w:rsidRDefault="002E5800">
      <w:pPr>
        <w:spacing w:line="240" w:lineRule="exact"/>
        <w:rPr>
          <w:rFonts w:ascii="Times New Roman" w:hAnsi="Times New Roman" w:cs="Times New Roman"/>
          <w:lang w:val="pl-PL"/>
        </w:rPr>
      </w:pPr>
    </w:p>
    <w:p w14:paraId="16E4F23D" w14:textId="77777777" w:rsidR="002E5800" w:rsidRPr="008F328C" w:rsidRDefault="000E0B7C">
      <w:pPr>
        <w:pStyle w:val="a3"/>
        <w:rPr>
          <w:lang w:val="pl-PL"/>
        </w:rPr>
      </w:pPr>
      <w:r w:rsidRPr="008F328C">
        <w:rPr>
          <w:rFonts w:eastAsia="Times New Roman"/>
          <w:lang w:val="pl-PL"/>
        </w:rPr>
        <w:t>Produkt Yuflyma jest wskazany w leczeniu czynnej postaci zapalenia stawów z towarzyszącym zapaleniem przyczepów ścicgnistych u pacjentów w wieku 6 lat i starszych, którzy wykazali niewystarczającą odpowiedź na standardowe leczenie lub gdy nie było ono tolerowane (patrz punkt 5.1).</w:t>
      </w:r>
    </w:p>
    <w:p w14:paraId="682DDA36" w14:textId="77777777" w:rsidR="002E5800" w:rsidRPr="008F328C" w:rsidRDefault="002E5800">
      <w:pPr>
        <w:spacing w:line="240" w:lineRule="exact"/>
        <w:rPr>
          <w:rFonts w:ascii="Times New Roman" w:hAnsi="Times New Roman" w:cs="Times New Roman"/>
          <w:lang w:val="pl-PL"/>
        </w:rPr>
      </w:pPr>
    </w:p>
    <w:p w14:paraId="42193178" w14:textId="77777777" w:rsidR="002E5800" w:rsidRPr="008F328C" w:rsidRDefault="000E0B7C">
      <w:pPr>
        <w:pStyle w:val="a3"/>
        <w:rPr>
          <w:u w:val="single" w:color="000000"/>
          <w:lang w:val="pl-PL"/>
        </w:rPr>
      </w:pPr>
      <w:r w:rsidRPr="008F328C">
        <w:rPr>
          <w:rFonts w:eastAsia="Times New Roman"/>
          <w:u w:val="single" w:color="000000"/>
          <w:lang w:val="pl-PL"/>
        </w:rPr>
        <w:t>Osiowa spondyloartropatia</w:t>
      </w:r>
    </w:p>
    <w:p w14:paraId="5B8B98FE" w14:textId="77777777" w:rsidR="002E5800" w:rsidRPr="008F328C" w:rsidRDefault="002E5800">
      <w:pPr>
        <w:spacing w:line="180" w:lineRule="exact"/>
        <w:rPr>
          <w:rFonts w:ascii="Times New Roman" w:hAnsi="Times New Roman" w:cs="Times New Roman"/>
          <w:lang w:val="pl-PL"/>
        </w:rPr>
      </w:pPr>
    </w:p>
    <w:p w14:paraId="15791E4B"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Zesztywniające zapalenie stawów kręgosłupa (ZZSK)</w:t>
      </w:r>
    </w:p>
    <w:p w14:paraId="628BEACD" w14:textId="77777777" w:rsidR="002E5800" w:rsidRPr="008F328C" w:rsidRDefault="002E5800">
      <w:pPr>
        <w:spacing w:line="240" w:lineRule="exact"/>
        <w:rPr>
          <w:rFonts w:ascii="Times New Roman" w:hAnsi="Times New Roman" w:cs="Times New Roman"/>
          <w:lang w:val="pl-PL"/>
        </w:rPr>
      </w:pPr>
    </w:p>
    <w:p w14:paraId="2CBBA639" w14:textId="77777777" w:rsidR="002E5800" w:rsidRPr="008F328C" w:rsidRDefault="000E0B7C">
      <w:pPr>
        <w:pStyle w:val="a3"/>
        <w:rPr>
          <w:lang w:val="pl-PL"/>
        </w:rPr>
      </w:pPr>
      <w:r w:rsidRPr="008F328C">
        <w:rPr>
          <w:rFonts w:eastAsia="Times New Roman"/>
          <w:lang w:val="pl-PL"/>
        </w:rPr>
        <w:t>Produkt Yuflyma jest wskazany w leczeniu dorosłych z ciężkim czynnym zesztywniającym zapaleniem stawów kręgosłupa, gdy odpowiedź na standardowe leczenie jest niezadowalająca.</w:t>
      </w:r>
    </w:p>
    <w:p w14:paraId="35E493D4" w14:textId="77777777" w:rsidR="002E5800" w:rsidRPr="008F328C" w:rsidRDefault="002E5800">
      <w:pPr>
        <w:spacing w:line="240" w:lineRule="exact"/>
        <w:rPr>
          <w:rFonts w:ascii="Times New Roman" w:hAnsi="Times New Roman" w:cs="Times New Roman"/>
          <w:lang w:val="pl-PL"/>
        </w:rPr>
      </w:pPr>
    </w:p>
    <w:p w14:paraId="1D07EB8F"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Osiowa spondyloartropatia bez zmian radiograficznych charakterystycznych dla ZZSK</w:t>
      </w:r>
    </w:p>
    <w:p w14:paraId="53E4819F" w14:textId="77777777" w:rsidR="002E5800" w:rsidRPr="008F328C" w:rsidRDefault="002E5800">
      <w:pPr>
        <w:spacing w:line="240" w:lineRule="exact"/>
        <w:rPr>
          <w:rFonts w:ascii="Times New Roman" w:hAnsi="Times New Roman" w:cs="Times New Roman"/>
          <w:lang w:val="pl-PL"/>
        </w:rPr>
      </w:pPr>
    </w:p>
    <w:p w14:paraId="004DA534" w14:textId="77777777" w:rsidR="002E5800" w:rsidRPr="008F328C" w:rsidRDefault="000E0B7C">
      <w:pPr>
        <w:pStyle w:val="a3"/>
        <w:rPr>
          <w:lang w:val="pl-PL"/>
        </w:rPr>
      </w:pPr>
      <w:r w:rsidRPr="008F328C">
        <w:rPr>
          <w:rFonts w:eastAsia="Times New Roman"/>
          <w:lang w:val="pl-PL"/>
        </w:rPr>
        <w:t>Produkt Yuflyma jest wskazany w leczeniu dorosłych pacjentów z ciężką osiową spondyloartropatią bez zmian radiograficznych charakterystycznych dla ZZSK, ale z obiektywnymi objawami przedmiotowymi zapalenia w postaci zwiększonego stężenia białka C-reaktywnego lub potwierdzonymi badaniem metodą rezonansu magnetycznego, którzy wykazali niewystarczającą odpowiedź na niesteroidowe leki przeciwzapalne (NLPZ) lub ich</w:t>
      </w:r>
      <w:r w:rsidR="0058075D" w:rsidRPr="008F328C">
        <w:rPr>
          <w:rFonts w:eastAsia="Times New Roman"/>
          <w:lang w:val="pl-PL"/>
        </w:rPr>
        <w:t xml:space="preserve"> </w:t>
      </w:r>
      <w:r w:rsidRPr="008F328C">
        <w:rPr>
          <w:rFonts w:eastAsia="Times New Roman"/>
          <w:lang w:val="pl-PL"/>
        </w:rPr>
        <w:t>nie tolerują.</w:t>
      </w:r>
    </w:p>
    <w:p w14:paraId="3DC779B5" w14:textId="77777777" w:rsidR="002E5800" w:rsidRPr="008F328C" w:rsidRDefault="002E5800">
      <w:pPr>
        <w:spacing w:line="240" w:lineRule="exact"/>
        <w:rPr>
          <w:rFonts w:ascii="Times New Roman" w:hAnsi="Times New Roman" w:cs="Times New Roman"/>
          <w:lang w:val="pl-PL"/>
        </w:rPr>
      </w:pPr>
    </w:p>
    <w:p w14:paraId="2894E8FA" w14:textId="77777777" w:rsidR="002E5800" w:rsidRPr="008F328C" w:rsidRDefault="000E0B7C">
      <w:pPr>
        <w:pStyle w:val="a3"/>
        <w:rPr>
          <w:u w:val="single" w:color="000000"/>
          <w:lang w:val="pl-PL"/>
        </w:rPr>
      </w:pPr>
      <w:r w:rsidRPr="008F328C">
        <w:rPr>
          <w:rFonts w:eastAsia="Times New Roman"/>
          <w:u w:val="single" w:color="000000"/>
          <w:lang w:val="pl-PL"/>
        </w:rPr>
        <w:t>Łuszczycowe zapalenie stawów (ŁZS)</w:t>
      </w:r>
    </w:p>
    <w:p w14:paraId="73BA86F9" w14:textId="77777777" w:rsidR="002E5800" w:rsidRPr="008F328C" w:rsidRDefault="002E5800">
      <w:pPr>
        <w:spacing w:line="180" w:lineRule="exact"/>
        <w:rPr>
          <w:rFonts w:ascii="Times New Roman" w:hAnsi="Times New Roman" w:cs="Times New Roman"/>
          <w:lang w:val="pl-PL"/>
        </w:rPr>
      </w:pPr>
    </w:p>
    <w:p w14:paraId="55D8FB96" w14:textId="77777777" w:rsidR="002E5800" w:rsidRPr="008F328C" w:rsidRDefault="000E0B7C">
      <w:pPr>
        <w:pStyle w:val="a3"/>
        <w:rPr>
          <w:lang w:val="pl-PL"/>
        </w:rPr>
      </w:pPr>
      <w:r w:rsidRPr="008F328C">
        <w:rPr>
          <w:rFonts w:eastAsia="Times New Roman"/>
          <w:lang w:val="pl-PL"/>
        </w:rPr>
        <w:t>Produkt Yuflyma jest wskazany w leczeniu czynnego i postępującego łuszczycowego zapalenia stawów u dorosłych, gdy odpowiedź na uprzednio stosowane leki modyfikujące przebieg choroby, okazała się niewystarczająca.</w:t>
      </w:r>
    </w:p>
    <w:p w14:paraId="00389086" w14:textId="77777777" w:rsidR="002E5800" w:rsidRPr="008F328C" w:rsidRDefault="002E5800">
      <w:pPr>
        <w:pStyle w:val="a3"/>
        <w:rPr>
          <w:lang w:val="pl-PL"/>
        </w:rPr>
      </w:pPr>
    </w:p>
    <w:p w14:paraId="2929FA42" w14:textId="6538CD7D" w:rsidR="002E5800" w:rsidRPr="008F328C" w:rsidRDefault="000E0B7C">
      <w:pPr>
        <w:pStyle w:val="a3"/>
        <w:rPr>
          <w:rFonts w:eastAsia="Times New Roman"/>
          <w:lang w:val="pl-PL"/>
        </w:rPr>
      </w:pPr>
      <w:r w:rsidRPr="008F328C">
        <w:rPr>
          <w:rFonts w:eastAsia="Times New Roman"/>
          <w:lang w:val="pl-PL"/>
        </w:rPr>
        <w:t>Wykazano, że adalimumab zmniejsza</w:t>
      </w:r>
      <w:r w:rsidR="009907FF" w:rsidRPr="008F328C">
        <w:rPr>
          <w:rFonts w:eastAsia="Times New Roman"/>
          <w:lang w:val="pl-PL"/>
        </w:rPr>
        <w:t xml:space="preserve"> </w:t>
      </w:r>
      <w:r w:rsidRPr="008F328C">
        <w:rPr>
          <w:rFonts w:eastAsia="Times New Roman"/>
          <w:lang w:val="pl-PL"/>
        </w:rPr>
        <w:t>szybkość postępu uszkodzenia stawów</w:t>
      </w:r>
      <w:r w:rsidR="009907FF" w:rsidRPr="008F328C">
        <w:rPr>
          <w:rFonts w:eastAsia="Times New Roman"/>
          <w:lang w:val="pl-PL"/>
        </w:rPr>
        <w:t xml:space="preserve"> </w:t>
      </w:r>
      <w:r w:rsidRPr="008F328C">
        <w:rPr>
          <w:rFonts w:eastAsia="Times New Roman"/>
          <w:lang w:val="pl-PL"/>
        </w:rPr>
        <w:t>obwodowych mierzoną radiologicznie u pacjentów z wielostawowymi symetrycznymi</w:t>
      </w:r>
      <w:r w:rsidR="009907FF" w:rsidRPr="008F328C">
        <w:rPr>
          <w:rFonts w:eastAsia="Times New Roman"/>
          <w:lang w:val="pl-PL"/>
        </w:rPr>
        <w:t xml:space="preserve"> </w:t>
      </w:r>
      <w:r w:rsidRPr="008F328C">
        <w:rPr>
          <w:rFonts w:eastAsia="Times New Roman"/>
          <w:lang w:val="pl-PL"/>
        </w:rPr>
        <w:t xml:space="preserve">podtypami choroby (patrz punkt 5.1) oraz powoduje poprawę </w:t>
      </w:r>
      <w:r w:rsidR="009907FF" w:rsidRPr="008F328C">
        <w:rPr>
          <w:rFonts w:eastAsia="Times New Roman"/>
          <w:lang w:val="pl-PL"/>
        </w:rPr>
        <w:t>sprawności fizycznej</w:t>
      </w:r>
      <w:r w:rsidRPr="008F328C">
        <w:rPr>
          <w:rFonts w:eastAsia="Times New Roman"/>
          <w:lang w:val="pl-PL"/>
        </w:rPr>
        <w:t>.</w:t>
      </w:r>
    </w:p>
    <w:p w14:paraId="4A727EBB" w14:textId="77777777" w:rsidR="002E5800" w:rsidRPr="008F328C" w:rsidRDefault="002E5800">
      <w:pPr>
        <w:spacing w:line="240" w:lineRule="exact"/>
        <w:rPr>
          <w:rFonts w:ascii="Times New Roman" w:hAnsi="Times New Roman" w:cs="Times New Roman"/>
          <w:lang w:val="pl-PL"/>
        </w:rPr>
      </w:pPr>
    </w:p>
    <w:p w14:paraId="2574B416" w14:textId="77777777" w:rsidR="002E5800" w:rsidRPr="008F328C" w:rsidRDefault="000E0B7C">
      <w:pPr>
        <w:pStyle w:val="a3"/>
        <w:rPr>
          <w:u w:val="single"/>
          <w:lang w:val="pl-PL"/>
        </w:rPr>
      </w:pPr>
      <w:r w:rsidRPr="008F328C">
        <w:rPr>
          <w:rFonts w:eastAsia="Times New Roman"/>
          <w:u w:val="single" w:color="000000"/>
          <w:lang w:val="pl-PL"/>
        </w:rPr>
        <w:t>Łuszczyca</w:t>
      </w:r>
    </w:p>
    <w:p w14:paraId="092D75E7" w14:textId="77777777" w:rsidR="002E5800" w:rsidRPr="008F328C" w:rsidRDefault="002E5800">
      <w:pPr>
        <w:spacing w:line="180" w:lineRule="exact"/>
        <w:rPr>
          <w:rFonts w:ascii="Times New Roman" w:hAnsi="Times New Roman" w:cs="Times New Roman"/>
          <w:lang w:val="pl-PL"/>
        </w:rPr>
      </w:pPr>
    </w:p>
    <w:p w14:paraId="3010E474" w14:textId="77777777" w:rsidR="002E5800" w:rsidRPr="008F328C" w:rsidRDefault="000E0B7C">
      <w:pPr>
        <w:pStyle w:val="a3"/>
        <w:rPr>
          <w:lang w:val="pl-PL"/>
        </w:rPr>
      </w:pPr>
      <w:r w:rsidRPr="008F328C">
        <w:rPr>
          <w:rFonts w:eastAsia="Times New Roman"/>
          <w:lang w:val="pl-PL"/>
        </w:rPr>
        <w:t>Produkt Yuflyma jest wskazany w leczeniu umiarkowanej do ciężkiej przewlekłej łuszczycy plackowatej u osób dorosłych, które kwalifikują się do leczenia ogólnego.</w:t>
      </w:r>
    </w:p>
    <w:p w14:paraId="1318FF33" w14:textId="77777777" w:rsidR="002E5800" w:rsidRPr="008F328C" w:rsidRDefault="002E5800">
      <w:pPr>
        <w:spacing w:line="240" w:lineRule="exact"/>
        <w:rPr>
          <w:rFonts w:ascii="Times New Roman" w:hAnsi="Times New Roman" w:cs="Times New Roman"/>
          <w:lang w:val="pl-PL"/>
        </w:rPr>
      </w:pPr>
    </w:p>
    <w:p w14:paraId="4102FED3" w14:textId="77777777" w:rsidR="002E5800" w:rsidRPr="008F328C" w:rsidRDefault="000E0B7C">
      <w:pPr>
        <w:pStyle w:val="a3"/>
        <w:rPr>
          <w:u w:val="single"/>
          <w:lang w:val="pl-PL"/>
        </w:rPr>
      </w:pPr>
      <w:r w:rsidRPr="008F328C">
        <w:rPr>
          <w:rFonts w:eastAsia="Times New Roman"/>
          <w:u w:val="single" w:color="000000"/>
          <w:lang w:val="pl-PL"/>
        </w:rPr>
        <w:t>Łuszczyca zwyczajna (plackowata) u dzieci i młodzieży</w:t>
      </w:r>
    </w:p>
    <w:p w14:paraId="2AF6C071" w14:textId="77777777" w:rsidR="002E5800" w:rsidRPr="008F328C" w:rsidRDefault="002E5800">
      <w:pPr>
        <w:spacing w:line="180" w:lineRule="exact"/>
        <w:rPr>
          <w:rFonts w:ascii="Times New Roman" w:hAnsi="Times New Roman" w:cs="Times New Roman"/>
          <w:lang w:val="pl-PL"/>
        </w:rPr>
      </w:pPr>
    </w:p>
    <w:p w14:paraId="57417615" w14:textId="77777777" w:rsidR="002E5800" w:rsidRPr="008F328C" w:rsidRDefault="000E0B7C">
      <w:pPr>
        <w:pStyle w:val="a3"/>
        <w:rPr>
          <w:lang w:val="pl-PL"/>
        </w:rPr>
      </w:pPr>
      <w:r w:rsidRPr="008F328C">
        <w:rPr>
          <w:rFonts w:eastAsia="Times New Roman"/>
          <w:lang w:val="pl-PL"/>
        </w:rPr>
        <w:t>Produkt Yuflyma jest wskazany w leczeniu ciężkiej przewlekłej łuszczycy zwyczajnej (plackowatej) u dzieci i młodzieży w wieku od 4 lat, które wykazały niewystarczającą odpowiedź na leczenie miejscowe i fototerapie lub nie kwalifikują się do takiego leczenia.</w:t>
      </w:r>
    </w:p>
    <w:p w14:paraId="055BE4F7" w14:textId="77777777" w:rsidR="002E5800" w:rsidRPr="008F328C" w:rsidRDefault="002E5800">
      <w:pPr>
        <w:spacing w:line="240" w:lineRule="exact"/>
        <w:rPr>
          <w:rFonts w:ascii="Times New Roman" w:hAnsi="Times New Roman" w:cs="Times New Roman"/>
          <w:lang w:val="pl-PL"/>
        </w:rPr>
      </w:pPr>
    </w:p>
    <w:p w14:paraId="316B8956" w14:textId="4F303104" w:rsidR="002E5800" w:rsidRPr="008F328C" w:rsidRDefault="000E0B7C">
      <w:pPr>
        <w:pStyle w:val="a3"/>
        <w:rPr>
          <w:u w:val="single"/>
          <w:lang w:val="pl-PL"/>
        </w:rPr>
      </w:pPr>
      <w:r w:rsidRPr="008F328C">
        <w:rPr>
          <w:rFonts w:eastAsia="Times New Roman"/>
          <w:u w:val="single" w:color="000000"/>
          <w:lang w:val="pl-PL"/>
        </w:rPr>
        <w:t xml:space="preserve">Ropne zapalenie apokrynowych gruczołów potowych (Hidradenitis </w:t>
      </w:r>
      <w:r w:rsidR="009907FF" w:rsidRPr="008F328C">
        <w:rPr>
          <w:rFonts w:eastAsia="Times New Roman"/>
          <w:u w:val="single" w:color="000000"/>
          <w:lang w:val="pl-PL"/>
        </w:rPr>
        <w:t>suppurativa</w:t>
      </w:r>
      <w:r w:rsidRPr="008F328C">
        <w:rPr>
          <w:rFonts w:eastAsia="Times New Roman"/>
          <w:u w:val="single" w:color="000000"/>
          <w:lang w:val="pl-PL"/>
        </w:rPr>
        <w:t>, HS)</w:t>
      </w:r>
    </w:p>
    <w:p w14:paraId="0580652A" w14:textId="77777777" w:rsidR="002E5800" w:rsidRPr="008F328C" w:rsidRDefault="002E5800">
      <w:pPr>
        <w:spacing w:line="180" w:lineRule="exact"/>
        <w:rPr>
          <w:rFonts w:ascii="Times New Roman" w:hAnsi="Times New Roman" w:cs="Times New Roman"/>
          <w:lang w:val="pl-PL"/>
        </w:rPr>
      </w:pPr>
    </w:p>
    <w:p w14:paraId="29B5A339" w14:textId="77777777" w:rsidR="002E5800" w:rsidRPr="008F328C" w:rsidRDefault="000E0B7C">
      <w:pPr>
        <w:pStyle w:val="a3"/>
        <w:rPr>
          <w:lang w:val="pl-PL"/>
        </w:rPr>
      </w:pPr>
      <w:r w:rsidRPr="008F328C">
        <w:rPr>
          <w:rFonts w:eastAsia="Times New Roman"/>
          <w:lang w:val="pl-PL"/>
        </w:rPr>
        <w:t>Produkt Yuflyma jest wskazany w leczeniu czynnego ropnego zapalenia apokrynowych gruczołów potowych (trądzik odwrócony, acne inversa) o nasileniu umiarkowanym do ciężkiego u młodzieży w wieku od 12 lat z niewystarczającą odpowiedzią na konwencjonalne leczenie układowe HS (patrz punkty 5.1 i 5.2).</w:t>
      </w:r>
    </w:p>
    <w:p w14:paraId="38438691" w14:textId="77777777" w:rsidR="002E5800" w:rsidRPr="008F328C" w:rsidRDefault="002E5800">
      <w:pPr>
        <w:pStyle w:val="a3"/>
        <w:rPr>
          <w:u w:color="000000"/>
          <w:lang w:val="pl-PL"/>
        </w:rPr>
      </w:pPr>
    </w:p>
    <w:p w14:paraId="118E3FBF" w14:textId="77777777" w:rsidR="002E5800" w:rsidRPr="008F328C" w:rsidRDefault="000E0B7C">
      <w:pPr>
        <w:pStyle w:val="a3"/>
        <w:rPr>
          <w:u w:val="single"/>
          <w:lang w:val="pl-PL"/>
        </w:rPr>
      </w:pPr>
      <w:r w:rsidRPr="008F328C">
        <w:rPr>
          <w:rFonts w:eastAsia="Times New Roman"/>
          <w:u w:val="single" w:color="000000"/>
          <w:lang w:val="pl-PL"/>
        </w:rPr>
        <w:t>Choroba Leśniowskiego-Crohna</w:t>
      </w:r>
    </w:p>
    <w:p w14:paraId="1930386A" w14:textId="77777777" w:rsidR="002E5800" w:rsidRPr="008F328C" w:rsidRDefault="002E5800">
      <w:pPr>
        <w:spacing w:line="180" w:lineRule="exact"/>
        <w:rPr>
          <w:rFonts w:ascii="Times New Roman" w:hAnsi="Times New Roman" w:cs="Times New Roman"/>
          <w:lang w:val="pl-PL"/>
        </w:rPr>
      </w:pPr>
    </w:p>
    <w:p w14:paraId="69F0EC8F" w14:textId="3E74EA64" w:rsidR="002E5800" w:rsidRPr="008F328C" w:rsidRDefault="000E0B7C">
      <w:pPr>
        <w:pStyle w:val="a3"/>
        <w:rPr>
          <w:lang w:val="pl-PL"/>
        </w:rPr>
      </w:pPr>
      <w:r w:rsidRPr="008F328C">
        <w:rPr>
          <w:rFonts w:eastAsia="Times New Roman"/>
          <w:lang w:val="pl-PL"/>
        </w:rPr>
        <w:t>Yuflyma jest wskazany w leczeniu umiarkowanej lub ciężkiej czynnej postaci choroby Leśniowskiego-Crohna u dorosłych pacjentów, którzy wykazali niewystarczającą odpowiedź na leczenie pomimo otrzymania pełnego i odpowiedniego cyklu leczenia lek</w:t>
      </w:r>
      <w:r w:rsidR="006A7391" w:rsidRPr="008F328C">
        <w:rPr>
          <w:rFonts w:eastAsia="Times New Roman"/>
          <w:lang w:val="pl-PL"/>
        </w:rPr>
        <w:t>ami</w:t>
      </w:r>
      <w:r w:rsidRPr="008F328C">
        <w:rPr>
          <w:rFonts w:eastAsia="Times New Roman"/>
          <w:lang w:val="pl-PL"/>
        </w:rPr>
        <w:t xml:space="preserve"> z grupy kortykosteroidów i (lub) lekiem immunomodulującym, lub u których występowała nietolerancja lub przeciwwskazania do stosowania takich rodzajów leczenia.</w:t>
      </w:r>
    </w:p>
    <w:p w14:paraId="5AB010AD" w14:textId="77777777" w:rsidR="002E5800" w:rsidRPr="008F328C" w:rsidRDefault="002E5800">
      <w:pPr>
        <w:spacing w:line="240" w:lineRule="exact"/>
        <w:rPr>
          <w:rFonts w:ascii="Times New Roman" w:hAnsi="Times New Roman" w:cs="Times New Roman"/>
          <w:lang w:val="pl-PL"/>
        </w:rPr>
      </w:pPr>
    </w:p>
    <w:p w14:paraId="2F7C97D0" w14:textId="77777777" w:rsidR="002E5800" w:rsidRPr="008F328C" w:rsidRDefault="000E0B7C">
      <w:pPr>
        <w:pStyle w:val="a3"/>
        <w:rPr>
          <w:u w:val="single"/>
          <w:lang w:val="pl-PL"/>
        </w:rPr>
      </w:pPr>
      <w:r w:rsidRPr="008F328C">
        <w:rPr>
          <w:rFonts w:eastAsia="Times New Roman"/>
          <w:u w:val="single" w:color="000000"/>
          <w:lang w:val="pl-PL"/>
        </w:rPr>
        <w:t>Choroba Leśniowskiego-Crohna u dzieci i młodzieży</w:t>
      </w:r>
    </w:p>
    <w:p w14:paraId="59D8CDAB" w14:textId="77777777" w:rsidR="002E5800" w:rsidRPr="008F328C" w:rsidRDefault="002E5800">
      <w:pPr>
        <w:spacing w:line="170" w:lineRule="exact"/>
        <w:rPr>
          <w:rFonts w:ascii="Times New Roman" w:hAnsi="Times New Roman" w:cs="Times New Roman"/>
          <w:lang w:val="pl-PL"/>
        </w:rPr>
      </w:pPr>
    </w:p>
    <w:p w14:paraId="6D57016B" w14:textId="77777777" w:rsidR="002E5800" w:rsidRPr="008F328C" w:rsidRDefault="000E0B7C">
      <w:pPr>
        <w:pStyle w:val="a3"/>
        <w:rPr>
          <w:lang w:val="pl-PL"/>
        </w:rPr>
      </w:pPr>
      <w:r w:rsidRPr="008F328C">
        <w:rPr>
          <w:rFonts w:eastAsia="Times New Roman"/>
          <w:lang w:val="pl-PL"/>
        </w:rPr>
        <w:t>Produkt Yuflyma jest wskazany w leczeniu umiarkowanej do ciężkiej, czynnej postaci choroby Leśniowskiego-Crohna u dzieci i młodzieży (w wieku od 6 lat), które wykazały niewystarczającą odpowiedź na standardowe leczenie, w tym leczenie żywieniowe jako terapię pierwotną i lek z grupy kortykosteroidów i (lub) lek immunomodulujący, lub u których występowała nietolerancja lub przeciwwskazania do stosowania takich rodzajów leczenia.</w:t>
      </w:r>
    </w:p>
    <w:p w14:paraId="3DDE6014" w14:textId="77777777" w:rsidR="002E5800" w:rsidRPr="008F328C" w:rsidRDefault="002E5800">
      <w:pPr>
        <w:spacing w:line="240" w:lineRule="exact"/>
        <w:rPr>
          <w:rFonts w:ascii="Times New Roman" w:hAnsi="Times New Roman" w:cs="Times New Roman"/>
          <w:lang w:val="pl-PL"/>
        </w:rPr>
      </w:pPr>
    </w:p>
    <w:p w14:paraId="1718C2FF" w14:textId="77777777" w:rsidR="002E5800" w:rsidRPr="008F328C" w:rsidRDefault="000E0B7C">
      <w:pPr>
        <w:pStyle w:val="a3"/>
        <w:rPr>
          <w:u w:val="single"/>
          <w:lang w:val="pl-PL"/>
        </w:rPr>
      </w:pPr>
      <w:r w:rsidRPr="008F328C">
        <w:rPr>
          <w:rFonts w:eastAsia="Times New Roman"/>
          <w:u w:val="single" w:color="000000"/>
          <w:lang w:val="pl-PL"/>
        </w:rPr>
        <w:t>Wrzodziejące zapalenie jelita grubego (WZJG)</w:t>
      </w:r>
    </w:p>
    <w:p w14:paraId="2BFD8169" w14:textId="77777777" w:rsidR="002E5800" w:rsidRPr="008F328C" w:rsidRDefault="002E5800">
      <w:pPr>
        <w:spacing w:line="180" w:lineRule="exact"/>
        <w:rPr>
          <w:rFonts w:ascii="Times New Roman" w:hAnsi="Times New Roman" w:cs="Times New Roman"/>
          <w:lang w:val="pl-PL"/>
        </w:rPr>
      </w:pPr>
    </w:p>
    <w:p w14:paraId="11CC5774" w14:textId="07D20C2A" w:rsidR="002E5800" w:rsidRPr="008F328C" w:rsidRDefault="000E0B7C">
      <w:pPr>
        <w:pStyle w:val="a3"/>
        <w:rPr>
          <w:rFonts w:eastAsia="Times New Roman"/>
          <w:lang w:val="pl-PL"/>
        </w:rPr>
      </w:pPr>
      <w:r w:rsidRPr="008F328C">
        <w:rPr>
          <w:rFonts w:eastAsia="Times New Roman"/>
          <w:lang w:val="pl-PL"/>
        </w:rPr>
        <w:t>Produkt Yuflyma jest wskazany w leczeniu umiarkowanego do ciężkiego czynnego wrzodziejącego zapalenia jelita grubego u dorosłych pacjentów, którzy nie wykazali wystarczającej odpowiedzi na standardowe leczenie, w tym</w:t>
      </w:r>
      <w:r w:rsidR="0085187D" w:rsidRPr="008F328C">
        <w:rPr>
          <w:rFonts w:eastAsia="Times New Roman"/>
          <w:lang w:val="pl-PL"/>
        </w:rPr>
        <w:t xml:space="preserve"> </w:t>
      </w:r>
      <w:r w:rsidRPr="008F328C">
        <w:rPr>
          <w:rFonts w:eastAsia="Times New Roman"/>
          <w:lang w:val="pl-PL"/>
        </w:rPr>
        <w:t>kortykosteroidy i 6-merkaptopurynę (6-MP) lub azatioprynę (AZA), lub wtedy gdy nie</w:t>
      </w:r>
      <w:r w:rsidR="006A7391" w:rsidRPr="008F328C">
        <w:rPr>
          <w:rFonts w:eastAsia="Times New Roman"/>
          <w:lang w:val="pl-PL"/>
        </w:rPr>
        <w:t xml:space="preserve"> </w:t>
      </w:r>
      <w:r w:rsidRPr="008F328C">
        <w:rPr>
          <w:rFonts w:eastAsia="Times New Roman"/>
          <w:lang w:val="pl-PL"/>
        </w:rPr>
        <w:t>tolerują takiego leczenia lub jest ono przeciwwskazane ze względów medycznych.</w:t>
      </w:r>
    </w:p>
    <w:p w14:paraId="3A95F863" w14:textId="77777777" w:rsidR="00A02771" w:rsidRPr="008F328C" w:rsidRDefault="00A02771">
      <w:pPr>
        <w:spacing w:line="240" w:lineRule="exact"/>
        <w:rPr>
          <w:rFonts w:ascii="Times New Roman" w:hAnsi="Times New Roman" w:cs="Times New Roman"/>
          <w:lang w:val="pl-PL"/>
        </w:rPr>
      </w:pPr>
    </w:p>
    <w:p w14:paraId="1D093B6E" w14:textId="77777777" w:rsidR="00A02771" w:rsidRPr="008F328C" w:rsidRDefault="00A02771" w:rsidP="00A02771">
      <w:pPr>
        <w:rPr>
          <w:rFonts w:ascii="Times New Roman" w:hAnsi="Times New Roman" w:cs="Times New Roman"/>
          <w:u w:val="single"/>
          <w:lang w:val="pl-PL"/>
        </w:rPr>
      </w:pPr>
      <w:r w:rsidRPr="008F328C">
        <w:rPr>
          <w:rFonts w:ascii="Times New Roman" w:hAnsi="Times New Roman" w:cs="Times New Roman"/>
          <w:u w:val="single"/>
          <w:lang w:val="pl-PL"/>
        </w:rPr>
        <w:t>Wrzodziejące zapalenie jelita grubego u dzieci i młodzieży</w:t>
      </w:r>
    </w:p>
    <w:p w14:paraId="06399C1E" w14:textId="77777777" w:rsidR="00A02771" w:rsidRPr="008F328C" w:rsidRDefault="00A02771" w:rsidP="00A02771">
      <w:pPr>
        <w:rPr>
          <w:rFonts w:ascii="Times New Roman" w:hAnsi="Times New Roman" w:cs="Times New Roman"/>
          <w:u w:val="single"/>
          <w:lang w:val="pl-PL"/>
        </w:rPr>
      </w:pPr>
    </w:p>
    <w:p w14:paraId="6B26E45E" w14:textId="6C2AAFF6" w:rsidR="00A02771" w:rsidRPr="008F328C" w:rsidRDefault="00A02771" w:rsidP="00A02771">
      <w:pPr>
        <w:rPr>
          <w:rFonts w:ascii="Times New Roman" w:hAnsi="Times New Roman" w:cs="Times New Roman"/>
          <w:lang w:val="pl-PL"/>
        </w:rPr>
      </w:pPr>
      <w:r w:rsidRPr="008F328C">
        <w:rPr>
          <w:rFonts w:ascii="Times New Roman" w:hAnsi="Times New Roman" w:cs="Times New Roman"/>
          <w:lang w:val="pl-PL"/>
        </w:rPr>
        <w:t xml:space="preserve">Produkt </w:t>
      </w:r>
      <w:r w:rsidRPr="008F328C">
        <w:rPr>
          <w:rFonts w:ascii="Times New Roman" w:eastAsia="Times New Roman" w:hAnsi="Times New Roman" w:cs="Times New Roman"/>
          <w:lang w:val="pl-PL"/>
        </w:rPr>
        <w:t xml:space="preserve">Yuflyma </w:t>
      </w:r>
      <w:r w:rsidRPr="008F328C">
        <w:rPr>
          <w:rFonts w:ascii="Times New Roman" w:hAnsi="Times New Roman" w:cs="Times New Roman"/>
          <w:lang w:val="pl-PL"/>
        </w:rPr>
        <w:t>jest wskazany w leczeniu umiarkowanego do ciężkiego czynnego wrzodziejącego zapalenia jelita grubego u dzieci i młodzieży (w wieku od 6 lat), które wykazały niewystarczającą odpowiedź na standardowe leczenie, w tym kortykosteroidy i (lub) 6-merkaptopurynę (6-MP) lub azatioprynę (AZA), lub wtedy gdy nie tolerują takiego rodzaju leczenia lub jest ono przeciwwskazane ze względów medycznych.</w:t>
      </w:r>
    </w:p>
    <w:p w14:paraId="16E64451" w14:textId="77777777" w:rsidR="00A02771" w:rsidRPr="008F328C" w:rsidRDefault="00A02771">
      <w:pPr>
        <w:spacing w:line="240" w:lineRule="exact"/>
        <w:rPr>
          <w:rFonts w:ascii="Times New Roman" w:hAnsi="Times New Roman" w:cs="Times New Roman"/>
          <w:lang w:val="pl-PL"/>
        </w:rPr>
      </w:pPr>
    </w:p>
    <w:p w14:paraId="295D2046" w14:textId="77777777" w:rsidR="002E5800" w:rsidRPr="008F328C" w:rsidRDefault="000E0B7C">
      <w:pPr>
        <w:pStyle w:val="a3"/>
        <w:rPr>
          <w:u w:val="single"/>
          <w:lang w:val="pl-PL"/>
        </w:rPr>
      </w:pPr>
      <w:r w:rsidRPr="008F328C">
        <w:rPr>
          <w:rFonts w:eastAsia="Times New Roman"/>
          <w:u w:val="single" w:color="000000"/>
          <w:lang w:val="pl-PL"/>
        </w:rPr>
        <w:t>Zapalenie błony naczyniowej oka</w:t>
      </w:r>
    </w:p>
    <w:p w14:paraId="74ABDB78" w14:textId="77777777" w:rsidR="002E5800" w:rsidRPr="008F328C" w:rsidRDefault="002E5800">
      <w:pPr>
        <w:spacing w:line="180" w:lineRule="exact"/>
        <w:rPr>
          <w:rFonts w:ascii="Times New Roman" w:hAnsi="Times New Roman" w:cs="Times New Roman"/>
          <w:lang w:val="pl-PL"/>
        </w:rPr>
      </w:pPr>
    </w:p>
    <w:p w14:paraId="000F73B9" w14:textId="77777777" w:rsidR="002E5800" w:rsidRPr="008F328C" w:rsidRDefault="000E0B7C">
      <w:pPr>
        <w:pStyle w:val="a3"/>
        <w:rPr>
          <w:lang w:val="pl-PL"/>
        </w:rPr>
      </w:pPr>
      <w:r w:rsidRPr="008F328C">
        <w:rPr>
          <w:rFonts w:eastAsia="Times New Roman"/>
          <w:lang w:val="pl-PL"/>
        </w:rPr>
        <w:t>Produkt Yuflyma jest wskazany w leczeniu nieinfekcyjnego zapalenia błony naczyniowej oka części pośredniej, odcinka tylnego i całej błony naczyniowej u dorosłych pacjentów z niewystarczającą odpowiedzią na leczenie kortykosteroidami, u pacjentów u których konieczne jest zmniejszenie dawki kortykosteroidów lub leczenie kortykosteroidami jest niewłaściwe.</w:t>
      </w:r>
    </w:p>
    <w:p w14:paraId="6BD72DB0" w14:textId="77777777" w:rsidR="002E5800" w:rsidRPr="008F328C" w:rsidRDefault="002E5800">
      <w:pPr>
        <w:spacing w:line="240" w:lineRule="exact"/>
        <w:rPr>
          <w:rFonts w:ascii="Times New Roman" w:hAnsi="Times New Roman" w:cs="Times New Roman"/>
          <w:lang w:val="pl-PL"/>
        </w:rPr>
      </w:pPr>
    </w:p>
    <w:p w14:paraId="39009C98" w14:textId="20296AD8" w:rsidR="002E5800" w:rsidRPr="008F328C" w:rsidRDefault="000E0B7C">
      <w:pPr>
        <w:pStyle w:val="a3"/>
        <w:rPr>
          <w:u w:val="single"/>
          <w:lang w:val="pl-PL"/>
        </w:rPr>
      </w:pPr>
      <w:r w:rsidRPr="008F328C">
        <w:rPr>
          <w:rFonts w:eastAsia="Times New Roman"/>
          <w:u w:val="single" w:color="000000"/>
          <w:lang w:val="pl-PL"/>
        </w:rPr>
        <w:t xml:space="preserve">Zapalenie błony naczyniowej oka u dzieci i młodzieży </w:t>
      </w:r>
    </w:p>
    <w:p w14:paraId="67844ACF" w14:textId="77777777" w:rsidR="002E5800" w:rsidRPr="008F328C" w:rsidRDefault="002E5800">
      <w:pPr>
        <w:spacing w:line="180" w:lineRule="exact"/>
        <w:rPr>
          <w:rFonts w:ascii="Times New Roman" w:hAnsi="Times New Roman" w:cs="Times New Roman"/>
          <w:lang w:val="pl-PL"/>
        </w:rPr>
      </w:pPr>
    </w:p>
    <w:p w14:paraId="5936CE00" w14:textId="77777777" w:rsidR="002E5800" w:rsidRPr="008F328C" w:rsidRDefault="000E0B7C">
      <w:pPr>
        <w:pStyle w:val="a3"/>
        <w:rPr>
          <w:lang w:val="pl-PL"/>
        </w:rPr>
      </w:pPr>
      <w:r w:rsidRPr="008F328C">
        <w:rPr>
          <w:rFonts w:eastAsia="Times New Roman"/>
          <w:lang w:val="pl-PL"/>
        </w:rPr>
        <w:t>Produkt Yuflyma jest wskazany w leczeniu przewlekłego nieinfekcyjnego zapalenia przedniego odcinka błony naczyniowej oka u pacjentów w wieku od 2 lat, którzy wykazywali niewystarczającą odpowiedź na standardowe leczenie lub gdy jest ono nietolerowane lub, u których leczenie konwencjonalne jest niewłaściwe.</w:t>
      </w:r>
    </w:p>
    <w:p w14:paraId="2689B7EF" w14:textId="77777777" w:rsidR="002E5800" w:rsidRPr="008F328C" w:rsidRDefault="002E5800">
      <w:pPr>
        <w:spacing w:before="15" w:line="240" w:lineRule="exact"/>
        <w:rPr>
          <w:rFonts w:ascii="Times New Roman" w:hAnsi="Times New Roman" w:cs="Times New Roman"/>
          <w:lang w:val="pl-PL"/>
        </w:rPr>
      </w:pPr>
    </w:p>
    <w:p w14:paraId="0C620ED0"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Dawkowanie i sposób podawania</w:t>
      </w:r>
    </w:p>
    <w:p w14:paraId="28DF03E0" w14:textId="77777777" w:rsidR="002E5800" w:rsidRPr="008F328C" w:rsidRDefault="002E5800">
      <w:pPr>
        <w:spacing w:before="9" w:line="240" w:lineRule="exact"/>
        <w:rPr>
          <w:rFonts w:ascii="Times New Roman" w:hAnsi="Times New Roman" w:cs="Times New Roman"/>
          <w:lang w:val="pl-PL"/>
        </w:rPr>
      </w:pPr>
    </w:p>
    <w:p w14:paraId="4E3BDCF1" w14:textId="6C2DE684" w:rsidR="002E5800" w:rsidRPr="008F328C" w:rsidRDefault="000E0B7C">
      <w:pPr>
        <w:pStyle w:val="a3"/>
        <w:rPr>
          <w:rFonts w:eastAsia="Times New Roman"/>
          <w:lang w:val="pl-PL"/>
        </w:rPr>
      </w:pPr>
      <w:r w:rsidRPr="008F328C">
        <w:rPr>
          <w:rFonts w:eastAsia="Times New Roman"/>
          <w:lang w:val="pl-PL"/>
        </w:rPr>
        <w:lastRenderedPageBreak/>
        <w:t>Leczenie produktem Yuflyma powinni rozpoczynać i nadzorować lekarze specjaliści posiadający doświadczenie</w:t>
      </w:r>
      <w:r w:rsidR="00665359" w:rsidRPr="008F328C">
        <w:rPr>
          <w:rFonts w:eastAsia="Times New Roman"/>
          <w:lang w:val="pl-PL"/>
        </w:rPr>
        <w:t xml:space="preserve"> </w:t>
      </w:r>
      <w:r w:rsidRPr="008F328C">
        <w:rPr>
          <w:rFonts w:eastAsia="Times New Roman"/>
          <w:lang w:val="pl-PL"/>
        </w:rPr>
        <w:t>w rozpoznawaniu i leczeniu chorób, w których produkt Yuflyma jest wskazany. Zaleca się lekarzom okulistom, aby przed rozpoczęciem leczenia produktem Yuflyma skonsultowali się z odpowiednim lekarzem specjalistą (patrz punkt 4.4). Pacjenci leczeni produktem Yuflyma powinni</w:t>
      </w:r>
      <w:r w:rsidR="006A7391" w:rsidRPr="008F328C">
        <w:rPr>
          <w:rFonts w:eastAsia="Times New Roman"/>
          <w:lang w:val="pl-PL"/>
        </w:rPr>
        <w:t xml:space="preserve"> </w:t>
      </w:r>
      <w:r w:rsidRPr="008F328C">
        <w:rPr>
          <w:rFonts w:eastAsia="Times New Roman"/>
          <w:lang w:val="pl-PL"/>
        </w:rPr>
        <w:t xml:space="preserve">otrzymać „Kartę </w:t>
      </w:r>
      <w:r w:rsidR="00665359" w:rsidRPr="008F328C">
        <w:rPr>
          <w:rFonts w:eastAsia="Times New Roman"/>
          <w:lang w:val="pl-PL"/>
        </w:rPr>
        <w:t xml:space="preserve">Przypominającą </w:t>
      </w:r>
      <w:r w:rsidRPr="008F328C">
        <w:rPr>
          <w:rFonts w:eastAsia="Times New Roman"/>
          <w:lang w:val="pl-PL"/>
        </w:rPr>
        <w:t xml:space="preserve">dla </w:t>
      </w:r>
      <w:r w:rsidR="00665359" w:rsidRPr="008F328C">
        <w:rPr>
          <w:rFonts w:eastAsia="Times New Roman"/>
          <w:lang w:val="pl-PL"/>
        </w:rPr>
        <w:t>Pacjenta</w:t>
      </w:r>
      <w:r w:rsidRPr="008F328C">
        <w:rPr>
          <w:rFonts w:eastAsia="Times New Roman"/>
          <w:lang w:val="pl-PL"/>
        </w:rPr>
        <w:t>”.</w:t>
      </w:r>
    </w:p>
    <w:p w14:paraId="6997F4EC" w14:textId="77777777" w:rsidR="002E5800" w:rsidRPr="008F328C" w:rsidRDefault="002E5800">
      <w:pPr>
        <w:spacing w:line="240" w:lineRule="exact"/>
        <w:rPr>
          <w:rFonts w:ascii="Times New Roman" w:hAnsi="Times New Roman" w:cs="Times New Roman"/>
          <w:lang w:val="pl-PL"/>
        </w:rPr>
      </w:pPr>
    </w:p>
    <w:p w14:paraId="059BE6BE" w14:textId="77777777" w:rsidR="002E5800" w:rsidRPr="008F328C" w:rsidRDefault="000E0B7C">
      <w:pPr>
        <w:pStyle w:val="a3"/>
        <w:rPr>
          <w:lang w:val="pl-PL"/>
        </w:rPr>
      </w:pPr>
      <w:r w:rsidRPr="008F328C">
        <w:rPr>
          <w:rFonts w:eastAsia="Times New Roman"/>
          <w:lang w:val="pl-PL"/>
        </w:rPr>
        <w:t>Po odpowiednim przeszkoleniu zapoznającym z</w:t>
      </w:r>
      <w:r w:rsidRPr="008F328C">
        <w:rPr>
          <w:lang w:val="pl-PL"/>
        </w:rPr>
        <w:t xml:space="preserve"> </w:t>
      </w:r>
      <w:r w:rsidRPr="008F328C">
        <w:rPr>
          <w:rFonts w:eastAsia="Times New Roman"/>
          <w:lang w:val="pl-PL"/>
        </w:rPr>
        <w:t>techniką wstrzykiwania, pacjenci mogą sami wstrzykiwać sobie produkt Yuflyma, jeśli lekarz uzna to za właściwe i w razie potrzeby zleci wizytę kontrolną.</w:t>
      </w:r>
    </w:p>
    <w:p w14:paraId="48EFB4CE" w14:textId="77777777" w:rsidR="002E5800" w:rsidRPr="008F328C" w:rsidRDefault="002E5800">
      <w:pPr>
        <w:spacing w:line="240" w:lineRule="exact"/>
        <w:rPr>
          <w:rFonts w:ascii="Times New Roman" w:hAnsi="Times New Roman" w:cs="Times New Roman"/>
          <w:lang w:val="pl-PL"/>
        </w:rPr>
      </w:pPr>
    </w:p>
    <w:p w14:paraId="496810B1" w14:textId="3BAF05E4" w:rsidR="002E5800" w:rsidRPr="008F328C" w:rsidRDefault="000E0B7C">
      <w:pPr>
        <w:pStyle w:val="a3"/>
        <w:rPr>
          <w:rFonts w:eastAsia="Times New Roman"/>
          <w:lang w:val="pl-PL"/>
        </w:rPr>
      </w:pPr>
      <w:r w:rsidRPr="008F328C">
        <w:rPr>
          <w:rFonts w:eastAsia="Times New Roman"/>
          <w:lang w:val="pl-PL"/>
        </w:rPr>
        <w:t>W czasie leczenia produktem Yuflyma należy</w:t>
      </w:r>
      <w:r w:rsidR="00665359" w:rsidRPr="008F328C">
        <w:rPr>
          <w:rFonts w:eastAsia="Times New Roman"/>
          <w:lang w:val="pl-PL"/>
        </w:rPr>
        <w:t xml:space="preserve"> </w:t>
      </w:r>
      <w:r w:rsidRPr="008F328C">
        <w:rPr>
          <w:rFonts w:eastAsia="Times New Roman"/>
          <w:lang w:val="pl-PL"/>
        </w:rPr>
        <w:t>zoptymalizować inne stosowane jednocześnie leczenie (np. kortykosteroidami i</w:t>
      </w:r>
      <w:r w:rsidR="00665359" w:rsidRPr="008F328C">
        <w:rPr>
          <w:rFonts w:eastAsia="Times New Roman"/>
          <w:lang w:val="pl-PL"/>
        </w:rPr>
        <w:t xml:space="preserve"> </w:t>
      </w:r>
      <w:r w:rsidRPr="008F328C">
        <w:rPr>
          <w:rFonts w:eastAsia="Times New Roman"/>
          <w:lang w:val="pl-PL"/>
        </w:rPr>
        <w:t>(lub) lekami immunomodulującymi).</w:t>
      </w:r>
    </w:p>
    <w:p w14:paraId="38552128" w14:textId="77777777" w:rsidR="002E5800" w:rsidRPr="008F328C" w:rsidRDefault="002E5800">
      <w:pPr>
        <w:pStyle w:val="a3"/>
        <w:rPr>
          <w:lang w:val="pl-PL"/>
        </w:rPr>
      </w:pPr>
    </w:p>
    <w:p w14:paraId="2D16D64A" w14:textId="77777777" w:rsidR="002E5800" w:rsidRPr="008F328C" w:rsidRDefault="000E0B7C">
      <w:pPr>
        <w:pStyle w:val="a3"/>
        <w:rPr>
          <w:u w:val="single"/>
          <w:lang w:val="pl-PL"/>
        </w:rPr>
      </w:pPr>
      <w:r w:rsidRPr="008F328C">
        <w:rPr>
          <w:rFonts w:eastAsia="Times New Roman"/>
          <w:u w:val="single" w:color="000000"/>
          <w:lang w:val="pl-PL"/>
        </w:rPr>
        <w:t>Dawkowanie</w:t>
      </w:r>
    </w:p>
    <w:p w14:paraId="6027B10B" w14:textId="77777777" w:rsidR="002E5800" w:rsidRPr="008F328C" w:rsidRDefault="002E5800">
      <w:pPr>
        <w:spacing w:line="170" w:lineRule="exact"/>
        <w:rPr>
          <w:rFonts w:ascii="Times New Roman" w:hAnsi="Times New Roman" w:cs="Times New Roman"/>
          <w:lang w:val="pl-PL"/>
        </w:rPr>
      </w:pPr>
    </w:p>
    <w:p w14:paraId="6DBFDCDE"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Reumatoidalne zapalenie stawów (RZS)</w:t>
      </w:r>
    </w:p>
    <w:p w14:paraId="748923BC" w14:textId="77777777" w:rsidR="002E5800" w:rsidRPr="008F328C" w:rsidRDefault="002E5800">
      <w:pPr>
        <w:spacing w:line="240" w:lineRule="exact"/>
        <w:rPr>
          <w:rFonts w:ascii="Times New Roman" w:hAnsi="Times New Roman" w:cs="Times New Roman"/>
          <w:lang w:val="pl-PL"/>
        </w:rPr>
      </w:pPr>
    </w:p>
    <w:p w14:paraId="4C2CE380" w14:textId="77777777" w:rsidR="002E5800" w:rsidRPr="008F328C" w:rsidRDefault="000E0B7C">
      <w:pPr>
        <w:pStyle w:val="a3"/>
        <w:rPr>
          <w:lang w:val="pl-PL"/>
        </w:rPr>
      </w:pPr>
      <w:r w:rsidRPr="008F328C">
        <w:rPr>
          <w:rFonts w:eastAsia="Times New Roman"/>
          <w:lang w:val="pl-PL"/>
        </w:rPr>
        <w:t>Zalecana dawka produktu Yuflyma u dorosłych pacjentów z reumatoidalnym zapaleniem stawów wynosi 40 mg adalimumabu podawane co drugi tydzień w pojedynczej dawce we wstrzyknięciu podskórnym. W czasie leczenia produktem Yuflyma należy kontynuować podawanie metotreksatu.</w:t>
      </w:r>
    </w:p>
    <w:p w14:paraId="7120773E" w14:textId="77777777" w:rsidR="002E5800" w:rsidRPr="008F328C" w:rsidRDefault="002E5800">
      <w:pPr>
        <w:pStyle w:val="a3"/>
        <w:rPr>
          <w:lang w:val="pl-PL"/>
        </w:rPr>
      </w:pPr>
    </w:p>
    <w:p w14:paraId="058B8C40" w14:textId="5E87BA80" w:rsidR="002E5800" w:rsidRPr="008F328C" w:rsidRDefault="000E0B7C">
      <w:pPr>
        <w:pStyle w:val="a3"/>
        <w:rPr>
          <w:lang w:val="pl-PL"/>
        </w:rPr>
      </w:pPr>
      <w:r w:rsidRPr="008F328C">
        <w:rPr>
          <w:rFonts w:eastAsia="Times New Roman"/>
          <w:lang w:val="pl-PL"/>
        </w:rPr>
        <w:t>W czasie leczenia produktem Yuflyma można kontynuować podawanie glikokortykosteroidów, salicylanów, niesteroidowych</w:t>
      </w:r>
      <w:r w:rsidR="007E5D57" w:rsidRPr="008F328C">
        <w:rPr>
          <w:rFonts w:eastAsia="Times New Roman"/>
          <w:lang w:val="pl-PL"/>
        </w:rPr>
        <w:t xml:space="preserve"> </w:t>
      </w:r>
      <w:r w:rsidRPr="008F328C">
        <w:rPr>
          <w:rFonts w:eastAsia="Times New Roman"/>
          <w:lang w:val="pl-PL"/>
        </w:rPr>
        <w:t>leków przeciwzapalnych lub leków przeciwbólowych. Odnośnie stosowania w skojarzeniu z innymi niż</w:t>
      </w:r>
      <w:r w:rsidR="00D97510" w:rsidRPr="008F328C">
        <w:rPr>
          <w:rFonts w:eastAsia="Times New Roman"/>
          <w:lang w:val="pl-PL"/>
        </w:rPr>
        <w:t xml:space="preserve"> </w:t>
      </w:r>
      <w:r w:rsidRPr="008F328C">
        <w:rPr>
          <w:rFonts w:eastAsia="Times New Roman"/>
          <w:lang w:val="pl-PL"/>
        </w:rPr>
        <w:t>metotreksat lekami przeciwreumatycznymi modyfikującymi przebieg choroby, patrz punkty 4.4 i 5.1.</w:t>
      </w:r>
    </w:p>
    <w:p w14:paraId="55901724" w14:textId="77777777" w:rsidR="002E5800" w:rsidRPr="008F328C" w:rsidRDefault="002E5800">
      <w:pPr>
        <w:spacing w:line="240" w:lineRule="exact"/>
        <w:rPr>
          <w:rFonts w:ascii="Times New Roman" w:hAnsi="Times New Roman" w:cs="Times New Roman"/>
          <w:lang w:val="pl-PL"/>
        </w:rPr>
      </w:pPr>
    </w:p>
    <w:p w14:paraId="13D49A25" w14:textId="77777777" w:rsidR="002E5800" w:rsidRPr="008F328C" w:rsidRDefault="000E0B7C">
      <w:pPr>
        <w:pStyle w:val="a3"/>
        <w:rPr>
          <w:lang w:val="pl-PL"/>
        </w:rPr>
      </w:pPr>
      <w:r w:rsidRPr="008F328C">
        <w:rPr>
          <w:rFonts w:eastAsia="Times New Roman"/>
          <w:lang w:val="pl-PL"/>
        </w:rPr>
        <w:t>W przypadku monoterapii u niektórych</w:t>
      </w:r>
      <w:r w:rsidRPr="008F328C">
        <w:rPr>
          <w:lang w:val="pl-PL"/>
        </w:rPr>
        <w:t xml:space="preserve"> </w:t>
      </w:r>
      <w:r w:rsidRPr="008F328C">
        <w:rPr>
          <w:rFonts w:eastAsia="Times New Roman"/>
          <w:lang w:val="pl-PL"/>
        </w:rPr>
        <w:t>pacjentów, u których występuje zmniejszenie odpowiedzi na leczenie produktem Yuflyma 40 mg co drugi tydzień, może być korzystne zwiększenie dawkowania adalimumabu do 40 mg co tydzień lub 80 mg co drugi tydzień.</w:t>
      </w:r>
    </w:p>
    <w:p w14:paraId="5E2A3DA7" w14:textId="77777777" w:rsidR="002E5800" w:rsidRPr="008F328C" w:rsidRDefault="002E5800">
      <w:pPr>
        <w:spacing w:line="240" w:lineRule="exact"/>
        <w:rPr>
          <w:rFonts w:ascii="Times New Roman" w:hAnsi="Times New Roman" w:cs="Times New Roman"/>
          <w:lang w:val="pl-PL"/>
        </w:rPr>
      </w:pPr>
    </w:p>
    <w:p w14:paraId="517292E2" w14:textId="68BD5129" w:rsidR="00C40D4E" w:rsidRPr="008F328C" w:rsidRDefault="000E0B7C">
      <w:pPr>
        <w:pStyle w:val="a3"/>
        <w:rPr>
          <w:lang w:val="pl-PL"/>
        </w:rPr>
      </w:pPr>
      <w:r w:rsidRPr="008F328C">
        <w:rPr>
          <w:rFonts w:eastAsia="Times New Roman"/>
          <w:lang w:val="pl-PL"/>
        </w:rPr>
        <w:t>Z dostępnych danych wynika, że odpowiedź kliniczna następuje zazwyczaj w ciągu 12 tygodni leczenia. Należy ponownie rozważyć czy kontynuować</w:t>
      </w:r>
      <w:r w:rsidRPr="008F328C">
        <w:rPr>
          <w:lang w:val="pl-PL"/>
        </w:rPr>
        <w:t xml:space="preserve"> </w:t>
      </w:r>
      <w:r w:rsidRPr="008F328C">
        <w:rPr>
          <w:rFonts w:eastAsia="Times New Roman"/>
          <w:lang w:val="pl-PL"/>
        </w:rPr>
        <w:t>leczenie u pacjenta, który nie odpowiedział na leczenie w tym okresie.</w:t>
      </w:r>
    </w:p>
    <w:p w14:paraId="672B17D4" w14:textId="77777777" w:rsidR="00C40D4E" w:rsidRPr="008F328C" w:rsidRDefault="00C40D4E">
      <w:pPr>
        <w:pStyle w:val="a3"/>
        <w:rPr>
          <w:lang w:val="pl-PL"/>
        </w:rPr>
      </w:pPr>
    </w:p>
    <w:p w14:paraId="29960AA9"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Przerwanie podawania leku</w:t>
      </w:r>
    </w:p>
    <w:p w14:paraId="7C23D047" w14:textId="77777777" w:rsidR="002E5800" w:rsidRPr="008F328C" w:rsidRDefault="002E5800">
      <w:pPr>
        <w:spacing w:line="180" w:lineRule="exact"/>
        <w:rPr>
          <w:rFonts w:ascii="Times New Roman" w:hAnsi="Times New Roman" w:cs="Times New Roman"/>
          <w:lang w:val="pl-PL"/>
        </w:rPr>
      </w:pPr>
    </w:p>
    <w:p w14:paraId="04FA40A9" w14:textId="77777777" w:rsidR="002E5800" w:rsidRPr="008F328C" w:rsidRDefault="000E0B7C">
      <w:pPr>
        <w:pStyle w:val="a3"/>
        <w:rPr>
          <w:lang w:val="pl-PL"/>
        </w:rPr>
      </w:pPr>
      <w:r w:rsidRPr="008F328C">
        <w:rPr>
          <w:rFonts w:eastAsia="Times New Roman"/>
          <w:lang w:val="pl-PL"/>
        </w:rPr>
        <w:t>Może być konieczne przerwanie podawania leku,</w:t>
      </w:r>
      <w:r w:rsidRPr="008F328C">
        <w:rPr>
          <w:lang w:val="pl-PL"/>
        </w:rPr>
        <w:t xml:space="preserve"> </w:t>
      </w:r>
      <w:r w:rsidRPr="008F328C">
        <w:rPr>
          <w:rFonts w:eastAsia="Times New Roman"/>
          <w:lang w:val="pl-PL"/>
        </w:rPr>
        <w:t>np. przed zabiegiem chirurgicznym lub jeśli wystąpi ciężkie zakażenie.</w:t>
      </w:r>
    </w:p>
    <w:p w14:paraId="0F8F5975" w14:textId="77777777" w:rsidR="002E5800" w:rsidRPr="008F328C" w:rsidRDefault="002E5800">
      <w:pPr>
        <w:spacing w:line="240" w:lineRule="exact"/>
        <w:rPr>
          <w:rFonts w:ascii="Times New Roman" w:hAnsi="Times New Roman" w:cs="Times New Roman"/>
          <w:lang w:val="pl-PL"/>
        </w:rPr>
      </w:pPr>
    </w:p>
    <w:p w14:paraId="09678A9D" w14:textId="77777777" w:rsidR="002E5800" w:rsidRPr="008F328C" w:rsidRDefault="000E0B7C">
      <w:pPr>
        <w:pStyle w:val="a3"/>
        <w:rPr>
          <w:lang w:val="pl-PL"/>
        </w:rPr>
      </w:pPr>
      <w:r w:rsidRPr="008F328C">
        <w:rPr>
          <w:rFonts w:eastAsia="Times New Roman"/>
          <w:lang w:val="pl-PL"/>
        </w:rPr>
        <w:t>Z dostępnych danych wynika, że wznowienie podawania adalimumabu, po uprzednim zaprzestaniu leczenia przez 70 dni lub dłużej spowodowało taką samą odpowiedź kliniczną, a profil bezpieczeństwa był podobny jak w okresie przed przerwaniem podawania leku.</w:t>
      </w:r>
    </w:p>
    <w:p w14:paraId="643D69D9" w14:textId="77777777" w:rsidR="002E5800" w:rsidRPr="008F328C" w:rsidRDefault="002E5800">
      <w:pPr>
        <w:spacing w:line="240" w:lineRule="exact"/>
        <w:rPr>
          <w:rFonts w:ascii="Times New Roman" w:hAnsi="Times New Roman" w:cs="Times New Roman"/>
          <w:lang w:val="pl-PL"/>
        </w:rPr>
      </w:pPr>
    </w:p>
    <w:p w14:paraId="2312883E"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 xml:space="preserve">Zesztywniające zapalenie stawów kręgosłupa, osiowa spondyloartropatia bez zmian radiograficznych charakterystycznych dla ZZSK i łuszczycowe zapalenie stawów </w:t>
      </w:r>
    </w:p>
    <w:p w14:paraId="19018745" w14:textId="77777777" w:rsidR="002E5800" w:rsidRPr="008F328C" w:rsidRDefault="002E5800">
      <w:pPr>
        <w:spacing w:line="240" w:lineRule="exact"/>
        <w:rPr>
          <w:rFonts w:ascii="Times New Roman" w:hAnsi="Times New Roman" w:cs="Times New Roman"/>
          <w:lang w:val="pl-PL"/>
        </w:rPr>
      </w:pPr>
    </w:p>
    <w:p w14:paraId="6AAF2640" w14:textId="77777777" w:rsidR="002E5800" w:rsidRPr="008F328C" w:rsidRDefault="000E0B7C">
      <w:pPr>
        <w:pStyle w:val="a3"/>
        <w:rPr>
          <w:lang w:val="pl-PL"/>
        </w:rPr>
      </w:pPr>
      <w:r w:rsidRPr="008F328C">
        <w:rPr>
          <w:rFonts w:eastAsia="Times New Roman"/>
          <w:lang w:val="pl-PL"/>
        </w:rPr>
        <w:t>Zalecana dawka produktu Yuflyma dla pacjentów z zesztywniającym zapaleniem stawów kręgosłupa, osiową spondyloartropatią bez zmian radiograficznych charakterystycznych dla ZZSK i dla pacjentów z łuszczycowym zapaleniem stawów wynosi 40 mg adalimumabu podawane co drugi tydzień w pojedynczej dawce we wstrzyknięciu podskórnym.</w:t>
      </w:r>
    </w:p>
    <w:p w14:paraId="5C5B4A54" w14:textId="77777777" w:rsidR="002E5800" w:rsidRPr="008F328C" w:rsidRDefault="002E5800">
      <w:pPr>
        <w:spacing w:line="240" w:lineRule="exact"/>
        <w:rPr>
          <w:rFonts w:ascii="Times New Roman" w:hAnsi="Times New Roman" w:cs="Times New Roman"/>
          <w:lang w:val="pl-PL"/>
        </w:rPr>
      </w:pPr>
    </w:p>
    <w:p w14:paraId="353F53A1" w14:textId="77777777" w:rsidR="002E5800" w:rsidRPr="008F328C" w:rsidRDefault="000E0B7C">
      <w:pPr>
        <w:pStyle w:val="a3"/>
        <w:rPr>
          <w:lang w:val="pl-PL"/>
        </w:rPr>
      </w:pPr>
      <w:r w:rsidRPr="008F328C">
        <w:rPr>
          <w:rFonts w:eastAsia="Times New Roman"/>
          <w:lang w:val="pl-PL"/>
        </w:rPr>
        <w:t>Z dostępnych danych wynika, że odpowiedź kliniczna następuje zazwyczaj w ciągu 12 tygodni leczenia. Należy ponownie rozważyć czy kontynuować leczenie u pacjenta, który nie odpowiedział na leczenie w tym okresie.</w:t>
      </w:r>
    </w:p>
    <w:p w14:paraId="59781C88" w14:textId="77777777" w:rsidR="002E5800" w:rsidRPr="008F328C" w:rsidRDefault="002E5800">
      <w:pPr>
        <w:spacing w:line="240" w:lineRule="exact"/>
        <w:rPr>
          <w:rFonts w:ascii="Times New Roman" w:hAnsi="Times New Roman" w:cs="Times New Roman"/>
          <w:lang w:val="pl-PL"/>
        </w:rPr>
      </w:pPr>
    </w:p>
    <w:p w14:paraId="6FEB6D76"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lastRenderedPageBreak/>
        <w:t>Łuszczyca</w:t>
      </w:r>
    </w:p>
    <w:p w14:paraId="35D342D3" w14:textId="77777777" w:rsidR="002E5800" w:rsidRPr="008F328C" w:rsidRDefault="002E5800">
      <w:pPr>
        <w:spacing w:line="240" w:lineRule="exact"/>
        <w:rPr>
          <w:rFonts w:ascii="Times New Roman" w:hAnsi="Times New Roman" w:cs="Times New Roman"/>
          <w:lang w:val="pl-PL"/>
        </w:rPr>
      </w:pPr>
    </w:p>
    <w:p w14:paraId="04B77558" w14:textId="77777777" w:rsidR="002E5800" w:rsidRPr="008F328C" w:rsidRDefault="000E0B7C">
      <w:pPr>
        <w:pStyle w:val="a3"/>
        <w:rPr>
          <w:lang w:val="pl-PL"/>
        </w:rPr>
      </w:pPr>
      <w:r w:rsidRPr="008F328C">
        <w:rPr>
          <w:rFonts w:eastAsia="Times New Roman"/>
          <w:lang w:val="pl-PL"/>
        </w:rPr>
        <w:t>Zalecana dawka produktu Yuflyma u dorosłych</w:t>
      </w:r>
      <w:r w:rsidRPr="008F328C">
        <w:rPr>
          <w:lang w:val="pl-PL"/>
        </w:rPr>
        <w:t xml:space="preserve"> </w:t>
      </w:r>
      <w:r w:rsidRPr="008F328C">
        <w:rPr>
          <w:rFonts w:eastAsia="Times New Roman"/>
          <w:lang w:val="pl-PL"/>
        </w:rPr>
        <w:t>pacjentów wynosi 80 mg podskórnie jako dawka początkowa, a następnie po upływie jednego tygodnia od podania dawki początkowej, 40 mg podskórnie co drugi tydzień.</w:t>
      </w:r>
    </w:p>
    <w:p w14:paraId="0D1D5889" w14:textId="77777777" w:rsidR="002E5800" w:rsidRPr="008F328C" w:rsidRDefault="002E5800">
      <w:pPr>
        <w:spacing w:line="240" w:lineRule="exact"/>
        <w:rPr>
          <w:rFonts w:ascii="Times New Roman" w:hAnsi="Times New Roman" w:cs="Times New Roman"/>
          <w:lang w:val="pl-PL"/>
        </w:rPr>
      </w:pPr>
    </w:p>
    <w:p w14:paraId="39DA2FA6" w14:textId="77777777" w:rsidR="002E5800" w:rsidRPr="008F328C" w:rsidRDefault="000E0B7C">
      <w:pPr>
        <w:pStyle w:val="a3"/>
        <w:rPr>
          <w:lang w:val="pl-PL"/>
        </w:rPr>
      </w:pPr>
      <w:r w:rsidRPr="008F328C">
        <w:rPr>
          <w:rFonts w:eastAsia="Times New Roman"/>
          <w:lang w:val="pl-PL"/>
        </w:rPr>
        <w:t>Należy ponownie dokładnie rozważyć czy</w:t>
      </w:r>
      <w:r w:rsidRPr="008F328C">
        <w:rPr>
          <w:lang w:val="pl-PL"/>
        </w:rPr>
        <w:t xml:space="preserve"> </w:t>
      </w:r>
      <w:r w:rsidRPr="008F328C">
        <w:rPr>
          <w:rFonts w:eastAsia="Times New Roman"/>
          <w:lang w:val="pl-PL"/>
        </w:rPr>
        <w:t>kontynuować leczenie dłużej niż przez 16 tygodni u pacjenta, który nie odpowiedział na leczenie w tym okresie.</w:t>
      </w:r>
    </w:p>
    <w:p w14:paraId="0262CFC5" w14:textId="77777777" w:rsidR="002E5800" w:rsidRPr="008F328C" w:rsidRDefault="002E5800">
      <w:pPr>
        <w:spacing w:line="240" w:lineRule="exact"/>
        <w:rPr>
          <w:rFonts w:ascii="Times New Roman" w:hAnsi="Times New Roman" w:cs="Times New Roman"/>
          <w:lang w:val="pl-PL"/>
        </w:rPr>
      </w:pPr>
    </w:p>
    <w:p w14:paraId="23C97197" w14:textId="77777777" w:rsidR="002E5800" w:rsidRPr="008F328C" w:rsidRDefault="000E0B7C">
      <w:pPr>
        <w:pStyle w:val="a3"/>
        <w:rPr>
          <w:lang w:val="pl-PL"/>
        </w:rPr>
      </w:pPr>
      <w:r w:rsidRPr="008F328C">
        <w:rPr>
          <w:rFonts w:eastAsia="Times New Roman"/>
          <w:lang w:val="pl-PL"/>
        </w:rPr>
        <w:t>Po upływie 16 tygodni, u pacjentów, którzy nie wykazali wystarczającej odpowiedzi na leczenie produktem</w:t>
      </w:r>
      <w:r w:rsidRPr="008F328C">
        <w:rPr>
          <w:lang w:val="pl-PL"/>
        </w:rPr>
        <w:t xml:space="preserve"> </w:t>
      </w:r>
      <w:r w:rsidRPr="008F328C">
        <w:rPr>
          <w:rFonts w:eastAsia="Times New Roman"/>
          <w:lang w:val="pl-PL"/>
        </w:rPr>
        <w:t>Yuflyma 40 mg co drugi tydzień, może być korzystne zwiększenie dawkowania do 40 mg co tydzień lub 80 mg co drugi tydzień. U pacjenta z niewystarczającą odpowiedzią na leczenie po zwiększeniu dawkowania należy powtórnie dokładnie rozważyć oczekiwane korzyści i potencjalne ryzyko związane z dalszym stosowaniem produktu Yuflyma 40 mg co tydzień lub 80 mg co drugi tydzień (patrz punkt 5.1). Jeśli osiągnie się wystarczającą odpowiedź na leczenie dawką 40 mg co tydzień lub 80 mg co drugi tydzień, można następnie zmniejszyć dawkowanie do 40 mg co drugi tydzień.</w:t>
      </w:r>
    </w:p>
    <w:p w14:paraId="4D89753A" w14:textId="77777777" w:rsidR="00C40D4E" w:rsidRPr="008F328C" w:rsidRDefault="00C40D4E">
      <w:pPr>
        <w:pStyle w:val="a3"/>
        <w:rPr>
          <w:lang w:val="pl-PL" w:eastAsia="ko-KR"/>
        </w:rPr>
      </w:pPr>
    </w:p>
    <w:p w14:paraId="574E336C"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Ropne zapalenie apokrynowych gruczołów potowych</w:t>
      </w:r>
    </w:p>
    <w:p w14:paraId="6E17971E" w14:textId="77777777" w:rsidR="002E5800" w:rsidRPr="008F328C" w:rsidRDefault="002E5800">
      <w:pPr>
        <w:spacing w:line="240" w:lineRule="exact"/>
        <w:rPr>
          <w:rFonts w:ascii="Times New Roman" w:hAnsi="Times New Roman" w:cs="Times New Roman"/>
          <w:lang w:val="pl-PL"/>
        </w:rPr>
      </w:pPr>
    </w:p>
    <w:p w14:paraId="1A0D456C" w14:textId="77777777" w:rsidR="002E5800" w:rsidRPr="008F328C" w:rsidRDefault="000E0B7C">
      <w:pPr>
        <w:pStyle w:val="a3"/>
        <w:rPr>
          <w:lang w:val="pl-PL"/>
        </w:rPr>
      </w:pPr>
      <w:r w:rsidRPr="008F328C">
        <w:rPr>
          <w:rFonts w:eastAsia="Times New Roman"/>
          <w:lang w:val="pl-PL"/>
        </w:rPr>
        <w:t>Zalecany schemat dawkowania produktu Yuflyma u dorosłych pacjentów z ropnym zapaleniem apokrynowych gruczołów potowych (HS) to początkowo 160 mg w 1. dniu (podawane jako cztery wstrzyknięcia dawki 40 mg jednego dnia lub jako dwa wstrzyknięcia dawki 40 mg na dobę w dwóch kolejnych dniach), a następnie 80 mg dwa tygodnie później w 15. dniu (jako dwa wstrzyknięcia dawki 40 mg podawane jednego dnia). Dwa tygodnie później (29. dzień) należy kontynuować leczenie stosując dawkę 40 mg co tydzień lub 80 mg co drugi tydzień (jako dwa wstrzyknięcia 40 mg jednego dnia). Jeśli to konieczne, w okresie</w:t>
      </w:r>
      <w:r w:rsidRPr="008F328C">
        <w:rPr>
          <w:lang w:val="pl-PL"/>
        </w:rPr>
        <w:t xml:space="preserve"> </w:t>
      </w:r>
      <w:r w:rsidRPr="008F328C">
        <w:rPr>
          <w:rFonts w:eastAsia="Times New Roman"/>
          <w:lang w:val="pl-PL"/>
        </w:rPr>
        <w:t>leczenia produktem Yuflyma można kontynuować stosowanie antybiotyków. Zaleca się, aby w okresie leczenia</w:t>
      </w:r>
      <w:r w:rsidRPr="008F328C">
        <w:rPr>
          <w:lang w:val="pl-PL"/>
        </w:rPr>
        <w:t xml:space="preserve"> </w:t>
      </w:r>
      <w:r w:rsidRPr="008F328C">
        <w:rPr>
          <w:rFonts w:eastAsia="Times New Roman"/>
          <w:lang w:val="pl-PL"/>
        </w:rPr>
        <w:t>produktem Yuflyma pacjenci codziennie przemywali zmiany skórne wywołane przez HS środkiem antyseptycznym o działaniu miejscowym.</w:t>
      </w:r>
    </w:p>
    <w:p w14:paraId="0A2D0CE4" w14:textId="77777777" w:rsidR="002E5800" w:rsidRPr="008F328C" w:rsidRDefault="002E5800">
      <w:pPr>
        <w:spacing w:line="240" w:lineRule="exact"/>
        <w:rPr>
          <w:rFonts w:ascii="Times New Roman" w:hAnsi="Times New Roman" w:cs="Times New Roman"/>
          <w:lang w:val="pl-PL"/>
        </w:rPr>
      </w:pPr>
    </w:p>
    <w:p w14:paraId="7D543355" w14:textId="77777777" w:rsidR="002E5800" w:rsidRPr="008F328C" w:rsidRDefault="000E0B7C">
      <w:pPr>
        <w:pStyle w:val="a3"/>
        <w:rPr>
          <w:lang w:val="pl-PL"/>
        </w:rPr>
      </w:pPr>
      <w:r w:rsidRPr="008F328C">
        <w:rPr>
          <w:rFonts w:eastAsia="Times New Roman"/>
          <w:lang w:val="pl-PL"/>
        </w:rPr>
        <w:t>Należy ponownie dokładnie rozważyć czy kontynuować leczenie dłużej niż przez 12 tygodni u pacjenta, u którego w tym okresie nie nastąpiła poprawa.</w:t>
      </w:r>
    </w:p>
    <w:p w14:paraId="2242400A" w14:textId="77777777" w:rsidR="002E5800" w:rsidRPr="008F328C" w:rsidRDefault="002E5800">
      <w:pPr>
        <w:spacing w:line="240" w:lineRule="exact"/>
        <w:rPr>
          <w:rFonts w:ascii="Times New Roman" w:hAnsi="Times New Roman" w:cs="Times New Roman"/>
          <w:lang w:val="pl-PL"/>
        </w:rPr>
      </w:pPr>
    </w:p>
    <w:p w14:paraId="629F725C" w14:textId="77777777" w:rsidR="002E5800" w:rsidRPr="008F328C" w:rsidRDefault="000E0B7C">
      <w:pPr>
        <w:pStyle w:val="a3"/>
        <w:rPr>
          <w:lang w:val="pl-PL"/>
        </w:rPr>
      </w:pPr>
      <w:r w:rsidRPr="008F328C">
        <w:rPr>
          <w:rFonts w:eastAsia="Times New Roman"/>
          <w:lang w:val="pl-PL"/>
        </w:rPr>
        <w:t>W przypadku przerwania leczenia, można powtórnie zastosować produkt Yuflyma 40 mg co tydzień lub 80 mg co drugi tydzień (patrz punkt 5.1).</w:t>
      </w:r>
    </w:p>
    <w:p w14:paraId="19F30C24" w14:textId="77777777" w:rsidR="002E5800" w:rsidRPr="008F328C" w:rsidRDefault="002E5800">
      <w:pPr>
        <w:pStyle w:val="a3"/>
        <w:rPr>
          <w:lang w:val="pl-PL"/>
        </w:rPr>
      </w:pPr>
    </w:p>
    <w:p w14:paraId="1C2576F4" w14:textId="77777777" w:rsidR="002E5800" w:rsidRPr="008F328C" w:rsidRDefault="000E0B7C">
      <w:pPr>
        <w:pStyle w:val="a3"/>
        <w:rPr>
          <w:lang w:val="pl-PL"/>
        </w:rPr>
      </w:pPr>
      <w:r w:rsidRPr="008F328C">
        <w:rPr>
          <w:rFonts w:eastAsia="Times New Roman"/>
          <w:lang w:val="pl-PL"/>
        </w:rPr>
        <w:t xml:space="preserve">Należy okresowo oceniać korzyści i ryzyko związane z kontynuacją długookresowego leczenia (patrz punkt 5.1). </w:t>
      </w:r>
    </w:p>
    <w:p w14:paraId="6451391E" w14:textId="77777777" w:rsidR="002E5800" w:rsidRPr="008F328C" w:rsidRDefault="002E5800">
      <w:pPr>
        <w:rPr>
          <w:rFonts w:ascii="Times New Roman" w:eastAsia="Times New Roman" w:hAnsi="Times New Roman" w:cs="Times New Roman"/>
          <w:i/>
          <w:spacing w:val="-1"/>
          <w:lang w:val="pl-PL"/>
        </w:rPr>
      </w:pPr>
    </w:p>
    <w:p w14:paraId="1B0922DF"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Choroba Leśniowskiego-Crohna</w:t>
      </w:r>
    </w:p>
    <w:p w14:paraId="488B78DD" w14:textId="77777777" w:rsidR="002E5800" w:rsidRPr="008F328C" w:rsidRDefault="002E5800">
      <w:pPr>
        <w:spacing w:line="240" w:lineRule="exact"/>
        <w:rPr>
          <w:rFonts w:ascii="Times New Roman" w:hAnsi="Times New Roman" w:cs="Times New Roman"/>
          <w:lang w:val="pl-PL"/>
        </w:rPr>
      </w:pPr>
    </w:p>
    <w:p w14:paraId="29A88470" w14:textId="59D748E7" w:rsidR="002E5800" w:rsidRPr="008F328C" w:rsidRDefault="000E0B7C">
      <w:pPr>
        <w:pStyle w:val="a3"/>
        <w:rPr>
          <w:lang w:val="pl-PL"/>
        </w:rPr>
      </w:pPr>
      <w:r w:rsidRPr="008F328C">
        <w:rPr>
          <w:rFonts w:eastAsia="Times New Roman"/>
          <w:lang w:val="pl-PL"/>
        </w:rPr>
        <w:t>Zalecany schemat dawkowania produktu Yuflyma w okresie indukcji u dorosłych pacjentów z czynną postacią choroby Leśniowskiego-Crohna o nasileniu umiarkowanym do ciężkiego to dawka 80 mg w tygodniu 0, a następnie 40 mg w 2. tygodniu. Jeśli istnieje potrzeba uzyskania szybszej odpowiedzi na leczenie, można zastosować następujący schemat dawkowania: 160 mg w tygodniu 0 (jako cztery wstrzyknięcia 40 mg jednego dnia lub jako dwa wstrzyknięcia 40 mg na dobę przez dwa kolejne dni)</w:t>
      </w:r>
      <w:r w:rsidR="00A02771" w:rsidRPr="008F328C">
        <w:rPr>
          <w:lang w:val="pl-PL"/>
        </w:rPr>
        <w:t>, a następnie</w:t>
      </w:r>
      <w:r w:rsidRPr="008F328C">
        <w:rPr>
          <w:rFonts w:eastAsia="Times New Roman"/>
          <w:lang w:val="pl-PL"/>
        </w:rPr>
        <w:t xml:space="preserve"> 80 mg w 2. tygodniu (jako dwa wstrzyknięcia 40 mg jednego dnia). Należy jednak zdawać sobie sprawę, że ryzyko zdarzeń niepożądanych jest większe podczas indukcji.</w:t>
      </w:r>
    </w:p>
    <w:p w14:paraId="40ED8179" w14:textId="77777777" w:rsidR="002E5800" w:rsidRPr="008F328C" w:rsidRDefault="002E5800">
      <w:pPr>
        <w:spacing w:line="240" w:lineRule="exact"/>
        <w:rPr>
          <w:rFonts w:ascii="Times New Roman" w:hAnsi="Times New Roman" w:cs="Times New Roman"/>
          <w:lang w:val="pl-PL"/>
        </w:rPr>
      </w:pPr>
    </w:p>
    <w:p w14:paraId="1EF02C99" w14:textId="051A8DA4" w:rsidR="002E5800" w:rsidRPr="008F328C" w:rsidRDefault="000E0B7C">
      <w:pPr>
        <w:pStyle w:val="a3"/>
        <w:rPr>
          <w:rFonts w:eastAsia="Times New Roman"/>
          <w:lang w:val="pl-PL"/>
        </w:rPr>
      </w:pPr>
      <w:r w:rsidRPr="008F328C">
        <w:rPr>
          <w:rFonts w:eastAsia="Times New Roman"/>
          <w:lang w:val="pl-PL"/>
        </w:rPr>
        <w:t>Po leczeniu indukcyjnym, zalecana dawka wynosi 40 mg co drugi tydzień we wstrzyknięciu podskórnym. Ewentualnie, jeśli pacjent przerwał stosowanie produktu Yuflyma, a objawy przedmiotowe i podmiotowe choroby</w:t>
      </w:r>
      <w:r w:rsidR="00CB773E" w:rsidRPr="008F328C">
        <w:rPr>
          <w:rFonts w:eastAsia="Times New Roman"/>
          <w:lang w:val="pl-PL"/>
        </w:rPr>
        <w:t xml:space="preserve"> </w:t>
      </w:r>
      <w:r w:rsidRPr="008F328C">
        <w:rPr>
          <w:rFonts w:eastAsia="Times New Roman"/>
          <w:lang w:val="pl-PL"/>
        </w:rPr>
        <w:t>nawróciły, można ponownie zacząć podawanie produktu Yuflyma. Doświadczenie związane z wznowieniem podawania po upływie więcej niż 8 tygodni od podania poprzedniej dawki jest niewielkie.</w:t>
      </w:r>
    </w:p>
    <w:p w14:paraId="7EEB9B42" w14:textId="77777777" w:rsidR="002E5800" w:rsidRPr="008F328C" w:rsidRDefault="002E5800">
      <w:pPr>
        <w:spacing w:line="240" w:lineRule="exact"/>
        <w:rPr>
          <w:rFonts w:ascii="Times New Roman" w:hAnsi="Times New Roman" w:cs="Times New Roman"/>
          <w:lang w:val="pl-PL"/>
        </w:rPr>
      </w:pPr>
    </w:p>
    <w:p w14:paraId="2FB01D3A" w14:textId="77777777" w:rsidR="002E5800" w:rsidRPr="008F328C" w:rsidRDefault="000E0B7C">
      <w:pPr>
        <w:pStyle w:val="a3"/>
        <w:rPr>
          <w:lang w:val="pl-PL"/>
        </w:rPr>
      </w:pPr>
      <w:r w:rsidRPr="008F328C">
        <w:rPr>
          <w:rFonts w:eastAsia="Times New Roman"/>
          <w:lang w:val="pl-PL"/>
        </w:rPr>
        <w:t xml:space="preserve">Podczas leczenia podtrzymującego można stopniowo zmniejszać dawkę kortykosteroidów zgodnie z </w:t>
      </w:r>
      <w:r w:rsidRPr="008F328C">
        <w:rPr>
          <w:rFonts w:eastAsia="Times New Roman"/>
          <w:lang w:val="pl-PL"/>
        </w:rPr>
        <w:lastRenderedPageBreak/>
        <w:t>zaleceniami praktyki klinicznej.</w:t>
      </w:r>
    </w:p>
    <w:p w14:paraId="125E036E" w14:textId="77777777" w:rsidR="002E5800" w:rsidRPr="008F328C" w:rsidRDefault="002E5800">
      <w:pPr>
        <w:spacing w:line="240" w:lineRule="exact"/>
        <w:rPr>
          <w:rFonts w:ascii="Times New Roman" w:hAnsi="Times New Roman" w:cs="Times New Roman"/>
          <w:lang w:val="pl-PL"/>
        </w:rPr>
      </w:pPr>
    </w:p>
    <w:p w14:paraId="3BB63FC5" w14:textId="77777777" w:rsidR="002E5800" w:rsidRPr="008F328C" w:rsidRDefault="000E0B7C">
      <w:pPr>
        <w:pStyle w:val="a3"/>
        <w:rPr>
          <w:lang w:val="pl-PL"/>
        </w:rPr>
      </w:pPr>
      <w:r w:rsidRPr="008F328C">
        <w:rPr>
          <w:rFonts w:eastAsia="Times New Roman"/>
          <w:lang w:val="pl-PL"/>
        </w:rPr>
        <w:t>U niektórych pacjentów, u których występuje zmniejszenie odpowiedzi na leczenie produktem Yuflyma 40 mg co drugi tydzień, może być korzystne zwiększenie dawkowania Yuflyma do 40 mg co tydzień lub 80 mg co drugi tydzień.</w:t>
      </w:r>
    </w:p>
    <w:p w14:paraId="59B933DE" w14:textId="77777777" w:rsidR="002E5800" w:rsidRPr="008F328C" w:rsidRDefault="002E5800">
      <w:pPr>
        <w:spacing w:line="240" w:lineRule="exact"/>
        <w:rPr>
          <w:rFonts w:ascii="Times New Roman" w:hAnsi="Times New Roman" w:cs="Times New Roman"/>
          <w:lang w:val="pl-PL"/>
        </w:rPr>
      </w:pPr>
    </w:p>
    <w:p w14:paraId="3107BA8B" w14:textId="77777777" w:rsidR="002E5800" w:rsidRPr="008F328C" w:rsidRDefault="000E0B7C">
      <w:pPr>
        <w:pStyle w:val="a3"/>
        <w:rPr>
          <w:lang w:val="pl-PL"/>
        </w:rPr>
      </w:pPr>
      <w:r w:rsidRPr="008F328C">
        <w:rPr>
          <w:rFonts w:eastAsia="Times New Roman"/>
          <w:lang w:val="pl-PL"/>
        </w:rPr>
        <w:t>U niektórych pacjentów, którzy nie wykazali odpowiedzi na leczenie do 4. tygodnia może być korzystne kontynuowanie leczenia podtrzymującego do 12. tygodnia włącznie. Należy ponownie dokładnie rozważyć czy kontynuować leczenie u pacjenta, który nie odpowiedział na leczenie w tym okresie.</w:t>
      </w:r>
    </w:p>
    <w:p w14:paraId="108C39BF" w14:textId="77777777" w:rsidR="002E5800" w:rsidRPr="008F328C" w:rsidRDefault="002E5800">
      <w:pPr>
        <w:spacing w:line="240" w:lineRule="exact"/>
        <w:rPr>
          <w:rFonts w:ascii="Times New Roman" w:hAnsi="Times New Roman" w:cs="Times New Roman"/>
          <w:lang w:val="pl-PL"/>
        </w:rPr>
      </w:pPr>
    </w:p>
    <w:p w14:paraId="6E90004B"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Wrzodziejące zapalenie jelita grubego (WZJG)</w:t>
      </w:r>
    </w:p>
    <w:p w14:paraId="25682805" w14:textId="77777777" w:rsidR="002E5800" w:rsidRPr="008F328C" w:rsidRDefault="002E5800">
      <w:pPr>
        <w:spacing w:line="240" w:lineRule="exact"/>
        <w:rPr>
          <w:rFonts w:ascii="Times New Roman" w:hAnsi="Times New Roman" w:cs="Times New Roman"/>
          <w:lang w:val="pl-PL"/>
        </w:rPr>
      </w:pPr>
    </w:p>
    <w:p w14:paraId="0F304650" w14:textId="66B872A4" w:rsidR="002E5800" w:rsidRPr="008F328C" w:rsidRDefault="000E0B7C">
      <w:pPr>
        <w:pStyle w:val="a3"/>
        <w:rPr>
          <w:rFonts w:eastAsia="Times New Roman"/>
          <w:lang w:val="pl-PL"/>
        </w:rPr>
      </w:pPr>
      <w:r w:rsidRPr="008F328C">
        <w:rPr>
          <w:rFonts w:eastAsia="Times New Roman"/>
          <w:lang w:val="pl-PL"/>
        </w:rPr>
        <w:t>Zalecany schemat dawkowania produktu Yuflyma w okresie leczenia indukcyjnego u dorosłych pacjentów z wrzodziejącym zapaleniem jelita grubego o nasileniu umiarkowanym do ciężkiego wynosi 160 mg w tygodniu 0 (jako cztery wstrzyknięcia 40 mg jednego dnia lub jako dwa wstrzyknięcia 40 mg na dobę przez dwa kolejne dni) oraz</w:t>
      </w:r>
      <w:r w:rsidR="00CB773E" w:rsidRPr="008F328C">
        <w:rPr>
          <w:rFonts w:eastAsia="Times New Roman"/>
          <w:lang w:val="pl-PL"/>
        </w:rPr>
        <w:t xml:space="preserve"> </w:t>
      </w:r>
      <w:r w:rsidRPr="008F328C">
        <w:rPr>
          <w:rFonts w:eastAsia="Times New Roman"/>
          <w:lang w:val="pl-PL"/>
        </w:rPr>
        <w:t xml:space="preserve">80 mg w 2. tygodniu (jako dwa wstrzyknięcia 40 mg jednego dnia). Po leczeniu indukcyjnym, zalecana dawka wynosi 40 mg co drugi tydzień we wstrzyknięciu podskórnym. </w:t>
      </w:r>
    </w:p>
    <w:p w14:paraId="4A0616BF" w14:textId="77777777" w:rsidR="002E5800" w:rsidRPr="008F328C" w:rsidRDefault="002E5800">
      <w:pPr>
        <w:spacing w:line="240" w:lineRule="exact"/>
        <w:rPr>
          <w:rFonts w:ascii="Times New Roman" w:hAnsi="Times New Roman" w:cs="Times New Roman"/>
          <w:lang w:val="pl-PL"/>
        </w:rPr>
      </w:pPr>
    </w:p>
    <w:p w14:paraId="66A37341" w14:textId="77777777" w:rsidR="002E5800" w:rsidRPr="008F328C" w:rsidRDefault="000E0B7C">
      <w:pPr>
        <w:pStyle w:val="a3"/>
        <w:rPr>
          <w:lang w:val="pl-PL"/>
        </w:rPr>
      </w:pPr>
      <w:r w:rsidRPr="008F328C">
        <w:rPr>
          <w:rFonts w:eastAsia="Times New Roman"/>
          <w:lang w:val="pl-PL"/>
        </w:rPr>
        <w:t>Podczas leczenia podtrzymującego można stopniowo zmniejszać dawkę kortykosteroidów zgodnie z zaleceniami praktyki klinicznej.</w:t>
      </w:r>
    </w:p>
    <w:p w14:paraId="27896499" w14:textId="77777777" w:rsidR="002E5800" w:rsidRPr="008F328C" w:rsidRDefault="002E5800">
      <w:pPr>
        <w:pStyle w:val="a3"/>
        <w:rPr>
          <w:lang w:val="pl-PL"/>
        </w:rPr>
      </w:pPr>
    </w:p>
    <w:p w14:paraId="5CE50F35" w14:textId="77777777" w:rsidR="002E5800" w:rsidRPr="008F328C" w:rsidRDefault="000E0B7C">
      <w:pPr>
        <w:pStyle w:val="a3"/>
        <w:rPr>
          <w:lang w:val="pl-PL"/>
        </w:rPr>
      </w:pPr>
      <w:r w:rsidRPr="008F328C">
        <w:rPr>
          <w:rFonts w:eastAsia="Times New Roman"/>
          <w:spacing w:val="-2"/>
          <w:lang w:val="pl-PL"/>
        </w:rPr>
        <w:t>U niektórych pacjentów, u których występuje zmniejszenie odpowiedzi na leczenie produktem Yuflyma 40 mg co drugi tydzień, może być korzystne zwiększenie dawkowania Yuflyma do 40 mg co tydzień lub 80 mg co drugi tydzień.</w:t>
      </w:r>
    </w:p>
    <w:p w14:paraId="5A8544FC" w14:textId="77777777" w:rsidR="002E5800" w:rsidRPr="008F328C" w:rsidRDefault="002E5800">
      <w:pPr>
        <w:spacing w:line="240" w:lineRule="exact"/>
        <w:rPr>
          <w:rFonts w:ascii="Times New Roman" w:hAnsi="Times New Roman" w:cs="Times New Roman"/>
          <w:lang w:val="pl-PL"/>
        </w:rPr>
      </w:pPr>
    </w:p>
    <w:p w14:paraId="45B4647E" w14:textId="77777777" w:rsidR="002E5800" w:rsidRPr="008F328C" w:rsidRDefault="000E0B7C">
      <w:pPr>
        <w:pStyle w:val="a3"/>
        <w:rPr>
          <w:lang w:val="pl-PL"/>
        </w:rPr>
      </w:pPr>
      <w:r w:rsidRPr="008F328C">
        <w:rPr>
          <w:rFonts w:eastAsia="Times New Roman"/>
          <w:lang w:val="pl-PL"/>
        </w:rPr>
        <w:t>Z dostępnych danych wynika, że odpowiedź kliniczna następuje zazwyczaj w ciągu 2-8 tygodni leczenia. Nie należy kontynuować leczenia produktem Yuflyma u pacjentów, którzy nie odpowiedzieli na leczenie w tym okresie.</w:t>
      </w:r>
    </w:p>
    <w:p w14:paraId="33836125" w14:textId="77777777" w:rsidR="00C40D4E" w:rsidRPr="008F328C" w:rsidRDefault="00C40D4E">
      <w:pPr>
        <w:rPr>
          <w:rFonts w:ascii="Times New Roman" w:eastAsia="Times New Roman" w:hAnsi="Times New Roman" w:cs="Times New Roman"/>
          <w:i/>
          <w:lang w:val="pl-PL"/>
        </w:rPr>
      </w:pPr>
    </w:p>
    <w:p w14:paraId="307F04BA"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lang w:val="pl-PL"/>
        </w:rPr>
        <w:t>Zapalenie błony naczyniowej oka</w:t>
      </w:r>
    </w:p>
    <w:p w14:paraId="13E50E3E" w14:textId="77777777" w:rsidR="002E5800" w:rsidRPr="008F328C" w:rsidRDefault="002E5800">
      <w:pPr>
        <w:spacing w:line="240" w:lineRule="exact"/>
        <w:rPr>
          <w:rFonts w:ascii="Times New Roman" w:hAnsi="Times New Roman" w:cs="Times New Roman"/>
          <w:lang w:val="pl-PL"/>
        </w:rPr>
      </w:pPr>
    </w:p>
    <w:p w14:paraId="55601C9D" w14:textId="77777777" w:rsidR="002E5800" w:rsidRPr="008F328C" w:rsidRDefault="000E0B7C">
      <w:pPr>
        <w:pStyle w:val="a3"/>
        <w:rPr>
          <w:lang w:val="pl-PL"/>
        </w:rPr>
      </w:pPr>
      <w:r w:rsidRPr="008F328C">
        <w:rPr>
          <w:rFonts w:eastAsia="Times New Roman"/>
          <w:lang w:val="pl-PL"/>
        </w:rPr>
        <w:t>Zalecana dawka produktu Yuflyma u dorosłych pacjentów z zapaleniem błony naczyniowej oka to dawka początkowa 80 mg, a następnie po tygodniu od podania dawki początkowej, dawka 40 mg podawana co drugi tydzień. Doświadczenie w rozpoczynaniu leczenia wyłącznie adalimumabem jest ograniczone. Leczenie produktem Yuflyma można rozpocząć w skojarzeniu z kortykosteroidami oraz (lub) innymi niebiologicznymi lekami immunomodulującymi Po upływie dwóch tygodni od rozpoczęcia leczenia produktem Yuflyma, dawkę jednocześnie stosowanych kortykosteroidów można stopniowo zmniejszać, zgodnie z praktyką kliniczną.</w:t>
      </w:r>
    </w:p>
    <w:p w14:paraId="6336A6CC" w14:textId="77777777" w:rsidR="002E5800" w:rsidRPr="008F328C" w:rsidRDefault="002E5800">
      <w:pPr>
        <w:spacing w:line="240" w:lineRule="exact"/>
        <w:rPr>
          <w:rFonts w:ascii="Times New Roman" w:hAnsi="Times New Roman" w:cs="Times New Roman"/>
          <w:lang w:val="pl-PL"/>
        </w:rPr>
      </w:pPr>
    </w:p>
    <w:p w14:paraId="42A9D24D" w14:textId="77777777" w:rsidR="002E5800" w:rsidRPr="008F328C" w:rsidRDefault="000E0B7C">
      <w:pPr>
        <w:pStyle w:val="a3"/>
        <w:rPr>
          <w:lang w:val="pl-PL"/>
        </w:rPr>
      </w:pPr>
      <w:r w:rsidRPr="008F328C">
        <w:rPr>
          <w:rFonts w:eastAsia="Times New Roman"/>
          <w:spacing w:val="-4"/>
          <w:lang w:val="pl-PL"/>
        </w:rPr>
        <w:t>Zaleca się coroczną ocenę korzyści i ryzyka związanego z kontynuacją długookresowego leczenia (patrz punkt 5.1).</w:t>
      </w:r>
    </w:p>
    <w:p w14:paraId="07F5A6EC" w14:textId="77777777" w:rsidR="002E5800" w:rsidRPr="008F328C" w:rsidRDefault="002E5800">
      <w:pPr>
        <w:pStyle w:val="a3"/>
        <w:rPr>
          <w:lang w:val="pl-PL"/>
        </w:rPr>
      </w:pPr>
    </w:p>
    <w:p w14:paraId="76116221" w14:textId="77777777" w:rsidR="002E5800" w:rsidRPr="008F328C" w:rsidRDefault="000E0B7C">
      <w:pPr>
        <w:pStyle w:val="a3"/>
        <w:rPr>
          <w:u w:val="single"/>
          <w:lang w:val="pl-PL"/>
        </w:rPr>
      </w:pPr>
      <w:r w:rsidRPr="008F328C">
        <w:rPr>
          <w:rFonts w:eastAsia="Times New Roman"/>
          <w:u w:val="single" w:color="000000"/>
          <w:lang w:val="pl-PL"/>
        </w:rPr>
        <w:t>Szczególne grupy pacjentów</w:t>
      </w:r>
    </w:p>
    <w:p w14:paraId="13EE8740" w14:textId="77777777" w:rsidR="002E5800" w:rsidRPr="008F328C" w:rsidRDefault="002E5800">
      <w:pPr>
        <w:spacing w:line="180" w:lineRule="exact"/>
        <w:rPr>
          <w:rFonts w:ascii="Times New Roman" w:hAnsi="Times New Roman" w:cs="Times New Roman"/>
          <w:lang w:val="pl-PL"/>
        </w:rPr>
      </w:pPr>
    </w:p>
    <w:p w14:paraId="40C74E15" w14:textId="77777777" w:rsidR="002E5800" w:rsidRPr="008F328C" w:rsidRDefault="000E0B7C">
      <w:pPr>
        <w:pStyle w:val="a3"/>
        <w:rPr>
          <w:i/>
          <w:lang w:val="pl-PL"/>
        </w:rPr>
      </w:pPr>
      <w:r w:rsidRPr="008F328C">
        <w:rPr>
          <w:rFonts w:eastAsia="Times New Roman"/>
          <w:i/>
          <w:iCs/>
          <w:lang w:val="pl-PL"/>
        </w:rPr>
        <w:t>Pacjenci w podeszłym wieku</w:t>
      </w:r>
    </w:p>
    <w:p w14:paraId="390B5F6F" w14:textId="77777777" w:rsidR="002E5800" w:rsidRPr="008F328C" w:rsidRDefault="002E5800">
      <w:pPr>
        <w:spacing w:line="240" w:lineRule="exact"/>
        <w:rPr>
          <w:rFonts w:ascii="Times New Roman" w:hAnsi="Times New Roman" w:cs="Times New Roman"/>
          <w:lang w:val="pl-PL"/>
        </w:rPr>
      </w:pPr>
    </w:p>
    <w:p w14:paraId="0458FD12" w14:textId="4D12E1E8" w:rsidR="002E5800" w:rsidRPr="008F328C" w:rsidRDefault="000E0B7C">
      <w:pPr>
        <w:pStyle w:val="a3"/>
        <w:rPr>
          <w:lang w:val="pl-PL"/>
        </w:rPr>
      </w:pPr>
      <w:r w:rsidRPr="008F328C">
        <w:rPr>
          <w:rFonts w:eastAsia="Times New Roman"/>
          <w:lang w:val="pl-PL"/>
        </w:rPr>
        <w:t xml:space="preserve">Nie jest </w:t>
      </w:r>
      <w:r w:rsidR="002C43C5" w:rsidRPr="008F328C">
        <w:rPr>
          <w:rFonts w:eastAsia="Times New Roman"/>
          <w:lang w:val="pl-PL"/>
        </w:rPr>
        <w:t xml:space="preserve">konieczna </w:t>
      </w:r>
      <w:r w:rsidRPr="008F328C">
        <w:rPr>
          <w:rFonts w:eastAsia="Times New Roman"/>
          <w:lang w:val="pl-PL"/>
        </w:rPr>
        <w:t xml:space="preserve">zmiana dawki. </w:t>
      </w:r>
    </w:p>
    <w:p w14:paraId="64F1438D" w14:textId="77777777" w:rsidR="002E5800" w:rsidRPr="008F328C" w:rsidRDefault="002E5800">
      <w:pPr>
        <w:pStyle w:val="a3"/>
        <w:rPr>
          <w:lang w:val="pl-PL"/>
        </w:rPr>
      </w:pPr>
    </w:p>
    <w:p w14:paraId="16B951EA" w14:textId="77777777" w:rsidR="002E5800" w:rsidRPr="008F328C" w:rsidRDefault="000E0B7C">
      <w:pPr>
        <w:pStyle w:val="a3"/>
        <w:rPr>
          <w:i/>
          <w:lang w:val="pl-PL"/>
        </w:rPr>
      </w:pPr>
      <w:r w:rsidRPr="008F328C">
        <w:rPr>
          <w:rFonts w:eastAsia="Times New Roman"/>
          <w:i/>
          <w:iCs/>
          <w:lang w:val="pl-PL"/>
        </w:rPr>
        <w:t>Zaburzenia czynności nerek i (lub) wątroby</w:t>
      </w:r>
    </w:p>
    <w:p w14:paraId="5E8841BE" w14:textId="77777777" w:rsidR="002E5800" w:rsidRPr="008F328C" w:rsidRDefault="002E5800">
      <w:pPr>
        <w:pStyle w:val="a3"/>
        <w:rPr>
          <w:lang w:val="pl-PL"/>
        </w:rPr>
      </w:pPr>
    </w:p>
    <w:p w14:paraId="2C4EF7A8" w14:textId="77777777" w:rsidR="002E5800" w:rsidRPr="008F328C" w:rsidRDefault="000E0B7C">
      <w:pPr>
        <w:pStyle w:val="a3"/>
        <w:rPr>
          <w:lang w:val="pl-PL"/>
        </w:rPr>
      </w:pPr>
      <w:r w:rsidRPr="008F328C">
        <w:rPr>
          <w:rFonts w:eastAsia="Times New Roman"/>
          <w:lang w:val="pl-PL"/>
        </w:rPr>
        <w:t xml:space="preserve">Nie badano stosowania adalimumabu w tych populacjach pacjentów. Nie można podać zaleceń dotyczących dawkowania. </w:t>
      </w:r>
    </w:p>
    <w:p w14:paraId="6C7FB581" w14:textId="77777777" w:rsidR="002E5800" w:rsidRPr="008F328C" w:rsidRDefault="002E5800">
      <w:pPr>
        <w:pStyle w:val="a3"/>
        <w:rPr>
          <w:lang w:val="pl-PL"/>
        </w:rPr>
      </w:pPr>
    </w:p>
    <w:p w14:paraId="7A630F05" w14:textId="77777777" w:rsidR="002E5800" w:rsidRPr="00D97EE5" w:rsidRDefault="000E0B7C">
      <w:pPr>
        <w:pStyle w:val="a3"/>
        <w:rPr>
          <w:u w:val="single"/>
          <w:lang w:val="pl-PL"/>
        </w:rPr>
      </w:pPr>
      <w:r w:rsidRPr="00D97EE5">
        <w:rPr>
          <w:rFonts w:eastAsia="Times New Roman"/>
          <w:u w:val="single"/>
          <w:lang w:val="pl-PL"/>
        </w:rPr>
        <w:t>Dzieci i młodzież</w:t>
      </w:r>
    </w:p>
    <w:p w14:paraId="45442814" w14:textId="77777777" w:rsidR="002E5800" w:rsidRPr="008F328C" w:rsidRDefault="002E5800">
      <w:pPr>
        <w:pStyle w:val="a3"/>
        <w:rPr>
          <w:i/>
          <w:lang w:val="pl-PL"/>
        </w:rPr>
      </w:pPr>
    </w:p>
    <w:p w14:paraId="4E3DCEFC" w14:textId="77777777" w:rsidR="002E5800" w:rsidRPr="008F328C" w:rsidRDefault="000E0B7C">
      <w:pPr>
        <w:spacing w:line="480" w:lineRule="auto"/>
        <w:rPr>
          <w:rFonts w:ascii="Times New Roman" w:eastAsia="Times New Roman" w:hAnsi="Times New Roman" w:cs="Times New Roman"/>
          <w:i/>
          <w:spacing w:val="-1"/>
          <w:lang w:val="pl-PL"/>
        </w:rPr>
      </w:pPr>
      <w:r w:rsidRPr="008F328C">
        <w:rPr>
          <w:rFonts w:ascii="Times New Roman" w:eastAsia="Times New Roman" w:hAnsi="Times New Roman" w:cs="Times New Roman"/>
          <w:i/>
          <w:iCs/>
          <w:spacing w:val="-1"/>
          <w:lang w:val="pl-PL"/>
        </w:rPr>
        <w:t>Młodzieńcze idiopatyczne zapalenie stawów</w:t>
      </w:r>
    </w:p>
    <w:p w14:paraId="343A751C" w14:textId="77777777" w:rsidR="002E5800" w:rsidRPr="008F328C" w:rsidRDefault="000E0B7C">
      <w:pPr>
        <w:spacing w:line="480" w:lineRule="auto"/>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 xml:space="preserve">Wielostawowe młodzieńcze idiopatyczne zapalenie stawów u pacjentów w wieku od 2 lat </w:t>
      </w:r>
    </w:p>
    <w:p w14:paraId="41AB8BAA" w14:textId="77777777" w:rsidR="002E5800" w:rsidRPr="008F328C" w:rsidRDefault="000E0B7C">
      <w:pPr>
        <w:pStyle w:val="a3"/>
        <w:rPr>
          <w:lang w:val="pl-PL"/>
        </w:rPr>
      </w:pPr>
      <w:r w:rsidRPr="008F328C">
        <w:rPr>
          <w:rFonts w:eastAsia="Times New Roman"/>
          <w:lang w:val="pl-PL"/>
        </w:rPr>
        <w:t>Zalecana dawka produktu Yuflyma u pacjentów z wielostawowym młodzieńczym idiopatycznym zapaleniem stawów w wieku od 2 lat ustalana jest w zależności od masy ciała pacjenta (Tabela 1). Produkt Yuflyma podaje się co drugi tydzień we wstrzyknięciu podskórnym.</w:t>
      </w:r>
    </w:p>
    <w:p w14:paraId="6D19C016" w14:textId="77777777" w:rsidR="002E5800" w:rsidRPr="008F328C" w:rsidRDefault="002E5800">
      <w:pPr>
        <w:pStyle w:val="a3"/>
        <w:rPr>
          <w:lang w:val="pl-PL"/>
        </w:rPr>
      </w:pPr>
    </w:p>
    <w:p w14:paraId="0FEB0933" w14:textId="12A14093" w:rsidR="002E5800" w:rsidRPr="008F328C" w:rsidRDefault="000E0B7C">
      <w:pPr>
        <w:pStyle w:val="a3"/>
        <w:jc w:val="center"/>
        <w:rPr>
          <w:b/>
          <w:lang w:val="pl-PL"/>
        </w:rPr>
      </w:pPr>
      <w:r w:rsidRPr="008F328C">
        <w:rPr>
          <w:rFonts w:eastAsia="Times New Roman"/>
          <w:b/>
          <w:bCs/>
          <w:lang w:val="pl-PL"/>
        </w:rPr>
        <w:t>Tabela 1 Dawka produktu Yuflyma u pacjentów z wielostawowym młodzieńczym idiopatycznym zapaleniem stawów</w:t>
      </w:r>
    </w:p>
    <w:p w14:paraId="46CCB115" w14:textId="77777777" w:rsidR="002E5800" w:rsidRPr="008F328C" w:rsidRDefault="002E5800">
      <w:pPr>
        <w:pStyle w:val="a3"/>
        <w:rPr>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2E5800" w:rsidRPr="008F328C" w14:paraId="7A8C0AF5" w14:textId="77777777" w:rsidTr="00012556">
        <w:trPr>
          <w:jc w:val="center"/>
        </w:trPr>
        <w:tc>
          <w:tcPr>
            <w:tcW w:w="3271" w:type="dxa"/>
            <w:tcBorders>
              <w:top w:val="single" w:sz="4" w:space="0" w:color="auto"/>
              <w:bottom w:val="single" w:sz="4" w:space="0" w:color="auto"/>
            </w:tcBorders>
            <w:vAlign w:val="center"/>
          </w:tcPr>
          <w:p w14:paraId="35B25E60" w14:textId="77777777" w:rsidR="002E5800" w:rsidRPr="008F328C" w:rsidRDefault="000E0B7C" w:rsidP="00012556">
            <w:pPr>
              <w:pStyle w:val="a3"/>
              <w:spacing w:before="60" w:after="60"/>
              <w:jc w:val="center"/>
              <w:rPr>
                <w:b/>
                <w:lang w:val="pl-PL"/>
              </w:rPr>
            </w:pPr>
            <w:r w:rsidRPr="008F328C">
              <w:rPr>
                <w:rFonts w:eastAsia="Times New Roman"/>
                <w:b/>
                <w:bCs/>
                <w:lang w:val="pl-PL"/>
              </w:rPr>
              <w:t>Masa ciała pacjenta</w:t>
            </w:r>
          </w:p>
        </w:tc>
        <w:tc>
          <w:tcPr>
            <w:tcW w:w="3271" w:type="dxa"/>
            <w:tcBorders>
              <w:top w:val="single" w:sz="4" w:space="0" w:color="auto"/>
              <w:bottom w:val="single" w:sz="4" w:space="0" w:color="auto"/>
            </w:tcBorders>
            <w:vAlign w:val="center"/>
          </w:tcPr>
          <w:p w14:paraId="16DB6A5C" w14:textId="77777777" w:rsidR="002E5800" w:rsidRPr="008F328C" w:rsidRDefault="000E0B7C" w:rsidP="00012556">
            <w:pPr>
              <w:pStyle w:val="a3"/>
              <w:spacing w:before="60" w:after="60"/>
              <w:jc w:val="center"/>
              <w:rPr>
                <w:b/>
                <w:lang w:val="pl-PL"/>
              </w:rPr>
            </w:pPr>
            <w:r w:rsidRPr="008F328C">
              <w:rPr>
                <w:rFonts w:eastAsia="Times New Roman"/>
                <w:b/>
                <w:bCs/>
                <w:lang w:val="pl-PL"/>
              </w:rPr>
              <w:t>Schemat dawkowania</w:t>
            </w:r>
          </w:p>
        </w:tc>
      </w:tr>
      <w:tr w:rsidR="002E5800" w:rsidRPr="008F328C" w14:paraId="0CA0369D" w14:textId="77777777" w:rsidTr="00012556">
        <w:trPr>
          <w:jc w:val="center"/>
        </w:trPr>
        <w:tc>
          <w:tcPr>
            <w:tcW w:w="3271" w:type="dxa"/>
            <w:tcBorders>
              <w:top w:val="single" w:sz="4" w:space="0" w:color="auto"/>
              <w:bottom w:val="single" w:sz="4" w:space="0" w:color="auto"/>
            </w:tcBorders>
            <w:vAlign w:val="center"/>
          </w:tcPr>
          <w:p w14:paraId="698D5A67" w14:textId="77777777" w:rsidR="002E5800" w:rsidRPr="008F328C" w:rsidRDefault="000E0B7C" w:rsidP="00012556">
            <w:pPr>
              <w:pStyle w:val="a3"/>
              <w:spacing w:before="60" w:after="60"/>
              <w:jc w:val="center"/>
              <w:rPr>
                <w:lang w:val="pl-PL"/>
              </w:rPr>
            </w:pPr>
            <w:r w:rsidRPr="008F328C">
              <w:rPr>
                <w:rFonts w:eastAsia="Times New Roman"/>
                <w:lang w:val="pl-PL"/>
              </w:rPr>
              <w:t>10 kg do &lt; 30 kg</w:t>
            </w:r>
          </w:p>
        </w:tc>
        <w:tc>
          <w:tcPr>
            <w:tcW w:w="3271" w:type="dxa"/>
            <w:tcBorders>
              <w:top w:val="single" w:sz="4" w:space="0" w:color="auto"/>
              <w:bottom w:val="single" w:sz="4" w:space="0" w:color="auto"/>
            </w:tcBorders>
            <w:vAlign w:val="center"/>
          </w:tcPr>
          <w:p w14:paraId="6ED215EE" w14:textId="67C86FF3" w:rsidR="002E5800" w:rsidRPr="008F328C" w:rsidRDefault="00C40D4E" w:rsidP="00012556">
            <w:pPr>
              <w:pStyle w:val="a3"/>
              <w:spacing w:before="60" w:after="60"/>
              <w:jc w:val="center"/>
              <w:rPr>
                <w:lang w:val="pl-PL"/>
              </w:rPr>
            </w:pPr>
            <w:r>
              <w:rPr>
                <w:rFonts w:eastAsia="Times New Roman"/>
                <w:lang w:val="pl-PL"/>
              </w:rPr>
              <w:t>2</w:t>
            </w:r>
            <w:r w:rsidRPr="008F328C">
              <w:rPr>
                <w:rFonts w:eastAsia="Times New Roman"/>
                <w:lang w:val="pl-PL"/>
              </w:rPr>
              <w:t>0 mg co drugi tydzień</w:t>
            </w:r>
          </w:p>
        </w:tc>
      </w:tr>
      <w:tr w:rsidR="002E5800" w:rsidRPr="008F328C" w14:paraId="635250DF" w14:textId="77777777" w:rsidTr="00012556">
        <w:trPr>
          <w:jc w:val="center"/>
        </w:trPr>
        <w:tc>
          <w:tcPr>
            <w:tcW w:w="3271" w:type="dxa"/>
            <w:tcBorders>
              <w:top w:val="single" w:sz="4" w:space="0" w:color="auto"/>
              <w:bottom w:val="single" w:sz="4" w:space="0" w:color="auto"/>
            </w:tcBorders>
            <w:vAlign w:val="center"/>
          </w:tcPr>
          <w:p w14:paraId="795BCEEB" w14:textId="77777777" w:rsidR="002E5800" w:rsidRPr="008F328C" w:rsidRDefault="000E0B7C" w:rsidP="00012556">
            <w:pPr>
              <w:pStyle w:val="a3"/>
              <w:spacing w:before="60" w:after="60"/>
              <w:jc w:val="center"/>
              <w:rPr>
                <w:lang w:val="pl-PL"/>
              </w:rPr>
            </w:pPr>
            <w:r w:rsidRPr="008F328C">
              <w:rPr>
                <w:rFonts w:eastAsia="Times New Roman"/>
                <w:lang w:val="pl-PL"/>
              </w:rPr>
              <w:t>≥ 30 kg</w:t>
            </w:r>
          </w:p>
        </w:tc>
        <w:tc>
          <w:tcPr>
            <w:tcW w:w="3271" w:type="dxa"/>
            <w:tcBorders>
              <w:top w:val="single" w:sz="4" w:space="0" w:color="auto"/>
              <w:bottom w:val="single" w:sz="4" w:space="0" w:color="auto"/>
            </w:tcBorders>
            <w:vAlign w:val="center"/>
          </w:tcPr>
          <w:p w14:paraId="521DFBD1" w14:textId="77777777" w:rsidR="002E5800" w:rsidRPr="008F328C" w:rsidRDefault="000E0B7C" w:rsidP="00012556">
            <w:pPr>
              <w:pStyle w:val="a3"/>
              <w:spacing w:before="60" w:after="60"/>
              <w:jc w:val="center"/>
              <w:rPr>
                <w:lang w:val="pl-PL"/>
              </w:rPr>
            </w:pPr>
            <w:r w:rsidRPr="008F328C">
              <w:rPr>
                <w:rFonts w:eastAsia="Times New Roman"/>
                <w:lang w:val="pl-PL"/>
              </w:rPr>
              <w:t>40 mg co drugi tydzień</w:t>
            </w:r>
          </w:p>
        </w:tc>
      </w:tr>
    </w:tbl>
    <w:p w14:paraId="4E6DEB32" w14:textId="77777777" w:rsidR="002E5800" w:rsidRPr="008F328C" w:rsidRDefault="002E5800">
      <w:pPr>
        <w:pStyle w:val="a3"/>
        <w:rPr>
          <w:lang w:val="pl-PL"/>
        </w:rPr>
      </w:pPr>
    </w:p>
    <w:p w14:paraId="69E4C6A9" w14:textId="77777777" w:rsidR="002E5800" w:rsidRPr="008F328C" w:rsidRDefault="000E0B7C">
      <w:pPr>
        <w:pStyle w:val="a3"/>
        <w:rPr>
          <w:lang w:val="pl-PL"/>
        </w:rPr>
      </w:pPr>
      <w:r w:rsidRPr="008F328C">
        <w:rPr>
          <w:rFonts w:eastAsia="Times New Roman"/>
          <w:lang w:val="pl-PL"/>
        </w:rPr>
        <w:t>Dostępne dane wskazują, że odpowiedź kliniczna następuje zazwyczaj w ciągu 12 tygodni leczenia. Należy ponownie dokładnie rozważyć czy kontynuować leczenie u pacjenta, który nie odpowiedział na leczenie w tym okresie.</w:t>
      </w:r>
    </w:p>
    <w:p w14:paraId="08A63802" w14:textId="77777777" w:rsidR="002E5800" w:rsidRPr="008F328C" w:rsidRDefault="002E5800">
      <w:pPr>
        <w:pStyle w:val="a3"/>
        <w:rPr>
          <w:lang w:val="pl-PL"/>
        </w:rPr>
      </w:pPr>
    </w:p>
    <w:p w14:paraId="6BBF6CCE" w14:textId="77777777" w:rsidR="002E5800" w:rsidRPr="008F328C" w:rsidRDefault="000E0B7C">
      <w:pPr>
        <w:pStyle w:val="a3"/>
        <w:rPr>
          <w:lang w:val="pl-PL"/>
        </w:rPr>
      </w:pPr>
      <w:r w:rsidRPr="008F328C">
        <w:rPr>
          <w:rFonts w:eastAsia="Times New Roman"/>
          <w:lang w:val="pl-PL"/>
        </w:rPr>
        <w:t>Stosowanie adalimumabu u pacjentów w wieku poniżej 2 lat nie jest właściwe w tym wskazaniu.</w:t>
      </w:r>
    </w:p>
    <w:p w14:paraId="2D5CD71E" w14:textId="77777777" w:rsidR="00C40D4E" w:rsidRPr="008F328C" w:rsidRDefault="00C40D4E">
      <w:pPr>
        <w:pStyle w:val="a3"/>
        <w:ind w:right="203"/>
        <w:rPr>
          <w:lang w:val="pl-PL"/>
        </w:rPr>
      </w:pPr>
    </w:p>
    <w:p w14:paraId="7B9EF1B5"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u w:val="single" w:color="000000"/>
          <w:lang w:val="pl-PL"/>
        </w:rPr>
        <w:t>Zapalenie stawów z towarzyszącym zapaleniem przyczepów ścięgnistych</w:t>
      </w:r>
    </w:p>
    <w:p w14:paraId="1BAB9C40" w14:textId="77777777" w:rsidR="002E5800" w:rsidRPr="008F328C" w:rsidRDefault="002E5800">
      <w:pPr>
        <w:spacing w:before="9" w:line="170" w:lineRule="exact"/>
        <w:rPr>
          <w:rFonts w:ascii="Times New Roman" w:hAnsi="Times New Roman" w:cs="Times New Roman"/>
          <w:sz w:val="17"/>
          <w:szCs w:val="17"/>
          <w:lang w:val="pl-PL"/>
        </w:rPr>
      </w:pPr>
    </w:p>
    <w:p w14:paraId="2A1C272C" w14:textId="38F479DD" w:rsidR="002E5800" w:rsidRPr="008F328C" w:rsidRDefault="000E0B7C">
      <w:pPr>
        <w:pStyle w:val="a3"/>
        <w:rPr>
          <w:rFonts w:eastAsia="Times New Roman"/>
          <w:lang w:val="pl-PL"/>
        </w:rPr>
      </w:pPr>
      <w:r w:rsidRPr="008F328C">
        <w:rPr>
          <w:rFonts w:eastAsia="Times New Roman"/>
          <w:lang w:val="pl-PL"/>
        </w:rPr>
        <w:t>Zalecana dawka produktu Yuflyma u pacjentów z zapaleniem stawów z towarzyszącym zapaleniem przyczepów</w:t>
      </w:r>
      <w:r w:rsidR="004B3F36" w:rsidRPr="008F328C">
        <w:rPr>
          <w:rFonts w:eastAsia="Times New Roman"/>
          <w:lang w:val="pl-PL"/>
        </w:rPr>
        <w:t xml:space="preserve"> </w:t>
      </w:r>
      <w:r w:rsidRPr="008F328C">
        <w:rPr>
          <w:rFonts w:eastAsia="Times New Roman"/>
          <w:lang w:val="pl-PL"/>
        </w:rPr>
        <w:t>ścięgnistych w wieku od 6 lat ustalana jest w zależności</w:t>
      </w:r>
      <w:r w:rsidR="004B3F36" w:rsidRPr="008F328C">
        <w:rPr>
          <w:rFonts w:eastAsia="Times New Roman"/>
          <w:lang w:val="pl-PL"/>
        </w:rPr>
        <w:t xml:space="preserve"> </w:t>
      </w:r>
      <w:r w:rsidRPr="008F328C">
        <w:rPr>
          <w:rFonts w:eastAsia="Times New Roman"/>
          <w:lang w:val="pl-PL"/>
        </w:rPr>
        <w:t>od masy ciała pacjenta (Tabela 2). Produkt Yuflyma podaje się co drugi tydzień we wstrzyknięciu podskórnym.</w:t>
      </w:r>
    </w:p>
    <w:p w14:paraId="15177A6F" w14:textId="77777777" w:rsidR="002E5800" w:rsidRPr="008F328C" w:rsidRDefault="002E5800">
      <w:pPr>
        <w:pStyle w:val="a3"/>
        <w:rPr>
          <w:lang w:val="pl-PL"/>
        </w:rPr>
      </w:pPr>
    </w:p>
    <w:p w14:paraId="40C0B7AF" w14:textId="0CA45015" w:rsidR="002E5800" w:rsidRPr="008F328C" w:rsidRDefault="000E0B7C">
      <w:pPr>
        <w:pStyle w:val="a3"/>
        <w:jc w:val="center"/>
        <w:rPr>
          <w:b/>
          <w:lang w:val="pl-PL"/>
        </w:rPr>
      </w:pPr>
      <w:r w:rsidRPr="008F328C">
        <w:rPr>
          <w:rFonts w:eastAsia="Times New Roman"/>
          <w:b/>
          <w:bCs/>
          <w:lang w:val="pl-PL"/>
        </w:rPr>
        <w:t>Tabela 2 Dawka produktu Yuflyma u pacjentów z zapaleniem stawów</w:t>
      </w:r>
    </w:p>
    <w:p w14:paraId="3C5399BA" w14:textId="77777777" w:rsidR="002E5800" w:rsidRPr="008F328C" w:rsidRDefault="000E0B7C">
      <w:pPr>
        <w:pStyle w:val="a3"/>
        <w:jc w:val="center"/>
        <w:rPr>
          <w:rFonts w:eastAsia="Times New Roman"/>
          <w:b/>
          <w:bCs/>
          <w:lang w:val="pl-PL"/>
        </w:rPr>
      </w:pPr>
      <w:r w:rsidRPr="008F328C">
        <w:rPr>
          <w:rFonts w:eastAsia="Times New Roman"/>
          <w:b/>
          <w:bCs/>
          <w:lang w:val="pl-PL"/>
        </w:rPr>
        <w:t>z towarzyszącym zapaleniem przyczepów ścięgnistych</w:t>
      </w:r>
    </w:p>
    <w:p w14:paraId="6E3D56A6" w14:textId="77777777" w:rsidR="002E5800" w:rsidRPr="008F328C" w:rsidRDefault="002E5800">
      <w:pPr>
        <w:spacing w:before="7" w:line="220" w:lineRule="exact"/>
        <w:rPr>
          <w:rFonts w:ascii="Times New Roman" w:hAnsi="Times New Roman" w:cs="Times New Roman"/>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2E5800" w:rsidRPr="008F328C" w14:paraId="59F741F4" w14:textId="77777777" w:rsidTr="00012556">
        <w:trPr>
          <w:jc w:val="center"/>
        </w:trPr>
        <w:tc>
          <w:tcPr>
            <w:tcW w:w="3572" w:type="dxa"/>
            <w:tcBorders>
              <w:top w:val="single" w:sz="4" w:space="0" w:color="auto"/>
              <w:bottom w:val="single" w:sz="4" w:space="0" w:color="auto"/>
            </w:tcBorders>
            <w:vAlign w:val="center"/>
          </w:tcPr>
          <w:p w14:paraId="42321597" w14:textId="77777777" w:rsidR="002E5800" w:rsidRPr="008F328C" w:rsidRDefault="000E0B7C" w:rsidP="00012556">
            <w:pPr>
              <w:pStyle w:val="a3"/>
              <w:spacing w:before="60" w:after="60"/>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1673224B" w14:textId="77777777" w:rsidR="002E5800" w:rsidRPr="008F328C" w:rsidRDefault="000E0B7C" w:rsidP="00012556">
            <w:pPr>
              <w:pStyle w:val="a3"/>
              <w:spacing w:before="60" w:after="60"/>
              <w:jc w:val="center"/>
              <w:rPr>
                <w:b/>
                <w:lang w:val="pl-PL"/>
              </w:rPr>
            </w:pPr>
            <w:r w:rsidRPr="008F328C">
              <w:rPr>
                <w:rFonts w:eastAsia="Times New Roman"/>
                <w:b/>
                <w:bCs/>
                <w:lang w:val="pl-PL"/>
              </w:rPr>
              <w:t>Schemat dawkowania</w:t>
            </w:r>
          </w:p>
        </w:tc>
      </w:tr>
      <w:tr w:rsidR="002E5800" w:rsidRPr="008F328C" w14:paraId="0AFC917E" w14:textId="77777777" w:rsidTr="00012556">
        <w:trPr>
          <w:jc w:val="center"/>
        </w:trPr>
        <w:tc>
          <w:tcPr>
            <w:tcW w:w="3572" w:type="dxa"/>
            <w:tcBorders>
              <w:top w:val="single" w:sz="4" w:space="0" w:color="auto"/>
              <w:bottom w:val="single" w:sz="4" w:space="0" w:color="auto"/>
            </w:tcBorders>
            <w:vAlign w:val="center"/>
          </w:tcPr>
          <w:p w14:paraId="7DAA1C02" w14:textId="77777777" w:rsidR="002E5800" w:rsidRPr="008F328C" w:rsidRDefault="000E0B7C" w:rsidP="00012556">
            <w:pPr>
              <w:pStyle w:val="a3"/>
              <w:spacing w:before="60" w:after="60"/>
              <w:jc w:val="center"/>
              <w:rPr>
                <w:lang w:val="pl-PL"/>
              </w:rPr>
            </w:pPr>
            <w:r w:rsidRPr="008F328C">
              <w:rPr>
                <w:rFonts w:eastAsia="Times New Roman"/>
                <w:lang w:val="pl-PL"/>
              </w:rPr>
              <w:t>15 kg do &lt; 30 kg</w:t>
            </w:r>
          </w:p>
        </w:tc>
        <w:tc>
          <w:tcPr>
            <w:tcW w:w="3572" w:type="dxa"/>
            <w:tcBorders>
              <w:top w:val="single" w:sz="4" w:space="0" w:color="auto"/>
              <w:bottom w:val="single" w:sz="4" w:space="0" w:color="auto"/>
            </w:tcBorders>
            <w:vAlign w:val="center"/>
          </w:tcPr>
          <w:p w14:paraId="020167ED" w14:textId="6A48A885" w:rsidR="002E5800" w:rsidRPr="008F328C" w:rsidRDefault="00C40D4E" w:rsidP="00012556">
            <w:pPr>
              <w:pStyle w:val="a3"/>
              <w:spacing w:before="60" w:after="60"/>
              <w:jc w:val="center"/>
              <w:rPr>
                <w:lang w:val="pl-PL"/>
              </w:rPr>
            </w:pPr>
            <w:r>
              <w:rPr>
                <w:rFonts w:eastAsia="Times New Roman"/>
                <w:lang w:val="pl-PL"/>
              </w:rPr>
              <w:t>2</w:t>
            </w:r>
            <w:r w:rsidRPr="008F328C">
              <w:rPr>
                <w:rFonts w:eastAsia="Times New Roman"/>
                <w:lang w:val="pl-PL"/>
              </w:rPr>
              <w:t>0 mg co drugi tydzień</w:t>
            </w:r>
          </w:p>
        </w:tc>
      </w:tr>
      <w:tr w:rsidR="002E5800" w:rsidRPr="008F328C" w14:paraId="62C2EE90" w14:textId="77777777" w:rsidTr="00012556">
        <w:trPr>
          <w:jc w:val="center"/>
        </w:trPr>
        <w:tc>
          <w:tcPr>
            <w:tcW w:w="3572" w:type="dxa"/>
            <w:tcBorders>
              <w:top w:val="single" w:sz="4" w:space="0" w:color="auto"/>
              <w:bottom w:val="single" w:sz="4" w:space="0" w:color="auto"/>
            </w:tcBorders>
            <w:vAlign w:val="center"/>
          </w:tcPr>
          <w:p w14:paraId="16665091" w14:textId="77777777" w:rsidR="002E5800" w:rsidRPr="008F328C" w:rsidRDefault="000E0B7C" w:rsidP="00012556">
            <w:pPr>
              <w:pStyle w:val="a3"/>
              <w:spacing w:before="60" w:after="60"/>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6E2D8136" w14:textId="77777777" w:rsidR="002E5800" w:rsidRPr="008F328C" w:rsidRDefault="000E0B7C" w:rsidP="00012556">
            <w:pPr>
              <w:pStyle w:val="a3"/>
              <w:spacing w:before="60" w:after="60"/>
              <w:jc w:val="center"/>
              <w:rPr>
                <w:lang w:val="pl-PL"/>
              </w:rPr>
            </w:pPr>
            <w:r w:rsidRPr="008F328C">
              <w:rPr>
                <w:rFonts w:eastAsia="Times New Roman"/>
                <w:lang w:val="pl-PL"/>
              </w:rPr>
              <w:t>40 mg co drugi tydzień</w:t>
            </w:r>
          </w:p>
        </w:tc>
      </w:tr>
    </w:tbl>
    <w:p w14:paraId="1A5DB5D3" w14:textId="77777777" w:rsidR="002E5800" w:rsidRPr="008F328C" w:rsidRDefault="002E5800">
      <w:pPr>
        <w:pStyle w:val="a3"/>
        <w:rPr>
          <w:lang w:val="pl-PL"/>
        </w:rPr>
      </w:pPr>
    </w:p>
    <w:p w14:paraId="18151FB8" w14:textId="77777777" w:rsidR="002E5800" w:rsidRPr="008F328C" w:rsidRDefault="000E0B7C">
      <w:pPr>
        <w:pStyle w:val="a3"/>
        <w:rPr>
          <w:lang w:val="pl-PL"/>
        </w:rPr>
      </w:pPr>
      <w:r w:rsidRPr="008F328C">
        <w:rPr>
          <w:rFonts w:eastAsia="Times New Roman"/>
          <w:lang w:val="pl-PL"/>
        </w:rPr>
        <w:t>Adalimumabu nie badano u pacjentów z zapaleniem stawów z towarzyszącym zapaleniem przyczepów ścięgnistych w wieku poniżej 6 lat.</w:t>
      </w:r>
    </w:p>
    <w:p w14:paraId="64C5F7D5" w14:textId="77777777" w:rsidR="0003721A" w:rsidRPr="008F328C" w:rsidRDefault="0003721A" w:rsidP="00A02771">
      <w:pPr>
        <w:rPr>
          <w:rFonts w:ascii="Times New Roman" w:eastAsia="Times New Roman" w:hAnsi="Times New Roman" w:cs="Times New Roman"/>
          <w:i/>
          <w:spacing w:val="-1"/>
          <w:u w:val="single"/>
          <w:lang w:val="pl-PL"/>
        </w:rPr>
      </w:pPr>
    </w:p>
    <w:p w14:paraId="5229EF25" w14:textId="77777777" w:rsidR="00A02771" w:rsidRPr="00D97EE5" w:rsidRDefault="00A02771" w:rsidP="00A02771">
      <w:pPr>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Łuszczycowe zapalenie stawów i osiowa spondyloartropatia, w tym zesztywniające zapalenie stawów kręgosłupa</w:t>
      </w:r>
    </w:p>
    <w:p w14:paraId="2DC8312A" w14:textId="77777777" w:rsidR="00A02771" w:rsidRPr="008F328C" w:rsidRDefault="00A02771" w:rsidP="00A02771">
      <w:pPr>
        <w:spacing w:line="170" w:lineRule="exact"/>
        <w:rPr>
          <w:rFonts w:ascii="Times New Roman" w:hAnsi="Times New Roman" w:cs="Times New Roman"/>
          <w:lang w:val="pl-PL"/>
        </w:rPr>
      </w:pPr>
    </w:p>
    <w:p w14:paraId="7412E01C" w14:textId="77777777" w:rsidR="00A02771" w:rsidRPr="008F328C" w:rsidRDefault="00A02771" w:rsidP="00A02771">
      <w:pPr>
        <w:pStyle w:val="a3"/>
        <w:rPr>
          <w:lang w:val="pl-PL"/>
        </w:rPr>
      </w:pPr>
      <w:r w:rsidRPr="008F328C">
        <w:rPr>
          <w:rFonts w:eastAsia="Times New Roman"/>
          <w:lang w:val="pl-PL"/>
        </w:rPr>
        <w:t>Stosowanie adalimumabu u dzieci i młodzieży nie jest właściwe we wskazaniach zesztywniające zapalenie stawów kręgosłupa i łuszczycowe zapalenie stawów.</w:t>
      </w:r>
    </w:p>
    <w:p w14:paraId="7D6E94EE" w14:textId="77777777" w:rsidR="002E5800" w:rsidRPr="008F328C" w:rsidRDefault="002E5800">
      <w:pPr>
        <w:pStyle w:val="a3"/>
        <w:rPr>
          <w:lang w:val="pl-PL"/>
        </w:rPr>
      </w:pPr>
    </w:p>
    <w:p w14:paraId="16546C6B" w14:textId="77777777" w:rsidR="002E5800" w:rsidRPr="00D97EE5" w:rsidRDefault="000E0B7C">
      <w:pPr>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Łuszczyca zwyczajna (plackowata) u dzieci i młodzieży</w:t>
      </w:r>
    </w:p>
    <w:p w14:paraId="3FD00562" w14:textId="77777777" w:rsidR="002E5800" w:rsidRPr="008F328C" w:rsidRDefault="002E5800">
      <w:pPr>
        <w:spacing w:line="240" w:lineRule="exact"/>
        <w:rPr>
          <w:rFonts w:ascii="Times New Roman" w:hAnsi="Times New Roman" w:cs="Times New Roman"/>
          <w:sz w:val="24"/>
          <w:szCs w:val="24"/>
          <w:lang w:val="pl-PL"/>
        </w:rPr>
      </w:pPr>
    </w:p>
    <w:p w14:paraId="2A6B6981" w14:textId="77777777" w:rsidR="002E5800" w:rsidRPr="008F328C" w:rsidRDefault="000E0B7C">
      <w:pPr>
        <w:pStyle w:val="a3"/>
        <w:rPr>
          <w:lang w:val="pl-PL"/>
        </w:rPr>
      </w:pPr>
      <w:r w:rsidRPr="008F328C">
        <w:rPr>
          <w:rFonts w:eastAsia="Times New Roman"/>
          <w:lang w:val="pl-PL"/>
        </w:rPr>
        <w:t>Zalecana dawka produktu Yuflyma u pacjentów z łuszczycą zwyczajną (plackowatą) w wieku od 4 do 17 lat</w:t>
      </w:r>
    </w:p>
    <w:p w14:paraId="75BB38BA" w14:textId="77777777" w:rsidR="002E5800" w:rsidRPr="008F328C" w:rsidRDefault="000E0B7C">
      <w:pPr>
        <w:pStyle w:val="a3"/>
        <w:rPr>
          <w:rFonts w:eastAsia="Times New Roman"/>
          <w:lang w:val="pl-PL"/>
        </w:rPr>
      </w:pPr>
      <w:r w:rsidRPr="008F328C">
        <w:rPr>
          <w:rFonts w:eastAsia="Times New Roman"/>
          <w:lang w:val="pl-PL"/>
        </w:rPr>
        <w:t>ustalana jest w zależności od masy ciała pacjenta (Tabela 3). Produkt Yuflyma podaje się we wstrzyknięciu podskórnym.</w:t>
      </w:r>
    </w:p>
    <w:p w14:paraId="2A7C209F" w14:textId="77777777" w:rsidR="002E5800" w:rsidRPr="008F328C" w:rsidRDefault="002E5800">
      <w:pPr>
        <w:pStyle w:val="a3"/>
        <w:rPr>
          <w:lang w:val="pl-PL"/>
        </w:rPr>
      </w:pPr>
    </w:p>
    <w:p w14:paraId="76FC40B6" w14:textId="35694A80" w:rsidR="002E5800" w:rsidRPr="008F328C" w:rsidRDefault="000E0B7C">
      <w:pPr>
        <w:pStyle w:val="a3"/>
        <w:jc w:val="center"/>
        <w:rPr>
          <w:b/>
          <w:lang w:val="pl-PL"/>
        </w:rPr>
      </w:pPr>
      <w:r w:rsidRPr="008F328C">
        <w:rPr>
          <w:rFonts w:eastAsia="Times New Roman"/>
          <w:b/>
          <w:bCs/>
          <w:lang w:val="pl-PL"/>
        </w:rPr>
        <w:lastRenderedPageBreak/>
        <w:t xml:space="preserve">Tabela 3 Dawka produktu Yuflyma u dzieci i młodzieży z łuszczycą zwyczajną (plackowatą) </w:t>
      </w:r>
    </w:p>
    <w:p w14:paraId="464B74DC" w14:textId="77777777" w:rsidR="002E5800" w:rsidRPr="008F328C" w:rsidRDefault="002E5800">
      <w:pPr>
        <w:spacing w:before="7" w:line="220" w:lineRule="exact"/>
        <w:jc w:val="center"/>
        <w:rPr>
          <w:rFonts w:ascii="Times New Roman" w:hAnsi="Times New Roman" w:cs="Times New Roman"/>
          <w:b/>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2E5800" w:rsidRPr="008F328C" w14:paraId="2044BFBE" w14:textId="77777777" w:rsidTr="00012556">
        <w:trPr>
          <w:jc w:val="center"/>
        </w:trPr>
        <w:tc>
          <w:tcPr>
            <w:tcW w:w="3572" w:type="dxa"/>
            <w:tcBorders>
              <w:top w:val="single" w:sz="4" w:space="0" w:color="auto"/>
              <w:bottom w:val="single" w:sz="4" w:space="0" w:color="auto"/>
            </w:tcBorders>
            <w:vAlign w:val="center"/>
          </w:tcPr>
          <w:p w14:paraId="57CF07BE" w14:textId="77777777" w:rsidR="002E5800" w:rsidRPr="008F328C" w:rsidRDefault="000E0B7C" w:rsidP="00012556">
            <w:pPr>
              <w:pStyle w:val="a3"/>
              <w:spacing w:before="60" w:after="60"/>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3C68EC79" w14:textId="77777777" w:rsidR="002E5800" w:rsidRPr="008F328C" w:rsidRDefault="000E0B7C" w:rsidP="00012556">
            <w:pPr>
              <w:pStyle w:val="a3"/>
              <w:spacing w:before="60" w:after="60"/>
              <w:jc w:val="center"/>
              <w:rPr>
                <w:b/>
                <w:lang w:val="pl-PL"/>
              </w:rPr>
            </w:pPr>
            <w:r w:rsidRPr="008F328C">
              <w:rPr>
                <w:rFonts w:eastAsia="Times New Roman"/>
                <w:b/>
                <w:bCs/>
                <w:lang w:val="pl-PL"/>
              </w:rPr>
              <w:t>Schemat dawkowania</w:t>
            </w:r>
          </w:p>
        </w:tc>
      </w:tr>
      <w:tr w:rsidR="002E5800" w:rsidRPr="006D3555" w14:paraId="11D96815" w14:textId="77777777" w:rsidTr="00012556">
        <w:trPr>
          <w:jc w:val="center"/>
        </w:trPr>
        <w:tc>
          <w:tcPr>
            <w:tcW w:w="3572" w:type="dxa"/>
            <w:tcBorders>
              <w:top w:val="single" w:sz="4" w:space="0" w:color="auto"/>
              <w:bottom w:val="single" w:sz="4" w:space="0" w:color="auto"/>
            </w:tcBorders>
            <w:vAlign w:val="center"/>
          </w:tcPr>
          <w:p w14:paraId="087C9114" w14:textId="77777777" w:rsidR="002E5800" w:rsidRPr="008F328C" w:rsidRDefault="000E0B7C" w:rsidP="00012556">
            <w:pPr>
              <w:pStyle w:val="a3"/>
              <w:spacing w:before="60" w:after="60"/>
              <w:jc w:val="center"/>
              <w:rPr>
                <w:lang w:val="pl-PL"/>
              </w:rPr>
            </w:pPr>
            <w:r w:rsidRPr="008F328C">
              <w:rPr>
                <w:rFonts w:eastAsia="Times New Roman"/>
                <w:lang w:val="pl-PL"/>
              </w:rPr>
              <w:t>15 kg do &lt; 30 kg</w:t>
            </w:r>
          </w:p>
        </w:tc>
        <w:tc>
          <w:tcPr>
            <w:tcW w:w="3572" w:type="dxa"/>
            <w:tcBorders>
              <w:top w:val="single" w:sz="4" w:space="0" w:color="auto"/>
              <w:bottom w:val="single" w:sz="4" w:space="0" w:color="auto"/>
            </w:tcBorders>
            <w:vAlign w:val="center"/>
          </w:tcPr>
          <w:p w14:paraId="2DD65075" w14:textId="31760CC9" w:rsidR="002E5800" w:rsidRPr="008F328C" w:rsidRDefault="0003721A" w:rsidP="00012556">
            <w:pPr>
              <w:pStyle w:val="a3"/>
              <w:spacing w:before="60" w:after="60"/>
              <w:jc w:val="center"/>
              <w:rPr>
                <w:lang w:val="pl-PL"/>
              </w:rPr>
            </w:pPr>
            <w:r w:rsidRPr="008F328C">
              <w:rPr>
                <w:rFonts w:eastAsia="Times New Roman"/>
                <w:lang w:val="pl-PL"/>
              </w:rPr>
              <w:t xml:space="preserve">Dawka początkowa </w:t>
            </w:r>
            <w:r>
              <w:rPr>
                <w:rFonts w:eastAsia="Times New Roman"/>
                <w:lang w:val="pl-PL"/>
              </w:rPr>
              <w:t>2</w:t>
            </w:r>
            <w:r w:rsidRPr="008F328C">
              <w:rPr>
                <w:rFonts w:eastAsia="Times New Roman"/>
                <w:lang w:val="pl-PL"/>
              </w:rPr>
              <w:t xml:space="preserve">0 mg, a następnie po upływie jednego tygodnia od podania dawki początkowej, </w:t>
            </w:r>
            <w:r>
              <w:rPr>
                <w:rFonts w:eastAsia="Times New Roman"/>
                <w:lang w:val="pl-PL"/>
              </w:rPr>
              <w:t>2</w:t>
            </w:r>
            <w:r w:rsidRPr="008F328C">
              <w:rPr>
                <w:rFonts w:eastAsia="Times New Roman"/>
                <w:lang w:val="pl-PL"/>
              </w:rPr>
              <w:t>0 mg podawane co drugi tydzień</w:t>
            </w:r>
          </w:p>
        </w:tc>
      </w:tr>
      <w:tr w:rsidR="002E5800" w:rsidRPr="006D3555" w14:paraId="2B724B8B" w14:textId="77777777" w:rsidTr="00012556">
        <w:trPr>
          <w:jc w:val="center"/>
        </w:trPr>
        <w:tc>
          <w:tcPr>
            <w:tcW w:w="3572" w:type="dxa"/>
            <w:tcBorders>
              <w:top w:val="single" w:sz="4" w:space="0" w:color="auto"/>
              <w:bottom w:val="single" w:sz="4" w:space="0" w:color="auto"/>
            </w:tcBorders>
            <w:vAlign w:val="center"/>
          </w:tcPr>
          <w:p w14:paraId="5C7A9D5B" w14:textId="77777777" w:rsidR="002E5800" w:rsidRPr="008F328C" w:rsidRDefault="000E0B7C" w:rsidP="00012556">
            <w:pPr>
              <w:pStyle w:val="a3"/>
              <w:spacing w:before="60" w:after="60"/>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66F3A0F2" w14:textId="77777777" w:rsidR="002E5800" w:rsidRPr="008F328C" w:rsidRDefault="000E0B7C" w:rsidP="00012556">
            <w:pPr>
              <w:pStyle w:val="a3"/>
              <w:spacing w:before="60" w:after="60"/>
              <w:jc w:val="center"/>
              <w:rPr>
                <w:lang w:val="pl-PL"/>
              </w:rPr>
            </w:pPr>
            <w:r w:rsidRPr="008F328C">
              <w:rPr>
                <w:rFonts w:eastAsia="Times New Roman"/>
                <w:lang w:val="pl-PL"/>
              </w:rPr>
              <w:t>Dawka początkowa 40 mg, a następnie po upływie jednego tygodnia od podania dawki początkowej, 40 mg podawane co drugi tydzień</w:t>
            </w:r>
          </w:p>
        </w:tc>
      </w:tr>
    </w:tbl>
    <w:p w14:paraId="64B9A24A" w14:textId="77777777" w:rsidR="002E5800" w:rsidRPr="008F328C" w:rsidRDefault="002E5800">
      <w:pPr>
        <w:pStyle w:val="a3"/>
        <w:rPr>
          <w:lang w:val="pl-PL"/>
        </w:rPr>
      </w:pPr>
    </w:p>
    <w:p w14:paraId="4093DDAE" w14:textId="77777777" w:rsidR="002E5800" w:rsidRPr="008F328C" w:rsidRDefault="000E0B7C">
      <w:pPr>
        <w:pStyle w:val="a3"/>
        <w:rPr>
          <w:lang w:val="pl-PL"/>
        </w:rPr>
      </w:pPr>
      <w:r w:rsidRPr="008F328C">
        <w:rPr>
          <w:rFonts w:eastAsia="Times New Roman"/>
          <w:lang w:val="pl-PL"/>
        </w:rPr>
        <w:t>Należy dokładnie rozważyć, czy kontynuować leczenie dłużej niż 16 tygodni u pacjenta, który nie odpowiedział na leczenie w tym okresie.</w:t>
      </w:r>
    </w:p>
    <w:p w14:paraId="03AC2C2A" w14:textId="77777777" w:rsidR="002E5800" w:rsidRPr="008F328C" w:rsidRDefault="002E5800">
      <w:pPr>
        <w:spacing w:line="240" w:lineRule="exact"/>
        <w:rPr>
          <w:rFonts w:ascii="Times New Roman" w:hAnsi="Times New Roman" w:cs="Times New Roman"/>
          <w:sz w:val="24"/>
          <w:szCs w:val="24"/>
          <w:lang w:val="pl-PL"/>
        </w:rPr>
      </w:pPr>
    </w:p>
    <w:p w14:paraId="1456FC84" w14:textId="352F5034" w:rsidR="002E5800" w:rsidRPr="008F328C" w:rsidRDefault="000E0B7C">
      <w:pPr>
        <w:pStyle w:val="a3"/>
        <w:rPr>
          <w:rFonts w:eastAsia="Times New Roman"/>
          <w:lang w:val="pl-PL"/>
        </w:rPr>
      </w:pPr>
      <w:r w:rsidRPr="008F328C">
        <w:rPr>
          <w:rFonts w:eastAsia="Times New Roman"/>
          <w:lang w:val="pl-PL"/>
        </w:rPr>
        <w:t>Jeśli wskazane jest powtórne leczenie</w:t>
      </w:r>
      <w:r w:rsidR="00E922D5" w:rsidRPr="008F328C">
        <w:rPr>
          <w:rFonts w:eastAsia="Times New Roman"/>
          <w:lang w:val="pl-PL"/>
        </w:rPr>
        <w:t xml:space="preserve"> </w:t>
      </w:r>
      <w:r w:rsidRPr="008F328C">
        <w:rPr>
          <w:rFonts w:eastAsia="Times New Roman"/>
          <w:lang w:val="pl-PL"/>
        </w:rPr>
        <w:t>adalimumabem, należy postępować zgodnie z powyższymi zaleceniami dotyczącymi dawkowania i czasu trwania leczenia.</w:t>
      </w:r>
    </w:p>
    <w:p w14:paraId="68221729" w14:textId="77777777" w:rsidR="002E5800" w:rsidRPr="008F328C" w:rsidRDefault="002E5800">
      <w:pPr>
        <w:spacing w:line="240" w:lineRule="exact"/>
        <w:rPr>
          <w:rFonts w:ascii="Times New Roman" w:hAnsi="Times New Roman" w:cs="Times New Roman"/>
          <w:sz w:val="24"/>
          <w:szCs w:val="24"/>
          <w:lang w:val="pl-PL"/>
        </w:rPr>
      </w:pPr>
    </w:p>
    <w:p w14:paraId="7EDF7D79" w14:textId="77777777" w:rsidR="002E5800" w:rsidRPr="008F328C" w:rsidRDefault="000E0B7C">
      <w:pPr>
        <w:pStyle w:val="a3"/>
        <w:rPr>
          <w:lang w:val="pl-PL"/>
        </w:rPr>
      </w:pPr>
      <w:r w:rsidRPr="008F328C">
        <w:rPr>
          <w:rFonts w:eastAsia="Times New Roman"/>
          <w:lang w:val="pl-PL"/>
        </w:rPr>
        <w:t>Bezpieczeństwo stosowania adalimumabu u dzieci i młodzieży z łuszczycą zwyczajną (plackowatą) oceniano przez średnio 13 miesięcy.</w:t>
      </w:r>
    </w:p>
    <w:p w14:paraId="5EDD7547" w14:textId="77777777" w:rsidR="002E5800" w:rsidRPr="008F328C" w:rsidRDefault="002E5800">
      <w:pPr>
        <w:spacing w:line="240" w:lineRule="exact"/>
        <w:rPr>
          <w:rFonts w:ascii="Times New Roman" w:hAnsi="Times New Roman" w:cs="Times New Roman"/>
          <w:sz w:val="24"/>
          <w:szCs w:val="24"/>
          <w:lang w:val="pl-PL"/>
        </w:rPr>
      </w:pPr>
    </w:p>
    <w:p w14:paraId="70E91B67" w14:textId="77777777" w:rsidR="002E5800" w:rsidRPr="008F328C" w:rsidRDefault="000E0B7C">
      <w:pPr>
        <w:pStyle w:val="a3"/>
        <w:rPr>
          <w:lang w:val="pl-PL"/>
        </w:rPr>
      </w:pPr>
      <w:r w:rsidRPr="008F328C">
        <w:rPr>
          <w:rFonts w:eastAsia="Times New Roman"/>
          <w:lang w:val="pl-PL"/>
        </w:rPr>
        <w:t>Stosowanie adalimumabu u pacjentów w wieku poniżej 4 lat nie jest właściwe w tym wskazaniu.</w:t>
      </w:r>
    </w:p>
    <w:p w14:paraId="39CD2CDD" w14:textId="77777777" w:rsidR="002E5800" w:rsidRPr="008F328C" w:rsidRDefault="002E5800">
      <w:pPr>
        <w:pStyle w:val="a3"/>
        <w:rPr>
          <w:lang w:val="pl-PL"/>
        </w:rPr>
      </w:pPr>
    </w:p>
    <w:p w14:paraId="0F3EEA3D" w14:textId="7324AC69" w:rsidR="002E5800" w:rsidRPr="00D97EE5" w:rsidRDefault="000E0B7C">
      <w:pPr>
        <w:jc w:val="both"/>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 xml:space="preserve">Ropne zapalenie apokrynowych gruczołów potowych u młodzieży (w wieku od 12 lat, o masie ciała co najmniej 30 kg) </w:t>
      </w:r>
    </w:p>
    <w:p w14:paraId="7BACD25D" w14:textId="77777777" w:rsidR="002E5800" w:rsidRPr="008F328C" w:rsidRDefault="002E5800">
      <w:pPr>
        <w:spacing w:line="240" w:lineRule="exact"/>
        <w:rPr>
          <w:rFonts w:ascii="Times New Roman" w:hAnsi="Times New Roman" w:cs="Times New Roman"/>
          <w:sz w:val="24"/>
          <w:szCs w:val="24"/>
          <w:lang w:val="pl-PL"/>
        </w:rPr>
      </w:pPr>
    </w:p>
    <w:p w14:paraId="300F406F" w14:textId="77777777" w:rsidR="002E5800" w:rsidRPr="008F328C" w:rsidRDefault="000E0B7C">
      <w:pPr>
        <w:pStyle w:val="a3"/>
        <w:rPr>
          <w:lang w:val="pl-PL"/>
        </w:rPr>
      </w:pPr>
      <w:r w:rsidRPr="008F328C">
        <w:rPr>
          <w:rFonts w:eastAsia="Times New Roman"/>
          <w:lang w:val="pl-PL"/>
        </w:rPr>
        <w:t>Nie ma badań klinicznych adalimumab u pacjentów w wieku młodzieńczym z HS. Dawkowanie adalimumabu u tych pacjentów ustalono na podstawie modelowania farmakokinetyki i symulacji (patrz punkt 5.2).</w:t>
      </w:r>
    </w:p>
    <w:p w14:paraId="5427A589" w14:textId="77777777" w:rsidR="002E5800" w:rsidRPr="008F328C" w:rsidRDefault="002E5800">
      <w:pPr>
        <w:spacing w:line="240" w:lineRule="exact"/>
        <w:rPr>
          <w:rFonts w:ascii="Times New Roman" w:hAnsi="Times New Roman" w:cs="Times New Roman"/>
          <w:sz w:val="24"/>
          <w:szCs w:val="24"/>
          <w:lang w:val="pl-PL"/>
        </w:rPr>
      </w:pPr>
    </w:p>
    <w:p w14:paraId="5D3760DE" w14:textId="60F729F5" w:rsidR="002E5800" w:rsidRPr="008F328C" w:rsidRDefault="000E0B7C">
      <w:pPr>
        <w:pStyle w:val="a3"/>
        <w:rPr>
          <w:rFonts w:eastAsia="Times New Roman"/>
          <w:spacing w:val="1"/>
          <w:lang w:val="pl-PL"/>
        </w:rPr>
      </w:pPr>
      <w:r w:rsidRPr="008F328C">
        <w:rPr>
          <w:rFonts w:eastAsia="Times New Roman"/>
          <w:spacing w:val="1"/>
          <w:lang w:val="pl-PL"/>
        </w:rPr>
        <w:t>Zalecana dawka produktu Yuflyma to 80 mg w tygodniu 0, a następnie począwszy od 1.</w:t>
      </w:r>
      <w:r w:rsidR="00E922D5" w:rsidRPr="008F328C">
        <w:rPr>
          <w:rFonts w:eastAsia="Times New Roman"/>
          <w:spacing w:val="1"/>
          <w:lang w:val="pl-PL"/>
        </w:rPr>
        <w:t xml:space="preserve"> </w:t>
      </w:r>
      <w:r w:rsidRPr="008F328C">
        <w:rPr>
          <w:rFonts w:eastAsia="Times New Roman"/>
          <w:spacing w:val="1"/>
          <w:lang w:val="pl-PL"/>
        </w:rPr>
        <w:t>tygodnia 40 mg co drugi tydzień, podawane we wstrzyknięciu podskórnym.</w:t>
      </w:r>
    </w:p>
    <w:p w14:paraId="308C1B30" w14:textId="77777777" w:rsidR="002E5800" w:rsidRPr="008F328C" w:rsidRDefault="002E5800">
      <w:pPr>
        <w:spacing w:line="240" w:lineRule="exact"/>
        <w:rPr>
          <w:rFonts w:ascii="Times New Roman" w:hAnsi="Times New Roman" w:cs="Times New Roman"/>
          <w:sz w:val="24"/>
          <w:szCs w:val="24"/>
          <w:lang w:val="pl-PL"/>
        </w:rPr>
      </w:pPr>
    </w:p>
    <w:p w14:paraId="46C59413" w14:textId="716C204C" w:rsidR="002E5800" w:rsidRPr="008F328C" w:rsidRDefault="000E0B7C">
      <w:pPr>
        <w:pStyle w:val="a3"/>
        <w:rPr>
          <w:rFonts w:eastAsia="Times New Roman"/>
          <w:lang w:val="pl-PL"/>
        </w:rPr>
      </w:pPr>
      <w:r w:rsidRPr="008F328C">
        <w:rPr>
          <w:rFonts w:eastAsia="Times New Roman"/>
          <w:lang w:val="pl-PL"/>
        </w:rPr>
        <w:t>U pacjentów w wieku młodzieńczym z</w:t>
      </w:r>
      <w:r w:rsidR="00E922D5" w:rsidRPr="008F328C">
        <w:rPr>
          <w:rFonts w:eastAsia="Times New Roman"/>
          <w:lang w:val="pl-PL"/>
        </w:rPr>
        <w:t xml:space="preserve"> </w:t>
      </w:r>
      <w:r w:rsidRPr="008F328C">
        <w:rPr>
          <w:rFonts w:eastAsia="Times New Roman"/>
          <w:lang w:val="pl-PL"/>
        </w:rPr>
        <w:t>niewystarczającą odpowiedzią na produkt Yuflyma w dawce 40 mg co drugi tydzień</w:t>
      </w:r>
      <w:r w:rsidR="00E922D5" w:rsidRPr="008F328C">
        <w:rPr>
          <w:rFonts w:eastAsia="Times New Roman"/>
          <w:lang w:val="pl-PL"/>
        </w:rPr>
        <w:t xml:space="preserve"> </w:t>
      </w:r>
      <w:r w:rsidRPr="008F328C">
        <w:rPr>
          <w:rFonts w:eastAsia="Times New Roman"/>
          <w:lang w:val="pl-PL"/>
        </w:rPr>
        <w:t>można rozważyć zwiększenie dawkowania do 40 mg</w:t>
      </w:r>
      <w:r w:rsidR="00E922D5" w:rsidRPr="008F328C">
        <w:rPr>
          <w:rFonts w:eastAsia="Times New Roman"/>
          <w:lang w:val="pl-PL"/>
        </w:rPr>
        <w:t xml:space="preserve"> </w:t>
      </w:r>
      <w:r w:rsidRPr="008F328C">
        <w:rPr>
          <w:rFonts w:eastAsia="Times New Roman"/>
          <w:lang w:val="pl-PL"/>
        </w:rPr>
        <w:t>co tydzień lub 80 mg co drugi tydzień.</w:t>
      </w:r>
    </w:p>
    <w:p w14:paraId="24CE73E5" w14:textId="77777777" w:rsidR="002E5800" w:rsidRPr="008F328C" w:rsidRDefault="002E5800">
      <w:pPr>
        <w:spacing w:line="240" w:lineRule="exact"/>
        <w:rPr>
          <w:rFonts w:ascii="Times New Roman" w:hAnsi="Times New Roman" w:cs="Times New Roman"/>
          <w:sz w:val="24"/>
          <w:szCs w:val="24"/>
          <w:lang w:val="pl-PL"/>
        </w:rPr>
      </w:pPr>
    </w:p>
    <w:p w14:paraId="1F40ED9D" w14:textId="77777777" w:rsidR="002E5800" w:rsidRPr="008F328C" w:rsidRDefault="000E0B7C">
      <w:pPr>
        <w:pStyle w:val="a3"/>
        <w:rPr>
          <w:lang w:val="pl-PL"/>
        </w:rPr>
      </w:pPr>
      <w:r w:rsidRPr="008F328C">
        <w:rPr>
          <w:rFonts w:eastAsia="Times New Roman"/>
          <w:lang w:val="pl-PL"/>
        </w:rPr>
        <w:t>Jeśli to konieczne, w okresie leczenia produktem Yuflyma można kontynuować stosowanie antybiotyków. Zaleca się, aby w okresie leczenia produktem Yuflyma pacjenci codziennie przemywali zmiany skórne wywołane przez HS środkiem antyseptycznym o działaniu miejscowym.</w:t>
      </w:r>
    </w:p>
    <w:p w14:paraId="18E85636" w14:textId="77777777" w:rsidR="002E5800" w:rsidRPr="008F328C" w:rsidRDefault="002E5800">
      <w:pPr>
        <w:spacing w:line="240" w:lineRule="exact"/>
        <w:rPr>
          <w:rFonts w:ascii="Times New Roman" w:hAnsi="Times New Roman" w:cs="Times New Roman"/>
          <w:sz w:val="24"/>
          <w:szCs w:val="24"/>
          <w:lang w:val="pl-PL"/>
        </w:rPr>
      </w:pPr>
    </w:p>
    <w:p w14:paraId="2440159C" w14:textId="77777777" w:rsidR="002E5800" w:rsidRPr="008F328C" w:rsidRDefault="000E0B7C">
      <w:pPr>
        <w:pStyle w:val="a3"/>
        <w:rPr>
          <w:lang w:val="pl-PL"/>
        </w:rPr>
      </w:pPr>
      <w:r w:rsidRPr="008F328C">
        <w:rPr>
          <w:rFonts w:eastAsia="Times New Roman"/>
          <w:lang w:val="pl-PL"/>
        </w:rPr>
        <w:t>Należy ponownie dokładnie rozważyć czy kontynuować leczenie dłużej niż przez 12 tygodni u pacjenta, u którego w tym okresie nie nastąpiła poprawa.</w:t>
      </w:r>
    </w:p>
    <w:p w14:paraId="4989B9CB" w14:textId="77777777" w:rsidR="002E5800" w:rsidRPr="008F328C" w:rsidRDefault="002E5800">
      <w:pPr>
        <w:spacing w:line="240" w:lineRule="exact"/>
        <w:rPr>
          <w:rFonts w:ascii="Times New Roman" w:hAnsi="Times New Roman" w:cs="Times New Roman"/>
          <w:sz w:val="24"/>
          <w:szCs w:val="24"/>
          <w:lang w:val="pl-PL"/>
        </w:rPr>
      </w:pPr>
    </w:p>
    <w:p w14:paraId="3E30E1EA" w14:textId="4F0924BB" w:rsidR="002E5800" w:rsidRPr="008F328C" w:rsidRDefault="000E0B7C" w:rsidP="00404101">
      <w:pPr>
        <w:pStyle w:val="a3"/>
        <w:rPr>
          <w:sz w:val="24"/>
          <w:szCs w:val="24"/>
          <w:lang w:val="pl-PL"/>
        </w:rPr>
      </w:pPr>
      <w:r w:rsidRPr="008F328C">
        <w:rPr>
          <w:rFonts w:eastAsia="Times New Roman"/>
          <w:lang w:val="pl-PL"/>
        </w:rPr>
        <w:t>W przypadku przerwania leczenia, można</w:t>
      </w:r>
      <w:r w:rsidR="00E922D5" w:rsidRPr="008F328C">
        <w:rPr>
          <w:rFonts w:eastAsia="Times New Roman"/>
          <w:lang w:val="pl-PL"/>
        </w:rPr>
        <w:t xml:space="preserve"> </w:t>
      </w:r>
      <w:r w:rsidRPr="008F328C">
        <w:rPr>
          <w:rFonts w:eastAsia="Times New Roman"/>
          <w:lang w:val="pl-PL"/>
        </w:rPr>
        <w:t>powtórnie zastosować produkt Yuflyma, jeśli to wskazane.</w:t>
      </w:r>
      <w:r w:rsidR="00E922D5" w:rsidRPr="008F328C">
        <w:rPr>
          <w:sz w:val="24"/>
          <w:szCs w:val="24"/>
          <w:lang w:val="pl-PL"/>
        </w:rPr>
        <w:t xml:space="preserve"> </w:t>
      </w:r>
    </w:p>
    <w:p w14:paraId="7457A599" w14:textId="77777777" w:rsidR="00E922D5" w:rsidRPr="008F328C" w:rsidRDefault="00E922D5" w:rsidP="00404101">
      <w:pPr>
        <w:pStyle w:val="a3"/>
        <w:rPr>
          <w:sz w:val="24"/>
          <w:szCs w:val="24"/>
          <w:lang w:val="pl-PL"/>
        </w:rPr>
      </w:pPr>
    </w:p>
    <w:p w14:paraId="37EEA4C2" w14:textId="356E52A0" w:rsidR="002E5800" w:rsidRPr="008F328C" w:rsidRDefault="000E0B7C">
      <w:pPr>
        <w:pStyle w:val="a3"/>
        <w:rPr>
          <w:rFonts w:eastAsia="Times New Roman"/>
          <w:lang w:val="pl-PL"/>
        </w:rPr>
      </w:pPr>
      <w:r w:rsidRPr="008F328C">
        <w:rPr>
          <w:rFonts w:eastAsia="Times New Roman"/>
          <w:lang w:val="pl-PL"/>
        </w:rPr>
        <w:t>Należy okresowo oceniać korzyści i ryzyko związane z długookresową terapią (patrz dane dotyczące dorosłych pacjentów w punkcie 5.1).</w:t>
      </w:r>
    </w:p>
    <w:p w14:paraId="593368F0" w14:textId="77777777" w:rsidR="002E5800" w:rsidRPr="008F328C" w:rsidRDefault="002E5800">
      <w:pPr>
        <w:spacing w:line="240" w:lineRule="exact"/>
        <w:rPr>
          <w:rFonts w:ascii="Times New Roman" w:hAnsi="Times New Roman" w:cs="Times New Roman"/>
          <w:sz w:val="24"/>
          <w:szCs w:val="24"/>
          <w:lang w:val="pl-PL"/>
        </w:rPr>
      </w:pPr>
    </w:p>
    <w:p w14:paraId="244D9D73" w14:textId="77777777" w:rsidR="002E5800" w:rsidRPr="008F328C" w:rsidRDefault="000E0B7C">
      <w:pPr>
        <w:pStyle w:val="a3"/>
        <w:rPr>
          <w:lang w:val="pl-PL"/>
        </w:rPr>
      </w:pPr>
      <w:r w:rsidRPr="008F328C">
        <w:rPr>
          <w:rFonts w:eastAsia="Times New Roman"/>
          <w:lang w:val="pl-PL"/>
        </w:rPr>
        <w:t>Stosowanie adalimumabu u pacjentów w wieku poniżej 12 lat nie jest właściwe w tym wskazaniu.</w:t>
      </w:r>
    </w:p>
    <w:p w14:paraId="509E0B95" w14:textId="77777777" w:rsidR="002E5800" w:rsidRPr="008F328C" w:rsidRDefault="002E5800">
      <w:pPr>
        <w:spacing w:line="240" w:lineRule="exact"/>
        <w:rPr>
          <w:rFonts w:ascii="Times New Roman" w:hAnsi="Times New Roman" w:cs="Times New Roman"/>
          <w:sz w:val="24"/>
          <w:szCs w:val="24"/>
          <w:lang w:val="pl-PL"/>
        </w:rPr>
      </w:pPr>
    </w:p>
    <w:p w14:paraId="5A2F45EB" w14:textId="77777777" w:rsidR="002E5800" w:rsidRPr="00D97EE5" w:rsidRDefault="000E0B7C">
      <w:pPr>
        <w:jc w:val="both"/>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Choroba Leśniowskiego-Crohna u dzieci i młodzieży</w:t>
      </w:r>
    </w:p>
    <w:p w14:paraId="629A2CB3" w14:textId="77777777" w:rsidR="002E5800" w:rsidRPr="008F328C" w:rsidRDefault="002E5800">
      <w:pPr>
        <w:spacing w:line="240" w:lineRule="exact"/>
        <w:rPr>
          <w:rFonts w:ascii="Times New Roman" w:hAnsi="Times New Roman" w:cs="Times New Roman"/>
          <w:sz w:val="24"/>
          <w:szCs w:val="24"/>
          <w:lang w:val="pl-PL"/>
        </w:rPr>
      </w:pPr>
    </w:p>
    <w:p w14:paraId="4FB1B12F" w14:textId="77777777" w:rsidR="002E5800" w:rsidRPr="008F328C" w:rsidRDefault="000E0B7C">
      <w:pPr>
        <w:pStyle w:val="a3"/>
        <w:rPr>
          <w:lang w:val="pl-PL"/>
        </w:rPr>
      </w:pPr>
      <w:r w:rsidRPr="008F328C">
        <w:rPr>
          <w:rFonts w:eastAsia="Times New Roman"/>
          <w:lang w:val="pl-PL"/>
        </w:rPr>
        <w:t>Zalecana dawka produktu Yuflyma u pacjentów z chorobą Leśniowskiego-Crohna w wieku od 6 do 17 lat ustalana jest w zależności od masy ciała pacjenta (Tabela 4). Produkt Yuflyma podaje się we wstrzyknięciu podskórnym.</w:t>
      </w:r>
    </w:p>
    <w:p w14:paraId="6EE72FF6" w14:textId="77777777" w:rsidR="002E5800" w:rsidRPr="008F328C" w:rsidRDefault="002E5800">
      <w:pPr>
        <w:pStyle w:val="a3"/>
        <w:rPr>
          <w:lang w:val="pl-PL"/>
        </w:rPr>
      </w:pPr>
    </w:p>
    <w:p w14:paraId="3627F30B" w14:textId="3E1962CD" w:rsidR="002E5800" w:rsidRPr="008F328C" w:rsidRDefault="000E0B7C">
      <w:pPr>
        <w:pStyle w:val="a3"/>
        <w:jc w:val="center"/>
        <w:rPr>
          <w:b/>
          <w:lang w:val="pl-PL"/>
        </w:rPr>
      </w:pPr>
      <w:r w:rsidRPr="008F328C">
        <w:rPr>
          <w:rFonts w:eastAsia="Times New Roman"/>
          <w:b/>
          <w:bCs/>
          <w:lang w:val="pl-PL"/>
        </w:rPr>
        <w:t>Tabela 4 Dawka adalimumabu u dzieci i młodzieży z chorobą Leśniowskiego-Crohna</w:t>
      </w:r>
    </w:p>
    <w:p w14:paraId="35A3BE72" w14:textId="77777777" w:rsidR="002E5800" w:rsidRPr="008F328C" w:rsidRDefault="002E5800">
      <w:pPr>
        <w:spacing w:before="14" w:line="240" w:lineRule="exact"/>
        <w:rPr>
          <w:rFonts w:ascii="Times New Roman" w:hAnsi="Times New Roman" w:cs="Times New Roman"/>
          <w:sz w:val="24"/>
          <w:szCs w:val="24"/>
          <w:lang w:val="pl-PL"/>
        </w:rPr>
      </w:pPr>
    </w:p>
    <w:tbl>
      <w:tblPr>
        <w:tblStyle w:val="TableNormal1"/>
        <w:tblW w:w="8809" w:type="dxa"/>
        <w:tblInd w:w="704" w:type="dxa"/>
        <w:tblLayout w:type="fixed"/>
        <w:tblLook w:val="01E0" w:firstRow="1" w:lastRow="1" w:firstColumn="1" w:lastColumn="1" w:noHBand="0" w:noVBand="0"/>
      </w:tblPr>
      <w:tblGrid>
        <w:gridCol w:w="1559"/>
        <w:gridCol w:w="5525"/>
        <w:gridCol w:w="1725"/>
      </w:tblGrid>
      <w:tr w:rsidR="002E5800" w:rsidRPr="006D3555" w14:paraId="3F6B8415" w14:textId="77777777" w:rsidTr="00382385">
        <w:tc>
          <w:tcPr>
            <w:tcW w:w="1559" w:type="dxa"/>
            <w:tcBorders>
              <w:top w:val="single" w:sz="4" w:space="0" w:color="auto"/>
              <w:left w:val="single" w:sz="4" w:space="0" w:color="auto"/>
              <w:bottom w:val="single" w:sz="4" w:space="0" w:color="auto"/>
              <w:right w:val="single" w:sz="4" w:space="0" w:color="auto"/>
            </w:tcBorders>
            <w:vAlign w:val="center"/>
          </w:tcPr>
          <w:p w14:paraId="65CDDFE6" w14:textId="77777777" w:rsidR="002E5800" w:rsidRPr="008F328C" w:rsidRDefault="000E0B7C">
            <w:pPr>
              <w:pStyle w:val="TableParagraph"/>
              <w:spacing w:line="252" w:lineRule="exact"/>
              <w:ind w:firstLine="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Masa ciała pacjenta</w:t>
            </w:r>
          </w:p>
        </w:tc>
        <w:tc>
          <w:tcPr>
            <w:tcW w:w="5525" w:type="dxa"/>
            <w:tcBorders>
              <w:top w:val="single" w:sz="4" w:space="0" w:color="auto"/>
              <w:left w:val="single" w:sz="4" w:space="0" w:color="auto"/>
              <w:bottom w:val="single" w:sz="4" w:space="0" w:color="auto"/>
              <w:right w:val="single" w:sz="4" w:space="0" w:color="auto"/>
            </w:tcBorders>
            <w:vAlign w:val="center"/>
          </w:tcPr>
          <w:p w14:paraId="26135525" w14:textId="77777777" w:rsidR="002E5800" w:rsidRPr="008F328C" w:rsidRDefault="000E0B7C">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indukcyjna</w:t>
            </w:r>
          </w:p>
        </w:tc>
        <w:tc>
          <w:tcPr>
            <w:tcW w:w="1725" w:type="dxa"/>
            <w:tcBorders>
              <w:top w:val="single" w:sz="4" w:space="0" w:color="auto"/>
              <w:left w:val="single" w:sz="4" w:space="0" w:color="auto"/>
              <w:bottom w:val="single" w:sz="4" w:space="0" w:color="auto"/>
              <w:right w:val="single" w:sz="4" w:space="0" w:color="auto"/>
            </w:tcBorders>
            <w:vAlign w:val="center"/>
          </w:tcPr>
          <w:p w14:paraId="4EB63712" w14:textId="77777777" w:rsidR="002E5800" w:rsidRPr="008F328C" w:rsidRDefault="000E0B7C">
            <w:pPr>
              <w:pStyle w:val="TableParagraph"/>
              <w:spacing w:line="239"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podtrzymująca począwszy od 4. tygodnia</w:t>
            </w:r>
          </w:p>
        </w:tc>
      </w:tr>
      <w:tr w:rsidR="002E5800" w:rsidRPr="008F328C" w14:paraId="0F577EC0" w14:textId="77777777" w:rsidTr="00382385">
        <w:tc>
          <w:tcPr>
            <w:tcW w:w="1559" w:type="dxa"/>
            <w:tcBorders>
              <w:top w:val="single" w:sz="4" w:space="0" w:color="auto"/>
              <w:left w:val="single" w:sz="7" w:space="0" w:color="000000"/>
              <w:bottom w:val="single" w:sz="7" w:space="0" w:color="000000"/>
              <w:right w:val="single" w:sz="7" w:space="0" w:color="000000"/>
            </w:tcBorders>
          </w:tcPr>
          <w:p w14:paraId="1AB6EB9A" w14:textId="77777777" w:rsidR="002E5800" w:rsidRPr="008F328C" w:rsidRDefault="000E0B7C">
            <w:pPr>
              <w:pStyle w:val="TableParagraph"/>
              <w:spacing w:before="9"/>
              <w:ind w:left="140"/>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5525" w:type="dxa"/>
            <w:tcBorders>
              <w:top w:val="single" w:sz="4" w:space="0" w:color="auto"/>
              <w:left w:val="single" w:sz="7" w:space="0" w:color="000000"/>
              <w:bottom w:val="single" w:sz="7" w:space="0" w:color="000000"/>
              <w:right w:val="single" w:sz="7" w:space="0" w:color="000000"/>
            </w:tcBorders>
          </w:tcPr>
          <w:p w14:paraId="767941D8" w14:textId="00EB487A" w:rsidR="002E5800" w:rsidRPr="008F328C" w:rsidRDefault="000E0B7C">
            <w:pPr>
              <w:pStyle w:val="a4"/>
              <w:numPr>
                <w:ilvl w:val="0"/>
                <w:numId w:val="13"/>
              </w:numPr>
              <w:tabs>
                <w:tab w:val="left" w:pos="315"/>
              </w:tabs>
              <w:spacing w:before="10"/>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w tygodniu 0 i 20 mg w 2. tygodniu</w:t>
            </w:r>
          </w:p>
          <w:p w14:paraId="24DFDF93" w14:textId="77777777" w:rsidR="002E5800" w:rsidRPr="008F328C" w:rsidRDefault="002E5800">
            <w:pPr>
              <w:pStyle w:val="TableParagraph"/>
              <w:spacing w:before="10" w:line="240" w:lineRule="exact"/>
              <w:rPr>
                <w:rFonts w:ascii="Times New Roman" w:hAnsi="Times New Roman" w:cs="Times New Roman"/>
                <w:sz w:val="24"/>
                <w:szCs w:val="24"/>
                <w:lang w:val="pl-PL"/>
              </w:rPr>
            </w:pPr>
          </w:p>
          <w:p w14:paraId="3B90D7A7" w14:textId="77777777" w:rsidR="002E5800" w:rsidRPr="008F328C" w:rsidRDefault="000E0B7C">
            <w:pPr>
              <w:pStyle w:val="TableParagraph"/>
              <w:ind w:left="15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3EAE05EC" w14:textId="77777777" w:rsidR="002E5800" w:rsidRPr="008F328C" w:rsidRDefault="000E0B7C">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80 mg w tygodniu 0 i 40 mg w 2. tygodniu</w:t>
            </w:r>
          </w:p>
        </w:tc>
        <w:tc>
          <w:tcPr>
            <w:tcW w:w="1725" w:type="dxa"/>
            <w:tcBorders>
              <w:top w:val="single" w:sz="4" w:space="0" w:color="auto"/>
              <w:left w:val="single" w:sz="7" w:space="0" w:color="000000"/>
              <w:bottom w:val="single" w:sz="7" w:space="0" w:color="000000"/>
              <w:right w:val="single" w:sz="7" w:space="0" w:color="000000"/>
            </w:tcBorders>
            <w:vAlign w:val="center"/>
          </w:tcPr>
          <w:p w14:paraId="352609EC" w14:textId="1C42C63E" w:rsidR="002E5800" w:rsidRPr="008F328C" w:rsidRDefault="0003721A">
            <w:pPr>
              <w:pStyle w:val="TableParagraph"/>
              <w:spacing w:before="100" w:beforeAutospacing="1" w:line="252" w:lineRule="exact"/>
              <w:ind w:left="63" w:hanging="63"/>
              <w:jc w:val="center"/>
              <w:rPr>
                <w:rFonts w:ascii="Times New Roman" w:eastAsia="Times New Roman" w:hAnsi="Times New Roman" w:cs="Times New Roman"/>
                <w:lang w:val="pl-PL"/>
              </w:rPr>
            </w:pPr>
            <w:r>
              <w:rPr>
                <w:rFonts w:ascii="Times New Roman" w:eastAsia="Times New Roman" w:hAnsi="Times New Roman" w:cs="Times New Roman"/>
                <w:spacing w:val="-1"/>
                <w:lang w:val="pl-PL"/>
              </w:rPr>
              <w:t>2</w:t>
            </w:r>
            <w:r w:rsidRPr="008F328C">
              <w:rPr>
                <w:rFonts w:ascii="Times New Roman" w:eastAsia="Times New Roman" w:hAnsi="Times New Roman" w:cs="Times New Roman"/>
                <w:spacing w:val="-1"/>
                <w:lang w:val="pl-PL"/>
              </w:rPr>
              <w:t>0 mg co drugi tydzień</w:t>
            </w:r>
          </w:p>
        </w:tc>
      </w:tr>
      <w:tr w:rsidR="002E5800" w:rsidRPr="008F328C" w14:paraId="70D5593B" w14:textId="77777777" w:rsidTr="00382385">
        <w:tc>
          <w:tcPr>
            <w:tcW w:w="1559" w:type="dxa"/>
            <w:tcBorders>
              <w:top w:val="single" w:sz="7" w:space="0" w:color="000000"/>
              <w:left w:val="single" w:sz="7" w:space="0" w:color="000000"/>
              <w:bottom w:val="single" w:sz="7" w:space="0" w:color="000000"/>
              <w:right w:val="single" w:sz="7" w:space="0" w:color="000000"/>
            </w:tcBorders>
          </w:tcPr>
          <w:p w14:paraId="2AA64153" w14:textId="77777777" w:rsidR="002E5800" w:rsidRPr="008F328C" w:rsidRDefault="000E0B7C">
            <w:pPr>
              <w:pStyle w:val="TableParagraph"/>
              <w:spacing w:before="7"/>
              <w:ind w:left="143"/>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5525" w:type="dxa"/>
            <w:tcBorders>
              <w:top w:val="single" w:sz="7" w:space="0" w:color="000000"/>
              <w:left w:val="single" w:sz="7" w:space="0" w:color="000000"/>
              <w:bottom w:val="single" w:sz="7" w:space="0" w:color="000000"/>
              <w:right w:val="single" w:sz="7" w:space="0" w:color="000000"/>
            </w:tcBorders>
          </w:tcPr>
          <w:p w14:paraId="4724E21F" w14:textId="3D4F4BBB" w:rsidR="002E5800" w:rsidRPr="008F328C" w:rsidRDefault="000E0B7C">
            <w:pPr>
              <w:pStyle w:val="a4"/>
              <w:numPr>
                <w:ilvl w:val="0"/>
                <w:numId w:val="12"/>
              </w:numPr>
              <w:tabs>
                <w:tab w:val="left" w:pos="315"/>
              </w:tabs>
              <w:spacing w:before="8"/>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80 mg w tygodniu 0 i 40 mg w 2. </w:t>
            </w:r>
            <w:r w:rsidR="0003721A" w:rsidRPr="008F328C">
              <w:rPr>
                <w:rFonts w:ascii="Times New Roman" w:eastAsia="Times New Roman" w:hAnsi="Times New Roman" w:cs="Times New Roman"/>
                <w:spacing w:val="-1"/>
                <w:lang w:val="pl-PL"/>
              </w:rPr>
              <w:t>T</w:t>
            </w:r>
            <w:r w:rsidRPr="008F328C">
              <w:rPr>
                <w:rFonts w:ascii="Times New Roman" w:eastAsia="Times New Roman" w:hAnsi="Times New Roman" w:cs="Times New Roman"/>
                <w:spacing w:val="-1"/>
                <w:lang w:val="pl-PL"/>
              </w:rPr>
              <w:t>ygodniu</w:t>
            </w:r>
          </w:p>
          <w:p w14:paraId="6D039859" w14:textId="77777777" w:rsidR="002E5800" w:rsidRPr="008F328C" w:rsidRDefault="002E5800">
            <w:pPr>
              <w:tabs>
                <w:tab w:val="left" w:pos="315"/>
              </w:tabs>
              <w:spacing w:before="8"/>
              <w:rPr>
                <w:rFonts w:ascii="Times New Roman" w:eastAsia="Times New Roman" w:hAnsi="Times New Roman" w:cs="Times New Roman"/>
                <w:lang w:val="pl-PL"/>
              </w:rPr>
            </w:pPr>
          </w:p>
          <w:p w14:paraId="3DF88D69" w14:textId="77777777" w:rsidR="002E5800" w:rsidRPr="008F328C" w:rsidRDefault="000E0B7C">
            <w:pPr>
              <w:pStyle w:val="TableParagraph"/>
              <w:spacing w:before="7"/>
              <w:ind w:left="159" w:right="35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0355D163" w14:textId="2CB2E41F" w:rsidR="002E5800" w:rsidRPr="008F328C" w:rsidRDefault="000E0B7C">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160 mg w tygodniu 0 i 80 mg w 2. </w:t>
            </w:r>
            <w:r w:rsidR="0003721A" w:rsidRPr="008F328C">
              <w:rPr>
                <w:rFonts w:ascii="Times New Roman" w:eastAsia="Times New Roman" w:hAnsi="Times New Roman" w:cs="Times New Roman"/>
                <w:spacing w:val="-1"/>
                <w:lang w:val="pl-PL"/>
              </w:rPr>
              <w:t>T</w:t>
            </w:r>
            <w:r w:rsidRPr="008F328C">
              <w:rPr>
                <w:rFonts w:ascii="Times New Roman" w:eastAsia="Times New Roman" w:hAnsi="Times New Roman" w:cs="Times New Roman"/>
                <w:spacing w:val="-1"/>
                <w:lang w:val="pl-PL"/>
              </w:rPr>
              <w:t>ygodniu</w:t>
            </w:r>
          </w:p>
        </w:tc>
        <w:tc>
          <w:tcPr>
            <w:tcW w:w="1725" w:type="dxa"/>
            <w:tcBorders>
              <w:top w:val="single" w:sz="7" w:space="0" w:color="000000"/>
              <w:left w:val="single" w:sz="7" w:space="0" w:color="000000"/>
              <w:bottom w:val="single" w:sz="7" w:space="0" w:color="000000"/>
              <w:right w:val="single" w:sz="7" w:space="0" w:color="000000"/>
            </w:tcBorders>
          </w:tcPr>
          <w:p w14:paraId="0E4E6715" w14:textId="77777777" w:rsidR="002E5800" w:rsidRPr="008F328C" w:rsidRDefault="000E0B7C">
            <w:pPr>
              <w:pStyle w:val="TableParagraph"/>
              <w:spacing w:before="7" w:line="241" w:lineRule="auto"/>
              <w:ind w:left="301" w:hanging="6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2E5800" w:rsidRPr="008F328C" w14:paraId="31449A3E" w14:textId="77777777">
        <w:trPr>
          <w:trHeight w:val="147"/>
        </w:trPr>
        <w:tc>
          <w:tcPr>
            <w:tcW w:w="9635" w:type="dxa"/>
          </w:tcPr>
          <w:p w14:paraId="43CD2D03" w14:textId="6033488F" w:rsidR="002E5800" w:rsidRPr="008F328C" w:rsidRDefault="002E5800" w:rsidP="002937B3">
            <w:pPr>
              <w:pStyle w:val="a3"/>
              <w:rPr>
                <w:rFonts w:eastAsia="Times New Roman"/>
                <w:color w:val="000000"/>
                <w:lang w:val="pl-PL"/>
              </w:rPr>
            </w:pPr>
          </w:p>
        </w:tc>
      </w:tr>
    </w:tbl>
    <w:p w14:paraId="72E503CB" w14:textId="77777777" w:rsidR="002E5800" w:rsidRPr="008F328C" w:rsidRDefault="000E0B7C">
      <w:pPr>
        <w:pStyle w:val="a3"/>
        <w:rPr>
          <w:lang w:val="pl-PL"/>
        </w:rPr>
      </w:pPr>
      <w:r w:rsidRPr="008F328C">
        <w:rPr>
          <w:rFonts w:eastAsia="Times New Roman"/>
          <w:lang w:val="pl-PL"/>
        </w:rPr>
        <w:t>U pacjentów, u których odpowiedź na leczenie jest niewystarczająca, może być korzystne zwiększenie dawkowania:</w:t>
      </w:r>
    </w:p>
    <w:p w14:paraId="56CF899E" w14:textId="77777777" w:rsidR="002E5800" w:rsidRPr="008F328C" w:rsidRDefault="002E5800">
      <w:pPr>
        <w:tabs>
          <w:tab w:val="left" w:pos="315"/>
        </w:tabs>
        <w:spacing w:before="8"/>
        <w:rPr>
          <w:rFonts w:ascii="Times New Roman" w:eastAsia="Times New Roman" w:hAnsi="Times New Roman" w:cs="Times New Roman"/>
          <w:spacing w:val="-1"/>
          <w:lang w:val="pl-PL"/>
        </w:rPr>
      </w:pPr>
    </w:p>
    <w:p w14:paraId="12EC8A41" w14:textId="47B73216" w:rsidR="0003721A" w:rsidRPr="00D97EE5" w:rsidRDefault="0003721A" w:rsidP="00D97EE5">
      <w:pPr>
        <w:pStyle w:val="a3"/>
        <w:numPr>
          <w:ilvl w:val="0"/>
          <w:numId w:val="12"/>
        </w:numPr>
        <w:ind w:left="660" w:hanging="660"/>
      </w:pPr>
      <w:r w:rsidRPr="00D97EE5">
        <w:t>&lt; 40 kg: 20 mg co tydzień</w:t>
      </w:r>
    </w:p>
    <w:p w14:paraId="72DF4A70" w14:textId="2228D127" w:rsidR="002E5800" w:rsidRPr="00DF3E6D" w:rsidRDefault="000E0B7C" w:rsidP="00D97EE5">
      <w:pPr>
        <w:pStyle w:val="a3"/>
        <w:numPr>
          <w:ilvl w:val="0"/>
          <w:numId w:val="12"/>
        </w:numPr>
        <w:ind w:left="660" w:hanging="660"/>
        <w:rPr>
          <w:lang w:val="pl-PL"/>
        </w:rPr>
      </w:pPr>
      <w:r w:rsidRPr="00DF3E6D">
        <w:rPr>
          <w:rFonts w:hint="eastAsia"/>
          <w:lang w:val="pl-PL"/>
        </w:rPr>
        <w:t>≥</w:t>
      </w:r>
      <w:r w:rsidRPr="00DF3E6D">
        <w:rPr>
          <w:lang w:val="pl-PL"/>
        </w:rPr>
        <w:t xml:space="preserve"> 40 kg: 40 mg co tydzień lub 80 mg co drugi tydzień</w:t>
      </w:r>
    </w:p>
    <w:p w14:paraId="7B3794EF" w14:textId="77777777" w:rsidR="002E5800" w:rsidRPr="008F328C" w:rsidRDefault="002E5800">
      <w:pPr>
        <w:spacing w:line="240" w:lineRule="exact"/>
        <w:rPr>
          <w:rFonts w:ascii="Times New Roman" w:hAnsi="Times New Roman" w:cs="Times New Roman"/>
          <w:sz w:val="24"/>
          <w:szCs w:val="24"/>
          <w:lang w:val="pl-PL"/>
        </w:rPr>
      </w:pPr>
    </w:p>
    <w:p w14:paraId="1E59848B" w14:textId="77777777" w:rsidR="002E5800" w:rsidRPr="008F328C" w:rsidRDefault="000E0B7C">
      <w:pPr>
        <w:pStyle w:val="a3"/>
        <w:rPr>
          <w:lang w:val="pl-PL"/>
        </w:rPr>
      </w:pPr>
      <w:r w:rsidRPr="008F328C">
        <w:rPr>
          <w:rFonts w:eastAsia="Times New Roman"/>
          <w:lang w:val="pl-PL"/>
        </w:rPr>
        <w:t>Należy dokładnie rozważyć, czy kontynuować leczenie u pacjenta, który nie odpowiedział na leczenie do 12. tygodnia.</w:t>
      </w:r>
    </w:p>
    <w:p w14:paraId="6B3E9BBD" w14:textId="77777777" w:rsidR="002E5800" w:rsidRPr="008F328C" w:rsidRDefault="002E5800">
      <w:pPr>
        <w:pStyle w:val="a3"/>
        <w:rPr>
          <w:lang w:val="pl-PL"/>
        </w:rPr>
      </w:pPr>
    </w:p>
    <w:p w14:paraId="5BE99A4B" w14:textId="77777777" w:rsidR="002E5800" w:rsidRPr="008F328C" w:rsidRDefault="000E0B7C">
      <w:pPr>
        <w:pStyle w:val="a3"/>
        <w:rPr>
          <w:lang w:val="pl-PL"/>
        </w:rPr>
      </w:pPr>
      <w:r w:rsidRPr="008F328C">
        <w:rPr>
          <w:rFonts w:eastAsia="Times New Roman"/>
          <w:lang w:val="pl-PL"/>
        </w:rPr>
        <w:t>Stosowanie adalimumabu u pacjentów w wieku poniżej 6 lat nie jest właściwe w tym wskazaniu.</w:t>
      </w:r>
    </w:p>
    <w:p w14:paraId="1B34250D" w14:textId="77777777" w:rsidR="0003721A" w:rsidRPr="008F328C" w:rsidRDefault="0003721A">
      <w:pPr>
        <w:rPr>
          <w:rFonts w:ascii="Times New Roman" w:eastAsia="Times New Roman" w:hAnsi="Times New Roman" w:cs="Times New Roman"/>
          <w:i/>
          <w:spacing w:val="-1"/>
          <w:u w:val="single" w:color="000000"/>
          <w:lang w:val="pl-PL"/>
        </w:rPr>
      </w:pPr>
    </w:p>
    <w:p w14:paraId="65FC18D2" w14:textId="77777777" w:rsidR="00A02771" w:rsidRPr="008F328C" w:rsidRDefault="00A02771" w:rsidP="00A02771">
      <w:pPr>
        <w:pStyle w:val="a3"/>
        <w:rPr>
          <w:i/>
          <w:lang w:val="pl-PL"/>
        </w:rPr>
      </w:pPr>
      <w:r w:rsidRPr="008F328C">
        <w:rPr>
          <w:i/>
          <w:lang w:val="pl-PL"/>
        </w:rPr>
        <w:t>Wrzodziejące zapalenie jelita grubego u dzieci i młodzieży</w:t>
      </w:r>
    </w:p>
    <w:p w14:paraId="13512C4C" w14:textId="77777777" w:rsidR="00A02771" w:rsidRPr="008F328C" w:rsidRDefault="00A02771" w:rsidP="00A02771">
      <w:pPr>
        <w:pStyle w:val="a3"/>
        <w:rPr>
          <w:i/>
          <w:lang w:val="pl-PL"/>
        </w:rPr>
      </w:pPr>
    </w:p>
    <w:p w14:paraId="2C1D2AB0" w14:textId="77777777" w:rsidR="00A02771" w:rsidRPr="008F328C" w:rsidRDefault="00A02771" w:rsidP="00A02771">
      <w:pPr>
        <w:rPr>
          <w:rFonts w:ascii="Times New Roman" w:hAnsi="Times New Roman" w:cs="Times New Roman"/>
          <w:lang w:val="pl-PL"/>
        </w:rPr>
      </w:pPr>
      <w:r w:rsidRPr="008F328C">
        <w:rPr>
          <w:rFonts w:ascii="Times New Roman" w:hAnsi="Times New Roman" w:cs="Times New Roman"/>
          <w:lang w:val="pl-PL"/>
        </w:rPr>
        <w:t>Zalecana dawka produktu Yuflyma u pacjentów z wrzodziejącym zapaleniem jelita grubego, w wieku od 6 do 17 lat, ustalana jest w zależności od masy ciała pacjenta (Tabela 5). Produkt Yuflyma podaje się we wstrzyknięciu podskórnym. </w:t>
      </w:r>
    </w:p>
    <w:p w14:paraId="75FB7BEC" w14:textId="77777777" w:rsidR="00A02771" w:rsidRPr="008F328C" w:rsidRDefault="00A02771" w:rsidP="00A02771">
      <w:pPr>
        <w:rPr>
          <w:rFonts w:ascii="Times New Roman" w:hAnsi="Times New Roman" w:cs="Times New Roman"/>
          <w:lang w:val="pl-PL"/>
        </w:rPr>
      </w:pPr>
    </w:p>
    <w:p w14:paraId="4BCE12B5" w14:textId="750E2CF6" w:rsidR="00A02771" w:rsidRDefault="00A02771" w:rsidP="0008144B">
      <w:pPr>
        <w:keepNext/>
        <w:keepLines/>
        <w:jc w:val="center"/>
        <w:rPr>
          <w:rFonts w:ascii="Times New Roman" w:hAnsi="Times New Roman" w:cs="Times New Roman"/>
          <w:b/>
          <w:lang w:val="pl-PL"/>
        </w:rPr>
      </w:pPr>
      <w:r w:rsidRPr="008F328C">
        <w:rPr>
          <w:rFonts w:ascii="Times New Roman" w:hAnsi="Times New Roman" w:cs="Times New Roman"/>
          <w:b/>
          <w:lang w:val="pl-PL"/>
        </w:rPr>
        <w:lastRenderedPageBreak/>
        <w:t xml:space="preserve">Tabela 5 Dawka produktu Yuflyma u dzieci i młodzieży z wrzodziejącym zapaleniem jelita grubego </w:t>
      </w:r>
    </w:p>
    <w:p w14:paraId="18ACC516" w14:textId="77777777" w:rsidR="00114A52" w:rsidRPr="008F328C" w:rsidRDefault="00114A52" w:rsidP="0008144B">
      <w:pPr>
        <w:keepNext/>
        <w:keepLines/>
        <w:jc w:val="center"/>
        <w:rPr>
          <w:rFonts w:ascii="Times New Roman" w:hAnsi="Times New Roman" w:cs="Times New Roman"/>
          <w:lang w:val="pl-PL"/>
        </w:rPr>
      </w:pP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70"/>
        <w:gridCol w:w="3444"/>
        <w:gridCol w:w="3274"/>
      </w:tblGrid>
      <w:tr w:rsidR="00A02771" w:rsidRPr="00FE49E6" w14:paraId="7F22361F" w14:textId="77777777" w:rsidTr="00A02771">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3BB07AE7" w14:textId="77777777" w:rsidR="00A02771" w:rsidRPr="008F328C" w:rsidRDefault="00A02771" w:rsidP="0008144B">
            <w:pPr>
              <w:keepNext/>
              <w:keepLines/>
              <w:jc w:val="center"/>
              <w:rPr>
                <w:rFonts w:ascii="Times New Roman" w:hAnsi="Times New Roman" w:cs="Times New Roman"/>
                <w:b/>
                <w:lang w:val="pl-PL"/>
              </w:rPr>
            </w:pPr>
            <w:r w:rsidRPr="008F328C">
              <w:rPr>
                <w:rFonts w:ascii="Times New Roman" w:hAnsi="Times New Roman" w:cs="Times New Roman"/>
                <w:b/>
                <w:lang w:val="pl-PL"/>
              </w:rPr>
              <w:t>Masa ciała pacjenta</w:t>
            </w:r>
          </w:p>
        </w:tc>
        <w:tc>
          <w:tcPr>
            <w:tcW w:w="2005" w:type="pct"/>
            <w:tcBorders>
              <w:top w:val="single" w:sz="6" w:space="0" w:color="000000"/>
              <w:left w:val="single" w:sz="6" w:space="0" w:color="000000"/>
              <w:bottom w:val="single" w:sz="6" w:space="0" w:color="000000"/>
              <w:right w:val="single" w:sz="6" w:space="0" w:color="000000"/>
            </w:tcBorders>
            <w:vAlign w:val="center"/>
            <w:hideMark/>
          </w:tcPr>
          <w:p w14:paraId="7C67BEE4" w14:textId="77777777" w:rsidR="00A02771" w:rsidRPr="008F328C" w:rsidRDefault="00A02771" w:rsidP="0008144B">
            <w:pPr>
              <w:keepNext/>
              <w:keepLines/>
              <w:jc w:val="center"/>
              <w:rPr>
                <w:rFonts w:ascii="Times New Roman" w:hAnsi="Times New Roman" w:cs="Times New Roman"/>
                <w:b/>
                <w:lang w:val="pl-PL"/>
              </w:rPr>
            </w:pPr>
            <w:r w:rsidRPr="008F328C">
              <w:rPr>
                <w:rFonts w:ascii="Times New Roman" w:hAnsi="Times New Roman" w:cs="Times New Roman"/>
                <w:b/>
                <w:lang w:val="pl-PL"/>
              </w:rPr>
              <w:t>Dawka indukcyjna</w:t>
            </w:r>
          </w:p>
        </w:tc>
        <w:tc>
          <w:tcPr>
            <w:tcW w:w="1906" w:type="pct"/>
            <w:tcBorders>
              <w:top w:val="single" w:sz="6" w:space="0" w:color="000000"/>
              <w:left w:val="single" w:sz="6" w:space="0" w:color="000000"/>
              <w:bottom w:val="single" w:sz="6" w:space="0" w:color="000000"/>
              <w:right w:val="single" w:sz="6" w:space="0" w:color="000000"/>
            </w:tcBorders>
            <w:hideMark/>
          </w:tcPr>
          <w:p w14:paraId="33131BE7" w14:textId="5BEED837" w:rsidR="00A02771" w:rsidRPr="008F328C" w:rsidRDefault="00A02771" w:rsidP="0008144B">
            <w:pPr>
              <w:keepNext/>
              <w:keepLines/>
              <w:jc w:val="center"/>
              <w:rPr>
                <w:rFonts w:ascii="Times New Roman" w:hAnsi="Times New Roman" w:cs="Times New Roman"/>
                <w:b/>
                <w:lang w:val="pl-PL"/>
              </w:rPr>
            </w:pPr>
            <w:r w:rsidRPr="008F328C">
              <w:rPr>
                <w:rFonts w:ascii="Times New Roman" w:hAnsi="Times New Roman" w:cs="Times New Roman"/>
                <w:b/>
                <w:lang w:val="pl-PL"/>
              </w:rPr>
              <w:t>Dawka podtrzymująca,</w:t>
            </w:r>
            <w:r w:rsidRPr="008F328C">
              <w:rPr>
                <w:rFonts w:ascii="Times New Roman" w:hAnsi="Times New Roman" w:cs="Times New Roman"/>
                <w:b/>
                <w:lang w:val="pl-PL"/>
              </w:rPr>
              <w:br/>
              <w:t>począwszy od 4. </w:t>
            </w:r>
            <w:r w:rsidR="0003721A" w:rsidRPr="008F328C">
              <w:rPr>
                <w:rFonts w:ascii="Times New Roman" w:hAnsi="Times New Roman" w:cs="Times New Roman"/>
                <w:b/>
                <w:lang w:val="pl-PL"/>
              </w:rPr>
              <w:t>T</w:t>
            </w:r>
            <w:r w:rsidRPr="008F328C">
              <w:rPr>
                <w:rFonts w:ascii="Times New Roman" w:hAnsi="Times New Roman" w:cs="Times New Roman"/>
                <w:b/>
                <w:lang w:val="pl-PL"/>
              </w:rPr>
              <w:t>ygodnia*</w:t>
            </w:r>
          </w:p>
        </w:tc>
      </w:tr>
      <w:tr w:rsidR="00A02771" w:rsidRPr="008F328C" w14:paraId="4D3BE960" w14:textId="77777777" w:rsidTr="00A02771">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5E832EDB" w14:textId="77777777" w:rsidR="00A02771" w:rsidRPr="008F328C" w:rsidRDefault="00A02771" w:rsidP="00A02771">
            <w:pPr>
              <w:jc w:val="center"/>
              <w:rPr>
                <w:rFonts w:ascii="Times New Roman" w:hAnsi="Times New Roman" w:cs="Times New Roman"/>
                <w:lang w:val="pl-PL"/>
              </w:rPr>
            </w:pPr>
            <w:r w:rsidRPr="008F328C">
              <w:rPr>
                <w:rFonts w:ascii="Times New Roman" w:hAnsi="Times New Roman" w:cs="Times New Roman"/>
                <w:lang w:val="pl-PL"/>
              </w:rPr>
              <w:t>&lt; 40 kg</w:t>
            </w:r>
          </w:p>
        </w:tc>
        <w:tc>
          <w:tcPr>
            <w:tcW w:w="2005" w:type="pct"/>
            <w:tcBorders>
              <w:top w:val="single" w:sz="6" w:space="0" w:color="000000"/>
              <w:left w:val="single" w:sz="6" w:space="0" w:color="000000"/>
              <w:bottom w:val="single" w:sz="6" w:space="0" w:color="000000"/>
              <w:right w:val="single" w:sz="6" w:space="0" w:color="000000"/>
            </w:tcBorders>
            <w:hideMark/>
          </w:tcPr>
          <w:p w14:paraId="69A98177" w14:textId="42728F1B" w:rsidR="00A02771" w:rsidRPr="008F328C" w:rsidRDefault="00A02771" w:rsidP="00A02771">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80 mg w 0. </w:t>
            </w:r>
            <w:r w:rsidR="0003721A" w:rsidRPr="008F328C">
              <w:rPr>
                <w:rFonts w:ascii="Times New Roman" w:hAnsi="Times New Roman" w:cs="Times New Roman"/>
                <w:lang w:val="pl-PL"/>
              </w:rPr>
              <w:t>T</w:t>
            </w:r>
            <w:r w:rsidRPr="008F328C">
              <w:rPr>
                <w:rFonts w:ascii="Times New Roman" w:hAnsi="Times New Roman" w:cs="Times New Roman"/>
                <w:lang w:val="pl-PL"/>
              </w:rPr>
              <w:t>ygodniu (podawane jako dwa wstrzyknięcia 40 mg w jednym dniu) oraz</w:t>
            </w:r>
          </w:p>
          <w:p w14:paraId="26D8A060" w14:textId="639B20AA" w:rsidR="00A02771" w:rsidRPr="008F328C" w:rsidRDefault="00A02771" w:rsidP="00A02771">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40 mg w 2. </w:t>
            </w:r>
            <w:r w:rsidR="0003721A" w:rsidRPr="008F328C">
              <w:rPr>
                <w:rFonts w:ascii="Times New Roman" w:hAnsi="Times New Roman" w:cs="Times New Roman"/>
                <w:lang w:val="pl-PL"/>
              </w:rPr>
              <w:t>T</w:t>
            </w:r>
            <w:r w:rsidRPr="008F328C">
              <w:rPr>
                <w:rFonts w:ascii="Times New Roman" w:hAnsi="Times New Roman" w:cs="Times New Roman"/>
                <w:lang w:val="pl-PL"/>
              </w:rPr>
              <w:t>ygodniu (podawane jako jedno wstrzyknięcie 40 mg)</w:t>
            </w:r>
          </w:p>
        </w:tc>
        <w:tc>
          <w:tcPr>
            <w:tcW w:w="1906" w:type="pct"/>
            <w:tcBorders>
              <w:top w:val="single" w:sz="6" w:space="0" w:color="000000"/>
              <w:left w:val="single" w:sz="6" w:space="0" w:color="000000"/>
              <w:bottom w:val="single" w:sz="6" w:space="0" w:color="000000"/>
              <w:right w:val="single" w:sz="6" w:space="0" w:color="000000"/>
            </w:tcBorders>
            <w:hideMark/>
          </w:tcPr>
          <w:p w14:paraId="5F8D5D29" w14:textId="77777777" w:rsidR="00A02771" w:rsidRPr="008F328C" w:rsidRDefault="00A02771" w:rsidP="00A02771">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40 mg co drugi tydzień</w:t>
            </w:r>
          </w:p>
        </w:tc>
      </w:tr>
      <w:tr w:rsidR="00A02771" w:rsidRPr="008F328C" w14:paraId="3D85470B" w14:textId="77777777" w:rsidTr="00A02771">
        <w:trPr>
          <w:jc w:val="center"/>
        </w:trPr>
        <w:tc>
          <w:tcPr>
            <w:tcW w:w="0" w:type="auto"/>
            <w:tcBorders>
              <w:top w:val="single" w:sz="6" w:space="0" w:color="000000"/>
              <w:left w:val="single" w:sz="6" w:space="0" w:color="000000"/>
              <w:bottom w:val="single" w:sz="4" w:space="0" w:color="auto"/>
              <w:right w:val="single" w:sz="6" w:space="0" w:color="000000"/>
            </w:tcBorders>
            <w:hideMark/>
          </w:tcPr>
          <w:p w14:paraId="0E74EEE8" w14:textId="77777777" w:rsidR="00A02771" w:rsidRPr="008F328C" w:rsidRDefault="00A02771" w:rsidP="00A02771">
            <w:pPr>
              <w:jc w:val="center"/>
              <w:rPr>
                <w:rFonts w:ascii="Times New Roman" w:hAnsi="Times New Roman" w:cs="Times New Roman"/>
                <w:lang w:val="pl-PL"/>
              </w:rPr>
            </w:pPr>
            <w:r w:rsidRPr="008F328C">
              <w:rPr>
                <w:rFonts w:ascii="Times New Roman" w:hAnsi="Times New Roman" w:cs="Times New Roman"/>
                <w:lang w:val="pl-PL"/>
              </w:rPr>
              <w:t>≥ 40 kg</w:t>
            </w:r>
          </w:p>
        </w:tc>
        <w:tc>
          <w:tcPr>
            <w:tcW w:w="2005" w:type="pct"/>
            <w:tcBorders>
              <w:top w:val="single" w:sz="6" w:space="0" w:color="000000"/>
              <w:left w:val="single" w:sz="6" w:space="0" w:color="000000"/>
              <w:bottom w:val="single" w:sz="4" w:space="0" w:color="auto"/>
              <w:right w:val="single" w:sz="6" w:space="0" w:color="000000"/>
            </w:tcBorders>
            <w:hideMark/>
          </w:tcPr>
          <w:p w14:paraId="36FDE464" w14:textId="4543B571" w:rsidR="00A02771" w:rsidRPr="008F328C" w:rsidRDefault="00A02771" w:rsidP="00A02771">
            <w:pPr>
              <w:widowControl/>
              <w:numPr>
                <w:ilvl w:val="0"/>
                <w:numId w:val="112"/>
              </w:numPr>
              <w:ind w:left="360" w:hanging="210"/>
              <w:rPr>
                <w:rFonts w:ascii="Times New Roman" w:hAnsi="Times New Roman" w:cs="Times New Roman"/>
                <w:lang w:val="pl-PL"/>
              </w:rPr>
            </w:pPr>
            <w:r w:rsidRPr="008F328C">
              <w:rPr>
                <w:rFonts w:ascii="Times New Roman" w:hAnsi="Times New Roman" w:cs="Times New Roman"/>
                <w:lang w:val="pl-PL"/>
              </w:rPr>
              <w:t>160 mg w 0. </w:t>
            </w:r>
            <w:r w:rsidR="0003721A" w:rsidRPr="008F328C">
              <w:rPr>
                <w:rFonts w:ascii="Times New Roman" w:hAnsi="Times New Roman" w:cs="Times New Roman"/>
                <w:lang w:val="pl-PL"/>
              </w:rPr>
              <w:t>T</w:t>
            </w:r>
            <w:r w:rsidRPr="008F328C">
              <w:rPr>
                <w:rFonts w:ascii="Times New Roman" w:hAnsi="Times New Roman" w:cs="Times New Roman"/>
                <w:lang w:val="pl-PL"/>
              </w:rPr>
              <w:t>ygodniu (podawane jako cztery wstrzyknięcia 40 mg w jednym dniu lub jako dwa wstrzyknięcia 40 mg na dobę w dwóch kolejnych dniach) oraz</w:t>
            </w:r>
          </w:p>
          <w:p w14:paraId="452FAD50" w14:textId="4A9D3FF3" w:rsidR="00A02771" w:rsidRPr="008F328C" w:rsidRDefault="00A02771" w:rsidP="00A02771">
            <w:pPr>
              <w:widowControl/>
              <w:numPr>
                <w:ilvl w:val="0"/>
                <w:numId w:val="112"/>
              </w:numPr>
              <w:ind w:left="360" w:hanging="210"/>
              <w:rPr>
                <w:rFonts w:ascii="Times New Roman" w:hAnsi="Times New Roman" w:cs="Times New Roman"/>
                <w:lang w:val="pl-PL"/>
              </w:rPr>
            </w:pPr>
            <w:r w:rsidRPr="008F328C">
              <w:rPr>
                <w:rFonts w:ascii="Times New Roman" w:hAnsi="Times New Roman" w:cs="Times New Roman"/>
                <w:lang w:val="pl-PL"/>
              </w:rPr>
              <w:t>80 mg w 2. </w:t>
            </w:r>
            <w:r w:rsidR="0003721A" w:rsidRPr="008F328C">
              <w:rPr>
                <w:rFonts w:ascii="Times New Roman" w:hAnsi="Times New Roman" w:cs="Times New Roman"/>
                <w:lang w:val="pl-PL"/>
              </w:rPr>
              <w:t>T</w:t>
            </w:r>
            <w:r w:rsidRPr="008F328C">
              <w:rPr>
                <w:rFonts w:ascii="Times New Roman" w:hAnsi="Times New Roman" w:cs="Times New Roman"/>
                <w:lang w:val="pl-PL"/>
              </w:rPr>
              <w:t>ygodniu (podawane jako dwa wstrzyknięcia 40 mg w jednym dniu)</w:t>
            </w:r>
          </w:p>
        </w:tc>
        <w:tc>
          <w:tcPr>
            <w:tcW w:w="1906" w:type="pct"/>
            <w:tcBorders>
              <w:top w:val="single" w:sz="6" w:space="0" w:color="000000"/>
              <w:left w:val="single" w:sz="6" w:space="0" w:color="000000"/>
              <w:bottom w:val="single" w:sz="4" w:space="0" w:color="auto"/>
              <w:right w:val="single" w:sz="6" w:space="0" w:color="000000"/>
            </w:tcBorders>
            <w:hideMark/>
          </w:tcPr>
          <w:p w14:paraId="5118BFDC" w14:textId="77777777" w:rsidR="00A02771" w:rsidRPr="008F328C" w:rsidRDefault="00A02771" w:rsidP="00A02771">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80 mg co drugi tydzień</w:t>
            </w:r>
          </w:p>
        </w:tc>
      </w:tr>
      <w:tr w:rsidR="00A02771" w:rsidRPr="00FE49E6" w14:paraId="42F8DE4D" w14:textId="77777777" w:rsidTr="00A02771">
        <w:trPr>
          <w:jc w:val="center"/>
        </w:trPr>
        <w:tc>
          <w:tcPr>
            <w:tcW w:w="5000" w:type="pct"/>
            <w:gridSpan w:val="3"/>
            <w:tcBorders>
              <w:top w:val="single" w:sz="4" w:space="0" w:color="auto"/>
              <w:left w:val="nil"/>
              <w:bottom w:val="nil"/>
              <w:right w:val="nil"/>
            </w:tcBorders>
          </w:tcPr>
          <w:p w14:paraId="3D034EF5" w14:textId="77777777" w:rsidR="00A02771" w:rsidRPr="008F328C" w:rsidRDefault="00A02771" w:rsidP="00A02771">
            <w:pPr>
              <w:rPr>
                <w:rFonts w:ascii="Times New Roman" w:hAnsi="Times New Roman" w:cs="Times New Roman"/>
                <w:lang w:val="pl-PL"/>
              </w:rPr>
            </w:pPr>
            <w:r w:rsidRPr="008F328C">
              <w:rPr>
                <w:rFonts w:ascii="Times New Roman" w:hAnsi="Times New Roman" w:cs="Times New Roman"/>
                <w:vertAlign w:val="superscript"/>
                <w:lang w:val="pl-PL"/>
              </w:rPr>
              <w:t xml:space="preserve">* </w:t>
            </w:r>
            <w:r w:rsidRPr="008F328C">
              <w:rPr>
                <w:rFonts w:ascii="Times New Roman" w:hAnsi="Times New Roman" w:cs="Times New Roman"/>
                <w:lang w:val="pl-PL"/>
              </w:rPr>
              <w:t>Pacjenci pediatryczni, którzy ukończyli 18 lat podczas leczenia produktem Yuflyma, powinni kontynuować leczenie przepisaną dawką podtrzymującą.</w:t>
            </w:r>
          </w:p>
        </w:tc>
      </w:tr>
    </w:tbl>
    <w:p w14:paraId="60750CE2" w14:textId="77777777" w:rsidR="00A02771" w:rsidRPr="008F328C" w:rsidRDefault="00A02771" w:rsidP="00A02771">
      <w:pPr>
        <w:pStyle w:val="gtctablespaceafter"/>
        <w:numPr>
          <w:ilvl w:val="0"/>
          <w:numId w:val="113"/>
        </w:numPr>
        <w:spacing w:after="0"/>
        <w:rPr>
          <w:sz w:val="22"/>
          <w:szCs w:val="22"/>
        </w:rPr>
      </w:pPr>
    </w:p>
    <w:p w14:paraId="057C1CF0" w14:textId="77777777" w:rsidR="00A02771" w:rsidRPr="008F328C" w:rsidRDefault="00A02771" w:rsidP="00A02771">
      <w:pPr>
        <w:rPr>
          <w:rFonts w:ascii="Times New Roman" w:hAnsi="Times New Roman" w:cs="Times New Roman"/>
          <w:lang w:val="pl-PL"/>
        </w:rPr>
      </w:pPr>
      <w:r w:rsidRPr="008F328C">
        <w:rPr>
          <w:rFonts w:ascii="Times New Roman" w:hAnsi="Times New Roman" w:cs="Times New Roman"/>
          <w:lang w:val="pl-PL"/>
        </w:rPr>
        <w:t>Należy dokładnie rozważyć, czy kontynuować leczenie dłużej niż 8 tygodni u pacjentów, którzy nie wykazali oznak odpowiedzi na leczenie w tym okresie.</w:t>
      </w:r>
    </w:p>
    <w:p w14:paraId="056EC6B5" w14:textId="77777777" w:rsidR="00A02771" w:rsidRPr="008F328C" w:rsidRDefault="00A02771" w:rsidP="00A02771">
      <w:pPr>
        <w:rPr>
          <w:rFonts w:ascii="Times New Roman" w:hAnsi="Times New Roman" w:cs="Times New Roman"/>
          <w:lang w:val="pl-PL"/>
        </w:rPr>
      </w:pPr>
    </w:p>
    <w:p w14:paraId="05C9C4FB" w14:textId="77777777" w:rsidR="00A02771" w:rsidRPr="008F328C" w:rsidRDefault="00A02771" w:rsidP="00A02771">
      <w:pPr>
        <w:rPr>
          <w:rFonts w:ascii="Times New Roman" w:hAnsi="Times New Roman" w:cs="Times New Roman"/>
          <w:lang w:val="pl-PL"/>
        </w:rPr>
      </w:pPr>
      <w:r w:rsidRPr="008F328C">
        <w:rPr>
          <w:rFonts w:ascii="Times New Roman" w:hAnsi="Times New Roman" w:cs="Times New Roman"/>
          <w:lang w:val="pl-PL"/>
        </w:rPr>
        <w:t xml:space="preserve">Stosowanie produktu </w:t>
      </w:r>
      <w:r w:rsidRPr="008F328C">
        <w:rPr>
          <w:rFonts w:ascii="Times New Roman" w:eastAsia="Times New Roman" w:hAnsi="Times New Roman" w:cs="Times New Roman"/>
          <w:lang w:val="pl-PL"/>
        </w:rPr>
        <w:t xml:space="preserve">adalimumabu </w:t>
      </w:r>
      <w:r w:rsidRPr="008F328C">
        <w:rPr>
          <w:rFonts w:ascii="Times New Roman" w:hAnsi="Times New Roman" w:cs="Times New Roman"/>
          <w:lang w:val="pl-PL"/>
        </w:rPr>
        <w:t>u pacjentów w wieku poniżej 6 lat nie jest właściwe w tym wskazaniu.</w:t>
      </w:r>
    </w:p>
    <w:p w14:paraId="52D2F357" w14:textId="77777777" w:rsidR="0003721A" w:rsidRPr="008F328C" w:rsidRDefault="0003721A">
      <w:pPr>
        <w:rPr>
          <w:rFonts w:ascii="Times New Roman" w:eastAsia="Times New Roman" w:hAnsi="Times New Roman" w:cs="Times New Roman"/>
          <w:i/>
          <w:spacing w:val="-1"/>
          <w:u w:val="single" w:color="000000"/>
          <w:lang w:val="pl-PL"/>
        </w:rPr>
      </w:pPr>
    </w:p>
    <w:p w14:paraId="0FE5C52E" w14:textId="77777777" w:rsidR="002E5800" w:rsidRPr="00D97EE5" w:rsidRDefault="000E0B7C">
      <w:pPr>
        <w:rPr>
          <w:rFonts w:ascii="Times New Roman" w:eastAsia="Times New Roman" w:hAnsi="Times New Roman" w:cs="Times New Roman"/>
          <w:i/>
          <w:spacing w:val="-1"/>
          <w:u w:color="000000"/>
          <w:lang w:val="pl-PL"/>
        </w:rPr>
      </w:pPr>
      <w:r w:rsidRPr="00D97EE5">
        <w:rPr>
          <w:rFonts w:ascii="Times New Roman" w:eastAsia="Times New Roman" w:hAnsi="Times New Roman" w:cs="Times New Roman"/>
          <w:i/>
          <w:iCs/>
          <w:spacing w:val="-1"/>
          <w:u w:color="000000"/>
          <w:lang w:val="pl-PL"/>
        </w:rPr>
        <w:t>Zapalenie błony naczyniowej oka u dzieci i młodzieży</w:t>
      </w:r>
    </w:p>
    <w:p w14:paraId="7CCA3C37" w14:textId="77777777" w:rsidR="002E5800" w:rsidRPr="008F328C" w:rsidRDefault="002E5800">
      <w:pPr>
        <w:rPr>
          <w:rFonts w:ascii="Times New Roman" w:eastAsia="Times New Roman" w:hAnsi="Times New Roman" w:cs="Times New Roman"/>
          <w:lang w:val="pl-PL"/>
        </w:rPr>
      </w:pPr>
    </w:p>
    <w:p w14:paraId="75750742" w14:textId="33149977" w:rsidR="002E5800" w:rsidRPr="008F328C" w:rsidRDefault="000E0B7C">
      <w:pPr>
        <w:pStyle w:val="a3"/>
        <w:rPr>
          <w:lang w:val="pl-PL"/>
        </w:rPr>
      </w:pPr>
      <w:r w:rsidRPr="008F328C">
        <w:rPr>
          <w:rFonts w:eastAsia="Times New Roman"/>
          <w:lang w:val="pl-PL"/>
        </w:rPr>
        <w:t xml:space="preserve">Zalecana dawka produktu Yuflyma u dzieci i młodzieży z zapalaniem błony naczyniowej oka w wieku od 2 lat ustalana jest w zależności od masy ciała pacjenta (Tabela </w:t>
      </w:r>
      <w:r w:rsidR="00A02771" w:rsidRPr="008F328C">
        <w:rPr>
          <w:rFonts w:eastAsia="Times New Roman"/>
          <w:lang w:val="pl-PL"/>
        </w:rPr>
        <w:t>6</w:t>
      </w:r>
      <w:r w:rsidRPr="008F328C">
        <w:rPr>
          <w:rFonts w:eastAsia="Times New Roman"/>
          <w:lang w:val="pl-PL"/>
        </w:rPr>
        <w:t>). Produkt Yuflyma podaje się we wstrzyknięciu podskórnym.</w:t>
      </w:r>
    </w:p>
    <w:p w14:paraId="25A463CB" w14:textId="77777777" w:rsidR="002E5800" w:rsidRPr="008F328C" w:rsidRDefault="002E5800">
      <w:pPr>
        <w:rPr>
          <w:rFonts w:ascii="Times New Roman" w:hAnsi="Times New Roman" w:cs="Times New Roman"/>
          <w:sz w:val="24"/>
          <w:szCs w:val="24"/>
          <w:lang w:val="pl-PL"/>
        </w:rPr>
      </w:pPr>
    </w:p>
    <w:p w14:paraId="2E951D1E" w14:textId="77777777" w:rsidR="002E5800" w:rsidRPr="008F328C" w:rsidRDefault="000E0B7C">
      <w:pPr>
        <w:pStyle w:val="a3"/>
        <w:rPr>
          <w:lang w:val="pl-PL"/>
        </w:rPr>
      </w:pPr>
      <w:r w:rsidRPr="008F328C">
        <w:rPr>
          <w:rFonts w:eastAsia="Times New Roman"/>
          <w:lang w:val="pl-PL"/>
        </w:rPr>
        <w:t>W zapaleniu błony naczyniowej oka u dzieci i młodzieży nie ma doświadczenia w leczeniu adalimumabem bez jednoczesnego leczenia metotreksatem.</w:t>
      </w:r>
    </w:p>
    <w:p w14:paraId="298ACE7C" w14:textId="77777777" w:rsidR="002E5800" w:rsidRPr="008F328C" w:rsidRDefault="002E5800">
      <w:pPr>
        <w:pStyle w:val="a3"/>
        <w:rPr>
          <w:lang w:val="pl-PL"/>
        </w:rPr>
      </w:pPr>
    </w:p>
    <w:p w14:paraId="4D202291" w14:textId="3BDFDF44" w:rsidR="002E5800" w:rsidRPr="008F328C" w:rsidRDefault="000E0B7C">
      <w:pPr>
        <w:pStyle w:val="a3"/>
        <w:jc w:val="center"/>
        <w:rPr>
          <w:b/>
          <w:lang w:val="pl-PL"/>
        </w:rPr>
      </w:pPr>
      <w:r w:rsidRPr="008F328C">
        <w:rPr>
          <w:rFonts w:eastAsia="Times New Roman"/>
          <w:b/>
          <w:bCs/>
          <w:lang w:val="pl-PL"/>
        </w:rPr>
        <w:t xml:space="preserve">Tabela </w:t>
      </w:r>
      <w:r w:rsidR="00A02771" w:rsidRPr="008F328C">
        <w:rPr>
          <w:rFonts w:eastAsia="Times New Roman"/>
          <w:b/>
          <w:bCs/>
          <w:lang w:val="pl-PL"/>
        </w:rPr>
        <w:t>6</w:t>
      </w:r>
      <w:r w:rsidRPr="008F328C">
        <w:rPr>
          <w:rFonts w:eastAsia="Times New Roman"/>
          <w:b/>
          <w:bCs/>
          <w:lang w:val="pl-PL"/>
        </w:rPr>
        <w:t xml:space="preserve"> Dawka produktu Yuflyma u dzieci i młodzieży z zapaleniem błony naczyniowej</w:t>
      </w:r>
    </w:p>
    <w:p w14:paraId="64DB055E" w14:textId="77777777" w:rsidR="002E5800" w:rsidRPr="008F328C" w:rsidRDefault="002E5800">
      <w:pPr>
        <w:spacing w:before="4" w:line="220" w:lineRule="exact"/>
        <w:rPr>
          <w:rFonts w:ascii="Times New Roman" w:hAnsi="Times New Roman" w:cs="Times New Roman"/>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2E5800" w:rsidRPr="008F328C" w14:paraId="0D829207" w14:textId="77777777">
        <w:trPr>
          <w:trHeight w:val="374"/>
          <w:jc w:val="center"/>
        </w:trPr>
        <w:tc>
          <w:tcPr>
            <w:tcW w:w="3572" w:type="dxa"/>
            <w:tcBorders>
              <w:top w:val="single" w:sz="4" w:space="0" w:color="auto"/>
              <w:bottom w:val="single" w:sz="4" w:space="0" w:color="auto"/>
            </w:tcBorders>
            <w:vAlign w:val="center"/>
          </w:tcPr>
          <w:p w14:paraId="4169C82E" w14:textId="77777777" w:rsidR="002E5800" w:rsidRPr="008F328C" w:rsidRDefault="000E0B7C">
            <w:pPr>
              <w:pStyle w:val="a3"/>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12316F2B" w14:textId="77777777" w:rsidR="002E5800" w:rsidRPr="008F328C" w:rsidRDefault="000E0B7C">
            <w:pPr>
              <w:pStyle w:val="a3"/>
              <w:jc w:val="center"/>
              <w:rPr>
                <w:b/>
                <w:lang w:val="pl-PL"/>
              </w:rPr>
            </w:pPr>
            <w:r w:rsidRPr="008F328C">
              <w:rPr>
                <w:rFonts w:eastAsia="Times New Roman"/>
                <w:b/>
                <w:bCs/>
                <w:lang w:val="pl-PL"/>
              </w:rPr>
              <w:t>Schemat dawkowania</w:t>
            </w:r>
          </w:p>
        </w:tc>
      </w:tr>
      <w:tr w:rsidR="002E5800" w:rsidRPr="006D3555" w14:paraId="254C823F" w14:textId="77777777">
        <w:trPr>
          <w:trHeight w:val="388"/>
          <w:jc w:val="center"/>
        </w:trPr>
        <w:tc>
          <w:tcPr>
            <w:tcW w:w="3572" w:type="dxa"/>
            <w:tcBorders>
              <w:top w:val="single" w:sz="4" w:space="0" w:color="auto"/>
              <w:bottom w:val="single" w:sz="4" w:space="0" w:color="auto"/>
            </w:tcBorders>
            <w:vAlign w:val="center"/>
          </w:tcPr>
          <w:p w14:paraId="6528BC01" w14:textId="77777777" w:rsidR="002E5800" w:rsidRPr="008F328C" w:rsidRDefault="000E0B7C">
            <w:pPr>
              <w:pStyle w:val="a3"/>
              <w:jc w:val="center"/>
              <w:rPr>
                <w:lang w:val="pl-PL"/>
              </w:rPr>
            </w:pPr>
            <w:r w:rsidRPr="008F328C">
              <w:rPr>
                <w:rFonts w:eastAsia="Times New Roman"/>
                <w:lang w:val="pl-PL"/>
              </w:rPr>
              <w:t>&lt; 30 kg</w:t>
            </w:r>
          </w:p>
        </w:tc>
        <w:tc>
          <w:tcPr>
            <w:tcW w:w="3572" w:type="dxa"/>
            <w:tcBorders>
              <w:top w:val="single" w:sz="4" w:space="0" w:color="auto"/>
              <w:bottom w:val="single" w:sz="4" w:space="0" w:color="auto"/>
            </w:tcBorders>
            <w:vAlign w:val="center"/>
          </w:tcPr>
          <w:p w14:paraId="66C16BAC" w14:textId="2A738837" w:rsidR="002E5800" w:rsidRPr="008F328C" w:rsidRDefault="0003721A">
            <w:pPr>
              <w:pStyle w:val="a3"/>
              <w:jc w:val="center"/>
              <w:rPr>
                <w:lang w:val="pl-PL"/>
              </w:rPr>
            </w:pPr>
            <w:r>
              <w:rPr>
                <w:rFonts w:eastAsia="Times New Roman"/>
                <w:lang w:val="pl-PL"/>
              </w:rPr>
              <w:t>2</w:t>
            </w:r>
            <w:r w:rsidRPr="008F328C">
              <w:rPr>
                <w:rFonts w:eastAsia="Times New Roman"/>
                <w:lang w:val="pl-PL"/>
              </w:rPr>
              <w:t>0 mg co drugi tydzień w skojarzeniu z metotreksatem</w:t>
            </w:r>
          </w:p>
        </w:tc>
      </w:tr>
      <w:tr w:rsidR="002E5800" w:rsidRPr="006D3555" w14:paraId="2A2DC822" w14:textId="77777777">
        <w:trPr>
          <w:trHeight w:val="374"/>
          <w:jc w:val="center"/>
        </w:trPr>
        <w:tc>
          <w:tcPr>
            <w:tcW w:w="3572" w:type="dxa"/>
            <w:tcBorders>
              <w:top w:val="single" w:sz="4" w:space="0" w:color="auto"/>
              <w:bottom w:val="single" w:sz="4" w:space="0" w:color="auto"/>
            </w:tcBorders>
            <w:vAlign w:val="center"/>
          </w:tcPr>
          <w:p w14:paraId="032D7FC9" w14:textId="77777777" w:rsidR="002E5800" w:rsidRPr="008F328C" w:rsidRDefault="000E0B7C">
            <w:pPr>
              <w:pStyle w:val="a3"/>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038BEDC8" w14:textId="77777777" w:rsidR="002E5800" w:rsidRPr="008F328C" w:rsidRDefault="000E0B7C">
            <w:pPr>
              <w:pStyle w:val="a3"/>
              <w:jc w:val="center"/>
              <w:rPr>
                <w:lang w:val="pl-PL"/>
              </w:rPr>
            </w:pPr>
            <w:r w:rsidRPr="008F328C">
              <w:rPr>
                <w:rFonts w:eastAsia="Times New Roman"/>
                <w:lang w:val="pl-PL"/>
              </w:rPr>
              <w:t>40 mg co drugi tydzień w skojarzeniu z metotreksatem</w:t>
            </w:r>
          </w:p>
        </w:tc>
      </w:tr>
    </w:tbl>
    <w:p w14:paraId="3B1F1685" w14:textId="77777777" w:rsidR="002E5800" w:rsidRPr="008F328C" w:rsidRDefault="002E5800">
      <w:pPr>
        <w:pStyle w:val="a3"/>
        <w:rPr>
          <w:lang w:val="pl-PL"/>
        </w:rPr>
      </w:pPr>
    </w:p>
    <w:p w14:paraId="1A49759D" w14:textId="5EEB3FBA" w:rsidR="002E5800" w:rsidRPr="008F328C" w:rsidRDefault="000E0B7C">
      <w:pPr>
        <w:pStyle w:val="a3"/>
        <w:rPr>
          <w:lang w:val="pl-PL"/>
        </w:rPr>
      </w:pPr>
      <w:r w:rsidRPr="008F328C">
        <w:rPr>
          <w:rFonts w:eastAsia="Times New Roman"/>
          <w:lang w:val="pl-PL"/>
        </w:rPr>
        <w:t>Rozpoczynając leczenie produktem Yuflyma, dawkę nasycającą 40 mg u pacjentów &lt; 30 kg lub 80 mg u pacjentów</w:t>
      </w:r>
      <w:r w:rsidR="00320A0D" w:rsidRPr="008F328C">
        <w:rPr>
          <w:rFonts w:eastAsia="Times New Roman"/>
          <w:lang w:val="pl-PL"/>
        </w:rPr>
        <w:t xml:space="preserve"> </w:t>
      </w:r>
      <w:r w:rsidRPr="008F328C">
        <w:rPr>
          <w:rFonts w:eastAsia="Times New Roman"/>
          <w:lang w:val="pl-PL"/>
        </w:rPr>
        <w:t>≥ 30 kg można podać jeden tydzień przed rozpoczęciem leczenia podtrzymującego. Nie ma dostępnych danych klinicznych dotyczących stosowania dawki nasycającej adalimumabu u dzieci w wieku &lt;6 lat (patrz punkt 5.2).</w:t>
      </w:r>
    </w:p>
    <w:p w14:paraId="0F31CC13" w14:textId="77777777" w:rsidR="002E5800" w:rsidRPr="008F328C" w:rsidRDefault="002E5800">
      <w:pPr>
        <w:spacing w:before="10" w:line="240" w:lineRule="exact"/>
        <w:rPr>
          <w:rFonts w:ascii="Times New Roman" w:hAnsi="Times New Roman" w:cs="Times New Roman"/>
          <w:sz w:val="24"/>
          <w:szCs w:val="24"/>
          <w:lang w:val="pl-PL"/>
        </w:rPr>
      </w:pPr>
    </w:p>
    <w:p w14:paraId="046EA5AF" w14:textId="779B7760" w:rsidR="002E5800" w:rsidRPr="008F328C" w:rsidRDefault="000E0B7C">
      <w:pPr>
        <w:pStyle w:val="a3"/>
        <w:rPr>
          <w:lang w:val="pl-PL"/>
        </w:rPr>
      </w:pPr>
      <w:r w:rsidRPr="008F328C">
        <w:rPr>
          <w:rFonts w:eastAsia="Times New Roman"/>
          <w:lang w:val="pl-PL"/>
        </w:rPr>
        <w:t xml:space="preserve">Stosowanie produktu </w:t>
      </w:r>
      <w:r w:rsidR="00012556" w:rsidRPr="008F328C">
        <w:rPr>
          <w:rFonts w:eastAsia="Times New Roman"/>
          <w:lang w:val="pl-PL"/>
        </w:rPr>
        <w:t xml:space="preserve">adalimumabu </w:t>
      </w:r>
      <w:r w:rsidRPr="008F328C">
        <w:rPr>
          <w:rFonts w:eastAsia="Times New Roman"/>
          <w:lang w:val="pl-PL"/>
        </w:rPr>
        <w:t>u dzieci w wieku poniżej 2 lat nie jest właściwe w tym wskazaniu.</w:t>
      </w:r>
    </w:p>
    <w:p w14:paraId="23D6E791" w14:textId="77777777" w:rsidR="002E5800" w:rsidRPr="008F328C" w:rsidRDefault="002E5800">
      <w:pPr>
        <w:spacing w:before="11" w:line="240" w:lineRule="exact"/>
        <w:rPr>
          <w:rFonts w:ascii="Times New Roman" w:hAnsi="Times New Roman" w:cs="Times New Roman"/>
          <w:sz w:val="24"/>
          <w:szCs w:val="24"/>
          <w:lang w:val="pl-PL"/>
        </w:rPr>
      </w:pPr>
    </w:p>
    <w:p w14:paraId="067E79F9" w14:textId="77777777" w:rsidR="002E5800" w:rsidRPr="008F328C" w:rsidRDefault="000E0B7C">
      <w:pPr>
        <w:pStyle w:val="a3"/>
        <w:rPr>
          <w:lang w:val="pl-PL"/>
        </w:rPr>
      </w:pPr>
      <w:r w:rsidRPr="008F328C">
        <w:rPr>
          <w:rFonts w:eastAsia="Times New Roman"/>
          <w:spacing w:val="-4"/>
          <w:lang w:val="pl-PL"/>
        </w:rPr>
        <w:t>Zaleca się coroczną ocenę korzyści i ryzyka związanego z kontynuacją długookresowego leczenia (patrz punkt 5.1).</w:t>
      </w:r>
    </w:p>
    <w:p w14:paraId="3D1A0632" w14:textId="77777777" w:rsidR="002E5800" w:rsidRPr="008F328C" w:rsidRDefault="002E5800">
      <w:pPr>
        <w:spacing w:before="16" w:line="240" w:lineRule="exact"/>
        <w:rPr>
          <w:rFonts w:ascii="Times New Roman" w:hAnsi="Times New Roman" w:cs="Times New Roman"/>
          <w:sz w:val="24"/>
          <w:szCs w:val="24"/>
          <w:lang w:val="pl-PL"/>
        </w:rPr>
      </w:pPr>
    </w:p>
    <w:p w14:paraId="5B966C5B" w14:textId="77777777" w:rsidR="002E5800" w:rsidRPr="008F328C" w:rsidRDefault="002E5800">
      <w:pPr>
        <w:spacing w:before="12" w:line="240" w:lineRule="exact"/>
        <w:rPr>
          <w:rFonts w:ascii="Times New Roman" w:hAnsi="Times New Roman" w:cs="Times New Roman"/>
          <w:lang w:val="pl-PL"/>
        </w:rPr>
      </w:pPr>
    </w:p>
    <w:p w14:paraId="34C7C2CA" w14:textId="77777777" w:rsidR="002E5800" w:rsidRPr="008F328C" w:rsidRDefault="000E0B7C">
      <w:pPr>
        <w:pStyle w:val="a3"/>
        <w:rPr>
          <w:u w:val="single"/>
          <w:lang w:val="pl-PL"/>
        </w:rPr>
      </w:pPr>
      <w:r w:rsidRPr="008F328C">
        <w:rPr>
          <w:rFonts w:eastAsia="Times New Roman"/>
          <w:u w:val="single" w:color="000000"/>
          <w:lang w:val="pl-PL"/>
        </w:rPr>
        <w:t>Sposób podawania</w:t>
      </w:r>
    </w:p>
    <w:p w14:paraId="6E889027" w14:textId="77777777" w:rsidR="002E5800" w:rsidRPr="008F328C" w:rsidRDefault="002E5800">
      <w:pPr>
        <w:spacing w:before="9" w:line="170" w:lineRule="exact"/>
        <w:rPr>
          <w:rFonts w:ascii="Times New Roman" w:hAnsi="Times New Roman" w:cs="Times New Roman"/>
          <w:lang w:val="pl-PL"/>
        </w:rPr>
      </w:pPr>
    </w:p>
    <w:p w14:paraId="080F2108" w14:textId="77777777" w:rsidR="002E5800" w:rsidRPr="008F328C" w:rsidRDefault="000E0B7C">
      <w:pPr>
        <w:pStyle w:val="a3"/>
        <w:rPr>
          <w:lang w:val="pl-PL"/>
        </w:rPr>
      </w:pPr>
      <w:r w:rsidRPr="008F328C">
        <w:rPr>
          <w:rFonts w:eastAsia="Times New Roman"/>
          <w:lang w:val="pl-PL"/>
        </w:rPr>
        <w:t>Produkt Yuflyma podaje się we wstrzyknięciu podskórnym.</w:t>
      </w:r>
    </w:p>
    <w:p w14:paraId="4772E2EF" w14:textId="77777777" w:rsidR="002E5800" w:rsidRPr="008F328C" w:rsidRDefault="002E5800">
      <w:pPr>
        <w:pStyle w:val="a3"/>
        <w:rPr>
          <w:lang w:val="pl-PL"/>
        </w:rPr>
      </w:pPr>
    </w:p>
    <w:p w14:paraId="1D78B90D" w14:textId="77777777" w:rsidR="002E5800" w:rsidRPr="008F328C" w:rsidRDefault="000E0B7C">
      <w:pPr>
        <w:pStyle w:val="a3"/>
        <w:rPr>
          <w:lang w:val="pl-PL"/>
        </w:rPr>
      </w:pPr>
      <w:r w:rsidRPr="008F328C">
        <w:rPr>
          <w:rFonts w:eastAsia="Times New Roman"/>
          <w:lang w:val="pl-PL"/>
        </w:rPr>
        <w:t>Pełne instrukcje dotyczące stosowania podano w ulotce dołączonej do opakowania.</w:t>
      </w:r>
    </w:p>
    <w:p w14:paraId="3B5FF37A" w14:textId="77777777" w:rsidR="002E5800" w:rsidRPr="008F328C" w:rsidRDefault="002E5800">
      <w:pPr>
        <w:spacing w:before="12" w:line="240" w:lineRule="exact"/>
        <w:rPr>
          <w:rFonts w:ascii="Times New Roman" w:hAnsi="Times New Roman" w:cs="Times New Roman"/>
          <w:lang w:val="pl-PL"/>
        </w:rPr>
      </w:pPr>
    </w:p>
    <w:p w14:paraId="42A1DE5B" w14:textId="3711AA3E" w:rsidR="0003721A" w:rsidRPr="0003721A" w:rsidRDefault="0003721A">
      <w:pPr>
        <w:pStyle w:val="a3"/>
        <w:rPr>
          <w:lang w:val="pl-PL"/>
        </w:rPr>
      </w:pPr>
      <w:r w:rsidRPr="0003721A">
        <w:rPr>
          <w:rFonts w:eastAsia="Times New Roman"/>
          <w:lang w:val="pl-PL"/>
        </w:rPr>
        <w:t>Produkt</w:t>
      </w:r>
      <w:r>
        <w:rPr>
          <w:rFonts w:eastAsia="Times New Roman"/>
          <w:lang w:val="pl-PL"/>
        </w:rPr>
        <w:t xml:space="preserve"> Yuflyma</w:t>
      </w:r>
      <w:r w:rsidRPr="0003721A">
        <w:rPr>
          <w:rFonts w:eastAsia="Times New Roman"/>
          <w:lang w:val="pl-PL"/>
        </w:rPr>
        <w:t xml:space="preserve"> jest dostępny w innych dawkach i (lub) postaciach.</w:t>
      </w:r>
    </w:p>
    <w:p w14:paraId="5417537E" w14:textId="77777777" w:rsidR="002E5800" w:rsidRPr="008F328C" w:rsidRDefault="002E5800">
      <w:pPr>
        <w:spacing w:before="16" w:line="240" w:lineRule="exact"/>
        <w:rPr>
          <w:rFonts w:ascii="Times New Roman" w:hAnsi="Times New Roman" w:cs="Times New Roman"/>
          <w:lang w:val="pl-PL"/>
        </w:rPr>
      </w:pPr>
    </w:p>
    <w:p w14:paraId="1DEADD5F"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Przeciwwskazania</w:t>
      </w:r>
    </w:p>
    <w:p w14:paraId="563B3BC2" w14:textId="77777777" w:rsidR="002E5800" w:rsidRPr="008F328C" w:rsidRDefault="002E5800">
      <w:pPr>
        <w:spacing w:before="9" w:line="240" w:lineRule="exact"/>
        <w:rPr>
          <w:rFonts w:ascii="Times New Roman" w:hAnsi="Times New Roman" w:cs="Times New Roman"/>
          <w:lang w:val="pl-PL"/>
        </w:rPr>
      </w:pPr>
    </w:p>
    <w:p w14:paraId="39706ECC" w14:textId="77777777" w:rsidR="002E5800" w:rsidRPr="008F328C" w:rsidRDefault="000E0B7C">
      <w:pPr>
        <w:pStyle w:val="a3"/>
        <w:rPr>
          <w:lang w:val="pl-PL"/>
        </w:rPr>
      </w:pPr>
      <w:r w:rsidRPr="008F328C">
        <w:rPr>
          <w:rFonts w:eastAsia="Times New Roman"/>
          <w:lang w:val="pl-PL"/>
        </w:rPr>
        <w:t>Nadwrażliwość na substancję czynną lub na którąkolwiek substancję pomocniczą wymienioną w punkcie 6.1.</w:t>
      </w:r>
    </w:p>
    <w:p w14:paraId="29576279" w14:textId="77777777" w:rsidR="002E5800" w:rsidRPr="008F328C" w:rsidRDefault="002E5800">
      <w:pPr>
        <w:spacing w:before="13" w:line="240" w:lineRule="exact"/>
        <w:rPr>
          <w:rFonts w:ascii="Times New Roman" w:hAnsi="Times New Roman" w:cs="Times New Roman"/>
          <w:lang w:val="pl-PL"/>
        </w:rPr>
      </w:pPr>
    </w:p>
    <w:p w14:paraId="1869980C" w14:textId="77777777" w:rsidR="002E5800" w:rsidRPr="008F328C" w:rsidRDefault="000E0B7C">
      <w:pPr>
        <w:pStyle w:val="a3"/>
        <w:rPr>
          <w:lang w:val="pl-PL"/>
        </w:rPr>
      </w:pPr>
      <w:r w:rsidRPr="008F328C">
        <w:rPr>
          <w:rFonts w:eastAsia="Times New Roman"/>
          <w:lang w:val="pl-PL"/>
        </w:rPr>
        <w:t xml:space="preserve">Czynna gruźlica lub inne ciężkie zakażenia, takie jak posocznica i zakażenia oportunistyczne (patrz punkt 4.4). </w:t>
      </w:r>
    </w:p>
    <w:p w14:paraId="25FAC0E7" w14:textId="77777777" w:rsidR="002E5800" w:rsidRPr="008F328C" w:rsidRDefault="002E5800">
      <w:pPr>
        <w:pStyle w:val="a3"/>
        <w:rPr>
          <w:lang w:val="pl-PL"/>
        </w:rPr>
      </w:pPr>
    </w:p>
    <w:p w14:paraId="1FC72EC5" w14:textId="77777777" w:rsidR="002E5800" w:rsidRPr="008F328C" w:rsidRDefault="000E0B7C">
      <w:pPr>
        <w:pStyle w:val="a3"/>
        <w:rPr>
          <w:lang w:val="pl-PL"/>
        </w:rPr>
      </w:pPr>
      <w:r w:rsidRPr="008F328C">
        <w:rPr>
          <w:rFonts w:eastAsia="Times New Roman"/>
          <w:lang w:val="pl-PL"/>
        </w:rPr>
        <w:t>Umiarkowana i ciężka niewydolność serca (klasa III/IV wg NYHA) (patrz punkt 4.4).</w:t>
      </w:r>
    </w:p>
    <w:p w14:paraId="3759EEAB" w14:textId="77777777" w:rsidR="002E5800" w:rsidRPr="008F328C" w:rsidRDefault="002E5800">
      <w:pPr>
        <w:pStyle w:val="a3"/>
        <w:rPr>
          <w:lang w:val="pl-PL"/>
        </w:rPr>
      </w:pPr>
    </w:p>
    <w:p w14:paraId="1025EB51"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ostrzeżenia i środki ostrożności dotyczące stosowania</w:t>
      </w:r>
    </w:p>
    <w:p w14:paraId="19C14A0F" w14:textId="77777777" w:rsidR="002E5800" w:rsidRPr="008F328C" w:rsidRDefault="002E5800">
      <w:pPr>
        <w:spacing w:before="9" w:line="240" w:lineRule="exact"/>
        <w:rPr>
          <w:rFonts w:ascii="Times New Roman" w:hAnsi="Times New Roman" w:cs="Times New Roman"/>
          <w:lang w:val="pl-PL"/>
        </w:rPr>
      </w:pPr>
    </w:p>
    <w:p w14:paraId="2742EDCE" w14:textId="77777777" w:rsidR="002E5800" w:rsidRPr="008F328C" w:rsidRDefault="000E0B7C">
      <w:pPr>
        <w:pStyle w:val="a3"/>
        <w:rPr>
          <w:u w:val="single"/>
          <w:lang w:val="pl-PL"/>
        </w:rPr>
      </w:pPr>
      <w:r w:rsidRPr="008F328C">
        <w:rPr>
          <w:rFonts w:eastAsia="Times New Roman"/>
          <w:spacing w:val="1"/>
          <w:u w:val="single" w:color="000000"/>
          <w:lang w:val="pl-PL"/>
        </w:rPr>
        <w:t>Identyfikowalność</w:t>
      </w:r>
    </w:p>
    <w:p w14:paraId="4DA9AED5" w14:textId="77777777" w:rsidR="002E5800" w:rsidRPr="008F328C" w:rsidRDefault="002E5800">
      <w:pPr>
        <w:spacing w:before="1" w:line="180" w:lineRule="exact"/>
        <w:rPr>
          <w:rFonts w:ascii="Times New Roman" w:hAnsi="Times New Roman" w:cs="Times New Roman"/>
          <w:lang w:val="pl-PL"/>
        </w:rPr>
      </w:pPr>
    </w:p>
    <w:p w14:paraId="01A507A9" w14:textId="77777777" w:rsidR="002E5800" w:rsidRPr="008F328C" w:rsidRDefault="000E0B7C">
      <w:pPr>
        <w:pStyle w:val="a3"/>
        <w:rPr>
          <w:lang w:val="pl-PL"/>
        </w:rPr>
      </w:pPr>
      <w:r w:rsidRPr="008F328C">
        <w:rPr>
          <w:rFonts w:eastAsia="Times New Roman"/>
          <w:lang w:val="pl-PL"/>
        </w:rPr>
        <w:t>W celu poprawienia identyfikowalności biologicznych produktów leczniczych należy czytelnie zapisać nazwę i numer serii podawanego produktu.</w:t>
      </w:r>
    </w:p>
    <w:p w14:paraId="33238F8C" w14:textId="77777777" w:rsidR="002E5800" w:rsidRPr="008F328C" w:rsidRDefault="002E5800">
      <w:pPr>
        <w:spacing w:before="11" w:line="240" w:lineRule="exact"/>
        <w:rPr>
          <w:rFonts w:ascii="Times New Roman" w:hAnsi="Times New Roman" w:cs="Times New Roman"/>
          <w:lang w:val="pl-PL"/>
        </w:rPr>
      </w:pPr>
    </w:p>
    <w:p w14:paraId="7646CDB1" w14:textId="77777777" w:rsidR="002E5800" w:rsidRPr="008F328C" w:rsidRDefault="000E0B7C">
      <w:pPr>
        <w:pStyle w:val="a3"/>
        <w:rPr>
          <w:u w:val="single"/>
          <w:lang w:val="pl-PL"/>
        </w:rPr>
      </w:pPr>
      <w:r w:rsidRPr="008F328C">
        <w:rPr>
          <w:rFonts w:eastAsia="Times New Roman"/>
          <w:u w:val="single" w:color="000000"/>
          <w:lang w:val="pl-PL"/>
        </w:rPr>
        <w:t>Zakażenia</w:t>
      </w:r>
    </w:p>
    <w:p w14:paraId="154DF0DC" w14:textId="77777777" w:rsidR="002E5800" w:rsidRPr="008F328C" w:rsidRDefault="002E5800">
      <w:pPr>
        <w:spacing w:before="1" w:line="180" w:lineRule="exact"/>
        <w:rPr>
          <w:rFonts w:ascii="Times New Roman" w:hAnsi="Times New Roman" w:cs="Times New Roman"/>
          <w:lang w:val="pl-PL"/>
        </w:rPr>
      </w:pPr>
    </w:p>
    <w:p w14:paraId="6A1DD2DB" w14:textId="77777777" w:rsidR="002E5800" w:rsidRPr="008F328C" w:rsidRDefault="000E0B7C">
      <w:pPr>
        <w:pStyle w:val="a3"/>
        <w:rPr>
          <w:lang w:val="pl-PL"/>
        </w:rPr>
      </w:pPr>
      <w:r w:rsidRPr="008F328C">
        <w:rPr>
          <w:rFonts w:eastAsia="Times New Roman"/>
          <w:lang w:val="pl-PL"/>
        </w:rPr>
        <w:t>Pacjenci otrzymujący leki z grupy antagonistów TNF są bardziej podatni na ciężkie zakażenia. Zaburzenie czynności płuc może zwiększyć ryzyko rozwijania się zakażeń. Pacjentów należy wobec tego dokładnie monitorować w celu wykluczenia ewentualnych zakażeń, w tym gruźlicy przed, podczas i po leczeniu produktem Yuflyma. Eliminacja adalimumabu z ustroju może trwać nawet 4 miesiące i w tym okresie należy kontynuować badania kontrolne.</w:t>
      </w:r>
    </w:p>
    <w:p w14:paraId="152EF879" w14:textId="77777777" w:rsidR="002E5800" w:rsidRPr="008F328C" w:rsidRDefault="002E5800">
      <w:pPr>
        <w:spacing w:before="14" w:line="240" w:lineRule="exact"/>
        <w:rPr>
          <w:rFonts w:ascii="Times New Roman" w:hAnsi="Times New Roman" w:cs="Times New Roman"/>
          <w:lang w:val="pl-PL"/>
        </w:rPr>
      </w:pPr>
    </w:p>
    <w:p w14:paraId="45FEF66D" w14:textId="77777777" w:rsidR="002E5800" w:rsidRPr="008F328C" w:rsidRDefault="000E0B7C">
      <w:pPr>
        <w:pStyle w:val="a3"/>
        <w:rPr>
          <w:lang w:val="pl-PL"/>
        </w:rPr>
      </w:pPr>
      <w:r w:rsidRPr="008F328C">
        <w:rPr>
          <w:rFonts w:eastAsia="Times New Roman"/>
          <w:lang w:val="pl-PL"/>
        </w:rPr>
        <w:t xml:space="preserve">Leczenia produktem Yuflyma nie wolno rozpoczynać u pacjentów z czynnym zakażeniem, w tym z przewlekłymi lub miejscowymi zakażeniami, do czasu opanowania zakażenia. U pacjentów narażonych na gruźlicę i pacjentów, którzy podróżowali w rejonach o wysokim ryzyku zachorowania na gruźlicę lub występujących endemicznie grzybic, takich jak histoplazmoza, kokcydioidomykoza lub blastomykoza, przed rozpoczęciem terapii należy rozważyć ryzyko i korzyści związane z leczeniem produktem Yuflyma (patrz </w:t>
      </w:r>
      <w:r w:rsidRPr="008F328C">
        <w:rPr>
          <w:rFonts w:eastAsia="Times New Roman"/>
          <w:i/>
          <w:iCs/>
          <w:lang w:val="pl-PL"/>
        </w:rPr>
        <w:t>Inne zakażenia oportunistyczne</w:t>
      </w:r>
      <w:r w:rsidRPr="008F328C">
        <w:rPr>
          <w:rFonts w:eastAsia="Times New Roman"/>
          <w:lang w:val="pl-PL"/>
        </w:rPr>
        <w:t>).</w:t>
      </w:r>
    </w:p>
    <w:p w14:paraId="61407D7A" w14:textId="77777777" w:rsidR="002E5800" w:rsidRPr="008F328C" w:rsidRDefault="002E5800">
      <w:pPr>
        <w:spacing w:before="13" w:line="240" w:lineRule="exact"/>
        <w:rPr>
          <w:rFonts w:ascii="Times New Roman" w:hAnsi="Times New Roman" w:cs="Times New Roman"/>
          <w:lang w:val="pl-PL"/>
        </w:rPr>
      </w:pPr>
    </w:p>
    <w:p w14:paraId="021A8EE9" w14:textId="77777777" w:rsidR="002E5800" w:rsidRPr="008F328C" w:rsidRDefault="000E0B7C">
      <w:pPr>
        <w:pStyle w:val="a3"/>
        <w:rPr>
          <w:lang w:val="pl-PL"/>
        </w:rPr>
      </w:pPr>
      <w:r w:rsidRPr="008F328C">
        <w:rPr>
          <w:rFonts w:eastAsia="Times New Roman"/>
          <w:lang w:val="pl-PL"/>
        </w:rPr>
        <w:t>Pacjentów, u których w czasie leczenia produktem Yuflyma wystąpi nowe zakażenie należy poddać dokładnym badaniom kontrolnym i wykonać badania diagnostyczne w pełnym zakresie. Jeśli u pacjenta wystąpi nowe ciężkie zakażenie lub posocznica, należy zastosować odpowiednie leczenie przeciwbakteryjne lub przeciwgrzybicze, a podawanie produktu Yuflyma należy wstrzymać do czasu opanowania zakażenia. Lekarze powinni zachować ostrożność rozważając użycie produktu Yuflyma u pacjentów z nawracającymi zakażeniami w wywiadzie w stanach, które mogą zwiększać skłonność do zakażeń, w tym jednoczesne stosowanie leków immunosupresyjnych.</w:t>
      </w:r>
    </w:p>
    <w:p w14:paraId="4FE92F19" w14:textId="77777777" w:rsidR="002E5800" w:rsidRPr="008F328C" w:rsidRDefault="002E5800">
      <w:pPr>
        <w:pStyle w:val="a3"/>
        <w:rPr>
          <w:lang w:val="pl-PL"/>
        </w:rPr>
      </w:pPr>
    </w:p>
    <w:p w14:paraId="3FC0C39A"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Ciężkie zakażenia</w:t>
      </w:r>
    </w:p>
    <w:p w14:paraId="611CBC8A" w14:textId="77777777" w:rsidR="002E5800" w:rsidRPr="008F328C" w:rsidRDefault="002E5800">
      <w:pPr>
        <w:spacing w:line="240" w:lineRule="exact"/>
        <w:rPr>
          <w:rFonts w:ascii="Times New Roman" w:hAnsi="Times New Roman" w:cs="Times New Roman"/>
          <w:lang w:val="pl-PL"/>
        </w:rPr>
      </w:pPr>
    </w:p>
    <w:p w14:paraId="2679F2EB" w14:textId="77777777" w:rsidR="002E5800" w:rsidRPr="008F328C" w:rsidRDefault="000E0B7C">
      <w:pPr>
        <w:pStyle w:val="a3"/>
        <w:rPr>
          <w:lang w:val="pl-PL"/>
        </w:rPr>
      </w:pPr>
      <w:r w:rsidRPr="008F328C">
        <w:rPr>
          <w:rFonts w:eastAsia="Times New Roman"/>
          <w:lang w:val="pl-PL"/>
        </w:rPr>
        <w:t xml:space="preserve">U pacjentów otrzymujących adalimumab zgłaszano ciężkie zakażenia, w tym posocznicę spowodowaną zakażeniem bakteryjnym, zakażeniem wywołanym przez prątki, inwazyjnym zakażeniem grzybiczym, pasożytniczym, wirusowym, lub inne oportunistyczne zakażenia, takie jak listerioza, legionelloza i </w:t>
      </w:r>
      <w:r w:rsidRPr="008F328C">
        <w:rPr>
          <w:rFonts w:eastAsia="Times New Roman"/>
          <w:lang w:val="pl-PL"/>
        </w:rPr>
        <w:lastRenderedPageBreak/>
        <w:t>pneumocystoza.</w:t>
      </w:r>
    </w:p>
    <w:p w14:paraId="2F68F3B8" w14:textId="77777777" w:rsidR="002E5800" w:rsidRPr="008F328C" w:rsidRDefault="002E5800">
      <w:pPr>
        <w:spacing w:line="240" w:lineRule="exact"/>
        <w:rPr>
          <w:rFonts w:ascii="Times New Roman" w:hAnsi="Times New Roman" w:cs="Times New Roman"/>
          <w:lang w:val="pl-PL"/>
        </w:rPr>
      </w:pPr>
    </w:p>
    <w:p w14:paraId="685AA538" w14:textId="77777777" w:rsidR="002E5800" w:rsidRPr="008F328C" w:rsidRDefault="000E0B7C">
      <w:pPr>
        <w:pStyle w:val="a3"/>
        <w:rPr>
          <w:lang w:val="pl-PL"/>
        </w:rPr>
      </w:pPr>
      <w:r w:rsidRPr="008F328C">
        <w:rPr>
          <w:rFonts w:eastAsia="Times New Roman"/>
          <w:lang w:val="pl-PL"/>
        </w:rPr>
        <w:t>Do innych ciężkich zakażeń obserwowanych w badaniach klinicznych zalicza się zapalenie płuc, odmiedniczkowe zapalenie nerek, septyczne zapalenie stawów oraz posocznicę. Informowano o hospitalizacji lub zgonach w związku z zakażeniami.</w:t>
      </w:r>
    </w:p>
    <w:p w14:paraId="78814B34" w14:textId="77777777" w:rsidR="002E5800" w:rsidRPr="008F328C" w:rsidRDefault="002E5800">
      <w:pPr>
        <w:spacing w:line="240" w:lineRule="exact"/>
        <w:rPr>
          <w:rFonts w:ascii="Times New Roman" w:hAnsi="Times New Roman" w:cs="Times New Roman"/>
          <w:lang w:val="pl-PL"/>
        </w:rPr>
      </w:pPr>
    </w:p>
    <w:p w14:paraId="132EFF62"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Gruźlica</w:t>
      </w:r>
    </w:p>
    <w:p w14:paraId="0D07FEE3" w14:textId="77777777" w:rsidR="002E5800" w:rsidRPr="008F328C" w:rsidRDefault="002E5800">
      <w:pPr>
        <w:spacing w:line="240" w:lineRule="exact"/>
        <w:rPr>
          <w:rFonts w:ascii="Times New Roman" w:hAnsi="Times New Roman" w:cs="Times New Roman"/>
          <w:lang w:val="pl-PL"/>
        </w:rPr>
      </w:pPr>
    </w:p>
    <w:p w14:paraId="06CA0B5B" w14:textId="77777777" w:rsidR="002E5800" w:rsidRPr="008F328C" w:rsidRDefault="000E0B7C">
      <w:pPr>
        <w:pStyle w:val="a3"/>
        <w:rPr>
          <w:lang w:val="pl-PL"/>
        </w:rPr>
      </w:pPr>
      <w:r w:rsidRPr="008F328C">
        <w:rPr>
          <w:rFonts w:eastAsia="Times New Roman"/>
          <w:lang w:val="pl-PL"/>
        </w:rPr>
        <w:t>U pacjentów otrzymujących adalimumab informowano o gruźlicy, w tym jej reaktywacji i nowych zachorowaniach na gruźlicę. Były to doniesienia o przypadkach gruźlicy płucnej i pozapłucnej (tzn. rozsianej).</w:t>
      </w:r>
    </w:p>
    <w:p w14:paraId="10226114" w14:textId="77777777" w:rsidR="002E5800" w:rsidRPr="008F328C" w:rsidRDefault="002E5800">
      <w:pPr>
        <w:spacing w:line="240" w:lineRule="exact"/>
        <w:rPr>
          <w:rFonts w:ascii="Times New Roman" w:hAnsi="Times New Roman" w:cs="Times New Roman"/>
          <w:lang w:val="pl-PL"/>
        </w:rPr>
      </w:pPr>
    </w:p>
    <w:p w14:paraId="11F2E687" w14:textId="77777777" w:rsidR="002E5800" w:rsidRPr="008F328C" w:rsidRDefault="000E0B7C">
      <w:pPr>
        <w:pStyle w:val="a3"/>
        <w:rPr>
          <w:lang w:val="pl-PL"/>
        </w:rPr>
      </w:pPr>
      <w:r w:rsidRPr="008F328C">
        <w:rPr>
          <w:rFonts w:eastAsia="Times New Roman"/>
          <w:lang w:val="pl-PL"/>
        </w:rPr>
        <w:t>Przed rozpoczęciem leczenia produktem Yuflyma wszystkich pacjentów należy poddać badaniom w celu wykluczenia zarówno czynnej jak i nieczynnej („utajonej”) gruźlicy. Badanie powinno objąć szczegółową, dokonaną przez lekarza ocenę wywiadu dotyczącego wcześniej przebytej przez pacjenta gruźlicy lub możliwości wcześniejszego narażenia na kontakt z osobami chorymi na czynną gruźlicę oraz stosowanego wcześniej i (lub) obecnie leczenia immunosupresyjnego. U wszystkich pacjentów należy przeprowadzić odpowiednie badania przesiewowe (tzn. skórny odczyn tuberkulinowy i badanie radiologiczne klatki piersiowej) (można postępować zgodnie z lokalnymi zaleceniami). Zaleca się odnotowanie tych badań i ich wyników w „Karcie Przypominającej dla Pacjenta”. Lekarze powinni pamiętać o ryzyku fałszywie ujemnych skórnych odczynów tuberkulinowych, zwłaszcza u ciężko chorych pacjentów lub pacjentów z upośledzeniem odporności.</w:t>
      </w:r>
    </w:p>
    <w:p w14:paraId="2E828D9B" w14:textId="77777777" w:rsidR="002E5800" w:rsidRPr="008F328C" w:rsidRDefault="002E5800">
      <w:pPr>
        <w:spacing w:before="13" w:line="240" w:lineRule="exact"/>
        <w:rPr>
          <w:rFonts w:ascii="Times New Roman" w:hAnsi="Times New Roman" w:cs="Times New Roman"/>
          <w:lang w:val="pl-PL"/>
        </w:rPr>
      </w:pPr>
    </w:p>
    <w:p w14:paraId="617F2E80" w14:textId="77777777" w:rsidR="002E5800" w:rsidRPr="008F328C" w:rsidRDefault="000E0B7C">
      <w:pPr>
        <w:pStyle w:val="a3"/>
        <w:rPr>
          <w:lang w:val="pl-PL"/>
        </w:rPr>
      </w:pPr>
      <w:r w:rsidRPr="008F328C">
        <w:rPr>
          <w:rFonts w:eastAsia="Times New Roman"/>
          <w:lang w:val="pl-PL"/>
        </w:rPr>
        <w:t>W przypadku rozpoznania czynnej gruźlicy nie wolno rozpoczynać leczenia produktem Yuflyma (patrz punkt 4.3).</w:t>
      </w:r>
    </w:p>
    <w:p w14:paraId="6727D15E" w14:textId="77777777" w:rsidR="002E5800" w:rsidRPr="008F328C" w:rsidRDefault="002E5800">
      <w:pPr>
        <w:pStyle w:val="a3"/>
        <w:rPr>
          <w:lang w:val="pl-PL"/>
        </w:rPr>
      </w:pPr>
    </w:p>
    <w:p w14:paraId="7D98006D" w14:textId="77777777" w:rsidR="002E5800" w:rsidRPr="008F328C" w:rsidRDefault="000E0B7C">
      <w:pPr>
        <w:pStyle w:val="a3"/>
        <w:rPr>
          <w:lang w:val="pl-PL"/>
        </w:rPr>
      </w:pPr>
      <w:r w:rsidRPr="008F328C">
        <w:rPr>
          <w:rFonts w:eastAsia="Times New Roman"/>
          <w:lang w:val="pl-PL"/>
        </w:rPr>
        <w:t xml:space="preserve">We wszystkich opisanych poniżej sytuacjach należy bardzo dokładnie rozważyć korzyści i ryzyko związane z leczeniem. </w:t>
      </w:r>
    </w:p>
    <w:p w14:paraId="4B554A69" w14:textId="77777777" w:rsidR="002E5800" w:rsidRPr="008F328C" w:rsidRDefault="002E5800">
      <w:pPr>
        <w:pStyle w:val="a3"/>
        <w:rPr>
          <w:lang w:val="pl-PL"/>
        </w:rPr>
      </w:pPr>
    </w:p>
    <w:p w14:paraId="22147EE1" w14:textId="77777777" w:rsidR="002E5800" w:rsidRPr="008F328C" w:rsidRDefault="000E0B7C">
      <w:pPr>
        <w:pStyle w:val="a3"/>
        <w:rPr>
          <w:lang w:val="pl-PL"/>
        </w:rPr>
      </w:pPr>
      <w:r w:rsidRPr="008F328C">
        <w:rPr>
          <w:rFonts w:eastAsia="Times New Roman"/>
          <w:lang w:val="pl-PL"/>
        </w:rPr>
        <w:t>W przypadku podejrzewania utajonej gruźlicy, należy skonsultować się z lekarzem będącym specjalistą w leczeniu gruźlicy.</w:t>
      </w:r>
    </w:p>
    <w:p w14:paraId="07544453" w14:textId="77777777" w:rsidR="002E5800" w:rsidRPr="008F328C" w:rsidRDefault="002E5800">
      <w:pPr>
        <w:spacing w:before="11" w:line="240" w:lineRule="exact"/>
        <w:rPr>
          <w:rFonts w:ascii="Times New Roman" w:hAnsi="Times New Roman" w:cs="Times New Roman"/>
          <w:lang w:val="pl-PL"/>
        </w:rPr>
      </w:pPr>
    </w:p>
    <w:p w14:paraId="46CDDBAD" w14:textId="77777777" w:rsidR="002E5800" w:rsidRPr="008F328C" w:rsidRDefault="000E0B7C">
      <w:pPr>
        <w:pStyle w:val="a3"/>
        <w:rPr>
          <w:lang w:val="pl-PL"/>
        </w:rPr>
      </w:pPr>
      <w:r w:rsidRPr="008F328C">
        <w:rPr>
          <w:rFonts w:eastAsia="Times New Roman"/>
          <w:lang w:val="pl-PL"/>
        </w:rPr>
        <w:t>W przypadku rozpoznania utajonej gruźlicy, przed rozpoczęciem podawania produktu Yuflyma, należy rozpocząć profilaktyczne leczenie przeciwgruźlicze, zgodnie z lokalnymi zaleceniami.</w:t>
      </w:r>
    </w:p>
    <w:p w14:paraId="6271462D" w14:textId="77777777" w:rsidR="002E5800" w:rsidRPr="008F328C" w:rsidRDefault="002E5800">
      <w:pPr>
        <w:spacing w:before="12" w:line="240" w:lineRule="exact"/>
        <w:rPr>
          <w:rFonts w:ascii="Times New Roman" w:hAnsi="Times New Roman" w:cs="Times New Roman"/>
          <w:lang w:val="pl-PL"/>
        </w:rPr>
      </w:pPr>
    </w:p>
    <w:p w14:paraId="2E9E0D62" w14:textId="77777777" w:rsidR="002E5800" w:rsidRPr="008F328C" w:rsidRDefault="000E0B7C">
      <w:pPr>
        <w:pStyle w:val="a3"/>
        <w:rPr>
          <w:lang w:val="pl-PL"/>
        </w:rPr>
      </w:pPr>
      <w:r w:rsidRPr="008F328C">
        <w:rPr>
          <w:rFonts w:eastAsia="Times New Roman"/>
          <w:lang w:val="pl-PL"/>
        </w:rPr>
        <w:t>Zastosowanie profilaktycznego leczenia przeciwgruźliczego, przed rozpoczęciem stosowania produktu Yuflyma, należy również rozważyć u pacjentów z kilkoma lub z istotnymi czynnikami ryzyka wystąpienia gruźlicy pomimo ujemnego wyniku badania w kierunku gruźlicy oraz u pacjentów z utajoną lub czynną gruźlicą w przeszłości, u których nie można potwierdzić zastosowania odpowiedniego leczenia.</w:t>
      </w:r>
    </w:p>
    <w:p w14:paraId="007424B3" w14:textId="77777777" w:rsidR="002E5800" w:rsidRPr="008F328C" w:rsidRDefault="002E5800">
      <w:pPr>
        <w:spacing w:before="17" w:line="240" w:lineRule="exact"/>
        <w:rPr>
          <w:rFonts w:ascii="Times New Roman" w:hAnsi="Times New Roman" w:cs="Times New Roman"/>
          <w:lang w:val="pl-PL"/>
        </w:rPr>
      </w:pPr>
    </w:p>
    <w:p w14:paraId="02B08E12" w14:textId="77777777" w:rsidR="002E5800" w:rsidRPr="008F328C" w:rsidRDefault="000E0B7C">
      <w:pPr>
        <w:pStyle w:val="a3"/>
        <w:rPr>
          <w:lang w:val="pl-PL"/>
        </w:rPr>
      </w:pPr>
      <w:r w:rsidRPr="008F328C">
        <w:rPr>
          <w:rFonts w:eastAsia="Times New Roman"/>
          <w:lang w:val="pl-PL"/>
        </w:rPr>
        <w:t>Mimo zastosowania profilaktycznego leczenia przeciwgruźliczego, wśród pacjentów leczonych adalimumabem wystąpiły przypadki reaktywacji gruźlicy. U niektórych pacjentów wcześniej z powodzeniem leczonych z powodu czynnej gruźlicy, w czasie leczenia adalimumabem ponownie rozwinęła się gruźlica.</w:t>
      </w:r>
    </w:p>
    <w:p w14:paraId="4A46EE01" w14:textId="77777777" w:rsidR="002E5800" w:rsidRPr="008F328C" w:rsidRDefault="002E5800">
      <w:pPr>
        <w:spacing w:before="11" w:line="240" w:lineRule="exact"/>
        <w:rPr>
          <w:rFonts w:ascii="Times New Roman" w:hAnsi="Times New Roman" w:cs="Times New Roman"/>
          <w:lang w:val="pl-PL"/>
        </w:rPr>
      </w:pPr>
    </w:p>
    <w:p w14:paraId="1E257ACF" w14:textId="77777777" w:rsidR="002E5800" w:rsidRPr="008F328C" w:rsidRDefault="000E0B7C">
      <w:pPr>
        <w:pStyle w:val="a3"/>
        <w:rPr>
          <w:lang w:val="pl-PL"/>
        </w:rPr>
      </w:pPr>
      <w:r w:rsidRPr="008F328C">
        <w:rPr>
          <w:rFonts w:eastAsia="Times New Roman"/>
          <w:lang w:val="pl-PL"/>
        </w:rPr>
        <w:t>Pacjentów należy poinstruować, aby zgłaszali się do lekarza w przypadku pojawienia się objawów przedmiotowych/podmiotowych wskazujących na wystąpienie gruźlicy(np. uporczywy kaszel, wyniszczenie/utrata masy ciała, stan podgorączkowy, apatia) w czasie leczenia produktem Yuflyma lub po jego zakończeniu.</w:t>
      </w:r>
    </w:p>
    <w:p w14:paraId="1EE52BA5" w14:textId="77777777" w:rsidR="002E5800" w:rsidRPr="008F328C" w:rsidRDefault="002E5800">
      <w:pPr>
        <w:ind w:left="111"/>
        <w:rPr>
          <w:rFonts w:ascii="Times New Roman" w:hAnsi="Times New Roman" w:cs="Times New Roman"/>
          <w:lang w:val="pl-PL"/>
        </w:rPr>
      </w:pPr>
    </w:p>
    <w:p w14:paraId="58C8279D"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Inne zakażenia oportunistyczne</w:t>
      </w:r>
    </w:p>
    <w:p w14:paraId="11A4A79A" w14:textId="77777777" w:rsidR="002E5800" w:rsidRPr="008F328C" w:rsidRDefault="002E5800">
      <w:pPr>
        <w:spacing w:before="13" w:line="240" w:lineRule="exact"/>
        <w:rPr>
          <w:rFonts w:ascii="Times New Roman" w:hAnsi="Times New Roman" w:cs="Times New Roman"/>
          <w:lang w:val="pl-PL"/>
        </w:rPr>
      </w:pPr>
    </w:p>
    <w:p w14:paraId="74BE7232" w14:textId="77777777" w:rsidR="002E5800" w:rsidRPr="008F328C" w:rsidRDefault="000E0B7C">
      <w:pPr>
        <w:pStyle w:val="a3"/>
        <w:rPr>
          <w:lang w:val="pl-PL"/>
        </w:rPr>
      </w:pPr>
      <w:r w:rsidRPr="008F328C">
        <w:rPr>
          <w:rFonts w:eastAsia="Times New Roman"/>
          <w:lang w:val="pl-PL"/>
        </w:rPr>
        <w:t xml:space="preserve">U pacjentów otrzymujących adalimumab obserwowano zakażenia oportunistyczne, w tym grzybicze </w:t>
      </w:r>
      <w:r w:rsidRPr="008F328C">
        <w:rPr>
          <w:rFonts w:eastAsia="Times New Roman"/>
          <w:lang w:val="pl-PL"/>
        </w:rPr>
        <w:lastRenderedPageBreak/>
        <w:t>zakażenia inwazyjne. Zakażenia te nie zawsze rozpoznawano u pacjentów otrzymujących leki z grupy antagonistów TNF, co powodowało opóźnienia w zastosowaniu odpowiedniego leczenia, niekiedy prowadzące do zgonów.</w:t>
      </w:r>
    </w:p>
    <w:p w14:paraId="492FCB4B" w14:textId="77777777" w:rsidR="002E5800" w:rsidRPr="008F328C" w:rsidRDefault="002E5800">
      <w:pPr>
        <w:pStyle w:val="a3"/>
        <w:rPr>
          <w:lang w:val="pl-PL"/>
        </w:rPr>
      </w:pPr>
    </w:p>
    <w:p w14:paraId="4996E213" w14:textId="77777777" w:rsidR="002E5800" w:rsidRPr="008F328C" w:rsidRDefault="000E0B7C">
      <w:pPr>
        <w:pStyle w:val="a3"/>
        <w:rPr>
          <w:lang w:val="pl-PL"/>
        </w:rPr>
      </w:pPr>
      <w:r w:rsidRPr="008F328C">
        <w:rPr>
          <w:rFonts w:eastAsia="Times New Roman"/>
          <w:lang w:val="pl-PL"/>
        </w:rPr>
        <w:t>U pacjentów, u których wystąpią takie objawy przedmiotowe i podmiotowe, jak gorączka, złe samopoczucie, utrata masy ciała, poty, kaszel, duszność oraz (lub) nacieki w płucach lub inna poważna choroba ogólnoustrojowa z współistniejącym wstrząsem lub bez wstrząsu, należy podejrzewać grzybicze zakażenie inwazyjne oraz natychmiast przerwać podawanie produktu Yuflyma. U tych pacjentów rozpoznanie oraz zastosowanie empirycznej terapii przeciwgrzybiczej należy ustalić w porozumieniu z lekarzem specjalizującym się w leczeniu pacjentów z inwazyjnymi zakażeniami grzybiczymi.</w:t>
      </w:r>
    </w:p>
    <w:p w14:paraId="3C6BC6F9" w14:textId="77777777" w:rsidR="002E5800" w:rsidRPr="008F328C" w:rsidRDefault="002E5800">
      <w:pPr>
        <w:spacing w:before="13" w:line="240" w:lineRule="exact"/>
        <w:rPr>
          <w:rFonts w:ascii="Times New Roman" w:hAnsi="Times New Roman" w:cs="Times New Roman"/>
          <w:lang w:val="pl-PL"/>
        </w:rPr>
      </w:pPr>
    </w:p>
    <w:p w14:paraId="0DBD10A8" w14:textId="77777777" w:rsidR="002E5800" w:rsidRPr="008F328C" w:rsidRDefault="000E0B7C">
      <w:pPr>
        <w:pStyle w:val="a3"/>
        <w:rPr>
          <w:u w:val="single"/>
          <w:lang w:val="pl-PL"/>
        </w:rPr>
      </w:pPr>
      <w:r w:rsidRPr="008F328C">
        <w:rPr>
          <w:rFonts w:eastAsia="Times New Roman"/>
          <w:u w:val="single" w:color="000000"/>
          <w:lang w:val="pl-PL"/>
        </w:rPr>
        <w:t>Reaktywacja zapalenia wątroby typu B</w:t>
      </w:r>
    </w:p>
    <w:p w14:paraId="2934BA79" w14:textId="77777777" w:rsidR="002E5800" w:rsidRPr="008F328C" w:rsidRDefault="002E5800">
      <w:pPr>
        <w:spacing w:before="9" w:line="170" w:lineRule="exact"/>
        <w:rPr>
          <w:rFonts w:ascii="Times New Roman" w:hAnsi="Times New Roman" w:cs="Times New Roman"/>
          <w:lang w:val="pl-PL"/>
        </w:rPr>
      </w:pPr>
    </w:p>
    <w:p w14:paraId="66E28BB2" w14:textId="77777777" w:rsidR="002E5800" w:rsidRPr="008F328C" w:rsidRDefault="000E0B7C">
      <w:pPr>
        <w:pStyle w:val="a3"/>
        <w:rPr>
          <w:lang w:val="pl-PL"/>
        </w:rPr>
      </w:pPr>
      <w:r w:rsidRPr="008F328C">
        <w:rPr>
          <w:rFonts w:eastAsia="Times New Roman"/>
          <w:lang w:val="pl-PL"/>
        </w:rPr>
        <w:t>U pacjentów, przewlekłych nosicieli HBV (tzn. takich, u których wykryto antygen powierzchniowy HBV), otrzymujących antagonistę TNF w tym adalimumab, wystąpiła reaktywacja zapalenia wątroby typu B. W niektórych przypadkach doszło do zgonu. Przed rozpoczęciem leczenia produktem Yuflyma, u pacjentów należy wykonać badania w kierunku zakażenia HBV. U pacjentów z dodatnim wynikiem badania w kierunku zakażenia HBV, zaleca się konsultację u lekarza specjalisty w leczeniu zapalenia wątroby typu B.</w:t>
      </w:r>
    </w:p>
    <w:p w14:paraId="1C162068" w14:textId="77777777" w:rsidR="002E5800" w:rsidRPr="008F328C" w:rsidRDefault="002E5800">
      <w:pPr>
        <w:spacing w:before="13" w:line="240" w:lineRule="exact"/>
        <w:rPr>
          <w:rFonts w:ascii="Times New Roman" w:hAnsi="Times New Roman" w:cs="Times New Roman"/>
          <w:lang w:val="pl-PL"/>
        </w:rPr>
      </w:pPr>
    </w:p>
    <w:p w14:paraId="17E5E91C" w14:textId="77777777" w:rsidR="002E5800" w:rsidRPr="008F328C" w:rsidRDefault="000E0B7C">
      <w:pPr>
        <w:pStyle w:val="a3"/>
        <w:rPr>
          <w:lang w:val="pl-PL"/>
        </w:rPr>
      </w:pPr>
      <w:r w:rsidRPr="008F328C">
        <w:rPr>
          <w:rFonts w:eastAsia="Times New Roman"/>
          <w:lang w:val="pl-PL"/>
        </w:rPr>
        <w:t>Nosicieli HBV, którzy wymagają leczenia produktem Yuflyma przez cały okres terapii i przez kilka miesięcy po jej zakończeniu należy dokładnie monitorować w kierunku objawów przedmiotowych i podmiotowych czynnego zakażenia HBV. Brak wystarczających informacji uzyskanych podczas leczenia pacjentów będących nosicielami HBV lekami przeciwwirusowymi w połączeniu z antagonistami TNF w celu zapobiegania reaktywacji HBV. U pacjentów, u których wystąpi reaktywacja HBV należy zaprzestać podawania produktu Yuflyma i rozpocząć stosowanie skutecznego leczenia przeciwwirusowego oraz właściwego leczenia podtrzymującego.</w:t>
      </w:r>
    </w:p>
    <w:p w14:paraId="6A2C9AE8" w14:textId="77777777" w:rsidR="002E5800" w:rsidRPr="008F328C" w:rsidRDefault="002E5800">
      <w:pPr>
        <w:spacing w:before="13" w:line="240" w:lineRule="exact"/>
        <w:rPr>
          <w:rFonts w:ascii="Times New Roman" w:hAnsi="Times New Roman" w:cs="Times New Roman"/>
          <w:lang w:val="pl-PL"/>
        </w:rPr>
      </w:pPr>
    </w:p>
    <w:p w14:paraId="4C3F97EA" w14:textId="77777777" w:rsidR="002E5800" w:rsidRPr="008F328C" w:rsidRDefault="000E0B7C">
      <w:pPr>
        <w:pStyle w:val="a3"/>
        <w:rPr>
          <w:u w:val="single"/>
          <w:lang w:val="pl-PL"/>
        </w:rPr>
      </w:pPr>
      <w:r w:rsidRPr="008F328C">
        <w:rPr>
          <w:rFonts w:eastAsia="Times New Roman"/>
          <w:u w:val="single" w:color="000000"/>
          <w:lang w:val="pl-PL"/>
        </w:rPr>
        <w:t>Zaburzenia neurologiczne</w:t>
      </w:r>
    </w:p>
    <w:p w14:paraId="3EB3B97C" w14:textId="77777777" w:rsidR="002E5800" w:rsidRPr="008F328C" w:rsidRDefault="002E5800">
      <w:pPr>
        <w:spacing w:before="1" w:line="180" w:lineRule="exact"/>
        <w:rPr>
          <w:rFonts w:ascii="Times New Roman" w:hAnsi="Times New Roman" w:cs="Times New Roman"/>
          <w:lang w:val="pl-PL"/>
        </w:rPr>
      </w:pPr>
    </w:p>
    <w:p w14:paraId="0FDF9CD9" w14:textId="77777777" w:rsidR="002E5800" w:rsidRPr="008F328C" w:rsidRDefault="000E0B7C">
      <w:pPr>
        <w:pStyle w:val="a3"/>
        <w:rPr>
          <w:lang w:val="pl-PL"/>
        </w:rPr>
      </w:pPr>
      <w:r w:rsidRPr="008F328C">
        <w:rPr>
          <w:rFonts w:eastAsia="Times New Roman"/>
          <w:lang w:val="pl-PL"/>
        </w:rPr>
        <w:t>Stosowanie antagonistów TNF, w tym adalimumabu, w rzadkich przypadkach wiązano z wystąpieniem lub zaostrzeniem objawów klinicznych i (lub) radiologicznych chorób demielinizacyjnych ośrodkowego układu nerwowego, w tym stwardnienia rozsianego, zapalenia nerwu wzrokowego oraz chorób demielinizacyjnych obwodowego układu nerwowego, w tym zespołu Guillaina-Barrégo. Należy zachować ostrożność rozważając zastosowanie produktu Yuflyma u pacjentów z zaburzeniami demielinizacyjnymi ośrodkowego lub obwodowego układu nerwowego, które występowały wcześniej lub niedawno się ujawniły. Należy rozważyć zaprzestanie podawania produktu Yuflyma, jeśli wystąpi któreś z tych zaburzeń. Wiadomo, że istnieje związek między zapaleniem części pośredniej błony naczyniowej oka, a zaburzeniami demielinizacyjnymi ośrodkowego układu nerwowego. U pacjentów z nieinfekcyjnym zapaleniem części pośredniej błony naczyniowej oka, należy wykonać badanie neurologiczne przed rozpoczęciem leczenia produktem Yuflyma oraz regularnie w trakcie leczenia w celu oceny już występujących lub rozwijających się zaburzeń demielinizacyjnych ośrodkowego układu nerwowego.</w:t>
      </w:r>
    </w:p>
    <w:p w14:paraId="1090D94C" w14:textId="77777777" w:rsidR="002E5800" w:rsidRPr="008F328C" w:rsidRDefault="002E5800">
      <w:pPr>
        <w:spacing w:before="13" w:line="240" w:lineRule="exact"/>
        <w:rPr>
          <w:rFonts w:ascii="Times New Roman" w:hAnsi="Times New Roman" w:cs="Times New Roman"/>
          <w:lang w:val="pl-PL"/>
        </w:rPr>
      </w:pPr>
    </w:p>
    <w:p w14:paraId="1FECEF62" w14:textId="77777777" w:rsidR="002E5800" w:rsidRPr="008F328C" w:rsidRDefault="000E0B7C">
      <w:pPr>
        <w:pStyle w:val="a3"/>
        <w:rPr>
          <w:u w:val="single"/>
          <w:lang w:val="pl-PL"/>
        </w:rPr>
      </w:pPr>
      <w:r w:rsidRPr="008F328C">
        <w:rPr>
          <w:rFonts w:eastAsia="Times New Roman"/>
          <w:u w:val="single" w:color="000000"/>
          <w:lang w:val="pl-PL"/>
        </w:rPr>
        <w:t>Reakcje alergiczne</w:t>
      </w:r>
    </w:p>
    <w:p w14:paraId="5FA853F9" w14:textId="77777777" w:rsidR="002E5800" w:rsidRPr="008F328C" w:rsidRDefault="002E5800">
      <w:pPr>
        <w:spacing w:before="9" w:line="170" w:lineRule="exact"/>
        <w:rPr>
          <w:rFonts w:ascii="Times New Roman" w:hAnsi="Times New Roman" w:cs="Times New Roman"/>
          <w:lang w:val="pl-PL"/>
        </w:rPr>
      </w:pPr>
    </w:p>
    <w:p w14:paraId="57AA5B56" w14:textId="77777777" w:rsidR="002E5800" w:rsidRPr="008F328C" w:rsidRDefault="000E0B7C">
      <w:pPr>
        <w:pStyle w:val="a3"/>
        <w:rPr>
          <w:lang w:val="pl-PL"/>
        </w:rPr>
      </w:pPr>
      <w:r w:rsidRPr="008F328C">
        <w:rPr>
          <w:rFonts w:eastAsia="Times New Roman"/>
          <w:lang w:val="pl-PL"/>
        </w:rPr>
        <w:t>Ciężkie reakcje alergiczne związane z przyjmowaniem adalimumabu rzadko obserwowano w badaniach klinicznych. Podczas badań klinicznych, niezbyt często obserwowano nieciężkie reakcje alergiczne związane z przyjmowaniem adalimumabu. Informowano o ciężkich reakcjach alergicznych, w tym anafilaksji, po podaniu produktu adalimumabu. W przypadku wystąpienia reakcji anafilaktycznej lub innej ciężkiej reakcji alergicznej, należy natychmiast przerwać podawanie produktu Yuflyma i rozpocząć właściwe leczenie.</w:t>
      </w:r>
    </w:p>
    <w:p w14:paraId="3D7ED0F4" w14:textId="77777777" w:rsidR="002E5800" w:rsidRPr="008F328C" w:rsidRDefault="002E5800">
      <w:pPr>
        <w:spacing w:before="13" w:line="240" w:lineRule="exact"/>
        <w:rPr>
          <w:rFonts w:ascii="Times New Roman" w:hAnsi="Times New Roman" w:cs="Times New Roman"/>
          <w:lang w:val="pl-PL"/>
        </w:rPr>
      </w:pPr>
    </w:p>
    <w:p w14:paraId="4522EAE5" w14:textId="77777777" w:rsidR="002E5800" w:rsidRPr="008F328C" w:rsidRDefault="000E0B7C">
      <w:pPr>
        <w:pStyle w:val="a3"/>
        <w:rPr>
          <w:u w:val="single"/>
          <w:lang w:val="pl-PL"/>
        </w:rPr>
      </w:pPr>
      <w:r w:rsidRPr="008F328C">
        <w:rPr>
          <w:rFonts w:eastAsia="Times New Roman"/>
          <w:u w:val="single" w:color="000000"/>
          <w:lang w:val="pl-PL"/>
        </w:rPr>
        <w:t>Działanie immunosupresyjne</w:t>
      </w:r>
    </w:p>
    <w:p w14:paraId="679A2D41" w14:textId="77777777" w:rsidR="002E5800" w:rsidRPr="008F328C" w:rsidRDefault="002E5800">
      <w:pPr>
        <w:spacing w:before="1" w:line="180" w:lineRule="exact"/>
        <w:rPr>
          <w:rFonts w:ascii="Times New Roman" w:hAnsi="Times New Roman" w:cs="Times New Roman"/>
          <w:lang w:val="pl-PL"/>
        </w:rPr>
      </w:pPr>
    </w:p>
    <w:p w14:paraId="20C6FD31" w14:textId="77777777" w:rsidR="002E5800" w:rsidRPr="008F328C" w:rsidRDefault="000E0B7C">
      <w:pPr>
        <w:pStyle w:val="a3"/>
        <w:rPr>
          <w:lang w:val="pl-PL"/>
        </w:rPr>
      </w:pPr>
      <w:r w:rsidRPr="008F328C">
        <w:rPr>
          <w:rFonts w:eastAsia="Times New Roman"/>
          <w:lang w:val="pl-PL"/>
        </w:rPr>
        <w:lastRenderedPageBreak/>
        <w:t>W badaniu 64 pacjentów z reumatoidalnym zapaleniem stawów leczonych adalimumabem nie stwierdzono działania hamującego reakcje nadwrażliwości typu późnego, obniżenia stężenia immunoglobulin lub zmian w liczbie efektorowych komórek T, B, NK, monocytów/makrofagów oraz granulocytów obojętnochłonnych.</w:t>
      </w:r>
    </w:p>
    <w:p w14:paraId="0CEC0DD5" w14:textId="77777777" w:rsidR="002E5800" w:rsidRPr="008F328C" w:rsidRDefault="002E5800">
      <w:pPr>
        <w:spacing w:before="11" w:line="240" w:lineRule="exact"/>
        <w:rPr>
          <w:rFonts w:ascii="Times New Roman" w:hAnsi="Times New Roman" w:cs="Times New Roman"/>
          <w:lang w:val="pl-PL"/>
        </w:rPr>
      </w:pPr>
    </w:p>
    <w:p w14:paraId="56DB4D5D" w14:textId="77777777" w:rsidR="002E5800" w:rsidRPr="008F328C" w:rsidRDefault="000E0B7C">
      <w:pPr>
        <w:pStyle w:val="a3"/>
        <w:rPr>
          <w:u w:val="single"/>
          <w:lang w:val="pl-PL"/>
        </w:rPr>
      </w:pPr>
      <w:r w:rsidRPr="008F328C">
        <w:rPr>
          <w:rFonts w:eastAsia="Times New Roman"/>
          <w:u w:val="single" w:color="000000"/>
          <w:lang w:val="pl-PL"/>
        </w:rPr>
        <w:t>Nowotwory złośliwe i zaburzenia limfoproliferacyjne</w:t>
      </w:r>
    </w:p>
    <w:p w14:paraId="3633D056" w14:textId="77777777" w:rsidR="002E5800" w:rsidRPr="008F328C" w:rsidRDefault="002E5800">
      <w:pPr>
        <w:spacing w:before="1" w:line="180" w:lineRule="exact"/>
        <w:rPr>
          <w:rFonts w:ascii="Times New Roman" w:hAnsi="Times New Roman" w:cs="Times New Roman"/>
          <w:lang w:val="pl-PL"/>
        </w:rPr>
      </w:pPr>
    </w:p>
    <w:p w14:paraId="7CCC4E20" w14:textId="77777777" w:rsidR="002E5800" w:rsidRPr="008F328C" w:rsidRDefault="000E0B7C">
      <w:pPr>
        <w:pStyle w:val="a3"/>
        <w:rPr>
          <w:lang w:val="pl-PL"/>
        </w:rPr>
      </w:pPr>
      <w:r w:rsidRPr="008F328C">
        <w:rPr>
          <w:rFonts w:eastAsia="Times New Roman"/>
          <w:lang w:val="pl-PL"/>
        </w:rPr>
        <w:t>W kontrolowanej części badań klinicznych leków z grupy antagonistów TNF, zaobserwowano więcej przypadków nowotworów złośliwych, w tym chłoniaka u pacjentów otrzymujących lek z grupy antagonistów TNF w porównaniu do pacjentów z grupy kontrolnej. Jednakże przypadki te występowały rzadko. Po wprowadzeniu produktu do obrotu zgłoszono przypadki białaczki u pacjentów leczonych lekami z grupy antagonistów TNF. Ryzyko wystąpienia chłoniaka i białaczki jest większe u pacjentów z reumatoidalnym zapaleniem stawów z długotrwałą wysoce aktywną chorobą zapalną, co komplikuje oszacowanie ryzyka. Przy obecnym stanie wiedzy nie można wykluczyć możliwości ryzyka wystąpienia chłoniaków, białaczki i innych nowotworów złośliwych u pacjentów leczonych produktem z grupy antagonistów TNF.</w:t>
      </w:r>
    </w:p>
    <w:p w14:paraId="44DE2E7D" w14:textId="77777777" w:rsidR="002E5800" w:rsidRPr="008F328C" w:rsidRDefault="002E5800">
      <w:pPr>
        <w:spacing w:before="13" w:line="240" w:lineRule="exact"/>
        <w:rPr>
          <w:rFonts w:ascii="Times New Roman" w:hAnsi="Times New Roman" w:cs="Times New Roman"/>
          <w:lang w:val="pl-PL"/>
        </w:rPr>
      </w:pPr>
    </w:p>
    <w:p w14:paraId="1AAA5DD6" w14:textId="77777777" w:rsidR="002E5800" w:rsidRPr="008F328C" w:rsidRDefault="000E0B7C">
      <w:pPr>
        <w:pStyle w:val="a3"/>
        <w:rPr>
          <w:lang w:val="pl-PL"/>
        </w:rPr>
      </w:pPr>
      <w:r w:rsidRPr="008F328C">
        <w:rPr>
          <w:rFonts w:eastAsia="Times New Roman"/>
          <w:lang w:val="pl-PL"/>
        </w:rPr>
        <w:t>Po wprowadzeniu do obrotu odnotowano, wśród dzieci oraz młodzieży i młodych dorosłych (w wieku do 22 lat), których leczono lekami z grupy antagonistów TNF (rozpoczęcie leczenia ≤ 18. roku życia), w tym adalimumabem, nowotwory złośliwe, w niektórych przypadkach powodujące zgon. Około połowę przypadków stanowiły chłoniaki. W pozostałych przypadkach były to rozmaite nowotwory złośliwe, w tym rzadkie nowotwory złośliwe zazwyczaj związane z immunosupresją.. Nie można wykluczyć ryzyka rozwoju nowotworów złośliwych u dzieci i młodzieży leczonych lekami z grupy antagonistów TNF.</w:t>
      </w:r>
    </w:p>
    <w:p w14:paraId="14DE87DA" w14:textId="77777777" w:rsidR="002E5800" w:rsidRPr="008F328C" w:rsidRDefault="002E5800">
      <w:pPr>
        <w:spacing w:before="11" w:line="240" w:lineRule="exact"/>
        <w:rPr>
          <w:rFonts w:ascii="Times New Roman" w:hAnsi="Times New Roman" w:cs="Times New Roman"/>
          <w:lang w:val="pl-PL"/>
        </w:rPr>
      </w:pPr>
    </w:p>
    <w:p w14:paraId="380E7702" w14:textId="77777777" w:rsidR="002E5800" w:rsidRPr="008F328C" w:rsidRDefault="000E0B7C">
      <w:pPr>
        <w:pStyle w:val="a3"/>
        <w:rPr>
          <w:lang w:val="pl-PL"/>
        </w:rPr>
      </w:pPr>
      <w:r w:rsidRPr="008F328C">
        <w:rPr>
          <w:rFonts w:eastAsia="Times New Roman"/>
          <w:lang w:val="pl-PL"/>
        </w:rPr>
        <w:t>Po wprowadzeniu produktu do obrotu stwierdzono rzadkie przypadki chłoniaka T-komórkowego wątrobowo-śledzionowego u pacjentów leczonych adalimumabem. Ten rzadki typ chłoniaka T-komórkowego ma bardzo agresywny przebieg i zazwyczaj powoduje zgon. Niektóre z opisanych chłoniaków T-komórkowych wątrobowo-śledzionowych podczas stosowania adalimumabu wystąpiły u młodych dorosłych pacjentów leczonych równocześnie azatiopryną lub 6-merkaptopuryną z powodu choroby zapalnej jelita. Należy dokładnie rozważyć potencjalne ryzyko związane z jednoczesnym stosowaniem azatiopryny lub 6-merkaptopuryny i produktu Yuflyma. Nie można wykluczyć ryzyka wystąpienia chłoniaka T-komórkowego wątrobowo-śledzionowego u pacjentów leczonych produktem Yuflyma (patrz punkt 4.8).</w:t>
      </w:r>
    </w:p>
    <w:p w14:paraId="1DF86623" w14:textId="77777777" w:rsidR="002E5800" w:rsidRPr="008F328C" w:rsidRDefault="002E5800">
      <w:pPr>
        <w:spacing w:before="11" w:line="240" w:lineRule="exact"/>
        <w:rPr>
          <w:rFonts w:ascii="Times New Roman" w:hAnsi="Times New Roman" w:cs="Times New Roman"/>
          <w:lang w:val="pl-PL"/>
        </w:rPr>
      </w:pPr>
    </w:p>
    <w:p w14:paraId="5D732175" w14:textId="77777777" w:rsidR="002E5800" w:rsidRPr="008F328C" w:rsidRDefault="000E0B7C">
      <w:pPr>
        <w:pStyle w:val="a3"/>
        <w:rPr>
          <w:lang w:val="pl-PL"/>
        </w:rPr>
      </w:pPr>
      <w:r w:rsidRPr="008F328C">
        <w:rPr>
          <w:rFonts w:eastAsia="Times New Roman"/>
          <w:lang w:val="pl-PL"/>
        </w:rPr>
        <w:t>Nie przeprowadzono badań z udziałem pacjentów z nowotworem złośliwym w wywiadzie lub pacjentów, u których kontynuowano leczenie adalimumabem po wystąpieniu nowotworu złośliwego. Z tego względu należy zachować szczególną ostrożność rozważając zastosowanie produktu Yuflyma u tych pacjentów (patrz punkt 4.8).</w:t>
      </w:r>
    </w:p>
    <w:p w14:paraId="24D7700E" w14:textId="77777777" w:rsidR="002E5800" w:rsidRPr="008F328C" w:rsidRDefault="002E5800">
      <w:pPr>
        <w:spacing w:before="13" w:line="240" w:lineRule="exact"/>
        <w:rPr>
          <w:rFonts w:ascii="Times New Roman" w:hAnsi="Times New Roman" w:cs="Times New Roman"/>
          <w:lang w:val="pl-PL"/>
        </w:rPr>
      </w:pPr>
    </w:p>
    <w:p w14:paraId="77F287CC" w14:textId="77777777" w:rsidR="002E5800" w:rsidRPr="008F328C" w:rsidRDefault="000E0B7C">
      <w:pPr>
        <w:pStyle w:val="a3"/>
        <w:rPr>
          <w:lang w:val="pl-PL"/>
        </w:rPr>
      </w:pPr>
      <w:r w:rsidRPr="008F328C">
        <w:rPr>
          <w:rFonts w:eastAsia="Times New Roman"/>
          <w:lang w:val="pl-PL"/>
        </w:rPr>
        <w:t>Wszystkich pacjentów, a w szczególności pacjentów z intensywnym leczeniem immunosupresyjnym w wywiadzie lub pacjentów z łuszczycą leczonych w przeszłości metodą PUVA, należy poddać badaniu na obecność raka skóry niebędącego czerniakiem przed rozpoczęciem i w trakcie leczenia produktem Yuflyma. U pacjentów leczonych antagonistami TNF, w tym adalimumabem, informowano również o czerniaku i raku z komórek Merkla (patrz punkt 4.8).</w:t>
      </w:r>
    </w:p>
    <w:p w14:paraId="2E509E96" w14:textId="77777777" w:rsidR="002E5800" w:rsidRPr="008F328C" w:rsidRDefault="002E5800">
      <w:pPr>
        <w:spacing w:before="13" w:line="240" w:lineRule="exact"/>
        <w:rPr>
          <w:rFonts w:ascii="Times New Roman" w:hAnsi="Times New Roman" w:cs="Times New Roman"/>
          <w:lang w:val="pl-PL"/>
        </w:rPr>
      </w:pPr>
    </w:p>
    <w:p w14:paraId="65E0B589" w14:textId="77777777" w:rsidR="002E5800" w:rsidRPr="008F328C" w:rsidRDefault="000E0B7C">
      <w:pPr>
        <w:pStyle w:val="a3"/>
        <w:rPr>
          <w:lang w:val="pl-PL"/>
        </w:rPr>
      </w:pPr>
      <w:r w:rsidRPr="008F328C">
        <w:rPr>
          <w:rFonts w:eastAsia="Times New Roman"/>
          <w:lang w:val="pl-PL"/>
        </w:rPr>
        <w:t>W rozpoznawczym badaniu klinicznym oceniającym stosowanie infliksymabu – innego antagonisty TNF, u pacjentów z przewlekłą obturacyjną chorobą płuc (POChP) o nasileniu umiarkowanym do ciężkiego, informowano o większej liczbie nowotworów złośliwych, głównie płuc lub głowy i szyi, u pacjentów leczonych infliksymabem w porównaniu do pacjentów z grupy kontrolnej. Wszyscy pacjenci byli nałogowymi palaczami. Należy zatem zachować ostrożność podczas stosowania jakiegokolwiek antagonisty TNF u pacjentów z POChP oraz u pacjentów – nałogowych palaczy, u których ryzyko wystąpienia nowotworu złośliwego jest zwiększone.</w:t>
      </w:r>
    </w:p>
    <w:p w14:paraId="78A128D3" w14:textId="77777777" w:rsidR="002E5800" w:rsidRPr="008F328C" w:rsidRDefault="002E5800">
      <w:pPr>
        <w:spacing w:before="11" w:line="240" w:lineRule="exact"/>
        <w:rPr>
          <w:rFonts w:ascii="Times New Roman" w:hAnsi="Times New Roman" w:cs="Times New Roman"/>
          <w:lang w:val="pl-PL"/>
        </w:rPr>
      </w:pPr>
    </w:p>
    <w:p w14:paraId="59A8219C" w14:textId="77777777" w:rsidR="002E5800" w:rsidRPr="008F328C" w:rsidRDefault="000E0B7C">
      <w:pPr>
        <w:pStyle w:val="a3"/>
        <w:rPr>
          <w:lang w:val="pl-PL"/>
        </w:rPr>
      </w:pPr>
      <w:r w:rsidRPr="008F328C">
        <w:rPr>
          <w:rFonts w:eastAsia="Times New Roman"/>
          <w:lang w:val="pl-PL"/>
        </w:rPr>
        <w:lastRenderedPageBreak/>
        <w:t>Na podstawie dostępnych obecnie danych nie można stwierdzić, czy leczenie adalimumabem zwiększa ryzyko rozwinięcia się dysplazji lub raka jelita grubego. Wszystkich pacjentów z wrzodziejącym zapaleniem jelita grubego i ze zwiększonym ryzykiem dysplazji lub raka jelita grubego (na przykład, pacjentów z długotrwałym wrzodziejącym zapaleniem jelita grubego lub pierwotnym stwardniającym zapaleniem dróg żółciowych) lub pacjentów z dysplazją lub rakiem jelita grubego w przeszłości, przed leczeniem i przez cały okres choroby należy poddawać w regularnych odstępach czasu badaniom przesiewowym w kierunku dysplazji. Taka ocena powinna obejmować kolonoskopię oraz wykonanie biopsji zgodnie z zaleceniami obowiązującymi w danym kraju.</w:t>
      </w:r>
    </w:p>
    <w:p w14:paraId="221E3A5C" w14:textId="77777777" w:rsidR="002E5800" w:rsidRPr="008F328C" w:rsidRDefault="002E5800">
      <w:pPr>
        <w:spacing w:before="13" w:line="240" w:lineRule="exact"/>
        <w:rPr>
          <w:rFonts w:ascii="Times New Roman" w:hAnsi="Times New Roman" w:cs="Times New Roman"/>
          <w:lang w:val="pl-PL"/>
        </w:rPr>
      </w:pPr>
    </w:p>
    <w:p w14:paraId="7CB1A958" w14:textId="77777777" w:rsidR="002E5800" w:rsidRPr="008F328C" w:rsidRDefault="000E0B7C">
      <w:pPr>
        <w:pStyle w:val="a3"/>
        <w:rPr>
          <w:u w:val="single"/>
          <w:lang w:val="pl-PL"/>
        </w:rPr>
      </w:pPr>
      <w:r w:rsidRPr="008F328C">
        <w:rPr>
          <w:rFonts w:eastAsia="Times New Roman"/>
          <w:u w:val="single" w:color="000000"/>
          <w:lang w:val="pl-PL"/>
        </w:rPr>
        <w:t>Reakcje hematologiczne</w:t>
      </w:r>
    </w:p>
    <w:p w14:paraId="46BA9193" w14:textId="77777777" w:rsidR="002E5800" w:rsidRPr="008F328C" w:rsidRDefault="002E5800">
      <w:pPr>
        <w:spacing w:before="1" w:line="180" w:lineRule="exact"/>
        <w:rPr>
          <w:rFonts w:ascii="Times New Roman" w:hAnsi="Times New Roman" w:cs="Times New Roman"/>
          <w:lang w:val="pl-PL"/>
        </w:rPr>
      </w:pPr>
    </w:p>
    <w:p w14:paraId="7E6F90EF" w14:textId="77777777" w:rsidR="002E5800" w:rsidRPr="008F328C" w:rsidRDefault="000E0B7C">
      <w:pPr>
        <w:pStyle w:val="a3"/>
        <w:rPr>
          <w:lang w:val="pl-PL"/>
        </w:rPr>
      </w:pPr>
      <w:r w:rsidRPr="008F328C">
        <w:rPr>
          <w:rFonts w:eastAsia="Times New Roman"/>
          <w:lang w:val="pl-PL"/>
        </w:rPr>
        <w:t>W rzadkich przypadkach informowano o pancytopenii, w tym niedokrwistości aplastycznej w związku ze stosowaniem antagonistów TNF. Podczas stosowania adalimumabu zgłaszano zdarzenia niepożądane ze strony układu hematologicznego, w tym istotny z medycznego punktu widzenia niedobór krwinek (np. trombocytopenia, leukopenia). Wszystkim pacjentom stosującym produkt Yuflyma należy zalecić, aby natychmiast zgłaszali się do lekarza w przypadku pojawienia się objawów przedmiotowych i podmiotowych wskazujących na skazy krwotoczne (np. utrzymująca się gorączka, wylewy podskórne, krwawienie, bladość). Należy rozważyć zaprzestanie leczenia produktem Yuflyma u pacjentów z potwierdzonymi, istotnymi zaburzeniami hematologicznymi.</w:t>
      </w:r>
    </w:p>
    <w:p w14:paraId="19182D8B" w14:textId="77777777" w:rsidR="002E5800" w:rsidRPr="008F328C" w:rsidRDefault="002E5800">
      <w:pPr>
        <w:pStyle w:val="a3"/>
        <w:rPr>
          <w:lang w:val="pl-PL"/>
        </w:rPr>
      </w:pPr>
    </w:p>
    <w:p w14:paraId="4F97E5C4" w14:textId="77777777" w:rsidR="002E5800" w:rsidRPr="008F328C" w:rsidRDefault="000E0B7C">
      <w:pPr>
        <w:pStyle w:val="a3"/>
        <w:rPr>
          <w:u w:val="single"/>
          <w:lang w:val="pl-PL"/>
        </w:rPr>
      </w:pPr>
      <w:r w:rsidRPr="008F328C">
        <w:rPr>
          <w:rFonts w:eastAsia="Times New Roman"/>
          <w:u w:val="single" w:color="000000"/>
          <w:lang w:val="pl-PL"/>
        </w:rPr>
        <w:t>Szczepienia</w:t>
      </w:r>
    </w:p>
    <w:p w14:paraId="115679DB" w14:textId="77777777" w:rsidR="002E5800" w:rsidRPr="008F328C" w:rsidRDefault="002E5800">
      <w:pPr>
        <w:spacing w:before="1" w:line="180" w:lineRule="exact"/>
        <w:rPr>
          <w:rFonts w:ascii="Times New Roman" w:hAnsi="Times New Roman" w:cs="Times New Roman"/>
          <w:lang w:val="pl-PL"/>
        </w:rPr>
      </w:pPr>
    </w:p>
    <w:p w14:paraId="3D8D7E61" w14:textId="77777777" w:rsidR="002E5800" w:rsidRPr="008F328C" w:rsidRDefault="000E0B7C">
      <w:pPr>
        <w:pStyle w:val="a3"/>
        <w:rPr>
          <w:lang w:val="pl-PL"/>
        </w:rPr>
      </w:pPr>
      <w:r w:rsidRPr="008F328C">
        <w:rPr>
          <w:rFonts w:eastAsia="Times New Roman"/>
          <w:lang w:val="pl-PL"/>
        </w:rPr>
        <w:t>Podobne reakcje przeciwciał na standardową 23-walentną szczepionkę przeciw pneumokokom oraz triwalentną szczepionkę przeciw grypie zaobserwowano w badaniu przeprowadzonym u 226 dorosłych pacjentów z reumatoidalnym zapaleniem stawów, których leczono adalimumabem lub placebo. Brak jest informacji odnośnie wtórnego przenoszenia zakażenia przez żywe szczepionki u pacjentów otrzymujących adalimumab.</w:t>
      </w:r>
    </w:p>
    <w:p w14:paraId="78363570" w14:textId="77777777" w:rsidR="002E5800" w:rsidRPr="008F328C" w:rsidRDefault="002E5800">
      <w:pPr>
        <w:spacing w:before="17" w:line="240" w:lineRule="exact"/>
        <w:rPr>
          <w:rFonts w:ascii="Times New Roman" w:hAnsi="Times New Roman" w:cs="Times New Roman"/>
          <w:lang w:val="pl-PL"/>
        </w:rPr>
      </w:pPr>
    </w:p>
    <w:p w14:paraId="52AD0099" w14:textId="77777777" w:rsidR="002E5800" w:rsidRPr="008F328C" w:rsidRDefault="000E0B7C">
      <w:pPr>
        <w:pStyle w:val="a3"/>
        <w:rPr>
          <w:lang w:val="pl-PL"/>
        </w:rPr>
      </w:pPr>
      <w:r w:rsidRPr="008F328C">
        <w:rPr>
          <w:rFonts w:eastAsia="Times New Roman"/>
          <w:spacing w:val="-4"/>
          <w:lang w:val="pl-PL"/>
        </w:rPr>
        <w:t>Zaleca się, aby u dzieci, jeśli to możliwe, przed rozpoczęciem leczenia produktem Yuflyma przeprowadzono wszystkie szczepienia zgodnie z obowiązującym kalendarzem szczepień.</w:t>
      </w:r>
    </w:p>
    <w:p w14:paraId="51FCD19C" w14:textId="77777777" w:rsidR="002E5800" w:rsidRPr="008F328C" w:rsidRDefault="002E5800">
      <w:pPr>
        <w:spacing w:before="11" w:line="240" w:lineRule="exact"/>
        <w:rPr>
          <w:rFonts w:ascii="Times New Roman" w:hAnsi="Times New Roman" w:cs="Times New Roman"/>
          <w:lang w:val="pl-PL"/>
        </w:rPr>
      </w:pPr>
    </w:p>
    <w:p w14:paraId="6B023A51" w14:textId="77777777" w:rsidR="002E5800" w:rsidRPr="008F328C" w:rsidRDefault="000E0B7C">
      <w:pPr>
        <w:pStyle w:val="a3"/>
        <w:rPr>
          <w:lang w:val="pl-PL"/>
        </w:rPr>
      </w:pPr>
      <w:r w:rsidRPr="008F328C">
        <w:rPr>
          <w:rFonts w:eastAsia="Times New Roman"/>
          <w:lang w:val="pl-PL"/>
        </w:rPr>
        <w:t>Pacjenci leczeni produktem Yuflyma mogą jednocześnie otrzymywać szczepionki, z wyjątkiem szczepionek żywych. U niemowląt narażonych na adalimumab w okresie życia płodowego nie zaleca się podawania żywych szczepionek (np. szczepionki przeciwgruźliczej, BCG) przez okres 5 miesięcy od przyjęcia przez matkę ostatniej dawki adalimumabu w okresie ciąży.</w:t>
      </w:r>
    </w:p>
    <w:p w14:paraId="4F841DCD" w14:textId="77777777" w:rsidR="002E5800" w:rsidRPr="008F328C" w:rsidRDefault="002E5800">
      <w:pPr>
        <w:spacing w:before="13" w:line="240" w:lineRule="exact"/>
        <w:rPr>
          <w:rFonts w:ascii="Times New Roman" w:hAnsi="Times New Roman" w:cs="Times New Roman"/>
          <w:lang w:val="pl-PL"/>
        </w:rPr>
      </w:pPr>
    </w:p>
    <w:p w14:paraId="1A781C5D" w14:textId="77777777" w:rsidR="002E5800" w:rsidRPr="008F328C" w:rsidRDefault="000E0B7C">
      <w:pPr>
        <w:pStyle w:val="a3"/>
        <w:rPr>
          <w:u w:val="single"/>
          <w:lang w:val="pl-PL"/>
        </w:rPr>
      </w:pPr>
      <w:r w:rsidRPr="008F328C">
        <w:rPr>
          <w:rFonts w:eastAsia="Times New Roman"/>
          <w:u w:val="single" w:color="000000"/>
          <w:lang w:val="pl-PL"/>
        </w:rPr>
        <w:t>Zastoinowa niewydolność serca</w:t>
      </w:r>
    </w:p>
    <w:p w14:paraId="0CE4DBED" w14:textId="77777777" w:rsidR="002E5800" w:rsidRPr="008F328C" w:rsidRDefault="002E5800">
      <w:pPr>
        <w:spacing w:before="1" w:line="180" w:lineRule="exact"/>
        <w:rPr>
          <w:rFonts w:ascii="Times New Roman" w:hAnsi="Times New Roman" w:cs="Times New Roman"/>
          <w:lang w:val="pl-PL"/>
        </w:rPr>
      </w:pPr>
    </w:p>
    <w:p w14:paraId="42D5D928" w14:textId="77777777" w:rsidR="002E5800" w:rsidRPr="008F328C" w:rsidRDefault="000E0B7C">
      <w:pPr>
        <w:pStyle w:val="a3"/>
        <w:rPr>
          <w:lang w:val="pl-PL"/>
        </w:rPr>
      </w:pPr>
      <w:r w:rsidRPr="008F328C">
        <w:rPr>
          <w:rFonts w:eastAsia="Times New Roman"/>
          <w:lang w:val="pl-PL"/>
        </w:rPr>
        <w:t>W badaniu klinicznym innego antagonisty TNF zaobserwowano nasilenie zastoinowej niewydolności serca i zwiększoną śmiertelność w wyniku zastoinowej niewydolności serca. U pacjentów otrzymujących adalimumab informowano również o przypadkach pogorszenia zastoinowej niewydolności serca. Należy zachować ostrożność, stosując produkt Yuflyma u pacjentów z łagodną niewydolnością serca (klasa I/II wg NYHA). Yuflyma jest przeciwwskazana w umiarkowanej do ciężkiej niewydolności serca (patrz punkt 4.3). Należy przerwać leczenie produktem Yuflyma u pacjentów, u których pojawiły się nowe objawy zastoinowej niewydolności serca lub wystąpiło pogorszenie istniejących objawów.</w:t>
      </w:r>
    </w:p>
    <w:p w14:paraId="20F8A701" w14:textId="77777777" w:rsidR="002E5800" w:rsidRPr="008F328C" w:rsidRDefault="002E5800">
      <w:pPr>
        <w:spacing w:before="13" w:line="240" w:lineRule="exact"/>
        <w:rPr>
          <w:rFonts w:ascii="Times New Roman" w:hAnsi="Times New Roman" w:cs="Times New Roman"/>
          <w:lang w:val="pl-PL"/>
        </w:rPr>
      </w:pPr>
    </w:p>
    <w:p w14:paraId="7E2B922C" w14:textId="77777777" w:rsidR="002E5800" w:rsidRPr="008F328C" w:rsidRDefault="000E0B7C">
      <w:pPr>
        <w:pStyle w:val="a3"/>
        <w:rPr>
          <w:u w:val="single"/>
          <w:lang w:val="pl-PL"/>
        </w:rPr>
      </w:pPr>
      <w:r w:rsidRPr="008F328C">
        <w:rPr>
          <w:rFonts w:eastAsia="Times New Roman"/>
          <w:u w:val="single" w:color="000000"/>
          <w:lang w:val="pl-PL"/>
        </w:rPr>
        <w:t>Procesy autoimmunologiczne</w:t>
      </w:r>
    </w:p>
    <w:p w14:paraId="6893A6C1" w14:textId="77777777" w:rsidR="002E5800" w:rsidRPr="008F328C" w:rsidRDefault="002E5800">
      <w:pPr>
        <w:spacing w:before="9" w:line="170" w:lineRule="exact"/>
        <w:rPr>
          <w:rFonts w:ascii="Times New Roman" w:hAnsi="Times New Roman" w:cs="Times New Roman"/>
          <w:lang w:val="pl-PL"/>
        </w:rPr>
      </w:pPr>
    </w:p>
    <w:p w14:paraId="03713539" w14:textId="77777777" w:rsidR="002E5800" w:rsidRPr="008F328C" w:rsidRDefault="000E0B7C">
      <w:pPr>
        <w:pStyle w:val="a3"/>
        <w:rPr>
          <w:lang w:val="pl-PL"/>
        </w:rPr>
      </w:pPr>
      <w:r w:rsidRPr="008F328C">
        <w:rPr>
          <w:rFonts w:eastAsia="Times New Roman"/>
          <w:lang w:val="pl-PL"/>
        </w:rPr>
        <w:t>Leczenie produktem Yuflyma może powodować powstawanie autoprzeciwciał. Nie wiadomo, jaki może być wpływ długookresowego leczenia adalimumabem na rozwój chorób autoimmunologicznych. Jeśli po leczeniu produktem Yuflyma u pacjenta wystąpią objawy wskazujące na zespół toczniopodobny i oznaczenie przeciwciał przeciw dwuniciowemu DNA jest dodatnie, nie należy kontynuować leczenia produktem Yuflyma (patrz punkt 4.8).</w:t>
      </w:r>
    </w:p>
    <w:p w14:paraId="29138FE5" w14:textId="77777777" w:rsidR="002E5800" w:rsidRPr="008F328C" w:rsidRDefault="002E5800">
      <w:pPr>
        <w:spacing w:before="13" w:line="240" w:lineRule="exact"/>
        <w:rPr>
          <w:rFonts w:ascii="Times New Roman" w:hAnsi="Times New Roman" w:cs="Times New Roman"/>
          <w:u w:val="single"/>
          <w:lang w:val="pl-PL"/>
        </w:rPr>
      </w:pPr>
    </w:p>
    <w:p w14:paraId="6E8402E7" w14:textId="77777777" w:rsidR="002E5800" w:rsidRPr="008F328C" w:rsidRDefault="000E0B7C">
      <w:pPr>
        <w:pStyle w:val="a3"/>
        <w:rPr>
          <w:u w:val="single"/>
          <w:lang w:val="pl-PL"/>
        </w:rPr>
      </w:pPr>
      <w:r w:rsidRPr="008F328C">
        <w:rPr>
          <w:rFonts w:eastAsia="Times New Roman"/>
          <w:u w:val="single" w:color="000000"/>
          <w:lang w:val="pl-PL"/>
        </w:rPr>
        <w:lastRenderedPageBreak/>
        <w:t xml:space="preserve"> Równoczesne podawanie biologicznych DMARDs lub antagonistów TNF</w:t>
      </w:r>
    </w:p>
    <w:p w14:paraId="59705965" w14:textId="77777777" w:rsidR="002E5800" w:rsidRPr="008F328C" w:rsidRDefault="002E5800">
      <w:pPr>
        <w:spacing w:before="1" w:line="180" w:lineRule="exact"/>
        <w:rPr>
          <w:rFonts w:ascii="Times New Roman" w:hAnsi="Times New Roman" w:cs="Times New Roman"/>
          <w:lang w:val="pl-PL"/>
        </w:rPr>
      </w:pPr>
    </w:p>
    <w:p w14:paraId="2CE6A85B" w14:textId="01F8B1FE" w:rsidR="002E5800" w:rsidRPr="008F328C" w:rsidRDefault="000E0B7C">
      <w:pPr>
        <w:pStyle w:val="a3"/>
        <w:rPr>
          <w:lang w:val="pl-PL"/>
        </w:rPr>
      </w:pPr>
      <w:r w:rsidRPr="008F328C">
        <w:rPr>
          <w:rFonts w:eastAsia="Times New Roman"/>
          <w:lang w:val="pl-PL"/>
        </w:rPr>
        <w:t>Ciężkie zakażenia obserwowano podczas badań klinicznych, w których podawano równocześnie anakinrę i etanercept, będący innym antagonistą TNF, bez dodatkowych korzyści klinicznych w porównaniu do stosowania wyłącznie etanerceptu. Ze względu na charakter zdarzeń niepożądanych obserwowanych podczas leczenia skojarzonego etanerceptem i anakinrą, podobne działanie toksyczne może wystąpić w wyniku stosowania anakinry w połączeniu z innymi antagonistami TNF. Nie zaleca się zatem stosowania adalimumabu w skojarzeniu z anakinrą (patrz punkt 4.5).</w:t>
      </w:r>
    </w:p>
    <w:p w14:paraId="27D57FA8" w14:textId="77777777" w:rsidR="002E5800" w:rsidRPr="008F328C" w:rsidRDefault="002E5800">
      <w:pPr>
        <w:spacing w:before="14" w:line="240" w:lineRule="exact"/>
        <w:rPr>
          <w:rFonts w:ascii="Times New Roman" w:hAnsi="Times New Roman" w:cs="Times New Roman"/>
          <w:lang w:val="pl-PL"/>
        </w:rPr>
      </w:pPr>
    </w:p>
    <w:p w14:paraId="448F0648" w14:textId="77777777" w:rsidR="002E5800" w:rsidRPr="008F328C" w:rsidRDefault="000E0B7C">
      <w:pPr>
        <w:pStyle w:val="a3"/>
        <w:rPr>
          <w:lang w:val="pl-PL"/>
        </w:rPr>
      </w:pPr>
      <w:r w:rsidRPr="008F328C">
        <w:rPr>
          <w:rFonts w:eastAsia="Times New Roman"/>
          <w:lang w:val="pl-PL"/>
        </w:rPr>
        <w:t>Nie zaleca się równoczesnego podawania adalimumabu z innymi biologicznymi DMARDs (np. anakinra i abatacept) lub innymi antagonistami TNF ze względu na możliwość zwiększonego ryzyka zakażeń, w tym ciężkich zakażeń i innych potencjalnych interakcji farmakologicznych (patrz punkt 4.5).</w:t>
      </w:r>
    </w:p>
    <w:p w14:paraId="3DF0BF1D" w14:textId="77777777" w:rsidR="002E5800" w:rsidRPr="008F328C" w:rsidRDefault="002E5800">
      <w:pPr>
        <w:spacing w:before="13" w:line="240" w:lineRule="exact"/>
        <w:rPr>
          <w:rFonts w:ascii="Times New Roman" w:hAnsi="Times New Roman" w:cs="Times New Roman"/>
          <w:lang w:val="pl-PL"/>
        </w:rPr>
      </w:pPr>
    </w:p>
    <w:p w14:paraId="57E095E6" w14:textId="77777777" w:rsidR="002E5800" w:rsidRPr="008F328C" w:rsidRDefault="000E0B7C">
      <w:pPr>
        <w:pStyle w:val="a3"/>
        <w:rPr>
          <w:u w:val="single"/>
          <w:lang w:val="pl-PL"/>
        </w:rPr>
      </w:pPr>
      <w:r w:rsidRPr="008F328C">
        <w:rPr>
          <w:rFonts w:eastAsia="Times New Roman"/>
          <w:u w:val="single" w:color="000000"/>
          <w:lang w:val="pl-PL"/>
        </w:rPr>
        <w:t>Operacje chirurgiczne</w:t>
      </w:r>
    </w:p>
    <w:p w14:paraId="5DE374A4" w14:textId="77777777" w:rsidR="002E5800" w:rsidRPr="008F328C" w:rsidRDefault="002E5800">
      <w:pPr>
        <w:spacing w:before="1" w:line="180" w:lineRule="exact"/>
        <w:rPr>
          <w:rFonts w:ascii="Times New Roman" w:hAnsi="Times New Roman" w:cs="Times New Roman"/>
          <w:lang w:val="pl-PL"/>
        </w:rPr>
      </w:pPr>
    </w:p>
    <w:p w14:paraId="79FE9A7B" w14:textId="77777777" w:rsidR="002E5800" w:rsidRPr="008F328C" w:rsidRDefault="000E0B7C">
      <w:pPr>
        <w:pStyle w:val="a3"/>
        <w:rPr>
          <w:lang w:val="pl-PL"/>
        </w:rPr>
      </w:pPr>
      <w:r w:rsidRPr="008F328C">
        <w:rPr>
          <w:rFonts w:eastAsia="Times New Roman"/>
          <w:lang w:val="pl-PL"/>
        </w:rPr>
        <w:t>Doświadczenie dotyczące bezpieczeństwa zabiegów chirurgicznych u pacjentów leczonych adalimumabemm jest ograniczone. W razie planowania zabiegu chirurgicznego należy uwzględnić długi okres półtrwania adalimumabu. Pacjenta, który wymaga zabiegu chirurgicznego w okresie leczenia produktem należy poddać dokładnej obserwacji w celu wykluczenia obecności zakażenia oraz podjąć odpowiednie postpowanie. Doświadczenie dotyczące bezpieczeństwa wykonywania artroplastyki u pacjentów otrzymujących adalimumab jest ograniczone.</w:t>
      </w:r>
    </w:p>
    <w:p w14:paraId="377957E5" w14:textId="77777777" w:rsidR="002E5800" w:rsidRPr="008F328C" w:rsidRDefault="002E5800">
      <w:pPr>
        <w:pStyle w:val="a3"/>
        <w:rPr>
          <w:u w:color="000000"/>
          <w:lang w:val="pl-PL"/>
        </w:rPr>
      </w:pPr>
    </w:p>
    <w:p w14:paraId="452DC5BB" w14:textId="77777777" w:rsidR="002E5800" w:rsidRPr="008F328C" w:rsidRDefault="000E0B7C">
      <w:pPr>
        <w:pStyle w:val="a3"/>
        <w:rPr>
          <w:u w:val="single"/>
          <w:lang w:val="pl-PL"/>
        </w:rPr>
      </w:pPr>
      <w:r w:rsidRPr="008F328C">
        <w:rPr>
          <w:rFonts w:eastAsia="Times New Roman"/>
          <w:u w:val="single" w:color="000000"/>
          <w:lang w:val="pl-PL"/>
        </w:rPr>
        <w:t>Niedrożność jelita cienkiego</w:t>
      </w:r>
    </w:p>
    <w:p w14:paraId="08077319" w14:textId="77777777" w:rsidR="002E5800" w:rsidRPr="008F328C" w:rsidRDefault="002E5800">
      <w:pPr>
        <w:pStyle w:val="a3"/>
        <w:rPr>
          <w:lang w:val="pl-PL"/>
        </w:rPr>
      </w:pPr>
    </w:p>
    <w:p w14:paraId="20D74998" w14:textId="77777777" w:rsidR="002E5800" w:rsidRPr="008F328C" w:rsidRDefault="000E0B7C">
      <w:pPr>
        <w:pStyle w:val="a3"/>
        <w:rPr>
          <w:lang w:val="pl-PL"/>
        </w:rPr>
      </w:pPr>
      <w:r w:rsidRPr="008F328C">
        <w:rPr>
          <w:rFonts w:eastAsia="Times New Roman"/>
          <w:lang w:val="pl-PL"/>
        </w:rPr>
        <w:t>Brak odpowiedzi na leczenie choroby Leśniowskiego-Crohna może wskazywać na obecność trwałego, zwłókniałego zwężenia, które może wymagać leczenia chirurgicznego. Dostępne dane wskazują, że adalimumab nie pogarsza zwężeń, ani ich nie powoduje.</w:t>
      </w:r>
    </w:p>
    <w:p w14:paraId="7E2F18F1" w14:textId="77777777" w:rsidR="002E5800" w:rsidRPr="008F328C" w:rsidRDefault="002E5800">
      <w:pPr>
        <w:spacing w:before="13" w:line="240" w:lineRule="exact"/>
        <w:rPr>
          <w:rFonts w:ascii="Times New Roman" w:hAnsi="Times New Roman" w:cs="Times New Roman"/>
          <w:lang w:val="pl-PL"/>
        </w:rPr>
      </w:pPr>
    </w:p>
    <w:p w14:paraId="6FDCD5C0" w14:textId="77777777" w:rsidR="002E5800" w:rsidRPr="008F328C" w:rsidRDefault="000E0B7C">
      <w:pPr>
        <w:pStyle w:val="a3"/>
        <w:rPr>
          <w:u w:val="single"/>
          <w:lang w:val="pl-PL"/>
        </w:rPr>
      </w:pPr>
      <w:r w:rsidRPr="008F328C">
        <w:rPr>
          <w:rFonts w:eastAsia="Times New Roman"/>
          <w:u w:val="single" w:color="000000"/>
          <w:lang w:val="pl-PL"/>
        </w:rPr>
        <w:t>Pacjenci w podeszłym wieku</w:t>
      </w:r>
    </w:p>
    <w:p w14:paraId="06011EDD" w14:textId="77777777" w:rsidR="002E5800" w:rsidRPr="008F328C" w:rsidRDefault="002E5800">
      <w:pPr>
        <w:spacing w:before="9" w:line="170" w:lineRule="exact"/>
        <w:rPr>
          <w:rFonts w:ascii="Times New Roman" w:hAnsi="Times New Roman" w:cs="Times New Roman"/>
          <w:lang w:val="pl-PL"/>
        </w:rPr>
      </w:pPr>
    </w:p>
    <w:p w14:paraId="7409BE5A" w14:textId="77777777" w:rsidR="002E5800" w:rsidRPr="008F328C" w:rsidRDefault="000E0B7C">
      <w:pPr>
        <w:pStyle w:val="a3"/>
        <w:rPr>
          <w:lang w:val="pl-PL"/>
        </w:rPr>
      </w:pPr>
      <w:r w:rsidRPr="008F328C">
        <w:rPr>
          <w:rFonts w:eastAsia="Times New Roman"/>
          <w:lang w:val="pl-PL"/>
        </w:rPr>
        <w:t>Częstość występowania ciężkich zakażeń u leczonych adalimumabem pacjentów powyżej 65 rż. (3,7%) była większa, niż u pacjentów poniżej 65 rż. (1,5%). Niektóre z zakażeń powodowały zgon. Podczas leczenia pacjentów w podeszłym wieku należy zwrócić szczególną uwagę na ryzyko zakażenia.</w:t>
      </w:r>
    </w:p>
    <w:p w14:paraId="34D87A22" w14:textId="77777777" w:rsidR="002E5800" w:rsidRPr="008F328C" w:rsidRDefault="002E5800">
      <w:pPr>
        <w:spacing w:before="11" w:line="240" w:lineRule="exact"/>
        <w:rPr>
          <w:rFonts w:ascii="Times New Roman" w:hAnsi="Times New Roman" w:cs="Times New Roman"/>
          <w:lang w:val="pl-PL"/>
        </w:rPr>
      </w:pPr>
    </w:p>
    <w:p w14:paraId="6FD23281" w14:textId="77777777" w:rsidR="002E5800" w:rsidRPr="008F328C" w:rsidRDefault="000E0B7C">
      <w:pPr>
        <w:pStyle w:val="a3"/>
        <w:rPr>
          <w:u w:val="single"/>
          <w:lang w:val="pl-PL"/>
        </w:rPr>
      </w:pPr>
      <w:r w:rsidRPr="008F328C">
        <w:rPr>
          <w:rFonts w:eastAsia="Times New Roman"/>
          <w:u w:val="single" w:color="000000"/>
          <w:lang w:val="pl-PL"/>
        </w:rPr>
        <w:t>Dzieci i młodzież</w:t>
      </w:r>
    </w:p>
    <w:p w14:paraId="6DE87BFE" w14:textId="77777777" w:rsidR="002E5800" w:rsidRPr="008F328C" w:rsidRDefault="002E5800">
      <w:pPr>
        <w:spacing w:before="1" w:line="180" w:lineRule="exact"/>
        <w:rPr>
          <w:rFonts w:ascii="Times New Roman" w:hAnsi="Times New Roman" w:cs="Times New Roman"/>
          <w:lang w:val="pl-PL"/>
        </w:rPr>
      </w:pPr>
    </w:p>
    <w:p w14:paraId="0AE9A64E" w14:textId="77777777" w:rsidR="002E5800" w:rsidRPr="008F328C" w:rsidRDefault="000E0B7C">
      <w:pPr>
        <w:pStyle w:val="a3"/>
        <w:rPr>
          <w:lang w:val="pl-PL"/>
        </w:rPr>
      </w:pPr>
      <w:r w:rsidRPr="008F328C">
        <w:rPr>
          <w:rFonts w:eastAsia="Times New Roman"/>
          <w:lang w:val="pl-PL"/>
        </w:rPr>
        <w:t>Patrz „Szczepienia” powyżej.</w:t>
      </w:r>
    </w:p>
    <w:p w14:paraId="409DA885" w14:textId="77777777" w:rsidR="002E5800" w:rsidRPr="008F328C" w:rsidRDefault="002E5800">
      <w:pPr>
        <w:pStyle w:val="a3"/>
        <w:rPr>
          <w:lang w:val="pl-PL"/>
        </w:rPr>
      </w:pPr>
    </w:p>
    <w:p w14:paraId="7B56DA44" w14:textId="77777777" w:rsidR="002E5800" w:rsidRPr="008F328C" w:rsidRDefault="000E0B7C">
      <w:pPr>
        <w:pStyle w:val="a3"/>
        <w:rPr>
          <w:u w:val="single"/>
          <w:lang w:val="pl-PL"/>
        </w:rPr>
      </w:pPr>
      <w:r w:rsidRPr="008F328C">
        <w:rPr>
          <w:rFonts w:eastAsia="Times New Roman"/>
          <w:u w:val="single" w:color="000000"/>
          <w:lang w:val="pl-PL"/>
        </w:rPr>
        <w:t>Zawartość sodu</w:t>
      </w:r>
    </w:p>
    <w:p w14:paraId="4E006EBE" w14:textId="77777777" w:rsidR="002E5800" w:rsidRPr="008F328C" w:rsidRDefault="002E5800">
      <w:pPr>
        <w:pStyle w:val="a3"/>
        <w:rPr>
          <w:lang w:val="pl-PL"/>
        </w:rPr>
      </w:pPr>
    </w:p>
    <w:p w14:paraId="01A55B99" w14:textId="3C0F00D4" w:rsidR="002E5800" w:rsidRPr="008F328C" w:rsidRDefault="000E0DB9">
      <w:pPr>
        <w:pStyle w:val="a3"/>
        <w:rPr>
          <w:lang w:val="pl-PL"/>
        </w:rPr>
      </w:pPr>
      <w:r w:rsidRPr="008F328C">
        <w:rPr>
          <w:rFonts w:eastAsia="Times New Roman"/>
          <w:lang w:val="pl-PL"/>
        </w:rPr>
        <w:t xml:space="preserve">Ten produkt leczniczy </w:t>
      </w:r>
      <w:r w:rsidR="000E0B7C" w:rsidRPr="008F328C">
        <w:rPr>
          <w:rFonts w:eastAsia="Times New Roman"/>
          <w:lang w:val="pl-PL"/>
        </w:rPr>
        <w:t xml:space="preserve">zawiera mniej niż 1 mmol sodu (23 mg) na dawkę 0,4 ml, to znaczy uznaje się </w:t>
      </w:r>
      <w:r w:rsidRPr="008F328C">
        <w:rPr>
          <w:rFonts w:eastAsia="Times New Roman"/>
          <w:lang w:val="pl-PL"/>
        </w:rPr>
        <w:t xml:space="preserve">go </w:t>
      </w:r>
      <w:r w:rsidR="000E0B7C" w:rsidRPr="008F328C">
        <w:rPr>
          <w:rFonts w:eastAsia="Times New Roman"/>
          <w:lang w:val="pl-PL"/>
        </w:rPr>
        <w:t>za „wolny od sodu”.</w:t>
      </w:r>
    </w:p>
    <w:p w14:paraId="3FB7B7A0" w14:textId="77777777" w:rsidR="002E5800" w:rsidRPr="008F328C" w:rsidRDefault="002E5800">
      <w:pPr>
        <w:spacing w:before="18" w:line="240" w:lineRule="exact"/>
        <w:rPr>
          <w:rFonts w:ascii="Times New Roman" w:hAnsi="Times New Roman" w:cs="Times New Roman"/>
          <w:sz w:val="24"/>
          <w:szCs w:val="24"/>
          <w:lang w:val="pl-PL"/>
        </w:rPr>
      </w:pPr>
    </w:p>
    <w:p w14:paraId="060C5410"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Interakcje z innymi produktami leczniczymi i inne rodzaje interakcji</w:t>
      </w:r>
    </w:p>
    <w:p w14:paraId="2201AE13" w14:textId="77777777" w:rsidR="002E5800" w:rsidRPr="008F328C" w:rsidRDefault="002E5800">
      <w:pPr>
        <w:spacing w:before="9" w:line="240" w:lineRule="exact"/>
        <w:rPr>
          <w:rFonts w:ascii="Times New Roman" w:hAnsi="Times New Roman" w:cs="Times New Roman"/>
          <w:sz w:val="24"/>
          <w:szCs w:val="24"/>
          <w:lang w:val="pl-PL"/>
        </w:rPr>
      </w:pPr>
    </w:p>
    <w:p w14:paraId="357FD496" w14:textId="77777777" w:rsidR="002E5800" w:rsidRPr="008F328C" w:rsidRDefault="000E0B7C">
      <w:pPr>
        <w:pStyle w:val="a3"/>
        <w:rPr>
          <w:lang w:val="pl-PL"/>
        </w:rPr>
      </w:pPr>
      <w:r w:rsidRPr="008F328C">
        <w:rPr>
          <w:rFonts w:eastAsia="Times New Roman"/>
          <w:lang w:val="pl-PL"/>
        </w:rPr>
        <w:t>Badano stosowanie adalimumabu u pacjentów z reumatoidalnym zapaleniem stawów, wielostawowym młodzieńczym idiopatycznym zapaleniem stawów i łuszczycowym zapaleniem stawów przyjmujących ten lek w monoterapii oraz u pacjentów przyjmujących równocześnie metotreksat. Tworzenie przeciwciał było mniejsze, gdy adalimumab podawano z metotreksatem w porównaniu do stosowania w monoterapii. Podawanie adalimumabu bez metotreksatu spowodowało zwiększenie tworzenia się przeciwciał, zwiększenie klirensu i zmniejszenie skuteczności adalimumabu (patrz punkt 5.1).</w:t>
      </w:r>
    </w:p>
    <w:p w14:paraId="040B557D" w14:textId="77777777" w:rsidR="002E5800" w:rsidRPr="008F328C" w:rsidRDefault="002E5800">
      <w:pPr>
        <w:spacing w:before="17" w:line="240" w:lineRule="exact"/>
        <w:rPr>
          <w:rFonts w:ascii="Times New Roman" w:hAnsi="Times New Roman" w:cs="Times New Roman"/>
          <w:sz w:val="24"/>
          <w:szCs w:val="24"/>
          <w:lang w:val="pl-PL"/>
        </w:rPr>
      </w:pPr>
    </w:p>
    <w:p w14:paraId="41DB4B77" w14:textId="77777777" w:rsidR="002E5800" w:rsidRPr="008F328C" w:rsidRDefault="000E0B7C">
      <w:pPr>
        <w:pStyle w:val="a3"/>
        <w:rPr>
          <w:lang w:val="pl-PL"/>
        </w:rPr>
      </w:pPr>
      <w:r w:rsidRPr="008F328C">
        <w:rPr>
          <w:rFonts w:eastAsia="Times New Roman"/>
          <w:lang w:val="pl-PL"/>
        </w:rPr>
        <w:t>Nie zaleca się stosowania w skojarzeniu adalimumabu i anakinry (patrz punkt 4.4 „Równoczesne podawanie biologicznych DMARDs lub antagonistów TNF”).</w:t>
      </w:r>
    </w:p>
    <w:p w14:paraId="14EAF0C5" w14:textId="77777777" w:rsidR="002E5800" w:rsidRPr="008F328C" w:rsidRDefault="002E5800">
      <w:pPr>
        <w:spacing w:before="11" w:line="240" w:lineRule="exact"/>
        <w:rPr>
          <w:rFonts w:ascii="Times New Roman" w:hAnsi="Times New Roman" w:cs="Times New Roman"/>
          <w:sz w:val="24"/>
          <w:szCs w:val="24"/>
          <w:lang w:val="pl-PL"/>
        </w:rPr>
      </w:pPr>
    </w:p>
    <w:p w14:paraId="1423758F" w14:textId="77777777" w:rsidR="002E5800" w:rsidRPr="008F328C" w:rsidRDefault="000E0B7C">
      <w:pPr>
        <w:pStyle w:val="a3"/>
        <w:rPr>
          <w:lang w:val="pl-PL"/>
        </w:rPr>
      </w:pPr>
      <w:r w:rsidRPr="008F328C">
        <w:rPr>
          <w:rFonts w:eastAsia="Times New Roman"/>
          <w:lang w:val="pl-PL"/>
        </w:rPr>
        <w:t>Nie zaleca się stosowania w skojarzeniu adalimumabu i abataceptu (patrz punkt 4.4 „Równoczesne podawanie biologicznych DMARDs lub antagonistów TNF”).</w:t>
      </w:r>
    </w:p>
    <w:p w14:paraId="2F61A712" w14:textId="77777777" w:rsidR="002E5800" w:rsidRPr="008F328C" w:rsidRDefault="002E5800">
      <w:pPr>
        <w:spacing w:before="14" w:line="240" w:lineRule="exact"/>
        <w:rPr>
          <w:rFonts w:ascii="Times New Roman" w:hAnsi="Times New Roman" w:cs="Times New Roman"/>
          <w:sz w:val="24"/>
          <w:szCs w:val="24"/>
          <w:lang w:val="pl-PL"/>
        </w:rPr>
      </w:pPr>
    </w:p>
    <w:p w14:paraId="50533940"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płodność, ciążę i laktację</w:t>
      </w:r>
    </w:p>
    <w:p w14:paraId="23C832AE" w14:textId="77777777" w:rsidR="002E5800" w:rsidRPr="008F328C" w:rsidRDefault="002E5800">
      <w:pPr>
        <w:spacing w:before="9" w:line="240" w:lineRule="exact"/>
        <w:rPr>
          <w:rFonts w:ascii="Times New Roman" w:hAnsi="Times New Roman" w:cs="Times New Roman"/>
          <w:lang w:val="pl-PL"/>
        </w:rPr>
      </w:pPr>
    </w:p>
    <w:p w14:paraId="524CFC4D" w14:textId="77777777" w:rsidR="002E5800" w:rsidRPr="008F328C" w:rsidRDefault="000E0B7C">
      <w:pPr>
        <w:pStyle w:val="a3"/>
        <w:rPr>
          <w:u w:val="single"/>
          <w:lang w:val="pl-PL"/>
        </w:rPr>
      </w:pPr>
      <w:r w:rsidRPr="008F328C">
        <w:rPr>
          <w:rFonts w:eastAsia="Times New Roman"/>
          <w:u w:val="single" w:color="000000"/>
          <w:lang w:val="pl-PL"/>
        </w:rPr>
        <w:t>Kobiety w wieku rozrodczym</w:t>
      </w:r>
    </w:p>
    <w:p w14:paraId="6E77ED90" w14:textId="77777777" w:rsidR="002E5800" w:rsidRPr="008F328C" w:rsidRDefault="002E5800">
      <w:pPr>
        <w:spacing w:before="1" w:line="180" w:lineRule="exact"/>
        <w:rPr>
          <w:rFonts w:ascii="Times New Roman" w:hAnsi="Times New Roman" w:cs="Times New Roman"/>
          <w:lang w:val="pl-PL"/>
        </w:rPr>
      </w:pPr>
    </w:p>
    <w:p w14:paraId="09E1941E" w14:textId="77777777" w:rsidR="002E5800" w:rsidRPr="008F328C" w:rsidRDefault="000E0B7C">
      <w:pPr>
        <w:pStyle w:val="a3"/>
        <w:rPr>
          <w:lang w:val="pl-PL"/>
        </w:rPr>
      </w:pPr>
      <w:r w:rsidRPr="008F328C">
        <w:rPr>
          <w:rFonts w:eastAsia="Times New Roman"/>
          <w:lang w:val="pl-PL"/>
        </w:rPr>
        <w:t>Kobiety w wieku rozrodczym powinny rozważyć stosowanie odpowiednich metod zapobiegania ciąży i ich kontynuowanie przez co najmniej pięć miesięcy po przyjęciu ostatniej dawki produktu Yuflyma.</w:t>
      </w:r>
    </w:p>
    <w:p w14:paraId="2DFBFE78" w14:textId="77777777" w:rsidR="002E5800" w:rsidRPr="008F328C" w:rsidRDefault="002E5800">
      <w:pPr>
        <w:spacing w:before="11" w:line="240" w:lineRule="exact"/>
        <w:rPr>
          <w:rFonts w:ascii="Times New Roman" w:hAnsi="Times New Roman" w:cs="Times New Roman"/>
          <w:lang w:val="pl-PL"/>
        </w:rPr>
      </w:pPr>
    </w:p>
    <w:p w14:paraId="375E0495" w14:textId="77777777" w:rsidR="002E5800" w:rsidRPr="008F328C" w:rsidRDefault="000E0B7C">
      <w:pPr>
        <w:pStyle w:val="a3"/>
        <w:rPr>
          <w:u w:val="single"/>
          <w:lang w:val="pl-PL"/>
        </w:rPr>
      </w:pPr>
      <w:r w:rsidRPr="008F328C">
        <w:rPr>
          <w:rFonts w:eastAsia="Times New Roman"/>
          <w:u w:val="single" w:color="000000"/>
          <w:lang w:val="pl-PL"/>
        </w:rPr>
        <w:t>Ciąża</w:t>
      </w:r>
    </w:p>
    <w:p w14:paraId="2CE28A71" w14:textId="77777777" w:rsidR="002E5800" w:rsidRPr="008F328C" w:rsidRDefault="002E5800">
      <w:pPr>
        <w:spacing w:before="1" w:line="180" w:lineRule="exact"/>
        <w:rPr>
          <w:rFonts w:ascii="Times New Roman" w:hAnsi="Times New Roman" w:cs="Times New Roman"/>
          <w:lang w:val="pl-PL"/>
        </w:rPr>
      </w:pPr>
    </w:p>
    <w:p w14:paraId="09E5E161" w14:textId="77777777" w:rsidR="002E5800" w:rsidRPr="008F328C" w:rsidRDefault="000E0B7C">
      <w:pPr>
        <w:pStyle w:val="a3"/>
        <w:rPr>
          <w:lang w:val="pl-PL"/>
        </w:rPr>
      </w:pPr>
      <w:r w:rsidRPr="008F328C">
        <w:rPr>
          <w:rFonts w:eastAsia="Times New Roman"/>
          <w:lang w:val="pl-PL"/>
        </w:rPr>
        <w:t>Znaczna liczba (około 2</w:t>
      </w:r>
      <w:r w:rsidR="000E0DB9" w:rsidRPr="008F328C">
        <w:rPr>
          <w:rFonts w:eastAsia="Times New Roman"/>
          <w:lang w:val="pl-PL"/>
        </w:rPr>
        <w:t> </w:t>
      </w:r>
      <w:r w:rsidRPr="008F328C">
        <w:rPr>
          <w:rFonts w:eastAsia="Times New Roman"/>
          <w:lang w:val="pl-PL"/>
        </w:rPr>
        <w:t>100) prospektywnie rejestrowanych ciąż narażonych na adalimumab, zakończonych żywym urodzeniem ze znanym zakończeniem, w tym ponad 1</w:t>
      </w:r>
      <w:r w:rsidR="000E0DB9" w:rsidRPr="008F328C">
        <w:rPr>
          <w:rFonts w:eastAsia="Times New Roman"/>
          <w:lang w:val="pl-PL"/>
        </w:rPr>
        <w:t> </w:t>
      </w:r>
      <w:r w:rsidRPr="008F328C">
        <w:rPr>
          <w:rFonts w:eastAsia="Times New Roman"/>
          <w:lang w:val="pl-PL"/>
        </w:rPr>
        <w:t>500 ciąż narażonych w pierwszym trymestrze, nie wskazuje na zwiększenie odsetka wad rozwojowych u noworodków.</w:t>
      </w:r>
    </w:p>
    <w:p w14:paraId="5303EEEC" w14:textId="77777777" w:rsidR="002E5800" w:rsidRPr="008F328C" w:rsidRDefault="002E5800">
      <w:pPr>
        <w:spacing w:before="13" w:line="240" w:lineRule="exact"/>
        <w:rPr>
          <w:rFonts w:ascii="Times New Roman" w:hAnsi="Times New Roman" w:cs="Times New Roman"/>
          <w:lang w:val="pl-PL"/>
        </w:rPr>
      </w:pPr>
    </w:p>
    <w:p w14:paraId="58F1C5C6" w14:textId="77777777" w:rsidR="002E5800" w:rsidRPr="008F328C" w:rsidRDefault="000E0B7C">
      <w:pPr>
        <w:pStyle w:val="a3"/>
        <w:rPr>
          <w:lang w:val="pl-PL"/>
        </w:rPr>
      </w:pPr>
      <w:r w:rsidRPr="008F328C">
        <w:rPr>
          <w:rFonts w:eastAsia="Times New Roman"/>
          <w:lang w:val="pl-PL"/>
        </w:rPr>
        <w:t>Do prospektywnych rejestrów kohortowych włączono 257 kobiet z reumatoidalnym zapaleniem stawów (RZS) lub chorobą Leśniowskiego-Crohna (ChLC) leczonych adalimumabem przynajmniej w pierwszym trymestrze ciąży i 120 kobiet z RZS lub ChLC nie leczonych adalimumabem. Pierwszorzędowym punktem końcowym była częstość występowania urodzeń z poważną wadą wrodzoną. Współczynnik ciąż zakończonych urodzeniem przynajmniej jednego, żywego noworodka z poważną wadą wrodzoną wynosił 6/69 (8,7%) u kobiet z RZS leczonych adalimumabem i 5/74 (6,8%) u nieleczonych kobiet z RZS (nieskorygowany OR 1,31, 95% CI 0,38-4,52) oraz 16/152 (10,5%) u kobiet z ChLC leczonych adalimumabem i 3/32 (9,4%) u nieleczonych kobiet z ChLC (nieskorygowany OR 1,14, 95% CI 0,31-4,16). Skorygowany OR (uwzględniający różnice początkowe) wynosił 1,10 (95% CI 0,45-2,73) łącznie dla RZS i ChLC. Dla drugorzędowych punktów końcowych samoistnych poronień, niewielkich wad wrodzonych, przedwczesnego porodu, wielkości płodu, poważnych lub oportunistycznych zakażeń, nie było wyraźnej różnicy między kobietami leczonymi a nieleczonymi adalimumabem, nie zgłaszano także martwych urodzeń oraz nowotworów. Na interpretację danych mogą mieć wpływ ograniczenia metodologiczne badania, w tym mała wielkość próby oraz brak randomizacji.</w:t>
      </w:r>
    </w:p>
    <w:p w14:paraId="4E3D284D" w14:textId="77777777" w:rsidR="002E5800" w:rsidRPr="008F328C" w:rsidRDefault="002E5800">
      <w:pPr>
        <w:spacing w:before="10" w:line="240" w:lineRule="exact"/>
        <w:rPr>
          <w:rFonts w:ascii="Times New Roman" w:hAnsi="Times New Roman" w:cs="Times New Roman"/>
          <w:lang w:val="pl-PL"/>
        </w:rPr>
      </w:pPr>
    </w:p>
    <w:p w14:paraId="1B3FF6FB" w14:textId="77777777" w:rsidR="002E5800" w:rsidRPr="008F328C" w:rsidRDefault="000E0B7C">
      <w:pPr>
        <w:pStyle w:val="a3"/>
        <w:rPr>
          <w:lang w:val="pl-PL"/>
        </w:rPr>
      </w:pPr>
      <w:r w:rsidRPr="008F328C">
        <w:rPr>
          <w:rFonts w:eastAsia="Times New Roman"/>
          <w:spacing w:val="-2"/>
          <w:lang w:val="pl-PL"/>
        </w:rPr>
        <w:t>W badaniu toksyczności rozwojowej prowadzonym na małpach nie wykazano toksycznego działania na matkę, embriotoksyczności lub działania teratogennego. Niekliniczne dane o toksyczności pourodzeniowej adalimumabu nie są dostępne (patrz punkt 5.3).</w:t>
      </w:r>
    </w:p>
    <w:p w14:paraId="7FF2A8F6" w14:textId="77777777" w:rsidR="002E5800" w:rsidRPr="008F328C" w:rsidRDefault="002E5800">
      <w:pPr>
        <w:spacing w:before="14" w:line="260" w:lineRule="exact"/>
        <w:rPr>
          <w:rFonts w:ascii="Times New Roman" w:hAnsi="Times New Roman" w:cs="Times New Roman"/>
          <w:lang w:val="pl-PL"/>
        </w:rPr>
      </w:pPr>
    </w:p>
    <w:p w14:paraId="1B48E4E6" w14:textId="77777777" w:rsidR="002E5800" w:rsidRPr="008F328C" w:rsidRDefault="000E0B7C">
      <w:pPr>
        <w:pStyle w:val="a3"/>
        <w:rPr>
          <w:lang w:val="pl-PL"/>
        </w:rPr>
      </w:pPr>
      <w:r w:rsidRPr="008F328C">
        <w:rPr>
          <w:rFonts w:eastAsia="Times New Roman"/>
          <w:lang w:val="pl-PL"/>
        </w:rPr>
        <w:t>Ze względu na hamujące działanie na TNFα, adalimumab podawany w okresie ciąży mógłby wpływać na prawidłową odpowiedź immunologiczną u noworodka. Adalimumab należy stosować w okresie ciąży, tylko jeśli jest to bezwzględnie konieczne.</w:t>
      </w:r>
    </w:p>
    <w:p w14:paraId="56820506" w14:textId="77777777" w:rsidR="002E5800" w:rsidRPr="008F328C" w:rsidRDefault="002E5800">
      <w:pPr>
        <w:spacing w:before="11" w:line="240" w:lineRule="exact"/>
        <w:rPr>
          <w:rFonts w:ascii="Times New Roman" w:hAnsi="Times New Roman" w:cs="Times New Roman"/>
          <w:lang w:val="pl-PL"/>
        </w:rPr>
      </w:pPr>
    </w:p>
    <w:p w14:paraId="55079D3B" w14:textId="77777777" w:rsidR="002E5800" w:rsidRPr="008F328C" w:rsidRDefault="000E0B7C">
      <w:pPr>
        <w:pStyle w:val="a3"/>
        <w:rPr>
          <w:lang w:val="pl-PL"/>
        </w:rPr>
      </w:pPr>
      <w:r w:rsidRPr="008F328C">
        <w:rPr>
          <w:rFonts w:eastAsia="Times New Roman"/>
          <w:lang w:val="pl-PL"/>
        </w:rPr>
        <w:t>Adalimumab może przenikać przez łożysko do surowicy niemowląt, których matki leczono w okresie ciąży adalimumabem. W wyniku tego, u niemowląt może wystąpić zwiększone ryzyko zakażenia. U niemowląt narażonych na adalimumab w okresie życia płodowego nie zaleca się podawania żywych szczepionek (np. szczepionki przeciwgruźliczej, BCG) przez okres 5 miesięcy od przyjęcia przez matkę ostatniej dawki adalimumabu w okresie ciąży.</w:t>
      </w:r>
    </w:p>
    <w:p w14:paraId="2027C969" w14:textId="77777777" w:rsidR="002E5800" w:rsidRPr="008F328C" w:rsidRDefault="002E5800">
      <w:pPr>
        <w:spacing w:before="13" w:line="240" w:lineRule="exact"/>
        <w:rPr>
          <w:rFonts w:ascii="Times New Roman" w:hAnsi="Times New Roman" w:cs="Times New Roman"/>
          <w:lang w:val="pl-PL"/>
        </w:rPr>
      </w:pPr>
    </w:p>
    <w:p w14:paraId="316686FB" w14:textId="77777777" w:rsidR="002E5800" w:rsidRPr="008F328C" w:rsidRDefault="000E0B7C">
      <w:pPr>
        <w:pStyle w:val="a3"/>
        <w:rPr>
          <w:u w:val="single"/>
          <w:lang w:val="pl-PL"/>
        </w:rPr>
      </w:pPr>
      <w:r w:rsidRPr="008F328C">
        <w:rPr>
          <w:rFonts w:eastAsia="Times New Roman"/>
          <w:spacing w:val="-1"/>
          <w:u w:val="single" w:color="000000"/>
          <w:lang w:val="pl-PL"/>
        </w:rPr>
        <w:t>Karmienie piersią</w:t>
      </w:r>
    </w:p>
    <w:p w14:paraId="455509C0" w14:textId="77777777" w:rsidR="002E5800" w:rsidRPr="008F328C" w:rsidRDefault="002E5800">
      <w:pPr>
        <w:spacing w:before="1" w:line="180" w:lineRule="exact"/>
        <w:rPr>
          <w:rFonts w:ascii="Times New Roman" w:hAnsi="Times New Roman" w:cs="Times New Roman"/>
          <w:lang w:val="pl-PL"/>
        </w:rPr>
      </w:pPr>
    </w:p>
    <w:p w14:paraId="6A63D7ED" w14:textId="77777777" w:rsidR="002E5800" w:rsidRPr="008F328C" w:rsidRDefault="000E0B7C">
      <w:pPr>
        <w:pStyle w:val="a3"/>
        <w:rPr>
          <w:lang w:val="pl-PL"/>
        </w:rPr>
      </w:pPr>
      <w:r w:rsidRPr="008F328C">
        <w:rPr>
          <w:rFonts w:eastAsia="Times New Roman"/>
          <w:lang w:val="pl-PL"/>
        </w:rPr>
        <w:t>Ograniczone dane opublikowane w literaturze wskazują, że adalimumab przenika do mleka ludzkiego w bardzo niewielkich stężeniach i występuje w mleku ludzkim w stężeniu od 0,1% do 1% poziomu w surowicy matki. Podawane doustnie, białka immunoglobuliny G ulegają wewnątrzjelitowej proteolizie i mają małą biodostępność. Nie należy się spodziewać wpływu na organizm noworodków/dzieci karmionych piersią. W związku z tym produkt Yuflyma może być stosowany podczas karmienia piersią.</w:t>
      </w:r>
    </w:p>
    <w:p w14:paraId="135F7C63" w14:textId="77777777" w:rsidR="002E5800" w:rsidRPr="008F328C" w:rsidRDefault="002E5800">
      <w:pPr>
        <w:spacing w:before="11" w:line="240" w:lineRule="exact"/>
        <w:rPr>
          <w:rFonts w:ascii="Times New Roman" w:hAnsi="Times New Roman" w:cs="Times New Roman"/>
          <w:lang w:val="pl-PL"/>
        </w:rPr>
      </w:pPr>
    </w:p>
    <w:p w14:paraId="51339AE9" w14:textId="77777777" w:rsidR="002E5800" w:rsidRPr="008F328C" w:rsidRDefault="000E0B7C">
      <w:pPr>
        <w:pStyle w:val="a3"/>
        <w:rPr>
          <w:u w:val="single"/>
          <w:lang w:val="pl-PL"/>
        </w:rPr>
      </w:pPr>
      <w:r w:rsidRPr="008F328C">
        <w:rPr>
          <w:rFonts w:eastAsia="Times New Roman"/>
          <w:u w:val="single" w:color="000000"/>
          <w:lang w:val="pl-PL"/>
        </w:rPr>
        <w:lastRenderedPageBreak/>
        <w:t>Płodność</w:t>
      </w:r>
    </w:p>
    <w:p w14:paraId="43CAB848" w14:textId="77777777" w:rsidR="002E5800" w:rsidRPr="008F328C" w:rsidRDefault="002E5800">
      <w:pPr>
        <w:spacing w:before="1" w:line="180" w:lineRule="exact"/>
        <w:rPr>
          <w:rFonts w:ascii="Times New Roman" w:hAnsi="Times New Roman" w:cs="Times New Roman"/>
          <w:lang w:val="pl-PL"/>
        </w:rPr>
      </w:pPr>
    </w:p>
    <w:p w14:paraId="530C819D" w14:textId="7103C7F6" w:rsidR="002E5800" w:rsidRPr="008F328C" w:rsidRDefault="000E0B7C">
      <w:pPr>
        <w:pStyle w:val="a3"/>
        <w:rPr>
          <w:lang w:val="pl-PL"/>
        </w:rPr>
      </w:pPr>
      <w:r w:rsidRPr="008F328C">
        <w:rPr>
          <w:rFonts w:eastAsia="Times New Roman"/>
          <w:lang w:val="pl-PL"/>
        </w:rPr>
        <w:t xml:space="preserve">Brak </w:t>
      </w:r>
      <w:r w:rsidR="00A92FC5">
        <w:rPr>
          <w:rFonts w:eastAsia="Times New Roman"/>
          <w:lang w:val="pl-PL"/>
        </w:rPr>
        <w:t>nie</w:t>
      </w:r>
      <w:r w:rsidRPr="008F328C">
        <w:rPr>
          <w:rFonts w:eastAsia="Times New Roman"/>
          <w:lang w:val="pl-PL"/>
        </w:rPr>
        <w:t>klinicznych danych o wpływie adalimumabu na płodność.</w:t>
      </w:r>
    </w:p>
    <w:p w14:paraId="21D54D9C" w14:textId="77777777" w:rsidR="002E5800" w:rsidRPr="008F328C" w:rsidRDefault="002E5800">
      <w:pPr>
        <w:spacing w:before="18" w:line="240" w:lineRule="exact"/>
        <w:rPr>
          <w:rFonts w:ascii="Times New Roman" w:hAnsi="Times New Roman" w:cs="Times New Roman"/>
          <w:sz w:val="24"/>
          <w:szCs w:val="24"/>
          <w:lang w:val="pl-PL"/>
        </w:rPr>
      </w:pPr>
    </w:p>
    <w:p w14:paraId="0F0F30E4"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zdolność prowadzenia pojazdów i obsługiwania maszyn</w:t>
      </w:r>
    </w:p>
    <w:p w14:paraId="54D35ECA" w14:textId="77777777" w:rsidR="002E5800" w:rsidRPr="008F328C" w:rsidRDefault="002E5800">
      <w:pPr>
        <w:spacing w:before="12" w:line="240" w:lineRule="exact"/>
        <w:rPr>
          <w:rFonts w:ascii="Times New Roman" w:hAnsi="Times New Roman" w:cs="Times New Roman"/>
          <w:sz w:val="24"/>
          <w:szCs w:val="24"/>
          <w:lang w:val="pl-PL"/>
        </w:rPr>
      </w:pPr>
    </w:p>
    <w:p w14:paraId="4BE83B8E" w14:textId="77777777" w:rsidR="002E5800" w:rsidRPr="008F328C" w:rsidRDefault="000E0B7C">
      <w:pPr>
        <w:pStyle w:val="a3"/>
        <w:rPr>
          <w:lang w:val="pl-PL"/>
        </w:rPr>
      </w:pPr>
      <w:r w:rsidRPr="008F328C">
        <w:rPr>
          <w:rFonts w:eastAsia="Times New Roman"/>
          <w:lang w:val="pl-PL"/>
        </w:rPr>
        <w:t>Yuflyma może wywierać niewielki wpływ na zdolność prowadzenia pojazdów i obsługiwania maszyn. Po podaniu produktu Yuflyma wystąpić mogą zawroty głowy i pogorszenie widzenia (patrz punkt 4.8).</w:t>
      </w:r>
    </w:p>
    <w:p w14:paraId="27419E10" w14:textId="77777777" w:rsidR="002E5800" w:rsidRPr="008F328C" w:rsidRDefault="002E5800">
      <w:pPr>
        <w:spacing w:before="15" w:line="240" w:lineRule="exact"/>
        <w:rPr>
          <w:rFonts w:ascii="Times New Roman" w:hAnsi="Times New Roman" w:cs="Times New Roman"/>
          <w:sz w:val="24"/>
          <w:szCs w:val="24"/>
          <w:lang w:val="pl-PL"/>
        </w:rPr>
      </w:pPr>
    </w:p>
    <w:p w14:paraId="1B599FBC"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Działania niepożądane</w:t>
      </w:r>
    </w:p>
    <w:p w14:paraId="5851B38E" w14:textId="77777777" w:rsidR="002E5800" w:rsidRPr="008F328C" w:rsidRDefault="002E5800">
      <w:pPr>
        <w:spacing w:before="9" w:line="240" w:lineRule="exact"/>
        <w:rPr>
          <w:rFonts w:ascii="Times New Roman" w:hAnsi="Times New Roman" w:cs="Times New Roman"/>
          <w:sz w:val="24"/>
          <w:szCs w:val="24"/>
          <w:lang w:val="pl-PL"/>
        </w:rPr>
      </w:pPr>
    </w:p>
    <w:p w14:paraId="51623AA2" w14:textId="77777777" w:rsidR="002E5800" w:rsidRPr="008F328C" w:rsidRDefault="000E0B7C">
      <w:pPr>
        <w:pStyle w:val="a3"/>
        <w:rPr>
          <w:u w:val="single"/>
          <w:lang w:val="pl-PL"/>
        </w:rPr>
      </w:pPr>
      <w:r w:rsidRPr="008F328C">
        <w:rPr>
          <w:rFonts w:eastAsia="Times New Roman"/>
          <w:u w:val="single" w:color="000000"/>
          <w:lang w:val="pl-PL"/>
        </w:rPr>
        <w:t>Podsumowanie profilu bezpieczeństwa stosowania</w:t>
      </w:r>
    </w:p>
    <w:p w14:paraId="40702FD8" w14:textId="77777777" w:rsidR="002E5800" w:rsidRPr="008F328C" w:rsidRDefault="002E5800">
      <w:pPr>
        <w:spacing w:before="1" w:line="180" w:lineRule="exact"/>
        <w:rPr>
          <w:rFonts w:ascii="Times New Roman" w:hAnsi="Times New Roman" w:cs="Times New Roman"/>
          <w:sz w:val="18"/>
          <w:szCs w:val="18"/>
          <w:lang w:val="pl-PL"/>
        </w:rPr>
      </w:pPr>
    </w:p>
    <w:p w14:paraId="2AE846E3" w14:textId="77777777" w:rsidR="002E5800" w:rsidRPr="008F328C" w:rsidRDefault="000E0B7C">
      <w:pPr>
        <w:pStyle w:val="a3"/>
        <w:rPr>
          <w:lang w:val="pl-PL"/>
        </w:rPr>
      </w:pPr>
      <w:r w:rsidRPr="008F328C">
        <w:rPr>
          <w:rFonts w:eastAsia="Times New Roman"/>
          <w:lang w:val="pl-PL"/>
        </w:rPr>
        <w:t>Adalimumab badano u 9</w:t>
      </w:r>
      <w:r w:rsidR="009F012F" w:rsidRPr="008F328C">
        <w:rPr>
          <w:rFonts w:eastAsia="Times New Roman"/>
          <w:lang w:val="pl-PL"/>
        </w:rPr>
        <w:t> </w:t>
      </w:r>
      <w:r w:rsidRPr="008F328C">
        <w:rPr>
          <w:rFonts w:eastAsia="Times New Roman"/>
          <w:lang w:val="pl-PL"/>
        </w:rPr>
        <w:t>506 pacjentów w głównych, kontrolowanych i otwartych badaniach klinicznych przez okres do 60 miesięcy lub dłużej. W badaniach tych uczestniczyli pacjenci z reumatoidalnym zapaleniem stawów o krótkim i długim przebiegu choroby, młodzieńczym idiopatycznym zapaleniem stawów (wielostawowym młodzieńczym idiopatycznym zapaleniem stawów i zapaleniem stawów z towarzyszącym zapaleniem przyczepów ścięgnistych) oraz pacjenci z osiową spondyloartropatią (zesztywniającym zapaleniem stawów kręgosłupa i osiową spondyloartropatią bez zmian radiograficznych charakterystycznych dla zesztywniającego zapalenia stawów kręgosłupa), łuszczycowym zapaleniem stawów, chorobą Leśniowskiego-Crohna, wrzodziejącym zapaleniem jelita grubego, łuszczycą, ropnym zapaleniem apokrynowych gruczołów potowych oraz zapaleniem błony naczyniowej oka. W głównych kontrolowanych badaniach klinicznych brało udział 6</w:t>
      </w:r>
      <w:r w:rsidR="009F012F" w:rsidRPr="008F328C">
        <w:rPr>
          <w:rFonts w:eastAsia="Times New Roman"/>
          <w:lang w:val="pl-PL"/>
        </w:rPr>
        <w:t> </w:t>
      </w:r>
      <w:r w:rsidRPr="008F328C">
        <w:rPr>
          <w:rFonts w:eastAsia="Times New Roman"/>
          <w:lang w:val="pl-PL"/>
        </w:rPr>
        <w:t>089 pacjentów otrzymujących adalimumab oraz 3</w:t>
      </w:r>
      <w:r w:rsidR="009F012F" w:rsidRPr="008F328C">
        <w:rPr>
          <w:rFonts w:eastAsia="Times New Roman"/>
          <w:lang w:val="pl-PL"/>
        </w:rPr>
        <w:t> </w:t>
      </w:r>
      <w:r w:rsidRPr="008F328C">
        <w:rPr>
          <w:rFonts w:eastAsia="Times New Roman"/>
          <w:lang w:val="pl-PL"/>
        </w:rPr>
        <w:t>801 pacjentów otrzymujących placebo lub czynną substancję porównawczą w okresie prowadzenia badania kontrolowanego.</w:t>
      </w:r>
    </w:p>
    <w:p w14:paraId="2BF44F01" w14:textId="77777777" w:rsidR="002E5800" w:rsidRPr="008F328C" w:rsidRDefault="002E5800">
      <w:pPr>
        <w:spacing w:before="13" w:line="240" w:lineRule="exact"/>
        <w:rPr>
          <w:rFonts w:ascii="Times New Roman" w:hAnsi="Times New Roman" w:cs="Times New Roman"/>
          <w:sz w:val="24"/>
          <w:szCs w:val="24"/>
          <w:lang w:val="pl-PL"/>
        </w:rPr>
      </w:pPr>
    </w:p>
    <w:p w14:paraId="5687995A" w14:textId="77777777" w:rsidR="002E5800" w:rsidRPr="008F328C" w:rsidRDefault="000E0B7C">
      <w:pPr>
        <w:pStyle w:val="a3"/>
        <w:rPr>
          <w:lang w:val="pl-PL"/>
        </w:rPr>
      </w:pPr>
      <w:r w:rsidRPr="008F328C">
        <w:rPr>
          <w:rFonts w:eastAsia="Times New Roman"/>
          <w:lang w:val="pl-PL"/>
        </w:rPr>
        <w:t>Odsetek pacjentów, którzy przerwali leczenie z powodu zdarzeń niepożądanych w głównych badaniach prowadzonych metodą podwójnie ślepej próby z udziałem grup kontrolnych wynosił 5,9% dla pacjentów przyjmujących adalimumab i 5,4% dla pacjentów z grup kontrolnych.</w:t>
      </w:r>
    </w:p>
    <w:p w14:paraId="2B12F02E" w14:textId="77777777" w:rsidR="002E5800" w:rsidRPr="008F328C" w:rsidRDefault="002E5800">
      <w:pPr>
        <w:spacing w:before="17" w:line="240" w:lineRule="exact"/>
        <w:rPr>
          <w:rFonts w:ascii="Times New Roman" w:hAnsi="Times New Roman" w:cs="Times New Roman"/>
          <w:sz w:val="24"/>
          <w:szCs w:val="24"/>
          <w:lang w:val="pl-PL"/>
        </w:rPr>
      </w:pPr>
    </w:p>
    <w:p w14:paraId="1094F06D" w14:textId="77777777" w:rsidR="002E5800" w:rsidRPr="008F328C" w:rsidRDefault="000E0B7C">
      <w:pPr>
        <w:pStyle w:val="a3"/>
        <w:rPr>
          <w:lang w:val="pl-PL"/>
        </w:rPr>
      </w:pPr>
      <w:r w:rsidRPr="008F328C">
        <w:rPr>
          <w:rFonts w:eastAsia="Times New Roman"/>
          <w:lang w:val="pl-PL"/>
        </w:rPr>
        <w:t>Najczęściej zgłaszanymi działaniami niepożądanymi są zakażenia (takie jak zapalenie części nosowej gardła, zakażenie górnych dróg oddechowych i zapalenie zatok), odczyny w miejscu wstrzyknięcia (rumień, świąd, krwotok, ból lub obrzęk), bóle głowy i bóle mięśniowo-szkieletowe.</w:t>
      </w:r>
    </w:p>
    <w:p w14:paraId="3CD845A9" w14:textId="77777777" w:rsidR="002E5800" w:rsidRPr="008F328C" w:rsidRDefault="002E5800">
      <w:pPr>
        <w:pStyle w:val="a3"/>
        <w:rPr>
          <w:lang w:val="pl-PL"/>
        </w:rPr>
      </w:pPr>
    </w:p>
    <w:p w14:paraId="4FF549D9" w14:textId="77777777" w:rsidR="002E5800" w:rsidRPr="008F328C" w:rsidRDefault="000E0B7C">
      <w:pPr>
        <w:pStyle w:val="a3"/>
        <w:rPr>
          <w:lang w:val="pl-PL"/>
        </w:rPr>
      </w:pPr>
      <w:r w:rsidRPr="008F328C">
        <w:rPr>
          <w:rFonts w:eastAsia="Times New Roman"/>
          <w:lang w:val="pl-PL"/>
        </w:rPr>
        <w:t>Informowano o ciężkich działaniach niepożądanych adalimumabu. Leki z grupy antagonistów TNF, takie jak adalimumab, działają na układ immunologiczny i ich stosowanie może wpływać na mechanizmy obronne organizmu skierowane przeciw zakażeniom i nowotworom złośliwym.</w:t>
      </w:r>
    </w:p>
    <w:p w14:paraId="101EE16D" w14:textId="77777777" w:rsidR="002E5800" w:rsidRPr="008F328C" w:rsidRDefault="000E0B7C">
      <w:pPr>
        <w:pStyle w:val="a3"/>
        <w:rPr>
          <w:lang w:val="pl-PL"/>
        </w:rPr>
      </w:pPr>
      <w:r w:rsidRPr="008F328C">
        <w:rPr>
          <w:rFonts w:eastAsia="Times New Roman"/>
          <w:lang w:val="pl-PL"/>
        </w:rPr>
        <w:t>W związku ze stosowaniem adalimumabu, informowano również o powodujących zgon i zagrażających życiu zakażeniach (w tym posocznicy, zakażeniach oportunistycznych i gruźlicy), reaktywacji wirusowego zapalenia wątroby typu B i rozmaitych nowotworach złośliwych (w tym białaczce, chłoniaku i chłoniaku T-komórkowym wątrobowo-śledzionowym).</w:t>
      </w:r>
    </w:p>
    <w:p w14:paraId="0BBAD30A" w14:textId="77777777" w:rsidR="002E5800" w:rsidRPr="008F328C" w:rsidRDefault="002E5800">
      <w:pPr>
        <w:spacing w:before="17" w:line="240" w:lineRule="exact"/>
        <w:rPr>
          <w:rFonts w:ascii="Times New Roman" w:hAnsi="Times New Roman" w:cs="Times New Roman"/>
          <w:sz w:val="24"/>
          <w:szCs w:val="24"/>
          <w:lang w:val="pl-PL"/>
        </w:rPr>
      </w:pPr>
    </w:p>
    <w:p w14:paraId="193EE234" w14:textId="77777777" w:rsidR="002E5800" w:rsidRPr="008F328C" w:rsidRDefault="000E0B7C">
      <w:pPr>
        <w:pStyle w:val="a3"/>
        <w:rPr>
          <w:lang w:val="pl-PL"/>
        </w:rPr>
      </w:pPr>
      <w:r w:rsidRPr="008F328C">
        <w:rPr>
          <w:rFonts w:eastAsia="Times New Roman"/>
          <w:lang w:val="pl-PL"/>
        </w:rPr>
        <w:t>Informowano również o ciężkich zaburzeniach hematologicznych, neurologicznych i autoimmunologicznych. Zalicza się do nich rzadkie doniesienia o pancytopenii, niedokrwistości aplastycznej, zaburzeniach demielinizacyjnych ośrodkowego i obwodowego układu nerwowego oraz zgłaszane przypadki tocznia, zespołu toczniopodobnego i zespołu Stevensa-Johnsona.</w:t>
      </w:r>
    </w:p>
    <w:p w14:paraId="1C78A7E1" w14:textId="77777777" w:rsidR="002E5800" w:rsidRPr="008F328C" w:rsidRDefault="002E5800">
      <w:pPr>
        <w:spacing w:before="11" w:line="240" w:lineRule="exact"/>
        <w:rPr>
          <w:rFonts w:ascii="Times New Roman" w:hAnsi="Times New Roman" w:cs="Times New Roman"/>
          <w:sz w:val="24"/>
          <w:szCs w:val="24"/>
          <w:lang w:val="pl-PL"/>
        </w:rPr>
      </w:pPr>
    </w:p>
    <w:p w14:paraId="5BCD250C" w14:textId="77777777" w:rsidR="002E5800" w:rsidRPr="008F328C" w:rsidRDefault="000E0B7C">
      <w:pPr>
        <w:pStyle w:val="a3"/>
        <w:rPr>
          <w:u w:val="single"/>
          <w:lang w:val="pl-PL"/>
        </w:rPr>
      </w:pPr>
      <w:r w:rsidRPr="008F328C">
        <w:rPr>
          <w:rFonts w:eastAsia="Times New Roman"/>
          <w:u w:val="single" w:color="000000"/>
          <w:lang w:val="pl-PL"/>
        </w:rPr>
        <w:t>Dzieci i młodzież</w:t>
      </w:r>
    </w:p>
    <w:p w14:paraId="6813340B" w14:textId="77777777" w:rsidR="002E5800" w:rsidRPr="008F328C" w:rsidRDefault="002E5800">
      <w:pPr>
        <w:spacing w:before="1" w:line="180" w:lineRule="exact"/>
        <w:rPr>
          <w:rFonts w:ascii="Times New Roman" w:hAnsi="Times New Roman" w:cs="Times New Roman"/>
          <w:sz w:val="18"/>
          <w:szCs w:val="18"/>
          <w:lang w:val="pl-PL"/>
        </w:rPr>
      </w:pPr>
    </w:p>
    <w:p w14:paraId="43C07F69" w14:textId="77777777" w:rsidR="002E5800" w:rsidRPr="008F328C" w:rsidRDefault="000E0B7C">
      <w:pPr>
        <w:pStyle w:val="a3"/>
        <w:rPr>
          <w:lang w:val="pl-PL"/>
        </w:rPr>
      </w:pPr>
      <w:r w:rsidRPr="008F328C">
        <w:rPr>
          <w:rFonts w:eastAsia="Times New Roman"/>
          <w:lang w:val="pl-PL"/>
        </w:rPr>
        <w:t>Na ogół, częstość występowania i typ działań niepożądanych u dzieci i młodzieży były podobne do obserwowanych u dorosłych pacjentów.</w:t>
      </w:r>
    </w:p>
    <w:p w14:paraId="4AE4AAD2" w14:textId="77777777" w:rsidR="002E5800" w:rsidRPr="008F328C" w:rsidRDefault="002E5800">
      <w:pPr>
        <w:spacing w:before="11" w:line="240" w:lineRule="exact"/>
        <w:rPr>
          <w:rFonts w:ascii="Times New Roman" w:hAnsi="Times New Roman" w:cs="Times New Roman"/>
          <w:sz w:val="24"/>
          <w:szCs w:val="24"/>
          <w:lang w:val="pl-PL"/>
        </w:rPr>
      </w:pPr>
    </w:p>
    <w:p w14:paraId="417A25A9" w14:textId="77777777" w:rsidR="002E5800" w:rsidRPr="008F328C" w:rsidRDefault="000E0B7C">
      <w:pPr>
        <w:pStyle w:val="a3"/>
        <w:rPr>
          <w:u w:val="single"/>
          <w:lang w:val="pl-PL"/>
        </w:rPr>
      </w:pPr>
      <w:r w:rsidRPr="008F328C">
        <w:rPr>
          <w:rFonts w:eastAsia="Times New Roman"/>
          <w:u w:val="single" w:color="000000"/>
          <w:lang w:val="pl-PL"/>
        </w:rPr>
        <w:t>Tabelaryczne zestawienie działań niepożądanych</w:t>
      </w:r>
    </w:p>
    <w:p w14:paraId="0603A967" w14:textId="77777777" w:rsidR="002E5800" w:rsidRPr="008F328C" w:rsidRDefault="002E5800">
      <w:pPr>
        <w:spacing w:before="1" w:line="180" w:lineRule="exact"/>
        <w:rPr>
          <w:rFonts w:ascii="Times New Roman" w:hAnsi="Times New Roman" w:cs="Times New Roman"/>
          <w:sz w:val="18"/>
          <w:szCs w:val="18"/>
          <w:lang w:val="pl-PL"/>
        </w:rPr>
      </w:pPr>
    </w:p>
    <w:p w14:paraId="55868233" w14:textId="015B0EE1" w:rsidR="002E5800" w:rsidRPr="008F328C" w:rsidRDefault="000E0B7C">
      <w:pPr>
        <w:pStyle w:val="a3"/>
        <w:rPr>
          <w:lang w:val="pl-PL"/>
        </w:rPr>
      </w:pPr>
      <w:r w:rsidRPr="008F328C">
        <w:rPr>
          <w:rFonts w:eastAsia="Times New Roman"/>
          <w:lang w:val="pl-PL"/>
        </w:rPr>
        <w:lastRenderedPageBreak/>
        <w:t xml:space="preserve">Poniższy wykaz działań niepożądanych ustalono na podstawie danych uzyskanych w badaniach klinicznych i po wprowadzeniu leku do obrotu. W Tabeli </w:t>
      </w:r>
      <w:r w:rsidR="00A02771" w:rsidRPr="008F328C">
        <w:rPr>
          <w:rFonts w:eastAsia="Times New Roman"/>
          <w:lang w:val="pl-PL"/>
        </w:rPr>
        <w:t xml:space="preserve">7 </w:t>
      </w:r>
      <w:r w:rsidRPr="008F328C">
        <w:rPr>
          <w:rFonts w:eastAsia="Times New Roman"/>
          <w:lang w:val="pl-PL"/>
        </w:rPr>
        <w:t xml:space="preserve">poniżej, działania niepożądane uszeregowano według klasyfikacji układów i narządów oraz częstości występowania w następujący sposób: bardzo często </w:t>
      </w:r>
    </w:p>
    <w:p w14:paraId="243DB7B2" w14:textId="77777777" w:rsidR="002E5800" w:rsidRPr="008F328C" w:rsidRDefault="000E0B7C">
      <w:pPr>
        <w:pStyle w:val="a3"/>
        <w:rPr>
          <w:lang w:val="pl-PL"/>
        </w:rPr>
      </w:pPr>
      <w:r w:rsidRPr="008F328C">
        <w:rPr>
          <w:rFonts w:eastAsia="Times New Roman"/>
          <w:lang w:val="pl-PL"/>
        </w:rPr>
        <w:t>(</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 do 1/10); niezbyt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1/1000 do 1/100); rzadko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1/10 000 do 1/1000); (≥ 1/10) i częstość nieznana (nie może być określona na podstawie dostępnych danych). W obrębie każdej grupy o określonej częstości występowania, działania niepożądane są wymienione zgodnie ze zmniejszającym się nasileniem. Wymieniono działania występujące z największą częstością w różnych wskazaniach. Gwiazdka (*) w kolumnie Klasyfikacja układów i narządów oznacza, że w punktach 4.3, 4.4 i 4.8 podano dodatkowe informacje.</w:t>
      </w:r>
    </w:p>
    <w:p w14:paraId="0336739D" w14:textId="77777777" w:rsidR="002E5800" w:rsidRPr="008F328C" w:rsidRDefault="002E5800">
      <w:pPr>
        <w:spacing w:before="15" w:line="240" w:lineRule="exact"/>
        <w:rPr>
          <w:rFonts w:ascii="Times New Roman" w:hAnsi="Times New Roman" w:cs="Times New Roman"/>
          <w:sz w:val="24"/>
          <w:szCs w:val="24"/>
          <w:lang w:val="pl-PL"/>
        </w:rPr>
      </w:pPr>
    </w:p>
    <w:p w14:paraId="5AFE131E" w14:textId="1D5671A2" w:rsidR="002E5800" w:rsidRPr="008F328C" w:rsidRDefault="000E0B7C">
      <w:pPr>
        <w:pStyle w:val="a3"/>
        <w:jc w:val="center"/>
        <w:rPr>
          <w:b/>
          <w:lang w:val="pl-PL"/>
        </w:rPr>
      </w:pPr>
      <w:r w:rsidRPr="008F328C">
        <w:rPr>
          <w:rFonts w:eastAsia="Times New Roman"/>
          <w:b/>
          <w:bCs/>
          <w:lang w:val="pl-PL"/>
        </w:rPr>
        <w:t xml:space="preserve">Tabela </w:t>
      </w:r>
      <w:r w:rsidR="00A02771" w:rsidRPr="008F328C">
        <w:rPr>
          <w:rFonts w:eastAsia="Times New Roman"/>
          <w:b/>
          <w:bCs/>
          <w:lang w:val="pl-PL"/>
        </w:rPr>
        <w:t xml:space="preserve">7 </w:t>
      </w:r>
      <w:r w:rsidRPr="008F328C">
        <w:rPr>
          <w:rFonts w:eastAsia="Times New Roman"/>
          <w:b/>
          <w:bCs/>
          <w:lang w:val="pl-PL"/>
        </w:rPr>
        <w:t>Działania niepożądane</w:t>
      </w:r>
    </w:p>
    <w:p w14:paraId="603051DF"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110" w:type="dxa"/>
        <w:tblLook w:val="01E0" w:firstRow="1" w:lastRow="1" w:firstColumn="1" w:lastColumn="1" w:noHBand="0" w:noVBand="0"/>
      </w:tblPr>
      <w:tblGrid>
        <w:gridCol w:w="2556"/>
        <w:gridCol w:w="2031"/>
        <w:gridCol w:w="4695"/>
      </w:tblGrid>
      <w:tr w:rsidR="002E5800" w:rsidRPr="008F328C" w14:paraId="5710F1EC" w14:textId="77777777" w:rsidTr="00C90BC8">
        <w:tc>
          <w:tcPr>
            <w:tcW w:w="2599" w:type="dxa"/>
            <w:tcBorders>
              <w:top w:val="single" w:sz="5" w:space="0" w:color="000000"/>
              <w:left w:val="single" w:sz="5" w:space="0" w:color="000000"/>
              <w:bottom w:val="single" w:sz="5" w:space="0" w:color="000000"/>
              <w:right w:val="single" w:sz="5" w:space="0" w:color="000000"/>
            </w:tcBorders>
          </w:tcPr>
          <w:p w14:paraId="7BCAB31A" w14:textId="77777777" w:rsidR="002E5800" w:rsidRPr="008F328C" w:rsidRDefault="000E0B7C" w:rsidP="00012556">
            <w:pPr>
              <w:pStyle w:val="TableParagraph"/>
              <w:ind w:left="109"/>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Klasyfikacja układów i narządów</w:t>
            </w:r>
          </w:p>
        </w:tc>
        <w:tc>
          <w:tcPr>
            <w:tcW w:w="2076" w:type="dxa"/>
            <w:tcBorders>
              <w:top w:val="single" w:sz="5" w:space="0" w:color="000000"/>
              <w:left w:val="single" w:sz="5" w:space="0" w:color="000000"/>
              <w:bottom w:val="single" w:sz="5" w:space="0" w:color="000000"/>
              <w:right w:val="single" w:sz="5" w:space="0" w:color="000000"/>
            </w:tcBorders>
          </w:tcPr>
          <w:p w14:paraId="580D289E" w14:textId="77777777" w:rsidR="002E5800" w:rsidRPr="008F328C" w:rsidRDefault="000E0B7C" w:rsidP="00012556">
            <w:pPr>
              <w:pStyle w:val="TableParagraph"/>
              <w:ind w:left="529"/>
              <w:rPr>
                <w:rFonts w:ascii="Times New Roman" w:eastAsia="Times New Roman" w:hAnsi="Times New Roman" w:cs="Times New Roman"/>
                <w:lang w:val="pl-PL"/>
              </w:rPr>
            </w:pPr>
            <w:r w:rsidRPr="008F328C">
              <w:rPr>
                <w:rFonts w:ascii="Times New Roman" w:eastAsia="Times New Roman" w:hAnsi="Times New Roman" w:cs="Times New Roman"/>
                <w:b/>
                <w:bCs/>
                <w:lang w:val="pl-PL"/>
              </w:rPr>
              <w:t>Częstość</w:t>
            </w:r>
          </w:p>
        </w:tc>
        <w:tc>
          <w:tcPr>
            <w:tcW w:w="4695" w:type="dxa"/>
            <w:tcBorders>
              <w:top w:val="single" w:sz="5" w:space="0" w:color="000000"/>
              <w:left w:val="single" w:sz="5" w:space="0" w:color="000000"/>
              <w:bottom w:val="single" w:sz="5" w:space="0" w:color="000000"/>
              <w:right w:val="single" w:sz="5" w:space="0" w:color="000000"/>
            </w:tcBorders>
          </w:tcPr>
          <w:p w14:paraId="180A1D40" w14:textId="77777777" w:rsidR="002E5800" w:rsidRPr="008F328C" w:rsidRDefault="000E0B7C" w:rsidP="00012556">
            <w:pPr>
              <w:pStyle w:val="TableParagraph"/>
              <w:ind w:left="145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Działanie niepożądane</w:t>
            </w:r>
          </w:p>
        </w:tc>
      </w:tr>
      <w:tr w:rsidR="002E5800" w:rsidRPr="006D3555" w14:paraId="2DB40942" w14:textId="77777777" w:rsidTr="00012556">
        <w:tc>
          <w:tcPr>
            <w:tcW w:w="2599" w:type="dxa"/>
            <w:vMerge w:val="restart"/>
            <w:tcBorders>
              <w:top w:val="single" w:sz="5" w:space="0" w:color="000000"/>
              <w:left w:val="single" w:sz="5" w:space="0" w:color="000000"/>
              <w:right w:val="single" w:sz="5" w:space="0" w:color="000000"/>
            </w:tcBorders>
          </w:tcPr>
          <w:p w14:paraId="401DC420" w14:textId="77777777" w:rsidR="002E5800" w:rsidRPr="008F328C" w:rsidRDefault="000E0B7C" w:rsidP="00012556">
            <w:pPr>
              <w:pStyle w:val="TableParagraph"/>
              <w:ind w:left="102" w:right="15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i zarażenia pasożytnicze*</w:t>
            </w:r>
          </w:p>
        </w:tc>
        <w:tc>
          <w:tcPr>
            <w:tcW w:w="2076" w:type="dxa"/>
            <w:tcBorders>
              <w:top w:val="single" w:sz="5" w:space="0" w:color="000000"/>
              <w:left w:val="single" w:sz="5" w:space="0" w:color="000000"/>
              <w:bottom w:val="single" w:sz="5" w:space="0" w:color="000000"/>
              <w:right w:val="single" w:sz="5" w:space="0" w:color="000000"/>
            </w:tcBorders>
          </w:tcPr>
          <w:p w14:paraId="50F9CDD9"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1A5AEFF3"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dróg oddechowych (w tym zakażenia dolnych i górnych dróg oddechowych, zapalenie płuc, zapalenie zatok, zapalenie gardła, zapalenie części nosowej gardła i zapalenie płuc wywołane przez wirusa opryszczki)</w:t>
            </w:r>
          </w:p>
        </w:tc>
      </w:tr>
      <w:tr w:rsidR="002E5800" w:rsidRPr="006D3555" w14:paraId="3DF7B16E" w14:textId="77777777" w:rsidTr="00012556">
        <w:tc>
          <w:tcPr>
            <w:tcW w:w="2599" w:type="dxa"/>
            <w:vMerge/>
            <w:tcBorders>
              <w:left w:val="single" w:sz="5" w:space="0" w:color="000000"/>
              <w:right w:val="single" w:sz="5" w:space="0" w:color="000000"/>
            </w:tcBorders>
          </w:tcPr>
          <w:p w14:paraId="6ED3E37E"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1CB53A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05529AE"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układowe (w tym posocznica, drożdżyca i grypa),</w:t>
            </w:r>
          </w:p>
          <w:p w14:paraId="5E2C9CED" w14:textId="77777777" w:rsidR="002E5800" w:rsidRPr="008F328C" w:rsidRDefault="000E0B7C" w:rsidP="00012556">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jelitowe (w tym wirusowe zapalenie żołądka i jelit),</w:t>
            </w:r>
          </w:p>
          <w:p w14:paraId="6DC8DBFC" w14:textId="1852078E"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skóry i tkanek miękkich (w tym</w:t>
            </w:r>
            <w:r w:rsidR="00012556"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zanokcica, zapalenie tkanki łącznej, liszajec, martwicze zapalenie powięzi i półpasiec),</w:t>
            </w:r>
          </w:p>
          <w:p w14:paraId="4DAC4543"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ucha,</w:t>
            </w:r>
          </w:p>
          <w:p w14:paraId="64E9F8C6"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w obrębie jamy ustnej (w tym zakażenie wirusem opryszczki pospolitej, opryszczka wargowa i zakażenia zębów),</w:t>
            </w:r>
          </w:p>
          <w:p w14:paraId="4C0EDEBE" w14:textId="269FA30D" w:rsidR="009804FA"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zakażenia dróg rodnych (w tym</w:t>
            </w:r>
            <w:r w:rsidR="009804FA"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zakażenie grzybicze sromu i pochwy), </w:t>
            </w:r>
          </w:p>
          <w:p w14:paraId="7183FF4E" w14:textId="77777777" w:rsidR="009804FA"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dróg moczowych (w tym odmiedniczkowe zapalenie nerek), </w:t>
            </w:r>
          </w:p>
          <w:p w14:paraId="6FE63CD5" w14:textId="77777777" w:rsidR="009804FA"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zakażenia grzybicze, </w:t>
            </w:r>
          </w:p>
          <w:p w14:paraId="6EB8ADFD"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zakażenia stawów</w:t>
            </w:r>
          </w:p>
        </w:tc>
      </w:tr>
      <w:tr w:rsidR="002E5800" w:rsidRPr="006D3555" w14:paraId="0F471010" w14:textId="77777777" w:rsidTr="00012556">
        <w:tc>
          <w:tcPr>
            <w:tcW w:w="2599" w:type="dxa"/>
            <w:vMerge/>
            <w:tcBorders>
              <w:left w:val="single" w:sz="5" w:space="0" w:color="000000"/>
              <w:bottom w:val="single" w:sz="5" w:space="0" w:color="000000"/>
              <w:right w:val="single" w:sz="5" w:space="0" w:color="000000"/>
            </w:tcBorders>
          </w:tcPr>
          <w:p w14:paraId="625E9FCD"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3256951"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D462D35"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układu nerwowego (w tym wirusowe</w:t>
            </w:r>
          </w:p>
          <w:p w14:paraId="7841097E"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zapalenie opon mózgowych),</w:t>
            </w:r>
          </w:p>
          <w:p w14:paraId="666851DE" w14:textId="77777777" w:rsidR="00012556" w:rsidRPr="008F328C" w:rsidRDefault="000E0B7C" w:rsidP="00012556">
            <w:pPr>
              <w:pStyle w:val="TableParagraph"/>
              <w:ind w:left="99" w:right="235"/>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oportunistyczne i gruźlica (w tym kokcydioidomykoza, histoplazmoza i zakażenie Mycobacterium avium complex), </w:t>
            </w:r>
          </w:p>
          <w:p w14:paraId="72160C4C" w14:textId="294C1257" w:rsidR="002E5800" w:rsidRPr="008F328C" w:rsidRDefault="000E0B7C" w:rsidP="00012556">
            <w:pPr>
              <w:pStyle w:val="TableParagraph"/>
              <w:ind w:left="99" w:right="23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bakteryjne,</w:t>
            </w:r>
          </w:p>
          <w:p w14:paraId="52E2C49B" w14:textId="77777777" w:rsidR="009804FA" w:rsidRPr="008F328C" w:rsidRDefault="000E0B7C" w:rsidP="00012556">
            <w:pPr>
              <w:pStyle w:val="TableParagraph"/>
              <w:ind w:left="99" w:right="199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oka, </w:t>
            </w:r>
          </w:p>
          <w:p w14:paraId="609D5808" w14:textId="77777777" w:rsidR="002E5800" w:rsidRPr="008F328C" w:rsidRDefault="000E0B7C" w:rsidP="00012556">
            <w:pPr>
              <w:pStyle w:val="TableParagraph"/>
              <w:ind w:left="99" w:right="199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uchyłków</w:t>
            </w:r>
            <w:r w:rsidRPr="008F328C">
              <w:rPr>
                <w:rFonts w:ascii="Times New Roman" w:eastAsia="Times New Roman" w:hAnsi="Times New Roman" w:cs="Times New Roman"/>
                <w:spacing w:val="-1"/>
                <w:vertAlign w:val="superscript"/>
                <w:lang w:val="pl-PL"/>
              </w:rPr>
              <w:t>1)</w:t>
            </w:r>
          </w:p>
        </w:tc>
      </w:tr>
      <w:tr w:rsidR="002E5800" w:rsidRPr="008F328C" w14:paraId="16BB14DB" w14:textId="77777777" w:rsidTr="00012556">
        <w:tc>
          <w:tcPr>
            <w:tcW w:w="2599" w:type="dxa"/>
            <w:vMerge w:val="restart"/>
            <w:tcBorders>
              <w:top w:val="single" w:sz="5" w:space="0" w:color="000000"/>
              <w:left w:val="single" w:sz="5" w:space="0" w:color="000000"/>
              <w:right w:val="single" w:sz="5" w:space="0" w:color="000000"/>
            </w:tcBorders>
          </w:tcPr>
          <w:p w14:paraId="343FF188" w14:textId="77777777" w:rsidR="002E5800" w:rsidRPr="008F328C" w:rsidRDefault="000E0B7C" w:rsidP="00012556">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Nowotwory łagodne, złośliwe i nieokreślone (w tym torbiele i polipy)*</w:t>
            </w:r>
          </w:p>
        </w:tc>
        <w:tc>
          <w:tcPr>
            <w:tcW w:w="2076" w:type="dxa"/>
            <w:tcBorders>
              <w:top w:val="single" w:sz="5" w:space="0" w:color="000000"/>
              <w:left w:val="single" w:sz="5" w:space="0" w:color="000000"/>
              <w:bottom w:val="single" w:sz="5" w:space="0" w:color="000000"/>
              <w:right w:val="single" w:sz="5" w:space="0" w:color="000000"/>
            </w:tcBorders>
          </w:tcPr>
          <w:p w14:paraId="1421BF55"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DB5D9F2" w14:textId="77777777" w:rsidR="002E5800" w:rsidRPr="008F328C" w:rsidRDefault="000E0B7C" w:rsidP="00012556">
            <w:pPr>
              <w:pStyle w:val="TableParagraph"/>
              <w:ind w:left="99" w:right="18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Rak skóry z wyjątkiem czerniaka (w tym rak podstawnokomórkowy i rak płaskonabłonkowy),</w:t>
            </w:r>
          </w:p>
          <w:p w14:paraId="74771059"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łagodny</w:t>
            </w:r>
          </w:p>
        </w:tc>
      </w:tr>
      <w:tr w:rsidR="002E5800" w:rsidRPr="008F328C" w14:paraId="75DB3A13" w14:textId="77777777" w:rsidTr="00012556">
        <w:tc>
          <w:tcPr>
            <w:tcW w:w="2599" w:type="dxa"/>
            <w:vMerge/>
            <w:tcBorders>
              <w:left w:val="single" w:sz="5" w:space="0" w:color="000000"/>
              <w:right w:val="single" w:sz="5" w:space="0" w:color="000000"/>
            </w:tcBorders>
          </w:tcPr>
          <w:p w14:paraId="221BC60A"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E89351E"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0C77E5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Chłoniak**,</w:t>
            </w:r>
          </w:p>
          <w:p w14:paraId="5045A8AA" w14:textId="77777777" w:rsidR="002E5800" w:rsidRPr="008F328C" w:rsidRDefault="000E0B7C" w:rsidP="00012556">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narządów litych (w tym rak piersi, rak płuc i rak gruczołu tarczowego),</w:t>
            </w:r>
          </w:p>
          <w:p w14:paraId="1B64674A"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czerniak**</w:t>
            </w:r>
          </w:p>
        </w:tc>
      </w:tr>
      <w:tr w:rsidR="002E5800" w:rsidRPr="008F328C" w14:paraId="14212CE5" w14:textId="77777777" w:rsidTr="00012556">
        <w:tc>
          <w:tcPr>
            <w:tcW w:w="2599" w:type="dxa"/>
            <w:vMerge/>
            <w:tcBorders>
              <w:left w:val="single" w:sz="5" w:space="0" w:color="000000"/>
              <w:right w:val="single" w:sz="5" w:space="0" w:color="000000"/>
            </w:tcBorders>
          </w:tcPr>
          <w:p w14:paraId="764FF3F1"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44E6D4B"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7FC3C31D"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Białaczka</w:t>
            </w:r>
            <w:r w:rsidRPr="008F328C">
              <w:rPr>
                <w:rFonts w:ascii="Times New Roman" w:eastAsia="Times New Roman" w:hAnsi="Times New Roman" w:cs="Times New Roman"/>
                <w:spacing w:val="-1"/>
                <w:vertAlign w:val="superscript"/>
                <w:lang w:val="pl-PL"/>
              </w:rPr>
              <w:t>1)</w:t>
            </w:r>
          </w:p>
        </w:tc>
      </w:tr>
      <w:tr w:rsidR="002E5800" w:rsidRPr="008F328C" w14:paraId="065CFED2" w14:textId="77777777" w:rsidTr="00012556">
        <w:tc>
          <w:tcPr>
            <w:tcW w:w="2599" w:type="dxa"/>
            <w:vMerge/>
            <w:tcBorders>
              <w:left w:val="single" w:sz="5" w:space="0" w:color="000000"/>
              <w:bottom w:val="single" w:sz="5" w:space="0" w:color="000000"/>
              <w:right w:val="single" w:sz="5" w:space="0" w:color="000000"/>
            </w:tcBorders>
          </w:tcPr>
          <w:p w14:paraId="57C3FC52"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4B3B94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4DD8547A" w14:textId="77777777" w:rsidR="002E5800" w:rsidRPr="008F328C" w:rsidRDefault="000E0B7C" w:rsidP="00012556">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Chłoniak T-komórkowy wątrobowo-śledzionowy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7F2DAB2D" w14:textId="1DF89E4E" w:rsidR="002E5800" w:rsidRPr="008F328C" w:rsidRDefault="000E0B7C" w:rsidP="00012556">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rak z komórek Merkla (neuroendokrynny nowotwór złośliwy skóry)</w:t>
            </w:r>
            <w:r w:rsidRPr="008F328C">
              <w:rPr>
                <w:rFonts w:ascii="Times New Roman" w:eastAsia="Times New Roman" w:hAnsi="Times New Roman" w:cs="Times New Roman"/>
                <w:spacing w:val="-1"/>
                <w:vertAlign w:val="superscript"/>
                <w:lang w:val="pl-PL"/>
              </w:rPr>
              <w:t>1)</w:t>
            </w:r>
            <w:r w:rsidR="00012556" w:rsidRPr="008F328C">
              <w:rPr>
                <w:rFonts w:ascii="Times New Roman" w:eastAsia="Times New Roman" w:hAnsi="Times New Roman" w:cs="Times New Roman"/>
                <w:spacing w:val="-1"/>
                <w:lang w:val="pl-PL"/>
              </w:rPr>
              <w:t>,</w:t>
            </w:r>
          </w:p>
          <w:p w14:paraId="160CDBE8" w14:textId="553F01FD" w:rsidR="002E5800" w:rsidRPr="008F328C" w:rsidRDefault="009804FA" w:rsidP="00012556">
            <w:pPr>
              <w:pStyle w:val="TableParagraph"/>
              <w:ind w:left="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mięsak </w:t>
            </w:r>
            <w:r w:rsidR="000E0B7C" w:rsidRPr="008F328C">
              <w:rPr>
                <w:rFonts w:ascii="Times New Roman" w:eastAsia="Times New Roman" w:hAnsi="Times New Roman" w:cs="Times New Roman"/>
                <w:spacing w:val="-1"/>
                <w:lang w:val="pl-PL"/>
              </w:rPr>
              <w:t xml:space="preserve">Kaposiego </w:t>
            </w:r>
          </w:p>
        </w:tc>
      </w:tr>
      <w:tr w:rsidR="002E5800" w:rsidRPr="008F328C" w14:paraId="71F5FA98" w14:textId="77777777" w:rsidTr="00012556">
        <w:tc>
          <w:tcPr>
            <w:tcW w:w="2599" w:type="dxa"/>
            <w:vMerge w:val="restart"/>
            <w:tcBorders>
              <w:top w:val="single" w:sz="5" w:space="0" w:color="000000"/>
              <w:left w:val="single" w:sz="5" w:space="0" w:color="000000"/>
              <w:right w:val="single" w:sz="5" w:space="0" w:color="000000"/>
            </w:tcBorders>
          </w:tcPr>
          <w:p w14:paraId="38A85FD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krwi i układu chłonnego*</w:t>
            </w:r>
          </w:p>
        </w:tc>
        <w:tc>
          <w:tcPr>
            <w:tcW w:w="2076" w:type="dxa"/>
            <w:tcBorders>
              <w:top w:val="single" w:sz="5" w:space="0" w:color="000000"/>
              <w:left w:val="single" w:sz="5" w:space="0" w:color="000000"/>
              <w:bottom w:val="single" w:sz="5" w:space="0" w:color="000000"/>
              <w:right w:val="single" w:sz="5" w:space="0" w:color="000000"/>
            </w:tcBorders>
          </w:tcPr>
          <w:p w14:paraId="2E723CC9"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6F92B7E5"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Leukopenia (w tym neutropenia i granulocytoza),</w:t>
            </w:r>
          </w:p>
          <w:p w14:paraId="6AA5B3F7"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niedokrwistość</w:t>
            </w:r>
          </w:p>
        </w:tc>
      </w:tr>
      <w:tr w:rsidR="002E5800" w:rsidRPr="006D3555" w14:paraId="04889EAB" w14:textId="77777777" w:rsidTr="00012556">
        <w:tc>
          <w:tcPr>
            <w:tcW w:w="2599" w:type="dxa"/>
            <w:vMerge/>
            <w:tcBorders>
              <w:left w:val="single" w:sz="5" w:space="0" w:color="000000"/>
              <w:right w:val="single" w:sz="5" w:space="0" w:color="000000"/>
            </w:tcBorders>
          </w:tcPr>
          <w:p w14:paraId="049BA0B1"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170695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086DE1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Leukocytoza,</w:t>
            </w:r>
          </w:p>
          <w:p w14:paraId="4101FE6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małopłytkowość</w:t>
            </w:r>
          </w:p>
        </w:tc>
      </w:tr>
      <w:tr w:rsidR="002E5800" w:rsidRPr="006D3555" w14:paraId="431873D0" w14:textId="77777777" w:rsidTr="00012556">
        <w:tc>
          <w:tcPr>
            <w:tcW w:w="2599" w:type="dxa"/>
            <w:vMerge/>
            <w:tcBorders>
              <w:left w:val="single" w:sz="5" w:space="0" w:color="000000"/>
              <w:right w:val="single" w:sz="5" w:space="0" w:color="000000"/>
            </w:tcBorders>
          </w:tcPr>
          <w:p w14:paraId="083BA7EB"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3A592C6"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1FC9CCF"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Samoistna plamica małopłytkowa</w:t>
            </w:r>
          </w:p>
        </w:tc>
      </w:tr>
      <w:tr w:rsidR="002E5800" w:rsidRPr="008F328C" w14:paraId="16CA0B7A" w14:textId="77777777" w:rsidTr="00012556">
        <w:tc>
          <w:tcPr>
            <w:tcW w:w="2599" w:type="dxa"/>
            <w:vMerge/>
            <w:tcBorders>
              <w:left w:val="single" w:sz="5" w:space="0" w:color="000000"/>
              <w:bottom w:val="single" w:sz="5" w:space="0" w:color="000000"/>
              <w:right w:val="single" w:sz="5" w:space="0" w:color="000000"/>
            </w:tcBorders>
          </w:tcPr>
          <w:p w14:paraId="1C1FB866"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7F1DFA0"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651CA3F0"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Pancytopenia</w:t>
            </w:r>
          </w:p>
        </w:tc>
      </w:tr>
      <w:tr w:rsidR="002E5800" w:rsidRPr="006D3555" w14:paraId="126C8D2F" w14:textId="77777777" w:rsidTr="00012556">
        <w:tc>
          <w:tcPr>
            <w:tcW w:w="2599" w:type="dxa"/>
            <w:vMerge w:val="restart"/>
            <w:tcBorders>
              <w:top w:val="single" w:sz="5" w:space="0" w:color="000000"/>
              <w:left w:val="single" w:sz="5" w:space="0" w:color="000000"/>
              <w:right w:val="single" w:sz="5" w:space="0" w:color="000000"/>
            </w:tcBorders>
          </w:tcPr>
          <w:p w14:paraId="60270044"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immunologicznego*</w:t>
            </w:r>
          </w:p>
        </w:tc>
        <w:tc>
          <w:tcPr>
            <w:tcW w:w="2076" w:type="dxa"/>
            <w:tcBorders>
              <w:top w:val="single" w:sz="5" w:space="0" w:color="000000"/>
              <w:left w:val="single" w:sz="5" w:space="0" w:color="000000"/>
              <w:bottom w:val="single" w:sz="5" w:space="0" w:color="000000"/>
              <w:right w:val="single" w:sz="5" w:space="0" w:color="000000"/>
            </w:tcBorders>
          </w:tcPr>
          <w:p w14:paraId="53420C5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7E0451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Nadwrażliwość,</w:t>
            </w:r>
          </w:p>
          <w:p w14:paraId="61C6606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alergie (w tym alergia sezonowa)</w:t>
            </w:r>
          </w:p>
        </w:tc>
      </w:tr>
      <w:tr w:rsidR="002E5800" w:rsidRPr="008F328C" w14:paraId="219425F7" w14:textId="77777777" w:rsidTr="00012556">
        <w:tc>
          <w:tcPr>
            <w:tcW w:w="2599" w:type="dxa"/>
            <w:vMerge/>
            <w:tcBorders>
              <w:left w:val="single" w:sz="5" w:space="0" w:color="000000"/>
              <w:right w:val="single" w:sz="5" w:space="0" w:color="000000"/>
            </w:tcBorders>
          </w:tcPr>
          <w:p w14:paraId="69710808"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04E117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E000387" w14:textId="77777777" w:rsidR="002E5800" w:rsidRPr="008F328C" w:rsidRDefault="000E0B7C" w:rsidP="00012556">
            <w:pPr>
              <w:pStyle w:val="TableParagraph"/>
              <w:ind w:left="99" w:right="318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Sarkoidoza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zapalenie naczyń</w:t>
            </w:r>
          </w:p>
        </w:tc>
      </w:tr>
      <w:tr w:rsidR="002E5800" w:rsidRPr="008F328C" w14:paraId="39919A0E" w14:textId="77777777" w:rsidTr="00012556">
        <w:tc>
          <w:tcPr>
            <w:tcW w:w="2599" w:type="dxa"/>
            <w:vMerge/>
            <w:tcBorders>
              <w:left w:val="single" w:sz="5" w:space="0" w:color="000000"/>
              <w:bottom w:val="single" w:sz="5" w:space="0" w:color="000000"/>
              <w:right w:val="single" w:sz="5" w:space="0" w:color="000000"/>
            </w:tcBorders>
          </w:tcPr>
          <w:p w14:paraId="4B8138FD"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7742DF5"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7F13E6FE"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Anafilaksja</w:t>
            </w:r>
            <w:r w:rsidRPr="008F328C">
              <w:rPr>
                <w:rFonts w:ascii="Times New Roman" w:eastAsia="Times New Roman" w:hAnsi="Times New Roman" w:cs="Times New Roman"/>
                <w:spacing w:val="-1"/>
                <w:vertAlign w:val="superscript"/>
                <w:lang w:val="pl-PL"/>
              </w:rPr>
              <w:t>1)</w:t>
            </w:r>
          </w:p>
        </w:tc>
      </w:tr>
      <w:tr w:rsidR="002E5800" w:rsidRPr="006D3555" w14:paraId="2C282388" w14:textId="77777777" w:rsidTr="00012556">
        <w:tc>
          <w:tcPr>
            <w:tcW w:w="2599" w:type="dxa"/>
            <w:vMerge w:val="restart"/>
            <w:tcBorders>
              <w:top w:val="single" w:sz="5" w:space="0" w:color="000000"/>
              <w:left w:val="single" w:sz="5" w:space="0" w:color="000000"/>
              <w:right w:val="single" w:sz="5" w:space="0" w:color="000000"/>
            </w:tcBorders>
          </w:tcPr>
          <w:p w14:paraId="21CFE7A0"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metabolizmu i odżywiania</w:t>
            </w:r>
          </w:p>
        </w:tc>
        <w:tc>
          <w:tcPr>
            <w:tcW w:w="2076" w:type="dxa"/>
            <w:tcBorders>
              <w:top w:val="single" w:sz="5" w:space="0" w:color="000000"/>
              <w:left w:val="single" w:sz="5" w:space="0" w:color="000000"/>
              <w:bottom w:val="single" w:sz="5" w:space="0" w:color="000000"/>
              <w:right w:val="single" w:sz="5" w:space="0" w:color="000000"/>
            </w:tcBorders>
          </w:tcPr>
          <w:p w14:paraId="3FF5A51D"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4DCC2805"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stężenia lipidów</w:t>
            </w:r>
          </w:p>
        </w:tc>
      </w:tr>
      <w:tr w:rsidR="002E5800" w:rsidRPr="008F328C" w14:paraId="51670632" w14:textId="77777777" w:rsidTr="00012556">
        <w:tc>
          <w:tcPr>
            <w:tcW w:w="2599" w:type="dxa"/>
            <w:vMerge/>
            <w:tcBorders>
              <w:left w:val="single" w:sz="5" w:space="0" w:color="000000"/>
              <w:bottom w:val="single" w:sz="5" w:space="0" w:color="000000"/>
              <w:right w:val="single" w:sz="5" w:space="0" w:color="000000"/>
            </w:tcBorders>
          </w:tcPr>
          <w:p w14:paraId="1AE7D879"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B68590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D2CF8F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Hipokaliemia,</w:t>
            </w:r>
          </w:p>
          <w:p w14:paraId="48C6CA21"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zwiększenie stężenia kwasu moczowego, </w:t>
            </w:r>
          </w:p>
          <w:p w14:paraId="51BFAB65"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nieprawidłowe stężenie sodu we krwi, </w:t>
            </w:r>
          </w:p>
          <w:p w14:paraId="5AA35882"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hipokalcemia, </w:t>
            </w:r>
          </w:p>
          <w:p w14:paraId="73289E58"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hiperglikemia, </w:t>
            </w:r>
          </w:p>
          <w:p w14:paraId="29A1C985"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hipofosfatemia, </w:t>
            </w:r>
          </w:p>
          <w:p w14:paraId="41576914" w14:textId="330D8B32"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odwodnienie</w:t>
            </w:r>
          </w:p>
        </w:tc>
      </w:tr>
      <w:tr w:rsidR="002E5800" w:rsidRPr="006D3555" w14:paraId="3C1EB80D" w14:textId="77777777" w:rsidTr="00012556">
        <w:tc>
          <w:tcPr>
            <w:tcW w:w="2599" w:type="dxa"/>
            <w:tcBorders>
              <w:top w:val="single" w:sz="5" w:space="0" w:color="000000"/>
              <w:left w:val="single" w:sz="5" w:space="0" w:color="000000"/>
              <w:bottom w:val="single" w:sz="5" w:space="0" w:color="000000"/>
              <w:right w:val="single" w:sz="5" w:space="0" w:color="000000"/>
            </w:tcBorders>
          </w:tcPr>
          <w:p w14:paraId="7865958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psychiczne</w:t>
            </w:r>
          </w:p>
        </w:tc>
        <w:tc>
          <w:tcPr>
            <w:tcW w:w="2076" w:type="dxa"/>
            <w:tcBorders>
              <w:top w:val="single" w:sz="5" w:space="0" w:color="000000"/>
              <w:left w:val="single" w:sz="5" w:space="0" w:color="000000"/>
              <w:bottom w:val="single" w:sz="5" w:space="0" w:color="000000"/>
              <w:right w:val="single" w:sz="5" w:space="0" w:color="000000"/>
            </w:tcBorders>
          </w:tcPr>
          <w:p w14:paraId="6C25AB4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C282019" w14:textId="77777777" w:rsidR="002E0384" w:rsidRPr="008F328C" w:rsidRDefault="000E0B7C" w:rsidP="00012556">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Zmiany nastroju (w tym depresja), </w:t>
            </w:r>
          </w:p>
          <w:p w14:paraId="2A645B8A" w14:textId="77777777" w:rsidR="002E0384" w:rsidRPr="008F328C" w:rsidRDefault="000E0B7C" w:rsidP="00012556">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niepokój,</w:t>
            </w:r>
            <w:r w:rsidR="002E0384" w:rsidRPr="008F328C">
              <w:rPr>
                <w:rFonts w:ascii="Times New Roman" w:eastAsia="Times New Roman" w:hAnsi="Times New Roman" w:cs="Times New Roman"/>
                <w:lang w:val="pl-PL"/>
              </w:rPr>
              <w:t xml:space="preserve"> </w:t>
            </w:r>
          </w:p>
          <w:p w14:paraId="67188BBB" w14:textId="77777777" w:rsidR="002E5800" w:rsidRPr="008F328C" w:rsidRDefault="002E0384" w:rsidP="00012556">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bezsenność</w:t>
            </w:r>
          </w:p>
          <w:p w14:paraId="531DDFC7" w14:textId="6D3C1FB3" w:rsidR="002E5800" w:rsidRPr="008F328C" w:rsidRDefault="002E5800" w:rsidP="00012556">
            <w:pPr>
              <w:pStyle w:val="TableParagraph"/>
              <w:ind w:left="99"/>
              <w:rPr>
                <w:rFonts w:ascii="Times New Roman" w:eastAsia="Times New Roman" w:hAnsi="Times New Roman" w:cs="Times New Roman"/>
                <w:lang w:val="pl-PL"/>
              </w:rPr>
            </w:pPr>
          </w:p>
        </w:tc>
      </w:tr>
      <w:tr w:rsidR="002E5800" w:rsidRPr="008F328C" w14:paraId="47DC1FD4" w14:textId="77777777" w:rsidTr="00012556">
        <w:tc>
          <w:tcPr>
            <w:tcW w:w="2599" w:type="dxa"/>
            <w:vMerge w:val="restart"/>
            <w:tcBorders>
              <w:top w:val="single" w:sz="5" w:space="0" w:color="000000"/>
              <w:left w:val="single" w:sz="5" w:space="0" w:color="000000"/>
              <w:right w:val="single" w:sz="5" w:space="0" w:color="000000"/>
            </w:tcBorders>
          </w:tcPr>
          <w:p w14:paraId="01878DA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nerwowego*</w:t>
            </w:r>
          </w:p>
        </w:tc>
        <w:tc>
          <w:tcPr>
            <w:tcW w:w="2076" w:type="dxa"/>
            <w:tcBorders>
              <w:top w:val="single" w:sz="5" w:space="0" w:color="000000"/>
              <w:left w:val="single" w:sz="5" w:space="0" w:color="000000"/>
              <w:bottom w:val="single" w:sz="5" w:space="0" w:color="000000"/>
              <w:right w:val="single" w:sz="5" w:space="0" w:color="000000"/>
            </w:tcBorders>
          </w:tcPr>
          <w:p w14:paraId="4851618F"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75187F64"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głowy</w:t>
            </w:r>
          </w:p>
        </w:tc>
      </w:tr>
      <w:tr w:rsidR="002E5800" w:rsidRPr="006D3555" w14:paraId="0051E021" w14:textId="77777777" w:rsidTr="00012556">
        <w:tc>
          <w:tcPr>
            <w:tcW w:w="2599" w:type="dxa"/>
            <w:vMerge/>
            <w:tcBorders>
              <w:left w:val="single" w:sz="5" w:space="0" w:color="000000"/>
              <w:right w:val="single" w:sz="5" w:space="0" w:color="000000"/>
            </w:tcBorders>
          </w:tcPr>
          <w:p w14:paraId="62BDF5A2"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C853E1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EABC3F6" w14:textId="77777777" w:rsidR="002E0384" w:rsidRPr="008F328C" w:rsidRDefault="000E0B7C" w:rsidP="00012556">
            <w:pPr>
              <w:pStyle w:val="TableParagraph"/>
              <w:ind w:left="99" w:right="65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Parestezje (w tym niedoczulica), </w:t>
            </w:r>
          </w:p>
          <w:p w14:paraId="6E897268" w14:textId="77777777" w:rsidR="002E5800" w:rsidRPr="008F328C" w:rsidRDefault="000E0B7C" w:rsidP="00012556">
            <w:pPr>
              <w:pStyle w:val="TableParagraph"/>
              <w:ind w:left="99" w:right="65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migrena,</w:t>
            </w:r>
          </w:p>
          <w:p w14:paraId="29F6E8E8"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ucisk korzenia nerwowego</w:t>
            </w:r>
          </w:p>
        </w:tc>
      </w:tr>
      <w:tr w:rsidR="002E5800" w:rsidRPr="006D3555" w14:paraId="2B194646" w14:textId="77777777" w:rsidTr="00012556">
        <w:tc>
          <w:tcPr>
            <w:tcW w:w="2599" w:type="dxa"/>
            <w:vMerge/>
            <w:tcBorders>
              <w:left w:val="single" w:sz="5" w:space="0" w:color="000000"/>
              <w:right w:val="single" w:sz="5" w:space="0" w:color="000000"/>
            </w:tcBorders>
          </w:tcPr>
          <w:p w14:paraId="60100F47"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32706F6"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B42F05E" w14:textId="75A3903E"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Udar mózgu</w:t>
            </w:r>
            <w:r w:rsidRPr="008F328C">
              <w:rPr>
                <w:rFonts w:ascii="Times New Roman" w:eastAsia="Times New Roman" w:hAnsi="Times New Roman" w:cs="Times New Roman"/>
                <w:spacing w:val="-1"/>
                <w:vertAlign w:val="superscript"/>
                <w:lang w:val="pl-PL"/>
              </w:rPr>
              <w:t>1</w:t>
            </w:r>
            <w:r w:rsidR="00012556" w:rsidRPr="008F328C">
              <w:rPr>
                <w:rFonts w:ascii="Times New Roman" w:eastAsia="Times New Roman" w:hAnsi="Times New Roman" w:cs="Times New Roman"/>
                <w:spacing w:val="-1"/>
                <w:vertAlign w:val="superscript"/>
                <w:lang w:val="pl-PL"/>
              </w:rPr>
              <w:t>)</w:t>
            </w:r>
            <w:r w:rsidRPr="008F328C">
              <w:rPr>
                <w:rFonts w:ascii="Times New Roman" w:eastAsia="Times New Roman" w:hAnsi="Times New Roman" w:cs="Times New Roman"/>
                <w:spacing w:val="-1"/>
                <w:lang w:val="pl-PL"/>
              </w:rPr>
              <w:t>,</w:t>
            </w:r>
          </w:p>
          <w:p w14:paraId="020C40A9" w14:textId="77777777" w:rsidR="002E5800" w:rsidRPr="008F328C" w:rsidRDefault="000E0B7C" w:rsidP="00012556">
            <w:pPr>
              <w:pStyle w:val="TableParagraph"/>
              <w:ind w:left="99" w:right="28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drżenie mięśniowe, neuropatia</w:t>
            </w:r>
          </w:p>
        </w:tc>
      </w:tr>
      <w:tr w:rsidR="002E5800" w:rsidRPr="006D3555" w14:paraId="4FB26C73" w14:textId="77777777" w:rsidTr="00012556">
        <w:tc>
          <w:tcPr>
            <w:tcW w:w="2599" w:type="dxa"/>
            <w:vMerge/>
            <w:tcBorders>
              <w:left w:val="single" w:sz="5" w:space="0" w:color="000000"/>
              <w:bottom w:val="single" w:sz="5" w:space="0" w:color="000000"/>
              <w:right w:val="single" w:sz="5" w:space="0" w:color="000000"/>
            </w:tcBorders>
          </w:tcPr>
          <w:p w14:paraId="03A9ABB9"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F2D9CD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33E6CCA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Stwardnienie rozsiane,</w:t>
            </w:r>
          </w:p>
          <w:p w14:paraId="3845253D"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demielinizacyjne (np. zapalenie nerwu wzrokowego, zespół Guillaina-Barrégo)</w:t>
            </w:r>
            <w:r w:rsidRPr="008F328C">
              <w:rPr>
                <w:rFonts w:ascii="Times New Roman" w:eastAsia="Times New Roman" w:hAnsi="Times New Roman" w:cs="Times New Roman"/>
                <w:spacing w:val="-1"/>
                <w:vertAlign w:val="superscript"/>
                <w:lang w:val="pl-PL"/>
              </w:rPr>
              <w:t>1)</w:t>
            </w:r>
          </w:p>
        </w:tc>
      </w:tr>
      <w:tr w:rsidR="002E5800" w:rsidRPr="008F328C" w14:paraId="037BD531" w14:textId="77777777" w:rsidTr="00012556">
        <w:tc>
          <w:tcPr>
            <w:tcW w:w="2599" w:type="dxa"/>
            <w:vMerge w:val="restart"/>
            <w:tcBorders>
              <w:top w:val="single" w:sz="5" w:space="0" w:color="000000"/>
              <w:left w:val="single" w:sz="5" w:space="0" w:color="000000"/>
              <w:right w:val="single" w:sz="5" w:space="0" w:color="000000"/>
            </w:tcBorders>
          </w:tcPr>
          <w:p w14:paraId="0AF7691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oka</w:t>
            </w:r>
          </w:p>
        </w:tc>
        <w:tc>
          <w:tcPr>
            <w:tcW w:w="2076" w:type="dxa"/>
            <w:tcBorders>
              <w:top w:val="single" w:sz="5" w:space="0" w:color="000000"/>
              <w:left w:val="single" w:sz="5" w:space="0" w:color="000000"/>
              <w:bottom w:val="single" w:sz="5" w:space="0" w:color="000000"/>
              <w:right w:val="single" w:sz="5" w:space="0" w:color="000000"/>
            </w:tcBorders>
          </w:tcPr>
          <w:p w14:paraId="5086A39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83EBFB4" w14:textId="77777777" w:rsidR="002E5800" w:rsidRPr="008F328C" w:rsidRDefault="000E0B7C" w:rsidP="00012556">
            <w:pPr>
              <w:pStyle w:val="TableParagraph"/>
              <w:ind w:left="99" w:right="227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Pogorszenie widzenia, zapalenie spojówek, zapalenie powiek,</w:t>
            </w:r>
          </w:p>
          <w:p w14:paraId="7A4D5326"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oka</w:t>
            </w:r>
          </w:p>
        </w:tc>
      </w:tr>
      <w:tr w:rsidR="002E5800" w:rsidRPr="008F328C" w14:paraId="4BF55F96" w14:textId="77777777" w:rsidTr="00012556">
        <w:tc>
          <w:tcPr>
            <w:tcW w:w="2599" w:type="dxa"/>
            <w:vMerge/>
            <w:tcBorders>
              <w:left w:val="single" w:sz="5" w:space="0" w:color="000000"/>
              <w:bottom w:val="single" w:sz="5" w:space="0" w:color="000000"/>
              <w:right w:val="single" w:sz="5" w:space="0" w:color="000000"/>
            </w:tcBorders>
          </w:tcPr>
          <w:p w14:paraId="40AE59FF"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BBF5104"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75940E4C"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Podwójne widzenie</w:t>
            </w:r>
          </w:p>
        </w:tc>
      </w:tr>
      <w:tr w:rsidR="002E5800" w:rsidRPr="008F328C" w14:paraId="7D254E90" w14:textId="77777777" w:rsidTr="00012556">
        <w:tc>
          <w:tcPr>
            <w:tcW w:w="2599" w:type="dxa"/>
            <w:vMerge w:val="restart"/>
            <w:tcBorders>
              <w:top w:val="single" w:sz="5" w:space="0" w:color="000000"/>
              <w:left w:val="single" w:sz="5" w:space="0" w:color="000000"/>
              <w:right w:val="single" w:sz="5" w:space="0" w:color="000000"/>
            </w:tcBorders>
          </w:tcPr>
          <w:p w14:paraId="1F60DF93" w14:textId="77777777" w:rsidR="002E5800" w:rsidRPr="008F328C" w:rsidRDefault="000E0B7C" w:rsidP="00012556">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ucha i błędnika</w:t>
            </w:r>
          </w:p>
        </w:tc>
        <w:tc>
          <w:tcPr>
            <w:tcW w:w="2076" w:type="dxa"/>
            <w:tcBorders>
              <w:top w:val="single" w:sz="5" w:space="0" w:color="000000"/>
              <w:left w:val="single" w:sz="5" w:space="0" w:color="000000"/>
              <w:bottom w:val="single" w:sz="5" w:space="0" w:color="000000"/>
              <w:right w:val="single" w:sz="5" w:space="0" w:color="000000"/>
            </w:tcBorders>
          </w:tcPr>
          <w:p w14:paraId="626DDB5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B83DF96"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Zawroty głowy</w:t>
            </w:r>
          </w:p>
        </w:tc>
      </w:tr>
      <w:tr w:rsidR="002E5800" w:rsidRPr="006D3555" w14:paraId="0265F6D9" w14:textId="77777777" w:rsidTr="00012556">
        <w:tc>
          <w:tcPr>
            <w:tcW w:w="2599" w:type="dxa"/>
            <w:vMerge/>
            <w:tcBorders>
              <w:left w:val="single" w:sz="5" w:space="0" w:color="000000"/>
              <w:bottom w:val="single" w:sz="5" w:space="0" w:color="000000"/>
              <w:right w:val="single" w:sz="5" w:space="0" w:color="000000"/>
            </w:tcBorders>
          </w:tcPr>
          <w:p w14:paraId="1B43D8AF"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4DC7A7B"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9539068"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Głuchota,</w:t>
            </w:r>
          </w:p>
          <w:p w14:paraId="45D7C9CF"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szumy uszne</w:t>
            </w:r>
          </w:p>
        </w:tc>
      </w:tr>
      <w:tr w:rsidR="002E5800" w:rsidRPr="008F328C" w14:paraId="0DA922C8" w14:textId="77777777" w:rsidTr="00012556">
        <w:tc>
          <w:tcPr>
            <w:tcW w:w="2599" w:type="dxa"/>
            <w:vMerge w:val="restart"/>
            <w:tcBorders>
              <w:top w:val="single" w:sz="5" w:space="0" w:color="000000"/>
              <w:left w:val="single" w:sz="5" w:space="0" w:color="000000"/>
              <w:right w:val="single" w:sz="5" w:space="0" w:color="000000"/>
            </w:tcBorders>
          </w:tcPr>
          <w:p w14:paraId="1CBBA4D9"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serca*</w:t>
            </w:r>
          </w:p>
        </w:tc>
        <w:tc>
          <w:tcPr>
            <w:tcW w:w="2076" w:type="dxa"/>
            <w:tcBorders>
              <w:top w:val="single" w:sz="5" w:space="0" w:color="000000"/>
              <w:left w:val="single" w:sz="5" w:space="0" w:color="000000"/>
              <w:bottom w:val="single" w:sz="5" w:space="0" w:color="000000"/>
              <w:right w:val="single" w:sz="5" w:space="0" w:color="000000"/>
            </w:tcBorders>
          </w:tcPr>
          <w:p w14:paraId="65AFCD4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46339B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Tachykardia</w:t>
            </w:r>
          </w:p>
        </w:tc>
      </w:tr>
      <w:tr w:rsidR="002E5800" w:rsidRPr="008F328C" w14:paraId="2996884F" w14:textId="77777777" w:rsidTr="00012556">
        <w:tc>
          <w:tcPr>
            <w:tcW w:w="2599" w:type="dxa"/>
            <w:vMerge/>
            <w:tcBorders>
              <w:left w:val="single" w:sz="5" w:space="0" w:color="000000"/>
              <w:right w:val="single" w:sz="5" w:space="0" w:color="000000"/>
            </w:tcBorders>
          </w:tcPr>
          <w:p w14:paraId="2CA80037"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441D023D"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right w:val="single" w:sz="5" w:space="0" w:color="000000"/>
            </w:tcBorders>
          </w:tcPr>
          <w:p w14:paraId="27EBCA35" w14:textId="77777777" w:rsidR="002E5800" w:rsidRPr="008F328C" w:rsidRDefault="000E0B7C" w:rsidP="00012556">
            <w:pPr>
              <w:pStyle w:val="TableParagraph"/>
              <w:ind w:left="99" w:right="1400"/>
              <w:rPr>
                <w:rFonts w:ascii="Times New Roman" w:eastAsia="Times New Roman" w:hAnsi="Times New Roman" w:cs="Times New Roman"/>
                <w:lang w:val="pl-PL"/>
              </w:rPr>
            </w:pPr>
            <w:r w:rsidRPr="008F328C">
              <w:rPr>
                <w:rFonts w:ascii="Times New Roman" w:eastAsia="Times New Roman" w:hAnsi="Times New Roman" w:cs="Times New Roman"/>
                <w:lang w:val="pl-PL"/>
              </w:rPr>
              <w:t>Zawał mięśnia sercowego</w:t>
            </w:r>
            <w:r w:rsidRPr="008F328C">
              <w:rPr>
                <w:rFonts w:ascii="Times New Roman" w:eastAsia="Times New Roman" w:hAnsi="Times New Roman" w:cs="Times New Roman"/>
                <w:vertAlign w:val="superscript"/>
                <w:lang w:val="pl-PL"/>
              </w:rPr>
              <w:t>1)</w:t>
            </w:r>
            <w:r w:rsidRPr="008F328C">
              <w:rPr>
                <w:rFonts w:ascii="Times New Roman" w:eastAsia="Times New Roman" w:hAnsi="Times New Roman" w:cs="Times New Roman"/>
                <w:lang w:val="pl-PL"/>
              </w:rPr>
              <w:t>, zaburzenia rytmu serca,</w:t>
            </w:r>
          </w:p>
          <w:p w14:paraId="1BB92A40"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zastoinowa niewydolność serca</w:t>
            </w:r>
          </w:p>
        </w:tc>
      </w:tr>
      <w:tr w:rsidR="002E5800" w:rsidRPr="008F328C" w14:paraId="040A65C8" w14:textId="77777777" w:rsidTr="00012556">
        <w:tc>
          <w:tcPr>
            <w:tcW w:w="2599" w:type="dxa"/>
            <w:vMerge/>
            <w:tcBorders>
              <w:left w:val="single" w:sz="5" w:space="0" w:color="000000"/>
              <w:bottom w:val="single" w:sz="5" w:space="0" w:color="000000"/>
              <w:right w:val="single" w:sz="5" w:space="0" w:color="000000"/>
            </w:tcBorders>
          </w:tcPr>
          <w:p w14:paraId="0EF7F4E0"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979F55D"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36C6CF45"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Zatrzymane akcji serca</w:t>
            </w:r>
          </w:p>
        </w:tc>
      </w:tr>
      <w:tr w:rsidR="002E5800" w:rsidRPr="008F328C" w14:paraId="71B73F54" w14:textId="77777777" w:rsidTr="00012556">
        <w:tc>
          <w:tcPr>
            <w:tcW w:w="2599" w:type="dxa"/>
            <w:vMerge w:val="restart"/>
            <w:tcBorders>
              <w:top w:val="single" w:sz="5" w:space="0" w:color="000000"/>
              <w:left w:val="single" w:sz="5" w:space="0" w:color="000000"/>
              <w:right w:val="single" w:sz="5" w:space="0" w:color="000000"/>
            </w:tcBorders>
          </w:tcPr>
          <w:p w14:paraId="1DEF69B9"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naczyniowe</w:t>
            </w:r>
          </w:p>
        </w:tc>
        <w:tc>
          <w:tcPr>
            <w:tcW w:w="2076" w:type="dxa"/>
            <w:tcBorders>
              <w:top w:val="single" w:sz="5" w:space="0" w:color="000000"/>
              <w:left w:val="single" w:sz="5" w:space="0" w:color="000000"/>
              <w:bottom w:val="single" w:sz="5" w:space="0" w:color="000000"/>
              <w:right w:val="single" w:sz="5" w:space="0" w:color="000000"/>
            </w:tcBorders>
          </w:tcPr>
          <w:p w14:paraId="04B79D4D"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82BDA13"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Nadciśnienie, </w:t>
            </w:r>
          </w:p>
          <w:p w14:paraId="35FDE83F"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 xml:space="preserve">zaczerwienienie skóry z uczuciem gorąca, </w:t>
            </w:r>
          </w:p>
          <w:p w14:paraId="131A4434" w14:textId="25E3FA16"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krwiak</w:t>
            </w:r>
          </w:p>
        </w:tc>
      </w:tr>
      <w:tr w:rsidR="002E5800" w:rsidRPr="008F328C" w14:paraId="373E250C" w14:textId="77777777" w:rsidTr="00012556">
        <w:tc>
          <w:tcPr>
            <w:tcW w:w="2599" w:type="dxa"/>
            <w:vMerge/>
            <w:tcBorders>
              <w:left w:val="single" w:sz="5" w:space="0" w:color="000000"/>
              <w:bottom w:val="single" w:sz="5" w:space="0" w:color="000000"/>
              <w:right w:val="single" w:sz="5" w:space="0" w:color="000000"/>
            </w:tcBorders>
          </w:tcPr>
          <w:p w14:paraId="1E055B73"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E920DD6"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429BA6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Tętniak aorty,</w:t>
            </w:r>
          </w:p>
          <w:p w14:paraId="76716216"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niedrożność naczyń tętniczych, </w:t>
            </w:r>
          </w:p>
          <w:p w14:paraId="5FE0342A" w14:textId="27C61DC9"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zakrzepowe zapalenie żył</w:t>
            </w:r>
          </w:p>
        </w:tc>
      </w:tr>
      <w:tr w:rsidR="002E5800" w:rsidRPr="006D3555" w14:paraId="5F9C97D1" w14:textId="77777777" w:rsidTr="00012556">
        <w:tc>
          <w:tcPr>
            <w:tcW w:w="2599" w:type="dxa"/>
            <w:vMerge w:val="restart"/>
            <w:tcBorders>
              <w:top w:val="single" w:sz="5" w:space="0" w:color="000000"/>
              <w:left w:val="single" w:sz="5" w:space="0" w:color="000000"/>
              <w:right w:val="single" w:sz="5" w:space="0" w:color="000000"/>
            </w:tcBorders>
          </w:tcPr>
          <w:p w14:paraId="6620058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oddechowego, klatki piersiowej i śródpiersia*</w:t>
            </w:r>
          </w:p>
        </w:tc>
        <w:tc>
          <w:tcPr>
            <w:tcW w:w="2076" w:type="dxa"/>
            <w:tcBorders>
              <w:top w:val="single" w:sz="5" w:space="0" w:color="000000"/>
              <w:left w:val="single" w:sz="5" w:space="0" w:color="000000"/>
              <w:bottom w:val="single" w:sz="5" w:space="0" w:color="000000"/>
              <w:right w:val="single" w:sz="5" w:space="0" w:color="000000"/>
            </w:tcBorders>
          </w:tcPr>
          <w:p w14:paraId="75806FB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236049C"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Astma, </w:t>
            </w:r>
          </w:p>
          <w:p w14:paraId="66A90122"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duszność, </w:t>
            </w:r>
          </w:p>
          <w:p w14:paraId="5B4ACCB8" w14:textId="6BDF0AAA"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kaszel</w:t>
            </w:r>
          </w:p>
        </w:tc>
      </w:tr>
      <w:tr w:rsidR="002E5800" w:rsidRPr="008F328C" w14:paraId="071A411F" w14:textId="77777777" w:rsidTr="00012556">
        <w:tc>
          <w:tcPr>
            <w:tcW w:w="2599" w:type="dxa"/>
            <w:vMerge/>
            <w:tcBorders>
              <w:left w:val="single" w:sz="5" w:space="0" w:color="000000"/>
              <w:right w:val="single" w:sz="5" w:space="0" w:color="000000"/>
            </w:tcBorders>
          </w:tcPr>
          <w:p w14:paraId="15791920"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1C59F30"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7578E7F9"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Zator tętnicy płucnej</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3A683F1B"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śródmiąższowa choroba płuc,</w:t>
            </w:r>
          </w:p>
          <w:p w14:paraId="4C49CE3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przewlekła obturacyjna choroba płuc, zapalenie płuc (pneumonitis),</w:t>
            </w:r>
          </w:p>
          <w:p w14:paraId="46781068"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wysięk opłucnowy</w:t>
            </w:r>
            <w:r w:rsidRPr="008F328C">
              <w:rPr>
                <w:rFonts w:ascii="Times New Roman" w:eastAsia="Times New Roman" w:hAnsi="Times New Roman" w:cs="Times New Roman"/>
                <w:spacing w:val="-1"/>
                <w:vertAlign w:val="superscript"/>
                <w:lang w:val="pl-PL"/>
              </w:rPr>
              <w:t>1)</w:t>
            </w:r>
          </w:p>
        </w:tc>
      </w:tr>
      <w:tr w:rsidR="002E5800" w:rsidRPr="00283292" w14:paraId="2C4C0BE3" w14:textId="77777777" w:rsidTr="00012556">
        <w:tc>
          <w:tcPr>
            <w:tcW w:w="2599" w:type="dxa"/>
            <w:vMerge/>
            <w:tcBorders>
              <w:left w:val="single" w:sz="5" w:space="0" w:color="000000"/>
              <w:bottom w:val="single" w:sz="5" w:space="0" w:color="000000"/>
              <w:right w:val="single" w:sz="5" w:space="0" w:color="000000"/>
            </w:tcBorders>
          </w:tcPr>
          <w:p w14:paraId="154105DA"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A8A2986"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2167F5C3"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Zwłóknienie płuc</w:t>
            </w:r>
            <w:r w:rsidRPr="008F328C">
              <w:rPr>
                <w:rFonts w:ascii="Times New Roman" w:eastAsia="Times New Roman" w:hAnsi="Times New Roman" w:cs="Times New Roman"/>
                <w:spacing w:val="-1"/>
                <w:vertAlign w:val="superscript"/>
                <w:lang w:val="pl-PL"/>
              </w:rPr>
              <w:t>1)</w:t>
            </w:r>
          </w:p>
        </w:tc>
      </w:tr>
      <w:tr w:rsidR="002E5800" w:rsidRPr="00FE49E6" w14:paraId="51C6C33F" w14:textId="77777777" w:rsidTr="00012556">
        <w:tc>
          <w:tcPr>
            <w:tcW w:w="2599" w:type="dxa"/>
            <w:vMerge w:val="restart"/>
            <w:tcBorders>
              <w:top w:val="single" w:sz="5" w:space="0" w:color="000000"/>
              <w:left w:val="single" w:sz="5" w:space="0" w:color="000000"/>
              <w:right w:val="single" w:sz="5" w:space="0" w:color="000000"/>
            </w:tcBorders>
          </w:tcPr>
          <w:p w14:paraId="7C70D954"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żołądka i jelit</w:t>
            </w:r>
          </w:p>
        </w:tc>
        <w:tc>
          <w:tcPr>
            <w:tcW w:w="2076" w:type="dxa"/>
            <w:tcBorders>
              <w:top w:val="single" w:sz="5" w:space="0" w:color="000000"/>
              <w:left w:val="single" w:sz="5" w:space="0" w:color="000000"/>
              <w:bottom w:val="single" w:sz="5" w:space="0" w:color="000000"/>
              <w:right w:val="single" w:sz="5" w:space="0" w:color="000000"/>
            </w:tcBorders>
          </w:tcPr>
          <w:p w14:paraId="104E71DE"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3C2D7A8D"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Bóle brzucha, </w:t>
            </w:r>
          </w:p>
          <w:p w14:paraId="2C72F8FD" w14:textId="4C6790DE"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nudności i wymioty</w:t>
            </w:r>
          </w:p>
        </w:tc>
      </w:tr>
      <w:tr w:rsidR="002E5800" w:rsidRPr="006D3555" w14:paraId="2C0A924D" w14:textId="77777777" w:rsidTr="00012556">
        <w:tc>
          <w:tcPr>
            <w:tcW w:w="2599" w:type="dxa"/>
            <w:vMerge/>
            <w:tcBorders>
              <w:left w:val="single" w:sz="5" w:space="0" w:color="000000"/>
              <w:right w:val="single" w:sz="5" w:space="0" w:color="000000"/>
            </w:tcBorders>
          </w:tcPr>
          <w:p w14:paraId="513D30B6"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3829461"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383140C"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Krwotok z przewodu pokarmowego,</w:t>
            </w:r>
          </w:p>
          <w:p w14:paraId="46A4DCC9"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dyspepsja,</w:t>
            </w:r>
          </w:p>
          <w:p w14:paraId="3DB6EF59" w14:textId="77777777" w:rsidR="00563E41"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choroba refluksowa przełyku, </w:t>
            </w:r>
          </w:p>
          <w:p w14:paraId="2E090B7D"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suchości</w:t>
            </w:r>
            <w:r w:rsidR="00563E41" w:rsidRPr="008F328C">
              <w:rPr>
                <w:rFonts w:ascii="Times New Roman" w:eastAsia="Times New Roman" w:hAnsi="Times New Roman" w:cs="Times New Roman"/>
                <w:spacing w:val="-1"/>
                <w:lang w:val="pl-PL"/>
              </w:rPr>
              <w:t xml:space="preserve"> (zespół Sjogrena)</w:t>
            </w:r>
          </w:p>
        </w:tc>
      </w:tr>
      <w:tr w:rsidR="002E5800" w:rsidRPr="006D3555" w14:paraId="112368B1" w14:textId="77777777" w:rsidTr="00012556">
        <w:tc>
          <w:tcPr>
            <w:tcW w:w="2599" w:type="dxa"/>
            <w:vMerge/>
            <w:tcBorders>
              <w:left w:val="single" w:sz="5" w:space="0" w:color="000000"/>
              <w:right w:val="single" w:sz="5" w:space="0" w:color="000000"/>
            </w:tcBorders>
          </w:tcPr>
          <w:p w14:paraId="2C9B7049"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22F71F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133FB94"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trzustki,</w:t>
            </w:r>
          </w:p>
          <w:p w14:paraId="35054C72" w14:textId="77777777" w:rsidR="00012556"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utrudnienie połykania, </w:t>
            </w:r>
          </w:p>
          <w:p w14:paraId="5247375A" w14:textId="28147CD2"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twarzy</w:t>
            </w:r>
          </w:p>
        </w:tc>
      </w:tr>
      <w:tr w:rsidR="002E5800" w:rsidRPr="008F328C" w14:paraId="21BBF3A4" w14:textId="77777777" w:rsidTr="00012556">
        <w:tc>
          <w:tcPr>
            <w:tcW w:w="2599" w:type="dxa"/>
            <w:vMerge/>
            <w:tcBorders>
              <w:left w:val="single" w:sz="5" w:space="0" w:color="000000"/>
              <w:bottom w:val="single" w:sz="5" w:space="0" w:color="000000"/>
              <w:right w:val="single" w:sz="5" w:space="0" w:color="000000"/>
            </w:tcBorders>
          </w:tcPr>
          <w:p w14:paraId="1673FE7C"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AF686A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E98A9EE"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Perforacja jelita</w:t>
            </w:r>
            <w:r w:rsidRPr="008F328C">
              <w:rPr>
                <w:rFonts w:ascii="Times New Roman" w:eastAsia="Times New Roman" w:hAnsi="Times New Roman" w:cs="Times New Roman"/>
                <w:spacing w:val="-4"/>
                <w:vertAlign w:val="superscript"/>
                <w:lang w:val="pl-PL"/>
              </w:rPr>
              <w:t>1)</w:t>
            </w:r>
          </w:p>
        </w:tc>
      </w:tr>
      <w:tr w:rsidR="002E5800" w:rsidRPr="006D3555" w14:paraId="606FDA7B" w14:textId="77777777" w:rsidTr="00012556">
        <w:tc>
          <w:tcPr>
            <w:tcW w:w="2599" w:type="dxa"/>
            <w:vMerge w:val="restart"/>
            <w:tcBorders>
              <w:top w:val="single" w:sz="5" w:space="0" w:color="000000"/>
              <w:left w:val="single" w:sz="5" w:space="0" w:color="000000"/>
              <w:right w:val="single" w:sz="5" w:space="0" w:color="000000"/>
            </w:tcBorders>
          </w:tcPr>
          <w:p w14:paraId="427EAEC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Zaburzenia wątroby i dróg żółciowych*</w:t>
            </w:r>
          </w:p>
        </w:tc>
        <w:tc>
          <w:tcPr>
            <w:tcW w:w="2076" w:type="dxa"/>
            <w:tcBorders>
              <w:top w:val="single" w:sz="5" w:space="0" w:color="000000"/>
              <w:left w:val="single" w:sz="5" w:space="0" w:color="000000"/>
              <w:bottom w:val="single" w:sz="5" w:space="0" w:color="000000"/>
              <w:right w:val="single" w:sz="5" w:space="0" w:color="000000"/>
            </w:tcBorders>
          </w:tcPr>
          <w:p w14:paraId="1104A83F"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7AB72E15"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enzymów wątrobowych</w:t>
            </w:r>
          </w:p>
        </w:tc>
      </w:tr>
      <w:tr w:rsidR="002E5800" w:rsidRPr="006D3555" w14:paraId="39910866" w14:textId="77777777" w:rsidTr="00012556">
        <w:tc>
          <w:tcPr>
            <w:tcW w:w="2599" w:type="dxa"/>
            <w:vMerge/>
            <w:tcBorders>
              <w:left w:val="single" w:sz="5" w:space="0" w:color="000000"/>
              <w:right w:val="single" w:sz="5" w:space="0" w:color="000000"/>
            </w:tcBorders>
          </w:tcPr>
          <w:p w14:paraId="3E1D8E74"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EEED5F4"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7B92B4FF"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pęcherzyka żółciowego i kamica żółciowa,</w:t>
            </w:r>
          </w:p>
          <w:p w14:paraId="4636A627" w14:textId="77777777" w:rsidR="002E5800" w:rsidRPr="008F328C" w:rsidRDefault="000E0B7C" w:rsidP="00012556">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lang w:val="pl-PL"/>
              </w:rPr>
              <w:t>stłuszczenie wątroby, zwiększenie stężenia bilirubiny</w:t>
            </w:r>
          </w:p>
        </w:tc>
      </w:tr>
      <w:tr w:rsidR="002E5800" w:rsidRPr="008F328C" w14:paraId="0D1BB9BE" w14:textId="77777777" w:rsidTr="00012556">
        <w:tc>
          <w:tcPr>
            <w:tcW w:w="2599" w:type="dxa"/>
            <w:vMerge/>
            <w:tcBorders>
              <w:left w:val="single" w:sz="5" w:space="0" w:color="000000"/>
              <w:right w:val="single" w:sz="5" w:space="0" w:color="000000"/>
            </w:tcBorders>
          </w:tcPr>
          <w:p w14:paraId="0BFC0FEB"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5FFB5C3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right w:val="single" w:sz="5" w:space="0" w:color="000000"/>
            </w:tcBorders>
          </w:tcPr>
          <w:p w14:paraId="490CE259"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wątroby,</w:t>
            </w:r>
          </w:p>
          <w:p w14:paraId="0E5457A9" w14:textId="12C259DC"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reaktywacja zapalenia wątroby typu B</w:t>
            </w:r>
            <w:r w:rsidRPr="008F328C">
              <w:rPr>
                <w:rFonts w:ascii="Times New Roman" w:eastAsia="Times New Roman" w:hAnsi="Times New Roman" w:cs="Times New Roman"/>
                <w:spacing w:val="-1"/>
                <w:vertAlign w:val="superscript"/>
                <w:lang w:val="pl-PL"/>
              </w:rPr>
              <w:t>1)</w:t>
            </w:r>
            <w:r w:rsidR="00012556" w:rsidRPr="008F328C">
              <w:rPr>
                <w:rFonts w:ascii="Times New Roman" w:eastAsia="Times New Roman" w:hAnsi="Times New Roman" w:cs="Times New Roman"/>
                <w:spacing w:val="-1"/>
                <w:lang w:val="pl-PL"/>
              </w:rPr>
              <w:t>,</w:t>
            </w:r>
          </w:p>
          <w:p w14:paraId="54B3B460"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autoimmunologiczne zapalenie wątroby</w:t>
            </w:r>
            <w:r w:rsidRPr="008F328C">
              <w:rPr>
                <w:rFonts w:ascii="Times New Roman" w:eastAsia="Times New Roman" w:hAnsi="Times New Roman" w:cs="Times New Roman"/>
                <w:spacing w:val="-1"/>
                <w:vertAlign w:val="superscript"/>
                <w:lang w:val="pl-PL"/>
              </w:rPr>
              <w:t>1)</w:t>
            </w:r>
          </w:p>
        </w:tc>
      </w:tr>
      <w:tr w:rsidR="002E5800" w:rsidRPr="006D3555" w14:paraId="31C80237" w14:textId="77777777" w:rsidTr="00012556">
        <w:tc>
          <w:tcPr>
            <w:tcW w:w="2599" w:type="dxa"/>
            <w:vMerge/>
            <w:tcBorders>
              <w:left w:val="single" w:sz="5" w:space="0" w:color="000000"/>
              <w:bottom w:val="single" w:sz="5" w:space="0" w:color="000000"/>
              <w:right w:val="single" w:sz="5" w:space="0" w:color="000000"/>
            </w:tcBorders>
          </w:tcPr>
          <w:p w14:paraId="7BB172F4"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193FF0A"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05ABFAFA"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Niewydolność wątroby</w:t>
            </w:r>
            <w:r w:rsidRPr="008F328C">
              <w:rPr>
                <w:rFonts w:ascii="Times New Roman" w:eastAsia="Times New Roman" w:hAnsi="Times New Roman" w:cs="Times New Roman"/>
                <w:spacing w:val="-1"/>
                <w:vertAlign w:val="superscript"/>
                <w:lang w:val="pl-PL"/>
              </w:rPr>
              <w:t>1)</w:t>
            </w:r>
          </w:p>
        </w:tc>
      </w:tr>
      <w:tr w:rsidR="002E5800" w:rsidRPr="006D3555" w14:paraId="163E52E6" w14:textId="77777777" w:rsidTr="00012556">
        <w:tc>
          <w:tcPr>
            <w:tcW w:w="2599" w:type="dxa"/>
            <w:vMerge w:val="restart"/>
            <w:tcBorders>
              <w:top w:val="single" w:sz="5" w:space="0" w:color="000000"/>
              <w:left w:val="single" w:sz="5" w:space="0" w:color="000000"/>
              <w:right w:val="single" w:sz="5" w:space="0" w:color="000000"/>
            </w:tcBorders>
          </w:tcPr>
          <w:p w14:paraId="6109D710" w14:textId="77777777" w:rsidR="002E5800" w:rsidRPr="008F328C" w:rsidRDefault="000E0B7C" w:rsidP="00012556">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skóry i tkanki podskórnej</w:t>
            </w:r>
          </w:p>
        </w:tc>
        <w:tc>
          <w:tcPr>
            <w:tcW w:w="2076" w:type="dxa"/>
            <w:tcBorders>
              <w:top w:val="single" w:sz="5" w:space="0" w:color="000000"/>
              <w:left w:val="single" w:sz="5" w:space="0" w:color="000000"/>
              <w:bottom w:val="single" w:sz="5" w:space="0" w:color="000000"/>
              <w:right w:val="single" w:sz="5" w:space="0" w:color="000000"/>
            </w:tcBorders>
          </w:tcPr>
          <w:p w14:paraId="518C6DE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1361491B"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Wysypka (w tym złuszczająca się wysypka)</w:t>
            </w:r>
          </w:p>
        </w:tc>
      </w:tr>
      <w:tr w:rsidR="002E5800" w:rsidRPr="006D3555" w14:paraId="3ECF3DC5" w14:textId="77777777" w:rsidTr="00012556">
        <w:tc>
          <w:tcPr>
            <w:tcW w:w="2599" w:type="dxa"/>
            <w:vMerge/>
            <w:tcBorders>
              <w:left w:val="single" w:sz="5" w:space="0" w:color="000000"/>
              <w:right w:val="single" w:sz="5" w:space="0" w:color="000000"/>
            </w:tcBorders>
          </w:tcPr>
          <w:p w14:paraId="6FFEFCF8"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43BB7DF"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209B09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Pogorszenie się lub wystąpienie łuszczycy (w tym</w:t>
            </w:r>
          </w:p>
          <w:p w14:paraId="68C77A3F" w14:textId="77777777" w:rsidR="002E5800" w:rsidRPr="008F328C" w:rsidRDefault="000E0B7C" w:rsidP="00012556">
            <w:pPr>
              <w:pStyle w:val="TableParagraph"/>
              <w:ind w:left="99" w:right="74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łuszczyca krostkowa dłoni i stóp)</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r w:rsidR="00563E4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pokrzywka,</w:t>
            </w:r>
          </w:p>
          <w:p w14:paraId="47A9BF58"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siniaczenie (w tym plamica),</w:t>
            </w:r>
          </w:p>
          <w:p w14:paraId="561E617E" w14:textId="77777777" w:rsidR="00563E41" w:rsidRPr="008F328C" w:rsidRDefault="000E0B7C" w:rsidP="00012556">
            <w:pPr>
              <w:pStyle w:val="TableParagraph"/>
              <w:ind w:left="99" w:right="65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zapalenie skóry (w tym wyprysk), </w:t>
            </w:r>
          </w:p>
          <w:p w14:paraId="668F0666" w14:textId="77777777" w:rsidR="002E5800" w:rsidRPr="008F328C" w:rsidRDefault="000E0B7C" w:rsidP="00012556">
            <w:pPr>
              <w:pStyle w:val="TableParagraph"/>
              <w:ind w:left="99" w:right="65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łamliwość paznokci,</w:t>
            </w:r>
          </w:p>
          <w:p w14:paraId="17F558EA"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nadmierne pocenie się,</w:t>
            </w:r>
          </w:p>
          <w:p w14:paraId="3A60C507" w14:textId="77777777" w:rsidR="00563E41" w:rsidRPr="008F328C" w:rsidRDefault="000E0B7C" w:rsidP="00012556">
            <w:pPr>
              <w:pStyle w:val="TableParagraph"/>
              <w:ind w:left="99" w:right="291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łysienie</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2D7363FA" w14:textId="77777777" w:rsidR="002E5800" w:rsidRPr="008F328C" w:rsidRDefault="000E0B7C" w:rsidP="00012556">
            <w:pPr>
              <w:pStyle w:val="TableParagraph"/>
              <w:ind w:left="99" w:right="29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świąd</w:t>
            </w:r>
          </w:p>
        </w:tc>
      </w:tr>
      <w:tr w:rsidR="002E5800" w:rsidRPr="008F328C" w14:paraId="0504E8D1" w14:textId="77777777" w:rsidTr="00012556">
        <w:tc>
          <w:tcPr>
            <w:tcW w:w="2599" w:type="dxa"/>
            <w:vMerge/>
            <w:tcBorders>
              <w:left w:val="single" w:sz="5" w:space="0" w:color="000000"/>
              <w:right w:val="single" w:sz="5" w:space="0" w:color="000000"/>
            </w:tcBorders>
          </w:tcPr>
          <w:p w14:paraId="2F818124"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643FC00"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49274F23"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Poty nocne,</w:t>
            </w:r>
          </w:p>
          <w:p w14:paraId="0413C1F8"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blizna</w:t>
            </w:r>
          </w:p>
        </w:tc>
      </w:tr>
      <w:tr w:rsidR="002E5800" w:rsidRPr="006D3555" w14:paraId="7A28B29B" w14:textId="77777777" w:rsidTr="00012556">
        <w:tc>
          <w:tcPr>
            <w:tcW w:w="2599" w:type="dxa"/>
            <w:vMerge/>
            <w:tcBorders>
              <w:left w:val="single" w:sz="5" w:space="0" w:color="000000"/>
              <w:right w:val="single" w:sz="5" w:space="0" w:color="000000"/>
            </w:tcBorders>
          </w:tcPr>
          <w:p w14:paraId="2864435D"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9790B6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23B7F066" w14:textId="77777777" w:rsidR="00563E41" w:rsidRPr="008F328C" w:rsidRDefault="000E0B7C" w:rsidP="00012556">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Rumień wielopostaciowy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628E3B70" w14:textId="77777777" w:rsidR="00563E41" w:rsidRPr="008F328C" w:rsidRDefault="000E0B7C" w:rsidP="00012556">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zespół Stevensa-Johnsona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058B3559" w14:textId="77777777" w:rsidR="002E5800" w:rsidRPr="008F328C" w:rsidRDefault="000E0B7C" w:rsidP="00012556">
            <w:pPr>
              <w:pStyle w:val="TableParagraph"/>
              <w:ind w:left="99" w:right="9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naczynioruchowy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488A3BE6" w14:textId="77777777" w:rsidR="002E5800" w:rsidRPr="008F328C" w:rsidRDefault="000E0B7C" w:rsidP="00012556">
            <w:pPr>
              <w:pStyle w:val="TableParagraph"/>
              <w:ind w:left="99" w:right="18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naczyń skóry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liszajowate zmiany skórne</w:t>
            </w:r>
            <w:r w:rsidRPr="008F328C">
              <w:rPr>
                <w:rFonts w:ascii="Times New Roman" w:eastAsia="Times New Roman" w:hAnsi="Times New Roman" w:cs="Times New Roman"/>
                <w:spacing w:val="-1"/>
                <w:vertAlign w:val="superscript"/>
                <w:lang w:val="pl-PL"/>
              </w:rPr>
              <w:t>1)</w:t>
            </w:r>
          </w:p>
        </w:tc>
      </w:tr>
      <w:tr w:rsidR="002E5800" w:rsidRPr="006D3555" w14:paraId="11140C0B" w14:textId="77777777" w:rsidTr="00012556">
        <w:tc>
          <w:tcPr>
            <w:tcW w:w="2599" w:type="dxa"/>
            <w:vMerge/>
            <w:tcBorders>
              <w:left w:val="single" w:sz="5" w:space="0" w:color="000000"/>
              <w:bottom w:val="single" w:sz="5" w:space="0" w:color="000000"/>
              <w:right w:val="single" w:sz="5" w:space="0" w:color="000000"/>
            </w:tcBorders>
          </w:tcPr>
          <w:p w14:paraId="0658CC2A"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79D117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7FB30000"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Nasilenie objawów zapalenia skórno-</w:t>
            </w:r>
            <w:r w:rsidRPr="008F328C">
              <w:rPr>
                <w:rFonts w:ascii="Times New Roman" w:eastAsia="Times New Roman" w:hAnsi="Times New Roman" w:cs="Times New Roman"/>
                <w:lang w:val="pl-PL"/>
              </w:rPr>
              <w:lastRenderedPageBreak/>
              <w:t>mięśniowego</w:t>
            </w:r>
            <w:r w:rsidRPr="008F328C">
              <w:rPr>
                <w:rFonts w:ascii="Times New Roman" w:eastAsia="Times New Roman" w:hAnsi="Times New Roman" w:cs="Times New Roman"/>
                <w:vertAlign w:val="superscript"/>
                <w:lang w:val="pl-PL"/>
              </w:rPr>
              <w:t>1)</w:t>
            </w:r>
          </w:p>
        </w:tc>
      </w:tr>
      <w:tr w:rsidR="002E5800" w:rsidRPr="008F328C" w14:paraId="38CEA1A8" w14:textId="77777777" w:rsidTr="00012556">
        <w:tc>
          <w:tcPr>
            <w:tcW w:w="2599" w:type="dxa"/>
            <w:vMerge w:val="restart"/>
            <w:tcBorders>
              <w:top w:val="single" w:sz="5" w:space="0" w:color="000000"/>
              <w:left w:val="single" w:sz="5" w:space="0" w:color="000000"/>
              <w:right w:val="single" w:sz="5" w:space="0" w:color="000000"/>
            </w:tcBorders>
          </w:tcPr>
          <w:p w14:paraId="491EC834"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Zaburzenia mięśniowo-szkieletowe i tkanki łącznej</w:t>
            </w:r>
          </w:p>
        </w:tc>
        <w:tc>
          <w:tcPr>
            <w:tcW w:w="2076" w:type="dxa"/>
            <w:tcBorders>
              <w:top w:val="single" w:sz="5" w:space="0" w:color="000000"/>
              <w:left w:val="single" w:sz="5" w:space="0" w:color="000000"/>
              <w:bottom w:val="single" w:sz="5" w:space="0" w:color="000000"/>
              <w:right w:val="single" w:sz="5" w:space="0" w:color="000000"/>
            </w:tcBorders>
          </w:tcPr>
          <w:p w14:paraId="3CF3544C"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DF5C68B"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Bóle mięśniowo-szkieletowe</w:t>
            </w:r>
          </w:p>
        </w:tc>
      </w:tr>
      <w:tr w:rsidR="002E5800" w:rsidRPr="006D3555" w14:paraId="3E44461C" w14:textId="77777777" w:rsidTr="00012556">
        <w:tc>
          <w:tcPr>
            <w:tcW w:w="2599" w:type="dxa"/>
            <w:vMerge/>
            <w:tcBorders>
              <w:left w:val="single" w:sz="5" w:space="0" w:color="000000"/>
              <w:right w:val="single" w:sz="5" w:space="0" w:color="000000"/>
            </w:tcBorders>
          </w:tcPr>
          <w:p w14:paraId="6A1C77BB"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12A28A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965B7AE" w14:textId="259E3928"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Skurcze mięśni (w tym </w:t>
            </w:r>
            <w:r w:rsidR="00563E41" w:rsidRPr="008F328C">
              <w:rPr>
                <w:rFonts w:ascii="Times New Roman" w:eastAsia="Times New Roman" w:hAnsi="Times New Roman" w:cs="Times New Roman"/>
                <w:lang w:val="pl-PL"/>
              </w:rPr>
              <w:t xml:space="preserve">zwiększona aktywność </w:t>
            </w:r>
            <w:r w:rsidRPr="008F328C">
              <w:rPr>
                <w:rFonts w:ascii="Times New Roman" w:eastAsia="Times New Roman" w:hAnsi="Times New Roman" w:cs="Times New Roman"/>
                <w:lang w:val="pl-PL"/>
              </w:rPr>
              <w:t>kinazy kreatynowej we krwi)</w:t>
            </w:r>
          </w:p>
        </w:tc>
      </w:tr>
      <w:tr w:rsidR="002E5800" w:rsidRPr="006D3555" w14:paraId="27FE504B" w14:textId="77777777" w:rsidTr="00012556">
        <w:tc>
          <w:tcPr>
            <w:tcW w:w="2599" w:type="dxa"/>
            <w:vMerge/>
            <w:tcBorders>
              <w:left w:val="single" w:sz="5" w:space="0" w:color="000000"/>
              <w:right w:val="single" w:sz="5" w:space="0" w:color="000000"/>
            </w:tcBorders>
          </w:tcPr>
          <w:p w14:paraId="5C4266FA"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A75779B"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077A800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Rabdomioliza</w:t>
            </w:r>
          </w:p>
          <w:p w14:paraId="018D623C"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toczeń rumieniowaty układowy</w:t>
            </w:r>
          </w:p>
        </w:tc>
      </w:tr>
      <w:tr w:rsidR="002E5800" w:rsidRPr="006D3555" w14:paraId="0E4858DB" w14:textId="77777777" w:rsidTr="00012556">
        <w:tc>
          <w:tcPr>
            <w:tcW w:w="2599" w:type="dxa"/>
            <w:vMerge/>
            <w:tcBorders>
              <w:left w:val="single" w:sz="5" w:space="0" w:color="000000"/>
              <w:bottom w:val="single" w:sz="5" w:space="0" w:color="000000"/>
              <w:right w:val="single" w:sz="5" w:space="0" w:color="000000"/>
            </w:tcBorders>
          </w:tcPr>
          <w:p w14:paraId="625B2570"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DB8170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7A579DA9"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toczniopodobny</w:t>
            </w:r>
            <w:r w:rsidRPr="008F328C">
              <w:rPr>
                <w:rFonts w:ascii="Times New Roman" w:eastAsia="Times New Roman" w:hAnsi="Times New Roman" w:cs="Times New Roman"/>
                <w:spacing w:val="-1"/>
                <w:vertAlign w:val="superscript"/>
                <w:lang w:val="pl-PL"/>
              </w:rPr>
              <w:t>1)</w:t>
            </w:r>
          </w:p>
        </w:tc>
      </w:tr>
      <w:tr w:rsidR="002E5800" w:rsidRPr="006D3555" w14:paraId="65FFE7C6" w14:textId="77777777" w:rsidTr="00012556">
        <w:tc>
          <w:tcPr>
            <w:tcW w:w="2599" w:type="dxa"/>
            <w:vMerge w:val="restart"/>
            <w:tcBorders>
              <w:top w:val="single" w:sz="5" w:space="0" w:color="000000"/>
              <w:left w:val="single" w:sz="5" w:space="0" w:color="000000"/>
              <w:right w:val="single" w:sz="5" w:space="0" w:color="000000"/>
            </w:tcBorders>
          </w:tcPr>
          <w:p w14:paraId="088571CC" w14:textId="77777777" w:rsidR="002E5800" w:rsidRPr="008F328C" w:rsidRDefault="000E0B7C" w:rsidP="00012556">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nerek i dróg moczowych</w:t>
            </w:r>
          </w:p>
        </w:tc>
        <w:tc>
          <w:tcPr>
            <w:tcW w:w="2076" w:type="dxa"/>
            <w:tcBorders>
              <w:top w:val="single" w:sz="5" w:space="0" w:color="000000"/>
              <w:left w:val="single" w:sz="5" w:space="0" w:color="000000"/>
              <w:bottom w:val="single" w:sz="5" w:space="0" w:color="000000"/>
              <w:right w:val="single" w:sz="5" w:space="0" w:color="000000"/>
            </w:tcBorders>
          </w:tcPr>
          <w:p w14:paraId="026B675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D685257" w14:textId="42037C83" w:rsidR="00563E41" w:rsidRPr="008F328C" w:rsidRDefault="000E0B7C"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Zaburzenia czynności </w:t>
            </w:r>
            <w:r w:rsidR="00563E41" w:rsidRPr="008F328C">
              <w:rPr>
                <w:rFonts w:ascii="Times New Roman" w:eastAsia="Times New Roman" w:hAnsi="Times New Roman" w:cs="Times New Roman"/>
                <w:spacing w:val="-1"/>
                <w:lang w:val="pl-PL"/>
              </w:rPr>
              <w:t>n</w:t>
            </w:r>
            <w:r w:rsidRPr="008F328C">
              <w:rPr>
                <w:rFonts w:ascii="Times New Roman" w:eastAsia="Times New Roman" w:hAnsi="Times New Roman" w:cs="Times New Roman"/>
                <w:spacing w:val="-1"/>
                <w:lang w:val="pl-PL"/>
              </w:rPr>
              <w:t xml:space="preserve">erek, </w:t>
            </w:r>
          </w:p>
          <w:p w14:paraId="562BB65D" w14:textId="77777777" w:rsidR="002E5800" w:rsidRPr="008F328C" w:rsidRDefault="000E0B7C" w:rsidP="00012556">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krwiomocz</w:t>
            </w:r>
          </w:p>
        </w:tc>
      </w:tr>
      <w:tr w:rsidR="002E5800" w:rsidRPr="008F328C" w14:paraId="2DB37710" w14:textId="77777777" w:rsidTr="00012556">
        <w:tc>
          <w:tcPr>
            <w:tcW w:w="2599" w:type="dxa"/>
            <w:vMerge/>
            <w:tcBorders>
              <w:left w:val="single" w:sz="5" w:space="0" w:color="000000"/>
              <w:bottom w:val="single" w:sz="5" w:space="0" w:color="000000"/>
              <w:right w:val="single" w:sz="5" w:space="0" w:color="000000"/>
            </w:tcBorders>
          </w:tcPr>
          <w:p w14:paraId="256B768A"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6AF5D4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09A6222"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Oddawanie moczu w nocy</w:t>
            </w:r>
          </w:p>
        </w:tc>
      </w:tr>
      <w:tr w:rsidR="002E5800" w:rsidRPr="008F328C" w14:paraId="16C43BA6" w14:textId="77777777" w:rsidTr="00012556">
        <w:tc>
          <w:tcPr>
            <w:tcW w:w="2599" w:type="dxa"/>
            <w:tcBorders>
              <w:top w:val="single" w:sz="5" w:space="0" w:color="000000"/>
              <w:left w:val="single" w:sz="5" w:space="0" w:color="000000"/>
              <w:bottom w:val="single" w:sz="5" w:space="0" w:color="000000"/>
              <w:right w:val="single" w:sz="5" w:space="0" w:color="000000"/>
            </w:tcBorders>
          </w:tcPr>
          <w:p w14:paraId="58EB69F1"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rozrodczego i piersi</w:t>
            </w:r>
          </w:p>
        </w:tc>
        <w:tc>
          <w:tcPr>
            <w:tcW w:w="2076" w:type="dxa"/>
            <w:tcBorders>
              <w:top w:val="single" w:sz="5" w:space="0" w:color="000000"/>
              <w:left w:val="single" w:sz="5" w:space="0" w:color="000000"/>
              <w:bottom w:val="single" w:sz="5" w:space="0" w:color="000000"/>
              <w:right w:val="single" w:sz="5" w:space="0" w:color="000000"/>
            </w:tcBorders>
          </w:tcPr>
          <w:p w14:paraId="5A4C272E"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687E76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erekcji</w:t>
            </w:r>
          </w:p>
        </w:tc>
      </w:tr>
      <w:tr w:rsidR="002E5800" w:rsidRPr="006D3555" w14:paraId="61B164DB" w14:textId="77777777" w:rsidTr="00012556">
        <w:tc>
          <w:tcPr>
            <w:tcW w:w="2599" w:type="dxa"/>
            <w:vMerge w:val="restart"/>
            <w:tcBorders>
              <w:top w:val="single" w:sz="5" w:space="0" w:color="000000"/>
              <w:left w:val="single" w:sz="5" w:space="0" w:color="000000"/>
              <w:right w:val="single" w:sz="5" w:space="0" w:color="000000"/>
            </w:tcBorders>
          </w:tcPr>
          <w:p w14:paraId="013106C1"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ogólne i</w:t>
            </w:r>
          </w:p>
          <w:p w14:paraId="50DCDD79"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i stany w miejscu</w:t>
            </w:r>
          </w:p>
          <w:p w14:paraId="4429501D"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podania*</w:t>
            </w:r>
          </w:p>
        </w:tc>
        <w:tc>
          <w:tcPr>
            <w:tcW w:w="2076" w:type="dxa"/>
            <w:tcBorders>
              <w:top w:val="single" w:sz="5" w:space="0" w:color="000000"/>
              <w:left w:val="single" w:sz="5" w:space="0" w:color="000000"/>
              <w:right w:val="single" w:sz="5" w:space="0" w:color="000000"/>
            </w:tcBorders>
          </w:tcPr>
          <w:p w14:paraId="7FF32FB7"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right w:val="single" w:sz="5" w:space="0" w:color="000000"/>
            </w:tcBorders>
          </w:tcPr>
          <w:p w14:paraId="06F78B8D" w14:textId="1ACC8449"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Odczyn w miejscu wstrzyknięcia (w tym rumień w miejscu</w:t>
            </w:r>
            <w:r w:rsidR="008648FE"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w:t>
            </w:r>
          </w:p>
        </w:tc>
      </w:tr>
      <w:tr w:rsidR="002E5800" w:rsidRPr="006D3555" w14:paraId="7EAE9312" w14:textId="77777777" w:rsidTr="00012556">
        <w:tc>
          <w:tcPr>
            <w:tcW w:w="2599" w:type="dxa"/>
            <w:vMerge/>
            <w:tcBorders>
              <w:left w:val="single" w:sz="5" w:space="0" w:color="000000"/>
              <w:right w:val="single" w:sz="5" w:space="0" w:color="000000"/>
            </w:tcBorders>
          </w:tcPr>
          <w:p w14:paraId="6D770E15"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B642462"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BD474AF"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w klatce piersiowej,</w:t>
            </w:r>
          </w:p>
          <w:p w14:paraId="408D1014" w14:textId="77777777" w:rsidR="002E5800" w:rsidRPr="008F328C" w:rsidRDefault="000E0B7C" w:rsidP="00012556">
            <w:pPr>
              <w:pStyle w:val="TableParagraph"/>
              <w:ind w:left="99" w:right="29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obrzęki,gorączka</w:t>
            </w:r>
            <w:r w:rsidRPr="008F328C">
              <w:rPr>
                <w:rFonts w:ascii="Times New Roman" w:eastAsia="Times New Roman" w:hAnsi="Times New Roman" w:cs="Times New Roman"/>
                <w:spacing w:val="-1"/>
                <w:vertAlign w:val="superscript"/>
                <w:lang w:val="pl-PL"/>
              </w:rPr>
              <w:t>1)</w:t>
            </w:r>
          </w:p>
        </w:tc>
      </w:tr>
      <w:tr w:rsidR="002E5800" w:rsidRPr="008F328C" w14:paraId="6F1EE441" w14:textId="77777777" w:rsidTr="00012556">
        <w:tc>
          <w:tcPr>
            <w:tcW w:w="2599" w:type="dxa"/>
            <w:vMerge/>
            <w:tcBorders>
              <w:left w:val="single" w:sz="5" w:space="0" w:color="000000"/>
              <w:bottom w:val="single" w:sz="5" w:space="0" w:color="000000"/>
              <w:right w:val="single" w:sz="5" w:space="0" w:color="000000"/>
            </w:tcBorders>
          </w:tcPr>
          <w:p w14:paraId="0A4D2881" w14:textId="77777777" w:rsidR="002E5800" w:rsidRPr="008F328C" w:rsidRDefault="002E5800" w:rsidP="00012556">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D17A638"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F508584"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Zapalenie</w:t>
            </w:r>
          </w:p>
        </w:tc>
      </w:tr>
      <w:tr w:rsidR="00C90BC8" w:rsidRPr="006D3555" w14:paraId="2967E3E3" w14:textId="77777777" w:rsidTr="00264DF0">
        <w:tc>
          <w:tcPr>
            <w:tcW w:w="2599" w:type="dxa"/>
            <w:vMerge w:val="restart"/>
            <w:tcBorders>
              <w:top w:val="single" w:sz="5" w:space="0" w:color="000000"/>
              <w:left w:val="single" w:sz="5" w:space="0" w:color="000000"/>
              <w:right w:val="single" w:sz="5" w:space="0" w:color="000000"/>
            </w:tcBorders>
          </w:tcPr>
          <w:p w14:paraId="1A6E4208" w14:textId="77777777" w:rsidR="00C90BC8" w:rsidRPr="008F328C" w:rsidRDefault="00C90BC8"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Badania diagnostyczne*</w:t>
            </w:r>
          </w:p>
          <w:p w14:paraId="0F278083" w14:textId="23567B49" w:rsidR="00C90BC8" w:rsidRPr="008F328C" w:rsidRDefault="00C90BC8" w:rsidP="00012556">
            <w:pPr>
              <w:pStyle w:val="TableParagraph"/>
              <w:ind w:left="102"/>
              <w:rPr>
                <w:rFonts w:ascii="Times New Roman" w:eastAsia="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979CE78" w14:textId="77777777" w:rsidR="00C90BC8" w:rsidRPr="008F328C" w:rsidRDefault="00C90BC8"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0F2CA3A" w14:textId="77777777" w:rsidR="00C90BC8" w:rsidRPr="008F328C" w:rsidRDefault="00C90BC8"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krzepnięcia krwi i krwawienia (w tym wydłużenie czasu częściowej tromboplastyny po aktywacji),</w:t>
            </w:r>
          </w:p>
          <w:p w14:paraId="0D44FDFF" w14:textId="77777777" w:rsidR="00C90BC8" w:rsidRPr="008F328C" w:rsidRDefault="00C90BC8"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dodatni test w kierunku autoprzeciwciał (w tym przeciwciał przeciw dwuniciowemu DNA),</w:t>
            </w:r>
          </w:p>
          <w:p w14:paraId="2AD0DAD5" w14:textId="77777777" w:rsidR="00C90BC8" w:rsidRPr="008F328C" w:rsidRDefault="00C90BC8"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dehydrogenazy mleczanowej we krwi</w:t>
            </w:r>
          </w:p>
        </w:tc>
      </w:tr>
      <w:tr w:rsidR="00C90BC8" w:rsidRPr="008F328C" w14:paraId="39E20B51" w14:textId="77777777" w:rsidTr="00C90BC8">
        <w:tc>
          <w:tcPr>
            <w:tcW w:w="2599" w:type="dxa"/>
            <w:vMerge/>
            <w:tcBorders>
              <w:left w:val="single" w:sz="5" w:space="0" w:color="000000"/>
              <w:bottom w:val="single" w:sz="5" w:space="0" w:color="000000"/>
              <w:right w:val="single" w:sz="5" w:space="0" w:color="000000"/>
            </w:tcBorders>
          </w:tcPr>
          <w:p w14:paraId="73C69F00" w14:textId="4C69551A" w:rsidR="00C90BC8" w:rsidRPr="008F328C" w:rsidRDefault="00C90BC8" w:rsidP="00012556">
            <w:pPr>
              <w:pStyle w:val="TableParagraph"/>
              <w:ind w:left="102"/>
              <w:rPr>
                <w:rFonts w:ascii="Times New Roman" w:eastAsia="Times New Roman" w:hAnsi="Times New Roman" w:cs="Times New Roman"/>
                <w:spacing w:val="-4"/>
                <w:lang w:val="pl-PL"/>
              </w:rPr>
            </w:pPr>
          </w:p>
        </w:tc>
        <w:tc>
          <w:tcPr>
            <w:tcW w:w="2076" w:type="dxa"/>
            <w:tcBorders>
              <w:top w:val="single" w:sz="5" w:space="0" w:color="000000"/>
              <w:left w:val="single" w:sz="5" w:space="0" w:color="000000"/>
              <w:bottom w:val="single" w:sz="5" w:space="0" w:color="000000"/>
              <w:right w:val="single" w:sz="5" w:space="0" w:color="000000"/>
            </w:tcBorders>
          </w:tcPr>
          <w:p w14:paraId="25CEB39F" w14:textId="2F266A1A" w:rsidR="00C90BC8" w:rsidRPr="008F328C" w:rsidRDefault="00C90BC8" w:rsidP="00012556">
            <w:pPr>
              <w:pStyle w:val="TableParagraph"/>
              <w:ind w:left="102"/>
              <w:rPr>
                <w:rFonts w:ascii="Times New Roman" w:eastAsia="Times New Roman" w:hAnsi="Times New Roman" w:cs="Times New Roman"/>
                <w:spacing w:val="-2"/>
                <w:lang w:val="pl-PL"/>
              </w:rPr>
            </w:pPr>
            <w:r w:rsidRPr="008F328C">
              <w:rPr>
                <w:rFonts w:ascii="Times New Roman" w:eastAsia="Times New Roman" w:hAnsi="Times New Roman" w:cs="Times New Roman"/>
                <w:spacing w:val="-1"/>
                <w:lang w:val="pl-PL"/>
              </w:rPr>
              <w:t>Częstość nieznana</w:t>
            </w:r>
          </w:p>
        </w:tc>
        <w:tc>
          <w:tcPr>
            <w:tcW w:w="4695" w:type="dxa"/>
            <w:tcBorders>
              <w:top w:val="single" w:sz="5" w:space="0" w:color="000000"/>
              <w:left w:val="single" w:sz="5" w:space="0" w:color="000000"/>
              <w:bottom w:val="single" w:sz="5" w:space="0" w:color="000000"/>
              <w:right w:val="single" w:sz="5" w:space="0" w:color="000000"/>
            </w:tcBorders>
          </w:tcPr>
          <w:p w14:paraId="05CD8E8B" w14:textId="4F443387" w:rsidR="00C90BC8" w:rsidRPr="008F328C" w:rsidRDefault="00C90BC8" w:rsidP="00012556">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Zwiększenie masy ciała</w:t>
            </w:r>
            <w:r w:rsidRPr="008F328C">
              <w:rPr>
                <w:rFonts w:ascii="Times New Roman" w:eastAsia="Times New Roman" w:hAnsi="Times New Roman" w:cs="Times New Roman"/>
                <w:spacing w:val="-1"/>
                <w:vertAlign w:val="superscript"/>
                <w:lang w:val="pl-PL"/>
              </w:rPr>
              <w:t>2)</w:t>
            </w:r>
          </w:p>
        </w:tc>
      </w:tr>
      <w:tr w:rsidR="002E5800" w:rsidRPr="008F328C" w14:paraId="57939E38" w14:textId="77777777" w:rsidTr="00C90BC8">
        <w:tc>
          <w:tcPr>
            <w:tcW w:w="2599" w:type="dxa"/>
            <w:tcBorders>
              <w:top w:val="single" w:sz="5" w:space="0" w:color="000000"/>
              <w:left w:val="single" w:sz="5" w:space="0" w:color="000000"/>
              <w:bottom w:val="single" w:sz="5" w:space="0" w:color="000000"/>
              <w:right w:val="single" w:sz="5" w:space="0" w:color="000000"/>
            </w:tcBorders>
          </w:tcPr>
          <w:p w14:paraId="119E5263"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Urazy, zatrucia i powikłania po zabiegach</w:t>
            </w:r>
          </w:p>
        </w:tc>
        <w:tc>
          <w:tcPr>
            <w:tcW w:w="2076" w:type="dxa"/>
            <w:tcBorders>
              <w:top w:val="single" w:sz="5" w:space="0" w:color="000000"/>
              <w:left w:val="single" w:sz="5" w:space="0" w:color="000000"/>
              <w:bottom w:val="single" w:sz="5" w:space="0" w:color="000000"/>
              <w:right w:val="single" w:sz="5" w:space="0" w:color="000000"/>
            </w:tcBorders>
          </w:tcPr>
          <w:p w14:paraId="01CB480E" w14:textId="77777777" w:rsidR="002E5800" w:rsidRPr="008F328C" w:rsidRDefault="000E0B7C" w:rsidP="00012556">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695" w:type="dxa"/>
            <w:tcBorders>
              <w:top w:val="single" w:sz="5" w:space="0" w:color="000000"/>
              <w:left w:val="single" w:sz="5" w:space="0" w:color="000000"/>
              <w:bottom w:val="single" w:sz="5" w:space="0" w:color="000000"/>
              <w:right w:val="single" w:sz="5" w:space="0" w:color="000000"/>
            </w:tcBorders>
          </w:tcPr>
          <w:p w14:paraId="6E97FB61" w14:textId="77777777" w:rsidR="002E5800" w:rsidRPr="008F328C" w:rsidRDefault="000E0B7C" w:rsidP="00012556">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Zaburzenia gojenia</w:t>
            </w:r>
          </w:p>
        </w:tc>
      </w:tr>
    </w:tbl>
    <w:p w14:paraId="55299CFD" w14:textId="77777777" w:rsidR="002E5800" w:rsidRPr="008F328C" w:rsidRDefault="002E5800">
      <w:pPr>
        <w:spacing w:before="1" w:line="150" w:lineRule="exact"/>
        <w:rPr>
          <w:rFonts w:ascii="Times New Roman" w:hAnsi="Times New Roman" w:cs="Times New Roman"/>
          <w:sz w:val="15"/>
          <w:szCs w:val="15"/>
          <w:lang w:val="pl-PL"/>
        </w:rPr>
      </w:pPr>
    </w:p>
    <w:p w14:paraId="38787D2A" w14:textId="77777777" w:rsidR="002E5800" w:rsidRPr="008F328C" w:rsidRDefault="000E0B7C">
      <w:pPr>
        <w:pStyle w:val="a3"/>
        <w:numPr>
          <w:ilvl w:val="0"/>
          <w:numId w:val="0"/>
        </w:numPr>
        <w:rPr>
          <w:lang w:val="pl-PL"/>
        </w:rPr>
      </w:pPr>
      <w:r w:rsidRPr="008F328C">
        <w:rPr>
          <w:rFonts w:eastAsia="Times New Roman"/>
          <w:lang w:val="pl-PL"/>
        </w:rPr>
        <w:t>* dodatkowe informacje znaleźć można w punktach 4.3, 4.4 i 4.8</w:t>
      </w:r>
    </w:p>
    <w:p w14:paraId="01667347" w14:textId="77777777" w:rsidR="002E5800" w:rsidRPr="008F328C" w:rsidRDefault="000E0B7C">
      <w:pPr>
        <w:pStyle w:val="a3"/>
        <w:rPr>
          <w:lang w:val="pl-PL"/>
        </w:rPr>
      </w:pPr>
      <w:r w:rsidRPr="008F328C">
        <w:rPr>
          <w:rFonts w:eastAsia="Times New Roman"/>
          <w:lang w:val="pl-PL"/>
        </w:rPr>
        <w:t>** w tym badania kontynuacyjne metodą otwartej próby</w:t>
      </w:r>
    </w:p>
    <w:p w14:paraId="5261150D" w14:textId="03B07782" w:rsidR="002E5800" w:rsidRPr="008F328C" w:rsidRDefault="000E0B7C">
      <w:pPr>
        <w:pStyle w:val="a3"/>
        <w:rPr>
          <w:rFonts w:eastAsia="Times New Roman"/>
          <w:position w:val="8"/>
          <w:lang w:val="pl-PL"/>
        </w:rPr>
      </w:pPr>
      <w:r w:rsidRPr="008F328C">
        <w:rPr>
          <w:rFonts w:eastAsia="Times New Roman"/>
          <w:position w:val="8"/>
          <w:sz w:val="14"/>
          <w:szCs w:val="14"/>
          <w:lang w:val="pl-PL"/>
        </w:rPr>
        <w:t xml:space="preserve">1) </w:t>
      </w:r>
      <w:r w:rsidRPr="008F328C">
        <w:rPr>
          <w:rFonts w:eastAsia="Times New Roman"/>
          <w:position w:val="8"/>
          <w:lang w:val="pl-PL"/>
        </w:rPr>
        <w:t>w tym dane ze zgłoszeń spontanicznych</w:t>
      </w:r>
    </w:p>
    <w:p w14:paraId="6ECC9C29" w14:textId="20755C3C" w:rsidR="00C90BC8" w:rsidRPr="008F328C" w:rsidRDefault="00C90BC8" w:rsidP="00305BBD">
      <w:pPr>
        <w:pStyle w:val="a3"/>
        <w:ind w:left="176" w:hangingChars="80" w:hanging="176"/>
        <w:rPr>
          <w:lang w:val="pl-PL"/>
        </w:rPr>
      </w:pPr>
      <w:r w:rsidRPr="008F328C">
        <w:rPr>
          <w:vertAlign w:val="superscript"/>
          <w:lang w:val="pl-PL"/>
        </w:rPr>
        <w:t>2)</w:t>
      </w:r>
      <w:r w:rsidRPr="008F328C">
        <w:rPr>
          <w:lang w:val="pl-PL"/>
        </w:rPr>
        <w:t xml:space="preserve"> </w:t>
      </w:r>
      <w:r w:rsidR="00B9171D" w:rsidRPr="008F328C">
        <w:rPr>
          <w:lang w:val="pl-PL"/>
        </w:rPr>
        <w:t xml:space="preserve">W </w:t>
      </w:r>
      <w:r w:rsidRPr="008F328C">
        <w:rPr>
          <w:lang w:val="pl-PL"/>
        </w:rPr>
        <w:t>okresie leczenia trwającego 4–6 miesięcy w przypadku adalimumabu średnia zmiana masy ciała względem wartości początkowej wynosiła 0,3–1,0 kg we wskazaniach do stosowania u osób dorosłych, a w przypadku placebo (minus) -0,4–0,4 kg. W długotrwałych badaniach przedłużonych ze średnim czasem narażenia wynoszącym około 1–2 lat i bez grupy kontrolnej, obserwowano też zwiększenie masy ciała o 5–6 kg, zwłaszcza u pacjentów z chorobą Leśniowskiego-Crohna oraz z wrzodziejącym zapaleniem jelita grubego. Mechanizm warunkujący to działanie nie jest w pełni wyjaśniony, ale może mieć związek z przeciwzapalnym działaniem adalimumabu.</w:t>
      </w:r>
    </w:p>
    <w:p w14:paraId="71717EA5" w14:textId="77777777" w:rsidR="002E5800" w:rsidRPr="008F328C" w:rsidRDefault="002E5800">
      <w:pPr>
        <w:spacing w:before="13" w:line="240" w:lineRule="exact"/>
        <w:rPr>
          <w:rFonts w:ascii="Times New Roman" w:hAnsi="Times New Roman" w:cs="Times New Roman"/>
          <w:sz w:val="24"/>
          <w:szCs w:val="24"/>
          <w:lang w:val="pl-PL"/>
        </w:rPr>
      </w:pPr>
    </w:p>
    <w:p w14:paraId="2A146CF7" w14:textId="77777777" w:rsidR="002E5800" w:rsidRPr="008F328C" w:rsidRDefault="000E0B7C">
      <w:pPr>
        <w:pStyle w:val="a3"/>
        <w:rPr>
          <w:u w:val="single"/>
          <w:lang w:val="pl-PL"/>
        </w:rPr>
      </w:pPr>
      <w:r w:rsidRPr="008F328C">
        <w:rPr>
          <w:rFonts w:eastAsia="Times New Roman"/>
          <w:i/>
          <w:iCs/>
          <w:u w:val="single" w:color="000000"/>
          <w:lang w:val="pl-PL"/>
        </w:rPr>
        <w:t>Ropne zapalenie apokrynowych gruczołów potowych</w:t>
      </w:r>
    </w:p>
    <w:p w14:paraId="6CA4FE4B" w14:textId="77777777" w:rsidR="002E5800" w:rsidRPr="008F328C" w:rsidRDefault="002E5800">
      <w:pPr>
        <w:spacing w:before="1" w:line="180" w:lineRule="exact"/>
        <w:rPr>
          <w:rFonts w:ascii="Times New Roman" w:hAnsi="Times New Roman" w:cs="Times New Roman"/>
          <w:sz w:val="18"/>
          <w:szCs w:val="18"/>
          <w:lang w:val="pl-PL"/>
        </w:rPr>
      </w:pPr>
    </w:p>
    <w:p w14:paraId="10BC76CA" w14:textId="32FB9E11" w:rsidR="002E5800" w:rsidRPr="008F328C" w:rsidRDefault="000E0B7C">
      <w:pPr>
        <w:pStyle w:val="a3"/>
        <w:rPr>
          <w:lang w:val="pl-PL"/>
        </w:rPr>
      </w:pPr>
      <w:r w:rsidRPr="008F328C">
        <w:rPr>
          <w:rFonts w:eastAsia="Times New Roman"/>
          <w:lang w:val="pl-PL"/>
        </w:rPr>
        <w:t>U pacjentów z ropnym zapaleniem apokrynowych gruczołów potowych leczonych adalimumabem raz w tygodniu profil bezpieczeństwa był zgodny ze znanym profilem bezpieczeństwa adalimumabu.</w:t>
      </w:r>
    </w:p>
    <w:p w14:paraId="2925DA75" w14:textId="77777777" w:rsidR="002E5800" w:rsidRPr="008F328C" w:rsidRDefault="002E5800">
      <w:pPr>
        <w:spacing w:before="11" w:line="240" w:lineRule="exact"/>
        <w:rPr>
          <w:rFonts w:ascii="Times New Roman" w:hAnsi="Times New Roman" w:cs="Times New Roman"/>
          <w:sz w:val="24"/>
          <w:szCs w:val="24"/>
          <w:lang w:val="pl-PL"/>
        </w:rPr>
      </w:pPr>
    </w:p>
    <w:p w14:paraId="2C3A8163" w14:textId="77777777" w:rsidR="002E5800" w:rsidRPr="008F328C" w:rsidRDefault="000E0B7C">
      <w:pPr>
        <w:pStyle w:val="a3"/>
        <w:rPr>
          <w:u w:val="single"/>
          <w:lang w:val="pl-PL"/>
        </w:rPr>
      </w:pPr>
      <w:r w:rsidRPr="008F328C">
        <w:rPr>
          <w:rFonts w:eastAsia="Times New Roman"/>
          <w:u w:val="single" w:color="000000"/>
          <w:lang w:val="pl-PL"/>
        </w:rPr>
        <w:t>Zapalenie błony naczyniowej oka</w:t>
      </w:r>
    </w:p>
    <w:p w14:paraId="5B82865C" w14:textId="77777777" w:rsidR="002E5800" w:rsidRPr="008F328C" w:rsidRDefault="002E5800">
      <w:pPr>
        <w:spacing w:before="1" w:line="180" w:lineRule="exact"/>
        <w:rPr>
          <w:rFonts w:ascii="Times New Roman" w:hAnsi="Times New Roman" w:cs="Times New Roman"/>
          <w:sz w:val="18"/>
          <w:szCs w:val="18"/>
          <w:lang w:val="pl-PL"/>
        </w:rPr>
      </w:pPr>
    </w:p>
    <w:p w14:paraId="396957A1" w14:textId="77777777" w:rsidR="002E5800" w:rsidRPr="008F328C" w:rsidRDefault="000E0B7C">
      <w:pPr>
        <w:pStyle w:val="a3"/>
        <w:rPr>
          <w:lang w:val="pl-PL"/>
        </w:rPr>
      </w:pPr>
      <w:r w:rsidRPr="008F328C">
        <w:rPr>
          <w:rFonts w:eastAsia="Times New Roman"/>
          <w:lang w:val="pl-PL"/>
        </w:rPr>
        <w:t>U pacjentów z zapaleniem błony naczyniowej oka leczonych adalimumabem co drugi tydzień profil bezpieczeństwa był zgodny ze znanym profilem bezpieczeństwa adalimumabu.</w:t>
      </w:r>
    </w:p>
    <w:p w14:paraId="19539E06" w14:textId="77777777" w:rsidR="002E5800" w:rsidRPr="008F328C" w:rsidRDefault="002E5800">
      <w:pPr>
        <w:spacing w:before="11" w:line="240" w:lineRule="exact"/>
        <w:rPr>
          <w:rFonts w:ascii="Times New Roman" w:hAnsi="Times New Roman" w:cs="Times New Roman"/>
          <w:sz w:val="24"/>
          <w:szCs w:val="24"/>
          <w:lang w:val="pl-PL"/>
        </w:rPr>
      </w:pPr>
    </w:p>
    <w:p w14:paraId="37E1FA30" w14:textId="77777777" w:rsidR="002E5800" w:rsidRPr="00D97EE5" w:rsidRDefault="000E0B7C">
      <w:pPr>
        <w:pStyle w:val="a3"/>
        <w:rPr>
          <w:u w:val="single"/>
          <w:lang w:val="pl-PL"/>
        </w:rPr>
      </w:pPr>
      <w:r w:rsidRPr="00D97EE5">
        <w:rPr>
          <w:rFonts w:eastAsia="Times New Roman"/>
          <w:u w:val="single" w:color="000000"/>
          <w:lang w:val="pl-PL"/>
        </w:rPr>
        <w:t>Opis wybranych działań niepożądanych</w:t>
      </w:r>
    </w:p>
    <w:p w14:paraId="7347CB24" w14:textId="77777777" w:rsidR="002E5800" w:rsidRPr="008F328C" w:rsidRDefault="002E5800">
      <w:pPr>
        <w:pStyle w:val="a3"/>
        <w:rPr>
          <w:sz w:val="18"/>
          <w:szCs w:val="18"/>
          <w:lang w:val="pl-PL"/>
        </w:rPr>
      </w:pPr>
    </w:p>
    <w:p w14:paraId="24491DC4" w14:textId="77777777" w:rsidR="002E5800" w:rsidRPr="008F328C" w:rsidRDefault="000E0B7C">
      <w:pPr>
        <w:pStyle w:val="a3"/>
        <w:rPr>
          <w:rFonts w:eastAsia="Times New Roman"/>
          <w:lang w:val="pl-PL"/>
        </w:rPr>
      </w:pPr>
      <w:r w:rsidRPr="008F328C">
        <w:rPr>
          <w:rFonts w:eastAsia="Times New Roman"/>
          <w:i/>
          <w:iCs/>
          <w:spacing w:val="-1"/>
          <w:lang w:val="pl-PL"/>
        </w:rPr>
        <w:t>Odczyny w miejscu wstrzyknięcia</w:t>
      </w:r>
    </w:p>
    <w:p w14:paraId="24079B15" w14:textId="77777777" w:rsidR="002E5800" w:rsidRPr="008F328C" w:rsidRDefault="002E5800">
      <w:pPr>
        <w:pStyle w:val="a3"/>
        <w:rPr>
          <w:sz w:val="24"/>
          <w:szCs w:val="24"/>
          <w:lang w:val="pl-PL"/>
        </w:rPr>
      </w:pPr>
    </w:p>
    <w:p w14:paraId="52D534EB" w14:textId="77777777" w:rsidR="002E5800" w:rsidRPr="008F328C" w:rsidRDefault="000E0B7C">
      <w:pPr>
        <w:pStyle w:val="a3"/>
        <w:rPr>
          <w:lang w:val="pl-PL"/>
        </w:rPr>
      </w:pPr>
      <w:r w:rsidRPr="008F328C">
        <w:rPr>
          <w:rFonts w:eastAsia="Times New Roman"/>
          <w:lang w:val="pl-PL"/>
        </w:rPr>
        <w:lastRenderedPageBreak/>
        <w:t>W głównych kontrolowanych badaniach klinicznych u dorosłych i dzieci, u 12,9% pacjentów leczonych adalimumabem wystąpiły odczyny w miejscu wstrzyknięcia [rumień i (lub) świąd, krwotok, ból lub obrzęk] w porównaniu do 7,2% pacjentów otrzymujących placebo lub czynną substancję porównawczą. Na ogół odczyny w miejscu wstrzyknięcia nie wymagały zaprzestania stosowania produktu leczniczego.</w:t>
      </w:r>
    </w:p>
    <w:p w14:paraId="585BEF5D" w14:textId="77777777" w:rsidR="002E5800" w:rsidRPr="008F328C" w:rsidRDefault="002E5800">
      <w:pPr>
        <w:pStyle w:val="a3"/>
        <w:rPr>
          <w:lang w:val="pl-PL"/>
        </w:rPr>
      </w:pPr>
    </w:p>
    <w:p w14:paraId="59FAB460" w14:textId="77777777" w:rsidR="002E5800" w:rsidRPr="008F328C" w:rsidRDefault="000E0B7C">
      <w:pPr>
        <w:pStyle w:val="a3"/>
        <w:rPr>
          <w:rFonts w:eastAsia="Times New Roman"/>
          <w:lang w:val="pl-PL"/>
        </w:rPr>
      </w:pPr>
      <w:r w:rsidRPr="008F328C">
        <w:rPr>
          <w:rFonts w:eastAsia="Times New Roman"/>
          <w:i/>
          <w:iCs/>
          <w:spacing w:val="-1"/>
          <w:lang w:val="pl-PL"/>
        </w:rPr>
        <w:t>Zakażenia</w:t>
      </w:r>
    </w:p>
    <w:p w14:paraId="01E6AECE" w14:textId="77777777" w:rsidR="002E5800" w:rsidRPr="008F328C" w:rsidRDefault="002E5800">
      <w:pPr>
        <w:pStyle w:val="a3"/>
        <w:rPr>
          <w:lang w:val="pl-PL"/>
        </w:rPr>
      </w:pPr>
    </w:p>
    <w:p w14:paraId="09CCC5D8" w14:textId="77777777" w:rsidR="002E5800" w:rsidRPr="008F328C" w:rsidRDefault="000E0B7C">
      <w:pPr>
        <w:pStyle w:val="a3"/>
        <w:rPr>
          <w:lang w:val="pl-PL"/>
        </w:rPr>
      </w:pPr>
      <w:r w:rsidRPr="008F328C">
        <w:rPr>
          <w:rFonts w:eastAsia="Times New Roman"/>
          <w:lang w:val="pl-PL"/>
        </w:rPr>
        <w:t>W głównych kontrolowanych badaniach klinicznych u dorosłych i dzieci, współczynnik zakażeń wynosił 1,51 na pacjentorok u pacjentów leczonych adalimumabem oraz 1,46 na pacjentorok u pacjentów otrzymujących placebo lub czynną substancję porównawczą. Były to przede wszystkim zapalenie części nosowej gardła, zakażenie górnych dróg oddechowych i zapalenie zatok. Większość pacjentów kontynuowała stosowanie produktu adalimumabem po ustąpieniu zakażenia.</w:t>
      </w:r>
    </w:p>
    <w:p w14:paraId="0FCE9B02" w14:textId="77777777" w:rsidR="002E5800" w:rsidRPr="008F328C" w:rsidRDefault="002E5800">
      <w:pPr>
        <w:pStyle w:val="a3"/>
        <w:rPr>
          <w:lang w:val="pl-PL"/>
        </w:rPr>
      </w:pPr>
    </w:p>
    <w:p w14:paraId="041D544B" w14:textId="77777777" w:rsidR="002E5800" w:rsidRPr="008F328C" w:rsidRDefault="000E0B7C">
      <w:pPr>
        <w:pStyle w:val="a3"/>
        <w:rPr>
          <w:lang w:val="pl-PL"/>
        </w:rPr>
      </w:pPr>
      <w:r w:rsidRPr="008F328C">
        <w:rPr>
          <w:rFonts w:eastAsia="Times New Roman"/>
          <w:lang w:val="pl-PL"/>
        </w:rPr>
        <w:t>Częstość występowania ciężkich zakażeń wynosiła 0,04 na pacjentorok u pacjentów leczonych adalimumabem i 0,03 na pacjentorok u pacjentów otrzymujących placebo lub czynną substancję porównawczą.</w:t>
      </w:r>
    </w:p>
    <w:p w14:paraId="74376ACA" w14:textId="77777777" w:rsidR="002E5800" w:rsidRPr="008F328C" w:rsidRDefault="002E5800">
      <w:pPr>
        <w:pStyle w:val="a3"/>
        <w:rPr>
          <w:lang w:val="pl-PL"/>
        </w:rPr>
      </w:pPr>
    </w:p>
    <w:p w14:paraId="0D08D005" w14:textId="79EBB8D4" w:rsidR="002E5800" w:rsidRPr="008F328C" w:rsidRDefault="000E0B7C">
      <w:pPr>
        <w:pStyle w:val="a3"/>
        <w:rPr>
          <w:lang w:val="pl-PL"/>
        </w:rPr>
      </w:pPr>
      <w:r w:rsidRPr="008F328C">
        <w:rPr>
          <w:rFonts w:eastAsia="Times New Roman"/>
          <w:lang w:val="pl-PL"/>
        </w:rPr>
        <w:t xml:space="preserve">W kontrolowanych i otwartych badaniach klinicznych </w:t>
      </w:r>
      <w:r w:rsidR="00BD7CEF" w:rsidRPr="008F328C">
        <w:rPr>
          <w:rFonts w:eastAsia="Times New Roman"/>
          <w:lang w:val="pl-PL"/>
        </w:rPr>
        <w:t xml:space="preserve">adalimumabu </w:t>
      </w:r>
      <w:r w:rsidRPr="008F328C">
        <w:rPr>
          <w:rFonts w:eastAsia="Times New Roman"/>
          <w:lang w:val="pl-PL"/>
        </w:rPr>
        <w:t>u dorosłych i dzieci, zgłaszano ciężkie zakażenia (w tym zakażenia prowadzące do zgonu, które występowały rzadko) łącznie z doniesieniami o gruźlicy (w tym gruźlicy prosówkowej i pozapłucnej) oraz o inwazyjnych zakażeniach oportunistycznych (np. rozsiana lub pozapłucna histoplazmoza, blastomykoza, kokcydioidomykoza, pneumocystoza, kandydoza, aspergiloza i listerioza). Większość przypadków gruźlicy pojawiło się podczas pierwszych ośmiu miesięcy leczenia i może być wyrazem uaktywnienia się utajonego procesu chorobowego.</w:t>
      </w:r>
    </w:p>
    <w:p w14:paraId="2620F8A7" w14:textId="77777777" w:rsidR="002E5800" w:rsidRPr="008F328C" w:rsidRDefault="002E5800">
      <w:pPr>
        <w:pStyle w:val="a3"/>
        <w:rPr>
          <w:lang w:val="pl-PL"/>
        </w:rPr>
      </w:pPr>
    </w:p>
    <w:p w14:paraId="59EFF848" w14:textId="77777777" w:rsidR="002E5800" w:rsidRPr="008F328C" w:rsidRDefault="000E0B7C">
      <w:pPr>
        <w:pStyle w:val="a3"/>
        <w:rPr>
          <w:rFonts w:eastAsia="Times New Roman"/>
          <w:lang w:val="pl-PL"/>
        </w:rPr>
      </w:pPr>
      <w:r w:rsidRPr="008F328C">
        <w:rPr>
          <w:rFonts w:eastAsia="Times New Roman"/>
          <w:i/>
          <w:iCs/>
          <w:spacing w:val="-1"/>
          <w:lang w:val="pl-PL"/>
        </w:rPr>
        <w:t>Nowotwory złośliwe i zaburzenia limfoproliferacyjne</w:t>
      </w:r>
    </w:p>
    <w:p w14:paraId="6614C549" w14:textId="77777777" w:rsidR="002E5800" w:rsidRPr="008F328C" w:rsidRDefault="002E5800">
      <w:pPr>
        <w:pStyle w:val="a3"/>
        <w:rPr>
          <w:lang w:val="pl-PL"/>
        </w:rPr>
      </w:pPr>
    </w:p>
    <w:p w14:paraId="45E16746" w14:textId="3E34ED58" w:rsidR="002E5800" w:rsidRPr="008F328C" w:rsidRDefault="000E0B7C">
      <w:pPr>
        <w:pStyle w:val="a3"/>
        <w:rPr>
          <w:lang w:val="pl-PL"/>
        </w:rPr>
      </w:pPr>
      <w:r w:rsidRPr="008F328C">
        <w:rPr>
          <w:rFonts w:eastAsia="Times New Roman"/>
          <w:lang w:val="pl-PL"/>
        </w:rPr>
        <w:t xml:space="preserve">Nie zaobserwowano nowotworów złośliwych u 249 pacjentów pediatrycznych podczas badań klinicznych adalimumabu u pacjentów z młodzieńczym idiopatycznym zapaleniem stawów (wielostawowym młodzieńczym idiopatycznym zapaleniem stawów i zapaleniem stawów z towarzyszącym zapaleniem przyczepów ścięgnistych), gdzie ekspozycja wynosiła 655,6 pacjentolat. Ponadto, nie zaobserwowano nowotworów złośliwych u 192 pacjentów podczas badań klinicznych adalimumabu u dzieci i młodzieży z chorobą Leśniowskiego-Crohna, gdzie narażenie wynosiło 498,1 pacjentolat. W badaniu klinicznym adalimumabu u dzieci i młodzieży z przewlekłą łuszczycą zwyczajną (plackowatą) nie zaobserwowano nowotworów złośliwych u 77 pacjentów przy ekspozycji wynoszącej 80,0 pacjentolat. </w:t>
      </w:r>
      <w:r w:rsidR="007011B1" w:rsidRPr="008F328C">
        <w:rPr>
          <w:rStyle w:val="normaltextrun"/>
          <w:shd w:val="clear" w:color="auto" w:fill="FFFFFF"/>
          <w:lang w:val="pl-PL"/>
        </w:rPr>
        <w:t>W badaniu klinicznym produktu adalimumabu u dzieci i młodzieży z wrzodziejącym zapaleniem jelita grubego nie zaobserwowano nowotworów złośliwych u 93 pacjentów przy ekspozycji wynoszącej 65,3 pacjentolat</w:t>
      </w:r>
      <w:r w:rsidR="007011B1" w:rsidRPr="008F328C">
        <w:rPr>
          <w:rFonts w:eastAsia="Calibri"/>
          <w:lang w:val="pl-PL"/>
        </w:rPr>
        <w:t xml:space="preserve">. </w:t>
      </w:r>
      <w:r w:rsidRPr="008F328C">
        <w:rPr>
          <w:rFonts w:eastAsia="Times New Roman"/>
          <w:lang w:val="pl-PL"/>
        </w:rPr>
        <w:t>Nie zaobserwowano nowotworów złośliwych u 60 pacjentów pediatrycznych podczas badania klinicznego adalimumabu u pacjentów pediatrycznych z zapaleniem błony naczyniowej oka, gdzie ekspozycja wynosiła 58,4 pacjentolat.</w:t>
      </w:r>
    </w:p>
    <w:p w14:paraId="7343B587" w14:textId="77777777" w:rsidR="002E5800" w:rsidRPr="008F328C" w:rsidRDefault="002E5800">
      <w:pPr>
        <w:spacing w:before="13" w:line="240" w:lineRule="exact"/>
        <w:rPr>
          <w:rFonts w:ascii="Times New Roman" w:hAnsi="Times New Roman" w:cs="Times New Roman"/>
          <w:sz w:val="24"/>
          <w:szCs w:val="24"/>
          <w:lang w:val="pl-PL"/>
        </w:rPr>
      </w:pPr>
    </w:p>
    <w:p w14:paraId="0797F8BA" w14:textId="631EA83B" w:rsidR="002E5800" w:rsidRPr="008F328C" w:rsidRDefault="000E0B7C">
      <w:pPr>
        <w:pStyle w:val="a3"/>
        <w:rPr>
          <w:lang w:val="pl-PL"/>
        </w:rPr>
      </w:pPr>
      <w:r w:rsidRPr="008F328C">
        <w:rPr>
          <w:rFonts w:eastAsia="Times New Roman"/>
          <w:lang w:val="pl-PL"/>
        </w:rPr>
        <w:t xml:space="preserve">W czasie kontrolowanych części głównych badań klinicznych adalimumabu trwających co najmniej 12 tygodni u dorosłych pacjentów z umiarkowanym do ciężkiego czynnym reumatoidalnym zapaleniem stawów, zesztywniającym zapaleniem stawów kręgosłupa, osiową spondyloartropatią bez zmian radiograficznych charakterystycznych dla zesztywniającego zapalenia stawów kręgosłupa, łuszczycowym zapaleniem stawów, łuszczycą, ropnym zapaleniem apokrynowych gruczołów potowych, chorobą Leśniowskiego-Crohna, wrzodziejącym zapaleniem jelita grubego i zapaleniem błony naczyniowej oka, obserwowany współczynnik występowania (95% przedział ufności) nowotworów złośliwych, innych niż chłoniak i rak skóry niebędący czerniakiem, wynosił 6,8 (4,4, 10,5) na 1000 pacjentolat u 5291 pacjentów leczonych adalimumabem w porównaniu do współczynnika 6,3 (3,4, 11,8) na 1000 pacjentolat u 3444 pacjentów z grup kontrolnych (mediana czasu trwania leczenia wynosiła 4,0 miesiące u pacjentów leczonych adalimumabemm oraz 3,8 miesiąca u pacjentów z grup kontrolnych). Współczynnik występowania (95% przedział ufności) raków skóry, niebędących czerniakiem, wynosił 8,8 (6,0, 13,0) na </w:t>
      </w:r>
      <w:r w:rsidRPr="008F328C">
        <w:rPr>
          <w:rFonts w:eastAsia="Times New Roman"/>
          <w:lang w:val="pl-PL"/>
        </w:rPr>
        <w:lastRenderedPageBreak/>
        <w:t xml:space="preserve">1000 pacjentolat u pacjentów leczonych adalimumabem oraz 3,2 (1,3, 7,6) na 1000 pacjentolat u pacjentów z grup kontrolnych. Z tych raków skóry, współczynniki występowania (95% przedział ufności) raków płaskonabłonkowych wynosiły 2,7 (1,4, 5,4) na 1000 pacjentolat u pacjentów leczonych adalimumabem i 0,6 (0,1, 4,5) na </w:t>
      </w:r>
      <w:r w:rsidR="0039320B" w:rsidRPr="008F328C">
        <w:rPr>
          <w:rFonts w:eastAsia="Times New Roman"/>
          <w:lang w:val="pl-PL"/>
        </w:rPr>
        <w:t>1 </w:t>
      </w:r>
      <w:r w:rsidRPr="008F328C">
        <w:rPr>
          <w:rFonts w:eastAsia="Times New Roman"/>
          <w:lang w:val="pl-PL"/>
        </w:rPr>
        <w:t>000 pacjentolat u pacjentów z grup kontrolnych. Współczynnik występowania (95% przedział ufności) chłoniaków wynosił 0,7 (0,2, 2,7) na 1</w:t>
      </w:r>
      <w:r w:rsidR="0039320B" w:rsidRPr="008F328C">
        <w:rPr>
          <w:rFonts w:eastAsia="Times New Roman"/>
          <w:lang w:val="pl-PL"/>
        </w:rPr>
        <w:t> </w:t>
      </w:r>
      <w:r w:rsidRPr="008F328C">
        <w:rPr>
          <w:rFonts w:eastAsia="Times New Roman"/>
          <w:lang w:val="pl-PL"/>
        </w:rPr>
        <w:t>000 pacjentolat u pacjentów leczonych adalimumabem oraz 0,6 (0,1, 4,5) na 1</w:t>
      </w:r>
      <w:r w:rsidR="0039320B" w:rsidRPr="008F328C">
        <w:rPr>
          <w:rFonts w:eastAsia="Times New Roman"/>
          <w:lang w:val="pl-PL"/>
        </w:rPr>
        <w:t> </w:t>
      </w:r>
      <w:r w:rsidRPr="008F328C">
        <w:rPr>
          <w:rFonts w:eastAsia="Times New Roman"/>
          <w:lang w:val="pl-PL"/>
        </w:rPr>
        <w:t>000 pacjentolat u pacjentów z grup kontrolnych.</w:t>
      </w:r>
    </w:p>
    <w:p w14:paraId="6C2DB4A2" w14:textId="77777777" w:rsidR="002E5800" w:rsidRPr="008F328C" w:rsidRDefault="002E5800">
      <w:pPr>
        <w:spacing w:before="13" w:line="240" w:lineRule="exact"/>
        <w:rPr>
          <w:rFonts w:ascii="Times New Roman" w:hAnsi="Times New Roman" w:cs="Times New Roman"/>
          <w:sz w:val="24"/>
          <w:szCs w:val="24"/>
          <w:lang w:val="pl-PL"/>
        </w:rPr>
      </w:pPr>
    </w:p>
    <w:p w14:paraId="3077AC7B" w14:textId="77777777" w:rsidR="002E5800" w:rsidRPr="008F328C" w:rsidRDefault="000E0B7C">
      <w:pPr>
        <w:pStyle w:val="a3"/>
        <w:rPr>
          <w:lang w:val="pl-PL"/>
        </w:rPr>
      </w:pPr>
      <w:r w:rsidRPr="008F328C">
        <w:rPr>
          <w:rFonts w:eastAsia="Times New Roman"/>
          <w:lang w:val="pl-PL"/>
        </w:rPr>
        <w:t>Gdy rozpatruje się łącznie kontrolowane części tych badań klinicznych oraz trwające obecnie i zakończone badania otwarte będące ich kontynuacją, o medianie czasu trwania wynoszącej około 3,3 lat, obejmujące 6427 pacjentów i ponad 26 439 pacjentolat terapii, obserwowany współczynnik występowania nowotworów złośliwych, innych niż chłoniak i raki skóry niebędące czerniakiem, wynosi około 8,5 na 1000 pacjentolat. Obserwowany współczynnik występowania raków skóry niebędących czerniakiem wynosi około 9,6 na 1000 pacjentolat, a obserwowany współczynnik występowania chłoniaków – około 1,3 na 1000 pacjentolat.</w:t>
      </w:r>
    </w:p>
    <w:p w14:paraId="7A20A772" w14:textId="77777777" w:rsidR="002E5800" w:rsidRPr="008F328C" w:rsidRDefault="002E5800">
      <w:pPr>
        <w:spacing w:before="14" w:line="240" w:lineRule="exact"/>
        <w:rPr>
          <w:rFonts w:ascii="Times New Roman" w:hAnsi="Times New Roman" w:cs="Times New Roman"/>
          <w:sz w:val="24"/>
          <w:szCs w:val="24"/>
          <w:lang w:val="pl-PL"/>
        </w:rPr>
      </w:pPr>
    </w:p>
    <w:p w14:paraId="51C4CC87" w14:textId="2E4F8C93" w:rsidR="002E5800" w:rsidRPr="008F328C" w:rsidRDefault="000E0B7C">
      <w:pPr>
        <w:pStyle w:val="a3"/>
        <w:rPr>
          <w:lang w:val="pl-PL"/>
        </w:rPr>
      </w:pPr>
      <w:r w:rsidRPr="008F328C">
        <w:rPr>
          <w:rFonts w:eastAsia="Times New Roman"/>
          <w:lang w:val="pl-PL"/>
        </w:rPr>
        <w:t xml:space="preserve">Po wprowadzeniu produktu do obrotu, od stycznia 2003 do grudnia 2010, głównie u pacjentów z reumatoidalnym zapaleniem stawów, zgłaszany </w:t>
      </w:r>
      <w:r w:rsidR="00C93394">
        <w:rPr>
          <w:lang w:val="pl-PL"/>
        </w:rPr>
        <w:t xml:space="preserve">spontanicznie </w:t>
      </w:r>
      <w:r w:rsidRPr="008F328C">
        <w:rPr>
          <w:rFonts w:eastAsia="Times New Roman"/>
          <w:lang w:val="pl-PL"/>
        </w:rPr>
        <w:t xml:space="preserve">współczynnik występowania nowotworów złośliwych wynosi około 2,7 na 1000 pacjentolat. Zgłaszane </w:t>
      </w:r>
      <w:r w:rsidR="00C93394">
        <w:rPr>
          <w:lang w:val="pl-PL"/>
        </w:rPr>
        <w:t xml:space="preserve">spontanicznie </w:t>
      </w:r>
      <w:r w:rsidRPr="008F328C">
        <w:rPr>
          <w:rFonts w:eastAsia="Times New Roman"/>
          <w:lang w:val="pl-PL"/>
        </w:rPr>
        <w:t>współczynniki występowania raków skóry niebędących czerniakami i chłoniaków wynoszą odpowiednio około 0,2 i 0,3 na 1000 pacjentolat (patrz punkt 4.4).</w:t>
      </w:r>
    </w:p>
    <w:p w14:paraId="05E74AA9" w14:textId="77777777" w:rsidR="002E5800" w:rsidRPr="008F328C" w:rsidRDefault="002E5800">
      <w:pPr>
        <w:spacing w:before="17" w:line="240" w:lineRule="exact"/>
        <w:rPr>
          <w:rFonts w:ascii="Times New Roman" w:hAnsi="Times New Roman" w:cs="Times New Roman"/>
          <w:sz w:val="24"/>
          <w:szCs w:val="24"/>
          <w:lang w:val="pl-PL"/>
        </w:rPr>
      </w:pPr>
    </w:p>
    <w:p w14:paraId="1527F34A" w14:textId="77777777" w:rsidR="002E5800" w:rsidRPr="008F328C" w:rsidRDefault="000E0B7C">
      <w:pPr>
        <w:pStyle w:val="a3"/>
        <w:rPr>
          <w:lang w:val="pl-PL"/>
        </w:rPr>
      </w:pPr>
      <w:r w:rsidRPr="008F328C">
        <w:rPr>
          <w:rFonts w:eastAsia="Times New Roman"/>
          <w:lang w:val="pl-PL"/>
        </w:rPr>
        <w:t>Po wprowadzeniu produktu do obrotu informowano o rzadkich przypadkach chłoniaka T-komórkowego wątrobowo-śledzionowego u pacjentów leczonych adalimumabem (patrz punkt 4.4).</w:t>
      </w:r>
    </w:p>
    <w:p w14:paraId="38AD12B5" w14:textId="77777777" w:rsidR="002E5800" w:rsidRPr="008F328C" w:rsidRDefault="002E5800">
      <w:pPr>
        <w:pStyle w:val="a3"/>
        <w:rPr>
          <w:sz w:val="24"/>
          <w:szCs w:val="24"/>
          <w:lang w:val="pl-PL"/>
        </w:rPr>
      </w:pPr>
    </w:p>
    <w:p w14:paraId="62B385C4" w14:textId="77777777" w:rsidR="002E5800" w:rsidRPr="008F328C" w:rsidRDefault="000E0B7C">
      <w:pPr>
        <w:pStyle w:val="a3"/>
        <w:rPr>
          <w:rFonts w:eastAsia="Times New Roman"/>
          <w:lang w:val="pl-PL"/>
        </w:rPr>
      </w:pPr>
      <w:r w:rsidRPr="008F328C">
        <w:rPr>
          <w:rFonts w:eastAsia="Times New Roman"/>
          <w:i/>
          <w:iCs/>
          <w:spacing w:val="-1"/>
          <w:lang w:val="pl-PL"/>
        </w:rPr>
        <w:t>Autoprzeciwciała</w:t>
      </w:r>
    </w:p>
    <w:p w14:paraId="1C1F8C25" w14:textId="77777777" w:rsidR="002E5800" w:rsidRPr="008F328C" w:rsidRDefault="002E5800">
      <w:pPr>
        <w:pStyle w:val="a3"/>
        <w:rPr>
          <w:sz w:val="24"/>
          <w:szCs w:val="24"/>
          <w:lang w:val="pl-PL"/>
        </w:rPr>
      </w:pPr>
    </w:p>
    <w:p w14:paraId="0150160D" w14:textId="77777777" w:rsidR="002E5800" w:rsidRPr="008F328C" w:rsidRDefault="000E0B7C">
      <w:pPr>
        <w:pStyle w:val="a3"/>
        <w:rPr>
          <w:lang w:val="pl-PL"/>
        </w:rPr>
      </w:pPr>
      <w:r w:rsidRPr="008F328C">
        <w:rPr>
          <w:rFonts w:eastAsia="Times New Roman"/>
          <w:lang w:val="pl-PL"/>
        </w:rPr>
        <w:t>Próbki surowicy pacjentów z reumatoidalnym zapaleniem stawów badano wielokrotnie na obecność autoprzeciwciał (badanie I-V). W tych badaniach klinicznych, u 11,9% pacjentów leczonych adalimumabem i u 8,1% pacjentów otrzymujących placebo lub czynną substancję porównawczą, którzy mieli ujemne miana przeciwciał przeciwjądrowych przed rozpoczęciem badania stwierdzono dodatnie miana w 24. tygodniu. U dwóch pacjentów z 3441 leczonych adalimumabem, we wszystkich badaniach stosowania w reumatoidalnym zapaleniu stawów i łuszczycowym zapaleniu stawów, pojawiły się objawy kliniczne wskazujące na wystąpienie zespołu toczniopodobnego. Stan pacjentów poprawił się po odstawieniu leczenia. U żadnego z pacjentów nie wystąpiło toczniowe zapalenie nerek lub objawy ze strony ośrodkowego układu nerwowego.</w:t>
      </w:r>
    </w:p>
    <w:p w14:paraId="786AA372" w14:textId="77777777" w:rsidR="002E5800" w:rsidRPr="008F328C" w:rsidRDefault="002E5800">
      <w:pPr>
        <w:pStyle w:val="a3"/>
        <w:rPr>
          <w:sz w:val="24"/>
          <w:szCs w:val="24"/>
          <w:lang w:val="pl-PL"/>
        </w:rPr>
      </w:pPr>
    </w:p>
    <w:p w14:paraId="2E0D4B7F" w14:textId="77777777" w:rsidR="002E5800" w:rsidRPr="008F328C" w:rsidRDefault="000E0B7C">
      <w:pPr>
        <w:pStyle w:val="a3"/>
        <w:rPr>
          <w:rFonts w:eastAsia="Times New Roman"/>
          <w:lang w:val="pl-PL"/>
        </w:rPr>
      </w:pPr>
      <w:r w:rsidRPr="008F328C">
        <w:rPr>
          <w:rFonts w:eastAsia="Times New Roman"/>
          <w:i/>
          <w:iCs/>
          <w:lang w:val="pl-PL"/>
        </w:rPr>
        <w:t>Zaburzenia wątroby i dróg żółciowych</w:t>
      </w:r>
    </w:p>
    <w:p w14:paraId="4F16088C" w14:textId="77777777" w:rsidR="002E5800" w:rsidRPr="008F328C" w:rsidRDefault="002E5800">
      <w:pPr>
        <w:pStyle w:val="a3"/>
        <w:rPr>
          <w:sz w:val="24"/>
          <w:szCs w:val="24"/>
          <w:lang w:val="pl-PL"/>
        </w:rPr>
      </w:pPr>
    </w:p>
    <w:p w14:paraId="1B52D2A8" w14:textId="77777777" w:rsidR="002E5800" w:rsidRPr="008F328C" w:rsidRDefault="000E0B7C">
      <w:pPr>
        <w:pStyle w:val="a3"/>
        <w:rPr>
          <w:lang w:val="pl-PL"/>
        </w:rPr>
      </w:pPr>
      <w:r w:rsidRPr="008F328C">
        <w:rPr>
          <w:rFonts w:eastAsia="Times New Roman"/>
          <w:lang w:val="pl-PL"/>
        </w:rPr>
        <w:t>W kontrolowanych badaniach klinicznych fazy III adalimumabem u pacjentów z reumatoidalnym zapaleniem stawów i łuszczycowym zapaleniem stawów, gdzie okres kontrolny trwał od 4 do 104 tygodni, zwiększenie aktywności AlAT ≥ 3 x górna granica normy (GGN) wystąpiło u 3,7% pacjentów leczonych adalimumabem i 1,6% pacjentów otrzymujących leczenie porównawcze.</w:t>
      </w:r>
    </w:p>
    <w:p w14:paraId="53682ACE" w14:textId="77777777" w:rsidR="002E5800" w:rsidRPr="008F328C" w:rsidRDefault="002E5800">
      <w:pPr>
        <w:pStyle w:val="a3"/>
        <w:rPr>
          <w:sz w:val="24"/>
          <w:szCs w:val="24"/>
          <w:lang w:val="pl-PL"/>
        </w:rPr>
      </w:pPr>
    </w:p>
    <w:p w14:paraId="5E3F0E61" w14:textId="77777777" w:rsidR="002E5800" w:rsidRPr="008F328C" w:rsidRDefault="000E0B7C">
      <w:pPr>
        <w:pStyle w:val="a3"/>
        <w:rPr>
          <w:lang w:val="pl-PL"/>
        </w:rPr>
      </w:pPr>
      <w:r w:rsidRPr="008F328C">
        <w:rPr>
          <w:rFonts w:eastAsia="Times New Roman"/>
          <w:lang w:val="pl-PL"/>
        </w:rPr>
        <w:t>W kontrolowanych badaniach klinicznych fazy III adalimumabu u pacjentów w wieku od 4 do 17 lat z wielostawowym młodzieńczym idiopatycznym zapaleniem stawów, oraz u pacjentów w wieku od 6 do 17 lat z zapaleniem stawów z towarzyszącym zapaleniem przyczepów ścięgnistych, odnotowano zwiększenie aktywności AlAT ≥ 3 x GGN u 6,1% pacjentów leczonych adalimumabem i 1,3% pacjentów otrzymujących leczenie porównawcze. W większości przypadków zwiększenie aktywności AlAT obserwowano podczas jednoczesnego stosowania metotreksatu. W badaniu klinicznym fazy III adalimumabu u pacjentów w wieku od 2 do &lt; 4 lat z wielostawowym młodzieńczym idiopatycznym zapaleniem stawów, nie odnotowano zwiększenia aktywności AlAT ≥ 3 x GGN.</w:t>
      </w:r>
    </w:p>
    <w:p w14:paraId="34178E82" w14:textId="77777777" w:rsidR="002E5800" w:rsidRPr="008F328C" w:rsidRDefault="002E5800">
      <w:pPr>
        <w:pStyle w:val="a3"/>
        <w:rPr>
          <w:sz w:val="24"/>
          <w:szCs w:val="24"/>
          <w:lang w:val="pl-PL"/>
        </w:rPr>
      </w:pPr>
    </w:p>
    <w:p w14:paraId="06C2E0F4" w14:textId="77777777" w:rsidR="002E5800" w:rsidRPr="008F328C" w:rsidRDefault="000E0B7C">
      <w:pPr>
        <w:pStyle w:val="a3"/>
        <w:rPr>
          <w:lang w:val="pl-PL"/>
        </w:rPr>
      </w:pPr>
      <w:r w:rsidRPr="008F328C">
        <w:rPr>
          <w:rFonts w:eastAsia="Times New Roman"/>
          <w:lang w:val="pl-PL"/>
        </w:rPr>
        <w:lastRenderedPageBreak/>
        <w:t>W kontrolowanych badaniach klinicznych fazy III adalimumabu u pacjentów z chorobą Leśniowskiego-Crohna i wrzodziejącym zapaleniem jelita grubego, gdzie okres kontrolny trwał od 4 do 52 tygodni zwiększenie aktywności AlAT ≥ 3 x górnej granicy wartości prawidłowych wystąpiło u 0,9% pacjentów leczonych adalimumabem i 0,9% pacjentów otrzymujących leczenie porównawcze.</w:t>
      </w:r>
    </w:p>
    <w:p w14:paraId="7D3CAE4E" w14:textId="77777777" w:rsidR="002E5800" w:rsidRPr="008F328C" w:rsidRDefault="002E5800">
      <w:pPr>
        <w:spacing w:before="11" w:line="240" w:lineRule="exact"/>
        <w:rPr>
          <w:rFonts w:ascii="Times New Roman" w:hAnsi="Times New Roman" w:cs="Times New Roman"/>
          <w:sz w:val="24"/>
          <w:szCs w:val="24"/>
          <w:lang w:val="pl-PL"/>
        </w:rPr>
      </w:pPr>
    </w:p>
    <w:p w14:paraId="1BF7D2FC" w14:textId="77777777" w:rsidR="002E5800" w:rsidRPr="008F328C" w:rsidRDefault="000E0B7C">
      <w:pPr>
        <w:pStyle w:val="a3"/>
        <w:rPr>
          <w:lang w:val="pl-PL"/>
        </w:rPr>
      </w:pPr>
      <w:r w:rsidRPr="008F328C">
        <w:rPr>
          <w:rFonts w:eastAsia="Times New Roman"/>
          <w:lang w:val="pl-PL"/>
        </w:rPr>
        <w:t>W badaniu fazy III adalimumabu u dzieci i młodzieży z chorobą Leśniowskiego-Crohna oceniano skuteczność i bezpieczeństwo dwóch schematów dawkowania podtrzymującego, ustalonego w zależności od masy ciała pacjenta, następującego po indukcji zależnymi od masy ciała dawkami. W czasie do 52 tygodni leczenia, zwiększenie aktywności AlAT ≥ 3 x GGN wystąpiło u 2,6% (5/192) pacjentów, z których 4 wyjściowo otrzymywało jednocześnie leki immunosupresyjne.</w:t>
      </w:r>
    </w:p>
    <w:p w14:paraId="0D65CFB6" w14:textId="77777777" w:rsidR="002E5800" w:rsidRPr="008F328C" w:rsidRDefault="002E5800">
      <w:pPr>
        <w:spacing w:before="13" w:line="240" w:lineRule="exact"/>
        <w:rPr>
          <w:rFonts w:ascii="Times New Roman" w:hAnsi="Times New Roman" w:cs="Times New Roman"/>
          <w:sz w:val="24"/>
          <w:szCs w:val="24"/>
          <w:lang w:val="pl-PL"/>
        </w:rPr>
      </w:pPr>
    </w:p>
    <w:p w14:paraId="15DE3B82" w14:textId="77777777" w:rsidR="002E5800" w:rsidRPr="008F328C" w:rsidRDefault="000E0B7C">
      <w:pPr>
        <w:pStyle w:val="a3"/>
        <w:rPr>
          <w:lang w:val="pl-PL"/>
        </w:rPr>
      </w:pPr>
      <w:r w:rsidRPr="008F328C">
        <w:rPr>
          <w:rFonts w:eastAsia="Times New Roman"/>
          <w:lang w:val="pl-PL"/>
        </w:rPr>
        <w:t>W kontrolowanych badaniach klinicznych fazy III adalimumabu u pacjentów z łuszczycą zwyczajną (plackowatą), gdzie okres kontrolny trwał od 12 do 24 tygodni, zwiększenie aktywności AlAT ≥ 3 x GGN wystąpiło u 1,8% pacjentów leczonych adalimumabem i 1,8% pacjentów otrzymujących leczenie porównawcze.</w:t>
      </w:r>
    </w:p>
    <w:p w14:paraId="099D9B29" w14:textId="77777777" w:rsidR="002E5800" w:rsidRPr="008F328C" w:rsidRDefault="002E5800">
      <w:pPr>
        <w:spacing w:before="17" w:line="240" w:lineRule="exact"/>
        <w:rPr>
          <w:rFonts w:ascii="Times New Roman" w:hAnsi="Times New Roman" w:cs="Times New Roman"/>
          <w:sz w:val="24"/>
          <w:szCs w:val="24"/>
          <w:lang w:val="pl-PL"/>
        </w:rPr>
      </w:pPr>
    </w:p>
    <w:p w14:paraId="7E561875" w14:textId="77777777" w:rsidR="002E5800" w:rsidRPr="008F328C" w:rsidRDefault="000E0B7C">
      <w:pPr>
        <w:pStyle w:val="a3"/>
        <w:rPr>
          <w:lang w:val="pl-PL"/>
        </w:rPr>
      </w:pPr>
      <w:r w:rsidRPr="008F328C">
        <w:rPr>
          <w:rFonts w:eastAsia="Times New Roman"/>
          <w:lang w:val="pl-PL"/>
        </w:rPr>
        <w:t>W badaniu klinicznym fazy III adalimumabu u dzieci i młodzieży z łuszczycą zwyczajną (plackowatą) nie wystąpiło zwiększenie aktywności AlAT ≥ 3 x GGN.</w:t>
      </w:r>
    </w:p>
    <w:p w14:paraId="47F532EB" w14:textId="77777777" w:rsidR="002E5800" w:rsidRPr="008F328C" w:rsidRDefault="002E5800">
      <w:pPr>
        <w:spacing w:before="11" w:line="240" w:lineRule="exact"/>
        <w:rPr>
          <w:rFonts w:ascii="Times New Roman" w:hAnsi="Times New Roman" w:cs="Times New Roman"/>
          <w:sz w:val="24"/>
          <w:szCs w:val="24"/>
          <w:lang w:val="pl-PL"/>
        </w:rPr>
      </w:pPr>
    </w:p>
    <w:p w14:paraId="24AF494C" w14:textId="77777777" w:rsidR="002E5800" w:rsidRPr="008F328C" w:rsidRDefault="000E0B7C">
      <w:pPr>
        <w:pStyle w:val="a3"/>
        <w:rPr>
          <w:lang w:val="pl-PL"/>
        </w:rPr>
      </w:pPr>
      <w:r w:rsidRPr="008F328C">
        <w:rPr>
          <w:rFonts w:eastAsia="Times New Roman"/>
          <w:lang w:val="pl-PL"/>
        </w:rPr>
        <w:t>W kontrolowanych badaniach klinicznych adalimumabu (dawki początkowe 160 mg w tygodniu 0 i 80 mg w 2. tygodniu, a następnie począwszy od 4. tygodnia 40 mg co tydzień) u pacjentów z ropnym zapaleniem apokrynowych gruczołów potowych w okresie kontrolnym trwającym od 12 do16 tygodnia zwiększenie aktywności AlAT &gt; 3 x GGN wystąpiło u 0,3% pacjentów leczonych adalimumabem i 0,6% pacjentów leczonych produktem porównawczym.</w:t>
      </w:r>
    </w:p>
    <w:p w14:paraId="739BBFF9" w14:textId="77777777" w:rsidR="002E5800" w:rsidRPr="008F328C" w:rsidRDefault="002E5800">
      <w:pPr>
        <w:spacing w:before="17" w:line="240" w:lineRule="exact"/>
        <w:rPr>
          <w:rFonts w:ascii="Times New Roman" w:hAnsi="Times New Roman" w:cs="Times New Roman"/>
          <w:sz w:val="24"/>
          <w:szCs w:val="24"/>
          <w:lang w:val="pl-PL"/>
        </w:rPr>
      </w:pPr>
    </w:p>
    <w:p w14:paraId="3920ABB8" w14:textId="6238BF6F" w:rsidR="002E5800" w:rsidRPr="008F328C" w:rsidRDefault="000E0B7C">
      <w:pPr>
        <w:pStyle w:val="a3"/>
        <w:rPr>
          <w:rFonts w:eastAsia="Times New Roman"/>
          <w:lang w:val="pl-PL"/>
        </w:rPr>
      </w:pPr>
      <w:r w:rsidRPr="008F328C">
        <w:rPr>
          <w:rFonts w:eastAsia="Times New Roman"/>
          <w:lang w:val="pl-PL"/>
        </w:rPr>
        <w:t>W kontrolowanych badaniach klinicznych adalimumabu (dawka początkowa 80 mg w tygodniu 0, a następnie począwszy od 1. tygodnia 40 mg co drugi tydzień) u dorosłych pacjentów z zapaleniem błony naczyniowej oka w okresie do 80 tygodni z medianą ekspozycji wynoszącą 166,5 dni i 105,0 dni odpowiednio u pacjentów leczonych adalimumabem i pacjentów leczonych produktem porównawczym, zwiększenie aktywności AlAT ≥ 3 x GGN wystąpiło u 2,4% pacjentów leczonych adalimumabem i 2,4% pacjentów leczonych produktem porównawczym.</w:t>
      </w:r>
    </w:p>
    <w:p w14:paraId="3614EB4D" w14:textId="77777777" w:rsidR="007011B1" w:rsidRPr="008F328C" w:rsidRDefault="007011B1">
      <w:pPr>
        <w:pStyle w:val="a3"/>
        <w:rPr>
          <w:lang w:val="pl-PL"/>
        </w:rPr>
      </w:pPr>
    </w:p>
    <w:p w14:paraId="191C2793" w14:textId="4C8C91DC" w:rsidR="007011B1" w:rsidRPr="008F328C" w:rsidRDefault="007011B1" w:rsidP="007011B1">
      <w:pPr>
        <w:rPr>
          <w:rFonts w:ascii="Times New Roman" w:hAnsi="Times New Roman" w:cs="Times New Roman"/>
          <w:lang w:val="pl-PL"/>
        </w:rPr>
      </w:pPr>
      <w:r w:rsidRPr="008F328C">
        <w:rPr>
          <w:rStyle w:val="normaltextrun"/>
          <w:rFonts w:ascii="Times New Roman" w:hAnsi="Times New Roman" w:cs="Times New Roman"/>
          <w:shd w:val="clear" w:color="auto" w:fill="FFFFFF"/>
          <w:lang w:val="pl-PL"/>
        </w:rPr>
        <w:t>W kontrolowanym badaniu klinicznym fazy III produktu adalimumabu u dzieci i młodzieży z wrzodziejącym zapaleniem jelita grubego (N=93), w którym oceniano skuteczność i bezpieczeństwo stosowania dawki podtrzymującej 0,6 mg/kg (maksymalnie 40 mg) co drugi tydzień (N=31) i dawki podtrzymującej 0,6 mg/kg (maksymalnie 40 mg) co tydzień (N=32), podawanych po dawkach indukcyjnych zależnych od masy ciała wynoszących 2,4 mg/kg (maksymalnie 160 mg) w 0. i 1. tygodniu i 1,2 mg/kg (maksymalnie 80 mg) w 2. tygodniu (N=63) lub po dawkach indukcyjnych 2,4 mg/kg (maksymalnie 160 mg) w 0. tygodniu, placebo w 1. tygodniu i 1,2 mg/kg (maksymalnie 80 mg) w 2. tygodniu (N=30), zwiększenie aktywności AlAT ≥ 3 x GGN wystąpiło u 1,1% (1/93) pacjentów</w:t>
      </w:r>
      <w:r w:rsidRPr="008F328C">
        <w:rPr>
          <w:rFonts w:ascii="Times New Roman" w:hAnsi="Times New Roman" w:cs="Times New Roman"/>
          <w:lang w:val="pl-PL"/>
        </w:rPr>
        <w:t>.</w:t>
      </w:r>
    </w:p>
    <w:p w14:paraId="356879DA" w14:textId="77777777" w:rsidR="002E5800" w:rsidRPr="008F328C" w:rsidRDefault="002E5800">
      <w:pPr>
        <w:spacing w:before="11" w:line="240" w:lineRule="exact"/>
        <w:rPr>
          <w:rFonts w:ascii="Times New Roman" w:hAnsi="Times New Roman" w:cs="Times New Roman"/>
          <w:sz w:val="24"/>
          <w:szCs w:val="24"/>
          <w:lang w:val="pl-PL"/>
        </w:rPr>
      </w:pPr>
    </w:p>
    <w:p w14:paraId="04176908" w14:textId="2A28CC28" w:rsidR="002E5800" w:rsidRPr="008F328C" w:rsidRDefault="000E0B7C">
      <w:pPr>
        <w:pStyle w:val="a3"/>
        <w:rPr>
          <w:lang w:val="pl-PL"/>
        </w:rPr>
      </w:pPr>
      <w:r w:rsidRPr="008F328C">
        <w:rPr>
          <w:rFonts w:eastAsia="Times New Roman"/>
          <w:lang w:val="pl-PL"/>
        </w:rPr>
        <w:t xml:space="preserve">W badaniach klinicznych we wszystkich wskazaniach pacjenci ze zwiększoną aktywnością AlAT nie wykazywali objawów podmiotowych, a w większości przypadków zwiększenie aktywności było </w:t>
      </w:r>
      <w:r w:rsidR="004219C5" w:rsidRPr="008F328C">
        <w:rPr>
          <w:rFonts w:eastAsia="Times New Roman"/>
          <w:lang w:val="pl-PL"/>
        </w:rPr>
        <w:t xml:space="preserve">przemijające </w:t>
      </w:r>
      <w:r w:rsidRPr="008F328C">
        <w:rPr>
          <w:rFonts w:eastAsia="Times New Roman"/>
          <w:lang w:val="pl-PL"/>
        </w:rPr>
        <w:t>i ustępowało podczas kontynuacji leczenia. Jednakże, po wprowadzeniu leku do obrotu u pacjentów otrzymujących adalimumab odnotowano przypadki niewydolności wątroby oraz mniej poważnych zaburzeń wątroby, które mogą poprzedzać niewydolność wątroby, takich jak zapalenie wątroby, w tym autoimmunologiczne zapalenie wątroby.</w:t>
      </w:r>
    </w:p>
    <w:p w14:paraId="1124FA4D" w14:textId="77777777" w:rsidR="002E5800" w:rsidRPr="008F328C" w:rsidRDefault="002E5800">
      <w:pPr>
        <w:pStyle w:val="a3"/>
        <w:rPr>
          <w:u w:color="000000"/>
          <w:lang w:val="pl-PL"/>
        </w:rPr>
      </w:pPr>
    </w:p>
    <w:p w14:paraId="52A31DC2" w14:textId="77777777" w:rsidR="002E5800" w:rsidRPr="008F328C" w:rsidRDefault="000E0B7C">
      <w:pPr>
        <w:pStyle w:val="a3"/>
        <w:rPr>
          <w:u w:val="single"/>
          <w:lang w:val="pl-PL"/>
        </w:rPr>
      </w:pPr>
      <w:r w:rsidRPr="008F328C">
        <w:rPr>
          <w:rFonts w:eastAsia="Times New Roman"/>
          <w:u w:val="single" w:color="000000"/>
          <w:lang w:val="pl-PL"/>
        </w:rPr>
        <w:t>Jednoczesne leczenie azatiopryną/6-merkaptopuryną</w:t>
      </w:r>
    </w:p>
    <w:p w14:paraId="56B987BF" w14:textId="77777777" w:rsidR="002E5800" w:rsidRPr="008F328C" w:rsidRDefault="002E5800">
      <w:pPr>
        <w:spacing w:before="1" w:line="180" w:lineRule="exact"/>
        <w:rPr>
          <w:rFonts w:ascii="Times New Roman" w:hAnsi="Times New Roman" w:cs="Times New Roman"/>
          <w:sz w:val="18"/>
          <w:szCs w:val="18"/>
          <w:lang w:val="pl-PL"/>
        </w:rPr>
      </w:pPr>
    </w:p>
    <w:p w14:paraId="26999649" w14:textId="77777777" w:rsidR="002E5800" w:rsidRPr="008F328C" w:rsidRDefault="000E0B7C">
      <w:pPr>
        <w:pStyle w:val="a3"/>
        <w:rPr>
          <w:lang w:val="pl-PL"/>
        </w:rPr>
      </w:pPr>
      <w:r w:rsidRPr="008F328C">
        <w:rPr>
          <w:rFonts w:eastAsia="Times New Roman"/>
          <w:lang w:val="pl-PL"/>
        </w:rPr>
        <w:t xml:space="preserve">W badaniach choroby Leśniowskiego-Crohna u dorosłych, obserwowano większą częstość występowania nowotworów złośliwych i ciężkich zdarzeń niepożądanych związanych z zakażeniami w związku z leczeniem skojarzonym adalimumabem i azatiopryną/6-merkaptopuryną w porównaniu do stosowania </w:t>
      </w:r>
      <w:r w:rsidRPr="008F328C">
        <w:rPr>
          <w:rFonts w:eastAsia="Times New Roman"/>
          <w:lang w:val="pl-PL"/>
        </w:rPr>
        <w:lastRenderedPageBreak/>
        <w:t>adalimumabu w monoterapii.</w:t>
      </w:r>
    </w:p>
    <w:p w14:paraId="6D273792" w14:textId="77777777" w:rsidR="002E5800" w:rsidRPr="008F328C" w:rsidRDefault="002E5800">
      <w:pPr>
        <w:spacing w:before="13" w:line="240" w:lineRule="exact"/>
        <w:rPr>
          <w:rFonts w:ascii="Times New Roman" w:hAnsi="Times New Roman" w:cs="Times New Roman"/>
          <w:sz w:val="24"/>
          <w:szCs w:val="24"/>
          <w:lang w:val="pl-PL"/>
        </w:rPr>
      </w:pPr>
    </w:p>
    <w:p w14:paraId="148BE011" w14:textId="77777777" w:rsidR="002E5800" w:rsidRPr="008F328C" w:rsidRDefault="000E0B7C">
      <w:pPr>
        <w:pStyle w:val="a3"/>
        <w:rPr>
          <w:u w:val="single"/>
          <w:lang w:val="pl-PL"/>
        </w:rPr>
      </w:pPr>
      <w:r w:rsidRPr="008F328C">
        <w:rPr>
          <w:rFonts w:eastAsia="Times New Roman"/>
          <w:u w:val="single" w:color="000000"/>
          <w:lang w:val="pl-PL"/>
        </w:rPr>
        <w:t>Zgłaszanie podejrzewanych działań niepożądanych</w:t>
      </w:r>
    </w:p>
    <w:p w14:paraId="551FA1C0" w14:textId="77777777" w:rsidR="002E5800" w:rsidRPr="008F328C" w:rsidRDefault="002E5800">
      <w:pPr>
        <w:spacing w:before="9" w:line="170" w:lineRule="exact"/>
        <w:rPr>
          <w:rFonts w:ascii="Times New Roman" w:hAnsi="Times New Roman" w:cs="Times New Roman"/>
          <w:sz w:val="17"/>
          <w:szCs w:val="17"/>
          <w:lang w:val="pl-PL"/>
        </w:rPr>
      </w:pPr>
    </w:p>
    <w:p w14:paraId="398D17B8" w14:textId="77777777" w:rsidR="002E5800" w:rsidRPr="008F328C" w:rsidRDefault="000E0B7C">
      <w:pPr>
        <w:pStyle w:val="a3"/>
        <w:rPr>
          <w:rFonts w:eastAsia="Times New Roman"/>
          <w:color w:val="000000"/>
          <w:lang w:val="pl-PL"/>
        </w:rPr>
      </w:pPr>
      <w:r w:rsidRPr="008F328C">
        <w:rPr>
          <w:rFonts w:eastAsia="Times New Roman"/>
          <w:lang w:val="pl-PL"/>
        </w:rPr>
        <w:t xml:space="preserve">Po dopuszczeniu produktu leczniczego do obrotu istotne jest zgłaszanie podejrzewanych działań niepożądanych. Umożliwia to nieprzerwane monitorowanie stosunku korzyści do ryzyka stosowania produktu leczniczego. Osoby należące do fachowego personelu medycznego powinny zgłaszać wszelkie </w:t>
      </w:r>
      <w:r w:rsidRPr="008F328C">
        <w:rPr>
          <w:rFonts w:eastAsia="Times New Roman"/>
          <w:highlight w:val="lightGray"/>
          <w:lang w:val="pl-PL"/>
        </w:rPr>
        <w:t>podejrzewane działania niepożądane za pośrednictwem krajowego systemu zgłaszania wymienionego w </w:t>
      </w:r>
      <w:hyperlink r:id="rId12" w:history="1">
        <w:r w:rsidRPr="008F328C">
          <w:rPr>
            <w:rFonts w:eastAsia="Times New Roman"/>
            <w:color w:val="0000FF"/>
            <w:highlight w:val="lightGray"/>
            <w:u w:val="single"/>
            <w:lang w:val="pl-PL"/>
          </w:rPr>
          <w:t>Załączniku V</w:t>
        </w:r>
        <w:r w:rsidRPr="008F328C">
          <w:rPr>
            <w:rFonts w:eastAsia="Times New Roman"/>
            <w:color w:val="000000"/>
            <w:highlight w:val="lightGray"/>
            <w:lang w:val="pl-PL"/>
          </w:rPr>
          <w:t>.</w:t>
        </w:r>
      </w:hyperlink>
    </w:p>
    <w:p w14:paraId="74D3C6EE" w14:textId="77777777" w:rsidR="002E5800" w:rsidRPr="008F328C" w:rsidRDefault="002E5800">
      <w:pPr>
        <w:pStyle w:val="a3"/>
        <w:rPr>
          <w:lang w:val="pl-PL"/>
        </w:rPr>
      </w:pPr>
    </w:p>
    <w:p w14:paraId="7B839789" w14:textId="77777777" w:rsidR="002E5800" w:rsidRPr="008F328C" w:rsidRDefault="000E0B7C">
      <w:pPr>
        <w:widowControl/>
        <w:numPr>
          <w:ilvl w:val="1"/>
          <w:numId w:val="14"/>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Przedawkowanie</w:t>
      </w:r>
    </w:p>
    <w:p w14:paraId="02596560" w14:textId="77777777" w:rsidR="002E5800" w:rsidRPr="008F328C" w:rsidRDefault="002E5800">
      <w:pPr>
        <w:spacing w:before="12" w:line="240" w:lineRule="exact"/>
        <w:rPr>
          <w:rFonts w:ascii="Times New Roman" w:hAnsi="Times New Roman" w:cs="Times New Roman"/>
          <w:sz w:val="24"/>
          <w:szCs w:val="24"/>
          <w:lang w:val="pl-PL"/>
        </w:rPr>
      </w:pPr>
    </w:p>
    <w:p w14:paraId="3A92B811" w14:textId="77777777" w:rsidR="002E5800" w:rsidRPr="008F328C" w:rsidRDefault="000E0B7C">
      <w:pPr>
        <w:pStyle w:val="a3"/>
        <w:rPr>
          <w:lang w:val="pl-PL"/>
        </w:rPr>
      </w:pPr>
      <w:r w:rsidRPr="008F328C">
        <w:rPr>
          <w:rFonts w:eastAsia="Times New Roman"/>
          <w:lang w:val="pl-PL"/>
        </w:rPr>
        <w:t>W czasie badań klinicznych nie stwierdzono toksyczności wymagającej zmniejszenia dawki. Najwyższy oceniany poziom dawkowania to wielokrotna dawka dożylna 10 mg/kg mc., to jest w przybliżeniu 15 razy więcej niż zalecana dawka.</w:t>
      </w:r>
    </w:p>
    <w:p w14:paraId="29AC33C1" w14:textId="77777777" w:rsidR="002E5800" w:rsidRPr="008F328C" w:rsidRDefault="002E5800">
      <w:pPr>
        <w:spacing w:line="200" w:lineRule="exact"/>
        <w:rPr>
          <w:rFonts w:ascii="Times New Roman" w:hAnsi="Times New Roman" w:cs="Times New Roman"/>
          <w:sz w:val="20"/>
          <w:szCs w:val="20"/>
          <w:lang w:val="pl-PL"/>
        </w:rPr>
      </w:pPr>
    </w:p>
    <w:p w14:paraId="4E4A39D8" w14:textId="77777777" w:rsidR="002E5800" w:rsidRPr="008F328C" w:rsidRDefault="002E5800">
      <w:pPr>
        <w:widowControl/>
        <w:tabs>
          <w:tab w:val="left" w:pos="567"/>
        </w:tabs>
        <w:spacing w:line="260" w:lineRule="exact"/>
        <w:rPr>
          <w:rFonts w:ascii="Times New Roman" w:eastAsia="Times New Roman" w:hAnsi="Times New Roman" w:cs="Times New Roman"/>
          <w:b/>
          <w:lang w:val="pl-PL"/>
        </w:rPr>
      </w:pPr>
    </w:p>
    <w:p w14:paraId="1099FF4B" w14:textId="77777777" w:rsidR="002E5800" w:rsidRPr="008F328C" w:rsidRDefault="000E0B7C">
      <w:pPr>
        <w:widowControl/>
        <w:numPr>
          <w:ilvl w:val="0"/>
          <w:numId w:val="2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FARMAKOLOGICZNE</w:t>
      </w:r>
    </w:p>
    <w:p w14:paraId="7EE3A254" w14:textId="77777777" w:rsidR="002E5800" w:rsidRPr="008F328C" w:rsidRDefault="002E5800">
      <w:pPr>
        <w:spacing w:before="11" w:line="240" w:lineRule="exact"/>
        <w:rPr>
          <w:rFonts w:ascii="Times New Roman" w:hAnsi="Times New Roman" w:cs="Times New Roman"/>
          <w:sz w:val="24"/>
          <w:szCs w:val="24"/>
          <w:lang w:val="pl-PL"/>
        </w:rPr>
      </w:pPr>
    </w:p>
    <w:p w14:paraId="7DD778A8" w14:textId="77777777" w:rsidR="002E5800" w:rsidRPr="008F328C" w:rsidRDefault="000E0B7C">
      <w:pPr>
        <w:widowControl/>
        <w:numPr>
          <w:ilvl w:val="1"/>
          <w:numId w:val="3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farmakodynamiczne</w:t>
      </w:r>
    </w:p>
    <w:p w14:paraId="4E3CC6E2" w14:textId="77777777" w:rsidR="002E5800" w:rsidRPr="008F328C" w:rsidRDefault="002E5800">
      <w:pPr>
        <w:spacing w:before="9" w:line="240" w:lineRule="exact"/>
        <w:rPr>
          <w:rFonts w:ascii="Times New Roman" w:hAnsi="Times New Roman" w:cs="Times New Roman"/>
          <w:sz w:val="24"/>
          <w:szCs w:val="24"/>
          <w:lang w:val="pl-PL"/>
        </w:rPr>
      </w:pPr>
    </w:p>
    <w:p w14:paraId="0CA69DB4" w14:textId="77777777" w:rsidR="002E5800" w:rsidRPr="008F328C" w:rsidRDefault="000E0B7C">
      <w:pPr>
        <w:pStyle w:val="a3"/>
        <w:rPr>
          <w:lang w:val="pl-PL"/>
        </w:rPr>
      </w:pPr>
      <w:r w:rsidRPr="008F328C">
        <w:rPr>
          <w:rFonts w:eastAsia="Times New Roman"/>
          <w:lang w:val="pl-PL"/>
        </w:rPr>
        <w:t>Grupa farmakoterapeutyczna: Leki immunosupresyjne. Inhibitory czynnika martwicy nowotworów alfa (TNF-α). Kod ATC: L04AB04</w:t>
      </w:r>
    </w:p>
    <w:p w14:paraId="6EFCAE72" w14:textId="77777777" w:rsidR="002E5800" w:rsidRPr="008F328C" w:rsidRDefault="002E5800">
      <w:pPr>
        <w:pStyle w:val="a3"/>
        <w:rPr>
          <w:lang w:val="pl-PL"/>
        </w:rPr>
      </w:pPr>
    </w:p>
    <w:p w14:paraId="6EBD441F" w14:textId="77777777" w:rsidR="002E5800" w:rsidRPr="008F328C" w:rsidRDefault="000E0B7C">
      <w:pPr>
        <w:pStyle w:val="a3"/>
        <w:rPr>
          <w:lang w:val="pl-PL"/>
        </w:rPr>
      </w:pPr>
      <w:r w:rsidRPr="008F328C">
        <w:rPr>
          <w:rFonts w:eastAsia="Times New Roman"/>
          <w:lang w:val="pl-PL"/>
        </w:rPr>
        <w:t xml:space="preserve">Yuflyma jest produktem leczniczym biopodobnym. Szczegółowe informacje są dostępne na stronie internetowej Europejskiej Agencji Leków </w:t>
      </w:r>
      <w:hyperlink r:id="rId13" w:history="1">
        <w:r w:rsidRPr="008F328C">
          <w:rPr>
            <w:rStyle w:val="ad"/>
            <w:rFonts w:eastAsia="Times New Roman"/>
            <w:lang w:val="pl-PL"/>
          </w:rPr>
          <w:t>http://www.ema.europa.eu.</w:t>
        </w:r>
      </w:hyperlink>
    </w:p>
    <w:p w14:paraId="6DEB4B13" w14:textId="77777777" w:rsidR="002E5800" w:rsidRPr="008F328C" w:rsidRDefault="002E5800">
      <w:pPr>
        <w:spacing w:before="10" w:line="240" w:lineRule="exact"/>
        <w:rPr>
          <w:rFonts w:ascii="Times New Roman" w:hAnsi="Times New Roman" w:cs="Times New Roman"/>
          <w:sz w:val="24"/>
          <w:szCs w:val="24"/>
          <w:lang w:val="pl-PL"/>
        </w:rPr>
      </w:pPr>
    </w:p>
    <w:p w14:paraId="76AC14CE" w14:textId="77777777" w:rsidR="002E5800" w:rsidRPr="008F328C" w:rsidRDefault="000E0B7C">
      <w:pPr>
        <w:pStyle w:val="a3"/>
        <w:rPr>
          <w:u w:val="single"/>
          <w:lang w:val="pl-PL"/>
        </w:rPr>
      </w:pPr>
      <w:r w:rsidRPr="008F328C">
        <w:rPr>
          <w:rFonts w:eastAsia="Times New Roman"/>
          <w:u w:val="single" w:color="000000"/>
          <w:lang w:val="pl-PL"/>
        </w:rPr>
        <w:t>Mechanizm działania</w:t>
      </w:r>
    </w:p>
    <w:p w14:paraId="42A71B3F" w14:textId="77777777" w:rsidR="002E5800" w:rsidRPr="008F328C" w:rsidRDefault="002E5800">
      <w:pPr>
        <w:spacing w:before="1" w:line="180" w:lineRule="exact"/>
        <w:rPr>
          <w:rFonts w:ascii="Times New Roman" w:hAnsi="Times New Roman" w:cs="Times New Roman"/>
          <w:sz w:val="18"/>
          <w:szCs w:val="18"/>
          <w:lang w:val="pl-PL"/>
        </w:rPr>
      </w:pPr>
    </w:p>
    <w:p w14:paraId="1FCD15D5" w14:textId="77777777" w:rsidR="002E5800" w:rsidRPr="008F328C" w:rsidRDefault="000E0B7C">
      <w:pPr>
        <w:pStyle w:val="a3"/>
        <w:rPr>
          <w:lang w:val="pl-PL"/>
        </w:rPr>
      </w:pPr>
      <w:r w:rsidRPr="008F328C">
        <w:rPr>
          <w:rFonts w:eastAsia="Times New Roman"/>
          <w:lang w:val="pl-PL"/>
        </w:rPr>
        <w:t>Adalimumab wiąże się swoiście z TNF i neutralizuje biologiczną czynność TNF blokując jego interakcje z receptorami p55 i p75 na powierzchni komórki.</w:t>
      </w:r>
    </w:p>
    <w:p w14:paraId="19CB4CF8" w14:textId="77777777" w:rsidR="002E5800" w:rsidRPr="008F328C" w:rsidRDefault="002E5800">
      <w:pPr>
        <w:spacing w:before="10" w:line="240" w:lineRule="exact"/>
        <w:rPr>
          <w:rFonts w:ascii="Times New Roman" w:hAnsi="Times New Roman" w:cs="Times New Roman"/>
          <w:sz w:val="24"/>
          <w:szCs w:val="24"/>
          <w:lang w:val="pl-PL"/>
        </w:rPr>
      </w:pPr>
    </w:p>
    <w:p w14:paraId="27548F9A" w14:textId="77777777" w:rsidR="002E5800" w:rsidRPr="008F328C" w:rsidRDefault="000E0B7C">
      <w:pPr>
        <w:pStyle w:val="a3"/>
        <w:rPr>
          <w:lang w:val="pl-PL"/>
        </w:rPr>
      </w:pPr>
      <w:r w:rsidRPr="008F328C">
        <w:rPr>
          <w:rFonts w:eastAsia="Times New Roman"/>
          <w:lang w:val="pl-PL"/>
        </w:rPr>
        <w:t>Adalimumab moduluje również odpowiedzi biologiczne indukowane lub regulowane przez TNF, w tym zmiany w poziomach cząsteczek adhezji międzykomórkowej odpowiadających za migrację leukocytów (ELAM-1, VCAM-1 i ICAM-1, wartość IC</w:t>
      </w:r>
      <w:r w:rsidRPr="008F328C">
        <w:rPr>
          <w:rFonts w:eastAsia="Times New Roman"/>
          <w:sz w:val="14"/>
          <w:szCs w:val="14"/>
          <w:lang w:val="pl-PL"/>
        </w:rPr>
        <w:t>50</w:t>
      </w:r>
      <w:r w:rsidRPr="008F328C">
        <w:rPr>
          <w:rFonts w:eastAsia="Times New Roman"/>
          <w:lang w:val="pl-PL"/>
        </w:rPr>
        <w:t xml:space="preserve"> wynosi 0,1-0,2 nM).</w:t>
      </w:r>
    </w:p>
    <w:p w14:paraId="7215C1B0" w14:textId="77777777" w:rsidR="002E5800" w:rsidRPr="008F328C" w:rsidRDefault="002E5800">
      <w:pPr>
        <w:spacing w:before="12" w:line="240" w:lineRule="exact"/>
        <w:rPr>
          <w:rFonts w:ascii="Times New Roman" w:hAnsi="Times New Roman" w:cs="Times New Roman"/>
          <w:sz w:val="24"/>
          <w:szCs w:val="24"/>
          <w:lang w:val="pl-PL"/>
        </w:rPr>
      </w:pPr>
    </w:p>
    <w:p w14:paraId="47B4665D" w14:textId="77777777" w:rsidR="002E5800" w:rsidRPr="008F328C" w:rsidRDefault="000E0B7C">
      <w:pPr>
        <w:pStyle w:val="a3"/>
        <w:rPr>
          <w:u w:val="single"/>
          <w:lang w:val="pl-PL"/>
        </w:rPr>
      </w:pPr>
      <w:r w:rsidRPr="008F328C">
        <w:rPr>
          <w:rFonts w:eastAsia="Times New Roman"/>
          <w:u w:val="single" w:color="000000"/>
          <w:lang w:val="pl-PL"/>
        </w:rPr>
        <w:t>Działanie farmakodynamiczne</w:t>
      </w:r>
    </w:p>
    <w:p w14:paraId="6EC7C723" w14:textId="77777777" w:rsidR="002E5800" w:rsidRPr="008F328C" w:rsidRDefault="002E5800">
      <w:pPr>
        <w:spacing w:before="1" w:line="180" w:lineRule="exact"/>
        <w:rPr>
          <w:rFonts w:ascii="Times New Roman" w:hAnsi="Times New Roman" w:cs="Times New Roman"/>
          <w:sz w:val="18"/>
          <w:szCs w:val="18"/>
          <w:lang w:val="pl-PL"/>
        </w:rPr>
      </w:pPr>
    </w:p>
    <w:p w14:paraId="012F8341" w14:textId="77777777" w:rsidR="002E5800" w:rsidRPr="008F328C" w:rsidRDefault="000E0B7C">
      <w:pPr>
        <w:pStyle w:val="a3"/>
        <w:rPr>
          <w:lang w:val="pl-PL"/>
        </w:rPr>
      </w:pPr>
      <w:r w:rsidRPr="008F328C">
        <w:rPr>
          <w:rFonts w:eastAsia="Times New Roman"/>
          <w:lang w:val="pl-PL"/>
        </w:rPr>
        <w:t>Po leczeniu adalimumabem u pacjentów z reumatoidalnym zapaleniem stawów zaobserwowano szybkie obniżenie się poziomu wskaźników fazy ostrej zapalenia</w:t>
      </w:r>
    </w:p>
    <w:p w14:paraId="16CAF9B5" w14:textId="77777777" w:rsidR="002E5800" w:rsidRPr="008F328C" w:rsidRDefault="000E0B7C">
      <w:pPr>
        <w:pStyle w:val="a3"/>
        <w:rPr>
          <w:lang w:val="pl-PL"/>
        </w:rPr>
      </w:pPr>
      <w:r w:rsidRPr="008F328C">
        <w:rPr>
          <w:rFonts w:eastAsia="Times New Roman"/>
          <w:lang w:val="pl-PL"/>
        </w:rPr>
        <w:t>[białko C-reaktywne (CRP) i odczyn Biernackiego (OB)] oraz stężenia cytokin (IL-6) w surowicy w porównaniu do wartości przed rozpoczęciem leczenia. Po podaniu adalimumabu zmniejszeniu uległy również stężenia metaloproteinaz macierzy (MMP-1 i MMP-3), które powodują przebudowę tkanek odpowiedzialną za zniszczenie chrząstki. U pacjentów leczonych adalimumabem zwykle obserwowano poprawę hematologicznych wskaźników przewlekłego stanu zapalnego.</w:t>
      </w:r>
    </w:p>
    <w:p w14:paraId="03DA44DD" w14:textId="77777777" w:rsidR="002E5800" w:rsidRPr="008F328C" w:rsidRDefault="002E5800">
      <w:pPr>
        <w:spacing w:before="10" w:line="240" w:lineRule="exact"/>
        <w:rPr>
          <w:rFonts w:ascii="Times New Roman" w:hAnsi="Times New Roman" w:cs="Times New Roman"/>
          <w:sz w:val="24"/>
          <w:szCs w:val="24"/>
          <w:lang w:val="pl-PL"/>
        </w:rPr>
      </w:pPr>
    </w:p>
    <w:p w14:paraId="6790826D" w14:textId="77777777" w:rsidR="002E5800" w:rsidRPr="008F328C" w:rsidRDefault="000E0B7C">
      <w:pPr>
        <w:pStyle w:val="a3"/>
        <w:rPr>
          <w:lang w:val="pl-PL"/>
        </w:rPr>
      </w:pPr>
      <w:r w:rsidRPr="008F328C">
        <w:rPr>
          <w:rFonts w:eastAsia="Times New Roman"/>
          <w:lang w:val="pl-PL"/>
        </w:rPr>
        <w:t>Po leczeniu adalimumabem obserwowano także szybkie obniżenie się poziomu CRP u pacjentów z wielostawowym młodzieńczym zapaleniem stawów, chorobą Leśniowskiego-Crohna, wrzodziejącym zapaleniem jelita grubego i ropnym zapaleniem apokrynowych gruczołów potowych. U pacjentów z chorobą Leśniowskiego-Crohna stwierdzono zmniejszenie liczby komórek charakteryzujących się ekspresją wskaźników stanu zapalnego w jelicie grubym, w tym znaczące zmniejszenie ekspresji TNF-α. Badania endoskopowe błony śluzowej jelit wykazały gojenie się śluzówki u pacjentów leczonych adalimumabem.</w:t>
      </w:r>
    </w:p>
    <w:p w14:paraId="2DE87145" w14:textId="77777777" w:rsidR="002E5800" w:rsidRPr="008F328C" w:rsidRDefault="002E5800">
      <w:pPr>
        <w:pStyle w:val="a3"/>
        <w:rPr>
          <w:u w:val="single" w:color="000000"/>
          <w:lang w:val="pl-PL"/>
        </w:rPr>
      </w:pPr>
    </w:p>
    <w:p w14:paraId="494E21CF" w14:textId="77777777" w:rsidR="002E5800" w:rsidRPr="008F328C" w:rsidRDefault="000E0B7C">
      <w:pPr>
        <w:pStyle w:val="a3"/>
        <w:rPr>
          <w:u w:val="single"/>
          <w:lang w:val="pl-PL"/>
        </w:rPr>
      </w:pPr>
      <w:r w:rsidRPr="008F328C">
        <w:rPr>
          <w:rFonts w:eastAsia="Times New Roman"/>
          <w:u w:val="single" w:color="000000"/>
          <w:lang w:val="pl-PL"/>
        </w:rPr>
        <w:lastRenderedPageBreak/>
        <w:t>Skuteczność kliniczna i bezpieczeństwo stosowania</w:t>
      </w:r>
    </w:p>
    <w:p w14:paraId="5573CF73" w14:textId="77777777" w:rsidR="002E5800" w:rsidRPr="008F328C" w:rsidRDefault="002E5800">
      <w:pPr>
        <w:spacing w:line="180" w:lineRule="exact"/>
        <w:rPr>
          <w:rFonts w:ascii="Times New Roman" w:hAnsi="Times New Roman" w:cs="Times New Roman"/>
          <w:sz w:val="18"/>
          <w:szCs w:val="18"/>
          <w:lang w:val="pl-PL"/>
        </w:rPr>
      </w:pPr>
    </w:p>
    <w:p w14:paraId="56EA5308" w14:textId="77777777" w:rsidR="002E5800" w:rsidRPr="008F328C" w:rsidRDefault="000E0B7C">
      <w:pPr>
        <w:pStyle w:val="a3"/>
        <w:rPr>
          <w:i/>
          <w:iCs/>
          <w:lang w:val="pl-PL"/>
        </w:rPr>
      </w:pPr>
      <w:r w:rsidRPr="008F328C">
        <w:rPr>
          <w:rFonts w:eastAsia="Times New Roman"/>
          <w:i/>
          <w:iCs/>
          <w:lang w:val="pl-PL"/>
        </w:rPr>
        <w:t>Reumatoidalne zapalenie stawów (RZS)</w:t>
      </w:r>
    </w:p>
    <w:p w14:paraId="76803517" w14:textId="77777777" w:rsidR="002E5800" w:rsidRPr="008F328C" w:rsidRDefault="002E5800">
      <w:pPr>
        <w:pStyle w:val="a3"/>
        <w:rPr>
          <w:sz w:val="24"/>
          <w:szCs w:val="24"/>
          <w:lang w:val="pl-PL"/>
        </w:rPr>
      </w:pPr>
    </w:p>
    <w:p w14:paraId="2F81B5BB" w14:textId="77777777" w:rsidR="002E5800" w:rsidRPr="008F328C" w:rsidRDefault="000E0B7C">
      <w:pPr>
        <w:pStyle w:val="a3"/>
        <w:rPr>
          <w:lang w:val="pl-PL"/>
        </w:rPr>
      </w:pPr>
      <w:r w:rsidRPr="008F328C">
        <w:rPr>
          <w:rFonts w:eastAsia="Times New Roman"/>
          <w:lang w:val="pl-PL"/>
        </w:rPr>
        <w:t>W badaniach klinicznych adalimumab oceniono u ponad 3000 pacjentów z reumatoidalnym zapaleniem stawów. Skuteczność i bezpieczeństwo stosowania adalimumabu oceniono w pięciu randomizowanych podwójnie zaślepionych badaniach z udziałem grup kontrolnych. Niektórych pacjentów leczono przez okres do 120 miesięcy. Ból w miejscu wstrzyknięcia adalimumabu 40 mg/0,4 ml oceniano w dwóch randomizowanych dwuokresowych badaniach w układzie krzyżowym z czynną substancją porównawczą pojedynczo zaślepionych.</w:t>
      </w:r>
    </w:p>
    <w:p w14:paraId="1E25A2DF" w14:textId="77777777" w:rsidR="002E5800" w:rsidRPr="008F328C" w:rsidRDefault="002E5800">
      <w:pPr>
        <w:spacing w:before="13" w:line="240" w:lineRule="exact"/>
        <w:rPr>
          <w:rFonts w:ascii="Times New Roman" w:hAnsi="Times New Roman" w:cs="Times New Roman"/>
          <w:sz w:val="24"/>
          <w:szCs w:val="24"/>
          <w:lang w:val="pl-PL"/>
        </w:rPr>
      </w:pPr>
    </w:p>
    <w:p w14:paraId="24E619FB" w14:textId="77777777" w:rsidR="002E5800" w:rsidRPr="008F328C" w:rsidRDefault="000E0B7C">
      <w:pPr>
        <w:pStyle w:val="a3"/>
        <w:rPr>
          <w:lang w:val="pl-PL"/>
        </w:rPr>
      </w:pPr>
      <w:r w:rsidRPr="008F328C">
        <w:rPr>
          <w:rFonts w:eastAsia="Times New Roman"/>
          <w:lang w:val="pl-PL"/>
        </w:rPr>
        <w:t>W badaniu I w RZS oceniono 271 pacjentów z czynnym reumatoidalnym zapaleniem stawów o nasileniu umiarkowanym do ciężkiego.</w:t>
      </w:r>
      <w:r w:rsidRPr="008F328C">
        <w:rPr>
          <w:lang w:val="pl-PL"/>
        </w:rPr>
        <w:t xml:space="preserve"> </w:t>
      </w:r>
      <w:r w:rsidRPr="008F328C">
        <w:rPr>
          <w:rFonts w:eastAsia="Times New Roman"/>
          <w:lang w:val="pl-PL"/>
        </w:rPr>
        <w:t xml:space="preserve">Pacjenci byli w wieku ≥ 18 lat, w przeszłości byli bez powodzenia leczeni przynajmniej jednym lekiem modyfikującym przebieg choroby, skuteczność metotreksatu w dawce od 12,5 do 25 mg (10 mg, gdy nie tolerowali metotreksatu) raz w tygodniu była niedostateczna i u których dawka metotreksatu utrzymywana była na stałym poziomie 10 do 25 mg raz w tygodniu. Dawkę 20, 40 lub </w:t>
      </w:r>
    </w:p>
    <w:p w14:paraId="2A7F8B46" w14:textId="77777777" w:rsidR="002E5800" w:rsidRPr="008F328C" w:rsidRDefault="000E0B7C">
      <w:pPr>
        <w:pStyle w:val="a3"/>
        <w:rPr>
          <w:lang w:val="pl-PL"/>
        </w:rPr>
      </w:pPr>
      <w:r w:rsidRPr="008F328C">
        <w:rPr>
          <w:rFonts w:eastAsia="Times New Roman"/>
          <w:lang w:val="pl-PL"/>
        </w:rPr>
        <w:t>80 mg adalimumabu lub placebo podawano co drugi tydzień przez 24 tygodnie.</w:t>
      </w:r>
    </w:p>
    <w:p w14:paraId="7A0ED524" w14:textId="77777777" w:rsidR="002E5800" w:rsidRPr="008F328C" w:rsidRDefault="002E5800">
      <w:pPr>
        <w:spacing w:before="13" w:line="240" w:lineRule="exact"/>
        <w:rPr>
          <w:rFonts w:ascii="Times New Roman" w:hAnsi="Times New Roman" w:cs="Times New Roman"/>
          <w:sz w:val="24"/>
          <w:szCs w:val="24"/>
          <w:lang w:val="pl-PL"/>
        </w:rPr>
      </w:pPr>
    </w:p>
    <w:p w14:paraId="2613C8AE" w14:textId="77777777" w:rsidR="002E5800" w:rsidRPr="008F328C" w:rsidRDefault="000E0B7C">
      <w:pPr>
        <w:pStyle w:val="a3"/>
        <w:rPr>
          <w:lang w:val="pl-PL"/>
        </w:rPr>
      </w:pPr>
      <w:r w:rsidRPr="008F328C">
        <w:rPr>
          <w:rFonts w:eastAsia="Times New Roman"/>
          <w:lang w:val="pl-PL"/>
        </w:rPr>
        <w:t>W badaniu II w RZS oceniono 544 pacjentów z czynnym reumatoidalnym zapaleniem stawów o nasileniu umiarkowanym do ciężkiego.</w:t>
      </w:r>
      <w:r w:rsidRPr="008F328C">
        <w:rPr>
          <w:lang w:val="pl-PL"/>
        </w:rPr>
        <w:t xml:space="preserve"> </w:t>
      </w:r>
      <w:r w:rsidRPr="008F328C">
        <w:rPr>
          <w:rFonts w:eastAsia="Times New Roman"/>
          <w:lang w:val="pl-PL"/>
        </w:rPr>
        <w:t>Pacjenci byli w wieku ≥ 18 lat i w przeszłości byli bez powodzenia leczeni przynajmniej jednym lekiem modyfikującym przebieg choroby. Podawano im adalimumabu w dawce 20 lub 40 mg we wstrzyknięciu podskórnym co drugi tydzień naprzemiennie z placebo w pozostałych tygodniach lub adalimumab co tydzień przez 26 tygodni; placebo podawano co tydzień przez ten sam okres. Nie wolno było przyjmować innych leków modyfikujących przebieg choroby.</w:t>
      </w:r>
    </w:p>
    <w:p w14:paraId="600685C3" w14:textId="77777777" w:rsidR="002E5800" w:rsidRPr="008F328C" w:rsidRDefault="002E5800">
      <w:pPr>
        <w:spacing w:before="13" w:line="240" w:lineRule="exact"/>
        <w:rPr>
          <w:rFonts w:ascii="Times New Roman" w:hAnsi="Times New Roman" w:cs="Times New Roman"/>
          <w:sz w:val="24"/>
          <w:szCs w:val="24"/>
          <w:lang w:val="pl-PL"/>
        </w:rPr>
      </w:pPr>
    </w:p>
    <w:p w14:paraId="75467FC6" w14:textId="77777777" w:rsidR="002E5800" w:rsidRPr="008F328C" w:rsidRDefault="000E0B7C">
      <w:pPr>
        <w:pStyle w:val="a3"/>
        <w:rPr>
          <w:lang w:val="pl-PL"/>
        </w:rPr>
      </w:pPr>
      <w:r w:rsidRPr="008F328C">
        <w:rPr>
          <w:rFonts w:eastAsia="Times New Roman"/>
          <w:lang w:val="pl-PL"/>
        </w:rPr>
        <w:t>W badaniu III w RZS oceniono 619 pacjentów z czynnym reumatoidalnym zapaleniem stawów o nasileniu umiarkowanym do ciężkiego,</w:t>
      </w:r>
      <w:r w:rsidRPr="008F328C">
        <w:rPr>
          <w:lang w:val="pl-PL"/>
        </w:rPr>
        <w:t xml:space="preserve"> </w:t>
      </w:r>
      <w:r w:rsidRPr="008F328C">
        <w:rPr>
          <w:rFonts w:eastAsia="Times New Roman"/>
          <w:lang w:val="pl-PL"/>
        </w:rPr>
        <w:t>w wieku ≥ 18 lat, u których metotreksat w dawce 12,5 do 25 mg był nieskuteczny lub pacjenci nie tolerowali metotreksatu w dawce 10 mg co tydzień. W badaniu uczestniczyły trzy grupy. Pierwsza otrzymywała wstrzyknięcia placebo co tydzień przez 52 tygodnie. Druga otrzymywała 20 mg adalimumabu co tydzień przez 52. tygodnie. Trzecia grupa otrzymywała 40 mg adalimumabu co drugi tydzień naprzemiennie z wstrzyknięciami placebo w pozostałych tygodniach. Po zakończeniu pierwszych 52 tygodni leczenia, 457 pacjentów włączono do fazy otwartej będącej kontynuacją tego badania, w której adalimumabu 40 mg/MTX podawano co drugi tydzień przez okres do 10 lat.</w:t>
      </w:r>
    </w:p>
    <w:p w14:paraId="2CA0CB63" w14:textId="77777777" w:rsidR="002E5800" w:rsidRPr="008F328C" w:rsidRDefault="002E5800">
      <w:pPr>
        <w:spacing w:before="13" w:line="240" w:lineRule="exact"/>
        <w:rPr>
          <w:rFonts w:ascii="Times New Roman" w:hAnsi="Times New Roman" w:cs="Times New Roman"/>
          <w:sz w:val="24"/>
          <w:szCs w:val="24"/>
          <w:lang w:val="pl-PL"/>
        </w:rPr>
      </w:pPr>
    </w:p>
    <w:p w14:paraId="2FA76391" w14:textId="77777777" w:rsidR="002E5800" w:rsidRPr="008F328C" w:rsidRDefault="000E0B7C">
      <w:pPr>
        <w:pStyle w:val="a3"/>
        <w:rPr>
          <w:lang w:val="pl-PL"/>
        </w:rPr>
      </w:pPr>
      <w:r w:rsidRPr="008F328C">
        <w:rPr>
          <w:rFonts w:eastAsia="Times New Roman"/>
          <w:lang w:val="pl-PL"/>
        </w:rPr>
        <w:t xml:space="preserve">W badaniu IV w RZS u 636 pacjentów z czynnym reumatoidalnym zapaleniem stawów o nasileniu umiarkowanym do ciężkiego, w wieku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18 lat oceniano przede wszystkim bezpieczeństwo stosowania. Pacjenci, albo nigdy nie przyjmowali innych leków modyfikujących przebieg choroby, albo mogli kontynuować stosowane wcześniej leczenie przeciwreumatyczne pod warunkiem, że nie było ono zmieniane przez co najmniej 28 dni. Były to takie leki, jak metotreksat, leflunomid, hydroksychlorochina, sulfasalazyna i (lub) sole złota. Pacjenci byli losowo przydzieleni do grupy otrzymującej 40 mg adalimumabu lub do grupy otrzymującej placebo co drugi tydzień przez 24 tygodnie.</w:t>
      </w:r>
    </w:p>
    <w:p w14:paraId="43A379E8" w14:textId="77777777" w:rsidR="002E5800" w:rsidRPr="008F328C" w:rsidRDefault="002E5800">
      <w:pPr>
        <w:spacing w:before="11" w:line="240" w:lineRule="exact"/>
        <w:rPr>
          <w:rFonts w:ascii="Times New Roman" w:hAnsi="Times New Roman" w:cs="Times New Roman"/>
          <w:sz w:val="24"/>
          <w:szCs w:val="24"/>
          <w:lang w:val="pl-PL"/>
        </w:rPr>
      </w:pPr>
    </w:p>
    <w:p w14:paraId="71889704" w14:textId="77777777" w:rsidR="002E5800" w:rsidRPr="008F328C" w:rsidRDefault="000E0B7C">
      <w:pPr>
        <w:pStyle w:val="a3"/>
        <w:rPr>
          <w:lang w:val="pl-PL"/>
        </w:rPr>
      </w:pPr>
      <w:r w:rsidRPr="008F328C">
        <w:rPr>
          <w:rFonts w:eastAsia="Times New Roman"/>
          <w:lang w:val="pl-PL"/>
        </w:rPr>
        <w:t>W badaniu V w RZS oceniono 799 dorosłych pacjentów z czynnym wczesnym reumatoidalnym zapaleniem stawów (średni czas trwania choroby mniej niż 9 miesięcy) o nasileniu umiarkowanym do ciężkiego, którym nie podawano wcześniej metotreksatu. Przez 104 tygodnie w badaniu oceniono skuteczność skojarzonego leczenia adalimumabem 40 mg co drugi tydzień i metotreksatem, adalimumabem 40 mg co drugi tydzień w monoterapii oraz metotreksatem w monoterapii, w zmniejszaniu nasilenia objawów przedmiotowych i podmiotowych oraz szybkości postępu uszkodzenia stawów w przebiegu reumatoidalnego zapalenia stawów. Po zakończeniu pierwszych 104 tygodni leczenia, 497 pacjentów włączono do fazy otwartej, będącej kontynuacją tego badania, w której 40 mg adalimumabu podawano co drugi tydzień przez okres do 10 lat.</w:t>
      </w:r>
    </w:p>
    <w:p w14:paraId="20165736" w14:textId="77777777" w:rsidR="002E5800" w:rsidRPr="008F328C" w:rsidRDefault="002E5800">
      <w:pPr>
        <w:spacing w:before="13" w:line="240" w:lineRule="exact"/>
        <w:rPr>
          <w:rFonts w:ascii="Times New Roman" w:hAnsi="Times New Roman" w:cs="Times New Roman"/>
          <w:sz w:val="24"/>
          <w:szCs w:val="24"/>
          <w:lang w:val="pl-PL"/>
        </w:rPr>
      </w:pPr>
    </w:p>
    <w:p w14:paraId="141C75AE" w14:textId="77777777" w:rsidR="002E5800" w:rsidRPr="008F328C" w:rsidRDefault="000E0B7C">
      <w:pPr>
        <w:pStyle w:val="a3"/>
        <w:rPr>
          <w:lang w:val="pl-PL"/>
        </w:rPr>
      </w:pPr>
      <w:r w:rsidRPr="008F328C">
        <w:rPr>
          <w:rFonts w:eastAsia="Times New Roman"/>
          <w:lang w:val="pl-PL"/>
        </w:rPr>
        <w:t>W badaniach VI i VII w RZS oceniano po 60 pacjentów z czynnym reumatoidalnym zapaleniem stawów o nasileniu umiarkowanym do ciężkiego, w wieku ≥ 18 lat. Pacjenci włączeni do badań, albo aktualnie stosowali adalimumabu 40 mg/0,8 ml i oceniali średnie nasilenie bólu w miejscu wstrzyknięcia na co najmniej 3 cm [w wizualnej skali analogowej VAS (ang. visual analogue scale, VAS) 0-10 cm] lub nie byli uprzednio leczeni lekami biologicznymi i rozpoczynali leczenie adalimumabem 40 mg/0,8 ml. W wyniku randomizacji pacjenci otrzymywali pojedynczą dawkę adalimumabu 40 mg/0,8 ml lub adalimumabu 40 mg/0,4 ml, a następnie odwrotne stężenie jako kolejną dawkę.</w:t>
      </w:r>
    </w:p>
    <w:p w14:paraId="22DB5D7E" w14:textId="77777777" w:rsidR="002E5800" w:rsidRPr="008F328C" w:rsidRDefault="002E5800">
      <w:pPr>
        <w:spacing w:before="14" w:line="240" w:lineRule="exact"/>
        <w:rPr>
          <w:rFonts w:ascii="Times New Roman" w:hAnsi="Times New Roman" w:cs="Times New Roman"/>
          <w:sz w:val="24"/>
          <w:szCs w:val="24"/>
          <w:lang w:val="pl-PL"/>
        </w:rPr>
      </w:pPr>
    </w:p>
    <w:p w14:paraId="549E76F9" w14:textId="77777777" w:rsidR="002E5800" w:rsidRPr="008F328C" w:rsidRDefault="000E0B7C">
      <w:pPr>
        <w:pStyle w:val="a3"/>
        <w:rPr>
          <w:lang w:val="pl-PL"/>
        </w:rPr>
      </w:pPr>
      <w:r w:rsidRPr="008F328C">
        <w:rPr>
          <w:rFonts w:eastAsia="Times New Roman"/>
          <w:lang w:val="pl-PL"/>
        </w:rPr>
        <w:t>Pierwszorzędowym punktem końcowym w badaniach I, II i III w RZS oraz drugorzędowym punktem końcowym w badaniu IV w RZS był odsetek pacjentów, którzy uzyskali odpowiedź 20 w skali ACR (ang. American College of Rheumatology) w 24. lub 26. tygodniu badania. Pierwszorzędowym punktem końcowym w badaniu V w RZS był odsetek pacjentów, którzy uzyskali odpowiedź 50 w skali ACR w 52. tygodniu badania. Dodatkowym pierwszorzędowym punktem końcowym w badaniach III i V w RZS w 52. tygodniu było opóźnienie postępu choroby (stwierdzone badaniem radiologicznym). Pierwszorzędowym punktem końcowym w badaniu III w RZS były również zmiany w jakości życia. Pierwszorzędowym punktem końcowym w badaniu VI i VII w RZS było nasilenie bólu w miejscu wstrzyknięcia bezpośrednio po wstrzyknięciu mierzone w skali VAS 0-10 cm.</w:t>
      </w:r>
    </w:p>
    <w:p w14:paraId="5E47243E" w14:textId="77777777" w:rsidR="002E5800" w:rsidRPr="008F328C" w:rsidRDefault="002E5800">
      <w:pPr>
        <w:spacing w:before="13" w:line="240" w:lineRule="exact"/>
        <w:rPr>
          <w:rFonts w:ascii="Times New Roman" w:hAnsi="Times New Roman" w:cs="Times New Roman"/>
          <w:sz w:val="24"/>
          <w:szCs w:val="24"/>
          <w:lang w:val="pl-PL"/>
        </w:rPr>
      </w:pPr>
    </w:p>
    <w:p w14:paraId="6A464D0A"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Odpowiedź w skali ACR</w:t>
      </w:r>
    </w:p>
    <w:p w14:paraId="260675C4" w14:textId="77777777" w:rsidR="002E5800" w:rsidRPr="008F328C" w:rsidRDefault="002E5800">
      <w:pPr>
        <w:spacing w:before="1" w:line="180" w:lineRule="exact"/>
        <w:rPr>
          <w:rFonts w:ascii="Times New Roman" w:hAnsi="Times New Roman" w:cs="Times New Roman"/>
          <w:sz w:val="18"/>
          <w:szCs w:val="18"/>
          <w:lang w:val="pl-PL"/>
        </w:rPr>
      </w:pPr>
    </w:p>
    <w:p w14:paraId="60E0A0B7" w14:textId="65DDCBA5" w:rsidR="002E5800" w:rsidRPr="008F328C" w:rsidRDefault="000E0B7C">
      <w:pPr>
        <w:pStyle w:val="a3"/>
        <w:rPr>
          <w:lang w:val="pl-PL"/>
        </w:rPr>
      </w:pPr>
      <w:r w:rsidRPr="008F328C">
        <w:rPr>
          <w:rFonts w:eastAsia="Times New Roman"/>
          <w:lang w:val="pl-PL"/>
        </w:rPr>
        <w:t xml:space="preserve">W badaniach I, II i III w RZS odsetek pacjentów leczonych adalimumabem, którzy uzyskali odpowiedzi 20, 50 i 70 w skali ACR był podobny. Wyniki uzyskane po podawaniu dawki 40 mg co drugi tydzień przedstawiono w Tabeli </w:t>
      </w:r>
      <w:r w:rsidR="007011B1" w:rsidRPr="008F328C">
        <w:rPr>
          <w:rFonts w:eastAsia="Times New Roman"/>
          <w:lang w:val="pl-PL"/>
        </w:rPr>
        <w:t>8</w:t>
      </w:r>
      <w:r w:rsidRPr="008F328C">
        <w:rPr>
          <w:rFonts w:eastAsia="Times New Roman"/>
          <w:lang w:val="pl-PL"/>
        </w:rPr>
        <w:t>.</w:t>
      </w:r>
    </w:p>
    <w:p w14:paraId="24827562" w14:textId="77777777" w:rsidR="002E5800" w:rsidRPr="008F328C" w:rsidRDefault="002E5800">
      <w:pPr>
        <w:spacing w:before="15" w:line="240" w:lineRule="exact"/>
        <w:rPr>
          <w:rFonts w:ascii="Times New Roman" w:hAnsi="Times New Roman" w:cs="Times New Roman"/>
          <w:sz w:val="24"/>
          <w:szCs w:val="24"/>
          <w:lang w:val="pl-PL"/>
        </w:rPr>
      </w:pPr>
    </w:p>
    <w:p w14:paraId="3BDDEF78" w14:textId="08DA6F12" w:rsidR="002E5800" w:rsidRPr="008F328C" w:rsidRDefault="000E0B7C">
      <w:pPr>
        <w:jc w:val="center"/>
        <w:rPr>
          <w:rFonts w:ascii="Times New Roman" w:hAnsi="Times New Roman" w:cs="Times New Roman"/>
          <w:lang w:val="pl-PL"/>
        </w:rPr>
      </w:pPr>
      <w:r w:rsidRPr="008F328C">
        <w:rPr>
          <w:rFonts w:ascii="Times New Roman" w:eastAsia="Times New Roman" w:hAnsi="Times New Roman" w:cs="Times New Roman"/>
          <w:b/>
          <w:bCs/>
          <w:lang w:val="pl-PL"/>
        </w:rPr>
        <w:t xml:space="preserve">Tabela </w:t>
      </w:r>
      <w:r w:rsidR="007011B1" w:rsidRPr="008F328C">
        <w:rPr>
          <w:rFonts w:ascii="Times New Roman" w:eastAsia="Times New Roman" w:hAnsi="Times New Roman" w:cs="Times New Roman"/>
          <w:b/>
          <w:bCs/>
          <w:lang w:val="pl-PL"/>
        </w:rPr>
        <w:t>8</w:t>
      </w:r>
    </w:p>
    <w:p w14:paraId="4C389148" w14:textId="77777777" w:rsidR="002E5800" w:rsidRPr="008F328C" w:rsidRDefault="000E0B7C">
      <w:pPr>
        <w:pStyle w:val="a3"/>
        <w:jc w:val="center"/>
        <w:rPr>
          <w:b/>
          <w:lang w:val="pl-PL"/>
        </w:rPr>
      </w:pPr>
      <w:r w:rsidRPr="008F328C">
        <w:rPr>
          <w:rFonts w:eastAsia="Times New Roman"/>
          <w:b/>
          <w:bCs/>
          <w:lang w:val="pl-PL"/>
        </w:rPr>
        <w:t xml:space="preserve">Odpowiedzi w skali ACR w badaniach z grupami kontrolnymi otrzymującymi placebo </w:t>
      </w:r>
      <w:r w:rsidRPr="008F328C">
        <w:rPr>
          <w:rFonts w:eastAsia="Times New Roman"/>
          <w:b/>
          <w:bCs/>
          <w:lang w:val="pl-PL"/>
        </w:rPr>
        <w:br/>
        <w:t>(odsetek pacjentów)</w:t>
      </w:r>
    </w:p>
    <w:p w14:paraId="312A43F5" w14:textId="77777777" w:rsidR="002E5800" w:rsidRPr="008F328C" w:rsidRDefault="002E5800">
      <w:pPr>
        <w:spacing w:before="11" w:line="240" w:lineRule="exact"/>
        <w:rPr>
          <w:rFonts w:ascii="Times New Roman" w:hAnsi="Times New Roman" w:cs="Times New Roman"/>
          <w:sz w:val="24"/>
          <w:szCs w:val="24"/>
          <w:lang w:val="pl-PL"/>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2E5800" w:rsidRPr="008F328C" w14:paraId="0BD4BB5D" w14:textId="77777777" w:rsidTr="0008144B">
        <w:tc>
          <w:tcPr>
            <w:tcW w:w="1186" w:type="dxa"/>
            <w:vMerge w:val="restart"/>
            <w:tcBorders>
              <w:top w:val="single" w:sz="4" w:space="0" w:color="auto"/>
              <w:left w:val="single" w:sz="4" w:space="0" w:color="auto"/>
              <w:right w:val="single" w:sz="4" w:space="0" w:color="auto"/>
            </w:tcBorders>
          </w:tcPr>
          <w:p w14:paraId="3D7DEED0" w14:textId="77777777" w:rsidR="002E5800" w:rsidRPr="008F328C" w:rsidRDefault="000E0B7C" w:rsidP="00D71E16">
            <w:pPr>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Odpowiedź</w:t>
            </w:r>
          </w:p>
        </w:tc>
        <w:tc>
          <w:tcPr>
            <w:tcW w:w="2683" w:type="dxa"/>
            <w:gridSpan w:val="2"/>
            <w:tcBorders>
              <w:top w:val="single" w:sz="4" w:space="0" w:color="auto"/>
              <w:left w:val="single" w:sz="4" w:space="0" w:color="auto"/>
              <w:bottom w:val="single" w:sz="4" w:space="0" w:color="auto"/>
              <w:right w:val="single" w:sz="4" w:space="0" w:color="auto"/>
            </w:tcBorders>
          </w:tcPr>
          <w:p w14:paraId="233F6F1E"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561" w:type="dxa"/>
            <w:gridSpan w:val="2"/>
            <w:tcBorders>
              <w:top w:val="single" w:sz="4" w:space="0" w:color="auto"/>
              <w:left w:val="single" w:sz="4" w:space="0" w:color="auto"/>
              <w:bottom w:val="single" w:sz="4" w:space="0" w:color="auto"/>
              <w:right w:val="single" w:sz="4" w:space="0" w:color="auto"/>
            </w:tcBorders>
          </w:tcPr>
          <w:p w14:paraId="5396854C"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695" w:type="dxa"/>
            <w:gridSpan w:val="2"/>
            <w:tcBorders>
              <w:top w:val="single" w:sz="4" w:space="0" w:color="auto"/>
              <w:left w:val="single" w:sz="4" w:space="0" w:color="auto"/>
              <w:bottom w:val="single" w:sz="4" w:space="0" w:color="auto"/>
              <w:right w:val="single" w:sz="4" w:space="0" w:color="auto"/>
            </w:tcBorders>
          </w:tcPr>
          <w:p w14:paraId="5084A5AD"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r>
      <w:tr w:rsidR="002E5800" w:rsidRPr="008F328C" w14:paraId="1F76D512" w14:textId="77777777" w:rsidTr="0008144B">
        <w:tc>
          <w:tcPr>
            <w:tcW w:w="1186" w:type="dxa"/>
            <w:vMerge/>
            <w:tcBorders>
              <w:left w:val="single" w:sz="4" w:space="0" w:color="auto"/>
              <w:bottom w:val="single" w:sz="4" w:space="0" w:color="auto"/>
              <w:right w:val="single" w:sz="4" w:space="0" w:color="auto"/>
            </w:tcBorders>
          </w:tcPr>
          <w:p w14:paraId="7B248645" w14:textId="77777777" w:rsidR="002E5800" w:rsidRPr="008F328C" w:rsidRDefault="002E5800" w:rsidP="00D71E16">
            <w:pPr>
              <w:jc w:val="center"/>
              <w:rPr>
                <w:rFonts w:ascii="Times New Roman" w:hAnsi="Times New Roman" w:cs="Times New Roman"/>
                <w:lang w:val="pl-PL"/>
              </w:rPr>
            </w:pPr>
          </w:p>
        </w:tc>
        <w:tc>
          <w:tcPr>
            <w:tcW w:w="1075" w:type="dxa"/>
            <w:tcBorders>
              <w:top w:val="single" w:sz="4" w:space="0" w:color="auto"/>
              <w:left w:val="single" w:sz="4" w:space="0" w:color="auto"/>
              <w:bottom w:val="single" w:sz="4" w:space="0" w:color="auto"/>
              <w:right w:val="single" w:sz="4" w:space="0" w:color="auto"/>
            </w:tcBorders>
          </w:tcPr>
          <w:p w14:paraId="433FFAB4"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0881AC20" w14:textId="77777777" w:rsidR="002E5800" w:rsidRPr="008F328C" w:rsidRDefault="000E0B7C" w:rsidP="00D71E16">
            <w:pPr>
              <w:pStyle w:val="TableParagraph"/>
              <w:spacing w:before="5"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n=60</w:t>
            </w:r>
          </w:p>
        </w:tc>
        <w:tc>
          <w:tcPr>
            <w:tcW w:w="1608" w:type="dxa"/>
            <w:tcBorders>
              <w:top w:val="single" w:sz="4" w:space="0" w:color="auto"/>
              <w:left w:val="single" w:sz="4" w:space="0" w:color="auto"/>
              <w:bottom w:val="single" w:sz="4" w:space="0" w:color="auto"/>
              <w:right w:val="single" w:sz="4" w:space="0" w:color="auto"/>
            </w:tcBorders>
          </w:tcPr>
          <w:p w14:paraId="71B50E34" w14:textId="77777777" w:rsidR="002E5800" w:rsidRPr="008F328C" w:rsidRDefault="000E0B7C" w:rsidP="00D71E16">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49EEE524"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n=63</w:t>
            </w:r>
          </w:p>
        </w:tc>
        <w:tc>
          <w:tcPr>
            <w:tcW w:w="1273" w:type="dxa"/>
            <w:tcBorders>
              <w:top w:val="single" w:sz="4" w:space="0" w:color="auto"/>
              <w:left w:val="single" w:sz="4" w:space="0" w:color="auto"/>
              <w:bottom w:val="single" w:sz="4" w:space="0" w:color="auto"/>
              <w:right w:val="single" w:sz="4" w:space="0" w:color="auto"/>
            </w:tcBorders>
          </w:tcPr>
          <w:p w14:paraId="6CD9607B"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6A5736AF"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n=110</w:t>
            </w:r>
          </w:p>
        </w:tc>
        <w:tc>
          <w:tcPr>
            <w:tcW w:w="1288" w:type="dxa"/>
            <w:tcBorders>
              <w:top w:val="single" w:sz="4" w:space="0" w:color="auto"/>
              <w:left w:val="single" w:sz="4" w:space="0" w:color="auto"/>
              <w:bottom w:val="single" w:sz="4" w:space="0" w:color="auto"/>
              <w:right w:val="single" w:sz="4" w:space="0" w:color="auto"/>
            </w:tcBorders>
          </w:tcPr>
          <w:p w14:paraId="2ED9B5E9" w14:textId="77777777" w:rsidR="002E5800" w:rsidRPr="008F328C" w:rsidRDefault="000E0B7C" w:rsidP="00D71E16">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p>
          <w:p w14:paraId="7124796B"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n=113</w:t>
            </w:r>
          </w:p>
        </w:tc>
        <w:tc>
          <w:tcPr>
            <w:tcW w:w="1151" w:type="dxa"/>
            <w:tcBorders>
              <w:top w:val="single" w:sz="4" w:space="0" w:color="auto"/>
              <w:left w:val="single" w:sz="4" w:space="0" w:color="auto"/>
              <w:bottom w:val="single" w:sz="4" w:space="0" w:color="auto"/>
              <w:right w:val="single" w:sz="4" w:space="0" w:color="auto"/>
            </w:tcBorders>
          </w:tcPr>
          <w:p w14:paraId="1F52EC8B" w14:textId="77777777" w:rsidR="002E5800" w:rsidRPr="008F328C" w:rsidRDefault="000E0B7C" w:rsidP="00D71E1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4B494EE9" w14:textId="77777777" w:rsidR="002E5800" w:rsidRPr="008F328C" w:rsidRDefault="000E0B7C" w:rsidP="00D71E16">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n=200</w:t>
            </w:r>
          </w:p>
        </w:tc>
        <w:tc>
          <w:tcPr>
            <w:tcW w:w="1544" w:type="dxa"/>
            <w:tcBorders>
              <w:top w:val="single" w:sz="4" w:space="0" w:color="auto"/>
              <w:left w:val="single" w:sz="4" w:space="0" w:color="auto"/>
              <w:bottom w:val="single" w:sz="4" w:space="0" w:color="auto"/>
              <w:right w:val="single" w:sz="4" w:space="0" w:color="auto"/>
            </w:tcBorders>
          </w:tcPr>
          <w:p w14:paraId="5665263F" w14:textId="77777777" w:rsidR="002E5800" w:rsidRPr="008F328C" w:rsidRDefault="000E0B7C" w:rsidP="00D71E16">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0179246B"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n=207</w:t>
            </w:r>
          </w:p>
        </w:tc>
      </w:tr>
      <w:tr w:rsidR="002E5800" w:rsidRPr="008F328C" w14:paraId="0DD1ABAC" w14:textId="77777777" w:rsidTr="0008144B">
        <w:tc>
          <w:tcPr>
            <w:tcW w:w="1186" w:type="dxa"/>
            <w:tcBorders>
              <w:top w:val="single" w:sz="4" w:space="0" w:color="auto"/>
              <w:left w:val="single" w:sz="4" w:space="0" w:color="auto"/>
              <w:bottom w:val="nil"/>
              <w:right w:val="single" w:sz="8" w:space="0" w:color="000000"/>
            </w:tcBorders>
          </w:tcPr>
          <w:p w14:paraId="2CD8CFDC" w14:textId="77777777" w:rsidR="002E5800" w:rsidRPr="008F328C" w:rsidRDefault="000E0B7C" w:rsidP="00D71E16">
            <w:pPr>
              <w:pStyle w:val="TableParagraph"/>
              <w:spacing w:line="248"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20</w:t>
            </w:r>
          </w:p>
        </w:tc>
        <w:tc>
          <w:tcPr>
            <w:tcW w:w="1075" w:type="dxa"/>
            <w:vMerge w:val="restart"/>
            <w:tcBorders>
              <w:top w:val="single" w:sz="4" w:space="0" w:color="auto"/>
              <w:left w:val="single" w:sz="8" w:space="0" w:color="000000"/>
              <w:right w:val="nil"/>
            </w:tcBorders>
          </w:tcPr>
          <w:p w14:paraId="14AAF25E"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7D20CE42"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13,3%</w:t>
            </w:r>
          </w:p>
        </w:tc>
        <w:tc>
          <w:tcPr>
            <w:tcW w:w="1608" w:type="dxa"/>
            <w:vMerge w:val="restart"/>
            <w:tcBorders>
              <w:top w:val="single" w:sz="4" w:space="0" w:color="auto"/>
              <w:left w:val="nil"/>
              <w:right w:val="single" w:sz="7" w:space="0" w:color="000000"/>
            </w:tcBorders>
          </w:tcPr>
          <w:p w14:paraId="6E95B4D2"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0046C1AC"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65,1%</w:t>
            </w:r>
          </w:p>
        </w:tc>
        <w:tc>
          <w:tcPr>
            <w:tcW w:w="1273" w:type="dxa"/>
            <w:vMerge w:val="restart"/>
            <w:tcBorders>
              <w:top w:val="single" w:sz="4" w:space="0" w:color="auto"/>
              <w:left w:val="single" w:sz="7" w:space="0" w:color="000000"/>
              <w:right w:val="nil"/>
            </w:tcBorders>
          </w:tcPr>
          <w:p w14:paraId="35808DD2"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1FCD7CD2"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19,1%</w:t>
            </w:r>
          </w:p>
        </w:tc>
        <w:tc>
          <w:tcPr>
            <w:tcW w:w="1288" w:type="dxa"/>
            <w:vMerge w:val="restart"/>
            <w:tcBorders>
              <w:top w:val="single" w:sz="4" w:space="0" w:color="auto"/>
              <w:left w:val="nil"/>
              <w:right w:val="single" w:sz="7" w:space="0" w:color="000000"/>
            </w:tcBorders>
          </w:tcPr>
          <w:p w14:paraId="293A49C0"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3C2C0CD6"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46,0%</w:t>
            </w:r>
          </w:p>
        </w:tc>
        <w:tc>
          <w:tcPr>
            <w:tcW w:w="1151" w:type="dxa"/>
            <w:vMerge w:val="restart"/>
            <w:tcBorders>
              <w:top w:val="single" w:sz="4" w:space="0" w:color="auto"/>
              <w:left w:val="single" w:sz="7" w:space="0" w:color="000000"/>
              <w:right w:val="nil"/>
            </w:tcBorders>
          </w:tcPr>
          <w:p w14:paraId="00F54F87"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5DF8A317"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29,5%</w:t>
            </w:r>
          </w:p>
        </w:tc>
        <w:tc>
          <w:tcPr>
            <w:tcW w:w="1544" w:type="dxa"/>
            <w:vMerge w:val="restart"/>
            <w:tcBorders>
              <w:top w:val="single" w:sz="4" w:space="0" w:color="auto"/>
              <w:left w:val="nil"/>
              <w:right w:val="single" w:sz="4" w:space="0" w:color="auto"/>
            </w:tcBorders>
          </w:tcPr>
          <w:p w14:paraId="26959A47" w14:textId="77777777" w:rsidR="002E5800" w:rsidRPr="008F328C" w:rsidRDefault="002E5800" w:rsidP="00D71E16">
            <w:pPr>
              <w:pStyle w:val="TableParagraph"/>
              <w:spacing w:before="7" w:line="240" w:lineRule="exact"/>
              <w:jc w:val="center"/>
              <w:rPr>
                <w:rFonts w:ascii="Times New Roman" w:hAnsi="Times New Roman" w:cs="Times New Roman"/>
                <w:sz w:val="24"/>
                <w:szCs w:val="24"/>
                <w:lang w:val="pl-PL"/>
              </w:rPr>
            </w:pPr>
          </w:p>
          <w:p w14:paraId="544C4A77" w14:textId="77777777" w:rsidR="002E5800" w:rsidRPr="008F328C" w:rsidRDefault="000E0B7C" w:rsidP="00D71E16">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63,3%</w:t>
            </w:r>
          </w:p>
        </w:tc>
      </w:tr>
      <w:tr w:rsidR="002E5800" w:rsidRPr="008F328C" w14:paraId="5752DAF9" w14:textId="77777777" w:rsidTr="0008144B">
        <w:tc>
          <w:tcPr>
            <w:tcW w:w="1186" w:type="dxa"/>
            <w:tcBorders>
              <w:top w:val="nil"/>
              <w:left w:val="single" w:sz="4" w:space="0" w:color="auto"/>
              <w:right w:val="single" w:sz="8" w:space="0" w:color="000000"/>
            </w:tcBorders>
          </w:tcPr>
          <w:p w14:paraId="3FB3A34D"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vMerge/>
            <w:tcBorders>
              <w:left w:val="single" w:sz="8" w:space="0" w:color="000000"/>
              <w:right w:val="nil"/>
            </w:tcBorders>
          </w:tcPr>
          <w:p w14:paraId="698C9531" w14:textId="77777777" w:rsidR="002E5800" w:rsidRPr="008F328C" w:rsidRDefault="002E5800" w:rsidP="00D71E16">
            <w:pPr>
              <w:jc w:val="center"/>
              <w:rPr>
                <w:rFonts w:ascii="Times New Roman" w:hAnsi="Times New Roman" w:cs="Times New Roman"/>
                <w:lang w:val="pl-PL"/>
              </w:rPr>
            </w:pPr>
          </w:p>
        </w:tc>
        <w:tc>
          <w:tcPr>
            <w:tcW w:w="1608" w:type="dxa"/>
            <w:vMerge/>
            <w:tcBorders>
              <w:left w:val="nil"/>
              <w:right w:val="single" w:sz="7" w:space="0" w:color="000000"/>
            </w:tcBorders>
          </w:tcPr>
          <w:p w14:paraId="514458EF" w14:textId="77777777" w:rsidR="002E5800" w:rsidRPr="008F328C" w:rsidRDefault="002E5800" w:rsidP="00D71E16">
            <w:pPr>
              <w:jc w:val="center"/>
              <w:rPr>
                <w:rFonts w:ascii="Times New Roman" w:hAnsi="Times New Roman" w:cs="Times New Roman"/>
                <w:lang w:val="pl-PL"/>
              </w:rPr>
            </w:pPr>
          </w:p>
        </w:tc>
        <w:tc>
          <w:tcPr>
            <w:tcW w:w="1273" w:type="dxa"/>
            <w:vMerge/>
            <w:tcBorders>
              <w:left w:val="single" w:sz="7" w:space="0" w:color="000000"/>
              <w:right w:val="nil"/>
            </w:tcBorders>
          </w:tcPr>
          <w:p w14:paraId="4614A463" w14:textId="77777777" w:rsidR="002E5800" w:rsidRPr="008F328C" w:rsidRDefault="002E5800" w:rsidP="00D71E16">
            <w:pPr>
              <w:jc w:val="center"/>
              <w:rPr>
                <w:rFonts w:ascii="Times New Roman" w:hAnsi="Times New Roman" w:cs="Times New Roman"/>
                <w:lang w:val="pl-PL"/>
              </w:rPr>
            </w:pPr>
          </w:p>
        </w:tc>
        <w:tc>
          <w:tcPr>
            <w:tcW w:w="1288" w:type="dxa"/>
            <w:vMerge/>
            <w:tcBorders>
              <w:left w:val="nil"/>
              <w:right w:val="single" w:sz="7" w:space="0" w:color="000000"/>
            </w:tcBorders>
          </w:tcPr>
          <w:p w14:paraId="20F34275" w14:textId="77777777" w:rsidR="002E5800" w:rsidRPr="008F328C" w:rsidRDefault="002E5800" w:rsidP="00D71E16">
            <w:pPr>
              <w:jc w:val="center"/>
              <w:rPr>
                <w:rFonts w:ascii="Times New Roman" w:hAnsi="Times New Roman" w:cs="Times New Roman"/>
                <w:lang w:val="pl-PL"/>
              </w:rPr>
            </w:pPr>
          </w:p>
        </w:tc>
        <w:tc>
          <w:tcPr>
            <w:tcW w:w="1151" w:type="dxa"/>
            <w:vMerge/>
            <w:tcBorders>
              <w:left w:val="single" w:sz="7" w:space="0" w:color="000000"/>
              <w:right w:val="nil"/>
            </w:tcBorders>
          </w:tcPr>
          <w:p w14:paraId="2F4949D6" w14:textId="77777777" w:rsidR="002E5800" w:rsidRPr="008F328C" w:rsidRDefault="002E5800" w:rsidP="00D71E16">
            <w:pPr>
              <w:jc w:val="center"/>
              <w:rPr>
                <w:rFonts w:ascii="Times New Roman" w:hAnsi="Times New Roman" w:cs="Times New Roman"/>
                <w:lang w:val="pl-PL"/>
              </w:rPr>
            </w:pPr>
          </w:p>
        </w:tc>
        <w:tc>
          <w:tcPr>
            <w:tcW w:w="1544" w:type="dxa"/>
            <w:vMerge/>
            <w:tcBorders>
              <w:left w:val="nil"/>
              <w:right w:val="single" w:sz="4" w:space="0" w:color="auto"/>
            </w:tcBorders>
          </w:tcPr>
          <w:p w14:paraId="29A26D96" w14:textId="77777777" w:rsidR="002E5800" w:rsidRPr="008F328C" w:rsidRDefault="002E5800" w:rsidP="00D71E16">
            <w:pPr>
              <w:jc w:val="center"/>
              <w:rPr>
                <w:rFonts w:ascii="Times New Roman" w:hAnsi="Times New Roman" w:cs="Times New Roman"/>
                <w:lang w:val="pl-PL"/>
              </w:rPr>
            </w:pPr>
          </w:p>
        </w:tc>
      </w:tr>
      <w:tr w:rsidR="002E5800" w:rsidRPr="008F328C" w14:paraId="4E16D26A" w14:textId="77777777" w:rsidTr="0008144B">
        <w:tc>
          <w:tcPr>
            <w:tcW w:w="1186" w:type="dxa"/>
            <w:tcBorders>
              <w:top w:val="nil"/>
              <w:left w:val="single" w:sz="4" w:space="0" w:color="auto"/>
              <w:bottom w:val="single" w:sz="4" w:space="0" w:color="auto"/>
              <w:right w:val="single" w:sz="8" w:space="0" w:color="000000"/>
            </w:tcBorders>
          </w:tcPr>
          <w:p w14:paraId="20A7673D"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8" w:space="0" w:color="000000"/>
              <w:bottom w:val="single" w:sz="4" w:space="0" w:color="auto"/>
              <w:right w:val="nil"/>
            </w:tcBorders>
          </w:tcPr>
          <w:p w14:paraId="51304E66" w14:textId="14E150FC"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453C8495" w14:textId="167D3F09"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3DB726B0" w14:textId="327CE846"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3654109E" w14:textId="756B1E1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520E5FB4"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24,0%</w:t>
            </w:r>
          </w:p>
        </w:tc>
        <w:tc>
          <w:tcPr>
            <w:tcW w:w="1544" w:type="dxa"/>
            <w:tcBorders>
              <w:top w:val="nil"/>
              <w:left w:val="nil"/>
              <w:bottom w:val="single" w:sz="4" w:space="0" w:color="auto"/>
              <w:right w:val="single" w:sz="4" w:space="0" w:color="auto"/>
            </w:tcBorders>
          </w:tcPr>
          <w:p w14:paraId="0C7A6239"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58,9%</w:t>
            </w:r>
          </w:p>
        </w:tc>
      </w:tr>
      <w:tr w:rsidR="002E5800" w:rsidRPr="008F328C" w14:paraId="5636438D" w14:textId="77777777" w:rsidTr="0008144B">
        <w:tc>
          <w:tcPr>
            <w:tcW w:w="1186" w:type="dxa"/>
            <w:tcBorders>
              <w:top w:val="single" w:sz="4" w:space="0" w:color="auto"/>
              <w:left w:val="single" w:sz="4" w:space="0" w:color="auto"/>
              <w:bottom w:val="nil"/>
              <w:right w:val="single" w:sz="8" w:space="0" w:color="000000"/>
            </w:tcBorders>
          </w:tcPr>
          <w:p w14:paraId="5C92FEB4"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50</w:t>
            </w:r>
          </w:p>
        </w:tc>
        <w:tc>
          <w:tcPr>
            <w:tcW w:w="1075" w:type="dxa"/>
            <w:tcBorders>
              <w:top w:val="single" w:sz="4" w:space="0" w:color="auto"/>
              <w:left w:val="single" w:sz="8" w:space="0" w:color="000000"/>
              <w:bottom w:val="nil"/>
              <w:right w:val="nil"/>
            </w:tcBorders>
          </w:tcPr>
          <w:p w14:paraId="0E422333" w14:textId="77777777" w:rsidR="002E5800" w:rsidRPr="008F328C" w:rsidRDefault="002E5800" w:rsidP="00D71E16">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1A4D0CE8" w14:textId="77777777" w:rsidR="002E5800" w:rsidRPr="008F328C" w:rsidRDefault="002E5800" w:rsidP="00D71E16">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18F4EEA9" w14:textId="77777777" w:rsidR="002E5800" w:rsidRPr="008F328C" w:rsidRDefault="002E5800" w:rsidP="00D71E16">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07747CB9" w14:textId="77777777" w:rsidR="002E5800" w:rsidRPr="008F328C" w:rsidRDefault="002E5800" w:rsidP="00D71E16">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1AE188F2" w14:textId="77777777" w:rsidR="002E5800" w:rsidRPr="008F328C" w:rsidRDefault="002E5800" w:rsidP="00D71E16">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594F672E" w14:textId="77777777" w:rsidR="002E5800" w:rsidRPr="008F328C" w:rsidRDefault="002E5800" w:rsidP="00D71E16">
            <w:pPr>
              <w:jc w:val="center"/>
              <w:rPr>
                <w:rFonts w:ascii="Times New Roman" w:hAnsi="Times New Roman" w:cs="Times New Roman"/>
                <w:lang w:val="pl-PL"/>
              </w:rPr>
            </w:pPr>
          </w:p>
        </w:tc>
      </w:tr>
      <w:tr w:rsidR="002E5800" w:rsidRPr="008F328C" w14:paraId="5260C3D6" w14:textId="77777777" w:rsidTr="0008144B">
        <w:tc>
          <w:tcPr>
            <w:tcW w:w="1186" w:type="dxa"/>
            <w:tcBorders>
              <w:top w:val="nil"/>
              <w:left w:val="single" w:sz="4" w:space="0" w:color="auto"/>
              <w:right w:val="single" w:sz="8" w:space="0" w:color="000000"/>
            </w:tcBorders>
          </w:tcPr>
          <w:p w14:paraId="7ACA4B04"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right w:val="nil"/>
            </w:tcBorders>
          </w:tcPr>
          <w:p w14:paraId="3DACCDA4"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6,7%</w:t>
            </w:r>
          </w:p>
        </w:tc>
        <w:tc>
          <w:tcPr>
            <w:tcW w:w="1608" w:type="dxa"/>
            <w:tcBorders>
              <w:top w:val="nil"/>
              <w:left w:val="nil"/>
              <w:right w:val="single" w:sz="7" w:space="0" w:color="000000"/>
            </w:tcBorders>
          </w:tcPr>
          <w:p w14:paraId="2959E9B7"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52,4%</w:t>
            </w:r>
          </w:p>
        </w:tc>
        <w:tc>
          <w:tcPr>
            <w:tcW w:w="1273" w:type="dxa"/>
            <w:tcBorders>
              <w:top w:val="nil"/>
              <w:left w:val="single" w:sz="7" w:space="0" w:color="000000"/>
              <w:right w:val="nil"/>
            </w:tcBorders>
          </w:tcPr>
          <w:p w14:paraId="7967E2D9"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8,2%</w:t>
            </w:r>
          </w:p>
        </w:tc>
        <w:tc>
          <w:tcPr>
            <w:tcW w:w="1288" w:type="dxa"/>
            <w:tcBorders>
              <w:top w:val="nil"/>
              <w:left w:val="nil"/>
              <w:right w:val="single" w:sz="7" w:space="0" w:color="000000"/>
            </w:tcBorders>
          </w:tcPr>
          <w:p w14:paraId="2176A914"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22,1%</w:t>
            </w:r>
          </w:p>
        </w:tc>
        <w:tc>
          <w:tcPr>
            <w:tcW w:w="1151" w:type="dxa"/>
            <w:tcBorders>
              <w:top w:val="nil"/>
              <w:left w:val="single" w:sz="7" w:space="0" w:color="000000"/>
              <w:right w:val="nil"/>
            </w:tcBorders>
          </w:tcPr>
          <w:p w14:paraId="60411CAF"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right w:val="single" w:sz="4" w:space="0" w:color="auto"/>
            </w:tcBorders>
          </w:tcPr>
          <w:p w14:paraId="3CF65D29"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39,1%</w:t>
            </w:r>
          </w:p>
        </w:tc>
      </w:tr>
      <w:tr w:rsidR="002E5800" w:rsidRPr="008F328C" w14:paraId="037C07E7" w14:textId="77777777" w:rsidTr="0008144B">
        <w:tc>
          <w:tcPr>
            <w:tcW w:w="1186" w:type="dxa"/>
            <w:tcBorders>
              <w:top w:val="nil"/>
              <w:left w:val="single" w:sz="4" w:space="0" w:color="auto"/>
              <w:bottom w:val="single" w:sz="4" w:space="0" w:color="auto"/>
              <w:right w:val="single" w:sz="8" w:space="0" w:color="000000"/>
            </w:tcBorders>
          </w:tcPr>
          <w:p w14:paraId="6545CFB1"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8" w:space="0" w:color="000000"/>
              <w:bottom w:val="single" w:sz="4" w:space="0" w:color="auto"/>
              <w:right w:val="nil"/>
            </w:tcBorders>
          </w:tcPr>
          <w:p w14:paraId="423DA92B" w14:textId="28202D03"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528FB7BA" w14:textId="4398CED0" w:rsidR="002E5800" w:rsidRPr="008F328C" w:rsidRDefault="000E0B7C" w:rsidP="00D71E16">
            <w:pPr>
              <w:pStyle w:val="TableParagraph"/>
              <w:tabs>
                <w:tab w:val="left" w:pos="1013"/>
              </w:tabs>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6E8843FE" w14:textId="5FEDCA41"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7CA556EA" w14:textId="0C62F098"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6E0441B8"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bottom w:val="single" w:sz="4" w:space="0" w:color="auto"/>
              <w:right w:val="single" w:sz="4" w:space="0" w:color="auto"/>
            </w:tcBorders>
          </w:tcPr>
          <w:p w14:paraId="345A33A5"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41,5%</w:t>
            </w:r>
          </w:p>
        </w:tc>
      </w:tr>
      <w:tr w:rsidR="002E5800" w:rsidRPr="008F328C" w14:paraId="61C90719" w14:textId="77777777" w:rsidTr="0008144B">
        <w:tc>
          <w:tcPr>
            <w:tcW w:w="1186" w:type="dxa"/>
            <w:tcBorders>
              <w:top w:val="single" w:sz="4" w:space="0" w:color="auto"/>
              <w:left w:val="single" w:sz="4" w:space="0" w:color="auto"/>
              <w:right w:val="single" w:sz="8" w:space="0" w:color="000000"/>
            </w:tcBorders>
          </w:tcPr>
          <w:p w14:paraId="4847DCEB"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70</w:t>
            </w:r>
          </w:p>
        </w:tc>
        <w:tc>
          <w:tcPr>
            <w:tcW w:w="1075" w:type="dxa"/>
            <w:tcBorders>
              <w:top w:val="single" w:sz="4" w:space="0" w:color="auto"/>
              <w:left w:val="single" w:sz="8" w:space="0" w:color="000000"/>
              <w:bottom w:val="nil"/>
              <w:right w:val="nil"/>
            </w:tcBorders>
          </w:tcPr>
          <w:p w14:paraId="07F2FF76" w14:textId="77777777" w:rsidR="002E5800" w:rsidRPr="008F328C" w:rsidRDefault="002E5800" w:rsidP="00D71E16">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103F0E6A" w14:textId="77777777" w:rsidR="002E5800" w:rsidRPr="008F328C" w:rsidRDefault="002E5800" w:rsidP="00D71E16">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5E18A2FE" w14:textId="77777777" w:rsidR="002E5800" w:rsidRPr="008F328C" w:rsidRDefault="002E5800" w:rsidP="00D71E16">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7231C3BC" w14:textId="77777777" w:rsidR="002E5800" w:rsidRPr="008F328C" w:rsidRDefault="002E5800" w:rsidP="00D71E16">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7A2EFEDA" w14:textId="77777777" w:rsidR="002E5800" w:rsidRPr="008F328C" w:rsidRDefault="002E5800" w:rsidP="00D71E16">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77F3DF43" w14:textId="77777777" w:rsidR="002E5800" w:rsidRPr="008F328C" w:rsidRDefault="002E5800" w:rsidP="00D71E16">
            <w:pPr>
              <w:jc w:val="center"/>
              <w:rPr>
                <w:rFonts w:ascii="Times New Roman" w:hAnsi="Times New Roman" w:cs="Times New Roman"/>
                <w:lang w:val="pl-PL"/>
              </w:rPr>
            </w:pPr>
          </w:p>
        </w:tc>
      </w:tr>
      <w:tr w:rsidR="002E5800" w:rsidRPr="008F328C" w14:paraId="37170B27" w14:textId="77777777" w:rsidTr="0008144B">
        <w:tc>
          <w:tcPr>
            <w:tcW w:w="1186" w:type="dxa"/>
            <w:tcBorders>
              <w:top w:val="nil"/>
              <w:left w:val="single" w:sz="4" w:space="0" w:color="auto"/>
              <w:bottom w:val="nil"/>
              <w:right w:val="single" w:sz="8" w:space="0" w:color="000000"/>
            </w:tcBorders>
          </w:tcPr>
          <w:p w14:paraId="78222A5D"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bottom w:val="nil"/>
              <w:right w:val="nil"/>
            </w:tcBorders>
          </w:tcPr>
          <w:p w14:paraId="51C01B49"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3,3%</w:t>
            </w:r>
          </w:p>
        </w:tc>
        <w:tc>
          <w:tcPr>
            <w:tcW w:w="1608" w:type="dxa"/>
            <w:tcBorders>
              <w:top w:val="nil"/>
              <w:left w:val="nil"/>
              <w:bottom w:val="nil"/>
              <w:right w:val="single" w:sz="7" w:space="0" w:color="000000"/>
            </w:tcBorders>
          </w:tcPr>
          <w:p w14:paraId="51E38FC4"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273" w:type="dxa"/>
            <w:tcBorders>
              <w:top w:val="nil"/>
              <w:left w:val="single" w:sz="7" w:space="0" w:color="000000"/>
              <w:bottom w:val="nil"/>
              <w:right w:val="nil"/>
            </w:tcBorders>
          </w:tcPr>
          <w:p w14:paraId="220F40A6"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1,8%</w:t>
            </w:r>
          </w:p>
        </w:tc>
        <w:tc>
          <w:tcPr>
            <w:tcW w:w="1288" w:type="dxa"/>
            <w:tcBorders>
              <w:top w:val="nil"/>
              <w:left w:val="nil"/>
              <w:bottom w:val="nil"/>
              <w:right w:val="single" w:sz="7" w:space="0" w:color="000000"/>
            </w:tcBorders>
          </w:tcPr>
          <w:p w14:paraId="3E2FF01B"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12,4%</w:t>
            </w:r>
          </w:p>
        </w:tc>
        <w:tc>
          <w:tcPr>
            <w:tcW w:w="1151" w:type="dxa"/>
            <w:tcBorders>
              <w:top w:val="nil"/>
              <w:left w:val="single" w:sz="7" w:space="0" w:color="000000"/>
              <w:bottom w:val="nil"/>
              <w:right w:val="nil"/>
            </w:tcBorders>
          </w:tcPr>
          <w:p w14:paraId="501B0071"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544" w:type="dxa"/>
            <w:tcBorders>
              <w:top w:val="nil"/>
              <w:left w:val="nil"/>
              <w:bottom w:val="nil"/>
              <w:right w:val="single" w:sz="4" w:space="0" w:color="auto"/>
            </w:tcBorders>
          </w:tcPr>
          <w:p w14:paraId="36ECD794" w14:textId="77777777" w:rsidR="002E5800" w:rsidRPr="008F328C" w:rsidRDefault="000E0B7C" w:rsidP="00D71E16">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20,8%</w:t>
            </w:r>
          </w:p>
        </w:tc>
      </w:tr>
      <w:tr w:rsidR="002E5800" w:rsidRPr="008F328C" w14:paraId="0A5EC314" w14:textId="77777777" w:rsidTr="0008144B">
        <w:tc>
          <w:tcPr>
            <w:tcW w:w="1186" w:type="dxa"/>
            <w:tcBorders>
              <w:top w:val="nil"/>
              <w:left w:val="single" w:sz="4" w:space="0" w:color="auto"/>
              <w:bottom w:val="single" w:sz="8" w:space="0" w:color="000000"/>
              <w:right w:val="single" w:sz="7" w:space="0" w:color="000000"/>
            </w:tcBorders>
          </w:tcPr>
          <w:p w14:paraId="0A13AE77"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7" w:space="0" w:color="000000"/>
              <w:bottom w:val="single" w:sz="7" w:space="0" w:color="000000"/>
              <w:right w:val="nil"/>
            </w:tcBorders>
          </w:tcPr>
          <w:p w14:paraId="3018AFCC" w14:textId="3E7E13D1"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7" w:space="0" w:color="000000"/>
              <w:right w:val="single" w:sz="7" w:space="0" w:color="000000"/>
            </w:tcBorders>
          </w:tcPr>
          <w:p w14:paraId="3E1CF129" w14:textId="6C926BC6"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7" w:space="0" w:color="000000"/>
              <w:right w:val="nil"/>
            </w:tcBorders>
          </w:tcPr>
          <w:p w14:paraId="775C99BE" w14:textId="3655171B"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7" w:space="0" w:color="000000"/>
              <w:right w:val="single" w:sz="7" w:space="0" w:color="000000"/>
            </w:tcBorders>
          </w:tcPr>
          <w:p w14:paraId="368304C9" w14:textId="5B58E511" w:rsidR="002E5800" w:rsidRPr="008F328C" w:rsidRDefault="000E0B7C" w:rsidP="00D71E16">
            <w:pPr>
              <w:pStyle w:val="TableParagraph"/>
              <w:tabs>
                <w:tab w:val="left" w:pos="832"/>
              </w:tabs>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7" w:space="0" w:color="000000"/>
              <w:right w:val="nil"/>
            </w:tcBorders>
          </w:tcPr>
          <w:p w14:paraId="5B5B691C"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4,5%</w:t>
            </w:r>
          </w:p>
        </w:tc>
        <w:tc>
          <w:tcPr>
            <w:tcW w:w="1544" w:type="dxa"/>
            <w:tcBorders>
              <w:top w:val="nil"/>
              <w:left w:val="nil"/>
              <w:bottom w:val="single" w:sz="8" w:space="0" w:color="000000"/>
              <w:right w:val="single" w:sz="4" w:space="0" w:color="auto"/>
            </w:tcBorders>
          </w:tcPr>
          <w:p w14:paraId="5CDC4C0F" w14:textId="77777777" w:rsidR="002E5800" w:rsidRPr="008F328C" w:rsidRDefault="000E0B7C" w:rsidP="00D71E16">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r>
    </w:tbl>
    <w:p w14:paraId="706E91C2" w14:textId="77777777" w:rsidR="002E5800" w:rsidRPr="008F328C" w:rsidRDefault="000E0B7C">
      <w:pPr>
        <w:pStyle w:val="a3"/>
        <w:numPr>
          <w:ilvl w:val="0"/>
          <w:numId w:val="0"/>
        </w:numPr>
        <w:rPr>
          <w:lang w:val="pl-PL"/>
        </w:rPr>
      </w:pPr>
      <w:r w:rsidRPr="008F328C">
        <w:rPr>
          <w:rFonts w:eastAsia="Times New Roman"/>
          <w:position w:val="8"/>
          <w:sz w:val="14"/>
          <w:szCs w:val="14"/>
          <w:lang w:val="pl-PL"/>
        </w:rPr>
        <w:t xml:space="preserve">a </w:t>
      </w:r>
      <w:r w:rsidRPr="008F328C">
        <w:rPr>
          <w:rFonts w:eastAsia="Times New Roman"/>
          <w:position w:val="8"/>
          <w:lang w:val="pl-PL"/>
        </w:rPr>
        <w:t>Badanie I w RZS w 24. tygodniu, badanie II w RZS w 26. tygodniu, badanie III w RZS w 24. i 52. tygodniu</w:t>
      </w:r>
    </w:p>
    <w:p w14:paraId="5CDAA1DB" w14:textId="77777777" w:rsidR="002E5800" w:rsidRPr="008F328C" w:rsidRDefault="000E0B7C">
      <w:pPr>
        <w:pStyle w:val="a3"/>
        <w:numPr>
          <w:ilvl w:val="0"/>
          <w:numId w:val="0"/>
        </w:numPr>
        <w:rPr>
          <w:lang w:val="pl-PL"/>
        </w:rPr>
      </w:pPr>
      <w:r w:rsidRPr="008F328C">
        <w:rPr>
          <w:rFonts w:eastAsia="Times New Roman"/>
          <w:position w:val="8"/>
          <w:sz w:val="14"/>
          <w:szCs w:val="14"/>
          <w:lang w:val="pl-PL"/>
        </w:rPr>
        <w:t xml:space="preserve">b </w:t>
      </w:r>
      <w:r w:rsidRPr="008F328C">
        <w:rPr>
          <w:rFonts w:eastAsia="Times New Roman"/>
          <w:position w:val="8"/>
          <w:lang w:val="pl-PL"/>
        </w:rPr>
        <w:t>40 mg adalimumabu podawane co drugi tydzień</w:t>
      </w:r>
    </w:p>
    <w:p w14:paraId="4A803B6E" w14:textId="77777777" w:rsidR="002E5800" w:rsidRPr="008F328C" w:rsidRDefault="000E0B7C">
      <w:pPr>
        <w:pStyle w:val="a3"/>
        <w:rPr>
          <w:lang w:val="pl-PL"/>
        </w:rPr>
      </w:pPr>
      <w:r w:rsidRPr="008F328C">
        <w:rPr>
          <w:rFonts w:eastAsia="Times New Roman"/>
          <w:position w:val="8"/>
          <w:sz w:val="14"/>
          <w:szCs w:val="14"/>
          <w:lang w:val="pl-PL"/>
        </w:rPr>
        <w:t xml:space="preserve">c </w:t>
      </w:r>
      <w:r w:rsidRPr="008F328C">
        <w:rPr>
          <w:rFonts w:eastAsia="Times New Roman"/>
          <w:position w:val="8"/>
          <w:lang w:val="pl-PL"/>
        </w:rPr>
        <w:t>MTX = metotreksat</w:t>
      </w:r>
    </w:p>
    <w:p w14:paraId="3474C1E1" w14:textId="77777777" w:rsidR="002E5800" w:rsidRPr="008F328C" w:rsidRDefault="000E0B7C">
      <w:pPr>
        <w:spacing w:before="1"/>
        <w:rPr>
          <w:rFonts w:ascii="Times New Roman" w:eastAsia="Times New Roman" w:hAnsi="Times New Roman" w:cs="Times New Roman"/>
          <w:lang w:val="pl-PL"/>
        </w:rPr>
      </w:pPr>
      <w:r w:rsidRPr="008F328C">
        <w:rPr>
          <w:rFonts w:ascii="Times New Roman" w:eastAsia="Times New Roman" w:hAnsi="Times New Roman" w:cs="Times New Roman"/>
          <w:lang w:val="pl-PL"/>
        </w:rPr>
        <w:t>**p &lt; 0,01, adalimumab w porównaniu z placebo</w:t>
      </w:r>
    </w:p>
    <w:p w14:paraId="7E3EA32F" w14:textId="77777777" w:rsidR="002E5800" w:rsidRPr="008F328C" w:rsidRDefault="002E5800">
      <w:pPr>
        <w:spacing w:before="1" w:line="180" w:lineRule="exact"/>
        <w:rPr>
          <w:rFonts w:ascii="Times New Roman" w:hAnsi="Times New Roman" w:cs="Times New Roman"/>
          <w:sz w:val="18"/>
          <w:szCs w:val="18"/>
          <w:lang w:val="pl-PL"/>
        </w:rPr>
      </w:pPr>
    </w:p>
    <w:p w14:paraId="44074918" w14:textId="77777777" w:rsidR="002E5800" w:rsidRPr="008F328C" w:rsidRDefault="000E0B7C">
      <w:pPr>
        <w:pStyle w:val="a3"/>
        <w:rPr>
          <w:lang w:val="pl-PL"/>
        </w:rPr>
      </w:pPr>
      <w:r w:rsidRPr="008F328C">
        <w:rPr>
          <w:rFonts w:eastAsia="Times New Roman"/>
          <w:lang w:val="pl-PL"/>
        </w:rPr>
        <w:t>W badaniach I-IV w RZS wszystkie składniki kryteriów odpowiedzi w skali ACR [liczba bolesnych i obrzękniętych stawów, ocena aktywności choroby i dolegliwości bólowych przez lekarza i przez pacjenta, wskaźnik niepełnosprawności (HAQ) oraz wartości CRP (mg/100 ml)] poprawiły się w tygodniu 24. lub 26. w porównaniu do grupy otrzymującej placebo. W badaniu III w RZS poprawa utrzymywała się do 52. tygodnia włącznie.</w:t>
      </w:r>
    </w:p>
    <w:p w14:paraId="668C03D8" w14:textId="77777777" w:rsidR="002E5800" w:rsidRPr="008F328C" w:rsidRDefault="002E5800">
      <w:pPr>
        <w:spacing w:before="13" w:line="240" w:lineRule="exact"/>
        <w:rPr>
          <w:rFonts w:ascii="Times New Roman" w:hAnsi="Times New Roman" w:cs="Times New Roman"/>
          <w:sz w:val="24"/>
          <w:szCs w:val="24"/>
          <w:lang w:val="pl-PL"/>
        </w:rPr>
      </w:pPr>
    </w:p>
    <w:p w14:paraId="247C656A" w14:textId="7A2CE382" w:rsidR="002E5800" w:rsidRPr="008F328C" w:rsidRDefault="000E0B7C">
      <w:pPr>
        <w:pStyle w:val="a3"/>
        <w:rPr>
          <w:lang w:val="pl-PL"/>
        </w:rPr>
      </w:pPr>
      <w:r w:rsidRPr="008F328C">
        <w:rPr>
          <w:rFonts w:eastAsia="Times New Roman"/>
          <w:lang w:val="pl-PL"/>
        </w:rPr>
        <w:t xml:space="preserve">W fazie otwartej będącej kontynuacją badania III w RZS, u większości pacjentów wykazujących odpowiedź na leczenie w skali ACR, odpowiedź ta utrzymywała się podczas obserwacji prowadzonej przez okres do 10 lat. </w:t>
      </w:r>
      <w:r w:rsidR="00DD7281" w:rsidRPr="008F328C">
        <w:rPr>
          <w:rFonts w:eastAsia="Times New Roman"/>
          <w:lang w:val="pl-PL"/>
        </w:rPr>
        <w:t xml:space="preserve">Stuczternastu </w:t>
      </w:r>
      <w:r w:rsidRPr="008F328C">
        <w:rPr>
          <w:rFonts w:eastAsia="Times New Roman"/>
          <w:lang w:val="pl-PL"/>
        </w:rPr>
        <w:t>z 207 pacjentów losowo przydzielonych do grupy otrzymującej adalimumab 40 mg co drugi tydzień kontynuowało leczenie przez 5 lat. Spośród nich, u 86 pacjentów (75,4%) stwierdzono odpowiedź 20 w skali ACR, u 72 pacjentów (63,2%) – odpowiedź 50 w skali ACR, a u 41 pacjentów (36%) – odpowiedź 70 w skali ACR. 81 z 207 pacjentów kontynuowało leczenie adalimumabem 40 mg co drugi tydzień przez 10 lat. Spośród nich, u 64 pacjentów (79,0%) stwierdzono odpowiedź 20 w skali ACR, u 56 pacjentów (69,1%) – odpowiedź 50 w skali ACR, a u 43 pacjentów (53,1%) – odpowiedź 70 w skali ACR.</w:t>
      </w:r>
    </w:p>
    <w:p w14:paraId="534B5538" w14:textId="77777777" w:rsidR="002E5800" w:rsidRPr="008F328C" w:rsidRDefault="002E5800">
      <w:pPr>
        <w:spacing w:before="17" w:line="240" w:lineRule="exact"/>
        <w:rPr>
          <w:rFonts w:ascii="Times New Roman" w:hAnsi="Times New Roman" w:cs="Times New Roman"/>
          <w:sz w:val="24"/>
          <w:szCs w:val="24"/>
          <w:lang w:val="pl-PL"/>
        </w:rPr>
      </w:pPr>
    </w:p>
    <w:p w14:paraId="0C112AA6" w14:textId="77777777" w:rsidR="002E5800" w:rsidRPr="008F328C" w:rsidRDefault="000E0B7C">
      <w:pPr>
        <w:pStyle w:val="a3"/>
        <w:rPr>
          <w:lang w:val="pl-PL"/>
        </w:rPr>
      </w:pPr>
      <w:r w:rsidRPr="008F328C">
        <w:rPr>
          <w:rFonts w:eastAsia="Times New Roman"/>
          <w:lang w:val="pl-PL"/>
        </w:rPr>
        <w:t>W badaniu IV w RZS odpowiedź 20 w skali ACR u pacjentów leczonych adalimumabem plus standardowe leczenie była istotnie statystycznie lepsza niż u pacjentów otrzymujących placebo plus standardowe leczenie (p &lt; 0,001).</w:t>
      </w:r>
    </w:p>
    <w:p w14:paraId="099DEBF6" w14:textId="77777777" w:rsidR="002E5800" w:rsidRPr="008F328C" w:rsidRDefault="002E5800">
      <w:pPr>
        <w:spacing w:before="11" w:line="240" w:lineRule="exact"/>
        <w:rPr>
          <w:rFonts w:ascii="Times New Roman" w:hAnsi="Times New Roman" w:cs="Times New Roman"/>
          <w:sz w:val="24"/>
          <w:szCs w:val="24"/>
          <w:lang w:val="pl-PL"/>
        </w:rPr>
      </w:pPr>
    </w:p>
    <w:p w14:paraId="0A72050D" w14:textId="77777777" w:rsidR="002E5800" w:rsidRPr="008F328C" w:rsidRDefault="000E0B7C">
      <w:pPr>
        <w:pStyle w:val="a3"/>
        <w:rPr>
          <w:lang w:val="pl-PL"/>
        </w:rPr>
      </w:pPr>
      <w:r w:rsidRPr="008F328C">
        <w:rPr>
          <w:rFonts w:eastAsia="Times New Roman"/>
          <w:lang w:val="pl-PL"/>
        </w:rPr>
        <w:t>W badaniach I-IV w RZS pacjenci leczeni adalimumabem w porównaniu do grupy otrzymującej placebo osiągnęli statystycznie istotne odpowiedzi 20 i 50 w skali ACR już w tydzień lub dwa tygodnie po rozpoczęciu leczenia.</w:t>
      </w:r>
    </w:p>
    <w:p w14:paraId="53387E8A" w14:textId="77777777" w:rsidR="002E5800" w:rsidRPr="008F328C" w:rsidRDefault="002E5800">
      <w:pPr>
        <w:pStyle w:val="a3"/>
        <w:rPr>
          <w:lang w:val="pl-PL"/>
        </w:rPr>
      </w:pPr>
    </w:p>
    <w:p w14:paraId="395B6487" w14:textId="3EE3B38C" w:rsidR="002E5800" w:rsidRPr="008F328C" w:rsidRDefault="000E0B7C">
      <w:pPr>
        <w:pStyle w:val="a3"/>
        <w:rPr>
          <w:lang w:val="pl-PL"/>
        </w:rPr>
      </w:pPr>
      <w:r w:rsidRPr="008F328C">
        <w:rPr>
          <w:rFonts w:eastAsia="Times New Roman"/>
          <w:lang w:val="pl-PL"/>
        </w:rPr>
        <w:t xml:space="preserve">W badaniu V w RZS z udziałem pacjentów z wczesnym reumatoidalnym zapaleniem stawów, którym nie podawano wcześniej metotreksatu, leczenie skojarzone adalimumabem i metotreksatem doprowadziło w 52. tygodniu do szybszej i istotnie większej odpowiedzi na leczenie w skali ACR niż metotreksat stosowany w monoterapii i adalimumab w monoterapii. Odpowiedzi te utrzymywały się w 104. tygodniu (patrz Tabela </w:t>
      </w:r>
      <w:r w:rsidR="007011B1" w:rsidRPr="008F328C">
        <w:rPr>
          <w:rFonts w:eastAsia="Times New Roman"/>
          <w:lang w:val="pl-PL"/>
        </w:rPr>
        <w:t>9</w:t>
      </w:r>
      <w:r w:rsidRPr="008F328C">
        <w:rPr>
          <w:rFonts w:eastAsia="Times New Roman"/>
          <w:lang w:val="pl-PL"/>
        </w:rPr>
        <w:t>).</w:t>
      </w:r>
    </w:p>
    <w:p w14:paraId="022C5435" w14:textId="77777777" w:rsidR="002E5800" w:rsidRPr="008F328C" w:rsidRDefault="002E5800">
      <w:pPr>
        <w:pStyle w:val="a3"/>
        <w:jc w:val="center"/>
        <w:rPr>
          <w:b/>
          <w:lang w:val="pl-PL"/>
        </w:rPr>
      </w:pPr>
    </w:p>
    <w:p w14:paraId="79A71B77" w14:textId="406BC991" w:rsidR="002E5800" w:rsidRPr="008F328C" w:rsidRDefault="000E0B7C">
      <w:pPr>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7011B1" w:rsidRPr="008F328C">
        <w:rPr>
          <w:rFonts w:ascii="Times New Roman" w:eastAsia="Times New Roman" w:hAnsi="Times New Roman" w:cs="Times New Roman"/>
          <w:b/>
          <w:bCs/>
          <w:lang w:val="pl-PL"/>
        </w:rPr>
        <w:t>9</w:t>
      </w:r>
    </w:p>
    <w:p w14:paraId="1AD59680" w14:textId="77777777" w:rsidR="002E5800" w:rsidRPr="008F328C" w:rsidRDefault="000E0B7C">
      <w:pPr>
        <w:pStyle w:val="a3"/>
        <w:jc w:val="center"/>
        <w:rPr>
          <w:b/>
          <w:lang w:val="pl-PL"/>
        </w:rPr>
      </w:pPr>
      <w:r w:rsidRPr="008F328C">
        <w:rPr>
          <w:rFonts w:eastAsia="Times New Roman"/>
          <w:b/>
          <w:bCs/>
          <w:lang w:val="pl-PL"/>
        </w:rPr>
        <w:t>Odpowiedzi w skali ACR w badaniu V w RZS</w:t>
      </w:r>
    </w:p>
    <w:p w14:paraId="0EFB770F" w14:textId="77777777" w:rsidR="002E5800" w:rsidRPr="008F328C" w:rsidRDefault="000E0B7C">
      <w:pPr>
        <w:pStyle w:val="a3"/>
        <w:jc w:val="center"/>
        <w:rPr>
          <w:b/>
          <w:lang w:val="pl-PL"/>
        </w:rPr>
      </w:pPr>
      <w:r w:rsidRPr="008F328C">
        <w:rPr>
          <w:rFonts w:eastAsia="Times New Roman"/>
          <w:b/>
          <w:bCs/>
          <w:lang w:val="pl-PL"/>
        </w:rPr>
        <w:t>(odsetek pacjentów)</w:t>
      </w:r>
    </w:p>
    <w:p w14:paraId="601323A8" w14:textId="77777777" w:rsidR="002E5800" w:rsidRPr="008F328C" w:rsidRDefault="002E5800">
      <w:pPr>
        <w:pStyle w:val="a3"/>
        <w:jc w:val="center"/>
        <w:rPr>
          <w:b/>
          <w:lang w:val="pl-PL"/>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2E5800" w:rsidRPr="008F328C" w14:paraId="1C9CE018" w14:textId="77777777" w:rsidTr="0008144B">
        <w:tc>
          <w:tcPr>
            <w:tcW w:w="1366" w:type="dxa"/>
            <w:tcBorders>
              <w:top w:val="single" w:sz="5" w:space="0" w:color="000000"/>
              <w:left w:val="single" w:sz="8" w:space="0" w:color="000000"/>
              <w:bottom w:val="single" w:sz="5" w:space="0" w:color="000000"/>
              <w:right w:val="single" w:sz="5" w:space="0" w:color="000000"/>
            </w:tcBorders>
            <w:vAlign w:val="center"/>
          </w:tcPr>
          <w:p w14:paraId="594BE07C" w14:textId="77777777" w:rsidR="002E5800" w:rsidRPr="008F328C" w:rsidRDefault="002E5800">
            <w:pPr>
              <w:pStyle w:val="TableParagraph"/>
              <w:spacing w:line="120" w:lineRule="exact"/>
              <w:jc w:val="center"/>
              <w:rPr>
                <w:rFonts w:ascii="Times New Roman" w:hAnsi="Times New Roman" w:cs="Times New Roman"/>
                <w:sz w:val="12"/>
                <w:szCs w:val="12"/>
                <w:lang w:val="pl-PL"/>
              </w:rPr>
            </w:pPr>
          </w:p>
          <w:p w14:paraId="4EEFE9EF"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Odpowiedź</w:t>
            </w:r>
          </w:p>
        </w:tc>
        <w:tc>
          <w:tcPr>
            <w:tcW w:w="1275" w:type="dxa"/>
            <w:tcBorders>
              <w:top w:val="single" w:sz="5" w:space="0" w:color="000000"/>
              <w:left w:val="single" w:sz="5" w:space="0" w:color="000000"/>
              <w:bottom w:val="single" w:sz="5" w:space="0" w:color="000000"/>
              <w:right w:val="single" w:sz="5" w:space="0" w:color="000000"/>
            </w:tcBorders>
            <w:vAlign w:val="center"/>
          </w:tcPr>
          <w:p w14:paraId="64EE5D73" w14:textId="77777777" w:rsidR="002E5800" w:rsidRPr="008F328C" w:rsidRDefault="000E0B7C">
            <w:pPr>
              <w:pStyle w:val="TableParagraph"/>
              <w:spacing w:line="252" w:lineRule="exact"/>
              <w:ind w:firstLine="3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MTX 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2783E6A3" w14:textId="77777777" w:rsidR="002E5800" w:rsidRPr="008F328C" w:rsidRDefault="000E0B7C">
            <w:pPr>
              <w:pStyle w:val="TableParagraph"/>
              <w:spacing w:line="252" w:lineRule="exact"/>
              <w:ind w:hanging="8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0A33B73C" w14:textId="77777777" w:rsidR="002E5800" w:rsidRPr="008F328C" w:rsidRDefault="000E0B7C">
            <w:pPr>
              <w:pStyle w:val="TableParagraph"/>
              <w:spacing w:line="252" w:lineRule="exact"/>
              <w:ind w:hanging="372"/>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      Adalimumab/MTX</w:t>
            </w:r>
          </w:p>
          <w:p w14:paraId="7D093F3A" w14:textId="77777777" w:rsidR="002E5800" w:rsidRPr="008F328C" w:rsidRDefault="000E0B7C">
            <w:pPr>
              <w:pStyle w:val="TableParagraph"/>
              <w:spacing w:line="252" w:lineRule="exact"/>
              <w:ind w:hanging="37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66CB8A61" w14:textId="77777777" w:rsidR="002E5800" w:rsidRPr="008F328C" w:rsidRDefault="000E0B7C">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2988A440" w14:textId="77777777" w:rsidR="002E5800" w:rsidRPr="008F328C" w:rsidRDefault="000E0B7C">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7A11EC22" w14:textId="77777777" w:rsidR="002E5800" w:rsidRPr="008F328C" w:rsidRDefault="000E0B7C">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c</w:t>
            </w:r>
          </w:p>
        </w:tc>
      </w:tr>
      <w:tr w:rsidR="002E5800" w:rsidRPr="008F328C" w14:paraId="4834D966" w14:textId="77777777" w:rsidTr="0008144B">
        <w:tc>
          <w:tcPr>
            <w:tcW w:w="9249" w:type="dxa"/>
            <w:gridSpan w:val="7"/>
            <w:tcBorders>
              <w:top w:val="single" w:sz="5" w:space="0" w:color="000000"/>
              <w:left w:val="single" w:sz="8" w:space="0" w:color="000000"/>
              <w:bottom w:val="single" w:sz="5" w:space="0" w:color="000000"/>
              <w:right w:val="single" w:sz="9" w:space="0" w:color="000000"/>
            </w:tcBorders>
          </w:tcPr>
          <w:p w14:paraId="494DC96B" w14:textId="77777777" w:rsidR="002E5800" w:rsidRPr="008F328C" w:rsidRDefault="000E0B7C">
            <w:pPr>
              <w:rPr>
                <w:rFonts w:ascii="Times New Roman" w:hAnsi="Times New Roman" w:cs="Times New Roman"/>
                <w:lang w:val="pl-PL"/>
              </w:rPr>
            </w:pPr>
            <w:r w:rsidRPr="008F328C">
              <w:rPr>
                <w:rFonts w:ascii="Times New Roman" w:eastAsia="Times New Roman" w:hAnsi="Times New Roman" w:cs="Times New Roman"/>
                <w:spacing w:val="-1"/>
                <w:lang w:val="pl-PL"/>
              </w:rPr>
              <w:t>ACR 20</w:t>
            </w:r>
          </w:p>
        </w:tc>
      </w:tr>
      <w:tr w:rsidR="002E5800" w:rsidRPr="008F328C" w14:paraId="65C89A7F"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2E84FB7E" w14:textId="77777777" w:rsidR="002E5800" w:rsidRPr="008F328C" w:rsidRDefault="000E0B7C">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3EB0D7A8"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62,6%</w:t>
            </w:r>
          </w:p>
        </w:tc>
        <w:tc>
          <w:tcPr>
            <w:tcW w:w="1276" w:type="dxa"/>
            <w:tcBorders>
              <w:top w:val="single" w:sz="5" w:space="0" w:color="000000"/>
              <w:left w:val="single" w:sz="5" w:space="0" w:color="000000"/>
              <w:bottom w:val="single" w:sz="5" w:space="0" w:color="000000"/>
              <w:right w:val="single" w:sz="5" w:space="0" w:color="000000"/>
            </w:tcBorders>
          </w:tcPr>
          <w:p w14:paraId="214E1B6E"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54,4%</w:t>
            </w:r>
          </w:p>
        </w:tc>
        <w:tc>
          <w:tcPr>
            <w:tcW w:w="1985" w:type="dxa"/>
            <w:tcBorders>
              <w:top w:val="single" w:sz="5" w:space="0" w:color="000000"/>
              <w:left w:val="single" w:sz="5" w:space="0" w:color="000000"/>
              <w:bottom w:val="single" w:sz="5" w:space="0" w:color="000000"/>
              <w:right w:val="single" w:sz="5" w:space="0" w:color="000000"/>
            </w:tcBorders>
          </w:tcPr>
          <w:p w14:paraId="4C7F04CE" w14:textId="77777777" w:rsidR="002E5800" w:rsidRPr="008F328C" w:rsidRDefault="000E0B7C">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72,8%</w:t>
            </w:r>
          </w:p>
        </w:tc>
        <w:tc>
          <w:tcPr>
            <w:tcW w:w="957" w:type="dxa"/>
            <w:tcBorders>
              <w:top w:val="single" w:sz="5" w:space="0" w:color="000000"/>
              <w:left w:val="single" w:sz="5" w:space="0" w:color="000000"/>
              <w:bottom w:val="single" w:sz="5" w:space="0" w:color="000000"/>
              <w:right w:val="single" w:sz="5" w:space="0" w:color="000000"/>
            </w:tcBorders>
          </w:tcPr>
          <w:p w14:paraId="3FE8355E" w14:textId="77777777" w:rsidR="002E5800" w:rsidRPr="008F328C" w:rsidRDefault="000E0B7C">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0,013</w:t>
            </w:r>
          </w:p>
        </w:tc>
        <w:tc>
          <w:tcPr>
            <w:tcW w:w="1174" w:type="dxa"/>
            <w:tcBorders>
              <w:top w:val="single" w:sz="5" w:space="0" w:color="000000"/>
              <w:left w:val="single" w:sz="5" w:space="0" w:color="000000"/>
              <w:bottom w:val="single" w:sz="5" w:space="0" w:color="000000"/>
              <w:right w:val="single" w:sz="5" w:space="0" w:color="000000"/>
            </w:tcBorders>
          </w:tcPr>
          <w:p w14:paraId="4A542B84" w14:textId="77777777" w:rsidR="002E5800" w:rsidRPr="008F328C" w:rsidRDefault="000E0B7C">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1A165507" w14:textId="77777777" w:rsidR="002E5800" w:rsidRPr="008F328C" w:rsidRDefault="000E0B7C">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0,043</w:t>
            </w:r>
          </w:p>
        </w:tc>
      </w:tr>
      <w:tr w:rsidR="002E5800" w:rsidRPr="008F328C" w14:paraId="073F283D"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5BDBF9BD" w14:textId="77777777" w:rsidR="002E5800" w:rsidRPr="008F328C" w:rsidRDefault="000E0B7C">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2108AE50"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56,0%</w:t>
            </w:r>
          </w:p>
        </w:tc>
        <w:tc>
          <w:tcPr>
            <w:tcW w:w="1276" w:type="dxa"/>
            <w:tcBorders>
              <w:top w:val="single" w:sz="5" w:space="0" w:color="000000"/>
              <w:left w:val="single" w:sz="5" w:space="0" w:color="000000"/>
              <w:bottom w:val="single" w:sz="5" w:space="0" w:color="000000"/>
              <w:right w:val="single" w:sz="5" w:space="0" w:color="000000"/>
            </w:tcBorders>
          </w:tcPr>
          <w:p w14:paraId="6514070E"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49,3%</w:t>
            </w:r>
          </w:p>
        </w:tc>
        <w:tc>
          <w:tcPr>
            <w:tcW w:w="1985" w:type="dxa"/>
            <w:tcBorders>
              <w:top w:val="single" w:sz="5" w:space="0" w:color="000000"/>
              <w:left w:val="single" w:sz="5" w:space="0" w:color="000000"/>
              <w:bottom w:val="single" w:sz="5" w:space="0" w:color="000000"/>
              <w:right w:val="single" w:sz="5" w:space="0" w:color="000000"/>
            </w:tcBorders>
          </w:tcPr>
          <w:p w14:paraId="4C5F95AD" w14:textId="77777777" w:rsidR="002E5800" w:rsidRPr="008F328C" w:rsidRDefault="000E0B7C">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69,4%</w:t>
            </w:r>
          </w:p>
        </w:tc>
        <w:tc>
          <w:tcPr>
            <w:tcW w:w="957" w:type="dxa"/>
            <w:tcBorders>
              <w:top w:val="single" w:sz="5" w:space="0" w:color="000000"/>
              <w:left w:val="single" w:sz="5" w:space="0" w:color="000000"/>
              <w:bottom w:val="single" w:sz="5" w:space="0" w:color="000000"/>
              <w:right w:val="single" w:sz="5" w:space="0" w:color="000000"/>
            </w:tcBorders>
          </w:tcPr>
          <w:p w14:paraId="09FDF5C7" w14:textId="77777777" w:rsidR="002E5800" w:rsidRPr="008F328C" w:rsidRDefault="000E0B7C">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c>
          <w:tcPr>
            <w:tcW w:w="1174" w:type="dxa"/>
            <w:tcBorders>
              <w:top w:val="single" w:sz="5" w:space="0" w:color="000000"/>
              <w:left w:val="single" w:sz="5" w:space="0" w:color="000000"/>
              <w:bottom w:val="single" w:sz="5" w:space="0" w:color="000000"/>
              <w:right w:val="single" w:sz="5" w:space="0" w:color="000000"/>
            </w:tcBorders>
          </w:tcPr>
          <w:p w14:paraId="6ECA844B" w14:textId="77777777" w:rsidR="002E5800" w:rsidRPr="008F328C" w:rsidRDefault="000E0B7C">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6A422981" w14:textId="77777777" w:rsidR="002E5800" w:rsidRPr="008F328C" w:rsidRDefault="000E0B7C">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0,140</w:t>
            </w:r>
          </w:p>
        </w:tc>
      </w:tr>
      <w:tr w:rsidR="002E5800" w:rsidRPr="008F328C" w14:paraId="56903F3E" w14:textId="77777777" w:rsidTr="0008144B">
        <w:tc>
          <w:tcPr>
            <w:tcW w:w="9249" w:type="dxa"/>
            <w:gridSpan w:val="7"/>
            <w:tcBorders>
              <w:top w:val="single" w:sz="5" w:space="0" w:color="000000"/>
              <w:left w:val="single" w:sz="8" w:space="0" w:color="000000"/>
              <w:bottom w:val="single" w:sz="5" w:space="0" w:color="000000"/>
              <w:right w:val="single" w:sz="9" w:space="0" w:color="000000"/>
            </w:tcBorders>
          </w:tcPr>
          <w:p w14:paraId="1CF74EA1" w14:textId="77777777" w:rsidR="002E5800" w:rsidRPr="008F328C" w:rsidRDefault="000E0B7C">
            <w:pPr>
              <w:rPr>
                <w:rFonts w:ascii="Times New Roman" w:hAnsi="Times New Roman" w:cs="Times New Roman"/>
                <w:lang w:val="pl-PL"/>
              </w:rPr>
            </w:pPr>
            <w:r w:rsidRPr="008F328C">
              <w:rPr>
                <w:rFonts w:ascii="Times New Roman" w:eastAsia="Times New Roman" w:hAnsi="Times New Roman" w:cs="Times New Roman"/>
                <w:spacing w:val="-1"/>
                <w:lang w:val="pl-PL"/>
              </w:rPr>
              <w:t>ACR 50</w:t>
            </w:r>
          </w:p>
        </w:tc>
      </w:tr>
      <w:tr w:rsidR="002E5800" w:rsidRPr="008F328C" w14:paraId="5171C254"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76D715AC" w14:textId="77777777" w:rsidR="002E5800" w:rsidRPr="008F328C" w:rsidRDefault="000E0B7C">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346753C2" w14:textId="77777777" w:rsidR="002E5800" w:rsidRPr="008F328C" w:rsidRDefault="000E0B7C">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45,9%</w:t>
            </w:r>
          </w:p>
        </w:tc>
        <w:tc>
          <w:tcPr>
            <w:tcW w:w="1276" w:type="dxa"/>
            <w:tcBorders>
              <w:top w:val="single" w:sz="5" w:space="0" w:color="000000"/>
              <w:left w:val="single" w:sz="5" w:space="0" w:color="000000"/>
              <w:bottom w:val="single" w:sz="5" w:space="0" w:color="000000"/>
              <w:right w:val="single" w:sz="5" w:space="0" w:color="000000"/>
            </w:tcBorders>
          </w:tcPr>
          <w:p w14:paraId="7B04FF15" w14:textId="77777777" w:rsidR="002E5800" w:rsidRPr="008F328C" w:rsidRDefault="000E0B7C">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41,2%</w:t>
            </w:r>
          </w:p>
        </w:tc>
        <w:tc>
          <w:tcPr>
            <w:tcW w:w="1985" w:type="dxa"/>
            <w:tcBorders>
              <w:top w:val="single" w:sz="5" w:space="0" w:color="000000"/>
              <w:left w:val="single" w:sz="5" w:space="0" w:color="000000"/>
              <w:bottom w:val="single" w:sz="5" w:space="0" w:color="000000"/>
              <w:right w:val="single" w:sz="5" w:space="0" w:color="000000"/>
            </w:tcBorders>
          </w:tcPr>
          <w:p w14:paraId="09BABF05" w14:textId="77777777" w:rsidR="002E5800" w:rsidRPr="008F328C" w:rsidRDefault="000E0B7C">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61,6%</w:t>
            </w:r>
          </w:p>
        </w:tc>
        <w:tc>
          <w:tcPr>
            <w:tcW w:w="957" w:type="dxa"/>
            <w:tcBorders>
              <w:top w:val="single" w:sz="5" w:space="0" w:color="000000"/>
              <w:left w:val="single" w:sz="5" w:space="0" w:color="000000"/>
              <w:bottom w:val="single" w:sz="5" w:space="0" w:color="000000"/>
              <w:right w:val="single" w:sz="5" w:space="0" w:color="000000"/>
            </w:tcBorders>
          </w:tcPr>
          <w:p w14:paraId="5C3ED5FE" w14:textId="77777777" w:rsidR="002E5800" w:rsidRPr="008F328C" w:rsidRDefault="000E0B7C">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71A44D6F" w14:textId="77777777" w:rsidR="002E5800" w:rsidRPr="008F328C" w:rsidRDefault="000E0B7C">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473B8533" w14:textId="77777777" w:rsidR="002E5800" w:rsidRPr="008F328C" w:rsidRDefault="000E0B7C">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0,317</w:t>
            </w:r>
          </w:p>
        </w:tc>
      </w:tr>
      <w:tr w:rsidR="002E5800" w:rsidRPr="008F328C" w14:paraId="1B6B9DED"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1438F153" w14:textId="77777777" w:rsidR="002E5800" w:rsidRPr="008F328C" w:rsidRDefault="000E0B7C">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678ECAB3" w14:textId="77777777" w:rsidR="002E5800" w:rsidRPr="008F328C" w:rsidRDefault="000E0B7C">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42,8%</w:t>
            </w:r>
          </w:p>
        </w:tc>
        <w:tc>
          <w:tcPr>
            <w:tcW w:w="1276" w:type="dxa"/>
            <w:tcBorders>
              <w:top w:val="single" w:sz="5" w:space="0" w:color="000000"/>
              <w:left w:val="single" w:sz="5" w:space="0" w:color="000000"/>
              <w:bottom w:val="single" w:sz="5" w:space="0" w:color="000000"/>
              <w:right w:val="single" w:sz="5" w:space="0" w:color="000000"/>
            </w:tcBorders>
          </w:tcPr>
          <w:p w14:paraId="6C033527" w14:textId="77777777" w:rsidR="002E5800" w:rsidRPr="008F328C" w:rsidRDefault="000E0B7C">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36,9%</w:t>
            </w:r>
          </w:p>
        </w:tc>
        <w:tc>
          <w:tcPr>
            <w:tcW w:w="1985" w:type="dxa"/>
            <w:tcBorders>
              <w:top w:val="single" w:sz="5" w:space="0" w:color="000000"/>
              <w:left w:val="single" w:sz="5" w:space="0" w:color="000000"/>
              <w:bottom w:val="single" w:sz="5" w:space="0" w:color="000000"/>
              <w:right w:val="single" w:sz="5" w:space="0" w:color="000000"/>
            </w:tcBorders>
          </w:tcPr>
          <w:p w14:paraId="521B0A3C" w14:textId="77777777" w:rsidR="002E5800" w:rsidRPr="008F328C" w:rsidRDefault="000E0B7C">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59,0%</w:t>
            </w:r>
          </w:p>
        </w:tc>
        <w:tc>
          <w:tcPr>
            <w:tcW w:w="957" w:type="dxa"/>
            <w:tcBorders>
              <w:top w:val="single" w:sz="5" w:space="0" w:color="000000"/>
              <w:left w:val="single" w:sz="5" w:space="0" w:color="000000"/>
              <w:bottom w:val="single" w:sz="5" w:space="0" w:color="000000"/>
              <w:right w:val="single" w:sz="5" w:space="0" w:color="000000"/>
            </w:tcBorders>
          </w:tcPr>
          <w:p w14:paraId="72647D61" w14:textId="77777777" w:rsidR="002E5800" w:rsidRPr="008F328C" w:rsidRDefault="000E0B7C">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142AED6C" w14:textId="77777777" w:rsidR="002E5800" w:rsidRPr="008F328C" w:rsidRDefault="000E0B7C">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4DE31363" w14:textId="77777777" w:rsidR="002E5800" w:rsidRPr="008F328C" w:rsidRDefault="000E0B7C">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0,162</w:t>
            </w:r>
          </w:p>
        </w:tc>
      </w:tr>
      <w:tr w:rsidR="002E5800" w:rsidRPr="008F328C" w14:paraId="4177563B" w14:textId="77777777" w:rsidTr="0008144B">
        <w:tc>
          <w:tcPr>
            <w:tcW w:w="9249" w:type="dxa"/>
            <w:gridSpan w:val="7"/>
            <w:tcBorders>
              <w:top w:val="single" w:sz="5" w:space="0" w:color="000000"/>
              <w:left w:val="single" w:sz="8" w:space="0" w:color="000000"/>
              <w:bottom w:val="single" w:sz="5" w:space="0" w:color="000000"/>
              <w:right w:val="single" w:sz="9" w:space="0" w:color="000000"/>
            </w:tcBorders>
          </w:tcPr>
          <w:p w14:paraId="0A96423A" w14:textId="77777777" w:rsidR="002E5800" w:rsidRPr="008F328C" w:rsidRDefault="000E0B7C">
            <w:pPr>
              <w:rPr>
                <w:rFonts w:ascii="Times New Roman" w:hAnsi="Times New Roman" w:cs="Times New Roman"/>
                <w:lang w:val="pl-PL"/>
              </w:rPr>
            </w:pPr>
            <w:r w:rsidRPr="008F328C">
              <w:rPr>
                <w:rFonts w:ascii="Times New Roman" w:eastAsia="Times New Roman" w:hAnsi="Times New Roman" w:cs="Times New Roman"/>
                <w:spacing w:val="-1"/>
                <w:lang w:val="pl-PL"/>
              </w:rPr>
              <w:t>ACR 70</w:t>
            </w:r>
          </w:p>
        </w:tc>
      </w:tr>
      <w:tr w:rsidR="002E5800" w:rsidRPr="008F328C" w14:paraId="028E20CF"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1A33E0E4" w14:textId="77777777" w:rsidR="002E5800" w:rsidRPr="008F328C" w:rsidRDefault="000E0B7C">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53473AEE"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27,2%</w:t>
            </w:r>
          </w:p>
        </w:tc>
        <w:tc>
          <w:tcPr>
            <w:tcW w:w="1276" w:type="dxa"/>
            <w:tcBorders>
              <w:top w:val="single" w:sz="5" w:space="0" w:color="000000"/>
              <w:left w:val="single" w:sz="5" w:space="0" w:color="000000"/>
              <w:bottom w:val="single" w:sz="5" w:space="0" w:color="000000"/>
              <w:right w:val="single" w:sz="5" w:space="0" w:color="000000"/>
            </w:tcBorders>
          </w:tcPr>
          <w:p w14:paraId="6EACADD3"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25,9%</w:t>
            </w:r>
          </w:p>
        </w:tc>
        <w:tc>
          <w:tcPr>
            <w:tcW w:w="1985" w:type="dxa"/>
            <w:tcBorders>
              <w:top w:val="single" w:sz="5" w:space="0" w:color="000000"/>
              <w:left w:val="single" w:sz="5" w:space="0" w:color="000000"/>
              <w:bottom w:val="single" w:sz="5" w:space="0" w:color="000000"/>
              <w:right w:val="single" w:sz="5" w:space="0" w:color="000000"/>
            </w:tcBorders>
          </w:tcPr>
          <w:p w14:paraId="71957109" w14:textId="77777777" w:rsidR="002E5800" w:rsidRPr="008F328C" w:rsidRDefault="000E0B7C">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45,5%</w:t>
            </w:r>
          </w:p>
        </w:tc>
        <w:tc>
          <w:tcPr>
            <w:tcW w:w="957" w:type="dxa"/>
            <w:tcBorders>
              <w:top w:val="single" w:sz="5" w:space="0" w:color="000000"/>
              <w:left w:val="single" w:sz="5" w:space="0" w:color="000000"/>
              <w:bottom w:val="single" w:sz="5" w:space="0" w:color="000000"/>
              <w:right w:val="single" w:sz="5" w:space="0" w:color="000000"/>
            </w:tcBorders>
          </w:tcPr>
          <w:p w14:paraId="0D1E4A01" w14:textId="77777777" w:rsidR="002E5800" w:rsidRPr="008F328C" w:rsidRDefault="000E0B7C">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5E09B2D9" w14:textId="77777777" w:rsidR="002E5800" w:rsidRPr="008F328C" w:rsidRDefault="000E0B7C">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51F084C" w14:textId="77777777" w:rsidR="002E5800" w:rsidRPr="008F328C" w:rsidRDefault="000E0B7C">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0,656</w:t>
            </w:r>
          </w:p>
        </w:tc>
      </w:tr>
      <w:tr w:rsidR="002E5800" w:rsidRPr="008F328C" w14:paraId="45703852" w14:textId="77777777" w:rsidTr="0008144B">
        <w:tc>
          <w:tcPr>
            <w:tcW w:w="1366" w:type="dxa"/>
            <w:tcBorders>
              <w:top w:val="single" w:sz="5" w:space="0" w:color="000000"/>
              <w:left w:val="single" w:sz="8" w:space="0" w:color="000000"/>
              <w:bottom w:val="single" w:sz="5" w:space="0" w:color="000000"/>
              <w:right w:val="single" w:sz="5" w:space="0" w:color="000000"/>
            </w:tcBorders>
          </w:tcPr>
          <w:p w14:paraId="218D4678" w14:textId="77777777" w:rsidR="002E5800" w:rsidRPr="008F328C" w:rsidRDefault="000E0B7C">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43D535F3"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276" w:type="dxa"/>
            <w:tcBorders>
              <w:top w:val="single" w:sz="5" w:space="0" w:color="000000"/>
              <w:left w:val="single" w:sz="5" w:space="0" w:color="000000"/>
              <w:bottom w:val="single" w:sz="5" w:space="0" w:color="000000"/>
              <w:right w:val="single" w:sz="5" w:space="0" w:color="000000"/>
            </w:tcBorders>
          </w:tcPr>
          <w:p w14:paraId="65837947" w14:textId="77777777" w:rsidR="002E5800" w:rsidRPr="008F328C" w:rsidRDefault="000E0B7C">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28,1%</w:t>
            </w:r>
          </w:p>
        </w:tc>
        <w:tc>
          <w:tcPr>
            <w:tcW w:w="1985" w:type="dxa"/>
            <w:tcBorders>
              <w:top w:val="single" w:sz="5" w:space="0" w:color="000000"/>
              <w:left w:val="single" w:sz="5" w:space="0" w:color="000000"/>
              <w:bottom w:val="single" w:sz="5" w:space="0" w:color="000000"/>
              <w:right w:val="single" w:sz="5" w:space="0" w:color="000000"/>
            </w:tcBorders>
          </w:tcPr>
          <w:p w14:paraId="7FD07600" w14:textId="77777777" w:rsidR="002E5800" w:rsidRPr="008F328C" w:rsidRDefault="000E0B7C">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46,6%</w:t>
            </w:r>
          </w:p>
        </w:tc>
        <w:tc>
          <w:tcPr>
            <w:tcW w:w="957" w:type="dxa"/>
            <w:tcBorders>
              <w:top w:val="single" w:sz="5" w:space="0" w:color="000000"/>
              <w:left w:val="single" w:sz="5" w:space="0" w:color="000000"/>
              <w:bottom w:val="single" w:sz="5" w:space="0" w:color="000000"/>
              <w:right w:val="single" w:sz="5" w:space="0" w:color="000000"/>
            </w:tcBorders>
          </w:tcPr>
          <w:p w14:paraId="7B4BDCB3" w14:textId="77777777" w:rsidR="002E5800" w:rsidRPr="008F328C" w:rsidRDefault="000E0B7C">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285EC53A" w14:textId="77777777" w:rsidR="002E5800" w:rsidRPr="008F328C" w:rsidRDefault="000E0B7C">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56C101D5" w14:textId="77777777" w:rsidR="002E5800" w:rsidRPr="008F328C" w:rsidRDefault="000E0B7C">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0,864</w:t>
            </w:r>
          </w:p>
        </w:tc>
      </w:tr>
    </w:tbl>
    <w:p w14:paraId="7D2D89DC" w14:textId="77777777" w:rsidR="002E5800" w:rsidRPr="008F328C" w:rsidRDefault="000E0B7C">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570EC896" w14:textId="77777777" w:rsidR="002E5800" w:rsidRPr="008F328C" w:rsidRDefault="000E0B7C">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6D321282" w14:textId="77777777" w:rsidR="002E5800" w:rsidRPr="008F328C" w:rsidRDefault="000E0B7C">
      <w:pPr>
        <w:pStyle w:val="a3"/>
        <w:rPr>
          <w:sz w:val="17"/>
          <w:szCs w:val="17"/>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34FCF445" w14:textId="77777777" w:rsidR="002E5800" w:rsidRPr="008F328C" w:rsidRDefault="002E5800">
      <w:pPr>
        <w:spacing w:before="5" w:line="170" w:lineRule="exact"/>
        <w:rPr>
          <w:rFonts w:ascii="Times New Roman" w:hAnsi="Times New Roman" w:cs="Times New Roman"/>
          <w:sz w:val="17"/>
          <w:szCs w:val="17"/>
          <w:lang w:val="pl-PL"/>
        </w:rPr>
      </w:pPr>
    </w:p>
    <w:p w14:paraId="6733DC65" w14:textId="77777777" w:rsidR="002E5800" w:rsidRPr="008F328C" w:rsidRDefault="000E0B7C">
      <w:pPr>
        <w:pStyle w:val="a3"/>
        <w:rPr>
          <w:lang w:val="pl-PL"/>
        </w:rPr>
      </w:pPr>
      <w:r w:rsidRPr="008F328C">
        <w:rPr>
          <w:rFonts w:eastAsia="Times New Roman"/>
          <w:lang w:val="pl-PL"/>
        </w:rPr>
        <w:t>W fazie otwartej, będącej kontynuacją badania V w RZS, odsetki odpowiedzi na leczenie w skali ACR utrzymywały się, gdy leczenie kontynuowano przez okres do 10 lat. Z 542 pacjentów, którym losowo przydzielono leczenie adalimumabem 40 mg co drugi tydzień, 170 pacjentów kontynuowało leczenie adalimumabem 40 mg co drugi tydzień przez 10 lat. Z tych pacjentów, 154 pacjentów (90,6%) wykazało odpowiedź 20 w skali ACR, 127 pacjentów (74,7%) wykazało odpowiedź 50 w skali ACR i 102 pacjentów (60%) wykazało odpowiedź 70 w skali ACR.</w:t>
      </w:r>
    </w:p>
    <w:p w14:paraId="4B9B0D05" w14:textId="77777777" w:rsidR="002E5800" w:rsidRPr="008F328C" w:rsidRDefault="002E5800">
      <w:pPr>
        <w:spacing w:before="13" w:line="240" w:lineRule="exact"/>
        <w:rPr>
          <w:rFonts w:ascii="Times New Roman" w:hAnsi="Times New Roman" w:cs="Times New Roman"/>
          <w:sz w:val="24"/>
          <w:szCs w:val="24"/>
          <w:lang w:val="pl-PL"/>
        </w:rPr>
      </w:pPr>
    </w:p>
    <w:p w14:paraId="164F5C19" w14:textId="77777777" w:rsidR="002E5800" w:rsidRPr="008F328C" w:rsidRDefault="000E0B7C">
      <w:pPr>
        <w:pStyle w:val="a3"/>
        <w:rPr>
          <w:lang w:val="pl-PL"/>
        </w:rPr>
      </w:pPr>
      <w:r w:rsidRPr="008F328C">
        <w:rPr>
          <w:rFonts w:eastAsia="Times New Roman"/>
          <w:lang w:val="pl-PL"/>
        </w:rPr>
        <w:t>W 52. tygodniu, 42,9% pacjentów, którzy otrzymywali leczenie skojarzone adalimumabem i metotreksatem, osiągnęło stan remisji klinicznej [DAS28 (CRP) &lt; 2,6] w porównaniu do 20,6% pacjentów, którzy otrzymywali metotreksat w monoterapii i 23,4% pacjentów, którzy otrzymywali adalimumab w monoterapii. Leczenie skojarzone adalimumabem i metotreksatem przewyższało pod względem klinicznym i statystycznym stosowanie metotreksatu (p &lt; 0,001) i adalimumabu w monoterapii (p &lt; 0,001) w odniesieniu do uzyskania małej aktywności choroby u pacjentów z niedawno rozpoznanym umiarkowanym do ciężkiego reumatoidalnym zapaleniem stawów.  Odpowiedź na obydwa rodzaje monoterapii była podobna (p = 0,447). Z 342 uczestników badania, którym pierwotnie przydzielono leczenie adalimumabem w monoterapii lub leczenie skojarzone adalimumabem i metotreksatem, a następnie włączono ich do otwartego badania kontynuacyjnego, 171 uczestników zakończyło trwające 10 lat leczenie adalimumabem. Spośród nich, jak poinformowano, 109 (63,7%) uczestników pozostawało w fazie remisji po 10 latach.</w:t>
      </w:r>
    </w:p>
    <w:p w14:paraId="7D8CF868" w14:textId="77777777" w:rsidR="002E5800" w:rsidRPr="008F328C" w:rsidRDefault="002E5800">
      <w:pPr>
        <w:pStyle w:val="a3"/>
        <w:rPr>
          <w:lang w:val="pl-PL"/>
        </w:rPr>
      </w:pPr>
    </w:p>
    <w:p w14:paraId="24229901"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Odpowiedź radiologiczna</w:t>
      </w:r>
    </w:p>
    <w:p w14:paraId="5E549281" w14:textId="77777777" w:rsidR="002E5800" w:rsidRPr="008F328C" w:rsidRDefault="002E5800">
      <w:pPr>
        <w:pStyle w:val="a3"/>
        <w:rPr>
          <w:sz w:val="18"/>
          <w:szCs w:val="18"/>
          <w:lang w:val="pl-PL"/>
        </w:rPr>
      </w:pPr>
    </w:p>
    <w:p w14:paraId="6D854237" w14:textId="02209300" w:rsidR="002E5800" w:rsidRPr="008F328C" w:rsidRDefault="000E0B7C">
      <w:pPr>
        <w:pStyle w:val="a3"/>
        <w:rPr>
          <w:lang w:val="pl-PL"/>
        </w:rPr>
      </w:pPr>
      <w:r w:rsidRPr="008F328C">
        <w:rPr>
          <w:rFonts w:eastAsia="Times New Roman"/>
          <w:lang w:val="pl-PL"/>
        </w:rPr>
        <w:t xml:space="preserve">W badaniu III w RZS, w którym średni czas trwania reumatoidalnego zapalenia stawów u pacjentów leczonych adalimumabem wynosił około 11 lat, strukturalne uszkodzenie stawów oceniano radiologicznie i opisywano jako zmianę w zmodyfikowanej całkowitej skali Sharpa (ang. Total Sharp Score, TSS) i jej składnikach, skali oceny nadżerek oraz skali oceny zwężenia szpar stawowych. Po 6 i 12 miesiącach pacjenci leczeni adalimumabem i metotreksatem wykazali w badaniu radiologicznym istotnie mniejszy postęp zmian niż pacjenci otrzymujący wyłącznie metotreksat (patrz Tabela </w:t>
      </w:r>
      <w:r w:rsidR="007011B1" w:rsidRPr="008F328C">
        <w:rPr>
          <w:rFonts w:eastAsia="Times New Roman"/>
          <w:lang w:val="pl-PL"/>
        </w:rPr>
        <w:t>10</w:t>
      </w:r>
      <w:r w:rsidRPr="008F328C">
        <w:rPr>
          <w:rFonts w:eastAsia="Times New Roman"/>
          <w:lang w:val="pl-PL"/>
        </w:rPr>
        <w:t>).</w:t>
      </w:r>
    </w:p>
    <w:p w14:paraId="2C4A32A4" w14:textId="77777777" w:rsidR="002E5800" w:rsidRPr="008F328C" w:rsidRDefault="002E5800">
      <w:pPr>
        <w:pStyle w:val="a3"/>
        <w:rPr>
          <w:lang w:val="pl-PL"/>
        </w:rPr>
      </w:pPr>
    </w:p>
    <w:p w14:paraId="35857E64" w14:textId="77777777" w:rsidR="002E5800" w:rsidRPr="008F328C" w:rsidRDefault="000E0B7C">
      <w:pPr>
        <w:pStyle w:val="a3"/>
        <w:rPr>
          <w:lang w:val="pl-PL"/>
        </w:rPr>
      </w:pPr>
      <w:r w:rsidRPr="008F328C">
        <w:rPr>
          <w:rFonts w:eastAsia="Times New Roman"/>
          <w:lang w:val="pl-PL"/>
        </w:rPr>
        <w:t>W fazie otwartej, będącej kontynuacją badania III w RZS zmniejszenie szybkości postępu uszkodzenia strukturalnego utrzymywało się przez 8 i 10 lat w tej podgrupie pacjentów. Po 8 latach, 81 z 207 pacjentów pierwotnie leczonych adalimumabem 40 mg co drugi tydzień oceniano radiologicznie. Spośród tych pacjentów 48 nie wykazało postępu uszkodzenia strukturalnego, co definiowano jako zmianę w stosunku do wartości wyjściowej w zmodyfikowanej całkowitej skali Sharpa (mTSS) wynoszącą 0,5 lub mniej. Po 10 latach, 79 z 207 pacjentów pierwotnie leczonych adalimumabem 40 mg co drugi tydzień oceniano radiologicznie. Spośród tych pacjentów 40 nie wykazało postępu uszkodzenia strukturalnego, co definiowano jako zmianę w stosunku do wartości wyjściowej w zmodyfikowanej całkowitej skali Sharpa (mTSS) wynoszącą 0,5 lub mniej.</w:t>
      </w:r>
    </w:p>
    <w:p w14:paraId="5D4EA0BC" w14:textId="77777777" w:rsidR="002E5800" w:rsidRPr="008F328C" w:rsidRDefault="002E5800">
      <w:pPr>
        <w:spacing w:before="18" w:line="240" w:lineRule="exact"/>
        <w:rPr>
          <w:rFonts w:ascii="Times New Roman" w:hAnsi="Times New Roman" w:cs="Times New Roman"/>
          <w:sz w:val="24"/>
          <w:szCs w:val="24"/>
          <w:lang w:val="pl-PL"/>
        </w:rPr>
      </w:pPr>
    </w:p>
    <w:p w14:paraId="2C794768" w14:textId="36B419E1"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10</w:t>
      </w:r>
    </w:p>
    <w:p w14:paraId="43B524F7" w14:textId="77777777" w:rsidR="002E5800" w:rsidRPr="008F328C" w:rsidRDefault="000E0B7C">
      <w:pPr>
        <w:pStyle w:val="a3"/>
        <w:jc w:val="center"/>
        <w:rPr>
          <w:b/>
          <w:lang w:val="pl-PL"/>
        </w:rPr>
      </w:pPr>
      <w:r w:rsidRPr="008F328C">
        <w:rPr>
          <w:rFonts w:eastAsia="Times New Roman"/>
          <w:b/>
          <w:bCs/>
          <w:lang w:val="pl-PL"/>
        </w:rPr>
        <w:t>Średnie zmiany w badaniu radiologicznym w okresie 12 miesięcy w badaniu III w RZS</w:t>
      </w:r>
    </w:p>
    <w:p w14:paraId="1757FCD0" w14:textId="77777777" w:rsidR="002E5800" w:rsidRPr="008F328C" w:rsidRDefault="002E5800">
      <w:pPr>
        <w:spacing w:before="14" w:line="240" w:lineRule="exact"/>
        <w:rPr>
          <w:rFonts w:ascii="Times New Roman" w:hAnsi="Times New Roman" w:cs="Times New Roman"/>
          <w:sz w:val="24"/>
          <w:szCs w:val="24"/>
          <w:lang w:val="pl-PL"/>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2E5800" w:rsidRPr="008F328C" w14:paraId="5F0DC846" w14:textId="77777777" w:rsidTr="0008144B">
        <w:tc>
          <w:tcPr>
            <w:tcW w:w="2088" w:type="dxa"/>
            <w:tcBorders>
              <w:top w:val="single" w:sz="5" w:space="0" w:color="000000"/>
              <w:left w:val="single" w:sz="5" w:space="0" w:color="000000"/>
              <w:bottom w:val="single" w:sz="5" w:space="0" w:color="000000"/>
              <w:right w:val="single" w:sz="5" w:space="0" w:color="000000"/>
            </w:tcBorders>
            <w:vAlign w:val="center"/>
          </w:tcPr>
          <w:p w14:paraId="258A6C50" w14:textId="77777777" w:rsidR="002E5800" w:rsidRPr="008F328C" w:rsidRDefault="002E5800">
            <w:pPr>
              <w:jc w:val="center"/>
              <w:rPr>
                <w:rFonts w:ascii="Times New Roman" w:hAnsi="Times New Roman" w:cs="Times New Roman"/>
                <w:lang w:val="pl-PL"/>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4A6A0E1B" w14:textId="77777777" w:rsidR="002E5800" w:rsidRPr="008F328C" w:rsidRDefault="000E0B7C">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61AC01DD" w14:textId="77777777" w:rsidR="002E5800" w:rsidRPr="008F328C" w:rsidRDefault="000E0B7C">
            <w:pPr>
              <w:pStyle w:val="TableParagraph"/>
              <w:spacing w:line="254"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vertAlign w:val="superscript"/>
                <w:lang w:val="pl-PL"/>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1ED0763F" w14:textId="77777777" w:rsidR="002E5800" w:rsidRPr="008F328C" w:rsidRDefault="000E0B7C">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3E550523" w14:textId="77777777" w:rsidR="002E5800" w:rsidRPr="008F328C" w:rsidRDefault="000E0B7C">
            <w:pPr>
              <w:pStyle w:val="TableParagraph"/>
              <w:spacing w:line="252" w:lineRule="exact"/>
              <w:ind w:hanging="6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1999" w:type="dxa"/>
            <w:tcBorders>
              <w:top w:val="single" w:sz="5" w:space="0" w:color="000000"/>
              <w:left w:val="single" w:sz="5" w:space="0" w:color="000000"/>
              <w:bottom w:val="single" w:sz="5" w:space="0" w:color="000000"/>
              <w:right w:val="single" w:sz="5" w:space="0" w:color="000000"/>
            </w:tcBorders>
            <w:vAlign w:val="center"/>
          </w:tcPr>
          <w:p w14:paraId="5EB2D6AC" w14:textId="77777777" w:rsidR="002E5800" w:rsidRPr="008F328C" w:rsidRDefault="000E0B7C">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Placebo/MTX</w:t>
            </w:r>
          </w:p>
          <w:p w14:paraId="0DE25EDA" w14:textId="77777777" w:rsidR="002E5800" w:rsidRPr="008F328C" w:rsidRDefault="000E0B7C">
            <w:pPr>
              <w:pStyle w:val="TableParagraph"/>
              <w:spacing w:line="237" w:lineRule="auto"/>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 (95% przedział ufności</w:t>
            </w:r>
            <w:r w:rsidRPr="008F328C">
              <w:rPr>
                <w:rFonts w:ascii="Times New Roman" w:eastAsia="Times New Roman" w:hAnsi="Times New Roman" w:cs="Times New Roman"/>
                <w:spacing w:val="-1"/>
                <w:vertAlign w:val="superscript"/>
                <w:lang w:val="pl-PL"/>
              </w:rPr>
              <w:t>b</w:t>
            </w:r>
            <w:r w:rsidRPr="008F328C">
              <w:rPr>
                <w:rFonts w:ascii="Times New Roman" w:eastAsia="Times New Roman" w:hAnsi="Times New Roman" w:cs="Times New Roman"/>
                <w:spacing w:val="-1"/>
                <w:lang w:val="pl-PL"/>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405D86EB" w14:textId="77777777" w:rsidR="002E5800" w:rsidRPr="008F328C" w:rsidRDefault="000E0B7C">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Wartość p</w:t>
            </w:r>
          </w:p>
        </w:tc>
      </w:tr>
      <w:tr w:rsidR="002E5800" w:rsidRPr="008F328C" w14:paraId="19A9D11A" w14:textId="77777777" w:rsidTr="0008144B">
        <w:tc>
          <w:tcPr>
            <w:tcW w:w="2088" w:type="dxa"/>
            <w:tcBorders>
              <w:top w:val="single" w:sz="5" w:space="0" w:color="000000"/>
              <w:left w:val="single" w:sz="5" w:space="0" w:color="000000"/>
              <w:bottom w:val="single" w:sz="5" w:space="0" w:color="000000"/>
              <w:right w:val="single" w:sz="5" w:space="0" w:color="000000"/>
            </w:tcBorders>
          </w:tcPr>
          <w:p w14:paraId="2EC91CA4"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Całkowita skala Sharpa</w:t>
            </w:r>
          </w:p>
        </w:tc>
        <w:tc>
          <w:tcPr>
            <w:tcW w:w="1430" w:type="dxa"/>
            <w:tcBorders>
              <w:top w:val="single" w:sz="5" w:space="0" w:color="000000"/>
              <w:left w:val="single" w:sz="5" w:space="0" w:color="000000"/>
              <w:bottom w:val="single" w:sz="5" w:space="0" w:color="000000"/>
              <w:right w:val="single" w:sz="5" w:space="0" w:color="000000"/>
            </w:tcBorders>
          </w:tcPr>
          <w:p w14:paraId="745C990A" w14:textId="77777777" w:rsidR="002E5800" w:rsidRPr="008F328C" w:rsidRDefault="000E0B7C">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790" w:type="dxa"/>
            <w:tcBorders>
              <w:top w:val="single" w:sz="5" w:space="0" w:color="000000"/>
              <w:left w:val="single" w:sz="5" w:space="0" w:color="000000"/>
              <w:bottom w:val="single" w:sz="5" w:space="0" w:color="000000"/>
              <w:right w:val="single" w:sz="5" w:space="0" w:color="000000"/>
            </w:tcBorders>
          </w:tcPr>
          <w:p w14:paraId="1F681031" w14:textId="77777777" w:rsidR="002E5800" w:rsidRPr="008F328C" w:rsidRDefault="000E0B7C">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7641EF81" w14:textId="77777777" w:rsidR="002E5800" w:rsidRPr="008F328C" w:rsidRDefault="000E0B7C">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(1,4, 3,8)</w:t>
            </w:r>
          </w:p>
        </w:tc>
        <w:tc>
          <w:tcPr>
            <w:tcW w:w="1548" w:type="dxa"/>
            <w:tcBorders>
              <w:top w:val="single" w:sz="5" w:space="0" w:color="000000"/>
              <w:left w:val="single" w:sz="5" w:space="0" w:color="000000"/>
              <w:bottom w:val="single" w:sz="5" w:space="0" w:color="000000"/>
              <w:right w:val="single" w:sz="5" w:space="0" w:color="000000"/>
            </w:tcBorders>
          </w:tcPr>
          <w:p w14:paraId="5A8E218C" w14:textId="77777777" w:rsidR="002E5800" w:rsidRPr="008F328C" w:rsidRDefault="000E0B7C">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&lt; 0,001</w:t>
            </w:r>
            <w:r w:rsidRPr="008F328C">
              <w:rPr>
                <w:rFonts w:ascii="Times New Roman" w:eastAsia="Times New Roman" w:hAnsi="Times New Roman" w:cs="Times New Roman"/>
                <w:vertAlign w:val="superscript"/>
                <w:lang w:val="pl-PL"/>
              </w:rPr>
              <w:t>c</w:t>
            </w:r>
          </w:p>
        </w:tc>
      </w:tr>
      <w:tr w:rsidR="002E5800" w:rsidRPr="008F328C" w14:paraId="6522F17D" w14:textId="77777777" w:rsidTr="0008144B">
        <w:tc>
          <w:tcPr>
            <w:tcW w:w="2088" w:type="dxa"/>
            <w:tcBorders>
              <w:top w:val="single" w:sz="5" w:space="0" w:color="000000"/>
              <w:left w:val="single" w:sz="5" w:space="0" w:color="000000"/>
              <w:bottom w:val="single" w:sz="5" w:space="0" w:color="000000"/>
              <w:right w:val="single" w:sz="5" w:space="0" w:color="000000"/>
            </w:tcBorders>
          </w:tcPr>
          <w:p w14:paraId="22C792BC"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430" w:type="dxa"/>
            <w:tcBorders>
              <w:top w:val="single" w:sz="5" w:space="0" w:color="000000"/>
              <w:left w:val="single" w:sz="5" w:space="0" w:color="000000"/>
              <w:bottom w:val="single" w:sz="5" w:space="0" w:color="000000"/>
              <w:right w:val="single" w:sz="5" w:space="0" w:color="000000"/>
            </w:tcBorders>
          </w:tcPr>
          <w:p w14:paraId="5D550A4A" w14:textId="77777777" w:rsidR="002E5800" w:rsidRPr="008F328C" w:rsidRDefault="000E0B7C">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1.6</w:t>
            </w:r>
          </w:p>
        </w:tc>
        <w:tc>
          <w:tcPr>
            <w:tcW w:w="1790" w:type="dxa"/>
            <w:tcBorders>
              <w:top w:val="single" w:sz="5" w:space="0" w:color="000000"/>
              <w:left w:val="single" w:sz="5" w:space="0" w:color="000000"/>
              <w:bottom w:val="single" w:sz="5" w:space="0" w:color="000000"/>
              <w:right w:val="single" w:sz="5" w:space="0" w:color="000000"/>
            </w:tcBorders>
          </w:tcPr>
          <w:p w14:paraId="2278AA7A" w14:textId="77777777" w:rsidR="002E5800" w:rsidRPr="008F328C" w:rsidRDefault="000E0B7C">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0,0</w:t>
            </w:r>
          </w:p>
        </w:tc>
        <w:tc>
          <w:tcPr>
            <w:tcW w:w="1999" w:type="dxa"/>
            <w:tcBorders>
              <w:top w:val="single" w:sz="5" w:space="0" w:color="000000"/>
              <w:left w:val="single" w:sz="5" w:space="0" w:color="000000"/>
              <w:bottom w:val="single" w:sz="5" w:space="0" w:color="000000"/>
              <w:right w:val="single" w:sz="5" w:space="0" w:color="000000"/>
            </w:tcBorders>
          </w:tcPr>
          <w:p w14:paraId="0A30CBE3" w14:textId="77777777" w:rsidR="002E5800" w:rsidRPr="008F328C" w:rsidRDefault="000E0B7C">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(0,9, 2,2)</w:t>
            </w:r>
          </w:p>
        </w:tc>
        <w:tc>
          <w:tcPr>
            <w:tcW w:w="1548" w:type="dxa"/>
            <w:tcBorders>
              <w:top w:val="single" w:sz="5" w:space="0" w:color="000000"/>
              <w:left w:val="single" w:sz="5" w:space="0" w:color="000000"/>
              <w:bottom w:val="single" w:sz="5" w:space="0" w:color="000000"/>
              <w:right w:val="single" w:sz="5" w:space="0" w:color="000000"/>
            </w:tcBorders>
          </w:tcPr>
          <w:p w14:paraId="0D0A7479" w14:textId="77777777" w:rsidR="002E5800" w:rsidRPr="008F328C" w:rsidRDefault="000E0B7C">
            <w:pPr>
              <w:pStyle w:val="TableParagraph"/>
              <w:spacing w:line="246" w:lineRule="exact"/>
              <w:ind w:left="431"/>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2E5800" w:rsidRPr="008F328C" w14:paraId="0AFB03B7" w14:textId="77777777" w:rsidTr="0008144B">
        <w:tc>
          <w:tcPr>
            <w:tcW w:w="2088" w:type="dxa"/>
            <w:tcBorders>
              <w:top w:val="single" w:sz="5" w:space="0" w:color="000000"/>
              <w:left w:val="single" w:sz="5" w:space="0" w:color="000000"/>
              <w:bottom w:val="single" w:sz="5" w:space="0" w:color="000000"/>
              <w:right w:val="single" w:sz="5" w:space="0" w:color="000000"/>
            </w:tcBorders>
          </w:tcPr>
          <w:p w14:paraId="089736B5"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r w:rsidRPr="008F328C">
              <w:rPr>
                <w:rFonts w:ascii="Times New Roman" w:eastAsia="Times New Roman" w:hAnsi="Times New Roman" w:cs="Times New Roman"/>
                <w:spacing w:val="1"/>
                <w:vertAlign w:val="superscript"/>
                <w:lang w:val="pl-PL"/>
              </w:rPr>
              <w:t>d</w:t>
            </w:r>
          </w:p>
        </w:tc>
        <w:tc>
          <w:tcPr>
            <w:tcW w:w="1430" w:type="dxa"/>
            <w:tcBorders>
              <w:top w:val="single" w:sz="5" w:space="0" w:color="000000"/>
              <w:left w:val="single" w:sz="5" w:space="0" w:color="000000"/>
              <w:bottom w:val="single" w:sz="5" w:space="0" w:color="000000"/>
              <w:right w:val="single" w:sz="5" w:space="0" w:color="000000"/>
            </w:tcBorders>
          </w:tcPr>
          <w:p w14:paraId="2C1A7F9E" w14:textId="77777777" w:rsidR="002E5800" w:rsidRPr="008F328C" w:rsidRDefault="000E0B7C">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w:t>
            </w:r>
          </w:p>
        </w:tc>
        <w:tc>
          <w:tcPr>
            <w:tcW w:w="1790" w:type="dxa"/>
            <w:tcBorders>
              <w:top w:val="single" w:sz="5" w:space="0" w:color="000000"/>
              <w:left w:val="single" w:sz="5" w:space="0" w:color="000000"/>
              <w:bottom w:val="single" w:sz="5" w:space="0" w:color="000000"/>
              <w:right w:val="single" w:sz="5" w:space="0" w:color="000000"/>
            </w:tcBorders>
          </w:tcPr>
          <w:p w14:paraId="0F9E9D47" w14:textId="77777777" w:rsidR="002E5800" w:rsidRPr="008F328C" w:rsidRDefault="000E0B7C">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53046E34" w14:textId="77777777" w:rsidR="002E5800" w:rsidRPr="008F328C" w:rsidRDefault="000E0B7C">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0,9 (0,3, 1,4)</w:t>
            </w:r>
          </w:p>
        </w:tc>
        <w:tc>
          <w:tcPr>
            <w:tcW w:w="1548" w:type="dxa"/>
            <w:tcBorders>
              <w:top w:val="single" w:sz="5" w:space="0" w:color="000000"/>
              <w:left w:val="single" w:sz="5" w:space="0" w:color="000000"/>
              <w:bottom w:val="single" w:sz="5" w:space="0" w:color="000000"/>
              <w:right w:val="single" w:sz="5" w:space="0" w:color="000000"/>
            </w:tcBorders>
          </w:tcPr>
          <w:p w14:paraId="6C04B0AE" w14:textId="77777777" w:rsidR="002E5800" w:rsidRPr="008F328C" w:rsidRDefault="000E0B7C">
            <w:pPr>
              <w:pStyle w:val="TableParagraph"/>
              <w:spacing w:line="246" w:lineRule="exact"/>
              <w:ind w:left="575"/>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r>
    </w:tbl>
    <w:p w14:paraId="5ACA4ABC" w14:textId="77777777" w:rsidR="002E5800" w:rsidRPr="008F328C" w:rsidRDefault="000E0B7C">
      <w:pPr>
        <w:pStyle w:val="a3"/>
        <w:rPr>
          <w:lang w:val="pl-PL"/>
        </w:rPr>
      </w:pPr>
      <w:r w:rsidRPr="008F328C">
        <w:rPr>
          <w:rFonts w:eastAsia="Times New Roman"/>
          <w:bCs/>
          <w:position w:val="8"/>
          <w:vertAlign w:val="superscript"/>
          <w:lang w:val="pl-PL"/>
        </w:rPr>
        <w:t>a</w:t>
      </w:r>
      <w:r w:rsidRPr="008F328C">
        <w:rPr>
          <w:rFonts w:eastAsia="Times New Roman"/>
          <w:bCs/>
          <w:position w:val="8"/>
          <w:sz w:val="14"/>
          <w:szCs w:val="14"/>
          <w:lang w:val="pl-PL"/>
        </w:rPr>
        <w:t xml:space="preserve"> </w:t>
      </w:r>
      <w:r w:rsidRPr="008F328C">
        <w:rPr>
          <w:rFonts w:eastAsia="Times New Roman"/>
          <w:position w:val="8"/>
          <w:lang w:val="pl-PL"/>
        </w:rPr>
        <w:t>metotreksat</w:t>
      </w:r>
    </w:p>
    <w:p w14:paraId="1DA20489" w14:textId="77777777" w:rsidR="002E5800" w:rsidRPr="008F328C" w:rsidRDefault="000E0B7C">
      <w:pPr>
        <w:pStyle w:val="a3"/>
        <w:rPr>
          <w:lang w:val="pl-PL"/>
        </w:rPr>
      </w:pPr>
      <w:r w:rsidRPr="008F328C">
        <w:rPr>
          <w:rFonts w:eastAsia="Times New Roman"/>
          <w:position w:val="8"/>
          <w:vertAlign w:val="superscript"/>
          <w:lang w:val="pl-PL"/>
        </w:rPr>
        <w:t>b</w:t>
      </w:r>
      <w:r w:rsidRPr="008F328C">
        <w:rPr>
          <w:rFonts w:eastAsia="Times New Roman"/>
          <w:position w:val="8"/>
          <w:sz w:val="14"/>
          <w:szCs w:val="14"/>
          <w:lang w:val="pl-PL"/>
        </w:rPr>
        <w:t xml:space="preserve"> </w:t>
      </w:r>
      <w:r w:rsidRPr="008F328C">
        <w:rPr>
          <w:rFonts w:eastAsia="Times New Roman"/>
          <w:position w:val="8"/>
          <w:lang w:val="pl-PL"/>
        </w:rPr>
        <w:t>95% przedziały ufności dla różnic w zmianie punktacji między metotreksatem a adalimumabem</w:t>
      </w:r>
    </w:p>
    <w:p w14:paraId="6B94C75F" w14:textId="77777777" w:rsidR="002E5800" w:rsidRPr="008F328C" w:rsidRDefault="000E0B7C">
      <w:pPr>
        <w:pStyle w:val="a3"/>
        <w:rPr>
          <w:lang w:val="pl-PL"/>
        </w:rPr>
      </w:pPr>
      <w:r w:rsidRPr="008F328C">
        <w:rPr>
          <w:rFonts w:eastAsia="Times New Roman"/>
          <w:position w:val="8"/>
          <w:vertAlign w:val="superscript"/>
          <w:lang w:val="pl-PL"/>
        </w:rPr>
        <w:t>c</w:t>
      </w:r>
      <w:r w:rsidRPr="008F328C">
        <w:rPr>
          <w:rFonts w:eastAsia="Times New Roman"/>
          <w:position w:val="8"/>
          <w:sz w:val="14"/>
          <w:szCs w:val="14"/>
          <w:lang w:val="pl-PL"/>
        </w:rPr>
        <w:t xml:space="preserve"> </w:t>
      </w:r>
      <w:r w:rsidRPr="008F328C">
        <w:rPr>
          <w:rFonts w:eastAsia="Times New Roman"/>
          <w:position w:val="8"/>
          <w:lang w:val="pl-PL"/>
        </w:rPr>
        <w:t>na podstawie analizy rang</w:t>
      </w:r>
    </w:p>
    <w:p w14:paraId="45B16BEA" w14:textId="77777777" w:rsidR="002E5800" w:rsidRPr="008F328C" w:rsidRDefault="000E0B7C">
      <w:pPr>
        <w:pStyle w:val="a3"/>
        <w:rPr>
          <w:lang w:val="pl-PL"/>
        </w:rPr>
      </w:pPr>
      <w:r w:rsidRPr="008F328C">
        <w:rPr>
          <w:rFonts w:eastAsia="Times New Roman"/>
          <w:position w:val="8"/>
          <w:vertAlign w:val="superscript"/>
          <w:lang w:val="pl-PL"/>
        </w:rPr>
        <w:t>d</w:t>
      </w:r>
      <w:r w:rsidRPr="008F328C">
        <w:rPr>
          <w:rFonts w:eastAsia="Times New Roman"/>
          <w:position w:val="8"/>
          <w:sz w:val="14"/>
          <w:szCs w:val="14"/>
          <w:lang w:val="pl-PL"/>
        </w:rPr>
        <w:t xml:space="preserve"> </w:t>
      </w:r>
      <w:r w:rsidRPr="008F328C">
        <w:rPr>
          <w:rFonts w:eastAsia="Times New Roman"/>
          <w:position w:val="8"/>
          <w:lang w:val="pl-PL"/>
        </w:rPr>
        <w:t>zwężenie szpar stawowych</w:t>
      </w:r>
    </w:p>
    <w:p w14:paraId="4285D922" w14:textId="77777777" w:rsidR="002E5800" w:rsidRPr="008F328C" w:rsidRDefault="002E5800">
      <w:pPr>
        <w:spacing w:before="17" w:line="240" w:lineRule="exact"/>
        <w:rPr>
          <w:rFonts w:ascii="Times New Roman" w:hAnsi="Times New Roman" w:cs="Times New Roman"/>
          <w:sz w:val="24"/>
          <w:szCs w:val="24"/>
          <w:lang w:val="pl-PL"/>
        </w:rPr>
      </w:pPr>
    </w:p>
    <w:p w14:paraId="23E7C120" w14:textId="36518D08" w:rsidR="002E5800" w:rsidRPr="008F328C" w:rsidRDefault="000E0B7C">
      <w:pPr>
        <w:pStyle w:val="a3"/>
        <w:rPr>
          <w:lang w:val="pl-PL"/>
        </w:rPr>
      </w:pPr>
      <w:r w:rsidRPr="008F328C">
        <w:rPr>
          <w:rFonts w:eastAsia="Times New Roman"/>
          <w:lang w:val="pl-PL"/>
        </w:rPr>
        <w:t xml:space="preserve">W badaniu V w RZS, strukturalne uszkodzenie stawów oceniano radiologicznie i opisywano jako zmianę w modyfikowanej całkowitej skali Sharpa (patrz Tabela </w:t>
      </w:r>
      <w:r w:rsidR="007011B1" w:rsidRPr="008F328C">
        <w:rPr>
          <w:rFonts w:eastAsia="Times New Roman"/>
          <w:lang w:val="pl-PL"/>
        </w:rPr>
        <w:t>11</w:t>
      </w:r>
      <w:r w:rsidRPr="008F328C">
        <w:rPr>
          <w:rFonts w:eastAsia="Times New Roman"/>
          <w:lang w:val="pl-PL"/>
        </w:rPr>
        <w:t>).</w:t>
      </w:r>
    </w:p>
    <w:p w14:paraId="0CE89EF4" w14:textId="77777777" w:rsidR="002E5800" w:rsidRPr="008F328C" w:rsidRDefault="002E5800">
      <w:pPr>
        <w:spacing w:before="15" w:line="240" w:lineRule="exact"/>
        <w:rPr>
          <w:rFonts w:ascii="Times New Roman" w:hAnsi="Times New Roman" w:cs="Times New Roman"/>
          <w:sz w:val="24"/>
          <w:szCs w:val="24"/>
          <w:lang w:val="pl-PL"/>
        </w:rPr>
      </w:pPr>
    </w:p>
    <w:p w14:paraId="16317F86" w14:textId="719C308A"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11</w:t>
      </w:r>
    </w:p>
    <w:p w14:paraId="03F5ECA8" w14:textId="77777777" w:rsidR="002E5800" w:rsidRPr="008F328C" w:rsidRDefault="000E0B7C">
      <w:pPr>
        <w:pStyle w:val="a3"/>
        <w:jc w:val="center"/>
        <w:rPr>
          <w:b/>
          <w:lang w:val="pl-PL"/>
        </w:rPr>
      </w:pPr>
      <w:r w:rsidRPr="008F328C">
        <w:rPr>
          <w:rFonts w:eastAsia="Times New Roman"/>
          <w:b/>
          <w:bCs/>
          <w:lang w:val="pl-PL"/>
        </w:rPr>
        <w:t>Średnie zmiany w badaniu radiologicznym w 52. tygodniu w badaniu V w RZS</w:t>
      </w:r>
    </w:p>
    <w:p w14:paraId="0C84AC9F" w14:textId="77777777" w:rsidR="002E5800" w:rsidRPr="008F328C" w:rsidRDefault="002E5800">
      <w:pPr>
        <w:spacing w:before="11" w:line="240" w:lineRule="exact"/>
        <w:rPr>
          <w:rFonts w:ascii="Times New Roman" w:hAnsi="Times New Roman" w:cs="Times New Roman"/>
          <w:sz w:val="24"/>
          <w:szCs w:val="24"/>
          <w:lang w:val="pl-PL"/>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2E5800" w:rsidRPr="008F328C" w14:paraId="28A8232E" w14:textId="77777777" w:rsidTr="0008144B">
        <w:tc>
          <w:tcPr>
            <w:tcW w:w="1430" w:type="dxa"/>
            <w:tcBorders>
              <w:top w:val="single" w:sz="5" w:space="0" w:color="000000"/>
              <w:left w:val="single" w:sz="5" w:space="0" w:color="000000"/>
              <w:bottom w:val="single" w:sz="5" w:space="0" w:color="000000"/>
              <w:right w:val="single" w:sz="5" w:space="0" w:color="000000"/>
            </w:tcBorders>
          </w:tcPr>
          <w:p w14:paraId="58DEFD18" w14:textId="77777777" w:rsidR="002E5800" w:rsidRPr="008F328C" w:rsidRDefault="002E5800">
            <w:pPr>
              <w:rPr>
                <w:rFonts w:ascii="Times New Roman" w:hAnsi="Times New Roman" w:cs="Times New Roman"/>
                <w:lang w:val="pl-PL"/>
              </w:rPr>
            </w:pPr>
          </w:p>
        </w:tc>
        <w:tc>
          <w:tcPr>
            <w:tcW w:w="1541" w:type="dxa"/>
            <w:tcBorders>
              <w:top w:val="single" w:sz="5" w:space="0" w:color="000000"/>
              <w:left w:val="single" w:sz="5" w:space="0" w:color="000000"/>
              <w:bottom w:val="single" w:sz="5" w:space="0" w:color="000000"/>
              <w:right w:val="single" w:sz="5" w:space="0" w:color="000000"/>
            </w:tcBorders>
          </w:tcPr>
          <w:p w14:paraId="7DA0576F"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p>
          <w:p w14:paraId="40E90EFE" w14:textId="77777777" w:rsidR="00B224C1"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n=257 </w:t>
            </w:r>
          </w:p>
          <w:p w14:paraId="0B4735BD" w14:textId="57DFD486"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45E5433D"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1481" w:type="dxa"/>
            <w:tcBorders>
              <w:top w:val="single" w:sz="5" w:space="0" w:color="000000"/>
              <w:left w:val="single" w:sz="5" w:space="0" w:color="000000"/>
              <w:bottom w:val="single" w:sz="5" w:space="0" w:color="000000"/>
              <w:right w:val="single" w:sz="5" w:space="0" w:color="000000"/>
            </w:tcBorders>
          </w:tcPr>
          <w:p w14:paraId="0751621E"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5807E8F6" w14:textId="77777777" w:rsidR="00B224C1"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n=274 </w:t>
            </w:r>
          </w:p>
          <w:p w14:paraId="582DBC0A" w14:textId="5A53B30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6D93ACBD"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1488" w:type="dxa"/>
            <w:tcBorders>
              <w:top w:val="single" w:sz="5" w:space="0" w:color="000000"/>
              <w:left w:val="single" w:sz="5" w:space="0" w:color="000000"/>
              <w:bottom w:val="single" w:sz="5" w:space="0" w:color="000000"/>
              <w:right w:val="single" w:sz="5" w:space="0" w:color="000000"/>
            </w:tcBorders>
          </w:tcPr>
          <w:p w14:paraId="5556B815"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31DE3698" w14:textId="77777777" w:rsidR="00B224C1"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n=268 </w:t>
            </w:r>
          </w:p>
          <w:p w14:paraId="7AE0ED58" w14:textId="6E6B9FCC"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21FE4281" w14:textId="77777777" w:rsidR="002E5800" w:rsidRPr="008F328C" w:rsidRDefault="000E0B7C">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991" w:type="dxa"/>
            <w:tcBorders>
              <w:top w:val="single" w:sz="5" w:space="0" w:color="000000"/>
              <w:left w:val="single" w:sz="5" w:space="0" w:color="000000"/>
              <w:bottom w:val="single" w:sz="5" w:space="0" w:color="000000"/>
              <w:right w:val="single" w:sz="5" w:space="0" w:color="000000"/>
            </w:tcBorders>
          </w:tcPr>
          <w:p w14:paraId="324A1A51" w14:textId="77777777" w:rsidR="002E5800" w:rsidRPr="008F328C" w:rsidRDefault="002E5800">
            <w:pPr>
              <w:pStyle w:val="TableParagraph"/>
              <w:spacing w:line="200" w:lineRule="exact"/>
              <w:rPr>
                <w:rFonts w:ascii="Times New Roman" w:hAnsi="Times New Roman" w:cs="Times New Roman"/>
                <w:sz w:val="20"/>
                <w:szCs w:val="20"/>
                <w:lang w:val="pl-PL"/>
              </w:rPr>
            </w:pPr>
          </w:p>
          <w:p w14:paraId="5FE06BE4" w14:textId="77777777" w:rsidR="002E5800" w:rsidRPr="008F328C" w:rsidRDefault="002E5800">
            <w:pPr>
              <w:pStyle w:val="TableParagraph"/>
              <w:spacing w:before="14" w:line="280" w:lineRule="exact"/>
              <w:rPr>
                <w:rFonts w:ascii="Times New Roman" w:hAnsi="Times New Roman" w:cs="Times New Roman"/>
                <w:sz w:val="28"/>
                <w:szCs w:val="28"/>
                <w:lang w:val="pl-PL"/>
              </w:rPr>
            </w:pPr>
          </w:p>
          <w:p w14:paraId="3F97FB32" w14:textId="77777777" w:rsidR="002E5800" w:rsidRPr="008F328C" w:rsidRDefault="000E0B7C">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448C802F" w14:textId="77777777" w:rsidR="002E5800" w:rsidRPr="008F328C" w:rsidRDefault="002E5800">
            <w:pPr>
              <w:pStyle w:val="TableParagraph"/>
              <w:spacing w:line="200" w:lineRule="exact"/>
              <w:rPr>
                <w:rFonts w:ascii="Times New Roman" w:hAnsi="Times New Roman" w:cs="Times New Roman"/>
                <w:sz w:val="20"/>
                <w:szCs w:val="20"/>
                <w:lang w:val="pl-PL"/>
              </w:rPr>
            </w:pPr>
          </w:p>
          <w:p w14:paraId="5D1E6ECD" w14:textId="77777777" w:rsidR="002E5800" w:rsidRPr="008F328C" w:rsidRDefault="002E5800">
            <w:pPr>
              <w:pStyle w:val="TableParagraph"/>
              <w:spacing w:before="14" w:line="280" w:lineRule="exact"/>
              <w:rPr>
                <w:rFonts w:ascii="Times New Roman" w:hAnsi="Times New Roman" w:cs="Times New Roman"/>
                <w:sz w:val="28"/>
                <w:szCs w:val="28"/>
                <w:lang w:val="pl-PL"/>
              </w:rPr>
            </w:pPr>
          </w:p>
          <w:p w14:paraId="738DA59B" w14:textId="77777777" w:rsidR="002E5800" w:rsidRPr="008F328C" w:rsidRDefault="000E0B7C">
            <w:pPr>
              <w:pStyle w:val="TableParagraph"/>
              <w:ind w:left="12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b</w:t>
            </w:r>
          </w:p>
        </w:tc>
        <w:tc>
          <w:tcPr>
            <w:tcW w:w="991" w:type="dxa"/>
            <w:tcBorders>
              <w:top w:val="single" w:sz="5" w:space="0" w:color="000000"/>
              <w:left w:val="single" w:sz="5" w:space="0" w:color="000000"/>
              <w:bottom w:val="single" w:sz="5" w:space="0" w:color="000000"/>
              <w:right w:val="single" w:sz="5" w:space="0" w:color="000000"/>
            </w:tcBorders>
          </w:tcPr>
          <w:p w14:paraId="1C17242C" w14:textId="77777777" w:rsidR="002E5800" w:rsidRPr="008F328C" w:rsidRDefault="002E5800">
            <w:pPr>
              <w:pStyle w:val="TableParagraph"/>
              <w:spacing w:line="200" w:lineRule="exact"/>
              <w:rPr>
                <w:rFonts w:ascii="Times New Roman" w:hAnsi="Times New Roman" w:cs="Times New Roman"/>
                <w:sz w:val="20"/>
                <w:szCs w:val="20"/>
                <w:lang w:val="pl-PL"/>
              </w:rPr>
            </w:pPr>
          </w:p>
          <w:p w14:paraId="3ED35F03" w14:textId="77777777" w:rsidR="002E5800" w:rsidRPr="008F328C" w:rsidRDefault="002E5800">
            <w:pPr>
              <w:pStyle w:val="TableParagraph"/>
              <w:spacing w:before="14" w:line="280" w:lineRule="exact"/>
              <w:rPr>
                <w:rFonts w:ascii="Times New Roman" w:hAnsi="Times New Roman" w:cs="Times New Roman"/>
                <w:sz w:val="28"/>
                <w:szCs w:val="28"/>
                <w:lang w:val="pl-PL"/>
              </w:rPr>
            </w:pPr>
          </w:p>
          <w:p w14:paraId="4DF0C451" w14:textId="77777777" w:rsidR="002E5800" w:rsidRPr="008F328C" w:rsidRDefault="000E0B7C">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c</w:t>
            </w:r>
          </w:p>
        </w:tc>
      </w:tr>
      <w:tr w:rsidR="002E5800" w:rsidRPr="008F328C" w14:paraId="45009994" w14:textId="77777777" w:rsidTr="0008144B">
        <w:tc>
          <w:tcPr>
            <w:tcW w:w="1430" w:type="dxa"/>
            <w:tcBorders>
              <w:top w:val="single" w:sz="5" w:space="0" w:color="000000"/>
              <w:left w:val="single" w:sz="5" w:space="0" w:color="000000"/>
              <w:bottom w:val="single" w:sz="5" w:space="0" w:color="000000"/>
              <w:right w:val="single" w:sz="5" w:space="0" w:color="000000"/>
            </w:tcBorders>
          </w:tcPr>
          <w:p w14:paraId="555A67B0"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Całkowita skala</w:t>
            </w:r>
          </w:p>
          <w:p w14:paraId="0848ABD3" w14:textId="77777777" w:rsidR="002E5800" w:rsidRPr="008F328C" w:rsidRDefault="000E0B7C" w:rsidP="0008144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Sharpa</w:t>
            </w:r>
          </w:p>
        </w:tc>
        <w:tc>
          <w:tcPr>
            <w:tcW w:w="1541" w:type="dxa"/>
            <w:tcBorders>
              <w:top w:val="single" w:sz="5" w:space="0" w:color="000000"/>
              <w:left w:val="single" w:sz="5" w:space="0" w:color="000000"/>
              <w:bottom w:val="single" w:sz="5" w:space="0" w:color="000000"/>
              <w:right w:val="single" w:sz="5" w:space="0" w:color="000000"/>
            </w:tcBorders>
          </w:tcPr>
          <w:p w14:paraId="66F46BCE" w14:textId="77777777" w:rsidR="002E5800" w:rsidRPr="008F328C" w:rsidRDefault="000E0B7C">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5,7 (4,2-7,3)</w:t>
            </w:r>
          </w:p>
        </w:tc>
        <w:tc>
          <w:tcPr>
            <w:tcW w:w="1481" w:type="dxa"/>
            <w:tcBorders>
              <w:top w:val="single" w:sz="5" w:space="0" w:color="000000"/>
              <w:left w:val="single" w:sz="5" w:space="0" w:color="000000"/>
              <w:bottom w:val="single" w:sz="5" w:space="0" w:color="000000"/>
              <w:right w:val="single" w:sz="5" w:space="0" w:color="000000"/>
            </w:tcBorders>
          </w:tcPr>
          <w:p w14:paraId="49D8B9D8"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3,0 (1,7-4,3)</w:t>
            </w:r>
          </w:p>
        </w:tc>
        <w:tc>
          <w:tcPr>
            <w:tcW w:w="1488" w:type="dxa"/>
            <w:tcBorders>
              <w:top w:val="single" w:sz="5" w:space="0" w:color="000000"/>
              <w:left w:val="single" w:sz="5" w:space="0" w:color="000000"/>
              <w:bottom w:val="single" w:sz="5" w:space="0" w:color="000000"/>
              <w:right w:val="single" w:sz="5" w:space="0" w:color="000000"/>
            </w:tcBorders>
          </w:tcPr>
          <w:p w14:paraId="1A5E5E8D" w14:textId="77777777" w:rsidR="002E5800" w:rsidRPr="008F328C" w:rsidRDefault="000E0B7C">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991" w:type="dxa"/>
            <w:tcBorders>
              <w:top w:val="single" w:sz="5" w:space="0" w:color="000000"/>
              <w:left w:val="single" w:sz="5" w:space="0" w:color="000000"/>
              <w:bottom w:val="single" w:sz="5" w:space="0" w:color="000000"/>
              <w:right w:val="single" w:sz="5" w:space="0" w:color="000000"/>
            </w:tcBorders>
          </w:tcPr>
          <w:p w14:paraId="315DFAD9" w14:textId="77777777" w:rsidR="002E5800" w:rsidRPr="008F328C" w:rsidRDefault="000E0B7C">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7D6D3670"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0,0020</w:t>
            </w:r>
          </w:p>
        </w:tc>
        <w:tc>
          <w:tcPr>
            <w:tcW w:w="991" w:type="dxa"/>
            <w:tcBorders>
              <w:top w:val="single" w:sz="5" w:space="0" w:color="000000"/>
              <w:left w:val="single" w:sz="5" w:space="0" w:color="000000"/>
              <w:bottom w:val="single" w:sz="5" w:space="0" w:color="000000"/>
              <w:right w:val="single" w:sz="5" w:space="0" w:color="000000"/>
            </w:tcBorders>
          </w:tcPr>
          <w:p w14:paraId="61CE5E32" w14:textId="77777777" w:rsidR="002E5800" w:rsidRPr="008F328C" w:rsidRDefault="000E0B7C">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2E5800" w:rsidRPr="008F328C" w14:paraId="308E30A8" w14:textId="77777777" w:rsidTr="0008144B">
        <w:tc>
          <w:tcPr>
            <w:tcW w:w="1430" w:type="dxa"/>
            <w:tcBorders>
              <w:top w:val="single" w:sz="5" w:space="0" w:color="000000"/>
              <w:left w:val="single" w:sz="5" w:space="0" w:color="000000"/>
              <w:bottom w:val="single" w:sz="5" w:space="0" w:color="000000"/>
              <w:right w:val="single" w:sz="5" w:space="0" w:color="000000"/>
            </w:tcBorders>
          </w:tcPr>
          <w:p w14:paraId="43108E71"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541" w:type="dxa"/>
            <w:tcBorders>
              <w:top w:val="single" w:sz="5" w:space="0" w:color="000000"/>
              <w:left w:val="single" w:sz="5" w:space="0" w:color="000000"/>
              <w:bottom w:val="single" w:sz="5" w:space="0" w:color="000000"/>
              <w:right w:val="single" w:sz="5" w:space="0" w:color="000000"/>
            </w:tcBorders>
          </w:tcPr>
          <w:p w14:paraId="6D35706C" w14:textId="77777777" w:rsidR="002E5800" w:rsidRPr="008F328C" w:rsidRDefault="000E0B7C">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3,7 (2,7-4,7)</w:t>
            </w:r>
          </w:p>
        </w:tc>
        <w:tc>
          <w:tcPr>
            <w:tcW w:w="1481" w:type="dxa"/>
            <w:tcBorders>
              <w:top w:val="single" w:sz="5" w:space="0" w:color="000000"/>
              <w:left w:val="single" w:sz="5" w:space="0" w:color="000000"/>
              <w:bottom w:val="single" w:sz="5" w:space="0" w:color="000000"/>
              <w:right w:val="single" w:sz="5" w:space="0" w:color="000000"/>
            </w:tcBorders>
          </w:tcPr>
          <w:p w14:paraId="3626C43D"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1,7 (1,0-2,4)</w:t>
            </w:r>
          </w:p>
        </w:tc>
        <w:tc>
          <w:tcPr>
            <w:tcW w:w="1488" w:type="dxa"/>
            <w:tcBorders>
              <w:top w:val="single" w:sz="5" w:space="0" w:color="000000"/>
              <w:left w:val="single" w:sz="5" w:space="0" w:color="000000"/>
              <w:bottom w:val="single" w:sz="5" w:space="0" w:color="000000"/>
              <w:right w:val="single" w:sz="5" w:space="0" w:color="000000"/>
            </w:tcBorders>
          </w:tcPr>
          <w:p w14:paraId="08432C4F" w14:textId="77777777" w:rsidR="002E5800" w:rsidRPr="008F328C" w:rsidRDefault="000E0B7C">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0,8 (0,4-1,2)</w:t>
            </w:r>
          </w:p>
        </w:tc>
        <w:tc>
          <w:tcPr>
            <w:tcW w:w="991" w:type="dxa"/>
            <w:tcBorders>
              <w:top w:val="single" w:sz="5" w:space="0" w:color="000000"/>
              <w:left w:val="single" w:sz="5" w:space="0" w:color="000000"/>
              <w:bottom w:val="single" w:sz="5" w:space="0" w:color="000000"/>
              <w:right w:val="single" w:sz="5" w:space="0" w:color="000000"/>
            </w:tcBorders>
          </w:tcPr>
          <w:p w14:paraId="14078581" w14:textId="77777777" w:rsidR="002E5800" w:rsidRPr="008F328C" w:rsidRDefault="000E0B7C">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7F995F2E"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0,0082</w:t>
            </w:r>
          </w:p>
        </w:tc>
        <w:tc>
          <w:tcPr>
            <w:tcW w:w="991" w:type="dxa"/>
            <w:tcBorders>
              <w:top w:val="single" w:sz="5" w:space="0" w:color="000000"/>
              <w:left w:val="single" w:sz="5" w:space="0" w:color="000000"/>
              <w:bottom w:val="single" w:sz="5" w:space="0" w:color="000000"/>
              <w:right w:val="single" w:sz="5" w:space="0" w:color="000000"/>
            </w:tcBorders>
          </w:tcPr>
          <w:p w14:paraId="39E56631" w14:textId="77777777" w:rsidR="002E5800" w:rsidRPr="008F328C" w:rsidRDefault="000E0B7C">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2E5800" w:rsidRPr="008F328C" w14:paraId="536E3B23" w14:textId="77777777" w:rsidTr="0008144B">
        <w:tc>
          <w:tcPr>
            <w:tcW w:w="1430" w:type="dxa"/>
            <w:tcBorders>
              <w:top w:val="single" w:sz="5" w:space="0" w:color="000000"/>
              <w:left w:val="single" w:sz="5" w:space="0" w:color="000000"/>
              <w:bottom w:val="single" w:sz="5" w:space="0" w:color="000000"/>
              <w:right w:val="single" w:sz="5" w:space="0" w:color="000000"/>
            </w:tcBorders>
          </w:tcPr>
          <w:p w14:paraId="59ED621D"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p>
        </w:tc>
        <w:tc>
          <w:tcPr>
            <w:tcW w:w="1541" w:type="dxa"/>
            <w:tcBorders>
              <w:top w:val="single" w:sz="5" w:space="0" w:color="000000"/>
              <w:left w:val="single" w:sz="5" w:space="0" w:color="000000"/>
              <w:bottom w:val="single" w:sz="5" w:space="0" w:color="000000"/>
              <w:right w:val="single" w:sz="5" w:space="0" w:color="000000"/>
            </w:tcBorders>
          </w:tcPr>
          <w:p w14:paraId="02D9DE83" w14:textId="77777777" w:rsidR="002E5800" w:rsidRPr="008F328C" w:rsidRDefault="000E0B7C">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2,0 (1,2-2,8)</w:t>
            </w:r>
          </w:p>
        </w:tc>
        <w:tc>
          <w:tcPr>
            <w:tcW w:w="1481" w:type="dxa"/>
            <w:tcBorders>
              <w:top w:val="single" w:sz="5" w:space="0" w:color="000000"/>
              <w:left w:val="single" w:sz="5" w:space="0" w:color="000000"/>
              <w:bottom w:val="single" w:sz="5" w:space="0" w:color="000000"/>
              <w:right w:val="single" w:sz="5" w:space="0" w:color="000000"/>
            </w:tcBorders>
          </w:tcPr>
          <w:p w14:paraId="7B39F13F"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1488" w:type="dxa"/>
            <w:tcBorders>
              <w:top w:val="single" w:sz="5" w:space="0" w:color="000000"/>
              <w:left w:val="single" w:sz="5" w:space="0" w:color="000000"/>
              <w:bottom w:val="single" w:sz="5" w:space="0" w:color="000000"/>
              <w:right w:val="single" w:sz="5" w:space="0" w:color="000000"/>
            </w:tcBorders>
          </w:tcPr>
          <w:p w14:paraId="78E8FDCA" w14:textId="77777777" w:rsidR="002E5800" w:rsidRPr="008F328C" w:rsidRDefault="000E0B7C">
            <w:pPr>
              <w:pStyle w:val="TableParagraph"/>
              <w:spacing w:line="246" w:lineRule="exact"/>
              <w:ind w:left="270"/>
              <w:rPr>
                <w:rFonts w:ascii="Times New Roman" w:eastAsia="Times New Roman" w:hAnsi="Times New Roman" w:cs="Times New Roman"/>
                <w:lang w:val="pl-PL"/>
              </w:rPr>
            </w:pPr>
            <w:r w:rsidRPr="008F328C">
              <w:rPr>
                <w:rFonts w:ascii="Times New Roman" w:eastAsia="Times New Roman" w:hAnsi="Times New Roman" w:cs="Times New Roman"/>
                <w:lang w:val="pl-PL"/>
              </w:rPr>
              <w:t>0,5 (0-1,0)</w:t>
            </w:r>
          </w:p>
        </w:tc>
        <w:tc>
          <w:tcPr>
            <w:tcW w:w="991" w:type="dxa"/>
            <w:tcBorders>
              <w:top w:val="single" w:sz="5" w:space="0" w:color="000000"/>
              <w:left w:val="single" w:sz="5" w:space="0" w:color="000000"/>
              <w:bottom w:val="single" w:sz="5" w:space="0" w:color="000000"/>
              <w:right w:val="single" w:sz="5" w:space="0" w:color="000000"/>
            </w:tcBorders>
          </w:tcPr>
          <w:p w14:paraId="1D5D218D" w14:textId="77777777" w:rsidR="002E5800" w:rsidRPr="008F328C" w:rsidRDefault="000E0B7C">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18DCD8BF" w14:textId="77777777" w:rsidR="002E5800" w:rsidRPr="008F328C" w:rsidRDefault="000E0B7C">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0,0037</w:t>
            </w:r>
          </w:p>
        </w:tc>
        <w:tc>
          <w:tcPr>
            <w:tcW w:w="991" w:type="dxa"/>
            <w:tcBorders>
              <w:top w:val="single" w:sz="5" w:space="0" w:color="000000"/>
              <w:left w:val="single" w:sz="5" w:space="0" w:color="000000"/>
              <w:bottom w:val="single" w:sz="5" w:space="0" w:color="000000"/>
              <w:right w:val="single" w:sz="5" w:space="0" w:color="000000"/>
            </w:tcBorders>
          </w:tcPr>
          <w:p w14:paraId="6B73C58A" w14:textId="77777777" w:rsidR="002E5800" w:rsidRPr="008F328C" w:rsidRDefault="000E0B7C">
            <w:pPr>
              <w:pStyle w:val="TableParagraph"/>
              <w:spacing w:line="246" w:lineRule="exact"/>
              <w:ind w:left="241"/>
              <w:rPr>
                <w:rFonts w:ascii="Times New Roman" w:eastAsia="Times New Roman" w:hAnsi="Times New Roman" w:cs="Times New Roman"/>
                <w:lang w:val="pl-PL"/>
              </w:rPr>
            </w:pPr>
            <w:r w:rsidRPr="008F328C">
              <w:rPr>
                <w:rFonts w:ascii="Times New Roman" w:eastAsia="Times New Roman" w:hAnsi="Times New Roman" w:cs="Times New Roman"/>
                <w:lang w:val="pl-PL"/>
              </w:rPr>
              <w:t>0,151</w:t>
            </w:r>
          </w:p>
        </w:tc>
      </w:tr>
    </w:tbl>
    <w:p w14:paraId="46DF9F3B" w14:textId="77777777" w:rsidR="002E5800" w:rsidRPr="008F328C" w:rsidRDefault="000E0B7C">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0BEC7B65" w14:textId="77777777" w:rsidR="002E5800" w:rsidRPr="008F328C" w:rsidRDefault="000E0B7C">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0A4686D2" w14:textId="77777777" w:rsidR="002E5800" w:rsidRPr="008F328C" w:rsidRDefault="000E0B7C">
      <w:pPr>
        <w:pStyle w:val="a3"/>
        <w:rPr>
          <w:rFonts w:eastAsia="Times New Roman"/>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4EAED172" w14:textId="77777777" w:rsidR="002E5800" w:rsidRPr="008F328C" w:rsidRDefault="002E5800">
      <w:pPr>
        <w:spacing w:before="8" w:line="170" w:lineRule="exact"/>
        <w:rPr>
          <w:rFonts w:ascii="Times New Roman" w:hAnsi="Times New Roman" w:cs="Times New Roman"/>
          <w:sz w:val="17"/>
          <w:szCs w:val="17"/>
          <w:lang w:val="pl-PL"/>
        </w:rPr>
      </w:pPr>
    </w:p>
    <w:p w14:paraId="23A5F43B" w14:textId="77777777" w:rsidR="002E5800" w:rsidRPr="008F328C" w:rsidRDefault="000E0B7C">
      <w:pPr>
        <w:pStyle w:val="a3"/>
        <w:rPr>
          <w:lang w:val="pl-PL"/>
        </w:rPr>
      </w:pPr>
      <w:r w:rsidRPr="008F328C">
        <w:rPr>
          <w:rFonts w:eastAsia="Times New Roman"/>
          <w:lang w:val="pl-PL"/>
        </w:rPr>
        <w:t xml:space="preserve">Po 52 i 104 tygodniach leczenia, odsetek pacjentów bez postępu choroby (zmiana wartości wyjściowej zmodyfikowanej całkowitej skali Sharpa ≤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0,5) był istotnie większy w przypadku leczenia skojarzonego adalimumabem i metotreksatem (odpowiednio 63,8% i 61,2%) w porównaniu do stosowania metotreksatu w monoterapii (odpowiednio 37,4% i 33,5%, p &lt; 0,001) i adalimumabu w monoterapii (odpowiednio 50,7%, p &lt; 0,002 i 44,5%, p &lt; 0,001).</w:t>
      </w:r>
    </w:p>
    <w:p w14:paraId="309751E7" w14:textId="77777777" w:rsidR="002E5800" w:rsidRPr="008F328C" w:rsidRDefault="002E5800">
      <w:pPr>
        <w:spacing w:before="10" w:line="240" w:lineRule="exact"/>
        <w:rPr>
          <w:rFonts w:ascii="Times New Roman" w:hAnsi="Times New Roman" w:cs="Times New Roman"/>
          <w:sz w:val="24"/>
          <w:szCs w:val="24"/>
          <w:lang w:val="pl-PL"/>
        </w:rPr>
      </w:pPr>
    </w:p>
    <w:p w14:paraId="382DD5EC" w14:textId="77777777" w:rsidR="002E5800" w:rsidRPr="008F328C" w:rsidRDefault="000E0B7C">
      <w:pPr>
        <w:pStyle w:val="a3"/>
        <w:rPr>
          <w:lang w:val="pl-PL"/>
        </w:rPr>
      </w:pPr>
      <w:r w:rsidRPr="008F328C">
        <w:rPr>
          <w:rFonts w:eastAsia="Times New Roman"/>
          <w:lang w:val="pl-PL"/>
        </w:rPr>
        <w:t>W fazie otwartej, będącej kontynuacją badania V w RZS, w 10. roku średnia zmiana wartości wyjściowych w zmodyfikowanej całkowitej skali Sharpa wynosiła 10,8, 9,2 i 3,9 u pacjentów, którym losowo przydzielono leczenie odpowiednio metotreksatem w monoterapii, adalimumabem w monoterapii i terapię skojarzoną adalimumabem i metotreksatem. Odsetki pacjentów bez postępu choroby w badaniu radiologicznym wynosiły odpowiednio 31,3%, 23,7% i 36,7%.</w:t>
      </w:r>
    </w:p>
    <w:p w14:paraId="517491C1" w14:textId="77777777" w:rsidR="002E5800" w:rsidRPr="008F328C" w:rsidRDefault="002E5800">
      <w:pPr>
        <w:pStyle w:val="a3"/>
        <w:rPr>
          <w:sz w:val="24"/>
          <w:szCs w:val="24"/>
          <w:lang w:val="pl-PL"/>
        </w:rPr>
      </w:pPr>
    </w:p>
    <w:p w14:paraId="00087CD9" w14:textId="2720EF49" w:rsidR="002E5800" w:rsidRPr="008F328C" w:rsidRDefault="000E0B7C">
      <w:pPr>
        <w:pStyle w:val="a3"/>
        <w:rPr>
          <w:rFonts w:eastAsia="Times New Roman"/>
          <w:lang w:val="pl-PL"/>
        </w:rPr>
      </w:pPr>
      <w:r w:rsidRPr="008F328C">
        <w:rPr>
          <w:rFonts w:eastAsia="Times New Roman"/>
          <w:i/>
          <w:iCs/>
          <w:spacing w:val="-1"/>
          <w:u w:val="single" w:color="000000"/>
          <w:lang w:val="pl-PL"/>
        </w:rPr>
        <w:t xml:space="preserve">Jakość życia i </w:t>
      </w:r>
      <w:r w:rsidR="00C239C8" w:rsidRPr="008F328C">
        <w:rPr>
          <w:rFonts w:eastAsia="Times New Roman"/>
          <w:i/>
          <w:iCs/>
          <w:spacing w:val="-1"/>
          <w:u w:val="single" w:color="000000"/>
          <w:lang w:val="pl-PL"/>
        </w:rPr>
        <w:t>sprawność fiz</w:t>
      </w:r>
      <w:r w:rsidR="00DC6AEA" w:rsidRPr="008F328C">
        <w:rPr>
          <w:rFonts w:eastAsia="Times New Roman"/>
          <w:i/>
          <w:iCs/>
          <w:spacing w:val="-1"/>
          <w:u w:val="single" w:color="000000"/>
          <w:lang w:val="pl-PL"/>
        </w:rPr>
        <w:t>y</w:t>
      </w:r>
      <w:r w:rsidR="00C239C8" w:rsidRPr="008F328C">
        <w:rPr>
          <w:rFonts w:eastAsia="Times New Roman"/>
          <w:i/>
          <w:iCs/>
          <w:spacing w:val="-1"/>
          <w:u w:val="single" w:color="000000"/>
          <w:lang w:val="pl-PL"/>
        </w:rPr>
        <w:t>czna</w:t>
      </w:r>
    </w:p>
    <w:p w14:paraId="60AA3B3D" w14:textId="77777777" w:rsidR="002E5800" w:rsidRPr="008F328C" w:rsidRDefault="002E5800">
      <w:pPr>
        <w:pStyle w:val="a3"/>
        <w:rPr>
          <w:sz w:val="18"/>
          <w:szCs w:val="18"/>
          <w:lang w:val="pl-PL"/>
        </w:rPr>
      </w:pPr>
    </w:p>
    <w:p w14:paraId="529B82C4" w14:textId="33A32920" w:rsidR="002E5800" w:rsidRPr="008F328C" w:rsidRDefault="000E0B7C">
      <w:pPr>
        <w:pStyle w:val="a3"/>
        <w:rPr>
          <w:lang w:val="pl-PL"/>
        </w:rPr>
      </w:pPr>
      <w:r w:rsidRPr="008F328C">
        <w:rPr>
          <w:rFonts w:eastAsia="Times New Roman"/>
          <w:lang w:val="pl-PL"/>
        </w:rPr>
        <w:t xml:space="preserve">Związaną ze stanem zdrowia jakość życia i </w:t>
      </w:r>
      <w:r w:rsidR="00C239C8" w:rsidRPr="008F328C">
        <w:rPr>
          <w:rFonts w:eastAsia="Times New Roman"/>
          <w:lang w:val="pl-PL"/>
        </w:rPr>
        <w:t>sprawność fiz</w:t>
      </w:r>
      <w:r w:rsidR="00DC6AEA" w:rsidRPr="008F328C">
        <w:rPr>
          <w:rFonts w:eastAsia="Times New Roman"/>
          <w:lang w:val="pl-PL"/>
        </w:rPr>
        <w:t>y</w:t>
      </w:r>
      <w:r w:rsidR="00C239C8" w:rsidRPr="008F328C">
        <w:rPr>
          <w:rFonts w:eastAsia="Times New Roman"/>
          <w:lang w:val="pl-PL"/>
        </w:rPr>
        <w:t>czną</w:t>
      </w:r>
      <w:r w:rsidRPr="008F328C">
        <w:rPr>
          <w:rFonts w:eastAsia="Times New Roman"/>
          <w:lang w:val="pl-PL"/>
        </w:rPr>
        <w:t xml:space="preserve"> oceniano przy pomocy wskaźnika niepełnosprawności kwestionariusza oceny stanu zdrowia (ang. Health Assessment Questionnaire, HAQ) w czterech oryginalnych odpowiednio i prawidłowo kontrolowanych badaniach klinicznych i stanowiło to określony wcześniej pierwszorzędowy punkt końcowy w 52. tygodniu w badaniu III w RZS. Wszystkie dawki/schematy dawkowania adalimumabu w wymienionych czterech badaniach doprowadziły</w:t>
      </w:r>
      <w:r w:rsidR="00C239C8" w:rsidRPr="008F328C">
        <w:rPr>
          <w:rFonts w:eastAsia="Times New Roman"/>
          <w:lang w:val="pl-PL"/>
        </w:rPr>
        <w:t xml:space="preserve"> </w:t>
      </w:r>
      <w:r w:rsidRPr="008F328C">
        <w:rPr>
          <w:rFonts w:eastAsia="Times New Roman"/>
          <w:lang w:val="pl-PL"/>
        </w:rPr>
        <w:t>w 6</w:t>
      </w:r>
      <w:r w:rsidR="00C239C8" w:rsidRPr="008F328C">
        <w:rPr>
          <w:rFonts w:eastAsia="Times New Roman"/>
          <w:lang w:val="pl-PL"/>
        </w:rPr>
        <w:t>. </w:t>
      </w:r>
      <w:r w:rsidRPr="008F328C">
        <w:rPr>
          <w:rFonts w:eastAsia="Times New Roman"/>
          <w:lang w:val="pl-PL"/>
        </w:rPr>
        <w:t>miesiącu do istotnej statystycznie, większej poprawy wyjściowego wskaźnika niepełnosprawności HAQ w porównaniu do placebo, a w badaniu III w RZS to samo zaobserwowano w 52. tygodniu. Punktacja według skróconego kwestionariusza oceny stanu zdrowia (ang. Short Form Health Survey, SF-36) dla wszystkich dawek/schematów dawkowania adalimumabu w wymienionych czterech badaniach potwierdza te wyniki. Uzyskano statystycznie istotną sumaryczną punktację składowej dotyczącej sprawności fizycznej (ang. Physical Component Summary, PCS) oraz statystycznie istotną punktację dotyczącą dolegliwości bólowych i witalności dla dawki 40 mg co drugi tydzień. Stwierdzono statystycznie istotne zmniejszenie męczliwości mierzonej w punktacji oceny czynnościowej leczenia chorób przewlekłych (ang. Functional Assessment of Chronic Illness Therapy, FACIT) we wszystkich trzech badaniach, w których to oceniano (badania I, III i IV w RZS).</w:t>
      </w:r>
    </w:p>
    <w:p w14:paraId="32F48939" w14:textId="77777777" w:rsidR="002E5800" w:rsidRPr="008F328C" w:rsidRDefault="002E5800">
      <w:pPr>
        <w:pStyle w:val="a3"/>
        <w:rPr>
          <w:sz w:val="24"/>
          <w:szCs w:val="24"/>
          <w:lang w:val="pl-PL"/>
        </w:rPr>
      </w:pPr>
    </w:p>
    <w:p w14:paraId="6A411863" w14:textId="23830A24" w:rsidR="002E5800" w:rsidRPr="008F328C" w:rsidRDefault="000E0B7C">
      <w:pPr>
        <w:pStyle w:val="a3"/>
        <w:rPr>
          <w:lang w:val="pl-PL"/>
        </w:rPr>
      </w:pPr>
      <w:r w:rsidRPr="008F328C">
        <w:rPr>
          <w:rFonts w:eastAsia="Times New Roman"/>
          <w:lang w:val="pl-PL"/>
        </w:rPr>
        <w:t xml:space="preserve">W badaniu III w RZS, prowadzonym metodą otwartej próby, u większości pacjentów, którzy osiągnęli poprawę </w:t>
      </w:r>
      <w:r w:rsidR="001C5B27" w:rsidRPr="008F328C">
        <w:rPr>
          <w:rFonts w:eastAsia="Times New Roman"/>
          <w:lang w:val="pl-PL"/>
        </w:rPr>
        <w:t xml:space="preserve">sprawności fizycznej </w:t>
      </w:r>
      <w:r w:rsidRPr="008F328C">
        <w:rPr>
          <w:rFonts w:eastAsia="Times New Roman"/>
          <w:lang w:val="pl-PL"/>
        </w:rPr>
        <w:t xml:space="preserve">i kontynuowali leczenie, poprawa utrzymywała się do 520. tygodnia włącznie (120 miesięcy). Poprawę jakości życia mierzono do 156. tygodnia (36 miesięcy) i w okresie tym </w:t>
      </w:r>
      <w:r w:rsidRPr="008F328C">
        <w:rPr>
          <w:rFonts w:eastAsia="Times New Roman"/>
          <w:lang w:val="pl-PL"/>
        </w:rPr>
        <w:lastRenderedPageBreak/>
        <w:t>stwierdzono utrzymywanie się poprawy.</w:t>
      </w:r>
    </w:p>
    <w:p w14:paraId="5E516F25" w14:textId="77777777" w:rsidR="002E5800" w:rsidRPr="008F328C" w:rsidRDefault="002E5800">
      <w:pPr>
        <w:pStyle w:val="a3"/>
        <w:rPr>
          <w:sz w:val="24"/>
          <w:szCs w:val="24"/>
          <w:lang w:val="pl-PL"/>
        </w:rPr>
      </w:pPr>
    </w:p>
    <w:p w14:paraId="7521CED5" w14:textId="77777777" w:rsidR="002E5800" w:rsidRPr="008F328C" w:rsidRDefault="000E0B7C">
      <w:pPr>
        <w:pStyle w:val="a3"/>
        <w:rPr>
          <w:lang w:val="pl-PL"/>
        </w:rPr>
      </w:pPr>
      <w:r w:rsidRPr="008F328C">
        <w:rPr>
          <w:rFonts w:eastAsia="Times New Roman"/>
          <w:lang w:val="pl-PL"/>
        </w:rPr>
        <w:t>W badaniu V w RZS, poprawa wskaźnika niepełnosprawności HAQ oraz składowa kwestionariusza SF-36 dotycząca sprawności fizycznej wykazały w 52. tygodniu większą poprawę (p &lt; 0,001) w przypadku leczenia skojarzonego adalimumabem i metotreksatem niż w przypadku stosowania metotreksatu w monoterapii i adalimumabu w monoterapii. Poprawa ta utrzymywała się do 104. tygodnia włącznie. U 250 uczestników, którzy ukończyli otwarte badanie kontynuacyjne, poprawa stanu czynnościowego utrzymywała się przez cały 10-letni okres leczenia.</w:t>
      </w:r>
    </w:p>
    <w:p w14:paraId="2D08ACE7" w14:textId="77777777" w:rsidR="002E5800" w:rsidRPr="008F328C" w:rsidRDefault="002E5800">
      <w:pPr>
        <w:pStyle w:val="a3"/>
        <w:rPr>
          <w:sz w:val="24"/>
          <w:szCs w:val="24"/>
          <w:lang w:val="pl-PL"/>
        </w:rPr>
      </w:pPr>
    </w:p>
    <w:p w14:paraId="40DDE692"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Ból w miejscu wstrzyknięcia</w:t>
      </w:r>
    </w:p>
    <w:p w14:paraId="1BE341EA" w14:textId="77777777" w:rsidR="002E5800" w:rsidRPr="008F328C" w:rsidRDefault="002E5800">
      <w:pPr>
        <w:pStyle w:val="a3"/>
        <w:rPr>
          <w:sz w:val="18"/>
          <w:szCs w:val="18"/>
          <w:lang w:val="pl-PL"/>
        </w:rPr>
      </w:pPr>
    </w:p>
    <w:p w14:paraId="78645D6F" w14:textId="77777777" w:rsidR="002E5800" w:rsidRPr="008F328C" w:rsidRDefault="000E0B7C">
      <w:pPr>
        <w:pStyle w:val="a3"/>
        <w:rPr>
          <w:lang w:val="pl-PL"/>
        </w:rPr>
      </w:pPr>
      <w:r w:rsidRPr="008F328C">
        <w:rPr>
          <w:rFonts w:eastAsia="Times New Roman"/>
          <w:lang w:val="pl-PL"/>
        </w:rPr>
        <w:t>Łączne wyniki badań klinicznych w układzie krzyżowym VI i VII w RZS wykazały istotną statystycznie różnicę w nasileniu bólu w miejscu wstrzyknięcia bezpośrednio po podaniu adalimumabu 40 mg/0,8 ml i adalimumabu 40 mg/0,4 ml (średnia wartość VAS 3,7 cm vs 1,2 cm, skala 0 – 10 cm, P ˂ 0,001). Różnica ta odpowiada zmniejszeniu bólu w miejscu wstrzyknięcia o 84% (mediana).</w:t>
      </w:r>
    </w:p>
    <w:p w14:paraId="2BE5B2D8" w14:textId="77777777" w:rsidR="002E5800" w:rsidRPr="008F328C" w:rsidRDefault="002E5800">
      <w:pPr>
        <w:pStyle w:val="a3"/>
        <w:rPr>
          <w:sz w:val="24"/>
          <w:szCs w:val="24"/>
          <w:lang w:val="pl-PL"/>
        </w:rPr>
      </w:pPr>
    </w:p>
    <w:p w14:paraId="260AC9E2" w14:textId="77777777" w:rsidR="002E5800" w:rsidRPr="008F328C" w:rsidRDefault="000E0B7C">
      <w:pPr>
        <w:pStyle w:val="a3"/>
        <w:rPr>
          <w:rFonts w:eastAsia="Times New Roman"/>
          <w:i/>
          <w:spacing w:val="-1"/>
          <w:lang w:val="pl-PL"/>
        </w:rPr>
      </w:pPr>
      <w:r w:rsidRPr="008F328C">
        <w:rPr>
          <w:rFonts w:eastAsia="Times New Roman"/>
          <w:i/>
          <w:iCs/>
          <w:spacing w:val="-1"/>
          <w:lang w:val="pl-PL"/>
        </w:rPr>
        <w:t>Osiowa spondyloartropatia</w:t>
      </w:r>
    </w:p>
    <w:p w14:paraId="06EFAC89" w14:textId="77777777" w:rsidR="002E5800" w:rsidRPr="008F328C" w:rsidRDefault="002E5800">
      <w:pPr>
        <w:pStyle w:val="a3"/>
        <w:rPr>
          <w:rFonts w:eastAsia="Times New Roman"/>
          <w:i/>
          <w:spacing w:val="-1"/>
          <w:lang w:val="pl-PL"/>
        </w:rPr>
      </w:pPr>
    </w:p>
    <w:p w14:paraId="33BAB78C" w14:textId="77777777" w:rsidR="002E5800" w:rsidRPr="008F328C" w:rsidRDefault="000E0B7C">
      <w:pPr>
        <w:pStyle w:val="a3"/>
        <w:rPr>
          <w:rFonts w:eastAsia="Times New Roman"/>
          <w:i/>
          <w:spacing w:val="-1"/>
          <w:u w:val="single" w:color="000000"/>
          <w:lang w:val="pl-PL"/>
        </w:rPr>
      </w:pPr>
      <w:r w:rsidRPr="008F328C">
        <w:rPr>
          <w:rFonts w:eastAsia="Times New Roman"/>
          <w:i/>
          <w:iCs/>
          <w:spacing w:val="-1"/>
          <w:u w:val="single" w:color="000000"/>
          <w:lang w:val="pl-PL"/>
        </w:rPr>
        <w:t>Zesztywniające zapalenie stawów kręgosłupa (ZZSK)</w:t>
      </w:r>
    </w:p>
    <w:p w14:paraId="1D203D0B" w14:textId="77777777" w:rsidR="002E5800" w:rsidRPr="008F328C" w:rsidRDefault="002E5800">
      <w:pPr>
        <w:pStyle w:val="a3"/>
        <w:rPr>
          <w:rFonts w:eastAsia="Times New Roman"/>
          <w:lang w:val="pl-PL"/>
        </w:rPr>
      </w:pPr>
    </w:p>
    <w:p w14:paraId="78D297E6" w14:textId="77777777" w:rsidR="002E5800" w:rsidRPr="008F328C" w:rsidRDefault="000E0B7C">
      <w:pPr>
        <w:pStyle w:val="a3"/>
        <w:rPr>
          <w:lang w:val="pl-PL"/>
        </w:rPr>
      </w:pPr>
      <w:r w:rsidRPr="008F328C">
        <w:rPr>
          <w:rFonts w:eastAsia="Times New Roman"/>
          <w:lang w:val="pl-PL"/>
        </w:rPr>
        <w:t>W dwóch randomizowanych, trwających 24 tygodnie, kontrolowanych placebo badaniach klinicznych z podwójnie ślepą próbą oceniano adalimumab 40 mg podawany co drugi tydzień u 393 pacjentów z czynnym zesztywniającym zapaleniem stawów kręgosłupa (przed przystąpieniem do badania średnia punktowa ocena aktywności choroby [wskaźnik aktywności zesztywniającego zapalenia stawów kręgosłupa (ang. Bath Ankylosing Spondylitis Disease Activity Index, BASDAI)] wynosiła 6,3 we wszystkich grupach), w których odpowiedź na stosowane tradycyjnie leczenie była niezadowalająca. 79 (20,1%) pacjentów leczono równocześnie lekami modyfikującymi przebieg choroby, a 37 (9,4%) pacjentów – glikokortykosteroidami. Po okresie próby ślepej nastąpiła faza otwarta, w której pacjenci otrzymywali adalimumab 40 mg podskórnie co drugi tydzień przez dodatkowy okres do 28 tygodni. Uczestnicy badania (n = 215, 54,7%), u których nie uzyskano odpowiedzi 20 w skali ASAS w 12. lub 16. lub 20. tygodniu otrzymywali w rozpoczętej wcześniej fazie otwartej leczenia ostatniej szansy adalimumab 40 mg podskórnie co drugi tydzień, a następnie traktowano ich jako nieodpowiadających na leczenie w analizach statystycznych podwójnie zaślepionych.</w:t>
      </w:r>
    </w:p>
    <w:p w14:paraId="421A48A4" w14:textId="77777777" w:rsidR="002E5800" w:rsidRPr="008F328C" w:rsidRDefault="002E5800">
      <w:pPr>
        <w:spacing w:before="13" w:line="240" w:lineRule="exact"/>
        <w:rPr>
          <w:rFonts w:ascii="Times New Roman" w:hAnsi="Times New Roman" w:cs="Times New Roman"/>
          <w:sz w:val="24"/>
          <w:szCs w:val="24"/>
          <w:lang w:val="pl-PL"/>
        </w:rPr>
      </w:pPr>
    </w:p>
    <w:p w14:paraId="05619F9C" w14:textId="2F532496" w:rsidR="002E5800" w:rsidRPr="008F328C" w:rsidRDefault="000E0B7C">
      <w:pPr>
        <w:pStyle w:val="a3"/>
        <w:rPr>
          <w:lang w:val="pl-PL"/>
        </w:rPr>
      </w:pPr>
      <w:r w:rsidRPr="008F328C">
        <w:rPr>
          <w:rFonts w:eastAsia="Times New Roman"/>
          <w:lang w:val="pl-PL"/>
        </w:rPr>
        <w:t xml:space="preserve">W większym badaniu I w ZZSK z udziałem 315 pacjentów, wyniki wykazały statystycznie istotną poprawę objawów przedmiotowych i podmiotowych zesztywniającego zapalenia stawów kręgosłupa u pacjentów leczonych adalimumabem w porównaniu do placebo. Istotną poprawę obserwowano po raz pierwszy w drugim tygodniu i utrzymywała się ona przez 24 tygodnie (Tabela </w:t>
      </w:r>
      <w:r w:rsidR="007011B1" w:rsidRPr="008F328C">
        <w:rPr>
          <w:rFonts w:eastAsia="Times New Roman"/>
          <w:lang w:val="pl-PL"/>
        </w:rPr>
        <w:t>12</w:t>
      </w:r>
      <w:r w:rsidRPr="008F328C">
        <w:rPr>
          <w:rFonts w:eastAsia="Times New Roman"/>
          <w:lang w:val="pl-PL"/>
        </w:rPr>
        <w:t>).</w:t>
      </w:r>
    </w:p>
    <w:p w14:paraId="42001E04" w14:textId="77777777" w:rsidR="002E5800" w:rsidRPr="008F328C" w:rsidRDefault="002E5800">
      <w:pPr>
        <w:pStyle w:val="a3"/>
        <w:rPr>
          <w:lang w:val="pl-PL"/>
        </w:rPr>
      </w:pPr>
    </w:p>
    <w:p w14:paraId="198C5A45" w14:textId="77777777" w:rsidR="002E5800" w:rsidRPr="008F328C" w:rsidRDefault="002E5800">
      <w:pPr>
        <w:pStyle w:val="a3"/>
        <w:jc w:val="center"/>
        <w:rPr>
          <w:b/>
          <w:lang w:val="pl-PL"/>
        </w:rPr>
      </w:pPr>
    </w:p>
    <w:p w14:paraId="386FC23D" w14:textId="23AF536E" w:rsidR="002E5800" w:rsidRPr="008F328C" w:rsidRDefault="000E0B7C">
      <w:pPr>
        <w:jc w:val="center"/>
        <w:rPr>
          <w:rFonts w:ascii="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7011B1" w:rsidRPr="008F328C">
        <w:rPr>
          <w:rFonts w:ascii="Times New Roman" w:eastAsia="Times New Roman" w:hAnsi="Times New Roman" w:cs="Times New Roman"/>
          <w:b/>
          <w:bCs/>
          <w:lang w:val="pl-PL"/>
        </w:rPr>
        <w:t>12</w:t>
      </w:r>
    </w:p>
    <w:p w14:paraId="327B6857" w14:textId="77777777" w:rsidR="002E5800" w:rsidRPr="008F328C" w:rsidRDefault="000E0B7C">
      <w:pPr>
        <w:pStyle w:val="a3"/>
        <w:ind w:leftChars="550" w:left="1210" w:rightChars="550" w:right="1210"/>
        <w:jc w:val="center"/>
        <w:rPr>
          <w:b/>
          <w:lang w:val="pl-PL"/>
        </w:rPr>
      </w:pPr>
      <w:r w:rsidRPr="008F328C">
        <w:rPr>
          <w:rFonts w:eastAsia="Times New Roman"/>
          <w:b/>
          <w:bCs/>
          <w:lang w:val="pl-PL"/>
        </w:rPr>
        <w:t>Odpowiedzi określające skuteczność w badaniu zesztywniającego zapalenia stawów kręgosłupa kontrolowanym placebo – badanie I w ZZSK Zmniejszenie nasilenia objawów przedmiotowych i podmiotowych</w:t>
      </w:r>
    </w:p>
    <w:p w14:paraId="435EA4B3" w14:textId="77777777" w:rsidR="002E5800" w:rsidRPr="008F328C" w:rsidRDefault="002E5800">
      <w:pPr>
        <w:pStyle w:val="a3"/>
        <w:jc w:val="center"/>
        <w:rPr>
          <w:b/>
          <w:lang w:val="pl-PL"/>
        </w:rPr>
      </w:pPr>
    </w:p>
    <w:tbl>
      <w:tblPr>
        <w:tblStyle w:val="ac"/>
        <w:tblW w:w="0" w:type="auto"/>
        <w:jc w:val="center"/>
        <w:tblLook w:val="04A0" w:firstRow="1" w:lastRow="0" w:firstColumn="1" w:lastColumn="0" w:noHBand="0" w:noVBand="1"/>
      </w:tblPr>
      <w:tblGrid>
        <w:gridCol w:w="2436"/>
        <w:gridCol w:w="2437"/>
        <w:gridCol w:w="2438"/>
      </w:tblGrid>
      <w:tr w:rsidR="002E5800" w:rsidRPr="008F328C" w14:paraId="2CD9AC43" w14:textId="77777777" w:rsidTr="0008144B">
        <w:trPr>
          <w:jc w:val="center"/>
        </w:trPr>
        <w:tc>
          <w:tcPr>
            <w:tcW w:w="2436" w:type="dxa"/>
          </w:tcPr>
          <w:p w14:paraId="20E151BA"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Odpowiedź</w:t>
            </w:r>
          </w:p>
        </w:tc>
        <w:tc>
          <w:tcPr>
            <w:tcW w:w="2436" w:type="dxa"/>
          </w:tcPr>
          <w:p w14:paraId="7F091938"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Placebo</w:t>
            </w:r>
          </w:p>
          <w:p w14:paraId="1B197295"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N=107</w:t>
            </w:r>
          </w:p>
        </w:tc>
        <w:tc>
          <w:tcPr>
            <w:tcW w:w="2438" w:type="dxa"/>
          </w:tcPr>
          <w:p w14:paraId="3A4D6DB6"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Adalimumab</w:t>
            </w:r>
          </w:p>
          <w:p w14:paraId="47769FB5"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N=208</w:t>
            </w:r>
          </w:p>
        </w:tc>
      </w:tr>
      <w:tr w:rsidR="002E5800" w:rsidRPr="008F328C" w14:paraId="5301085A" w14:textId="77777777" w:rsidTr="0008144B">
        <w:trPr>
          <w:jc w:val="center"/>
        </w:trPr>
        <w:tc>
          <w:tcPr>
            <w:tcW w:w="2436" w:type="dxa"/>
          </w:tcPr>
          <w:p w14:paraId="35B24116" w14:textId="77777777" w:rsidR="002E5800" w:rsidRPr="008F328C" w:rsidRDefault="000E0B7C">
            <w:pPr>
              <w:spacing w:before="11" w:line="240" w:lineRule="exact"/>
              <w:rPr>
                <w:rFonts w:ascii="Times New Roman" w:hAnsi="Times New Roman" w:cs="Times New Roman"/>
                <w:lang w:val="pl-PL" w:eastAsia="ko-KR"/>
              </w:rPr>
            </w:pPr>
            <w:r w:rsidRPr="008F328C">
              <w:rPr>
                <w:rFonts w:ascii="Times New Roman" w:eastAsia="Times New Roman" w:hAnsi="Times New Roman" w:cs="Times New Roman"/>
                <w:spacing w:val="-1"/>
                <w:lang w:val="pl-PL"/>
              </w:rPr>
              <w:t>ASAS</w:t>
            </w:r>
            <w:r w:rsidRPr="008F328C">
              <w:rPr>
                <w:rFonts w:ascii="Times New Roman" w:eastAsia="Times New Roman" w:hAnsi="Times New Roman" w:cs="Times New Roman"/>
                <w:spacing w:val="-1"/>
                <w:vertAlign w:val="superscript"/>
                <w:lang w:val="pl-PL"/>
              </w:rPr>
              <w:t>a</w:t>
            </w:r>
            <w:r w:rsidRPr="008F328C">
              <w:rPr>
                <w:rFonts w:ascii="Times New Roman" w:eastAsia="Times New Roman" w:hAnsi="Times New Roman" w:cs="Times New Roman"/>
                <w:spacing w:val="-1"/>
                <w:lang w:val="pl-PL"/>
              </w:rPr>
              <w:t xml:space="preserve"> 20</w:t>
            </w:r>
          </w:p>
        </w:tc>
        <w:tc>
          <w:tcPr>
            <w:tcW w:w="2437" w:type="dxa"/>
          </w:tcPr>
          <w:p w14:paraId="1277AC0E" w14:textId="77777777" w:rsidR="002E5800" w:rsidRPr="008F328C" w:rsidRDefault="002E5800">
            <w:pPr>
              <w:spacing w:before="11" w:line="240" w:lineRule="exact"/>
              <w:rPr>
                <w:rFonts w:ascii="Times New Roman" w:hAnsi="Times New Roman" w:cs="Times New Roman"/>
                <w:lang w:val="pl-PL" w:eastAsia="ko-KR"/>
              </w:rPr>
            </w:pPr>
          </w:p>
        </w:tc>
        <w:tc>
          <w:tcPr>
            <w:tcW w:w="2437" w:type="dxa"/>
          </w:tcPr>
          <w:p w14:paraId="14105E5E" w14:textId="77777777" w:rsidR="002E5800" w:rsidRPr="008F328C" w:rsidRDefault="002E5800">
            <w:pPr>
              <w:spacing w:before="11" w:line="240" w:lineRule="exact"/>
              <w:rPr>
                <w:rFonts w:ascii="Times New Roman" w:hAnsi="Times New Roman" w:cs="Times New Roman"/>
                <w:lang w:val="pl-PL" w:eastAsia="ko-KR"/>
              </w:rPr>
            </w:pPr>
          </w:p>
        </w:tc>
      </w:tr>
      <w:tr w:rsidR="002E5800" w:rsidRPr="008F328C" w14:paraId="13D6F018" w14:textId="77777777" w:rsidTr="0008144B">
        <w:trPr>
          <w:jc w:val="center"/>
        </w:trPr>
        <w:tc>
          <w:tcPr>
            <w:tcW w:w="2436" w:type="dxa"/>
          </w:tcPr>
          <w:p w14:paraId="69AA341E"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2. tydzień</w:t>
            </w:r>
          </w:p>
        </w:tc>
        <w:tc>
          <w:tcPr>
            <w:tcW w:w="2436" w:type="dxa"/>
          </w:tcPr>
          <w:p w14:paraId="419E516B"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16%</w:t>
            </w:r>
          </w:p>
        </w:tc>
        <w:tc>
          <w:tcPr>
            <w:tcW w:w="2438" w:type="dxa"/>
          </w:tcPr>
          <w:p w14:paraId="71A64CA3"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42%***</w:t>
            </w:r>
          </w:p>
        </w:tc>
      </w:tr>
      <w:tr w:rsidR="002E5800" w:rsidRPr="008F328C" w14:paraId="057D018A" w14:textId="77777777" w:rsidTr="0008144B">
        <w:trPr>
          <w:jc w:val="center"/>
        </w:trPr>
        <w:tc>
          <w:tcPr>
            <w:tcW w:w="2436" w:type="dxa"/>
          </w:tcPr>
          <w:p w14:paraId="37C58B55"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12. tydzień</w:t>
            </w:r>
          </w:p>
        </w:tc>
        <w:tc>
          <w:tcPr>
            <w:tcW w:w="2436" w:type="dxa"/>
          </w:tcPr>
          <w:p w14:paraId="307F01B7"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21%</w:t>
            </w:r>
          </w:p>
        </w:tc>
        <w:tc>
          <w:tcPr>
            <w:tcW w:w="2438" w:type="dxa"/>
          </w:tcPr>
          <w:p w14:paraId="1371880C"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58%***</w:t>
            </w:r>
          </w:p>
        </w:tc>
      </w:tr>
      <w:tr w:rsidR="002E5800" w:rsidRPr="008F328C" w14:paraId="33D53DFA" w14:textId="77777777" w:rsidTr="0008144B">
        <w:trPr>
          <w:jc w:val="center"/>
        </w:trPr>
        <w:tc>
          <w:tcPr>
            <w:tcW w:w="2436" w:type="dxa"/>
          </w:tcPr>
          <w:p w14:paraId="27B0C20F"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24. tydzień</w:t>
            </w:r>
          </w:p>
        </w:tc>
        <w:tc>
          <w:tcPr>
            <w:tcW w:w="2436" w:type="dxa"/>
          </w:tcPr>
          <w:p w14:paraId="43117265"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19%</w:t>
            </w:r>
          </w:p>
        </w:tc>
        <w:tc>
          <w:tcPr>
            <w:tcW w:w="2438" w:type="dxa"/>
          </w:tcPr>
          <w:p w14:paraId="0F5E6855"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51%***</w:t>
            </w:r>
          </w:p>
        </w:tc>
      </w:tr>
      <w:tr w:rsidR="002E5800" w:rsidRPr="008F328C" w14:paraId="6D1306AA" w14:textId="77777777" w:rsidTr="0008144B">
        <w:trPr>
          <w:jc w:val="center"/>
        </w:trPr>
        <w:tc>
          <w:tcPr>
            <w:tcW w:w="2436" w:type="dxa"/>
          </w:tcPr>
          <w:p w14:paraId="16B76309" w14:textId="77777777" w:rsidR="002E5800" w:rsidRPr="008F328C" w:rsidRDefault="000E0B7C">
            <w:pPr>
              <w:spacing w:before="11" w:line="240" w:lineRule="exact"/>
              <w:rPr>
                <w:rFonts w:ascii="Times New Roman" w:hAnsi="Times New Roman" w:cs="Times New Roman"/>
                <w:lang w:val="pl-PL"/>
              </w:rPr>
            </w:pPr>
            <w:r w:rsidRPr="008F328C">
              <w:rPr>
                <w:rFonts w:ascii="Times New Roman" w:eastAsia="Times New Roman" w:hAnsi="Times New Roman" w:cs="Times New Roman"/>
                <w:spacing w:val="-1"/>
                <w:lang w:val="pl-PL"/>
              </w:rPr>
              <w:t>ASAS 50</w:t>
            </w:r>
          </w:p>
        </w:tc>
        <w:tc>
          <w:tcPr>
            <w:tcW w:w="2436" w:type="dxa"/>
          </w:tcPr>
          <w:p w14:paraId="145F0120" w14:textId="77777777" w:rsidR="002E5800" w:rsidRPr="008F328C" w:rsidRDefault="002E5800">
            <w:pPr>
              <w:spacing w:before="11" w:line="240" w:lineRule="exact"/>
              <w:rPr>
                <w:rFonts w:ascii="Times New Roman" w:hAnsi="Times New Roman" w:cs="Times New Roman"/>
                <w:lang w:val="pl-PL"/>
              </w:rPr>
            </w:pPr>
          </w:p>
        </w:tc>
        <w:tc>
          <w:tcPr>
            <w:tcW w:w="2438" w:type="dxa"/>
          </w:tcPr>
          <w:p w14:paraId="1BBAEC96" w14:textId="77777777" w:rsidR="002E5800" w:rsidRPr="008F328C" w:rsidRDefault="002E5800">
            <w:pPr>
              <w:spacing w:before="11" w:line="240" w:lineRule="exact"/>
              <w:rPr>
                <w:rFonts w:ascii="Times New Roman" w:hAnsi="Times New Roman" w:cs="Times New Roman"/>
                <w:lang w:val="pl-PL"/>
              </w:rPr>
            </w:pPr>
          </w:p>
        </w:tc>
      </w:tr>
      <w:tr w:rsidR="002E5800" w:rsidRPr="008F328C" w14:paraId="1CD0BA63" w14:textId="77777777" w:rsidTr="0008144B">
        <w:trPr>
          <w:jc w:val="center"/>
        </w:trPr>
        <w:tc>
          <w:tcPr>
            <w:tcW w:w="2436" w:type="dxa"/>
          </w:tcPr>
          <w:p w14:paraId="0DF38F3D"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2. tydzień</w:t>
            </w:r>
          </w:p>
        </w:tc>
        <w:tc>
          <w:tcPr>
            <w:tcW w:w="2436" w:type="dxa"/>
          </w:tcPr>
          <w:p w14:paraId="53CAC4CA"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3%</w:t>
            </w:r>
          </w:p>
        </w:tc>
        <w:tc>
          <w:tcPr>
            <w:tcW w:w="2438" w:type="dxa"/>
          </w:tcPr>
          <w:p w14:paraId="24EC6AFA" w14:textId="77777777" w:rsidR="002E5800" w:rsidRPr="008F328C" w:rsidRDefault="000E0B7C">
            <w:pPr>
              <w:spacing w:before="11"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16%***</w:t>
            </w:r>
          </w:p>
        </w:tc>
      </w:tr>
      <w:tr w:rsidR="002E5800" w:rsidRPr="008F328C" w14:paraId="49A1B61E" w14:textId="77777777" w:rsidTr="0008144B">
        <w:trPr>
          <w:jc w:val="center"/>
        </w:trPr>
        <w:tc>
          <w:tcPr>
            <w:tcW w:w="2436" w:type="dxa"/>
          </w:tcPr>
          <w:p w14:paraId="0E8B18F9"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12. tydzień</w:t>
            </w:r>
          </w:p>
        </w:tc>
        <w:tc>
          <w:tcPr>
            <w:tcW w:w="2436" w:type="dxa"/>
          </w:tcPr>
          <w:p w14:paraId="0949B3FE"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w:t>
            </w:r>
          </w:p>
        </w:tc>
        <w:tc>
          <w:tcPr>
            <w:tcW w:w="2438" w:type="dxa"/>
          </w:tcPr>
          <w:p w14:paraId="6B8ADF34"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38%***</w:t>
            </w:r>
          </w:p>
        </w:tc>
      </w:tr>
      <w:tr w:rsidR="002E5800" w:rsidRPr="008F328C" w14:paraId="2098527E" w14:textId="77777777" w:rsidTr="0008144B">
        <w:trPr>
          <w:jc w:val="center"/>
        </w:trPr>
        <w:tc>
          <w:tcPr>
            <w:tcW w:w="2436" w:type="dxa"/>
          </w:tcPr>
          <w:p w14:paraId="5BD469D9"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 tydzień</w:t>
            </w:r>
          </w:p>
        </w:tc>
        <w:tc>
          <w:tcPr>
            <w:tcW w:w="2436" w:type="dxa"/>
          </w:tcPr>
          <w:p w14:paraId="7EED9893"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11%</w:t>
            </w:r>
          </w:p>
        </w:tc>
        <w:tc>
          <w:tcPr>
            <w:tcW w:w="2438" w:type="dxa"/>
          </w:tcPr>
          <w:p w14:paraId="7C032B12"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35%***</w:t>
            </w:r>
          </w:p>
        </w:tc>
      </w:tr>
      <w:tr w:rsidR="002E5800" w:rsidRPr="008F328C" w14:paraId="31E736B5" w14:textId="77777777" w:rsidTr="0008144B">
        <w:trPr>
          <w:jc w:val="center"/>
        </w:trPr>
        <w:tc>
          <w:tcPr>
            <w:tcW w:w="2436" w:type="dxa"/>
          </w:tcPr>
          <w:p w14:paraId="0EA1767B" w14:textId="77777777" w:rsidR="002E5800" w:rsidRPr="008F328C" w:rsidRDefault="000E0B7C">
            <w:pPr>
              <w:spacing w:before="11" w:line="240"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ASAS 70</w:t>
            </w:r>
          </w:p>
        </w:tc>
        <w:tc>
          <w:tcPr>
            <w:tcW w:w="2436" w:type="dxa"/>
          </w:tcPr>
          <w:p w14:paraId="634B03D4" w14:textId="77777777" w:rsidR="002E5800" w:rsidRPr="008F328C" w:rsidRDefault="002E5800">
            <w:pPr>
              <w:spacing w:before="11" w:line="240" w:lineRule="exact"/>
              <w:rPr>
                <w:rFonts w:ascii="Times New Roman" w:eastAsia="Times New Roman" w:hAnsi="Times New Roman" w:cs="Times New Roman"/>
                <w:lang w:val="pl-PL"/>
              </w:rPr>
            </w:pPr>
          </w:p>
        </w:tc>
        <w:tc>
          <w:tcPr>
            <w:tcW w:w="2438" w:type="dxa"/>
          </w:tcPr>
          <w:p w14:paraId="4FDED03B" w14:textId="77777777" w:rsidR="002E5800" w:rsidRPr="008F328C" w:rsidRDefault="002E5800">
            <w:pPr>
              <w:spacing w:before="11" w:line="240" w:lineRule="exact"/>
              <w:rPr>
                <w:rFonts w:ascii="Times New Roman" w:eastAsia="Times New Roman" w:hAnsi="Times New Roman" w:cs="Times New Roman"/>
                <w:lang w:val="pl-PL"/>
              </w:rPr>
            </w:pPr>
          </w:p>
        </w:tc>
      </w:tr>
      <w:tr w:rsidR="002E5800" w:rsidRPr="008F328C" w14:paraId="1E8D23D2" w14:textId="77777777" w:rsidTr="0008144B">
        <w:trPr>
          <w:jc w:val="center"/>
        </w:trPr>
        <w:tc>
          <w:tcPr>
            <w:tcW w:w="2436" w:type="dxa"/>
          </w:tcPr>
          <w:p w14:paraId="0E2A9E57" w14:textId="77777777" w:rsidR="002E5800" w:rsidRPr="008F328C" w:rsidRDefault="000E0B7C">
            <w:pPr>
              <w:spacing w:before="11" w:line="240"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lang w:val="pl-PL"/>
              </w:rPr>
              <w:t>2. tydzień</w:t>
            </w:r>
          </w:p>
        </w:tc>
        <w:tc>
          <w:tcPr>
            <w:tcW w:w="2436" w:type="dxa"/>
          </w:tcPr>
          <w:p w14:paraId="14092841"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w:t>
            </w:r>
          </w:p>
        </w:tc>
        <w:tc>
          <w:tcPr>
            <w:tcW w:w="2438" w:type="dxa"/>
          </w:tcPr>
          <w:p w14:paraId="3E5A0561"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w:t>
            </w:r>
          </w:p>
        </w:tc>
      </w:tr>
      <w:tr w:rsidR="002E5800" w:rsidRPr="008F328C" w14:paraId="2FB94FF5" w14:textId="77777777" w:rsidTr="0008144B">
        <w:trPr>
          <w:jc w:val="center"/>
        </w:trPr>
        <w:tc>
          <w:tcPr>
            <w:tcW w:w="2436" w:type="dxa"/>
          </w:tcPr>
          <w:p w14:paraId="27A3F101"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tydzień</w:t>
            </w:r>
          </w:p>
        </w:tc>
        <w:tc>
          <w:tcPr>
            <w:tcW w:w="2436" w:type="dxa"/>
          </w:tcPr>
          <w:p w14:paraId="5761724D"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w:t>
            </w:r>
          </w:p>
        </w:tc>
        <w:tc>
          <w:tcPr>
            <w:tcW w:w="2438" w:type="dxa"/>
          </w:tcPr>
          <w:p w14:paraId="506AE3FD"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w:t>
            </w:r>
          </w:p>
        </w:tc>
      </w:tr>
      <w:tr w:rsidR="002E5800" w:rsidRPr="008F328C" w14:paraId="28FE9AE0" w14:textId="77777777" w:rsidTr="0008144B">
        <w:trPr>
          <w:jc w:val="center"/>
        </w:trPr>
        <w:tc>
          <w:tcPr>
            <w:tcW w:w="2436" w:type="dxa"/>
          </w:tcPr>
          <w:p w14:paraId="733D24D2"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 tydzień</w:t>
            </w:r>
          </w:p>
        </w:tc>
        <w:tc>
          <w:tcPr>
            <w:tcW w:w="2436" w:type="dxa"/>
          </w:tcPr>
          <w:p w14:paraId="0BBA7CAF"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8%</w:t>
            </w:r>
          </w:p>
        </w:tc>
        <w:tc>
          <w:tcPr>
            <w:tcW w:w="2438" w:type="dxa"/>
          </w:tcPr>
          <w:p w14:paraId="0C4E0ABD"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r>
      <w:tr w:rsidR="002E5800" w:rsidRPr="008F328C" w14:paraId="568CBFF5" w14:textId="77777777" w:rsidTr="0008144B">
        <w:trPr>
          <w:jc w:val="center"/>
        </w:trPr>
        <w:tc>
          <w:tcPr>
            <w:tcW w:w="2436" w:type="dxa"/>
          </w:tcPr>
          <w:p w14:paraId="4A884F47" w14:textId="77777777" w:rsidR="002E5800" w:rsidRPr="008F328C" w:rsidRDefault="002E5800">
            <w:pPr>
              <w:spacing w:before="11" w:line="240" w:lineRule="exact"/>
              <w:rPr>
                <w:rFonts w:ascii="Times New Roman" w:eastAsia="Times New Roman" w:hAnsi="Times New Roman" w:cs="Times New Roman"/>
                <w:lang w:val="pl-PL"/>
              </w:rPr>
            </w:pPr>
          </w:p>
        </w:tc>
        <w:tc>
          <w:tcPr>
            <w:tcW w:w="2436" w:type="dxa"/>
          </w:tcPr>
          <w:p w14:paraId="6A5630B4" w14:textId="77777777" w:rsidR="002E5800" w:rsidRPr="008F328C" w:rsidRDefault="002E5800">
            <w:pPr>
              <w:spacing w:before="11" w:line="240" w:lineRule="exact"/>
              <w:rPr>
                <w:rFonts w:ascii="Times New Roman" w:eastAsia="Times New Roman" w:hAnsi="Times New Roman" w:cs="Times New Roman"/>
                <w:lang w:val="pl-PL"/>
              </w:rPr>
            </w:pPr>
          </w:p>
        </w:tc>
        <w:tc>
          <w:tcPr>
            <w:tcW w:w="2438" w:type="dxa"/>
          </w:tcPr>
          <w:p w14:paraId="07976866" w14:textId="77777777" w:rsidR="002E5800" w:rsidRPr="008F328C" w:rsidRDefault="002E5800">
            <w:pPr>
              <w:spacing w:before="11" w:line="240" w:lineRule="exact"/>
              <w:rPr>
                <w:rFonts w:ascii="Times New Roman" w:eastAsia="Times New Roman" w:hAnsi="Times New Roman" w:cs="Times New Roman"/>
                <w:lang w:val="pl-PL"/>
              </w:rPr>
            </w:pPr>
          </w:p>
        </w:tc>
      </w:tr>
      <w:tr w:rsidR="002E5800" w:rsidRPr="008F328C" w14:paraId="6D002838" w14:textId="77777777" w:rsidTr="0008144B">
        <w:trPr>
          <w:jc w:val="center"/>
        </w:trPr>
        <w:tc>
          <w:tcPr>
            <w:tcW w:w="2436" w:type="dxa"/>
          </w:tcPr>
          <w:p w14:paraId="70AD0EF7" w14:textId="77777777" w:rsidR="002E5800" w:rsidRPr="008F328C" w:rsidRDefault="000E0B7C">
            <w:pPr>
              <w:spacing w:before="11" w:line="240"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BASDAI</w:t>
            </w:r>
            <w:r w:rsidRPr="008F328C">
              <w:rPr>
                <w:rFonts w:ascii="Times New Roman" w:eastAsia="Times New Roman" w:hAnsi="Times New Roman" w:cs="Times New Roman"/>
                <w:spacing w:val="-1"/>
                <w:vertAlign w:val="superscript"/>
                <w:lang w:val="pl-PL"/>
              </w:rPr>
              <w:t>b</w:t>
            </w:r>
            <w:r w:rsidRPr="008F328C">
              <w:rPr>
                <w:rFonts w:ascii="Times New Roman" w:eastAsia="Times New Roman" w:hAnsi="Times New Roman" w:cs="Times New Roman"/>
                <w:spacing w:val="-1"/>
                <w:lang w:val="pl-PL"/>
              </w:rPr>
              <w:t xml:space="preserve"> 50</w:t>
            </w:r>
          </w:p>
        </w:tc>
        <w:tc>
          <w:tcPr>
            <w:tcW w:w="2436" w:type="dxa"/>
          </w:tcPr>
          <w:p w14:paraId="3A240853" w14:textId="77777777" w:rsidR="002E5800" w:rsidRPr="008F328C" w:rsidRDefault="002E5800">
            <w:pPr>
              <w:spacing w:before="11" w:line="240" w:lineRule="exact"/>
              <w:rPr>
                <w:rFonts w:ascii="Times New Roman" w:eastAsia="Times New Roman" w:hAnsi="Times New Roman" w:cs="Times New Roman"/>
                <w:lang w:val="pl-PL"/>
              </w:rPr>
            </w:pPr>
          </w:p>
        </w:tc>
        <w:tc>
          <w:tcPr>
            <w:tcW w:w="2438" w:type="dxa"/>
          </w:tcPr>
          <w:p w14:paraId="136035E4" w14:textId="77777777" w:rsidR="002E5800" w:rsidRPr="008F328C" w:rsidRDefault="002E5800">
            <w:pPr>
              <w:spacing w:before="11" w:line="240" w:lineRule="exact"/>
              <w:rPr>
                <w:rFonts w:ascii="Times New Roman" w:eastAsia="Times New Roman" w:hAnsi="Times New Roman" w:cs="Times New Roman"/>
                <w:lang w:val="pl-PL"/>
              </w:rPr>
            </w:pPr>
          </w:p>
        </w:tc>
      </w:tr>
      <w:tr w:rsidR="002E5800" w:rsidRPr="008F328C" w14:paraId="0DD0C62F" w14:textId="77777777" w:rsidTr="0008144B">
        <w:trPr>
          <w:jc w:val="center"/>
        </w:trPr>
        <w:tc>
          <w:tcPr>
            <w:tcW w:w="2436" w:type="dxa"/>
          </w:tcPr>
          <w:p w14:paraId="3A13D59E" w14:textId="77777777" w:rsidR="002E5800" w:rsidRPr="008F328C" w:rsidRDefault="000E0B7C">
            <w:pPr>
              <w:spacing w:before="11" w:line="240"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lang w:val="pl-PL"/>
              </w:rPr>
              <w:t>2. tydzień</w:t>
            </w:r>
          </w:p>
        </w:tc>
        <w:tc>
          <w:tcPr>
            <w:tcW w:w="2436" w:type="dxa"/>
          </w:tcPr>
          <w:p w14:paraId="25F6F02F"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w:t>
            </w:r>
          </w:p>
        </w:tc>
        <w:tc>
          <w:tcPr>
            <w:tcW w:w="2438" w:type="dxa"/>
          </w:tcPr>
          <w:p w14:paraId="0D68F020"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w:t>
            </w:r>
          </w:p>
        </w:tc>
      </w:tr>
      <w:tr w:rsidR="002E5800" w:rsidRPr="008F328C" w14:paraId="37E9D693" w14:textId="77777777" w:rsidTr="0008144B">
        <w:trPr>
          <w:jc w:val="center"/>
        </w:trPr>
        <w:tc>
          <w:tcPr>
            <w:tcW w:w="2436" w:type="dxa"/>
          </w:tcPr>
          <w:p w14:paraId="1D4FA24A"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tydzień</w:t>
            </w:r>
          </w:p>
        </w:tc>
        <w:tc>
          <w:tcPr>
            <w:tcW w:w="2436" w:type="dxa"/>
          </w:tcPr>
          <w:p w14:paraId="1311A09D"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16%</w:t>
            </w:r>
          </w:p>
        </w:tc>
        <w:tc>
          <w:tcPr>
            <w:tcW w:w="2438" w:type="dxa"/>
          </w:tcPr>
          <w:p w14:paraId="264B7590"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45%***</w:t>
            </w:r>
          </w:p>
        </w:tc>
      </w:tr>
      <w:tr w:rsidR="002E5800" w:rsidRPr="008F328C" w14:paraId="07D54D83" w14:textId="77777777" w:rsidTr="0008144B">
        <w:trPr>
          <w:jc w:val="center"/>
        </w:trPr>
        <w:tc>
          <w:tcPr>
            <w:tcW w:w="2436" w:type="dxa"/>
          </w:tcPr>
          <w:p w14:paraId="20D9A743"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 tydzień</w:t>
            </w:r>
          </w:p>
        </w:tc>
        <w:tc>
          <w:tcPr>
            <w:tcW w:w="2436" w:type="dxa"/>
          </w:tcPr>
          <w:p w14:paraId="58F2715B"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15%</w:t>
            </w:r>
          </w:p>
        </w:tc>
        <w:tc>
          <w:tcPr>
            <w:tcW w:w="2438" w:type="dxa"/>
          </w:tcPr>
          <w:p w14:paraId="67F39CDA" w14:textId="77777777" w:rsidR="002E5800" w:rsidRPr="008F328C" w:rsidRDefault="000E0B7C">
            <w:pPr>
              <w:spacing w:before="11"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42%***</w:t>
            </w:r>
          </w:p>
        </w:tc>
      </w:tr>
    </w:tbl>
    <w:p w14:paraId="1D0B46CD" w14:textId="77777777" w:rsidR="002E5800" w:rsidRPr="008F328C" w:rsidRDefault="000E0B7C">
      <w:pPr>
        <w:pStyle w:val="a3"/>
        <w:rPr>
          <w:lang w:val="pl-PL"/>
        </w:rPr>
      </w:pPr>
      <w:r w:rsidRPr="008F328C">
        <w:rPr>
          <w:rFonts w:eastAsia="Times New Roman"/>
          <w:lang w:val="pl-PL"/>
        </w:rPr>
        <w:t>***, ** Statystycznie istotne, gdy p &lt; 0,001, &lt; 0,01 dla wszystkich porównań między adalimumabem a placebo w 2., 12. i 24. tygodniu</w:t>
      </w:r>
    </w:p>
    <w:p w14:paraId="54A7E064" w14:textId="77777777" w:rsidR="002E5800" w:rsidRPr="008F328C" w:rsidRDefault="000E0B7C">
      <w:pPr>
        <w:pStyle w:val="a3"/>
        <w:rPr>
          <w:lang w:val="pl-PL"/>
        </w:rPr>
      </w:pPr>
      <w:r w:rsidRPr="008F328C">
        <w:rPr>
          <w:rFonts w:eastAsia="Times New Roman"/>
          <w:position w:val="8"/>
          <w:vertAlign w:val="superscript"/>
          <w:lang w:val="pl-PL"/>
        </w:rPr>
        <w:t>a</w:t>
      </w:r>
      <w:r w:rsidRPr="008F328C">
        <w:rPr>
          <w:rFonts w:eastAsia="Times New Roman"/>
          <w:position w:val="8"/>
          <w:sz w:val="14"/>
          <w:szCs w:val="14"/>
          <w:lang w:val="pl-PL"/>
        </w:rPr>
        <w:t xml:space="preserve"> </w:t>
      </w:r>
      <w:r w:rsidRPr="008F328C">
        <w:rPr>
          <w:rFonts w:eastAsia="Times New Roman"/>
          <w:position w:val="8"/>
          <w:lang w:val="pl-PL"/>
        </w:rPr>
        <w:t>Oceny w zesztywniającym zapaleniu stawów kręgosłupa</w:t>
      </w:r>
    </w:p>
    <w:p w14:paraId="475845D4" w14:textId="77777777" w:rsidR="002E5800" w:rsidRPr="008F328C" w:rsidRDefault="000E0B7C">
      <w:pPr>
        <w:pStyle w:val="a3"/>
        <w:rPr>
          <w:lang w:val="pl-PL"/>
        </w:rPr>
      </w:pPr>
      <w:r w:rsidRPr="008F328C">
        <w:rPr>
          <w:rFonts w:eastAsia="Times New Roman"/>
          <w:position w:val="8"/>
          <w:vertAlign w:val="superscript"/>
          <w:lang w:val="pl-PL"/>
        </w:rPr>
        <w:t>b</w:t>
      </w:r>
      <w:r w:rsidRPr="008F328C">
        <w:rPr>
          <w:rFonts w:eastAsia="Times New Roman"/>
          <w:position w:val="8"/>
          <w:sz w:val="14"/>
          <w:szCs w:val="14"/>
          <w:lang w:val="pl-PL"/>
        </w:rPr>
        <w:t xml:space="preserve"> </w:t>
      </w:r>
      <w:r w:rsidRPr="008F328C">
        <w:rPr>
          <w:rFonts w:eastAsia="Times New Roman"/>
          <w:position w:val="8"/>
          <w:lang w:val="pl-PL"/>
        </w:rPr>
        <w:t>Wskaźnik aktywności zesztywniającego zapalenia stawów kręgosłupa</w:t>
      </w:r>
    </w:p>
    <w:p w14:paraId="207BA644" w14:textId="77777777" w:rsidR="002E5800" w:rsidRPr="008F328C" w:rsidRDefault="002E5800">
      <w:pPr>
        <w:spacing w:before="17" w:line="240" w:lineRule="exact"/>
        <w:rPr>
          <w:rFonts w:ascii="Times New Roman" w:hAnsi="Times New Roman" w:cs="Times New Roman"/>
          <w:sz w:val="24"/>
          <w:szCs w:val="24"/>
          <w:lang w:val="pl-PL"/>
        </w:rPr>
      </w:pPr>
    </w:p>
    <w:p w14:paraId="42A646C9" w14:textId="77777777" w:rsidR="002E5800" w:rsidRPr="008F328C" w:rsidRDefault="000E0B7C">
      <w:pPr>
        <w:pStyle w:val="a3"/>
        <w:rPr>
          <w:lang w:val="pl-PL"/>
        </w:rPr>
      </w:pPr>
      <w:r w:rsidRPr="008F328C">
        <w:rPr>
          <w:rFonts w:eastAsia="Times New Roman"/>
          <w:lang w:val="pl-PL"/>
        </w:rPr>
        <w:t>Pacjenci leczeni adalimumabem wykazywali istotnie większą poprawę w 12. tygodniu, która utrzymywała się do 24. tygodnia włącznie, mierzoną zarówno SF36, jak i kwestionariuszem jakości życia w zesztywniającym zapaleniu stawów kręgosłupa (ang. Ankylosing Spondylitis Quality of Life Questionnaire, ASQoL).</w:t>
      </w:r>
    </w:p>
    <w:p w14:paraId="7FF65CD1" w14:textId="77777777" w:rsidR="002E5800" w:rsidRPr="008F328C" w:rsidRDefault="002E5800">
      <w:pPr>
        <w:pStyle w:val="a3"/>
        <w:rPr>
          <w:sz w:val="24"/>
          <w:szCs w:val="24"/>
          <w:lang w:val="pl-PL"/>
        </w:rPr>
      </w:pPr>
    </w:p>
    <w:p w14:paraId="2953A8ED" w14:textId="77777777" w:rsidR="002E5800" w:rsidRPr="008F328C" w:rsidRDefault="000E0B7C">
      <w:pPr>
        <w:pStyle w:val="a3"/>
        <w:rPr>
          <w:lang w:val="pl-PL"/>
        </w:rPr>
      </w:pPr>
      <w:r w:rsidRPr="008F328C">
        <w:rPr>
          <w:rFonts w:eastAsia="Times New Roman"/>
          <w:lang w:val="pl-PL"/>
        </w:rPr>
        <w:t>Podobne tendencje (nie wszystkie istotne statystycznie) obserwowano w mniejszym randomizowanym, kontrolowanym placebo badaniu klinicznym II w ZZSK z podwójnie ślepą próbą u 82 dorosłych pacjentów z czynnym zesztywniającym zapaleniem stawów kręgosłupa.</w:t>
      </w:r>
    </w:p>
    <w:p w14:paraId="09844E43" w14:textId="77777777" w:rsidR="002E5800" w:rsidRPr="008F328C" w:rsidRDefault="002E5800">
      <w:pPr>
        <w:pStyle w:val="a3"/>
        <w:rPr>
          <w:rFonts w:eastAsia="Times New Roman"/>
          <w:i/>
          <w:spacing w:val="-1"/>
          <w:u w:val="single" w:color="000000"/>
          <w:lang w:val="pl-PL"/>
        </w:rPr>
      </w:pPr>
    </w:p>
    <w:p w14:paraId="33BB22BA"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Osiowa spondyloartropatia bez zmian radiograficznych charakterystycznych dla ZZSK</w:t>
      </w:r>
    </w:p>
    <w:p w14:paraId="2D3010DD" w14:textId="77777777" w:rsidR="002E5800" w:rsidRPr="008F328C" w:rsidRDefault="002E5800">
      <w:pPr>
        <w:pStyle w:val="a3"/>
        <w:rPr>
          <w:sz w:val="18"/>
          <w:szCs w:val="18"/>
          <w:lang w:val="pl-PL"/>
        </w:rPr>
      </w:pPr>
    </w:p>
    <w:p w14:paraId="2803B937" w14:textId="77777777" w:rsidR="002E5800" w:rsidRPr="008F328C" w:rsidRDefault="000E0B7C">
      <w:pPr>
        <w:pStyle w:val="a3"/>
        <w:rPr>
          <w:lang w:val="pl-PL"/>
        </w:rPr>
      </w:pPr>
      <w:r w:rsidRPr="008F328C">
        <w:rPr>
          <w:rFonts w:eastAsia="Times New Roman"/>
          <w:lang w:val="pl-PL"/>
        </w:rPr>
        <w:t>Bezpieczeństwo stosowania i skuteczność adalimumabu oceniano w dwóch randomizowanych, kontrolowanych placebo badaniach z podwójnie ślepą próbą u pacjentów z osiową spondyloartropatią bez zmian radiograficznych (nr-axSpA). Badanie nr-axSpA I oceniało pacjentów z czynną postacią nr-axSpA. Badanie nr-axSpA II było badaniem wycofania leczenia u pacjentów z czynną postacią nr-axSpA, którzy osiągnęli remisję podczas leczenia adalimumabem w fazie otwartej badania.</w:t>
      </w:r>
    </w:p>
    <w:p w14:paraId="31E53F09" w14:textId="77777777" w:rsidR="002E5800" w:rsidRPr="008F328C" w:rsidRDefault="002E5800">
      <w:pPr>
        <w:pStyle w:val="a3"/>
        <w:rPr>
          <w:sz w:val="24"/>
          <w:szCs w:val="24"/>
          <w:lang w:val="pl-PL"/>
        </w:rPr>
      </w:pPr>
    </w:p>
    <w:p w14:paraId="42AFFDC2" w14:textId="77777777" w:rsidR="002E5800" w:rsidRPr="008F328C" w:rsidRDefault="000E0B7C">
      <w:pPr>
        <w:pStyle w:val="a3"/>
        <w:rPr>
          <w:lang w:val="pl-PL"/>
        </w:rPr>
      </w:pPr>
      <w:r w:rsidRPr="008F328C">
        <w:rPr>
          <w:rFonts w:eastAsia="Times New Roman"/>
          <w:spacing w:val="-1"/>
          <w:lang w:val="pl-PL"/>
        </w:rPr>
        <w:t>Badanie nr-axSpA I</w:t>
      </w:r>
    </w:p>
    <w:p w14:paraId="74A6CBDF" w14:textId="77777777" w:rsidR="002E5800" w:rsidRPr="008F328C" w:rsidRDefault="002E5800">
      <w:pPr>
        <w:pStyle w:val="a3"/>
        <w:rPr>
          <w:sz w:val="24"/>
          <w:szCs w:val="24"/>
          <w:lang w:val="pl-PL"/>
        </w:rPr>
      </w:pPr>
    </w:p>
    <w:p w14:paraId="3DE82665" w14:textId="77777777" w:rsidR="002E5800" w:rsidRPr="008F328C" w:rsidRDefault="000E0B7C">
      <w:pPr>
        <w:pStyle w:val="a3"/>
        <w:rPr>
          <w:lang w:val="pl-PL"/>
        </w:rPr>
      </w:pPr>
      <w:r w:rsidRPr="008F328C">
        <w:rPr>
          <w:rFonts w:eastAsia="Times New Roman"/>
          <w:lang w:val="pl-PL"/>
        </w:rPr>
        <w:t xml:space="preserve">W badaniu nr-axSpA I, adalimumab 40 mg co drugi tydzień oceniano u 185 pacjentów w randomizowanym, trwającym 12 tygodni, z podwójnie ślepą próbą, kontrolowanym placebo badaniu klinicznym u pacjentów z czynną postacią nr-axSpA (średnia wyjściowa ocena punktowa aktywności choroby (wskaźnik aktywności zesztywniającego zapalenia stawów kręgosłupa, ang. Bath Ankylosing Spondylitis Disease Activity Index, BASDAI) wynosiła 6,4 dla pacjentów leczonych adalimumabem i 6,5 dla pacjentów otrzymujących placebo), którzy wykazali niewystarczającą odpowiedź na ≥ 1 NLPZ lub nietolerancję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 NLPZ lub mieli przeciwwskazanie do stosowania NLPZ.</w:t>
      </w:r>
    </w:p>
    <w:p w14:paraId="0E15B840" w14:textId="77777777" w:rsidR="002E5800" w:rsidRPr="008F328C" w:rsidRDefault="002E5800">
      <w:pPr>
        <w:pStyle w:val="a3"/>
        <w:rPr>
          <w:sz w:val="24"/>
          <w:szCs w:val="24"/>
          <w:lang w:val="pl-PL"/>
        </w:rPr>
      </w:pPr>
    </w:p>
    <w:p w14:paraId="724A34A1" w14:textId="18205AA3" w:rsidR="002E5800" w:rsidRPr="008F328C" w:rsidRDefault="000E0B7C">
      <w:pPr>
        <w:pStyle w:val="a3"/>
        <w:rPr>
          <w:lang w:val="pl-PL"/>
        </w:rPr>
      </w:pPr>
      <w:r w:rsidRPr="008F328C">
        <w:rPr>
          <w:rFonts w:eastAsia="Times New Roman"/>
          <w:lang w:val="pl-PL"/>
        </w:rPr>
        <w:t xml:space="preserve">W chwili włączenia do badania 33 (18%) z tych pacjentów leczono równocześnie lekami przeciwreumatycznymi modyfikującymi przebieg choroby, a 146 (79%) pacjentów NLPZ. Po okresie podwójnie ślepej próby nastąpił okres badania otwartego, podczas którego pacjenci otrzymywali adalimumab 40 mg co drugi tydzień podskórnie przez dodatkowo do 144 tygodni. Wyniki uzyskane w 12. tygodniu wykazały statystycznie istotną poprawę objawów przedmiotowych i podmiotowych czynnej postaci nr-axSpA u pacjentów leczonych adalimumabem w porównaniu do placebo (Tabela </w:t>
      </w:r>
      <w:r w:rsidR="007011B1" w:rsidRPr="008F328C">
        <w:rPr>
          <w:rFonts w:eastAsia="Times New Roman"/>
          <w:lang w:val="pl-PL"/>
        </w:rPr>
        <w:t>13</w:t>
      </w:r>
      <w:r w:rsidRPr="008F328C">
        <w:rPr>
          <w:rFonts w:eastAsia="Times New Roman"/>
          <w:lang w:val="pl-PL"/>
        </w:rPr>
        <w:t>).</w:t>
      </w:r>
    </w:p>
    <w:p w14:paraId="23D20C56" w14:textId="77777777" w:rsidR="002E5800" w:rsidRPr="008F328C" w:rsidRDefault="002E5800">
      <w:pPr>
        <w:pStyle w:val="a3"/>
        <w:rPr>
          <w:sz w:val="24"/>
          <w:szCs w:val="24"/>
          <w:lang w:val="pl-PL"/>
        </w:rPr>
      </w:pPr>
    </w:p>
    <w:p w14:paraId="5A6DDD7B"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4C2FFEDB" w14:textId="3BBCF0C7" w:rsidR="002E5800" w:rsidRPr="008F328C" w:rsidRDefault="000E0B7C">
      <w:pPr>
        <w:pStyle w:val="a3"/>
        <w:jc w:val="center"/>
        <w:rPr>
          <w:b/>
          <w:lang w:val="pl-PL"/>
        </w:rPr>
      </w:pPr>
      <w:r w:rsidRPr="008F328C">
        <w:rPr>
          <w:rFonts w:eastAsia="Times New Roman"/>
          <w:b/>
          <w:bCs/>
          <w:lang w:val="pl-PL"/>
        </w:rPr>
        <w:lastRenderedPageBreak/>
        <w:t xml:space="preserve">Tabela </w:t>
      </w:r>
      <w:r w:rsidR="007011B1" w:rsidRPr="008F328C">
        <w:rPr>
          <w:rFonts w:eastAsia="Times New Roman"/>
          <w:b/>
          <w:bCs/>
          <w:lang w:val="pl-PL"/>
        </w:rPr>
        <w:t>13</w:t>
      </w:r>
    </w:p>
    <w:p w14:paraId="6850F990" w14:textId="77777777" w:rsidR="002E5800" w:rsidRPr="008F328C" w:rsidRDefault="000E0B7C">
      <w:pPr>
        <w:pStyle w:val="a3"/>
        <w:jc w:val="center"/>
        <w:rPr>
          <w:b/>
          <w:lang w:val="pl-PL"/>
        </w:rPr>
      </w:pPr>
      <w:r w:rsidRPr="008F328C">
        <w:rPr>
          <w:rFonts w:eastAsia="Times New Roman"/>
          <w:b/>
          <w:bCs/>
          <w:lang w:val="pl-PL"/>
        </w:rPr>
        <w:t>Odpowiedzi określające skuteczność w kontrolowanym placebo badaniu nr-axSpA I</w:t>
      </w:r>
    </w:p>
    <w:tbl>
      <w:tblPr>
        <w:tblStyle w:val="ac"/>
        <w:tblW w:w="0" w:type="auto"/>
        <w:tblLook w:val="04A0" w:firstRow="1" w:lastRow="0" w:firstColumn="1" w:lastColumn="0" w:noHBand="0" w:noVBand="1"/>
      </w:tblPr>
      <w:tblGrid>
        <w:gridCol w:w="4414"/>
        <w:gridCol w:w="1841"/>
        <w:gridCol w:w="3139"/>
      </w:tblGrid>
      <w:tr w:rsidR="002E5800" w:rsidRPr="008F328C" w14:paraId="61BF1564" w14:textId="77777777">
        <w:tc>
          <w:tcPr>
            <w:tcW w:w="4531" w:type="dxa"/>
            <w:vAlign w:val="center"/>
          </w:tcPr>
          <w:p w14:paraId="0582F9A2"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Podwójnie ślepa próba</w:t>
            </w:r>
          </w:p>
          <w:p w14:paraId="0CAF7A0C"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Odpowiedź w 12. tygodniu</w:t>
            </w:r>
          </w:p>
        </w:tc>
        <w:tc>
          <w:tcPr>
            <w:tcW w:w="1875" w:type="dxa"/>
            <w:vAlign w:val="center"/>
          </w:tcPr>
          <w:p w14:paraId="42E9C8B2"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Placebo</w:t>
            </w:r>
          </w:p>
          <w:p w14:paraId="1DC52032"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N=94</w:t>
            </w:r>
          </w:p>
        </w:tc>
        <w:tc>
          <w:tcPr>
            <w:tcW w:w="3204" w:type="dxa"/>
            <w:vAlign w:val="center"/>
          </w:tcPr>
          <w:p w14:paraId="2E70D53D"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Adalimumab</w:t>
            </w:r>
          </w:p>
          <w:p w14:paraId="39B14C0B" w14:textId="77777777" w:rsidR="002E5800" w:rsidRPr="008F328C" w:rsidRDefault="000E0B7C">
            <w:pPr>
              <w:spacing w:before="14"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N=91</w:t>
            </w:r>
          </w:p>
        </w:tc>
      </w:tr>
      <w:tr w:rsidR="002E5800" w:rsidRPr="008F328C" w14:paraId="0D47A88D" w14:textId="77777777">
        <w:tc>
          <w:tcPr>
            <w:tcW w:w="4531" w:type="dxa"/>
          </w:tcPr>
          <w:p w14:paraId="7AA47D88" w14:textId="77777777" w:rsidR="002E5800" w:rsidRPr="008F328C" w:rsidRDefault="000E0B7C">
            <w:pPr>
              <w:spacing w:before="14" w:line="240" w:lineRule="exact"/>
              <w:rPr>
                <w:rFonts w:ascii="Times New Roman" w:hAnsi="Times New Roman" w:cs="Times New Roman"/>
                <w:lang w:val="pl-PL"/>
              </w:rPr>
            </w:pPr>
            <w:r w:rsidRPr="008F328C">
              <w:rPr>
                <w:rFonts w:ascii="Times New Roman" w:eastAsia="Times New Roman" w:hAnsi="Times New Roman" w:cs="Times New Roman"/>
                <w:spacing w:val="-1"/>
                <w:lang w:val="pl-PL"/>
              </w:rPr>
              <w:t>ASAS</w:t>
            </w:r>
            <w:r w:rsidRPr="008F328C">
              <w:rPr>
                <w:rFonts w:ascii="Times New Roman" w:eastAsia="Times New Roman" w:hAnsi="Times New Roman" w:cs="Times New Roman"/>
                <w:spacing w:val="-1"/>
                <w:vertAlign w:val="superscript"/>
                <w:lang w:val="pl-PL"/>
              </w:rPr>
              <w:t>a</w:t>
            </w:r>
            <w:r w:rsidRPr="008F328C">
              <w:rPr>
                <w:rFonts w:ascii="Times New Roman" w:eastAsia="Times New Roman" w:hAnsi="Times New Roman" w:cs="Times New Roman"/>
                <w:spacing w:val="-1"/>
                <w:lang w:val="pl-PL"/>
              </w:rPr>
              <w:t xml:space="preserve"> 40</w:t>
            </w:r>
          </w:p>
        </w:tc>
        <w:tc>
          <w:tcPr>
            <w:tcW w:w="1875" w:type="dxa"/>
            <w:vAlign w:val="center"/>
          </w:tcPr>
          <w:p w14:paraId="1370D34E" w14:textId="77777777" w:rsidR="002E5800" w:rsidRPr="008F328C" w:rsidRDefault="000E0B7C">
            <w:pPr>
              <w:spacing w:before="14"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15%</w:t>
            </w:r>
          </w:p>
        </w:tc>
        <w:tc>
          <w:tcPr>
            <w:tcW w:w="3204" w:type="dxa"/>
            <w:vAlign w:val="center"/>
          </w:tcPr>
          <w:p w14:paraId="6A67056A" w14:textId="77777777" w:rsidR="002E5800" w:rsidRPr="008F328C" w:rsidRDefault="000E0B7C">
            <w:pPr>
              <w:spacing w:before="14" w:line="240" w:lineRule="exact"/>
              <w:jc w:val="center"/>
              <w:rPr>
                <w:rFonts w:ascii="Times New Roman" w:hAnsi="Times New Roman" w:cs="Times New Roman"/>
                <w:lang w:val="pl-PL"/>
              </w:rPr>
            </w:pPr>
            <w:r w:rsidRPr="008F328C">
              <w:rPr>
                <w:rFonts w:ascii="Times New Roman" w:eastAsia="Times New Roman" w:hAnsi="Times New Roman" w:cs="Times New Roman"/>
                <w:lang w:val="pl-PL"/>
              </w:rPr>
              <w:t>36%***</w:t>
            </w:r>
          </w:p>
        </w:tc>
      </w:tr>
      <w:tr w:rsidR="002E5800" w:rsidRPr="008F328C" w14:paraId="574EE64D" w14:textId="77777777">
        <w:tc>
          <w:tcPr>
            <w:tcW w:w="4531" w:type="dxa"/>
          </w:tcPr>
          <w:p w14:paraId="1119D210"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ASAS 20</w:t>
            </w:r>
          </w:p>
        </w:tc>
        <w:tc>
          <w:tcPr>
            <w:tcW w:w="1875" w:type="dxa"/>
            <w:vAlign w:val="center"/>
          </w:tcPr>
          <w:p w14:paraId="269C6311"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31%</w:t>
            </w:r>
          </w:p>
        </w:tc>
        <w:tc>
          <w:tcPr>
            <w:tcW w:w="3204" w:type="dxa"/>
            <w:vAlign w:val="center"/>
          </w:tcPr>
          <w:p w14:paraId="58913FF1"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r>
      <w:tr w:rsidR="002E5800" w:rsidRPr="008F328C" w14:paraId="1DF89A16" w14:textId="77777777">
        <w:tc>
          <w:tcPr>
            <w:tcW w:w="4531" w:type="dxa"/>
          </w:tcPr>
          <w:p w14:paraId="08E60B71"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ASAS 5/6</w:t>
            </w:r>
          </w:p>
        </w:tc>
        <w:tc>
          <w:tcPr>
            <w:tcW w:w="1875" w:type="dxa"/>
            <w:vAlign w:val="center"/>
          </w:tcPr>
          <w:p w14:paraId="7C519E00"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w:t>
            </w:r>
          </w:p>
        </w:tc>
        <w:tc>
          <w:tcPr>
            <w:tcW w:w="3204" w:type="dxa"/>
            <w:vAlign w:val="center"/>
          </w:tcPr>
          <w:p w14:paraId="62276FCB"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31 %***</w:t>
            </w:r>
          </w:p>
        </w:tc>
      </w:tr>
      <w:tr w:rsidR="002E5800" w:rsidRPr="008F328C" w14:paraId="0FFE0E8B" w14:textId="77777777">
        <w:tc>
          <w:tcPr>
            <w:tcW w:w="4531" w:type="dxa"/>
          </w:tcPr>
          <w:p w14:paraId="653C0193"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ASAS częściowa remisja </w:t>
            </w:r>
          </w:p>
        </w:tc>
        <w:tc>
          <w:tcPr>
            <w:tcW w:w="1875" w:type="dxa"/>
            <w:vAlign w:val="center"/>
          </w:tcPr>
          <w:p w14:paraId="4A155E76"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w:t>
            </w:r>
          </w:p>
        </w:tc>
        <w:tc>
          <w:tcPr>
            <w:tcW w:w="3204" w:type="dxa"/>
            <w:vAlign w:val="center"/>
          </w:tcPr>
          <w:p w14:paraId="30D5AA96"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16%*</w:t>
            </w:r>
          </w:p>
        </w:tc>
      </w:tr>
      <w:tr w:rsidR="002E5800" w:rsidRPr="008F328C" w14:paraId="25893EB8" w14:textId="77777777">
        <w:tc>
          <w:tcPr>
            <w:tcW w:w="4531" w:type="dxa"/>
          </w:tcPr>
          <w:p w14:paraId="20809A01"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BASDAI</w:t>
            </w:r>
            <w:r w:rsidRPr="008F328C">
              <w:rPr>
                <w:rFonts w:ascii="Times New Roman" w:eastAsia="Times New Roman" w:hAnsi="Times New Roman" w:cs="Times New Roman"/>
                <w:spacing w:val="-1"/>
                <w:vertAlign w:val="superscript"/>
                <w:lang w:val="pl-PL"/>
              </w:rPr>
              <w:t>b</w:t>
            </w:r>
            <w:r w:rsidRPr="008F328C">
              <w:rPr>
                <w:rFonts w:ascii="Times New Roman" w:eastAsia="Times New Roman" w:hAnsi="Times New Roman" w:cs="Times New Roman"/>
                <w:spacing w:val="-1"/>
                <w:lang w:val="pl-PL"/>
              </w:rPr>
              <w:t xml:space="preserve"> 50</w:t>
            </w:r>
          </w:p>
        </w:tc>
        <w:tc>
          <w:tcPr>
            <w:tcW w:w="1875" w:type="dxa"/>
            <w:vAlign w:val="center"/>
          </w:tcPr>
          <w:p w14:paraId="00A0D1FD"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15%</w:t>
            </w:r>
          </w:p>
        </w:tc>
        <w:tc>
          <w:tcPr>
            <w:tcW w:w="3204" w:type="dxa"/>
            <w:vAlign w:val="center"/>
          </w:tcPr>
          <w:p w14:paraId="34A47E2C"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35%**</w:t>
            </w:r>
          </w:p>
        </w:tc>
      </w:tr>
      <w:tr w:rsidR="002E5800" w:rsidRPr="008F328C" w14:paraId="42C04408" w14:textId="77777777">
        <w:tc>
          <w:tcPr>
            <w:tcW w:w="4531" w:type="dxa"/>
          </w:tcPr>
          <w:p w14:paraId="1D37EAEE"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ASDAS</w:t>
            </w:r>
            <w:r w:rsidRPr="008F328C">
              <w:rPr>
                <w:rFonts w:ascii="Times New Roman" w:eastAsia="Times New Roman" w:hAnsi="Times New Roman" w:cs="Times New Roman"/>
                <w:spacing w:val="-1"/>
                <w:vertAlign w:val="superscript"/>
                <w:lang w:val="pl-PL"/>
              </w:rPr>
              <w:t>c,d,e</w:t>
            </w:r>
          </w:p>
        </w:tc>
        <w:tc>
          <w:tcPr>
            <w:tcW w:w="1875" w:type="dxa"/>
            <w:vAlign w:val="center"/>
          </w:tcPr>
          <w:p w14:paraId="053C72A3"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-0,3</w:t>
            </w:r>
          </w:p>
        </w:tc>
        <w:tc>
          <w:tcPr>
            <w:tcW w:w="3204" w:type="dxa"/>
            <w:vAlign w:val="center"/>
          </w:tcPr>
          <w:p w14:paraId="7B067B97" w14:textId="77777777" w:rsidR="002E5800" w:rsidRPr="008F328C" w:rsidRDefault="000E0B7C">
            <w:pPr>
              <w:spacing w:before="14" w:line="240"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spacing w:val="-4"/>
                <w:lang w:val="pl-PL"/>
              </w:rPr>
              <w:t>-1,0***</w:t>
            </w:r>
          </w:p>
        </w:tc>
      </w:tr>
      <w:tr w:rsidR="002E5800" w:rsidRPr="008F328C" w14:paraId="0E072587" w14:textId="77777777">
        <w:tc>
          <w:tcPr>
            <w:tcW w:w="4531" w:type="dxa"/>
          </w:tcPr>
          <w:p w14:paraId="64FEC5FD" w14:textId="77777777" w:rsidR="002E5800" w:rsidRPr="008F328C" w:rsidRDefault="000E0B7C">
            <w:pPr>
              <w:spacing w:before="14" w:line="240" w:lineRule="exact"/>
              <w:rPr>
                <w:rFonts w:ascii="Times New Roman" w:eastAsia="Times New Roman" w:hAnsi="Times New Roman" w:cs="Times New Roman"/>
                <w:spacing w:val="-1"/>
                <w:position w:val="-7"/>
                <w:lang w:val="pl-PL"/>
              </w:rPr>
            </w:pPr>
            <w:r w:rsidRPr="008F328C">
              <w:rPr>
                <w:rFonts w:ascii="Times New Roman" w:eastAsia="Times New Roman" w:hAnsi="Times New Roman" w:cs="Times New Roman"/>
                <w:spacing w:val="-1"/>
                <w:lang w:val="pl-PL"/>
              </w:rPr>
              <w:t>ASDAS nieaktywna choroba</w:t>
            </w:r>
          </w:p>
        </w:tc>
        <w:tc>
          <w:tcPr>
            <w:tcW w:w="1875" w:type="dxa"/>
            <w:vAlign w:val="center"/>
          </w:tcPr>
          <w:p w14:paraId="1CFE6802" w14:textId="77777777" w:rsidR="002E5800" w:rsidRPr="008F328C" w:rsidRDefault="000E0B7C">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lang w:val="pl-PL"/>
              </w:rPr>
              <w:t>4%</w:t>
            </w:r>
          </w:p>
        </w:tc>
        <w:tc>
          <w:tcPr>
            <w:tcW w:w="3204" w:type="dxa"/>
            <w:vAlign w:val="center"/>
          </w:tcPr>
          <w:p w14:paraId="66E8DA2F" w14:textId="77777777" w:rsidR="002E5800" w:rsidRPr="008F328C" w:rsidRDefault="000E0B7C">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lang w:val="pl-PL"/>
              </w:rPr>
              <w:t>24%***</w:t>
            </w:r>
          </w:p>
        </w:tc>
      </w:tr>
      <w:tr w:rsidR="002E5800" w:rsidRPr="008F328C" w14:paraId="3D1A36B1" w14:textId="77777777">
        <w:tc>
          <w:tcPr>
            <w:tcW w:w="4531" w:type="dxa"/>
          </w:tcPr>
          <w:p w14:paraId="43376776"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lang w:val="pl-PL"/>
              </w:rPr>
              <w:t>hs-CRP</w:t>
            </w:r>
            <w:r w:rsidRPr="008F328C">
              <w:rPr>
                <w:rFonts w:ascii="Times New Roman" w:eastAsia="Times New Roman" w:hAnsi="Times New Roman" w:cs="Times New Roman"/>
                <w:vertAlign w:val="superscript"/>
                <w:lang w:val="pl-PL"/>
              </w:rPr>
              <w:t>d, f, g</w:t>
            </w:r>
          </w:p>
        </w:tc>
        <w:tc>
          <w:tcPr>
            <w:tcW w:w="1875" w:type="dxa"/>
            <w:vAlign w:val="center"/>
          </w:tcPr>
          <w:p w14:paraId="3F88F548"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-0,3</w:t>
            </w:r>
          </w:p>
        </w:tc>
        <w:tc>
          <w:tcPr>
            <w:tcW w:w="3204" w:type="dxa"/>
            <w:vAlign w:val="center"/>
          </w:tcPr>
          <w:p w14:paraId="043695B7" w14:textId="77777777" w:rsidR="002E5800" w:rsidRPr="008F328C" w:rsidRDefault="000E0B7C">
            <w:pPr>
              <w:spacing w:before="14" w:line="240"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-4,7***</w:t>
            </w:r>
          </w:p>
        </w:tc>
      </w:tr>
      <w:tr w:rsidR="002E5800" w:rsidRPr="008F328C" w14:paraId="17F2A83E" w14:textId="77777777">
        <w:tc>
          <w:tcPr>
            <w:tcW w:w="4531" w:type="dxa"/>
          </w:tcPr>
          <w:p w14:paraId="31B0FA65" w14:textId="77777777" w:rsidR="002E5800" w:rsidRPr="008F328C" w:rsidRDefault="000E0B7C">
            <w:pPr>
              <w:spacing w:before="14" w:line="240"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SPARCC</w:t>
            </w:r>
            <w:r w:rsidRPr="008F328C">
              <w:rPr>
                <w:rFonts w:ascii="Times New Roman" w:eastAsia="Times New Roman" w:hAnsi="Times New Roman" w:cs="Times New Roman"/>
                <w:spacing w:val="-1"/>
                <w:vertAlign w:val="superscript"/>
                <w:lang w:val="pl-PL"/>
              </w:rPr>
              <w:t>h</w:t>
            </w:r>
            <w:r w:rsidRPr="008F328C">
              <w:rPr>
                <w:rFonts w:ascii="Times New Roman" w:eastAsia="Times New Roman" w:hAnsi="Times New Roman" w:cs="Times New Roman"/>
                <w:spacing w:val="-1"/>
                <w:lang w:val="pl-PL"/>
              </w:rPr>
              <w:t xml:space="preserve"> badanie MRI stawów krzy</w:t>
            </w:r>
            <w:r w:rsidRPr="008F328C">
              <w:rPr>
                <w:rFonts w:ascii="Times New Roman" w:eastAsia="Times New Roman" w:hAnsi="Times New Roman" w:cs="Times New Roman"/>
                <w:lang w:val="pl-PL"/>
              </w:rPr>
              <w:t>ż</w:t>
            </w:r>
            <w:r w:rsidRPr="008F328C">
              <w:rPr>
                <w:rFonts w:ascii="Times New Roman" w:eastAsia="Times New Roman" w:hAnsi="Times New Roman" w:cs="Times New Roman"/>
                <w:spacing w:val="-1"/>
                <w:lang w:val="pl-PL"/>
              </w:rPr>
              <w:t>owo-biodrowych</w:t>
            </w:r>
            <w:r w:rsidRPr="008F328C">
              <w:rPr>
                <w:rFonts w:ascii="Times New Roman" w:eastAsia="Times New Roman" w:hAnsi="Times New Roman" w:cs="Times New Roman"/>
                <w:spacing w:val="-1"/>
                <w:vertAlign w:val="superscript"/>
                <w:lang w:val="pl-PL"/>
              </w:rPr>
              <w:t>d, i</w:t>
            </w:r>
          </w:p>
        </w:tc>
        <w:tc>
          <w:tcPr>
            <w:tcW w:w="1875" w:type="dxa"/>
            <w:vAlign w:val="center"/>
          </w:tcPr>
          <w:p w14:paraId="6D82C337" w14:textId="77777777" w:rsidR="002E5800" w:rsidRPr="008F328C" w:rsidRDefault="000E0B7C">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-0,6</w:t>
            </w:r>
          </w:p>
        </w:tc>
        <w:tc>
          <w:tcPr>
            <w:tcW w:w="3204" w:type="dxa"/>
            <w:vAlign w:val="center"/>
          </w:tcPr>
          <w:p w14:paraId="4C87FC9B" w14:textId="77777777" w:rsidR="002E5800" w:rsidRPr="008F328C" w:rsidRDefault="000E0B7C">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-3,2**</w:t>
            </w:r>
          </w:p>
        </w:tc>
      </w:tr>
      <w:tr w:rsidR="002E5800" w:rsidRPr="008F328C" w14:paraId="3F733393" w14:textId="77777777">
        <w:tc>
          <w:tcPr>
            <w:tcW w:w="4531" w:type="dxa"/>
          </w:tcPr>
          <w:p w14:paraId="532D1582" w14:textId="77777777" w:rsidR="002E5800" w:rsidRPr="008F328C" w:rsidRDefault="000E0B7C">
            <w:pPr>
              <w:spacing w:before="14" w:line="240" w:lineRule="exact"/>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SPARCC</w:t>
            </w:r>
            <w:r w:rsidRPr="008F328C">
              <w:rPr>
                <w:rFonts w:ascii="Times New Roman" w:eastAsia="Times New Roman" w:hAnsi="Times New Roman" w:cs="Times New Roman"/>
                <w:spacing w:val="-1"/>
                <w:vertAlign w:val="superscript"/>
                <w:lang w:val="pl-PL"/>
              </w:rPr>
              <w:t>h</w:t>
            </w:r>
            <w:r w:rsidRPr="008F328C">
              <w:rPr>
                <w:rFonts w:ascii="Times New Roman" w:eastAsia="Times New Roman" w:hAnsi="Times New Roman" w:cs="Times New Roman"/>
                <w:spacing w:val="-1"/>
                <w:lang w:val="pl-PL"/>
              </w:rPr>
              <w:t xml:space="preserve"> badanie MRI kręgosłupa</w:t>
            </w:r>
            <w:r w:rsidRPr="008F328C">
              <w:rPr>
                <w:rFonts w:ascii="Times New Roman" w:eastAsia="Times New Roman" w:hAnsi="Times New Roman" w:cs="Times New Roman"/>
                <w:spacing w:val="-1"/>
                <w:vertAlign w:val="superscript"/>
                <w:lang w:val="pl-PL"/>
              </w:rPr>
              <w:t>d, j</w:t>
            </w:r>
          </w:p>
        </w:tc>
        <w:tc>
          <w:tcPr>
            <w:tcW w:w="1875" w:type="dxa"/>
            <w:vAlign w:val="center"/>
          </w:tcPr>
          <w:p w14:paraId="039F04E8" w14:textId="77777777" w:rsidR="002E5800" w:rsidRPr="008F328C" w:rsidRDefault="000E0B7C">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-0,2</w:t>
            </w:r>
          </w:p>
        </w:tc>
        <w:tc>
          <w:tcPr>
            <w:tcW w:w="3204" w:type="dxa"/>
            <w:vAlign w:val="center"/>
          </w:tcPr>
          <w:p w14:paraId="068BE23F" w14:textId="25B832BC" w:rsidR="002E5800" w:rsidRPr="008F328C" w:rsidRDefault="00E11CDA">
            <w:pPr>
              <w:spacing w:before="14" w:line="240" w:lineRule="exact"/>
              <w:jc w:val="center"/>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w:t>
            </w:r>
            <w:r w:rsidR="000E0B7C" w:rsidRPr="008F328C">
              <w:rPr>
                <w:rFonts w:ascii="Times New Roman" w:eastAsia="Times New Roman" w:hAnsi="Times New Roman" w:cs="Times New Roman"/>
                <w:spacing w:val="-4"/>
                <w:lang w:val="pl-PL"/>
              </w:rPr>
              <w:t>1,8%**</w:t>
            </w:r>
          </w:p>
        </w:tc>
      </w:tr>
    </w:tbl>
    <w:p w14:paraId="418E5A15" w14:textId="77777777" w:rsidR="002E5800" w:rsidRPr="008F328C" w:rsidRDefault="000E0B7C">
      <w:pPr>
        <w:pStyle w:val="a3"/>
        <w:rPr>
          <w:lang w:val="pl-PL"/>
        </w:rPr>
      </w:pPr>
      <w:r w:rsidRPr="008F328C">
        <w:rPr>
          <w:rFonts w:eastAsia="Times New Roman"/>
          <w:position w:val="8"/>
          <w:vertAlign w:val="superscript"/>
          <w:lang w:val="pl-PL"/>
        </w:rPr>
        <w:t xml:space="preserve">a </w:t>
      </w:r>
      <w:r w:rsidRPr="008F328C">
        <w:rPr>
          <w:rFonts w:eastAsia="Times New Roman"/>
          <w:position w:val="8"/>
          <w:lang w:val="pl-PL"/>
        </w:rPr>
        <w:t>ASAS = Oceny w zesztywniającym zapaleniu stawów kręgosłupa (ang. Assessment of SpondyloArthritis International Society)</w:t>
      </w:r>
    </w:p>
    <w:p w14:paraId="0D229CA4" w14:textId="77777777" w:rsidR="002E5800" w:rsidRPr="008F328C" w:rsidRDefault="000E0B7C">
      <w:pPr>
        <w:pStyle w:val="a3"/>
        <w:rPr>
          <w:lang w:val="pl-PL"/>
        </w:rPr>
      </w:pPr>
      <w:r w:rsidRPr="008F328C">
        <w:rPr>
          <w:rFonts w:eastAsia="Times New Roman"/>
          <w:position w:val="8"/>
          <w:vertAlign w:val="superscript"/>
          <w:lang w:val="pl-PL"/>
        </w:rPr>
        <w:t xml:space="preserve">b </w:t>
      </w:r>
      <w:r w:rsidRPr="008F328C">
        <w:rPr>
          <w:rFonts w:eastAsia="Times New Roman"/>
          <w:position w:val="8"/>
          <w:lang w:val="pl-PL"/>
        </w:rPr>
        <w:t>BASDAI = Wskaźnik aktywności zesztywniającego zapalenia stawów kręgosłupa (ang. Bath Ankylosing Spondylitis Disease Activity Index)</w:t>
      </w:r>
    </w:p>
    <w:p w14:paraId="03DFFE39" w14:textId="77777777" w:rsidR="002E5800" w:rsidRPr="008F328C" w:rsidRDefault="000E0B7C">
      <w:pPr>
        <w:pStyle w:val="a3"/>
        <w:rPr>
          <w:lang w:val="pl-PL"/>
        </w:rPr>
      </w:pPr>
      <w:r w:rsidRPr="008F328C">
        <w:rPr>
          <w:rFonts w:eastAsia="Times New Roman"/>
          <w:position w:val="8"/>
          <w:vertAlign w:val="superscript"/>
          <w:lang w:val="pl-PL"/>
        </w:rPr>
        <w:t xml:space="preserve">c </w:t>
      </w:r>
      <w:r w:rsidRPr="008F328C">
        <w:rPr>
          <w:rFonts w:eastAsia="Times New Roman"/>
          <w:position w:val="8"/>
          <w:lang w:val="pl-PL"/>
        </w:rPr>
        <w:t>ASDAS = Skala aktywności choroby w zesztywniającym zapaleniu stawów kręgosłupa (ang. Ankylosing Spondylitis Disease Activity Score)</w:t>
      </w:r>
    </w:p>
    <w:p w14:paraId="43287E7D" w14:textId="77777777" w:rsidR="002E5800" w:rsidRPr="008F328C" w:rsidRDefault="000E0B7C">
      <w:pPr>
        <w:pStyle w:val="a3"/>
        <w:rPr>
          <w:lang w:val="pl-PL"/>
        </w:rPr>
      </w:pPr>
      <w:r w:rsidRPr="008F328C">
        <w:rPr>
          <w:rFonts w:eastAsia="Times New Roman"/>
          <w:position w:val="8"/>
          <w:vertAlign w:val="superscript"/>
          <w:lang w:val="pl-PL"/>
        </w:rPr>
        <w:t xml:space="preserve">d </w:t>
      </w:r>
      <w:r w:rsidRPr="008F328C">
        <w:rPr>
          <w:rFonts w:eastAsia="Times New Roman"/>
          <w:position w:val="8"/>
          <w:lang w:val="pl-PL"/>
        </w:rPr>
        <w:t>Średnia zmiana w porównaniu do wartości początkowej</w:t>
      </w:r>
    </w:p>
    <w:p w14:paraId="03895A94" w14:textId="77777777" w:rsidR="002E5800" w:rsidRPr="008F328C" w:rsidRDefault="000E0B7C">
      <w:pPr>
        <w:pStyle w:val="a3"/>
        <w:rPr>
          <w:lang w:val="pt-PT"/>
        </w:rPr>
      </w:pPr>
      <w:r w:rsidRPr="008F328C">
        <w:rPr>
          <w:rFonts w:eastAsia="Times New Roman"/>
          <w:position w:val="8"/>
          <w:vertAlign w:val="superscript"/>
          <w:lang w:val="pt-PT"/>
        </w:rPr>
        <w:t xml:space="preserve">e </w:t>
      </w:r>
      <w:r w:rsidRPr="008F328C">
        <w:rPr>
          <w:rFonts w:eastAsia="Times New Roman"/>
          <w:position w:val="8"/>
          <w:lang w:val="pt-PT"/>
        </w:rPr>
        <w:t>n=91 placebo i n=87 adalimumab</w:t>
      </w:r>
    </w:p>
    <w:p w14:paraId="47649916" w14:textId="77777777" w:rsidR="002E5800" w:rsidRPr="008F328C" w:rsidRDefault="000E0B7C">
      <w:pPr>
        <w:pStyle w:val="a3"/>
      </w:pPr>
      <w:r w:rsidRPr="008F328C">
        <w:rPr>
          <w:rFonts w:eastAsia="Times New Roman"/>
          <w:position w:val="8"/>
          <w:vertAlign w:val="superscript"/>
        </w:rPr>
        <w:t xml:space="preserve">f </w:t>
      </w:r>
      <w:r w:rsidRPr="008F328C">
        <w:rPr>
          <w:rFonts w:eastAsia="Times New Roman"/>
          <w:position w:val="8"/>
        </w:rPr>
        <w:t>hs-CRP = wysoko czułe białko C-reaktywne (mg/l) (ang. high sensitivity C-Reactive Protein)</w:t>
      </w:r>
    </w:p>
    <w:p w14:paraId="7951B91B" w14:textId="77777777" w:rsidR="002E5800" w:rsidRPr="008F328C" w:rsidRDefault="000E0B7C">
      <w:pPr>
        <w:pStyle w:val="a3"/>
        <w:rPr>
          <w:lang w:val="pt-PT"/>
        </w:rPr>
      </w:pPr>
      <w:r w:rsidRPr="008F328C">
        <w:rPr>
          <w:rFonts w:eastAsia="Times New Roman"/>
          <w:position w:val="8"/>
          <w:vertAlign w:val="superscript"/>
          <w:lang w:val="pt-PT"/>
        </w:rPr>
        <w:t>g</w:t>
      </w:r>
      <w:r w:rsidRPr="008F328C">
        <w:rPr>
          <w:rFonts w:eastAsia="Times New Roman"/>
          <w:position w:val="8"/>
          <w:sz w:val="14"/>
          <w:szCs w:val="14"/>
          <w:lang w:val="pt-PT"/>
        </w:rPr>
        <w:t xml:space="preserve"> </w:t>
      </w:r>
      <w:r w:rsidRPr="008F328C">
        <w:rPr>
          <w:rFonts w:eastAsia="Times New Roman"/>
          <w:position w:val="8"/>
          <w:lang w:val="pt-PT"/>
        </w:rPr>
        <w:t>n=73 placebo i n=70 adalimumab</w:t>
      </w:r>
    </w:p>
    <w:p w14:paraId="4F373206" w14:textId="77777777" w:rsidR="002E5800" w:rsidRPr="008F328C" w:rsidRDefault="000E0B7C">
      <w:pPr>
        <w:pStyle w:val="a3"/>
      </w:pPr>
      <w:r w:rsidRPr="008F328C">
        <w:rPr>
          <w:rFonts w:eastAsia="Times New Roman"/>
          <w:position w:val="8"/>
          <w:vertAlign w:val="superscript"/>
        </w:rPr>
        <w:t>h</w:t>
      </w:r>
      <w:r w:rsidRPr="008F328C">
        <w:rPr>
          <w:rFonts w:eastAsia="Times New Roman"/>
          <w:position w:val="8"/>
          <w:sz w:val="14"/>
          <w:szCs w:val="14"/>
        </w:rPr>
        <w:t xml:space="preserve"> </w:t>
      </w:r>
      <w:r w:rsidRPr="008F328C">
        <w:rPr>
          <w:rFonts w:eastAsia="Times New Roman"/>
          <w:position w:val="8"/>
        </w:rPr>
        <w:t>SPARCC = ang. Spondyloarthritis Research Consortium of Canada</w:t>
      </w:r>
    </w:p>
    <w:p w14:paraId="1386FBB4" w14:textId="77777777" w:rsidR="002E5800" w:rsidRPr="008F328C" w:rsidRDefault="000E0B7C">
      <w:pPr>
        <w:pStyle w:val="a3"/>
        <w:rPr>
          <w:lang w:val="pt-PT"/>
        </w:rPr>
      </w:pPr>
      <w:r w:rsidRPr="008F328C">
        <w:rPr>
          <w:rFonts w:eastAsia="Times New Roman"/>
          <w:position w:val="8"/>
          <w:vertAlign w:val="superscript"/>
          <w:lang w:val="pt-PT"/>
        </w:rPr>
        <w:t xml:space="preserve">i </w:t>
      </w:r>
      <w:r w:rsidRPr="008F328C">
        <w:rPr>
          <w:rFonts w:eastAsia="Times New Roman"/>
          <w:position w:val="8"/>
          <w:lang w:val="pt-PT"/>
        </w:rPr>
        <w:t>n=84 placebo i adalimumab</w:t>
      </w:r>
    </w:p>
    <w:p w14:paraId="3C72F4F8" w14:textId="77777777" w:rsidR="002E5800" w:rsidRPr="008F328C" w:rsidRDefault="000E0B7C">
      <w:pPr>
        <w:pStyle w:val="a3"/>
        <w:rPr>
          <w:lang w:val="pt-PT"/>
        </w:rPr>
      </w:pPr>
      <w:r w:rsidRPr="008F328C">
        <w:rPr>
          <w:rFonts w:eastAsia="Times New Roman"/>
          <w:position w:val="8"/>
          <w:vertAlign w:val="superscript"/>
          <w:lang w:val="pt-PT"/>
        </w:rPr>
        <w:t xml:space="preserve">j </w:t>
      </w:r>
      <w:r w:rsidRPr="008F328C">
        <w:rPr>
          <w:rFonts w:eastAsia="Times New Roman"/>
          <w:position w:val="8"/>
          <w:lang w:val="pt-PT"/>
        </w:rPr>
        <w:t>n=82 placebo i n=85 adalimumab</w:t>
      </w:r>
    </w:p>
    <w:p w14:paraId="212C9A00" w14:textId="77777777" w:rsidR="002E5800" w:rsidRPr="008F328C" w:rsidRDefault="000E0B7C">
      <w:pPr>
        <w:pStyle w:val="a3"/>
        <w:ind w:left="990" w:hangingChars="450" w:hanging="990"/>
        <w:rPr>
          <w:lang w:val="pl-PL"/>
        </w:rPr>
      </w:pPr>
      <w:r w:rsidRPr="008F328C">
        <w:rPr>
          <w:rFonts w:eastAsia="Times New Roman"/>
          <w:lang w:val="pl-PL"/>
        </w:rPr>
        <w:t>***, **, * różnica statystycznie istotna (p) odpowiednio &lt; 0,001, &lt; 0,01 i &lt; 0,05 dla wszystkich porównań między adalimumabem a placebo.</w:t>
      </w:r>
    </w:p>
    <w:p w14:paraId="471CA58D" w14:textId="77777777" w:rsidR="002E5800" w:rsidRPr="008F328C" w:rsidRDefault="002E5800">
      <w:pPr>
        <w:spacing w:before="14" w:line="240" w:lineRule="exact"/>
        <w:rPr>
          <w:rFonts w:ascii="Times New Roman" w:hAnsi="Times New Roman" w:cs="Times New Roman"/>
          <w:sz w:val="24"/>
          <w:szCs w:val="24"/>
          <w:lang w:val="pl-PL"/>
        </w:rPr>
      </w:pPr>
    </w:p>
    <w:p w14:paraId="3107EADD" w14:textId="77777777" w:rsidR="002E5800" w:rsidRPr="008F328C" w:rsidRDefault="000E0B7C">
      <w:pPr>
        <w:pStyle w:val="a3"/>
        <w:rPr>
          <w:lang w:val="pl-PL"/>
        </w:rPr>
      </w:pPr>
      <w:r w:rsidRPr="008F328C">
        <w:rPr>
          <w:rFonts w:eastAsia="Times New Roman"/>
          <w:lang w:val="pl-PL"/>
        </w:rPr>
        <w:t>W otwartym badaniu kontynuacyjnym, poprawa objawów przedmiotowych i podmiotowych utrzymywała się podczas leczenia adalimumabem do 156. tygodnia włącznie.</w:t>
      </w:r>
    </w:p>
    <w:p w14:paraId="17C9F58E" w14:textId="77777777" w:rsidR="002E5800" w:rsidRPr="008F328C" w:rsidRDefault="002E5800">
      <w:pPr>
        <w:spacing w:before="11" w:line="240" w:lineRule="exact"/>
        <w:rPr>
          <w:rFonts w:ascii="Times New Roman" w:hAnsi="Times New Roman" w:cs="Times New Roman"/>
          <w:sz w:val="24"/>
          <w:szCs w:val="24"/>
          <w:lang w:val="pl-PL"/>
        </w:rPr>
      </w:pPr>
    </w:p>
    <w:p w14:paraId="39DE1730" w14:textId="77777777" w:rsidR="002E5800" w:rsidRPr="008F328C" w:rsidRDefault="000E0B7C">
      <w:pPr>
        <w:pStyle w:val="a3"/>
        <w:rPr>
          <w:lang w:val="pl-PL"/>
        </w:rPr>
      </w:pPr>
      <w:r w:rsidRPr="008F328C">
        <w:rPr>
          <w:rFonts w:eastAsia="Times New Roman"/>
          <w:lang w:val="pl-PL"/>
        </w:rPr>
        <w:t>Zahamowanie procesu zapalnego</w:t>
      </w:r>
    </w:p>
    <w:p w14:paraId="182C54AC" w14:textId="77777777" w:rsidR="002E5800" w:rsidRPr="008F328C" w:rsidRDefault="002E5800">
      <w:pPr>
        <w:spacing w:before="13" w:line="240" w:lineRule="exact"/>
        <w:rPr>
          <w:rFonts w:ascii="Times New Roman" w:hAnsi="Times New Roman" w:cs="Times New Roman"/>
          <w:sz w:val="24"/>
          <w:szCs w:val="24"/>
          <w:lang w:val="pl-PL"/>
        </w:rPr>
      </w:pPr>
    </w:p>
    <w:p w14:paraId="77B901DA" w14:textId="77777777" w:rsidR="002E5800" w:rsidRPr="008F328C" w:rsidRDefault="000E0B7C">
      <w:pPr>
        <w:pStyle w:val="a3"/>
        <w:rPr>
          <w:lang w:val="pl-PL"/>
        </w:rPr>
      </w:pPr>
      <w:r w:rsidRPr="008F328C">
        <w:rPr>
          <w:rFonts w:eastAsia="Times New Roman"/>
          <w:lang w:val="pl-PL"/>
        </w:rPr>
        <w:t>Istotna poprawa objawów przedmiotowych zapalenia mierzona stężeniem hs-CRP oraz w badaniu metodą rezonansu magnetycznego zarówno stawów krzyżowo-biodrowych, jak i kręgosłupa utrzymywała się u pacjentów leczonych adalimumabem do odpowiednio 156. i 104. tygodnia włącznie.</w:t>
      </w:r>
    </w:p>
    <w:p w14:paraId="0F891151" w14:textId="77777777" w:rsidR="002E5800" w:rsidRPr="008F328C" w:rsidRDefault="002E5800">
      <w:pPr>
        <w:spacing w:before="11" w:line="240" w:lineRule="exact"/>
        <w:rPr>
          <w:rFonts w:ascii="Times New Roman" w:hAnsi="Times New Roman" w:cs="Times New Roman"/>
          <w:sz w:val="24"/>
          <w:szCs w:val="24"/>
          <w:lang w:val="pl-PL"/>
        </w:rPr>
      </w:pPr>
    </w:p>
    <w:p w14:paraId="186A137D" w14:textId="3C600518" w:rsidR="002E5800" w:rsidRPr="008F328C" w:rsidRDefault="000E0B7C">
      <w:pPr>
        <w:pStyle w:val="a3"/>
        <w:rPr>
          <w:lang w:val="pl-PL"/>
        </w:rPr>
      </w:pPr>
      <w:r w:rsidRPr="008F328C">
        <w:rPr>
          <w:rFonts w:eastAsia="Times New Roman"/>
          <w:lang w:val="pl-PL"/>
        </w:rPr>
        <w:t xml:space="preserve">Jakość życia i </w:t>
      </w:r>
      <w:r w:rsidR="00306FE3" w:rsidRPr="008F328C">
        <w:rPr>
          <w:rFonts w:eastAsia="Times New Roman"/>
          <w:lang w:val="pl-PL"/>
        </w:rPr>
        <w:t>sprawność fizyczna</w:t>
      </w:r>
    </w:p>
    <w:p w14:paraId="387A6BB1" w14:textId="77777777" w:rsidR="002E5800" w:rsidRPr="008F328C" w:rsidRDefault="002E5800">
      <w:pPr>
        <w:spacing w:before="1" w:line="180" w:lineRule="exact"/>
        <w:rPr>
          <w:rFonts w:ascii="Times New Roman" w:hAnsi="Times New Roman" w:cs="Times New Roman"/>
          <w:sz w:val="18"/>
          <w:szCs w:val="18"/>
          <w:lang w:val="pl-PL"/>
        </w:rPr>
      </w:pPr>
    </w:p>
    <w:p w14:paraId="4B823181" w14:textId="5CB6F922" w:rsidR="002E5800" w:rsidRPr="008F328C" w:rsidRDefault="000E0B7C">
      <w:pPr>
        <w:pStyle w:val="a3"/>
        <w:rPr>
          <w:lang w:val="pl-PL"/>
        </w:rPr>
      </w:pPr>
      <w:r w:rsidRPr="008F328C">
        <w:rPr>
          <w:rFonts w:eastAsia="Times New Roman"/>
          <w:lang w:val="pl-PL"/>
        </w:rPr>
        <w:t xml:space="preserve">Zależną od stanu zdrowia jakość życia i </w:t>
      </w:r>
      <w:r w:rsidR="00306FE3" w:rsidRPr="008F328C">
        <w:rPr>
          <w:rFonts w:eastAsia="Times New Roman"/>
          <w:lang w:val="pl-PL"/>
        </w:rPr>
        <w:t xml:space="preserve">sprawność fizyczną </w:t>
      </w:r>
      <w:r w:rsidRPr="008F328C">
        <w:rPr>
          <w:rFonts w:eastAsia="Times New Roman"/>
          <w:lang w:val="pl-PL"/>
        </w:rPr>
        <w:t xml:space="preserve">oceniano stosując kwestionariusze HAQ-S (kwestionariusz oceny stanu zdrowia w spondyloartropatiach, ang. Health Assessment Questionnaire for Spondyloarthropathies) i SF-36. W porównaniu do placebo, stosowanie adalimumabu dało istotnie większą poprawę w całkowitej punktacji HAQ-S i punktacji składowej dotyczącej sprawności fizycznej (ang. Physical Component Score, PCS) kwestionariusza SF-36, od wartości wyjściowych do 12. tygodnia. Poprawa związanej ze zdrowiem jakości życia i </w:t>
      </w:r>
      <w:r w:rsidR="00306FE3" w:rsidRPr="008F328C">
        <w:rPr>
          <w:rFonts w:eastAsia="Times New Roman"/>
          <w:lang w:val="pl-PL"/>
        </w:rPr>
        <w:t>sprawności fizycznej</w:t>
      </w:r>
      <w:r w:rsidRPr="008F328C">
        <w:rPr>
          <w:rFonts w:eastAsia="Times New Roman"/>
          <w:lang w:val="pl-PL"/>
        </w:rPr>
        <w:t xml:space="preserve"> utrzymywała się w otwartym badaniu kontynuacyjnym do 156. tygodnia włącznie.</w:t>
      </w:r>
    </w:p>
    <w:p w14:paraId="5CB1F149" w14:textId="77777777" w:rsidR="002E5800" w:rsidRPr="008F328C" w:rsidRDefault="002E5800">
      <w:pPr>
        <w:spacing w:before="13" w:line="240" w:lineRule="exact"/>
        <w:rPr>
          <w:rFonts w:ascii="Times New Roman" w:hAnsi="Times New Roman" w:cs="Times New Roman"/>
          <w:sz w:val="24"/>
          <w:szCs w:val="24"/>
          <w:lang w:val="pl-PL"/>
        </w:rPr>
      </w:pPr>
    </w:p>
    <w:p w14:paraId="31826C0A" w14:textId="77777777" w:rsidR="002E5800" w:rsidRPr="008F328C" w:rsidRDefault="000E0B7C">
      <w:pPr>
        <w:pStyle w:val="a3"/>
        <w:rPr>
          <w:lang w:val="pl-PL"/>
        </w:rPr>
      </w:pPr>
      <w:r w:rsidRPr="008F328C">
        <w:rPr>
          <w:rFonts w:eastAsia="Times New Roman"/>
          <w:spacing w:val="-1"/>
          <w:lang w:val="pl-PL"/>
        </w:rPr>
        <w:t>Badanie nr-axSpA II</w:t>
      </w:r>
    </w:p>
    <w:p w14:paraId="73779266" w14:textId="77777777" w:rsidR="002E5800" w:rsidRPr="008F328C" w:rsidRDefault="002E5800">
      <w:pPr>
        <w:spacing w:before="14" w:line="240" w:lineRule="exact"/>
        <w:rPr>
          <w:rFonts w:ascii="Times New Roman" w:hAnsi="Times New Roman" w:cs="Times New Roman"/>
          <w:sz w:val="24"/>
          <w:szCs w:val="24"/>
          <w:lang w:val="pl-PL"/>
        </w:rPr>
      </w:pPr>
    </w:p>
    <w:p w14:paraId="4D3839EE" w14:textId="77777777" w:rsidR="002E5800" w:rsidRPr="008F328C" w:rsidRDefault="000E0B7C">
      <w:pPr>
        <w:pStyle w:val="a3"/>
        <w:rPr>
          <w:lang w:val="pl-PL"/>
        </w:rPr>
      </w:pPr>
      <w:r w:rsidRPr="008F328C">
        <w:rPr>
          <w:rFonts w:eastAsia="Times New Roman"/>
          <w:lang w:val="pl-PL"/>
        </w:rPr>
        <w:t xml:space="preserve">Sześćset siedemdziesiąt trzech (673) pacjentów z czynną postacią nr-axSpA (średnia wyjściowa ocena punktowa aktywności choroby [BASDAI] wynosiła 7,0) którzy wykazali niewystarczającą odpowiedź na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2 NLPZ lub nietolerancję lub stosowanie NLPZ było przeciwwskazane, zostało włączonych do fazy otwartej badania nr-axSpA II, podczas której otrzymywali adalimumab w dawce 40 mg co drugi tydzień przez 28 tygodni.</w:t>
      </w:r>
    </w:p>
    <w:p w14:paraId="01134871" w14:textId="77777777" w:rsidR="002E5800" w:rsidRPr="008F328C" w:rsidRDefault="002E5800">
      <w:pPr>
        <w:pStyle w:val="a3"/>
        <w:rPr>
          <w:lang w:val="pl-PL"/>
        </w:rPr>
      </w:pPr>
    </w:p>
    <w:p w14:paraId="5BCEB685" w14:textId="77777777" w:rsidR="002E5800" w:rsidRPr="008F328C" w:rsidRDefault="000E0B7C">
      <w:pPr>
        <w:pStyle w:val="a3"/>
        <w:rPr>
          <w:lang w:val="pl-PL"/>
        </w:rPr>
      </w:pPr>
      <w:r w:rsidRPr="008F328C">
        <w:rPr>
          <w:rFonts w:eastAsia="Times New Roman"/>
          <w:lang w:val="pl-PL"/>
        </w:rPr>
        <w:t>U tych pacjentów stwierdzono także obiektywne dowody występowania zapalenia stawów krzyżowo-biodrowych lub kręgosłupa w badaniu MRI lub podwyższone stężenie hs-CRP. Pacjenci, którzy osiągnęli trwałą remisję przez co najmniej 12 tygodni (N=305) (ASDAS &lt; 1,3 w tygodniu 16, 20, 24 i 28) podczas fazy otwartej badania, zostali następnie losowo przydzieleni do grupy otrzymującej kontynuację leczenia adalimumabem 40 mg co drugi tydzień (N=152) lub placebo (N=153) przez dodatkowe 40 tygodni w kontrolowanym placebo okresie z podwójnie ślepą próbą (całkowity czas trwania badania 68 tygodni). Pacjenci, u których wystąpiła reaktywacja choroby w okresie badania z podwójnie ślepą próbą mogli stosować adalimumab 40 mg co drugi tydzień w leczeniu ratującym przez co najmniej 12 tygodni.</w:t>
      </w:r>
    </w:p>
    <w:p w14:paraId="243CF13F" w14:textId="77777777" w:rsidR="002E5800" w:rsidRPr="008F328C" w:rsidRDefault="002E5800">
      <w:pPr>
        <w:spacing w:before="14" w:line="240" w:lineRule="exact"/>
        <w:rPr>
          <w:rFonts w:ascii="Times New Roman" w:hAnsi="Times New Roman" w:cs="Times New Roman"/>
          <w:sz w:val="24"/>
          <w:szCs w:val="24"/>
          <w:lang w:val="pl-PL"/>
        </w:rPr>
      </w:pPr>
    </w:p>
    <w:p w14:paraId="50FFD687" w14:textId="3E9362D8" w:rsidR="002E5800" w:rsidRPr="008F328C" w:rsidRDefault="000E0B7C">
      <w:pPr>
        <w:pStyle w:val="a3"/>
        <w:rPr>
          <w:rFonts w:eastAsia="Times New Roman"/>
          <w:lang w:val="pl-PL"/>
        </w:rPr>
      </w:pPr>
      <w:r w:rsidRPr="008F328C">
        <w:rPr>
          <w:rFonts w:eastAsia="Times New Roman"/>
          <w:lang w:val="pl-PL"/>
        </w:rPr>
        <w:t>Pierwszorzędowym punktem końcowym oceny skuteczności był odsetek pacjentów bez reaktywacji do 68. tygodnia badania. Reaktywacja była definiowana jako ASDAS ≥ 2,1 podczas dwóch kolejnych wizyt w odstępie czterech tygodni. Większy odsetek pacjentów przyjmujących adalimumab nie wykazywał reaktywacji choroby w fazie badania z podwójnie ślepą próbą w porównaniu z placebo (70,4% w porównaniu z 47,1%, p&lt;0,001) (Rycina 1).</w:t>
      </w:r>
    </w:p>
    <w:p w14:paraId="3743BB02" w14:textId="77777777" w:rsidR="007011B1" w:rsidRPr="008F328C" w:rsidRDefault="007011B1">
      <w:pPr>
        <w:pStyle w:val="a3"/>
        <w:rPr>
          <w:lang w:val="pl-PL"/>
        </w:rPr>
      </w:pPr>
    </w:p>
    <w:p w14:paraId="1D3EBEFE" w14:textId="77777777" w:rsidR="002E5800" w:rsidRPr="008F328C" w:rsidRDefault="000E0B7C">
      <w:pPr>
        <w:pStyle w:val="a3"/>
        <w:jc w:val="center"/>
        <w:rPr>
          <w:b/>
          <w:lang w:val="pl-PL"/>
        </w:rPr>
      </w:pPr>
      <w:r w:rsidRPr="008F328C">
        <w:rPr>
          <w:rFonts w:eastAsia="Times New Roman"/>
          <w:b/>
          <w:bCs/>
          <w:lang w:val="pl-PL"/>
        </w:rPr>
        <w:t>Rycina 1: Krzywe Kaplana-Meiera przedstawiające czas do braku reaktywacji w badaniu nr-axSpA II</w:t>
      </w:r>
    </w:p>
    <w:p w14:paraId="0B31E4A6" w14:textId="77777777" w:rsidR="002E5800" w:rsidRPr="008F328C" w:rsidRDefault="000E0B7C">
      <w:pPr>
        <w:ind w:left="675" w:right="10920"/>
        <w:rPr>
          <w:rFonts w:ascii="Times New Roman" w:eastAsia="Times New Roman" w:hAnsi="Times New Roman" w:cs="Times New Roman"/>
          <w:sz w:val="20"/>
          <w:szCs w:val="20"/>
          <w:lang w:val="pl-PL"/>
        </w:rPr>
      </w:pPr>
      <w:r w:rsidRPr="008F328C">
        <w:rPr>
          <w:rFonts w:ascii="Times New Roman" w:hAnsi="Times New Roman" w:cs="Times New Roman"/>
          <w:b/>
          <w:noProof/>
          <w:lang w:eastAsia="ko-KR"/>
        </w:rPr>
        <mc:AlternateContent>
          <mc:Choice Requires="wps">
            <w:drawing>
              <wp:anchor distT="0" distB="0" distL="114300" distR="114300" simplePos="0" relativeHeight="251658263" behindDoc="0" locked="0" layoutInCell="1" allowOverlap="1" wp14:anchorId="50A2CCDF" wp14:editId="7FE0EEBD">
                <wp:simplePos x="0" y="0"/>
                <wp:positionH relativeFrom="column">
                  <wp:posOffset>433705</wp:posOffset>
                </wp:positionH>
                <wp:positionV relativeFrom="paragraph">
                  <wp:posOffset>2426335</wp:posOffset>
                </wp:positionV>
                <wp:extent cx="436880" cy="273997"/>
                <wp:effectExtent l="0" t="0" r="1270" b="0"/>
                <wp:wrapNone/>
                <wp:docPr id="21" name="Text Box 21"/>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022B1" w14:textId="77777777" w:rsidR="006D7011" w:rsidRDefault="006D7011">
                            <w:pPr>
                              <w:rPr>
                                <w:rFonts w:asciiTheme="majorBidi" w:hAnsiTheme="majorBidi" w:cstheme="majorBidi"/>
                                <w:sz w:val="16"/>
                                <w:szCs w:val="16"/>
                              </w:rPr>
                            </w:pPr>
                            <w:r>
                              <w:rPr>
                                <w:rFonts w:ascii="Times New Roman" w:eastAsia="Times New Roman" w:hAnsi="Times New Roman" w:cs="Times New Roman"/>
                                <w:sz w:val="16"/>
                                <w:szCs w:val="16"/>
                                <w:lang w:val="pl-PL"/>
                              </w:rPr>
                              <w:t>P</w:t>
                            </w:r>
                          </w:p>
                          <w:p w14:paraId="50AF8C82" w14:textId="77777777" w:rsidR="006D7011" w:rsidRDefault="006D7011">
                            <w:pPr>
                              <w:rPr>
                                <w:rFonts w:asciiTheme="majorBidi" w:hAnsiTheme="majorBidi" w:cstheme="majorBidi"/>
                                <w:sz w:val="16"/>
                                <w:szCs w:val="16"/>
                              </w:rPr>
                            </w:pPr>
                            <w:r>
                              <w:rPr>
                                <w:rFonts w:ascii="Times New Roman" w:eastAsia="Times New Roman" w:hAnsi="Times New Roman" w:cs="Times New Roman"/>
                                <w:sz w:val="16"/>
                                <w:szCs w:val="16"/>
                                <w:lang w:val="pl-PL"/>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50A2CCDF" id="_x0000_t202" coordsize="21600,21600" o:spt="202" path="m,l,21600r21600,l21600,xe">
                <v:stroke joinstyle="miter"/>
                <v:path gradientshapeok="t" o:connecttype="rect"/>
              </v:shapetype>
              <v:shape id="Text Box 21" o:spid="_x0000_s1026" type="#_x0000_t202" style="position:absolute;left:0;text-align:left;margin-left:34.15pt;margin-top:191.05pt;width:34.4pt;height:21.5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EAYgIAAEYFAAAOAAAAZHJzL2Uyb0RvYy54bWysVEtv2zAMvg/YfxB0X53H1qZBnCJL0WFA&#10;0RZLh54VWUqMyaJGKbGzXz9KtpOu66XDLjYlfvz41uyqqQzbK/Ql2JwPzwacKSuhKO0m598fbz5M&#10;OPNB2EIYsCrnB+X51fz9u1ntpmoEWzCFQkYk1k9rl/NtCG6aZV5uVSX8GThlSakBKxHoiJusQFET&#10;e2Wy0WBwntWAhUOQynu6vW6VfJ74tVYy3GvtVWAm5xRbSF9M33X8ZvOZmG5QuG0puzDEP0RRidKS&#10;0yPVtQiC7bD8i6oqJYIHHc4kVBloXUqVcqBshoMX2ay2wqmUCxXHu2OZ/P+jlXf7lXtAFprP0FAD&#10;Y0Fq56eeLmM+jcYq/ilSRnoq4eFYNtUEJuny4/h8MiGNJNXoYnx5eRFZspOxQx++KKhYFHKO1JVU&#10;LLG/9aGF9pDoy4Mpi5vSmHSIk6CWBtleUA/XmxQikf+BMpbVOT8ffxokYgvRvGU2NtKoNAudu1OC&#10;SQoHoyLG2G9Ks7JIeb7iW0ipbOj9J3REaXL1FsMOf4rqLcZtHmSRPIMNR+OqtIAp+7Q8p5IVP/qQ&#10;dYun3jzLO4qhWTdd49dQHGgeENpV8U7elNS1W+HDg0DaDWo07Xu4p482QFWHTuJsC/jrtfuIp5El&#10;LWc17VrO/c+dQMWZ+WppmONi9gL2wroX7K5aArV+SC+Jk0kkAwymFzVC9UTPwCJ6IZWwknzlPPTi&#10;MrQbT8+IVItFAtH6ORFu7crJSB3LGWfwsXkS6LpBDTThd9BvoZi+mNcW21WzrVt3oGVNC9A9LPE1&#10;eH5OqNPzN/8NAAD//wMAUEsDBBQABgAIAAAAIQB0lYrk4AAAAAoBAAAPAAAAZHJzL2Rvd25yZXYu&#10;eG1sTI/LTsMwEEX3SPyDNUhsEHUe0FohkwoqIeiCRUM/wImncSC2o9htw9/jrmA3ozm6c265ns3A&#10;TjT53lmEdJEAI9s61dsOYf/5ei+A+SCtkoOzhPBDHtbV9VUpC+XOdkenOnQshlhfSAQdwlhw7ltN&#10;RvqFG8nG28FNRoa4Th1XkzzHcDPwLEmW3Mjexg9ajrTR1H7XR4MghN+syDdu+Hqr3++29JLuPjTi&#10;7c38/AQs0Bz+YLjoR3WoolPjjlZ5NiAsRR5JhFxkKbALkK/i0CA8ZI8Z8Krk/ytUvwAAAP//AwBQ&#10;SwECLQAUAAYACAAAACEAtoM4kv4AAADhAQAAEwAAAAAAAAAAAAAAAAAAAAAAW0NvbnRlbnRfVHlw&#10;ZXNdLnhtbFBLAQItABQABgAIAAAAIQA4/SH/1gAAAJQBAAALAAAAAAAAAAAAAAAAAC8BAABfcmVs&#10;cy8ucmVsc1BLAQItABQABgAIAAAAIQBjbDEAYgIAAEYFAAAOAAAAAAAAAAAAAAAAAC4CAABkcnMv&#10;ZTJvRG9jLnhtbFBLAQItABQABgAIAAAAIQB0lYrk4AAAAAoBAAAPAAAAAAAAAAAAAAAAALwEAABk&#10;cnMvZG93bnJldi54bWxQSwUGAAAAAAQABADzAAAAyQUAAAAA&#10;" fillcolor="white [3212]" stroked="f" strokeweight=".5pt">
                <v:textbox inset="0,0,0,0">
                  <w:txbxContent>
                    <w:p w14:paraId="0B3022B1" w14:textId="77777777" w:rsidR="006D7011" w:rsidRDefault="006D7011">
                      <w:pPr>
                        <w:rPr>
                          <w:rFonts w:asciiTheme="majorBidi" w:hAnsiTheme="majorBidi" w:cstheme="majorBidi"/>
                          <w:sz w:val="16"/>
                          <w:szCs w:val="16"/>
                        </w:rPr>
                      </w:pPr>
                      <w:r>
                        <w:rPr>
                          <w:rFonts w:ascii="Times New Roman" w:eastAsia="Times New Roman" w:hAnsi="Times New Roman" w:cs="Times New Roman"/>
                          <w:sz w:val="16"/>
                          <w:szCs w:val="16"/>
                          <w:lang w:val="pl-PL"/>
                        </w:rPr>
                        <w:t>P</w:t>
                      </w:r>
                    </w:p>
                    <w:p w14:paraId="50AF8C82" w14:textId="77777777" w:rsidR="006D7011" w:rsidRDefault="006D7011">
                      <w:pPr>
                        <w:rPr>
                          <w:rFonts w:asciiTheme="majorBidi" w:hAnsiTheme="majorBidi" w:cstheme="majorBidi"/>
                          <w:sz w:val="16"/>
                          <w:szCs w:val="16"/>
                        </w:rPr>
                      </w:pPr>
                      <w:r>
                        <w:rPr>
                          <w:rFonts w:ascii="Times New Roman" w:eastAsia="Times New Roman" w:hAnsi="Times New Roman" w:cs="Times New Roman"/>
                          <w:sz w:val="16"/>
                          <w:szCs w:val="16"/>
                          <w:lang w:val="pl-PL"/>
                        </w:rPr>
                        <w:t>A</w:t>
                      </w:r>
                    </w:p>
                  </w:txbxContent>
                </v:textbox>
              </v:shape>
            </w:pict>
          </mc:Fallback>
        </mc:AlternateContent>
      </w:r>
      <w:r w:rsidRPr="008F328C">
        <w:rPr>
          <w:rFonts w:ascii="Times New Roman" w:hAnsi="Times New Roman" w:cs="Times New Roman"/>
          <w:b/>
          <w:noProof/>
          <w:lang w:eastAsia="ko-KR"/>
        </w:rPr>
        <mc:AlternateContent>
          <mc:Choice Requires="wps">
            <w:drawing>
              <wp:anchor distT="0" distB="0" distL="114300" distR="114300" simplePos="0" relativeHeight="251658262" behindDoc="0" locked="0" layoutInCell="1" allowOverlap="1" wp14:anchorId="0DC759C4" wp14:editId="27994352">
                <wp:simplePos x="0" y="0"/>
                <wp:positionH relativeFrom="column">
                  <wp:posOffset>143490</wp:posOffset>
                </wp:positionH>
                <wp:positionV relativeFrom="paragraph">
                  <wp:posOffset>67651</wp:posOffset>
                </wp:positionV>
                <wp:extent cx="437487" cy="2305050"/>
                <wp:effectExtent l="0" t="0" r="1270" b="0"/>
                <wp:wrapNone/>
                <wp:docPr id="20" name="Text Box 20"/>
                <wp:cNvGraphicFramePr/>
                <a:graphic xmlns:a="http://schemas.openxmlformats.org/drawingml/2006/main">
                  <a:graphicData uri="http://schemas.microsoft.com/office/word/2010/wordprocessingShape">
                    <wps:wsp>
                      <wps:cNvSpPr txBox="1"/>
                      <wps:spPr>
                        <a:xfrm>
                          <a:off x="0" y="0"/>
                          <a:ext cx="437487" cy="2305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45FBA"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1,0</w:t>
                            </w:r>
                          </w:p>
                          <w:p w14:paraId="762932D1"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0,9</w:t>
                            </w:r>
                          </w:p>
                          <w:p w14:paraId="258F6A5F"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0,8</w:t>
                            </w:r>
                          </w:p>
                          <w:p w14:paraId="09F08E77"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0,7</w:t>
                            </w:r>
                          </w:p>
                          <w:p w14:paraId="6C961770"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0,6</w:t>
                            </w:r>
                          </w:p>
                          <w:p w14:paraId="550E03F8"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0,5</w:t>
                            </w:r>
                          </w:p>
                          <w:p w14:paraId="15BB2AAC"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0,4</w:t>
                            </w:r>
                          </w:p>
                          <w:p w14:paraId="4860B956"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0,3</w:t>
                            </w:r>
                          </w:p>
                          <w:p w14:paraId="41B30291"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0,2</w:t>
                            </w:r>
                          </w:p>
                          <w:p w14:paraId="0B7644DA"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0,1</w:t>
                            </w:r>
                          </w:p>
                          <w:p w14:paraId="533C204F"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DC759C4" id="Text Box 20" o:spid="_x0000_s1027" type="#_x0000_t202" style="position:absolute;left:0;text-align:left;margin-left:11.3pt;margin-top:5.35pt;width:34.45pt;height:18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OnZQIAAE4FAAAOAAAAZHJzL2Uyb0RvYy54bWysVN9P2zAQfp+0/8Hy+0gpDFDVFLGiTpMQ&#10;IMrEs+vYbTTb551Nk+6v39lJWsZ4YZoiOWf7u5/+7qaXrTVsqzDU4Ep+fDTiTDkJVe3WJf/+uPh0&#10;wVmIwlXCgFMl36nAL2cfP0wbP1Fj2ICpFDIy4sKk8SXfxOgnRRHkRlkRjsArR5ca0IpIW1wXFYqG&#10;rFtTjEejs6IBrDyCVCHQ6XV3yWfZvtZKxjutg4rMlJxii3nFvK7SWsymYrJG4Te17MMQ/xCFFbUj&#10;p3tT1yIK9oz1X6ZsLREC6HgkwRagdS1VzoGyOR69yma5EV7lXKg4we/LFP6fWXm7Xfp7ZLH9Ai09&#10;YCpI48Mk0GHKp9Vo058iZXRPJdzty6bayCQdnp6cn16ccybpanwy+kxfMlMctD2G+FWBZUkoOdKz&#10;5GqJ7U2IHXSAJGcBTF0tamPyJlFBzQ2yraBHXK1zjGT8D5RxrCn52Qm5TkoOknpn2bh0ojIZeneH&#10;DLMUd0YljHEPSrO6yom+4VtIqVwc/Gd0Qmly9R7FHn+I6j3KXR6kkT2Di3tlWzvAnH3unkPJqh9D&#10;yLrD09u8yDuJsV21lPgLAqyg2hEvELqWCV4uanq8GxHivUDqEaIC9X28o0UboOJDL3G2Afz11nnC&#10;E3XplrOGeq7k4eezQMWZ+eaI1KlBBwEHYTUI7tnOgRhwTBPFyyySAkYziBrBPtE4uEpe6Eo4Sb5K&#10;HgdxHrvOp3Ei1dVVBlEbehFv3NLLZDpVNVHxsX0S6Hu+RmL6LQzdKCavaNth+6J2des31LS5D/oB&#10;k6bCy31GHcbg7DcAAAD//wMAUEsDBBQABgAIAAAAIQCQO1nt3gAAAAgBAAAPAAAAZHJzL2Rvd25y&#10;ZXYueG1sTI/BTsMwEETvSPyDtUhcEHWSiiaEOBVUQsCBQwMf4MRLHIjXUey24e9ZTnCcndHM22q7&#10;uFEccQ6DJwXpKgGB1HkzUK/g/e3xugARoiajR0+o4BsDbOvzs0qXxp9oj8cm9oJLKJRagY1xKqUM&#10;nUWnw8pPSOx9+NnpyHLupZn1icvdKLMk2UinB+IFqyfcWey+moNTUBRhl2No/fj51DxfveBDun+1&#10;Sl1eLPd3ICIu8S8Mv/iMDjUztf5AJohRQZZtOMn3JAfB/m16A6JVsM7XOci6kv8fqH8AAAD//wMA&#10;UEsBAi0AFAAGAAgAAAAhALaDOJL+AAAA4QEAABMAAAAAAAAAAAAAAAAAAAAAAFtDb250ZW50X1R5&#10;cGVzXS54bWxQSwECLQAUAAYACAAAACEAOP0h/9YAAACUAQAACwAAAAAAAAAAAAAAAAAvAQAAX3Jl&#10;bHMvLnJlbHNQSwECLQAUAAYACAAAACEA1sfDp2UCAABOBQAADgAAAAAAAAAAAAAAAAAuAgAAZHJz&#10;L2Uyb0RvYy54bWxQSwECLQAUAAYACAAAACEAkDtZ7d4AAAAIAQAADwAAAAAAAAAAAAAAAAC/BAAA&#10;ZHJzL2Rvd25yZXYueG1sUEsFBgAAAAAEAAQA8wAAAMoFAAAAAA==&#10;" fillcolor="white [3212]" stroked="f" strokeweight=".5pt">
                <v:textbox inset="0,0,0,0">
                  <w:txbxContent>
                    <w:p w14:paraId="2B945FBA"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1,0</w:t>
                      </w:r>
                    </w:p>
                    <w:p w14:paraId="762932D1"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0,9</w:t>
                      </w:r>
                    </w:p>
                    <w:p w14:paraId="258F6A5F"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0,8</w:t>
                      </w:r>
                    </w:p>
                    <w:p w14:paraId="09F08E77"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0,7</w:t>
                      </w:r>
                    </w:p>
                    <w:p w14:paraId="6C961770"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0,6</w:t>
                      </w:r>
                    </w:p>
                    <w:p w14:paraId="550E03F8"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0,5</w:t>
                      </w:r>
                    </w:p>
                    <w:p w14:paraId="15BB2AAC"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0,4</w:t>
                      </w:r>
                    </w:p>
                    <w:p w14:paraId="4860B956"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0,3</w:t>
                      </w:r>
                    </w:p>
                    <w:p w14:paraId="41B30291"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0,2</w:t>
                      </w:r>
                    </w:p>
                    <w:p w14:paraId="0B7644DA"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0,1</w:t>
                      </w:r>
                    </w:p>
                    <w:p w14:paraId="533C204F" w14:textId="77777777" w:rsidR="006D7011" w:rsidRDefault="006D7011">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pl-PL"/>
                        </w:rPr>
                        <w:t>0,0</w:t>
                      </w:r>
                    </w:p>
                  </w:txbxContent>
                </v:textbox>
              </v:shape>
            </w:pict>
          </mc:Fallback>
        </mc:AlternateContent>
      </w:r>
      <w:r w:rsidRPr="008F328C">
        <w:rPr>
          <w:rFonts w:ascii="Times New Roman" w:eastAsiaTheme="minorHAnsi" w:hAnsi="Times New Roman" w:cs="Times New Roman"/>
          <w:noProof/>
          <w:lang w:eastAsia="ko-KR"/>
        </w:rPr>
        <mc:AlternateContent>
          <mc:Choice Requires="wps">
            <w:drawing>
              <wp:anchor distT="0" distB="0" distL="114300" distR="114300" simplePos="0" relativeHeight="251658241" behindDoc="1" locked="0" layoutInCell="1" allowOverlap="1" wp14:anchorId="1FB0F4BA" wp14:editId="3DB85910">
                <wp:simplePos x="0" y="0"/>
                <wp:positionH relativeFrom="page">
                  <wp:posOffset>970915</wp:posOffset>
                </wp:positionH>
                <wp:positionV relativeFrom="paragraph">
                  <wp:posOffset>300990</wp:posOffset>
                </wp:positionV>
                <wp:extent cx="151765" cy="1804670"/>
                <wp:effectExtent l="0" t="3810" r="1270" b="1270"/>
                <wp:wrapNone/>
                <wp:docPr id="3900" name="Text Box 3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80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B7A06" w14:textId="77777777" w:rsidR="006D7011" w:rsidRDefault="006D7011">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pl-PL"/>
                              </w:rPr>
                              <w:t>PRAWDOPODOBIEŃSTWO BRAKU REAKTYWACJI</w:t>
                            </w:r>
                          </w:p>
                        </w:txbxContent>
                      </wps:txbx>
                      <wps:bodyPr rot="0" vert="vert270"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1FB0F4BA" id="Text Box 3915" o:spid="_x0000_s1028" type="#_x0000_t202" style="position:absolute;left:0;text-align:left;margin-left:76.45pt;margin-top:23.7pt;width:11.95pt;height:142.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Lb0AEAAIEDAAAOAAAAZHJzL2Uyb0RvYy54bWysU8tu2zAQvBfoPxC817KMxgkEy0GbIEWB&#10;tA2Q9gMoipKISlx2l7bkv++Sspw+bkUvxIqP2ZnZ0e52GnpxNEgWXCnz1VoK4zTU1rWl/Pb14c2N&#10;FBSUq1UPzpTyZEje7l+/2o2+MBvooK8NCgZxVIy+lF0Ivsgy0p0ZFK3AG8eHDeCgAn9im9WoRkYf&#10;+myzXm+zEbD2CNoQ8e79fCj3Cb9pjA5fmoZMEH0pmVtIK6a1imu236miReU7q8801D+wGJR13PQC&#10;da+CEge0f0ENViMQNGGlYcigaaw2SQOrydd/qHnulDdJC5tD/mIT/T9Y/fn47J9QhOk9TDzAJIL8&#10;I+jvJBzcdcq15h0ijJ1RNTfOo2XZ6Kk4P41WU0ERpBo/Qc1DVocACWhqcIiusE7B6DyA08V0MwWh&#10;Y8ur/Hp7JYXmo/xm/XZ7naaSqWJ57ZHCBwODiEUpkYea0NXxkUJko4rlSmzm4MH2fRps737b4Itx&#10;J7GPhGfqYaomYetSbqK0KKaC+sRyEOa4cLy5iOuGuYmR01JK+nFQaKToPzp2JUZrKXApqqVQTnfA&#10;oQtSzOVdmCN48GjbjsFfXOU5J0XnTMYg/fqd2L/8OfufAAAA//8DAFBLAwQUAAYACAAAACEAGb4T&#10;Ld4AAAAKAQAADwAAAGRycy9kb3ducmV2LnhtbEyPQW7CMBBF95V6B2sqdVccCJg2jYOqSKg7pAIH&#10;MLEbR9jjNDYk3L7Dql1+zdOf98vN5B27miF2ASXMZxkwg03QHbYSjoftyyuwmBRq5QIaCTcTYVM9&#10;PpSq0GHEL3Pdp5ZRCcZCSbAp9QXnsbHGqzgLvUG6fYfBq0RxaLke1Ejl3vFFlgnuVYf0ware1NY0&#10;5/3FS9jduB1zvzo2dS12Iv/ZqvOnk/L5afp4B5bMlP5guOuTOlTkdAoX1JE5yqvFG6ESluslsDuw&#10;FrTlJCHP5wJ4VfL/E6pfAAAA//8DAFBLAQItABQABgAIAAAAIQC2gziS/gAAAOEBAAATAAAAAAAA&#10;AAAAAAAAAAAAAABbQ29udGVudF9UeXBlc10ueG1sUEsBAi0AFAAGAAgAAAAhADj9If/WAAAAlAEA&#10;AAsAAAAAAAAAAAAAAAAALwEAAF9yZWxzLy5yZWxzUEsBAi0AFAAGAAgAAAAhAEAzctvQAQAAgQMA&#10;AA4AAAAAAAAAAAAAAAAALgIAAGRycy9lMm9Eb2MueG1sUEsBAi0AFAAGAAgAAAAhABm+Ey3eAAAA&#10;CgEAAA8AAAAAAAAAAAAAAAAAKgQAAGRycy9kb3ducmV2LnhtbFBLBQYAAAAABAAEAPMAAAA1BQAA&#10;AAA=&#10;" filled="f" stroked="f">
                <v:textbox style="layout-flow:vertical;mso-layout-flow-alt:bottom-to-top" inset="0,0,0,0">
                  <w:txbxContent>
                    <w:p w14:paraId="3A2B7A06" w14:textId="77777777" w:rsidR="006D7011" w:rsidRDefault="006D7011">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pl-PL"/>
                        </w:rPr>
                        <w:t>PRAWDOPODOBIEŃSTWO BRAKU REAKTYWACJI</w:t>
                      </w:r>
                    </w:p>
                  </w:txbxContent>
                </v:textbox>
                <w10:wrap anchorx="page"/>
              </v:shape>
            </w:pict>
          </mc:Fallback>
        </mc:AlternateContent>
      </w:r>
      <w:r w:rsidRPr="008F328C">
        <w:rPr>
          <w:rFonts w:ascii="Times New Roman" w:hAnsi="Times New Roman" w:cs="Times New Roman"/>
          <w:noProof/>
          <w:lang w:eastAsia="ko-KR"/>
        </w:rPr>
        <w:drawing>
          <wp:inline distT="0" distB="0" distL="0" distR="0" wp14:anchorId="1329FC95" wp14:editId="65F10655">
            <wp:extent cx="5607050" cy="3071704"/>
            <wp:effectExtent l="0" t="0" r="0" b="0"/>
            <wp:docPr id="85"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9891"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613049" cy="3074990"/>
                    </a:xfrm>
                    <a:prstGeom prst="rect">
                      <a:avLst/>
                    </a:prstGeom>
                    <a:noFill/>
                    <a:ln>
                      <a:noFill/>
                    </a:ln>
                  </pic:spPr>
                </pic:pic>
              </a:graphicData>
            </a:graphic>
          </wp:inline>
        </w:drawing>
      </w:r>
    </w:p>
    <w:p w14:paraId="141D5FFE" w14:textId="77777777" w:rsidR="002E5800" w:rsidRPr="008F328C" w:rsidRDefault="000E0B7C">
      <w:pPr>
        <w:spacing w:before="8"/>
        <w:ind w:left="4309" w:right="3834"/>
        <w:jc w:val="center"/>
        <w:rPr>
          <w:rFonts w:ascii="Times New Roman" w:eastAsia="Times New Roman" w:hAnsi="Times New Roman" w:cs="Times New Roman"/>
          <w:sz w:val="20"/>
          <w:szCs w:val="20"/>
          <w:lang w:val="pl-PL"/>
        </w:rPr>
      </w:pPr>
      <w:r w:rsidRPr="008F328C">
        <w:rPr>
          <w:rFonts w:ascii="Times New Roman" w:eastAsia="Times New Roman" w:hAnsi="Times New Roman" w:cs="Times New Roman"/>
          <w:b/>
          <w:bCs/>
          <w:sz w:val="20"/>
          <w:szCs w:val="20"/>
          <w:lang w:val="pl-PL"/>
        </w:rPr>
        <w:t>CZAS (TYGODNIE)</w:t>
      </w:r>
    </w:p>
    <w:p w14:paraId="45F842C7" w14:textId="77777777" w:rsidR="002E5800" w:rsidRPr="008F328C" w:rsidRDefault="000E0B7C" w:rsidP="00CC4159">
      <w:pPr>
        <w:tabs>
          <w:tab w:val="left" w:pos="3742"/>
          <w:tab w:val="left" w:pos="4625"/>
          <w:tab w:val="left" w:pos="5256"/>
          <w:tab w:val="left" w:pos="6195"/>
        </w:tabs>
        <w:spacing w:line="226" w:lineRule="exact"/>
        <w:ind w:leftChars="-1" w:left="1701" w:hangingChars="774" w:hanging="1703"/>
        <w:rPr>
          <w:rFonts w:ascii="Times New Roman" w:eastAsia="Times New Roman" w:hAnsi="Times New Roman" w:cs="Times New Roman"/>
          <w:sz w:val="20"/>
          <w:szCs w:val="20"/>
          <w:lang w:val="pl-PL"/>
        </w:rPr>
      </w:pPr>
      <w:r w:rsidRPr="008F328C">
        <w:rPr>
          <w:rFonts w:ascii="Times New Roman" w:eastAsiaTheme="minorHAnsi" w:hAnsi="Times New Roman" w:cs="Times New Roman"/>
          <w:noProof/>
          <w:lang w:eastAsia="ko-KR"/>
        </w:rPr>
        <mc:AlternateContent>
          <mc:Choice Requires="wpg">
            <w:drawing>
              <wp:anchor distT="0" distB="0" distL="114300" distR="114300" simplePos="0" relativeHeight="251658240" behindDoc="1" locked="0" layoutInCell="1" allowOverlap="1" wp14:anchorId="3AF59B72" wp14:editId="261B6345">
                <wp:simplePos x="0" y="0"/>
                <wp:positionH relativeFrom="page">
                  <wp:posOffset>2773680</wp:posOffset>
                </wp:positionH>
                <wp:positionV relativeFrom="paragraph">
                  <wp:posOffset>70485</wp:posOffset>
                </wp:positionV>
                <wp:extent cx="401955" cy="59055"/>
                <wp:effectExtent l="1905" t="0" r="5715" b="0"/>
                <wp:wrapNone/>
                <wp:docPr id="3885" name="Group 3899"/>
                <wp:cNvGraphicFramePr/>
                <a:graphic xmlns:a="http://schemas.openxmlformats.org/drawingml/2006/main">
                  <a:graphicData uri="http://schemas.microsoft.com/office/word/2010/wordprocessingGroup">
                    <wpg:wgp>
                      <wpg:cNvGrpSpPr/>
                      <wpg:grpSpPr>
                        <a:xfrm>
                          <a:off x="0" y="0"/>
                          <a:ext cx="401955" cy="59055"/>
                          <a:chOff x="4368" y="111"/>
                          <a:chExt cx="633" cy="93"/>
                        </a:xfrm>
                      </wpg:grpSpPr>
                      <wpg:grpSp>
                        <wpg:cNvPr id="3886" name="Group 3912"/>
                        <wpg:cNvGrpSpPr/>
                        <wpg:grpSpPr>
                          <a:xfrm>
                            <a:off x="4392" y="134"/>
                            <a:ext cx="46" cy="46"/>
                            <a:chOff x="4392" y="134"/>
                            <a:chExt cx="46" cy="46"/>
                          </a:xfrm>
                        </wpg:grpSpPr>
                        <wps:wsp>
                          <wps:cNvPr id="3887" name="Freeform 3913"/>
                          <wps:cNvSpPr/>
                          <wps:spPr bwMode="auto">
                            <a:xfrm>
                              <a:off x="4392" y="134"/>
                              <a:ext cx="46" cy="46"/>
                            </a:xfrm>
                            <a:custGeom>
                              <a:avLst/>
                              <a:gdLst>
                                <a:gd name="T0" fmla="+- 0 4392 4392"/>
                                <a:gd name="T1" fmla="*/ T0 w 46"/>
                                <a:gd name="T2" fmla="+- 0 157 134"/>
                                <a:gd name="T3" fmla="*/ 157 h 46"/>
                                <a:gd name="T4" fmla="+- 0 4438 439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88" name="Group 3910"/>
                        <wpg:cNvGrpSpPr/>
                        <wpg:grpSpPr>
                          <a:xfrm>
                            <a:off x="4481" y="134"/>
                            <a:ext cx="46" cy="46"/>
                            <a:chOff x="4481" y="134"/>
                            <a:chExt cx="46" cy="46"/>
                          </a:xfrm>
                        </wpg:grpSpPr>
                        <wps:wsp>
                          <wps:cNvPr id="3889" name="Freeform 3911"/>
                          <wps:cNvSpPr/>
                          <wps:spPr bwMode="auto">
                            <a:xfrm>
                              <a:off x="4481" y="134"/>
                              <a:ext cx="46" cy="46"/>
                            </a:xfrm>
                            <a:custGeom>
                              <a:avLst/>
                              <a:gdLst>
                                <a:gd name="T0" fmla="+- 0 4481 4481"/>
                                <a:gd name="T1" fmla="*/ T0 w 46"/>
                                <a:gd name="T2" fmla="+- 0 157 134"/>
                                <a:gd name="T3" fmla="*/ 157 h 46"/>
                                <a:gd name="T4" fmla="+- 0 4526 448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0" name="Group 3908"/>
                        <wpg:cNvGrpSpPr/>
                        <wpg:grpSpPr>
                          <a:xfrm>
                            <a:off x="4572" y="134"/>
                            <a:ext cx="46" cy="46"/>
                            <a:chOff x="4572" y="134"/>
                            <a:chExt cx="46" cy="46"/>
                          </a:xfrm>
                        </wpg:grpSpPr>
                        <wps:wsp>
                          <wps:cNvPr id="3891" name="Freeform 3909"/>
                          <wps:cNvSpPr/>
                          <wps:spPr bwMode="auto">
                            <a:xfrm>
                              <a:off x="4572" y="134"/>
                              <a:ext cx="46" cy="46"/>
                            </a:xfrm>
                            <a:custGeom>
                              <a:avLst/>
                              <a:gdLst>
                                <a:gd name="T0" fmla="+- 0 4572 4572"/>
                                <a:gd name="T1" fmla="*/ T0 w 46"/>
                                <a:gd name="T2" fmla="+- 0 157 134"/>
                                <a:gd name="T3" fmla="*/ 157 h 46"/>
                                <a:gd name="T4" fmla="+- 0 4618 457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2" name="Group 3906"/>
                        <wpg:cNvGrpSpPr/>
                        <wpg:grpSpPr>
                          <a:xfrm>
                            <a:off x="4661" y="134"/>
                            <a:ext cx="46" cy="46"/>
                            <a:chOff x="4661" y="134"/>
                            <a:chExt cx="46" cy="46"/>
                          </a:xfrm>
                        </wpg:grpSpPr>
                        <wps:wsp>
                          <wps:cNvPr id="3893" name="Freeform 3907"/>
                          <wps:cNvSpPr/>
                          <wps:spPr bwMode="auto">
                            <a:xfrm>
                              <a:off x="4661" y="134"/>
                              <a:ext cx="46" cy="46"/>
                            </a:xfrm>
                            <a:custGeom>
                              <a:avLst/>
                              <a:gdLst>
                                <a:gd name="T0" fmla="+- 0 4661 4661"/>
                                <a:gd name="T1" fmla="*/ T0 w 46"/>
                                <a:gd name="T2" fmla="+- 0 157 134"/>
                                <a:gd name="T3" fmla="*/ 157 h 46"/>
                                <a:gd name="T4" fmla="+- 0 4706 466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4" name="Group 3904"/>
                        <wpg:cNvGrpSpPr/>
                        <wpg:grpSpPr>
                          <a:xfrm>
                            <a:off x="4752" y="134"/>
                            <a:ext cx="46" cy="46"/>
                            <a:chOff x="4752" y="134"/>
                            <a:chExt cx="46" cy="46"/>
                          </a:xfrm>
                        </wpg:grpSpPr>
                        <wps:wsp>
                          <wps:cNvPr id="3895" name="Freeform 3905"/>
                          <wps:cNvSpPr/>
                          <wps:spPr bwMode="auto">
                            <a:xfrm>
                              <a:off x="4752" y="134"/>
                              <a:ext cx="46" cy="46"/>
                            </a:xfrm>
                            <a:custGeom>
                              <a:avLst/>
                              <a:gdLst>
                                <a:gd name="T0" fmla="+- 0 4752 4752"/>
                                <a:gd name="T1" fmla="*/ T0 w 46"/>
                                <a:gd name="T2" fmla="+- 0 157 134"/>
                                <a:gd name="T3" fmla="*/ 157 h 46"/>
                                <a:gd name="T4" fmla="+- 0 4798 475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6" name="Group 3902"/>
                        <wpg:cNvGrpSpPr/>
                        <wpg:grpSpPr>
                          <a:xfrm>
                            <a:off x="4841" y="134"/>
                            <a:ext cx="46" cy="46"/>
                            <a:chOff x="4841" y="134"/>
                            <a:chExt cx="46" cy="46"/>
                          </a:xfrm>
                        </wpg:grpSpPr>
                        <wps:wsp>
                          <wps:cNvPr id="3897" name="Freeform 3903"/>
                          <wps:cNvSpPr/>
                          <wps:spPr bwMode="auto">
                            <a:xfrm>
                              <a:off x="4841" y="134"/>
                              <a:ext cx="46" cy="46"/>
                            </a:xfrm>
                            <a:custGeom>
                              <a:avLst/>
                              <a:gdLst>
                                <a:gd name="T0" fmla="+- 0 4841 4841"/>
                                <a:gd name="T1" fmla="*/ T0 w 46"/>
                                <a:gd name="T2" fmla="+- 0 157 134"/>
                                <a:gd name="T3" fmla="*/ 157 h 46"/>
                                <a:gd name="T4" fmla="+- 0 4886 484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8" name="Group 3900"/>
                        <wpg:cNvGrpSpPr/>
                        <wpg:grpSpPr>
                          <a:xfrm>
                            <a:off x="4932" y="134"/>
                            <a:ext cx="46" cy="46"/>
                            <a:chOff x="4932" y="134"/>
                            <a:chExt cx="46" cy="46"/>
                          </a:xfrm>
                        </wpg:grpSpPr>
                        <wps:wsp>
                          <wps:cNvPr id="3899" name="Freeform 3901"/>
                          <wps:cNvSpPr/>
                          <wps:spPr bwMode="auto">
                            <a:xfrm>
                              <a:off x="4932" y="134"/>
                              <a:ext cx="46" cy="46"/>
                            </a:xfrm>
                            <a:custGeom>
                              <a:avLst/>
                              <a:gdLst>
                                <a:gd name="T0" fmla="+- 0 4932 4932"/>
                                <a:gd name="T1" fmla="*/ T0 w 46"/>
                                <a:gd name="T2" fmla="+- 0 157 134"/>
                                <a:gd name="T3" fmla="*/ 157 h 46"/>
                                <a:gd name="T4" fmla="+- 0 4978 493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14:sizeRelH relativeFrom="page">
                  <wp14:pctWidth>0</wp14:pctWidth>
                </wp14:sizeRelH>
                <wp14:sizeRelV relativeFrom="page">
                  <wp14:pctHeight>0</wp14:pctHeight>
                </wp14:sizeRelV>
              </wp:anchor>
            </w:drawing>
          </mc:Choice>
          <mc:Fallback>
            <w:pict>
              <v:group w14:anchorId="2D0598FA" id="Group 3899" o:spid="_x0000_s1026" style="position:absolute;margin-left:218.4pt;margin-top:5.55pt;width:31.65pt;height:4.65pt;z-index:-251671552;mso-position-horizontal-relative:page" coordorigin="4368,111" coordsize="63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IiItQQAAK8mAAAOAAAAZHJzL2Uyb0RvYy54bWzsmkuPozgQgO8r7X+wOM5qGgiEhKjTc5iZ&#10;7ss+RprsD3DAPCTArE1Cen/9lotA6MCol0RoOKBIBOKy6+HyRxHz+OmUJuTIhIx5ttXMB0MjLPO4&#10;H2fhVvt79/xxrRFZ0MynCc/YVntlUvv09Osvj2W+YQse8cRngsAgmdyU+VaLiiLf6Lr0IpZS+cBz&#10;lkFjwEVKC7gUoe4LWsLoaaIvDMPRSy78XHCPSQm/fqkatSccPwiYV/wVBJIVJNlqYFuBR4HHvTrq&#10;T490EwqaR7F3NoPeYEVK4wyUNkN9oQUlBxF3hkpjT3DJg+LB46nOgyD2GPoA3pjGlTcvgh9y9CXc&#10;lGHehAlCexWnm4f1/jy+iPx7/k1AJMo8hFjglfLlFIhUfYOV5IQhe21Cxk4F8eBH2zDd5VIjHjQt&#10;XQNOMaJeBGFXnWzLgQyARtM066av576OZVUdXUs16bVG/Y0dzUVlHxj8TZDY32rWeu1oJKMppBVG&#10;iliuuVAjqS4DHLMtd1HZaNmVjY13oEB5Zju17Y1b1128qHYLhFudfugV5Lu8TKm8b0q/RzRnmClS&#10;eX6J0KqO0LNgTC0jFSQMd5mjaDP1ciMhC8i+/IP7EFF6KDhm9FUW/N9gNX7TjXeQxQvjmEv0+Lss&#10;MEVCH85wyfjnSdzBAg3SBNbfbx+JQZQmPFSxDxsxsxb7oJOdQUpST89FBOazNZK5XBGzntuLEGRf&#10;JQTjKJGoZyC7lqlMsq11r0mwApqhdnavSZAV75sE09WM0zYJotnEi0Z1CL1Tdo4hnBGqkGvgnOVc&#10;qsW3g0hB9u7q5QVSKuA/EAYflPBKhRv0oXD1fVYigKbXHBUaAY7uqynKaaFsUzrUKSlx5ZAIv9Sv&#10;KT+yHcf24oKURW3fpTnJ2mJqRYFpjVzVCrYpLWhso1kZ3Eq3jD/HSYL5lmTKHstYLByMkeRJ7KtW&#10;ZY4U4f5zIsiRwn1iuVafcxjeiAGPMx9Hixj1v57PCxon1TloTyDEALBqNSkUyc2e+6+wsgSv7j5w&#10;t4STiIt/NVLCnWeryX8OVDANZtCDn7daUZ9+Lqpb1SEXcRhBL2QoDg/wQEVnYrfg3fDvQgFA8BUn&#10;8c43lJP2ukqoZi29z8lOl4ly0q0j1OYkRvtWTnY87w8WpExN2HbiDuEkaCK2UoeZeeHbT+TkcuH0&#10;mjRzsobjKJysED5z8kZOulCAvOWkgbeBoZxcrgbXk50u0+SkC0ypItTipOEq8tzKyY7no3ESNBFb&#10;qZsOJx0T6skek2ZOjsrJuZ68q55Uz75XnMQH5KGcdJzB9WSny0Q5Cc+WXU7io9WtnOx4PhonQRM8&#10;CcPcTIeTKwPqyR6TZk6Oysm5nryPk/Dv0RUn8Q/GoZxcLQfXk50uE+UkZFiXk/gn8q2c7Hg+GidB&#10;E7GVuglx0oV6ssekmZOjcnKuJ+/jJMTvipM37eOs7cH1ZKfLRDnZt49j3LWP0/F8NE6CJmIrddPh&#10;JGwd9po0c3JUTs715H2c7OzjGDft47jW4Hqy02WinOzbxzHu2sfpeD4aJ0ETsZW66XDSXUE92WPS&#10;zMlROTnXk+9zEt8SgreicP///AaXeu2qfY075Jf3zJ7+AwAA//8DAFBLAwQUAAYACAAAACEADmWp&#10;et8AAAAJAQAADwAAAGRycy9kb3ducmV2LnhtbEyPzWrDMBCE74W+g9hAb43k/FEcyyGEtqdQaFIo&#10;vSnWxjaxVsZSbOftuz01t1lmmPk224yuET12ofakIZkqEEiFtzWVGr6Ob88vIEI0ZE3jCTXcMMAm&#10;f3zITGr9QJ/YH2IpuIRCajRUMbaplKGo0Jkw9S0Se2ffORP57EppOzNwuWvkTKmVdKYmXqhMi7sK&#10;i8vh6jS8D2bYzpPXfn85724/x+XH9z5BrZ8m43YNIuIY/8Pwh8/okDPTyV/JBtFoWMxXjB7ZSBIQ&#10;HFgqxeKkYaYWIPNM3n+Q/wIAAP//AwBQSwECLQAUAAYACAAAACEAtoM4kv4AAADhAQAAEwAAAAAA&#10;AAAAAAAAAAAAAAAAW0NvbnRlbnRfVHlwZXNdLnhtbFBLAQItABQABgAIAAAAIQA4/SH/1gAAAJQB&#10;AAALAAAAAAAAAAAAAAAAAC8BAABfcmVscy8ucmVsc1BLAQItABQABgAIAAAAIQCO3IiItQQAAK8m&#10;AAAOAAAAAAAAAAAAAAAAAC4CAABkcnMvZTJvRG9jLnhtbFBLAQItABQABgAIAAAAIQAOZal63wAA&#10;AAkBAAAPAAAAAAAAAAAAAAAAAA8HAABkcnMvZG93bnJldi54bWxQSwUGAAAAAAQABADzAAAAGwgA&#10;AAAA&#10;">
                <v:group id="Group 3912" o:spid="_x0000_s1027" style="position:absolute;left:4392;top:134;width:46;height:46" coordorigin="439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hNxQAAAN0AAAAPAAAAZHJzL2Rvd25yZXYueG1sRI9Bi8Iw&#10;FITvC/6H8ARva1plpVSjiKh4EGF1YfH2aJ5tsXkpTWzrvzcLwh6HmfmGWax6U4mWGldaVhCPIxDE&#10;mdUl5wp+LrvPBITzyBory6TgSQ5Wy8HHAlNtO/6m9uxzESDsUlRQeF+nUrqsIINubGvi4N1sY9AH&#10;2eRSN9gFuKnkJIpm0mDJYaHAmjYFZffzwyjYd9itp/G2Pd5vm+f18nX6Pcak1GjYr+cgPPX+P/xu&#10;H7SCaZLM4O9NeAJy+QIAAP//AwBQSwECLQAUAAYACAAAACEA2+H2y+4AAACFAQAAEwAAAAAAAAAA&#10;AAAAAAAAAAAAW0NvbnRlbnRfVHlwZXNdLnhtbFBLAQItABQABgAIAAAAIQBa9CxbvwAAABUBAAAL&#10;AAAAAAAAAAAAAAAAAB8BAABfcmVscy8ucmVsc1BLAQItABQABgAIAAAAIQBFQ4hNxQAAAN0AAAAP&#10;AAAAAAAAAAAAAAAAAAcCAABkcnMvZG93bnJldi54bWxQSwUGAAAAAAMAAwC3AAAA+QIAAAAA&#10;">
                  <v:shape id="Freeform 3913" o:spid="_x0000_s1028" style="position:absolute;left:439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sRxgAAAN0AAAAPAAAAZHJzL2Rvd25yZXYueG1sRI9Pa8JA&#10;FMTvQr/D8gredNMKMURXKQVrSw/+RXp8zT6T0OzbmN2a+O1dQfA4zMxvmOm8M5U4U+NKywpehhEI&#10;4szqknMF+91ikIBwHlljZZkUXMjBfPbUm2KqbcsbOm99LgKEXYoKCu/rVEqXFWTQDW1NHLyjbQz6&#10;IJtc6gbbADeVfI2iWBosOSwUWNN7Qdnf9t8oWGx+6Wctx7GRX9+ndnnEj9UhVqr/3L1NQHjq/CN8&#10;b39qBaMkGcPtTXgCcnYFAAD//wMAUEsBAi0AFAAGAAgAAAAhANvh9svuAAAAhQEAABMAAAAAAAAA&#10;AAAAAAAAAAAAAFtDb250ZW50X1R5cGVzXS54bWxQSwECLQAUAAYACAAAACEAWvQsW78AAAAVAQAA&#10;CwAAAAAAAAAAAAAAAAAfAQAAX3JlbHMvLnJlbHNQSwECLQAUAAYACAAAACEAyZhrEcYAAADdAAAA&#10;DwAAAAAAAAAAAAAAAAAHAgAAZHJzL2Rvd25yZXYueG1sUEsFBgAAAAADAAMAtwAAAPoCAAAAAA==&#10;" path="m,23r46,e" filled="f" strokecolor="#585858" strokeweight="2.38pt">
                    <v:path arrowok="t" o:connecttype="custom" o:connectlocs="0,157;46,157" o:connectangles="0,0"/>
                  </v:shape>
                </v:group>
                <v:group id="Group 3910" o:spid="_x0000_s1029" style="position:absolute;left:4481;top:134;width:46;height:46" coordorigin="448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mkwwAAAN0AAAAPAAAAZHJzL2Rvd25yZXYueG1sRE9Ni8Iw&#10;EL0L+x/CLOxN064opWsUkXXxIIJVkL0NzdgWm0lpYlv/vTkIHh/ve7EaTC06al1lWUE8iUAQ51ZX&#10;XCg4n7bjBITzyBpry6TgQQ5Wy4/RAlNtez5Sl/lChBB2KSoovW9SKV1ekkE3sQ1x4K62NegDbAup&#10;W+xDuKnldxTNpcGKQ0OJDW1Kym/Z3Sj467FfT+Pfbn+7bh7/p9nhso9Jqa/PYf0DwtPg3+KXe6cV&#10;TJMkzA1vwhOQyycAAAD//wMAUEsBAi0AFAAGAAgAAAAhANvh9svuAAAAhQEAABMAAAAAAAAAAAAA&#10;AAAAAAAAAFtDb250ZW50X1R5cGVzXS54bWxQSwECLQAUAAYACAAAACEAWvQsW78AAAAVAQAACwAA&#10;AAAAAAAAAAAAAAAfAQAAX3JlbHMvLnJlbHNQSwECLQAUAAYACAAAACEAW5C5pMMAAADdAAAADwAA&#10;AAAAAAAAAAAAAAAHAgAAZHJzL2Rvd25yZXYueG1sUEsFBgAAAAADAAMAtwAAAPcCAAAAAA==&#10;">
                  <v:shape id="Freeform 3911" o:spid="_x0000_s1030" style="position:absolute;left:448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r4xwAAAN0AAAAPAAAAZHJzL2Rvd25yZXYueG1sRI9Pa8JA&#10;FMTvhX6H5RW81U0txJi6ighWxYP1D6XH1+wzCc2+jdmtid++KxQ8DjPzG2Y87UwlLtS40rKCl34E&#10;gjizuuRcwfGweE5AOI+ssbJMCq7kYDp5fBhjqm3LO7rsfS4ChF2KCgrv61RKlxVk0PVtTRy8k20M&#10;+iCbXOoG2wA3lRxEUSwNlhwWCqxpXlD2s/81Cha7b/r6kMPYyPXm3C5P+L79jJXqPXWzNxCeOn8P&#10;/7dXWsFrkozg9iY8ATn5AwAA//8DAFBLAQItABQABgAIAAAAIQDb4fbL7gAAAIUBAAATAAAAAAAA&#10;AAAAAAAAAAAAAABbQ29udGVudF9UeXBlc10ueG1sUEsBAi0AFAAGAAgAAAAhAFr0LFu/AAAAFQEA&#10;AAsAAAAAAAAAAAAAAAAAHwEAAF9yZWxzLy5yZWxzUEsBAi0AFAAGAAgAAAAhANdLWvjHAAAA3QAA&#10;AA8AAAAAAAAAAAAAAAAABwIAAGRycy9kb3ducmV2LnhtbFBLBQYAAAAAAwADALcAAAD7AgAAAAA=&#10;" path="m,23r45,e" filled="f" strokecolor="#585858" strokeweight="2.38pt">
                    <v:path arrowok="t" o:connecttype="custom" o:connectlocs="0,157;45,157" o:connectangles="0,0"/>
                  </v:shape>
                </v:group>
                <v:group id="Group 3908" o:spid="_x0000_s1031" style="position:absolute;left:4572;top:134;width:46;height:46" coordorigin="457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N/wwAAAN0AAAAPAAAAZHJzL2Rvd25yZXYueG1sRE9Ni8Iw&#10;EL0L+x/CCHvTtCtKtxpFxF32IIK6IN6GZmyLzaQ0sa3/3hwEj4/3vVj1phItNa60rCAeRyCIM6tL&#10;zhX8n35GCQjnkTVWlknBgxyslh+DBabadnyg9uhzEULYpaig8L5OpXRZQQbd2NbEgbvaxqAPsMml&#10;brAL4aaSX1E0kwZLDg0F1rQpKLsd70bBb4fdehJv293tunlcTtP9eReTUp/Dfj0H4an3b/HL/acV&#10;TJLvsD+8CU9ALp8AAAD//wMAUEsBAi0AFAAGAAgAAAAhANvh9svuAAAAhQEAABMAAAAAAAAAAAAA&#10;AAAAAAAAAFtDb250ZW50X1R5cGVzXS54bWxQSwECLQAUAAYACAAAACEAWvQsW78AAAAVAQAACwAA&#10;AAAAAAAAAAAAAAAfAQAAX3JlbHMvLnJlbHNQSwECLQAUAAYACAAAACEAID8jf8MAAADdAAAADwAA&#10;AAAAAAAAAAAAAAAHAgAAZHJzL2Rvd25yZXYueG1sUEsFBgAAAAADAAMAtwAAAPcCAAAAAA==&#10;">
                  <v:shape id="Freeform 3909" o:spid="_x0000_s1032" style="position:absolute;left:457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AjxwAAAN0AAAAPAAAAZHJzL2Rvd25yZXYueG1sRI9ba8JA&#10;FITfhf6H5RT6Zja2EDV1lVKwF3zwivTxNHtMQrNn0+xq4r93BcHHYWa+YSazzlTiRI0rLSsYRDEI&#10;4szqknMFu+28PwLhPLLGyjIpOJOD2fShN8FU25bXdNr4XAQIuxQVFN7XqZQuK8igi2xNHLyDbQz6&#10;IJtc6gbbADeVfI7jRBosOSwUWNN7Qdnf5mgUzNe/9LOSw8TI78V/+3nAj+U+UerpsXt7BeGp8/fw&#10;rf2lFbyMxgO4vglPQE4vAAAA//8DAFBLAQItABQABgAIAAAAIQDb4fbL7gAAAIUBAAATAAAAAAAA&#10;AAAAAAAAAAAAAABbQ29udGVudF9UeXBlc10ueG1sUEsBAi0AFAAGAAgAAAAhAFr0LFu/AAAAFQEA&#10;AAsAAAAAAAAAAAAAAAAAHwEAAF9yZWxzLy5yZWxzUEsBAi0AFAAGAAgAAAAhAKzkwCPHAAAA3QAA&#10;AA8AAAAAAAAAAAAAAAAABwIAAGRycy9kb3ducmV2LnhtbFBLBQYAAAAAAwADALcAAAD7AgAAAAA=&#10;" path="m,23r46,e" filled="f" strokecolor="#585858" strokeweight="2.38pt">
                    <v:path arrowok="t" o:connecttype="custom" o:connectlocs="0,157;46,157" o:connectangles="0,0"/>
                  </v:shape>
                </v:group>
                <v:group id="Group 3906" o:spid="_x0000_s1033" style="position:absolute;left:4661;top:134;width:46;height:46" coordorigin="466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TxgAAAN0AAAAPAAAAZHJzL2Rvd25yZXYueG1sRI9Pi8Iw&#10;FMTvwn6H8Bb2pmkVxa1GEXGXPYjgH1i8PZpnW2xeShPb+u2NIHgcZuY3zHzZmVI0VLvCsoJ4EIEg&#10;Tq0uOFNwOv70pyCcR9ZYWiYFd3KwXHz05pho2/KemoPPRICwS1BB7n2VSOnSnAy6ga2Ig3extUEf&#10;ZJ1JXWMb4KaUwyiaSIMFh4UcK1rnlF4PN6Pgt8V2NYo3zfZ6Wd/Px/HufxuTUl+f3WoGwlPn3+FX&#10;+08rGE2/h/B8E56AXDwAAAD//wMAUEsBAi0AFAAGAAgAAAAhANvh9svuAAAAhQEAABMAAAAAAAAA&#10;AAAAAAAAAAAAAFtDb250ZW50X1R5cGVzXS54bWxQSwECLQAUAAYACAAAACEAWvQsW78AAAAVAQAA&#10;CwAAAAAAAAAAAAAAAAAfAQAAX3JlbHMvLnJlbHNQSwECLQAUAAYACAAAACEAv6EYk8YAAADdAAAA&#10;DwAAAAAAAAAAAAAAAAAHAgAAZHJzL2Rvd25yZXYueG1sUEsFBgAAAAADAAMAtwAAAPoCAAAAAA==&#10;">
                  <v:shape id="Freeform 3907" o:spid="_x0000_s1034" style="position:absolute;left:466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vPxwAAAN0AAAAPAAAAZHJzL2Rvd25yZXYueG1sRI9Pa8JA&#10;FMTvhX6H5RW81U0VoqauUgS1xUP9h/T4mn0modm3Mbua+O1doeBxmJnfMONpa0pxodoVlhW8dSMQ&#10;xKnVBWcK9rv56xCE88gaS8uk4EoOppPnpzEm2ja8ocvWZyJA2CWoIPe+SqR0aU4GXddWxME72tqg&#10;D7LOpK6xCXBTyl4UxdJgwWEhx4pmOaV/27NRMN/80s9aDmIjv1anZnnExfchVqrz0n68g/DU+kf4&#10;v/2pFfSHoz7c34QnICc3AAAA//8DAFBLAQItABQABgAIAAAAIQDb4fbL7gAAAIUBAAATAAAAAAAA&#10;AAAAAAAAAAAAAABbQ29udGVudF9UeXBlc10ueG1sUEsBAi0AFAAGAAgAAAAhAFr0LFu/AAAAFQEA&#10;AAsAAAAAAAAAAAAAAAAAHwEAAF9yZWxzLy5yZWxzUEsBAi0AFAAGAAgAAAAhADN6+8/HAAAA3QAA&#10;AA8AAAAAAAAAAAAAAAAABwIAAGRycy9kb3ducmV2LnhtbFBLBQYAAAAAAwADALcAAAD7AgAAAAA=&#10;" path="m,23r45,e" filled="f" strokecolor="#585858" strokeweight="2.38pt">
                    <v:path arrowok="t" o:connecttype="custom" o:connectlocs="0,157;45,157" o:connectangles="0,0"/>
                  </v:shape>
                </v:group>
                <v:group id="Group 3904" o:spid="_x0000_s1035" style="position:absolute;left:4752;top:134;width:46;height:46" coordorigin="475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V8xwAAAN0AAAAPAAAAZHJzL2Rvd25yZXYueG1sRI9Pa8JA&#10;FMTvBb/D8oTedBNtRaOriNTSgwj+AfH2yD6TYPZtyK5J/PbdgtDjMDO/YRarzpSiodoVlhXEwwgE&#10;cWp1wZmC82k7mIJ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F8EJXzHAAAA3QAA&#10;AA8AAAAAAAAAAAAAAAAABwIAAGRycy9kb3ducmV2LnhtbFBLBQYAAAAAAwADALcAAAD7AgAAAAA=&#10;">
                  <v:shape id="Freeform 3905" o:spid="_x0000_s1036" style="position:absolute;left:475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8YgxwAAAN0AAAAPAAAAZHJzL2Rvd25yZXYueG1sRI9Ba8JA&#10;FITvBf/D8gRvdWOlUaOrSEGr9NCqpXh8Zp9JMPs2zW5N+u/dgtDjMDPfMLNFa0pxpdoVlhUM+hEI&#10;4tTqgjMFn4fV4xiE88gaS8uk4JccLOadhxkm2ja8o+veZyJA2CWoIPe+SqR0aU4GXd9WxME729qg&#10;D7LOpK6xCXBTyqcoiqXBgsNCjhW95JRe9j9GwWp3ouOHHMVGbt++m9czrt+/YqV63XY5BeGp9f/h&#10;e3ujFQzHk2f4exOegJzfAAAA//8DAFBLAQItABQABgAIAAAAIQDb4fbL7gAAAIUBAAATAAAAAAAA&#10;AAAAAAAAAAAAAABbQ29udGVudF9UeXBlc10ueG1sUEsBAi0AFAAGAAgAAAAhAFr0LFu/AAAAFQEA&#10;AAsAAAAAAAAAAAAAAAAAHwEAAF9yZWxzLy5yZWxzUEsBAi0AFAAGAAgAAAAhANPfxiDHAAAA3QAA&#10;AA8AAAAAAAAAAAAAAAAABwIAAGRycy9kb3ducmV2LnhtbFBLBQYAAAAAAwADALcAAAD7AgAAAAA=&#10;" path="m,23r46,e" filled="f" strokecolor="#585858" strokeweight="2.38pt">
                    <v:path arrowok="t" o:connecttype="custom" o:connectlocs="0,157;46,157" o:connectangles="0,0"/>
                  </v:shape>
                </v:group>
                <v:group id="Group 3902" o:spid="_x0000_s1037" style="position:absolute;left:4841;top:134;width:46;height:46" coordorigin="484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6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Mx/B6E56AXDwBAAD//wMAUEsBAi0AFAAGAAgAAAAhANvh9svuAAAAhQEAABMAAAAAAAAA&#10;AAAAAAAAAAAAAFtDb250ZW50X1R5cGVzXS54bWxQSwECLQAUAAYACAAAACEAWvQsW78AAAAVAQAA&#10;CwAAAAAAAAAAAAAAAAAfAQAAX3JlbHMvLnJlbHNQSwECLQAUAAYACAAAACEAwJoekMYAAADdAAAA&#10;DwAAAAAAAAAAAAAAAAAHAgAAZHJzL2Rvd25yZXYueG1sUEsFBgAAAAADAAMAtwAAAPoCAAAAAA==&#10;">
                  <v:shape id="Freeform 3903" o:spid="_x0000_s1038" style="position:absolute;left:484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3MxwAAAN0AAAAPAAAAZHJzL2Rvd25yZXYueG1sRI9Pa8JA&#10;FMTvQr/D8gq96aYWoqauIoJW8dD6B+nxNftMgtm3Mbua+O27QqHHYWZ+w4ynrSnFjWpXWFbw2otA&#10;EKdWF5wpOOwX3SEI55E1lpZJwZ0cTCdPnTEm2ja8pdvOZyJA2CWoIPe+SqR0aU4GXc9WxME72dqg&#10;D7LOpK6xCXBTyn4UxdJgwWEhx4rmOaXn3dUoWGx/6PtLDmIj15tL83HC5ecxVurluZ29g/DU+v/w&#10;X3ulFbwNRwN4vAlPQE5+AQAA//8DAFBLAQItABQABgAIAAAAIQDb4fbL7gAAAIUBAAATAAAAAAAA&#10;AAAAAAAAAAAAAABbQ29udGVudF9UeXBlc10ueG1sUEsBAi0AFAAGAAgAAAAhAFr0LFu/AAAAFQEA&#10;AAsAAAAAAAAAAAAAAAAAHwEAAF9yZWxzLy5yZWxzUEsBAi0AFAAGAAgAAAAhAExB/czHAAAA3QAA&#10;AA8AAAAAAAAAAAAAAAAABwIAAGRycy9kb3ducmV2LnhtbFBLBQYAAAAAAwADALcAAAD7AgAAAAA=&#10;" path="m,23r45,e" filled="f" strokecolor="#585858" strokeweight="2.38pt">
                    <v:path arrowok="t" o:connecttype="custom" o:connectlocs="0,157;45,157" o:connectangles="0,0"/>
                  </v:shape>
                </v:group>
                <v:group id="Group 3900" o:spid="_x0000_s1039" style="position:absolute;left:4932;top:134;width:46;height:46" coordorigin="493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95wwAAAN0AAAAPAAAAZHJzL2Rvd25yZXYueG1sRE9Ni8Iw&#10;EL0L+x/CCHvTtCtKtxpFxF32IIK6IN6GZmyLzaQ0sa3/3hwEj4/3vVj1phItNa60rCAeRyCIM6tL&#10;zhX8n35GCQjnkTVWlknBgxyslh+DBabadnyg9uhzEULYpaig8L5OpXRZQQbd2NbEgbvaxqAPsMml&#10;brAL4aaSX1E0kwZLDg0F1rQpKLsd70bBb4fdehJv293tunlcTtP9eReTUp/Dfj0H4an3b/HL/acV&#10;TJLvMDe8CU9ALp8AAAD//wMAUEsBAi0AFAAGAAgAAAAhANvh9svuAAAAhQEAABMAAAAAAAAAAAAA&#10;AAAAAAAAAFtDb250ZW50X1R5cGVzXS54bWxQSwECLQAUAAYACAAAACEAWvQsW78AAAAVAQAACwAA&#10;AAAAAAAAAAAAAAAfAQAAX3JlbHMvLnJlbHNQSwECLQAUAAYACAAAACEA3kkvecMAAADdAAAADwAA&#10;AAAAAAAAAAAAAAAHAgAAZHJzL2Rvd25yZXYueG1sUEsFBgAAAAADAAMAtwAAAPcCAAAAAA==&#10;">
                  <v:shape id="Freeform 3901" o:spid="_x0000_s1040" style="position:absolute;left:493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wlxwAAAN0AAAAPAAAAZHJzL2Rvd25yZXYueG1sRI9ba8JA&#10;FITfhf6H5RT6ppu2EE3qKqVgL/jgFfHxNHtMQrNn0+xq4r93BcHHYWa+YcbTzlTiRI0rLSt4HkQg&#10;iDOrS84VbDez/giE88gaK8uk4EwOppOH3hhTbVte0WntcxEg7FJUUHhfp1K6rCCDbmBr4uAdbGPQ&#10;B9nkUjfYBrip5EsUxdJgyWGhwJo+Csr+1kejYLb6pf1SDmMjf+b/7dcBPxe7WKmnx+79DYSnzt/D&#10;t/a3VvA6ShK4vglPQE4uAAAA//8DAFBLAQItABQABgAIAAAAIQDb4fbL7gAAAIUBAAATAAAAAAAA&#10;AAAAAAAAAAAAAABbQ29udGVudF9UeXBlc10ueG1sUEsBAi0AFAAGAAgAAAAhAFr0LFu/AAAAFQEA&#10;AAsAAAAAAAAAAAAAAAAAHwEAAF9yZWxzLy5yZWxzUEsBAi0AFAAGAAgAAAAhAFKSzCXHAAAA3QAA&#10;AA8AAAAAAAAAAAAAAAAABwIAAGRycy9kb3ducmV2LnhtbFBLBQYAAAAAAwADALcAAAD7AgAAAAA=&#10;" path="m,23r46,e" filled="f" strokecolor="#585858" strokeweight="2.38pt">
                    <v:path arrowok="t" o:connecttype="custom" o:connectlocs="0,157;46,157" o:connectangles="0,0"/>
                  </v:shape>
                </v:group>
                <w10:wrap anchorx="page"/>
              </v:group>
            </w:pict>
          </mc:Fallback>
        </mc:AlternateContent>
      </w:r>
      <w:r w:rsidRPr="008F328C">
        <w:rPr>
          <w:rFonts w:ascii="Times New Roman" w:eastAsia="Times New Roman" w:hAnsi="Times New Roman" w:cs="Times New Roman"/>
          <w:spacing w:val="1"/>
          <w:sz w:val="20"/>
          <w:szCs w:val="20"/>
          <w:lang w:val="pl-PL"/>
        </w:rPr>
        <w:t>Leczenie</w:t>
      </w:r>
      <w:r w:rsidRPr="008F328C">
        <w:rPr>
          <w:rFonts w:ascii="Times New Roman" w:eastAsia="Times New Roman" w:hAnsi="Times New Roman" w:cs="Times New Roman"/>
          <w:spacing w:val="1"/>
          <w:sz w:val="20"/>
          <w:szCs w:val="20"/>
          <w:lang w:val="pl-PL"/>
        </w:rPr>
        <w:tab/>
        <w:t>Placebo</w:t>
      </w:r>
      <w:r w:rsidRPr="008F328C">
        <w:rPr>
          <w:rFonts w:ascii="Times New Roman" w:eastAsia="Times New Roman" w:hAnsi="Times New Roman" w:cs="Times New Roman"/>
          <w:spacing w:val="1"/>
          <w:sz w:val="20"/>
          <w:szCs w:val="20"/>
          <w:lang w:val="pl-PL"/>
        </w:rPr>
        <w:tab/>
      </w:r>
      <w:r w:rsidRPr="008F328C">
        <w:rPr>
          <w:rFonts w:ascii="Times New Roman" w:eastAsia="Times New Roman" w:hAnsi="Times New Roman" w:cs="Times New Roman"/>
          <w:spacing w:val="1"/>
          <w:sz w:val="20"/>
          <w:szCs w:val="20"/>
          <w:u w:val="thick"/>
          <w:lang w:val="pl-PL"/>
        </w:rPr>
        <w:tab/>
      </w:r>
      <w:r w:rsidRPr="008F328C">
        <w:rPr>
          <w:rFonts w:ascii="Times New Roman" w:eastAsia="Times New Roman" w:hAnsi="Times New Roman" w:cs="Times New Roman"/>
          <w:spacing w:val="1"/>
          <w:sz w:val="20"/>
          <w:szCs w:val="20"/>
          <w:lang w:val="pl-PL"/>
        </w:rPr>
        <w:t>adalimumab</w:t>
      </w:r>
      <w:r w:rsidRPr="008F328C">
        <w:rPr>
          <w:rFonts w:ascii="Times New Roman" w:eastAsia="Times New Roman" w:hAnsi="Times New Roman" w:cs="Times New Roman"/>
          <w:spacing w:val="1"/>
          <w:sz w:val="20"/>
          <w:szCs w:val="20"/>
          <w:lang w:val="pl-PL"/>
        </w:rPr>
        <w:tab/>
        <w:t>∆ cenzurowanie (obserwacja ucięta)</w:t>
      </w:r>
    </w:p>
    <w:p w14:paraId="6026AC46" w14:textId="77777777" w:rsidR="002E5800" w:rsidRPr="008F328C" w:rsidRDefault="002E5800">
      <w:pPr>
        <w:spacing w:before="11" w:line="240" w:lineRule="exact"/>
        <w:rPr>
          <w:rFonts w:ascii="Times New Roman" w:hAnsi="Times New Roman" w:cs="Times New Roman"/>
          <w:sz w:val="24"/>
          <w:szCs w:val="24"/>
          <w:lang w:val="pl-PL"/>
        </w:rPr>
      </w:pPr>
    </w:p>
    <w:p w14:paraId="46ABED6B" w14:textId="77777777" w:rsidR="002E5800" w:rsidRPr="008F328C" w:rsidRDefault="000E0B7C">
      <w:pPr>
        <w:pStyle w:val="a3"/>
        <w:rPr>
          <w:lang w:val="pl-PL"/>
        </w:rPr>
      </w:pPr>
      <w:r w:rsidRPr="008F328C">
        <w:rPr>
          <w:rFonts w:eastAsia="Times New Roman"/>
          <w:lang w:val="pl-PL"/>
        </w:rPr>
        <w:t>Uwaga: P = Placebo [liczba zagrożonych pacjentów (z reaktywacją choroby)]; A = adalimumab [liczba zagrożonych pacjentów (z reaktywacją choroby)].</w:t>
      </w:r>
    </w:p>
    <w:p w14:paraId="4CC0029A" w14:textId="77777777" w:rsidR="002E5800" w:rsidRPr="008F328C" w:rsidRDefault="002E5800">
      <w:pPr>
        <w:spacing w:before="17" w:line="240" w:lineRule="exact"/>
        <w:rPr>
          <w:rFonts w:ascii="Times New Roman" w:hAnsi="Times New Roman" w:cs="Times New Roman"/>
          <w:sz w:val="24"/>
          <w:szCs w:val="24"/>
          <w:lang w:val="pl-PL"/>
        </w:rPr>
      </w:pPr>
    </w:p>
    <w:p w14:paraId="517E9AB6" w14:textId="42EC9582" w:rsidR="002E5800" w:rsidRPr="008F328C" w:rsidRDefault="000E0B7C">
      <w:pPr>
        <w:pStyle w:val="a3"/>
        <w:rPr>
          <w:lang w:val="pl-PL"/>
        </w:rPr>
      </w:pPr>
      <w:r w:rsidRPr="008F328C">
        <w:rPr>
          <w:rFonts w:eastAsia="Times New Roman"/>
          <w:spacing w:val="1"/>
          <w:lang w:val="pl-PL"/>
        </w:rPr>
        <w:t>Spośród 68 pacjentów przydzielonych do grupy wycofania z leczenia, u których wystąpiła reaktywacja choroby, 65 ukończyło 12 tygodni leczenia ratującego adalimumabem, z czego 37 (56,9%) ponownie osiągnęło remisję (ASDAS &lt;1,3) po</w:t>
      </w:r>
      <w:r w:rsidR="005F53C2" w:rsidRPr="008F328C">
        <w:rPr>
          <w:rFonts w:eastAsia="Times New Roman"/>
          <w:lang w:val="pl-PL"/>
        </w:rPr>
        <w:t xml:space="preserve"> </w:t>
      </w:r>
      <w:r w:rsidRPr="008F328C">
        <w:rPr>
          <w:rFonts w:eastAsia="Times New Roman"/>
          <w:lang w:val="pl-PL"/>
        </w:rPr>
        <w:t>12 tygodniach wznowienia leczenia w fazie otwartej.</w:t>
      </w:r>
    </w:p>
    <w:p w14:paraId="010228E3" w14:textId="77777777" w:rsidR="002E5800" w:rsidRPr="008F328C" w:rsidRDefault="002E5800">
      <w:pPr>
        <w:spacing w:before="11" w:line="240" w:lineRule="exact"/>
        <w:rPr>
          <w:rFonts w:ascii="Times New Roman" w:hAnsi="Times New Roman" w:cs="Times New Roman"/>
          <w:sz w:val="24"/>
          <w:szCs w:val="24"/>
          <w:lang w:val="pl-PL"/>
        </w:rPr>
      </w:pPr>
    </w:p>
    <w:p w14:paraId="4AE74E1A" w14:textId="740044B0" w:rsidR="002E5800" w:rsidRPr="008F328C" w:rsidRDefault="000E0B7C">
      <w:pPr>
        <w:pStyle w:val="a3"/>
        <w:rPr>
          <w:lang w:val="pl-PL"/>
        </w:rPr>
      </w:pPr>
      <w:r w:rsidRPr="008F328C">
        <w:rPr>
          <w:rFonts w:eastAsia="Times New Roman"/>
          <w:spacing w:val="-2"/>
          <w:lang w:val="pl-PL"/>
        </w:rPr>
        <w:t xml:space="preserve">Do 68. tygodnia pacjenci kontynuujący leczenie adalimumabem wykazali istotną statystycznie większą poprawę objawów przedmiotowych i podmiotowych czynnej postaci nr-axSpA w porównaniu do pacjentów przydzielonych do grupy wycofania z leczenia w fazie podwójnie za lepionej (Tabela </w:t>
      </w:r>
      <w:r w:rsidR="007011B1" w:rsidRPr="008F328C">
        <w:rPr>
          <w:rFonts w:eastAsia="Times New Roman"/>
          <w:spacing w:val="-2"/>
          <w:lang w:val="pl-PL"/>
        </w:rPr>
        <w:t>14</w:t>
      </w:r>
      <w:r w:rsidRPr="008F328C">
        <w:rPr>
          <w:rFonts w:eastAsia="Times New Roman"/>
          <w:spacing w:val="-2"/>
          <w:lang w:val="pl-PL"/>
        </w:rPr>
        <w:t>).</w:t>
      </w:r>
    </w:p>
    <w:p w14:paraId="27B0442F" w14:textId="77777777" w:rsidR="007011B1" w:rsidRPr="008F328C" w:rsidRDefault="007011B1">
      <w:pPr>
        <w:pStyle w:val="a3"/>
        <w:jc w:val="center"/>
        <w:rPr>
          <w:lang w:val="pl-PL"/>
        </w:rPr>
      </w:pPr>
    </w:p>
    <w:p w14:paraId="3365E6E6" w14:textId="4957F724"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14</w:t>
      </w:r>
    </w:p>
    <w:p w14:paraId="6757C5D7" w14:textId="77777777" w:rsidR="002E5800" w:rsidRPr="008F328C" w:rsidRDefault="000E0B7C">
      <w:pPr>
        <w:pStyle w:val="a3"/>
        <w:jc w:val="center"/>
        <w:rPr>
          <w:b/>
          <w:lang w:val="pl-PL"/>
        </w:rPr>
      </w:pPr>
      <w:r w:rsidRPr="008F328C">
        <w:rPr>
          <w:rFonts w:eastAsia="Times New Roman"/>
          <w:b/>
          <w:bCs/>
          <w:lang w:val="pl-PL"/>
        </w:rPr>
        <w:t>Odpowiedzi określające skuteczność w kontrolowanym placebo badaniu nr-axSpA II</w:t>
      </w:r>
    </w:p>
    <w:p w14:paraId="2D4DC377" w14:textId="77777777" w:rsidR="002E5800" w:rsidRPr="008F328C" w:rsidRDefault="002E5800">
      <w:pPr>
        <w:spacing w:before="11" w:line="240" w:lineRule="exact"/>
        <w:rPr>
          <w:rFonts w:ascii="Times New Roman" w:hAnsi="Times New Roman" w:cs="Times New Roman"/>
          <w:sz w:val="24"/>
          <w:szCs w:val="24"/>
          <w:lang w:val="pl-PL"/>
        </w:rPr>
      </w:pPr>
    </w:p>
    <w:tbl>
      <w:tblPr>
        <w:tblStyle w:val="TableNormal1"/>
        <w:tblW w:w="0" w:type="auto"/>
        <w:tblInd w:w="110" w:type="dxa"/>
        <w:tblLayout w:type="fixed"/>
        <w:tblLook w:val="01E0" w:firstRow="1" w:lastRow="1" w:firstColumn="1" w:lastColumn="1" w:noHBand="0" w:noVBand="0"/>
      </w:tblPr>
      <w:tblGrid>
        <w:gridCol w:w="5772"/>
        <w:gridCol w:w="1745"/>
        <w:gridCol w:w="1891"/>
      </w:tblGrid>
      <w:tr w:rsidR="002E5800" w:rsidRPr="008F328C" w14:paraId="1D32D291"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1B507776" w14:textId="77777777" w:rsidR="002E5800" w:rsidRPr="008F328C" w:rsidRDefault="000E0B7C">
            <w:pPr>
              <w:pStyle w:val="TableParagraph"/>
              <w:spacing w:before="3" w:line="252" w:lineRule="exact"/>
              <w:ind w:left="63" w:right="359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Faza podwójnie zaślepiona Odpowiedź w 68. tygodniu</w:t>
            </w:r>
          </w:p>
        </w:tc>
        <w:tc>
          <w:tcPr>
            <w:tcW w:w="1745" w:type="dxa"/>
            <w:tcBorders>
              <w:top w:val="single" w:sz="5" w:space="0" w:color="000000"/>
              <w:left w:val="single" w:sz="5" w:space="0" w:color="000000"/>
              <w:bottom w:val="single" w:sz="5" w:space="0" w:color="000000"/>
              <w:right w:val="single" w:sz="5" w:space="0" w:color="000000"/>
            </w:tcBorders>
          </w:tcPr>
          <w:p w14:paraId="7903AB6D" w14:textId="77777777" w:rsidR="002E5800" w:rsidRPr="008F328C" w:rsidRDefault="000E0B7C">
            <w:pPr>
              <w:pStyle w:val="TableParagraph"/>
              <w:spacing w:before="2" w:line="230" w:lineRule="exact"/>
              <w:ind w:left="587" w:right="31" w:hanging="56"/>
              <w:rPr>
                <w:rFonts w:ascii="Times New Roman" w:eastAsia="Times New Roman" w:hAnsi="Times New Roman" w:cs="Times New Roman"/>
                <w:sz w:val="20"/>
                <w:szCs w:val="20"/>
                <w:lang w:val="pl-PL"/>
              </w:rPr>
            </w:pPr>
            <w:r w:rsidRPr="008F328C">
              <w:rPr>
                <w:rFonts w:ascii="Times New Roman" w:eastAsia="Times New Roman" w:hAnsi="Times New Roman" w:cs="Times New Roman"/>
                <w:b/>
                <w:bCs/>
                <w:w w:val="95"/>
                <w:sz w:val="20"/>
                <w:szCs w:val="20"/>
                <w:lang w:val="pl-PL"/>
              </w:rPr>
              <w:t>Placebo N=153</w:t>
            </w:r>
          </w:p>
        </w:tc>
        <w:tc>
          <w:tcPr>
            <w:tcW w:w="1891" w:type="dxa"/>
            <w:tcBorders>
              <w:top w:val="single" w:sz="5" w:space="0" w:color="000000"/>
              <w:left w:val="single" w:sz="5" w:space="0" w:color="000000"/>
              <w:bottom w:val="single" w:sz="5" w:space="0" w:color="000000"/>
              <w:right w:val="single" w:sz="5" w:space="0" w:color="000000"/>
            </w:tcBorders>
          </w:tcPr>
          <w:p w14:paraId="1CD47254" w14:textId="77777777" w:rsidR="002E5800" w:rsidRPr="008F328C" w:rsidRDefault="000E0B7C">
            <w:pPr>
              <w:pStyle w:val="TableParagraph"/>
              <w:spacing w:before="2" w:line="230" w:lineRule="exact"/>
              <w:ind w:left="113" w:right="113"/>
              <w:jc w:val="center"/>
              <w:rPr>
                <w:rFonts w:ascii="Times New Roman" w:eastAsia="Times New Roman" w:hAnsi="Times New Roman" w:cs="Times New Roman"/>
                <w:sz w:val="20"/>
                <w:szCs w:val="20"/>
                <w:lang w:val="pl-PL"/>
              </w:rPr>
            </w:pPr>
            <w:r w:rsidRPr="008F328C">
              <w:rPr>
                <w:rFonts w:ascii="Times New Roman" w:eastAsia="Times New Roman" w:hAnsi="Times New Roman" w:cs="Times New Roman"/>
                <w:b/>
                <w:bCs/>
                <w:w w:val="95"/>
                <w:sz w:val="20"/>
                <w:szCs w:val="20"/>
                <w:lang w:val="pl-PL"/>
              </w:rPr>
              <w:t>Adalimumab N=152</w:t>
            </w:r>
          </w:p>
        </w:tc>
      </w:tr>
      <w:tr w:rsidR="002E5800" w:rsidRPr="008F328C" w14:paraId="3C3BB19E"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41C4B42E" w14:textId="77777777" w:rsidR="002E5800" w:rsidRPr="008F328C" w:rsidRDefault="000E0B7C">
            <w:pPr>
              <w:pStyle w:val="TableParagraph"/>
              <w:spacing w:line="248" w:lineRule="exact"/>
              <w:ind w:left="63" w:right="359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ASAS</w:t>
            </w:r>
            <w:r w:rsidRPr="008F328C">
              <w:rPr>
                <w:rFonts w:ascii="Times New Roman" w:eastAsia="Times New Roman" w:hAnsi="Times New Roman" w:cs="Times New Roman"/>
                <w:spacing w:val="-1"/>
                <w:vertAlign w:val="superscript"/>
                <w:lang w:val="pl-PL"/>
              </w:rPr>
              <w:t>a, b</w:t>
            </w:r>
            <w:r w:rsidRPr="008F328C">
              <w:rPr>
                <w:rFonts w:ascii="Times New Roman" w:eastAsia="Times New Roman" w:hAnsi="Times New Roman" w:cs="Times New Roman"/>
                <w:spacing w:val="-1"/>
                <w:sz w:val="14"/>
                <w:szCs w:val="14"/>
                <w:vertAlign w:val="superscript"/>
                <w:lang w:val="pl-PL"/>
              </w:rPr>
              <w:t xml:space="preserve"> </w:t>
            </w:r>
            <w:r w:rsidRPr="008F328C">
              <w:rPr>
                <w:rFonts w:ascii="Times New Roman" w:eastAsia="Times New Roman" w:hAnsi="Times New Roman" w:cs="Times New Roman"/>
                <w:spacing w:val="-1"/>
                <w:lang w:val="pl-PL"/>
              </w:rPr>
              <w:t>20</w:t>
            </w:r>
          </w:p>
        </w:tc>
        <w:tc>
          <w:tcPr>
            <w:tcW w:w="1745" w:type="dxa"/>
            <w:tcBorders>
              <w:top w:val="single" w:sz="5" w:space="0" w:color="000000"/>
              <w:left w:val="single" w:sz="5" w:space="0" w:color="000000"/>
              <w:bottom w:val="single" w:sz="5" w:space="0" w:color="000000"/>
              <w:right w:val="single" w:sz="5" w:space="0" w:color="000000"/>
            </w:tcBorders>
          </w:tcPr>
          <w:p w14:paraId="324128B2" w14:textId="77777777" w:rsidR="002E5800" w:rsidRPr="008F328C" w:rsidRDefault="000E0B7C">
            <w:pPr>
              <w:pStyle w:val="TableParagraph"/>
              <w:spacing w:line="248" w:lineRule="exact"/>
              <w:ind w:left="563" w:right="561"/>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47,1%</w:t>
            </w:r>
          </w:p>
        </w:tc>
        <w:tc>
          <w:tcPr>
            <w:tcW w:w="1891" w:type="dxa"/>
            <w:tcBorders>
              <w:top w:val="single" w:sz="5" w:space="0" w:color="000000"/>
              <w:left w:val="single" w:sz="5" w:space="0" w:color="000000"/>
              <w:bottom w:val="single" w:sz="5" w:space="0" w:color="000000"/>
              <w:right w:val="single" w:sz="5" w:space="0" w:color="000000"/>
            </w:tcBorders>
          </w:tcPr>
          <w:p w14:paraId="08C3024B" w14:textId="77777777" w:rsidR="002E5800" w:rsidRPr="008F328C" w:rsidRDefault="000E0B7C">
            <w:pPr>
              <w:pStyle w:val="TableParagraph"/>
              <w:spacing w:line="248" w:lineRule="exact"/>
              <w:ind w:left="4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70,4%***</w:t>
            </w:r>
          </w:p>
        </w:tc>
      </w:tr>
      <w:tr w:rsidR="002E5800" w:rsidRPr="008F328C" w14:paraId="3C2884AE"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5919C0FB" w14:textId="77777777" w:rsidR="002E5800" w:rsidRPr="008F328C" w:rsidRDefault="000E0B7C">
            <w:pPr>
              <w:pStyle w:val="TableParagraph"/>
              <w:spacing w:line="246" w:lineRule="exact"/>
              <w:ind w:left="63" w:right="359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ASAS</w:t>
            </w:r>
            <w:r w:rsidRPr="008F328C">
              <w:rPr>
                <w:rFonts w:ascii="Times New Roman" w:eastAsia="Times New Roman" w:hAnsi="Times New Roman" w:cs="Times New Roman"/>
                <w:spacing w:val="-1"/>
                <w:vertAlign w:val="superscript"/>
                <w:lang w:val="pl-PL"/>
              </w:rPr>
              <w:t>a, b</w:t>
            </w:r>
            <w:r w:rsidRPr="008F328C">
              <w:rPr>
                <w:rFonts w:ascii="Times New Roman" w:eastAsia="Times New Roman" w:hAnsi="Times New Roman" w:cs="Times New Roman"/>
                <w:spacing w:val="-1"/>
                <w:sz w:val="14"/>
                <w:szCs w:val="14"/>
                <w:lang w:val="pl-PL"/>
              </w:rPr>
              <w:t xml:space="preserve"> </w:t>
            </w:r>
            <w:r w:rsidRPr="008F328C">
              <w:rPr>
                <w:rFonts w:ascii="Times New Roman" w:eastAsia="Times New Roman" w:hAnsi="Times New Roman" w:cs="Times New Roman"/>
                <w:spacing w:val="-1"/>
                <w:lang w:val="pl-PL"/>
              </w:rPr>
              <w:t>40</w:t>
            </w:r>
          </w:p>
        </w:tc>
        <w:tc>
          <w:tcPr>
            <w:tcW w:w="1745" w:type="dxa"/>
            <w:tcBorders>
              <w:top w:val="single" w:sz="5" w:space="0" w:color="000000"/>
              <w:left w:val="single" w:sz="5" w:space="0" w:color="000000"/>
              <w:bottom w:val="single" w:sz="5" w:space="0" w:color="000000"/>
              <w:right w:val="single" w:sz="5" w:space="0" w:color="000000"/>
            </w:tcBorders>
          </w:tcPr>
          <w:p w14:paraId="4C0D3B11" w14:textId="77777777" w:rsidR="002E5800" w:rsidRPr="008F328C" w:rsidRDefault="000E0B7C">
            <w:pPr>
              <w:pStyle w:val="TableParagraph"/>
              <w:spacing w:line="246" w:lineRule="exact"/>
              <w:ind w:left="563" w:right="561"/>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45,8%</w:t>
            </w:r>
          </w:p>
        </w:tc>
        <w:tc>
          <w:tcPr>
            <w:tcW w:w="1891" w:type="dxa"/>
            <w:tcBorders>
              <w:top w:val="single" w:sz="5" w:space="0" w:color="000000"/>
              <w:left w:val="single" w:sz="5" w:space="0" w:color="000000"/>
              <w:bottom w:val="single" w:sz="5" w:space="0" w:color="000000"/>
              <w:right w:val="single" w:sz="5" w:space="0" w:color="000000"/>
            </w:tcBorders>
          </w:tcPr>
          <w:p w14:paraId="329FEBDE" w14:textId="77777777" w:rsidR="002E5800" w:rsidRPr="008F328C" w:rsidRDefault="000E0B7C">
            <w:pPr>
              <w:pStyle w:val="TableParagraph"/>
              <w:spacing w:line="246" w:lineRule="exact"/>
              <w:ind w:left="4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65,8%***</w:t>
            </w:r>
          </w:p>
        </w:tc>
      </w:tr>
      <w:tr w:rsidR="002E5800" w:rsidRPr="008F328C" w14:paraId="2A53B00B"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7976E9AA" w14:textId="77777777" w:rsidR="002E5800" w:rsidRPr="008F328C" w:rsidRDefault="000E0B7C">
            <w:pPr>
              <w:pStyle w:val="TableParagraph"/>
              <w:spacing w:line="246" w:lineRule="exact"/>
              <w:ind w:left="6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ASAS</w:t>
            </w:r>
            <w:r w:rsidRPr="008F328C">
              <w:rPr>
                <w:rFonts w:ascii="Times New Roman" w:eastAsia="Times New Roman" w:hAnsi="Times New Roman" w:cs="Times New Roman"/>
                <w:spacing w:val="-1"/>
                <w:vertAlign w:val="superscript"/>
                <w:lang w:val="pl-PL"/>
              </w:rPr>
              <w:t>a</w:t>
            </w:r>
            <w:r w:rsidRPr="008F328C">
              <w:rPr>
                <w:rFonts w:ascii="Times New Roman" w:eastAsia="Times New Roman" w:hAnsi="Times New Roman" w:cs="Times New Roman"/>
                <w:spacing w:val="-1"/>
                <w:sz w:val="14"/>
                <w:szCs w:val="14"/>
                <w:lang w:val="pl-PL"/>
              </w:rPr>
              <w:t xml:space="preserve"> </w:t>
            </w:r>
            <w:r w:rsidRPr="008F328C">
              <w:rPr>
                <w:rFonts w:ascii="Times New Roman" w:eastAsia="Times New Roman" w:hAnsi="Times New Roman" w:cs="Times New Roman"/>
                <w:spacing w:val="-1"/>
                <w:lang w:val="pl-PL"/>
              </w:rPr>
              <w:t xml:space="preserve">częściowa remisja </w:t>
            </w:r>
          </w:p>
        </w:tc>
        <w:tc>
          <w:tcPr>
            <w:tcW w:w="1745" w:type="dxa"/>
            <w:tcBorders>
              <w:top w:val="single" w:sz="5" w:space="0" w:color="000000"/>
              <w:left w:val="single" w:sz="5" w:space="0" w:color="000000"/>
              <w:bottom w:val="single" w:sz="5" w:space="0" w:color="000000"/>
              <w:right w:val="single" w:sz="5" w:space="0" w:color="000000"/>
            </w:tcBorders>
          </w:tcPr>
          <w:p w14:paraId="61EF1285" w14:textId="77777777" w:rsidR="002E5800" w:rsidRPr="008F328C" w:rsidRDefault="000E0B7C">
            <w:pPr>
              <w:pStyle w:val="TableParagraph"/>
              <w:spacing w:line="246" w:lineRule="exact"/>
              <w:ind w:left="563" w:right="561"/>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26,8%</w:t>
            </w:r>
          </w:p>
        </w:tc>
        <w:tc>
          <w:tcPr>
            <w:tcW w:w="1891" w:type="dxa"/>
            <w:tcBorders>
              <w:top w:val="single" w:sz="5" w:space="0" w:color="000000"/>
              <w:left w:val="single" w:sz="5" w:space="0" w:color="000000"/>
              <w:bottom w:val="single" w:sz="5" w:space="0" w:color="000000"/>
              <w:right w:val="single" w:sz="5" w:space="0" w:color="000000"/>
            </w:tcBorders>
          </w:tcPr>
          <w:p w14:paraId="2BA66A95" w14:textId="77777777" w:rsidR="002E5800" w:rsidRPr="008F328C" w:rsidRDefault="000E0B7C">
            <w:pPr>
              <w:pStyle w:val="TableParagraph"/>
              <w:spacing w:line="246" w:lineRule="exact"/>
              <w:ind w:left="54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42,1%</w:t>
            </w:r>
          </w:p>
        </w:tc>
      </w:tr>
      <w:tr w:rsidR="002E5800" w:rsidRPr="008F328C" w14:paraId="1C14978A"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67956EA2" w14:textId="77777777" w:rsidR="002E5800" w:rsidRPr="008F328C" w:rsidRDefault="000E0B7C">
            <w:pPr>
              <w:pStyle w:val="TableParagraph"/>
              <w:spacing w:line="246" w:lineRule="exact"/>
              <w:ind w:left="6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ASDAS</w:t>
            </w:r>
            <w:r w:rsidRPr="008F328C">
              <w:rPr>
                <w:rFonts w:ascii="Times New Roman" w:eastAsia="Times New Roman" w:hAnsi="Times New Roman" w:cs="Times New Roman"/>
                <w:spacing w:val="-1"/>
                <w:vertAlign w:val="superscript"/>
                <w:lang w:val="pl-PL"/>
              </w:rPr>
              <w:t>c</w:t>
            </w:r>
            <w:r w:rsidRPr="008F328C">
              <w:rPr>
                <w:rFonts w:ascii="Times New Roman" w:eastAsia="Times New Roman" w:hAnsi="Times New Roman" w:cs="Times New Roman"/>
                <w:spacing w:val="-1"/>
                <w:sz w:val="14"/>
                <w:szCs w:val="14"/>
                <w:lang w:val="pl-PL"/>
              </w:rPr>
              <w:t xml:space="preserve"> </w:t>
            </w:r>
            <w:r w:rsidRPr="008F328C">
              <w:rPr>
                <w:rFonts w:ascii="Times New Roman" w:eastAsia="Times New Roman" w:hAnsi="Times New Roman" w:cs="Times New Roman"/>
                <w:spacing w:val="-1"/>
                <w:lang w:val="pl-PL"/>
              </w:rPr>
              <w:t>nieaktywna choroba</w:t>
            </w:r>
          </w:p>
        </w:tc>
        <w:tc>
          <w:tcPr>
            <w:tcW w:w="1745" w:type="dxa"/>
            <w:tcBorders>
              <w:top w:val="single" w:sz="5" w:space="0" w:color="000000"/>
              <w:left w:val="single" w:sz="5" w:space="0" w:color="000000"/>
              <w:bottom w:val="single" w:sz="5" w:space="0" w:color="000000"/>
              <w:right w:val="single" w:sz="5" w:space="0" w:color="000000"/>
            </w:tcBorders>
          </w:tcPr>
          <w:p w14:paraId="6AC2387B" w14:textId="77777777" w:rsidR="002E5800" w:rsidRPr="008F328C" w:rsidRDefault="000E0B7C">
            <w:pPr>
              <w:pStyle w:val="TableParagraph"/>
              <w:spacing w:line="246" w:lineRule="exact"/>
              <w:ind w:left="563" w:right="561"/>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33,3%</w:t>
            </w:r>
          </w:p>
        </w:tc>
        <w:tc>
          <w:tcPr>
            <w:tcW w:w="1891" w:type="dxa"/>
            <w:tcBorders>
              <w:top w:val="single" w:sz="5" w:space="0" w:color="000000"/>
              <w:left w:val="single" w:sz="5" w:space="0" w:color="000000"/>
              <w:bottom w:val="single" w:sz="5" w:space="0" w:color="000000"/>
              <w:right w:val="single" w:sz="5" w:space="0" w:color="000000"/>
            </w:tcBorders>
          </w:tcPr>
          <w:p w14:paraId="37FDBBA6" w14:textId="77777777" w:rsidR="002E5800" w:rsidRPr="008F328C" w:rsidRDefault="000E0B7C">
            <w:pPr>
              <w:pStyle w:val="TableParagraph"/>
              <w:spacing w:line="246" w:lineRule="exact"/>
              <w:ind w:left="4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57,2%***</w:t>
            </w:r>
          </w:p>
        </w:tc>
      </w:tr>
      <w:tr w:rsidR="002E5800" w:rsidRPr="008F328C" w14:paraId="76BA9530" w14:textId="77777777" w:rsidTr="0008144B">
        <w:tc>
          <w:tcPr>
            <w:tcW w:w="5772" w:type="dxa"/>
            <w:tcBorders>
              <w:top w:val="single" w:sz="5" w:space="0" w:color="000000"/>
              <w:left w:val="single" w:sz="5" w:space="0" w:color="000000"/>
              <w:bottom w:val="single" w:sz="5" w:space="0" w:color="000000"/>
              <w:right w:val="single" w:sz="5" w:space="0" w:color="000000"/>
            </w:tcBorders>
          </w:tcPr>
          <w:p w14:paraId="5D064081" w14:textId="77777777" w:rsidR="002E5800" w:rsidRPr="008F328C" w:rsidRDefault="000E0B7C">
            <w:pPr>
              <w:pStyle w:val="TableParagraph"/>
              <w:spacing w:line="246" w:lineRule="exact"/>
              <w:ind w:left="63" w:right="3592"/>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Częściowa reaktywacja</w:t>
            </w:r>
            <w:r w:rsidRPr="008F328C">
              <w:rPr>
                <w:rFonts w:ascii="Times New Roman" w:eastAsia="Times New Roman" w:hAnsi="Times New Roman" w:cs="Times New Roman"/>
                <w:spacing w:val="-1"/>
                <w:vertAlign w:val="superscript"/>
                <w:lang w:val="pl-PL"/>
              </w:rPr>
              <w:t>d</w:t>
            </w:r>
          </w:p>
        </w:tc>
        <w:tc>
          <w:tcPr>
            <w:tcW w:w="1745" w:type="dxa"/>
            <w:tcBorders>
              <w:top w:val="single" w:sz="5" w:space="0" w:color="000000"/>
              <w:left w:val="single" w:sz="5" w:space="0" w:color="000000"/>
              <w:bottom w:val="single" w:sz="5" w:space="0" w:color="000000"/>
              <w:right w:val="single" w:sz="5" w:space="0" w:color="000000"/>
            </w:tcBorders>
          </w:tcPr>
          <w:p w14:paraId="53E5779E" w14:textId="77777777" w:rsidR="002E5800" w:rsidRPr="008F328C" w:rsidRDefault="000E0B7C">
            <w:pPr>
              <w:pStyle w:val="TableParagraph"/>
              <w:spacing w:line="246" w:lineRule="exact"/>
              <w:ind w:left="563" w:right="561"/>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64,1%</w:t>
            </w:r>
          </w:p>
        </w:tc>
        <w:tc>
          <w:tcPr>
            <w:tcW w:w="1891" w:type="dxa"/>
            <w:tcBorders>
              <w:top w:val="single" w:sz="5" w:space="0" w:color="000000"/>
              <w:left w:val="single" w:sz="5" w:space="0" w:color="000000"/>
              <w:bottom w:val="single" w:sz="5" w:space="0" w:color="000000"/>
              <w:right w:val="single" w:sz="5" w:space="0" w:color="000000"/>
            </w:tcBorders>
          </w:tcPr>
          <w:p w14:paraId="252AD1AD" w14:textId="77777777" w:rsidR="002E5800" w:rsidRPr="008F328C" w:rsidRDefault="000E0B7C">
            <w:pPr>
              <w:pStyle w:val="TableParagraph"/>
              <w:spacing w:line="246" w:lineRule="exact"/>
              <w:ind w:left="4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40,8%***</w:t>
            </w:r>
          </w:p>
        </w:tc>
      </w:tr>
    </w:tbl>
    <w:p w14:paraId="6EFA4D3E" w14:textId="77777777" w:rsidR="002E5800" w:rsidRPr="008F328C" w:rsidRDefault="000E0B7C">
      <w:pPr>
        <w:pStyle w:val="a3"/>
        <w:rPr>
          <w:lang w:val="pl-PL"/>
        </w:rPr>
      </w:pPr>
      <w:r w:rsidRPr="008F328C">
        <w:rPr>
          <w:rFonts w:eastAsia="Times New Roman"/>
          <w:position w:val="8"/>
          <w:vertAlign w:val="superscript"/>
          <w:lang w:val="pl-PL"/>
        </w:rPr>
        <w:t>a</w:t>
      </w:r>
      <w:r w:rsidRPr="008F328C">
        <w:rPr>
          <w:rFonts w:eastAsia="Times New Roman"/>
          <w:position w:val="8"/>
          <w:lang w:val="pl-PL"/>
        </w:rPr>
        <w:t xml:space="preserve"> ASAS = Oceny w zesztywniajcąym zapaleniu stawów kręgosłupa (ang. Assessment of SpondyloArthritis International Society)</w:t>
      </w:r>
    </w:p>
    <w:p w14:paraId="137238A4" w14:textId="77777777" w:rsidR="002E5800" w:rsidRPr="008F328C" w:rsidRDefault="000E0B7C">
      <w:pPr>
        <w:pStyle w:val="a3"/>
        <w:rPr>
          <w:lang w:val="pl-PL"/>
        </w:rPr>
      </w:pPr>
      <w:r w:rsidRPr="008F328C">
        <w:rPr>
          <w:rFonts w:eastAsia="Times New Roman"/>
          <w:position w:val="8"/>
          <w:vertAlign w:val="superscript"/>
          <w:lang w:val="pl-PL"/>
        </w:rPr>
        <w:t xml:space="preserve">b </w:t>
      </w:r>
      <w:r w:rsidRPr="008F328C">
        <w:rPr>
          <w:rFonts w:eastAsia="Times New Roman"/>
          <w:position w:val="8"/>
          <w:lang w:val="pl-PL"/>
        </w:rPr>
        <w:t>Wartość wyjściowa definiowana jako wartość wyjściowa w fazie otwartej badania, gdy pacjenci mieli czynną postać choroby.</w:t>
      </w:r>
    </w:p>
    <w:p w14:paraId="1FF39B76" w14:textId="77777777" w:rsidR="002E5800" w:rsidRPr="008F328C" w:rsidRDefault="000E0B7C">
      <w:pPr>
        <w:pStyle w:val="a3"/>
        <w:rPr>
          <w:lang w:val="pl-PL"/>
        </w:rPr>
      </w:pPr>
      <w:r w:rsidRPr="008F328C">
        <w:rPr>
          <w:rFonts w:eastAsia="Times New Roman"/>
          <w:position w:val="8"/>
          <w:vertAlign w:val="superscript"/>
          <w:lang w:val="pl-PL"/>
        </w:rPr>
        <w:t xml:space="preserve">c </w:t>
      </w:r>
      <w:r w:rsidRPr="008F328C">
        <w:rPr>
          <w:rFonts w:eastAsia="Times New Roman"/>
          <w:position w:val="8"/>
          <w:lang w:val="pl-PL"/>
        </w:rPr>
        <w:t>ASDAS = Skala aktywności choroby w zesztywniającym zapaleniu stawów kręgosłupa (ang. Ankylosing Spondylitis Disease Activity Score)</w:t>
      </w:r>
    </w:p>
    <w:p w14:paraId="5F9FB3F7" w14:textId="77777777" w:rsidR="002E5800" w:rsidRPr="008F328C" w:rsidRDefault="000E0B7C">
      <w:pPr>
        <w:pStyle w:val="a3"/>
        <w:rPr>
          <w:lang w:val="pl-PL"/>
        </w:rPr>
      </w:pPr>
      <w:r w:rsidRPr="008F328C">
        <w:rPr>
          <w:rFonts w:eastAsia="Times New Roman"/>
          <w:position w:val="8"/>
          <w:vertAlign w:val="superscript"/>
          <w:lang w:val="pl-PL"/>
        </w:rPr>
        <w:t xml:space="preserve">d </w:t>
      </w:r>
      <w:r w:rsidRPr="008F328C">
        <w:rPr>
          <w:rFonts w:eastAsia="Times New Roman"/>
          <w:position w:val="8"/>
          <w:lang w:val="pl-PL"/>
        </w:rPr>
        <w:t>Częściowa reaktywacja definiowana jako ASDAS ≥ 1,3 ale &lt; 2,1 podczas 2 kolejnych wizyt.</w:t>
      </w:r>
    </w:p>
    <w:p w14:paraId="0CC7EA1E" w14:textId="77777777" w:rsidR="002E5800" w:rsidRPr="008F328C" w:rsidRDefault="000E0B7C">
      <w:pPr>
        <w:pStyle w:val="a3"/>
        <w:ind w:left="770" w:hangingChars="350" w:hanging="770"/>
        <w:rPr>
          <w:lang w:val="pl-PL"/>
        </w:rPr>
      </w:pPr>
      <w:r w:rsidRPr="008F328C">
        <w:rPr>
          <w:rFonts w:eastAsia="Times New Roman"/>
          <w:lang w:val="pl-PL"/>
        </w:rPr>
        <w:t>***, ** Różnica statystycznie istotna (p) odpowiednio &lt; 0,001 i &lt; 0,01 dla wszystkich porównań między adalimumabem a placebo.</w:t>
      </w:r>
    </w:p>
    <w:p w14:paraId="6C6D3D23" w14:textId="77777777" w:rsidR="002E5800" w:rsidRPr="008F328C" w:rsidRDefault="002E5800">
      <w:pPr>
        <w:pStyle w:val="a3"/>
        <w:rPr>
          <w:lang w:val="pl-PL"/>
        </w:rPr>
      </w:pPr>
    </w:p>
    <w:p w14:paraId="35CF696B" w14:textId="77777777" w:rsidR="002E5800" w:rsidRPr="008F328C" w:rsidRDefault="000E0B7C">
      <w:pPr>
        <w:pStyle w:val="a3"/>
        <w:rPr>
          <w:rFonts w:eastAsia="Times New Roman"/>
          <w:lang w:val="pl-PL"/>
        </w:rPr>
      </w:pPr>
      <w:r w:rsidRPr="008F328C">
        <w:rPr>
          <w:rFonts w:eastAsia="Times New Roman"/>
          <w:i/>
          <w:iCs/>
          <w:spacing w:val="-1"/>
          <w:lang w:val="pl-PL"/>
        </w:rPr>
        <w:t>Łuszczycowe zapalenie stawów (ŁZS)</w:t>
      </w:r>
    </w:p>
    <w:p w14:paraId="710BF187" w14:textId="77777777" w:rsidR="002E5800" w:rsidRPr="008F328C" w:rsidRDefault="002E5800">
      <w:pPr>
        <w:pStyle w:val="a3"/>
        <w:rPr>
          <w:sz w:val="24"/>
          <w:szCs w:val="24"/>
          <w:lang w:val="pl-PL"/>
        </w:rPr>
      </w:pPr>
    </w:p>
    <w:p w14:paraId="723DC911" w14:textId="77777777" w:rsidR="002E5800" w:rsidRPr="008F328C" w:rsidRDefault="000E0B7C">
      <w:pPr>
        <w:pStyle w:val="a3"/>
        <w:rPr>
          <w:lang w:val="pl-PL"/>
        </w:rPr>
      </w:pPr>
      <w:r w:rsidRPr="008F328C">
        <w:rPr>
          <w:rFonts w:eastAsia="Times New Roman"/>
          <w:lang w:val="pl-PL"/>
        </w:rPr>
        <w:t>U pacjentów z czynnym łuszczycowym zapaleniem stawów o nasileniu umiarkowanym do ciężkiego, badano stosowanie adalimumabu 40 mg co drugi tydzień w dwóch badaniach klinicznych kontrolowanych placebo - badania I i II w ŁZS. W badaniu I w ŁZS, trwającym 24 tygodnie leczeniu poddano 313 dorosłych pacjentów, którzy wykazali niewystarczającą odpowiedź na niesteroidowe leki przeciwzapalne. Około 50% tych pacjentów przyjmowało metotreksat. W badaniu II w ŁZS, trwającym 12 tygodni, leczeniu poddano 100 pacjentów, którzy wykazali niewystarczającą odpowiedź na leki modyfikujące przebieg choroby. Po zakończeniu obydwu badań, 383 pacjentów włączono do badania otwartego, będącego ich kontynuacją, w którym adalimumab 40 mg podawano co drugi tydzień.</w:t>
      </w:r>
    </w:p>
    <w:p w14:paraId="47578949" w14:textId="77777777" w:rsidR="002E5800" w:rsidRPr="008F328C" w:rsidRDefault="002E5800">
      <w:pPr>
        <w:pStyle w:val="a3"/>
        <w:rPr>
          <w:sz w:val="24"/>
          <w:szCs w:val="24"/>
          <w:lang w:val="pl-PL"/>
        </w:rPr>
      </w:pPr>
    </w:p>
    <w:p w14:paraId="043A95F5" w14:textId="77777777" w:rsidR="002E5800" w:rsidRPr="008F328C" w:rsidRDefault="000E0B7C">
      <w:pPr>
        <w:pStyle w:val="a3"/>
        <w:rPr>
          <w:lang w:val="pl-PL"/>
        </w:rPr>
      </w:pPr>
      <w:r w:rsidRPr="008F328C">
        <w:rPr>
          <w:rFonts w:eastAsia="Times New Roman"/>
          <w:lang w:val="pl-PL"/>
        </w:rPr>
        <w:t>Brak wystarczających dowodów potwierdzających skuteczność adalimumabu u pacjentów z artropatią łuszczycową przypominającą zesztywniające zapalenie stawów kręgosłupa ze względu na małą liczbę pacjentów uczestniczących w badaniach klinicznych.</w:t>
      </w:r>
    </w:p>
    <w:p w14:paraId="569782B6" w14:textId="77777777" w:rsidR="002E5800" w:rsidRPr="008F328C" w:rsidRDefault="002E5800">
      <w:pPr>
        <w:spacing w:before="17" w:line="240" w:lineRule="exact"/>
        <w:rPr>
          <w:rFonts w:ascii="Times New Roman" w:hAnsi="Times New Roman" w:cs="Times New Roman"/>
          <w:sz w:val="24"/>
          <w:szCs w:val="24"/>
          <w:lang w:val="pl-PL"/>
        </w:rPr>
      </w:pPr>
    </w:p>
    <w:p w14:paraId="0D7E6E7D" w14:textId="4EB10CCC"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15</w:t>
      </w:r>
    </w:p>
    <w:p w14:paraId="46617A3E" w14:textId="77777777" w:rsidR="002E5800" w:rsidRPr="008F328C" w:rsidRDefault="000E0B7C">
      <w:pPr>
        <w:pStyle w:val="a3"/>
        <w:jc w:val="center"/>
        <w:rPr>
          <w:b/>
          <w:lang w:val="pl-PL"/>
        </w:rPr>
      </w:pPr>
      <w:r w:rsidRPr="008F328C">
        <w:rPr>
          <w:rFonts w:eastAsia="Times New Roman"/>
          <w:b/>
          <w:bCs/>
          <w:lang w:val="pl-PL"/>
        </w:rPr>
        <w:t>Odpowiedź w skali ACR w badaniach w łuszczycowym zapaleniu stawów z grupami kontrolnymi otrzymującymi placebo (odsetek pacjentów)</w:t>
      </w:r>
    </w:p>
    <w:p w14:paraId="249B6548" w14:textId="77777777" w:rsidR="002E5800" w:rsidRPr="008F328C" w:rsidRDefault="002E5800">
      <w:pPr>
        <w:pStyle w:val="a3"/>
        <w:jc w:val="center"/>
        <w:rPr>
          <w:b/>
          <w:lang w:val="pl-PL"/>
        </w:rPr>
      </w:pPr>
    </w:p>
    <w:tbl>
      <w:tblPr>
        <w:tblStyle w:val="ac"/>
        <w:tblW w:w="0" w:type="auto"/>
        <w:tblLook w:val="04A0" w:firstRow="1" w:lastRow="0" w:firstColumn="1" w:lastColumn="0" w:noHBand="0" w:noVBand="1"/>
      </w:tblPr>
      <w:tblGrid>
        <w:gridCol w:w="1882"/>
        <w:gridCol w:w="1867"/>
        <w:gridCol w:w="1889"/>
        <w:gridCol w:w="1867"/>
        <w:gridCol w:w="1889"/>
      </w:tblGrid>
      <w:tr w:rsidR="002E5800" w:rsidRPr="008F328C" w14:paraId="5AC26B5D" w14:textId="77777777">
        <w:tc>
          <w:tcPr>
            <w:tcW w:w="1910" w:type="dxa"/>
          </w:tcPr>
          <w:p w14:paraId="78893CF1" w14:textId="77777777" w:rsidR="002E5800" w:rsidRPr="008F328C" w:rsidRDefault="002E5800">
            <w:pPr>
              <w:spacing w:before="11" w:line="240" w:lineRule="exact"/>
              <w:jc w:val="center"/>
              <w:rPr>
                <w:rFonts w:ascii="Times New Roman" w:hAnsi="Times New Roman" w:cs="Times New Roman"/>
                <w:b/>
                <w:lang w:val="pl-PL"/>
              </w:rPr>
            </w:pPr>
          </w:p>
        </w:tc>
        <w:tc>
          <w:tcPr>
            <w:tcW w:w="3820" w:type="dxa"/>
            <w:gridSpan w:val="2"/>
          </w:tcPr>
          <w:p w14:paraId="43F3D5D2" w14:textId="77777777" w:rsidR="002E5800" w:rsidRPr="008F328C" w:rsidRDefault="000E0B7C">
            <w:pPr>
              <w:spacing w:before="11" w:line="240" w:lineRule="exact"/>
              <w:jc w:val="center"/>
              <w:rPr>
                <w:rFonts w:ascii="Times New Roman" w:hAnsi="Times New Roman" w:cs="Times New Roman"/>
                <w:b/>
                <w:lang w:val="pl-PL"/>
              </w:rPr>
            </w:pPr>
            <w:r w:rsidRPr="008F328C">
              <w:rPr>
                <w:rFonts w:ascii="Times New Roman" w:eastAsia="Times New Roman" w:hAnsi="Times New Roman" w:cs="Times New Roman"/>
                <w:b/>
                <w:bCs/>
                <w:spacing w:val="-1"/>
                <w:lang w:val="pl-PL"/>
              </w:rPr>
              <w:t>Badanie I w ŁZS</w:t>
            </w:r>
          </w:p>
        </w:tc>
        <w:tc>
          <w:tcPr>
            <w:tcW w:w="3820" w:type="dxa"/>
            <w:gridSpan w:val="2"/>
          </w:tcPr>
          <w:p w14:paraId="7C5EC542" w14:textId="77777777" w:rsidR="002E5800" w:rsidRPr="008F328C" w:rsidRDefault="000E0B7C">
            <w:pPr>
              <w:spacing w:before="11" w:line="240" w:lineRule="exact"/>
              <w:jc w:val="center"/>
              <w:rPr>
                <w:rFonts w:ascii="Times New Roman" w:hAnsi="Times New Roman" w:cs="Times New Roman"/>
                <w:b/>
                <w:lang w:val="pl-PL"/>
              </w:rPr>
            </w:pPr>
            <w:r w:rsidRPr="008F328C">
              <w:rPr>
                <w:rFonts w:ascii="Times New Roman" w:eastAsia="Times New Roman" w:hAnsi="Times New Roman" w:cs="Times New Roman"/>
                <w:b/>
                <w:bCs/>
                <w:spacing w:val="-1"/>
                <w:lang w:val="pl-PL"/>
              </w:rPr>
              <w:t>Badanie II w ŁZS</w:t>
            </w:r>
          </w:p>
        </w:tc>
      </w:tr>
      <w:tr w:rsidR="002E5800" w:rsidRPr="008F328C" w14:paraId="27C8D2D2" w14:textId="77777777">
        <w:tc>
          <w:tcPr>
            <w:tcW w:w="1910" w:type="dxa"/>
            <w:tcBorders>
              <w:bottom w:val="single" w:sz="4" w:space="0" w:color="auto"/>
            </w:tcBorders>
          </w:tcPr>
          <w:p w14:paraId="6F9DA852"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Odpowiedź</w:t>
            </w:r>
          </w:p>
        </w:tc>
        <w:tc>
          <w:tcPr>
            <w:tcW w:w="1910" w:type="dxa"/>
            <w:tcBorders>
              <w:bottom w:val="single" w:sz="4" w:space="0" w:color="auto"/>
            </w:tcBorders>
          </w:tcPr>
          <w:p w14:paraId="0E4F5451"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Placebo</w:t>
            </w:r>
          </w:p>
          <w:p w14:paraId="14626B17"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N=162</w:t>
            </w:r>
          </w:p>
        </w:tc>
        <w:tc>
          <w:tcPr>
            <w:tcW w:w="1910" w:type="dxa"/>
            <w:tcBorders>
              <w:bottom w:val="single" w:sz="4" w:space="0" w:color="auto"/>
            </w:tcBorders>
          </w:tcPr>
          <w:p w14:paraId="1EB305A8"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Adalimumab</w:t>
            </w:r>
          </w:p>
          <w:p w14:paraId="54ECCFA1"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N=151</w:t>
            </w:r>
          </w:p>
        </w:tc>
        <w:tc>
          <w:tcPr>
            <w:tcW w:w="1910" w:type="dxa"/>
            <w:tcBorders>
              <w:bottom w:val="single" w:sz="4" w:space="0" w:color="auto"/>
            </w:tcBorders>
          </w:tcPr>
          <w:p w14:paraId="1BE625E9"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Placebo</w:t>
            </w:r>
          </w:p>
          <w:p w14:paraId="67492DFD"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N=49</w:t>
            </w:r>
          </w:p>
        </w:tc>
        <w:tc>
          <w:tcPr>
            <w:tcW w:w="1910" w:type="dxa"/>
            <w:tcBorders>
              <w:bottom w:val="single" w:sz="4" w:space="0" w:color="auto"/>
            </w:tcBorders>
          </w:tcPr>
          <w:p w14:paraId="7D7634A6"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Adalimumab</w:t>
            </w:r>
          </w:p>
          <w:p w14:paraId="3ACEBA2B" w14:textId="77777777" w:rsidR="002E5800" w:rsidRPr="008F328C" w:rsidRDefault="000E0B7C">
            <w:pPr>
              <w:spacing w:before="11" w:line="240" w:lineRule="exact"/>
              <w:jc w:val="center"/>
              <w:rPr>
                <w:rFonts w:ascii="Times New Roman" w:hAnsi="Times New Roman" w:cs="Times New Roman"/>
                <w:b/>
                <w:lang w:val="pl-PL" w:eastAsia="ko-KR"/>
              </w:rPr>
            </w:pPr>
            <w:r w:rsidRPr="008F328C">
              <w:rPr>
                <w:rFonts w:ascii="Times New Roman" w:eastAsia="Times New Roman" w:hAnsi="Times New Roman" w:cs="Times New Roman"/>
                <w:b/>
                <w:bCs/>
                <w:lang w:val="pl-PL" w:eastAsia="ko-KR"/>
              </w:rPr>
              <w:t>N=51</w:t>
            </w:r>
          </w:p>
        </w:tc>
      </w:tr>
      <w:tr w:rsidR="002E5800" w:rsidRPr="008F328C" w14:paraId="132BF2D7" w14:textId="77777777">
        <w:tc>
          <w:tcPr>
            <w:tcW w:w="1910" w:type="dxa"/>
            <w:tcBorders>
              <w:top w:val="single" w:sz="4" w:space="0" w:color="auto"/>
              <w:left w:val="single" w:sz="4" w:space="0" w:color="auto"/>
              <w:bottom w:val="nil"/>
              <w:right w:val="single" w:sz="4" w:space="0" w:color="auto"/>
            </w:tcBorders>
          </w:tcPr>
          <w:p w14:paraId="5E4C9BE7" w14:textId="77777777" w:rsidR="002E5800" w:rsidRPr="008F328C" w:rsidRDefault="000E0B7C">
            <w:pPr>
              <w:spacing w:before="11" w:line="240" w:lineRule="exact"/>
              <w:rPr>
                <w:rFonts w:ascii="Times New Roman" w:hAnsi="Times New Roman" w:cs="Times New Roman"/>
                <w:lang w:val="pl-PL" w:eastAsia="ko-KR"/>
              </w:rPr>
            </w:pPr>
            <w:r w:rsidRPr="008F328C">
              <w:rPr>
                <w:rFonts w:ascii="Times New Roman" w:eastAsia="Times New Roman" w:hAnsi="Times New Roman" w:cs="Times New Roman"/>
                <w:lang w:val="pl-PL" w:eastAsia="ko-KR"/>
              </w:rPr>
              <w:t>ACR 20</w:t>
            </w:r>
          </w:p>
        </w:tc>
        <w:tc>
          <w:tcPr>
            <w:tcW w:w="1910" w:type="dxa"/>
            <w:tcBorders>
              <w:top w:val="single" w:sz="4" w:space="0" w:color="auto"/>
              <w:left w:val="single" w:sz="4" w:space="0" w:color="auto"/>
              <w:bottom w:val="nil"/>
              <w:right w:val="single" w:sz="4" w:space="0" w:color="auto"/>
            </w:tcBorders>
          </w:tcPr>
          <w:p w14:paraId="3C05D00C" w14:textId="77777777" w:rsidR="002E5800" w:rsidRPr="008F328C" w:rsidRDefault="002E5800">
            <w:pPr>
              <w:spacing w:before="11" w:line="240" w:lineRule="exact"/>
              <w:rPr>
                <w:rFonts w:ascii="Times New Roman" w:hAnsi="Times New Roman" w:cs="Times New Roman"/>
                <w:lang w:val="pl-PL" w:eastAsia="ko-KR"/>
              </w:rPr>
            </w:pPr>
          </w:p>
        </w:tc>
        <w:tc>
          <w:tcPr>
            <w:tcW w:w="1910" w:type="dxa"/>
            <w:tcBorders>
              <w:top w:val="single" w:sz="4" w:space="0" w:color="auto"/>
              <w:left w:val="single" w:sz="4" w:space="0" w:color="auto"/>
              <w:bottom w:val="nil"/>
              <w:right w:val="single" w:sz="4" w:space="0" w:color="auto"/>
            </w:tcBorders>
          </w:tcPr>
          <w:p w14:paraId="460B421D" w14:textId="77777777" w:rsidR="002E5800" w:rsidRPr="008F328C" w:rsidRDefault="002E5800">
            <w:pPr>
              <w:spacing w:before="11" w:line="240" w:lineRule="exact"/>
              <w:rPr>
                <w:rFonts w:ascii="Times New Roman" w:hAnsi="Times New Roman" w:cs="Times New Roman"/>
                <w:lang w:val="pl-PL"/>
              </w:rPr>
            </w:pPr>
          </w:p>
        </w:tc>
        <w:tc>
          <w:tcPr>
            <w:tcW w:w="1910" w:type="dxa"/>
            <w:tcBorders>
              <w:top w:val="single" w:sz="4" w:space="0" w:color="auto"/>
              <w:left w:val="single" w:sz="4" w:space="0" w:color="auto"/>
              <w:bottom w:val="nil"/>
              <w:right w:val="single" w:sz="4" w:space="0" w:color="auto"/>
            </w:tcBorders>
          </w:tcPr>
          <w:p w14:paraId="38F41FA3" w14:textId="77777777" w:rsidR="002E5800" w:rsidRPr="008F328C" w:rsidRDefault="002E5800">
            <w:pPr>
              <w:spacing w:before="11" w:line="240" w:lineRule="exact"/>
              <w:rPr>
                <w:rFonts w:ascii="Times New Roman" w:hAnsi="Times New Roman" w:cs="Times New Roman"/>
                <w:lang w:val="pl-PL"/>
              </w:rPr>
            </w:pPr>
          </w:p>
        </w:tc>
        <w:tc>
          <w:tcPr>
            <w:tcW w:w="1910" w:type="dxa"/>
            <w:tcBorders>
              <w:top w:val="single" w:sz="4" w:space="0" w:color="auto"/>
              <w:left w:val="single" w:sz="4" w:space="0" w:color="auto"/>
              <w:bottom w:val="nil"/>
              <w:right w:val="single" w:sz="4" w:space="0" w:color="auto"/>
            </w:tcBorders>
          </w:tcPr>
          <w:p w14:paraId="086E8689" w14:textId="77777777" w:rsidR="002E5800" w:rsidRPr="008F328C" w:rsidRDefault="002E5800">
            <w:pPr>
              <w:spacing w:before="11" w:line="240" w:lineRule="exact"/>
              <w:rPr>
                <w:rFonts w:ascii="Times New Roman" w:hAnsi="Times New Roman" w:cs="Times New Roman"/>
                <w:lang w:val="pl-PL"/>
              </w:rPr>
            </w:pPr>
          </w:p>
        </w:tc>
      </w:tr>
      <w:tr w:rsidR="002E5800" w:rsidRPr="008F328C" w14:paraId="24BB1352" w14:textId="77777777">
        <w:tc>
          <w:tcPr>
            <w:tcW w:w="1910" w:type="dxa"/>
            <w:tcBorders>
              <w:top w:val="nil"/>
              <w:left w:val="single" w:sz="4" w:space="0" w:color="auto"/>
              <w:bottom w:val="nil"/>
              <w:right w:val="single" w:sz="4" w:space="0" w:color="auto"/>
            </w:tcBorders>
          </w:tcPr>
          <w:p w14:paraId="180FD702" w14:textId="77777777" w:rsidR="002E5800" w:rsidRPr="008F328C" w:rsidRDefault="000E0B7C">
            <w:pPr>
              <w:spacing w:before="11" w:line="240" w:lineRule="exact"/>
              <w:jc w:val="right"/>
              <w:rPr>
                <w:rFonts w:ascii="Times New Roman" w:hAnsi="Times New Roman" w:cs="Times New Roman"/>
                <w:lang w:val="pl-PL" w:eastAsia="ko-KR"/>
              </w:rPr>
            </w:pPr>
            <w:r w:rsidRPr="008F328C">
              <w:rPr>
                <w:rFonts w:ascii="Times New Roman" w:eastAsia="Times New Roman" w:hAnsi="Times New Roman" w:cs="Times New Roman"/>
                <w:lang w:val="pl-PL" w:eastAsia="ko-KR"/>
              </w:rPr>
              <w:t>12. tydzień</w:t>
            </w:r>
          </w:p>
        </w:tc>
        <w:tc>
          <w:tcPr>
            <w:tcW w:w="1910" w:type="dxa"/>
            <w:tcBorders>
              <w:top w:val="nil"/>
              <w:left w:val="single" w:sz="4" w:space="0" w:color="auto"/>
              <w:bottom w:val="nil"/>
              <w:right w:val="single" w:sz="4" w:space="0" w:color="auto"/>
            </w:tcBorders>
          </w:tcPr>
          <w:p w14:paraId="32B82458"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14%</w:t>
            </w:r>
          </w:p>
        </w:tc>
        <w:tc>
          <w:tcPr>
            <w:tcW w:w="1910" w:type="dxa"/>
            <w:tcBorders>
              <w:top w:val="nil"/>
              <w:left w:val="single" w:sz="4" w:space="0" w:color="auto"/>
              <w:bottom w:val="nil"/>
              <w:right w:val="single" w:sz="4" w:space="0" w:color="auto"/>
            </w:tcBorders>
          </w:tcPr>
          <w:p w14:paraId="5D571BC9"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58%***</w:t>
            </w:r>
          </w:p>
        </w:tc>
        <w:tc>
          <w:tcPr>
            <w:tcW w:w="1910" w:type="dxa"/>
            <w:tcBorders>
              <w:top w:val="nil"/>
              <w:left w:val="single" w:sz="4" w:space="0" w:color="auto"/>
              <w:bottom w:val="nil"/>
              <w:right w:val="single" w:sz="4" w:space="0" w:color="auto"/>
            </w:tcBorders>
          </w:tcPr>
          <w:p w14:paraId="71D1C35C"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16%</w:t>
            </w:r>
          </w:p>
        </w:tc>
        <w:tc>
          <w:tcPr>
            <w:tcW w:w="1910" w:type="dxa"/>
            <w:tcBorders>
              <w:top w:val="nil"/>
              <w:left w:val="single" w:sz="4" w:space="0" w:color="auto"/>
              <w:bottom w:val="nil"/>
              <w:right w:val="single" w:sz="4" w:space="0" w:color="auto"/>
            </w:tcBorders>
          </w:tcPr>
          <w:p w14:paraId="17409C5B"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39%*</w:t>
            </w:r>
          </w:p>
        </w:tc>
      </w:tr>
      <w:tr w:rsidR="002E5800" w:rsidRPr="008F328C" w14:paraId="637ABA39" w14:textId="77777777">
        <w:tc>
          <w:tcPr>
            <w:tcW w:w="1910" w:type="dxa"/>
            <w:tcBorders>
              <w:top w:val="nil"/>
              <w:left w:val="single" w:sz="4" w:space="0" w:color="auto"/>
              <w:bottom w:val="nil"/>
              <w:right w:val="single" w:sz="4" w:space="0" w:color="auto"/>
            </w:tcBorders>
          </w:tcPr>
          <w:p w14:paraId="37E0F679" w14:textId="77777777" w:rsidR="002E5800" w:rsidRPr="008F328C" w:rsidRDefault="000E0B7C">
            <w:pPr>
              <w:spacing w:before="11" w:line="240" w:lineRule="exact"/>
              <w:jc w:val="right"/>
              <w:rPr>
                <w:rFonts w:ascii="Times New Roman" w:hAnsi="Times New Roman" w:cs="Times New Roman"/>
                <w:lang w:val="pl-PL" w:eastAsia="ko-KR"/>
              </w:rPr>
            </w:pPr>
            <w:r w:rsidRPr="008F328C">
              <w:rPr>
                <w:rFonts w:ascii="Times New Roman" w:eastAsia="Times New Roman" w:hAnsi="Times New Roman" w:cs="Times New Roman"/>
                <w:lang w:val="pl-PL" w:eastAsia="ko-KR"/>
              </w:rPr>
              <w:t>24. tydzień</w:t>
            </w:r>
          </w:p>
        </w:tc>
        <w:tc>
          <w:tcPr>
            <w:tcW w:w="1910" w:type="dxa"/>
            <w:tcBorders>
              <w:top w:val="nil"/>
              <w:left w:val="single" w:sz="4" w:space="0" w:color="auto"/>
              <w:bottom w:val="nil"/>
              <w:right w:val="single" w:sz="4" w:space="0" w:color="auto"/>
            </w:tcBorders>
          </w:tcPr>
          <w:p w14:paraId="4C5C56F3"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15%</w:t>
            </w:r>
          </w:p>
        </w:tc>
        <w:tc>
          <w:tcPr>
            <w:tcW w:w="1910" w:type="dxa"/>
            <w:tcBorders>
              <w:top w:val="nil"/>
              <w:left w:val="single" w:sz="4" w:space="0" w:color="auto"/>
              <w:bottom w:val="nil"/>
              <w:right w:val="single" w:sz="4" w:space="0" w:color="auto"/>
            </w:tcBorders>
          </w:tcPr>
          <w:p w14:paraId="0D807DB3"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57%***</w:t>
            </w:r>
          </w:p>
        </w:tc>
        <w:tc>
          <w:tcPr>
            <w:tcW w:w="1910" w:type="dxa"/>
            <w:tcBorders>
              <w:top w:val="nil"/>
              <w:left w:val="single" w:sz="4" w:space="0" w:color="auto"/>
              <w:bottom w:val="nil"/>
              <w:right w:val="single" w:sz="4" w:space="0" w:color="auto"/>
            </w:tcBorders>
          </w:tcPr>
          <w:p w14:paraId="1562F234"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c>
          <w:tcPr>
            <w:tcW w:w="1910" w:type="dxa"/>
            <w:tcBorders>
              <w:top w:val="nil"/>
              <w:left w:val="single" w:sz="4" w:space="0" w:color="auto"/>
              <w:bottom w:val="nil"/>
              <w:right w:val="single" w:sz="4" w:space="0" w:color="auto"/>
            </w:tcBorders>
          </w:tcPr>
          <w:p w14:paraId="0FF274E2"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r>
      <w:tr w:rsidR="002E5800" w:rsidRPr="008F328C" w14:paraId="2E8DDD7B" w14:textId="77777777">
        <w:tc>
          <w:tcPr>
            <w:tcW w:w="1910" w:type="dxa"/>
            <w:tcBorders>
              <w:top w:val="nil"/>
              <w:left w:val="single" w:sz="4" w:space="0" w:color="auto"/>
              <w:bottom w:val="nil"/>
              <w:right w:val="single" w:sz="4" w:space="0" w:color="auto"/>
            </w:tcBorders>
          </w:tcPr>
          <w:p w14:paraId="7646F86B" w14:textId="77777777" w:rsidR="002E5800" w:rsidRPr="008F328C" w:rsidRDefault="000E0B7C">
            <w:pPr>
              <w:spacing w:before="11" w:line="240" w:lineRule="exact"/>
              <w:rPr>
                <w:rFonts w:ascii="Times New Roman" w:hAnsi="Times New Roman" w:cs="Times New Roman"/>
                <w:lang w:val="pl-PL" w:eastAsia="ko-KR"/>
              </w:rPr>
            </w:pPr>
            <w:r w:rsidRPr="008F328C">
              <w:rPr>
                <w:rFonts w:ascii="Times New Roman" w:eastAsia="Times New Roman" w:hAnsi="Times New Roman" w:cs="Times New Roman"/>
                <w:lang w:val="pl-PL" w:eastAsia="ko-KR"/>
              </w:rPr>
              <w:lastRenderedPageBreak/>
              <w:t>ACR 50</w:t>
            </w:r>
          </w:p>
        </w:tc>
        <w:tc>
          <w:tcPr>
            <w:tcW w:w="1910" w:type="dxa"/>
            <w:tcBorders>
              <w:top w:val="nil"/>
              <w:left w:val="single" w:sz="4" w:space="0" w:color="auto"/>
              <w:bottom w:val="nil"/>
              <w:right w:val="single" w:sz="4" w:space="0" w:color="auto"/>
            </w:tcBorders>
          </w:tcPr>
          <w:p w14:paraId="1BB5074D"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0AE5D424"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2E082147"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08F15D1D" w14:textId="77777777" w:rsidR="002E5800" w:rsidRPr="008F328C" w:rsidRDefault="002E5800">
            <w:pPr>
              <w:spacing w:before="11" w:line="240" w:lineRule="exact"/>
              <w:jc w:val="center"/>
              <w:rPr>
                <w:rFonts w:ascii="Times New Roman" w:hAnsi="Times New Roman" w:cs="Times New Roman"/>
                <w:lang w:val="pl-PL"/>
              </w:rPr>
            </w:pPr>
          </w:p>
        </w:tc>
      </w:tr>
      <w:tr w:rsidR="002E5800" w:rsidRPr="008F328C" w14:paraId="577716FE" w14:textId="77777777">
        <w:tc>
          <w:tcPr>
            <w:tcW w:w="1910" w:type="dxa"/>
            <w:tcBorders>
              <w:top w:val="nil"/>
              <w:left w:val="single" w:sz="4" w:space="0" w:color="auto"/>
              <w:bottom w:val="nil"/>
              <w:right w:val="single" w:sz="4" w:space="0" w:color="auto"/>
            </w:tcBorders>
          </w:tcPr>
          <w:p w14:paraId="13767727" w14:textId="77777777" w:rsidR="002E5800" w:rsidRPr="008F328C" w:rsidRDefault="000E0B7C">
            <w:pPr>
              <w:spacing w:before="11" w:line="240" w:lineRule="exact"/>
              <w:jc w:val="right"/>
              <w:rPr>
                <w:rFonts w:ascii="Times New Roman" w:hAnsi="Times New Roman" w:cs="Times New Roman"/>
                <w:lang w:val="pl-PL"/>
              </w:rPr>
            </w:pPr>
            <w:r w:rsidRPr="008F328C">
              <w:rPr>
                <w:rFonts w:ascii="Times New Roman" w:eastAsia="Times New Roman" w:hAnsi="Times New Roman" w:cs="Times New Roman"/>
                <w:lang w:val="pl-PL" w:eastAsia="ko-KR"/>
              </w:rPr>
              <w:t>12. tydzień</w:t>
            </w:r>
          </w:p>
        </w:tc>
        <w:tc>
          <w:tcPr>
            <w:tcW w:w="1910" w:type="dxa"/>
            <w:tcBorders>
              <w:top w:val="nil"/>
              <w:left w:val="single" w:sz="4" w:space="0" w:color="auto"/>
              <w:bottom w:val="nil"/>
              <w:right w:val="single" w:sz="4" w:space="0" w:color="auto"/>
            </w:tcBorders>
          </w:tcPr>
          <w:p w14:paraId="42C5C0E0"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4%</w:t>
            </w:r>
          </w:p>
        </w:tc>
        <w:tc>
          <w:tcPr>
            <w:tcW w:w="1910" w:type="dxa"/>
            <w:tcBorders>
              <w:top w:val="nil"/>
              <w:left w:val="single" w:sz="4" w:space="0" w:color="auto"/>
              <w:bottom w:val="nil"/>
              <w:right w:val="single" w:sz="4" w:space="0" w:color="auto"/>
            </w:tcBorders>
          </w:tcPr>
          <w:p w14:paraId="37852392"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36%***</w:t>
            </w:r>
          </w:p>
        </w:tc>
        <w:tc>
          <w:tcPr>
            <w:tcW w:w="1910" w:type="dxa"/>
            <w:tcBorders>
              <w:top w:val="nil"/>
              <w:left w:val="single" w:sz="4" w:space="0" w:color="auto"/>
              <w:bottom w:val="nil"/>
              <w:right w:val="single" w:sz="4" w:space="0" w:color="auto"/>
            </w:tcBorders>
          </w:tcPr>
          <w:p w14:paraId="09B27BD9"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2%</w:t>
            </w:r>
          </w:p>
        </w:tc>
        <w:tc>
          <w:tcPr>
            <w:tcW w:w="1910" w:type="dxa"/>
            <w:tcBorders>
              <w:top w:val="nil"/>
              <w:left w:val="single" w:sz="4" w:space="0" w:color="auto"/>
              <w:bottom w:val="nil"/>
              <w:right w:val="single" w:sz="4" w:space="0" w:color="auto"/>
            </w:tcBorders>
          </w:tcPr>
          <w:p w14:paraId="1F45E536"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25%***</w:t>
            </w:r>
          </w:p>
        </w:tc>
      </w:tr>
      <w:tr w:rsidR="002E5800" w:rsidRPr="008F328C" w14:paraId="15D69E0B" w14:textId="77777777">
        <w:tc>
          <w:tcPr>
            <w:tcW w:w="1910" w:type="dxa"/>
            <w:tcBorders>
              <w:top w:val="nil"/>
              <w:left w:val="single" w:sz="4" w:space="0" w:color="auto"/>
              <w:bottom w:val="nil"/>
              <w:right w:val="single" w:sz="4" w:space="0" w:color="auto"/>
            </w:tcBorders>
          </w:tcPr>
          <w:p w14:paraId="0EB9E7F7" w14:textId="77777777" w:rsidR="002E5800" w:rsidRPr="008F328C" w:rsidRDefault="000E0B7C">
            <w:pPr>
              <w:spacing w:before="11" w:line="240" w:lineRule="exact"/>
              <w:jc w:val="right"/>
              <w:rPr>
                <w:rFonts w:ascii="Times New Roman" w:hAnsi="Times New Roman" w:cs="Times New Roman"/>
                <w:lang w:val="pl-PL"/>
              </w:rPr>
            </w:pPr>
            <w:r w:rsidRPr="008F328C">
              <w:rPr>
                <w:rFonts w:ascii="Times New Roman" w:eastAsia="Times New Roman" w:hAnsi="Times New Roman" w:cs="Times New Roman"/>
                <w:lang w:val="pl-PL" w:eastAsia="ko-KR"/>
              </w:rPr>
              <w:t>24. tydzień</w:t>
            </w:r>
          </w:p>
        </w:tc>
        <w:tc>
          <w:tcPr>
            <w:tcW w:w="1910" w:type="dxa"/>
            <w:tcBorders>
              <w:top w:val="nil"/>
              <w:left w:val="single" w:sz="4" w:space="0" w:color="auto"/>
              <w:bottom w:val="nil"/>
              <w:right w:val="single" w:sz="4" w:space="0" w:color="auto"/>
            </w:tcBorders>
          </w:tcPr>
          <w:p w14:paraId="0D04B278"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6%</w:t>
            </w:r>
          </w:p>
        </w:tc>
        <w:tc>
          <w:tcPr>
            <w:tcW w:w="1910" w:type="dxa"/>
            <w:tcBorders>
              <w:top w:val="nil"/>
              <w:left w:val="single" w:sz="4" w:space="0" w:color="auto"/>
              <w:bottom w:val="nil"/>
              <w:right w:val="single" w:sz="4" w:space="0" w:color="auto"/>
            </w:tcBorders>
          </w:tcPr>
          <w:p w14:paraId="083F60DE"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39%***</w:t>
            </w:r>
          </w:p>
        </w:tc>
        <w:tc>
          <w:tcPr>
            <w:tcW w:w="1910" w:type="dxa"/>
            <w:tcBorders>
              <w:top w:val="nil"/>
              <w:left w:val="single" w:sz="4" w:space="0" w:color="auto"/>
              <w:bottom w:val="nil"/>
              <w:right w:val="single" w:sz="4" w:space="0" w:color="auto"/>
            </w:tcBorders>
          </w:tcPr>
          <w:p w14:paraId="0273CBC4"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c>
          <w:tcPr>
            <w:tcW w:w="1910" w:type="dxa"/>
            <w:tcBorders>
              <w:top w:val="nil"/>
              <w:left w:val="single" w:sz="4" w:space="0" w:color="auto"/>
              <w:bottom w:val="nil"/>
              <w:right w:val="single" w:sz="4" w:space="0" w:color="auto"/>
            </w:tcBorders>
          </w:tcPr>
          <w:p w14:paraId="2F5CCAA3"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r>
      <w:tr w:rsidR="002E5800" w:rsidRPr="008F328C" w14:paraId="5922D055" w14:textId="77777777">
        <w:tc>
          <w:tcPr>
            <w:tcW w:w="1910" w:type="dxa"/>
            <w:tcBorders>
              <w:top w:val="nil"/>
              <w:left w:val="single" w:sz="4" w:space="0" w:color="auto"/>
              <w:bottom w:val="nil"/>
              <w:right w:val="single" w:sz="4" w:space="0" w:color="auto"/>
            </w:tcBorders>
          </w:tcPr>
          <w:p w14:paraId="6579D9C5" w14:textId="77777777" w:rsidR="002E5800" w:rsidRPr="008F328C" w:rsidRDefault="000E0B7C">
            <w:pPr>
              <w:spacing w:before="11" w:line="240" w:lineRule="exact"/>
              <w:rPr>
                <w:rFonts w:ascii="Times New Roman" w:hAnsi="Times New Roman" w:cs="Times New Roman"/>
                <w:lang w:val="pl-PL" w:eastAsia="ko-KR"/>
              </w:rPr>
            </w:pPr>
            <w:r w:rsidRPr="008F328C">
              <w:rPr>
                <w:rFonts w:ascii="Times New Roman" w:eastAsia="Times New Roman" w:hAnsi="Times New Roman" w:cs="Times New Roman"/>
                <w:lang w:val="pl-PL" w:eastAsia="ko-KR"/>
              </w:rPr>
              <w:t>ACR 70</w:t>
            </w:r>
          </w:p>
        </w:tc>
        <w:tc>
          <w:tcPr>
            <w:tcW w:w="1910" w:type="dxa"/>
            <w:tcBorders>
              <w:top w:val="nil"/>
              <w:left w:val="single" w:sz="4" w:space="0" w:color="auto"/>
              <w:bottom w:val="nil"/>
              <w:right w:val="single" w:sz="4" w:space="0" w:color="auto"/>
            </w:tcBorders>
          </w:tcPr>
          <w:p w14:paraId="0EA4493D"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4F9A6780"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71817822" w14:textId="77777777" w:rsidR="002E5800" w:rsidRPr="008F328C" w:rsidRDefault="002E5800">
            <w:pPr>
              <w:spacing w:before="11" w:line="240" w:lineRule="exact"/>
              <w:jc w:val="center"/>
              <w:rPr>
                <w:rFonts w:ascii="Times New Roman" w:hAnsi="Times New Roman" w:cs="Times New Roman"/>
                <w:lang w:val="pl-PL"/>
              </w:rPr>
            </w:pPr>
          </w:p>
        </w:tc>
        <w:tc>
          <w:tcPr>
            <w:tcW w:w="1910" w:type="dxa"/>
            <w:tcBorders>
              <w:top w:val="nil"/>
              <w:left w:val="single" w:sz="4" w:space="0" w:color="auto"/>
              <w:bottom w:val="nil"/>
              <w:right w:val="single" w:sz="4" w:space="0" w:color="auto"/>
            </w:tcBorders>
          </w:tcPr>
          <w:p w14:paraId="0EEA9A01" w14:textId="77777777" w:rsidR="002E5800" w:rsidRPr="008F328C" w:rsidRDefault="002E5800">
            <w:pPr>
              <w:spacing w:before="11" w:line="240" w:lineRule="exact"/>
              <w:jc w:val="center"/>
              <w:rPr>
                <w:rFonts w:ascii="Times New Roman" w:hAnsi="Times New Roman" w:cs="Times New Roman"/>
                <w:lang w:val="pl-PL"/>
              </w:rPr>
            </w:pPr>
          </w:p>
        </w:tc>
      </w:tr>
      <w:tr w:rsidR="002E5800" w:rsidRPr="008F328C" w14:paraId="3967A983" w14:textId="77777777">
        <w:tc>
          <w:tcPr>
            <w:tcW w:w="1910" w:type="dxa"/>
            <w:tcBorders>
              <w:top w:val="nil"/>
              <w:left w:val="single" w:sz="4" w:space="0" w:color="auto"/>
              <w:bottom w:val="nil"/>
              <w:right w:val="single" w:sz="4" w:space="0" w:color="auto"/>
            </w:tcBorders>
          </w:tcPr>
          <w:p w14:paraId="279F4105" w14:textId="77777777" w:rsidR="002E5800" w:rsidRPr="008F328C" w:rsidRDefault="000E0B7C">
            <w:pPr>
              <w:spacing w:before="11" w:line="240" w:lineRule="exact"/>
              <w:jc w:val="right"/>
              <w:rPr>
                <w:rFonts w:ascii="Times New Roman" w:hAnsi="Times New Roman" w:cs="Times New Roman"/>
                <w:lang w:val="pl-PL" w:eastAsia="ko-KR"/>
              </w:rPr>
            </w:pPr>
            <w:r w:rsidRPr="008F328C">
              <w:rPr>
                <w:rFonts w:ascii="Times New Roman" w:eastAsia="Times New Roman" w:hAnsi="Times New Roman" w:cs="Times New Roman"/>
                <w:lang w:val="pl-PL" w:eastAsia="ko-KR"/>
              </w:rPr>
              <w:t>12. tydzień</w:t>
            </w:r>
          </w:p>
        </w:tc>
        <w:tc>
          <w:tcPr>
            <w:tcW w:w="1910" w:type="dxa"/>
            <w:tcBorders>
              <w:top w:val="nil"/>
              <w:left w:val="single" w:sz="4" w:space="0" w:color="auto"/>
              <w:bottom w:val="nil"/>
              <w:right w:val="single" w:sz="4" w:space="0" w:color="auto"/>
            </w:tcBorders>
          </w:tcPr>
          <w:p w14:paraId="238E2520"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w:t>
            </w:r>
          </w:p>
        </w:tc>
        <w:tc>
          <w:tcPr>
            <w:tcW w:w="1910" w:type="dxa"/>
            <w:tcBorders>
              <w:top w:val="nil"/>
              <w:left w:val="single" w:sz="4" w:space="0" w:color="auto"/>
              <w:bottom w:val="nil"/>
              <w:right w:val="single" w:sz="4" w:space="0" w:color="auto"/>
            </w:tcBorders>
          </w:tcPr>
          <w:p w14:paraId="1F32FAF8"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20%***</w:t>
            </w:r>
          </w:p>
        </w:tc>
        <w:tc>
          <w:tcPr>
            <w:tcW w:w="1910" w:type="dxa"/>
            <w:tcBorders>
              <w:top w:val="nil"/>
              <w:left w:val="single" w:sz="4" w:space="0" w:color="auto"/>
              <w:bottom w:val="nil"/>
              <w:right w:val="single" w:sz="4" w:space="0" w:color="auto"/>
            </w:tcBorders>
          </w:tcPr>
          <w:p w14:paraId="01D2B45E"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0%</w:t>
            </w:r>
          </w:p>
        </w:tc>
        <w:tc>
          <w:tcPr>
            <w:tcW w:w="1910" w:type="dxa"/>
            <w:tcBorders>
              <w:top w:val="nil"/>
              <w:left w:val="single" w:sz="4" w:space="0" w:color="auto"/>
              <w:bottom w:val="nil"/>
              <w:right w:val="single" w:sz="4" w:space="0" w:color="auto"/>
            </w:tcBorders>
          </w:tcPr>
          <w:p w14:paraId="0B5E3D70"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14%*</w:t>
            </w:r>
          </w:p>
        </w:tc>
      </w:tr>
      <w:tr w:rsidR="002E5800" w:rsidRPr="008F328C" w14:paraId="1C0C3F38" w14:textId="77777777">
        <w:tc>
          <w:tcPr>
            <w:tcW w:w="1910" w:type="dxa"/>
            <w:tcBorders>
              <w:top w:val="nil"/>
              <w:left w:val="single" w:sz="4" w:space="0" w:color="auto"/>
              <w:bottom w:val="single" w:sz="4" w:space="0" w:color="auto"/>
              <w:right w:val="single" w:sz="4" w:space="0" w:color="auto"/>
            </w:tcBorders>
          </w:tcPr>
          <w:p w14:paraId="58DEDD6C" w14:textId="77777777" w:rsidR="002E5800" w:rsidRPr="008F328C" w:rsidRDefault="000E0B7C">
            <w:pPr>
              <w:spacing w:before="11" w:line="240" w:lineRule="exact"/>
              <w:jc w:val="right"/>
              <w:rPr>
                <w:rFonts w:ascii="Times New Roman" w:hAnsi="Times New Roman" w:cs="Times New Roman"/>
                <w:lang w:val="pl-PL" w:eastAsia="ko-KR"/>
              </w:rPr>
            </w:pPr>
            <w:r w:rsidRPr="008F328C">
              <w:rPr>
                <w:rFonts w:ascii="Times New Roman" w:eastAsia="Times New Roman" w:hAnsi="Times New Roman" w:cs="Times New Roman"/>
                <w:lang w:val="pl-PL" w:eastAsia="ko-KR"/>
              </w:rPr>
              <w:t>24. tydzień</w:t>
            </w:r>
          </w:p>
        </w:tc>
        <w:tc>
          <w:tcPr>
            <w:tcW w:w="1910" w:type="dxa"/>
            <w:tcBorders>
              <w:top w:val="nil"/>
              <w:left w:val="single" w:sz="4" w:space="0" w:color="auto"/>
              <w:bottom w:val="single" w:sz="4" w:space="0" w:color="auto"/>
              <w:right w:val="single" w:sz="4" w:space="0" w:color="auto"/>
            </w:tcBorders>
          </w:tcPr>
          <w:p w14:paraId="78E156CA"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1%</w:t>
            </w:r>
          </w:p>
        </w:tc>
        <w:tc>
          <w:tcPr>
            <w:tcW w:w="1910" w:type="dxa"/>
            <w:tcBorders>
              <w:top w:val="nil"/>
              <w:left w:val="single" w:sz="4" w:space="0" w:color="auto"/>
              <w:bottom w:val="single" w:sz="4" w:space="0" w:color="auto"/>
              <w:right w:val="single" w:sz="4" w:space="0" w:color="auto"/>
            </w:tcBorders>
          </w:tcPr>
          <w:p w14:paraId="77CB8C6C"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23%***</w:t>
            </w:r>
          </w:p>
        </w:tc>
        <w:tc>
          <w:tcPr>
            <w:tcW w:w="1910" w:type="dxa"/>
            <w:tcBorders>
              <w:top w:val="nil"/>
              <w:left w:val="single" w:sz="4" w:space="0" w:color="auto"/>
              <w:bottom w:val="single" w:sz="4" w:space="0" w:color="auto"/>
              <w:right w:val="single" w:sz="4" w:space="0" w:color="auto"/>
            </w:tcBorders>
          </w:tcPr>
          <w:p w14:paraId="56D713FA"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c>
          <w:tcPr>
            <w:tcW w:w="1910" w:type="dxa"/>
            <w:tcBorders>
              <w:top w:val="nil"/>
              <w:left w:val="single" w:sz="4" w:space="0" w:color="auto"/>
              <w:bottom w:val="single" w:sz="4" w:space="0" w:color="auto"/>
              <w:right w:val="single" w:sz="4" w:space="0" w:color="auto"/>
            </w:tcBorders>
          </w:tcPr>
          <w:p w14:paraId="14264AB2" w14:textId="77777777" w:rsidR="002E5800" w:rsidRPr="008F328C" w:rsidRDefault="000E0B7C">
            <w:pPr>
              <w:spacing w:before="11" w:line="240" w:lineRule="exact"/>
              <w:jc w:val="center"/>
              <w:rPr>
                <w:rFonts w:ascii="Times New Roman" w:hAnsi="Times New Roman" w:cs="Times New Roman"/>
                <w:lang w:val="pl-PL" w:eastAsia="ko-KR"/>
              </w:rPr>
            </w:pPr>
            <w:r w:rsidRPr="008F328C">
              <w:rPr>
                <w:rFonts w:ascii="Times New Roman" w:eastAsia="Times New Roman" w:hAnsi="Times New Roman" w:cs="Times New Roman"/>
                <w:lang w:val="pl-PL" w:eastAsia="ko-KR"/>
              </w:rPr>
              <w:t>N/A</w:t>
            </w:r>
          </w:p>
        </w:tc>
      </w:tr>
    </w:tbl>
    <w:p w14:paraId="1CE215CC" w14:textId="77777777" w:rsidR="002E5800" w:rsidRPr="008F328C" w:rsidRDefault="000E0B7C">
      <w:pPr>
        <w:pStyle w:val="a3"/>
        <w:rPr>
          <w:lang w:val="pl-PL"/>
        </w:rPr>
      </w:pPr>
      <w:r w:rsidRPr="008F328C">
        <w:rPr>
          <w:rFonts w:eastAsia="Times New Roman"/>
          <w:lang w:val="pl-PL"/>
        </w:rPr>
        <w:t>***</w:t>
      </w:r>
      <w:r w:rsidRPr="008F328C">
        <w:rPr>
          <w:rFonts w:eastAsia="Times New Roman"/>
          <w:lang w:val="pl-PL"/>
        </w:rPr>
        <w:tab/>
        <w:t>p &lt; 0,001 dla wszystkich porównań między adalimumabem a placebo</w:t>
      </w:r>
    </w:p>
    <w:p w14:paraId="286AED68" w14:textId="77777777" w:rsidR="002E5800" w:rsidRPr="008F328C" w:rsidRDefault="000E0B7C">
      <w:pPr>
        <w:pStyle w:val="a3"/>
        <w:rPr>
          <w:lang w:val="pl-PL"/>
        </w:rPr>
      </w:pPr>
      <w:r w:rsidRPr="008F328C">
        <w:rPr>
          <w:rFonts w:eastAsia="Times New Roman"/>
          <w:lang w:val="pl-PL"/>
        </w:rPr>
        <w:t>***</w:t>
      </w:r>
      <w:r w:rsidRPr="008F328C">
        <w:rPr>
          <w:rFonts w:eastAsia="Times New Roman"/>
          <w:lang w:val="pl-PL"/>
        </w:rPr>
        <w:tab/>
        <w:t>p &lt; 0,05 dla wszystkich porównań między adalimumabem a placebo N/A - nie dotyczy</w:t>
      </w:r>
    </w:p>
    <w:p w14:paraId="29226E66" w14:textId="77777777" w:rsidR="002E5800" w:rsidRPr="008F328C" w:rsidRDefault="002E5800">
      <w:pPr>
        <w:spacing w:before="6" w:line="170" w:lineRule="exact"/>
        <w:rPr>
          <w:rFonts w:ascii="Times New Roman" w:hAnsi="Times New Roman" w:cs="Times New Roman"/>
          <w:sz w:val="17"/>
          <w:szCs w:val="17"/>
          <w:lang w:val="pl-PL"/>
        </w:rPr>
      </w:pPr>
    </w:p>
    <w:p w14:paraId="28F1FAB3" w14:textId="77777777" w:rsidR="002E5800" w:rsidRPr="008F328C" w:rsidRDefault="000E0B7C">
      <w:pPr>
        <w:pStyle w:val="a3"/>
        <w:rPr>
          <w:lang w:val="pl-PL"/>
        </w:rPr>
      </w:pPr>
      <w:r w:rsidRPr="008F328C">
        <w:rPr>
          <w:rFonts w:eastAsia="Times New Roman"/>
          <w:lang w:val="pl-PL"/>
        </w:rPr>
        <w:t>W badaniu I w ŁZS odpowiedzi w skali ACR były podobne w przypadku równoczesnego leczenia metotreksatem i bez takiego leczenia. W badaniu otwartym, będącym jego kontynuacją odpowiedzi w skali ACR utrzymywały się przez okres do 136 tygodni.</w:t>
      </w:r>
    </w:p>
    <w:p w14:paraId="662B6EFB" w14:textId="77777777" w:rsidR="002E5800" w:rsidRPr="008F328C" w:rsidRDefault="002E5800">
      <w:pPr>
        <w:pStyle w:val="a3"/>
        <w:rPr>
          <w:lang w:val="pl-PL"/>
        </w:rPr>
      </w:pPr>
    </w:p>
    <w:p w14:paraId="2B4D77BD" w14:textId="77777777" w:rsidR="002E5800" w:rsidRPr="008F328C" w:rsidRDefault="000E0B7C">
      <w:pPr>
        <w:pStyle w:val="a3"/>
        <w:rPr>
          <w:lang w:val="pl-PL"/>
        </w:rPr>
      </w:pPr>
      <w:r w:rsidRPr="008F328C">
        <w:rPr>
          <w:rFonts w:eastAsia="Times New Roman"/>
          <w:lang w:val="pl-PL"/>
        </w:rPr>
        <w:t>Zmiany radiologiczne oceniano w badaniach w łuszczycowym zapaleniu stawów. Zdjęcia rtg dłoni, nadgarstków i stóp wykonywano wyjściowo i w 24. tygodniu w podwójnie zaślepionej fazie badania, gdy pacjenci otrzymywali adalimumab lub placebo oraz w 48. tygodniu, gdy wszyscy pacjenci otrzymywali adalimumab w otwartej próbie. Stosowano zmodyfikowaną całkowitą skalę Sharpa (ang. modified Total Sharp Score, mTSS), która obejmowała dystalne stawy międzypaliczkowe (tzn. nie była taka sama jak skala TSS stosowana w ocenie reumatoidalnego zapalenia stawów).</w:t>
      </w:r>
    </w:p>
    <w:p w14:paraId="55F75E5B" w14:textId="77777777" w:rsidR="002E5800" w:rsidRPr="008F328C" w:rsidRDefault="002E5800">
      <w:pPr>
        <w:spacing w:before="17" w:line="240" w:lineRule="exact"/>
        <w:rPr>
          <w:rFonts w:ascii="Times New Roman" w:hAnsi="Times New Roman" w:cs="Times New Roman"/>
          <w:sz w:val="24"/>
          <w:szCs w:val="24"/>
          <w:lang w:val="pl-PL"/>
        </w:rPr>
      </w:pPr>
    </w:p>
    <w:p w14:paraId="0DEBBAF4" w14:textId="77777777" w:rsidR="002E5800" w:rsidRPr="008F328C" w:rsidRDefault="000E0B7C">
      <w:pPr>
        <w:pStyle w:val="a3"/>
        <w:rPr>
          <w:lang w:val="pl-PL"/>
        </w:rPr>
      </w:pPr>
      <w:r w:rsidRPr="008F328C">
        <w:rPr>
          <w:rFonts w:eastAsia="Times New Roman"/>
          <w:lang w:val="pl-PL"/>
        </w:rPr>
        <w:t>Leczenie adalimumabem w porównaniu z placebo zmniejszyło szybkość postępu uszkodzenia stawów obwodowych mierzoną zmianą w stosunku do wartości wyjściowej mTSS (średnia ± SD), która wynosiła 0,8 ± 2,5 w grupie otrzymującej placebo (w 24. tygodniu) w porównaniu do 0,0 ± 1,9 (p &lt; 0,001) w grupie otrzymującej adalimumab (w 48. tygodniu).</w:t>
      </w:r>
    </w:p>
    <w:p w14:paraId="276FD9B7" w14:textId="77777777" w:rsidR="002E5800" w:rsidRPr="008F328C" w:rsidRDefault="002E5800">
      <w:pPr>
        <w:spacing w:before="11" w:line="240" w:lineRule="exact"/>
        <w:rPr>
          <w:rFonts w:ascii="Times New Roman" w:hAnsi="Times New Roman" w:cs="Times New Roman"/>
          <w:sz w:val="24"/>
          <w:szCs w:val="24"/>
          <w:lang w:val="pl-PL"/>
        </w:rPr>
      </w:pPr>
    </w:p>
    <w:p w14:paraId="0900085E" w14:textId="77777777" w:rsidR="002E5800" w:rsidRPr="008F328C" w:rsidRDefault="000E0B7C">
      <w:pPr>
        <w:pStyle w:val="a3"/>
        <w:rPr>
          <w:lang w:val="pl-PL"/>
        </w:rPr>
      </w:pPr>
      <w:r w:rsidRPr="008F328C">
        <w:rPr>
          <w:rFonts w:eastAsia="Times New Roman"/>
          <w:lang w:val="pl-PL"/>
        </w:rPr>
        <w:t>Spośród osób leczonych adalimumabem bez wykazanego radiologicznie postępu choroby od oceny wyjściowej do 48. tygodnia (n=102), u 84% nadal nie wykazano radiologicznie postępu choroby do 144. tygodnia leczenia włącznie.</w:t>
      </w:r>
    </w:p>
    <w:p w14:paraId="614DAB2E" w14:textId="77777777" w:rsidR="002E5800" w:rsidRPr="008F328C" w:rsidRDefault="002E5800">
      <w:pPr>
        <w:pStyle w:val="a3"/>
        <w:rPr>
          <w:lang w:val="pl-PL"/>
        </w:rPr>
      </w:pPr>
    </w:p>
    <w:p w14:paraId="7BACE3EA" w14:textId="77777777" w:rsidR="002E5800" w:rsidRPr="008F328C" w:rsidRDefault="000E0B7C">
      <w:pPr>
        <w:pStyle w:val="a3"/>
        <w:rPr>
          <w:lang w:val="pl-PL"/>
        </w:rPr>
      </w:pPr>
      <w:r w:rsidRPr="008F328C">
        <w:rPr>
          <w:rFonts w:eastAsia="Times New Roman"/>
          <w:lang w:val="pl-PL"/>
        </w:rPr>
        <w:t>W 24. tygodniu pacjenci leczeni adalimumabem wykazywali istotną statystycznie poprawę stanu czynnościowego, ocenianą przy pomocy HAQ oraz skróconego kwestionariusza oceny stanu zdrowia (SF-36) w porównaniu do placebo. Poprawa stanu czynnościowego utrzymywała się do 136. tygodnia podczas otwartego badania kontynuacyjnego.</w:t>
      </w:r>
    </w:p>
    <w:p w14:paraId="32B090E7" w14:textId="77777777" w:rsidR="002E5800" w:rsidRPr="008F328C" w:rsidRDefault="002E5800">
      <w:pPr>
        <w:pStyle w:val="a3"/>
        <w:rPr>
          <w:sz w:val="24"/>
          <w:szCs w:val="24"/>
          <w:lang w:val="pl-PL"/>
        </w:rPr>
      </w:pPr>
    </w:p>
    <w:p w14:paraId="3AB3C25D" w14:textId="77777777" w:rsidR="002E5800" w:rsidRPr="008F328C" w:rsidRDefault="000E0B7C">
      <w:pPr>
        <w:pStyle w:val="a3"/>
        <w:rPr>
          <w:rFonts w:eastAsia="Times New Roman"/>
          <w:lang w:val="pl-PL"/>
        </w:rPr>
      </w:pPr>
      <w:r w:rsidRPr="008F328C">
        <w:rPr>
          <w:rFonts w:eastAsia="Times New Roman"/>
          <w:i/>
          <w:iCs/>
          <w:spacing w:val="-1"/>
          <w:lang w:val="pl-PL"/>
        </w:rPr>
        <w:t>Łuszczyca</w:t>
      </w:r>
    </w:p>
    <w:p w14:paraId="1D343876" w14:textId="77777777" w:rsidR="002E5800" w:rsidRPr="008F328C" w:rsidRDefault="002E5800">
      <w:pPr>
        <w:pStyle w:val="a3"/>
        <w:rPr>
          <w:sz w:val="24"/>
          <w:szCs w:val="24"/>
          <w:lang w:val="pl-PL"/>
        </w:rPr>
      </w:pPr>
    </w:p>
    <w:p w14:paraId="7766D610" w14:textId="77777777" w:rsidR="002E5800" w:rsidRPr="008F328C" w:rsidRDefault="000E0B7C">
      <w:pPr>
        <w:pStyle w:val="a3"/>
        <w:rPr>
          <w:lang w:val="pl-PL"/>
        </w:rPr>
      </w:pPr>
      <w:r w:rsidRPr="008F328C">
        <w:rPr>
          <w:rFonts w:eastAsia="Times New Roman"/>
          <w:lang w:val="pl-PL"/>
        </w:rPr>
        <w:t xml:space="preserve">Bezpieczeństwo stosowania i skuteczność adalimumabu badano u dorosłych pacjentów z przewlekłą łuszczycą zwyczajną (plackowatą) [zmienione chorobowo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10% powierzchni ciała oraz wskaźnik powierzchni i nasilenia zmian łuszczycowych PASI (ang. Psoriasis Area and Severity Index)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12 lub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10], którzy byli kandydatami do leczenia systemowego lub fototerapii w randomizowanych badaniach klinicznych prowadzonych metodą podwójnie ślepej próby. Siedemdziesiąt trzy procent (73%) pacjentów zakwalifikowanych do badań I i II w łuszczycy poddanych zostało uprzednio leczeniu systemowemu lub fototerapii. Bezpieczeństwo stosowania i skuteczność adalimumabu badano również u dorosłych pacjentów z przewlekłą łuszczycą zwyczajną (plackowatą) o nasileniu umiarkowanym do ciężkiego ze współistniejącą łuszczycą dłoni i (lub) stóp, którzy byli kandydatami do leczenia systemowego w randomizowanym badaniu klinicznym prowadzonym metodą podwójnie ślepej próby (badanie III w łuszczycy).</w:t>
      </w:r>
    </w:p>
    <w:p w14:paraId="3F2F23CA" w14:textId="77777777" w:rsidR="002E5800" w:rsidRPr="008F328C" w:rsidRDefault="002E5800">
      <w:pPr>
        <w:pStyle w:val="a3"/>
        <w:rPr>
          <w:lang w:val="pl-PL"/>
        </w:rPr>
      </w:pPr>
    </w:p>
    <w:p w14:paraId="0E7CDF84" w14:textId="77777777" w:rsidR="002E5800" w:rsidRPr="008F328C" w:rsidRDefault="000E0B7C">
      <w:pPr>
        <w:pStyle w:val="a3"/>
        <w:rPr>
          <w:lang w:val="pl-PL"/>
        </w:rPr>
      </w:pPr>
      <w:r w:rsidRPr="008F328C">
        <w:rPr>
          <w:rFonts w:eastAsia="Times New Roman"/>
          <w:lang w:val="pl-PL"/>
        </w:rPr>
        <w:t xml:space="preserve">W badaniu I w łuszczycy (REVEAL) oceniano 1212 pacjentów podczas trzech okresów leczenia. W okresie A, pacjenci otrzymywali placebo lub adalimumab w dawce początkowej 80 mg, a następnie po upływie jednego tygodnia od podania dawki początkowej 40 mg co drugi tydzień. Po 16 tygodniach leczenia pacjenci, których odpowiedź na leczenie wynosiła co najmniej PASI 75 (poprawa punktacji PASI o co najmniej 75% w stosunku do wartości wyjściowej) przechodzili do okresu B i w badaniu otwartym </w:t>
      </w:r>
      <w:r w:rsidRPr="008F328C">
        <w:rPr>
          <w:rFonts w:eastAsia="Times New Roman"/>
          <w:lang w:val="pl-PL"/>
        </w:rPr>
        <w:lastRenderedPageBreak/>
        <w:t xml:space="preserve">otrzymywali 40 mg adalimumabu co drugi tydzień. Pacjenci, u których odpowiedź na leczenie </w:t>
      </w:r>
      <w:r w:rsidRPr="008F328C">
        <w:rPr>
          <w:rFonts w:eastAsia="Symbol"/>
          <w:lang w:val="pl-PL"/>
        </w:rPr>
        <w:sym w:font="Symbol" w:char="F0B3"/>
      </w:r>
      <w:r w:rsidRPr="008F328C">
        <w:rPr>
          <w:rFonts w:eastAsia="Times New Roman"/>
          <w:lang w:val="pl-PL"/>
        </w:rPr>
        <w:t>PASI 75 utrzymywała się w 33. tygodniu, a pierwotnie byli przydzieleni losowo do grupy otrzymującej aktywne leczenie w okresie A, w okresie C byli ponownie losowo przydzielani do grupy otrzymującej adalimumab 40 mg co drugi tydzień lub placebo przez dodatkowe 19 tygodni. We wszystkich leczonych grupach, średnia wyjściowa wartość PASI wynosiła 18,9, a wyjściowa ocena PGA (ang. Physician’s Global Assessment) wahała się od „umiarkowanej” (53% uczestników) do „ciężkiej” (41%) i „bardzo ciężkiej” (6%).</w:t>
      </w:r>
    </w:p>
    <w:p w14:paraId="67978A57" w14:textId="77777777" w:rsidR="002E5800" w:rsidRPr="008F328C" w:rsidRDefault="002E5800">
      <w:pPr>
        <w:spacing w:before="14" w:line="240" w:lineRule="exact"/>
        <w:rPr>
          <w:rFonts w:ascii="Times New Roman" w:hAnsi="Times New Roman" w:cs="Times New Roman"/>
          <w:sz w:val="24"/>
          <w:szCs w:val="24"/>
          <w:lang w:val="pl-PL"/>
        </w:rPr>
      </w:pPr>
    </w:p>
    <w:p w14:paraId="3BA31F12" w14:textId="77777777" w:rsidR="002E5800" w:rsidRPr="008F328C" w:rsidRDefault="000E0B7C">
      <w:pPr>
        <w:pStyle w:val="a3"/>
        <w:rPr>
          <w:lang w:val="pl-PL"/>
        </w:rPr>
      </w:pPr>
      <w:r w:rsidRPr="008F328C">
        <w:rPr>
          <w:rFonts w:eastAsia="Times New Roman"/>
          <w:lang w:val="pl-PL"/>
        </w:rPr>
        <w:t xml:space="preserve">W badaniu II w łuszczycy (CHAMPION) u 271 pacjentów porównywano skuteczność i bezpieczeństwo stosowania adalimumabu z metotreksatem i placebo. Pacjenci otrzymywali placebo, metotreksat w dawce początkowej 7,5 mg, zwiększanej następnie do 12. tygodnia tak, że dawka maksymalna wynosiła 25 mg lub adalimumab w dawce początkowej 80 mg, a następnie (po upływie jednego tygodnia od podania dawki początkowej) 40 mg co drugi tydzień przez 16 tygodni. Brak dostępnych danych porównujących adalimumab i metotreksat w okresie dłuższym niż16 tygodni leczenia. U pacjentów otrzymujących metotreksat, którzy wykazali odpowiedź </w:t>
      </w:r>
      <w:r w:rsidRPr="008F328C">
        <w:rPr>
          <w:rFonts w:eastAsia="Symbol"/>
          <w:lang w:val="pl-PL"/>
        </w:rPr>
        <w:sym w:font="Symbol" w:char="F0B3"/>
      </w:r>
      <w:r w:rsidRPr="008F328C">
        <w:rPr>
          <w:rFonts w:eastAsia="Times New Roman"/>
          <w:lang w:val="pl-PL"/>
        </w:rPr>
        <w:t>PASI 50 w 8. i (lub) 12. tygodniu nie zwiększano dawki. We wszystkich leczonych grupach, średnia wyjściowa wartość PASI wynosiła 19,7, a wyjściowa ocena PGA wahała się od „łagodnej” (&lt; 1%) do „umiarkowanej” (48%), „ciężkiej” (46%) i „bardzo ciężkiej” (6%).</w:t>
      </w:r>
    </w:p>
    <w:p w14:paraId="7BEBCBDA" w14:textId="77777777" w:rsidR="002E5800" w:rsidRPr="008F328C" w:rsidRDefault="002E5800">
      <w:pPr>
        <w:spacing w:before="17" w:line="240" w:lineRule="exact"/>
        <w:rPr>
          <w:rFonts w:ascii="Times New Roman" w:hAnsi="Times New Roman" w:cs="Times New Roman"/>
          <w:sz w:val="24"/>
          <w:szCs w:val="24"/>
          <w:lang w:val="pl-PL"/>
        </w:rPr>
      </w:pPr>
    </w:p>
    <w:p w14:paraId="1FF873FE" w14:textId="77777777" w:rsidR="002E5800" w:rsidRPr="008F328C" w:rsidRDefault="000E0B7C">
      <w:pPr>
        <w:pStyle w:val="a3"/>
        <w:rPr>
          <w:lang w:val="pl-PL"/>
        </w:rPr>
      </w:pPr>
      <w:r w:rsidRPr="008F328C">
        <w:rPr>
          <w:rFonts w:eastAsia="Times New Roman"/>
          <w:lang w:val="pl-PL"/>
        </w:rPr>
        <w:t>Pacjenci uczestniczący we wszystkich badaniach klinicznych fazy II i III w łuszczycy mogli zostać włączeni do otwartego badania kontynuacyjnego, w którym adalimumab podawano przez co najmniej 108 dodatkowych tygodni.</w:t>
      </w:r>
    </w:p>
    <w:p w14:paraId="19868C40" w14:textId="77777777" w:rsidR="002E5800" w:rsidRPr="008F328C" w:rsidRDefault="002E5800">
      <w:pPr>
        <w:spacing w:before="14" w:line="240" w:lineRule="exact"/>
        <w:rPr>
          <w:rFonts w:ascii="Times New Roman" w:hAnsi="Times New Roman" w:cs="Times New Roman"/>
          <w:sz w:val="24"/>
          <w:szCs w:val="24"/>
          <w:lang w:val="pl-PL"/>
        </w:rPr>
      </w:pPr>
    </w:p>
    <w:p w14:paraId="59BF36D6" w14:textId="61F081D5" w:rsidR="002E5800" w:rsidRPr="008F328C" w:rsidRDefault="000E0B7C">
      <w:pPr>
        <w:pStyle w:val="a3"/>
        <w:rPr>
          <w:lang w:val="pl-PL"/>
        </w:rPr>
      </w:pPr>
      <w:r w:rsidRPr="008F328C">
        <w:rPr>
          <w:rFonts w:eastAsia="Times New Roman"/>
          <w:lang w:val="pl-PL"/>
        </w:rPr>
        <w:t xml:space="preserve">W badaniach I i II w łuszczycy, pierwszorzędowym punktem końcowym był odsetek pacjentów, którzy w 16. tygodniu osiągnęli odpowiedź PASI 75 w stosunku do wartości wyjściowej (patrz </w:t>
      </w:r>
      <w:r w:rsidR="007011B1" w:rsidRPr="008F328C">
        <w:rPr>
          <w:rFonts w:eastAsia="Times New Roman"/>
          <w:lang w:val="pl-PL"/>
        </w:rPr>
        <w:t>Tabele</w:t>
      </w:r>
      <w:r w:rsidR="00B224C1" w:rsidRPr="008F328C">
        <w:rPr>
          <w:rFonts w:eastAsia="Times New Roman"/>
          <w:lang w:val="pl-PL"/>
        </w:rPr>
        <w:t xml:space="preserve"> </w:t>
      </w:r>
      <w:r w:rsidR="007011B1" w:rsidRPr="008F328C">
        <w:rPr>
          <w:rFonts w:eastAsia="Times New Roman"/>
          <w:lang w:val="pl-PL"/>
        </w:rPr>
        <w:t xml:space="preserve">16 </w:t>
      </w:r>
      <w:r w:rsidRPr="008F328C">
        <w:rPr>
          <w:rFonts w:eastAsia="Times New Roman"/>
          <w:lang w:val="pl-PL"/>
        </w:rPr>
        <w:t xml:space="preserve">i </w:t>
      </w:r>
      <w:r w:rsidR="007011B1" w:rsidRPr="008F328C">
        <w:rPr>
          <w:rFonts w:eastAsia="Times New Roman"/>
          <w:lang w:val="pl-PL"/>
        </w:rPr>
        <w:t>17</w:t>
      </w:r>
      <w:r w:rsidRPr="008F328C">
        <w:rPr>
          <w:rFonts w:eastAsia="Times New Roman"/>
          <w:lang w:val="pl-PL"/>
        </w:rPr>
        <w:t>).</w:t>
      </w:r>
    </w:p>
    <w:p w14:paraId="17A78371" w14:textId="77777777" w:rsidR="002E5800" w:rsidRPr="008F328C" w:rsidRDefault="002E5800">
      <w:pPr>
        <w:rPr>
          <w:rFonts w:ascii="Times New Roman" w:hAnsi="Times New Roman" w:cs="Times New Roman"/>
          <w:b/>
          <w:lang w:val="pl-PL"/>
        </w:rPr>
      </w:pPr>
    </w:p>
    <w:p w14:paraId="106A3569" w14:textId="62B1A85C" w:rsidR="002E5800" w:rsidRPr="008F328C" w:rsidRDefault="000E0B7C" w:rsidP="007011B1">
      <w:pPr>
        <w:pStyle w:val="a3"/>
        <w:keepNext/>
        <w:keepLines/>
        <w:jc w:val="center"/>
        <w:rPr>
          <w:b/>
          <w:lang w:val="pl-PL"/>
        </w:rPr>
      </w:pPr>
      <w:r w:rsidRPr="008F328C">
        <w:rPr>
          <w:rFonts w:eastAsia="Times New Roman"/>
          <w:b/>
          <w:bCs/>
          <w:lang w:val="pl-PL"/>
        </w:rPr>
        <w:t xml:space="preserve">Tabela </w:t>
      </w:r>
      <w:r w:rsidR="007011B1" w:rsidRPr="008F328C">
        <w:rPr>
          <w:rFonts w:eastAsia="Times New Roman"/>
          <w:b/>
          <w:bCs/>
          <w:lang w:val="pl-PL"/>
        </w:rPr>
        <w:t>16</w:t>
      </w:r>
    </w:p>
    <w:p w14:paraId="558FA8D4" w14:textId="77777777" w:rsidR="002E5800" w:rsidRPr="008F328C" w:rsidRDefault="000E0B7C" w:rsidP="007011B1">
      <w:pPr>
        <w:pStyle w:val="a3"/>
        <w:keepNext/>
        <w:keepLines/>
        <w:jc w:val="center"/>
        <w:rPr>
          <w:b/>
          <w:lang w:val="pl-PL"/>
        </w:rPr>
      </w:pPr>
      <w:r w:rsidRPr="008F328C">
        <w:rPr>
          <w:rFonts w:eastAsia="Times New Roman"/>
          <w:b/>
          <w:bCs/>
          <w:lang w:val="pl-PL"/>
        </w:rPr>
        <w:t>Badanie I w łuszczycy (REVEAL) - wyniki skuteczności w 16. tygodniu</w:t>
      </w:r>
    </w:p>
    <w:tbl>
      <w:tblPr>
        <w:tblStyle w:val="TableNormal1"/>
        <w:tblW w:w="9639" w:type="dxa"/>
        <w:tblInd w:w="-6" w:type="dxa"/>
        <w:tblLayout w:type="fixed"/>
        <w:tblLook w:val="01E0" w:firstRow="1" w:lastRow="1" w:firstColumn="1" w:lastColumn="1" w:noHBand="0" w:noVBand="0"/>
      </w:tblPr>
      <w:tblGrid>
        <w:gridCol w:w="3969"/>
        <w:gridCol w:w="1701"/>
        <w:gridCol w:w="3969"/>
      </w:tblGrid>
      <w:tr w:rsidR="002E5800" w:rsidRPr="008F328C" w14:paraId="4F6D7D7A" w14:textId="77777777" w:rsidTr="00114A52">
        <w:tc>
          <w:tcPr>
            <w:tcW w:w="3969" w:type="dxa"/>
            <w:tcBorders>
              <w:top w:val="single" w:sz="5" w:space="0" w:color="000000"/>
              <w:left w:val="single" w:sz="5" w:space="0" w:color="000000"/>
              <w:bottom w:val="single" w:sz="5" w:space="0" w:color="000000"/>
              <w:right w:val="single" w:sz="5" w:space="0" w:color="000000"/>
            </w:tcBorders>
          </w:tcPr>
          <w:p w14:paraId="034CA2E3" w14:textId="77777777" w:rsidR="002E5800" w:rsidRPr="008F328C" w:rsidRDefault="002E5800">
            <w:pPr>
              <w:rPr>
                <w:rFonts w:ascii="Times New Roman" w:hAnsi="Times New Roman" w:cs="Times New Roman"/>
                <w:lang w:val="pl-PL"/>
              </w:rPr>
            </w:pPr>
          </w:p>
        </w:tc>
        <w:tc>
          <w:tcPr>
            <w:tcW w:w="1701" w:type="dxa"/>
            <w:tcBorders>
              <w:top w:val="single" w:sz="5" w:space="0" w:color="000000"/>
              <w:left w:val="single" w:sz="5" w:space="0" w:color="000000"/>
              <w:bottom w:val="single" w:sz="5" w:space="0" w:color="000000"/>
              <w:right w:val="single" w:sz="5" w:space="0" w:color="000000"/>
            </w:tcBorders>
          </w:tcPr>
          <w:p w14:paraId="2E119816" w14:textId="77777777" w:rsidR="002E5800" w:rsidRPr="008F328C" w:rsidRDefault="000E0B7C">
            <w:pPr>
              <w:pStyle w:val="TableParagraph"/>
              <w:spacing w:before="3" w:line="252" w:lineRule="exact"/>
              <w:ind w:left="498" w:right="433" w:hanging="6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 xml:space="preserve">Placebo N=398 </w:t>
            </w:r>
          </w:p>
          <w:p w14:paraId="7404519E" w14:textId="77777777" w:rsidR="002E5800" w:rsidRPr="008F328C" w:rsidRDefault="000E0B7C">
            <w:pPr>
              <w:pStyle w:val="TableParagraph"/>
              <w:spacing w:before="3" w:line="252" w:lineRule="exact"/>
              <w:ind w:left="498" w:right="433" w:hanging="6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c>
          <w:tcPr>
            <w:tcW w:w="3969" w:type="dxa"/>
            <w:tcBorders>
              <w:top w:val="single" w:sz="5" w:space="0" w:color="000000"/>
              <w:left w:val="single" w:sz="5" w:space="0" w:color="000000"/>
              <w:bottom w:val="single" w:sz="5" w:space="0" w:color="000000"/>
              <w:right w:val="single" w:sz="5" w:space="0" w:color="000000"/>
            </w:tcBorders>
          </w:tcPr>
          <w:p w14:paraId="64BC1222" w14:textId="77777777" w:rsidR="002E5800" w:rsidRPr="008F328C" w:rsidRDefault="000E0B7C">
            <w:pPr>
              <w:pStyle w:val="TableParagraph"/>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1E108662" w14:textId="77777777" w:rsidR="002E5800" w:rsidRPr="008F328C" w:rsidRDefault="000E0B7C">
            <w:pPr>
              <w:pStyle w:val="TableParagraph"/>
              <w:spacing w:before="3"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N=814 </w:t>
            </w:r>
          </w:p>
          <w:p w14:paraId="7B0023E2" w14:textId="77777777" w:rsidR="002E5800" w:rsidRPr="008F328C" w:rsidRDefault="000E0B7C">
            <w:pPr>
              <w:pStyle w:val="TableParagraph"/>
              <w:spacing w:before="3" w:line="252" w:lineRule="exact"/>
              <w:ind w:left="277" w:right="27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2E5800" w:rsidRPr="008F328C" w14:paraId="781E5E3D" w14:textId="77777777" w:rsidTr="00114A52">
        <w:tc>
          <w:tcPr>
            <w:tcW w:w="3969" w:type="dxa"/>
            <w:tcBorders>
              <w:top w:val="single" w:sz="5" w:space="0" w:color="000000"/>
              <w:left w:val="single" w:sz="5" w:space="0" w:color="000000"/>
              <w:bottom w:val="single" w:sz="5" w:space="0" w:color="000000"/>
              <w:right w:val="single" w:sz="5" w:space="0" w:color="000000"/>
            </w:tcBorders>
          </w:tcPr>
          <w:p w14:paraId="36738C36" w14:textId="77777777" w:rsidR="002E5800" w:rsidRPr="008F328C" w:rsidRDefault="000E0B7C">
            <w:pPr>
              <w:pStyle w:val="TableParagraph"/>
              <w:spacing w:line="267" w:lineRule="exact"/>
              <w:ind w:left="320"/>
              <w:rPr>
                <w:rFonts w:ascii="Times New Roman" w:eastAsia="Times New Roman" w:hAnsi="Times New Roman" w:cs="Times New Roman"/>
                <w:sz w:val="14"/>
                <w:szCs w:val="14"/>
                <w:lang w:val="pl-PL"/>
              </w:rPr>
            </w:pPr>
            <w:r w:rsidRPr="008F328C">
              <w:rPr>
                <w:rFonts w:ascii="Times New Roman" w:eastAsia="Symbol" w:hAnsi="Times New Roman" w:cs="Times New Roman"/>
                <w:b/>
                <w:bCs/>
                <w:lang w:val="pl-PL"/>
              </w:rPr>
              <w:sym w:font="Symbol" w:char="F0B3"/>
            </w:r>
            <w:r w:rsidRPr="008F328C">
              <w:rPr>
                <w:rFonts w:ascii="Times New Roman" w:eastAsia="Symbol" w:hAnsi="Times New Roman" w:cs="Times New Roman"/>
                <w:b/>
                <w:bCs/>
                <w:lang w:val="pl-PL"/>
              </w:rPr>
              <w:sym w:font="Symbol" w:char="F020"/>
            </w:r>
            <w:r w:rsidRPr="008F328C">
              <w:rPr>
                <w:rFonts w:ascii="Times New Roman" w:eastAsia="Times New Roman" w:hAnsi="Times New Roman" w:cs="Times New Roman"/>
                <w:b/>
                <w:bCs/>
                <w:lang w:val="pl-PL"/>
              </w:rPr>
              <w:t>PASI 75</w:t>
            </w:r>
            <w:r w:rsidRPr="008F328C">
              <w:rPr>
                <w:rFonts w:ascii="Times New Roman" w:eastAsia="Times New Roman" w:hAnsi="Times New Roman" w:cs="Times New Roman"/>
                <w:b/>
                <w:bCs/>
                <w:vertAlign w:val="superscript"/>
                <w:lang w:val="pl-PL"/>
              </w:rPr>
              <w:t>a</w:t>
            </w:r>
          </w:p>
        </w:tc>
        <w:tc>
          <w:tcPr>
            <w:tcW w:w="1701" w:type="dxa"/>
            <w:tcBorders>
              <w:top w:val="single" w:sz="5" w:space="0" w:color="000000"/>
              <w:left w:val="single" w:sz="5" w:space="0" w:color="000000"/>
              <w:bottom w:val="single" w:sz="5" w:space="0" w:color="000000"/>
              <w:right w:val="single" w:sz="5" w:space="0" w:color="000000"/>
            </w:tcBorders>
          </w:tcPr>
          <w:p w14:paraId="09D6B3C2" w14:textId="77777777" w:rsidR="002E5800" w:rsidRPr="008F328C" w:rsidRDefault="000E0B7C">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(6,5)</w:t>
            </w:r>
          </w:p>
        </w:tc>
        <w:tc>
          <w:tcPr>
            <w:tcW w:w="3969" w:type="dxa"/>
            <w:tcBorders>
              <w:top w:val="single" w:sz="5" w:space="0" w:color="000000"/>
              <w:left w:val="single" w:sz="5" w:space="0" w:color="000000"/>
              <w:bottom w:val="single" w:sz="5" w:space="0" w:color="000000"/>
              <w:right w:val="single" w:sz="5" w:space="0" w:color="000000"/>
            </w:tcBorders>
          </w:tcPr>
          <w:p w14:paraId="0CBADF8A" w14:textId="77777777" w:rsidR="002E5800" w:rsidRPr="008F328C" w:rsidRDefault="000E0B7C">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578 (70,9)</w:t>
            </w:r>
            <w:r w:rsidRPr="008F328C">
              <w:rPr>
                <w:rFonts w:ascii="Times New Roman" w:eastAsia="Times New Roman" w:hAnsi="Times New Roman" w:cs="Times New Roman"/>
                <w:spacing w:val="-1"/>
                <w:sz w:val="14"/>
                <w:szCs w:val="14"/>
                <w:lang w:val="pl-PL"/>
              </w:rPr>
              <w:t>b</w:t>
            </w:r>
          </w:p>
        </w:tc>
      </w:tr>
      <w:tr w:rsidR="002E5800" w:rsidRPr="008F328C" w14:paraId="27FE1D96" w14:textId="77777777" w:rsidTr="00114A52">
        <w:tc>
          <w:tcPr>
            <w:tcW w:w="3969" w:type="dxa"/>
            <w:tcBorders>
              <w:top w:val="single" w:sz="5" w:space="0" w:color="000000"/>
              <w:left w:val="single" w:sz="5" w:space="0" w:color="000000"/>
              <w:bottom w:val="single" w:sz="5" w:space="0" w:color="000000"/>
              <w:right w:val="single" w:sz="5" w:space="0" w:color="000000"/>
            </w:tcBorders>
          </w:tcPr>
          <w:p w14:paraId="40123156" w14:textId="77777777" w:rsidR="002E5800" w:rsidRPr="008F328C" w:rsidRDefault="000E0B7C">
            <w:pPr>
              <w:pStyle w:val="TableParagraph"/>
              <w:spacing w:line="251"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PASI 100</w:t>
            </w:r>
          </w:p>
        </w:tc>
        <w:tc>
          <w:tcPr>
            <w:tcW w:w="1701" w:type="dxa"/>
            <w:tcBorders>
              <w:top w:val="single" w:sz="5" w:space="0" w:color="000000"/>
              <w:left w:val="single" w:sz="5" w:space="0" w:color="000000"/>
              <w:bottom w:val="single" w:sz="5" w:space="0" w:color="000000"/>
              <w:right w:val="single" w:sz="5" w:space="0" w:color="000000"/>
            </w:tcBorders>
          </w:tcPr>
          <w:p w14:paraId="14FB8EBB" w14:textId="77777777" w:rsidR="002E5800" w:rsidRPr="008F328C" w:rsidRDefault="000E0B7C">
            <w:pPr>
              <w:pStyle w:val="TableParagraph"/>
              <w:spacing w:line="246" w:lineRule="exact"/>
              <w:ind w:left="512"/>
              <w:rPr>
                <w:rFonts w:ascii="Times New Roman" w:eastAsia="Times New Roman" w:hAnsi="Times New Roman" w:cs="Times New Roman"/>
                <w:lang w:val="pl-PL"/>
              </w:rPr>
            </w:pPr>
            <w:r w:rsidRPr="008F328C">
              <w:rPr>
                <w:rFonts w:ascii="Times New Roman" w:eastAsia="Times New Roman" w:hAnsi="Times New Roman" w:cs="Times New Roman"/>
                <w:lang w:val="pl-PL"/>
              </w:rPr>
              <w:t>3 (0,8)</w:t>
            </w:r>
          </w:p>
        </w:tc>
        <w:tc>
          <w:tcPr>
            <w:tcW w:w="3969" w:type="dxa"/>
            <w:tcBorders>
              <w:top w:val="single" w:sz="5" w:space="0" w:color="000000"/>
              <w:left w:val="single" w:sz="5" w:space="0" w:color="000000"/>
              <w:bottom w:val="single" w:sz="5" w:space="0" w:color="000000"/>
              <w:right w:val="single" w:sz="5" w:space="0" w:color="000000"/>
            </w:tcBorders>
          </w:tcPr>
          <w:p w14:paraId="119F5149" w14:textId="77777777" w:rsidR="002E5800" w:rsidRPr="008F328C" w:rsidRDefault="000E0B7C">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163 (20,0)</w:t>
            </w:r>
            <w:r w:rsidRPr="008F328C">
              <w:rPr>
                <w:rFonts w:ascii="Times New Roman" w:eastAsia="Times New Roman" w:hAnsi="Times New Roman" w:cs="Times New Roman"/>
                <w:spacing w:val="-1"/>
                <w:sz w:val="14"/>
                <w:szCs w:val="14"/>
                <w:lang w:val="pl-PL"/>
              </w:rPr>
              <w:t>b</w:t>
            </w:r>
          </w:p>
        </w:tc>
      </w:tr>
      <w:tr w:rsidR="002E5800" w:rsidRPr="008F328C" w14:paraId="60841DDF" w14:textId="77777777" w:rsidTr="00114A52">
        <w:tc>
          <w:tcPr>
            <w:tcW w:w="3969" w:type="dxa"/>
            <w:tcBorders>
              <w:top w:val="single" w:sz="5" w:space="0" w:color="000000"/>
              <w:left w:val="single" w:sz="5" w:space="0" w:color="000000"/>
              <w:bottom w:val="single" w:sz="5" w:space="0" w:color="000000"/>
              <w:right w:val="single" w:sz="5" w:space="0" w:color="000000"/>
            </w:tcBorders>
          </w:tcPr>
          <w:p w14:paraId="5AC1C295" w14:textId="77777777" w:rsidR="002E5800" w:rsidRPr="008F328C" w:rsidRDefault="000E0B7C">
            <w:pPr>
              <w:pStyle w:val="TableParagraph"/>
              <w:spacing w:line="250"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PGA: czysta/prawie czysta</w:t>
            </w:r>
          </w:p>
        </w:tc>
        <w:tc>
          <w:tcPr>
            <w:tcW w:w="1701" w:type="dxa"/>
            <w:tcBorders>
              <w:top w:val="single" w:sz="5" w:space="0" w:color="000000"/>
              <w:left w:val="single" w:sz="5" w:space="0" w:color="000000"/>
              <w:bottom w:val="single" w:sz="5" w:space="0" w:color="000000"/>
              <w:right w:val="single" w:sz="5" w:space="0" w:color="000000"/>
            </w:tcBorders>
          </w:tcPr>
          <w:p w14:paraId="5652A5B8" w14:textId="77777777" w:rsidR="002E5800" w:rsidRPr="008F328C" w:rsidRDefault="000E0B7C">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17 (4,3)</w:t>
            </w:r>
          </w:p>
        </w:tc>
        <w:tc>
          <w:tcPr>
            <w:tcW w:w="3969" w:type="dxa"/>
            <w:tcBorders>
              <w:top w:val="single" w:sz="5" w:space="0" w:color="000000"/>
              <w:left w:val="single" w:sz="5" w:space="0" w:color="000000"/>
              <w:bottom w:val="single" w:sz="5" w:space="0" w:color="000000"/>
              <w:right w:val="single" w:sz="5" w:space="0" w:color="000000"/>
            </w:tcBorders>
          </w:tcPr>
          <w:p w14:paraId="3BAC6AA5" w14:textId="77777777" w:rsidR="002E5800" w:rsidRPr="008F328C" w:rsidRDefault="000E0B7C">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506 (62,2)</w:t>
            </w:r>
            <w:r w:rsidRPr="008F328C">
              <w:rPr>
                <w:rFonts w:ascii="Times New Roman" w:eastAsia="Times New Roman" w:hAnsi="Times New Roman" w:cs="Times New Roman"/>
                <w:spacing w:val="-1"/>
                <w:sz w:val="14"/>
                <w:szCs w:val="14"/>
                <w:lang w:val="pl-PL"/>
              </w:rPr>
              <w:t>b</w:t>
            </w:r>
          </w:p>
        </w:tc>
      </w:tr>
      <w:tr w:rsidR="002E5800" w:rsidRPr="00FE49E6" w14:paraId="21CFBE68" w14:textId="77777777" w:rsidTr="00114A52">
        <w:tc>
          <w:tcPr>
            <w:tcW w:w="9639" w:type="dxa"/>
            <w:gridSpan w:val="3"/>
            <w:tcBorders>
              <w:top w:val="single" w:sz="5" w:space="0" w:color="000000"/>
              <w:left w:val="single" w:sz="5" w:space="0" w:color="000000"/>
              <w:bottom w:val="single" w:sz="5" w:space="0" w:color="000000"/>
              <w:right w:val="single" w:sz="5" w:space="0" w:color="000000"/>
            </w:tcBorders>
          </w:tcPr>
          <w:p w14:paraId="477ADD5C" w14:textId="77777777" w:rsidR="002E5800" w:rsidRPr="008F328C" w:rsidRDefault="000E0B7C">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a</w:t>
            </w:r>
            <w:r w:rsidRPr="008F328C">
              <w:rPr>
                <w:rFonts w:ascii="Times New Roman" w:eastAsia="Times New Roman" w:hAnsi="Times New Roman" w:cs="Times New Roman"/>
                <w:lang w:val="pl-PL"/>
              </w:rPr>
              <w:t xml:space="preserve"> Odsetek pacjentów osiągających odpowiedź PASI 75 obliczano jako współczynnik korygowany dla ośrodków</w:t>
            </w:r>
          </w:p>
          <w:p w14:paraId="4F8AFB19" w14:textId="30012AF0" w:rsidR="002E5800" w:rsidRPr="008F328C" w:rsidRDefault="000E0B7C">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b</w:t>
            </w:r>
            <w:r w:rsidRPr="008F328C">
              <w:rPr>
                <w:rFonts w:ascii="Times New Roman" w:eastAsia="Times New Roman" w:hAnsi="Times New Roman" w:cs="Times New Roman"/>
                <w:lang w:val="pl-PL"/>
              </w:rPr>
              <w:t xml:space="preserve"> p</w:t>
            </w:r>
            <w:r w:rsidR="00B224C1"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lang w:val="pl-PL"/>
              </w:rPr>
              <w:t>≤</w:t>
            </w:r>
            <w:r w:rsidR="00B224C1"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lang w:val="pl-PL"/>
              </w:rPr>
              <w:t>0,001, adalimumab w porównaniu do placebo</w:t>
            </w:r>
          </w:p>
        </w:tc>
      </w:tr>
    </w:tbl>
    <w:p w14:paraId="39C86AD5" w14:textId="77777777" w:rsidR="002E5800" w:rsidRPr="008F328C" w:rsidRDefault="002E5800">
      <w:pPr>
        <w:spacing w:line="110" w:lineRule="exact"/>
        <w:rPr>
          <w:rFonts w:ascii="Times New Roman" w:hAnsi="Times New Roman" w:cs="Times New Roman"/>
          <w:sz w:val="11"/>
          <w:szCs w:val="11"/>
          <w:lang w:val="pl-PL"/>
        </w:rPr>
      </w:pPr>
    </w:p>
    <w:p w14:paraId="58B7390E" w14:textId="77777777" w:rsidR="002E5800" w:rsidRPr="008F328C" w:rsidRDefault="002E5800">
      <w:pPr>
        <w:spacing w:before="3" w:line="170" w:lineRule="exact"/>
        <w:rPr>
          <w:rFonts w:ascii="Times New Roman" w:hAnsi="Times New Roman" w:cs="Times New Roman"/>
          <w:sz w:val="17"/>
          <w:szCs w:val="17"/>
          <w:lang w:val="pl-PL"/>
        </w:rPr>
      </w:pPr>
    </w:p>
    <w:p w14:paraId="0814B976" w14:textId="5494C569"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17</w:t>
      </w:r>
    </w:p>
    <w:p w14:paraId="1E1BA282" w14:textId="77777777" w:rsidR="002E5800" w:rsidRPr="008F328C" w:rsidRDefault="000E0B7C">
      <w:pPr>
        <w:pStyle w:val="a3"/>
        <w:jc w:val="center"/>
        <w:rPr>
          <w:b/>
          <w:lang w:val="pl-PL"/>
        </w:rPr>
      </w:pPr>
      <w:r w:rsidRPr="008F328C">
        <w:rPr>
          <w:rFonts w:eastAsia="Times New Roman"/>
          <w:b/>
          <w:bCs/>
          <w:lang w:val="pl-PL"/>
        </w:rPr>
        <w:t>Badanie II w łuszczycy (CHAMPION) – wyniki skuteczności w 16. tygodniu</w:t>
      </w: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2E5800" w:rsidRPr="008F328C" w14:paraId="50E876A6" w14:textId="77777777">
        <w:tc>
          <w:tcPr>
            <w:tcW w:w="2294" w:type="dxa"/>
            <w:vAlign w:val="center"/>
          </w:tcPr>
          <w:p w14:paraId="2536295F" w14:textId="77777777" w:rsidR="002E5800" w:rsidRPr="008F328C" w:rsidRDefault="002E5800">
            <w:pPr>
              <w:pStyle w:val="a3"/>
              <w:rPr>
                <w:lang w:val="pl-PL"/>
              </w:rPr>
            </w:pPr>
          </w:p>
        </w:tc>
        <w:tc>
          <w:tcPr>
            <w:tcW w:w="2197" w:type="dxa"/>
            <w:vAlign w:val="center"/>
          </w:tcPr>
          <w:p w14:paraId="29DDFAAE" w14:textId="77777777" w:rsidR="002E5800" w:rsidRPr="008F328C" w:rsidRDefault="000E0B7C">
            <w:pPr>
              <w:pStyle w:val="TableParagraph"/>
              <w:spacing w:before="4" w:line="252" w:lineRule="exact"/>
              <w:ind w:left="459" w:right="459"/>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Placebo N=53</w:t>
            </w:r>
          </w:p>
          <w:p w14:paraId="43E69E88" w14:textId="77777777" w:rsidR="002E5800" w:rsidRPr="008F328C" w:rsidRDefault="000E0B7C">
            <w:pPr>
              <w:pStyle w:val="TableParagraph"/>
              <w:spacing w:before="4" w:line="252" w:lineRule="exact"/>
              <w:ind w:left="459" w:right="459"/>
              <w:jc w:val="center"/>
              <w:rPr>
                <w:rFonts w:ascii="Times New Roman" w:hAnsi="Times New Roman" w:cs="Times New Roman"/>
                <w:b/>
                <w:lang w:val="pl-PL"/>
              </w:rPr>
            </w:pPr>
            <w:r w:rsidRPr="008F328C">
              <w:rPr>
                <w:rFonts w:ascii="Times New Roman" w:eastAsia="Times New Roman" w:hAnsi="Times New Roman" w:cs="Times New Roman"/>
                <w:b/>
                <w:bCs/>
                <w:lang w:val="pl-PL"/>
              </w:rPr>
              <w:t>n (%)</w:t>
            </w:r>
          </w:p>
        </w:tc>
        <w:tc>
          <w:tcPr>
            <w:tcW w:w="2197" w:type="dxa"/>
            <w:vAlign w:val="center"/>
          </w:tcPr>
          <w:p w14:paraId="015C9F87" w14:textId="77777777" w:rsidR="002E5800" w:rsidRPr="008F328C" w:rsidRDefault="000E0B7C">
            <w:pPr>
              <w:pStyle w:val="a3"/>
              <w:jc w:val="center"/>
              <w:rPr>
                <w:b/>
                <w:lang w:val="pl-PL"/>
              </w:rPr>
            </w:pPr>
            <w:r w:rsidRPr="008F328C">
              <w:rPr>
                <w:rFonts w:eastAsia="Times New Roman"/>
                <w:b/>
                <w:bCs/>
                <w:lang w:val="pl-PL"/>
              </w:rPr>
              <w:t>MTX</w:t>
            </w:r>
          </w:p>
          <w:p w14:paraId="5960A288" w14:textId="77777777" w:rsidR="002E5800" w:rsidRPr="008F328C" w:rsidRDefault="000E0B7C">
            <w:pPr>
              <w:pStyle w:val="a3"/>
              <w:jc w:val="center"/>
              <w:rPr>
                <w:b/>
                <w:lang w:val="pl-PL"/>
              </w:rPr>
            </w:pPr>
            <w:r w:rsidRPr="008F328C">
              <w:rPr>
                <w:rFonts w:eastAsia="Times New Roman"/>
                <w:b/>
                <w:bCs/>
                <w:lang w:val="pl-PL"/>
              </w:rPr>
              <w:t>N=110</w:t>
            </w:r>
          </w:p>
          <w:p w14:paraId="6B4826DA" w14:textId="77777777" w:rsidR="002E5800" w:rsidRPr="008F328C" w:rsidRDefault="000E0B7C">
            <w:pPr>
              <w:pStyle w:val="a3"/>
              <w:jc w:val="center"/>
              <w:rPr>
                <w:lang w:val="pl-PL"/>
              </w:rPr>
            </w:pPr>
            <w:r w:rsidRPr="008F328C">
              <w:rPr>
                <w:rFonts w:eastAsia="Times New Roman"/>
                <w:b/>
                <w:bCs/>
                <w:lang w:val="pl-PL"/>
              </w:rPr>
              <w:t>n (%)</w:t>
            </w:r>
          </w:p>
        </w:tc>
        <w:tc>
          <w:tcPr>
            <w:tcW w:w="2751" w:type="dxa"/>
            <w:vAlign w:val="center"/>
          </w:tcPr>
          <w:p w14:paraId="4A0770A1" w14:textId="77777777" w:rsidR="002E5800" w:rsidRPr="008F328C" w:rsidRDefault="000E0B7C">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1A78BF03" w14:textId="77777777" w:rsidR="002E5800" w:rsidRPr="008F328C" w:rsidRDefault="000E0B7C">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N=108</w:t>
            </w:r>
          </w:p>
          <w:p w14:paraId="2544867F" w14:textId="77777777" w:rsidR="002E5800" w:rsidRPr="008F328C" w:rsidRDefault="000E0B7C">
            <w:pPr>
              <w:pStyle w:val="TableParagraph"/>
              <w:spacing w:before="4" w:line="252" w:lineRule="exact"/>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2E5800" w:rsidRPr="008F328C" w14:paraId="4F044D49" w14:textId="77777777">
        <w:tc>
          <w:tcPr>
            <w:tcW w:w="2294" w:type="dxa"/>
          </w:tcPr>
          <w:p w14:paraId="011CA735" w14:textId="77777777" w:rsidR="002E5800" w:rsidRPr="008F328C" w:rsidRDefault="000E0B7C">
            <w:pPr>
              <w:pStyle w:val="a3"/>
              <w:rPr>
                <w:b/>
                <w:lang w:val="pl-PL"/>
              </w:rPr>
            </w:pPr>
            <w:r w:rsidRPr="008F328C">
              <w:rPr>
                <w:rFonts w:eastAsia="Symbol"/>
                <w:b/>
                <w:lang w:val="pl-PL"/>
              </w:rPr>
              <w:sym w:font="Symbol" w:char="F0B3"/>
            </w:r>
            <w:r w:rsidRPr="008F328C">
              <w:rPr>
                <w:rFonts w:eastAsia="Symbol"/>
                <w:b/>
                <w:lang w:val="pl-PL"/>
              </w:rPr>
              <w:sym w:font="Symbol" w:char="F020"/>
            </w:r>
            <w:r w:rsidRPr="008F328C">
              <w:rPr>
                <w:rFonts w:eastAsia="Times New Roman"/>
                <w:b/>
                <w:lang w:val="pl-PL"/>
              </w:rPr>
              <w:t>PASI 75</w:t>
            </w:r>
          </w:p>
        </w:tc>
        <w:tc>
          <w:tcPr>
            <w:tcW w:w="2197" w:type="dxa"/>
          </w:tcPr>
          <w:p w14:paraId="43475B1E" w14:textId="77777777" w:rsidR="002E5800" w:rsidRPr="008F328C" w:rsidRDefault="000E0B7C">
            <w:pPr>
              <w:pStyle w:val="a3"/>
              <w:jc w:val="center"/>
              <w:rPr>
                <w:b/>
                <w:lang w:val="pl-PL"/>
              </w:rPr>
            </w:pPr>
            <w:r w:rsidRPr="008F328C">
              <w:rPr>
                <w:rFonts w:eastAsia="Times New Roman"/>
                <w:lang w:val="pl-PL"/>
              </w:rPr>
              <w:t>10 (18,9)</w:t>
            </w:r>
          </w:p>
        </w:tc>
        <w:tc>
          <w:tcPr>
            <w:tcW w:w="2197" w:type="dxa"/>
          </w:tcPr>
          <w:p w14:paraId="237F76F3" w14:textId="77777777" w:rsidR="002E5800" w:rsidRPr="008F328C" w:rsidRDefault="000E0B7C">
            <w:pPr>
              <w:pStyle w:val="a3"/>
              <w:jc w:val="center"/>
              <w:rPr>
                <w:b/>
                <w:lang w:val="pl-PL"/>
              </w:rPr>
            </w:pPr>
            <w:r w:rsidRPr="008F328C">
              <w:rPr>
                <w:rFonts w:eastAsia="Times New Roman"/>
                <w:lang w:val="pl-PL"/>
              </w:rPr>
              <w:t>39 (35,5)</w:t>
            </w:r>
          </w:p>
        </w:tc>
        <w:tc>
          <w:tcPr>
            <w:tcW w:w="2751" w:type="dxa"/>
          </w:tcPr>
          <w:p w14:paraId="6C03208A" w14:textId="77777777" w:rsidR="002E5800" w:rsidRPr="008F328C" w:rsidRDefault="000E0B7C">
            <w:pPr>
              <w:pStyle w:val="a3"/>
              <w:jc w:val="center"/>
              <w:rPr>
                <w:b/>
                <w:lang w:val="pl-PL"/>
              </w:rPr>
            </w:pPr>
            <w:r w:rsidRPr="008F328C">
              <w:rPr>
                <w:rFonts w:eastAsia="Times New Roman"/>
                <w:spacing w:val="-1"/>
                <w:lang w:val="pl-PL"/>
              </w:rPr>
              <w:t xml:space="preserve">86 (79,6) </w:t>
            </w:r>
            <w:r w:rsidRPr="008F328C">
              <w:rPr>
                <w:rFonts w:eastAsia="Times New Roman"/>
                <w:spacing w:val="-1"/>
                <w:vertAlign w:val="superscript"/>
                <w:lang w:val="pl-PL"/>
              </w:rPr>
              <w:t>a, b</w:t>
            </w:r>
          </w:p>
        </w:tc>
      </w:tr>
      <w:tr w:rsidR="002E5800" w:rsidRPr="008F328C" w14:paraId="535CD14D" w14:textId="77777777">
        <w:tc>
          <w:tcPr>
            <w:tcW w:w="2294" w:type="dxa"/>
          </w:tcPr>
          <w:p w14:paraId="7315CCCC" w14:textId="77777777" w:rsidR="002E5800" w:rsidRPr="008F328C" w:rsidRDefault="000E0B7C">
            <w:pPr>
              <w:pStyle w:val="a3"/>
              <w:rPr>
                <w:b/>
                <w:lang w:val="pl-PL"/>
              </w:rPr>
            </w:pPr>
            <w:r w:rsidRPr="008F328C">
              <w:rPr>
                <w:rFonts w:eastAsia="Times New Roman"/>
                <w:b/>
                <w:lang w:val="pl-PL"/>
              </w:rPr>
              <w:t>PASI 100</w:t>
            </w:r>
          </w:p>
        </w:tc>
        <w:tc>
          <w:tcPr>
            <w:tcW w:w="2197" w:type="dxa"/>
          </w:tcPr>
          <w:p w14:paraId="265EA1CD" w14:textId="77777777" w:rsidR="002E5800" w:rsidRPr="008F328C" w:rsidRDefault="000E0B7C">
            <w:pPr>
              <w:pStyle w:val="a3"/>
              <w:jc w:val="center"/>
              <w:rPr>
                <w:b/>
                <w:lang w:val="pl-PL"/>
              </w:rPr>
            </w:pPr>
            <w:r w:rsidRPr="008F328C">
              <w:rPr>
                <w:rFonts w:eastAsia="Times New Roman"/>
                <w:lang w:val="pl-PL"/>
              </w:rPr>
              <w:t>1 (1,9)</w:t>
            </w:r>
          </w:p>
        </w:tc>
        <w:tc>
          <w:tcPr>
            <w:tcW w:w="2197" w:type="dxa"/>
          </w:tcPr>
          <w:p w14:paraId="1771FA56" w14:textId="77777777" w:rsidR="002E5800" w:rsidRPr="008F328C" w:rsidRDefault="000E0B7C">
            <w:pPr>
              <w:pStyle w:val="a3"/>
              <w:jc w:val="center"/>
              <w:rPr>
                <w:b/>
                <w:lang w:val="pl-PL"/>
              </w:rPr>
            </w:pPr>
            <w:r w:rsidRPr="008F328C">
              <w:rPr>
                <w:rFonts w:eastAsia="Times New Roman"/>
                <w:lang w:val="pl-PL"/>
              </w:rPr>
              <w:t>8 (7,3)</w:t>
            </w:r>
          </w:p>
        </w:tc>
        <w:tc>
          <w:tcPr>
            <w:tcW w:w="2751" w:type="dxa"/>
          </w:tcPr>
          <w:p w14:paraId="0A9D65F3" w14:textId="77777777" w:rsidR="002E5800" w:rsidRPr="008F328C" w:rsidRDefault="000E0B7C">
            <w:pPr>
              <w:pStyle w:val="a3"/>
              <w:jc w:val="center"/>
              <w:rPr>
                <w:b/>
                <w:lang w:val="pl-PL"/>
              </w:rPr>
            </w:pPr>
            <w:r w:rsidRPr="008F328C">
              <w:rPr>
                <w:rFonts w:eastAsia="Times New Roman"/>
                <w:spacing w:val="-1"/>
                <w:lang w:val="pl-PL"/>
              </w:rPr>
              <w:t xml:space="preserve">18 (16,7) </w:t>
            </w:r>
            <w:r w:rsidRPr="008F328C">
              <w:rPr>
                <w:rFonts w:eastAsia="Times New Roman"/>
                <w:spacing w:val="-1"/>
                <w:vertAlign w:val="superscript"/>
                <w:lang w:val="pl-PL"/>
              </w:rPr>
              <w:t>c, d</w:t>
            </w:r>
          </w:p>
        </w:tc>
      </w:tr>
      <w:tr w:rsidR="002E5800" w:rsidRPr="008F328C" w14:paraId="57E5BC3D" w14:textId="77777777">
        <w:tc>
          <w:tcPr>
            <w:tcW w:w="2294" w:type="dxa"/>
          </w:tcPr>
          <w:p w14:paraId="2AD64F64" w14:textId="77777777" w:rsidR="002E5800" w:rsidRPr="008F328C" w:rsidRDefault="000E0B7C">
            <w:pPr>
              <w:pStyle w:val="TableParagraph"/>
              <w:spacing w:line="251" w:lineRule="exact"/>
              <w:rPr>
                <w:rFonts w:ascii="Times New Roman" w:hAnsi="Times New Roman" w:cs="Times New Roman"/>
                <w:b/>
                <w:lang w:val="pl-PL"/>
              </w:rPr>
            </w:pPr>
            <w:r w:rsidRPr="008F328C">
              <w:rPr>
                <w:rFonts w:ascii="Times New Roman" w:eastAsia="Times New Roman" w:hAnsi="Times New Roman" w:cs="Times New Roman"/>
                <w:b/>
                <w:bCs/>
                <w:lang w:val="pl-PL"/>
              </w:rPr>
              <w:t>PGA: czysta/prawie czysta</w:t>
            </w:r>
          </w:p>
        </w:tc>
        <w:tc>
          <w:tcPr>
            <w:tcW w:w="2197" w:type="dxa"/>
          </w:tcPr>
          <w:p w14:paraId="7AB06FB0" w14:textId="77777777" w:rsidR="002E5800" w:rsidRPr="008F328C" w:rsidRDefault="000E0B7C">
            <w:pPr>
              <w:pStyle w:val="a3"/>
              <w:jc w:val="center"/>
              <w:rPr>
                <w:b/>
                <w:lang w:val="pl-PL"/>
              </w:rPr>
            </w:pPr>
            <w:r w:rsidRPr="008F328C">
              <w:rPr>
                <w:rFonts w:eastAsia="Times New Roman"/>
                <w:lang w:val="pl-PL"/>
              </w:rPr>
              <w:t>6 (11,3)</w:t>
            </w:r>
          </w:p>
        </w:tc>
        <w:tc>
          <w:tcPr>
            <w:tcW w:w="2197" w:type="dxa"/>
          </w:tcPr>
          <w:p w14:paraId="5DB9B443" w14:textId="77777777" w:rsidR="002E5800" w:rsidRPr="008F328C" w:rsidRDefault="000E0B7C">
            <w:pPr>
              <w:pStyle w:val="a3"/>
              <w:jc w:val="center"/>
              <w:rPr>
                <w:b/>
                <w:lang w:val="pl-PL"/>
              </w:rPr>
            </w:pPr>
            <w:r w:rsidRPr="008F328C">
              <w:rPr>
                <w:rFonts w:eastAsia="Times New Roman"/>
                <w:lang w:val="pl-PL"/>
              </w:rPr>
              <w:t>33 (30,0)</w:t>
            </w:r>
          </w:p>
        </w:tc>
        <w:tc>
          <w:tcPr>
            <w:tcW w:w="2751" w:type="dxa"/>
          </w:tcPr>
          <w:p w14:paraId="38455BF6" w14:textId="77777777" w:rsidR="002E5800" w:rsidRPr="008F328C" w:rsidRDefault="000E0B7C">
            <w:pPr>
              <w:pStyle w:val="a3"/>
              <w:jc w:val="center"/>
              <w:rPr>
                <w:b/>
                <w:lang w:val="pl-PL"/>
              </w:rPr>
            </w:pPr>
            <w:r w:rsidRPr="008F328C">
              <w:rPr>
                <w:rFonts w:eastAsia="Times New Roman"/>
                <w:spacing w:val="-1"/>
                <w:lang w:val="pl-PL"/>
              </w:rPr>
              <w:t xml:space="preserve">79 (73.1) </w:t>
            </w:r>
            <w:r w:rsidRPr="008F328C">
              <w:rPr>
                <w:rFonts w:eastAsia="Times New Roman"/>
                <w:spacing w:val="-1"/>
                <w:vertAlign w:val="superscript"/>
                <w:lang w:val="pl-PL"/>
              </w:rPr>
              <w:t>a, b</w:t>
            </w:r>
          </w:p>
        </w:tc>
      </w:tr>
      <w:tr w:rsidR="002E5800" w:rsidRPr="00FE49E6" w14:paraId="0A889D85" w14:textId="77777777">
        <w:tc>
          <w:tcPr>
            <w:tcW w:w="9439" w:type="dxa"/>
            <w:gridSpan w:val="4"/>
          </w:tcPr>
          <w:p w14:paraId="23736221" w14:textId="77777777" w:rsidR="002E5800" w:rsidRPr="008F328C" w:rsidRDefault="000E0B7C">
            <w:pPr>
              <w:pStyle w:val="TableParagraph"/>
              <w:spacing w:line="246"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a</w:t>
            </w:r>
            <w:r w:rsidRPr="008F328C">
              <w:rPr>
                <w:rFonts w:ascii="Times New Roman" w:eastAsia="Times New Roman" w:hAnsi="Times New Roman" w:cs="Times New Roman"/>
                <w:spacing w:val="-2"/>
                <w:lang w:val="pl-PL"/>
              </w:rPr>
              <w:t xml:space="preserve"> p &lt; 0,001 adalimumab w porównaniu do placebo</w:t>
            </w:r>
          </w:p>
          <w:p w14:paraId="1C884A08" w14:textId="77777777" w:rsidR="002E5800" w:rsidRPr="008F328C" w:rsidRDefault="000E0B7C">
            <w:pPr>
              <w:pStyle w:val="TableParagraph"/>
              <w:spacing w:line="252"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b</w:t>
            </w:r>
            <w:r w:rsidRPr="008F328C">
              <w:rPr>
                <w:rFonts w:ascii="Times New Roman" w:eastAsia="Times New Roman" w:hAnsi="Times New Roman" w:cs="Times New Roman"/>
                <w:spacing w:val="-2"/>
                <w:lang w:val="pl-PL"/>
              </w:rPr>
              <w:t xml:space="preserve"> p &lt; 0,001 adalimumab w porównaniu do metotreksatu</w:t>
            </w:r>
          </w:p>
          <w:p w14:paraId="338CD7AB" w14:textId="77777777" w:rsidR="002E5800" w:rsidRPr="008F328C" w:rsidRDefault="000E0B7C">
            <w:pPr>
              <w:pStyle w:val="TableParagraph"/>
              <w:spacing w:line="254"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c</w:t>
            </w:r>
            <w:r w:rsidRPr="008F328C">
              <w:rPr>
                <w:rFonts w:ascii="Times New Roman" w:eastAsia="Times New Roman" w:hAnsi="Times New Roman" w:cs="Times New Roman"/>
                <w:spacing w:val="-2"/>
                <w:lang w:val="pl-PL"/>
              </w:rPr>
              <w:t xml:space="preserve"> p &lt; 0,01, adalimumab w porównaniu do placebo</w:t>
            </w:r>
          </w:p>
          <w:p w14:paraId="3D3A8EE4" w14:textId="77777777" w:rsidR="002E5800" w:rsidRPr="008F328C" w:rsidRDefault="000E0B7C">
            <w:pPr>
              <w:pStyle w:val="a3"/>
              <w:rPr>
                <w:rFonts w:eastAsia="Times New Roman"/>
                <w:spacing w:val="-2"/>
                <w:lang w:val="pl-PL"/>
              </w:rPr>
            </w:pPr>
            <w:r w:rsidRPr="008F328C">
              <w:rPr>
                <w:rFonts w:eastAsia="Times New Roman"/>
                <w:spacing w:val="-2"/>
                <w:vertAlign w:val="superscript"/>
                <w:lang w:val="pl-PL"/>
              </w:rPr>
              <w:t>d</w:t>
            </w:r>
            <w:r w:rsidRPr="008F328C">
              <w:rPr>
                <w:rFonts w:eastAsia="Times New Roman"/>
                <w:spacing w:val="-2"/>
                <w:lang w:val="pl-PL"/>
              </w:rPr>
              <w:t xml:space="preserve"> p &lt; 0,05 adalimumab w porównaniu do metotreksatu</w:t>
            </w:r>
          </w:p>
        </w:tc>
      </w:tr>
    </w:tbl>
    <w:p w14:paraId="360F9EE1" w14:textId="77777777" w:rsidR="002E5800" w:rsidRPr="008F328C" w:rsidRDefault="002E5800">
      <w:pPr>
        <w:pStyle w:val="a3"/>
        <w:rPr>
          <w:lang w:val="pl-PL"/>
        </w:rPr>
      </w:pPr>
    </w:p>
    <w:p w14:paraId="104EF3FC" w14:textId="77777777" w:rsidR="002E5800" w:rsidRPr="008F328C" w:rsidRDefault="000E0B7C">
      <w:pPr>
        <w:pStyle w:val="a3"/>
        <w:rPr>
          <w:lang w:val="pl-PL"/>
        </w:rPr>
      </w:pPr>
      <w:r w:rsidRPr="008F328C">
        <w:rPr>
          <w:rFonts w:eastAsia="Times New Roman"/>
          <w:spacing w:val="-2"/>
          <w:lang w:val="pl-PL"/>
        </w:rPr>
        <w:lastRenderedPageBreak/>
        <w:t>W badaniu I w łuszczycy, u 28% pacjentów, którzy uzyskali odpowiedź PASI 75 i w 33. tygodniu zostali powtórnie losowo przydzieleni do grupy otrzymującej placebo w porównaniu do 5% pacjentów kontynuujących leczenie adalimumabem, p &lt; 0,001, wystąpiła „utrata adekwatnej odpowiedzi na leczenie” (punktacja PASI po 33. tygodniu oraz w 52. tygodniu lub przed 52. tygodniem, co dało odpowiedź &lt; PASI 50 w stosunku do wartości wyjściowych z co najmniej 6-punktowym zwiększeniem w punktacji PASI w stosunku do 33. tygodnia). Spośród pacjentów, którzy „utracili adekwatną odpowiedź na leczenie” po powtórnym losowym przydzieleniu do grupy otrzymującej placebo, a których następnie włączono ponownie do otwartego badania kontynuacyjnego 38% (25/66) i 55% (36/66) odzyskało odpowiedź na leczenie PASI 75 po odpowiednio 12 i 24 tygodniach powtórnego leczenia.</w:t>
      </w:r>
    </w:p>
    <w:p w14:paraId="3FF2C0A5" w14:textId="77777777" w:rsidR="002E5800" w:rsidRPr="008F328C" w:rsidRDefault="002E5800">
      <w:pPr>
        <w:spacing w:before="11" w:line="240" w:lineRule="exact"/>
        <w:rPr>
          <w:rFonts w:ascii="Times New Roman" w:hAnsi="Times New Roman" w:cs="Times New Roman"/>
          <w:sz w:val="24"/>
          <w:szCs w:val="24"/>
          <w:lang w:val="pl-PL"/>
        </w:rPr>
      </w:pPr>
    </w:p>
    <w:p w14:paraId="5ED55953" w14:textId="77777777" w:rsidR="002E5800" w:rsidRPr="008F328C" w:rsidRDefault="000E0B7C">
      <w:pPr>
        <w:pStyle w:val="a3"/>
        <w:rPr>
          <w:lang w:val="pl-PL"/>
        </w:rPr>
      </w:pPr>
      <w:r w:rsidRPr="008F328C">
        <w:rPr>
          <w:rFonts w:eastAsia="Times New Roman"/>
          <w:lang w:val="pl-PL"/>
        </w:rPr>
        <w:t>Łącznie 233 pacjentów, którzy w 16. i 33. tygodniu wykazali odpowiedź na leczenie PASI 75, otrzymywało adalimumab przez 52 tygodnie w ramach badania I w łuszczycy, a następnie w otwartym badaniu kontynuacyjnym. U tych pacjentów, po dodatkowych 108 tygodniach leczenia w badaniu otwartym (łącznie 160 tygodni) odsetki odpowiedzi na leczenie PASI 75 i PGA określana jako „czysta” lub „prawie czysta” wynosiły odpowiednio 74,7% i 59,0%. Analiza, w której za nieodpowiadających na leczenie uznano wszystkich tych pacjentów, którzy przerwali udział w badaniu z powodu zdarzeń niepożądanych lub braku skuteczności leczenia albo u których konieczne było znaczne zwiększenie dawki, wykazała że odsetki odpowiedzi PASI 75 i PGA określana jako „czysta” lub „prawie czysta” wynosiły u tych pacjentów odpowiednio 69,6% i 55,7% po dodatkowych 108 tygodniach leczenia w otwartym badaniu kontynuacyjnym (łącznie 160 tygodni).</w:t>
      </w:r>
    </w:p>
    <w:p w14:paraId="39D0A7C2" w14:textId="77777777" w:rsidR="002E5800" w:rsidRPr="008F328C" w:rsidRDefault="002E5800">
      <w:pPr>
        <w:spacing w:before="13" w:line="240" w:lineRule="exact"/>
        <w:rPr>
          <w:rFonts w:ascii="Times New Roman" w:hAnsi="Times New Roman" w:cs="Times New Roman"/>
          <w:sz w:val="24"/>
          <w:szCs w:val="24"/>
          <w:lang w:val="pl-PL"/>
        </w:rPr>
      </w:pPr>
    </w:p>
    <w:p w14:paraId="14C098D1" w14:textId="77777777" w:rsidR="002E5800" w:rsidRPr="008F328C" w:rsidRDefault="000E0B7C">
      <w:pPr>
        <w:pStyle w:val="a3"/>
        <w:rPr>
          <w:lang w:val="pl-PL"/>
        </w:rPr>
      </w:pPr>
      <w:r w:rsidRPr="008F328C">
        <w:rPr>
          <w:rFonts w:eastAsia="Times New Roman"/>
          <w:lang w:val="pl-PL"/>
        </w:rPr>
        <w:t>U łącznie 347 pacjentów, wykazujących stałą odpowiedź na leczenie, dokonano oceny w okresie zaprzestania leczenia oraz po wznowieniu leczenia w otwartym badaniu kontynuacyjnym. W okresie w którym zaprzestano leczenia, objawy łuszczycy z czasem nawróciły, a mediana czasu do nawrotu objawów choroby (obniżenie oceny PGA do „umiarkowana” lub jeszcze gorszy wynik) wynosiła około 5 miesięcy. U żadnego z tych pacjentów nie wystąpił pełny nawrót choroby w okresie zaprzestania leczenia. Po 16 tygodniach powtórnego leczenia, odpowiedź ocenianą jako PGA „czysta” lub „prawie czysta” uzyskano łącznie u 76,5% (218/285) pacjentów, którzy wznowili leczenie, niezależnie od tego czy doszło do nawrotu objawów w okresie zaprzestania leczenia (69,1% [123/178] pacjentów, u których w okresie zaprzestania leczenia doszło do nawrotu objawów choroby i 88,8% [95/107] pacjentów, u których nie doszło do nawrotu choroby). W okresie powtórnego leczenia obserwowano podobny profil bezpieczeństwa jak przed zaprzestaniem leczenia.</w:t>
      </w:r>
    </w:p>
    <w:p w14:paraId="3BB34D83" w14:textId="77777777" w:rsidR="002E5800" w:rsidRPr="008F328C" w:rsidRDefault="002E5800">
      <w:pPr>
        <w:pStyle w:val="a3"/>
        <w:rPr>
          <w:lang w:val="pl-PL"/>
        </w:rPr>
      </w:pPr>
    </w:p>
    <w:p w14:paraId="68B16E48" w14:textId="77777777" w:rsidR="002E5800" w:rsidRPr="008F328C" w:rsidRDefault="000E0B7C">
      <w:pPr>
        <w:pStyle w:val="a3"/>
        <w:rPr>
          <w:lang w:val="pl-PL"/>
        </w:rPr>
      </w:pPr>
      <w:r w:rsidRPr="008F328C">
        <w:rPr>
          <w:rFonts w:eastAsia="Times New Roman"/>
          <w:lang w:val="pl-PL"/>
        </w:rPr>
        <w:t>W 16. tygodniu uzyskano istotną poprawę wskaźnika jakości życia zależnej od dolegliwości skórnych (ang. Dermatology Life Quality Index, DLQI) w stosunku do wartości wyjściowych w porównaniu do placebo (badania I i II) oraz metotreksatu (badanie II). W badaniu I poprawa sumarycznej punktacji składowych dotyczących sprawności fizycznej i psychicznej w kwestionariuszu SF-36 była również istotna w porównaniu do placebo.</w:t>
      </w:r>
    </w:p>
    <w:p w14:paraId="79E0BC3C" w14:textId="77777777" w:rsidR="002E5800" w:rsidRPr="008F328C" w:rsidRDefault="002E5800">
      <w:pPr>
        <w:spacing w:before="13" w:line="240" w:lineRule="exact"/>
        <w:rPr>
          <w:rFonts w:ascii="Times New Roman" w:hAnsi="Times New Roman" w:cs="Times New Roman"/>
          <w:sz w:val="24"/>
          <w:szCs w:val="24"/>
          <w:lang w:val="pl-PL"/>
        </w:rPr>
      </w:pPr>
    </w:p>
    <w:p w14:paraId="3DA24235" w14:textId="77777777" w:rsidR="002E5800" w:rsidRPr="008F328C" w:rsidRDefault="000E0B7C">
      <w:pPr>
        <w:pStyle w:val="a3"/>
        <w:rPr>
          <w:lang w:val="pl-PL"/>
        </w:rPr>
      </w:pPr>
      <w:r w:rsidRPr="008F328C">
        <w:rPr>
          <w:rFonts w:eastAsia="Times New Roman"/>
          <w:lang w:val="pl-PL"/>
        </w:rPr>
        <w:t>W otwartym badaniu kontynuacyjnym spośród pacjentów, którym zwiększono dawkę z 40 mg co drugi tydzień do 40 mg co tydzień z powodu odpowiedzi PASI mniejszej niż 50%, 26,4% (92/349) i 37,8% (132/349) pacjentów osiągnęło odpowiedź PASI 75 odpowiednio w tygodniu 12 i 24.</w:t>
      </w:r>
    </w:p>
    <w:p w14:paraId="14D2C133" w14:textId="77777777" w:rsidR="002E5800" w:rsidRPr="008F328C" w:rsidRDefault="002E5800">
      <w:pPr>
        <w:spacing w:before="17" w:line="240" w:lineRule="exact"/>
        <w:rPr>
          <w:rFonts w:ascii="Times New Roman" w:hAnsi="Times New Roman" w:cs="Times New Roman"/>
          <w:sz w:val="24"/>
          <w:szCs w:val="24"/>
          <w:lang w:val="pl-PL"/>
        </w:rPr>
      </w:pPr>
    </w:p>
    <w:p w14:paraId="744A821D" w14:textId="77777777" w:rsidR="002E5800" w:rsidRPr="008F328C" w:rsidRDefault="000E0B7C">
      <w:pPr>
        <w:pStyle w:val="a3"/>
        <w:rPr>
          <w:lang w:val="pl-PL"/>
        </w:rPr>
      </w:pPr>
      <w:r w:rsidRPr="008F328C">
        <w:rPr>
          <w:rFonts w:eastAsia="Times New Roman"/>
          <w:lang w:val="pl-PL"/>
        </w:rPr>
        <w:t xml:space="preserve">W badaniu III w łuszczycy (REACH) porównywano skuteczność i bezpieczeństwo stosowania adalimumabu </w:t>
      </w:r>
      <w:r w:rsidRPr="008F328C">
        <w:rPr>
          <w:rFonts w:eastAsia="Times New Roman"/>
          <w:i/>
          <w:iCs/>
          <w:lang w:val="pl-PL"/>
        </w:rPr>
        <w:t>versus</w:t>
      </w:r>
      <w:r w:rsidRPr="008F328C">
        <w:rPr>
          <w:rFonts w:eastAsia="Times New Roman"/>
          <w:lang w:val="pl-PL"/>
        </w:rPr>
        <w:t xml:space="preserve"> placebo u 72 pacjentów z przewlekłą łuszczycą zwyczajną (plackowatą) o nasileniu umiarkowanym do ciężkiego oraz z łuszczycą dłoni i (lub) stóp. Pacjenci otrzymywali adalimumab w dawce początkowej 80 mg, a następnie 40 mg co drugi tydzień (po upływie jednego tygodnia od podania dawki początkowej) lub placebo przez 16 tygodni. W 16. tygodniu statystycznie istotnie większy odsetek pacjentów, którzy otrzymywali adalimumab, osiągnął ocenę PGA „czysta” lub „prawie czysta” dla zmian na dłoniach i (lub) stopach w porównaniu do pacjentów, którzy otrzymywali placebo (odpowiednio 30,6 % w porównaniu do 4,3% [P=0,014]).</w:t>
      </w:r>
    </w:p>
    <w:p w14:paraId="696E8267" w14:textId="77777777" w:rsidR="002E5800" w:rsidRPr="008F328C" w:rsidRDefault="002E5800">
      <w:pPr>
        <w:spacing w:before="13" w:line="240" w:lineRule="exact"/>
        <w:rPr>
          <w:rFonts w:ascii="Times New Roman" w:hAnsi="Times New Roman" w:cs="Times New Roman"/>
          <w:sz w:val="24"/>
          <w:szCs w:val="24"/>
          <w:lang w:val="pl-PL"/>
        </w:rPr>
      </w:pPr>
    </w:p>
    <w:p w14:paraId="4F8D8A99" w14:textId="6A662DE0" w:rsidR="002E5800" w:rsidRPr="008F328C" w:rsidRDefault="000E0B7C">
      <w:pPr>
        <w:pStyle w:val="a3"/>
        <w:rPr>
          <w:rFonts w:eastAsia="Times New Roman"/>
          <w:lang w:val="pl-PL"/>
        </w:rPr>
      </w:pPr>
      <w:r w:rsidRPr="008F328C">
        <w:rPr>
          <w:rFonts w:eastAsia="Times New Roman"/>
          <w:lang w:val="pl-PL"/>
        </w:rPr>
        <w:t xml:space="preserve">W badaniu IV w łuszczycy porównywano skuteczność i bezpieczeństwo stosowania adalimumabu z </w:t>
      </w:r>
      <w:r w:rsidRPr="008F328C">
        <w:rPr>
          <w:rFonts w:eastAsia="Times New Roman"/>
          <w:lang w:val="pl-PL"/>
        </w:rPr>
        <w:lastRenderedPageBreak/>
        <w:t xml:space="preserve">placebo u 217 dorosłych pacjentów z łuszczycą paznokci o nasileniu umiarkowanym do ciężkiego. Pacjenci otrzymywali adalimumab w dawce początkowej 80 mg, a następnie 40 mg co drugi tydzień (po upływie jednego tygodnia od podania dawki początkowej) lub placebo przez 26 tygodni, a następnie leczenie adalimumabem w próbie otwartej przez dodatkowych 26 tygodni. Ocena łuszczycy paznokci obejmowała zmodyfikowany wskaźnik nasilenia łuszczycy paznokci (ang. Modified Nail Psoriasis Severity Index, mNAPSI), ogólną ocenę lekarską łuszczycy paznokci rąk (ang. Physician’s Global Assessment of Fingernail Psoriasis, PGA-F) oraz wskaźnik nasilenia łuszczycy paznokci (ang. Nail Psoriasis Severity Index, NAPSI) (patrz Tabela </w:t>
      </w:r>
      <w:r w:rsidR="007011B1" w:rsidRPr="008F328C">
        <w:rPr>
          <w:rFonts w:eastAsia="Times New Roman"/>
          <w:lang w:val="pl-PL"/>
        </w:rPr>
        <w:t>18</w:t>
      </w:r>
      <w:r w:rsidRPr="008F328C">
        <w:rPr>
          <w:rFonts w:eastAsia="Times New Roman"/>
          <w:lang w:val="pl-PL"/>
        </w:rPr>
        <w:t xml:space="preserve">). U pacjentów z łuszczycą paznokci z różną powierzchnią ciała (ang. Body Surface Area, BSA) zajętą przez zmiany łuszczycowe [BSA </w:t>
      </w:r>
      <w:r w:rsidR="00282458" w:rsidRPr="008F328C">
        <w:rPr>
          <w:rFonts w:eastAsia="Times New Roman"/>
          <w:lang w:val="pl-PL"/>
        </w:rPr>
        <w:t>≥</w:t>
      </w:r>
      <w:r w:rsidRPr="008F328C">
        <w:rPr>
          <w:rFonts w:eastAsia="Times New Roman"/>
          <w:lang w:val="pl-PL"/>
        </w:rPr>
        <w:t xml:space="preserve"> 10% (60% pacjentów) oraz BSA&lt;10% i ≥5% (40% pacjentów)] wykazano korzyści leczenia adalimumabem.</w:t>
      </w:r>
    </w:p>
    <w:p w14:paraId="322DEF83" w14:textId="77777777" w:rsidR="00926183" w:rsidRPr="008F328C" w:rsidRDefault="00926183">
      <w:pPr>
        <w:pStyle w:val="a3"/>
        <w:rPr>
          <w:lang w:val="pl-PL"/>
        </w:rPr>
      </w:pPr>
    </w:p>
    <w:p w14:paraId="040AFFFA" w14:textId="6CFAD751"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18</w:t>
      </w:r>
    </w:p>
    <w:p w14:paraId="350ADEFB" w14:textId="655E5C14" w:rsidR="002E5800" w:rsidRDefault="000E0B7C">
      <w:pPr>
        <w:pStyle w:val="a3"/>
        <w:jc w:val="center"/>
        <w:rPr>
          <w:rFonts w:eastAsia="Times New Roman"/>
          <w:b/>
          <w:bCs/>
          <w:lang w:val="pl-PL"/>
        </w:rPr>
      </w:pPr>
      <w:r w:rsidRPr="008F328C">
        <w:rPr>
          <w:rFonts w:eastAsia="Times New Roman"/>
          <w:b/>
          <w:bCs/>
          <w:lang w:val="pl-PL"/>
        </w:rPr>
        <w:t xml:space="preserve">Badanie IV w łuszczycy – wyniki skuteczności w 16, 26 i 52. </w:t>
      </w:r>
      <w:r w:rsidR="00114A52" w:rsidRPr="008F328C">
        <w:rPr>
          <w:rFonts w:eastAsia="Times New Roman"/>
          <w:b/>
          <w:bCs/>
          <w:lang w:val="pl-PL"/>
        </w:rPr>
        <w:t>T</w:t>
      </w:r>
      <w:r w:rsidRPr="008F328C">
        <w:rPr>
          <w:rFonts w:eastAsia="Times New Roman"/>
          <w:b/>
          <w:bCs/>
          <w:lang w:val="pl-PL"/>
        </w:rPr>
        <w:t>ygodniu</w:t>
      </w:r>
    </w:p>
    <w:p w14:paraId="5126AC14" w14:textId="77777777" w:rsidR="00114A52" w:rsidRPr="008F328C" w:rsidRDefault="00114A52">
      <w:pPr>
        <w:pStyle w:val="a3"/>
        <w:jc w:val="center"/>
        <w:rPr>
          <w:b/>
          <w:lang w:val="pl-PL"/>
        </w:rPr>
      </w:pP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2E5800" w:rsidRPr="006D3555" w14:paraId="38841C6A" w14:textId="77777777" w:rsidTr="0008144B">
        <w:tc>
          <w:tcPr>
            <w:tcW w:w="2719" w:type="dxa"/>
            <w:vMerge w:val="restart"/>
            <w:tcBorders>
              <w:top w:val="single" w:sz="5" w:space="0" w:color="000000"/>
              <w:left w:val="single" w:sz="5" w:space="0" w:color="000000"/>
              <w:right w:val="single" w:sz="5" w:space="0" w:color="000000"/>
            </w:tcBorders>
          </w:tcPr>
          <w:p w14:paraId="7D190FC2" w14:textId="77777777" w:rsidR="002E5800" w:rsidRPr="008F328C" w:rsidRDefault="000E0B7C">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Punkt końcowy</w:t>
            </w:r>
          </w:p>
        </w:tc>
        <w:tc>
          <w:tcPr>
            <w:tcW w:w="2340" w:type="dxa"/>
            <w:gridSpan w:val="2"/>
            <w:tcBorders>
              <w:top w:val="single" w:sz="5" w:space="0" w:color="000000"/>
              <w:left w:val="single" w:sz="5" w:space="0" w:color="000000"/>
              <w:bottom w:val="single" w:sz="5" w:space="0" w:color="000000"/>
              <w:right w:val="single" w:sz="5" w:space="0" w:color="000000"/>
            </w:tcBorders>
          </w:tcPr>
          <w:p w14:paraId="457E77BE" w14:textId="77777777" w:rsidR="002E5800" w:rsidRPr="008F328C" w:rsidRDefault="000E0B7C">
            <w:pPr>
              <w:pStyle w:val="TableParagraph"/>
              <w:spacing w:line="246" w:lineRule="exact"/>
              <w:ind w:right="4"/>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tydzień</w:t>
            </w:r>
          </w:p>
          <w:p w14:paraId="1FC48E04" w14:textId="77777777" w:rsidR="002E5800" w:rsidRPr="008F328C" w:rsidRDefault="000E0B7C">
            <w:pPr>
              <w:pStyle w:val="TableParagraph"/>
              <w:spacing w:line="252" w:lineRule="exact"/>
              <w:ind w:left="293" w:right="295"/>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5288E8B3" w14:textId="77777777" w:rsidR="002E5800" w:rsidRPr="008F328C" w:rsidRDefault="000E0B7C">
            <w:pPr>
              <w:pStyle w:val="TableParagraph"/>
              <w:spacing w:line="246" w:lineRule="exact"/>
              <w:ind w:left="705" w:right="710"/>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tydzień</w:t>
            </w:r>
          </w:p>
          <w:p w14:paraId="6953EC2C" w14:textId="77777777" w:rsidR="002E5800" w:rsidRPr="008F328C" w:rsidRDefault="000E0B7C">
            <w:pPr>
              <w:pStyle w:val="TableParagraph"/>
              <w:spacing w:line="252" w:lineRule="exact"/>
              <w:ind w:left="247" w:right="249"/>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68" w:type="dxa"/>
            <w:tcBorders>
              <w:top w:val="single" w:sz="5" w:space="0" w:color="000000"/>
              <w:left w:val="single" w:sz="5" w:space="0" w:color="000000"/>
              <w:bottom w:val="single" w:sz="5" w:space="0" w:color="000000"/>
              <w:right w:val="single" w:sz="5" w:space="0" w:color="000000"/>
            </w:tcBorders>
          </w:tcPr>
          <w:p w14:paraId="53984952" w14:textId="77777777" w:rsidR="002E5800" w:rsidRPr="008F328C" w:rsidRDefault="000E0B7C">
            <w:pPr>
              <w:pStyle w:val="TableParagraph"/>
              <w:spacing w:line="246" w:lineRule="exact"/>
              <w:ind w:left="73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p w14:paraId="1441B9DD" w14:textId="77777777" w:rsidR="002E5800" w:rsidRPr="008F328C" w:rsidRDefault="000E0B7C">
            <w:pPr>
              <w:pStyle w:val="TableParagraph"/>
              <w:spacing w:line="252" w:lineRule="exact"/>
              <w:ind w:left="63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Próba otwarta</w:t>
            </w:r>
          </w:p>
        </w:tc>
      </w:tr>
      <w:tr w:rsidR="002E5800" w:rsidRPr="00FE49E6" w14:paraId="7F9CD1F6" w14:textId="77777777" w:rsidTr="0008144B">
        <w:tc>
          <w:tcPr>
            <w:tcW w:w="2719" w:type="dxa"/>
            <w:vMerge/>
            <w:tcBorders>
              <w:left w:val="single" w:sz="5" w:space="0" w:color="000000"/>
              <w:bottom w:val="single" w:sz="5" w:space="0" w:color="000000"/>
              <w:right w:val="single" w:sz="5" w:space="0" w:color="000000"/>
            </w:tcBorders>
          </w:tcPr>
          <w:p w14:paraId="3F42F323" w14:textId="77777777" w:rsidR="002E5800" w:rsidRPr="008F328C" w:rsidRDefault="002E5800">
            <w:pPr>
              <w:rPr>
                <w:rFonts w:ascii="Times New Roman" w:hAnsi="Times New Roman" w:cs="Times New Roman"/>
                <w:lang w:val="pl-PL"/>
              </w:rPr>
            </w:pPr>
          </w:p>
        </w:tc>
        <w:tc>
          <w:tcPr>
            <w:tcW w:w="1080" w:type="dxa"/>
            <w:tcBorders>
              <w:top w:val="single" w:sz="5" w:space="0" w:color="000000"/>
              <w:left w:val="single" w:sz="5" w:space="0" w:color="000000"/>
              <w:bottom w:val="single" w:sz="5" w:space="0" w:color="000000"/>
              <w:right w:val="single" w:sz="5" w:space="0" w:color="000000"/>
            </w:tcBorders>
          </w:tcPr>
          <w:p w14:paraId="06765D63"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05E94003" w14:textId="77777777" w:rsidR="002E5800" w:rsidRPr="008F328C" w:rsidRDefault="000E0B7C" w:rsidP="0008144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1CC0B958" w14:textId="77777777" w:rsidR="00B224C1" w:rsidRPr="008F328C" w:rsidRDefault="000E0B7C" w:rsidP="0008144B">
            <w:pPr>
              <w:pStyle w:val="TableParagraph"/>
              <w:spacing w:line="246"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Adalimumab 40 mg, co drugi tydzień </w:t>
            </w:r>
          </w:p>
          <w:p w14:paraId="60496A89" w14:textId="743E7FFB"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N=109</w:t>
            </w:r>
          </w:p>
        </w:tc>
        <w:tc>
          <w:tcPr>
            <w:tcW w:w="989" w:type="dxa"/>
            <w:tcBorders>
              <w:top w:val="single" w:sz="5" w:space="0" w:color="000000"/>
              <w:left w:val="single" w:sz="5" w:space="0" w:color="000000"/>
              <w:bottom w:val="single" w:sz="5" w:space="0" w:color="000000"/>
              <w:right w:val="single" w:sz="5" w:space="0" w:color="000000"/>
            </w:tcBorders>
          </w:tcPr>
          <w:p w14:paraId="7B88F37D"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4FF20DED" w14:textId="77777777" w:rsidR="002E5800" w:rsidRPr="008F328C" w:rsidRDefault="000E0B7C" w:rsidP="0008144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140D1F55"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25B403FC" w14:textId="77777777" w:rsidR="00B224C1" w:rsidRPr="008F328C" w:rsidRDefault="000E0B7C" w:rsidP="0008144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5677B860" w14:textId="63A756A6" w:rsidR="002E5800" w:rsidRPr="008F328C" w:rsidRDefault="00B224C1" w:rsidP="0008144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w:t>
            </w:r>
            <w:r w:rsidR="000E0B7C" w:rsidRPr="008F328C">
              <w:rPr>
                <w:rFonts w:ascii="Times New Roman" w:eastAsia="Times New Roman" w:hAnsi="Times New Roman" w:cs="Times New Roman"/>
                <w:lang w:val="pl-PL"/>
              </w:rPr>
              <w:t>=109</w:t>
            </w:r>
          </w:p>
        </w:tc>
        <w:tc>
          <w:tcPr>
            <w:tcW w:w="2268" w:type="dxa"/>
            <w:tcBorders>
              <w:top w:val="single" w:sz="5" w:space="0" w:color="000000"/>
              <w:left w:val="single" w:sz="5" w:space="0" w:color="000000"/>
              <w:bottom w:val="single" w:sz="5" w:space="0" w:color="000000"/>
              <w:right w:val="single" w:sz="5" w:space="0" w:color="000000"/>
            </w:tcBorders>
          </w:tcPr>
          <w:p w14:paraId="49E91311" w14:textId="77777777" w:rsidR="002E5800" w:rsidRPr="008F328C" w:rsidRDefault="000E0B7C"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086EC49E" w14:textId="77777777" w:rsidR="00B224C1" w:rsidRPr="008F328C" w:rsidRDefault="000E0B7C" w:rsidP="0008144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0D8D4500" w14:textId="08177EF9" w:rsidR="002E5800" w:rsidRPr="008F328C" w:rsidRDefault="00B224C1" w:rsidP="0008144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w:t>
            </w:r>
            <w:r w:rsidR="000E0B7C" w:rsidRPr="008F328C">
              <w:rPr>
                <w:rFonts w:ascii="Times New Roman" w:eastAsia="Times New Roman" w:hAnsi="Times New Roman" w:cs="Times New Roman"/>
                <w:lang w:val="pl-PL"/>
              </w:rPr>
              <w:t>=80</w:t>
            </w:r>
          </w:p>
        </w:tc>
      </w:tr>
      <w:tr w:rsidR="002E5800" w:rsidRPr="008F328C" w14:paraId="51400D62" w14:textId="77777777" w:rsidTr="0008144B">
        <w:tc>
          <w:tcPr>
            <w:tcW w:w="2719" w:type="dxa"/>
            <w:tcBorders>
              <w:top w:val="single" w:sz="5" w:space="0" w:color="000000"/>
              <w:left w:val="single" w:sz="5" w:space="0" w:color="000000"/>
              <w:bottom w:val="single" w:sz="5" w:space="0" w:color="000000"/>
              <w:right w:val="single" w:sz="5" w:space="0" w:color="000000"/>
            </w:tcBorders>
          </w:tcPr>
          <w:p w14:paraId="3E2FB6B7" w14:textId="77777777" w:rsidR="002E5800" w:rsidRPr="008F328C" w:rsidRDefault="000E0B7C">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 mNAPSI 75 (%)</w:t>
            </w:r>
          </w:p>
        </w:tc>
        <w:tc>
          <w:tcPr>
            <w:tcW w:w="1080" w:type="dxa"/>
            <w:tcBorders>
              <w:top w:val="single" w:sz="5" w:space="0" w:color="000000"/>
              <w:left w:val="single" w:sz="5" w:space="0" w:color="000000"/>
              <w:bottom w:val="single" w:sz="5" w:space="0" w:color="000000"/>
              <w:right w:val="single" w:sz="5" w:space="0" w:color="000000"/>
            </w:tcBorders>
          </w:tcPr>
          <w:p w14:paraId="47815722" w14:textId="77777777" w:rsidR="002E5800" w:rsidRPr="008F328C" w:rsidRDefault="000E0B7C">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47F88639" w14:textId="77777777" w:rsidR="002E5800" w:rsidRPr="008F328C" w:rsidRDefault="000E0B7C">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26,0</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24420E80" w14:textId="77777777" w:rsidR="002E5800" w:rsidRPr="008F328C" w:rsidRDefault="000E0B7C">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3,4</w:t>
            </w:r>
          </w:p>
        </w:tc>
        <w:tc>
          <w:tcPr>
            <w:tcW w:w="1260" w:type="dxa"/>
            <w:tcBorders>
              <w:top w:val="single" w:sz="5" w:space="0" w:color="000000"/>
              <w:left w:val="single" w:sz="5" w:space="0" w:color="000000"/>
              <w:bottom w:val="single" w:sz="5" w:space="0" w:color="000000"/>
              <w:right w:val="single" w:sz="5" w:space="0" w:color="000000"/>
            </w:tcBorders>
          </w:tcPr>
          <w:p w14:paraId="15331D85" w14:textId="77777777" w:rsidR="002E5800" w:rsidRPr="008F328C" w:rsidRDefault="000E0B7C">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46,6</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650022B3" w14:textId="77777777" w:rsidR="002E5800" w:rsidRPr="008F328C" w:rsidRDefault="000E0B7C">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65,0</w:t>
            </w:r>
          </w:p>
        </w:tc>
      </w:tr>
      <w:tr w:rsidR="002E5800" w:rsidRPr="008F328C" w14:paraId="45A303ED" w14:textId="77777777" w:rsidTr="0008144B">
        <w:tc>
          <w:tcPr>
            <w:tcW w:w="2719" w:type="dxa"/>
            <w:tcBorders>
              <w:top w:val="single" w:sz="5" w:space="0" w:color="000000"/>
              <w:left w:val="single" w:sz="5" w:space="0" w:color="000000"/>
              <w:bottom w:val="single" w:sz="5" w:space="0" w:color="000000"/>
              <w:right w:val="single" w:sz="5" w:space="0" w:color="000000"/>
            </w:tcBorders>
          </w:tcPr>
          <w:p w14:paraId="214E5912" w14:textId="2AE71E95" w:rsidR="002E5800" w:rsidRPr="008F328C" w:rsidRDefault="000E0B7C">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PGA-F czysta/minimalna oraz</w:t>
            </w: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poprawa ≥</w:t>
            </w:r>
            <w:r w:rsidR="00B224C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2. stopnia (%)</w:t>
            </w:r>
          </w:p>
        </w:tc>
        <w:tc>
          <w:tcPr>
            <w:tcW w:w="1080" w:type="dxa"/>
            <w:tcBorders>
              <w:top w:val="single" w:sz="5" w:space="0" w:color="000000"/>
              <w:left w:val="single" w:sz="5" w:space="0" w:color="000000"/>
              <w:bottom w:val="single" w:sz="5" w:space="0" w:color="000000"/>
              <w:right w:val="single" w:sz="5" w:space="0" w:color="000000"/>
            </w:tcBorders>
          </w:tcPr>
          <w:p w14:paraId="55BBD3AA" w14:textId="77777777" w:rsidR="002E5800" w:rsidRPr="008F328C" w:rsidRDefault="000E0B7C">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21B40F94" w14:textId="77777777" w:rsidR="002E5800" w:rsidRPr="008F328C" w:rsidRDefault="000E0B7C">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29,7</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13C66D0C" w14:textId="77777777" w:rsidR="002E5800" w:rsidRPr="008F328C" w:rsidRDefault="000E0B7C">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6,9</w:t>
            </w:r>
          </w:p>
        </w:tc>
        <w:tc>
          <w:tcPr>
            <w:tcW w:w="1260" w:type="dxa"/>
            <w:tcBorders>
              <w:top w:val="single" w:sz="5" w:space="0" w:color="000000"/>
              <w:left w:val="single" w:sz="5" w:space="0" w:color="000000"/>
              <w:bottom w:val="single" w:sz="5" w:space="0" w:color="000000"/>
              <w:right w:val="single" w:sz="5" w:space="0" w:color="000000"/>
            </w:tcBorders>
          </w:tcPr>
          <w:p w14:paraId="3E521564" w14:textId="77777777" w:rsidR="002E5800" w:rsidRPr="008F328C" w:rsidRDefault="000E0B7C">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48,9</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6E0B615C" w14:textId="77777777" w:rsidR="002E5800" w:rsidRPr="008F328C" w:rsidRDefault="000E0B7C">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61,3</w:t>
            </w:r>
          </w:p>
        </w:tc>
      </w:tr>
      <w:tr w:rsidR="002E5800" w:rsidRPr="008F328C" w14:paraId="5CB572D2" w14:textId="77777777" w:rsidTr="0008144B">
        <w:tc>
          <w:tcPr>
            <w:tcW w:w="2719" w:type="dxa"/>
            <w:tcBorders>
              <w:top w:val="single" w:sz="5" w:space="0" w:color="000000"/>
              <w:left w:val="single" w:sz="5" w:space="0" w:color="000000"/>
              <w:bottom w:val="single" w:sz="5" w:space="0" w:color="000000"/>
              <w:right w:val="single" w:sz="5" w:space="0" w:color="000000"/>
            </w:tcBorders>
          </w:tcPr>
          <w:p w14:paraId="19DA7E88" w14:textId="77777777" w:rsidR="002E5800" w:rsidRPr="008F328C" w:rsidRDefault="000E0B7C">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Odsetek zmiany w całkowitej</w:t>
            </w:r>
          </w:p>
          <w:p w14:paraId="6E34DC4E"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ocenie paznokci rąk w skali NAPSI (%)</w:t>
            </w:r>
          </w:p>
        </w:tc>
        <w:tc>
          <w:tcPr>
            <w:tcW w:w="1080" w:type="dxa"/>
            <w:tcBorders>
              <w:top w:val="single" w:sz="5" w:space="0" w:color="000000"/>
              <w:left w:val="single" w:sz="5" w:space="0" w:color="000000"/>
              <w:bottom w:val="single" w:sz="5" w:space="0" w:color="000000"/>
              <w:right w:val="single" w:sz="5" w:space="0" w:color="000000"/>
            </w:tcBorders>
          </w:tcPr>
          <w:p w14:paraId="7CF47F50" w14:textId="77777777" w:rsidR="002E5800" w:rsidRPr="008F328C" w:rsidRDefault="000E0B7C">
            <w:pPr>
              <w:pStyle w:val="TableParagraph"/>
              <w:spacing w:line="246" w:lineRule="exact"/>
              <w:ind w:left="337" w:right="346"/>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-7,8</w:t>
            </w:r>
          </w:p>
        </w:tc>
        <w:tc>
          <w:tcPr>
            <w:tcW w:w="1260" w:type="dxa"/>
            <w:tcBorders>
              <w:top w:val="single" w:sz="5" w:space="0" w:color="000000"/>
              <w:left w:val="single" w:sz="5" w:space="0" w:color="000000"/>
              <w:bottom w:val="single" w:sz="5" w:space="0" w:color="000000"/>
              <w:right w:val="single" w:sz="5" w:space="0" w:color="000000"/>
            </w:tcBorders>
          </w:tcPr>
          <w:p w14:paraId="4AC51E51" w14:textId="77777777" w:rsidR="002E5800" w:rsidRPr="008F328C" w:rsidRDefault="000E0B7C">
            <w:pPr>
              <w:pStyle w:val="TableParagraph"/>
              <w:spacing w:line="246" w:lineRule="exact"/>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 xml:space="preserve">-44,2 </w:t>
            </w:r>
            <w:r w:rsidRPr="008F328C">
              <w:rPr>
                <w:rFonts w:ascii="Times New Roman" w:eastAsia="Times New Roman" w:hAnsi="Times New Roman" w:cs="Times New Roman"/>
                <w:spacing w:val="-4"/>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0728E5D1" w14:textId="77777777" w:rsidR="002E5800" w:rsidRPr="008F328C" w:rsidRDefault="000E0B7C">
            <w:pPr>
              <w:pStyle w:val="TableParagraph"/>
              <w:spacing w:line="246" w:lineRule="exact"/>
              <w:ind w:left="255"/>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-11,5</w:t>
            </w:r>
          </w:p>
        </w:tc>
        <w:tc>
          <w:tcPr>
            <w:tcW w:w="1260" w:type="dxa"/>
            <w:tcBorders>
              <w:top w:val="single" w:sz="5" w:space="0" w:color="000000"/>
              <w:left w:val="single" w:sz="5" w:space="0" w:color="000000"/>
              <w:bottom w:val="single" w:sz="5" w:space="0" w:color="000000"/>
              <w:right w:val="single" w:sz="5" w:space="0" w:color="000000"/>
            </w:tcBorders>
          </w:tcPr>
          <w:p w14:paraId="470534FA" w14:textId="77777777" w:rsidR="002E5800" w:rsidRPr="008F328C" w:rsidRDefault="000E0B7C">
            <w:pPr>
              <w:pStyle w:val="TableParagraph"/>
              <w:spacing w:line="246" w:lineRule="exact"/>
              <w:ind w:left="363"/>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-56,2</w:t>
            </w:r>
            <w:r w:rsidRPr="008F328C">
              <w:rPr>
                <w:rFonts w:ascii="Times New Roman" w:eastAsia="Times New Roman" w:hAnsi="Times New Roman" w:cs="Times New Roman"/>
                <w:spacing w:val="-4"/>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2DCE418C" w14:textId="77777777" w:rsidR="002E5800" w:rsidRPr="008F328C" w:rsidRDefault="000E0B7C">
            <w:pPr>
              <w:pStyle w:val="TableParagraph"/>
              <w:spacing w:line="246" w:lineRule="exact"/>
              <w:ind w:left="880" w:right="882"/>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-72,2</w:t>
            </w:r>
          </w:p>
        </w:tc>
      </w:tr>
      <w:tr w:rsidR="002E5800" w:rsidRPr="008F328C" w14:paraId="5EE92DC6" w14:textId="77777777" w:rsidTr="0008144B">
        <w:tc>
          <w:tcPr>
            <w:tcW w:w="9576" w:type="dxa"/>
            <w:gridSpan w:val="6"/>
            <w:tcBorders>
              <w:top w:val="single" w:sz="5" w:space="0" w:color="000000"/>
              <w:left w:val="single" w:sz="5" w:space="0" w:color="000000"/>
              <w:bottom w:val="single" w:sz="5" w:space="0" w:color="000000"/>
              <w:right w:val="single" w:sz="5" w:space="0" w:color="000000"/>
            </w:tcBorders>
            <w:vAlign w:val="center"/>
          </w:tcPr>
          <w:p w14:paraId="3802CFC3" w14:textId="77777777" w:rsidR="002E5800" w:rsidRPr="008F328C" w:rsidRDefault="000E0B7C" w:rsidP="00404101">
            <w:pPr>
              <w:pStyle w:val="TableParagraph"/>
              <w:spacing w:line="240" w:lineRule="atLeast"/>
              <w:ind w:left="101"/>
              <w:jc w:val="both"/>
              <w:rPr>
                <w:rFonts w:ascii="Times New Roman" w:eastAsia="Times New Roman" w:hAnsi="Times New Roman" w:cs="Times New Roman"/>
                <w:lang w:val="en-GB"/>
              </w:rPr>
            </w:pPr>
            <w:r w:rsidRPr="008F328C">
              <w:rPr>
                <w:rFonts w:ascii="Times New Roman" w:eastAsia="Times New Roman" w:hAnsi="Times New Roman" w:cs="Times New Roman"/>
                <w:position w:val="8"/>
                <w:vertAlign w:val="superscript"/>
                <w:lang w:val="en-GB"/>
              </w:rPr>
              <w:t xml:space="preserve">a </w:t>
            </w:r>
            <w:r w:rsidRPr="008F328C">
              <w:rPr>
                <w:rFonts w:ascii="Times New Roman" w:eastAsia="Times New Roman" w:hAnsi="Times New Roman" w:cs="Times New Roman"/>
                <w:position w:val="8"/>
                <w:lang w:val="en-GB"/>
              </w:rPr>
              <w:t xml:space="preserve">p &lt; 0,001 adalimumab </w:t>
            </w:r>
            <w:r w:rsidRPr="008F328C">
              <w:rPr>
                <w:rFonts w:ascii="Times New Roman" w:eastAsia="Times New Roman" w:hAnsi="Times New Roman" w:cs="Times New Roman"/>
                <w:i/>
                <w:iCs/>
                <w:position w:val="8"/>
                <w:lang w:val="en-GB"/>
              </w:rPr>
              <w:t xml:space="preserve">vs. </w:t>
            </w:r>
            <w:r w:rsidRPr="008F328C">
              <w:rPr>
                <w:rFonts w:ascii="Times New Roman" w:eastAsia="Times New Roman" w:hAnsi="Times New Roman" w:cs="Times New Roman"/>
                <w:position w:val="8"/>
                <w:lang w:val="en-GB"/>
              </w:rPr>
              <w:t>placebo</w:t>
            </w:r>
          </w:p>
        </w:tc>
      </w:tr>
    </w:tbl>
    <w:p w14:paraId="328DFF24" w14:textId="77777777" w:rsidR="002E5800" w:rsidRPr="008F328C" w:rsidRDefault="002E5800">
      <w:pPr>
        <w:spacing w:before="5" w:line="170" w:lineRule="exact"/>
        <w:rPr>
          <w:rFonts w:ascii="Times New Roman" w:hAnsi="Times New Roman" w:cs="Times New Roman"/>
          <w:sz w:val="17"/>
          <w:szCs w:val="17"/>
          <w:lang w:val="en-GB"/>
        </w:rPr>
      </w:pPr>
    </w:p>
    <w:p w14:paraId="0C81C55F" w14:textId="77777777" w:rsidR="002E5800" w:rsidRPr="008F328C" w:rsidRDefault="000E0B7C">
      <w:pPr>
        <w:pStyle w:val="a3"/>
        <w:rPr>
          <w:lang w:val="pl-PL"/>
        </w:rPr>
      </w:pPr>
      <w:r w:rsidRPr="008F328C">
        <w:rPr>
          <w:rFonts w:eastAsia="Times New Roman"/>
          <w:lang w:val="pl-PL"/>
        </w:rPr>
        <w:t>Pacjenci leczeni adalimumabem wykazali w 26. tygodniu statystycznie istotną poprawę wskaźnika DLQI w porównaniu do pacjentów otrzymujących placebo.</w:t>
      </w:r>
    </w:p>
    <w:p w14:paraId="697D9750" w14:textId="77777777" w:rsidR="002E5800" w:rsidRPr="008F328C" w:rsidRDefault="002E5800">
      <w:pPr>
        <w:pStyle w:val="a3"/>
        <w:rPr>
          <w:sz w:val="24"/>
          <w:szCs w:val="24"/>
          <w:lang w:val="pl-PL"/>
        </w:rPr>
      </w:pPr>
    </w:p>
    <w:p w14:paraId="3CB22EA6" w14:textId="77777777" w:rsidR="002E5800" w:rsidRPr="008F328C" w:rsidRDefault="000E0B7C">
      <w:pPr>
        <w:pStyle w:val="a3"/>
        <w:rPr>
          <w:rFonts w:eastAsia="Times New Roman"/>
          <w:lang w:val="pl-PL"/>
        </w:rPr>
      </w:pPr>
      <w:r w:rsidRPr="008F328C">
        <w:rPr>
          <w:rFonts w:eastAsia="Times New Roman"/>
          <w:i/>
          <w:iCs/>
          <w:spacing w:val="-1"/>
          <w:lang w:val="pl-PL"/>
        </w:rPr>
        <w:t>Ropne zapalenie apokrynowych gruczołów potowych</w:t>
      </w:r>
    </w:p>
    <w:p w14:paraId="1AB478FD" w14:textId="77777777" w:rsidR="002E5800" w:rsidRPr="008F328C" w:rsidRDefault="002E5800">
      <w:pPr>
        <w:pStyle w:val="a3"/>
        <w:rPr>
          <w:sz w:val="24"/>
          <w:szCs w:val="24"/>
          <w:lang w:val="pl-PL"/>
        </w:rPr>
      </w:pPr>
    </w:p>
    <w:p w14:paraId="18923DDB" w14:textId="77777777" w:rsidR="002E5800" w:rsidRPr="008F328C" w:rsidRDefault="000E0B7C">
      <w:pPr>
        <w:pStyle w:val="a3"/>
        <w:rPr>
          <w:lang w:val="pl-PL"/>
        </w:rPr>
      </w:pPr>
      <w:r w:rsidRPr="008F328C">
        <w:rPr>
          <w:rFonts w:eastAsia="Times New Roman"/>
          <w:lang w:val="pl-PL"/>
        </w:rPr>
        <w:t>Bezpieczeństwo stosowania i skuteczność adalimumabu oceniano w randomizowanych, podwójnie zaślepionych badaniach klinicznych kontrolowanych placebo oraz w otwartym badaniu kontynuacyjnym u dorosłych pacjentów z ropnym zapaleniem apokrynowych gruczołów potowych (HS) o nasileniu umiarkowanym do ciężkiego, którzy nie tolerowali, mieli przeciwwskazanie do stosowania lub wykazywali niewystarczającą odpowiedź na trwającą co najmniej 3 miesiące próbę stosowania układowej antybiotykoterapii. U pacjentów w badaniach HS-I i HS-II występowała choroba w II lub III stopniu zaawansowania klinicznego wg Hurley z co najmniej 3 ropniami lub zapalnymi guzkami.</w:t>
      </w:r>
    </w:p>
    <w:p w14:paraId="3D5BBA06" w14:textId="77777777" w:rsidR="002E5800" w:rsidRPr="008F328C" w:rsidRDefault="002E5800">
      <w:pPr>
        <w:pStyle w:val="a3"/>
        <w:rPr>
          <w:sz w:val="24"/>
          <w:szCs w:val="24"/>
          <w:lang w:val="pl-PL"/>
        </w:rPr>
      </w:pPr>
    </w:p>
    <w:p w14:paraId="02FC4C41" w14:textId="77777777" w:rsidR="002E5800" w:rsidRPr="008F328C" w:rsidRDefault="000E0B7C">
      <w:pPr>
        <w:pStyle w:val="a3"/>
        <w:rPr>
          <w:lang w:val="pl-PL"/>
        </w:rPr>
      </w:pPr>
      <w:r w:rsidRPr="008F328C">
        <w:rPr>
          <w:rFonts w:eastAsia="Times New Roman"/>
          <w:lang w:val="pl-PL"/>
        </w:rPr>
        <w:t>W badaniu HS-I (PIONEER I) oceniano 307 pacjentów w 2 okresach leczenia. W okresie A pacjenci otrzymywali placebo lub adalimumab w początkowej dawce 160 mg w tygodniu 0., a w 2. tygodniu 80 mg i począwszy od 4 tygodnia do 11. tygodnia w dawce 40 mg co tydzień. W okresie badania nie zezwalano na jednoczesne stosowanie antybiotyków. Po 12 tygodniach leczenia pacjenci, którzy otrzymywali adalimumab w okresie A, ponownie zostali przydzieleni losowo (okres B) do jednej z trzech grup (adalimumab 40 mg co tydzień, adalimumab 40 mg co drugi tydzień lub placebo od 12. do 35 tygodnia). Pacjenci, którzy byli losowo przydzieleni do grupy otrzymującej placebo w okresie A, otrzymywali adalimumab 40 mg co tydzień w okresie B.</w:t>
      </w:r>
    </w:p>
    <w:p w14:paraId="24060573" w14:textId="77777777" w:rsidR="002E5800" w:rsidRPr="008F328C" w:rsidRDefault="002E5800">
      <w:pPr>
        <w:pStyle w:val="a3"/>
        <w:rPr>
          <w:sz w:val="24"/>
          <w:szCs w:val="24"/>
          <w:lang w:val="pl-PL"/>
        </w:rPr>
      </w:pPr>
    </w:p>
    <w:p w14:paraId="160BCA39" w14:textId="77777777" w:rsidR="002E5800" w:rsidRPr="008F328C" w:rsidRDefault="000E0B7C">
      <w:pPr>
        <w:pStyle w:val="a3"/>
        <w:rPr>
          <w:lang w:val="pl-PL"/>
        </w:rPr>
      </w:pPr>
      <w:r w:rsidRPr="008F328C">
        <w:rPr>
          <w:rFonts w:eastAsia="Times New Roman"/>
          <w:lang w:val="pl-PL"/>
        </w:rPr>
        <w:lastRenderedPageBreak/>
        <w:t>W badaniu HS-II (PIONEER II) oceniano 326 pacjentów w 2 okresach leczenia. W okresie A pacjenci otrzymywali placebo lub adalimumab w początkowej dawce 160 mg w tygodniu 0., a w 2. tygodniu 80 mg w i począwszy od 4 tygodnia do 11. tygodnia w dawce 40 mg co tydzień. W okresie badania 19,3% pacjentów kontynuowało doustną antybiotykoterapie, którą stosowali w czasie przystąpienia do badania. Po 12 tygodniach leczenia pacjenci, którzy otrzymywali adalimumab w okresie A, ponownie zostali przydzieleni losowo (okres B) do jednej z trzech grup (adalimumab 40 mg co tydzień, adalimumab 40 mg co drugi tydzień lub placebo od 12. do 35 tygodnia). Pacjenci, którzy byli losowo przydzieleni do grupy otrzymującej placebo w okresie A, otrzymywali placebo w okresie B.</w:t>
      </w:r>
    </w:p>
    <w:p w14:paraId="5D59B516" w14:textId="77777777" w:rsidR="002E5800" w:rsidRPr="008F328C" w:rsidRDefault="002E5800">
      <w:pPr>
        <w:pStyle w:val="a3"/>
        <w:rPr>
          <w:sz w:val="24"/>
          <w:szCs w:val="24"/>
          <w:lang w:val="pl-PL"/>
        </w:rPr>
      </w:pPr>
    </w:p>
    <w:p w14:paraId="5584F8AA" w14:textId="77777777" w:rsidR="002E5800" w:rsidRPr="008F328C" w:rsidRDefault="000E0B7C">
      <w:pPr>
        <w:pStyle w:val="a3"/>
        <w:rPr>
          <w:lang w:val="pl-PL"/>
        </w:rPr>
      </w:pPr>
      <w:r w:rsidRPr="008F328C">
        <w:rPr>
          <w:rFonts w:eastAsia="Times New Roman"/>
          <w:lang w:val="pl-PL"/>
        </w:rPr>
        <w:t>Pacjenci uczestniczący w badaniach HS-I i HS-II mogli zostać włączeni do otwartego badania kontynuacyjnego, w którym adalimumab 40 mg podawano raz w tygodniu. Średnia ekspozycja w całej populacji otrzymującej adalimumab wynosiła 762 dni. Przez cały okres trwania wszystkich 3 badań pacjenci stosowali codzienne przemywanie środkiem antyseptycznym o działaniu miejscowym.</w:t>
      </w:r>
    </w:p>
    <w:p w14:paraId="69446C45" w14:textId="77777777" w:rsidR="002E5800" w:rsidRPr="008F328C" w:rsidRDefault="002E5800">
      <w:pPr>
        <w:pStyle w:val="a3"/>
        <w:rPr>
          <w:sz w:val="24"/>
          <w:szCs w:val="24"/>
          <w:lang w:val="pl-PL"/>
        </w:rPr>
      </w:pPr>
    </w:p>
    <w:p w14:paraId="00FA7D18"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Odpowiedź kliniczna</w:t>
      </w:r>
    </w:p>
    <w:p w14:paraId="249DB605" w14:textId="77777777" w:rsidR="002E5800" w:rsidRPr="008F328C" w:rsidRDefault="002E5800">
      <w:pPr>
        <w:pStyle w:val="a3"/>
        <w:rPr>
          <w:sz w:val="18"/>
          <w:szCs w:val="18"/>
          <w:lang w:val="pl-PL"/>
        </w:rPr>
      </w:pPr>
    </w:p>
    <w:p w14:paraId="515CAF6A" w14:textId="77777777" w:rsidR="002E5800" w:rsidRPr="008F328C" w:rsidRDefault="000E0B7C">
      <w:pPr>
        <w:pStyle w:val="a3"/>
        <w:rPr>
          <w:lang w:val="pl-PL"/>
        </w:rPr>
      </w:pPr>
      <w:r w:rsidRPr="008F328C">
        <w:rPr>
          <w:rFonts w:eastAsia="Times New Roman"/>
          <w:lang w:val="pl-PL"/>
        </w:rPr>
        <w:t>Zmniejszenie zmian zapalnych i zapobieganie nasileniu się ropni i drożnych przetok oceniano na podstawie odpowiedzi klinicznej (ang. Hidradenitis Suppurativa Clinical Response, HiSCR; co najmniej 50% zmniejszenie całkowitej liczby ropni i zapalnych guzków bez zwiększenia liczby ropni i liczby drożnych przetok w porównaniu do stanu początkowego). Zmniejszenie nasilenia bólu skóry związanego z HS oceniano stosując numeryczną skalę nasilenia bólu u pacjentów, którzy w czasie włączenia do badania mieli początkową ocenę 3 lub większą w 11-stopniowej skali.</w:t>
      </w:r>
    </w:p>
    <w:p w14:paraId="6BC2536E" w14:textId="77777777" w:rsidR="002E5800" w:rsidRPr="008F328C" w:rsidRDefault="002E5800">
      <w:pPr>
        <w:spacing w:before="13" w:line="240" w:lineRule="exact"/>
        <w:rPr>
          <w:rFonts w:ascii="Times New Roman" w:hAnsi="Times New Roman" w:cs="Times New Roman"/>
          <w:sz w:val="24"/>
          <w:szCs w:val="24"/>
          <w:lang w:val="pl-PL"/>
        </w:rPr>
      </w:pPr>
    </w:p>
    <w:p w14:paraId="190783EC" w14:textId="50E07174" w:rsidR="002E5800" w:rsidRPr="008F328C" w:rsidRDefault="000E0B7C">
      <w:pPr>
        <w:pStyle w:val="a3"/>
        <w:rPr>
          <w:lang w:val="pl-PL"/>
        </w:rPr>
      </w:pPr>
      <w:r w:rsidRPr="008F328C">
        <w:rPr>
          <w:rFonts w:eastAsia="Times New Roman"/>
          <w:lang w:val="pl-PL"/>
        </w:rPr>
        <w:t xml:space="preserve">W 12. tygodniu istotnie większy odsetek pacjentów leczonych adalimumabem w porównaniu do placebo osiągnął HiSCR. W 12. tygodniu istotnie większy odsetek pacjentów w badaniu HS-II odczuwał klinicznie istotne zmniejszenie nasilenia bólu skóry związanego z HS (patrz Tabela </w:t>
      </w:r>
      <w:r w:rsidR="007011B1" w:rsidRPr="008F328C">
        <w:rPr>
          <w:rFonts w:eastAsia="Times New Roman"/>
          <w:lang w:val="pl-PL"/>
        </w:rPr>
        <w:t>19</w:t>
      </w:r>
      <w:r w:rsidRPr="008F328C">
        <w:rPr>
          <w:rFonts w:eastAsia="Times New Roman"/>
          <w:lang w:val="pl-PL"/>
        </w:rPr>
        <w:t>). U pacjentów leczonych adalimumabem ryzyko zaostrzenia objawów choroby podczas początkowych 12 tygodni leczenia było istotnie mniejsze.</w:t>
      </w:r>
    </w:p>
    <w:p w14:paraId="505CAA02" w14:textId="77777777" w:rsidR="002E5800" w:rsidRPr="008F328C" w:rsidRDefault="002E5800">
      <w:pPr>
        <w:spacing w:before="1" w:line="110" w:lineRule="exact"/>
        <w:rPr>
          <w:rFonts w:ascii="Times New Roman" w:hAnsi="Times New Roman" w:cs="Times New Roman"/>
          <w:sz w:val="11"/>
          <w:szCs w:val="11"/>
          <w:lang w:val="pl-PL"/>
        </w:rPr>
      </w:pPr>
    </w:p>
    <w:p w14:paraId="0DF2EE30" w14:textId="77777777" w:rsidR="002E5800" w:rsidRPr="008F328C" w:rsidRDefault="002E5800">
      <w:pPr>
        <w:spacing w:line="200" w:lineRule="exact"/>
        <w:rPr>
          <w:rFonts w:ascii="Times New Roman" w:hAnsi="Times New Roman" w:cs="Times New Roman"/>
          <w:sz w:val="20"/>
          <w:szCs w:val="20"/>
          <w:lang w:val="pl-PL"/>
        </w:rPr>
      </w:pPr>
    </w:p>
    <w:p w14:paraId="3BA86AA6" w14:textId="4D6D5F28"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19</w:t>
      </w:r>
    </w:p>
    <w:p w14:paraId="47103985" w14:textId="77777777" w:rsidR="002E5800" w:rsidRDefault="000E0B7C">
      <w:pPr>
        <w:pStyle w:val="a3"/>
        <w:jc w:val="center"/>
        <w:rPr>
          <w:rFonts w:eastAsia="Times New Roman"/>
          <w:b/>
          <w:bCs/>
          <w:lang w:val="pl-PL"/>
        </w:rPr>
      </w:pPr>
      <w:r w:rsidRPr="008F328C">
        <w:rPr>
          <w:rFonts w:eastAsia="Times New Roman"/>
          <w:b/>
          <w:bCs/>
          <w:lang w:val="pl-PL"/>
        </w:rPr>
        <w:t>Wyniki skuteczności leczenia po 12 tygodniach, badania kliniczne HS I i HS II</w:t>
      </w:r>
    </w:p>
    <w:p w14:paraId="1930C590" w14:textId="77777777" w:rsidR="00114A52" w:rsidRPr="008F328C" w:rsidRDefault="00114A52">
      <w:pPr>
        <w:pStyle w:val="a3"/>
        <w:jc w:val="center"/>
        <w:rPr>
          <w:b/>
          <w:lang w:val="pl-PL"/>
        </w:rPr>
      </w:pPr>
    </w:p>
    <w:p w14:paraId="547B8DA4" w14:textId="77777777" w:rsidR="002E5800" w:rsidRPr="008F328C" w:rsidRDefault="002E5800">
      <w:pPr>
        <w:spacing w:before="4" w:line="10" w:lineRule="exact"/>
        <w:rPr>
          <w:rFonts w:ascii="Times New Roman" w:hAnsi="Times New Roman" w:cs="Times New Roman"/>
          <w:sz w:val="4"/>
          <w:szCs w:val="4"/>
          <w:lang w:val="pl-PL"/>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2E5800" w:rsidRPr="008F328C" w14:paraId="73B9A988" w14:textId="77777777" w:rsidTr="0008144B">
        <w:tc>
          <w:tcPr>
            <w:tcW w:w="2846" w:type="dxa"/>
            <w:vMerge w:val="restart"/>
            <w:tcBorders>
              <w:top w:val="single" w:sz="5" w:space="0" w:color="000000"/>
              <w:left w:val="single" w:sz="5" w:space="0" w:color="000000"/>
              <w:right w:val="single" w:sz="5" w:space="0" w:color="000000"/>
            </w:tcBorders>
          </w:tcPr>
          <w:p w14:paraId="22F59CC1" w14:textId="77777777" w:rsidR="002E5800" w:rsidRPr="008F328C" w:rsidRDefault="002E5800">
            <w:pPr>
              <w:rPr>
                <w:rFonts w:ascii="Times New Roman" w:hAnsi="Times New Roman" w:cs="Times New Roman"/>
                <w:lang w:val="pl-PL"/>
              </w:rPr>
            </w:pPr>
          </w:p>
        </w:tc>
        <w:tc>
          <w:tcPr>
            <w:tcW w:w="3187" w:type="dxa"/>
            <w:gridSpan w:val="2"/>
            <w:tcBorders>
              <w:top w:val="single" w:sz="5" w:space="0" w:color="000000"/>
              <w:left w:val="single" w:sz="5" w:space="0" w:color="000000"/>
              <w:bottom w:val="single" w:sz="5" w:space="0" w:color="000000"/>
              <w:right w:val="single" w:sz="5" w:space="0" w:color="000000"/>
            </w:tcBorders>
          </w:tcPr>
          <w:p w14:paraId="438B593A" w14:textId="77777777" w:rsidR="002E5800" w:rsidRPr="008F328C" w:rsidRDefault="000E0B7C">
            <w:pPr>
              <w:pStyle w:val="TableParagraph"/>
              <w:spacing w:line="251" w:lineRule="exact"/>
              <w:ind w:left="1051" w:right="626" w:hanging="290"/>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HS I</w:t>
            </w:r>
          </w:p>
        </w:tc>
        <w:tc>
          <w:tcPr>
            <w:tcW w:w="3259" w:type="dxa"/>
            <w:gridSpan w:val="2"/>
            <w:tcBorders>
              <w:top w:val="single" w:sz="5" w:space="0" w:color="000000"/>
              <w:left w:val="single" w:sz="5" w:space="0" w:color="000000"/>
              <w:bottom w:val="single" w:sz="5" w:space="0" w:color="000000"/>
              <w:right w:val="single" w:sz="5" w:space="0" w:color="000000"/>
            </w:tcBorders>
          </w:tcPr>
          <w:p w14:paraId="53EAD9FD" w14:textId="77777777" w:rsidR="002E5800" w:rsidRPr="008F328C" w:rsidRDefault="000E0B7C">
            <w:pPr>
              <w:pStyle w:val="TableParagraph"/>
              <w:spacing w:line="251" w:lineRule="exact"/>
              <w:ind w:left="106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HS II</w:t>
            </w:r>
          </w:p>
        </w:tc>
      </w:tr>
      <w:tr w:rsidR="002E5800" w:rsidRPr="008F328C" w14:paraId="3CC5981D" w14:textId="77777777" w:rsidTr="0008144B">
        <w:tc>
          <w:tcPr>
            <w:tcW w:w="2846" w:type="dxa"/>
            <w:vMerge/>
            <w:tcBorders>
              <w:left w:val="single" w:sz="5" w:space="0" w:color="000000"/>
              <w:bottom w:val="single" w:sz="5" w:space="0" w:color="000000"/>
              <w:right w:val="single" w:sz="5" w:space="0" w:color="000000"/>
            </w:tcBorders>
          </w:tcPr>
          <w:p w14:paraId="34A9B274" w14:textId="77777777" w:rsidR="002E5800" w:rsidRPr="008F328C" w:rsidRDefault="002E5800">
            <w:pPr>
              <w:rPr>
                <w:rFonts w:ascii="Times New Roman" w:hAnsi="Times New Roman" w:cs="Times New Roman"/>
                <w:lang w:val="pl-PL"/>
              </w:rPr>
            </w:pPr>
          </w:p>
        </w:tc>
        <w:tc>
          <w:tcPr>
            <w:tcW w:w="1440" w:type="dxa"/>
            <w:tcBorders>
              <w:top w:val="single" w:sz="5" w:space="0" w:color="000000"/>
              <w:left w:val="single" w:sz="5" w:space="0" w:color="000000"/>
              <w:bottom w:val="single" w:sz="5" w:space="0" w:color="000000"/>
              <w:right w:val="single" w:sz="5" w:space="0" w:color="000000"/>
            </w:tcBorders>
          </w:tcPr>
          <w:p w14:paraId="6D2FE348" w14:textId="77777777" w:rsidR="002E5800" w:rsidRPr="008F328C" w:rsidRDefault="000E0B7C">
            <w:pPr>
              <w:pStyle w:val="TableParagraph"/>
              <w:ind w:left="347"/>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w:t>
            </w:r>
          </w:p>
        </w:tc>
        <w:tc>
          <w:tcPr>
            <w:tcW w:w="1747" w:type="dxa"/>
            <w:tcBorders>
              <w:top w:val="single" w:sz="5" w:space="0" w:color="000000"/>
              <w:left w:val="single" w:sz="5" w:space="0" w:color="000000"/>
              <w:bottom w:val="single" w:sz="5" w:space="0" w:color="000000"/>
              <w:right w:val="single" w:sz="5" w:space="0" w:color="000000"/>
            </w:tcBorders>
          </w:tcPr>
          <w:p w14:paraId="612F2482" w14:textId="77777777" w:rsidR="002E5800" w:rsidRPr="008F328C" w:rsidRDefault="000E0B7C">
            <w:pPr>
              <w:pStyle w:val="TableParagraph"/>
              <w:spacing w:before="1" w:line="252" w:lineRule="exact"/>
              <w:ind w:left="512" w:hanging="33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co tydzień</w:t>
            </w:r>
          </w:p>
        </w:tc>
        <w:tc>
          <w:tcPr>
            <w:tcW w:w="1404" w:type="dxa"/>
            <w:tcBorders>
              <w:top w:val="single" w:sz="5" w:space="0" w:color="000000"/>
              <w:left w:val="single" w:sz="5" w:space="0" w:color="000000"/>
              <w:bottom w:val="single" w:sz="5" w:space="0" w:color="000000"/>
              <w:right w:val="single" w:sz="5" w:space="0" w:color="000000"/>
            </w:tcBorders>
          </w:tcPr>
          <w:p w14:paraId="68988A08" w14:textId="77777777" w:rsidR="002E5800" w:rsidRPr="008F328C" w:rsidRDefault="000E0B7C">
            <w:pPr>
              <w:pStyle w:val="TableParagraph"/>
              <w:ind w:left="32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Placebo</w:t>
            </w:r>
          </w:p>
        </w:tc>
        <w:tc>
          <w:tcPr>
            <w:tcW w:w="1855" w:type="dxa"/>
            <w:tcBorders>
              <w:top w:val="single" w:sz="5" w:space="0" w:color="000000"/>
              <w:left w:val="single" w:sz="5" w:space="0" w:color="000000"/>
              <w:bottom w:val="single" w:sz="5" w:space="0" w:color="000000"/>
              <w:right w:val="single" w:sz="5" w:space="0" w:color="000000"/>
            </w:tcBorders>
          </w:tcPr>
          <w:p w14:paraId="3EF449F2" w14:textId="77777777" w:rsidR="002E5800" w:rsidRPr="008F328C" w:rsidRDefault="000E0B7C">
            <w:pPr>
              <w:pStyle w:val="TableParagraph"/>
              <w:spacing w:before="1" w:line="252" w:lineRule="exact"/>
              <w:ind w:left="567" w:hanging="33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co tydzień</w:t>
            </w:r>
          </w:p>
        </w:tc>
      </w:tr>
      <w:tr w:rsidR="002E5800" w:rsidRPr="008F328C" w14:paraId="3E162741" w14:textId="77777777" w:rsidTr="0008144B">
        <w:tc>
          <w:tcPr>
            <w:tcW w:w="2846" w:type="dxa"/>
            <w:tcBorders>
              <w:top w:val="single" w:sz="5" w:space="0" w:color="000000"/>
              <w:left w:val="single" w:sz="5" w:space="0" w:color="000000"/>
              <w:bottom w:val="single" w:sz="5" w:space="0" w:color="000000"/>
              <w:right w:val="single" w:sz="5" w:space="0" w:color="000000"/>
            </w:tcBorders>
          </w:tcPr>
          <w:p w14:paraId="03696A27" w14:textId="77777777" w:rsidR="002E5800" w:rsidRPr="008F328C" w:rsidRDefault="000E0B7C">
            <w:pPr>
              <w:pStyle w:val="TableParagraph"/>
              <w:spacing w:line="246" w:lineRule="exact"/>
              <w:ind w:left="109"/>
              <w:rPr>
                <w:rFonts w:ascii="Times New Roman" w:eastAsia="Times New Roman" w:hAnsi="Times New Roman" w:cs="Times New Roman"/>
                <w:lang w:val="en-GB"/>
              </w:rPr>
            </w:pPr>
            <w:r w:rsidRPr="008F328C">
              <w:rPr>
                <w:rFonts w:ascii="Times New Roman" w:eastAsia="Times New Roman" w:hAnsi="Times New Roman" w:cs="Times New Roman"/>
                <w:spacing w:val="-1"/>
                <w:lang w:val="en-GB"/>
              </w:rPr>
              <w:t>Odpowiedź kliniczna (Hidradenitis</w:t>
            </w:r>
          </w:p>
          <w:p w14:paraId="7E1A16EE" w14:textId="77777777" w:rsidR="002E5800" w:rsidRPr="008F328C" w:rsidRDefault="000E0B7C">
            <w:pPr>
              <w:pStyle w:val="TableParagraph"/>
              <w:spacing w:line="252" w:lineRule="exact"/>
              <w:ind w:left="109"/>
              <w:rPr>
                <w:rFonts w:ascii="Times New Roman" w:eastAsia="Times New Roman" w:hAnsi="Times New Roman" w:cs="Times New Roman"/>
                <w:sz w:val="14"/>
                <w:szCs w:val="14"/>
                <w:lang w:val="en-GB"/>
              </w:rPr>
            </w:pPr>
            <w:r w:rsidRPr="008F328C">
              <w:rPr>
                <w:rFonts w:ascii="Times New Roman" w:eastAsia="Times New Roman" w:hAnsi="Times New Roman" w:cs="Times New Roman"/>
                <w:spacing w:val="-1"/>
                <w:lang w:val="en-GB"/>
              </w:rPr>
              <w:t>Suppurativa Clinical Response (HiSCR)</w:t>
            </w:r>
            <w:r w:rsidRPr="008F328C">
              <w:rPr>
                <w:rFonts w:ascii="Times New Roman" w:eastAsia="Times New Roman" w:hAnsi="Times New Roman" w:cs="Times New Roman"/>
                <w:spacing w:val="-1"/>
                <w:vertAlign w:val="superscript"/>
                <w:lang w:val="en-GB"/>
              </w:rPr>
              <w:t>a</w:t>
            </w:r>
          </w:p>
        </w:tc>
        <w:tc>
          <w:tcPr>
            <w:tcW w:w="1440" w:type="dxa"/>
            <w:tcBorders>
              <w:top w:val="single" w:sz="5" w:space="0" w:color="000000"/>
              <w:left w:val="single" w:sz="5" w:space="0" w:color="000000"/>
              <w:bottom w:val="single" w:sz="5" w:space="0" w:color="000000"/>
              <w:right w:val="single" w:sz="5" w:space="0" w:color="000000"/>
            </w:tcBorders>
          </w:tcPr>
          <w:p w14:paraId="49EEB494" w14:textId="77777777" w:rsidR="002E5800" w:rsidRPr="008F328C" w:rsidRDefault="000E0B7C">
            <w:pPr>
              <w:pStyle w:val="TableParagraph"/>
              <w:spacing w:line="246" w:lineRule="exact"/>
              <w:ind w:left="336" w:right="33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154</w:t>
            </w:r>
          </w:p>
          <w:p w14:paraId="65925F04" w14:textId="77777777" w:rsidR="002E5800" w:rsidRPr="008F328C" w:rsidRDefault="000E0B7C">
            <w:pPr>
              <w:pStyle w:val="TableParagraph"/>
              <w:spacing w:line="252" w:lineRule="exact"/>
              <w:ind w:left="205" w:right="20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(26,0%)</w:t>
            </w:r>
          </w:p>
        </w:tc>
        <w:tc>
          <w:tcPr>
            <w:tcW w:w="1747" w:type="dxa"/>
            <w:tcBorders>
              <w:top w:val="single" w:sz="5" w:space="0" w:color="000000"/>
              <w:left w:val="single" w:sz="5" w:space="0" w:color="000000"/>
              <w:bottom w:val="single" w:sz="5" w:space="0" w:color="000000"/>
              <w:right w:val="single" w:sz="5" w:space="0" w:color="000000"/>
            </w:tcBorders>
          </w:tcPr>
          <w:p w14:paraId="3B5400B5" w14:textId="77777777" w:rsidR="002E5800" w:rsidRPr="008F328C" w:rsidRDefault="000E0B7C">
            <w:pPr>
              <w:pStyle w:val="TableParagraph"/>
              <w:spacing w:line="246" w:lineRule="exact"/>
              <w:ind w:left="489" w:right="489"/>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153</w:t>
            </w:r>
          </w:p>
          <w:p w14:paraId="20ABFAF2" w14:textId="77777777" w:rsidR="002E5800" w:rsidRPr="008F328C" w:rsidRDefault="000E0B7C">
            <w:pPr>
              <w:pStyle w:val="TableParagraph"/>
              <w:spacing w:line="252" w:lineRule="exact"/>
              <w:ind w:left="294" w:right="294"/>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64 (41,8%) </w:t>
            </w:r>
            <w:r w:rsidRPr="008F328C">
              <w:rPr>
                <w:rFonts w:ascii="Times New Roman" w:eastAsia="Times New Roman" w:hAnsi="Times New Roman" w:cs="Times New Roman"/>
                <w:spacing w:val="-1"/>
                <w:sz w:val="14"/>
                <w:szCs w:val="14"/>
                <w:lang w:val="pl-PL"/>
              </w:rPr>
              <w:t>*</w:t>
            </w:r>
          </w:p>
        </w:tc>
        <w:tc>
          <w:tcPr>
            <w:tcW w:w="1404" w:type="dxa"/>
            <w:tcBorders>
              <w:top w:val="single" w:sz="5" w:space="0" w:color="000000"/>
              <w:left w:val="single" w:sz="5" w:space="0" w:color="000000"/>
              <w:bottom w:val="single" w:sz="5" w:space="0" w:color="000000"/>
              <w:right w:val="single" w:sz="5" w:space="0" w:color="000000"/>
            </w:tcBorders>
          </w:tcPr>
          <w:p w14:paraId="00C6CB91" w14:textId="77777777" w:rsidR="002E5800" w:rsidRPr="008F328C" w:rsidRDefault="000E0B7C">
            <w:pPr>
              <w:pStyle w:val="TableParagraph"/>
              <w:spacing w:line="246" w:lineRule="exact"/>
              <w:ind w:left="373" w:right="37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163</w:t>
            </w:r>
          </w:p>
          <w:p w14:paraId="657C2F3F" w14:textId="77777777" w:rsidR="002E5800" w:rsidRPr="008F328C" w:rsidRDefault="000E0B7C">
            <w:pPr>
              <w:pStyle w:val="TableParagraph"/>
              <w:spacing w:line="252" w:lineRule="exact"/>
              <w:ind w:left="185" w:right="186"/>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45 (27,6%)</w:t>
            </w:r>
          </w:p>
        </w:tc>
        <w:tc>
          <w:tcPr>
            <w:tcW w:w="1855" w:type="dxa"/>
            <w:tcBorders>
              <w:top w:val="single" w:sz="5" w:space="0" w:color="000000"/>
              <w:left w:val="single" w:sz="5" w:space="0" w:color="000000"/>
              <w:bottom w:val="single" w:sz="5" w:space="0" w:color="000000"/>
              <w:right w:val="single" w:sz="5" w:space="0" w:color="000000"/>
            </w:tcBorders>
          </w:tcPr>
          <w:p w14:paraId="682D7F38" w14:textId="77777777" w:rsidR="002E5800" w:rsidRPr="008F328C" w:rsidRDefault="000E0B7C">
            <w:pPr>
              <w:pStyle w:val="TableParagraph"/>
              <w:spacing w:line="246" w:lineRule="exact"/>
              <w:ind w:left="599" w:right="59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163</w:t>
            </w:r>
          </w:p>
          <w:p w14:paraId="34766BE6" w14:textId="77777777" w:rsidR="002E5800" w:rsidRPr="008F328C" w:rsidRDefault="000E0B7C">
            <w:pPr>
              <w:pStyle w:val="TableParagraph"/>
              <w:spacing w:line="252" w:lineRule="exact"/>
              <w:ind w:left="281" w:right="282"/>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96 (58,9%) </w:t>
            </w:r>
            <w:r w:rsidRPr="008F328C">
              <w:rPr>
                <w:rFonts w:ascii="Times New Roman" w:eastAsia="Times New Roman" w:hAnsi="Times New Roman" w:cs="Times New Roman"/>
                <w:spacing w:val="-1"/>
                <w:sz w:val="14"/>
                <w:szCs w:val="14"/>
                <w:lang w:val="pl-PL"/>
              </w:rPr>
              <w:t>***</w:t>
            </w:r>
          </w:p>
        </w:tc>
      </w:tr>
      <w:tr w:rsidR="002E5800" w:rsidRPr="008F328C" w14:paraId="3C67F2FD" w14:textId="77777777" w:rsidTr="0008144B">
        <w:tc>
          <w:tcPr>
            <w:tcW w:w="2846" w:type="dxa"/>
            <w:tcBorders>
              <w:top w:val="single" w:sz="5" w:space="0" w:color="000000"/>
              <w:left w:val="single" w:sz="5" w:space="0" w:color="000000"/>
              <w:bottom w:val="single" w:sz="5" w:space="0" w:color="000000"/>
              <w:right w:val="single" w:sz="5" w:space="0" w:color="000000"/>
            </w:tcBorders>
          </w:tcPr>
          <w:p w14:paraId="72ECB423" w14:textId="77777777" w:rsidR="002E5800" w:rsidRPr="008F328C" w:rsidRDefault="000E0B7C">
            <w:pPr>
              <w:pStyle w:val="TableParagraph"/>
              <w:spacing w:line="246" w:lineRule="exact"/>
              <w:ind w:left="10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Zmniejszenie nasilenia</w:t>
            </w:r>
          </w:p>
          <w:p w14:paraId="7DC7A683" w14:textId="77777777" w:rsidR="002E5800" w:rsidRPr="008F328C" w:rsidRDefault="000E0B7C">
            <w:pPr>
              <w:pStyle w:val="TableParagraph"/>
              <w:spacing w:line="254" w:lineRule="exact"/>
              <w:ind w:left="10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bólu skóry o ≥ 30%</w:t>
            </w:r>
            <w:r w:rsidRPr="008F328C">
              <w:rPr>
                <w:rFonts w:ascii="Times New Roman" w:eastAsia="Times New Roman" w:hAnsi="Times New Roman" w:cs="Times New Roman"/>
                <w:spacing w:val="-1"/>
                <w:vertAlign w:val="superscript"/>
                <w:lang w:val="pl-PL"/>
              </w:rPr>
              <w:t>b</w:t>
            </w:r>
          </w:p>
        </w:tc>
        <w:tc>
          <w:tcPr>
            <w:tcW w:w="1440" w:type="dxa"/>
            <w:tcBorders>
              <w:top w:val="single" w:sz="5" w:space="0" w:color="000000"/>
              <w:left w:val="single" w:sz="5" w:space="0" w:color="000000"/>
              <w:bottom w:val="single" w:sz="5" w:space="0" w:color="000000"/>
              <w:right w:val="single" w:sz="5" w:space="0" w:color="000000"/>
            </w:tcBorders>
          </w:tcPr>
          <w:p w14:paraId="6F4BDCE8" w14:textId="77777777" w:rsidR="002E5800" w:rsidRPr="008F328C" w:rsidRDefault="000E0B7C">
            <w:pPr>
              <w:pStyle w:val="TableParagraph"/>
              <w:spacing w:line="246" w:lineRule="exact"/>
              <w:ind w:left="336" w:right="33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109</w:t>
            </w:r>
          </w:p>
          <w:p w14:paraId="4C66B115" w14:textId="77777777" w:rsidR="002E5800" w:rsidRPr="008F328C" w:rsidRDefault="000E0B7C">
            <w:pPr>
              <w:pStyle w:val="TableParagraph"/>
              <w:spacing w:before="1"/>
              <w:ind w:left="205" w:right="20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27 (24,8%)</w:t>
            </w:r>
          </w:p>
        </w:tc>
        <w:tc>
          <w:tcPr>
            <w:tcW w:w="1747" w:type="dxa"/>
            <w:tcBorders>
              <w:top w:val="single" w:sz="5" w:space="0" w:color="000000"/>
              <w:left w:val="single" w:sz="5" w:space="0" w:color="000000"/>
              <w:bottom w:val="single" w:sz="5" w:space="0" w:color="000000"/>
              <w:right w:val="single" w:sz="5" w:space="0" w:color="000000"/>
            </w:tcBorders>
          </w:tcPr>
          <w:p w14:paraId="1AA455C3" w14:textId="77777777" w:rsidR="002E5800" w:rsidRPr="008F328C" w:rsidRDefault="000E0B7C">
            <w:pPr>
              <w:pStyle w:val="TableParagraph"/>
              <w:spacing w:line="246" w:lineRule="exact"/>
              <w:ind w:left="489" w:right="489"/>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122</w:t>
            </w:r>
          </w:p>
          <w:p w14:paraId="2D7AD93B" w14:textId="77777777" w:rsidR="002E5800" w:rsidRPr="008F328C" w:rsidRDefault="000E0B7C">
            <w:pPr>
              <w:pStyle w:val="TableParagraph"/>
              <w:spacing w:before="1"/>
              <w:ind w:left="358" w:right="35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34 (27,9%)</w:t>
            </w:r>
          </w:p>
        </w:tc>
        <w:tc>
          <w:tcPr>
            <w:tcW w:w="1404" w:type="dxa"/>
            <w:tcBorders>
              <w:top w:val="single" w:sz="5" w:space="0" w:color="000000"/>
              <w:left w:val="single" w:sz="5" w:space="0" w:color="000000"/>
              <w:bottom w:val="single" w:sz="5" w:space="0" w:color="000000"/>
              <w:right w:val="single" w:sz="5" w:space="0" w:color="000000"/>
            </w:tcBorders>
          </w:tcPr>
          <w:p w14:paraId="5CEC7989" w14:textId="77777777" w:rsidR="002E5800" w:rsidRPr="008F328C" w:rsidRDefault="000E0B7C">
            <w:pPr>
              <w:pStyle w:val="TableParagraph"/>
              <w:spacing w:line="246" w:lineRule="exact"/>
              <w:ind w:left="373" w:right="37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111</w:t>
            </w:r>
          </w:p>
          <w:p w14:paraId="76FF5315" w14:textId="77777777" w:rsidR="002E5800" w:rsidRPr="008F328C" w:rsidRDefault="000E0B7C">
            <w:pPr>
              <w:pStyle w:val="TableParagraph"/>
              <w:spacing w:before="1"/>
              <w:ind w:left="185" w:right="186"/>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23 (20,7%)</w:t>
            </w:r>
          </w:p>
        </w:tc>
        <w:tc>
          <w:tcPr>
            <w:tcW w:w="1855" w:type="dxa"/>
            <w:tcBorders>
              <w:top w:val="single" w:sz="5" w:space="0" w:color="000000"/>
              <w:left w:val="single" w:sz="5" w:space="0" w:color="000000"/>
              <w:bottom w:val="single" w:sz="5" w:space="0" w:color="000000"/>
              <w:right w:val="single" w:sz="5" w:space="0" w:color="000000"/>
            </w:tcBorders>
          </w:tcPr>
          <w:p w14:paraId="3C23566C" w14:textId="77777777" w:rsidR="002E5800" w:rsidRPr="008F328C" w:rsidRDefault="000E0B7C">
            <w:pPr>
              <w:pStyle w:val="TableParagraph"/>
              <w:spacing w:line="246" w:lineRule="exact"/>
              <w:ind w:left="599" w:right="59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105</w:t>
            </w:r>
          </w:p>
          <w:p w14:paraId="32B74893" w14:textId="77777777" w:rsidR="002E5800" w:rsidRPr="008F328C" w:rsidRDefault="000E0B7C">
            <w:pPr>
              <w:pStyle w:val="TableParagraph"/>
              <w:spacing w:line="254" w:lineRule="exact"/>
              <w:ind w:left="281" w:right="282"/>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48 (45,7%) </w:t>
            </w:r>
            <w:r w:rsidRPr="008F328C">
              <w:rPr>
                <w:rFonts w:ascii="Times New Roman" w:eastAsia="Times New Roman" w:hAnsi="Times New Roman" w:cs="Times New Roman"/>
                <w:spacing w:val="-1"/>
                <w:sz w:val="14"/>
                <w:szCs w:val="14"/>
                <w:lang w:val="pl-PL"/>
              </w:rPr>
              <w:t>***</w:t>
            </w:r>
          </w:p>
        </w:tc>
      </w:tr>
      <w:tr w:rsidR="002E5800" w:rsidRPr="006D3555" w14:paraId="3321EFB9" w14:textId="77777777" w:rsidTr="0008144B">
        <w:tc>
          <w:tcPr>
            <w:tcW w:w="9293" w:type="dxa"/>
            <w:gridSpan w:val="5"/>
            <w:tcBorders>
              <w:top w:val="single" w:sz="5" w:space="0" w:color="000000"/>
              <w:left w:val="single" w:sz="5" w:space="0" w:color="000000"/>
              <w:bottom w:val="single" w:sz="5" w:space="0" w:color="000000"/>
              <w:right w:val="single" w:sz="5" w:space="0" w:color="000000"/>
            </w:tcBorders>
          </w:tcPr>
          <w:p w14:paraId="7AE1A79A" w14:textId="77777777" w:rsidR="002E5800" w:rsidRPr="008F328C" w:rsidRDefault="000E0B7C">
            <w:pPr>
              <w:pStyle w:val="TableParagraph"/>
              <w:spacing w:line="246" w:lineRule="exact"/>
              <w:ind w:left="46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i/>
                <w:iCs/>
                <w:lang w:val="pl-PL"/>
              </w:rPr>
              <w:t xml:space="preserve">P </w:t>
            </w:r>
            <w:r w:rsidRPr="008F328C">
              <w:rPr>
                <w:rFonts w:ascii="Times New Roman" w:eastAsia="Times New Roman" w:hAnsi="Times New Roman" w:cs="Times New Roman"/>
                <w:lang w:val="pl-PL"/>
              </w:rPr>
              <w:t>&lt; 0,05, ***</w:t>
            </w:r>
            <w:r w:rsidRPr="008F328C">
              <w:rPr>
                <w:rFonts w:ascii="Times New Roman" w:eastAsia="Times New Roman" w:hAnsi="Times New Roman" w:cs="Times New Roman"/>
                <w:i/>
                <w:iCs/>
                <w:lang w:val="pl-PL"/>
              </w:rPr>
              <w:t xml:space="preserve">P </w:t>
            </w:r>
            <w:r w:rsidRPr="008F328C">
              <w:rPr>
                <w:rFonts w:ascii="Times New Roman" w:eastAsia="Times New Roman" w:hAnsi="Times New Roman" w:cs="Times New Roman"/>
                <w:lang w:val="pl-PL"/>
              </w:rPr>
              <w:t>&lt; 0,001, adalimumab  vs placebo</w:t>
            </w:r>
          </w:p>
          <w:p w14:paraId="3DE7BB07" w14:textId="77777777" w:rsidR="002E5800" w:rsidRPr="008F328C" w:rsidRDefault="000E0B7C">
            <w:pPr>
              <w:pStyle w:val="a4"/>
              <w:numPr>
                <w:ilvl w:val="0"/>
                <w:numId w:val="11"/>
              </w:numPr>
              <w:tabs>
                <w:tab w:val="left" w:pos="469"/>
              </w:tabs>
              <w:spacing w:before="32"/>
              <w:ind w:left="46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Spośród wszystkich randomizowanych pacjentów.</w:t>
            </w:r>
          </w:p>
          <w:p w14:paraId="7DFECD96" w14:textId="77777777" w:rsidR="002E5800" w:rsidRPr="008F328C" w:rsidRDefault="000E0B7C">
            <w:pPr>
              <w:pStyle w:val="a4"/>
              <w:numPr>
                <w:ilvl w:val="0"/>
                <w:numId w:val="11"/>
              </w:numPr>
              <w:tabs>
                <w:tab w:val="left" w:pos="469"/>
              </w:tabs>
              <w:spacing w:before="41" w:line="240" w:lineRule="exact"/>
              <w:ind w:left="469" w:right="59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Spośród wszystkich pacjentów z początkową oceną nasilenia bólu skóry związanego z HS ≥ 3 w numerycznej skali oceny nasilenia bólu 0-10; 0 = całkowity brak bólu skóry, 10 = najgorszy wyobrażalny ból skóry.</w:t>
            </w:r>
          </w:p>
        </w:tc>
      </w:tr>
    </w:tbl>
    <w:p w14:paraId="37F66C57" w14:textId="77777777" w:rsidR="002E5800" w:rsidRPr="008F328C" w:rsidRDefault="002E5800">
      <w:pPr>
        <w:spacing w:before="5" w:line="170" w:lineRule="exact"/>
        <w:rPr>
          <w:rFonts w:ascii="Times New Roman" w:hAnsi="Times New Roman" w:cs="Times New Roman"/>
          <w:sz w:val="17"/>
          <w:szCs w:val="17"/>
          <w:lang w:val="pl-PL"/>
        </w:rPr>
      </w:pPr>
    </w:p>
    <w:p w14:paraId="03A7212C" w14:textId="77777777" w:rsidR="002E5800" w:rsidRPr="008F328C" w:rsidRDefault="000E0B7C">
      <w:pPr>
        <w:pStyle w:val="a3"/>
        <w:rPr>
          <w:lang w:val="pl-PL"/>
        </w:rPr>
      </w:pPr>
      <w:r w:rsidRPr="008F328C">
        <w:rPr>
          <w:rFonts w:eastAsia="Times New Roman"/>
          <w:lang w:val="pl-PL"/>
        </w:rPr>
        <w:t xml:space="preserve">Leczenie adalimumabem 40 mg raz w tygodniu istotnie zmniejszyło ryzyko nasilenia ropni i drożnych przetok. U około dwa razy większego odsetka pacjentów w grupie otrzymującej placebo w pierwszych 12 tygodniach badań HS-I i HS-II, w porównaniu do pacjentów w grupie otrzymującej adalimumab, wystąpiło nasilenie ropni (odpowiednio 23,0% vs 11,4%) i drożnych przetok (odpowiednio 30,0% vs </w:t>
      </w:r>
      <w:r w:rsidRPr="008F328C">
        <w:rPr>
          <w:rFonts w:eastAsia="Times New Roman"/>
          <w:lang w:val="pl-PL"/>
        </w:rPr>
        <w:lastRenderedPageBreak/>
        <w:t>13,9%).</w:t>
      </w:r>
    </w:p>
    <w:p w14:paraId="3DB0471D" w14:textId="77777777" w:rsidR="002E5800" w:rsidRPr="008F328C" w:rsidRDefault="002E5800">
      <w:pPr>
        <w:spacing w:before="14" w:line="240" w:lineRule="exact"/>
        <w:rPr>
          <w:rFonts w:ascii="Times New Roman" w:hAnsi="Times New Roman" w:cs="Times New Roman"/>
          <w:sz w:val="24"/>
          <w:szCs w:val="24"/>
          <w:lang w:val="pl-PL"/>
        </w:rPr>
      </w:pPr>
    </w:p>
    <w:p w14:paraId="2EA4EADE" w14:textId="5EC8A4B6" w:rsidR="002E5800" w:rsidRPr="008F328C" w:rsidRDefault="000E0B7C">
      <w:pPr>
        <w:pStyle w:val="a3"/>
        <w:rPr>
          <w:lang w:val="pl-PL"/>
        </w:rPr>
      </w:pPr>
      <w:r w:rsidRPr="008F328C">
        <w:rPr>
          <w:rFonts w:eastAsia="Times New Roman"/>
          <w:lang w:val="pl-PL"/>
        </w:rPr>
        <w:t xml:space="preserve">W porównaniu do placebo, w 12. tygodniu wykazano większą poprawę w stosunku do stanu początkowego w jakości życia swoistej dla skóry związanej ze stanem zdrowia, mierzonej wskaźnikiem jakości życia zależnej od dolegliwości skórnych - DLQI (badania HS-I i HS-II), całkowitym zadowoleniu pacjenta z leczenia farmakologicznego mierzonego kwestionariuszem zadowolenia z leczenia – </w:t>
      </w:r>
      <w:r w:rsidR="008A6C3B" w:rsidRPr="008F328C">
        <w:rPr>
          <w:rFonts w:eastAsia="Times New Roman"/>
          <w:lang w:val="pl-PL"/>
        </w:rPr>
        <w:t xml:space="preserve">leczenie </w:t>
      </w:r>
      <w:r w:rsidRPr="008F328C">
        <w:rPr>
          <w:rFonts w:eastAsia="Times New Roman"/>
          <w:lang w:val="pl-PL"/>
        </w:rPr>
        <w:t xml:space="preserve">(ang. Treatment Satisfaction Questionnaire – medication, TSQM, badania HS-I i HS-II) oraz </w:t>
      </w:r>
      <w:r w:rsidR="008A6C3B" w:rsidRPr="008F328C">
        <w:rPr>
          <w:rFonts w:eastAsia="Times New Roman"/>
          <w:lang w:val="pl-PL"/>
        </w:rPr>
        <w:t xml:space="preserve">zdrowie fizyczne mierzone </w:t>
      </w:r>
      <w:r w:rsidRPr="008F328C">
        <w:rPr>
          <w:rFonts w:eastAsia="Times New Roman"/>
          <w:lang w:val="pl-PL"/>
        </w:rPr>
        <w:t>sumaryczną punktacją składowej dotyczącej sprawności fizycznej w kwestionariuszu SF-36 (badanie HS-I).</w:t>
      </w:r>
    </w:p>
    <w:p w14:paraId="07D31D7E" w14:textId="77777777" w:rsidR="002E5800" w:rsidRPr="008F328C" w:rsidRDefault="002E5800">
      <w:pPr>
        <w:spacing w:before="13" w:line="240" w:lineRule="exact"/>
        <w:rPr>
          <w:rFonts w:ascii="Times New Roman" w:hAnsi="Times New Roman" w:cs="Times New Roman"/>
          <w:sz w:val="24"/>
          <w:szCs w:val="24"/>
          <w:lang w:val="pl-PL"/>
        </w:rPr>
      </w:pPr>
    </w:p>
    <w:p w14:paraId="491F3241" w14:textId="77E87092" w:rsidR="002E5800" w:rsidRPr="008F328C" w:rsidRDefault="000E0B7C">
      <w:pPr>
        <w:pStyle w:val="a3"/>
        <w:rPr>
          <w:lang w:val="pl-PL"/>
        </w:rPr>
      </w:pPr>
      <w:r w:rsidRPr="008F328C">
        <w:rPr>
          <w:rFonts w:eastAsia="Times New Roman"/>
          <w:lang w:val="pl-PL"/>
        </w:rPr>
        <w:t xml:space="preserve">U pacjentów z co najmniej częściową odpowiedzią na leczenie adalimumabem 40 mg w 12. tygodniu, odsetek HiSCR w 36. tygodniu był większy u pacjentów, którzy kontynuowali cotygodniowe stosowanie adalimumabu w porównaniu do pacjentów, u których częstość dawkowania zmniejszono do podawania co drugi tydzień lub u których leczenia zaprzestano (patrz Tabela </w:t>
      </w:r>
      <w:r w:rsidR="007011B1" w:rsidRPr="008F328C">
        <w:rPr>
          <w:rFonts w:eastAsia="Times New Roman"/>
          <w:lang w:val="pl-PL"/>
        </w:rPr>
        <w:t>20</w:t>
      </w:r>
      <w:r w:rsidRPr="008F328C">
        <w:rPr>
          <w:rFonts w:eastAsia="Times New Roman"/>
          <w:lang w:val="pl-PL"/>
        </w:rPr>
        <w:t>).</w:t>
      </w:r>
    </w:p>
    <w:p w14:paraId="4CD7CC64" w14:textId="77777777" w:rsidR="002E5800" w:rsidRPr="008F328C" w:rsidRDefault="002E5800">
      <w:pPr>
        <w:spacing w:before="2" w:line="260" w:lineRule="exact"/>
        <w:rPr>
          <w:rFonts w:ascii="Times New Roman" w:hAnsi="Times New Roman" w:cs="Times New Roman"/>
          <w:sz w:val="26"/>
          <w:szCs w:val="26"/>
          <w:lang w:val="pl-PL"/>
        </w:rPr>
      </w:pPr>
    </w:p>
    <w:p w14:paraId="0DC8FDEF" w14:textId="2B339896" w:rsidR="002E5800" w:rsidRPr="008F328C" w:rsidRDefault="000E0B7C">
      <w:pPr>
        <w:pStyle w:val="a3"/>
        <w:jc w:val="center"/>
        <w:rPr>
          <w:b/>
          <w:lang w:val="pl-PL"/>
        </w:rPr>
      </w:pPr>
      <w:r w:rsidRPr="008F328C">
        <w:rPr>
          <w:rFonts w:eastAsia="Times New Roman"/>
          <w:b/>
          <w:bCs/>
          <w:lang w:val="pl-PL"/>
        </w:rPr>
        <w:t xml:space="preserve">Tabela </w:t>
      </w:r>
      <w:r w:rsidR="007011B1" w:rsidRPr="008F328C">
        <w:rPr>
          <w:rFonts w:eastAsia="Times New Roman"/>
          <w:b/>
          <w:bCs/>
          <w:lang w:val="pl-PL"/>
        </w:rPr>
        <w:t>20</w:t>
      </w:r>
    </w:p>
    <w:p w14:paraId="72C278FC" w14:textId="77777777" w:rsidR="002E5800" w:rsidRDefault="000E0B7C">
      <w:pPr>
        <w:pStyle w:val="a3"/>
        <w:jc w:val="center"/>
        <w:rPr>
          <w:rFonts w:eastAsia="Times New Roman"/>
          <w:b/>
          <w:bCs/>
          <w:lang w:val="pl-PL"/>
        </w:rPr>
      </w:pPr>
      <w:r w:rsidRPr="008F328C">
        <w:rPr>
          <w:rFonts w:eastAsia="Times New Roman"/>
          <w:b/>
          <w:bCs/>
          <w:lang w:val="pl-PL"/>
        </w:rPr>
        <w:t>Odsetek pacjentów</w:t>
      </w:r>
      <w:r w:rsidRPr="008F328C">
        <w:rPr>
          <w:rFonts w:eastAsia="Times New Roman"/>
          <w:b/>
          <w:bCs/>
          <w:vertAlign w:val="superscript"/>
          <w:lang w:val="pl-PL"/>
        </w:rPr>
        <w:t>a</w:t>
      </w:r>
      <w:r w:rsidRPr="008F328C">
        <w:rPr>
          <w:rFonts w:eastAsia="Times New Roman"/>
          <w:b/>
          <w:bCs/>
          <w:lang w:val="pl-PL"/>
        </w:rPr>
        <w:t xml:space="preserve"> osiągających HiSCR</w:t>
      </w:r>
      <w:r w:rsidRPr="008F328C">
        <w:rPr>
          <w:rFonts w:eastAsia="Times New Roman"/>
          <w:b/>
          <w:bCs/>
          <w:vertAlign w:val="superscript"/>
          <w:lang w:val="pl-PL"/>
        </w:rPr>
        <w:t>b</w:t>
      </w:r>
      <w:r w:rsidRPr="008F328C">
        <w:rPr>
          <w:rFonts w:eastAsia="Times New Roman"/>
          <w:b/>
          <w:bCs/>
          <w:lang w:val="pl-PL"/>
        </w:rPr>
        <w:t xml:space="preserve"> w 24. i 36. tygodniu, którym w 12. tygodniu powtórnie przydzielono leczenie po wcześniejszym stosowaniu adalimumabu raz w tygodniu.</w:t>
      </w:r>
    </w:p>
    <w:p w14:paraId="77AC89FD" w14:textId="77777777" w:rsidR="00114A52" w:rsidRPr="008F328C" w:rsidRDefault="00114A52">
      <w:pPr>
        <w:pStyle w:val="a3"/>
        <w:jc w:val="center"/>
        <w:rPr>
          <w:b/>
          <w:lang w:val="pl-PL"/>
        </w:rPr>
      </w:pPr>
    </w:p>
    <w:tbl>
      <w:tblPr>
        <w:tblStyle w:val="TableNormal1"/>
        <w:tblW w:w="0" w:type="auto"/>
        <w:tblInd w:w="1187" w:type="dxa"/>
        <w:tblLayout w:type="fixed"/>
        <w:tblLook w:val="01E0" w:firstRow="1" w:lastRow="1" w:firstColumn="1" w:lastColumn="1" w:noHBand="0" w:noVBand="0"/>
      </w:tblPr>
      <w:tblGrid>
        <w:gridCol w:w="1438"/>
        <w:gridCol w:w="1980"/>
        <w:gridCol w:w="1980"/>
        <w:gridCol w:w="1855"/>
      </w:tblGrid>
      <w:tr w:rsidR="002E5800" w:rsidRPr="00FE49E6" w14:paraId="0C860B9A" w14:textId="77777777" w:rsidTr="0008144B">
        <w:tc>
          <w:tcPr>
            <w:tcW w:w="1438" w:type="dxa"/>
            <w:tcBorders>
              <w:top w:val="single" w:sz="5" w:space="0" w:color="000000"/>
              <w:left w:val="single" w:sz="5" w:space="0" w:color="000000"/>
              <w:bottom w:val="single" w:sz="5" w:space="0" w:color="000000"/>
              <w:right w:val="single" w:sz="5" w:space="0" w:color="000000"/>
            </w:tcBorders>
          </w:tcPr>
          <w:p w14:paraId="29A86079" w14:textId="77777777" w:rsidR="002E5800" w:rsidRPr="008F328C" w:rsidRDefault="002E5800">
            <w:pPr>
              <w:rPr>
                <w:rFonts w:ascii="Times New Roman" w:hAnsi="Times New Roman" w:cs="Times New Roman"/>
                <w:lang w:val="pl-PL"/>
              </w:rPr>
            </w:pPr>
          </w:p>
        </w:tc>
        <w:tc>
          <w:tcPr>
            <w:tcW w:w="1980" w:type="dxa"/>
            <w:tcBorders>
              <w:top w:val="single" w:sz="5" w:space="0" w:color="000000"/>
              <w:left w:val="single" w:sz="5" w:space="0" w:color="000000"/>
              <w:bottom w:val="single" w:sz="5" w:space="0" w:color="000000"/>
              <w:right w:val="single" w:sz="5" w:space="0" w:color="000000"/>
            </w:tcBorders>
          </w:tcPr>
          <w:p w14:paraId="3B89BE6D" w14:textId="77777777" w:rsidR="002E5800" w:rsidRPr="008F328C" w:rsidRDefault="000E0B7C">
            <w:pPr>
              <w:pStyle w:val="TableParagraph"/>
              <w:spacing w:before="37" w:line="240" w:lineRule="exact"/>
              <w:ind w:left="409" w:right="407" w:hanging="2"/>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 (odstawienie leczenia) N = 73</w:t>
            </w:r>
          </w:p>
        </w:tc>
        <w:tc>
          <w:tcPr>
            <w:tcW w:w="1980" w:type="dxa"/>
            <w:tcBorders>
              <w:top w:val="single" w:sz="5" w:space="0" w:color="000000"/>
              <w:left w:val="single" w:sz="5" w:space="0" w:color="000000"/>
              <w:bottom w:val="single" w:sz="5" w:space="0" w:color="000000"/>
              <w:right w:val="single" w:sz="5" w:space="0" w:color="000000"/>
            </w:tcBorders>
          </w:tcPr>
          <w:p w14:paraId="2E5B257A" w14:textId="77777777" w:rsidR="002E5800" w:rsidRPr="008F328C" w:rsidRDefault="000E0B7C">
            <w:pPr>
              <w:pStyle w:val="TableParagraph"/>
              <w:spacing w:line="240" w:lineRule="exact"/>
              <w:ind w:left="183" w:right="180"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Adalimumab 40 mg co drugi tydzień </w:t>
            </w:r>
            <w:r w:rsidRPr="008F328C">
              <w:rPr>
                <w:rFonts w:ascii="Times New Roman" w:eastAsia="Times New Roman" w:hAnsi="Times New Roman" w:cs="Times New Roman"/>
                <w:b/>
                <w:bCs/>
                <w:spacing w:val="-1"/>
                <w:lang w:val="pl-PL"/>
              </w:rPr>
              <w:br/>
              <w:t>N = 70</w:t>
            </w:r>
          </w:p>
        </w:tc>
        <w:tc>
          <w:tcPr>
            <w:tcW w:w="1855" w:type="dxa"/>
            <w:tcBorders>
              <w:top w:val="single" w:sz="5" w:space="0" w:color="000000"/>
              <w:left w:val="single" w:sz="5" w:space="0" w:color="000000"/>
              <w:bottom w:val="single" w:sz="5" w:space="0" w:color="000000"/>
              <w:right w:val="single" w:sz="5" w:space="0" w:color="000000"/>
            </w:tcBorders>
          </w:tcPr>
          <w:p w14:paraId="79B996E7" w14:textId="77777777" w:rsidR="002E5800" w:rsidRPr="008F328C" w:rsidRDefault="000E0B7C">
            <w:pPr>
              <w:pStyle w:val="TableParagraph"/>
              <w:spacing w:line="240" w:lineRule="exact"/>
              <w:ind w:left="236" w:right="23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raz na tydzień</w:t>
            </w:r>
          </w:p>
          <w:p w14:paraId="5FDF1719" w14:textId="77777777" w:rsidR="002E5800" w:rsidRPr="008F328C" w:rsidRDefault="000E0B7C">
            <w:pPr>
              <w:pStyle w:val="TableParagraph"/>
              <w:spacing w:line="240" w:lineRule="exact"/>
              <w:ind w:left="595" w:right="598"/>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70</w:t>
            </w:r>
          </w:p>
        </w:tc>
      </w:tr>
      <w:tr w:rsidR="002E5800" w:rsidRPr="008F328C" w14:paraId="6922ACEC" w14:textId="77777777" w:rsidTr="0008144B">
        <w:tc>
          <w:tcPr>
            <w:tcW w:w="1438" w:type="dxa"/>
            <w:tcBorders>
              <w:top w:val="single" w:sz="5" w:space="0" w:color="000000"/>
              <w:left w:val="single" w:sz="5" w:space="0" w:color="000000"/>
              <w:bottom w:val="single" w:sz="5" w:space="0" w:color="000000"/>
              <w:right w:val="single" w:sz="5" w:space="0" w:color="000000"/>
            </w:tcBorders>
          </w:tcPr>
          <w:p w14:paraId="0D77CD8B" w14:textId="77777777" w:rsidR="002E5800" w:rsidRPr="008F328C" w:rsidRDefault="000E0B7C">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24. tydzień</w:t>
            </w:r>
          </w:p>
        </w:tc>
        <w:tc>
          <w:tcPr>
            <w:tcW w:w="1980" w:type="dxa"/>
            <w:tcBorders>
              <w:top w:val="single" w:sz="5" w:space="0" w:color="000000"/>
              <w:left w:val="single" w:sz="5" w:space="0" w:color="000000"/>
              <w:bottom w:val="single" w:sz="5" w:space="0" w:color="000000"/>
              <w:right w:val="single" w:sz="5" w:space="0" w:color="000000"/>
            </w:tcBorders>
          </w:tcPr>
          <w:p w14:paraId="4815029F" w14:textId="77777777" w:rsidR="002E5800" w:rsidRPr="008F328C" w:rsidRDefault="000E0B7C">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24 (32,9%)</w:t>
            </w:r>
          </w:p>
        </w:tc>
        <w:tc>
          <w:tcPr>
            <w:tcW w:w="1980" w:type="dxa"/>
            <w:tcBorders>
              <w:top w:val="single" w:sz="5" w:space="0" w:color="000000"/>
              <w:left w:val="single" w:sz="5" w:space="0" w:color="000000"/>
              <w:bottom w:val="single" w:sz="5" w:space="0" w:color="000000"/>
              <w:right w:val="single" w:sz="5" w:space="0" w:color="000000"/>
            </w:tcBorders>
          </w:tcPr>
          <w:p w14:paraId="69125F48" w14:textId="77777777" w:rsidR="002E5800" w:rsidRPr="008F328C" w:rsidRDefault="000E0B7C">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36 (51,4%)</w:t>
            </w:r>
          </w:p>
        </w:tc>
        <w:tc>
          <w:tcPr>
            <w:tcW w:w="1855" w:type="dxa"/>
            <w:tcBorders>
              <w:top w:val="single" w:sz="5" w:space="0" w:color="000000"/>
              <w:left w:val="single" w:sz="5" w:space="0" w:color="000000"/>
              <w:bottom w:val="single" w:sz="5" w:space="0" w:color="000000"/>
              <w:right w:val="single" w:sz="5" w:space="0" w:color="000000"/>
            </w:tcBorders>
          </w:tcPr>
          <w:p w14:paraId="00DE3EFA" w14:textId="77777777" w:rsidR="002E5800" w:rsidRPr="008F328C" w:rsidRDefault="000E0B7C">
            <w:pPr>
              <w:pStyle w:val="TableParagraph"/>
              <w:spacing w:before="24"/>
              <w:ind w:left="42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(57,1%)</w:t>
            </w:r>
          </w:p>
        </w:tc>
      </w:tr>
      <w:tr w:rsidR="002E5800" w:rsidRPr="008F328C" w14:paraId="7881917C" w14:textId="77777777" w:rsidTr="0008144B">
        <w:tc>
          <w:tcPr>
            <w:tcW w:w="1438" w:type="dxa"/>
            <w:tcBorders>
              <w:top w:val="single" w:sz="5" w:space="0" w:color="000000"/>
              <w:left w:val="single" w:sz="5" w:space="0" w:color="000000"/>
              <w:bottom w:val="single" w:sz="5" w:space="0" w:color="000000"/>
              <w:right w:val="single" w:sz="5" w:space="0" w:color="000000"/>
            </w:tcBorders>
          </w:tcPr>
          <w:p w14:paraId="7250CB19" w14:textId="77777777" w:rsidR="002E5800" w:rsidRPr="008F328C" w:rsidRDefault="000E0B7C">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36. tydzień</w:t>
            </w:r>
          </w:p>
        </w:tc>
        <w:tc>
          <w:tcPr>
            <w:tcW w:w="1980" w:type="dxa"/>
            <w:tcBorders>
              <w:top w:val="single" w:sz="5" w:space="0" w:color="000000"/>
              <w:left w:val="single" w:sz="5" w:space="0" w:color="000000"/>
              <w:bottom w:val="single" w:sz="5" w:space="0" w:color="000000"/>
              <w:right w:val="single" w:sz="5" w:space="0" w:color="000000"/>
            </w:tcBorders>
          </w:tcPr>
          <w:p w14:paraId="208C82EF" w14:textId="77777777" w:rsidR="002E5800" w:rsidRPr="008F328C" w:rsidRDefault="000E0B7C">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22 (30,1%)</w:t>
            </w:r>
          </w:p>
        </w:tc>
        <w:tc>
          <w:tcPr>
            <w:tcW w:w="1980" w:type="dxa"/>
            <w:tcBorders>
              <w:top w:val="single" w:sz="5" w:space="0" w:color="000000"/>
              <w:left w:val="single" w:sz="5" w:space="0" w:color="000000"/>
              <w:bottom w:val="single" w:sz="5" w:space="0" w:color="000000"/>
              <w:right w:val="single" w:sz="5" w:space="0" w:color="000000"/>
            </w:tcBorders>
          </w:tcPr>
          <w:p w14:paraId="4987C03F" w14:textId="77777777" w:rsidR="002E5800" w:rsidRPr="008F328C" w:rsidRDefault="000E0B7C">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28 (40,0%)</w:t>
            </w:r>
          </w:p>
        </w:tc>
        <w:tc>
          <w:tcPr>
            <w:tcW w:w="1855" w:type="dxa"/>
            <w:tcBorders>
              <w:top w:val="single" w:sz="5" w:space="0" w:color="000000"/>
              <w:left w:val="single" w:sz="5" w:space="0" w:color="000000"/>
              <w:bottom w:val="single" w:sz="5" w:space="0" w:color="000000"/>
              <w:right w:val="single" w:sz="5" w:space="0" w:color="000000"/>
            </w:tcBorders>
          </w:tcPr>
          <w:p w14:paraId="77E71E47" w14:textId="77777777" w:rsidR="002E5800" w:rsidRPr="008F328C" w:rsidRDefault="000E0B7C">
            <w:pPr>
              <w:pStyle w:val="TableParagraph"/>
              <w:spacing w:before="24"/>
              <w:ind w:left="42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39 (55,7%)</w:t>
            </w:r>
          </w:p>
        </w:tc>
      </w:tr>
      <w:tr w:rsidR="002E5800" w:rsidRPr="00A5286D" w14:paraId="4DC9C39E" w14:textId="77777777" w:rsidTr="0008144B">
        <w:tc>
          <w:tcPr>
            <w:tcW w:w="7253" w:type="dxa"/>
            <w:gridSpan w:val="4"/>
            <w:tcBorders>
              <w:top w:val="single" w:sz="5" w:space="0" w:color="000000"/>
              <w:left w:val="single" w:sz="5" w:space="0" w:color="000000"/>
              <w:bottom w:val="single" w:sz="5" w:space="0" w:color="000000"/>
              <w:right w:val="single" w:sz="5" w:space="0" w:color="000000"/>
            </w:tcBorders>
          </w:tcPr>
          <w:p w14:paraId="1DB74074" w14:textId="77777777" w:rsidR="002E5800" w:rsidRPr="008F328C" w:rsidRDefault="000E0B7C">
            <w:pPr>
              <w:pStyle w:val="a4"/>
              <w:numPr>
                <w:ilvl w:val="0"/>
                <w:numId w:val="10"/>
              </w:numPr>
              <w:tabs>
                <w:tab w:val="left" w:pos="344"/>
              </w:tabs>
              <w:spacing w:before="39" w:line="240" w:lineRule="exact"/>
              <w:ind w:left="344" w:right="49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Pacjenci z co najmniej częściową odpowiedzią na leczenie adalimumabem 40 mg raz w tygodniu po 12 tygodniach leczenia.</w:t>
            </w:r>
          </w:p>
          <w:p w14:paraId="1A30661A" w14:textId="77777777" w:rsidR="002E5800" w:rsidRPr="008F328C" w:rsidRDefault="000E0B7C">
            <w:pPr>
              <w:pStyle w:val="a4"/>
              <w:numPr>
                <w:ilvl w:val="0"/>
                <w:numId w:val="10"/>
              </w:numPr>
              <w:tabs>
                <w:tab w:val="left" w:pos="344"/>
              </w:tabs>
              <w:spacing w:before="41" w:line="240" w:lineRule="exact"/>
              <w:ind w:left="344" w:right="814"/>
              <w:jc w:val="both"/>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Pacjenci spełniający wymienione w protokole kryteria utraty odpowiedzi lub nieuzyskujący poprawy nie mogli kontynuować udziału w badaniach i byli klasyfikowani jako nieodpowiadający na leczenie.</w:t>
            </w:r>
          </w:p>
        </w:tc>
      </w:tr>
    </w:tbl>
    <w:p w14:paraId="50626BE0" w14:textId="77777777" w:rsidR="002E5800" w:rsidRPr="008F328C" w:rsidRDefault="002E5800">
      <w:pPr>
        <w:pStyle w:val="a3"/>
        <w:rPr>
          <w:spacing w:val="1"/>
          <w:lang w:val="pl-PL"/>
        </w:rPr>
      </w:pPr>
    </w:p>
    <w:p w14:paraId="6AD1444B" w14:textId="5263B96D" w:rsidR="002E5800" w:rsidRPr="008F328C" w:rsidRDefault="000E0B7C">
      <w:pPr>
        <w:pStyle w:val="a3"/>
        <w:rPr>
          <w:lang w:val="pl-PL"/>
        </w:rPr>
      </w:pPr>
      <w:r w:rsidRPr="008F328C">
        <w:rPr>
          <w:rFonts w:eastAsia="Times New Roman"/>
          <w:spacing w:val="1"/>
          <w:lang w:val="pl-PL"/>
        </w:rPr>
        <w:t xml:space="preserve">Wśród pacjentów, którzy wykazali co najmniej częściową odpowiedź na leczenie w 12. tygodniu i otrzymywali ciągłe leczenie adalimumabem raz w tygodniu, odsetek HiSCR w 48. tygodniu wynosił 68,3%, a w 96. tygodniu </w:t>
      </w:r>
      <w:r w:rsidR="00033D26" w:rsidRPr="008F328C">
        <w:rPr>
          <w:rFonts w:eastAsia="Times New Roman"/>
          <w:spacing w:val="1"/>
          <w:lang w:val="pl-PL"/>
        </w:rPr>
        <w:t xml:space="preserve">wyniósł </w:t>
      </w:r>
      <w:r w:rsidRPr="008F328C">
        <w:rPr>
          <w:rFonts w:eastAsia="Times New Roman"/>
          <w:spacing w:val="1"/>
          <w:lang w:val="pl-PL"/>
        </w:rPr>
        <w:t>65,1%. W dłuższym leczeniu adalimumabem 40 mg raz w tygodniu przez 96 tygodni nie było nowych obserwacji odnośnie bezpieczeństwa stosowania.</w:t>
      </w:r>
    </w:p>
    <w:p w14:paraId="7935DBDE" w14:textId="77777777" w:rsidR="002E5800" w:rsidRPr="008F328C" w:rsidRDefault="002E5800">
      <w:pPr>
        <w:pStyle w:val="a3"/>
        <w:rPr>
          <w:sz w:val="24"/>
          <w:szCs w:val="24"/>
          <w:lang w:val="pl-PL"/>
        </w:rPr>
      </w:pPr>
    </w:p>
    <w:p w14:paraId="2240BFC6" w14:textId="77777777" w:rsidR="002E5800" w:rsidRPr="008F328C" w:rsidRDefault="000E0B7C">
      <w:pPr>
        <w:pStyle w:val="a3"/>
        <w:rPr>
          <w:lang w:val="pl-PL"/>
        </w:rPr>
      </w:pPr>
      <w:r w:rsidRPr="008F328C">
        <w:rPr>
          <w:rFonts w:eastAsia="Times New Roman"/>
          <w:spacing w:val="1"/>
          <w:lang w:val="pl-PL"/>
        </w:rPr>
        <w:t>Wśród pacjentów, u których zaprzestano leczenia adalimumabem w 12. tygodniu w badaniach HS-I i HS-II, odsetek HiSCR 12 tygodni po powtórnym wprowadzeniu adalimumabu 40 mg raz w tygodniu powrócił do poziomu podobnego do obserwowanego przed odstawieniem leczenia (56,0%).</w:t>
      </w:r>
    </w:p>
    <w:p w14:paraId="42B5DA37" w14:textId="77777777" w:rsidR="002E5800" w:rsidRPr="008F328C" w:rsidRDefault="002E5800">
      <w:pPr>
        <w:pStyle w:val="a3"/>
        <w:rPr>
          <w:sz w:val="24"/>
          <w:szCs w:val="24"/>
          <w:lang w:val="pl-PL"/>
        </w:rPr>
      </w:pPr>
    </w:p>
    <w:p w14:paraId="55813BCF" w14:textId="77777777" w:rsidR="002E5800" w:rsidRPr="008F328C" w:rsidRDefault="000E0B7C">
      <w:pPr>
        <w:pStyle w:val="a3"/>
        <w:rPr>
          <w:rFonts w:eastAsia="Times New Roman"/>
          <w:lang w:val="pl-PL"/>
        </w:rPr>
      </w:pPr>
      <w:r w:rsidRPr="008F328C">
        <w:rPr>
          <w:rFonts w:eastAsia="Times New Roman"/>
          <w:i/>
          <w:iCs/>
          <w:spacing w:val="-1"/>
          <w:lang w:val="pl-PL"/>
        </w:rPr>
        <w:t>Choroba Leśniowskiego-Crohna</w:t>
      </w:r>
    </w:p>
    <w:p w14:paraId="59E04725" w14:textId="77777777" w:rsidR="002E5800" w:rsidRPr="008F328C" w:rsidRDefault="002E5800">
      <w:pPr>
        <w:pStyle w:val="a3"/>
        <w:rPr>
          <w:sz w:val="24"/>
          <w:szCs w:val="24"/>
          <w:lang w:val="pl-PL"/>
        </w:rPr>
      </w:pPr>
    </w:p>
    <w:p w14:paraId="0C163335" w14:textId="56CD663C" w:rsidR="002E5800" w:rsidRPr="008F328C" w:rsidRDefault="000E0B7C">
      <w:pPr>
        <w:pStyle w:val="a3"/>
        <w:rPr>
          <w:lang w:val="pl-PL"/>
        </w:rPr>
      </w:pPr>
      <w:r w:rsidRPr="008F328C">
        <w:rPr>
          <w:rFonts w:eastAsia="Times New Roman"/>
          <w:lang w:val="pl-PL"/>
        </w:rPr>
        <w:t xml:space="preserve">Bezpieczeństwo stosowania i skuteczność adalimumabu oceniano u ponad </w:t>
      </w:r>
      <w:r w:rsidR="00033D26" w:rsidRPr="008F328C">
        <w:rPr>
          <w:rFonts w:eastAsia="Times New Roman"/>
          <w:lang w:val="pl-PL"/>
        </w:rPr>
        <w:t>1 </w:t>
      </w:r>
      <w:r w:rsidRPr="008F328C">
        <w:rPr>
          <w:rFonts w:eastAsia="Times New Roman"/>
          <w:lang w:val="pl-PL"/>
        </w:rPr>
        <w:t xml:space="preserve">500 pacjentów z czynną chorobą Leśniowskiego-Crohna o nasileniu umiarkowanym do ciężkiego [wskaźnik aktywności choroby Leśniowskiego-Crohna (ang. Crohn’s Disease Activity Index, CDAI)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220 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450] w randomizowanych, kontrolowanych placebo badaniach klinicznych metodą podwójnie ślepej próby. Dozwolone było jednoczesne stosowanie stałych dawek aminosalicylanów, kortykosteroidów i (lub) leków immunomodulujących i 80% pacjentów kontynuowało przyjmowanie co najmniej jednego z tych leków.</w:t>
      </w:r>
    </w:p>
    <w:p w14:paraId="4AB726C9" w14:textId="77777777" w:rsidR="002E5800" w:rsidRPr="008F328C" w:rsidRDefault="002E5800">
      <w:pPr>
        <w:pStyle w:val="a3"/>
        <w:rPr>
          <w:sz w:val="24"/>
          <w:szCs w:val="24"/>
          <w:lang w:val="pl-PL"/>
        </w:rPr>
      </w:pPr>
    </w:p>
    <w:p w14:paraId="6F57BF23" w14:textId="77777777" w:rsidR="002E5800" w:rsidRPr="008F328C" w:rsidRDefault="000E0B7C">
      <w:pPr>
        <w:pStyle w:val="a3"/>
        <w:rPr>
          <w:lang w:val="pl-PL"/>
        </w:rPr>
      </w:pPr>
      <w:r w:rsidRPr="008F328C">
        <w:rPr>
          <w:rFonts w:eastAsia="Times New Roman"/>
          <w:lang w:val="pl-PL"/>
        </w:rPr>
        <w:t xml:space="preserve">Indukcję remisji klinicznej (określonej jako CDAI &lt; 150) oceniano w dwóch badaniach: badanie I w ChL-C (CLASSIC I) i badanie II w ChL-C (GAIN). W badaniu I w ChL-C, 299 pacjentów nie leczonych </w:t>
      </w:r>
      <w:r w:rsidRPr="008F328C">
        <w:rPr>
          <w:rFonts w:eastAsia="Times New Roman"/>
          <w:lang w:val="pl-PL"/>
        </w:rPr>
        <w:lastRenderedPageBreak/>
        <w:t>wcześniej lekiem z grupy antagonistów TNF losowo przydzielono do jednej z czterech grup otrzymujących: placebo w tygodniach 0 i 2; 160 mg adalimumabu w tygodniu 0 oraz 80 mg w 2. tygodniu; 80 mg w tygodniu 0 i 40 mg w 2. tygodniu oraz 40 mg w tygodniu 0 i 20 mg w 2. tygodniu. W badaniu II w ChL-C, 325 pacjentów, którzy przestali wykazywać odpowiedź na leczenie infliksymabem lub go nie tolerowali losowo przydzielono do grupy, która otrzymywała160 mg adalimumabu w tygodniu 0 i 80 mg w 2. tygodniu lub placebo w tygodniach 0 i 2. Osoby, które pierwotnie nie odpowiadały na leczenie wykluczono z udziału w badaniach i dlatego pacjentów tych nie poddawano dalszej ocenie.</w:t>
      </w:r>
    </w:p>
    <w:p w14:paraId="144CA4EB" w14:textId="77777777" w:rsidR="002E5800" w:rsidRPr="008F328C" w:rsidRDefault="002E5800">
      <w:pPr>
        <w:pStyle w:val="a3"/>
        <w:rPr>
          <w:sz w:val="24"/>
          <w:szCs w:val="24"/>
          <w:lang w:val="pl-PL"/>
        </w:rPr>
      </w:pPr>
    </w:p>
    <w:p w14:paraId="5B5F80F2" w14:textId="77777777" w:rsidR="002E5800" w:rsidRPr="008F328C" w:rsidRDefault="000E0B7C">
      <w:pPr>
        <w:pStyle w:val="a3"/>
        <w:rPr>
          <w:lang w:val="pl-PL"/>
        </w:rPr>
      </w:pPr>
      <w:r w:rsidRPr="008F328C">
        <w:rPr>
          <w:rFonts w:eastAsia="Times New Roman"/>
          <w:lang w:val="pl-PL"/>
        </w:rPr>
        <w:t>W badaniu III (CHARM) w ChL-C oceniano utrzymywanie się remisji klinicznej. W badaniu III w ChL-C, 854 pacjentów otrzymywało w otwartej próbie 80 mg w tygodniu 0 i 40 mg w 2. tygodniu. W 4. tygodniu pacjentów losowo przydzielono do grupy otrzymującej 40 mg co drugi tydzień, 40 mg co tydzień lub placebo, a całkowity czas trwania badania wynosił 56 tygodni. Pacjentów, którzy wykazali kliniczną odpowiedź na leczenie (zmniejszenie wskaźnika CDAI ≥ 70) w 4. tygodniu wyodrębniono i poddano odrębnej analizie niż pacjentów, którzy nie wykazali odpowiedzi klinicznej w 4. tygodniu. Po upływie 8. tygodnia dozwolone było stopniowe zmniejszenie dawki kortykosteroidu.</w:t>
      </w:r>
    </w:p>
    <w:p w14:paraId="79E298E1" w14:textId="77777777" w:rsidR="002E5800" w:rsidRPr="008F328C" w:rsidRDefault="002E5800">
      <w:pPr>
        <w:spacing w:before="11" w:line="240" w:lineRule="exact"/>
        <w:rPr>
          <w:rFonts w:ascii="Times New Roman" w:hAnsi="Times New Roman" w:cs="Times New Roman"/>
          <w:sz w:val="24"/>
          <w:szCs w:val="24"/>
          <w:lang w:val="pl-PL"/>
        </w:rPr>
      </w:pPr>
    </w:p>
    <w:p w14:paraId="050FEF32" w14:textId="75717C98" w:rsidR="002E5800" w:rsidRPr="008F328C" w:rsidRDefault="000E0B7C">
      <w:pPr>
        <w:pStyle w:val="a3"/>
        <w:rPr>
          <w:lang w:val="pl-PL"/>
        </w:rPr>
      </w:pPr>
      <w:r w:rsidRPr="008F328C">
        <w:rPr>
          <w:rFonts w:eastAsia="Times New Roman"/>
          <w:lang w:val="pl-PL"/>
        </w:rPr>
        <w:t xml:space="preserve">Odsetki indukcji remisji i odpowiedzi na leczenie w badaniach I i II w ChL-C przedstawiono w Tabeli </w:t>
      </w:r>
      <w:r w:rsidR="00FD79D2" w:rsidRPr="008F328C">
        <w:rPr>
          <w:rFonts w:eastAsia="Times New Roman"/>
          <w:lang w:val="pl-PL"/>
        </w:rPr>
        <w:t>21</w:t>
      </w:r>
      <w:r w:rsidRPr="008F328C">
        <w:rPr>
          <w:rFonts w:eastAsia="Times New Roman"/>
          <w:lang w:val="pl-PL"/>
        </w:rPr>
        <w:t>.</w:t>
      </w:r>
    </w:p>
    <w:p w14:paraId="4F580397" w14:textId="77777777" w:rsidR="002E5800" w:rsidRPr="008F328C" w:rsidRDefault="002E5800">
      <w:pPr>
        <w:pStyle w:val="a3"/>
        <w:jc w:val="center"/>
        <w:rPr>
          <w:b/>
          <w:lang w:val="pl-PL"/>
        </w:rPr>
      </w:pPr>
    </w:p>
    <w:p w14:paraId="7E8E9B0F" w14:textId="1DC5C5B6" w:rsidR="002E5800" w:rsidRPr="008F328C" w:rsidRDefault="000E0B7C">
      <w:pPr>
        <w:jc w:val="center"/>
        <w:rPr>
          <w:rFonts w:ascii="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FD79D2" w:rsidRPr="008F328C">
        <w:rPr>
          <w:rFonts w:ascii="Times New Roman" w:eastAsia="Times New Roman" w:hAnsi="Times New Roman" w:cs="Times New Roman"/>
          <w:b/>
          <w:bCs/>
          <w:lang w:val="pl-PL"/>
        </w:rPr>
        <w:t>21</w:t>
      </w:r>
    </w:p>
    <w:p w14:paraId="3FDF7B2C" w14:textId="77777777" w:rsidR="002E5800" w:rsidRDefault="000E0B7C">
      <w:pPr>
        <w:pStyle w:val="a3"/>
        <w:jc w:val="center"/>
        <w:rPr>
          <w:rFonts w:eastAsia="Times New Roman"/>
          <w:b/>
          <w:bCs/>
          <w:lang w:val="pl-PL"/>
        </w:rPr>
      </w:pPr>
      <w:r w:rsidRPr="008F328C">
        <w:rPr>
          <w:rFonts w:eastAsia="Times New Roman"/>
          <w:b/>
          <w:bCs/>
          <w:lang w:val="pl-PL"/>
        </w:rPr>
        <w:t>Indukcja remisji klinicznej i odpowiedzi na leczenie (odsetek pacjentów)</w:t>
      </w:r>
    </w:p>
    <w:p w14:paraId="4EDD9435" w14:textId="77777777" w:rsidR="00114A52" w:rsidRPr="008F328C" w:rsidRDefault="00114A52">
      <w:pPr>
        <w:pStyle w:val="a3"/>
        <w:jc w:val="center"/>
        <w:rPr>
          <w:b/>
          <w:lang w:val="pl-PL"/>
        </w:rPr>
      </w:pPr>
    </w:p>
    <w:p w14:paraId="7B851009" w14:textId="77777777" w:rsidR="002E5800" w:rsidRPr="008F328C" w:rsidRDefault="002E5800">
      <w:pPr>
        <w:spacing w:before="3" w:line="10" w:lineRule="exact"/>
        <w:rPr>
          <w:rFonts w:ascii="Times New Roman" w:hAnsi="Times New Roman" w:cs="Times New Roman"/>
          <w:sz w:val="4"/>
          <w:szCs w:val="4"/>
          <w:lang w:val="pl-PL"/>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2E5800" w:rsidRPr="00A5286D" w14:paraId="63E96115" w14:textId="77777777">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3AC52D4B" w14:textId="77777777" w:rsidR="002E5800" w:rsidRPr="008F328C" w:rsidRDefault="002E5800">
            <w:pPr>
              <w:rPr>
                <w:rFonts w:ascii="Times New Roman" w:hAnsi="Times New Roman" w:cs="Times New Roman"/>
                <w:lang w:val="pl-PL"/>
              </w:rPr>
            </w:pPr>
          </w:p>
        </w:tc>
        <w:tc>
          <w:tcPr>
            <w:tcW w:w="3779" w:type="dxa"/>
            <w:gridSpan w:val="3"/>
            <w:tcBorders>
              <w:top w:val="single" w:sz="5" w:space="0" w:color="000000"/>
              <w:left w:val="single" w:sz="5" w:space="0" w:color="000000"/>
              <w:bottom w:val="single" w:sz="5" w:space="0" w:color="000000"/>
              <w:right w:val="single" w:sz="5" w:space="0" w:color="000000"/>
            </w:tcBorders>
          </w:tcPr>
          <w:p w14:paraId="3967722F" w14:textId="77777777" w:rsidR="002E5800" w:rsidRPr="008F328C" w:rsidRDefault="000E0B7C">
            <w:pPr>
              <w:pStyle w:val="TableParagraph"/>
              <w:spacing w:before="39" w:line="240" w:lineRule="exact"/>
              <w:ind w:left="102" w:right="15"/>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 w ChL-C: pacjenci nieleczeni wcześniej infliksymabem</w:t>
            </w:r>
          </w:p>
        </w:tc>
        <w:tc>
          <w:tcPr>
            <w:tcW w:w="3402" w:type="dxa"/>
            <w:gridSpan w:val="2"/>
            <w:tcBorders>
              <w:top w:val="single" w:sz="5" w:space="0" w:color="000000"/>
              <w:left w:val="single" w:sz="5" w:space="0" w:color="000000"/>
              <w:bottom w:val="single" w:sz="5" w:space="0" w:color="000000"/>
              <w:right w:val="single" w:sz="5" w:space="0" w:color="000000"/>
            </w:tcBorders>
          </w:tcPr>
          <w:p w14:paraId="50944A0B" w14:textId="77777777" w:rsidR="002E5800" w:rsidRPr="008F328C" w:rsidRDefault="000E0B7C">
            <w:pPr>
              <w:pStyle w:val="TableParagraph"/>
              <w:spacing w:before="39"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II w ChL-C: pacjenci leczeni wcześniej infliksymabem</w:t>
            </w:r>
          </w:p>
        </w:tc>
      </w:tr>
      <w:tr w:rsidR="002E5800" w:rsidRPr="008F328C" w14:paraId="5A421D22" w14:textId="77777777">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0B3E61B6" w14:textId="77777777" w:rsidR="002E5800" w:rsidRPr="008F328C" w:rsidRDefault="002E5800">
            <w:pPr>
              <w:rPr>
                <w:rFonts w:ascii="Times New Roman" w:hAnsi="Times New Roman" w:cs="Times New Roman"/>
                <w:lang w:val="pl-PL"/>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3A4AE4CC" w14:textId="77777777" w:rsidR="00B224C1" w:rsidRPr="008F328C" w:rsidRDefault="000E0B7C">
            <w:pPr>
              <w:pStyle w:val="TableParagraph"/>
              <w:spacing w:before="24" w:line="268" w:lineRule="auto"/>
              <w:ind w:firstLineChars="50" w:firstLine="110"/>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733738FD" w14:textId="6B691B58" w:rsidR="002E5800" w:rsidRPr="008F328C" w:rsidRDefault="000E0B7C">
            <w:pPr>
              <w:pStyle w:val="TableParagraph"/>
              <w:spacing w:before="24" w:line="268" w:lineRule="auto"/>
              <w:ind w:firstLineChars="50" w:firstLine="11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289232C1" w14:textId="77777777" w:rsidR="002E5800" w:rsidRPr="008F328C" w:rsidRDefault="000E0B7C">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Adalimumab 80/40 mg </w:t>
            </w:r>
            <w:r w:rsidRPr="008F328C">
              <w:rPr>
                <w:rFonts w:ascii="Times New Roman" w:eastAsia="Times New Roman" w:hAnsi="Times New Roman" w:cs="Times New Roman"/>
                <w:b/>
                <w:bCs/>
                <w:lang w:val="pl-PL"/>
              </w:rPr>
              <w:br/>
              <w:t>N=75</w:t>
            </w:r>
          </w:p>
        </w:tc>
        <w:tc>
          <w:tcPr>
            <w:tcW w:w="1338" w:type="dxa"/>
            <w:tcBorders>
              <w:top w:val="single" w:sz="5" w:space="0" w:color="000000"/>
              <w:left w:val="single" w:sz="5" w:space="0" w:color="000000"/>
              <w:bottom w:val="single" w:sz="5" w:space="0" w:color="000000"/>
              <w:right w:val="single" w:sz="5" w:space="0" w:color="000000"/>
            </w:tcBorders>
            <w:vAlign w:val="center"/>
          </w:tcPr>
          <w:p w14:paraId="3F3486DF" w14:textId="77777777" w:rsidR="00B224C1" w:rsidRPr="008F328C" w:rsidRDefault="000E0B7C">
            <w:pPr>
              <w:pStyle w:val="TableParagraph"/>
              <w:spacing w:before="24" w:line="24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0BB1DEDF" w14:textId="72ABADB9" w:rsidR="002E5800" w:rsidRPr="008F328C" w:rsidRDefault="000E0B7C">
            <w:pPr>
              <w:pStyle w:val="TableParagraph"/>
              <w:spacing w:before="24" w:line="24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7DAD3413" w14:textId="77777777" w:rsidR="00B224C1" w:rsidRPr="008F328C" w:rsidRDefault="000E0B7C">
            <w:pPr>
              <w:pStyle w:val="TableParagraph"/>
              <w:spacing w:before="24" w:line="26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41BFD2CD" w14:textId="5E4E5203" w:rsidR="002E5800" w:rsidRPr="008F328C" w:rsidRDefault="000E0B7C">
            <w:pPr>
              <w:pStyle w:val="TableParagraph"/>
              <w:spacing w:before="24" w:line="26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793A08C9" w14:textId="77777777" w:rsidR="00B224C1" w:rsidRPr="008F328C" w:rsidRDefault="000E0B7C">
            <w:pPr>
              <w:pStyle w:val="TableParagraph"/>
              <w:spacing w:before="24" w:line="266" w:lineRule="auto"/>
              <w:ind w:hanging="4"/>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7706C861" w14:textId="0DCFD564" w:rsidR="002E5800" w:rsidRPr="008F328C" w:rsidRDefault="000E0B7C">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N=159</w:t>
            </w:r>
          </w:p>
        </w:tc>
      </w:tr>
      <w:tr w:rsidR="002E5800" w:rsidRPr="008F328C" w14:paraId="0DD45CB8" w14:textId="77777777">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356490C5" w14:textId="77777777" w:rsidR="002E5800" w:rsidRPr="008F328C" w:rsidRDefault="000E0B7C">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4. tydzień</w:t>
            </w:r>
          </w:p>
        </w:tc>
        <w:tc>
          <w:tcPr>
            <w:tcW w:w="1085" w:type="dxa"/>
            <w:tcBorders>
              <w:top w:val="single" w:sz="5" w:space="0" w:color="000000"/>
              <w:left w:val="single" w:sz="5" w:space="0" w:color="000000"/>
              <w:bottom w:val="single" w:sz="5" w:space="0" w:color="000000"/>
              <w:right w:val="single" w:sz="5" w:space="0" w:color="000000"/>
            </w:tcBorders>
          </w:tcPr>
          <w:p w14:paraId="6E12B339" w14:textId="77777777" w:rsidR="002E5800" w:rsidRPr="008F328C" w:rsidRDefault="002E5800">
            <w:pPr>
              <w:rPr>
                <w:rFonts w:ascii="Times New Roman" w:hAnsi="Times New Roman" w:cs="Times New Roman"/>
                <w:lang w:val="pl-PL"/>
              </w:rPr>
            </w:pPr>
          </w:p>
        </w:tc>
        <w:tc>
          <w:tcPr>
            <w:tcW w:w="1356" w:type="dxa"/>
            <w:tcBorders>
              <w:top w:val="single" w:sz="5" w:space="0" w:color="000000"/>
              <w:left w:val="single" w:sz="5" w:space="0" w:color="000000"/>
              <w:bottom w:val="single" w:sz="5" w:space="0" w:color="000000"/>
              <w:right w:val="single" w:sz="5" w:space="0" w:color="000000"/>
            </w:tcBorders>
          </w:tcPr>
          <w:p w14:paraId="5E7293DB" w14:textId="77777777" w:rsidR="002E5800" w:rsidRPr="008F328C" w:rsidRDefault="002E5800">
            <w:pPr>
              <w:rPr>
                <w:rFonts w:ascii="Times New Roman" w:hAnsi="Times New Roman" w:cs="Times New Roman"/>
                <w:lang w:val="pl-PL"/>
              </w:rPr>
            </w:pPr>
          </w:p>
        </w:tc>
        <w:tc>
          <w:tcPr>
            <w:tcW w:w="1338" w:type="dxa"/>
            <w:tcBorders>
              <w:top w:val="single" w:sz="5" w:space="0" w:color="000000"/>
              <w:left w:val="single" w:sz="5" w:space="0" w:color="000000"/>
              <w:bottom w:val="single" w:sz="5" w:space="0" w:color="000000"/>
              <w:right w:val="single" w:sz="5" w:space="0" w:color="000000"/>
            </w:tcBorders>
          </w:tcPr>
          <w:p w14:paraId="6C9F2607" w14:textId="77777777" w:rsidR="002E5800" w:rsidRPr="008F328C" w:rsidRDefault="002E5800">
            <w:pPr>
              <w:rPr>
                <w:rFonts w:ascii="Times New Roman" w:hAnsi="Times New Roman" w:cs="Times New Roman"/>
                <w:lang w:val="pl-PL"/>
              </w:rPr>
            </w:pPr>
          </w:p>
        </w:tc>
        <w:tc>
          <w:tcPr>
            <w:tcW w:w="1559" w:type="dxa"/>
            <w:tcBorders>
              <w:top w:val="single" w:sz="5" w:space="0" w:color="000000"/>
              <w:left w:val="single" w:sz="5" w:space="0" w:color="000000"/>
              <w:bottom w:val="single" w:sz="5" w:space="0" w:color="000000"/>
              <w:right w:val="single" w:sz="5" w:space="0" w:color="000000"/>
            </w:tcBorders>
          </w:tcPr>
          <w:p w14:paraId="3082C2D8" w14:textId="77777777" w:rsidR="002E5800" w:rsidRPr="008F328C" w:rsidRDefault="002E5800">
            <w:pPr>
              <w:rPr>
                <w:rFonts w:ascii="Times New Roman" w:hAnsi="Times New Roman" w:cs="Times New Roman"/>
                <w:lang w:val="pl-PL"/>
              </w:rPr>
            </w:pPr>
          </w:p>
        </w:tc>
        <w:tc>
          <w:tcPr>
            <w:tcW w:w="1843" w:type="dxa"/>
            <w:tcBorders>
              <w:top w:val="single" w:sz="5" w:space="0" w:color="000000"/>
              <w:left w:val="single" w:sz="5" w:space="0" w:color="000000"/>
              <w:bottom w:val="single" w:sz="5" w:space="0" w:color="000000"/>
              <w:right w:val="single" w:sz="5" w:space="0" w:color="000000"/>
            </w:tcBorders>
          </w:tcPr>
          <w:p w14:paraId="2379AC51" w14:textId="77777777" w:rsidR="002E5800" w:rsidRPr="008F328C" w:rsidRDefault="002E5800">
            <w:pPr>
              <w:rPr>
                <w:rFonts w:ascii="Times New Roman" w:hAnsi="Times New Roman" w:cs="Times New Roman"/>
                <w:lang w:val="pl-PL"/>
              </w:rPr>
            </w:pPr>
          </w:p>
        </w:tc>
      </w:tr>
      <w:tr w:rsidR="002E5800" w:rsidRPr="008F328C" w14:paraId="5D75C048" w14:textId="77777777">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26F5C8A6" w14:textId="77777777" w:rsidR="002E5800" w:rsidRPr="008F328C" w:rsidRDefault="000E0B7C">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085" w:type="dxa"/>
            <w:tcBorders>
              <w:top w:val="single" w:sz="5" w:space="0" w:color="000000"/>
              <w:left w:val="single" w:sz="5" w:space="0" w:color="000000"/>
              <w:bottom w:val="single" w:sz="5" w:space="0" w:color="000000"/>
              <w:right w:val="single" w:sz="5" w:space="0" w:color="000000"/>
            </w:tcBorders>
          </w:tcPr>
          <w:p w14:paraId="3E1F5EEC" w14:textId="77777777" w:rsidR="002E5800" w:rsidRPr="008F328C" w:rsidRDefault="000E0B7C">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356" w:type="dxa"/>
            <w:tcBorders>
              <w:top w:val="single" w:sz="5" w:space="0" w:color="000000"/>
              <w:left w:val="single" w:sz="5" w:space="0" w:color="000000"/>
              <w:bottom w:val="single" w:sz="5" w:space="0" w:color="000000"/>
              <w:right w:val="single" w:sz="5" w:space="0" w:color="000000"/>
            </w:tcBorders>
          </w:tcPr>
          <w:p w14:paraId="54895CAC" w14:textId="77777777" w:rsidR="002E5800" w:rsidRPr="008F328C" w:rsidRDefault="000E0B7C">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38" w:type="dxa"/>
            <w:tcBorders>
              <w:top w:val="single" w:sz="5" w:space="0" w:color="000000"/>
              <w:left w:val="single" w:sz="5" w:space="0" w:color="000000"/>
              <w:bottom w:val="single" w:sz="5" w:space="0" w:color="000000"/>
              <w:right w:val="single" w:sz="5" w:space="0" w:color="000000"/>
            </w:tcBorders>
          </w:tcPr>
          <w:p w14:paraId="34B523A1" w14:textId="77777777" w:rsidR="002E5800" w:rsidRPr="008F328C" w:rsidRDefault="000E0B7C">
            <w:pPr>
              <w:pStyle w:val="TableParagraph"/>
              <w:spacing w:before="18"/>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36%</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2424959B" w14:textId="77777777" w:rsidR="002E5800" w:rsidRPr="008F328C" w:rsidRDefault="000E0B7C">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w:t>
            </w:r>
          </w:p>
        </w:tc>
        <w:tc>
          <w:tcPr>
            <w:tcW w:w="1843" w:type="dxa"/>
            <w:tcBorders>
              <w:top w:val="single" w:sz="5" w:space="0" w:color="000000"/>
              <w:left w:val="single" w:sz="5" w:space="0" w:color="000000"/>
              <w:bottom w:val="single" w:sz="5" w:space="0" w:color="000000"/>
              <w:right w:val="single" w:sz="5" w:space="0" w:color="000000"/>
            </w:tcBorders>
          </w:tcPr>
          <w:p w14:paraId="2A8C250A" w14:textId="77777777" w:rsidR="002E5800" w:rsidRPr="008F328C" w:rsidRDefault="000E0B7C">
            <w:pPr>
              <w:pStyle w:val="TableParagraph"/>
              <w:spacing w:before="18"/>
              <w:ind w:left="644" w:right="644"/>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21%</w:t>
            </w:r>
            <w:r w:rsidRPr="008F328C">
              <w:rPr>
                <w:rFonts w:ascii="Times New Roman" w:eastAsia="Times New Roman" w:hAnsi="Times New Roman" w:cs="Times New Roman"/>
                <w:sz w:val="14"/>
                <w:szCs w:val="14"/>
                <w:lang w:val="pl-PL"/>
              </w:rPr>
              <w:t>*</w:t>
            </w:r>
          </w:p>
        </w:tc>
      </w:tr>
      <w:tr w:rsidR="002E5800" w:rsidRPr="008F328C" w14:paraId="0987ACAF" w14:textId="77777777">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095E6739" w14:textId="77777777" w:rsidR="002E5800" w:rsidRPr="008F328C" w:rsidRDefault="000E0B7C">
            <w:pPr>
              <w:pStyle w:val="TableParagraph"/>
              <w:spacing w:before="40"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085" w:type="dxa"/>
            <w:tcBorders>
              <w:top w:val="single" w:sz="5" w:space="0" w:color="000000"/>
              <w:left w:val="single" w:sz="5" w:space="0" w:color="000000"/>
              <w:bottom w:val="single" w:sz="5" w:space="0" w:color="000000"/>
              <w:right w:val="single" w:sz="5" w:space="0" w:color="000000"/>
            </w:tcBorders>
          </w:tcPr>
          <w:p w14:paraId="05AA99C0" w14:textId="77777777" w:rsidR="002E5800" w:rsidRPr="008F328C" w:rsidRDefault="000E0B7C">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56" w:type="dxa"/>
            <w:tcBorders>
              <w:top w:val="single" w:sz="5" w:space="0" w:color="000000"/>
              <w:left w:val="single" w:sz="5" w:space="0" w:color="000000"/>
              <w:bottom w:val="single" w:sz="5" w:space="0" w:color="000000"/>
              <w:right w:val="single" w:sz="5" w:space="0" w:color="000000"/>
            </w:tcBorders>
          </w:tcPr>
          <w:p w14:paraId="7CD91C62" w14:textId="77777777" w:rsidR="002E5800" w:rsidRPr="008F328C" w:rsidRDefault="000E0B7C">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37%</w:t>
            </w:r>
          </w:p>
        </w:tc>
        <w:tc>
          <w:tcPr>
            <w:tcW w:w="1338" w:type="dxa"/>
            <w:tcBorders>
              <w:top w:val="single" w:sz="5" w:space="0" w:color="000000"/>
              <w:left w:val="single" w:sz="5" w:space="0" w:color="000000"/>
              <w:bottom w:val="single" w:sz="5" w:space="0" w:color="000000"/>
              <w:right w:val="single" w:sz="5" w:space="0" w:color="000000"/>
            </w:tcBorders>
          </w:tcPr>
          <w:p w14:paraId="3022E04D" w14:textId="77777777" w:rsidR="002E5800" w:rsidRPr="008F328C" w:rsidRDefault="000E0B7C">
            <w:pPr>
              <w:pStyle w:val="TableParagraph"/>
              <w:spacing w:before="18"/>
              <w:ind w:left="31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49%</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4503B7D3" w14:textId="77777777" w:rsidR="002E5800" w:rsidRPr="008F328C" w:rsidRDefault="000E0B7C">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843" w:type="dxa"/>
            <w:tcBorders>
              <w:top w:val="single" w:sz="5" w:space="0" w:color="000000"/>
              <w:left w:val="single" w:sz="5" w:space="0" w:color="000000"/>
              <w:bottom w:val="single" w:sz="5" w:space="0" w:color="000000"/>
              <w:right w:val="single" w:sz="5" w:space="0" w:color="000000"/>
            </w:tcBorders>
          </w:tcPr>
          <w:p w14:paraId="3AAFE8ED" w14:textId="77777777" w:rsidR="002E5800" w:rsidRPr="008F328C" w:rsidRDefault="000E0B7C">
            <w:pPr>
              <w:pStyle w:val="TableParagraph"/>
              <w:spacing w:before="18"/>
              <w:ind w:left="609" w:right="616"/>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38%</w:t>
            </w:r>
            <w:r w:rsidRPr="008F328C">
              <w:rPr>
                <w:rFonts w:ascii="Times New Roman" w:eastAsia="Times New Roman" w:hAnsi="Times New Roman" w:cs="Times New Roman"/>
                <w:sz w:val="14"/>
                <w:szCs w:val="14"/>
                <w:lang w:val="pl-PL"/>
              </w:rPr>
              <w:t>**</w:t>
            </w:r>
          </w:p>
        </w:tc>
      </w:tr>
    </w:tbl>
    <w:p w14:paraId="34F86E39" w14:textId="77777777" w:rsidR="002E5800" w:rsidRPr="008F328C" w:rsidRDefault="000E0B7C">
      <w:pPr>
        <w:pStyle w:val="a3"/>
        <w:rPr>
          <w:lang w:val="pl-PL"/>
        </w:rPr>
      </w:pPr>
      <w:r w:rsidRPr="008F328C">
        <w:rPr>
          <w:rFonts w:eastAsia="Times New Roman"/>
          <w:lang w:val="pl-PL"/>
        </w:rPr>
        <w:t>Wszystkie wartości p są wynikiem porównywania parami odsetków dla adalimumabu w porównaniu do placebo.</w:t>
      </w:r>
    </w:p>
    <w:p w14:paraId="39A94079" w14:textId="77777777" w:rsidR="002E5800" w:rsidRPr="008F328C" w:rsidRDefault="000E0B7C">
      <w:pPr>
        <w:pStyle w:val="a3"/>
        <w:rPr>
          <w:lang w:val="pl-PL"/>
        </w:rPr>
      </w:pPr>
      <w:r w:rsidRPr="008F328C">
        <w:rPr>
          <w:rFonts w:eastAsia="Times New Roman"/>
          <w:position w:val="8"/>
          <w:sz w:val="14"/>
          <w:szCs w:val="14"/>
          <w:lang w:val="pl-PL"/>
        </w:rPr>
        <w:t>*</w:t>
      </w:r>
      <w:r w:rsidRPr="008F328C">
        <w:rPr>
          <w:rFonts w:eastAsia="Times New Roman"/>
          <w:position w:val="8"/>
          <w:lang w:val="pl-PL"/>
        </w:rPr>
        <w:t>p</w:t>
      </w:r>
      <w:r w:rsidR="00EF1306" w:rsidRPr="008F328C">
        <w:rPr>
          <w:rFonts w:eastAsia="Times New Roman"/>
          <w:position w:val="8"/>
          <w:lang w:val="pl-PL"/>
        </w:rPr>
        <w:t xml:space="preserve"> </w:t>
      </w:r>
      <w:r w:rsidRPr="008F328C">
        <w:rPr>
          <w:rFonts w:eastAsia="Times New Roman"/>
          <w:position w:val="8"/>
          <w:lang w:val="pl-PL"/>
        </w:rPr>
        <w:t>&lt; 0,001</w:t>
      </w:r>
    </w:p>
    <w:p w14:paraId="2D1B2B8A" w14:textId="16690631" w:rsidR="002E5800" w:rsidRPr="008F328C" w:rsidRDefault="000E0B7C">
      <w:pPr>
        <w:tabs>
          <w:tab w:val="left" w:pos="506"/>
        </w:tabs>
        <w:spacing w:before="22"/>
        <w:rPr>
          <w:rFonts w:ascii="Times New Roman" w:eastAsia="Times New Roman" w:hAnsi="Times New Roman" w:cs="Times New Roman"/>
          <w:lang w:val="pl-PL"/>
        </w:rPr>
      </w:pPr>
      <w:r w:rsidRPr="008F328C">
        <w:rPr>
          <w:rFonts w:ascii="Times New Roman" w:eastAsia="Times New Roman" w:hAnsi="Times New Roman" w:cs="Times New Roman"/>
          <w:position w:val="8"/>
          <w:sz w:val="14"/>
          <w:szCs w:val="14"/>
          <w:lang w:val="pl-PL"/>
        </w:rPr>
        <w:t>**</w:t>
      </w:r>
      <w:r w:rsidRPr="008F328C">
        <w:rPr>
          <w:rFonts w:ascii="Times New Roman" w:eastAsia="Times New Roman" w:hAnsi="Times New Roman" w:cs="Times New Roman"/>
          <w:position w:val="8"/>
          <w:lang w:val="pl-PL"/>
        </w:rPr>
        <w:t>p</w:t>
      </w:r>
      <w:r w:rsidR="00EF1306" w:rsidRPr="008F328C">
        <w:rPr>
          <w:rFonts w:ascii="Times New Roman" w:eastAsia="Times New Roman" w:hAnsi="Times New Roman" w:cs="Times New Roman"/>
          <w:position w:val="8"/>
          <w:lang w:val="pl-PL"/>
        </w:rPr>
        <w:t xml:space="preserve"> </w:t>
      </w:r>
      <w:r w:rsidRPr="008F328C">
        <w:rPr>
          <w:rFonts w:ascii="Times New Roman" w:eastAsia="Times New Roman" w:hAnsi="Times New Roman" w:cs="Times New Roman"/>
          <w:position w:val="8"/>
          <w:lang w:val="pl-PL"/>
        </w:rPr>
        <w:t>&lt; 0,01</w:t>
      </w:r>
    </w:p>
    <w:p w14:paraId="06620ED9" w14:textId="77777777" w:rsidR="002E5800" w:rsidRPr="008F328C" w:rsidRDefault="002E5800">
      <w:pPr>
        <w:spacing w:before="15" w:line="200" w:lineRule="exact"/>
        <w:rPr>
          <w:rFonts w:ascii="Times New Roman" w:hAnsi="Times New Roman" w:cs="Times New Roman"/>
          <w:sz w:val="20"/>
          <w:szCs w:val="20"/>
          <w:lang w:val="pl-PL"/>
        </w:rPr>
      </w:pPr>
    </w:p>
    <w:p w14:paraId="7AE059C5" w14:textId="77777777" w:rsidR="002E5800" w:rsidRPr="008F328C" w:rsidRDefault="000E0B7C">
      <w:pPr>
        <w:pStyle w:val="a3"/>
        <w:rPr>
          <w:lang w:val="pl-PL"/>
        </w:rPr>
      </w:pPr>
      <w:r w:rsidRPr="008F328C">
        <w:rPr>
          <w:rFonts w:eastAsia="Times New Roman"/>
          <w:lang w:val="pl-PL"/>
        </w:rPr>
        <w:t>Podobne odsetki remisji dla schematów indukcji z zastosowaniem dawek 160/80 mg i 80/40 mg zaobserwowano przed upływem 8 tygodni, a zdarzenia niepożądane stwierdzano częściej w grupie otrzymującej dawki 160/80 mg.</w:t>
      </w:r>
    </w:p>
    <w:p w14:paraId="0BE0CA96" w14:textId="77777777" w:rsidR="002E5800" w:rsidRPr="008F328C" w:rsidRDefault="002E5800">
      <w:pPr>
        <w:spacing w:before="11" w:line="240" w:lineRule="exact"/>
        <w:rPr>
          <w:rFonts w:ascii="Times New Roman" w:hAnsi="Times New Roman" w:cs="Times New Roman"/>
          <w:sz w:val="24"/>
          <w:szCs w:val="24"/>
          <w:lang w:val="pl-PL"/>
        </w:rPr>
      </w:pPr>
    </w:p>
    <w:p w14:paraId="49C8A53F" w14:textId="473E9F93" w:rsidR="002E5800" w:rsidRPr="008F328C" w:rsidRDefault="000E0B7C">
      <w:pPr>
        <w:pStyle w:val="a3"/>
        <w:rPr>
          <w:lang w:val="pl-PL"/>
        </w:rPr>
      </w:pPr>
      <w:r w:rsidRPr="008F328C">
        <w:rPr>
          <w:rFonts w:eastAsia="Times New Roman"/>
          <w:lang w:val="pl-PL"/>
        </w:rPr>
        <w:t xml:space="preserve">W badaniu III w ChL-C, w 4. tygodniu odpowiedź kliniczna wystąpiła u 58% (499/854) pacjentów, których oceniono w analizie pierwotnej. Spośród pacjentów wykazujących odpowiedź kliniczną w 4. tygodniu u 48% zastosowano wcześniej inny lek z grupy antagonistów TNF. Odsetki utrzymywania się remisji i odpowiedzi na leczenie przedstawiono w Tabeli </w:t>
      </w:r>
      <w:r w:rsidR="00FD79D2" w:rsidRPr="008F328C">
        <w:rPr>
          <w:rFonts w:eastAsia="Times New Roman"/>
          <w:lang w:val="pl-PL"/>
        </w:rPr>
        <w:t>22</w:t>
      </w:r>
      <w:r w:rsidRPr="008F328C">
        <w:rPr>
          <w:rFonts w:eastAsia="Times New Roman"/>
          <w:lang w:val="pl-PL"/>
        </w:rPr>
        <w:t>. Wyniki remisji klinicznej utrzymywały się na względnie stałym poziomie niezależnie od uprzednio zastosowanego leku z grupy antagonistów TNF.</w:t>
      </w:r>
    </w:p>
    <w:p w14:paraId="31784A0A" w14:textId="77777777" w:rsidR="002E5800" w:rsidRPr="008F328C" w:rsidRDefault="002E5800">
      <w:pPr>
        <w:spacing w:before="13" w:line="240" w:lineRule="exact"/>
        <w:rPr>
          <w:rFonts w:ascii="Times New Roman" w:hAnsi="Times New Roman" w:cs="Times New Roman"/>
          <w:sz w:val="24"/>
          <w:szCs w:val="24"/>
          <w:lang w:val="pl-PL"/>
        </w:rPr>
      </w:pPr>
    </w:p>
    <w:p w14:paraId="6EBD278A" w14:textId="77777777" w:rsidR="002E5800" w:rsidRPr="008F328C" w:rsidRDefault="000E0B7C">
      <w:pPr>
        <w:pStyle w:val="a3"/>
        <w:rPr>
          <w:rFonts w:eastAsia="Times New Roman"/>
          <w:lang w:val="pl-PL"/>
        </w:rPr>
      </w:pPr>
      <w:r w:rsidRPr="008F328C">
        <w:rPr>
          <w:rFonts w:eastAsia="Times New Roman"/>
          <w:lang w:val="pl-PL"/>
        </w:rPr>
        <w:t>W 56. tygodniu liczba hospitalizacji w związku z chorobą oraz liczba zabiegów chirurgicznych zmniejszyła się istotnie statystycznie w grupie leczonej adalimumabem w porównaniu do placebo.</w:t>
      </w:r>
    </w:p>
    <w:p w14:paraId="69A2C507" w14:textId="77777777" w:rsidR="002E5800" w:rsidRPr="008F328C" w:rsidRDefault="002E5800">
      <w:pPr>
        <w:pStyle w:val="a3"/>
        <w:rPr>
          <w:lang w:val="pl-PL"/>
        </w:rPr>
      </w:pPr>
    </w:p>
    <w:p w14:paraId="4A484ACF"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246D8CF7" w14:textId="0660CA94" w:rsidR="002E5800" w:rsidRPr="008F328C" w:rsidRDefault="000E0B7C">
      <w:pPr>
        <w:pStyle w:val="a3"/>
        <w:jc w:val="center"/>
        <w:rPr>
          <w:b/>
          <w:lang w:val="pl-PL"/>
        </w:rPr>
      </w:pPr>
      <w:r w:rsidRPr="008F328C">
        <w:rPr>
          <w:rFonts w:eastAsia="Times New Roman"/>
          <w:b/>
          <w:bCs/>
          <w:lang w:val="pl-PL"/>
        </w:rPr>
        <w:lastRenderedPageBreak/>
        <w:t xml:space="preserve">Tabela </w:t>
      </w:r>
      <w:r w:rsidR="00FD79D2" w:rsidRPr="008F328C">
        <w:rPr>
          <w:rFonts w:eastAsia="Times New Roman"/>
          <w:b/>
          <w:bCs/>
          <w:lang w:val="pl-PL"/>
        </w:rPr>
        <w:t>22</w:t>
      </w:r>
    </w:p>
    <w:p w14:paraId="19C59708" w14:textId="77777777" w:rsidR="002E5800" w:rsidRDefault="000E0B7C">
      <w:pPr>
        <w:pStyle w:val="a3"/>
        <w:jc w:val="center"/>
        <w:rPr>
          <w:rFonts w:eastAsia="Times New Roman"/>
          <w:b/>
          <w:bCs/>
          <w:lang w:val="pl-PL"/>
        </w:rPr>
      </w:pPr>
      <w:r w:rsidRPr="008F328C">
        <w:rPr>
          <w:rFonts w:eastAsia="Times New Roman"/>
          <w:b/>
          <w:bCs/>
          <w:lang w:val="pl-PL"/>
        </w:rPr>
        <w:t>Utrzymywanie się remisji klinicznej i odpowiedzi na leczenie (odsetek pacjentów)</w:t>
      </w:r>
    </w:p>
    <w:p w14:paraId="653FE582" w14:textId="77777777" w:rsidR="00114A52" w:rsidRPr="008F328C" w:rsidRDefault="00114A52">
      <w:pPr>
        <w:pStyle w:val="a3"/>
        <w:jc w:val="center"/>
        <w:rPr>
          <w:b/>
          <w:lang w:val="pl-PL"/>
        </w:rPr>
      </w:pPr>
    </w:p>
    <w:p w14:paraId="4C3FC354" w14:textId="77777777" w:rsidR="002E5800" w:rsidRPr="008F328C" w:rsidRDefault="002E5800">
      <w:pPr>
        <w:spacing w:before="6" w:line="10" w:lineRule="exact"/>
        <w:rPr>
          <w:rFonts w:ascii="Times New Roman" w:hAnsi="Times New Roman" w:cs="Times New Roman"/>
          <w:sz w:val="4"/>
          <w:szCs w:val="4"/>
          <w:lang w:val="pl-PL"/>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2E5800" w:rsidRPr="008F328C" w14:paraId="7364C05F"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45355AE9" w14:textId="77777777" w:rsidR="002E5800" w:rsidRPr="008F328C" w:rsidRDefault="002E5800">
            <w:pPr>
              <w:jc w:val="center"/>
              <w:rPr>
                <w:rFonts w:ascii="Times New Roman" w:hAnsi="Times New Roman" w:cs="Times New Roman"/>
                <w:lang w:val="pl-PL"/>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2AED7DFA"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7406B7C9" w14:textId="77777777" w:rsidR="002E5800" w:rsidRPr="008F328C" w:rsidRDefault="000E0B7C">
            <w:pPr>
              <w:pStyle w:val="TableParagraph"/>
              <w:spacing w:line="240" w:lineRule="exact"/>
              <w:ind w:firstLine="115"/>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 co drugi tydzień</w:t>
            </w:r>
          </w:p>
        </w:tc>
        <w:tc>
          <w:tcPr>
            <w:tcW w:w="2150" w:type="dxa"/>
            <w:tcBorders>
              <w:top w:val="single" w:sz="5" w:space="0" w:color="000000"/>
              <w:left w:val="single" w:sz="5" w:space="0" w:color="000000"/>
              <w:bottom w:val="single" w:sz="5" w:space="0" w:color="000000"/>
              <w:right w:val="single" w:sz="5" w:space="0" w:color="000000"/>
            </w:tcBorders>
            <w:vAlign w:val="center"/>
          </w:tcPr>
          <w:p w14:paraId="40C57D4D" w14:textId="0EB7AAFF" w:rsidR="002E5800" w:rsidRPr="008F328C" w:rsidRDefault="000E0B7C">
            <w:pPr>
              <w:pStyle w:val="TableParagraph"/>
              <w:spacing w:line="240" w:lineRule="exact"/>
              <w:ind w:hanging="16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w:t>
            </w:r>
            <w:r w:rsidR="00FD79D2" w:rsidRPr="008F328C">
              <w:rPr>
                <w:rFonts w:ascii="Times New Roman" w:eastAsia="Times New Roman" w:hAnsi="Times New Roman" w:cs="Times New Roman"/>
                <w:b/>
                <w:bCs/>
                <w:lang w:val="pl-PL"/>
              </w:rPr>
              <w:br/>
            </w:r>
            <w:r w:rsidRPr="008F328C">
              <w:rPr>
                <w:rFonts w:ascii="Times New Roman" w:eastAsia="Times New Roman" w:hAnsi="Times New Roman" w:cs="Times New Roman"/>
                <w:b/>
                <w:bCs/>
                <w:lang w:val="pl-PL"/>
              </w:rPr>
              <w:t xml:space="preserve"> co tydzień</w:t>
            </w:r>
          </w:p>
        </w:tc>
      </w:tr>
      <w:tr w:rsidR="002E5800" w:rsidRPr="008F328C" w14:paraId="396D58FD"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7B34EEB3" w14:textId="03DEA605"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38B64256"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31BBA1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19BE6D21"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2E5800" w:rsidRPr="008F328C" w14:paraId="0AAE71DF"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32FBBF1F" w14:textId="77777777"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7EDFE099"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6DB853B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536FFFA0"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47%*</w:t>
            </w:r>
          </w:p>
        </w:tc>
      </w:tr>
      <w:tr w:rsidR="002E5800" w:rsidRPr="008F328C" w14:paraId="37F5B609"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61533C32" w14:textId="77777777"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1392F3E"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19D638A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4A479A42"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r>
      <w:tr w:rsidR="002E5800" w:rsidRPr="008F328C" w14:paraId="2322E6BB"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68554BDD" w14:textId="6EAD679A" w:rsidR="002E5800" w:rsidRPr="008F328C" w:rsidRDefault="000E0B7C" w:rsidP="0008144B">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Pacjenci w remisji bez przyjmowania steroidów przez </w:t>
            </w:r>
            <w:r w:rsidR="00B224C1" w:rsidRPr="008F328C">
              <w:rPr>
                <w:rFonts w:ascii="Times New Roman" w:eastAsia="Times New Roman" w:hAnsi="Times New Roman" w:cs="Times New Roman"/>
                <w:spacing w:val="-1"/>
                <w:lang w:val="pl-PL"/>
              </w:rPr>
              <w:t>≥</w:t>
            </w:r>
            <w:r w:rsidRPr="008F328C">
              <w:rPr>
                <w:rFonts w:ascii="Times New Roman" w:eastAsia="Times New Roman" w:hAnsi="Times New Roman" w:cs="Times New Roman"/>
                <w:spacing w:val="-1"/>
                <w:lang w:val="pl-PL"/>
              </w:rPr>
              <w:t xml:space="preserve">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2B4C39E6"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655F38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A6BC2F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15% (11/74)**</w:t>
            </w:r>
          </w:p>
        </w:tc>
      </w:tr>
      <w:tr w:rsidR="002E5800" w:rsidRPr="008F328C" w14:paraId="070F65D0"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0CFA507B" w14:textId="77777777"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56.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79EE292A"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0AE3016"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75779155"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2E5800" w:rsidRPr="008F328C" w14:paraId="72D8334C"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74C1A0D2" w14:textId="77777777"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43438456"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1038AE63"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6986C8F4"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r>
      <w:tr w:rsidR="002E5800" w:rsidRPr="008F328C" w14:paraId="74CE47C9"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6B34D1B5" w14:textId="77777777" w:rsidR="002E5800" w:rsidRPr="008F328C" w:rsidRDefault="000E0B7C" w:rsidP="0008144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645E0A8E"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06C7E8E5"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3E3E3D9B"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48%*</w:t>
            </w:r>
          </w:p>
        </w:tc>
      </w:tr>
      <w:tr w:rsidR="002E5800" w:rsidRPr="008F328C" w14:paraId="53BF95E6" w14:textId="77777777" w:rsidTr="0008144B">
        <w:tc>
          <w:tcPr>
            <w:tcW w:w="3467" w:type="dxa"/>
            <w:tcBorders>
              <w:top w:val="single" w:sz="5" w:space="0" w:color="000000"/>
              <w:left w:val="single" w:sz="5" w:space="0" w:color="000000"/>
              <w:bottom w:val="single" w:sz="5" w:space="0" w:color="000000"/>
              <w:right w:val="single" w:sz="5" w:space="0" w:color="000000"/>
            </w:tcBorders>
            <w:vAlign w:val="center"/>
          </w:tcPr>
          <w:p w14:paraId="28A4DA1D" w14:textId="0D6C6959" w:rsidR="002E5800" w:rsidRPr="008F328C" w:rsidRDefault="000E0B7C" w:rsidP="0008144B">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Pacjenci w remisji bez przyjmowania steroidów przez </w:t>
            </w:r>
            <w:r w:rsidR="00B224C1" w:rsidRPr="008F328C">
              <w:rPr>
                <w:rFonts w:ascii="Times New Roman" w:eastAsia="Times New Roman" w:hAnsi="Times New Roman" w:cs="Times New Roman"/>
                <w:spacing w:val="-1"/>
                <w:lang w:val="pl-PL"/>
              </w:rPr>
              <w:t>≥</w:t>
            </w:r>
            <w:r w:rsidRPr="008F328C">
              <w:rPr>
                <w:rFonts w:ascii="Times New Roman" w:eastAsia="Times New Roman" w:hAnsi="Times New Roman" w:cs="Times New Roman"/>
                <w:spacing w:val="-1"/>
                <w:lang w:val="pl-PL"/>
              </w:rPr>
              <w:t xml:space="preserve">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57505A2F"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40A09A23"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6C45FB1E" w14:textId="77777777" w:rsidR="002E5800" w:rsidRPr="008F328C" w:rsidRDefault="000E0B7C">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20% (15/74)**</w:t>
            </w:r>
          </w:p>
        </w:tc>
      </w:tr>
    </w:tbl>
    <w:p w14:paraId="77E676E3" w14:textId="77777777" w:rsidR="002E5800" w:rsidRPr="008F328C" w:rsidRDefault="000E0B7C">
      <w:pPr>
        <w:pStyle w:val="a3"/>
        <w:rPr>
          <w:lang w:val="pl-PL"/>
        </w:rPr>
      </w:pPr>
      <w:r w:rsidRPr="008F328C">
        <w:rPr>
          <w:rFonts w:eastAsia="Times New Roman"/>
          <w:lang w:val="pl-PL"/>
        </w:rPr>
        <w:t>*p &lt; 0,001 dla adalimumabu w porównaniu do placebo, porównanie parami odsetków</w:t>
      </w:r>
    </w:p>
    <w:p w14:paraId="5F6BD69A" w14:textId="77777777" w:rsidR="002E5800" w:rsidRPr="008F328C" w:rsidRDefault="000E0B7C">
      <w:pPr>
        <w:pStyle w:val="a3"/>
        <w:rPr>
          <w:lang w:val="pl-PL"/>
        </w:rPr>
      </w:pPr>
      <w:r w:rsidRPr="008F328C">
        <w:rPr>
          <w:rFonts w:eastAsia="Times New Roman"/>
          <w:lang w:val="pl-PL"/>
        </w:rPr>
        <w:t>**p &lt; 0,02 dla adalimumabu w porównaniu do placebo, porównanie parami odsetków</w:t>
      </w:r>
    </w:p>
    <w:p w14:paraId="4714C0C4" w14:textId="0CFA7673" w:rsidR="002E5800" w:rsidRPr="008F328C" w:rsidRDefault="000E0B7C">
      <w:pPr>
        <w:pStyle w:val="a3"/>
        <w:rPr>
          <w:lang w:val="pl-PL"/>
        </w:rPr>
      </w:pPr>
      <w:r w:rsidRPr="008F328C">
        <w:rPr>
          <w:rFonts w:eastAsia="Times New Roman"/>
          <w:position w:val="8"/>
          <w:sz w:val="14"/>
          <w:szCs w:val="14"/>
          <w:lang w:val="pl-PL"/>
        </w:rPr>
        <w:t xml:space="preserve">a </w:t>
      </w:r>
      <w:r w:rsidRPr="008F328C">
        <w:rPr>
          <w:rFonts w:eastAsia="Times New Roman"/>
          <w:position w:val="8"/>
          <w:lang w:val="pl-PL"/>
        </w:rPr>
        <w:t>pacjen</w:t>
      </w:r>
      <w:r w:rsidR="00294C67" w:rsidRPr="008F328C">
        <w:rPr>
          <w:rFonts w:eastAsia="Times New Roman"/>
          <w:position w:val="8"/>
          <w:lang w:val="pl-PL"/>
        </w:rPr>
        <w:t>ci</w:t>
      </w:r>
      <w:r w:rsidRPr="008F328C">
        <w:rPr>
          <w:rFonts w:eastAsia="Times New Roman"/>
          <w:position w:val="8"/>
          <w:lang w:val="pl-PL"/>
        </w:rPr>
        <w:t xml:space="preserve"> przyjmujący początkowo kortykosteroidy.</w:t>
      </w:r>
    </w:p>
    <w:p w14:paraId="0233EB7C" w14:textId="77777777" w:rsidR="002E5800" w:rsidRPr="008F328C" w:rsidRDefault="002E5800">
      <w:pPr>
        <w:pStyle w:val="a3"/>
        <w:rPr>
          <w:lang w:val="pl-PL"/>
        </w:rPr>
      </w:pPr>
    </w:p>
    <w:p w14:paraId="1CDDA414" w14:textId="77777777" w:rsidR="002E5800" w:rsidRPr="008F328C" w:rsidRDefault="000E0B7C">
      <w:pPr>
        <w:pStyle w:val="a3"/>
        <w:rPr>
          <w:lang w:val="pl-PL"/>
        </w:rPr>
      </w:pPr>
      <w:r w:rsidRPr="008F328C">
        <w:rPr>
          <w:rFonts w:eastAsia="Times New Roman"/>
          <w:spacing w:val="1"/>
          <w:lang w:val="pl-PL"/>
        </w:rPr>
        <w:t>Spośród pacjentów, którzy nie odpowiedzieli na leczenie w 4. tygodniu, przed upływem 12. tygodnia na leczenie odpowiedziało 43% pacjentów otrzymujących leczenie podtrzymujące adalimumabem w porównaniu do 30% pacjentów otrzymujących placebo w leczeniu podtrzymującym. Wyniki te sugerują, że kontynuowanie leczenia podtrzymującego do 12. tygodnia włącznie może być korzystne u pacjentów, którzy nie odpowiedzieli na leczenie przed upływem 4. tygodnia. Kontynuacja leczenia dłużej niż 12 tygodni nie spowodowała istotnie większej liczby odpowiedzi na leczenie (patrz punkt 4.2).</w:t>
      </w:r>
    </w:p>
    <w:p w14:paraId="7DEC574D" w14:textId="77777777" w:rsidR="002E5800" w:rsidRPr="008F328C" w:rsidRDefault="002E5800">
      <w:pPr>
        <w:pStyle w:val="a3"/>
        <w:rPr>
          <w:lang w:val="pl-PL"/>
        </w:rPr>
      </w:pPr>
    </w:p>
    <w:p w14:paraId="6EDE131D" w14:textId="77777777" w:rsidR="002E5800" w:rsidRPr="008F328C" w:rsidRDefault="00294C67">
      <w:pPr>
        <w:pStyle w:val="a3"/>
        <w:rPr>
          <w:lang w:val="pl-PL"/>
        </w:rPr>
      </w:pPr>
      <w:r w:rsidRPr="008F328C">
        <w:rPr>
          <w:rFonts w:eastAsia="Times New Roman"/>
          <w:lang w:val="pl-PL"/>
        </w:rPr>
        <w:t>Stusiedemnastu z dwustusiedemdziesięciu sześciu (</w:t>
      </w:r>
      <w:r w:rsidR="000E0B7C" w:rsidRPr="008F328C">
        <w:rPr>
          <w:rFonts w:eastAsia="Times New Roman"/>
          <w:lang w:val="pl-PL"/>
        </w:rPr>
        <w:t>117/276</w:t>
      </w:r>
      <w:r w:rsidRPr="008F328C">
        <w:rPr>
          <w:rFonts w:eastAsia="Times New Roman"/>
          <w:lang w:val="pl-PL"/>
        </w:rPr>
        <w:t>)</w:t>
      </w:r>
      <w:r w:rsidR="000E0B7C" w:rsidRPr="008F328C">
        <w:rPr>
          <w:rFonts w:eastAsia="Times New Roman"/>
          <w:lang w:val="pl-PL"/>
        </w:rPr>
        <w:t xml:space="preserve"> pacjentów z badania I w ChL-C oraz 272/777 pacjentów z badań II i III w ChL-C poddano obserwacji przez co najmniej 3 lata w ramach otwartego leczenia adalimumabem. Odpowiednio 88 i 189 pacjentów pozostawało w stanie remisji klinicznej. Odpowiedź kliniczną (CR-100) utrzymano odpowiednio u 102 i 233 pacjentów.</w:t>
      </w:r>
    </w:p>
    <w:p w14:paraId="58904056" w14:textId="77777777" w:rsidR="002E5800" w:rsidRPr="008F328C" w:rsidRDefault="002E5800">
      <w:pPr>
        <w:pStyle w:val="a3"/>
        <w:rPr>
          <w:lang w:val="pl-PL"/>
        </w:rPr>
      </w:pPr>
    </w:p>
    <w:p w14:paraId="31010660"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Jakość życia</w:t>
      </w:r>
    </w:p>
    <w:p w14:paraId="0F5E5045" w14:textId="77777777" w:rsidR="002E5800" w:rsidRPr="008F328C" w:rsidRDefault="002E5800">
      <w:pPr>
        <w:pStyle w:val="a3"/>
        <w:rPr>
          <w:sz w:val="18"/>
          <w:szCs w:val="18"/>
          <w:lang w:val="pl-PL"/>
        </w:rPr>
      </w:pPr>
    </w:p>
    <w:p w14:paraId="303A0DCE" w14:textId="77777777" w:rsidR="002E5800" w:rsidRPr="008F328C" w:rsidRDefault="000E0B7C">
      <w:pPr>
        <w:pStyle w:val="a3"/>
        <w:rPr>
          <w:lang w:val="pl-PL"/>
        </w:rPr>
      </w:pPr>
      <w:r w:rsidRPr="008F328C">
        <w:rPr>
          <w:rFonts w:eastAsia="Times New Roman"/>
          <w:lang w:val="pl-PL"/>
        </w:rPr>
        <w:t>W badaniach I i II w ChL-C, statystycznie istotną poprawę całkowitej punktacji w kwestionariuszu swoistym dla choroby zapalnej jelit (ang</w:t>
      </w:r>
      <w:r w:rsidRPr="008F328C">
        <w:rPr>
          <w:rFonts w:eastAsia="Times New Roman"/>
          <w:i/>
          <w:lang w:val="pl-PL"/>
        </w:rPr>
        <w:t>. Inflammatory Bowel Disease Questionnaire</w:t>
      </w:r>
      <w:r w:rsidRPr="008F328C">
        <w:rPr>
          <w:rFonts w:eastAsia="Times New Roman"/>
          <w:lang w:val="pl-PL"/>
        </w:rPr>
        <w:t>, IBDQ) osiągnięto w 4. tygodniu u pacjentów losowo przydzielonych do grup otrzymujących adalimumab w dawkach 80/40 mg i 160/80 mg w porównaniu do placebo. Poprawę obserwowano również w 26. i 56. tygodniu w badaniu III w ChL-C w grupach leczonych adalimumabem w porównaniu do grupy otrzymującej placebo.</w:t>
      </w:r>
    </w:p>
    <w:p w14:paraId="635C8001" w14:textId="77777777" w:rsidR="00D71E16" w:rsidRPr="008F328C" w:rsidRDefault="00D71E16">
      <w:pPr>
        <w:spacing w:before="13" w:line="240" w:lineRule="exact"/>
        <w:rPr>
          <w:rFonts w:ascii="Times New Roman" w:hAnsi="Times New Roman" w:cs="Times New Roman"/>
          <w:sz w:val="24"/>
          <w:szCs w:val="24"/>
          <w:lang w:val="pl-PL"/>
        </w:rPr>
      </w:pPr>
    </w:p>
    <w:p w14:paraId="24CD34C0" w14:textId="77777777" w:rsidR="002E5800" w:rsidRPr="008F328C" w:rsidRDefault="002E5800">
      <w:pPr>
        <w:pStyle w:val="a3"/>
        <w:rPr>
          <w:lang w:val="pl-PL"/>
        </w:rPr>
      </w:pPr>
    </w:p>
    <w:p w14:paraId="6F6D611F" w14:textId="77777777" w:rsidR="002E5800" w:rsidRPr="008F328C" w:rsidRDefault="000E0B7C">
      <w:pPr>
        <w:pStyle w:val="a3"/>
        <w:rPr>
          <w:rFonts w:eastAsia="Times New Roman"/>
          <w:lang w:val="pl-PL"/>
        </w:rPr>
      </w:pPr>
      <w:r w:rsidRPr="008F328C">
        <w:rPr>
          <w:rFonts w:eastAsia="Times New Roman"/>
          <w:i/>
          <w:iCs/>
          <w:spacing w:val="-1"/>
          <w:lang w:val="pl-PL"/>
        </w:rPr>
        <w:t>Wrzodziejące zapalenie jelita grubego (WZJG)</w:t>
      </w:r>
    </w:p>
    <w:p w14:paraId="5233C504" w14:textId="77777777" w:rsidR="002E5800" w:rsidRPr="008F328C" w:rsidRDefault="002E5800">
      <w:pPr>
        <w:pStyle w:val="a3"/>
        <w:rPr>
          <w:lang w:val="pl-PL"/>
        </w:rPr>
      </w:pPr>
    </w:p>
    <w:p w14:paraId="271A13E1" w14:textId="77777777" w:rsidR="002E5800" w:rsidRPr="008F328C" w:rsidRDefault="000E0B7C">
      <w:pPr>
        <w:pStyle w:val="a3"/>
        <w:rPr>
          <w:lang w:val="pl-PL"/>
        </w:rPr>
      </w:pPr>
      <w:r w:rsidRPr="008F328C">
        <w:rPr>
          <w:rFonts w:eastAsia="Times New Roman"/>
          <w:lang w:val="pl-PL"/>
        </w:rPr>
        <w:t>Bezpieczeństwo stosowania i skuteczność wielokrotnych dawek adalimumabu oceniano u dorosłych pacjentów z umiarkowanym do ciężkiego czynnym wrzodziejącym zapaleniem jelita grubego (ocena aktywności choroby w skali Mayo 6 do 12 punktów z kryterium obrazu endoskopowego 2 do 3 punktów) w randomizowanych badaniach klinicznych podwójnie zaślepionych, kontrolowanych placebo.</w:t>
      </w:r>
    </w:p>
    <w:p w14:paraId="2E796805" w14:textId="77777777" w:rsidR="002E5800" w:rsidRPr="008F328C" w:rsidRDefault="002E5800">
      <w:pPr>
        <w:pStyle w:val="a3"/>
        <w:rPr>
          <w:lang w:val="pl-PL"/>
        </w:rPr>
      </w:pPr>
    </w:p>
    <w:p w14:paraId="02985406" w14:textId="77777777" w:rsidR="002E5800" w:rsidRPr="008F328C" w:rsidRDefault="000E0B7C">
      <w:pPr>
        <w:pStyle w:val="a3"/>
        <w:rPr>
          <w:lang w:val="pl-PL"/>
        </w:rPr>
      </w:pPr>
      <w:r w:rsidRPr="008F328C">
        <w:rPr>
          <w:rFonts w:eastAsia="Times New Roman"/>
          <w:lang w:val="pl-PL"/>
        </w:rPr>
        <w:t xml:space="preserve"> W badaniu I we WZJG, 390 pacjentów uprzednio nieleczonych antagonistą TNF przydzielono losowo do grup otrzymujących placebo w tygodniach 0 i 2, 160 mg adalimumabu w tygodniu 0, a następnie 80 mg w </w:t>
      </w:r>
      <w:r w:rsidRPr="008F328C">
        <w:rPr>
          <w:rFonts w:eastAsia="Times New Roman"/>
          <w:lang w:val="pl-PL"/>
        </w:rPr>
        <w:lastRenderedPageBreak/>
        <w:t>2. tygodniu lub 80 mg adalimumabu w tygodniu 0, a następnie 40 mg w 2. tygodniu. Po 2. tygodniu, pacjenci w obydwu ramionach, w których stosowano adalimumab otrzymywali dawkę 40 mg co drugi tydzień. Remisję kliniczną (definiowana jako ocena punktowa w skali Mayo ≤ 2 bez oceny punktowej w częściowej skali &gt; 1) oceniano w 8. tygodniu.</w:t>
      </w:r>
    </w:p>
    <w:p w14:paraId="28DC133E" w14:textId="77777777" w:rsidR="002E5800" w:rsidRPr="008F328C" w:rsidRDefault="002E5800">
      <w:pPr>
        <w:pStyle w:val="a3"/>
        <w:rPr>
          <w:lang w:val="pl-PL"/>
        </w:rPr>
      </w:pPr>
    </w:p>
    <w:p w14:paraId="1DDAF9AF" w14:textId="159AFA03" w:rsidR="002E5800" w:rsidRPr="008F328C" w:rsidRDefault="000E0B7C">
      <w:pPr>
        <w:pStyle w:val="a3"/>
        <w:rPr>
          <w:lang w:val="pl-PL"/>
        </w:rPr>
      </w:pPr>
      <w:r w:rsidRPr="008F328C">
        <w:rPr>
          <w:rFonts w:eastAsia="Times New Roman"/>
          <w:lang w:val="pl-PL"/>
        </w:rPr>
        <w:t xml:space="preserve">W badaniu II we WZJG, 248 pacjentów otrzymywało 160 mg adalimumabu w tygodniu 0, 80 mg w 2. tygodniu i następnie 40 mg co drugi tydzień, a 246 pacjentów otrzymywało placebo. Wyniki kliniczne oceniano w 8. tygodniu </w:t>
      </w:r>
      <w:r w:rsidR="00B617AB" w:rsidRPr="008F328C">
        <w:rPr>
          <w:rFonts w:eastAsia="Times New Roman"/>
          <w:lang w:val="pl-PL"/>
        </w:rPr>
        <w:t xml:space="preserve">w celu potwierdzenia </w:t>
      </w:r>
      <w:r w:rsidRPr="008F328C">
        <w:rPr>
          <w:rFonts w:eastAsia="Times New Roman"/>
          <w:lang w:val="pl-PL"/>
        </w:rPr>
        <w:t xml:space="preserve">indukcji remisji oraz w 52. tygodniu </w:t>
      </w:r>
      <w:r w:rsidR="00B617AB" w:rsidRPr="008F328C">
        <w:rPr>
          <w:rFonts w:eastAsia="Times New Roman"/>
          <w:lang w:val="pl-PL"/>
        </w:rPr>
        <w:t xml:space="preserve">w celu potwierdzenia </w:t>
      </w:r>
      <w:r w:rsidRPr="008F328C">
        <w:rPr>
          <w:rFonts w:eastAsia="Times New Roman"/>
          <w:lang w:val="pl-PL"/>
        </w:rPr>
        <w:t>utrzymywania się remisji.</w:t>
      </w:r>
    </w:p>
    <w:p w14:paraId="74A975FA" w14:textId="77777777" w:rsidR="002E5800" w:rsidRPr="008F328C" w:rsidRDefault="002E5800">
      <w:pPr>
        <w:pStyle w:val="a3"/>
        <w:rPr>
          <w:lang w:val="pl-PL"/>
        </w:rPr>
      </w:pPr>
    </w:p>
    <w:p w14:paraId="241FFBFF" w14:textId="77777777" w:rsidR="002E5800" w:rsidRPr="008F328C" w:rsidRDefault="000E0B7C">
      <w:pPr>
        <w:pStyle w:val="a3"/>
        <w:rPr>
          <w:lang w:val="pl-PL"/>
        </w:rPr>
      </w:pPr>
      <w:r w:rsidRPr="008F328C">
        <w:rPr>
          <w:rFonts w:eastAsia="Times New Roman"/>
          <w:lang w:val="pl-PL"/>
        </w:rPr>
        <w:t>W 8. tygodniu, remisję kliniczną osiągnięto u statystycznie istotnie większego odsetka pacjentów, u których zastosowano leczenie indukcyjne adalimumabem 160/80 mg w porównaniu do pacjentów otrzymujących placebo w badaniu I we WZJG (odpowiednio 18% vs. 9%, p=0,031) i w badaniu II we WZJG (odpowiednio 17% vs. 9%, p = 0,019). W badaniu II we WZJG, spośród pacjentów leczonych adalimumabem, którzy byli w fazie remisji w 8. tygodniu, 21/41 (51%) pozostawało w remisji w 52. tygodniu.</w:t>
      </w:r>
    </w:p>
    <w:p w14:paraId="7A1328FE" w14:textId="77777777" w:rsidR="002E5800" w:rsidRPr="008F328C" w:rsidRDefault="002E5800">
      <w:pPr>
        <w:spacing w:before="13" w:line="240" w:lineRule="exact"/>
        <w:rPr>
          <w:rFonts w:ascii="Times New Roman" w:hAnsi="Times New Roman" w:cs="Times New Roman"/>
          <w:sz w:val="24"/>
          <w:szCs w:val="24"/>
          <w:lang w:val="pl-PL"/>
        </w:rPr>
      </w:pPr>
    </w:p>
    <w:p w14:paraId="4C18A3CA" w14:textId="3BFB9658" w:rsidR="002E5800" w:rsidRPr="008F328C" w:rsidRDefault="000E0B7C">
      <w:pPr>
        <w:pStyle w:val="a3"/>
        <w:rPr>
          <w:lang w:val="pl-PL"/>
        </w:rPr>
      </w:pPr>
      <w:r w:rsidRPr="008F328C">
        <w:rPr>
          <w:rFonts w:eastAsia="Times New Roman"/>
          <w:lang w:val="pl-PL"/>
        </w:rPr>
        <w:t xml:space="preserve">W Tabeli </w:t>
      </w:r>
      <w:r w:rsidR="001B7FBF" w:rsidRPr="008F328C">
        <w:rPr>
          <w:rFonts w:eastAsia="Times New Roman"/>
          <w:lang w:val="pl-PL"/>
        </w:rPr>
        <w:t xml:space="preserve">23 </w:t>
      </w:r>
      <w:r w:rsidRPr="008F328C">
        <w:rPr>
          <w:rFonts w:eastAsia="Times New Roman"/>
          <w:lang w:val="pl-PL"/>
        </w:rPr>
        <w:t>przedstawiono wyniki całej populacji badania II we WZJG.</w:t>
      </w:r>
    </w:p>
    <w:p w14:paraId="6E4A8BE4" w14:textId="77777777" w:rsidR="002E5800" w:rsidRPr="008F328C" w:rsidRDefault="002E5800">
      <w:pPr>
        <w:rPr>
          <w:rFonts w:ascii="Times New Roman" w:hAnsi="Times New Roman" w:cs="Times New Roman"/>
          <w:lang w:val="pl-PL"/>
        </w:rPr>
      </w:pPr>
    </w:p>
    <w:p w14:paraId="3CE5A862" w14:textId="3DC38569" w:rsidR="002E5800" w:rsidRPr="008F328C" w:rsidRDefault="000E0B7C">
      <w:pPr>
        <w:pStyle w:val="a3"/>
        <w:jc w:val="center"/>
        <w:rPr>
          <w:b/>
          <w:lang w:val="pl-PL"/>
        </w:rPr>
      </w:pPr>
      <w:r w:rsidRPr="008F328C">
        <w:rPr>
          <w:rFonts w:eastAsia="Times New Roman"/>
          <w:b/>
          <w:bCs/>
          <w:lang w:val="pl-PL"/>
        </w:rPr>
        <w:t xml:space="preserve">Tabela </w:t>
      </w:r>
      <w:r w:rsidR="001B7FBF" w:rsidRPr="008F328C">
        <w:rPr>
          <w:rFonts w:eastAsia="Times New Roman"/>
          <w:b/>
          <w:bCs/>
          <w:lang w:val="pl-PL"/>
        </w:rPr>
        <w:t>23</w:t>
      </w:r>
    </w:p>
    <w:p w14:paraId="5179897F" w14:textId="77777777" w:rsidR="002E5800" w:rsidRPr="008F328C" w:rsidRDefault="000E0B7C">
      <w:pPr>
        <w:pStyle w:val="a3"/>
        <w:jc w:val="center"/>
        <w:rPr>
          <w:b/>
          <w:lang w:val="pl-PL"/>
        </w:rPr>
      </w:pPr>
      <w:r w:rsidRPr="008F328C">
        <w:rPr>
          <w:rFonts w:eastAsia="Times New Roman"/>
          <w:b/>
          <w:bCs/>
          <w:lang w:val="pl-PL"/>
        </w:rPr>
        <w:t>Odpowiedź, remisja i wygojenie błony śluzowej w badaniu II we WZJG</w:t>
      </w:r>
    </w:p>
    <w:p w14:paraId="1DCF5330" w14:textId="362022F4" w:rsidR="002E5800" w:rsidRPr="008F328C" w:rsidRDefault="000E0B7C">
      <w:pPr>
        <w:pStyle w:val="a3"/>
        <w:jc w:val="center"/>
        <w:rPr>
          <w:b/>
          <w:lang w:val="pl-PL"/>
        </w:rPr>
      </w:pPr>
      <w:r w:rsidRPr="008F328C">
        <w:rPr>
          <w:rFonts w:eastAsia="Times New Roman"/>
          <w:b/>
          <w:bCs/>
          <w:lang w:val="pl-PL"/>
        </w:rPr>
        <w:t>(odsetek pacjentów)</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2E5800" w:rsidRPr="00FE49E6" w14:paraId="0BFB7BE9" w14:textId="77777777" w:rsidTr="0008144B">
        <w:trPr>
          <w:jc w:val="center"/>
        </w:trPr>
        <w:tc>
          <w:tcPr>
            <w:tcW w:w="2849" w:type="dxa"/>
            <w:tcBorders>
              <w:top w:val="single" w:sz="4" w:space="0" w:color="auto"/>
              <w:bottom w:val="single" w:sz="4" w:space="0" w:color="auto"/>
            </w:tcBorders>
            <w:vAlign w:val="center"/>
          </w:tcPr>
          <w:p w14:paraId="35B72551" w14:textId="77777777" w:rsidR="002E5800" w:rsidRPr="008F328C" w:rsidRDefault="002E5800">
            <w:pPr>
              <w:pStyle w:val="a3"/>
              <w:jc w:val="center"/>
              <w:rPr>
                <w:b/>
                <w:lang w:val="pl-PL"/>
              </w:rPr>
            </w:pPr>
          </w:p>
        </w:tc>
        <w:tc>
          <w:tcPr>
            <w:tcW w:w="3130" w:type="dxa"/>
            <w:tcBorders>
              <w:top w:val="single" w:sz="4" w:space="0" w:color="auto"/>
              <w:bottom w:val="single" w:sz="4" w:space="0" w:color="auto"/>
            </w:tcBorders>
            <w:vAlign w:val="center"/>
          </w:tcPr>
          <w:p w14:paraId="4E1F55D6" w14:textId="77777777" w:rsidR="002E5800" w:rsidRPr="008F328C" w:rsidRDefault="000E0B7C">
            <w:pPr>
              <w:pStyle w:val="a3"/>
              <w:jc w:val="center"/>
              <w:rPr>
                <w:b/>
                <w:lang w:val="pl-PL"/>
              </w:rPr>
            </w:pPr>
            <w:r w:rsidRPr="008F328C">
              <w:rPr>
                <w:rFonts w:eastAsia="Times New Roman"/>
                <w:b/>
                <w:bCs/>
                <w:lang w:val="pl-PL"/>
              </w:rPr>
              <w:t>Placebo</w:t>
            </w:r>
          </w:p>
        </w:tc>
        <w:tc>
          <w:tcPr>
            <w:tcW w:w="3191" w:type="dxa"/>
            <w:tcBorders>
              <w:top w:val="single" w:sz="4" w:space="0" w:color="auto"/>
              <w:bottom w:val="single" w:sz="4" w:space="0" w:color="auto"/>
            </w:tcBorders>
            <w:vAlign w:val="center"/>
          </w:tcPr>
          <w:p w14:paraId="232CE28A" w14:textId="77777777" w:rsidR="002E5800" w:rsidRPr="008F328C" w:rsidRDefault="000E0B7C">
            <w:pPr>
              <w:pStyle w:val="a3"/>
              <w:jc w:val="center"/>
              <w:rPr>
                <w:b/>
                <w:lang w:val="pl-PL"/>
              </w:rPr>
            </w:pPr>
            <w:r w:rsidRPr="008F328C">
              <w:rPr>
                <w:rFonts w:eastAsia="Times New Roman"/>
                <w:b/>
                <w:bCs/>
                <w:spacing w:val="-1"/>
                <w:lang w:val="pl-PL"/>
              </w:rPr>
              <w:t>Adalimumab 40 mg, co drugi tydzień</w:t>
            </w:r>
          </w:p>
        </w:tc>
      </w:tr>
      <w:tr w:rsidR="002E5800" w:rsidRPr="008F328C" w14:paraId="13635A89" w14:textId="77777777" w:rsidTr="0008144B">
        <w:trPr>
          <w:jc w:val="center"/>
        </w:trPr>
        <w:tc>
          <w:tcPr>
            <w:tcW w:w="2849" w:type="dxa"/>
            <w:tcBorders>
              <w:top w:val="single" w:sz="4" w:space="0" w:color="auto"/>
              <w:bottom w:val="single" w:sz="4" w:space="0" w:color="auto"/>
            </w:tcBorders>
            <w:vAlign w:val="center"/>
          </w:tcPr>
          <w:p w14:paraId="49CD60D3" w14:textId="77777777" w:rsidR="002E5800" w:rsidRPr="008F328C" w:rsidRDefault="000E0B7C">
            <w:pPr>
              <w:pStyle w:val="a3"/>
              <w:jc w:val="both"/>
              <w:rPr>
                <w:b/>
                <w:lang w:val="pl-PL"/>
              </w:rPr>
            </w:pPr>
            <w:r w:rsidRPr="008F328C">
              <w:rPr>
                <w:rFonts w:eastAsia="Times New Roman"/>
                <w:lang w:val="pl-PL"/>
              </w:rPr>
              <w:t>52. tydzień</w:t>
            </w:r>
          </w:p>
        </w:tc>
        <w:tc>
          <w:tcPr>
            <w:tcW w:w="3130" w:type="dxa"/>
            <w:tcBorders>
              <w:top w:val="single" w:sz="4" w:space="0" w:color="auto"/>
              <w:bottom w:val="single" w:sz="4" w:space="0" w:color="auto"/>
            </w:tcBorders>
            <w:vAlign w:val="center"/>
          </w:tcPr>
          <w:p w14:paraId="67086DEB" w14:textId="77777777" w:rsidR="002E5800" w:rsidRPr="008F328C" w:rsidRDefault="000E0B7C">
            <w:pPr>
              <w:pStyle w:val="a3"/>
              <w:jc w:val="center"/>
              <w:rPr>
                <w:b/>
                <w:lang w:val="pl-PL"/>
              </w:rPr>
            </w:pPr>
            <w:r w:rsidRPr="008F328C">
              <w:rPr>
                <w:rFonts w:eastAsia="Times New Roman"/>
                <w:b/>
                <w:bCs/>
                <w:spacing w:val="-1"/>
                <w:lang w:val="pl-PL"/>
              </w:rPr>
              <w:t>N=246</w:t>
            </w:r>
          </w:p>
        </w:tc>
        <w:tc>
          <w:tcPr>
            <w:tcW w:w="3191" w:type="dxa"/>
            <w:tcBorders>
              <w:top w:val="single" w:sz="4" w:space="0" w:color="auto"/>
              <w:bottom w:val="single" w:sz="4" w:space="0" w:color="auto"/>
            </w:tcBorders>
            <w:vAlign w:val="center"/>
          </w:tcPr>
          <w:p w14:paraId="496DC675" w14:textId="77777777" w:rsidR="002E5800" w:rsidRPr="008F328C" w:rsidRDefault="000E0B7C">
            <w:pPr>
              <w:pStyle w:val="a3"/>
              <w:jc w:val="center"/>
              <w:rPr>
                <w:b/>
                <w:lang w:val="pl-PL"/>
              </w:rPr>
            </w:pPr>
            <w:r w:rsidRPr="008F328C">
              <w:rPr>
                <w:rFonts w:eastAsia="Times New Roman"/>
                <w:b/>
                <w:bCs/>
                <w:spacing w:val="-1"/>
                <w:lang w:val="pl-PL"/>
              </w:rPr>
              <w:t>N=248</w:t>
            </w:r>
          </w:p>
        </w:tc>
      </w:tr>
      <w:tr w:rsidR="002E5800" w:rsidRPr="008F328C" w14:paraId="662EB8B9" w14:textId="77777777" w:rsidTr="0008144B">
        <w:trPr>
          <w:jc w:val="center"/>
        </w:trPr>
        <w:tc>
          <w:tcPr>
            <w:tcW w:w="2849" w:type="dxa"/>
            <w:tcBorders>
              <w:top w:val="single" w:sz="4" w:space="0" w:color="auto"/>
            </w:tcBorders>
            <w:vAlign w:val="center"/>
          </w:tcPr>
          <w:p w14:paraId="6595000D" w14:textId="77777777" w:rsidR="002E5800" w:rsidRPr="008F328C" w:rsidRDefault="000E0B7C">
            <w:pPr>
              <w:pStyle w:val="a3"/>
              <w:jc w:val="both"/>
              <w:rPr>
                <w:lang w:val="pl-PL"/>
              </w:rPr>
            </w:pPr>
            <w:r w:rsidRPr="008F328C">
              <w:rPr>
                <w:rFonts w:eastAsia="Times New Roman"/>
                <w:lang w:val="pl-PL"/>
              </w:rPr>
              <w:t>Odpowiedź kliniczna</w:t>
            </w:r>
          </w:p>
        </w:tc>
        <w:tc>
          <w:tcPr>
            <w:tcW w:w="3130" w:type="dxa"/>
            <w:tcBorders>
              <w:top w:val="single" w:sz="4" w:space="0" w:color="auto"/>
            </w:tcBorders>
            <w:vAlign w:val="center"/>
          </w:tcPr>
          <w:p w14:paraId="202FDB1A" w14:textId="77777777" w:rsidR="002E5800" w:rsidRPr="008F328C" w:rsidRDefault="000E0B7C">
            <w:pPr>
              <w:pStyle w:val="a3"/>
              <w:jc w:val="center"/>
              <w:rPr>
                <w:lang w:val="pl-PL"/>
              </w:rPr>
            </w:pPr>
            <w:r w:rsidRPr="008F328C">
              <w:rPr>
                <w:rFonts w:eastAsia="Times New Roman"/>
                <w:lang w:val="pl-PL"/>
              </w:rPr>
              <w:t>18%</w:t>
            </w:r>
          </w:p>
        </w:tc>
        <w:tc>
          <w:tcPr>
            <w:tcW w:w="3191" w:type="dxa"/>
            <w:tcBorders>
              <w:top w:val="single" w:sz="4" w:space="0" w:color="auto"/>
            </w:tcBorders>
            <w:vAlign w:val="center"/>
          </w:tcPr>
          <w:p w14:paraId="66F528E5" w14:textId="77777777" w:rsidR="002E5800" w:rsidRPr="008F328C" w:rsidRDefault="000E0B7C">
            <w:pPr>
              <w:pStyle w:val="a3"/>
              <w:jc w:val="center"/>
              <w:rPr>
                <w:lang w:val="pl-PL"/>
              </w:rPr>
            </w:pPr>
            <w:r w:rsidRPr="008F328C">
              <w:rPr>
                <w:rFonts w:eastAsia="Times New Roman"/>
                <w:lang w:val="pl-PL"/>
              </w:rPr>
              <w:t>30%</w:t>
            </w:r>
            <w:r w:rsidRPr="008F328C">
              <w:rPr>
                <w:rFonts w:eastAsia="Times New Roman"/>
                <w:sz w:val="20"/>
                <w:szCs w:val="20"/>
                <w:lang w:val="pl-PL"/>
              </w:rPr>
              <w:t>*</w:t>
            </w:r>
          </w:p>
        </w:tc>
      </w:tr>
      <w:tr w:rsidR="002E5800" w:rsidRPr="008F328C" w14:paraId="733CA046" w14:textId="77777777" w:rsidTr="0008144B">
        <w:trPr>
          <w:jc w:val="center"/>
        </w:trPr>
        <w:tc>
          <w:tcPr>
            <w:tcW w:w="2849" w:type="dxa"/>
            <w:vAlign w:val="center"/>
          </w:tcPr>
          <w:p w14:paraId="297181C0" w14:textId="77777777" w:rsidR="002E5800" w:rsidRPr="008F328C" w:rsidRDefault="000E0B7C">
            <w:pPr>
              <w:pStyle w:val="a3"/>
              <w:jc w:val="both"/>
              <w:rPr>
                <w:lang w:val="pl-PL"/>
              </w:rPr>
            </w:pPr>
            <w:r w:rsidRPr="008F328C">
              <w:rPr>
                <w:rFonts w:eastAsia="Times New Roman"/>
                <w:lang w:val="pl-PL"/>
              </w:rPr>
              <w:t>Remisja kliniczna</w:t>
            </w:r>
          </w:p>
        </w:tc>
        <w:tc>
          <w:tcPr>
            <w:tcW w:w="3130" w:type="dxa"/>
            <w:vAlign w:val="center"/>
          </w:tcPr>
          <w:p w14:paraId="028B75D9" w14:textId="77777777" w:rsidR="002E5800" w:rsidRPr="008F328C" w:rsidRDefault="000E0B7C">
            <w:pPr>
              <w:pStyle w:val="a3"/>
              <w:jc w:val="center"/>
              <w:rPr>
                <w:lang w:val="pl-PL"/>
              </w:rPr>
            </w:pPr>
            <w:r w:rsidRPr="008F328C">
              <w:rPr>
                <w:rFonts w:eastAsia="Times New Roman"/>
                <w:lang w:val="pl-PL"/>
              </w:rPr>
              <w:t>9%</w:t>
            </w:r>
          </w:p>
        </w:tc>
        <w:tc>
          <w:tcPr>
            <w:tcW w:w="3191" w:type="dxa"/>
            <w:vAlign w:val="center"/>
          </w:tcPr>
          <w:p w14:paraId="3B34CA2B" w14:textId="77777777" w:rsidR="002E5800" w:rsidRPr="008F328C" w:rsidRDefault="000E0B7C">
            <w:pPr>
              <w:pStyle w:val="a3"/>
              <w:jc w:val="center"/>
              <w:rPr>
                <w:lang w:val="pl-PL"/>
              </w:rPr>
            </w:pPr>
            <w:r w:rsidRPr="008F328C">
              <w:rPr>
                <w:rFonts w:eastAsia="Times New Roman"/>
                <w:lang w:val="pl-PL"/>
              </w:rPr>
              <w:t>17%</w:t>
            </w:r>
            <w:r w:rsidRPr="008F328C">
              <w:rPr>
                <w:rFonts w:eastAsia="Times New Roman"/>
                <w:sz w:val="20"/>
                <w:szCs w:val="20"/>
                <w:lang w:val="pl-PL"/>
              </w:rPr>
              <w:t>*</w:t>
            </w:r>
          </w:p>
        </w:tc>
      </w:tr>
      <w:tr w:rsidR="002E5800" w:rsidRPr="008F328C" w14:paraId="6CA1CD19" w14:textId="77777777" w:rsidTr="0008144B">
        <w:trPr>
          <w:jc w:val="center"/>
        </w:trPr>
        <w:tc>
          <w:tcPr>
            <w:tcW w:w="2849" w:type="dxa"/>
            <w:vAlign w:val="center"/>
          </w:tcPr>
          <w:p w14:paraId="77DD874D" w14:textId="77777777" w:rsidR="002E5800" w:rsidRPr="008F328C" w:rsidRDefault="000E0B7C">
            <w:pPr>
              <w:pStyle w:val="a3"/>
              <w:jc w:val="both"/>
              <w:rPr>
                <w:lang w:val="pl-PL"/>
              </w:rPr>
            </w:pPr>
            <w:r w:rsidRPr="008F328C">
              <w:rPr>
                <w:rFonts w:eastAsia="Times New Roman"/>
                <w:lang w:val="pl-PL"/>
              </w:rPr>
              <w:t>Wygojenie błony śluzowej</w:t>
            </w:r>
          </w:p>
        </w:tc>
        <w:tc>
          <w:tcPr>
            <w:tcW w:w="3130" w:type="dxa"/>
            <w:vAlign w:val="center"/>
          </w:tcPr>
          <w:p w14:paraId="089C8824" w14:textId="77777777" w:rsidR="002E5800" w:rsidRPr="008F328C" w:rsidRDefault="000E0B7C">
            <w:pPr>
              <w:pStyle w:val="a3"/>
              <w:jc w:val="center"/>
              <w:rPr>
                <w:lang w:val="pl-PL"/>
              </w:rPr>
            </w:pPr>
            <w:r w:rsidRPr="008F328C">
              <w:rPr>
                <w:rFonts w:eastAsia="Times New Roman"/>
                <w:lang w:val="pl-PL"/>
              </w:rPr>
              <w:t>15%</w:t>
            </w:r>
          </w:p>
        </w:tc>
        <w:tc>
          <w:tcPr>
            <w:tcW w:w="3191" w:type="dxa"/>
            <w:vAlign w:val="center"/>
          </w:tcPr>
          <w:p w14:paraId="781F8798" w14:textId="77777777" w:rsidR="002E5800" w:rsidRPr="008F328C" w:rsidRDefault="000E0B7C">
            <w:pPr>
              <w:pStyle w:val="a3"/>
              <w:jc w:val="center"/>
              <w:rPr>
                <w:lang w:val="pl-PL"/>
              </w:rPr>
            </w:pPr>
            <w:r w:rsidRPr="008F328C">
              <w:rPr>
                <w:rFonts w:eastAsia="Times New Roman"/>
                <w:lang w:val="pl-PL"/>
              </w:rPr>
              <w:t>25%</w:t>
            </w:r>
            <w:r w:rsidRPr="008F328C">
              <w:rPr>
                <w:rFonts w:eastAsia="Times New Roman"/>
                <w:sz w:val="20"/>
                <w:szCs w:val="20"/>
                <w:lang w:val="pl-PL"/>
              </w:rPr>
              <w:t>*</w:t>
            </w:r>
          </w:p>
        </w:tc>
      </w:tr>
      <w:tr w:rsidR="002E5800" w:rsidRPr="008F328C" w14:paraId="0896C112" w14:textId="77777777" w:rsidTr="0008144B">
        <w:trPr>
          <w:jc w:val="center"/>
        </w:trPr>
        <w:tc>
          <w:tcPr>
            <w:tcW w:w="2849" w:type="dxa"/>
          </w:tcPr>
          <w:p w14:paraId="16463417" w14:textId="77777777" w:rsidR="002E5800" w:rsidRPr="008F328C" w:rsidRDefault="000E0B7C">
            <w:pPr>
              <w:pStyle w:val="a3"/>
              <w:jc w:val="center"/>
              <w:rPr>
                <w:lang w:val="pl-PL"/>
              </w:rPr>
            </w:pPr>
            <w:r w:rsidRPr="008F328C">
              <w:rPr>
                <w:rFonts w:eastAsia="Times New Roman"/>
                <w:lang w:val="pl-PL"/>
              </w:rPr>
              <w:t>Remisja wolna od stosowania steroidów przez ≥ 90 dni</w:t>
            </w:r>
            <w:r w:rsidRPr="008F328C">
              <w:rPr>
                <w:rFonts w:eastAsia="Times New Roman"/>
                <w:vertAlign w:val="superscript"/>
                <w:lang w:val="pl-PL"/>
              </w:rPr>
              <w:t>a</w:t>
            </w:r>
          </w:p>
        </w:tc>
        <w:tc>
          <w:tcPr>
            <w:tcW w:w="3130" w:type="dxa"/>
            <w:vAlign w:val="center"/>
          </w:tcPr>
          <w:p w14:paraId="1E492183" w14:textId="77777777" w:rsidR="002E5800" w:rsidRPr="008F328C" w:rsidRDefault="000E0B7C">
            <w:pPr>
              <w:pStyle w:val="a3"/>
              <w:jc w:val="center"/>
              <w:rPr>
                <w:lang w:val="pl-PL"/>
              </w:rPr>
            </w:pPr>
            <w:r w:rsidRPr="008F328C">
              <w:rPr>
                <w:rFonts w:eastAsia="Times New Roman"/>
                <w:lang w:val="pl-PL"/>
              </w:rPr>
              <w:t>6%</w:t>
            </w:r>
          </w:p>
          <w:p w14:paraId="7697592E" w14:textId="77777777" w:rsidR="002E5800" w:rsidRPr="008F328C" w:rsidRDefault="000E0B7C">
            <w:pPr>
              <w:pStyle w:val="a3"/>
              <w:jc w:val="center"/>
              <w:rPr>
                <w:lang w:val="pl-PL"/>
              </w:rPr>
            </w:pPr>
            <w:r w:rsidRPr="008F328C">
              <w:rPr>
                <w:rFonts w:eastAsia="Times New Roman"/>
                <w:b/>
                <w:bCs/>
                <w:lang w:val="pl-PL"/>
              </w:rPr>
              <w:t>(N=140)</w:t>
            </w:r>
          </w:p>
        </w:tc>
        <w:tc>
          <w:tcPr>
            <w:tcW w:w="3191" w:type="dxa"/>
            <w:vAlign w:val="center"/>
          </w:tcPr>
          <w:p w14:paraId="27453B90" w14:textId="77777777" w:rsidR="002E5800" w:rsidRPr="008F328C" w:rsidRDefault="000E0B7C">
            <w:pPr>
              <w:pStyle w:val="a3"/>
              <w:jc w:val="center"/>
              <w:rPr>
                <w:lang w:val="pl-PL"/>
              </w:rPr>
            </w:pPr>
            <w:r w:rsidRPr="008F328C">
              <w:rPr>
                <w:rFonts w:eastAsia="Times New Roman"/>
                <w:lang w:val="pl-PL"/>
              </w:rPr>
              <w:t>13%</w:t>
            </w:r>
            <w:r w:rsidRPr="008F328C">
              <w:rPr>
                <w:rFonts w:eastAsia="Times New Roman"/>
                <w:sz w:val="20"/>
                <w:szCs w:val="20"/>
                <w:lang w:val="pl-PL"/>
              </w:rPr>
              <w:t>*</w:t>
            </w:r>
          </w:p>
          <w:p w14:paraId="260AD4E9" w14:textId="77777777" w:rsidR="002E5800" w:rsidRPr="008F328C" w:rsidRDefault="000E0B7C">
            <w:pPr>
              <w:pStyle w:val="a3"/>
              <w:jc w:val="center"/>
              <w:rPr>
                <w:lang w:val="pl-PL"/>
              </w:rPr>
            </w:pPr>
            <w:r w:rsidRPr="008F328C">
              <w:rPr>
                <w:rFonts w:eastAsia="Times New Roman"/>
                <w:b/>
                <w:bCs/>
                <w:lang w:val="pl-PL"/>
              </w:rPr>
              <w:t>(N=150)</w:t>
            </w:r>
          </w:p>
        </w:tc>
      </w:tr>
      <w:tr w:rsidR="002E5800" w:rsidRPr="008F328C" w14:paraId="41848F0F" w14:textId="77777777" w:rsidTr="0008144B">
        <w:trPr>
          <w:jc w:val="center"/>
        </w:trPr>
        <w:tc>
          <w:tcPr>
            <w:tcW w:w="9170" w:type="dxa"/>
            <w:gridSpan w:val="3"/>
            <w:vAlign w:val="center"/>
          </w:tcPr>
          <w:p w14:paraId="1A797B86" w14:textId="77777777" w:rsidR="002E5800" w:rsidRPr="008F328C" w:rsidRDefault="000E0B7C">
            <w:pPr>
              <w:pStyle w:val="a3"/>
              <w:jc w:val="both"/>
              <w:rPr>
                <w:b/>
                <w:bCs/>
                <w:lang w:val="pl-PL"/>
              </w:rPr>
            </w:pPr>
            <w:r w:rsidRPr="008F328C">
              <w:rPr>
                <w:rFonts w:eastAsia="Times New Roman"/>
                <w:lang w:val="pl-PL"/>
              </w:rPr>
              <w:t>8. i 52. tydzień</w:t>
            </w:r>
          </w:p>
        </w:tc>
      </w:tr>
      <w:tr w:rsidR="002E5800" w:rsidRPr="008F328C" w14:paraId="64D70D10" w14:textId="77777777" w:rsidTr="0008144B">
        <w:trPr>
          <w:jc w:val="center"/>
        </w:trPr>
        <w:tc>
          <w:tcPr>
            <w:tcW w:w="2849" w:type="dxa"/>
            <w:vAlign w:val="center"/>
          </w:tcPr>
          <w:p w14:paraId="157101F3" w14:textId="77777777" w:rsidR="002E5800" w:rsidRPr="008F328C" w:rsidRDefault="000E0B7C">
            <w:pPr>
              <w:pStyle w:val="a3"/>
              <w:jc w:val="both"/>
              <w:rPr>
                <w:lang w:val="pl-PL"/>
              </w:rPr>
            </w:pPr>
            <w:r w:rsidRPr="008F328C">
              <w:rPr>
                <w:rFonts w:eastAsia="Times New Roman"/>
                <w:lang w:val="pl-PL"/>
              </w:rPr>
              <w:t>Utrzymująca się odpowiedź</w:t>
            </w:r>
          </w:p>
        </w:tc>
        <w:tc>
          <w:tcPr>
            <w:tcW w:w="3130" w:type="dxa"/>
            <w:vAlign w:val="center"/>
          </w:tcPr>
          <w:p w14:paraId="2B649667" w14:textId="77777777" w:rsidR="002E5800" w:rsidRPr="008F328C" w:rsidRDefault="000E0B7C">
            <w:pPr>
              <w:pStyle w:val="a3"/>
              <w:jc w:val="center"/>
              <w:rPr>
                <w:b/>
                <w:bCs/>
                <w:lang w:val="pl-PL"/>
              </w:rPr>
            </w:pPr>
            <w:r w:rsidRPr="008F328C">
              <w:rPr>
                <w:rFonts w:eastAsia="Times New Roman"/>
                <w:lang w:val="pl-PL"/>
              </w:rPr>
              <w:t>12%</w:t>
            </w:r>
          </w:p>
        </w:tc>
        <w:tc>
          <w:tcPr>
            <w:tcW w:w="3191" w:type="dxa"/>
            <w:vAlign w:val="center"/>
          </w:tcPr>
          <w:p w14:paraId="4CEAC010" w14:textId="77777777" w:rsidR="002E5800" w:rsidRPr="008F328C" w:rsidRDefault="000E0B7C">
            <w:pPr>
              <w:pStyle w:val="a3"/>
              <w:jc w:val="center"/>
              <w:rPr>
                <w:b/>
                <w:bCs/>
                <w:lang w:val="pl-PL"/>
              </w:rPr>
            </w:pPr>
            <w:r w:rsidRPr="008F328C">
              <w:rPr>
                <w:rFonts w:eastAsia="Times New Roman"/>
                <w:lang w:val="pl-PL"/>
              </w:rPr>
              <w:t>24%</w:t>
            </w:r>
            <w:r w:rsidRPr="008F328C">
              <w:rPr>
                <w:rFonts w:eastAsia="Times New Roman"/>
                <w:sz w:val="20"/>
                <w:szCs w:val="20"/>
                <w:lang w:val="pl-PL"/>
              </w:rPr>
              <w:t>**</w:t>
            </w:r>
          </w:p>
        </w:tc>
      </w:tr>
      <w:tr w:rsidR="002E5800" w:rsidRPr="008F328C" w14:paraId="078DCE17" w14:textId="77777777" w:rsidTr="0008144B">
        <w:trPr>
          <w:jc w:val="center"/>
        </w:trPr>
        <w:tc>
          <w:tcPr>
            <w:tcW w:w="2849" w:type="dxa"/>
            <w:vAlign w:val="center"/>
          </w:tcPr>
          <w:p w14:paraId="291D0431" w14:textId="77777777" w:rsidR="002E5800" w:rsidRPr="008F328C" w:rsidRDefault="000E0B7C">
            <w:pPr>
              <w:pStyle w:val="a3"/>
              <w:jc w:val="both"/>
              <w:rPr>
                <w:lang w:val="pl-PL"/>
              </w:rPr>
            </w:pPr>
            <w:r w:rsidRPr="008F328C">
              <w:rPr>
                <w:rFonts w:eastAsia="Times New Roman"/>
                <w:lang w:val="pl-PL"/>
              </w:rPr>
              <w:t>Utrzymująca się remisja</w:t>
            </w:r>
          </w:p>
        </w:tc>
        <w:tc>
          <w:tcPr>
            <w:tcW w:w="3130" w:type="dxa"/>
            <w:vAlign w:val="center"/>
          </w:tcPr>
          <w:p w14:paraId="59369C6C" w14:textId="77777777" w:rsidR="002E5800" w:rsidRPr="008F328C" w:rsidRDefault="000E0B7C">
            <w:pPr>
              <w:pStyle w:val="a3"/>
              <w:jc w:val="center"/>
              <w:rPr>
                <w:b/>
                <w:bCs/>
                <w:lang w:val="pl-PL"/>
              </w:rPr>
            </w:pPr>
            <w:r w:rsidRPr="008F328C">
              <w:rPr>
                <w:rFonts w:eastAsia="Times New Roman"/>
                <w:lang w:val="pl-PL"/>
              </w:rPr>
              <w:t>4%</w:t>
            </w:r>
          </w:p>
        </w:tc>
        <w:tc>
          <w:tcPr>
            <w:tcW w:w="3191" w:type="dxa"/>
            <w:vAlign w:val="center"/>
          </w:tcPr>
          <w:p w14:paraId="1F1BC629" w14:textId="77777777" w:rsidR="002E5800" w:rsidRPr="008F328C" w:rsidRDefault="000E0B7C">
            <w:pPr>
              <w:pStyle w:val="a3"/>
              <w:jc w:val="center"/>
              <w:rPr>
                <w:b/>
                <w:bCs/>
                <w:lang w:val="pl-PL"/>
              </w:rPr>
            </w:pPr>
            <w:r w:rsidRPr="008F328C">
              <w:rPr>
                <w:rFonts w:eastAsia="Times New Roman"/>
                <w:lang w:val="pl-PL"/>
              </w:rPr>
              <w:t>8%</w:t>
            </w:r>
            <w:r w:rsidRPr="008F328C">
              <w:rPr>
                <w:rFonts w:eastAsia="Times New Roman"/>
                <w:sz w:val="20"/>
                <w:szCs w:val="20"/>
                <w:lang w:val="pl-PL"/>
              </w:rPr>
              <w:t>*</w:t>
            </w:r>
          </w:p>
        </w:tc>
      </w:tr>
      <w:tr w:rsidR="002E5800" w:rsidRPr="008F328C" w14:paraId="63FA2243" w14:textId="77777777" w:rsidTr="0008144B">
        <w:trPr>
          <w:jc w:val="center"/>
        </w:trPr>
        <w:tc>
          <w:tcPr>
            <w:tcW w:w="2849" w:type="dxa"/>
            <w:tcBorders>
              <w:bottom w:val="single" w:sz="4" w:space="0" w:color="auto"/>
            </w:tcBorders>
            <w:vAlign w:val="center"/>
          </w:tcPr>
          <w:p w14:paraId="66280EDC" w14:textId="77777777" w:rsidR="002E5800" w:rsidRPr="008F328C" w:rsidRDefault="000E0B7C">
            <w:pPr>
              <w:pStyle w:val="a3"/>
              <w:jc w:val="both"/>
              <w:rPr>
                <w:lang w:val="pl-PL"/>
              </w:rPr>
            </w:pPr>
            <w:r w:rsidRPr="008F328C">
              <w:rPr>
                <w:rFonts w:eastAsia="Times New Roman"/>
                <w:lang w:val="pl-PL"/>
              </w:rPr>
              <w:t>Utrzymujące się wygojenie błony śluzowej</w:t>
            </w:r>
          </w:p>
        </w:tc>
        <w:tc>
          <w:tcPr>
            <w:tcW w:w="3130" w:type="dxa"/>
            <w:tcBorders>
              <w:bottom w:val="single" w:sz="4" w:space="0" w:color="auto"/>
            </w:tcBorders>
            <w:vAlign w:val="center"/>
          </w:tcPr>
          <w:p w14:paraId="29CF0B34" w14:textId="77777777" w:rsidR="002E5800" w:rsidRPr="008F328C" w:rsidRDefault="000E0B7C">
            <w:pPr>
              <w:pStyle w:val="a3"/>
              <w:jc w:val="center"/>
              <w:rPr>
                <w:b/>
                <w:bCs/>
                <w:lang w:val="pl-PL"/>
              </w:rPr>
            </w:pPr>
            <w:r w:rsidRPr="008F328C">
              <w:rPr>
                <w:rFonts w:eastAsia="Times New Roman"/>
                <w:lang w:val="pl-PL"/>
              </w:rPr>
              <w:t>11%</w:t>
            </w:r>
          </w:p>
        </w:tc>
        <w:tc>
          <w:tcPr>
            <w:tcW w:w="3191" w:type="dxa"/>
            <w:tcBorders>
              <w:bottom w:val="single" w:sz="4" w:space="0" w:color="auto"/>
            </w:tcBorders>
            <w:vAlign w:val="center"/>
          </w:tcPr>
          <w:p w14:paraId="06ED9858" w14:textId="77777777" w:rsidR="002E5800" w:rsidRPr="008F328C" w:rsidRDefault="000E0B7C">
            <w:pPr>
              <w:pStyle w:val="a3"/>
              <w:jc w:val="center"/>
              <w:rPr>
                <w:b/>
                <w:bCs/>
                <w:lang w:val="pl-PL"/>
              </w:rPr>
            </w:pPr>
            <w:r w:rsidRPr="008F328C">
              <w:rPr>
                <w:rFonts w:eastAsia="Times New Roman"/>
                <w:lang w:val="pl-PL"/>
              </w:rPr>
              <w:t>19%</w:t>
            </w:r>
            <w:r w:rsidRPr="008F328C">
              <w:rPr>
                <w:rFonts w:eastAsia="Times New Roman"/>
                <w:sz w:val="20"/>
                <w:szCs w:val="20"/>
                <w:lang w:val="pl-PL"/>
              </w:rPr>
              <w:t>*</w:t>
            </w:r>
          </w:p>
        </w:tc>
      </w:tr>
    </w:tbl>
    <w:p w14:paraId="0E014A52" w14:textId="77777777" w:rsidR="002E5800" w:rsidRPr="008F328C" w:rsidRDefault="000E0B7C">
      <w:pPr>
        <w:pStyle w:val="a3"/>
        <w:rPr>
          <w:lang w:val="pl-PL"/>
        </w:rPr>
      </w:pPr>
      <w:r w:rsidRPr="008F328C">
        <w:rPr>
          <w:rFonts w:eastAsia="Times New Roman"/>
          <w:lang w:val="pl-PL"/>
        </w:rPr>
        <w:t>Remisja kliniczna: ocena punktowa w skali Mayo ≤ 2 bez oceny punktowej w częściowej skali &gt; 1;</w:t>
      </w:r>
    </w:p>
    <w:p w14:paraId="628CE76E" w14:textId="77777777" w:rsidR="002E5800" w:rsidRPr="008F328C" w:rsidRDefault="000E0B7C">
      <w:pPr>
        <w:pStyle w:val="a3"/>
        <w:rPr>
          <w:lang w:val="pl-PL"/>
        </w:rPr>
      </w:pPr>
      <w:r w:rsidRPr="008F328C">
        <w:rPr>
          <w:rFonts w:eastAsia="Times New Roman"/>
          <w:lang w:val="pl-PL"/>
        </w:rPr>
        <w:t>Odpowiedź kliniczną stanowi zmniejszenie, w porównaniu do wartości wyjściowej, oceny punktowej aktywności choroby w skali Mayo o ≥ 3 punkty i ≥ 30% oraz zmniejszenie w częściowej skali oceny krwawienia z odbytnicy (ang. rectal bleeding subscore, RBS) o ≥ 1 lub bezwzględna ocena RBS wynosząca 0 lub 1;</w:t>
      </w:r>
    </w:p>
    <w:p w14:paraId="52975747" w14:textId="77777777" w:rsidR="002E5800" w:rsidRPr="008F328C" w:rsidRDefault="000E0B7C">
      <w:pPr>
        <w:pStyle w:val="a3"/>
        <w:rPr>
          <w:lang w:val="pl-PL"/>
        </w:rPr>
      </w:pPr>
      <w:r w:rsidRPr="008F328C">
        <w:rPr>
          <w:rFonts w:eastAsia="Times New Roman"/>
          <w:spacing w:val="-2"/>
          <w:position w:val="9"/>
          <w:lang w:val="pl-PL"/>
        </w:rPr>
        <w:t xml:space="preserve">* p &lt; 0,05 dla adalimumabu </w:t>
      </w:r>
      <w:r w:rsidRPr="008F328C">
        <w:rPr>
          <w:rFonts w:eastAsia="Times New Roman"/>
          <w:i/>
          <w:iCs/>
          <w:spacing w:val="-2"/>
          <w:position w:val="9"/>
          <w:lang w:val="pl-PL"/>
        </w:rPr>
        <w:t xml:space="preserve">vs. </w:t>
      </w:r>
      <w:r w:rsidRPr="008F328C">
        <w:rPr>
          <w:rFonts w:eastAsia="Times New Roman"/>
          <w:spacing w:val="-2"/>
          <w:position w:val="9"/>
          <w:lang w:val="pl-PL"/>
        </w:rPr>
        <w:t>placebo porównanie proporcji parami</w:t>
      </w:r>
    </w:p>
    <w:p w14:paraId="12FC235A" w14:textId="357EECA6" w:rsidR="002E5800" w:rsidRPr="008F328C" w:rsidRDefault="00964D0A">
      <w:pPr>
        <w:pStyle w:val="a3"/>
        <w:rPr>
          <w:lang w:val="pl-PL"/>
        </w:rPr>
      </w:pPr>
      <w:r w:rsidRPr="008F328C">
        <w:rPr>
          <w:rFonts w:eastAsia="Times New Roman"/>
          <w:spacing w:val="-2"/>
          <w:lang w:val="pl-PL"/>
        </w:rPr>
        <w:t>*</w:t>
      </w:r>
      <w:r w:rsidR="000E0B7C" w:rsidRPr="008F328C">
        <w:rPr>
          <w:rFonts w:eastAsia="Times New Roman"/>
          <w:spacing w:val="-2"/>
          <w:lang w:val="pl-PL"/>
        </w:rPr>
        <w:t xml:space="preserve">* p &lt; 0,001 dla adalimumabu </w:t>
      </w:r>
      <w:r w:rsidR="000E0B7C" w:rsidRPr="008F328C">
        <w:rPr>
          <w:rFonts w:eastAsia="Times New Roman"/>
          <w:i/>
          <w:iCs/>
          <w:spacing w:val="-2"/>
          <w:lang w:val="pl-PL"/>
        </w:rPr>
        <w:t xml:space="preserve">vs. </w:t>
      </w:r>
      <w:r w:rsidR="000E0B7C" w:rsidRPr="008F328C">
        <w:rPr>
          <w:rFonts w:eastAsia="Times New Roman"/>
          <w:spacing w:val="-2"/>
          <w:lang w:val="pl-PL"/>
        </w:rPr>
        <w:t>placebo porównanie proporcji parami</w:t>
      </w:r>
    </w:p>
    <w:p w14:paraId="6DE4DE07" w14:textId="77777777" w:rsidR="002E5800" w:rsidRPr="008F328C" w:rsidRDefault="000E0B7C">
      <w:pPr>
        <w:pStyle w:val="a3"/>
        <w:rPr>
          <w:lang w:val="pl-PL"/>
        </w:rPr>
      </w:pPr>
      <w:r w:rsidRPr="008F328C">
        <w:rPr>
          <w:rFonts w:eastAsia="Times New Roman"/>
          <w:position w:val="8"/>
          <w:vertAlign w:val="superscript"/>
          <w:lang w:val="pl-PL"/>
        </w:rPr>
        <w:t>a</w:t>
      </w:r>
      <w:r w:rsidRPr="008F328C">
        <w:rPr>
          <w:rFonts w:eastAsia="Times New Roman"/>
          <w:position w:val="8"/>
          <w:lang w:val="pl-PL"/>
        </w:rPr>
        <w:t xml:space="preserve"> Spośród pacjentów otrzymujących kortykosteroidy w chwili włączenia do badania.</w:t>
      </w:r>
    </w:p>
    <w:p w14:paraId="0026A470" w14:textId="77777777" w:rsidR="002E5800" w:rsidRPr="008F328C" w:rsidRDefault="002E5800">
      <w:pPr>
        <w:spacing w:before="6" w:line="190" w:lineRule="exact"/>
        <w:rPr>
          <w:rFonts w:ascii="Times New Roman" w:hAnsi="Times New Roman" w:cs="Times New Roman"/>
          <w:sz w:val="19"/>
          <w:szCs w:val="19"/>
          <w:lang w:val="pl-PL"/>
        </w:rPr>
      </w:pPr>
    </w:p>
    <w:p w14:paraId="657F13C2" w14:textId="77777777" w:rsidR="002E5800" w:rsidRPr="008F328C" w:rsidRDefault="000E0B7C">
      <w:pPr>
        <w:pStyle w:val="a3"/>
        <w:rPr>
          <w:lang w:val="pl-PL"/>
        </w:rPr>
      </w:pPr>
      <w:r w:rsidRPr="008F328C">
        <w:rPr>
          <w:rFonts w:eastAsia="Times New Roman"/>
          <w:lang w:val="pl-PL"/>
        </w:rPr>
        <w:t>Spośród pacjentów, którzy wykazywali odpowiedź kliniczną w 8. tygodniu, w 52. tygodniu odpowiedź stwierdzono u 47%, remisję u 29%, wygojenie błony śluzowej u 41% i remisję wolną od stosowania steroidów przez ≥ 90 dni u 20%.</w:t>
      </w:r>
    </w:p>
    <w:p w14:paraId="5725E6B9" w14:textId="77777777" w:rsidR="002E5800" w:rsidRPr="008F328C" w:rsidRDefault="002E5800">
      <w:pPr>
        <w:spacing w:before="11" w:line="240" w:lineRule="exact"/>
        <w:rPr>
          <w:rFonts w:ascii="Times New Roman" w:hAnsi="Times New Roman" w:cs="Times New Roman"/>
          <w:sz w:val="24"/>
          <w:szCs w:val="24"/>
          <w:lang w:val="pl-PL"/>
        </w:rPr>
      </w:pPr>
    </w:p>
    <w:p w14:paraId="641128FD" w14:textId="77777777" w:rsidR="002E5800" w:rsidRPr="008F328C" w:rsidRDefault="000E0B7C">
      <w:pPr>
        <w:pStyle w:val="a3"/>
        <w:rPr>
          <w:lang w:val="pl-PL"/>
        </w:rPr>
      </w:pPr>
      <w:r w:rsidRPr="008F328C">
        <w:rPr>
          <w:rFonts w:eastAsia="Times New Roman"/>
          <w:lang w:val="pl-PL"/>
        </w:rPr>
        <w:t>Około 40% pacjentów w badaniu II we WZJG było uprzednio bez powodzenia leczonych innym antagonistą TNF – infliksymabem. U tych pacjentów skuteczność adalimumabu była mniejsza w porównaniu do pacjentów uprzednio nieleczonych antagonistą TNF. W 52. tygodniu, spośród pacjentów uprzednio bez powodzenia leczonych antagonistą TNF, remisję osiągnęło 3% pacjentów otrzymujących placebo i 10% pacjentów otrzymujących adalimumab.</w:t>
      </w:r>
    </w:p>
    <w:p w14:paraId="015E4D54" w14:textId="77777777" w:rsidR="002E5800" w:rsidRPr="008F328C" w:rsidRDefault="002E5800">
      <w:pPr>
        <w:pStyle w:val="a3"/>
        <w:rPr>
          <w:sz w:val="24"/>
          <w:szCs w:val="24"/>
          <w:lang w:val="pl-PL"/>
        </w:rPr>
      </w:pPr>
    </w:p>
    <w:p w14:paraId="19C933B5" w14:textId="77777777" w:rsidR="002E5800" w:rsidRPr="008F328C" w:rsidRDefault="000E0B7C">
      <w:pPr>
        <w:pStyle w:val="a3"/>
        <w:rPr>
          <w:lang w:val="pl-PL"/>
        </w:rPr>
      </w:pPr>
      <w:r w:rsidRPr="008F328C">
        <w:rPr>
          <w:rFonts w:eastAsia="Times New Roman"/>
          <w:lang w:val="pl-PL"/>
        </w:rPr>
        <w:t>Pacjenci z badań I i II we WZJG mieli możliwość kontynuowania leczenia w otwartym, długookresowym badaniu III będącym kontynuacją tych badań. Po 3 latach terapii adalimumabem, 75% pacjentów (301/402) pozostawało w remisji ocenianej w częściowej skali Mayo.</w:t>
      </w:r>
    </w:p>
    <w:p w14:paraId="56D17654" w14:textId="77777777" w:rsidR="002E5800" w:rsidRPr="008F328C" w:rsidRDefault="002E5800">
      <w:pPr>
        <w:pStyle w:val="a3"/>
        <w:rPr>
          <w:lang w:val="pl-PL"/>
        </w:rPr>
      </w:pPr>
    </w:p>
    <w:p w14:paraId="3CB5561C" w14:textId="77777777" w:rsidR="002E5800" w:rsidRPr="008F328C" w:rsidRDefault="000E0B7C">
      <w:pPr>
        <w:pStyle w:val="a3"/>
        <w:rPr>
          <w:i/>
          <w:u w:val="single"/>
          <w:lang w:val="pl-PL"/>
        </w:rPr>
      </w:pPr>
      <w:r w:rsidRPr="008F328C">
        <w:rPr>
          <w:rFonts w:eastAsia="Times New Roman"/>
          <w:i/>
          <w:iCs/>
          <w:u w:val="single" w:color="000000"/>
          <w:lang w:val="pl-PL"/>
        </w:rPr>
        <w:t>Współczynniki hospitalizacji</w:t>
      </w:r>
    </w:p>
    <w:p w14:paraId="13B54D63" w14:textId="77777777" w:rsidR="002E5800" w:rsidRPr="008F328C" w:rsidRDefault="002E5800">
      <w:pPr>
        <w:pStyle w:val="a3"/>
        <w:rPr>
          <w:sz w:val="18"/>
          <w:szCs w:val="18"/>
          <w:lang w:val="pl-PL"/>
        </w:rPr>
      </w:pPr>
    </w:p>
    <w:p w14:paraId="2D6680F2" w14:textId="77777777" w:rsidR="002E5800" w:rsidRPr="008F328C" w:rsidRDefault="000E0B7C">
      <w:pPr>
        <w:pStyle w:val="a3"/>
        <w:rPr>
          <w:lang w:val="pl-PL"/>
        </w:rPr>
      </w:pPr>
      <w:r w:rsidRPr="008F328C">
        <w:rPr>
          <w:rFonts w:eastAsia="Times New Roman"/>
          <w:lang w:val="pl-PL"/>
        </w:rPr>
        <w:t xml:space="preserve">W czasie 52. tygodni prowadzenia badań klinicznych I i II we WZJG w ramieniu terapii adalimumabem obserwowano niższe współczynniki hospitalizacji z wszystkich przyczyn oraz hospitalizacji związanych z WZJG w porównaniu do ramienia otrzymującego placebo. Liczba hospitalizacji z wszystkich przyczyn w grupie leczonej adalimumabem wynosiła 0,18 na pacjentorok </w:t>
      </w:r>
      <w:r w:rsidRPr="008F328C">
        <w:rPr>
          <w:rFonts w:eastAsia="Times New Roman"/>
          <w:i/>
          <w:iCs/>
          <w:lang w:val="pl-PL"/>
        </w:rPr>
        <w:t>vs.</w:t>
      </w:r>
      <w:r w:rsidRPr="008F328C">
        <w:rPr>
          <w:rFonts w:eastAsia="Times New Roman"/>
          <w:lang w:val="pl-PL"/>
        </w:rPr>
        <w:t xml:space="preserve"> 0,26 na pacjentorok w grupie otrzymującej placebo, a odpowiednie dane liczbowe dotyczące hospitalizacji związanych z WZJG wynosiły 0,12 na pacjentorok </w:t>
      </w:r>
      <w:r w:rsidRPr="008F328C">
        <w:rPr>
          <w:rFonts w:eastAsia="Times New Roman"/>
          <w:i/>
          <w:iCs/>
          <w:lang w:val="pl-PL"/>
        </w:rPr>
        <w:t xml:space="preserve">vs. </w:t>
      </w:r>
      <w:r w:rsidRPr="008F328C">
        <w:rPr>
          <w:rFonts w:eastAsia="Times New Roman"/>
          <w:lang w:val="pl-PL"/>
        </w:rPr>
        <w:t>0,22 na pacjentorok.</w:t>
      </w:r>
    </w:p>
    <w:p w14:paraId="506D7D4F" w14:textId="77777777" w:rsidR="002E5800" w:rsidRPr="008F328C" w:rsidRDefault="002E5800">
      <w:pPr>
        <w:pStyle w:val="a3"/>
        <w:rPr>
          <w:sz w:val="24"/>
          <w:szCs w:val="24"/>
          <w:lang w:val="pl-PL"/>
        </w:rPr>
      </w:pPr>
    </w:p>
    <w:p w14:paraId="136D1EC9"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Jakość życia</w:t>
      </w:r>
    </w:p>
    <w:p w14:paraId="5C42CBC0" w14:textId="77777777" w:rsidR="002E5800" w:rsidRPr="008F328C" w:rsidRDefault="002E5800">
      <w:pPr>
        <w:pStyle w:val="a3"/>
        <w:rPr>
          <w:sz w:val="18"/>
          <w:szCs w:val="18"/>
          <w:lang w:val="pl-PL"/>
        </w:rPr>
      </w:pPr>
    </w:p>
    <w:p w14:paraId="098F7093" w14:textId="77777777" w:rsidR="002E5800" w:rsidRPr="008F328C" w:rsidRDefault="000E0B7C">
      <w:pPr>
        <w:pStyle w:val="a3"/>
        <w:rPr>
          <w:lang w:val="pl-PL"/>
        </w:rPr>
      </w:pPr>
      <w:r w:rsidRPr="008F328C">
        <w:rPr>
          <w:rFonts w:eastAsia="Times New Roman"/>
          <w:lang w:val="pl-PL"/>
        </w:rPr>
        <w:t>W badaniu II we WZJG leczenie adalimumabem doprowadziło do poprawy w ocenie według kwestionariusza swoistego dla choroby zapalnej jelit (ang. Inflammatory Bowel Disease Questionnaire, IBDQ).</w:t>
      </w:r>
    </w:p>
    <w:p w14:paraId="5EDE797D" w14:textId="77777777" w:rsidR="002E5800" w:rsidRPr="008F328C" w:rsidRDefault="002E5800">
      <w:pPr>
        <w:spacing w:before="10" w:line="240" w:lineRule="exact"/>
        <w:rPr>
          <w:rFonts w:ascii="Times New Roman" w:hAnsi="Times New Roman" w:cs="Times New Roman"/>
          <w:sz w:val="24"/>
          <w:szCs w:val="24"/>
          <w:lang w:val="pl-PL"/>
        </w:rPr>
      </w:pPr>
    </w:p>
    <w:p w14:paraId="17E79232" w14:textId="77777777" w:rsidR="002E5800" w:rsidRPr="008F328C" w:rsidRDefault="000E0B7C">
      <w:pPr>
        <w:pStyle w:val="a3"/>
        <w:rPr>
          <w:i/>
          <w:lang w:val="pl-PL"/>
        </w:rPr>
      </w:pPr>
      <w:r w:rsidRPr="008F328C">
        <w:rPr>
          <w:rFonts w:eastAsia="Times New Roman"/>
          <w:i/>
          <w:iCs/>
          <w:lang w:val="pl-PL"/>
        </w:rPr>
        <w:t>Zapalenie błony naczyniowej oka</w:t>
      </w:r>
    </w:p>
    <w:p w14:paraId="29E03D37" w14:textId="77777777" w:rsidR="002E5800" w:rsidRPr="008F328C" w:rsidRDefault="002E5800">
      <w:pPr>
        <w:pStyle w:val="a3"/>
        <w:rPr>
          <w:sz w:val="24"/>
          <w:szCs w:val="24"/>
          <w:lang w:val="pl-PL"/>
        </w:rPr>
      </w:pPr>
    </w:p>
    <w:p w14:paraId="1A993189" w14:textId="77777777" w:rsidR="002E5800" w:rsidRPr="008F328C" w:rsidRDefault="000E0B7C">
      <w:pPr>
        <w:pStyle w:val="a3"/>
        <w:rPr>
          <w:lang w:val="pl-PL"/>
        </w:rPr>
      </w:pPr>
      <w:r w:rsidRPr="008F328C">
        <w:rPr>
          <w:rFonts w:eastAsia="Times New Roman"/>
          <w:lang w:val="pl-PL"/>
        </w:rPr>
        <w:t>Bezpieczeństwo stosowania i skuteczność adalimumabu u dorosłych pacjentów z nieinfekcyjnym zapaleniem błony naczyniowej oka w części pośredniej, odcinka tylnego i całej błony naczyniowej, z wyłączeniem pacjentów z izolowaną postacią zapalenia przedniego odcinka błony naczyniowej, oceniano w dwóch randomizowanych, podwójnie zaślepionych, kontrolowanych placebo badaniach klinicznych (UV I i II). Pacjenci otrzymywali placebo lub adalimumab w dawce początkowej 80 mg, a następnie po tygodniu od podania dawki początkowej w dawce 40 mg co drugi tydzień. Dozwolone było jednoczesne podawanie jednego niebiologicznego leku immunosupresyjnego w stałych dawkach.</w:t>
      </w:r>
    </w:p>
    <w:p w14:paraId="020E2459" w14:textId="77777777" w:rsidR="002E5800" w:rsidRPr="008F328C" w:rsidRDefault="002E5800">
      <w:pPr>
        <w:pStyle w:val="a3"/>
        <w:rPr>
          <w:sz w:val="24"/>
          <w:szCs w:val="24"/>
          <w:lang w:val="pl-PL"/>
        </w:rPr>
      </w:pPr>
    </w:p>
    <w:p w14:paraId="73951A0F" w14:textId="77777777" w:rsidR="002E5800" w:rsidRPr="008F328C" w:rsidRDefault="000E0B7C">
      <w:pPr>
        <w:pStyle w:val="a3"/>
        <w:rPr>
          <w:lang w:val="pl-PL"/>
        </w:rPr>
      </w:pPr>
      <w:r w:rsidRPr="008F328C">
        <w:rPr>
          <w:rFonts w:eastAsia="Times New Roman"/>
          <w:lang w:val="pl-PL"/>
        </w:rPr>
        <w:t>W badaniu UV I oceniano 217 pacjentów z aktywnym zapaleniem błony naczyniowej oka pomimo leczenia kortykosteroidami (prednizon podawany doustnie w dawce od 10 do 60 mg/dobę). Wszyscy pacjenci otrzymywali przez 2 tygodnie po przystąpieniu do badania standardową dawkę prednizonu 60 mg/dobę, którą następnie stopniowo zmniejszano zgodnie z obowiązującym schematem, aż do całkowitego zaprzestania podawania kortykosteroidu przed upływem 15. tygodnia.</w:t>
      </w:r>
    </w:p>
    <w:p w14:paraId="3A15A657" w14:textId="77777777" w:rsidR="002E5800" w:rsidRPr="008F328C" w:rsidRDefault="002E5800">
      <w:pPr>
        <w:pStyle w:val="a3"/>
        <w:rPr>
          <w:sz w:val="24"/>
          <w:szCs w:val="24"/>
          <w:lang w:val="pl-PL"/>
        </w:rPr>
      </w:pPr>
    </w:p>
    <w:p w14:paraId="6B9B2FF2" w14:textId="77777777" w:rsidR="002E5800" w:rsidRPr="008F328C" w:rsidRDefault="000E0B7C">
      <w:pPr>
        <w:pStyle w:val="a3"/>
        <w:rPr>
          <w:lang w:val="pl-PL"/>
        </w:rPr>
      </w:pPr>
      <w:r w:rsidRPr="008F328C">
        <w:rPr>
          <w:rFonts w:eastAsia="Times New Roman"/>
          <w:lang w:val="pl-PL"/>
        </w:rPr>
        <w:t>W badania UV II oceniano 226 pacjentów z nieaktywną postacią zapalenia błony naczyniowej oka, u których w momencie rozpoczynania badania konieczne było długotrwałe leczenie kortykosteroidami (prednizon podawany doustnie w dawce od 10 do 35 mg/dobę) w celu kontroli objawów choroby. Następnie u pacjentów stopniowo zmniejszano dawki, zgodnie z obowiązującym schematem, aż do całkowitego zaprzestania podawania kortykosteroidu przed upływem 19. tygodnia.</w:t>
      </w:r>
    </w:p>
    <w:p w14:paraId="3B8B36AC" w14:textId="77777777" w:rsidR="002E5800" w:rsidRPr="008F328C" w:rsidRDefault="002E5800">
      <w:pPr>
        <w:pStyle w:val="a3"/>
        <w:rPr>
          <w:sz w:val="24"/>
          <w:szCs w:val="24"/>
          <w:lang w:val="pl-PL"/>
        </w:rPr>
      </w:pPr>
    </w:p>
    <w:p w14:paraId="66BD43B7" w14:textId="77777777" w:rsidR="002E5800" w:rsidRPr="008F328C" w:rsidRDefault="000E0B7C">
      <w:pPr>
        <w:pStyle w:val="a3"/>
        <w:rPr>
          <w:lang w:val="pl-PL"/>
        </w:rPr>
      </w:pPr>
      <w:r w:rsidRPr="008F328C">
        <w:rPr>
          <w:rFonts w:eastAsia="Times New Roman"/>
          <w:lang w:val="pl-PL"/>
        </w:rPr>
        <w:t>W obydwu badaniach pierwszorzędowym punktem końcowym oceny skuteczności był „czas do niepowodzenia leczenia”. Niepowodzenie leczenia definiowano stosując wieloskładnikowy wynik leczenia oceniany na podstawie zapalnych zmian siatkówki i naczyniówki i (lub) zapalnych zmian naczyń siatkówki, stopnia wysięku komórek zapalnych w komorze przedniej (ang. anterior chamber, AC), stopnia zmętnienia ciała szklistego (ang. vitreous haze, HZ) i najlepszej skorygowanej ostrości wzroku (ang. best corrected visual acuity, BCVA).</w:t>
      </w:r>
    </w:p>
    <w:p w14:paraId="05DBBE84" w14:textId="77777777" w:rsidR="002E5800" w:rsidRPr="008F328C" w:rsidRDefault="002E5800">
      <w:pPr>
        <w:pStyle w:val="a3"/>
        <w:rPr>
          <w:sz w:val="24"/>
          <w:szCs w:val="24"/>
          <w:lang w:val="pl-PL"/>
        </w:rPr>
      </w:pPr>
    </w:p>
    <w:p w14:paraId="5A288B2B" w14:textId="77777777" w:rsidR="002E5800" w:rsidRPr="008F328C" w:rsidRDefault="000E0B7C">
      <w:pPr>
        <w:pStyle w:val="a3"/>
        <w:rPr>
          <w:lang w:val="pl-PL"/>
        </w:rPr>
      </w:pPr>
      <w:r w:rsidRPr="008F328C">
        <w:rPr>
          <w:rFonts w:eastAsia="Times New Roman"/>
          <w:lang w:val="pl-PL"/>
        </w:rPr>
        <w:t>Pacjenci, którzy ukończyli badania UV I i UV II byli kwalifikowani do niekontrolowanego długoterminowego badania kontynuacyjnego o pierwotnie zaplanowanym czasie trwania 78 tygodni. Pacjentom pozwolono kontynuować leczenie badanym produktem leczniczym po 78. tygodniu, dopóki adalimumab nie był dla nich dostępny.</w:t>
      </w:r>
    </w:p>
    <w:p w14:paraId="606FD9D2" w14:textId="77777777" w:rsidR="002E5800" w:rsidRPr="008F328C" w:rsidRDefault="002E5800">
      <w:pPr>
        <w:pStyle w:val="a3"/>
        <w:rPr>
          <w:sz w:val="24"/>
          <w:szCs w:val="24"/>
          <w:lang w:val="pl-PL"/>
        </w:rPr>
      </w:pPr>
    </w:p>
    <w:p w14:paraId="3E042807"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Odpowiedź kliniczna</w:t>
      </w:r>
    </w:p>
    <w:p w14:paraId="40806D1C" w14:textId="77777777" w:rsidR="002E5800" w:rsidRPr="008F328C" w:rsidRDefault="002E5800">
      <w:pPr>
        <w:pStyle w:val="a3"/>
        <w:rPr>
          <w:sz w:val="18"/>
          <w:szCs w:val="18"/>
          <w:lang w:val="pl-PL"/>
        </w:rPr>
      </w:pPr>
    </w:p>
    <w:p w14:paraId="19E69979" w14:textId="10E1E603" w:rsidR="002E5800" w:rsidRPr="008F328C" w:rsidRDefault="000E0B7C">
      <w:pPr>
        <w:pStyle w:val="a3"/>
        <w:rPr>
          <w:rFonts w:eastAsia="Times New Roman"/>
          <w:lang w:val="pl-PL"/>
        </w:rPr>
      </w:pPr>
      <w:r w:rsidRPr="008F328C">
        <w:rPr>
          <w:rFonts w:eastAsia="Times New Roman"/>
          <w:lang w:val="pl-PL"/>
        </w:rPr>
        <w:t xml:space="preserve">Wyniki obydwu badań wykazały statystycznie istotne zmniejszenie ryzyka niepowodzenia leczenia u pacjentów leczonych adalimumabem w porównaniu do pacjentów otrzymujących placebo (patrz Tabela </w:t>
      </w:r>
      <w:r w:rsidR="001B7FBF" w:rsidRPr="008F328C">
        <w:rPr>
          <w:rFonts w:eastAsia="Times New Roman"/>
          <w:lang w:val="pl-PL"/>
        </w:rPr>
        <w:t>24</w:t>
      </w:r>
      <w:r w:rsidRPr="008F328C">
        <w:rPr>
          <w:rFonts w:eastAsia="Times New Roman"/>
          <w:lang w:val="pl-PL"/>
        </w:rPr>
        <w:t>). Obydwa badania wykazały wczesny i utrzymujący się wpływ adalimumabu na odsetek niepowodzenia leczenia w porównaniu do placebo (patrz Rycina 2).</w:t>
      </w:r>
    </w:p>
    <w:p w14:paraId="69F52241" w14:textId="77777777" w:rsidR="001B7FBF" w:rsidRPr="008F328C" w:rsidRDefault="001B7FBF">
      <w:pPr>
        <w:pStyle w:val="a3"/>
        <w:rPr>
          <w:lang w:val="pl-PL"/>
        </w:rPr>
      </w:pPr>
    </w:p>
    <w:p w14:paraId="32298D6F" w14:textId="4541C4E6" w:rsidR="002E5800" w:rsidRPr="008F328C" w:rsidRDefault="000E0B7C">
      <w:pPr>
        <w:pStyle w:val="a3"/>
        <w:jc w:val="center"/>
        <w:rPr>
          <w:b/>
          <w:lang w:val="pl-PL"/>
        </w:rPr>
      </w:pPr>
      <w:r w:rsidRPr="008F328C">
        <w:rPr>
          <w:rFonts w:eastAsia="Times New Roman"/>
          <w:b/>
          <w:bCs/>
          <w:lang w:val="pl-PL"/>
        </w:rPr>
        <w:t xml:space="preserve">Tabela </w:t>
      </w:r>
      <w:r w:rsidR="001B7FBF" w:rsidRPr="008F328C">
        <w:rPr>
          <w:rFonts w:eastAsia="Times New Roman"/>
          <w:b/>
          <w:bCs/>
          <w:lang w:val="pl-PL"/>
        </w:rPr>
        <w:t>24</w:t>
      </w:r>
    </w:p>
    <w:p w14:paraId="7F23AC51" w14:textId="77777777" w:rsidR="002E5800" w:rsidRPr="008F328C" w:rsidRDefault="000E0B7C">
      <w:pPr>
        <w:pStyle w:val="a3"/>
        <w:jc w:val="center"/>
        <w:rPr>
          <w:b/>
          <w:lang w:val="pl-PL"/>
        </w:rPr>
      </w:pPr>
      <w:r w:rsidRPr="008F328C">
        <w:rPr>
          <w:rFonts w:eastAsia="Times New Roman"/>
          <w:b/>
          <w:bCs/>
          <w:lang w:val="pl-PL"/>
        </w:rPr>
        <w:t>Czas do niepowodzenia leczenia w badaniach UV I i UV II</w:t>
      </w:r>
    </w:p>
    <w:p w14:paraId="1696AD31" w14:textId="77777777" w:rsidR="002E5800" w:rsidRPr="008F328C" w:rsidRDefault="002E5800">
      <w:pPr>
        <w:pStyle w:val="a3"/>
        <w:jc w:val="center"/>
        <w:rPr>
          <w:b/>
          <w:lang w:val="pl-PL"/>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2"/>
        <w:gridCol w:w="1369"/>
        <w:gridCol w:w="1982"/>
        <w:gridCol w:w="1597"/>
        <w:gridCol w:w="1045"/>
        <w:gridCol w:w="1052"/>
        <w:gridCol w:w="1102"/>
      </w:tblGrid>
      <w:tr w:rsidR="002E5800" w:rsidRPr="008F328C" w14:paraId="2333FD02" w14:textId="77777777">
        <w:trPr>
          <w:trHeight w:val="378"/>
          <w:jc w:val="center"/>
        </w:trPr>
        <w:tc>
          <w:tcPr>
            <w:tcW w:w="1624" w:type="dxa"/>
            <w:tcBorders>
              <w:top w:val="single" w:sz="4" w:space="0" w:color="auto"/>
              <w:bottom w:val="single" w:sz="4" w:space="0" w:color="auto"/>
            </w:tcBorders>
            <w:vAlign w:val="center"/>
          </w:tcPr>
          <w:p w14:paraId="2D7EFDC1" w14:textId="77777777" w:rsidR="002E5800" w:rsidRPr="008F328C" w:rsidRDefault="000E0B7C">
            <w:pPr>
              <w:pStyle w:val="a3"/>
              <w:jc w:val="center"/>
              <w:rPr>
                <w:b/>
                <w:lang w:val="pl-PL" w:eastAsia="ko-KR"/>
              </w:rPr>
            </w:pPr>
            <w:r w:rsidRPr="008F328C">
              <w:rPr>
                <w:rFonts w:eastAsia="Times New Roman"/>
                <w:b/>
                <w:bCs/>
                <w:lang w:val="pl-PL" w:eastAsia="ko-KR"/>
              </w:rPr>
              <w:t>Analiza leczenia</w:t>
            </w:r>
          </w:p>
        </w:tc>
        <w:tc>
          <w:tcPr>
            <w:tcW w:w="1530" w:type="dxa"/>
            <w:tcBorders>
              <w:top w:val="single" w:sz="4" w:space="0" w:color="auto"/>
              <w:bottom w:val="single" w:sz="4" w:space="0" w:color="auto"/>
            </w:tcBorders>
            <w:vAlign w:val="center"/>
          </w:tcPr>
          <w:p w14:paraId="7BD99D7E" w14:textId="77777777" w:rsidR="002E5800" w:rsidRPr="008F328C" w:rsidRDefault="000E0B7C">
            <w:pPr>
              <w:pStyle w:val="a3"/>
              <w:jc w:val="center"/>
              <w:rPr>
                <w:b/>
                <w:lang w:val="pl-PL"/>
              </w:rPr>
            </w:pPr>
            <w:r w:rsidRPr="008F328C">
              <w:rPr>
                <w:rFonts w:eastAsia="Times New Roman"/>
                <w:b/>
                <w:bCs/>
                <w:lang w:val="pl-PL"/>
              </w:rPr>
              <w:t>N</w:t>
            </w:r>
          </w:p>
        </w:tc>
        <w:tc>
          <w:tcPr>
            <w:tcW w:w="2052" w:type="dxa"/>
            <w:tcBorders>
              <w:top w:val="single" w:sz="4" w:space="0" w:color="auto"/>
              <w:bottom w:val="single" w:sz="4" w:space="0" w:color="auto"/>
            </w:tcBorders>
            <w:vAlign w:val="center"/>
          </w:tcPr>
          <w:p w14:paraId="667BD672" w14:textId="77777777" w:rsidR="002E5800" w:rsidRPr="008F328C" w:rsidRDefault="000E0B7C">
            <w:pPr>
              <w:pStyle w:val="a3"/>
              <w:jc w:val="center"/>
              <w:rPr>
                <w:b/>
                <w:lang w:val="pl-PL"/>
              </w:rPr>
            </w:pPr>
            <w:r w:rsidRPr="008F328C">
              <w:rPr>
                <w:rFonts w:eastAsia="Times New Roman"/>
                <w:b/>
                <w:bCs/>
                <w:spacing w:val="-1"/>
                <w:lang w:val="pl-PL"/>
              </w:rPr>
              <w:t>Niepowodzenie N (%)</w:t>
            </w:r>
          </w:p>
        </w:tc>
        <w:tc>
          <w:tcPr>
            <w:tcW w:w="1130" w:type="dxa"/>
            <w:tcBorders>
              <w:top w:val="single" w:sz="4" w:space="0" w:color="auto"/>
              <w:bottom w:val="single" w:sz="4" w:space="0" w:color="auto"/>
            </w:tcBorders>
          </w:tcPr>
          <w:p w14:paraId="37DEAE01" w14:textId="77777777" w:rsidR="002E5800" w:rsidRPr="008F328C" w:rsidRDefault="000E0B7C">
            <w:pPr>
              <w:pStyle w:val="a3"/>
              <w:jc w:val="center"/>
              <w:rPr>
                <w:b/>
                <w:bCs/>
                <w:spacing w:val="-1"/>
                <w:lang w:val="pl-PL" w:eastAsia="ko-KR"/>
              </w:rPr>
            </w:pPr>
            <w:r w:rsidRPr="008F328C">
              <w:rPr>
                <w:rFonts w:eastAsia="Times New Roman"/>
                <w:b/>
                <w:bCs/>
                <w:spacing w:val="-1"/>
                <w:lang w:val="pl-PL" w:eastAsia="ko-KR"/>
              </w:rPr>
              <w:t>Mediana czasu do niepowodzenia (miesiące)</w:t>
            </w:r>
          </w:p>
        </w:tc>
        <w:tc>
          <w:tcPr>
            <w:tcW w:w="1130" w:type="dxa"/>
            <w:tcBorders>
              <w:top w:val="single" w:sz="4" w:space="0" w:color="auto"/>
              <w:bottom w:val="single" w:sz="4" w:space="0" w:color="auto"/>
            </w:tcBorders>
            <w:vAlign w:val="center"/>
          </w:tcPr>
          <w:p w14:paraId="74C626FD" w14:textId="77777777" w:rsidR="002E5800" w:rsidRPr="008F328C" w:rsidRDefault="000E0B7C">
            <w:pPr>
              <w:pStyle w:val="a3"/>
              <w:jc w:val="center"/>
              <w:rPr>
                <w:b/>
                <w:bCs/>
                <w:spacing w:val="-1"/>
                <w:lang w:val="pl-PL" w:eastAsia="ko-KR"/>
              </w:rPr>
            </w:pPr>
            <w:r w:rsidRPr="008F328C">
              <w:rPr>
                <w:rFonts w:eastAsia="Times New Roman"/>
                <w:b/>
                <w:bCs/>
                <w:spacing w:val="-1"/>
                <w:lang w:val="pl-PL" w:eastAsia="ko-KR"/>
              </w:rPr>
              <w:t>HR</w:t>
            </w:r>
            <w:r w:rsidRPr="008F328C">
              <w:rPr>
                <w:rFonts w:eastAsia="Times New Roman"/>
                <w:b/>
                <w:bCs/>
                <w:spacing w:val="-1"/>
                <w:vertAlign w:val="superscript"/>
                <w:lang w:val="pl-PL" w:eastAsia="ko-KR"/>
              </w:rPr>
              <w:t>a</w:t>
            </w:r>
          </w:p>
        </w:tc>
        <w:tc>
          <w:tcPr>
            <w:tcW w:w="1130" w:type="dxa"/>
            <w:tcBorders>
              <w:top w:val="single" w:sz="4" w:space="0" w:color="auto"/>
              <w:bottom w:val="single" w:sz="4" w:space="0" w:color="auto"/>
            </w:tcBorders>
            <w:vAlign w:val="center"/>
          </w:tcPr>
          <w:p w14:paraId="70D2B4D0" w14:textId="77777777" w:rsidR="002E5800" w:rsidRPr="008F328C" w:rsidRDefault="000E0B7C">
            <w:pPr>
              <w:pStyle w:val="a3"/>
              <w:jc w:val="center"/>
              <w:rPr>
                <w:b/>
                <w:bCs/>
                <w:spacing w:val="-1"/>
                <w:lang w:val="pl-PL" w:eastAsia="ko-KR"/>
              </w:rPr>
            </w:pPr>
            <w:r w:rsidRPr="008F328C">
              <w:rPr>
                <w:rFonts w:eastAsia="Times New Roman"/>
                <w:b/>
                <w:bCs/>
                <w:spacing w:val="-1"/>
                <w:lang w:val="pl-PL" w:eastAsia="ko-KR"/>
              </w:rPr>
              <w:t>CI 95% dla HR</w:t>
            </w:r>
            <w:r w:rsidRPr="008F328C">
              <w:rPr>
                <w:rFonts w:eastAsia="Times New Roman"/>
                <w:b/>
                <w:bCs/>
                <w:spacing w:val="-1"/>
                <w:sz w:val="14"/>
                <w:szCs w:val="14"/>
                <w:lang w:val="pl-PL" w:eastAsia="ko-KR"/>
              </w:rPr>
              <w:t>a</w:t>
            </w:r>
          </w:p>
        </w:tc>
        <w:tc>
          <w:tcPr>
            <w:tcW w:w="1130" w:type="dxa"/>
            <w:tcBorders>
              <w:top w:val="single" w:sz="4" w:space="0" w:color="auto"/>
              <w:bottom w:val="single" w:sz="4" w:space="0" w:color="auto"/>
            </w:tcBorders>
            <w:vAlign w:val="center"/>
          </w:tcPr>
          <w:p w14:paraId="5E6F87F9" w14:textId="77777777" w:rsidR="002E5800" w:rsidRPr="008F328C" w:rsidRDefault="000E0B7C">
            <w:pPr>
              <w:pStyle w:val="a3"/>
              <w:jc w:val="center"/>
              <w:rPr>
                <w:b/>
                <w:lang w:val="pl-PL"/>
              </w:rPr>
            </w:pPr>
            <w:r w:rsidRPr="008F328C">
              <w:rPr>
                <w:rFonts w:eastAsia="Times New Roman"/>
                <w:bCs/>
                <w:i/>
                <w:iCs/>
                <w:spacing w:val="-1"/>
                <w:lang w:val="pl-PL" w:eastAsia="ko-KR"/>
              </w:rPr>
              <w:t xml:space="preserve">Wartość </w:t>
            </w:r>
            <w:r w:rsidRPr="008F328C">
              <w:rPr>
                <w:rFonts w:eastAsia="Times New Roman"/>
                <w:b/>
                <w:bCs/>
                <w:i/>
                <w:iCs/>
                <w:spacing w:val="-1"/>
                <w:lang w:val="pl-PL" w:eastAsia="ko-KR"/>
              </w:rPr>
              <w:t>p</w:t>
            </w:r>
            <w:r w:rsidRPr="008F328C">
              <w:rPr>
                <w:rFonts w:eastAsia="Times New Roman"/>
                <w:b/>
                <w:bCs/>
                <w:spacing w:val="-1"/>
                <w:vertAlign w:val="superscript"/>
                <w:lang w:val="pl-PL" w:eastAsia="ko-KR"/>
              </w:rPr>
              <w:t>b</w:t>
            </w:r>
          </w:p>
          <w:p w14:paraId="77C03166" w14:textId="77777777" w:rsidR="002E5800" w:rsidRPr="008F328C" w:rsidRDefault="002E5800">
            <w:pPr>
              <w:pStyle w:val="a3"/>
              <w:jc w:val="center"/>
              <w:rPr>
                <w:rFonts w:eastAsia="Times New Roman"/>
                <w:b/>
                <w:bCs/>
                <w:spacing w:val="-1"/>
                <w:lang w:val="pl-PL"/>
              </w:rPr>
            </w:pPr>
          </w:p>
        </w:tc>
      </w:tr>
      <w:tr w:rsidR="002E5800" w:rsidRPr="008F328C" w14:paraId="2D127A57" w14:textId="77777777">
        <w:trPr>
          <w:trHeight w:val="378"/>
          <w:jc w:val="center"/>
        </w:trPr>
        <w:tc>
          <w:tcPr>
            <w:tcW w:w="9729" w:type="dxa"/>
            <w:gridSpan w:val="7"/>
            <w:tcBorders>
              <w:top w:val="single" w:sz="4" w:space="0" w:color="auto"/>
              <w:bottom w:val="single" w:sz="4" w:space="0" w:color="auto"/>
            </w:tcBorders>
            <w:vAlign w:val="center"/>
          </w:tcPr>
          <w:p w14:paraId="1C7DFF62" w14:textId="77777777" w:rsidR="002E5800" w:rsidRPr="008F328C" w:rsidRDefault="000E0B7C">
            <w:pPr>
              <w:pStyle w:val="a3"/>
              <w:rPr>
                <w:b/>
                <w:lang w:val="pl-PL"/>
              </w:rPr>
            </w:pPr>
            <w:r w:rsidRPr="008F328C">
              <w:rPr>
                <w:rFonts w:eastAsia="Times New Roman"/>
                <w:b/>
                <w:bCs/>
                <w:lang w:val="pl-PL"/>
              </w:rPr>
              <w:t xml:space="preserve">Czas do niepowodzenia leczenia w 6. tygodniu lub po 6. tygodniu w badaniu UV I </w:t>
            </w:r>
          </w:p>
          <w:p w14:paraId="28BB1B49" w14:textId="77777777" w:rsidR="002E5800" w:rsidRPr="008F328C" w:rsidRDefault="000E0B7C">
            <w:pPr>
              <w:pStyle w:val="a3"/>
              <w:jc w:val="both"/>
              <w:rPr>
                <w:lang w:val="pl-PL"/>
              </w:rPr>
            </w:pPr>
            <w:r w:rsidRPr="008F328C">
              <w:rPr>
                <w:rFonts w:eastAsia="Times New Roman"/>
                <w:b/>
                <w:bCs/>
                <w:lang w:val="pl-PL"/>
              </w:rPr>
              <w:t>Pierwotna analiza (ITT)</w:t>
            </w:r>
          </w:p>
        </w:tc>
      </w:tr>
      <w:tr w:rsidR="002E5800" w:rsidRPr="008F328C" w14:paraId="06E336FD" w14:textId="77777777">
        <w:trPr>
          <w:trHeight w:val="393"/>
          <w:jc w:val="center"/>
        </w:trPr>
        <w:tc>
          <w:tcPr>
            <w:tcW w:w="1624" w:type="dxa"/>
            <w:tcBorders>
              <w:top w:val="single" w:sz="4" w:space="0" w:color="auto"/>
            </w:tcBorders>
            <w:vAlign w:val="center"/>
          </w:tcPr>
          <w:p w14:paraId="38EC25A3" w14:textId="77777777" w:rsidR="002E5800" w:rsidRPr="008F328C" w:rsidRDefault="000E0B7C">
            <w:pPr>
              <w:pStyle w:val="a3"/>
              <w:jc w:val="center"/>
              <w:rPr>
                <w:lang w:val="pl-PL"/>
              </w:rPr>
            </w:pPr>
            <w:r w:rsidRPr="008F328C">
              <w:rPr>
                <w:rFonts w:eastAsia="Times New Roman"/>
                <w:lang w:val="pl-PL"/>
              </w:rPr>
              <w:t>Placebo</w:t>
            </w:r>
          </w:p>
        </w:tc>
        <w:tc>
          <w:tcPr>
            <w:tcW w:w="1530" w:type="dxa"/>
            <w:tcBorders>
              <w:top w:val="single" w:sz="4" w:space="0" w:color="auto"/>
            </w:tcBorders>
          </w:tcPr>
          <w:p w14:paraId="566CA35F" w14:textId="77777777" w:rsidR="002E5800" w:rsidRPr="008F328C" w:rsidRDefault="000E0B7C">
            <w:pPr>
              <w:pStyle w:val="a3"/>
              <w:jc w:val="center"/>
              <w:rPr>
                <w:lang w:val="pl-PL"/>
              </w:rPr>
            </w:pPr>
            <w:r w:rsidRPr="008F328C">
              <w:rPr>
                <w:rFonts w:eastAsia="Times New Roman"/>
                <w:lang w:val="pl-PL"/>
              </w:rPr>
              <w:t xml:space="preserve">107 </w:t>
            </w:r>
          </w:p>
        </w:tc>
        <w:tc>
          <w:tcPr>
            <w:tcW w:w="2052" w:type="dxa"/>
            <w:tcBorders>
              <w:top w:val="single" w:sz="4" w:space="0" w:color="auto"/>
            </w:tcBorders>
          </w:tcPr>
          <w:p w14:paraId="20C46674" w14:textId="77777777" w:rsidR="002E5800" w:rsidRPr="008F328C" w:rsidRDefault="000E0B7C">
            <w:pPr>
              <w:pStyle w:val="a3"/>
              <w:jc w:val="center"/>
              <w:rPr>
                <w:lang w:val="pl-PL"/>
              </w:rPr>
            </w:pPr>
            <w:r w:rsidRPr="008F328C">
              <w:rPr>
                <w:rFonts w:eastAsia="Times New Roman"/>
                <w:lang w:val="pl-PL"/>
              </w:rPr>
              <w:t xml:space="preserve">84 (78,5) </w:t>
            </w:r>
          </w:p>
        </w:tc>
        <w:tc>
          <w:tcPr>
            <w:tcW w:w="1130" w:type="dxa"/>
            <w:tcBorders>
              <w:top w:val="single" w:sz="4" w:space="0" w:color="auto"/>
            </w:tcBorders>
          </w:tcPr>
          <w:p w14:paraId="299B3C0B" w14:textId="77777777" w:rsidR="002E5800" w:rsidRPr="008F328C" w:rsidRDefault="000E0B7C">
            <w:pPr>
              <w:pStyle w:val="a3"/>
              <w:jc w:val="center"/>
              <w:rPr>
                <w:lang w:val="pl-PL"/>
              </w:rPr>
            </w:pPr>
            <w:r w:rsidRPr="008F328C">
              <w:rPr>
                <w:rFonts w:eastAsia="Times New Roman"/>
                <w:lang w:val="pl-PL"/>
              </w:rPr>
              <w:t xml:space="preserve">3,0 </w:t>
            </w:r>
          </w:p>
        </w:tc>
        <w:tc>
          <w:tcPr>
            <w:tcW w:w="1130" w:type="dxa"/>
            <w:tcBorders>
              <w:top w:val="single" w:sz="4" w:space="0" w:color="auto"/>
            </w:tcBorders>
          </w:tcPr>
          <w:p w14:paraId="435B4BE9" w14:textId="77777777" w:rsidR="002E5800" w:rsidRPr="008F328C" w:rsidRDefault="000E0B7C">
            <w:pPr>
              <w:pStyle w:val="a3"/>
              <w:jc w:val="center"/>
              <w:rPr>
                <w:lang w:val="pl-PL"/>
              </w:rPr>
            </w:pPr>
            <w:r w:rsidRPr="008F328C">
              <w:rPr>
                <w:lang w:val="pl-PL"/>
              </w:rPr>
              <w:t xml:space="preserve">-- </w:t>
            </w:r>
          </w:p>
        </w:tc>
        <w:tc>
          <w:tcPr>
            <w:tcW w:w="1130" w:type="dxa"/>
            <w:tcBorders>
              <w:top w:val="single" w:sz="4" w:space="0" w:color="auto"/>
            </w:tcBorders>
          </w:tcPr>
          <w:p w14:paraId="207C0249" w14:textId="77777777" w:rsidR="002E5800" w:rsidRPr="008F328C" w:rsidRDefault="000E0B7C">
            <w:pPr>
              <w:pStyle w:val="a3"/>
              <w:jc w:val="center"/>
              <w:rPr>
                <w:lang w:val="pl-PL"/>
              </w:rPr>
            </w:pPr>
            <w:r w:rsidRPr="008F328C">
              <w:rPr>
                <w:lang w:val="pl-PL"/>
              </w:rPr>
              <w:t xml:space="preserve">-- </w:t>
            </w:r>
          </w:p>
        </w:tc>
        <w:tc>
          <w:tcPr>
            <w:tcW w:w="1130" w:type="dxa"/>
            <w:tcBorders>
              <w:top w:val="single" w:sz="4" w:space="0" w:color="auto"/>
            </w:tcBorders>
          </w:tcPr>
          <w:p w14:paraId="50707FCA" w14:textId="77777777" w:rsidR="002E5800" w:rsidRPr="008F328C" w:rsidRDefault="000E0B7C">
            <w:pPr>
              <w:pStyle w:val="a3"/>
              <w:jc w:val="center"/>
              <w:rPr>
                <w:lang w:val="pl-PL"/>
              </w:rPr>
            </w:pPr>
            <w:r w:rsidRPr="008F328C">
              <w:rPr>
                <w:lang w:val="pl-PL"/>
              </w:rPr>
              <w:t xml:space="preserve">-- </w:t>
            </w:r>
          </w:p>
        </w:tc>
      </w:tr>
      <w:tr w:rsidR="002E5800" w:rsidRPr="008F328C" w14:paraId="367B8B56" w14:textId="77777777">
        <w:trPr>
          <w:trHeight w:val="378"/>
          <w:jc w:val="center"/>
        </w:trPr>
        <w:tc>
          <w:tcPr>
            <w:tcW w:w="1624" w:type="dxa"/>
            <w:tcBorders>
              <w:bottom w:val="single" w:sz="4" w:space="0" w:color="auto"/>
            </w:tcBorders>
            <w:vAlign w:val="center"/>
          </w:tcPr>
          <w:p w14:paraId="55C129C7" w14:textId="77777777" w:rsidR="002E5800" w:rsidRPr="008F328C" w:rsidRDefault="000E0B7C">
            <w:pPr>
              <w:pStyle w:val="a3"/>
              <w:jc w:val="center"/>
              <w:rPr>
                <w:lang w:val="pl-PL"/>
              </w:rPr>
            </w:pPr>
            <w:r w:rsidRPr="008F328C">
              <w:rPr>
                <w:rFonts w:eastAsia="Times New Roman"/>
                <w:lang w:val="pl-PL"/>
              </w:rPr>
              <w:t>Adalimumab</w:t>
            </w:r>
          </w:p>
        </w:tc>
        <w:tc>
          <w:tcPr>
            <w:tcW w:w="1530" w:type="dxa"/>
            <w:tcBorders>
              <w:bottom w:val="single" w:sz="4" w:space="0" w:color="auto"/>
            </w:tcBorders>
          </w:tcPr>
          <w:p w14:paraId="6E6C9507" w14:textId="77777777" w:rsidR="002E5800" w:rsidRPr="008F328C" w:rsidRDefault="000E0B7C">
            <w:pPr>
              <w:pStyle w:val="a3"/>
              <w:jc w:val="center"/>
              <w:rPr>
                <w:lang w:val="pl-PL"/>
              </w:rPr>
            </w:pPr>
            <w:r w:rsidRPr="008F328C">
              <w:rPr>
                <w:rFonts w:eastAsia="Times New Roman"/>
                <w:lang w:val="pl-PL"/>
              </w:rPr>
              <w:t xml:space="preserve">110 </w:t>
            </w:r>
          </w:p>
        </w:tc>
        <w:tc>
          <w:tcPr>
            <w:tcW w:w="2052" w:type="dxa"/>
            <w:tcBorders>
              <w:bottom w:val="single" w:sz="4" w:space="0" w:color="auto"/>
            </w:tcBorders>
          </w:tcPr>
          <w:p w14:paraId="569E104C" w14:textId="77777777" w:rsidR="002E5800" w:rsidRPr="008F328C" w:rsidRDefault="000E0B7C">
            <w:pPr>
              <w:pStyle w:val="a3"/>
              <w:jc w:val="center"/>
              <w:rPr>
                <w:lang w:val="pl-PL"/>
              </w:rPr>
            </w:pPr>
            <w:r w:rsidRPr="008F328C">
              <w:rPr>
                <w:rFonts w:eastAsia="Times New Roman"/>
                <w:lang w:val="pl-PL"/>
              </w:rPr>
              <w:t xml:space="preserve">60 (54,5) </w:t>
            </w:r>
          </w:p>
        </w:tc>
        <w:tc>
          <w:tcPr>
            <w:tcW w:w="1130" w:type="dxa"/>
            <w:tcBorders>
              <w:bottom w:val="single" w:sz="4" w:space="0" w:color="auto"/>
            </w:tcBorders>
          </w:tcPr>
          <w:p w14:paraId="08E41D0A" w14:textId="77777777" w:rsidR="002E5800" w:rsidRPr="008F328C" w:rsidRDefault="000E0B7C">
            <w:pPr>
              <w:pStyle w:val="a3"/>
              <w:jc w:val="center"/>
              <w:rPr>
                <w:lang w:val="pl-PL"/>
              </w:rPr>
            </w:pPr>
            <w:r w:rsidRPr="008F328C">
              <w:rPr>
                <w:rFonts w:eastAsia="Times New Roman"/>
                <w:lang w:val="pl-PL"/>
              </w:rPr>
              <w:t xml:space="preserve">5,6 </w:t>
            </w:r>
          </w:p>
        </w:tc>
        <w:tc>
          <w:tcPr>
            <w:tcW w:w="1130" w:type="dxa"/>
            <w:tcBorders>
              <w:bottom w:val="single" w:sz="4" w:space="0" w:color="auto"/>
            </w:tcBorders>
          </w:tcPr>
          <w:p w14:paraId="323AAB8D" w14:textId="77777777" w:rsidR="002E5800" w:rsidRPr="008F328C" w:rsidRDefault="000E0B7C">
            <w:pPr>
              <w:pStyle w:val="a3"/>
              <w:jc w:val="center"/>
              <w:rPr>
                <w:lang w:val="pl-PL"/>
              </w:rPr>
            </w:pPr>
            <w:r w:rsidRPr="008F328C">
              <w:rPr>
                <w:rFonts w:eastAsia="Times New Roman"/>
                <w:lang w:val="pl-PL"/>
              </w:rPr>
              <w:t xml:space="preserve">0,50 </w:t>
            </w:r>
          </w:p>
        </w:tc>
        <w:tc>
          <w:tcPr>
            <w:tcW w:w="1130" w:type="dxa"/>
            <w:tcBorders>
              <w:bottom w:val="single" w:sz="4" w:space="0" w:color="auto"/>
            </w:tcBorders>
          </w:tcPr>
          <w:p w14:paraId="0FD40C6E" w14:textId="77777777" w:rsidR="002E5800" w:rsidRPr="008F328C" w:rsidRDefault="000E0B7C">
            <w:pPr>
              <w:pStyle w:val="a3"/>
              <w:jc w:val="center"/>
              <w:rPr>
                <w:lang w:val="pl-PL"/>
              </w:rPr>
            </w:pPr>
            <w:r w:rsidRPr="008F328C">
              <w:rPr>
                <w:rFonts w:eastAsia="Times New Roman"/>
                <w:lang w:val="pl-PL"/>
              </w:rPr>
              <w:t xml:space="preserve">0,36, 0,70 </w:t>
            </w:r>
          </w:p>
        </w:tc>
        <w:tc>
          <w:tcPr>
            <w:tcW w:w="1130" w:type="dxa"/>
            <w:tcBorders>
              <w:bottom w:val="single" w:sz="4" w:space="0" w:color="auto"/>
            </w:tcBorders>
          </w:tcPr>
          <w:p w14:paraId="54ED8105" w14:textId="77777777" w:rsidR="002E5800" w:rsidRPr="008F328C" w:rsidRDefault="000E0B7C">
            <w:pPr>
              <w:pStyle w:val="a3"/>
              <w:jc w:val="center"/>
              <w:rPr>
                <w:lang w:val="pl-PL"/>
              </w:rPr>
            </w:pPr>
            <w:r w:rsidRPr="008F328C">
              <w:rPr>
                <w:rFonts w:eastAsia="Times New Roman"/>
                <w:lang w:val="pl-PL"/>
              </w:rPr>
              <w:t xml:space="preserve">&lt;0,001 </w:t>
            </w:r>
          </w:p>
        </w:tc>
      </w:tr>
      <w:tr w:rsidR="002E5800" w:rsidRPr="008F328C" w14:paraId="160844D9" w14:textId="77777777">
        <w:trPr>
          <w:trHeight w:val="378"/>
          <w:jc w:val="center"/>
        </w:trPr>
        <w:tc>
          <w:tcPr>
            <w:tcW w:w="9729" w:type="dxa"/>
            <w:gridSpan w:val="7"/>
            <w:tcBorders>
              <w:top w:val="single" w:sz="4" w:space="0" w:color="auto"/>
              <w:bottom w:val="single" w:sz="4" w:space="0" w:color="auto"/>
            </w:tcBorders>
            <w:vAlign w:val="center"/>
          </w:tcPr>
          <w:p w14:paraId="3C9D3902" w14:textId="77777777" w:rsidR="002E5800" w:rsidRPr="008F328C" w:rsidRDefault="000E0B7C">
            <w:pPr>
              <w:pStyle w:val="a3"/>
              <w:jc w:val="both"/>
              <w:rPr>
                <w:b/>
                <w:lang w:val="pl-PL"/>
              </w:rPr>
            </w:pPr>
            <w:r w:rsidRPr="008F328C">
              <w:rPr>
                <w:rFonts w:eastAsia="Times New Roman"/>
                <w:b/>
                <w:bCs/>
                <w:lang w:val="pl-PL"/>
              </w:rPr>
              <w:t>Czas do niepowodzenia leczenia w 2. tygodniu lub po 2. tygodniu w badaniu UV II</w:t>
            </w:r>
          </w:p>
          <w:p w14:paraId="76A0E89A" w14:textId="77777777" w:rsidR="002E5800" w:rsidRPr="008F328C" w:rsidRDefault="000E0B7C">
            <w:pPr>
              <w:pStyle w:val="a3"/>
              <w:jc w:val="both"/>
              <w:rPr>
                <w:lang w:val="pl-PL"/>
              </w:rPr>
            </w:pPr>
            <w:r w:rsidRPr="008F328C">
              <w:rPr>
                <w:rFonts w:eastAsia="Times New Roman"/>
                <w:b/>
                <w:bCs/>
                <w:lang w:val="pl-PL"/>
              </w:rPr>
              <w:t>Pierwotna analiza (ITT)</w:t>
            </w:r>
          </w:p>
        </w:tc>
      </w:tr>
      <w:tr w:rsidR="002E5800" w:rsidRPr="008F328C" w14:paraId="61679D32" w14:textId="77777777">
        <w:trPr>
          <w:trHeight w:val="369"/>
          <w:jc w:val="center"/>
        </w:trPr>
        <w:tc>
          <w:tcPr>
            <w:tcW w:w="1624" w:type="dxa"/>
            <w:tcBorders>
              <w:top w:val="single" w:sz="4" w:space="0" w:color="auto"/>
            </w:tcBorders>
          </w:tcPr>
          <w:p w14:paraId="5645F7B2" w14:textId="77777777" w:rsidR="002E5800" w:rsidRPr="008F328C" w:rsidRDefault="000E0B7C">
            <w:pPr>
              <w:pStyle w:val="a3"/>
              <w:jc w:val="center"/>
              <w:rPr>
                <w:lang w:val="pl-PL"/>
              </w:rPr>
            </w:pPr>
            <w:r w:rsidRPr="008F328C">
              <w:rPr>
                <w:rFonts w:eastAsia="Times New Roman"/>
                <w:lang w:val="pl-PL"/>
              </w:rPr>
              <w:t xml:space="preserve">Placebo </w:t>
            </w:r>
          </w:p>
        </w:tc>
        <w:tc>
          <w:tcPr>
            <w:tcW w:w="1530" w:type="dxa"/>
            <w:tcBorders>
              <w:top w:val="single" w:sz="4" w:space="0" w:color="auto"/>
            </w:tcBorders>
          </w:tcPr>
          <w:p w14:paraId="553C50B6" w14:textId="77777777" w:rsidR="002E5800" w:rsidRPr="008F328C" w:rsidRDefault="000E0B7C">
            <w:pPr>
              <w:pStyle w:val="a3"/>
              <w:jc w:val="center"/>
              <w:rPr>
                <w:lang w:val="pl-PL"/>
              </w:rPr>
            </w:pPr>
            <w:r w:rsidRPr="008F328C">
              <w:rPr>
                <w:rFonts w:eastAsia="Times New Roman"/>
                <w:lang w:val="pl-PL"/>
              </w:rPr>
              <w:t xml:space="preserve">111 </w:t>
            </w:r>
          </w:p>
        </w:tc>
        <w:tc>
          <w:tcPr>
            <w:tcW w:w="2052" w:type="dxa"/>
            <w:tcBorders>
              <w:top w:val="single" w:sz="4" w:space="0" w:color="auto"/>
            </w:tcBorders>
          </w:tcPr>
          <w:p w14:paraId="05F14949" w14:textId="77777777" w:rsidR="002E5800" w:rsidRPr="008F328C" w:rsidRDefault="000E0B7C">
            <w:pPr>
              <w:pStyle w:val="a3"/>
              <w:jc w:val="center"/>
              <w:rPr>
                <w:lang w:val="pl-PL"/>
              </w:rPr>
            </w:pPr>
            <w:r w:rsidRPr="008F328C">
              <w:rPr>
                <w:rFonts w:eastAsia="Times New Roman"/>
                <w:lang w:val="pl-PL"/>
              </w:rPr>
              <w:t xml:space="preserve">61 (55,0) </w:t>
            </w:r>
          </w:p>
        </w:tc>
        <w:tc>
          <w:tcPr>
            <w:tcW w:w="1130" w:type="dxa"/>
            <w:tcBorders>
              <w:top w:val="single" w:sz="4" w:space="0" w:color="auto"/>
            </w:tcBorders>
          </w:tcPr>
          <w:p w14:paraId="14952FF7" w14:textId="77777777" w:rsidR="002E5800" w:rsidRPr="008F328C" w:rsidRDefault="000E0B7C">
            <w:pPr>
              <w:pStyle w:val="a3"/>
              <w:jc w:val="center"/>
              <w:rPr>
                <w:lang w:val="pl-PL"/>
              </w:rPr>
            </w:pPr>
            <w:r w:rsidRPr="008F328C">
              <w:rPr>
                <w:rFonts w:eastAsia="Times New Roman"/>
                <w:lang w:val="pl-PL"/>
              </w:rPr>
              <w:t xml:space="preserve">8,3 </w:t>
            </w:r>
          </w:p>
        </w:tc>
        <w:tc>
          <w:tcPr>
            <w:tcW w:w="1130" w:type="dxa"/>
            <w:tcBorders>
              <w:top w:val="single" w:sz="4" w:space="0" w:color="auto"/>
            </w:tcBorders>
          </w:tcPr>
          <w:p w14:paraId="3A5DE448" w14:textId="77777777" w:rsidR="002E5800" w:rsidRPr="008F328C" w:rsidRDefault="000E0B7C">
            <w:pPr>
              <w:pStyle w:val="a3"/>
              <w:jc w:val="center"/>
              <w:rPr>
                <w:lang w:val="pl-PL"/>
              </w:rPr>
            </w:pPr>
            <w:r w:rsidRPr="008F328C">
              <w:rPr>
                <w:lang w:val="pl-PL"/>
              </w:rPr>
              <w:t xml:space="preserve">-- </w:t>
            </w:r>
          </w:p>
        </w:tc>
        <w:tc>
          <w:tcPr>
            <w:tcW w:w="1130" w:type="dxa"/>
            <w:tcBorders>
              <w:top w:val="single" w:sz="4" w:space="0" w:color="auto"/>
            </w:tcBorders>
          </w:tcPr>
          <w:p w14:paraId="3F0B77EC" w14:textId="77777777" w:rsidR="002E5800" w:rsidRPr="008F328C" w:rsidRDefault="000E0B7C">
            <w:pPr>
              <w:pStyle w:val="a3"/>
              <w:jc w:val="center"/>
              <w:rPr>
                <w:lang w:val="pl-PL"/>
              </w:rPr>
            </w:pPr>
            <w:r w:rsidRPr="008F328C">
              <w:rPr>
                <w:lang w:val="pl-PL"/>
              </w:rPr>
              <w:t xml:space="preserve">-- </w:t>
            </w:r>
          </w:p>
        </w:tc>
        <w:tc>
          <w:tcPr>
            <w:tcW w:w="1130" w:type="dxa"/>
            <w:tcBorders>
              <w:top w:val="single" w:sz="4" w:space="0" w:color="auto"/>
            </w:tcBorders>
          </w:tcPr>
          <w:p w14:paraId="36046370" w14:textId="77777777" w:rsidR="002E5800" w:rsidRPr="008F328C" w:rsidRDefault="000E0B7C">
            <w:pPr>
              <w:pStyle w:val="a3"/>
              <w:jc w:val="center"/>
              <w:rPr>
                <w:lang w:val="pl-PL"/>
              </w:rPr>
            </w:pPr>
            <w:r w:rsidRPr="008F328C">
              <w:rPr>
                <w:lang w:val="pl-PL"/>
              </w:rPr>
              <w:t xml:space="preserve">-- </w:t>
            </w:r>
          </w:p>
        </w:tc>
      </w:tr>
      <w:tr w:rsidR="002E5800" w:rsidRPr="008F328C" w14:paraId="7C73366B" w14:textId="77777777">
        <w:trPr>
          <w:trHeight w:val="227"/>
          <w:jc w:val="center"/>
        </w:trPr>
        <w:tc>
          <w:tcPr>
            <w:tcW w:w="1624" w:type="dxa"/>
            <w:tcBorders>
              <w:bottom w:val="single" w:sz="4" w:space="0" w:color="auto"/>
            </w:tcBorders>
          </w:tcPr>
          <w:p w14:paraId="5F067B60" w14:textId="77777777" w:rsidR="002E5800" w:rsidRPr="008F328C" w:rsidRDefault="000E0B7C">
            <w:pPr>
              <w:pStyle w:val="a3"/>
              <w:jc w:val="center"/>
              <w:rPr>
                <w:lang w:val="pl-PL"/>
              </w:rPr>
            </w:pPr>
            <w:r w:rsidRPr="008F328C">
              <w:rPr>
                <w:rFonts w:eastAsia="Times New Roman"/>
                <w:lang w:val="pl-PL"/>
              </w:rPr>
              <w:t xml:space="preserve">Adalimumab </w:t>
            </w:r>
          </w:p>
        </w:tc>
        <w:tc>
          <w:tcPr>
            <w:tcW w:w="1530" w:type="dxa"/>
            <w:tcBorders>
              <w:bottom w:val="single" w:sz="4" w:space="0" w:color="auto"/>
            </w:tcBorders>
          </w:tcPr>
          <w:p w14:paraId="16B80784" w14:textId="77777777" w:rsidR="002E5800" w:rsidRPr="008F328C" w:rsidRDefault="000E0B7C">
            <w:pPr>
              <w:pStyle w:val="a3"/>
              <w:jc w:val="center"/>
              <w:rPr>
                <w:lang w:val="pl-PL"/>
              </w:rPr>
            </w:pPr>
            <w:r w:rsidRPr="008F328C">
              <w:rPr>
                <w:rFonts w:eastAsia="Times New Roman"/>
                <w:lang w:val="pl-PL"/>
              </w:rPr>
              <w:t xml:space="preserve">115 </w:t>
            </w:r>
          </w:p>
        </w:tc>
        <w:tc>
          <w:tcPr>
            <w:tcW w:w="2052" w:type="dxa"/>
            <w:tcBorders>
              <w:bottom w:val="single" w:sz="4" w:space="0" w:color="auto"/>
            </w:tcBorders>
          </w:tcPr>
          <w:p w14:paraId="2D050D2D" w14:textId="77777777" w:rsidR="002E5800" w:rsidRPr="008F328C" w:rsidRDefault="000E0B7C">
            <w:pPr>
              <w:pStyle w:val="a3"/>
              <w:jc w:val="center"/>
              <w:rPr>
                <w:lang w:val="pl-PL"/>
              </w:rPr>
            </w:pPr>
            <w:r w:rsidRPr="008F328C">
              <w:rPr>
                <w:rFonts w:eastAsia="Times New Roman"/>
                <w:lang w:val="pl-PL"/>
              </w:rPr>
              <w:t xml:space="preserve">45 (39,1) </w:t>
            </w:r>
          </w:p>
        </w:tc>
        <w:tc>
          <w:tcPr>
            <w:tcW w:w="1130" w:type="dxa"/>
            <w:tcBorders>
              <w:bottom w:val="single" w:sz="4" w:space="0" w:color="auto"/>
            </w:tcBorders>
          </w:tcPr>
          <w:p w14:paraId="35D72FFF" w14:textId="77777777" w:rsidR="002E5800" w:rsidRPr="008F328C" w:rsidRDefault="000E0B7C">
            <w:pPr>
              <w:pStyle w:val="a3"/>
              <w:jc w:val="center"/>
              <w:rPr>
                <w:lang w:val="pl-PL"/>
              </w:rPr>
            </w:pPr>
            <w:r w:rsidRPr="008F328C">
              <w:rPr>
                <w:rFonts w:eastAsia="Times New Roman"/>
                <w:lang w:val="pl-PL"/>
              </w:rPr>
              <w:t>NE</w:t>
            </w:r>
            <w:r w:rsidRPr="008F328C">
              <w:rPr>
                <w:rFonts w:eastAsia="Times New Roman"/>
                <w:vertAlign w:val="superscript"/>
                <w:lang w:val="pl-PL"/>
              </w:rPr>
              <w:t>c</w:t>
            </w:r>
            <w:r w:rsidRPr="008F328C">
              <w:rPr>
                <w:rFonts w:eastAsia="Times New Roman"/>
                <w:lang w:val="pl-PL"/>
              </w:rPr>
              <w:t xml:space="preserve"> </w:t>
            </w:r>
          </w:p>
        </w:tc>
        <w:tc>
          <w:tcPr>
            <w:tcW w:w="1130" w:type="dxa"/>
            <w:tcBorders>
              <w:bottom w:val="single" w:sz="4" w:space="0" w:color="auto"/>
            </w:tcBorders>
          </w:tcPr>
          <w:p w14:paraId="1B590967" w14:textId="77777777" w:rsidR="002E5800" w:rsidRPr="008F328C" w:rsidRDefault="000E0B7C">
            <w:pPr>
              <w:pStyle w:val="a3"/>
              <w:jc w:val="center"/>
              <w:rPr>
                <w:lang w:val="pl-PL"/>
              </w:rPr>
            </w:pPr>
            <w:r w:rsidRPr="008F328C">
              <w:rPr>
                <w:rFonts w:eastAsia="Times New Roman"/>
                <w:lang w:val="pl-PL"/>
              </w:rPr>
              <w:t xml:space="preserve">0,57 </w:t>
            </w:r>
          </w:p>
        </w:tc>
        <w:tc>
          <w:tcPr>
            <w:tcW w:w="1130" w:type="dxa"/>
            <w:tcBorders>
              <w:bottom w:val="single" w:sz="4" w:space="0" w:color="auto"/>
            </w:tcBorders>
          </w:tcPr>
          <w:p w14:paraId="41CA7DFF" w14:textId="77777777" w:rsidR="002E5800" w:rsidRPr="008F328C" w:rsidRDefault="000E0B7C">
            <w:pPr>
              <w:pStyle w:val="a3"/>
              <w:jc w:val="center"/>
              <w:rPr>
                <w:lang w:val="pl-PL"/>
              </w:rPr>
            </w:pPr>
            <w:r w:rsidRPr="008F328C">
              <w:rPr>
                <w:rFonts w:eastAsia="Times New Roman"/>
                <w:lang w:val="pl-PL"/>
              </w:rPr>
              <w:t xml:space="preserve">0,39, 0,84 </w:t>
            </w:r>
          </w:p>
        </w:tc>
        <w:tc>
          <w:tcPr>
            <w:tcW w:w="1130" w:type="dxa"/>
            <w:tcBorders>
              <w:bottom w:val="single" w:sz="4" w:space="0" w:color="auto"/>
            </w:tcBorders>
          </w:tcPr>
          <w:p w14:paraId="105087B7" w14:textId="77777777" w:rsidR="002E5800" w:rsidRPr="008F328C" w:rsidRDefault="000E0B7C">
            <w:pPr>
              <w:pStyle w:val="a3"/>
              <w:jc w:val="center"/>
              <w:rPr>
                <w:lang w:val="pl-PL"/>
              </w:rPr>
            </w:pPr>
            <w:r w:rsidRPr="008F328C">
              <w:rPr>
                <w:rFonts w:eastAsia="Times New Roman"/>
                <w:lang w:val="pl-PL"/>
              </w:rPr>
              <w:t xml:space="preserve">0,004 </w:t>
            </w:r>
          </w:p>
        </w:tc>
      </w:tr>
    </w:tbl>
    <w:p w14:paraId="6AFB96E3" w14:textId="77777777" w:rsidR="002E5800" w:rsidRPr="008F328C" w:rsidRDefault="000E0B7C">
      <w:pPr>
        <w:pStyle w:val="a3"/>
        <w:rPr>
          <w:lang w:val="pl-PL"/>
        </w:rPr>
      </w:pPr>
      <w:r w:rsidRPr="008F328C">
        <w:rPr>
          <w:rFonts w:eastAsia="Times New Roman"/>
          <w:lang w:val="pl-PL"/>
        </w:rPr>
        <w:t>Uwaga: Niepowodzenie leczenia w 6. tygodniu lub po 6. tygodniu (badanie UV I) lub w 2. tygodniu lub po 2. tygodniu (badanie UV II) liczono jako zdarzenie. Odnośnie pacjentów wycofanych z badania z innych przyczyn niż niepowodzenie leczenia dokonywano cenzurowania (obserwacja ucięta) w czasie wycofania z badania.</w:t>
      </w:r>
    </w:p>
    <w:p w14:paraId="50D87195" w14:textId="77777777" w:rsidR="002E5800" w:rsidRPr="008F328C" w:rsidRDefault="000E0B7C">
      <w:pPr>
        <w:pStyle w:val="a3"/>
        <w:numPr>
          <w:ilvl w:val="0"/>
          <w:numId w:val="9"/>
        </w:numPr>
        <w:rPr>
          <w:lang w:val="pl-PL"/>
        </w:rPr>
      </w:pPr>
      <w:r w:rsidRPr="008F328C">
        <w:rPr>
          <w:rFonts w:eastAsia="Times New Roman"/>
          <w:lang w:val="pl-PL"/>
        </w:rPr>
        <w:t>HR - współczynnik ryzyka (ang. hazard ratio, HR) adalimumabu vs placebo na podstawie regresji proporcjonalnego ryzyka z leczeniem jako czynnikiem.</w:t>
      </w:r>
    </w:p>
    <w:p w14:paraId="1A8A495B" w14:textId="77777777" w:rsidR="002E5800" w:rsidRPr="008F328C" w:rsidRDefault="000E0B7C">
      <w:pPr>
        <w:pStyle w:val="a3"/>
        <w:numPr>
          <w:ilvl w:val="0"/>
          <w:numId w:val="9"/>
        </w:numPr>
        <w:rPr>
          <w:lang w:val="pl-PL"/>
        </w:rPr>
      </w:pPr>
      <w:r w:rsidRPr="008F328C">
        <w:rPr>
          <w:rFonts w:eastAsia="Times New Roman"/>
          <w:i/>
          <w:iCs/>
          <w:lang w:val="pl-PL"/>
        </w:rPr>
        <w:t>P</w:t>
      </w:r>
      <w:r w:rsidRPr="008F328C">
        <w:rPr>
          <w:rFonts w:eastAsia="Times New Roman"/>
          <w:lang w:val="pl-PL"/>
        </w:rPr>
        <w:t xml:space="preserve"> - wartość dla hipotezy dwustronnej na podstawie testu log-rank.</w:t>
      </w:r>
    </w:p>
    <w:p w14:paraId="462CF4EF" w14:textId="77777777" w:rsidR="002E5800" w:rsidRPr="008F328C" w:rsidRDefault="000E0B7C">
      <w:pPr>
        <w:pStyle w:val="a3"/>
        <w:numPr>
          <w:ilvl w:val="0"/>
          <w:numId w:val="9"/>
        </w:numPr>
        <w:rPr>
          <w:lang w:val="pl-PL"/>
        </w:rPr>
      </w:pPr>
      <w:r w:rsidRPr="008F328C">
        <w:rPr>
          <w:rFonts w:eastAsia="Times New Roman"/>
          <w:lang w:val="pl-PL"/>
        </w:rPr>
        <w:t>NE = nieoznaczalne (ang. not estimable). Zdarzenie wystąpiło u mniej niż połowy zagrożonych uczestników badania.</w:t>
      </w:r>
    </w:p>
    <w:p w14:paraId="45BD5C9A" w14:textId="69862060" w:rsidR="002E5800" w:rsidRPr="008F328C" w:rsidRDefault="002E5800">
      <w:pPr>
        <w:pStyle w:val="a3"/>
        <w:rPr>
          <w:lang w:val="pl-PL"/>
        </w:rPr>
      </w:pPr>
    </w:p>
    <w:p w14:paraId="4C961E95" w14:textId="77777777" w:rsidR="00114A52" w:rsidRDefault="00114A52">
      <w:pPr>
        <w:rPr>
          <w:rFonts w:ascii="Times New Roman" w:hAnsi="Times New Roman" w:cs="Times New Roman"/>
          <w:b/>
          <w:lang w:val="pl-PL"/>
        </w:rPr>
      </w:pPr>
      <w:r>
        <w:rPr>
          <w:rFonts w:ascii="Times New Roman" w:hAnsi="Times New Roman" w:cs="Times New Roman"/>
          <w:b/>
          <w:lang w:val="pl-PL"/>
        </w:rPr>
        <w:br w:type="page"/>
      </w:r>
    </w:p>
    <w:p w14:paraId="55BA5EFB" w14:textId="5F54A04A" w:rsidR="001B7FBF" w:rsidRPr="008F328C" w:rsidRDefault="001B7FBF" w:rsidP="0008144B">
      <w:pPr>
        <w:jc w:val="center"/>
        <w:rPr>
          <w:rFonts w:ascii="Times New Roman" w:hAnsi="Times New Roman" w:cs="Times New Roman"/>
          <w:b/>
          <w:lang w:val="pl-PL"/>
        </w:rPr>
      </w:pPr>
      <w:r w:rsidRPr="008F328C">
        <w:rPr>
          <w:rFonts w:ascii="Times New Roman" w:hAnsi="Times New Roman" w:cs="Times New Roman"/>
          <w:b/>
          <w:lang w:val="pl-PL"/>
        </w:rPr>
        <w:lastRenderedPageBreak/>
        <w:t>Rycina 2. Krzywe Kaplana-Meiera przedstawiające czas do niepowodzenia leczenia w 6. lub po 6. tygodniu (badanie UV I) oraz w 2. lub po 2. tygodniu (badanie UV II)</w:t>
      </w:r>
    </w:p>
    <w:p w14:paraId="69DAA1AA" w14:textId="77777777" w:rsidR="001B7FBF" w:rsidRPr="008F328C" w:rsidRDefault="001B7FBF" w:rsidP="001B7FBF">
      <w:pPr>
        <w:keepNext/>
        <w:jc w:val="cente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1B7FBF" w:rsidRPr="008F328C" w14:paraId="328C694A" w14:textId="77777777" w:rsidTr="00012556">
        <w:trPr>
          <w:cantSplit/>
          <w:trHeight w:val="1134"/>
        </w:trPr>
        <w:tc>
          <w:tcPr>
            <w:tcW w:w="861" w:type="dxa"/>
            <w:textDirection w:val="btLr"/>
          </w:tcPr>
          <w:p w14:paraId="0378F8D6" w14:textId="77777777" w:rsidR="001B7FBF" w:rsidRPr="008F328C" w:rsidRDefault="001B7FBF" w:rsidP="0008144B">
            <w:pPr>
              <w:ind w:left="113" w:right="113"/>
              <w:jc w:val="center"/>
              <w:rPr>
                <w:rFonts w:ascii="Times New Roman" w:hAnsi="Times New Roman" w:cs="Times New Roman"/>
                <w:b/>
                <w:lang w:val="pl-PL"/>
              </w:rPr>
            </w:pPr>
            <w:r w:rsidRPr="008F328C">
              <w:rPr>
                <w:rFonts w:ascii="Times New Roman" w:hAnsi="Times New Roman" w:cs="Times New Roman"/>
                <w:b/>
                <w:lang w:val="pl-PL"/>
              </w:rPr>
              <w:t>ODSETEK NIEPOWODZENIA LECZENIA (%)</w:t>
            </w:r>
          </w:p>
        </w:tc>
        <w:tc>
          <w:tcPr>
            <w:tcW w:w="8425" w:type="dxa"/>
            <w:gridSpan w:val="6"/>
          </w:tcPr>
          <w:p w14:paraId="52EEE9CE" w14:textId="77777777" w:rsidR="001B7FBF" w:rsidRPr="008F328C" w:rsidRDefault="001B7FBF" w:rsidP="0008144B">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18C84388" wp14:editId="55D3709A">
                  <wp:extent cx="5175250" cy="2066157"/>
                  <wp:effectExtent l="0" t="0" r="6350" b="0"/>
                  <wp:docPr id="1024" name="Obraz 34"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79343" name="Picture 34" descr="Humira Uveitis Figure 5_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202338" cy="2076972"/>
                          </a:xfrm>
                          <a:prstGeom prst="rect">
                            <a:avLst/>
                          </a:prstGeom>
                          <a:noFill/>
                          <a:ln>
                            <a:noFill/>
                          </a:ln>
                        </pic:spPr>
                      </pic:pic>
                    </a:graphicData>
                  </a:graphic>
                </wp:inline>
              </w:drawing>
            </w:r>
          </w:p>
        </w:tc>
      </w:tr>
      <w:tr w:rsidR="001B7FBF" w:rsidRPr="008F328C" w14:paraId="4CE5C768" w14:textId="77777777" w:rsidTr="00012556">
        <w:tc>
          <w:tcPr>
            <w:tcW w:w="861" w:type="dxa"/>
          </w:tcPr>
          <w:p w14:paraId="4FB01379" w14:textId="77777777" w:rsidR="001B7FBF" w:rsidRPr="008F328C" w:rsidRDefault="001B7FBF" w:rsidP="0008144B">
            <w:pPr>
              <w:jc w:val="center"/>
              <w:rPr>
                <w:rFonts w:ascii="Times New Roman" w:hAnsi="Times New Roman" w:cs="Times New Roman"/>
                <w:b/>
                <w:lang w:val="pl-PL"/>
              </w:rPr>
            </w:pPr>
          </w:p>
        </w:tc>
        <w:tc>
          <w:tcPr>
            <w:tcW w:w="8425" w:type="dxa"/>
            <w:gridSpan w:val="6"/>
          </w:tcPr>
          <w:p w14:paraId="30E7EFC3" w14:textId="77777777" w:rsidR="001B7FBF" w:rsidRPr="008F328C" w:rsidRDefault="001B7FBF" w:rsidP="0008144B">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1B7FBF" w:rsidRPr="008F328C" w14:paraId="3D514067" w14:textId="77777777" w:rsidTr="00012556">
        <w:tc>
          <w:tcPr>
            <w:tcW w:w="861" w:type="dxa"/>
            <w:vAlign w:val="center"/>
          </w:tcPr>
          <w:p w14:paraId="261FCA22" w14:textId="77777777" w:rsidR="001B7FBF" w:rsidRPr="008F328C" w:rsidRDefault="001B7FBF" w:rsidP="0008144B">
            <w:pPr>
              <w:rPr>
                <w:rFonts w:ascii="Times New Roman" w:hAnsi="Times New Roman" w:cs="Times New Roman"/>
                <w:b/>
                <w:lang w:val="pl-PL"/>
              </w:rPr>
            </w:pPr>
          </w:p>
        </w:tc>
        <w:tc>
          <w:tcPr>
            <w:tcW w:w="1917" w:type="dxa"/>
            <w:vAlign w:val="center"/>
          </w:tcPr>
          <w:p w14:paraId="2C9A3CAA"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Badanie UV I</w:t>
            </w:r>
          </w:p>
        </w:tc>
        <w:tc>
          <w:tcPr>
            <w:tcW w:w="1991" w:type="dxa"/>
            <w:vAlign w:val="center"/>
          </w:tcPr>
          <w:p w14:paraId="34161615"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4E59F2AD"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2B93A6A1" wp14:editId="5A6C2A6E">
                  <wp:extent cx="400050" cy="180975"/>
                  <wp:effectExtent l="0" t="0" r="0" b="9525"/>
                  <wp:docPr id="1026" name="Obraz 3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98076" name="Picture 35"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6BBFC8E3"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378A97D7"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02A4A3CB" wp14:editId="012C5075">
                  <wp:extent cx="561975" cy="180975"/>
                  <wp:effectExtent l="0" t="0" r="9525" b="9525"/>
                  <wp:docPr id="1029" name="Obraz 3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60587" name="Picture 36"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5AEFD1D2"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Adalimumab</w:t>
            </w:r>
          </w:p>
        </w:tc>
      </w:tr>
    </w:tbl>
    <w:p w14:paraId="71208475" w14:textId="77777777" w:rsidR="001B7FBF" w:rsidRPr="008F328C" w:rsidRDefault="001B7FBF" w:rsidP="0008144B">
      <w:pP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1B7FBF" w:rsidRPr="008F328C" w14:paraId="5D632CA7" w14:textId="77777777" w:rsidTr="00012556">
        <w:trPr>
          <w:cantSplit/>
          <w:trHeight w:val="1134"/>
        </w:trPr>
        <w:tc>
          <w:tcPr>
            <w:tcW w:w="861" w:type="dxa"/>
            <w:textDirection w:val="btLr"/>
          </w:tcPr>
          <w:p w14:paraId="078682EE" w14:textId="77777777" w:rsidR="001B7FBF" w:rsidRPr="008F328C" w:rsidRDefault="001B7FBF" w:rsidP="0008144B">
            <w:pPr>
              <w:ind w:left="113" w:right="113"/>
              <w:jc w:val="center"/>
              <w:rPr>
                <w:rFonts w:ascii="Times New Roman" w:hAnsi="Times New Roman" w:cs="Times New Roman"/>
                <w:b/>
                <w:lang w:val="pl-PL"/>
              </w:rPr>
            </w:pPr>
            <w:r w:rsidRPr="008F328C">
              <w:rPr>
                <w:rFonts w:ascii="Times New Roman" w:hAnsi="Times New Roman" w:cs="Times New Roman"/>
                <w:b/>
                <w:lang w:val="pl-PL"/>
              </w:rPr>
              <w:t>ODSETEK NIEPOWODZENIA LECZENIA (%)</w:t>
            </w:r>
          </w:p>
        </w:tc>
        <w:tc>
          <w:tcPr>
            <w:tcW w:w="8425" w:type="dxa"/>
            <w:gridSpan w:val="6"/>
          </w:tcPr>
          <w:p w14:paraId="4E5992D7" w14:textId="77777777" w:rsidR="001B7FBF" w:rsidRPr="008F328C" w:rsidRDefault="001B7FBF" w:rsidP="0008144B">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1C174458" wp14:editId="43A5920B">
                  <wp:extent cx="5210175" cy="2066925"/>
                  <wp:effectExtent l="0" t="0" r="9525" b="9525"/>
                  <wp:docPr id="1032" name="Obraz 37"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7931" name="Picture 37"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210175" cy="2066925"/>
                          </a:xfrm>
                          <a:prstGeom prst="rect">
                            <a:avLst/>
                          </a:prstGeom>
                          <a:noFill/>
                          <a:ln>
                            <a:noFill/>
                          </a:ln>
                        </pic:spPr>
                      </pic:pic>
                    </a:graphicData>
                  </a:graphic>
                </wp:inline>
              </w:drawing>
            </w:r>
          </w:p>
        </w:tc>
      </w:tr>
      <w:tr w:rsidR="001B7FBF" w:rsidRPr="008F328C" w14:paraId="56E1B48B" w14:textId="77777777" w:rsidTr="00012556">
        <w:trPr>
          <w:trHeight w:val="166"/>
        </w:trPr>
        <w:tc>
          <w:tcPr>
            <w:tcW w:w="861" w:type="dxa"/>
          </w:tcPr>
          <w:p w14:paraId="40B4E7BF" w14:textId="77777777" w:rsidR="001B7FBF" w:rsidRPr="008F328C" w:rsidRDefault="001B7FBF" w:rsidP="0008144B">
            <w:pPr>
              <w:jc w:val="center"/>
              <w:rPr>
                <w:rFonts w:ascii="Times New Roman" w:hAnsi="Times New Roman" w:cs="Times New Roman"/>
                <w:b/>
                <w:lang w:val="pl-PL"/>
              </w:rPr>
            </w:pPr>
          </w:p>
        </w:tc>
        <w:tc>
          <w:tcPr>
            <w:tcW w:w="8425" w:type="dxa"/>
            <w:gridSpan w:val="6"/>
          </w:tcPr>
          <w:p w14:paraId="772B657F" w14:textId="77777777" w:rsidR="001B7FBF" w:rsidRPr="008F328C" w:rsidRDefault="001B7FBF" w:rsidP="0008144B">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1B7FBF" w:rsidRPr="008F328C" w14:paraId="3276F601" w14:textId="77777777" w:rsidTr="00012556">
        <w:tc>
          <w:tcPr>
            <w:tcW w:w="861" w:type="dxa"/>
            <w:vAlign w:val="center"/>
          </w:tcPr>
          <w:p w14:paraId="2BD818A1" w14:textId="77777777" w:rsidR="001B7FBF" w:rsidRPr="008F328C" w:rsidRDefault="001B7FBF" w:rsidP="0008144B">
            <w:pPr>
              <w:rPr>
                <w:rFonts w:ascii="Times New Roman" w:hAnsi="Times New Roman" w:cs="Times New Roman"/>
                <w:b/>
                <w:lang w:val="pl-PL"/>
              </w:rPr>
            </w:pPr>
          </w:p>
        </w:tc>
        <w:tc>
          <w:tcPr>
            <w:tcW w:w="1917" w:type="dxa"/>
            <w:vAlign w:val="center"/>
          </w:tcPr>
          <w:p w14:paraId="1C35B40E"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Badanie UV II</w:t>
            </w:r>
          </w:p>
        </w:tc>
        <w:tc>
          <w:tcPr>
            <w:tcW w:w="1991" w:type="dxa"/>
            <w:vAlign w:val="center"/>
          </w:tcPr>
          <w:p w14:paraId="53492F36"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39A51850"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41E091E4" wp14:editId="5F49AA8C">
                  <wp:extent cx="400050" cy="180975"/>
                  <wp:effectExtent l="0" t="0" r="0" b="9525"/>
                  <wp:docPr id="1034" name="Obraz 3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4782" name="Picture 38"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0DA28BE8"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2FDE0AC4" w14:textId="77777777" w:rsidR="001B7FBF" w:rsidRPr="008F328C" w:rsidRDefault="001B7FBF" w:rsidP="0008144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2820AB15" wp14:editId="084FFF87">
                  <wp:extent cx="561975" cy="180975"/>
                  <wp:effectExtent l="0" t="0" r="9525" b="9525"/>
                  <wp:docPr id="1035" name="Obraz 3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31054" name="Picture 39"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744FBF9E" w14:textId="77777777" w:rsidR="001B7FBF" w:rsidRPr="008F328C" w:rsidRDefault="001B7FBF" w:rsidP="0008144B">
            <w:pPr>
              <w:rPr>
                <w:rFonts w:ascii="Times New Roman" w:hAnsi="Times New Roman" w:cs="Times New Roman"/>
                <w:b/>
                <w:lang w:val="pl-PL"/>
              </w:rPr>
            </w:pPr>
            <w:r w:rsidRPr="008F328C">
              <w:rPr>
                <w:rFonts w:ascii="Times New Roman" w:hAnsi="Times New Roman" w:cs="Times New Roman"/>
                <w:lang w:val="pl-PL"/>
              </w:rPr>
              <w:t>Adalimumab</w:t>
            </w:r>
          </w:p>
        </w:tc>
      </w:tr>
    </w:tbl>
    <w:p w14:paraId="7FB9F1AE" w14:textId="16D812F9" w:rsidR="001B7FBF" w:rsidRPr="008F328C" w:rsidRDefault="001B7FBF">
      <w:pPr>
        <w:spacing w:before="9" w:line="130" w:lineRule="exact"/>
        <w:rPr>
          <w:rFonts w:ascii="Times New Roman" w:hAnsi="Times New Roman" w:cs="Times New Roman"/>
          <w:sz w:val="13"/>
          <w:szCs w:val="13"/>
          <w:lang w:val="pl-PL"/>
        </w:rPr>
      </w:pPr>
    </w:p>
    <w:p w14:paraId="49121EDB" w14:textId="77777777" w:rsidR="002E5800" w:rsidRPr="008F328C" w:rsidRDefault="000E0B7C" w:rsidP="001B7FBF">
      <w:pPr>
        <w:pStyle w:val="a3"/>
        <w:ind w:leftChars="100" w:left="220"/>
        <w:rPr>
          <w:lang w:val="pl-PL"/>
        </w:rPr>
      </w:pPr>
      <w:r w:rsidRPr="008F328C">
        <w:rPr>
          <w:rFonts w:eastAsia="Times New Roman"/>
          <w:lang w:val="pl-PL"/>
        </w:rPr>
        <w:t>Uwaga: P# = Placebo (liczba zdarzeń/liczba zagrożonych pacjentów); A# = Adalimumab (liczba zdarzeń/liczba zagrożonych pacjentów).</w:t>
      </w:r>
    </w:p>
    <w:p w14:paraId="57368363" w14:textId="77777777" w:rsidR="002E5800" w:rsidRPr="008F328C" w:rsidRDefault="002E5800">
      <w:pPr>
        <w:spacing w:before="3" w:line="110" w:lineRule="exact"/>
        <w:rPr>
          <w:rFonts w:ascii="Times New Roman" w:hAnsi="Times New Roman" w:cs="Times New Roman"/>
          <w:sz w:val="11"/>
          <w:szCs w:val="11"/>
          <w:lang w:val="pl-PL"/>
        </w:rPr>
      </w:pPr>
    </w:p>
    <w:p w14:paraId="615B3FE9" w14:textId="77777777" w:rsidR="002E5800" w:rsidRPr="008F328C" w:rsidRDefault="002E5800">
      <w:pPr>
        <w:spacing w:line="200" w:lineRule="exact"/>
        <w:rPr>
          <w:rFonts w:ascii="Times New Roman" w:hAnsi="Times New Roman" w:cs="Times New Roman"/>
          <w:sz w:val="20"/>
          <w:szCs w:val="20"/>
          <w:lang w:val="pl-PL"/>
        </w:rPr>
      </w:pPr>
    </w:p>
    <w:p w14:paraId="04AFAA69" w14:textId="77777777" w:rsidR="002E5800" w:rsidRPr="008F328C" w:rsidRDefault="000E0B7C">
      <w:pPr>
        <w:pStyle w:val="a3"/>
        <w:rPr>
          <w:lang w:val="pl-PL"/>
        </w:rPr>
      </w:pPr>
      <w:r w:rsidRPr="008F328C">
        <w:rPr>
          <w:rFonts w:eastAsia="Times New Roman"/>
          <w:lang w:val="pl-PL"/>
        </w:rPr>
        <w:t>W badaniu UV I statystycznie istotne różnice na korzyść adalimumabu w porównaniu do placebo zaobserwowano dla każdego ze składników niepowodzenia leczenia. W badaniu UV II statystycznie istotne różnice zaobserwowano wyłącznie dla ostrości wzroku, ale w przypadku pozostałych składników dane liczbowe były korzystniejsze dla adalimumabu.</w:t>
      </w:r>
    </w:p>
    <w:p w14:paraId="62292CAC" w14:textId="77777777" w:rsidR="002E5800" w:rsidRPr="008F328C" w:rsidRDefault="002E5800">
      <w:pPr>
        <w:spacing w:before="13" w:line="240" w:lineRule="exact"/>
        <w:rPr>
          <w:rFonts w:ascii="Times New Roman" w:hAnsi="Times New Roman" w:cs="Times New Roman"/>
          <w:sz w:val="24"/>
          <w:szCs w:val="24"/>
          <w:lang w:val="pl-PL"/>
        </w:rPr>
      </w:pPr>
    </w:p>
    <w:p w14:paraId="60A3BAF8" w14:textId="77777777" w:rsidR="002E5800" w:rsidRPr="008F328C" w:rsidRDefault="000E0B7C">
      <w:pPr>
        <w:pStyle w:val="a3"/>
        <w:rPr>
          <w:lang w:val="pl-PL"/>
        </w:rPr>
      </w:pPr>
      <w:r w:rsidRPr="008F328C">
        <w:rPr>
          <w:rFonts w:eastAsia="Times New Roman"/>
          <w:lang w:val="pl-PL"/>
        </w:rPr>
        <w:t xml:space="preserve">Spośród 424 uczestników niekontrolowanego, długookresowego badania będącego kontynuacją badań UV I i UV II, 60 uczestników uznano za niespełniających warunków badania (np. z powodu odchyleń lub z powodu powikłań wtórnych retinopatii cukrzycowej, z powodu operacji zaćmy lub witrektomii) i nie uwzględniono ich w pierwotnej analizie skuteczności. Spośród 364 pozostałych pacjentów, 269 pacjentów, których można było poddać ocenie (74%) otrzymało w fazie otwartej leczenie adalimumabem przez 78 tygodni. Na podstawie danych z obserwacji, u 216 (80,3%) stwierdzono brak aktywności choroby (brak aktywnych zmian zapalnych, stopień wysięku komórek zapalnych w komorze przedniej ≤ 0,5+, stopień zmętnienia ciała szklistego ≤ 0,5+) przy jednoczesnym stosowaniu steroidu w dawce ≤ 7,5 mg na dobę oraz u 178 (66,2%) brak aktywności choroby bez stosowania steroidu. W 78. tygodniu, najlepsza skorygowana ostrość wzroku (BCVA) uległa poprawie lub utrzymała się na poprzednim </w:t>
      </w:r>
      <w:r w:rsidRPr="008F328C">
        <w:rPr>
          <w:rFonts w:eastAsia="Times New Roman"/>
          <w:lang w:val="pl-PL"/>
        </w:rPr>
        <w:lastRenderedPageBreak/>
        <w:t>poziomie (pogorszenie o &lt; 5 liter) w 88,6% oczu. Na ogół, dane uzyskane po 78. tygodniu były zgodne z tymi wynikami, ale liczba pacjentów włączonych do badania zmniejszyła się po tym czasie. W sumie, spośród pacjentów, którzy przerwali udział w badaniu, 18% przerwało udział z powodu zdarzeń niepożądanych, a 8% z powodu niewystarczającej odpowiedzi na leczenie adalimumabem.</w:t>
      </w:r>
    </w:p>
    <w:p w14:paraId="044898EF" w14:textId="77777777" w:rsidR="002E5800" w:rsidRPr="008F328C" w:rsidRDefault="002E5800">
      <w:pPr>
        <w:pStyle w:val="a3"/>
        <w:rPr>
          <w:sz w:val="24"/>
          <w:szCs w:val="24"/>
          <w:lang w:val="pl-PL"/>
        </w:rPr>
      </w:pPr>
    </w:p>
    <w:p w14:paraId="701FBE52" w14:textId="77777777" w:rsidR="002E5800" w:rsidRPr="008F328C" w:rsidRDefault="000E0B7C">
      <w:pPr>
        <w:pStyle w:val="a3"/>
        <w:rPr>
          <w:rFonts w:eastAsia="Times New Roman"/>
          <w:lang w:val="pl-PL"/>
        </w:rPr>
      </w:pPr>
      <w:r w:rsidRPr="008F328C">
        <w:rPr>
          <w:rFonts w:eastAsia="Times New Roman"/>
          <w:i/>
          <w:iCs/>
          <w:spacing w:val="-1"/>
          <w:u w:val="single" w:color="000000"/>
          <w:lang w:val="pl-PL"/>
        </w:rPr>
        <w:t>Jakość życia</w:t>
      </w:r>
    </w:p>
    <w:p w14:paraId="0CD54428" w14:textId="77777777" w:rsidR="002E5800" w:rsidRPr="008F328C" w:rsidRDefault="002E5800">
      <w:pPr>
        <w:pStyle w:val="a3"/>
        <w:rPr>
          <w:sz w:val="18"/>
          <w:szCs w:val="18"/>
          <w:lang w:val="pl-PL"/>
        </w:rPr>
      </w:pPr>
    </w:p>
    <w:p w14:paraId="6CA46974" w14:textId="77777777" w:rsidR="002E5800" w:rsidRPr="008F328C" w:rsidRDefault="000E0B7C">
      <w:pPr>
        <w:pStyle w:val="a3"/>
        <w:rPr>
          <w:lang w:val="pl-PL"/>
        </w:rPr>
      </w:pPr>
      <w:r w:rsidRPr="008F328C">
        <w:rPr>
          <w:rFonts w:eastAsia="Times New Roman"/>
          <w:lang w:val="pl-PL"/>
        </w:rPr>
        <w:t>Efekty leczenia zgłaszane przez pacjentów dotyczące funkcjonowania związanego z widzeniem mierzono w obydwu badaniach za pomocą kwestionariusza NEI VFQ-25. Dane liczbowe były korzystniejsze dla adalimumabu w większości podskal kwestionariusza ze statystycznie istotnymi średnimi różnicami dla ogólnej oceny widzenia, bólu gałki ocznej, widzenia do bliży i zdrowia psychicznego oraz całkowitej oceny w badaniu UV I oraz ogólnej oceny widzenia i zdrowia psychicznego w badaniu UV II. Efekty związane z widzeniem nie przemawiały liczbowo na korzyść adalimumabu w widzeniu barwnym w badaniu UV I oraz w widzeniu barwnym, widzeniu obwodowym i widzeniu do bliży w badaniu UV II.</w:t>
      </w:r>
    </w:p>
    <w:p w14:paraId="2BE2DC67" w14:textId="77777777" w:rsidR="002E5800" w:rsidRPr="008F328C" w:rsidRDefault="002E5800">
      <w:pPr>
        <w:rPr>
          <w:rFonts w:ascii="Times New Roman" w:hAnsi="Times New Roman" w:cs="Times New Roman"/>
          <w:lang w:val="pl-PL"/>
        </w:rPr>
      </w:pPr>
    </w:p>
    <w:p w14:paraId="392E14AA" w14:textId="77777777" w:rsidR="002E5800" w:rsidRPr="008F328C" w:rsidRDefault="000E0B7C">
      <w:pPr>
        <w:pStyle w:val="a3"/>
        <w:rPr>
          <w:u w:val="single" w:color="000000"/>
          <w:lang w:val="pl-PL"/>
        </w:rPr>
      </w:pPr>
      <w:r w:rsidRPr="008F328C">
        <w:rPr>
          <w:rFonts w:eastAsia="Times New Roman"/>
          <w:u w:val="single" w:color="000000"/>
          <w:lang w:val="pl-PL"/>
        </w:rPr>
        <w:t>Immunogenność</w:t>
      </w:r>
    </w:p>
    <w:p w14:paraId="37DB8EE8" w14:textId="77777777" w:rsidR="002E5800" w:rsidRPr="008F328C" w:rsidRDefault="002E5800">
      <w:pPr>
        <w:spacing w:before="1" w:line="180" w:lineRule="exact"/>
        <w:rPr>
          <w:rFonts w:ascii="Times New Roman" w:hAnsi="Times New Roman" w:cs="Times New Roman"/>
          <w:sz w:val="18"/>
          <w:szCs w:val="18"/>
          <w:lang w:val="pl-PL" w:eastAsia="ko-KR"/>
        </w:rPr>
      </w:pPr>
    </w:p>
    <w:p w14:paraId="79BF3ABF" w14:textId="3D16E980" w:rsidR="00CF263C" w:rsidRPr="00CF263C" w:rsidRDefault="00CF263C" w:rsidP="00CF263C">
      <w:pPr>
        <w:keepNext/>
        <w:widowControl/>
        <w:tabs>
          <w:tab w:val="left" w:pos="562"/>
        </w:tabs>
        <w:suppressAutoHyphens/>
        <w:rPr>
          <w:rFonts w:ascii="Times New Roman" w:eastAsia="바탕" w:hAnsi="Times New Roman" w:cs="Times New Roman"/>
          <w:lang w:val="pl-PL"/>
        </w:rPr>
      </w:pPr>
      <w:r w:rsidRPr="00AC35E3">
        <w:rPr>
          <w:rFonts w:ascii="Times New Roman" w:hAnsi="Times New Roman"/>
          <w:lang w:val="pl-PL"/>
        </w:rPr>
        <w:t>Tworzenie przeciwciał przeciw adalimumabowi jest związane ze zwiększeniem klirensu i</w:t>
      </w:r>
      <w:r w:rsidRPr="00CF263C">
        <w:rPr>
          <w:rFonts w:ascii="Times New Roman" w:eastAsia="바탕" w:hAnsi="Times New Roman" w:cs="Times New Roman"/>
          <w:lang w:val="pl-PL"/>
        </w:rPr>
        <w:t> </w:t>
      </w:r>
      <w:r w:rsidRPr="00AC35E3">
        <w:rPr>
          <w:rFonts w:ascii="Times New Roman" w:hAnsi="Times New Roman"/>
          <w:lang w:val="pl-PL"/>
        </w:rPr>
        <w:t xml:space="preserve">zmniejszeniem skuteczności adalimumabu. </w:t>
      </w:r>
      <w:r w:rsidRPr="00CF263C">
        <w:rPr>
          <w:rFonts w:ascii="Times New Roman" w:eastAsia="바탕" w:hAnsi="Times New Roman" w:cs="Times New Roman"/>
          <w:lang w:val="pl-PL"/>
        </w:rPr>
        <w:t>Nie stwierdza się wyraźnej korelacji między obecnością przeciwciał przeciw adalimumabowi i występowaniem zdarzeń niepożądanych.</w:t>
      </w:r>
    </w:p>
    <w:p w14:paraId="383D986A"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2E0CEB0F"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Pacjentów z reumatoidalnym zapaleniem stawów, w badaniach I, II i III, w okresie od 6. do 12. miesiąca wielokrotnie badano na obecność przeciwciał przeciw adalimumabowi. W tych głównych badaniach klinicznych przeciwciała przeciw adalimumabowi stwierdzono u 5,5% (58/1053) pacjentów leczonych adalimumabem w porównaniu do 0,5% (2/370) otrzymujących placebo. U pacjentów nieotrzymujących jednocześnie metotreksatu częstość występowania wynosiła 12,4% w porównaniu do 0,6%, gdy adalimumab dodano do leczenia metotreksatem.</w:t>
      </w:r>
    </w:p>
    <w:p w14:paraId="40A25C0A"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2FB1D150"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pacjentów z chorobą Leśniowskiego-Crohna przeciwciała przeciw adalimumabowi stwierdzono u 7/269 pacjentów (2,6%) i u 19/487 pacjentów (3,9%) z wrzodziejącym zapaleniem jelita grubego.</w:t>
      </w:r>
    </w:p>
    <w:p w14:paraId="53B7B032" w14:textId="77777777" w:rsidR="00CF263C" w:rsidRPr="00CF263C" w:rsidRDefault="00CF263C" w:rsidP="00CF263C">
      <w:pPr>
        <w:widowControl/>
        <w:suppressAutoHyphens/>
        <w:overflowPunct w:val="0"/>
        <w:autoSpaceDE w:val="0"/>
        <w:autoSpaceDN w:val="0"/>
        <w:adjustRightInd w:val="0"/>
        <w:textAlignment w:val="baseline"/>
        <w:rPr>
          <w:rFonts w:ascii="Times New Roman" w:eastAsia="바탕" w:hAnsi="Times New Roman" w:cs="Times New Roman"/>
          <w:lang w:val="pl-PL" w:eastAsia="pl-PL"/>
        </w:rPr>
      </w:pPr>
    </w:p>
    <w:p w14:paraId="48EF489A"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łuszczycą przeciwciała przeciw adalimumabowi stwierdzono u 77/920 pacjentów (8,4%) leczonych adalimumabem stosowanym w monoterapii.</w:t>
      </w:r>
    </w:p>
    <w:p w14:paraId="1EC11F01"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71CF21C8"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łuszczycą zwyczajną (plackowatą) otrzymujących długookresowe leczenie adalimumabem w monoterapii, którzy uczestniczyli w badaniu klinicznym odstawienia leczenia, a następnie jego wznowienia, częstość występowania przeciwciał przeciw adalimumabowi po wznowieniu leczenia (11 z 482 pacjentów, 2,3%) była podobna do częstości obserwowanej przed odstawieniem leczenia (11 z 590 pacjentów, 1,9%).</w:t>
      </w:r>
    </w:p>
    <w:p w14:paraId="324FED3E" w14:textId="77777777" w:rsidR="00CF263C" w:rsidRPr="00CF263C" w:rsidRDefault="00CF263C" w:rsidP="00CF263C">
      <w:pPr>
        <w:widowControl/>
        <w:tabs>
          <w:tab w:val="left" w:pos="562"/>
          <w:tab w:val="left" w:pos="709"/>
        </w:tabs>
        <w:suppressAutoHyphens/>
        <w:spacing w:line="276" w:lineRule="auto"/>
        <w:rPr>
          <w:rFonts w:ascii="Times New Roman" w:eastAsia="Calibri" w:hAnsi="Times New Roman" w:cs="Times New Roman"/>
          <w:lang w:val="pl-PL"/>
        </w:rPr>
      </w:pPr>
    </w:p>
    <w:p w14:paraId="3F4D3977" w14:textId="77777777" w:rsidR="00CF263C" w:rsidRPr="00CF263C" w:rsidRDefault="00CF263C" w:rsidP="00CF263C">
      <w:pPr>
        <w:widowControl/>
        <w:tabs>
          <w:tab w:val="left" w:pos="562"/>
          <w:tab w:val="left" w:pos="709"/>
        </w:tabs>
        <w:suppressAutoHyphens/>
        <w:spacing w:line="276" w:lineRule="auto"/>
        <w:rPr>
          <w:rFonts w:ascii="Times New Roman" w:eastAsia="Calibri" w:hAnsi="Times New Roman" w:cs="Times New Roman"/>
          <w:lang w:val="pl-PL"/>
        </w:rPr>
      </w:pPr>
      <w:r w:rsidRPr="00CF263C">
        <w:rPr>
          <w:rFonts w:ascii="Times New Roman" w:eastAsia="Calibri" w:hAnsi="Times New Roman" w:cs="Times New Roman"/>
          <w:lang w:val="pl-PL"/>
        </w:rPr>
        <w:t>U pacjentów z ropnym zapaleniem apokrynowych gruczołów potowych o nasileniu umiarkowanym do ciężkiego, przeciwciała przeciw adalimumabowi stwierdzono u 10 z 99 osób (10,1%) leczonych adalimumabem.</w:t>
      </w:r>
    </w:p>
    <w:p w14:paraId="10A2712F"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p>
    <w:p w14:paraId="42DCE194"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r w:rsidRPr="00CF263C">
        <w:rPr>
          <w:rFonts w:ascii="Times New Roman" w:eastAsia="바탕" w:hAnsi="Times New Roman" w:cs="Times New Roman"/>
          <w:lang w:val="pl-PL"/>
        </w:rPr>
        <w:t>U dzieci i młodzieży z umiarkowaną do ciężkiej czynną postacią choroby Leśniowskiego-Crohna odsetek powstawania przeciwciał przeciw adalimumabowi u pacjentów otrzymujących adalimumab wynosił 3,3%.</w:t>
      </w:r>
    </w:p>
    <w:p w14:paraId="2EC6CBE0"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1B881370"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nieinfekcyjnym zapaleniem błony naczyniowej oka przeciwciała przeciw adalimumabowi stwierdzono u 4,8% (12/249) pacjentów leczonych adalimumabem.</w:t>
      </w:r>
    </w:p>
    <w:p w14:paraId="4E5E78F8"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19538E4C"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r w:rsidRPr="00CF263C">
        <w:rPr>
          <w:rFonts w:ascii="Times New Roman" w:eastAsia="바탕" w:hAnsi="Times New Roman" w:cs="Times New Roman"/>
          <w:szCs w:val="24"/>
          <w:lang w:val="pl-PL"/>
        </w:rPr>
        <w:t>U dzieci i młodzieży z umiarkowanym do ciężkiego, czynnym wrzodziejącym zapaleniem jelita grubego odsetek powstawania przeciwciał przeciw adalimumabowi u pacjentów otrzymujących adalimumab wynosił 3%</w:t>
      </w:r>
      <w:r w:rsidRPr="00CF263C">
        <w:rPr>
          <w:rFonts w:ascii="Times New Roman" w:eastAsia="Calibri" w:hAnsi="Times New Roman" w:cs="Times New Roman"/>
          <w:lang w:val="pl-PL"/>
        </w:rPr>
        <w:t>.</w:t>
      </w:r>
    </w:p>
    <w:p w14:paraId="3586C909"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1C6D6225" w14:textId="678AF36B" w:rsidR="002E5800" w:rsidRPr="008F328C" w:rsidRDefault="00CF263C" w:rsidP="00CF263C">
      <w:pPr>
        <w:pStyle w:val="a3"/>
        <w:rPr>
          <w:lang w:val="pl-PL"/>
        </w:rPr>
      </w:pPr>
      <w:r w:rsidRPr="00CF263C">
        <w:rPr>
          <w:rFonts w:eastAsia="바탕"/>
          <w:lang w:val="pl-PL"/>
        </w:rPr>
        <w:t>Analizy immunogenności są swoiste dla danego produktu i dlatego nie jest możliwe porównanie z wskaźnikami obecności przeciwciał podczas stosowania innych produktów</w:t>
      </w:r>
      <w:r w:rsidR="000E0B7C" w:rsidRPr="008F328C">
        <w:rPr>
          <w:rFonts w:eastAsia="Times New Roman"/>
          <w:lang w:val="pl-PL"/>
        </w:rPr>
        <w:t>.</w:t>
      </w:r>
    </w:p>
    <w:p w14:paraId="2B5AEAC0" w14:textId="77777777" w:rsidR="002E5800" w:rsidRPr="008F328C" w:rsidRDefault="002E5800">
      <w:pPr>
        <w:pStyle w:val="a3"/>
        <w:rPr>
          <w:lang w:val="pl-PL"/>
        </w:rPr>
      </w:pPr>
    </w:p>
    <w:p w14:paraId="59ECA243" w14:textId="77777777" w:rsidR="002E5800" w:rsidRPr="008F328C" w:rsidRDefault="000E0B7C">
      <w:pPr>
        <w:pStyle w:val="a3"/>
        <w:rPr>
          <w:u w:val="single"/>
          <w:lang w:val="pl-PL"/>
        </w:rPr>
      </w:pPr>
      <w:r w:rsidRPr="008F328C">
        <w:rPr>
          <w:rFonts w:eastAsia="Times New Roman"/>
          <w:u w:val="single" w:color="000000"/>
          <w:lang w:val="pl-PL"/>
        </w:rPr>
        <w:t>Dzieci i młodzież</w:t>
      </w:r>
    </w:p>
    <w:p w14:paraId="6619CE5D" w14:textId="77777777" w:rsidR="002E5800" w:rsidRPr="008F328C" w:rsidRDefault="002E5800">
      <w:pPr>
        <w:spacing w:before="1" w:line="180" w:lineRule="exact"/>
        <w:rPr>
          <w:rFonts w:ascii="Times New Roman" w:hAnsi="Times New Roman" w:cs="Times New Roman"/>
          <w:sz w:val="18"/>
          <w:szCs w:val="18"/>
          <w:lang w:val="pl-PL"/>
        </w:rPr>
      </w:pPr>
    </w:p>
    <w:p w14:paraId="2A5A4724" w14:textId="77777777" w:rsidR="007011B1" w:rsidRPr="008F328C" w:rsidRDefault="007011B1" w:rsidP="007011B1">
      <w:pPr>
        <w:pStyle w:val="a3"/>
        <w:rPr>
          <w:rFonts w:eastAsia="Times New Roman"/>
          <w:i/>
          <w:spacing w:val="-1"/>
          <w:lang w:val="pl-PL"/>
        </w:rPr>
      </w:pPr>
      <w:r w:rsidRPr="008F328C">
        <w:rPr>
          <w:rFonts w:eastAsia="Times New Roman"/>
          <w:i/>
          <w:iCs/>
          <w:spacing w:val="-1"/>
          <w:lang w:val="pl-PL"/>
        </w:rPr>
        <w:t>Młodzieńcze idiopatyczne zapalenie stawów (MIZS)</w:t>
      </w:r>
    </w:p>
    <w:p w14:paraId="6468020C" w14:textId="77777777" w:rsidR="007011B1" w:rsidRPr="008F328C" w:rsidRDefault="007011B1" w:rsidP="007011B1">
      <w:pPr>
        <w:pStyle w:val="a3"/>
        <w:rPr>
          <w:rFonts w:eastAsia="Times New Roman"/>
          <w:i/>
          <w:spacing w:val="-1"/>
          <w:u w:val="single" w:color="000000"/>
          <w:lang w:val="pl-PL"/>
        </w:rPr>
      </w:pPr>
    </w:p>
    <w:p w14:paraId="05237BA0" w14:textId="77777777" w:rsidR="007011B1" w:rsidRPr="008F328C" w:rsidRDefault="007011B1" w:rsidP="007011B1">
      <w:pPr>
        <w:pStyle w:val="a3"/>
        <w:rPr>
          <w:rFonts w:eastAsia="Times New Roman"/>
          <w:lang w:val="pl-PL"/>
        </w:rPr>
      </w:pPr>
      <w:r w:rsidRPr="008F328C">
        <w:rPr>
          <w:rFonts w:eastAsia="Times New Roman"/>
          <w:i/>
          <w:iCs/>
          <w:spacing w:val="-1"/>
          <w:u w:val="single" w:color="000000"/>
          <w:lang w:val="pl-PL"/>
        </w:rPr>
        <w:t>Wielostawowe młodzieńcze idiopatyczne zapalenie stawów (WMIZS)</w:t>
      </w:r>
    </w:p>
    <w:p w14:paraId="3D4A66DE" w14:textId="77777777" w:rsidR="007011B1" w:rsidRPr="008F328C" w:rsidRDefault="007011B1" w:rsidP="007011B1">
      <w:pPr>
        <w:pStyle w:val="a3"/>
        <w:rPr>
          <w:lang w:val="pl-PL"/>
        </w:rPr>
      </w:pPr>
      <w:r w:rsidRPr="008F328C">
        <w:rPr>
          <w:rFonts w:eastAsia="Times New Roman"/>
          <w:lang w:val="pl-PL"/>
        </w:rPr>
        <w:t>Bezpieczeństwo stosowania i skuteczność adalimumabu oceniano w dwóch badaniach klinicznych (pJIA I II) u dzieci z czynną postacią wielostawowego młodzieńczego idiopatycznego zapalenia stawów lub MIZS o dalszym przebiegu wielostawowym, u których występowały rozmaite typy początku MIZS [najczęściej seronegatywne (RF-) lub seropozytywne (RF+) zapalenie wielostawowe lub rozszerzająca się postać skąpostawowa].</w:t>
      </w:r>
    </w:p>
    <w:p w14:paraId="6A591FE6" w14:textId="77777777" w:rsidR="007011B1" w:rsidRPr="008F328C" w:rsidRDefault="007011B1" w:rsidP="007011B1">
      <w:pPr>
        <w:pStyle w:val="a3"/>
        <w:rPr>
          <w:sz w:val="24"/>
          <w:szCs w:val="24"/>
          <w:lang w:val="pl-PL"/>
        </w:rPr>
      </w:pPr>
    </w:p>
    <w:p w14:paraId="78299ECE" w14:textId="77777777" w:rsidR="007011B1" w:rsidRPr="008F328C" w:rsidRDefault="007011B1" w:rsidP="007011B1">
      <w:pPr>
        <w:pStyle w:val="a3"/>
        <w:rPr>
          <w:lang w:val="pl-PL"/>
        </w:rPr>
      </w:pPr>
      <w:r w:rsidRPr="008F328C">
        <w:rPr>
          <w:rFonts w:eastAsia="Times New Roman"/>
          <w:lang w:val="pl-PL"/>
        </w:rPr>
        <w:t>pJIA-I</w:t>
      </w:r>
    </w:p>
    <w:p w14:paraId="6FBE4662" w14:textId="77777777" w:rsidR="007011B1" w:rsidRPr="008F328C" w:rsidRDefault="007011B1" w:rsidP="007011B1">
      <w:pPr>
        <w:pStyle w:val="a3"/>
        <w:rPr>
          <w:sz w:val="18"/>
          <w:szCs w:val="18"/>
          <w:lang w:val="pl-PL"/>
        </w:rPr>
      </w:pPr>
    </w:p>
    <w:p w14:paraId="719F200D" w14:textId="7CF6FBF2" w:rsidR="007011B1" w:rsidRPr="008F328C" w:rsidRDefault="007011B1" w:rsidP="007011B1">
      <w:pPr>
        <w:pStyle w:val="a3"/>
        <w:rPr>
          <w:lang w:val="pl-PL"/>
        </w:rPr>
      </w:pPr>
      <w:r w:rsidRPr="008F328C">
        <w:rPr>
          <w:rFonts w:eastAsia="Times New Roman"/>
          <w:lang w:val="pl-PL"/>
        </w:rPr>
        <w:t>Bezpieczeństwo stosowania i skuteczność adalimumabu badano w wieloośrodkowym, randomizowanym badaniu klinicznym z podwójnie ślepą próbą i grupami równoległymi u 171 dzieci (w wieku od 4 do 17 lat) z WMIZS. W fazie wstępnej otwartej (ang. open-label lead in, OL LI) pacjentów przydzielono do dwóch grup - leczonych MTX (metotreksatem) lub nieleczonych MTX. Pacjenci w grupie nieleczonych MTX, albo nigdy nie byli leczeni MTX, albo zaprzestano u nich stosowania MTX co najmniej dwa tygodnie przed podaniem badanego leku. Pacjenci w dalszym ciągu otrzymywali stałe dawki leków z grupy NLPZ i (lub) prednizon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0,2 mg/kg mc./dobc lub maksymalnie 10 mg/dobc). W fazie OL LI wszyscy pacjenci otrzymywali adalimumabu w dawce 24 mg/m</w:t>
      </w:r>
      <w:r w:rsidRPr="008F328C">
        <w:rPr>
          <w:rFonts w:eastAsia="Times New Roman"/>
          <w:sz w:val="14"/>
          <w:szCs w:val="14"/>
          <w:lang w:val="pl-PL"/>
        </w:rPr>
        <w:t>2</w:t>
      </w:r>
      <w:r w:rsidRPr="008F328C">
        <w:rPr>
          <w:rFonts w:eastAsia="Times New Roman"/>
          <w:lang w:val="pl-PL"/>
        </w:rPr>
        <w:t xml:space="preserve"> pc. do maksymalnie 40 mg co drugi tydzień przez 16 tygodni. Podział pacjentów wg wieku oraz dawki minimalnej, mediany dawki i dawki maksymalnej, jaką otrzymywali w fazie OL LI przedstawiono w Tabeli </w:t>
      </w:r>
      <w:r w:rsidR="001B7FBF" w:rsidRPr="008F328C">
        <w:rPr>
          <w:rFonts w:eastAsia="Times New Roman"/>
          <w:lang w:val="pl-PL"/>
        </w:rPr>
        <w:t>25</w:t>
      </w:r>
      <w:r w:rsidRPr="008F328C">
        <w:rPr>
          <w:rFonts w:eastAsia="Times New Roman"/>
          <w:lang w:val="pl-PL"/>
        </w:rPr>
        <w:t>.</w:t>
      </w:r>
    </w:p>
    <w:p w14:paraId="009D75B5" w14:textId="77777777" w:rsidR="007011B1" w:rsidRPr="008F328C" w:rsidRDefault="007011B1" w:rsidP="007011B1">
      <w:pPr>
        <w:spacing w:before="18" w:line="240" w:lineRule="exact"/>
        <w:rPr>
          <w:rFonts w:ascii="Times New Roman" w:hAnsi="Times New Roman" w:cs="Times New Roman"/>
          <w:sz w:val="24"/>
          <w:szCs w:val="24"/>
          <w:lang w:val="pl-PL"/>
        </w:rPr>
      </w:pPr>
    </w:p>
    <w:p w14:paraId="33B95248" w14:textId="2A2C676E" w:rsidR="007011B1" w:rsidRPr="008F328C" w:rsidRDefault="007011B1" w:rsidP="007011B1">
      <w:pPr>
        <w:pStyle w:val="a3"/>
        <w:jc w:val="center"/>
        <w:rPr>
          <w:b/>
          <w:lang w:val="pl-PL"/>
        </w:rPr>
      </w:pPr>
      <w:r w:rsidRPr="008F328C">
        <w:rPr>
          <w:rFonts w:eastAsia="Times New Roman"/>
          <w:b/>
          <w:bCs/>
          <w:lang w:val="pl-PL"/>
        </w:rPr>
        <w:t xml:space="preserve">Tabela </w:t>
      </w:r>
      <w:r w:rsidR="001B7FBF" w:rsidRPr="008F328C">
        <w:rPr>
          <w:rFonts w:eastAsia="Times New Roman"/>
          <w:b/>
          <w:bCs/>
          <w:lang w:val="pl-PL"/>
        </w:rPr>
        <w:t>25</w:t>
      </w:r>
    </w:p>
    <w:p w14:paraId="67967078" w14:textId="77777777" w:rsidR="007011B1" w:rsidRPr="008F328C" w:rsidRDefault="007011B1" w:rsidP="007011B1">
      <w:pPr>
        <w:pStyle w:val="a3"/>
        <w:jc w:val="center"/>
        <w:rPr>
          <w:b/>
          <w:lang w:val="pl-PL"/>
        </w:rPr>
      </w:pPr>
      <w:r w:rsidRPr="008F328C">
        <w:rPr>
          <w:rFonts w:eastAsia="Times New Roman"/>
          <w:b/>
          <w:bCs/>
          <w:lang w:val="pl-PL"/>
        </w:rPr>
        <w:t>Podział pacjentów wg wieku i dawki adalimumabu, jaką otrzymali w fazie OL LI</w:t>
      </w:r>
    </w:p>
    <w:p w14:paraId="1165888C" w14:textId="77777777" w:rsidR="007011B1" w:rsidRPr="008F328C" w:rsidRDefault="007011B1" w:rsidP="007011B1">
      <w:pPr>
        <w:spacing w:before="15" w:line="260" w:lineRule="exact"/>
        <w:rPr>
          <w:rFonts w:ascii="Times New Roman" w:hAnsi="Times New Roman" w:cs="Times New Roman"/>
          <w:sz w:val="26"/>
          <w:szCs w:val="26"/>
          <w:lang w:val="pl-PL"/>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7011B1" w:rsidRPr="00FE49E6" w14:paraId="14F2AEF6"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7F340FAA"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Grupa wiekowa</w:t>
            </w:r>
          </w:p>
        </w:tc>
        <w:tc>
          <w:tcPr>
            <w:tcW w:w="3521" w:type="dxa"/>
            <w:tcBorders>
              <w:top w:val="single" w:sz="5" w:space="0" w:color="000000"/>
              <w:left w:val="single" w:sz="5" w:space="0" w:color="000000"/>
              <w:bottom w:val="single" w:sz="5" w:space="0" w:color="000000"/>
              <w:right w:val="single" w:sz="5" w:space="0" w:color="000000"/>
            </w:tcBorders>
          </w:tcPr>
          <w:p w14:paraId="0B49DE6D" w14:textId="77777777" w:rsidR="007011B1" w:rsidRPr="008F328C" w:rsidRDefault="007011B1" w:rsidP="00012556">
            <w:pPr>
              <w:pStyle w:val="TableParagraph"/>
              <w:spacing w:line="246"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 Wyjściowa liczba pacjentów n (%)</w:t>
            </w:r>
          </w:p>
        </w:tc>
        <w:tc>
          <w:tcPr>
            <w:tcW w:w="3240" w:type="dxa"/>
            <w:tcBorders>
              <w:top w:val="single" w:sz="5" w:space="0" w:color="000000"/>
              <w:left w:val="single" w:sz="5" w:space="0" w:color="000000"/>
              <w:bottom w:val="single" w:sz="5" w:space="0" w:color="000000"/>
              <w:right w:val="single" w:sz="5" w:space="0" w:color="000000"/>
            </w:tcBorders>
          </w:tcPr>
          <w:p w14:paraId="2BE6C434"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Dawka minimalna, mediana dawki</w:t>
            </w:r>
          </w:p>
          <w:p w14:paraId="4F01D91B" w14:textId="77777777" w:rsidR="007011B1" w:rsidRPr="008F328C" w:rsidRDefault="007011B1" w:rsidP="00012556">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i dawka maksymalna</w:t>
            </w:r>
          </w:p>
        </w:tc>
      </w:tr>
      <w:tr w:rsidR="007011B1" w:rsidRPr="008F328C" w14:paraId="11543CA9"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3D2ED827"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4 do 7 lat</w:t>
            </w:r>
          </w:p>
        </w:tc>
        <w:tc>
          <w:tcPr>
            <w:tcW w:w="3521" w:type="dxa"/>
            <w:tcBorders>
              <w:top w:val="single" w:sz="5" w:space="0" w:color="000000"/>
              <w:left w:val="single" w:sz="5" w:space="0" w:color="000000"/>
              <w:bottom w:val="single" w:sz="5" w:space="0" w:color="000000"/>
              <w:right w:val="single" w:sz="5" w:space="0" w:color="000000"/>
            </w:tcBorders>
          </w:tcPr>
          <w:p w14:paraId="49272044"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31 (18,1)</w:t>
            </w:r>
          </w:p>
        </w:tc>
        <w:tc>
          <w:tcPr>
            <w:tcW w:w="3240" w:type="dxa"/>
            <w:tcBorders>
              <w:top w:val="single" w:sz="5" w:space="0" w:color="000000"/>
              <w:left w:val="single" w:sz="5" w:space="0" w:color="000000"/>
              <w:bottom w:val="single" w:sz="5" w:space="0" w:color="000000"/>
              <w:right w:val="single" w:sz="5" w:space="0" w:color="000000"/>
            </w:tcBorders>
          </w:tcPr>
          <w:p w14:paraId="7D0DB135"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 20 i 25 mg</w:t>
            </w:r>
          </w:p>
        </w:tc>
      </w:tr>
      <w:tr w:rsidR="007011B1" w:rsidRPr="008F328C" w14:paraId="10947E91"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67A7E35A" w14:textId="77777777" w:rsidR="007011B1" w:rsidRPr="008F328C" w:rsidRDefault="007011B1" w:rsidP="00012556">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8 do 12 lat</w:t>
            </w:r>
          </w:p>
        </w:tc>
        <w:tc>
          <w:tcPr>
            <w:tcW w:w="3521" w:type="dxa"/>
            <w:tcBorders>
              <w:top w:val="single" w:sz="5" w:space="0" w:color="000000"/>
              <w:left w:val="single" w:sz="5" w:space="0" w:color="000000"/>
              <w:bottom w:val="single" w:sz="5" w:space="0" w:color="000000"/>
              <w:right w:val="single" w:sz="5" w:space="0" w:color="000000"/>
            </w:tcBorders>
          </w:tcPr>
          <w:p w14:paraId="2EC9EA3C" w14:textId="77777777" w:rsidR="007011B1" w:rsidRPr="008F328C" w:rsidRDefault="007011B1" w:rsidP="00012556">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71 (41,5)</w:t>
            </w:r>
          </w:p>
        </w:tc>
        <w:tc>
          <w:tcPr>
            <w:tcW w:w="3240" w:type="dxa"/>
            <w:tcBorders>
              <w:top w:val="single" w:sz="5" w:space="0" w:color="000000"/>
              <w:left w:val="single" w:sz="5" w:space="0" w:color="000000"/>
              <w:bottom w:val="single" w:sz="5" w:space="0" w:color="000000"/>
              <w:right w:val="single" w:sz="5" w:space="0" w:color="000000"/>
            </w:tcBorders>
          </w:tcPr>
          <w:p w14:paraId="132BC0EA" w14:textId="77777777" w:rsidR="007011B1" w:rsidRPr="008F328C" w:rsidRDefault="007011B1" w:rsidP="00012556">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20, 25 i 40 mg</w:t>
            </w:r>
          </w:p>
        </w:tc>
      </w:tr>
      <w:tr w:rsidR="007011B1" w:rsidRPr="008F328C" w14:paraId="4CBFE5C8"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2BC844F0"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13 do 17 lat</w:t>
            </w:r>
          </w:p>
        </w:tc>
        <w:tc>
          <w:tcPr>
            <w:tcW w:w="3521" w:type="dxa"/>
            <w:tcBorders>
              <w:top w:val="single" w:sz="5" w:space="0" w:color="000000"/>
              <w:left w:val="single" w:sz="5" w:space="0" w:color="000000"/>
              <w:bottom w:val="single" w:sz="5" w:space="0" w:color="000000"/>
              <w:right w:val="single" w:sz="5" w:space="0" w:color="000000"/>
            </w:tcBorders>
          </w:tcPr>
          <w:p w14:paraId="3D0970DF"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69 (40,4)</w:t>
            </w:r>
          </w:p>
        </w:tc>
        <w:tc>
          <w:tcPr>
            <w:tcW w:w="3240" w:type="dxa"/>
            <w:tcBorders>
              <w:top w:val="single" w:sz="5" w:space="0" w:color="000000"/>
              <w:left w:val="single" w:sz="5" w:space="0" w:color="000000"/>
              <w:bottom w:val="single" w:sz="5" w:space="0" w:color="000000"/>
              <w:right w:val="single" w:sz="5" w:space="0" w:color="000000"/>
            </w:tcBorders>
          </w:tcPr>
          <w:p w14:paraId="2E3BF201"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25, 40 i 40 mg</w:t>
            </w:r>
          </w:p>
        </w:tc>
      </w:tr>
    </w:tbl>
    <w:p w14:paraId="78DF0631" w14:textId="77777777" w:rsidR="007011B1" w:rsidRPr="008F328C" w:rsidRDefault="007011B1" w:rsidP="007011B1">
      <w:pPr>
        <w:spacing w:before="3" w:line="170" w:lineRule="exact"/>
        <w:rPr>
          <w:rFonts w:ascii="Times New Roman" w:hAnsi="Times New Roman" w:cs="Times New Roman"/>
          <w:sz w:val="17"/>
          <w:szCs w:val="17"/>
          <w:lang w:val="pl-PL"/>
        </w:rPr>
      </w:pPr>
    </w:p>
    <w:p w14:paraId="1EFD6C28" w14:textId="77777777" w:rsidR="007011B1" w:rsidRPr="008F328C" w:rsidRDefault="007011B1" w:rsidP="007011B1">
      <w:pPr>
        <w:pStyle w:val="a3"/>
        <w:rPr>
          <w:lang w:val="pl-PL"/>
        </w:rPr>
      </w:pPr>
      <w:r w:rsidRPr="008F328C">
        <w:rPr>
          <w:rFonts w:eastAsia="Times New Roman"/>
          <w:lang w:val="pl-PL"/>
        </w:rPr>
        <w:t>Pacjenci wykazujący odpowiedź 30 w pediatrycznej skali ACR w 16. tygodniu kwalifikowali się do randomizacji w fazie podwójnie ślepej próby i otrzymywali albo adalimumab w dawce 24 mg/m</w:t>
      </w:r>
      <w:r w:rsidRPr="008F328C">
        <w:rPr>
          <w:rFonts w:eastAsia="Times New Roman"/>
          <w:sz w:val="14"/>
          <w:szCs w:val="14"/>
          <w:lang w:val="pl-PL"/>
        </w:rPr>
        <w:t xml:space="preserve">2 </w:t>
      </w:r>
      <w:r w:rsidRPr="008F328C">
        <w:rPr>
          <w:rFonts w:eastAsia="Times New Roman"/>
          <w:lang w:val="pl-PL"/>
        </w:rPr>
        <w:t xml:space="preserve">pc. do maksymalnie 40 mg albo placebo co drugi tydzień przez dodatkowo 32 tygodnie lub do momentu reaktywacji choroby. Kryteria reaktywacji choroby określono jako pogorszenie 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30% w stosunku do wartości wyjściowych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3 z 6 kryteriów podstawowych w pediatrycznej skali ACR,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2 zaatakowanych czynną chorobą stawów lub poprawę o </w:t>
      </w:r>
      <w:r w:rsidRPr="008F328C">
        <w:rPr>
          <w:rFonts w:eastAsia="Symbol"/>
          <w:lang w:val="pl-PL"/>
        </w:rPr>
        <w:sym w:font="Symbol" w:char="F03E"/>
      </w:r>
      <w:r w:rsidRPr="008F328C">
        <w:rPr>
          <w:rFonts w:eastAsia="Symbol"/>
          <w:lang w:val="pl-PL"/>
        </w:rPr>
        <w:sym w:font="Symbol" w:char="F020"/>
      </w:r>
      <w:r w:rsidRPr="008F328C">
        <w:rPr>
          <w:rFonts w:eastAsia="Times New Roman"/>
          <w:lang w:val="pl-PL"/>
        </w:rPr>
        <w:t>30% nie więcej niż w 1 z 6 kryteriów. Po 32 tygodniach lub w momencie reaktywacji choroby, pacjenci kwalifikowali się do włączenia do fazy otwartej będącej kontynuacją badania.</w:t>
      </w:r>
    </w:p>
    <w:p w14:paraId="7B2AF2CD" w14:textId="77777777" w:rsidR="007011B1" w:rsidRPr="008F328C" w:rsidRDefault="007011B1" w:rsidP="007011B1">
      <w:pPr>
        <w:spacing w:before="18" w:line="240" w:lineRule="exact"/>
        <w:rPr>
          <w:rFonts w:ascii="Times New Roman" w:hAnsi="Times New Roman" w:cs="Times New Roman"/>
          <w:sz w:val="24"/>
          <w:szCs w:val="24"/>
          <w:lang w:val="pl-PL"/>
        </w:rPr>
      </w:pPr>
    </w:p>
    <w:p w14:paraId="39B18C1F" w14:textId="0488ABD3" w:rsidR="007011B1" w:rsidRPr="008F328C" w:rsidRDefault="007011B1" w:rsidP="007011B1">
      <w:pPr>
        <w:pStyle w:val="a3"/>
        <w:jc w:val="center"/>
        <w:rPr>
          <w:b/>
          <w:lang w:val="pl-PL"/>
        </w:rPr>
      </w:pPr>
      <w:r w:rsidRPr="008F328C">
        <w:rPr>
          <w:rFonts w:eastAsia="Times New Roman"/>
          <w:b/>
          <w:bCs/>
          <w:lang w:val="pl-PL"/>
        </w:rPr>
        <w:t xml:space="preserve">Tabela </w:t>
      </w:r>
      <w:r w:rsidR="001B7FBF" w:rsidRPr="008F328C">
        <w:rPr>
          <w:rFonts w:eastAsia="Times New Roman"/>
          <w:b/>
          <w:bCs/>
          <w:lang w:val="pl-PL"/>
        </w:rPr>
        <w:t>26</w:t>
      </w:r>
    </w:p>
    <w:p w14:paraId="6B595F98" w14:textId="77777777" w:rsidR="007011B1" w:rsidRPr="008F328C" w:rsidRDefault="007011B1" w:rsidP="007011B1">
      <w:pPr>
        <w:pStyle w:val="a3"/>
        <w:jc w:val="center"/>
        <w:rPr>
          <w:b/>
          <w:lang w:val="pl-PL"/>
        </w:rPr>
      </w:pPr>
      <w:r w:rsidRPr="008F328C">
        <w:rPr>
          <w:rFonts w:eastAsia="Times New Roman"/>
          <w:b/>
          <w:bCs/>
          <w:lang w:val="pl-PL"/>
        </w:rPr>
        <w:t>Odpowiedzi 30 w pediatrycznej skali ACR w badaniu WMIZS</w:t>
      </w:r>
    </w:p>
    <w:p w14:paraId="5EB53E5B" w14:textId="77777777" w:rsidR="007011B1" w:rsidRPr="008F328C" w:rsidRDefault="007011B1" w:rsidP="007011B1">
      <w:pPr>
        <w:pStyle w:val="a3"/>
        <w:rPr>
          <w:lang w:val="pl-PL"/>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7011B1" w:rsidRPr="008F328C" w14:paraId="6238B2DD"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6A2617E0"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Grupa</w:t>
            </w:r>
          </w:p>
        </w:tc>
        <w:tc>
          <w:tcPr>
            <w:tcW w:w="3521" w:type="dxa"/>
            <w:gridSpan w:val="2"/>
            <w:tcBorders>
              <w:top w:val="single" w:sz="5" w:space="0" w:color="000000"/>
              <w:left w:val="single" w:sz="5" w:space="0" w:color="000000"/>
              <w:bottom w:val="single" w:sz="5" w:space="0" w:color="000000"/>
              <w:right w:val="single" w:sz="5" w:space="0" w:color="000000"/>
            </w:tcBorders>
          </w:tcPr>
          <w:p w14:paraId="526EDF04" w14:textId="77777777" w:rsidR="007011B1" w:rsidRPr="008F328C" w:rsidRDefault="007011B1" w:rsidP="00012556">
            <w:pPr>
              <w:pStyle w:val="TableParagraph"/>
              <w:spacing w:line="246" w:lineRule="exact"/>
              <w:ind w:left="1463" w:right="1517"/>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026E72D9" w14:textId="77777777" w:rsidR="007011B1" w:rsidRPr="008F328C" w:rsidRDefault="007011B1" w:rsidP="00012556">
            <w:pPr>
              <w:pStyle w:val="TableParagraph"/>
              <w:spacing w:line="246" w:lineRule="exact"/>
              <w:ind w:left="95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Bez MTX</w:t>
            </w:r>
          </w:p>
        </w:tc>
      </w:tr>
      <w:tr w:rsidR="007011B1" w:rsidRPr="008F328C" w14:paraId="6A89832C"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3432C5CB"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Faza</w:t>
            </w:r>
          </w:p>
        </w:tc>
        <w:tc>
          <w:tcPr>
            <w:tcW w:w="3521" w:type="dxa"/>
            <w:gridSpan w:val="2"/>
            <w:tcBorders>
              <w:top w:val="single" w:sz="5" w:space="0" w:color="000000"/>
              <w:left w:val="single" w:sz="5" w:space="0" w:color="000000"/>
              <w:bottom w:val="single" w:sz="5" w:space="0" w:color="000000"/>
              <w:right w:val="single" w:sz="5" w:space="0" w:color="000000"/>
            </w:tcBorders>
          </w:tcPr>
          <w:p w14:paraId="1ADAD0BE" w14:textId="77777777" w:rsidR="007011B1" w:rsidRPr="008F328C" w:rsidRDefault="007011B1" w:rsidP="00012556">
            <w:pPr>
              <w:rPr>
                <w:rFonts w:ascii="Times New Roman" w:hAnsi="Times New Roman" w:cs="Times New Roman"/>
                <w:lang w:val="pl-PL"/>
              </w:rPr>
            </w:pPr>
          </w:p>
        </w:tc>
        <w:tc>
          <w:tcPr>
            <w:tcW w:w="3240" w:type="dxa"/>
            <w:gridSpan w:val="2"/>
            <w:tcBorders>
              <w:top w:val="single" w:sz="5" w:space="0" w:color="000000"/>
              <w:left w:val="single" w:sz="5" w:space="0" w:color="000000"/>
              <w:bottom w:val="single" w:sz="5" w:space="0" w:color="000000"/>
              <w:right w:val="single" w:sz="5" w:space="0" w:color="000000"/>
            </w:tcBorders>
          </w:tcPr>
          <w:p w14:paraId="5786D440" w14:textId="77777777" w:rsidR="007011B1" w:rsidRPr="008F328C" w:rsidRDefault="007011B1" w:rsidP="00012556">
            <w:pPr>
              <w:rPr>
                <w:rFonts w:ascii="Times New Roman" w:hAnsi="Times New Roman" w:cs="Times New Roman"/>
                <w:lang w:val="pl-PL"/>
              </w:rPr>
            </w:pPr>
          </w:p>
        </w:tc>
      </w:tr>
      <w:tr w:rsidR="007011B1" w:rsidRPr="008F328C" w14:paraId="1D2750D9"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387A2CB7"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OL LI 16 tygodni</w:t>
            </w:r>
          </w:p>
        </w:tc>
        <w:tc>
          <w:tcPr>
            <w:tcW w:w="3521" w:type="dxa"/>
            <w:gridSpan w:val="2"/>
            <w:tcBorders>
              <w:top w:val="single" w:sz="5" w:space="0" w:color="000000"/>
              <w:left w:val="single" w:sz="5" w:space="0" w:color="000000"/>
              <w:bottom w:val="single" w:sz="5" w:space="0" w:color="000000"/>
              <w:right w:val="single" w:sz="5" w:space="0" w:color="000000"/>
            </w:tcBorders>
          </w:tcPr>
          <w:p w14:paraId="42123A61" w14:textId="77777777" w:rsidR="007011B1" w:rsidRPr="008F328C" w:rsidRDefault="007011B1" w:rsidP="00012556">
            <w:pPr>
              <w:rPr>
                <w:rFonts w:ascii="Times New Roman" w:hAnsi="Times New Roman" w:cs="Times New Roman"/>
                <w:lang w:val="pl-PL"/>
              </w:rPr>
            </w:pPr>
          </w:p>
        </w:tc>
        <w:tc>
          <w:tcPr>
            <w:tcW w:w="3240" w:type="dxa"/>
            <w:gridSpan w:val="2"/>
            <w:tcBorders>
              <w:top w:val="single" w:sz="5" w:space="0" w:color="000000"/>
              <w:left w:val="single" w:sz="5" w:space="0" w:color="000000"/>
              <w:bottom w:val="single" w:sz="5" w:space="0" w:color="000000"/>
              <w:right w:val="single" w:sz="5" w:space="0" w:color="000000"/>
            </w:tcBorders>
          </w:tcPr>
          <w:p w14:paraId="5056632B" w14:textId="77777777" w:rsidR="007011B1" w:rsidRPr="008F328C" w:rsidRDefault="007011B1" w:rsidP="00012556">
            <w:pPr>
              <w:rPr>
                <w:rFonts w:ascii="Times New Roman" w:hAnsi="Times New Roman" w:cs="Times New Roman"/>
                <w:lang w:val="pl-PL"/>
              </w:rPr>
            </w:pPr>
          </w:p>
        </w:tc>
      </w:tr>
      <w:tr w:rsidR="007011B1" w:rsidRPr="008F328C" w14:paraId="4B8091E1"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085561B6" w14:textId="77777777" w:rsidR="007011B1" w:rsidRPr="008F328C" w:rsidRDefault="007011B1" w:rsidP="00012556">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Odpowiedź 30 w </w:t>
            </w:r>
            <w:r w:rsidRPr="008F328C">
              <w:rPr>
                <w:rFonts w:ascii="Times New Roman" w:eastAsia="Times New Roman" w:hAnsi="Times New Roman" w:cs="Times New Roman"/>
                <w:spacing w:val="-1"/>
                <w:lang w:val="pl-PL"/>
              </w:rPr>
              <w:lastRenderedPageBreak/>
              <w:t>skali pediatrycznej ACR</w:t>
            </w: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(n/N)</w:t>
            </w:r>
          </w:p>
        </w:tc>
        <w:tc>
          <w:tcPr>
            <w:tcW w:w="3521" w:type="dxa"/>
            <w:gridSpan w:val="2"/>
            <w:tcBorders>
              <w:top w:val="single" w:sz="5" w:space="0" w:color="000000"/>
              <w:left w:val="single" w:sz="5" w:space="0" w:color="000000"/>
              <w:bottom w:val="single" w:sz="5" w:space="0" w:color="000000"/>
              <w:right w:val="single" w:sz="5" w:space="0" w:color="000000"/>
            </w:tcBorders>
          </w:tcPr>
          <w:p w14:paraId="4E924487" w14:textId="77777777" w:rsidR="007011B1" w:rsidRPr="008F328C" w:rsidRDefault="007011B1" w:rsidP="00012556">
            <w:pPr>
              <w:pStyle w:val="TableParagraph"/>
              <w:spacing w:line="246" w:lineRule="exact"/>
              <w:ind w:left="10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5C5BDED6" w14:textId="77777777" w:rsidR="007011B1" w:rsidRPr="008F328C" w:rsidRDefault="007011B1" w:rsidP="00012556">
            <w:pPr>
              <w:pStyle w:val="TableParagraph"/>
              <w:spacing w:line="246" w:lineRule="exact"/>
              <w:ind w:left="95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74,4% (64/86)</w:t>
            </w:r>
          </w:p>
        </w:tc>
      </w:tr>
      <w:tr w:rsidR="007011B1" w:rsidRPr="008F328C" w14:paraId="4986836D" w14:textId="77777777" w:rsidTr="0008144B">
        <w:tc>
          <w:tcPr>
            <w:tcW w:w="9178" w:type="dxa"/>
            <w:gridSpan w:val="5"/>
            <w:tcBorders>
              <w:top w:val="single" w:sz="5" w:space="0" w:color="000000"/>
              <w:left w:val="single" w:sz="5" w:space="0" w:color="000000"/>
              <w:bottom w:val="single" w:sz="5" w:space="0" w:color="000000"/>
              <w:right w:val="single" w:sz="5" w:space="0" w:color="000000"/>
            </w:tcBorders>
          </w:tcPr>
          <w:p w14:paraId="1E695249" w14:textId="77777777" w:rsidR="007011B1" w:rsidRPr="008F328C" w:rsidRDefault="007011B1" w:rsidP="00012556">
            <w:pPr>
              <w:pStyle w:val="TableParagraph"/>
              <w:spacing w:line="246" w:lineRule="exact"/>
              <w:ind w:left="3335" w:right="4114"/>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Wyniki skuteczności</w:t>
            </w:r>
          </w:p>
        </w:tc>
      </w:tr>
      <w:tr w:rsidR="007011B1" w:rsidRPr="008F328C" w14:paraId="5F81B91D"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486CBC52" w14:textId="77777777" w:rsidR="007011B1" w:rsidRPr="008F328C" w:rsidRDefault="007011B1" w:rsidP="00012556">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Podwójnie zaślepiona 32 tygodnie</w:t>
            </w:r>
          </w:p>
        </w:tc>
        <w:tc>
          <w:tcPr>
            <w:tcW w:w="1762" w:type="dxa"/>
            <w:tcBorders>
              <w:top w:val="single" w:sz="5" w:space="0" w:color="000000"/>
              <w:left w:val="single" w:sz="5" w:space="0" w:color="000000"/>
              <w:bottom w:val="single" w:sz="5" w:space="0" w:color="000000"/>
              <w:right w:val="single" w:sz="5" w:space="0" w:color="000000"/>
            </w:tcBorders>
          </w:tcPr>
          <w:p w14:paraId="0E8179D2"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182B3393" w14:textId="77777777" w:rsidR="007011B1" w:rsidRPr="008F328C" w:rsidRDefault="007011B1" w:rsidP="00012556">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38)</w:t>
            </w:r>
          </w:p>
        </w:tc>
        <w:tc>
          <w:tcPr>
            <w:tcW w:w="1759" w:type="dxa"/>
            <w:tcBorders>
              <w:top w:val="single" w:sz="5" w:space="0" w:color="000000"/>
              <w:left w:val="single" w:sz="5" w:space="0" w:color="000000"/>
              <w:bottom w:val="single" w:sz="5" w:space="0" w:color="000000"/>
              <w:right w:val="single" w:sz="5" w:space="0" w:color="000000"/>
            </w:tcBorders>
          </w:tcPr>
          <w:p w14:paraId="4C66506A"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Placebo/MTX</w:t>
            </w:r>
          </w:p>
          <w:p w14:paraId="0C27CD53" w14:textId="77777777" w:rsidR="007011B1" w:rsidRPr="008F328C" w:rsidRDefault="007011B1" w:rsidP="00012556">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37)</w:t>
            </w:r>
          </w:p>
        </w:tc>
        <w:tc>
          <w:tcPr>
            <w:tcW w:w="1651" w:type="dxa"/>
            <w:tcBorders>
              <w:top w:val="single" w:sz="5" w:space="0" w:color="000000"/>
              <w:left w:val="single" w:sz="5" w:space="0" w:color="000000"/>
              <w:bottom w:val="single" w:sz="5" w:space="0" w:color="000000"/>
              <w:right w:val="single" w:sz="5" w:space="0" w:color="000000"/>
            </w:tcBorders>
          </w:tcPr>
          <w:p w14:paraId="6DFCA252"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0FEC1456" w14:textId="77777777" w:rsidR="007011B1" w:rsidRPr="008F328C" w:rsidRDefault="007011B1" w:rsidP="00012556">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30)</w:t>
            </w:r>
          </w:p>
        </w:tc>
        <w:tc>
          <w:tcPr>
            <w:tcW w:w="1589" w:type="dxa"/>
            <w:tcBorders>
              <w:top w:val="single" w:sz="5" w:space="0" w:color="000000"/>
              <w:left w:val="single" w:sz="5" w:space="0" w:color="000000"/>
              <w:bottom w:val="single" w:sz="5" w:space="0" w:color="000000"/>
              <w:right w:val="single" w:sz="5" w:space="0" w:color="000000"/>
            </w:tcBorders>
          </w:tcPr>
          <w:p w14:paraId="6ED4D41F"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75DAA1E5" w14:textId="77777777" w:rsidR="007011B1" w:rsidRPr="008F328C" w:rsidRDefault="007011B1" w:rsidP="00012556">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28)</w:t>
            </w:r>
          </w:p>
        </w:tc>
      </w:tr>
      <w:tr w:rsidR="007011B1" w:rsidRPr="008F328C" w14:paraId="5DFB32B7"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0EA76F2C" w14:textId="77777777" w:rsidR="007011B1" w:rsidRPr="008F328C" w:rsidRDefault="007011B1" w:rsidP="00012556">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Reaktywacja choroby po</w:t>
            </w:r>
          </w:p>
          <w:p w14:paraId="48609219" w14:textId="77777777" w:rsidR="007011B1" w:rsidRPr="008F328C" w:rsidRDefault="007011B1" w:rsidP="00012556">
            <w:pPr>
              <w:pStyle w:val="TableParagraph"/>
              <w:spacing w:line="252"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zakończeniu okresu</w:t>
            </w:r>
          </w:p>
          <w:p w14:paraId="3BD19BE1" w14:textId="77777777" w:rsidR="007011B1" w:rsidRPr="008F328C" w:rsidRDefault="007011B1" w:rsidP="00012556">
            <w:pPr>
              <w:pStyle w:val="TableParagraph"/>
              <w:spacing w:line="254" w:lineRule="exact"/>
              <w:ind w:left="668"/>
              <w:rPr>
                <w:rFonts w:ascii="Times New Roman" w:eastAsia="Times New Roman" w:hAnsi="Times New Roman" w:cs="Times New Roman"/>
                <w:lang w:val="pl-PL"/>
              </w:rPr>
            </w:pPr>
            <w:r w:rsidRPr="008F328C">
              <w:rPr>
                <w:rFonts w:ascii="Times New Roman" w:eastAsia="Times New Roman" w:hAnsi="Times New Roman" w:cs="Times New Roman"/>
                <w:lang w:val="pl-PL"/>
              </w:rPr>
              <w:t>32 tygodnia (n/N)</w:t>
            </w:r>
          </w:p>
        </w:tc>
        <w:tc>
          <w:tcPr>
            <w:tcW w:w="1762" w:type="dxa"/>
            <w:tcBorders>
              <w:top w:val="single" w:sz="5" w:space="0" w:color="000000"/>
              <w:left w:val="single" w:sz="5" w:space="0" w:color="000000"/>
              <w:bottom w:val="single" w:sz="5" w:space="0" w:color="000000"/>
              <w:right w:val="single" w:sz="5" w:space="0" w:color="000000"/>
            </w:tcBorders>
          </w:tcPr>
          <w:p w14:paraId="7355D58F"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36,8% (14/38)</w:t>
            </w:r>
          </w:p>
        </w:tc>
        <w:tc>
          <w:tcPr>
            <w:tcW w:w="1759" w:type="dxa"/>
            <w:tcBorders>
              <w:top w:val="single" w:sz="5" w:space="0" w:color="000000"/>
              <w:left w:val="single" w:sz="5" w:space="0" w:color="000000"/>
              <w:bottom w:val="single" w:sz="5" w:space="0" w:color="000000"/>
              <w:right w:val="single" w:sz="5" w:space="0" w:color="000000"/>
            </w:tcBorders>
          </w:tcPr>
          <w:p w14:paraId="3EEED273" w14:textId="77777777" w:rsidR="007011B1" w:rsidRPr="008F328C" w:rsidRDefault="007011B1" w:rsidP="00012556">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64,9% (24/37)</w:t>
            </w:r>
            <w:r w:rsidRPr="008F328C">
              <w:rPr>
                <w:rFonts w:ascii="Times New Roman" w:eastAsia="Times New Roman" w:hAnsi="Times New Roman" w:cs="Times New Roman"/>
                <w:spacing w:val="-1"/>
                <w:sz w:val="14"/>
                <w:szCs w:val="14"/>
                <w:lang w:val="pl-PL"/>
              </w:rPr>
              <w:t>b</w:t>
            </w:r>
          </w:p>
        </w:tc>
        <w:tc>
          <w:tcPr>
            <w:tcW w:w="1651" w:type="dxa"/>
            <w:tcBorders>
              <w:top w:val="single" w:sz="5" w:space="0" w:color="000000"/>
              <w:left w:val="single" w:sz="5" w:space="0" w:color="000000"/>
              <w:bottom w:val="single" w:sz="5" w:space="0" w:color="000000"/>
              <w:right w:val="single" w:sz="5" w:space="0" w:color="000000"/>
            </w:tcBorders>
          </w:tcPr>
          <w:p w14:paraId="6B0C5739"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43,3% (13/30)</w:t>
            </w:r>
          </w:p>
        </w:tc>
        <w:tc>
          <w:tcPr>
            <w:tcW w:w="1589" w:type="dxa"/>
            <w:tcBorders>
              <w:top w:val="single" w:sz="5" w:space="0" w:color="000000"/>
              <w:left w:val="single" w:sz="5" w:space="0" w:color="000000"/>
              <w:bottom w:val="single" w:sz="5" w:space="0" w:color="000000"/>
              <w:right w:val="single" w:sz="5" w:space="0" w:color="000000"/>
            </w:tcBorders>
          </w:tcPr>
          <w:p w14:paraId="537B108E"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71,4%</w:t>
            </w:r>
          </w:p>
          <w:p w14:paraId="3336F253" w14:textId="77777777" w:rsidR="007011B1" w:rsidRPr="008F328C" w:rsidRDefault="007011B1" w:rsidP="00012556">
            <w:pPr>
              <w:pStyle w:val="TableParagraph"/>
              <w:spacing w:line="252"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(20/28)</w:t>
            </w:r>
            <w:r w:rsidRPr="008F328C">
              <w:rPr>
                <w:rFonts w:ascii="Times New Roman" w:eastAsia="Times New Roman" w:hAnsi="Times New Roman" w:cs="Times New Roman"/>
                <w:spacing w:val="-1"/>
                <w:sz w:val="14"/>
                <w:szCs w:val="14"/>
                <w:lang w:val="pl-PL"/>
              </w:rPr>
              <w:t>c</w:t>
            </w:r>
          </w:p>
        </w:tc>
      </w:tr>
      <w:tr w:rsidR="007011B1" w:rsidRPr="008F328C" w14:paraId="7243BDDF" w14:textId="77777777" w:rsidTr="0008144B">
        <w:tc>
          <w:tcPr>
            <w:tcW w:w="2417" w:type="dxa"/>
            <w:tcBorders>
              <w:top w:val="single" w:sz="5" w:space="0" w:color="000000"/>
              <w:left w:val="single" w:sz="5" w:space="0" w:color="000000"/>
              <w:bottom w:val="single" w:sz="5" w:space="0" w:color="000000"/>
              <w:right w:val="single" w:sz="5" w:space="0" w:color="000000"/>
            </w:tcBorders>
          </w:tcPr>
          <w:p w14:paraId="08D58B26" w14:textId="77777777" w:rsidR="007011B1" w:rsidRPr="008F328C" w:rsidRDefault="007011B1" w:rsidP="00012556">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Mediana czasu do</w:t>
            </w:r>
          </w:p>
          <w:p w14:paraId="0347DD2B" w14:textId="77777777" w:rsidR="007011B1" w:rsidRPr="008F328C" w:rsidRDefault="007011B1" w:rsidP="00012556">
            <w:pPr>
              <w:pStyle w:val="TableParagraph"/>
              <w:spacing w:before="1"/>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reaktywacji choroby</w:t>
            </w:r>
          </w:p>
        </w:tc>
        <w:tc>
          <w:tcPr>
            <w:tcW w:w="1762" w:type="dxa"/>
            <w:tcBorders>
              <w:top w:val="single" w:sz="5" w:space="0" w:color="000000"/>
              <w:left w:val="single" w:sz="5" w:space="0" w:color="000000"/>
              <w:bottom w:val="single" w:sz="5" w:space="0" w:color="000000"/>
              <w:right w:val="single" w:sz="5" w:space="0" w:color="000000"/>
            </w:tcBorders>
          </w:tcPr>
          <w:p w14:paraId="76FC5C1C"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&gt; 32 tygodnie</w:t>
            </w:r>
          </w:p>
        </w:tc>
        <w:tc>
          <w:tcPr>
            <w:tcW w:w="1759" w:type="dxa"/>
            <w:tcBorders>
              <w:top w:val="single" w:sz="5" w:space="0" w:color="000000"/>
              <w:left w:val="single" w:sz="5" w:space="0" w:color="000000"/>
              <w:bottom w:val="single" w:sz="5" w:space="0" w:color="000000"/>
              <w:right w:val="single" w:sz="5" w:space="0" w:color="000000"/>
            </w:tcBorders>
          </w:tcPr>
          <w:p w14:paraId="4A66A5CB"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tygodni</w:t>
            </w:r>
          </w:p>
        </w:tc>
        <w:tc>
          <w:tcPr>
            <w:tcW w:w="1651" w:type="dxa"/>
            <w:tcBorders>
              <w:top w:val="single" w:sz="5" w:space="0" w:color="000000"/>
              <w:left w:val="single" w:sz="5" w:space="0" w:color="000000"/>
              <w:bottom w:val="single" w:sz="5" w:space="0" w:color="000000"/>
              <w:right w:val="single" w:sz="5" w:space="0" w:color="000000"/>
            </w:tcBorders>
          </w:tcPr>
          <w:p w14:paraId="5EF344D2"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&gt; 32 tygodnie</w:t>
            </w:r>
          </w:p>
        </w:tc>
        <w:tc>
          <w:tcPr>
            <w:tcW w:w="1589" w:type="dxa"/>
            <w:tcBorders>
              <w:top w:val="single" w:sz="5" w:space="0" w:color="000000"/>
              <w:left w:val="single" w:sz="5" w:space="0" w:color="000000"/>
              <w:bottom w:val="single" w:sz="5" w:space="0" w:color="000000"/>
              <w:right w:val="single" w:sz="5" w:space="0" w:color="000000"/>
            </w:tcBorders>
          </w:tcPr>
          <w:p w14:paraId="35A41198" w14:textId="77777777" w:rsidR="007011B1" w:rsidRPr="008F328C" w:rsidRDefault="007011B1" w:rsidP="00012556">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14 tygodni</w:t>
            </w:r>
          </w:p>
        </w:tc>
      </w:tr>
    </w:tbl>
    <w:p w14:paraId="2BD8030F" w14:textId="77777777" w:rsidR="007011B1" w:rsidRPr="008F328C" w:rsidRDefault="007011B1" w:rsidP="007011B1">
      <w:pPr>
        <w:spacing w:before="3" w:line="180" w:lineRule="exact"/>
        <w:rPr>
          <w:rFonts w:ascii="Times New Roman" w:hAnsi="Times New Roman" w:cs="Times New Roman"/>
          <w:sz w:val="18"/>
          <w:szCs w:val="18"/>
          <w:lang w:val="pl-PL"/>
        </w:rPr>
      </w:pPr>
    </w:p>
    <w:p w14:paraId="18FA116C" w14:textId="77777777" w:rsidR="007011B1" w:rsidRPr="008F328C" w:rsidRDefault="007011B1" w:rsidP="007011B1">
      <w:pPr>
        <w:pStyle w:val="a3"/>
        <w:rPr>
          <w:lang w:val="pl-PL"/>
        </w:rPr>
      </w:pPr>
      <w:r w:rsidRPr="008F328C">
        <w:rPr>
          <w:rFonts w:eastAsia="Times New Roman"/>
          <w:position w:val="8"/>
          <w:vertAlign w:val="superscript"/>
          <w:lang w:val="pl-PL"/>
        </w:rPr>
        <w:t xml:space="preserve">a </w:t>
      </w:r>
      <w:r w:rsidRPr="008F328C">
        <w:rPr>
          <w:rFonts w:eastAsia="Times New Roman"/>
          <w:position w:val="8"/>
          <w:lang w:val="pl-PL"/>
        </w:rPr>
        <w:t>Odpowiedzi 30/50/70 w pediatrycznej skali ACR w 48. tygodniu istotnie większe niż u pacjentów otrzymujących placebo</w:t>
      </w:r>
    </w:p>
    <w:p w14:paraId="4C7B0DD6" w14:textId="77777777" w:rsidR="007011B1" w:rsidRPr="008F328C" w:rsidRDefault="007011B1" w:rsidP="007011B1">
      <w:pPr>
        <w:pStyle w:val="a3"/>
        <w:rPr>
          <w:lang w:val="pl-PL"/>
        </w:rPr>
      </w:pPr>
      <w:r w:rsidRPr="008F328C">
        <w:rPr>
          <w:rFonts w:eastAsia="Times New Roman"/>
          <w:position w:val="8"/>
          <w:vertAlign w:val="superscript"/>
          <w:lang w:val="pl-PL"/>
        </w:rPr>
        <w:t xml:space="preserve">b </w:t>
      </w:r>
      <w:r w:rsidRPr="008F328C">
        <w:rPr>
          <w:rFonts w:eastAsia="Times New Roman"/>
          <w:position w:val="8"/>
          <w:lang w:val="pl-PL"/>
        </w:rPr>
        <w:t>p = 0,015</w:t>
      </w:r>
    </w:p>
    <w:p w14:paraId="27CEAE06" w14:textId="77777777" w:rsidR="007011B1" w:rsidRPr="008F328C" w:rsidRDefault="007011B1" w:rsidP="007011B1">
      <w:pPr>
        <w:pStyle w:val="a3"/>
        <w:rPr>
          <w:lang w:val="pl-PL"/>
        </w:rPr>
      </w:pPr>
      <w:r w:rsidRPr="008F328C">
        <w:rPr>
          <w:rFonts w:eastAsia="Times New Roman"/>
          <w:position w:val="8"/>
          <w:vertAlign w:val="superscript"/>
          <w:lang w:val="pl-PL"/>
        </w:rPr>
        <w:t xml:space="preserve">c </w:t>
      </w:r>
      <w:r w:rsidRPr="008F328C">
        <w:rPr>
          <w:rFonts w:eastAsia="Times New Roman"/>
          <w:position w:val="8"/>
          <w:lang w:val="pl-PL"/>
        </w:rPr>
        <w:t>p = 0,031</w:t>
      </w:r>
    </w:p>
    <w:p w14:paraId="3EF6E982" w14:textId="77777777" w:rsidR="007011B1" w:rsidRPr="008F328C" w:rsidRDefault="007011B1" w:rsidP="007011B1">
      <w:pPr>
        <w:spacing w:before="14" w:line="240" w:lineRule="exact"/>
        <w:rPr>
          <w:rFonts w:ascii="Times New Roman" w:hAnsi="Times New Roman" w:cs="Times New Roman"/>
          <w:sz w:val="24"/>
          <w:szCs w:val="24"/>
          <w:lang w:val="pl-PL"/>
        </w:rPr>
      </w:pPr>
    </w:p>
    <w:p w14:paraId="2168E516" w14:textId="77777777" w:rsidR="007011B1" w:rsidRPr="008F328C" w:rsidRDefault="007011B1" w:rsidP="007011B1">
      <w:pPr>
        <w:pStyle w:val="a3"/>
        <w:rPr>
          <w:lang w:val="pl-PL"/>
        </w:rPr>
      </w:pPr>
      <w:r w:rsidRPr="008F328C">
        <w:rPr>
          <w:rFonts w:eastAsia="Times New Roman"/>
          <w:spacing w:val="1"/>
          <w:lang w:val="pl-PL"/>
        </w:rPr>
        <w:t>Wśród tych, którzy odpowiedzieli na leczenie w 16. tygodniu (n = 144), odpowiedzi 30/50/70/90 w pediatrycznej skali ACR utrzymywały się przez okres do sześciu lat w fazie otwartej będącej kontynuacją badania (ang. open label extension, OLE) u pacjentów, którzy otrzymywali adalimumab przez cały okres trwania badania. Ogółem 19 pacjentów (11 w grupie wiekowej 4 do 12 lat w chwili rozpoczęcia leczenia oraz 8 pacjentów w grupie wiekowej 13 do 17 lat w chwili rozpoczęcia leczenia) leczono przez 6 lat lub dłużej.</w:t>
      </w:r>
    </w:p>
    <w:p w14:paraId="5029540F" w14:textId="77777777" w:rsidR="007011B1" w:rsidRPr="008F328C" w:rsidRDefault="007011B1" w:rsidP="007011B1">
      <w:pPr>
        <w:spacing w:before="14" w:line="240" w:lineRule="exact"/>
        <w:rPr>
          <w:rFonts w:ascii="Times New Roman" w:hAnsi="Times New Roman" w:cs="Times New Roman"/>
          <w:sz w:val="24"/>
          <w:szCs w:val="24"/>
          <w:lang w:val="pl-PL"/>
        </w:rPr>
      </w:pPr>
    </w:p>
    <w:p w14:paraId="5C8A9FD6" w14:textId="77777777" w:rsidR="007011B1" w:rsidRPr="008F328C" w:rsidRDefault="007011B1" w:rsidP="007011B1">
      <w:pPr>
        <w:pStyle w:val="a3"/>
        <w:rPr>
          <w:lang w:val="pl-PL"/>
        </w:rPr>
      </w:pPr>
      <w:r w:rsidRPr="008F328C">
        <w:rPr>
          <w:rFonts w:eastAsia="Times New Roman"/>
          <w:lang w:val="pl-PL"/>
        </w:rPr>
        <w:t>Na ogół, odpowiedź na leczenie była lepsza i u mniejszej liczby pacjentów stwierdzono przeciwciała, gdy stosowano w skojarzeniu adalimumab i MTX w porównaniu do adalimumabu w monoterapii. Biorąc pod uwagę te wyniki zaleca się stosowanie produktu Yuflyma w skojarzeniu z MTX lub stosowanie w monoterapii u pacjentów, dla których MTX nie jest odpowiedni (patrz punkt 4.2).</w:t>
      </w:r>
    </w:p>
    <w:p w14:paraId="4D22AD28" w14:textId="77777777" w:rsidR="007011B1" w:rsidRPr="008F328C" w:rsidRDefault="007011B1" w:rsidP="007011B1">
      <w:pPr>
        <w:pStyle w:val="a3"/>
        <w:rPr>
          <w:lang w:val="pl-PL"/>
        </w:rPr>
      </w:pPr>
    </w:p>
    <w:p w14:paraId="4659BE42" w14:textId="77777777" w:rsidR="007011B1" w:rsidRPr="008F328C" w:rsidRDefault="007011B1" w:rsidP="007011B1">
      <w:pPr>
        <w:pStyle w:val="a3"/>
        <w:rPr>
          <w:lang w:val="pl-PL"/>
        </w:rPr>
      </w:pPr>
      <w:r w:rsidRPr="008F328C">
        <w:rPr>
          <w:rFonts w:eastAsia="Times New Roman"/>
          <w:spacing w:val="1"/>
          <w:lang w:val="pl-PL"/>
        </w:rPr>
        <w:t>pJIA-II</w:t>
      </w:r>
    </w:p>
    <w:p w14:paraId="7BE4C4F0" w14:textId="77777777" w:rsidR="007011B1" w:rsidRPr="008F328C" w:rsidRDefault="007011B1" w:rsidP="007011B1">
      <w:pPr>
        <w:spacing w:before="11" w:line="240" w:lineRule="exact"/>
        <w:rPr>
          <w:rFonts w:ascii="Times New Roman" w:hAnsi="Times New Roman" w:cs="Times New Roman"/>
          <w:sz w:val="24"/>
          <w:szCs w:val="24"/>
          <w:lang w:val="pl-PL"/>
        </w:rPr>
      </w:pPr>
    </w:p>
    <w:p w14:paraId="126418A9" w14:textId="77777777" w:rsidR="007011B1" w:rsidRPr="008F328C" w:rsidRDefault="007011B1" w:rsidP="007011B1">
      <w:pPr>
        <w:pStyle w:val="a3"/>
        <w:rPr>
          <w:lang w:val="pl-PL"/>
        </w:rPr>
      </w:pPr>
      <w:r w:rsidRPr="008F328C">
        <w:rPr>
          <w:rFonts w:eastAsia="Times New Roman"/>
          <w:lang w:val="pl-PL"/>
        </w:rPr>
        <w:t xml:space="preserve">Bezpieczeństwo stosowania i skuteczność adalimumabu oceniano w otwartym, wieloośrodkowym badaniu klinicznym u 32 dzieci </w:t>
      </w:r>
    </w:p>
    <w:p w14:paraId="2512CD69" w14:textId="77777777" w:rsidR="007011B1" w:rsidRPr="008F328C" w:rsidRDefault="007011B1" w:rsidP="007011B1">
      <w:pPr>
        <w:pStyle w:val="a3"/>
        <w:rPr>
          <w:lang w:val="pl-PL"/>
        </w:rPr>
      </w:pPr>
      <w:r w:rsidRPr="008F328C">
        <w:rPr>
          <w:rFonts w:eastAsia="Times New Roman"/>
          <w:lang w:val="pl-PL"/>
        </w:rPr>
        <w:t>(w wieku od 2 do &lt;4 lat lub w wieku 4 lat i starszych o masie ciała &lt;15 kg) z umiarkowanym do ciężkiego czynnym wielostawowym MIZS. Pacjenci otrzymywali adalimumab 24 mg/m</w:t>
      </w:r>
      <w:r w:rsidRPr="008F328C">
        <w:rPr>
          <w:rFonts w:eastAsia="Times New Roman"/>
          <w:sz w:val="14"/>
          <w:szCs w:val="14"/>
          <w:lang w:val="pl-PL"/>
        </w:rPr>
        <w:t>2</w:t>
      </w:r>
      <w:r w:rsidRPr="008F328C">
        <w:rPr>
          <w:rFonts w:eastAsia="Times New Roman"/>
          <w:lang w:val="pl-PL"/>
        </w:rPr>
        <w:t xml:space="preserve"> pc., do maksymalnie 20 mg co drugi tydzień jako dawkę pojedynczą we wstrzyknięciu podskórnym przez co najmniej 24 tygodnie. W okresie badania większość pacjentów przyjmowała równocześnie MTX, a mniej z nich informowało o stosowaniu kortykosteroidów lub NLPZ.</w:t>
      </w:r>
    </w:p>
    <w:p w14:paraId="5D5EE998" w14:textId="77777777" w:rsidR="007011B1" w:rsidRPr="008F328C" w:rsidRDefault="007011B1" w:rsidP="007011B1">
      <w:pPr>
        <w:spacing w:before="14" w:line="240" w:lineRule="exact"/>
        <w:rPr>
          <w:rFonts w:ascii="Times New Roman" w:hAnsi="Times New Roman" w:cs="Times New Roman"/>
          <w:sz w:val="24"/>
          <w:szCs w:val="24"/>
          <w:lang w:val="pl-PL"/>
        </w:rPr>
      </w:pPr>
    </w:p>
    <w:p w14:paraId="1D344BC1" w14:textId="77777777" w:rsidR="007011B1" w:rsidRPr="008F328C" w:rsidRDefault="007011B1" w:rsidP="007011B1">
      <w:pPr>
        <w:pStyle w:val="a3"/>
        <w:rPr>
          <w:lang w:val="pl-PL"/>
        </w:rPr>
      </w:pPr>
      <w:r w:rsidRPr="008F328C">
        <w:rPr>
          <w:rFonts w:eastAsia="Times New Roman"/>
          <w:lang w:val="pl-PL"/>
        </w:rPr>
        <w:t>W 12. i 24. tygodniu, gdy zastosowano analizę obserwowanych danych, odsetek odpowiedzi 30 w pediatrycznej skali ACR wynosił odpowiednio 93,5% i 90,0%. Odsetek uczestników badania, którzy osiągnęli odpowiedź 50/70/90 w pediatrycznej skali ACR w 12. i 24. tygodniu wynosił odpowiednio 90,3%/61,3%/38,7% oraz 83,3%/73,3%/36,7%. Wśród tych, którzy odpowiedzieli na leczenie (odpowiedź 30 w pediatrycznej skali ACR) w 24. tygodniu (n=27 z 30 pacjentów), odpowiedź 30 w pediatrycznej skali ACR utrzymywała się do 60 tygodni w fazie OLE u pacjentów, którzy otrzymywali adalimumab przez cały ten okres. Ogółem, 20 uczestników badania leczono przez 60 tygodni lub dłużej.</w:t>
      </w:r>
    </w:p>
    <w:p w14:paraId="7A4AF54A" w14:textId="77777777" w:rsidR="007011B1" w:rsidRPr="008F328C" w:rsidRDefault="007011B1" w:rsidP="007011B1">
      <w:pPr>
        <w:pStyle w:val="a3"/>
        <w:rPr>
          <w:sz w:val="24"/>
          <w:szCs w:val="24"/>
          <w:lang w:val="pl-PL"/>
        </w:rPr>
      </w:pPr>
    </w:p>
    <w:p w14:paraId="28B11158" w14:textId="77777777" w:rsidR="007011B1" w:rsidRPr="008F328C" w:rsidRDefault="007011B1" w:rsidP="007011B1">
      <w:pPr>
        <w:pStyle w:val="a3"/>
        <w:rPr>
          <w:rFonts w:eastAsia="Times New Roman"/>
          <w:lang w:val="pl-PL"/>
        </w:rPr>
      </w:pPr>
      <w:r w:rsidRPr="008F328C">
        <w:rPr>
          <w:rFonts w:eastAsia="Times New Roman"/>
          <w:i/>
          <w:iCs/>
          <w:u w:val="single" w:color="000000"/>
          <w:lang w:val="pl-PL"/>
        </w:rPr>
        <w:t>Zapalenie stawów z towarzyszącym zapaleniem przyczepów ścięgnistych</w:t>
      </w:r>
    </w:p>
    <w:p w14:paraId="2BF32161" w14:textId="77777777" w:rsidR="007011B1" w:rsidRPr="008F328C" w:rsidRDefault="007011B1" w:rsidP="007011B1">
      <w:pPr>
        <w:pStyle w:val="a3"/>
        <w:rPr>
          <w:sz w:val="18"/>
          <w:szCs w:val="18"/>
          <w:lang w:val="pl-PL"/>
        </w:rPr>
      </w:pPr>
    </w:p>
    <w:p w14:paraId="295459DC" w14:textId="77777777" w:rsidR="007011B1" w:rsidRPr="008F328C" w:rsidRDefault="007011B1" w:rsidP="007011B1">
      <w:pPr>
        <w:pStyle w:val="a3"/>
        <w:rPr>
          <w:lang w:val="pl-PL"/>
        </w:rPr>
      </w:pPr>
      <w:r w:rsidRPr="008F328C">
        <w:rPr>
          <w:rFonts w:eastAsia="Times New Roman"/>
          <w:lang w:val="pl-PL"/>
        </w:rPr>
        <w:t xml:space="preserve">Bezpieczeństwo stosowania i skuteczność adalimumabu oceniano w wieloośrodkowym, randomizowanym badaniu klinicznym z podwójnie ślepą próbą z udziałem 46 dzieci (w wieku od 6 do 17 lat), u których </w:t>
      </w:r>
      <w:r w:rsidRPr="008F328C">
        <w:rPr>
          <w:rFonts w:eastAsia="Times New Roman"/>
          <w:lang w:val="pl-PL"/>
        </w:rPr>
        <w:lastRenderedPageBreak/>
        <w:t>rozpoznano umiarkowaną postać zapalenia stawów z towarzyszącym zapaleniem przyczepów ścięgnistych. Pacjenci byli losowo przydzielani albo do grupy otrzymującej adalimumab w dawce 24 mg/m</w:t>
      </w:r>
      <w:r w:rsidRPr="008F328C">
        <w:rPr>
          <w:rFonts w:eastAsia="Times New Roman"/>
          <w:sz w:val="14"/>
          <w:szCs w:val="14"/>
          <w:lang w:val="pl-PL"/>
        </w:rPr>
        <w:t xml:space="preserve">2 </w:t>
      </w:r>
      <w:r w:rsidRPr="008F328C">
        <w:rPr>
          <w:rFonts w:eastAsia="Times New Roman"/>
          <w:lang w:val="pl-PL"/>
        </w:rPr>
        <w:t>pc. do maksymalnie 40 mg albo do grupy otrzymującej placebo; produkty podawano co drugi tydzień przez okres 12 tygodni. Po fazie badania prowadzonej metodą podwójnie zaślepioną nastąpiła faza otwarta (ang. open-label, OL), podczas której pacjentom podawano adalimumab w dawce 24 mg/m</w:t>
      </w:r>
      <w:r w:rsidRPr="008F328C">
        <w:rPr>
          <w:rFonts w:eastAsia="Times New Roman"/>
          <w:sz w:val="14"/>
          <w:szCs w:val="14"/>
          <w:lang w:val="pl-PL"/>
        </w:rPr>
        <w:t>2</w:t>
      </w:r>
      <w:r w:rsidRPr="008F328C">
        <w:rPr>
          <w:rFonts w:eastAsia="Times New Roman"/>
          <w:lang w:val="pl-PL"/>
        </w:rPr>
        <w:t xml:space="preserve"> pc. do maksymalnie 40 mg, co drugi tydzień, podskórnie, przez dodatkowy okres do 192 tygodni. Pierwszorzędowym punktem końcowym była procentowa zmiana liczby zaatakowanych czynną chorobą stawów (obrzęk z innego powodu niż zniekształcenie lub stawy, w których wystąpiło ograniczenie ruchomości oraz ból i (lub) tkliwość) w okresie od początku badania do tygodnia 12., która wyniosła średnio -62,6% (mediana zmiany procentowej -88,9%) w grupie otrzymującej adalimumab w porównaniu z -11,6% (mediana zmiany procentowej -50,0%) w grupie otrzymującej placebo. Poprawa pod względem liczby zaatakowanych czynną chorobą stawów utrzymywała się w fazie OL do 156. tygodnia wyłącznie u 26 z 31 (84%) pacjentów w grupie otrzymującej adalimumab, którzy pozostali w badaniu. U większości pacjentów odnotowano kliniczną poprawę pod względem drugorzędowych punktów końcowych, takich jak liczba przyczepów ścięgnistych objętych zapaleniem, liczba tkliwych stawów (ang. tender joint count, TJC), liczba obrzękniętych stawów (ang. swollen joint count, SJC) oraz odpowiedź 50 i 70 w pediatrycznej skali ACR; poprawa ta nie była jednak istotna statystycznie.</w:t>
      </w:r>
    </w:p>
    <w:p w14:paraId="572E2D60" w14:textId="5F526BE1" w:rsidR="002E5800" w:rsidRPr="008F328C" w:rsidRDefault="002E5800">
      <w:pPr>
        <w:spacing w:before="16" w:line="240" w:lineRule="exact"/>
        <w:rPr>
          <w:rFonts w:ascii="Times New Roman" w:hAnsi="Times New Roman" w:cs="Times New Roman"/>
          <w:sz w:val="24"/>
          <w:szCs w:val="24"/>
          <w:lang w:val="pl-PL"/>
        </w:rPr>
      </w:pPr>
    </w:p>
    <w:p w14:paraId="54C8795E" w14:textId="77777777" w:rsidR="007011B1" w:rsidRPr="008F328C" w:rsidRDefault="007011B1" w:rsidP="007011B1">
      <w:pPr>
        <w:pStyle w:val="a3"/>
        <w:rPr>
          <w:rFonts w:eastAsia="Times New Roman"/>
          <w:lang w:val="pl-PL"/>
        </w:rPr>
      </w:pPr>
      <w:r w:rsidRPr="008F328C">
        <w:rPr>
          <w:rFonts w:eastAsia="Times New Roman"/>
          <w:i/>
          <w:iCs/>
          <w:spacing w:val="-1"/>
          <w:lang w:val="pl-PL"/>
        </w:rPr>
        <w:t>Łuszczyca zwyczajna (plackowata) u dzieci i młodzieży</w:t>
      </w:r>
    </w:p>
    <w:p w14:paraId="29E4E4D7" w14:textId="77777777" w:rsidR="007011B1" w:rsidRPr="008F328C" w:rsidRDefault="007011B1" w:rsidP="007011B1">
      <w:pPr>
        <w:pStyle w:val="a3"/>
        <w:rPr>
          <w:sz w:val="24"/>
          <w:szCs w:val="24"/>
          <w:lang w:val="pl-PL"/>
        </w:rPr>
      </w:pPr>
    </w:p>
    <w:p w14:paraId="4D2BCFD7" w14:textId="77777777" w:rsidR="007011B1" w:rsidRPr="008F328C" w:rsidRDefault="007011B1" w:rsidP="007011B1">
      <w:pPr>
        <w:pStyle w:val="a3"/>
        <w:rPr>
          <w:lang w:val="pl-PL"/>
        </w:rPr>
      </w:pPr>
      <w:r w:rsidRPr="008F328C">
        <w:rPr>
          <w:rFonts w:eastAsia="Times New Roman"/>
          <w:lang w:val="pl-PL"/>
        </w:rPr>
        <w:t>Skuteczność adalimumabu oceniano w randomizowanym kontrolowanym podwójnie zaślepionym badaniu klinicznym u 114 pacjentów pediatrycznych w wieku od 4 lat z ciężką postacią przewlekłej łuszczycy zwyczajnej (plackowatej) o nasileniu w skali PGA ≥ 4 [definiowana jako ogólna ocena lekarska (ang. Physician’s Global Assessment) lub zmienione chorobowo &gt; 20% powierzchni ciała (ang. Body Surface Area, BSA) lub zmienione chorobowo &gt; 10% powierzchni ciała z bardzo pogrubiałymi zmianami skórnymi lub wskaźnik powierzchni i nasilenia zmian łuszczycowych PASI (ang. Psoriasis Area and Severity Index) ≥ 20 lub ≥ 10 z istotnym klinicznie zajęciem twarzy, genitaliów, dłoni i (lub) stóp] niewystarczająco kontrolowaną po zastosowaniu leczenia miejscowego i helioterapii lub fototerapii.</w:t>
      </w:r>
    </w:p>
    <w:p w14:paraId="24D14CBD" w14:textId="77777777" w:rsidR="007011B1" w:rsidRPr="008F328C" w:rsidRDefault="007011B1" w:rsidP="007011B1">
      <w:pPr>
        <w:pStyle w:val="a3"/>
        <w:rPr>
          <w:sz w:val="24"/>
          <w:szCs w:val="24"/>
          <w:lang w:val="pl-PL"/>
        </w:rPr>
      </w:pPr>
    </w:p>
    <w:p w14:paraId="0C79BC24" w14:textId="77777777" w:rsidR="007011B1" w:rsidRPr="008F328C" w:rsidRDefault="007011B1" w:rsidP="007011B1">
      <w:pPr>
        <w:pStyle w:val="a3"/>
        <w:rPr>
          <w:lang w:val="pl-PL"/>
        </w:rPr>
      </w:pPr>
      <w:r w:rsidRPr="008F328C">
        <w:rPr>
          <w:rFonts w:eastAsia="Times New Roman"/>
          <w:lang w:val="pl-PL"/>
        </w:rPr>
        <w:t>Pacjenci otrzymywali adalimumab 0,8 mg/kg mc. co drugi tydzień (do 40 mg), 0,4 mg/kg mc. co drugi tydzień (do 20 mg) lub metotreksat 0,1 – 0,4 mg/kg mc. tygodniowo (do 25 mg).  W 16. tygodniu dodatnią odpowiedź, świadczącą o skuteczności (np. PASI 75) wykazało więcej pacjentów, którym losowo przydzielono leczenie adalimumabem 0,8 mg/kg mc. niż pacjentów, którym losowo przydzielono leczenie adalimumabem w dawce 0,4 mg/kg mc. co drugi tydzień lub MTX.</w:t>
      </w:r>
    </w:p>
    <w:p w14:paraId="35335D83" w14:textId="77777777" w:rsidR="007011B1" w:rsidRPr="008F328C" w:rsidRDefault="007011B1" w:rsidP="007011B1">
      <w:pPr>
        <w:pStyle w:val="a3"/>
        <w:jc w:val="center"/>
        <w:rPr>
          <w:lang w:val="pl-PL"/>
        </w:rPr>
      </w:pPr>
    </w:p>
    <w:p w14:paraId="08FA7160"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0E97396B" w14:textId="2D3C9A5B" w:rsidR="007011B1" w:rsidRPr="008F328C" w:rsidRDefault="007011B1" w:rsidP="007011B1">
      <w:pPr>
        <w:pStyle w:val="a3"/>
        <w:jc w:val="center"/>
        <w:rPr>
          <w:b/>
          <w:lang w:val="pl-PL"/>
        </w:rPr>
      </w:pPr>
      <w:r w:rsidRPr="008F328C">
        <w:rPr>
          <w:rFonts w:eastAsia="Times New Roman"/>
          <w:b/>
          <w:bCs/>
          <w:lang w:val="pl-PL"/>
        </w:rPr>
        <w:lastRenderedPageBreak/>
        <w:t>Tabela 2</w:t>
      </w:r>
      <w:r w:rsidR="001B7FBF" w:rsidRPr="008F328C">
        <w:rPr>
          <w:rFonts w:eastAsia="Times New Roman"/>
          <w:b/>
          <w:bCs/>
          <w:lang w:val="pl-PL"/>
        </w:rPr>
        <w:t>7</w:t>
      </w:r>
    </w:p>
    <w:p w14:paraId="5A8274A4" w14:textId="77777777" w:rsidR="007011B1" w:rsidRPr="008F328C" w:rsidRDefault="007011B1" w:rsidP="007011B1">
      <w:pPr>
        <w:pStyle w:val="a3"/>
        <w:jc w:val="center"/>
        <w:rPr>
          <w:b/>
          <w:lang w:val="pl-PL"/>
        </w:rPr>
      </w:pPr>
      <w:r w:rsidRPr="008F328C">
        <w:rPr>
          <w:rFonts w:eastAsia="Times New Roman"/>
          <w:b/>
          <w:bCs/>
          <w:lang w:val="pl-PL"/>
        </w:rPr>
        <w:t>Łuszczyca zwyczajna (plackowata) u dzieci i młodzieży Wyniki skuteczności w 16. tygodniu</w:t>
      </w:r>
    </w:p>
    <w:p w14:paraId="59C1AF50" w14:textId="77777777" w:rsidR="007011B1" w:rsidRPr="008F328C" w:rsidRDefault="007011B1" w:rsidP="007011B1">
      <w:pPr>
        <w:spacing w:before="4" w:line="10" w:lineRule="exact"/>
        <w:rPr>
          <w:rFonts w:ascii="Times New Roman" w:hAnsi="Times New Roman" w:cs="Times New Roman"/>
          <w:sz w:val="4"/>
          <w:szCs w:val="4"/>
          <w:lang w:val="pl-PL"/>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7011B1" w:rsidRPr="00FE49E6" w14:paraId="757670BB" w14:textId="77777777" w:rsidTr="0008144B">
        <w:tc>
          <w:tcPr>
            <w:tcW w:w="3528" w:type="dxa"/>
          </w:tcPr>
          <w:p w14:paraId="766F73F0" w14:textId="77777777" w:rsidR="007011B1" w:rsidRPr="008F328C" w:rsidRDefault="007011B1" w:rsidP="00012556">
            <w:pPr>
              <w:rPr>
                <w:rFonts w:ascii="Times New Roman" w:hAnsi="Times New Roman" w:cs="Times New Roman"/>
                <w:lang w:val="pl-PL"/>
              </w:rPr>
            </w:pPr>
          </w:p>
        </w:tc>
        <w:tc>
          <w:tcPr>
            <w:tcW w:w="1680" w:type="dxa"/>
          </w:tcPr>
          <w:p w14:paraId="2CBFC343" w14:textId="77777777" w:rsidR="007011B1" w:rsidRPr="008F328C" w:rsidRDefault="007011B1" w:rsidP="00012556">
            <w:pPr>
              <w:pStyle w:val="TableParagraph"/>
              <w:spacing w:line="246" w:lineRule="exact"/>
              <w:ind w:left="537" w:right="535"/>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vertAlign w:val="superscript"/>
                <w:lang w:val="pl-PL"/>
              </w:rPr>
              <w:t>a</w:t>
            </w:r>
          </w:p>
          <w:p w14:paraId="53B2AB98" w14:textId="77777777" w:rsidR="007011B1" w:rsidRPr="008F328C" w:rsidRDefault="007011B1" w:rsidP="00012556">
            <w:pPr>
              <w:pStyle w:val="TableParagraph"/>
              <w:spacing w:line="252" w:lineRule="exact"/>
              <w:ind w:left="563" w:right="56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N=37</w:t>
            </w:r>
          </w:p>
        </w:tc>
        <w:tc>
          <w:tcPr>
            <w:tcW w:w="3190" w:type="dxa"/>
          </w:tcPr>
          <w:p w14:paraId="086DC049" w14:textId="77777777" w:rsidR="007011B1" w:rsidRPr="008F328C" w:rsidRDefault="007011B1" w:rsidP="00012556">
            <w:pPr>
              <w:pStyle w:val="TableParagraph"/>
              <w:spacing w:before="5" w:line="252" w:lineRule="exact"/>
              <w:ind w:left="113" w:right="102"/>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 0,8 mg/kg, co drugi tydzień N=38</w:t>
            </w:r>
          </w:p>
        </w:tc>
      </w:tr>
      <w:tr w:rsidR="007011B1" w:rsidRPr="008F328C" w14:paraId="76668F9C" w14:textId="77777777" w:rsidTr="0008144B">
        <w:tc>
          <w:tcPr>
            <w:tcW w:w="3528" w:type="dxa"/>
          </w:tcPr>
          <w:p w14:paraId="5BCFA952" w14:textId="77777777" w:rsidR="007011B1" w:rsidRPr="008F328C" w:rsidRDefault="007011B1" w:rsidP="00012556">
            <w:pPr>
              <w:pStyle w:val="TableParagraph"/>
              <w:spacing w:before="4"/>
              <w:ind w:left="227"/>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PASI 75</w:t>
            </w:r>
            <w:r w:rsidRPr="008F328C">
              <w:rPr>
                <w:rFonts w:ascii="Times New Roman" w:eastAsia="Times New Roman" w:hAnsi="Times New Roman" w:cs="Times New Roman"/>
                <w:spacing w:val="-1"/>
                <w:vertAlign w:val="superscript"/>
                <w:lang w:val="pl-PL"/>
              </w:rPr>
              <w:t>b</w:t>
            </w:r>
          </w:p>
        </w:tc>
        <w:tc>
          <w:tcPr>
            <w:tcW w:w="1680" w:type="dxa"/>
          </w:tcPr>
          <w:p w14:paraId="489FA480" w14:textId="77777777" w:rsidR="007011B1" w:rsidRPr="008F328C" w:rsidRDefault="007011B1" w:rsidP="00012556">
            <w:pPr>
              <w:pStyle w:val="TableParagraph"/>
              <w:spacing w:before="9"/>
              <w:ind w:left="33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12 (32,4%)</w:t>
            </w:r>
          </w:p>
        </w:tc>
        <w:tc>
          <w:tcPr>
            <w:tcW w:w="3190" w:type="dxa"/>
          </w:tcPr>
          <w:p w14:paraId="2F76AA0D" w14:textId="77777777" w:rsidR="007011B1" w:rsidRPr="008F328C" w:rsidRDefault="007011B1" w:rsidP="00012556">
            <w:pPr>
              <w:pStyle w:val="TableParagraph"/>
              <w:spacing w:before="9"/>
              <w:ind w:left="1075" w:right="107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22 (57,9%)</w:t>
            </w:r>
          </w:p>
        </w:tc>
      </w:tr>
      <w:tr w:rsidR="007011B1" w:rsidRPr="008F328C" w14:paraId="0436696E" w14:textId="77777777" w:rsidTr="0008144B">
        <w:tc>
          <w:tcPr>
            <w:tcW w:w="3528" w:type="dxa"/>
          </w:tcPr>
          <w:p w14:paraId="57A03A2C" w14:textId="77777777" w:rsidR="007011B1" w:rsidRPr="008F328C" w:rsidRDefault="007011B1" w:rsidP="00012556">
            <w:pPr>
              <w:pStyle w:val="TableParagraph"/>
              <w:spacing w:before="4"/>
              <w:ind w:left="227"/>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PGA: czysta/prawie czysta</w:t>
            </w:r>
            <w:r w:rsidRPr="008F328C">
              <w:rPr>
                <w:rFonts w:ascii="Times New Roman" w:eastAsia="Times New Roman" w:hAnsi="Times New Roman" w:cs="Times New Roman"/>
                <w:spacing w:val="-1"/>
                <w:vertAlign w:val="superscript"/>
                <w:lang w:val="pl-PL"/>
              </w:rPr>
              <w:t>c</w:t>
            </w:r>
          </w:p>
        </w:tc>
        <w:tc>
          <w:tcPr>
            <w:tcW w:w="1680" w:type="dxa"/>
          </w:tcPr>
          <w:p w14:paraId="38E49668" w14:textId="77777777" w:rsidR="007011B1" w:rsidRPr="008F328C" w:rsidRDefault="007011B1" w:rsidP="00012556">
            <w:pPr>
              <w:pStyle w:val="TableParagraph"/>
              <w:spacing w:before="9"/>
              <w:ind w:left="33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15 (40,5%)</w:t>
            </w:r>
          </w:p>
        </w:tc>
        <w:tc>
          <w:tcPr>
            <w:tcW w:w="3190" w:type="dxa"/>
          </w:tcPr>
          <w:p w14:paraId="346AE741" w14:textId="77777777" w:rsidR="007011B1" w:rsidRPr="008F328C" w:rsidRDefault="007011B1" w:rsidP="00012556">
            <w:pPr>
              <w:pStyle w:val="TableParagraph"/>
              <w:spacing w:before="9"/>
              <w:ind w:left="1076" w:right="107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23 (60,5%)</w:t>
            </w:r>
          </w:p>
        </w:tc>
      </w:tr>
      <w:tr w:rsidR="007011B1" w:rsidRPr="00FE49E6" w14:paraId="41F87E28" w14:textId="77777777" w:rsidTr="0008144B">
        <w:tc>
          <w:tcPr>
            <w:tcW w:w="8398" w:type="dxa"/>
            <w:gridSpan w:val="3"/>
          </w:tcPr>
          <w:p w14:paraId="36775902" w14:textId="77777777" w:rsidR="007011B1" w:rsidRPr="008F328C" w:rsidRDefault="007011B1" w:rsidP="0008144B">
            <w:pPr>
              <w:pStyle w:val="Bullet"/>
              <w:keepNext/>
              <w:numPr>
                <w:ilvl w:val="0"/>
                <w:numId w:val="0"/>
              </w:numPr>
              <w:ind w:left="567" w:hanging="567"/>
              <w:rPr>
                <w:lang w:val="no"/>
              </w:rPr>
            </w:pPr>
            <w:r w:rsidRPr="008F328C">
              <w:rPr>
                <w:vertAlign w:val="superscript"/>
                <w:lang w:val="no"/>
              </w:rPr>
              <w:t>a</w:t>
            </w:r>
            <w:r w:rsidRPr="008F328C">
              <w:rPr>
                <w:lang w:val="no"/>
              </w:rPr>
              <w:t xml:space="preserve"> MTX = metotreksat</w:t>
            </w:r>
          </w:p>
          <w:p w14:paraId="1B9E7679" w14:textId="77777777" w:rsidR="007011B1" w:rsidRPr="008F328C" w:rsidRDefault="007011B1" w:rsidP="0008144B">
            <w:pPr>
              <w:pStyle w:val="Bullet"/>
              <w:keepNext/>
              <w:numPr>
                <w:ilvl w:val="0"/>
                <w:numId w:val="0"/>
              </w:numPr>
              <w:ind w:left="567" w:hanging="567"/>
              <w:rPr>
                <w:lang w:val="no"/>
              </w:rPr>
            </w:pPr>
            <w:r w:rsidRPr="008F328C">
              <w:rPr>
                <w:vertAlign w:val="superscript"/>
                <w:lang w:val="no"/>
              </w:rPr>
              <w:t>b</w:t>
            </w:r>
            <w:r w:rsidRPr="008F328C">
              <w:rPr>
                <w:lang w:val="no"/>
              </w:rPr>
              <w:t xml:space="preserve"> P=0,027, adalimumab 0,8 mg/kg w porównaniu do MTX</w:t>
            </w:r>
          </w:p>
          <w:p w14:paraId="2933C425" w14:textId="77777777" w:rsidR="007011B1" w:rsidRPr="008F328C" w:rsidRDefault="007011B1" w:rsidP="0008144B">
            <w:pPr>
              <w:pStyle w:val="Bullet"/>
              <w:keepNext/>
              <w:numPr>
                <w:ilvl w:val="0"/>
                <w:numId w:val="0"/>
              </w:numPr>
              <w:ind w:left="567" w:hanging="567"/>
              <w:rPr>
                <w:rFonts w:eastAsia="Times New Roman"/>
                <w:lang w:val="pl-PL"/>
              </w:rPr>
            </w:pPr>
            <w:r w:rsidRPr="008F328C">
              <w:rPr>
                <w:vertAlign w:val="superscript"/>
                <w:lang w:val="no"/>
              </w:rPr>
              <w:t>c</w:t>
            </w:r>
            <w:r w:rsidRPr="008F328C">
              <w:rPr>
                <w:lang w:val="no"/>
              </w:rPr>
              <w:t xml:space="preserve"> P=0,083, adalimumab 0,8 mg/kg w porównaniu do MTX</w:t>
            </w:r>
          </w:p>
        </w:tc>
      </w:tr>
    </w:tbl>
    <w:p w14:paraId="750C9FA4" w14:textId="77777777" w:rsidR="007011B1" w:rsidRPr="008F328C" w:rsidRDefault="007011B1" w:rsidP="007011B1">
      <w:pPr>
        <w:spacing w:before="3" w:line="170" w:lineRule="exact"/>
        <w:rPr>
          <w:rFonts w:ascii="Times New Roman" w:hAnsi="Times New Roman" w:cs="Times New Roman"/>
          <w:sz w:val="17"/>
          <w:szCs w:val="17"/>
          <w:lang w:val="pl-PL"/>
        </w:rPr>
      </w:pPr>
    </w:p>
    <w:p w14:paraId="005551FD" w14:textId="77777777" w:rsidR="007011B1" w:rsidRPr="008F328C" w:rsidRDefault="007011B1" w:rsidP="007011B1">
      <w:pPr>
        <w:pStyle w:val="a3"/>
        <w:rPr>
          <w:lang w:val="pl-PL"/>
        </w:rPr>
      </w:pPr>
      <w:r w:rsidRPr="008F328C">
        <w:rPr>
          <w:rFonts w:eastAsia="Times New Roman"/>
          <w:lang w:val="pl-PL"/>
        </w:rPr>
        <w:t>U pacjentów, którzy osiągnęli odpowiedź na leczenie PASI 75 i ocenę PGA „czysta” lub „prawie czysta” zaprzestano leczenia na okres do 36 tygodni i monitorowano ich w celu wykrycia utraty kontroli choroby (tzn. pogorszenia oceny PGA o co najmniej dwa stopnie). Następnie pacjentów powtórnie poddano leczeniu adalimumabem 0,8 mg/kg mc. co drugi tydzień przez dodatkowe 16 tygodni i podczas powtórnego leczenia stwierdzono podobne odsetki odpowiedzi jak w poprzedniej fazie podwójnie zaślepionej: odpowiedź na leczenie PASI 75 u 78,9% (15 z 19 pacjentów) i ocena PGA „czysta” lub „prawie czysta” u 52,6% (10 z 19 pacjentów).</w:t>
      </w:r>
    </w:p>
    <w:p w14:paraId="643710AE" w14:textId="77777777" w:rsidR="007011B1" w:rsidRPr="008F328C" w:rsidRDefault="007011B1" w:rsidP="007011B1">
      <w:pPr>
        <w:pStyle w:val="a3"/>
        <w:rPr>
          <w:sz w:val="24"/>
          <w:szCs w:val="24"/>
          <w:lang w:val="pl-PL"/>
        </w:rPr>
      </w:pPr>
    </w:p>
    <w:p w14:paraId="2F87BEC7" w14:textId="77777777" w:rsidR="007011B1" w:rsidRPr="008F328C" w:rsidRDefault="007011B1" w:rsidP="007011B1">
      <w:pPr>
        <w:pStyle w:val="a3"/>
        <w:rPr>
          <w:lang w:val="pl-PL"/>
        </w:rPr>
      </w:pPr>
      <w:r w:rsidRPr="008F328C">
        <w:rPr>
          <w:rFonts w:eastAsia="Times New Roman"/>
          <w:lang w:val="pl-PL"/>
        </w:rPr>
        <w:t>W fazie otwartej badania, odpowiedzi na leczenie wyrażone PASI 75 i oceną PGA „czysta” lub „prawie czysta” utrzymywały się przez dodatkowe 52 tygodnie bez nowych obserwacji dotyczących bezpieczeństwa stosowania.</w:t>
      </w:r>
    </w:p>
    <w:p w14:paraId="7F52DCA7" w14:textId="77777777" w:rsidR="00FD79D2" w:rsidRPr="008F328C" w:rsidRDefault="00FD79D2" w:rsidP="00FD79D2">
      <w:pPr>
        <w:pStyle w:val="a3"/>
        <w:rPr>
          <w:sz w:val="24"/>
          <w:szCs w:val="24"/>
          <w:lang w:val="pl-PL"/>
        </w:rPr>
      </w:pPr>
    </w:p>
    <w:p w14:paraId="28E7F38C" w14:textId="15999287" w:rsidR="00FD79D2" w:rsidRPr="008F328C" w:rsidRDefault="00FD79D2" w:rsidP="00FD79D2">
      <w:pPr>
        <w:pStyle w:val="a3"/>
        <w:rPr>
          <w:rFonts w:eastAsia="Times New Roman"/>
          <w:lang w:val="pl-PL"/>
        </w:rPr>
      </w:pPr>
      <w:r w:rsidRPr="008F328C">
        <w:rPr>
          <w:rFonts w:eastAsia="Times New Roman"/>
          <w:i/>
          <w:iCs/>
          <w:spacing w:val="-1"/>
          <w:lang w:val="pl-PL"/>
        </w:rPr>
        <w:t xml:space="preserve">Ropne zapalenie apokrynowych gruczołów potowych </w:t>
      </w:r>
      <w:r w:rsidR="006D7011" w:rsidRPr="00FE49E6">
        <w:rPr>
          <w:i/>
          <w:iCs/>
          <w:lang w:val="pl-PL"/>
        </w:rPr>
        <w:t>(HS)</w:t>
      </w:r>
      <w:r w:rsidR="006D7011">
        <w:rPr>
          <w:i/>
          <w:iCs/>
          <w:lang w:val="pl-PL"/>
        </w:rPr>
        <w:t xml:space="preserve"> </w:t>
      </w:r>
      <w:r w:rsidRPr="008F328C">
        <w:rPr>
          <w:rFonts w:eastAsia="Times New Roman"/>
          <w:i/>
          <w:iCs/>
          <w:spacing w:val="-1"/>
          <w:lang w:val="pl-PL"/>
        </w:rPr>
        <w:t>u młodzieży</w:t>
      </w:r>
    </w:p>
    <w:p w14:paraId="65770585" w14:textId="77777777" w:rsidR="00FD79D2" w:rsidRPr="008F328C" w:rsidRDefault="00FD79D2" w:rsidP="00FD79D2">
      <w:pPr>
        <w:pStyle w:val="a3"/>
        <w:rPr>
          <w:sz w:val="24"/>
          <w:szCs w:val="24"/>
          <w:lang w:val="pl-PL"/>
        </w:rPr>
      </w:pPr>
    </w:p>
    <w:p w14:paraId="221B99FB" w14:textId="5D5B6F8D" w:rsidR="00FD79D2" w:rsidRPr="008F328C" w:rsidRDefault="00FD79D2" w:rsidP="00FD79D2">
      <w:pPr>
        <w:pStyle w:val="a3"/>
        <w:rPr>
          <w:lang w:val="pl-PL"/>
        </w:rPr>
      </w:pPr>
      <w:r w:rsidRPr="008F328C">
        <w:rPr>
          <w:rFonts w:eastAsia="Times New Roman"/>
          <w:lang w:val="pl-PL"/>
        </w:rPr>
        <w:t>Nie ma badań klinicznych adalimumab u pacjentów w wieku młodzieńczym z HS.  Skuteczność adalimumabu w leczeniu HS u pacjentów w wieku młodzieńczym przewiduje się na podstawie wykazanej skuteczności i zależności między ekspozycją na adalimumab i odpowiedzią na leczenie u dorosłych pacjentów z HS oraz prawdopodobieństwa, że przebieg choroby, patofizjologia i działanie leku są zasadniczo podobne do stwierdzonych u dorosłych p</w:t>
      </w:r>
      <w:r w:rsidR="006D7011">
        <w:rPr>
          <w:rFonts w:eastAsia="Times New Roman"/>
          <w:lang w:val="pl-PL"/>
        </w:rPr>
        <w:t>o</w:t>
      </w:r>
      <w:r w:rsidRPr="008F328C">
        <w:rPr>
          <w:rFonts w:eastAsia="Times New Roman"/>
          <w:lang w:val="pl-PL"/>
        </w:rPr>
        <w:t xml:space="preserve"> tym samym poziomie ekspozycji. Bezpieczeństwo stosowania zalecanej dawki adalimumabu w populacji młodzieży z HS określono na podstawie profilu bezpieczeństwa adalimumabu stosowanego w podobnych lub częściej podawanych dawkach w różnych wskazaniach zarówno u dorosłych, jak i u dzieci i młodzieży (patrz punkt 5.2).</w:t>
      </w:r>
    </w:p>
    <w:p w14:paraId="1510243D" w14:textId="1DB0F1AF" w:rsidR="007011B1" w:rsidRPr="008F328C" w:rsidRDefault="007011B1">
      <w:pPr>
        <w:spacing w:before="16" w:line="240" w:lineRule="exact"/>
        <w:rPr>
          <w:rFonts w:ascii="Times New Roman" w:hAnsi="Times New Roman" w:cs="Times New Roman"/>
          <w:sz w:val="24"/>
          <w:szCs w:val="24"/>
          <w:lang w:val="pl-PL"/>
        </w:rPr>
      </w:pPr>
    </w:p>
    <w:p w14:paraId="473C312C" w14:textId="77777777" w:rsidR="001B7FBF" w:rsidRPr="008F328C" w:rsidRDefault="001B7FBF" w:rsidP="001B7FBF">
      <w:pPr>
        <w:pStyle w:val="a3"/>
        <w:rPr>
          <w:i/>
          <w:lang w:val="pl-PL"/>
        </w:rPr>
      </w:pPr>
      <w:r w:rsidRPr="008F328C">
        <w:rPr>
          <w:rFonts w:eastAsia="Times New Roman"/>
          <w:i/>
          <w:iCs/>
          <w:lang w:val="pl-PL"/>
        </w:rPr>
        <w:t>Choroba Leśniowskiego-Crohna (ChL-C) u dzieci i młodzieży</w:t>
      </w:r>
    </w:p>
    <w:p w14:paraId="6B373588" w14:textId="77777777" w:rsidR="001B7FBF" w:rsidRPr="008F328C" w:rsidRDefault="001B7FBF" w:rsidP="001B7FBF">
      <w:pPr>
        <w:pStyle w:val="a3"/>
        <w:rPr>
          <w:sz w:val="18"/>
          <w:szCs w:val="18"/>
          <w:lang w:val="pl-PL"/>
        </w:rPr>
      </w:pPr>
    </w:p>
    <w:p w14:paraId="400D865C" w14:textId="77777777" w:rsidR="001B7FBF" w:rsidRPr="008F328C" w:rsidRDefault="001B7FBF" w:rsidP="001B7FBF">
      <w:pPr>
        <w:pStyle w:val="a3"/>
        <w:rPr>
          <w:lang w:val="pl-PL"/>
        </w:rPr>
      </w:pPr>
      <w:r w:rsidRPr="008F328C">
        <w:rPr>
          <w:rFonts w:eastAsia="Times New Roman"/>
          <w:lang w:val="pl-PL"/>
        </w:rPr>
        <w:t>Adalimumab oceniano w wieloośrodkowym, randomizowanym badaniu klinicznym z podwójnie ślepą próbą, którego celem była ocena skuteczności i bezpieczeństwa leczenia indukcyjnego i podtrzymującego dawkami ustalonymi w zależności od masy ciała pacjenta (&lt; 40 kg lub ≥ 40 kg) u 192 pacjentów między 6. a 17. (włącznie) rokiem życia, z chorobą Leśniowskiego-Crohna o nasileniu umiarkowanym do ciężkiego, co definiowano jako wartość pediatrycznego wskaźnika aktywności choroby Leśniowskiego-Crohna (ang. Paediatric Crohn’s Disease Activity Index, PCDAI) &gt; 30. Pacjenci musieli wcześniej bez powodzenia otrzymywać standardowe leczenie stosowane w ChL-C [w tym lek z grupy kortykosteroidów i (lub) lek immunomodulujący]. Możliwe było również włączenie pacjentów, którzy wcześniej przestali odpowiadać na infliksymab lub wystąpiła u nich nietolerancja infliksymabu.</w:t>
      </w:r>
    </w:p>
    <w:p w14:paraId="61E85D3F" w14:textId="77777777" w:rsidR="001B7FBF" w:rsidRPr="008F328C" w:rsidRDefault="001B7FBF" w:rsidP="001B7FBF">
      <w:pPr>
        <w:pStyle w:val="a3"/>
        <w:rPr>
          <w:sz w:val="24"/>
          <w:szCs w:val="24"/>
          <w:lang w:val="pl-PL"/>
        </w:rPr>
      </w:pPr>
    </w:p>
    <w:p w14:paraId="2A4E3452" w14:textId="77777777" w:rsidR="001B7FBF" w:rsidRPr="008F328C" w:rsidRDefault="001B7FBF" w:rsidP="001B7FBF">
      <w:pPr>
        <w:pStyle w:val="a3"/>
        <w:rPr>
          <w:lang w:val="pl-PL"/>
        </w:rPr>
      </w:pPr>
      <w:r w:rsidRPr="008F328C">
        <w:rPr>
          <w:rFonts w:eastAsia="Times New Roman"/>
          <w:lang w:val="pl-PL"/>
        </w:rPr>
        <w:t xml:space="preserve">W próbie otwartej wszyscy pacjenci otrzymali w okresie indukcji dawkę zależną od masy ciała w momencie rozpoczęcia badania: 160 mg w tygodniu 0 i 80 mg w 2. tygodniu – pacjenci o masie ciała ≥ 40 kg oraz odpowiednio 80 mg i 40 mg – pacjenci o masie ciała </w:t>
      </w:r>
    </w:p>
    <w:p w14:paraId="1539FFFD" w14:textId="77777777" w:rsidR="001B7FBF" w:rsidRPr="008F328C" w:rsidRDefault="001B7FBF" w:rsidP="001B7FBF">
      <w:pPr>
        <w:pStyle w:val="a3"/>
        <w:rPr>
          <w:lang w:val="pl-PL"/>
        </w:rPr>
      </w:pPr>
      <w:r w:rsidRPr="008F328C">
        <w:rPr>
          <w:rFonts w:eastAsia="Times New Roman"/>
          <w:lang w:val="pl-PL"/>
        </w:rPr>
        <w:t>&lt; 40 kg.</w:t>
      </w:r>
    </w:p>
    <w:p w14:paraId="6D1E4A59" w14:textId="77777777" w:rsidR="001B7FBF" w:rsidRPr="008F328C" w:rsidRDefault="001B7FBF" w:rsidP="001B7FBF">
      <w:pPr>
        <w:pStyle w:val="a3"/>
        <w:rPr>
          <w:sz w:val="24"/>
          <w:szCs w:val="24"/>
          <w:lang w:val="pl-PL"/>
        </w:rPr>
      </w:pPr>
    </w:p>
    <w:p w14:paraId="3E173670" w14:textId="187A7573" w:rsidR="001B7FBF" w:rsidRPr="008F328C" w:rsidRDefault="001B7FBF" w:rsidP="001B7FBF">
      <w:pPr>
        <w:pStyle w:val="a3"/>
        <w:rPr>
          <w:lang w:val="pl-PL"/>
        </w:rPr>
      </w:pPr>
      <w:r w:rsidRPr="008F328C">
        <w:rPr>
          <w:rFonts w:eastAsia="Times New Roman"/>
          <w:lang w:val="pl-PL"/>
        </w:rPr>
        <w:t>W 4. tygodniu, pacjentów przydzielono losowo w stosunku 1:1 w zależności od ich aktualnej masy ciała do jednego z dwóch schematów leczenia podtrzymującego: „mała dawka” lub „standardowa dawka”, co przedstawiono w Tabeli 2</w:t>
      </w:r>
      <w:r w:rsidR="006E70B5" w:rsidRPr="008F328C">
        <w:rPr>
          <w:rFonts w:eastAsia="Times New Roman"/>
          <w:lang w:val="pl-PL"/>
        </w:rPr>
        <w:t>8</w:t>
      </w:r>
      <w:r w:rsidRPr="008F328C">
        <w:rPr>
          <w:rFonts w:eastAsia="Times New Roman"/>
          <w:lang w:val="pl-PL"/>
        </w:rPr>
        <w:t>.</w:t>
      </w:r>
    </w:p>
    <w:p w14:paraId="1B903524" w14:textId="77777777" w:rsidR="001B7FBF" w:rsidRPr="008F328C" w:rsidRDefault="001B7FBF" w:rsidP="001B7FBF">
      <w:pPr>
        <w:pStyle w:val="a3"/>
        <w:rPr>
          <w:sz w:val="24"/>
          <w:szCs w:val="24"/>
          <w:lang w:val="pl-PL"/>
        </w:rPr>
      </w:pPr>
    </w:p>
    <w:p w14:paraId="06536060" w14:textId="2CF86ED5" w:rsidR="001B7FBF" w:rsidRPr="008F328C" w:rsidRDefault="001B7FBF" w:rsidP="001B7FBF">
      <w:pPr>
        <w:pStyle w:val="a3"/>
        <w:jc w:val="center"/>
        <w:rPr>
          <w:b/>
          <w:lang w:val="pl-PL"/>
        </w:rPr>
      </w:pPr>
      <w:r w:rsidRPr="008F328C">
        <w:rPr>
          <w:rFonts w:eastAsia="Times New Roman"/>
          <w:b/>
          <w:bCs/>
          <w:lang w:val="pl-PL"/>
        </w:rPr>
        <w:t>Tabela 2</w:t>
      </w:r>
      <w:r w:rsidR="006E70B5" w:rsidRPr="008F328C">
        <w:rPr>
          <w:rFonts w:eastAsia="Times New Roman"/>
          <w:b/>
          <w:bCs/>
          <w:lang w:val="pl-PL"/>
        </w:rPr>
        <w:t>8</w:t>
      </w:r>
      <w:r w:rsidRPr="008F328C">
        <w:rPr>
          <w:rFonts w:eastAsia="Times New Roman"/>
          <w:b/>
          <w:bCs/>
          <w:lang w:val="pl-PL"/>
        </w:rPr>
        <w:t xml:space="preserve"> Schemat leczenia podtrzymującego</w:t>
      </w:r>
    </w:p>
    <w:p w14:paraId="47A5027D" w14:textId="77777777" w:rsidR="001B7FBF" w:rsidRPr="008F328C" w:rsidRDefault="001B7FBF" w:rsidP="001B7FBF">
      <w:pPr>
        <w:pStyle w:val="a3"/>
        <w:jc w:val="center"/>
        <w:rPr>
          <w:b/>
          <w:lang w:val="pl-PL"/>
        </w:rPr>
      </w:pPr>
    </w:p>
    <w:tbl>
      <w:tblPr>
        <w:tblStyle w:val="TableNormal1"/>
        <w:tblW w:w="8574" w:type="dxa"/>
        <w:jc w:val="center"/>
        <w:tblLayout w:type="fixed"/>
        <w:tblLook w:val="01E0" w:firstRow="1" w:lastRow="1" w:firstColumn="1" w:lastColumn="1" w:noHBand="0" w:noVBand="0"/>
      </w:tblPr>
      <w:tblGrid>
        <w:gridCol w:w="2858"/>
        <w:gridCol w:w="2858"/>
        <w:gridCol w:w="2858"/>
      </w:tblGrid>
      <w:tr w:rsidR="001B7FBF" w:rsidRPr="008F328C" w14:paraId="4AFEAFED" w14:textId="77777777" w:rsidTr="0008144B">
        <w:trPr>
          <w:jc w:val="center"/>
        </w:trPr>
        <w:tc>
          <w:tcPr>
            <w:tcW w:w="2858" w:type="dxa"/>
            <w:tcBorders>
              <w:top w:val="single" w:sz="5" w:space="0" w:color="000000"/>
              <w:left w:val="single" w:sz="5" w:space="0" w:color="000000"/>
              <w:bottom w:val="single" w:sz="5" w:space="0" w:color="000000"/>
              <w:right w:val="single" w:sz="5" w:space="0" w:color="000000"/>
            </w:tcBorders>
          </w:tcPr>
          <w:p w14:paraId="37EF6DD3" w14:textId="593498CF" w:rsidR="001B7FBF" w:rsidRPr="008F328C" w:rsidRDefault="001B7FBF" w:rsidP="0008144B">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Masa</w:t>
            </w:r>
            <w:r w:rsidR="006E70B5" w:rsidRPr="008F328C">
              <w:rPr>
                <w:rFonts w:ascii="Times New Roman" w:eastAsia="Times New Roman" w:hAnsi="Times New Roman" w:cs="Times New Roman"/>
                <w:b/>
                <w:bCs/>
                <w:lang w:val="pl-PL"/>
              </w:rPr>
              <w:t xml:space="preserve"> </w:t>
            </w:r>
            <w:r w:rsidRPr="008F328C">
              <w:rPr>
                <w:rFonts w:ascii="Times New Roman" w:eastAsia="Times New Roman" w:hAnsi="Times New Roman" w:cs="Times New Roman"/>
                <w:b/>
                <w:bCs/>
                <w:spacing w:val="-1"/>
                <w:lang w:val="pl-PL"/>
              </w:rPr>
              <w:t>ciała pacjenta</w:t>
            </w:r>
          </w:p>
        </w:tc>
        <w:tc>
          <w:tcPr>
            <w:tcW w:w="2858" w:type="dxa"/>
            <w:tcBorders>
              <w:top w:val="single" w:sz="5" w:space="0" w:color="000000"/>
              <w:left w:val="single" w:sz="5" w:space="0" w:color="000000"/>
              <w:bottom w:val="single" w:sz="5" w:space="0" w:color="000000"/>
              <w:right w:val="single" w:sz="5" w:space="0" w:color="000000"/>
            </w:tcBorders>
          </w:tcPr>
          <w:p w14:paraId="77551C34" w14:textId="77777777" w:rsidR="001B7FBF" w:rsidRPr="008F328C" w:rsidRDefault="001B7FBF" w:rsidP="0008144B">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w:t>
            </w:r>
          </w:p>
        </w:tc>
        <w:tc>
          <w:tcPr>
            <w:tcW w:w="2858" w:type="dxa"/>
            <w:tcBorders>
              <w:top w:val="single" w:sz="5" w:space="0" w:color="000000"/>
              <w:left w:val="single" w:sz="5" w:space="0" w:color="000000"/>
              <w:bottom w:val="single" w:sz="5" w:space="0" w:color="000000"/>
              <w:right w:val="single" w:sz="5" w:space="0" w:color="000000"/>
            </w:tcBorders>
          </w:tcPr>
          <w:p w14:paraId="71E0753E" w14:textId="51C0A1BE" w:rsidR="001B7FBF" w:rsidRPr="008F328C" w:rsidRDefault="001B7FBF" w:rsidP="0008144B">
            <w:pPr>
              <w:pStyle w:val="TableParagraph"/>
              <w:spacing w:before="1" w:line="252"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Standardowa</w:t>
            </w:r>
            <w:r w:rsidR="00964D0A" w:rsidRPr="008F328C">
              <w:rPr>
                <w:rFonts w:ascii="Times New Roman" w:eastAsia="Times New Roman" w:hAnsi="Times New Roman" w:cs="Times New Roman"/>
                <w:b/>
                <w:bCs/>
                <w:spacing w:val="-1"/>
                <w:lang w:val="pl-PL"/>
              </w:rPr>
              <w:t xml:space="preserve"> </w:t>
            </w:r>
            <w:r w:rsidRPr="008F328C">
              <w:rPr>
                <w:rFonts w:ascii="Times New Roman" w:eastAsia="Times New Roman" w:hAnsi="Times New Roman" w:cs="Times New Roman"/>
                <w:b/>
                <w:bCs/>
                <w:lang w:val="pl-PL"/>
              </w:rPr>
              <w:t>dawka</w:t>
            </w:r>
          </w:p>
        </w:tc>
      </w:tr>
      <w:tr w:rsidR="001B7FBF" w:rsidRPr="008F328C" w14:paraId="077859A8" w14:textId="77777777" w:rsidTr="0008144B">
        <w:trPr>
          <w:jc w:val="center"/>
        </w:trPr>
        <w:tc>
          <w:tcPr>
            <w:tcW w:w="2858" w:type="dxa"/>
            <w:tcBorders>
              <w:top w:val="single" w:sz="5" w:space="0" w:color="000000"/>
              <w:left w:val="single" w:sz="5" w:space="0" w:color="000000"/>
              <w:bottom w:val="single" w:sz="5" w:space="0" w:color="000000"/>
              <w:right w:val="single" w:sz="5" w:space="0" w:color="000000"/>
            </w:tcBorders>
          </w:tcPr>
          <w:p w14:paraId="27B00039"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2858" w:type="dxa"/>
            <w:tcBorders>
              <w:top w:val="single" w:sz="5" w:space="0" w:color="000000"/>
              <w:left w:val="single" w:sz="5" w:space="0" w:color="000000"/>
              <w:bottom w:val="single" w:sz="5" w:space="0" w:color="000000"/>
              <w:right w:val="single" w:sz="5" w:space="0" w:color="000000"/>
            </w:tcBorders>
          </w:tcPr>
          <w:p w14:paraId="26055E7B"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37064B02"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r>
      <w:tr w:rsidR="001B7FBF" w:rsidRPr="008F328C" w14:paraId="1F36CD69" w14:textId="77777777" w:rsidTr="0008144B">
        <w:trPr>
          <w:jc w:val="center"/>
        </w:trPr>
        <w:tc>
          <w:tcPr>
            <w:tcW w:w="2858" w:type="dxa"/>
            <w:tcBorders>
              <w:top w:val="single" w:sz="5" w:space="0" w:color="000000"/>
              <w:left w:val="single" w:sz="5" w:space="0" w:color="000000"/>
              <w:bottom w:val="single" w:sz="5" w:space="0" w:color="000000"/>
              <w:right w:val="single" w:sz="5" w:space="0" w:color="000000"/>
            </w:tcBorders>
          </w:tcPr>
          <w:p w14:paraId="2F1431E9"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2858" w:type="dxa"/>
            <w:tcBorders>
              <w:top w:val="single" w:sz="5" w:space="0" w:color="000000"/>
              <w:left w:val="single" w:sz="5" w:space="0" w:color="000000"/>
              <w:bottom w:val="single" w:sz="5" w:space="0" w:color="000000"/>
              <w:right w:val="single" w:sz="5" w:space="0" w:color="000000"/>
            </w:tcBorders>
          </w:tcPr>
          <w:p w14:paraId="34CB941B"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00FDAF32" w14:textId="77777777" w:rsidR="001B7FBF" w:rsidRPr="008F328C" w:rsidRDefault="001B7FBF" w:rsidP="0008144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r>
    </w:tbl>
    <w:p w14:paraId="1472EA1F" w14:textId="77777777" w:rsidR="001B7FBF" w:rsidRPr="008F328C" w:rsidRDefault="001B7FBF" w:rsidP="001B7FBF">
      <w:pPr>
        <w:pStyle w:val="a3"/>
        <w:rPr>
          <w:lang w:val="pl-PL"/>
        </w:rPr>
      </w:pPr>
    </w:p>
    <w:p w14:paraId="178C765A" w14:textId="77777777" w:rsidR="001B7FBF" w:rsidRPr="008F328C" w:rsidRDefault="001B7FBF" w:rsidP="001B7FBF">
      <w:pPr>
        <w:pStyle w:val="a3"/>
        <w:rPr>
          <w:rFonts w:eastAsia="Times New Roman"/>
          <w:lang w:val="pl-PL"/>
        </w:rPr>
      </w:pPr>
      <w:r w:rsidRPr="008F328C">
        <w:rPr>
          <w:rFonts w:eastAsia="Times New Roman"/>
          <w:i/>
          <w:iCs/>
          <w:spacing w:val="-1"/>
          <w:u w:val="single" w:color="000000"/>
          <w:lang w:val="pl-PL"/>
        </w:rPr>
        <w:t>Wyniki dotyczące skuteczności</w:t>
      </w:r>
    </w:p>
    <w:p w14:paraId="02A516AE" w14:textId="77777777" w:rsidR="001B7FBF" w:rsidRPr="008F328C" w:rsidRDefault="001B7FBF" w:rsidP="001B7FBF">
      <w:pPr>
        <w:pStyle w:val="a3"/>
        <w:rPr>
          <w:sz w:val="19"/>
          <w:szCs w:val="19"/>
          <w:lang w:val="pl-PL"/>
        </w:rPr>
      </w:pPr>
    </w:p>
    <w:p w14:paraId="1263C0FB" w14:textId="77777777" w:rsidR="001B7FBF" w:rsidRPr="008F328C" w:rsidRDefault="001B7FBF" w:rsidP="001B7FBF">
      <w:pPr>
        <w:pStyle w:val="a3"/>
        <w:rPr>
          <w:lang w:val="pl-PL"/>
        </w:rPr>
      </w:pPr>
      <w:r w:rsidRPr="008F328C">
        <w:rPr>
          <w:rFonts w:eastAsia="Times New Roman"/>
          <w:lang w:val="pl-PL"/>
        </w:rPr>
        <w:t xml:space="preserve">Pierwszorzędowym punktem końcowym badania była remisja kliniczna w 26. tygodniu, co definiowano jako wartość wskaźnika PCDAI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10.</w:t>
      </w:r>
    </w:p>
    <w:p w14:paraId="17EF1C04" w14:textId="77777777" w:rsidR="001B7FBF" w:rsidRPr="008F328C" w:rsidRDefault="001B7FBF" w:rsidP="001B7FBF">
      <w:pPr>
        <w:pStyle w:val="a3"/>
        <w:rPr>
          <w:sz w:val="24"/>
          <w:szCs w:val="24"/>
          <w:lang w:val="pl-PL"/>
        </w:rPr>
      </w:pPr>
    </w:p>
    <w:p w14:paraId="4B12887A" w14:textId="21A34105" w:rsidR="001B7FBF" w:rsidRPr="008F328C" w:rsidRDefault="001B7FBF" w:rsidP="001B7FBF">
      <w:pPr>
        <w:pStyle w:val="a3"/>
        <w:rPr>
          <w:lang w:val="pl-PL"/>
        </w:rPr>
      </w:pPr>
      <w:r w:rsidRPr="008F328C">
        <w:rPr>
          <w:rFonts w:eastAsia="Times New Roman"/>
          <w:lang w:val="pl-PL"/>
        </w:rPr>
        <w:t>Odsetki uzyskania remisji klinicznej i odpowiedzi klinicznej (co definiowano jako zmniejszenie wartości PCDAI o co najmniej 15 punktów w stosunku do wartości wyjściowej) przedstawiono w Tabeli 2</w:t>
      </w:r>
      <w:r w:rsidR="006E70B5" w:rsidRPr="008F328C">
        <w:rPr>
          <w:rFonts w:eastAsia="Times New Roman"/>
          <w:lang w:val="pl-PL"/>
        </w:rPr>
        <w:t>9</w:t>
      </w:r>
      <w:r w:rsidRPr="008F328C">
        <w:rPr>
          <w:rFonts w:eastAsia="Times New Roman"/>
          <w:lang w:val="pl-PL"/>
        </w:rPr>
        <w:t xml:space="preserve">. Odsetki zaprzestania stosowania kortykosteroidów lub leków immunomodulujących przedstawiono w Tabeli </w:t>
      </w:r>
      <w:r w:rsidR="006E70B5" w:rsidRPr="008F328C">
        <w:rPr>
          <w:rFonts w:eastAsia="Times New Roman"/>
          <w:lang w:val="pl-PL"/>
        </w:rPr>
        <w:t>30</w:t>
      </w:r>
      <w:r w:rsidRPr="008F328C">
        <w:rPr>
          <w:rFonts w:eastAsia="Times New Roman"/>
          <w:lang w:val="pl-PL"/>
        </w:rPr>
        <w:t>.</w:t>
      </w:r>
    </w:p>
    <w:p w14:paraId="2C420A05" w14:textId="77777777" w:rsidR="001B7FBF" w:rsidRPr="008F328C" w:rsidRDefault="001B7FBF" w:rsidP="001B7FBF">
      <w:pPr>
        <w:pStyle w:val="a3"/>
        <w:rPr>
          <w:lang w:val="pl-PL"/>
        </w:rPr>
      </w:pPr>
    </w:p>
    <w:p w14:paraId="7C871A62" w14:textId="77777777" w:rsidR="001B7FBF" w:rsidRPr="008F328C" w:rsidRDefault="001B7FBF" w:rsidP="001B7FBF">
      <w:pPr>
        <w:spacing w:before="7" w:line="90" w:lineRule="exact"/>
        <w:rPr>
          <w:rFonts w:ascii="Times New Roman" w:hAnsi="Times New Roman" w:cs="Times New Roman"/>
          <w:sz w:val="9"/>
          <w:szCs w:val="9"/>
          <w:lang w:val="pl-PL"/>
        </w:rPr>
      </w:pPr>
    </w:p>
    <w:tbl>
      <w:tblPr>
        <w:tblStyle w:val="TableNormal1"/>
        <w:tblW w:w="0" w:type="auto"/>
        <w:tblInd w:w="1475" w:type="dxa"/>
        <w:tblLayout w:type="fixed"/>
        <w:tblLook w:val="01E0" w:firstRow="1" w:lastRow="1" w:firstColumn="1" w:lastColumn="1" w:noHBand="0" w:noVBand="0"/>
      </w:tblPr>
      <w:tblGrid>
        <w:gridCol w:w="2321"/>
        <w:gridCol w:w="1615"/>
        <w:gridCol w:w="1591"/>
        <w:gridCol w:w="1920"/>
      </w:tblGrid>
      <w:tr w:rsidR="001B7FBF" w:rsidRPr="00A5286D" w14:paraId="1A53E6F4" w14:textId="77777777" w:rsidTr="00CC4159">
        <w:tc>
          <w:tcPr>
            <w:tcW w:w="7447" w:type="dxa"/>
            <w:gridSpan w:val="4"/>
            <w:tcBorders>
              <w:top w:val="single" w:sz="7" w:space="0" w:color="000000"/>
              <w:left w:val="single" w:sz="7" w:space="0" w:color="000000"/>
              <w:bottom w:val="single" w:sz="7" w:space="0" w:color="000000"/>
              <w:right w:val="single" w:sz="7" w:space="0" w:color="000000"/>
            </w:tcBorders>
          </w:tcPr>
          <w:p w14:paraId="660C271F" w14:textId="0F021EC2" w:rsidR="001B7FBF" w:rsidRPr="008F328C" w:rsidRDefault="001B7FBF" w:rsidP="00012556">
            <w:pPr>
              <w:pStyle w:val="a3"/>
              <w:jc w:val="center"/>
              <w:rPr>
                <w:b/>
                <w:lang w:val="pl-PL"/>
              </w:rPr>
            </w:pPr>
            <w:r w:rsidRPr="008F328C">
              <w:rPr>
                <w:rFonts w:eastAsia="Times New Roman"/>
                <w:b/>
                <w:bCs/>
                <w:lang w:val="pl-PL"/>
              </w:rPr>
              <w:t>Tabela 2</w:t>
            </w:r>
            <w:r w:rsidR="006E70B5" w:rsidRPr="008F328C">
              <w:rPr>
                <w:rFonts w:eastAsia="Times New Roman"/>
                <w:b/>
                <w:bCs/>
                <w:lang w:val="pl-PL"/>
              </w:rPr>
              <w:t>9</w:t>
            </w:r>
          </w:p>
          <w:p w14:paraId="7B45C479" w14:textId="77777777" w:rsidR="001B7FBF" w:rsidRPr="008F328C" w:rsidRDefault="001B7FBF" w:rsidP="00012556">
            <w:pPr>
              <w:pStyle w:val="a3"/>
              <w:jc w:val="center"/>
              <w:rPr>
                <w:b/>
                <w:lang w:val="pl-PL"/>
              </w:rPr>
            </w:pPr>
            <w:r w:rsidRPr="008F328C">
              <w:rPr>
                <w:rFonts w:eastAsia="Times New Roman"/>
                <w:b/>
                <w:bCs/>
                <w:lang w:val="pl-PL"/>
              </w:rPr>
              <w:t>Badanie w ChL-C u dzieci i młodzieży</w:t>
            </w:r>
          </w:p>
          <w:p w14:paraId="3E8F4B98" w14:textId="77777777" w:rsidR="001B7FBF" w:rsidRPr="008F328C" w:rsidRDefault="001B7FBF" w:rsidP="00012556">
            <w:pPr>
              <w:pStyle w:val="a3"/>
              <w:jc w:val="center"/>
              <w:rPr>
                <w:rFonts w:eastAsia="Times New Roman"/>
                <w:lang w:val="pl-PL"/>
              </w:rPr>
            </w:pPr>
            <w:r w:rsidRPr="008F328C">
              <w:rPr>
                <w:rFonts w:eastAsia="Times New Roman"/>
                <w:b/>
                <w:bCs/>
                <w:lang w:val="pl-PL"/>
              </w:rPr>
              <w:t>Remisja i odpowiedź kliniczna mierzone PCDAI</w:t>
            </w:r>
          </w:p>
        </w:tc>
      </w:tr>
      <w:tr w:rsidR="001B7FBF" w:rsidRPr="008F328C" w14:paraId="3B5EBE9A"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1FCFE53A" w14:textId="77777777" w:rsidR="001B7FBF" w:rsidRPr="008F328C" w:rsidRDefault="001B7FBF" w:rsidP="00012556">
            <w:pPr>
              <w:rPr>
                <w:rFonts w:ascii="Times New Roman" w:hAnsi="Times New Roman" w:cs="Times New Roman"/>
                <w:lang w:val="pl-PL"/>
              </w:rPr>
            </w:pPr>
          </w:p>
        </w:tc>
        <w:tc>
          <w:tcPr>
            <w:tcW w:w="1615" w:type="dxa"/>
            <w:tcBorders>
              <w:top w:val="single" w:sz="7" w:space="0" w:color="000000"/>
              <w:left w:val="single" w:sz="7" w:space="0" w:color="000000"/>
              <w:bottom w:val="single" w:sz="7" w:space="0" w:color="000000"/>
              <w:right w:val="single" w:sz="7" w:space="0" w:color="000000"/>
            </w:tcBorders>
          </w:tcPr>
          <w:p w14:paraId="05999999" w14:textId="77777777" w:rsidR="001B7FBF" w:rsidRPr="008F328C" w:rsidRDefault="001B7FBF" w:rsidP="0008144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standardowa 40/20 mg, co drugi tydzień</w:t>
            </w:r>
          </w:p>
          <w:p w14:paraId="70A6268C" w14:textId="77777777" w:rsidR="001B7FBF" w:rsidRPr="008F328C" w:rsidRDefault="001B7FBF" w:rsidP="0008144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93</w:t>
            </w:r>
          </w:p>
        </w:tc>
        <w:tc>
          <w:tcPr>
            <w:tcW w:w="1591" w:type="dxa"/>
            <w:tcBorders>
              <w:top w:val="single" w:sz="7" w:space="0" w:color="000000"/>
              <w:left w:val="single" w:sz="7" w:space="0" w:color="000000"/>
              <w:bottom w:val="single" w:sz="7" w:space="0" w:color="000000"/>
              <w:right w:val="single" w:sz="7" w:space="0" w:color="000000"/>
            </w:tcBorders>
          </w:tcPr>
          <w:p w14:paraId="3121A9E5" w14:textId="77777777" w:rsidR="001B7FBF" w:rsidRPr="008F328C" w:rsidRDefault="001B7FBF" w:rsidP="0008144B">
            <w:pPr>
              <w:pStyle w:val="TableParagraph"/>
              <w:spacing w:before="1" w:line="252" w:lineRule="exact"/>
              <w:ind w:firstLine="1"/>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 20/10 mg, co drugi tydzień</w:t>
            </w:r>
          </w:p>
          <w:p w14:paraId="737F725B" w14:textId="77777777" w:rsidR="001B7FBF" w:rsidRPr="008F328C" w:rsidRDefault="001B7FBF" w:rsidP="0008144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95</w:t>
            </w:r>
          </w:p>
        </w:tc>
        <w:tc>
          <w:tcPr>
            <w:tcW w:w="1920" w:type="dxa"/>
            <w:tcBorders>
              <w:top w:val="single" w:sz="7" w:space="0" w:color="000000"/>
              <w:left w:val="single" w:sz="7" w:space="0" w:color="000000"/>
              <w:bottom w:val="single" w:sz="7" w:space="0" w:color="000000"/>
              <w:right w:val="single" w:sz="7" w:space="0" w:color="000000"/>
            </w:tcBorders>
          </w:tcPr>
          <w:p w14:paraId="7B5307CA" w14:textId="77777777" w:rsidR="001B7FBF" w:rsidRPr="008F328C" w:rsidRDefault="001B7FBF" w:rsidP="0008144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Wartość p</w:t>
            </w:r>
            <w:r w:rsidRPr="008F328C">
              <w:rPr>
                <w:rFonts w:ascii="Times New Roman" w:eastAsia="Times New Roman" w:hAnsi="Times New Roman" w:cs="Times New Roman"/>
                <w:lang w:val="pl-PL"/>
              </w:rPr>
              <w:t>*</w:t>
            </w:r>
          </w:p>
        </w:tc>
      </w:tr>
      <w:tr w:rsidR="001B7FBF" w:rsidRPr="008F328C" w14:paraId="780755B1"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3CC2FB47" w14:textId="77777777" w:rsidR="001B7FBF" w:rsidRPr="008F328C" w:rsidRDefault="001B7FBF" w:rsidP="00012556">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615" w:type="dxa"/>
            <w:tcBorders>
              <w:top w:val="single" w:sz="7" w:space="0" w:color="000000"/>
              <w:left w:val="single" w:sz="7" w:space="0" w:color="000000"/>
              <w:bottom w:val="single" w:sz="7" w:space="0" w:color="000000"/>
              <w:right w:val="single" w:sz="7" w:space="0" w:color="000000"/>
            </w:tcBorders>
          </w:tcPr>
          <w:p w14:paraId="1F2EAAC3" w14:textId="77777777" w:rsidR="001B7FBF" w:rsidRPr="008F328C" w:rsidRDefault="001B7FBF" w:rsidP="00012556">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5C59B7C1" w14:textId="77777777" w:rsidR="001B7FBF" w:rsidRPr="008F328C" w:rsidRDefault="001B7FBF" w:rsidP="00012556">
            <w:pPr>
              <w:rPr>
                <w:rFonts w:ascii="Times New Roman" w:hAnsi="Times New Roman" w:cs="Times New Roman"/>
                <w:lang w:val="pl-PL"/>
              </w:rPr>
            </w:pPr>
          </w:p>
        </w:tc>
        <w:tc>
          <w:tcPr>
            <w:tcW w:w="1920" w:type="dxa"/>
            <w:tcBorders>
              <w:top w:val="single" w:sz="7" w:space="0" w:color="000000"/>
              <w:left w:val="single" w:sz="7" w:space="0" w:color="000000"/>
              <w:bottom w:val="single" w:sz="7" w:space="0" w:color="000000"/>
              <w:right w:val="single" w:sz="7" w:space="0" w:color="000000"/>
            </w:tcBorders>
          </w:tcPr>
          <w:p w14:paraId="78EB5ACD" w14:textId="77777777" w:rsidR="001B7FBF" w:rsidRPr="008F328C" w:rsidRDefault="001B7FBF" w:rsidP="00012556">
            <w:pPr>
              <w:rPr>
                <w:rFonts w:ascii="Times New Roman" w:hAnsi="Times New Roman" w:cs="Times New Roman"/>
                <w:lang w:val="pl-PL"/>
              </w:rPr>
            </w:pPr>
          </w:p>
        </w:tc>
      </w:tr>
      <w:tr w:rsidR="001B7FBF" w:rsidRPr="008F328C" w14:paraId="373ABCEF"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4C6F64CE" w14:textId="77777777" w:rsidR="001B7FBF" w:rsidRPr="008F328C" w:rsidRDefault="001B7FBF" w:rsidP="00012556">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687B1643" w14:textId="77777777" w:rsidR="001B7FBF" w:rsidRPr="008F328C" w:rsidRDefault="001B7FBF" w:rsidP="00012556">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38,7%</w:t>
            </w:r>
          </w:p>
        </w:tc>
        <w:tc>
          <w:tcPr>
            <w:tcW w:w="1591" w:type="dxa"/>
            <w:tcBorders>
              <w:top w:val="single" w:sz="7" w:space="0" w:color="000000"/>
              <w:left w:val="single" w:sz="7" w:space="0" w:color="000000"/>
              <w:bottom w:val="single" w:sz="7" w:space="0" w:color="000000"/>
              <w:right w:val="single" w:sz="7" w:space="0" w:color="000000"/>
            </w:tcBorders>
          </w:tcPr>
          <w:p w14:paraId="551209F7" w14:textId="77777777" w:rsidR="001B7FBF" w:rsidRPr="008F328C" w:rsidRDefault="001B7FBF" w:rsidP="00012556">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920" w:type="dxa"/>
            <w:tcBorders>
              <w:top w:val="single" w:sz="7" w:space="0" w:color="000000"/>
              <w:left w:val="single" w:sz="7" w:space="0" w:color="000000"/>
              <w:bottom w:val="single" w:sz="7" w:space="0" w:color="000000"/>
              <w:right w:val="single" w:sz="7" w:space="0" w:color="000000"/>
            </w:tcBorders>
          </w:tcPr>
          <w:p w14:paraId="30152BB6" w14:textId="77777777" w:rsidR="001B7FBF" w:rsidRPr="008F328C" w:rsidRDefault="001B7FBF" w:rsidP="00012556">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0,075</w:t>
            </w:r>
          </w:p>
        </w:tc>
      </w:tr>
      <w:tr w:rsidR="001B7FBF" w:rsidRPr="008F328C" w14:paraId="7FB79B58"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636EF22A" w14:textId="77777777" w:rsidR="001B7FBF" w:rsidRPr="008F328C" w:rsidRDefault="001B7FBF" w:rsidP="00012556">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324D3131" w14:textId="77777777" w:rsidR="001B7FBF" w:rsidRPr="008F328C" w:rsidRDefault="001B7FBF" w:rsidP="00012556">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59,1%</w:t>
            </w:r>
          </w:p>
        </w:tc>
        <w:tc>
          <w:tcPr>
            <w:tcW w:w="1591" w:type="dxa"/>
            <w:tcBorders>
              <w:top w:val="single" w:sz="7" w:space="0" w:color="000000"/>
              <w:left w:val="single" w:sz="7" w:space="0" w:color="000000"/>
              <w:bottom w:val="single" w:sz="7" w:space="0" w:color="000000"/>
              <w:right w:val="single" w:sz="7" w:space="0" w:color="000000"/>
            </w:tcBorders>
          </w:tcPr>
          <w:p w14:paraId="5664E8E9" w14:textId="77777777" w:rsidR="001B7FBF" w:rsidRPr="008F328C" w:rsidRDefault="001B7FBF" w:rsidP="00012556">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48,4%</w:t>
            </w:r>
          </w:p>
        </w:tc>
        <w:tc>
          <w:tcPr>
            <w:tcW w:w="1920" w:type="dxa"/>
            <w:tcBorders>
              <w:top w:val="single" w:sz="7" w:space="0" w:color="000000"/>
              <w:left w:val="single" w:sz="7" w:space="0" w:color="000000"/>
              <w:bottom w:val="single" w:sz="7" w:space="0" w:color="000000"/>
              <w:right w:val="single" w:sz="7" w:space="0" w:color="000000"/>
            </w:tcBorders>
          </w:tcPr>
          <w:p w14:paraId="784810C0" w14:textId="77777777" w:rsidR="001B7FBF" w:rsidRPr="008F328C" w:rsidRDefault="001B7FBF" w:rsidP="00012556">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0,073</w:t>
            </w:r>
          </w:p>
        </w:tc>
      </w:tr>
      <w:tr w:rsidR="001B7FBF" w:rsidRPr="008F328C" w14:paraId="32F8F0BB"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41CF7A13" w14:textId="77777777" w:rsidR="001B7FBF" w:rsidRPr="008F328C" w:rsidRDefault="001B7FBF" w:rsidP="00012556">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52. tydzień</w:t>
            </w:r>
          </w:p>
        </w:tc>
        <w:tc>
          <w:tcPr>
            <w:tcW w:w="1615" w:type="dxa"/>
            <w:tcBorders>
              <w:top w:val="single" w:sz="7" w:space="0" w:color="000000"/>
              <w:left w:val="single" w:sz="7" w:space="0" w:color="000000"/>
              <w:bottom w:val="single" w:sz="7" w:space="0" w:color="000000"/>
              <w:right w:val="single" w:sz="7" w:space="0" w:color="000000"/>
            </w:tcBorders>
          </w:tcPr>
          <w:p w14:paraId="4F8B1586" w14:textId="77777777" w:rsidR="001B7FBF" w:rsidRPr="008F328C" w:rsidRDefault="001B7FBF" w:rsidP="00012556">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25C5A1BA" w14:textId="77777777" w:rsidR="001B7FBF" w:rsidRPr="008F328C" w:rsidRDefault="001B7FBF" w:rsidP="00012556">
            <w:pPr>
              <w:rPr>
                <w:rFonts w:ascii="Times New Roman" w:hAnsi="Times New Roman" w:cs="Times New Roman"/>
                <w:lang w:val="pl-PL"/>
              </w:rPr>
            </w:pPr>
          </w:p>
        </w:tc>
        <w:tc>
          <w:tcPr>
            <w:tcW w:w="1920" w:type="dxa"/>
            <w:tcBorders>
              <w:top w:val="single" w:sz="7" w:space="0" w:color="000000"/>
              <w:left w:val="single" w:sz="7" w:space="0" w:color="000000"/>
              <w:bottom w:val="single" w:sz="7" w:space="0" w:color="000000"/>
              <w:right w:val="single" w:sz="7" w:space="0" w:color="000000"/>
            </w:tcBorders>
          </w:tcPr>
          <w:p w14:paraId="29DA3390" w14:textId="77777777" w:rsidR="001B7FBF" w:rsidRPr="008F328C" w:rsidRDefault="001B7FBF" w:rsidP="00012556">
            <w:pPr>
              <w:rPr>
                <w:rFonts w:ascii="Times New Roman" w:hAnsi="Times New Roman" w:cs="Times New Roman"/>
                <w:lang w:val="pl-PL"/>
              </w:rPr>
            </w:pPr>
          </w:p>
        </w:tc>
      </w:tr>
      <w:tr w:rsidR="001B7FBF" w:rsidRPr="008F328C" w14:paraId="39D022A1"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13381279" w14:textId="77777777" w:rsidR="001B7FBF" w:rsidRPr="008F328C" w:rsidRDefault="001B7FBF" w:rsidP="00012556">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69296BF2" w14:textId="77777777" w:rsidR="001B7FBF" w:rsidRPr="008F328C" w:rsidRDefault="001B7FBF" w:rsidP="00012556">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33,3%</w:t>
            </w:r>
          </w:p>
        </w:tc>
        <w:tc>
          <w:tcPr>
            <w:tcW w:w="1591" w:type="dxa"/>
            <w:tcBorders>
              <w:top w:val="single" w:sz="7" w:space="0" w:color="000000"/>
              <w:left w:val="single" w:sz="7" w:space="0" w:color="000000"/>
              <w:bottom w:val="single" w:sz="7" w:space="0" w:color="000000"/>
              <w:right w:val="single" w:sz="7" w:space="0" w:color="000000"/>
            </w:tcBorders>
          </w:tcPr>
          <w:p w14:paraId="751F0165" w14:textId="77777777" w:rsidR="001B7FBF" w:rsidRPr="008F328C" w:rsidRDefault="001B7FBF" w:rsidP="00012556">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c>
          <w:tcPr>
            <w:tcW w:w="1920" w:type="dxa"/>
            <w:tcBorders>
              <w:top w:val="single" w:sz="7" w:space="0" w:color="000000"/>
              <w:left w:val="single" w:sz="7" w:space="0" w:color="000000"/>
              <w:bottom w:val="single" w:sz="7" w:space="0" w:color="000000"/>
              <w:right w:val="single" w:sz="7" w:space="0" w:color="000000"/>
            </w:tcBorders>
          </w:tcPr>
          <w:p w14:paraId="418581C4" w14:textId="77777777" w:rsidR="001B7FBF" w:rsidRPr="008F328C" w:rsidRDefault="001B7FBF" w:rsidP="00012556">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0,100</w:t>
            </w:r>
          </w:p>
        </w:tc>
      </w:tr>
      <w:tr w:rsidR="001B7FBF" w:rsidRPr="008F328C" w14:paraId="7E7E25AE" w14:textId="77777777" w:rsidTr="00CC4159">
        <w:tc>
          <w:tcPr>
            <w:tcW w:w="2321" w:type="dxa"/>
            <w:tcBorders>
              <w:top w:val="single" w:sz="7" w:space="0" w:color="000000"/>
              <w:left w:val="single" w:sz="7" w:space="0" w:color="000000"/>
              <w:bottom w:val="single" w:sz="7" w:space="0" w:color="000000"/>
              <w:right w:val="single" w:sz="7" w:space="0" w:color="000000"/>
            </w:tcBorders>
          </w:tcPr>
          <w:p w14:paraId="00CD5FF2" w14:textId="77777777" w:rsidR="001B7FBF" w:rsidRPr="008F328C" w:rsidRDefault="001B7FBF" w:rsidP="00012556">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61E67824" w14:textId="77777777" w:rsidR="001B7FBF" w:rsidRPr="008F328C" w:rsidRDefault="001B7FBF" w:rsidP="00012556">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41,9%</w:t>
            </w:r>
          </w:p>
        </w:tc>
        <w:tc>
          <w:tcPr>
            <w:tcW w:w="1591" w:type="dxa"/>
            <w:tcBorders>
              <w:top w:val="single" w:sz="7" w:space="0" w:color="000000"/>
              <w:left w:val="single" w:sz="7" w:space="0" w:color="000000"/>
              <w:bottom w:val="single" w:sz="7" w:space="0" w:color="000000"/>
              <w:right w:val="single" w:sz="7" w:space="0" w:color="000000"/>
            </w:tcBorders>
          </w:tcPr>
          <w:p w14:paraId="619BE3E1" w14:textId="77777777" w:rsidR="001B7FBF" w:rsidRPr="008F328C" w:rsidRDefault="001B7FBF" w:rsidP="00012556">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920" w:type="dxa"/>
            <w:tcBorders>
              <w:top w:val="single" w:sz="7" w:space="0" w:color="000000"/>
              <w:left w:val="single" w:sz="7" w:space="0" w:color="000000"/>
              <w:bottom w:val="single" w:sz="7" w:space="0" w:color="000000"/>
              <w:right w:val="single" w:sz="7" w:space="0" w:color="000000"/>
            </w:tcBorders>
          </w:tcPr>
          <w:p w14:paraId="34821C22" w14:textId="77777777" w:rsidR="001B7FBF" w:rsidRPr="008F328C" w:rsidRDefault="001B7FBF" w:rsidP="00012556">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0,038</w:t>
            </w:r>
          </w:p>
        </w:tc>
      </w:tr>
      <w:tr w:rsidR="001B7FBF" w:rsidRPr="00FE49E6" w14:paraId="5234CB90" w14:textId="77777777" w:rsidTr="00CC4159">
        <w:tc>
          <w:tcPr>
            <w:tcW w:w="7447" w:type="dxa"/>
            <w:gridSpan w:val="4"/>
            <w:tcBorders>
              <w:top w:val="single" w:sz="7" w:space="0" w:color="000000"/>
              <w:left w:val="single" w:sz="7" w:space="0" w:color="000000"/>
              <w:bottom w:val="single" w:sz="7" w:space="0" w:color="000000"/>
              <w:right w:val="single" w:sz="7" w:space="0" w:color="000000"/>
            </w:tcBorders>
          </w:tcPr>
          <w:p w14:paraId="4878828A" w14:textId="77777777" w:rsidR="001B7FBF" w:rsidRPr="008F328C" w:rsidRDefault="001B7FBF" w:rsidP="00012556">
            <w:pPr>
              <w:pStyle w:val="TableParagraph"/>
              <w:spacing w:line="246" w:lineRule="exact"/>
              <w:ind w:left="13"/>
              <w:rPr>
                <w:rFonts w:ascii="Times New Roman" w:eastAsia="Times New Roman" w:hAnsi="Times New Roman" w:cs="Times New Roman"/>
                <w:lang w:val="pl-PL"/>
              </w:rPr>
            </w:pPr>
            <w:r w:rsidRPr="008F328C">
              <w:rPr>
                <w:rFonts w:ascii="Times New Roman" w:eastAsia="Times New Roman" w:hAnsi="Times New Roman" w:cs="Times New Roman"/>
                <w:lang w:val="pl-PL"/>
              </w:rPr>
              <w:t>* Wartość p – dawka standardowa w porównaniu z małą dawką</w:t>
            </w:r>
          </w:p>
        </w:tc>
      </w:tr>
    </w:tbl>
    <w:p w14:paraId="4E722E93" w14:textId="77777777" w:rsidR="001B7FBF" w:rsidRPr="008F328C" w:rsidRDefault="001B7FBF" w:rsidP="001B7FBF">
      <w:pPr>
        <w:spacing w:before="10" w:line="240" w:lineRule="exact"/>
        <w:rPr>
          <w:rFonts w:ascii="Times New Roman" w:hAnsi="Times New Roman" w:cs="Times New Roman"/>
          <w:sz w:val="24"/>
          <w:szCs w:val="24"/>
          <w:lang w:val="pl-PL"/>
        </w:rPr>
      </w:pPr>
    </w:p>
    <w:p w14:paraId="0D71A063" w14:textId="77777777" w:rsidR="001B7FBF" w:rsidRPr="008F328C" w:rsidRDefault="001B7FBF" w:rsidP="001B7FBF">
      <w:pPr>
        <w:rPr>
          <w:rFonts w:ascii="Times New Roman" w:hAnsi="Times New Roman" w:cs="Times New Roman"/>
          <w:sz w:val="24"/>
          <w:szCs w:val="24"/>
          <w:lang w:val="pl-PL"/>
        </w:rPr>
      </w:pPr>
    </w:p>
    <w:tbl>
      <w:tblPr>
        <w:tblStyle w:val="TableNormal1"/>
        <w:tblW w:w="0" w:type="auto"/>
        <w:tblInd w:w="1409" w:type="dxa"/>
        <w:tblLayout w:type="fixed"/>
        <w:tblLook w:val="01E0" w:firstRow="1" w:lastRow="1" w:firstColumn="1" w:lastColumn="1" w:noHBand="0" w:noVBand="0"/>
      </w:tblPr>
      <w:tblGrid>
        <w:gridCol w:w="3208"/>
        <w:gridCol w:w="1656"/>
        <w:gridCol w:w="1620"/>
        <w:gridCol w:w="1140"/>
      </w:tblGrid>
      <w:tr w:rsidR="001B7FBF" w:rsidRPr="00A5286D" w14:paraId="7A05D88C" w14:textId="77777777" w:rsidTr="00CC4159">
        <w:tc>
          <w:tcPr>
            <w:tcW w:w="7624" w:type="dxa"/>
            <w:gridSpan w:val="4"/>
            <w:tcBorders>
              <w:top w:val="single" w:sz="7" w:space="0" w:color="000000"/>
              <w:left w:val="single" w:sz="7" w:space="0" w:color="000000"/>
              <w:bottom w:val="single" w:sz="7" w:space="0" w:color="000000"/>
              <w:right w:val="single" w:sz="7" w:space="0" w:color="000000"/>
            </w:tcBorders>
          </w:tcPr>
          <w:p w14:paraId="5B22A76B" w14:textId="5F62A5F5" w:rsidR="001B7FBF" w:rsidRPr="008F328C" w:rsidRDefault="001B7FBF" w:rsidP="00012556">
            <w:pPr>
              <w:pStyle w:val="TableParagraph"/>
              <w:spacing w:before="3" w:line="252" w:lineRule="exact"/>
              <w:ind w:left="3239" w:right="2872" w:firstLine="564"/>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6E70B5" w:rsidRPr="008F328C">
              <w:rPr>
                <w:rFonts w:ascii="Times New Roman" w:eastAsia="Times New Roman" w:hAnsi="Times New Roman" w:cs="Times New Roman"/>
                <w:b/>
                <w:bCs/>
                <w:lang w:val="pl-PL"/>
              </w:rPr>
              <w:t>30</w:t>
            </w:r>
            <w:r w:rsidRPr="008F328C">
              <w:rPr>
                <w:rFonts w:ascii="Times New Roman" w:eastAsia="Times New Roman" w:hAnsi="Times New Roman" w:cs="Times New Roman"/>
                <w:b/>
                <w:bCs/>
                <w:lang w:val="pl-PL"/>
              </w:rPr>
              <w:t xml:space="preserve"> </w:t>
            </w:r>
          </w:p>
          <w:p w14:paraId="5B7D8937" w14:textId="77777777" w:rsidR="001B7FBF" w:rsidRPr="008F328C" w:rsidRDefault="001B7FBF" w:rsidP="00012556">
            <w:pPr>
              <w:pStyle w:val="TableParagraph"/>
              <w:spacing w:line="249" w:lineRule="exact"/>
              <w:ind w:left="43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Badanie w ChL-C u dzieci i młodzieży</w:t>
            </w:r>
            <w:r w:rsidRPr="008F328C">
              <w:rPr>
                <w:rFonts w:ascii="Times New Roman" w:eastAsia="Times New Roman" w:hAnsi="Times New Roman" w:cs="Times New Roman"/>
                <w:b/>
                <w:bCs/>
                <w:spacing w:val="-1"/>
                <w:lang w:val="pl-PL"/>
              </w:rPr>
              <w:t xml:space="preserve"> Zaprzestanie stosowania kortykosteroidów lub leków immunomodulujących i remisja przetok</w:t>
            </w:r>
          </w:p>
        </w:tc>
      </w:tr>
      <w:tr w:rsidR="001B7FBF" w:rsidRPr="008F328C" w14:paraId="4878DAFF"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4D515D55" w14:textId="77777777" w:rsidR="001B7FBF" w:rsidRPr="008F328C" w:rsidRDefault="001B7FBF" w:rsidP="00012556">
            <w:pPr>
              <w:rPr>
                <w:rFonts w:ascii="Times New Roman" w:hAnsi="Times New Roman" w:cs="Times New Roman"/>
                <w:lang w:val="pl-PL"/>
              </w:rPr>
            </w:pPr>
          </w:p>
        </w:tc>
        <w:tc>
          <w:tcPr>
            <w:tcW w:w="1656" w:type="dxa"/>
            <w:tcBorders>
              <w:top w:val="single" w:sz="7" w:space="0" w:color="000000"/>
              <w:left w:val="single" w:sz="7" w:space="0" w:color="000000"/>
              <w:bottom w:val="single" w:sz="7" w:space="0" w:color="000000"/>
              <w:right w:val="single" w:sz="7" w:space="0" w:color="000000"/>
            </w:tcBorders>
          </w:tcPr>
          <w:p w14:paraId="45766410" w14:textId="77777777" w:rsidR="001B7FBF" w:rsidRPr="008F328C" w:rsidRDefault="001B7FBF" w:rsidP="0008144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standardowa</w:t>
            </w:r>
          </w:p>
          <w:p w14:paraId="69E9A003" w14:textId="77777777" w:rsidR="001B7FBF" w:rsidRPr="008F328C" w:rsidRDefault="001B7FBF" w:rsidP="0008144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40/20 mg, co drugi tydzień</w:t>
            </w:r>
          </w:p>
        </w:tc>
        <w:tc>
          <w:tcPr>
            <w:tcW w:w="1620" w:type="dxa"/>
            <w:tcBorders>
              <w:top w:val="single" w:sz="7" w:space="0" w:color="000000"/>
              <w:left w:val="single" w:sz="7" w:space="0" w:color="000000"/>
              <w:bottom w:val="single" w:sz="7" w:space="0" w:color="000000"/>
              <w:right w:val="single" w:sz="7" w:space="0" w:color="000000"/>
            </w:tcBorders>
          </w:tcPr>
          <w:p w14:paraId="42AC8A00" w14:textId="77777777" w:rsidR="001B7FBF" w:rsidRPr="008F328C" w:rsidRDefault="001B7FBF" w:rsidP="0008144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w:t>
            </w:r>
          </w:p>
          <w:p w14:paraId="703705F4" w14:textId="77777777" w:rsidR="001B7FBF" w:rsidRPr="008F328C" w:rsidRDefault="001B7FBF" w:rsidP="0008144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20/10 mg, co drugi tydzień</w:t>
            </w:r>
          </w:p>
        </w:tc>
        <w:tc>
          <w:tcPr>
            <w:tcW w:w="1140" w:type="dxa"/>
            <w:tcBorders>
              <w:top w:val="single" w:sz="7" w:space="0" w:color="000000"/>
              <w:left w:val="single" w:sz="7" w:space="0" w:color="000000"/>
              <w:bottom w:val="single" w:sz="7" w:space="0" w:color="000000"/>
              <w:right w:val="single" w:sz="7" w:space="0" w:color="000000"/>
            </w:tcBorders>
          </w:tcPr>
          <w:p w14:paraId="09EC4752" w14:textId="77777777" w:rsidR="001B7FBF" w:rsidRPr="008F328C" w:rsidRDefault="001B7FBF" w:rsidP="0008144B">
            <w:pPr>
              <w:pStyle w:val="TableParagraph"/>
              <w:spacing w:line="251"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lang w:val="pl-PL"/>
              </w:rPr>
              <w:t>Wartość p</w:t>
            </w:r>
            <w:r w:rsidRPr="008F328C">
              <w:rPr>
                <w:rFonts w:ascii="Times New Roman" w:eastAsia="Times New Roman" w:hAnsi="Times New Roman" w:cs="Times New Roman"/>
                <w:b/>
                <w:bCs/>
                <w:sz w:val="14"/>
                <w:szCs w:val="14"/>
                <w:lang w:val="pl-PL"/>
              </w:rPr>
              <w:t>1</w:t>
            </w:r>
          </w:p>
        </w:tc>
      </w:tr>
      <w:tr w:rsidR="001B7FBF" w:rsidRPr="008F328C" w14:paraId="3E54A292"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5F764A0B" w14:textId="77777777" w:rsidR="001B7FBF" w:rsidRPr="008F328C" w:rsidRDefault="001B7FBF" w:rsidP="00012556">
            <w:pPr>
              <w:pStyle w:val="TableParagraph"/>
              <w:spacing w:line="251" w:lineRule="exact"/>
              <w:ind w:left="-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Zaprzestanie przyjmowania kortykosteroidów</w:t>
            </w:r>
          </w:p>
        </w:tc>
        <w:tc>
          <w:tcPr>
            <w:tcW w:w="1656" w:type="dxa"/>
            <w:tcBorders>
              <w:top w:val="single" w:sz="7" w:space="0" w:color="000000"/>
              <w:left w:val="single" w:sz="7" w:space="0" w:color="000000"/>
              <w:bottom w:val="single" w:sz="7" w:space="0" w:color="000000"/>
              <w:right w:val="single" w:sz="7" w:space="0" w:color="000000"/>
            </w:tcBorders>
          </w:tcPr>
          <w:p w14:paraId="580366EE" w14:textId="77777777" w:rsidR="001B7FBF" w:rsidRPr="008F328C" w:rsidRDefault="001B7FBF" w:rsidP="00012556">
            <w:pPr>
              <w:pStyle w:val="TableParagraph"/>
              <w:spacing w:line="251" w:lineRule="exact"/>
              <w:ind w:left="546"/>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N=33</w:t>
            </w:r>
          </w:p>
        </w:tc>
        <w:tc>
          <w:tcPr>
            <w:tcW w:w="1620" w:type="dxa"/>
            <w:tcBorders>
              <w:top w:val="single" w:sz="7" w:space="0" w:color="000000"/>
              <w:left w:val="single" w:sz="7" w:space="0" w:color="000000"/>
              <w:bottom w:val="single" w:sz="7" w:space="0" w:color="000000"/>
              <w:right w:val="single" w:sz="7" w:space="0" w:color="000000"/>
            </w:tcBorders>
          </w:tcPr>
          <w:p w14:paraId="1590979F" w14:textId="77777777" w:rsidR="001B7FBF" w:rsidRPr="008F328C" w:rsidRDefault="001B7FBF" w:rsidP="00012556">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67157C76" w14:textId="77777777" w:rsidR="001B7FBF" w:rsidRPr="008F328C" w:rsidRDefault="001B7FBF" w:rsidP="00012556">
            <w:pPr>
              <w:rPr>
                <w:rFonts w:ascii="Times New Roman" w:hAnsi="Times New Roman" w:cs="Times New Roman"/>
                <w:lang w:val="pl-PL"/>
              </w:rPr>
            </w:pPr>
          </w:p>
        </w:tc>
      </w:tr>
      <w:tr w:rsidR="001B7FBF" w:rsidRPr="008F328C" w14:paraId="08CAE644"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4FED7D80" w14:textId="77777777" w:rsidR="001B7FBF" w:rsidRPr="008F328C" w:rsidRDefault="001B7FBF" w:rsidP="00012556">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1656" w:type="dxa"/>
            <w:tcBorders>
              <w:top w:val="single" w:sz="7" w:space="0" w:color="000000"/>
              <w:left w:val="single" w:sz="7" w:space="0" w:color="000000"/>
              <w:bottom w:val="single" w:sz="7" w:space="0" w:color="000000"/>
              <w:right w:val="single" w:sz="7" w:space="0" w:color="000000"/>
            </w:tcBorders>
          </w:tcPr>
          <w:p w14:paraId="64F475C2" w14:textId="77777777" w:rsidR="001B7FBF" w:rsidRPr="008F328C" w:rsidRDefault="001B7FBF" w:rsidP="00012556">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84,8%</w:t>
            </w:r>
          </w:p>
        </w:tc>
        <w:tc>
          <w:tcPr>
            <w:tcW w:w="1620" w:type="dxa"/>
            <w:tcBorders>
              <w:top w:val="single" w:sz="7" w:space="0" w:color="000000"/>
              <w:left w:val="single" w:sz="7" w:space="0" w:color="000000"/>
              <w:bottom w:val="single" w:sz="7" w:space="0" w:color="000000"/>
              <w:right w:val="single" w:sz="7" w:space="0" w:color="000000"/>
            </w:tcBorders>
          </w:tcPr>
          <w:p w14:paraId="115680A6" w14:textId="77777777" w:rsidR="001B7FBF" w:rsidRPr="008F328C" w:rsidRDefault="001B7FBF" w:rsidP="00012556">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65,8%</w:t>
            </w:r>
          </w:p>
        </w:tc>
        <w:tc>
          <w:tcPr>
            <w:tcW w:w="1140" w:type="dxa"/>
            <w:tcBorders>
              <w:top w:val="single" w:sz="7" w:space="0" w:color="000000"/>
              <w:left w:val="single" w:sz="7" w:space="0" w:color="000000"/>
              <w:bottom w:val="single" w:sz="7" w:space="0" w:color="000000"/>
              <w:right w:val="single" w:sz="7" w:space="0" w:color="000000"/>
            </w:tcBorders>
          </w:tcPr>
          <w:p w14:paraId="3E922CBB" w14:textId="77777777" w:rsidR="001B7FBF" w:rsidRPr="008F328C" w:rsidRDefault="001B7FBF" w:rsidP="00012556">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0,066</w:t>
            </w:r>
          </w:p>
        </w:tc>
      </w:tr>
      <w:tr w:rsidR="001B7FBF" w:rsidRPr="008F328C" w14:paraId="2755D41B"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6AF07A7E" w14:textId="77777777" w:rsidR="001B7FBF" w:rsidRPr="008F328C" w:rsidRDefault="001B7FBF" w:rsidP="00012556">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7" w:space="0" w:color="000000"/>
              <w:right w:val="single" w:sz="7" w:space="0" w:color="000000"/>
            </w:tcBorders>
          </w:tcPr>
          <w:p w14:paraId="26983208" w14:textId="77777777" w:rsidR="001B7FBF" w:rsidRPr="008F328C" w:rsidRDefault="001B7FBF" w:rsidP="00012556">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69,7%</w:t>
            </w:r>
          </w:p>
        </w:tc>
        <w:tc>
          <w:tcPr>
            <w:tcW w:w="1620" w:type="dxa"/>
            <w:tcBorders>
              <w:top w:val="single" w:sz="7" w:space="0" w:color="000000"/>
              <w:left w:val="single" w:sz="7" w:space="0" w:color="000000"/>
              <w:bottom w:val="single" w:sz="7" w:space="0" w:color="000000"/>
              <w:right w:val="single" w:sz="7" w:space="0" w:color="000000"/>
            </w:tcBorders>
          </w:tcPr>
          <w:p w14:paraId="37C412EE" w14:textId="77777777" w:rsidR="001B7FBF" w:rsidRPr="008F328C" w:rsidRDefault="001B7FBF" w:rsidP="00012556">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60,5%</w:t>
            </w:r>
          </w:p>
        </w:tc>
        <w:tc>
          <w:tcPr>
            <w:tcW w:w="1140" w:type="dxa"/>
            <w:tcBorders>
              <w:top w:val="single" w:sz="7" w:space="0" w:color="000000"/>
              <w:left w:val="single" w:sz="7" w:space="0" w:color="000000"/>
              <w:bottom w:val="single" w:sz="7" w:space="0" w:color="000000"/>
              <w:right w:val="single" w:sz="7" w:space="0" w:color="000000"/>
            </w:tcBorders>
          </w:tcPr>
          <w:p w14:paraId="78170CE0" w14:textId="77777777" w:rsidR="001B7FBF" w:rsidRPr="008F328C" w:rsidRDefault="001B7FBF" w:rsidP="00012556">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0,420</w:t>
            </w:r>
          </w:p>
        </w:tc>
      </w:tr>
      <w:tr w:rsidR="001B7FBF" w:rsidRPr="008F328C" w14:paraId="4FC99233"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22B6C47C" w14:textId="77777777" w:rsidR="001B7FBF" w:rsidRPr="008F328C" w:rsidRDefault="001B7FBF" w:rsidP="00012556">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Zaprzestanie przyjmowania leków immunomodulujących</w:t>
            </w:r>
            <w:r w:rsidRPr="008F328C">
              <w:rPr>
                <w:rFonts w:ascii="Times New Roman" w:eastAsia="Times New Roman" w:hAnsi="Times New Roman" w:cs="Times New Roman"/>
                <w:spacing w:val="-1"/>
                <w:vertAlign w:val="superscript"/>
                <w:lang w:val="pl-PL"/>
              </w:rPr>
              <w:t>2</w:t>
            </w:r>
          </w:p>
        </w:tc>
        <w:tc>
          <w:tcPr>
            <w:tcW w:w="1656" w:type="dxa"/>
            <w:tcBorders>
              <w:top w:val="single" w:sz="7" w:space="0" w:color="000000"/>
              <w:left w:val="single" w:sz="7" w:space="0" w:color="000000"/>
              <w:bottom w:val="single" w:sz="7" w:space="0" w:color="000000"/>
              <w:right w:val="single" w:sz="7" w:space="0" w:color="000000"/>
            </w:tcBorders>
          </w:tcPr>
          <w:p w14:paraId="589C971F" w14:textId="77777777" w:rsidR="001B7FBF" w:rsidRPr="008F328C" w:rsidRDefault="001B7FBF" w:rsidP="00012556">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N=60</w:t>
            </w:r>
          </w:p>
        </w:tc>
        <w:tc>
          <w:tcPr>
            <w:tcW w:w="1620" w:type="dxa"/>
            <w:tcBorders>
              <w:top w:val="single" w:sz="7" w:space="0" w:color="000000"/>
              <w:left w:val="single" w:sz="7" w:space="0" w:color="000000"/>
              <w:bottom w:val="single" w:sz="7" w:space="0" w:color="000000"/>
              <w:right w:val="single" w:sz="7" w:space="0" w:color="000000"/>
            </w:tcBorders>
          </w:tcPr>
          <w:p w14:paraId="0A5E6472" w14:textId="77777777" w:rsidR="001B7FBF" w:rsidRPr="008F328C" w:rsidRDefault="001B7FBF" w:rsidP="00012556">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62401745" w14:textId="77777777" w:rsidR="001B7FBF" w:rsidRPr="008F328C" w:rsidRDefault="001B7FBF" w:rsidP="00012556">
            <w:pPr>
              <w:rPr>
                <w:rFonts w:ascii="Times New Roman" w:hAnsi="Times New Roman" w:cs="Times New Roman"/>
                <w:lang w:val="pl-PL"/>
              </w:rPr>
            </w:pPr>
          </w:p>
        </w:tc>
      </w:tr>
      <w:tr w:rsidR="001B7FBF" w:rsidRPr="008F328C" w14:paraId="0261473A"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02FA8A18" w14:textId="77777777" w:rsidR="001B7FBF" w:rsidRPr="008F328C" w:rsidRDefault="001B7FBF" w:rsidP="00012556">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7" w:space="0" w:color="000000"/>
              <w:right w:val="single" w:sz="7" w:space="0" w:color="000000"/>
            </w:tcBorders>
          </w:tcPr>
          <w:p w14:paraId="60906CD8" w14:textId="77777777" w:rsidR="001B7FBF" w:rsidRPr="008F328C" w:rsidRDefault="001B7FBF" w:rsidP="00012556">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30,0%</w:t>
            </w:r>
          </w:p>
        </w:tc>
        <w:tc>
          <w:tcPr>
            <w:tcW w:w="1620" w:type="dxa"/>
            <w:tcBorders>
              <w:top w:val="single" w:sz="7" w:space="0" w:color="000000"/>
              <w:left w:val="single" w:sz="7" w:space="0" w:color="000000"/>
              <w:bottom w:val="single" w:sz="7" w:space="0" w:color="000000"/>
              <w:right w:val="single" w:sz="7" w:space="0" w:color="000000"/>
            </w:tcBorders>
          </w:tcPr>
          <w:p w14:paraId="1FAC882B" w14:textId="77777777" w:rsidR="001B7FBF" w:rsidRPr="008F328C" w:rsidRDefault="001B7FBF" w:rsidP="00012556">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29,8%</w:t>
            </w:r>
          </w:p>
        </w:tc>
        <w:tc>
          <w:tcPr>
            <w:tcW w:w="1140" w:type="dxa"/>
            <w:tcBorders>
              <w:top w:val="single" w:sz="7" w:space="0" w:color="000000"/>
              <w:left w:val="single" w:sz="7" w:space="0" w:color="000000"/>
              <w:bottom w:val="single" w:sz="7" w:space="0" w:color="000000"/>
              <w:right w:val="single" w:sz="7" w:space="0" w:color="000000"/>
            </w:tcBorders>
          </w:tcPr>
          <w:p w14:paraId="38F0A11A" w14:textId="77777777" w:rsidR="001B7FBF" w:rsidRPr="008F328C" w:rsidRDefault="001B7FBF" w:rsidP="00012556">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0,983</w:t>
            </w:r>
          </w:p>
        </w:tc>
      </w:tr>
      <w:tr w:rsidR="001B7FBF" w:rsidRPr="008F328C" w14:paraId="0507855D"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68F63B4F" w14:textId="77777777" w:rsidR="001B7FBF" w:rsidRPr="008F328C" w:rsidRDefault="001B7FBF" w:rsidP="00012556">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Remisja przetok</w:t>
            </w:r>
            <w:r w:rsidRPr="008F328C">
              <w:rPr>
                <w:rFonts w:ascii="Times New Roman" w:eastAsia="Times New Roman" w:hAnsi="Times New Roman" w:cs="Times New Roman"/>
                <w:spacing w:val="-1"/>
                <w:vertAlign w:val="superscript"/>
                <w:lang w:val="pl-PL"/>
              </w:rPr>
              <w:t>3</w:t>
            </w:r>
          </w:p>
        </w:tc>
        <w:tc>
          <w:tcPr>
            <w:tcW w:w="1656" w:type="dxa"/>
            <w:tcBorders>
              <w:top w:val="single" w:sz="7" w:space="0" w:color="000000"/>
              <w:left w:val="single" w:sz="7" w:space="0" w:color="000000"/>
              <w:bottom w:val="single" w:sz="7" w:space="0" w:color="000000"/>
              <w:right w:val="single" w:sz="7" w:space="0" w:color="000000"/>
            </w:tcBorders>
          </w:tcPr>
          <w:p w14:paraId="494E2B3B" w14:textId="77777777" w:rsidR="001B7FBF" w:rsidRPr="008F328C" w:rsidRDefault="001B7FBF" w:rsidP="00012556">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N=15</w:t>
            </w:r>
          </w:p>
        </w:tc>
        <w:tc>
          <w:tcPr>
            <w:tcW w:w="1620" w:type="dxa"/>
            <w:tcBorders>
              <w:top w:val="single" w:sz="7" w:space="0" w:color="000000"/>
              <w:left w:val="single" w:sz="7" w:space="0" w:color="000000"/>
              <w:bottom w:val="single" w:sz="7" w:space="0" w:color="000000"/>
              <w:right w:val="single" w:sz="7" w:space="0" w:color="000000"/>
            </w:tcBorders>
          </w:tcPr>
          <w:p w14:paraId="56DD45A2" w14:textId="77777777" w:rsidR="001B7FBF" w:rsidRPr="008F328C" w:rsidRDefault="001B7FBF" w:rsidP="00012556">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N=21</w:t>
            </w:r>
          </w:p>
        </w:tc>
        <w:tc>
          <w:tcPr>
            <w:tcW w:w="1140" w:type="dxa"/>
            <w:tcBorders>
              <w:top w:val="single" w:sz="7" w:space="0" w:color="000000"/>
              <w:left w:val="single" w:sz="7" w:space="0" w:color="000000"/>
              <w:bottom w:val="single" w:sz="7" w:space="0" w:color="000000"/>
              <w:right w:val="single" w:sz="7" w:space="0" w:color="000000"/>
            </w:tcBorders>
          </w:tcPr>
          <w:p w14:paraId="01C53178" w14:textId="77777777" w:rsidR="001B7FBF" w:rsidRPr="008F328C" w:rsidRDefault="001B7FBF" w:rsidP="00012556">
            <w:pPr>
              <w:rPr>
                <w:rFonts w:ascii="Times New Roman" w:hAnsi="Times New Roman" w:cs="Times New Roman"/>
                <w:lang w:val="pl-PL"/>
              </w:rPr>
            </w:pPr>
          </w:p>
        </w:tc>
      </w:tr>
      <w:tr w:rsidR="001B7FBF" w:rsidRPr="008F328C" w14:paraId="2046725A" w14:textId="77777777" w:rsidTr="00CC4159">
        <w:tc>
          <w:tcPr>
            <w:tcW w:w="3208" w:type="dxa"/>
            <w:tcBorders>
              <w:top w:val="single" w:sz="7" w:space="0" w:color="000000"/>
              <w:left w:val="single" w:sz="7" w:space="0" w:color="000000"/>
              <w:bottom w:val="single" w:sz="7" w:space="0" w:color="000000"/>
              <w:right w:val="single" w:sz="7" w:space="0" w:color="000000"/>
            </w:tcBorders>
          </w:tcPr>
          <w:p w14:paraId="0C94002E" w14:textId="77777777" w:rsidR="001B7FBF" w:rsidRPr="008F328C" w:rsidRDefault="001B7FBF" w:rsidP="00012556">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1656" w:type="dxa"/>
            <w:tcBorders>
              <w:top w:val="single" w:sz="7" w:space="0" w:color="000000"/>
              <w:left w:val="single" w:sz="7" w:space="0" w:color="000000"/>
              <w:bottom w:val="single" w:sz="7" w:space="0" w:color="000000"/>
              <w:right w:val="single" w:sz="7" w:space="0" w:color="000000"/>
            </w:tcBorders>
          </w:tcPr>
          <w:p w14:paraId="24D7A272" w14:textId="77777777" w:rsidR="001B7FBF" w:rsidRPr="008F328C" w:rsidRDefault="001B7FBF" w:rsidP="00012556">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46,7%</w:t>
            </w:r>
          </w:p>
        </w:tc>
        <w:tc>
          <w:tcPr>
            <w:tcW w:w="1620" w:type="dxa"/>
            <w:tcBorders>
              <w:top w:val="single" w:sz="7" w:space="0" w:color="000000"/>
              <w:left w:val="single" w:sz="7" w:space="0" w:color="000000"/>
              <w:bottom w:val="single" w:sz="7" w:space="0" w:color="000000"/>
              <w:right w:val="single" w:sz="7" w:space="0" w:color="000000"/>
            </w:tcBorders>
          </w:tcPr>
          <w:p w14:paraId="7F7FAD68" w14:textId="77777777" w:rsidR="001B7FBF" w:rsidRPr="008F328C" w:rsidRDefault="001B7FBF" w:rsidP="00012556">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38,1%</w:t>
            </w:r>
          </w:p>
        </w:tc>
        <w:tc>
          <w:tcPr>
            <w:tcW w:w="1140" w:type="dxa"/>
            <w:tcBorders>
              <w:top w:val="single" w:sz="7" w:space="0" w:color="000000"/>
              <w:left w:val="single" w:sz="7" w:space="0" w:color="000000"/>
              <w:bottom w:val="single" w:sz="7" w:space="0" w:color="000000"/>
              <w:right w:val="single" w:sz="7" w:space="0" w:color="000000"/>
            </w:tcBorders>
          </w:tcPr>
          <w:p w14:paraId="602C585B" w14:textId="77777777" w:rsidR="001B7FBF" w:rsidRPr="008F328C" w:rsidRDefault="001B7FBF" w:rsidP="00012556">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0,608</w:t>
            </w:r>
          </w:p>
        </w:tc>
      </w:tr>
      <w:tr w:rsidR="001B7FBF" w:rsidRPr="008F328C" w14:paraId="392E331E" w14:textId="77777777" w:rsidTr="00CC4159">
        <w:tc>
          <w:tcPr>
            <w:tcW w:w="3208" w:type="dxa"/>
            <w:tcBorders>
              <w:top w:val="single" w:sz="7" w:space="0" w:color="000000"/>
              <w:left w:val="single" w:sz="7" w:space="0" w:color="000000"/>
              <w:bottom w:val="single" w:sz="5" w:space="0" w:color="000000"/>
              <w:right w:val="single" w:sz="7" w:space="0" w:color="000000"/>
            </w:tcBorders>
          </w:tcPr>
          <w:p w14:paraId="499DB1A0" w14:textId="77777777" w:rsidR="001B7FBF" w:rsidRPr="008F328C" w:rsidRDefault="001B7FBF" w:rsidP="00012556">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5" w:space="0" w:color="000000"/>
              <w:right w:val="single" w:sz="7" w:space="0" w:color="000000"/>
            </w:tcBorders>
          </w:tcPr>
          <w:p w14:paraId="41B4132D" w14:textId="77777777" w:rsidR="001B7FBF" w:rsidRPr="008F328C" w:rsidRDefault="001B7FBF" w:rsidP="00012556">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40,0%</w:t>
            </w:r>
          </w:p>
        </w:tc>
        <w:tc>
          <w:tcPr>
            <w:tcW w:w="1620" w:type="dxa"/>
            <w:tcBorders>
              <w:top w:val="single" w:sz="7" w:space="0" w:color="000000"/>
              <w:left w:val="single" w:sz="7" w:space="0" w:color="000000"/>
              <w:bottom w:val="single" w:sz="5" w:space="0" w:color="000000"/>
              <w:right w:val="single" w:sz="7" w:space="0" w:color="000000"/>
            </w:tcBorders>
          </w:tcPr>
          <w:p w14:paraId="34508D33" w14:textId="77777777" w:rsidR="001B7FBF" w:rsidRPr="008F328C" w:rsidRDefault="001B7FBF" w:rsidP="00012556">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140" w:type="dxa"/>
            <w:tcBorders>
              <w:top w:val="single" w:sz="7" w:space="0" w:color="000000"/>
              <w:left w:val="single" w:sz="7" w:space="0" w:color="000000"/>
              <w:bottom w:val="single" w:sz="5" w:space="0" w:color="000000"/>
              <w:right w:val="single" w:sz="7" w:space="0" w:color="000000"/>
            </w:tcBorders>
          </w:tcPr>
          <w:p w14:paraId="1145ADEE" w14:textId="77777777" w:rsidR="001B7FBF" w:rsidRPr="008F328C" w:rsidRDefault="001B7FBF" w:rsidP="00012556">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0,303</w:t>
            </w:r>
          </w:p>
        </w:tc>
      </w:tr>
    </w:tbl>
    <w:p w14:paraId="3C6BCD75" w14:textId="77777777" w:rsidR="001B7FBF" w:rsidRPr="008F328C" w:rsidRDefault="001B7FBF" w:rsidP="001B7FBF">
      <w:pPr>
        <w:pStyle w:val="a3"/>
        <w:numPr>
          <w:ilvl w:val="0"/>
          <w:numId w:val="1"/>
        </w:numPr>
        <w:ind w:left="550" w:hangingChars="250" w:hanging="550"/>
        <w:rPr>
          <w:lang w:val="pl-PL"/>
        </w:rPr>
      </w:pPr>
      <w:r w:rsidRPr="008F328C">
        <w:rPr>
          <w:rFonts w:eastAsia="Times New Roman"/>
          <w:lang w:val="pl-PL"/>
        </w:rPr>
        <w:lastRenderedPageBreak/>
        <w:t>Wartość p – dawka standardowa w porównaniu z małą dawką.</w:t>
      </w:r>
    </w:p>
    <w:p w14:paraId="0EB5C6E4" w14:textId="77777777" w:rsidR="001B7FBF" w:rsidRPr="008F328C" w:rsidRDefault="001B7FBF" w:rsidP="001B7FBF">
      <w:pPr>
        <w:pStyle w:val="a3"/>
        <w:numPr>
          <w:ilvl w:val="0"/>
          <w:numId w:val="1"/>
        </w:numPr>
        <w:ind w:left="550" w:hangingChars="250" w:hanging="550"/>
        <w:rPr>
          <w:lang w:val="pl-PL"/>
        </w:rPr>
      </w:pPr>
      <w:r w:rsidRPr="008F328C">
        <w:rPr>
          <w:rFonts w:eastAsia="Times New Roman"/>
          <w:lang w:val="pl-PL"/>
        </w:rPr>
        <w:t>Jeśli pacjent spełniał kryterium odpowiedzi klinicznej, leczenie immunosupresyjne można było przerwać wyłącznie w 26. tygodniu lub po 26. tygodniu, według uznania badacza.</w:t>
      </w:r>
    </w:p>
    <w:p w14:paraId="6E9BD3F2" w14:textId="77777777" w:rsidR="001B7FBF" w:rsidRPr="008F328C" w:rsidRDefault="001B7FBF" w:rsidP="001B7FBF">
      <w:pPr>
        <w:pStyle w:val="a3"/>
        <w:numPr>
          <w:ilvl w:val="0"/>
          <w:numId w:val="1"/>
        </w:numPr>
        <w:ind w:left="550" w:hangingChars="250" w:hanging="550"/>
        <w:rPr>
          <w:lang w:val="pl-PL"/>
        </w:rPr>
      </w:pPr>
      <w:r w:rsidRPr="008F328C">
        <w:rPr>
          <w:rFonts w:eastAsia="Times New Roman"/>
          <w:lang w:val="pl-PL"/>
        </w:rPr>
        <w:t>Definiowane jako zamknięcie wszystkich przetok czynnych w czasie rozpoczynania badania, które obserwowano podczas co najmniej 2 kolejnych wizyt po rozpoczęciu badania.</w:t>
      </w:r>
    </w:p>
    <w:p w14:paraId="6B1ED0D0" w14:textId="77777777" w:rsidR="001B7FBF" w:rsidRPr="008F328C" w:rsidRDefault="001B7FBF" w:rsidP="001B7FBF">
      <w:pPr>
        <w:spacing w:before="8" w:line="170" w:lineRule="exact"/>
        <w:rPr>
          <w:rFonts w:ascii="Times New Roman" w:hAnsi="Times New Roman" w:cs="Times New Roman"/>
          <w:sz w:val="17"/>
          <w:szCs w:val="17"/>
          <w:lang w:val="pl-PL"/>
        </w:rPr>
      </w:pPr>
    </w:p>
    <w:p w14:paraId="183DBCF7" w14:textId="77777777" w:rsidR="001B7FBF" w:rsidRPr="008F328C" w:rsidRDefault="001B7FBF" w:rsidP="001B7FBF">
      <w:pPr>
        <w:pStyle w:val="a3"/>
        <w:rPr>
          <w:lang w:val="pl-PL"/>
        </w:rPr>
      </w:pPr>
      <w:r w:rsidRPr="008F328C">
        <w:rPr>
          <w:rFonts w:eastAsia="Times New Roman"/>
          <w:lang w:val="pl-PL"/>
        </w:rPr>
        <w:t>W obydwu leczonych grupach, w 26. i 52. tygodniu obserwowano statystycznie istotne zwiększenie (poprawę) w stosunku do wartości wyjściowych wskaźnika masy ciała i tempa wzrostu.</w:t>
      </w:r>
    </w:p>
    <w:p w14:paraId="13871DE2" w14:textId="77777777" w:rsidR="001B7FBF" w:rsidRPr="008F328C" w:rsidRDefault="001B7FBF" w:rsidP="001B7FBF">
      <w:pPr>
        <w:spacing w:before="14" w:line="240" w:lineRule="exact"/>
        <w:rPr>
          <w:rFonts w:ascii="Times New Roman" w:hAnsi="Times New Roman" w:cs="Times New Roman"/>
          <w:sz w:val="24"/>
          <w:szCs w:val="24"/>
          <w:lang w:val="pl-PL"/>
        </w:rPr>
      </w:pPr>
    </w:p>
    <w:p w14:paraId="41922BE3" w14:textId="77777777" w:rsidR="001B7FBF" w:rsidRPr="008F328C" w:rsidRDefault="001B7FBF" w:rsidP="001B7FBF">
      <w:pPr>
        <w:pStyle w:val="a3"/>
        <w:rPr>
          <w:lang w:val="pl-PL"/>
        </w:rPr>
      </w:pPr>
      <w:r w:rsidRPr="008F328C">
        <w:rPr>
          <w:rFonts w:eastAsia="Times New Roman"/>
          <w:lang w:val="pl-PL"/>
        </w:rPr>
        <w:t>W obydwu grupach obserwowano również istotną statystycznie i klinicznie poprawę w stosunku do wartości wyjściowych parametrów jakości życia (w tym IMPACT III).</w:t>
      </w:r>
    </w:p>
    <w:p w14:paraId="1FAA7391" w14:textId="77777777" w:rsidR="001B7FBF" w:rsidRPr="008F328C" w:rsidRDefault="001B7FBF" w:rsidP="001B7FBF">
      <w:pPr>
        <w:pStyle w:val="a3"/>
        <w:rPr>
          <w:lang w:val="pl-PL"/>
        </w:rPr>
      </w:pPr>
    </w:p>
    <w:p w14:paraId="69203BD1" w14:textId="77777777" w:rsidR="001B7FBF" w:rsidRPr="008F328C" w:rsidRDefault="001B7FBF" w:rsidP="001B7FBF">
      <w:pPr>
        <w:pStyle w:val="a3"/>
        <w:rPr>
          <w:lang w:val="pl-PL"/>
        </w:rPr>
      </w:pPr>
      <w:r w:rsidRPr="008F328C">
        <w:rPr>
          <w:rFonts w:eastAsia="Times New Roman"/>
          <w:lang w:val="pl-PL"/>
        </w:rPr>
        <w:t>Stu pacjentów (n=100) z badania klinicznego populacji dzieci i młodzieży z chorobą Leśniowskiego-Crohna kontynuowało leczenie w długookresowym otwartym badaniu kontynuacyjnym. Po 5 latach leczenia adalimumabem, z 50 pacjentów pozostających w badaniu 74,0% (37/50) nadal było w remisji klinicznej, a 92,0% (46/50) nadal wykazywało odpowiedź kliniczną wg. wskaźnika PCDAI.</w:t>
      </w:r>
    </w:p>
    <w:p w14:paraId="28349986" w14:textId="38EE8E96" w:rsidR="00FD79D2" w:rsidRPr="008F328C" w:rsidRDefault="00FD79D2">
      <w:pPr>
        <w:spacing w:before="16" w:line="240" w:lineRule="exact"/>
        <w:rPr>
          <w:rFonts w:ascii="Times New Roman" w:hAnsi="Times New Roman" w:cs="Times New Roman"/>
          <w:sz w:val="24"/>
          <w:szCs w:val="24"/>
          <w:lang w:val="pl-PL"/>
        </w:rPr>
      </w:pPr>
    </w:p>
    <w:p w14:paraId="4EA8BD6F" w14:textId="77777777" w:rsidR="006E70B5" w:rsidRPr="008F328C" w:rsidRDefault="006E70B5" w:rsidP="006E70B5">
      <w:pPr>
        <w:keepNext/>
        <w:rPr>
          <w:rFonts w:ascii="Times New Roman" w:hAnsi="Times New Roman" w:cs="Times New Roman"/>
          <w:bCs/>
          <w:i/>
          <w:lang w:val="pl-PL"/>
        </w:rPr>
      </w:pPr>
      <w:bookmarkStart w:id="9" w:name="_Hlk53061906"/>
      <w:r w:rsidRPr="008F328C">
        <w:rPr>
          <w:rFonts w:ascii="Times New Roman" w:hAnsi="Times New Roman" w:cs="Times New Roman"/>
          <w:bCs/>
          <w:i/>
          <w:lang w:val="pl-PL"/>
        </w:rPr>
        <w:t>Wrzodziejące zapalenie jelita grubego u dzieci i młodzieży</w:t>
      </w:r>
    </w:p>
    <w:p w14:paraId="3A781FEB" w14:textId="77777777" w:rsidR="006E70B5" w:rsidRPr="008F328C" w:rsidRDefault="006E70B5" w:rsidP="006E70B5">
      <w:pPr>
        <w:keepNext/>
        <w:rPr>
          <w:rFonts w:ascii="Times New Roman" w:hAnsi="Times New Roman" w:cs="Times New Roman"/>
          <w:bCs/>
          <w:i/>
          <w:lang w:val="pl-PL"/>
        </w:rPr>
      </w:pPr>
    </w:p>
    <w:p w14:paraId="2D6D56FC" w14:textId="25F76E64"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 xml:space="preserve">Bezpieczeństwo stosowania i skuteczność produktu </w:t>
      </w:r>
      <w:r w:rsidRPr="008F328C">
        <w:rPr>
          <w:rFonts w:ascii="Times New Roman" w:eastAsia="Times New Roman" w:hAnsi="Times New Roman" w:cs="Times New Roman"/>
          <w:lang w:val="pl-PL"/>
        </w:rPr>
        <w:t xml:space="preserve">adalimumabu </w:t>
      </w:r>
      <w:r w:rsidRPr="008F328C">
        <w:rPr>
          <w:rFonts w:ascii="Times New Roman" w:hAnsi="Times New Roman" w:cs="Times New Roman"/>
          <w:lang w:val="pl-PL"/>
        </w:rPr>
        <w:t>oceniano w wieloośrodkowym, randomizowanym badaniu klinicznym z podwójnie ślepą próbą u 93 pacjentów pediatrycznych w wieku od 5 do 17 lat z umiarkowanym do ciężkiego wrzodziejącym zapaleniem jelita grubego (ocena aktywności choroby w skali Mayo od 6 do 12 punktów z oceną obrazu endoskopowego od 2 do 3 punktów, potwierdzona przez centralną weryfikację badania endoskopowego), którzy wykazali niewystarczającą odpowiedź na standardowe leczenie lub go nie tolerowali. Około 16% pacjentów biorących udział w badaniu było uprzednio poddanych nieskutecznemu leczeniu antagonistą TNF. Pacjentom, którzy w chwili włączenia do badania otrzymywali kortykosteroidy, zezwolono na stopnione zmniejszanie ich dawki po upływie 4. tygodnia.</w:t>
      </w:r>
    </w:p>
    <w:p w14:paraId="56AEC881" w14:textId="77777777" w:rsidR="006E70B5" w:rsidRPr="008F328C" w:rsidRDefault="006E70B5" w:rsidP="006E70B5">
      <w:pPr>
        <w:rPr>
          <w:rFonts w:ascii="Times New Roman" w:hAnsi="Times New Roman" w:cs="Times New Roman"/>
          <w:lang w:val="pl-PL"/>
        </w:rPr>
      </w:pPr>
    </w:p>
    <w:p w14:paraId="0A4ED73B" w14:textId="3AE07489" w:rsidR="006E70B5" w:rsidRPr="008F328C" w:rsidRDefault="006E70B5" w:rsidP="006E70B5">
      <w:pPr>
        <w:rPr>
          <w:rFonts w:ascii="Times New Roman" w:hAnsi="Times New Roman" w:cs="Times New Roman"/>
          <w:lang w:val="pl-PL"/>
        </w:rPr>
      </w:pPr>
      <w:r w:rsidRPr="008F328C">
        <w:rPr>
          <w:rStyle w:val="normaltextrun"/>
          <w:rFonts w:ascii="Times New Roman" w:hAnsi="Times New Roman" w:cs="Times New Roman"/>
          <w:shd w:val="clear" w:color="auto" w:fill="FFFFFF"/>
          <w:lang w:val="pl-PL"/>
        </w:rPr>
        <w:t xml:space="preserve">W fazie indukcyjnej badania, 77 pacjentów przydzielono losowo w stosunku 3:2 do grup otrzymujących leczenie produktem </w:t>
      </w:r>
      <w:r w:rsidRPr="008F328C">
        <w:rPr>
          <w:rFonts w:ascii="Times New Roman" w:eastAsia="Times New Roman" w:hAnsi="Times New Roman" w:cs="Times New Roman"/>
          <w:lang w:val="pl-PL"/>
        </w:rPr>
        <w:t>adalimumab</w:t>
      </w:r>
      <w:r w:rsidRPr="008F328C">
        <w:rPr>
          <w:rStyle w:val="normaltextrun"/>
          <w:rFonts w:ascii="Times New Roman" w:hAnsi="Times New Roman" w:cs="Times New Roman"/>
          <w:shd w:val="clear" w:color="auto" w:fill="FFFFFF"/>
          <w:lang w:val="pl-PL"/>
        </w:rPr>
        <w:t xml:space="preserve">, podawane metodą podwójnie ślepej próby w dawce indukcyjnej 2,4 mg/kg (maksymalnie 160 mg) w 0. i 1. tygodniu oraz 1,2 mg/kg (maksymalnie 80 mg) w 2. tygodniu lub w dawce indukcyjnej 2,4 mg/kg (maksymalnie 160 mg) w 0. tygodniu, placebo w 1. tygodniu i 1,2 mg/kg (maksymalnie 80 mg) w 2. tygodniu. Obie grupy otrzymywały 0,6 mg/kg (maksymalnie 40 mg) w 4. i 6. tygodniu. Po wprowadzeniu zmiany do projektu badania, pozostałych 16 pacjentów, którzy zostali włączeni do fazy indukcyjnej, otrzymało w badaniu otwartym leczenie produktem </w:t>
      </w:r>
      <w:r w:rsidRPr="008F328C">
        <w:rPr>
          <w:rFonts w:ascii="Times New Roman" w:eastAsia="Times New Roman" w:hAnsi="Times New Roman" w:cs="Times New Roman"/>
          <w:lang w:val="pl-PL"/>
        </w:rPr>
        <w:t>adalimumabu</w:t>
      </w:r>
      <w:r w:rsidRPr="008F328C">
        <w:rPr>
          <w:rStyle w:val="normaltextrun"/>
          <w:rFonts w:ascii="Times New Roman" w:hAnsi="Times New Roman" w:cs="Times New Roman"/>
          <w:shd w:val="clear" w:color="auto" w:fill="FFFFFF"/>
          <w:lang w:val="pl-PL"/>
        </w:rPr>
        <w:t xml:space="preserve"> w dawce indukcyjnej 2,4 mg/kg (maksymalnie 160 mg) w 0. i 1. tygodniu oraz w dawce 1,2 mg/kg (maksymalnie 80 mg) w 2. tygodniu.</w:t>
      </w:r>
      <w:r w:rsidRPr="008F328C">
        <w:rPr>
          <w:rStyle w:val="eop"/>
          <w:rFonts w:ascii="Times New Roman" w:hAnsi="Times New Roman" w:cs="Times New Roman"/>
          <w:shd w:val="clear" w:color="auto" w:fill="FFFFFF"/>
          <w:lang w:val="pl-PL"/>
        </w:rPr>
        <w:t> </w:t>
      </w:r>
    </w:p>
    <w:p w14:paraId="0DA3A829" w14:textId="77777777" w:rsidR="006E70B5" w:rsidRPr="008F328C" w:rsidRDefault="006E70B5" w:rsidP="006E70B5">
      <w:pPr>
        <w:rPr>
          <w:rFonts w:ascii="Times New Roman" w:hAnsi="Times New Roman" w:cs="Times New Roman"/>
          <w:lang w:val="pl-PL"/>
        </w:rPr>
      </w:pPr>
    </w:p>
    <w:p w14:paraId="5A76E96F" w14:textId="726A360C" w:rsidR="006E70B5" w:rsidRPr="008F328C" w:rsidRDefault="006E70B5" w:rsidP="006E70B5">
      <w:pPr>
        <w:rPr>
          <w:rStyle w:val="eop"/>
          <w:rFonts w:ascii="Times New Roman" w:hAnsi="Times New Roman" w:cs="Times New Roman"/>
          <w:shd w:val="clear" w:color="auto" w:fill="FFFFFF"/>
          <w:lang w:val="pl-PL"/>
        </w:rPr>
      </w:pPr>
      <w:r w:rsidRPr="008F328C">
        <w:rPr>
          <w:rStyle w:val="normaltextrun"/>
          <w:rFonts w:ascii="Times New Roman" w:hAnsi="Times New Roman" w:cs="Times New Roman"/>
          <w:shd w:val="clear" w:color="auto" w:fill="FFFFFF"/>
          <w:lang w:val="pl-PL"/>
        </w:rPr>
        <w:t xml:space="preserve">W 8. tygodniu, 62 pacjentów, którzy wykazywali odpowiedź kliniczną wg częściowej skali Mayo (ang. </w:t>
      </w:r>
      <w:r w:rsidRPr="008F328C">
        <w:rPr>
          <w:rStyle w:val="normaltextrun"/>
          <w:rFonts w:ascii="Times New Roman" w:hAnsi="Times New Roman" w:cs="Times New Roman"/>
          <w:i/>
          <w:iCs/>
          <w:shd w:val="clear" w:color="auto" w:fill="FFFFFF"/>
          <w:lang w:val="pl-PL"/>
        </w:rPr>
        <w:t>Partial Mayo Score</w:t>
      </w:r>
      <w:r w:rsidRPr="008F328C">
        <w:rPr>
          <w:rStyle w:val="normaltextrun"/>
          <w:rFonts w:ascii="Times New Roman" w:hAnsi="Times New Roman" w:cs="Times New Roman"/>
          <w:shd w:val="clear" w:color="auto" w:fill="FFFFFF"/>
          <w:lang w:val="pl-PL"/>
        </w:rPr>
        <w:t xml:space="preserve">, PMS; zdefiniowaną jako zmniejszenie oceny wg PMS o ≥ 2 punkty i ≥ 30% względem wartości wyjściowej), zostało przydzielonych losowo w stosunku 1:1 do grup otrzymujących leczenie podtrzymujące produktem </w:t>
      </w:r>
      <w:r w:rsidRPr="008F328C">
        <w:rPr>
          <w:rFonts w:ascii="Times New Roman" w:eastAsia="Times New Roman" w:hAnsi="Times New Roman" w:cs="Times New Roman"/>
          <w:lang w:val="pl-PL"/>
        </w:rPr>
        <w:t>adalimumabu</w:t>
      </w:r>
      <w:r w:rsidRPr="008F328C">
        <w:rPr>
          <w:rStyle w:val="normaltextrun"/>
          <w:rFonts w:ascii="Times New Roman" w:hAnsi="Times New Roman" w:cs="Times New Roman"/>
          <w:shd w:val="clear" w:color="auto" w:fill="FFFFFF"/>
          <w:lang w:val="pl-PL"/>
        </w:rPr>
        <w:t xml:space="preserve"> metodą podwójnie ślepej próby w dawce 0,6 mg/kg (maksymalnie 40 mg) co tydzień lub w dawce 0,6 mg/kg (maksymalnie 40 mg) co drugi tydzień. Przed wprowadzeniem zmiany do projektu badania, 12 dodatkowym pacjentom, którzy wykazywali odpowiedź kliniczną wg PMS, przydzielono losowo placebo, ale nie uwzględniono ich w konfirmacyjnej analizie skuteczności. </w:t>
      </w:r>
    </w:p>
    <w:p w14:paraId="1EE63E8A" w14:textId="77777777" w:rsidR="006E70B5" w:rsidRPr="008F328C" w:rsidRDefault="006E70B5" w:rsidP="006E70B5">
      <w:pPr>
        <w:rPr>
          <w:rFonts w:ascii="Times New Roman" w:hAnsi="Times New Roman" w:cs="Times New Roman"/>
          <w:lang w:val="pl-PL"/>
        </w:rPr>
      </w:pPr>
    </w:p>
    <w:p w14:paraId="01F9E73D" w14:textId="77777777"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Zaostrzenie choroby zdefiniowano jako wzrost oceny wg PMS o co najmniej 3 punkty (u pacjentów z oceną wg PMS od 0 do 2 w 8. tygodniu), o co najmniej 2 punkty (u pacjentów z oceną wg PMS od 3 do 4 w 8. tygodniu) lub o co najmniej 1 punkt (u pacjentów z oceną wg PMS od 5 do 6 w 8. tygodniu). </w:t>
      </w:r>
    </w:p>
    <w:p w14:paraId="6B28BDFD" w14:textId="77777777" w:rsidR="006E70B5" w:rsidRPr="008F328C" w:rsidRDefault="006E70B5" w:rsidP="006E70B5">
      <w:pPr>
        <w:rPr>
          <w:rFonts w:ascii="Times New Roman" w:hAnsi="Times New Roman" w:cs="Times New Roman"/>
          <w:lang w:val="pl-PL"/>
        </w:rPr>
      </w:pPr>
    </w:p>
    <w:p w14:paraId="150D80E9" w14:textId="77777777"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 xml:space="preserve">Pacjenci, którzy spełniali kryteria zaostrzenia choroby w 12. lub po 12. tygodniu, zostali przydzieleni </w:t>
      </w:r>
      <w:r w:rsidRPr="008F328C">
        <w:rPr>
          <w:rFonts w:ascii="Times New Roman" w:hAnsi="Times New Roman" w:cs="Times New Roman"/>
          <w:lang w:val="pl-PL"/>
        </w:rPr>
        <w:lastRenderedPageBreak/>
        <w:t>losowo do otrzymywania dawki reindukcyjnej 2,4 mg/kg (maksymalnie 160 mg) lub 0,6 mg/kg (maksymalnie 40 mg), a następnie kontynuowali oni przyjmowanie odpowiednich dawek podtrzymujących. </w:t>
      </w:r>
    </w:p>
    <w:p w14:paraId="421727B6" w14:textId="77777777" w:rsidR="006E70B5" w:rsidRPr="008F328C" w:rsidRDefault="006E70B5" w:rsidP="006E70B5">
      <w:pPr>
        <w:rPr>
          <w:rFonts w:ascii="Times New Roman" w:hAnsi="Times New Roman" w:cs="Times New Roman"/>
          <w:lang w:val="pl-PL"/>
        </w:rPr>
      </w:pPr>
    </w:p>
    <w:p w14:paraId="0D5B4C62" w14:textId="77777777" w:rsidR="006E70B5" w:rsidRPr="008F328C" w:rsidRDefault="006E70B5" w:rsidP="0008144B">
      <w:pPr>
        <w:pStyle w:val="gtcbodytext"/>
        <w:spacing w:before="0" w:after="0" w:line="240" w:lineRule="auto"/>
        <w:rPr>
          <w:i/>
          <w:iCs/>
          <w:sz w:val="22"/>
          <w:szCs w:val="22"/>
          <w:u w:val="single"/>
          <w:lang w:val="pl-PL"/>
        </w:rPr>
      </w:pPr>
      <w:r w:rsidRPr="008F328C">
        <w:rPr>
          <w:i/>
          <w:sz w:val="22"/>
          <w:u w:val="single"/>
          <w:lang w:val="pl-PL"/>
        </w:rPr>
        <w:t>Wyniki dotyczące skuteczności</w:t>
      </w:r>
    </w:p>
    <w:p w14:paraId="028E0839" w14:textId="77777777" w:rsidR="006E70B5" w:rsidRPr="008F328C" w:rsidRDefault="006E70B5" w:rsidP="006E70B5">
      <w:pPr>
        <w:rPr>
          <w:rFonts w:ascii="Times New Roman" w:hAnsi="Times New Roman" w:cs="Times New Roman"/>
          <w:lang w:val="pl-PL"/>
        </w:rPr>
      </w:pPr>
    </w:p>
    <w:p w14:paraId="1DDE242A" w14:textId="77777777"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 xml:space="preserve">Współistniejącymi, pierwszorzędowymi punktami końcowymi były remisja kliniczna wg PMS (zdefiniowana jako ocena punktowa PMS ≤ 2 oraz brak oceny punktowej &gt; 1 dla któregoś parametru) w 8. tygodniu oraz remisja kliniczna wg pełnej skali Mayo (ang. </w:t>
      </w:r>
      <w:r w:rsidRPr="008F328C">
        <w:rPr>
          <w:rFonts w:ascii="Times New Roman" w:hAnsi="Times New Roman" w:cs="Times New Roman"/>
          <w:i/>
          <w:iCs/>
          <w:lang w:val="pl-PL"/>
        </w:rPr>
        <w:t>Full Mayo Score</w:t>
      </w:r>
      <w:r w:rsidRPr="008F328C">
        <w:rPr>
          <w:rFonts w:ascii="Times New Roman" w:hAnsi="Times New Roman" w:cs="Times New Roman"/>
          <w:lang w:val="pl-PL"/>
        </w:rPr>
        <w:t>, FMS) (zdefiniowana jako ocena punktowa w skali Mayo ≤ 2 oraz brak oceny punktowej &gt; 1 dla któregoś parametru) w 52. tygodniu u pacjentów, którzy uzyskali odpowiedź kliniczną wg PMS w 8. tygodniu.</w:t>
      </w:r>
    </w:p>
    <w:p w14:paraId="121526BC" w14:textId="77777777" w:rsidR="006E70B5" w:rsidRPr="008F328C" w:rsidRDefault="006E70B5" w:rsidP="006E70B5">
      <w:pPr>
        <w:textAlignment w:val="baseline"/>
        <w:rPr>
          <w:rFonts w:ascii="Times New Roman" w:hAnsi="Times New Roman" w:cs="Times New Roman"/>
          <w:lang w:val="pl-PL" w:eastAsia="en-GB"/>
        </w:rPr>
      </w:pPr>
    </w:p>
    <w:p w14:paraId="507BB56A" w14:textId="66858BA8" w:rsidR="006E70B5" w:rsidRPr="008F328C" w:rsidRDefault="006E70B5" w:rsidP="0008144B">
      <w:pPr>
        <w:keepNext/>
        <w:textAlignment w:val="baseline"/>
        <w:rPr>
          <w:rFonts w:ascii="Times New Roman" w:hAnsi="Times New Roman" w:cs="Times New Roman"/>
          <w:lang w:val="pl-PL"/>
        </w:rPr>
      </w:pPr>
      <w:r w:rsidRPr="008F328C">
        <w:rPr>
          <w:rFonts w:ascii="Times New Roman" w:hAnsi="Times New Roman" w:cs="Times New Roman"/>
          <w:lang w:val="pl-PL"/>
        </w:rPr>
        <w:t xml:space="preserve">Wskaźniki remisji klinicznej wg PMS w 8. tygodniu u pacjentów w każdej grupie leczenia indukcyjnego produktem </w:t>
      </w:r>
      <w:r w:rsidRPr="008F328C">
        <w:rPr>
          <w:rFonts w:ascii="Times New Roman" w:eastAsia="Times New Roman" w:hAnsi="Times New Roman" w:cs="Times New Roman"/>
          <w:lang w:val="pl-PL"/>
        </w:rPr>
        <w:t>adalimumab</w:t>
      </w:r>
      <w:r w:rsidRPr="008F328C">
        <w:rPr>
          <w:rFonts w:ascii="Times New Roman" w:hAnsi="Times New Roman" w:cs="Times New Roman"/>
          <w:lang w:val="pl-PL"/>
        </w:rPr>
        <w:t xml:space="preserve"> metodą podwójnie ślepej próby zostały przedstawione w Tabeli 31.</w:t>
      </w:r>
    </w:p>
    <w:p w14:paraId="4B035C2F" w14:textId="27984D6E" w:rsidR="006E70B5" w:rsidRPr="008F328C" w:rsidRDefault="006E70B5" w:rsidP="0008144B">
      <w:pPr>
        <w:pStyle w:val="gtcbodytext"/>
        <w:keepNext/>
        <w:spacing w:line="240" w:lineRule="auto"/>
        <w:jc w:val="center"/>
        <w:rPr>
          <w:rStyle w:val="normaltextrun"/>
          <w:rFonts w:eastAsiaTheme="minorEastAsia"/>
          <w:b/>
          <w:sz w:val="22"/>
          <w:szCs w:val="22"/>
          <w:lang w:val="pl-PL"/>
        </w:rPr>
      </w:pPr>
      <w:r w:rsidRPr="008F328C">
        <w:rPr>
          <w:b/>
          <w:sz w:val="22"/>
          <w:lang w:val="pl-PL"/>
        </w:rPr>
        <w:t>Tabela 31 Remisja kliniczna wg PMS w 8. tygodniu</w:t>
      </w:r>
    </w:p>
    <w:tbl>
      <w:tblPr>
        <w:tblW w:w="4601" w:type="pct"/>
        <w:jc w:val="center"/>
        <w:tblLook w:val="04A0" w:firstRow="1" w:lastRow="0" w:firstColumn="1" w:lastColumn="0" w:noHBand="0" w:noVBand="1"/>
      </w:tblPr>
      <w:tblGrid>
        <w:gridCol w:w="1973"/>
        <w:gridCol w:w="2972"/>
        <w:gridCol w:w="3694"/>
      </w:tblGrid>
      <w:tr w:rsidR="006E70B5" w:rsidRPr="008F328C" w14:paraId="1EA249F4" w14:textId="77777777" w:rsidTr="00114A52">
        <w:trPr>
          <w:jc w:val="center"/>
        </w:trPr>
        <w:tc>
          <w:tcPr>
            <w:tcW w:w="114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AF44526" w14:textId="77777777" w:rsidR="006E70B5" w:rsidRPr="008F328C" w:rsidRDefault="006E70B5" w:rsidP="00012556">
            <w:pPr>
              <w:keepNext/>
              <w:rPr>
                <w:rFonts w:ascii="Times New Roman" w:hAnsi="Times New Roman" w:cs="Times New Roman"/>
                <w:lang w:val="pl-PL"/>
              </w:rPr>
            </w:pPr>
          </w:p>
        </w:tc>
        <w:tc>
          <w:tcPr>
            <w:tcW w:w="172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80DA6FB" w14:textId="6104CC01" w:rsidR="006E70B5" w:rsidRPr="008F328C" w:rsidRDefault="006E70B5" w:rsidP="00012556">
            <w:pPr>
              <w:pStyle w:val="paragraph"/>
              <w:keepNext/>
              <w:spacing w:before="0" w:beforeAutospacing="0" w:after="0" w:afterAutospacing="0"/>
              <w:jc w:val="center"/>
              <w:textAlignment w:val="baseline"/>
              <w:rPr>
                <w:b/>
                <w:bCs/>
                <w:sz w:val="22"/>
                <w:szCs w:val="22"/>
                <w:lang w:val="pl-PL"/>
              </w:rPr>
            </w:pPr>
            <w:r w:rsidRPr="008F328C">
              <w:rPr>
                <w:rStyle w:val="spellingerror"/>
                <w:b/>
                <w:sz w:val="22"/>
                <w:lang w:val="pl-PL"/>
              </w:rPr>
              <w:t>Adalimumab</w:t>
            </w:r>
            <w:r w:rsidRPr="008F328C">
              <w:rPr>
                <w:rStyle w:val="spellingerror"/>
                <w:b/>
                <w:sz w:val="22"/>
                <w:vertAlign w:val="superscript"/>
                <w:lang w:val="pl-PL"/>
              </w:rPr>
              <w:t>a</w:t>
            </w:r>
            <w:r w:rsidRPr="008F328C">
              <w:rPr>
                <w:rStyle w:val="eop"/>
                <w:b/>
                <w:sz w:val="22"/>
                <w:lang w:val="pl-PL"/>
              </w:rPr>
              <w:t> </w:t>
            </w:r>
          </w:p>
          <w:p w14:paraId="6ECBE5C4" w14:textId="453F26E4" w:rsidR="006E70B5" w:rsidRPr="008F328C" w:rsidRDefault="006E70B5" w:rsidP="00012556">
            <w:pPr>
              <w:keepNext/>
              <w:jc w:val="center"/>
              <w:rPr>
                <w:rStyle w:val="eop"/>
                <w:rFonts w:ascii="Times New Roman" w:hAnsi="Times New Roman" w:cs="Times New Roman"/>
                <w:b/>
                <w:bCs/>
                <w:lang w:val="pl-PL"/>
              </w:rPr>
            </w:pPr>
            <w:r w:rsidRPr="008F328C">
              <w:rPr>
                <w:rStyle w:val="normaltextrun"/>
                <w:rFonts w:ascii="Times New Roman" w:hAnsi="Times New Roman" w:cs="Times New Roman"/>
                <w:b/>
                <w:lang w:val="pl-PL"/>
              </w:rPr>
              <w:t>Maksymalnie 160 mg w 0. tygodniu / placebo w 1. tygodniu</w:t>
            </w:r>
            <w:r w:rsidRPr="008F328C">
              <w:rPr>
                <w:rStyle w:val="eop"/>
                <w:rFonts w:ascii="Times New Roman" w:hAnsi="Times New Roman" w:cs="Times New Roman"/>
                <w:b/>
                <w:lang w:val="pl-PL"/>
              </w:rPr>
              <w:t> </w:t>
            </w:r>
          </w:p>
          <w:p w14:paraId="1F3A7057" w14:textId="77777777" w:rsidR="006E70B5" w:rsidRPr="008F328C" w:rsidRDefault="006E70B5" w:rsidP="00012556">
            <w:pPr>
              <w:keepNext/>
              <w:jc w:val="center"/>
              <w:rPr>
                <w:rFonts w:ascii="Times New Roman" w:hAnsi="Times New Roman" w:cs="Times New Roman"/>
                <w:lang w:val="pl-PL"/>
              </w:rPr>
            </w:pPr>
            <w:r w:rsidRPr="008F328C">
              <w:rPr>
                <w:rStyle w:val="eop"/>
                <w:rFonts w:ascii="Times New Roman" w:hAnsi="Times New Roman" w:cs="Times New Roman"/>
                <w:lang w:val="pl-PL"/>
              </w:rPr>
              <w:t>N=30</w:t>
            </w:r>
          </w:p>
        </w:tc>
        <w:tc>
          <w:tcPr>
            <w:tcW w:w="213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FF46EE2" w14:textId="7CA87A21" w:rsidR="006E70B5" w:rsidRPr="008F328C" w:rsidRDefault="006E70B5" w:rsidP="00012556">
            <w:pPr>
              <w:pStyle w:val="paragraph"/>
              <w:keepNext/>
              <w:spacing w:before="0" w:beforeAutospacing="0" w:after="0" w:afterAutospacing="0"/>
              <w:jc w:val="center"/>
              <w:textAlignment w:val="baseline"/>
              <w:rPr>
                <w:b/>
                <w:bCs/>
                <w:sz w:val="22"/>
                <w:szCs w:val="22"/>
                <w:lang w:val="pl-PL"/>
              </w:rPr>
            </w:pPr>
            <w:r w:rsidRPr="008F328C">
              <w:rPr>
                <w:rStyle w:val="spellingerror"/>
                <w:b/>
                <w:sz w:val="22"/>
                <w:lang w:val="pl-PL"/>
              </w:rPr>
              <w:t>Adalimumab</w:t>
            </w:r>
            <w:r w:rsidRPr="008F328C">
              <w:rPr>
                <w:rStyle w:val="spellingerror"/>
                <w:b/>
                <w:sz w:val="22"/>
                <w:vertAlign w:val="superscript"/>
                <w:lang w:val="pl-PL"/>
              </w:rPr>
              <w:t>b</w:t>
            </w:r>
            <w:r w:rsidRPr="008F328C">
              <w:rPr>
                <w:rStyle w:val="normaltextrun"/>
                <w:b/>
                <w:sz w:val="22"/>
                <w:vertAlign w:val="superscript"/>
                <w:lang w:val="pl-PL"/>
              </w:rPr>
              <w:t>, c</w:t>
            </w:r>
            <w:r w:rsidRPr="008F328C">
              <w:rPr>
                <w:rStyle w:val="eop"/>
                <w:b/>
                <w:sz w:val="22"/>
                <w:lang w:val="pl-PL"/>
              </w:rPr>
              <w:t> </w:t>
            </w:r>
          </w:p>
          <w:p w14:paraId="7F4E8D32" w14:textId="41E0E23E" w:rsidR="006E70B5" w:rsidRPr="008F328C" w:rsidRDefault="006E70B5" w:rsidP="00012556">
            <w:pPr>
              <w:keepNext/>
              <w:jc w:val="center"/>
              <w:rPr>
                <w:rStyle w:val="eop"/>
                <w:rFonts w:ascii="Times New Roman" w:hAnsi="Times New Roman" w:cs="Times New Roman"/>
                <w:b/>
                <w:bCs/>
                <w:lang w:val="pl-PL"/>
              </w:rPr>
            </w:pPr>
            <w:r w:rsidRPr="008F328C">
              <w:rPr>
                <w:rStyle w:val="normaltextrun"/>
                <w:rFonts w:ascii="Times New Roman" w:hAnsi="Times New Roman" w:cs="Times New Roman"/>
                <w:b/>
                <w:lang w:val="pl-PL"/>
              </w:rPr>
              <w:t>Maksymalnie 160 mg w 0. i 1. tygodniu</w:t>
            </w:r>
            <w:r w:rsidRPr="008F328C">
              <w:rPr>
                <w:rStyle w:val="eop"/>
                <w:rFonts w:ascii="Times New Roman" w:hAnsi="Times New Roman" w:cs="Times New Roman"/>
                <w:b/>
                <w:lang w:val="pl-PL"/>
              </w:rPr>
              <w:t> </w:t>
            </w:r>
          </w:p>
          <w:p w14:paraId="038BA0BE" w14:textId="77777777" w:rsidR="006E70B5" w:rsidRPr="008F328C" w:rsidRDefault="006E70B5" w:rsidP="00012556">
            <w:pPr>
              <w:keepNext/>
              <w:jc w:val="center"/>
              <w:rPr>
                <w:rFonts w:ascii="Times New Roman" w:hAnsi="Times New Roman" w:cs="Times New Roman"/>
                <w:lang w:val="pl-PL"/>
              </w:rPr>
            </w:pPr>
            <w:r w:rsidRPr="008F328C">
              <w:rPr>
                <w:rStyle w:val="eop"/>
                <w:rFonts w:ascii="Times New Roman" w:hAnsi="Times New Roman" w:cs="Times New Roman"/>
                <w:lang w:val="pl-PL"/>
              </w:rPr>
              <w:t>N=47</w:t>
            </w:r>
          </w:p>
        </w:tc>
      </w:tr>
      <w:tr w:rsidR="006E70B5" w:rsidRPr="008F328C" w14:paraId="5E3FA8A7" w14:textId="77777777" w:rsidTr="00114A52">
        <w:trPr>
          <w:jc w:val="center"/>
        </w:trPr>
        <w:tc>
          <w:tcPr>
            <w:tcW w:w="114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2FBE091" w14:textId="77777777" w:rsidR="006E70B5" w:rsidRPr="008F328C" w:rsidRDefault="006E70B5" w:rsidP="00012556">
            <w:pPr>
              <w:keepNext/>
              <w:rPr>
                <w:rFonts w:ascii="Times New Roman" w:hAnsi="Times New Roman" w:cs="Times New Roman"/>
                <w:lang w:val="pl-PL"/>
              </w:rPr>
            </w:pPr>
            <w:r w:rsidRPr="008F328C">
              <w:rPr>
                <w:rFonts w:ascii="Times New Roman" w:hAnsi="Times New Roman" w:cs="Times New Roman"/>
                <w:lang w:val="pl-PL"/>
              </w:rPr>
              <w:t>Remisja kliniczna</w:t>
            </w:r>
          </w:p>
        </w:tc>
        <w:tc>
          <w:tcPr>
            <w:tcW w:w="172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3E30D18" w14:textId="77777777" w:rsidR="006E70B5" w:rsidRPr="008F328C" w:rsidRDefault="006E70B5" w:rsidP="00012556">
            <w:pPr>
              <w:keepNext/>
              <w:jc w:val="center"/>
              <w:rPr>
                <w:rFonts w:ascii="Times New Roman" w:hAnsi="Times New Roman" w:cs="Times New Roman"/>
                <w:lang w:val="pl-PL"/>
              </w:rPr>
            </w:pPr>
            <w:r w:rsidRPr="008F328C">
              <w:rPr>
                <w:rFonts w:ascii="Times New Roman" w:hAnsi="Times New Roman" w:cs="Times New Roman"/>
                <w:lang w:val="pl-PL"/>
              </w:rPr>
              <w:t>13/30 (43,3%)</w:t>
            </w:r>
          </w:p>
        </w:tc>
        <w:tc>
          <w:tcPr>
            <w:tcW w:w="213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87A1334" w14:textId="77777777" w:rsidR="006E70B5" w:rsidRPr="008F328C" w:rsidRDefault="006E70B5" w:rsidP="00012556">
            <w:pPr>
              <w:keepNext/>
              <w:jc w:val="center"/>
              <w:rPr>
                <w:rFonts w:ascii="Times New Roman" w:hAnsi="Times New Roman" w:cs="Times New Roman"/>
                <w:vertAlign w:val="superscript"/>
                <w:lang w:val="pl-PL"/>
              </w:rPr>
            </w:pPr>
            <w:r w:rsidRPr="008F328C">
              <w:rPr>
                <w:rFonts w:ascii="Times New Roman" w:hAnsi="Times New Roman" w:cs="Times New Roman"/>
                <w:lang w:val="pl-PL"/>
              </w:rPr>
              <w:t>28/47 (59,6%)</w:t>
            </w:r>
          </w:p>
        </w:tc>
      </w:tr>
      <w:tr w:rsidR="006E70B5" w:rsidRPr="00A5286D" w14:paraId="0F8D2D10" w14:textId="77777777" w:rsidTr="00114A52">
        <w:trPr>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B35E4AF" w14:textId="1A514B04"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a </w:t>
            </w:r>
            <w:r w:rsidRPr="008F328C">
              <w:rPr>
                <w:rStyle w:val="normaltextrun"/>
                <w:sz w:val="22"/>
                <w:lang w:val="pl-PL"/>
              </w:rPr>
              <w:t>Adalimumab w dawce 2,4 mg/kg (maksymalnie 160 mg) w 0. tygodniu, placebo w 1. tygodniu i adalimumab w dawce 1,2 mg/kg (maksymalnie 80 mg) w 2. tygodniu.</w:t>
            </w:r>
            <w:r w:rsidRPr="008F328C">
              <w:rPr>
                <w:rStyle w:val="eop"/>
                <w:sz w:val="22"/>
                <w:lang w:val="pl-PL"/>
              </w:rPr>
              <w:t> </w:t>
            </w:r>
          </w:p>
          <w:p w14:paraId="6D92FB7E" w14:textId="6FF67F91"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b </w:t>
            </w:r>
            <w:r w:rsidRPr="008F328C">
              <w:rPr>
                <w:rStyle w:val="normaltextrun"/>
                <w:sz w:val="22"/>
                <w:lang w:val="pl-PL"/>
              </w:rPr>
              <w:t>Adalimumab w dawce 2,4 mg/kg (maksymalnie 160 mg) w 0. i 1. tygodniu i w dawce 1,2 mg/kg (maksymalnie 80 mg) w 2. tygodniu.</w:t>
            </w:r>
            <w:r w:rsidRPr="008F328C">
              <w:rPr>
                <w:rStyle w:val="eop"/>
                <w:sz w:val="22"/>
                <w:lang w:val="pl-PL"/>
              </w:rPr>
              <w:t> </w:t>
            </w:r>
          </w:p>
          <w:p w14:paraId="3AC6FC85" w14:textId="31268CE3"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c </w:t>
            </w:r>
            <w:r w:rsidRPr="008F328C">
              <w:rPr>
                <w:rStyle w:val="normaltextrun"/>
                <w:sz w:val="22"/>
                <w:lang w:val="pl-PL"/>
              </w:rPr>
              <w:t>Nie obejmuje dawki indukcyjnej produktu adalimumab podawanej metodą otwartej próby wynoszącej 2,4 mg/kg (maksymalnie 160 mg) w 0. i 1. tygodniu oraz 1,2 mg/kg (maksymalnie 80 mg) w 2. tygodniu.</w:t>
            </w:r>
          </w:p>
          <w:p w14:paraId="7ED25BF2" w14:textId="3DB0DDBE"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lang w:val="pl-PL"/>
              </w:rPr>
              <w:t>Uwaga 1: Obie grupy leczenia indukcyjnego otrzymywały 0,6 mg/kg (maksymalnie 40 mg) w 4. i 6. tygodniu.</w:t>
            </w:r>
            <w:r w:rsidRPr="008F328C">
              <w:rPr>
                <w:rStyle w:val="eop"/>
                <w:sz w:val="22"/>
                <w:lang w:val="pl-PL"/>
              </w:rPr>
              <w:t> </w:t>
            </w:r>
          </w:p>
          <w:p w14:paraId="671E46C0" w14:textId="77777777"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lang w:val="pl-PL"/>
              </w:rPr>
              <w:t>Uwaga 2: Uznano, że pacjenci dla których brak było danych liczbowych w 8. tygodniu, nie osiągnęli punktu końcowego.</w:t>
            </w:r>
            <w:r w:rsidRPr="008F328C">
              <w:rPr>
                <w:rStyle w:val="eop"/>
                <w:sz w:val="22"/>
                <w:lang w:val="pl-PL"/>
              </w:rPr>
              <w:t> </w:t>
            </w:r>
          </w:p>
        </w:tc>
      </w:tr>
    </w:tbl>
    <w:p w14:paraId="36067536" w14:textId="77777777" w:rsidR="006E70B5" w:rsidRPr="008F328C" w:rsidRDefault="006E70B5" w:rsidP="006E70B5">
      <w:pPr>
        <w:rPr>
          <w:rFonts w:ascii="Times New Roman" w:hAnsi="Times New Roman" w:cs="Times New Roman"/>
          <w:lang w:val="pl-PL"/>
        </w:rPr>
      </w:pPr>
    </w:p>
    <w:p w14:paraId="30CB6D83" w14:textId="6B9B72AD" w:rsidR="006E70B5" w:rsidRPr="008F328C" w:rsidRDefault="006E70B5" w:rsidP="006E70B5">
      <w:pPr>
        <w:rPr>
          <w:rFonts w:ascii="Times New Roman" w:hAnsi="Times New Roman" w:cs="Times New Roman"/>
          <w:lang w:val="pl-PL"/>
        </w:rPr>
      </w:pPr>
      <w:r w:rsidRPr="008F328C">
        <w:rPr>
          <w:rStyle w:val="normaltextrun"/>
          <w:rFonts w:ascii="Times New Roman" w:hAnsi="Times New Roman" w:cs="Times New Roman"/>
          <w:shd w:val="clear" w:color="auto" w:fill="FFFFFF"/>
          <w:lang w:val="pl-PL"/>
        </w:rPr>
        <w:t xml:space="preserve">W 52. tygodniu oceniono remisję kliniczną wg FMS u pacjentów z odpowiedzią na leczenie w 8. tygodniu, odpowiedź kliniczną wg FMS (zdefiniowaną jako zmniejszenie oceny punktowej w skali Mayo o ≥ 3 punkty i ≥ 30% w stosunku do wartości wyjściowej) u pacjentów z odpowiedzią w 8. tygodniu, gojenie się błony śluzowej wg FMS (zdefiniowane jako ocena parametru endoskopowego w skali Mayo ≤ 1) u pacjentów z odpowiedzią w 8. tygodniu, remisję kliniczną wg FMS u pacjentów będących w remisji w 8. tygodniu oraz odsetek uczestników badania pozostających w remisji bez stosowania kortykosteroidów wg FMS wśród odpowiadających na leczenie w 8. tygodniu. Ocenie poddano pacjentów, którzy otrzymywali produkt adalimumab metodą podwójnie ślepej próby w dawkach podtrzymujących maksymalnie 40 mg </w:t>
      </w:r>
      <w:r w:rsidRPr="008F328C">
        <w:rPr>
          <w:rStyle w:val="spellingerror"/>
          <w:rFonts w:ascii="Times New Roman" w:hAnsi="Times New Roman" w:cs="Times New Roman"/>
          <w:shd w:val="clear" w:color="auto" w:fill="FFFFFF"/>
          <w:lang w:val="pl-PL"/>
        </w:rPr>
        <w:t>co drugi tydzień</w:t>
      </w:r>
      <w:r w:rsidRPr="008F328C">
        <w:rPr>
          <w:rStyle w:val="normaltextrun"/>
          <w:rFonts w:ascii="Times New Roman" w:hAnsi="Times New Roman" w:cs="Times New Roman"/>
          <w:shd w:val="clear" w:color="auto" w:fill="FFFFFF"/>
          <w:lang w:val="pl-PL"/>
        </w:rPr>
        <w:t xml:space="preserve"> (0,6 mg/kg) oraz maksymalnie 40 mg </w:t>
      </w:r>
      <w:r w:rsidRPr="008F328C">
        <w:rPr>
          <w:rStyle w:val="spellingerror"/>
          <w:rFonts w:ascii="Times New Roman" w:hAnsi="Times New Roman" w:cs="Times New Roman"/>
          <w:shd w:val="clear" w:color="auto" w:fill="FFFFFF"/>
          <w:lang w:val="pl-PL"/>
        </w:rPr>
        <w:t>co tydzień</w:t>
      </w:r>
      <w:r w:rsidRPr="008F328C">
        <w:rPr>
          <w:rStyle w:val="normaltextrun"/>
          <w:rFonts w:ascii="Times New Roman" w:hAnsi="Times New Roman" w:cs="Times New Roman"/>
          <w:shd w:val="clear" w:color="auto" w:fill="FFFFFF"/>
          <w:lang w:val="pl-PL"/>
        </w:rPr>
        <w:t xml:space="preserve"> (0,6 mg/kg) (Tabela 32).</w:t>
      </w:r>
    </w:p>
    <w:p w14:paraId="07350CB7" w14:textId="77777777" w:rsidR="006E70B5" w:rsidRPr="008F328C" w:rsidRDefault="006E70B5" w:rsidP="006E70B5">
      <w:pPr>
        <w:jc w:val="center"/>
        <w:textAlignment w:val="baseline"/>
        <w:rPr>
          <w:rFonts w:ascii="Times New Roman" w:hAnsi="Times New Roman" w:cs="Times New Roman"/>
          <w:b/>
          <w:lang w:val="pl-PL" w:eastAsia="en-GB"/>
        </w:rPr>
      </w:pPr>
    </w:p>
    <w:p w14:paraId="19357EF5" w14:textId="18DF3627" w:rsidR="006E70B5" w:rsidRPr="008F328C" w:rsidRDefault="006E70B5" w:rsidP="006E70B5">
      <w:pPr>
        <w:jc w:val="center"/>
        <w:textAlignment w:val="baseline"/>
        <w:rPr>
          <w:rFonts w:ascii="Times New Roman" w:hAnsi="Times New Roman" w:cs="Times New Roman"/>
          <w:b/>
          <w:lang w:val="pl-PL"/>
        </w:rPr>
      </w:pPr>
      <w:r w:rsidRPr="008F328C">
        <w:rPr>
          <w:rFonts w:ascii="Times New Roman" w:hAnsi="Times New Roman" w:cs="Times New Roman"/>
          <w:b/>
          <w:lang w:val="pl-PL"/>
        </w:rPr>
        <w:t>Tabela 32</w:t>
      </w:r>
      <w:r w:rsidR="008E70FE" w:rsidRPr="008F328C">
        <w:rPr>
          <w:rFonts w:ascii="Times New Roman" w:hAnsi="Times New Roman" w:cs="Times New Roman"/>
          <w:b/>
          <w:lang w:val="pl-PL"/>
        </w:rPr>
        <w:t xml:space="preserve"> </w:t>
      </w:r>
      <w:r w:rsidRPr="008F328C">
        <w:rPr>
          <w:rFonts w:ascii="Times New Roman" w:hAnsi="Times New Roman" w:cs="Times New Roman"/>
          <w:b/>
          <w:lang w:val="pl-PL"/>
        </w:rPr>
        <w:t>Wyniki skuteczności w 52. tygodniu </w:t>
      </w:r>
    </w:p>
    <w:tbl>
      <w:tblPr>
        <w:tblW w:w="856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27"/>
        <w:gridCol w:w="2409"/>
        <w:gridCol w:w="2633"/>
      </w:tblGrid>
      <w:tr w:rsidR="006E70B5" w:rsidRPr="00FE49E6" w14:paraId="7AF5596B" w14:textId="77777777" w:rsidTr="00CC4159">
        <w:trPr>
          <w:trHeight w:val="912"/>
          <w:jc w:val="center"/>
        </w:trPr>
        <w:tc>
          <w:tcPr>
            <w:tcW w:w="3527" w:type="dxa"/>
            <w:tcBorders>
              <w:top w:val="single" w:sz="6" w:space="0" w:color="auto"/>
              <w:left w:val="single" w:sz="6" w:space="0" w:color="auto"/>
              <w:bottom w:val="single" w:sz="6" w:space="0" w:color="auto"/>
              <w:right w:val="single" w:sz="6" w:space="0" w:color="auto"/>
            </w:tcBorders>
            <w:hideMark/>
          </w:tcPr>
          <w:p w14:paraId="34543281" w14:textId="77777777" w:rsidR="006E70B5" w:rsidRPr="008F328C" w:rsidRDefault="006E70B5" w:rsidP="00012556">
            <w:pPr>
              <w:jc w:val="center"/>
              <w:textAlignment w:val="baseline"/>
              <w:rPr>
                <w:rFonts w:ascii="Times New Roman" w:hAnsi="Times New Roman" w:cs="Times New Roman"/>
                <w:lang w:val="pl-PL" w:eastAsia="en-GB"/>
              </w:rPr>
            </w:pPr>
          </w:p>
        </w:tc>
        <w:tc>
          <w:tcPr>
            <w:tcW w:w="2409" w:type="dxa"/>
            <w:tcBorders>
              <w:top w:val="single" w:sz="6" w:space="0" w:color="auto"/>
              <w:left w:val="nil"/>
              <w:bottom w:val="single" w:sz="6" w:space="0" w:color="auto"/>
              <w:right w:val="single" w:sz="6" w:space="0" w:color="auto"/>
            </w:tcBorders>
            <w:vAlign w:val="center"/>
            <w:hideMark/>
          </w:tcPr>
          <w:p w14:paraId="1D224CDE" w14:textId="431F95E4"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a</w:t>
            </w:r>
            <w:r w:rsidRPr="008F328C">
              <w:rPr>
                <w:rFonts w:ascii="Times New Roman" w:hAnsi="Times New Roman" w:cs="Times New Roman"/>
                <w:b/>
                <w:lang w:val="pl-PL"/>
              </w:rPr>
              <w:t> </w:t>
            </w:r>
            <w:r w:rsidRPr="008F328C">
              <w:rPr>
                <w:rFonts w:ascii="Times New Roman" w:hAnsi="Times New Roman" w:cs="Times New Roman"/>
                <w:lang w:val="pl-PL"/>
              </w:rPr>
              <w:t> </w:t>
            </w:r>
          </w:p>
          <w:p w14:paraId="47EB977F" w14:textId="55CF6D0A"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b/>
                <w:lang w:val="pl-PL"/>
              </w:rPr>
              <w:t>Maksymalnie 40 mg co drugi tydzień</w:t>
            </w:r>
            <w:r w:rsidRPr="008F328C">
              <w:rPr>
                <w:rFonts w:ascii="Times New Roman" w:hAnsi="Times New Roman" w:cs="Times New Roman"/>
                <w:lang w:val="pl-PL"/>
              </w:rPr>
              <w:t> </w:t>
            </w:r>
          </w:p>
          <w:p w14:paraId="341FBB7A"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N=31</w:t>
            </w:r>
          </w:p>
        </w:tc>
        <w:tc>
          <w:tcPr>
            <w:tcW w:w="2633" w:type="dxa"/>
            <w:tcBorders>
              <w:top w:val="single" w:sz="6" w:space="0" w:color="auto"/>
              <w:left w:val="nil"/>
              <w:bottom w:val="single" w:sz="6" w:space="0" w:color="auto"/>
              <w:right w:val="single" w:sz="6" w:space="0" w:color="auto"/>
            </w:tcBorders>
            <w:vAlign w:val="center"/>
            <w:hideMark/>
          </w:tcPr>
          <w:p w14:paraId="40681714" w14:textId="382E6E1F"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b</w:t>
            </w:r>
            <w:r w:rsidRPr="008F328C">
              <w:rPr>
                <w:rFonts w:ascii="Times New Roman" w:hAnsi="Times New Roman" w:cs="Times New Roman"/>
                <w:b/>
                <w:lang w:val="pl-PL"/>
              </w:rPr>
              <w:t> </w:t>
            </w:r>
            <w:r w:rsidRPr="008F328C">
              <w:rPr>
                <w:rFonts w:ascii="Times New Roman" w:hAnsi="Times New Roman" w:cs="Times New Roman"/>
                <w:lang w:val="pl-PL"/>
              </w:rPr>
              <w:t> </w:t>
            </w:r>
          </w:p>
          <w:p w14:paraId="744A3959" w14:textId="178EA5B8"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b/>
                <w:lang w:val="pl-PL"/>
              </w:rPr>
              <w:t>Maksymalnie 40 mg co tydzień</w:t>
            </w:r>
            <w:r w:rsidRPr="008F328C">
              <w:rPr>
                <w:rFonts w:ascii="Times New Roman" w:hAnsi="Times New Roman" w:cs="Times New Roman"/>
                <w:lang w:val="pl-PL"/>
              </w:rPr>
              <w:t> </w:t>
            </w:r>
          </w:p>
          <w:p w14:paraId="5E86F86D"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N=31</w:t>
            </w:r>
          </w:p>
        </w:tc>
      </w:tr>
      <w:tr w:rsidR="006E70B5" w:rsidRPr="008F328C" w14:paraId="6BA86D79" w14:textId="77777777" w:rsidTr="00CC4159">
        <w:trPr>
          <w:trHeight w:val="570"/>
          <w:jc w:val="center"/>
        </w:trPr>
        <w:tc>
          <w:tcPr>
            <w:tcW w:w="3527" w:type="dxa"/>
            <w:tcBorders>
              <w:top w:val="nil"/>
              <w:left w:val="single" w:sz="6" w:space="0" w:color="auto"/>
              <w:bottom w:val="single" w:sz="6" w:space="0" w:color="auto"/>
              <w:right w:val="single" w:sz="6" w:space="0" w:color="auto"/>
            </w:tcBorders>
            <w:vAlign w:val="center"/>
            <w:hideMark/>
          </w:tcPr>
          <w:p w14:paraId="31744653" w14:textId="29D30666"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lastRenderedPageBreak/>
              <w:t>Remisja kliniczna u odpowiadających na leczenie wg PMS w 8. tygodniu </w:t>
            </w:r>
          </w:p>
        </w:tc>
        <w:tc>
          <w:tcPr>
            <w:tcW w:w="2409" w:type="dxa"/>
            <w:tcBorders>
              <w:top w:val="nil"/>
              <w:left w:val="nil"/>
              <w:bottom w:val="single" w:sz="6" w:space="0" w:color="auto"/>
              <w:right w:val="single" w:sz="6" w:space="0" w:color="auto"/>
            </w:tcBorders>
            <w:vAlign w:val="center"/>
            <w:hideMark/>
          </w:tcPr>
          <w:p w14:paraId="54BA99B8"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9/31 (29,0%) </w:t>
            </w:r>
          </w:p>
        </w:tc>
        <w:tc>
          <w:tcPr>
            <w:tcW w:w="2633" w:type="dxa"/>
            <w:tcBorders>
              <w:top w:val="nil"/>
              <w:left w:val="nil"/>
              <w:bottom w:val="single" w:sz="6" w:space="0" w:color="auto"/>
              <w:right w:val="single" w:sz="6" w:space="0" w:color="auto"/>
            </w:tcBorders>
            <w:vAlign w:val="center"/>
            <w:hideMark/>
          </w:tcPr>
          <w:p w14:paraId="15A81132"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14/31 (45,2%)</w:t>
            </w:r>
          </w:p>
        </w:tc>
      </w:tr>
      <w:tr w:rsidR="006E70B5" w:rsidRPr="008F328C" w14:paraId="69C421A6" w14:textId="77777777" w:rsidTr="00CC4159">
        <w:trPr>
          <w:trHeight w:val="555"/>
          <w:jc w:val="center"/>
        </w:trPr>
        <w:tc>
          <w:tcPr>
            <w:tcW w:w="3527" w:type="dxa"/>
            <w:tcBorders>
              <w:top w:val="nil"/>
              <w:left w:val="single" w:sz="6" w:space="0" w:color="auto"/>
              <w:bottom w:val="single" w:sz="6" w:space="0" w:color="auto"/>
              <w:right w:val="single" w:sz="6" w:space="0" w:color="auto"/>
            </w:tcBorders>
            <w:vAlign w:val="center"/>
            <w:hideMark/>
          </w:tcPr>
          <w:p w14:paraId="377CB1A5" w14:textId="77777777"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t>Odpowiedź kliniczna u odpowiadających na leczenie wg PMS w 8. tygodniu </w:t>
            </w:r>
          </w:p>
        </w:tc>
        <w:tc>
          <w:tcPr>
            <w:tcW w:w="2409" w:type="dxa"/>
            <w:tcBorders>
              <w:top w:val="nil"/>
              <w:left w:val="nil"/>
              <w:bottom w:val="single" w:sz="6" w:space="0" w:color="auto"/>
              <w:right w:val="single" w:sz="6" w:space="0" w:color="auto"/>
            </w:tcBorders>
            <w:vAlign w:val="center"/>
            <w:hideMark/>
          </w:tcPr>
          <w:p w14:paraId="45B7D5FE"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19/31 (61,3%) </w:t>
            </w:r>
          </w:p>
        </w:tc>
        <w:tc>
          <w:tcPr>
            <w:tcW w:w="2633" w:type="dxa"/>
            <w:tcBorders>
              <w:top w:val="nil"/>
              <w:left w:val="nil"/>
              <w:bottom w:val="single" w:sz="6" w:space="0" w:color="auto"/>
              <w:right w:val="single" w:sz="6" w:space="0" w:color="auto"/>
            </w:tcBorders>
            <w:vAlign w:val="center"/>
            <w:hideMark/>
          </w:tcPr>
          <w:p w14:paraId="38993CF4"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21/31 (67,7%) </w:t>
            </w:r>
          </w:p>
        </w:tc>
      </w:tr>
      <w:tr w:rsidR="006E70B5" w:rsidRPr="008F328C" w14:paraId="4DA66589" w14:textId="77777777" w:rsidTr="00CC4159">
        <w:trPr>
          <w:jc w:val="center"/>
        </w:trPr>
        <w:tc>
          <w:tcPr>
            <w:tcW w:w="3527" w:type="dxa"/>
            <w:tcBorders>
              <w:top w:val="nil"/>
              <w:left w:val="single" w:sz="6" w:space="0" w:color="auto"/>
              <w:bottom w:val="single" w:sz="6" w:space="0" w:color="auto"/>
              <w:right w:val="single" w:sz="6" w:space="0" w:color="auto"/>
            </w:tcBorders>
            <w:vAlign w:val="center"/>
            <w:hideMark/>
          </w:tcPr>
          <w:p w14:paraId="244BC24F" w14:textId="77777777"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t>Wygojenie błony śluzowej u odpowiadających na leczenie wg PMS w 8. tygodniu </w:t>
            </w:r>
          </w:p>
        </w:tc>
        <w:tc>
          <w:tcPr>
            <w:tcW w:w="2409" w:type="dxa"/>
            <w:tcBorders>
              <w:top w:val="nil"/>
              <w:left w:val="nil"/>
              <w:bottom w:val="single" w:sz="6" w:space="0" w:color="auto"/>
              <w:right w:val="single" w:sz="6" w:space="0" w:color="auto"/>
            </w:tcBorders>
            <w:vAlign w:val="center"/>
            <w:hideMark/>
          </w:tcPr>
          <w:p w14:paraId="096A24D9"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12/31 (38,7%) </w:t>
            </w:r>
          </w:p>
        </w:tc>
        <w:tc>
          <w:tcPr>
            <w:tcW w:w="2633" w:type="dxa"/>
            <w:tcBorders>
              <w:top w:val="nil"/>
              <w:left w:val="nil"/>
              <w:bottom w:val="single" w:sz="6" w:space="0" w:color="auto"/>
              <w:right w:val="single" w:sz="6" w:space="0" w:color="auto"/>
            </w:tcBorders>
            <w:vAlign w:val="center"/>
            <w:hideMark/>
          </w:tcPr>
          <w:p w14:paraId="48144BA2"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16/31 (51,6%) </w:t>
            </w:r>
          </w:p>
        </w:tc>
      </w:tr>
      <w:tr w:rsidR="006E70B5" w:rsidRPr="008F328C" w14:paraId="614A43FB" w14:textId="77777777" w:rsidTr="00CC4159">
        <w:trPr>
          <w:jc w:val="center"/>
        </w:trPr>
        <w:tc>
          <w:tcPr>
            <w:tcW w:w="3527" w:type="dxa"/>
            <w:tcBorders>
              <w:top w:val="nil"/>
              <w:left w:val="single" w:sz="6" w:space="0" w:color="auto"/>
              <w:bottom w:val="single" w:sz="6" w:space="0" w:color="auto"/>
              <w:right w:val="single" w:sz="6" w:space="0" w:color="auto"/>
            </w:tcBorders>
            <w:vAlign w:val="center"/>
            <w:hideMark/>
          </w:tcPr>
          <w:p w14:paraId="039210E4" w14:textId="77777777"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t>Remisja kliniczna u pozostających w remisji wg PMS w 8. tygodniu </w:t>
            </w:r>
          </w:p>
        </w:tc>
        <w:tc>
          <w:tcPr>
            <w:tcW w:w="2409" w:type="dxa"/>
            <w:tcBorders>
              <w:top w:val="nil"/>
              <w:left w:val="nil"/>
              <w:bottom w:val="single" w:sz="6" w:space="0" w:color="auto"/>
              <w:right w:val="single" w:sz="6" w:space="0" w:color="auto"/>
            </w:tcBorders>
            <w:vAlign w:val="center"/>
            <w:hideMark/>
          </w:tcPr>
          <w:p w14:paraId="159E9F52"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9/21 (42,9%) </w:t>
            </w:r>
          </w:p>
        </w:tc>
        <w:tc>
          <w:tcPr>
            <w:tcW w:w="2633" w:type="dxa"/>
            <w:tcBorders>
              <w:top w:val="nil"/>
              <w:left w:val="nil"/>
              <w:bottom w:val="single" w:sz="6" w:space="0" w:color="auto"/>
              <w:right w:val="single" w:sz="6" w:space="0" w:color="auto"/>
            </w:tcBorders>
            <w:vAlign w:val="center"/>
            <w:hideMark/>
          </w:tcPr>
          <w:p w14:paraId="0152D1E1"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10/22 (45,5%) </w:t>
            </w:r>
          </w:p>
        </w:tc>
      </w:tr>
      <w:tr w:rsidR="006E70B5" w:rsidRPr="008F328C" w14:paraId="2C56983F" w14:textId="77777777" w:rsidTr="00CC4159">
        <w:trPr>
          <w:jc w:val="center"/>
        </w:trPr>
        <w:tc>
          <w:tcPr>
            <w:tcW w:w="3527" w:type="dxa"/>
            <w:tcBorders>
              <w:top w:val="nil"/>
              <w:left w:val="single" w:sz="6" w:space="0" w:color="auto"/>
              <w:bottom w:val="single" w:sz="6" w:space="0" w:color="auto"/>
              <w:right w:val="single" w:sz="6" w:space="0" w:color="auto"/>
            </w:tcBorders>
            <w:vAlign w:val="center"/>
            <w:hideMark/>
          </w:tcPr>
          <w:p w14:paraId="791EEA91" w14:textId="77777777"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t>Remisja bez stosowania kortykosteroidów u odpowiadających na leczenie w skali PMS w 8. tygodniu</w:t>
            </w:r>
            <w:r w:rsidRPr="008F328C">
              <w:rPr>
                <w:rFonts w:ascii="Times New Roman" w:hAnsi="Times New Roman" w:cs="Times New Roman"/>
                <w:vertAlign w:val="superscript"/>
                <w:lang w:val="pl-PL"/>
              </w:rPr>
              <w:t>c</w:t>
            </w:r>
            <w:r w:rsidRPr="008F328C">
              <w:rPr>
                <w:rFonts w:ascii="Times New Roman" w:hAnsi="Times New Roman" w:cs="Times New Roman"/>
                <w:lang w:val="pl-PL"/>
              </w:rPr>
              <w:t> </w:t>
            </w:r>
          </w:p>
        </w:tc>
        <w:tc>
          <w:tcPr>
            <w:tcW w:w="2409" w:type="dxa"/>
            <w:tcBorders>
              <w:top w:val="nil"/>
              <w:left w:val="nil"/>
              <w:bottom w:val="single" w:sz="6" w:space="0" w:color="auto"/>
              <w:right w:val="single" w:sz="6" w:space="0" w:color="auto"/>
            </w:tcBorders>
            <w:vAlign w:val="center"/>
            <w:hideMark/>
          </w:tcPr>
          <w:p w14:paraId="3219C80B"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4/13 (30,8%) </w:t>
            </w:r>
          </w:p>
        </w:tc>
        <w:tc>
          <w:tcPr>
            <w:tcW w:w="2633" w:type="dxa"/>
            <w:tcBorders>
              <w:top w:val="nil"/>
              <w:left w:val="nil"/>
              <w:bottom w:val="single" w:sz="6" w:space="0" w:color="auto"/>
              <w:right w:val="single" w:sz="6" w:space="0" w:color="auto"/>
            </w:tcBorders>
            <w:vAlign w:val="center"/>
            <w:hideMark/>
          </w:tcPr>
          <w:p w14:paraId="221C2225" w14:textId="77777777" w:rsidR="006E70B5" w:rsidRPr="008F328C" w:rsidRDefault="006E70B5" w:rsidP="00012556">
            <w:pPr>
              <w:jc w:val="center"/>
              <w:textAlignment w:val="baseline"/>
              <w:rPr>
                <w:rFonts w:ascii="Times New Roman" w:hAnsi="Times New Roman" w:cs="Times New Roman"/>
                <w:lang w:val="pl-PL"/>
              </w:rPr>
            </w:pPr>
            <w:r w:rsidRPr="008F328C">
              <w:rPr>
                <w:rFonts w:ascii="Times New Roman" w:hAnsi="Times New Roman" w:cs="Times New Roman"/>
                <w:lang w:val="pl-PL"/>
              </w:rPr>
              <w:t>5/16 (31,3%) </w:t>
            </w:r>
          </w:p>
        </w:tc>
      </w:tr>
      <w:tr w:rsidR="006E70B5" w:rsidRPr="00A5286D" w14:paraId="10F5C069" w14:textId="77777777" w:rsidTr="00CC4159">
        <w:trPr>
          <w:jc w:val="center"/>
        </w:trPr>
        <w:tc>
          <w:tcPr>
            <w:tcW w:w="8569" w:type="dxa"/>
            <w:gridSpan w:val="3"/>
            <w:tcBorders>
              <w:top w:val="nil"/>
              <w:left w:val="single" w:sz="6" w:space="0" w:color="auto"/>
              <w:bottom w:val="single" w:sz="6" w:space="0" w:color="auto"/>
              <w:right w:val="single" w:sz="6" w:space="0" w:color="auto"/>
            </w:tcBorders>
            <w:hideMark/>
          </w:tcPr>
          <w:p w14:paraId="111B6236" w14:textId="2520884B"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vertAlign w:val="superscript"/>
                <w:lang w:val="pl-PL"/>
              </w:rPr>
              <w:t>a </w:t>
            </w:r>
            <w:r w:rsidRPr="008F328C">
              <w:rPr>
                <w:rFonts w:ascii="Times New Roman" w:hAnsi="Times New Roman" w:cs="Times New Roman"/>
                <w:lang w:val="pl-PL"/>
              </w:rPr>
              <w:t xml:space="preserve"> Adalimumab w dawce 0,6 mg/kg (maksymalnie 40 mg) co drugi tydzień. </w:t>
            </w:r>
          </w:p>
          <w:p w14:paraId="6293635E" w14:textId="7C02426D"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vertAlign w:val="superscript"/>
                <w:lang w:val="pl-PL"/>
              </w:rPr>
              <w:t>b </w:t>
            </w:r>
            <w:r w:rsidRPr="008F328C">
              <w:rPr>
                <w:rFonts w:ascii="Times New Roman" w:hAnsi="Times New Roman" w:cs="Times New Roman"/>
                <w:lang w:val="pl-PL"/>
              </w:rPr>
              <w:t xml:space="preserve"> Adalimumab w dawce 0,6 mg/kg (maksymalnie 40 mg) co tydzień. </w:t>
            </w:r>
          </w:p>
          <w:p w14:paraId="4B57FE5D" w14:textId="42009385"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vertAlign w:val="superscript"/>
                <w:lang w:val="pl-PL"/>
              </w:rPr>
              <w:t>c </w:t>
            </w:r>
            <w:r w:rsidRPr="008F328C">
              <w:rPr>
                <w:rFonts w:ascii="Times New Roman" w:hAnsi="Times New Roman" w:cs="Times New Roman"/>
                <w:lang w:val="pl-PL"/>
              </w:rPr>
              <w:t xml:space="preserve"> U pacjentów przyjmujących jednocześnie kortykosteroidy w czasie włączenia do badania. </w:t>
            </w:r>
          </w:p>
          <w:p w14:paraId="09C6213C" w14:textId="2019905B" w:rsidR="006E70B5" w:rsidRPr="008F328C" w:rsidRDefault="006E70B5" w:rsidP="00012556">
            <w:pPr>
              <w:textAlignment w:val="baseline"/>
              <w:rPr>
                <w:rFonts w:ascii="Times New Roman" w:hAnsi="Times New Roman" w:cs="Times New Roman"/>
                <w:lang w:val="pl-PL"/>
              </w:rPr>
            </w:pPr>
            <w:r w:rsidRPr="008F328C">
              <w:rPr>
                <w:rFonts w:ascii="Times New Roman" w:hAnsi="Times New Roman" w:cs="Times New Roman"/>
                <w:lang w:val="pl-PL"/>
              </w:rPr>
              <w:t xml:space="preserve">Uwaga: Pacjentów, </w:t>
            </w:r>
            <w:r w:rsidRPr="008F328C">
              <w:rPr>
                <w:rStyle w:val="normaltextrun"/>
                <w:rFonts w:ascii="Times New Roman" w:hAnsi="Times New Roman" w:cs="Times New Roman"/>
                <w:lang w:val="pl-PL"/>
              </w:rPr>
              <w:t xml:space="preserve">dla których brak było danych liczbowych </w:t>
            </w:r>
            <w:r w:rsidRPr="008F328C">
              <w:rPr>
                <w:rFonts w:ascii="Times New Roman" w:hAnsi="Times New Roman" w:cs="Times New Roman"/>
                <w:lang w:val="pl-PL"/>
              </w:rPr>
              <w:t>w 52. tygodniu lub których przydzielono losowo do leczenia reindukcyjnego lub podtrzymującego, uznano za nieodpowiadjących na leczenie zgodnie z punktami końcowymi badania w 52. tygodniu. </w:t>
            </w:r>
          </w:p>
        </w:tc>
      </w:tr>
    </w:tbl>
    <w:p w14:paraId="3EE325CE" w14:textId="77777777" w:rsidR="006E70B5" w:rsidRPr="008F328C" w:rsidRDefault="006E70B5" w:rsidP="006E70B5">
      <w:pPr>
        <w:rPr>
          <w:rFonts w:ascii="Times New Roman" w:hAnsi="Times New Roman" w:cs="Times New Roman"/>
          <w:lang w:val="pl-PL"/>
        </w:rPr>
      </w:pPr>
    </w:p>
    <w:p w14:paraId="2B2E2960" w14:textId="28F52966"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 xml:space="preserve">Dodatkowymi, eksploracyjnymi punktami końcowymi dla oceny skuteczności były odpowiedź kliniczna według pediatrycznego współczynnika aktywności wrzodziejącego jelita grubego (ang. </w:t>
      </w:r>
      <w:r w:rsidRPr="008F328C">
        <w:rPr>
          <w:rFonts w:ascii="Times New Roman" w:hAnsi="Times New Roman" w:cs="Times New Roman"/>
          <w:i/>
          <w:iCs/>
          <w:lang w:val="pl-PL"/>
        </w:rPr>
        <w:t>Paediatric Ulcerative Colitis Activity Index</w:t>
      </w:r>
      <w:r w:rsidRPr="008F328C">
        <w:rPr>
          <w:rFonts w:ascii="Times New Roman" w:hAnsi="Times New Roman" w:cs="Times New Roman"/>
          <w:lang w:val="pl-PL"/>
        </w:rPr>
        <w:t xml:space="preserve">, PUCAI) (zdefiniowana jako zmniejszenie oceny wg PUCAI o ≥ 20 punktów w stosunku do wartości wyjściowej) oraz remisja kliniczna wg PUCAI (zdefiniowana jako ocena wartości wskaźnika PUCAI &lt; 10) w 8. i 52. tygodniu (Tabela 33). </w:t>
      </w:r>
    </w:p>
    <w:p w14:paraId="24F6240A" w14:textId="77777777" w:rsidR="006E70B5" w:rsidRPr="008F328C" w:rsidRDefault="006E70B5" w:rsidP="0008144B">
      <w:pPr>
        <w:keepNext/>
        <w:rPr>
          <w:rFonts w:ascii="Times New Roman" w:hAnsi="Times New Roman" w:cs="Times New Roman"/>
          <w:lang w:val="pl-PL"/>
        </w:rPr>
      </w:pPr>
    </w:p>
    <w:tbl>
      <w:tblPr>
        <w:tblW w:w="8971" w:type="dxa"/>
        <w:jc w:val="center"/>
        <w:tblCellMar>
          <w:left w:w="0" w:type="dxa"/>
          <w:right w:w="0" w:type="dxa"/>
        </w:tblCellMar>
        <w:tblLook w:val="04A0" w:firstRow="1" w:lastRow="0" w:firstColumn="1" w:lastColumn="0" w:noHBand="0" w:noVBand="1"/>
      </w:tblPr>
      <w:tblGrid>
        <w:gridCol w:w="3643"/>
        <w:gridCol w:w="2898"/>
        <w:gridCol w:w="2430"/>
      </w:tblGrid>
      <w:tr w:rsidR="006E70B5" w:rsidRPr="00A5286D" w14:paraId="2708F32B" w14:textId="77777777" w:rsidTr="00CC4159">
        <w:trPr>
          <w:trHeight w:val="60"/>
          <w:jc w:val="center"/>
        </w:trPr>
        <w:tc>
          <w:tcPr>
            <w:tcW w:w="8971" w:type="dxa"/>
            <w:gridSpan w:val="3"/>
            <w:tcBorders>
              <w:bottom w:val="single" w:sz="4" w:space="0" w:color="auto"/>
            </w:tcBorders>
            <w:tcMar>
              <w:top w:w="0" w:type="dxa"/>
              <w:left w:w="108" w:type="dxa"/>
              <w:bottom w:w="0" w:type="dxa"/>
              <w:right w:w="108" w:type="dxa"/>
            </w:tcMar>
          </w:tcPr>
          <w:p w14:paraId="444B2829" w14:textId="77777777" w:rsidR="006E70B5" w:rsidRPr="008F328C" w:rsidRDefault="006E70B5" w:rsidP="0008144B">
            <w:pPr>
              <w:keepNext/>
              <w:jc w:val="center"/>
              <w:rPr>
                <w:rFonts w:ascii="Times New Roman" w:hAnsi="Times New Roman" w:cs="Times New Roman"/>
                <w:b/>
                <w:lang w:val="pl-PL"/>
              </w:rPr>
            </w:pPr>
            <w:r w:rsidRPr="008F328C">
              <w:rPr>
                <w:rFonts w:ascii="Times New Roman" w:hAnsi="Times New Roman" w:cs="Times New Roman"/>
                <w:b/>
                <w:lang w:val="pl-PL"/>
              </w:rPr>
              <w:t>Tabela 33 Wyniki dotyczące eksploracyjnych punktów końcowych wg PUCAI</w:t>
            </w:r>
          </w:p>
          <w:p w14:paraId="11D15725" w14:textId="32ECDF9C" w:rsidR="00CC4159" w:rsidRPr="008F328C" w:rsidRDefault="00CC4159" w:rsidP="0008144B">
            <w:pPr>
              <w:keepNext/>
              <w:jc w:val="center"/>
              <w:rPr>
                <w:rFonts w:ascii="Times New Roman" w:hAnsi="Times New Roman" w:cs="Times New Roman"/>
                <w:b/>
                <w:bCs/>
                <w:lang w:val="pl-PL"/>
              </w:rPr>
            </w:pPr>
          </w:p>
        </w:tc>
      </w:tr>
      <w:tr w:rsidR="006E70B5" w:rsidRPr="008F328C" w14:paraId="7BBFA985" w14:textId="77777777" w:rsidTr="00CC4159">
        <w:trPr>
          <w:trHeight w:val="265"/>
          <w:jc w:val="center"/>
        </w:trPr>
        <w:tc>
          <w:tcPr>
            <w:tcW w:w="364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659276" w14:textId="77777777" w:rsidR="006E70B5" w:rsidRPr="008F328C" w:rsidRDefault="006E70B5" w:rsidP="0008144B">
            <w:pPr>
              <w:keepNext/>
              <w:rPr>
                <w:rFonts w:ascii="Times New Roman" w:hAnsi="Times New Roman" w:cs="Times New Roman"/>
                <w:lang w:val="pl-PL"/>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B08A8A" w14:textId="6A990A38" w:rsidR="006E70B5" w:rsidRPr="008F328C" w:rsidRDefault="006E70B5" w:rsidP="0008144B">
            <w:pPr>
              <w:keepNext/>
              <w:jc w:val="center"/>
              <w:rPr>
                <w:rFonts w:ascii="Times New Roman" w:hAnsi="Times New Roman" w:cs="Times New Roman"/>
                <w:b/>
                <w:bCs/>
                <w:lang w:val="pl-PL"/>
              </w:rPr>
            </w:pPr>
            <w:r w:rsidRPr="008F328C">
              <w:rPr>
                <w:rFonts w:ascii="Times New Roman" w:hAnsi="Times New Roman" w:cs="Times New Roman"/>
                <w:b/>
                <w:lang w:val="pl-PL"/>
              </w:rPr>
              <w:t>8. tydzień</w:t>
            </w:r>
          </w:p>
        </w:tc>
      </w:tr>
      <w:tr w:rsidR="006E70B5" w:rsidRPr="008F328C" w14:paraId="1844A585" w14:textId="77777777" w:rsidTr="00CC4159">
        <w:trPr>
          <w:trHeight w:val="1042"/>
          <w:jc w:val="center"/>
        </w:trPr>
        <w:tc>
          <w:tcPr>
            <w:tcW w:w="364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747E9" w14:textId="77777777" w:rsidR="006E70B5" w:rsidRPr="008F328C" w:rsidRDefault="006E70B5" w:rsidP="0008144B">
            <w:pPr>
              <w:keepNext/>
              <w:rPr>
                <w:rFonts w:ascii="Times New Roman" w:hAnsi="Times New Roman" w:cs="Times New Roman"/>
                <w:lang w:val="pl-PL"/>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EE5B09" w14:textId="0E478B09" w:rsidR="006E70B5" w:rsidRPr="008F328C" w:rsidRDefault="006E70B5" w:rsidP="0008144B">
            <w:pPr>
              <w:keepNext/>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a</w:t>
            </w:r>
          </w:p>
          <w:p w14:paraId="2E273440" w14:textId="42E5E466" w:rsidR="006E70B5" w:rsidRPr="008F328C" w:rsidRDefault="006E70B5" w:rsidP="0008144B">
            <w:pPr>
              <w:keepNext/>
              <w:jc w:val="center"/>
              <w:rPr>
                <w:rFonts w:ascii="Times New Roman" w:hAnsi="Times New Roman" w:cs="Times New Roman"/>
                <w:b/>
                <w:bCs/>
                <w:lang w:val="pl-PL"/>
              </w:rPr>
            </w:pPr>
            <w:r w:rsidRPr="008F328C">
              <w:rPr>
                <w:rFonts w:ascii="Times New Roman" w:hAnsi="Times New Roman" w:cs="Times New Roman"/>
                <w:b/>
                <w:lang w:val="pl-PL"/>
              </w:rPr>
              <w:t>Maksymalnie 160 mg w 0. tygodniu / placebo w 1. tygodniu</w:t>
            </w:r>
          </w:p>
          <w:p w14:paraId="310C4CC6"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EA1362" w14:textId="62E67BA8" w:rsidR="006E70B5" w:rsidRPr="008F328C" w:rsidRDefault="00260D7E" w:rsidP="0008144B">
            <w:pPr>
              <w:keepNext/>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006E70B5" w:rsidRPr="008F328C">
              <w:rPr>
                <w:rFonts w:ascii="Times New Roman" w:hAnsi="Times New Roman" w:cs="Times New Roman"/>
                <w:b/>
                <w:vertAlign w:val="superscript"/>
                <w:lang w:val="pl-PL"/>
              </w:rPr>
              <w:t>b,c</w:t>
            </w:r>
          </w:p>
          <w:p w14:paraId="11F66D12" w14:textId="63BD2B1D" w:rsidR="006E70B5" w:rsidRPr="008F328C" w:rsidRDefault="006E70B5" w:rsidP="0008144B">
            <w:pPr>
              <w:keepNext/>
              <w:jc w:val="center"/>
              <w:rPr>
                <w:rFonts w:ascii="Times New Roman" w:hAnsi="Times New Roman" w:cs="Times New Roman"/>
                <w:b/>
                <w:bCs/>
                <w:lang w:val="pl-PL"/>
              </w:rPr>
            </w:pPr>
            <w:r w:rsidRPr="008F328C">
              <w:rPr>
                <w:rFonts w:ascii="Times New Roman" w:hAnsi="Times New Roman" w:cs="Times New Roman"/>
                <w:b/>
                <w:lang w:val="pl-PL"/>
              </w:rPr>
              <w:t>Maksymalnie 160 mg w 0. i 1. tygodniu</w:t>
            </w:r>
          </w:p>
          <w:p w14:paraId="35C3168B"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N=47</w:t>
            </w:r>
          </w:p>
        </w:tc>
      </w:tr>
      <w:tr w:rsidR="006E70B5" w:rsidRPr="008F328C" w14:paraId="7C4F0C54" w14:textId="77777777" w:rsidTr="00CC4159">
        <w:trPr>
          <w:trHeight w:val="202"/>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8E9CAF" w14:textId="77777777" w:rsidR="006E70B5" w:rsidRPr="008F328C" w:rsidRDefault="006E70B5" w:rsidP="0008144B">
            <w:pPr>
              <w:keepNext/>
              <w:rPr>
                <w:rFonts w:ascii="Times New Roman" w:hAnsi="Times New Roman" w:cs="Times New Roman"/>
                <w:lang w:val="pl-PL"/>
              </w:rPr>
            </w:pPr>
            <w:r w:rsidRPr="008F328C">
              <w:rPr>
                <w:rFonts w:ascii="Times New Roman" w:hAnsi="Times New Roman" w:cs="Times New Roman"/>
                <w:lang w:val="pl-PL"/>
              </w:rPr>
              <w:t>Remisja kliniczna wg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1DB659"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E946D4"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22/47 (46,8%)</w:t>
            </w:r>
          </w:p>
        </w:tc>
      </w:tr>
      <w:tr w:rsidR="006E70B5" w:rsidRPr="008F328C" w14:paraId="3BCD50AB" w14:textId="77777777" w:rsidTr="00CC4159">
        <w:trPr>
          <w:trHeight w:val="238"/>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98E022" w14:textId="77777777" w:rsidR="006E70B5" w:rsidRPr="008F328C" w:rsidRDefault="006E70B5" w:rsidP="0008144B">
            <w:pPr>
              <w:keepNext/>
              <w:rPr>
                <w:rFonts w:ascii="Times New Roman" w:hAnsi="Times New Roman" w:cs="Times New Roman"/>
                <w:lang w:val="pl-PL"/>
              </w:rPr>
            </w:pPr>
            <w:r w:rsidRPr="008F328C">
              <w:rPr>
                <w:rFonts w:ascii="Times New Roman" w:hAnsi="Times New Roman" w:cs="Times New Roman"/>
                <w:lang w:val="pl-PL"/>
              </w:rPr>
              <w:t>Odpowiedź kliniczna wg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DB6EAA"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B314267" w14:textId="77777777" w:rsidR="006E70B5" w:rsidRPr="008F328C" w:rsidRDefault="006E70B5" w:rsidP="0008144B">
            <w:pPr>
              <w:keepNext/>
              <w:jc w:val="center"/>
              <w:rPr>
                <w:rFonts w:ascii="Times New Roman" w:hAnsi="Times New Roman" w:cs="Times New Roman"/>
                <w:lang w:val="pl-PL"/>
              </w:rPr>
            </w:pPr>
            <w:r w:rsidRPr="008F328C">
              <w:rPr>
                <w:rFonts w:ascii="Times New Roman" w:hAnsi="Times New Roman" w:cs="Times New Roman"/>
                <w:lang w:val="pl-PL"/>
              </w:rPr>
              <w:t>32/47 (68,1%)</w:t>
            </w:r>
          </w:p>
        </w:tc>
      </w:tr>
      <w:tr w:rsidR="006E70B5" w:rsidRPr="008F328C" w14:paraId="337D302F" w14:textId="77777777" w:rsidTr="00CC4159">
        <w:trPr>
          <w:trHeight w:val="238"/>
          <w:jc w:val="center"/>
        </w:trPr>
        <w:tc>
          <w:tcPr>
            <w:tcW w:w="364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C9580" w14:textId="77777777" w:rsidR="006E70B5" w:rsidRPr="008F328C" w:rsidRDefault="006E70B5" w:rsidP="00012556">
            <w:pPr>
              <w:rPr>
                <w:rFonts w:ascii="Times New Roman" w:hAnsi="Times New Roman" w:cs="Times New Roman"/>
                <w:lang w:val="pl-PL"/>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20201F" w14:textId="77777777" w:rsidR="006E70B5" w:rsidRPr="008F328C" w:rsidRDefault="006E70B5" w:rsidP="00012556">
            <w:pPr>
              <w:jc w:val="center"/>
              <w:rPr>
                <w:rFonts w:ascii="Times New Roman" w:hAnsi="Times New Roman" w:cs="Times New Roman"/>
                <w:b/>
                <w:bCs/>
                <w:lang w:val="pl-PL"/>
              </w:rPr>
            </w:pPr>
            <w:r w:rsidRPr="008F328C">
              <w:rPr>
                <w:rFonts w:ascii="Times New Roman" w:hAnsi="Times New Roman" w:cs="Times New Roman"/>
                <w:b/>
                <w:lang w:val="pl-PL"/>
              </w:rPr>
              <w:t>52. tydzień</w:t>
            </w:r>
          </w:p>
        </w:tc>
      </w:tr>
      <w:tr w:rsidR="006E70B5" w:rsidRPr="00FE49E6" w14:paraId="0ABFEDAF" w14:textId="77777777" w:rsidTr="00CC4159">
        <w:trPr>
          <w:trHeight w:val="238"/>
          <w:jc w:val="center"/>
        </w:trPr>
        <w:tc>
          <w:tcPr>
            <w:tcW w:w="364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AE5CA1" w14:textId="77777777" w:rsidR="006E70B5" w:rsidRPr="008F328C" w:rsidRDefault="006E70B5" w:rsidP="00012556">
            <w:pPr>
              <w:rPr>
                <w:rFonts w:ascii="Times New Roman" w:hAnsi="Times New Roman" w:cs="Times New Roman"/>
                <w:lang w:val="pl-PL"/>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24795D" w14:textId="413BB70B" w:rsidR="006E70B5" w:rsidRPr="008F328C" w:rsidRDefault="006E70B5" w:rsidP="00012556">
            <w:pPr>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d</w:t>
            </w:r>
          </w:p>
          <w:p w14:paraId="62509556" w14:textId="7FD2C5E5" w:rsidR="006E70B5" w:rsidRPr="008F328C" w:rsidRDefault="006E70B5" w:rsidP="00012556">
            <w:pPr>
              <w:jc w:val="center"/>
              <w:rPr>
                <w:rFonts w:ascii="Times New Roman" w:hAnsi="Times New Roman" w:cs="Times New Roman"/>
                <w:b/>
                <w:bCs/>
                <w:lang w:val="pl-PL"/>
              </w:rPr>
            </w:pPr>
            <w:r w:rsidRPr="008F328C">
              <w:rPr>
                <w:rFonts w:ascii="Times New Roman" w:hAnsi="Times New Roman" w:cs="Times New Roman"/>
                <w:b/>
                <w:lang w:val="pl-PL"/>
              </w:rPr>
              <w:t>Maksymalnie 40 mg co drugi tydzień</w:t>
            </w:r>
          </w:p>
          <w:p w14:paraId="487DF90E"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N=31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C86EBF" w14:textId="6AB287F0" w:rsidR="006E70B5" w:rsidRPr="008F328C" w:rsidRDefault="00260D7E" w:rsidP="00012556">
            <w:pPr>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006E70B5" w:rsidRPr="008F328C">
              <w:rPr>
                <w:rFonts w:ascii="Times New Roman" w:hAnsi="Times New Roman" w:cs="Times New Roman"/>
                <w:b/>
                <w:vertAlign w:val="superscript"/>
                <w:lang w:val="pl-PL"/>
              </w:rPr>
              <w:t>e</w:t>
            </w:r>
          </w:p>
          <w:p w14:paraId="5B4D5500" w14:textId="6CF42D30" w:rsidR="006E70B5" w:rsidRPr="008F328C" w:rsidRDefault="006E70B5" w:rsidP="00012556">
            <w:pPr>
              <w:jc w:val="center"/>
              <w:rPr>
                <w:rFonts w:ascii="Times New Roman" w:hAnsi="Times New Roman" w:cs="Times New Roman"/>
                <w:b/>
                <w:bCs/>
                <w:lang w:val="pl-PL"/>
              </w:rPr>
            </w:pPr>
            <w:r w:rsidRPr="008F328C">
              <w:rPr>
                <w:rFonts w:ascii="Times New Roman" w:hAnsi="Times New Roman" w:cs="Times New Roman"/>
                <w:b/>
                <w:lang w:val="pl-PL"/>
              </w:rPr>
              <w:t>Maksymalnie 40 mg co tydzień</w:t>
            </w:r>
          </w:p>
          <w:p w14:paraId="40C2C302"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N=31</w:t>
            </w:r>
          </w:p>
        </w:tc>
      </w:tr>
      <w:tr w:rsidR="006E70B5" w:rsidRPr="008F328C" w14:paraId="3B855C7D" w14:textId="77777777" w:rsidTr="00CC4159">
        <w:trPr>
          <w:trHeight w:val="238"/>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0E10C5" w14:textId="63DE0B0F" w:rsidR="006E70B5" w:rsidRPr="008F328C" w:rsidRDefault="006E70B5" w:rsidP="00012556">
            <w:pPr>
              <w:rPr>
                <w:rFonts w:ascii="Times New Roman" w:hAnsi="Times New Roman" w:cs="Times New Roman"/>
                <w:lang w:val="pl-PL"/>
              </w:rPr>
            </w:pPr>
            <w:r w:rsidRPr="008F328C">
              <w:rPr>
                <w:rFonts w:ascii="Times New Roman" w:hAnsi="Times New Roman" w:cs="Times New Roman"/>
                <w:lang w:val="pl-PL"/>
              </w:rPr>
              <w:t>Remisja kliniczna wg PUCAI u pacjentów wykazujących odpowiedź w PMS w 8. tygodniu</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A5FFE7"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14/31 (45,2%)</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570C73"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18/31 (58,1%)</w:t>
            </w:r>
          </w:p>
        </w:tc>
      </w:tr>
      <w:tr w:rsidR="006E70B5" w:rsidRPr="008F328C" w14:paraId="6E8F64C8" w14:textId="77777777" w:rsidTr="00CC4159">
        <w:trPr>
          <w:trHeight w:val="238"/>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39F08B" w14:textId="17789B47" w:rsidR="006E70B5" w:rsidRPr="008F328C" w:rsidRDefault="006E70B5" w:rsidP="00012556">
            <w:pPr>
              <w:rPr>
                <w:rFonts w:ascii="Times New Roman" w:hAnsi="Times New Roman" w:cs="Times New Roman"/>
                <w:lang w:val="pl-PL"/>
              </w:rPr>
            </w:pPr>
            <w:r w:rsidRPr="008F328C">
              <w:rPr>
                <w:rFonts w:ascii="Times New Roman" w:hAnsi="Times New Roman" w:cs="Times New Roman"/>
                <w:lang w:val="pl-PL"/>
              </w:rPr>
              <w:t>Odpowiedź kliniczna wg PUCAI u pacjentów wykazujących odpowiedź w PMS w 8. tygodniu</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CDC2C2"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18/31 (58,1%)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B58A82" w14:textId="77777777" w:rsidR="006E70B5" w:rsidRPr="008F328C" w:rsidRDefault="006E70B5" w:rsidP="00012556">
            <w:pPr>
              <w:jc w:val="center"/>
              <w:rPr>
                <w:rFonts w:ascii="Times New Roman" w:hAnsi="Times New Roman" w:cs="Times New Roman"/>
                <w:lang w:val="pl-PL"/>
              </w:rPr>
            </w:pPr>
            <w:r w:rsidRPr="008F328C">
              <w:rPr>
                <w:rFonts w:ascii="Times New Roman" w:hAnsi="Times New Roman" w:cs="Times New Roman"/>
                <w:lang w:val="pl-PL"/>
              </w:rPr>
              <w:t>16/31 (51,6%)</w:t>
            </w:r>
          </w:p>
        </w:tc>
      </w:tr>
      <w:tr w:rsidR="006E70B5" w:rsidRPr="00A5286D" w14:paraId="74F905E5" w14:textId="77777777" w:rsidTr="00CC4159">
        <w:trPr>
          <w:trHeight w:val="533"/>
          <w:jc w:val="center"/>
        </w:trPr>
        <w:tc>
          <w:tcPr>
            <w:tcW w:w="8971"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1A3868" w14:textId="413C5D4D" w:rsidR="006E70B5" w:rsidRPr="008F328C" w:rsidRDefault="006E70B5" w:rsidP="00012556">
            <w:pPr>
              <w:rPr>
                <w:rStyle w:val="eop"/>
                <w:rFonts w:ascii="Times New Roman" w:hAnsi="Times New Roman" w:cs="Times New Roman"/>
                <w:lang w:val="pl-PL"/>
              </w:rPr>
            </w:pPr>
            <w:r w:rsidRPr="008F328C">
              <w:rPr>
                <w:rFonts w:ascii="Times New Roman" w:hAnsi="Times New Roman" w:cs="Times New Roman"/>
                <w:vertAlign w:val="superscript"/>
                <w:lang w:val="pl-PL"/>
              </w:rPr>
              <w:t xml:space="preserve">a  </w:t>
            </w:r>
            <w:r w:rsidRPr="008F328C">
              <w:rPr>
                <w:rStyle w:val="normaltextrun"/>
                <w:rFonts w:ascii="Times New Roman" w:hAnsi="Times New Roman" w:cs="Times New Roman"/>
                <w:lang w:val="pl-PL"/>
              </w:rPr>
              <w:t>Adalimumab w dawce 2,4 mg/kg (maksymalnie 160 mg) w 0. tygodniu, placebo w 1. tygodniu i adalimumab w dawce 1,2 mg/kg (maksymalnie 80 mg) w 2</w:t>
            </w:r>
            <w:r w:rsidRPr="008F328C">
              <w:rPr>
                <w:rFonts w:ascii="Times New Roman" w:hAnsi="Times New Roman" w:cs="Times New Roman"/>
                <w:lang w:val="pl-PL"/>
              </w:rPr>
              <w:t>. tygodniu.</w:t>
            </w:r>
            <w:r w:rsidRPr="008F328C">
              <w:rPr>
                <w:rStyle w:val="eop"/>
                <w:rFonts w:ascii="Times New Roman" w:hAnsi="Times New Roman" w:cs="Times New Roman"/>
                <w:lang w:val="pl-PL"/>
              </w:rPr>
              <w:t> </w:t>
            </w:r>
          </w:p>
          <w:p w14:paraId="1EF2A90D" w14:textId="0277D236" w:rsidR="006E70B5" w:rsidRPr="008F328C" w:rsidRDefault="006E70B5" w:rsidP="00012556">
            <w:pPr>
              <w:pStyle w:val="paragraph"/>
              <w:spacing w:before="0" w:beforeAutospacing="0" w:after="0" w:afterAutospacing="0"/>
              <w:textAlignment w:val="baseline"/>
              <w:rPr>
                <w:rStyle w:val="eop"/>
                <w:sz w:val="22"/>
                <w:szCs w:val="22"/>
                <w:lang w:val="pl-PL"/>
              </w:rPr>
            </w:pPr>
            <w:r w:rsidRPr="008F328C">
              <w:rPr>
                <w:rStyle w:val="normaltextrun"/>
                <w:sz w:val="22"/>
                <w:vertAlign w:val="superscript"/>
                <w:lang w:val="pl-PL"/>
              </w:rPr>
              <w:t>b </w:t>
            </w:r>
            <w:r w:rsidRPr="008F328C">
              <w:rPr>
                <w:rStyle w:val="normaltextrun"/>
                <w:sz w:val="22"/>
                <w:lang w:val="pl-PL"/>
              </w:rPr>
              <w:t xml:space="preserve"> Adalimumab w dawce 2,4 mg/kg (maksymalnie 160 mg) w 0. i 1. tygodniu i w dawce 1,2 mg/kg (maksymalnie 80 mg) w 2</w:t>
            </w:r>
            <w:r w:rsidRPr="008F328C">
              <w:rPr>
                <w:sz w:val="22"/>
                <w:lang w:val="pl-PL"/>
              </w:rPr>
              <w:t>. tygodniu.</w:t>
            </w:r>
            <w:r w:rsidRPr="008F328C">
              <w:rPr>
                <w:rStyle w:val="eop"/>
                <w:sz w:val="22"/>
                <w:lang w:val="pl-PL"/>
              </w:rPr>
              <w:t> </w:t>
            </w:r>
          </w:p>
          <w:p w14:paraId="5E4C2532" w14:textId="052A3A14" w:rsidR="006E70B5" w:rsidRPr="008F328C" w:rsidRDefault="006E70B5" w:rsidP="00012556">
            <w:pPr>
              <w:pStyle w:val="paragraph"/>
              <w:spacing w:before="0" w:beforeAutospacing="0" w:after="0" w:afterAutospacing="0"/>
              <w:textAlignment w:val="baseline"/>
              <w:rPr>
                <w:rStyle w:val="normaltextrun"/>
                <w:sz w:val="22"/>
                <w:szCs w:val="22"/>
                <w:lang w:val="pl-PL"/>
              </w:rPr>
            </w:pPr>
            <w:r w:rsidRPr="008F328C">
              <w:rPr>
                <w:rStyle w:val="normaltextrun"/>
                <w:sz w:val="22"/>
                <w:vertAlign w:val="superscript"/>
                <w:lang w:val="pl-PL"/>
              </w:rPr>
              <w:lastRenderedPageBreak/>
              <w:t xml:space="preserve">c  </w:t>
            </w:r>
            <w:r w:rsidRPr="008F328C">
              <w:rPr>
                <w:rStyle w:val="normaltextrun"/>
                <w:sz w:val="22"/>
                <w:lang w:val="pl-PL"/>
              </w:rPr>
              <w:t>Nie obejmuje dawki indukcyjnej produktu adalimumab podawanej metodą otwartej próby wynoszącej 2,4 mg/kg (maksymalnie 160 mg) w 0. i 1. tygodniu oraz 1,2 mg/kg (maksymalnie 80 mg) w 2. tygodniu.</w:t>
            </w:r>
          </w:p>
          <w:p w14:paraId="2A3BE853" w14:textId="77595BFA"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d </w:t>
            </w:r>
            <w:r w:rsidRPr="008F328C">
              <w:rPr>
                <w:sz w:val="22"/>
                <w:lang w:val="pl-PL"/>
              </w:rPr>
              <w:t xml:space="preserve"> Adalimumab w dawce 0,6 mg/kg (maksymalnie 40 mg) co drugi tydzień.</w:t>
            </w:r>
          </w:p>
          <w:p w14:paraId="574C86FA" w14:textId="08EF0DC3" w:rsidR="006E70B5" w:rsidRPr="008F328C" w:rsidRDefault="006E70B5" w:rsidP="00012556">
            <w:pPr>
              <w:rPr>
                <w:rFonts w:ascii="Times New Roman" w:hAnsi="Times New Roman" w:cs="Times New Roman"/>
                <w:lang w:val="pl-PL"/>
              </w:rPr>
            </w:pPr>
            <w:r w:rsidRPr="008F328C">
              <w:rPr>
                <w:rFonts w:ascii="Times New Roman" w:hAnsi="Times New Roman" w:cs="Times New Roman"/>
                <w:vertAlign w:val="superscript"/>
                <w:lang w:val="pl-PL"/>
              </w:rPr>
              <w:t>e </w:t>
            </w:r>
            <w:r w:rsidRPr="008F328C">
              <w:rPr>
                <w:rFonts w:ascii="Times New Roman" w:hAnsi="Times New Roman" w:cs="Times New Roman"/>
                <w:lang w:val="pl-PL"/>
              </w:rPr>
              <w:t xml:space="preserve"> Adalimumab w dawce 0,6 mg/kg (maksymalnie 40 mg) co tydzień.</w:t>
            </w:r>
          </w:p>
          <w:p w14:paraId="2DE301F5" w14:textId="700A8D43"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normaltextrun"/>
                <w:sz w:val="22"/>
                <w:lang w:val="pl-PL"/>
              </w:rPr>
              <w:t>Uwaga 1: Obie grupy leczenia indukcyjnego otrzymywały 0,6 mg/kg (maksymalnie 40 mg) w 4. i 6. tygodniu.</w:t>
            </w:r>
            <w:r w:rsidRPr="008F328C">
              <w:rPr>
                <w:rStyle w:val="eop"/>
                <w:sz w:val="22"/>
                <w:lang w:val="pl-PL"/>
              </w:rPr>
              <w:t> </w:t>
            </w:r>
          </w:p>
          <w:p w14:paraId="78CEE55F" w14:textId="4D93B99C" w:rsidR="006E70B5" w:rsidRPr="008F328C" w:rsidRDefault="006E70B5" w:rsidP="00012556">
            <w:pPr>
              <w:pStyle w:val="paragraph"/>
              <w:spacing w:before="0" w:beforeAutospacing="0" w:after="0" w:afterAutospacing="0"/>
              <w:textAlignment w:val="baseline"/>
              <w:rPr>
                <w:rStyle w:val="eop"/>
                <w:sz w:val="22"/>
                <w:szCs w:val="22"/>
                <w:lang w:val="pl-PL"/>
              </w:rPr>
            </w:pPr>
            <w:r w:rsidRPr="008F328C">
              <w:rPr>
                <w:rStyle w:val="normaltextrun"/>
                <w:sz w:val="22"/>
                <w:lang w:val="pl-PL"/>
              </w:rPr>
              <w:t>Uwaga 2: Uznano, że pacjenci, dla których brak było danych liczbowych w 8. tygodniu, nie osiągnęli punktu końcowego.</w:t>
            </w:r>
            <w:r w:rsidRPr="008F328C">
              <w:rPr>
                <w:rStyle w:val="eop"/>
                <w:sz w:val="22"/>
                <w:lang w:val="pl-PL"/>
              </w:rPr>
              <w:t> </w:t>
            </w:r>
          </w:p>
          <w:p w14:paraId="344277C1" w14:textId="3099FED4" w:rsidR="006E70B5" w:rsidRPr="008F328C" w:rsidRDefault="006E70B5" w:rsidP="00012556">
            <w:pPr>
              <w:pStyle w:val="paragraph"/>
              <w:spacing w:before="0" w:beforeAutospacing="0" w:after="0" w:afterAutospacing="0"/>
              <w:textAlignment w:val="baseline"/>
              <w:rPr>
                <w:sz w:val="22"/>
                <w:szCs w:val="22"/>
                <w:lang w:val="pl-PL"/>
              </w:rPr>
            </w:pPr>
            <w:r w:rsidRPr="008F328C">
              <w:rPr>
                <w:rStyle w:val="eop"/>
                <w:sz w:val="22"/>
                <w:szCs w:val="22"/>
                <w:lang w:val="pl-PL"/>
              </w:rPr>
              <w:t xml:space="preserve">Uwaga 3: </w:t>
            </w:r>
            <w:r w:rsidRPr="008F328C">
              <w:rPr>
                <w:sz w:val="22"/>
                <w:szCs w:val="22"/>
                <w:lang w:val="pl-PL"/>
              </w:rPr>
              <w:t>Pacjentów, dla których brak było danych liczbowych w 52. tygodniu lub których przydzielono losowo do leczenia reindukcyjnego lub podtrzymującego, uznano za nieodpowiadających na leczenie zgodnie z punktami końcowymi badania w 52. tygodniu.</w:t>
            </w:r>
          </w:p>
        </w:tc>
      </w:tr>
    </w:tbl>
    <w:p w14:paraId="106419C8" w14:textId="77777777" w:rsidR="006E70B5" w:rsidRPr="008F328C" w:rsidRDefault="006E70B5" w:rsidP="006E70B5">
      <w:pPr>
        <w:rPr>
          <w:rFonts w:ascii="Times New Roman" w:hAnsi="Times New Roman" w:cs="Times New Roman"/>
          <w:lang w:val="pl-PL"/>
        </w:rPr>
      </w:pPr>
    </w:p>
    <w:p w14:paraId="6B3DBD3C" w14:textId="62008C14"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Dwóch na sześciu pacjentów (33%) leczonych produktem adalimumab, którzy otrzymali leczenie reindukcyjne w trakcie leczenia podtrzymującego, osiągnęło odpowiedź kliniczną wg FMS w 52. tygodniu.</w:t>
      </w:r>
    </w:p>
    <w:p w14:paraId="3A918DC0" w14:textId="77777777" w:rsidR="006E70B5" w:rsidRPr="008F328C" w:rsidRDefault="006E70B5" w:rsidP="006E70B5">
      <w:pPr>
        <w:rPr>
          <w:rFonts w:ascii="Times New Roman" w:hAnsi="Times New Roman" w:cs="Times New Roman"/>
          <w:lang w:val="pl-PL"/>
        </w:rPr>
      </w:pPr>
    </w:p>
    <w:p w14:paraId="7CF7C867" w14:textId="77777777" w:rsidR="006E70B5" w:rsidRPr="008F328C" w:rsidRDefault="006E70B5" w:rsidP="006E70B5">
      <w:pPr>
        <w:keepNext/>
        <w:rPr>
          <w:rFonts w:ascii="Times New Roman" w:hAnsi="Times New Roman" w:cs="Times New Roman"/>
          <w:bCs/>
          <w:i/>
          <w:u w:val="single"/>
          <w:lang w:val="pl-PL"/>
        </w:rPr>
      </w:pPr>
      <w:r w:rsidRPr="008F328C">
        <w:rPr>
          <w:rFonts w:ascii="Times New Roman" w:hAnsi="Times New Roman" w:cs="Times New Roman"/>
          <w:i/>
          <w:u w:val="single"/>
          <w:lang w:val="pl-PL"/>
        </w:rPr>
        <w:t>Jakość życia</w:t>
      </w:r>
    </w:p>
    <w:p w14:paraId="48D00676" w14:textId="77777777" w:rsidR="006E70B5" w:rsidRPr="008F328C" w:rsidRDefault="006E70B5" w:rsidP="006E70B5">
      <w:pPr>
        <w:keepNext/>
        <w:rPr>
          <w:rFonts w:ascii="Times New Roman" w:hAnsi="Times New Roman" w:cs="Times New Roman"/>
          <w:bCs/>
          <w:i/>
          <w:lang w:val="pl-PL"/>
        </w:rPr>
      </w:pPr>
    </w:p>
    <w:p w14:paraId="6F94BE32" w14:textId="0B9716A5" w:rsidR="006E70B5" w:rsidRPr="008F328C" w:rsidRDefault="006E70B5" w:rsidP="006E70B5">
      <w:pPr>
        <w:keepNext/>
        <w:rPr>
          <w:rFonts w:ascii="Times New Roman" w:hAnsi="Times New Roman" w:cs="Times New Roman"/>
          <w:lang w:val="pl-PL"/>
        </w:rPr>
      </w:pPr>
      <w:r w:rsidRPr="008F328C">
        <w:rPr>
          <w:rFonts w:ascii="Times New Roman" w:hAnsi="Times New Roman" w:cs="Times New Roman"/>
          <w:lang w:val="pl-PL"/>
        </w:rPr>
        <w:t xml:space="preserve">W grupach leczonych produktem adalimumab zaobserwowano znaczącą klinicznie poprawę w stosunku do wartości wyjściowej w zakresie oceny punktowej wg kwestionariusza IMPACT III oraz kwestionariusza pogorszenia wydajności pracy i aktywności życiowej (ang. </w:t>
      </w:r>
      <w:r w:rsidRPr="008F328C">
        <w:rPr>
          <w:rFonts w:ascii="Times New Roman" w:hAnsi="Times New Roman" w:cs="Times New Roman"/>
          <w:i/>
          <w:iCs/>
          <w:lang w:val="pl-PL"/>
        </w:rPr>
        <w:t>Work Productivity and Activity Impairment</w:t>
      </w:r>
      <w:r w:rsidRPr="008F328C">
        <w:rPr>
          <w:rFonts w:ascii="Times New Roman" w:hAnsi="Times New Roman" w:cs="Times New Roman"/>
          <w:lang w:val="pl-PL"/>
        </w:rPr>
        <w:t xml:space="preserve">, WPAI) dotyczącej opiekuna. </w:t>
      </w:r>
    </w:p>
    <w:p w14:paraId="3851827E" w14:textId="77777777" w:rsidR="006E70B5" w:rsidRPr="008F328C" w:rsidRDefault="006E70B5" w:rsidP="006E70B5">
      <w:pPr>
        <w:keepNext/>
        <w:rPr>
          <w:rFonts w:ascii="Times New Roman" w:hAnsi="Times New Roman" w:cs="Times New Roman"/>
          <w:lang w:val="pl-PL"/>
        </w:rPr>
      </w:pPr>
    </w:p>
    <w:p w14:paraId="2A07FF34" w14:textId="77777777" w:rsidR="006E70B5" w:rsidRPr="008F328C" w:rsidRDefault="006E70B5" w:rsidP="006E70B5">
      <w:pPr>
        <w:rPr>
          <w:rFonts w:ascii="Times New Roman" w:hAnsi="Times New Roman" w:cs="Times New Roman"/>
          <w:lang w:val="pl-PL"/>
        </w:rPr>
      </w:pPr>
      <w:r w:rsidRPr="008F328C">
        <w:rPr>
          <w:rFonts w:ascii="Times New Roman" w:hAnsi="Times New Roman" w:cs="Times New Roman"/>
          <w:lang w:val="pl-PL"/>
        </w:rPr>
        <w:t xml:space="preserve">W grupach leczonych adalimumabem, u pacjentów otrzymujących dużą dawkę podtrzymującą wynoszącą </w:t>
      </w:r>
      <w:r w:rsidRPr="008F328C">
        <w:rPr>
          <w:rStyle w:val="normaltextrun"/>
          <w:rFonts w:ascii="Times New Roman" w:hAnsi="Times New Roman" w:cs="Times New Roman"/>
          <w:lang w:val="pl-PL"/>
        </w:rPr>
        <w:t>maksymalnie</w:t>
      </w:r>
      <w:r w:rsidRPr="008F328C">
        <w:rPr>
          <w:rFonts w:ascii="Times New Roman" w:hAnsi="Times New Roman" w:cs="Times New Roman"/>
          <w:lang w:val="pl-PL"/>
        </w:rPr>
        <w:t xml:space="preserve"> 40 mg (0,6 mg/kg) co tydzień, zaobserwowano znaczące klinicznie zwiększenie (poprawę) szybkości wzrostu oraz wskaźnika masy ciała (BMI) w stosunku do wartości wyjściowej.</w:t>
      </w:r>
    </w:p>
    <w:bookmarkEnd w:id="9"/>
    <w:p w14:paraId="32E0E157" w14:textId="77777777" w:rsidR="006E70B5" w:rsidRPr="008F328C" w:rsidRDefault="006E70B5">
      <w:pPr>
        <w:spacing w:before="16" w:line="240" w:lineRule="exact"/>
        <w:rPr>
          <w:rFonts w:ascii="Times New Roman" w:hAnsi="Times New Roman" w:cs="Times New Roman"/>
          <w:sz w:val="24"/>
          <w:szCs w:val="24"/>
          <w:lang w:val="pl-PL"/>
        </w:rPr>
      </w:pPr>
    </w:p>
    <w:p w14:paraId="62152E60" w14:textId="77777777" w:rsidR="001B7FBF" w:rsidRPr="008F328C" w:rsidRDefault="001B7FBF" w:rsidP="001B7FBF">
      <w:pPr>
        <w:pStyle w:val="a3"/>
        <w:rPr>
          <w:rFonts w:eastAsia="Times New Roman"/>
          <w:lang w:val="pl-PL"/>
        </w:rPr>
      </w:pPr>
      <w:r w:rsidRPr="008F328C">
        <w:rPr>
          <w:rFonts w:eastAsia="Times New Roman"/>
          <w:i/>
          <w:iCs/>
          <w:spacing w:val="-1"/>
          <w:u w:val="single"/>
          <w:lang w:val="pl-PL"/>
        </w:rPr>
        <w:t xml:space="preserve">Zapalenie błony naczyniowej oka u dzieci i młodzieży </w:t>
      </w:r>
    </w:p>
    <w:p w14:paraId="61A112B6" w14:textId="77777777" w:rsidR="001B7FBF" w:rsidRPr="008F328C" w:rsidRDefault="001B7FBF" w:rsidP="001B7FBF">
      <w:pPr>
        <w:pStyle w:val="a3"/>
        <w:rPr>
          <w:sz w:val="24"/>
          <w:szCs w:val="24"/>
          <w:lang w:val="pl-PL"/>
        </w:rPr>
      </w:pPr>
    </w:p>
    <w:p w14:paraId="7B57A7EE" w14:textId="77777777" w:rsidR="001B7FBF" w:rsidRPr="008F328C" w:rsidRDefault="001B7FBF" w:rsidP="001B7FBF">
      <w:pPr>
        <w:pStyle w:val="a3"/>
        <w:rPr>
          <w:lang w:val="pl-PL"/>
        </w:rPr>
      </w:pPr>
      <w:r w:rsidRPr="008F328C">
        <w:rPr>
          <w:rFonts w:eastAsia="Times New Roman"/>
          <w:lang w:val="pl-PL"/>
        </w:rPr>
        <w:t>Bezpieczeństwo stosowania i skuteczność adalimumabu oceniano w randomizowanym, podwójnie zaślepionym, kontrolowanym badaniu klinicznym u 90 pacjentów pediatrycznych w wieku od 2 do &lt; 18 lat z czynnym, związanym z MIZS nieinfekcyjnym zapaleniem przedniego odcinka błony naczyniowej oka, u których nieskuteczne było leczenie metotreksatem przez co najmniej 12 tygodni. Pacjenci otrzymywali placebo lub adalimumab 20 mg (jeśli &lt;30 kg) lub adalimumab 40 mg (jeśli ≥ 30 kg) co drugi tydzień w skojarzeniu z metotreksatem w dawce, jaką otrzymywali przed przystąpieniem do badania.</w:t>
      </w:r>
    </w:p>
    <w:p w14:paraId="6CD2512A" w14:textId="77777777" w:rsidR="001B7FBF" w:rsidRPr="008F328C" w:rsidRDefault="001B7FBF" w:rsidP="001B7FBF">
      <w:pPr>
        <w:pStyle w:val="a3"/>
        <w:rPr>
          <w:lang w:val="pl-PL"/>
        </w:rPr>
      </w:pPr>
      <w:r w:rsidRPr="008F328C">
        <w:rPr>
          <w:rFonts w:eastAsia="Times New Roman"/>
          <w:lang w:val="pl-PL"/>
        </w:rPr>
        <w:t>Pierwszorzędowym punktem końcowym był „czas do niepowodzenia leczenia”. Kryteriami niepowodzenia leczenia były nasilenie lub utrzymujący się brak poprawy zapalenia oka lub częściowa poprawa z wystąpieniem utrzymujących się współistniejących chorób oka lub nasilenie się współistniejących chorób oka, niedozwolone jednoczesne stosowanie leków oraz przerwanie leczenia na dłuższy okres.</w:t>
      </w:r>
    </w:p>
    <w:p w14:paraId="5B80B443" w14:textId="77777777" w:rsidR="001B7FBF" w:rsidRPr="008F328C" w:rsidRDefault="001B7FBF" w:rsidP="001B7FBF">
      <w:pPr>
        <w:pStyle w:val="a3"/>
        <w:rPr>
          <w:sz w:val="24"/>
          <w:szCs w:val="24"/>
          <w:lang w:val="pl-PL"/>
        </w:rPr>
      </w:pPr>
    </w:p>
    <w:p w14:paraId="73905FDA" w14:textId="77777777" w:rsidR="001B7FBF" w:rsidRPr="008F328C" w:rsidRDefault="001B7FBF" w:rsidP="001B7FBF">
      <w:pPr>
        <w:pStyle w:val="a3"/>
        <w:rPr>
          <w:rFonts w:eastAsia="Times New Roman"/>
          <w:u w:val="single"/>
          <w:lang w:val="pl-PL"/>
        </w:rPr>
      </w:pPr>
      <w:r w:rsidRPr="008F328C">
        <w:rPr>
          <w:rFonts w:eastAsia="Times New Roman"/>
          <w:i/>
          <w:iCs/>
          <w:spacing w:val="-1"/>
          <w:u w:val="single" w:color="000000"/>
          <w:lang w:val="pl-PL"/>
        </w:rPr>
        <w:t>Odpowiedź kliniczna</w:t>
      </w:r>
    </w:p>
    <w:p w14:paraId="04BA3585" w14:textId="77777777" w:rsidR="001B7FBF" w:rsidRPr="008F328C" w:rsidRDefault="001B7FBF" w:rsidP="001B7FBF">
      <w:pPr>
        <w:pStyle w:val="a3"/>
        <w:rPr>
          <w:sz w:val="20"/>
          <w:szCs w:val="20"/>
          <w:lang w:val="pl-PL"/>
        </w:rPr>
      </w:pPr>
    </w:p>
    <w:p w14:paraId="76A3E496" w14:textId="77777777" w:rsidR="001B7FBF" w:rsidRPr="008F328C" w:rsidRDefault="001B7FBF" w:rsidP="001B7FBF">
      <w:pPr>
        <w:pStyle w:val="a3"/>
        <w:rPr>
          <w:lang w:val="pl-PL"/>
        </w:rPr>
      </w:pPr>
      <w:r w:rsidRPr="008F328C">
        <w:rPr>
          <w:rFonts w:eastAsia="Times New Roman"/>
          <w:lang w:val="pl-PL"/>
        </w:rPr>
        <w:t>W porównaniu do placebo, adalimumab istotnie wydłużył czas do niepowodzenia leczenia (patrz Rycina 3, p &lt;0,0001 na podstawie testu log-rank). Mediana czasu do niepowodzenia leczenia wynosiła 24,1 tygodnie u uczestników badania otrzymujących placebo, a u uczestników leczonych adalimumabem mediany czasu do niepowodzenia leczenia nie można było oszacować, ponieważ niepowodzenie leczenia wystąpiło u mniej niż połowy tych uczestników badania. Adalimumab istotnie zmniejszył ryzyko niepowodzenia leczenia o 75% w porównaniu do placebo, jak to wykazał współczynnik ryzyka (ang. hazard ratio, HR = 0,25 [95% CI: 0,12, 0,49]).</w:t>
      </w:r>
    </w:p>
    <w:p w14:paraId="08855451" w14:textId="77777777" w:rsidR="001B7FBF" w:rsidRPr="008F328C" w:rsidRDefault="001B7FBF" w:rsidP="001B7FBF">
      <w:pPr>
        <w:spacing w:before="3" w:line="120" w:lineRule="exact"/>
        <w:rPr>
          <w:rFonts w:ascii="Times New Roman" w:hAnsi="Times New Roman" w:cs="Times New Roman"/>
          <w:sz w:val="12"/>
          <w:szCs w:val="12"/>
          <w:lang w:val="pl-PL"/>
        </w:rPr>
      </w:pPr>
    </w:p>
    <w:p w14:paraId="7E006AC8" w14:textId="77777777" w:rsidR="001B7FBF" w:rsidRPr="008F328C" w:rsidRDefault="001B7FBF" w:rsidP="001B7FBF">
      <w:pPr>
        <w:spacing w:line="200" w:lineRule="exact"/>
        <w:rPr>
          <w:rFonts w:ascii="Times New Roman" w:hAnsi="Times New Roman" w:cs="Times New Roman"/>
          <w:sz w:val="20"/>
          <w:szCs w:val="20"/>
          <w:lang w:val="pl-PL"/>
        </w:rPr>
      </w:pPr>
    </w:p>
    <w:p w14:paraId="10345105" w14:textId="77777777" w:rsidR="00CC4159" w:rsidRPr="008F328C" w:rsidRDefault="00CC4159">
      <w:pP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br w:type="page"/>
      </w:r>
    </w:p>
    <w:p w14:paraId="710D862C" w14:textId="3C9DE3AE" w:rsidR="001B7FBF" w:rsidRPr="008F328C" w:rsidRDefault="001B7FBF" w:rsidP="001B7FBF">
      <w:pPr>
        <w:pStyle w:val="a3"/>
        <w:jc w:val="center"/>
        <w:rPr>
          <w:b/>
          <w:lang w:val="pl-PL"/>
        </w:rPr>
      </w:pPr>
      <w:r w:rsidRPr="008F328C">
        <w:rPr>
          <w:rFonts w:eastAsia="Times New Roman"/>
          <w:b/>
          <w:bCs/>
          <w:lang w:val="pl-PL"/>
        </w:rPr>
        <w:lastRenderedPageBreak/>
        <w:t>Rycina 3: Krzywe Kaplana-Meiera przedstawiające czas do niepowodzenia leczenia w badaniu klinicznym w zapaleniu błony naczyniowej oka u dzieci i młodzieży</w:t>
      </w:r>
    </w:p>
    <w:p w14:paraId="2EE12837" w14:textId="77777777" w:rsidR="001B7FBF" w:rsidRPr="008F328C" w:rsidRDefault="001B7FBF" w:rsidP="001B7FBF">
      <w:pPr>
        <w:spacing w:before="16" w:line="240" w:lineRule="exact"/>
        <w:rPr>
          <w:rFonts w:ascii="Times New Roman" w:hAnsi="Times New Roman" w:cs="Times New Roman"/>
          <w:sz w:val="24"/>
          <w:szCs w:val="24"/>
          <w:lang w:val="pl-PL"/>
        </w:rPr>
      </w:pPr>
    </w:p>
    <w:p w14:paraId="0ED0A4EB" w14:textId="75910E20" w:rsidR="001B7FBF" w:rsidRPr="008F328C" w:rsidRDefault="001B7FBF" w:rsidP="001B7FBF">
      <w:pPr>
        <w:ind w:left="687" w:right="10920"/>
        <w:rPr>
          <w:rFonts w:ascii="Times New Roman" w:eastAsia="Times New Roman" w:hAnsi="Times New Roman" w:cs="Times New Roman"/>
          <w:sz w:val="20"/>
          <w:szCs w:val="20"/>
          <w:lang w:val="pl-PL"/>
        </w:rPr>
      </w:pPr>
      <w:r w:rsidRPr="008F328C">
        <w:rPr>
          <w:rFonts w:ascii="Times New Roman" w:eastAsiaTheme="minorHAnsi" w:hAnsi="Times New Roman" w:cs="Times New Roman"/>
          <w:noProof/>
          <w:lang w:eastAsia="ko-KR"/>
        </w:rPr>
        <mc:AlternateContent>
          <mc:Choice Requires="wps">
            <w:drawing>
              <wp:anchor distT="0" distB="0" distL="114300" distR="114300" simplePos="0" relativeHeight="251658308" behindDoc="0" locked="0" layoutInCell="1" allowOverlap="1" wp14:anchorId="34F69E89" wp14:editId="2A4CCB31">
                <wp:simplePos x="0" y="0"/>
                <wp:positionH relativeFrom="leftMargin">
                  <wp:posOffset>732155</wp:posOffset>
                </wp:positionH>
                <wp:positionV relativeFrom="paragraph">
                  <wp:posOffset>500380</wp:posOffset>
                </wp:positionV>
                <wp:extent cx="714375" cy="2800985"/>
                <wp:effectExtent l="0" t="0" r="9525" b="18415"/>
                <wp:wrapNone/>
                <wp:docPr id="1039"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80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2EF64" w14:textId="77777777" w:rsidR="006D7011" w:rsidRDefault="006D7011" w:rsidP="001B7FBF">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9E89" id="Text Box 3876" o:spid="_x0000_s1029" type="#_x0000_t202" style="position:absolute;left:0;text-align:left;margin-left:57.65pt;margin-top:39.4pt;width:56.25pt;height:220.55pt;z-index:2516583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eYB3AEAAJsDAAAOAAAAZHJzL2Uyb0RvYy54bWysU8tu2zAQvBfoPxC815KdpnYFy0GaIEWB&#10;9AGk/QCKoiyiEpfdpS3577ukLKePW9ELseJjdmZ2tL0Z+04cDZIFV8rlIpfCOA21dftSfvv68Goj&#10;BQXlatWBM6U8GZI3u5cvtoMvzApa6GqDgkEcFYMvZRuCL7KMdGt6RQvwxvFhA9irwJ+4z2pUA6P3&#10;XbbK8zfZAFh7BG2IePd+OpS7hN80RofPTUMmiK6UzC2kFdNaxTXbbVWxR+Vbq8801D+w6JV13PQC&#10;da+CEge0f0H1ViMQNGGhoc+gaaw2SQOrWeZ/qHlqlTdJC5tD/mIT/T9Y/en45L+gCOM7GHmASQT5&#10;R9DfSTi4a5Xbm1tEGFqjam68jJZlg6fi/DRaTQVFkGr4CDUPWR0CJKCxwT66wjoFo/MAThfTzRiE&#10;5s318vXV+loKzUerTZ6/3VynFqqYX3uk8N5AL2JRSuShJnR1fKQQ2ahivhKbOXiwXZcG27nfNvhi&#10;3EnsI+GJehirUdi6lFexbxRTQX1iOQhTXDjeXMR1tWYJA6ellPTjoNBI0X1w7EqM1lzgXFRzoZxu&#10;gUMXpJjKuzBF8ODR7lsGn3x3cMvONTaJeiZyZswJSFrPaY0R+/U73Xr+p3Y/AQAA//8DAFBLAwQU&#10;AAYACAAAACEAdCLaQt0AAAAKAQAADwAAAGRycy9kb3ducmV2LnhtbEyPy2rDMBBF94X+g5hCd438&#10;wE7iWg7FELoLNM0HKNbUMtHDtZTY+ftOV+1uLnO4j3q3WMNuOIXBOwHpKgGGrvNqcL2A0+f+ZQMs&#10;ROmUNN6hgDsG2DWPD7WslJ/dB96OsWdk4kIlBegYx4rz0Gm0Mqz8iI5+X36yMpKceq4mOZO5NTxL&#10;kpJbOThK0HLEVmN3OV6tgMOd6zm3xalr2/JQ5t97eXk3Qjw/LW+vwCIu8Q+G3/pUHRrqdPZXpwIz&#10;pNMiJ1TAekMTCMiyNR1nAUW63QJvav5/QvMDAAD//wMAUEsBAi0AFAAGAAgAAAAhALaDOJL+AAAA&#10;4QEAABMAAAAAAAAAAAAAAAAAAAAAAFtDb250ZW50X1R5cGVzXS54bWxQSwECLQAUAAYACAAAACEA&#10;OP0h/9YAAACUAQAACwAAAAAAAAAAAAAAAAAvAQAAX3JlbHMvLnJlbHNQSwECLQAUAAYACAAAACEA&#10;MOHmAdwBAACbAwAADgAAAAAAAAAAAAAAAAAuAgAAZHJzL2Uyb0RvYy54bWxQSwECLQAUAAYACAAA&#10;ACEAdCLaQt0AAAAKAQAADwAAAAAAAAAAAAAAAAA2BAAAZHJzL2Rvd25yZXYueG1sUEsFBgAAAAAE&#10;AAQA8wAAAEAFAAAAAA==&#10;" filled="f" stroked="f">
                <v:textbox style="layout-flow:vertical;mso-layout-flow-alt:bottom-to-top" inset="0,0,0,0">
                  <w:txbxContent>
                    <w:p w14:paraId="5922EF64" w14:textId="77777777" w:rsidR="006D7011" w:rsidRDefault="006D7011" w:rsidP="001B7FBF">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v:textbox>
                <w10:wrap anchorx="margin"/>
              </v:shape>
            </w:pict>
          </mc:Fallback>
        </mc:AlternateContent>
      </w:r>
      <w:r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09" behindDoc="0" locked="0" layoutInCell="1" allowOverlap="1" wp14:anchorId="73742E8B" wp14:editId="4B2A6EF9">
                <wp:simplePos x="0" y="0"/>
                <wp:positionH relativeFrom="column">
                  <wp:posOffset>189069</wp:posOffset>
                </wp:positionH>
                <wp:positionV relativeFrom="paragraph">
                  <wp:posOffset>17780</wp:posOffset>
                </wp:positionV>
                <wp:extent cx="437487" cy="3519377"/>
                <wp:effectExtent l="0" t="0" r="1270" b="5080"/>
                <wp:wrapNone/>
                <wp:docPr id="1052" name="Text Box 1052"/>
                <wp:cNvGraphicFramePr/>
                <a:graphic xmlns:a="http://schemas.openxmlformats.org/drawingml/2006/main">
                  <a:graphicData uri="http://schemas.microsoft.com/office/word/2010/wordprocessingShape">
                    <wps:wsp>
                      <wps:cNvSpPr txBox="1"/>
                      <wps:spPr>
                        <a:xfrm>
                          <a:off x="0" y="0"/>
                          <a:ext cx="437487"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6B169"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2F10DA12"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348A9E9C"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44F397BF"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50114264"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412CE586"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3742E8B" id="Text Box 1052" o:spid="_x0000_s1030" type="#_x0000_t202" style="position:absolute;left:0;text-align:left;margin-left:14.9pt;margin-top:1.4pt;width:34.45pt;height:277.1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wiWaQIAAE4FAAAOAAAAZHJzL2Uyb0RvYy54bWysVN9P2zAQfp+0/8Hy+5qWAmURKWIgpkkI&#10;0MrEs+vYbTTH553dJt1fz9lJWsZ4YdpLcvbdfffD3935RVsbtlXoK7AFn4zGnCkroazsquA/Hm8+&#10;nXHmg7ClMGBVwXfK84v5xw/njcvVEazBlAoZgVifN67g6xBcnmVerlUt/AicsqTUgLUIdMRVVqJo&#10;CL022dF4fJo1gKVDkMp7ur3ulHye8LVWMtxr7VVgpuCUW0hfTN9l/Gbzc5GvULh1Jfs0xD9kUYvK&#10;UtA91LUIgm2w+guqriSCBx1GEuoMtK6kSjVQNZPxq2oWa+FUqoWa492+Tf7/wcq77cI9IAvtF2jp&#10;AWNDGudzT5exnlZjHf+UKSM9tXC3b5tqA5N0eTydHZ/NOJOkmp5MPk9nswiTHbwd+vBVQc2iUHCk&#10;Z0ndEttbHzrTwSQG82Cq8qYyJh0iFdSVQbYV9IjLVcqRwP+wMpY1BT+dnowTsIXo3iEbG2FUIkMf&#10;7lBhksLOqGhj7HelWVWmQt+ILaRUNgzxk3W00hTqPY69/SGr9zh3dZBHigw27J3rygKm6tP0HFpW&#10;/hxS1p09vc2LuqMY2mVLhdNbDgRYQrkjXiB0I+OdvKno8W6FDw8CaUaICjT34Z4+2gA1H3qJszXg&#10;77fuoz1Rl7ScNTRzBfe/NgIVZ+abJVLHAR0EHITlINhNfQXEgAltFCeTSA4YzCBqhPqJ1sFljEIq&#10;YSXFKngYxKvQTT6tE6kuL5MRjaET4dYunIzQsauRio/tk0DX8zUQ0+9gmEaRv6JtZ9s3tetbf6Ch&#10;TXPQL5i4FV6ek9VhDc6fAQAA//8DAFBLAwQUAAYACAAAACEA0WACHdwAAAAHAQAADwAAAGRycy9k&#10;b3ducmV2LnhtbEyOwU7DMBBE70j8g7VIXBB1WqkkDXEqqISAA4cGPsCJlzhgr6PYbcPfs5zoaTSa&#10;0cyrtrN34ohTHAIpWC4yEEhdMAP1Cj7en24LEDFpMtoFQgU/GGFbX15UujThRHs8NqkXPEKx1Aps&#10;SmMpZewseh0XYUTi7DNMXie2Uy/NpE887p1cZdmd9HogfrB6xJ3F7rs5eAVFEXc5xja4r+fm5eYV&#10;H5f7N6vU9dX8cA8i4Zz+y/CHz+hQM1MbDmSicApWGyZPrCwcb4ocRKtgvc4zkHUlz/nrXwAAAP//&#10;AwBQSwECLQAUAAYACAAAACEAtoM4kv4AAADhAQAAEwAAAAAAAAAAAAAAAAAAAAAAW0NvbnRlbnRf&#10;VHlwZXNdLnhtbFBLAQItABQABgAIAAAAIQA4/SH/1gAAAJQBAAALAAAAAAAAAAAAAAAAAC8BAABf&#10;cmVscy8ucmVsc1BLAQItABQABgAIAAAAIQC4SwiWaQIAAE4FAAAOAAAAAAAAAAAAAAAAAC4CAABk&#10;cnMvZTJvRG9jLnhtbFBLAQItABQABgAIAAAAIQDRYAId3AAAAAcBAAAPAAAAAAAAAAAAAAAAAMME&#10;AABkcnMvZG93bnJldi54bWxQSwUGAAAAAAQABADzAAAAzAUAAAAA&#10;" fillcolor="white [3212]" stroked="f" strokeweight=".5pt">
                <v:textbox inset="0,0,0,0">
                  <w:txbxContent>
                    <w:p w14:paraId="2C46B169"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2F10DA12"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348A9E9C"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44F397BF"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50114264"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412CE586" w14:textId="77777777" w:rsidR="006D7011" w:rsidRDefault="006D7011" w:rsidP="001B7FBF">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v:textbox>
              </v:shape>
            </w:pict>
          </mc:Fallback>
        </mc:AlternateContent>
      </w:r>
      <w:r w:rsidRPr="008F328C">
        <w:rPr>
          <w:rFonts w:ascii="Times New Roman" w:hAnsi="Times New Roman" w:cs="Times New Roman"/>
          <w:noProof/>
          <w:lang w:eastAsia="ko-KR"/>
        </w:rPr>
        <w:drawing>
          <wp:inline distT="0" distB="0" distL="0" distR="0" wp14:anchorId="69E147F6" wp14:editId="49EEBB8C">
            <wp:extent cx="5461000" cy="3766782"/>
            <wp:effectExtent l="0" t="0" r="6350" b="5715"/>
            <wp:docPr id="1054"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7861" cy="3771515"/>
                    </a:xfrm>
                    <a:prstGeom prst="rect">
                      <a:avLst/>
                    </a:prstGeom>
                    <a:noFill/>
                    <a:ln>
                      <a:noFill/>
                    </a:ln>
                  </pic:spPr>
                </pic:pic>
              </a:graphicData>
            </a:graphic>
          </wp:inline>
        </w:drawing>
      </w:r>
    </w:p>
    <w:p w14:paraId="7553842A" w14:textId="295A422A" w:rsidR="001B7FBF" w:rsidRPr="008F328C" w:rsidRDefault="001B7FBF" w:rsidP="001B7FBF">
      <w:pPr>
        <w:spacing w:before="36"/>
        <w:ind w:left="479"/>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CZAS (TYGODNIE)</w:t>
      </w:r>
    </w:p>
    <w:p w14:paraId="20023353" w14:textId="31936CED" w:rsidR="001B7FBF" w:rsidRPr="008F328C" w:rsidRDefault="001B7FBF" w:rsidP="001B7FBF">
      <w:pPr>
        <w:pStyle w:val="a3"/>
        <w:rPr>
          <w:lang w:val="pl-PL"/>
        </w:rPr>
      </w:pPr>
      <w:r w:rsidRPr="008F328C">
        <w:rPr>
          <w:noProof/>
          <w:lang w:eastAsia="ko-KR"/>
        </w:rPr>
        <w:drawing>
          <wp:anchor distT="0" distB="0" distL="114300" distR="114300" simplePos="0" relativeHeight="251658307" behindDoc="1" locked="0" layoutInCell="1" allowOverlap="1" wp14:anchorId="4D17F4B4" wp14:editId="009C42E8">
            <wp:simplePos x="0" y="0"/>
            <wp:positionH relativeFrom="page">
              <wp:posOffset>5091430</wp:posOffset>
            </wp:positionH>
            <wp:positionV relativeFrom="paragraph">
              <wp:posOffset>67310</wp:posOffset>
            </wp:positionV>
            <wp:extent cx="452755" cy="86995"/>
            <wp:effectExtent l="0" t="0" r="0" b="0"/>
            <wp:wrapNone/>
            <wp:docPr id="1055" name="그림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8F328C">
        <w:rPr>
          <w:rFonts w:eastAsia="Times New Roman"/>
          <w:lang w:val="pl-PL"/>
        </w:rPr>
        <w:t>Leczenie</w:t>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noProof/>
          <w:lang w:eastAsia="ko-KR"/>
        </w:rPr>
        <w:drawing>
          <wp:inline distT="0" distB="0" distL="0" distR="0" wp14:anchorId="2827B4B3" wp14:editId="164C0B06">
            <wp:extent cx="457200" cy="127000"/>
            <wp:effectExtent l="0" t="0" r="0" b="0"/>
            <wp:docPr id="1056"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8F328C">
        <w:rPr>
          <w:rFonts w:eastAsia="Times New Roman"/>
          <w:lang w:val="pl-PL"/>
        </w:rPr>
        <w:t xml:space="preserve">  Placebo</w:t>
      </w:r>
      <w:r w:rsidRPr="008F328C">
        <w:rPr>
          <w:rFonts w:eastAsia="Times New Roman"/>
          <w:lang w:val="pl-PL"/>
        </w:rPr>
        <w:tab/>
      </w:r>
      <w:r w:rsidRPr="008F328C">
        <w:rPr>
          <w:rFonts w:eastAsia="Times New Roman"/>
          <w:lang w:val="pl-PL"/>
        </w:rPr>
        <w:tab/>
        <w:t xml:space="preserve">      Adalimumab</w:t>
      </w:r>
    </w:p>
    <w:p w14:paraId="0F77B891" w14:textId="26F83997" w:rsidR="001B7FBF" w:rsidRPr="008F328C" w:rsidRDefault="001B7FBF" w:rsidP="001B7FBF">
      <w:pPr>
        <w:pStyle w:val="a3"/>
        <w:rPr>
          <w:lang w:val="pl-PL"/>
        </w:rPr>
      </w:pPr>
      <w:r w:rsidRPr="008F328C">
        <w:rPr>
          <w:rFonts w:eastAsia="Times New Roman"/>
          <w:lang w:val="pl-PL"/>
        </w:rPr>
        <w:t>Uwaga: P = Placebo (liczba zagrożonych pacjentów); A = adalimumab (liczba zagrożonych pacjentów).</w:t>
      </w:r>
    </w:p>
    <w:p w14:paraId="576A0C11" w14:textId="31318CA7" w:rsidR="00FD79D2" w:rsidRPr="008F328C" w:rsidRDefault="00FD79D2">
      <w:pPr>
        <w:spacing w:before="16" w:line="240" w:lineRule="exact"/>
        <w:rPr>
          <w:rFonts w:ascii="Times New Roman" w:hAnsi="Times New Roman" w:cs="Times New Roman"/>
          <w:sz w:val="24"/>
          <w:szCs w:val="24"/>
          <w:lang w:val="pl-PL"/>
        </w:rPr>
      </w:pPr>
    </w:p>
    <w:p w14:paraId="218F8E4C" w14:textId="77777777" w:rsidR="002E5800" w:rsidRPr="008F328C" w:rsidRDefault="000E0B7C">
      <w:pPr>
        <w:widowControl/>
        <w:numPr>
          <w:ilvl w:val="1"/>
          <w:numId w:val="3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farmakokinetyczne</w:t>
      </w:r>
    </w:p>
    <w:p w14:paraId="1B52CBF5" w14:textId="77777777" w:rsidR="002E5800" w:rsidRPr="008F328C" w:rsidRDefault="002E5800">
      <w:pPr>
        <w:spacing w:before="9" w:line="240" w:lineRule="exact"/>
        <w:rPr>
          <w:rFonts w:ascii="Times New Roman" w:hAnsi="Times New Roman" w:cs="Times New Roman"/>
          <w:sz w:val="24"/>
          <w:szCs w:val="24"/>
          <w:lang w:val="pl-PL"/>
        </w:rPr>
      </w:pPr>
    </w:p>
    <w:p w14:paraId="52674162" w14:textId="77777777" w:rsidR="002E5800" w:rsidRPr="008F328C" w:rsidRDefault="000E0B7C">
      <w:pPr>
        <w:pStyle w:val="a3"/>
        <w:rPr>
          <w:u w:val="single"/>
          <w:lang w:val="pl-PL"/>
        </w:rPr>
      </w:pPr>
      <w:r w:rsidRPr="008F328C">
        <w:rPr>
          <w:rFonts w:eastAsia="Times New Roman"/>
          <w:u w:val="single" w:color="000000"/>
          <w:lang w:val="pl-PL"/>
        </w:rPr>
        <w:t>Wchłanianie i dystrybucja</w:t>
      </w:r>
    </w:p>
    <w:p w14:paraId="5E441C19" w14:textId="77777777" w:rsidR="002E5800" w:rsidRPr="008F328C" w:rsidRDefault="002E5800">
      <w:pPr>
        <w:spacing w:before="1" w:line="180" w:lineRule="exact"/>
        <w:rPr>
          <w:rFonts w:ascii="Times New Roman" w:hAnsi="Times New Roman" w:cs="Times New Roman"/>
          <w:sz w:val="18"/>
          <w:szCs w:val="18"/>
          <w:lang w:val="pl-PL"/>
        </w:rPr>
      </w:pPr>
    </w:p>
    <w:p w14:paraId="75F6E091" w14:textId="77777777" w:rsidR="002E5800" w:rsidRPr="008F328C" w:rsidRDefault="000E0B7C">
      <w:pPr>
        <w:pStyle w:val="a3"/>
        <w:rPr>
          <w:lang w:val="pl-PL"/>
        </w:rPr>
      </w:pPr>
      <w:r w:rsidRPr="008F328C">
        <w:rPr>
          <w:rFonts w:eastAsia="Times New Roman"/>
          <w:lang w:val="pl-PL"/>
        </w:rPr>
        <w:t>Po podaniu podskórnym pojedynczej dawki 40 mg wchłanianie i dystrybucja adalimumabu przebiegały wolno, a maksymalne stężenie w surowicy wystąpiło po około 5 dniach po podaniu. Średnia bezwzględna biodostępność adalimumabu po podaniu podskórnym pojedynczej dawki 40 mg oceniona na podstawie trzech badań wynosiła 64%. Po podaniu dożylnym pojedynczych dawek od 0,25 do 10 mg/kg mc. stężenia były proporcjonalne do dawki. Po podaniu dawki 0,5 mg/kg mc. (~40 mg) klirens wynosił od 11 do 15 ml/h, objętość dystrybucji (V</w:t>
      </w:r>
      <w:r w:rsidRPr="008F328C">
        <w:rPr>
          <w:rFonts w:eastAsia="Times New Roman"/>
          <w:sz w:val="14"/>
          <w:szCs w:val="14"/>
          <w:lang w:val="pl-PL"/>
        </w:rPr>
        <w:t>ss</w:t>
      </w:r>
      <w:r w:rsidRPr="008F328C">
        <w:rPr>
          <w:rFonts w:eastAsia="Times New Roman"/>
          <w:lang w:val="pl-PL"/>
        </w:rPr>
        <w:t>) wynosiła od 5 do 6 litrów, a średni okres półtrwania w końcowej fazie eliminacji, około 2 tygodnie. Stężenie adalimumabu w płynie maziowym pobranym od kilkunastu pacjentów z reumatoidalnym zapaleniem stawów wynosiło 31-96% wartości stężenia w surowicy.</w:t>
      </w:r>
    </w:p>
    <w:p w14:paraId="1B1213B0" w14:textId="77777777" w:rsidR="002E5800" w:rsidRPr="008F328C" w:rsidRDefault="002E5800">
      <w:pPr>
        <w:spacing w:before="14" w:line="240" w:lineRule="exact"/>
        <w:rPr>
          <w:rFonts w:ascii="Times New Roman" w:hAnsi="Times New Roman" w:cs="Times New Roman"/>
          <w:sz w:val="24"/>
          <w:szCs w:val="24"/>
          <w:lang w:val="pl-PL"/>
        </w:rPr>
      </w:pPr>
    </w:p>
    <w:p w14:paraId="1F8A07E7" w14:textId="77777777" w:rsidR="002E5800" w:rsidRPr="008F328C" w:rsidRDefault="000E0B7C">
      <w:pPr>
        <w:pStyle w:val="a3"/>
        <w:rPr>
          <w:lang w:val="pl-PL"/>
        </w:rPr>
      </w:pPr>
      <w:r w:rsidRPr="008F328C">
        <w:rPr>
          <w:rFonts w:eastAsia="Times New Roman"/>
          <w:lang w:val="pl-PL"/>
        </w:rPr>
        <w:t xml:space="preserve">Po podaniu podskórnym 40 mg adalimumabu co drugi tydzień u dorosłych pacjentów z reumatoidalnym zapaleniem stawów (RZS) średnie minimalne stężenie (ang. trough) w stanie stacjonarnym wynosiło około 5 </w:t>
      </w:r>
      <w:r w:rsidRPr="008F328C">
        <w:rPr>
          <w:rFonts w:eastAsia="Symbol"/>
          <w:lang w:val="pl-PL"/>
        </w:rPr>
        <w:sym w:font="Symbol" w:char="F06D"/>
      </w:r>
      <w:r w:rsidRPr="008F328C">
        <w:rPr>
          <w:rFonts w:eastAsia="Times New Roman"/>
          <w:lang w:val="pl-PL"/>
        </w:rPr>
        <w:t xml:space="preserve">g/ml (gdy nie podawano równocześnie metotreksatu) oraz 8 do 9 </w:t>
      </w:r>
      <w:r w:rsidRPr="008F328C">
        <w:rPr>
          <w:rFonts w:eastAsia="Symbol"/>
          <w:lang w:val="pl-PL"/>
        </w:rPr>
        <w:sym w:font="Symbol" w:char="F06D"/>
      </w:r>
      <w:r w:rsidRPr="008F328C">
        <w:rPr>
          <w:rFonts w:eastAsia="Times New Roman"/>
          <w:lang w:val="pl-PL"/>
        </w:rPr>
        <w:t>g/ml (gdy podawano równocześnie metotreksat). Po podawaniu podskórnym dawki 20, 40 i 80 mg co drugi tydzień i co tydzień minimalne stężenie adalimumabu w surowicy w stanie stacjonarnym wzrastało w przybliżeniu proporcjonalnie do dawki.</w:t>
      </w:r>
    </w:p>
    <w:p w14:paraId="0D5DEEE8" w14:textId="77777777" w:rsidR="002E5800" w:rsidRPr="008F328C" w:rsidRDefault="002E5800">
      <w:pPr>
        <w:spacing w:before="8" w:line="240" w:lineRule="exact"/>
        <w:rPr>
          <w:rFonts w:ascii="Times New Roman" w:hAnsi="Times New Roman" w:cs="Times New Roman"/>
          <w:sz w:val="24"/>
          <w:szCs w:val="24"/>
          <w:lang w:val="pl-PL"/>
        </w:rPr>
      </w:pPr>
    </w:p>
    <w:p w14:paraId="67A2E06B" w14:textId="7776E6A9" w:rsidR="002E5800" w:rsidRPr="008F328C" w:rsidRDefault="000E0B7C">
      <w:pPr>
        <w:pStyle w:val="a3"/>
        <w:rPr>
          <w:lang w:val="pl-PL"/>
        </w:rPr>
      </w:pPr>
      <w:r w:rsidRPr="008F328C">
        <w:rPr>
          <w:rFonts w:eastAsia="Times New Roman"/>
          <w:lang w:val="pl-PL"/>
        </w:rPr>
        <w:t>Po podaniu podskórnym dawki 24 mg/m</w:t>
      </w:r>
      <w:r w:rsidRPr="008F328C">
        <w:rPr>
          <w:rFonts w:eastAsia="Times New Roman"/>
          <w:sz w:val="14"/>
          <w:szCs w:val="14"/>
          <w:lang w:val="pl-PL"/>
        </w:rPr>
        <w:t>2</w:t>
      </w:r>
      <w:r w:rsidRPr="008F328C">
        <w:rPr>
          <w:rFonts w:eastAsia="Times New Roman"/>
          <w:lang w:val="pl-PL"/>
        </w:rPr>
        <w:t xml:space="preserve"> pc. (maksymalnie 40 mg) co drugi tydzień pacjentom z wielostawowym młodzieńczym idiopatycznym zapaleniem stawów (WMIZS) w wieku od 4 do 17 lat średnie minimalne stężenie (ang. trough) adalimumabu w surowicy w stanie stacjonarnym (wartości </w:t>
      </w:r>
      <w:r w:rsidRPr="008F328C">
        <w:rPr>
          <w:rFonts w:eastAsia="Times New Roman"/>
          <w:lang w:val="pl-PL"/>
        </w:rPr>
        <w:lastRenderedPageBreak/>
        <w:t>oznaczane od 20. do 48. tygodnia) wynosiło 5,6 ± 5,6 μg/ml (102% CV - współczynnik zmienności), gdy adalimumab stosowano bez metotreksatu i 10,9 ± 5,2 μg/ml (47,7% CV), gdy stosowano jednocześnie metotreksat.</w:t>
      </w:r>
    </w:p>
    <w:p w14:paraId="6E88542A" w14:textId="77777777" w:rsidR="002E5800" w:rsidRPr="008F328C" w:rsidRDefault="002E5800">
      <w:pPr>
        <w:spacing w:before="13" w:line="240" w:lineRule="exact"/>
        <w:rPr>
          <w:rFonts w:ascii="Times New Roman" w:hAnsi="Times New Roman" w:cs="Times New Roman"/>
          <w:sz w:val="24"/>
          <w:szCs w:val="24"/>
          <w:lang w:val="pl-PL"/>
        </w:rPr>
      </w:pPr>
    </w:p>
    <w:p w14:paraId="7F11D3A7" w14:textId="6BA250A4" w:rsidR="002E5800" w:rsidRPr="008F328C" w:rsidRDefault="000E0B7C">
      <w:pPr>
        <w:pStyle w:val="a3"/>
        <w:rPr>
          <w:lang w:val="pl-PL"/>
        </w:rPr>
      </w:pPr>
      <w:r w:rsidRPr="008F328C">
        <w:rPr>
          <w:rFonts w:eastAsia="Times New Roman"/>
          <w:lang w:val="pl-PL"/>
        </w:rPr>
        <w:t xml:space="preserve">U pacjentów z wielostawowym MIZS w wieku od 2 do &lt; 4 lat lub w wieku 4 lat i starszych o masie ciała </w:t>
      </w:r>
      <w:r w:rsidR="000273EB" w:rsidRPr="008F328C">
        <w:rPr>
          <w:rFonts w:eastAsia="Times New Roman"/>
          <w:lang w:val="pl-PL"/>
        </w:rPr>
        <w:t>&lt; </w:t>
      </w:r>
      <w:r w:rsidRPr="008F328C">
        <w:rPr>
          <w:rFonts w:eastAsia="Times New Roman"/>
          <w:lang w:val="pl-PL"/>
        </w:rPr>
        <w:t>15 kg, którym podawano adalimumab w dawce 24 mg/m</w:t>
      </w:r>
      <w:r w:rsidRPr="008F328C">
        <w:rPr>
          <w:rFonts w:eastAsia="Times New Roman"/>
          <w:sz w:val="14"/>
          <w:szCs w:val="14"/>
          <w:lang w:val="pl-PL"/>
        </w:rPr>
        <w:t>2</w:t>
      </w:r>
      <w:r w:rsidRPr="008F328C">
        <w:rPr>
          <w:rFonts w:eastAsia="Times New Roman"/>
          <w:lang w:val="pl-PL"/>
        </w:rPr>
        <w:t xml:space="preserve"> pc., średnie minimalne stężenie (ang. trough) adalimumabu w surowicy w stanie stacjonarnym wynosiło 6,0 ± 6,1 μg/ml (101% CV), gdy adalimumab stosowano bez metotreksatu i 7,9 ± 5,6 μg/ml (71,2% CV), gdy stosowano jednocześnie metotreksat.</w:t>
      </w:r>
    </w:p>
    <w:p w14:paraId="69F1AC5F" w14:textId="77777777" w:rsidR="002E5800" w:rsidRPr="008F328C" w:rsidRDefault="002E5800">
      <w:pPr>
        <w:spacing w:before="6" w:line="240" w:lineRule="exact"/>
        <w:rPr>
          <w:rFonts w:ascii="Times New Roman" w:hAnsi="Times New Roman" w:cs="Times New Roman"/>
          <w:sz w:val="24"/>
          <w:szCs w:val="24"/>
          <w:lang w:val="pl-PL"/>
        </w:rPr>
      </w:pPr>
    </w:p>
    <w:p w14:paraId="776E9858" w14:textId="277BD456" w:rsidR="002E5800" w:rsidRPr="008F328C" w:rsidRDefault="000E0B7C">
      <w:pPr>
        <w:pStyle w:val="a3"/>
        <w:rPr>
          <w:lang w:val="pl-PL"/>
        </w:rPr>
      </w:pPr>
      <w:r w:rsidRPr="008F328C">
        <w:rPr>
          <w:rFonts w:eastAsia="Times New Roman"/>
          <w:lang w:val="pl-PL"/>
        </w:rPr>
        <w:t>U pacjentów w wieku od 6 do 17 lat z zapaleniem stawów z towarzyszącym zapaleniem przyczepów ścięgnistych, po podawaniu dawki 24 mg/m</w:t>
      </w:r>
      <w:r w:rsidRPr="008F328C">
        <w:rPr>
          <w:rFonts w:eastAsia="Times New Roman"/>
          <w:sz w:val="14"/>
          <w:szCs w:val="14"/>
          <w:lang w:val="pl-PL"/>
        </w:rPr>
        <w:t>2</w:t>
      </w:r>
      <w:r w:rsidRPr="008F328C">
        <w:rPr>
          <w:rFonts w:eastAsia="Times New Roman"/>
          <w:lang w:val="pl-PL"/>
        </w:rPr>
        <w:t xml:space="preserve"> pc. (maksymalnie 40 mg) podskórnie co drugi tydzień, średnie minimalne stężenia (ang. trough) adalimumabu w surowicy w stanie stacjonarnym (wartości oznaczane w 24 tygodniu) wyniosły 8,8 ± 6,6 μg/ml, gdy adalimumab stosowano bez metotreksatu i 11,8 ± 4,3 μg/ml, gdy stosowano jednocześnie metotreksat.</w:t>
      </w:r>
    </w:p>
    <w:p w14:paraId="68D74E05" w14:textId="77777777" w:rsidR="002E5800" w:rsidRPr="008F328C" w:rsidRDefault="002E5800">
      <w:pPr>
        <w:pStyle w:val="a3"/>
        <w:rPr>
          <w:sz w:val="24"/>
          <w:szCs w:val="24"/>
          <w:lang w:val="pl-PL"/>
        </w:rPr>
      </w:pPr>
    </w:p>
    <w:p w14:paraId="26D8FEF1" w14:textId="77777777" w:rsidR="002E5800" w:rsidRPr="008F328C" w:rsidRDefault="000E0B7C">
      <w:pPr>
        <w:pStyle w:val="a3"/>
        <w:rPr>
          <w:lang w:val="pl-PL"/>
        </w:rPr>
      </w:pPr>
      <w:r w:rsidRPr="008F328C">
        <w:rPr>
          <w:rFonts w:eastAsia="Times New Roman"/>
          <w:lang w:val="pl-PL"/>
        </w:rPr>
        <w:t xml:space="preserve">Po podaniu podskórnym 40 mg adalimumabu co drugi tydzień u dorosłych pacjentów z osiową spondyloartropatią bez zmian radiograficznych, średnie (± SD) minimalne stężenie (ang. trough) adalimumabu w stanie stacjonarnym, w 68 tygodniu wynosiło 8,0 ± 4,6 </w:t>
      </w:r>
      <w:r w:rsidRPr="008F328C">
        <w:rPr>
          <w:rFonts w:eastAsia="Symbol"/>
          <w:lang w:val="pl-PL"/>
        </w:rPr>
        <w:sym w:font="Symbol" w:char="F06D"/>
      </w:r>
      <w:r w:rsidRPr="008F328C">
        <w:rPr>
          <w:rFonts w:eastAsia="Times New Roman"/>
          <w:lang w:val="pl-PL"/>
        </w:rPr>
        <w:t>g/ml.</w:t>
      </w:r>
    </w:p>
    <w:p w14:paraId="6DB93751" w14:textId="77777777" w:rsidR="002E5800" w:rsidRPr="008F328C" w:rsidRDefault="002E5800">
      <w:pPr>
        <w:pStyle w:val="a3"/>
        <w:rPr>
          <w:lang w:val="pl-PL"/>
        </w:rPr>
      </w:pPr>
    </w:p>
    <w:p w14:paraId="758C2179" w14:textId="77777777" w:rsidR="002E5800" w:rsidRPr="008F328C" w:rsidRDefault="000E0B7C">
      <w:pPr>
        <w:pStyle w:val="a3"/>
        <w:rPr>
          <w:lang w:val="pl-PL"/>
        </w:rPr>
      </w:pPr>
      <w:r w:rsidRPr="008F328C">
        <w:rPr>
          <w:rFonts w:eastAsia="Times New Roman"/>
          <w:lang w:val="pl-PL"/>
        </w:rPr>
        <w:t xml:space="preserve">U dorosłych pacjentów z łuszczycą, średnie minimalne stężenie (ang. trough) w stanie stacjonarnym wynosiło 5 </w:t>
      </w:r>
      <w:r w:rsidRPr="008F328C">
        <w:rPr>
          <w:rFonts w:eastAsia="Symbol"/>
          <w:lang w:val="pl-PL"/>
        </w:rPr>
        <w:sym w:font="Symbol" w:char="F06D"/>
      </w:r>
      <w:r w:rsidRPr="008F328C">
        <w:rPr>
          <w:rFonts w:eastAsia="Times New Roman"/>
          <w:lang w:val="pl-PL"/>
        </w:rPr>
        <w:t>g/ml, gdy adalimumab stosowano w dawce 40 mg co drugi tydzień w monoterapii.</w:t>
      </w:r>
    </w:p>
    <w:p w14:paraId="1BED1353" w14:textId="77777777" w:rsidR="002E5800" w:rsidRPr="008F328C" w:rsidRDefault="002E5800">
      <w:pPr>
        <w:spacing w:before="11" w:line="240" w:lineRule="exact"/>
        <w:rPr>
          <w:rFonts w:ascii="Times New Roman" w:hAnsi="Times New Roman" w:cs="Times New Roman"/>
          <w:sz w:val="24"/>
          <w:szCs w:val="24"/>
          <w:lang w:val="pl-PL"/>
        </w:rPr>
      </w:pPr>
    </w:p>
    <w:p w14:paraId="710B0E12" w14:textId="548DB34B" w:rsidR="002E5800" w:rsidRPr="008F328C" w:rsidRDefault="000E0B7C">
      <w:pPr>
        <w:pStyle w:val="a3"/>
        <w:rPr>
          <w:lang w:val="pl-PL"/>
        </w:rPr>
      </w:pPr>
      <w:r w:rsidRPr="008F328C">
        <w:rPr>
          <w:rFonts w:eastAsia="Times New Roman"/>
          <w:lang w:val="pl-PL"/>
        </w:rPr>
        <w:t>Po podaniu dawki 0,8 mg/kg mc. (maksymalnie 40 mg) podskórnie co drugi tydzień pacjentom pediatrycznym z przewlekłą łuszczycą zwyczajną (plackowatą), średnie ± SD minimalne stężenie adalimumabu w stanie stacjonarnym wynosiło w przybliżeniu 7,4 ± 5,8 µg/ml (79% CV).</w:t>
      </w:r>
    </w:p>
    <w:p w14:paraId="5027CE36" w14:textId="77777777" w:rsidR="002E5800" w:rsidRPr="008F328C" w:rsidRDefault="002E5800">
      <w:pPr>
        <w:spacing w:before="13" w:line="240" w:lineRule="exact"/>
        <w:rPr>
          <w:rFonts w:ascii="Times New Roman" w:hAnsi="Times New Roman" w:cs="Times New Roman"/>
          <w:sz w:val="24"/>
          <w:szCs w:val="24"/>
          <w:lang w:val="pl-PL"/>
        </w:rPr>
      </w:pPr>
    </w:p>
    <w:p w14:paraId="221EC942" w14:textId="77777777" w:rsidR="002E5800" w:rsidRPr="008F328C" w:rsidRDefault="000E0B7C">
      <w:pPr>
        <w:pStyle w:val="a3"/>
        <w:rPr>
          <w:lang w:val="pl-PL"/>
        </w:rPr>
      </w:pPr>
      <w:r w:rsidRPr="008F328C">
        <w:rPr>
          <w:rFonts w:eastAsia="Times New Roman"/>
          <w:lang w:val="pl-PL"/>
        </w:rPr>
        <w:t>U dorosłych pacjentów z ropnym zapaleniem apokrynowych gruczołów potowych, po podaniu dawki 160 mg adalimumabu w tygodniu 0, a następnie 80 mg w 2. tygodniu, minimalne (ang. trough) stężenie adalimumabu w surowicy wynosiło w przybliżeniu 7 do 8 μg/ml w 2. i 4. tygodniu. W okresie leczenia adalimumabem 40 mg raz w tygodniu średnie minimalne stężenie w stanie stacjonarnym w 12. tygodniu do 36. tygodnia włącznie wynosiło w przybliżeniu 8 do 10 μg/ml.</w:t>
      </w:r>
    </w:p>
    <w:p w14:paraId="121BA213" w14:textId="77777777" w:rsidR="002E5800" w:rsidRPr="008F328C" w:rsidRDefault="002E5800">
      <w:pPr>
        <w:spacing w:before="13" w:line="240" w:lineRule="exact"/>
        <w:rPr>
          <w:rFonts w:ascii="Times New Roman" w:hAnsi="Times New Roman" w:cs="Times New Roman"/>
          <w:sz w:val="24"/>
          <w:szCs w:val="24"/>
          <w:lang w:val="pl-PL"/>
        </w:rPr>
      </w:pPr>
    </w:p>
    <w:p w14:paraId="4925761D" w14:textId="77777777" w:rsidR="002E5800" w:rsidRPr="008F328C" w:rsidRDefault="000E0B7C">
      <w:pPr>
        <w:pStyle w:val="a3"/>
        <w:rPr>
          <w:lang w:val="pl-PL"/>
        </w:rPr>
      </w:pPr>
      <w:r w:rsidRPr="008F328C">
        <w:rPr>
          <w:rFonts w:eastAsia="Times New Roman"/>
          <w:lang w:val="pl-PL"/>
        </w:rPr>
        <w:t>Ekspozycję na adalimumab u młodzieży z HS określano stosując populacyjne modelowanie farmakokinetyki i symulację w oparciu o farmakokinetykę w różnych wskazaniach u dzieci i młodzieży (łuszczyca u dzieci i młodzieży, młodzieńcze idiopatyczne zapalenie stawów, choroba Leśniowskiego-Crohna u dzieci i młodzieży oraz zapalenie stawów z towarzyszącym zapaleniem przyczepów ścięgnistych). Zalecany schemat dawkowania w HS u młodzieży, to 40 mg co drugi tydzień. Ponieważ masa ciała może wpływać na ekspozycję na adalimumab, u młodzieży z większą masą ciała i niewystarczającą odpowiedzią na leczenie może być korzystne zastosowanie dawki zalecanej dla dorosłych, to jest 40 mg co tydzień.</w:t>
      </w:r>
    </w:p>
    <w:p w14:paraId="3D310DC1" w14:textId="77777777" w:rsidR="002E5800" w:rsidRPr="008F328C" w:rsidRDefault="002E5800">
      <w:pPr>
        <w:spacing w:before="13" w:line="240" w:lineRule="exact"/>
        <w:rPr>
          <w:rFonts w:ascii="Times New Roman" w:hAnsi="Times New Roman" w:cs="Times New Roman"/>
          <w:sz w:val="24"/>
          <w:szCs w:val="24"/>
          <w:lang w:val="pl-PL"/>
        </w:rPr>
      </w:pPr>
    </w:p>
    <w:p w14:paraId="1DE96913" w14:textId="77777777" w:rsidR="002E5800" w:rsidRPr="008F328C" w:rsidRDefault="000E0B7C">
      <w:pPr>
        <w:pStyle w:val="a3"/>
        <w:rPr>
          <w:lang w:val="pl-PL"/>
        </w:rPr>
      </w:pPr>
      <w:r w:rsidRPr="008F328C">
        <w:rPr>
          <w:rFonts w:eastAsia="Times New Roman"/>
          <w:lang w:val="pl-PL"/>
        </w:rPr>
        <w:t xml:space="preserve">U pacjentów z chorobą Leśniowskiego-Crohna, po podaniu dawki nasycającej 80 mg adalimumabu w tygodniu 0, a następnie 40 mg adalimumabu w 2. tygodniu, w okresie indukcji osiągnięto stężenia minimalne (ang. trough) adalimumabu w surowicy wynoszące około 5,5 </w:t>
      </w:r>
      <w:r w:rsidRPr="008F328C">
        <w:rPr>
          <w:rFonts w:eastAsia="Symbol"/>
          <w:lang w:val="pl-PL"/>
        </w:rPr>
        <w:sym w:font="Symbol" w:char="F06D"/>
      </w:r>
      <w:r w:rsidRPr="008F328C">
        <w:rPr>
          <w:rFonts w:eastAsia="Times New Roman"/>
          <w:lang w:val="pl-PL"/>
        </w:rPr>
        <w:t xml:space="preserve">g/ml. Po podaniu dawki nasycającej 160 mg adalimumabu w tygodniu 0, a następnie 80 mg adalimumabu w 2. tygodniu, w okresie indukcji osiągnięto stężenie minimalne adalimumabu w surowicy wynoszące około 12 </w:t>
      </w:r>
      <w:r w:rsidRPr="008F328C">
        <w:rPr>
          <w:rFonts w:eastAsia="Symbol"/>
          <w:lang w:val="pl-PL"/>
        </w:rPr>
        <w:sym w:font="Symbol" w:char="F06D"/>
      </w:r>
      <w:r w:rsidRPr="008F328C">
        <w:rPr>
          <w:rFonts w:eastAsia="Times New Roman"/>
          <w:lang w:val="pl-PL"/>
        </w:rPr>
        <w:t xml:space="preserve">g/ml. U pacjentów z chorobą Leśniowskiego-Crohna, którzy otrzymywali dawkę podtrzymującą 40 mg adalimumabu co drugi tydzień w stanie stacjonarnym obserwowano średnie stężenia minimalne wynoszące około 7 </w:t>
      </w:r>
      <w:r w:rsidRPr="008F328C">
        <w:rPr>
          <w:rFonts w:eastAsia="Symbol"/>
          <w:lang w:val="pl-PL"/>
        </w:rPr>
        <w:sym w:font="Symbol" w:char="F06D"/>
      </w:r>
      <w:r w:rsidRPr="008F328C">
        <w:rPr>
          <w:rFonts w:eastAsia="Times New Roman"/>
          <w:lang w:val="pl-PL"/>
        </w:rPr>
        <w:t>g/ml.</w:t>
      </w:r>
    </w:p>
    <w:p w14:paraId="1E70CE14" w14:textId="77777777" w:rsidR="002E5800" w:rsidRPr="008F328C" w:rsidRDefault="002E5800">
      <w:pPr>
        <w:spacing w:before="11" w:line="240" w:lineRule="exact"/>
        <w:rPr>
          <w:rFonts w:ascii="Times New Roman" w:hAnsi="Times New Roman" w:cs="Times New Roman"/>
          <w:sz w:val="24"/>
          <w:szCs w:val="24"/>
          <w:lang w:val="pl-PL"/>
        </w:rPr>
      </w:pPr>
    </w:p>
    <w:p w14:paraId="689E9660" w14:textId="77777777" w:rsidR="002E5800" w:rsidRPr="008F328C" w:rsidRDefault="000E0B7C">
      <w:pPr>
        <w:pStyle w:val="a3"/>
        <w:rPr>
          <w:lang w:val="pl-PL"/>
        </w:rPr>
      </w:pPr>
      <w:r w:rsidRPr="008F328C">
        <w:rPr>
          <w:rFonts w:eastAsia="Times New Roman"/>
          <w:lang w:val="pl-PL"/>
        </w:rPr>
        <w:t xml:space="preserve">U pacjentów pediatrycznych z ChL-C o nasileniu umiarkowanym do ciężkiego, w próbie otwartej w okresie indukcji dawka adalimumabu wynosiła 160/80 mg lub 80/40 mg, odpowiednio w tygodniach 0 i 2, w zależności od masy ciała (40 kg stanowiło punkt odcięcia). W 4. tygodniu pacjentów przydzielano </w:t>
      </w:r>
      <w:r w:rsidRPr="008F328C">
        <w:rPr>
          <w:rFonts w:eastAsia="Times New Roman"/>
          <w:lang w:val="pl-PL"/>
        </w:rPr>
        <w:lastRenderedPageBreak/>
        <w:t xml:space="preserve">losowo w stosunku 1:1 do grup otrzymujących leczenie podtrzymujące dawką standardową (40/20 mg co drugi tydzień) lub małą dawką (20/10 mg co drugi tydzień) w zależności od masy ciała. Średnie (±SD) minimalne stężenia (ang. trough) adalimumabu w surowicy osiągnięte w 4. tygodniu wynosiły 15,7 ± 6,6 </w:t>
      </w:r>
      <w:r w:rsidRPr="008F328C">
        <w:rPr>
          <w:rFonts w:eastAsia="Symbol"/>
          <w:lang w:val="pl-PL"/>
        </w:rPr>
        <w:sym w:font="Symbol" w:char="F06D"/>
      </w:r>
      <w:r w:rsidRPr="008F328C">
        <w:rPr>
          <w:rFonts w:eastAsia="Times New Roman"/>
          <w:lang w:val="pl-PL"/>
        </w:rPr>
        <w:t xml:space="preserve">g/ml u pacjentów ≥ 40 kg (160/80 mg) oraz 10,6 ± 6,1 </w:t>
      </w:r>
      <w:r w:rsidRPr="008F328C">
        <w:rPr>
          <w:rFonts w:eastAsia="Symbol"/>
          <w:lang w:val="pl-PL"/>
        </w:rPr>
        <w:sym w:font="Symbol" w:char="F06D"/>
      </w:r>
      <w:r w:rsidRPr="008F328C">
        <w:rPr>
          <w:rFonts w:eastAsia="Times New Roman"/>
          <w:lang w:val="pl-PL"/>
        </w:rPr>
        <w:t>g/ml u pacjentów &lt; 40 kg (80/40 mg).</w:t>
      </w:r>
    </w:p>
    <w:p w14:paraId="26FBDB29" w14:textId="77777777" w:rsidR="002E5800" w:rsidRPr="008F328C" w:rsidRDefault="002E5800">
      <w:pPr>
        <w:spacing w:before="7" w:line="240" w:lineRule="exact"/>
        <w:rPr>
          <w:rFonts w:ascii="Times New Roman" w:hAnsi="Times New Roman" w:cs="Times New Roman"/>
          <w:sz w:val="24"/>
          <w:szCs w:val="24"/>
          <w:lang w:val="pl-PL"/>
        </w:rPr>
      </w:pPr>
    </w:p>
    <w:p w14:paraId="27137828" w14:textId="77777777" w:rsidR="002E5800" w:rsidRPr="008F328C" w:rsidRDefault="000E0B7C">
      <w:pPr>
        <w:pStyle w:val="a3"/>
        <w:rPr>
          <w:lang w:val="pl-PL"/>
        </w:rPr>
      </w:pPr>
      <w:r w:rsidRPr="008F328C">
        <w:rPr>
          <w:rFonts w:eastAsia="Times New Roman"/>
          <w:lang w:val="pl-PL"/>
        </w:rPr>
        <w:t xml:space="preserve">U pacjentów, którzy pozostali w grupach terapeutycznych, do jakich ich losowo przydzielono, średnie (±SD) minimalne stężenia (ang. trough) adalimumabu w surowicy osiągnięte w 52. tygodniu wynosiły 9,5 ± 5,6 </w:t>
      </w:r>
      <w:r w:rsidRPr="008F328C">
        <w:rPr>
          <w:rFonts w:eastAsia="Symbol"/>
          <w:lang w:val="pl-PL"/>
        </w:rPr>
        <w:sym w:font="Symbol" w:char="F06D"/>
      </w:r>
      <w:r w:rsidRPr="008F328C">
        <w:rPr>
          <w:rFonts w:eastAsia="Times New Roman"/>
          <w:lang w:val="pl-PL"/>
        </w:rPr>
        <w:t xml:space="preserve">g/ml w grupie otrzymującej dawkę standardową oraz 3,5 ± 2,2 </w:t>
      </w:r>
      <w:r w:rsidRPr="008F328C">
        <w:rPr>
          <w:rFonts w:eastAsia="Symbol"/>
          <w:lang w:val="pl-PL"/>
        </w:rPr>
        <w:sym w:font="Symbol" w:char="F06D"/>
      </w:r>
      <w:r w:rsidRPr="008F328C">
        <w:rPr>
          <w:rFonts w:eastAsia="Times New Roman"/>
          <w:lang w:val="pl-PL"/>
        </w:rPr>
        <w:t>g/ml w grupie otrzymującej małą dawkę.  Średnie minimalne stężenia utrzymywały się u pacjentów, którzy kontynuowali leczenie adalimumabem co drugi tydzień przez 52 tygodnie. U pacjentów, u których zwiększono intensywność dawkowania z podawania co drugi tydzień na podawanie co tydzień, średnie (±SD) stężenia adalimumabu w surowicy w 52. tygodniu wynosiły 15,3 ± 11,4 μg/ml (40/20 mg co tydzień) oraz 6,7 ± 3,5 μg/ml (20/10 mg co tydzień).</w:t>
      </w:r>
    </w:p>
    <w:p w14:paraId="30F55C37" w14:textId="77777777" w:rsidR="002E5800" w:rsidRPr="008F328C" w:rsidRDefault="002E5800">
      <w:pPr>
        <w:spacing w:before="11" w:line="240" w:lineRule="exact"/>
        <w:rPr>
          <w:rFonts w:ascii="Times New Roman" w:hAnsi="Times New Roman" w:cs="Times New Roman"/>
          <w:sz w:val="24"/>
          <w:szCs w:val="24"/>
          <w:lang w:val="pl-PL"/>
        </w:rPr>
      </w:pPr>
    </w:p>
    <w:p w14:paraId="4FDF80F9" w14:textId="77777777" w:rsidR="002E5800" w:rsidRPr="008F328C" w:rsidRDefault="000E0B7C">
      <w:pPr>
        <w:pStyle w:val="a3"/>
        <w:rPr>
          <w:lang w:val="pl-PL"/>
        </w:rPr>
      </w:pPr>
      <w:r w:rsidRPr="008F328C">
        <w:rPr>
          <w:rFonts w:eastAsia="Times New Roman"/>
          <w:lang w:val="pl-PL"/>
        </w:rPr>
        <w:t xml:space="preserve">U pacjentów z wrzodziejącym zapaleniem jelita grubego, w okresie indukcji, po podaniu dawki nasycającej wynoszącej 160 mg adalimumabu w tygodniu 0, a następnie 80 mg adalimumabu w 2. tygodniu, minimalne stężenia (ang. trough) adalimumabu w surowicy wynosiły około 12 </w:t>
      </w:r>
      <w:r w:rsidRPr="008F328C">
        <w:rPr>
          <w:rFonts w:eastAsia="Symbol"/>
          <w:lang w:val="pl-PL"/>
        </w:rPr>
        <w:sym w:font="Symbol" w:char="F06D"/>
      </w:r>
      <w:r w:rsidRPr="008F328C">
        <w:rPr>
          <w:rFonts w:eastAsia="Times New Roman"/>
          <w:lang w:val="pl-PL"/>
        </w:rPr>
        <w:t xml:space="preserve">g/ml. U pacjentów z wrzodziejącym zapaleniem jelita grubego, którzy otrzymywali dawkę podtrzymującą wynoszącą 40 mg adalimumabu co drugi tydzień średnie minimalne stężenia w stanie stacjonarnym wynosiły około 8 </w:t>
      </w:r>
      <w:r w:rsidRPr="008F328C">
        <w:rPr>
          <w:rFonts w:eastAsia="Symbol"/>
          <w:lang w:val="pl-PL"/>
        </w:rPr>
        <w:sym w:font="Symbol" w:char="F06D"/>
      </w:r>
      <w:r w:rsidRPr="008F328C">
        <w:rPr>
          <w:rFonts w:eastAsia="Times New Roman"/>
          <w:lang w:val="pl-PL"/>
        </w:rPr>
        <w:t>g/ml.</w:t>
      </w:r>
    </w:p>
    <w:p w14:paraId="4322E72B" w14:textId="77777777" w:rsidR="004F765B" w:rsidRPr="008F328C" w:rsidRDefault="004F765B" w:rsidP="004F765B">
      <w:pPr>
        <w:rPr>
          <w:rFonts w:ascii="Times New Roman" w:hAnsi="Times New Roman" w:cs="Times New Roman"/>
          <w:lang w:val="pl-PL"/>
        </w:rPr>
      </w:pPr>
    </w:p>
    <w:p w14:paraId="2D0B45AC" w14:textId="77777777" w:rsidR="004F765B" w:rsidRPr="008F328C" w:rsidRDefault="004F765B" w:rsidP="004F765B">
      <w:pPr>
        <w:rPr>
          <w:rFonts w:ascii="Times New Roman" w:hAnsi="Times New Roman" w:cs="Times New Roman"/>
          <w:lang w:val="pl-PL"/>
        </w:rPr>
      </w:pPr>
      <w:r w:rsidRPr="008F328C">
        <w:rPr>
          <w:rFonts w:ascii="Times New Roman" w:hAnsi="Times New Roman" w:cs="Times New Roman"/>
          <w:lang w:val="pl-PL"/>
        </w:rPr>
        <w:t>Po podskórnym podaniu dawki zależnej od masy ciała wynoszącej 0,6 mg/kg (maksymalnie 40 mg) co drugi tydzień pacjentom pediatrycznym z wrzodziejącym zapaleniem jelita grubego, średnie minimalne stężenie adalimumabu w surowicy w stanie stacjonarnym w 52. tygodniu wynosiło 5,01 ± 3,28 µg/ml. W przypadku pacjentów, którzy otrzymywali 0,6 mg/kg (maksymalnie 40 mg) co tydzień, średnie (± SD) minimalne stężenie adalimumabu w surowicy w stanie stacjonarnym w 52. tygodniu wynosiło 15,7 ± 5,60 μg/ml.</w:t>
      </w:r>
    </w:p>
    <w:p w14:paraId="4C63A5E0" w14:textId="77777777" w:rsidR="002E5800" w:rsidRPr="008F328C" w:rsidRDefault="002E5800">
      <w:pPr>
        <w:spacing w:before="14" w:line="240" w:lineRule="exact"/>
        <w:rPr>
          <w:rFonts w:ascii="Times New Roman" w:hAnsi="Times New Roman" w:cs="Times New Roman"/>
          <w:sz w:val="24"/>
          <w:szCs w:val="24"/>
          <w:lang w:val="pl-PL"/>
        </w:rPr>
      </w:pPr>
    </w:p>
    <w:p w14:paraId="25DF5EEA" w14:textId="77777777" w:rsidR="002E5800" w:rsidRPr="008F328C" w:rsidRDefault="000E0B7C">
      <w:pPr>
        <w:pStyle w:val="a3"/>
        <w:rPr>
          <w:lang w:val="pl-PL"/>
        </w:rPr>
      </w:pPr>
      <w:r w:rsidRPr="008F328C">
        <w:rPr>
          <w:rFonts w:eastAsia="Times New Roman"/>
          <w:spacing w:val="-2"/>
          <w:lang w:val="pl-PL"/>
        </w:rPr>
        <w:t>U dorosłych pacjentów z zapaleniem błony naczyniowej oka po podaniu dawki nasycającej 80 mg adalimumabu w tygodniu 0, a następnie 40 mg co drugi tydzień począwszy od 1 tygodnia, średnie stężenia w stanie stacjonarnym wynosiły w przybliżeniu 8 do 10 </w:t>
      </w:r>
      <w:r w:rsidRPr="008F328C">
        <w:rPr>
          <w:rFonts w:eastAsia="Symbol"/>
          <w:spacing w:val="-2"/>
          <w:lang w:val="pl-PL"/>
        </w:rPr>
        <w:sym w:font="Symbol" w:char="F06D"/>
      </w:r>
      <w:r w:rsidRPr="008F328C">
        <w:rPr>
          <w:rFonts w:eastAsia="Times New Roman"/>
          <w:spacing w:val="-2"/>
          <w:lang w:val="pl-PL"/>
        </w:rPr>
        <w:t>g/ml.</w:t>
      </w:r>
    </w:p>
    <w:p w14:paraId="0548F700" w14:textId="77777777" w:rsidR="002E5800" w:rsidRPr="008F328C" w:rsidRDefault="002E5800">
      <w:pPr>
        <w:spacing w:before="13" w:line="240" w:lineRule="exact"/>
        <w:rPr>
          <w:rFonts w:ascii="Times New Roman" w:hAnsi="Times New Roman" w:cs="Times New Roman"/>
          <w:sz w:val="24"/>
          <w:szCs w:val="24"/>
          <w:lang w:val="pl-PL"/>
        </w:rPr>
      </w:pPr>
    </w:p>
    <w:p w14:paraId="5B38731F" w14:textId="77777777" w:rsidR="002E5800" w:rsidRPr="008F328C" w:rsidRDefault="000E0B7C">
      <w:pPr>
        <w:pStyle w:val="a3"/>
        <w:rPr>
          <w:lang w:val="pl-PL"/>
        </w:rPr>
      </w:pPr>
      <w:r w:rsidRPr="008F328C">
        <w:rPr>
          <w:rFonts w:eastAsia="Times New Roman"/>
          <w:lang w:val="pl-PL"/>
        </w:rPr>
        <w:t>Ekspozycję na adalimumab u pacjentów pediatrycznych z zapaleniem błony naczyniowej oka określano stosując populacyjne modelowanie farmakokinetyki i symulację w oparciu o farmakokinetykę w innych wskazaniach u dzieci i młodzieży (łuszczyca u dzieci i młodzieży, młodzieńcze idiopatyczne zapalenie stawów, choroba Leśniowskiego-Crohna u dzieci i młodzieży) oraz zapalenie stawów z towarzyszącym zapaleniem przyczepów ścięgnistych). Nie ma dostępnych danych o ekspozycji klinicznej po stosowaniu dawki nasycającej u dzieci w wieku &lt; 6 lat. Przewidywane wartości ekspozycji wskazują, że w przypadku nieobecności metotreksatu, dawka nasycająca może powodować początkowe zwiększenie ekspozycji układowej.</w:t>
      </w:r>
    </w:p>
    <w:p w14:paraId="1FA547FA" w14:textId="77777777" w:rsidR="002E5800" w:rsidRPr="008F328C" w:rsidRDefault="002E5800">
      <w:pPr>
        <w:spacing w:before="13" w:line="240" w:lineRule="exact"/>
        <w:rPr>
          <w:rFonts w:ascii="Times New Roman" w:hAnsi="Times New Roman" w:cs="Times New Roman"/>
          <w:sz w:val="24"/>
          <w:szCs w:val="24"/>
          <w:lang w:val="pl-PL"/>
        </w:rPr>
      </w:pPr>
    </w:p>
    <w:p w14:paraId="22C701E3" w14:textId="26E9B37E" w:rsidR="002E5800" w:rsidRPr="008F328C" w:rsidRDefault="000E0B7C">
      <w:pPr>
        <w:pStyle w:val="a3"/>
        <w:rPr>
          <w:lang w:val="pl-PL"/>
        </w:rPr>
      </w:pPr>
      <w:r w:rsidRPr="008F328C">
        <w:rPr>
          <w:rFonts w:eastAsia="Times New Roman"/>
          <w:lang w:val="pl-PL"/>
        </w:rPr>
        <w:t>Stosując populacyjne modelowanie farmakokinetyki i farmakokinetyki/farmakodynamiki i symulację przewidywano porównywalną ekspozycję na adalimumab i skuteczność u pacjentów leczonych dawką 80 mg co drugi tydzień w porównaniu z dawką 40 mg co tydzień (w tym dorosłych pacjentów z RZS, HS, WZJG, ChL-C lub łuszczycą, pacjentów z młodzieńczym HS oraz dzieci i młodzież ≥ 40 kg z ChL-C</w:t>
      </w:r>
      <w:r w:rsidR="004F765B" w:rsidRPr="008F328C">
        <w:rPr>
          <w:iCs/>
          <w:lang w:val="pl-PL"/>
        </w:rPr>
        <w:t xml:space="preserve"> i WZJG</w:t>
      </w:r>
      <w:r w:rsidRPr="008F328C">
        <w:rPr>
          <w:rFonts w:eastAsia="Times New Roman"/>
          <w:lang w:val="pl-PL"/>
        </w:rPr>
        <w:t>).</w:t>
      </w:r>
    </w:p>
    <w:p w14:paraId="47A0208E" w14:textId="77777777" w:rsidR="002E5800" w:rsidRPr="008F328C" w:rsidRDefault="002E5800">
      <w:pPr>
        <w:spacing w:before="13" w:line="240" w:lineRule="exact"/>
        <w:rPr>
          <w:rFonts w:ascii="Times New Roman" w:hAnsi="Times New Roman" w:cs="Times New Roman"/>
          <w:sz w:val="24"/>
          <w:szCs w:val="24"/>
          <w:lang w:val="pl-PL"/>
        </w:rPr>
      </w:pPr>
    </w:p>
    <w:p w14:paraId="650DBF2D" w14:textId="77777777" w:rsidR="002E5800" w:rsidRPr="008F328C" w:rsidRDefault="000E0B7C">
      <w:pPr>
        <w:pStyle w:val="a3"/>
        <w:rPr>
          <w:u w:val="single"/>
          <w:lang w:val="pl-PL"/>
        </w:rPr>
      </w:pPr>
      <w:r w:rsidRPr="008F328C">
        <w:rPr>
          <w:rFonts w:eastAsia="Times New Roman"/>
          <w:u w:val="single" w:color="000000"/>
          <w:lang w:val="pl-PL"/>
        </w:rPr>
        <w:t>Związek ekspozycji z odpowiedzią na leczenie u dzieci i młodzieży</w:t>
      </w:r>
    </w:p>
    <w:p w14:paraId="5B6C0826" w14:textId="77777777" w:rsidR="002E5800" w:rsidRPr="008F328C" w:rsidRDefault="002E5800">
      <w:pPr>
        <w:pStyle w:val="a3"/>
        <w:rPr>
          <w:lang w:val="pl-PL"/>
        </w:rPr>
      </w:pPr>
    </w:p>
    <w:p w14:paraId="5A817BBC" w14:textId="77777777" w:rsidR="002E5800" w:rsidRPr="008F328C" w:rsidRDefault="000E0B7C">
      <w:pPr>
        <w:pStyle w:val="a3"/>
        <w:rPr>
          <w:lang w:val="pl-PL"/>
        </w:rPr>
      </w:pPr>
      <w:r w:rsidRPr="008F328C">
        <w:rPr>
          <w:rFonts w:eastAsia="Times New Roman"/>
          <w:lang w:val="pl-PL"/>
        </w:rPr>
        <w:t>Na podstawie danych z badań klinicznych u pacjentów z WMIZS (pJIA i ERA) stwierdzono związek ekspozycja-odpowiedź na leczenie między stężeniami w osoczu, a odpowiedzią PedACR 50. Pozorne stężenie adalimumabu w osoczu dające 50% maksymalnego prawdopodobieństwa odpowiedzi PedACR 50 (EC50) wynosiło 3 μg/ml (95% CI: 1-6 μg/ml).</w:t>
      </w:r>
    </w:p>
    <w:p w14:paraId="3474C4A6" w14:textId="77777777" w:rsidR="002E5800" w:rsidRPr="008F328C" w:rsidRDefault="002E5800">
      <w:pPr>
        <w:spacing w:before="13" w:line="240" w:lineRule="exact"/>
        <w:rPr>
          <w:rFonts w:ascii="Times New Roman" w:hAnsi="Times New Roman" w:cs="Times New Roman"/>
          <w:sz w:val="24"/>
          <w:szCs w:val="24"/>
          <w:lang w:val="pl-PL"/>
        </w:rPr>
      </w:pPr>
    </w:p>
    <w:p w14:paraId="7EA8D69D" w14:textId="77777777" w:rsidR="002E5800" w:rsidRPr="008F328C" w:rsidRDefault="000E0B7C">
      <w:pPr>
        <w:pStyle w:val="a3"/>
        <w:rPr>
          <w:lang w:val="pl-PL"/>
        </w:rPr>
      </w:pPr>
      <w:r w:rsidRPr="008F328C">
        <w:rPr>
          <w:rFonts w:eastAsia="Times New Roman"/>
          <w:lang w:val="pl-PL"/>
        </w:rPr>
        <w:t>Związek ekspozycja-odpowiedź na leczenie między stężeniem adalimumabu a skutecznością u dzieci i młodzieży z ciężką postacią przewlekłej łuszczycy zwyczajnej (plackowatej) stwierdzono dla odpowiedzi PASI 75 i PGA, odpowiednio „czysta” lub „prawie czysta”. Odpowiedzi PASI 75 i PGA „czysta” lub „prawie czysta” zwiększały się wraz ze zwiększaniem się stężeń adalimumabu, w obydwu przypadkach przy podobnej pozornej wartości EC50 wynoszącej w przybliżeniu 4,5 μg/ml (95% CI odpowiednio 0,4-47,6 i 1,9-10,5).</w:t>
      </w:r>
    </w:p>
    <w:p w14:paraId="2E3E3BB9" w14:textId="77777777" w:rsidR="002E5800" w:rsidRPr="008F328C" w:rsidRDefault="002E5800">
      <w:pPr>
        <w:spacing w:before="13" w:line="240" w:lineRule="exact"/>
        <w:rPr>
          <w:rFonts w:ascii="Times New Roman" w:hAnsi="Times New Roman" w:cs="Times New Roman"/>
          <w:sz w:val="24"/>
          <w:szCs w:val="24"/>
          <w:lang w:val="pl-PL"/>
        </w:rPr>
      </w:pPr>
    </w:p>
    <w:p w14:paraId="2485F742" w14:textId="77777777" w:rsidR="002E5800" w:rsidRPr="008F328C" w:rsidRDefault="000E0B7C">
      <w:pPr>
        <w:pStyle w:val="a3"/>
        <w:rPr>
          <w:u w:val="single"/>
          <w:lang w:val="pl-PL"/>
        </w:rPr>
      </w:pPr>
      <w:r w:rsidRPr="008F328C">
        <w:rPr>
          <w:rFonts w:eastAsia="Times New Roman"/>
          <w:u w:val="single" w:color="000000"/>
          <w:lang w:val="pl-PL"/>
        </w:rPr>
        <w:t>Eliminacja</w:t>
      </w:r>
    </w:p>
    <w:p w14:paraId="426B6AA8" w14:textId="77777777" w:rsidR="002E5800" w:rsidRPr="008F328C" w:rsidRDefault="002E5800">
      <w:pPr>
        <w:spacing w:before="1" w:line="180" w:lineRule="exact"/>
        <w:rPr>
          <w:rFonts w:ascii="Times New Roman" w:hAnsi="Times New Roman" w:cs="Times New Roman"/>
          <w:sz w:val="18"/>
          <w:szCs w:val="18"/>
          <w:lang w:val="pl-PL"/>
        </w:rPr>
      </w:pPr>
    </w:p>
    <w:p w14:paraId="2DE7740B" w14:textId="77777777" w:rsidR="002E5800" w:rsidRPr="008F328C" w:rsidRDefault="000E0B7C">
      <w:pPr>
        <w:pStyle w:val="a3"/>
        <w:rPr>
          <w:lang w:val="pl-PL"/>
        </w:rPr>
      </w:pPr>
      <w:r w:rsidRPr="008F328C">
        <w:rPr>
          <w:rFonts w:eastAsia="Times New Roman"/>
          <w:lang w:val="pl-PL"/>
        </w:rPr>
        <w:t>Populacyjne analizy farmakokinetyki uwzgledniające dane od ponad 1300 pacjentów z RZS ujawniły tendencję do zwiększania się pozornego klirensu adalimumabu wraz ze zwiększeniem masy ciała. Po uwzględnieniu różnic w masie ciała, wydaje się, że płeć i wiek mają minimalny wpływ na klirens adalimumabu. Zaobserwowano, że stężenie wolnego adalimumabu w surowicy [niezwiązanego z przeciwciałami przeciw adalimumabowi (ang. anti-adalimumab antibodies, AAA)] było niższe u pacjentów z mierzalnym stężeniem AAA.</w:t>
      </w:r>
    </w:p>
    <w:p w14:paraId="235B88A3" w14:textId="77777777" w:rsidR="002E5800" w:rsidRPr="008F328C" w:rsidRDefault="002E5800">
      <w:pPr>
        <w:spacing w:before="13" w:line="240" w:lineRule="exact"/>
        <w:rPr>
          <w:rFonts w:ascii="Times New Roman" w:hAnsi="Times New Roman" w:cs="Times New Roman"/>
          <w:sz w:val="24"/>
          <w:szCs w:val="24"/>
          <w:lang w:val="pl-PL"/>
        </w:rPr>
      </w:pPr>
    </w:p>
    <w:p w14:paraId="0995A95D" w14:textId="77777777" w:rsidR="002E5800" w:rsidRPr="008F328C" w:rsidRDefault="000E0B7C">
      <w:pPr>
        <w:pStyle w:val="a3"/>
        <w:rPr>
          <w:u w:val="single"/>
          <w:lang w:val="pl-PL"/>
        </w:rPr>
      </w:pPr>
      <w:r w:rsidRPr="008F328C">
        <w:rPr>
          <w:rFonts w:eastAsia="Times New Roman"/>
          <w:u w:val="single" w:color="000000"/>
          <w:lang w:val="pl-PL"/>
        </w:rPr>
        <w:t>Zaburzenia czynności wątroby lub nerek</w:t>
      </w:r>
    </w:p>
    <w:p w14:paraId="4D8F0796" w14:textId="77777777" w:rsidR="002E5800" w:rsidRPr="008F328C" w:rsidRDefault="002E5800">
      <w:pPr>
        <w:spacing w:before="1" w:line="180" w:lineRule="exact"/>
        <w:rPr>
          <w:rFonts w:ascii="Times New Roman" w:hAnsi="Times New Roman" w:cs="Times New Roman"/>
          <w:sz w:val="18"/>
          <w:szCs w:val="18"/>
          <w:lang w:val="pl-PL"/>
        </w:rPr>
      </w:pPr>
    </w:p>
    <w:p w14:paraId="0322E52E" w14:textId="77777777" w:rsidR="002E5800" w:rsidRPr="008F328C" w:rsidRDefault="000E0B7C">
      <w:pPr>
        <w:pStyle w:val="a3"/>
        <w:rPr>
          <w:lang w:val="pl-PL"/>
        </w:rPr>
      </w:pPr>
      <w:r w:rsidRPr="008F328C">
        <w:rPr>
          <w:rFonts w:eastAsia="Times New Roman"/>
          <w:lang w:val="pl-PL"/>
        </w:rPr>
        <w:t>Nie badano stosowania adalimumabu u pacjentów z zaburzeniami czynności wątroby lub nerek.</w:t>
      </w:r>
    </w:p>
    <w:p w14:paraId="6CBEC776" w14:textId="77777777" w:rsidR="002E5800" w:rsidRPr="008F328C" w:rsidRDefault="002E5800">
      <w:pPr>
        <w:spacing w:before="18" w:line="240" w:lineRule="exact"/>
        <w:rPr>
          <w:rFonts w:ascii="Times New Roman" w:hAnsi="Times New Roman" w:cs="Times New Roman"/>
          <w:sz w:val="24"/>
          <w:szCs w:val="24"/>
          <w:lang w:val="pl-PL"/>
        </w:rPr>
      </w:pPr>
    </w:p>
    <w:p w14:paraId="6DF6EB15" w14:textId="77777777" w:rsidR="002E5800" w:rsidRPr="008F328C" w:rsidRDefault="000E0B7C">
      <w:pPr>
        <w:widowControl/>
        <w:numPr>
          <w:ilvl w:val="1"/>
          <w:numId w:val="3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Przedkliniczne dane o bezpieczeństwie</w:t>
      </w:r>
    </w:p>
    <w:p w14:paraId="34A58715" w14:textId="77777777" w:rsidR="002E5800" w:rsidRPr="008F328C" w:rsidRDefault="002E5800">
      <w:pPr>
        <w:spacing w:before="6" w:line="240" w:lineRule="exact"/>
        <w:rPr>
          <w:rFonts w:ascii="Times New Roman" w:hAnsi="Times New Roman" w:cs="Times New Roman"/>
          <w:sz w:val="24"/>
          <w:szCs w:val="24"/>
          <w:lang w:val="pl-PL"/>
        </w:rPr>
      </w:pPr>
    </w:p>
    <w:p w14:paraId="4D3BED3F" w14:textId="77777777" w:rsidR="002E5800" w:rsidRPr="008F328C" w:rsidRDefault="000E0B7C">
      <w:pPr>
        <w:pStyle w:val="a3"/>
        <w:rPr>
          <w:lang w:val="pl-PL"/>
        </w:rPr>
      </w:pPr>
      <w:r w:rsidRPr="008F328C">
        <w:rPr>
          <w:rFonts w:eastAsia="Times New Roman"/>
          <w:lang w:val="pl-PL"/>
        </w:rPr>
        <w:t>Dane niekliniczne, wynikające z badań dotyczących badań toksyczności po podaniu pojedynczym i wielokrotnym i genotoksyczności, nie ujawniają szczególnego zagrożenia dla człowieka</w:t>
      </w:r>
    </w:p>
    <w:p w14:paraId="0F0961B5" w14:textId="77777777" w:rsidR="002E5800" w:rsidRPr="008F328C" w:rsidRDefault="002E5800">
      <w:pPr>
        <w:spacing w:before="12" w:line="240" w:lineRule="exact"/>
        <w:rPr>
          <w:rFonts w:ascii="Times New Roman" w:hAnsi="Times New Roman" w:cs="Times New Roman"/>
          <w:sz w:val="24"/>
          <w:szCs w:val="24"/>
          <w:lang w:val="pl-PL"/>
        </w:rPr>
      </w:pPr>
    </w:p>
    <w:p w14:paraId="75F60BBB" w14:textId="27230258" w:rsidR="002E5800" w:rsidRPr="008F328C" w:rsidRDefault="000E0B7C">
      <w:pPr>
        <w:pStyle w:val="a3"/>
        <w:rPr>
          <w:rFonts w:eastAsia="Times New Roman"/>
          <w:lang w:val="pl-PL"/>
        </w:rPr>
      </w:pPr>
      <w:r w:rsidRPr="008F328C">
        <w:rPr>
          <w:rFonts w:eastAsia="Times New Roman"/>
          <w:lang w:val="pl-PL"/>
        </w:rPr>
        <w:t>Toksyczność adalimumabu na rozwój zarodka i płodu oraz w okresie okołourodzeniowym badano na małpach makakach, którym podawano dawki 0, 30 i 100 mg/kg mc. (9-17 małp w grupie). Nie stwierdzono szkodliwego działania adalimumabu na płody. Dla adalimumabu nie wykonano ani badań potencjalnego działania rakotwórczego ani standardowej oceny toksycznego działania na płodność i w okresie pourodzeniowym ze względu na brak odpowiednich modeli dla przeciwciała o ograniczonej reaktywności krzyżowej przeciw TNF u gryzoni oraz powstawanie neutralizujących przeciwciał u gryzoni.</w:t>
      </w:r>
    </w:p>
    <w:p w14:paraId="051DC28A" w14:textId="77777777" w:rsidR="00CC4159" w:rsidRPr="008F328C" w:rsidRDefault="00CC4159">
      <w:pPr>
        <w:pStyle w:val="a3"/>
        <w:rPr>
          <w:lang w:val="pl-PL"/>
        </w:rPr>
      </w:pPr>
    </w:p>
    <w:p w14:paraId="088708E9" w14:textId="77777777" w:rsidR="002E5800" w:rsidRPr="008F328C" w:rsidRDefault="002E5800">
      <w:pPr>
        <w:rPr>
          <w:rFonts w:ascii="Times New Roman" w:eastAsia="Times New Roman" w:hAnsi="Times New Roman" w:cs="Times New Roman"/>
          <w:lang w:val="pl-PL"/>
        </w:rPr>
      </w:pPr>
    </w:p>
    <w:p w14:paraId="3F6D9867" w14:textId="77777777" w:rsidR="002E5800" w:rsidRPr="008F328C" w:rsidRDefault="000E0B7C">
      <w:pPr>
        <w:widowControl/>
        <w:numPr>
          <w:ilvl w:val="0"/>
          <w:numId w:val="2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DANE FARMACEUTYCZNE</w:t>
      </w:r>
    </w:p>
    <w:p w14:paraId="6A7C8560" w14:textId="77777777" w:rsidR="002E5800" w:rsidRPr="008F328C" w:rsidRDefault="002E5800">
      <w:pPr>
        <w:spacing w:before="13" w:line="240" w:lineRule="exact"/>
        <w:rPr>
          <w:rFonts w:ascii="Times New Roman" w:hAnsi="Times New Roman" w:cs="Times New Roman"/>
          <w:sz w:val="24"/>
          <w:szCs w:val="24"/>
          <w:lang w:val="pl-PL"/>
        </w:rPr>
      </w:pPr>
    </w:p>
    <w:p w14:paraId="4615AB89"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Wykaz substancji pomocniczych</w:t>
      </w:r>
    </w:p>
    <w:p w14:paraId="486283AE" w14:textId="77777777" w:rsidR="002E5800" w:rsidRPr="008F328C" w:rsidRDefault="002E5800">
      <w:pPr>
        <w:spacing w:line="240" w:lineRule="exact"/>
        <w:rPr>
          <w:rFonts w:ascii="Times New Roman" w:hAnsi="Times New Roman" w:cs="Times New Roman"/>
          <w:sz w:val="24"/>
          <w:szCs w:val="24"/>
          <w:lang w:val="pl-PL"/>
        </w:rPr>
      </w:pPr>
    </w:p>
    <w:p w14:paraId="06628D0C" w14:textId="77777777" w:rsidR="002E5800" w:rsidRPr="008F328C" w:rsidRDefault="000E0B7C">
      <w:pPr>
        <w:pStyle w:val="a3"/>
        <w:rPr>
          <w:lang w:val="pl-PL"/>
        </w:rPr>
      </w:pPr>
      <w:r w:rsidRPr="008F328C">
        <w:rPr>
          <w:rFonts w:eastAsia="Times New Roman"/>
          <w:lang w:val="pl-PL"/>
        </w:rPr>
        <w:t>Kwas octowy</w:t>
      </w:r>
    </w:p>
    <w:p w14:paraId="0DC9A8E1" w14:textId="4CFC9000" w:rsidR="002E5800" w:rsidRPr="008F328C" w:rsidRDefault="000E0B7C">
      <w:pPr>
        <w:pStyle w:val="a3"/>
        <w:rPr>
          <w:lang w:val="pl-PL"/>
        </w:rPr>
      </w:pPr>
      <w:r w:rsidRPr="008F328C">
        <w:rPr>
          <w:rFonts w:eastAsia="Times New Roman"/>
          <w:lang w:val="pl-PL"/>
        </w:rPr>
        <w:t xml:space="preserve">Sodu </w:t>
      </w:r>
      <w:r w:rsidR="002D49C1" w:rsidRPr="008F328C">
        <w:rPr>
          <w:rFonts w:eastAsia="Times New Roman"/>
          <w:lang w:val="pl-PL"/>
        </w:rPr>
        <w:t xml:space="preserve">octan </w:t>
      </w:r>
      <w:r w:rsidRPr="008F328C">
        <w:rPr>
          <w:rFonts w:eastAsia="Times New Roman"/>
          <w:lang w:val="pl-PL"/>
        </w:rPr>
        <w:t xml:space="preserve">trójwodny </w:t>
      </w:r>
    </w:p>
    <w:p w14:paraId="0C6076F7" w14:textId="77777777" w:rsidR="002E5800" w:rsidRPr="008F328C" w:rsidRDefault="000E0B7C">
      <w:pPr>
        <w:pStyle w:val="a3"/>
        <w:rPr>
          <w:lang w:val="pl-PL"/>
        </w:rPr>
      </w:pPr>
      <w:r w:rsidRPr="008F328C">
        <w:rPr>
          <w:rFonts w:eastAsia="Times New Roman"/>
          <w:lang w:val="pl-PL"/>
        </w:rPr>
        <w:t>Glicyna</w:t>
      </w:r>
    </w:p>
    <w:p w14:paraId="6BC0902F" w14:textId="77777777" w:rsidR="002E5800" w:rsidRPr="008F328C" w:rsidRDefault="000E0B7C">
      <w:pPr>
        <w:pStyle w:val="a3"/>
        <w:rPr>
          <w:lang w:val="pl-PL"/>
        </w:rPr>
      </w:pPr>
      <w:r w:rsidRPr="008F328C">
        <w:rPr>
          <w:rFonts w:eastAsia="Times New Roman"/>
          <w:lang w:val="pl-PL"/>
        </w:rPr>
        <w:t>Polisorbat 80</w:t>
      </w:r>
    </w:p>
    <w:p w14:paraId="55684C97" w14:textId="77777777" w:rsidR="002E5800" w:rsidRPr="008F328C" w:rsidRDefault="000E0B7C">
      <w:pPr>
        <w:pStyle w:val="a3"/>
        <w:rPr>
          <w:lang w:val="pl-PL"/>
        </w:rPr>
      </w:pPr>
      <w:r w:rsidRPr="008F328C">
        <w:rPr>
          <w:rFonts w:eastAsia="Times New Roman"/>
          <w:lang w:val="pl-PL"/>
        </w:rPr>
        <w:t>Woda do wstrzykiwań</w:t>
      </w:r>
    </w:p>
    <w:p w14:paraId="1D4F1DE4" w14:textId="77777777" w:rsidR="002E5800" w:rsidRPr="008F328C" w:rsidRDefault="002E5800">
      <w:pPr>
        <w:spacing w:line="240" w:lineRule="exact"/>
        <w:rPr>
          <w:rFonts w:ascii="Times New Roman" w:hAnsi="Times New Roman" w:cs="Times New Roman"/>
          <w:sz w:val="24"/>
          <w:szCs w:val="24"/>
          <w:lang w:val="pl-PL"/>
        </w:rPr>
      </w:pPr>
    </w:p>
    <w:p w14:paraId="7F3A6FEB"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Niezgodności farmaceutyczne</w:t>
      </w:r>
    </w:p>
    <w:p w14:paraId="7FE47E22" w14:textId="77777777" w:rsidR="002E5800" w:rsidRPr="008F328C" w:rsidRDefault="002E5800">
      <w:pPr>
        <w:spacing w:line="240" w:lineRule="exact"/>
        <w:rPr>
          <w:rFonts w:ascii="Times New Roman" w:hAnsi="Times New Roman" w:cs="Times New Roman"/>
          <w:sz w:val="24"/>
          <w:szCs w:val="24"/>
          <w:lang w:val="pl-PL"/>
        </w:rPr>
      </w:pPr>
    </w:p>
    <w:p w14:paraId="7BC7D09D" w14:textId="77777777" w:rsidR="002E5800" w:rsidRPr="008F328C" w:rsidRDefault="000E0B7C">
      <w:pPr>
        <w:pStyle w:val="a3"/>
        <w:rPr>
          <w:lang w:val="pl-PL"/>
        </w:rPr>
      </w:pPr>
      <w:r w:rsidRPr="008F328C">
        <w:rPr>
          <w:rFonts w:eastAsia="Times New Roman"/>
          <w:lang w:val="pl-PL"/>
        </w:rPr>
        <w:t>Nie mieszać tego produktu leczniczego z innymi produktami leczniczymi, ponieważ nie wykonywano badań dotyczących zgodności.</w:t>
      </w:r>
    </w:p>
    <w:p w14:paraId="3B9B1763" w14:textId="77777777" w:rsidR="002E5800" w:rsidRPr="008F328C" w:rsidRDefault="002E5800">
      <w:pPr>
        <w:spacing w:line="240" w:lineRule="exact"/>
        <w:rPr>
          <w:rFonts w:ascii="Times New Roman" w:hAnsi="Times New Roman" w:cs="Times New Roman"/>
          <w:sz w:val="24"/>
          <w:szCs w:val="24"/>
          <w:lang w:val="pl-PL"/>
        </w:rPr>
      </w:pPr>
    </w:p>
    <w:p w14:paraId="47DD10A6"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Okres ważności</w:t>
      </w:r>
    </w:p>
    <w:p w14:paraId="06D4886D" w14:textId="77777777" w:rsidR="002E5800" w:rsidRPr="008F328C" w:rsidRDefault="002E5800">
      <w:pPr>
        <w:spacing w:line="240" w:lineRule="exact"/>
        <w:rPr>
          <w:rFonts w:ascii="Times New Roman" w:hAnsi="Times New Roman" w:cs="Times New Roman"/>
          <w:sz w:val="24"/>
          <w:szCs w:val="24"/>
          <w:lang w:val="pl-PL"/>
        </w:rPr>
      </w:pPr>
    </w:p>
    <w:p w14:paraId="22826217" w14:textId="72E07891" w:rsidR="002E5800" w:rsidRPr="008F328C" w:rsidRDefault="00037201">
      <w:pPr>
        <w:pStyle w:val="a3"/>
        <w:rPr>
          <w:rFonts w:eastAsia="Times New Roman"/>
          <w:lang w:val="pl-PL"/>
        </w:rPr>
      </w:pPr>
      <w:r w:rsidRPr="008F328C">
        <w:rPr>
          <w:rFonts w:eastAsia="Times New Roman"/>
          <w:lang w:val="pl-PL"/>
        </w:rPr>
        <w:t xml:space="preserve">3 </w:t>
      </w:r>
      <w:r w:rsidR="000E0B7C" w:rsidRPr="008F328C">
        <w:rPr>
          <w:rFonts w:eastAsia="Times New Roman"/>
          <w:lang w:val="pl-PL"/>
        </w:rPr>
        <w:t>lata</w:t>
      </w:r>
    </w:p>
    <w:p w14:paraId="7EF9D170" w14:textId="77777777" w:rsidR="002E5800" w:rsidRPr="008F328C" w:rsidRDefault="002E5800">
      <w:pPr>
        <w:spacing w:line="240" w:lineRule="exact"/>
        <w:rPr>
          <w:rFonts w:ascii="Times New Roman" w:hAnsi="Times New Roman" w:cs="Times New Roman"/>
          <w:sz w:val="24"/>
          <w:szCs w:val="24"/>
          <w:lang w:val="pl-PL"/>
        </w:rPr>
      </w:pPr>
    </w:p>
    <w:p w14:paraId="50E4A1A9"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lastRenderedPageBreak/>
        <w:t>Specjalne środki ostrożności podczas przechowywania</w:t>
      </w:r>
    </w:p>
    <w:p w14:paraId="6E1AA07E" w14:textId="77777777" w:rsidR="002E5800" w:rsidRPr="008F328C" w:rsidRDefault="002E5800">
      <w:pPr>
        <w:spacing w:line="260" w:lineRule="exact"/>
        <w:rPr>
          <w:rFonts w:ascii="Times New Roman" w:hAnsi="Times New Roman" w:cs="Times New Roman"/>
          <w:sz w:val="26"/>
          <w:szCs w:val="26"/>
          <w:lang w:val="pl-PL"/>
        </w:rPr>
      </w:pPr>
    </w:p>
    <w:p w14:paraId="0E8BE249" w14:textId="77777777" w:rsidR="002E5800" w:rsidRPr="008F328C" w:rsidRDefault="000E0B7C">
      <w:pPr>
        <w:pStyle w:val="a3"/>
        <w:rPr>
          <w:lang w:val="pl-PL"/>
        </w:rPr>
      </w:pPr>
      <w:r w:rsidRPr="008F328C">
        <w:rPr>
          <w:rFonts w:eastAsia="Times New Roman"/>
          <w:lang w:val="pl-PL"/>
        </w:rPr>
        <w:t>Przechowywać w lodówce (2</w:t>
      </w:r>
      <w:r w:rsidRPr="008F328C">
        <w:rPr>
          <w:rFonts w:eastAsia="Symbol"/>
          <w:lang w:val="pl-PL"/>
        </w:rPr>
        <w:sym w:font="Symbol" w:char="F0B0"/>
      </w:r>
      <w:r w:rsidRPr="008F328C">
        <w:rPr>
          <w:rFonts w:eastAsia="Times New Roman"/>
          <w:lang w:val="pl-PL"/>
        </w:rPr>
        <w:t>C – 8</w:t>
      </w:r>
      <w:r w:rsidRPr="008F328C">
        <w:rPr>
          <w:rFonts w:eastAsia="Symbol"/>
          <w:lang w:val="pl-PL"/>
        </w:rPr>
        <w:sym w:font="Symbol" w:char="F0B0"/>
      </w:r>
      <w:r w:rsidRPr="008F328C">
        <w:rPr>
          <w:rFonts w:eastAsia="Times New Roman"/>
          <w:lang w:val="pl-PL"/>
        </w:rPr>
        <w:t xml:space="preserve">C). Nie zamrażać. </w:t>
      </w:r>
    </w:p>
    <w:p w14:paraId="2774BC33" w14:textId="102D238C" w:rsidR="002E5800" w:rsidRPr="008F328C" w:rsidRDefault="000E0B7C">
      <w:pPr>
        <w:pStyle w:val="a3"/>
        <w:rPr>
          <w:lang w:val="pl-PL"/>
        </w:rPr>
      </w:pPr>
      <w:r w:rsidRPr="008F328C">
        <w:rPr>
          <w:rFonts w:eastAsia="Times New Roman"/>
          <w:lang w:val="pl-PL"/>
        </w:rPr>
        <w:t>Przechowywać ampułko-strzykawkę lub wstrzykiwacz w opakowaniu zewnętrznym w celu ochrony przed światłem.</w:t>
      </w:r>
    </w:p>
    <w:p w14:paraId="4464B46A" w14:textId="77777777" w:rsidR="002E5800" w:rsidRPr="008F328C" w:rsidRDefault="002E5800">
      <w:pPr>
        <w:spacing w:line="240" w:lineRule="exact"/>
        <w:rPr>
          <w:rFonts w:ascii="Times New Roman" w:hAnsi="Times New Roman" w:cs="Times New Roman"/>
          <w:sz w:val="24"/>
          <w:szCs w:val="24"/>
          <w:lang w:val="pl-PL"/>
        </w:rPr>
      </w:pPr>
    </w:p>
    <w:p w14:paraId="666A0FB6" w14:textId="5DBAF68D" w:rsidR="002E5800" w:rsidRPr="008F328C" w:rsidRDefault="000E0B7C">
      <w:pPr>
        <w:pStyle w:val="a3"/>
        <w:rPr>
          <w:lang w:val="pl-PL"/>
        </w:rPr>
      </w:pPr>
      <w:r w:rsidRPr="008F328C">
        <w:rPr>
          <w:rFonts w:eastAsia="Times New Roman"/>
          <w:lang w:val="pl-PL"/>
        </w:rPr>
        <w:t xml:space="preserve">Jedna ampułko-strzykawka lub wstrzykiwacz z produktem Yuflyma może być przechowywany w temperaturze do 25°C przez okres do </w:t>
      </w:r>
      <w:r w:rsidR="00091741" w:rsidRPr="008F328C">
        <w:rPr>
          <w:rFonts w:eastAsia="Times New Roman"/>
          <w:lang w:val="pl-PL"/>
        </w:rPr>
        <w:t xml:space="preserve">31 </w:t>
      </w:r>
      <w:r w:rsidRPr="008F328C">
        <w:rPr>
          <w:rFonts w:eastAsia="Times New Roman"/>
          <w:lang w:val="pl-PL"/>
        </w:rPr>
        <w:t xml:space="preserve">dni. Ampułko-strzykawkę lub wstrzykiwacz należy chronić przed światłem i wyrzucić, jeśli nie zostaną zużyte w ciągu </w:t>
      </w:r>
      <w:r w:rsidR="00091741" w:rsidRPr="008F328C">
        <w:rPr>
          <w:rFonts w:eastAsia="Times New Roman"/>
          <w:lang w:val="pl-PL"/>
        </w:rPr>
        <w:t xml:space="preserve">31 </w:t>
      </w:r>
      <w:r w:rsidRPr="008F328C">
        <w:rPr>
          <w:rFonts w:eastAsia="Times New Roman"/>
          <w:lang w:val="pl-PL"/>
        </w:rPr>
        <w:t>dni.</w:t>
      </w:r>
    </w:p>
    <w:p w14:paraId="0DE9A4B8" w14:textId="77777777" w:rsidR="002E5800" w:rsidRPr="008F328C" w:rsidRDefault="002E5800">
      <w:pPr>
        <w:spacing w:line="240" w:lineRule="exact"/>
        <w:rPr>
          <w:rFonts w:ascii="Times New Roman" w:hAnsi="Times New Roman" w:cs="Times New Roman"/>
          <w:sz w:val="24"/>
          <w:szCs w:val="24"/>
          <w:lang w:val="pl-PL"/>
        </w:rPr>
      </w:pPr>
    </w:p>
    <w:p w14:paraId="5760D406"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Rodzaj i zawartość opakowania</w:t>
      </w:r>
    </w:p>
    <w:p w14:paraId="38B2D853" w14:textId="77777777" w:rsidR="002E5800" w:rsidRPr="008F328C" w:rsidRDefault="002E5800">
      <w:pPr>
        <w:pStyle w:val="a4"/>
        <w:spacing w:line="240" w:lineRule="exact"/>
        <w:rPr>
          <w:rFonts w:ascii="Times New Roman" w:hAnsi="Times New Roman" w:cs="Times New Roman"/>
          <w:sz w:val="24"/>
          <w:szCs w:val="24"/>
          <w:lang w:val="pl-PL"/>
        </w:rPr>
      </w:pPr>
    </w:p>
    <w:p w14:paraId="4021C271" w14:textId="77777777" w:rsidR="002E5800" w:rsidRPr="008F328C" w:rsidRDefault="000E0B7C">
      <w:pPr>
        <w:pStyle w:val="a3"/>
        <w:rPr>
          <w:u w:val="single"/>
          <w:lang w:val="pl-PL"/>
        </w:rPr>
      </w:pPr>
      <w:r w:rsidRPr="008F328C">
        <w:rPr>
          <w:rFonts w:eastAsia="Times New Roman"/>
          <w:u w:val="single"/>
          <w:lang w:val="pl-PL"/>
        </w:rPr>
        <w:t>Yuflyma 40 mg roztwór do wstrzykiwań w ampułko-strzykawce</w:t>
      </w:r>
    </w:p>
    <w:p w14:paraId="6A2D3E2B" w14:textId="77777777" w:rsidR="002E5800" w:rsidRPr="008F328C" w:rsidRDefault="002E5800">
      <w:pPr>
        <w:pStyle w:val="a3"/>
        <w:rPr>
          <w:u w:val="single"/>
          <w:lang w:val="pl-PL"/>
        </w:rPr>
      </w:pPr>
    </w:p>
    <w:p w14:paraId="64B6DEA5" w14:textId="77777777" w:rsidR="002E5800" w:rsidRPr="008F328C" w:rsidRDefault="000E0B7C">
      <w:pPr>
        <w:pStyle w:val="a3"/>
        <w:rPr>
          <w:lang w:val="pl-PL"/>
        </w:rPr>
      </w:pPr>
      <w:r w:rsidRPr="008F328C">
        <w:rPr>
          <w:rFonts w:eastAsia="Times New Roman"/>
          <w:lang w:val="pl-PL"/>
        </w:rPr>
        <w:t>Roztwór do wstrzykiwań w ampułko-strzykawce do jednorazowego użytku (szkło typu I) z końcówką tłoka z gumy bromobutylowej i igłą z osłoną (elastomer termoplastyczny).</w:t>
      </w:r>
    </w:p>
    <w:p w14:paraId="568856C7" w14:textId="77777777" w:rsidR="002E5800" w:rsidRPr="008F328C" w:rsidRDefault="002E5800">
      <w:pPr>
        <w:spacing w:line="240" w:lineRule="exact"/>
        <w:rPr>
          <w:rFonts w:ascii="Times New Roman" w:hAnsi="Times New Roman" w:cs="Times New Roman"/>
          <w:sz w:val="24"/>
          <w:szCs w:val="24"/>
          <w:lang w:val="pl-PL"/>
        </w:rPr>
      </w:pPr>
    </w:p>
    <w:p w14:paraId="4775ED47" w14:textId="77777777" w:rsidR="002E5800" w:rsidRPr="008F328C" w:rsidRDefault="000E0B7C">
      <w:pPr>
        <w:pStyle w:val="a3"/>
        <w:rPr>
          <w:lang w:val="pl-PL"/>
        </w:rPr>
      </w:pPr>
      <w:r w:rsidRPr="008F328C">
        <w:rPr>
          <w:rFonts w:eastAsia="Times New Roman"/>
          <w:lang w:val="pl-PL"/>
        </w:rPr>
        <w:t>Opakowania zawierają:</w:t>
      </w:r>
    </w:p>
    <w:p w14:paraId="121CA698" w14:textId="77777777" w:rsidR="002E5800" w:rsidRPr="008F328C" w:rsidRDefault="000E0B7C">
      <w:pPr>
        <w:pStyle w:val="a3"/>
        <w:numPr>
          <w:ilvl w:val="0"/>
          <w:numId w:val="16"/>
        </w:numPr>
        <w:ind w:left="660" w:hanging="660"/>
        <w:rPr>
          <w:lang w:val="pl-PL"/>
        </w:rPr>
      </w:pPr>
      <w:r w:rsidRPr="008F328C">
        <w:rPr>
          <w:rFonts w:eastAsia="Times New Roman"/>
          <w:lang w:val="pl-PL"/>
        </w:rPr>
        <w:t>1 ampułko-strzykawkę (0,4 ml jałowego roztworu) i 2 gaziki nasączone alkoholem.</w:t>
      </w:r>
    </w:p>
    <w:p w14:paraId="702FDAF9" w14:textId="77777777" w:rsidR="002E5800" w:rsidRPr="008F328C" w:rsidRDefault="000E0B7C">
      <w:pPr>
        <w:pStyle w:val="a3"/>
        <w:numPr>
          <w:ilvl w:val="0"/>
          <w:numId w:val="16"/>
        </w:numPr>
        <w:ind w:left="660" w:hanging="660"/>
        <w:rPr>
          <w:lang w:val="pl-PL"/>
        </w:rPr>
      </w:pPr>
      <w:r w:rsidRPr="008F328C">
        <w:rPr>
          <w:rFonts w:eastAsia="Times New Roman"/>
          <w:lang w:val="pl-PL"/>
        </w:rPr>
        <w:t>2 ampułko-strzykawki (0,4 ml jałowego roztworu), każda z 1 gazikiem nasączonym alkoholem.</w:t>
      </w:r>
    </w:p>
    <w:p w14:paraId="76F086C7" w14:textId="77777777" w:rsidR="002E5800" w:rsidRPr="008F328C" w:rsidRDefault="000E0B7C">
      <w:pPr>
        <w:pStyle w:val="a3"/>
        <w:numPr>
          <w:ilvl w:val="0"/>
          <w:numId w:val="16"/>
        </w:numPr>
        <w:ind w:left="660" w:hanging="660"/>
        <w:rPr>
          <w:lang w:val="pl-PL"/>
        </w:rPr>
      </w:pPr>
      <w:r w:rsidRPr="008F328C">
        <w:rPr>
          <w:rFonts w:eastAsia="Times New Roman"/>
          <w:lang w:val="pl-PL"/>
        </w:rPr>
        <w:t>4 ampułko-strzykawki (0,4 ml jałowego roztworu), każda z 1 gazikiem nasączonym alkoholem.</w:t>
      </w:r>
    </w:p>
    <w:p w14:paraId="046F781B" w14:textId="77777777" w:rsidR="002E5800" w:rsidRPr="008F328C" w:rsidRDefault="000E0B7C">
      <w:pPr>
        <w:pStyle w:val="a3"/>
        <w:numPr>
          <w:ilvl w:val="0"/>
          <w:numId w:val="16"/>
        </w:numPr>
        <w:ind w:left="660" w:hanging="660"/>
        <w:rPr>
          <w:lang w:val="pl-PL"/>
        </w:rPr>
      </w:pPr>
      <w:r w:rsidRPr="008F328C">
        <w:rPr>
          <w:rFonts w:eastAsia="Times New Roman"/>
          <w:lang w:val="pl-PL"/>
        </w:rPr>
        <w:t>6 ampułko-strzykawek (0,4 ml jałowego roztworu), każda z 1 gazikiem nasączonym alkoholem.</w:t>
      </w:r>
    </w:p>
    <w:p w14:paraId="435F685E" w14:textId="77777777" w:rsidR="002E5800" w:rsidRPr="008F328C" w:rsidRDefault="002E5800">
      <w:pPr>
        <w:spacing w:before="13" w:line="240" w:lineRule="exact"/>
        <w:rPr>
          <w:rFonts w:ascii="Times New Roman" w:hAnsi="Times New Roman" w:cs="Times New Roman"/>
          <w:sz w:val="24"/>
          <w:szCs w:val="24"/>
          <w:lang w:val="pl-PL"/>
        </w:rPr>
      </w:pPr>
    </w:p>
    <w:p w14:paraId="3E33BFB5" w14:textId="77777777" w:rsidR="002E5800" w:rsidRPr="008F328C" w:rsidRDefault="000E0B7C">
      <w:pPr>
        <w:pStyle w:val="a3"/>
        <w:rPr>
          <w:u w:val="single"/>
          <w:lang w:val="pl-PL"/>
        </w:rPr>
      </w:pPr>
      <w:r w:rsidRPr="008F328C">
        <w:rPr>
          <w:rFonts w:eastAsia="Times New Roman"/>
          <w:u w:val="single"/>
          <w:lang w:val="pl-PL"/>
        </w:rPr>
        <w:t>Yuflyma 40 mg roztwór do wstrzykiwań w ampułko-strzykawce z osłoną igły</w:t>
      </w:r>
    </w:p>
    <w:p w14:paraId="624E4942" w14:textId="77777777" w:rsidR="002E5800" w:rsidRPr="008F328C" w:rsidRDefault="002E5800">
      <w:pPr>
        <w:pStyle w:val="a3"/>
        <w:rPr>
          <w:u w:val="single"/>
          <w:lang w:val="pl-PL"/>
        </w:rPr>
      </w:pPr>
    </w:p>
    <w:p w14:paraId="705D6641" w14:textId="77777777" w:rsidR="002E5800" w:rsidRPr="008F328C" w:rsidRDefault="000E0B7C">
      <w:pPr>
        <w:pStyle w:val="a3"/>
        <w:rPr>
          <w:lang w:val="pl-PL"/>
        </w:rPr>
      </w:pPr>
      <w:r w:rsidRPr="008F328C">
        <w:rPr>
          <w:rFonts w:eastAsia="Times New Roman"/>
          <w:lang w:val="pl-PL"/>
        </w:rPr>
        <w:t>Strzykawka jest wykonane z szkła typu I z końcówką tłoka z gumy bromobutylowej i igłą z osłoną (elastomer termoplastyczny).</w:t>
      </w:r>
    </w:p>
    <w:p w14:paraId="4A28C06D" w14:textId="77777777" w:rsidR="002E5800" w:rsidRPr="008F328C" w:rsidRDefault="002E5800">
      <w:pPr>
        <w:spacing w:line="240" w:lineRule="exact"/>
        <w:rPr>
          <w:rFonts w:ascii="Times New Roman" w:hAnsi="Times New Roman" w:cs="Times New Roman"/>
          <w:sz w:val="24"/>
          <w:szCs w:val="24"/>
          <w:lang w:val="pl-PL"/>
        </w:rPr>
      </w:pPr>
    </w:p>
    <w:p w14:paraId="186AF655" w14:textId="77777777" w:rsidR="002E5800" w:rsidRPr="008F328C" w:rsidRDefault="000E0B7C">
      <w:pPr>
        <w:pStyle w:val="a3"/>
        <w:rPr>
          <w:lang w:val="pl-PL"/>
        </w:rPr>
      </w:pPr>
      <w:r w:rsidRPr="008F328C">
        <w:rPr>
          <w:rFonts w:eastAsia="Times New Roman"/>
          <w:lang w:val="pl-PL"/>
        </w:rPr>
        <w:t>Opakowania zawierają:</w:t>
      </w:r>
    </w:p>
    <w:p w14:paraId="5A78E176" w14:textId="77777777" w:rsidR="002E5800" w:rsidRPr="008F328C" w:rsidRDefault="000E0B7C">
      <w:pPr>
        <w:pStyle w:val="a3"/>
        <w:numPr>
          <w:ilvl w:val="0"/>
          <w:numId w:val="16"/>
        </w:numPr>
        <w:ind w:left="660" w:hanging="660"/>
        <w:rPr>
          <w:lang w:val="pl-PL"/>
        </w:rPr>
      </w:pPr>
      <w:r w:rsidRPr="008F328C">
        <w:rPr>
          <w:rFonts w:eastAsia="Times New Roman"/>
          <w:lang w:val="pl-PL"/>
        </w:rPr>
        <w:t>1 ampułko-strzykawkę z osłoną (0,4 ml jałowego roztworu) i 2 gaziki nasączone alkoholem.</w:t>
      </w:r>
    </w:p>
    <w:p w14:paraId="6A6E49C0" w14:textId="77777777" w:rsidR="002E5800" w:rsidRPr="008F328C" w:rsidRDefault="000E0B7C">
      <w:pPr>
        <w:pStyle w:val="a3"/>
        <w:numPr>
          <w:ilvl w:val="0"/>
          <w:numId w:val="16"/>
        </w:numPr>
        <w:ind w:left="660" w:hanging="660"/>
        <w:rPr>
          <w:lang w:val="pl-PL"/>
        </w:rPr>
      </w:pPr>
      <w:r w:rsidRPr="008F328C">
        <w:rPr>
          <w:rFonts w:eastAsia="Times New Roman"/>
          <w:lang w:val="pl-PL"/>
        </w:rPr>
        <w:t>2 ampułko-strzykawki z osłoną (0,4 ml jałowego roztworu), każda z 1 gazikiem nasączonym alkoholem.</w:t>
      </w:r>
    </w:p>
    <w:p w14:paraId="24103B72" w14:textId="77777777" w:rsidR="002E5800" w:rsidRPr="008F328C" w:rsidRDefault="000E0B7C">
      <w:pPr>
        <w:pStyle w:val="a3"/>
        <w:numPr>
          <w:ilvl w:val="0"/>
          <w:numId w:val="16"/>
        </w:numPr>
        <w:ind w:left="660" w:hanging="660"/>
        <w:rPr>
          <w:lang w:val="pl-PL"/>
        </w:rPr>
      </w:pPr>
      <w:r w:rsidRPr="008F328C">
        <w:rPr>
          <w:rFonts w:eastAsia="Times New Roman"/>
          <w:lang w:val="pl-PL"/>
        </w:rPr>
        <w:t>4 ampułko-strzykawki z osłoną (0,4 ml jałowego roztworu), każda z 1 gazikiem nasączonym alkoholem.</w:t>
      </w:r>
    </w:p>
    <w:p w14:paraId="1DC53F16" w14:textId="77777777" w:rsidR="002E5800" w:rsidRPr="008F328C" w:rsidRDefault="000E0B7C">
      <w:pPr>
        <w:pStyle w:val="a3"/>
        <w:numPr>
          <w:ilvl w:val="0"/>
          <w:numId w:val="16"/>
        </w:numPr>
        <w:ind w:left="660" w:hanging="660"/>
        <w:rPr>
          <w:rFonts w:eastAsia="Times New Roman"/>
          <w:lang w:val="pl-PL"/>
        </w:rPr>
      </w:pPr>
      <w:r w:rsidRPr="008F328C">
        <w:rPr>
          <w:rFonts w:eastAsia="Times New Roman"/>
          <w:lang w:val="pl-PL"/>
        </w:rPr>
        <w:t>6 ampułko-strzykawki z osłoną (0,4 ml jałowego roztworu), każda z 1 gazikiem nasączonym alkoholem.</w:t>
      </w:r>
    </w:p>
    <w:p w14:paraId="3311EB16" w14:textId="77777777" w:rsidR="002E5800" w:rsidRPr="008F328C" w:rsidRDefault="002E5800">
      <w:pPr>
        <w:pStyle w:val="a3"/>
        <w:rPr>
          <w:rFonts w:eastAsia="Times New Roman"/>
          <w:u w:val="single"/>
          <w:lang w:val="pl-PL"/>
        </w:rPr>
      </w:pPr>
    </w:p>
    <w:p w14:paraId="51747864" w14:textId="6AE9B3C4" w:rsidR="002E5800" w:rsidRPr="008F328C" w:rsidRDefault="000E0B7C">
      <w:pPr>
        <w:pStyle w:val="a3"/>
        <w:rPr>
          <w:u w:val="single"/>
          <w:lang w:val="pl-PL"/>
        </w:rPr>
      </w:pPr>
      <w:r w:rsidRPr="008F328C">
        <w:rPr>
          <w:rFonts w:eastAsia="Times New Roman"/>
          <w:u w:val="single"/>
          <w:lang w:val="pl-PL"/>
        </w:rPr>
        <w:t>Yuflyma 40 mg w postaci roztworu do wstrzykiwań w</w:t>
      </w:r>
      <w:r w:rsidR="002D49C1" w:rsidRPr="008F328C">
        <w:rPr>
          <w:rFonts w:eastAsia="Times New Roman"/>
          <w:u w:val="single"/>
          <w:lang w:val="pl-PL"/>
        </w:rPr>
        <w:t>e</w:t>
      </w:r>
      <w:r w:rsidRPr="008F328C">
        <w:rPr>
          <w:rFonts w:eastAsia="Times New Roman"/>
          <w:u w:val="single"/>
          <w:lang w:val="pl-PL"/>
        </w:rPr>
        <w:t xml:space="preserve"> wstrzykiwaczu</w:t>
      </w:r>
    </w:p>
    <w:p w14:paraId="7C3B8684" w14:textId="77777777" w:rsidR="002E5800" w:rsidRPr="008F328C" w:rsidRDefault="002E5800">
      <w:pPr>
        <w:pStyle w:val="a3"/>
        <w:rPr>
          <w:u w:val="single"/>
          <w:lang w:val="pl-PL"/>
        </w:rPr>
      </w:pPr>
    </w:p>
    <w:p w14:paraId="12A46F44" w14:textId="452FA164" w:rsidR="002E5800" w:rsidRPr="008F328C" w:rsidRDefault="000E0B7C">
      <w:pPr>
        <w:pStyle w:val="a3"/>
        <w:rPr>
          <w:lang w:val="pl-PL"/>
        </w:rPr>
      </w:pPr>
      <w:r w:rsidRPr="008F328C">
        <w:rPr>
          <w:rFonts w:eastAsia="Times New Roman"/>
          <w:lang w:val="pl-PL"/>
        </w:rPr>
        <w:t>Roztwór do wstrzykiwań w</w:t>
      </w:r>
      <w:r w:rsidR="002D49C1" w:rsidRPr="008F328C">
        <w:rPr>
          <w:rFonts w:eastAsia="Times New Roman"/>
          <w:lang w:val="pl-PL"/>
        </w:rPr>
        <w:t>e</w:t>
      </w:r>
      <w:r w:rsidRPr="008F328C">
        <w:rPr>
          <w:rFonts w:eastAsia="Times New Roman"/>
          <w:lang w:val="pl-PL"/>
        </w:rPr>
        <w:t xml:space="preserve"> wstrzykiwaczu do stosowania u pacjenta</w:t>
      </w:r>
      <w:r w:rsidR="002D49C1" w:rsidRPr="008F328C">
        <w:rPr>
          <w:rFonts w:eastAsia="Times New Roman"/>
          <w:lang w:val="pl-PL"/>
        </w:rPr>
        <w:t xml:space="preserve"> zawierający</w:t>
      </w:r>
      <w:r w:rsidRPr="008F328C">
        <w:rPr>
          <w:rFonts w:eastAsia="Times New Roman"/>
          <w:lang w:val="pl-PL"/>
        </w:rPr>
        <w:t xml:space="preserve"> ampułko-</w:t>
      </w:r>
      <w:r w:rsidR="002D49C1" w:rsidRPr="008F328C">
        <w:rPr>
          <w:rFonts w:eastAsia="Times New Roman"/>
          <w:lang w:val="pl-PL"/>
        </w:rPr>
        <w:t>strzykawkę</w:t>
      </w:r>
      <w:r w:rsidRPr="008F328C">
        <w:rPr>
          <w:rFonts w:eastAsia="Times New Roman"/>
          <w:lang w:val="pl-PL"/>
        </w:rPr>
        <w:t>. Strzykawka wewnątrz wstrzykiwacza jest wykonana z szkła typu 1 z końcówką tłoka z gumy bromobutylowej i igły z osłoną (z elastomeru termoplastycznego).</w:t>
      </w:r>
    </w:p>
    <w:p w14:paraId="494D3A2D" w14:textId="77777777" w:rsidR="002E5800" w:rsidRPr="008F328C" w:rsidRDefault="002E5800">
      <w:pPr>
        <w:spacing w:line="240" w:lineRule="exact"/>
        <w:rPr>
          <w:rFonts w:ascii="Times New Roman" w:hAnsi="Times New Roman" w:cs="Times New Roman"/>
          <w:sz w:val="24"/>
          <w:szCs w:val="24"/>
          <w:lang w:val="pl-PL"/>
        </w:rPr>
      </w:pPr>
    </w:p>
    <w:p w14:paraId="32BDAC36" w14:textId="77777777" w:rsidR="002E5800" w:rsidRPr="008F328C" w:rsidRDefault="000E0B7C">
      <w:pPr>
        <w:pStyle w:val="a3"/>
        <w:rPr>
          <w:lang w:val="pl-PL"/>
        </w:rPr>
      </w:pPr>
      <w:r w:rsidRPr="008F328C">
        <w:rPr>
          <w:rFonts w:eastAsia="Times New Roman"/>
          <w:lang w:val="pl-PL"/>
        </w:rPr>
        <w:t>Opakowania zawierają:</w:t>
      </w:r>
    </w:p>
    <w:p w14:paraId="3184619E" w14:textId="77777777" w:rsidR="002E5800" w:rsidRPr="008F328C" w:rsidRDefault="000E0B7C">
      <w:pPr>
        <w:pStyle w:val="a3"/>
        <w:numPr>
          <w:ilvl w:val="1"/>
          <w:numId w:val="16"/>
        </w:numPr>
        <w:ind w:left="660" w:hanging="660"/>
        <w:rPr>
          <w:lang w:val="pl-PL"/>
        </w:rPr>
      </w:pPr>
      <w:r w:rsidRPr="008F328C">
        <w:rPr>
          <w:rFonts w:eastAsia="Times New Roman"/>
          <w:lang w:val="pl-PL"/>
        </w:rPr>
        <w:t>1 półautomatyczny wstrzykiwacz (0,4 ml jałowego roztworu) i 2 gaziki nasączone alkoholem.</w:t>
      </w:r>
    </w:p>
    <w:p w14:paraId="3EA1C79C" w14:textId="77777777" w:rsidR="002E5800" w:rsidRPr="008F328C" w:rsidRDefault="000E0B7C">
      <w:pPr>
        <w:pStyle w:val="a3"/>
        <w:numPr>
          <w:ilvl w:val="1"/>
          <w:numId w:val="16"/>
        </w:numPr>
        <w:ind w:left="660" w:hanging="660"/>
        <w:rPr>
          <w:lang w:val="pl-PL"/>
        </w:rPr>
      </w:pPr>
      <w:r w:rsidRPr="008F328C">
        <w:rPr>
          <w:rFonts w:eastAsia="Times New Roman"/>
          <w:lang w:val="pl-PL"/>
        </w:rPr>
        <w:t>2 półautomatyczne wstrzykiwacze (0,4 ml jałowego roztworu), każdy z 1 gazikiem nasączonym alkoholem.</w:t>
      </w:r>
    </w:p>
    <w:p w14:paraId="5F738403" w14:textId="77777777" w:rsidR="002E5800" w:rsidRPr="008F328C" w:rsidRDefault="000E0B7C">
      <w:pPr>
        <w:pStyle w:val="a3"/>
        <w:numPr>
          <w:ilvl w:val="1"/>
          <w:numId w:val="16"/>
        </w:numPr>
        <w:ind w:left="660" w:hanging="660"/>
        <w:rPr>
          <w:lang w:val="pl-PL"/>
        </w:rPr>
      </w:pPr>
      <w:r w:rsidRPr="008F328C">
        <w:rPr>
          <w:rFonts w:eastAsia="Times New Roman"/>
          <w:lang w:val="pl-PL"/>
        </w:rPr>
        <w:t>4 półautomatyczne wstrzykiwacze (0,4 ml jałowego roztworu), każdy z 1 gazikiem nasączonym alkoholem.</w:t>
      </w:r>
    </w:p>
    <w:p w14:paraId="6D9C46D9" w14:textId="77777777" w:rsidR="002E5800" w:rsidRPr="008F328C" w:rsidRDefault="000E0B7C">
      <w:pPr>
        <w:pStyle w:val="a3"/>
        <w:numPr>
          <w:ilvl w:val="1"/>
          <w:numId w:val="16"/>
        </w:numPr>
        <w:ind w:left="660" w:hanging="660"/>
        <w:rPr>
          <w:lang w:val="pl-PL"/>
        </w:rPr>
      </w:pPr>
      <w:r w:rsidRPr="008F328C">
        <w:rPr>
          <w:rFonts w:eastAsia="Times New Roman"/>
          <w:lang w:val="pl-PL"/>
        </w:rPr>
        <w:t>6 półautomatycznych wstrzykiwaczy (0,4 ml jałowego roztworu), każdy z 1 gazikiem nasączonym alkoholem.</w:t>
      </w:r>
    </w:p>
    <w:p w14:paraId="1F56D1EB" w14:textId="77777777" w:rsidR="002E5800" w:rsidRPr="008F328C" w:rsidRDefault="002E5800">
      <w:pPr>
        <w:spacing w:before="10" w:line="240" w:lineRule="exact"/>
        <w:rPr>
          <w:rFonts w:ascii="Times New Roman" w:hAnsi="Times New Roman" w:cs="Times New Roman"/>
          <w:sz w:val="24"/>
          <w:szCs w:val="24"/>
          <w:lang w:val="pl-PL"/>
        </w:rPr>
      </w:pPr>
    </w:p>
    <w:p w14:paraId="60BFEB2D" w14:textId="77777777" w:rsidR="002E5800" w:rsidRPr="008F328C" w:rsidRDefault="000E0B7C">
      <w:pPr>
        <w:pStyle w:val="a3"/>
        <w:rPr>
          <w:lang w:val="pl-PL"/>
        </w:rPr>
      </w:pPr>
      <w:r w:rsidRPr="008F328C">
        <w:rPr>
          <w:rFonts w:eastAsia="Times New Roman"/>
          <w:lang w:val="pl-PL"/>
        </w:rPr>
        <w:t>Nie wszystkie rodzaje i wielkości opakowań muszą znajdować się w obrocie.</w:t>
      </w:r>
    </w:p>
    <w:p w14:paraId="3DAE1023" w14:textId="77777777" w:rsidR="002E5800" w:rsidRPr="008F328C" w:rsidRDefault="002E5800">
      <w:pPr>
        <w:widowControl/>
        <w:tabs>
          <w:tab w:val="left" w:pos="567"/>
        </w:tabs>
        <w:spacing w:line="260" w:lineRule="exact"/>
        <w:rPr>
          <w:rFonts w:ascii="Times New Roman" w:eastAsia="Times New Roman" w:hAnsi="Times New Roman" w:cs="Times New Roman"/>
          <w:b/>
          <w:lang w:val="pl-PL"/>
        </w:rPr>
      </w:pPr>
    </w:p>
    <w:p w14:paraId="59ADF30B" w14:textId="77777777" w:rsidR="002E5800" w:rsidRPr="008F328C" w:rsidRDefault="000E0B7C">
      <w:pPr>
        <w:widowControl/>
        <w:numPr>
          <w:ilvl w:val="1"/>
          <w:numId w:val="31"/>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środki ostrożności dotyczące usuwania</w:t>
      </w:r>
    </w:p>
    <w:p w14:paraId="0151CF28" w14:textId="77777777" w:rsidR="002E5800" w:rsidRPr="008F328C" w:rsidRDefault="002E5800">
      <w:pPr>
        <w:spacing w:before="12" w:line="240" w:lineRule="exact"/>
        <w:rPr>
          <w:rFonts w:ascii="Times New Roman" w:hAnsi="Times New Roman" w:cs="Times New Roman"/>
          <w:sz w:val="24"/>
          <w:szCs w:val="24"/>
          <w:lang w:val="pl-PL"/>
        </w:rPr>
      </w:pPr>
    </w:p>
    <w:p w14:paraId="3A84E30F" w14:textId="77777777" w:rsidR="002E5800" w:rsidRPr="008F328C" w:rsidRDefault="000E0B7C">
      <w:pPr>
        <w:pStyle w:val="a3"/>
        <w:rPr>
          <w:lang w:val="pl-PL"/>
        </w:rPr>
      </w:pPr>
      <w:r w:rsidRPr="008F328C">
        <w:rPr>
          <w:rFonts w:eastAsia="Times New Roman"/>
          <w:lang w:val="pl-PL"/>
        </w:rPr>
        <w:t xml:space="preserve">Wszelkie niewykorzystane resztki produktu leczniczego lub jego odpady należy usunąć zgodnie z lokalnymi przepisami. </w:t>
      </w:r>
    </w:p>
    <w:p w14:paraId="18961FC1" w14:textId="60BE61F1" w:rsidR="002E5800" w:rsidRPr="008F328C" w:rsidRDefault="002E5800" w:rsidP="00D22235">
      <w:pPr>
        <w:keepNext/>
        <w:widowControl/>
        <w:tabs>
          <w:tab w:val="left" w:pos="567"/>
        </w:tabs>
        <w:rPr>
          <w:rFonts w:ascii="Times New Roman" w:eastAsia="Times New Roman" w:hAnsi="Times New Roman" w:cs="Times New Roman"/>
          <w:b/>
          <w:szCs w:val="20"/>
          <w:lang w:val="pl-PL" w:eastAsia="pl-PL" w:bidi="pl-PL"/>
        </w:rPr>
      </w:pPr>
    </w:p>
    <w:p w14:paraId="02C04A46" w14:textId="77777777" w:rsidR="00CC4159" w:rsidRPr="008F328C" w:rsidRDefault="00CC4159" w:rsidP="00D22235">
      <w:pPr>
        <w:keepNext/>
        <w:widowControl/>
        <w:tabs>
          <w:tab w:val="left" w:pos="567"/>
        </w:tabs>
        <w:rPr>
          <w:rFonts w:ascii="Times New Roman" w:eastAsia="Times New Roman" w:hAnsi="Times New Roman" w:cs="Times New Roman"/>
          <w:b/>
          <w:szCs w:val="20"/>
          <w:lang w:val="pl-PL" w:eastAsia="pl-PL" w:bidi="pl-PL"/>
        </w:rPr>
      </w:pPr>
    </w:p>
    <w:p w14:paraId="524CEB94" w14:textId="77777777" w:rsidR="002E5800" w:rsidRPr="008F328C" w:rsidRDefault="000E0B7C">
      <w:pPr>
        <w:pStyle w:val="a4"/>
        <w:keepNext/>
        <w:widowControl/>
        <w:numPr>
          <w:ilvl w:val="0"/>
          <w:numId w:val="26"/>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PODMIOT ODPOWIEDZIALNY POSIADAJĄCY POZWOLENIE NA DOPUSZCZENIE DO OBROTU</w:t>
      </w:r>
    </w:p>
    <w:p w14:paraId="6BF67D01" w14:textId="77777777" w:rsidR="002E5800" w:rsidRPr="008F328C" w:rsidRDefault="002E5800">
      <w:pPr>
        <w:spacing w:before="12" w:line="240" w:lineRule="exact"/>
        <w:rPr>
          <w:rFonts w:ascii="Times New Roman" w:hAnsi="Times New Roman" w:cs="Times New Roman"/>
          <w:sz w:val="24"/>
          <w:szCs w:val="24"/>
          <w:lang w:val="pl-PL"/>
        </w:rPr>
      </w:pPr>
    </w:p>
    <w:p w14:paraId="6A26934F" w14:textId="77777777" w:rsidR="002E5800" w:rsidRPr="008F328C" w:rsidRDefault="000E0B7C">
      <w:pPr>
        <w:pStyle w:val="a3"/>
        <w:rPr>
          <w:lang w:val="en-GB"/>
        </w:rPr>
      </w:pPr>
      <w:r w:rsidRPr="008F328C">
        <w:rPr>
          <w:lang w:val="en-GB"/>
        </w:rPr>
        <w:t xml:space="preserve">Celltrion Healthcare Hungary Kft. </w:t>
      </w:r>
    </w:p>
    <w:p w14:paraId="64EE38F4" w14:textId="77777777" w:rsidR="002E5800" w:rsidRPr="008F328C" w:rsidRDefault="000E0B7C">
      <w:pPr>
        <w:pStyle w:val="a3"/>
        <w:rPr>
          <w:lang w:val="en-GB"/>
        </w:rPr>
      </w:pPr>
      <w:r w:rsidRPr="008F328C">
        <w:rPr>
          <w:lang w:val="en-GB"/>
        </w:rPr>
        <w:t>1062 Budapest</w:t>
      </w:r>
    </w:p>
    <w:p w14:paraId="220BE121" w14:textId="77777777" w:rsidR="002E5800" w:rsidRPr="008F328C" w:rsidRDefault="000E0B7C">
      <w:pPr>
        <w:pStyle w:val="a3"/>
      </w:pPr>
      <w:r w:rsidRPr="008F328C">
        <w:rPr>
          <w:lang w:val="en-GB"/>
        </w:rPr>
        <w:t xml:space="preserve">Váci út 1-3. </w:t>
      </w:r>
      <w:r w:rsidRPr="008F328C">
        <w:t>WestEnd Office Building B torony</w:t>
      </w:r>
    </w:p>
    <w:p w14:paraId="3CC86576" w14:textId="77777777" w:rsidR="002E5800" w:rsidRPr="008F328C" w:rsidRDefault="000E0B7C">
      <w:pPr>
        <w:pStyle w:val="a3"/>
      </w:pPr>
      <w:r w:rsidRPr="008F328C">
        <w:rPr>
          <w:rFonts w:eastAsia="Times New Roman"/>
        </w:rPr>
        <w:t>Węgry</w:t>
      </w:r>
    </w:p>
    <w:p w14:paraId="04A542F0" w14:textId="04DE3C7E" w:rsidR="002E5800" w:rsidRPr="008F328C" w:rsidRDefault="002E5800">
      <w:pPr>
        <w:spacing w:line="200" w:lineRule="exact"/>
        <w:rPr>
          <w:rFonts w:ascii="Times New Roman" w:hAnsi="Times New Roman" w:cs="Times New Roman"/>
          <w:sz w:val="20"/>
          <w:szCs w:val="20"/>
        </w:rPr>
      </w:pPr>
    </w:p>
    <w:p w14:paraId="5CC35E53" w14:textId="77777777" w:rsidR="00CC4159" w:rsidRPr="008F328C" w:rsidRDefault="00CC4159">
      <w:pPr>
        <w:spacing w:line="200" w:lineRule="exact"/>
        <w:rPr>
          <w:rFonts w:ascii="Times New Roman" w:hAnsi="Times New Roman" w:cs="Times New Roman"/>
          <w:sz w:val="20"/>
          <w:szCs w:val="20"/>
        </w:rPr>
      </w:pPr>
    </w:p>
    <w:p w14:paraId="5305A81C" w14:textId="77777777" w:rsidR="002E5800" w:rsidRPr="008F328C" w:rsidRDefault="000E0B7C">
      <w:pPr>
        <w:widowControl/>
        <w:numPr>
          <w:ilvl w:val="0"/>
          <w:numId w:val="2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NUMERY POZWOLEŃ NA DOPUSZCZENIE DO OBROTU</w:t>
      </w:r>
    </w:p>
    <w:p w14:paraId="1B0F197C" w14:textId="77777777" w:rsidR="002E5800" w:rsidRPr="008F328C" w:rsidRDefault="002E5800">
      <w:pPr>
        <w:spacing w:before="9" w:line="240" w:lineRule="exact"/>
        <w:rPr>
          <w:rFonts w:ascii="Times New Roman" w:hAnsi="Times New Roman" w:cs="Times New Roman"/>
          <w:sz w:val="24"/>
          <w:szCs w:val="24"/>
          <w:lang w:val="pl-PL"/>
        </w:rPr>
      </w:pPr>
    </w:p>
    <w:p w14:paraId="2D515F53" w14:textId="77777777" w:rsidR="002E5800" w:rsidRPr="008F328C" w:rsidRDefault="000E0B7C">
      <w:pPr>
        <w:pStyle w:val="a3"/>
        <w:rPr>
          <w:u w:val="single"/>
          <w:lang w:val="pl-PL"/>
        </w:rPr>
      </w:pPr>
      <w:r w:rsidRPr="008F328C">
        <w:rPr>
          <w:rFonts w:eastAsia="Times New Roman"/>
          <w:u w:val="single" w:color="000000"/>
          <w:lang w:val="pl-PL"/>
        </w:rPr>
        <w:t>Yuflyma 40 mg roztwór do wstrzykiwań w ampułko-strzykawce</w:t>
      </w:r>
    </w:p>
    <w:p w14:paraId="25C2AC40" w14:textId="77777777" w:rsidR="002E5800" w:rsidRPr="008F328C" w:rsidRDefault="002E5800">
      <w:pPr>
        <w:pStyle w:val="a3"/>
        <w:rPr>
          <w:lang w:val="pl-PL"/>
        </w:rPr>
      </w:pPr>
    </w:p>
    <w:p w14:paraId="3856D676" w14:textId="77777777" w:rsidR="002E5800" w:rsidRPr="008F328C" w:rsidRDefault="000E0B7C">
      <w:pPr>
        <w:pStyle w:val="a3"/>
        <w:rPr>
          <w:lang w:val="pl-PL"/>
        </w:rPr>
      </w:pPr>
      <w:r w:rsidRPr="008F328C">
        <w:rPr>
          <w:rFonts w:eastAsia="Times New Roman"/>
          <w:lang w:val="pl-PL"/>
        </w:rPr>
        <w:t>EU/</w:t>
      </w:r>
      <w:r w:rsidRPr="008F328C">
        <w:rPr>
          <w:rFonts w:eastAsia="Times New Roman"/>
          <w:color w:val="000000"/>
          <w:lang w:val="pl-PL"/>
        </w:rPr>
        <w:t>1/20/1513/001</w:t>
      </w:r>
    </w:p>
    <w:p w14:paraId="766E4415" w14:textId="77777777" w:rsidR="002E5800" w:rsidRPr="008F328C" w:rsidRDefault="000E0B7C">
      <w:pPr>
        <w:pStyle w:val="a3"/>
        <w:rPr>
          <w:color w:val="000000"/>
          <w:lang w:val="pl-PL"/>
        </w:rPr>
      </w:pPr>
      <w:r w:rsidRPr="008F328C">
        <w:rPr>
          <w:rFonts w:eastAsia="Times New Roman"/>
          <w:color w:val="000000"/>
          <w:lang w:val="pl-PL"/>
        </w:rPr>
        <w:t>EU/1/20/1513/002</w:t>
      </w:r>
    </w:p>
    <w:p w14:paraId="7F36C3F3"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003</w:t>
      </w:r>
    </w:p>
    <w:p w14:paraId="730837E3"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004</w:t>
      </w:r>
    </w:p>
    <w:p w14:paraId="1D54EDFD" w14:textId="77777777" w:rsidR="002E5800" w:rsidRPr="008F328C" w:rsidRDefault="002E5800">
      <w:pPr>
        <w:spacing w:before="14" w:line="240" w:lineRule="exact"/>
        <w:rPr>
          <w:rFonts w:ascii="Times New Roman" w:hAnsi="Times New Roman" w:cs="Times New Roman"/>
          <w:sz w:val="24"/>
          <w:szCs w:val="24"/>
          <w:lang w:val="pl-PL"/>
        </w:rPr>
      </w:pPr>
    </w:p>
    <w:p w14:paraId="5E3AB363" w14:textId="77777777" w:rsidR="002E5800" w:rsidRPr="008F328C" w:rsidRDefault="000E0B7C">
      <w:pPr>
        <w:pStyle w:val="a3"/>
        <w:rPr>
          <w:u w:val="single" w:color="000000"/>
          <w:lang w:val="pl-PL"/>
        </w:rPr>
      </w:pPr>
      <w:r w:rsidRPr="008F328C">
        <w:rPr>
          <w:rFonts w:eastAsia="Times New Roman"/>
          <w:u w:val="single" w:color="000000"/>
          <w:lang w:val="pl-PL"/>
        </w:rPr>
        <w:t>Yuflyma 40 mg roztwór do wstrzykiwań w ampułko-strzykawce z osłoną igły</w:t>
      </w:r>
    </w:p>
    <w:p w14:paraId="0D00CAD0" w14:textId="77777777" w:rsidR="002E5800" w:rsidRPr="008F328C" w:rsidRDefault="002E5800">
      <w:pPr>
        <w:pStyle w:val="a3"/>
        <w:rPr>
          <w:lang w:val="pl-PL"/>
        </w:rPr>
      </w:pPr>
    </w:p>
    <w:p w14:paraId="72714BFA"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/005</w:t>
      </w:r>
    </w:p>
    <w:p w14:paraId="7F7C9B6B"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006</w:t>
      </w:r>
    </w:p>
    <w:p w14:paraId="6A6363C3"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007</w:t>
      </w:r>
    </w:p>
    <w:p w14:paraId="01F70E7A"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008</w:t>
      </w:r>
    </w:p>
    <w:p w14:paraId="7DF3219A" w14:textId="77777777" w:rsidR="002E5800" w:rsidRPr="008F328C" w:rsidRDefault="002E5800">
      <w:pPr>
        <w:spacing w:before="14" w:line="240" w:lineRule="exact"/>
        <w:rPr>
          <w:rFonts w:ascii="Times New Roman" w:hAnsi="Times New Roman" w:cs="Times New Roman"/>
          <w:sz w:val="24"/>
          <w:szCs w:val="24"/>
          <w:lang w:val="pl-PL"/>
        </w:rPr>
      </w:pPr>
    </w:p>
    <w:p w14:paraId="735D157E" w14:textId="4F4F65D3" w:rsidR="002E5800" w:rsidRPr="008F328C" w:rsidRDefault="000E0B7C">
      <w:pPr>
        <w:pStyle w:val="a3"/>
        <w:rPr>
          <w:u w:val="single"/>
          <w:lang w:val="pl-PL"/>
        </w:rPr>
      </w:pPr>
      <w:r w:rsidRPr="008F328C">
        <w:rPr>
          <w:rFonts w:eastAsia="Times New Roman"/>
          <w:u w:val="single" w:color="000000"/>
          <w:lang w:val="pl-PL"/>
        </w:rPr>
        <w:t>Yuflyma 40 mg w postaci roztworu do wstrzykiwań w</w:t>
      </w:r>
      <w:r w:rsidR="00DA6408" w:rsidRPr="008F328C">
        <w:rPr>
          <w:rFonts w:eastAsia="Times New Roman"/>
          <w:u w:val="single" w:color="000000"/>
          <w:lang w:val="pl-PL"/>
        </w:rPr>
        <w:t>e</w:t>
      </w:r>
      <w:r w:rsidRPr="008F328C">
        <w:rPr>
          <w:rFonts w:eastAsia="Times New Roman"/>
          <w:u w:val="single" w:color="000000"/>
          <w:lang w:val="pl-PL"/>
        </w:rPr>
        <w:t xml:space="preserve"> wstrzykiwaczu</w:t>
      </w:r>
    </w:p>
    <w:p w14:paraId="550E7FFA" w14:textId="77777777" w:rsidR="002E5800" w:rsidRPr="008F328C" w:rsidRDefault="002E5800">
      <w:pPr>
        <w:pStyle w:val="a3"/>
        <w:rPr>
          <w:lang w:val="pl-PL"/>
        </w:rPr>
      </w:pPr>
    </w:p>
    <w:p w14:paraId="285087BE"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/009</w:t>
      </w:r>
    </w:p>
    <w:p w14:paraId="34744968"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010</w:t>
      </w:r>
    </w:p>
    <w:p w14:paraId="6C30FC43"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011</w:t>
      </w:r>
    </w:p>
    <w:p w14:paraId="2E4A7C3E" w14:textId="77777777" w:rsidR="002E5800" w:rsidRPr="008F328C" w:rsidRDefault="000E0B7C">
      <w:pPr>
        <w:pStyle w:val="a3"/>
        <w:rPr>
          <w:lang w:val="pl-PL"/>
        </w:rPr>
      </w:pPr>
      <w:r w:rsidRPr="008F328C">
        <w:rPr>
          <w:rFonts w:eastAsia="Times New Roman"/>
          <w:color w:val="000000"/>
          <w:lang w:val="pl-PL"/>
        </w:rPr>
        <w:t>EU/1/20/1513/</w:t>
      </w:r>
      <w:r w:rsidRPr="008F328C">
        <w:rPr>
          <w:rFonts w:eastAsia="Times New Roman"/>
          <w:lang w:val="pl-PL"/>
        </w:rPr>
        <w:t>012</w:t>
      </w:r>
    </w:p>
    <w:p w14:paraId="15B32F64" w14:textId="5839F8E9" w:rsidR="002E5800" w:rsidRPr="008F328C" w:rsidRDefault="002E5800">
      <w:pPr>
        <w:spacing w:line="200" w:lineRule="exact"/>
        <w:rPr>
          <w:rFonts w:ascii="Times New Roman" w:hAnsi="Times New Roman" w:cs="Times New Roman"/>
          <w:sz w:val="20"/>
          <w:szCs w:val="20"/>
          <w:lang w:val="pl-PL"/>
        </w:rPr>
      </w:pPr>
    </w:p>
    <w:p w14:paraId="430EDA50" w14:textId="77777777" w:rsidR="00CC4159" w:rsidRPr="008F328C" w:rsidRDefault="00CC4159">
      <w:pPr>
        <w:spacing w:line="200" w:lineRule="exact"/>
        <w:rPr>
          <w:rFonts w:ascii="Times New Roman" w:hAnsi="Times New Roman" w:cs="Times New Roman"/>
          <w:sz w:val="20"/>
          <w:szCs w:val="20"/>
          <w:lang w:val="pl-PL"/>
        </w:rPr>
      </w:pPr>
    </w:p>
    <w:p w14:paraId="162DCD4C" w14:textId="77777777" w:rsidR="002E5800" w:rsidRPr="008F328C" w:rsidRDefault="000E0B7C">
      <w:pPr>
        <w:pStyle w:val="a4"/>
        <w:keepNext/>
        <w:widowControl/>
        <w:numPr>
          <w:ilvl w:val="0"/>
          <w:numId w:val="26"/>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DATA WYDANIA PIERWSZEGO POZWOLENIA NA DOPUSZCZENIE DO OBROTU I DATA PRZEDŁUŻENIA POZWOLENIA</w:t>
      </w:r>
    </w:p>
    <w:p w14:paraId="76299866" w14:textId="77777777" w:rsidR="002E5800" w:rsidRPr="008F328C" w:rsidRDefault="002E5800">
      <w:pPr>
        <w:widowControl/>
        <w:tabs>
          <w:tab w:val="left" w:pos="567"/>
        </w:tabs>
        <w:spacing w:line="260" w:lineRule="exact"/>
        <w:rPr>
          <w:rFonts w:ascii="Times New Roman" w:eastAsia="Times New Roman" w:hAnsi="Times New Roman" w:cs="Times New Roman"/>
          <w:b/>
          <w:lang w:val="pl-PL"/>
        </w:rPr>
      </w:pPr>
    </w:p>
    <w:p w14:paraId="34C87F4F" w14:textId="73A849F3" w:rsidR="002E5800" w:rsidRPr="008F328C" w:rsidRDefault="000E0B7C">
      <w:pPr>
        <w:widowControl/>
        <w:tabs>
          <w:tab w:val="left" w:pos="567"/>
        </w:tabs>
        <w:spacing w:line="260" w:lineRule="exact"/>
        <w:rPr>
          <w:rFonts w:ascii="Times New Roman" w:eastAsia="Times New Roman" w:hAnsi="Times New Roman" w:cs="Times New Roman"/>
          <w:bCs/>
          <w:lang w:val="pl-PL"/>
        </w:rPr>
      </w:pPr>
      <w:r w:rsidRPr="008F328C">
        <w:rPr>
          <w:rFonts w:ascii="Times New Roman" w:eastAsia="Times New Roman" w:hAnsi="Times New Roman" w:cs="Times New Roman"/>
          <w:bCs/>
          <w:lang w:val="pl-PL"/>
        </w:rPr>
        <w:t>Data wydania pierwszego pozwolenia na dopuszczenie do obrotu:</w:t>
      </w:r>
      <w:r w:rsidR="00B9171D" w:rsidRPr="008F328C">
        <w:rPr>
          <w:rFonts w:ascii="Times New Roman" w:eastAsia="Times New Roman" w:hAnsi="Times New Roman" w:cs="Times New Roman"/>
          <w:bCs/>
          <w:lang w:val="pl-PL"/>
        </w:rPr>
        <w:t xml:space="preserve"> 11 lutego 2021</w:t>
      </w:r>
    </w:p>
    <w:p w14:paraId="55C9E268" w14:textId="12F17C4B" w:rsidR="002E5800" w:rsidRPr="008F328C" w:rsidRDefault="002E5800">
      <w:pPr>
        <w:widowControl/>
        <w:tabs>
          <w:tab w:val="left" w:pos="567"/>
        </w:tabs>
        <w:spacing w:line="260" w:lineRule="exact"/>
        <w:rPr>
          <w:rFonts w:ascii="Times New Roman" w:eastAsia="Times New Roman" w:hAnsi="Times New Roman" w:cs="Times New Roman"/>
          <w:b/>
          <w:lang w:val="pl-PL"/>
        </w:rPr>
      </w:pPr>
    </w:p>
    <w:p w14:paraId="5539F77A" w14:textId="77777777" w:rsidR="00CC4159" w:rsidRPr="008F328C" w:rsidRDefault="00CC4159">
      <w:pPr>
        <w:widowControl/>
        <w:tabs>
          <w:tab w:val="left" w:pos="567"/>
        </w:tabs>
        <w:spacing w:line="260" w:lineRule="exact"/>
        <w:rPr>
          <w:rFonts w:ascii="Times New Roman" w:eastAsia="Times New Roman" w:hAnsi="Times New Roman" w:cs="Times New Roman"/>
          <w:b/>
          <w:lang w:val="pl-PL"/>
        </w:rPr>
      </w:pPr>
    </w:p>
    <w:p w14:paraId="3CFF9682" w14:textId="77777777" w:rsidR="002E5800" w:rsidRPr="008F328C" w:rsidRDefault="000E0B7C">
      <w:pPr>
        <w:pStyle w:val="a4"/>
        <w:keepNext/>
        <w:widowControl/>
        <w:numPr>
          <w:ilvl w:val="0"/>
          <w:numId w:val="26"/>
        </w:numPr>
        <w:tabs>
          <w:tab w:val="left" w:pos="567"/>
        </w:tabs>
        <w:ind w:left="540" w:hanging="540"/>
        <w:rPr>
          <w:rFonts w:ascii="Times New Roman" w:eastAsia="Times New Roman" w:hAnsi="Times New Roman" w:cs="Times New Roman"/>
          <w:b/>
          <w:szCs w:val="20"/>
          <w:lang w:val="pl-PL" w:eastAsia="pl-PL" w:bidi="pl-PL"/>
        </w:rPr>
      </w:pPr>
      <w:r w:rsidRPr="008F328C">
        <w:rPr>
          <w:rFonts w:ascii="Times New Roman" w:eastAsia="Times New Roman" w:hAnsi="Times New Roman" w:cs="Times New Roman"/>
          <w:b/>
          <w:szCs w:val="20"/>
          <w:lang w:val="pl-PL" w:eastAsia="pl-PL" w:bidi="pl-PL"/>
        </w:rPr>
        <w:t>DATA ZATWIERDZENIA LUB CZĘŚCIOWEJ ZMIANY TEKSTU CHARAKTERYSTYKI PRODUKTU LECZNICZEGO</w:t>
      </w:r>
    </w:p>
    <w:p w14:paraId="343DD431" w14:textId="77777777" w:rsidR="002E5800" w:rsidRPr="008F328C" w:rsidRDefault="002E5800">
      <w:pPr>
        <w:spacing w:before="12" w:line="240" w:lineRule="exact"/>
        <w:rPr>
          <w:rFonts w:ascii="Times New Roman" w:hAnsi="Times New Roman" w:cs="Times New Roman"/>
          <w:sz w:val="24"/>
          <w:szCs w:val="24"/>
          <w:lang w:val="pl-PL"/>
        </w:rPr>
      </w:pPr>
    </w:p>
    <w:p w14:paraId="430222E8" w14:textId="14A87777" w:rsidR="001A670D" w:rsidRPr="008F328C" w:rsidRDefault="000E0B7C" w:rsidP="002E31E5">
      <w:pPr>
        <w:pStyle w:val="a3"/>
        <w:rPr>
          <w:rFonts w:eastAsia="Times New Roman"/>
          <w:color w:val="0000FF"/>
          <w:u w:val="single"/>
          <w:lang w:val="pl-PL"/>
        </w:rPr>
      </w:pPr>
      <w:r w:rsidRPr="008F328C">
        <w:rPr>
          <w:rFonts w:eastAsia="Times New Roman"/>
          <w:lang w:val="pl-PL"/>
        </w:rPr>
        <w:t>Szczegółowe informacje o tym produkcie leczniczym są dostępne na stronie internetowej Europejskiej Agencji Leków</w:t>
      </w:r>
      <w:hyperlink r:id="rId22" w:history="1">
        <w:r w:rsidRPr="008F328C">
          <w:rPr>
            <w:rFonts w:eastAsia="Times New Roman"/>
            <w:color w:val="0000FF"/>
            <w:u w:val="single"/>
            <w:lang w:val="pl-PL"/>
          </w:rPr>
          <w:t xml:space="preserve"> http://www.ema.europa.eu</w:t>
        </w:r>
      </w:hyperlink>
    </w:p>
    <w:p w14:paraId="07F44F93" w14:textId="71A061C0" w:rsidR="00D22235" w:rsidRPr="008F328C" w:rsidRDefault="001A670D" w:rsidP="00D22235">
      <w:pPr>
        <w:pStyle w:val="a3"/>
        <w:rPr>
          <w:rFonts w:eastAsia="맑은 고딕"/>
          <w:lang w:val="pl-PL" w:eastAsia="ko-KR"/>
        </w:rPr>
      </w:pPr>
      <w:r w:rsidRPr="008F328C">
        <w:rPr>
          <w:rFonts w:eastAsia="Times New Roman"/>
          <w:color w:val="0000FF"/>
          <w:u w:val="single"/>
          <w:lang w:val="pl-PL"/>
        </w:rPr>
        <w:br w:type="column"/>
      </w:r>
      <w:r w:rsidR="00D22235" w:rsidRPr="008F328C">
        <w:rPr>
          <w:noProof/>
          <w:lang w:eastAsia="ko-KR"/>
        </w:rPr>
        <w:lastRenderedPageBreak/>
        <w:drawing>
          <wp:inline distT="0" distB="0" distL="0" distR="0" wp14:anchorId="3910187F" wp14:editId="3988A1FE">
            <wp:extent cx="203200" cy="169545"/>
            <wp:effectExtent l="0" t="0" r="6350" b="1905"/>
            <wp:docPr id="1062" name="그림 106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00D22235" w:rsidRPr="008F328C">
        <w:rPr>
          <w:rFonts w:eastAsia="Times New Roman"/>
          <w:lang w:val="pl-PL"/>
        </w:rPr>
        <w:t>Niniejszy produkt leczniczy będzie dodatkowo monitorowany. Umożliwi to szybkie zidentyfikowanie nowych informacji o bezpieczeństwie. Osoby należące do fachowego personelu medycznego powinny zgłaszać wszelkie podejrzewane działania niepożądane. Aby dowiedzieć się, jak zgłaszać działania niepożądane – patrz punkt 4.8.</w:t>
      </w:r>
    </w:p>
    <w:p w14:paraId="429D796B" w14:textId="77777777" w:rsidR="00D22235" w:rsidRPr="008F328C" w:rsidRDefault="00D22235" w:rsidP="00D22235">
      <w:pPr>
        <w:widowControl/>
        <w:tabs>
          <w:tab w:val="left" w:pos="567"/>
        </w:tabs>
        <w:rPr>
          <w:rFonts w:ascii="Times New Roman" w:eastAsia="Times New Roman" w:hAnsi="Times New Roman" w:cs="Times New Roman"/>
          <w:lang w:val="pl-PL"/>
        </w:rPr>
      </w:pPr>
    </w:p>
    <w:p w14:paraId="2E47CE7F" w14:textId="77777777" w:rsidR="00D22235" w:rsidRPr="008F328C" w:rsidRDefault="00D22235" w:rsidP="00D22235">
      <w:pPr>
        <w:widowControl/>
        <w:tabs>
          <w:tab w:val="left" w:pos="567"/>
        </w:tabs>
        <w:rPr>
          <w:rFonts w:ascii="Times New Roman" w:eastAsia="Times New Roman" w:hAnsi="Times New Roman" w:cs="Times New Roman"/>
          <w:lang w:val="pl-PL"/>
        </w:rPr>
      </w:pPr>
    </w:p>
    <w:p w14:paraId="13C9A2B3" w14:textId="77777777" w:rsidR="00D22235" w:rsidRPr="008F328C" w:rsidRDefault="00D22235" w:rsidP="00D22235">
      <w:pPr>
        <w:widowControl/>
        <w:numPr>
          <w:ilvl w:val="0"/>
          <w:numId w:val="115"/>
        </w:numPr>
        <w:tabs>
          <w:tab w:val="left" w:pos="567"/>
        </w:tabs>
        <w:spacing w:line="260" w:lineRule="exact"/>
        <w:rPr>
          <w:rFonts w:ascii="Times New Roman" w:hAnsi="Times New Roman" w:cs="Times New Roman"/>
          <w:lang w:val="pl-PL"/>
        </w:rPr>
      </w:pPr>
      <w:r w:rsidRPr="008F328C">
        <w:rPr>
          <w:rFonts w:ascii="Times New Roman" w:eastAsia="Times New Roman" w:hAnsi="Times New Roman" w:cs="Times New Roman"/>
          <w:b/>
          <w:bCs/>
          <w:lang w:val="pl-PL"/>
        </w:rPr>
        <w:t>NAZWA PRODUKTU LECZNICZEGO</w:t>
      </w:r>
    </w:p>
    <w:p w14:paraId="39736839" w14:textId="77777777" w:rsidR="00D22235" w:rsidRPr="008F328C" w:rsidRDefault="00D22235" w:rsidP="00D22235">
      <w:pPr>
        <w:spacing w:line="240" w:lineRule="exact"/>
        <w:rPr>
          <w:rFonts w:ascii="Times New Roman" w:hAnsi="Times New Roman" w:cs="Times New Roman"/>
          <w:lang w:val="pl-PL"/>
        </w:rPr>
      </w:pPr>
    </w:p>
    <w:p w14:paraId="1B721938" w14:textId="77777777" w:rsidR="00D22235" w:rsidRPr="008F328C" w:rsidRDefault="00D22235" w:rsidP="00D22235">
      <w:pPr>
        <w:widowControl/>
        <w:tabs>
          <w:tab w:val="left" w:pos="567"/>
        </w:tabs>
        <w:rPr>
          <w:rFonts w:ascii="Times New Roman" w:eastAsia="Times New Roman" w:hAnsi="Times New Roman" w:cs="Times New Roman"/>
          <w:lang w:val="pl-PL"/>
        </w:rPr>
      </w:pPr>
      <w:r w:rsidRPr="008F328C">
        <w:rPr>
          <w:rFonts w:ascii="Times New Roman" w:eastAsia="Times New Roman" w:hAnsi="Times New Roman" w:cs="Times New Roman"/>
          <w:lang w:val="pl-PL"/>
        </w:rPr>
        <w:t>Yuflyma 80 mg w postaci roztworu do wstrzykiwań w ampułko-strzykawce</w:t>
      </w:r>
    </w:p>
    <w:p w14:paraId="033E29E7" w14:textId="77777777" w:rsidR="00D22235" w:rsidRPr="008F328C" w:rsidRDefault="00D22235" w:rsidP="00D22235">
      <w:pPr>
        <w:widowControl/>
        <w:tabs>
          <w:tab w:val="left" w:pos="567"/>
        </w:tabs>
        <w:rPr>
          <w:rFonts w:ascii="Times New Roman" w:eastAsia="Times New Roman" w:hAnsi="Times New Roman" w:cs="Times New Roman"/>
          <w:lang w:val="pl-PL"/>
        </w:rPr>
      </w:pPr>
    </w:p>
    <w:p w14:paraId="02DA2B02" w14:textId="77777777" w:rsidR="00D22235" w:rsidRPr="008F328C" w:rsidRDefault="00D22235" w:rsidP="00D22235">
      <w:pPr>
        <w:widowControl/>
        <w:tabs>
          <w:tab w:val="left" w:pos="567"/>
        </w:tabs>
        <w:rPr>
          <w:rFonts w:ascii="Times New Roman" w:eastAsia="Times New Roman" w:hAnsi="Times New Roman" w:cs="Times New Roman"/>
          <w:lang w:val="pl-PL"/>
        </w:rPr>
      </w:pPr>
      <w:r w:rsidRPr="008F328C">
        <w:rPr>
          <w:rFonts w:ascii="Times New Roman" w:eastAsia="Times New Roman" w:hAnsi="Times New Roman" w:cs="Times New Roman"/>
          <w:lang w:val="pl-PL"/>
        </w:rPr>
        <w:t>Yuflyma 80 mg w postaci roztworu do wstrzykiwań we wstrzykiwaczu</w:t>
      </w:r>
    </w:p>
    <w:p w14:paraId="120326D8" w14:textId="77777777" w:rsidR="00CC4159" w:rsidRPr="008F328C" w:rsidRDefault="00CC4159" w:rsidP="00D22235">
      <w:pPr>
        <w:widowControl/>
        <w:tabs>
          <w:tab w:val="left" w:pos="567"/>
        </w:tabs>
        <w:spacing w:line="260" w:lineRule="exact"/>
        <w:rPr>
          <w:rFonts w:ascii="Times New Roman" w:eastAsia="Times New Roman" w:hAnsi="Times New Roman" w:cs="Times New Roman"/>
          <w:b/>
          <w:lang w:val="pl-PL"/>
        </w:rPr>
      </w:pPr>
    </w:p>
    <w:p w14:paraId="06B0A607" w14:textId="44A89259" w:rsidR="00D22235" w:rsidRPr="008F328C" w:rsidRDefault="00D22235" w:rsidP="00D22235">
      <w:pPr>
        <w:widowControl/>
        <w:tabs>
          <w:tab w:val="left" w:pos="567"/>
        </w:tabs>
        <w:spacing w:line="260" w:lineRule="exact"/>
        <w:rPr>
          <w:rFonts w:ascii="Times New Roman" w:eastAsia="Times New Roman" w:hAnsi="Times New Roman" w:cs="Times New Roman"/>
          <w:b/>
          <w:lang w:val="pl-PL"/>
        </w:rPr>
      </w:pPr>
    </w:p>
    <w:p w14:paraId="41DE0ACB" w14:textId="77777777" w:rsidR="00D22235" w:rsidRPr="008F328C" w:rsidRDefault="00D22235" w:rsidP="00D22235">
      <w:pPr>
        <w:widowControl/>
        <w:numPr>
          <w:ilvl w:val="0"/>
          <w:numId w:val="115"/>
        </w:numPr>
        <w:tabs>
          <w:tab w:val="left" w:pos="567"/>
        </w:tabs>
        <w:spacing w:line="260" w:lineRule="exact"/>
        <w:ind w:left="0" w:firstLine="0"/>
        <w:rPr>
          <w:rFonts w:ascii="Times New Roman" w:hAnsi="Times New Roman" w:cs="Times New Roman"/>
          <w:b/>
          <w:bCs/>
          <w:spacing w:val="-1"/>
          <w:lang w:val="pl-PL"/>
        </w:rPr>
      </w:pPr>
      <w:r w:rsidRPr="008F328C">
        <w:rPr>
          <w:rFonts w:ascii="Times New Roman" w:eastAsia="Times New Roman" w:hAnsi="Times New Roman" w:cs="Times New Roman"/>
          <w:b/>
          <w:bCs/>
          <w:lang w:val="pl-PL"/>
        </w:rPr>
        <w:t>SKŁAD JAKOŚCIOWY I ILOŚCIOWY</w:t>
      </w:r>
    </w:p>
    <w:p w14:paraId="7E50DF0F" w14:textId="77777777" w:rsidR="00D22235" w:rsidRPr="008F328C" w:rsidRDefault="00D22235" w:rsidP="00D22235">
      <w:pPr>
        <w:widowControl/>
        <w:tabs>
          <w:tab w:val="left" w:pos="567"/>
        </w:tabs>
        <w:rPr>
          <w:rFonts w:ascii="Times New Roman" w:eastAsia="Times New Roman" w:hAnsi="Times New Roman" w:cs="Times New Roman"/>
          <w:u w:val="single"/>
          <w:lang w:val="pl-PL"/>
        </w:rPr>
      </w:pPr>
    </w:p>
    <w:p w14:paraId="7F8A3DDA" w14:textId="77777777" w:rsidR="00D22235" w:rsidRPr="008F328C" w:rsidRDefault="00D22235" w:rsidP="00D22235">
      <w:pPr>
        <w:widowControl/>
        <w:tabs>
          <w:tab w:val="left" w:pos="567"/>
        </w:tabs>
        <w:rPr>
          <w:rFonts w:ascii="Times New Roman" w:eastAsia="Times New Roman" w:hAnsi="Times New Roman" w:cs="Times New Roman"/>
          <w:u w:val="single"/>
          <w:lang w:val="pl-PL"/>
        </w:rPr>
      </w:pPr>
      <w:r w:rsidRPr="008F328C">
        <w:rPr>
          <w:rFonts w:ascii="Times New Roman" w:eastAsia="Times New Roman" w:hAnsi="Times New Roman" w:cs="Times New Roman"/>
          <w:u w:val="single"/>
          <w:lang w:val="pl-PL"/>
        </w:rPr>
        <w:t>Yuflyma 80 mg w postaci roztworu do wstrzykiwań w ampułko-strzykawce</w:t>
      </w:r>
    </w:p>
    <w:p w14:paraId="7573DAB0"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p>
    <w:p w14:paraId="789993EF" w14:textId="77777777" w:rsidR="00D22235" w:rsidRPr="008F328C" w:rsidRDefault="00D22235" w:rsidP="00D22235">
      <w:pPr>
        <w:widowControl/>
        <w:tabs>
          <w:tab w:val="left" w:pos="567"/>
        </w:tabs>
        <w:adjustRightInd w:val="0"/>
        <w:rPr>
          <w:rFonts w:ascii="Times New Roman" w:hAnsi="Times New Roman" w:cs="Times New Roman"/>
          <w:lang w:val="pl-PL"/>
        </w:rPr>
      </w:pPr>
      <w:r w:rsidRPr="008F328C">
        <w:rPr>
          <w:rFonts w:ascii="Times New Roman" w:eastAsia="Times New Roman" w:hAnsi="Times New Roman" w:cs="Times New Roman"/>
          <w:lang w:val="pl-PL"/>
        </w:rPr>
        <w:t>Każda ampułko-strzykawka z pojedynczą dawką 0,8 ml zawiera 80 mg adalimumabu.</w:t>
      </w:r>
    </w:p>
    <w:p w14:paraId="36CD3DB9" w14:textId="77777777" w:rsidR="00D22235" w:rsidRPr="008F328C" w:rsidRDefault="00D22235" w:rsidP="00D22235">
      <w:pPr>
        <w:spacing w:line="240" w:lineRule="exact"/>
        <w:rPr>
          <w:rFonts w:ascii="Times New Roman" w:hAnsi="Times New Roman" w:cs="Times New Roman"/>
          <w:lang w:val="pl-PL"/>
        </w:rPr>
      </w:pPr>
    </w:p>
    <w:p w14:paraId="7AC5AC75" w14:textId="77777777" w:rsidR="00D22235" w:rsidRPr="008F328C" w:rsidRDefault="00D22235" w:rsidP="00D22235">
      <w:pPr>
        <w:widowControl/>
        <w:tabs>
          <w:tab w:val="left" w:pos="567"/>
        </w:tabs>
        <w:rPr>
          <w:rFonts w:ascii="Times New Roman" w:eastAsia="Times New Roman" w:hAnsi="Times New Roman" w:cs="Times New Roman"/>
          <w:u w:val="single"/>
          <w:lang w:val="pl-PL"/>
        </w:rPr>
      </w:pPr>
      <w:r w:rsidRPr="008F328C">
        <w:rPr>
          <w:rFonts w:ascii="Times New Roman" w:eastAsia="Times New Roman" w:hAnsi="Times New Roman" w:cs="Times New Roman"/>
          <w:u w:val="single"/>
          <w:lang w:val="pl-PL"/>
        </w:rPr>
        <w:t>Yuflyma 80 mg w postaci roztworu do wstrzykiwań we wstrzykiwaczu</w:t>
      </w:r>
    </w:p>
    <w:p w14:paraId="0C7604EF" w14:textId="77777777" w:rsidR="00D22235" w:rsidRPr="008F328C" w:rsidRDefault="00D22235" w:rsidP="00D22235">
      <w:pPr>
        <w:widowControl/>
        <w:tabs>
          <w:tab w:val="left" w:pos="567"/>
        </w:tabs>
        <w:rPr>
          <w:rFonts w:ascii="Times New Roman" w:hAnsi="Times New Roman" w:cs="Times New Roman"/>
          <w:lang w:val="pl-PL"/>
        </w:rPr>
      </w:pPr>
    </w:p>
    <w:p w14:paraId="26A80531"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Każdy wstrzykiwacz z pojedynczą dawką 0,8 ml zawiera 80 mg adalimumabu.</w:t>
      </w:r>
    </w:p>
    <w:p w14:paraId="16DBDD67" w14:textId="77777777" w:rsidR="00D22235" w:rsidRPr="008F328C" w:rsidRDefault="00D22235" w:rsidP="00D22235">
      <w:pPr>
        <w:spacing w:line="240" w:lineRule="exact"/>
        <w:rPr>
          <w:rFonts w:ascii="Times New Roman" w:hAnsi="Times New Roman" w:cs="Times New Roman"/>
          <w:lang w:val="pl-PL"/>
        </w:rPr>
      </w:pPr>
    </w:p>
    <w:p w14:paraId="0BC97F87"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Adalimumab jest rekombinowanym, ludzkim przeciwciałem monoklonalnym produkowanym w komórkach jajnika chomika chińskiego.</w:t>
      </w:r>
    </w:p>
    <w:p w14:paraId="4C2E1FFB"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p>
    <w:p w14:paraId="208DB408"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Pełny wykaz substancji pomocniczych, patrz punkt 6.1.</w:t>
      </w:r>
    </w:p>
    <w:p w14:paraId="77405432" w14:textId="1B9508E2" w:rsidR="00D22235" w:rsidRPr="008F328C" w:rsidRDefault="00D22235" w:rsidP="00D22235">
      <w:pPr>
        <w:spacing w:line="260" w:lineRule="exact"/>
        <w:rPr>
          <w:rFonts w:ascii="Times New Roman" w:hAnsi="Times New Roman" w:cs="Times New Roman"/>
          <w:lang w:val="pl-PL"/>
        </w:rPr>
      </w:pPr>
    </w:p>
    <w:p w14:paraId="3F828CFC" w14:textId="77777777" w:rsidR="00CC4159" w:rsidRPr="008F328C" w:rsidRDefault="00CC4159" w:rsidP="00D22235">
      <w:pPr>
        <w:spacing w:line="260" w:lineRule="exact"/>
        <w:rPr>
          <w:rFonts w:ascii="Times New Roman" w:hAnsi="Times New Roman" w:cs="Times New Roman"/>
          <w:lang w:val="pl-PL"/>
        </w:rPr>
      </w:pPr>
    </w:p>
    <w:p w14:paraId="79EAF254" w14:textId="77777777" w:rsidR="00D22235" w:rsidRPr="008F328C" w:rsidRDefault="00D22235" w:rsidP="00D22235">
      <w:pPr>
        <w:widowControl/>
        <w:numPr>
          <w:ilvl w:val="0"/>
          <w:numId w:val="115"/>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POSTAĆ FARMACEUTYCZNA</w:t>
      </w:r>
    </w:p>
    <w:p w14:paraId="455F7D92" w14:textId="77777777" w:rsidR="00D22235" w:rsidRPr="008F328C" w:rsidRDefault="00D22235" w:rsidP="00D22235">
      <w:pPr>
        <w:spacing w:line="240" w:lineRule="exact"/>
        <w:rPr>
          <w:rFonts w:ascii="Times New Roman" w:hAnsi="Times New Roman" w:cs="Times New Roman"/>
          <w:lang w:val="pl-PL"/>
        </w:rPr>
      </w:pPr>
    </w:p>
    <w:p w14:paraId="7B612A05"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Roztwór do wstrzykiwań (wstrzyknięcie)</w:t>
      </w:r>
    </w:p>
    <w:p w14:paraId="5995F5CE"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p>
    <w:p w14:paraId="6903C091" w14:textId="77777777" w:rsidR="00D22235" w:rsidRPr="008F328C" w:rsidRDefault="00D22235" w:rsidP="00D22235">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Roztwór ma postać lekko opalizującego, bezbarwnego do jasnobrązowego płynu.</w:t>
      </w:r>
    </w:p>
    <w:p w14:paraId="4FFF679F" w14:textId="59ACE332" w:rsidR="00D22235" w:rsidRPr="008F328C" w:rsidRDefault="00D22235" w:rsidP="00D22235">
      <w:pPr>
        <w:spacing w:line="260" w:lineRule="exact"/>
        <w:rPr>
          <w:rFonts w:ascii="Times New Roman" w:hAnsi="Times New Roman" w:cs="Times New Roman"/>
          <w:lang w:val="pl-PL"/>
        </w:rPr>
      </w:pPr>
    </w:p>
    <w:p w14:paraId="5894EBD9" w14:textId="77777777" w:rsidR="00CC4159" w:rsidRPr="008F328C" w:rsidRDefault="00CC4159" w:rsidP="00D22235">
      <w:pPr>
        <w:spacing w:line="260" w:lineRule="exact"/>
        <w:rPr>
          <w:rFonts w:ascii="Times New Roman" w:hAnsi="Times New Roman" w:cs="Times New Roman"/>
          <w:lang w:val="pl-PL"/>
        </w:rPr>
      </w:pPr>
    </w:p>
    <w:p w14:paraId="14371CA6" w14:textId="77777777" w:rsidR="00D22235" w:rsidRPr="008F328C" w:rsidRDefault="00D22235" w:rsidP="00D22235">
      <w:pPr>
        <w:widowControl/>
        <w:numPr>
          <w:ilvl w:val="0"/>
          <w:numId w:val="115"/>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SZCZEGÓŁOWE DANE KLINICZNE</w:t>
      </w:r>
    </w:p>
    <w:p w14:paraId="2152D6A3" w14:textId="77777777" w:rsidR="00D22235" w:rsidRPr="008F328C" w:rsidRDefault="00D22235" w:rsidP="00D22235">
      <w:pPr>
        <w:pStyle w:val="a4"/>
        <w:tabs>
          <w:tab w:val="left" w:pos="672"/>
        </w:tabs>
        <w:rPr>
          <w:rFonts w:ascii="Times New Roman" w:eastAsia="Times New Roman" w:hAnsi="Times New Roman" w:cs="Times New Roman"/>
          <w:b/>
          <w:lang w:val="pl-PL"/>
        </w:rPr>
      </w:pPr>
    </w:p>
    <w:p w14:paraId="0200E5E3"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Wskazania do stosowania</w:t>
      </w:r>
    </w:p>
    <w:p w14:paraId="777FF18E" w14:textId="77777777" w:rsidR="00D22235" w:rsidRPr="008F328C" w:rsidRDefault="00D22235" w:rsidP="00D22235">
      <w:pPr>
        <w:spacing w:line="240" w:lineRule="exact"/>
        <w:rPr>
          <w:rFonts w:ascii="Times New Roman" w:hAnsi="Times New Roman" w:cs="Times New Roman"/>
          <w:lang w:val="pl-PL"/>
        </w:rPr>
      </w:pPr>
    </w:p>
    <w:p w14:paraId="0262C85B" w14:textId="77777777" w:rsidR="00D22235" w:rsidRPr="008F328C" w:rsidRDefault="00D22235" w:rsidP="00D22235">
      <w:pPr>
        <w:pStyle w:val="a3"/>
        <w:rPr>
          <w:u w:val="single"/>
          <w:lang w:val="pl-PL"/>
        </w:rPr>
      </w:pPr>
      <w:r w:rsidRPr="008F328C">
        <w:rPr>
          <w:rFonts w:eastAsia="Times New Roman"/>
          <w:u w:val="single" w:color="000000"/>
          <w:lang w:val="pl-PL"/>
        </w:rPr>
        <w:t>Reumatoidalne zapalenie stawów (RZS)</w:t>
      </w:r>
    </w:p>
    <w:p w14:paraId="22AD0787" w14:textId="77777777" w:rsidR="00D22235" w:rsidRPr="008F328C" w:rsidRDefault="00D22235" w:rsidP="00D22235">
      <w:pPr>
        <w:spacing w:line="170" w:lineRule="exact"/>
        <w:rPr>
          <w:rFonts w:ascii="Times New Roman" w:hAnsi="Times New Roman" w:cs="Times New Roman"/>
          <w:lang w:val="pl-PL"/>
        </w:rPr>
      </w:pPr>
    </w:p>
    <w:p w14:paraId="63068FEC" w14:textId="77777777" w:rsidR="00D22235" w:rsidRPr="008F328C" w:rsidRDefault="00D22235" w:rsidP="00D22235">
      <w:pPr>
        <w:pStyle w:val="a3"/>
        <w:rPr>
          <w:lang w:val="pl-PL"/>
        </w:rPr>
      </w:pPr>
      <w:r w:rsidRPr="008F328C">
        <w:rPr>
          <w:rFonts w:eastAsia="Times New Roman"/>
          <w:lang w:val="pl-PL"/>
        </w:rPr>
        <w:t>Produkt Yuflyma w skojarzeniu z metotreksatem, jest wskazany w:</w:t>
      </w:r>
    </w:p>
    <w:p w14:paraId="0DCC4554" w14:textId="77777777" w:rsidR="00D22235" w:rsidRPr="008F328C" w:rsidRDefault="00D22235" w:rsidP="00D22235">
      <w:pPr>
        <w:spacing w:line="240" w:lineRule="exact"/>
        <w:rPr>
          <w:rFonts w:ascii="Times New Roman" w:hAnsi="Times New Roman" w:cs="Times New Roman"/>
          <w:lang w:val="pl-PL"/>
        </w:rPr>
      </w:pPr>
    </w:p>
    <w:p w14:paraId="708C4CE7" w14:textId="77777777" w:rsidR="00D22235" w:rsidRPr="008F328C" w:rsidRDefault="00D22235" w:rsidP="00D22235">
      <w:pPr>
        <w:pStyle w:val="a3"/>
        <w:numPr>
          <w:ilvl w:val="0"/>
          <w:numId w:val="15"/>
        </w:numPr>
        <w:ind w:left="660" w:hanging="660"/>
        <w:rPr>
          <w:lang w:val="pl-PL"/>
        </w:rPr>
      </w:pPr>
      <w:r w:rsidRPr="008F328C">
        <w:rPr>
          <w:rFonts w:eastAsia="Times New Roman"/>
          <w:lang w:val="pl-PL"/>
        </w:rPr>
        <w:t>leczeniu umiarkowanego do ciężkiego, aktywnego reumatoidalnego zapalenia stawów u dorosłych pacjentów, w przypadku gdy odpowiedź na leki przeciwreumatyczne modyfikujące przebieg choroby, w tym metotreksat, była niewystarczająca.</w:t>
      </w:r>
    </w:p>
    <w:p w14:paraId="516F2C42" w14:textId="77777777" w:rsidR="00D22235" w:rsidRPr="008F328C" w:rsidRDefault="00D22235" w:rsidP="00D22235">
      <w:pPr>
        <w:pStyle w:val="a3"/>
        <w:numPr>
          <w:ilvl w:val="0"/>
          <w:numId w:val="15"/>
        </w:numPr>
        <w:ind w:left="660" w:hanging="660"/>
        <w:rPr>
          <w:lang w:val="pl-PL"/>
        </w:rPr>
      </w:pPr>
      <w:r w:rsidRPr="008F328C">
        <w:rPr>
          <w:rFonts w:eastAsia="Times New Roman"/>
          <w:lang w:val="pl-PL"/>
        </w:rPr>
        <w:t>leczeniu ciężkiego, aktywnego i postępującego reumatoidalnego zapalenia stawów u dorosłych, którzy nie byli wcześniej leczeni metotreksatem.</w:t>
      </w:r>
    </w:p>
    <w:p w14:paraId="3101C103" w14:textId="77777777" w:rsidR="00D22235" w:rsidRPr="008F328C" w:rsidRDefault="00D22235" w:rsidP="00D22235">
      <w:pPr>
        <w:spacing w:line="240" w:lineRule="exact"/>
        <w:rPr>
          <w:rFonts w:ascii="Times New Roman" w:hAnsi="Times New Roman" w:cs="Times New Roman"/>
          <w:lang w:val="pl-PL"/>
        </w:rPr>
      </w:pPr>
    </w:p>
    <w:p w14:paraId="2B564C2F" w14:textId="77777777" w:rsidR="00D22235" w:rsidRPr="008F328C" w:rsidRDefault="00D22235" w:rsidP="00D22235">
      <w:pPr>
        <w:pStyle w:val="a3"/>
        <w:rPr>
          <w:lang w:val="pl-PL"/>
        </w:rPr>
      </w:pPr>
      <w:r w:rsidRPr="008F328C">
        <w:rPr>
          <w:rFonts w:eastAsia="Times New Roman"/>
          <w:lang w:val="pl-PL"/>
        </w:rPr>
        <w:t>Produkt Yuflyma może być podawany w monoterapii w przypadku nietolerancji metotreksatu lub gdy dalsze leczenie metotreksatem jest nieodpowiednie.</w:t>
      </w:r>
    </w:p>
    <w:p w14:paraId="28B5747A" w14:textId="77777777" w:rsidR="00D22235" w:rsidRPr="008F328C" w:rsidRDefault="00D22235" w:rsidP="00D22235">
      <w:pPr>
        <w:spacing w:line="240" w:lineRule="exact"/>
        <w:rPr>
          <w:rFonts w:ascii="Times New Roman" w:hAnsi="Times New Roman" w:cs="Times New Roman"/>
          <w:lang w:val="pl-PL"/>
        </w:rPr>
      </w:pPr>
    </w:p>
    <w:p w14:paraId="54423826" w14:textId="77777777" w:rsidR="00D22235" w:rsidRPr="008F328C" w:rsidRDefault="00D22235" w:rsidP="00D22235">
      <w:pPr>
        <w:pStyle w:val="a3"/>
        <w:rPr>
          <w:lang w:val="pl-PL"/>
        </w:rPr>
      </w:pPr>
      <w:r w:rsidRPr="008F328C">
        <w:rPr>
          <w:rFonts w:eastAsia="Times New Roman"/>
          <w:lang w:val="pl-PL" w:eastAsia="ko-KR"/>
        </w:rPr>
        <w:lastRenderedPageBreak/>
        <w:t>Wykazano, że adalimumab zmniejsza częstość występowania progresji uszkodzenia stawów mierzone w badaniu rentgenowskim i poprawia sprawność fizyczną, gdy jest podawany w skojarzeniu z metotreksatem.</w:t>
      </w:r>
    </w:p>
    <w:p w14:paraId="19550C7C" w14:textId="77777777" w:rsidR="00D22235" w:rsidRPr="008F328C" w:rsidRDefault="00D22235" w:rsidP="00D22235">
      <w:pPr>
        <w:spacing w:line="240" w:lineRule="exact"/>
        <w:rPr>
          <w:rFonts w:ascii="Times New Roman" w:hAnsi="Times New Roman" w:cs="Times New Roman"/>
          <w:lang w:val="pl-PL"/>
        </w:rPr>
      </w:pPr>
    </w:p>
    <w:p w14:paraId="6ECCC32A" w14:textId="77777777" w:rsidR="00D22235" w:rsidRPr="008F328C" w:rsidRDefault="00D22235" w:rsidP="00D22235">
      <w:pPr>
        <w:pStyle w:val="a3"/>
        <w:rPr>
          <w:u w:val="single"/>
          <w:lang w:val="pl-PL"/>
        </w:rPr>
      </w:pPr>
      <w:r w:rsidRPr="008F328C">
        <w:rPr>
          <w:rFonts w:eastAsia="Times New Roman"/>
          <w:u w:val="single" w:color="000000"/>
          <w:lang w:val="pl-PL"/>
        </w:rPr>
        <w:t>Łuszczyca</w:t>
      </w:r>
    </w:p>
    <w:p w14:paraId="40682575" w14:textId="77777777" w:rsidR="00D22235" w:rsidRPr="008F328C" w:rsidRDefault="00D22235" w:rsidP="00D22235">
      <w:pPr>
        <w:spacing w:line="180" w:lineRule="exact"/>
        <w:rPr>
          <w:rFonts w:ascii="Times New Roman" w:hAnsi="Times New Roman" w:cs="Times New Roman"/>
          <w:lang w:val="pl-PL"/>
        </w:rPr>
      </w:pPr>
    </w:p>
    <w:p w14:paraId="7671D570" w14:textId="77777777" w:rsidR="00D22235" w:rsidRPr="008F328C" w:rsidRDefault="00D22235" w:rsidP="00D22235">
      <w:pPr>
        <w:pStyle w:val="a3"/>
        <w:rPr>
          <w:lang w:val="pl-PL"/>
        </w:rPr>
      </w:pPr>
      <w:r w:rsidRPr="008F328C">
        <w:rPr>
          <w:rFonts w:eastAsia="Times New Roman"/>
          <w:lang w:val="pl-PL"/>
        </w:rPr>
        <w:t>Produkt Yuflyma jest wskazany w leczeniu umiarkowanej do ciężkiej przewlekłej łuszczycy plackowatej u osób dorosłych, które kwalifikują się do leczenia ogólnego.</w:t>
      </w:r>
    </w:p>
    <w:p w14:paraId="08162506" w14:textId="77777777" w:rsidR="00D22235" w:rsidRPr="008F328C" w:rsidRDefault="00D22235" w:rsidP="00D22235">
      <w:pPr>
        <w:spacing w:line="240" w:lineRule="exact"/>
        <w:rPr>
          <w:rFonts w:ascii="Times New Roman" w:hAnsi="Times New Roman" w:cs="Times New Roman"/>
          <w:lang w:val="pl-PL"/>
        </w:rPr>
      </w:pPr>
    </w:p>
    <w:p w14:paraId="54970A0E" w14:textId="77777777" w:rsidR="00D22235" w:rsidRPr="008F328C" w:rsidRDefault="00D22235" w:rsidP="00D22235">
      <w:pPr>
        <w:pStyle w:val="a3"/>
        <w:rPr>
          <w:u w:val="single"/>
          <w:lang w:val="pl-PL"/>
        </w:rPr>
      </w:pPr>
      <w:r w:rsidRPr="008F328C">
        <w:rPr>
          <w:rFonts w:eastAsia="Times New Roman"/>
          <w:u w:val="single" w:color="000000"/>
          <w:lang w:val="pl-PL"/>
        </w:rPr>
        <w:t>Ropne zapalenie apokrynowych gruczołów potowych (Hidradenitis suppurativa, HS)</w:t>
      </w:r>
    </w:p>
    <w:p w14:paraId="4169A1BD" w14:textId="77777777" w:rsidR="00D22235" w:rsidRPr="008F328C" w:rsidRDefault="00D22235" w:rsidP="00D22235">
      <w:pPr>
        <w:spacing w:line="180" w:lineRule="exact"/>
        <w:rPr>
          <w:rFonts w:ascii="Times New Roman" w:hAnsi="Times New Roman" w:cs="Times New Roman"/>
          <w:lang w:val="pl-PL"/>
        </w:rPr>
      </w:pPr>
    </w:p>
    <w:p w14:paraId="0C6EA3A9" w14:textId="77777777" w:rsidR="00D22235" w:rsidRPr="008F328C" w:rsidRDefault="00D22235" w:rsidP="00D22235">
      <w:pPr>
        <w:pStyle w:val="a3"/>
        <w:rPr>
          <w:lang w:val="pl-PL"/>
        </w:rPr>
      </w:pPr>
      <w:r w:rsidRPr="008F328C">
        <w:rPr>
          <w:rFonts w:eastAsia="Times New Roman"/>
          <w:lang w:val="pl-PL"/>
        </w:rPr>
        <w:t>Produkt Yuflyma jest wskazany w leczeniu czynnego ropnego zapalenia apokrynowych gruczołów potowych (trądzik odwrócony, acne inversa) o nasileniu umiarkowanym do ciężkiego u młodzieży w wieku od 12 lat z niewystarczającą odpowiedzią na konwencjonalne leczenie układowe HS (patrz punkty 5.1 i 5.2).</w:t>
      </w:r>
    </w:p>
    <w:p w14:paraId="0B892F43" w14:textId="77777777" w:rsidR="00D22235" w:rsidRPr="008F328C" w:rsidRDefault="00D22235" w:rsidP="00D22235">
      <w:pPr>
        <w:pStyle w:val="a3"/>
        <w:rPr>
          <w:u w:color="000000"/>
          <w:lang w:val="pl-PL"/>
        </w:rPr>
      </w:pPr>
    </w:p>
    <w:p w14:paraId="28E6DEE7" w14:textId="77777777" w:rsidR="00D22235" w:rsidRPr="008F328C" w:rsidRDefault="00D22235" w:rsidP="00D22235">
      <w:pPr>
        <w:pStyle w:val="a3"/>
        <w:rPr>
          <w:u w:val="single"/>
          <w:lang w:val="pl-PL"/>
        </w:rPr>
      </w:pPr>
      <w:r w:rsidRPr="008F328C">
        <w:rPr>
          <w:rFonts w:eastAsia="Times New Roman"/>
          <w:u w:val="single" w:color="000000"/>
          <w:lang w:val="pl-PL"/>
        </w:rPr>
        <w:t>Choroba Leśniowskiego-Crohna</w:t>
      </w:r>
    </w:p>
    <w:p w14:paraId="3C021B49" w14:textId="77777777" w:rsidR="00D22235" w:rsidRPr="008F328C" w:rsidRDefault="00D22235" w:rsidP="00D22235">
      <w:pPr>
        <w:spacing w:line="180" w:lineRule="exact"/>
        <w:rPr>
          <w:rFonts w:ascii="Times New Roman" w:hAnsi="Times New Roman" w:cs="Times New Roman"/>
          <w:lang w:val="pl-PL"/>
        </w:rPr>
      </w:pPr>
    </w:p>
    <w:p w14:paraId="37DD916B" w14:textId="77777777" w:rsidR="00D22235" w:rsidRPr="008F328C" w:rsidRDefault="00D22235" w:rsidP="00D22235">
      <w:pPr>
        <w:pStyle w:val="a3"/>
        <w:rPr>
          <w:lang w:val="pl-PL"/>
        </w:rPr>
      </w:pPr>
      <w:r w:rsidRPr="008F328C">
        <w:rPr>
          <w:rFonts w:eastAsia="Times New Roman"/>
          <w:lang w:val="pl-PL"/>
        </w:rPr>
        <w:t>Yuflyma jest wskazany w leczeniu umiarkowanej lub ciężkiej czynnej postaci choroby Leśniowskiego-Crohna u dorosłych pacjentów, którzy wykazali niewystarczającą odpowiedź na leczenie pomimo otrzymania pełnego i odpowiedniego cyklu leczenia lekami z grupy kortykosteroidów i (lub) lekiem immunomodulującym, lub u których występowała nietolerancja lub przeciwwskazania do stosowania takich rodzajów leczenia.</w:t>
      </w:r>
    </w:p>
    <w:p w14:paraId="4A207DCD" w14:textId="77777777" w:rsidR="00D22235" w:rsidRPr="008F328C" w:rsidRDefault="00D22235" w:rsidP="00D22235">
      <w:pPr>
        <w:spacing w:line="240" w:lineRule="exact"/>
        <w:rPr>
          <w:rFonts w:ascii="Times New Roman" w:hAnsi="Times New Roman" w:cs="Times New Roman"/>
          <w:lang w:val="pl-PL"/>
        </w:rPr>
      </w:pPr>
    </w:p>
    <w:p w14:paraId="5B8709B2" w14:textId="77777777" w:rsidR="00D22235" w:rsidRPr="008F328C" w:rsidRDefault="00D22235" w:rsidP="00D22235">
      <w:pPr>
        <w:pStyle w:val="a3"/>
        <w:rPr>
          <w:u w:val="single"/>
          <w:lang w:val="pl-PL"/>
        </w:rPr>
      </w:pPr>
      <w:r w:rsidRPr="008F328C">
        <w:rPr>
          <w:rFonts w:eastAsia="Times New Roman"/>
          <w:u w:val="single" w:color="000000"/>
          <w:lang w:val="pl-PL"/>
        </w:rPr>
        <w:t>Choroba Leśniowskiego-Crohna u dzieci i młodzieży</w:t>
      </w:r>
    </w:p>
    <w:p w14:paraId="668BE4E7" w14:textId="77777777" w:rsidR="00D22235" w:rsidRPr="008F328C" w:rsidRDefault="00D22235" w:rsidP="00D22235">
      <w:pPr>
        <w:spacing w:line="170" w:lineRule="exact"/>
        <w:rPr>
          <w:rFonts w:ascii="Times New Roman" w:hAnsi="Times New Roman" w:cs="Times New Roman"/>
          <w:lang w:val="pl-PL"/>
        </w:rPr>
      </w:pPr>
    </w:p>
    <w:p w14:paraId="1FD959B2" w14:textId="77777777" w:rsidR="00D22235" w:rsidRPr="008F328C" w:rsidRDefault="00D22235" w:rsidP="00D22235">
      <w:pPr>
        <w:pStyle w:val="a3"/>
        <w:rPr>
          <w:lang w:val="pl-PL"/>
        </w:rPr>
      </w:pPr>
      <w:r w:rsidRPr="008F328C">
        <w:rPr>
          <w:rFonts w:eastAsia="Times New Roman"/>
          <w:lang w:val="pl-PL"/>
        </w:rPr>
        <w:t>Produkt Yuflyma jest wskazany w leczeniu umiarkowanej do ciężkiej, czynnej postaci choroby Leśniowskiego-Crohna u dzieci i młodzieży (w wieku od 6 lat), które wykazały niewystarczającą odpowiedź na standardowe leczenie, w tym leczenie żywieniowe jako terapię pierwotną i lek z grupy kortykosteroidów i (lub) lek immunomodulujący, lub u których występowała nietolerancja lub przeciwwskazania do stosowania takich rodzajów leczenia.</w:t>
      </w:r>
    </w:p>
    <w:p w14:paraId="7052CB17" w14:textId="77777777" w:rsidR="00D22235" w:rsidRPr="008F328C" w:rsidRDefault="00D22235" w:rsidP="00D22235">
      <w:pPr>
        <w:spacing w:line="240" w:lineRule="exact"/>
        <w:rPr>
          <w:rFonts w:ascii="Times New Roman" w:hAnsi="Times New Roman" w:cs="Times New Roman"/>
          <w:lang w:val="pl-PL"/>
        </w:rPr>
      </w:pPr>
    </w:p>
    <w:p w14:paraId="334631DC" w14:textId="77777777" w:rsidR="00D22235" w:rsidRPr="008F328C" w:rsidRDefault="00D22235" w:rsidP="00D22235">
      <w:pPr>
        <w:pStyle w:val="a3"/>
        <w:rPr>
          <w:u w:val="single"/>
          <w:lang w:val="pl-PL"/>
        </w:rPr>
      </w:pPr>
      <w:r w:rsidRPr="008F328C">
        <w:rPr>
          <w:rFonts w:eastAsia="Times New Roman"/>
          <w:u w:val="single" w:color="000000"/>
          <w:lang w:val="pl-PL"/>
        </w:rPr>
        <w:t>Wrzodziejące zapalenie jelita grubego (WZJG)</w:t>
      </w:r>
    </w:p>
    <w:p w14:paraId="26F38C2E" w14:textId="77777777" w:rsidR="00D22235" w:rsidRPr="008F328C" w:rsidRDefault="00D22235" w:rsidP="00D22235">
      <w:pPr>
        <w:spacing w:line="180" w:lineRule="exact"/>
        <w:rPr>
          <w:rFonts w:ascii="Times New Roman" w:hAnsi="Times New Roman" w:cs="Times New Roman"/>
          <w:lang w:val="pl-PL"/>
        </w:rPr>
      </w:pPr>
    </w:p>
    <w:p w14:paraId="68559095" w14:textId="77777777" w:rsidR="00D22235" w:rsidRPr="008F328C" w:rsidRDefault="00D22235" w:rsidP="00D22235">
      <w:pPr>
        <w:pStyle w:val="a3"/>
        <w:rPr>
          <w:rFonts w:eastAsia="Times New Roman"/>
          <w:lang w:val="pl-PL"/>
        </w:rPr>
      </w:pPr>
      <w:r w:rsidRPr="008F328C">
        <w:rPr>
          <w:rFonts w:eastAsia="Times New Roman"/>
          <w:lang w:val="pl-PL"/>
        </w:rPr>
        <w:t>Produkt Yuflyma jest wskazany w leczeniu umiarkowanego do ciężkiego czynnego wrzodziejącego zapalenia jelita grubego u dorosłych pacjentów, którzy nie wykazali wystarczającej odpowiedzi na standardowe leczenie, w tym kortykosteroidy i 6-merkaptopurynę (6-MP) lub azatioprynę (AZA), lub wtedy gdy nie tolerują takiego leczenia lub jest ono przeciwwskazane ze względów medycznych.</w:t>
      </w:r>
    </w:p>
    <w:p w14:paraId="35989619" w14:textId="77777777" w:rsidR="00D22235" w:rsidRPr="008F328C" w:rsidRDefault="00D22235" w:rsidP="00D22235">
      <w:pPr>
        <w:spacing w:line="240" w:lineRule="exact"/>
        <w:rPr>
          <w:rFonts w:ascii="Times New Roman" w:hAnsi="Times New Roman" w:cs="Times New Roman"/>
          <w:lang w:val="pl-PL"/>
        </w:rPr>
      </w:pPr>
    </w:p>
    <w:p w14:paraId="39C2FB20" w14:textId="77777777" w:rsidR="00D22235" w:rsidRPr="008F328C" w:rsidRDefault="00D22235" w:rsidP="00D22235">
      <w:pPr>
        <w:rPr>
          <w:rFonts w:ascii="Times New Roman" w:hAnsi="Times New Roman" w:cs="Times New Roman"/>
          <w:u w:val="single"/>
          <w:lang w:val="pl-PL"/>
        </w:rPr>
      </w:pPr>
      <w:r w:rsidRPr="008F328C">
        <w:rPr>
          <w:rFonts w:ascii="Times New Roman" w:hAnsi="Times New Roman" w:cs="Times New Roman"/>
          <w:u w:val="single"/>
          <w:lang w:val="pl-PL"/>
        </w:rPr>
        <w:t>Wrzodziejące zapalenie jelita grubego u dzieci i młodzieży</w:t>
      </w:r>
    </w:p>
    <w:p w14:paraId="0828BD64" w14:textId="77777777" w:rsidR="00D22235" w:rsidRPr="008F328C" w:rsidRDefault="00D22235" w:rsidP="00D22235">
      <w:pPr>
        <w:rPr>
          <w:rFonts w:ascii="Times New Roman" w:hAnsi="Times New Roman" w:cs="Times New Roman"/>
          <w:u w:val="single"/>
          <w:lang w:val="pl-PL"/>
        </w:rPr>
      </w:pPr>
    </w:p>
    <w:p w14:paraId="1DF652BD"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t xml:space="preserve">Produkt </w:t>
      </w:r>
      <w:r w:rsidRPr="008F328C">
        <w:rPr>
          <w:rFonts w:ascii="Times New Roman" w:eastAsia="Times New Roman" w:hAnsi="Times New Roman" w:cs="Times New Roman"/>
          <w:lang w:val="pl-PL"/>
        </w:rPr>
        <w:t xml:space="preserve">Yuflyma </w:t>
      </w:r>
      <w:r w:rsidRPr="008F328C">
        <w:rPr>
          <w:rFonts w:ascii="Times New Roman" w:hAnsi="Times New Roman" w:cs="Times New Roman"/>
          <w:lang w:val="pl-PL"/>
        </w:rPr>
        <w:t>jest wskazany w leczeniu umiarkowanego do ciężkiego czynnego wrzodziejącego zapalenia jelita grubego u dzieci i młodzieży (w wieku od 6 lat), które wykazały niewystarczającą odpowiedź na standardowe leczenie, w tym kortykosteroidy i (lub) 6-merkaptopurynę (6-MP) lub azatioprynę (AZA), lub wtedy gdy nie tolerują takiego rodzaju leczenia lub jest ono przeciwwskazane ze względów medycznych.</w:t>
      </w:r>
    </w:p>
    <w:p w14:paraId="0DD0D2FD" w14:textId="77777777" w:rsidR="00D22235" w:rsidRPr="008F328C" w:rsidRDefault="00D22235" w:rsidP="00D22235">
      <w:pPr>
        <w:spacing w:line="240" w:lineRule="exact"/>
        <w:rPr>
          <w:rFonts w:ascii="Times New Roman" w:hAnsi="Times New Roman" w:cs="Times New Roman"/>
          <w:lang w:val="pl-PL"/>
        </w:rPr>
      </w:pPr>
    </w:p>
    <w:p w14:paraId="1F3ADB7A" w14:textId="77777777" w:rsidR="00D22235" w:rsidRPr="008F328C" w:rsidRDefault="00D22235" w:rsidP="00D22235">
      <w:pPr>
        <w:pStyle w:val="a3"/>
        <w:rPr>
          <w:u w:val="single"/>
          <w:lang w:val="pl-PL"/>
        </w:rPr>
      </w:pPr>
      <w:r w:rsidRPr="008F328C">
        <w:rPr>
          <w:rFonts w:eastAsia="Times New Roman"/>
          <w:u w:val="single" w:color="000000"/>
          <w:lang w:val="pl-PL"/>
        </w:rPr>
        <w:t>Zapalenie błony naczyniowej oka</w:t>
      </w:r>
    </w:p>
    <w:p w14:paraId="30028733" w14:textId="77777777" w:rsidR="00D22235" w:rsidRPr="008F328C" w:rsidRDefault="00D22235" w:rsidP="00D22235">
      <w:pPr>
        <w:spacing w:line="180" w:lineRule="exact"/>
        <w:rPr>
          <w:rFonts w:ascii="Times New Roman" w:hAnsi="Times New Roman" w:cs="Times New Roman"/>
          <w:lang w:val="pl-PL"/>
        </w:rPr>
      </w:pPr>
    </w:p>
    <w:p w14:paraId="6C098BFD" w14:textId="77777777" w:rsidR="00D22235" w:rsidRPr="008F328C" w:rsidRDefault="00D22235" w:rsidP="00D22235">
      <w:pPr>
        <w:pStyle w:val="a3"/>
        <w:rPr>
          <w:lang w:val="pl-PL"/>
        </w:rPr>
      </w:pPr>
      <w:r w:rsidRPr="008F328C">
        <w:rPr>
          <w:rFonts w:eastAsia="Times New Roman"/>
          <w:lang w:val="pl-PL"/>
        </w:rPr>
        <w:t>Produkt Yuflyma jest wskazany w leczeniu nieinfekcyjnego zapalenia błony naczyniowej oka części pośredniej, odcinka tylnego i całej błony naczyniowej u dorosłych pacjentów z niewystarczającą odpowiedzią na leczenie kortykosteroidami, u pacjentów u których konieczne jest zmniejszenie dawki kortykosteroidów lub leczenie kortykosteroidami jest niewłaściwe.</w:t>
      </w:r>
    </w:p>
    <w:p w14:paraId="454C484B" w14:textId="77777777" w:rsidR="00D22235" w:rsidRPr="008F328C" w:rsidRDefault="00D22235" w:rsidP="00D22235">
      <w:pPr>
        <w:spacing w:line="240" w:lineRule="exact"/>
        <w:rPr>
          <w:rFonts w:ascii="Times New Roman" w:hAnsi="Times New Roman" w:cs="Times New Roman"/>
          <w:lang w:val="pl-PL"/>
        </w:rPr>
      </w:pPr>
    </w:p>
    <w:p w14:paraId="1A7E47EE" w14:textId="77777777" w:rsidR="00D22235" w:rsidRPr="008F328C" w:rsidRDefault="00D22235" w:rsidP="00D22235">
      <w:pPr>
        <w:pStyle w:val="a3"/>
        <w:rPr>
          <w:u w:val="single"/>
          <w:lang w:val="pl-PL"/>
        </w:rPr>
      </w:pPr>
      <w:r w:rsidRPr="008F328C">
        <w:rPr>
          <w:rFonts w:eastAsia="Times New Roman"/>
          <w:u w:val="single" w:color="000000"/>
          <w:lang w:val="pl-PL"/>
        </w:rPr>
        <w:t xml:space="preserve">Zapalenie błony naczyniowej oka u dzieci i młodzieży </w:t>
      </w:r>
    </w:p>
    <w:p w14:paraId="799A3166" w14:textId="77777777" w:rsidR="00D22235" w:rsidRPr="008F328C" w:rsidRDefault="00D22235" w:rsidP="00D22235">
      <w:pPr>
        <w:spacing w:line="180" w:lineRule="exact"/>
        <w:rPr>
          <w:rFonts w:ascii="Times New Roman" w:hAnsi="Times New Roman" w:cs="Times New Roman"/>
          <w:lang w:val="pl-PL"/>
        </w:rPr>
      </w:pPr>
    </w:p>
    <w:p w14:paraId="2B66223F" w14:textId="77777777" w:rsidR="00D22235" w:rsidRPr="008F328C" w:rsidRDefault="00D22235" w:rsidP="00D22235">
      <w:pPr>
        <w:pStyle w:val="a3"/>
        <w:rPr>
          <w:lang w:val="pl-PL"/>
        </w:rPr>
      </w:pPr>
      <w:r w:rsidRPr="008F328C">
        <w:rPr>
          <w:rFonts w:eastAsia="Times New Roman"/>
          <w:lang w:val="pl-PL"/>
        </w:rPr>
        <w:lastRenderedPageBreak/>
        <w:t>Produkt Yuflyma jest wskazany w leczeniu przewlekłego nieinfekcyjnego zapalenia przedniego odcinka błony naczyniowej oka u pacjentów w wieku od 2 lat, którzy wykazywali niewystarczającą odpowiedź na standardowe leczenie lub gdy jest ono nietolerowane lub, u których leczenie konwencjonalne jest niewłaściwe.</w:t>
      </w:r>
    </w:p>
    <w:p w14:paraId="083C9F09" w14:textId="77777777" w:rsidR="00D22235" w:rsidRPr="008F328C" w:rsidRDefault="00D22235" w:rsidP="00D22235">
      <w:pPr>
        <w:spacing w:before="15" w:line="240" w:lineRule="exact"/>
        <w:rPr>
          <w:rFonts w:ascii="Times New Roman" w:hAnsi="Times New Roman" w:cs="Times New Roman"/>
          <w:lang w:val="pl-PL"/>
        </w:rPr>
      </w:pPr>
    </w:p>
    <w:p w14:paraId="18ADCF13"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Dawkowanie i sposób podawania</w:t>
      </w:r>
    </w:p>
    <w:p w14:paraId="5EEDC539" w14:textId="77777777" w:rsidR="00D22235" w:rsidRPr="008F328C" w:rsidRDefault="00D22235" w:rsidP="00D22235">
      <w:pPr>
        <w:spacing w:before="9" w:line="240" w:lineRule="exact"/>
        <w:rPr>
          <w:rFonts w:ascii="Times New Roman" w:hAnsi="Times New Roman" w:cs="Times New Roman"/>
          <w:lang w:val="pl-PL"/>
        </w:rPr>
      </w:pPr>
    </w:p>
    <w:p w14:paraId="62B3F3D2" w14:textId="77777777" w:rsidR="00D22235" w:rsidRPr="008F328C" w:rsidRDefault="00D22235" w:rsidP="00D22235">
      <w:pPr>
        <w:pStyle w:val="a3"/>
        <w:rPr>
          <w:rFonts w:eastAsia="Times New Roman"/>
          <w:lang w:val="pl-PL"/>
        </w:rPr>
      </w:pPr>
      <w:r w:rsidRPr="008F328C">
        <w:rPr>
          <w:rFonts w:eastAsia="Times New Roman"/>
          <w:lang w:val="pl-PL"/>
        </w:rPr>
        <w:t>Leczenie produktem Yuflyma powinni rozpoczynać i nadzorować lekarze specjaliści posiadający doświadczenie w rozpoznawaniu i leczeniu chorób, w których produkt Yuflyma jest wskazany. Zaleca się lekarzom okulistom, aby przed rozpoczęciem leczenia produktem Yuflyma skonsultowali się z odpowiednim lekarzem specjalistą (patrz punkt 4.4). Pacjenci leczeni produktem Yuflyma powinni otrzymać „Kartę Przypominającą dla Pacjenta”.</w:t>
      </w:r>
    </w:p>
    <w:p w14:paraId="2C9DB082" w14:textId="77777777" w:rsidR="00D22235" w:rsidRPr="008F328C" w:rsidRDefault="00D22235" w:rsidP="00D22235">
      <w:pPr>
        <w:spacing w:line="240" w:lineRule="exact"/>
        <w:rPr>
          <w:rFonts w:ascii="Times New Roman" w:hAnsi="Times New Roman" w:cs="Times New Roman"/>
          <w:lang w:val="pl-PL"/>
        </w:rPr>
      </w:pPr>
    </w:p>
    <w:p w14:paraId="38893050" w14:textId="77777777" w:rsidR="00D22235" w:rsidRPr="008F328C" w:rsidRDefault="00D22235" w:rsidP="00D22235">
      <w:pPr>
        <w:pStyle w:val="a3"/>
        <w:rPr>
          <w:lang w:val="pl-PL"/>
        </w:rPr>
      </w:pPr>
      <w:r w:rsidRPr="008F328C">
        <w:rPr>
          <w:rFonts w:eastAsia="Times New Roman"/>
          <w:lang w:val="pl-PL"/>
        </w:rPr>
        <w:t>Po odpowiednim przeszkoleniu zapoznającym z</w:t>
      </w:r>
      <w:r w:rsidRPr="008F328C">
        <w:rPr>
          <w:lang w:val="pl-PL"/>
        </w:rPr>
        <w:t xml:space="preserve"> </w:t>
      </w:r>
      <w:r w:rsidRPr="008F328C">
        <w:rPr>
          <w:rFonts w:eastAsia="Times New Roman"/>
          <w:lang w:val="pl-PL"/>
        </w:rPr>
        <w:t>techniką wstrzykiwania, pacjenci mogą sami wstrzykiwać sobie produkt Yuflyma, jeśli lekarz uzna to za właściwe i w razie potrzeby zleci wizytę kontrolną.</w:t>
      </w:r>
    </w:p>
    <w:p w14:paraId="020F32AD" w14:textId="77777777" w:rsidR="00D22235" w:rsidRPr="008F328C" w:rsidRDefault="00D22235" w:rsidP="00D22235">
      <w:pPr>
        <w:spacing w:line="240" w:lineRule="exact"/>
        <w:rPr>
          <w:rFonts w:ascii="Times New Roman" w:hAnsi="Times New Roman" w:cs="Times New Roman"/>
          <w:lang w:val="pl-PL"/>
        </w:rPr>
      </w:pPr>
    </w:p>
    <w:p w14:paraId="1C17C083" w14:textId="77777777" w:rsidR="00D22235" w:rsidRPr="008F328C" w:rsidRDefault="00D22235" w:rsidP="00D22235">
      <w:pPr>
        <w:pStyle w:val="a3"/>
        <w:rPr>
          <w:rFonts w:eastAsia="Times New Roman"/>
          <w:lang w:val="pl-PL"/>
        </w:rPr>
      </w:pPr>
      <w:r w:rsidRPr="008F328C">
        <w:rPr>
          <w:rFonts w:eastAsia="Times New Roman"/>
          <w:lang w:val="pl-PL"/>
        </w:rPr>
        <w:t>W czasie leczenia produktem Yuflyma należy zoptymalizować inne stosowane jednocześnie leczenie (np. kortykosteroidami i (lub) lekami immunomodulującymi).</w:t>
      </w:r>
    </w:p>
    <w:p w14:paraId="564114C4" w14:textId="77777777" w:rsidR="00D22235" w:rsidRPr="008F328C" w:rsidRDefault="00D22235" w:rsidP="00D22235">
      <w:pPr>
        <w:pStyle w:val="a3"/>
        <w:rPr>
          <w:lang w:val="pl-PL"/>
        </w:rPr>
      </w:pPr>
    </w:p>
    <w:p w14:paraId="382AA88E" w14:textId="77777777" w:rsidR="00D22235" w:rsidRPr="008F328C" w:rsidRDefault="00D22235" w:rsidP="00D22235">
      <w:pPr>
        <w:pStyle w:val="a3"/>
        <w:rPr>
          <w:u w:val="single"/>
          <w:lang w:val="pl-PL"/>
        </w:rPr>
      </w:pPr>
      <w:r w:rsidRPr="008F328C">
        <w:rPr>
          <w:rFonts w:eastAsia="Times New Roman"/>
          <w:u w:val="single" w:color="000000"/>
          <w:lang w:val="pl-PL"/>
        </w:rPr>
        <w:t>Dawkowanie</w:t>
      </w:r>
    </w:p>
    <w:p w14:paraId="5791296D" w14:textId="77777777" w:rsidR="00D22235" w:rsidRPr="008F328C" w:rsidRDefault="00D22235" w:rsidP="00D22235">
      <w:pPr>
        <w:spacing w:line="170" w:lineRule="exact"/>
        <w:rPr>
          <w:rFonts w:ascii="Times New Roman" w:hAnsi="Times New Roman" w:cs="Times New Roman"/>
          <w:lang w:val="pl-PL"/>
        </w:rPr>
      </w:pPr>
    </w:p>
    <w:p w14:paraId="76EF0C44"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Reumatoidalne zapalenie stawów (RZS)</w:t>
      </w:r>
    </w:p>
    <w:p w14:paraId="4BB68C75" w14:textId="77777777" w:rsidR="00D22235" w:rsidRPr="008F328C" w:rsidRDefault="00D22235" w:rsidP="00D22235">
      <w:pPr>
        <w:spacing w:line="240" w:lineRule="exact"/>
        <w:rPr>
          <w:rFonts w:ascii="Times New Roman" w:hAnsi="Times New Roman" w:cs="Times New Roman"/>
          <w:lang w:val="pl-PL"/>
        </w:rPr>
      </w:pPr>
    </w:p>
    <w:p w14:paraId="353732CE" w14:textId="77777777" w:rsidR="00D22235" w:rsidRPr="008F328C" w:rsidRDefault="00D22235" w:rsidP="00D22235">
      <w:pPr>
        <w:pStyle w:val="a3"/>
        <w:rPr>
          <w:lang w:val="pl-PL"/>
        </w:rPr>
      </w:pPr>
      <w:r w:rsidRPr="008F328C">
        <w:rPr>
          <w:rFonts w:eastAsia="Times New Roman"/>
          <w:lang w:val="pl-PL"/>
        </w:rPr>
        <w:t>Zalecana dawka produktu Yuflyma u dorosłych pacjentów z reumatoidalnym zapaleniem stawów wynosi 40 mg adalimumabu podawane co drugi tydzień w pojedynczej dawce we wstrzyknięciu podskórnym. W czasie leczenia produktem Yuflyma należy kontynuować podawanie metotreksatu.</w:t>
      </w:r>
    </w:p>
    <w:p w14:paraId="21A4DB8F" w14:textId="77777777" w:rsidR="00D22235" w:rsidRPr="008F328C" w:rsidRDefault="00D22235" w:rsidP="00D22235">
      <w:pPr>
        <w:pStyle w:val="a3"/>
        <w:rPr>
          <w:lang w:val="pl-PL"/>
        </w:rPr>
      </w:pPr>
    </w:p>
    <w:p w14:paraId="4C87C4CE" w14:textId="77777777" w:rsidR="00D22235" w:rsidRPr="008F328C" w:rsidRDefault="00D22235" w:rsidP="00D22235">
      <w:pPr>
        <w:pStyle w:val="a3"/>
        <w:rPr>
          <w:lang w:val="pl-PL"/>
        </w:rPr>
      </w:pPr>
      <w:r w:rsidRPr="008F328C">
        <w:rPr>
          <w:rFonts w:eastAsia="Times New Roman"/>
          <w:lang w:val="pl-PL"/>
        </w:rPr>
        <w:t>W czasie leczenia produktem Yuflyma można kontynuować podawanie glikokortykosteroidów, salicylanów, niesteroidowych leków przeciwzapalnych lub leków przeciwbólowych. Odnośnie stosowania w skojarzeniu z innymi niż metotreksat lekami przeciwreumatycznymi modyfikującymi przebieg choroby, patrz punkty 4.4 i 5.1.</w:t>
      </w:r>
    </w:p>
    <w:p w14:paraId="0F95F419" w14:textId="77777777" w:rsidR="00D22235" w:rsidRPr="008F328C" w:rsidRDefault="00D22235" w:rsidP="00D22235">
      <w:pPr>
        <w:spacing w:line="240" w:lineRule="exact"/>
        <w:rPr>
          <w:rFonts w:ascii="Times New Roman" w:hAnsi="Times New Roman" w:cs="Times New Roman"/>
          <w:lang w:val="pl-PL"/>
        </w:rPr>
      </w:pPr>
    </w:p>
    <w:p w14:paraId="06C20DB8" w14:textId="77777777" w:rsidR="00D22235" w:rsidRPr="008F328C" w:rsidRDefault="00D22235" w:rsidP="00D22235">
      <w:pPr>
        <w:pStyle w:val="a3"/>
        <w:rPr>
          <w:lang w:val="pl-PL"/>
        </w:rPr>
      </w:pPr>
      <w:r w:rsidRPr="008F328C">
        <w:rPr>
          <w:rFonts w:eastAsia="Times New Roman"/>
          <w:lang w:val="pl-PL"/>
        </w:rPr>
        <w:t>W przypadku monoterapii u niektórych</w:t>
      </w:r>
      <w:r w:rsidRPr="008F328C">
        <w:rPr>
          <w:lang w:val="pl-PL"/>
        </w:rPr>
        <w:t xml:space="preserve"> </w:t>
      </w:r>
      <w:r w:rsidRPr="008F328C">
        <w:rPr>
          <w:rFonts w:eastAsia="Times New Roman"/>
          <w:lang w:val="pl-PL"/>
        </w:rPr>
        <w:t>pacjentów, u których występuje zmniejszenie odpowiedzi na leczenie produktem Yuflyma 40 mg co drugi tydzień, może być korzystne zwiększenie dawkowania adalimumabu do 40 mg co tydzień lub 80 mg co drugi tydzień.</w:t>
      </w:r>
    </w:p>
    <w:p w14:paraId="5D950CE1" w14:textId="77777777" w:rsidR="00D22235" w:rsidRPr="008F328C" w:rsidRDefault="00D22235" w:rsidP="00D22235">
      <w:pPr>
        <w:spacing w:line="240" w:lineRule="exact"/>
        <w:rPr>
          <w:rFonts w:ascii="Times New Roman" w:hAnsi="Times New Roman" w:cs="Times New Roman"/>
          <w:lang w:val="pl-PL"/>
        </w:rPr>
      </w:pPr>
    </w:p>
    <w:p w14:paraId="3A1C070E" w14:textId="77777777" w:rsidR="00D22235" w:rsidRPr="008F328C" w:rsidRDefault="00D22235" w:rsidP="00D22235">
      <w:pPr>
        <w:pStyle w:val="a3"/>
        <w:rPr>
          <w:lang w:val="pl-PL"/>
        </w:rPr>
      </w:pPr>
      <w:r w:rsidRPr="008F328C">
        <w:rPr>
          <w:rFonts w:eastAsia="Times New Roman"/>
          <w:lang w:val="pl-PL"/>
        </w:rPr>
        <w:t>Z dostępnych danych wynika, że odpowiedź kliniczna następuje zazwyczaj w ciągu 12 tygodni leczenia. Należy ponownie rozważyć czy kontynuować</w:t>
      </w:r>
      <w:r w:rsidRPr="008F328C">
        <w:rPr>
          <w:lang w:val="pl-PL"/>
        </w:rPr>
        <w:t xml:space="preserve"> </w:t>
      </w:r>
      <w:r w:rsidRPr="008F328C">
        <w:rPr>
          <w:rFonts w:eastAsia="Times New Roman"/>
          <w:lang w:val="pl-PL"/>
        </w:rPr>
        <w:t>leczenie u pacjenta, który nie odpowiedział na leczenie w tym okresie.</w:t>
      </w:r>
    </w:p>
    <w:p w14:paraId="6D0D0B99" w14:textId="77777777" w:rsidR="0032717B" w:rsidRPr="00D97EE5" w:rsidRDefault="0032717B" w:rsidP="00D97EE5">
      <w:pPr>
        <w:pStyle w:val="a3"/>
        <w:rPr>
          <w:rFonts w:eastAsia="Times New Roman"/>
          <w:lang w:val="pl-PL"/>
        </w:rPr>
      </w:pPr>
    </w:p>
    <w:p w14:paraId="60476C77" w14:textId="072169F5" w:rsidR="00D22235" w:rsidRPr="00D97EE5" w:rsidRDefault="0032717B" w:rsidP="00D97EE5">
      <w:pPr>
        <w:pStyle w:val="a3"/>
        <w:rPr>
          <w:rFonts w:eastAsia="Times New Roman"/>
          <w:lang w:val="pl-PL"/>
        </w:rPr>
      </w:pPr>
      <w:r w:rsidRPr="00D97EE5">
        <w:rPr>
          <w:rFonts w:eastAsia="Times New Roman"/>
          <w:lang w:val="pl-PL"/>
        </w:rPr>
        <w:t>Produkt Yuflyma może być dostępny w innych dawkach i (lub) postaciach w zależności od indywidualnych potrzeb terapeutycznych.</w:t>
      </w:r>
    </w:p>
    <w:p w14:paraId="41FDF150" w14:textId="77777777" w:rsidR="0032717B" w:rsidRPr="008F328C" w:rsidRDefault="0032717B" w:rsidP="0032717B">
      <w:pPr>
        <w:spacing w:line="240" w:lineRule="exact"/>
        <w:rPr>
          <w:rFonts w:ascii="Times New Roman" w:hAnsi="Times New Roman" w:cs="Times New Roman"/>
          <w:lang w:val="pl-PL"/>
        </w:rPr>
      </w:pPr>
    </w:p>
    <w:p w14:paraId="2F18FCE7"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Łuszczyca</w:t>
      </w:r>
    </w:p>
    <w:p w14:paraId="6CAB046E" w14:textId="77777777" w:rsidR="00D22235" w:rsidRPr="008F328C" w:rsidRDefault="00D22235" w:rsidP="00D22235">
      <w:pPr>
        <w:spacing w:line="240" w:lineRule="exact"/>
        <w:rPr>
          <w:rFonts w:ascii="Times New Roman" w:hAnsi="Times New Roman" w:cs="Times New Roman"/>
          <w:lang w:val="pl-PL"/>
        </w:rPr>
      </w:pPr>
    </w:p>
    <w:p w14:paraId="77D5D9FB" w14:textId="77777777" w:rsidR="00D22235" w:rsidRPr="008F328C" w:rsidRDefault="00D22235" w:rsidP="00D22235">
      <w:pPr>
        <w:rPr>
          <w:rFonts w:ascii="Times New Roman" w:hAnsi="Times New Roman" w:cs="Times New Roman"/>
          <w:lang w:val="pl-PL"/>
        </w:rPr>
      </w:pPr>
      <w:r w:rsidRPr="008F328C">
        <w:rPr>
          <w:rFonts w:ascii="Times New Roman" w:eastAsia="Times New Roman" w:hAnsi="Times New Roman" w:cs="Times New Roman"/>
          <w:lang w:val="pl-PL"/>
        </w:rPr>
        <w:t>Zalecana dawka produktu Yuflyma u dorosłych</w:t>
      </w:r>
      <w:r w:rsidRPr="008F328C">
        <w:rPr>
          <w:rFonts w:ascii="Times New Roman" w:hAnsi="Times New Roman" w:cs="Times New Roman"/>
          <w:lang w:val="pl-PL"/>
        </w:rPr>
        <w:t xml:space="preserve"> </w:t>
      </w:r>
      <w:r w:rsidRPr="008F328C">
        <w:rPr>
          <w:rFonts w:ascii="Times New Roman" w:eastAsia="Times New Roman" w:hAnsi="Times New Roman" w:cs="Times New Roman"/>
          <w:lang w:val="pl-PL"/>
        </w:rPr>
        <w:t xml:space="preserve">pacjentów wynosi 80 mg podskórnie jako dawka początkowa, a </w:t>
      </w:r>
      <w:r w:rsidRPr="008F328C">
        <w:rPr>
          <w:rFonts w:ascii="Times New Roman" w:hAnsi="Times New Roman" w:cs="Times New Roman"/>
          <w:lang w:val="pl-PL"/>
        </w:rPr>
        <w:t>następnie po upływie jednego tygodnia od podania dawki początkowej, 40 mg podskórnie co drugi tydzień. Yuflyma 40 mg roztwór do wstrzykiwań w ampułko-strzykawce i (lub) wstrzykiwaczu jest dostępny dla dawki podtrzymującej.</w:t>
      </w:r>
    </w:p>
    <w:p w14:paraId="62187349" w14:textId="77777777" w:rsidR="00D22235" w:rsidRPr="008F328C" w:rsidRDefault="00D22235" w:rsidP="00D22235">
      <w:pPr>
        <w:spacing w:line="240" w:lineRule="exact"/>
        <w:rPr>
          <w:rFonts w:ascii="Times New Roman" w:hAnsi="Times New Roman" w:cs="Times New Roman"/>
          <w:lang w:val="pl-PL"/>
        </w:rPr>
      </w:pPr>
    </w:p>
    <w:p w14:paraId="5F0B9028" w14:textId="77777777" w:rsidR="00D22235" w:rsidRPr="008F328C" w:rsidRDefault="00D22235" w:rsidP="00D22235">
      <w:pPr>
        <w:pStyle w:val="a3"/>
        <w:rPr>
          <w:lang w:val="pl-PL"/>
        </w:rPr>
      </w:pPr>
      <w:r w:rsidRPr="008F328C">
        <w:rPr>
          <w:rFonts w:eastAsia="Times New Roman"/>
          <w:lang w:val="pl-PL"/>
        </w:rPr>
        <w:t>Należy ponownie dokładnie rozważyć czy</w:t>
      </w:r>
      <w:r w:rsidRPr="008F328C">
        <w:rPr>
          <w:lang w:val="pl-PL"/>
        </w:rPr>
        <w:t xml:space="preserve"> </w:t>
      </w:r>
      <w:r w:rsidRPr="008F328C">
        <w:rPr>
          <w:rFonts w:eastAsia="Times New Roman"/>
          <w:lang w:val="pl-PL"/>
        </w:rPr>
        <w:t>kontynuować leczenie dłużej niż przez 16 tygodni u pacjenta, który nie odpowiedział na leczenie w tym okresie.</w:t>
      </w:r>
    </w:p>
    <w:p w14:paraId="59A64A29" w14:textId="77777777" w:rsidR="00D22235" w:rsidRPr="008F328C" w:rsidRDefault="00D22235" w:rsidP="00D22235">
      <w:pPr>
        <w:spacing w:line="240" w:lineRule="exact"/>
        <w:rPr>
          <w:rFonts w:ascii="Times New Roman" w:hAnsi="Times New Roman" w:cs="Times New Roman"/>
          <w:lang w:val="pl-PL"/>
        </w:rPr>
      </w:pPr>
    </w:p>
    <w:p w14:paraId="5B77FBDB" w14:textId="77777777" w:rsidR="00D22235" w:rsidRPr="008F328C" w:rsidRDefault="00D22235" w:rsidP="00D22235">
      <w:pPr>
        <w:pStyle w:val="a3"/>
        <w:rPr>
          <w:lang w:val="pl-PL"/>
        </w:rPr>
      </w:pPr>
      <w:r w:rsidRPr="008F328C">
        <w:rPr>
          <w:rFonts w:eastAsia="Times New Roman"/>
          <w:lang w:val="pl-PL"/>
        </w:rPr>
        <w:t xml:space="preserve">Po upływie 16 tygodni, u pacjentów, którzy nie wykazali wystarczającej odpowiedzi na leczenie </w:t>
      </w:r>
      <w:r w:rsidRPr="008F328C">
        <w:rPr>
          <w:rFonts w:eastAsia="Times New Roman"/>
          <w:lang w:val="pl-PL"/>
        </w:rPr>
        <w:lastRenderedPageBreak/>
        <w:t>produktem</w:t>
      </w:r>
      <w:r w:rsidRPr="008F328C">
        <w:rPr>
          <w:lang w:val="pl-PL"/>
        </w:rPr>
        <w:t xml:space="preserve"> </w:t>
      </w:r>
      <w:r w:rsidRPr="008F328C">
        <w:rPr>
          <w:rFonts w:eastAsia="Times New Roman"/>
          <w:lang w:val="pl-PL"/>
        </w:rPr>
        <w:t>Yuflyma 40 mg co drugi tydzień, może być korzystne zwiększenie dawkowania do 40 mg co tydzień lub 80 mg co drugi tydzień. U pacjenta z niewystarczającą odpowiedzią na leczenie po zwiększeniu dawkowania należy powtórnie dokładnie rozważyć oczekiwane korzyści i potencjalne ryzyko związane z dalszym stosowaniem produktu Yuflyma 40 mg co tydzień lub 80 mg co drugi tydzień (patrz punkt 5.1). Jeśli osiągnie się wystarczającą odpowiedź na leczenie dawką 40 mg co tydzień lub 80 mg co drugi tydzień, można następnie zmniejszyć dawkowanie do 40 mg co drugi tydzień.</w:t>
      </w:r>
    </w:p>
    <w:p w14:paraId="2FA28651" w14:textId="77777777" w:rsidR="0032717B" w:rsidRPr="008F328C" w:rsidRDefault="0032717B" w:rsidP="00D22235">
      <w:pPr>
        <w:pStyle w:val="a3"/>
        <w:rPr>
          <w:lang w:val="pl-PL"/>
        </w:rPr>
      </w:pPr>
    </w:p>
    <w:p w14:paraId="6FB488E7"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Ropne zapalenie apokrynowych gruczołów potowych</w:t>
      </w:r>
    </w:p>
    <w:p w14:paraId="7BF4E8AC" w14:textId="77777777" w:rsidR="00D22235" w:rsidRPr="008F328C" w:rsidRDefault="00D22235" w:rsidP="00D22235">
      <w:pPr>
        <w:spacing w:line="240" w:lineRule="exact"/>
        <w:rPr>
          <w:rFonts w:ascii="Times New Roman" w:hAnsi="Times New Roman" w:cs="Times New Roman"/>
          <w:lang w:val="pl-PL"/>
        </w:rPr>
      </w:pPr>
    </w:p>
    <w:p w14:paraId="7D8EF7E8" w14:textId="19D9D6DA" w:rsidR="00D22235" w:rsidRPr="008F328C" w:rsidRDefault="00D22235" w:rsidP="00D22235">
      <w:pPr>
        <w:pStyle w:val="a3"/>
        <w:rPr>
          <w:rFonts w:eastAsia="Times New Roman"/>
          <w:lang w:val="pl-PL"/>
        </w:rPr>
      </w:pPr>
      <w:r w:rsidRPr="008F328C">
        <w:rPr>
          <w:rFonts w:eastAsia="Times New Roman"/>
          <w:lang w:val="pl-PL"/>
        </w:rPr>
        <w:t xml:space="preserve">Zalecany schemat dawkowania produktu Yuflyma u dorosłych pacjentów z ropnym zapaleniem apokrynowych gruczołów potowych (HS) to początkowo 160 mg w 1. </w:t>
      </w:r>
      <w:r w:rsidR="0032717B" w:rsidRPr="008F328C">
        <w:rPr>
          <w:rFonts w:eastAsia="Times New Roman"/>
          <w:lang w:val="pl-PL"/>
        </w:rPr>
        <w:t>D</w:t>
      </w:r>
      <w:r w:rsidRPr="008F328C">
        <w:rPr>
          <w:rFonts w:eastAsia="Times New Roman"/>
          <w:lang w:val="pl-PL"/>
        </w:rPr>
        <w:t xml:space="preserve">niu (podawany jako dwa wstrzyknięcia po 80 mg w ciągu jednego dnia lub jako jedno wstrzyknięcie po 80 mg na dobę przez dwa kolejne dni), a następnie 80 mg dwa tygodnie później w 15. </w:t>
      </w:r>
      <w:r w:rsidR="0032717B" w:rsidRPr="008F328C">
        <w:rPr>
          <w:rFonts w:eastAsia="Times New Roman"/>
          <w:lang w:val="pl-PL"/>
        </w:rPr>
        <w:t>D</w:t>
      </w:r>
      <w:r w:rsidRPr="008F328C">
        <w:rPr>
          <w:rFonts w:eastAsia="Times New Roman"/>
          <w:lang w:val="pl-PL"/>
        </w:rPr>
        <w:t xml:space="preserve">niu. Dwa tygodnie później (29. </w:t>
      </w:r>
      <w:r w:rsidR="0032717B" w:rsidRPr="008F328C">
        <w:rPr>
          <w:rFonts w:eastAsia="Times New Roman"/>
          <w:lang w:val="pl-PL"/>
        </w:rPr>
        <w:t>D</w:t>
      </w:r>
      <w:r w:rsidRPr="008F328C">
        <w:rPr>
          <w:rFonts w:eastAsia="Times New Roman"/>
          <w:lang w:val="pl-PL"/>
        </w:rPr>
        <w:t>zień) należy kontynuować leczenie stosując dawkę 40 mg co tydzień lub 80 mg co drugi tydzień. Jeśli to konieczne, w okresie leczenia produktem Yuflyma można kontynuować stosowanie antybiotyków. Zaleca się, aby w okresie leczenia produktem Yuflyma pacjenci codziennie przemywali zmiany skórne wywołane przez HS środkiem antyseptycznym o działaniu miejscowym.</w:t>
      </w:r>
    </w:p>
    <w:p w14:paraId="70C96EFF" w14:textId="77777777" w:rsidR="00D22235" w:rsidRPr="008F328C" w:rsidRDefault="00D22235" w:rsidP="00D22235">
      <w:pPr>
        <w:spacing w:line="240" w:lineRule="exact"/>
        <w:rPr>
          <w:rFonts w:ascii="Times New Roman" w:hAnsi="Times New Roman" w:cs="Times New Roman"/>
          <w:lang w:val="pl-PL"/>
        </w:rPr>
      </w:pPr>
    </w:p>
    <w:p w14:paraId="7AB4263E" w14:textId="77777777" w:rsidR="00D22235" w:rsidRPr="008F328C" w:rsidRDefault="00D22235" w:rsidP="00D22235">
      <w:pPr>
        <w:pStyle w:val="a3"/>
        <w:rPr>
          <w:lang w:val="pl-PL"/>
        </w:rPr>
      </w:pPr>
      <w:r w:rsidRPr="008F328C">
        <w:rPr>
          <w:rFonts w:eastAsia="Times New Roman"/>
          <w:lang w:val="pl-PL"/>
        </w:rPr>
        <w:t>Należy ponownie dokładnie rozważyć czy kontynuować leczenie dłużej niż przez 12 tygodni u pacjenta, u którego w tym okresie nie nastąpiła poprawa.</w:t>
      </w:r>
    </w:p>
    <w:p w14:paraId="6C2C113B" w14:textId="77777777" w:rsidR="00D22235" w:rsidRPr="008F328C" w:rsidRDefault="00D22235" w:rsidP="00D22235">
      <w:pPr>
        <w:spacing w:line="240" w:lineRule="exact"/>
        <w:rPr>
          <w:rFonts w:ascii="Times New Roman" w:hAnsi="Times New Roman" w:cs="Times New Roman"/>
          <w:lang w:val="pl-PL"/>
        </w:rPr>
      </w:pPr>
    </w:p>
    <w:p w14:paraId="719DF63F" w14:textId="77777777" w:rsidR="00D22235" w:rsidRPr="008F328C" w:rsidRDefault="00D22235" w:rsidP="00D22235">
      <w:pPr>
        <w:pStyle w:val="a3"/>
        <w:rPr>
          <w:lang w:val="pl-PL"/>
        </w:rPr>
      </w:pPr>
      <w:r w:rsidRPr="008F328C">
        <w:rPr>
          <w:rFonts w:eastAsia="Times New Roman"/>
          <w:lang w:val="pl-PL"/>
        </w:rPr>
        <w:t>W przypadku przerwania leczenia, można powtórnie zastosować produkt Yuflyma 40 mg co tydzień lub 80 mg co drugi tydzień (patrz punkt 5.1).</w:t>
      </w:r>
    </w:p>
    <w:p w14:paraId="53FCCBCB" w14:textId="77777777" w:rsidR="00D22235" w:rsidRPr="008F328C" w:rsidRDefault="00D22235" w:rsidP="00D22235">
      <w:pPr>
        <w:pStyle w:val="a3"/>
        <w:rPr>
          <w:lang w:val="pl-PL"/>
        </w:rPr>
      </w:pPr>
    </w:p>
    <w:p w14:paraId="2422FCCB" w14:textId="77777777" w:rsidR="00D22235" w:rsidRPr="008F328C" w:rsidRDefault="00D22235" w:rsidP="00D22235">
      <w:pPr>
        <w:pStyle w:val="a3"/>
        <w:rPr>
          <w:lang w:val="pl-PL"/>
        </w:rPr>
      </w:pPr>
      <w:r w:rsidRPr="008F328C">
        <w:rPr>
          <w:rFonts w:eastAsia="Times New Roman"/>
          <w:lang w:val="pl-PL"/>
        </w:rPr>
        <w:t xml:space="preserve">Należy okresowo oceniać korzyści i ryzyko związane z kontynuacją długookresowego leczenia (patrz punkt 5.1). </w:t>
      </w:r>
    </w:p>
    <w:p w14:paraId="26D17FEF" w14:textId="77777777" w:rsidR="0032717B" w:rsidRPr="008F328C" w:rsidRDefault="0032717B" w:rsidP="00D22235">
      <w:pPr>
        <w:rPr>
          <w:rFonts w:ascii="Times New Roman" w:eastAsia="Times New Roman" w:hAnsi="Times New Roman" w:cs="Times New Roman"/>
          <w:i/>
          <w:spacing w:val="-1"/>
          <w:lang w:val="pl-PL"/>
        </w:rPr>
      </w:pPr>
    </w:p>
    <w:p w14:paraId="1D04E005"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Choroba Leśniowskiego-Crohna</w:t>
      </w:r>
    </w:p>
    <w:p w14:paraId="5F12ED84" w14:textId="77777777" w:rsidR="00D22235" w:rsidRPr="008F328C" w:rsidRDefault="00D22235" w:rsidP="00D22235">
      <w:pPr>
        <w:spacing w:line="240" w:lineRule="exact"/>
        <w:rPr>
          <w:rFonts w:ascii="Times New Roman" w:hAnsi="Times New Roman" w:cs="Times New Roman"/>
          <w:lang w:val="pl-PL"/>
        </w:rPr>
      </w:pPr>
    </w:p>
    <w:p w14:paraId="742EC8A7" w14:textId="77777777" w:rsidR="00D22235" w:rsidRPr="008F328C" w:rsidRDefault="00D22235" w:rsidP="00D22235">
      <w:pPr>
        <w:pStyle w:val="a3"/>
        <w:rPr>
          <w:lang w:val="pl-PL"/>
        </w:rPr>
      </w:pPr>
      <w:r w:rsidRPr="008F328C">
        <w:rPr>
          <w:rFonts w:eastAsia="Times New Roman"/>
          <w:lang w:val="pl-PL"/>
        </w:rPr>
        <w:t>Zalecany schemat dawkowania produktu Yuflyma w okresie indukcji u dorosłych pacjentów z czynną postacią choroby Leśniowskiego-Crohna o nasileniu umiarkowanym do ciężkiego to dawka 80 mg w tygodniu 0, a następnie 40 mg w 2. tygodniu. Jeśli istnieje potrzeba uzyskania szybszej odpowiedzi na leczenie, można zastosować następujący schemat dawkowania: 160 mg w tygodniu 0 (podawany jako dwa wstrzyknięcia po 80 mg w ciągu jednego dnia lub jako jedno wstrzyknięcie po 80 mg na dobę przez dwa kolejne dni) 80 mg w 2. tygodniu. Należy jednak zdawać sobie sprawę, że ryzyko zdarzeń niepożądanych jest większe podczas indukcji.</w:t>
      </w:r>
    </w:p>
    <w:p w14:paraId="41D4977E" w14:textId="77777777" w:rsidR="00D22235" w:rsidRPr="008F328C" w:rsidRDefault="00D22235" w:rsidP="00D22235">
      <w:pPr>
        <w:spacing w:line="240" w:lineRule="exact"/>
        <w:rPr>
          <w:rFonts w:ascii="Times New Roman" w:hAnsi="Times New Roman" w:cs="Times New Roman"/>
          <w:lang w:val="pl-PL"/>
        </w:rPr>
      </w:pPr>
    </w:p>
    <w:p w14:paraId="13C49B1C" w14:textId="77777777" w:rsidR="00D22235" w:rsidRPr="008F328C" w:rsidRDefault="00D22235" w:rsidP="00D22235">
      <w:pPr>
        <w:pStyle w:val="a3"/>
        <w:rPr>
          <w:rFonts w:eastAsia="Times New Roman"/>
          <w:lang w:val="pl-PL"/>
        </w:rPr>
      </w:pPr>
      <w:r w:rsidRPr="008F328C">
        <w:rPr>
          <w:rFonts w:eastAsia="Times New Roman"/>
          <w:lang w:val="pl-PL"/>
        </w:rPr>
        <w:t>Po leczeniu indukcyjnym, zalecana dawka wynosi 40 mg co drugi tydzień we wstrzyknięciu podskórnym. Ewentualnie, jeśli pacjent przerwał stosowanie produktu Yuflyma, a objawy przedmiotowe i podmiotowe choroby nawróciły, można ponownie zacząć podawanie produktu Yuflyma. Doświadczenie związane z wznowieniem podawania po upływie więcej niż 8 tygodni od podania poprzedniej dawki jest niewielkie.</w:t>
      </w:r>
    </w:p>
    <w:p w14:paraId="787F4EF2" w14:textId="77777777" w:rsidR="00D22235" w:rsidRPr="008F328C" w:rsidRDefault="00D22235" w:rsidP="00D22235">
      <w:pPr>
        <w:spacing w:line="240" w:lineRule="exact"/>
        <w:rPr>
          <w:rFonts w:ascii="Times New Roman" w:hAnsi="Times New Roman" w:cs="Times New Roman"/>
          <w:lang w:val="pl-PL"/>
        </w:rPr>
      </w:pPr>
    </w:p>
    <w:p w14:paraId="47048895" w14:textId="77777777" w:rsidR="00D22235" w:rsidRPr="008F328C" w:rsidRDefault="00D22235" w:rsidP="00D22235">
      <w:pPr>
        <w:pStyle w:val="a3"/>
        <w:rPr>
          <w:lang w:val="pl-PL"/>
        </w:rPr>
      </w:pPr>
      <w:r w:rsidRPr="008F328C">
        <w:rPr>
          <w:rFonts w:eastAsia="Times New Roman"/>
          <w:lang w:val="pl-PL"/>
        </w:rPr>
        <w:t>Podczas leczenia podtrzymującego można stopniowo zmniejszać dawkę kortykosteroidów zgodnie z zaleceniami praktyki klinicznej.</w:t>
      </w:r>
    </w:p>
    <w:p w14:paraId="13F8A0E9" w14:textId="77777777" w:rsidR="00D22235" w:rsidRPr="008F328C" w:rsidRDefault="00D22235" w:rsidP="00D22235">
      <w:pPr>
        <w:spacing w:line="240" w:lineRule="exact"/>
        <w:rPr>
          <w:rFonts w:ascii="Times New Roman" w:hAnsi="Times New Roman" w:cs="Times New Roman"/>
          <w:lang w:val="pl-PL"/>
        </w:rPr>
      </w:pPr>
    </w:p>
    <w:p w14:paraId="4441C9E2" w14:textId="77777777" w:rsidR="00D22235" w:rsidRPr="008F328C" w:rsidRDefault="00D22235" w:rsidP="00D22235">
      <w:pPr>
        <w:pStyle w:val="a3"/>
        <w:rPr>
          <w:lang w:val="pl-PL"/>
        </w:rPr>
      </w:pPr>
      <w:r w:rsidRPr="008F328C">
        <w:rPr>
          <w:rFonts w:eastAsia="Times New Roman"/>
          <w:lang w:val="pl-PL"/>
        </w:rPr>
        <w:t>U niektórych pacjentów, u których występuje zmniejszenie odpowiedzi na leczenie produktem Yuflyma 40 mg co drugi tydzień, może być korzystne zwiększenie dawkowania Yuflyma do 40 mg co tydzień lub 80 mg co drugi tydzień.</w:t>
      </w:r>
    </w:p>
    <w:p w14:paraId="2AEAC8A2" w14:textId="77777777" w:rsidR="00D22235" w:rsidRPr="008F328C" w:rsidRDefault="00D22235" w:rsidP="00D22235">
      <w:pPr>
        <w:spacing w:line="240" w:lineRule="exact"/>
        <w:rPr>
          <w:rFonts w:ascii="Times New Roman" w:hAnsi="Times New Roman" w:cs="Times New Roman"/>
          <w:lang w:val="pl-PL"/>
        </w:rPr>
      </w:pPr>
    </w:p>
    <w:p w14:paraId="0C1FA70D" w14:textId="77777777" w:rsidR="00D22235" w:rsidRPr="008F328C" w:rsidRDefault="00D22235" w:rsidP="00D22235">
      <w:pPr>
        <w:pStyle w:val="a3"/>
        <w:rPr>
          <w:lang w:val="pl-PL"/>
        </w:rPr>
      </w:pPr>
      <w:r w:rsidRPr="008F328C">
        <w:rPr>
          <w:rFonts w:eastAsia="Times New Roman"/>
          <w:lang w:val="pl-PL"/>
        </w:rPr>
        <w:t>U niektórych pacjentów, którzy nie wykazali odpowiedzi na leczenie do 4. tygodnia może być korzystne kontynuowanie leczenia podtrzymującego do 12. tygodnia włącznie. Należy ponownie dokładnie rozważyć czy kontynuować leczenie u pacjenta, który nie odpowiedział na leczenie w tym okresie.</w:t>
      </w:r>
    </w:p>
    <w:p w14:paraId="6A7F5E5B" w14:textId="77777777" w:rsidR="0032717B" w:rsidRPr="008F328C" w:rsidRDefault="0032717B" w:rsidP="00D22235">
      <w:pPr>
        <w:spacing w:line="240" w:lineRule="exact"/>
        <w:rPr>
          <w:rFonts w:ascii="Times New Roman" w:hAnsi="Times New Roman" w:cs="Times New Roman"/>
          <w:lang w:val="pl-PL"/>
        </w:rPr>
      </w:pPr>
    </w:p>
    <w:p w14:paraId="198313F1"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Wrzodziejące zapalenie jelita grubego (WZJG)</w:t>
      </w:r>
    </w:p>
    <w:p w14:paraId="54A0C404" w14:textId="77777777" w:rsidR="00D22235" w:rsidRPr="008F328C" w:rsidRDefault="00D22235" w:rsidP="00D22235">
      <w:pPr>
        <w:spacing w:line="240" w:lineRule="exact"/>
        <w:rPr>
          <w:rFonts w:ascii="Times New Roman" w:hAnsi="Times New Roman" w:cs="Times New Roman"/>
          <w:lang w:val="pl-PL"/>
        </w:rPr>
      </w:pPr>
    </w:p>
    <w:p w14:paraId="368CA186" w14:textId="77777777" w:rsidR="00D22235" w:rsidRPr="008F328C" w:rsidRDefault="00D22235" w:rsidP="00D22235">
      <w:pPr>
        <w:pStyle w:val="a3"/>
        <w:rPr>
          <w:rFonts w:eastAsia="Times New Roman"/>
          <w:lang w:val="pl-PL"/>
        </w:rPr>
      </w:pPr>
      <w:r w:rsidRPr="008F328C">
        <w:rPr>
          <w:rFonts w:eastAsia="Times New Roman"/>
          <w:lang w:val="pl-PL"/>
        </w:rPr>
        <w:t xml:space="preserve">Zalecany schemat dawkowania produktu Yuflyma w okresie leczenia indukcyjnego u dorosłych pacjentów z wrzodziejącym zapaleniem jelita grubego o nasileniu umiarkowanym do ciężkiego wynosi 160 mg w tygodniu 0 (podawany jako dwa wstrzyknięcia po 80 mg w ciągu jednego dnia lub jako jedno wstrzyknięcie po 80 mg na dobę przez dwa kolejne dni) oraz 80 mg w 2. Po leczeniu indukcyjnym, zalecana dawka wynosi 40 mg co drugi tydzień we wstrzyknięciu podskórnym. </w:t>
      </w:r>
    </w:p>
    <w:p w14:paraId="4C1D63E0" w14:textId="77777777" w:rsidR="00D22235" w:rsidRPr="008F328C" w:rsidRDefault="00D22235" w:rsidP="00D22235">
      <w:pPr>
        <w:spacing w:line="240" w:lineRule="exact"/>
        <w:rPr>
          <w:rFonts w:ascii="Times New Roman" w:hAnsi="Times New Roman" w:cs="Times New Roman"/>
          <w:lang w:val="pl-PL"/>
        </w:rPr>
      </w:pPr>
    </w:p>
    <w:p w14:paraId="1E8D6C2F" w14:textId="77777777" w:rsidR="00D22235" w:rsidRPr="008F328C" w:rsidRDefault="00D22235" w:rsidP="00D22235">
      <w:pPr>
        <w:pStyle w:val="a3"/>
        <w:rPr>
          <w:lang w:val="pl-PL"/>
        </w:rPr>
      </w:pPr>
      <w:r w:rsidRPr="008F328C">
        <w:rPr>
          <w:rFonts w:eastAsia="Times New Roman"/>
          <w:lang w:val="pl-PL"/>
        </w:rPr>
        <w:t>Podczas leczenia podtrzymującego można stopniowo zmniejszać dawkę kortykosteroidów zgodnie z zaleceniami praktyki klinicznej.</w:t>
      </w:r>
    </w:p>
    <w:p w14:paraId="327BF874" w14:textId="77777777" w:rsidR="00D22235" w:rsidRPr="008F328C" w:rsidRDefault="00D22235" w:rsidP="00D22235">
      <w:pPr>
        <w:pStyle w:val="a3"/>
        <w:rPr>
          <w:lang w:val="pl-PL"/>
        </w:rPr>
      </w:pPr>
    </w:p>
    <w:p w14:paraId="58F74884" w14:textId="77777777" w:rsidR="00D22235" w:rsidRPr="008F328C" w:rsidRDefault="00D22235" w:rsidP="00D22235">
      <w:pPr>
        <w:pStyle w:val="a3"/>
        <w:rPr>
          <w:lang w:val="pl-PL"/>
        </w:rPr>
      </w:pPr>
      <w:r w:rsidRPr="008F328C">
        <w:rPr>
          <w:rFonts w:eastAsia="Times New Roman"/>
          <w:spacing w:val="-2"/>
          <w:lang w:val="pl-PL"/>
        </w:rPr>
        <w:t>U niektórych pacjentów, u których występuje zmniejszenie odpowiedzi na leczenie produktem Yuflyma 40 mg co drugi tydzień, może być korzystne zwiększenie dawkowania Yuflyma do 40 mg co tydzień lub 80 mg co drugi tydzień.</w:t>
      </w:r>
    </w:p>
    <w:p w14:paraId="21A5C9A5" w14:textId="77777777" w:rsidR="00D22235" w:rsidRPr="008F328C" w:rsidRDefault="00D22235" w:rsidP="00D22235">
      <w:pPr>
        <w:spacing w:line="240" w:lineRule="exact"/>
        <w:rPr>
          <w:rFonts w:ascii="Times New Roman" w:hAnsi="Times New Roman" w:cs="Times New Roman"/>
          <w:lang w:val="pl-PL"/>
        </w:rPr>
      </w:pPr>
    </w:p>
    <w:p w14:paraId="703582AD" w14:textId="77777777" w:rsidR="00D22235" w:rsidRPr="008F328C" w:rsidRDefault="00D22235" w:rsidP="00D22235">
      <w:pPr>
        <w:pStyle w:val="a3"/>
        <w:rPr>
          <w:lang w:val="pl-PL"/>
        </w:rPr>
      </w:pPr>
      <w:r w:rsidRPr="008F328C">
        <w:rPr>
          <w:rFonts w:eastAsia="Times New Roman"/>
          <w:lang w:val="pl-PL"/>
        </w:rPr>
        <w:t>Z dostępnych danych wynika, że odpowiedź kliniczna następuje zazwyczaj w ciągu 2-8 tygodni leczenia. Nie należy kontynuować leczenia produktem Yuflyma u pacjentów, którzy nie odpowiedzieli na leczenie w tym okresie.</w:t>
      </w:r>
    </w:p>
    <w:p w14:paraId="620EB3B3" w14:textId="77777777" w:rsidR="0032717B" w:rsidRPr="008F328C" w:rsidRDefault="0032717B" w:rsidP="00D22235">
      <w:pPr>
        <w:rPr>
          <w:rFonts w:ascii="Times New Roman" w:eastAsia="Times New Roman" w:hAnsi="Times New Roman" w:cs="Times New Roman"/>
          <w:i/>
          <w:lang w:val="pl-PL"/>
        </w:rPr>
      </w:pPr>
    </w:p>
    <w:p w14:paraId="53C9243C"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lang w:val="pl-PL"/>
        </w:rPr>
        <w:t>Zapalenie błony naczyniowej oka</w:t>
      </w:r>
    </w:p>
    <w:p w14:paraId="667FEB8F" w14:textId="77777777" w:rsidR="00D22235" w:rsidRPr="008F328C" w:rsidRDefault="00D22235" w:rsidP="00D22235">
      <w:pPr>
        <w:spacing w:line="240" w:lineRule="exact"/>
        <w:rPr>
          <w:rFonts w:ascii="Times New Roman" w:hAnsi="Times New Roman" w:cs="Times New Roman"/>
          <w:lang w:val="pl-PL"/>
        </w:rPr>
      </w:pPr>
    </w:p>
    <w:p w14:paraId="547CBE04" w14:textId="77777777" w:rsidR="00D22235" w:rsidRPr="008F328C" w:rsidRDefault="00D22235" w:rsidP="00D22235">
      <w:pPr>
        <w:pStyle w:val="a3"/>
        <w:rPr>
          <w:lang w:val="pl-PL"/>
        </w:rPr>
      </w:pPr>
      <w:r w:rsidRPr="008F328C">
        <w:rPr>
          <w:rFonts w:eastAsia="Times New Roman"/>
          <w:lang w:val="pl-PL"/>
        </w:rPr>
        <w:t>Zalecana dawka produktu Yuflyma u dorosłych pacjentów z zapaleniem błony naczyniowej oka to dawka początkowa 80 mg, a następnie po tygodniu od podania dawki początkowej, dawka 40 mg podawana co drugi tydzień. Doświadczenie w rozpoczynaniu leczenia wyłącznie adalimumabem jest ograniczone. Leczenie produktem Yuflyma można rozpocząć w skojarzeniu z kortykosteroidami oraz (lub) innymi niebiologicznymi lekami immunomodulującymi Po upływie dwóch tygodni od rozpoczęcia leczenia produktem Yuflyma, dawkę jednocześnie stosowanych kortykosteroidów można stopniowo zmniejszać, zgodnie z praktyką kliniczną.</w:t>
      </w:r>
    </w:p>
    <w:p w14:paraId="50927CF7" w14:textId="77777777" w:rsidR="00D22235" w:rsidRPr="008F328C" w:rsidRDefault="00D22235" w:rsidP="00D22235">
      <w:pPr>
        <w:spacing w:line="240" w:lineRule="exact"/>
        <w:rPr>
          <w:rFonts w:ascii="Times New Roman" w:hAnsi="Times New Roman" w:cs="Times New Roman"/>
          <w:lang w:val="pl-PL"/>
        </w:rPr>
      </w:pPr>
    </w:p>
    <w:p w14:paraId="1ED0DD95" w14:textId="77777777" w:rsidR="00D22235" w:rsidRPr="008F328C" w:rsidRDefault="00D22235" w:rsidP="00D22235">
      <w:pPr>
        <w:pStyle w:val="a3"/>
        <w:rPr>
          <w:lang w:val="pl-PL"/>
        </w:rPr>
      </w:pPr>
      <w:r w:rsidRPr="008F328C">
        <w:rPr>
          <w:rFonts w:eastAsia="Times New Roman"/>
          <w:spacing w:val="-4"/>
          <w:lang w:val="pl-PL"/>
        </w:rPr>
        <w:t>Zaleca się coroczną ocenę korzyści i ryzyka związanego z kontynuacją długookresowego leczenia (patrz punkt 5.1).</w:t>
      </w:r>
    </w:p>
    <w:p w14:paraId="4DD16C67" w14:textId="77777777" w:rsidR="00D22235" w:rsidRPr="008F328C" w:rsidRDefault="00D22235" w:rsidP="00D22235">
      <w:pPr>
        <w:pStyle w:val="a3"/>
        <w:rPr>
          <w:lang w:val="pl-PL"/>
        </w:rPr>
      </w:pPr>
    </w:p>
    <w:p w14:paraId="76388BFF" w14:textId="77777777" w:rsidR="00D22235" w:rsidRPr="008F328C" w:rsidRDefault="00D22235" w:rsidP="00D22235">
      <w:pPr>
        <w:pStyle w:val="a3"/>
        <w:rPr>
          <w:u w:val="single"/>
          <w:lang w:val="pl-PL"/>
        </w:rPr>
      </w:pPr>
      <w:r w:rsidRPr="008F328C">
        <w:rPr>
          <w:rFonts w:eastAsia="Times New Roman"/>
          <w:u w:val="single" w:color="000000"/>
          <w:lang w:val="pl-PL"/>
        </w:rPr>
        <w:t>Szczególne grupy pacjentów</w:t>
      </w:r>
    </w:p>
    <w:p w14:paraId="725FBB02" w14:textId="77777777" w:rsidR="00D22235" w:rsidRPr="008F328C" w:rsidRDefault="00D22235" w:rsidP="00D22235">
      <w:pPr>
        <w:spacing w:line="180" w:lineRule="exact"/>
        <w:rPr>
          <w:rFonts w:ascii="Times New Roman" w:hAnsi="Times New Roman" w:cs="Times New Roman"/>
          <w:lang w:val="pl-PL"/>
        </w:rPr>
      </w:pPr>
    </w:p>
    <w:p w14:paraId="5D9621DA" w14:textId="77777777" w:rsidR="00D22235" w:rsidRPr="008F328C" w:rsidRDefault="00D22235" w:rsidP="00D22235">
      <w:pPr>
        <w:pStyle w:val="a3"/>
        <w:rPr>
          <w:i/>
          <w:lang w:val="pl-PL"/>
        </w:rPr>
      </w:pPr>
      <w:r w:rsidRPr="008F328C">
        <w:rPr>
          <w:rFonts w:eastAsia="Times New Roman"/>
          <w:i/>
          <w:iCs/>
          <w:lang w:val="pl-PL"/>
        </w:rPr>
        <w:t>Pacjenci w podeszłym wieku</w:t>
      </w:r>
    </w:p>
    <w:p w14:paraId="639D9836" w14:textId="77777777" w:rsidR="00D22235" w:rsidRPr="008F328C" w:rsidRDefault="00D22235" w:rsidP="00D22235">
      <w:pPr>
        <w:spacing w:line="240" w:lineRule="exact"/>
        <w:rPr>
          <w:rFonts w:ascii="Times New Roman" w:hAnsi="Times New Roman" w:cs="Times New Roman"/>
          <w:lang w:val="pl-PL"/>
        </w:rPr>
      </w:pPr>
    </w:p>
    <w:p w14:paraId="2FE53EAA" w14:textId="77777777" w:rsidR="00D22235" w:rsidRPr="008F328C" w:rsidRDefault="00D22235" w:rsidP="00D22235">
      <w:pPr>
        <w:pStyle w:val="a3"/>
        <w:rPr>
          <w:lang w:val="pl-PL"/>
        </w:rPr>
      </w:pPr>
      <w:r w:rsidRPr="008F328C">
        <w:rPr>
          <w:rFonts w:eastAsia="Times New Roman"/>
          <w:lang w:val="pl-PL"/>
        </w:rPr>
        <w:t xml:space="preserve">Nie jest konieczna zmiana dawki. </w:t>
      </w:r>
    </w:p>
    <w:p w14:paraId="08A1BA95" w14:textId="77777777" w:rsidR="00D22235" w:rsidRPr="008F328C" w:rsidRDefault="00D22235" w:rsidP="00D22235">
      <w:pPr>
        <w:pStyle w:val="a3"/>
        <w:rPr>
          <w:lang w:val="pl-PL"/>
        </w:rPr>
      </w:pPr>
    </w:p>
    <w:p w14:paraId="3F7F89CC" w14:textId="77777777" w:rsidR="00D22235" w:rsidRPr="008F328C" w:rsidRDefault="00D22235" w:rsidP="00D22235">
      <w:pPr>
        <w:pStyle w:val="a3"/>
        <w:rPr>
          <w:i/>
          <w:lang w:val="pl-PL"/>
        </w:rPr>
      </w:pPr>
      <w:r w:rsidRPr="008F328C">
        <w:rPr>
          <w:rFonts w:eastAsia="Times New Roman"/>
          <w:i/>
          <w:iCs/>
          <w:lang w:val="pl-PL"/>
        </w:rPr>
        <w:t>Zaburzenia czynności nerek i (lub) wątroby</w:t>
      </w:r>
    </w:p>
    <w:p w14:paraId="1AD61C45" w14:textId="77777777" w:rsidR="00D22235" w:rsidRPr="008F328C" w:rsidRDefault="00D22235" w:rsidP="00D22235">
      <w:pPr>
        <w:pStyle w:val="a3"/>
        <w:rPr>
          <w:lang w:val="pl-PL"/>
        </w:rPr>
      </w:pPr>
    </w:p>
    <w:p w14:paraId="23074FA5" w14:textId="77777777" w:rsidR="00D22235" w:rsidRPr="008F328C" w:rsidRDefault="00D22235" w:rsidP="00D22235">
      <w:pPr>
        <w:pStyle w:val="a3"/>
        <w:rPr>
          <w:lang w:val="pl-PL"/>
        </w:rPr>
      </w:pPr>
      <w:r w:rsidRPr="008F328C">
        <w:rPr>
          <w:rFonts w:eastAsia="Times New Roman"/>
          <w:lang w:val="pl-PL"/>
        </w:rPr>
        <w:t xml:space="preserve">Nie badano stosowania adalimumabu w tych populacjach pacjentów. Nie można podać zaleceń dotyczących dawkowania. </w:t>
      </w:r>
    </w:p>
    <w:p w14:paraId="6A8738D7" w14:textId="77777777" w:rsidR="00D22235" w:rsidRPr="008F328C" w:rsidRDefault="00D22235" w:rsidP="00D22235">
      <w:pPr>
        <w:pStyle w:val="a3"/>
        <w:rPr>
          <w:lang w:val="pl-PL"/>
        </w:rPr>
      </w:pPr>
    </w:p>
    <w:p w14:paraId="609C9062" w14:textId="77777777" w:rsidR="00D22235" w:rsidRPr="00D97EE5" w:rsidRDefault="00D22235" w:rsidP="00D22235">
      <w:pPr>
        <w:pStyle w:val="a3"/>
        <w:rPr>
          <w:u w:val="single"/>
          <w:lang w:val="pl-PL"/>
        </w:rPr>
      </w:pPr>
      <w:r w:rsidRPr="00D97EE5">
        <w:rPr>
          <w:rFonts w:eastAsia="Times New Roman"/>
          <w:u w:val="single"/>
          <w:lang w:val="pl-PL"/>
        </w:rPr>
        <w:t>Dzieci i młodzież</w:t>
      </w:r>
    </w:p>
    <w:p w14:paraId="715BD83D" w14:textId="77777777" w:rsidR="00D22235" w:rsidRPr="008F328C" w:rsidRDefault="00D22235" w:rsidP="00D22235">
      <w:pPr>
        <w:pStyle w:val="a3"/>
        <w:rPr>
          <w:i/>
          <w:lang w:val="pl-PL"/>
        </w:rPr>
      </w:pPr>
    </w:p>
    <w:p w14:paraId="520E7590" w14:textId="77777777" w:rsidR="0032717B" w:rsidRPr="00D97EE5" w:rsidRDefault="0032717B" w:rsidP="0032717B">
      <w:pPr>
        <w:pStyle w:val="a3"/>
        <w:rPr>
          <w:rFonts w:eastAsia="Times New Roman"/>
          <w:i/>
          <w:iCs/>
          <w:spacing w:val="-4"/>
          <w:lang w:val="pl-PL"/>
        </w:rPr>
      </w:pPr>
      <w:r w:rsidRPr="00D97EE5">
        <w:rPr>
          <w:rFonts w:eastAsia="Times New Roman"/>
          <w:i/>
          <w:iCs/>
          <w:lang w:val="pl-PL"/>
        </w:rPr>
        <w:t>Ł</w:t>
      </w:r>
      <w:r w:rsidRPr="00D97EE5">
        <w:rPr>
          <w:rFonts w:eastAsia="Times New Roman"/>
          <w:i/>
          <w:iCs/>
          <w:spacing w:val="-4"/>
          <w:lang w:val="pl-PL"/>
        </w:rPr>
        <w:t>uszczyca zwyczajna (plackowata) u dzieci i młodzieży</w:t>
      </w:r>
    </w:p>
    <w:p w14:paraId="7818C0F7" w14:textId="77777777" w:rsidR="0032717B" w:rsidRPr="00D97EE5" w:rsidRDefault="0032717B" w:rsidP="0032717B">
      <w:pPr>
        <w:pStyle w:val="a3"/>
        <w:rPr>
          <w:rFonts w:eastAsia="Times New Roman"/>
          <w:spacing w:val="-4"/>
          <w:lang w:val="pl-PL"/>
        </w:rPr>
      </w:pPr>
    </w:p>
    <w:p w14:paraId="2DA82AD8" w14:textId="52DE5D44" w:rsidR="0032717B" w:rsidRPr="00D97EE5" w:rsidRDefault="0032717B" w:rsidP="0032717B">
      <w:pPr>
        <w:pStyle w:val="a3"/>
        <w:rPr>
          <w:rFonts w:eastAsia="Times New Roman"/>
          <w:spacing w:val="-4"/>
          <w:lang w:val="pl-PL"/>
        </w:rPr>
      </w:pPr>
      <w:r w:rsidRPr="00D97EE5">
        <w:rPr>
          <w:rFonts w:eastAsia="Times New Roman"/>
          <w:spacing w:val="-4"/>
          <w:lang w:val="pl-PL"/>
        </w:rPr>
        <w:t xml:space="preserve">Ustalono bezpieczeństwo i skuteczność stosowania produktu </w:t>
      </w:r>
      <w:r w:rsidR="00487580">
        <w:rPr>
          <w:rFonts w:eastAsia="Times New Roman"/>
          <w:spacing w:val="-4"/>
          <w:lang w:val="pl-PL"/>
        </w:rPr>
        <w:t>Yuflyma</w:t>
      </w:r>
      <w:r w:rsidRPr="00D97EE5">
        <w:rPr>
          <w:rFonts w:eastAsia="Times New Roman"/>
          <w:spacing w:val="-4"/>
          <w:lang w:val="pl-PL"/>
        </w:rPr>
        <w:t xml:space="preserve"> u dzieci i młodzieży w wieku od</w:t>
      </w:r>
      <w:r>
        <w:rPr>
          <w:rFonts w:eastAsia="Times New Roman"/>
          <w:spacing w:val="-4"/>
          <w:lang w:val="pl-PL"/>
        </w:rPr>
        <w:t xml:space="preserve"> </w:t>
      </w:r>
      <w:r w:rsidRPr="00D97EE5">
        <w:rPr>
          <w:rFonts w:eastAsia="Times New Roman"/>
          <w:spacing w:val="-4"/>
          <w:lang w:val="pl-PL"/>
        </w:rPr>
        <w:t>4 do 17 lat w łuszczycy zwyczajnej (plackowatej). Zalecana dawka produktu</w:t>
      </w:r>
      <w:r w:rsidR="00487580">
        <w:rPr>
          <w:rFonts w:eastAsia="Times New Roman"/>
          <w:spacing w:val="-4"/>
          <w:lang w:val="pl-PL"/>
        </w:rPr>
        <w:t xml:space="preserve"> Yuflyma</w:t>
      </w:r>
      <w:r w:rsidRPr="00D97EE5">
        <w:rPr>
          <w:rFonts w:eastAsia="Times New Roman"/>
          <w:spacing w:val="-4"/>
          <w:lang w:val="pl-PL"/>
        </w:rPr>
        <w:t xml:space="preserve"> nie powinna być</w:t>
      </w:r>
      <w:r>
        <w:rPr>
          <w:rFonts w:eastAsia="Times New Roman"/>
          <w:spacing w:val="-4"/>
          <w:lang w:val="pl-PL"/>
        </w:rPr>
        <w:t xml:space="preserve"> </w:t>
      </w:r>
      <w:r w:rsidRPr="00D97EE5">
        <w:rPr>
          <w:rFonts w:eastAsia="Times New Roman"/>
          <w:spacing w:val="-4"/>
          <w:lang w:val="pl-PL"/>
        </w:rPr>
        <w:t>większa niż 40 mg.</w:t>
      </w:r>
    </w:p>
    <w:p w14:paraId="3263157F" w14:textId="77777777" w:rsidR="00D22235" w:rsidRPr="00D97EE5" w:rsidRDefault="00D22235" w:rsidP="00D22235">
      <w:pPr>
        <w:pStyle w:val="a3"/>
        <w:rPr>
          <w:rFonts w:eastAsia="Times New Roman"/>
          <w:spacing w:val="-4"/>
          <w:lang w:val="pl-PL"/>
        </w:rPr>
      </w:pPr>
    </w:p>
    <w:p w14:paraId="1E3C7F62" w14:textId="77777777" w:rsidR="00D22235" w:rsidRPr="00D97EE5" w:rsidRDefault="00D22235" w:rsidP="00D22235">
      <w:pPr>
        <w:jc w:val="both"/>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 xml:space="preserve">Ropne zapalenie apokrynowych gruczołów potowych u młodzieży (w wieku od 12 lat, o masie ciała co najmniej 30 kg) </w:t>
      </w:r>
    </w:p>
    <w:p w14:paraId="11EF88B4" w14:textId="77777777" w:rsidR="00D22235" w:rsidRPr="008F328C" w:rsidRDefault="00D22235" w:rsidP="00D22235">
      <w:pPr>
        <w:spacing w:line="240" w:lineRule="exact"/>
        <w:rPr>
          <w:rFonts w:ascii="Times New Roman" w:hAnsi="Times New Roman" w:cs="Times New Roman"/>
          <w:sz w:val="24"/>
          <w:szCs w:val="24"/>
          <w:lang w:val="pl-PL"/>
        </w:rPr>
      </w:pPr>
    </w:p>
    <w:p w14:paraId="2D5C1A6A" w14:textId="77777777" w:rsidR="00D22235" w:rsidRPr="008F328C" w:rsidRDefault="00D22235" w:rsidP="00D22235">
      <w:pPr>
        <w:pStyle w:val="a3"/>
        <w:rPr>
          <w:lang w:val="pl-PL"/>
        </w:rPr>
      </w:pPr>
      <w:r w:rsidRPr="008F328C">
        <w:rPr>
          <w:rFonts w:eastAsia="Times New Roman"/>
          <w:lang w:val="pl-PL"/>
        </w:rPr>
        <w:t xml:space="preserve">Nie ma badań klinicznych adalimumab u pacjentów w wieku młodzieńczym z HS. Dawkowanie </w:t>
      </w:r>
      <w:r w:rsidRPr="008F328C">
        <w:rPr>
          <w:rFonts w:eastAsia="Times New Roman"/>
          <w:lang w:val="pl-PL"/>
        </w:rPr>
        <w:lastRenderedPageBreak/>
        <w:t>adalimumabu u tych pacjentów ustalono na podstawie modelowania farmakokinetyki i symulacji (patrz punkt 5.2).</w:t>
      </w:r>
    </w:p>
    <w:p w14:paraId="416E10C0" w14:textId="77777777" w:rsidR="00D22235" w:rsidRPr="008F328C" w:rsidRDefault="00D22235" w:rsidP="00D22235">
      <w:pPr>
        <w:spacing w:line="240" w:lineRule="exact"/>
        <w:rPr>
          <w:rFonts w:ascii="Times New Roman" w:hAnsi="Times New Roman" w:cs="Times New Roman"/>
          <w:sz w:val="24"/>
          <w:szCs w:val="24"/>
          <w:lang w:val="pl-PL"/>
        </w:rPr>
      </w:pPr>
    </w:p>
    <w:p w14:paraId="36857117" w14:textId="77777777" w:rsidR="00D22235" w:rsidRPr="008F328C" w:rsidRDefault="00D22235" w:rsidP="00D22235">
      <w:pPr>
        <w:pStyle w:val="a3"/>
        <w:rPr>
          <w:rFonts w:eastAsia="Times New Roman"/>
          <w:spacing w:val="1"/>
          <w:lang w:val="pl-PL"/>
        </w:rPr>
      </w:pPr>
      <w:r w:rsidRPr="008F328C">
        <w:rPr>
          <w:rFonts w:eastAsia="Times New Roman"/>
          <w:spacing w:val="1"/>
          <w:lang w:val="pl-PL"/>
        </w:rPr>
        <w:t>Zalecana dawka produktu Yuflyma to 80 mg w tygodniu 0, a następnie począwszy od 1. tygodnia 40 mg co drugi tydzień, podawane we wstrzyknięciu podskórnym.</w:t>
      </w:r>
    </w:p>
    <w:p w14:paraId="385042F1" w14:textId="77777777" w:rsidR="00D22235" w:rsidRPr="008F328C" w:rsidRDefault="00D22235" w:rsidP="00D22235">
      <w:pPr>
        <w:spacing w:line="240" w:lineRule="exact"/>
        <w:rPr>
          <w:rFonts w:ascii="Times New Roman" w:hAnsi="Times New Roman" w:cs="Times New Roman"/>
          <w:sz w:val="24"/>
          <w:szCs w:val="24"/>
          <w:lang w:val="pl-PL"/>
        </w:rPr>
      </w:pPr>
    </w:p>
    <w:p w14:paraId="7A24EB3E" w14:textId="77777777" w:rsidR="00D22235" w:rsidRPr="008F328C" w:rsidRDefault="00D22235" w:rsidP="00D22235">
      <w:pPr>
        <w:pStyle w:val="a3"/>
        <w:rPr>
          <w:rFonts w:eastAsia="Times New Roman"/>
          <w:lang w:val="pl-PL"/>
        </w:rPr>
      </w:pPr>
      <w:r w:rsidRPr="008F328C">
        <w:rPr>
          <w:rFonts w:eastAsia="Times New Roman"/>
          <w:lang w:val="pl-PL"/>
        </w:rPr>
        <w:t>U pacjentów w wieku młodzieńczym z niewystarczającą odpowiedzią na produkt Yuflyma w dawce 40 mg co drugi tydzień można rozważyć zwiększenie dawkowania do 40 mg co tydzień lub 80 mg co drugi tydzień.</w:t>
      </w:r>
    </w:p>
    <w:p w14:paraId="7561A59A" w14:textId="77777777" w:rsidR="00D22235" w:rsidRPr="008F328C" w:rsidRDefault="00D22235" w:rsidP="00D22235">
      <w:pPr>
        <w:spacing w:line="240" w:lineRule="exact"/>
        <w:rPr>
          <w:rFonts w:ascii="Times New Roman" w:hAnsi="Times New Roman" w:cs="Times New Roman"/>
          <w:sz w:val="24"/>
          <w:szCs w:val="24"/>
          <w:lang w:val="pl-PL"/>
        </w:rPr>
      </w:pPr>
    </w:p>
    <w:p w14:paraId="3E1AFD5B" w14:textId="77777777" w:rsidR="00D22235" w:rsidRPr="008F328C" w:rsidRDefault="00D22235" w:rsidP="00D22235">
      <w:pPr>
        <w:pStyle w:val="a3"/>
        <w:rPr>
          <w:lang w:val="pl-PL"/>
        </w:rPr>
      </w:pPr>
      <w:r w:rsidRPr="008F328C">
        <w:rPr>
          <w:rFonts w:eastAsia="Times New Roman"/>
          <w:lang w:val="pl-PL"/>
        </w:rPr>
        <w:t>Jeśli to konieczne, w okresie leczenia produktem Yuflyma można kontynuować stosowanie antybiotyków. Zaleca się, aby w okresie leczenia produktem Yuflyma pacjenci codziennie przemywali zmiany skórne wywołane przez HS środkiem antyseptycznym o działaniu miejscowym.</w:t>
      </w:r>
    </w:p>
    <w:p w14:paraId="2C766201" w14:textId="77777777" w:rsidR="00D22235" w:rsidRPr="008F328C" w:rsidRDefault="00D22235" w:rsidP="00D22235">
      <w:pPr>
        <w:spacing w:line="240" w:lineRule="exact"/>
        <w:rPr>
          <w:rFonts w:ascii="Times New Roman" w:hAnsi="Times New Roman" w:cs="Times New Roman"/>
          <w:sz w:val="24"/>
          <w:szCs w:val="24"/>
          <w:lang w:val="pl-PL"/>
        </w:rPr>
      </w:pPr>
    </w:p>
    <w:p w14:paraId="549A80F3" w14:textId="77777777" w:rsidR="00D22235" w:rsidRPr="008F328C" w:rsidRDefault="00D22235" w:rsidP="00D22235">
      <w:pPr>
        <w:pStyle w:val="a3"/>
        <w:rPr>
          <w:lang w:val="pl-PL"/>
        </w:rPr>
      </w:pPr>
      <w:r w:rsidRPr="008F328C">
        <w:rPr>
          <w:rFonts w:eastAsia="Times New Roman"/>
          <w:lang w:val="pl-PL"/>
        </w:rPr>
        <w:t>Należy ponownie dokładnie rozważyć czy kontynuować leczenie dłużej niż przez 12 tygodni u pacjenta, u którego w tym okresie nie nastąpiła poprawa.</w:t>
      </w:r>
    </w:p>
    <w:p w14:paraId="4651DA25" w14:textId="77777777" w:rsidR="00D22235" w:rsidRPr="008F328C" w:rsidRDefault="00D22235" w:rsidP="00D22235">
      <w:pPr>
        <w:spacing w:line="240" w:lineRule="exact"/>
        <w:rPr>
          <w:rFonts w:ascii="Times New Roman" w:hAnsi="Times New Roman" w:cs="Times New Roman"/>
          <w:sz w:val="24"/>
          <w:szCs w:val="24"/>
          <w:lang w:val="pl-PL"/>
        </w:rPr>
      </w:pPr>
    </w:p>
    <w:p w14:paraId="4D2A9E8C" w14:textId="77777777" w:rsidR="00D22235" w:rsidRPr="008F328C" w:rsidRDefault="00D22235" w:rsidP="00D22235">
      <w:pPr>
        <w:pStyle w:val="a3"/>
        <w:rPr>
          <w:sz w:val="24"/>
          <w:szCs w:val="24"/>
          <w:lang w:val="pl-PL"/>
        </w:rPr>
      </w:pPr>
      <w:r w:rsidRPr="008F328C">
        <w:rPr>
          <w:rFonts w:eastAsia="Times New Roman"/>
          <w:lang w:val="pl-PL"/>
        </w:rPr>
        <w:t>W przypadku przerwania leczenia, można powtórnie zastosować produkt Yuflyma, jeśli to wskazane.</w:t>
      </w:r>
      <w:r w:rsidRPr="008F328C">
        <w:rPr>
          <w:sz w:val="24"/>
          <w:szCs w:val="24"/>
          <w:lang w:val="pl-PL"/>
        </w:rPr>
        <w:t xml:space="preserve"> </w:t>
      </w:r>
    </w:p>
    <w:p w14:paraId="77114A48" w14:textId="77777777" w:rsidR="00D22235" w:rsidRPr="008F328C" w:rsidRDefault="00D22235" w:rsidP="00D22235">
      <w:pPr>
        <w:pStyle w:val="a3"/>
        <w:rPr>
          <w:sz w:val="24"/>
          <w:szCs w:val="24"/>
          <w:lang w:val="pl-PL"/>
        </w:rPr>
      </w:pPr>
    </w:p>
    <w:p w14:paraId="6D5B9BCC" w14:textId="77777777" w:rsidR="00D22235" w:rsidRPr="008F328C" w:rsidRDefault="00D22235" w:rsidP="00D22235">
      <w:pPr>
        <w:pStyle w:val="a3"/>
        <w:rPr>
          <w:rFonts w:eastAsia="Times New Roman"/>
          <w:lang w:val="pl-PL"/>
        </w:rPr>
      </w:pPr>
      <w:r w:rsidRPr="008F328C">
        <w:rPr>
          <w:rFonts w:eastAsia="Times New Roman"/>
          <w:lang w:val="pl-PL"/>
        </w:rPr>
        <w:t>Należy okresowo oceniać korzyści i ryzyko związane z długookresową terapią (patrz dane dotyczące dorosłych pacjentów w punkcie 5.1).</w:t>
      </w:r>
    </w:p>
    <w:p w14:paraId="6E74D3D2" w14:textId="77777777" w:rsidR="00D22235" w:rsidRPr="008F328C" w:rsidRDefault="00D22235" w:rsidP="00D22235">
      <w:pPr>
        <w:spacing w:line="240" w:lineRule="exact"/>
        <w:rPr>
          <w:rFonts w:ascii="Times New Roman" w:hAnsi="Times New Roman" w:cs="Times New Roman"/>
          <w:sz w:val="24"/>
          <w:szCs w:val="24"/>
          <w:lang w:val="pl-PL"/>
        </w:rPr>
      </w:pPr>
    </w:p>
    <w:p w14:paraId="12EF2317" w14:textId="77777777" w:rsidR="00D22235" w:rsidRPr="008F328C" w:rsidRDefault="00D22235" w:rsidP="00D22235">
      <w:pPr>
        <w:pStyle w:val="a3"/>
        <w:rPr>
          <w:lang w:val="pl-PL"/>
        </w:rPr>
      </w:pPr>
      <w:r w:rsidRPr="008F328C">
        <w:rPr>
          <w:rFonts w:eastAsia="Times New Roman"/>
          <w:lang w:val="pl-PL"/>
        </w:rPr>
        <w:t>Stosowanie adalimumabu u pacjentów w wieku poniżej 12 lat nie jest właściwe w tym wskazaniu.</w:t>
      </w:r>
    </w:p>
    <w:p w14:paraId="7B21F04F" w14:textId="77777777" w:rsidR="00D22235" w:rsidRPr="008F328C" w:rsidRDefault="00D22235" w:rsidP="00D22235">
      <w:pPr>
        <w:spacing w:line="240" w:lineRule="exact"/>
        <w:rPr>
          <w:rFonts w:ascii="Times New Roman" w:hAnsi="Times New Roman" w:cs="Times New Roman"/>
          <w:sz w:val="24"/>
          <w:szCs w:val="24"/>
          <w:lang w:val="pl-PL"/>
        </w:rPr>
      </w:pPr>
    </w:p>
    <w:p w14:paraId="600D076D" w14:textId="77777777" w:rsidR="00D22235" w:rsidRPr="00D97EE5" w:rsidRDefault="00D22235" w:rsidP="00D22235">
      <w:pPr>
        <w:jc w:val="both"/>
        <w:rPr>
          <w:rFonts w:ascii="Times New Roman" w:eastAsia="Times New Roman" w:hAnsi="Times New Roman" w:cs="Times New Roman"/>
          <w:lang w:val="pl-PL"/>
        </w:rPr>
      </w:pPr>
      <w:r w:rsidRPr="00D97EE5">
        <w:rPr>
          <w:rFonts w:ascii="Times New Roman" w:eastAsia="Times New Roman" w:hAnsi="Times New Roman" w:cs="Times New Roman"/>
          <w:i/>
          <w:iCs/>
          <w:spacing w:val="-1"/>
          <w:lang w:val="pl-PL"/>
        </w:rPr>
        <w:t>Choroba Leśniowskiego-Crohna u dzieci i młodzieży</w:t>
      </w:r>
    </w:p>
    <w:p w14:paraId="6EE2BCD5" w14:textId="77777777" w:rsidR="00D22235" w:rsidRPr="008F328C" w:rsidRDefault="00D22235" w:rsidP="00D22235">
      <w:pPr>
        <w:spacing w:line="240" w:lineRule="exact"/>
        <w:rPr>
          <w:rFonts w:ascii="Times New Roman" w:hAnsi="Times New Roman" w:cs="Times New Roman"/>
          <w:sz w:val="24"/>
          <w:szCs w:val="24"/>
          <w:lang w:val="pl-PL"/>
        </w:rPr>
      </w:pPr>
    </w:p>
    <w:p w14:paraId="0B732839" w14:textId="77777777" w:rsidR="00D22235" w:rsidRPr="008F328C" w:rsidRDefault="00D22235" w:rsidP="00D22235">
      <w:pPr>
        <w:pStyle w:val="a3"/>
        <w:rPr>
          <w:lang w:val="pl-PL"/>
        </w:rPr>
      </w:pPr>
      <w:r w:rsidRPr="008F328C">
        <w:rPr>
          <w:rFonts w:eastAsia="Times New Roman"/>
          <w:lang w:val="pl-PL"/>
        </w:rPr>
        <w:t>Zalecana dawka produktu Yuflyma u pacjentów z chorobą Leśniowskiego-Crohna w wieku od 6 do 17 lat ustalana jest w zależności od masy ciała pacjenta (Tabela 1). Produkt Yuflyma podaje się we wstrzyknięciu podskórnym.</w:t>
      </w:r>
    </w:p>
    <w:p w14:paraId="5BDADB76" w14:textId="77777777" w:rsidR="00D22235" w:rsidRPr="008F328C" w:rsidRDefault="00D22235" w:rsidP="00D22235">
      <w:pPr>
        <w:pStyle w:val="a3"/>
        <w:rPr>
          <w:lang w:val="pl-PL"/>
        </w:rPr>
      </w:pPr>
    </w:p>
    <w:p w14:paraId="76222604" w14:textId="77777777" w:rsidR="00D22235" w:rsidRPr="008F328C" w:rsidRDefault="00D22235" w:rsidP="00D22235">
      <w:pPr>
        <w:pStyle w:val="a3"/>
        <w:jc w:val="center"/>
        <w:rPr>
          <w:b/>
          <w:lang w:val="pl-PL"/>
        </w:rPr>
      </w:pPr>
      <w:r w:rsidRPr="008F328C">
        <w:rPr>
          <w:rFonts w:eastAsia="Times New Roman"/>
          <w:b/>
          <w:bCs/>
          <w:lang w:val="pl-PL"/>
        </w:rPr>
        <w:t>Tabela 1. Dawka adalimumabu u dzieci i młodzieży z chorobą Leśniowskiego-Crohna</w:t>
      </w:r>
    </w:p>
    <w:p w14:paraId="171953BA" w14:textId="77777777" w:rsidR="00D22235" w:rsidRPr="008F328C" w:rsidRDefault="00D22235" w:rsidP="00D22235">
      <w:pPr>
        <w:spacing w:before="14" w:line="240" w:lineRule="exact"/>
        <w:rPr>
          <w:rFonts w:ascii="Times New Roman" w:hAnsi="Times New Roman" w:cs="Times New Roman"/>
          <w:sz w:val="24"/>
          <w:szCs w:val="24"/>
          <w:lang w:val="pl-PL"/>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D22235" w:rsidRPr="006D3555" w14:paraId="5DF30EE7" w14:textId="77777777" w:rsidTr="00B17C6A">
        <w:tc>
          <w:tcPr>
            <w:tcW w:w="972" w:type="dxa"/>
            <w:tcBorders>
              <w:top w:val="single" w:sz="4" w:space="0" w:color="auto"/>
              <w:left w:val="single" w:sz="4" w:space="0" w:color="auto"/>
              <w:bottom w:val="single" w:sz="4" w:space="0" w:color="auto"/>
              <w:right w:val="single" w:sz="4" w:space="0" w:color="auto"/>
            </w:tcBorders>
            <w:vAlign w:val="center"/>
          </w:tcPr>
          <w:p w14:paraId="41ADCC2E" w14:textId="77777777" w:rsidR="00D22235" w:rsidRPr="008F328C" w:rsidRDefault="00D22235" w:rsidP="00B17C6A">
            <w:pPr>
              <w:pStyle w:val="TableParagraph"/>
              <w:spacing w:line="252" w:lineRule="exact"/>
              <w:ind w:firstLine="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Masa ciała pacjenta</w:t>
            </w:r>
          </w:p>
        </w:tc>
        <w:tc>
          <w:tcPr>
            <w:tcW w:w="6706" w:type="dxa"/>
            <w:tcBorders>
              <w:top w:val="single" w:sz="4" w:space="0" w:color="auto"/>
              <w:left w:val="single" w:sz="4" w:space="0" w:color="auto"/>
              <w:bottom w:val="single" w:sz="4" w:space="0" w:color="auto"/>
              <w:right w:val="single" w:sz="4" w:space="0" w:color="auto"/>
            </w:tcBorders>
            <w:vAlign w:val="center"/>
          </w:tcPr>
          <w:p w14:paraId="437ED0BC" w14:textId="77777777" w:rsidR="00D22235" w:rsidRPr="008F328C" w:rsidRDefault="00D22235" w:rsidP="00B17C6A">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indukcyjna</w:t>
            </w:r>
          </w:p>
        </w:tc>
        <w:tc>
          <w:tcPr>
            <w:tcW w:w="1725" w:type="dxa"/>
            <w:tcBorders>
              <w:top w:val="single" w:sz="4" w:space="0" w:color="auto"/>
              <w:left w:val="single" w:sz="4" w:space="0" w:color="auto"/>
              <w:bottom w:val="single" w:sz="4" w:space="0" w:color="auto"/>
              <w:right w:val="single" w:sz="4" w:space="0" w:color="auto"/>
            </w:tcBorders>
            <w:vAlign w:val="center"/>
          </w:tcPr>
          <w:p w14:paraId="731A95D5" w14:textId="77777777" w:rsidR="00D22235" w:rsidRPr="008F328C" w:rsidRDefault="00D22235" w:rsidP="00B17C6A">
            <w:pPr>
              <w:pStyle w:val="TableParagraph"/>
              <w:spacing w:line="239"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podtrzymująca począwszy od 4. tygodnia</w:t>
            </w:r>
          </w:p>
        </w:tc>
      </w:tr>
      <w:tr w:rsidR="00D22235" w:rsidRPr="008F328C" w14:paraId="4451A18E" w14:textId="77777777" w:rsidTr="00B17C6A">
        <w:tc>
          <w:tcPr>
            <w:tcW w:w="972" w:type="dxa"/>
            <w:tcBorders>
              <w:top w:val="single" w:sz="4" w:space="0" w:color="auto"/>
              <w:left w:val="single" w:sz="7" w:space="0" w:color="000000"/>
              <w:bottom w:val="single" w:sz="7" w:space="0" w:color="000000"/>
              <w:right w:val="single" w:sz="7" w:space="0" w:color="000000"/>
            </w:tcBorders>
          </w:tcPr>
          <w:p w14:paraId="508F9DF1" w14:textId="77777777" w:rsidR="00D22235" w:rsidRPr="008F328C" w:rsidRDefault="00D22235" w:rsidP="00B17C6A">
            <w:pPr>
              <w:pStyle w:val="TableParagraph"/>
              <w:spacing w:before="9"/>
              <w:ind w:left="140"/>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6706" w:type="dxa"/>
            <w:tcBorders>
              <w:top w:val="single" w:sz="4" w:space="0" w:color="auto"/>
              <w:left w:val="single" w:sz="7" w:space="0" w:color="000000"/>
              <w:bottom w:val="single" w:sz="7" w:space="0" w:color="000000"/>
              <w:right w:val="single" w:sz="7" w:space="0" w:color="000000"/>
            </w:tcBorders>
          </w:tcPr>
          <w:p w14:paraId="30AB0137" w14:textId="4C91E566" w:rsidR="00D22235" w:rsidRPr="008F328C" w:rsidRDefault="00D22235" w:rsidP="00B17C6A">
            <w:pPr>
              <w:pStyle w:val="a4"/>
              <w:numPr>
                <w:ilvl w:val="0"/>
                <w:numId w:val="13"/>
              </w:numPr>
              <w:tabs>
                <w:tab w:val="left" w:pos="315"/>
              </w:tabs>
              <w:spacing w:before="10"/>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w tygodniu 0 i 20 mg w 2. tygodniu</w:t>
            </w:r>
          </w:p>
          <w:p w14:paraId="2B5A6C94" w14:textId="77777777" w:rsidR="00D22235" w:rsidRPr="008F328C" w:rsidRDefault="00D22235" w:rsidP="00B17C6A">
            <w:pPr>
              <w:pStyle w:val="TableParagraph"/>
              <w:spacing w:before="10" w:line="240" w:lineRule="exact"/>
              <w:rPr>
                <w:rFonts w:ascii="Times New Roman" w:hAnsi="Times New Roman" w:cs="Times New Roman"/>
                <w:sz w:val="24"/>
                <w:szCs w:val="24"/>
                <w:lang w:val="pl-PL"/>
              </w:rPr>
            </w:pPr>
          </w:p>
          <w:p w14:paraId="47043C30" w14:textId="77777777" w:rsidR="00D22235" w:rsidRPr="008F328C" w:rsidRDefault="00D22235" w:rsidP="00B17C6A">
            <w:pPr>
              <w:pStyle w:val="TableParagraph"/>
              <w:ind w:left="15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0885CFCA" w14:textId="77777777" w:rsidR="00D22235" w:rsidRPr="008F328C" w:rsidRDefault="00D22235" w:rsidP="00B17C6A">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80 mg w tygodniu 0 i 40 mg w 2. tygodniu</w:t>
            </w:r>
          </w:p>
        </w:tc>
        <w:tc>
          <w:tcPr>
            <w:tcW w:w="1725" w:type="dxa"/>
            <w:tcBorders>
              <w:top w:val="single" w:sz="4" w:space="0" w:color="auto"/>
              <w:left w:val="single" w:sz="7" w:space="0" w:color="000000"/>
              <w:bottom w:val="single" w:sz="7" w:space="0" w:color="000000"/>
              <w:right w:val="single" w:sz="7" w:space="0" w:color="000000"/>
            </w:tcBorders>
            <w:vAlign w:val="center"/>
          </w:tcPr>
          <w:p w14:paraId="10811D67" w14:textId="37ACD3D8" w:rsidR="00D22235" w:rsidRPr="008F328C" w:rsidRDefault="00487580" w:rsidP="00B17C6A">
            <w:pPr>
              <w:pStyle w:val="TableParagraph"/>
              <w:spacing w:before="100" w:beforeAutospacing="1" w:line="252" w:lineRule="exact"/>
              <w:ind w:left="63" w:hanging="63"/>
              <w:jc w:val="center"/>
              <w:rPr>
                <w:rFonts w:ascii="Times New Roman" w:eastAsia="Times New Roman" w:hAnsi="Times New Roman" w:cs="Times New Roman"/>
                <w:lang w:val="pl-PL"/>
              </w:rPr>
            </w:pPr>
            <w:r>
              <w:rPr>
                <w:rFonts w:ascii="Times New Roman" w:eastAsia="Times New Roman" w:hAnsi="Times New Roman" w:cs="Times New Roman"/>
                <w:spacing w:val="-1"/>
                <w:lang w:val="pl-PL"/>
              </w:rPr>
              <w:t>2</w:t>
            </w:r>
            <w:r w:rsidRPr="008F328C">
              <w:rPr>
                <w:rFonts w:ascii="Times New Roman" w:eastAsia="Times New Roman" w:hAnsi="Times New Roman" w:cs="Times New Roman"/>
                <w:spacing w:val="-1"/>
                <w:lang w:val="pl-PL"/>
              </w:rPr>
              <w:t>0 mg co drugi tydzień</w:t>
            </w:r>
          </w:p>
        </w:tc>
      </w:tr>
      <w:tr w:rsidR="00D22235" w:rsidRPr="008F328C" w14:paraId="51BBBACD" w14:textId="77777777" w:rsidTr="00B17C6A">
        <w:tc>
          <w:tcPr>
            <w:tcW w:w="972" w:type="dxa"/>
            <w:tcBorders>
              <w:top w:val="single" w:sz="7" w:space="0" w:color="000000"/>
              <w:left w:val="single" w:sz="7" w:space="0" w:color="000000"/>
              <w:bottom w:val="single" w:sz="7" w:space="0" w:color="000000"/>
              <w:right w:val="single" w:sz="7" w:space="0" w:color="000000"/>
            </w:tcBorders>
          </w:tcPr>
          <w:p w14:paraId="0AAF93B7" w14:textId="77777777" w:rsidR="00D22235" w:rsidRPr="008F328C" w:rsidRDefault="00D22235" w:rsidP="00B17C6A">
            <w:pPr>
              <w:pStyle w:val="TableParagraph"/>
              <w:spacing w:before="7"/>
              <w:ind w:left="143"/>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6706" w:type="dxa"/>
            <w:tcBorders>
              <w:top w:val="single" w:sz="7" w:space="0" w:color="000000"/>
              <w:left w:val="single" w:sz="7" w:space="0" w:color="000000"/>
              <w:bottom w:val="single" w:sz="7" w:space="0" w:color="000000"/>
              <w:right w:val="single" w:sz="7" w:space="0" w:color="000000"/>
            </w:tcBorders>
          </w:tcPr>
          <w:p w14:paraId="0CC27FC4" w14:textId="77777777" w:rsidR="00D22235" w:rsidRPr="008F328C" w:rsidRDefault="00D22235" w:rsidP="00B17C6A">
            <w:pPr>
              <w:pStyle w:val="a4"/>
              <w:numPr>
                <w:ilvl w:val="0"/>
                <w:numId w:val="12"/>
              </w:numPr>
              <w:tabs>
                <w:tab w:val="left" w:pos="315"/>
              </w:tabs>
              <w:spacing w:before="8"/>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80 mg w tygodniu 0 i 40 mg w 2. tygodniu</w:t>
            </w:r>
          </w:p>
          <w:p w14:paraId="1CAC4318" w14:textId="77777777" w:rsidR="00D22235" w:rsidRPr="008F328C" w:rsidRDefault="00D22235" w:rsidP="00B17C6A">
            <w:pPr>
              <w:tabs>
                <w:tab w:val="left" w:pos="315"/>
              </w:tabs>
              <w:spacing w:before="8"/>
              <w:rPr>
                <w:rFonts w:ascii="Times New Roman" w:eastAsia="Times New Roman" w:hAnsi="Times New Roman" w:cs="Times New Roman"/>
                <w:lang w:val="pl-PL"/>
              </w:rPr>
            </w:pPr>
          </w:p>
          <w:p w14:paraId="1796AEBC" w14:textId="77777777" w:rsidR="00D22235" w:rsidRPr="008F328C" w:rsidRDefault="00D22235" w:rsidP="00B17C6A">
            <w:pPr>
              <w:pStyle w:val="TableParagraph"/>
              <w:spacing w:before="7"/>
              <w:ind w:left="159" w:right="35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0ABA32EC" w14:textId="77777777" w:rsidR="00D22235" w:rsidRPr="008F328C" w:rsidRDefault="00D22235" w:rsidP="00B17C6A">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160 mg w tygodniu 0 i 80 mg w 2. tygodniu</w:t>
            </w:r>
          </w:p>
        </w:tc>
        <w:tc>
          <w:tcPr>
            <w:tcW w:w="1725" w:type="dxa"/>
            <w:tcBorders>
              <w:top w:val="single" w:sz="7" w:space="0" w:color="000000"/>
              <w:left w:val="single" w:sz="7" w:space="0" w:color="000000"/>
              <w:bottom w:val="single" w:sz="7" w:space="0" w:color="000000"/>
              <w:right w:val="single" w:sz="7" w:space="0" w:color="000000"/>
            </w:tcBorders>
          </w:tcPr>
          <w:p w14:paraId="24404C4C" w14:textId="77777777" w:rsidR="00D22235" w:rsidRPr="008F328C" w:rsidRDefault="00D22235" w:rsidP="00B17C6A">
            <w:pPr>
              <w:pStyle w:val="TableParagraph"/>
              <w:spacing w:before="7" w:line="241" w:lineRule="auto"/>
              <w:ind w:left="301" w:hanging="6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D22235" w:rsidRPr="008F328C" w14:paraId="7F2A01E2" w14:textId="77777777" w:rsidTr="00B17C6A">
        <w:trPr>
          <w:trHeight w:val="147"/>
        </w:trPr>
        <w:tc>
          <w:tcPr>
            <w:tcW w:w="9635" w:type="dxa"/>
          </w:tcPr>
          <w:p w14:paraId="29FA3758" w14:textId="7BC7D7D0" w:rsidR="00D22235" w:rsidRPr="008F328C" w:rsidRDefault="00D22235" w:rsidP="002937B3">
            <w:pPr>
              <w:pStyle w:val="a3"/>
              <w:rPr>
                <w:rFonts w:eastAsia="Times New Roman"/>
                <w:color w:val="000000"/>
                <w:lang w:val="pl-PL"/>
              </w:rPr>
            </w:pPr>
          </w:p>
        </w:tc>
      </w:tr>
    </w:tbl>
    <w:p w14:paraId="081604BE" w14:textId="77777777" w:rsidR="00D22235" w:rsidRPr="008F328C" w:rsidRDefault="00D22235" w:rsidP="00D22235">
      <w:pPr>
        <w:pStyle w:val="a3"/>
        <w:rPr>
          <w:lang w:val="pl-PL"/>
        </w:rPr>
      </w:pPr>
      <w:r w:rsidRPr="008F328C">
        <w:rPr>
          <w:rFonts w:eastAsia="Times New Roman"/>
          <w:lang w:val="pl-PL"/>
        </w:rPr>
        <w:t>U pacjentów, u których odpowiedź na leczenie jest niewystarczająca, może być korzystne zwiększenie dawkowania:</w:t>
      </w:r>
    </w:p>
    <w:p w14:paraId="4FC0B39B" w14:textId="77777777" w:rsidR="00D22235" w:rsidRPr="008F328C" w:rsidRDefault="00D22235" w:rsidP="00D22235">
      <w:pPr>
        <w:tabs>
          <w:tab w:val="left" w:pos="315"/>
        </w:tabs>
        <w:spacing w:before="8"/>
        <w:rPr>
          <w:rFonts w:ascii="Times New Roman" w:eastAsia="Times New Roman" w:hAnsi="Times New Roman" w:cs="Times New Roman"/>
          <w:spacing w:val="-1"/>
          <w:lang w:val="pl-PL"/>
        </w:rPr>
      </w:pPr>
    </w:p>
    <w:p w14:paraId="42F9773F" w14:textId="77777777" w:rsidR="00487580" w:rsidRPr="00D97EE5" w:rsidRDefault="00487580" w:rsidP="00D97EE5">
      <w:pPr>
        <w:pStyle w:val="a3"/>
        <w:numPr>
          <w:ilvl w:val="0"/>
          <w:numId w:val="12"/>
        </w:numPr>
        <w:ind w:left="660" w:hanging="660"/>
      </w:pPr>
      <w:r w:rsidRPr="00D97EE5">
        <w:t xml:space="preserve">&lt; 40 kg: 20 mg co tydzień </w:t>
      </w:r>
    </w:p>
    <w:p w14:paraId="2EB71F32" w14:textId="0C8AC6CE" w:rsidR="00D22235" w:rsidRPr="00DF3E6D" w:rsidRDefault="00D22235" w:rsidP="00D97EE5">
      <w:pPr>
        <w:pStyle w:val="a3"/>
        <w:numPr>
          <w:ilvl w:val="0"/>
          <w:numId w:val="12"/>
        </w:numPr>
        <w:ind w:left="660" w:hanging="660"/>
        <w:rPr>
          <w:lang w:val="pl-PL"/>
        </w:rPr>
      </w:pPr>
      <w:r w:rsidRPr="00DF3E6D">
        <w:rPr>
          <w:rFonts w:hint="eastAsia"/>
          <w:lang w:val="pl-PL"/>
        </w:rPr>
        <w:t>≥</w:t>
      </w:r>
      <w:r w:rsidRPr="00DF3E6D">
        <w:rPr>
          <w:lang w:val="pl-PL"/>
        </w:rPr>
        <w:t xml:space="preserve"> 40 kg: 40 mg co tydzień lub 80 mg co drugi tydzień</w:t>
      </w:r>
    </w:p>
    <w:p w14:paraId="42348B7E" w14:textId="77777777" w:rsidR="00D22235" w:rsidRPr="008F328C" w:rsidRDefault="00D22235" w:rsidP="00D22235">
      <w:pPr>
        <w:spacing w:line="240" w:lineRule="exact"/>
        <w:rPr>
          <w:rFonts w:ascii="Times New Roman" w:hAnsi="Times New Roman" w:cs="Times New Roman"/>
          <w:sz w:val="24"/>
          <w:szCs w:val="24"/>
          <w:lang w:val="pl-PL"/>
        </w:rPr>
      </w:pPr>
    </w:p>
    <w:p w14:paraId="74D841CD" w14:textId="77777777" w:rsidR="00D22235" w:rsidRPr="008F328C" w:rsidRDefault="00D22235" w:rsidP="00D22235">
      <w:pPr>
        <w:pStyle w:val="a3"/>
        <w:rPr>
          <w:lang w:val="pl-PL"/>
        </w:rPr>
      </w:pPr>
      <w:r w:rsidRPr="008F328C">
        <w:rPr>
          <w:rFonts w:eastAsia="Times New Roman"/>
          <w:lang w:val="pl-PL"/>
        </w:rPr>
        <w:t>Należy dokładnie rozważyć, czy kontynuować leczenie u pacjenta, który nie odpowiedział na leczenie do 12. tygodnia.</w:t>
      </w:r>
    </w:p>
    <w:p w14:paraId="1BB44B50" w14:textId="77777777" w:rsidR="00487580" w:rsidRPr="008F328C" w:rsidRDefault="00487580" w:rsidP="00D22235">
      <w:pPr>
        <w:pStyle w:val="a3"/>
        <w:rPr>
          <w:lang w:val="pl-PL"/>
        </w:rPr>
      </w:pPr>
    </w:p>
    <w:p w14:paraId="5D6B30CC" w14:textId="77777777" w:rsidR="00D22235" w:rsidRPr="008F328C" w:rsidRDefault="00D22235" w:rsidP="00D22235">
      <w:pPr>
        <w:pStyle w:val="a3"/>
        <w:rPr>
          <w:lang w:val="pl-PL"/>
        </w:rPr>
      </w:pPr>
      <w:r w:rsidRPr="008F328C">
        <w:rPr>
          <w:rFonts w:eastAsia="Times New Roman"/>
          <w:lang w:val="pl-PL"/>
        </w:rPr>
        <w:t>Stosowanie adalimumabu u pacjentów w wieku poniżej 6 lat nie jest właściwe w tym wskazaniu.</w:t>
      </w:r>
    </w:p>
    <w:p w14:paraId="743BDBDF" w14:textId="77777777" w:rsidR="00D22235" w:rsidRPr="008F328C" w:rsidRDefault="00D22235" w:rsidP="00D22235">
      <w:pPr>
        <w:rPr>
          <w:rFonts w:ascii="Times New Roman" w:eastAsia="Times New Roman" w:hAnsi="Times New Roman" w:cs="Times New Roman"/>
          <w:i/>
          <w:spacing w:val="-1"/>
          <w:u w:val="single" w:color="000000"/>
          <w:lang w:val="pl-PL"/>
        </w:rPr>
      </w:pPr>
    </w:p>
    <w:p w14:paraId="376EEB14" w14:textId="77777777" w:rsidR="00D22235" w:rsidRPr="008F328C" w:rsidRDefault="00D22235" w:rsidP="00D22235">
      <w:pPr>
        <w:pStyle w:val="a3"/>
        <w:rPr>
          <w:i/>
          <w:lang w:val="pl-PL"/>
        </w:rPr>
      </w:pPr>
      <w:r w:rsidRPr="008F328C">
        <w:rPr>
          <w:i/>
          <w:lang w:val="pl-PL"/>
        </w:rPr>
        <w:t>Wrzodziejące zapalenie jelita grubego u dzieci i młodzieży</w:t>
      </w:r>
    </w:p>
    <w:p w14:paraId="353D3BDA" w14:textId="77777777" w:rsidR="00D22235" w:rsidRPr="008F328C" w:rsidRDefault="00D22235" w:rsidP="00D22235">
      <w:pPr>
        <w:pStyle w:val="a3"/>
        <w:rPr>
          <w:i/>
          <w:lang w:val="pl-PL"/>
        </w:rPr>
      </w:pPr>
    </w:p>
    <w:p w14:paraId="092DEF05"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t>Zalecana dawka produktu Yuflyma u pacjentów z wrzodziejącym zapaleniem jelita grubego, w wieku od 6 do 17 lat, ustalana jest w zależności od masy ciała pacjenta (Tabela 2). Produkt Yuflyma podaje się we wstrzyknięciu podskórnym. </w:t>
      </w:r>
    </w:p>
    <w:p w14:paraId="4237379B" w14:textId="77777777" w:rsidR="00D22235" w:rsidRPr="008F328C" w:rsidRDefault="00D22235" w:rsidP="00D22235">
      <w:pPr>
        <w:rPr>
          <w:rFonts w:ascii="Times New Roman" w:hAnsi="Times New Roman" w:cs="Times New Roman"/>
          <w:lang w:val="pl-PL"/>
        </w:rPr>
      </w:pPr>
    </w:p>
    <w:p w14:paraId="5B5D1644" w14:textId="4C209B4D" w:rsidR="00D22235" w:rsidRPr="008F328C" w:rsidRDefault="00D22235" w:rsidP="00D22235">
      <w:pPr>
        <w:keepNext/>
        <w:keepLines/>
        <w:jc w:val="center"/>
        <w:rPr>
          <w:rFonts w:ascii="Times New Roman" w:hAnsi="Times New Roman" w:cs="Times New Roman"/>
          <w:b/>
          <w:lang w:val="pl-PL"/>
        </w:rPr>
      </w:pPr>
      <w:r w:rsidRPr="008F328C">
        <w:rPr>
          <w:rFonts w:ascii="Times New Roman" w:hAnsi="Times New Roman" w:cs="Times New Roman"/>
          <w:b/>
          <w:lang w:val="pl-PL"/>
        </w:rPr>
        <w:t xml:space="preserve">Tabela 2. Dawka produktu Yuflyma u dzieci i młodzieży z wrzodziejącym zapaleniem jelita grubego </w:t>
      </w:r>
    </w:p>
    <w:p w14:paraId="19F2A4E1" w14:textId="77777777" w:rsidR="00CC4159" w:rsidRPr="008F328C" w:rsidRDefault="00CC4159" w:rsidP="00D22235">
      <w:pPr>
        <w:keepNext/>
        <w:keepLines/>
        <w:jc w:val="center"/>
        <w:rPr>
          <w:rFonts w:ascii="Times New Roman" w:hAnsi="Times New Roman" w:cs="Times New Roman"/>
          <w:lang w:val="pl-PL"/>
        </w:rPr>
      </w:pPr>
    </w:p>
    <w:tbl>
      <w:tblPr>
        <w:tblW w:w="4148"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3"/>
        <w:gridCol w:w="3542"/>
        <w:gridCol w:w="2403"/>
      </w:tblGrid>
      <w:tr w:rsidR="00D22235" w:rsidRPr="006D3555" w14:paraId="25D5E2C7" w14:textId="77777777" w:rsidTr="00114A52">
        <w:trPr>
          <w:jc w:val="center"/>
        </w:trPr>
        <w:tc>
          <w:tcPr>
            <w:tcW w:w="1183" w:type="pct"/>
            <w:tcBorders>
              <w:top w:val="single" w:sz="6" w:space="0" w:color="000000"/>
              <w:left w:val="single" w:sz="6" w:space="0" w:color="000000"/>
              <w:bottom w:val="single" w:sz="6" w:space="0" w:color="000000"/>
              <w:right w:val="single" w:sz="6" w:space="0" w:color="000000"/>
            </w:tcBorders>
            <w:vAlign w:val="center"/>
            <w:hideMark/>
          </w:tcPr>
          <w:p w14:paraId="1D2C0A31" w14:textId="77777777" w:rsidR="00D22235" w:rsidRPr="008F328C" w:rsidRDefault="00D22235" w:rsidP="00B17C6A">
            <w:pPr>
              <w:keepNext/>
              <w:keepLines/>
              <w:jc w:val="center"/>
              <w:rPr>
                <w:rFonts w:ascii="Times New Roman" w:hAnsi="Times New Roman" w:cs="Times New Roman"/>
                <w:b/>
                <w:lang w:val="pl-PL"/>
              </w:rPr>
            </w:pPr>
            <w:r w:rsidRPr="008F328C">
              <w:rPr>
                <w:rFonts w:ascii="Times New Roman" w:hAnsi="Times New Roman" w:cs="Times New Roman"/>
                <w:b/>
                <w:lang w:val="pl-PL"/>
              </w:rPr>
              <w:t>Masa ciała pacjenta</w:t>
            </w:r>
          </w:p>
        </w:tc>
        <w:tc>
          <w:tcPr>
            <w:tcW w:w="2274" w:type="pct"/>
            <w:tcBorders>
              <w:top w:val="single" w:sz="6" w:space="0" w:color="000000"/>
              <w:left w:val="single" w:sz="6" w:space="0" w:color="000000"/>
              <w:bottom w:val="single" w:sz="6" w:space="0" w:color="000000"/>
              <w:right w:val="single" w:sz="6" w:space="0" w:color="000000"/>
            </w:tcBorders>
            <w:vAlign w:val="center"/>
            <w:hideMark/>
          </w:tcPr>
          <w:p w14:paraId="3D8FCB53" w14:textId="77777777" w:rsidR="00D22235" w:rsidRPr="008F328C" w:rsidRDefault="00D22235" w:rsidP="00B17C6A">
            <w:pPr>
              <w:keepNext/>
              <w:keepLines/>
              <w:jc w:val="center"/>
              <w:rPr>
                <w:rFonts w:ascii="Times New Roman" w:hAnsi="Times New Roman" w:cs="Times New Roman"/>
                <w:b/>
                <w:lang w:val="pl-PL"/>
              </w:rPr>
            </w:pPr>
            <w:r w:rsidRPr="008F328C">
              <w:rPr>
                <w:rFonts w:ascii="Times New Roman" w:hAnsi="Times New Roman" w:cs="Times New Roman"/>
                <w:b/>
                <w:lang w:val="pl-PL"/>
              </w:rPr>
              <w:t>Dawka indukcyjna</w:t>
            </w:r>
          </w:p>
        </w:tc>
        <w:tc>
          <w:tcPr>
            <w:tcW w:w="1543" w:type="pct"/>
            <w:tcBorders>
              <w:top w:val="single" w:sz="6" w:space="0" w:color="000000"/>
              <w:left w:val="single" w:sz="6" w:space="0" w:color="000000"/>
              <w:bottom w:val="single" w:sz="6" w:space="0" w:color="000000"/>
              <w:right w:val="single" w:sz="6" w:space="0" w:color="000000"/>
            </w:tcBorders>
            <w:hideMark/>
          </w:tcPr>
          <w:p w14:paraId="5077FA9B" w14:textId="77777777" w:rsidR="00D22235" w:rsidRPr="008F328C" w:rsidRDefault="00D22235" w:rsidP="00B17C6A">
            <w:pPr>
              <w:keepNext/>
              <w:keepLines/>
              <w:jc w:val="center"/>
              <w:rPr>
                <w:rFonts w:ascii="Times New Roman" w:hAnsi="Times New Roman" w:cs="Times New Roman"/>
                <w:b/>
                <w:lang w:val="pl-PL"/>
              </w:rPr>
            </w:pPr>
            <w:r w:rsidRPr="008F328C">
              <w:rPr>
                <w:rFonts w:ascii="Times New Roman" w:hAnsi="Times New Roman" w:cs="Times New Roman"/>
                <w:b/>
                <w:lang w:val="pl-PL"/>
              </w:rPr>
              <w:t>Dawka podtrzymująca,</w:t>
            </w:r>
            <w:r w:rsidRPr="008F328C">
              <w:rPr>
                <w:rFonts w:ascii="Times New Roman" w:hAnsi="Times New Roman" w:cs="Times New Roman"/>
                <w:b/>
                <w:lang w:val="pl-PL"/>
              </w:rPr>
              <w:br/>
              <w:t>począwszy od 4. tygodnia*</w:t>
            </w:r>
          </w:p>
        </w:tc>
      </w:tr>
      <w:tr w:rsidR="00D22235" w:rsidRPr="008F328C" w14:paraId="53402B65" w14:textId="77777777" w:rsidTr="00114A52">
        <w:trPr>
          <w:jc w:val="center"/>
        </w:trPr>
        <w:tc>
          <w:tcPr>
            <w:tcW w:w="1183" w:type="pct"/>
            <w:tcBorders>
              <w:top w:val="single" w:sz="6" w:space="0" w:color="000000"/>
              <w:left w:val="single" w:sz="6" w:space="0" w:color="000000"/>
              <w:bottom w:val="single" w:sz="6" w:space="0" w:color="000000"/>
              <w:right w:val="single" w:sz="6" w:space="0" w:color="000000"/>
            </w:tcBorders>
            <w:hideMark/>
          </w:tcPr>
          <w:p w14:paraId="1969B74D" w14:textId="77777777" w:rsidR="00D22235" w:rsidRPr="008F328C" w:rsidRDefault="00D22235" w:rsidP="00B17C6A">
            <w:pPr>
              <w:jc w:val="center"/>
              <w:rPr>
                <w:rFonts w:ascii="Times New Roman" w:hAnsi="Times New Roman" w:cs="Times New Roman"/>
                <w:lang w:val="pl-PL"/>
              </w:rPr>
            </w:pPr>
            <w:r w:rsidRPr="008F328C">
              <w:rPr>
                <w:rFonts w:ascii="Times New Roman" w:hAnsi="Times New Roman" w:cs="Times New Roman"/>
                <w:lang w:val="pl-PL"/>
              </w:rPr>
              <w:t>&lt; 40 kg</w:t>
            </w:r>
          </w:p>
        </w:tc>
        <w:tc>
          <w:tcPr>
            <w:tcW w:w="2274" w:type="pct"/>
            <w:tcBorders>
              <w:top w:val="single" w:sz="6" w:space="0" w:color="000000"/>
              <w:left w:val="single" w:sz="6" w:space="0" w:color="000000"/>
              <w:bottom w:val="single" w:sz="6" w:space="0" w:color="000000"/>
              <w:right w:val="single" w:sz="6" w:space="0" w:color="000000"/>
            </w:tcBorders>
            <w:hideMark/>
          </w:tcPr>
          <w:p w14:paraId="07A9B1A2" w14:textId="77777777" w:rsidR="00D22235" w:rsidRPr="008F328C" w:rsidRDefault="00D22235" w:rsidP="00B17C6A">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80 mg w 0. tygodniu (podawane jako jedno wstrzyknięcia 80 mg w jednym dniu) oraz</w:t>
            </w:r>
          </w:p>
          <w:p w14:paraId="14105139" w14:textId="77777777" w:rsidR="00D22235" w:rsidRPr="008F328C" w:rsidRDefault="00D22235" w:rsidP="00B17C6A">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40 mg w 2. tygodniu (podawane jako jedno wstrzyknięcie 40 mg)</w:t>
            </w:r>
          </w:p>
        </w:tc>
        <w:tc>
          <w:tcPr>
            <w:tcW w:w="1543" w:type="pct"/>
            <w:tcBorders>
              <w:top w:val="single" w:sz="6" w:space="0" w:color="000000"/>
              <w:left w:val="single" w:sz="6" w:space="0" w:color="000000"/>
              <w:bottom w:val="single" w:sz="6" w:space="0" w:color="000000"/>
              <w:right w:val="single" w:sz="6" w:space="0" w:color="000000"/>
            </w:tcBorders>
            <w:hideMark/>
          </w:tcPr>
          <w:p w14:paraId="5108A21E" w14:textId="77777777" w:rsidR="00D22235" w:rsidRPr="008F328C" w:rsidRDefault="00D22235" w:rsidP="00B17C6A">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40 mg co drugi tydzień</w:t>
            </w:r>
          </w:p>
        </w:tc>
      </w:tr>
      <w:tr w:rsidR="00D22235" w:rsidRPr="008F328C" w14:paraId="5763DCE3" w14:textId="77777777" w:rsidTr="00114A52">
        <w:trPr>
          <w:jc w:val="center"/>
        </w:trPr>
        <w:tc>
          <w:tcPr>
            <w:tcW w:w="1183" w:type="pct"/>
            <w:tcBorders>
              <w:top w:val="single" w:sz="6" w:space="0" w:color="000000"/>
              <w:left w:val="single" w:sz="6" w:space="0" w:color="000000"/>
              <w:bottom w:val="single" w:sz="4" w:space="0" w:color="auto"/>
              <w:right w:val="single" w:sz="6" w:space="0" w:color="000000"/>
            </w:tcBorders>
            <w:hideMark/>
          </w:tcPr>
          <w:p w14:paraId="5FCD9B01" w14:textId="77777777" w:rsidR="00D22235" w:rsidRPr="008F328C" w:rsidRDefault="00D22235" w:rsidP="00B17C6A">
            <w:pPr>
              <w:jc w:val="center"/>
              <w:rPr>
                <w:rFonts w:ascii="Times New Roman" w:hAnsi="Times New Roman" w:cs="Times New Roman"/>
                <w:lang w:val="pl-PL"/>
              </w:rPr>
            </w:pPr>
            <w:r w:rsidRPr="008F328C">
              <w:rPr>
                <w:rFonts w:ascii="Times New Roman" w:hAnsi="Times New Roman" w:cs="Times New Roman"/>
                <w:lang w:val="pl-PL"/>
              </w:rPr>
              <w:t>≥ 40 kg</w:t>
            </w:r>
          </w:p>
        </w:tc>
        <w:tc>
          <w:tcPr>
            <w:tcW w:w="2274" w:type="pct"/>
            <w:tcBorders>
              <w:top w:val="single" w:sz="6" w:space="0" w:color="000000"/>
              <w:left w:val="single" w:sz="6" w:space="0" w:color="000000"/>
              <w:bottom w:val="single" w:sz="4" w:space="0" w:color="auto"/>
              <w:right w:val="single" w:sz="6" w:space="0" w:color="000000"/>
            </w:tcBorders>
            <w:hideMark/>
          </w:tcPr>
          <w:p w14:paraId="6DC062FB" w14:textId="77777777" w:rsidR="00D22235" w:rsidRPr="008F328C" w:rsidRDefault="00D22235" w:rsidP="00B17C6A">
            <w:pPr>
              <w:widowControl/>
              <w:numPr>
                <w:ilvl w:val="0"/>
                <w:numId w:val="112"/>
              </w:numPr>
              <w:ind w:left="360" w:hanging="210"/>
              <w:rPr>
                <w:rFonts w:ascii="Times New Roman" w:hAnsi="Times New Roman" w:cs="Times New Roman"/>
                <w:lang w:val="pl-PL"/>
              </w:rPr>
            </w:pPr>
            <w:bookmarkStart w:id="10" w:name="_Hlk88145752"/>
            <w:r w:rsidRPr="008F328C">
              <w:rPr>
                <w:rFonts w:ascii="Times New Roman" w:hAnsi="Times New Roman" w:cs="Times New Roman"/>
                <w:lang w:val="pl-PL"/>
              </w:rPr>
              <w:t>160 mg w 0. tygodniu (podawany jako dwa wstrzyknięcia po 80 mg w ciągu jednego dnia lub jako jedno wstrzyknięcie po 80 mg na dobę przez dwa kolejne dni)</w:t>
            </w:r>
            <w:r w:rsidRPr="008F328C">
              <w:rPr>
                <w:rFonts w:ascii="Times New Roman" w:hAnsi="Times New Roman" w:cs="Times New Roman"/>
                <w:lang w:val="pl-PL" w:eastAsia="ko-KR"/>
              </w:rPr>
              <w:t xml:space="preserve"> </w:t>
            </w:r>
            <w:r w:rsidRPr="008F328C">
              <w:rPr>
                <w:rFonts w:ascii="Times New Roman" w:hAnsi="Times New Roman" w:cs="Times New Roman"/>
                <w:lang w:val="pl-PL"/>
              </w:rPr>
              <w:t>oraz</w:t>
            </w:r>
          </w:p>
          <w:p w14:paraId="08A22D6D" w14:textId="77777777" w:rsidR="00D22235" w:rsidRPr="008F328C" w:rsidRDefault="00D22235" w:rsidP="00B17C6A">
            <w:pPr>
              <w:widowControl/>
              <w:numPr>
                <w:ilvl w:val="0"/>
                <w:numId w:val="112"/>
              </w:numPr>
              <w:ind w:left="360" w:hanging="210"/>
              <w:rPr>
                <w:rFonts w:ascii="Times New Roman" w:hAnsi="Times New Roman" w:cs="Times New Roman"/>
                <w:lang w:val="pl-PL"/>
              </w:rPr>
            </w:pPr>
            <w:r w:rsidRPr="008F328C">
              <w:rPr>
                <w:rFonts w:ascii="Times New Roman" w:hAnsi="Times New Roman" w:cs="Times New Roman"/>
                <w:lang w:val="pl-PL"/>
              </w:rPr>
              <w:t>80 mg w 2. tygodniu (podawane jako jedno wstrzyknięcia 80 mg w jednym dniu)</w:t>
            </w:r>
            <w:bookmarkEnd w:id="10"/>
          </w:p>
        </w:tc>
        <w:tc>
          <w:tcPr>
            <w:tcW w:w="1543" w:type="pct"/>
            <w:tcBorders>
              <w:top w:val="single" w:sz="6" w:space="0" w:color="000000"/>
              <w:left w:val="single" w:sz="6" w:space="0" w:color="000000"/>
              <w:bottom w:val="single" w:sz="4" w:space="0" w:color="auto"/>
              <w:right w:val="single" w:sz="6" w:space="0" w:color="000000"/>
            </w:tcBorders>
            <w:hideMark/>
          </w:tcPr>
          <w:p w14:paraId="50B553FC" w14:textId="77777777" w:rsidR="00D22235" w:rsidRPr="008F328C" w:rsidRDefault="00D22235" w:rsidP="00B17C6A">
            <w:pPr>
              <w:widowControl/>
              <w:numPr>
                <w:ilvl w:val="0"/>
                <w:numId w:val="111"/>
              </w:numPr>
              <w:ind w:left="360" w:hanging="210"/>
              <w:rPr>
                <w:rFonts w:ascii="Times New Roman" w:hAnsi="Times New Roman" w:cs="Times New Roman"/>
                <w:lang w:val="pl-PL"/>
              </w:rPr>
            </w:pPr>
            <w:r w:rsidRPr="008F328C">
              <w:rPr>
                <w:rFonts w:ascii="Times New Roman" w:hAnsi="Times New Roman" w:cs="Times New Roman"/>
                <w:lang w:val="pl-PL"/>
              </w:rPr>
              <w:t>80 mg co drugi tydzień</w:t>
            </w:r>
          </w:p>
        </w:tc>
      </w:tr>
      <w:tr w:rsidR="00D22235" w:rsidRPr="00FE49E6" w14:paraId="6BF517D9" w14:textId="77777777" w:rsidTr="00114A52">
        <w:trPr>
          <w:jc w:val="center"/>
        </w:trPr>
        <w:tc>
          <w:tcPr>
            <w:tcW w:w="5000" w:type="pct"/>
            <w:gridSpan w:val="3"/>
            <w:tcBorders>
              <w:top w:val="single" w:sz="4" w:space="0" w:color="auto"/>
              <w:left w:val="nil"/>
              <w:bottom w:val="nil"/>
              <w:right w:val="nil"/>
            </w:tcBorders>
          </w:tcPr>
          <w:p w14:paraId="2D1DD159" w14:textId="77777777" w:rsidR="00D22235" w:rsidRPr="008F328C" w:rsidRDefault="00D22235" w:rsidP="00B17C6A">
            <w:pPr>
              <w:rPr>
                <w:rFonts w:ascii="Times New Roman" w:hAnsi="Times New Roman" w:cs="Times New Roman"/>
                <w:lang w:val="pl-PL"/>
              </w:rPr>
            </w:pPr>
            <w:r w:rsidRPr="008F328C">
              <w:rPr>
                <w:rFonts w:ascii="Times New Roman" w:hAnsi="Times New Roman" w:cs="Times New Roman"/>
                <w:vertAlign w:val="superscript"/>
                <w:lang w:val="pl-PL"/>
              </w:rPr>
              <w:t xml:space="preserve">* </w:t>
            </w:r>
            <w:r w:rsidRPr="008F328C">
              <w:rPr>
                <w:rFonts w:ascii="Times New Roman" w:hAnsi="Times New Roman" w:cs="Times New Roman"/>
                <w:lang w:val="pl-PL"/>
              </w:rPr>
              <w:t>Pacjenci pediatryczni, którzy ukończyli 18 lat podczas leczenia produktem Yuflyma, powinni kontynuować leczenie przepisaną dawką podtrzymującą.</w:t>
            </w:r>
          </w:p>
        </w:tc>
      </w:tr>
    </w:tbl>
    <w:p w14:paraId="34A0DBD7" w14:textId="77777777" w:rsidR="00D22235" w:rsidRPr="008F328C" w:rsidRDefault="00D22235" w:rsidP="00D22235">
      <w:pPr>
        <w:pStyle w:val="gtctablespaceafter"/>
        <w:numPr>
          <w:ilvl w:val="0"/>
          <w:numId w:val="113"/>
        </w:numPr>
        <w:spacing w:after="0"/>
        <w:rPr>
          <w:sz w:val="22"/>
          <w:szCs w:val="22"/>
        </w:rPr>
      </w:pPr>
    </w:p>
    <w:p w14:paraId="1A1E9243"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t>Należy dokładnie rozważyć, czy kontynuować leczenie dłużej niż 8 tygodni u pacjentów, którzy nie wykazali oznak odpowiedzi na leczenie w tym okresie.</w:t>
      </w:r>
    </w:p>
    <w:p w14:paraId="21DDCEF0" w14:textId="77777777" w:rsidR="00D22235" w:rsidRPr="008F328C" w:rsidRDefault="00D22235" w:rsidP="00D22235">
      <w:pPr>
        <w:rPr>
          <w:rFonts w:ascii="Times New Roman" w:hAnsi="Times New Roman" w:cs="Times New Roman"/>
          <w:lang w:val="pl-PL"/>
        </w:rPr>
      </w:pPr>
    </w:p>
    <w:p w14:paraId="55588250"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t xml:space="preserve">Stosowanie produktu </w:t>
      </w:r>
      <w:r w:rsidRPr="008F328C">
        <w:rPr>
          <w:rFonts w:ascii="Times New Roman" w:eastAsia="Times New Roman" w:hAnsi="Times New Roman" w:cs="Times New Roman"/>
          <w:lang w:val="pl-PL"/>
        </w:rPr>
        <w:t xml:space="preserve">adalimumabu </w:t>
      </w:r>
      <w:r w:rsidRPr="008F328C">
        <w:rPr>
          <w:rFonts w:ascii="Times New Roman" w:hAnsi="Times New Roman" w:cs="Times New Roman"/>
          <w:lang w:val="pl-PL"/>
        </w:rPr>
        <w:t>u pacjentów w wieku poniżej 6 lat nie jest właściwe w tym wskazaniu.</w:t>
      </w:r>
    </w:p>
    <w:p w14:paraId="3F8C0896" w14:textId="77777777" w:rsidR="00D22235" w:rsidRPr="008F328C" w:rsidRDefault="00D22235" w:rsidP="00D22235">
      <w:pPr>
        <w:rPr>
          <w:rFonts w:ascii="Times New Roman" w:eastAsia="Times New Roman" w:hAnsi="Times New Roman" w:cs="Times New Roman"/>
          <w:i/>
          <w:spacing w:val="-1"/>
          <w:u w:val="single" w:color="000000"/>
          <w:lang w:val="pl-PL"/>
        </w:rPr>
      </w:pPr>
    </w:p>
    <w:p w14:paraId="7A322DF1" w14:textId="77777777" w:rsidR="00D22235" w:rsidRPr="00D97EE5" w:rsidRDefault="00D22235" w:rsidP="00D22235">
      <w:pPr>
        <w:rPr>
          <w:rFonts w:ascii="Times New Roman" w:eastAsia="Times New Roman" w:hAnsi="Times New Roman" w:cs="Times New Roman"/>
          <w:i/>
          <w:spacing w:val="-1"/>
          <w:u w:color="000000"/>
          <w:lang w:val="pl-PL"/>
        </w:rPr>
      </w:pPr>
      <w:r w:rsidRPr="00D97EE5">
        <w:rPr>
          <w:rFonts w:ascii="Times New Roman" w:eastAsia="Times New Roman" w:hAnsi="Times New Roman" w:cs="Times New Roman"/>
          <w:i/>
          <w:iCs/>
          <w:spacing w:val="-1"/>
          <w:u w:color="000000"/>
          <w:lang w:val="pl-PL"/>
        </w:rPr>
        <w:t>Zapalenie błony naczyniowej oka u dzieci i młodzieży</w:t>
      </w:r>
    </w:p>
    <w:p w14:paraId="72197361" w14:textId="77777777" w:rsidR="00D22235" w:rsidRPr="008F328C" w:rsidRDefault="00D22235" w:rsidP="00D22235">
      <w:pPr>
        <w:rPr>
          <w:rFonts w:ascii="Times New Roman" w:eastAsia="Times New Roman" w:hAnsi="Times New Roman" w:cs="Times New Roman"/>
          <w:lang w:val="pl-PL"/>
        </w:rPr>
      </w:pPr>
    </w:p>
    <w:p w14:paraId="556C41C1" w14:textId="77777777" w:rsidR="00D22235" w:rsidRPr="008F328C" w:rsidRDefault="00D22235" w:rsidP="00D22235">
      <w:pPr>
        <w:pStyle w:val="a3"/>
        <w:rPr>
          <w:lang w:val="pl-PL"/>
        </w:rPr>
      </w:pPr>
      <w:r w:rsidRPr="008F328C">
        <w:rPr>
          <w:rFonts w:eastAsia="Times New Roman"/>
          <w:lang w:val="pl-PL"/>
        </w:rPr>
        <w:t>Zalecana dawka produktu Yuflyma u dzieci i młodzieży z zapalaniem błony naczyniowej oka w wieku od 2 lat ustalana jest w zależności od masy ciała pacjenta (Tabela 3). Produkt Yuflyma podaje się we wstrzyknięciu podskórnym.</w:t>
      </w:r>
    </w:p>
    <w:p w14:paraId="35236A25" w14:textId="77777777" w:rsidR="00D22235" w:rsidRPr="008F328C" w:rsidRDefault="00D22235" w:rsidP="00D22235">
      <w:pPr>
        <w:rPr>
          <w:rFonts w:ascii="Times New Roman" w:hAnsi="Times New Roman" w:cs="Times New Roman"/>
          <w:sz w:val="24"/>
          <w:szCs w:val="24"/>
          <w:lang w:val="pl-PL"/>
        </w:rPr>
      </w:pPr>
    </w:p>
    <w:p w14:paraId="2AABEFE6" w14:textId="77777777" w:rsidR="00D22235" w:rsidRPr="008F328C" w:rsidRDefault="00D22235" w:rsidP="00D22235">
      <w:pPr>
        <w:pStyle w:val="a3"/>
        <w:rPr>
          <w:lang w:val="pl-PL"/>
        </w:rPr>
      </w:pPr>
      <w:r w:rsidRPr="008F328C">
        <w:rPr>
          <w:rFonts w:eastAsia="Times New Roman"/>
          <w:lang w:val="pl-PL"/>
        </w:rPr>
        <w:t>W zapaleniu błony naczyniowej oka u dzieci i młodzieży nie ma doświadczenia w leczeniu adalimumabem bez jednoczesnego leczenia metotreksatem.</w:t>
      </w:r>
    </w:p>
    <w:p w14:paraId="211F17F5" w14:textId="77777777" w:rsidR="00D22235" w:rsidRPr="008F328C" w:rsidRDefault="00D22235" w:rsidP="00D22235">
      <w:pPr>
        <w:pStyle w:val="a3"/>
        <w:rPr>
          <w:lang w:val="pl-PL"/>
        </w:rPr>
      </w:pPr>
    </w:p>
    <w:p w14:paraId="7122B06F"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40E6DDD5" w14:textId="4BAE19DA" w:rsidR="00D22235" w:rsidRPr="008F328C" w:rsidRDefault="00D22235" w:rsidP="00D22235">
      <w:pPr>
        <w:pStyle w:val="a3"/>
        <w:jc w:val="center"/>
        <w:rPr>
          <w:b/>
          <w:lang w:val="pl-PL"/>
        </w:rPr>
      </w:pPr>
      <w:r w:rsidRPr="008F328C">
        <w:rPr>
          <w:rFonts w:eastAsia="Times New Roman"/>
          <w:b/>
          <w:bCs/>
          <w:lang w:val="pl-PL"/>
        </w:rPr>
        <w:lastRenderedPageBreak/>
        <w:t>Tabela 3. Dawka produktu Yuflyma u dzieci i młodzieży z zapaleniem błony naczyniowej</w:t>
      </w:r>
    </w:p>
    <w:p w14:paraId="73D90752" w14:textId="77777777" w:rsidR="00D22235" w:rsidRPr="008F328C" w:rsidRDefault="00D22235" w:rsidP="00D22235">
      <w:pPr>
        <w:spacing w:before="4" w:line="220" w:lineRule="exact"/>
        <w:rPr>
          <w:rFonts w:ascii="Times New Roman" w:hAnsi="Times New Roman" w:cs="Times New Roman"/>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D22235" w:rsidRPr="008F328C" w14:paraId="55472FC8" w14:textId="77777777" w:rsidTr="00B17C6A">
        <w:trPr>
          <w:trHeight w:val="374"/>
          <w:jc w:val="center"/>
        </w:trPr>
        <w:tc>
          <w:tcPr>
            <w:tcW w:w="3572" w:type="dxa"/>
            <w:tcBorders>
              <w:top w:val="single" w:sz="4" w:space="0" w:color="auto"/>
              <w:bottom w:val="single" w:sz="4" w:space="0" w:color="auto"/>
            </w:tcBorders>
            <w:vAlign w:val="center"/>
          </w:tcPr>
          <w:p w14:paraId="67FAD7E9" w14:textId="77777777" w:rsidR="00D22235" w:rsidRPr="008F328C" w:rsidRDefault="00D22235" w:rsidP="00B17C6A">
            <w:pPr>
              <w:pStyle w:val="a3"/>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1D3A010E" w14:textId="77777777" w:rsidR="00D22235" w:rsidRPr="008F328C" w:rsidRDefault="00D22235" w:rsidP="00B17C6A">
            <w:pPr>
              <w:pStyle w:val="a3"/>
              <w:jc w:val="center"/>
              <w:rPr>
                <w:b/>
                <w:lang w:val="pl-PL"/>
              </w:rPr>
            </w:pPr>
            <w:r w:rsidRPr="008F328C">
              <w:rPr>
                <w:rFonts w:eastAsia="Times New Roman"/>
                <w:b/>
                <w:bCs/>
                <w:lang w:val="pl-PL"/>
              </w:rPr>
              <w:t>Schemat dawkowania</w:t>
            </w:r>
          </w:p>
        </w:tc>
      </w:tr>
      <w:tr w:rsidR="00D22235" w:rsidRPr="00A5286D" w14:paraId="2C778C3E" w14:textId="77777777" w:rsidTr="00B17C6A">
        <w:trPr>
          <w:trHeight w:val="388"/>
          <w:jc w:val="center"/>
        </w:trPr>
        <w:tc>
          <w:tcPr>
            <w:tcW w:w="3572" w:type="dxa"/>
            <w:tcBorders>
              <w:top w:val="single" w:sz="4" w:space="0" w:color="auto"/>
              <w:bottom w:val="single" w:sz="4" w:space="0" w:color="auto"/>
            </w:tcBorders>
            <w:vAlign w:val="center"/>
          </w:tcPr>
          <w:p w14:paraId="2700E041" w14:textId="77777777" w:rsidR="00D22235" w:rsidRPr="008F328C" w:rsidRDefault="00D22235" w:rsidP="00B17C6A">
            <w:pPr>
              <w:pStyle w:val="a3"/>
              <w:jc w:val="center"/>
              <w:rPr>
                <w:lang w:val="pl-PL"/>
              </w:rPr>
            </w:pPr>
            <w:r w:rsidRPr="008F328C">
              <w:rPr>
                <w:rFonts w:eastAsia="Times New Roman"/>
                <w:lang w:val="pl-PL"/>
              </w:rPr>
              <w:t>&lt; 30 kg</w:t>
            </w:r>
          </w:p>
        </w:tc>
        <w:tc>
          <w:tcPr>
            <w:tcW w:w="3572" w:type="dxa"/>
            <w:tcBorders>
              <w:top w:val="single" w:sz="4" w:space="0" w:color="auto"/>
              <w:bottom w:val="single" w:sz="4" w:space="0" w:color="auto"/>
            </w:tcBorders>
            <w:vAlign w:val="center"/>
          </w:tcPr>
          <w:p w14:paraId="67A7D3DC" w14:textId="3CAF3AB4" w:rsidR="00D22235" w:rsidRPr="008F328C" w:rsidRDefault="00487580" w:rsidP="00B17C6A">
            <w:pPr>
              <w:pStyle w:val="a3"/>
              <w:jc w:val="center"/>
              <w:rPr>
                <w:lang w:val="pl-PL"/>
              </w:rPr>
            </w:pPr>
            <w:r>
              <w:rPr>
                <w:rFonts w:eastAsia="Times New Roman"/>
                <w:lang w:val="pl-PL"/>
              </w:rPr>
              <w:t>2</w:t>
            </w:r>
            <w:r w:rsidRPr="008F328C">
              <w:rPr>
                <w:rFonts w:eastAsia="Times New Roman"/>
                <w:lang w:val="pl-PL"/>
              </w:rPr>
              <w:t>0 mg co drugi tydzień w skojarzeniu z metotreksatem</w:t>
            </w:r>
          </w:p>
        </w:tc>
      </w:tr>
      <w:tr w:rsidR="00D22235" w:rsidRPr="00A5286D" w14:paraId="11156422" w14:textId="77777777" w:rsidTr="00B17C6A">
        <w:trPr>
          <w:trHeight w:val="374"/>
          <w:jc w:val="center"/>
        </w:trPr>
        <w:tc>
          <w:tcPr>
            <w:tcW w:w="3572" w:type="dxa"/>
            <w:tcBorders>
              <w:top w:val="single" w:sz="4" w:space="0" w:color="auto"/>
              <w:bottom w:val="single" w:sz="4" w:space="0" w:color="auto"/>
            </w:tcBorders>
            <w:vAlign w:val="center"/>
          </w:tcPr>
          <w:p w14:paraId="014C00E4" w14:textId="77777777" w:rsidR="00D22235" w:rsidRPr="008F328C" w:rsidRDefault="00D22235" w:rsidP="00B17C6A">
            <w:pPr>
              <w:pStyle w:val="a3"/>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5BCAE08D" w14:textId="77777777" w:rsidR="00D22235" w:rsidRPr="008F328C" w:rsidRDefault="00D22235" w:rsidP="00B17C6A">
            <w:pPr>
              <w:pStyle w:val="a3"/>
              <w:jc w:val="center"/>
              <w:rPr>
                <w:lang w:val="pl-PL"/>
              </w:rPr>
            </w:pPr>
            <w:r w:rsidRPr="008F328C">
              <w:rPr>
                <w:rFonts w:eastAsia="Times New Roman"/>
                <w:lang w:val="pl-PL"/>
              </w:rPr>
              <w:t>40 mg co drugi tydzień w skojarzeniu z metotreksatem</w:t>
            </w:r>
          </w:p>
        </w:tc>
      </w:tr>
    </w:tbl>
    <w:p w14:paraId="65C3B56B" w14:textId="77777777" w:rsidR="00D22235" w:rsidRPr="008F328C" w:rsidRDefault="00D22235" w:rsidP="00D22235">
      <w:pPr>
        <w:pStyle w:val="a3"/>
        <w:rPr>
          <w:lang w:val="pl-PL"/>
        </w:rPr>
      </w:pPr>
    </w:p>
    <w:p w14:paraId="2013B4CC" w14:textId="77777777" w:rsidR="00D22235" w:rsidRPr="008F328C" w:rsidRDefault="00D22235" w:rsidP="00D22235">
      <w:pPr>
        <w:pStyle w:val="a3"/>
        <w:rPr>
          <w:lang w:val="pl-PL"/>
        </w:rPr>
      </w:pPr>
      <w:r w:rsidRPr="008F328C">
        <w:rPr>
          <w:rFonts w:eastAsia="Times New Roman"/>
          <w:lang w:val="pl-PL"/>
        </w:rPr>
        <w:t>Rozpoczynając leczenie produktem Yuflyma, dawkę nasycającą 40 mg u pacjentów &lt; 30 kg lub 80 mg u pacjentów ≥ 30 kg można podać jeden tydzień przed rozpoczęciem leczenia podtrzymującego. Nie ma dostępnych danych klinicznych dotyczących stosowania dawki nasycającej adalimumabu u dzieci w wieku &lt;6 lat (patrz punkt 5.2).</w:t>
      </w:r>
    </w:p>
    <w:p w14:paraId="2F0BB14E" w14:textId="77777777" w:rsidR="00D22235" w:rsidRPr="008F328C" w:rsidRDefault="00D22235" w:rsidP="00D22235">
      <w:pPr>
        <w:spacing w:before="10" w:line="240" w:lineRule="exact"/>
        <w:rPr>
          <w:rFonts w:ascii="Times New Roman" w:hAnsi="Times New Roman" w:cs="Times New Roman"/>
          <w:sz w:val="24"/>
          <w:szCs w:val="24"/>
          <w:lang w:val="pl-PL"/>
        </w:rPr>
      </w:pPr>
    </w:p>
    <w:p w14:paraId="6E9DC3D7" w14:textId="77777777" w:rsidR="00D22235" w:rsidRPr="008F328C" w:rsidRDefault="00D22235" w:rsidP="00D22235">
      <w:pPr>
        <w:pStyle w:val="a3"/>
        <w:rPr>
          <w:lang w:val="pl-PL"/>
        </w:rPr>
      </w:pPr>
      <w:r w:rsidRPr="008F328C">
        <w:rPr>
          <w:rFonts w:eastAsia="Times New Roman"/>
          <w:lang w:val="pl-PL"/>
        </w:rPr>
        <w:t>Stosowanie produktu adalimumabu u dzieci w wieku poniżej 2 lat nie jest właściwe w tym wskazaniu.</w:t>
      </w:r>
    </w:p>
    <w:p w14:paraId="356F0C63" w14:textId="77777777" w:rsidR="00D22235" w:rsidRPr="008F328C" w:rsidRDefault="00D22235" w:rsidP="00D22235">
      <w:pPr>
        <w:spacing w:before="11" w:line="240" w:lineRule="exact"/>
        <w:rPr>
          <w:rFonts w:ascii="Times New Roman" w:hAnsi="Times New Roman" w:cs="Times New Roman"/>
          <w:sz w:val="24"/>
          <w:szCs w:val="24"/>
          <w:lang w:val="pl-PL"/>
        </w:rPr>
      </w:pPr>
    </w:p>
    <w:p w14:paraId="003B006B" w14:textId="77777777" w:rsidR="00D22235" w:rsidRPr="008F328C" w:rsidRDefault="00D22235" w:rsidP="00D22235">
      <w:pPr>
        <w:pStyle w:val="a3"/>
        <w:rPr>
          <w:lang w:val="pl-PL"/>
        </w:rPr>
      </w:pPr>
      <w:r w:rsidRPr="008F328C">
        <w:rPr>
          <w:rFonts w:eastAsia="Times New Roman"/>
          <w:spacing w:val="-4"/>
          <w:lang w:val="pl-PL"/>
        </w:rPr>
        <w:t>Zaleca się coroczną ocenę korzyści i ryzyka związanego z kontynuacją długookresowego leczenia (patrz punkt 5.1).</w:t>
      </w:r>
    </w:p>
    <w:p w14:paraId="6B7FB5F8" w14:textId="77777777" w:rsidR="00D22235" w:rsidRPr="008F328C" w:rsidRDefault="00D22235" w:rsidP="00D22235">
      <w:pPr>
        <w:spacing w:before="12" w:line="240" w:lineRule="exact"/>
        <w:rPr>
          <w:rFonts w:ascii="Times New Roman" w:hAnsi="Times New Roman" w:cs="Times New Roman"/>
          <w:lang w:val="pl-PL"/>
        </w:rPr>
      </w:pPr>
    </w:p>
    <w:p w14:paraId="1D74D60E" w14:textId="77777777" w:rsidR="00D22235" w:rsidRPr="008F328C" w:rsidRDefault="00D22235" w:rsidP="00D22235">
      <w:pPr>
        <w:pStyle w:val="a3"/>
        <w:rPr>
          <w:u w:val="single"/>
          <w:lang w:val="pl-PL"/>
        </w:rPr>
      </w:pPr>
      <w:r w:rsidRPr="008F328C">
        <w:rPr>
          <w:rFonts w:eastAsia="Times New Roman"/>
          <w:u w:val="single" w:color="000000"/>
          <w:lang w:val="pl-PL"/>
        </w:rPr>
        <w:t>Sposób podawania</w:t>
      </w:r>
    </w:p>
    <w:p w14:paraId="2644A8FC" w14:textId="77777777" w:rsidR="00D22235" w:rsidRPr="008F328C" w:rsidRDefault="00D22235" w:rsidP="00D22235">
      <w:pPr>
        <w:spacing w:before="9" w:line="170" w:lineRule="exact"/>
        <w:rPr>
          <w:rFonts w:ascii="Times New Roman" w:hAnsi="Times New Roman" w:cs="Times New Roman"/>
          <w:lang w:val="pl-PL"/>
        </w:rPr>
      </w:pPr>
    </w:p>
    <w:p w14:paraId="3313937B" w14:textId="77777777" w:rsidR="00D22235" w:rsidRPr="008F328C" w:rsidRDefault="00D22235" w:rsidP="00D22235">
      <w:pPr>
        <w:pStyle w:val="a3"/>
        <w:rPr>
          <w:lang w:val="pl-PL"/>
        </w:rPr>
      </w:pPr>
      <w:r w:rsidRPr="008F328C">
        <w:rPr>
          <w:rFonts w:eastAsia="Times New Roman"/>
          <w:lang w:val="pl-PL"/>
        </w:rPr>
        <w:t>Produkt Yuflyma podaje się we wstrzyknięciu podskórnym.</w:t>
      </w:r>
    </w:p>
    <w:p w14:paraId="110D978C" w14:textId="77777777" w:rsidR="00D22235" w:rsidRPr="008F328C" w:rsidRDefault="00D22235" w:rsidP="00D22235">
      <w:pPr>
        <w:pStyle w:val="a3"/>
        <w:rPr>
          <w:lang w:val="pl-PL"/>
        </w:rPr>
      </w:pPr>
    </w:p>
    <w:p w14:paraId="517BA2BC" w14:textId="77777777" w:rsidR="00D22235" w:rsidRPr="008F328C" w:rsidRDefault="00D22235" w:rsidP="00D22235">
      <w:pPr>
        <w:pStyle w:val="a3"/>
        <w:rPr>
          <w:lang w:val="pl-PL"/>
        </w:rPr>
      </w:pPr>
      <w:r w:rsidRPr="008F328C">
        <w:rPr>
          <w:rFonts w:eastAsia="Times New Roman"/>
          <w:lang w:val="pl-PL"/>
        </w:rPr>
        <w:t>Pełne instrukcje dotyczące stosowania podano w ulotce dołączonej do opakowania.</w:t>
      </w:r>
    </w:p>
    <w:p w14:paraId="0F1EEE13" w14:textId="77777777" w:rsidR="00D22235" w:rsidRPr="008F328C" w:rsidRDefault="00D22235" w:rsidP="00D22235">
      <w:pPr>
        <w:spacing w:before="12" w:line="240" w:lineRule="exact"/>
        <w:rPr>
          <w:rFonts w:ascii="Times New Roman" w:hAnsi="Times New Roman" w:cs="Times New Roman"/>
          <w:lang w:val="pl-PL"/>
        </w:rPr>
      </w:pPr>
    </w:p>
    <w:p w14:paraId="30A01855" w14:textId="2E1BBA69" w:rsidR="00D22235" w:rsidRPr="008F328C" w:rsidRDefault="00AF4F99" w:rsidP="00D22235">
      <w:pPr>
        <w:pStyle w:val="a3"/>
        <w:rPr>
          <w:lang w:val="pl-PL"/>
        </w:rPr>
      </w:pPr>
      <w:r>
        <w:rPr>
          <w:rFonts w:eastAsia="Times New Roman"/>
          <w:lang w:val="pl-PL"/>
        </w:rPr>
        <w:t>Yuflyma</w:t>
      </w:r>
      <w:r w:rsidRPr="008F328C">
        <w:rPr>
          <w:rFonts w:eastAsia="Times New Roman"/>
          <w:lang w:val="pl-PL"/>
        </w:rPr>
        <w:t xml:space="preserve"> </w:t>
      </w:r>
      <w:r w:rsidR="00D22235" w:rsidRPr="008F328C">
        <w:rPr>
          <w:rFonts w:eastAsia="Times New Roman"/>
          <w:lang w:val="pl-PL"/>
        </w:rPr>
        <w:t>jest dostępny w innych mocach dawki i (lub) postaciach.</w:t>
      </w:r>
    </w:p>
    <w:p w14:paraId="08D24F05" w14:textId="77777777" w:rsidR="00D22235" w:rsidRPr="008F328C" w:rsidRDefault="00D22235" w:rsidP="00D22235">
      <w:pPr>
        <w:spacing w:before="16" w:line="240" w:lineRule="exact"/>
        <w:rPr>
          <w:rFonts w:ascii="Times New Roman" w:hAnsi="Times New Roman" w:cs="Times New Roman"/>
          <w:lang w:val="pl-PL"/>
        </w:rPr>
      </w:pPr>
    </w:p>
    <w:p w14:paraId="072E3A01"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Przeciwwskazania</w:t>
      </w:r>
    </w:p>
    <w:p w14:paraId="1373DAE9" w14:textId="77777777" w:rsidR="00D22235" w:rsidRPr="008F328C" w:rsidRDefault="00D22235" w:rsidP="00D22235">
      <w:pPr>
        <w:spacing w:before="9" w:line="240" w:lineRule="exact"/>
        <w:rPr>
          <w:rFonts w:ascii="Times New Roman" w:hAnsi="Times New Roman" w:cs="Times New Roman"/>
          <w:lang w:val="pl-PL"/>
        </w:rPr>
      </w:pPr>
    </w:p>
    <w:p w14:paraId="5EA1C601" w14:textId="77777777" w:rsidR="00D22235" w:rsidRPr="008F328C" w:rsidRDefault="00D22235" w:rsidP="00D22235">
      <w:pPr>
        <w:pStyle w:val="a3"/>
        <w:rPr>
          <w:lang w:val="pl-PL"/>
        </w:rPr>
      </w:pPr>
      <w:r w:rsidRPr="008F328C">
        <w:rPr>
          <w:rFonts w:eastAsia="Times New Roman"/>
          <w:lang w:val="pl-PL"/>
        </w:rPr>
        <w:t>Nadwrażliwość na substancję czynną lub na którąkolwiek substancję pomocniczą wymienioną w punkcie 6.1.</w:t>
      </w:r>
    </w:p>
    <w:p w14:paraId="7F35F864" w14:textId="77777777" w:rsidR="00D22235" w:rsidRPr="008F328C" w:rsidRDefault="00D22235" w:rsidP="00D22235">
      <w:pPr>
        <w:spacing w:before="13" w:line="240" w:lineRule="exact"/>
        <w:rPr>
          <w:rFonts w:ascii="Times New Roman" w:hAnsi="Times New Roman" w:cs="Times New Roman"/>
          <w:lang w:val="pl-PL"/>
        </w:rPr>
      </w:pPr>
    </w:p>
    <w:p w14:paraId="548700F9" w14:textId="77777777" w:rsidR="00D22235" w:rsidRPr="008F328C" w:rsidRDefault="00D22235" w:rsidP="00D22235">
      <w:pPr>
        <w:pStyle w:val="a3"/>
        <w:rPr>
          <w:lang w:val="pl-PL"/>
        </w:rPr>
      </w:pPr>
      <w:r w:rsidRPr="008F328C">
        <w:rPr>
          <w:rFonts w:eastAsia="Times New Roman"/>
          <w:lang w:val="pl-PL"/>
        </w:rPr>
        <w:t xml:space="preserve">Czynna gruźlica lub inne ciężkie zakażenia, takie jak posocznica i zakażenia oportunistyczne (patrz punkt 4.4). </w:t>
      </w:r>
    </w:p>
    <w:p w14:paraId="5A3D38FB" w14:textId="77777777" w:rsidR="00D22235" w:rsidRPr="008F328C" w:rsidRDefault="00D22235" w:rsidP="00D22235">
      <w:pPr>
        <w:pStyle w:val="a3"/>
        <w:rPr>
          <w:lang w:val="pl-PL"/>
        </w:rPr>
      </w:pPr>
    </w:p>
    <w:p w14:paraId="79BFDDEE" w14:textId="77777777" w:rsidR="00D22235" w:rsidRPr="008F328C" w:rsidRDefault="00D22235" w:rsidP="00D22235">
      <w:pPr>
        <w:pStyle w:val="a3"/>
        <w:rPr>
          <w:lang w:val="pl-PL"/>
        </w:rPr>
      </w:pPr>
      <w:r w:rsidRPr="008F328C">
        <w:rPr>
          <w:rFonts w:eastAsia="Times New Roman"/>
          <w:lang w:val="pl-PL"/>
        </w:rPr>
        <w:t>Umiarkowana i ciężka niewydolność serca (klasa III/IV wg NYHA) (patrz punkt 4.4).</w:t>
      </w:r>
    </w:p>
    <w:p w14:paraId="50B1F11D" w14:textId="77777777" w:rsidR="00D22235" w:rsidRPr="008F328C" w:rsidRDefault="00D22235" w:rsidP="00D22235">
      <w:pPr>
        <w:pStyle w:val="a3"/>
        <w:rPr>
          <w:lang w:val="pl-PL"/>
        </w:rPr>
      </w:pPr>
    </w:p>
    <w:p w14:paraId="557BD6E7"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ostrzeżenia i środki ostrożności dotyczące stosowania</w:t>
      </w:r>
    </w:p>
    <w:p w14:paraId="0AF02EF1" w14:textId="77777777" w:rsidR="00D22235" w:rsidRPr="008F328C" w:rsidRDefault="00D22235" w:rsidP="00D22235">
      <w:pPr>
        <w:spacing w:before="9" w:line="240" w:lineRule="exact"/>
        <w:rPr>
          <w:rFonts w:ascii="Times New Roman" w:hAnsi="Times New Roman" w:cs="Times New Roman"/>
          <w:lang w:val="pl-PL"/>
        </w:rPr>
      </w:pPr>
    </w:p>
    <w:p w14:paraId="3B4590EB" w14:textId="77777777" w:rsidR="00D22235" w:rsidRPr="008F328C" w:rsidRDefault="00D22235" w:rsidP="00D22235">
      <w:pPr>
        <w:pStyle w:val="a3"/>
        <w:rPr>
          <w:u w:val="single"/>
          <w:lang w:val="pl-PL"/>
        </w:rPr>
      </w:pPr>
      <w:r w:rsidRPr="008F328C">
        <w:rPr>
          <w:rFonts w:eastAsia="Times New Roman"/>
          <w:spacing w:val="1"/>
          <w:u w:val="single" w:color="000000"/>
          <w:lang w:val="pl-PL"/>
        </w:rPr>
        <w:t>Identyfikowalność</w:t>
      </w:r>
    </w:p>
    <w:p w14:paraId="76D55824" w14:textId="77777777" w:rsidR="00D22235" w:rsidRPr="008F328C" w:rsidRDefault="00D22235" w:rsidP="00D22235">
      <w:pPr>
        <w:spacing w:before="1" w:line="180" w:lineRule="exact"/>
        <w:rPr>
          <w:rFonts w:ascii="Times New Roman" w:hAnsi="Times New Roman" w:cs="Times New Roman"/>
          <w:lang w:val="pl-PL"/>
        </w:rPr>
      </w:pPr>
    </w:p>
    <w:p w14:paraId="71A355EF" w14:textId="77777777" w:rsidR="00D22235" w:rsidRPr="008F328C" w:rsidRDefault="00D22235" w:rsidP="00D22235">
      <w:pPr>
        <w:pStyle w:val="a3"/>
        <w:rPr>
          <w:lang w:val="pl-PL"/>
        </w:rPr>
      </w:pPr>
      <w:r w:rsidRPr="008F328C">
        <w:rPr>
          <w:rFonts w:eastAsia="Times New Roman"/>
          <w:lang w:val="pl-PL"/>
        </w:rPr>
        <w:t>W celu poprawienia identyfikowalności biologicznych produktów leczniczych należy czytelnie zapisać nazwę i numer serii podawanego produktu.</w:t>
      </w:r>
    </w:p>
    <w:p w14:paraId="2224B194" w14:textId="77777777" w:rsidR="00D22235" w:rsidRPr="008F328C" w:rsidRDefault="00D22235" w:rsidP="00D22235">
      <w:pPr>
        <w:spacing w:before="11" w:line="240" w:lineRule="exact"/>
        <w:rPr>
          <w:rFonts w:ascii="Times New Roman" w:hAnsi="Times New Roman" w:cs="Times New Roman"/>
          <w:lang w:val="pl-PL"/>
        </w:rPr>
      </w:pPr>
    </w:p>
    <w:p w14:paraId="74BD4910" w14:textId="77777777" w:rsidR="00D22235" w:rsidRPr="008F328C" w:rsidRDefault="00D22235" w:rsidP="00D22235">
      <w:pPr>
        <w:pStyle w:val="a3"/>
        <w:rPr>
          <w:u w:val="single"/>
          <w:lang w:val="pl-PL"/>
        </w:rPr>
      </w:pPr>
      <w:r w:rsidRPr="008F328C">
        <w:rPr>
          <w:rFonts w:eastAsia="Times New Roman"/>
          <w:u w:val="single" w:color="000000"/>
          <w:lang w:val="pl-PL"/>
        </w:rPr>
        <w:t>Zakażenia</w:t>
      </w:r>
    </w:p>
    <w:p w14:paraId="1CA8E3E6" w14:textId="77777777" w:rsidR="00D22235" w:rsidRPr="008F328C" w:rsidRDefault="00D22235" w:rsidP="00D22235">
      <w:pPr>
        <w:spacing w:before="1" w:line="180" w:lineRule="exact"/>
        <w:rPr>
          <w:rFonts w:ascii="Times New Roman" w:hAnsi="Times New Roman" w:cs="Times New Roman"/>
          <w:lang w:val="pl-PL"/>
        </w:rPr>
      </w:pPr>
    </w:p>
    <w:p w14:paraId="163BB66A" w14:textId="77777777" w:rsidR="00D22235" w:rsidRPr="008F328C" w:rsidRDefault="00D22235" w:rsidP="00D22235">
      <w:pPr>
        <w:pStyle w:val="a3"/>
        <w:rPr>
          <w:lang w:val="pl-PL"/>
        </w:rPr>
      </w:pPr>
      <w:r w:rsidRPr="008F328C">
        <w:rPr>
          <w:rFonts w:eastAsia="Times New Roman"/>
          <w:lang w:val="pl-PL"/>
        </w:rPr>
        <w:t>Pacjenci otrzymujący leki z grupy antagonistów TNF są bardziej podatni na ciężkie zakażenia. Zaburzenie czynności płuc może zwiększyć ryzyko rozwijania się zakażeń. Pacjentów należy wobec tego dokładnie monitorować w celu wykluczenia ewentualnych zakażeń, w tym gruźlicy przed, podczas i po leczeniu produktem Yuflyma. Eliminacja adalimumabu z ustroju może trwać nawet 4 miesiące i w tym okresie należy kontynuować badania kontrolne.</w:t>
      </w:r>
    </w:p>
    <w:p w14:paraId="0BD1BB68" w14:textId="77777777" w:rsidR="00D22235" w:rsidRPr="008F328C" w:rsidRDefault="00D22235" w:rsidP="00D22235">
      <w:pPr>
        <w:spacing w:before="14" w:line="240" w:lineRule="exact"/>
        <w:rPr>
          <w:rFonts w:ascii="Times New Roman" w:hAnsi="Times New Roman" w:cs="Times New Roman"/>
          <w:lang w:val="pl-PL"/>
        </w:rPr>
      </w:pPr>
    </w:p>
    <w:p w14:paraId="080F2F6B" w14:textId="77777777" w:rsidR="00D22235" w:rsidRPr="008F328C" w:rsidRDefault="00D22235" w:rsidP="00D22235">
      <w:pPr>
        <w:pStyle w:val="a3"/>
        <w:rPr>
          <w:lang w:val="pl-PL"/>
        </w:rPr>
      </w:pPr>
      <w:r w:rsidRPr="008F328C">
        <w:rPr>
          <w:rFonts w:eastAsia="Times New Roman"/>
          <w:lang w:val="pl-PL"/>
        </w:rPr>
        <w:t xml:space="preserve">Leczenia produktem Yuflyma nie wolno rozpoczynać u pacjentów z czynnym zakażeniem, w tym z przewlekłymi lub miejscowymi zakażeniami, do czasu opanowania zakażenia. U pacjentów narażonych </w:t>
      </w:r>
      <w:r w:rsidRPr="008F328C">
        <w:rPr>
          <w:rFonts w:eastAsia="Times New Roman"/>
          <w:lang w:val="pl-PL"/>
        </w:rPr>
        <w:lastRenderedPageBreak/>
        <w:t xml:space="preserve">na gruźlicę i pacjentów, którzy podróżowali w rejonach o wysokim ryzyku zachorowania na gruźlicę lub występujących endemicznie grzybic, takich jak histoplazmoza, kokcydioidomykoza lub blastomykoza, przed rozpoczęciem terapii należy rozważyć ryzyko i korzyści związane z leczeniem produktem Yuflyma (patrz </w:t>
      </w:r>
      <w:r w:rsidRPr="008F328C">
        <w:rPr>
          <w:rFonts w:eastAsia="Times New Roman"/>
          <w:i/>
          <w:iCs/>
          <w:lang w:val="pl-PL"/>
        </w:rPr>
        <w:t>Inne zakażenia oportunistyczne</w:t>
      </w:r>
      <w:r w:rsidRPr="008F328C">
        <w:rPr>
          <w:rFonts w:eastAsia="Times New Roman"/>
          <w:lang w:val="pl-PL"/>
        </w:rPr>
        <w:t>).</w:t>
      </w:r>
    </w:p>
    <w:p w14:paraId="499ADCE9" w14:textId="77777777" w:rsidR="00D22235" w:rsidRPr="008F328C" w:rsidRDefault="00D22235" w:rsidP="00D22235">
      <w:pPr>
        <w:spacing w:before="13" w:line="240" w:lineRule="exact"/>
        <w:rPr>
          <w:rFonts w:ascii="Times New Roman" w:hAnsi="Times New Roman" w:cs="Times New Roman"/>
          <w:lang w:val="pl-PL"/>
        </w:rPr>
      </w:pPr>
    </w:p>
    <w:p w14:paraId="5519A398" w14:textId="77777777" w:rsidR="00D22235" w:rsidRPr="008F328C" w:rsidRDefault="00D22235" w:rsidP="00D22235">
      <w:pPr>
        <w:pStyle w:val="a3"/>
        <w:rPr>
          <w:lang w:val="pl-PL"/>
        </w:rPr>
      </w:pPr>
      <w:r w:rsidRPr="008F328C">
        <w:rPr>
          <w:rFonts w:eastAsia="Times New Roman"/>
          <w:lang w:val="pl-PL"/>
        </w:rPr>
        <w:t>Pacjentów, u których w czasie leczenia produktem Yuflyma wystąpi nowe zakażenie należy poddać dokładnym badaniom kontrolnym i wykonać badania diagnostyczne w pełnym zakresie. Jeśli u pacjenta wystąpi nowe ciężkie zakażenie lub posocznica, należy zastosować odpowiednie leczenie przeciwbakteryjne lub przeciwgrzybicze, a podawanie produktu Yuflyma należy wstrzymać do czasu opanowania zakażenia. Lekarze powinni zachować ostrożność rozważając użycie produktu Yuflyma u pacjentów z nawracającymi zakażeniami w wywiadzie w stanach, które mogą zwiększać skłonność do zakażeń, w tym jednoczesne stosowanie leków immunosupresyjnych.</w:t>
      </w:r>
    </w:p>
    <w:p w14:paraId="53A5ECF6" w14:textId="77777777" w:rsidR="00D22235" w:rsidRPr="008F328C" w:rsidRDefault="00D22235" w:rsidP="00D22235">
      <w:pPr>
        <w:pStyle w:val="a3"/>
        <w:rPr>
          <w:lang w:val="pl-PL"/>
        </w:rPr>
      </w:pPr>
    </w:p>
    <w:p w14:paraId="1F80850B"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Ciężkie zakażenia</w:t>
      </w:r>
    </w:p>
    <w:p w14:paraId="207CAB26" w14:textId="77777777" w:rsidR="00D22235" w:rsidRPr="008F328C" w:rsidRDefault="00D22235" w:rsidP="00D22235">
      <w:pPr>
        <w:spacing w:line="240" w:lineRule="exact"/>
        <w:rPr>
          <w:rFonts w:ascii="Times New Roman" w:hAnsi="Times New Roman" w:cs="Times New Roman"/>
          <w:lang w:val="pl-PL"/>
        </w:rPr>
      </w:pPr>
    </w:p>
    <w:p w14:paraId="69BE9476" w14:textId="77777777" w:rsidR="00D22235" w:rsidRPr="008F328C" w:rsidRDefault="00D22235" w:rsidP="00D22235">
      <w:pPr>
        <w:pStyle w:val="a3"/>
        <w:rPr>
          <w:lang w:val="pl-PL"/>
        </w:rPr>
      </w:pPr>
      <w:r w:rsidRPr="008F328C">
        <w:rPr>
          <w:rFonts w:eastAsia="Times New Roman"/>
          <w:lang w:val="pl-PL"/>
        </w:rPr>
        <w:t>U pacjentów otrzymujących adalimumab zgłaszano ciężkie zakażenia, w tym posocznicę spowodowaną zakażeniem bakteryjnym, zakażeniem wywołanym przez prątki, inwazyjnym zakażeniem grzybiczym, pasożytniczym, wirusowym, lub inne oportunistyczne zakażenia, takie jak listerioza, legionelloza i pneumocystoza.</w:t>
      </w:r>
    </w:p>
    <w:p w14:paraId="4F5273E5" w14:textId="77777777" w:rsidR="00D22235" w:rsidRPr="008F328C" w:rsidRDefault="00D22235" w:rsidP="00D22235">
      <w:pPr>
        <w:spacing w:line="240" w:lineRule="exact"/>
        <w:rPr>
          <w:rFonts w:ascii="Times New Roman" w:hAnsi="Times New Roman" w:cs="Times New Roman"/>
          <w:lang w:val="pl-PL"/>
        </w:rPr>
      </w:pPr>
    </w:p>
    <w:p w14:paraId="2934E9CA" w14:textId="77777777" w:rsidR="00D22235" w:rsidRPr="008F328C" w:rsidRDefault="00D22235" w:rsidP="00D22235">
      <w:pPr>
        <w:pStyle w:val="a3"/>
        <w:rPr>
          <w:lang w:val="pl-PL"/>
        </w:rPr>
      </w:pPr>
      <w:r w:rsidRPr="008F328C">
        <w:rPr>
          <w:rFonts w:eastAsia="Times New Roman"/>
          <w:lang w:val="pl-PL"/>
        </w:rPr>
        <w:t>Do innych ciężkich zakażeń obserwowanych w badaniach klinicznych zalicza się zapalenie płuc, odmiedniczkowe zapalenie nerek, septyczne zapalenie stawów oraz posocznicę. Informowano o hospitalizacji lub zgonach w związku z zakażeniami.</w:t>
      </w:r>
    </w:p>
    <w:p w14:paraId="6DF9BCCD" w14:textId="77777777" w:rsidR="00D22235" w:rsidRPr="008F328C" w:rsidRDefault="00D22235" w:rsidP="00D22235">
      <w:pPr>
        <w:spacing w:line="240" w:lineRule="exact"/>
        <w:rPr>
          <w:rFonts w:ascii="Times New Roman" w:hAnsi="Times New Roman" w:cs="Times New Roman"/>
          <w:lang w:val="pl-PL"/>
        </w:rPr>
      </w:pPr>
    </w:p>
    <w:p w14:paraId="20CCFD2F"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Gruźlica</w:t>
      </w:r>
    </w:p>
    <w:p w14:paraId="7319BF86" w14:textId="77777777" w:rsidR="00D22235" w:rsidRPr="008F328C" w:rsidRDefault="00D22235" w:rsidP="00D22235">
      <w:pPr>
        <w:spacing w:line="240" w:lineRule="exact"/>
        <w:rPr>
          <w:rFonts w:ascii="Times New Roman" w:hAnsi="Times New Roman" w:cs="Times New Roman"/>
          <w:lang w:val="pl-PL"/>
        </w:rPr>
      </w:pPr>
    </w:p>
    <w:p w14:paraId="3DD57483" w14:textId="77777777" w:rsidR="00D22235" w:rsidRPr="008F328C" w:rsidRDefault="00D22235" w:rsidP="00D22235">
      <w:pPr>
        <w:pStyle w:val="a3"/>
        <w:rPr>
          <w:lang w:val="pl-PL"/>
        </w:rPr>
      </w:pPr>
      <w:r w:rsidRPr="008F328C">
        <w:rPr>
          <w:rFonts w:eastAsia="Times New Roman"/>
          <w:lang w:val="pl-PL"/>
        </w:rPr>
        <w:t>U pacjentów otrzymujących adalimumab informowano o gruźlicy, w tym jej reaktywacji i nowych zachorowaniach na gruźlicę. Były to doniesienia o przypadkach gruźlicy płucnej i pozapłucnej (tzn. rozsianej).</w:t>
      </w:r>
    </w:p>
    <w:p w14:paraId="40E390BE" w14:textId="77777777" w:rsidR="00D22235" w:rsidRPr="008F328C" w:rsidRDefault="00D22235" w:rsidP="00D22235">
      <w:pPr>
        <w:spacing w:line="240" w:lineRule="exact"/>
        <w:rPr>
          <w:rFonts w:ascii="Times New Roman" w:hAnsi="Times New Roman" w:cs="Times New Roman"/>
          <w:lang w:val="pl-PL"/>
        </w:rPr>
      </w:pPr>
    </w:p>
    <w:p w14:paraId="7534A9FA" w14:textId="77777777" w:rsidR="00D22235" w:rsidRPr="008F328C" w:rsidRDefault="00D22235" w:rsidP="00D22235">
      <w:pPr>
        <w:pStyle w:val="a3"/>
        <w:rPr>
          <w:lang w:val="pl-PL"/>
        </w:rPr>
      </w:pPr>
      <w:r w:rsidRPr="008F328C">
        <w:rPr>
          <w:rFonts w:eastAsia="Times New Roman"/>
          <w:lang w:val="pl-PL"/>
        </w:rPr>
        <w:t>Przed rozpoczęciem leczenia produktem Yuflyma wszystkich pacjentów należy poddać badaniom w celu wykluczenia zarówno czynnej jak i nieczynnej („utajonej”) gruźlicy. Badanie powinno objąć szczegółową, dokonaną przez lekarza ocenę wywiadu dotyczącego wcześniej przebytej przez pacjenta gruźlicy lub możliwości wcześniejszego narażenia na kontakt z osobami chorymi na czynną gruźlicę oraz stosowanego wcześniej i (lub) obecnie leczenia immunosupresyjnego. U wszystkich pacjentów należy przeprowadzić odpowiednie badania przesiewowe (tzn. skórny odczyn tuberkulinowy i badanie radiologiczne klatki piersiowej) (można postępować zgodnie z lokalnymi zaleceniami). Zaleca się odnotowanie tych badań i ich wyników w „Karcie Przypominającej dla Pacjenta”. Lekarze powinni pamiętać o ryzyku fałszywie ujemnych skórnych odczynów tuberkulinowych, zwłaszcza u ciężko chorych pacjentów lub pacjentów z upośledzeniem odporności.</w:t>
      </w:r>
    </w:p>
    <w:p w14:paraId="0069DDAD" w14:textId="77777777" w:rsidR="00D22235" w:rsidRPr="008F328C" w:rsidRDefault="00D22235" w:rsidP="00D22235">
      <w:pPr>
        <w:spacing w:before="13" w:line="240" w:lineRule="exact"/>
        <w:rPr>
          <w:rFonts w:ascii="Times New Roman" w:hAnsi="Times New Roman" w:cs="Times New Roman"/>
          <w:lang w:val="pl-PL"/>
        </w:rPr>
      </w:pPr>
    </w:p>
    <w:p w14:paraId="7869E114" w14:textId="77777777" w:rsidR="00D22235" w:rsidRPr="008F328C" w:rsidRDefault="00D22235" w:rsidP="00D22235">
      <w:pPr>
        <w:pStyle w:val="a3"/>
        <w:rPr>
          <w:lang w:val="pl-PL"/>
        </w:rPr>
      </w:pPr>
      <w:r w:rsidRPr="008F328C">
        <w:rPr>
          <w:rFonts w:eastAsia="Times New Roman"/>
          <w:lang w:val="pl-PL"/>
        </w:rPr>
        <w:t>W przypadku rozpoznania czynnej gruźlicy nie wolno rozpoczynać leczenia produktem Yuflyma (patrz punkt 4.3).</w:t>
      </w:r>
    </w:p>
    <w:p w14:paraId="10ECB50E" w14:textId="77777777" w:rsidR="00D22235" w:rsidRPr="008F328C" w:rsidRDefault="00D22235" w:rsidP="00D22235">
      <w:pPr>
        <w:pStyle w:val="a3"/>
        <w:rPr>
          <w:lang w:val="pl-PL"/>
        </w:rPr>
      </w:pPr>
    </w:p>
    <w:p w14:paraId="63EA9474" w14:textId="77777777" w:rsidR="00D22235" w:rsidRPr="008F328C" w:rsidRDefault="00D22235" w:rsidP="00D22235">
      <w:pPr>
        <w:pStyle w:val="a3"/>
        <w:rPr>
          <w:lang w:val="pl-PL"/>
        </w:rPr>
      </w:pPr>
      <w:r w:rsidRPr="008F328C">
        <w:rPr>
          <w:rFonts w:eastAsia="Times New Roman"/>
          <w:lang w:val="pl-PL"/>
        </w:rPr>
        <w:t xml:space="preserve">We wszystkich opisanych poniżej sytuacjach należy bardzo dokładnie rozważyć korzyści i ryzyko związane z leczeniem. </w:t>
      </w:r>
    </w:p>
    <w:p w14:paraId="394E1316" w14:textId="77777777" w:rsidR="00D22235" w:rsidRPr="008F328C" w:rsidRDefault="00D22235" w:rsidP="00D22235">
      <w:pPr>
        <w:pStyle w:val="a3"/>
        <w:rPr>
          <w:lang w:val="pl-PL"/>
        </w:rPr>
      </w:pPr>
    </w:p>
    <w:p w14:paraId="033F10E2" w14:textId="77777777" w:rsidR="00D22235" w:rsidRPr="008F328C" w:rsidRDefault="00D22235" w:rsidP="00D22235">
      <w:pPr>
        <w:pStyle w:val="a3"/>
        <w:rPr>
          <w:lang w:val="pl-PL"/>
        </w:rPr>
      </w:pPr>
      <w:r w:rsidRPr="008F328C">
        <w:rPr>
          <w:rFonts w:eastAsia="Times New Roman"/>
          <w:lang w:val="pl-PL"/>
        </w:rPr>
        <w:t>W przypadku podejrzewania utajonej gruźlicy, należy skonsultować się z lekarzem będącym specjalistą w leczeniu gruźlicy.</w:t>
      </w:r>
    </w:p>
    <w:p w14:paraId="25775212" w14:textId="77777777" w:rsidR="00D22235" w:rsidRPr="008F328C" w:rsidRDefault="00D22235" w:rsidP="00D22235">
      <w:pPr>
        <w:spacing w:before="11" w:line="240" w:lineRule="exact"/>
        <w:rPr>
          <w:rFonts w:ascii="Times New Roman" w:hAnsi="Times New Roman" w:cs="Times New Roman"/>
          <w:lang w:val="pl-PL"/>
        </w:rPr>
      </w:pPr>
    </w:p>
    <w:p w14:paraId="6D943735" w14:textId="77777777" w:rsidR="00D22235" w:rsidRPr="008F328C" w:rsidRDefault="00D22235" w:rsidP="00D22235">
      <w:pPr>
        <w:pStyle w:val="a3"/>
        <w:rPr>
          <w:lang w:val="pl-PL"/>
        </w:rPr>
      </w:pPr>
      <w:r w:rsidRPr="008F328C">
        <w:rPr>
          <w:rFonts w:eastAsia="Times New Roman"/>
          <w:lang w:val="pl-PL"/>
        </w:rPr>
        <w:t>W przypadku rozpoznania utajonej gruźlicy, przed rozpoczęciem podawania produktu Yuflyma, należy rozpocząć profilaktyczne leczenie przeciwgruźlicze, zgodnie z lokalnymi zaleceniami.</w:t>
      </w:r>
    </w:p>
    <w:p w14:paraId="6A16E5B6" w14:textId="77777777" w:rsidR="00D22235" w:rsidRPr="008F328C" w:rsidRDefault="00D22235" w:rsidP="00D22235">
      <w:pPr>
        <w:spacing w:before="12" w:line="240" w:lineRule="exact"/>
        <w:rPr>
          <w:rFonts w:ascii="Times New Roman" w:hAnsi="Times New Roman" w:cs="Times New Roman"/>
          <w:lang w:val="pl-PL"/>
        </w:rPr>
      </w:pPr>
    </w:p>
    <w:p w14:paraId="0B7761E5" w14:textId="77777777" w:rsidR="00D22235" w:rsidRPr="008F328C" w:rsidRDefault="00D22235" w:rsidP="00D22235">
      <w:pPr>
        <w:pStyle w:val="a3"/>
        <w:rPr>
          <w:lang w:val="pl-PL"/>
        </w:rPr>
      </w:pPr>
      <w:r w:rsidRPr="008F328C">
        <w:rPr>
          <w:rFonts w:eastAsia="Times New Roman"/>
          <w:lang w:val="pl-PL"/>
        </w:rPr>
        <w:lastRenderedPageBreak/>
        <w:t>Zastosowanie profilaktycznego leczenia przeciwgruźliczego, przed rozpoczęciem stosowania produktu Yuflyma, należy również rozważyć u pacjentów z kilkoma lub z istotnymi czynnikami ryzyka wystąpienia gruźlicy pomimo ujemnego wyniku badania w kierunku gruźlicy oraz u pacjentów z utajoną lub czynną gruźlicą w przeszłości, u których nie można potwierdzić zastosowania odpowiedniego leczenia.</w:t>
      </w:r>
    </w:p>
    <w:p w14:paraId="7DF33B72" w14:textId="77777777" w:rsidR="00D22235" w:rsidRPr="008F328C" w:rsidRDefault="00D22235" w:rsidP="00D22235">
      <w:pPr>
        <w:spacing w:before="17" w:line="240" w:lineRule="exact"/>
        <w:rPr>
          <w:rFonts w:ascii="Times New Roman" w:hAnsi="Times New Roman" w:cs="Times New Roman"/>
          <w:lang w:val="pl-PL"/>
        </w:rPr>
      </w:pPr>
    </w:p>
    <w:p w14:paraId="773C7986" w14:textId="77777777" w:rsidR="00D22235" w:rsidRPr="008F328C" w:rsidRDefault="00D22235" w:rsidP="00D22235">
      <w:pPr>
        <w:pStyle w:val="a3"/>
        <w:rPr>
          <w:lang w:val="pl-PL"/>
        </w:rPr>
      </w:pPr>
      <w:r w:rsidRPr="008F328C">
        <w:rPr>
          <w:rFonts w:eastAsia="Times New Roman"/>
          <w:lang w:val="pl-PL"/>
        </w:rPr>
        <w:t>Mimo zastosowania profilaktycznego leczenia przeciwgruźliczego, wśród pacjentów leczonych adalimumabem wystąpiły przypadki reaktywacji gruźlicy. U niektórych pacjentów wcześniej z powodzeniem leczonych z powodu czynnej gruźlicy, w czasie leczenia adalimumabem ponownie rozwinęła się gruźlica.</w:t>
      </w:r>
    </w:p>
    <w:p w14:paraId="660F0649" w14:textId="77777777" w:rsidR="00D22235" w:rsidRPr="008F328C" w:rsidRDefault="00D22235" w:rsidP="00D22235">
      <w:pPr>
        <w:spacing w:before="11" w:line="240" w:lineRule="exact"/>
        <w:rPr>
          <w:rFonts w:ascii="Times New Roman" w:hAnsi="Times New Roman" w:cs="Times New Roman"/>
          <w:lang w:val="pl-PL"/>
        </w:rPr>
      </w:pPr>
    </w:p>
    <w:p w14:paraId="6970FB0E" w14:textId="77777777" w:rsidR="00D22235" w:rsidRPr="008F328C" w:rsidRDefault="00D22235" w:rsidP="00D22235">
      <w:pPr>
        <w:pStyle w:val="a3"/>
        <w:rPr>
          <w:lang w:val="pl-PL"/>
        </w:rPr>
      </w:pPr>
      <w:r w:rsidRPr="008F328C">
        <w:rPr>
          <w:rFonts w:eastAsia="Times New Roman"/>
          <w:lang w:val="pl-PL"/>
        </w:rPr>
        <w:t>Pacjentów należy poinstruować, aby zgłaszali się do lekarza w przypadku pojawienia się objawów przedmiotowych/podmiotowych wskazujących na wystąpienie gruźlicy(np. uporczywy kaszel, wyniszczenie/utrata masy ciała, stan podgorączkowy, apatia) w czasie leczenia produktem Yuflyma lub po jego zakończeniu.</w:t>
      </w:r>
    </w:p>
    <w:p w14:paraId="2E5C2E70" w14:textId="77777777" w:rsidR="00D22235" w:rsidRPr="008F328C" w:rsidRDefault="00D22235" w:rsidP="00D22235">
      <w:pPr>
        <w:ind w:left="111"/>
        <w:rPr>
          <w:rFonts w:ascii="Times New Roman" w:hAnsi="Times New Roman" w:cs="Times New Roman"/>
          <w:lang w:val="pl-PL"/>
        </w:rPr>
      </w:pPr>
    </w:p>
    <w:p w14:paraId="216E5D2D"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Inne zakażenia oportunistyczne</w:t>
      </w:r>
    </w:p>
    <w:p w14:paraId="21F93CB3" w14:textId="77777777" w:rsidR="00D22235" w:rsidRPr="008F328C" w:rsidRDefault="00D22235" w:rsidP="00D22235">
      <w:pPr>
        <w:spacing w:before="13" w:line="240" w:lineRule="exact"/>
        <w:rPr>
          <w:rFonts w:ascii="Times New Roman" w:hAnsi="Times New Roman" w:cs="Times New Roman"/>
          <w:lang w:val="pl-PL"/>
        </w:rPr>
      </w:pPr>
    </w:p>
    <w:p w14:paraId="719A5F17" w14:textId="77777777" w:rsidR="00D22235" w:rsidRPr="008F328C" w:rsidRDefault="00D22235" w:rsidP="00D22235">
      <w:pPr>
        <w:pStyle w:val="a3"/>
        <w:rPr>
          <w:lang w:val="pl-PL"/>
        </w:rPr>
      </w:pPr>
      <w:r w:rsidRPr="008F328C">
        <w:rPr>
          <w:rFonts w:eastAsia="Times New Roman"/>
          <w:lang w:val="pl-PL"/>
        </w:rPr>
        <w:t>U pacjentów otrzymujących adalimumab obserwowano zakażenia oportunistyczne, w tym grzybicze zakażenia inwazyjne. Zakażenia te nie zawsze rozpoznawano u pacjentów otrzymujących leki z grupy antagonistów TNF, co powodowało opóźnienia w zastosowaniu odpowiedniego leczenia, niekiedy prowadzące do zgonów.</w:t>
      </w:r>
    </w:p>
    <w:p w14:paraId="4A3EDACF" w14:textId="77777777" w:rsidR="00D22235" w:rsidRPr="008F328C" w:rsidRDefault="00D22235" w:rsidP="00D22235">
      <w:pPr>
        <w:pStyle w:val="a3"/>
        <w:rPr>
          <w:lang w:val="pl-PL"/>
        </w:rPr>
      </w:pPr>
    </w:p>
    <w:p w14:paraId="685D0EF0" w14:textId="77777777" w:rsidR="00D22235" w:rsidRPr="008F328C" w:rsidRDefault="00D22235" w:rsidP="00D22235">
      <w:pPr>
        <w:pStyle w:val="a3"/>
        <w:rPr>
          <w:lang w:val="pl-PL"/>
        </w:rPr>
      </w:pPr>
      <w:r w:rsidRPr="008F328C">
        <w:rPr>
          <w:rFonts w:eastAsia="Times New Roman"/>
          <w:lang w:val="pl-PL"/>
        </w:rPr>
        <w:t>U pacjentów, u których wystąpią takie objawy przedmiotowe i podmiotowe, jak gorączka, złe samopoczucie, utrata masy ciała, poty, kaszel, duszność oraz (lub) nacieki w płucach lub inna poważna choroba ogólnoustrojowa z współistniejącym wstrząsem lub bez wstrząsu, należy podejrzewać grzybicze zakażenie inwazyjne oraz natychmiast przerwać podawanie produktu Yuflyma. U tych pacjentów rozpoznanie oraz zastosowanie empirycznej terapii przeciwgrzybiczej należy ustalić w porozumieniu z lekarzem specjalizującym się w leczeniu pacjentów z inwazyjnymi zakażeniami grzybiczymi.</w:t>
      </w:r>
    </w:p>
    <w:p w14:paraId="551301ED" w14:textId="77777777" w:rsidR="00D22235" w:rsidRPr="008F328C" w:rsidRDefault="00D22235" w:rsidP="00D22235">
      <w:pPr>
        <w:spacing w:before="13" w:line="240" w:lineRule="exact"/>
        <w:rPr>
          <w:rFonts w:ascii="Times New Roman" w:hAnsi="Times New Roman" w:cs="Times New Roman"/>
          <w:lang w:val="pl-PL"/>
        </w:rPr>
      </w:pPr>
    </w:p>
    <w:p w14:paraId="553DBAC9" w14:textId="77777777" w:rsidR="00D22235" w:rsidRPr="008F328C" w:rsidRDefault="00D22235" w:rsidP="00D22235">
      <w:pPr>
        <w:pStyle w:val="a3"/>
        <w:rPr>
          <w:u w:val="single"/>
          <w:lang w:val="pl-PL"/>
        </w:rPr>
      </w:pPr>
      <w:r w:rsidRPr="008F328C">
        <w:rPr>
          <w:rFonts w:eastAsia="Times New Roman"/>
          <w:u w:val="single" w:color="000000"/>
          <w:lang w:val="pl-PL"/>
        </w:rPr>
        <w:t>Reaktywacja zapalenia wątroby typu B</w:t>
      </w:r>
    </w:p>
    <w:p w14:paraId="3C339B1E" w14:textId="77777777" w:rsidR="00D22235" w:rsidRPr="008F328C" w:rsidRDefault="00D22235" w:rsidP="00D22235">
      <w:pPr>
        <w:spacing w:before="9" w:line="170" w:lineRule="exact"/>
        <w:rPr>
          <w:rFonts w:ascii="Times New Roman" w:hAnsi="Times New Roman" w:cs="Times New Roman"/>
          <w:lang w:val="pl-PL"/>
        </w:rPr>
      </w:pPr>
    </w:p>
    <w:p w14:paraId="22D2AF88" w14:textId="77777777" w:rsidR="00D22235" w:rsidRPr="008F328C" w:rsidRDefault="00D22235" w:rsidP="00D22235">
      <w:pPr>
        <w:pStyle w:val="a3"/>
        <w:rPr>
          <w:lang w:val="pl-PL"/>
        </w:rPr>
      </w:pPr>
      <w:r w:rsidRPr="008F328C">
        <w:rPr>
          <w:rFonts w:eastAsia="Times New Roman"/>
          <w:lang w:val="pl-PL"/>
        </w:rPr>
        <w:t>U pacjentów, przewlekłych nosicieli HBV (tzn. takich, u których wykryto antygen powierzchniowy HBV), otrzymujących antagonistę TNF w tym adalimumab, wystąpiła reaktywacja zapalenia wątroby typu B. W niektórych przypadkach doszło do zgonu. Przed rozpoczęciem leczenia produktem Yuflyma, u pacjentów należy wykonać badania w kierunku zakażenia HBV. U pacjentów z dodatnim wynikiem badania w kierunku zakażenia HBV, zaleca się konsultację u lekarza specjalisty w leczeniu zapalenia wątroby typu B.</w:t>
      </w:r>
    </w:p>
    <w:p w14:paraId="07A4C1E3" w14:textId="77777777" w:rsidR="00D22235" w:rsidRPr="008F328C" w:rsidRDefault="00D22235" w:rsidP="00D22235">
      <w:pPr>
        <w:spacing w:before="13" w:line="240" w:lineRule="exact"/>
        <w:rPr>
          <w:rFonts w:ascii="Times New Roman" w:hAnsi="Times New Roman" w:cs="Times New Roman"/>
          <w:lang w:val="pl-PL"/>
        </w:rPr>
      </w:pPr>
    </w:p>
    <w:p w14:paraId="56AECDE5" w14:textId="77777777" w:rsidR="00D22235" w:rsidRPr="008F328C" w:rsidRDefault="00D22235" w:rsidP="00D22235">
      <w:pPr>
        <w:pStyle w:val="a3"/>
        <w:rPr>
          <w:lang w:val="pl-PL"/>
        </w:rPr>
      </w:pPr>
      <w:r w:rsidRPr="008F328C">
        <w:rPr>
          <w:rFonts w:eastAsia="Times New Roman"/>
          <w:lang w:val="pl-PL"/>
        </w:rPr>
        <w:t>Nosicieli HBV, którzy wymagają leczenia produktem Yuflyma przez cały okres terapii i przez kilka miesięcy po jej zakończeniu należy dokładnie monitorować w kierunku objawów przedmiotowych i podmiotowych czynnego zakażenia HBV. Brak wystarczających informacji uzyskanych podczas leczenia pacjentów będących nosicielami HBV lekami przeciwwirusowymi w połączeniu z antagonistami TNF w celu zapobiegania reaktywacji HBV. U pacjentów, u których wystąpi reaktywacja HBV należy zaprzestać podawania produktu Yuflyma i rozpocząć stosowanie skutecznego leczenia przeciwwirusowego oraz właściwego leczenia podtrzymującego.</w:t>
      </w:r>
    </w:p>
    <w:p w14:paraId="0B1DBF62" w14:textId="77777777" w:rsidR="00D22235" w:rsidRPr="008F328C" w:rsidRDefault="00D22235" w:rsidP="00D22235">
      <w:pPr>
        <w:spacing w:before="13" w:line="240" w:lineRule="exact"/>
        <w:rPr>
          <w:rFonts w:ascii="Times New Roman" w:hAnsi="Times New Roman" w:cs="Times New Roman"/>
          <w:lang w:val="pl-PL"/>
        </w:rPr>
      </w:pPr>
    </w:p>
    <w:p w14:paraId="0F43C961" w14:textId="77777777" w:rsidR="00D22235" w:rsidRPr="008F328C" w:rsidRDefault="00D22235" w:rsidP="00D22235">
      <w:pPr>
        <w:pStyle w:val="a3"/>
        <w:rPr>
          <w:u w:val="single"/>
          <w:lang w:val="pl-PL"/>
        </w:rPr>
      </w:pPr>
      <w:r w:rsidRPr="008F328C">
        <w:rPr>
          <w:rFonts w:eastAsia="Times New Roman"/>
          <w:u w:val="single" w:color="000000"/>
          <w:lang w:val="pl-PL"/>
        </w:rPr>
        <w:t>Zaburzenia neurologiczne</w:t>
      </w:r>
    </w:p>
    <w:p w14:paraId="3691393F" w14:textId="77777777" w:rsidR="00D22235" w:rsidRPr="008F328C" w:rsidRDefault="00D22235" w:rsidP="00D22235">
      <w:pPr>
        <w:spacing w:before="1" w:line="180" w:lineRule="exact"/>
        <w:rPr>
          <w:rFonts w:ascii="Times New Roman" w:hAnsi="Times New Roman" w:cs="Times New Roman"/>
          <w:lang w:val="pl-PL"/>
        </w:rPr>
      </w:pPr>
    </w:p>
    <w:p w14:paraId="7C4E09C3" w14:textId="77777777" w:rsidR="00D22235" w:rsidRPr="008F328C" w:rsidRDefault="00D22235" w:rsidP="00D22235">
      <w:pPr>
        <w:pStyle w:val="a3"/>
        <w:rPr>
          <w:lang w:val="pl-PL"/>
        </w:rPr>
      </w:pPr>
      <w:r w:rsidRPr="008F328C">
        <w:rPr>
          <w:rFonts w:eastAsia="Times New Roman"/>
          <w:lang w:val="pl-PL"/>
        </w:rPr>
        <w:t xml:space="preserve">Stosowanie antagonistów TNF, w tym adalimumabu, w rzadkich przypadkach wiązano z wystąpieniem lub zaostrzeniem objawów klinicznych i (lub) radiologicznych chorób demielinizacyjnych ośrodkowego układu nerwowego, w tym stwardnienia rozsianego, zapalenia nerwu wzrokowego oraz chorób demielinizacyjnych obwodowego układu nerwowego, w tym zespołu Guillaina-Barrégo. Należy zachować ostrożność rozważając zastosowanie produktu Yuflyma u pacjentów z zaburzeniami demielinizacyjnymi ośrodkowego lub obwodowego układu nerwowego, które występowały wcześniej lub niedawno się </w:t>
      </w:r>
      <w:r w:rsidRPr="008F328C">
        <w:rPr>
          <w:rFonts w:eastAsia="Times New Roman"/>
          <w:lang w:val="pl-PL"/>
        </w:rPr>
        <w:lastRenderedPageBreak/>
        <w:t>ujawniły. Należy rozważyć zaprzestanie podawania produktu Yuflyma, jeśli wystąpi któreś z tych zaburzeń. Wiadomo, że istnieje związek między zapaleniem części pośredniej błony naczyniowej oka, a zaburzeniami demielinizacyjnymi ośrodkowego układu nerwowego. U pacjentów z nieinfekcyjnym zapaleniem części pośredniej błony naczyniowej oka, należy wykonać badanie neurologiczne przed rozpoczęciem leczenia produktem Yuflyma oraz regularnie w trakcie leczenia w celu oceny już występujących lub rozwijających się zaburzeń demielinizacyjnych ośrodkowego układu nerwowego.</w:t>
      </w:r>
    </w:p>
    <w:p w14:paraId="58D982E9" w14:textId="77777777" w:rsidR="00D22235" w:rsidRPr="008F328C" w:rsidRDefault="00D22235" w:rsidP="00D22235">
      <w:pPr>
        <w:spacing w:before="13" w:line="240" w:lineRule="exact"/>
        <w:rPr>
          <w:rFonts w:ascii="Times New Roman" w:hAnsi="Times New Roman" w:cs="Times New Roman"/>
          <w:lang w:val="pl-PL"/>
        </w:rPr>
      </w:pPr>
    </w:p>
    <w:p w14:paraId="2B801543" w14:textId="77777777" w:rsidR="00D22235" w:rsidRPr="008F328C" w:rsidRDefault="00D22235" w:rsidP="00D22235">
      <w:pPr>
        <w:pStyle w:val="a3"/>
        <w:rPr>
          <w:u w:val="single"/>
          <w:lang w:val="pl-PL"/>
        </w:rPr>
      </w:pPr>
      <w:r w:rsidRPr="008F328C">
        <w:rPr>
          <w:rFonts w:eastAsia="Times New Roman"/>
          <w:u w:val="single" w:color="000000"/>
          <w:lang w:val="pl-PL"/>
        </w:rPr>
        <w:t>Reakcje alergiczne</w:t>
      </w:r>
    </w:p>
    <w:p w14:paraId="6BBC8567" w14:textId="77777777" w:rsidR="00D22235" w:rsidRPr="008F328C" w:rsidRDefault="00D22235" w:rsidP="00D22235">
      <w:pPr>
        <w:spacing w:before="9" w:line="170" w:lineRule="exact"/>
        <w:rPr>
          <w:rFonts w:ascii="Times New Roman" w:hAnsi="Times New Roman" w:cs="Times New Roman"/>
          <w:lang w:val="pl-PL"/>
        </w:rPr>
      </w:pPr>
    </w:p>
    <w:p w14:paraId="3A56A6FF" w14:textId="77777777" w:rsidR="00D22235" w:rsidRPr="008F328C" w:rsidRDefault="00D22235" w:rsidP="00D22235">
      <w:pPr>
        <w:pStyle w:val="a3"/>
        <w:rPr>
          <w:lang w:val="pl-PL"/>
        </w:rPr>
      </w:pPr>
      <w:r w:rsidRPr="008F328C">
        <w:rPr>
          <w:rFonts w:eastAsia="Times New Roman"/>
          <w:lang w:val="pl-PL"/>
        </w:rPr>
        <w:t>Ciężkie reakcje alergiczne związane z przyjmowaniem adalimumabu rzadko obserwowano w badaniach klinicznych. Podczas badań klinicznych, niezbyt często obserwowano nieciężkie reakcje alergiczne związane z przyjmowaniem adalimumabu. Informowano o ciężkich reakcjach alergicznych, w tym anafilaksji, po podaniu produktu adalimumabu. W przypadku wystąpienia reakcji anafilaktycznej lub innej ciężkiej reakcji alergicznej, należy natychmiast przerwać podawanie produktu Yuflyma i rozpocząć właściwe leczenie.</w:t>
      </w:r>
    </w:p>
    <w:p w14:paraId="295151BD" w14:textId="77777777" w:rsidR="00D22235" w:rsidRPr="008F328C" w:rsidRDefault="00D22235" w:rsidP="00D22235">
      <w:pPr>
        <w:spacing w:before="13" w:line="240" w:lineRule="exact"/>
        <w:rPr>
          <w:rFonts w:ascii="Times New Roman" w:hAnsi="Times New Roman" w:cs="Times New Roman"/>
          <w:lang w:val="pl-PL"/>
        </w:rPr>
      </w:pPr>
    </w:p>
    <w:p w14:paraId="2FB995FB" w14:textId="77777777" w:rsidR="00D22235" w:rsidRPr="008F328C" w:rsidRDefault="00D22235" w:rsidP="00D22235">
      <w:pPr>
        <w:pStyle w:val="a3"/>
        <w:rPr>
          <w:u w:val="single"/>
          <w:lang w:val="pl-PL"/>
        </w:rPr>
      </w:pPr>
      <w:r w:rsidRPr="008F328C">
        <w:rPr>
          <w:rFonts w:eastAsia="Times New Roman"/>
          <w:u w:val="single" w:color="000000"/>
          <w:lang w:val="pl-PL"/>
        </w:rPr>
        <w:t>Działanie immunosupresyjne</w:t>
      </w:r>
    </w:p>
    <w:p w14:paraId="7DBB7B3F" w14:textId="77777777" w:rsidR="00D22235" w:rsidRPr="008F328C" w:rsidRDefault="00D22235" w:rsidP="00D22235">
      <w:pPr>
        <w:spacing w:before="1" w:line="180" w:lineRule="exact"/>
        <w:rPr>
          <w:rFonts w:ascii="Times New Roman" w:hAnsi="Times New Roman" w:cs="Times New Roman"/>
          <w:lang w:val="pl-PL"/>
        </w:rPr>
      </w:pPr>
    </w:p>
    <w:p w14:paraId="1C742184" w14:textId="77777777" w:rsidR="00D22235" w:rsidRPr="008F328C" w:rsidRDefault="00D22235" w:rsidP="00D22235">
      <w:pPr>
        <w:pStyle w:val="a3"/>
        <w:rPr>
          <w:lang w:val="pl-PL"/>
        </w:rPr>
      </w:pPr>
      <w:r w:rsidRPr="008F328C">
        <w:rPr>
          <w:rFonts w:eastAsia="Times New Roman"/>
          <w:lang w:val="pl-PL"/>
        </w:rPr>
        <w:t>W badaniu 64 pacjentów z reumatoidalnym zapaleniem stawów leczonych adalimumabem nie stwierdzono działania hamującego reakcje nadwrażliwości typu późnego, obniżenia stężenia immunoglobulin lub zmian w liczbie efektorowych komórek T, B, NK, monocytów/makrofagów oraz granulocytów obojętnochłonnych.</w:t>
      </w:r>
    </w:p>
    <w:p w14:paraId="2E3681B9" w14:textId="77777777" w:rsidR="00D22235" w:rsidRPr="008F328C" w:rsidRDefault="00D22235" w:rsidP="00D22235">
      <w:pPr>
        <w:spacing w:before="11" w:line="240" w:lineRule="exact"/>
        <w:rPr>
          <w:rFonts w:ascii="Times New Roman" w:hAnsi="Times New Roman" w:cs="Times New Roman"/>
          <w:lang w:val="pl-PL"/>
        </w:rPr>
      </w:pPr>
    </w:p>
    <w:p w14:paraId="7C1B5598" w14:textId="77777777" w:rsidR="00D22235" w:rsidRPr="008F328C" w:rsidRDefault="00D22235" w:rsidP="00D22235">
      <w:pPr>
        <w:pStyle w:val="a3"/>
        <w:rPr>
          <w:u w:val="single"/>
          <w:lang w:val="pl-PL"/>
        </w:rPr>
      </w:pPr>
      <w:r w:rsidRPr="008F328C">
        <w:rPr>
          <w:rFonts w:eastAsia="Times New Roman"/>
          <w:u w:val="single" w:color="000000"/>
          <w:lang w:val="pl-PL"/>
        </w:rPr>
        <w:t>Nowotwory złośliwe i zaburzenia limfoproliferacyjne</w:t>
      </w:r>
    </w:p>
    <w:p w14:paraId="3FAF9BAF" w14:textId="77777777" w:rsidR="00D22235" w:rsidRPr="008F328C" w:rsidRDefault="00D22235" w:rsidP="00D22235">
      <w:pPr>
        <w:spacing w:before="1" w:line="180" w:lineRule="exact"/>
        <w:rPr>
          <w:rFonts w:ascii="Times New Roman" w:hAnsi="Times New Roman" w:cs="Times New Roman"/>
          <w:lang w:val="pl-PL"/>
        </w:rPr>
      </w:pPr>
    </w:p>
    <w:p w14:paraId="4EF45EF7" w14:textId="77777777" w:rsidR="00D22235" w:rsidRPr="008F328C" w:rsidRDefault="00D22235" w:rsidP="00D22235">
      <w:pPr>
        <w:pStyle w:val="a3"/>
        <w:rPr>
          <w:lang w:val="pl-PL"/>
        </w:rPr>
      </w:pPr>
      <w:r w:rsidRPr="008F328C">
        <w:rPr>
          <w:rFonts w:eastAsia="Times New Roman"/>
          <w:lang w:val="pl-PL"/>
        </w:rPr>
        <w:t>W kontrolowanej części badań klinicznych leków z grupy antagonistów TNF, zaobserwowano więcej przypadków nowotworów złośliwych, w tym chłoniaka u pacjentów otrzymujących lek z grupy antagonistów TNF w porównaniu do pacjentów z grupy kontrolnej. Jednakże przypadki te występowały rzadko. Po wprowadzeniu produktu do obrotu zgłoszono przypadki białaczki u pacjentów leczonych lekami z grupy antagonistów TNF. Ryzyko wystąpienia chłoniaka i białaczki jest większe u pacjentów z reumatoidalnym zapaleniem stawów z długotrwałą wysoce aktywną chorobą zapalną, co komplikuje oszacowanie ryzyka. Przy obecnym stanie wiedzy nie można wykluczyć możliwości ryzyka wystąpienia chłoniaków, białaczki i innych nowotworów złośliwych u pacjentów leczonych produktem z grupy antagonistów TNF.</w:t>
      </w:r>
    </w:p>
    <w:p w14:paraId="0FEC1422" w14:textId="77777777" w:rsidR="00D22235" w:rsidRPr="008F328C" w:rsidRDefault="00D22235" w:rsidP="00D22235">
      <w:pPr>
        <w:spacing w:before="13" w:line="240" w:lineRule="exact"/>
        <w:rPr>
          <w:rFonts w:ascii="Times New Roman" w:hAnsi="Times New Roman" w:cs="Times New Roman"/>
          <w:lang w:val="pl-PL"/>
        </w:rPr>
      </w:pPr>
    </w:p>
    <w:p w14:paraId="6ECD0D21" w14:textId="77777777" w:rsidR="00D22235" w:rsidRPr="008F328C" w:rsidRDefault="00D22235" w:rsidP="00D22235">
      <w:pPr>
        <w:pStyle w:val="a3"/>
        <w:rPr>
          <w:lang w:val="pl-PL"/>
        </w:rPr>
      </w:pPr>
      <w:r w:rsidRPr="008F328C">
        <w:rPr>
          <w:rFonts w:eastAsia="Times New Roman"/>
          <w:lang w:val="pl-PL"/>
        </w:rPr>
        <w:t>Po wprowadzeniu do obrotu odnotowano, wśród dzieci oraz młodzieży i młodych dorosłych (w wieku do 22 lat), których leczono lekami z grupy antagonistów TNF (rozpoczęcie leczenia ≤ 18. roku życia), w tym adalimumabem, nowotwory złośliwe, w niektórych przypadkach powodujące zgon. Około połowę przypadków stanowiły chłoniaki. W pozostałych przypadkach były to rozmaite nowotwory złośliwe, w tym rzadkie nowotwory złośliwe zazwyczaj związane z immunosupresją.. Nie można wykluczyć ryzyka rozwoju nowotworów złośliwych u dzieci i młodzieży leczonych lekami z grupy antagonistów TNF.</w:t>
      </w:r>
    </w:p>
    <w:p w14:paraId="4B7D8E58" w14:textId="77777777" w:rsidR="00D22235" w:rsidRPr="008F328C" w:rsidRDefault="00D22235" w:rsidP="00D22235">
      <w:pPr>
        <w:spacing w:before="11" w:line="240" w:lineRule="exact"/>
        <w:rPr>
          <w:rFonts w:ascii="Times New Roman" w:hAnsi="Times New Roman" w:cs="Times New Roman"/>
          <w:lang w:val="pl-PL"/>
        </w:rPr>
      </w:pPr>
    </w:p>
    <w:p w14:paraId="2ACA9A6A" w14:textId="77777777" w:rsidR="00D22235" w:rsidRPr="008F328C" w:rsidRDefault="00D22235" w:rsidP="00D22235">
      <w:pPr>
        <w:pStyle w:val="a3"/>
        <w:rPr>
          <w:lang w:val="pl-PL"/>
        </w:rPr>
      </w:pPr>
      <w:r w:rsidRPr="008F328C">
        <w:rPr>
          <w:rFonts w:eastAsia="Times New Roman"/>
          <w:lang w:val="pl-PL"/>
        </w:rPr>
        <w:t>Po wprowadzeniu produktu do obrotu stwierdzono rzadkie przypadki chłoniaka T-komórkowego wątrobowo-śledzionowego u pacjentów leczonych adalimumabem. Ten rzadki typ chłoniaka T-komórkowego ma bardzo agresywny przebieg i zazwyczaj powoduje zgon. Niektóre z opisanych chłoniaków T-komórkowych wątrobowo-śledzionowych podczas stosowania adalimumabu wystąpiły u młodych dorosłych pacjentów leczonych równocześnie azatiopryną lub 6-merkaptopuryną z powodu choroby zapalnej jelita. Należy dokładnie rozważyć potencjalne ryzyko związane z jednoczesnym stosowaniem azatiopryny lub 6-merkaptopuryny i produktu Yuflyma. Nie można wykluczyć ryzyka wystąpienia chłoniaka T-komórkowego wątrobowo-śledzionowego u pacjentów leczonych produktem Yuflyma (patrz punkt 4.8).</w:t>
      </w:r>
    </w:p>
    <w:p w14:paraId="3992A32F" w14:textId="77777777" w:rsidR="00D22235" w:rsidRPr="008F328C" w:rsidRDefault="00D22235" w:rsidP="00D22235">
      <w:pPr>
        <w:spacing w:before="11" w:line="240" w:lineRule="exact"/>
        <w:rPr>
          <w:rFonts w:ascii="Times New Roman" w:hAnsi="Times New Roman" w:cs="Times New Roman"/>
          <w:lang w:val="pl-PL"/>
        </w:rPr>
      </w:pPr>
    </w:p>
    <w:p w14:paraId="498B1146" w14:textId="77777777" w:rsidR="00D22235" w:rsidRPr="008F328C" w:rsidRDefault="00D22235" w:rsidP="00D22235">
      <w:pPr>
        <w:pStyle w:val="a3"/>
        <w:rPr>
          <w:lang w:val="pl-PL"/>
        </w:rPr>
      </w:pPr>
      <w:r w:rsidRPr="008F328C">
        <w:rPr>
          <w:rFonts w:eastAsia="Times New Roman"/>
          <w:lang w:val="pl-PL"/>
        </w:rPr>
        <w:t xml:space="preserve">Nie przeprowadzono badań z udziałem pacjentów z nowotworem złośliwym w wywiadzie lub pacjentów, u których kontynuowano leczenie adalimumabem po wystąpieniu nowotworu złośliwego. Z tego względu </w:t>
      </w:r>
      <w:r w:rsidRPr="008F328C">
        <w:rPr>
          <w:rFonts w:eastAsia="Times New Roman"/>
          <w:lang w:val="pl-PL"/>
        </w:rPr>
        <w:lastRenderedPageBreak/>
        <w:t>należy zachować szczególną ostrożność rozważając zastosowanie produktu Yuflyma u tych pacjentów (patrz punkt 4.8).</w:t>
      </w:r>
    </w:p>
    <w:p w14:paraId="7722840A" w14:textId="77777777" w:rsidR="00D22235" w:rsidRPr="008F328C" w:rsidRDefault="00D22235" w:rsidP="00D22235">
      <w:pPr>
        <w:spacing w:before="13" w:line="240" w:lineRule="exact"/>
        <w:rPr>
          <w:rFonts w:ascii="Times New Roman" w:hAnsi="Times New Roman" w:cs="Times New Roman"/>
          <w:lang w:val="pl-PL"/>
        </w:rPr>
      </w:pPr>
    </w:p>
    <w:p w14:paraId="02307D21" w14:textId="77777777" w:rsidR="00D22235" w:rsidRPr="008F328C" w:rsidRDefault="00D22235" w:rsidP="00D22235">
      <w:pPr>
        <w:pStyle w:val="a3"/>
        <w:rPr>
          <w:lang w:val="pl-PL"/>
        </w:rPr>
      </w:pPr>
      <w:r w:rsidRPr="008F328C">
        <w:rPr>
          <w:rFonts w:eastAsia="Times New Roman"/>
          <w:lang w:val="pl-PL"/>
        </w:rPr>
        <w:t>Wszystkich pacjentów, a w szczególności pacjentów z intensywnym leczeniem immunosupresyjnym w wywiadzie lub pacjentów z łuszczycą leczonych w przeszłości metodą PUVA, należy poddać badaniu na obecność raka skóry niebędącego czerniakiem przed rozpoczęciem i w trakcie leczenia produktem Yuflyma. U pacjentów leczonych antagonistami TNF, w tym adalimumabem, informowano również o czerniaku i raku z komórek Merkla (patrz punkt 4.8).</w:t>
      </w:r>
    </w:p>
    <w:p w14:paraId="193D1A75" w14:textId="77777777" w:rsidR="00D22235" w:rsidRPr="008F328C" w:rsidRDefault="00D22235" w:rsidP="00D22235">
      <w:pPr>
        <w:spacing w:before="13" w:line="240" w:lineRule="exact"/>
        <w:rPr>
          <w:rFonts w:ascii="Times New Roman" w:hAnsi="Times New Roman" w:cs="Times New Roman"/>
          <w:lang w:val="pl-PL"/>
        </w:rPr>
      </w:pPr>
    </w:p>
    <w:p w14:paraId="582CA836" w14:textId="77777777" w:rsidR="00D22235" w:rsidRPr="008F328C" w:rsidRDefault="00D22235" w:rsidP="00D22235">
      <w:pPr>
        <w:pStyle w:val="a3"/>
        <w:rPr>
          <w:lang w:val="pl-PL"/>
        </w:rPr>
      </w:pPr>
      <w:r w:rsidRPr="008F328C">
        <w:rPr>
          <w:rFonts w:eastAsia="Times New Roman"/>
          <w:lang w:val="pl-PL"/>
        </w:rPr>
        <w:t>W rozpoznawczym badaniu klinicznym oceniającym stosowanie infliksymabu – innego antagonisty TNF, u pacjentów z przewlekłą obturacyjną chorobą płuc (POChP) o nasileniu umiarkowanym do ciężkiego, informowano o większej liczbie nowotworów złośliwych, głównie płuc lub głowy i szyi, u pacjentów leczonych infliksymabem w porównaniu do pacjentów z grupy kontrolnej. Wszyscy pacjenci byli nałogowymi palaczami. Należy zatem zachować ostrożność podczas stosowania jakiegokolwiek antagonisty TNF u pacjentów z POChP oraz u pacjentów – nałogowych palaczy, u których ryzyko wystąpienia nowotworu złośliwego jest zwiększone.</w:t>
      </w:r>
    </w:p>
    <w:p w14:paraId="443E08D1" w14:textId="77777777" w:rsidR="00D22235" w:rsidRPr="008F328C" w:rsidRDefault="00D22235" w:rsidP="00D22235">
      <w:pPr>
        <w:spacing w:before="11" w:line="240" w:lineRule="exact"/>
        <w:rPr>
          <w:rFonts w:ascii="Times New Roman" w:hAnsi="Times New Roman" w:cs="Times New Roman"/>
          <w:lang w:val="pl-PL"/>
        </w:rPr>
      </w:pPr>
    </w:p>
    <w:p w14:paraId="1AE514AB" w14:textId="77777777" w:rsidR="00D22235" w:rsidRPr="008F328C" w:rsidRDefault="00D22235" w:rsidP="00D22235">
      <w:pPr>
        <w:pStyle w:val="a3"/>
        <w:rPr>
          <w:lang w:val="pl-PL"/>
        </w:rPr>
      </w:pPr>
      <w:r w:rsidRPr="008F328C">
        <w:rPr>
          <w:rFonts w:eastAsia="Times New Roman"/>
          <w:lang w:val="pl-PL"/>
        </w:rPr>
        <w:t>Na podstawie dostępnych obecnie danych nie można stwierdzić, czy leczenie adalimumabem zwiększa ryzyko rozwinięcia się dysplazji lub raka jelita grubego. Wszystkich pacjentów z wrzodziejącym zapaleniem jelita grubego i ze zwiększonym ryzykiem dysplazji lub raka jelita grubego (na przykład, pacjentów z długotrwałym wrzodziejącym zapaleniem jelita grubego lub pierwotnym stwardniającym zapaleniem dróg żółciowych) lub pacjentów z dysplazją lub rakiem jelita grubego w przeszłości, przed leczeniem i przez cały okres choroby należy poddawać w regularnych odstępach czasu badaniom przesiewowym w kierunku dysplazji. Taka ocena powinna obejmować kolonoskopię oraz wykonanie biopsji zgodnie z zaleceniami obowiązującymi w danym kraju.</w:t>
      </w:r>
    </w:p>
    <w:p w14:paraId="61569652" w14:textId="77777777" w:rsidR="00D22235" w:rsidRPr="008F328C" w:rsidRDefault="00D22235" w:rsidP="00D22235">
      <w:pPr>
        <w:spacing w:before="13" w:line="240" w:lineRule="exact"/>
        <w:rPr>
          <w:rFonts w:ascii="Times New Roman" w:hAnsi="Times New Roman" w:cs="Times New Roman"/>
          <w:lang w:val="pl-PL"/>
        </w:rPr>
      </w:pPr>
    </w:p>
    <w:p w14:paraId="51D1BC74" w14:textId="77777777" w:rsidR="00D22235" w:rsidRPr="008F328C" w:rsidRDefault="00D22235" w:rsidP="00D22235">
      <w:pPr>
        <w:pStyle w:val="a3"/>
        <w:rPr>
          <w:u w:val="single"/>
          <w:lang w:val="pl-PL"/>
        </w:rPr>
      </w:pPr>
      <w:r w:rsidRPr="008F328C">
        <w:rPr>
          <w:rFonts w:eastAsia="Times New Roman"/>
          <w:u w:val="single" w:color="000000"/>
          <w:lang w:val="pl-PL"/>
        </w:rPr>
        <w:t>Reakcje hematologiczne</w:t>
      </w:r>
    </w:p>
    <w:p w14:paraId="763780DC" w14:textId="77777777" w:rsidR="00D22235" w:rsidRPr="008F328C" w:rsidRDefault="00D22235" w:rsidP="00D22235">
      <w:pPr>
        <w:spacing w:before="1" w:line="180" w:lineRule="exact"/>
        <w:rPr>
          <w:rFonts w:ascii="Times New Roman" w:hAnsi="Times New Roman" w:cs="Times New Roman"/>
          <w:lang w:val="pl-PL"/>
        </w:rPr>
      </w:pPr>
    </w:p>
    <w:p w14:paraId="4A576624" w14:textId="77777777" w:rsidR="00D22235" w:rsidRPr="008F328C" w:rsidRDefault="00D22235" w:rsidP="00D22235">
      <w:pPr>
        <w:pStyle w:val="a3"/>
        <w:rPr>
          <w:lang w:val="pl-PL"/>
        </w:rPr>
      </w:pPr>
      <w:r w:rsidRPr="008F328C">
        <w:rPr>
          <w:rFonts w:eastAsia="Times New Roman"/>
          <w:lang w:val="pl-PL"/>
        </w:rPr>
        <w:t>W rzadkich przypadkach informowano o pancytopenii, w tym niedokrwistości aplastycznej w związku ze stosowaniem antagonistów TNF. Podczas stosowania adalimumabu zgłaszano zdarzenia niepożądane ze strony układu hematologicznego, w tym istotny z medycznego punktu widzenia niedobór krwinek (np. trombocytopenia, leukopenia). Wszystkim pacjentom stosującym produkt Yuflyma należy zalecić, aby natychmiast zgłaszali się do lekarza w przypadku pojawienia się objawów przedmiotowych i podmiotowych wskazujących na skazy krwotoczne (np. utrzymująca się gorączka, wylewy podskórne, krwawienie, bladość). Należy rozważyć zaprzestanie leczenia produktem Yuflyma u pacjentów z potwierdzonymi, istotnymi zaburzeniami hematologicznymi.</w:t>
      </w:r>
    </w:p>
    <w:p w14:paraId="15F6546A" w14:textId="77777777" w:rsidR="00D22235" w:rsidRPr="008F328C" w:rsidRDefault="00D22235" w:rsidP="00D22235">
      <w:pPr>
        <w:pStyle w:val="a3"/>
        <w:rPr>
          <w:lang w:val="pl-PL"/>
        </w:rPr>
      </w:pPr>
    </w:p>
    <w:p w14:paraId="2611181D" w14:textId="77777777" w:rsidR="00D22235" w:rsidRPr="008F328C" w:rsidRDefault="00D22235" w:rsidP="00D22235">
      <w:pPr>
        <w:pStyle w:val="a3"/>
        <w:rPr>
          <w:u w:val="single"/>
          <w:lang w:val="pl-PL"/>
        </w:rPr>
      </w:pPr>
      <w:r w:rsidRPr="008F328C">
        <w:rPr>
          <w:rFonts w:eastAsia="Times New Roman"/>
          <w:u w:val="single" w:color="000000"/>
          <w:lang w:val="pl-PL"/>
        </w:rPr>
        <w:t>Szczepienia</w:t>
      </w:r>
    </w:p>
    <w:p w14:paraId="78D6CD73" w14:textId="77777777" w:rsidR="00D22235" w:rsidRPr="008F328C" w:rsidRDefault="00D22235" w:rsidP="00D22235">
      <w:pPr>
        <w:spacing w:before="1" w:line="180" w:lineRule="exact"/>
        <w:rPr>
          <w:rFonts w:ascii="Times New Roman" w:hAnsi="Times New Roman" w:cs="Times New Roman"/>
          <w:lang w:val="pl-PL"/>
        </w:rPr>
      </w:pPr>
    </w:p>
    <w:p w14:paraId="6394A877" w14:textId="77777777" w:rsidR="00D22235" w:rsidRPr="008F328C" w:rsidRDefault="00D22235" w:rsidP="00D22235">
      <w:pPr>
        <w:pStyle w:val="a3"/>
        <w:rPr>
          <w:lang w:val="pl-PL"/>
        </w:rPr>
      </w:pPr>
      <w:r w:rsidRPr="008F328C">
        <w:rPr>
          <w:rFonts w:eastAsia="Times New Roman"/>
          <w:lang w:val="pl-PL"/>
        </w:rPr>
        <w:t>Podobne reakcje przeciwciał na standardową 23-walentną szczepionkę przeciw pneumokokom oraz triwalentną szczepionkę przeciw grypie zaobserwowano w badaniu przeprowadzonym u 226 dorosłych pacjentów z reumatoidalnym zapaleniem stawów, których leczono adalimumabem lub placebo. Brak jest informacji odnośnie wtórnego przenoszenia zakażenia przez żywe szczepionki u pacjentów otrzymujących adalimumab.</w:t>
      </w:r>
    </w:p>
    <w:p w14:paraId="590FC874" w14:textId="77777777" w:rsidR="00D22235" w:rsidRPr="008F328C" w:rsidRDefault="00D22235" w:rsidP="00D22235">
      <w:pPr>
        <w:spacing w:before="17" w:line="240" w:lineRule="exact"/>
        <w:rPr>
          <w:rFonts w:ascii="Times New Roman" w:hAnsi="Times New Roman" w:cs="Times New Roman"/>
          <w:lang w:val="pl-PL"/>
        </w:rPr>
      </w:pPr>
    </w:p>
    <w:p w14:paraId="4D89E135" w14:textId="77777777" w:rsidR="00D22235" w:rsidRPr="008F328C" w:rsidRDefault="00D22235" w:rsidP="00D22235">
      <w:pPr>
        <w:pStyle w:val="a3"/>
        <w:rPr>
          <w:lang w:val="pl-PL"/>
        </w:rPr>
      </w:pPr>
      <w:r w:rsidRPr="008F328C">
        <w:rPr>
          <w:rFonts w:eastAsia="Times New Roman"/>
          <w:spacing w:val="-4"/>
          <w:lang w:val="pl-PL"/>
        </w:rPr>
        <w:t>Zaleca się, aby u dzieci, jeśli to możliwe, przed rozpoczęciem leczenia produktem Yuflyma przeprowadzono wszystkie szczepienia zgodnie z obowiązującym kalendarzem szczepień.</w:t>
      </w:r>
    </w:p>
    <w:p w14:paraId="3D918AA4" w14:textId="77777777" w:rsidR="00D22235" w:rsidRPr="008F328C" w:rsidRDefault="00D22235" w:rsidP="00D22235">
      <w:pPr>
        <w:spacing w:before="11" w:line="240" w:lineRule="exact"/>
        <w:rPr>
          <w:rFonts w:ascii="Times New Roman" w:hAnsi="Times New Roman" w:cs="Times New Roman"/>
          <w:lang w:val="pl-PL"/>
        </w:rPr>
      </w:pPr>
    </w:p>
    <w:p w14:paraId="13808DFF" w14:textId="77777777" w:rsidR="00D22235" w:rsidRPr="008F328C" w:rsidRDefault="00D22235" w:rsidP="00D22235">
      <w:pPr>
        <w:pStyle w:val="a3"/>
        <w:rPr>
          <w:lang w:val="pl-PL"/>
        </w:rPr>
      </w:pPr>
      <w:r w:rsidRPr="008F328C">
        <w:rPr>
          <w:rFonts w:eastAsia="Times New Roman"/>
          <w:lang w:val="pl-PL"/>
        </w:rPr>
        <w:t>Pacjenci leczeni produktem Yuflyma mogą jednocześnie otrzymywać szczepionki, z wyjątkiem szczepionek żywych. U niemowląt narażonych na adalimumab w okresie życia płodowego nie zaleca się podawania żywych szczepionek (np. szczepionki przeciwgruźliczej, BCG) przez okres 5 miesięcy od przyjęcia przez matkę ostatniej dawki adalimumabu w okresie ciąży.</w:t>
      </w:r>
    </w:p>
    <w:p w14:paraId="45D43000" w14:textId="77777777" w:rsidR="00D22235" w:rsidRPr="008F328C" w:rsidRDefault="00D22235" w:rsidP="00D22235">
      <w:pPr>
        <w:spacing w:before="13" w:line="240" w:lineRule="exact"/>
        <w:rPr>
          <w:rFonts w:ascii="Times New Roman" w:hAnsi="Times New Roman" w:cs="Times New Roman"/>
          <w:lang w:val="pl-PL"/>
        </w:rPr>
      </w:pPr>
    </w:p>
    <w:p w14:paraId="78424AF6" w14:textId="77777777" w:rsidR="00D22235" w:rsidRPr="008F328C" w:rsidRDefault="00D22235" w:rsidP="00D22235">
      <w:pPr>
        <w:pStyle w:val="a3"/>
        <w:rPr>
          <w:u w:val="single"/>
          <w:lang w:val="pl-PL"/>
        </w:rPr>
      </w:pPr>
      <w:r w:rsidRPr="008F328C">
        <w:rPr>
          <w:rFonts w:eastAsia="Times New Roman"/>
          <w:u w:val="single" w:color="000000"/>
          <w:lang w:val="pl-PL"/>
        </w:rPr>
        <w:t>Zastoinowa niewydolność serca</w:t>
      </w:r>
    </w:p>
    <w:p w14:paraId="2242ACD7" w14:textId="77777777" w:rsidR="00D22235" w:rsidRPr="008F328C" w:rsidRDefault="00D22235" w:rsidP="00D22235">
      <w:pPr>
        <w:spacing w:before="1" w:line="180" w:lineRule="exact"/>
        <w:rPr>
          <w:rFonts w:ascii="Times New Roman" w:hAnsi="Times New Roman" w:cs="Times New Roman"/>
          <w:lang w:val="pl-PL"/>
        </w:rPr>
      </w:pPr>
    </w:p>
    <w:p w14:paraId="72ED761D" w14:textId="77777777" w:rsidR="00D22235" w:rsidRPr="008F328C" w:rsidRDefault="00D22235" w:rsidP="00D22235">
      <w:pPr>
        <w:pStyle w:val="a3"/>
        <w:rPr>
          <w:lang w:val="pl-PL"/>
        </w:rPr>
      </w:pPr>
      <w:r w:rsidRPr="008F328C">
        <w:rPr>
          <w:rFonts w:eastAsia="Times New Roman"/>
          <w:lang w:val="pl-PL"/>
        </w:rPr>
        <w:t>W badaniu klinicznym innego antagonisty TNF zaobserwowano nasilenie zastoinowej niewydolności serca i zwiększoną śmiertelność w wyniku zastoinowej niewydolności serca. U pacjentów otrzymujących adalimumab informowano również o przypadkach pogorszenia zastoinowej niewydolności serca. Należy zachować ostrożność, stosując produkt Yuflyma u pacjentów z łagodną niewydolnością serca (klasa I/II wg NYHA). Yuflyma jest przeciwwskazana w umiarkowanej do ciężkiej niewydolności serca (patrz punkt 4.3). Należy przerwać leczenie produktem Yuflyma u pacjentów, u których pojawiły się nowe objawy zastoinowej niewydolności serca lub wystąpiło pogorszenie istniejących objawów.</w:t>
      </w:r>
    </w:p>
    <w:p w14:paraId="1AD937B7" w14:textId="77777777" w:rsidR="00D22235" w:rsidRPr="008F328C" w:rsidRDefault="00D22235" w:rsidP="00D22235">
      <w:pPr>
        <w:spacing w:before="13" w:line="240" w:lineRule="exact"/>
        <w:rPr>
          <w:rFonts w:ascii="Times New Roman" w:hAnsi="Times New Roman" w:cs="Times New Roman"/>
          <w:lang w:val="pl-PL"/>
        </w:rPr>
      </w:pPr>
    </w:p>
    <w:p w14:paraId="1A3B20A7" w14:textId="77777777" w:rsidR="00D22235" w:rsidRPr="008F328C" w:rsidRDefault="00D22235" w:rsidP="00D22235">
      <w:pPr>
        <w:pStyle w:val="a3"/>
        <w:rPr>
          <w:u w:val="single"/>
          <w:lang w:val="pl-PL"/>
        </w:rPr>
      </w:pPr>
      <w:r w:rsidRPr="008F328C">
        <w:rPr>
          <w:rFonts w:eastAsia="Times New Roman"/>
          <w:u w:val="single" w:color="000000"/>
          <w:lang w:val="pl-PL"/>
        </w:rPr>
        <w:t>Procesy autoimmunologiczne</w:t>
      </w:r>
    </w:p>
    <w:p w14:paraId="696070D8" w14:textId="77777777" w:rsidR="00D22235" w:rsidRPr="008F328C" w:rsidRDefault="00D22235" w:rsidP="00D22235">
      <w:pPr>
        <w:spacing w:before="9" w:line="170" w:lineRule="exact"/>
        <w:rPr>
          <w:rFonts w:ascii="Times New Roman" w:hAnsi="Times New Roman" w:cs="Times New Roman"/>
          <w:lang w:val="pl-PL"/>
        </w:rPr>
      </w:pPr>
    </w:p>
    <w:p w14:paraId="33D607EE" w14:textId="77777777" w:rsidR="00D22235" w:rsidRPr="008F328C" w:rsidRDefault="00D22235" w:rsidP="00D22235">
      <w:pPr>
        <w:pStyle w:val="a3"/>
        <w:rPr>
          <w:lang w:val="pl-PL"/>
        </w:rPr>
      </w:pPr>
      <w:r w:rsidRPr="008F328C">
        <w:rPr>
          <w:rFonts w:eastAsia="Times New Roman"/>
          <w:lang w:val="pl-PL"/>
        </w:rPr>
        <w:t>Leczenie produktem Yuflyma może powodować powstawanie autoprzeciwciał. Nie wiadomo, jaki może być wpływ długookresowego leczenia adalimumabem na rozwój chorób autoimmunologicznych. Jeśli po leczeniu produktem Yuflyma u pacjenta wystąpią objawy wskazujące na zespół toczniopodobny i oznaczenie przeciwciał przeciw dwuniciowemu DNA jest dodatnie, nie należy kontynuować leczenia produktem Yuflyma (patrz punkt 4.8).</w:t>
      </w:r>
    </w:p>
    <w:p w14:paraId="34FAF9CC" w14:textId="77777777" w:rsidR="00D22235" w:rsidRPr="008F328C" w:rsidRDefault="00D22235" w:rsidP="00D22235">
      <w:pPr>
        <w:spacing w:before="13" w:line="240" w:lineRule="exact"/>
        <w:rPr>
          <w:rFonts w:ascii="Times New Roman" w:hAnsi="Times New Roman" w:cs="Times New Roman"/>
          <w:u w:val="single"/>
          <w:lang w:val="pl-PL"/>
        </w:rPr>
      </w:pPr>
    </w:p>
    <w:p w14:paraId="1B4DD3C3" w14:textId="77777777" w:rsidR="00D22235" w:rsidRPr="008F328C" w:rsidRDefault="00D22235" w:rsidP="00D22235">
      <w:pPr>
        <w:pStyle w:val="a3"/>
        <w:rPr>
          <w:u w:val="single"/>
          <w:lang w:val="pl-PL"/>
        </w:rPr>
      </w:pPr>
      <w:r w:rsidRPr="008F328C">
        <w:rPr>
          <w:rFonts w:eastAsia="Times New Roman"/>
          <w:u w:val="single" w:color="000000"/>
          <w:lang w:val="pl-PL"/>
        </w:rPr>
        <w:t xml:space="preserve"> Równoczesne podawanie biologicznych DMARDs lub antagonistów TNF</w:t>
      </w:r>
    </w:p>
    <w:p w14:paraId="13C1B2B7" w14:textId="77777777" w:rsidR="00D22235" w:rsidRPr="008F328C" w:rsidRDefault="00D22235" w:rsidP="00D22235">
      <w:pPr>
        <w:spacing w:before="1" w:line="180" w:lineRule="exact"/>
        <w:rPr>
          <w:rFonts w:ascii="Times New Roman" w:hAnsi="Times New Roman" w:cs="Times New Roman"/>
          <w:lang w:val="pl-PL"/>
        </w:rPr>
      </w:pPr>
    </w:p>
    <w:p w14:paraId="08F1C5EA" w14:textId="77777777" w:rsidR="00D22235" w:rsidRPr="008F328C" w:rsidRDefault="00D22235" w:rsidP="00D22235">
      <w:pPr>
        <w:pStyle w:val="a3"/>
        <w:rPr>
          <w:lang w:val="pl-PL"/>
        </w:rPr>
      </w:pPr>
      <w:r w:rsidRPr="008F328C">
        <w:rPr>
          <w:rFonts w:eastAsia="Times New Roman"/>
          <w:lang w:val="pl-PL"/>
        </w:rPr>
        <w:t>Ciężkie zakażenia obserwowano podczas badań klinicznych, w których podawano równocześnie anakinrę i etanercept, będący innym antagonistą TNF, bez dodatkowych korzyści klinicznych w porównaniu do stosowania wyłącznie etanerceptu. Ze względu na charakter zdarzeń niepożądanych obserwowanych podczas leczenia skojarzonego etanerceptem i anakinrą, podobne działanie toksyczne może wystąpić w wyniku stosowania anakinry w połączeniu z innymi antagonistami TNF. Nie zaleca się zatem stosowania adalimumabu w skojarzeniu z anakinrą (patrz punkt 4.5).</w:t>
      </w:r>
    </w:p>
    <w:p w14:paraId="3E4254A9" w14:textId="77777777" w:rsidR="00D22235" w:rsidRPr="008F328C" w:rsidRDefault="00D22235" w:rsidP="00D22235">
      <w:pPr>
        <w:spacing w:before="14" w:line="240" w:lineRule="exact"/>
        <w:rPr>
          <w:rFonts w:ascii="Times New Roman" w:hAnsi="Times New Roman" w:cs="Times New Roman"/>
          <w:lang w:val="pl-PL"/>
        </w:rPr>
      </w:pPr>
    </w:p>
    <w:p w14:paraId="11B6A925" w14:textId="77777777" w:rsidR="00D22235" w:rsidRPr="008F328C" w:rsidRDefault="00D22235" w:rsidP="00D22235">
      <w:pPr>
        <w:pStyle w:val="a3"/>
        <w:rPr>
          <w:lang w:val="pl-PL"/>
        </w:rPr>
      </w:pPr>
      <w:r w:rsidRPr="008F328C">
        <w:rPr>
          <w:rFonts w:eastAsia="Times New Roman"/>
          <w:lang w:val="pl-PL"/>
        </w:rPr>
        <w:t>Nie zaleca się równoczesnego podawania adalimumabu z innymi biologicznymi DMARDs (np. anakinra i abatacept) lub innymi antagonistami TNF ze względu na możliwość zwiększonego ryzyka zakażeń, w tym ciężkich zakażeń i innych potencjalnych interakcji farmakologicznych (patrz punkt 4.5).</w:t>
      </w:r>
    </w:p>
    <w:p w14:paraId="2783AA70" w14:textId="77777777" w:rsidR="00D22235" w:rsidRPr="008F328C" w:rsidRDefault="00D22235" w:rsidP="00D22235">
      <w:pPr>
        <w:spacing w:before="13" w:line="240" w:lineRule="exact"/>
        <w:rPr>
          <w:rFonts w:ascii="Times New Roman" w:hAnsi="Times New Roman" w:cs="Times New Roman"/>
          <w:lang w:val="pl-PL"/>
        </w:rPr>
      </w:pPr>
    </w:p>
    <w:p w14:paraId="012E54CC" w14:textId="77777777" w:rsidR="00D22235" w:rsidRPr="008F328C" w:rsidRDefault="00D22235" w:rsidP="00D22235">
      <w:pPr>
        <w:pStyle w:val="a3"/>
        <w:rPr>
          <w:u w:val="single"/>
          <w:lang w:val="pl-PL"/>
        </w:rPr>
      </w:pPr>
      <w:r w:rsidRPr="008F328C">
        <w:rPr>
          <w:rFonts w:eastAsia="Times New Roman"/>
          <w:u w:val="single" w:color="000000"/>
          <w:lang w:val="pl-PL"/>
        </w:rPr>
        <w:t>Operacje chirurgiczne</w:t>
      </w:r>
    </w:p>
    <w:p w14:paraId="6977BBDF" w14:textId="77777777" w:rsidR="00D22235" w:rsidRPr="008F328C" w:rsidRDefault="00D22235" w:rsidP="00D22235">
      <w:pPr>
        <w:spacing w:before="1" w:line="180" w:lineRule="exact"/>
        <w:rPr>
          <w:rFonts w:ascii="Times New Roman" w:hAnsi="Times New Roman" w:cs="Times New Roman"/>
          <w:lang w:val="pl-PL"/>
        </w:rPr>
      </w:pPr>
    </w:p>
    <w:p w14:paraId="316F48D5" w14:textId="77777777" w:rsidR="00D22235" w:rsidRPr="008F328C" w:rsidRDefault="00D22235" w:rsidP="00D22235">
      <w:pPr>
        <w:pStyle w:val="a3"/>
        <w:rPr>
          <w:lang w:val="pl-PL"/>
        </w:rPr>
      </w:pPr>
      <w:r w:rsidRPr="008F328C">
        <w:rPr>
          <w:rFonts w:eastAsia="Times New Roman"/>
          <w:lang w:val="pl-PL"/>
        </w:rPr>
        <w:t>Doświadczenie dotyczące bezpieczeństwa zabiegów chirurgicznych u pacjentów leczonych adalimumabemm jest ograniczone. W razie planowania zabiegu chirurgicznego należy uwzględnić długi okres półtrwania adalimumabu. Pacjenta, który wymaga zabiegu chirurgicznego w okresie leczenia produktem należy poddać dokładnej obserwacji w celu wykluczenia obecności zakażenia oraz podjąć odpowiednie postpowanie. Doświadczenie dotyczące bezpieczeństwa wykonywania artroplastyki u pacjentów otrzymujących adalimumab jest ograniczone.</w:t>
      </w:r>
    </w:p>
    <w:p w14:paraId="1549EB1F" w14:textId="77777777" w:rsidR="00D22235" w:rsidRPr="008F328C" w:rsidRDefault="00D22235" w:rsidP="00D22235">
      <w:pPr>
        <w:pStyle w:val="a3"/>
        <w:rPr>
          <w:u w:color="000000"/>
          <w:lang w:val="pl-PL"/>
        </w:rPr>
      </w:pPr>
    </w:p>
    <w:p w14:paraId="4FCDD2A3" w14:textId="77777777" w:rsidR="00D22235" w:rsidRPr="008F328C" w:rsidRDefault="00D22235" w:rsidP="00D22235">
      <w:pPr>
        <w:pStyle w:val="a3"/>
        <w:rPr>
          <w:u w:val="single"/>
          <w:lang w:val="pl-PL"/>
        </w:rPr>
      </w:pPr>
      <w:r w:rsidRPr="008F328C">
        <w:rPr>
          <w:rFonts w:eastAsia="Times New Roman"/>
          <w:u w:val="single" w:color="000000"/>
          <w:lang w:val="pl-PL"/>
        </w:rPr>
        <w:t>Niedrożność jelita cienkiego</w:t>
      </w:r>
    </w:p>
    <w:p w14:paraId="261690E8" w14:textId="77777777" w:rsidR="00D22235" w:rsidRPr="008F328C" w:rsidRDefault="00D22235" w:rsidP="00D22235">
      <w:pPr>
        <w:pStyle w:val="a3"/>
        <w:rPr>
          <w:lang w:val="pl-PL"/>
        </w:rPr>
      </w:pPr>
    </w:p>
    <w:p w14:paraId="4AC1D804" w14:textId="77777777" w:rsidR="00D22235" w:rsidRPr="008F328C" w:rsidRDefault="00D22235" w:rsidP="00D22235">
      <w:pPr>
        <w:pStyle w:val="a3"/>
        <w:rPr>
          <w:lang w:val="pl-PL"/>
        </w:rPr>
      </w:pPr>
      <w:r w:rsidRPr="008F328C">
        <w:rPr>
          <w:rFonts w:eastAsia="Times New Roman"/>
          <w:lang w:val="pl-PL"/>
        </w:rPr>
        <w:t>Brak odpowiedzi na leczenie choroby Leśniowskiego-Crohna może wskazywać na obecność trwałego, zwłókniałego zwężenia, które może wymagać leczenia chirurgicznego. Dostępne dane wskazują, że adalimumab nie pogarsza zwężeń, ani ich nie powoduje.</w:t>
      </w:r>
    </w:p>
    <w:p w14:paraId="0988F317" w14:textId="77777777" w:rsidR="00D22235" w:rsidRPr="008F328C" w:rsidRDefault="00D22235" w:rsidP="00D22235">
      <w:pPr>
        <w:spacing w:before="13" w:line="240" w:lineRule="exact"/>
        <w:rPr>
          <w:rFonts w:ascii="Times New Roman" w:hAnsi="Times New Roman" w:cs="Times New Roman"/>
          <w:lang w:val="pl-PL"/>
        </w:rPr>
      </w:pPr>
    </w:p>
    <w:p w14:paraId="65E26077" w14:textId="77777777" w:rsidR="00D22235" w:rsidRPr="008F328C" w:rsidRDefault="00D22235" w:rsidP="00D22235">
      <w:pPr>
        <w:pStyle w:val="a3"/>
        <w:rPr>
          <w:u w:val="single"/>
          <w:lang w:val="pl-PL"/>
        </w:rPr>
      </w:pPr>
      <w:r w:rsidRPr="008F328C">
        <w:rPr>
          <w:rFonts w:eastAsia="Times New Roman"/>
          <w:u w:val="single" w:color="000000"/>
          <w:lang w:val="pl-PL"/>
        </w:rPr>
        <w:t>Pacjenci w podeszłym wieku</w:t>
      </w:r>
    </w:p>
    <w:p w14:paraId="389BAE64" w14:textId="77777777" w:rsidR="00D22235" w:rsidRPr="008F328C" w:rsidRDefault="00D22235" w:rsidP="00D22235">
      <w:pPr>
        <w:spacing w:before="9" w:line="170" w:lineRule="exact"/>
        <w:rPr>
          <w:rFonts w:ascii="Times New Roman" w:hAnsi="Times New Roman" w:cs="Times New Roman"/>
          <w:lang w:val="pl-PL"/>
        </w:rPr>
      </w:pPr>
    </w:p>
    <w:p w14:paraId="477E0127" w14:textId="77777777" w:rsidR="00D22235" w:rsidRPr="008F328C" w:rsidRDefault="00D22235" w:rsidP="00D22235">
      <w:pPr>
        <w:pStyle w:val="a3"/>
        <w:rPr>
          <w:lang w:val="pl-PL"/>
        </w:rPr>
      </w:pPr>
      <w:r w:rsidRPr="008F328C">
        <w:rPr>
          <w:rFonts w:eastAsia="Times New Roman"/>
          <w:lang w:val="pl-PL"/>
        </w:rPr>
        <w:t>Częstość występowania ciężkich zakażeń u leczonych adalimumabem pacjentów powyżej 65 rż. (3,7%) była większa, niż u pacjentów poniżej 65 rż. (1,5%). Niektóre z zakażeń powodowały zgon. Podczas leczenia pacjentów w podeszłym wieku należy zwrócić szczególną uwagę na ryzyko zakażenia.</w:t>
      </w:r>
    </w:p>
    <w:p w14:paraId="47FF124E" w14:textId="77777777" w:rsidR="00D22235" w:rsidRPr="008F328C" w:rsidRDefault="00D22235" w:rsidP="00D22235">
      <w:pPr>
        <w:spacing w:before="11" w:line="240" w:lineRule="exact"/>
        <w:rPr>
          <w:rFonts w:ascii="Times New Roman" w:hAnsi="Times New Roman" w:cs="Times New Roman"/>
          <w:lang w:val="pl-PL"/>
        </w:rPr>
      </w:pPr>
    </w:p>
    <w:p w14:paraId="1F6E0BB6" w14:textId="77777777" w:rsidR="00D22235" w:rsidRPr="008F328C" w:rsidRDefault="00D22235" w:rsidP="00D22235">
      <w:pPr>
        <w:pStyle w:val="a3"/>
        <w:rPr>
          <w:u w:val="single"/>
          <w:lang w:val="pl-PL"/>
        </w:rPr>
      </w:pPr>
      <w:r w:rsidRPr="008F328C">
        <w:rPr>
          <w:rFonts w:eastAsia="Times New Roman"/>
          <w:u w:val="single" w:color="000000"/>
          <w:lang w:val="pl-PL"/>
        </w:rPr>
        <w:t>Dzieci i młodzież</w:t>
      </w:r>
    </w:p>
    <w:p w14:paraId="5BC402A2" w14:textId="77777777" w:rsidR="00D22235" w:rsidRPr="008F328C" w:rsidRDefault="00D22235" w:rsidP="00D22235">
      <w:pPr>
        <w:spacing w:before="1" w:line="180" w:lineRule="exact"/>
        <w:rPr>
          <w:rFonts w:ascii="Times New Roman" w:hAnsi="Times New Roman" w:cs="Times New Roman"/>
          <w:lang w:val="pl-PL"/>
        </w:rPr>
      </w:pPr>
    </w:p>
    <w:p w14:paraId="09A5DF91" w14:textId="77777777" w:rsidR="00D22235" w:rsidRPr="008F328C" w:rsidRDefault="00D22235" w:rsidP="00D22235">
      <w:pPr>
        <w:pStyle w:val="a3"/>
        <w:rPr>
          <w:lang w:val="pl-PL"/>
        </w:rPr>
      </w:pPr>
      <w:r w:rsidRPr="008F328C">
        <w:rPr>
          <w:rFonts w:eastAsia="Times New Roman"/>
          <w:lang w:val="pl-PL"/>
        </w:rPr>
        <w:t>Patrz „Szczepienia” powyżej.</w:t>
      </w:r>
    </w:p>
    <w:p w14:paraId="3B7E6191" w14:textId="77777777" w:rsidR="00D22235" w:rsidRPr="008F328C" w:rsidRDefault="00D22235" w:rsidP="00D22235">
      <w:pPr>
        <w:pStyle w:val="a3"/>
        <w:rPr>
          <w:lang w:val="pl-PL"/>
        </w:rPr>
      </w:pPr>
    </w:p>
    <w:p w14:paraId="7A71D1BD" w14:textId="77777777" w:rsidR="00D22235" w:rsidRPr="008F328C" w:rsidRDefault="00D22235" w:rsidP="00D22235">
      <w:pPr>
        <w:pStyle w:val="a3"/>
        <w:rPr>
          <w:u w:val="single"/>
          <w:lang w:val="pl-PL"/>
        </w:rPr>
      </w:pPr>
      <w:r w:rsidRPr="008F328C">
        <w:rPr>
          <w:rFonts w:eastAsia="Times New Roman"/>
          <w:u w:val="single" w:color="000000"/>
          <w:lang w:val="pl-PL"/>
        </w:rPr>
        <w:lastRenderedPageBreak/>
        <w:t>Zawartość sodu</w:t>
      </w:r>
    </w:p>
    <w:p w14:paraId="7B88263C" w14:textId="77777777" w:rsidR="00D22235" w:rsidRPr="008F328C" w:rsidRDefault="00D22235" w:rsidP="00D22235">
      <w:pPr>
        <w:pStyle w:val="a3"/>
        <w:rPr>
          <w:lang w:val="pl-PL"/>
        </w:rPr>
      </w:pPr>
    </w:p>
    <w:p w14:paraId="312FBF43" w14:textId="77777777" w:rsidR="00D22235" w:rsidRPr="008F328C" w:rsidRDefault="00D22235" w:rsidP="00D22235">
      <w:pPr>
        <w:pStyle w:val="a3"/>
        <w:rPr>
          <w:lang w:val="pl-PL"/>
        </w:rPr>
      </w:pPr>
      <w:r w:rsidRPr="008F328C">
        <w:rPr>
          <w:rFonts w:eastAsia="Times New Roman"/>
          <w:lang w:val="pl-PL"/>
        </w:rPr>
        <w:t>Ten produkt leczniczy zawiera mniej niż 1 mmol sodu (23 mg) na dawkę 0,4 ml, to znaczy uznaje się go za „wolny od sodu”.</w:t>
      </w:r>
    </w:p>
    <w:p w14:paraId="0FC943BC" w14:textId="77777777" w:rsidR="00D22235" w:rsidRPr="008F328C" w:rsidRDefault="00D22235" w:rsidP="00D22235">
      <w:pPr>
        <w:spacing w:before="18" w:line="240" w:lineRule="exact"/>
        <w:rPr>
          <w:rFonts w:ascii="Times New Roman" w:hAnsi="Times New Roman" w:cs="Times New Roman"/>
          <w:sz w:val="24"/>
          <w:szCs w:val="24"/>
          <w:lang w:val="pl-PL"/>
        </w:rPr>
      </w:pPr>
    </w:p>
    <w:p w14:paraId="37384755"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Interakcje z innymi produktami leczniczymi i inne rodzaje interakcji</w:t>
      </w:r>
    </w:p>
    <w:p w14:paraId="05155F06" w14:textId="77777777" w:rsidR="00D22235" w:rsidRPr="008F328C" w:rsidRDefault="00D22235" w:rsidP="00D22235">
      <w:pPr>
        <w:spacing w:before="9" w:line="240" w:lineRule="exact"/>
        <w:rPr>
          <w:rFonts w:ascii="Times New Roman" w:hAnsi="Times New Roman" w:cs="Times New Roman"/>
          <w:sz w:val="24"/>
          <w:szCs w:val="24"/>
          <w:lang w:val="pl-PL"/>
        </w:rPr>
      </w:pPr>
    </w:p>
    <w:p w14:paraId="1FEB262C" w14:textId="77777777" w:rsidR="00D22235" w:rsidRPr="008F328C" w:rsidRDefault="00D22235" w:rsidP="00D22235">
      <w:pPr>
        <w:pStyle w:val="a3"/>
        <w:rPr>
          <w:lang w:val="pl-PL"/>
        </w:rPr>
      </w:pPr>
      <w:r w:rsidRPr="008F328C">
        <w:rPr>
          <w:rFonts w:eastAsia="Times New Roman"/>
          <w:lang w:val="pl-PL"/>
        </w:rPr>
        <w:t>Badano stosowanie adalimumabu u pacjentów z reumatoidalnym zapaleniem stawów, wielostawowym młodzieńczym idiopatycznym zapaleniem stawów i łuszczycowym zapaleniem stawów przyjmujących ten lek w monoterapii oraz u pacjentów przyjmujących równocześnie metotreksat. Tworzenie przeciwciał było mniejsze, gdy adalimumab podawano z metotreksatem w porównaniu do stosowania w monoterapii. Podawanie adalimumabu bez metotreksatu spowodowało zwiększenie tworzenia się przeciwciał, zwiększenie klirensu i zmniejszenie skuteczności adalimumabu (patrz punkt 5.1).</w:t>
      </w:r>
    </w:p>
    <w:p w14:paraId="1B243A48" w14:textId="77777777" w:rsidR="00D22235" w:rsidRPr="008F328C" w:rsidRDefault="00D22235" w:rsidP="00D22235">
      <w:pPr>
        <w:spacing w:before="17" w:line="240" w:lineRule="exact"/>
        <w:rPr>
          <w:rFonts w:ascii="Times New Roman" w:hAnsi="Times New Roman" w:cs="Times New Roman"/>
          <w:sz w:val="24"/>
          <w:szCs w:val="24"/>
          <w:lang w:val="pl-PL"/>
        </w:rPr>
      </w:pPr>
    </w:p>
    <w:p w14:paraId="57DC9CE5" w14:textId="77777777" w:rsidR="00D22235" w:rsidRPr="008F328C" w:rsidRDefault="00D22235" w:rsidP="00D22235">
      <w:pPr>
        <w:pStyle w:val="a3"/>
        <w:rPr>
          <w:lang w:val="pl-PL"/>
        </w:rPr>
      </w:pPr>
      <w:r w:rsidRPr="008F328C">
        <w:rPr>
          <w:rFonts w:eastAsia="Times New Roman"/>
          <w:lang w:val="pl-PL"/>
        </w:rPr>
        <w:t>Nie zaleca się stosowania w skojarzeniu adalimumabu i anakinry (patrz punkt 4.4 „Równoczesne podawanie biologicznych DMARDs lub antagonistów TNF”).</w:t>
      </w:r>
    </w:p>
    <w:p w14:paraId="457BD4A2" w14:textId="77777777" w:rsidR="00D22235" w:rsidRPr="008F328C" w:rsidRDefault="00D22235" w:rsidP="00D22235">
      <w:pPr>
        <w:spacing w:before="11" w:line="240" w:lineRule="exact"/>
        <w:rPr>
          <w:rFonts w:ascii="Times New Roman" w:hAnsi="Times New Roman" w:cs="Times New Roman"/>
          <w:sz w:val="24"/>
          <w:szCs w:val="24"/>
          <w:lang w:val="pl-PL"/>
        </w:rPr>
      </w:pPr>
    </w:p>
    <w:p w14:paraId="3A9923B8" w14:textId="77777777" w:rsidR="00D22235" w:rsidRPr="008F328C" w:rsidRDefault="00D22235" w:rsidP="00D22235">
      <w:pPr>
        <w:pStyle w:val="a3"/>
        <w:rPr>
          <w:lang w:val="pl-PL"/>
        </w:rPr>
      </w:pPr>
      <w:r w:rsidRPr="008F328C">
        <w:rPr>
          <w:rFonts w:eastAsia="Times New Roman"/>
          <w:lang w:val="pl-PL"/>
        </w:rPr>
        <w:t>Nie zaleca się stosowania w skojarzeniu adalimumabu i abataceptu (patrz punkt 4.4 „Równoczesne podawanie biologicznych DMARDs lub antagonistów TNF”).</w:t>
      </w:r>
    </w:p>
    <w:p w14:paraId="1FFC0DA8" w14:textId="77777777" w:rsidR="00D22235" w:rsidRPr="008F328C" w:rsidRDefault="00D22235" w:rsidP="00D22235">
      <w:pPr>
        <w:spacing w:before="14" w:line="240" w:lineRule="exact"/>
        <w:rPr>
          <w:rFonts w:ascii="Times New Roman" w:hAnsi="Times New Roman" w:cs="Times New Roman"/>
          <w:sz w:val="24"/>
          <w:szCs w:val="24"/>
          <w:lang w:val="pl-PL"/>
        </w:rPr>
      </w:pPr>
    </w:p>
    <w:p w14:paraId="23A4A845"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płodność, ciążę i laktację</w:t>
      </w:r>
    </w:p>
    <w:p w14:paraId="7ED8286B" w14:textId="77777777" w:rsidR="00D22235" w:rsidRPr="008F328C" w:rsidRDefault="00D22235" w:rsidP="00D22235">
      <w:pPr>
        <w:spacing w:before="9" w:line="240" w:lineRule="exact"/>
        <w:rPr>
          <w:rFonts w:ascii="Times New Roman" w:hAnsi="Times New Roman" w:cs="Times New Roman"/>
          <w:lang w:val="pl-PL"/>
        </w:rPr>
      </w:pPr>
    </w:p>
    <w:p w14:paraId="45938A68" w14:textId="77777777" w:rsidR="00D22235" w:rsidRPr="008F328C" w:rsidRDefault="00D22235" w:rsidP="00D22235">
      <w:pPr>
        <w:pStyle w:val="a3"/>
        <w:rPr>
          <w:u w:val="single"/>
          <w:lang w:val="pl-PL"/>
        </w:rPr>
      </w:pPr>
      <w:r w:rsidRPr="008F328C">
        <w:rPr>
          <w:rFonts w:eastAsia="Times New Roman"/>
          <w:u w:val="single" w:color="000000"/>
          <w:lang w:val="pl-PL"/>
        </w:rPr>
        <w:t>Kobiety w wieku rozrodczym</w:t>
      </w:r>
    </w:p>
    <w:p w14:paraId="4831833C" w14:textId="77777777" w:rsidR="00D22235" w:rsidRPr="008F328C" w:rsidRDefault="00D22235" w:rsidP="00D22235">
      <w:pPr>
        <w:spacing w:before="1" w:line="180" w:lineRule="exact"/>
        <w:rPr>
          <w:rFonts w:ascii="Times New Roman" w:hAnsi="Times New Roman" w:cs="Times New Roman"/>
          <w:lang w:val="pl-PL"/>
        </w:rPr>
      </w:pPr>
    </w:p>
    <w:p w14:paraId="2E846B44" w14:textId="77777777" w:rsidR="00D22235" w:rsidRPr="008F328C" w:rsidRDefault="00D22235" w:rsidP="00D22235">
      <w:pPr>
        <w:pStyle w:val="a3"/>
        <w:rPr>
          <w:lang w:val="pl-PL"/>
        </w:rPr>
      </w:pPr>
      <w:r w:rsidRPr="008F328C">
        <w:rPr>
          <w:rFonts w:eastAsia="Times New Roman"/>
          <w:lang w:val="pl-PL"/>
        </w:rPr>
        <w:t>Kobiety w wieku rozrodczym powinny rozważyć stosowanie odpowiednich metod zapobiegania ciąży i ich kontynuowanie przez co najmniej pięć miesięcy po przyjęciu ostatniej dawki produktu Yuflyma.</w:t>
      </w:r>
    </w:p>
    <w:p w14:paraId="2913DAB5" w14:textId="77777777" w:rsidR="00D22235" w:rsidRPr="008F328C" w:rsidRDefault="00D22235" w:rsidP="00D22235">
      <w:pPr>
        <w:spacing w:before="11" w:line="240" w:lineRule="exact"/>
        <w:rPr>
          <w:rFonts w:ascii="Times New Roman" w:hAnsi="Times New Roman" w:cs="Times New Roman"/>
          <w:lang w:val="pl-PL"/>
        </w:rPr>
      </w:pPr>
    </w:p>
    <w:p w14:paraId="79BA24C5" w14:textId="77777777" w:rsidR="00D22235" w:rsidRPr="008F328C" w:rsidRDefault="00D22235" w:rsidP="00D22235">
      <w:pPr>
        <w:pStyle w:val="a3"/>
        <w:rPr>
          <w:u w:val="single"/>
          <w:lang w:val="pl-PL"/>
        </w:rPr>
      </w:pPr>
      <w:r w:rsidRPr="008F328C">
        <w:rPr>
          <w:rFonts w:eastAsia="Times New Roman"/>
          <w:u w:val="single" w:color="000000"/>
          <w:lang w:val="pl-PL"/>
        </w:rPr>
        <w:t>Ciąża</w:t>
      </w:r>
    </w:p>
    <w:p w14:paraId="7521A3A8" w14:textId="77777777" w:rsidR="00D22235" w:rsidRPr="008F328C" w:rsidRDefault="00D22235" w:rsidP="00D22235">
      <w:pPr>
        <w:spacing w:before="1" w:line="180" w:lineRule="exact"/>
        <w:rPr>
          <w:rFonts w:ascii="Times New Roman" w:hAnsi="Times New Roman" w:cs="Times New Roman"/>
          <w:lang w:val="pl-PL"/>
        </w:rPr>
      </w:pPr>
    </w:p>
    <w:p w14:paraId="26905B3E" w14:textId="77777777" w:rsidR="00D22235" w:rsidRPr="008F328C" w:rsidRDefault="00D22235" w:rsidP="00D22235">
      <w:pPr>
        <w:pStyle w:val="a3"/>
        <w:rPr>
          <w:lang w:val="pl-PL"/>
        </w:rPr>
      </w:pPr>
      <w:r w:rsidRPr="008F328C">
        <w:rPr>
          <w:rFonts w:eastAsia="Times New Roman"/>
          <w:lang w:val="pl-PL"/>
        </w:rPr>
        <w:t>Znaczna liczba (około 2 100) prospektywnie rejestrowanych ciąż narażonych na adalimumab, zakończonych żywym urodzeniem ze znanym zakończeniem, w tym ponad 1 500 ciąż narażonych w pierwszym trymestrze, nie wskazuje na zwiększenie odsetka wad rozwojowych u noworodków.</w:t>
      </w:r>
    </w:p>
    <w:p w14:paraId="0B093311" w14:textId="77777777" w:rsidR="00D22235" w:rsidRPr="008F328C" w:rsidRDefault="00D22235" w:rsidP="00D22235">
      <w:pPr>
        <w:spacing w:before="13" w:line="240" w:lineRule="exact"/>
        <w:rPr>
          <w:rFonts w:ascii="Times New Roman" w:hAnsi="Times New Roman" w:cs="Times New Roman"/>
          <w:lang w:val="pl-PL"/>
        </w:rPr>
      </w:pPr>
    </w:p>
    <w:p w14:paraId="7AF8C8F9" w14:textId="77777777" w:rsidR="00D22235" w:rsidRPr="008F328C" w:rsidRDefault="00D22235" w:rsidP="00D22235">
      <w:pPr>
        <w:pStyle w:val="a3"/>
        <w:rPr>
          <w:lang w:val="pl-PL"/>
        </w:rPr>
      </w:pPr>
      <w:r w:rsidRPr="008F328C">
        <w:rPr>
          <w:rFonts w:eastAsia="Times New Roman"/>
          <w:lang w:val="pl-PL"/>
        </w:rPr>
        <w:t>Do prospektywnych rejestrów kohortowych włączono 257 kobiet z reumatoidalnym zapaleniem stawów (RZS) lub chorobą Leśniowskiego-Crohna (ChLC) leczonych adalimumabem przynajmniej w pierwszym trymestrze ciąży i 120 kobiet z RZS lub ChLC nie leczonych adalimumabem. Pierwszorzędowym punktem końcowym była częstość występowania urodzeń z poważną wadą wrodzoną. Współczynnik ciąż zakończonych urodzeniem przynajmniej jednego, żywego noworodka z poważną wadą wrodzoną wynosił 6/69 (8,7%) u kobiet z RZS leczonych adalimumabem i 5/74 (6,8%) u nieleczonych kobiet z RZS (nieskorygowany OR 1,31, 95% CI 0,38-4,52) oraz 16/152 (10,5%) u kobiet z ChLC leczonych adalimumabem i 3/32 (9,4%) u nieleczonych kobiet z ChLC (nieskorygowany OR 1,14, 95% CI 0,31-4,16). Skorygowany OR (uwzględniający różnice początkowe) wynosił 1,10 (95% CI 0,45-2,73) łącznie dla RZS i ChLC. Dla drugorzędowych punktów końcowych samoistnych poronień, niewielkich wad wrodzonych, przedwczesnego porodu, wielkości płodu, poważnych lub oportunistycznych zakażeń, nie było wyraźnej różnicy między kobietami leczonymi a nieleczonymi adalimumabem, nie zgłaszano także martwych urodzeń oraz nowotworów. Na interpretację danych mogą mieć wpływ ograniczenia metodologiczne badania, w tym mała wielkość próby oraz brak randomizacji.</w:t>
      </w:r>
    </w:p>
    <w:p w14:paraId="3542E255" w14:textId="77777777" w:rsidR="00D22235" w:rsidRPr="008F328C" w:rsidRDefault="00D22235" w:rsidP="00D22235">
      <w:pPr>
        <w:spacing w:before="10" w:line="240" w:lineRule="exact"/>
        <w:rPr>
          <w:rFonts w:ascii="Times New Roman" w:hAnsi="Times New Roman" w:cs="Times New Roman"/>
          <w:lang w:val="pl-PL"/>
        </w:rPr>
      </w:pPr>
    </w:p>
    <w:p w14:paraId="61F1A3AE" w14:textId="77777777" w:rsidR="00D22235" w:rsidRPr="008F328C" w:rsidRDefault="00D22235" w:rsidP="00D22235">
      <w:pPr>
        <w:pStyle w:val="a3"/>
        <w:rPr>
          <w:lang w:val="pl-PL"/>
        </w:rPr>
      </w:pPr>
      <w:r w:rsidRPr="008F328C">
        <w:rPr>
          <w:rFonts w:eastAsia="Times New Roman"/>
          <w:spacing w:val="-2"/>
          <w:lang w:val="pl-PL"/>
        </w:rPr>
        <w:t>W badaniu toksyczności rozwojowej prowadzonym na małpach nie wykazano toksycznego działania na matkę, embriotoksyczności lub działania teratogennego. Niekliniczne dane o toksyczności pourodzeniowej adalimumabu nie są dostępne (patrz punkt 5.3).</w:t>
      </w:r>
    </w:p>
    <w:p w14:paraId="0E212B06" w14:textId="77777777" w:rsidR="00D22235" w:rsidRPr="008F328C" w:rsidRDefault="00D22235" w:rsidP="00D22235">
      <w:pPr>
        <w:spacing w:before="14" w:line="260" w:lineRule="exact"/>
        <w:rPr>
          <w:rFonts w:ascii="Times New Roman" w:hAnsi="Times New Roman" w:cs="Times New Roman"/>
          <w:lang w:val="pl-PL"/>
        </w:rPr>
      </w:pPr>
    </w:p>
    <w:p w14:paraId="297C2C5E" w14:textId="77777777" w:rsidR="00D22235" w:rsidRPr="008F328C" w:rsidRDefault="00D22235" w:rsidP="00D22235">
      <w:pPr>
        <w:pStyle w:val="a3"/>
        <w:rPr>
          <w:lang w:val="pl-PL"/>
        </w:rPr>
      </w:pPr>
      <w:r w:rsidRPr="008F328C">
        <w:rPr>
          <w:rFonts w:eastAsia="Times New Roman"/>
          <w:lang w:val="pl-PL"/>
        </w:rPr>
        <w:t xml:space="preserve">Ze względu na hamujące działanie na TNFα, adalimumab podawany w okresie ciąży mógłby wpływać na prawidłową odpowiedź immunologiczną u noworodka. Adalimumab należy stosować w okresie ciąży, </w:t>
      </w:r>
      <w:r w:rsidRPr="008F328C">
        <w:rPr>
          <w:rFonts w:eastAsia="Times New Roman"/>
          <w:lang w:val="pl-PL"/>
        </w:rPr>
        <w:lastRenderedPageBreak/>
        <w:t>tylko jeśli jest to bezwzględnie konieczne.</w:t>
      </w:r>
    </w:p>
    <w:p w14:paraId="1BBEEBEA" w14:textId="77777777" w:rsidR="00D22235" w:rsidRPr="008F328C" w:rsidRDefault="00D22235" w:rsidP="00D22235">
      <w:pPr>
        <w:spacing w:before="11" w:line="240" w:lineRule="exact"/>
        <w:rPr>
          <w:rFonts w:ascii="Times New Roman" w:hAnsi="Times New Roman" w:cs="Times New Roman"/>
          <w:lang w:val="pl-PL"/>
        </w:rPr>
      </w:pPr>
    </w:p>
    <w:p w14:paraId="066D3AB7" w14:textId="77777777" w:rsidR="00D22235" w:rsidRPr="008F328C" w:rsidRDefault="00D22235" w:rsidP="00D22235">
      <w:pPr>
        <w:pStyle w:val="a3"/>
        <w:rPr>
          <w:lang w:val="pl-PL"/>
        </w:rPr>
      </w:pPr>
      <w:r w:rsidRPr="008F328C">
        <w:rPr>
          <w:rFonts w:eastAsia="Times New Roman"/>
          <w:lang w:val="pl-PL"/>
        </w:rPr>
        <w:t>Adalimumab może przenikać przez łożysko do surowicy niemowląt, których matki leczono w okresie ciąży adalimumabem. W wyniku tego, u niemowląt może wystąpić zwiększone ryzyko zakażenia. U niemowląt narażonych na adalimumab w okresie życia płodowego nie zaleca się podawania żywych szczepionek (np. szczepionki przeciwgruźliczej, BCG) przez okres 5 miesięcy od przyjęcia przez matkę ostatniej dawki adalimumabu w okresie ciąży.</w:t>
      </w:r>
    </w:p>
    <w:p w14:paraId="277235A1" w14:textId="77777777" w:rsidR="00D22235" w:rsidRPr="008F328C" w:rsidRDefault="00D22235" w:rsidP="00D22235">
      <w:pPr>
        <w:spacing w:before="13" w:line="240" w:lineRule="exact"/>
        <w:rPr>
          <w:rFonts w:ascii="Times New Roman" w:hAnsi="Times New Roman" w:cs="Times New Roman"/>
          <w:lang w:val="pl-PL"/>
        </w:rPr>
      </w:pPr>
    </w:p>
    <w:p w14:paraId="63802F56" w14:textId="77777777" w:rsidR="00D22235" w:rsidRPr="008F328C" w:rsidRDefault="00D22235" w:rsidP="00D22235">
      <w:pPr>
        <w:pStyle w:val="a3"/>
        <w:rPr>
          <w:u w:val="single"/>
          <w:lang w:val="pl-PL"/>
        </w:rPr>
      </w:pPr>
      <w:r w:rsidRPr="008F328C">
        <w:rPr>
          <w:rFonts w:eastAsia="Times New Roman"/>
          <w:spacing w:val="-1"/>
          <w:u w:val="single" w:color="000000"/>
          <w:lang w:val="pl-PL"/>
        </w:rPr>
        <w:t>Karmienie piersią</w:t>
      </w:r>
    </w:p>
    <w:p w14:paraId="47A4EBE1" w14:textId="77777777" w:rsidR="00D22235" w:rsidRPr="008F328C" w:rsidRDefault="00D22235" w:rsidP="00D22235">
      <w:pPr>
        <w:spacing w:before="1" w:line="180" w:lineRule="exact"/>
        <w:rPr>
          <w:rFonts w:ascii="Times New Roman" w:hAnsi="Times New Roman" w:cs="Times New Roman"/>
          <w:lang w:val="pl-PL"/>
        </w:rPr>
      </w:pPr>
    </w:p>
    <w:p w14:paraId="1CF9F753" w14:textId="77777777" w:rsidR="00D22235" w:rsidRPr="008F328C" w:rsidRDefault="00D22235" w:rsidP="00D22235">
      <w:pPr>
        <w:pStyle w:val="a3"/>
        <w:rPr>
          <w:lang w:val="pl-PL"/>
        </w:rPr>
      </w:pPr>
      <w:r w:rsidRPr="008F328C">
        <w:rPr>
          <w:rFonts w:eastAsia="Times New Roman"/>
          <w:lang w:val="pl-PL"/>
        </w:rPr>
        <w:t>Ograniczone dane opublikowane w literaturze wskazują, że adalimumab przenika do mleka ludzkiego w bardzo niewielkich stężeniach i występuje w mleku ludzkim w stężeniu od 0,1% do 1% poziomu w surowicy matki. Podawane doustnie, białka immunoglobuliny G ulegają wewnątrzjelitowej proteolizie i mają małą biodostępność. Nie należy się spodziewać wpływu na organizm noworodków/dzieci karmionych piersią. W związku z tym produkt Yuflyma może być stosowany podczas karmienia piersią.</w:t>
      </w:r>
    </w:p>
    <w:p w14:paraId="3C91E3CC" w14:textId="77777777" w:rsidR="00D22235" w:rsidRPr="008F328C" w:rsidRDefault="00D22235" w:rsidP="00D22235">
      <w:pPr>
        <w:spacing w:before="11" w:line="240" w:lineRule="exact"/>
        <w:rPr>
          <w:rFonts w:ascii="Times New Roman" w:hAnsi="Times New Roman" w:cs="Times New Roman"/>
          <w:lang w:val="pl-PL"/>
        </w:rPr>
      </w:pPr>
    </w:p>
    <w:p w14:paraId="43DCEF3D" w14:textId="77777777" w:rsidR="00D22235" w:rsidRPr="008F328C" w:rsidRDefault="00D22235" w:rsidP="00D22235">
      <w:pPr>
        <w:pStyle w:val="a3"/>
        <w:rPr>
          <w:u w:val="single"/>
          <w:lang w:val="pl-PL"/>
        </w:rPr>
      </w:pPr>
      <w:r w:rsidRPr="008F328C">
        <w:rPr>
          <w:rFonts w:eastAsia="Times New Roman"/>
          <w:u w:val="single" w:color="000000"/>
          <w:lang w:val="pl-PL"/>
        </w:rPr>
        <w:t>Płodność</w:t>
      </w:r>
    </w:p>
    <w:p w14:paraId="0DD2C0BE" w14:textId="77777777" w:rsidR="00D22235" w:rsidRPr="008F328C" w:rsidRDefault="00D22235" w:rsidP="00D22235">
      <w:pPr>
        <w:spacing w:before="1" w:line="180" w:lineRule="exact"/>
        <w:rPr>
          <w:rFonts w:ascii="Times New Roman" w:hAnsi="Times New Roman" w:cs="Times New Roman"/>
          <w:lang w:val="pl-PL"/>
        </w:rPr>
      </w:pPr>
    </w:p>
    <w:p w14:paraId="6938FABC" w14:textId="78CB26C8" w:rsidR="00D22235" w:rsidRPr="008F328C" w:rsidRDefault="00D22235" w:rsidP="00D22235">
      <w:pPr>
        <w:pStyle w:val="a3"/>
        <w:rPr>
          <w:lang w:val="pl-PL"/>
        </w:rPr>
      </w:pPr>
      <w:r w:rsidRPr="008F328C">
        <w:rPr>
          <w:rFonts w:eastAsia="Times New Roman"/>
          <w:lang w:val="pl-PL"/>
        </w:rPr>
        <w:t xml:space="preserve">Brak </w:t>
      </w:r>
      <w:r w:rsidR="00A92FC5">
        <w:rPr>
          <w:rFonts w:eastAsia="Times New Roman"/>
          <w:lang w:val="pl-PL"/>
        </w:rPr>
        <w:t>nie</w:t>
      </w:r>
      <w:r w:rsidRPr="008F328C">
        <w:rPr>
          <w:rFonts w:eastAsia="Times New Roman"/>
          <w:lang w:val="pl-PL"/>
        </w:rPr>
        <w:t>klinicznych danych o wpływie adalimumabu na płodność.</w:t>
      </w:r>
    </w:p>
    <w:p w14:paraId="49F7E39A" w14:textId="77777777" w:rsidR="00D22235" w:rsidRPr="008F328C" w:rsidRDefault="00D22235" w:rsidP="00D22235">
      <w:pPr>
        <w:spacing w:before="18" w:line="240" w:lineRule="exact"/>
        <w:rPr>
          <w:rFonts w:ascii="Times New Roman" w:hAnsi="Times New Roman" w:cs="Times New Roman"/>
          <w:sz w:val="24"/>
          <w:szCs w:val="24"/>
          <w:lang w:val="pl-PL"/>
        </w:rPr>
      </w:pPr>
    </w:p>
    <w:p w14:paraId="45E3549A"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zdolność prowadzenia pojazdów i obsługiwania maszyn</w:t>
      </w:r>
    </w:p>
    <w:p w14:paraId="3D3160A0" w14:textId="77777777" w:rsidR="00D22235" w:rsidRPr="008F328C" w:rsidRDefault="00D22235" w:rsidP="00D22235">
      <w:pPr>
        <w:spacing w:before="12" w:line="240" w:lineRule="exact"/>
        <w:rPr>
          <w:rFonts w:ascii="Times New Roman" w:hAnsi="Times New Roman" w:cs="Times New Roman"/>
          <w:sz w:val="24"/>
          <w:szCs w:val="24"/>
          <w:lang w:val="pl-PL"/>
        </w:rPr>
      </w:pPr>
    </w:p>
    <w:p w14:paraId="2A54BB4F" w14:textId="77777777" w:rsidR="00D22235" w:rsidRPr="008F328C" w:rsidRDefault="00D22235" w:rsidP="00D22235">
      <w:pPr>
        <w:pStyle w:val="a3"/>
        <w:rPr>
          <w:lang w:val="pl-PL"/>
        </w:rPr>
      </w:pPr>
      <w:r w:rsidRPr="008F328C">
        <w:rPr>
          <w:rFonts w:eastAsia="Times New Roman"/>
          <w:lang w:val="pl-PL"/>
        </w:rPr>
        <w:t>Yuflyma może wywierać niewielki wpływ na zdolność prowadzenia pojazdów i obsługiwania maszyn. Po podaniu produktu Yuflyma wystąpić mogą zawroty głowy i pogorszenie widzenia (patrz punkt 4.8).</w:t>
      </w:r>
    </w:p>
    <w:p w14:paraId="0FA28FBB" w14:textId="77777777" w:rsidR="00D22235" w:rsidRPr="008F328C" w:rsidRDefault="00D22235" w:rsidP="00D22235">
      <w:pPr>
        <w:spacing w:before="15" w:line="240" w:lineRule="exact"/>
        <w:rPr>
          <w:rFonts w:ascii="Times New Roman" w:hAnsi="Times New Roman" w:cs="Times New Roman"/>
          <w:sz w:val="24"/>
          <w:szCs w:val="24"/>
          <w:lang w:val="pl-PL"/>
        </w:rPr>
      </w:pPr>
    </w:p>
    <w:p w14:paraId="6A70BE17"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Działania niepożądane</w:t>
      </w:r>
    </w:p>
    <w:p w14:paraId="02396B4D" w14:textId="77777777" w:rsidR="00D22235" w:rsidRPr="008F328C" w:rsidRDefault="00D22235" w:rsidP="00D22235">
      <w:pPr>
        <w:spacing w:before="9" w:line="240" w:lineRule="exact"/>
        <w:rPr>
          <w:rFonts w:ascii="Times New Roman" w:hAnsi="Times New Roman" w:cs="Times New Roman"/>
          <w:sz w:val="24"/>
          <w:szCs w:val="24"/>
          <w:lang w:val="pl-PL"/>
        </w:rPr>
      </w:pPr>
    </w:p>
    <w:p w14:paraId="6FD60E82" w14:textId="77777777" w:rsidR="00D22235" w:rsidRPr="008F328C" w:rsidRDefault="00D22235" w:rsidP="00D22235">
      <w:pPr>
        <w:pStyle w:val="a3"/>
        <w:rPr>
          <w:u w:val="single"/>
          <w:lang w:val="pl-PL"/>
        </w:rPr>
      </w:pPr>
      <w:r w:rsidRPr="008F328C">
        <w:rPr>
          <w:rFonts w:eastAsia="Times New Roman"/>
          <w:u w:val="single" w:color="000000"/>
          <w:lang w:val="pl-PL"/>
        </w:rPr>
        <w:t>Podsumowanie profilu bezpieczeństwa stosowania</w:t>
      </w:r>
    </w:p>
    <w:p w14:paraId="01F79183" w14:textId="77777777" w:rsidR="00D22235" w:rsidRPr="008F328C" w:rsidRDefault="00D22235" w:rsidP="00D22235">
      <w:pPr>
        <w:spacing w:before="1" w:line="180" w:lineRule="exact"/>
        <w:rPr>
          <w:rFonts w:ascii="Times New Roman" w:hAnsi="Times New Roman" w:cs="Times New Roman"/>
          <w:sz w:val="18"/>
          <w:szCs w:val="18"/>
          <w:lang w:val="pl-PL"/>
        </w:rPr>
      </w:pPr>
    </w:p>
    <w:p w14:paraId="1195F196" w14:textId="77777777" w:rsidR="00D22235" w:rsidRPr="008F328C" w:rsidRDefault="00D22235" w:rsidP="00D22235">
      <w:pPr>
        <w:pStyle w:val="a3"/>
        <w:rPr>
          <w:lang w:val="pl-PL"/>
        </w:rPr>
      </w:pPr>
      <w:r w:rsidRPr="008F328C">
        <w:rPr>
          <w:rFonts w:eastAsia="Times New Roman"/>
          <w:lang w:val="pl-PL"/>
        </w:rPr>
        <w:t>Adalimumab badano u 9 506 pacjentów w głównych, kontrolowanych i otwartych badaniach klinicznych przez okres do 60 miesięcy lub dłużej. W badaniach tych uczestniczyli pacjenci z reumatoidalnym zapaleniem stawów o krótkim i długim przebiegu choroby, młodzieńczym idiopatycznym zapaleniem stawów (wielostawowym młodzieńczym idiopatycznym zapaleniem stawów i zapaleniem stawów z towarzyszącym zapaleniem przyczepów ścięgnistych) oraz pacjenci z osiową spondyloartropatią (zesztywniającym zapaleniem stawów kręgosłupa i osiową spondyloartropatią bez zmian radiograficznych charakterystycznych dla zesztywniającego zapalenia stawów kręgosłupa), łuszczycowym zapaleniem stawów, chorobą Leśniowskiego-Crohna, wrzodziejącym zapaleniem jelita grubego, łuszczycą, ropnym zapaleniem apokrynowych gruczołów potowych oraz zapaleniem błony naczyniowej oka. W głównych kontrolowanych badaniach klinicznych brało udział 6 089 pacjentów otrzymujących adalimumab oraz 3 801 pacjentów otrzymujących placebo lub czynną substancję porównawczą w okresie prowadzenia badania kontrolowanego.</w:t>
      </w:r>
    </w:p>
    <w:p w14:paraId="4061B44D" w14:textId="77777777" w:rsidR="00D22235" w:rsidRPr="008F328C" w:rsidRDefault="00D22235" w:rsidP="00D22235">
      <w:pPr>
        <w:spacing w:before="13" w:line="240" w:lineRule="exact"/>
        <w:rPr>
          <w:rFonts w:ascii="Times New Roman" w:hAnsi="Times New Roman" w:cs="Times New Roman"/>
          <w:sz w:val="24"/>
          <w:szCs w:val="24"/>
          <w:lang w:val="pl-PL"/>
        </w:rPr>
      </w:pPr>
    </w:p>
    <w:p w14:paraId="7F4ED046" w14:textId="77777777" w:rsidR="00D22235" w:rsidRPr="008F328C" w:rsidRDefault="00D22235" w:rsidP="00D22235">
      <w:pPr>
        <w:pStyle w:val="a3"/>
        <w:rPr>
          <w:lang w:val="pl-PL"/>
        </w:rPr>
      </w:pPr>
      <w:r w:rsidRPr="008F328C">
        <w:rPr>
          <w:rFonts w:eastAsia="Times New Roman"/>
          <w:lang w:val="pl-PL"/>
        </w:rPr>
        <w:t>Odsetek pacjentów, którzy przerwali leczenie z powodu zdarzeń niepożądanych w głównych badaniach prowadzonych metodą podwójnie ślepej próby z udziałem grup kontrolnych wynosił 5,9% dla pacjentów przyjmujących adalimumab i 5,4% dla pacjentów z grup kontrolnych.</w:t>
      </w:r>
    </w:p>
    <w:p w14:paraId="0D9919A0" w14:textId="77777777" w:rsidR="00D22235" w:rsidRPr="008F328C" w:rsidRDefault="00D22235" w:rsidP="00D22235">
      <w:pPr>
        <w:spacing w:before="17" w:line="240" w:lineRule="exact"/>
        <w:rPr>
          <w:rFonts w:ascii="Times New Roman" w:hAnsi="Times New Roman" w:cs="Times New Roman"/>
          <w:sz w:val="24"/>
          <w:szCs w:val="24"/>
          <w:lang w:val="pl-PL"/>
        </w:rPr>
      </w:pPr>
    </w:p>
    <w:p w14:paraId="4578BCE8" w14:textId="77777777" w:rsidR="00D22235" w:rsidRPr="008F328C" w:rsidRDefault="00D22235" w:rsidP="00D22235">
      <w:pPr>
        <w:pStyle w:val="a3"/>
        <w:rPr>
          <w:lang w:val="pl-PL"/>
        </w:rPr>
      </w:pPr>
      <w:r w:rsidRPr="008F328C">
        <w:rPr>
          <w:rFonts w:eastAsia="Times New Roman"/>
          <w:lang w:val="pl-PL"/>
        </w:rPr>
        <w:t>Najczęściej zgłaszanymi działaniami niepożądanymi są zakażenia (takie jak zapalenie części nosowej gardła, zakażenie górnych dróg oddechowych i zapalenie zatok), odczyny w miejscu wstrzyknięcia (rumień, świąd, krwotok, ból lub obrzęk), bóle głowy i bóle mięśniowo-szkieletowe.</w:t>
      </w:r>
    </w:p>
    <w:p w14:paraId="43F3E972" w14:textId="77777777" w:rsidR="00D22235" w:rsidRPr="008F328C" w:rsidRDefault="00D22235" w:rsidP="00D22235">
      <w:pPr>
        <w:pStyle w:val="a3"/>
        <w:rPr>
          <w:lang w:val="pl-PL"/>
        </w:rPr>
      </w:pPr>
    </w:p>
    <w:p w14:paraId="7F4F9A18" w14:textId="77777777" w:rsidR="00D22235" w:rsidRPr="008F328C" w:rsidRDefault="00D22235" w:rsidP="00D22235">
      <w:pPr>
        <w:pStyle w:val="a3"/>
        <w:rPr>
          <w:lang w:val="pl-PL"/>
        </w:rPr>
      </w:pPr>
      <w:r w:rsidRPr="008F328C">
        <w:rPr>
          <w:rFonts w:eastAsia="Times New Roman"/>
          <w:lang w:val="pl-PL"/>
        </w:rPr>
        <w:t>Informowano o ciężkich działaniach niepożądanych adalimumabu. Leki z grupy antagonistów TNF, takie jak adalimumab, działają na układ immunologiczny i ich stosowanie może wpływać na mechanizmy obronne organizmu skierowane przeciw zakażeniom i nowotworom złośliwym.</w:t>
      </w:r>
    </w:p>
    <w:p w14:paraId="2BD78933" w14:textId="77777777" w:rsidR="00D22235" w:rsidRPr="008F328C" w:rsidRDefault="00D22235" w:rsidP="00D22235">
      <w:pPr>
        <w:pStyle w:val="a3"/>
        <w:rPr>
          <w:lang w:val="pl-PL"/>
        </w:rPr>
      </w:pPr>
      <w:r w:rsidRPr="008F328C">
        <w:rPr>
          <w:rFonts w:eastAsia="Times New Roman"/>
          <w:lang w:val="pl-PL"/>
        </w:rPr>
        <w:t xml:space="preserve">W związku ze stosowaniem adalimumabu, informowano również o powodujących zgon i zagrażających </w:t>
      </w:r>
      <w:r w:rsidRPr="008F328C">
        <w:rPr>
          <w:rFonts w:eastAsia="Times New Roman"/>
          <w:lang w:val="pl-PL"/>
        </w:rPr>
        <w:lastRenderedPageBreak/>
        <w:t>życiu zakażeniach (w tym posocznicy, zakażeniach oportunistycznych i gruźlicy), reaktywacji wirusowego zapalenia wątroby typu B i rozmaitych nowotworach złośliwych (w tym białaczce, chłoniaku i chłoniaku T-komórkowym wątrobowo-śledzionowym).</w:t>
      </w:r>
    </w:p>
    <w:p w14:paraId="06B73462" w14:textId="77777777" w:rsidR="00D22235" w:rsidRPr="008F328C" w:rsidRDefault="00D22235" w:rsidP="00D22235">
      <w:pPr>
        <w:spacing w:before="17" w:line="240" w:lineRule="exact"/>
        <w:rPr>
          <w:rFonts w:ascii="Times New Roman" w:hAnsi="Times New Roman" w:cs="Times New Roman"/>
          <w:sz w:val="24"/>
          <w:szCs w:val="24"/>
          <w:lang w:val="pl-PL"/>
        </w:rPr>
      </w:pPr>
    </w:p>
    <w:p w14:paraId="3D6158B0" w14:textId="77777777" w:rsidR="00D22235" w:rsidRPr="008F328C" w:rsidRDefault="00D22235" w:rsidP="00D22235">
      <w:pPr>
        <w:pStyle w:val="a3"/>
        <w:rPr>
          <w:lang w:val="pl-PL"/>
        </w:rPr>
      </w:pPr>
      <w:r w:rsidRPr="008F328C">
        <w:rPr>
          <w:rFonts w:eastAsia="Times New Roman"/>
          <w:lang w:val="pl-PL"/>
        </w:rPr>
        <w:t>Informowano również o ciężkich zaburzeniach hematologicznych, neurologicznych i autoimmunologicznych. Zalicza się do nich rzadkie doniesienia o pancytopenii, niedokrwistości aplastycznej, zaburzeniach demielinizacyjnych ośrodkowego i obwodowego układu nerwowego oraz zgłaszane przypadki tocznia, zespołu toczniopodobnego i zespołu Stevensa-Johnsona.</w:t>
      </w:r>
    </w:p>
    <w:p w14:paraId="5A941D8B" w14:textId="77777777" w:rsidR="00D22235" w:rsidRPr="008F328C" w:rsidRDefault="00D22235" w:rsidP="00D22235">
      <w:pPr>
        <w:spacing w:before="11" w:line="240" w:lineRule="exact"/>
        <w:rPr>
          <w:rFonts w:ascii="Times New Roman" w:hAnsi="Times New Roman" w:cs="Times New Roman"/>
          <w:sz w:val="24"/>
          <w:szCs w:val="24"/>
          <w:lang w:val="pl-PL"/>
        </w:rPr>
      </w:pPr>
    </w:p>
    <w:p w14:paraId="7F3E53E1" w14:textId="77777777" w:rsidR="00D22235" w:rsidRPr="008F328C" w:rsidRDefault="00D22235" w:rsidP="00D22235">
      <w:pPr>
        <w:pStyle w:val="a3"/>
        <w:rPr>
          <w:u w:val="single"/>
          <w:lang w:val="pl-PL"/>
        </w:rPr>
      </w:pPr>
      <w:r w:rsidRPr="008F328C">
        <w:rPr>
          <w:rFonts w:eastAsia="Times New Roman"/>
          <w:u w:val="single" w:color="000000"/>
          <w:lang w:val="pl-PL"/>
        </w:rPr>
        <w:t>Dzieci i młodzież</w:t>
      </w:r>
    </w:p>
    <w:p w14:paraId="1524DEA5" w14:textId="77777777" w:rsidR="00D22235" w:rsidRPr="008F328C" w:rsidRDefault="00D22235" w:rsidP="00D22235">
      <w:pPr>
        <w:spacing w:before="1" w:line="180" w:lineRule="exact"/>
        <w:rPr>
          <w:rFonts w:ascii="Times New Roman" w:hAnsi="Times New Roman" w:cs="Times New Roman"/>
          <w:sz w:val="18"/>
          <w:szCs w:val="18"/>
          <w:lang w:val="pl-PL"/>
        </w:rPr>
      </w:pPr>
    </w:p>
    <w:p w14:paraId="427E15D1" w14:textId="77777777" w:rsidR="00D22235" w:rsidRPr="008F328C" w:rsidRDefault="00D22235" w:rsidP="00D22235">
      <w:pPr>
        <w:pStyle w:val="a3"/>
        <w:rPr>
          <w:lang w:val="pl-PL"/>
        </w:rPr>
      </w:pPr>
      <w:r w:rsidRPr="008F328C">
        <w:rPr>
          <w:rFonts w:eastAsia="Times New Roman"/>
          <w:lang w:val="pl-PL"/>
        </w:rPr>
        <w:t>Na ogół, częstość występowania i typ działań niepożądanych u dzieci i młodzieży były podobne do obserwowanych u dorosłych pacjentów.</w:t>
      </w:r>
    </w:p>
    <w:p w14:paraId="7A17BD67" w14:textId="77777777" w:rsidR="00D22235" w:rsidRPr="008F328C" w:rsidRDefault="00D22235" w:rsidP="00D22235">
      <w:pPr>
        <w:spacing w:before="11" w:line="240" w:lineRule="exact"/>
        <w:rPr>
          <w:rFonts w:ascii="Times New Roman" w:hAnsi="Times New Roman" w:cs="Times New Roman"/>
          <w:sz w:val="24"/>
          <w:szCs w:val="24"/>
          <w:lang w:val="pl-PL"/>
        </w:rPr>
      </w:pPr>
    </w:p>
    <w:p w14:paraId="7BCA0762" w14:textId="77777777" w:rsidR="00D22235" w:rsidRPr="008F328C" w:rsidRDefault="00D22235" w:rsidP="00D22235">
      <w:pPr>
        <w:pStyle w:val="a3"/>
        <w:rPr>
          <w:u w:val="single"/>
          <w:lang w:val="pl-PL"/>
        </w:rPr>
      </w:pPr>
      <w:r w:rsidRPr="008F328C">
        <w:rPr>
          <w:rFonts w:eastAsia="Times New Roman"/>
          <w:u w:val="single" w:color="000000"/>
          <w:lang w:val="pl-PL"/>
        </w:rPr>
        <w:t>Tabelaryczne zestawienie działań niepożądanych</w:t>
      </w:r>
    </w:p>
    <w:p w14:paraId="108A3B42" w14:textId="77777777" w:rsidR="00D22235" w:rsidRPr="008F328C" w:rsidRDefault="00D22235" w:rsidP="00D22235">
      <w:pPr>
        <w:spacing w:before="1" w:line="180" w:lineRule="exact"/>
        <w:rPr>
          <w:rFonts w:ascii="Times New Roman" w:hAnsi="Times New Roman" w:cs="Times New Roman"/>
          <w:sz w:val="18"/>
          <w:szCs w:val="18"/>
          <w:lang w:val="pl-PL"/>
        </w:rPr>
      </w:pPr>
    </w:p>
    <w:p w14:paraId="221001CF" w14:textId="77777777" w:rsidR="00D22235" w:rsidRPr="008F328C" w:rsidRDefault="00D22235" w:rsidP="00D22235">
      <w:pPr>
        <w:pStyle w:val="a3"/>
        <w:rPr>
          <w:lang w:val="pl-PL"/>
        </w:rPr>
      </w:pPr>
      <w:r w:rsidRPr="008F328C">
        <w:rPr>
          <w:rFonts w:eastAsia="Times New Roman"/>
          <w:lang w:val="pl-PL"/>
        </w:rPr>
        <w:t xml:space="preserve">Poniższy wykaz działań niepożądanych ustalono na podstawie danych uzyskanych w badaniach klinicznych i po wprowadzeniu leku do obrotu. W Tabeli 5 poniżej, działania niepożądane uszeregowano według klasyfikacji układów i narządów oraz częstości występowania w następujący sposób: bardzo często </w:t>
      </w:r>
    </w:p>
    <w:p w14:paraId="5B2229D4" w14:textId="77777777" w:rsidR="00D22235" w:rsidRPr="008F328C" w:rsidRDefault="00D22235" w:rsidP="00D22235">
      <w:pPr>
        <w:pStyle w:val="a3"/>
        <w:rPr>
          <w:lang w:val="pl-PL"/>
        </w:rPr>
      </w:pPr>
      <w:r w:rsidRPr="008F328C">
        <w:rPr>
          <w:rFonts w:eastAsia="Times New Roman"/>
          <w:lang w:val="pl-PL"/>
        </w:rPr>
        <w:t>(</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 do 1/10); niezbyt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1/1000 do 1/100); rzadko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1/10 000 do 1/1000); (≥ 1/10) i częstość nieznana (nie może być określona na podstawie dostępnych danych). W obrębie każdej grupy o określonej częstości występowania, działania niepożądane są wymienione zgodnie ze zmniejszającym się nasileniem. Wymieniono działania występujące z największą częstością w różnych wskazaniach. Gwiazdka (*) w kolumnie Klasyfikacja układów i narządów oznacza, że w punktach 4.3, 4.4 i 4.8 podano dodatkowe informacje.</w:t>
      </w:r>
    </w:p>
    <w:p w14:paraId="48AB9CBB" w14:textId="77777777" w:rsidR="00D22235" w:rsidRPr="008F328C" w:rsidRDefault="00D22235" w:rsidP="00D22235">
      <w:pPr>
        <w:spacing w:before="15" w:line="240" w:lineRule="exact"/>
        <w:rPr>
          <w:rFonts w:ascii="Times New Roman" w:hAnsi="Times New Roman" w:cs="Times New Roman"/>
          <w:sz w:val="24"/>
          <w:szCs w:val="24"/>
          <w:lang w:val="pl-PL"/>
        </w:rPr>
      </w:pPr>
    </w:p>
    <w:p w14:paraId="7AA88F4A" w14:textId="249BC24A" w:rsidR="00D22235" w:rsidRPr="008F328C" w:rsidRDefault="00D22235" w:rsidP="00D22235">
      <w:pPr>
        <w:pStyle w:val="a3"/>
        <w:jc w:val="center"/>
        <w:rPr>
          <w:b/>
          <w:lang w:val="pl-PL"/>
        </w:rPr>
      </w:pPr>
      <w:r w:rsidRPr="008F328C">
        <w:rPr>
          <w:rFonts w:eastAsia="Times New Roman"/>
          <w:b/>
          <w:bCs/>
          <w:lang w:val="pl-PL"/>
        </w:rPr>
        <w:t xml:space="preserve">Tabela </w:t>
      </w:r>
      <w:r w:rsidR="00AF4F99">
        <w:rPr>
          <w:rFonts w:eastAsia="Times New Roman"/>
          <w:b/>
          <w:bCs/>
          <w:lang w:val="pl-PL"/>
        </w:rPr>
        <w:t>4</w:t>
      </w:r>
      <w:r w:rsidR="004142DA" w:rsidRPr="008F328C">
        <w:rPr>
          <w:rFonts w:eastAsia="Times New Roman"/>
          <w:b/>
          <w:bCs/>
          <w:lang w:val="pl-PL"/>
        </w:rPr>
        <w:t>.</w:t>
      </w:r>
      <w:r w:rsidRPr="008F328C">
        <w:rPr>
          <w:rFonts w:eastAsia="Times New Roman"/>
          <w:b/>
          <w:bCs/>
          <w:lang w:val="pl-PL"/>
        </w:rPr>
        <w:t xml:space="preserve"> Działania niepożądane</w:t>
      </w:r>
    </w:p>
    <w:p w14:paraId="2F8E1686" w14:textId="77777777" w:rsidR="00D22235" w:rsidRPr="008F328C" w:rsidRDefault="00D22235" w:rsidP="00D22235">
      <w:pPr>
        <w:spacing w:before="10" w:line="240" w:lineRule="exact"/>
        <w:rPr>
          <w:rFonts w:ascii="Times New Roman" w:hAnsi="Times New Roman" w:cs="Times New Roman"/>
          <w:sz w:val="24"/>
          <w:szCs w:val="24"/>
          <w:lang w:val="pl-PL"/>
        </w:rPr>
      </w:pPr>
    </w:p>
    <w:tbl>
      <w:tblPr>
        <w:tblStyle w:val="TableNormal1"/>
        <w:tblW w:w="0" w:type="auto"/>
        <w:tblInd w:w="110" w:type="dxa"/>
        <w:tblLook w:val="01E0" w:firstRow="1" w:lastRow="1" w:firstColumn="1" w:lastColumn="1" w:noHBand="0" w:noVBand="0"/>
      </w:tblPr>
      <w:tblGrid>
        <w:gridCol w:w="2556"/>
        <w:gridCol w:w="2031"/>
        <w:gridCol w:w="4695"/>
      </w:tblGrid>
      <w:tr w:rsidR="00D22235" w:rsidRPr="008F328C" w14:paraId="46B15C31" w14:textId="77777777" w:rsidTr="00B17C6A">
        <w:tc>
          <w:tcPr>
            <w:tcW w:w="2599" w:type="dxa"/>
            <w:tcBorders>
              <w:top w:val="single" w:sz="5" w:space="0" w:color="000000"/>
              <w:left w:val="single" w:sz="5" w:space="0" w:color="000000"/>
              <w:bottom w:val="single" w:sz="5" w:space="0" w:color="000000"/>
              <w:right w:val="single" w:sz="5" w:space="0" w:color="000000"/>
            </w:tcBorders>
          </w:tcPr>
          <w:p w14:paraId="7902EA45" w14:textId="77777777" w:rsidR="00D22235" w:rsidRPr="008F328C" w:rsidRDefault="00D22235" w:rsidP="00B17C6A">
            <w:pPr>
              <w:pStyle w:val="TableParagraph"/>
              <w:ind w:left="109"/>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Klasyfikacja układów i narządów</w:t>
            </w:r>
          </w:p>
        </w:tc>
        <w:tc>
          <w:tcPr>
            <w:tcW w:w="2076" w:type="dxa"/>
            <w:tcBorders>
              <w:top w:val="single" w:sz="5" w:space="0" w:color="000000"/>
              <w:left w:val="single" w:sz="5" w:space="0" w:color="000000"/>
              <w:bottom w:val="single" w:sz="5" w:space="0" w:color="000000"/>
              <w:right w:val="single" w:sz="5" w:space="0" w:color="000000"/>
            </w:tcBorders>
          </w:tcPr>
          <w:p w14:paraId="7FE23FDD" w14:textId="77777777" w:rsidR="00D22235" w:rsidRPr="008F328C" w:rsidRDefault="00D22235" w:rsidP="00B17C6A">
            <w:pPr>
              <w:pStyle w:val="TableParagraph"/>
              <w:ind w:left="529"/>
              <w:rPr>
                <w:rFonts w:ascii="Times New Roman" w:eastAsia="Times New Roman" w:hAnsi="Times New Roman" w:cs="Times New Roman"/>
                <w:lang w:val="pl-PL"/>
              </w:rPr>
            </w:pPr>
            <w:r w:rsidRPr="008F328C">
              <w:rPr>
                <w:rFonts w:ascii="Times New Roman" w:eastAsia="Times New Roman" w:hAnsi="Times New Roman" w:cs="Times New Roman"/>
                <w:b/>
                <w:bCs/>
                <w:lang w:val="pl-PL"/>
              </w:rPr>
              <w:t>Częstość</w:t>
            </w:r>
          </w:p>
        </w:tc>
        <w:tc>
          <w:tcPr>
            <w:tcW w:w="4695" w:type="dxa"/>
            <w:tcBorders>
              <w:top w:val="single" w:sz="5" w:space="0" w:color="000000"/>
              <w:left w:val="single" w:sz="5" w:space="0" w:color="000000"/>
              <w:bottom w:val="single" w:sz="5" w:space="0" w:color="000000"/>
              <w:right w:val="single" w:sz="5" w:space="0" w:color="000000"/>
            </w:tcBorders>
          </w:tcPr>
          <w:p w14:paraId="25B90995" w14:textId="77777777" w:rsidR="00D22235" w:rsidRPr="008F328C" w:rsidRDefault="00D22235" w:rsidP="00B17C6A">
            <w:pPr>
              <w:pStyle w:val="TableParagraph"/>
              <w:ind w:left="145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Działanie niepożądane</w:t>
            </w:r>
          </w:p>
        </w:tc>
      </w:tr>
      <w:tr w:rsidR="00D22235" w:rsidRPr="00A5286D" w14:paraId="787532FD" w14:textId="77777777" w:rsidTr="00B17C6A">
        <w:tc>
          <w:tcPr>
            <w:tcW w:w="2599" w:type="dxa"/>
            <w:vMerge w:val="restart"/>
            <w:tcBorders>
              <w:top w:val="single" w:sz="5" w:space="0" w:color="000000"/>
              <w:left w:val="single" w:sz="5" w:space="0" w:color="000000"/>
              <w:right w:val="single" w:sz="5" w:space="0" w:color="000000"/>
            </w:tcBorders>
          </w:tcPr>
          <w:p w14:paraId="1D2A8D15" w14:textId="77777777" w:rsidR="00D22235" w:rsidRPr="008F328C" w:rsidRDefault="00D22235" w:rsidP="00B17C6A">
            <w:pPr>
              <w:pStyle w:val="TableParagraph"/>
              <w:ind w:left="102" w:right="15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i zarażenia pasożytnicze*</w:t>
            </w:r>
          </w:p>
        </w:tc>
        <w:tc>
          <w:tcPr>
            <w:tcW w:w="2076" w:type="dxa"/>
            <w:tcBorders>
              <w:top w:val="single" w:sz="5" w:space="0" w:color="000000"/>
              <w:left w:val="single" w:sz="5" w:space="0" w:color="000000"/>
              <w:bottom w:val="single" w:sz="5" w:space="0" w:color="000000"/>
              <w:right w:val="single" w:sz="5" w:space="0" w:color="000000"/>
            </w:tcBorders>
          </w:tcPr>
          <w:p w14:paraId="04732AD6"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13EFCC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dróg oddechowych (w tym zakażenia dolnych i górnych dróg oddechowych, zapalenie płuc, zapalenie zatok, zapalenie gardła, zapalenie części nosowej gardła i zapalenie płuc wywołane przez wirusa opryszczki)</w:t>
            </w:r>
          </w:p>
        </w:tc>
      </w:tr>
      <w:tr w:rsidR="00D22235" w:rsidRPr="00A5286D" w14:paraId="40D1F711" w14:textId="77777777" w:rsidTr="00B17C6A">
        <w:tc>
          <w:tcPr>
            <w:tcW w:w="2599" w:type="dxa"/>
            <w:vMerge/>
            <w:tcBorders>
              <w:left w:val="single" w:sz="5" w:space="0" w:color="000000"/>
              <w:right w:val="single" w:sz="5" w:space="0" w:color="000000"/>
            </w:tcBorders>
          </w:tcPr>
          <w:p w14:paraId="4332110A"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2C493A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A618AD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układowe (w tym posocznica, drożdżyca i grypa),</w:t>
            </w:r>
          </w:p>
          <w:p w14:paraId="0B1943CA" w14:textId="77777777" w:rsidR="00D22235" w:rsidRPr="008F328C" w:rsidRDefault="00D22235" w:rsidP="00B17C6A">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jelitowe (w tym wirusowe zapalenie żołądka i jelit),</w:t>
            </w:r>
          </w:p>
          <w:p w14:paraId="634A4777"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skóry i tkanek miękkich (w tym zanokcica, zapalenie tkanki łącznej, liszajec, martwicze zapalenie powięzi i półpasiec),</w:t>
            </w:r>
          </w:p>
          <w:p w14:paraId="33A48B1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ucha,</w:t>
            </w:r>
          </w:p>
          <w:p w14:paraId="4A7858D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w obrębie jamy ustnej (w tym zakażenie wirusem opryszczki pospolitej, opryszczka wargowa i zakażenia zębów),</w:t>
            </w:r>
          </w:p>
          <w:p w14:paraId="05F59431"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dróg rodnych (w tym zakażenie grzybicze sromu i pochwy), </w:t>
            </w:r>
          </w:p>
          <w:p w14:paraId="3942CBFB"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dróg moczowych (w tym odmiedniczkowe zapalenie nerek), </w:t>
            </w:r>
          </w:p>
          <w:p w14:paraId="52982E2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zakażenia grzybicze, </w:t>
            </w:r>
          </w:p>
          <w:p w14:paraId="332F836F"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zakażenia stawów</w:t>
            </w:r>
          </w:p>
        </w:tc>
      </w:tr>
      <w:tr w:rsidR="00D22235" w:rsidRPr="00A5286D" w14:paraId="156819E8" w14:textId="77777777" w:rsidTr="00B17C6A">
        <w:tc>
          <w:tcPr>
            <w:tcW w:w="2599" w:type="dxa"/>
            <w:vMerge/>
            <w:tcBorders>
              <w:left w:val="single" w:sz="5" w:space="0" w:color="000000"/>
              <w:bottom w:val="single" w:sz="5" w:space="0" w:color="000000"/>
              <w:right w:val="single" w:sz="5" w:space="0" w:color="000000"/>
            </w:tcBorders>
          </w:tcPr>
          <w:p w14:paraId="5200146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81C7DD9"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814EF6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układu nerwowego (w tym wirusowe</w:t>
            </w:r>
          </w:p>
          <w:p w14:paraId="46305E9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zapalenie opon mózgowych),</w:t>
            </w:r>
          </w:p>
          <w:p w14:paraId="48AA88F9" w14:textId="77777777" w:rsidR="00D22235" w:rsidRPr="008F328C" w:rsidRDefault="00D22235" w:rsidP="00B17C6A">
            <w:pPr>
              <w:pStyle w:val="TableParagraph"/>
              <w:ind w:left="99" w:right="235"/>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oportunistyczne i gruźlica (w tym kokcydioidomykoza, histoplazmoza i zakażenie Mycobacterium avium complex), </w:t>
            </w:r>
          </w:p>
          <w:p w14:paraId="51558D6D" w14:textId="77777777" w:rsidR="00D22235" w:rsidRPr="008F328C" w:rsidRDefault="00D22235" w:rsidP="00B17C6A">
            <w:pPr>
              <w:pStyle w:val="TableParagraph"/>
              <w:ind w:left="99" w:right="23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bakteryjne,</w:t>
            </w:r>
          </w:p>
          <w:p w14:paraId="5A1F67B0" w14:textId="77777777" w:rsidR="00D22235" w:rsidRPr="008F328C" w:rsidRDefault="00D22235" w:rsidP="00B17C6A">
            <w:pPr>
              <w:pStyle w:val="TableParagraph"/>
              <w:ind w:left="99" w:right="199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oka, </w:t>
            </w:r>
          </w:p>
          <w:p w14:paraId="01D9A3A8" w14:textId="77777777" w:rsidR="00D22235" w:rsidRPr="008F328C" w:rsidRDefault="00D22235" w:rsidP="00B17C6A">
            <w:pPr>
              <w:pStyle w:val="TableParagraph"/>
              <w:ind w:left="99" w:right="199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uchyłków</w:t>
            </w:r>
            <w:r w:rsidRPr="008F328C">
              <w:rPr>
                <w:rFonts w:ascii="Times New Roman" w:eastAsia="Times New Roman" w:hAnsi="Times New Roman" w:cs="Times New Roman"/>
                <w:spacing w:val="-1"/>
                <w:vertAlign w:val="superscript"/>
                <w:lang w:val="pl-PL"/>
              </w:rPr>
              <w:t>1)</w:t>
            </w:r>
          </w:p>
        </w:tc>
      </w:tr>
      <w:tr w:rsidR="00D22235" w:rsidRPr="008F328C" w14:paraId="1DA5BBC4" w14:textId="77777777" w:rsidTr="00B17C6A">
        <w:tc>
          <w:tcPr>
            <w:tcW w:w="2599" w:type="dxa"/>
            <w:vMerge w:val="restart"/>
            <w:tcBorders>
              <w:top w:val="single" w:sz="5" w:space="0" w:color="000000"/>
              <w:left w:val="single" w:sz="5" w:space="0" w:color="000000"/>
              <w:right w:val="single" w:sz="5" w:space="0" w:color="000000"/>
            </w:tcBorders>
          </w:tcPr>
          <w:p w14:paraId="55B6A3C3" w14:textId="77777777" w:rsidR="00D22235" w:rsidRPr="008F328C" w:rsidRDefault="00D22235" w:rsidP="00B17C6A">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Nowotwory łagodne, złośliwe i nieokreślone (w tym torbiele i polipy)*</w:t>
            </w:r>
          </w:p>
        </w:tc>
        <w:tc>
          <w:tcPr>
            <w:tcW w:w="2076" w:type="dxa"/>
            <w:tcBorders>
              <w:top w:val="single" w:sz="5" w:space="0" w:color="000000"/>
              <w:left w:val="single" w:sz="5" w:space="0" w:color="000000"/>
              <w:bottom w:val="single" w:sz="5" w:space="0" w:color="000000"/>
              <w:right w:val="single" w:sz="5" w:space="0" w:color="000000"/>
            </w:tcBorders>
          </w:tcPr>
          <w:p w14:paraId="5AB54F7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8B5BFEC" w14:textId="77777777" w:rsidR="00D22235" w:rsidRPr="008F328C" w:rsidRDefault="00D22235" w:rsidP="00B17C6A">
            <w:pPr>
              <w:pStyle w:val="TableParagraph"/>
              <w:ind w:left="99" w:right="18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Rak skóry z wyjątkiem czerniaka (w tym rak podstawnokomórkowy i rak płaskonabłonkowy),</w:t>
            </w:r>
          </w:p>
          <w:p w14:paraId="6F90B612"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łagodny</w:t>
            </w:r>
          </w:p>
        </w:tc>
      </w:tr>
      <w:tr w:rsidR="00D22235" w:rsidRPr="008F328C" w14:paraId="55A182DD" w14:textId="77777777" w:rsidTr="00B17C6A">
        <w:tc>
          <w:tcPr>
            <w:tcW w:w="2599" w:type="dxa"/>
            <w:vMerge/>
            <w:tcBorders>
              <w:left w:val="single" w:sz="5" w:space="0" w:color="000000"/>
              <w:right w:val="single" w:sz="5" w:space="0" w:color="000000"/>
            </w:tcBorders>
          </w:tcPr>
          <w:p w14:paraId="7A20FEFA"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EE2C689"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CE7709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Chłoniak**,</w:t>
            </w:r>
          </w:p>
          <w:p w14:paraId="15D6AC71" w14:textId="77777777" w:rsidR="00D22235" w:rsidRPr="008F328C" w:rsidRDefault="00D22235" w:rsidP="00B17C6A">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narządów litych (w tym rak piersi, rak płuc i rak gruczołu tarczowego),</w:t>
            </w:r>
          </w:p>
          <w:p w14:paraId="67A23A3F"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czerniak**</w:t>
            </w:r>
          </w:p>
        </w:tc>
      </w:tr>
      <w:tr w:rsidR="00D22235" w:rsidRPr="008F328C" w14:paraId="076C0F5F" w14:textId="77777777" w:rsidTr="00B17C6A">
        <w:tc>
          <w:tcPr>
            <w:tcW w:w="2599" w:type="dxa"/>
            <w:vMerge/>
            <w:tcBorders>
              <w:left w:val="single" w:sz="5" w:space="0" w:color="000000"/>
              <w:right w:val="single" w:sz="5" w:space="0" w:color="000000"/>
            </w:tcBorders>
          </w:tcPr>
          <w:p w14:paraId="30263B6B"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5C23743"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46CED271"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Białaczka</w:t>
            </w:r>
            <w:r w:rsidRPr="008F328C">
              <w:rPr>
                <w:rFonts w:ascii="Times New Roman" w:eastAsia="Times New Roman" w:hAnsi="Times New Roman" w:cs="Times New Roman"/>
                <w:spacing w:val="-1"/>
                <w:vertAlign w:val="superscript"/>
                <w:lang w:val="pl-PL"/>
              </w:rPr>
              <w:t>1)</w:t>
            </w:r>
          </w:p>
        </w:tc>
      </w:tr>
      <w:tr w:rsidR="00D22235" w:rsidRPr="008F328C" w14:paraId="1C5ED941" w14:textId="77777777" w:rsidTr="00B17C6A">
        <w:tc>
          <w:tcPr>
            <w:tcW w:w="2599" w:type="dxa"/>
            <w:vMerge/>
            <w:tcBorders>
              <w:left w:val="single" w:sz="5" w:space="0" w:color="000000"/>
              <w:bottom w:val="single" w:sz="5" w:space="0" w:color="000000"/>
              <w:right w:val="single" w:sz="5" w:space="0" w:color="000000"/>
            </w:tcBorders>
          </w:tcPr>
          <w:p w14:paraId="57966C94"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0D0450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10F50087" w14:textId="77777777" w:rsidR="00D22235" w:rsidRPr="008F328C" w:rsidRDefault="00D22235" w:rsidP="00B17C6A">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Chłoniak T-komórkowy wątrobowo-śledzionowy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2221EC7F" w14:textId="77777777" w:rsidR="00D22235" w:rsidRPr="008F328C" w:rsidRDefault="00D22235" w:rsidP="00B17C6A">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rak z komórek Merkla (neuroendokrynny nowotwór złośliwy skóry)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0A7A997C" w14:textId="77777777" w:rsidR="00D22235" w:rsidRPr="008F328C" w:rsidRDefault="00D22235" w:rsidP="00B17C6A">
            <w:pPr>
              <w:pStyle w:val="TableParagraph"/>
              <w:ind w:left="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mięsak Kaposiego </w:t>
            </w:r>
          </w:p>
        </w:tc>
      </w:tr>
      <w:tr w:rsidR="00D22235" w:rsidRPr="008F328C" w14:paraId="442F6C43" w14:textId="77777777" w:rsidTr="00B17C6A">
        <w:tc>
          <w:tcPr>
            <w:tcW w:w="2599" w:type="dxa"/>
            <w:vMerge w:val="restart"/>
            <w:tcBorders>
              <w:top w:val="single" w:sz="5" w:space="0" w:color="000000"/>
              <w:left w:val="single" w:sz="5" w:space="0" w:color="000000"/>
              <w:right w:val="single" w:sz="5" w:space="0" w:color="000000"/>
            </w:tcBorders>
          </w:tcPr>
          <w:p w14:paraId="7DC156B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krwi i układu chłonnego*</w:t>
            </w:r>
          </w:p>
        </w:tc>
        <w:tc>
          <w:tcPr>
            <w:tcW w:w="2076" w:type="dxa"/>
            <w:tcBorders>
              <w:top w:val="single" w:sz="5" w:space="0" w:color="000000"/>
              <w:left w:val="single" w:sz="5" w:space="0" w:color="000000"/>
              <w:bottom w:val="single" w:sz="5" w:space="0" w:color="000000"/>
              <w:right w:val="single" w:sz="5" w:space="0" w:color="000000"/>
            </w:tcBorders>
          </w:tcPr>
          <w:p w14:paraId="7D28D55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228C63A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Leukopenia (w tym neutropenia i granulocytoza),</w:t>
            </w:r>
          </w:p>
          <w:p w14:paraId="7ED81F2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niedokrwistość</w:t>
            </w:r>
          </w:p>
        </w:tc>
      </w:tr>
      <w:tr w:rsidR="00D22235" w:rsidRPr="00A5286D" w14:paraId="2B4CD636" w14:textId="77777777" w:rsidTr="00B17C6A">
        <w:tc>
          <w:tcPr>
            <w:tcW w:w="2599" w:type="dxa"/>
            <w:vMerge/>
            <w:tcBorders>
              <w:left w:val="single" w:sz="5" w:space="0" w:color="000000"/>
              <w:right w:val="single" w:sz="5" w:space="0" w:color="000000"/>
            </w:tcBorders>
          </w:tcPr>
          <w:p w14:paraId="6A592B91"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9E942B9"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4B1A66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Leukocytoza,</w:t>
            </w:r>
          </w:p>
          <w:p w14:paraId="2E486B65"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małopłytkowość</w:t>
            </w:r>
          </w:p>
        </w:tc>
      </w:tr>
      <w:tr w:rsidR="00D22235" w:rsidRPr="00A5286D" w14:paraId="04CB859C" w14:textId="77777777" w:rsidTr="00B17C6A">
        <w:tc>
          <w:tcPr>
            <w:tcW w:w="2599" w:type="dxa"/>
            <w:vMerge/>
            <w:tcBorders>
              <w:left w:val="single" w:sz="5" w:space="0" w:color="000000"/>
              <w:right w:val="single" w:sz="5" w:space="0" w:color="000000"/>
            </w:tcBorders>
          </w:tcPr>
          <w:p w14:paraId="3DC2AB43"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030F46A"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11D86D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Samoistna plamica małopłytkowa</w:t>
            </w:r>
          </w:p>
        </w:tc>
      </w:tr>
      <w:tr w:rsidR="00D22235" w:rsidRPr="008F328C" w14:paraId="11C0B0AF" w14:textId="77777777" w:rsidTr="00B17C6A">
        <w:tc>
          <w:tcPr>
            <w:tcW w:w="2599" w:type="dxa"/>
            <w:vMerge/>
            <w:tcBorders>
              <w:left w:val="single" w:sz="5" w:space="0" w:color="000000"/>
              <w:bottom w:val="single" w:sz="5" w:space="0" w:color="000000"/>
              <w:right w:val="single" w:sz="5" w:space="0" w:color="000000"/>
            </w:tcBorders>
          </w:tcPr>
          <w:p w14:paraId="0ED1636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1E01774"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CF0823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Pancytopenia</w:t>
            </w:r>
          </w:p>
        </w:tc>
      </w:tr>
      <w:tr w:rsidR="00D22235" w:rsidRPr="00A5286D" w14:paraId="00F0CBFA" w14:textId="77777777" w:rsidTr="00B17C6A">
        <w:tc>
          <w:tcPr>
            <w:tcW w:w="2599" w:type="dxa"/>
            <w:vMerge w:val="restart"/>
            <w:tcBorders>
              <w:top w:val="single" w:sz="5" w:space="0" w:color="000000"/>
              <w:left w:val="single" w:sz="5" w:space="0" w:color="000000"/>
              <w:right w:val="single" w:sz="5" w:space="0" w:color="000000"/>
            </w:tcBorders>
          </w:tcPr>
          <w:p w14:paraId="2846D33C"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immunologicznego*</w:t>
            </w:r>
          </w:p>
        </w:tc>
        <w:tc>
          <w:tcPr>
            <w:tcW w:w="2076" w:type="dxa"/>
            <w:tcBorders>
              <w:top w:val="single" w:sz="5" w:space="0" w:color="000000"/>
              <w:left w:val="single" w:sz="5" w:space="0" w:color="000000"/>
              <w:bottom w:val="single" w:sz="5" w:space="0" w:color="000000"/>
              <w:right w:val="single" w:sz="5" w:space="0" w:color="000000"/>
            </w:tcBorders>
          </w:tcPr>
          <w:p w14:paraId="40227E56"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655856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Nadwrażliwość,</w:t>
            </w:r>
          </w:p>
          <w:p w14:paraId="19EBAA4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alergie (w tym alergia sezonowa)</w:t>
            </w:r>
          </w:p>
        </w:tc>
      </w:tr>
      <w:tr w:rsidR="00D22235" w:rsidRPr="008F328C" w14:paraId="03D36646" w14:textId="77777777" w:rsidTr="00B17C6A">
        <w:tc>
          <w:tcPr>
            <w:tcW w:w="2599" w:type="dxa"/>
            <w:vMerge/>
            <w:tcBorders>
              <w:left w:val="single" w:sz="5" w:space="0" w:color="000000"/>
              <w:right w:val="single" w:sz="5" w:space="0" w:color="000000"/>
            </w:tcBorders>
          </w:tcPr>
          <w:p w14:paraId="30CDE94C"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67BDA4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871E10C" w14:textId="77777777" w:rsidR="00D22235" w:rsidRPr="008F328C" w:rsidRDefault="00D22235" w:rsidP="00B17C6A">
            <w:pPr>
              <w:pStyle w:val="TableParagraph"/>
              <w:ind w:left="99" w:right="318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Sarkoidoza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zapalenie naczyń</w:t>
            </w:r>
          </w:p>
        </w:tc>
      </w:tr>
      <w:tr w:rsidR="00D22235" w:rsidRPr="008F328C" w14:paraId="24744E77" w14:textId="77777777" w:rsidTr="00B17C6A">
        <w:tc>
          <w:tcPr>
            <w:tcW w:w="2599" w:type="dxa"/>
            <w:vMerge/>
            <w:tcBorders>
              <w:left w:val="single" w:sz="5" w:space="0" w:color="000000"/>
              <w:bottom w:val="single" w:sz="5" w:space="0" w:color="000000"/>
              <w:right w:val="single" w:sz="5" w:space="0" w:color="000000"/>
            </w:tcBorders>
          </w:tcPr>
          <w:p w14:paraId="600747E5"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25E0C7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3D0FDBE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Anafilaksja</w:t>
            </w:r>
            <w:r w:rsidRPr="008F328C">
              <w:rPr>
                <w:rFonts w:ascii="Times New Roman" w:eastAsia="Times New Roman" w:hAnsi="Times New Roman" w:cs="Times New Roman"/>
                <w:spacing w:val="-1"/>
                <w:vertAlign w:val="superscript"/>
                <w:lang w:val="pl-PL"/>
              </w:rPr>
              <w:t>1)</w:t>
            </w:r>
          </w:p>
        </w:tc>
      </w:tr>
      <w:tr w:rsidR="00D22235" w:rsidRPr="00A5286D" w14:paraId="424AFD36" w14:textId="77777777" w:rsidTr="00B17C6A">
        <w:tc>
          <w:tcPr>
            <w:tcW w:w="2599" w:type="dxa"/>
            <w:vMerge w:val="restart"/>
            <w:tcBorders>
              <w:top w:val="single" w:sz="5" w:space="0" w:color="000000"/>
              <w:left w:val="single" w:sz="5" w:space="0" w:color="000000"/>
              <w:right w:val="single" w:sz="5" w:space="0" w:color="000000"/>
            </w:tcBorders>
          </w:tcPr>
          <w:p w14:paraId="1CF2F663"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metabolizmu i odżywiania</w:t>
            </w:r>
          </w:p>
        </w:tc>
        <w:tc>
          <w:tcPr>
            <w:tcW w:w="2076" w:type="dxa"/>
            <w:tcBorders>
              <w:top w:val="single" w:sz="5" w:space="0" w:color="000000"/>
              <w:left w:val="single" w:sz="5" w:space="0" w:color="000000"/>
              <w:bottom w:val="single" w:sz="5" w:space="0" w:color="000000"/>
              <w:right w:val="single" w:sz="5" w:space="0" w:color="000000"/>
            </w:tcBorders>
          </w:tcPr>
          <w:p w14:paraId="2FE2EE8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2FE6BF7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stężenia lipidów</w:t>
            </w:r>
          </w:p>
        </w:tc>
      </w:tr>
      <w:tr w:rsidR="00D22235" w:rsidRPr="008F328C" w14:paraId="1424BCEF" w14:textId="77777777" w:rsidTr="00B17C6A">
        <w:tc>
          <w:tcPr>
            <w:tcW w:w="2599" w:type="dxa"/>
            <w:vMerge/>
            <w:tcBorders>
              <w:left w:val="single" w:sz="5" w:space="0" w:color="000000"/>
              <w:bottom w:val="single" w:sz="5" w:space="0" w:color="000000"/>
              <w:right w:val="single" w:sz="5" w:space="0" w:color="000000"/>
            </w:tcBorders>
          </w:tcPr>
          <w:p w14:paraId="51E0CC12"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801A50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22408B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Hipokaliemia,</w:t>
            </w:r>
          </w:p>
          <w:p w14:paraId="2B6FC0F5"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zwiększenie stężenia kwasu moczowego, </w:t>
            </w:r>
          </w:p>
          <w:p w14:paraId="794A345E"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nieprawidłowe stężenie sodu we krwi, </w:t>
            </w:r>
          </w:p>
          <w:p w14:paraId="2EC7F149"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hipokalcemia, </w:t>
            </w:r>
          </w:p>
          <w:p w14:paraId="4780502A"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hiperglikemia, </w:t>
            </w:r>
          </w:p>
          <w:p w14:paraId="20904283"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hipofosfatemia, </w:t>
            </w:r>
          </w:p>
          <w:p w14:paraId="59545A9A"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odwodnienie</w:t>
            </w:r>
          </w:p>
        </w:tc>
      </w:tr>
      <w:tr w:rsidR="00D22235" w:rsidRPr="00A5286D" w14:paraId="729212FB" w14:textId="77777777" w:rsidTr="00B17C6A">
        <w:tc>
          <w:tcPr>
            <w:tcW w:w="2599" w:type="dxa"/>
            <w:tcBorders>
              <w:top w:val="single" w:sz="5" w:space="0" w:color="000000"/>
              <w:left w:val="single" w:sz="5" w:space="0" w:color="000000"/>
              <w:bottom w:val="single" w:sz="5" w:space="0" w:color="000000"/>
              <w:right w:val="single" w:sz="5" w:space="0" w:color="000000"/>
            </w:tcBorders>
          </w:tcPr>
          <w:p w14:paraId="6070E16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psychiczne</w:t>
            </w:r>
          </w:p>
        </w:tc>
        <w:tc>
          <w:tcPr>
            <w:tcW w:w="2076" w:type="dxa"/>
            <w:tcBorders>
              <w:top w:val="single" w:sz="5" w:space="0" w:color="000000"/>
              <w:left w:val="single" w:sz="5" w:space="0" w:color="000000"/>
              <w:bottom w:val="single" w:sz="5" w:space="0" w:color="000000"/>
              <w:right w:val="single" w:sz="5" w:space="0" w:color="000000"/>
            </w:tcBorders>
          </w:tcPr>
          <w:p w14:paraId="65834E2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95A4166" w14:textId="77777777" w:rsidR="00D22235" w:rsidRPr="008F328C" w:rsidRDefault="00D22235" w:rsidP="00B17C6A">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Zmiany nastroju (w tym depresja), </w:t>
            </w:r>
          </w:p>
          <w:p w14:paraId="168BE356" w14:textId="77777777" w:rsidR="00D22235" w:rsidRPr="008F328C" w:rsidRDefault="00D22235" w:rsidP="00B17C6A">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niepokój, </w:t>
            </w:r>
          </w:p>
          <w:p w14:paraId="0F9D28B2" w14:textId="77777777" w:rsidR="00D22235" w:rsidRPr="008F328C" w:rsidRDefault="00D22235" w:rsidP="00B17C6A">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bezsenność</w:t>
            </w:r>
          </w:p>
          <w:p w14:paraId="1B2EEEF6" w14:textId="77777777" w:rsidR="00D22235" w:rsidRPr="008F328C" w:rsidRDefault="00D22235" w:rsidP="00B17C6A">
            <w:pPr>
              <w:pStyle w:val="TableParagraph"/>
              <w:ind w:left="99"/>
              <w:rPr>
                <w:rFonts w:ascii="Times New Roman" w:eastAsia="Times New Roman" w:hAnsi="Times New Roman" w:cs="Times New Roman"/>
                <w:lang w:val="pl-PL"/>
              </w:rPr>
            </w:pPr>
          </w:p>
        </w:tc>
      </w:tr>
      <w:tr w:rsidR="00D22235" w:rsidRPr="008F328C" w14:paraId="231516D2" w14:textId="77777777" w:rsidTr="00B17C6A">
        <w:tc>
          <w:tcPr>
            <w:tcW w:w="2599" w:type="dxa"/>
            <w:vMerge w:val="restart"/>
            <w:tcBorders>
              <w:top w:val="single" w:sz="5" w:space="0" w:color="000000"/>
              <w:left w:val="single" w:sz="5" w:space="0" w:color="000000"/>
              <w:right w:val="single" w:sz="5" w:space="0" w:color="000000"/>
            </w:tcBorders>
          </w:tcPr>
          <w:p w14:paraId="68EF093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nerwowego*</w:t>
            </w:r>
          </w:p>
        </w:tc>
        <w:tc>
          <w:tcPr>
            <w:tcW w:w="2076" w:type="dxa"/>
            <w:tcBorders>
              <w:top w:val="single" w:sz="5" w:space="0" w:color="000000"/>
              <w:left w:val="single" w:sz="5" w:space="0" w:color="000000"/>
              <w:bottom w:val="single" w:sz="5" w:space="0" w:color="000000"/>
              <w:right w:val="single" w:sz="5" w:space="0" w:color="000000"/>
            </w:tcBorders>
          </w:tcPr>
          <w:p w14:paraId="354066C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02B2DEAC"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głowy</w:t>
            </w:r>
          </w:p>
        </w:tc>
      </w:tr>
      <w:tr w:rsidR="00D22235" w:rsidRPr="00A5286D" w14:paraId="37405B1D" w14:textId="77777777" w:rsidTr="00B17C6A">
        <w:tc>
          <w:tcPr>
            <w:tcW w:w="2599" w:type="dxa"/>
            <w:vMerge/>
            <w:tcBorders>
              <w:left w:val="single" w:sz="5" w:space="0" w:color="000000"/>
              <w:right w:val="single" w:sz="5" w:space="0" w:color="000000"/>
            </w:tcBorders>
          </w:tcPr>
          <w:p w14:paraId="7B1941D1"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2FEE35E"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7654B1D" w14:textId="77777777" w:rsidR="00D22235" w:rsidRPr="008F328C" w:rsidRDefault="00D22235" w:rsidP="00B17C6A">
            <w:pPr>
              <w:pStyle w:val="TableParagraph"/>
              <w:ind w:left="99" w:right="65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Parestezje (w tym niedoczulica), </w:t>
            </w:r>
          </w:p>
          <w:p w14:paraId="63FF79B0" w14:textId="77777777" w:rsidR="00D22235" w:rsidRPr="008F328C" w:rsidRDefault="00D22235" w:rsidP="00B17C6A">
            <w:pPr>
              <w:pStyle w:val="TableParagraph"/>
              <w:ind w:left="99" w:right="65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migrena,</w:t>
            </w:r>
          </w:p>
          <w:p w14:paraId="5AEC5331"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ucisk korzenia nerwowego</w:t>
            </w:r>
          </w:p>
        </w:tc>
      </w:tr>
      <w:tr w:rsidR="00D22235" w:rsidRPr="00A5286D" w14:paraId="7DAD14BE" w14:textId="77777777" w:rsidTr="00B17C6A">
        <w:tc>
          <w:tcPr>
            <w:tcW w:w="2599" w:type="dxa"/>
            <w:vMerge/>
            <w:tcBorders>
              <w:left w:val="single" w:sz="5" w:space="0" w:color="000000"/>
              <w:right w:val="single" w:sz="5" w:space="0" w:color="000000"/>
            </w:tcBorders>
          </w:tcPr>
          <w:p w14:paraId="3AF438FC"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63AE00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BB16D7E"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Udar mózgu</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40C26BC4" w14:textId="77777777" w:rsidR="00D22235" w:rsidRPr="008F328C" w:rsidRDefault="00D22235" w:rsidP="00B17C6A">
            <w:pPr>
              <w:pStyle w:val="TableParagraph"/>
              <w:ind w:left="99" w:right="28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drżenie mięśniowe, neuropatia</w:t>
            </w:r>
          </w:p>
        </w:tc>
      </w:tr>
      <w:tr w:rsidR="00D22235" w:rsidRPr="00A5286D" w14:paraId="7A08E110" w14:textId="77777777" w:rsidTr="00B17C6A">
        <w:tc>
          <w:tcPr>
            <w:tcW w:w="2599" w:type="dxa"/>
            <w:vMerge/>
            <w:tcBorders>
              <w:left w:val="single" w:sz="5" w:space="0" w:color="000000"/>
              <w:bottom w:val="single" w:sz="5" w:space="0" w:color="000000"/>
              <w:right w:val="single" w:sz="5" w:space="0" w:color="000000"/>
            </w:tcBorders>
          </w:tcPr>
          <w:p w14:paraId="7401B55B"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097597A"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495042B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Stwardnienie rozsiane,</w:t>
            </w:r>
          </w:p>
          <w:p w14:paraId="271C0C1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zaburzenia demielinizacyjne (np. zapalenie nerwu wzrokowego, zespół Guillaina-Barrégo)</w:t>
            </w:r>
            <w:r w:rsidRPr="008F328C">
              <w:rPr>
                <w:rFonts w:ascii="Times New Roman" w:eastAsia="Times New Roman" w:hAnsi="Times New Roman" w:cs="Times New Roman"/>
                <w:spacing w:val="-1"/>
                <w:vertAlign w:val="superscript"/>
                <w:lang w:val="pl-PL"/>
              </w:rPr>
              <w:t>1)</w:t>
            </w:r>
          </w:p>
        </w:tc>
      </w:tr>
      <w:tr w:rsidR="00D22235" w:rsidRPr="008F328C" w14:paraId="615D117C" w14:textId="77777777" w:rsidTr="00B17C6A">
        <w:tc>
          <w:tcPr>
            <w:tcW w:w="2599" w:type="dxa"/>
            <w:vMerge w:val="restart"/>
            <w:tcBorders>
              <w:top w:val="single" w:sz="5" w:space="0" w:color="000000"/>
              <w:left w:val="single" w:sz="5" w:space="0" w:color="000000"/>
              <w:right w:val="single" w:sz="5" w:space="0" w:color="000000"/>
            </w:tcBorders>
          </w:tcPr>
          <w:p w14:paraId="41AF15AE"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Zaburzenia oka</w:t>
            </w:r>
          </w:p>
        </w:tc>
        <w:tc>
          <w:tcPr>
            <w:tcW w:w="2076" w:type="dxa"/>
            <w:tcBorders>
              <w:top w:val="single" w:sz="5" w:space="0" w:color="000000"/>
              <w:left w:val="single" w:sz="5" w:space="0" w:color="000000"/>
              <w:bottom w:val="single" w:sz="5" w:space="0" w:color="000000"/>
              <w:right w:val="single" w:sz="5" w:space="0" w:color="000000"/>
            </w:tcBorders>
          </w:tcPr>
          <w:p w14:paraId="74DF793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C3A3E59" w14:textId="77777777" w:rsidR="00D22235" w:rsidRPr="008F328C" w:rsidRDefault="00D22235" w:rsidP="00B17C6A">
            <w:pPr>
              <w:pStyle w:val="TableParagraph"/>
              <w:ind w:left="99" w:right="227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Pogorszenie widzenia, zapalenie spojówek, zapalenie powiek,</w:t>
            </w:r>
          </w:p>
          <w:p w14:paraId="2176B07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oka</w:t>
            </w:r>
          </w:p>
        </w:tc>
      </w:tr>
      <w:tr w:rsidR="00D22235" w:rsidRPr="008F328C" w14:paraId="05970EEE" w14:textId="77777777" w:rsidTr="00B17C6A">
        <w:tc>
          <w:tcPr>
            <w:tcW w:w="2599" w:type="dxa"/>
            <w:vMerge/>
            <w:tcBorders>
              <w:left w:val="single" w:sz="5" w:space="0" w:color="000000"/>
              <w:bottom w:val="single" w:sz="5" w:space="0" w:color="000000"/>
              <w:right w:val="single" w:sz="5" w:space="0" w:color="000000"/>
            </w:tcBorders>
          </w:tcPr>
          <w:p w14:paraId="4A74A1BB"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76D5B0C"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94ACC9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Podwójne widzenie</w:t>
            </w:r>
          </w:p>
        </w:tc>
      </w:tr>
      <w:tr w:rsidR="00D22235" w:rsidRPr="008F328C" w14:paraId="23838B67" w14:textId="77777777" w:rsidTr="00B17C6A">
        <w:tc>
          <w:tcPr>
            <w:tcW w:w="2599" w:type="dxa"/>
            <w:vMerge w:val="restart"/>
            <w:tcBorders>
              <w:top w:val="single" w:sz="5" w:space="0" w:color="000000"/>
              <w:left w:val="single" w:sz="5" w:space="0" w:color="000000"/>
              <w:right w:val="single" w:sz="5" w:space="0" w:color="000000"/>
            </w:tcBorders>
          </w:tcPr>
          <w:p w14:paraId="0F2466AD" w14:textId="77777777" w:rsidR="00D22235" w:rsidRPr="008F328C" w:rsidRDefault="00D22235" w:rsidP="00B17C6A">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ucha i błędnika</w:t>
            </w:r>
          </w:p>
        </w:tc>
        <w:tc>
          <w:tcPr>
            <w:tcW w:w="2076" w:type="dxa"/>
            <w:tcBorders>
              <w:top w:val="single" w:sz="5" w:space="0" w:color="000000"/>
              <w:left w:val="single" w:sz="5" w:space="0" w:color="000000"/>
              <w:bottom w:val="single" w:sz="5" w:space="0" w:color="000000"/>
              <w:right w:val="single" w:sz="5" w:space="0" w:color="000000"/>
            </w:tcBorders>
          </w:tcPr>
          <w:p w14:paraId="0283C6C1"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46C8DA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Zawroty głowy</w:t>
            </w:r>
          </w:p>
        </w:tc>
      </w:tr>
      <w:tr w:rsidR="00D22235" w:rsidRPr="00A5286D" w14:paraId="2EE1926E" w14:textId="77777777" w:rsidTr="00B17C6A">
        <w:tc>
          <w:tcPr>
            <w:tcW w:w="2599" w:type="dxa"/>
            <w:vMerge/>
            <w:tcBorders>
              <w:left w:val="single" w:sz="5" w:space="0" w:color="000000"/>
              <w:bottom w:val="single" w:sz="5" w:space="0" w:color="000000"/>
              <w:right w:val="single" w:sz="5" w:space="0" w:color="000000"/>
            </w:tcBorders>
          </w:tcPr>
          <w:p w14:paraId="0887B454"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91DC00C"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55D7BC7"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Głuchota,</w:t>
            </w:r>
          </w:p>
          <w:p w14:paraId="4E625EF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szumy uszne</w:t>
            </w:r>
          </w:p>
        </w:tc>
      </w:tr>
      <w:tr w:rsidR="00D22235" w:rsidRPr="008F328C" w14:paraId="28D29FB6" w14:textId="77777777" w:rsidTr="00B17C6A">
        <w:tc>
          <w:tcPr>
            <w:tcW w:w="2599" w:type="dxa"/>
            <w:vMerge w:val="restart"/>
            <w:tcBorders>
              <w:top w:val="single" w:sz="5" w:space="0" w:color="000000"/>
              <w:left w:val="single" w:sz="5" w:space="0" w:color="000000"/>
              <w:right w:val="single" w:sz="5" w:space="0" w:color="000000"/>
            </w:tcBorders>
          </w:tcPr>
          <w:p w14:paraId="1EBB4CF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serca*</w:t>
            </w:r>
          </w:p>
        </w:tc>
        <w:tc>
          <w:tcPr>
            <w:tcW w:w="2076" w:type="dxa"/>
            <w:tcBorders>
              <w:top w:val="single" w:sz="5" w:space="0" w:color="000000"/>
              <w:left w:val="single" w:sz="5" w:space="0" w:color="000000"/>
              <w:bottom w:val="single" w:sz="5" w:space="0" w:color="000000"/>
              <w:right w:val="single" w:sz="5" w:space="0" w:color="000000"/>
            </w:tcBorders>
          </w:tcPr>
          <w:p w14:paraId="12858D9C"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8964B47"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Tachykardia</w:t>
            </w:r>
          </w:p>
        </w:tc>
      </w:tr>
      <w:tr w:rsidR="00D22235" w:rsidRPr="008F328C" w14:paraId="18E6AD19" w14:textId="77777777" w:rsidTr="00B17C6A">
        <w:tc>
          <w:tcPr>
            <w:tcW w:w="2599" w:type="dxa"/>
            <w:vMerge/>
            <w:tcBorders>
              <w:left w:val="single" w:sz="5" w:space="0" w:color="000000"/>
              <w:right w:val="single" w:sz="5" w:space="0" w:color="000000"/>
            </w:tcBorders>
          </w:tcPr>
          <w:p w14:paraId="3345D672"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1940984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right w:val="single" w:sz="5" w:space="0" w:color="000000"/>
            </w:tcBorders>
          </w:tcPr>
          <w:p w14:paraId="5E1E8C7F" w14:textId="77777777" w:rsidR="00D22235" w:rsidRPr="008F328C" w:rsidRDefault="00D22235" w:rsidP="00B17C6A">
            <w:pPr>
              <w:pStyle w:val="TableParagraph"/>
              <w:ind w:left="99" w:right="1400"/>
              <w:rPr>
                <w:rFonts w:ascii="Times New Roman" w:eastAsia="Times New Roman" w:hAnsi="Times New Roman" w:cs="Times New Roman"/>
                <w:lang w:val="pl-PL"/>
              </w:rPr>
            </w:pPr>
            <w:r w:rsidRPr="008F328C">
              <w:rPr>
                <w:rFonts w:ascii="Times New Roman" w:eastAsia="Times New Roman" w:hAnsi="Times New Roman" w:cs="Times New Roman"/>
                <w:lang w:val="pl-PL"/>
              </w:rPr>
              <w:t>Zawał mięśnia sercowego</w:t>
            </w:r>
            <w:r w:rsidRPr="008F328C">
              <w:rPr>
                <w:rFonts w:ascii="Times New Roman" w:eastAsia="Times New Roman" w:hAnsi="Times New Roman" w:cs="Times New Roman"/>
                <w:vertAlign w:val="superscript"/>
                <w:lang w:val="pl-PL"/>
              </w:rPr>
              <w:t>1)</w:t>
            </w:r>
            <w:r w:rsidRPr="008F328C">
              <w:rPr>
                <w:rFonts w:ascii="Times New Roman" w:eastAsia="Times New Roman" w:hAnsi="Times New Roman" w:cs="Times New Roman"/>
                <w:lang w:val="pl-PL"/>
              </w:rPr>
              <w:t>, zaburzenia rytmu serca,</w:t>
            </w:r>
          </w:p>
          <w:p w14:paraId="5500C08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zastoinowa niewydolność serca</w:t>
            </w:r>
          </w:p>
        </w:tc>
      </w:tr>
      <w:tr w:rsidR="00D22235" w:rsidRPr="008F328C" w14:paraId="52105045" w14:textId="77777777" w:rsidTr="00B17C6A">
        <w:tc>
          <w:tcPr>
            <w:tcW w:w="2599" w:type="dxa"/>
            <w:vMerge/>
            <w:tcBorders>
              <w:left w:val="single" w:sz="5" w:space="0" w:color="000000"/>
              <w:bottom w:val="single" w:sz="5" w:space="0" w:color="000000"/>
              <w:right w:val="single" w:sz="5" w:space="0" w:color="000000"/>
            </w:tcBorders>
          </w:tcPr>
          <w:p w14:paraId="648B5872"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0CCE86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FFB985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Zatrzymane akcji serca</w:t>
            </w:r>
          </w:p>
        </w:tc>
      </w:tr>
      <w:tr w:rsidR="00D22235" w:rsidRPr="008F328C" w14:paraId="54118345" w14:textId="77777777" w:rsidTr="00B17C6A">
        <w:tc>
          <w:tcPr>
            <w:tcW w:w="2599" w:type="dxa"/>
            <w:vMerge w:val="restart"/>
            <w:tcBorders>
              <w:top w:val="single" w:sz="5" w:space="0" w:color="000000"/>
              <w:left w:val="single" w:sz="5" w:space="0" w:color="000000"/>
              <w:right w:val="single" w:sz="5" w:space="0" w:color="000000"/>
            </w:tcBorders>
          </w:tcPr>
          <w:p w14:paraId="56E43AE9"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naczyniowe</w:t>
            </w:r>
          </w:p>
        </w:tc>
        <w:tc>
          <w:tcPr>
            <w:tcW w:w="2076" w:type="dxa"/>
            <w:tcBorders>
              <w:top w:val="single" w:sz="5" w:space="0" w:color="000000"/>
              <w:left w:val="single" w:sz="5" w:space="0" w:color="000000"/>
              <w:bottom w:val="single" w:sz="5" w:space="0" w:color="000000"/>
              <w:right w:val="single" w:sz="5" w:space="0" w:color="000000"/>
            </w:tcBorders>
          </w:tcPr>
          <w:p w14:paraId="0CB4E04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20DB3C8"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Nadciśnienie, </w:t>
            </w:r>
          </w:p>
          <w:p w14:paraId="32B6AFE9"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zaczerwienienie skóry z uczuciem gorąca, </w:t>
            </w:r>
          </w:p>
          <w:p w14:paraId="2587569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krwiak</w:t>
            </w:r>
          </w:p>
        </w:tc>
      </w:tr>
      <w:tr w:rsidR="00D22235" w:rsidRPr="008F328C" w14:paraId="474D8380" w14:textId="77777777" w:rsidTr="00B17C6A">
        <w:tc>
          <w:tcPr>
            <w:tcW w:w="2599" w:type="dxa"/>
            <w:vMerge/>
            <w:tcBorders>
              <w:left w:val="single" w:sz="5" w:space="0" w:color="000000"/>
              <w:bottom w:val="single" w:sz="5" w:space="0" w:color="000000"/>
              <w:right w:val="single" w:sz="5" w:space="0" w:color="000000"/>
            </w:tcBorders>
          </w:tcPr>
          <w:p w14:paraId="3EE5D28C"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1CB0E9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5FB8681"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Tętniak aorty,</w:t>
            </w:r>
          </w:p>
          <w:p w14:paraId="0D63DFED"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niedrożność naczyń tętniczych, </w:t>
            </w:r>
          </w:p>
          <w:p w14:paraId="4B92518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zakrzepowe zapalenie żył</w:t>
            </w:r>
          </w:p>
        </w:tc>
      </w:tr>
      <w:tr w:rsidR="00D22235" w:rsidRPr="00A5286D" w14:paraId="3A3F0AEF" w14:textId="77777777" w:rsidTr="00B17C6A">
        <w:tc>
          <w:tcPr>
            <w:tcW w:w="2599" w:type="dxa"/>
            <w:vMerge w:val="restart"/>
            <w:tcBorders>
              <w:top w:val="single" w:sz="5" w:space="0" w:color="000000"/>
              <w:left w:val="single" w:sz="5" w:space="0" w:color="000000"/>
              <w:right w:val="single" w:sz="5" w:space="0" w:color="000000"/>
            </w:tcBorders>
          </w:tcPr>
          <w:p w14:paraId="03BAA3D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oddechowego, klatki piersiowej i śródpiersia*</w:t>
            </w:r>
          </w:p>
        </w:tc>
        <w:tc>
          <w:tcPr>
            <w:tcW w:w="2076" w:type="dxa"/>
            <w:tcBorders>
              <w:top w:val="single" w:sz="5" w:space="0" w:color="000000"/>
              <w:left w:val="single" w:sz="5" w:space="0" w:color="000000"/>
              <w:bottom w:val="single" w:sz="5" w:space="0" w:color="000000"/>
              <w:right w:val="single" w:sz="5" w:space="0" w:color="000000"/>
            </w:tcBorders>
          </w:tcPr>
          <w:p w14:paraId="2A2C1685"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868B49E"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Astma, </w:t>
            </w:r>
          </w:p>
          <w:p w14:paraId="63E61C77"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duszność, </w:t>
            </w:r>
          </w:p>
          <w:p w14:paraId="0DDEDFDE"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kaszel</w:t>
            </w:r>
          </w:p>
        </w:tc>
      </w:tr>
      <w:tr w:rsidR="00D22235" w:rsidRPr="008F328C" w14:paraId="21D73DC0" w14:textId="77777777" w:rsidTr="00B17C6A">
        <w:tc>
          <w:tcPr>
            <w:tcW w:w="2599" w:type="dxa"/>
            <w:vMerge/>
            <w:tcBorders>
              <w:left w:val="single" w:sz="5" w:space="0" w:color="000000"/>
              <w:right w:val="single" w:sz="5" w:space="0" w:color="000000"/>
            </w:tcBorders>
          </w:tcPr>
          <w:p w14:paraId="1F935103"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1979FE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0DF3E02"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Zator tętnicy płucnej</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6F5AB6C1"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śródmiąższowa choroba płuc,</w:t>
            </w:r>
          </w:p>
          <w:p w14:paraId="0621F6C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przewlekła obturacyjna choroba płuc, zapalenie płuc (pneumonitis),</w:t>
            </w:r>
          </w:p>
          <w:p w14:paraId="6004590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wysięk opłucnowy</w:t>
            </w:r>
            <w:r w:rsidRPr="008F328C">
              <w:rPr>
                <w:rFonts w:ascii="Times New Roman" w:eastAsia="Times New Roman" w:hAnsi="Times New Roman" w:cs="Times New Roman"/>
                <w:spacing w:val="-1"/>
                <w:vertAlign w:val="superscript"/>
                <w:lang w:val="pl-PL"/>
              </w:rPr>
              <w:t>1)</w:t>
            </w:r>
          </w:p>
        </w:tc>
      </w:tr>
      <w:tr w:rsidR="00D22235" w:rsidRPr="008F328C" w14:paraId="6A4177A7" w14:textId="77777777" w:rsidTr="00B17C6A">
        <w:tc>
          <w:tcPr>
            <w:tcW w:w="2599" w:type="dxa"/>
            <w:vMerge/>
            <w:tcBorders>
              <w:left w:val="single" w:sz="5" w:space="0" w:color="000000"/>
              <w:bottom w:val="single" w:sz="5" w:space="0" w:color="000000"/>
              <w:right w:val="single" w:sz="5" w:space="0" w:color="000000"/>
            </w:tcBorders>
          </w:tcPr>
          <w:p w14:paraId="5968C60A"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3825EE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B80762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Zwłóknienie płuc</w:t>
            </w:r>
            <w:r w:rsidRPr="008F328C">
              <w:rPr>
                <w:rFonts w:ascii="Times New Roman" w:eastAsia="Times New Roman" w:hAnsi="Times New Roman" w:cs="Times New Roman"/>
                <w:spacing w:val="-1"/>
                <w:vertAlign w:val="superscript"/>
                <w:lang w:val="pl-PL"/>
              </w:rPr>
              <w:t>1)</w:t>
            </w:r>
          </w:p>
        </w:tc>
      </w:tr>
      <w:tr w:rsidR="00D22235" w:rsidRPr="00FE49E6" w14:paraId="5B58CE43" w14:textId="77777777" w:rsidTr="00B17C6A">
        <w:tc>
          <w:tcPr>
            <w:tcW w:w="2599" w:type="dxa"/>
            <w:vMerge w:val="restart"/>
            <w:tcBorders>
              <w:top w:val="single" w:sz="5" w:space="0" w:color="000000"/>
              <w:left w:val="single" w:sz="5" w:space="0" w:color="000000"/>
              <w:right w:val="single" w:sz="5" w:space="0" w:color="000000"/>
            </w:tcBorders>
          </w:tcPr>
          <w:p w14:paraId="6C98386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żołądka i jelit</w:t>
            </w:r>
          </w:p>
        </w:tc>
        <w:tc>
          <w:tcPr>
            <w:tcW w:w="2076" w:type="dxa"/>
            <w:tcBorders>
              <w:top w:val="single" w:sz="5" w:space="0" w:color="000000"/>
              <w:left w:val="single" w:sz="5" w:space="0" w:color="000000"/>
              <w:bottom w:val="single" w:sz="5" w:space="0" w:color="000000"/>
              <w:right w:val="single" w:sz="5" w:space="0" w:color="000000"/>
            </w:tcBorders>
          </w:tcPr>
          <w:p w14:paraId="26B9A9FB"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3BBAC9BE"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Bóle brzucha, </w:t>
            </w:r>
          </w:p>
          <w:p w14:paraId="07DA436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nudności i wymioty</w:t>
            </w:r>
          </w:p>
        </w:tc>
      </w:tr>
      <w:tr w:rsidR="00D22235" w:rsidRPr="00A5286D" w14:paraId="4F701AC1" w14:textId="77777777" w:rsidTr="00B17C6A">
        <w:tc>
          <w:tcPr>
            <w:tcW w:w="2599" w:type="dxa"/>
            <w:vMerge/>
            <w:tcBorders>
              <w:left w:val="single" w:sz="5" w:space="0" w:color="000000"/>
              <w:right w:val="single" w:sz="5" w:space="0" w:color="000000"/>
            </w:tcBorders>
          </w:tcPr>
          <w:p w14:paraId="78EDC63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4DB138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38A497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Krwotok z przewodu pokarmowego,</w:t>
            </w:r>
          </w:p>
          <w:p w14:paraId="1B311F0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dyspepsja,</w:t>
            </w:r>
          </w:p>
          <w:p w14:paraId="467FACB4"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choroba refluksowa przełyku, </w:t>
            </w:r>
          </w:p>
          <w:p w14:paraId="2B113D7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suchości (zespół Sjogrena)</w:t>
            </w:r>
          </w:p>
        </w:tc>
      </w:tr>
      <w:tr w:rsidR="00D22235" w:rsidRPr="00A5286D" w14:paraId="4CCBCB78" w14:textId="77777777" w:rsidTr="00B17C6A">
        <w:tc>
          <w:tcPr>
            <w:tcW w:w="2599" w:type="dxa"/>
            <w:vMerge/>
            <w:tcBorders>
              <w:left w:val="single" w:sz="5" w:space="0" w:color="000000"/>
              <w:right w:val="single" w:sz="5" w:space="0" w:color="000000"/>
            </w:tcBorders>
          </w:tcPr>
          <w:p w14:paraId="1ABF491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7649FB3"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A4F586A"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trzustki,</w:t>
            </w:r>
          </w:p>
          <w:p w14:paraId="40FFB1CD"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utrudnienie połykania, </w:t>
            </w:r>
          </w:p>
          <w:p w14:paraId="2C54D067"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twarzy</w:t>
            </w:r>
          </w:p>
        </w:tc>
      </w:tr>
      <w:tr w:rsidR="00D22235" w:rsidRPr="008F328C" w14:paraId="0CCF6FB0" w14:textId="77777777" w:rsidTr="00B17C6A">
        <w:tc>
          <w:tcPr>
            <w:tcW w:w="2599" w:type="dxa"/>
            <w:vMerge/>
            <w:tcBorders>
              <w:left w:val="single" w:sz="5" w:space="0" w:color="000000"/>
              <w:bottom w:val="single" w:sz="5" w:space="0" w:color="000000"/>
              <w:right w:val="single" w:sz="5" w:space="0" w:color="000000"/>
            </w:tcBorders>
          </w:tcPr>
          <w:p w14:paraId="4149A272"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0E9BFD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6270649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Perforacja jelita</w:t>
            </w:r>
            <w:r w:rsidRPr="008F328C">
              <w:rPr>
                <w:rFonts w:ascii="Times New Roman" w:eastAsia="Times New Roman" w:hAnsi="Times New Roman" w:cs="Times New Roman"/>
                <w:spacing w:val="-4"/>
                <w:vertAlign w:val="superscript"/>
                <w:lang w:val="pl-PL"/>
              </w:rPr>
              <w:t>1)</w:t>
            </w:r>
          </w:p>
        </w:tc>
      </w:tr>
      <w:tr w:rsidR="00D22235" w:rsidRPr="00A5286D" w14:paraId="3CBAEC22" w14:textId="77777777" w:rsidTr="00B17C6A">
        <w:tc>
          <w:tcPr>
            <w:tcW w:w="2599" w:type="dxa"/>
            <w:vMerge w:val="restart"/>
            <w:tcBorders>
              <w:top w:val="single" w:sz="5" w:space="0" w:color="000000"/>
              <w:left w:val="single" w:sz="5" w:space="0" w:color="000000"/>
              <w:right w:val="single" w:sz="5" w:space="0" w:color="000000"/>
            </w:tcBorders>
          </w:tcPr>
          <w:p w14:paraId="0CFC7853"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Zaburzenia wątroby i dróg żółciowych*</w:t>
            </w:r>
          </w:p>
        </w:tc>
        <w:tc>
          <w:tcPr>
            <w:tcW w:w="2076" w:type="dxa"/>
            <w:tcBorders>
              <w:top w:val="single" w:sz="5" w:space="0" w:color="000000"/>
              <w:left w:val="single" w:sz="5" w:space="0" w:color="000000"/>
              <w:bottom w:val="single" w:sz="5" w:space="0" w:color="000000"/>
              <w:right w:val="single" w:sz="5" w:space="0" w:color="000000"/>
            </w:tcBorders>
          </w:tcPr>
          <w:p w14:paraId="4CA0C345"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4E7013F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enzymów wątrobowych</w:t>
            </w:r>
          </w:p>
        </w:tc>
      </w:tr>
      <w:tr w:rsidR="00D22235" w:rsidRPr="00A5286D" w14:paraId="3EC526C5" w14:textId="77777777" w:rsidTr="00B17C6A">
        <w:tc>
          <w:tcPr>
            <w:tcW w:w="2599" w:type="dxa"/>
            <w:vMerge/>
            <w:tcBorders>
              <w:left w:val="single" w:sz="5" w:space="0" w:color="000000"/>
              <w:right w:val="single" w:sz="5" w:space="0" w:color="000000"/>
            </w:tcBorders>
          </w:tcPr>
          <w:p w14:paraId="6A01A26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BC113C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9208D84"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pęcherzyka żółciowego i kamica żółciowa,</w:t>
            </w:r>
          </w:p>
          <w:p w14:paraId="10E1BABA" w14:textId="77777777" w:rsidR="00D22235" w:rsidRPr="008F328C" w:rsidRDefault="00D22235" w:rsidP="00B17C6A">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lang w:val="pl-PL"/>
              </w:rPr>
              <w:t>stłuszczenie wątroby, zwiększenie stężenia bilirubiny</w:t>
            </w:r>
          </w:p>
        </w:tc>
      </w:tr>
      <w:tr w:rsidR="00D22235" w:rsidRPr="008F328C" w14:paraId="478FF3BB" w14:textId="77777777" w:rsidTr="00B17C6A">
        <w:tc>
          <w:tcPr>
            <w:tcW w:w="2599" w:type="dxa"/>
            <w:vMerge/>
            <w:tcBorders>
              <w:left w:val="single" w:sz="5" w:space="0" w:color="000000"/>
              <w:right w:val="single" w:sz="5" w:space="0" w:color="000000"/>
            </w:tcBorders>
          </w:tcPr>
          <w:p w14:paraId="2C6D2C0F"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734002C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right w:val="single" w:sz="5" w:space="0" w:color="000000"/>
            </w:tcBorders>
          </w:tcPr>
          <w:p w14:paraId="79B7897F"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wątroby,</w:t>
            </w:r>
          </w:p>
          <w:p w14:paraId="1122BB0F"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reaktywacja zapalenia wątroby typu B</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7C6EF3E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autoimmunologiczne zapalenie wątroby</w:t>
            </w:r>
            <w:r w:rsidRPr="008F328C">
              <w:rPr>
                <w:rFonts w:ascii="Times New Roman" w:eastAsia="Times New Roman" w:hAnsi="Times New Roman" w:cs="Times New Roman"/>
                <w:spacing w:val="-1"/>
                <w:vertAlign w:val="superscript"/>
                <w:lang w:val="pl-PL"/>
              </w:rPr>
              <w:t>1)</w:t>
            </w:r>
          </w:p>
        </w:tc>
      </w:tr>
      <w:tr w:rsidR="00D22235" w:rsidRPr="00A5286D" w14:paraId="2080431C" w14:textId="77777777" w:rsidTr="00B17C6A">
        <w:tc>
          <w:tcPr>
            <w:tcW w:w="2599" w:type="dxa"/>
            <w:vMerge/>
            <w:tcBorders>
              <w:left w:val="single" w:sz="5" w:space="0" w:color="000000"/>
              <w:bottom w:val="single" w:sz="5" w:space="0" w:color="000000"/>
              <w:right w:val="single" w:sz="5" w:space="0" w:color="000000"/>
            </w:tcBorders>
          </w:tcPr>
          <w:p w14:paraId="78862ED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EC0BDA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5337D8A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Niewydolność wątroby</w:t>
            </w:r>
            <w:r w:rsidRPr="008F328C">
              <w:rPr>
                <w:rFonts w:ascii="Times New Roman" w:eastAsia="Times New Roman" w:hAnsi="Times New Roman" w:cs="Times New Roman"/>
                <w:spacing w:val="-1"/>
                <w:vertAlign w:val="superscript"/>
                <w:lang w:val="pl-PL"/>
              </w:rPr>
              <w:t>1)</w:t>
            </w:r>
          </w:p>
        </w:tc>
      </w:tr>
      <w:tr w:rsidR="00D22235" w:rsidRPr="00A5286D" w14:paraId="7751EF27" w14:textId="77777777" w:rsidTr="00B17C6A">
        <w:tc>
          <w:tcPr>
            <w:tcW w:w="2599" w:type="dxa"/>
            <w:vMerge w:val="restart"/>
            <w:tcBorders>
              <w:top w:val="single" w:sz="5" w:space="0" w:color="000000"/>
              <w:left w:val="single" w:sz="5" w:space="0" w:color="000000"/>
              <w:right w:val="single" w:sz="5" w:space="0" w:color="000000"/>
            </w:tcBorders>
          </w:tcPr>
          <w:p w14:paraId="739B4FFA" w14:textId="77777777" w:rsidR="00D22235" w:rsidRPr="008F328C" w:rsidRDefault="00D22235" w:rsidP="00B17C6A">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skóry i tkanki podskórnej</w:t>
            </w:r>
          </w:p>
        </w:tc>
        <w:tc>
          <w:tcPr>
            <w:tcW w:w="2076" w:type="dxa"/>
            <w:tcBorders>
              <w:top w:val="single" w:sz="5" w:space="0" w:color="000000"/>
              <w:left w:val="single" w:sz="5" w:space="0" w:color="000000"/>
              <w:bottom w:val="single" w:sz="5" w:space="0" w:color="000000"/>
              <w:right w:val="single" w:sz="5" w:space="0" w:color="000000"/>
            </w:tcBorders>
          </w:tcPr>
          <w:p w14:paraId="28581C9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74E710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Wysypka (w tym złuszczająca się wysypka)</w:t>
            </w:r>
          </w:p>
        </w:tc>
      </w:tr>
      <w:tr w:rsidR="00D22235" w:rsidRPr="00A5286D" w14:paraId="42892424" w14:textId="77777777" w:rsidTr="00B17C6A">
        <w:tc>
          <w:tcPr>
            <w:tcW w:w="2599" w:type="dxa"/>
            <w:vMerge/>
            <w:tcBorders>
              <w:left w:val="single" w:sz="5" w:space="0" w:color="000000"/>
              <w:right w:val="single" w:sz="5" w:space="0" w:color="000000"/>
            </w:tcBorders>
          </w:tcPr>
          <w:p w14:paraId="1D50A96D"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A80709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C6D5C2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Pogorszenie się lub wystąpienie łuszczycy (w tym</w:t>
            </w:r>
          </w:p>
          <w:p w14:paraId="3A761113" w14:textId="77777777" w:rsidR="00D22235" w:rsidRPr="008F328C" w:rsidRDefault="00D22235" w:rsidP="00B17C6A">
            <w:pPr>
              <w:pStyle w:val="TableParagraph"/>
              <w:ind w:left="99" w:right="74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łuszczyca krostkowa dłoni i stóp)</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pokrzywka,</w:t>
            </w:r>
          </w:p>
          <w:p w14:paraId="5E79E0F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siniaczenie (w tym plamica),</w:t>
            </w:r>
          </w:p>
          <w:p w14:paraId="04B74BA1" w14:textId="77777777" w:rsidR="00D22235" w:rsidRPr="008F328C" w:rsidRDefault="00D22235" w:rsidP="00B17C6A">
            <w:pPr>
              <w:pStyle w:val="TableParagraph"/>
              <w:ind w:left="99" w:right="65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zapalenie skóry (w tym wyprysk), </w:t>
            </w:r>
          </w:p>
          <w:p w14:paraId="06DD1D4F" w14:textId="77777777" w:rsidR="00D22235" w:rsidRPr="008F328C" w:rsidRDefault="00D22235" w:rsidP="00B17C6A">
            <w:pPr>
              <w:pStyle w:val="TableParagraph"/>
              <w:ind w:left="99" w:right="65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łamliwość paznokci,</w:t>
            </w:r>
          </w:p>
          <w:p w14:paraId="6BBA0D8E"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nadmierne pocenie się,</w:t>
            </w:r>
          </w:p>
          <w:p w14:paraId="5BA6E0B8" w14:textId="77777777" w:rsidR="00D22235" w:rsidRPr="008F328C" w:rsidRDefault="00D22235" w:rsidP="00B17C6A">
            <w:pPr>
              <w:pStyle w:val="TableParagraph"/>
              <w:ind w:left="99" w:right="291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łysienie</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2C07CE7C" w14:textId="77777777" w:rsidR="00D22235" w:rsidRPr="008F328C" w:rsidRDefault="00D22235" w:rsidP="00B17C6A">
            <w:pPr>
              <w:pStyle w:val="TableParagraph"/>
              <w:ind w:left="99" w:right="29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świąd</w:t>
            </w:r>
          </w:p>
        </w:tc>
      </w:tr>
      <w:tr w:rsidR="00D22235" w:rsidRPr="008F328C" w14:paraId="23C1448C" w14:textId="77777777" w:rsidTr="00B17C6A">
        <w:tc>
          <w:tcPr>
            <w:tcW w:w="2599" w:type="dxa"/>
            <w:vMerge/>
            <w:tcBorders>
              <w:left w:val="single" w:sz="5" w:space="0" w:color="000000"/>
              <w:right w:val="single" w:sz="5" w:space="0" w:color="000000"/>
            </w:tcBorders>
          </w:tcPr>
          <w:p w14:paraId="223C62A7"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1A177E3"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A81036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Poty nocne,</w:t>
            </w:r>
          </w:p>
          <w:p w14:paraId="326D3CC6"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blizna</w:t>
            </w:r>
          </w:p>
        </w:tc>
      </w:tr>
      <w:tr w:rsidR="00D22235" w:rsidRPr="00A5286D" w14:paraId="6A2200BA" w14:textId="77777777" w:rsidTr="00B17C6A">
        <w:tc>
          <w:tcPr>
            <w:tcW w:w="2599" w:type="dxa"/>
            <w:vMerge/>
            <w:tcBorders>
              <w:left w:val="single" w:sz="5" w:space="0" w:color="000000"/>
              <w:right w:val="single" w:sz="5" w:space="0" w:color="000000"/>
            </w:tcBorders>
          </w:tcPr>
          <w:p w14:paraId="486F6B10"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56B2FD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2C1770B3" w14:textId="77777777" w:rsidR="00D22235" w:rsidRPr="008F328C" w:rsidRDefault="00D22235" w:rsidP="00B17C6A">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Rumień wielopostaciowy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1A4B46FD" w14:textId="77777777" w:rsidR="00D22235" w:rsidRPr="008F328C" w:rsidRDefault="00D22235" w:rsidP="00B17C6A">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zespół Stevensa-Johnsona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54EF2815" w14:textId="77777777" w:rsidR="00D22235" w:rsidRPr="008F328C" w:rsidRDefault="00D22235" w:rsidP="00B17C6A">
            <w:pPr>
              <w:pStyle w:val="TableParagraph"/>
              <w:ind w:left="99" w:right="9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naczynioruchowy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75E1951A" w14:textId="77777777" w:rsidR="00D22235" w:rsidRPr="008F328C" w:rsidRDefault="00D22235" w:rsidP="00B17C6A">
            <w:pPr>
              <w:pStyle w:val="TableParagraph"/>
              <w:ind w:left="99" w:right="18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naczyń skóry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liszajowate zmiany skórne</w:t>
            </w:r>
            <w:r w:rsidRPr="008F328C">
              <w:rPr>
                <w:rFonts w:ascii="Times New Roman" w:eastAsia="Times New Roman" w:hAnsi="Times New Roman" w:cs="Times New Roman"/>
                <w:spacing w:val="-1"/>
                <w:vertAlign w:val="superscript"/>
                <w:lang w:val="pl-PL"/>
              </w:rPr>
              <w:t>1)</w:t>
            </w:r>
          </w:p>
        </w:tc>
      </w:tr>
      <w:tr w:rsidR="00D22235" w:rsidRPr="00A5286D" w14:paraId="22E61026" w14:textId="77777777" w:rsidTr="00B17C6A">
        <w:tc>
          <w:tcPr>
            <w:tcW w:w="2599" w:type="dxa"/>
            <w:vMerge/>
            <w:tcBorders>
              <w:left w:val="single" w:sz="5" w:space="0" w:color="000000"/>
              <w:bottom w:val="single" w:sz="5" w:space="0" w:color="000000"/>
              <w:right w:val="single" w:sz="5" w:space="0" w:color="000000"/>
            </w:tcBorders>
          </w:tcPr>
          <w:p w14:paraId="3582CA32"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593A5D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3C4E4CD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Nasilenie objawów zapalenia skórno-mięśniowego</w:t>
            </w:r>
            <w:r w:rsidRPr="008F328C">
              <w:rPr>
                <w:rFonts w:ascii="Times New Roman" w:eastAsia="Times New Roman" w:hAnsi="Times New Roman" w:cs="Times New Roman"/>
                <w:vertAlign w:val="superscript"/>
                <w:lang w:val="pl-PL"/>
              </w:rPr>
              <w:t>1)</w:t>
            </w:r>
          </w:p>
        </w:tc>
      </w:tr>
      <w:tr w:rsidR="00D22235" w:rsidRPr="008F328C" w14:paraId="4EBBD009" w14:textId="77777777" w:rsidTr="00B17C6A">
        <w:tc>
          <w:tcPr>
            <w:tcW w:w="2599" w:type="dxa"/>
            <w:vMerge w:val="restart"/>
            <w:tcBorders>
              <w:top w:val="single" w:sz="5" w:space="0" w:color="000000"/>
              <w:left w:val="single" w:sz="5" w:space="0" w:color="000000"/>
              <w:right w:val="single" w:sz="5" w:space="0" w:color="000000"/>
            </w:tcBorders>
          </w:tcPr>
          <w:p w14:paraId="6F063EF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mięśniowo-szkieletowe i tkanki łącznej</w:t>
            </w:r>
          </w:p>
        </w:tc>
        <w:tc>
          <w:tcPr>
            <w:tcW w:w="2076" w:type="dxa"/>
            <w:tcBorders>
              <w:top w:val="single" w:sz="5" w:space="0" w:color="000000"/>
              <w:left w:val="single" w:sz="5" w:space="0" w:color="000000"/>
              <w:bottom w:val="single" w:sz="5" w:space="0" w:color="000000"/>
              <w:right w:val="single" w:sz="5" w:space="0" w:color="000000"/>
            </w:tcBorders>
          </w:tcPr>
          <w:p w14:paraId="5DA9AC25"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13DE66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Bóle mięśniowo-szkieletowe</w:t>
            </w:r>
          </w:p>
        </w:tc>
      </w:tr>
      <w:tr w:rsidR="00D22235" w:rsidRPr="00A5286D" w14:paraId="27302A4D" w14:textId="77777777" w:rsidTr="00B17C6A">
        <w:tc>
          <w:tcPr>
            <w:tcW w:w="2599" w:type="dxa"/>
            <w:vMerge/>
            <w:tcBorders>
              <w:left w:val="single" w:sz="5" w:space="0" w:color="000000"/>
              <w:right w:val="single" w:sz="5" w:space="0" w:color="000000"/>
            </w:tcBorders>
          </w:tcPr>
          <w:p w14:paraId="1628B6F9"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3002FCC"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936679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Skurcze mięśni (w tym zwiększona aktywność kinazy kreatynowej we krwi)</w:t>
            </w:r>
          </w:p>
        </w:tc>
      </w:tr>
      <w:tr w:rsidR="00D22235" w:rsidRPr="00A5286D" w14:paraId="103FADCA" w14:textId="77777777" w:rsidTr="00B17C6A">
        <w:tc>
          <w:tcPr>
            <w:tcW w:w="2599" w:type="dxa"/>
            <w:vMerge/>
            <w:tcBorders>
              <w:left w:val="single" w:sz="5" w:space="0" w:color="000000"/>
              <w:right w:val="single" w:sz="5" w:space="0" w:color="000000"/>
            </w:tcBorders>
          </w:tcPr>
          <w:p w14:paraId="7DD392C7"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8B2CF15"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EBF3CF5"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Rabdomioliza</w:t>
            </w:r>
          </w:p>
          <w:p w14:paraId="49926529"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toczeń rumieniowaty układowy</w:t>
            </w:r>
          </w:p>
        </w:tc>
      </w:tr>
      <w:tr w:rsidR="00D22235" w:rsidRPr="00A5286D" w14:paraId="4D346B75" w14:textId="77777777" w:rsidTr="00B17C6A">
        <w:tc>
          <w:tcPr>
            <w:tcW w:w="2599" w:type="dxa"/>
            <w:vMerge/>
            <w:tcBorders>
              <w:left w:val="single" w:sz="5" w:space="0" w:color="000000"/>
              <w:bottom w:val="single" w:sz="5" w:space="0" w:color="000000"/>
              <w:right w:val="single" w:sz="5" w:space="0" w:color="000000"/>
            </w:tcBorders>
          </w:tcPr>
          <w:p w14:paraId="75FAD454"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2B09254"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3AEA6513"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toczniopodobny</w:t>
            </w:r>
            <w:r w:rsidRPr="008F328C">
              <w:rPr>
                <w:rFonts w:ascii="Times New Roman" w:eastAsia="Times New Roman" w:hAnsi="Times New Roman" w:cs="Times New Roman"/>
                <w:spacing w:val="-1"/>
                <w:vertAlign w:val="superscript"/>
                <w:lang w:val="pl-PL"/>
              </w:rPr>
              <w:t>1)</w:t>
            </w:r>
          </w:p>
        </w:tc>
      </w:tr>
      <w:tr w:rsidR="00D22235" w:rsidRPr="00A5286D" w14:paraId="7A64BF43" w14:textId="77777777" w:rsidTr="00B17C6A">
        <w:tc>
          <w:tcPr>
            <w:tcW w:w="2599" w:type="dxa"/>
            <w:vMerge w:val="restart"/>
            <w:tcBorders>
              <w:top w:val="single" w:sz="5" w:space="0" w:color="000000"/>
              <w:left w:val="single" w:sz="5" w:space="0" w:color="000000"/>
              <w:right w:val="single" w:sz="5" w:space="0" w:color="000000"/>
            </w:tcBorders>
          </w:tcPr>
          <w:p w14:paraId="6F0B545F" w14:textId="77777777" w:rsidR="00D22235" w:rsidRPr="008F328C" w:rsidRDefault="00D22235" w:rsidP="00B17C6A">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nerek i dróg moczowych</w:t>
            </w:r>
          </w:p>
        </w:tc>
        <w:tc>
          <w:tcPr>
            <w:tcW w:w="2076" w:type="dxa"/>
            <w:tcBorders>
              <w:top w:val="single" w:sz="5" w:space="0" w:color="000000"/>
              <w:left w:val="single" w:sz="5" w:space="0" w:color="000000"/>
              <w:bottom w:val="single" w:sz="5" w:space="0" w:color="000000"/>
              <w:right w:val="single" w:sz="5" w:space="0" w:color="000000"/>
            </w:tcBorders>
          </w:tcPr>
          <w:p w14:paraId="20B0BDCB"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76DE332"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Zaburzenia czynności nerek, </w:t>
            </w:r>
          </w:p>
          <w:p w14:paraId="0DB1D5D3" w14:textId="77777777" w:rsidR="00D22235" w:rsidRPr="008F328C" w:rsidRDefault="00D22235" w:rsidP="00B17C6A">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krwiomocz</w:t>
            </w:r>
          </w:p>
        </w:tc>
      </w:tr>
      <w:tr w:rsidR="00D22235" w:rsidRPr="008F328C" w14:paraId="4F051D6A" w14:textId="77777777" w:rsidTr="00B17C6A">
        <w:tc>
          <w:tcPr>
            <w:tcW w:w="2599" w:type="dxa"/>
            <w:vMerge/>
            <w:tcBorders>
              <w:left w:val="single" w:sz="5" w:space="0" w:color="000000"/>
              <w:bottom w:val="single" w:sz="5" w:space="0" w:color="000000"/>
              <w:right w:val="single" w:sz="5" w:space="0" w:color="000000"/>
            </w:tcBorders>
          </w:tcPr>
          <w:p w14:paraId="060A75B7"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A529112"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C94441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Oddawanie moczu w nocy</w:t>
            </w:r>
          </w:p>
        </w:tc>
      </w:tr>
      <w:tr w:rsidR="00D22235" w:rsidRPr="008F328C" w14:paraId="0EC5AF6E" w14:textId="77777777" w:rsidTr="00B17C6A">
        <w:tc>
          <w:tcPr>
            <w:tcW w:w="2599" w:type="dxa"/>
            <w:tcBorders>
              <w:top w:val="single" w:sz="5" w:space="0" w:color="000000"/>
              <w:left w:val="single" w:sz="5" w:space="0" w:color="000000"/>
              <w:bottom w:val="single" w:sz="5" w:space="0" w:color="000000"/>
              <w:right w:val="single" w:sz="5" w:space="0" w:color="000000"/>
            </w:tcBorders>
          </w:tcPr>
          <w:p w14:paraId="12465D6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rozrodczego i piersi</w:t>
            </w:r>
          </w:p>
        </w:tc>
        <w:tc>
          <w:tcPr>
            <w:tcW w:w="2076" w:type="dxa"/>
            <w:tcBorders>
              <w:top w:val="single" w:sz="5" w:space="0" w:color="000000"/>
              <w:left w:val="single" w:sz="5" w:space="0" w:color="000000"/>
              <w:bottom w:val="single" w:sz="5" w:space="0" w:color="000000"/>
              <w:right w:val="single" w:sz="5" w:space="0" w:color="000000"/>
            </w:tcBorders>
          </w:tcPr>
          <w:p w14:paraId="3079EF7E"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0E57BA8"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erekcji</w:t>
            </w:r>
          </w:p>
        </w:tc>
      </w:tr>
      <w:tr w:rsidR="00D22235" w:rsidRPr="00A5286D" w14:paraId="18C96DBE" w14:textId="77777777" w:rsidTr="00B17C6A">
        <w:tc>
          <w:tcPr>
            <w:tcW w:w="2599" w:type="dxa"/>
            <w:vMerge w:val="restart"/>
            <w:tcBorders>
              <w:top w:val="single" w:sz="5" w:space="0" w:color="000000"/>
              <w:left w:val="single" w:sz="5" w:space="0" w:color="000000"/>
              <w:right w:val="single" w:sz="5" w:space="0" w:color="000000"/>
            </w:tcBorders>
          </w:tcPr>
          <w:p w14:paraId="50E7C8CE"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ogólne i</w:t>
            </w:r>
          </w:p>
          <w:p w14:paraId="670F695D"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i stany w miejscu</w:t>
            </w:r>
          </w:p>
          <w:p w14:paraId="554A0F84"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podania*</w:t>
            </w:r>
          </w:p>
        </w:tc>
        <w:tc>
          <w:tcPr>
            <w:tcW w:w="2076" w:type="dxa"/>
            <w:tcBorders>
              <w:top w:val="single" w:sz="5" w:space="0" w:color="000000"/>
              <w:left w:val="single" w:sz="5" w:space="0" w:color="000000"/>
              <w:right w:val="single" w:sz="5" w:space="0" w:color="000000"/>
            </w:tcBorders>
          </w:tcPr>
          <w:p w14:paraId="15422907"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right w:val="single" w:sz="5" w:space="0" w:color="000000"/>
            </w:tcBorders>
          </w:tcPr>
          <w:p w14:paraId="262C9E80"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Odczyn w miejscu wstrzyknięcia (w tym rumień w miejscu</w:t>
            </w:r>
            <w:r w:rsidRPr="008F328C">
              <w:rPr>
                <w:rFonts w:ascii="Times New Roman" w:eastAsia="Times New Roman" w:hAnsi="Times New Roman" w:cs="Times New Roman"/>
                <w:spacing w:val="-1"/>
                <w:lang w:val="pl-PL"/>
              </w:rPr>
              <w:t xml:space="preserve"> wstrzyknięcia)</w:t>
            </w:r>
          </w:p>
        </w:tc>
      </w:tr>
      <w:tr w:rsidR="00D22235" w:rsidRPr="00494296" w14:paraId="13416099" w14:textId="77777777" w:rsidTr="00B17C6A">
        <w:tc>
          <w:tcPr>
            <w:tcW w:w="2599" w:type="dxa"/>
            <w:vMerge/>
            <w:tcBorders>
              <w:left w:val="single" w:sz="5" w:space="0" w:color="000000"/>
              <w:right w:val="single" w:sz="5" w:space="0" w:color="000000"/>
            </w:tcBorders>
          </w:tcPr>
          <w:p w14:paraId="0283D251"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6281B0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BA2D9AF"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w klatce piersiowej,</w:t>
            </w:r>
          </w:p>
          <w:p w14:paraId="5185C0C7" w14:textId="77777777" w:rsidR="00D22235" w:rsidRPr="008F328C" w:rsidRDefault="00D22235" w:rsidP="00B17C6A">
            <w:pPr>
              <w:pStyle w:val="TableParagraph"/>
              <w:ind w:left="99" w:right="29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obrzęki,gorączka</w:t>
            </w:r>
            <w:r w:rsidRPr="008F328C">
              <w:rPr>
                <w:rFonts w:ascii="Times New Roman" w:eastAsia="Times New Roman" w:hAnsi="Times New Roman" w:cs="Times New Roman"/>
                <w:spacing w:val="-1"/>
                <w:vertAlign w:val="superscript"/>
                <w:lang w:val="pl-PL"/>
              </w:rPr>
              <w:t>1)</w:t>
            </w:r>
          </w:p>
        </w:tc>
      </w:tr>
      <w:tr w:rsidR="00D22235" w:rsidRPr="008F328C" w14:paraId="73BDB5A1" w14:textId="77777777" w:rsidTr="00B17C6A">
        <w:tc>
          <w:tcPr>
            <w:tcW w:w="2599" w:type="dxa"/>
            <w:vMerge/>
            <w:tcBorders>
              <w:left w:val="single" w:sz="5" w:space="0" w:color="000000"/>
              <w:bottom w:val="single" w:sz="5" w:space="0" w:color="000000"/>
              <w:right w:val="single" w:sz="5" w:space="0" w:color="000000"/>
            </w:tcBorders>
          </w:tcPr>
          <w:p w14:paraId="4E2379F0" w14:textId="77777777" w:rsidR="00D22235" w:rsidRPr="008F328C" w:rsidRDefault="00D22235" w:rsidP="00B17C6A">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209DA68"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0F0CA90B"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Zapalenie</w:t>
            </w:r>
          </w:p>
        </w:tc>
      </w:tr>
      <w:tr w:rsidR="00D22235" w:rsidRPr="00537986" w14:paraId="5F6D79B3" w14:textId="77777777" w:rsidTr="00B17C6A">
        <w:tc>
          <w:tcPr>
            <w:tcW w:w="2599" w:type="dxa"/>
            <w:vMerge w:val="restart"/>
            <w:tcBorders>
              <w:top w:val="single" w:sz="5" w:space="0" w:color="000000"/>
              <w:left w:val="single" w:sz="5" w:space="0" w:color="000000"/>
              <w:right w:val="single" w:sz="5" w:space="0" w:color="000000"/>
            </w:tcBorders>
          </w:tcPr>
          <w:p w14:paraId="4FEDC8E4"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Badania diagnostyczne*</w:t>
            </w:r>
          </w:p>
          <w:p w14:paraId="70409FC7" w14:textId="77777777" w:rsidR="00D22235" w:rsidRPr="008F328C" w:rsidRDefault="00D22235" w:rsidP="00B17C6A">
            <w:pPr>
              <w:pStyle w:val="TableParagraph"/>
              <w:ind w:left="102"/>
              <w:rPr>
                <w:rFonts w:ascii="Times New Roman" w:eastAsia="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A3E8409"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4B5C3917"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krzepnięcia krwi i krwawienia (w tym wydłużenie czasu częściowej tromboplastyny po aktywacji),</w:t>
            </w:r>
          </w:p>
          <w:p w14:paraId="2C070FE2"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dodatni test w kierunku autoprzeciwciał (w tym przeciwciał przeciw dwuniciowemu DNA),</w:t>
            </w:r>
          </w:p>
          <w:p w14:paraId="25F9137D"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dehydrogenazy mleczanowej we krwi</w:t>
            </w:r>
          </w:p>
        </w:tc>
      </w:tr>
      <w:tr w:rsidR="00D22235" w:rsidRPr="008F328C" w14:paraId="5C57E467" w14:textId="77777777" w:rsidTr="00B17C6A">
        <w:tc>
          <w:tcPr>
            <w:tcW w:w="2599" w:type="dxa"/>
            <w:vMerge/>
            <w:tcBorders>
              <w:left w:val="single" w:sz="5" w:space="0" w:color="000000"/>
              <w:bottom w:val="single" w:sz="5" w:space="0" w:color="000000"/>
              <w:right w:val="single" w:sz="5" w:space="0" w:color="000000"/>
            </w:tcBorders>
          </w:tcPr>
          <w:p w14:paraId="05E2B953" w14:textId="77777777" w:rsidR="00D22235" w:rsidRPr="008F328C" w:rsidRDefault="00D22235" w:rsidP="00B17C6A">
            <w:pPr>
              <w:pStyle w:val="TableParagraph"/>
              <w:ind w:left="102"/>
              <w:rPr>
                <w:rFonts w:ascii="Times New Roman" w:eastAsia="Times New Roman" w:hAnsi="Times New Roman" w:cs="Times New Roman"/>
                <w:spacing w:val="-4"/>
                <w:lang w:val="pl-PL"/>
              </w:rPr>
            </w:pPr>
          </w:p>
        </w:tc>
        <w:tc>
          <w:tcPr>
            <w:tcW w:w="2076" w:type="dxa"/>
            <w:tcBorders>
              <w:top w:val="single" w:sz="5" w:space="0" w:color="000000"/>
              <w:left w:val="single" w:sz="5" w:space="0" w:color="000000"/>
              <w:bottom w:val="single" w:sz="5" w:space="0" w:color="000000"/>
              <w:right w:val="single" w:sz="5" w:space="0" w:color="000000"/>
            </w:tcBorders>
          </w:tcPr>
          <w:p w14:paraId="65EC4AD7" w14:textId="77777777" w:rsidR="00D22235" w:rsidRPr="008F328C" w:rsidRDefault="00D22235" w:rsidP="00B17C6A">
            <w:pPr>
              <w:pStyle w:val="TableParagraph"/>
              <w:ind w:left="102"/>
              <w:rPr>
                <w:rFonts w:ascii="Times New Roman" w:eastAsia="Times New Roman" w:hAnsi="Times New Roman" w:cs="Times New Roman"/>
                <w:spacing w:val="-2"/>
                <w:lang w:val="pl-PL"/>
              </w:rPr>
            </w:pPr>
            <w:r w:rsidRPr="008F328C">
              <w:rPr>
                <w:rFonts w:ascii="Times New Roman" w:eastAsia="Times New Roman" w:hAnsi="Times New Roman" w:cs="Times New Roman"/>
                <w:spacing w:val="-1"/>
                <w:lang w:val="pl-PL"/>
              </w:rPr>
              <w:t>Częstość nieznana</w:t>
            </w:r>
          </w:p>
        </w:tc>
        <w:tc>
          <w:tcPr>
            <w:tcW w:w="4695" w:type="dxa"/>
            <w:tcBorders>
              <w:top w:val="single" w:sz="5" w:space="0" w:color="000000"/>
              <w:left w:val="single" w:sz="5" w:space="0" w:color="000000"/>
              <w:bottom w:val="single" w:sz="5" w:space="0" w:color="000000"/>
              <w:right w:val="single" w:sz="5" w:space="0" w:color="000000"/>
            </w:tcBorders>
          </w:tcPr>
          <w:p w14:paraId="350001F5" w14:textId="77777777" w:rsidR="00D22235" w:rsidRPr="008F328C" w:rsidRDefault="00D22235" w:rsidP="00B17C6A">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Zwiększenie masy ciała</w:t>
            </w:r>
            <w:r w:rsidRPr="008F328C">
              <w:rPr>
                <w:rFonts w:ascii="Times New Roman" w:eastAsia="Times New Roman" w:hAnsi="Times New Roman" w:cs="Times New Roman"/>
                <w:spacing w:val="-1"/>
                <w:vertAlign w:val="superscript"/>
                <w:lang w:val="pl-PL"/>
              </w:rPr>
              <w:t>2)</w:t>
            </w:r>
          </w:p>
        </w:tc>
      </w:tr>
      <w:tr w:rsidR="00D22235" w:rsidRPr="008F328C" w14:paraId="08A5638D" w14:textId="77777777" w:rsidTr="00B17C6A">
        <w:tc>
          <w:tcPr>
            <w:tcW w:w="2599" w:type="dxa"/>
            <w:tcBorders>
              <w:top w:val="single" w:sz="5" w:space="0" w:color="000000"/>
              <w:left w:val="single" w:sz="5" w:space="0" w:color="000000"/>
              <w:bottom w:val="single" w:sz="5" w:space="0" w:color="000000"/>
              <w:right w:val="single" w:sz="5" w:space="0" w:color="000000"/>
            </w:tcBorders>
          </w:tcPr>
          <w:p w14:paraId="32E21970"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Urazy, zatrucia i powikłania po zabiegach</w:t>
            </w:r>
          </w:p>
        </w:tc>
        <w:tc>
          <w:tcPr>
            <w:tcW w:w="2076" w:type="dxa"/>
            <w:tcBorders>
              <w:top w:val="single" w:sz="5" w:space="0" w:color="000000"/>
              <w:left w:val="single" w:sz="5" w:space="0" w:color="000000"/>
              <w:bottom w:val="single" w:sz="5" w:space="0" w:color="000000"/>
              <w:right w:val="single" w:sz="5" w:space="0" w:color="000000"/>
            </w:tcBorders>
          </w:tcPr>
          <w:p w14:paraId="26F6A53F" w14:textId="77777777" w:rsidR="00D22235" w:rsidRPr="008F328C" w:rsidRDefault="00D22235" w:rsidP="00B17C6A">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695" w:type="dxa"/>
            <w:tcBorders>
              <w:top w:val="single" w:sz="5" w:space="0" w:color="000000"/>
              <w:left w:val="single" w:sz="5" w:space="0" w:color="000000"/>
              <w:bottom w:val="single" w:sz="5" w:space="0" w:color="000000"/>
              <w:right w:val="single" w:sz="5" w:space="0" w:color="000000"/>
            </w:tcBorders>
          </w:tcPr>
          <w:p w14:paraId="5F2E2745" w14:textId="77777777" w:rsidR="00D22235" w:rsidRPr="008F328C" w:rsidRDefault="00D22235" w:rsidP="00B17C6A">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Zaburzenia gojenia</w:t>
            </w:r>
          </w:p>
        </w:tc>
      </w:tr>
    </w:tbl>
    <w:p w14:paraId="4BE8D7C3" w14:textId="77777777" w:rsidR="00D22235" w:rsidRPr="008F328C" w:rsidRDefault="00D22235" w:rsidP="00D22235">
      <w:pPr>
        <w:spacing w:before="1" w:line="150" w:lineRule="exact"/>
        <w:rPr>
          <w:rFonts w:ascii="Times New Roman" w:hAnsi="Times New Roman" w:cs="Times New Roman"/>
          <w:sz w:val="15"/>
          <w:szCs w:val="15"/>
          <w:lang w:val="pl-PL"/>
        </w:rPr>
      </w:pPr>
    </w:p>
    <w:p w14:paraId="3EAA2EE1" w14:textId="77777777" w:rsidR="00D22235" w:rsidRPr="008F328C" w:rsidRDefault="00D22235" w:rsidP="00D22235">
      <w:pPr>
        <w:pStyle w:val="a3"/>
        <w:numPr>
          <w:ilvl w:val="0"/>
          <w:numId w:val="0"/>
        </w:numPr>
        <w:rPr>
          <w:lang w:val="pl-PL"/>
        </w:rPr>
      </w:pPr>
      <w:r w:rsidRPr="008F328C">
        <w:rPr>
          <w:rFonts w:eastAsia="Times New Roman"/>
          <w:lang w:val="pl-PL"/>
        </w:rPr>
        <w:t>* dodatkowe informacje znaleźć można w punktach 4.3, 4.4 i 4.8</w:t>
      </w:r>
    </w:p>
    <w:p w14:paraId="21D53BD1" w14:textId="77777777" w:rsidR="00D22235" w:rsidRPr="008F328C" w:rsidRDefault="00D22235" w:rsidP="00D22235">
      <w:pPr>
        <w:pStyle w:val="a3"/>
        <w:rPr>
          <w:lang w:val="pl-PL"/>
        </w:rPr>
      </w:pPr>
      <w:r w:rsidRPr="008F328C">
        <w:rPr>
          <w:rFonts w:eastAsia="Times New Roman"/>
          <w:lang w:val="pl-PL"/>
        </w:rPr>
        <w:t>** w tym badania kontynuacyjne metodą otwartej próby</w:t>
      </w:r>
    </w:p>
    <w:p w14:paraId="0C647EBF" w14:textId="77777777" w:rsidR="00D22235" w:rsidRPr="008F328C" w:rsidRDefault="00D22235" w:rsidP="00D22235">
      <w:pPr>
        <w:pStyle w:val="a3"/>
        <w:rPr>
          <w:rFonts w:eastAsia="Times New Roman"/>
          <w:position w:val="8"/>
          <w:lang w:val="pl-PL"/>
        </w:rPr>
      </w:pPr>
      <w:r w:rsidRPr="008F328C">
        <w:rPr>
          <w:rFonts w:eastAsia="Times New Roman"/>
          <w:position w:val="8"/>
          <w:sz w:val="14"/>
          <w:szCs w:val="14"/>
          <w:lang w:val="pl-PL"/>
        </w:rPr>
        <w:t xml:space="preserve">1) </w:t>
      </w:r>
      <w:r w:rsidRPr="008F328C">
        <w:rPr>
          <w:rFonts w:eastAsia="Times New Roman"/>
          <w:position w:val="8"/>
          <w:lang w:val="pl-PL"/>
        </w:rPr>
        <w:t>w tym dane ze zgłoszeń spontanicznych</w:t>
      </w:r>
    </w:p>
    <w:p w14:paraId="065F133F" w14:textId="77777777" w:rsidR="00D22235" w:rsidRPr="008F328C" w:rsidRDefault="00D22235" w:rsidP="00D22235">
      <w:pPr>
        <w:pStyle w:val="a3"/>
        <w:ind w:left="176" w:hangingChars="80" w:hanging="176"/>
        <w:rPr>
          <w:lang w:val="pl-PL"/>
        </w:rPr>
      </w:pPr>
      <w:r w:rsidRPr="008F328C">
        <w:rPr>
          <w:vertAlign w:val="superscript"/>
          <w:lang w:val="pl-PL"/>
        </w:rPr>
        <w:t>2)</w:t>
      </w:r>
      <w:r w:rsidRPr="008F328C">
        <w:rPr>
          <w:lang w:val="pl-PL"/>
        </w:rPr>
        <w:t xml:space="preserve"> W okresie leczenia trwającego 4–6 miesięcy w przypadku adalimumabu średnia zmiana masy ciała względem wartości początkowej wynosiła 0,3–1,0 kg we wskazaniach do stosowania u osób dorosłych, a w przypadku placebo (minus) -0,4–0,4 kg. W długotrwałych badaniach przedłużonych ze średnim czasem narażenia wynoszącym około 1–2 lat i bez grupy kontrolnej, obserwowano też zwiększenie masy ciała o 5–6 kg, zwłaszcza u pacjentów z chorobą Leśniowskiego-Crohna oraz z wrzodziejącym zapaleniem jelita grubego. Mechanizm warunkujący to działanie nie jest w pełni wyjaśniony, ale może </w:t>
      </w:r>
      <w:r w:rsidRPr="008F328C">
        <w:rPr>
          <w:lang w:val="pl-PL"/>
        </w:rPr>
        <w:lastRenderedPageBreak/>
        <w:t>mieć związek z przeciwzapalnym działaniem adalimumabu.</w:t>
      </w:r>
    </w:p>
    <w:p w14:paraId="087211A9" w14:textId="77777777" w:rsidR="00D22235" w:rsidRPr="008F328C" w:rsidRDefault="00D22235" w:rsidP="00D22235">
      <w:pPr>
        <w:spacing w:before="13" w:line="240" w:lineRule="exact"/>
        <w:rPr>
          <w:rFonts w:ascii="Times New Roman" w:hAnsi="Times New Roman" w:cs="Times New Roman"/>
          <w:sz w:val="24"/>
          <w:szCs w:val="24"/>
          <w:lang w:val="pl-PL"/>
        </w:rPr>
      </w:pPr>
    </w:p>
    <w:p w14:paraId="1B1C3599" w14:textId="77777777" w:rsidR="00D22235" w:rsidRPr="00AF4F99" w:rsidRDefault="00D22235" w:rsidP="00D22235">
      <w:pPr>
        <w:pStyle w:val="a3"/>
        <w:rPr>
          <w:u w:val="single"/>
          <w:lang w:val="pl-PL"/>
        </w:rPr>
      </w:pPr>
      <w:r w:rsidRPr="00D97EE5">
        <w:rPr>
          <w:rFonts w:eastAsia="Times New Roman"/>
          <w:u w:val="single" w:color="000000"/>
          <w:lang w:val="pl-PL"/>
        </w:rPr>
        <w:t>Ropne zapalenie apokrynowych gruczołów potowych</w:t>
      </w:r>
    </w:p>
    <w:p w14:paraId="2440E0B6" w14:textId="77777777" w:rsidR="00D22235" w:rsidRPr="008F328C" w:rsidRDefault="00D22235" w:rsidP="00D22235">
      <w:pPr>
        <w:spacing w:before="1" w:line="180" w:lineRule="exact"/>
        <w:rPr>
          <w:rFonts w:ascii="Times New Roman" w:hAnsi="Times New Roman" w:cs="Times New Roman"/>
          <w:sz w:val="18"/>
          <w:szCs w:val="18"/>
          <w:lang w:val="pl-PL"/>
        </w:rPr>
      </w:pPr>
    </w:p>
    <w:p w14:paraId="67F96D72" w14:textId="77777777" w:rsidR="00D22235" w:rsidRPr="008F328C" w:rsidRDefault="00D22235" w:rsidP="00D22235">
      <w:pPr>
        <w:pStyle w:val="a3"/>
        <w:rPr>
          <w:lang w:val="pl-PL"/>
        </w:rPr>
      </w:pPr>
      <w:r w:rsidRPr="008F328C">
        <w:rPr>
          <w:rFonts w:eastAsia="Times New Roman"/>
          <w:lang w:val="pl-PL"/>
        </w:rPr>
        <w:t>U pacjentów z ropnym zapaleniem apokrynowych gruczołów potowych leczonych adalimumabem raz w tygodniu profil bezpieczeństwa był zgodny ze znanym profilem bezpieczeństwa adalimumabu.</w:t>
      </w:r>
    </w:p>
    <w:p w14:paraId="66E8AB9E" w14:textId="77777777" w:rsidR="00D22235" w:rsidRPr="008F328C" w:rsidRDefault="00D22235" w:rsidP="00D22235">
      <w:pPr>
        <w:spacing w:before="11" w:line="240" w:lineRule="exact"/>
        <w:rPr>
          <w:rFonts w:ascii="Times New Roman" w:hAnsi="Times New Roman" w:cs="Times New Roman"/>
          <w:sz w:val="24"/>
          <w:szCs w:val="24"/>
          <w:lang w:val="pl-PL"/>
        </w:rPr>
      </w:pPr>
    </w:p>
    <w:p w14:paraId="070CBA3F" w14:textId="77777777" w:rsidR="00D22235" w:rsidRPr="008F328C" w:rsidRDefault="00D22235" w:rsidP="00D22235">
      <w:pPr>
        <w:pStyle w:val="a3"/>
        <w:rPr>
          <w:u w:val="single"/>
          <w:lang w:val="pl-PL"/>
        </w:rPr>
      </w:pPr>
      <w:r w:rsidRPr="008F328C">
        <w:rPr>
          <w:rFonts w:eastAsia="Times New Roman"/>
          <w:u w:val="single" w:color="000000"/>
          <w:lang w:val="pl-PL"/>
        </w:rPr>
        <w:t>Zapalenie błony naczyniowej oka</w:t>
      </w:r>
    </w:p>
    <w:p w14:paraId="0E51C14E" w14:textId="77777777" w:rsidR="00D22235" w:rsidRPr="008F328C" w:rsidRDefault="00D22235" w:rsidP="00D22235">
      <w:pPr>
        <w:spacing w:before="1" w:line="180" w:lineRule="exact"/>
        <w:rPr>
          <w:rFonts w:ascii="Times New Roman" w:hAnsi="Times New Roman" w:cs="Times New Roman"/>
          <w:sz w:val="18"/>
          <w:szCs w:val="18"/>
          <w:lang w:val="pl-PL"/>
        </w:rPr>
      </w:pPr>
    </w:p>
    <w:p w14:paraId="71718C93" w14:textId="77777777" w:rsidR="00D22235" w:rsidRPr="008F328C" w:rsidRDefault="00D22235" w:rsidP="00D22235">
      <w:pPr>
        <w:pStyle w:val="a3"/>
        <w:rPr>
          <w:lang w:val="pl-PL"/>
        </w:rPr>
      </w:pPr>
      <w:r w:rsidRPr="008F328C">
        <w:rPr>
          <w:rFonts w:eastAsia="Times New Roman"/>
          <w:lang w:val="pl-PL"/>
        </w:rPr>
        <w:t>U pacjentów z zapaleniem błony naczyniowej oka leczonych adalimumabem co drugi tydzień profil bezpieczeństwa był zgodny ze znanym profilem bezpieczeństwa adalimumabu.</w:t>
      </w:r>
    </w:p>
    <w:p w14:paraId="2C2AC8EF" w14:textId="77777777" w:rsidR="00D22235" w:rsidRPr="008F328C" w:rsidRDefault="00D22235" w:rsidP="00D22235">
      <w:pPr>
        <w:spacing w:before="11" w:line="240" w:lineRule="exact"/>
        <w:rPr>
          <w:rFonts w:ascii="Times New Roman" w:hAnsi="Times New Roman" w:cs="Times New Roman"/>
          <w:sz w:val="24"/>
          <w:szCs w:val="24"/>
          <w:lang w:val="pl-PL"/>
        </w:rPr>
      </w:pPr>
    </w:p>
    <w:p w14:paraId="006B3119" w14:textId="77777777" w:rsidR="00D22235" w:rsidRPr="00D97EE5" w:rsidRDefault="00D22235" w:rsidP="00D22235">
      <w:pPr>
        <w:pStyle w:val="a3"/>
        <w:rPr>
          <w:u w:val="single"/>
          <w:lang w:val="pl-PL"/>
        </w:rPr>
      </w:pPr>
      <w:r w:rsidRPr="00D97EE5">
        <w:rPr>
          <w:rFonts w:eastAsia="Times New Roman"/>
          <w:u w:val="single" w:color="000000"/>
          <w:lang w:val="pl-PL"/>
        </w:rPr>
        <w:t>Opis wybranych działań niepożądanych</w:t>
      </w:r>
    </w:p>
    <w:p w14:paraId="2B474F5F" w14:textId="77777777" w:rsidR="00D22235" w:rsidRPr="008F328C" w:rsidRDefault="00D22235" w:rsidP="00D22235">
      <w:pPr>
        <w:pStyle w:val="a3"/>
        <w:rPr>
          <w:sz w:val="18"/>
          <w:szCs w:val="18"/>
          <w:lang w:val="pl-PL"/>
        </w:rPr>
      </w:pPr>
    </w:p>
    <w:p w14:paraId="69BCA755" w14:textId="77777777" w:rsidR="00D22235" w:rsidRPr="008F328C" w:rsidRDefault="00D22235" w:rsidP="00D22235">
      <w:pPr>
        <w:pStyle w:val="a3"/>
        <w:rPr>
          <w:rFonts w:eastAsia="Times New Roman"/>
          <w:lang w:val="pl-PL"/>
        </w:rPr>
      </w:pPr>
      <w:r w:rsidRPr="008F328C">
        <w:rPr>
          <w:rFonts w:eastAsia="Times New Roman"/>
          <w:i/>
          <w:iCs/>
          <w:spacing w:val="-1"/>
          <w:lang w:val="pl-PL"/>
        </w:rPr>
        <w:t>Odczyny w miejscu wstrzyknięcia</w:t>
      </w:r>
    </w:p>
    <w:p w14:paraId="056C5996" w14:textId="77777777" w:rsidR="00D22235" w:rsidRPr="008F328C" w:rsidRDefault="00D22235" w:rsidP="00D22235">
      <w:pPr>
        <w:pStyle w:val="a3"/>
        <w:rPr>
          <w:sz w:val="24"/>
          <w:szCs w:val="24"/>
          <w:lang w:val="pl-PL"/>
        </w:rPr>
      </w:pPr>
    </w:p>
    <w:p w14:paraId="28B5884A" w14:textId="77777777" w:rsidR="00D22235" w:rsidRPr="008F328C" w:rsidRDefault="00D22235" w:rsidP="00D22235">
      <w:pPr>
        <w:pStyle w:val="a3"/>
        <w:rPr>
          <w:lang w:val="pl-PL"/>
        </w:rPr>
      </w:pPr>
      <w:r w:rsidRPr="008F328C">
        <w:rPr>
          <w:rFonts w:eastAsia="Times New Roman"/>
          <w:lang w:val="pl-PL"/>
        </w:rPr>
        <w:t>W głównych kontrolowanych badaniach klinicznych u dorosłych i dzieci, u 12,9% pacjentów leczonych adalimumabem wystąpiły odczyny w miejscu wstrzyknięcia [rumień i (lub) świąd, krwotok, ból lub obrzęk] w porównaniu do 7,2% pacjentów otrzymujących placebo lub czynną substancję porównawczą. Na ogół odczyny w miejscu wstrzyknięcia nie wymagały zaprzestania stosowania produktu leczniczego.</w:t>
      </w:r>
    </w:p>
    <w:p w14:paraId="573A4C95" w14:textId="77777777" w:rsidR="00D22235" w:rsidRPr="008F328C" w:rsidRDefault="00D22235" w:rsidP="00D22235">
      <w:pPr>
        <w:pStyle w:val="a3"/>
        <w:rPr>
          <w:lang w:val="pl-PL"/>
        </w:rPr>
      </w:pPr>
    </w:p>
    <w:p w14:paraId="7298D7D4" w14:textId="77777777" w:rsidR="00D22235" w:rsidRPr="008F328C" w:rsidRDefault="00D22235" w:rsidP="00D22235">
      <w:pPr>
        <w:pStyle w:val="a3"/>
        <w:rPr>
          <w:rFonts w:eastAsia="Times New Roman"/>
          <w:lang w:val="pl-PL"/>
        </w:rPr>
      </w:pPr>
      <w:r w:rsidRPr="008F328C">
        <w:rPr>
          <w:rFonts w:eastAsia="Times New Roman"/>
          <w:i/>
          <w:iCs/>
          <w:spacing w:val="-1"/>
          <w:lang w:val="pl-PL"/>
        </w:rPr>
        <w:t>Zakażenia</w:t>
      </w:r>
    </w:p>
    <w:p w14:paraId="6C9CC8D7" w14:textId="77777777" w:rsidR="00D22235" w:rsidRPr="008F328C" w:rsidRDefault="00D22235" w:rsidP="00D22235">
      <w:pPr>
        <w:pStyle w:val="a3"/>
        <w:rPr>
          <w:lang w:val="pl-PL"/>
        </w:rPr>
      </w:pPr>
    </w:p>
    <w:p w14:paraId="55D1BE70" w14:textId="77777777" w:rsidR="00D22235" w:rsidRPr="008F328C" w:rsidRDefault="00D22235" w:rsidP="00D22235">
      <w:pPr>
        <w:pStyle w:val="a3"/>
        <w:rPr>
          <w:lang w:val="pl-PL"/>
        </w:rPr>
      </w:pPr>
      <w:r w:rsidRPr="008F328C">
        <w:rPr>
          <w:rFonts w:eastAsia="Times New Roman"/>
          <w:lang w:val="pl-PL"/>
        </w:rPr>
        <w:t>W głównych kontrolowanych badaniach klinicznych u dorosłych i dzieci, współczynnik zakażeń wynosił 1,51 na pacjentorok u pacjentów leczonych adalimumabem oraz 1,46 na pacjentorok u pacjentów otrzymujących placebo lub czynną substancję porównawczą. Były to przede wszystkim zapalenie części nosowej gardła, zakażenie górnych dróg oddechowych i zapalenie zatok. Większość pacjentów kontynuowała stosowanie produktu adalimumabem po ustąpieniu zakażenia.</w:t>
      </w:r>
    </w:p>
    <w:p w14:paraId="6A83C2E6" w14:textId="77777777" w:rsidR="00D22235" w:rsidRPr="008F328C" w:rsidRDefault="00D22235" w:rsidP="00D22235">
      <w:pPr>
        <w:pStyle w:val="a3"/>
        <w:rPr>
          <w:lang w:val="pl-PL"/>
        </w:rPr>
      </w:pPr>
    </w:p>
    <w:p w14:paraId="5BD8E731" w14:textId="77777777" w:rsidR="00D22235" w:rsidRPr="008F328C" w:rsidRDefault="00D22235" w:rsidP="00D22235">
      <w:pPr>
        <w:pStyle w:val="a3"/>
        <w:rPr>
          <w:lang w:val="pl-PL"/>
        </w:rPr>
      </w:pPr>
      <w:r w:rsidRPr="008F328C">
        <w:rPr>
          <w:rFonts w:eastAsia="Times New Roman"/>
          <w:lang w:val="pl-PL"/>
        </w:rPr>
        <w:t>Częstość występowania ciężkich zakażeń wynosiła 0,04 na pacjentorok u pacjentów leczonych adalimumabem i 0,03 na pacjentorok u pacjentów otrzymujących placebo lub czynną substancję porównawczą.</w:t>
      </w:r>
    </w:p>
    <w:p w14:paraId="2B2A2363" w14:textId="77777777" w:rsidR="00D22235" w:rsidRPr="008F328C" w:rsidRDefault="00D22235" w:rsidP="00D22235">
      <w:pPr>
        <w:pStyle w:val="a3"/>
        <w:rPr>
          <w:lang w:val="pl-PL"/>
        </w:rPr>
      </w:pPr>
    </w:p>
    <w:p w14:paraId="0A9C459D" w14:textId="77777777" w:rsidR="00D22235" w:rsidRPr="008F328C" w:rsidRDefault="00D22235" w:rsidP="00D22235">
      <w:pPr>
        <w:pStyle w:val="a3"/>
        <w:rPr>
          <w:lang w:val="pl-PL"/>
        </w:rPr>
      </w:pPr>
      <w:r w:rsidRPr="008F328C">
        <w:rPr>
          <w:rFonts w:eastAsia="Times New Roman"/>
          <w:lang w:val="pl-PL"/>
        </w:rPr>
        <w:t>W kontrolowanych i otwartych badaniach klinicznych adalimumabu u dorosłych i dzieci, zgłaszano ciężkie zakażenia (w tym zakażenia prowadzące do zgonu, które występowały rzadko) łącznie z doniesieniami o gruźlicy (w tym gruźlicy prosówkowej i pozapłucnej) oraz o inwazyjnych zakażeniach oportunistycznych (np. rozsiana lub pozapłucna histoplazmoza, blastomykoza, kokcydioidomykoza, pneumocystoza, kandydoza, aspergiloza i listerioza). Większość przypadków gruźlicy pojawiło się podczas pierwszych ośmiu miesięcy leczenia i może być wyrazem uaktywnienia się utajonego procesu chorobowego.</w:t>
      </w:r>
    </w:p>
    <w:p w14:paraId="282757CD" w14:textId="77777777" w:rsidR="00D22235" w:rsidRPr="008F328C" w:rsidRDefault="00D22235" w:rsidP="00D22235">
      <w:pPr>
        <w:pStyle w:val="a3"/>
        <w:rPr>
          <w:lang w:val="pl-PL"/>
        </w:rPr>
      </w:pPr>
    </w:p>
    <w:p w14:paraId="08601D0E" w14:textId="77777777" w:rsidR="00D22235" w:rsidRPr="008F328C" w:rsidRDefault="00D22235" w:rsidP="00D22235">
      <w:pPr>
        <w:pStyle w:val="a3"/>
        <w:rPr>
          <w:rFonts w:eastAsia="Times New Roman"/>
          <w:lang w:val="pl-PL"/>
        </w:rPr>
      </w:pPr>
      <w:r w:rsidRPr="008F328C">
        <w:rPr>
          <w:rFonts w:eastAsia="Times New Roman"/>
          <w:i/>
          <w:iCs/>
          <w:spacing w:val="-1"/>
          <w:lang w:val="pl-PL"/>
        </w:rPr>
        <w:t>Nowotwory złośliwe i zaburzenia limfoproliferacyjne</w:t>
      </w:r>
    </w:p>
    <w:p w14:paraId="6A4763CC" w14:textId="77777777" w:rsidR="00D22235" w:rsidRPr="008F328C" w:rsidRDefault="00D22235" w:rsidP="00D22235">
      <w:pPr>
        <w:pStyle w:val="a3"/>
        <w:rPr>
          <w:lang w:val="pl-PL"/>
        </w:rPr>
      </w:pPr>
    </w:p>
    <w:p w14:paraId="4FCC6E69" w14:textId="77777777" w:rsidR="00D22235" w:rsidRPr="008F328C" w:rsidRDefault="00D22235" w:rsidP="00D22235">
      <w:pPr>
        <w:pStyle w:val="a3"/>
        <w:rPr>
          <w:lang w:val="pl-PL"/>
        </w:rPr>
      </w:pPr>
      <w:r w:rsidRPr="008F328C">
        <w:rPr>
          <w:rFonts w:eastAsia="Times New Roman"/>
          <w:lang w:val="pl-PL"/>
        </w:rPr>
        <w:t xml:space="preserve">Nie zaobserwowano nowotworów złośliwych u 249 pacjentów pediatrycznych podczas badań klinicznych adalimumabu u pacjentów z młodzieńczym idiopatycznym zapaleniem stawów (wielostawowym młodzieńczym idiopatycznym zapaleniem stawów i zapaleniem stawów z towarzyszącym zapaleniem przyczepów ścięgnistych), gdzie ekspozycja wynosiła 655,6 pacjentolat. Ponadto, nie zaobserwowano nowotworów złośliwych u 192 pacjentów podczas badań klinicznych adalimumabu u dzieci i młodzieży z chorobą Leśniowskiego-Crohna, gdzie narażenie wynosiło 498,1 pacjentolat. W badaniu klinicznym adalimumabu u dzieci i młodzieży z przewlekłą łuszczycą zwyczajną (plackowatą) nie zaobserwowano nowotworów złośliwych u 77 pacjentów przy ekspozycji wynoszącej 80,0 pacjentolat. </w:t>
      </w:r>
      <w:r w:rsidRPr="008F328C">
        <w:rPr>
          <w:rStyle w:val="normaltextrun"/>
          <w:shd w:val="clear" w:color="auto" w:fill="FFFFFF"/>
          <w:lang w:val="pl-PL"/>
        </w:rPr>
        <w:t>W badaniu klinicznym produktu adalimumabu u dzieci i młodzieży z wrzodziejącym zapaleniem jelita grubego nie zaobserwowano nowotworów złośliwych u 93 pacjentów przy ekspozycji wynoszącej 65,3 pacjentolat</w:t>
      </w:r>
      <w:r w:rsidRPr="008F328C">
        <w:rPr>
          <w:rFonts w:eastAsia="Calibri"/>
          <w:lang w:val="pl-PL"/>
        </w:rPr>
        <w:t xml:space="preserve">. </w:t>
      </w:r>
      <w:r w:rsidRPr="008F328C">
        <w:rPr>
          <w:rFonts w:eastAsia="Times New Roman"/>
          <w:lang w:val="pl-PL"/>
        </w:rPr>
        <w:t xml:space="preserve">Nie zaobserwowano nowotworów złośliwych u 60 pacjentów pediatrycznych podczas badania klinicznego </w:t>
      </w:r>
      <w:r w:rsidRPr="008F328C">
        <w:rPr>
          <w:rFonts w:eastAsia="Times New Roman"/>
          <w:lang w:val="pl-PL"/>
        </w:rPr>
        <w:lastRenderedPageBreak/>
        <w:t>adalimumabu u pacjentów pediatrycznych z zapaleniem błony naczyniowej oka, gdzie ekspozycja wynosiła 58,4 pacjentolat.</w:t>
      </w:r>
    </w:p>
    <w:p w14:paraId="70B4A229" w14:textId="77777777" w:rsidR="00D22235" w:rsidRPr="008F328C" w:rsidRDefault="00D22235" w:rsidP="00D22235">
      <w:pPr>
        <w:spacing w:before="13" w:line="240" w:lineRule="exact"/>
        <w:rPr>
          <w:rFonts w:ascii="Times New Roman" w:hAnsi="Times New Roman" w:cs="Times New Roman"/>
          <w:sz w:val="24"/>
          <w:szCs w:val="24"/>
          <w:lang w:val="pl-PL"/>
        </w:rPr>
      </w:pPr>
    </w:p>
    <w:p w14:paraId="5CBDEDF0" w14:textId="77777777" w:rsidR="00D22235" w:rsidRPr="008F328C" w:rsidRDefault="00D22235" w:rsidP="00D22235">
      <w:pPr>
        <w:pStyle w:val="a3"/>
        <w:rPr>
          <w:lang w:val="pl-PL"/>
        </w:rPr>
      </w:pPr>
      <w:r w:rsidRPr="008F328C">
        <w:rPr>
          <w:rFonts w:eastAsia="Times New Roman"/>
          <w:lang w:val="pl-PL"/>
        </w:rPr>
        <w:t>W czasie kontrolowanych części głównych badań klinicznych adalimumabu trwających co najmniej 12 tygodni u dorosłych pacjentów z umiarkowanym do ciężkiego czynnym reumatoidalnym zapaleniem stawów, zesztywniającym zapaleniem stawów kręgosłupa, osiową spondyloartropatią bez zmian radiograficznych charakterystycznych dla zesztywniającego zapalenia stawów kręgosłupa, łuszczycowym zapaleniem stawów, łuszczycą, ropnym zapaleniem apokrynowych gruczołów potowych, chorobą Leśniowskiego-Crohna, wrzodziejącym zapaleniem jelita grubego i zapaleniem błony naczyniowej oka, obserwowany współczynnik występowania (95% przedział ufności) nowotworów złośliwych, innych niż chłoniak i rak skóry niebędący czerniakiem, wynosił 6,8 (4,4, 10,5) na 1000 pacjentolat u 5291 pacjentów leczonych adalimumabem w porównaniu do współczynnika 6,3 (3,4, 11,8) na 1000 pacjentolat u 3444 pacjentów z grup kontrolnych (mediana czasu trwania leczenia wynosiła 4,0 miesiące u pacjentów leczonych adalimumabemm oraz 3,8 miesiąca u pacjentów z grup kontrolnych). Współczynnik występowania (95% przedział ufności) raków skóry, niebędących czerniakiem, wynosił 8,8 (6,0, 13,0) na 1000 pacjentolat u pacjentów leczonych adalimumabem oraz 3,2 (1,3, 7,6) na 1000 pacjentolat u pacjentów z grup kontrolnych. Z tych raków skóry, współczynniki występowania (95% przedział ufności) raków płaskonabłonkowych wynosiły 2,7 (1,4, 5,4) na 1000 pacjentolat u pacjentów leczonych adalimumabem i 0,6 (0,1, 4,5) na 1 000 pacjentolat u pacjentów z grup kontrolnych. Współczynnik występowania (95% przedział ufności) chłoniaków wynosił 0,7 (0,2, 2,7) na 1 000 pacjentolat u pacjentów leczonych adalimumabem oraz 0,6 (0,1, 4,5) na 1 000 pacjentolat u pacjentów z grup kontrolnych.</w:t>
      </w:r>
    </w:p>
    <w:p w14:paraId="7D5DF184" w14:textId="77777777" w:rsidR="00D22235" w:rsidRPr="008F328C" w:rsidRDefault="00D22235" w:rsidP="00D22235">
      <w:pPr>
        <w:spacing w:before="13" w:line="240" w:lineRule="exact"/>
        <w:rPr>
          <w:rFonts w:ascii="Times New Roman" w:hAnsi="Times New Roman" w:cs="Times New Roman"/>
          <w:sz w:val="24"/>
          <w:szCs w:val="24"/>
          <w:lang w:val="pl-PL"/>
        </w:rPr>
      </w:pPr>
    </w:p>
    <w:p w14:paraId="18075349" w14:textId="77777777" w:rsidR="00D22235" w:rsidRPr="008F328C" w:rsidRDefault="00D22235" w:rsidP="00D22235">
      <w:pPr>
        <w:pStyle w:val="a3"/>
        <w:rPr>
          <w:lang w:val="pl-PL"/>
        </w:rPr>
      </w:pPr>
      <w:r w:rsidRPr="008F328C">
        <w:rPr>
          <w:rFonts w:eastAsia="Times New Roman"/>
          <w:lang w:val="pl-PL"/>
        </w:rPr>
        <w:t>Gdy rozpatruje się łącznie kontrolowane części tych badań klinicznych oraz trwające obecnie i zakończone badania otwarte będące ich kontynuacją, o medianie czasu trwania wynoszącej około 3,3 lat, obejmujące 6427 pacjentów i ponad 26 439 pacjentolat terapii, obserwowany współczynnik występowania nowotworów złośliwych, innych niż chłoniak i raki skóry niebędące czerniakiem, wynosi około 8,5 na 1000 pacjentolat. Obserwowany współczynnik występowania raków skóry niebędących czerniakiem wynosi około 9,6 na 1000 pacjentolat, a obserwowany współczynnik występowania chłoniaków – około 1,3 na 1000 pacjentolat.</w:t>
      </w:r>
    </w:p>
    <w:p w14:paraId="6C12D495" w14:textId="77777777" w:rsidR="00D22235" w:rsidRPr="008F328C" w:rsidRDefault="00D22235" w:rsidP="00D22235">
      <w:pPr>
        <w:spacing w:before="14" w:line="240" w:lineRule="exact"/>
        <w:rPr>
          <w:rFonts w:ascii="Times New Roman" w:hAnsi="Times New Roman" w:cs="Times New Roman"/>
          <w:sz w:val="24"/>
          <w:szCs w:val="24"/>
          <w:lang w:val="pl-PL"/>
        </w:rPr>
      </w:pPr>
    </w:p>
    <w:p w14:paraId="12C4BD80" w14:textId="77777777" w:rsidR="00FF18EE" w:rsidRPr="008F328C" w:rsidRDefault="00FF18EE" w:rsidP="00FF18EE">
      <w:pPr>
        <w:pStyle w:val="a3"/>
        <w:rPr>
          <w:lang w:val="pl-PL"/>
        </w:rPr>
      </w:pPr>
      <w:r w:rsidRPr="008F328C">
        <w:rPr>
          <w:rFonts w:eastAsia="Times New Roman"/>
          <w:lang w:val="pl-PL"/>
        </w:rPr>
        <w:t xml:space="preserve">Po wprowadzeniu produktu do obrotu, od stycznia 2003 do grudnia 2010, głównie u pacjentów z reumatoidalnym zapaleniem stawów, zgłaszany </w:t>
      </w:r>
      <w:r>
        <w:rPr>
          <w:lang w:val="pl-PL"/>
        </w:rPr>
        <w:t xml:space="preserve">spontanicznie </w:t>
      </w:r>
      <w:r w:rsidRPr="008F328C">
        <w:rPr>
          <w:rFonts w:eastAsia="Times New Roman"/>
          <w:lang w:val="pl-PL"/>
        </w:rPr>
        <w:t xml:space="preserve">współczynnik występowania nowotworów złośliwych wynosi około 2,7 na 1000 pacjentolat. Zgłaszane </w:t>
      </w:r>
      <w:r>
        <w:rPr>
          <w:lang w:val="pl-PL"/>
        </w:rPr>
        <w:t xml:space="preserve">spontanicznie </w:t>
      </w:r>
      <w:r w:rsidRPr="008F328C">
        <w:rPr>
          <w:rFonts w:eastAsia="Times New Roman"/>
          <w:lang w:val="pl-PL"/>
        </w:rPr>
        <w:t>współczynniki występowania raków skóry niebędących czerniakami i chłoniaków wynoszą odpowiednio około 0,2 i 0,3 na 1000 pacjentolat (patrz punkt 4.4).</w:t>
      </w:r>
    </w:p>
    <w:p w14:paraId="22EA243F" w14:textId="77777777" w:rsidR="00D22235" w:rsidRPr="00FF18EE" w:rsidRDefault="00D22235" w:rsidP="00D22235">
      <w:pPr>
        <w:spacing w:before="17" w:line="240" w:lineRule="exact"/>
        <w:rPr>
          <w:rFonts w:ascii="Times New Roman" w:hAnsi="Times New Roman" w:cs="Times New Roman"/>
          <w:sz w:val="24"/>
          <w:szCs w:val="24"/>
          <w:lang w:val="pl-PL"/>
        </w:rPr>
      </w:pPr>
    </w:p>
    <w:p w14:paraId="0B7D4448" w14:textId="77777777" w:rsidR="00D22235" w:rsidRPr="008F328C" w:rsidRDefault="00D22235" w:rsidP="00D22235">
      <w:pPr>
        <w:pStyle w:val="a3"/>
        <w:rPr>
          <w:lang w:val="pl-PL"/>
        </w:rPr>
      </w:pPr>
      <w:r w:rsidRPr="008F328C">
        <w:rPr>
          <w:rFonts w:eastAsia="Times New Roman"/>
          <w:lang w:val="pl-PL"/>
        </w:rPr>
        <w:t>Po wprowadzeniu produktu do obrotu informowano o rzadkich przypadkach chłoniaka T-komórkowego wątrobowo-śledzionowego u pacjentów leczonych adalimumabem (patrz punkt 4.4).</w:t>
      </w:r>
    </w:p>
    <w:p w14:paraId="5FB124E4" w14:textId="77777777" w:rsidR="00D22235" w:rsidRPr="008F328C" w:rsidRDefault="00D22235" w:rsidP="00D22235">
      <w:pPr>
        <w:pStyle w:val="a3"/>
        <w:rPr>
          <w:sz w:val="24"/>
          <w:szCs w:val="24"/>
          <w:lang w:val="pl-PL"/>
        </w:rPr>
      </w:pPr>
    </w:p>
    <w:p w14:paraId="29E13B83" w14:textId="77777777" w:rsidR="00D22235" w:rsidRPr="008F328C" w:rsidRDefault="00D22235" w:rsidP="00D22235">
      <w:pPr>
        <w:pStyle w:val="a3"/>
        <w:rPr>
          <w:rFonts w:eastAsia="Times New Roman"/>
          <w:lang w:val="pl-PL"/>
        </w:rPr>
      </w:pPr>
      <w:r w:rsidRPr="008F328C">
        <w:rPr>
          <w:rFonts w:eastAsia="Times New Roman"/>
          <w:i/>
          <w:iCs/>
          <w:spacing w:val="-1"/>
          <w:lang w:val="pl-PL"/>
        </w:rPr>
        <w:t>Autoprzeciwciała</w:t>
      </w:r>
    </w:p>
    <w:p w14:paraId="40B4CDA8" w14:textId="77777777" w:rsidR="00D22235" w:rsidRPr="008F328C" w:rsidRDefault="00D22235" w:rsidP="00D22235">
      <w:pPr>
        <w:pStyle w:val="a3"/>
        <w:rPr>
          <w:sz w:val="24"/>
          <w:szCs w:val="24"/>
          <w:lang w:val="pl-PL"/>
        </w:rPr>
      </w:pPr>
    </w:p>
    <w:p w14:paraId="7342814B" w14:textId="77777777" w:rsidR="00D22235" w:rsidRPr="008F328C" w:rsidRDefault="00D22235" w:rsidP="00D22235">
      <w:pPr>
        <w:pStyle w:val="a3"/>
        <w:rPr>
          <w:lang w:val="pl-PL"/>
        </w:rPr>
      </w:pPr>
      <w:r w:rsidRPr="008F328C">
        <w:rPr>
          <w:rFonts w:eastAsia="Times New Roman"/>
          <w:lang w:val="pl-PL"/>
        </w:rPr>
        <w:t>Próbki surowicy pacjentów z reumatoidalnym zapaleniem stawów badano wielokrotnie na obecność autoprzeciwciał (badanie I-V). W tych badaniach klinicznych, u 11,9% pacjentów leczonych adalimumabem i u 8,1% pacjentów otrzymujących placebo lub czynną substancję porównawczą, którzy mieli ujemne miana przeciwciał przeciwjądrowych przed rozpoczęciem badania stwierdzono dodatnie miana w 24. tygodniu. U dwóch pacjentów z 3441 leczonych adalimumabem, we wszystkich badaniach stosowania w reumatoidalnym zapaleniu stawów i łuszczycowym zapaleniu stawów, pojawiły się objawy kliniczne wskazujące na wystąpienie zespołu toczniopodobnego. Stan pacjentów poprawił się po odstawieniu leczenia. U żadnego z pacjentów nie wystąpiło toczniowe zapalenie nerek lub objawy ze strony ośrodkowego układu nerwowego.</w:t>
      </w:r>
    </w:p>
    <w:p w14:paraId="5966FD3A" w14:textId="77777777" w:rsidR="00D22235" w:rsidRPr="008F328C" w:rsidRDefault="00D22235" w:rsidP="00D22235">
      <w:pPr>
        <w:pStyle w:val="a3"/>
        <w:rPr>
          <w:sz w:val="24"/>
          <w:szCs w:val="24"/>
          <w:lang w:val="pl-PL"/>
        </w:rPr>
      </w:pPr>
    </w:p>
    <w:p w14:paraId="5F0D71F6" w14:textId="77777777" w:rsidR="00D22235" w:rsidRPr="008F328C" w:rsidRDefault="00D22235" w:rsidP="00D22235">
      <w:pPr>
        <w:pStyle w:val="a3"/>
        <w:rPr>
          <w:rFonts w:eastAsia="Times New Roman"/>
          <w:lang w:val="pl-PL"/>
        </w:rPr>
      </w:pPr>
      <w:r w:rsidRPr="008F328C">
        <w:rPr>
          <w:rFonts w:eastAsia="Times New Roman"/>
          <w:i/>
          <w:iCs/>
          <w:lang w:val="pl-PL"/>
        </w:rPr>
        <w:t>Zaburzenia wątroby i dróg żółciowych</w:t>
      </w:r>
    </w:p>
    <w:p w14:paraId="21D9C6AE" w14:textId="77777777" w:rsidR="00D22235" w:rsidRPr="008F328C" w:rsidRDefault="00D22235" w:rsidP="00D22235">
      <w:pPr>
        <w:pStyle w:val="a3"/>
        <w:rPr>
          <w:sz w:val="24"/>
          <w:szCs w:val="24"/>
          <w:lang w:val="pl-PL"/>
        </w:rPr>
      </w:pPr>
    </w:p>
    <w:p w14:paraId="3AA7D2A9" w14:textId="77777777" w:rsidR="00D22235" w:rsidRPr="008F328C" w:rsidRDefault="00D22235" w:rsidP="00D22235">
      <w:pPr>
        <w:pStyle w:val="a3"/>
        <w:rPr>
          <w:lang w:val="pl-PL"/>
        </w:rPr>
      </w:pPr>
      <w:r w:rsidRPr="008F328C">
        <w:rPr>
          <w:rFonts w:eastAsia="Times New Roman"/>
          <w:lang w:val="pl-PL"/>
        </w:rPr>
        <w:t>W kontrolowanych badaniach klinicznych fazy III adalimumabem u pacjentów z reumatoidalnym zapaleniem stawów i łuszczycowym zapaleniem stawów, gdzie okres kontrolny trwał od 4 do 104 tygodni, zwiększenie aktywności AlAT ≥ 3 x górna granica normy (GGN) wystąpiło u 3,7% pacjentów leczonych adalimumabem i 1,6% pacjentów otrzymujących leczenie porównawcze.</w:t>
      </w:r>
    </w:p>
    <w:p w14:paraId="534961E1" w14:textId="77777777" w:rsidR="00D22235" w:rsidRPr="008F328C" w:rsidRDefault="00D22235" w:rsidP="00D22235">
      <w:pPr>
        <w:pStyle w:val="a3"/>
        <w:rPr>
          <w:sz w:val="24"/>
          <w:szCs w:val="24"/>
          <w:lang w:val="pl-PL"/>
        </w:rPr>
      </w:pPr>
    </w:p>
    <w:p w14:paraId="413CCF54" w14:textId="77777777" w:rsidR="00D22235" w:rsidRPr="008F328C" w:rsidRDefault="00D22235" w:rsidP="00D22235">
      <w:pPr>
        <w:pStyle w:val="a3"/>
        <w:rPr>
          <w:lang w:val="pl-PL"/>
        </w:rPr>
      </w:pPr>
      <w:r w:rsidRPr="008F328C">
        <w:rPr>
          <w:rFonts w:eastAsia="Times New Roman"/>
          <w:lang w:val="pl-PL"/>
        </w:rPr>
        <w:t>W kontrolowanych badaniach klinicznych fazy III adalimumabu u pacjentów w wieku od 4 do 17 lat z wielostawowym młodzieńczym idiopatycznym zapaleniem stawów, oraz u pacjentów w wieku od 6 do 17 lat z zapaleniem stawów z towarzyszącym zapaleniem przyczepów ścięgnistych, odnotowano zwiększenie aktywności AlAT ≥ 3 x GGN u 6,1% pacjentów leczonych adalimumabem i 1,3% pacjentów otrzymujących leczenie porównawcze. W większości przypadków zwiększenie aktywności AlAT obserwowano podczas jednoczesnego stosowania metotreksatu. W badaniu klinicznym fazy III adalimumabu u pacjentów w wieku od 2 do &lt; 4 lat z wielostawowym młodzieńczym idiopatycznym zapaleniem stawów, nie odnotowano zwiększenia aktywności AlAT ≥ 3 x GGN.</w:t>
      </w:r>
    </w:p>
    <w:p w14:paraId="54EA9425" w14:textId="77777777" w:rsidR="00D22235" w:rsidRPr="008F328C" w:rsidRDefault="00D22235" w:rsidP="00D22235">
      <w:pPr>
        <w:pStyle w:val="a3"/>
        <w:rPr>
          <w:sz w:val="24"/>
          <w:szCs w:val="24"/>
          <w:lang w:val="pl-PL"/>
        </w:rPr>
      </w:pPr>
    </w:p>
    <w:p w14:paraId="464225FC" w14:textId="77777777" w:rsidR="00D22235" w:rsidRPr="008F328C" w:rsidRDefault="00D22235" w:rsidP="00D22235">
      <w:pPr>
        <w:pStyle w:val="a3"/>
        <w:rPr>
          <w:lang w:val="pl-PL"/>
        </w:rPr>
      </w:pPr>
      <w:r w:rsidRPr="008F328C">
        <w:rPr>
          <w:rFonts w:eastAsia="Times New Roman"/>
          <w:lang w:val="pl-PL"/>
        </w:rPr>
        <w:t>W kontrolowanych badaniach klinicznych fazy III adalimumabu u pacjentów z chorobą Leśniowskiego-Crohna i wrzodziejącym zapaleniem jelita grubego, gdzie okres kontrolny trwał od 4 do 52 tygodni zwiększenie aktywności AlAT ≥ 3 x górnej granicy wartości prawidłowych wystąpiło u 0,9% pacjentów leczonych adalimumabem i 0,9% pacjentów otrzymujących leczenie porównawcze.</w:t>
      </w:r>
    </w:p>
    <w:p w14:paraId="72B80684" w14:textId="77777777" w:rsidR="00D22235" w:rsidRPr="008F328C" w:rsidRDefault="00D22235" w:rsidP="00D22235">
      <w:pPr>
        <w:spacing w:before="11" w:line="240" w:lineRule="exact"/>
        <w:rPr>
          <w:rFonts w:ascii="Times New Roman" w:hAnsi="Times New Roman" w:cs="Times New Roman"/>
          <w:sz w:val="24"/>
          <w:szCs w:val="24"/>
          <w:lang w:val="pl-PL"/>
        </w:rPr>
      </w:pPr>
    </w:p>
    <w:p w14:paraId="18DEEB38" w14:textId="77777777" w:rsidR="00D22235" w:rsidRPr="008F328C" w:rsidRDefault="00D22235" w:rsidP="00D22235">
      <w:pPr>
        <w:pStyle w:val="a3"/>
        <w:rPr>
          <w:lang w:val="pl-PL"/>
        </w:rPr>
      </w:pPr>
      <w:r w:rsidRPr="008F328C">
        <w:rPr>
          <w:rFonts w:eastAsia="Times New Roman"/>
          <w:lang w:val="pl-PL"/>
        </w:rPr>
        <w:t>W badaniu fazy III adalimumabu u dzieci i młodzieży z chorobą Leśniowskiego-Crohna oceniano skuteczność i bezpieczeństwo dwóch schematów dawkowania podtrzymującego, ustalonego w zależności od masy ciała pacjenta, następującego po indukcji zależnymi od masy ciała dawkami. W czasie do 52 tygodni leczenia, zwiększenie aktywności AlAT ≥ 3 x GGN wystąpiło u 2,6% (5/192) pacjentów, z których 4 wyjściowo otrzymywało jednocześnie leki immunosupresyjne.</w:t>
      </w:r>
    </w:p>
    <w:p w14:paraId="3AF28129" w14:textId="77777777" w:rsidR="00D22235" w:rsidRPr="008F328C" w:rsidRDefault="00D22235" w:rsidP="00D22235">
      <w:pPr>
        <w:spacing w:before="13" w:line="240" w:lineRule="exact"/>
        <w:rPr>
          <w:rFonts w:ascii="Times New Roman" w:hAnsi="Times New Roman" w:cs="Times New Roman"/>
          <w:sz w:val="24"/>
          <w:szCs w:val="24"/>
          <w:lang w:val="pl-PL"/>
        </w:rPr>
      </w:pPr>
    </w:p>
    <w:p w14:paraId="0451D61E" w14:textId="77777777" w:rsidR="00D22235" w:rsidRPr="008F328C" w:rsidRDefault="00D22235" w:rsidP="00D22235">
      <w:pPr>
        <w:pStyle w:val="a3"/>
        <w:rPr>
          <w:lang w:val="pl-PL"/>
        </w:rPr>
      </w:pPr>
      <w:r w:rsidRPr="008F328C">
        <w:rPr>
          <w:rFonts w:eastAsia="Times New Roman"/>
          <w:lang w:val="pl-PL"/>
        </w:rPr>
        <w:t>W kontrolowanych badaniach klinicznych fazy III adalimumabu u pacjentów z łuszczycą zwyczajną (plackowatą), gdzie okres kontrolny trwał od 12 do 24 tygodni, zwiększenie aktywności AlAT ≥ 3 x GGN wystąpiło u 1,8% pacjentów leczonych adalimumabem i 1,8% pacjentów otrzymujących leczenie porównawcze.</w:t>
      </w:r>
    </w:p>
    <w:p w14:paraId="528FF6AB" w14:textId="77777777" w:rsidR="00D22235" w:rsidRPr="008F328C" w:rsidRDefault="00D22235" w:rsidP="00D22235">
      <w:pPr>
        <w:spacing w:before="17" w:line="240" w:lineRule="exact"/>
        <w:rPr>
          <w:rFonts w:ascii="Times New Roman" w:hAnsi="Times New Roman" w:cs="Times New Roman"/>
          <w:sz w:val="24"/>
          <w:szCs w:val="24"/>
          <w:lang w:val="pl-PL"/>
        </w:rPr>
      </w:pPr>
    </w:p>
    <w:p w14:paraId="77F6D9AE" w14:textId="77777777" w:rsidR="00D22235" w:rsidRPr="008F328C" w:rsidRDefault="00D22235" w:rsidP="00D22235">
      <w:pPr>
        <w:pStyle w:val="a3"/>
        <w:rPr>
          <w:lang w:val="pl-PL"/>
        </w:rPr>
      </w:pPr>
      <w:r w:rsidRPr="008F328C">
        <w:rPr>
          <w:rFonts w:eastAsia="Times New Roman"/>
          <w:lang w:val="pl-PL"/>
        </w:rPr>
        <w:t>W badaniu klinicznym fazy III adalimumabu u dzieci i młodzieży z łuszczycą zwyczajną (plackowatą) nie wystąpiło zwiększenie aktywności AlAT ≥ 3 x GGN.</w:t>
      </w:r>
    </w:p>
    <w:p w14:paraId="5409E710" w14:textId="77777777" w:rsidR="00D22235" w:rsidRPr="008F328C" w:rsidRDefault="00D22235" w:rsidP="00D22235">
      <w:pPr>
        <w:spacing w:before="11" w:line="240" w:lineRule="exact"/>
        <w:rPr>
          <w:rFonts w:ascii="Times New Roman" w:hAnsi="Times New Roman" w:cs="Times New Roman"/>
          <w:sz w:val="24"/>
          <w:szCs w:val="24"/>
          <w:lang w:val="pl-PL"/>
        </w:rPr>
      </w:pPr>
    </w:p>
    <w:p w14:paraId="1AF23E96" w14:textId="77777777" w:rsidR="00D22235" w:rsidRPr="008F328C" w:rsidRDefault="00D22235" w:rsidP="00D22235">
      <w:pPr>
        <w:pStyle w:val="a3"/>
        <w:rPr>
          <w:lang w:val="pl-PL"/>
        </w:rPr>
      </w:pPr>
      <w:r w:rsidRPr="008F328C">
        <w:rPr>
          <w:rFonts w:eastAsia="Times New Roman"/>
          <w:lang w:val="pl-PL"/>
        </w:rPr>
        <w:t>W kontrolowanych badaniach klinicznych adalimumabu (dawki początkowe 160 mg w tygodniu 0 i 80 mg w 2. tygodniu, a następnie począwszy od 4. tygodnia 40 mg co tydzień) u pacjentów z ropnym zapaleniem apokrynowych gruczołów potowych w okresie kontrolnym trwającym od 12 do16 tygodnia zwiększenie aktywności AlAT &gt; 3 x GGN wystąpiło u 0,3% pacjentów leczonych adalimumabem i 0,6% pacjentów leczonych produktem porównawczym.</w:t>
      </w:r>
    </w:p>
    <w:p w14:paraId="5A57B7F0" w14:textId="77777777" w:rsidR="00D22235" w:rsidRPr="008F328C" w:rsidRDefault="00D22235" w:rsidP="00D22235">
      <w:pPr>
        <w:spacing w:before="17" w:line="240" w:lineRule="exact"/>
        <w:rPr>
          <w:rFonts w:ascii="Times New Roman" w:hAnsi="Times New Roman" w:cs="Times New Roman"/>
          <w:sz w:val="24"/>
          <w:szCs w:val="24"/>
          <w:lang w:val="pl-PL"/>
        </w:rPr>
      </w:pPr>
    </w:p>
    <w:p w14:paraId="72385BE9" w14:textId="77777777" w:rsidR="00D22235" w:rsidRPr="008F328C" w:rsidRDefault="00D22235" w:rsidP="00D22235">
      <w:pPr>
        <w:pStyle w:val="a3"/>
        <w:rPr>
          <w:rFonts w:eastAsia="Times New Roman"/>
          <w:lang w:val="pl-PL"/>
        </w:rPr>
      </w:pPr>
      <w:r w:rsidRPr="008F328C">
        <w:rPr>
          <w:rFonts w:eastAsia="Times New Roman"/>
          <w:lang w:val="pl-PL"/>
        </w:rPr>
        <w:t>W kontrolowanych badaniach klinicznych adalimumabu (dawka początkowa 80 mg w tygodniu 0, a następnie począwszy od 1. tygodnia 40 mg co drugi tydzień) u dorosłych pacjentów z zapaleniem błony naczyniowej oka w okresie do 80 tygodni z medianą ekspozycji wynoszącą 166,5 dni i 105,0 dni odpowiednio u pacjentów leczonych adalimumabem i pacjentów leczonych produktem porównawczym, zwiększenie aktywności AlAT ≥ 3 x GGN wystąpiło u 2,4% pacjentów leczonych adalimumabem i 2,4% pacjentów leczonych produktem porównawczym.</w:t>
      </w:r>
    </w:p>
    <w:p w14:paraId="772ADECB" w14:textId="77777777" w:rsidR="00D22235" w:rsidRPr="008F328C" w:rsidRDefault="00D22235" w:rsidP="00D22235">
      <w:pPr>
        <w:pStyle w:val="a3"/>
        <w:rPr>
          <w:lang w:val="pl-PL"/>
        </w:rPr>
      </w:pPr>
    </w:p>
    <w:p w14:paraId="42B21A57" w14:textId="77777777" w:rsidR="00D22235" w:rsidRPr="008F328C" w:rsidRDefault="00D22235" w:rsidP="00D22235">
      <w:pPr>
        <w:rPr>
          <w:rFonts w:ascii="Times New Roman" w:hAnsi="Times New Roman" w:cs="Times New Roman"/>
          <w:lang w:val="pl-PL"/>
        </w:rPr>
      </w:pPr>
      <w:r w:rsidRPr="008F328C">
        <w:rPr>
          <w:rStyle w:val="normaltextrun"/>
          <w:rFonts w:ascii="Times New Roman" w:hAnsi="Times New Roman" w:cs="Times New Roman"/>
          <w:shd w:val="clear" w:color="auto" w:fill="FFFFFF"/>
          <w:lang w:val="pl-PL"/>
        </w:rPr>
        <w:t xml:space="preserve">W kontrolowanym badaniu klinicznym fazy III produktu adalimumabu u dzieci i młodzieży z wrzodziejącym zapaleniem jelita grubego (N=93), w którym oceniano skuteczność i bezpieczeństwo stosowania dawki podtrzymującej 0,6 mg/kg (maksymalnie 40 mg) co drugi tydzień (N=31) i dawki podtrzymującej 0,6 mg/kg (maksymalnie 40 mg) co tydzień (N=32), podawanych po dawkach indukcyjnych zależnych od masy ciała wynoszących 2,4 mg/kg (maksymalnie 160 mg) w 0. i 1. tygodniu i 1,2 mg/kg (maksymalnie 80 mg) w 2. tygodniu (N=63) lub po dawkach indukcyjnych 2,4 mg/kg </w:t>
      </w:r>
      <w:r w:rsidRPr="008F328C">
        <w:rPr>
          <w:rStyle w:val="normaltextrun"/>
          <w:rFonts w:ascii="Times New Roman" w:hAnsi="Times New Roman" w:cs="Times New Roman"/>
          <w:shd w:val="clear" w:color="auto" w:fill="FFFFFF"/>
          <w:lang w:val="pl-PL"/>
        </w:rPr>
        <w:lastRenderedPageBreak/>
        <w:t>(maksymalnie 160 mg) w 0. tygodniu, placebo w 1. tygodniu i 1,2 mg/kg (maksymalnie 80 mg) w 2. tygodniu (N=30), zwiększenie aktywności AlAT ≥ 3 x GGN wystąpiło u 1,1% (1/93) pacjentów</w:t>
      </w:r>
      <w:r w:rsidRPr="008F328C">
        <w:rPr>
          <w:rFonts w:ascii="Times New Roman" w:hAnsi="Times New Roman" w:cs="Times New Roman"/>
          <w:lang w:val="pl-PL"/>
        </w:rPr>
        <w:t>.</w:t>
      </w:r>
    </w:p>
    <w:p w14:paraId="45A95A8A" w14:textId="77777777" w:rsidR="00D22235" w:rsidRPr="008F328C" w:rsidRDefault="00D22235" w:rsidP="00D22235">
      <w:pPr>
        <w:spacing w:before="11" w:line="240" w:lineRule="exact"/>
        <w:rPr>
          <w:rFonts w:ascii="Times New Roman" w:hAnsi="Times New Roman" w:cs="Times New Roman"/>
          <w:sz w:val="24"/>
          <w:szCs w:val="24"/>
          <w:lang w:val="pl-PL"/>
        </w:rPr>
      </w:pPr>
    </w:p>
    <w:p w14:paraId="0D033F4C" w14:textId="77777777" w:rsidR="00D22235" w:rsidRPr="008F328C" w:rsidRDefault="00D22235" w:rsidP="00D22235">
      <w:pPr>
        <w:pStyle w:val="a3"/>
        <w:rPr>
          <w:lang w:val="pl-PL"/>
        </w:rPr>
      </w:pPr>
      <w:r w:rsidRPr="008F328C">
        <w:rPr>
          <w:rFonts w:eastAsia="Times New Roman"/>
          <w:lang w:val="pl-PL"/>
        </w:rPr>
        <w:t>W badaniach klinicznych we wszystkich wskazaniach pacjenci ze zwiększoną aktywnością AlAT nie wykazywali objawów podmiotowych, a w większości przypadków zwiększenie aktywności było przemijające i ustępowało podczas kontynuacji leczenia. Jednakże, po wprowadzeniu leku do obrotu u pacjentów otrzymujących adalimumab odnotowano przypadki niewydolności wątroby oraz mniej poważnych zaburzeń wątroby, które mogą poprzedzać niewydolność wątroby, takich jak zapalenie wątroby, w tym autoimmunologiczne zapalenie wątroby.</w:t>
      </w:r>
    </w:p>
    <w:p w14:paraId="509FEDF2" w14:textId="77777777" w:rsidR="00D22235" w:rsidRPr="008F328C" w:rsidRDefault="00D22235" w:rsidP="00D22235">
      <w:pPr>
        <w:pStyle w:val="a3"/>
        <w:rPr>
          <w:u w:color="000000"/>
          <w:lang w:val="pl-PL"/>
        </w:rPr>
      </w:pPr>
    </w:p>
    <w:p w14:paraId="2278449E" w14:textId="77777777" w:rsidR="00D22235" w:rsidRPr="008F328C" w:rsidRDefault="00D22235" w:rsidP="00D22235">
      <w:pPr>
        <w:pStyle w:val="a3"/>
        <w:rPr>
          <w:u w:val="single"/>
          <w:lang w:val="pl-PL"/>
        </w:rPr>
      </w:pPr>
      <w:r w:rsidRPr="008F328C">
        <w:rPr>
          <w:rFonts w:eastAsia="Times New Roman"/>
          <w:u w:val="single" w:color="000000"/>
          <w:lang w:val="pl-PL"/>
        </w:rPr>
        <w:t>Jednoczesne leczenie azatiopryną/6-merkaptopuryną</w:t>
      </w:r>
    </w:p>
    <w:p w14:paraId="7AED23DB" w14:textId="77777777" w:rsidR="00D22235" w:rsidRPr="008F328C" w:rsidRDefault="00D22235" w:rsidP="00D22235">
      <w:pPr>
        <w:spacing w:before="1" w:line="180" w:lineRule="exact"/>
        <w:rPr>
          <w:rFonts w:ascii="Times New Roman" w:hAnsi="Times New Roman" w:cs="Times New Roman"/>
          <w:sz w:val="18"/>
          <w:szCs w:val="18"/>
          <w:lang w:val="pl-PL"/>
        </w:rPr>
      </w:pPr>
    </w:p>
    <w:p w14:paraId="76858D2E" w14:textId="77777777" w:rsidR="00D22235" w:rsidRPr="008F328C" w:rsidRDefault="00D22235" w:rsidP="00D22235">
      <w:pPr>
        <w:pStyle w:val="a3"/>
        <w:rPr>
          <w:lang w:val="pl-PL"/>
        </w:rPr>
      </w:pPr>
      <w:r w:rsidRPr="008F328C">
        <w:rPr>
          <w:rFonts w:eastAsia="Times New Roman"/>
          <w:lang w:val="pl-PL"/>
        </w:rPr>
        <w:t>W badaniach choroby Leśniowskiego-Crohna u dorosłych, obserwowano większą częstość występowania nowotworów złośliwych i ciężkich zdarzeń niepożądanych związanych z zakażeniami w związku z leczeniem skojarzonym adalimumabem i azatiopryną/6-merkaptopuryną w porównaniu do stosowania adalimumabu w monoterapii.</w:t>
      </w:r>
    </w:p>
    <w:p w14:paraId="7C860B07" w14:textId="77777777" w:rsidR="00D22235" w:rsidRPr="008F328C" w:rsidRDefault="00D22235" w:rsidP="00D22235">
      <w:pPr>
        <w:spacing w:before="13" w:line="240" w:lineRule="exact"/>
        <w:rPr>
          <w:rFonts w:ascii="Times New Roman" w:hAnsi="Times New Roman" w:cs="Times New Roman"/>
          <w:sz w:val="24"/>
          <w:szCs w:val="24"/>
          <w:lang w:val="pl-PL"/>
        </w:rPr>
      </w:pPr>
    </w:p>
    <w:p w14:paraId="3D620C58" w14:textId="77777777" w:rsidR="00D22235" w:rsidRPr="008F328C" w:rsidRDefault="00D22235" w:rsidP="00D22235">
      <w:pPr>
        <w:pStyle w:val="a3"/>
        <w:rPr>
          <w:u w:val="single"/>
          <w:lang w:val="pl-PL"/>
        </w:rPr>
      </w:pPr>
      <w:r w:rsidRPr="008F328C">
        <w:rPr>
          <w:rFonts w:eastAsia="Times New Roman"/>
          <w:u w:val="single" w:color="000000"/>
          <w:lang w:val="pl-PL"/>
        </w:rPr>
        <w:t>Zgłaszanie podejrzewanych działań niepożądanych</w:t>
      </w:r>
    </w:p>
    <w:p w14:paraId="75806F19" w14:textId="77777777" w:rsidR="00D22235" w:rsidRPr="008F328C" w:rsidRDefault="00D22235" w:rsidP="00D22235">
      <w:pPr>
        <w:spacing w:before="9" w:line="170" w:lineRule="exact"/>
        <w:rPr>
          <w:rFonts w:ascii="Times New Roman" w:hAnsi="Times New Roman" w:cs="Times New Roman"/>
          <w:sz w:val="17"/>
          <w:szCs w:val="17"/>
          <w:lang w:val="pl-PL"/>
        </w:rPr>
      </w:pPr>
    </w:p>
    <w:p w14:paraId="5B32F7D5" w14:textId="77777777" w:rsidR="00D22235" w:rsidRPr="008F328C" w:rsidRDefault="00D22235" w:rsidP="00D22235">
      <w:pPr>
        <w:pStyle w:val="a3"/>
        <w:rPr>
          <w:rFonts w:eastAsia="Times New Roman"/>
          <w:color w:val="000000"/>
          <w:lang w:val="pl-PL"/>
        </w:rPr>
      </w:pPr>
      <w:r w:rsidRPr="008F328C">
        <w:rPr>
          <w:rFonts w:eastAsia="Times New Roman"/>
          <w:lang w:val="pl-PL"/>
        </w:rPr>
        <w:t xml:space="preserve">Po dopuszczeniu produktu leczniczego do obrotu istotne jest zgłaszanie podejrzewanych działań niepożądanych. Umożliwia to nieprzerwane monitorowanie stosunku korzyści do ryzyka stosowania produktu leczniczego. Osoby należące do fachowego personelu medycznego powinny zgłaszać wszelkie </w:t>
      </w:r>
      <w:r w:rsidRPr="008F328C">
        <w:rPr>
          <w:rFonts w:eastAsia="Times New Roman"/>
          <w:highlight w:val="lightGray"/>
          <w:lang w:val="pl-PL"/>
        </w:rPr>
        <w:t>podejrzewane działania niepożądane za pośrednictwem krajowego systemu zgłaszania wymienionego w </w:t>
      </w:r>
      <w:hyperlink r:id="rId23" w:history="1">
        <w:r w:rsidRPr="008F328C">
          <w:rPr>
            <w:rFonts w:eastAsia="Times New Roman"/>
            <w:color w:val="0000FF"/>
            <w:highlight w:val="lightGray"/>
            <w:u w:val="single"/>
            <w:lang w:val="pl-PL"/>
          </w:rPr>
          <w:t>Załączniku V</w:t>
        </w:r>
        <w:r w:rsidRPr="008F328C">
          <w:rPr>
            <w:rFonts w:eastAsia="Times New Roman"/>
            <w:color w:val="000000"/>
            <w:highlight w:val="lightGray"/>
            <w:lang w:val="pl-PL"/>
          </w:rPr>
          <w:t>.</w:t>
        </w:r>
      </w:hyperlink>
    </w:p>
    <w:p w14:paraId="4D5A99FE" w14:textId="77777777" w:rsidR="00D22235" w:rsidRPr="008F328C" w:rsidRDefault="00D22235" w:rsidP="00D22235">
      <w:pPr>
        <w:pStyle w:val="a3"/>
        <w:rPr>
          <w:lang w:val="pl-PL"/>
        </w:rPr>
      </w:pPr>
    </w:p>
    <w:p w14:paraId="27D28987" w14:textId="77777777" w:rsidR="00D22235" w:rsidRPr="008F328C" w:rsidRDefault="00D22235" w:rsidP="00D22235">
      <w:pPr>
        <w:widowControl/>
        <w:numPr>
          <w:ilvl w:val="1"/>
          <w:numId w:val="116"/>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Przedawkowanie</w:t>
      </w:r>
    </w:p>
    <w:p w14:paraId="52F2DB3B" w14:textId="77777777" w:rsidR="00D22235" w:rsidRPr="008F328C" w:rsidRDefault="00D22235" w:rsidP="00D22235">
      <w:pPr>
        <w:spacing w:before="12" w:line="240" w:lineRule="exact"/>
        <w:rPr>
          <w:rFonts w:ascii="Times New Roman" w:hAnsi="Times New Roman" w:cs="Times New Roman"/>
          <w:sz w:val="24"/>
          <w:szCs w:val="24"/>
          <w:lang w:val="pl-PL"/>
        </w:rPr>
      </w:pPr>
    </w:p>
    <w:p w14:paraId="49D14272" w14:textId="77777777" w:rsidR="00D22235" w:rsidRPr="008F328C" w:rsidRDefault="00D22235" w:rsidP="00D22235">
      <w:pPr>
        <w:pStyle w:val="a3"/>
        <w:rPr>
          <w:lang w:val="pl-PL"/>
        </w:rPr>
      </w:pPr>
      <w:r w:rsidRPr="008F328C">
        <w:rPr>
          <w:rFonts w:eastAsia="Times New Roman"/>
          <w:lang w:val="pl-PL"/>
        </w:rPr>
        <w:t>W czasie badań klinicznych nie stwierdzono toksyczności wymagającej zmniejszenia dawki. Najwyższy oceniany poziom dawkowania to wielokrotna dawka dożylna 10 mg/kg mc., to jest w przybliżeniu 15 razy więcej niż zalecana dawka.</w:t>
      </w:r>
    </w:p>
    <w:p w14:paraId="17C7B0AB" w14:textId="625450D1" w:rsidR="00D22235" w:rsidRPr="008F328C" w:rsidRDefault="00D22235" w:rsidP="00D22235">
      <w:pPr>
        <w:widowControl/>
        <w:tabs>
          <w:tab w:val="left" w:pos="567"/>
        </w:tabs>
        <w:spacing w:line="260" w:lineRule="exact"/>
        <w:rPr>
          <w:rFonts w:ascii="Times New Roman" w:eastAsia="Times New Roman" w:hAnsi="Times New Roman" w:cs="Times New Roman"/>
          <w:b/>
          <w:lang w:val="pl-PL"/>
        </w:rPr>
      </w:pPr>
    </w:p>
    <w:p w14:paraId="57AD3BEA" w14:textId="77777777" w:rsidR="00CC4159" w:rsidRPr="008F328C" w:rsidRDefault="00CC4159" w:rsidP="00D22235">
      <w:pPr>
        <w:widowControl/>
        <w:tabs>
          <w:tab w:val="left" w:pos="567"/>
        </w:tabs>
        <w:spacing w:line="260" w:lineRule="exact"/>
        <w:rPr>
          <w:rFonts w:ascii="Times New Roman" w:eastAsia="Times New Roman" w:hAnsi="Times New Roman" w:cs="Times New Roman"/>
          <w:b/>
          <w:lang w:val="pl-PL"/>
        </w:rPr>
      </w:pPr>
    </w:p>
    <w:p w14:paraId="62D142FF" w14:textId="77777777" w:rsidR="00D22235" w:rsidRPr="008F328C" w:rsidRDefault="00D22235" w:rsidP="00D22235">
      <w:pPr>
        <w:widowControl/>
        <w:numPr>
          <w:ilvl w:val="0"/>
          <w:numId w:val="115"/>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FARMAKOLOGICZNE</w:t>
      </w:r>
    </w:p>
    <w:p w14:paraId="1104174B" w14:textId="77777777" w:rsidR="00D22235" w:rsidRPr="008F328C" w:rsidRDefault="00D22235" w:rsidP="00D22235">
      <w:pPr>
        <w:spacing w:before="11" w:line="240" w:lineRule="exact"/>
        <w:rPr>
          <w:rFonts w:ascii="Times New Roman" w:hAnsi="Times New Roman" w:cs="Times New Roman"/>
          <w:sz w:val="24"/>
          <w:szCs w:val="24"/>
          <w:lang w:val="pl-PL"/>
        </w:rPr>
      </w:pPr>
    </w:p>
    <w:p w14:paraId="64FE45E0" w14:textId="77777777" w:rsidR="00D22235" w:rsidRPr="008F328C" w:rsidRDefault="00D22235" w:rsidP="00D22235">
      <w:pPr>
        <w:widowControl/>
        <w:numPr>
          <w:ilvl w:val="1"/>
          <w:numId w:val="117"/>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farmakodynamiczne</w:t>
      </w:r>
    </w:p>
    <w:p w14:paraId="09CB93F8" w14:textId="77777777" w:rsidR="00D22235" w:rsidRPr="008F328C" w:rsidRDefault="00D22235" w:rsidP="00D22235">
      <w:pPr>
        <w:spacing w:before="9" w:line="240" w:lineRule="exact"/>
        <w:rPr>
          <w:rFonts w:ascii="Times New Roman" w:hAnsi="Times New Roman" w:cs="Times New Roman"/>
          <w:sz w:val="24"/>
          <w:szCs w:val="24"/>
          <w:lang w:val="pl-PL"/>
        </w:rPr>
      </w:pPr>
    </w:p>
    <w:p w14:paraId="61F852A7" w14:textId="77777777" w:rsidR="00D22235" w:rsidRPr="008F328C" w:rsidRDefault="00D22235" w:rsidP="00D22235">
      <w:pPr>
        <w:pStyle w:val="a3"/>
        <w:rPr>
          <w:lang w:val="pl-PL"/>
        </w:rPr>
      </w:pPr>
      <w:r w:rsidRPr="008F328C">
        <w:rPr>
          <w:rFonts w:eastAsia="Times New Roman"/>
          <w:lang w:val="pl-PL"/>
        </w:rPr>
        <w:t>Grupa farmakoterapeutyczna: Leki immunosupresyjne. Inhibitory czynnika martwicy nowotworów alfa (TNF-α). Kod ATC: L04AB04</w:t>
      </w:r>
    </w:p>
    <w:p w14:paraId="0E87CE67" w14:textId="77777777" w:rsidR="00D22235" w:rsidRPr="008F328C" w:rsidRDefault="00D22235" w:rsidP="00D22235">
      <w:pPr>
        <w:pStyle w:val="a3"/>
        <w:rPr>
          <w:lang w:val="pl-PL"/>
        </w:rPr>
      </w:pPr>
    </w:p>
    <w:p w14:paraId="0B05F0F4" w14:textId="77777777" w:rsidR="00D22235" w:rsidRPr="008F328C" w:rsidRDefault="00D22235" w:rsidP="00D22235">
      <w:pPr>
        <w:pStyle w:val="a3"/>
        <w:rPr>
          <w:lang w:val="pl-PL"/>
        </w:rPr>
      </w:pPr>
      <w:r w:rsidRPr="008F328C">
        <w:rPr>
          <w:rFonts w:eastAsia="Times New Roman"/>
          <w:lang w:val="pl-PL"/>
        </w:rPr>
        <w:t xml:space="preserve">Yuflyma jest produktem leczniczym biopodobnym. Szczegółowe informacje są dostępne na stronie internetowej Europejskiej Agencji Leków </w:t>
      </w:r>
      <w:hyperlink r:id="rId24" w:history="1">
        <w:r w:rsidRPr="008F328C">
          <w:rPr>
            <w:rStyle w:val="ad"/>
            <w:rFonts w:eastAsia="Times New Roman"/>
            <w:lang w:val="pl-PL"/>
          </w:rPr>
          <w:t>http://www.ema.europa.eu.</w:t>
        </w:r>
      </w:hyperlink>
    </w:p>
    <w:p w14:paraId="7DF98891" w14:textId="77777777" w:rsidR="00D22235" w:rsidRPr="008F328C" w:rsidRDefault="00D22235" w:rsidP="00D22235">
      <w:pPr>
        <w:spacing w:before="10" w:line="240" w:lineRule="exact"/>
        <w:rPr>
          <w:rFonts w:ascii="Times New Roman" w:hAnsi="Times New Roman" w:cs="Times New Roman"/>
          <w:sz w:val="24"/>
          <w:szCs w:val="24"/>
          <w:lang w:val="pl-PL"/>
        </w:rPr>
      </w:pPr>
    </w:p>
    <w:p w14:paraId="68F93143" w14:textId="77777777" w:rsidR="00D22235" w:rsidRPr="008F328C" w:rsidRDefault="00D22235" w:rsidP="00D22235">
      <w:pPr>
        <w:pStyle w:val="a3"/>
        <w:rPr>
          <w:u w:val="single"/>
          <w:lang w:val="pl-PL"/>
        </w:rPr>
      </w:pPr>
      <w:r w:rsidRPr="008F328C">
        <w:rPr>
          <w:rFonts w:eastAsia="Times New Roman"/>
          <w:u w:val="single" w:color="000000"/>
          <w:lang w:val="pl-PL"/>
        </w:rPr>
        <w:t>Mechanizm działania</w:t>
      </w:r>
    </w:p>
    <w:p w14:paraId="3AE3CAA8" w14:textId="77777777" w:rsidR="00D22235" w:rsidRPr="008F328C" w:rsidRDefault="00D22235" w:rsidP="00D22235">
      <w:pPr>
        <w:spacing w:before="1" w:line="180" w:lineRule="exact"/>
        <w:rPr>
          <w:rFonts w:ascii="Times New Roman" w:hAnsi="Times New Roman" w:cs="Times New Roman"/>
          <w:sz w:val="18"/>
          <w:szCs w:val="18"/>
          <w:lang w:val="pl-PL"/>
        </w:rPr>
      </w:pPr>
    </w:p>
    <w:p w14:paraId="4FE25769" w14:textId="77777777" w:rsidR="00D22235" w:rsidRPr="008F328C" w:rsidRDefault="00D22235" w:rsidP="00D22235">
      <w:pPr>
        <w:pStyle w:val="a3"/>
        <w:rPr>
          <w:lang w:val="pl-PL"/>
        </w:rPr>
      </w:pPr>
      <w:r w:rsidRPr="008F328C">
        <w:rPr>
          <w:rFonts w:eastAsia="Times New Roman"/>
          <w:lang w:val="pl-PL"/>
        </w:rPr>
        <w:t>Adalimumab wiąże się swoiście z TNF i neutralizuje biologiczną czynność TNF blokując jego interakcje z receptorami p55 i p75 na powierzchni komórki.</w:t>
      </w:r>
    </w:p>
    <w:p w14:paraId="394042D1" w14:textId="77777777" w:rsidR="00D22235" w:rsidRPr="008F328C" w:rsidRDefault="00D22235" w:rsidP="00D22235">
      <w:pPr>
        <w:spacing w:before="10" w:line="240" w:lineRule="exact"/>
        <w:rPr>
          <w:rFonts w:ascii="Times New Roman" w:hAnsi="Times New Roman" w:cs="Times New Roman"/>
          <w:sz w:val="24"/>
          <w:szCs w:val="24"/>
          <w:lang w:val="pl-PL"/>
        </w:rPr>
      </w:pPr>
    </w:p>
    <w:p w14:paraId="71502670" w14:textId="77777777" w:rsidR="00D22235" w:rsidRPr="008F328C" w:rsidRDefault="00D22235" w:rsidP="00D22235">
      <w:pPr>
        <w:pStyle w:val="a3"/>
        <w:rPr>
          <w:lang w:val="pl-PL"/>
        </w:rPr>
      </w:pPr>
      <w:r w:rsidRPr="008F328C">
        <w:rPr>
          <w:rFonts w:eastAsia="Times New Roman"/>
          <w:lang w:val="pl-PL"/>
        </w:rPr>
        <w:t>Adalimumab moduluje również odpowiedzi biologiczne indukowane lub regulowane przez TNF, w tym zmiany w poziomach cząsteczek adhezji międzykomórkowej odpowiadających za migrację leukocytów (ELAM-1, VCAM-1 i ICAM-1, wartość IC</w:t>
      </w:r>
      <w:r w:rsidRPr="008F328C">
        <w:rPr>
          <w:rFonts w:eastAsia="Times New Roman"/>
          <w:sz w:val="14"/>
          <w:szCs w:val="14"/>
          <w:lang w:val="pl-PL"/>
        </w:rPr>
        <w:t>50</w:t>
      </w:r>
      <w:r w:rsidRPr="008F328C">
        <w:rPr>
          <w:rFonts w:eastAsia="Times New Roman"/>
          <w:lang w:val="pl-PL"/>
        </w:rPr>
        <w:t xml:space="preserve"> wynosi 0,1-0,2 nM).</w:t>
      </w:r>
    </w:p>
    <w:p w14:paraId="2ADF80B6" w14:textId="77777777" w:rsidR="00D22235" w:rsidRPr="008F328C" w:rsidRDefault="00D22235" w:rsidP="00D22235">
      <w:pPr>
        <w:spacing w:before="12" w:line="240" w:lineRule="exact"/>
        <w:rPr>
          <w:rFonts w:ascii="Times New Roman" w:hAnsi="Times New Roman" w:cs="Times New Roman"/>
          <w:sz w:val="24"/>
          <w:szCs w:val="24"/>
          <w:lang w:val="pl-PL"/>
        </w:rPr>
      </w:pPr>
    </w:p>
    <w:p w14:paraId="5B59A0DB" w14:textId="77777777" w:rsidR="00D22235" w:rsidRPr="008F328C" w:rsidRDefault="00D22235" w:rsidP="00D22235">
      <w:pPr>
        <w:pStyle w:val="a3"/>
        <w:rPr>
          <w:u w:val="single"/>
          <w:lang w:val="pl-PL"/>
        </w:rPr>
      </w:pPr>
      <w:r w:rsidRPr="008F328C">
        <w:rPr>
          <w:rFonts w:eastAsia="Times New Roman"/>
          <w:u w:val="single" w:color="000000"/>
          <w:lang w:val="pl-PL"/>
        </w:rPr>
        <w:t>Działanie farmakodynamiczne</w:t>
      </w:r>
    </w:p>
    <w:p w14:paraId="187CCA20" w14:textId="77777777" w:rsidR="00D22235" w:rsidRPr="008F328C" w:rsidRDefault="00D22235" w:rsidP="00D22235">
      <w:pPr>
        <w:spacing w:before="1" w:line="180" w:lineRule="exact"/>
        <w:rPr>
          <w:rFonts w:ascii="Times New Roman" w:hAnsi="Times New Roman" w:cs="Times New Roman"/>
          <w:sz w:val="18"/>
          <w:szCs w:val="18"/>
          <w:lang w:val="pl-PL"/>
        </w:rPr>
      </w:pPr>
    </w:p>
    <w:p w14:paraId="0662FBEE" w14:textId="77777777" w:rsidR="00D22235" w:rsidRPr="008F328C" w:rsidRDefault="00D22235" w:rsidP="00D22235">
      <w:pPr>
        <w:pStyle w:val="a3"/>
        <w:rPr>
          <w:lang w:val="pl-PL"/>
        </w:rPr>
      </w:pPr>
      <w:r w:rsidRPr="008F328C">
        <w:rPr>
          <w:rFonts w:eastAsia="Times New Roman"/>
          <w:lang w:val="pl-PL"/>
        </w:rPr>
        <w:t xml:space="preserve">Po leczeniu adalimumabem u pacjentów z reumatoidalnym zapaleniem stawów zaobserwowano szybkie </w:t>
      </w:r>
      <w:r w:rsidRPr="008F328C">
        <w:rPr>
          <w:rFonts w:eastAsia="Times New Roman"/>
          <w:lang w:val="pl-PL"/>
        </w:rPr>
        <w:lastRenderedPageBreak/>
        <w:t>obniżenie się poziomu wskaźników fazy ostrej zapalenia</w:t>
      </w:r>
    </w:p>
    <w:p w14:paraId="1E6785D2" w14:textId="77777777" w:rsidR="00D22235" w:rsidRPr="008F328C" w:rsidRDefault="00D22235" w:rsidP="00D22235">
      <w:pPr>
        <w:pStyle w:val="a3"/>
        <w:rPr>
          <w:lang w:val="pl-PL"/>
        </w:rPr>
      </w:pPr>
      <w:r w:rsidRPr="008F328C">
        <w:rPr>
          <w:rFonts w:eastAsia="Times New Roman"/>
          <w:lang w:val="pl-PL"/>
        </w:rPr>
        <w:t>[białko C-reaktywne (CRP) i odczyn Biernackiego (OB)] oraz stężenia cytokin (IL-6) w surowicy w porównaniu do wartości przed rozpoczęciem leczenia. Po podaniu adalimumabu zmniejszeniu uległy również stężenia metaloproteinaz macierzy (MMP-1 i MMP-3), które powodują przebudowę tkanek odpowiedzialną za zniszczenie chrząstki. U pacjentów leczonych adalimumabem zwykle obserwowano poprawę hematologicznych wskaźników przewlekłego stanu zapalnego.</w:t>
      </w:r>
    </w:p>
    <w:p w14:paraId="04859126" w14:textId="77777777" w:rsidR="00D22235" w:rsidRPr="008F328C" w:rsidRDefault="00D22235" w:rsidP="00D22235">
      <w:pPr>
        <w:spacing w:before="10" w:line="240" w:lineRule="exact"/>
        <w:rPr>
          <w:rFonts w:ascii="Times New Roman" w:hAnsi="Times New Roman" w:cs="Times New Roman"/>
          <w:sz w:val="24"/>
          <w:szCs w:val="24"/>
          <w:lang w:val="pl-PL"/>
        </w:rPr>
      </w:pPr>
    </w:p>
    <w:p w14:paraId="131E19B4" w14:textId="77777777" w:rsidR="00D22235" w:rsidRPr="008F328C" w:rsidRDefault="00D22235" w:rsidP="00D22235">
      <w:pPr>
        <w:pStyle w:val="a3"/>
        <w:rPr>
          <w:lang w:val="pl-PL"/>
        </w:rPr>
      </w:pPr>
      <w:r w:rsidRPr="008F328C">
        <w:rPr>
          <w:rFonts w:eastAsia="Times New Roman"/>
          <w:lang w:val="pl-PL"/>
        </w:rPr>
        <w:t>Po leczeniu adalimumabem obserwowano także szybkie obniżenie się poziomu CRP u pacjentów z wielostawowym młodzieńczym zapaleniem stawów, chorobą Leśniowskiego-Crohna, wrzodziejącym zapaleniem jelita grubego i ropnym zapaleniem apokrynowych gruczołów potowych. U pacjentów z chorobą Leśniowskiego-Crohna stwierdzono zmniejszenie liczby komórek charakteryzujących się ekspresją wskaźników stanu zapalnego w jelicie grubym, w tym znaczące zmniejszenie ekspresji TNF-α. Badania endoskopowe błony śluzowej jelit wykazały gojenie się śluzówki u pacjentów leczonych adalimumabem.</w:t>
      </w:r>
    </w:p>
    <w:p w14:paraId="04CCB907" w14:textId="77777777" w:rsidR="00D22235" w:rsidRPr="008F328C" w:rsidRDefault="00D22235" w:rsidP="00D22235">
      <w:pPr>
        <w:pStyle w:val="a3"/>
        <w:rPr>
          <w:u w:val="single" w:color="000000"/>
          <w:lang w:val="pl-PL"/>
        </w:rPr>
      </w:pPr>
    </w:p>
    <w:p w14:paraId="3CE30295" w14:textId="77777777" w:rsidR="00D22235" w:rsidRPr="008F328C" w:rsidRDefault="00D22235" w:rsidP="00D22235">
      <w:pPr>
        <w:pStyle w:val="a3"/>
        <w:rPr>
          <w:u w:val="single"/>
          <w:lang w:val="pl-PL"/>
        </w:rPr>
      </w:pPr>
      <w:r w:rsidRPr="008F328C">
        <w:rPr>
          <w:rFonts w:eastAsia="Times New Roman"/>
          <w:u w:val="single" w:color="000000"/>
          <w:lang w:val="pl-PL"/>
        </w:rPr>
        <w:t>Skuteczność kliniczna i bezpieczeństwo stosowania</w:t>
      </w:r>
    </w:p>
    <w:p w14:paraId="6BE6DB14" w14:textId="77777777" w:rsidR="00D22235" w:rsidRPr="008F328C" w:rsidRDefault="00D22235" w:rsidP="00D22235">
      <w:pPr>
        <w:spacing w:line="180" w:lineRule="exact"/>
        <w:rPr>
          <w:rFonts w:ascii="Times New Roman" w:hAnsi="Times New Roman" w:cs="Times New Roman"/>
          <w:sz w:val="18"/>
          <w:szCs w:val="18"/>
          <w:lang w:val="pl-PL"/>
        </w:rPr>
      </w:pPr>
    </w:p>
    <w:p w14:paraId="126F7D03" w14:textId="77777777" w:rsidR="00D22235" w:rsidRPr="008F328C" w:rsidRDefault="00D22235" w:rsidP="00D22235">
      <w:pPr>
        <w:pStyle w:val="a3"/>
        <w:rPr>
          <w:i/>
          <w:iCs/>
          <w:lang w:val="pl-PL"/>
        </w:rPr>
      </w:pPr>
      <w:r w:rsidRPr="008F328C">
        <w:rPr>
          <w:rFonts w:eastAsia="Times New Roman"/>
          <w:i/>
          <w:iCs/>
          <w:lang w:val="pl-PL"/>
        </w:rPr>
        <w:t>Reumatoidalne zapalenie stawów (RZS)</w:t>
      </w:r>
    </w:p>
    <w:p w14:paraId="5A1BA18C" w14:textId="77777777" w:rsidR="00D22235" w:rsidRPr="008F328C" w:rsidRDefault="00D22235" w:rsidP="00D22235">
      <w:pPr>
        <w:pStyle w:val="a3"/>
        <w:rPr>
          <w:sz w:val="24"/>
          <w:szCs w:val="24"/>
          <w:lang w:val="pl-PL"/>
        </w:rPr>
      </w:pPr>
    </w:p>
    <w:p w14:paraId="7111604F" w14:textId="77777777" w:rsidR="00D22235" w:rsidRPr="008F328C" w:rsidRDefault="00D22235" w:rsidP="00D22235">
      <w:pPr>
        <w:pStyle w:val="a3"/>
        <w:rPr>
          <w:lang w:val="pl-PL"/>
        </w:rPr>
      </w:pPr>
      <w:r w:rsidRPr="008F328C">
        <w:rPr>
          <w:rFonts w:eastAsia="Times New Roman"/>
          <w:lang w:val="pl-PL"/>
        </w:rPr>
        <w:t>W badaniach klinicznych adalimumab oceniono u ponad 3000 pacjentów z reumatoidalnym zapaleniem stawów. Skuteczność i bezpieczeństwo stosowania adalimumabu oceniono w pięciu randomizowanych podwójnie zaślepionych badaniach z udziałem grup kontrolnych. Niektórych pacjentów leczono przez okres do 120 miesięcy. Ból w miejscu wstrzyknięcia adalimumabu 40 mg/0,4 ml oceniano w dwóch randomizowanych dwuokresowych badaniach w układzie krzyżowym z czynną substancją porównawczą pojedynczo zaślepionych.</w:t>
      </w:r>
    </w:p>
    <w:p w14:paraId="42A8987B" w14:textId="77777777" w:rsidR="00D22235" w:rsidRPr="008F328C" w:rsidRDefault="00D22235" w:rsidP="00D22235">
      <w:pPr>
        <w:spacing w:before="13" w:line="240" w:lineRule="exact"/>
        <w:rPr>
          <w:rFonts w:ascii="Times New Roman" w:hAnsi="Times New Roman" w:cs="Times New Roman"/>
          <w:sz w:val="24"/>
          <w:szCs w:val="24"/>
          <w:lang w:val="pl-PL"/>
        </w:rPr>
      </w:pPr>
    </w:p>
    <w:p w14:paraId="58EE822B" w14:textId="77777777" w:rsidR="00D22235" w:rsidRPr="008F328C" w:rsidRDefault="00D22235" w:rsidP="00D22235">
      <w:pPr>
        <w:pStyle w:val="a3"/>
        <w:rPr>
          <w:lang w:val="pl-PL"/>
        </w:rPr>
      </w:pPr>
      <w:r w:rsidRPr="008F328C">
        <w:rPr>
          <w:rFonts w:eastAsia="Times New Roman"/>
          <w:lang w:val="pl-PL"/>
        </w:rPr>
        <w:t>W badaniu I w RZS oceniono 271 pacjentów z czynnym reumatoidalnym zapaleniem stawów o nasileniu umiarkowanym do ciężkiego.</w:t>
      </w:r>
      <w:r w:rsidRPr="008F328C">
        <w:rPr>
          <w:lang w:val="pl-PL"/>
        </w:rPr>
        <w:t xml:space="preserve"> </w:t>
      </w:r>
      <w:r w:rsidRPr="008F328C">
        <w:rPr>
          <w:rFonts w:eastAsia="Times New Roman"/>
          <w:lang w:val="pl-PL"/>
        </w:rPr>
        <w:t xml:space="preserve">Pacjenci byli w wieku ≥ 18 lat, w przeszłości byli bez powodzenia leczeni przynajmniej jednym lekiem modyfikującym przebieg choroby, skuteczność metotreksatu w dawce od 12,5 do 25 mg (10 mg, gdy nie tolerowali metotreksatu) raz w tygodniu była niedostateczna i u których dawka metotreksatu utrzymywana była na stałym poziomie 10 do 25 mg raz w tygodniu. Dawkę 20, 40 lub </w:t>
      </w:r>
    </w:p>
    <w:p w14:paraId="5104A381" w14:textId="77777777" w:rsidR="00D22235" w:rsidRPr="008F328C" w:rsidRDefault="00D22235" w:rsidP="00D22235">
      <w:pPr>
        <w:pStyle w:val="a3"/>
        <w:rPr>
          <w:lang w:val="pl-PL"/>
        </w:rPr>
      </w:pPr>
      <w:r w:rsidRPr="008F328C">
        <w:rPr>
          <w:rFonts w:eastAsia="Times New Roman"/>
          <w:lang w:val="pl-PL"/>
        </w:rPr>
        <w:t>80 mg adalimumabu lub placebo podawano co drugi tydzień przez 24 tygodnie.</w:t>
      </w:r>
    </w:p>
    <w:p w14:paraId="3A017DAE" w14:textId="77777777" w:rsidR="00D22235" w:rsidRPr="008F328C" w:rsidRDefault="00D22235" w:rsidP="00D22235">
      <w:pPr>
        <w:spacing w:before="13" w:line="240" w:lineRule="exact"/>
        <w:rPr>
          <w:rFonts w:ascii="Times New Roman" w:hAnsi="Times New Roman" w:cs="Times New Roman"/>
          <w:sz w:val="24"/>
          <w:szCs w:val="24"/>
          <w:lang w:val="pl-PL"/>
        </w:rPr>
      </w:pPr>
    </w:p>
    <w:p w14:paraId="663F52AD" w14:textId="77777777" w:rsidR="00D22235" w:rsidRPr="008F328C" w:rsidRDefault="00D22235" w:rsidP="00D22235">
      <w:pPr>
        <w:pStyle w:val="a3"/>
        <w:rPr>
          <w:lang w:val="pl-PL"/>
        </w:rPr>
      </w:pPr>
      <w:r w:rsidRPr="008F328C">
        <w:rPr>
          <w:rFonts w:eastAsia="Times New Roman"/>
          <w:lang w:val="pl-PL"/>
        </w:rPr>
        <w:t>W badaniu II w RZS oceniono 544 pacjentów z czynnym reumatoidalnym zapaleniem stawów o nasileniu umiarkowanym do ciężkiego.</w:t>
      </w:r>
      <w:r w:rsidRPr="008F328C">
        <w:rPr>
          <w:lang w:val="pl-PL"/>
        </w:rPr>
        <w:t xml:space="preserve"> </w:t>
      </w:r>
      <w:r w:rsidRPr="008F328C">
        <w:rPr>
          <w:rFonts w:eastAsia="Times New Roman"/>
          <w:lang w:val="pl-PL"/>
        </w:rPr>
        <w:t>Pacjenci byli w wieku ≥ 18 lat i w przeszłości byli bez powodzenia leczeni przynajmniej jednym lekiem modyfikującym przebieg choroby. Podawano im adalimumabu w dawce 20 lub 40 mg we wstrzyknięciu podskórnym co drugi tydzień naprzemiennie z placebo w pozostałych tygodniach lub adalimumab co tydzień przez 26 tygodni; placebo podawano co tydzień przez ten sam okres. Nie wolno było przyjmować innych leków modyfikujących przebieg choroby.</w:t>
      </w:r>
    </w:p>
    <w:p w14:paraId="2653A837" w14:textId="77777777" w:rsidR="00D22235" w:rsidRPr="008F328C" w:rsidRDefault="00D22235" w:rsidP="00D22235">
      <w:pPr>
        <w:spacing w:before="13" w:line="240" w:lineRule="exact"/>
        <w:rPr>
          <w:rFonts w:ascii="Times New Roman" w:hAnsi="Times New Roman" w:cs="Times New Roman"/>
          <w:sz w:val="24"/>
          <w:szCs w:val="24"/>
          <w:lang w:val="pl-PL"/>
        </w:rPr>
      </w:pPr>
    </w:p>
    <w:p w14:paraId="72691900" w14:textId="77777777" w:rsidR="00D22235" w:rsidRPr="008F328C" w:rsidRDefault="00D22235" w:rsidP="00D22235">
      <w:pPr>
        <w:pStyle w:val="a3"/>
        <w:rPr>
          <w:lang w:val="pl-PL"/>
        </w:rPr>
      </w:pPr>
      <w:r w:rsidRPr="008F328C">
        <w:rPr>
          <w:rFonts w:eastAsia="Times New Roman"/>
          <w:lang w:val="pl-PL"/>
        </w:rPr>
        <w:t>W badaniu III w RZS oceniono 619 pacjentów z czynnym reumatoidalnym zapaleniem stawów o nasileniu umiarkowanym do ciężkiego,</w:t>
      </w:r>
      <w:r w:rsidRPr="008F328C">
        <w:rPr>
          <w:lang w:val="pl-PL"/>
        </w:rPr>
        <w:t xml:space="preserve"> </w:t>
      </w:r>
      <w:r w:rsidRPr="008F328C">
        <w:rPr>
          <w:rFonts w:eastAsia="Times New Roman"/>
          <w:lang w:val="pl-PL"/>
        </w:rPr>
        <w:t>w wieku ≥ 18 lat, u których metotreksat w dawce 12,5 do 25 mg był nieskuteczny lub pacjenci nie tolerowali metotreksatu w dawce 10 mg co tydzień. W badaniu uczestniczyły trzy grupy. Pierwsza otrzymywała wstrzyknięcia placebo co tydzień przez 52 tygodnie. Druga otrzymywała 20 mg adalimumabu co tydzień przez 52. tygodnie. Trzecia grupa otrzymywała 40 mg adalimumabu co drugi tydzień naprzemiennie z wstrzyknięciami placebo w pozostałych tygodniach. Po zakończeniu pierwszych 52 tygodni leczenia, 457 pacjentów włączono do fazy otwartej będącej kontynuacją tego badania, w której adalimumabu 40 mg/MTX podawano co drugi tydzień przez okres do 10 lat.</w:t>
      </w:r>
    </w:p>
    <w:p w14:paraId="44F0F8BB" w14:textId="77777777" w:rsidR="00D22235" w:rsidRPr="008F328C" w:rsidRDefault="00D22235" w:rsidP="00D22235">
      <w:pPr>
        <w:spacing w:before="13" w:line="240" w:lineRule="exact"/>
        <w:rPr>
          <w:rFonts w:ascii="Times New Roman" w:hAnsi="Times New Roman" w:cs="Times New Roman"/>
          <w:sz w:val="24"/>
          <w:szCs w:val="24"/>
          <w:lang w:val="pl-PL"/>
        </w:rPr>
      </w:pPr>
    </w:p>
    <w:p w14:paraId="6B82EEC7" w14:textId="77777777" w:rsidR="00D22235" w:rsidRPr="008F328C" w:rsidRDefault="00D22235" w:rsidP="00D22235">
      <w:pPr>
        <w:pStyle w:val="a3"/>
        <w:rPr>
          <w:lang w:val="pl-PL"/>
        </w:rPr>
      </w:pPr>
      <w:r w:rsidRPr="008F328C">
        <w:rPr>
          <w:rFonts w:eastAsia="Times New Roman"/>
          <w:lang w:val="pl-PL"/>
        </w:rPr>
        <w:t xml:space="preserve">W badaniu IV w RZS u 636 pacjentów z czynnym reumatoidalnym zapaleniem stawów o nasileniu umiarkowanym do ciężkiego, w wieku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18 lat oceniano przede wszystkim bezpieczeństwo stosowania. </w:t>
      </w:r>
      <w:r w:rsidRPr="008F328C">
        <w:rPr>
          <w:rFonts w:eastAsia="Times New Roman"/>
          <w:lang w:val="pl-PL"/>
        </w:rPr>
        <w:lastRenderedPageBreak/>
        <w:t>Pacjenci, albo nigdy nie przyjmowali innych leków modyfikujących przebieg choroby, albo mogli kontynuować stosowane wcześniej leczenie przeciwreumatyczne pod warunkiem, że nie było ono zmieniane przez co najmniej 28 dni. Były to takie leki, jak metotreksat, leflunomid, hydroksychlorochina, sulfasalazyna i (lub) sole złota. Pacjenci byli losowo przydzieleni do grupy otrzymującej 40 mg adalimumabu lub do grupy otrzymującej placebo co drugi tydzień przez 24 tygodnie.</w:t>
      </w:r>
    </w:p>
    <w:p w14:paraId="190F4820" w14:textId="77777777" w:rsidR="00D22235" w:rsidRPr="008F328C" w:rsidRDefault="00D22235" w:rsidP="00D22235">
      <w:pPr>
        <w:spacing w:before="11" w:line="240" w:lineRule="exact"/>
        <w:rPr>
          <w:rFonts w:ascii="Times New Roman" w:hAnsi="Times New Roman" w:cs="Times New Roman"/>
          <w:sz w:val="24"/>
          <w:szCs w:val="24"/>
          <w:lang w:val="pl-PL"/>
        </w:rPr>
      </w:pPr>
    </w:p>
    <w:p w14:paraId="7A4EA29A" w14:textId="77777777" w:rsidR="00D22235" w:rsidRPr="008F328C" w:rsidRDefault="00D22235" w:rsidP="00D22235">
      <w:pPr>
        <w:pStyle w:val="a3"/>
        <w:rPr>
          <w:lang w:val="pl-PL"/>
        </w:rPr>
      </w:pPr>
      <w:r w:rsidRPr="008F328C">
        <w:rPr>
          <w:rFonts w:eastAsia="Times New Roman"/>
          <w:lang w:val="pl-PL"/>
        </w:rPr>
        <w:t>W badaniu V w RZS oceniono 799 dorosłych pacjentów z czynnym wczesnym reumatoidalnym zapaleniem stawów (średni czas trwania choroby mniej niż 9 miesięcy) o nasileniu umiarkowanym do ciężkiego, którym nie podawano wcześniej metotreksatu. Przez 104 tygodnie w badaniu oceniono skuteczność skojarzonego leczenia adalimumabem 40 mg co drugi tydzień i metotreksatem, adalimumabem 40 mg co drugi tydzień w monoterapii oraz metotreksatem w monoterapii, w zmniejszaniu nasilenia objawów przedmiotowych i podmiotowych oraz szybkości postępu uszkodzenia stawów w przebiegu reumatoidalnego zapalenia stawów. Po zakończeniu pierwszych 104 tygodni leczenia, 497 pacjentów włączono do fazy otwartej, będącej kontynuacją tego badania, w której 40 mg adalimumabu podawano co drugi tydzień przez okres do 10 lat.</w:t>
      </w:r>
    </w:p>
    <w:p w14:paraId="35C0E9E1" w14:textId="77777777" w:rsidR="00D22235" w:rsidRPr="008F328C" w:rsidRDefault="00D22235" w:rsidP="00D22235">
      <w:pPr>
        <w:spacing w:before="13" w:line="240" w:lineRule="exact"/>
        <w:rPr>
          <w:rFonts w:ascii="Times New Roman" w:hAnsi="Times New Roman" w:cs="Times New Roman"/>
          <w:sz w:val="24"/>
          <w:szCs w:val="24"/>
          <w:lang w:val="pl-PL"/>
        </w:rPr>
      </w:pPr>
    </w:p>
    <w:p w14:paraId="44D920FF" w14:textId="77777777" w:rsidR="00D22235" w:rsidRPr="008F328C" w:rsidRDefault="00D22235" w:rsidP="00D22235">
      <w:pPr>
        <w:pStyle w:val="a3"/>
        <w:rPr>
          <w:lang w:val="pl-PL"/>
        </w:rPr>
      </w:pPr>
      <w:r w:rsidRPr="008F328C">
        <w:rPr>
          <w:rFonts w:eastAsia="Times New Roman"/>
          <w:lang w:val="pl-PL"/>
        </w:rPr>
        <w:t>W badaniach VI i VII w RZS oceniano po 60 pacjentów z czynnym reumatoidalnym zapaleniem stawów o nasileniu umiarkowanym do ciężkiego, w wieku ≥ 18 lat. Pacjenci włączeni do badań, albo aktualnie stosowali adalimumabu 40 mg/0,8 ml i oceniali średnie nasilenie bólu w miejscu wstrzyknięcia na co najmniej 3 cm [w wizualnej skali analogowej VAS (ang. visual analogue scale, VAS) 0-10 cm] lub nie byli uprzednio leczeni lekami biologicznymi i rozpoczynali leczenie adalimumabem 40 mg/0,8 ml. W wyniku randomizacji pacjenci otrzymywali pojedynczą dawkę adalimumabu 40 mg/0,8 ml lub adalimumabu 40 mg/0,4 ml, a następnie odwrotne stężenie jako kolejną dawkę.</w:t>
      </w:r>
    </w:p>
    <w:p w14:paraId="58D3C2AF" w14:textId="77777777" w:rsidR="00D22235" w:rsidRPr="008F328C" w:rsidRDefault="00D22235" w:rsidP="00D22235">
      <w:pPr>
        <w:spacing w:before="14" w:line="240" w:lineRule="exact"/>
        <w:rPr>
          <w:rFonts w:ascii="Times New Roman" w:hAnsi="Times New Roman" w:cs="Times New Roman"/>
          <w:sz w:val="24"/>
          <w:szCs w:val="24"/>
          <w:lang w:val="pl-PL"/>
        </w:rPr>
      </w:pPr>
    </w:p>
    <w:p w14:paraId="4EE08A91" w14:textId="77777777" w:rsidR="00D22235" w:rsidRPr="008F328C" w:rsidRDefault="00D22235" w:rsidP="00D22235">
      <w:pPr>
        <w:pStyle w:val="a3"/>
        <w:rPr>
          <w:lang w:val="pl-PL"/>
        </w:rPr>
      </w:pPr>
      <w:r w:rsidRPr="008F328C">
        <w:rPr>
          <w:rFonts w:eastAsia="Times New Roman"/>
          <w:lang w:val="pl-PL"/>
        </w:rPr>
        <w:t>Pierwszorzędowym punktem końcowym w badaniach I, II i III w RZS oraz drugorzędowym punktem końcowym w badaniu IV w RZS był odsetek pacjentów, którzy uzyskali odpowiedź 20 w skali ACR (ang. American College of Rheumatology) w 24. lub 26. tygodniu badania. Pierwszorzędowym punktem końcowym w badaniu V w RZS był odsetek pacjentów, którzy uzyskali odpowiedź 50 w skali ACR w 52. tygodniu badania. Dodatkowym pierwszorzędowym punktem końcowym w badaniach III i V w RZS w 52. tygodniu było opóźnienie postępu choroby (stwierdzone badaniem radiologicznym). Pierwszorzędowym punktem końcowym w badaniu III w RZS były również zmiany w jakości życia. Pierwszorzędowym punktem końcowym w badaniu VI i VII w RZS było nasilenie bólu w miejscu wstrzyknięcia bezpośrednio po wstrzyknięciu mierzone w skali VAS 0-10 cm.</w:t>
      </w:r>
    </w:p>
    <w:p w14:paraId="1730B219" w14:textId="77777777" w:rsidR="00D22235" w:rsidRPr="008F328C" w:rsidRDefault="00D22235" w:rsidP="00D22235">
      <w:pPr>
        <w:spacing w:before="13" w:line="240" w:lineRule="exact"/>
        <w:rPr>
          <w:rFonts w:ascii="Times New Roman" w:hAnsi="Times New Roman" w:cs="Times New Roman"/>
          <w:sz w:val="24"/>
          <w:szCs w:val="24"/>
          <w:lang w:val="pl-PL"/>
        </w:rPr>
      </w:pPr>
    </w:p>
    <w:p w14:paraId="422D1F41" w14:textId="77777777" w:rsidR="00D22235" w:rsidRPr="008F328C" w:rsidRDefault="00D22235" w:rsidP="00D22235">
      <w:pPr>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Odpowiedź w skali ACR</w:t>
      </w:r>
    </w:p>
    <w:p w14:paraId="5814E6F7" w14:textId="77777777" w:rsidR="00D22235" w:rsidRPr="008F328C" w:rsidRDefault="00D22235" w:rsidP="00D22235">
      <w:pPr>
        <w:spacing w:before="1" w:line="180" w:lineRule="exact"/>
        <w:rPr>
          <w:rFonts w:ascii="Times New Roman" w:hAnsi="Times New Roman" w:cs="Times New Roman"/>
          <w:sz w:val="18"/>
          <w:szCs w:val="18"/>
          <w:lang w:val="pl-PL"/>
        </w:rPr>
      </w:pPr>
    </w:p>
    <w:p w14:paraId="34ED7037" w14:textId="06795FA3" w:rsidR="00D22235" w:rsidRPr="008F328C" w:rsidRDefault="00D22235" w:rsidP="00D22235">
      <w:pPr>
        <w:pStyle w:val="a3"/>
        <w:rPr>
          <w:lang w:val="pl-PL"/>
        </w:rPr>
      </w:pPr>
      <w:r w:rsidRPr="008F328C">
        <w:rPr>
          <w:rFonts w:eastAsia="Times New Roman"/>
          <w:lang w:val="pl-PL"/>
        </w:rPr>
        <w:t xml:space="preserve">W badaniach I, II i III w RZS odsetek pacjentów leczonych adalimumabem, którzy uzyskali odpowiedzi 20, 50 i 70 w skali ACR był podobny. Wyniki uzyskane po podawaniu dawki 40 mg co drugi tydzień przedstawiono w Tabeli </w:t>
      </w:r>
      <w:r w:rsidR="00745F53">
        <w:rPr>
          <w:rFonts w:eastAsia="Times New Roman"/>
          <w:lang w:val="pl-PL"/>
        </w:rPr>
        <w:t>5</w:t>
      </w:r>
      <w:r w:rsidRPr="008F328C">
        <w:rPr>
          <w:rFonts w:eastAsia="Times New Roman"/>
          <w:lang w:val="pl-PL"/>
        </w:rPr>
        <w:t>.</w:t>
      </w:r>
    </w:p>
    <w:p w14:paraId="13F6C9B2" w14:textId="77777777" w:rsidR="00D22235" w:rsidRPr="008F328C" w:rsidRDefault="00D22235" w:rsidP="00D22235">
      <w:pPr>
        <w:spacing w:before="15" w:line="240" w:lineRule="exact"/>
        <w:rPr>
          <w:rFonts w:ascii="Times New Roman" w:hAnsi="Times New Roman" w:cs="Times New Roman"/>
          <w:sz w:val="24"/>
          <w:szCs w:val="24"/>
          <w:lang w:val="pl-PL"/>
        </w:rPr>
      </w:pPr>
    </w:p>
    <w:p w14:paraId="7DA471B9" w14:textId="7956A004" w:rsidR="00D22235" w:rsidRPr="008F328C" w:rsidRDefault="00D22235" w:rsidP="00D22235">
      <w:pPr>
        <w:jc w:val="center"/>
        <w:rPr>
          <w:rFonts w:ascii="Times New Roman" w:hAnsi="Times New Roman" w:cs="Times New Roman"/>
          <w:lang w:val="pl-PL"/>
        </w:rPr>
      </w:pPr>
      <w:r w:rsidRPr="008F328C">
        <w:rPr>
          <w:rFonts w:ascii="Times New Roman" w:eastAsia="Times New Roman" w:hAnsi="Times New Roman" w:cs="Times New Roman"/>
          <w:b/>
          <w:bCs/>
          <w:lang w:val="pl-PL"/>
        </w:rPr>
        <w:t xml:space="preserve">Tabela </w:t>
      </w:r>
      <w:r w:rsidR="00745F53">
        <w:rPr>
          <w:rFonts w:ascii="Times New Roman" w:eastAsia="Times New Roman" w:hAnsi="Times New Roman" w:cs="Times New Roman"/>
          <w:b/>
          <w:bCs/>
          <w:lang w:val="pl-PL"/>
        </w:rPr>
        <w:t>5</w:t>
      </w:r>
      <w:r w:rsidR="004142DA" w:rsidRPr="008F328C">
        <w:rPr>
          <w:rFonts w:ascii="Times New Roman" w:eastAsia="Times New Roman" w:hAnsi="Times New Roman" w:cs="Times New Roman"/>
          <w:b/>
          <w:bCs/>
          <w:lang w:val="pl-PL"/>
        </w:rPr>
        <w:t>.</w:t>
      </w:r>
    </w:p>
    <w:p w14:paraId="28ABD206" w14:textId="77777777" w:rsidR="00D22235" w:rsidRPr="008F328C" w:rsidRDefault="00D22235" w:rsidP="00D22235">
      <w:pPr>
        <w:pStyle w:val="a3"/>
        <w:jc w:val="center"/>
        <w:rPr>
          <w:b/>
          <w:lang w:val="pl-PL"/>
        </w:rPr>
      </w:pPr>
      <w:r w:rsidRPr="008F328C">
        <w:rPr>
          <w:rFonts w:eastAsia="Times New Roman"/>
          <w:b/>
          <w:bCs/>
          <w:lang w:val="pl-PL"/>
        </w:rPr>
        <w:t xml:space="preserve">Odpowiedzi w skali ACR w badaniach z grupami kontrolnymi otrzymującymi placebo </w:t>
      </w:r>
      <w:r w:rsidRPr="008F328C">
        <w:rPr>
          <w:rFonts w:eastAsia="Times New Roman"/>
          <w:b/>
          <w:bCs/>
          <w:lang w:val="pl-PL"/>
        </w:rPr>
        <w:br/>
        <w:t>(odsetek pacjentów)</w:t>
      </w:r>
    </w:p>
    <w:p w14:paraId="62A507EB" w14:textId="77777777" w:rsidR="00D22235" w:rsidRPr="008F328C" w:rsidRDefault="00D22235" w:rsidP="00D22235">
      <w:pPr>
        <w:spacing w:before="11" w:line="240" w:lineRule="exact"/>
        <w:rPr>
          <w:rFonts w:ascii="Times New Roman" w:hAnsi="Times New Roman" w:cs="Times New Roman"/>
          <w:sz w:val="24"/>
          <w:szCs w:val="24"/>
          <w:lang w:val="pl-PL"/>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D22235" w:rsidRPr="008F328C" w14:paraId="7AFF0024" w14:textId="77777777" w:rsidTr="00B17C6A">
        <w:tc>
          <w:tcPr>
            <w:tcW w:w="1186" w:type="dxa"/>
            <w:vMerge w:val="restart"/>
            <w:tcBorders>
              <w:top w:val="single" w:sz="4" w:space="0" w:color="auto"/>
              <w:left w:val="single" w:sz="4" w:space="0" w:color="auto"/>
              <w:right w:val="single" w:sz="4" w:space="0" w:color="auto"/>
            </w:tcBorders>
          </w:tcPr>
          <w:p w14:paraId="702DB71B" w14:textId="77777777" w:rsidR="00D22235" w:rsidRPr="008F328C" w:rsidRDefault="00D22235" w:rsidP="00B17C6A">
            <w:pPr>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Odpowiedź</w:t>
            </w:r>
          </w:p>
        </w:tc>
        <w:tc>
          <w:tcPr>
            <w:tcW w:w="2683" w:type="dxa"/>
            <w:gridSpan w:val="2"/>
            <w:tcBorders>
              <w:top w:val="single" w:sz="4" w:space="0" w:color="auto"/>
              <w:left w:val="single" w:sz="4" w:space="0" w:color="auto"/>
              <w:bottom w:val="single" w:sz="4" w:space="0" w:color="auto"/>
              <w:right w:val="single" w:sz="4" w:space="0" w:color="auto"/>
            </w:tcBorders>
          </w:tcPr>
          <w:p w14:paraId="24D686DD"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561" w:type="dxa"/>
            <w:gridSpan w:val="2"/>
            <w:tcBorders>
              <w:top w:val="single" w:sz="4" w:space="0" w:color="auto"/>
              <w:left w:val="single" w:sz="4" w:space="0" w:color="auto"/>
              <w:bottom w:val="single" w:sz="4" w:space="0" w:color="auto"/>
              <w:right w:val="single" w:sz="4" w:space="0" w:color="auto"/>
            </w:tcBorders>
          </w:tcPr>
          <w:p w14:paraId="55009018"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695" w:type="dxa"/>
            <w:gridSpan w:val="2"/>
            <w:tcBorders>
              <w:top w:val="single" w:sz="4" w:space="0" w:color="auto"/>
              <w:left w:val="single" w:sz="4" w:space="0" w:color="auto"/>
              <w:bottom w:val="single" w:sz="4" w:space="0" w:color="auto"/>
              <w:right w:val="single" w:sz="4" w:space="0" w:color="auto"/>
            </w:tcBorders>
          </w:tcPr>
          <w:p w14:paraId="11A4D152"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r>
      <w:tr w:rsidR="00D22235" w:rsidRPr="008F328C" w14:paraId="3A9FD0F7" w14:textId="77777777" w:rsidTr="00B17C6A">
        <w:tc>
          <w:tcPr>
            <w:tcW w:w="1186" w:type="dxa"/>
            <w:vMerge/>
            <w:tcBorders>
              <w:left w:val="single" w:sz="4" w:space="0" w:color="auto"/>
              <w:bottom w:val="single" w:sz="4" w:space="0" w:color="auto"/>
              <w:right w:val="single" w:sz="4" w:space="0" w:color="auto"/>
            </w:tcBorders>
          </w:tcPr>
          <w:p w14:paraId="23B55E9D" w14:textId="77777777" w:rsidR="00D22235" w:rsidRPr="008F328C" w:rsidRDefault="00D22235" w:rsidP="00B17C6A">
            <w:pPr>
              <w:jc w:val="center"/>
              <w:rPr>
                <w:rFonts w:ascii="Times New Roman" w:hAnsi="Times New Roman" w:cs="Times New Roman"/>
                <w:lang w:val="pl-PL"/>
              </w:rPr>
            </w:pPr>
          </w:p>
        </w:tc>
        <w:tc>
          <w:tcPr>
            <w:tcW w:w="1075" w:type="dxa"/>
            <w:tcBorders>
              <w:top w:val="single" w:sz="4" w:space="0" w:color="auto"/>
              <w:left w:val="single" w:sz="4" w:space="0" w:color="auto"/>
              <w:bottom w:val="single" w:sz="4" w:space="0" w:color="auto"/>
              <w:right w:val="single" w:sz="4" w:space="0" w:color="auto"/>
            </w:tcBorders>
          </w:tcPr>
          <w:p w14:paraId="7FFB787C"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6D4A29E0" w14:textId="77777777" w:rsidR="00D22235" w:rsidRPr="008F328C" w:rsidRDefault="00D22235" w:rsidP="00B17C6A">
            <w:pPr>
              <w:pStyle w:val="TableParagraph"/>
              <w:spacing w:before="5"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n=60</w:t>
            </w:r>
          </w:p>
        </w:tc>
        <w:tc>
          <w:tcPr>
            <w:tcW w:w="1608" w:type="dxa"/>
            <w:tcBorders>
              <w:top w:val="single" w:sz="4" w:space="0" w:color="auto"/>
              <w:left w:val="single" w:sz="4" w:space="0" w:color="auto"/>
              <w:bottom w:val="single" w:sz="4" w:space="0" w:color="auto"/>
              <w:right w:val="single" w:sz="4" w:space="0" w:color="auto"/>
            </w:tcBorders>
          </w:tcPr>
          <w:p w14:paraId="513567E4" w14:textId="77777777" w:rsidR="00D22235" w:rsidRPr="008F328C" w:rsidRDefault="00D22235" w:rsidP="00B17C6A">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08DF76DD"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n=63</w:t>
            </w:r>
          </w:p>
        </w:tc>
        <w:tc>
          <w:tcPr>
            <w:tcW w:w="1273" w:type="dxa"/>
            <w:tcBorders>
              <w:top w:val="single" w:sz="4" w:space="0" w:color="auto"/>
              <w:left w:val="single" w:sz="4" w:space="0" w:color="auto"/>
              <w:bottom w:val="single" w:sz="4" w:space="0" w:color="auto"/>
              <w:right w:val="single" w:sz="4" w:space="0" w:color="auto"/>
            </w:tcBorders>
          </w:tcPr>
          <w:p w14:paraId="7FDFB860"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44B12EA4"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n=110</w:t>
            </w:r>
          </w:p>
        </w:tc>
        <w:tc>
          <w:tcPr>
            <w:tcW w:w="1288" w:type="dxa"/>
            <w:tcBorders>
              <w:top w:val="single" w:sz="4" w:space="0" w:color="auto"/>
              <w:left w:val="single" w:sz="4" w:space="0" w:color="auto"/>
              <w:bottom w:val="single" w:sz="4" w:space="0" w:color="auto"/>
              <w:right w:val="single" w:sz="4" w:space="0" w:color="auto"/>
            </w:tcBorders>
          </w:tcPr>
          <w:p w14:paraId="5C57157B" w14:textId="77777777" w:rsidR="00D22235" w:rsidRPr="008F328C" w:rsidRDefault="00D22235" w:rsidP="00B17C6A">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p>
          <w:p w14:paraId="13DFE99A"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n=113</w:t>
            </w:r>
          </w:p>
        </w:tc>
        <w:tc>
          <w:tcPr>
            <w:tcW w:w="1151" w:type="dxa"/>
            <w:tcBorders>
              <w:top w:val="single" w:sz="4" w:space="0" w:color="auto"/>
              <w:left w:val="single" w:sz="4" w:space="0" w:color="auto"/>
              <w:bottom w:val="single" w:sz="4" w:space="0" w:color="auto"/>
              <w:right w:val="single" w:sz="4" w:space="0" w:color="auto"/>
            </w:tcBorders>
          </w:tcPr>
          <w:p w14:paraId="10116B3A"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074B3EFB" w14:textId="77777777" w:rsidR="00D22235" w:rsidRPr="008F328C" w:rsidRDefault="00D22235" w:rsidP="00B17C6A">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n=200</w:t>
            </w:r>
          </w:p>
        </w:tc>
        <w:tc>
          <w:tcPr>
            <w:tcW w:w="1544" w:type="dxa"/>
            <w:tcBorders>
              <w:top w:val="single" w:sz="4" w:space="0" w:color="auto"/>
              <w:left w:val="single" w:sz="4" w:space="0" w:color="auto"/>
              <w:bottom w:val="single" w:sz="4" w:space="0" w:color="auto"/>
              <w:right w:val="single" w:sz="4" w:space="0" w:color="auto"/>
            </w:tcBorders>
          </w:tcPr>
          <w:p w14:paraId="6CBBCB6B" w14:textId="77777777" w:rsidR="00D22235" w:rsidRPr="008F328C" w:rsidRDefault="00D22235" w:rsidP="00B17C6A">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7B77B676"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n=207</w:t>
            </w:r>
          </w:p>
        </w:tc>
      </w:tr>
      <w:tr w:rsidR="00D22235" w:rsidRPr="008F328C" w14:paraId="2799AFB8" w14:textId="77777777" w:rsidTr="00B17C6A">
        <w:tc>
          <w:tcPr>
            <w:tcW w:w="1186" w:type="dxa"/>
            <w:tcBorders>
              <w:top w:val="single" w:sz="4" w:space="0" w:color="auto"/>
              <w:left w:val="single" w:sz="4" w:space="0" w:color="auto"/>
              <w:bottom w:val="nil"/>
              <w:right w:val="single" w:sz="8" w:space="0" w:color="000000"/>
            </w:tcBorders>
          </w:tcPr>
          <w:p w14:paraId="20207690" w14:textId="77777777" w:rsidR="00D22235" w:rsidRPr="008F328C" w:rsidRDefault="00D22235" w:rsidP="00B17C6A">
            <w:pPr>
              <w:pStyle w:val="TableParagraph"/>
              <w:spacing w:line="248"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20</w:t>
            </w:r>
          </w:p>
        </w:tc>
        <w:tc>
          <w:tcPr>
            <w:tcW w:w="1075" w:type="dxa"/>
            <w:vMerge w:val="restart"/>
            <w:tcBorders>
              <w:top w:val="single" w:sz="4" w:space="0" w:color="auto"/>
              <w:left w:val="single" w:sz="8" w:space="0" w:color="000000"/>
              <w:right w:val="nil"/>
            </w:tcBorders>
          </w:tcPr>
          <w:p w14:paraId="18713C32"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4B1F0163"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13,3%</w:t>
            </w:r>
          </w:p>
        </w:tc>
        <w:tc>
          <w:tcPr>
            <w:tcW w:w="1608" w:type="dxa"/>
            <w:vMerge w:val="restart"/>
            <w:tcBorders>
              <w:top w:val="single" w:sz="4" w:space="0" w:color="auto"/>
              <w:left w:val="nil"/>
              <w:right w:val="single" w:sz="7" w:space="0" w:color="000000"/>
            </w:tcBorders>
          </w:tcPr>
          <w:p w14:paraId="7F8507C8"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2D88752D"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65,1%</w:t>
            </w:r>
          </w:p>
        </w:tc>
        <w:tc>
          <w:tcPr>
            <w:tcW w:w="1273" w:type="dxa"/>
            <w:vMerge w:val="restart"/>
            <w:tcBorders>
              <w:top w:val="single" w:sz="4" w:space="0" w:color="auto"/>
              <w:left w:val="single" w:sz="7" w:space="0" w:color="000000"/>
              <w:right w:val="nil"/>
            </w:tcBorders>
          </w:tcPr>
          <w:p w14:paraId="6703FA04"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1E9B4DE9"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19,1%</w:t>
            </w:r>
          </w:p>
        </w:tc>
        <w:tc>
          <w:tcPr>
            <w:tcW w:w="1288" w:type="dxa"/>
            <w:vMerge w:val="restart"/>
            <w:tcBorders>
              <w:top w:val="single" w:sz="4" w:space="0" w:color="auto"/>
              <w:left w:val="nil"/>
              <w:right w:val="single" w:sz="7" w:space="0" w:color="000000"/>
            </w:tcBorders>
          </w:tcPr>
          <w:p w14:paraId="4708B10C"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337CE530"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46,0%</w:t>
            </w:r>
          </w:p>
        </w:tc>
        <w:tc>
          <w:tcPr>
            <w:tcW w:w="1151" w:type="dxa"/>
            <w:vMerge w:val="restart"/>
            <w:tcBorders>
              <w:top w:val="single" w:sz="4" w:space="0" w:color="auto"/>
              <w:left w:val="single" w:sz="7" w:space="0" w:color="000000"/>
              <w:right w:val="nil"/>
            </w:tcBorders>
          </w:tcPr>
          <w:p w14:paraId="59713562"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6719CD5C"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29,5%</w:t>
            </w:r>
          </w:p>
        </w:tc>
        <w:tc>
          <w:tcPr>
            <w:tcW w:w="1544" w:type="dxa"/>
            <w:vMerge w:val="restart"/>
            <w:tcBorders>
              <w:top w:val="single" w:sz="4" w:space="0" w:color="auto"/>
              <w:left w:val="nil"/>
              <w:right w:val="single" w:sz="4" w:space="0" w:color="auto"/>
            </w:tcBorders>
          </w:tcPr>
          <w:p w14:paraId="63E83DAD" w14:textId="77777777" w:rsidR="00D22235" w:rsidRPr="008F328C" w:rsidRDefault="00D22235" w:rsidP="00B17C6A">
            <w:pPr>
              <w:pStyle w:val="TableParagraph"/>
              <w:spacing w:before="7" w:line="240" w:lineRule="exact"/>
              <w:jc w:val="center"/>
              <w:rPr>
                <w:rFonts w:ascii="Times New Roman" w:hAnsi="Times New Roman" w:cs="Times New Roman"/>
                <w:sz w:val="24"/>
                <w:szCs w:val="24"/>
                <w:lang w:val="pl-PL"/>
              </w:rPr>
            </w:pPr>
          </w:p>
          <w:p w14:paraId="5F930E55"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63,3%</w:t>
            </w:r>
          </w:p>
        </w:tc>
      </w:tr>
      <w:tr w:rsidR="00D22235" w:rsidRPr="008F328C" w14:paraId="21E78C0F" w14:textId="77777777" w:rsidTr="00B17C6A">
        <w:tc>
          <w:tcPr>
            <w:tcW w:w="1186" w:type="dxa"/>
            <w:tcBorders>
              <w:top w:val="nil"/>
              <w:left w:val="single" w:sz="4" w:space="0" w:color="auto"/>
              <w:right w:val="single" w:sz="8" w:space="0" w:color="000000"/>
            </w:tcBorders>
          </w:tcPr>
          <w:p w14:paraId="4DF6DB58"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vMerge/>
            <w:tcBorders>
              <w:left w:val="single" w:sz="8" w:space="0" w:color="000000"/>
              <w:right w:val="nil"/>
            </w:tcBorders>
          </w:tcPr>
          <w:p w14:paraId="12498CF9" w14:textId="77777777" w:rsidR="00D22235" w:rsidRPr="008F328C" w:rsidRDefault="00D22235" w:rsidP="00B17C6A">
            <w:pPr>
              <w:jc w:val="center"/>
              <w:rPr>
                <w:rFonts w:ascii="Times New Roman" w:hAnsi="Times New Roman" w:cs="Times New Roman"/>
                <w:lang w:val="pl-PL"/>
              </w:rPr>
            </w:pPr>
          </w:p>
        </w:tc>
        <w:tc>
          <w:tcPr>
            <w:tcW w:w="1608" w:type="dxa"/>
            <w:vMerge/>
            <w:tcBorders>
              <w:left w:val="nil"/>
              <w:right w:val="single" w:sz="7" w:space="0" w:color="000000"/>
            </w:tcBorders>
          </w:tcPr>
          <w:p w14:paraId="2AB1E34E" w14:textId="77777777" w:rsidR="00D22235" w:rsidRPr="008F328C" w:rsidRDefault="00D22235" w:rsidP="00B17C6A">
            <w:pPr>
              <w:jc w:val="center"/>
              <w:rPr>
                <w:rFonts w:ascii="Times New Roman" w:hAnsi="Times New Roman" w:cs="Times New Roman"/>
                <w:lang w:val="pl-PL"/>
              </w:rPr>
            </w:pPr>
          </w:p>
        </w:tc>
        <w:tc>
          <w:tcPr>
            <w:tcW w:w="1273" w:type="dxa"/>
            <w:vMerge/>
            <w:tcBorders>
              <w:left w:val="single" w:sz="7" w:space="0" w:color="000000"/>
              <w:right w:val="nil"/>
            </w:tcBorders>
          </w:tcPr>
          <w:p w14:paraId="0569FFAE" w14:textId="77777777" w:rsidR="00D22235" w:rsidRPr="008F328C" w:rsidRDefault="00D22235" w:rsidP="00B17C6A">
            <w:pPr>
              <w:jc w:val="center"/>
              <w:rPr>
                <w:rFonts w:ascii="Times New Roman" w:hAnsi="Times New Roman" w:cs="Times New Roman"/>
                <w:lang w:val="pl-PL"/>
              </w:rPr>
            </w:pPr>
          </w:p>
        </w:tc>
        <w:tc>
          <w:tcPr>
            <w:tcW w:w="1288" w:type="dxa"/>
            <w:vMerge/>
            <w:tcBorders>
              <w:left w:val="nil"/>
              <w:right w:val="single" w:sz="7" w:space="0" w:color="000000"/>
            </w:tcBorders>
          </w:tcPr>
          <w:p w14:paraId="4E826F9B" w14:textId="77777777" w:rsidR="00D22235" w:rsidRPr="008F328C" w:rsidRDefault="00D22235" w:rsidP="00B17C6A">
            <w:pPr>
              <w:jc w:val="center"/>
              <w:rPr>
                <w:rFonts w:ascii="Times New Roman" w:hAnsi="Times New Roman" w:cs="Times New Roman"/>
                <w:lang w:val="pl-PL"/>
              </w:rPr>
            </w:pPr>
          </w:p>
        </w:tc>
        <w:tc>
          <w:tcPr>
            <w:tcW w:w="1151" w:type="dxa"/>
            <w:vMerge/>
            <w:tcBorders>
              <w:left w:val="single" w:sz="7" w:space="0" w:color="000000"/>
              <w:right w:val="nil"/>
            </w:tcBorders>
          </w:tcPr>
          <w:p w14:paraId="7D006C64" w14:textId="77777777" w:rsidR="00D22235" w:rsidRPr="008F328C" w:rsidRDefault="00D22235" w:rsidP="00B17C6A">
            <w:pPr>
              <w:jc w:val="center"/>
              <w:rPr>
                <w:rFonts w:ascii="Times New Roman" w:hAnsi="Times New Roman" w:cs="Times New Roman"/>
                <w:lang w:val="pl-PL"/>
              </w:rPr>
            </w:pPr>
          </w:p>
        </w:tc>
        <w:tc>
          <w:tcPr>
            <w:tcW w:w="1544" w:type="dxa"/>
            <w:vMerge/>
            <w:tcBorders>
              <w:left w:val="nil"/>
              <w:right w:val="single" w:sz="4" w:space="0" w:color="auto"/>
            </w:tcBorders>
          </w:tcPr>
          <w:p w14:paraId="144B256D" w14:textId="77777777" w:rsidR="00D22235" w:rsidRPr="008F328C" w:rsidRDefault="00D22235" w:rsidP="00B17C6A">
            <w:pPr>
              <w:jc w:val="center"/>
              <w:rPr>
                <w:rFonts w:ascii="Times New Roman" w:hAnsi="Times New Roman" w:cs="Times New Roman"/>
                <w:lang w:val="pl-PL"/>
              </w:rPr>
            </w:pPr>
          </w:p>
        </w:tc>
      </w:tr>
      <w:tr w:rsidR="00D22235" w:rsidRPr="008F328C" w14:paraId="279D520F" w14:textId="77777777" w:rsidTr="00B17C6A">
        <w:tc>
          <w:tcPr>
            <w:tcW w:w="1186" w:type="dxa"/>
            <w:tcBorders>
              <w:top w:val="nil"/>
              <w:left w:val="single" w:sz="4" w:space="0" w:color="auto"/>
              <w:bottom w:val="single" w:sz="4" w:space="0" w:color="auto"/>
              <w:right w:val="single" w:sz="8" w:space="0" w:color="000000"/>
            </w:tcBorders>
          </w:tcPr>
          <w:p w14:paraId="4AF4DD89"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8" w:space="0" w:color="000000"/>
              <w:bottom w:val="single" w:sz="4" w:space="0" w:color="auto"/>
              <w:right w:val="nil"/>
            </w:tcBorders>
          </w:tcPr>
          <w:p w14:paraId="2EE3B28D"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7045A6A2"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3B1685C5"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6A16A637"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01F3690C"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24,0%</w:t>
            </w:r>
          </w:p>
        </w:tc>
        <w:tc>
          <w:tcPr>
            <w:tcW w:w="1544" w:type="dxa"/>
            <w:tcBorders>
              <w:top w:val="nil"/>
              <w:left w:val="nil"/>
              <w:bottom w:val="single" w:sz="4" w:space="0" w:color="auto"/>
              <w:right w:val="single" w:sz="4" w:space="0" w:color="auto"/>
            </w:tcBorders>
          </w:tcPr>
          <w:p w14:paraId="72119566"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58,9%</w:t>
            </w:r>
          </w:p>
        </w:tc>
      </w:tr>
      <w:tr w:rsidR="00D22235" w:rsidRPr="008F328C" w14:paraId="2DBCDBD9" w14:textId="77777777" w:rsidTr="00B17C6A">
        <w:tc>
          <w:tcPr>
            <w:tcW w:w="1186" w:type="dxa"/>
            <w:tcBorders>
              <w:top w:val="single" w:sz="4" w:space="0" w:color="auto"/>
              <w:left w:val="single" w:sz="4" w:space="0" w:color="auto"/>
              <w:bottom w:val="nil"/>
              <w:right w:val="single" w:sz="8" w:space="0" w:color="000000"/>
            </w:tcBorders>
          </w:tcPr>
          <w:p w14:paraId="5961D87F"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50</w:t>
            </w:r>
          </w:p>
        </w:tc>
        <w:tc>
          <w:tcPr>
            <w:tcW w:w="1075" w:type="dxa"/>
            <w:tcBorders>
              <w:top w:val="single" w:sz="4" w:space="0" w:color="auto"/>
              <w:left w:val="single" w:sz="8" w:space="0" w:color="000000"/>
              <w:bottom w:val="nil"/>
              <w:right w:val="nil"/>
            </w:tcBorders>
          </w:tcPr>
          <w:p w14:paraId="19BB722E" w14:textId="77777777" w:rsidR="00D22235" w:rsidRPr="008F328C" w:rsidRDefault="00D22235" w:rsidP="00B17C6A">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471813B8" w14:textId="77777777" w:rsidR="00D22235" w:rsidRPr="008F328C" w:rsidRDefault="00D22235" w:rsidP="00B17C6A">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01B95EDA" w14:textId="77777777" w:rsidR="00D22235" w:rsidRPr="008F328C" w:rsidRDefault="00D22235" w:rsidP="00B17C6A">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3F787EFA" w14:textId="77777777" w:rsidR="00D22235" w:rsidRPr="008F328C" w:rsidRDefault="00D22235" w:rsidP="00B17C6A">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0CAC15FE" w14:textId="77777777" w:rsidR="00D22235" w:rsidRPr="008F328C" w:rsidRDefault="00D22235" w:rsidP="00B17C6A">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40D45B3C" w14:textId="77777777" w:rsidR="00D22235" w:rsidRPr="008F328C" w:rsidRDefault="00D22235" w:rsidP="00B17C6A">
            <w:pPr>
              <w:jc w:val="center"/>
              <w:rPr>
                <w:rFonts w:ascii="Times New Roman" w:hAnsi="Times New Roman" w:cs="Times New Roman"/>
                <w:lang w:val="pl-PL"/>
              </w:rPr>
            </w:pPr>
          </w:p>
        </w:tc>
      </w:tr>
      <w:tr w:rsidR="00D22235" w:rsidRPr="008F328C" w14:paraId="4BDB160C" w14:textId="77777777" w:rsidTr="00B17C6A">
        <w:tc>
          <w:tcPr>
            <w:tcW w:w="1186" w:type="dxa"/>
            <w:tcBorders>
              <w:top w:val="nil"/>
              <w:left w:val="single" w:sz="4" w:space="0" w:color="auto"/>
              <w:right w:val="single" w:sz="8" w:space="0" w:color="000000"/>
            </w:tcBorders>
          </w:tcPr>
          <w:p w14:paraId="414ADF83"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right w:val="nil"/>
            </w:tcBorders>
          </w:tcPr>
          <w:p w14:paraId="706D6999"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6,7%</w:t>
            </w:r>
          </w:p>
        </w:tc>
        <w:tc>
          <w:tcPr>
            <w:tcW w:w="1608" w:type="dxa"/>
            <w:tcBorders>
              <w:top w:val="nil"/>
              <w:left w:val="nil"/>
              <w:right w:val="single" w:sz="7" w:space="0" w:color="000000"/>
            </w:tcBorders>
          </w:tcPr>
          <w:p w14:paraId="3078F796"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52,4%</w:t>
            </w:r>
          </w:p>
        </w:tc>
        <w:tc>
          <w:tcPr>
            <w:tcW w:w="1273" w:type="dxa"/>
            <w:tcBorders>
              <w:top w:val="nil"/>
              <w:left w:val="single" w:sz="7" w:space="0" w:color="000000"/>
              <w:right w:val="nil"/>
            </w:tcBorders>
          </w:tcPr>
          <w:p w14:paraId="2BBF09A3"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8,2%</w:t>
            </w:r>
          </w:p>
        </w:tc>
        <w:tc>
          <w:tcPr>
            <w:tcW w:w="1288" w:type="dxa"/>
            <w:tcBorders>
              <w:top w:val="nil"/>
              <w:left w:val="nil"/>
              <w:right w:val="single" w:sz="7" w:space="0" w:color="000000"/>
            </w:tcBorders>
          </w:tcPr>
          <w:p w14:paraId="5AE18B61"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22,1%</w:t>
            </w:r>
          </w:p>
        </w:tc>
        <w:tc>
          <w:tcPr>
            <w:tcW w:w="1151" w:type="dxa"/>
            <w:tcBorders>
              <w:top w:val="nil"/>
              <w:left w:val="single" w:sz="7" w:space="0" w:color="000000"/>
              <w:right w:val="nil"/>
            </w:tcBorders>
          </w:tcPr>
          <w:p w14:paraId="19ACE7ED"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right w:val="single" w:sz="4" w:space="0" w:color="auto"/>
            </w:tcBorders>
          </w:tcPr>
          <w:p w14:paraId="194A20DA"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39,1%</w:t>
            </w:r>
          </w:p>
        </w:tc>
      </w:tr>
      <w:tr w:rsidR="00D22235" w:rsidRPr="008F328C" w14:paraId="78ACFF63" w14:textId="77777777" w:rsidTr="00B17C6A">
        <w:tc>
          <w:tcPr>
            <w:tcW w:w="1186" w:type="dxa"/>
            <w:tcBorders>
              <w:top w:val="nil"/>
              <w:left w:val="single" w:sz="4" w:space="0" w:color="auto"/>
              <w:bottom w:val="single" w:sz="4" w:space="0" w:color="auto"/>
              <w:right w:val="single" w:sz="8" w:space="0" w:color="000000"/>
            </w:tcBorders>
          </w:tcPr>
          <w:p w14:paraId="2EE9B5CF"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12 miesięcy</w:t>
            </w:r>
          </w:p>
        </w:tc>
        <w:tc>
          <w:tcPr>
            <w:tcW w:w="1075" w:type="dxa"/>
            <w:tcBorders>
              <w:top w:val="nil"/>
              <w:left w:val="single" w:sz="8" w:space="0" w:color="000000"/>
              <w:bottom w:val="single" w:sz="4" w:space="0" w:color="auto"/>
              <w:right w:val="nil"/>
            </w:tcBorders>
          </w:tcPr>
          <w:p w14:paraId="56F08BCE"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65305438" w14:textId="77777777" w:rsidR="00D22235" w:rsidRPr="008F328C" w:rsidRDefault="00D22235" w:rsidP="00B17C6A">
            <w:pPr>
              <w:pStyle w:val="TableParagraph"/>
              <w:tabs>
                <w:tab w:val="left" w:pos="1013"/>
              </w:tabs>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0A1BE840"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6BA9950C"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63C7D73B"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bottom w:val="single" w:sz="4" w:space="0" w:color="auto"/>
              <w:right w:val="single" w:sz="4" w:space="0" w:color="auto"/>
            </w:tcBorders>
          </w:tcPr>
          <w:p w14:paraId="0498E59A"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41,5%</w:t>
            </w:r>
          </w:p>
        </w:tc>
      </w:tr>
      <w:tr w:rsidR="00D22235" w:rsidRPr="008F328C" w14:paraId="0ACE5BB4" w14:textId="77777777" w:rsidTr="00B17C6A">
        <w:tc>
          <w:tcPr>
            <w:tcW w:w="1186" w:type="dxa"/>
            <w:tcBorders>
              <w:top w:val="single" w:sz="4" w:space="0" w:color="auto"/>
              <w:left w:val="single" w:sz="4" w:space="0" w:color="auto"/>
              <w:right w:val="single" w:sz="8" w:space="0" w:color="000000"/>
            </w:tcBorders>
          </w:tcPr>
          <w:p w14:paraId="1FCE6CE2"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70</w:t>
            </w:r>
          </w:p>
        </w:tc>
        <w:tc>
          <w:tcPr>
            <w:tcW w:w="1075" w:type="dxa"/>
            <w:tcBorders>
              <w:top w:val="single" w:sz="4" w:space="0" w:color="auto"/>
              <w:left w:val="single" w:sz="8" w:space="0" w:color="000000"/>
              <w:bottom w:val="nil"/>
              <w:right w:val="nil"/>
            </w:tcBorders>
          </w:tcPr>
          <w:p w14:paraId="4D33CD94" w14:textId="77777777" w:rsidR="00D22235" w:rsidRPr="008F328C" w:rsidRDefault="00D22235" w:rsidP="00B17C6A">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57627870" w14:textId="77777777" w:rsidR="00D22235" w:rsidRPr="008F328C" w:rsidRDefault="00D22235" w:rsidP="00B17C6A">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77B33A13" w14:textId="77777777" w:rsidR="00D22235" w:rsidRPr="008F328C" w:rsidRDefault="00D22235" w:rsidP="00B17C6A">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31C7DF7E" w14:textId="77777777" w:rsidR="00D22235" w:rsidRPr="008F328C" w:rsidRDefault="00D22235" w:rsidP="00B17C6A">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5BD5B086" w14:textId="77777777" w:rsidR="00D22235" w:rsidRPr="008F328C" w:rsidRDefault="00D22235" w:rsidP="00B17C6A">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2FE1F706" w14:textId="77777777" w:rsidR="00D22235" w:rsidRPr="008F328C" w:rsidRDefault="00D22235" w:rsidP="00B17C6A">
            <w:pPr>
              <w:jc w:val="center"/>
              <w:rPr>
                <w:rFonts w:ascii="Times New Roman" w:hAnsi="Times New Roman" w:cs="Times New Roman"/>
                <w:lang w:val="pl-PL"/>
              </w:rPr>
            </w:pPr>
          </w:p>
        </w:tc>
      </w:tr>
      <w:tr w:rsidR="00D22235" w:rsidRPr="008F328C" w14:paraId="09C0233B" w14:textId="77777777" w:rsidTr="00B17C6A">
        <w:tc>
          <w:tcPr>
            <w:tcW w:w="1186" w:type="dxa"/>
            <w:tcBorders>
              <w:top w:val="nil"/>
              <w:left w:val="single" w:sz="4" w:space="0" w:color="auto"/>
              <w:bottom w:val="nil"/>
              <w:right w:val="single" w:sz="8" w:space="0" w:color="000000"/>
            </w:tcBorders>
          </w:tcPr>
          <w:p w14:paraId="29A0B68C"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bottom w:val="nil"/>
              <w:right w:val="nil"/>
            </w:tcBorders>
          </w:tcPr>
          <w:p w14:paraId="1587EE81"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3,3%</w:t>
            </w:r>
          </w:p>
        </w:tc>
        <w:tc>
          <w:tcPr>
            <w:tcW w:w="1608" w:type="dxa"/>
            <w:tcBorders>
              <w:top w:val="nil"/>
              <w:left w:val="nil"/>
              <w:bottom w:val="nil"/>
              <w:right w:val="single" w:sz="7" w:space="0" w:color="000000"/>
            </w:tcBorders>
          </w:tcPr>
          <w:p w14:paraId="1AD595F2"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273" w:type="dxa"/>
            <w:tcBorders>
              <w:top w:val="nil"/>
              <w:left w:val="single" w:sz="7" w:space="0" w:color="000000"/>
              <w:bottom w:val="nil"/>
              <w:right w:val="nil"/>
            </w:tcBorders>
          </w:tcPr>
          <w:p w14:paraId="0EE6188B"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1,8%</w:t>
            </w:r>
          </w:p>
        </w:tc>
        <w:tc>
          <w:tcPr>
            <w:tcW w:w="1288" w:type="dxa"/>
            <w:tcBorders>
              <w:top w:val="nil"/>
              <w:left w:val="nil"/>
              <w:bottom w:val="nil"/>
              <w:right w:val="single" w:sz="7" w:space="0" w:color="000000"/>
            </w:tcBorders>
          </w:tcPr>
          <w:p w14:paraId="2C4845BE"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12,4%</w:t>
            </w:r>
          </w:p>
        </w:tc>
        <w:tc>
          <w:tcPr>
            <w:tcW w:w="1151" w:type="dxa"/>
            <w:tcBorders>
              <w:top w:val="nil"/>
              <w:left w:val="single" w:sz="7" w:space="0" w:color="000000"/>
              <w:bottom w:val="nil"/>
              <w:right w:val="nil"/>
            </w:tcBorders>
          </w:tcPr>
          <w:p w14:paraId="6BA85B2B"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544" w:type="dxa"/>
            <w:tcBorders>
              <w:top w:val="nil"/>
              <w:left w:val="nil"/>
              <w:bottom w:val="nil"/>
              <w:right w:val="single" w:sz="4" w:space="0" w:color="auto"/>
            </w:tcBorders>
          </w:tcPr>
          <w:p w14:paraId="34BE75F6" w14:textId="77777777" w:rsidR="00D22235" w:rsidRPr="008F328C" w:rsidRDefault="00D22235" w:rsidP="00B17C6A">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20,8%</w:t>
            </w:r>
          </w:p>
        </w:tc>
      </w:tr>
      <w:tr w:rsidR="00D22235" w:rsidRPr="008F328C" w14:paraId="0F2C7E5E" w14:textId="77777777" w:rsidTr="00B17C6A">
        <w:tc>
          <w:tcPr>
            <w:tcW w:w="1186" w:type="dxa"/>
            <w:tcBorders>
              <w:top w:val="nil"/>
              <w:left w:val="single" w:sz="4" w:space="0" w:color="auto"/>
              <w:bottom w:val="single" w:sz="8" w:space="0" w:color="000000"/>
              <w:right w:val="single" w:sz="7" w:space="0" w:color="000000"/>
            </w:tcBorders>
          </w:tcPr>
          <w:p w14:paraId="2B143F23"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7" w:space="0" w:color="000000"/>
              <w:bottom w:val="single" w:sz="7" w:space="0" w:color="000000"/>
              <w:right w:val="nil"/>
            </w:tcBorders>
          </w:tcPr>
          <w:p w14:paraId="42C6FE1A"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7" w:space="0" w:color="000000"/>
              <w:right w:val="single" w:sz="7" w:space="0" w:color="000000"/>
            </w:tcBorders>
          </w:tcPr>
          <w:p w14:paraId="670F03DC"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7" w:space="0" w:color="000000"/>
              <w:right w:val="nil"/>
            </w:tcBorders>
          </w:tcPr>
          <w:p w14:paraId="4613F5A6"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7" w:space="0" w:color="000000"/>
              <w:right w:val="single" w:sz="7" w:space="0" w:color="000000"/>
            </w:tcBorders>
          </w:tcPr>
          <w:p w14:paraId="06C3BC45" w14:textId="77777777" w:rsidR="00D22235" w:rsidRPr="008F328C" w:rsidRDefault="00D22235" w:rsidP="00B17C6A">
            <w:pPr>
              <w:pStyle w:val="TableParagraph"/>
              <w:tabs>
                <w:tab w:val="left" w:pos="832"/>
              </w:tabs>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7" w:space="0" w:color="000000"/>
              <w:right w:val="nil"/>
            </w:tcBorders>
          </w:tcPr>
          <w:p w14:paraId="1E1A6A2D"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4,5%</w:t>
            </w:r>
          </w:p>
        </w:tc>
        <w:tc>
          <w:tcPr>
            <w:tcW w:w="1544" w:type="dxa"/>
            <w:tcBorders>
              <w:top w:val="nil"/>
              <w:left w:val="nil"/>
              <w:bottom w:val="single" w:sz="8" w:space="0" w:color="000000"/>
              <w:right w:val="single" w:sz="4" w:space="0" w:color="auto"/>
            </w:tcBorders>
          </w:tcPr>
          <w:p w14:paraId="76680248" w14:textId="77777777" w:rsidR="00D22235" w:rsidRPr="008F328C" w:rsidRDefault="00D22235" w:rsidP="00B17C6A">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r>
    </w:tbl>
    <w:p w14:paraId="38F89984" w14:textId="77777777" w:rsidR="00D22235" w:rsidRPr="008F328C" w:rsidRDefault="00D22235" w:rsidP="00D22235">
      <w:pPr>
        <w:pStyle w:val="a3"/>
        <w:numPr>
          <w:ilvl w:val="0"/>
          <w:numId w:val="0"/>
        </w:numPr>
        <w:rPr>
          <w:lang w:val="pl-PL"/>
        </w:rPr>
      </w:pPr>
      <w:r w:rsidRPr="008F328C">
        <w:rPr>
          <w:rFonts w:eastAsia="Times New Roman"/>
          <w:position w:val="8"/>
          <w:sz w:val="14"/>
          <w:szCs w:val="14"/>
          <w:lang w:val="pl-PL"/>
        </w:rPr>
        <w:t xml:space="preserve">a </w:t>
      </w:r>
      <w:r w:rsidRPr="008F328C">
        <w:rPr>
          <w:rFonts w:eastAsia="Times New Roman"/>
          <w:position w:val="8"/>
          <w:lang w:val="pl-PL"/>
        </w:rPr>
        <w:t>Badanie I w RZS w 24. tygodniu, badanie II w RZS w 26. tygodniu, badanie III w RZS w 24. i 52. tygodniu</w:t>
      </w:r>
    </w:p>
    <w:p w14:paraId="34262DBA" w14:textId="77777777" w:rsidR="00D22235" w:rsidRPr="008F328C" w:rsidRDefault="00D22235" w:rsidP="00D22235">
      <w:pPr>
        <w:pStyle w:val="a3"/>
        <w:numPr>
          <w:ilvl w:val="0"/>
          <w:numId w:val="0"/>
        </w:numPr>
        <w:rPr>
          <w:lang w:val="pl-PL"/>
        </w:rPr>
      </w:pPr>
      <w:r w:rsidRPr="008F328C">
        <w:rPr>
          <w:rFonts w:eastAsia="Times New Roman"/>
          <w:position w:val="8"/>
          <w:sz w:val="14"/>
          <w:szCs w:val="14"/>
          <w:lang w:val="pl-PL"/>
        </w:rPr>
        <w:t xml:space="preserve">b </w:t>
      </w:r>
      <w:r w:rsidRPr="008F328C">
        <w:rPr>
          <w:rFonts w:eastAsia="Times New Roman"/>
          <w:position w:val="8"/>
          <w:lang w:val="pl-PL"/>
        </w:rPr>
        <w:t>40 mg adalimumabu podawane co drugi tydzień</w:t>
      </w:r>
    </w:p>
    <w:p w14:paraId="37B50B11" w14:textId="77777777" w:rsidR="00D22235" w:rsidRPr="008F328C" w:rsidRDefault="00D22235" w:rsidP="00D22235">
      <w:pPr>
        <w:pStyle w:val="a3"/>
        <w:rPr>
          <w:lang w:val="pl-PL"/>
        </w:rPr>
      </w:pPr>
      <w:r w:rsidRPr="008F328C">
        <w:rPr>
          <w:rFonts w:eastAsia="Times New Roman"/>
          <w:position w:val="8"/>
          <w:sz w:val="14"/>
          <w:szCs w:val="14"/>
          <w:lang w:val="pl-PL"/>
        </w:rPr>
        <w:t xml:space="preserve">c </w:t>
      </w:r>
      <w:r w:rsidRPr="008F328C">
        <w:rPr>
          <w:rFonts w:eastAsia="Times New Roman"/>
          <w:position w:val="8"/>
          <w:lang w:val="pl-PL"/>
        </w:rPr>
        <w:t>MTX = metotreksat</w:t>
      </w:r>
    </w:p>
    <w:p w14:paraId="3776647E" w14:textId="77777777" w:rsidR="00D22235" w:rsidRPr="008F328C" w:rsidRDefault="00D22235" w:rsidP="00D22235">
      <w:pPr>
        <w:spacing w:before="1"/>
        <w:rPr>
          <w:rFonts w:ascii="Times New Roman" w:eastAsia="Times New Roman" w:hAnsi="Times New Roman" w:cs="Times New Roman"/>
          <w:lang w:val="pl-PL"/>
        </w:rPr>
      </w:pPr>
      <w:r w:rsidRPr="008F328C">
        <w:rPr>
          <w:rFonts w:ascii="Times New Roman" w:eastAsia="Times New Roman" w:hAnsi="Times New Roman" w:cs="Times New Roman"/>
          <w:lang w:val="pl-PL"/>
        </w:rPr>
        <w:t>**p &lt; 0,01, adalimumab w porównaniu z placebo</w:t>
      </w:r>
    </w:p>
    <w:p w14:paraId="53F9FD08" w14:textId="77777777" w:rsidR="00D22235" w:rsidRPr="008F328C" w:rsidRDefault="00D22235" w:rsidP="00D22235">
      <w:pPr>
        <w:spacing w:before="1" w:line="180" w:lineRule="exact"/>
        <w:rPr>
          <w:rFonts w:ascii="Times New Roman" w:hAnsi="Times New Roman" w:cs="Times New Roman"/>
          <w:sz w:val="18"/>
          <w:szCs w:val="18"/>
          <w:lang w:val="pl-PL"/>
        </w:rPr>
      </w:pPr>
    </w:p>
    <w:p w14:paraId="386CEBC8" w14:textId="77777777" w:rsidR="00D22235" w:rsidRPr="008F328C" w:rsidRDefault="00D22235" w:rsidP="00D22235">
      <w:pPr>
        <w:pStyle w:val="a3"/>
        <w:rPr>
          <w:lang w:val="pl-PL"/>
        </w:rPr>
      </w:pPr>
      <w:r w:rsidRPr="008F328C">
        <w:rPr>
          <w:rFonts w:eastAsia="Times New Roman"/>
          <w:lang w:val="pl-PL"/>
        </w:rPr>
        <w:t>W badaniach I-IV w RZS wszystkie składniki kryteriów odpowiedzi w skali ACR [liczba bolesnych i obrzękniętych stawów, ocena aktywności choroby i dolegliwości bólowych przez lekarza i przez pacjenta, wskaźnik niepełnosprawności (HAQ) oraz wartości CRP (mg/100 ml)] poprawiły się w tygodniu 24. lub 26. w porównaniu do grupy otrzymującej placebo. W badaniu III w RZS poprawa utrzymywała się do 52. tygodnia włącznie.</w:t>
      </w:r>
    </w:p>
    <w:p w14:paraId="459E2342" w14:textId="77777777" w:rsidR="00D22235" w:rsidRPr="008F328C" w:rsidRDefault="00D22235" w:rsidP="00D22235">
      <w:pPr>
        <w:spacing w:before="13" w:line="240" w:lineRule="exact"/>
        <w:rPr>
          <w:rFonts w:ascii="Times New Roman" w:hAnsi="Times New Roman" w:cs="Times New Roman"/>
          <w:sz w:val="24"/>
          <w:szCs w:val="24"/>
          <w:lang w:val="pl-PL"/>
        </w:rPr>
      </w:pPr>
    </w:p>
    <w:p w14:paraId="5EBB7F61" w14:textId="77777777" w:rsidR="00D22235" w:rsidRPr="008F328C" w:rsidRDefault="00D22235" w:rsidP="00D22235">
      <w:pPr>
        <w:pStyle w:val="a3"/>
        <w:rPr>
          <w:lang w:val="pl-PL"/>
        </w:rPr>
      </w:pPr>
      <w:r w:rsidRPr="008F328C">
        <w:rPr>
          <w:rFonts w:eastAsia="Times New Roman"/>
          <w:lang w:val="pl-PL"/>
        </w:rPr>
        <w:t>W fazie otwartej będącej kontynuacją badania III w RZS, u większości pacjentów wykazujących odpowiedź na leczenie w skali ACR, odpowiedź ta utrzymywała się podczas obserwacji prowadzonej przez okres do 10 lat. Stuczternastu z 207 pacjentów losowo przydzielonych do grupy otrzymującej adalimumab 40 mg co drugi tydzień kontynuowało leczenie przez 5 lat. Spośród nich, u 86 pacjentów (75,4%) stwierdzono odpowiedź 20 w skali ACR, u 72 pacjentów (63,2%) – odpowiedź 50 w skali ACR, a u 41 pacjentów (36%) – odpowiedź 70 w skali ACR. 81 z 207 pacjentów kontynuowało leczenie adalimumabem 40 mg co drugi tydzień przez 10 lat. Spośród nich, u 64 pacjentów (79,0%) stwierdzono odpowiedź 20 w skali ACR, u 56 pacjentów (69,1%) – odpowiedź 50 w skali ACR, a u 43 pacjentów (53,1%) – odpowiedź 70 w skali ACR.</w:t>
      </w:r>
    </w:p>
    <w:p w14:paraId="5A12955D" w14:textId="77777777" w:rsidR="00D22235" w:rsidRPr="008F328C" w:rsidRDefault="00D22235" w:rsidP="00D22235">
      <w:pPr>
        <w:spacing w:before="17" w:line="240" w:lineRule="exact"/>
        <w:rPr>
          <w:rFonts w:ascii="Times New Roman" w:hAnsi="Times New Roman" w:cs="Times New Roman"/>
          <w:sz w:val="24"/>
          <w:szCs w:val="24"/>
          <w:lang w:val="pl-PL"/>
        </w:rPr>
      </w:pPr>
    </w:p>
    <w:p w14:paraId="15F8E48F" w14:textId="77777777" w:rsidR="00D22235" w:rsidRPr="008F328C" w:rsidRDefault="00D22235" w:rsidP="00D22235">
      <w:pPr>
        <w:pStyle w:val="a3"/>
        <w:rPr>
          <w:lang w:val="pl-PL"/>
        </w:rPr>
      </w:pPr>
      <w:r w:rsidRPr="008F328C">
        <w:rPr>
          <w:rFonts w:eastAsia="Times New Roman"/>
          <w:lang w:val="pl-PL"/>
        </w:rPr>
        <w:t>W badaniu IV w RZS odpowiedź 20 w skali ACR u pacjentów leczonych adalimumabem plus standardowe leczenie była istotnie statystycznie lepsza niż u pacjentów otrzymujących placebo plus standardowe leczenie (p &lt; 0,001).</w:t>
      </w:r>
    </w:p>
    <w:p w14:paraId="0864F847" w14:textId="77777777" w:rsidR="00D22235" w:rsidRPr="008F328C" w:rsidRDefault="00D22235" w:rsidP="00D22235">
      <w:pPr>
        <w:spacing w:before="11" w:line="240" w:lineRule="exact"/>
        <w:rPr>
          <w:rFonts w:ascii="Times New Roman" w:hAnsi="Times New Roman" w:cs="Times New Roman"/>
          <w:sz w:val="24"/>
          <w:szCs w:val="24"/>
          <w:lang w:val="pl-PL"/>
        </w:rPr>
      </w:pPr>
    </w:p>
    <w:p w14:paraId="2495635B" w14:textId="77777777" w:rsidR="00D22235" w:rsidRPr="008F328C" w:rsidRDefault="00D22235" w:rsidP="00D22235">
      <w:pPr>
        <w:pStyle w:val="a3"/>
        <w:rPr>
          <w:lang w:val="pl-PL"/>
        </w:rPr>
      </w:pPr>
      <w:r w:rsidRPr="008F328C">
        <w:rPr>
          <w:rFonts w:eastAsia="Times New Roman"/>
          <w:lang w:val="pl-PL"/>
        </w:rPr>
        <w:t>W badaniach I-IV w RZS pacjenci leczeni adalimumabem w porównaniu do grupy otrzymującej placebo osiągnęli statystycznie istotne odpowiedzi 20 i 50 w skali ACR już w tydzień lub dwa tygodnie po rozpoczęciu leczenia.</w:t>
      </w:r>
    </w:p>
    <w:p w14:paraId="1211704E" w14:textId="77777777" w:rsidR="00D22235" w:rsidRPr="008F328C" w:rsidRDefault="00D22235" w:rsidP="00D22235">
      <w:pPr>
        <w:pStyle w:val="a3"/>
        <w:rPr>
          <w:lang w:val="pl-PL"/>
        </w:rPr>
      </w:pPr>
    </w:p>
    <w:p w14:paraId="420E166F" w14:textId="0B45B550" w:rsidR="00D22235" w:rsidRPr="008F328C" w:rsidRDefault="00D22235" w:rsidP="00D22235">
      <w:pPr>
        <w:pStyle w:val="a3"/>
        <w:rPr>
          <w:lang w:val="pl-PL"/>
        </w:rPr>
      </w:pPr>
      <w:r w:rsidRPr="008F328C">
        <w:rPr>
          <w:rFonts w:eastAsia="Times New Roman"/>
          <w:lang w:val="pl-PL"/>
        </w:rPr>
        <w:t xml:space="preserve">W badaniu V w RZS z udziałem pacjentów z wczesnym reumatoidalnym zapaleniem stawów, którym nie podawano wcześniej metotreksatu, leczenie skojarzone adalimumabem i metotreksatem doprowadziło w 52. tygodniu do szybszej i istotnie większej odpowiedzi na leczenie w skali ACR niż metotreksat stosowany w monoterapii i adalimumab w monoterapii. Odpowiedzi te utrzymywały się w 104. tygodniu (patrz Tabela </w:t>
      </w:r>
      <w:r w:rsidR="00745F53">
        <w:rPr>
          <w:rFonts w:eastAsia="Times New Roman"/>
          <w:lang w:val="pl-PL"/>
        </w:rPr>
        <w:t>6</w:t>
      </w:r>
      <w:r w:rsidRPr="008F328C">
        <w:rPr>
          <w:rFonts w:eastAsia="Times New Roman"/>
          <w:lang w:val="pl-PL"/>
        </w:rPr>
        <w:t>).</w:t>
      </w:r>
    </w:p>
    <w:p w14:paraId="317F7FB6" w14:textId="77777777" w:rsidR="00D22235" w:rsidRPr="008F328C" w:rsidRDefault="00D22235" w:rsidP="00D22235">
      <w:pPr>
        <w:pStyle w:val="a3"/>
        <w:jc w:val="center"/>
        <w:rPr>
          <w:b/>
          <w:lang w:val="pl-PL"/>
        </w:rPr>
      </w:pPr>
    </w:p>
    <w:p w14:paraId="0353255D" w14:textId="0C497B48" w:rsidR="00D22235" w:rsidRPr="008F328C" w:rsidRDefault="00D22235" w:rsidP="00D22235">
      <w:pPr>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745F53">
        <w:rPr>
          <w:rFonts w:ascii="Times New Roman" w:eastAsia="Times New Roman" w:hAnsi="Times New Roman" w:cs="Times New Roman"/>
          <w:b/>
          <w:bCs/>
          <w:lang w:val="pl-PL"/>
        </w:rPr>
        <w:t>6</w:t>
      </w:r>
      <w:r w:rsidR="004142DA" w:rsidRPr="008F328C">
        <w:rPr>
          <w:rFonts w:ascii="Times New Roman" w:eastAsia="Times New Roman" w:hAnsi="Times New Roman" w:cs="Times New Roman"/>
          <w:b/>
          <w:bCs/>
          <w:lang w:val="pl-PL"/>
        </w:rPr>
        <w:t>.</w:t>
      </w:r>
    </w:p>
    <w:p w14:paraId="27CD15C3" w14:textId="77777777" w:rsidR="00D22235" w:rsidRPr="008F328C" w:rsidRDefault="00D22235" w:rsidP="00D22235">
      <w:pPr>
        <w:pStyle w:val="a3"/>
        <w:jc w:val="center"/>
        <w:rPr>
          <w:b/>
          <w:lang w:val="pl-PL"/>
        </w:rPr>
      </w:pPr>
      <w:r w:rsidRPr="008F328C">
        <w:rPr>
          <w:rFonts w:eastAsia="Times New Roman"/>
          <w:b/>
          <w:bCs/>
          <w:lang w:val="pl-PL"/>
        </w:rPr>
        <w:t>Odpowiedzi w skali ACR w badaniu V w RZS</w:t>
      </w:r>
    </w:p>
    <w:p w14:paraId="01C89D6E" w14:textId="77777777" w:rsidR="00D22235" w:rsidRPr="008F328C" w:rsidRDefault="00D22235" w:rsidP="00D22235">
      <w:pPr>
        <w:pStyle w:val="a3"/>
        <w:jc w:val="center"/>
        <w:rPr>
          <w:b/>
          <w:lang w:val="pl-PL"/>
        </w:rPr>
      </w:pPr>
      <w:r w:rsidRPr="008F328C">
        <w:rPr>
          <w:rFonts w:eastAsia="Times New Roman"/>
          <w:b/>
          <w:bCs/>
          <w:lang w:val="pl-PL"/>
        </w:rPr>
        <w:t>(odsetek pacjentów)</w:t>
      </w:r>
    </w:p>
    <w:p w14:paraId="084C494D" w14:textId="77777777" w:rsidR="00D22235" w:rsidRPr="008F328C" w:rsidRDefault="00D22235" w:rsidP="00D22235">
      <w:pPr>
        <w:pStyle w:val="a3"/>
        <w:jc w:val="center"/>
        <w:rPr>
          <w:b/>
          <w:lang w:val="pl-PL"/>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D22235" w:rsidRPr="008F328C" w14:paraId="175FBE72" w14:textId="77777777" w:rsidTr="00B17C6A">
        <w:tc>
          <w:tcPr>
            <w:tcW w:w="1366" w:type="dxa"/>
            <w:tcBorders>
              <w:top w:val="single" w:sz="5" w:space="0" w:color="000000"/>
              <w:left w:val="single" w:sz="8" w:space="0" w:color="000000"/>
              <w:bottom w:val="single" w:sz="5" w:space="0" w:color="000000"/>
              <w:right w:val="single" w:sz="5" w:space="0" w:color="000000"/>
            </w:tcBorders>
            <w:vAlign w:val="center"/>
          </w:tcPr>
          <w:p w14:paraId="71A4B543" w14:textId="77777777" w:rsidR="00D22235" w:rsidRPr="008F328C" w:rsidRDefault="00D22235" w:rsidP="00B17C6A">
            <w:pPr>
              <w:pStyle w:val="TableParagraph"/>
              <w:spacing w:line="120" w:lineRule="exact"/>
              <w:jc w:val="center"/>
              <w:rPr>
                <w:rFonts w:ascii="Times New Roman" w:hAnsi="Times New Roman" w:cs="Times New Roman"/>
                <w:sz w:val="12"/>
                <w:szCs w:val="12"/>
                <w:lang w:val="pl-PL"/>
              </w:rPr>
            </w:pPr>
          </w:p>
          <w:p w14:paraId="56CAB534"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Odpowiedź</w:t>
            </w:r>
          </w:p>
        </w:tc>
        <w:tc>
          <w:tcPr>
            <w:tcW w:w="1275" w:type="dxa"/>
            <w:tcBorders>
              <w:top w:val="single" w:sz="5" w:space="0" w:color="000000"/>
              <w:left w:val="single" w:sz="5" w:space="0" w:color="000000"/>
              <w:bottom w:val="single" w:sz="5" w:space="0" w:color="000000"/>
              <w:right w:val="single" w:sz="5" w:space="0" w:color="000000"/>
            </w:tcBorders>
            <w:vAlign w:val="center"/>
          </w:tcPr>
          <w:p w14:paraId="39966FC5" w14:textId="77777777" w:rsidR="00D22235" w:rsidRPr="008F328C" w:rsidRDefault="00D22235" w:rsidP="00B17C6A">
            <w:pPr>
              <w:pStyle w:val="TableParagraph"/>
              <w:spacing w:line="252" w:lineRule="exact"/>
              <w:ind w:firstLine="3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MTX 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5B4AB746" w14:textId="77777777" w:rsidR="00D22235" w:rsidRPr="008F328C" w:rsidRDefault="00D22235" w:rsidP="00B17C6A">
            <w:pPr>
              <w:pStyle w:val="TableParagraph"/>
              <w:spacing w:line="252" w:lineRule="exact"/>
              <w:ind w:hanging="8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5C65E90C" w14:textId="77777777" w:rsidR="00D22235" w:rsidRPr="008F328C" w:rsidRDefault="00D22235" w:rsidP="00B17C6A">
            <w:pPr>
              <w:pStyle w:val="TableParagraph"/>
              <w:spacing w:line="252" w:lineRule="exact"/>
              <w:ind w:hanging="372"/>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      Adalimumab/MTX</w:t>
            </w:r>
          </w:p>
          <w:p w14:paraId="4CAA4B6C" w14:textId="77777777" w:rsidR="00D22235" w:rsidRPr="008F328C" w:rsidRDefault="00D22235" w:rsidP="00B17C6A">
            <w:pPr>
              <w:pStyle w:val="TableParagraph"/>
              <w:spacing w:line="252" w:lineRule="exact"/>
              <w:ind w:hanging="37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3C1C54D0" w14:textId="77777777" w:rsidR="00D22235" w:rsidRPr="008F328C" w:rsidRDefault="00D22235" w:rsidP="00B17C6A">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25EE7C97" w14:textId="77777777" w:rsidR="00D22235" w:rsidRPr="008F328C" w:rsidRDefault="00D22235" w:rsidP="00B17C6A">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492E7C34" w14:textId="77777777" w:rsidR="00D22235" w:rsidRPr="008F328C" w:rsidRDefault="00D22235" w:rsidP="00B17C6A">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c</w:t>
            </w:r>
          </w:p>
        </w:tc>
      </w:tr>
      <w:tr w:rsidR="00D22235" w:rsidRPr="008F328C" w14:paraId="2C4B10B1" w14:textId="77777777" w:rsidTr="00B17C6A">
        <w:tc>
          <w:tcPr>
            <w:tcW w:w="9249" w:type="dxa"/>
            <w:gridSpan w:val="7"/>
            <w:tcBorders>
              <w:top w:val="single" w:sz="5" w:space="0" w:color="000000"/>
              <w:left w:val="single" w:sz="8" w:space="0" w:color="000000"/>
              <w:bottom w:val="single" w:sz="5" w:space="0" w:color="000000"/>
              <w:right w:val="single" w:sz="9" w:space="0" w:color="000000"/>
            </w:tcBorders>
          </w:tcPr>
          <w:p w14:paraId="4F19CFF0" w14:textId="77777777" w:rsidR="00D22235" w:rsidRPr="008F328C" w:rsidRDefault="00D22235" w:rsidP="00B17C6A">
            <w:pPr>
              <w:rPr>
                <w:rFonts w:ascii="Times New Roman" w:hAnsi="Times New Roman" w:cs="Times New Roman"/>
                <w:lang w:val="pl-PL"/>
              </w:rPr>
            </w:pPr>
            <w:r w:rsidRPr="008F328C">
              <w:rPr>
                <w:rFonts w:ascii="Times New Roman" w:eastAsia="Times New Roman" w:hAnsi="Times New Roman" w:cs="Times New Roman"/>
                <w:spacing w:val="-1"/>
                <w:lang w:val="pl-PL"/>
              </w:rPr>
              <w:t>ACR 20</w:t>
            </w:r>
          </w:p>
        </w:tc>
      </w:tr>
      <w:tr w:rsidR="00D22235" w:rsidRPr="008F328C" w14:paraId="7001C007"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56CC1C5C" w14:textId="77777777" w:rsidR="00D22235" w:rsidRPr="008F328C" w:rsidRDefault="00D22235" w:rsidP="00B17C6A">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6F68C8E4"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62,6%</w:t>
            </w:r>
          </w:p>
        </w:tc>
        <w:tc>
          <w:tcPr>
            <w:tcW w:w="1276" w:type="dxa"/>
            <w:tcBorders>
              <w:top w:val="single" w:sz="5" w:space="0" w:color="000000"/>
              <w:left w:val="single" w:sz="5" w:space="0" w:color="000000"/>
              <w:bottom w:val="single" w:sz="5" w:space="0" w:color="000000"/>
              <w:right w:val="single" w:sz="5" w:space="0" w:color="000000"/>
            </w:tcBorders>
          </w:tcPr>
          <w:p w14:paraId="21EFBA02"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54,4%</w:t>
            </w:r>
          </w:p>
        </w:tc>
        <w:tc>
          <w:tcPr>
            <w:tcW w:w="1985" w:type="dxa"/>
            <w:tcBorders>
              <w:top w:val="single" w:sz="5" w:space="0" w:color="000000"/>
              <w:left w:val="single" w:sz="5" w:space="0" w:color="000000"/>
              <w:bottom w:val="single" w:sz="5" w:space="0" w:color="000000"/>
              <w:right w:val="single" w:sz="5" w:space="0" w:color="000000"/>
            </w:tcBorders>
          </w:tcPr>
          <w:p w14:paraId="04BF96DA" w14:textId="77777777" w:rsidR="00D22235" w:rsidRPr="008F328C" w:rsidRDefault="00D22235" w:rsidP="00B17C6A">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72,8%</w:t>
            </w:r>
          </w:p>
        </w:tc>
        <w:tc>
          <w:tcPr>
            <w:tcW w:w="957" w:type="dxa"/>
            <w:tcBorders>
              <w:top w:val="single" w:sz="5" w:space="0" w:color="000000"/>
              <w:left w:val="single" w:sz="5" w:space="0" w:color="000000"/>
              <w:bottom w:val="single" w:sz="5" w:space="0" w:color="000000"/>
              <w:right w:val="single" w:sz="5" w:space="0" w:color="000000"/>
            </w:tcBorders>
          </w:tcPr>
          <w:p w14:paraId="450ADE8B" w14:textId="77777777" w:rsidR="00D22235" w:rsidRPr="008F328C" w:rsidRDefault="00D22235" w:rsidP="00B17C6A">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0,013</w:t>
            </w:r>
          </w:p>
        </w:tc>
        <w:tc>
          <w:tcPr>
            <w:tcW w:w="1174" w:type="dxa"/>
            <w:tcBorders>
              <w:top w:val="single" w:sz="5" w:space="0" w:color="000000"/>
              <w:left w:val="single" w:sz="5" w:space="0" w:color="000000"/>
              <w:bottom w:val="single" w:sz="5" w:space="0" w:color="000000"/>
              <w:right w:val="single" w:sz="5" w:space="0" w:color="000000"/>
            </w:tcBorders>
          </w:tcPr>
          <w:p w14:paraId="4D0860EC" w14:textId="77777777" w:rsidR="00D22235" w:rsidRPr="008F328C" w:rsidRDefault="00D22235" w:rsidP="00B17C6A">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557B2330" w14:textId="77777777" w:rsidR="00D22235" w:rsidRPr="008F328C" w:rsidRDefault="00D22235" w:rsidP="00B17C6A">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0,043</w:t>
            </w:r>
          </w:p>
        </w:tc>
      </w:tr>
      <w:tr w:rsidR="00D22235" w:rsidRPr="008F328C" w14:paraId="3471ABE6"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0E30B359" w14:textId="77777777" w:rsidR="00D22235" w:rsidRPr="008F328C" w:rsidRDefault="00D22235" w:rsidP="00B17C6A">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7D5D18E6"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56,0%</w:t>
            </w:r>
          </w:p>
        </w:tc>
        <w:tc>
          <w:tcPr>
            <w:tcW w:w="1276" w:type="dxa"/>
            <w:tcBorders>
              <w:top w:val="single" w:sz="5" w:space="0" w:color="000000"/>
              <w:left w:val="single" w:sz="5" w:space="0" w:color="000000"/>
              <w:bottom w:val="single" w:sz="5" w:space="0" w:color="000000"/>
              <w:right w:val="single" w:sz="5" w:space="0" w:color="000000"/>
            </w:tcBorders>
          </w:tcPr>
          <w:p w14:paraId="779118E7"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49,3%</w:t>
            </w:r>
          </w:p>
        </w:tc>
        <w:tc>
          <w:tcPr>
            <w:tcW w:w="1985" w:type="dxa"/>
            <w:tcBorders>
              <w:top w:val="single" w:sz="5" w:space="0" w:color="000000"/>
              <w:left w:val="single" w:sz="5" w:space="0" w:color="000000"/>
              <w:bottom w:val="single" w:sz="5" w:space="0" w:color="000000"/>
              <w:right w:val="single" w:sz="5" w:space="0" w:color="000000"/>
            </w:tcBorders>
          </w:tcPr>
          <w:p w14:paraId="14753EBF" w14:textId="77777777" w:rsidR="00D22235" w:rsidRPr="008F328C" w:rsidRDefault="00D22235" w:rsidP="00B17C6A">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69,4%</w:t>
            </w:r>
          </w:p>
        </w:tc>
        <w:tc>
          <w:tcPr>
            <w:tcW w:w="957" w:type="dxa"/>
            <w:tcBorders>
              <w:top w:val="single" w:sz="5" w:space="0" w:color="000000"/>
              <w:left w:val="single" w:sz="5" w:space="0" w:color="000000"/>
              <w:bottom w:val="single" w:sz="5" w:space="0" w:color="000000"/>
              <w:right w:val="single" w:sz="5" w:space="0" w:color="000000"/>
            </w:tcBorders>
          </w:tcPr>
          <w:p w14:paraId="70F4DD5B" w14:textId="77777777" w:rsidR="00D22235" w:rsidRPr="008F328C" w:rsidRDefault="00D22235" w:rsidP="00B17C6A">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c>
          <w:tcPr>
            <w:tcW w:w="1174" w:type="dxa"/>
            <w:tcBorders>
              <w:top w:val="single" w:sz="5" w:space="0" w:color="000000"/>
              <w:left w:val="single" w:sz="5" w:space="0" w:color="000000"/>
              <w:bottom w:val="single" w:sz="5" w:space="0" w:color="000000"/>
              <w:right w:val="single" w:sz="5" w:space="0" w:color="000000"/>
            </w:tcBorders>
          </w:tcPr>
          <w:p w14:paraId="7CDCE032" w14:textId="77777777" w:rsidR="00D22235" w:rsidRPr="008F328C" w:rsidRDefault="00D22235" w:rsidP="00B17C6A">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4091CCFC" w14:textId="77777777" w:rsidR="00D22235" w:rsidRPr="008F328C" w:rsidRDefault="00D22235" w:rsidP="00B17C6A">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0,140</w:t>
            </w:r>
          </w:p>
        </w:tc>
      </w:tr>
      <w:tr w:rsidR="00D22235" w:rsidRPr="008F328C" w14:paraId="2F57BE49" w14:textId="77777777" w:rsidTr="00B17C6A">
        <w:tc>
          <w:tcPr>
            <w:tcW w:w="9249" w:type="dxa"/>
            <w:gridSpan w:val="7"/>
            <w:tcBorders>
              <w:top w:val="single" w:sz="5" w:space="0" w:color="000000"/>
              <w:left w:val="single" w:sz="8" w:space="0" w:color="000000"/>
              <w:bottom w:val="single" w:sz="5" w:space="0" w:color="000000"/>
              <w:right w:val="single" w:sz="9" w:space="0" w:color="000000"/>
            </w:tcBorders>
          </w:tcPr>
          <w:p w14:paraId="07DC73EB" w14:textId="77777777" w:rsidR="00D22235" w:rsidRPr="008F328C" w:rsidRDefault="00D22235" w:rsidP="00B17C6A">
            <w:pPr>
              <w:rPr>
                <w:rFonts w:ascii="Times New Roman" w:hAnsi="Times New Roman" w:cs="Times New Roman"/>
                <w:lang w:val="pl-PL"/>
              </w:rPr>
            </w:pPr>
            <w:r w:rsidRPr="008F328C">
              <w:rPr>
                <w:rFonts w:ascii="Times New Roman" w:eastAsia="Times New Roman" w:hAnsi="Times New Roman" w:cs="Times New Roman"/>
                <w:spacing w:val="-1"/>
                <w:lang w:val="pl-PL"/>
              </w:rPr>
              <w:t>ACR 50</w:t>
            </w:r>
          </w:p>
        </w:tc>
      </w:tr>
      <w:tr w:rsidR="00D22235" w:rsidRPr="008F328C" w14:paraId="19EEB857"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542BCE09" w14:textId="77777777" w:rsidR="00D22235" w:rsidRPr="008F328C" w:rsidRDefault="00D22235" w:rsidP="00B17C6A">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2F8C0F1B" w14:textId="77777777" w:rsidR="00D22235" w:rsidRPr="008F328C" w:rsidRDefault="00D22235" w:rsidP="00B17C6A">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45,9%</w:t>
            </w:r>
          </w:p>
        </w:tc>
        <w:tc>
          <w:tcPr>
            <w:tcW w:w="1276" w:type="dxa"/>
            <w:tcBorders>
              <w:top w:val="single" w:sz="5" w:space="0" w:color="000000"/>
              <w:left w:val="single" w:sz="5" w:space="0" w:color="000000"/>
              <w:bottom w:val="single" w:sz="5" w:space="0" w:color="000000"/>
              <w:right w:val="single" w:sz="5" w:space="0" w:color="000000"/>
            </w:tcBorders>
          </w:tcPr>
          <w:p w14:paraId="2B2C3E80" w14:textId="77777777" w:rsidR="00D22235" w:rsidRPr="008F328C" w:rsidRDefault="00D22235" w:rsidP="00B17C6A">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41,2%</w:t>
            </w:r>
          </w:p>
        </w:tc>
        <w:tc>
          <w:tcPr>
            <w:tcW w:w="1985" w:type="dxa"/>
            <w:tcBorders>
              <w:top w:val="single" w:sz="5" w:space="0" w:color="000000"/>
              <w:left w:val="single" w:sz="5" w:space="0" w:color="000000"/>
              <w:bottom w:val="single" w:sz="5" w:space="0" w:color="000000"/>
              <w:right w:val="single" w:sz="5" w:space="0" w:color="000000"/>
            </w:tcBorders>
          </w:tcPr>
          <w:p w14:paraId="5B66771C" w14:textId="77777777" w:rsidR="00D22235" w:rsidRPr="008F328C" w:rsidRDefault="00D22235" w:rsidP="00B17C6A">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61,6%</w:t>
            </w:r>
          </w:p>
        </w:tc>
        <w:tc>
          <w:tcPr>
            <w:tcW w:w="957" w:type="dxa"/>
            <w:tcBorders>
              <w:top w:val="single" w:sz="5" w:space="0" w:color="000000"/>
              <w:left w:val="single" w:sz="5" w:space="0" w:color="000000"/>
              <w:bottom w:val="single" w:sz="5" w:space="0" w:color="000000"/>
              <w:right w:val="single" w:sz="5" w:space="0" w:color="000000"/>
            </w:tcBorders>
          </w:tcPr>
          <w:p w14:paraId="04F4595F" w14:textId="77777777" w:rsidR="00D22235" w:rsidRPr="008F328C" w:rsidRDefault="00D22235" w:rsidP="00B17C6A">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2D155014" w14:textId="77777777" w:rsidR="00D22235" w:rsidRPr="008F328C" w:rsidRDefault="00D22235" w:rsidP="00B17C6A">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25ADDC72" w14:textId="77777777" w:rsidR="00D22235" w:rsidRPr="008F328C" w:rsidRDefault="00D22235" w:rsidP="00B17C6A">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0,317</w:t>
            </w:r>
          </w:p>
        </w:tc>
      </w:tr>
      <w:tr w:rsidR="00D22235" w:rsidRPr="008F328C" w14:paraId="3C6FBF42"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76229A8C" w14:textId="77777777" w:rsidR="00D22235" w:rsidRPr="008F328C" w:rsidRDefault="00D22235" w:rsidP="00B17C6A">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288FEEDD" w14:textId="77777777" w:rsidR="00D22235" w:rsidRPr="008F328C" w:rsidRDefault="00D22235" w:rsidP="00B17C6A">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42,8%</w:t>
            </w:r>
          </w:p>
        </w:tc>
        <w:tc>
          <w:tcPr>
            <w:tcW w:w="1276" w:type="dxa"/>
            <w:tcBorders>
              <w:top w:val="single" w:sz="5" w:space="0" w:color="000000"/>
              <w:left w:val="single" w:sz="5" w:space="0" w:color="000000"/>
              <w:bottom w:val="single" w:sz="5" w:space="0" w:color="000000"/>
              <w:right w:val="single" w:sz="5" w:space="0" w:color="000000"/>
            </w:tcBorders>
          </w:tcPr>
          <w:p w14:paraId="34CB4D75" w14:textId="77777777" w:rsidR="00D22235" w:rsidRPr="008F328C" w:rsidRDefault="00D22235" w:rsidP="00B17C6A">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36,9%</w:t>
            </w:r>
          </w:p>
        </w:tc>
        <w:tc>
          <w:tcPr>
            <w:tcW w:w="1985" w:type="dxa"/>
            <w:tcBorders>
              <w:top w:val="single" w:sz="5" w:space="0" w:color="000000"/>
              <w:left w:val="single" w:sz="5" w:space="0" w:color="000000"/>
              <w:bottom w:val="single" w:sz="5" w:space="0" w:color="000000"/>
              <w:right w:val="single" w:sz="5" w:space="0" w:color="000000"/>
            </w:tcBorders>
          </w:tcPr>
          <w:p w14:paraId="76674BAE" w14:textId="77777777" w:rsidR="00D22235" w:rsidRPr="008F328C" w:rsidRDefault="00D22235" w:rsidP="00B17C6A">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59,0%</w:t>
            </w:r>
          </w:p>
        </w:tc>
        <w:tc>
          <w:tcPr>
            <w:tcW w:w="957" w:type="dxa"/>
            <w:tcBorders>
              <w:top w:val="single" w:sz="5" w:space="0" w:color="000000"/>
              <w:left w:val="single" w:sz="5" w:space="0" w:color="000000"/>
              <w:bottom w:val="single" w:sz="5" w:space="0" w:color="000000"/>
              <w:right w:val="single" w:sz="5" w:space="0" w:color="000000"/>
            </w:tcBorders>
          </w:tcPr>
          <w:p w14:paraId="73CF4BAB" w14:textId="77777777" w:rsidR="00D22235" w:rsidRPr="008F328C" w:rsidRDefault="00D22235" w:rsidP="00B17C6A">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7296C9E4" w14:textId="77777777" w:rsidR="00D22235" w:rsidRPr="008F328C" w:rsidRDefault="00D22235" w:rsidP="00B17C6A">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1DCC29E4" w14:textId="77777777" w:rsidR="00D22235" w:rsidRPr="008F328C" w:rsidRDefault="00D22235" w:rsidP="00B17C6A">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0,162</w:t>
            </w:r>
          </w:p>
        </w:tc>
      </w:tr>
      <w:tr w:rsidR="00D22235" w:rsidRPr="008F328C" w14:paraId="471D2505" w14:textId="77777777" w:rsidTr="00B17C6A">
        <w:tc>
          <w:tcPr>
            <w:tcW w:w="9249" w:type="dxa"/>
            <w:gridSpan w:val="7"/>
            <w:tcBorders>
              <w:top w:val="single" w:sz="5" w:space="0" w:color="000000"/>
              <w:left w:val="single" w:sz="8" w:space="0" w:color="000000"/>
              <w:bottom w:val="single" w:sz="5" w:space="0" w:color="000000"/>
              <w:right w:val="single" w:sz="9" w:space="0" w:color="000000"/>
            </w:tcBorders>
          </w:tcPr>
          <w:p w14:paraId="26091FFE" w14:textId="77777777" w:rsidR="00D22235" w:rsidRPr="008F328C" w:rsidRDefault="00D22235" w:rsidP="00B17C6A">
            <w:pPr>
              <w:rPr>
                <w:rFonts w:ascii="Times New Roman" w:hAnsi="Times New Roman" w:cs="Times New Roman"/>
                <w:lang w:val="pl-PL"/>
              </w:rPr>
            </w:pPr>
            <w:r w:rsidRPr="008F328C">
              <w:rPr>
                <w:rFonts w:ascii="Times New Roman" w:eastAsia="Times New Roman" w:hAnsi="Times New Roman" w:cs="Times New Roman"/>
                <w:spacing w:val="-1"/>
                <w:lang w:val="pl-PL"/>
              </w:rPr>
              <w:t>ACR 70</w:t>
            </w:r>
          </w:p>
        </w:tc>
      </w:tr>
      <w:tr w:rsidR="00D22235" w:rsidRPr="008F328C" w14:paraId="3058A980"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4422112D" w14:textId="77777777" w:rsidR="00D22235" w:rsidRPr="008F328C" w:rsidRDefault="00D22235" w:rsidP="00B17C6A">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52. tydzień</w:t>
            </w:r>
          </w:p>
        </w:tc>
        <w:tc>
          <w:tcPr>
            <w:tcW w:w="1275" w:type="dxa"/>
            <w:tcBorders>
              <w:top w:val="single" w:sz="5" w:space="0" w:color="000000"/>
              <w:left w:val="single" w:sz="5" w:space="0" w:color="000000"/>
              <w:bottom w:val="single" w:sz="5" w:space="0" w:color="000000"/>
              <w:right w:val="single" w:sz="5" w:space="0" w:color="000000"/>
            </w:tcBorders>
          </w:tcPr>
          <w:p w14:paraId="69F9B573"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27,2%</w:t>
            </w:r>
          </w:p>
        </w:tc>
        <w:tc>
          <w:tcPr>
            <w:tcW w:w="1276" w:type="dxa"/>
            <w:tcBorders>
              <w:top w:val="single" w:sz="5" w:space="0" w:color="000000"/>
              <w:left w:val="single" w:sz="5" w:space="0" w:color="000000"/>
              <w:bottom w:val="single" w:sz="5" w:space="0" w:color="000000"/>
              <w:right w:val="single" w:sz="5" w:space="0" w:color="000000"/>
            </w:tcBorders>
          </w:tcPr>
          <w:p w14:paraId="2BB2EF45"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25,9%</w:t>
            </w:r>
          </w:p>
        </w:tc>
        <w:tc>
          <w:tcPr>
            <w:tcW w:w="1985" w:type="dxa"/>
            <w:tcBorders>
              <w:top w:val="single" w:sz="5" w:space="0" w:color="000000"/>
              <w:left w:val="single" w:sz="5" w:space="0" w:color="000000"/>
              <w:bottom w:val="single" w:sz="5" w:space="0" w:color="000000"/>
              <w:right w:val="single" w:sz="5" w:space="0" w:color="000000"/>
            </w:tcBorders>
          </w:tcPr>
          <w:p w14:paraId="0A91F287" w14:textId="77777777" w:rsidR="00D22235" w:rsidRPr="008F328C" w:rsidRDefault="00D22235" w:rsidP="00B17C6A">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45,5%</w:t>
            </w:r>
          </w:p>
        </w:tc>
        <w:tc>
          <w:tcPr>
            <w:tcW w:w="957" w:type="dxa"/>
            <w:tcBorders>
              <w:top w:val="single" w:sz="5" w:space="0" w:color="000000"/>
              <w:left w:val="single" w:sz="5" w:space="0" w:color="000000"/>
              <w:bottom w:val="single" w:sz="5" w:space="0" w:color="000000"/>
              <w:right w:val="single" w:sz="5" w:space="0" w:color="000000"/>
            </w:tcBorders>
          </w:tcPr>
          <w:p w14:paraId="1C11CAF6" w14:textId="77777777" w:rsidR="00D22235" w:rsidRPr="008F328C" w:rsidRDefault="00D22235" w:rsidP="00B17C6A">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71A3EF65" w14:textId="77777777" w:rsidR="00D22235" w:rsidRPr="008F328C" w:rsidRDefault="00D22235" w:rsidP="00B17C6A">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923E017" w14:textId="77777777" w:rsidR="00D22235" w:rsidRPr="008F328C" w:rsidRDefault="00D22235" w:rsidP="00B17C6A">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0,656</w:t>
            </w:r>
          </w:p>
        </w:tc>
      </w:tr>
      <w:tr w:rsidR="00D22235" w:rsidRPr="008F328C" w14:paraId="256AEF26" w14:textId="77777777" w:rsidTr="00B17C6A">
        <w:tc>
          <w:tcPr>
            <w:tcW w:w="1366" w:type="dxa"/>
            <w:tcBorders>
              <w:top w:val="single" w:sz="5" w:space="0" w:color="000000"/>
              <w:left w:val="single" w:sz="8" w:space="0" w:color="000000"/>
              <w:bottom w:val="single" w:sz="5" w:space="0" w:color="000000"/>
              <w:right w:val="single" w:sz="5" w:space="0" w:color="000000"/>
            </w:tcBorders>
          </w:tcPr>
          <w:p w14:paraId="546B507E" w14:textId="77777777" w:rsidR="00D22235" w:rsidRPr="008F328C" w:rsidRDefault="00D22235" w:rsidP="00B17C6A">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33FBC612"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276" w:type="dxa"/>
            <w:tcBorders>
              <w:top w:val="single" w:sz="5" w:space="0" w:color="000000"/>
              <w:left w:val="single" w:sz="5" w:space="0" w:color="000000"/>
              <w:bottom w:val="single" w:sz="5" w:space="0" w:color="000000"/>
              <w:right w:val="single" w:sz="5" w:space="0" w:color="000000"/>
            </w:tcBorders>
          </w:tcPr>
          <w:p w14:paraId="5CEA6147" w14:textId="77777777" w:rsidR="00D22235" w:rsidRPr="008F328C" w:rsidRDefault="00D22235" w:rsidP="00B17C6A">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28,1%</w:t>
            </w:r>
          </w:p>
        </w:tc>
        <w:tc>
          <w:tcPr>
            <w:tcW w:w="1985" w:type="dxa"/>
            <w:tcBorders>
              <w:top w:val="single" w:sz="5" w:space="0" w:color="000000"/>
              <w:left w:val="single" w:sz="5" w:space="0" w:color="000000"/>
              <w:bottom w:val="single" w:sz="5" w:space="0" w:color="000000"/>
              <w:right w:val="single" w:sz="5" w:space="0" w:color="000000"/>
            </w:tcBorders>
          </w:tcPr>
          <w:p w14:paraId="26A2B83C" w14:textId="77777777" w:rsidR="00D22235" w:rsidRPr="008F328C" w:rsidRDefault="00D22235" w:rsidP="00B17C6A">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46,6%</w:t>
            </w:r>
          </w:p>
        </w:tc>
        <w:tc>
          <w:tcPr>
            <w:tcW w:w="957" w:type="dxa"/>
            <w:tcBorders>
              <w:top w:val="single" w:sz="5" w:space="0" w:color="000000"/>
              <w:left w:val="single" w:sz="5" w:space="0" w:color="000000"/>
              <w:bottom w:val="single" w:sz="5" w:space="0" w:color="000000"/>
              <w:right w:val="single" w:sz="5" w:space="0" w:color="000000"/>
            </w:tcBorders>
          </w:tcPr>
          <w:p w14:paraId="4B82AEA9" w14:textId="77777777" w:rsidR="00D22235" w:rsidRPr="008F328C" w:rsidRDefault="00D22235" w:rsidP="00B17C6A">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6F737391" w14:textId="77777777" w:rsidR="00D22235" w:rsidRPr="008F328C" w:rsidRDefault="00D22235" w:rsidP="00B17C6A">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B256A47" w14:textId="77777777" w:rsidR="00D22235" w:rsidRPr="008F328C" w:rsidRDefault="00D22235" w:rsidP="00B17C6A">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0,864</w:t>
            </w:r>
          </w:p>
        </w:tc>
      </w:tr>
    </w:tbl>
    <w:p w14:paraId="126557FA" w14:textId="77777777" w:rsidR="00D22235" w:rsidRPr="008F328C" w:rsidRDefault="00D22235" w:rsidP="00D22235">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54ECDD1F" w14:textId="77777777" w:rsidR="00D22235" w:rsidRPr="008F328C" w:rsidRDefault="00D22235" w:rsidP="00D22235">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1DEBDD28" w14:textId="77777777" w:rsidR="00D22235" w:rsidRPr="008F328C" w:rsidRDefault="00D22235" w:rsidP="00D22235">
      <w:pPr>
        <w:pStyle w:val="a3"/>
        <w:rPr>
          <w:sz w:val="17"/>
          <w:szCs w:val="17"/>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7C901AC6" w14:textId="77777777" w:rsidR="00D22235" w:rsidRPr="008F328C" w:rsidRDefault="00D22235" w:rsidP="00D22235">
      <w:pPr>
        <w:spacing w:before="5" w:line="170" w:lineRule="exact"/>
        <w:rPr>
          <w:rFonts w:ascii="Times New Roman" w:hAnsi="Times New Roman" w:cs="Times New Roman"/>
          <w:sz w:val="17"/>
          <w:szCs w:val="17"/>
          <w:lang w:val="pl-PL"/>
        </w:rPr>
      </w:pPr>
    </w:p>
    <w:p w14:paraId="3F601691" w14:textId="77777777" w:rsidR="00D22235" w:rsidRPr="008F328C" w:rsidRDefault="00D22235" w:rsidP="00D22235">
      <w:pPr>
        <w:pStyle w:val="a3"/>
        <w:rPr>
          <w:lang w:val="pl-PL"/>
        </w:rPr>
      </w:pPr>
      <w:r w:rsidRPr="008F328C">
        <w:rPr>
          <w:rFonts w:eastAsia="Times New Roman"/>
          <w:lang w:val="pl-PL"/>
        </w:rPr>
        <w:t>W fazie otwartej, będącej kontynuacją badania V w RZS, odsetki odpowiedzi na leczenie w skali ACR utrzymywały się, gdy leczenie kontynuowano przez okres do 10 lat. Z 542 pacjentów, którym losowo przydzielono leczenie adalimumabem 40 mg co drugi tydzień, 170 pacjentów kontynuowało leczenie adalimumabem 40 mg co drugi tydzień przez 10 lat. Z tych pacjentów, 154 pacjentów (90,6%) wykazało odpowiedź 20 w skali ACR, 127 pacjentów (74,7%) wykazało odpowiedź 50 w skali ACR i 102 pacjentów (60%) wykazało odpowiedź 70 w skali ACR.</w:t>
      </w:r>
    </w:p>
    <w:p w14:paraId="644E7D3C" w14:textId="77777777" w:rsidR="00D22235" w:rsidRPr="008F328C" w:rsidRDefault="00D22235" w:rsidP="00D22235">
      <w:pPr>
        <w:spacing w:before="13" w:line="240" w:lineRule="exact"/>
        <w:rPr>
          <w:rFonts w:ascii="Times New Roman" w:hAnsi="Times New Roman" w:cs="Times New Roman"/>
          <w:sz w:val="24"/>
          <w:szCs w:val="24"/>
          <w:lang w:val="pl-PL"/>
        </w:rPr>
      </w:pPr>
    </w:p>
    <w:p w14:paraId="3227485B" w14:textId="77777777" w:rsidR="00D22235" w:rsidRPr="008F328C" w:rsidRDefault="00D22235" w:rsidP="00D22235">
      <w:pPr>
        <w:pStyle w:val="a3"/>
        <w:rPr>
          <w:lang w:val="pl-PL"/>
        </w:rPr>
      </w:pPr>
      <w:r w:rsidRPr="008F328C">
        <w:rPr>
          <w:rFonts w:eastAsia="Times New Roman"/>
          <w:lang w:val="pl-PL"/>
        </w:rPr>
        <w:t>W 52. tygodniu, 42,9% pacjentów, którzy otrzymywali leczenie skojarzone adalimumabem i metotreksatem, osiągnęło stan remisji klinicznej [DAS28 (CRP) &lt; 2,6] w porównaniu do 20,6% pacjentów, którzy otrzymywali metotreksat w monoterapii i 23,4% pacjentów, którzy otrzymywali adalimumab w monoterapii. Leczenie skojarzone adalimumabem i metotreksatem przewyższało pod względem klinicznym i statystycznym stosowanie metotreksatu (p &lt; 0,001) i adalimumabu w monoterapii (p &lt; 0,001) w odniesieniu do uzyskania małej aktywności choroby u pacjentów z niedawno rozpoznanym umiarkowanym do ciężkiego reumatoidalnym zapaleniem stawów.  Odpowiedź na obydwa rodzaje monoterapii była podobna (p = 0,447). Z 342 uczestników badania, którym pierwotnie przydzielono leczenie adalimumabem w monoterapii lub leczenie skojarzone adalimumabem i metotreksatem, a następnie włączono ich do otwartego badania kontynuacyjnego, 171 uczestników zakończyło trwające 10 lat leczenie adalimumabem. Spośród nich, jak poinformowano, 109 (63,7%) uczestników pozostawało w fazie remisji po 10 latach.</w:t>
      </w:r>
    </w:p>
    <w:p w14:paraId="280F9191" w14:textId="77777777" w:rsidR="00D22235" w:rsidRPr="008F328C" w:rsidRDefault="00D22235" w:rsidP="00D22235">
      <w:pPr>
        <w:pStyle w:val="a3"/>
        <w:rPr>
          <w:lang w:val="pl-PL"/>
        </w:rPr>
      </w:pPr>
    </w:p>
    <w:p w14:paraId="78503E97"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Odpowiedź radiologiczna</w:t>
      </w:r>
    </w:p>
    <w:p w14:paraId="397E1BAB" w14:textId="77777777" w:rsidR="00D22235" w:rsidRPr="008F328C" w:rsidRDefault="00D22235" w:rsidP="00D22235">
      <w:pPr>
        <w:pStyle w:val="a3"/>
        <w:rPr>
          <w:sz w:val="18"/>
          <w:szCs w:val="18"/>
          <w:lang w:val="pl-PL"/>
        </w:rPr>
      </w:pPr>
    </w:p>
    <w:p w14:paraId="35F84FDB" w14:textId="7A0B3BFD" w:rsidR="00D22235" w:rsidRPr="008F328C" w:rsidRDefault="00D22235" w:rsidP="00D22235">
      <w:pPr>
        <w:pStyle w:val="a3"/>
        <w:rPr>
          <w:lang w:val="pl-PL"/>
        </w:rPr>
      </w:pPr>
      <w:r w:rsidRPr="008F328C">
        <w:rPr>
          <w:rFonts w:eastAsia="Times New Roman"/>
          <w:lang w:val="pl-PL"/>
        </w:rPr>
        <w:t xml:space="preserve">W badaniu III w RZS, w którym średni czas trwania reumatoidalnego zapalenia stawów u pacjentów leczonych adalimumabem wynosił około 11 lat, strukturalne uszkodzenie stawów oceniano radiologicznie i opisywano jako zmianę w zmodyfikowanej całkowitej skali Sharpa (ang. Total Sharp Score, TSS) i jej składnikach, skali oceny nadżerek oraz skali oceny zwężenia szpar stawowych. Po 6 i 12 miesiącach pacjenci leczeni adalimumabem i metotreksatem wykazali w badaniu radiologicznym istotnie mniejszy postęp zmian niż pacjenci otrzymujący wyłącznie metotreksat (patrz Tabela </w:t>
      </w:r>
      <w:r w:rsidR="00745F53">
        <w:rPr>
          <w:rFonts w:eastAsia="Times New Roman"/>
          <w:lang w:val="pl-PL"/>
        </w:rPr>
        <w:t>7</w:t>
      </w:r>
      <w:r w:rsidRPr="008F328C">
        <w:rPr>
          <w:rFonts w:eastAsia="Times New Roman"/>
          <w:lang w:val="pl-PL"/>
        </w:rPr>
        <w:t>).</w:t>
      </w:r>
    </w:p>
    <w:p w14:paraId="121C4B25" w14:textId="77777777" w:rsidR="00D22235" w:rsidRPr="008F328C" w:rsidRDefault="00D22235" w:rsidP="00D22235">
      <w:pPr>
        <w:pStyle w:val="a3"/>
        <w:rPr>
          <w:lang w:val="pl-PL"/>
        </w:rPr>
      </w:pPr>
    </w:p>
    <w:p w14:paraId="627B81F6" w14:textId="77777777" w:rsidR="00D22235" w:rsidRPr="008F328C" w:rsidRDefault="00D22235" w:rsidP="00D22235">
      <w:pPr>
        <w:pStyle w:val="a3"/>
        <w:rPr>
          <w:lang w:val="pl-PL"/>
        </w:rPr>
      </w:pPr>
      <w:r w:rsidRPr="008F328C">
        <w:rPr>
          <w:rFonts w:eastAsia="Times New Roman"/>
          <w:lang w:val="pl-PL"/>
        </w:rPr>
        <w:t>W fazie otwartej, będącej kontynuacją badania III w RZS zmniejszenie szybkości postępu uszkodzenia strukturalnego utrzymywało się przez 8 i 10 lat w tej podgrupie pacjentów. Po 8 latach, 81 z 207 pacjentów pierwotnie leczonych adalimumabem 40 mg co drugi tydzień oceniano radiologicznie. Spośród tych pacjentów 48 nie wykazało postępu uszkodzenia strukturalnego, co definiowano jako zmianę w stosunku do wartości wyjściowej w zmodyfikowanej całkowitej skali Sharpa (mTSS) wynoszącą 0,5 lub mniej. Po 10 latach, 79 z 207 pacjentów pierwotnie leczonych adalimumabem 40 mg co drugi tydzień oceniano radiologicznie. Spośród tych pacjentów 40 nie wykazało postępu uszkodzenia strukturalnego, co definiowano jako zmianę w stosunku do wartości wyjściowej w zmodyfikowanej całkowitej skali Sharpa (mTSS) wynoszącą 0,5 lub mniej.</w:t>
      </w:r>
    </w:p>
    <w:p w14:paraId="3735AB0F" w14:textId="77777777" w:rsidR="00D22235" w:rsidRPr="008F328C" w:rsidRDefault="00D22235" w:rsidP="00D22235">
      <w:pPr>
        <w:spacing w:before="18" w:line="240" w:lineRule="exact"/>
        <w:rPr>
          <w:rFonts w:ascii="Times New Roman" w:hAnsi="Times New Roman" w:cs="Times New Roman"/>
          <w:sz w:val="24"/>
          <w:szCs w:val="24"/>
          <w:lang w:val="pl-PL"/>
        </w:rPr>
      </w:pPr>
    </w:p>
    <w:p w14:paraId="20F03F7C" w14:textId="1C095A04" w:rsidR="00D22235" w:rsidRPr="008F328C" w:rsidRDefault="00D22235" w:rsidP="00D22235">
      <w:pPr>
        <w:pStyle w:val="a3"/>
        <w:jc w:val="center"/>
        <w:rPr>
          <w:b/>
          <w:lang w:val="pl-PL"/>
        </w:rPr>
      </w:pPr>
      <w:r w:rsidRPr="008F328C">
        <w:rPr>
          <w:rFonts w:eastAsia="Times New Roman"/>
          <w:b/>
          <w:bCs/>
          <w:lang w:val="pl-PL"/>
        </w:rPr>
        <w:t xml:space="preserve">Tabela </w:t>
      </w:r>
      <w:r w:rsidR="00745F53">
        <w:rPr>
          <w:rFonts w:eastAsia="Times New Roman"/>
          <w:b/>
          <w:bCs/>
          <w:lang w:val="pl-PL"/>
        </w:rPr>
        <w:t>7</w:t>
      </w:r>
      <w:r w:rsidR="004142DA" w:rsidRPr="008F328C">
        <w:rPr>
          <w:rFonts w:eastAsia="Times New Roman"/>
          <w:b/>
          <w:bCs/>
          <w:lang w:val="pl-PL"/>
        </w:rPr>
        <w:t>.</w:t>
      </w:r>
    </w:p>
    <w:p w14:paraId="3BC03424" w14:textId="77777777" w:rsidR="00D22235" w:rsidRPr="008F328C" w:rsidRDefault="00D22235" w:rsidP="00D22235">
      <w:pPr>
        <w:pStyle w:val="a3"/>
        <w:jc w:val="center"/>
        <w:rPr>
          <w:b/>
          <w:lang w:val="pl-PL"/>
        </w:rPr>
      </w:pPr>
      <w:r w:rsidRPr="008F328C">
        <w:rPr>
          <w:rFonts w:eastAsia="Times New Roman"/>
          <w:b/>
          <w:bCs/>
          <w:lang w:val="pl-PL"/>
        </w:rPr>
        <w:t>Średnie zmiany w badaniu radiologicznym w okresie 12 miesięcy w badaniu III w RZS</w:t>
      </w:r>
    </w:p>
    <w:p w14:paraId="579D167A" w14:textId="77777777" w:rsidR="00D22235" w:rsidRPr="008F328C" w:rsidRDefault="00D22235" w:rsidP="00D22235">
      <w:pPr>
        <w:spacing w:before="14" w:line="240" w:lineRule="exact"/>
        <w:rPr>
          <w:rFonts w:ascii="Times New Roman" w:hAnsi="Times New Roman" w:cs="Times New Roman"/>
          <w:sz w:val="24"/>
          <w:szCs w:val="24"/>
          <w:lang w:val="pl-PL"/>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D22235" w:rsidRPr="008F328C" w14:paraId="0F537A14" w14:textId="77777777" w:rsidTr="00B17C6A">
        <w:tc>
          <w:tcPr>
            <w:tcW w:w="2088" w:type="dxa"/>
            <w:tcBorders>
              <w:top w:val="single" w:sz="5" w:space="0" w:color="000000"/>
              <w:left w:val="single" w:sz="5" w:space="0" w:color="000000"/>
              <w:bottom w:val="single" w:sz="5" w:space="0" w:color="000000"/>
              <w:right w:val="single" w:sz="5" w:space="0" w:color="000000"/>
            </w:tcBorders>
            <w:vAlign w:val="center"/>
          </w:tcPr>
          <w:p w14:paraId="40743883" w14:textId="77777777" w:rsidR="00D22235" w:rsidRPr="008F328C" w:rsidRDefault="00D22235" w:rsidP="00B17C6A">
            <w:pPr>
              <w:jc w:val="center"/>
              <w:rPr>
                <w:rFonts w:ascii="Times New Roman" w:hAnsi="Times New Roman" w:cs="Times New Roman"/>
                <w:lang w:val="pl-PL"/>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45A8CC89"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77BB8087" w14:textId="77777777" w:rsidR="00D22235" w:rsidRPr="008F328C" w:rsidRDefault="00D22235" w:rsidP="00B17C6A">
            <w:pPr>
              <w:pStyle w:val="TableParagraph"/>
              <w:spacing w:line="254"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vertAlign w:val="superscript"/>
                <w:lang w:val="pl-PL"/>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6F3EB64C"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53E47A2B" w14:textId="77777777" w:rsidR="00D22235" w:rsidRPr="008F328C" w:rsidRDefault="00D22235" w:rsidP="00B17C6A">
            <w:pPr>
              <w:pStyle w:val="TableParagraph"/>
              <w:spacing w:line="252" w:lineRule="exact"/>
              <w:ind w:hanging="6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w:t>
            </w:r>
            <w:r w:rsidRPr="008F328C">
              <w:rPr>
                <w:rFonts w:ascii="Times New Roman" w:eastAsia="Times New Roman" w:hAnsi="Times New Roman" w:cs="Times New Roman"/>
                <w:lang w:val="pl-PL"/>
              </w:rPr>
              <w:lastRenderedPageBreak/>
              <w:t>tydzień</w:t>
            </w:r>
          </w:p>
        </w:tc>
        <w:tc>
          <w:tcPr>
            <w:tcW w:w="1999" w:type="dxa"/>
            <w:tcBorders>
              <w:top w:val="single" w:sz="5" w:space="0" w:color="000000"/>
              <w:left w:val="single" w:sz="5" w:space="0" w:color="000000"/>
              <w:bottom w:val="single" w:sz="5" w:space="0" w:color="000000"/>
              <w:right w:val="single" w:sz="5" w:space="0" w:color="000000"/>
            </w:tcBorders>
            <w:vAlign w:val="center"/>
          </w:tcPr>
          <w:p w14:paraId="7F2FA77F"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Placebo/MTX</w:t>
            </w:r>
          </w:p>
          <w:p w14:paraId="6239B835" w14:textId="77777777" w:rsidR="00D22235" w:rsidRPr="008F328C" w:rsidRDefault="00D22235" w:rsidP="00B17C6A">
            <w:pPr>
              <w:pStyle w:val="TableParagraph"/>
              <w:spacing w:line="237" w:lineRule="auto"/>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adalimumab/MTX </w:t>
            </w:r>
            <w:r w:rsidRPr="008F328C">
              <w:rPr>
                <w:rFonts w:ascii="Times New Roman" w:eastAsia="Times New Roman" w:hAnsi="Times New Roman" w:cs="Times New Roman"/>
                <w:spacing w:val="-1"/>
                <w:lang w:val="pl-PL"/>
              </w:rPr>
              <w:lastRenderedPageBreak/>
              <w:t>(95% przedział ufności</w:t>
            </w:r>
            <w:r w:rsidRPr="008F328C">
              <w:rPr>
                <w:rFonts w:ascii="Times New Roman" w:eastAsia="Times New Roman" w:hAnsi="Times New Roman" w:cs="Times New Roman"/>
                <w:spacing w:val="-1"/>
                <w:vertAlign w:val="superscript"/>
                <w:lang w:val="pl-PL"/>
              </w:rPr>
              <w:t>b</w:t>
            </w:r>
            <w:r w:rsidRPr="008F328C">
              <w:rPr>
                <w:rFonts w:ascii="Times New Roman" w:eastAsia="Times New Roman" w:hAnsi="Times New Roman" w:cs="Times New Roman"/>
                <w:spacing w:val="-1"/>
                <w:lang w:val="pl-PL"/>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5B5CB9DF"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Wartość p</w:t>
            </w:r>
          </w:p>
        </w:tc>
      </w:tr>
      <w:tr w:rsidR="00D22235" w:rsidRPr="008F328C" w14:paraId="63C1B8E3" w14:textId="77777777" w:rsidTr="00B17C6A">
        <w:tc>
          <w:tcPr>
            <w:tcW w:w="2088" w:type="dxa"/>
            <w:tcBorders>
              <w:top w:val="single" w:sz="5" w:space="0" w:color="000000"/>
              <w:left w:val="single" w:sz="5" w:space="0" w:color="000000"/>
              <w:bottom w:val="single" w:sz="5" w:space="0" w:color="000000"/>
              <w:right w:val="single" w:sz="5" w:space="0" w:color="000000"/>
            </w:tcBorders>
          </w:tcPr>
          <w:p w14:paraId="107F117B"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Całkowita skala Sharpa</w:t>
            </w:r>
          </w:p>
        </w:tc>
        <w:tc>
          <w:tcPr>
            <w:tcW w:w="1430" w:type="dxa"/>
            <w:tcBorders>
              <w:top w:val="single" w:sz="5" w:space="0" w:color="000000"/>
              <w:left w:val="single" w:sz="5" w:space="0" w:color="000000"/>
              <w:bottom w:val="single" w:sz="5" w:space="0" w:color="000000"/>
              <w:right w:val="single" w:sz="5" w:space="0" w:color="000000"/>
            </w:tcBorders>
          </w:tcPr>
          <w:p w14:paraId="75CE68B5" w14:textId="77777777" w:rsidR="00D22235" w:rsidRPr="008F328C" w:rsidRDefault="00D22235" w:rsidP="00B17C6A">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790" w:type="dxa"/>
            <w:tcBorders>
              <w:top w:val="single" w:sz="5" w:space="0" w:color="000000"/>
              <w:left w:val="single" w:sz="5" w:space="0" w:color="000000"/>
              <w:bottom w:val="single" w:sz="5" w:space="0" w:color="000000"/>
              <w:right w:val="single" w:sz="5" w:space="0" w:color="000000"/>
            </w:tcBorders>
          </w:tcPr>
          <w:p w14:paraId="0A93DD78" w14:textId="77777777" w:rsidR="00D22235" w:rsidRPr="008F328C" w:rsidRDefault="00D22235" w:rsidP="00B17C6A">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65A405DB" w14:textId="77777777" w:rsidR="00D22235" w:rsidRPr="008F328C" w:rsidRDefault="00D22235" w:rsidP="00B17C6A">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(1,4, 3,8)</w:t>
            </w:r>
          </w:p>
        </w:tc>
        <w:tc>
          <w:tcPr>
            <w:tcW w:w="1548" w:type="dxa"/>
            <w:tcBorders>
              <w:top w:val="single" w:sz="5" w:space="0" w:color="000000"/>
              <w:left w:val="single" w:sz="5" w:space="0" w:color="000000"/>
              <w:bottom w:val="single" w:sz="5" w:space="0" w:color="000000"/>
              <w:right w:val="single" w:sz="5" w:space="0" w:color="000000"/>
            </w:tcBorders>
          </w:tcPr>
          <w:p w14:paraId="6081846A" w14:textId="77777777" w:rsidR="00D22235" w:rsidRPr="008F328C" w:rsidRDefault="00D22235" w:rsidP="00B17C6A">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&lt; 0,001</w:t>
            </w:r>
            <w:r w:rsidRPr="008F328C">
              <w:rPr>
                <w:rFonts w:ascii="Times New Roman" w:eastAsia="Times New Roman" w:hAnsi="Times New Roman" w:cs="Times New Roman"/>
                <w:vertAlign w:val="superscript"/>
                <w:lang w:val="pl-PL"/>
              </w:rPr>
              <w:t>c</w:t>
            </w:r>
          </w:p>
        </w:tc>
      </w:tr>
      <w:tr w:rsidR="00D22235" w:rsidRPr="008F328C" w14:paraId="2280228D" w14:textId="77777777" w:rsidTr="00B17C6A">
        <w:tc>
          <w:tcPr>
            <w:tcW w:w="2088" w:type="dxa"/>
            <w:tcBorders>
              <w:top w:val="single" w:sz="5" w:space="0" w:color="000000"/>
              <w:left w:val="single" w:sz="5" w:space="0" w:color="000000"/>
              <w:bottom w:val="single" w:sz="5" w:space="0" w:color="000000"/>
              <w:right w:val="single" w:sz="5" w:space="0" w:color="000000"/>
            </w:tcBorders>
          </w:tcPr>
          <w:p w14:paraId="19DEC943"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430" w:type="dxa"/>
            <w:tcBorders>
              <w:top w:val="single" w:sz="5" w:space="0" w:color="000000"/>
              <w:left w:val="single" w:sz="5" w:space="0" w:color="000000"/>
              <w:bottom w:val="single" w:sz="5" w:space="0" w:color="000000"/>
              <w:right w:val="single" w:sz="5" w:space="0" w:color="000000"/>
            </w:tcBorders>
          </w:tcPr>
          <w:p w14:paraId="12DBDF4B" w14:textId="77777777" w:rsidR="00D22235" w:rsidRPr="008F328C" w:rsidRDefault="00D22235" w:rsidP="00B17C6A">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1.6</w:t>
            </w:r>
          </w:p>
        </w:tc>
        <w:tc>
          <w:tcPr>
            <w:tcW w:w="1790" w:type="dxa"/>
            <w:tcBorders>
              <w:top w:val="single" w:sz="5" w:space="0" w:color="000000"/>
              <w:left w:val="single" w:sz="5" w:space="0" w:color="000000"/>
              <w:bottom w:val="single" w:sz="5" w:space="0" w:color="000000"/>
              <w:right w:val="single" w:sz="5" w:space="0" w:color="000000"/>
            </w:tcBorders>
          </w:tcPr>
          <w:p w14:paraId="1811EC75" w14:textId="77777777" w:rsidR="00D22235" w:rsidRPr="008F328C" w:rsidRDefault="00D22235" w:rsidP="00B17C6A">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0,0</w:t>
            </w:r>
          </w:p>
        </w:tc>
        <w:tc>
          <w:tcPr>
            <w:tcW w:w="1999" w:type="dxa"/>
            <w:tcBorders>
              <w:top w:val="single" w:sz="5" w:space="0" w:color="000000"/>
              <w:left w:val="single" w:sz="5" w:space="0" w:color="000000"/>
              <w:bottom w:val="single" w:sz="5" w:space="0" w:color="000000"/>
              <w:right w:val="single" w:sz="5" w:space="0" w:color="000000"/>
            </w:tcBorders>
          </w:tcPr>
          <w:p w14:paraId="02A8FE6D" w14:textId="77777777" w:rsidR="00D22235" w:rsidRPr="008F328C" w:rsidRDefault="00D22235" w:rsidP="00B17C6A">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(0,9, 2,2)</w:t>
            </w:r>
          </w:p>
        </w:tc>
        <w:tc>
          <w:tcPr>
            <w:tcW w:w="1548" w:type="dxa"/>
            <w:tcBorders>
              <w:top w:val="single" w:sz="5" w:space="0" w:color="000000"/>
              <w:left w:val="single" w:sz="5" w:space="0" w:color="000000"/>
              <w:bottom w:val="single" w:sz="5" w:space="0" w:color="000000"/>
              <w:right w:val="single" w:sz="5" w:space="0" w:color="000000"/>
            </w:tcBorders>
          </w:tcPr>
          <w:p w14:paraId="28355EBC" w14:textId="77777777" w:rsidR="00D22235" w:rsidRPr="008F328C" w:rsidRDefault="00D22235" w:rsidP="00B17C6A">
            <w:pPr>
              <w:pStyle w:val="TableParagraph"/>
              <w:spacing w:line="246" w:lineRule="exact"/>
              <w:ind w:left="431"/>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D22235" w:rsidRPr="008F328C" w14:paraId="48A4F02C" w14:textId="77777777" w:rsidTr="00B17C6A">
        <w:tc>
          <w:tcPr>
            <w:tcW w:w="2088" w:type="dxa"/>
            <w:tcBorders>
              <w:top w:val="single" w:sz="5" w:space="0" w:color="000000"/>
              <w:left w:val="single" w:sz="5" w:space="0" w:color="000000"/>
              <w:bottom w:val="single" w:sz="5" w:space="0" w:color="000000"/>
              <w:right w:val="single" w:sz="5" w:space="0" w:color="000000"/>
            </w:tcBorders>
          </w:tcPr>
          <w:p w14:paraId="28BA33F2"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r w:rsidRPr="008F328C">
              <w:rPr>
                <w:rFonts w:ascii="Times New Roman" w:eastAsia="Times New Roman" w:hAnsi="Times New Roman" w:cs="Times New Roman"/>
                <w:spacing w:val="1"/>
                <w:vertAlign w:val="superscript"/>
                <w:lang w:val="pl-PL"/>
              </w:rPr>
              <w:t>d</w:t>
            </w:r>
          </w:p>
        </w:tc>
        <w:tc>
          <w:tcPr>
            <w:tcW w:w="1430" w:type="dxa"/>
            <w:tcBorders>
              <w:top w:val="single" w:sz="5" w:space="0" w:color="000000"/>
              <w:left w:val="single" w:sz="5" w:space="0" w:color="000000"/>
              <w:bottom w:val="single" w:sz="5" w:space="0" w:color="000000"/>
              <w:right w:val="single" w:sz="5" w:space="0" w:color="000000"/>
            </w:tcBorders>
          </w:tcPr>
          <w:p w14:paraId="0A6791A6" w14:textId="77777777" w:rsidR="00D22235" w:rsidRPr="008F328C" w:rsidRDefault="00D22235" w:rsidP="00B17C6A">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w:t>
            </w:r>
          </w:p>
        </w:tc>
        <w:tc>
          <w:tcPr>
            <w:tcW w:w="1790" w:type="dxa"/>
            <w:tcBorders>
              <w:top w:val="single" w:sz="5" w:space="0" w:color="000000"/>
              <w:left w:val="single" w:sz="5" w:space="0" w:color="000000"/>
              <w:bottom w:val="single" w:sz="5" w:space="0" w:color="000000"/>
              <w:right w:val="single" w:sz="5" w:space="0" w:color="000000"/>
            </w:tcBorders>
          </w:tcPr>
          <w:p w14:paraId="424B52C3" w14:textId="77777777" w:rsidR="00D22235" w:rsidRPr="008F328C" w:rsidRDefault="00D22235" w:rsidP="00B17C6A">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5EB2EB4A" w14:textId="77777777" w:rsidR="00D22235" w:rsidRPr="008F328C" w:rsidRDefault="00D22235" w:rsidP="00B17C6A">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0,9 (0,3, 1,4)</w:t>
            </w:r>
          </w:p>
        </w:tc>
        <w:tc>
          <w:tcPr>
            <w:tcW w:w="1548" w:type="dxa"/>
            <w:tcBorders>
              <w:top w:val="single" w:sz="5" w:space="0" w:color="000000"/>
              <w:left w:val="single" w:sz="5" w:space="0" w:color="000000"/>
              <w:bottom w:val="single" w:sz="5" w:space="0" w:color="000000"/>
              <w:right w:val="single" w:sz="5" w:space="0" w:color="000000"/>
            </w:tcBorders>
          </w:tcPr>
          <w:p w14:paraId="10F957AB" w14:textId="77777777" w:rsidR="00D22235" w:rsidRPr="008F328C" w:rsidRDefault="00D22235" w:rsidP="00B17C6A">
            <w:pPr>
              <w:pStyle w:val="TableParagraph"/>
              <w:spacing w:line="246" w:lineRule="exact"/>
              <w:ind w:left="575"/>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r>
    </w:tbl>
    <w:p w14:paraId="7A9E9289" w14:textId="77777777" w:rsidR="00D22235" w:rsidRPr="008F328C" w:rsidRDefault="00D22235" w:rsidP="00D22235">
      <w:pPr>
        <w:pStyle w:val="a3"/>
        <w:rPr>
          <w:lang w:val="pl-PL"/>
        </w:rPr>
      </w:pPr>
      <w:r w:rsidRPr="008F328C">
        <w:rPr>
          <w:rFonts w:eastAsia="Times New Roman"/>
          <w:bCs/>
          <w:position w:val="8"/>
          <w:vertAlign w:val="superscript"/>
          <w:lang w:val="pl-PL"/>
        </w:rPr>
        <w:t>a</w:t>
      </w:r>
      <w:r w:rsidRPr="008F328C">
        <w:rPr>
          <w:rFonts w:eastAsia="Times New Roman"/>
          <w:bCs/>
          <w:position w:val="8"/>
          <w:sz w:val="14"/>
          <w:szCs w:val="14"/>
          <w:lang w:val="pl-PL"/>
        </w:rPr>
        <w:t xml:space="preserve"> </w:t>
      </w:r>
      <w:r w:rsidRPr="008F328C">
        <w:rPr>
          <w:rFonts w:eastAsia="Times New Roman"/>
          <w:position w:val="8"/>
          <w:lang w:val="pl-PL"/>
        </w:rPr>
        <w:t>metotreksat</w:t>
      </w:r>
    </w:p>
    <w:p w14:paraId="306887B5" w14:textId="77777777" w:rsidR="00D22235" w:rsidRPr="008F328C" w:rsidRDefault="00D22235" w:rsidP="00D22235">
      <w:pPr>
        <w:pStyle w:val="a3"/>
        <w:rPr>
          <w:lang w:val="pl-PL"/>
        </w:rPr>
      </w:pPr>
      <w:r w:rsidRPr="008F328C">
        <w:rPr>
          <w:rFonts w:eastAsia="Times New Roman"/>
          <w:position w:val="8"/>
          <w:vertAlign w:val="superscript"/>
          <w:lang w:val="pl-PL"/>
        </w:rPr>
        <w:t>b</w:t>
      </w:r>
      <w:r w:rsidRPr="008F328C">
        <w:rPr>
          <w:rFonts w:eastAsia="Times New Roman"/>
          <w:position w:val="8"/>
          <w:sz w:val="14"/>
          <w:szCs w:val="14"/>
          <w:lang w:val="pl-PL"/>
        </w:rPr>
        <w:t xml:space="preserve"> </w:t>
      </w:r>
      <w:r w:rsidRPr="008F328C">
        <w:rPr>
          <w:rFonts w:eastAsia="Times New Roman"/>
          <w:position w:val="8"/>
          <w:lang w:val="pl-PL"/>
        </w:rPr>
        <w:t>95% przedziały ufności dla różnic w zmianie punktacji między metotreksatem a adalimumabem</w:t>
      </w:r>
    </w:p>
    <w:p w14:paraId="352B00FF" w14:textId="77777777" w:rsidR="00D22235" w:rsidRPr="008F328C" w:rsidRDefault="00D22235" w:rsidP="00D22235">
      <w:pPr>
        <w:pStyle w:val="a3"/>
        <w:rPr>
          <w:lang w:val="pl-PL"/>
        </w:rPr>
      </w:pPr>
      <w:r w:rsidRPr="008F328C">
        <w:rPr>
          <w:rFonts w:eastAsia="Times New Roman"/>
          <w:position w:val="8"/>
          <w:vertAlign w:val="superscript"/>
          <w:lang w:val="pl-PL"/>
        </w:rPr>
        <w:t>c</w:t>
      </w:r>
      <w:r w:rsidRPr="008F328C">
        <w:rPr>
          <w:rFonts w:eastAsia="Times New Roman"/>
          <w:position w:val="8"/>
          <w:sz w:val="14"/>
          <w:szCs w:val="14"/>
          <w:lang w:val="pl-PL"/>
        </w:rPr>
        <w:t xml:space="preserve"> </w:t>
      </w:r>
      <w:r w:rsidRPr="008F328C">
        <w:rPr>
          <w:rFonts w:eastAsia="Times New Roman"/>
          <w:position w:val="8"/>
          <w:lang w:val="pl-PL"/>
        </w:rPr>
        <w:t>na podstawie analizy rang</w:t>
      </w:r>
    </w:p>
    <w:p w14:paraId="4DD21319" w14:textId="77777777" w:rsidR="00D22235" w:rsidRPr="008F328C" w:rsidRDefault="00D22235" w:rsidP="00D22235">
      <w:pPr>
        <w:pStyle w:val="a3"/>
        <w:rPr>
          <w:lang w:val="pl-PL"/>
        </w:rPr>
      </w:pPr>
      <w:r w:rsidRPr="008F328C">
        <w:rPr>
          <w:rFonts w:eastAsia="Times New Roman"/>
          <w:position w:val="8"/>
          <w:vertAlign w:val="superscript"/>
          <w:lang w:val="pl-PL"/>
        </w:rPr>
        <w:t>d</w:t>
      </w:r>
      <w:r w:rsidRPr="008F328C">
        <w:rPr>
          <w:rFonts w:eastAsia="Times New Roman"/>
          <w:position w:val="8"/>
          <w:sz w:val="14"/>
          <w:szCs w:val="14"/>
          <w:lang w:val="pl-PL"/>
        </w:rPr>
        <w:t xml:space="preserve"> </w:t>
      </w:r>
      <w:r w:rsidRPr="008F328C">
        <w:rPr>
          <w:rFonts w:eastAsia="Times New Roman"/>
          <w:position w:val="8"/>
          <w:lang w:val="pl-PL"/>
        </w:rPr>
        <w:t>zwężenie szpar stawowych</w:t>
      </w:r>
    </w:p>
    <w:p w14:paraId="0F338578" w14:textId="77777777" w:rsidR="00D22235" w:rsidRPr="008F328C" w:rsidRDefault="00D22235" w:rsidP="00D22235">
      <w:pPr>
        <w:spacing w:before="17" w:line="240" w:lineRule="exact"/>
        <w:rPr>
          <w:rFonts w:ascii="Times New Roman" w:hAnsi="Times New Roman" w:cs="Times New Roman"/>
          <w:sz w:val="24"/>
          <w:szCs w:val="24"/>
          <w:lang w:val="pl-PL"/>
        </w:rPr>
      </w:pPr>
    </w:p>
    <w:p w14:paraId="469408D6" w14:textId="2DCEFDBB" w:rsidR="00D22235" w:rsidRPr="008F328C" w:rsidRDefault="00D22235" w:rsidP="00D22235">
      <w:pPr>
        <w:pStyle w:val="a3"/>
        <w:rPr>
          <w:lang w:val="pl-PL"/>
        </w:rPr>
      </w:pPr>
      <w:r w:rsidRPr="008F328C">
        <w:rPr>
          <w:rFonts w:eastAsia="Times New Roman"/>
          <w:lang w:val="pl-PL"/>
        </w:rPr>
        <w:t xml:space="preserve">W badaniu V w RZS, strukturalne uszkodzenie stawów oceniano radiologicznie i opisywano jako zmianę w modyfikowanej całkowitej skali Sharpa (patrz Tabela </w:t>
      </w:r>
      <w:r w:rsidR="00745F53">
        <w:rPr>
          <w:rFonts w:eastAsia="Times New Roman"/>
          <w:lang w:val="pl-PL"/>
        </w:rPr>
        <w:t>8</w:t>
      </w:r>
      <w:r w:rsidRPr="008F328C">
        <w:rPr>
          <w:rFonts w:eastAsia="Times New Roman"/>
          <w:lang w:val="pl-PL"/>
        </w:rPr>
        <w:t>).</w:t>
      </w:r>
    </w:p>
    <w:p w14:paraId="3823D515" w14:textId="77777777" w:rsidR="00D22235" w:rsidRPr="008F328C" w:rsidRDefault="00D22235" w:rsidP="00D22235">
      <w:pPr>
        <w:spacing w:before="15" w:line="240" w:lineRule="exact"/>
        <w:rPr>
          <w:rFonts w:ascii="Times New Roman" w:hAnsi="Times New Roman" w:cs="Times New Roman"/>
          <w:sz w:val="24"/>
          <w:szCs w:val="24"/>
          <w:lang w:val="pl-PL"/>
        </w:rPr>
      </w:pPr>
    </w:p>
    <w:p w14:paraId="51B24A37" w14:textId="78E8C433" w:rsidR="00D22235" w:rsidRPr="008F328C" w:rsidRDefault="00D22235" w:rsidP="00D22235">
      <w:pPr>
        <w:pStyle w:val="a3"/>
        <w:jc w:val="center"/>
        <w:rPr>
          <w:b/>
          <w:lang w:val="pl-PL"/>
        </w:rPr>
      </w:pPr>
      <w:r w:rsidRPr="008F328C">
        <w:rPr>
          <w:rFonts w:eastAsia="Times New Roman"/>
          <w:b/>
          <w:bCs/>
          <w:lang w:val="pl-PL"/>
        </w:rPr>
        <w:t xml:space="preserve">Tabela </w:t>
      </w:r>
      <w:r w:rsidR="00745F53">
        <w:rPr>
          <w:rFonts w:eastAsia="Times New Roman"/>
          <w:b/>
          <w:bCs/>
          <w:lang w:val="pl-PL"/>
        </w:rPr>
        <w:t>8</w:t>
      </w:r>
      <w:r w:rsidR="004142DA" w:rsidRPr="008F328C">
        <w:rPr>
          <w:rFonts w:eastAsia="Times New Roman"/>
          <w:b/>
          <w:bCs/>
          <w:lang w:val="pl-PL"/>
        </w:rPr>
        <w:t>.</w:t>
      </w:r>
    </w:p>
    <w:p w14:paraId="3FD5F3AD" w14:textId="77777777" w:rsidR="00D22235" w:rsidRPr="008F328C" w:rsidRDefault="00D22235" w:rsidP="00D22235">
      <w:pPr>
        <w:pStyle w:val="a3"/>
        <w:jc w:val="center"/>
        <w:rPr>
          <w:b/>
          <w:lang w:val="pl-PL"/>
        </w:rPr>
      </w:pPr>
      <w:r w:rsidRPr="008F328C">
        <w:rPr>
          <w:rFonts w:eastAsia="Times New Roman"/>
          <w:b/>
          <w:bCs/>
          <w:lang w:val="pl-PL"/>
        </w:rPr>
        <w:t>Średnie zmiany w badaniu radiologicznym w 52. tygodniu w badaniu V w RZS</w:t>
      </w:r>
    </w:p>
    <w:p w14:paraId="0DF20992" w14:textId="77777777" w:rsidR="00D22235" w:rsidRPr="008F328C" w:rsidRDefault="00D22235" w:rsidP="00D22235">
      <w:pPr>
        <w:spacing w:before="11" w:line="240" w:lineRule="exact"/>
        <w:rPr>
          <w:rFonts w:ascii="Times New Roman" w:hAnsi="Times New Roman" w:cs="Times New Roman"/>
          <w:sz w:val="24"/>
          <w:szCs w:val="24"/>
          <w:lang w:val="pl-PL"/>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D22235" w:rsidRPr="008F328C" w14:paraId="7FAC5CBE" w14:textId="77777777" w:rsidTr="00B17C6A">
        <w:tc>
          <w:tcPr>
            <w:tcW w:w="1430" w:type="dxa"/>
            <w:tcBorders>
              <w:top w:val="single" w:sz="5" w:space="0" w:color="000000"/>
              <w:left w:val="single" w:sz="5" w:space="0" w:color="000000"/>
              <w:bottom w:val="single" w:sz="5" w:space="0" w:color="000000"/>
              <w:right w:val="single" w:sz="5" w:space="0" w:color="000000"/>
            </w:tcBorders>
          </w:tcPr>
          <w:p w14:paraId="1965D1BA" w14:textId="77777777" w:rsidR="00D22235" w:rsidRPr="008F328C" w:rsidRDefault="00D22235" w:rsidP="00B17C6A">
            <w:pPr>
              <w:rPr>
                <w:rFonts w:ascii="Times New Roman" w:hAnsi="Times New Roman" w:cs="Times New Roman"/>
                <w:lang w:val="pl-PL"/>
              </w:rPr>
            </w:pPr>
          </w:p>
        </w:tc>
        <w:tc>
          <w:tcPr>
            <w:tcW w:w="1541" w:type="dxa"/>
            <w:tcBorders>
              <w:top w:val="single" w:sz="5" w:space="0" w:color="000000"/>
              <w:left w:val="single" w:sz="5" w:space="0" w:color="000000"/>
              <w:bottom w:val="single" w:sz="5" w:space="0" w:color="000000"/>
              <w:right w:val="single" w:sz="5" w:space="0" w:color="000000"/>
            </w:tcBorders>
          </w:tcPr>
          <w:p w14:paraId="722B7C12"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p>
          <w:p w14:paraId="0943C4E4"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n=257 </w:t>
            </w:r>
          </w:p>
          <w:p w14:paraId="07E5062B"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782A60F5"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1481" w:type="dxa"/>
            <w:tcBorders>
              <w:top w:val="single" w:sz="5" w:space="0" w:color="000000"/>
              <w:left w:val="single" w:sz="5" w:space="0" w:color="000000"/>
              <w:bottom w:val="single" w:sz="5" w:space="0" w:color="000000"/>
              <w:right w:val="single" w:sz="5" w:space="0" w:color="000000"/>
            </w:tcBorders>
          </w:tcPr>
          <w:p w14:paraId="0CD67FD5"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1BF2C65A"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n=274 </w:t>
            </w:r>
          </w:p>
          <w:p w14:paraId="4BB03878"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42734243"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1488" w:type="dxa"/>
            <w:tcBorders>
              <w:top w:val="single" w:sz="5" w:space="0" w:color="000000"/>
              <w:left w:val="single" w:sz="5" w:space="0" w:color="000000"/>
              <w:bottom w:val="single" w:sz="5" w:space="0" w:color="000000"/>
              <w:right w:val="single" w:sz="5" w:space="0" w:color="000000"/>
            </w:tcBorders>
          </w:tcPr>
          <w:p w14:paraId="5AC1E90B"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5C1629A1"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n=268 </w:t>
            </w:r>
          </w:p>
          <w:p w14:paraId="5947EF23"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37ADEFE7" w14:textId="77777777" w:rsidR="00D22235" w:rsidRPr="008F328C" w:rsidRDefault="00D22235" w:rsidP="00B17C6A">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991" w:type="dxa"/>
            <w:tcBorders>
              <w:top w:val="single" w:sz="5" w:space="0" w:color="000000"/>
              <w:left w:val="single" w:sz="5" w:space="0" w:color="000000"/>
              <w:bottom w:val="single" w:sz="5" w:space="0" w:color="000000"/>
              <w:right w:val="single" w:sz="5" w:space="0" w:color="000000"/>
            </w:tcBorders>
          </w:tcPr>
          <w:p w14:paraId="26D930C2" w14:textId="77777777" w:rsidR="00D22235" w:rsidRPr="008F328C" w:rsidRDefault="00D22235" w:rsidP="00B17C6A">
            <w:pPr>
              <w:pStyle w:val="TableParagraph"/>
              <w:spacing w:line="200" w:lineRule="exact"/>
              <w:rPr>
                <w:rFonts w:ascii="Times New Roman" w:hAnsi="Times New Roman" w:cs="Times New Roman"/>
                <w:sz w:val="20"/>
                <w:szCs w:val="20"/>
                <w:lang w:val="pl-PL"/>
              </w:rPr>
            </w:pPr>
          </w:p>
          <w:p w14:paraId="75305306" w14:textId="77777777" w:rsidR="00D22235" w:rsidRPr="008F328C" w:rsidRDefault="00D22235" w:rsidP="00B17C6A">
            <w:pPr>
              <w:pStyle w:val="TableParagraph"/>
              <w:spacing w:before="14" w:line="280" w:lineRule="exact"/>
              <w:rPr>
                <w:rFonts w:ascii="Times New Roman" w:hAnsi="Times New Roman" w:cs="Times New Roman"/>
                <w:sz w:val="28"/>
                <w:szCs w:val="28"/>
                <w:lang w:val="pl-PL"/>
              </w:rPr>
            </w:pPr>
          </w:p>
          <w:p w14:paraId="59EDF122" w14:textId="77777777" w:rsidR="00D22235" w:rsidRPr="008F328C" w:rsidRDefault="00D22235" w:rsidP="00B17C6A">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18488B2F" w14:textId="77777777" w:rsidR="00D22235" w:rsidRPr="008F328C" w:rsidRDefault="00D22235" w:rsidP="00B17C6A">
            <w:pPr>
              <w:pStyle w:val="TableParagraph"/>
              <w:spacing w:line="200" w:lineRule="exact"/>
              <w:rPr>
                <w:rFonts w:ascii="Times New Roman" w:hAnsi="Times New Roman" w:cs="Times New Roman"/>
                <w:sz w:val="20"/>
                <w:szCs w:val="20"/>
                <w:lang w:val="pl-PL"/>
              </w:rPr>
            </w:pPr>
          </w:p>
          <w:p w14:paraId="321037C8" w14:textId="77777777" w:rsidR="00D22235" w:rsidRPr="008F328C" w:rsidRDefault="00D22235" w:rsidP="00B17C6A">
            <w:pPr>
              <w:pStyle w:val="TableParagraph"/>
              <w:spacing w:before="14" w:line="280" w:lineRule="exact"/>
              <w:rPr>
                <w:rFonts w:ascii="Times New Roman" w:hAnsi="Times New Roman" w:cs="Times New Roman"/>
                <w:sz w:val="28"/>
                <w:szCs w:val="28"/>
                <w:lang w:val="pl-PL"/>
              </w:rPr>
            </w:pPr>
          </w:p>
          <w:p w14:paraId="3338C5DB" w14:textId="77777777" w:rsidR="00D22235" w:rsidRPr="008F328C" w:rsidRDefault="00D22235" w:rsidP="00B17C6A">
            <w:pPr>
              <w:pStyle w:val="TableParagraph"/>
              <w:ind w:left="12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b</w:t>
            </w:r>
          </w:p>
        </w:tc>
        <w:tc>
          <w:tcPr>
            <w:tcW w:w="991" w:type="dxa"/>
            <w:tcBorders>
              <w:top w:val="single" w:sz="5" w:space="0" w:color="000000"/>
              <w:left w:val="single" w:sz="5" w:space="0" w:color="000000"/>
              <w:bottom w:val="single" w:sz="5" w:space="0" w:color="000000"/>
              <w:right w:val="single" w:sz="5" w:space="0" w:color="000000"/>
            </w:tcBorders>
          </w:tcPr>
          <w:p w14:paraId="240B2000" w14:textId="77777777" w:rsidR="00D22235" w:rsidRPr="008F328C" w:rsidRDefault="00D22235" w:rsidP="00B17C6A">
            <w:pPr>
              <w:pStyle w:val="TableParagraph"/>
              <w:spacing w:line="200" w:lineRule="exact"/>
              <w:rPr>
                <w:rFonts w:ascii="Times New Roman" w:hAnsi="Times New Roman" w:cs="Times New Roman"/>
                <w:sz w:val="20"/>
                <w:szCs w:val="20"/>
                <w:lang w:val="pl-PL"/>
              </w:rPr>
            </w:pPr>
          </w:p>
          <w:p w14:paraId="59D777BD" w14:textId="77777777" w:rsidR="00D22235" w:rsidRPr="008F328C" w:rsidRDefault="00D22235" w:rsidP="00B17C6A">
            <w:pPr>
              <w:pStyle w:val="TableParagraph"/>
              <w:spacing w:before="14" w:line="280" w:lineRule="exact"/>
              <w:rPr>
                <w:rFonts w:ascii="Times New Roman" w:hAnsi="Times New Roman" w:cs="Times New Roman"/>
                <w:sz w:val="28"/>
                <w:szCs w:val="28"/>
                <w:lang w:val="pl-PL"/>
              </w:rPr>
            </w:pPr>
          </w:p>
          <w:p w14:paraId="3A198266" w14:textId="77777777" w:rsidR="00D22235" w:rsidRPr="008F328C" w:rsidRDefault="00D22235" w:rsidP="00B17C6A">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Wartość p</w:t>
            </w:r>
            <w:r w:rsidRPr="008F328C">
              <w:rPr>
                <w:rFonts w:ascii="Times New Roman" w:eastAsia="Times New Roman" w:hAnsi="Times New Roman" w:cs="Times New Roman"/>
                <w:vertAlign w:val="superscript"/>
                <w:lang w:val="pl-PL"/>
              </w:rPr>
              <w:t>c</w:t>
            </w:r>
          </w:p>
        </w:tc>
      </w:tr>
      <w:tr w:rsidR="00D22235" w:rsidRPr="008F328C" w14:paraId="3B54CF49" w14:textId="77777777" w:rsidTr="00B17C6A">
        <w:tc>
          <w:tcPr>
            <w:tcW w:w="1430" w:type="dxa"/>
            <w:tcBorders>
              <w:top w:val="single" w:sz="5" w:space="0" w:color="000000"/>
              <w:left w:val="single" w:sz="5" w:space="0" w:color="000000"/>
              <w:bottom w:val="single" w:sz="5" w:space="0" w:color="000000"/>
              <w:right w:val="single" w:sz="5" w:space="0" w:color="000000"/>
            </w:tcBorders>
          </w:tcPr>
          <w:p w14:paraId="126ECF20"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Całkowita skala</w:t>
            </w:r>
          </w:p>
          <w:p w14:paraId="400CB9E5" w14:textId="77777777" w:rsidR="00D22235" w:rsidRPr="008F328C" w:rsidRDefault="00D22235" w:rsidP="00B17C6A">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Sharpa</w:t>
            </w:r>
          </w:p>
        </w:tc>
        <w:tc>
          <w:tcPr>
            <w:tcW w:w="1541" w:type="dxa"/>
            <w:tcBorders>
              <w:top w:val="single" w:sz="5" w:space="0" w:color="000000"/>
              <w:left w:val="single" w:sz="5" w:space="0" w:color="000000"/>
              <w:bottom w:val="single" w:sz="5" w:space="0" w:color="000000"/>
              <w:right w:val="single" w:sz="5" w:space="0" w:color="000000"/>
            </w:tcBorders>
          </w:tcPr>
          <w:p w14:paraId="434453AB" w14:textId="77777777" w:rsidR="00D22235" w:rsidRPr="008F328C" w:rsidRDefault="00D22235" w:rsidP="00B17C6A">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5,7 (4,2-7,3)</w:t>
            </w:r>
          </w:p>
        </w:tc>
        <w:tc>
          <w:tcPr>
            <w:tcW w:w="1481" w:type="dxa"/>
            <w:tcBorders>
              <w:top w:val="single" w:sz="5" w:space="0" w:color="000000"/>
              <w:left w:val="single" w:sz="5" w:space="0" w:color="000000"/>
              <w:bottom w:val="single" w:sz="5" w:space="0" w:color="000000"/>
              <w:right w:val="single" w:sz="5" w:space="0" w:color="000000"/>
            </w:tcBorders>
          </w:tcPr>
          <w:p w14:paraId="2F4A99EB"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3,0 (1,7-4,3)</w:t>
            </w:r>
          </w:p>
        </w:tc>
        <w:tc>
          <w:tcPr>
            <w:tcW w:w="1488" w:type="dxa"/>
            <w:tcBorders>
              <w:top w:val="single" w:sz="5" w:space="0" w:color="000000"/>
              <w:left w:val="single" w:sz="5" w:space="0" w:color="000000"/>
              <w:bottom w:val="single" w:sz="5" w:space="0" w:color="000000"/>
              <w:right w:val="single" w:sz="5" w:space="0" w:color="000000"/>
            </w:tcBorders>
          </w:tcPr>
          <w:p w14:paraId="5BFF9B32" w14:textId="77777777" w:rsidR="00D22235" w:rsidRPr="008F328C" w:rsidRDefault="00D22235" w:rsidP="00B17C6A">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991" w:type="dxa"/>
            <w:tcBorders>
              <w:top w:val="single" w:sz="5" w:space="0" w:color="000000"/>
              <w:left w:val="single" w:sz="5" w:space="0" w:color="000000"/>
              <w:bottom w:val="single" w:sz="5" w:space="0" w:color="000000"/>
              <w:right w:val="single" w:sz="5" w:space="0" w:color="000000"/>
            </w:tcBorders>
          </w:tcPr>
          <w:p w14:paraId="77F1AA4C" w14:textId="77777777" w:rsidR="00D22235" w:rsidRPr="008F328C" w:rsidRDefault="00D22235" w:rsidP="00B17C6A">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0D1F1D59"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0,0020</w:t>
            </w:r>
          </w:p>
        </w:tc>
        <w:tc>
          <w:tcPr>
            <w:tcW w:w="991" w:type="dxa"/>
            <w:tcBorders>
              <w:top w:val="single" w:sz="5" w:space="0" w:color="000000"/>
              <w:left w:val="single" w:sz="5" w:space="0" w:color="000000"/>
              <w:bottom w:val="single" w:sz="5" w:space="0" w:color="000000"/>
              <w:right w:val="single" w:sz="5" w:space="0" w:color="000000"/>
            </w:tcBorders>
          </w:tcPr>
          <w:p w14:paraId="7DB59CFF" w14:textId="77777777" w:rsidR="00D22235" w:rsidRPr="008F328C" w:rsidRDefault="00D22235" w:rsidP="00B17C6A">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D22235" w:rsidRPr="008F328C" w14:paraId="71415024" w14:textId="77777777" w:rsidTr="00B17C6A">
        <w:tc>
          <w:tcPr>
            <w:tcW w:w="1430" w:type="dxa"/>
            <w:tcBorders>
              <w:top w:val="single" w:sz="5" w:space="0" w:color="000000"/>
              <w:left w:val="single" w:sz="5" w:space="0" w:color="000000"/>
              <w:bottom w:val="single" w:sz="5" w:space="0" w:color="000000"/>
              <w:right w:val="single" w:sz="5" w:space="0" w:color="000000"/>
            </w:tcBorders>
          </w:tcPr>
          <w:p w14:paraId="3FA0E5AE"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541" w:type="dxa"/>
            <w:tcBorders>
              <w:top w:val="single" w:sz="5" w:space="0" w:color="000000"/>
              <w:left w:val="single" w:sz="5" w:space="0" w:color="000000"/>
              <w:bottom w:val="single" w:sz="5" w:space="0" w:color="000000"/>
              <w:right w:val="single" w:sz="5" w:space="0" w:color="000000"/>
            </w:tcBorders>
          </w:tcPr>
          <w:p w14:paraId="1A982CF7" w14:textId="77777777" w:rsidR="00D22235" w:rsidRPr="008F328C" w:rsidRDefault="00D22235" w:rsidP="00B17C6A">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3,7 (2,7-4,7)</w:t>
            </w:r>
          </w:p>
        </w:tc>
        <w:tc>
          <w:tcPr>
            <w:tcW w:w="1481" w:type="dxa"/>
            <w:tcBorders>
              <w:top w:val="single" w:sz="5" w:space="0" w:color="000000"/>
              <w:left w:val="single" w:sz="5" w:space="0" w:color="000000"/>
              <w:bottom w:val="single" w:sz="5" w:space="0" w:color="000000"/>
              <w:right w:val="single" w:sz="5" w:space="0" w:color="000000"/>
            </w:tcBorders>
          </w:tcPr>
          <w:p w14:paraId="5B01B0A8"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1,7 (1,0-2,4)</w:t>
            </w:r>
          </w:p>
        </w:tc>
        <w:tc>
          <w:tcPr>
            <w:tcW w:w="1488" w:type="dxa"/>
            <w:tcBorders>
              <w:top w:val="single" w:sz="5" w:space="0" w:color="000000"/>
              <w:left w:val="single" w:sz="5" w:space="0" w:color="000000"/>
              <w:bottom w:val="single" w:sz="5" w:space="0" w:color="000000"/>
              <w:right w:val="single" w:sz="5" w:space="0" w:color="000000"/>
            </w:tcBorders>
          </w:tcPr>
          <w:p w14:paraId="6AE30E52" w14:textId="77777777" w:rsidR="00D22235" w:rsidRPr="008F328C" w:rsidRDefault="00D22235" w:rsidP="00B17C6A">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0,8 (0,4-1,2)</w:t>
            </w:r>
          </w:p>
        </w:tc>
        <w:tc>
          <w:tcPr>
            <w:tcW w:w="991" w:type="dxa"/>
            <w:tcBorders>
              <w:top w:val="single" w:sz="5" w:space="0" w:color="000000"/>
              <w:left w:val="single" w:sz="5" w:space="0" w:color="000000"/>
              <w:bottom w:val="single" w:sz="5" w:space="0" w:color="000000"/>
              <w:right w:val="single" w:sz="5" w:space="0" w:color="000000"/>
            </w:tcBorders>
          </w:tcPr>
          <w:p w14:paraId="23A95235" w14:textId="77777777" w:rsidR="00D22235" w:rsidRPr="008F328C" w:rsidRDefault="00D22235" w:rsidP="00B17C6A">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31C37CD1"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0,0082</w:t>
            </w:r>
          </w:p>
        </w:tc>
        <w:tc>
          <w:tcPr>
            <w:tcW w:w="991" w:type="dxa"/>
            <w:tcBorders>
              <w:top w:val="single" w:sz="5" w:space="0" w:color="000000"/>
              <w:left w:val="single" w:sz="5" w:space="0" w:color="000000"/>
              <w:bottom w:val="single" w:sz="5" w:space="0" w:color="000000"/>
              <w:right w:val="single" w:sz="5" w:space="0" w:color="000000"/>
            </w:tcBorders>
          </w:tcPr>
          <w:p w14:paraId="3398354B" w14:textId="77777777" w:rsidR="00D22235" w:rsidRPr="008F328C" w:rsidRDefault="00D22235" w:rsidP="00B17C6A">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D22235" w:rsidRPr="008F328C" w14:paraId="4CABADF7" w14:textId="77777777" w:rsidTr="00B17C6A">
        <w:tc>
          <w:tcPr>
            <w:tcW w:w="1430" w:type="dxa"/>
            <w:tcBorders>
              <w:top w:val="single" w:sz="5" w:space="0" w:color="000000"/>
              <w:left w:val="single" w:sz="5" w:space="0" w:color="000000"/>
              <w:bottom w:val="single" w:sz="5" w:space="0" w:color="000000"/>
              <w:right w:val="single" w:sz="5" w:space="0" w:color="000000"/>
            </w:tcBorders>
          </w:tcPr>
          <w:p w14:paraId="71AC635F"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p>
        </w:tc>
        <w:tc>
          <w:tcPr>
            <w:tcW w:w="1541" w:type="dxa"/>
            <w:tcBorders>
              <w:top w:val="single" w:sz="5" w:space="0" w:color="000000"/>
              <w:left w:val="single" w:sz="5" w:space="0" w:color="000000"/>
              <w:bottom w:val="single" w:sz="5" w:space="0" w:color="000000"/>
              <w:right w:val="single" w:sz="5" w:space="0" w:color="000000"/>
            </w:tcBorders>
          </w:tcPr>
          <w:p w14:paraId="7D6D1BBC" w14:textId="77777777" w:rsidR="00D22235" w:rsidRPr="008F328C" w:rsidRDefault="00D22235" w:rsidP="00B17C6A">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2,0 (1,2-2,8)</w:t>
            </w:r>
          </w:p>
        </w:tc>
        <w:tc>
          <w:tcPr>
            <w:tcW w:w="1481" w:type="dxa"/>
            <w:tcBorders>
              <w:top w:val="single" w:sz="5" w:space="0" w:color="000000"/>
              <w:left w:val="single" w:sz="5" w:space="0" w:color="000000"/>
              <w:bottom w:val="single" w:sz="5" w:space="0" w:color="000000"/>
              <w:right w:val="single" w:sz="5" w:space="0" w:color="000000"/>
            </w:tcBorders>
          </w:tcPr>
          <w:p w14:paraId="5DCDEE9C"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1488" w:type="dxa"/>
            <w:tcBorders>
              <w:top w:val="single" w:sz="5" w:space="0" w:color="000000"/>
              <w:left w:val="single" w:sz="5" w:space="0" w:color="000000"/>
              <w:bottom w:val="single" w:sz="5" w:space="0" w:color="000000"/>
              <w:right w:val="single" w:sz="5" w:space="0" w:color="000000"/>
            </w:tcBorders>
          </w:tcPr>
          <w:p w14:paraId="4047C57E" w14:textId="77777777" w:rsidR="00D22235" w:rsidRPr="008F328C" w:rsidRDefault="00D22235" w:rsidP="00B17C6A">
            <w:pPr>
              <w:pStyle w:val="TableParagraph"/>
              <w:spacing w:line="246" w:lineRule="exact"/>
              <w:ind w:left="270"/>
              <w:rPr>
                <w:rFonts w:ascii="Times New Roman" w:eastAsia="Times New Roman" w:hAnsi="Times New Roman" w:cs="Times New Roman"/>
                <w:lang w:val="pl-PL"/>
              </w:rPr>
            </w:pPr>
            <w:r w:rsidRPr="008F328C">
              <w:rPr>
                <w:rFonts w:ascii="Times New Roman" w:eastAsia="Times New Roman" w:hAnsi="Times New Roman" w:cs="Times New Roman"/>
                <w:lang w:val="pl-PL"/>
              </w:rPr>
              <w:t>0,5 (0-1,0)</w:t>
            </w:r>
          </w:p>
        </w:tc>
        <w:tc>
          <w:tcPr>
            <w:tcW w:w="991" w:type="dxa"/>
            <w:tcBorders>
              <w:top w:val="single" w:sz="5" w:space="0" w:color="000000"/>
              <w:left w:val="single" w:sz="5" w:space="0" w:color="000000"/>
              <w:bottom w:val="single" w:sz="5" w:space="0" w:color="000000"/>
              <w:right w:val="single" w:sz="5" w:space="0" w:color="000000"/>
            </w:tcBorders>
          </w:tcPr>
          <w:p w14:paraId="1C703F0E" w14:textId="77777777" w:rsidR="00D22235" w:rsidRPr="008F328C" w:rsidRDefault="00D22235" w:rsidP="00B17C6A">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192FAC1E" w14:textId="77777777" w:rsidR="00D22235" w:rsidRPr="008F328C" w:rsidRDefault="00D22235" w:rsidP="00B17C6A">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0,0037</w:t>
            </w:r>
          </w:p>
        </w:tc>
        <w:tc>
          <w:tcPr>
            <w:tcW w:w="991" w:type="dxa"/>
            <w:tcBorders>
              <w:top w:val="single" w:sz="5" w:space="0" w:color="000000"/>
              <w:left w:val="single" w:sz="5" w:space="0" w:color="000000"/>
              <w:bottom w:val="single" w:sz="5" w:space="0" w:color="000000"/>
              <w:right w:val="single" w:sz="5" w:space="0" w:color="000000"/>
            </w:tcBorders>
          </w:tcPr>
          <w:p w14:paraId="54EABEEF" w14:textId="77777777" w:rsidR="00D22235" w:rsidRPr="008F328C" w:rsidRDefault="00D22235" w:rsidP="00B17C6A">
            <w:pPr>
              <w:pStyle w:val="TableParagraph"/>
              <w:spacing w:line="246" w:lineRule="exact"/>
              <w:ind w:left="241"/>
              <w:rPr>
                <w:rFonts w:ascii="Times New Roman" w:eastAsia="Times New Roman" w:hAnsi="Times New Roman" w:cs="Times New Roman"/>
                <w:lang w:val="pl-PL"/>
              </w:rPr>
            </w:pPr>
            <w:r w:rsidRPr="008F328C">
              <w:rPr>
                <w:rFonts w:ascii="Times New Roman" w:eastAsia="Times New Roman" w:hAnsi="Times New Roman" w:cs="Times New Roman"/>
                <w:lang w:val="pl-PL"/>
              </w:rPr>
              <w:t>0,151</w:t>
            </w:r>
          </w:p>
        </w:tc>
      </w:tr>
    </w:tbl>
    <w:p w14:paraId="713DC015" w14:textId="77777777" w:rsidR="00D22235" w:rsidRPr="008F328C" w:rsidRDefault="00D22235" w:rsidP="00D22235">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68FEE049" w14:textId="77777777" w:rsidR="00D22235" w:rsidRPr="008F328C" w:rsidRDefault="00D22235" w:rsidP="00D22235">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14EF37B3" w14:textId="77777777" w:rsidR="00D22235" w:rsidRPr="008F328C" w:rsidRDefault="00D22235" w:rsidP="00D22235">
      <w:pPr>
        <w:pStyle w:val="a3"/>
        <w:rPr>
          <w:rFonts w:eastAsia="Times New Roman"/>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38388613" w14:textId="77777777" w:rsidR="00D22235" w:rsidRPr="008F328C" w:rsidRDefault="00D22235" w:rsidP="00D22235">
      <w:pPr>
        <w:spacing w:before="8" w:line="170" w:lineRule="exact"/>
        <w:rPr>
          <w:rFonts w:ascii="Times New Roman" w:hAnsi="Times New Roman" w:cs="Times New Roman"/>
          <w:sz w:val="17"/>
          <w:szCs w:val="17"/>
          <w:lang w:val="pl-PL"/>
        </w:rPr>
      </w:pPr>
    </w:p>
    <w:p w14:paraId="6B7C5BA5" w14:textId="77777777" w:rsidR="00D22235" w:rsidRPr="008F328C" w:rsidRDefault="00D22235" w:rsidP="00D22235">
      <w:pPr>
        <w:pStyle w:val="a3"/>
        <w:rPr>
          <w:lang w:val="pl-PL"/>
        </w:rPr>
      </w:pPr>
      <w:r w:rsidRPr="008F328C">
        <w:rPr>
          <w:rFonts w:eastAsia="Times New Roman"/>
          <w:lang w:val="pl-PL"/>
        </w:rPr>
        <w:t xml:space="preserve">Po 52 i 104 tygodniach leczenia, odsetek pacjentów bez postępu choroby (zmiana wartości wyjściowej zmodyfikowanej całkowitej skali Sharpa ≤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0,5) był istotnie większy w przypadku leczenia skojarzonego adalimumabem i metotreksatem (odpowiednio 63,8% i 61,2%) w porównaniu do stosowania metotreksatu w monoterapii (odpowiednio 37,4% i 33,5%, p &lt; 0,001) i adalimumabu w monoterapii (odpowiednio 50,7%, p &lt; 0,002 i 44,5%, p &lt; 0,001).</w:t>
      </w:r>
    </w:p>
    <w:p w14:paraId="1CD4B37E" w14:textId="77777777" w:rsidR="00D22235" w:rsidRPr="008F328C" w:rsidRDefault="00D22235" w:rsidP="00D22235">
      <w:pPr>
        <w:spacing w:before="10" w:line="240" w:lineRule="exact"/>
        <w:rPr>
          <w:rFonts w:ascii="Times New Roman" w:hAnsi="Times New Roman" w:cs="Times New Roman"/>
          <w:sz w:val="24"/>
          <w:szCs w:val="24"/>
          <w:lang w:val="pl-PL"/>
        </w:rPr>
      </w:pPr>
    </w:p>
    <w:p w14:paraId="26F6A7A4" w14:textId="77777777" w:rsidR="00D22235" w:rsidRPr="008F328C" w:rsidRDefault="00D22235" w:rsidP="00D22235">
      <w:pPr>
        <w:pStyle w:val="a3"/>
        <w:rPr>
          <w:lang w:val="pl-PL"/>
        </w:rPr>
      </w:pPr>
      <w:r w:rsidRPr="008F328C">
        <w:rPr>
          <w:rFonts w:eastAsia="Times New Roman"/>
          <w:lang w:val="pl-PL"/>
        </w:rPr>
        <w:t>W fazie otwartej, będącej kontynuacją badania V w RZS, w 10. roku średnia zmiana wartości wyjściowych w zmodyfikowanej całkowitej skali Sharpa wynosiła 10,8, 9,2 i 3,9 u pacjentów, którym losowo przydzielono leczenie odpowiednio metotreksatem w monoterapii, adalimumabem w monoterapii i terapię skojarzoną adalimumabem i metotreksatem. Odsetki pacjentów bez postępu choroby w badaniu radiologicznym wynosiły odpowiednio 31,3%, 23,7% i 36,7%.</w:t>
      </w:r>
    </w:p>
    <w:p w14:paraId="5F8A0143" w14:textId="77777777" w:rsidR="00D22235" w:rsidRPr="008F328C" w:rsidRDefault="00D22235" w:rsidP="00D22235">
      <w:pPr>
        <w:pStyle w:val="a3"/>
        <w:rPr>
          <w:sz w:val="24"/>
          <w:szCs w:val="24"/>
          <w:lang w:val="pl-PL"/>
        </w:rPr>
      </w:pPr>
    </w:p>
    <w:p w14:paraId="4C5F5A81"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Jakość życia i sprawność fizyczna</w:t>
      </w:r>
    </w:p>
    <w:p w14:paraId="011FE7AD" w14:textId="77777777" w:rsidR="00D22235" w:rsidRPr="008F328C" w:rsidRDefault="00D22235" w:rsidP="00D22235">
      <w:pPr>
        <w:pStyle w:val="a3"/>
        <w:rPr>
          <w:sz w:val="18"/>
          <w:szCs w:val="18"/>
          <w:lang w:val="pl-PL"/>
        </w:rPr>
      </w:pPr>
    </w:p>
    <w:p w14:paraId="40077F09" w14:textId="77777777" w:rsidR="00D22235" w:rsidRPr="008F328C" w:rsidRDefault="00D22235" w:rsidP="00D22235">
      <w:pPr>
        <w:pStyle w:val="a3"/>
        <w:rPr>
          <w:lang w:val="pl-PL"/>
        </w:rPr>
      </w:pPr>
      <w:r w:rsidRPr="008F328C">
        <w:rPr>
          <w:rFonts w:eastAsia="Times New Roman"/>
          <w:lang w:val="pl-PL"/>
        </w:rPr>
        <w:t xml:space="preserve">Związaną ze stanem zdrowia jakość życia i sprawność fizyczną oceniano przy pomocy wskaźnika niepełnosprawności kwestionariusza oceny stanu zdrowia (ang. Health Assessment Questionnaire, HAQ) w czterech oryginalnych odpowiednio i prawidłowo kontrolowanych badaniach klinicznych i stanowiło to określony wcześniej pierwszorzędowy punkt końcowy w 52. tygodniu w badaniu III w RZS. Wszystkie </w:t>
      </w:r>
      <w:r w:rsidRPr="008F328C">
        <w:rPr>
          <w:rFonts w:eastAsia="Times New Roman"/>
          <w:lang w:val="pl-PL"/>
        </w:rPr>
        <w:lastRenderedPageBreak/>
        <w:t>dawki/schematy dawkowania adalimumabu w wymienionych czterech badaniach doprowadziły w 6. miesiącu do istotnej statystycznie, większej poprawy wyjściowego wskaźnika niepełnosprawności HAQ w porównaniu do placebo, a w badaniu III w RZS to samo zaobserwowano w 52. tygodniu. Punktacja według skróconego kwestionariusza oceny stanu zdrowia (ang. Short Form Health Survey, SF-36) dla wszystkich dawek/schematów dawkowania adalimumabu w wymienionych czterech badaniach potwierdza te wyniki. Uzyskano statystycznie istotną sumaryczną punktację składowej dotyczącej sprawności fizycznej (ang. Physical Component Summary, PCS) oraz statystycznie istotną punktację dotyczącą dolegliwości bólowych i witalności dla dawki 40 mg co drugi tydzień. Stwierdzono statystycznie istotne zmniejszenie męczliwości mierzonej w punktacji oceny czynnościowej leczenia chorób przewlekłych (ang. Functional Assessment of Chronic Illness Therapy, FACIT) we wszystkich trzech badaniach, w których to oceniano (badania I, III i IV w RZS).</w:t>
      </w:r>
    </w:p>
    <w:p w14:paraId="7AA15608" w14:textId="77777777" w:rsidR="00D22235" w:rsidRPr="008F328C" w:rsidRDefault="00D22235" w:rsidP="00D22235">
      <w:pPr>
        <w:pStyle w:val="a3"/>
        <w:rPr>
          <w:sz w:val="24"/>
          <w:szCs w:val="24"/>
          <w:lang w:val="pl-PL"/>
        </w:rPr>
      </w:pPr>
    </w:p>
    <w:p w14:paraId="1A6E6D71" w14:textId="77777777" w:rsidR="00D22235" w:rsidRPr="008F328C" w:rsidRDefault="00D22235" w:rsidP="00D22235">
      <w:pPr>
        <w:pStyle w:val="a3"/>
        <w:rPr>
          <w:lang w:val="pl-PL"/>
        </w:rPr>
      </w:pPr>
      <w:r w:rsidRPr="008F328C">
        <w:rPr>
          <w:rFonts w:eastAsia="Times New Roman"/>
          <w:lang w:val="pl-PL"/>
        </w:rPr>
        <w:t>W badaniu III w RZS, prowadzonym metodą otwartej próby, u większości pacjentów, którzy osiągnęli poprawę sprawności fizycznej i kontynuowali leczenie, poprawa utrzymywała się do 520. tygodnia włącznie (120 miesięcy). Poprawę jakości życia mierzono do 156. tygodnia (36 miesięcy) i w okresie tym stwierdzono utrzymywanie się poprawy.</w:t>
      </w:r>
    </w:p>
    <w:p w14:paraId="19693755" w14:textId="77777777" w:rsidR="00D22235" w:rsidRPr="008F328C" w:rsidRDefault="00D22235" w:rsidP="00D22235">
      <w:pPr>
        <w:pStyle w:val="a3"/>
        <w:rPr>
          <w:sz w:val="24"/>
          <w:szCs w:val="24"/>
          <w:lang w:val="pl-PL"/>
        </w:rPr>
      </w:pPr>
    </w:p>
    <w:p w14:paraId="747C82F4" w14:textId="77777777" w:rsidR="00D22235" w:rsidRPr="008F328C" w:rsidRDefault="00D22235" w:rsidP="00D22235">
      <w:pPr>
        <w:pStyle w:val="a3"/>
        <w:rPr>
          <w:lang w:val="pl-PL"/>
        </w:rPr>
      </w:pPr>
      <w:r w:rsidRPr="008F328C">
        <w:rPr>
          <w:rFonts w:eastAsia="Times New Roman"/>
          <w:lang w:val="pl-PL"/>
        </w:rPr>
        <w:t>W badaniu V w RZS, poprawa wskaźnika niepełnosprawności HAQ oraz składowa kwestionariusza SF-36 dotycząca sprawności fizycznej wykazały w 52. tygodniu większą poprawę (p &lt; 0,001) w przypadku leczenia skojarzonego adalimumabem i metotreksatem niż w przypadku stosowania metotreksatu w monoterapii i adalimumabu w monoterapii. Poprawa ta utrzymywała się do 104. tygodnia włącznie. U 250 uczestników, którzy ukończyli otwarte badanie kontynuacyjne, poprawa stanu czynnościowego utrzymywała się przez cały 10-letni okres leczenia.</w:t>
      </w:r>
    </w:p>
    <w:p w14:paraId="67B8CAFE" w14:textId="77777777" w:rsidR="00D22235" w:rsidRPr="008F328C" w:rsidRDefault="00D22235" w:rsidP="00D22235">
      <w:pPr>
        <w:pStyle w:val="a3"/>
        <w:rPr>
          <w:sz w:val="24"/>
          <w:szCs w:val="24"/>
          <w:lang w:val="pl-PL"/>
        </w:rPr>
      </w:pPr>
    </w:p>
    <w:p w14:paraId="375051F5"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Ból w miejscu wstrzyknięcia</w:t>
      </w:r>
    </w:p>
    <w:p w14:paraId="1F64FC1F" w14:textId="77777777" w:rsidR="00D22235" w:rsidRPr="008F328C" w:rsidRDefault="00D22235" w:rsidP="00D22235">
      <w:pPr>
        <w:pStyle w:val="a3"/>
        <w:rPr>
          <w:sz w:val="18"/>
          <w:szCs w:val="18"/>
          <w:lang w:val="pl-PL"/>
        </w:rPr>
      </w:pPr>
    </w:p>
    <w:p w14:paraId="0028FC1F" w14:textId="77777777" w:rsidR="00D22235" w:rsidRPr="008F328C" w:rsidRDefault="00D22235" w:rsidP="00D22235">
      <w:pPr>
        <w:pStyle w:val="a3"/>
        <w:rPr>
          <w:lang w:val="pl-PL"/>
        </w:rPr>
      </w:pPr>
      <w:r w:rsidRPr="008F328C">
        <w:rPr>
          <w:rFonts w:eastAsia="Times New Roman"/>
          <w:lang w:val="pl-PL"/>
        </w:rPr>
        <w:t>Łączne wyniki badań klinicznych w układzie krzyżowym VI i VII w RZS wykazały istotną statystycznie różnicę w nasileniu bólu w miejscu wstrzyknięcia bezpośrednio po podaniu adalimumabu 40 mg/0,8 ml i adalimumabu 40 mg/0,4 ml (średnia wartość VAS 3,7 cm vs 1,2 cm, skala 0 – 10 cm, P ˂ 0,001). Różnica ta odpowiada zmniejszeniu bólu w miejscu wstrzyknięcia o 84% (mediana).</w:t>
      </w:r>
    </w:p>
    <w:p w14:paraId="3F5CCFFC" w14:textId="77777777" w:rsidR="00D22235" w:rsidRPr="008F328C" w:rsidRDefault="00D22235" w:rsidP="00D22235">
      <w:pPr>
        <w:pStyle w:val="a3"/>
        <w:rPr>
          <w:sz w:val="24"/>
          <w:szCs w:val="24"/>
          <w:lang w:val="pl-PL"/>
        </w:rPr>
      </w:pPr>
    </w:p>
    <w:p w14:paraId="66A3BC28" w14:textId="77777777" w:rsidR="00D22235" w:rsidRPr="008F328C" w:rsidRDefault="00D22235" w:rsidP="00D22235">
      <w:pPr>
        <w:pStyle w:val="a3"/>
        <w:rPr>
          <w:rFonts w:eastAsia="Times New Roman"/>
          <w:lang w:val="pl-PL"/>
        </w:rPr>
      </w:pPr>
      <w:r w:rsidRPr="008F328C">
        <w:rPr>
          <w:rFonts w:eastAsia="Times New Roman"/>
          <w:i/>
          <w:iCs/>
          <w:spacing w:val="-1"/>
          <w:lang w:val="pl-PL"/>
        </w:rPr>
        <w:t>Łuszczyca</w:t>
      </w:r>
    </w:p>
    <w:p w14:paraId="327628F1" w14:textId="77777777" w:rsidR="00D22235" w:rsidRPr="008F328C" w:rsidRDefault="00D22235" w:rsidP="00D22235">
      <w:pPr>
        <w:pStyle w:val="a3"/>
        <w:rPr>
          <w:sz w:val="24"/>
          <w:szCs w:val="24"/>
          <w:lang w:val="pl-PL"/>
        </w:rPr>
      </w:pPr>
    </w:p>
    <w:p w14:paraId="7A0D7A4B" w14:textId="77777777" w:rsidR="00D22235" w:rsidRPr="008F328C" w:rsidRDefault="00D22235" w:rsidP="00D22235">
      <w:pPr>
        <w:pStyle w:val="a3"/>
        <w:rPr>
          <w:lang w:val="pl-PL"/>
        </w:rPr>
      </w:pPr>
      <w:r w:rsidRPr="008F328C">
        <w:rPr>
          <w:rFonts w:eastAsia="Times New Roman"/>
          <w:lang w:val="pl-PL"/>
        </w:rPr>
        <w:t xml:space="preserve">Bezpieczeństwo stosowania i skuteczność adalimumabu badano u dorosłych pacjentów z przewlekłą łuszczycą zwyczajną (plackowatą) [zmienione chorobowo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10% powierzchni ciała oraz wskaźnik powierzchni i nasilenia zmian łuszczycowych PASI (ang. Psoriasis Area and Severity Index)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12 lub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10], którzy byli kandydatami do leczenia systemowego lub fototerapii w randomizowanych badaniach klinicznych prowadzonych metodą podwójnie ślepej próby. Siedemdziesiąt trzy procent (73%) pacjentów zakwalifikowanych do badań I i II w łuszczycy poddanych zostało uprzednio leczeniu systemowemu lub fototerapii. Bezpieczeństwo stosowania i skuteczność adalimumabu badano również u dorosłych pacjentów z przewlekłą łuszczycą zwyczajną (plackowatą) o nasileniu umiarkowanym do ciężkiego ze współistniejącą łuszczycą dłoni i (lub) stóp, którzy byli kandydatami do leczenia systemowego w randomizowanym badaniu klinicznym prowadzonym metodą podwójnie ślepej próby (badanie III w łuszczycy).</w:t>
      </w:r>
    </w:p>
    <w:p w14:paraId="721979CB" w14:textId="77777777" w:rsidR="00D22235" w:rsidRPr="008F328C" w:rsidRDefault="00D22235" w:rsidP="00D22235">
      <w:pPr>
        <w:pStyle w:val="a3"/>
        <w:rPr>
          <w:lang w:val="pl-PL"/>
        </w:rPr>
      </w:pPr>
    </w:p>
    <w:p w14:paraId="566245F9" w14:textId="77777777" w:rsidR="00D22235" w:rsidRPr="008F328C" w:rsidRDefault="00D22235" w:rsidP="00D22235">
      <w:pPr>
        <w:pStyle w:val="a3"/>
        <w:rPr>
          <w:lang w:val="pl-PL"/>
        </w:rPr>
      </w:pPr>
      <w:r w:rsidRPr="008F328C">
        <w:rPr>
          <w:rFonts w:eastAsia="Times New Roman"/>
          <w:lang w:val="pl-PL"/>
        </w:rPr>
        <w:t xml:space="preserve">W badaniu I w łuszczycy (REVEAL) oceniano 1212 pacjentów podczas trzech okresów leczenia. W okresie A, pacjenci otrzymywali placebo lub adalimumab w dawce początkowej 80 mg, a następnie po upływie jednego tygodnia od podania dawki początkowej 40 mg co drugi tydzień. Po 16 tygodniach leczenia pacjenci, których odpowiedź na leczenie wynosiła co najmniej PASI 75 (poprawa punktacji PASI o co najmniej 75% w stosunku do wartości wyjściowej) przechodzili do okresu B i w badaniu otwartym otrzymywali 40 mg adalimumabu co drugi tydzień. Pacjenci, u których odpowiedź na leczenie </w:t>
      </w:r>
      <w:r w:rsidRPr="008F328C">
        <w:rPr>
          <w:rFonts w:eastAsia="Symbol"/>
          <w:lang w:val="pl-PL"/>
        </w:rPr>
        <w:sym w:font="Symbol" w:char="F0B3"/>
      </w:r>
      <w:r w:rsidRPr="008F328C">
        <w:rPr>
          <w:rFonts w:eastAsia="Times New Roman"/>
          <w:lang w:val="pl-PL"/>
        </w:rPr>
        <w:t xml:space="preserve">PASI 75 utrzymywała się w 33. tygodniu, a pierwotnie byli przydzieleni losowo do grupy otrzymującej aktywne leczenie w okresie A, w okresie C byli ponownie losowo przydzielani do grupy otrzymującej adalimumab </w:t>
      </w:r>
      <w:r w:rsidRPr="008F328C">
        <w:rPr>
          <w:rFonts w:eastAsia="Times New Roman"/>
          <w:lang w:val="pl-PL"/>
        </w:rPr>
        <w:lastRenderedPageBreak/>
        <w:t>40 mg co drugi tydzień lub placebo przez dodatkowe 19 tygodni. We wszystkich leczonych grupach, średnia wyjściowa wartość PASI wynosiła 18,9, a wyjściowa ocena PGA (ang. Physician’s Global Assessment) wahała się od „umiarkowanej” (53% uczestników) do „ciężkiej” (41%) i „bardzo ciężkiej” (6%).</w:t>
      </w:r>
    </w:p>
    <w:p w14:paraId="13234A96" w14:textId="77777777" w:rsidR="00D22235" w:rsidRPr="008F328C" w:rsidRDefault="00D22235" w:rsidP="00D22235">
      <w:pPr>
        <w:spacing w:before="14" w:line="240" w:lineRule="exact"/>
        <w:rPr>
          <w:rFonts w:ascii="Times New Roman" w:hAnsi="Times New Roman" w:cs="Times New Roman"/>
          <w:sz w:val="24"/>
          <w:szCs w:val="24"/>
          <w:lang w:val="pl-PL"/>
        </w:rPr>
      </w:pPr>
    </w:p>
    <w:p w14:paraId="4BF109E6" w14:textId="77777777" w:rsidR="00D22235" w:rsidRPr="008F328C" w:rsidRDefault="00D22235" w:rsidP="00D22235">
      <w:pPr>
        <w:pStyle w:val="a3"/>
        <w:rPr>
          <w:lang w:val="pl-PL"/>
        </w:rPr>
      </w:pPr>
      <w:r w:rsidRPr="008F328C">
        <w:rPr>
          <w:rFonts w:eastAsia="Times New Roman"/>
          <w:lang w:val="pl-PL"/>
        </w:rPr>
        <w:t xml:space="preserve">W badaniu II w łuszczycy (CHAMPION) u 271 pacjentów porównywano skuteczność i bezpieczeństwo stosowania adalimumabu z metotreksatem i placebo. Pacjenci otrzymywali placebo, metotreksat w dawce początkowej 7,5 mg, zwiększanej następnie do 12. tygodnia tak, że dawka maksymalna wynosiła 25 mg lub adalimumab w dawce początkowej 80 mg, a następnie (po upływie jednego tygodnia od podania dawki początkowej) 40 mg co drugi tydzień przez 16 tygodni. Brak dostępnych danych porównujących adalimumab i metotreksat w okresie dłuższym niż16 tygodni leczenia. U pacjentów otrzymujących metotreksat, którzy wykazali odpowiedź </w:t>
      </w:r>
      <w:r w:rsidRPr="008F328C">
        <w:rPr>
          <w:rFonts w:eastAsia="Symbol"/>
          <w:lang w:val="pl-PL"/>
        </w:rPr>
        <w:sym w:font="Symbol" w:char="F0B3"/>
      </w:r>
      <w:r w:rsidRPr="008F328C">
        <w:rPr>
          <w:rFonts w:eastAsia="Times New Roman"/>
          <w:lang w:val="pl-PL"/>
        </w:rPr>
        <w:t>PASI 50 w 8. i (lub) 12. tygodniu nie zwiększano dawki. We wszystkich leczonych grupach, średnia wyjściowa wartość PASI wynosiła 19,7, a wyjściowa ocena PGA wahała się od „łagodnej” (&lt; 1%) do „umiarkowanej” (48%), „ciężkiej” (46%) i „bardzo ciężkiej” (6%).</w:t>
      </w:r>
    </w:p>
    <w:p w14:paraId="7915993D" w14:textId="77777777" w:rsidR="00D22235" w:rsidRPr="008F328C" w:rsidRDefault="00D22235" w:rsidP="00D22235">
      <w:pPr>
        <w:spacing w:before="17" w:line="240" w:lineRule="exact"/>
        <w:rPr>
          <w:rFonts w:ascii="Times New Roman" w:hAnsi="Times New Roman" w:cs="Times New Roman"/>
          <w:sz w:val="24"/>
          <w:szCs w:val="24"/>
          <w:lang w:val="pl-PL"/>
        </w:rPr>
      </w:pPr>
    </w:p>
    <w:p w14:paraId="4CA4AD73" w14:textId="77777777" w:rsidR="00D22235" w:rsidRPr="008F328C" w:rsidRDefault="00D22235" w:rsidP="00D22235">
      <w:pPr>
        <w:pStyle w:val="a3"/>
        <w:rPr>
          <w:lang w:val="pl-PL"/>
        </w:rPr>
      </w:pPr>
      <w:r w:rsidRPr="008F328C">
        <w:rPr>
          <w:rFonts w:eastAsia="Times New Roman"/>
          <w:lang w:val="pl-PL"/>
        </w:rPr>
        <w:t>Pacjenci uczestniczący we wszystkich badaniach klinicznych fazy II i III w łuszczycy mogli zostać włączeni do otwartego badania kontynuacyjnego, w którym adalimumab podawano przez co najmniej 108 dodatkowych tygodni.</w:t>
      </w:r>
    </w:p>
    <w:p w14:paraId="649EEB05" w14:textId="77777777" w:rsidR="00D22235" w:rsidRPr="008F328C" w:rsidRDefault="00D22235" w:rsidP="00D22235">
      <w:pPr>
        <w:spacing w:before="14" w:line="240" w:lineRule="exact"/>
        <w:rPr>
          <w:rFonts w:ascii="Times New Roman" w:hAnsi="Times New Roman" w:cs="Times New Roman"/>
          <w:sz w:val="24"/>
          <w:szCs w:val="24"/>
          <w:lang w:val="pl-PL"/>
        </w:rPr>
      </w:pPr>
    </w:p>
    <w:p w14:paraId="3FAAFB47" w14:textId="03C72315" w:rsidR="00D22235" w:rsidRPr="008F328C" w:rsidRDefault="00D22235" w:rsidP="00D22235">
      <w:pPr>
        <w:pStyle w:val="a3"/>
        <w:rPr>
          <w:lang w:val="pl-PL"/>
        </w:rPr>
      </w:pPr>
      <w:r w:rsidRPr="008F328C">
        <w:rPr>
          <w:rFonts w:eastAsia="Times New Roman"/>
          <w:lang w:val="pl-PL"/>
        </w:rPr>
        <w:t xml:space="preserve">W badaniach I i II w łuszczycy, pierwszorzędowym punktem końcowym był odsetek pacjentów, którzy w 16. tygodniu osiągnęli odpowiedź PASI 75 w stosunku do wartości wyjściowej (patrz Tabele </w:t>
      </w:r>
      <w:r w:rsidR="00745F53">
        <w:rPr>
          <w:rFonts w:eastAsia="Times New Roman"/>
          <w:lang w:val="pl-PL"/>
        </w:rPr>
        <w:t>9</w:t>
      </w:r>
      <w:r w:rsidRPr="008F328C">
        <w:rPr>
          <w:rFonts w:eastAsia="Times New Roman"/>
          <w:lang w:val="pl-PL"/>
        </w:rPr>
        <w:t xml:space="preserve"> i </w:t>
      </w:r>
      <w:r w:rsidR="00745F53">
        <w:rPr>
          <w:rFonts w:eastAsia="Times New Roman"/>
          <w:lang w:val="pl-PL"/>
        </w:rPr>
        <w:t>10</w:t>
      </w:r>
      <w:r w:rsidRPr="008F328C">
        <w:rPr>
          <w:rFonts w:eastAsia="Times New Roman"/>
          <w:lang w:val="pl-PL"/>
        </w:rPr>
        <w:t>).</w:t>
      </w:r>
    </w:p>
    <w:p w14:paraId="1D76B22E" w14:textId="77777777" w:rsidR="00D22235" w:rsidRPr="008F328C" w:rsidRDefault="00D22235" w:rsidP="00D22235">
      <w:pPr>
        <w:rPr>
          <w:rFonts w:ascii="Times New Roman" w:hAnsi="Times New Roman" w:cs="Times New Roman"/>
          <w:b/>
          <w:lang w:val="pl-PL"/>
        </w:rPr>
      </w:pPr>
    </w:p>
    <w:p w14:paraId="6D9E4AF3" w14:textId="09999AF9" w:rsidR="00D22235" w:rsidRPr="008F328C" w:rsidRDefault="00D22235" w:rsidP="00D22235">
      <w:pPr>
        <w:pStyle w:val="a3"/>
        <w:keepNext/>
        <w:keepLines/>
        <w:jc w:val="center"/>
        <w:rPr>
          <w:b/>
          <w:lang w:val="pl-PL"/>
        </w:rPr>
      </w:pPr>
      <w:r w:rsidRPr="008F328C">
        <w:rPr>
          <w:rFonts w:eastAsia="Times New Roman"/>
          <w:b/>
          <w:bCs/>
          <w:lang w:val="pl-PL"/>
        </w:rPr>
        <w:t xml:space="preserve">Tabela </w:t>
      </w:r>
      <w:r w:rsidR="00745F53">
        <w:rPr>
          <w:rFonts w:eastAsia="Times New Roman"/>
          <w:b/>
          <w:bCs/>
          <w:lang w:val="pl-PL"/>
        </w:rPr>
        <w:t>9</w:t>
      </w:r>
      <w:r w:rsidR="004142DA" w:rsidRPr="008F328C">
        <w:rPr>
          <w:rFonts w:eastAsia="Times New Roman"/>
          <w:b/>
          <w:bCs/>
          <w:lang w:val="pl-PL"/>
        </w:rPr>
        <w:t>.</w:t>
      </w:r>
    </w:p>
    <w:p w14:paraId="6CAE4DFA" w14:textId="77777777" w:rsidR="00D22235" w:rsidRPr="008F328C" w:rsidRDefault="00D22235" w:rsidP="00D22235">
      <w:pPr>
        <w:pStyle w:val="a3"/>
        <w:keepNext/>
        <w:keepLines/>
        <w:jc w:val="center"/>
        <w:rPr>
          <w:b/>
          <w:lang w:val="pl-PL"/>
        </w:rPr>
      </w:pPr>
      <w:r w:rsidRPr="008F328C">
        <w:rPr>
          <w:rFonts w:eastAsia="Times New Roman"/>
          <w:b/>
          <w:bCs/>
          <w:lang w:val="pl-PL"/>
        </w:rPr>
        <w:t>Badanie I w łuszczycy (REVEAL) - wyniki skuteczności w 16. tygodniu</w:t>
      </w: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D22235" w:rsidRPr="008F328C" w14:paraId="28F81598" w14:textId="77777777" w:rsidTr="00B17C6A">
        <w:tc>
          <w:tcPr>
            <w:tcW w:w="2625" w:type="dxa"/>
            <w:tcBorders>
              <w:top w:val="single" w:sz="5" w:space="0" w:color="000000"/>
              <w:left w:val="single" w:sz="5" w:space="0" w:color="000000"/>
              <w:bottom w:val="single" w:sz="5" w:space="0" w:color="000000"/>
              <w:right w:val="single" w:sz="5" w:space="0" w:color="000000"/>
            </w:tcBorders>
          </w:tcPr>
          <w:p w14:paraId="75F259D7" w14:textId="77777777" w:rsidR="00D22235" w:rsidRPr="008F328C" w:rsidRDefault="00D22235" w:rsidP="00B17C6A">
            <w:pPr>
              <w:rPr>
                <w:rFonts w:ascii="Times New Roman" w:hAnsi="Times New Roman" w:cs="Times New Roman"/>
                <w:lang w:val="pl-PL"/>
              </w:rPr>
            </w:pPr>
          </w:p>
        </w:tc>
        <w:tc>
          <w:tcPr>
            <w:tcW w:w="1701" w:type="dxa"/>
            <w:tcBorders>
              <w:top w:val="single" w:sz="5" w:space="0" w:color="000000"/>
              <w:left w:val="single" w:sz="5" w:space="0" w:color="000000"/>
              <w:bottom w:val="single" w:sz="5" w:space="0" w:color="000000"/>
              <w:right w:val="single" w:sz="5" w:space="0" w:color="000000"/>
            </w:tcBorders>
          </w:tcPr>
          <w:p w14:paraId="6D6D8E34" w14:textId="77777777" w:rsidR="00D22235" w:rsidRPr="008F328C" w:rsidRDefault="00D22235" w:rsidP="00B17C6A">
            <w:pPr>
              <w:pStyle w:val="TableParagraph"/>
              <w:spacing w:before="3" w:line="252" w:lineRule="exact"/>
              <w:ind w:left="498" w:right="433" w:hanging="6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 xml:space="preserve">Placebo N=398 </w:t>
            </w:r>
          </w:p>
          <w:p w14:paraId="1EF55FE5" w14:textId="77777777" w:rsidR="00D22235" w:rsidRPr="008F328C" w:rsidRDefault="00D22235" w:rsidP="00B17C6A">
            <w:pPr>
              <w:pStyle w:val="TableParagraph"/>
              <w:spacing w:before="3" w:line="252" w:lineRule="exact"/>
              <w:ind w:left="498" w:right="433" w:hanging="6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c>
          <w:tcPr>
            <w:tcW w:w="2801" w:type="dxa"/>
            <w:tcBorders>
              <w:top w:val="single" w:sz="5" w:space="0" w:color="000000"/>
              <w:left w:val="single" w:sz="5" w:space="0" w:color="000000"/>
              <w:bottom w:val="single" w:sz="5" w:space="0" w:color="000000"/>
              <w:right w:val="single" w:sz="5" w:space="0" w:color="000000"/>
            </w:tcBorders>
          </w:tcPr>
          <w:p w14:paraId="466CA989" w14:textId="77777777" w:rsidR="00D22235" w:rsidRPr="008F328C" w:rsidRDefault="00D22235" w:rsidP="00B17C6A">
            <w:pPr>
              <w:pStyle w:val="TableParagraph"/>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51B0C256" w14:textId="77777777" w:rsidR="00D22235" w:rsidRPr="008F328C" w:rsidRDefault="00D22235" w:rsidP="00B17C6A">
            <w:pPr>
              <w:pStyle w:val="TableParagraph"/>
              <w:spacing w:before="3"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N=814 </w:t>
            </w:r>
          </w:p>
          <w:p w14:paraId="051C47B8" w14:textId="77777777" w:rsidR="00D22235" w:rsidRPr="008F328C" w:rsidRDefault="00D22235" w:rsidP="00B17C6A">
            <w:pPr>
              <w:pStyle w:val="TableParagraph"/>
              <w:spacing w:before="3" w:line="252" w:lineRule="exact"/>
              <w:ind w:left="277" w:right="27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D22235" w:rsidRPr="008F328C" w14:paraId="5EE264AD" w14:textId="77777777" w:rsidTr="00B17C6A">
        <w:tc>
          <w:tcPr>
            <w:tcW w:w="2625" w:type="dxa"/>
            <w:tcBorders>
              <w:top w:val="single" w:sz="5" w:space="0" w:color="000000"/>
              <w:left w:val="single" w:sz="5" w:space="0" w:color="000000"/>
              <w:bottom w:val="single" w:sz="5" w:space="0" w:color="000000"/>
              <w:right w:val="single" w:sz="5" w:space="0" w:color="000000"/>
            </w:tcBorders>
          </w:tcPr>
          <w:p w14:paraId="50612117" w14:textId="77777777" w:rsidR="00D22235" w:rsidRPr="008F328C" w:rsidRDefault="00D22235" w:rsidP="00B17C6A">
            <w:pPr>
              <w:pStyle w:val="TableParagraph"/>
              <w:spacing w:line="267" w:lineRule="exact"/>
              <w:ind w:left="320"/>
              <w:rPr>
                <w:rFonts w:ascii="Times New Roman" w:eastAsia="Times New Roman" w:hAnsi="Times New Roman" w:cs="Times New Roman"/>
                <w:sz w:val="14"/>
                <w:szCs w:val="14"/>
                <w:lang w:val="pl-PL"/>
              </w:rPr>
            </w:pPr>
            <w:r w:rsidRPr="008F328C">
              <w:rPr>
                <w:rFonts w:ascii="Times New Roman" w:eastAsia="Symbol" w:hAnsi="Times New Roman" w:cs="Times New Roman"/>
                <w:b/>
                <w:bCs/>
                <w:lang w:val="pl-PL"/>
              </w:rPr>
              <w:sym w:font="Symbol" w:char="F0B3"/>
            </w:r>
            <w:r w:rsidRPr="008F328C">
              <w:rPr>
                <w:rFonts w:ascii="Times New Roman" w:eastAsia="Symbol" w:hAnsi="Times New Roman" w:cs="Times New Roman"/>
                <w:b/>
                <w:bCs/>
                <w:lang w:val="pl-PL"/>
              </w:rPr>
              <w:sym w:font="Symbol" w:char="F020"/>
            </w:r>
            <w:r w:rsidRPr="008F328C">
              <w:rPr>
                <w:rFonts w:ascii="Times New Roman" w:eastAsia="Times New Roman" w:hAnsi="Times New Roman" w:cs="Times New Roman"/>
                <w:b/>
                <w:bCs/>
                <w:lang w:val="pl-PL"/>
              </w:rPr>
              <w:t>PASI 75</w:t>
            </w:r>
            <w:r w:rsidRPr="008F328C">
              <w:rPr>
                <w:rFonts w:ascii="Times New Roman" w:eastAsia="Times New Roman" w:hAnsi="Times New Roman" w:cs="Times New Roman"/>
                <w:b/>
                <w:bCs/>
                <w:vertAlign w:val="superscript"/>
                <w:lang w:val="pl-PL"/>
              </w:rPr>
              <w:t>a</w:t>
            </w:r>
          </w:p>
        </w:tc>
        <w:tc>
          <w:tcPr>
            <w:tcW w:w="1701" w:type="dxa"/>
            <w:tcBorders>
              <w:top w:val="single" w:sz="5" w:space="0" w:color="000000"/>
              <w:left w:val="single" w:sz="5" w:space="0" w:color="000000"/>
              <w:bottom w:val="single" w:sz="5" w:space="0" w:color="000000"/>
              <w:right w:val="single" w:sz="5" w:space="0" w:color="000000"/>
            </w:tcBorders>
          </w:tcPr>
          <w:p w14:paraId="393F4406" w14:textId="77777777" w:rsidR="00D22235" w:rsidRPr="008F328C" w:rsidRDefault="00D22235" w:rsidP="00B17C6A">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(6,5)</w:t>
            </w:r>
          </w:p>
        </w:tc>
        <w:tc>
          <w:tcPr>
            <w:tcW w:w="2801" w:type="dxa"/>
            <w:tcBorders>
              <w:top w:val="single" w:sz="5" w:space="0" w:color="000000"/>
              <w:left w:val="single" w:sz="5" w:space="0" w:color="000000"/>
              <w:bottom w:val="single" w:sz="5" w:space="0" w:color="000000"/>
              <w:right w:val="single" w:sz="5" w:space="0" w:color="000000"/>
            </w:tcBorders>
          </w:tcPr>
          <w:p w14:paraId="4B217DC2" w14:textId="77777777" w:rsidR="00D22235" w:rsidRPr="008F328C" w:rsidRDefault="00D22235" w:rsidP="00B17C6A">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578 (70,9)</w:t>
            </w:r>
            <w:r w:rsidRPr="008F328C">
              <w:rPr>
                <w:rFonts w:ascii="Times New Roman" w:eastAsia="Times New Roman" w:hAnsi="Times New Roman" w:cs="Times New Roman"/>
                <w:spacing w:val="-1"/>
                <w:sz w:val="14"/>
                <w:szCs w:val="14"/>
                <w:lang w:val="pl-PL"/>
              </w:rPr>
              <w:t>b</w:t>
            </w:r>
          </w:p>
        </w:tc>
      </w:tr>
      <w:tr w:rsidR="00D22235" w:rsidRPr="008F328C" w14:paraId="60DC038B" w14:textId="77777777" w:rsidTr="00B17C6A">
        <w:tc>
          <w:tcPr>
            <w:tcW w:w="2625" w:type="dxa"/>
            <w:tcBorders>
              <w:top w:val="single" w:sz="5" w:space="0" w:color="000000"/>
              <w:left w:val="single" w:sz="5" w:space="0" w:color="000000"/>
              <w:bottom w:val="single" w:sz="5" w:space="0" w:color="000000"/>
              <w:right w:val="single" w:sz="5" w:space="0" w:color="000000"/>
            </w:tcBorders>
          </w:tcPr>
          <w:p w14:paraId="2E3D1B96" w14:textId="77777777" w:rsidR="00D22235" w:rsidRPr="008F328C" w:rsidRDefault="00D22235" w:rsidP="00B17C6A">
            <w:pPr>
              <w:pStyle w:val="TableParagraph"/>
              <w:spacing w:line="251"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PASI 100</w:t>
            </w:r>
          </w:p>
        </w:tc>
        <w:tc>
          <w:tcPr>
            <w:tcW w:w="1701" w:type="dxa"/>
            <w:tcBorders>
              <w:top w:val="single" w:sz="5" w:space="0" w:color="000000"/>
              <w:left w:val="single" w:sz="5" w:space="0" w:color="000000"/>
              <w:bottom w:val="single" w:sz="5" w:space="0" w:color="000000"/>
              <w:right w:val="single" w:sz="5" w:space="0" w:color="000000"/>
            </w:tcBorders>
          </w:tcPr>
          <w:p w14:paraId="7958220E" w14:textId="77777777" w:rsidR="00D22235" w:rsidRPr="008F328C" w:rsidRDefault="00D22235" w:rsidP="00B17C6A">
            <w:pPr>
              <w:pStyle w:val="TableParagraph"/>
              <w:spacing w:line="246" w:lineRule="exact"/>
              <w:ind w:left="512"/>
              <w:rPr>
                <w:rFonts w:ascii="Times New Roman" w:eastAsia="Times New Roman" w:hAnsi="Times New Roman" w:cs="Times New Roman"/>
                <w:lang w:val="pl-PL"/>
              </w:rPr>
            </w:pPr>
            <w:r w:rsidRPr="008F328C">
              <w:rPr>
                <w:rFonts w:ascii="Times New Roman" w:eastAsia="Times New Roman" w:hAnsi="Times New Roman" w:cs="Times New Roman"/>
                <w:lang w:val="pl-PL"/>
              </w:rPr>
              <w:t>3 (0,8)</w:t>
            </w:r>
          </w:p>
        </w:tc>
        <w:tc>
          <w:tcPr>
            <w:tcW w:w="2801" w:type="dxa"/>
            <w:tcBorders>
              <w:top w:val="single" w:sz="5" w:space="0" w:color="000000"/>
              <w:left w:val="single" w:sz="5" w:space="0" w:color="000000"/>
              <w:bottom w:val="single" w:sz="5" w:space="0" w:color="000000"/>
              <w:right w:val="single" w:sz="5" w:space="0" w:color="000000"/>
            </w:tcBorders>
          </w:tcPr>
          <w:p w14:paraId="451F67C0" w14:textId="77777777" w:rsidR="00D22235" w:rsidRPr="008F328C" w:rsidRDefault="00D22235" w:rsidP="00B17C6A">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163 (20,0)</w:t>
            </w:r>
            <w:r w:rsidRPr="008F328C">
              <w:rPr>
                <w:rFonts w:ascii="Times New Roman" w:eastAsia="Times New Roman" w:hAnsi="Times New Roman" w:cs="Times New Roman"/>
                <w:spacing w:val="-1"/>
                <w:sz w:val="14"/>
                <w:szCs w:val="14"/>
                <w:lang w:val="pl-PL"/>
              </w:rPr>
              <w:t>b</w:t>
            </w:r>
          </w:p>
        </w:tc>
      </w:tr>
      <w:tr w:rsidR="00D22235" w:rsidRPr="008F328C" w14:paraId="138F802A" w14:textId="77777777" w:rsidTr="00B17C6A">
        <w:tc>
          <w:tcPr>
            <w:tcW w:w="2625" w:type="dxa"/>
            <w:tcBorders>
              <w:top w:val="single" w:sz="5" w:space="0" w:color="000000"/>
              <w:left w:val="single" w:sz="5" w:space="0" w:color="000000"/>
              <w:bottom w:val="single" w:sz="5" w:space="0" w:color="000000"/>
              <w:right w:val="single" w:sz="5" w:space="0" w:color="000000"/>
            </w:tcBorders>
          </w:tcPr>
          <w:p w14:paraId="7380E0AE" w14:textId="77777777" w:rsidR="00D22235" w:rsidRPr="008F328C" w:rsidRDefault="00D22235" w:rsidP="00B17C6A">
            <w:pPr>
              <w:pStyle w:val="TableParagraph"/>
              <w:spacing w:line="250"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PGA: czysta/prawie czysta</w:t>
            </w:r>
          </w:p>
        </w:tc>
        <w:tc>
          <w:tcPr>
            <w:tcW w:w="1701" w:type="dxa"/>
            <w:tcBorders>
              <w:top w:val="single" w:sz="5" w:space="0" w:color="000000"/>
              <w:left w:val="single" w:sz="5" w:space="0" w:color="000000"/>
              <w:bottom w:val="single" w:sz="5" w:space="0" w:color="000000"/>
              <w:right w:val="single" w:sz="5" w:space="0" w:color="000000"/>
            </w:tcBorders>
          </w:tcPr>
          <w:p w14:paraId="323876B6" w14:textId="77777777" w:rsidR="00D22235" w:rsidRPr="008F328C" w:rsidRDefault="00D22235" w:rsidP="00B17C6A">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17 (4,3)</w:t>
            </w:r>
          </w:p>
        </w:tc>
        <w:tc>
          <w:tcPr>
            <w:tcW w:w="2801" w:type="dxa"/>
            <w:tcBorders>
              <w:top w:val="single" w:sz="5" w:space="0" w:color="000000"/>
              <w:left w:val="single" w:sz="5" w:space="0" w:color="000000"/>
              <w:bottom w:val="single" w:sz="5" w:space="0" w:color="000000"/>
              <w:right w:val="single" w:sz="5" w:space="0" w:color="000000"/>
            </w:tcBorders>
          </w:tcPr>
          <w:p w14:paraId="3B2EF591" w14:textId="77777777" w:rsidR="00D22235" w:rsidRPr="008F328C" w:rsidRDefault="00D22235" w:rsidP="00B17C6A">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506 (62,2)</w:t>
            </w:r>
            <w:r w:rsidRPr="008F328C">
              <w:rPr>
                <w:rFonts w:ascii="Times New Roman" w:eastAsia="Times New Roman" w:hAnsi="Times New Roman" w:cs="Times New Roman"/>
                <w:spacing w:val="-1"/>
                <w:sz w:val="14"/>
                <w:szCs w:val="14"/>
                <w:lang w:val="pl-PL"/>
              </w:rPr>
              <w:t>b</w:t>
            </w:r>
          </w:p>
        </w:tc>
      </w:tr>
      <w:tr w:rsidR="00D22235" w:rsidRPr="00FE49E6" w14:paraId="24A0FD65" w14:textId="77777777" w:rsidTr="00B17C6A">
        <w:tc>
          <w:tcPr>
            <w:tcW w:w="7127" w:type="dxa"/>
            <w:gridSpan w:val="3"/>
            <w:tcBorders>
              <w:top w:val="single" w:sz="5" w:space="0" w:color="000000"/>
              <w:left w:val="single" w:sz="5" w:space="0" w:color="000000"/>
              <w:bottom w:val="single" w:sz="5" w:space="0" w:color="000000"/>
              <w:right w:val="single" w:sz="5" w:space="0" w:color="000000"/>
            </w:tcBorders>
          </w:tcPr>
          <w:p w14:paraId="03347F7D" w14:textId="77777777" w:rsidR="00D22235" w:rsidRPr="008F328C" w:rsidRDefault="00D22235" w:rsidP="00B17C6A">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a</w:t>
            </w:r>
            <w:r w:rsidRPr="008F328C">
              <w:rPr>
                <w:rFonts w:ascii="Times New Roman" w:eastAsia="Times New Roman" w:hAnsi="Times New Roman" w:cs="Times New Roman"/>
                <w:lang w:val="pl-PL"/>
              </w:rPr>
              <w:t xml:space="preserve"> Odsetek pacjentów osiągających odpowiedź PASI 75 obliczano jako współczynnik korygowany dla ośrodków</w:t>
            </w:r>
          </w:p>
          <w:p w14:paraId="100B82AE" w14:textId="77777777" w:rsidR="00D22235" w:rsidRPr="008F328C" w:rsidRDefault="00D22235" w:rsidP="00B17C6A">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b</w:t>
            </w:r>
            <w:r w:rsidRPr="008F328C">
              <w:rPr>
                <w:rFonts w:ascii="Times New Roman" w:eastAsia="Times New Roman" w:hAnsi="Times New Roman" w:cs="Times New Roman"/>
                <w:lang w:val="pl-PL"/>
              </w:rPr>
              <w:t xml:space="preserve"> p ≤ 0,001, adalimumab w porównaniu do placebo</w:t>
            </w:r>
          </w:p>
        </w:tc>
      </w:tr>
    </w:tbl>
    <w:p w14:paraId="4F25CE4D" w14:textId="77777777" w:rsidR="00D22235" w:rsidRPr="008F328C" w:rsidRDefault="00D22235" w:rsidP="00D22235">
      <w:pPr>
        <w:spacing w:line="110" w:lineRule="exact"/>
        <w:rPr>
          <w:rFonts w:ascii="Times New Roman" w:hAnsi="Times New Roman" w:cs="Times New Roman"/>
          <w:sz w:val="11"/>
          <w:szCs w:val="11"/>
          <w:lang w:val="pl-PL"/>
        </w:rPr>
      </w:pPr>
    </w:p>
    <w:p w14:paraId="78684C2A" w14:textId="77777777" w:rsidR="00D22235" w:rsidRPr="008F328C" w:rsidRDefault="00D22235" w:rsidP="00D22235">
      <w:pPr>
        <w:spacing w:before="3" w:line="170" w:lineRule="exact"/>
        <w:rPr>
          <w:rFonts w:ascii="Times New Roman" w:hAnsi="Times New Roman" w:cs="Times New Roman"/>
          <w:sz w:val="17"/>
          <w:szCs w:val="17"/>
          <w:lang w:val="pl-PL" w:eastAsia="ko-KR"/>
        </w:rPr>
      </w:pPr>
    </w:p>
    <w:p w14:paraId="543EF28C" w14:textId="64DAFABA" w:rsidR="00D22235" w:rsidRPr="008F328C" w:rsidRDefault="00D22235" w:rsidP="00D22235">
      <w:pPr>
        <w:pStyle w:val="a3"/>
        <w:jc w:val="center"/>
        <w:rPr>
          <w:b/>
          <w:lang w:val="pl-PL"/>
        </w:rPr>
      </w:pPr>
      <w:r w:rsidRPr="008F328C">
        <w:rPr>
          <w:rFonts w:eastAsia="Times New Roman"/>
          <w:b/>
          <w:bCs/>
          <w:lang w:val="pl-PL"/>
        </w:rPr>
        <w:t xml:space="preserve">Tabela </w:t>
      </w:r>
      <w:r w:rsidR="00745F53">
        <w:rPr>
          <w:rFonts w:eastAsia="Times New Roman"/>
          <w:b/>
          <w:bCs/>
          <w:lang w:val="pl-PL"/>
        </w:rPr>
        <w:t>10</w:t>
      </w:r>
      <w:r w:rsidR="004142DA" w:rsidRPr="008F328C">
        <w:rPr>
          <w:rFonts w:eastAsia="Times New Roman"/>
          <w:b/>
          <w:bCs/>
          <w:lang w:val="pl-PL"/>
        </w:rPr>
        <w:t>.</w:t>
      </w:r>
    </w:p>
    <w:p w14:paraId="0DEBD87A" w14:textId="77777777" w:rsidR="00D22235" w:rsidRPr="008F328C" w:rsidRDefault="00D22235" w:rsidP="00D22235">
      <w:pPr>
        <w:pStyle w:val="a3"/>
        <w:jc w:val="center"/>
        <w:rPr>
          <w:b/>
          <w:lang w:val="pl-PL"/>
        </w:rPr>
      </w:pPr>
      <w:r w:rsidRPr="008F328C">
        <w:rPr>
          <w:rFonts w:eastAsia="Times New Roman"/>
          <w:b/>
          <w:bCs/>
          <w:lang w:val="pl-PL"/>
        </w:rPr>
        <w:t>Badanie II w łuszczycy (CHAMPION) – wyniki skuteczności w 16. tygodniu</w:t>
      </w: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D22235" w:rsidRPr="008F328C" w14:paraId="34A0055E" w14:textId="77777777" w:rsidTr="00B17C6A">
        <w:tc>
          <w:tcPr>
            <w:tcW w:w="2294" w:type="dxa"/>
            <w:vAlign w:val="center"/>
          </w:tcPr>
          <w:p w14:paraId="2BDC7E36" w14:textId="77777777" w:rsidR="00D22235" w:rsidRPr="008F328C" w:rsidRDefault="00D22235" w:rsidP="00B17C6A">
            <w:pPr>
              <w:pStyle w:val="a3"/>
              <w:rPr>
                <w:lang w:val="pl-PL"/>
              </w:rPr>
            </w:pPr>
          </w:p>
        </w:tc>
        <w:tc>
          <w:tcPr>
            <w:tcW w:w="2197" w:type="dxa"/>
            <w:vAlign w:val="center"/>
          </w:tcPr>
          <w:p w14:paraId="44E2B8CE" w14:textId="77777777" w:rsidR="00D22235" w:rsidRPr="008F328C" w:rsidRDefault="00D22235" w:rsidP="00B17C6A">
            <w:pPr>
              <w:pStyle w:val="TableParagraph"/>
              <w:spacing w:before="4" w:line="252" w:lineRule="exact"/>
              <w:ind w:left="459" w:right="459"/>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Placebo N=53</w:t>
            </w:r>
          </w:p>
          <w:p w14:paraId="48D892D9" w14:textId="77777777" w:rsidR="00D22235" w:rsidRPr="008F328C" w:rsidRDefault="00D22235" w:rsidP="00B17C6A">
            <w:pPr>
              <w:pStyle w:val="TableParagraph"/>
              <w:spacing w:before="4" w:line="252" w:lineRule="exact"/>
              <w:ind w:left="459" w:right="459"/>
              <w:jc w:val="center"/>
              <w:rPr>
                <w:rFonts w:ascii="Times New Roman" w:hAnsi="Times New Roman" w:cs="Times New Roman"/>
                <w:b/>
                <w:lang w:val="pl-PL"/>
              </w:rPr>
            </w:pPr>
            <w:r w:rsidRPr="008F328C">
              <w:rPr>
                <w:rFonts w:ascii="Times New Roman" w:eastAsia="Times New Roman" w:hAnsi="Times New Roman" w:cs="Times New Roman"/>
                <w:b/>
                <w:bCs/>
                <w:lang w:val="pl-PL"/>
              </w:rPr>
              <w:t>n (%)</w:t>
            </w:r>
          </w:p>
        </w:tc>
        <w:tc>
          <w:tcPr>
            <w:tcW w:w="2197" w:type="dxa"/>
            <w:vAlign w:val="center"/>
          </w:tcPr>
          <w:p w14:paraId="37866AC5" w14:textId="77777777" w:rsidR="00D22235" w:rsidRPr="008F328C" w:rsidRDefault="00D22235" w:rsidP="00B17C6A">
            <w:pPr>
              <w:pStyle w:val="a3"/>
              <w:jc w:val="center"/>
              <w:rPr>
                <w:b/>
                <w:lang w:val="pl-PL"/>
              </w:rPr>
            </w:pPr>
            <w:r w:rsidRPr="008F328C">
              <w:rPr>
                <w:rFonts w:eastAsia="Times New Roman"/>
                <w:b/>
                <w:bCs/>
                <w:lang w:val="pl-PL"/>
              </w:rPr>
              <w:t>MTX</w:t>
            </w:r>
          </w:p>
          <w:p w14:paraId="3ABADC89" w14:textId="77777777" w:rsidR="00D22235" w:rsidRPr="008F328C" w:rsidRDefault="00D22235" w:rsidP="00B17C6A">
            <w:pPr>
              <w:pStyle w:val="a3"/>
              <w:jc w:val="center"/>
              <w:rPr>
                <w:b/>
                <w:lang w:val="pl-PL"/>
              </w:rPr>
            </w:pPr>
            <w:r w:rsidRPr="008F328C">
              <w:rPr>
                <w:rFonts w:eastAsia="Times New Roman"/>
                <w:b/>
                <w:bCs/>
                <w:lang w:val="pl-PL"/>
              </w:rPr>
              <w:t>N=110</w:t>
            </w:r>
          </w:p>
          <w:p w14:paraId="2DAB4CDC" w14:textId="77777777" w:rsidR="00D22235" w:rsidRPr="008F328C" w:rsidRDefault="00D22235" w:rsidP="00B17C6A">
            <w:pPr>
              <w:pStyle w:val="a3"/>
              <w:jc w:val="center"/>
              <w:rPr>
                <w:lang w:val="pl-PL"/>
              </w:rPr>
            </w:pPr>
            <w:r w:rsidRPr="008F328C">
              <w:rPr>
                <w:rFonts w:eastAsia="Times New Roman"/>
                <w:b/>
                <w:bCs/>
                <w:lang w:val="pl-PL"/>
              </w:rPr>
              <w:t>n (%)</w:t>
            </w:r>
          </w:p>
        </w:tc>
        <w:tc>
          <w:tcPr>
            <w:tcW w:w="2751" w:type="dxa"/>
            <w:vAlign w:val="center"/>
          </w:tcPr>
          <w:p w14:paraId="1FB06CA4" w14:textId="77777777" w:rsidR="00D22235" w:rsidRPr="008F328C" w:rsidRDefault="00D22235" w:rsidP="00B17C6A">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4E448573" w14:textId="77777777" w:rsidR="00D22235" w:rsidRPr="008F328C" w:rsidRDefault="00D22235" w:rsidP="00B17C6A">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N=108</w:t>
            </w:r>
          </w:p>
          <w:p w14:paraId="35C07D9F" w14:textId="77777777" w:rsidR="00D22235" w:rsidRPr="008F328C" w:rsidRDefault="00D22235" w:rsidP="00B17C6A">
            <w:pPr>
              <w:pStyle w:val="TableParagraph"/>
              <w:spacing w:before="4" w:line="252" w:lineRule="exact"/>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D22235" w:rsidRPr="008F328C" w14:paraId="7F3C46FB" w14:textId="77777777" w:rsidTr="00B17C6A">
        <w:tc>
          <w:tcPr>
            <w:tcW w:w="2294" w:type="dxa"/>
          </w:tcPr>
          <w:p w14:paraId="79FAC15C" w14:textId="77777777" w:rsidR="00D22235" w:rsidRPr="008F328C" w:rsidRDefault="00D22235" w:rsidP="00B17C6A">
            <w:pPr>
              <w:pStyle w:val="a3"/>
              <w:rPr>
                <w:b/>
                <w:lang w:val="pl-PL"/>
              </w:rPr>
            </w:pPr>
            <w:r w:rsidRPr="008F328C">
              <w:rPr>
                <w:rFonts w:eastAsia="Symbol"/>
                <w:b/>
                <w:lang w:val="pl-PL"/>
              </w:rPr>
              <w:sym w:font="Symbol" w:char="F0B3"/>
            </w:r>
            <w:r w:rsidRPr="008F328C">
              <w:rPr>
                <w:rFonts w:eastAsia="Symbol"/>
                <w:b/>
                <w:lang w:val="pl-PL"/>
              </w:rPr>
              <w:sym w:font="Symbol" w:char="F020"/>
            </w:r>
            <w:r w:rsidRPr="008F328C">
              <w:rPr>
                <w:rFonts w:eastAsia="Times New Roman"/>
                <w:b/>
                <w:lang w:val="pl-PL"/>
              </w:rPr>
              <w:t>PASI 75</w:t>
            </w:r>
          </w:p>
        </w:tc>
        <w:tc>
          <w:tcPr>
            <w:tcW w:w="2197" w:type="dxa"/>
          </w:tcPr>
          <w:p w14:paraId="23D8DAF0" w14:textId="77777777" w:rsidR="00D22235" w:rsidRPr="008F328C" w:rsidRDefault="00D22235" w:rsidP="00B17C6A">
            <w:pPr>
              <w:pStyle w:val="a3"/>
              <w:jc w:val="center"/>
              <w:rPr>
                <w:b/>
                <w:lang w:val="pl-PL"/>
              </w:rPr>
            </w:pPr>
            <w:r w:rsidRPr="008F328C">
              <w:rPr>
                <w:rFonts w:eastAsia="Times New Roman"/>
                <w:lang w:val="pl-PL"/>
              </w:rPr>
              <w:t>10 (18,9)</w:t>
            </w:r>
          </w:p>
        </w:tc>
        <w:tc>
          <w:tcPr>
            <w:tcW w:w="2197" w:type="dxa"/>
          </w:tcPr>
          <w:p w14:paraId="5153EE0C" w14:textId="77777777" w:rsidR="00D22235" w:rsidRPr="008F328C" w:rsidRDefault="00D22235" w:rsidP="00B17C6A">
            <w:pPr>
              <w:pStyle w:val="a3"/>
              <w:jc w:val="center"/>
              <w:rPr>
                <w:b/>
                <w:lang w:val="pl-PL"/>
              </w:rPr>
            </w:pPr>
            <w:r w:rsidRPr="008F328C">
              <w:rPr>
                <w:rFonts w:eastAsia="Times New Roman"/>
                <w:lang w:val="pl-PL"/>
              </w:rPr>
              <w:t>39 (35,5)</w:t>
            </w:r>
          </w:p>
        </w:tc>
        <w:tc>
          <w:tcPr>
            <w:tcW w:w="2751" w:type="dxa"/>
          </w:tcPr>
          <w:p w14:paraId="1BE0196E" w14:textId="77777777" w:rsidR="00D22235" w:rsidRPr="008F328C" w:rsidRDefault="00D22235" w:rsidP="00B17C6A">
            <w:pPr>
              <w:pStyle w:val="a3"/>
              <w:jc w:val="center"/>
              <w:rPr>
                <w:b/>
                <w:lang w:val="pl-PL"/>
              </w:rPr>
            </w:pPr>
            <w:r w:rsidRPr="008F328C">
              <w:rPr>
                <w:rFonts w:eastAsia="Times New Roman"/>
                <w:spacing w:val="-1"/>
                <w:lang w:val="pl-PL"/>
              </w:rPr>
              <w:t xml:space="preserve">86 (79,6) </w:t>
            </w:r>
            <w:r w:rsidRPr="008F328C">
              <w:rPr>
                <w:rFonts w:eastAsia="Times New Roman"/>
                <w:spacing w:val="-1"/>
                <w:vertAlign w:val="superscript"/>
                <w:lang w:val="pl-PL"/>
              </w:rPr>
              <w:t>a, b</w:t>
            </w:r>
          </w:p>
        </w:tc>
      </w:tr>
      <w:tr w:rsidR="00D22235" w:rsidRPr="008F328C" w14:paraId="7C1E7382" w14:textId="77777777" w:rsidTr="00B17C6A">
        <w:tc>
          <w:tcPr>
            <w:tcW w:w="2294" w:type="dxa"/>
          </w:tcPr>
          <w:p w14:paraId="467C09F6" w14:textId="77777777" w:rsidR="00D22235" w:rsidRPr="008F328C" w:rsidRDefault="00D22235" w:rsidP="00B17C6A">
            <w:pPr>
              <w:pStyle w:val="a3"/>
              <w:rPr>
                <w:b/>
                <w:lang w:val="pl-PL"/>
              </w:rPr>
            </w:pPr>
            <w:r w:rsidRPr="008F328C">
              <w:rPr>
                <w:rFonts w:eastAsia="Times New Roman"/>
                <w:b/>
                <w:lang w:val="pl-PL"/>
              </w:rPr>
              <w:t>PASI 100</w:t>
            </w:r>
          </w:p>
        </w:tc>
        <w:tc>
          <w:tcPr>
            <w:tcW w:w="2197" w:type="dxa"/>
          </w:tcPr>
          <w:p w14:paraId="1F970919" w14:textId="77777777" w:rsidR="00D22235" w:rsidRPr="008F328C" w:rsidRDefault="00D22235" w:rsidP="00B17C6A">
            <w:pPr>
              <w:pStyle w:val="a3"/>
              <w:jc w:val="center"/>
              <w:rPr>
                <w:b/>
                <w:lang w:val="pl-PL"/>
              </w:rPr>
            </w:pPr>
            <w:r w:rsidRPr="008F328C">
              <w:rPr>
                <w:rFonts w:eastAsia="Times New Roman"/>
                <w:lang w:val="pl-PL"/>
              </w:rPr>
              <w:t>1 (1,9)</w:t>
            </w:r>
          </w:p>
        </w:tc>
        <w:tc>
          <w:tcPr>
            <w:tcW w:w="2197" w:type="dxa"/>
          </w:tcPr>
          <w:p w14:paraId="0044B8B0" w14:textId="77777777" w:rsidR="00D22235" w:rsidRPr="008F328C" w:rsidRDefault="00D22235" w:rsidP="00B17C6A">
            <w:pPr>
              <w:pStyle w:val="a3"/>
              <w:jc w:val="center"/>
              <w:rPr>
                <w:b/>
                <w:lang w:val="pl-PL"/>
              </w:rPr>
            </w:pPr>
            <w:r w:rsidRPr="008F328C">
              <w:rPr>
                <w:rFonts w:eastAsia="Times New Roman"/>
                <w:lang w:val="pl-PL"/>
              </w:rPr>
              <w:t>8 (7,3)</w:t>
            </w:r>
          </w:p>
        </w:tc>
        <w:tc>
          <w:tcPr>
            <w:tcW w:w="2751" w:type="dxa"/>
          </w:tcPr>
          <w:p w14:paraId="676DD8AE" w14:textId="77777777" w:rsidR="00D22235" w:rsidRPr="008F328C" w:rsidRDefault="00D22235" w:rsidP="00B17C6A">
            <w:pPr>
              <w:pStyle w:val="a3"/>
              <w:jc w:val="center"/>
              <w:rPr>
                <w:b/>
                <w:lang w:val="pl-PL"/>
              </w:rPr>
            </w:pPr>
            <w:r w:rsidRPr="008F328C">
              <w:rPr>
                <w:rFonts w:eastAsia="Times New Roman"/>
                <w:spacing w:val="-1"/>
                <w:lang w:val="pl-PL"/>
              </w:rPr>
              <w:t xml:space="preserve">18 (16,7) </w:t>
            </w:r>
            <w:r w:rsidRPr="008F328C">
              <w:rPr>
                <w:rFonts w:eastAsia="Times New Roman"/>
                <w:spacing w:val="-1"/>
                <w:vertAlign w:val="superscript"/>
                <w:lang w:val="pl-PL"/>
              </w:rPr>
              <w:t>c, d</w:t>
            </w:r>
          </w:p>
        </w:tc>
      </w:tr>
      <w:tr w:rsidR="00D22235" w:rsidRPr="008F328C" w14:paraId="24915609" w14:textId="77777777" w:rsidTr="00B17C6A">
        <w:tc>
          <w:tcPr>
            <w:tcW w:w="2294" w:type="dxa"/>
          </w:tcPr>
          <w:p w14:paraId="37424AD2" w14:textId="77777777" w:rsidR="00D22235" w:rsidRPr="008F328C" w:rsidRDefault="00D22235" w:rsidP="00B17C6A">
            <w:pPr>
              <w:pStyle w:val="TableParagraph"/>
              <w:spacing w:line="251" w:lineRule="exact"/>
              <w:rPr>
                <w:rFonts w:ascii="Times New Roman" w:hAnsi="Times New Roman" w:cs="Times New Roman"/>
                <w:b/>
                <w:lang w:val="pl-PL"/>
              </w:rPr>
            </w:pPr>
            <w:r w:rsidRPr="008F328C">
              <w:rPr>
                <w:rFonts w:ascii="Times New Roman" w:eastAsia="Times New Roman" w:hAnsi="Times New Roman" w:cs="Times New Roman"/>
                <w:b/>
                <w:bCs/>
                <w:lang w:val="pl-PL"/>
              </w:rPr>
              <w:t>PGA: czysta/prawie czysta</w:t>
            </w:r>
          </w:p>
        </w:tc>
        <w:tc>
          <w:tcPr>
            <w:tcW w:w="2197" w:type="dxa"/>
          </w:tcPr>
          <w:p w14:paraId="053D393A" w14:textId="77777777" w:rsidR="00D22235" w:rsidRPr="008F328C" w:rsidRDefault="00D22235" w:rsidP="00B17C6A">
            <w:pPr>
              <w:pStyle w:val="a3"/>
              <w:jc w:val="center"/>
              <w:rPr>
                <w:b/>
                <w:lang w:val="pl-PL"/>
              </w:rPr>
            </w:pPr>
            <w:r w:rsidRPr="008F328C">
              <w:rPr>
                <w:rFonts w:eastAsia="Times New Roman"/>
                <w:lang w:val="pl-PL"/>
              </w:rPr>
              <w:t>6 (11,3)</w:t>
            </w:r>
          </w:p>
        </w:tc>
        <w:tc>
          <w:tcPr>
            <w:tcW w:w="2197" w:type="dxa"/>
          </w:tcPr>
          <w:p w14:paraId="18C91EDE" w14:textId="77777777" w:rsidR="00D22235" w:rsidRPr="008F328C" w:rsidRDefault="00D22235" w:rsidP="00B17C6A">
            <w:pPr>
              <w:pStyle w:val="a3"/>
              <w:jc w:val="center"/>
              <w:rPr>
                <w:b/>
                <w:lang w:val="pl-PL"/>
              </w:rPr>
            </w:pPr>
            <w:r w:rsidRPr="008F328C">
              <w:rPr>
                <w:rFonts w:eastAsia="Times New Roman"/>
                <w:lang w:val="pl-PL"/>
              </w:rPr>
              <w:t>33 (30,0)</w:t>
            </w:r>
          </w:p>
        </w:tc>
        <w:tc>
          <w:tcPr>
            <w:tcW w:w="2751" w:type="dxa"/>
          </w:tcPr>
          <w:p w14:paraId="76B1F859" w14:textId="77777777" w:rsidR="00D22235" w:rsidRPr="008F328C" w:rsidRDefault="00D22235" w:rsidP="00B17C6A">
            <w:pPr>
              <w:pStyle w:val="a3"/>
              <w:jc w:val="center"/>
              <w:rPr>
                <w:b/>
                <w:lang w:val="pl-PL"/>
              </w:rPr>
            </w:pPr>
            <w:r w:rsidRPr="008F328C">
              <w:rPr>
                <w:rFonts w:eastAsia="Times New Roman"/>
                <w:spacing w:val="-1"/>
                <w:lang w:val="pl-PL"/>
              </w:rPr>
              <w:t xml:space="preserve">79 (73.1) </w:t>
            </w:r>
            <w:r w:rsidRPr="008F328C">
              <w:rPr>
                <w:rFonts w:eastAsia="Times New Roman"/>
                <w:spacing w:val="-1"/>
                <w:vertAlign w:val="superscript"/>
                <w:lang w:val="pl-PL"/>
              </w:rPr>
              <w:t>a, b</w:t>
            </w:r>
          </w:p>
        </w:tc>
      </w:tr>
      <w:tr w:rsidR="00D22235" w:rsidRPr="00FE49E6" w14:paraId="5137435C" w14:textId="77777777" w:rsidTr="00B17C6A">
        <w:tc>
          <w:tcPr>
            <w:tcW w:w="9439" w:type="dxa"/>
            <w:gridSpan w:val="4"/>
          </w:tcPr>
          <w:p w14:paraId="769E59BA" w14:textId="77777777" w:rsidR="00D22235" w:rsidRPr="008F328C" w:rsidRDefault="00D22235" w:rsidP="00B17C6A">
            <w:pPr>
              <w:pStyle w:val="TableParagraph"/>
              <w:spacing w:line="246"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a</w:t>
            </w:r>
            <w:r w:rsidRPr="008F328C">
              <w:rPr>
                <w:rFonts w:ascii="Times New Roman" w:eastAsia="Times New Roman" w:hAnsi="Times New Roman" w:cs="Times New Roman"/>
                <w:spacing w:val="-2"/>
                <w:lang w:val="pl-PL"/>
              </w:rPr>
              <w:t xml:space="preserve"> p &lt; 0,001 adalimumab w porównaniu do placebo</w:t>
            </w:r>
          </w:p>
          <w:p w14:paraId="33E53932" w14:textId="77777777" w:rsidR="00D22235" w:rsidRPr="008F328C" w:rsidRDefault="00D22235" w:rsidP="00B17C6A">
            <w:pPr>
              <w:pStyle w:val="TableParagraph"/>
              <w:spacing w:line="252"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b</w:t>
            </w:r>
            <w:r w:rsidRPr="008F328C">
              <w:rPr>
                <w:rFonts w:ascii="Times New Roman" w:eastAsia="Times New Roman" w:hAnsi="Times New Roman" w:cs="Times New Roman"/>
                <w:spacing w:val="-2"/>
                <w:lang w:val="pl-PL"/>
              </w:rPr>
              <w:t xml:space="preserve"> p &lt; 0,001 adalimumab w porównaniu do metotreksatu</w:t>
            </w:r>
          </w:p>
          <w:p w14:paraId="7BCFFA1E" w14:textId="77777777" w:rsidR="00D22235" w:rsidRPr="008F328C" w:rsidRDefault="00D22235" w:rsidP="00B17C6A">
            <w:pPr>
              <w:pStyle w:val="TableParagraph"/>
              <w:spacing w:line="254"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c</w:t>
            </w:r>
            <w:r w:rsidRPr="008F328C">
              <w:rPr>
                <w:rFonts w:ascii="Times New Roman" w:eastAsia="Times New Roman" w:hAnsi="Times New Roman" w:cs="Times New Roman"/>
                <w:spacing w:val="-2"/>
                <w:lang w:val="pl-PL"/>
              </w:rPr>
              <w:t xml:space="preserve"> p &lt; 0,01, adalimumab w porównaniu do placebo</w:t>
            </w:r>
          </w:p>
          <w:p w14:paraId="74BB519F" w14:textId="77777777" w:rsidR="00D22235" w:rsidRPr="008F328C" w:rsidRDefault="00D22235" w:rsidP="00B17C6A">
            <w:pPr>
              <w:pStyle w:val="a3"/>
              <w:rPr>
                <w:rFonts w:eastAsia="Times New Roman"/>
                <w:spacing w:val="-2"/>
                <w:lang w:val="pl-PL"/>
              </w:rPr>
            </w:pPr>
            <w:r w:rsidRPr="008F328C">
              <w:rPr>
                <w:rFonts w:eastAsia="Times New Roman"/>
                <w:spacing w:val="-2"/>
                <w:vertAlign w:val="superscript"/>
                <w:lang w:val="pl-PL"/>
              </w:rPr>
              <w:t>d</w:t>
            </w:r>
            <w:r w:rsidRPr="008F328C">
              <w:rPr>
                <w:rFonts w:eastAsia="Times New Roman"/>
                <w:spacing w:val="-2"/>
                <w:lang w:val="pl-PL"/>
              </w:rPr>
              <w:t xml:space="preserve"> p &lt; 0,05 adalimumab w porównaniu do metotreksatu</w:t>
            </w:r>
          </w:p>
        </w:tc>
      </w:tr>
    </w:tbl>
    <w:p w14:paraId="50201157" w14:textId="77777777" w:rsidR="00D22235" w:rsidRPr="008F328C" w:rsidRDefault="00D22235" w:rsidP="00D22235">
      <w:pPr>
        <w:pStyle w:val="a3"/>
        <w:rPr>
          <w:lang w:val="pl-PL"/>
        </w:rPr>
      </w:pPr>
    </w:p>
    <w:p w14:paraId="7946062D" w14:textId="77777777" w:rsidR="00D22235" w:rsidRPr="008F328C" w:rsidRDefault="00D22235" w:rsidP="00D22235">
      <w:pPr>
        <w:pStyle w:val="a3"/>
        <w:rPr>
          <w:lang w:val="pl-PL"/>
        </w:rPr>
      </w:pPr>
      <w:r w:rsidRPr="008F328C">
        <w:rPr>
          <w:rFonts w:eastAsia="Times New Roman"/>
          <w:spacing w:val="-2"/>
          <w:lang w:val="pl-PL"/>
        </w:rPr>
        <w:t xml:space="preserve">W badaniu I w łuszczycy, u 28% pacjentów, którzy uzyskali odpowiedź PASI 75 i w 33. tygodniu zostali </w:t>
      </w:r>
      <w:r w:rsidRPr="008F328C">
        <w:rPr>
          <w:rFonts w:eastAsia="Times New Roman"/>
          <w:spacing w:val="-2"/>
          <w:lang w:val="pl-PL"/>
        </w:rPr>
        <w:lastRenderedPageBreak/>
        <w:t>powtórnie losowo przydzieleni do grupy otrzymującej placebo w porównaniu do 5% pacjentów kontynuujących leczenie adalimumabem, p &lt; 0,001, wystąpiła „utrata adekwatnej odpowiedzi na leczenie” (punktacja PASI po 33. tygodniu oraz w 52. tygodniu lub przed 52. tygodniem, co dało odpowiedź &lt; PASI 50 w stosunku do wartości wyjściowych z co najmniej 6-punktowym zwiększeniem w punktacji PASI w stosunku do 33. tygodnia). Spośród pacjentów, którzy „utracili adekwatną odpowiedź na leczenie” po powtórnym losowym przydzieleniu do grupy otrzymującej placebo, a których następnie włączono ponownie do otwartego badania kontynuacyjnego 38% (25/66) i 55% (36/66) odzyskało odpowiedź na leczenie PASI 75 po odpowiednio 12 i 24 tygodniach powtórnego leczenia.</w:t>
      </w:r>
    </w:p>
    <w:p w14:paraId="0E67E8CF" w14:textId="77777777" w:rsidR="00D22235" w:rsidRPr="008F328C" w:rsidRDefault="00D22235" w:rsidP="00D22235">
      <w:pPr>
        <w:spacing w:before="11" w:line="240" w:lineRule="exact"/>
        <w:rPr>
          <w:rFonts w:ascii="Times New Roman" w:hAnsi="Times New Roman" w:cs="Times New Roman"/>
          <w:sz w:val="24"/>
          <w:szCs w:val="24"/>
          <w:lang w:val="pl-PL"/>
        </w:rPr>
      </w:pPr>
    </w:p>
    <w:p w14:paraId="435AF570" w14:textId="77777777" w:rsidR="00D22235" w:rsidRPr="008F328C" w:rsidRDefault="00D22235" w:rsidP="00D22235">
      <w:pPr>
        <w:pStyle w:val="a3"/>
        <w:rPr>
          <w:lang w:val="pl-PL"/>
        </w:rPr>
      </w:pPr>
      <w:r w:rsidRPr="008F328C">
        <w:rPr>
          <w:rFonts w:eastAsia="Times New Roman"/>
          <w:lang w:val="pl-PL"/>
        </w:rPr>
        <w:t>Łącznie 233 pacjentów, którzy w 16. i 33. tygodniu wykazali odpowiedź na leczenie PASI 75, otrzymywało adalimumab przez 52 tygodnie w ramach badania I w łuszczycy, a następnie w otwartym badaniu kontynuacyjnym. U tych pacjentów, po dodatkowych 108 tygodniach leczenia w badaniu otwartym (łącznie 160 tygodni) odsetki odpowiedzi na leczenie PASI 75 i PGA określana jako „czysta” lub „prawie czysta” wynosiły odpowiednio 74,7% i 59,0%. Analiza, w której za nieodpowiadających na leczenie uznano wszystkich tych pacjentów, którzy przerwali udział w badaniu z powodu zdarzeń niepożądanych lub braku skuteczności leczenia albo u których konieczne było znaczne zwiększenie dawki, wykazała że odsetki odpowiedzi PASI 75 i PGA określana jako „czysta” lub „prawie czysta” wynosiły u tych pacjentów odpowiednio 69,6% i 55,7% po dodatkowych 108 tygodniach leczenia w otwartym badaniu kontynuacyjnym (łącznie 160 tygodni).</w:t>
      </w:r>
    </w:p>
    <w:p w14:paraId="138691EC" w14:textId="77777777" w:rsidR="00D22235" w:rsidRPr="008F328C" w:rsidRDefault="00D22235" w:rsidP="00D22235">
      <w:pPr>
        <w:spacing w:before="13" w:line="240" w:lineRule="exact"/>
        <w:rPr>
          <w:rFonts w:ascii="Times New Roman" w:hAnsi="Times New Roman" w:cs="Times New Roman"/>
          <w:sz w:val="24"/>
          <w:szCs w:val="24"/>
          <w:lang w:val="pl-PL"/>
        </w:rPr>
      </w:pPr>
    </w:p>
    <w:p w14:paraId="2C98C21C" w14:textId="77777777" w:rsidR="00D22235" w:rsidRPr="008F328C" w:rsidRDefault="00D22235" w:rsidP="00D22235">
      <w:pPr>
        <w:pStyle w:val="a3"/>
        <w:rPr>
          <w:lang w:val="pl-PL"/>
        </w:rPr>
      </w:pPr>
      <w:r w:rsidRPr="008F328C">
        <w:rPr>
          <w:rFonts w:eastAsia="Times New Roman"/>
          <w:lang w:val="pl-PL"/>
        </w:rPr>
        <w:t>U łącznie 347 pacjentów, wykazujących stałą odpowiedź na leczenie, dokonano oceny w okresie zaprzestania leczenia oraz po wznowieniu leczenia w otwartym badaniu kontynuacyjnym. W okresie w którym zaprzestano leczenia, objawy łuszczycy z czasem nawróciły, a mediana czasu do nawrotu objawów choroby (obniżenie oceny PGA do „umiarkowana” lub jeszcze gorszy wynik) wynosiła około 5 miesięcy. U żadnego z tych pacjentów nie wystąpił pełny nawrót choroby w okresie zaprzestania leczenia. Po 16 tygodniach powtórnego leczenia, odpowiedź ocenianą jako PGA „czysta” lub „prawie czysta” uzyskano łącznie u 76,5% (218/285) pacjentów, którzy wznowili leczenie, niezależnie od tego czy doszło do nawrotu objawów w okresie zaprzestania leczenia (69,1% [123/178] pacjentów, u których w okresie zaprzestania leczenia doszło do nawrotu objawów choroby i 88,8% [95/107] pacjentów, u których nie doszło do nawrotu choroby). W okresie powtórnego leczenia obserwowano podobny profil bezpieczeństwa jak przed zaprzestaniem leczenia.</w:t>
      </w:r>
    </w:p>
    <w:p w14:paraId="7B5B6890" w14:textId="77777777" w:rsidR="00D22235" w:rsidRPr="008F328C" w:rsidRDefault="00D22235" w:rsidP="00D22235">
      <w:pPr>
        <w:pStyle w:val="a3"/>
        <w:rPr>
          <w:lang w:val="pl-PL"/>
        </w:rPr>
      </w:pPr>
    </w:p>
    <w:p w14:paraId="7CC74595" w14:textId="77777777" w:rsidR="00D22235" w:rsidRPr="008F328C" w:rsidRDefault="00D22235" w:rsidP="00D22235">
      <w:pPr>
        <w:pStyle w:val="a3"/>
        <w:rPr>
          <w:lang w:val="pl-PL"/>
        </w:rPr>
      </w:pPr>
      <w:r w:rsidRPr="008F328C">
        <w:rPr>
          <w:rFonts w:eastAsia="Times New Roman"/>
          <w:lang w:val="pl-PL"/>
        </w:rPr>
        <w:t>W 16. tygodniu uzyskano istotną poprawę wskaźnika jakości życia zależnej od dolegliwości skórnych (ang. Dermatology Life Quality Index, DLQI) w stosunku do wartości wyjściowych w porównaniu do placebo (badania I i II) oraz metotreksatu (badanie II). W badaniu I poprawa sumarycznej punktacji składowych dotyczących sprawności fizycznej i psychicznej w kwestionariuszu SF-36 była również istotna w porównaniu do placebo.</w:t>
      </w:r>
    </w:p>
    <w:p w14:paraId="03C56D47" w14:textId="77777777" w:rsidR="00D22235" w:rsidRPr="008F328C" w:rsidRDefault="00D22235" w:rsidP="00D22235">
      <w:pPr>
        <w:spacing w:before="13" w:line="240" w:lineRule="exact"/>
        <w:rPr>
          <w:rFonts w:ascii="Times New Roman" w:hAnsi="Times New Roman" w:cs="Times New Roman"/>
          <w:sz w:val="24"/>
          <w:szCs w:val="24"/>
          <w:lang w:val="pl-PL"/>
        </w:rPr>
      </w:pPr>
    </w:p>
    <w:p w14:paraId="47FDF1EB" w14:textId="77777777" w:rsidR="00D22235" w:rsidRPr="008F328C" w:rsidRDefault="00D22235" w:rsidP="00D22235">
      <w:pPr>
        <w:pStyle w:val="a3"/>
        <w:rPr>
          <w:lang w:val="pl-PL"/>
        </w:rPr>
      </w:pPr>
      <w:r w:rsidRPr="008F328C">
        <w:rPr>
          <w:rFonts w:eastAsia="Times New Roman"/>
          <w:lang w:val="pl-PL"/>
        </w:rPr>
        <w:t>W otwartym badaniu kontynuacyjnym spośród pacjentów, którym zwiększono dawkę z 40 mg co drugi tydzień do 40 mg co tydzień z powodu odpowiedzi PASI mniejszej niż 50%, 26,4% (92/349) i 37,8% (132/349) pacjentów osiągnęło odpowiedź PASI 75 odpowiednio w tygodniu 12 i 24.</w:t>
      </w:r>
    </w:p>
    <w:p w14:paraId="743695E4" w14:textId="77777777" w:rsidR="00D22235" w:rsidRPr="008F328C" w:rsidRDefault="00D22235" w:rsidP="00D22235">
      <w:pPr>
        <w:spacing w:before="17" w:line="240" w:lineRule="exact"/>
        <w:rPr>
          <w:rFonts w:ascii="Times New Roman" w:hAnsi="Times New Roman" w:cs="Times New Roman"/>
          <w:sz w:val="24"/>
          <w:szCs w:val="24"/>
          <w:lang w:val="pl-PL"/>
        </w:rPr>
      </w:pPr>
    </w:p>
    <w:p w14:paraId="6D213DA4" w14:textId="77777777" w:rsidR="00D22235" w:rsidRPr="008F328C" w:rsidRDefault="00D22235" w:rsidP="00D22235">
      <w:pPr>
        <w:pStyle w:val="a3"/>
        <w:rPr>
          <w:lang w:val="pl-PL"/>
        </w:rPr>
      </w:pPr>
      <w:r w:rsidRPr="008F328C">
        <w:rPr>
          <w:rFonts w:eastAsia="Times New Roman"/>
          <w:lang w:val="pl-PL"/>
        </w:rPr>
        <w:t xml:space="preserve">W badaniu III w łuszczycy (REACH) porównywano skuteczność i bezpieczeństwo stosowania adalimumabu </w:t>
      </w:r>
      <w:r w:rsidRPr="008F328C">
        <w:rPr>
          <w:rFonts w:eastAsia="Times New Roman"/>
          <w:i/>
          <w:iCs/>
          <w:lang w:val="pl-PL"/>
        </w:rPr>
        <w:t>versus</w:t>
      </w:r>
      <w:r w:rsidRPr="008F328C">
        <w:rPr>
          <w:rFonts w:eastAsia="Times New Roman"/>
          <w:lang w:val="pl-PL"/>
        </w:rPr>
        <w:t xml:space="preserve"> placebo u 72 pacjentów z przewlekłą łuszczycą zwyczajną (plackowatą) o nasileniu umiarkowanym do ciężkiego oraz z łuszczycą dłoni i (lub) stóp. Pacjenci otrzymywali adalimumab w dawce początkowej 80 mg, a następnie 40 mg co drugi tydzień (po upływie jednego tygodnia od podania dawki początkowej) lub placebo przez 16 tygodni. W 16. tygodniu statystycznie istotnie większy odsetek pacjentów, którzy otrzymywali adalimumab, osiągnął ocenę PGA „czysta” lub „prawie czysta” dla zmian na dłoniach i (lub) stopach w porównaniu do pacjentów, którzy otrzymywali placebo (odpowiednio 30,6 % w porównaniu do 4,3% [P=0,014]).</w:t>
      </w:r>
    </w:p>
    <w:p w14:paraId="2F46B97C" w14:textId="77777777" w:rsidR="00D22235" w:rsidRPr="008F328C" w:rsidRDefault="00D22235" w:rsidP="00D22235">
      <w:pPr>
        <w:spacing w:before="13" w:line="240" w:lineRule="exact"/>
        <w:rPr>
          <w:rFonts w:ascii="Times New Roman" w:hAnsi="Times New Roman" w:cs="Times New Roman"/>
          <w:sz w:val="24"/>
          <w:szCs w:val="24"/>
          <w:lang w:val="pl-PL"/>
        </w:rPr>
      </w:pPr>
    </w:p>
    <w:p w14:paraId="47469C18" w14:textId="3FD19B38" w:rsidR="00D22235" w:rsidRPr="008F328C" w:rsidRDefault="00D22235" w:rsidP="00D22235">
      <w:pPr>
        <w:pStyle w:val="a3"/>
        <w:rPr>
          <w:rFonts w:eastAsia="Times New Roman"/>
          <w:lang w:val="pl-PL"/>
        </w:rPr>
      </w:pPr>
      <w:r w:rsidRPr="008F328C">
        <w:rPr>
          <w:rFonts w:eastAsia="Times New Roman"/>
          <w:lang w:val="pl-PL"/>
        </w:rPr>
        <w:t xml:space="preserve">W badaniu IV w łuszczycy porównywano skuteczność i bezpieczeństwo stosowania adalimumabu z placebo u 217 dorosłych pacjentów z łuszczycą paznokci o nasileniu umiarkowanym do ciężkiego. </w:t>
      </w:r>
      <w:r w:rsidRPr="008F328C">
        <w:rPr>
          <w:rFonts w:eastAsia="Times New Roman"/>
          <w:lang w:val="pl-PL"/>
        </w:rPr>
        <w:lastRenderedPageBreak/>
        <w:t xml:space="preserve">Pacjenci otrzymywali adalimumab w dawce początkowej 80 mg, a następnie 40 mg co drugi tydzień (po upływie jednego tygodnia od podania dawki początkowej) lub placebo przez 26 tygodni, a następnie leczenie adalimumabem w próbie otwartej przez dodatkowych 26 tygodni. Ocena łuszczycy paznokci obejmowała zmodyfikowany wskaźnik nasilenia łuszczycy paznokci (ang. Modified Nail Psoriasis Severity Index, mNAPSI), ogólną ocenę lekarską łuszczycy paznokci rąk (ang. Physician’s Global Assessment of Fingernail Psoriasis, PGA-F) oraz wskaźnik nasilenia łuszczycy paznokci (ang. Nail Psoriasis Severity Index, NAPSI) (patrz Tabela </w:t>
      </w:r>
      <w:r w:rsidR="00745F53">
        <w:rPr>
          <w:rFonts w:eastAsia="Times New Roman"/>
          <w:lang w:val="pl-PL"/>
        </w:rPr>
        <w:t>11</w:t>
      </w:r>
      <w:r w:rsidRPr="008F328C">
        <w:rPr>
          <w:rFonts w:eastAsia="Times New Roman"/>
          <w:lang w:val="pl-PL"/>
        </w:rPr>
        <w:t>). U pacjentów z łuszczycą paznokci z różną powierzchnią ciała (ang. Body Surface Area, BSA) zajętą przez zmiany łuszczycowe [BSA ≥ 10% (60% pacjentów) oraz BSA&lt;10% i ≥5% (40% pacjentów)] wykazano korzyści leczenia adalimumabem.</w:t>
      </w:r>
    </w:p>
    <w:p w14:paraId="7ADF1A95" w14:textId="77777777" w:rsidR="00D22235" w:rsidRPr="008F328C" w:rsidRDefault="00D22235" w:rsidP="00D22235">
      <w:pPr>
        <w:pStyle w:val="a3"/>
        <w:rPr>
          <w:lang w:val="pl-PL"/>
        </w:rPr>
      </w:pPr>
    </w:p>
    <w:p w14:paraId="5C0BCC79" w14:textId="673C9187" w:rsidR="00D22235" w:rsidRPr="008F328C" w:rsidRDefault="00D22235" w:rsidP="00D22235">
      <w:pPr>
        <w:pStyle w:val="a3"/>
        <w:jc w:val="center"/>
        <w:rPr>
          <w:b/>
          <w:lang w:val="pl-PL"/>
        </w:rPr>
      </w:pPr>
      <w:r w:rsidRPr="008F328C">
        <w:rPr>
          <w:rFonts w:eastAsia="Times New Roman"/>
          <w:b/>
          <w:bCs/>
          <w:lang w:val="pl-PL"/>
        </w:rPr>
        <w:t xml:space="preserve">Tabela </w:t>
      </w:r>
      <w:r w:rsidR="00745F53">
        <w:rPr>
          <w:rFonts w:eastAsia="Times New Roman"/>
          <w:b/>
          <w:bCs/>
          <w:lang w:val="pl-PL"/>
        </w:rPr>
        <w:t>11</w:t>
      </w:r>
      <w:r w:rsidR="004142DA" w:rsidRPr="008F328C">
        <w:rPr>
          <w:rFonts w:eastAsia="Times New Roman"/>
          <w:b/>
          <w:bCs/>
          <w:lang w:val="pl-PL"/>
        </w:rPr>
        <w:t>.</w:t>
      </w:r>
    </w:p>
    <w:p w14:paraId="4BB03205" w14:textId="77777777" w:rsidR="00D22235" w:rsidRPr="008F328C" w:rsidRDefault="00D22235" w:rsidP="00D22235">
      <w:pPr>
        <w:pStyle w:val="a3"/>
        <w:jc w:val="center"/>
        <w:rPr>
          <w:b/>
          <w:lang w:val="pl-PL"/>
        </w:rPr>
      </w:pPr>
      <w:r w:rsidRPr="008F328C">
        <w:rPr>
          <w:rFonts w:eastAsia="Times New Roman"/>
          <w:b/>
          <w:bCs/>
          <w:lang w:val="pl-PL"/>
        </w:rPr>
        <w:t>Badanie IV w łuszczycy – wyniki skuteczności w 16, 26 i 52. tygodniu</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D22235" w:rsidRPr="00494296" w14:paraId="64CC08F6" w14:textId="77777777" w:rsidTr="00B17C6A">
        <w:tc>
          <w:tcPr>
            <w:tcW w:w="2719" w:type="dxa"/>
            <w:vMerge w:val="restart"/>
            <w:tcBorders>
              <w:top w:val="single" w:sz="5" w:space="0" w:color="000000"/>
              <w:left w:val="single" w:sz="5" w:space="0" w:color="000000"/>
              <w:right w:val="single" w:sz="5" w:space="0" w:color="000000"/>
            </w:tcBorders>
          </w:tcPr>
          <w:p w14:paraId="417BD184" w14:textId="77777777" w:rsidR="00D22235" w:rsidRPr="008F328C" w:rsidRDefault="00D22235" w:rsidP="00B17C6A">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Punkt końcowy</w:t>
            </w:r>
          </w:p>
        </w:tc>
        <w:tc>
          <w:tcPr>
            <w:tcW w:w="2340" w:type="dxa"/>
            <w:gridSpan w:val="2"/>
            <w:tcBorders>
              <w:top w:val="single" w:sz="5" w:space="0" w:color="000000"/>
              <w:left w:val="single" w:sz="5" w:space="0" w:color="000000"/>
              <w:bottom w:val="single" w:sz="5" w:space="0" w:color="000000"/>
              <w:right w:val="single" w:sz="5" w:space="0" w:color="000000"/>
            </w:tcBorders>
          </w:tcPr>
          <w:p w14:paraId="46219DC7" w14:textId="77777777" w:rsidR="00D22235" w:rsidRPr="008F328C" w:rsidRDefault="00D22235" w:rsidP="00B17C6A">
            <w:pPr>
              <w:pStyle w:val="TableParagraph"/>
              <w:spacing w:line="246" w:lineRule="exact"/>
              <w:ind w:right="4"/>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tydzień</w:t>
            </w:r>
          </w:p>
          <w:p w14:paraId="12AEB98E" w14:textId="77777777" w:rsidR="00D22235" w:rsidRPr="008F328C" w:rsidRDefault="00D22235" w:rsidP="00B17C6A">
            <w:pPr>
              <w:pStyle w:val="TableParagraph"/>
              <w:spacing w:line="252" w:lineRule="exact"/>
              <w:ind w:left="293" w:right="295"/>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54114364" w14:textId="77777777" w:rsidR="00D22235" w:rsidRPr="008F328C" w:rsidRDefault="00D22235" w:rsidP="00B17C6A">
            <w:pPr>
              <w:pStyle w:val="TableParagraph"/>
              <w:spacing w:line="246" w:lineRule="exact"/>
              <w:ind w:left="705" w:right="710"/>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tydzień</w:t>
            </w:r>
          </w:p>
          <w:p w14:paraId="3553461F" w14:textId="77777777" w:rsidR="00D22235" w:rsidRPr="008F328C" w:rsidRDefault="00D22235" w:rsidP="00B17C6A">
            <w:pPr>
              <w:pStyle w:val="TableParagraph"/>
              <w:spacing w:line="252" w:lineRule="exact"/>
              <w:ind w:left="247" w:right="249"/>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68" w:type="dxa"/>
            <w:tcBorders>
              <w:top w:val="single" w:sz="5" w:space="0" w:color="000000"/>
              <w:left w:val="single" w:sz="5" w:space="0" w:color="000000"/>
              <w:bottom w:val="single" w:sz="5" w:space="0" w:color="000000"/>
              <w:right w:val="single" w:sz="5" w:space="0" w:color="000000"/>
            </w:tcBorders>
          </w:tcPr>
          <w:p w14:paraId="56B5D13A" w14:textId="77777777" w:rsidR="00D22235" w:rsidRPr="008F328C" w:rsidRDefault="00D22235" w:rsidP="00B17C6A">
            <w:pPr>
              <w:pStyle w:val="TableParagraph"/>
              <w:spacing w:line="246" w:lineRule="exact"/>
              <w:ind w:left="73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p w14:paraId="1828803B" w14:textId="77777777" w:rsidR="00D22235" w:rsidRPr="008F328C" w:rsidRDefault="00D22235" w:rsidP="00B17C6A">
            <w:pPr>
              <w:pStyle w:val="TableParagraph"/>
              <w:spacing w:line="252" w:lineRule="exact"/>
              <w:ind w:left="63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Próba otwarta</w:t>
            </w:r>
          </w:p>
        </w:tc>
      </w:tr>
      <w:tr w:rsidR="00D22235" w:rsidRPr="00FE49E6" w14:paraId="0A5CA906" w14:textId="77777777" w:rsidTr="00B17C6A">
        <w:tc>
          <w:tcPr>
            <w:tcW w:w="2719" w:type="dxa"/>
            <w:vMerge/>
            <w:tcBorders>
              <w:left w:val="single" w:sz="5" w:space="0" w:color="000000"/>
              <w:bottom w:val="single" w:sz="5" w:space="0" w:color="000000"/>
              <w:right w:val="single" w:sz="5" w:space="0" w:color="000000"/>
            </w:tcBorders>
          </w:tcPr>
          <w:p w14:paraId="0280A1AF" w14:textId="77777777" w:rsidR="00D22235" w:rsidRPr="008F328C" w:rsidRDefault="00D22235" w:rsidP="00B17C6A">
            <w:pPr>
              <w:rPr>
                <w:rFonts w:ascii="Times New Roman" w:hAnsi="Times New Roman" w:cs="Times New Roman"/>
                <w:lang w:val="pl-PL"/>
              </w:rPr>
            </w:pPr>
          </w:p>
        </w:tc>
        <w:tc>
          <w:tcPr>
            <w:tcW w:w="1080" w:type="dxa"/>
            <w:tcBorders>
              <w:top w:val="single" w:sz="5" w:space="0" w:color="000000"/>
              <w:left w:val="single" w:sz="5" w:space="0" w:color="000000"/>
              <w:bottom w:val="single" w:sz="5" w:space="0" w:color="000000"/>
              <w:right w:val="single" w:sz="5" w:space="0" w:color="000000"/>
            </w:tcBorders>
          </w:tcPr>
          <w:p w14:paraId="1BC761A9"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4AFA54E2" w14:textId="77777777" w:rsidR="00D22235" w:rsidRPr="008F328C" w:rsidRDefault="00D22235" w:rsidP="00B17C6A">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00972D55" w14:textId="77777777" w:rsidR="00D22235" w:rsidRPr="008F328C" w:rsidRDefault="00D22235" w:rsidP="00B17C6A">
            <w:pPr>
              <w:pStyle w:val="TableParagraph"/>
              <w:spacing w:line="246"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Adalimumab 40 mg, co drugi tydzień </w:t>
            </w:r>
          </w:p>
          <w:p w14:paraId="42B2D771"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N=109</w:t>
            </w:r>
          </w:p>
        </w:tc>
        <w:tc>
          <w:tcPr>
            <w:tcW w:w="989" w:type="dxa"/>
            <w:tcBorders>
              <w:top w:val="single" w:sz="5" w:space="0" w:color="000000"/>
              <w:left w:val="single" w:sz="5" w:space="0" w:color="000000"/>
              <w:bottom w:val="single" w:sz="5" w:space="0" w:color="000000"/>
              <w:right w:val="single" w:sz="5" w:space="0" w:color="000000"/>
            </w:tcBorders>
          </w:tcPr>
          <w:p w14:paraId="61FFE16B"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3077A33C" w14:textId="77777777" w:rsidR="00D22235" w:rsidRPr="008F328C" w:rsidRDefault="00D22235" w:rsidP="00B17C6A">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78BDF4B5"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2A61C1A3" w14:textId="77777777" w:rsidR="00D22235" w:rsidRPr="008F328C" w:rsidRDefault="00D22235" w:rsidP="00B17C6A">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034E43B0" w14:textId="77777777" w:rsidR="00D22235" w:rsidRPr="008F328C" w:rsidRDefault="00D22235" w:rsidP="00B17C6A">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N=109</w:t>
            </w:r>
          </w:p>
        </w:tc>
        <w:tc>
          <w:tcPr>
            <w:tcW w:w="2268" w:type="dxa"/>
            <w:tcBorders>
              <w:top w:val="single" w:sz="5" w:space="0" w:color="000000"/>
              <w:left w:val="single" w:sz="5" w:space="0" w:color="000000"/>
              <w:bottom w:val="single" w:sz="5" w:space="0" w:color="000000"/>
              <w:right w:val="single" w:sz="5" w:space="0" w:color="000000"/>
            </w:tcBorders>
          </w:tcPr>
          <w:p w14:paraId="6C8776A0" w14:textId="77777777" w:rsidR="00D22235" w:rsidRPr="008F328C" w:rsidRDefault="00D22235" w:rsidP="00B17C6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23DEC11B" w14:textId="77777777" w:rsidR="00D22235" w:rsidRPr="008F328C" w:rsidRDefault="00D22235" w:rsidP="00B17C6A">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33A2DF48" w14:textId="77777777" w:rsidR="00D22235" w:rsidRPr="008F328C" w:rsidRDefault="00D22235" w:rsidP="00B17C6A">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N=80</w:t>
            </w:r>
          </w:p>
        </w:tc>
      </w:tr>
      <w:tr w:rsidR="00D22235" w:rsidRPr="008F328C" w14:paraId="0C39CE40" w14:textId="77777777" w:rsidTr="00B17C6A">
        <w:tc>
          <w:tcPr>
            <w:tcW w:w="2719" w:type="dxa"/>
            <w:tcBorders>
              <w:top w:val="single" w:sz="5" w:space="0" w:color="000000"/>
              <w:left w:val="single" w:sz="5" w:space="0" w:color="000000"/>
              <w:bottom w:val="single" w:sz="5" w:space="0" w:color="000000"/>
              <w:right w:val="single" w:sz="5" w:space="0" w:color="000000"/>
            </w:tcBorders>
          </w:tcPr>
          <w:p w14:paraId="1FCCF2D2" w14:textId="77777777" w:rsidR="00D22235" w:rsidRPr="008F328C" w:rsidRDefault="00D22235" w:rsidP="00B17C6A">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 mNAPSI 75 (%)</w:t>
            </w:r>
          </w:p>
        </w:tc>
        <w:tc>
          <w:tcPr>
            <w:tcW w:w="1080" w:type="dxa"/>
            <w:tcBorders>
              <w:top w:val="single" w:sz="5" w:space="0" w:color="000000"/>
              <w:left w:val="single" w:sz="5" w:space="0" w:color="000000"/>
              <w:bottom w:val="single" w:sz="5" w:space="0" w:color="000000"/>
              <w:right w:val="single" w:sz="5" w:space="0" w:color="000000"/>
            </w:tcBorders>
          </w:tcPr>
          <w:p w14:paraId="148C1924" w14:textId="77777777" w:rsidR="00D22235" w:rsidRPr="008F328C" w:rsidRDefault="00D22235" w:rsidP="00B17C6A">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5DAD2C0E" w14:textId="77777777" w:rsidR="00D22235" w:rsidRPr="008F328C" w:rsidRDefault="00D22235" w:rsidP="00B17C6A">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26,0</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577FF4D8" w14:textId="77777777" w:rsidR="00D22235" w:rsidRPr="008F328C" w:rsidRDefault="00D22235" w:rsidP="00B17C6A">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3,4</w:t>
            </w:r>
          </w:p>
        </w:tc>
        <w:tc>
          <w:tcPr>
            <w:tcW w:w="1260" w:type="dxa"/>
            <w:tcBorders>
              <w:top w:val="single" w:sz="5" w:space="0" w:color="000000"/>
              <w:left w:val="single" w:sz="5" w:space="0" w:color="000000"/>
              <w:bottom w:val="single" w:sz="5" w:space="0" w:color="000000"/>
              <w:right w:val="single" w:sz="5" w:space="0" w:color="000000"/>
            </w:tcBorders>
          </w:tcPr>
          <w:p w14:paraId="62E0E18D" w14:textId="77777777" w:rsidR="00D22235" w:rsidRPr="008F328C" w:rsidRDefault="00D22235" w:rsidP="00B17C6A">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46,6</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6839CB51" w14:textId="77777777" w:rsidR="00D22235" w:rsidRPr="008F328C" w:rsidRDefault="00D22235" w:rsidP="00B17C6A">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65,0</w:t>
            </w:r>
          </w:p>
        </w:tc>
      </w:tr>
      <w:tr w:rsidR="00D22235" w:rsidRPr="008F328C" w14:paraId="1077B888" w14:textId="77777777" w:rsidTr="00B17C6A">
        <w:tc>
          <w:tcPr>
            <w:tcW w:w="2719" w:type="dxa"/>
            <w:tcBorders>
              <w:top w:val="single" w:sz="5" w:space="0" w:color="000000"/>
              <w:left w:val="single" w:sz="5" w:space="0" w:color="000000"/>
              <w:bottom w:val="single" w:sz="5" w:space="0" w:color="000000"/>
              <w:right w:val="single" w:sz="5" w:space="0" w:color="000000"/>
            </w:tcBorders>
          </w:tcPr>
          <w:p w14:paraId="20AA2F57" w14:textId="77777777" w:rsidR="00D22235" w:rsidRPr="008F328C" w:rsidRDefault="00D22235" w:rsidP="00B17C6A">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PGA-F czysta/minimalna oraz</w:t>
            </w: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poprawa ≥ 2. stopnia (%)</w:t>
            </w:r>
          </w:p>
        </w:tc>
        <w:tc>
          <w:tcPr>
            <w:tcW w:w="1080" w:type="dxa"/>
            <w:tcBorders>
              <w:top w:val="single" w:sz="5" w:space="0" w:color="000000"/>
              <w:left w:val="single" w:sz="5" w:space="0" w:color="000000"/>
              <w:bottom w:val="single" w:sz="5" w:space="0" w:color="000000"/>
              <w:right w:val="single" w:sz="5" w:space="0" w:color="000000"/>
            </w:tcBorders>
          </w:tcPr>
          <w:p w14:paraId="3BE6D806" w14:textId="77777777" w:rsidR="00D22235" w:rsidRPr="008F328C" w:rsidRDefault="00D22235" w:rsidP="00B17C6A">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21FA3998" w14:textId="77777777" w:rsidR="00D22235" w:rsidRPr="008F328C" w:rsidRDefault="00D22235" w:rsidP="00B17C6A">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29,7</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178046C6" w14:textId="77777777" w:rsidR="00D22235" w:rsidRPr="008F328C" w:rsidRDefault="00D22235" w:rsidP="00B17C6A">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6,9</w:t>
            </w:r>
          </w:p>
        </w:tc>
        <w:tc>
          <w:tcPr>
            <w:tcW w:w="1260" w:type="dxa"/>
            <w:tcBorders>
              <w:top w:val="single" w:sz="5" w:space="0" w:color="000000"/>
              <w:left w:val="single" w:sz="5" w:space="0" w:color="000000"/>
              <w:bottom w:val="single" w:sz="5" w:space="0" w:color="000000"/>
              <w:right w:val="single" w:sz="5" w:space="0" w:color="000000"/>
            </w:tcBorders>
          </w:tcPr>
          <w:p w14:paraId="2F27E981" w14:textId="77777777" w:rsidR="00D22235" w:rsidRPr="008F328C" w:rsidRDefault="00D22235" w:rsidP="00B17C6A">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48,9</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2935CFF5" w14:textId="77777777" w:rsidR="00D22235" w:rsidRPr="008F328C" w:rsidRDefault="00D22235" w:rsidP="00B17C6A">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61,3</w:t>
            </w:r>
          </w:p>
        </w:tc>
      </w:tr>
      <w:tr w:rsidR="00D22235" w:rsidRPr="008F328C" w14:paraId="3E93A3A1" w14:textId="77777777" w:rsidTr="00B17C6A">
        <w:tc>
          <w:tcPr>
            <w:tcW w:w="2719" w:type="dxa"/>
            <w:tcBorders>
              <w:top w:val="single" w:sz="5" w:space="0" w:color="000000"/>
              <w:left w:val="single" w:sz="5" w:space="0" w:color="000000"/>
              <w:bottom w:val="single" w:sz="5" w:space="0" w:color="000000"/>
              <w:right w:val="single" w:sz="5" w:space="0" w:color="000000"/>
            </w:tcBorders>
          </w:tcPr>
          <w:p w14:paraId="5BEEFAAB" w14:textId="77777777" w:rsidR="00D22235" w:rsidRPr="008F328C" w:rsidRDefault="00D22235" w:rsidP="00B17C6A">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Odsetek zmiany w całkowitej</w:t>
            </w:r>
          </w:p>
          <w:p w14:paraId="7A1353F9" w14:textId="77777777" w:rsidR="00D22235" w:rsidRPr="008F328C" w:rsidRDefault="00D22235" w:rsidP="00B17C6A">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ocenie paznokci rąk w skali NAPSI (%)</w:t>
            </w:r>
          </w:p>
        </w:tc>
        <w:tc>
          <w:tcPr>
            <w:tcW w:w="1080" w:type="dxa"/>
            <w:tcBorders>
              <w:top w:val="single" w:sz="5" w:space="0" w:color="000000"/>
              <w:left w:val="single" w:sz="5" w:space="0" w:color="000000"/>
              <w:bottom w:val="single" w:sz="5" w:space="0" w:color="000000"/>
              <w:right w:val="single" w:sz="5" w:space="0" w:color="000000"/>
            </w:tcBorders>
          </w:tcPr>
          <w:p w14:paraId="52898033" w14:textId="77777777" w:rsidR="00D22235" w:rsidRPr="008F328C" w:rsidRDefault="00D22235" w:rsidP="00B17C6A">
            <w:pPr>
              <w:pStyle w:val="TableParagraph"/>
              <w:spacing w:line="246" w:lineRule="exact"/>
              <w:ind w:left="337" w:right="346"/>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-7,8</w:t>
            </w:r>
          </w:p>
        </w:tc>
        <w:tc>
          <w:tcPr>
            <w:tcW w:w="1260" w:type="dxa"/>
            <w:tcBorders>
              <w:top w:val="single" w:sz="5" w:space="0" w:color="000000"/>
              <w:left w:val="single" w:sz="5" w:space="0" w:color="000000"/>
              <w:bottom w:val="single" w:sz="5" w:space="0" w:color="000000"/>
              <w:right w:val="single" w:sz="5" w:space="0" w:color="000000"/>
            </w:tcBorders>
          </w:tcPr>
          <w:p w14:paraId="00081167" w14:textId="77777777" w:rsidR="00D22235" w:rsidRPr="008F328C" w:rsidRDefault="00D22235" w:rsidP="00B17C6A">
            <w:pPr>
              <w:pStyle w:val="TableParagraph"/>
              <w:spacing w:line="246" w:lineRule="exact"/>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 xml:space="preserve">-44,2 </w:t>
            </w:r>
            <w:r w:rsidRPr="008F328C">
              <w:rPr>
                <w:rFonts w:ascii="Times New Roman" w:eastAsia="Times New Roman" w:hAnsi="Times New Roman" w:cs="Times New Roman"/>
                <w:spacing w:val="-4"/>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50904CF9" w14:textId="77777777" w:rsidR="00D22235" w:rsidRPr="008F328C" w:rsidRDefault="00D22235" w:rsidP="00B17C6A">
            <w:pPr>
              <w:pStyle w:val="TableParagraph"/>
              <w:spacing w:line="246" w:lineRule="exact"/>
              <w:ind w:left="255"/>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-11,5</w:t>
            </w:r>
          </w:p>
        </w:tc>
        <w:tc>
          <w:tcPr>
            <w:tcW w:w="1260" w:type="dxa"/>
            <w:tcBorders>
              <w:top w:val="single" w:sz="5" w:space="0" w:color="000000"/>
              <w:left w:val="single" w:sz="5" w:space="0" w:color="000000"/>
              <w:bottom w:val="single" w:sz="5" w:space="0" w:color="000000"/>
              <w:right w:val="single" w:sz="5" w:space="0" w:color="000000"/>
            </w:tcBorders>
          </w:tcPr>
          <w:p w14:paraId="4AE5BAE8" w14:textId="77777777" w:rsidR="00D22235" w:rsidRPr="008F328C" w:rsidRDefault="00D22235" w:rsidP="00B17C6A">
            <w:pPr>
              <w:pStyle w:val="TableParagraph"/>
              <w:spacing w:line="246" w:lineRule="exact"/>
              <w:ind w:left="363"/>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-56,2</w:t>
            </w:r>
            <w:r w:rsidRPr="008F328C">
              <w:rPr>
                <w:rFonts w:ascii="Times New Roman" w:eastAsia="Times New Roman" w:hAnsi="Times New Roman" w:cs="Times New Roman"/>
                <w:spacing w:val="-4"/>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6A404493" w14:textId="77777777" w:rsidR="00D22235" w:rsidRPr="008F328C" w:rsidRDefault="00D22235" w:rsidP="00B17C6A">
            <w:pPr>
              <w:pStyle w:val="TableParagraph"/>
              <w:spacing w:line="246" w:lineRule="exact"/>
              <w:ind w:left="880" w:right="882"/>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-72,2</w:t>
            </w:r>
          </w:p>
        </w:tc>
      </w:tr>
      <w:tr w:rsidR="00D22235" w:rsidRPr="008F328C" w14:paraId="30F4EB90" w14:textId="77777777" w:rsidTr="00B17C6A">
        <w:tc>
          <w:tcPr>
            <w:tcW w:w="9576" w:type="dxa"/>
            <w:gridSpan w:val="6"/>
            <w:tcBorders>
              <w:top w:val="single" w:sz="5" w:space="0" w:color="000000"/>
              <w:left w:val="single" w:sz="5" w:space="0" w:color="000000"/>
              <w:bottom w:val="single" w:sz="5" w:space="0" w:color="000000"/>
              <w:right w:val="single" w:sz="5" w:space="0" w:color="000000"/>
            </w:tcBorders>
            <w:vAlign w:val="center"/>
          </w:tcPr>
          <w:p w14:paraId="40F9245D" w14:textId="77777777" w:rsidR="00D22235" w:rsidRPr="008F328C" w:rsidRDefault="00D22235" w:rsidP="00B17C6A">
            <w:pPr>
              <w:pStyle w:val="TableParagraph"/>
              <w:spacing w:line="240" w:lineRule="atLeast"/>
              <w:ind w:left="101"/>
              <w:jc w:val="both"/>
              <w:rPr>
                <w:rFonts w:ascii="Times New Roman" w:eastAsia="Times New Roman" w:hAnsi="Times New Roman" w:cs="Times New Roman"/>
                <w:lang w:val="en-GB"/>
              </w:rPr>
            </w:pPr>
            <w:r w:rsidRPr="008F328C">
              <w:rPr>
                <w:rFonts w:ascii="Times New Roman" w:eastAsia="Times New Roman" w:hAnsi="Times New Roman" w:cs="Times New Roman"/>
                <w:position w:val="8"/>
                <w:vertAlign w:val="superscript"/>
                <w:lang w:val="en-GB"/>
              </w:rPr>
              <w:t xml:space="preserve">a </w:t>
            </w:r>
            <w:r w:rsidRPr="008F328C">
              <w:rPr>
                <w:rFonts w:ascii="Times New Roman" w:eastAsia="Times New Roman" w:hAnsi="Times New Roman" w:cs="Times New Roman"/>
                <w:position w:val="8"/>
                <w:lang w:val="en-GB"/>
              </w:rPr>
              <w:t xml:space="preserve">p &lt; 0,001 adalimumab </w:t>
            </w:r>
            <w:r w:rsidRPr="008F328C">
              <w:rPr>
                <w:rFonts w:ascii="Times New Roman" w:eastAsia="Times New Roman" w:hAnsi="Times New Roman" w:cs="Times New Roman"/>
                <w:i/>
                <w:iCs/>
                <w:position w:val="8"/>
                <w:lang w:val="en-GB"/>
              </w:rPr>
              <w:t xml:space="preserve">vs. </w:t>
            </w:r>
            <w:r w:rsidRPr="008F328C">
              <w:rPr>
                <w:rFonts w:ascii="Times New Roman" w:eastAsia="Times New Roman" w:hAnsi="Times New Roman" w:cs="Times New Roman"/>
                <w:position w:val="8"/>
                <w:lang w:val="en-GB"/>
              </w:rPr>
              <w:t>placebo</w:t>
            </w:r>
          </w:p>
        </w:tc>
      </w:tr>
    </w:tbl>
    <w:p w14:paraId="3EFDBCBE" w14:textId="77777777" w:rsidR="00D22235" w:rsidRPr="008F328C" w:rsidRDefault="00D22235" w:rsidP="00D22235">
      <w:pPr>
        <w:spacing w:before="5" w:line="170" w:lineRule="exact"/>
        <w:rPr>
          <w:rFonts w:ascii="Times New Roman" w:hAnsi="Times New Roman" w:cs="Times New Roman"/>
          <w:sz w:val="17"/>
          <w:szCs w:val="17"/>
          <w:lang w:val="en-GB"/>
        </w:rPr>
      </w:pPr>
    </w:p>
    <w:p w14:paraId="273E9F2A" w14:textId="77777777" w:rsidR="00D22235" w:rsidRPr="008F328C" w:rsidRDefault="00D22235" w:rsidP="00D22235">
      <w:pPr>
        <w:pStyle w:val="a3"/>
        <w:rPr>
          <w:lang w:val="pl-PL"/>
        </w:rPr>
      </w:pPr>
      <w:r w:rsidRPr="008F328C">
        <w:rPr>
          <w:rFonts w:eastAsia="Times New Roman"/>
          <w:lang w:val="pl-PL"/>
        </w:rPr>
        <w:t>Pacjenci leczeni adalimumabem wykazali w 26. tygodniu statystycznie istotną poprawę wskaźnika DLQI w porównaniu do pacjentów otrzymujących placebo.</w:t>
      </w:r>
    </w:p>
    <w:p w14:paraId="724518F4" w14:textId="77777777" w:rsidR="00D22235" w:rsidRPr="008F328C" w:rsidRDefault="00D22235" w:rsidP="00D22235">
      <w:pPr>
        <w:pStyle w:val="a3"/>
        <w:rPr>
          <w:sz w:val="24"/>
          <w:szCs w:val="24"/>
          <w:lang w:val="pl-PL"/>
        </w:rPr>
      </w:pPr>
    </w:p>
    <w:p w14:paraId="5FDB3EBA" w14:textId="77777777" w:rsidR="00D22235" w:rsidRPr="008F328C" w:rsidRDefault="00D22235" w:rsidP="00D22235">
      <w:pPr>
        <w:pStyle w:val="a3"/>
        <w:rPr>
          <w:rFonts w:eastAsia="Times New Roman"/>
          <w:lang w:val="pl-PL"/>
        </w:rPr>
      </w:pPr>
      <w:r w:rsidRPr="008F328C">
        <w:rPr>
          <w:rFonts w:eastAsia="Times New Roman"/>
          <w:i/>
          <w:iCs/>
          <w:spacing w:val="-1"/>
          <w:lang w:val="pl-PL"/>
        </w:rPr>
        <w:t>Ropne zapalenie apokrynowych gruczołów potowych</w:t>
      </w:r>
    </w:p>
    <w:p w14:paraId="79024999" w14:textId="77777777" w:rsidR="00D22235" w:rsidRPr="008F328C" w:rsidRDefault="00D22235" w:rsidP="00D22235">
      <w:pPr>
        <w:pStyle w:val="a3"/>
        <w:rPr>
          <w:sz w:val="24"/>
          <w:szCs w:val="24"/>
          <w:lang w:val="pl-PL"/>
        </w:rPr>
      </w:pPr>
    </w:p>
    <w:p w14:paraId="67CE5F3A" w14:textId="77777777" w:rsidR="00D22235" w:rsidRPr="008F328C" w:rsidRDefault="00D22235" w:rsidP="00D22235">
      <w:pPr>
        <w:pStyle w:val="a3"/>
        <w:rPr>
          <w:lang w:val="pl-PL"/>
        </w:rPr>
      </w:pPr>
      <w:r w:rsidRPr="008F328C">
        <w:rPr>
          <w:rFonts w:eastAsia="Times New Roman"/>
          <w:lang w:val="pl-PL"/>
        </w:rPr>
        <w:t>Bezpieczeństwo stosowania i skuteczność adalimumabu oceniano w randomizowanych, podwójnie zaślepionych badaniach klinicznych kontrolowanych placebo oraz w otwartym badaniu kontynuacyjnym u dorosłych pacjentów z ropnym zapaleniem apokrynowych gruczołów potowych (HS) o nasileniu umiarkowanym do ciężkiego, którzy nie tolerowali, mieli przeciwwskazanie do stosowania lub wykazywali niewystarczającą odpowiedź na trwającą co najmniej 3 miesiące próbę stosowania układowej antybiotykoterapii. U pacjentów w badaniach HS-I i HS-II występowała choroba w II lub III stopniu zaawansowania klinicznego wg Hurley z co najmniej 3 ropniami lub zapalnymi guzkami.</w:t>
      </w:r>
    </w:p>
    <w:p w14:paraId="73281C98" w14:textId="77777777" w:rsidR="00D22235" w:rsidRPr="008F328C" w:rsidRDefault="00D22235" w:rsidP="00D22235">
      <w:pPr>
        <w:pStyle w:val="a3"/>
        <w:rPr>
          <w:sz w:val="24"/>
          <w:szCs w:val="24"/>
          <w:lang w:val="pl-PL"/>
        </w:rPr>
      </w:pPr>
    </w:p>
    <w:p w14:paraId="64DDDBF7" w14:textId="77777777" w:rsidR="00D22235" w:rsidRPr="008F328C" w:rsidRDefault="00D22235" w:rsidP="00D22235">
      <w:pPr>
        <w:pStyle w:val="a3"/>
        <w:rPr>
          <w:lang w:val="pl-PL"/>
        </w:rPr>
      </w:pPr>
      <w:r w:rsidRPr="008F328C">
        <w:rPr>
          <w:rFonts w:eastAsia="Times New Roman"/>
          <w:lang w:val="pl-PL"/>
        </w:rPr>
        <w:t>W badaniu HS-I (PIONEER I) oceniano 307 pacjentów w 2 okresach leczenia. W okresie A pacjenci otrzymywali placebo lub adalimumab w początkowej dawce 160 mg w tygodniu 0., a w 2. tygodniu 80 mg i począwszy od 4 tygodnia do 11. tygodnia w dawce 40 mg co tydzień. W okresie badania nie zezwalano na jednoczesne stosowanie antybiotyków. Po 12 tygodniach leczenia pacjenci, którzy otrzymywali adalimumab w okresie A, ponownie zostali przydzieleni losowo (okres B) do jednej z trzech grup (adalimumab 40 mg co tydzień, adalimumab 40 mg co drugi tydzień lub placebo od 12. do 35 tygodnia). Pacjenci, którzy byli losowo przydzieleni do grupy otrzymującej placebo w okresie A, otrzymywali adalimumab 40 mg co tydzień w okresie B.</w:t>
      </w:r>
    </w:p>
    <w:p w14:paraId="2E4C9089" w14:textId="77777777" w:rsidR="00D22235" w:rsidRPr="008F328C" w:rsidRDefault="00D22235" w:rsidP="00D22235">
      <w:pPr>
        <w:pStyle w:val="a3"/>
        <w:rPr>
          <w:sz w:val="24"/>
          <w:szCs w:val="24"/>
          <w:lang w:val="pl-PL"/>
        </w:rPr>
      </w:pPr>
    </w:p>
    <w:p w14:paraId="4A51B0A2" w14:textId="77777777" w:rsidR="00D22235" w:rsidRPr="008F328C" w:rsidRDefault="00D22235" w:rsidP="00D22235">
      <w:pPr>
        <w:pStyle w:val="a3"/>
        <w:rPr>
          <w:lang w:val="pl-PL"/>
        </w:rPr>
      </w:pPr>
      <w:r w:rsidRPr="008F328C">
        <w:rPr>
          <w:rFonts w:eastAsia="Times New Roman"/>
          <w:lang w:val="pl-PL"/>
        </w:rPr>
        <w:t xml:space="preserve">W badaniu HS-II (PIONEER II) oceniano 326 pacjentów w 2 okresach leczenia. W okresie A pacjenci otrzymywali placebo lub adalimumab w początkowej dawce 160 mg w tygodniu 0., a w 2. tygodniu </w:t>
      </w:r>
      <w:r w:rsidRPr="008F328C">
        <w:rPr>
          <w:rFonts w:eastAsia="Times New Roman"/>
          <w:lang w:val="pl-PL"/>
        </w:rPr>
        <w:lastRenderedPageBreak/>
        <w:t>80 mg w i począwszy od 4 tygodnia do 11. tygodnia w dawce 40 mg co tydzień. W okresie badania 19,3% pacjentów kontynuowało doustną antybiotykoterapie, którą stosowali w czasie przystąpienia do badania. Po 12 tygodniach leczenia pacjenci, którzy otrzymywali adalimumab w okresie A, ponownie zostali przydzieleni losowo (okres B) do jednej z trzech grup (adalimumab 40 mg co tydzień, adalimumab 40 mg co drugi tydzień lub placebo od 12. do 35 tygodnia). Pacjenci, którzy byli losowo przydzieleni do grupy otrzymującej placebo w okresie A, otrzymywali placebo w okresie B.</w:t>
      </w:r>
    </w:p>
    <w:p w14:paraId="3AF22107" w14:textId="77777777" w:rsidR="00D22235" w:rsidRPr="008F328C" w:rsidRDefault="00D22235" w:rsidP="00D22235">
      <w:pPr>
        <w:pStyle w:val="a3"/>
        <w:rPr>
          <w:sz w:val="24"/>
          <w:szCs w:val="24"/>
          <w:lang w:val="pl-PL"/>
        </w:rPr>
      </w:pPr>
    </w:p>
    <w:p w14:paraId="75E9CBC7" w14:textId="77777777" w:rsidR="00D22235" w:rsidRPr="008F328C" w:rsidRDefault="00D22235" w:rsidP="00D22235">
      <w:pPr>
        <w:pStyle w:val="a3"/>
        <w:rPr>
          <w:lang w:val="pl-PL"/>
        </w:rPr>
      </w:pPr>
      <w:r w:rsidRPr="008F328C">
        <w:rPr>
          <w:rFonts w:eastAsia="Times New Roman"/>
          <w:lang w:val="pl-PL"/>
        </w:rPr>
        <w:t>Pacjenci uczestniczący w badaniach HS-I i HS-II mogli zostać włączeni do otwartego badania kontynuacyjnego, w którym adalimumab 40 mg podawano raz w tygodniu. Średnia ekspozycja w całej populacji otrzymującej adalimumab wynosiła 762 dni. Przez cały okres trwania wszystkich 3 badań pacjenci stosowali codzienne przemywanie środkiem antyseptycznym o działaniu miejscowym.</w:t>
      </w:r>
    </w:p>
    <w:p w14:paraId="253B8103" w14:textId="77777777" w:rsidR="00D22235" w:rsidRPr="008F328C" w:rsidRDefault="00D22235" w:rsidP="00D22235">
      <w:pPr>
        <w:pStyle w:val="a3"/>
        <w:rPr>
          <w:sz w:val="24"/>
          <w:szCs w:val="24"/>
          <w:lang w:val="pl-PL"/>
        </w:rPr>
      </w:pPr>
    </w:p>
    <w:p w14:paraId="76D12355"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Odpowiedź kliniczna</w:t>
      </w:r>
    </w:p>
    <w:p w14:paraId="50456C83" w14:textId="77777777" w:rsidR="00D22235" w:rsidRPr="008F328C" w:rsidRDefault="00D22235" w:rsidP="00D22235">
      <w:pPr>
        <w:pStyle w:val="a3"/>
        <w:rPr>
          <w:sz w:val="18"/>
          <w:szCs w:val="18"/>
          <w:lang w:val="pl-PL"/>
        </w:rPr>
      </w:pPr>
    </w:p>
    <w:p w14:paraId="1260C884" w14:textId="77777777" w:rsidR="00D22235" w:rsidRPr="008F328C" w:rsidRDefault="00D22235" w:rsidP="00D22235">
      <w:pPr>
        <w:pStyle w:val="a3"/>
        <w:rPr>
          <w:lang w:val="pl-PL"/>
        </w:rPr>
      </w:pPr>
      <w:r w:rsidRPr="008F328C">
        <w:rPr>
          <w:rFonts w:eastAsia="Times New Roman"/>
          <w:lang w:val="pl-PL"/>
        </w:rPr>
        <w:t>Zmniejszenie zmian zapalnych i zapobieganie nasileniu się ropni i drożnych przetok oceniano na podstawie odpowiedzi klinicznej (ang. Hidradenitis Suppurativa Clinical Response, HiSCR; co najmniej 50% zmniejszenie całkowitej liczby ropni i zapalnych guzków bez zwiększenia liczby ropni i liczby drożnych przetok w porównaniu do stanu początkowego). Zmniejszenie nasilenia bólu skóry związanego z HS oceniano stosując numeryczną skalę nasilenia bólu u pacjentów, którzy w czasie włączenia do badania mieli początkową ocenę 3 lub większą w 11-stopniowej skali.</w:t>
      </w:r>
    </w:p>
    <w:p w14:paraId="25F92B26" w14:textId="77777777" w:rsidR="00D22235" w:rsidRPr="008F328C" w:rsidRDefault="00D22235" w:rsidP="00D22235">
      <w:pPr>
        <w:spacing w:before="13" w:line="240" w:lineRule="exact"/>
        <w:rPr>
          <w:rFonts w:ascii="Times New Roman" w:hAnsi="Times New Roman" w:cs="Times New Roman"/>
          <w:sz w:val="24"/>
          <w:szCs w:val="24"/>
          <w:lang w:val="pl-PL"/>
        </w:rPr>
      </w:pPr>
    </w:p>
    <w:p w14:paraId="62F9174F" w14:textId="19A7CE3F" w:rsidR="00D22235" w:rsidRPr="008F328C" w:rsidRDefault="00D22235" w:rsidP="00D22235">
      <w:pPr>
        <w:pStyle w:val="a3"/>
        <w:rPr>
          <w:lang w:val="pl-PL"/>
        </w:rPr>
      </w:pPr>
      <w:r w:rsidRPr="008F328C">
        <w:rPr>
          <w:rFonts w:eastAsia="Times New Roman"/>
          <w:lang w:val="pl-PL"/>
        </w:rPr>
        <w:t xml:space="preserve">W 12. tygodniu istotnie większy odsetek pacjentów leczonych adalimumabem w porównaniu do placebo osiągnął HiSCR. W 12. tygodniu istotnie większy odsetek pacjentów w badaniu HS-II odczuwał klinicznie istotne zmniejszenie nasilenia bólu skóry związanego z HS (patrz Tabela </w:t>
      </w:r>
      <w:r w:rsidR="00745F53">
        <w:rPr>
          <w:rFonts w:eastAsia="Times New Roman"/>
          <w:lang w:val="pl-PL"/>
        </w:rPr>
        <w:t>12</w:t>
      </w:r>
      <w:r w:rsidRPr="008F328C">
        <w:rPr>
          <w:rFonts w:eastAsia="Times New Roman"/>
          <w:lang w:val="pl-PL"/>
        </w:rPr>
        <w:t>). U pacjentów leczonych adalimumabem ryzyko zaostrzenia objawów choroby podczas początkowych 12 tygodni leczenia było istotnie mniejsze.</w:t>
      </w:r>
    </w:p>
    <w:p w14:paraId="09002EFC" w14:textId="77777777" w:rsidR="00D22235" w:rsidRPr="008F328C" w:rsidRDefault="00D22235" w:rsidP="00D22235">
      <w:pPr>
        <w:spacing w:before="1" w:line="110" w:lineRule="exact"/>
        <w:rPr>
          <w:rFonts w:ascii="Times New Roman" w:hAnsi="Times New Roman" w:cs="Times New Roman"/>
          <w:sz w:val="11"/>
          <w:szCs w:val="11"/>
          <w:lang w:val="pl-PL"/>
        </w:rPr>
      </w:pPr>
    </w:p>
    <w:p w14:paraId="671721A2" w14:textId="77777777" w:rsidR="00D22235" w:rsidRPr="008F328C" w:rsidRDefault="00D22235" w:rsidP="00D22235">
      <w:pPr>
        <w:spacing w:line="200" w:lineRule="exact"/>
        <w:rPr>
          <w:rFonts w:ascii="Times New Roman" w:hAnsi="Times New Roman" w:cs="Times New Roman"/>
          <w:sz w:val="20"/>
          <w:szCs w:val="20"/>
          <w:lang w:val="pl-PL"/>
        </w:rPr>
      </w:pPr>
    </w:p>
    <w:p w14:paraId="7D722481" w14:textId="55A0176F" w:rsidR="00D22235" w:rsidRPr="008F328C" w:rsidRDefault="00D22235" w:rsidP="00D22235">
      <w:pPr>
        <w:pStyle w:val="a3"/>
        <w:jc w:val="center"/>
        <w:rPr>
          <w:b/>
          <w:lang w:val="pl-PL"/>
        </w:rPr>
      </w:pPr>
      <w:r w:rsidRPr="008F328C">
        <w:rPr>
          <w:rFonts w:eastAsia="Times New Roman"/>
          <w:b/>
          <w:bCs/>
          <w:lang w:val="pl-PL"/>
        </w:rPr>
        <w:t xml:space="preserve">Tabela </w:t>
      </w:r>
      <w:r w:rsidR="00745F53">
        <w:rPr>
          <w:rFonts w:eastAsia="Times New Roman"/>
          <w:b/>
          <w:bCs/>
          <w:lang w:val="pl-PL"/>
        </w:rPr>
        <w:t>12</w:t>
      </w:r>
      <w:r w:rsidR="004142DA" w:rsidRPr="008F328C">
        <w:rPr>
          <w:rFonts w:eastAsia="Times New Roman"/>
          <w:b/>
          <w:bCs/>
          <w:lang w:val="pl-PL"/>
        </w:rPr>
        <w:t>.</w:t>
      </w:r>
    </w:p>
    <w:p w14:paraId="1EEF7535" w14:textId="77777777" w:rsidR="00D22235" w:rsidRPr="008F328C" w:rsidRDefault="00D22235" w:rsidP="00D22235">
      <w:pPr>
        <w:pStyle w:val="a3"/>
        <w:jc w:val="center"/>
        <w:rPr>
          <w:b/>
          <w:lang w:val="pl-PL"/>
        </w:rPr>
      </w:pPr>
      <w:r w:rsidRPr="008F328C">
        <w:rPr>
          <w:rFonts w:eastAsia="Times New Roman"/>
          <w:b/>
          <w:bCs/>
          <w:lang w:val="pl-PL"/>
        </w:rPr>
        <w:t>Wyniki skuteczności leczenia po 12 tygodniach, badania kliniczne HS I i HS II</w:t>
      </w:r>
    </w:p>
    <w:p w14:paraId="63702DF8" w14:textId="77777777" w:rsidR="00D22235" w:rsidRPr="008F328C" w:rsidRDefault="00D22235" w:rsidP="00D22235">
      <w:pPr>
        <w:spacing w:before="4" w:line="10" w:lineRule="exact"/>
        <w:rPr>
          <w:rFonts w:ascii="Times New Roman" w:hAnsi="Times New Roman" w:cs="Times New Roman"/>
          <w:sz w:val="4"/>
          <w:szCs w:val="4"/>
          <w:lang w:val="pl-PL"/>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D22235" w:rsidRPr="008F328C" w14:paraId="640DE3F4" w14:textId="77777777" w:rsidTr="00B17C6A">
        <w:tc>
          <w:tcPr>
            <w:tcW w:w="2846" w:type="dxa"/>
            <w:vMerge w:val="restart"/>
            <w:tcBorders>
              <w:top w:val="single" w:sz="5" w:space="0" w:color="000000"/>
              <w:left w:val="single" w:sz="5" w:space="0" w:color="000000"/>
              <w:right w:val="single" w:sz="5" w:space="0" w:color="000000"/>
            </w:tcBorders>
          </w:tcPr>
          <w:p w14:paraId="61A07A61" w14:textId="77777777" w:rsidR="00D22235" w:rsidRPr="008F328C" w:rsidRDefault="00D22235" w:rsidP="00B17C6A">
            <w:pPr>
              <w:rPr>
                <w:rFonts w:ascii="Times New Roman" w:hAnsi="Times New Roman" w:cs="Times New Roman"/>
                <w:lang w:val="pl-PL"/>
              </w:rPr>
            </w:pPr>
          </w:p>
        </w:tc>
        <w:tc>
          <w:tcPr>
            <w:tcW w:w="3187" w:type="dxa"/>
            <w:gridSpan w:val="2"/>
            <w:tcBorders>
              <w:top w:val="single" w:sz="5" w:space="0" w:color="000000"/>
              <w:left w:val="single" w:sz="5" w:space="0" w:color="000000"/>
              <w:bottom w:val="single" w:sz="5" w:space="0" w:color="000000"/>
              <w:right w:val="single" w:sz="5" w:space="0" w:color="000000"/>
            </w:tcBorders>
          </w:tcPr>
          <w:p w14:paraId="6483BBAB" w14:textId="77777777" w:rsidR="00D22235" w:rsidRPr="008F328C" w:rsidRDefault="00D22235" w:rsidP="00B17C6A">
            <w:pPr>
              <w:pStyle w:val="TableParagraph"/>
              <w:spacing w:line="251" w:lineRule="exact"/>
              <w:ind w:left="1051" w:right="626" w:hanging="290"/>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HS I</w:t>
            </w:r>
          </w:p>
        </w:tc>
        <w:tc>
          <w:tcPr>
            <w:tcW w:w="3259" w:type="dxa"/>
            <w:gridSpan w:val="2"/>
            <w:tcBorders>
              <w:top w:val="single" w:sz="5" w:space="0" w:color="000000"/>
              <w:left w:val="single" w:sz="5" w:space="0" w:color="000000"/>
              <w:bottom w:val="single" w:sz="5" w:space="0" w:color="000000"/>
              <w:right w:val="single" w:sz="5" w:space="0" w:color="000000"/>
            </w:tcBorders>
          </w:tcPr>
          <w:p w14:paraId="2CC3868F" w14:textId="77777777" w:rsidR="00D22235" w:rsidRPr="008F328C" w:rsidRDefault="00D22235" w:rsidP="00B17C6A">
            <w:pPr>
              <w:pStyle w:val="TableParagraph"/>
              <w:spacing w:line="251" w:lineRule="exact"/>
              <w:ind w:left="106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HS II</w:t>
            </w:r>
          </w:p>
        </w:tc>
      </w:tr>
      <w:tr w:rsidR="00D22235" w:rsidRPr="008F328C" w14:paraId="0744C053" w14:textId="77777777" w:rsidTr="00B17C6A">
        <w:tc>
          <w:tcPr>
            <w:tcW w:w="2846" w:type="dxa"/>
            <w:vMerge/>
            <w:tcBorders>
              <w:left w:val="single" w:sz="5" w:space="0" w:color="000000"/>
              <w:bottom w:val="single" w:sz="5" w:space="0" w:color="000000"/>
              <w:right w:val="single" w:sz="5" w:space="0" w:color="000000"/>
            </w:tcBorders>
          </w:tcPr>
          <w:p w14:paraId="03EEF6D7" w14:textId="77777777" w:rsidR="00D22235" w:rsidRPr="008F328C" w:rsidRDefault="00D22235" w:rsidP="00B17C6A">
            <w:pPr>
              <w:rPr>
                <w:rFonts w:ascii="Times New Roman" w:hAnsi="Times New Roman" w:cs="Times New Roman"/>
                <w:lang w:val="pl-PL"/>
              </w:rPr>
            </w:pPr>
          </w:p>
        </w:tc>
        <w:tc>
          <w:tcPr>
            <w:tcW w:w="1440" w:type="dxa"/>
            <w:tcBorders>
              <w:top w:val="single" w:sz="5" w:space="0" w:color="000000"/>
              <w:left w:val="single" w:sz="5" w:space="0" w:color="000000"/>
              <w:bottom w:val="single" w:sz="5" w:space="0" w:color="000000"/>
              <w:right w:val="single" w:sz="5" w:space="0" w:color="000000"/>
            </w:tcBorders>
          </w:tcPr>
          <w:p w14:paraId="01803880" w14:textId="77777777" w:rsidR="00D22235" w:rsidRPr="008F328C" w:rsidRDefault="00D22235" w:rsidP="00B17C6A">
            <w:pPr>
              <w:pStyle w:val="TableParagraph"/>
              <w:ind w:left="347"/>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w:t>
            </w:r>
          </w:p>
        </w:tc>
        <w:tc>
          <w:tcPr>
            <w:tcW w:w="1747" w:type="dxa"/>
            <w:tcBorders>
              <w:top w:val="single" w:sz="5" w:space="0" w:color="000000"/>
              <w:left w:val="single" w:sz="5" w:space="0" w:color="000000"/>
              <w:bottom w:val="single" w:sz="5" w:space="0" w:color="000000"/>
              <w:right w:val="single" w:sz="5" w:space="0" w:color="000000"/>
            </w:tcBorders>
          </w:tcPr>
          <w:p w14:paraId="2F04484A" w14:textId="77777777" w:rsidR="00D22235" w:rsidRPr="008F328C" w:rsidRDefault="00D22235" w:rsidP="00B17C6A">
            <w:pPr>
              <w:pStyle w:val="TableParagraph"/>
              <w:spacing w:before="1" w:line="252" w:lineRule="exact"/>
              <w:ind w:left="512" w:hanging="33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co tydzień</w:t>
            </w:r>
          </w:p>
        </w:tc>
        <w:tc>
          <w:tcPr>
            <w:tcW w:w="1404" w:type="dxa"/>
            <w:tcBorders>
              <w:top w:val="single" w:sz="5" w:space="0" w:color="000000"/>
              <w:left w:val="single" w:sz="5" w:space="0" w:color="000000"/>
              <w:bottom w:val="single" w:sz="5" w:space="0" w:color="000000"/>
              <w:right w:val="single" w:sz="5" w:space="0" w:color="000000"/>
            </w:tcBorders>
          </w:tcPr>
          <w:p w14:paraId="525604CB" w14:textId="77777777" w:rsidR="00D22235" w:rsidRPr="008F328C" w:rsidRDefault="00D22235" w:rsidP="00B17C6A">
            <w:pPr>
              <w:pStyle w:val="TableParagraph"/>
              <w:ind w:left="32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Placebo</w:t>
            </w:r>
          </w:p>
        </w:tc>
        <w:tc>
          <w:tcPr>
            <w:tcW w:w="1855" w:type="dxa"/>
            <w:tcBorders>
              <w:top w:val="single" w:sz="5" w:space="0" w:color="000000"/>
              <w:left w:val="single" w:sz="5" w:space="0" w:color="000000"/>
              <w:bottom w:val="single" w:sz="5" w:space="0" w:color="000000"/>
              <w:right w:val="single" w:sz="5" w:space="0" w:color="000000"/>
            </w:tcBorders>
          </w:tcPr>
          <w:p w14:paraId="4902B0C8" w14:textId="77777777" w:rsidR="00D22235" w:rsidRPr="008F328C" w:rsidRDefault="00D22235" w:rsidP="00B17C6A">
            <w:pPr>
              <w:pStyle w:val="TableParagraph"/>
              <w:spacing w:before="1" w:line="252" w:lineRule="exact"/>
              <w:ind w:left="567" w:hanging="33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co tydzień</w:t>
            </w:r>
          </w:p>
        </w:tc>
      </w:tr>
      <w:tr w:rsidR="00D22235" w:rsidRPr="008F328C" w14:paraId="744D3969" w14:textId="77777777" w:rsidTr="00B17C6A">
        <w:tc>
          <w:tcPr>
            <w:tcW w:w="2846" w:type="dxa"/>
            <w:tcBorders>
              <w:top w:val="single" w:sz="5" w:space="0" w:color="000000"/>
              <w:left w:val="single" w:sz="5" w:space="0" w:color="000000"/>
              <w:bottom w:val="single" w:sz="5" w:space="0" w:color="000000"/>
              <w:right w:val="single" w:sz="5" w:space="0" w:color="000000"/>
            </w:tcBorders>
          </w:tcPr>
          <w:p w14:paraId="7392F78E" w14:textId="77777777" w:rsidR="00D22235" w:rsidRPr="008F328C" w:rsidRDefault="00D22235" w:rsidP="00B17C6A">
            <w:pPr>
              <w:pStyle w:val="TableParagraph"/>
              <w:spacing w:line="246" w:lineRule="exact"/>
              <w:ind w:left="109"/>
              <w:rPr>
                <w:rFonts w:ascii="Times New Roman" w:eastAsia="Times New Roman" w:hAnsi="Times New Roman" w:cs="Times New Roman"/>
                <w:lang w:val="en-GB"/>
              </w:rPr>
            </w:pPr>
            <w:r w:rsidRPr="008F328C">
              <w:rPr>
                <w:rFonts w:ascii="Times New Roman" w:eastAsia="Times New Roman" w:hAnsi="Times New Roman" w:cs="Times New Roman"/>
                <w:spacing w:val="-1"/>
                <w:lang w:val="en-GB"/>
              </w:rPr>
              <w:t>Odpowiedź kliniczna (Hidradenitis</w:t>
            </w:r>
          </w:p>
          <w:p w14:paraId="683006C2" w14:textId="77777777" w:rsidR="00D22235" w:rsidRPr="008F328C" w:rsidRDefault="00D22235" w:rsidP="00B17C6A">
            <w:pPr>
              <w:pStyle w:val="TableParagraph"/>
              <w:spacing w:line="252" w:lineRule="exact"/>
              <w:ind w:left="109"/>
              <w:rPr>
                <w:rFonts w:ascii="Times New Roman" w:eastAsia="Times New Roman" w:hAnsi="Times New Roman" w:cs="Times New Roman"/>
                <w:sz w:val="14"/>
                <w:szCs w:val="14"/>
                <w:lang w:val="en-GB"/>
              </w:rPr>
            </w:pPr>
            <w:r w:rsidRPr="008F328C">
              <w:rPr>
                <w:rFonts w:ascii="Times New Roman" w:eastAsia="Times New Roman" w:hAnsi="Times New Roman" w:cs="Times New Roman"/>
                <w:spacing w:val="-1"/>
                <w:lang w:val="en-GB"/>
              </w:rPr>
              <w:t>Suppurativa Clinical Response (HiSCR)</w:t>
            </w:r>
            <w:r w:rsidRPr="008F328C">
              <w:rPr>
                <w:rFonts w:ascii="Times New Roman" w:eastAsia="Times New Roman" w:hAnsi="Times New Roman" w:cs="Times New Roman"/>
                <w:spacing w:val="-1"/>
                <w:vertAlign w:val="superscript"/>
                <w:lang w:val="en-GB"/>
              </w:rPr>
              <w:t>a</w:t>
            </w:r>
          </w:p>
        </w:tc>
        <w:tc>
          <w:tcPr>
            <w:tcW w:w="1440" w:type="dxa"/>
            <w:tcBorders>
              <w:top w:val="single" w:sz="5" w:space="0" w:color="000000"/>
              <w:left w:val="single" w:sz="5" w:space="0" w:color="000000"/>
              <w:bottom w:val="single" w:sz="5" w:space="0" w:color="000000"/>
              <w:right w:val="single" w:sz="5" w:space="0" w:color="000000"/>
            </w:tcBorders>
          </w:tcPr>
          <w:p w14:paraId="15802A34" w14:textId="77777777" w:rsidR="00D22235" w:rsidRPr="008F328C" w:rsidRDefault="00D22235" w:rsidP="00B17C6A">
            <w:pPr>
              <w:pStyle w:val="TableParagraph"/>
              <w:spacing w:line="246" w:lineRule="exact"/>
              <w:ind w:left="336" w:right="33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154</w:t>
            </w:r>
          </w:p>
          <w:p w14:paraId="70DFCBAE" w14:textId="77777777" w:rsidR="00D22235" w:rsidRPr="008F328C" w:rsidRDefault="00D22235" w:rsidP="00B17C6A">
            <w:pPr>
              <w:pStyle w:val="TableParagraph"/>
              <w:spacing w:line="252" w:lineRule="exact"/>
              <w:ind w:left="205" w:right="20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(26,0%)</w:t>
            </w:r>
          </w:p>
        </w:tc>
        <w:tc>
          <w:tcPr>
            <w:tcW w:w="1747" w:type="dxa"/>
            <w:tcBorders>
              <w:top w:val="single" w:sz="5" w:space="0" w:color="000000"/>
              <w:left w:val="single" w:sz="5" w:space="0" w:color="000000"/>
              <w:bottom w:val="single" w:sz="5" w:space="0" w:color="000000"/>
              <w:right w:val="single" w:sz="5" w:space="0" w:color="000000"/>
            </w:tcBorders>
          </w:tcPr>
          <w:p w14:paraId="5495B44B" w14:textId="77777777" w:rsidR="00D22235" w:rsidRPr="008F328C" w:rsidRDefault="00D22235" w:rsidP="00B17C6A">
            <w:pPr>
              <w:pStyle w:val="TableParagraph"/>
              <w:spacing w:line="246" w:lineRule="exact"/>
              <w:ind w:left="489" w:right="489"/>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153</w:t>
            </w:r>
          </w:p>
          <w:p w14:paraId="0E32723F" w14:textId="77777777" w:rsidR="00D22235" w:rsidRPr="008F328C" w:rsidRDefault="00D22235" w:rsidP="00B17C6A">
            <w:pPr>
              <w:pStyle w:val="TableParagraph"/>
              <w:spacing w:line="252" w:lineRule="exact"/>
              <w:ind w:left="294" w:right="294"/>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64 (41,8%) </w:t>
            </w:r>
            <w:r w:rsidRPr="008F328C">
              <w:rPr>
                <w:rFonts w:ascii="Times New Roman" w:eastAsia="Times New Roman" w:hAnsi="Times New Roman" w:cs="Times New Roman"/>
                <w:spacing w:val="-1"/>
                <w:sz w:val="14"/>
                <w:szCs w:val="14"/>
                <w:lang w:val="pl-PL"/>
              </w:rPr>
              <w:t>*</w:t>
            </w:r>
          </w:p>
        </w:tc>
        <w:tc>
          <w:tcPr>
            <w:tcW w:w="1404" w:type="dxa"/>
            <w:tcBorders>
              <w:top w:val="single" w:sz="5" w:space="0" w:color="000000"/>
              <w:left w:val="single" w:sz="5" w:space="0" w:color="000000"/>
              <w:bottom w:val="single" w:sz="5" w:space="0" w:color="000000"/>
              <w:right w:val="single" w:sz="5" w:space="0" w:color="000000"/>
            </w:tcBorders>
          </w:tcPr>
          <w:p w14:paraId="40559BED" w14:textId="77777777" w:rsidR="00D22235" w:rsidRPr="008F328C" w:rsidRDefault="00D22235" w:rsidP="00B17C6A">
            <w:pPr>
              <w:pStyle w:val="TableParagraph"/>
              <w:spacing w:line="246" w:lineRule="exact"/>
              <w:ind w:left="373" w:right="37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163</w:t>
            </w:r>
          </w:p>
          <w:p w14:paraId="2F4BA00D" w14:textId="77777777" w:rsidR="00D22235" w:rsidRPr="008F328C" w:rsidRDefault="00D22235" w:rsidP="00B17C6A">
            <w:pPr>
              <w:pStyle w:val="TableParagraph"/>
              <w:spacing w:line="252" w:lineRule="exact"/>
              <w:ind w:left="185" w:right="186"/>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45 (27,6%)</w:t>
            </w:r>
          </w:p>
        </w:tc>
        <w:tc>
          <w:tcPr>
            <w:tcW w:w="1855" w:type="dxa"/>
            <w:tcBorders>
              <w:top w:val="single" w:sz="5" w:space="0" w:color="000000"/>
              <w:left w:val="single" w:sz="5" w:space="0" w:color="000000"/>
              <w:bottom w:val="single" w:sz="5" w:space="0" w:color="000000"/>
              <w:right w:val="single" w:sz="5" w:space="0" w:color="000000"/>
            </w:tcBorders>
          </w:tcPr>
          <w:p w14:paraId="0347DB1B" w14:textId="77777777" w:rsidR="00D22235" w:rsidRPr="008F328C" w:rsidRDefault="00D22235" w:rsidP="00B17C6A">
            <w:pPr>
              <w:pStyle w:val="TableParagraph"/>
              <w:spacing w:line="246" w:lineRule="exact"/>
              <w:ind w:left="599" w:right="59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163</w:t>
            </w:r>
          </w:p>
          <w:p w14:paraId="76AD601D" w14:textId="77777777" w:rsidR="00D22235" w:rsidRPr="008F328C" w:rsidRDefault="00D22235" w:rsidP="00B17C6A">
            <w:pPr>
              <w:pStyle w:val="TableParagraph"/>
              <w:spacing w:line="252" w:lineRule="exact"/>
              <w:ind w:left="281" w:right="282"/>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96 (58,9%) </w:t>
            </w:r>
            <w:r w:rsidRPr="008F328C">
              <w:rPr>
                <w:rFonts w:ascii="Times New Roman" w:eastAsia="Times New Roman" w:hAnsi="Times New Roman" w:cs="Times New Roman"/>
                <w:spacing w:val="-1"/>
                <w:sz w:val="14"/>
                <w:szCs w:val="14"/>
                <w:lang w:val="pl-PL"/>
              </w:rPr>
              <w:t>***</w:t>
            </w:r>
          </w:p>
        </w:tc>
      </w:tr>
      <w:tr w:rsidR="00D22235" w:rsidRPr="008F328C" w14:paraId="09253BE5" w14:textId="77777777" w:rsidTr="00B17C6A">
        <w:tc>
          <w:tcPr>
            <w:tcW w:w="2846" w:type="dxa"/>
            <w:tcBorders>
              <w:top w:val="single" w:sz="5" w:space="0" w:color="000000"/>
              <w:left w:val="single" w:sz="5" w:space="0" w:color="000000"/>
              <w:bottom w:val="single" w:sz="5" w:space="0" w:color="000000"/>
              <w:right w:val="single" w:sz="5" w:space="0" w:color="000000"/>
            </w:tcBorders>
          </w:tcPr>
          <w:p w14:paraId="51A0723F" w14:textId="77777777" w:rsidR="00D22235" w:rsidRPr="008F328C" w:rsidRDefault="00D22235" w:rsidP="00B17C6A">
            <w:pPr>
              <w:pStyle w:val="TableParagraph"/>
              <w:spacing w:line="246" w:lineRule="exact"/>
              <w:ind w:left="10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Zmniejszenie nasilenia</w:t>
            </w:r>
          </w:p>
          <w:p w14:paraId="134BB388" w14:textId="77777777" w:rsidR="00D22235" w:rsidRPr="008F328C" w:rsidRDefault="00D22235" w:rsidP="00B17C6A">
            <w:pPr>
              <w:pStyle w:val="TableParagraph"/>
              <w:spacing w:line="254" w:lineRule="exact"/>
              <w:ind w:left="10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bólu skóry o ≥ 30%</w:t>
            </w:r>
            <w:r w:rsidRPr="008F328C">
              <w:rPr>
                <w:rFonts w:ascii="Times New Roman" w:eastAsia="Times New Roman" w:hAnsi="Times New Roman" w:cs="Times New Roman"/>
                <w:spacing w:val="-1"/>
                <w:vertAlign w:val="superscript"/>
                <w:lang w:val="pl-PL"/>
              </w:rPr>
              <w:t>b</w:t>
            </w:r>
          </w:p>
        </w:tc>
        <w:tc>
          <w:tcPr>
            <w:tcW w:w="1440" w:type="dxa"/>
            <w:tcBorders>
              <w:top w:val="single" w:sz="5" w:space="0" w:color="000000"/>
              <w:left w:val="single" w:sz="5" w:space="0" w:color="000000"/>
              <w:bottom w:val="single" w:sz="5" w:space="0" w:color="000000"/>
              <w:right w:val="single" w:sz="5" w:space="0" w:color="000000"/>
            </w:tcBorders>
          </w:tcPr>
          <w:p w14:paraId="5A33174F" w14:textId="77777777" w:rsidR="00D22235" w:rsidRPr="008F328C" w:rsidRDefault="00D22235" w:rsidP="00B17C6A">
            <w:pPr>
              <w:pStyle w:val="TableParagraph"/>
              <w:spacing w:line="246" w:lineRule="exact"/>
              <w:ind w:left="336" w:right="33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109</w:t>
            </w:r>
          </w:p>
          <w:p w14:paraId="751226A9" w14:textId="77777777" w:rsidR="00D22235" w:rsidRPr="008F328C" w:rsidRDefault="00D22235" w:rsidP="00B17C6A">
            <w:pPr>
              <w:pStyle w:val="TableParagraph"/>
              <w:spacing w:before="1"/>
              <w:ind w:left="205" w:right="20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27 (24,8%)</w:t>
            </w:r>
          </w:p>
        </w:tc>
        <w:tc>
          <w:tcPr>
            <w:tcW w:w="1747" w:type="dxa"/>
            <w:tcBorders>
              <w:top w:val="single" w:sz="5" w:space="0" w:color="000000"/>
              <w:left w:val="single" w:sz="5" w:space="0" w:color="000000"/>
              <w:bottom w:val="single" w:sz="5" w:space="0" w:color="000000"/>
              <w:right w:val="single" w:sz="5" w:space="0" w:color="000000"/>
            </w:tcBorders>
          </w:tcPr>
          <w:p w14:paraId="54620FFD" w14:textId="77777777" w:rsidR="00D22235" w:rsidRPr="008F328C" w:rsidRDefault="00D22235" w:rsidP="00B17C6A">
            <w:pPr>
              <w:pStyle w:val="TableParagraph"/>
              <w:spacing w:line="246" w:lineRule="exact"/>
              <w:ind w:left="489" w:right="489"/>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 = 122</w:t>
            </w:r>
          </w:p>
          <w:p w14:paraId="510C3AA5" w14:textId="77777777" w:rsidR="00D22235" w:rsidRPr="008F328C" w:rsidRDefault="00D22235" w:rsidP="00B17C6A">
            <w:pPr>
              <w:pStyle w:val="TableParagraph"/>
              <w:spacing w:before="1"/>
              <w:ind w:left="358" w:right="35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34 (27,9%)</w:t>
            </w:r>
          </w:p>
        </w:tc>
        <w:tc>
          <w:tcPr>
            <w:tcW w:w="1404" w:type="dxa"/>
            <w:tcBorders>
              <w:top w:val="single" w:sz="5" w:space="0" w:color="000000"/>
              <w:left w:val="single" w:sz="5" w:space="0" w:color="000000"/>
              <w:bottom w:val="single" w:sz="5" w:space="0" w:color="000000"/>
              <w:right w:val="single" w:sz="5" w:space="0" w:color="000000"/>
            </w:tcBorders>
          </w:tcPr>
          <w:p w14:paraId="5D32AEB2" w14:textId="77777777" w:rsidR="00D22235" w:rsidRPr="008F328C" w:rsidRDefault="00D22235" w:rsidP="00B17C6A">
            <w:pPr>
              <w:pStyle w:val="TableParagraph"/>
              <w:spacing w:line="246" w:lineRule="exact"/>
              <w:ind w:left="373" w:right="37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111</w:t>
            </w:r>
          </w:p>
          <w:p w14:paraId="7C64CBEF" w14:textId="77777777" w:rsidR="00D22235" w:rsidRPr="008F328C" w:rsidRDefault="00D22235" w:rsidP="00B17C6A">
            <w:pPr>
              <w:pStyle w:val="TableParagraph"/>
              <w:spacing w:before="1"/>
              <w:ind w:left="185" w:right="186"/>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23 (20,7%)</w:t>
            </w:r>
          </w:p>
        </w:tc>
        <w:tc>
          <w:tcPr>
            <w:tcW w:w="1855" w:type="dxa"/>
            <w:tcBorders>
              <w:top w:val="single" w:sz="5" w:space="0" w:color="000000"/>
              <w:left w:val="single" w:sz="5" w:space="0" w:color="000000"/>
              <w:bottom w:val="single" w:sz="5" w:space="0" w:color="000000"/>
              <w:right w:val="single" w:sz="5" w:space="0" w:color="000000"/>
            </w:tcBorders>
          </w:tcPr>
          <w:p w14:paraId="41F097E5" w14:textId="77777777" w:rsidR="00D22235" w:rsidRPr="008F328C" w:rsidRDefault="00D22235" w:rsidP="00B17C6A">
            <w:pPr>
              <w:pStyle w:val="TableParagraph"/>
              <w:spacing w:line="246" w:lineRule="exact"/>
              <w:ind w:left="599" w:right="59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105</w:t>
            </w:r>
          </w:p>
          <w:p w14:paraId="460000A3" w14:textId="77777777" w:rsidR="00D22235" w:rsidRPr="008F328C" w:rsidRDefault="00D22235" w:rsidP="00B17C6A">
            <w:pPr>
              <w:pStyle w:val="TableParagraph"/>
              <w:spacing w:line="254" w:lineRule="exact"/>
              <w:ind w:left="281" w:right="282"/>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 xml:space="preserve">48 (45,7%) </w:t>
            </w:r>
            <w:r w:rsidRPr="008F328C">
              <w:rPr>
                <w:rFonts w:ascii="Times New Roman" w:eastAsia="Times New Roman" w:hAnsi="Times New Roman" w:cs="Times New Roman"/>
                <w:spacing w:val="-1"/>
                <w:sz w:val="14"/>
                <w:szCs w:val="14"/>
                <w:lang w:val="pl-PL"/>
              </w:rPr>
              <w:t>***</w:t>
            </w:r>
          </w:p>
        </w:tc>
      </w:tr>
      <w:tr w:rsidR="00D22235" w:rsidRPr="00537986" w14:paraId="747C9925" w14:textId="77777777" w:rsidTr="00B17C6A">
        <w:tc>
          <w:tcPr>
            <w:tcW w:w="9293" w:type="dxa"/>
            <w:gridSpan w:val="5"/>
            <w:tcBorders>
              <w:top w:val="single" w:sz="5" w:space="0" w:color="000000"/>
              <w:left w:val="single" w:sz="5" w:space="0" w:color="000000"/>
              <w:bottom w:val="single" w:sz="5" w:space="0" w:color="000000"/>
              <w:right w:val="single" w:sz="5" w:space="0" w:color="000000"/>
            </w:tcBorders>
          </w:tcPr>
          <w:p w14:paraId="74776906" w14:textId="77777777" w:rsidR="00D22235" w:rsidRPr="008F328C" w:rsidRDefault="00D22235" w:rsidP="00B17C6A">
            <w:pPr>
              <w:pStyle w:val="TableParagraph"/>
              <w:spacing w:line="246" w:lineRule="exact"/>
              <w:ind w:left="46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i/>
                <w:iCs/>
                <w:lang w:val="pl-PL"/>
              </w:rPr>
              <w:t xml:space="preserve">P </w:t>
            </w:r>
            <w:r w:rsidRPr="008F328C">
              <w:rPr>
                <w:rFonts w:ascii="Times New Roman" w:eastAsia="Times New Roman" w:hAnsi="Times New Roman" w:cs="Times New Roman"/>
                <w:lang w:val="pl-PL"/>
              </w:rPr>
              <w:t>&lt; 0,05, ***</w:t>
            </w:r>
            <w:r w:rsidRPr="008F328C">
              <w:rPr>
                <w:rFonts w:ascii="Times New Roman" w:eastAsia="Times New Roman" w:hAnsi="Times New Roman" w:cs="Times New Roman"/>
                <w:i/>
                <w:iCs/>
                <w:lang w:val="pl-PL"/>
              </w:rPr>
              <w:t xml:space="preserve">P </w:t>
            </w:r>
            <w:r w:rsidRPr="008F328C">
              <w:rPr>
                <w:rFonts w:ascii="Times New Roman" w:eastAsia="Times New Roman" w:hAnsi="Times New Roman" w:cs="Times New Roman"/>
                <w:lang w:val="pl-PL"/>
              </w:rPr>
              <w:t>&lt; 0,001, adalimumab  vs placebo</w:t>
            </w:r>
          </w:p>
          <w:p w14:paraId="24050B29" w14:textId="77777777" w:rsidR="00D22235" w:rsidRPr="008F328C" w:rsidRDefault="00D22235" w:rsidP="00B17C6A">
            <w:pPr>
              <w:pStyle w:val="a4"/>
              <w:numPr>
                <w:ilvl w:val="0"/>
                <w:numId w:val="11"/>
              </w:numPr>
              <w:tabs>
                <w:tab w:val="left" w:pos="469"/>
              </w:tabs>
              <w:spacing w:before="32"/>
              <w:ind w:left="46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Spośród wszystkich randomizowanych pacjentów.</w:t>
            </w:r>
          </w:p>
          <w:p w14:paraId="7089E0A9" w14:textId="77777777" w:rsidR="00D22235" w:rsidRPr="008F328C" w:rsidRDefault="00D22235" w:rsidP="00B17C6A">
            <w:pPr>
              <w:pStyle w:val="a4"/>
              <w:numPr>
                <w:ilvl w:val="0"/>
                <w:numId w:val="11"/>
              </w:numPr>
              <w:tabs>
                <w:tab w:val="left" w:pos="469"/>
              </w:tabs>
              <w:spacing w:before="41" w:line="240" w:lineRule="exact"/>
              <w:ind w:left="469" w:right="59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Spośród wszystkich pacjentów z początkową oceną nasilenia bólu skóry związanego z HS ≥ 3 w numerycznej skali oceny nasilenia bólu 0-10; 0 = całkowity brak bólu skóry, 10 = najgorszy wyobrażalny ból skóry.</w:t>
            </w:r>
          </w:p>
        </w:tc>
      </w:tr>
    </w:tbl>
    <w:p w14:paraId="6B0C140E" w14:textId="77777777" w:rsidR="00D22235" w:rsidRPr="008F328C" w:rsidRDefault="00D22235" w:rsidP="00D22235">
      <w:pPr>
        <w:spacing w:before="5" w:line="170" w:lineRule="exact"/>
        <w:rPr>
          <w:rFonts w:ascii="Times New Roman" w:hAnsi="Times New Roman" w:cs="Times New Roman"/>
          <w:sz w:val="17"/>
          <w:szCs w:val="17"/>
          <w:lang w:val="pl-PL"/>
        </w:rPr>
      </w:pPr>
    </w:p>
    <w:p w14:paraId="496A416A" w14:textId="77777777" w:rsidR="00D22235" w:rsidRPr="008F328C" w:rsidRDefault="00D22235" w:rsidP="00D22235">
      <w:pPr>
        <w:pStyle w:val="a3"/>
        <w:rPr>
          <w:lang w:val="pl-PL"/>
        </w:rPr>
      </w:pPr>
      <w:r w:rsidRPr="008F328C">
        <w:rPr>
          <w:rFonts w:eastAsia="Times New Roman"/>
          <w:lang w:val="pl-PL"/>
        </w:rPr>
        <w:t>Leczenie adalimumabem 40 mg raz w tygodniu istotnie zmniejszyło ryzyko nasilenia ropni i drożnych przetok. U około dwa razy większego odsetka pacjentów w grupie otrzymującej placebo w pierwszych 12 tygodniach badań HS-I i HS-II, w porównaniu do pacjentów w grupie otrzymującej adalimumab, wystąpiło nasilenie ropni (odpowiednio 23,0% vs 11,4%) i drożnych przetok (odpowiednio 30,0% vs 13,9%).</w:t>
      </w:r>
    </w:p>
    <w:p w14:paraId="0C5C61BE" w14:textId="77777777" w:rsidR="00D22235" w:rsidRPr="008F328C" w:rsidRDefault="00D22235" w:rsidP="00D22235">
      <w:pPr>
        <w:spacing w:before="14" w:line="240" w:lineRule="exact"/>
        <w:rPr>
          <w:rFonts w:ascii="Times New Roman" w:hAnsi="Times New Roman" w:cs="Times New Roman"/>
          <w:sz w:val="24"/>
          <w:szCs w:val="24"/>
          <w:lang w:val="pl-PL"/>
        </w:rPr>
      </w:pPr>
    </w:p>
    <w:p w14:paraId="4F1E6E85" w14:textId="77777777" w:rsidR="00D22235" w:rsidRPr="008F328C" w:rsidRDefault="00D22235" w:rsidP="00D22235">
      <w:pPr>
        <w:pStyle w:val="a3"/>
        <w:rPr>
          <w:lang w:val="pl-PL"/>
        </w:rPr>
      </w:pPr>
      <w:r w:rsidRPr="008F328C">
        <w:rPr>
          <w:rFonts w:eastAsia="Times New Roman"/>
          <w:lang w:val="pl-PL"/>
        </w:rPr>
        <w:t xml:space="preserve">W porównaniu do placebo, w 12. tygodniu wykazano większą poprawę w stosunku do stanu </w:t>
      </w:r>
      <w:r w:rsidRPr="008F328C">
        <w:rPr>
          <w:rFonts w:eastAsia="Times New Roman"/>
          <w:lang w:val="pl-PL"/>
        </w:rPr>
        <w:lastRenderedPageBreak/>
        <w:t>początkowego w jakości życia swoistej dla skóry związanej ze stanem zdrowia, mierzonej wskaźnikiem jakości życia zależnej od dolegliwości skórnych - DLQI (badania HS-I i HS-II), całkowitym zadowoleniu pacjenta z leczenia farmakologicznego mierzonego kwestionariuszem zadowolenia z leczenia – leczenie (ang. Treatment Satisfaction Questionnaire – medication, TSQM, badania HS-I i HS-II) oraz zdrowie fizyczne mierzone sumaryczną punktacją składowej dotyczącej sprawności fizycznej w kwestionariuszu SF-36 (badanie HS-I).</w:t>
      </w:r>
    </w:p>
    <w:p w14:paraId="5D82BC81" w14:textId="77777777" w:rsidR="00D22235" w:rsidRPr="008F328C" w:rsidRDefault="00D22235" w:rsidP="00D22235">
      <w:pPr>
        <w:spacing w:before="13" w:line="240" w:lineRule="exact"/>
        <w:rPr>
          <w:rFonts w:ascii="Times New Roman" w:hAnsi="Times New Roman" w:cs="Times New Roman"/>
          <w:sz w:val="24"/>
          <w:szCs w:val="24"/>
          <w:lang w:val="pl-PL"/>
        </w:rPr>
      </w:pPr>
    </w:p>
    <w:p w14:paraId="7B86990C" w14:textId="79AFE146" w:rsidR="00D22235" w:rsidRPr="008F328C" w:rsidRDefault="00D22235" w:rsidP="00D22235">
      <w:pPr>
        <w:pStyle w:val="a3"/>
        <w:rPr>
          <w:lang w:val="pl-PL"/>
        </w:rPr>
      </w:pPr>
      <w:r w:rsidRPr="008F328C">
        <w:rPr>
          <w:rFonts w:eastAsia="Times New Roman"/>
          <w:lang w:val="pl-PL"/>
        </w:rPr>
        <w:t xml:space="preserve">U pacjentów z co najmniej częściową odpowiedzią na leczenie adalimumabem 40 mg w 12. tygodniu, odsetek HiSCR w 36. tygodniu był większy u pacjentów, którzy kontynuowali cotygodniowe stosowanie adalimumabu w porównaniu do pacjentów, u których częstość dawkowania zmniejszono do podawania co drugi tydzień lub u których leczenia zaprzestano (patrz Tabela </w:t>
      </w:r>
      <w:r w:rsidR="00AD1B24">
        <w:rPr>
          <w:rFonts w:eastAsia="Times New Roman"/>
          <w:lang w:val="pl-PL"/>
        </w:rPr>
        <w:t>13</w:t>
      </w:r>
      <w:r w:rsidRPr="008F328C">
        <w:rPr>
          <w:rFonts w:eastAsia="Times New Roman"/>
          <w:lang w:val="pl-PL"/>
        </w:rPr>
        <w:t>).</w:t>
      </w:r>
    </w:p>
    <w:p w14:paraId="75AA48AF" w14:textId="77777777" w:rsidR="00D22235" w:rsidRPr="008F328C" w:rsidRDefault="00D22235" w:rsidP="00D22235">
      <w:pPr>
        <w:spacing w:before="2" w:line="260" w:lineRule="exact"/>
        <w:rPr>
          <w:rFonts w:ascii="Times New Roman" w:hAnsi="Times New Roman" w:cs="Times New Roman"/>
          <w:sz w:val="26"/>
          <w:szCs w:val="26"/>
          <w:lang w:val="pl-PL"/>
        </w:rPr>
      </w:pPr>
    </w:p>
    <w:p w14:paraId="20B34DFF" w14:textId="6B624678" w:rsidR="00D22235" w:rsidRPr="008F328C" w:rsidRDefault="00D22235" w:rsidP="00D22235">
      <w:pPr>
        <w:pStyle w:val="a3"/>
        <w:jc w:val="center"/>
        <w:rPr>
          <w:b/>
          <w:lang w:val="pl-PL"/>
        </w:rPr>
      </w:pPr>
      <w:r w:rsidRPr="008F328C">
        <w:rPr>
          <w:rFonts w:eastAsia="Times New Roman"/>
          <w:b/>
          <w:bCs/>
          <w:lang w:val="pl-PL"/>
        </w:rPr>
        <w:t xml:space="preserve">Tabela </w:t>
      </w:r>
      <w:r w:rsidR="00AD1B24">
        <w:rPr>
          <w:rFonts w:eastAsia="Times New Roman"/>
          <w:b/>
          <w:bCs/>
          <w:lang w:val="pl-PL"/>
        </w:rPr>
        <w:t>13</w:t>
      </w:r>
      <w:r w:rsidR="004142DA" w:rsidRPr="008F328C">
        <w:rPr>
          <w:rFonts w:eastAsia="Times New Roman"/>
          <w:b/>
          <w:bCs/>
          <w:lang w:val="pl-PL"/>
        </w:rPr>
        <w:t>.</w:t>
      </w:r>
    </w:p>
    <w:p w14:paraId="19C4032F" w14:textId="77777777" w:rsidR="00D22235" w:rsidRPr="008F328C" w:rsidRDefault="00D22235" w:rsidP="00D22235">
      <w:pPr>
        <w:pStyle w:val="a3"/>
        <w:jc w:val="center"/>
        <w:rPr>
          <w:b/>
          <w:lang w:val="pl-PL"/>
        </w:rPr>
      </w:pPr>
      <w:r w:rsidRPr="008F328C">
        <w:rPr>
          <w:rFonts w:eastAsia="Times New Roman"/>
          <w:b/>
          <w:bCs/>
          <w:lang w:val="pl-PL"/>
        </w:rPr>
        <w:t>Odsetek pacjentów</w:t>
      </w:r>
      <w:r w:rsidRPr="008F328C">
        <w:rPr>
          <w:rFonts w:eastAsia="Times New Roman"/>
          <w:b/>
          <w:bCs/>
          <w:vertAlign w:val="superscript"/>
          <w:lang w:val="pl-PL"/>
        </w:rPr>
        <w:t>a</w:t>
      </w:r>
      <w:r w:rsidRPr="008F328C">
        <w:rPr>
          <w:rFonts w:eastAsia="Times New Roman"/>
          <w:b/>
          <w:bCs/>
          <w:lang w:val="pl-PL"/>
        </w:rPr>
        <w:t xml:space="preserve"> osiągających HiSCR</w:t>
      </w:r>
      <w:r w:rsidRPr="008F328C">
        <w:rPr>
          <w:rFonts w:eastAsia="Times New Roman"/>
          <w:b/>
          <w:bCs/>
          <w:vertAlign w:val="superscript"/>
          <w:lang w:val="pl-PL"/>
        </w:rPr>
        <w:t>b</w:t>
      </w:r>
      <w:r w:rsidRPr="008F328C">
        <w:rPr>
          <w:rFonts w:eastAsia="Times New Roman"/>
          <w:b/>
          <w:bCs/>
          <w:lang w:val="pl-PL"/>
        </w:rPr>
        <w:t xml:space="preserve"> w 24. i 36. tygodniu, którym w 12. tygodniu powtórnie przydzielono leczenie po wcześniejszym stosowaniu adalimumabu raz w tygodniu.</w:t>
      </w:r>
    </w:p>
    <w:tbl>
      <w:tblPr>
        <w:tblStyle w:val="TableNormal1"/>
        <w:tblW w:w="0" w:type="auto"/>
        <w:tblInd w:w="136" w:type="dxa"/>
        <w:tblLayout w:type="fixed"/>
        <w:tblLook w:val="01E0" w:firstRow="1" w:lastRow="1" w:firstColumn="1" w:lastColumn="1" w:noHBand="0" w:noVBand="0"/>
      </w:tblPr>
      <w:tblGrid>
        <w:gridCol w:w="2489"/>
        <w:gridCol w:w="1980"/>
        <w:gridCol w:w="1980"/>
        <w:gridCol w:w="1855"/>
      </w:tblGrid>
      <w:tr w:rsidR="00D22235" w:rsidRPr="00FE49E6" w14:paraId="3940E80E" w14:textId="77777777" w:rsidTr="00CC4159">
        <w:tc>
          <w:tcPr>
            <w:tcW w:w="2489" w:type="dxa"/>
            <w:tcBorders>
              <w:top w:val="single" w:sz="5" w:space="0" w:color="000000"/>
              <w:left w:val="single" w:sz="5" w:space="0" w:color="000000"/>
              <w:bottom w:val="single" w:sz="5" w:space="0" w:color="000000"/>
              <w:right w:val="single" w:sz="5" w:space="0" w:color="000000"/>
            </w:tcBorders>
          </w:tcPr>
          <w:p w14:paraId="0FBAE9DC" w14:textId="77777777" w:rsidR="00D22235" w:rsidRPr="008F328C" w:rsidRDefault="00D22235" w:rsidP="00B17C6A">
            <w:pPr>
              <w:rPr>
                <w:rFonts w:ascii="Times New Roman" w:hAnsi="Times New Roman" w:cs="Times New Roman"/>
                <w:lang w:val="pl-PL"/>
              </w:rPr>
            </w:pPr>
          </w:p>
        </w:tc>
        <w:tc>
          <w:tcPr>
            <w:tcW w:w="1980" w:type="dxa"/>
            <w:tcBorders>
              <w:top w:val="single" w:sz="5" w:space="0" w:color="000000"/>
              <w:left w:val="single" w:sz="5" w:space="0" w:color="000000"/>
              <w:bottom w:val="single" w:sz="5" w:space="0" w:color="000000"/>
              <w:right w:val="single" w:sz="5" w:space="0" w:color="000000"/>
            </w:tcBorders>
          </w:tcPr>
          <w:p w14:paraId="10AA50DA" w14:textId="77777777" w:rsidR="00D22235" w:rsidRPr="008F328C" w:rsidRDefault="00D22235" w:rsidP="00B17C6A">
            <w:pPr>
              <w:pStyle w:val="TableParagraph"/>
              <w:spacing w:before="37" w:line="240" w:lineRule="exact"/>
              <w:ind w:left="409" w:right="407" w:hanging="2"/>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 (odstawienie leczenia) N = 73</w:t>
            </w:r>
          </w:p>
        </w:tc>
        <w:tc>
          <w:tcPr>
            <w:tcW w:w="1980" w:type="dxa"/>
            <w:tcBorders>
              <w:top w:val="single" w:sz="5" w:space="0" w:color="000000"/>
              <w:left w:val="single" w:sz="5" w:space="0" w:color="000000"/>
              <w:bottom w:val="single" w:sz="5" w:space="0" w:color="000000"/>
              <w:right w:val="single" w:sz="5" w:space="0" w:color="000000"/>
            </w:tcBorders>
          </w:tcPr>
          <w:p w14:paraId="70EC69F3" w14:textId="77777777" w:rsidR="00D22235" w:rsidRPr="008F328C" w:rsidRDefault="00D22235" w:rsidP="00B17C6A">
            <w:pPr>
              <w:pStyle w:val="TableParagraph"/>
              <w:spacing w:line="240" w:lineRule="exact"/>
              <w:ind w:left="183" w:right="180"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Adalimumab 40 mg co drugi tydzień </w:t>
            </w:r>
            <w:r w:rsidRPr="008F328C">
              <w:rPr>
                <w:rFonts w:ascii="Times New Roman" w:eastAsia="Times New Roman" w:hAnsi="Times New Roman" w:cs="Times New Roman"/>
                <w:b/>
                <w:bCs/>
                <w:spacing w:val="-1"/>
                <w:lang w:val="pl-PL"/>
              </w:rPr>
              <w:br/>
              <w:t>N = 70</w:t>
            </w:r>
          </w:p>
        </w:tc>
        <w:tc>
          <w:tcPr>
            <w:tcW w:w="1855" w:type="dxa"/>
            <w:tcBorders>
              <w:top w:val="single" w:sz="5" w:space="0" w:color="000000"/>
              <w:left w:val="single" w:sz="5" w:space="0" w:color="000000"/>
              <w:bottom w:val="single" w:sz="5" w:space="0" w:color="000000"/>
              <w:right w:val="single" w:sz="5" w:space="0" w:color="000000"/>
            </w:tcBorders>
          </w:tcPr>
          <w:p w14:paraId="38A9764E" w14:textId="77777777" w:rsidR="00D22235" w:rsidRPr="008F328C" w:rsidRDefault="00D22235" w:rsidP="00B17C6A">
            <w:pPr>
              <w:pStyle w:val="TableParagraph"/>
              <w:spacing w:line="240" w:lineRule="exact"/>
              <w:ind w:left="236" w:right="23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Adalimumab 40 mg raz na tydzień</w:t>
            </w:r>
          </w:p>
          <w:p w14:paraId="582C5EE2" w14:textId="77777777" w:rsidR="00D22235" w:rsidRPr="008F328C" w:rsidRDefault="00D22235" w:rsidP="00B17C6A">
            <w:pPr>
              <w:pStyle w:val="TableParagraph"/>
              <w:spacing w:line="240" w:lineRule="exact"/>
              <w:ind w:left="595" w:right="598"/>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70</w:t>
            </w:r>
          </w:p>
        </w:tc>
      </w:tr>
      <w:tr w:rsidR="00D22235" w:rsidRPr="008F328C" w14:paraId="3A21B17D" w14:textId="77777777" w:rsidTr="00CC4159">
        <w:tc>
          <w:tcPr>
            <w:tcW w:w="2489" w:type="dxa"/>
            <w:tcBorders>
              <w:top w:val="single" w:sz="5" w:space="0" w:color="000000"/>
              <w:left w:val="single" w:sz="5" w:space="0" w:color="000000"/>
              <w:bottom w:val="single" w:sz="5" w:space="0" w:color="000000"/>
              <w:right w:val="single" w:sz="5" w:space="0" w:color="000000"/>
            </w:tcBorders>
          </w:tcPr>
          <w:p w14:paraId="0A1346C4"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24. tydzień</w:t>
            </w:r>
          </w:p>
        </w:tc>
        <w:tc>
          <w:tcPr>
            <w:tcW w:w="1980" w:type="dxa"/>
            <w:tcBorders>
              <w:top w:val="single" w:sz="5" w:space="0" w:color="000000"/>
              <w:left w:val="single" w:sz="5" w:space="0" w:color="000000"/>
              <w:bottom w:val="single" w:sz="5" w:space="0" w:color="000000"/>
              <w:right w:val="single" w:sz="5" w:space="0" w:color="000000"/>
            </w:tcBorders>
          </w:tcPr>
          <w:p w14:paraId="208E9357" w14:textId="77777777" w:rsidR="00D22235" w:rsidRPr="008F328C" w:rsidRDefault="00D22235" w:rsidP="00B17C6A">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24 (32,9%)</w:t>
            </w:r>
          </w:p>
        </w:tc>
        <w:tc>
          <w:tcPr>
            <w:tcW w:w="1980" w:type="dxa"/>
            <w:tcBorders>
              <w:top w:val="single" w:sz="5" w:space="0" w:color="000000"/>
              <w:left w:val="single" w:sz="5" w:space="0" w:color="000000"/>
              <w:bottom w:val="single" w:sz="5" w:space="0" w:color="000000"/>
              <w:right w:val="single" w:sz="5" w:space="0" w:color="000000"/>
            </w:tcBorders>
          </w:tcPr>
          <w:p w14:paraId="18B724AF" w14:textId="77777777" w:rsidR="00D22235" w:rsidRPr="008F328C" w:rsidRDefault="00D22235" w:rsidP="00B17C6A">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36 (51,4%)</w:t>
            </w:r>
          </w:p>
        </w:tc>
        <w:tc>
          <w:tcPr>
            <w:tcW w:w="1855" w:type="dxa"/>
            <w:tcBorders>
              <w:top w:val="single" w:sz="5" w:space="0" w:color="000000"/>
              <w:left w:val="single" w:sz="5" w:space="0" w:color="000000"/>
              <w:bottom w:val="single" w:sz="5" w:space="0" w:color="000000"/>
              <w:right w:val="single" w:sz="5" w:space="0" w:color="000000"/>
            </w:tcBorders>
          </w:tcPr>
          <w:p w14:paraId="45070A44" w14:textId="77777777" w:rsidR="00D22235" w:rsidRPr="008F328C" w:rsidRDefault="00D22235" w:rsidP="00B17C6A">
            <w:pPr>
              <w:pStyle w:val="TableParagraph"/>
              <w:spacing w:before="24"/>
              <w:ind w:left="42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(57,1%)</w:t>
            </w:r>
          </w:p>
        </w:tc>
      </w:tr>
      <w:tr w:rsidR="00D22235" w:rsidRPr="008F328C" w14:paraId="25160584" w14:textId="77777777" w:rsidTr="00CC4159">
        <w:tc>
          <w:tcPr>
            <w:tcW w:w="2489" w:type="dxa"/>
            <w:tcBorders>
              <w:top w:val="single" w:sz="5" w:space="0" w:color="000000"/>
              <w:left w:val="single" w:sz="5" w:space="0" w:color="000000"/>
              <w:bottom w:val="single" w:sz="5" w:space="0" w:color="000000"/>
              <w:right w:val="single" w:sz="5" w:space="0" w:color="000000"/>
            </w:tcBorders>
          </w:tcPr>
          <w:p w14:paraId="39A2D9A2"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36. tydzień</w:t>
            </w:r>
          </w:p>
        </w:tc>
        <w:tc>
          <w:tcPr>
            <w:tcW w:w="1980" w:type="dxa"/>
            <w:tcBorders>
              <w:top w:val="single" w:sz="5" w:space="0" w:color="000000"/>
              <w:left w:val="single" w:sz="5" w:space="0" w:color="000000"/>
              <w:bottom w:val="single" w:sz="5" w:space="0" w:color="000000"/>
              <w:right w:val="single" w:sz="5" w:space="0" w:color="000000"/>
            </w:tcBorders>
          </w:tcPr>
          <w:p w14:paraId="3783F1CC" w14:textId="77777777" w:rsidR="00D22235" w:rsidRPr="008F328C" w:rsidRDefault="00D22235" w:rsidP="00B17C6A">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22 (30,1%)</w:t>
            </w:r>
          </w:p>
        </w:tc>
        <w:tc>
          <w:tcPr>
            <w:tcW w:w="1980" w:type="dxa"/>
            <w:tcBorders>
              <w:top w:val="single" w:sz="5" w:space="0" w:color="000000"/>
              <w:left w:val="single" w:sz="5" w:space="0" w:color="000000"/>
              <w:bottom w:val="single" w:sz="5" w:space="0" w:color="000000"/>
              <w:right w:val="single" w:sz="5" w:space="0" w:color="000000"/>
            </w:tcBorders>
          </w:tcPr>
          <w:p w14:paraId="5BDFDFB2" w14:textId="77777777" w:rsidR="00D22235" w:rsidRPr="008F328C" w:rsidRDefault="00D22235" w:rsidP="00B17C6A">
            <w:pPr>
              <w:pStyle w:val="TableParagraph"/>
              <w:spacing w:before="24"/>
              <w:ind w:left="48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28 (40,0%)</w:t>
            </w:r>
          </w:p>
        </w:tc>
        <w:tc>
          <w:tcPr>
            <w:tcW w:w="1855" w:type="dxa"/>
            <w:tcBorders>
              <w:top w:val="single" w:sz="5" w:space="0" w:color="000000"/>
              <w:left w:val="single" w:sz="5" w:space="0" w:color="000000"/>
              <w:bottom w:val="single" w:sz="5" w:space="0" w:color="000000"/>
              <w:right w:val="single" w:sz="5" w:space="0" w:color="000000"/>
            </w:tcBorders>
          </w:tcPr>
          <w:p w14:paraId="36959F88" w14:textId="77777777" w:rsidR="00D22235" w:rsidRPr="008F328C" w:rsidRDefault="00D22235" w:rsidP="00B17C6A">
            <w:pPr>
              <w:pStyle w:val="TableParagraph"/>
              <w:spacing w:before="24"/>
              <w:ind w:left="42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39 (55,7%)</w:t>
            </w:r>
          </w:p>
        </w:tc>
      </w:tr>
      <w:tr w:rsidR="00D22235" w:rsidRPr="00537986" w14:paraId="0013CE81" w14:textId="77777777" w:rsidTr="00CC4159">
        <w:tc>
          <w:tcPr>
            <w:tcW w:w="8304" w:type="dxa"/>
            <w:gridSpan w:val="4"/>
            <w:tcBorders>
              <w:top w:val="single" w:sz="5" w:space="0" w:color="000000"/>
              <w:left w:val="single" w:sz="5" w:space="0" w:color="000000"/>
              <w:bottom w:val="single" w:sz="5" w:space="0" w:color="000000"/>
              <w:right w:val="single" w:sz="5" w:space="0" w:color="000000"/>
            </w:tcBorders>
          </w:tcPr>
          <w:p w14:paraId="58DE5C03" w14:textId="77777777" w:rsidR="00D22235" w:rsidRPr="008F328C" w:rsidRDefault="00D22235" w:rsidP="00B17C6A">
            <w:pPr>
              <w:pStyle w:val="a4"/>
              <w:numPr>
                <w:ilvl w:val="0"/>
                <w:numId w:val="10"/>
              </w:numPr>
              <w:tabs>
                <w:tab w:val="left" w:pos="344"/>
              </w:tabs>
              <w:spacing w:before="39" w:line="240" w:lineRule="exact"/>
              <w:ind w:left="344" w:right="49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Pacjenci z co najmniej częściową odpowiedzią na leczenie adalimumabem 40 mg raz w tygodniu po 12 tygodniach leczenia.</w:t>
            </w:r>
          </w:p>
          <w:p w14:paraId="657CCEBB" w14:textId="77777777" w:rsidR="00D22235" w:rsidRPr="008F328C" w:rsidRDefault="00D22235" w:rsidP="00581A50">
            <w:pPr>
              <w:pStyle w:val="a4"/>
              <w:numPr>
                <w:ilvl w:val="0"/>
                <w:numId w:val="10"/>
              </w:numPr>
              <w:tabs>
                <w:tab w:val="left" w:pos="344"/>
              </w:tabs>
              <w:spacing w:before="41" w:line="240" w:lineRule="exact"/>
              <w:ind w:left="344" w:right="81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Pacjenci spełniający wymienione w protokole kryteria utraty odpowiedzi lub nieuzyskujący poprawy nie mogli kontynuować udziału w badaniach i byli klasyfikowani jako nieodpowiadający na leczenie.</w:t>
            </w:r>
          </w:p>
        </w:tc>
      </w:tr>
    </w:tbl>
    <w:p w14:paraId="12E5D3ED" w14:textId="77777777" w:rsidR="00D22235" w:rsidRPr="008F328C" w:rsidRDefault="00D22235" w:rsidP="00D22235">
      <w:pPr>
        <w:pStyle w:val="a3"/>
        <w:rPr>
          <w:spacing w:val="1"/>
          <w:lang w:val="pl-PL"/>
        </w:rPr>
      </w:pPr>
    </w:p>
    <w:p w14:paraId="15FFF342" w14:textId="77777777" w:rsidR="00D22235" w:rsidRPr="008F328C" w:rsidRDefault="00D22235" w:rsidP="00D22235">
      <w:pPr>
        <w:pStyle w:val="a3"/>
        <w:rPr>
          <w:lang w:val="pl-PL"/>
        </w:rPr>
      </w:pPr>
      <w:r w:rsidRPr="008F328C">
        <w:rPr>
          <w:rFonts w:eastAsia="Times New Roman"/>
          <w:spacing w:val="1"/>
          <w:lang w:val="pl-PL"/>
        </w:rPr>
        <w:t>Wśród pacjentów, którzy wykazali co najmniej częściową odpowiedź na leczenie w 12. tygodniu i otrzymywali ciągłe leczenie adalimumabem raz w tygodniu, odsetek HiSCR w 48. tygodniu wynosił 68,3%, a w 96. tygodniu wyniósł 65,1%. W dłuższym leczeniu adalimumabem 40 mg raz w tygodniu przez 96 tygodni nie było nowych obserwacji odnośnie bezpieczeństwa stosowania.</w:t>
      </w:r>
    </w:p>
    <w:p w14:paraId="1723E90A" w14:textId="77777777" w:rsidR="00D22235" w:rsidRPr="008F328C" w:rsidRDefault="00D22235" w:rsidP="00D22235">
      <w:pPr>
        <w:pStyle w:val="a3"/>
        <w:rPr>
          <w:sz w:val="24"/>
          <w:szCs w:val="24"/>
          <w:lang w:val="pl-PL"/>
        </w:rPr>
      </w:pPr>
    </w:p>
    <w:p w14:paraId="57AFDF8B" w14:textId="77777777" w:rsidR="00D22235" w:rsidRPr="008F328C" w:rsidRDefault="00D22235" w:rsidP="00D22235">
      <w:pPr>
        <w:pStyle w:val="a3"/>
        <w:rPr>
          <w:lang w:val="pl-PL"/>
        </w:rPr>
      </w:pPr>
      <w:r w:rsidRPr="008F328C">
        <w:rPr>
          <w:rFonts w:eastAsia="Times New Roman"/>
          <w:spacing w:val="1"/>
          <w:lang w:val="pl-PL"/>
        </w:rPr>
        <w:t>Wśród pacjentów, u których zaprzestano leczenia adalimumabem w 12. tygodniu w badaniach HS-I i HS-II, odsetek HiSCR 12 tygodni po powtórnym wprowadzeniu adalimumabu 40 mg raz w tygodniu powrócił do poziomu podobnego do obserwowanego przed odstawieniem leczenia (56,0%).</w:t>
      </w:r>
    </w:p>
    <w:p w14:paraId="111FC703" w14:textId="77777777" w:rsidR="00D22235" w:rsidRPr="008F328C" w:rsidRDefault="00D22235" w:rsidP="00D22235">
      <w:pPr>
        <w:pStyle w:val="a3"/>
        <w:rPr>
          <w:sz w:val="24"/>
          <w:szCs w:val="24"/>
          <w:lang w:val="pl-PL"/>
        </w:rPr>
      </w:pPr>
    </w:p>
    <w:p w14:paraId="0B22747E" w14:textId="17353C19" w:rsidR="00D22235" w:rsidRPr="008F328C" w:rsidRDefault="00D22235" w:rsidP="00D22235">
      <w:pPr>
        <w:pStyle w:val="a3"/>
        <w:rPr>
          <w:rFonts w:eastAsia="Times New Roman"/>
          <w:lang w:val="pl-PL"/>
        </w:rPr>
      </w:pPr>
      <w:r w:rsidRPr="008F328C">
        <w:rPr>
          <w:rFonts w:eastAsia="Times New Roman"/>
          <w:i/>
          <w:iCs/>
          <w:spacing w:val="-1"/>
          <w:lang w:val="pl-PL"/>
        </w:rPr>
        <w:t xml:space="preserve">Ropne zapalenie apokrynowych gruczołów potowych </w:t>
      </w:r>
      <w:r w:rsidR="006D7011" w:rsidRPr="00FE49E6">
        <w:rPr>
          <w:i/>
          <w:iCs/>
          <w:lang w:val="pl-PL"/>
        </w:rPr>
        <w:t>(HS)</w:t>
      </w:r>
      <w:r w:rsidR="006D7011">
        <w:rPr>
          <w:i/>
          <w:iCs/>
          <w:lang w:val="pl-PL"/>
        </w:rPr>
        <w:t xml:space="preserve"> </w:t>
      </w:r>
      <w:r w:rsidRPr="008F328C">
        <w:rPr>
          <w:rFonts w:eastAsia="Times New Roman"/>
          <w:i/>
          <w:iCs/>
          <w:spacing w:val="-1"/>
          <w:lang w:val="pl-PL"/>
        </w:rPr>
        <w:t>u młodzieży</w:t>
      </w:r>
    </w:p>
    <w:p w14:paraId="43DBB44E" w14:textId="77777777" w:rsidR="00D22235" w:rsidRPr="008F328C" w:rsidRDefault="00D22235" w:rsidP="00D22235">
      <w:pPr>
        <w:pStyle w:val="a3"/>
        <w:rPr>
          <w:sz w:val="24"/>
          <w:szCs w:val="24"/>
          <w:lang w:val="pl-PL"/>
        </w:rPr>
      </w:pPr>
    </w:p>
    <w:p w14:paraId="5EA0E675" w14:textId="3436562A" w:rsidR="00D22235" w:rsidRPr="008F328C" w:rsidRDefault="00D22235" w:rsidP="00D22235">
      <w:pPr>
        <w:pStyle w:val="a3"/>
        <w:rPr>
          <w:lang w:val="pl-PL"/>
        </w:rPr>
      </w:pPr>
      <w:r w:rsidRPr="008F328C">
        <w:rPr>
          <w:rFonts w:eastAsia="Times New Roman"/>
          <w:lang w:val="pl-PL"/>
        </w:rPr>
        <w:t>Nie ma badań klinicznych adalimumab u pacjentów w wieku młodzieńczym z HS.  Skuteczność adalimumabu w leczeniu HS u pacjentów w wieku młodzieńczym przewiduje się na podstawie wykazanej skuteczności i zależności między ekspozycją na adalimumab i odpowiedzią na leczenie u dorosłych pacjentów z HS oraz prawdopodobieństwa, że przebieg choroby, patofizjologia i działanie leku są zasadniczo podobne do stwierdzonych u dorosłych p</w:t>
      </w:r>
      <w:r w:rsidR="006D7011">
        <w:rPr>
          <w:rFonts w:eastAsia="Times New Roman"/>
          <w:lang w:val="pl-PL"/>
        </w:rPr>
        <w:t>o</w:t>
      </w:r>
      <w:r w:rsidRPr="008F328C">
        <w:rPr>
          <w:rFonts w:eastAsia="Times New Roman"/>
          <w:lang w:val="pl-PL"/>
        </w:rPr>
        <w:t xml:space="preserve"> tym samym poziomie ekspozycji. Bezpieczeństwo stosowania zalecanej dawki adalimumabu w populacji młodzieży z HS określono na podstawie profilu bezpieczeństwa adalimumabu stosowanego w podobnych lub częściej podawanych dawkach w różnych wskazaniach zarówno u dorosłych, jak i u dzieci i młodzieży (patrz punkt 5.2).</w:t>
      </w:r>
    </w:p>
    <w:p w14:paraId="5DB5F357" w14:textId="77777777" w:rsidR="00D22235" w:rsidRPr="008F328C" w:rsidRDefault="00D22235" w:rsidP="00D22235">
      <w:pPr>
        <w:pStyle w:val="a3"/>
        <w:rPr>
          <w:sz w:val="24"/>
          <w:szCs w:val="24"/>
          <w:lang w:val="pl-PL"/>
        </w:rPr>
      </w:pPr>
    </w:p>
    <w:p w14:paraId="28452C78" w14:textId="77777777" w:rsidR="00D22235" w:rsidRPr="008F328C" w:rsidRDefault="00D22235" w:rsidP="00D22235">
      <w:pPr>
        <w:pStyle w:val="a3"/>
        <w:rPr>
          <w:rFonts w:eastAsia="Times New Roman"/>
          <w:lang w:val="pl-PL"/>
        </w:rPr>
      </w:pPr>
      <w:r w:rsidRPr="008F328C">
        <w:rPr>
          <w:rFonts w:eastAsia="Times New Roman"/>
          <w:i/>
          <w:iCs/>
          <w:spacing w:val="-1"/>
          <w:lang w:val="pl-PL"/>
        </w:rPr>
        <w:t>Choroba Leśniowskiego-Crohna</w:t>
      </w:r>
    </w:p>
    <w:p w14:paraId="00C7C599" w14:textId="77777777" w:rsidR="00D22235" w:rsidRPr="008F328C" w:rsidRDefault="00D22235" w:rsidP="00D22235">
      <w:pPr>
        <w:pStyle w:val="a3"/>
        <w:rPr>
          <w:sz w:val="24"/>
          <w:szCs w:val="24"/>
          <w:lang w:val="pl-PL"/>
        </w:rPr>
      </w:pPr>
    </w:p>
    <w:p w14:paraId="0AF4356F" w14:textId="77777777" w:rsidR="00D22235" w:rsidRPr="008F328C" w:rsidRDefault="00D22235" w:rsidP="00D22235">
      <w:pPr>
        <w:pStyle w:val="a3"/>
        <w:rPr>
          <w:lang w:val="pl-PL"/>
        </w:rPr>
      </w:pPr>
      <w:r w:rsidRPr="008F328C">
        <w:rPr>
          <w:rFonts w:eastAsia="Times New Roman"/>
          <w:lang w:val="pl-PL"/>
        </w:rPr>
        <w:t xml:space="preserve">Bezpieczeństwo stosowania i skuteczność adalimumabu oceniano u ponad 1 500 pacjentów z czynną chorobą Leśniowskiego-Crohna o nasileniu umiarkowanym do ciężkiego [wskaźnik aktywności choroby Leśniowskiego-Crohna (ang. Crohn’s Disease Activity Index, CDAI)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220 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 xml:space="preserve">450] w randomizowanych, </w:t>
      </w:r>
      <w:r w:rsidRPr="008F328C">
        <w:rPr>
          <w:rFonts w:eastAsia="Times New Roman"/>
          <w:lang w:val="pl-PL"/>
        </w:rPr>
        <w:lastRenderedPageBreak/>
        <w:t>kontrolowanych placebo badaniach klinicznych metodą podwójnie ślepej próby. Dozwolone było jednoczesne stosowanie stałych dawek aminosalicylanów, kortykosteroidów i (lub) leków immunomodulujących i 80% pacjentów kontynuowało przyjmowanie co najmniej jednego z tych leków.</w:t>
      </w:r>
    </w:p>
    <w:p w14:paraId="55B2954D" w14:textId="77777777" w:rsidR="00D22235" w:rsidRPr="008F328C" w:rsidRDefault="00D22235" w:rsidP="00D22235">
      <w:pPr>
        <w:pStyle w:val="a3"/>
        <w:rPr>
          <w:sz w:val="24"/>
          <w:szCs w:val="24"/>
          <w:lang w:val="pl-PL"/>
        </w:rPr>
      </w:pPr>
    </w:p>
    <w:p w14:paraId="3F16963C" w14:textId="77777777" w:rsidR="00D22235" w:rsidRPr="008F328C" w:rsidRDefault="00D22235" w:rsidP="00D22235">
      <w:pPr>
        <w:pStyle w:val="a3"/>
        <w:rPr>
          <w:lang w:val="pl-PL"/>
        </w:rPr>
      </w:pPr>
      <w:r w:rsidRPr="008F328C">
        <w:rPr>
          <w:rFonts w:eastAsia="Times New Roman"/>
          <w:lang w:val="pl-PL"/>
        </w:rPr>
        <w:t>Indukcję remisji klinicznej (określonej jako CDAI &lt; 150) oceniano w dwóch badaniach: badanie I w ChL-C (CLASSIC I) i badanie II w ChL-C (GAIN). W badaniu I w ChL-C, 299 pacjentów nie leczonych wcześniej lekiem z grupy antagonistów TNF losowo przydzielono do jednej z czterech grup otrzymujących: placebo w tygodniach 0 i 2; 160 mg adalimumabu w tygodniu 0 oraz 80 mg w 2. tygodniu; 80 mg w tygodniu 0 i 40 mg w 2. tygodniu oraz 40 mg w tygodniu 0 i 20 mg w 2. tygodniu. W badaniu II w ChL-C, 325 pacjentów, którzy przestali wykazywać odpowiedź na leczenie infliksymabem lub go nie tolerowali losowo przydzielono do grupy, która otrzymywała160 mg adalimumabu w tygodniu 0 i 80 mg w 2. tygodniu lub placebo w tygodniach 0 i 2. Osoby, które pierwotnie nie odpowiadały na leczenie wykluczono z udziału w badaniach i dlatego pacjentów tych nie poddawano dalszej ocenie.</w:t>
      </w:r>
    </w:p>
    <w:p w14:paraId="608E4320" w14:textId="77777777" w:rsidR="00D22235" w:rsidRPr="008F328C" w:rsidRDefault="00D22235" w:rsidP="00D22235">
      <w:pPr>
        <w:pStyle w:val="a3"/>
        <w:rPr>
          <w:sz w:val="24"/>
          <w:szCs w:val="24"/>
          <w:lang w:val="pl-PL"/>
        </w:rPr>
      </w:pPr>
    </w:p>
    <w:p w14:paraId="4CB21FD4" w14:textId="77777777" w:rsidR="00D22235" w:rsidRPr="008F328C" w:rsidRDefault="00D22235" w:rsidP="00D22235">
      <w:pPr>
        <w:pStyle w:val="a3"/>
        <w:rPr>
          <w:lang w:val="pl-PL"/>
        </w:rPr>
      </w:pPr>
      <w:r w:rsidRPr="008F328C">
        <w:rPr>
          <w:rFonts w:eastAsia="Times New Roman"/>
          <w:lang w:val="pl-PL"/>
        </w:rPr>
        <w:t>W badaniu III (CHARM) w ChL-C oceniano utrzymywanie się remisji klinicznej. W badaniu III w ChL-C, 854 pacjentów otrzymywało w otwartej próbie 80 mg w tygodniu 0 i 40 mg w 2. tygodniu. W 4. tygodniu pacjentów losowo przydzielono do grupy otrzymującej 40 mg co drugi tydzień, 40 mg co tydzień lub placebo, a całkowity czas trwania badania wynosił 56 tygodni. Pacjentów, którzy wykazali kliniczną odpowiedź na leczenie (zmniejszenie wskaźnika CDAI ≥ 70) w 4. tygodniu wyodrębniono i poddano odrębnej analizie niż pacjentów, którzy nie wykazali odpowiedzi klinicznej w 4. tygodniu. Po upływie 8. tygodnia dozwolone było stopniowe zmniejszenie dawki kortykosteroidu.</w:t>
      </w:r>
    </w:p>
    <w:p w14:paraId="687BF5DC" w14:textId="77777777" w:rsidR="00D22235" w:rsidRPr="008F328C" w:rsidRDefault="00D22235" w:rsidP="00D22235">
      <w:pPr>
        <w:spacing w:before="11" w:line="240" w:lineRule="exact"/>
        <w:rPr>
          <w:rFonts w:ascii="Times New Roman" w:hAnsi="Times New Roman" w:cs="Times New Roman"/>
          <w:sz w:val="24"/>
          <w:szCs w:val="24"/>
          <w:lang w:val="pl-PL"/>
        </w:rPr>
      </w:pPr>
    </w:p>
    <w:p w14:paraId="7693DDB3" w14:textId="23946ABE" w:rsidR="00D22235" w:rsidRPr="008F328C" w:rsidRDefault="00D22235" w:rsidP="00D22235">
      <w:pPr>
        <w:pStyle w:val="a3"/>
        <w:rPr>
          <w:lang w:val="pl-PL"/>
        </w:rPr>
      </w:pPr>
      <w:r w:rsidRPr="008F328C">
        <w:rPr>
          <w:rFonts w:eastAsia="Times New Roman"/>
          <w:lang w:val="pl-PL"/>
        </w:rPr>
        <w:t xml:space="preserve">Odsetki indukcji remisji i odpowiedzi na leczenie w badaniach I i II w ChL-C przedstawiono w Tabeli </w:t>
      </w:r>
      <w:r w:rsidR="00AD1B24">
        <w:rPr>
          <w:rFonts w:eastAsia="Times New Roman"/>
          <w:lang w:val="pl-PL"/>
        </w:rPr>
        <w:t>14</w:t>
      </w:r>
      <w:r w:rsidRPr="008F328C">
        <w:rPr>
          <w:rFonts w:eastAsia="Times New Roman"/>
          <w:lang w:val="pl-PL"/>
        </w:rPr>
        <w:t>.</w:t>
      </w:r>
    </w:p>
    <w:p w14:paraId="21AD01A2" w14:textId="77777777" w:rsidR="00D22235" w:rsidRPr="008F328C" w:rsidRDefault="00D22235" w:rsidP="00D22235">
      <w:pPr>
        <w:pStyle w:val="a3"/>
        <w:jc w:val="center"/>
        <w:rPr>
          <w:b/>
          <w:lang w:val="pl-PL"/>
        </w:rPr>
      </w:pPr>
    </w:p>
    <w:p w14:paraId="05246305" w14:textId="0FCFBA91" w:rsidR="00D22235" w:rsidRPr="008F328C" w:rsidRDefault="00D22235" w:rsidP="00D22235">
      <w:pPr>
        <w:jc w:val="center"/>
        <w:rPr>
          <w:rFonts w:ascii="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AD1B24">
        <w:rPr>
          <w:rFonts w:ascii="Times New Roman" w:eastAsia="Times New Roman" w:hAnsi="Times New Roman" w:cs="Times New Roman"/>
          <w:b/>
          <w:bCs/>
          <w:lang w:val="pl-PL"/>
        </w:rPr>
        <w:t>14</w:t>
      </w:r>
      <w:r w:rsidR="004142DA" w:rsidRPr="008F328C">
        <w:rPr>
          <w:rFonts w:ascii="Times New Roman" w:eastAsia="Times New Roman" w:hAnsi="Times New Roman" w:cs="Times New Roman"/>
          <w:b/>
          <w:bCs/>
          <w:lang w:val="pl-PL"/>
        </w:rPr>
        <w:t>.</w:t>
      </w:r>
    </w:p>
    <w:p w14:paraId="5FF76F03" w14:textId="77777777" w:rsidR="00D22235" w:rsidRPr="008F328C" w:rsidRDefault="00D22235" w:rsidP="00D22235">
      <w:pPr>
        <w:pStyle w:val="a3"/>
        <w:jc w:val="center"/>
        <w:rPr>
          <w:b/>
          <w:lang w:val="pl-PL"/>
        </w:rPr>
      </w:pPr>
      <w:r w:rsidRPr="008F328C">
        <w:rPr>
          <w:rFonts w:eastAsia="Times New Roman"/>
          <w:b/>
          <w:bCs/>
          <w:lang w:val="pl-PL"/>
        </w:rPr>
        <w:t>Indukcja remisji klinicznej i odpowiedzi na leczenie (odsetek pacjentów)</w:t>
      </w:r>
    </w:p>
    <w:p w14:paraId="326AA8C6" w14:textId="77777777" w:rsidR="00D22235" w:rsidRPr="008F328C" w:rsidRDefault="00D22235" w:rsidP="00D22235">
      <w:pPr>
        <w:spacing w:before="3" w:line="10" w:lineRule="exact"/>
        <w:rPr>
          <w:rFonts w:ascii="Times New Roman" w:hAnsi="Times New Roman" w:cs="Times New Roman"/>
          <w:sz w:val="4"/>
          <w:szCs w:val="4"/>
          <w:lang w:val="pl-PL"/>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D22235" w:rsidRPr="00494296" w14:paraId="029CE7B3" w14:textId="77777777" w:rsidTr="00B17C6A">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40D96FDF" w14:textId="77777777" w:rsidR="00D22235" w:rsidRPr="008F328C" w:rsidRDefault="00D22235" w:rsidP="00B17C6A">
            <w:pPr>
              <w:rPr>
                <w:rFonts w:ascii="Times New Roman" w:hAnsi="Times New Roman" w:cs="Times New Roman"/>
                <w:lang w:val="pl-PL"/>
              </w:rPr>
            </w:pPr>
          </w:p>
        </w:tc>
        <w:tc>
          <w:tcPr>
            <w:tcW w:w="3779" w:type="dxa"/>
            <w:gridSpan w:val="3"/>
            <w:tcBorders>
              <w:top w:val="single" w:sz="5" w:space="0" w:color="000000"/>
              <w:left w:val="single" w:sz="5" w:space="0" w:color="000000"/>
              <w:bottom w:val="single" w:sz="5" w:space="0" w:color="000000"/>
              <w:right w:val="single" w:sz="5" w:space="0" w:color="000000"/>
            </w:tcBorders>
          </w:tcPr>
          <w:p w14:paraId="70A5A3D6" w14:textId="77777777" w:rsidR="00D22235" w:rsidRPr="008F328C" w:rsidRDefault="00D22235" w:rsidP="00B17C6A">
            <w:pPr>
              <w:pStyle w:val="TableParagraph"/>
              <w:spacing w:before="39" w:line="240" w:lineRule="exact"/>
              <w:ind w:left="102" w:right="15"/>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 w ChL-C: pacjenci nieleczeni wcześniej infliksymabem</w:t>
            </w:r>
          </w:p>
        </w:tc>
        <w:tc>
          <w:tcPr>
            <w:tcW w:w="3402" w:type="dxa"/>
            <w:gridSpan w:val="2"/>
            <w:tcBorders>
              <w:top w:val="single" w:sz="5" w:space="0" w:color="000000"/>
              <w:left w:val="single" w:sz="5" w:space="0" w:color="000000"/>
              <w:bottom w:val="single" w:sz="5" w:space="0" w:color="000000"/>
              <w:right w:val="single" w:sz="5" w:space="0" w:color="000000"/>
            </w:tcBorders>
          </w:tcPr>
          <w:p w14:paraId="1D8B432D" w14:textId="77777777" w:rsidR="00D22235" w:rsidRPr="008F328C" w:rsidRDefault="00D22235" w:rsidP="00B17C6A">
            <w:pPr>
              <w:pStyle w:val="TableParagraph"/>
              <w:spacing w:before="39"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II w ChL-C: pacjenci leczeni wcześniej infliksymabem</w:t>
            </w:r>
          </w:p>
        </w:tc>
      </w:tr>
      <w:tr w:rsidR="00D22235" w:rsidRPr="008F328C" w14:paraId="1731C57F" w14:textId="77777777" w:rsidTr="00B17C6A">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5871630A" w14:textId="77777777" w:rsidR="00D22235" w:rsidRPr="008F328C" w:rsidRDefault="00D22235" w:rsidP="00B17C6A">
            <w:pPr>
              <w:rPr>
                <w:rFonts w:ascii="Times New Roman" w:hAnsi="Times New Roman" w:cs="Times New Roman"/>
                <w:lang w:val="pl-PL"/>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10F16C80" w14:textId="77777777" w:rsidR="00D22235" w:rsidRPr="008F328C" w:rsidRDefault="00D22235" w:rsidP="00B17C6A">
            <w:pPr>
              <w:pStyle w:val="TableParagraph"/>
              <w:spacing w:before="24" w:line="268" w:lineRule="auto"/>
              <w:ind w:firstLineChars="50" w:firstLine="110"/>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18DC2A44" w14:textId="77777777" w:rsidR="00D22235" w:rsidRPr="008F328C" w:rsidRDefault="00D22235" w:rsidP="00B17C6A">
            <w:pPr>
              <w:pStyle w:val="TableParagraph"/>
              <w:spacing w:before="24" w:line="268" w:lineRule="auto"/>
              <w:ind w:firstLineChars="50" w:firstLine="11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514E3C48" w14:textId="77777777" w:rsidR="00D22235" w:rsidRPr="008F328C" w:rsidRDefault="00D22235" w:rsidP="00B17C6A">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Adalimumab 80/40 mg </w:t>
            </w:r>
            <w:r w:rsidRPr="008F328C">
              <w:rPr>
                <w:rFonts w:ascii="Times New Roman" w:eastAsia="Times New Roman" w:hAnsi="Times New Roman" w:cs="Times New Roman"/>
                <w:b/>
                <w:bCs/>
                <w:lang w:val="pl-PL"/>
              </w:rPr>
              <w:br/>
              <w:t>N=75</w:t>
            </w:r>
          </w:p>
        </w:tc>
        <w:tc>
          <w:tcPr>
            <w:tcW w:w="1338" w:type="dxa"/>
            <w:tcBorders>
              <w:top w:val="single" w:sz="5" w:space="0" w:color="000000"/>
              <w:left w:val="single" w:sz="5" w:space="0" w:color="000000"/>
              <w:bottom w:val="single" w:sz="5" w:space="0" w:color="000000"/>
              <w:right w:val="single" w:sz="5" w:space="0" w:color="000000"/>
            </w:tcBorders>
            <w:vAlign w:val="center"/>
          </w:tcPr>
          <w:p w14:paraId="416B7E3B" w14:textId="77777777" w:rsidR="00D22235" w:rsidRPr="008F328C" w:rsidRDefault="00D22235" w:rsidP="00B17C6A">
            <w:pPr>
              <w:pStyle w:val="TableParagraph"/>
              <w:spacing w:before="24" w:line="24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53D682BC" w14:textId="77777777" w:rsidR="00D22235" w:rsidRPr="008F328C" w:rsidRDefault="00D22235" w:rsidP="00B17C6A">
            <w:pPr>
              <w:pStyle w:val="TableParagraph"/>
              <w:spacing w:before="24" w:line="24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67625650" w14:textId="77777777" w:rsidR="00D22235" w:rsidRPr="008F328C" w:rsidRDefault="00D22235" w:rsidP="00B17C6A">
            <w:pPr>
              <w:pStyle w:val="TableParagraph"/>
              <w:spacing w:before="24" w:line="26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42962A1B" w14:textId="77777777" w:rsidR="00D22235" w:rsidRPr="008F328C" w:rsidRDefault="00D22235" w:rsidP="00B17C6A">
            <w:pPr>
              <w:pStyle w:val="TableParagraph"/>
              <w:spacing w:before="24" w:line="26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15DA2EFE" w14:textId="77777777" w:rsidR="00D22235" w:rsidRPr="008F328C" w:rsidRDefault="00D22235" w:rsidP="00B17C6A">
            <w:pPr>
              <w:pStyle w:val="TableParagraph"/>
              <w:spacing w:before="24" w:line="266" w:lineRule="auto"/>
              <w:ind w:hanging="4"/>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6E49904D" w14:textId="77777777" w:rsidR="00D22235" w:rsidRPr="008F328C" w:rsidRDefault="00D22235" w:rsidP="00B17C6A">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N=159</w:t>
            </w:r>
          </w:p>
        </w:tc>
      </w:tr>
      <w:tr w:rsidR="00D22235" w:rsidRPr="008F328C" w14:paraId="0A4AF637" w14:textId="77777777" w:rsidTr="00B17C6A">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6B7265C9"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4. tydzień</w:t>
            </w:r>
          </w:p>
        </w:tc>
        <w:tc>
          <w:tcPr>
            <w:tcW w:w="1085" w:type="dxa"/>
            <w:tcBorders>
              <w:top w:val="single" w:sz="5" w:space="0" w:color="000000"/>
              <w:left w:val="single" w:sz="5" w:space="0" w:color="000000"/>
              <w:bottom w:val="single" w:sz="5" w:space="0" w:color="000000"/>
              <w:right w:val="single" w:sz="5" w:space="0" w:color="000000"/>
            </w:tcBorders>
          </w:tcPr>
          <w:p w14:paraId="1EB7C942" w14:textId="77777777" w:rsidR="00D22235" w:rsidRPr="008F328C" w:rsidRDefault="00D22235" w:rsidP="00B17C6A">
            <w:pPr>
              <w:rPr>
                <w:rFonts w:ascii="Times New Roman" w:hAnsi="Times New Roman" w:cs="Times New Roman"/>
                <w:lang w:val="pl-PL"/>
              </w:rPr>
            </w:pPr>
          </w:p>
        </w:tc>
        <w:tc>
          <w:tcPr>
            <w:tcW w:w="1356" w:type="dxa"/>
            <w:tcBorders>
              <w:top w:val="single" w:sz="5" w:space="0" w:color="000000"/>
              <w:left w:val="single" w:sz="5" w:space="0" w:color="000000"/>
              <w:bottom w:val="single" w:sz="5" w:space="0" w:color="000000"/>
              <w:right w:val="single" w:sz="5" w:space="0" w:color="000000"/>
            </w:tcBorders>
          </w:tcPr>
          <w:p w14:paraId="0BB0988F" w14:textId="77777777" w:rsidR="00D22235" w:rsidRPr="008F328C" w:rsidRDefault="00D22235" w:rsidP="00B17C6A">
            <w:pPr>
              <w:rPr>
                <w:rFonts w:ascii="Times New Roman" w:hAnsi="Times New Roman" w:cs="Times New Roman"/>
                <w:lang w:val="pl-PL"/>
              </w:rPr>
            </w:pPr>
          </w:p>
        </w:tc>
        <w:tc>
          <w:tcPr>
            <w:tcW w:w="1338" w:type="dxa"/>
            <w:tcBorders>
              <w:top w:val="single" w:sz="5" w:space="0" w:color="000000"/>
              <w:left w:val="single" w:sz="5" w:space="0" w:color="000000"/>
              <w:bottom w:val="single" w:sz="5" w:space="0" w:color="000000"/>
              <w:right w:val="single" w:sz="5" w:space="0" w:color="000000"/>
            </w:tcBorders>
          </w:tcPr>
          <w:p w14:paraId="10D9668A" w14:textId="77777777" w:rsidR="00D22235" w:rsidRPr="008F328C" w:rsidRDefault="00D22235" w:rsidP="00B17C6A">
            <w:pPr>
              <w:rPr>
                <w:rFonts w:ascii="Times New Roman" w:hAnsi="Times New Roman" w:cs="Times New Roman"/>
                <w:lang w:val="pl-PL"/>
              </w:rPr>
            </w:pPr>
          </w:p>
        </w:tc>
        <w:tc>
          <w:tcPr>
            <w:tcW w:w="1559" w:type="dxa"/>
            <w:tcBorders>
              <w:top w:val="single" w:sz="5" w:space="0" w:color="000000"/>
              <w:left w:val="single" w:sz="5" w:space="0" w:color="000000"/>
              <w:bottom w:val="single" w:sz="5" w:space="0" w:color="000000"/>
              <w:right w:val="single" w:sz="5" w:space="0" w:color="000000"/>
            </w:tcBorders>
          </w:tcPr>
          <w:p w14:paraId="7F3F85A2" w14:textId="77777777" w:rsidR="00D22235" w:rsidRPr="008F328C" w:rsidRDefault="00D22235" w:rsidP="00B17C6A">
            <w:pPr>
              <w:rPr>
                <w:rFonts w:ascii="Times New Roman" w:hAnsi="Times New Roman" w:cs="Times New Roman"/>
                <w:lang w:val="pl-PL"/>
              </w:rPr>
            </w:pPr>
          </w:p>
        </w:tc>
        <w:tc>
          <w:tcPr>
            <w:tcW w:w="1843" w:type="dxa"/>
            <w:tcBorders>
              <w:top w:val="single" w:sz="5" w:space="0" w:color="000000"/>
              <w:left w:val="single" w:sz="5" w:space="0" w:color="000000"/>
              <w:bottom w:val="single" w:sz="5" w:space="0" w:color="000000"/>
              <w:right w:val="single" w:sz="5" w:space="0" w:color="000000"/>
            </w:tcBorders>
          </w:tcPr>
          <w:p w14:paraId="42F69F52" w14:textId="77777777" w:rsidR="00D22235" w:rsidRPr="008F328C" w:rsidRDefault="00D22235" w:rsidP="00B17C6A">
            <w:pPr>
              <w:rPr>
                <w:rFonts w:ascii="Times New Roman" w:hAnsi="Times New Roman" w:cs="Times New Roman"/>
                <w:lang w:val="pl-PL"/>
              </w:rPr>
            </w:pPr>
          </w:p>
        </w:tc>
      </w:tr>
      <w:tr w:rsidR="00D22235" w:rsidRPr="008F328C" w14:paraId="6C1E1EFC" w14:textId="77777777" w:rsidTr="00B17C6A">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78D46542"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085" w:type="dxa"/>
            <w:tcBorders>
              <w:top w:val="single" w:sz="5" w:space="0" w:color="000000"/>
              <w:left w:val="single" w:sz="5" w:space="0" w:color="000000"/>
              <w:bottom w:val="single" w:sz="5" w:space="0" w:color="000000"/>
              <w:right w:val="single" w:sz="5" w:space="0" w:color="000000"/>
            </w:tcBorders>
          </w:tcPr>
          <w:p w14:paraId="073D878C" w14:textId="77777777" w:rsidR="00D22235" w:rsidRPr="008F328C" w:rsidRDefault="00D22235" w:rsidP="00B17C6A">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356" w:type="dxa"/>
            <w:tcBorders>
              <w:top w:val="single" w:sz="5" w:space="0" w:color="000000"/>
              <w:left w:val="single" w:sz="5" w:space="0" w:color="000000"/>
              <w:bottom w:val="single" w:sz="5" w:space="0" w:color="000000"/>
              <w:right w:val="single" w:sz="5" w:space="0" w:color="000000"/>
            </w:tcBorders>
          </w:tcPr>
          <w:p w14:paraId="5E85AEFE" w14:textId="77777777" w:rsidR="00D22235" w:rsidRPr="008F328C" w:rsidRDefault="00D22235" w:rsidP="00B17C6A">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38" w:type="dxa"/>
            <w:tcBorders>
              <w:top w:val="single" w:sz="5" w:space="0" w:color="000000"/>
              <w:left w:val="single" w:sz="5" w:space="0" w:color="000000"/>
              <w:bottom w:val="single" w:sz="5" w:space="0" w:color="000000"/>
              <w:right w:val="single" w:sz="5" w:space="0" w:color="000000"/>
            </w:tcBorders>
          </w:tcPr>
          <w:p w14:paraId="49973BC3" w14:textId="77777777" w:rsidR="00D22235" w:rsidRPr="008F328C" w:rsidRDefault="00D22235" w:rsidP="00B17C6A">
            <w:pPr>
              <w:pStyle w:val="TableParagraph"/>
              <w:spacing w:before="18"/>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36%</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49DC7A7C" w14:textId="77777777" w:rsidR="00D22235" w:rsidRPr="008F328C" w:rsidRDefault="00D22235" w:rsidP="00B17C6A">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w:t>
            </w:r>
          </w:p>
        </w:tc>
        <w:tc>
          <w:tcPr>
            <w:tcW w:w="1843" w:type="dxa"/>
            <w:tcBorders>
              <w:top w:val="single" w:sz="5" w:space="0" w:color="000000"/>
              <w:left w:val="single" w:sz="5" w:space="0" w:color="000000"/>
              <w:bottom w:val="single" w:sz="5" w:space="0" w:color="000000"/>
              <w:right w:val="single" w:sz="5" w:space="0" w:color="000000"/>
            </w:tcBorders>
          </w:tcPr>
          <w:p w14:paraId="2A53CE4D" w14:textId="77777777" w:rsidR="00D22235" w:rsidRPr="008F328C" w:rsidRDefault="00D22235" w:rsidP="00B17C6A">
            <w:pPr>
              <w:pStyle w:val="TableParagraph"/>
              <w:spacing w:before="18"/>
              <w:ind w:left="644" w:right="644"/>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21%</w:t>
            </w:r>
            <w:r w:rsidRPr="008F328C">
              <w:rPr>
                <w:rFonts w:ascii="Times New Roman" w:eastAsia="Times New Roman" w:hAnsi="Times New Roman" w:cs="Times New Roman"/>
                <w:sz w:val="14"/>
                <w:szCs w:val="14"/>
                <w:lang w:val="pl-PL"/>
              </w:rPr>
              <w:t>*</w:t>
            </w:r>
          </w:p>
        </w:tc>
      </w:tr>
      <w:tr w:rsidR="00D22235" w:rsidRPr="008F328C" w14:paraId="4C5648FF" w14:textId="77777777" w:rsidTr="00B17C6A">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5A97A088" w14:textId="77777777" w:rsidR="00D22235" w:rsidRPr="008F328C" w:rsidRDefault="00D22235" w:rsidP="00B17C6A">
            <w:pPr>
              <w:pStyle w:val="TableParagraph"/>
              <w:spacing w:before="40"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085" w:type="dxa"/>
            <w:tcBorders>
              <w:top w:val="single" w:sz="5" w:space="0" w:color="000000"/>
              <w:left w:val="single" w:sz="5" w:space="0" w:color="000000"/>
              <w:bottom w:val="single" w:sz="5" w:space="0" w:color="000000"/>
              <w:right w:val="single" w:sz="5" w:space="0" w:color="000000"/>
            </w:tcBorders>
          </w:tcPr>
          <w:p w14:paraId="05F66C55" w14:textId="77777777" w:rsidR="00D22235" w:rsidRPr="008F328C" w:rsidRDefault="00D22235" w:rsidP="00B17C6A">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56" w:type="dxa"/>
            <w:tcBorders>
              <w:top w:val="single" w:sz="5" w:space="0" w:color="000000"/>
              <w:left w:val="single" w:sz="5" w:space="0" w:color="000000"/>
              <w:bottom w:val="single" w:sz="5" w:space="0" w:color="000000"/>
              <w:right w:val="single" w:sz="5" w:space="0" w:color="000000"/>
            </w:tcBorders>
          </w:tcPr>
          <w:p w14:paraId="59A6B412" w14:textId="77777777" w:rsidR="00D22235" w:rsidRPr="008F328C" w:rsidRDefault="00D22235" w:rsidP="00B17C6A">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37%</w:t>
            </w:r>
          </w:p>
        </w:tc>
        <w:tc>
          <w:tcPr>
            <w:tcW w:w="1338" w:type="dxa"/>
            <w:tcBorders>
              <w:top w:val="single" w:sz="5" w:space="0" w:color="000000"/>
              <w:left w:val="single" w:sz="5" w:space="0" w:color="000000"/>
              <w:bottom w:val="single" w:sz="5" w:space="0" w:color="000000"/>
              <w:right w:val="single" w:sz="5" w:space="0" w:color="000000"/>
            </w:tcBorders>
          </w:tcPr>
          <w:p w14:paraId="6B570368" w14:textId="77777777" w:rsidR="00D22235" w:rsidRPr="008F328C" w:rsidRDefault="00D22235" w:rsidP="00B17C6A">
            <w:pPr>
              <w:pStyle w:val="TableParagraph"/>
              <w:spacing w:before="18"/>
              <w:ind w:left="31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49%</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042AAA11" w14:textId="77777777" w:rsidR="00D22235" w:rsidRPr="008F328C" w:rsidRDefault="00D22235" w:rsidP="00B17C6A">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843" w:type="dxa"/>
            <w:tcBorders>
              <w:top w:val="single" w:sz="5" w:space="0" w:color="000000"/>
              <w:left w:val="single" w:sz="5" w:space="0" w:color="000000"/>
              <w:bottom w:val="single" w:sz="5" w:space="0" w:color="000000"/>
              <w:right w:val="single" w:sz="5" w:space="0" w:color="000000"/>
            </w:tcBorders>
          </w:tcPr>
          <w:p w14:paraId="73CAF642" w14:textId="77777777" w:rsidR="00D22235" w:rsidRPr="008F328C" w:rsidRDefault="00D22235" w:rsidP="00B17C6A">
            <w:pPr>
              <w:pStyle w:val="TableParagraph"/>
              <w:spacing w:before="18"/>
              <w:ind w:left="609" w:right="616"/>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38%</w:t>
            </w:r>
            <w:r w:rsidRPr="008F328C">
              <w:rPr>
                <w:rFonts w:ascii="Times New Roman" w:eastAsia="Times New Roman" w:hAnsi="Times New Roman" w:cs="Times New Roman"/>
                <w:sz w:val="14"/>
                <w:szCs w:val="14"/>
                <w:lang w:val="pl-PL"/>
              </w:rPr>
              <w:t>**</w:t>
            </w:r>
          </w:p>
        </w:tc>
      </w:tr>
    </w:tbl>
    <w:p w14:paraId="253B44C4" w14:textId="77777777" w:rsidR="00D22235" w:rsidRPr="008F328C" w:rsidRDefault="00D22235" w:rsidP="00D22235">
      <w:pPr>
        <w:pStyle w:val="a3"/>
        <w:rPr>
          <w:lang w:val="pl-PL"/>
        </w:rPr>
      </w:pPr>
      <w:r w:rsidRPr="008F328C">
        <w:rPr>
          <w:rFonts w:eastAsia="Times New Roman"/>
          <w:lang w:val="pl-PL"/>
        </w:rPr>
        <w:t>Wszystkie wartości p są wynikiem porównywania parami odsetków dla adalimumabu w porównaniu do placebo.</w:t>
      </w:r>
    </w:p>
    <w:p w14:paraId="6DC9DCC8" w14:textId="77777777" w:rsidR="00D22235" w:rsidRPr="008F328C" w:rsidRDefault="00D22235" w:rsidP="00D22235">
      <w:pPr>
        <w:pStyle w:val="a3"/>
        <w:rPr>
          <w:lang w:val="pl-PL"/>
        </w:rPr>
      </w:pPr>
      <w:r w:rsidRPr="008F328C">
        <w:rPr>
          <w:rFonts w:eastAsia="Times New Roman"/>
          <w:position w:val="8"/>
          <w:sz w:val="14"/>
          <w:szCs w:val="14"/>
          <w:lang w:val="pl-PL"/>
        </w:rPr>
        <w:t>*</w:t>
      </w:r>
      <w:r w:rsidRPr="008F328C">
        <w:rPr>
          <w:rFonts w:eastAsia="Times New Roman"/>
          <w:position w:val="8"/>
          <w:lang w:val="pl-PL"/>
        </w:rPr>
        <w:t>p &lt; 0,001</w:t>
      </w:r>
    </w:p>
    <w:p w14:paraId="7427CCBB" w14:textId="77777777" w:rsidR="00D22235" w:rsidRPr="008F328C" w:rsidRDefault="00D22235" w:rsidP="00D22235">
      <w:pPr>
        <w:tabs>
          <w:tab w:val="left" w:pos="506"/>
        </w:tabs>
        <w:spacing w:before="22"/>
        <w:rPr>
          <w:rFonts w:ascii="Times New Roman" w:eastAsia="Times New Roman" w:hAnsi="Times New Roman" w:cs="Times New Roman"/>
          <w:lang w:val="pl-PL"/>
        </w:rPr>
      </w:pPr>
      <w:r w:rsidRPr="008F328C">
        <w:rPr>
          <w:rFonts w:ascii="Times New Roman" w:eastAsia="Times New Roman" w:hAnsi="Times New Roman" w:cs="Times New Roman"/>
          <w:position w:val="8"/>
          <w:sz w:val="14"/>
          <w:szCs w:val="14"/>
          <w:lang w:val="pl-PL"/>
        </w:rPr>
        <w:t>**</w:t>
      </w:r>
      <w:r w:rsidRPr="008F328C">
        <w:rPr>
          <w:rFonts w:ascii="Times New Roman" w:eastAsia="Times New Roman" w:hAnsi="Times New Roman" w:cs="Times New Roman"/>
          <w:position w:val="8"/>
          <w:lang w:val="pl-PL"/>
        </w:rPr>
        <w:t>p &lt; 0,01</w:t>
      </w:r>
    </w:p>
    <w:p w14:paraId="35E60750" w14:textId="77777777" w:rsidR="00D22235" w:rsidRPr="008F328C" w:rsidRDefault="00D22235" w:rsidP="00D22235">
      <w:pPr>
        <w:spacing w:before="15" w:line="200" w:lineRule="exact"/>
        <w:rPr>
          <w:rFonts w:ascii="Times New Roman" w:hAnsi="Times New Roman" w:cs="Times New Roman"/>
          <w:sz w:val="20"/>
          <w:szCs w:val="20"/>
          <w:lang w:val="pl-PL"/>
        </w:rPr>
      </w:pPr>
    </w:p>
    <w:p w14:paraId="54B358C2" w14:textId="77777777" w:rsidR="00D22235" w:rsidRPr="008F328C" w:rsidRDefault="00D22235" w:rsidP="00D22235">
      <w:pPr>
        <w:pStyle w:val="a3"/>
        <w:rPr>
          <w:lang w:val="pl-PL"/>
        </w:rPr>
      </w:pPr>
      <w:r w:rsidRPr="008F328C">
        <w:rPr>
          <w:rFonts w:eastAsia="Times New Roman"/>
          <w:lang w:val="pl-PL"/>
        </w:rPr>
        <w:t>Podobne odsetki remisji dla schematów indukcji z zastosowaniem dawek 160/80 mg i 80/40 mg zaobserwowano przed upływem 8 tygodni, a zdarzenia niepożądane stwierdzano częściej w grupie otrzymującej dawki 160/80 mg.</w:t>
      </w:r>
    </w:p>
    <w:p w14:paraId="7F60FC5D" w14:textId="77777777" w:rsidR="00D22235" w:rsidRPr="008F328C" w:rsidRDefault="00D22235" w:rsidP="00D22235">
      <w:pPr>
        <w:spacing w:before="11" w:line="240" w:lineRule="exact"/>
        <w:rPr>
          <w:rFonts w:ascii="Times New Roman" w:hAnsi="Times New Roman" w:cs="Times New Roman"/>
          <w:sz w:val="24"/>
          <w:szCs w:val="24"/>
          <w:lang w:val="pl-PL"/>
        </w:rPr>
      </w:pPr>
    </w:p>
    <w:p w14:paraId="46BE7F95" w14:textId="2F35015A" w:rsidR="00D22235" w:rsidRPr="008F328C" w:rsidRDefault="00D22235" w:rsidP="00D22235">
      <w:pPr>
        <w:pStyle w:val="a3"/>
        <w:rPr>
          <w:lang w:val="pl-PL"/>
        </w:rPr>
      </w:pPr>
      <w:r w:rsidRPr="008F328C">
        <w:rPr>
          <w:rFonts w:eastAsia="Times New Roman"/>
          <w:lang w:val="pl-PL"/>
        </w:rPr>
        <w:t xml:space="preserve">W badaniu III w ChL-C, w 4. tygodniu odpowiedź kliniczna wystąpiła u 58% (499/854) pacjentów, których oceniono w analizie pierwotnej. Spośród pacjentów wykazujących odpowiedź kliniczną w 4. tygodniu u 48% zastosowano wcześniej inny lek z grupy antagonistów TNF. Odsetki utrzymywania się remisji i odpowiedzi na leczenie przedstawiono w Tabeli </w:t>
      </w:r>
      <w:r w:rsidR="00AD1B24">
        <w:rPr>
          <w:rFonts w:eastAsia="Times New Roman"/>
          <w:lang w:val="pl-PL"/>
        </w:rPr>
        <w:t>15</w:t>
      </w:r>
      <w:r w:rsidRPr="008F328C">
        <w:rPr>
          <w:rFonts w:eastAsia="Times New Roman"/>
          <w:lang w:val="pl-PL"/>
        </w:rPr>
        <w:t>. Wyniki remisji klinicznej utrzymywały się na względnie stałym poziomie niezależnie od uprzednio zastosowanego leku z grupy antagonistów TNF.</w:t>
      </w:r>
    </w:p>
    <w:p w14:paraId="15316474" w14:textId="77777777" w:rsidR="00D22235" w:rsidRPr="008F328C" w:rsidRDefault="00D22235" w:rsidP="00D22235">
      <w:pPr>
        <w:spacing w:before="13" w:line="240" w:lineRule="exact"/>
        <w:rPr>
          <w:rFonts w:ascii="Times New Roman" w:hAnsi="Times New Roman" w:cs="Times New Roman"/>
          <w:sz w:val="24"/>
          <w:szCs w:val="24"/>
          <w:lang w:val="pl-PL"/>
        </w:rPr>
      </w:pPr>
    </w:p>
    <w:p w14:paraId="22E76A25" w14:textId="77777777" w:rsidR="00D22235" w:rsidRPr="008F328C" w:rsidRDefault="00D22235" w:rsidP="00D22235">
      <w:pPr>
        <w:pStyle w:val="a3"/>
        <w:rPr>
          <w:rFonts w:eastAsia="Times New Roman"/>
          <w:lang w:val="pl-PL"/>
        </w:rPr>
      </w:pPr>
      <w:r w:rsidRPr="008F328C">
        <w:rPr>
          <w:rFonts w:eastAsia="Times New Roman"/>
          <w:lang w:val="pl-PL"/>
        </w:rPr>
        <w:t xml:space="preserve">W 56. tygodniu liczba hospitalizacji w związku z chorobą oraz liczba zabiegów chirurgicznych </w:t>
      </w:r>
      <w:r w:rsidRPr="008F328C">
        <w:rPr>
          <w:rFonts w:eastAsia="Times New Roman"/>
          <w:lang w:val="pl-PL"/>
        </w:rPr>
        <w:lastRenderedPageBreak/>
        <w:t>zmniejszyła się istotnie statystycznie w grupie leczonej adalimumabem w porównaniu do placebo.</w:t>
      </w:r>
    </w:p>
    <w:p w14:paraId="22DFC32B" w14:textId="77777777" w:rsidR="00D22235" w:rsidRPr="008F328C" w:rsidRDefault="00D22235" w:rsidP="00D22235">
      <w:pPr>
        <w:pStyle w:val="a3"/>
        <w:rPr>
          <w:lang w:val="pl-PL"/>
        </w:rPr>
      </w:pPr>
    </w:p>
    <w:p w14:paraId="7D4F0529" w14:textId="1F81A7C6" w:rsidR="00D22235" w:rsidRPr="008F328C" w:rsidRDefault="00D22235" w:rsidP="00D22235">
      <w:pPr>
        <w:pStyle w:val="a3"/>
        <w:jc w:val="center"/>
        <w:rPr>
          <w:b/>
          <w:lang w:val="pl-PL"/>
        </w:rPr>
      </w:pPr>
      <w:r w:rsidRPr="008F328C">
        <w:rPr>
          <w:rFonts w:eastAsia="Times New Roman"/>
          <w:b/>
          <w:bCs/>
          <w:lang w:val="pl-PL"/>
        </w:rPr>
        <w:t xml:space="preserve">Tabela </w:t>
      </w:r>
      <w:r w:rsidR="00AD1B24">
        <w:rPr>
          <w:rFonts w:eastAsia="Times New Roman"/>
          <w:b/>
          <w:bCs/>
          <w:lang w:val="pl-PL"/>
        </w:rPr>
        <w:t>15</w:t>
      </w:r>
      <w:r w:rsidR="004142DA" w:rsidRPr="008F328C">
        <w:rPr>
          <w:rFonts w:eastAsia="Times New Roman"/>
          <w:b/>
          <w:bCs/>
          <w:lang w:val="pl-PL"/>
        </w:rPr>
        <w:t>.</w:t>
      </w:r>
    </w:p>
    <w:p w14:paraId="5B85ED1B" w14:textId="77777777" w:rsidR="00D22235" w:rsidRPr="008F328C" w:rsidRDefault="00D22235" w:rsidP="00D22235">
      <w:pPr>
        <w:pStyle w:val="a3"/>
        <w:jc w:val="center"/>
        <w:rPr>
          <w:b/>
          <w:lang w:val="pl-PL"/>
        </w:rPr>
      </w:pPr>
      <w:r w:rsidRPr="008F328C">
        <w:rPr>
          <w:rFonts w:eastAsia="Times New Roman"/>
          <w:b/>
          <w:bCs/>
          <w:lang w:val="pl-PL"/>
        </w:rPr>
        <w:t>Utrzymywanie się remisji klinicznej i odpowiedzi na leczenie (odsetek pacjentów)</w:t>
      </w:r>
    </w:p>
    <w:p w14:paraId="3BE5FE59" w14:textId="77777777" w:rsidR="00D22235" w:rsidRPr="008F328C" w:rsidRDefault="00D22235" w:rsidP="00D22235">
      <w:pPr>
        <w:spacing w:before="6" w:line="10" w:lineRule="exact"/>
        <w:rPr>
          <w:rFonts w:ascii="Times New Roman" w:hAnsi="Times New Roman" w:cs="Times New Roman"/>
          <w:sz w:val="4"/>
          <w:szCs w:val="4"/>
          <w:lang w:val="pl-PL"/>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D22235" w:rsidRPr="008F328C" w14:paraId="533ECD3E"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015B787F" w14:textId="77777777" w:rsidR="00D22235" w:rsidRPr="008F328C" w:rsidRDefault="00D22235" w:rsidP="00B17C6A">
            <w:pPr>
              <w:jc w:val="center"/>
              <w:rPr>
                <w:rFonts w:ascii="Times New Roman" w:hAnsi="Times New Roman" w:cs="Times New Roman"/>
                <w:lang w:val="pl-PL"/>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2D2A63A6"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4E3DA408" w14:textId="77777777" w:rsidR="00D22235" w:rsidRPr="008F328C" w:rsidRDefault="00D22235" w:rsidP="00B17C6A">
            <w:pPr>
              <w:pStyle w:val="TableParagraph"/>
              <w:spacing w:line="240" w:lineRule="exact"/>
              <w:ind w:firstLine="115"/>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 co drugi tydzień</w:t>
            </w:r>
          </w:p>
        </w:tc>
        <w:tc>
          <w:tcPr>
            <w:tcW w:w="2150" w:type="dxa"/>
            <w:tcBorders>
              <w:top w:val="single" w:sz="5" w:space="0" w:color="000000"/>
              <w:left w:val="single" w:sz="5" w:space="0" w:color="000000"/>
              <w:bottom w:val="single" w:sz="5" w:space="0" w:color="000000"/>
              <w:right w:val="single" w:sz="5" w:space="0" w:color="000000"/>
            </w:tcBorders>
            <w:vAlign w:val="center"/>
          </w:tcPr>
          <w:p w14:paraId="2DCAAC40" w14:textId="77777777" w:rsidR="00D22235" w:rsidRPr="008F328C" w:rsidRDefault="00D22235" w:rsidP="00B17C6A">
            <w:pPr>
              <w:pStyle w:val="TableParagraph"/>
              <w:spacing w:line="240" w:lineRule="exact"/>
              <w:ind w:hanging="16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w:t>
            </w:r>
            <w:r w:rsidRPr="008F328C">
              <w:rPr>
                <w:rFonts w:ascii="Times New Roman" w:eastAsia="Times New Roman" w:hAnsi="Times New Roman" w:cs="Times New Roman"/>
                <w:b/>
                <w:bCs/>
                <w:lang w:val="pl-PL"/>
              </w:rPr>
              <w:br/>
              <w:t xml:space="preserve"> co tydzień</w:t>
            </w:r>
          </w:p>
        </w:tc>
      </w:tr>
      <w:tr w:rsidR="00D22235" w:rsidRPr="008F328C" w14:paraId="6F9A23EE"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2B54B3FE"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6B89E366"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23E5AEE0"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D7293BA"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D22235" w:rsidRPr="008F328C" w14:paraId="5D49AB04"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076147BE"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3A09F541"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2B127F0E"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7FA0F7A6"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47%*</w:t>
            </w:r>
          </w:p>
        </w:tc>
      </w:tr>
      <w:tr w:rsidR="00D22235" w:rsidRPr="008F328C" w14:paraId="718F00A8"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6E32A146"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761FF0E"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7582830A"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2AEA175C"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r>
      <w:tr w:rsidR="00D22235" w:rsidRPr="008F328C" w14:paraId="69618A71"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16191DE0" w14:textId="77777777" w:rsidR="00D22235" w:rsidRPr="008F328C" w:rsidRDefault="00D22235" w:rsidP="00B17C6A">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Pacjenci w remisji bez przyjmowania steroidów przez ≥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5C9BE321"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63655123"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0E697FD"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15% (11/74)**</w:t>
            </w:r>
          </w:p>
        </w:tc>
      </w:tr>
      <w:tr w:rsidR="00D22235" w:rsidRPr="008F328C" w14:paraId="1F90191D"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5E090078"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56.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1A63D942"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03926E68"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23A22C74"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D22235" w:rsidRPr="008F328C" w14:paraId="3048D8D0"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76201F22"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495764FF"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38CA580A"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45A04376"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r>
      <w:tr w:rsidR="00D22235" w:rsidRPr="008F328C" w14:paraId="00A85A13"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75B28052" w14:textId="77777777" w:rsidR="00D22235" w:rsidRPr="008F328C" w:rsidRDefault="00D22235" w:rsidP="00B17C6A">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BF1C50B"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65212F8E"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452A3E64"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48%*</w:t>
            </w:r>
          </w:p>
        </w:tc>
      </w:tr>
      <w:tr w:rsidR="00D22235" w:rsidRPr="008F328C" w14:paraId="2A08D4B5" w14:textId="77777777" w:rsidTr="00B17C6A">
        <w:tc>
          <w:tcPr>
            <w:tcW w:w="3467" w:type="dxa"/>
            <w:tcBorders>
              <w:top w:val="single" w:sz="5" w:space="0" w:color="000000"/>
              <w:left w:val="single" w:sz="5" w:space="0" w:color="000000"/>
              <w:bottom w:val="single" w:sz="5" w:space="0" w:color="000000"/>
              <w:right w:val="single" w:sz="5" w:space="0" w:color="000000"/>
            </w:tcBorders>
            <w:vAlign w:val="center"/>
          </w:tcPr>
          <w:p w14:paraId="559432EA" w14:textId="77777777" w:rsidR="00D22235" w:rsidRPr="008F328C" w:rsidRDefault="00D22235" w:rsidP="00B17C6A">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Pacjenci w remisji bez przyjmowania steroidów przez ≥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17214B3"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090E63B"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51DD18AF" w14:textId="77777777" w:rsidR="00D22235" w:rsidRPr="008F328C" w:rsidRDefault="00D22235" w:rsidP="00B17C6A">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20% (15/74)**</w:t>
            </w:r>
          </w:p>
        </w:tc>
      </w:tr>
    </w:tbl>
    <w:p w14:paraId="2FD4EE9C" w14:textId="77777777" w:rsidR="00D22235" w:rsidRPr="008F328C" w:rsidRDefault="00D22235" w:rsidP="00D22235">
      <w:pPr>
        <w:pStyle w:val="a3"/>
        <w:rPr>
          <w:lang w:val="pl-PL"/>
        </w:rPr>
      </w:pPr>
      <w:r w:rsidRPr="008F328C">
        <w:rPr>
          <w:rFonts w:eastAsia="Times New Roman"/>
          <w:lang w:val="pl-PL"/>
        </w:rPr>
        <w:t>*p &lt; 0,001 dla adalimumabu w porównaniu do placebo, porównanie parami odsetków</w:t>
      </w:r>
    </w:p>
    <w:p w14:paraId="16D29BC2" w14:textId="77777777" w:rsidR="00D22235" w:rsidRPr="008F328C" w:rsidRDefault="00D22235" w:rsidP="00D22235">
      <w:pPr>
        <w:pStyle w:val="a3"/>
        <w:rPr>
          <w:lang w:val="pl-PL"/>
        </w:rPr>
      </w:pPr>
      <w:r w:rsidRPr="008F328C">
        <w:rPr>
          <w:rFonts w:eastAsia="Times New Roman"/>
          <w:lang w:val="pl-PL"/>
        </w:rPr>
        <w:t>**p &lt; 0,02 dla adalimumabu w porównaniu do placebo, porównanie parami odsetków</w:t>
      </w:r>
    </w:p>
    <w:p w14:paraId="28AE2716" w14:textId="77777777" w:rsidR="00D22235" w:rsidRPr="008F328C" w:rsidRDefault="00D22235" w:rsidP="00D22235">
      <w:pPr>
        <w:pStyle w:val="a3"/>
        <w:rPr>
          <w:lang w:val="pl-PL"/>
        </w:rPr>
      </w:pPr>
      <w:r w:rsidRPr="008F328C">
        <w:rPr>
          <w:rFonts w:eastAsia="Times New Roman"/>
          <w:position w:val="8"/>
          <w:sz w:val="14"/>
          <w:szCs w:val="14"/>
          <w:lang w:val="pl-PL"/>
        </w:rPr>
        <w:t xml:space="preserve">a </w:t>
      </w:r>
      <w:r w:rsidRPr="008F328C">
        <w:rPr>
          <w:rFonts w:eastAsia="Times New Roman"/>
          <w:position w:val="8"/>
          <w:lang w:val="pl-PL"/>
        </w:rPr>
        <w:t>pacjenci przyjmujący początkowo kortykosteroidy.</w:t>
      </w:r>
    </w:p>
    <w:p w14:paraId="3C1E4704" w14:textId="77777777" w:rsidR="00D22235" w:rsidRPr="008F328C" w:rsidRDefault="00D22235" w:rsidP="00D22235">
      <w:pPr>
        <w:pStyle w:val="a3"/>
        <w:rPr>
          <w:lang w:val="pl-PL"/>
        </w:rPr>
      </w:pPr>
    </w:p>
    <w:p w14:paraId="70973DFD" w14:textId="77777777" w:rsidR="00D22235" w:rsidRPr="008F328C" w:rsidRDefault="00D22235" w:rsidP="00D22235">
      <w:pPr>
        <w:pStyle w:val="a3"/>
        <w:rPr>
          <w:lang w:val="pl-PL"/>
        </w:rPr>
      </w:pPr>
      <w:r w:rsidRPr="008F328C">
        <w:rPr>
          <w:rFonts w:eastAsia="Times New Roman"/>
          <w:spacing w:val="1"/>
          <w:lang w:val="pl-PL"/>
        </w:rPr>
        <w:t>Spośród pacjentów, którzy nie odpowiedzieli na leczenie w 4. tygodniu, przed upływem 12. tygodnia na leczenie odpowiedziało 43% pacjentów otrzymujących leczenie podtrzymujące adalimumabem w porównaniu do 30% pacjentów otrzymujących placebo w leczeniu podtrzymującym. Wyniki te sugerują, że kontynuowanie leczenia podtrzymującego do 12. tygodnia włącznie może być korzystne u pacjentów, którzy nie odpowiedzieli na leczenie przed upływem 4. tygodnia. Kontynuacja leczenia dłużej niż 12 tygodni nie spowodowała istotnie większej liczby odpowiedzi na leczenie (patrz punkt 4.2).</w:t>
      </w:r>
    </w:p>
    <w:p w14:paraId="7532156F" w14:textId="77777777" w:rsidR="00D22235" w:rsidRPr="008F328C" w:rsidRDefault="00D22235" w:rsidP="00D22235">
      <w:pPr>
        <w:pStyle w:val="a3"/>
        <w:rPr>
          <w:lang w:val="pl-PL"/>
        </w:rPr>
      </w:pPr>
    </w:p>
    <w:p w14:paraId="1D6D2D5A" w14:textId="77777777" w:rsidR="00D22235" w:rsidRPr="008F328C" w:rsidRDefault="00D22235" w:rsidP="00D22235">
      <w:pPr>
        <w:pStyle w:val="a3"/>
        <w:rPr>
          <w:lang w:val="pl-PL"/>
        </w:rPr>
      </w:pPr>
      <w:r w:rsidRPr="008F328C">
        <w:rPr>
          <w:rFonts w:eastAsia="Times New Roman"/>
          <w:lang w:val="pl-PL"/>
        </w:rPr>
        <w:t>Stusiedemnastu z dwustusiedemdziesięciu sześciu (117/276) pacjentów z badania I w ChL-C oraz 272/777 pacjentów z badań II i III w ChL-C poddano obserwacji przez co najmniej 3 lata w ramach otwartego leczenia adalimumabem. Odpowiednio 88 i 189 pacjentów pozostawało w stanie remisji klinicznej. Odpowiedź kliniczną (CR-100) utrzymano odpowiednio u 102 i 233 pacjentów.</w:t>
      </w:r>
    </w:p>
    <w:p w14:paraId="00718A13" w14:textId="77777777" w:rsidR="00D22235" w:rsidRPr="008F328C" w:rsidRDefault="00D22235" w:rsidP="00D22235">
      <w:pPr>
        <w:pStyle w:val="a3"/>
        <w:rPr>
          <w:lang w:val="pl-PL"/>
        </w:rPr>
      </w:pPr>
    </w:p>
    <w:p w14:paraId="1ECAAD1B"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Jakość życia</w:t>
      </w:r>
    </w:p>
    <w:p w14:paraId="605FB31C" w14:textId="77777777" w:rsidR="00D22235" w:rsidRPr="008F328C" w:rsidRDefault="00D22235" w:rsidP="00D22235">
      <w:pPr>
        <w:pStyle w:val="a3"/>
        <w:rPr>
          <w:sz w:val="18"/>
          <w:szCs w:val="18"/>
          <w:lang w:val="pl-PL"/>
        </w:rPr>
      </w:pPr>
    </w:p>
    <w:p w14:paraId="52671765" w14:textId="77777777" w:rsidR="00D22235" w:rsidRPr="008F328C" w:rsidRDefault="00D22235" w:rsidP="00D22235">
      <w:pPr>
        <w:pStyle w:val="a3"/>
        <w:rPr>
          <w:lang w:val="pl-PL"/>
        </w:rPr>
      </w:pPr>
      <w:r w:rsidRPr="008F328C">
        <w:rPr>
          <w:rFonts w:eastAsia="Times New Roman"/>
          <w:lang w:val="pl-PL"/>
        </w:rPr>
        <w:t>W badaniach I i II w ChL-C, statystycznie istotną poprawę całkowitej punktacji w kwestionariuszu swoistym dla choroby zapalnej jelit (ang</w:t>
      </w:r>
      <w:r w:rsidRPr="008F328C">
        <w:rPr>
          <w:rFonts w:eastAsia="Times New Roman"/>
          <w:i/>
          <w:lang w:val="pl-PL"/>
        </w:rPr>
        <w:t>. Inflammatory Bowel Disease Questionnaire</w:t>
      </w:r>
      <w:r w:rsidRPr="008F328C">
        <w:rPr>
          <w:rFonts w:eastAsia="Times New Roman"/>
          <w:lang w:val="pl-PL"/>
        </w:rPr>
        <w:t>, IBDQ) osiągnięto w 4. tygodniu u pacjentów losowo przydzielonych do grup otrzymujących adalimumab w dawkach 80/40 mg i 160/80 mg w porównaniu do placebo. Poprawę obserwowano również w 26. i 56. tygodniu w badaniu III w ChL-C w grupach leczonych adalimumabem w porównaniu do grupy otrzymującej placebo.</w:t>
      </w:r>
    </w:p>
    <w:p w14:paraId="57F95428" w14:textId="77777777" w:rsidR="00D22235" w:rsidRPr="008F328C" w:rsidRDefault="00D22235" w:rsidP="00D22235">
      <w:pPr>
        <w:spacing w:before="13" w:line="240" w:lineRule="exact"/>
        <w:rPr>
          <w:rFonts w:ascii="Times New Roman" w:hAnsi="Times New Roman" w:cs="Times New Roman"/>
          <w:sz w:val="24"/>
          <w:szCs w:val="24"/>
          <w:lang w:val="pl-PL"/>
        </w:rPr>
      </w:pPr>
    </w:p>
    <w:p w14:paraId="260632AC" w14:textId="77777777" w:rsidR="00D22235" w:rsidRPr="008F328C" w:rsidRDefault="00D22235" w:rsidP="00D22235">
      <w:pPr>
        <w:pStyle w:val="a3"/>
        <w:rPr>
          <w:rFonts w:eastAsia="Times New Roman"/>
          <w:lang w:val="pl-PL"/>
        </w:rPr>
      </w:pPr>
      <w:r w:rsidRPr="008F328C">
        <w:rPr>
          <w:rFonts w:eastAsia="Times New Roman"/>
          <w:i/>
          <w:iCs/>
          <w:spacing w:val="-1"/>
          <w:lang w:val="pl-PL"/>
        </w:rPr>
        <w:t>Wrzodziejące zapalenie jelita grubego (WZJG)</w:t>
      </w:r>
    </w:p>
    <w:p w14:paraId="56D2BDBC" w14:textId="77777777" w:rsidR="00D22235" w:rsidRPr="008F328C" w:rsidRDefault="00D22235" w:rsidP="00D22235">
      <w:pPr>
        <w:pStyle w:val="a3"/>
        <w:rPr>
          <w:lang w:val="pl-PL"/>
        </w:rPr>
      </w:pPr>
    </w:p>
    <w:p w14:paraId="6DC5B98C" w14:textId="77777777" w:rsidR="00D22235" w:rsidRPr="008F328C" w:rsidRDefault="00D22235" w:rsidP="00D22235">
      <w:pPr>
        <w:pStyle w:val="a3"/>
        <w:rPr>
          <w:lang w:val="pl-PL"/>
        </w:rPr>
      </w:pPr>
      <w:r w:rsidRPr="008F328C">
        <w:rPr>
          <w:rFonts w:eastAsia="Times New Roman"/>
          <w:lang w:val="pl-PL"/>
        </w:rPr>
        <w:t>Bezpieczeństwo stosowania i skuteczność wielokrotnych dawek adalimumabu oceniano u dorosłych pacjentów z umiarkowanym do ciężkiego czynnym wrzodziejącym zapaleniem jelita grubego (ocena aktywności choroby w skali Mayo 6 do 12 punktów z kryterium obrazu endoskopowego 2 do 3 punktów) w randomizowanych badaniach klinicznych podwójnie zaślepionych, kontrolowanych placebo.</w:t>
      </w:r>
    </w:p>
    <w:p w14:paraId="556C3169" w14:textId="77777777" w:rsidR="00D22235" w:rsidRPr="008F328C" w:rsidRDefault="00D22235" w:rsidP="00D22235">
      <w:pPr>
        <w:pStyle w:val="a3"/>
        <w:rPr>
          <w:lang w:val="pl-PL"/>
        </w:rPr>
      </w:pPr>
    </w:p>
    <w:p w14:paraId="32B0653C" w14:textId="77777777" w:rsidR="00D22235" w:rsidRPr="008F328C" w:rsidRDefault="00D22235" w:rsidP="00D22235">
      <w:pPr>
        <w:pStyle w:val="a3"/>
        <w:rPr>
          <w:lang w:val="pl-PL"/>
        </w:rPr>
      </w:pPr>
      <w:r w:rsidRPr="008F328C">
        <w:rPr>
          <w:rFonts w:eastAsia="Times New Roman"/>
          <w:lang w:val="pl-PL"/>
        </w:rPr>
        <w:t xml:space="preserve"> W badaniu I we WZJG, 390 pacjentów uprzednio nieleczonych antagonistą TNF przydzielono losowo do grup otrzymujących placebo w tygodniach 0 i 2, 160 mg adalimumabu w tygodniu 0, a następnie 80 mg w </w:t>
      </w:r>
      <w:r w:rsidRPr="008F328C">
        <w:rPr>
          <w:rFonts w:eastAsia="Times New Roman"/>
          <w:lang w:val="pl-PL"/>
        </w:rPr>
        <w:lastRenderedPageBreak/>
        <w:t>2. tygodniu lub 80 mg adalimumabu w tygodniu 0, a następnie 40 mg w 2. tygodniu. Po 2. tygodniu, pacjenci w obydwu ramionach, w których stosowano adalimumab otrzymywali dawkę 40 mg co drugi tydzień. Remisję kliniczną (definiowana jako ocena punktowa w skali Mayo ≤ 2 bez oceny punktowej w częściowej skali &gt; 1) oceniano w 8. tygodniu.</w:t>
      </w:r>
    </w:p>
    <w:p w14:paraId="34286B57" w14:textId="77777777" w:rsidR="00D22235" w:rsidRPr="008F328C" w:rsidRDefault="00D22235" w:rsidP="00D22235">
      <w:pPr>
        <w:pStyle w:val="a3"/>
        <w:rPr>
          <w:lang w:val="pl-PL"/>
        </w:rPr>
      </w:pPr>
    </w:p>
    <w:p w14:paraId="0DAAB975" w14:textId="77777777" w:rsidR="00D22235" w:rsidRPr="008F328C" w:rsidRDefault="00D22235" w:rsidP="00D22235">
      <w:pPr>
        <w:pStyle w:val="a3"/>
        <w:rPr>
          <w:lang w:val="pl-PL"/>
        </w:rPr>
      </w:pPr>
      <w:r w:rsidRPr="008F328C">
        <w:rPr>
          <w:rFonts w:eastAsia="Times New Roman"/>
          <w:lang w:val="pl-PL"/>
        </w:rPr>
        <w:t>W badaniu II we WZJG, 248 pacjentów otrzymywało 160 mg adalimumabu w tygodniu 0, 80 mg w 2. tygodniu i następnie 40 mg co drugi tydzień, a 246 pacjentów otrzymywało placebo. Wyniki kliniczne oceniano w 8. tygodniu w celu potwierdzenia indukcji remisji oraz w 52. tygodniu w celu potwierdzenia utrzymywania się remisji.</w:t>
      </w:r>
    </w:p>
    <w:p w14:paraId="6999709A" w14:textId="77777777" w:rsidR="00D22235" w:rsidRPr="008F328C" w:rsidRDefault="00D22235" w:rsidP="00D22235">
      <w:pPr>
        <w:pStyle w:val="a3"/>
        <w:rPr>
          <w:lang w:val="pl-PL"/>
        </w:rPr>
      </w:pPr>
    </w:p>
    <w:p w14:paraId="3E81BF81" w14:textId="77777777" w:rsidR="00D22235" w:rsidRPr="008F328C" w:rsidRDefault="00D22235" w:rsidP="00D22235">
      <w:pPr>
        <w:pStyle w:val="a3"/>
        <w:rPr>
          <w:lang w:val="pl-PL"/>
        </w:rPr>
      </w:pPr>
      <w:r w:rsidRPr="008F328C">
        <w:rPr>
          <w:rFonts w:eastAsia="Times New Roman"/>
          <w:lang w:val="pl-PL"/>
        </w:rPr>
        <w:t>W 8. tygodniu, remisję kliniczną osiągnięto u statystycznie istotnie większego odsetka pacjentów, u których zastosowano leczenie indukcyjne adalimumabem 160/80 mg w porównaniu do pacjentów otrzymujących placebo w badaniu I we WZJG (odpowiednio 18% vs. 9%, p=0,031) i w badaniu II we WZJG (odpowiednio 17% vs. 9%, p = 0,019). W badaniu II we WZJG, spośród pacjentów leczonych adalimumabem, którzy byli w fazie remisji w 8. tygodniu, 21/41 (51%) pozostawało w remisji w 52. tygodniu.</w:t>
      </w:r>
    </w:p>
    <w:p w14:paraId="129C7F7F" w14:textId="77777777" w:rsidR="00D22235" w:rsidRPr="008F328C" w:rsidRDefault="00D22235" w:rsidP="00D22235">
      <w:pPr>
        <w:spacing w:before="13" w:line="240" w:lineRule="exact"/>
        <w:rPr>
          <w:rFonts w:ascii="Times New Roman" w:hAnsi="Times New Roman" w:cs="Times New Roman"/>
          <w:sz w:val="24"/>
          <w:szCs w:val="24"/>
          <w:lang w:val="pl-PL"/>
        </w:rPr>
      </w:pPr>
    </w:p>
    <w:p w14:paraId="16CA53C6" w14:textId="7BC5D92B" w:rsidR="00D22235" w:rsidRPr="008F328C" w:rsidRDefault="00D22235" w:rsidP="004142DA">
      <w:pPr>
        <w:pStyle w:val="a3"/>
        <w:rPr>
          <w:lang w:val="pl-PL"/>
        </w:rPr>
      </w:pPr>
      <w:r w:rsidRPr="008F328C">
        <w:rPr>
          <w:rFonts w:eastAsia="Times New Roman"/>
          <w:lang w:val="pl-PL"/>
        </w:rPr>
        <w:t xml:space="preserve">W Tabeli </w:t>
      </w:r>
      <w:r w:rsidR="000B2CC6">
        <w:rPr>
          <w:rFonts w:eastAsia="Times New Roman"/>
          <w:lang w:val="pl-PL"/>
        </w:rPr>
        <w:t>16</w:t>
      </w:r>
      <w:r w:rsidRPr="008F328C">
        <w:rPr>
          <w:rFonts w:eastAsia="Times New Roman"/>
          <w:lang w:val="pl-PL"/>
        </w:rPr>
        <w:t xml:space="preserve"> przedstawiono wyniki całej populacji badania II we WZJG.</w:t>
      </w:r>
    </w:p>
    <w:p w14:paraId="6AFC92D7" w14:textId="77777777" w:rsidR="00D22235" w:rsidRPr="008F328C" w:rsidRDefault="00D22235" w:rsidP="00D22235">
      <w:pPr>
        <w:rPr>
          <w:rFonts w:ascii="Times New Roman" w:hAnsi="Times New Roman" w:cs="Times New Roman"/>
          <w:lang w:val="pl-PL"/>
        </w:rPr>
      </w:pPr>
    </w:p>
    <w:p w14:paraId="769A3FFB" w14:textId="7029470C" w:rsidR="00D22235" w:rsidRPr="008F328C" w:rsidRDefault="00D22235" w:rsidP="00D22235">
      <w:pPr>
        <w:pStyle w:val="a3"/>
        <w:jc w:val="center"/>
        <w:rPr>
          <w:b/>
          <w:lang w:val="pl-PL"/>
        </w:rPr>
      </w:pPr>
      <w:r w:rsidRPr="008F328C">
        <w:rPr>
          <w:rFonts w:eastAsia="Times New Roman"/>
          <w:b/>
          <w:bCs/>
          <w:lang w:val="pl-PL"/>
        </w:rPr>
        <w:t xml:space="preserve">Tabela </w:t>
      </w:r>
      <w:r w:rsidR="000B2CC6">
        <w:rPr>
          <w:rFonts w:eastAsia="Times New Roman"/>
          <w:b/>
          <w:bCs/>
          <w:lang w:val="pl-PL"/>
        </w:rPr>
        <w:t>16</w:t>
      </w:r>
      <w:r w:rsidR="004142DA" w:rsidRPr="008F328C">
        <w:rPr>
          <w:rFonts w:eastAsia="Times New Roman"/>
          <w:b/>
          <w:bCs/>
          <w:lang w:val="pl-PL"/>
        </w:rPr>
        <w:t>.</w:t>
      </w:r>
    </w:p>
    <w:p w14:paraId="16958662" w14:textId="77777777" w:rsidR="00D22235" w:rsidRPr="008F328C" w:rsidRDefault="00D22235" w:rsidP="00D22235">
      <w:pPr>
        <w:pStyle w:val="a3"/>
        <w:jc w:val="center"/>
        <w:rPr>
          <w:b/>
          <w:lang w:val="pl-PL"/>
        </w:rPr>
      </w:pPr>
      <w:r w:rsidRPr="008F328C">
        <w:rPr>
          <w:rFonts w:eastAsia="Times New Roman"/>
          <w:b/>
          <w:bCs/>
          <w:lang w:val="pl-PL"/>
        </w:rPr>
        <w:t>Odpowiedź, remisja i wygojenie błony śluzowej w badaniu II we WZJG</w:t>
      </w:r>
    </w:p>
    <w:p w14:paraId="01511D5F" w14:textId="77777777" w:rsidR="00D22235" w:rsidRPr="008F328C" w:rsidRDefault="00D22235" w:rsidP="00D22235">
      <w:pPr>
        <w:pStyle w:val="a3"/>
        <w:jc w:val="center"/>
        <w:rPr>
          <w:b/>
          <w:lang w:val="pl-PL"/>
        </w:rPr>
      </w:pPr>
      <w:r w:rsidRPr="008F328C">
        <w:rPr>
          <w:rFonts w:eastAsia="Times New Roman"/>
          <w:b/>
          <w:bCs/>
          <w:lang w:val="pl-PL"/>
        </w:rPr>
        <w:t>(odsetek pacjentów)</w:t>
      </w:r>
    </w:p>
    <w:p w14:paraId="1FE068BB" w14:textId="77777777" w:rsidR="00D22235" w:rsidRPr="008F328C" w:rsidRDefault="00D22235" w:rsidP="00D22235">
      <w:pPr>
        <w:pStyle w:val="a3"/>
        <w:jc w:val="center"/>
        <w:rPr>
          <w:b/>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D22235" w:rsidRPr="00FE49E6" w14:paraId="4E483F54" w14:textId="77777777" w:rsidTr="00B17C6A">
        <w:trPr>
          <w:jc w:val="center"/>
        </w:trPr>
        <w:tc>
          <w:tcPr>
            <w:tcW w:w="2849" w:type="dxa"/>
            <w:tcBorders>
              <w:top w:val="single" w:sz="4" w:space="0" w:color="auto"/>
              <w:bottom w:val="single" w:sz="4" w:space="0" w:color="auto"/>
            </w:tcBorders>
            <w:vAlign w:val="center"/>
          </w:tcPr>
          <w:p w14:paraId="7F1E8FA5" w14:textId="77777777" w:rsidR="00D22235" w:rsidRPr="008F328C" w:rsidRDefault="00D22235" w:rsidP="00B17C6A">
            <w:pPr>
              <w:pStyle w:val="a3"/>
              <w:jc w:val="center"/>
              <w:rPr>
                <w:b/>
                <w:lang w:val="pl-PL"/>
              </w:rPr>
            </w:pPr>
          </w:p>
        </w:tc>
        <w:tc>
          <w:tcPr>
            <w:tcW w:w="3130" w:type="dxa"/>
            <w:tcBorders>
              <w:top w:val="single" w:sz="4" w:space="0" w:color="auto"/>
              <w:bottom w:val="single" w:sz="4" w:space="0" w:color="auto"/>
            </w:tcBorders>
            <w:vAlign w:val="center"/>
          </w:tcPr>
          <w:p w14:paraId="52799DBF" w14:textId="77777777" w:rsidR="00D22235" w:rsidRPr="008F328C" w:rsidRDefault="00D22235" w:rsidP="00B17C6A">
            <w:pPr>
              <w:pStyle w:val="a3"/>
              <w:jc w:val="center"/>
              <w:rPr>
                <w:b/>
                <w:lang w:val="pl-PL"/>
              </w:rPr>
            </w:pPr>
            <w:r w:rsidRPr="008F328C">
              <w:rPr>
                <w:rFonts w:eastAsia="Times New Roman"/>
                <w:b/>
                <w:bCs/>
                <w:lang w:val="pl-PL"/>
              </w:rPr>
              <w:t>Placebo</w:t>
            </w:r>
          </w:p>
        </w:tc>
        <w:tc>
          <w:tcPr>
            <w:tcW w:w="3191" w:type="dxa"/>
            <w:tcBorders>
              <w:top w:val="single" w:sz="4" w:space="0" w:color="auto"/>
              <w:bottom w:val="single" w:sz="4" w:space="0" w:color="auto"/>
            </w:tcBorders>
            <w:vAlign w:val="center"/>
          </w:tcPr>
          <w:p w14:paraId="1EA580BB" w14:textId="77777777" w:rsidR="00D22235" w:rsidRPr="008F328C" w:rsidRDefault="00D22235" w:rsidP="00B17C6A">
            <w:pPr>
              <w:pStyle w:val="a3"/>
              <w:jc w:val="center"/>
              <w:rPr>
                <w:b/>
                <w:lang w:val="pl-PL"/>
              </w:rPr>
            </w:pPr>
            <w:r w:rsidRPr="008F328C">
              <w:rPr>
                <w:rFonts w:eastAsia="Times New Roman"/>
                <w:b/>
                <w:bCs/>
                <w:spacing w:val="-1"/>
                <w:lang w:val="pl-PL"/>
              </w:rPr>
              <w:t>Adalimumab 40 mg, co drugi tydzień</w:t>
            </w:r>
          </w:p>
        </w:tc>
      </w:tr>
      <w:tr w:rsidR="00D22235" w:rsidRPr="008F328C" w14:paraId="5DA6E292" w14:textId="77777777" w:rsidTr="00B17C6A">
        <w:trPr>
          <w:jc w:val="center"/>
        </w:trPr>
        <w:tc>
          <w:tcPr>
            <w:tcW w:w="2849" w:type="dxa"/>
            <w:tcBorders>
              <w:top w:val="single" w:sz="4" w:space="0" w:color="auto"/>
              <w:bottom w:val="single" w:sz="4" w:space="0" w:color="auto"/>
            </w:tcBorders>
            <w:vAlign w:val="center"/>
          </w:tcPr>
          <w:p w14:paraId="44B2589A" w14:textId="77777777" w:rsidR="00D22235" w:rsidRPr="008F328C" w:rsidRDefault="00D22235" w:rsidP="00B17C6A">
            <w:pPr>
              <w:pStyle w:val="a3"/>
              <w:jc w:val="both"/>
              <w:rPr>
                <w:b/>
                <w:lang w:val="pl-PL"/>
              </w:rPr>
            </w:pPr>
            <w:r w:rsidRPr="008F328C">
              <w:rPr>
                <w:rFonts w:eastAsia="Times New Roman"/>
                <w:lang w:val="pl-PL"/>
              </w:rPr>
              <w:t>52. tydzień</w:t>
            </w:r>
          </w:p>
        </w:tc>
        <w:tc>
          <w:tcPr>
            <w:tcW w:w="3130" w:type="dxa"/>
            <w:tcBorders>
              <w:top w:val="single" w:sz="4" w:space="0" w:color="auto"/>
              <w:bottom w:val="single" w:sz="4" w:space="0" w:color="auto"/>
            </w:tcBorders>
            <w:vAlign w:val="center"/>
          </w:tcPr>
          <w:p w14:paraId="08FDD2AE" w14:textId="77777777" w:rsidR="00D22235" w:rsidRPr="008F328C" w:rsidRDefault="00D22235" w:rsidP="00B17C6A">
            <w:pPr>
              <w:pStyle w:val="a3"/>
              <w:jc w:val="center"/>
              <w:rPr>
                <w:b/>
                <w:lang w:val="pl-PL"/>
              </w:rPr>
            </w:pPr>
            <w:r w:rsidRPr="008F328C">
              <w:rPr>
                <w:rFonts w:eastAsia="Times New Roman"/>
                <w:b/>
                <w:bCs/>
                <w:spacing w:val="-1"/>
                <w:lang w:val="pl-PL"/>
              </w:rPr>
              <w:t>N=246</w:t>
            </w:r>
          </w:p>
        </w:tc>
        <w:tc>
          <w:tcPr>
            <w:tcW w:w="3191" w:type="dxa"/>
            <w:tcBorders>
              <w:top w:val="single" w:sz="4" w:space="0" w:color="auto"/>
              <w:bottom w:val="single" w:sz="4" w:space="0" w:color="auto"/>
            </w:tcBorders>
            <w:vAlign w:val="center"/>
          </w:tcPr>
          <w:p w14:paraId="0C8822AC" w14:textId="77777777" w:rsidR="00D22235" w:rsidRPr="008F328C" w:rsidRDefault="00D22235" w:rsidP="00B17C6A">
            <w:pPr>
              <w:pStyle w:val="a3"/>
              <w:jc w:val="center"/>
              <w:rPr>
                <w:b/>
                <w:lang w:val="pl-PL"/>
              </w:rPr>
            </w:pPr>
            <w:r w:rsidRPr="008F328C">
              <w:rPr>
                <w:rFonts w:eastAsia="Times New Roman"/>
                <w:b/>
                <w:bCs/>
                <w:spacing w:val="-1"/>
                <w:lang w:val="pl-PL"/>
              </w:rPr>
              <w:t>N=248</w:t>
            </w:r>
          </w:p>
        </w:tc>
      </w:tr>
      <w:tr w:rsidR="00D22235" w:rsidRPr="008F328C" w14:paraId="4B136190" w14:textId="77777777" w:rsidTr="00B17C6A">
        <w:trPr>
          <w:jc w:val="center"/>
        </w:trPr>
        <w:tc>
          <w:tcPr>
            <w:tcW w:w="2849" w:type="dxa"/>
            <w:tcBorders>
              <w:top w:val="single" w:sz="4" w:space="0" w:color="auto"/>
            </w:tcBorders>
            <w:vAlign w:val="center"/>
          </w:tcPr>
          <w:p w14:paraId="664EDCD2" w14:textId="77777777" w:rsidR="00D22235" w:rsidRPr="008F328C" w:rsidRDefault="00D22235" w:rsidP="00B17C6A">
            <w:pPr>
              <w:pStyle w:val="a3"/>
              <w:jc w:val="both"/>
              <w:rPr>
                <w:lang w:val="pl-PL"/>
              </w:rPr>
            </w:pPr>
            <w:r w:rsidRPr="008F328C">
              <w:rPr>
                <w:rFonts w:eastAsia="Times New Roman"/>
                <w:lang w:val="pl-PL"/>
              </w:rPr>
              <w:t>Odpowiedź kliniczna</w:t>
            </w:r>
          </w:p>
        </w:tc>
        <w:tc>
          <w:tcPr>
            <w:tcW w:w="3130" w:type="dxa"/>
            <w:tcBorders>
              <w:top w:val="single" w:sz="4" w:space="0" w:color="auto"/>
            </w:tcBorders>
            <w:vAlign w:val="center"/>
          </w:tcPr>
          <w:p w14:paraId="7A7A3FB3" w14:textId="77777777" w:rsidR="00D22235" w:rsidRPr="008F328C" w:rsidRDefault="00D22235" w:rsidP="00B17C6A">
            <w:pPr>
              <w:pStyle w:val="a3"/>
              <w:jc w:val="center"/>
              <w:rPr>
                <w:lang w:val="pl-PL"/>
              </w:rPr>
            </w:pPr>
            <w:r w:rsidRPr="008F328C">
              <w:rPr>
                <w:rFonts w:eastAsia="Times New Roman"/>
                <w:lang w:val="pl-PL"/>
              </w:rPr>
              <w:t>18%</w:t>
            </w:r>
          </w:p>
        </w:tc>
        <w:tc>
          <w:tcPr>
            <w:tcW w:w="3191" w:type="dxa"/>
            <w:tcBorders>
              <w:top w:val="single" w:sz="4" w:space="0" w:color="auto"/>
            </w:tcBorders>
            <w:vAlign w:val="center"/>
          </w:tcPr>
          <w:p w14:paraId="3EEAA6F2" w14:textId="77777777" w:rsidR="00D22235" w:rsidRPr="008F328C" w:rsidRDefault="00D22235" w:rsidP="00B17C6A">
            <w:pPr>
              <w:pStyle w:val="a3"/>
              <w:jc w:val="center"/>
              <w:rPr>
                <w:lang w:val="pl-PL"/>
              </w:rPr>
            </w:pPr>
            <w:r w:rsidRPr="008F328C">
              <w:rPr>
                <w:rFonts w:eastAsia="Times New Roman"/>
                <w:lang w:val="pl-PL"/>
              </w:rPr>
              <w:t>30%</w:t>
            </w:r>
            <w:r w:rsidRPr="008F328C">
              <w:rPr>
                <w:rFonts w:eastAsia="Times New Roman"/>
                <w:sz w:val="20"/>
                <w:szCs w:val="20"/>
                <w:lang w:val="pl-PL"/>
              </w:rPr>
              <w:t>*</w:t>
            </w:r>
          </w:p>
        </w:tc>
      </w:tr>
      <w:tr w:rsidR="00D22235" w:rsidRPr="008F328C" w14:paraId="26B78415" w14:textId="77777777" w:rsidTr="00B17C6A">
        <w:trPr>
          <w:jc w:val="center"/>
        </w:trPr>
        <w:tc>
          <w:tcPr>
            <w:tcW w:w="2849" w:type="dxa"/>
            <w:vAlign w:val="center"/>
          </w:tcPr>
          <w:p w14:paraId="4192AE60" w14:textId="77777777" w:rsidR="00D22235" w:rsidRPr="008F328C" w:rsidRDefault="00D22235" w:rsidP="00B17C6A">
            <w:pPr>
              <w:pStyle w:val="a3"/>
              <w:jc w:val="both"/>
              <w:rPr>
                <w:lang w:val="pl-PL"/>
              </w:rPr>
            </w:pPr>
            <w:r w:rsidRPr="008F328C">
              <w:rPr>
                <w:rFonts w:eastAsia="Times New Roman"/>
                <w:lang w:val="pl-PL"/>
              </w:rPr>
              <w:t>Remisja kliniczna</w:t>
            </w:r>
          </w:p>
        </w:tc>
        <w:tc>
          <w:tcPr>
            <w:tcW w:w="3130" w:type="dxa"/>
            <w:vAlign w:val="center"/>
          </w:tcPr>
          <w:p w14:paraId="33386348" w14:textId="77777777" w:rsidR="00D22235" w:rsidRPr="008F328C" w:rsidRDefault="00D22235" w:rsidP="00B17C6A">
            <w:pPr>
              <w:pStyle w:val="a3"/>
              <w:jc w:val="center"/>
              <w:rPr>
                <w:lang w:val="pl-PL"/>
              </w:rPr>
            </w:pPr>
            <w:r w:rsidRPr="008F328C">
              <w:rPr>
                <w:rFonts w:eastAsia="Times New Roman"/>
                <w:lang w:val="pl-PL"/>
              </w:rPr>
              <w:t>9%</w:t>
            </w:r>
          </w:p>
        </w:tc>
        <w:tc>
          <w:tcPr>
            <w:tcW w:w="3191" w:type="dxa"/>
            <w:vAlign w:val="center"/>
          </w:tcPr>
          <w:p w14:paraId="154582CC" w14:textId="77777777" w:rsidR="00D22235" w:rsidRPr="008F328C" w:rsidRDefault="00D22235" w:rsidP="00B17C6A">
            <w:pPr>
              <w:pStyle w:val="a3"/>
              <w:jc w:val="center"/>
              <w:rPr>
                <w:lang w:val="pl-PL"/>
              </w:rPr>
            </w:pPr>
            <w:r w:rsidRPr="008F328C">
              <w:rPr>
                <w:rFonts w:eastAsia="Times New Roman"/>
                <w:lang w:val="pl-PL"/>
              </w:rPr>
              <w:t>17%</w:t>
            </w:r>
            <w:r w:rsidRPr="008F328C">
              <w:rPr>
                <w:rFonts w:eastAsia="Times New Roman"/>
                <w:sz w:val="20"/>
                <w:szCs w:val="20"/>
                <w:lang w:val="pl-PL"/>
              </w:rPr>
              <w:t>*</w:t>
            </w:r>
          </w:p>
        </w:tc>
      </w:tr>
      <w:tr w:rsidR="00D22235" w:rsidRPr="008F328C" w14:paraId="6BEB4C4C" w14:textId="77777777" w:rsidTr="00B17C6A">
        <w:trPr>
          <w:jc w:val="center"/>
        </w:trPr>
        <w:tc>
          <w:tcPr>
            <w:tcW w:w="2849" w:type="dxa"/>
            <w:vAlign w:val="center"/>
          </w:tcPr>
          <w:p w14:paraId="6952E767" w14:textId="77777777" w:rsidR="00D22235" w:rsidRPr="008F328C" w:rsidRDefault="00D22235" w:rsidP="00B17C6A">
            <w:pPr>
              <w:pStyle w:val="a3"/>
              <w:jc w:val="both"/>
              <w:rPr>
                <w:lang w:val="pl-PL"/>
              </w:rPr>
            </w:pPr>
            <w:r w:rsidRPr="008F328C">
              <w:rPr>
                <w:rFonts w:eastAsia="Times New Roman"/>
                <w:lang w:val="pl-PL"/>
              </w:rPr>
              <w:t>Wygojenie błony śluzowej</w:t>
            </w:r>
          </w:p>
        </w:tc>
        <w:tc>
          <w:tcPr>
            <w:tcW w:w="3130" w:type="dxa"/>
            <w:vAlign w:val="center"/>
          </w:tcPr>
          <w:p w14:paraId="2C844917" w14:textId="77777777" w:rsidR="00D22235" w:rsidRPr="008F328C" w:rsidRDefault="00D22235" w:rsidP="00B17C6A">
            <w:pPr>
              <w:pStyle w:val="a3"/>
              <w:jc w:val="center"/>
              <w:rPr>
                <w:lang w:val="pl-PL"/>
              </w:rPr>
            </w:pPr>
            <w:r w:rsidRPr="008F328C">
              <w:rPr>
                <w:rFonts w:eastAsia="Times New Roman"/>
                <w:lang w:val="pl-PL"/>
              </w:rPr>
              <w:t>15%</w:t>
            </w:r>
          </w:p>
        </w:tc>
        <w:tc>
          <w:tcPr>
            <w:tcW w:w="3191" w:type="dxa"/>
            <w:vAlign w:val="center"/>
          </w:tcPr>
          <w:p w14:paraId="69F4B5B2" w14:textId="77777777" w:rsidR="00D22235" w:rsidRPr="008F328C" w:rsidRDefault="00D22235" w:rsidP="00B17C6A">
            <w:pPr>
              <w:pStyle w:val="a3"/>
              <w:jc w:val="center"/>
              <w:rPr>
                <w:lang w:val="pl-PL"/>
              </w:rPr>
            </w:pPr>
            <w:r w:rsidRPr="008F328C">
              <w:rPr>
                <w:rFonts w:eastAsia="Times New Roman"/>
                <w:lang w:val="pl-PL"/>
              </w:rPr>
              <w:t>25%</w:t>
            </w:r>
            <w:r w:rsidRPr="008F328C">
              <w:rPr>
                <w:rFonts w:eastAsia="Times New Roman"/>
                <w:sz w:val="20"/>
                <w:szCs w:val="20"/>
                <w:lang w:val="pl-PL"/>
              </w:rPr>
              <w:t>*</w:t>
            </w:r>
          </w:p>
        </w:tc>
      </w:tr>
      <w:tr w:rsidR="00D22235" w:rsidRPr="008F328C" w14:paraId="245C8C78" w14:textId="77777777" w:rsidTr="00B17C6A">
        <w:trPr>
          <w:jc w:val="center"/>
        </w:trPr>
        <w:tc>
          <w:tcPr>
            <w:tcW w:w="2849" w:type="dxa"/>
          </w:tcPr>
          <w:p w14:paraId="3CDAE942" w14:textId="77777777" w:rsidR="00D22235" w:rsidRPr="008F328C" w:rsidRDefault="00D22235" w:rsidP="00B17C6A">
            <w:pPr>
              <w:pStyle w:val="a3"/>
              <w:jc w:val="center"/>
              <w:rPr>
                <w:lang w:val="pl-PL"/>
              </w:rPr>
            </w:pPr>
            <w:r w:rsidRPr="008F328C">
              <w:rPr>
                <w:rFonts w:eastAsia="Times New Roman"/>
                <w:lang w:val="pl-PL"/>
              </w:rPr>
              <w:t>Remisja wolna od stosowania steroidów przez ≥ 90 dni</w:t>
            </w:r>
            <w:r w:rsidRPr="008F328C">
              <w:rPr>
                <w:rFonts w:eastAsia="Times New Roman"/>
                <w:vertAlign w:val="superscript"/>
                <w:lang w:val="pl-PL"/>
              </w:rPr>
              <w:t>a</w:t>
            </w:r>
          </w:p>
        </w:tc>
        <w:tc>
          <w:tcPr>
            <w:tcW w:w="3130" w:type="dxa"/>
            <w:vAlign w:val="center"/>
          </w:tcPr>
          <w:p w14:paraId="35336750" w14:textId="77777777" w:rsidR="00D22235" w:rsidRPr="008F328C" w:rsidRDefault="00D22235" w:rsidP="00B17C6A">
            <w:pPr>
              <w:pStyle w:val="a3"/>
              <w:jc w:val="center"/>
              <w:rPr>
                <w:lang w:val="pl-PL"/>
              </w:rPr>
            </w:pPr>
            <w:r w:rsidRPr="008F328C">
              <w:rPr>
                <w:rFonts w:eastAsia="Times New Roman"/>
                <w:lang w:val="pl-PL"/>
              </w:rPr>
              <w:t>6%</w:t>
            </w:r>
          </w:p>
          <w:p w14:paraId="100F35D7" w14:textId="77777777" w:rsidR="00D22235" w:rsidRPr="008F328C" w:rsidRDefault="00D22235" w:rsidP="00B17C6A">
            <w:pPr>
              <w:pStyle w:val="a3"/>
              <w:jc w:val="center"/>
              <w:rPr>
                <w:lang w:val="pl-PL"/>
              </w:rPr>
            </w:pPr>
            <w:r w:rsidRPr="008F328C">
              <w:rPr>
                <w:rFonts w:eastAsia="Times New Roman"/>
                <w:b/>
                <w:bCs/>
                <w:lang w:val="pl-PL"/>
              </w:rPr>
              <w:t>(N=140)</w:t>
            </w:r>
          </w:p>
        </w:tc>
        <w:tc>
          <w:tcPr>
            <w:tcW w:w="3191" w:type="dxa"/>
            <w:vAlign w:val="center"/>
          </w:tcPr>
          <w:p w14:paraId="3291416A" w14:textId="77777777" w:rsidR="00D22235" w:rsidRPr="008F328C" w:rsidRDefault="00D22235" w:rsidP="00B17C6A">
            <w:pPr>
              <w:pStyle w:val="a3"/>
              <w:jc w:val="center"/>
              <w:rPr>
                <w:lang w:val="pl-PL"/>
              </w:rPr>
            </w:pPr>
            <w:r w:rsidRPr="008F328C">
              <w:rPr>
                <w:rFonts w:eastAsia="Times New Roman"/>
                <w:lang w:val="pl-PL"/>
              </w:rPr>
              <w:t>13%</w:t>
            </w:r>
            <w:r w:rsidRPr="008F328C">
              <w:rPr>
                <w:rFonts w:eastAsia="Times New Roman"/>
                <w:sz w:val="20"/>
                <w:szCs w:val="20"/>
                <w:lang w:val="pl-PL"/>
              </w:rPr>
              <w:t>*</w:t>
            </w:r>
          </w:p>
          <w:p w14:paraId="09873DDA" w14:textId="77777777" w:rsidR="00D22235" w:rsidRPr="008F328C" w:rsidRDefault="00D22235" w:rsidP="00B17C6A">
            <w:pPr>
              <w:pStyle w:val="a3"/>
              <w:jc w:val="center"/>
              <w:rPr>
                <w:lang w:val="pl-PL"/>
              </w:rPr>
            </w:pPr>
            <w:r w:rsidRPr="008F328C">
              <w:rPr>
                <w:rFonts w:eastAsia="Times New Roman"/>
                <w:b/>
                <w:bCs/>
                <w:lang w:val="pl-PL"/>
              </w:rPr>
              <w:t>(N=150)</w:t>
            </w:r>
          </w:p>
        </w:tc>
      </w:tr>
      <w:tr w:rsidR="00D22235" w:rsidRPr="008F328C" w14:paraId="599387EC" w14:textId="77777777" w:rsidTr="00B17C6A">
        <w:trPr>
          <w:jc w:val="center"/>
        </w:trPr>
        <w:tc>
          <w:tcPr>
            <w:tcW w:w="9170" w:type="dxa"/>
            <w:gridSpan w:val="3"/>
            <w:vAlign w:val="center"/>
          </w:tcPr>
          <w:p w14:paraId="0D859AE2" w14:textId="77777777" w:rsidR="00D22235" w:rsidRPr="008F328C" w:rsidRDefault="00D22235" w:rsidP="00B17C6A">
            <w:pPr>
              <w:pStyle w:val="a3"/>
              <w:jc w:val="both"/>
              <w:rPr>
                <w:b/>
                <w:bCs/>
                <w:lang w:val="pl-PL"/>
              </w:rPr>
            </w:pPr>
            <w:r w:rsidRPr="008F328C">
              <w:rPr>
                <w:rFonts w:eastAsia="Times New Roman"/>
                <w:lang w:val="pl-PL"/>
              </w:rPr>
              <w:t>8. i 52. tydzień</w:t>
            </w:r>
          </w:p>
        </w:tc>
      </w:tr>
      <w:tr w:rsidR="00D22235" w:rsidRPr="008F328C" w14:paraId="38A411EE" w14:textId="77777777" w:rsidTr="00B17C6A">
        <w:trPr>
          <w:jc w:val="center"/>
        </w:trPr>
        <w:tc>
          <w:tcPr>
            <w:tcW w:w="2849" w:type="dxa"/>
            <w:vAlign w:val="center"/>
          </w:tcPr>
          <w:p w14:paraId="0BD24EF1" w14:textId="77777777" w:rsidR="00D22235" w:rsidRPr="008F328C" w:rsidRDefault="00D22235" w:rsidP="00B17C6A">
            <w:pPr>
              <w:pStyle w:val="a3"/>
              <w:jc w:val="both"/>
              <w:rPr>
                <w:lang w:val="pl-PL"/>
              </w:rPr>
            </w:pPr>
            <w:r w:rsidRPr="008F328C">
              <w:rPr>
                <w:rFonts w:eastAsia="Times New Roman"/>
                <w:lang w:val="pl-PL"/>
              </w:rPr>
              <w:t>Utrzymująca się odpowiedź</w:t>
            </w:r>
          </w:p>
        </w:tc>
        <w:tc>
          <w:tcPr>
            <w:tcW w:w="3130" w:type="dxa"/>
            <w:vAlign w:val="center"/>
          </w:tcPr>
          <w:p w14:paraId="1E2B1DBD" w14:textId="77777777" w:rsidR="00D22235" w:rsidRPr="008F328C" w:rsidRDefault="00D22235" w:rsidP="00B17C6A">
            <w:pPr>
              <w:pStyle w:val="a3"/>
              <w:jc w:val="center"/>
              <w:rPr>
                <w:b/>
                <w:bCs/>
                <w:lang w:val="pl-PL"/>
              </w:rPr>
            </w:pPr>
            <w:r w:rsidRPr="008F328C">
              <w:rPr>
                <w:rFonts w:eastAsia="Times New Roman"/>
                <w:lang w:val="pl-PL"/>
              </w:rPr>
              <w:t>12%</w:t>
            </w:r>
          </w:p>
        </w:tc>
        <w:tc>
          <w:tcPr>
            <w:tcW w:w="3191" w:type="dxa"/>
            <w:vAlign w:val="center"/>
          </w:tcPr>
          <w:p w14:paraId="77209940" w14:textId="77777777" w:rsidR="00D22235" w:rsidRPr="008F328C" w:rsidRDefault="00D22235" w:rsidP="00B17C6A">
            <w:pPr>
              <w:pStyle w:val="a3"/>
              <w:jc w:val="center"/>
              <w:rPr>
                <w:b/>
                <w:bCs/>
                <w:lang w:val="pl-PL"/>
              </w:rPr>
            </w:pPr>
            <w:r w:rsidRPr="008F328C">
              <w:rPr>
                <w:rFonts w:eastAsia="Times New Roman"/>
                <w:lang w:val="pl-PL"/>
              </w:rPr>
              <w:t>24%</w:t>
            </w:r>
            <w:r w:rsidRPr="008F328C">
              <w:rPr>
                <w:rFonts w:eastAsia="Times New Roman"/>
                <w:sz w:val="20"/>
                <w:szCs w:val="20"/>
                <w:lang w:val="pl-PL"/>
              </w:rPr>
              <w:t>**</w:t>
            </w:r>
          </w:p>
        </w:tc>
      </w:tr>
      <w:tr w:rsidR="00D22235" w:rsidRPr="008F328C" w14:paraId="6DA1C50D" w14:textId="77777777" w:rsidTr="00B17C6A">
        <w:trPr>
          <w:jc w:val="center"/>
        </w:trPr>
        <w:tc>
          <w:tcPr>
            <w:tcW w:w="2849" w:type="dxa"/>
            <w:vAlign w:val="center"/>
          </w:tcPr>
          <w:p w14:paraId="09509DAC" w14:textId="77777777" w:rsidR="00D22235" w:rsidRPr="008F328C" w:rsidRDefault="00D22235" w:rsidP="00B17C6A">
            <w:pPr>
              <w:pStyle w:val="a3"/>
              <w:jc w:val="both"/>
              <w:rPr>
                <w:lang w:val="pl-PL"/>
              </w:rPr>
            </w:pPr>
            <w:r w:rsidRPr="008F328C">
              <w:rPr>
                <w:rFonts w:eastAsia="Times New Roman"/>
                <w:lang w:val="pl-PL"/>
              </w:rPr>
              <w:t>Utrzymująca się remisja</w:t>
            </w:r>
          </w:p>
        </w:tc>
        <w:tc>
          <w:tcPr>
            <w:tcW w:w="3130" w:type="dxa"/>
            <w:vAlign w:val="center"/>
          </w:tcPr>
          <w:p w14:paraId="74BD8A86" w14:textId="77777777" w:rsidR="00D22235" w:rsidRPr="008F328C" w:rsidRDefault="00D22235" w:rsidP="00B17C6A">
            <w:pPr>
              <w:pStyle w:val="a3"/>
              <w:jc w:val="center"/>
              <w:rPr>
                <w:b/>
                <w:bCs/>
                <w:lang w:val="pl-PL"/>
              </w:rPr>
            </w:pPr>
            <w:r w:rsidRPr="008F328C">
              <w:rPr>
                <w:rFonts w:eastAsia="Times New Roman"/>
                <w:lang w:val="pl-PL"/>
              </w:rPr>
              <w:t>4%</w:t>
            </w:r>
          </w:p>
        </w:tc>
        <w:tc>
          <w:tcPr>
            <w:tcW w:w="3191" w:type="dxa"/>
            <w:vAlign w:val="center"/>
          </w:tcPr>
          <w:p w14:paraId="26783BFB" w14:textId="77777777" w:rsidR="00D22235" w:rsidRPr="008F328C" w:rsidRDefault="00D22235" w:rsidP="00B17C6A">
            <w:pPr>
              <w:pStyle w:val="a3"/>
              <w:jc w:val="center"/>
              <w:rPr>
                <w:b/>
                <w:bCs/>
                <w:lang w:val="pl-PL"/>
              </w:rPr>
            </w:pPr>
            <w:r w:rsidRPr="008F328C">
              <w:rPr>
                <w:rFonts w:eastAsia="Times New Roman"/>
                <w:lang w:val="pl-PL"/>
              </w:rPr>
              <w:t>8%</w:t>
            </w:r>
            <w:r w:rsidRPr="008F328C">
              <w:rPr>
                <w:rFonts w:eastAsia="Times New Roman"/>
                <w:sz w:val="20"/>
                <w:szCs w:val="20"/>
                <w:lang w:val="pl-PL"/>
              </w:rPr>
              <w:t>*</w:t>
            </w:r>
          </w:p>
        </w:tc>
      </w:tr>
      <w:tr w:rsidR="00D22235" w:rsidRPr="008F328C" w14:paraId="10EB0CE5" w14:textId="77777777" w:rsidTr="00B17C6A">
        <w:trPr>
          <w:jc w:val="center"/>
        </w:trPr>
        <w:tc>
          <w:tcPr>
            <w:tcW w:w="2849" w:type="dxa"/>
            <w:tcBorders>
              <w:bottom w:val="single" w:sz="4" w:space="0" w:color="auto"/>
            </w:tcBorders>
            <w:vAlign w:val="center"/>
          </w:tcPr>
          <w:p w14:paraId="72117EC1" w14:textId="77777777" w:rsidR="00D22235" w:rsidRPr="008F328C" w:rsidRDefault="00D22235" w:rsidP="00B17C6A">
            <w:pPr>
              <w:pStyle w:val="a3"/>
              <w:jc w:val="both"/>
              <w:rPr>
                <w:lang w:val="pl-PL"/>
              </w:rPr>
            </w:pPr>
            <w:r w:rsidRPr="008F328C">
              <w:rPr>
                <w:rFonts w:eastAsia="Times New Roman"/>
                <w:lang w:val="pl-PL"/>
              </w:rPr>
              <w:t>Utrzymujące się wygojenie błony śluzowej</w:t>
            </w:r>
          </w:p>
        </w:tc>
        <w:tc>
          <w:tcPr>
            <w:tcW w:w="3130" w:type="dxa"/>
            <w:tcBorders>
              <w:bottom w:val="single" w:sz="4" w:space="0" w:color="auto"/>
            </w:tcBorders>
            <w:vAlign w:val="center"/>
          </w:tcPr>
          <w:p w14:paraId="243895D8" w14:textId="77777777" w:rsidR="00D22235" w:rsidRPr="008F328C" w:rsidRDefault="00D22235" w:rsidP="00B17C6A">
            <w:pPr>
              <w:pStyle w:val="a3"/>
              <w:jc w:val="center"/>
              <w:rPr>
                <w:b/>
                <w:bCs/>
                <w:lang w:val="pl-PL"/>
              </w:rPr>
            </w:pPr>
            <w:r w:rsidRPr="008F328C">
              <w:rPr>
                <w:rFonts w:eastAsia="Times New Roman"/>
                <w:lang w:val="pl-PL"/>
              </w:rPr>
              <w:t>11%</w:t>
            </w:r>
          </w:p>
        </w:tc>
        <w:tc>
          <w:tcPr>
            <w:tcW w:w="3191" w:type="dxa"/>
            <w:tcBorders>
              <w:bottom w:val="single" w:sz="4" w:space="0" w:color="auto"/>
            </w:tcBorders>
            <w:vAlign w:val="center"/>
          </w:tcPr>
          <w:p w14:paraId="29D95051" w14:textId="77777777" w:rsidR="00D22235" w:rsidRPr="008F328C" w:rsidRDefault="00D22235" w:rsidP="00B17C6A">
            <w:pPr>
              <w:pStyle w:val="a3"/>
              <w:jc w:val="center"/>
              <w:rPr>
                <w:b/>
                <w:bCs/>
                <w:lang w:val="pl-PL"/>
              </w:rPr>
            </w:pPr>
            <w:r w:rsidRPr="008F328C">
              <w:rPr>
                <w:rFonts w:eastAsia="Times New Roman"/>
                <w:lang w:val="pl-PL"/>
              </w:rPr>
              <w:t>19%</w:t>
            </w:r>
            <w:r w:rsidRPr="008F328C">
              <w:rPr>
                <w:rFonts w:eastAsia="Times New Roman"/>
                <w:sz w:val="20"/>
                <w:szCs w:val="20"/>
                <w:lang w:val="pl-PL"/>
              </w:rPr>
              <w:t>*</w:t>
            </w:r>
          </w:p>
        </w:tc>
      </w:tr>
    </w:tbl>
    <w:p w14:paraId="245A5C06" w14:textId="77777777" w:rsidR="00D22235" w:rsidRPr="008F328C" w:rsidRDefault="00D22235" w:rsidP="00D22235">
      <w:pPr>
        <w:pStyle w:val="a3"/>
        <w:rPr>
          <w:lang w:val="pl-PL"/>
        </w:rPr>
      </w:pPr>
      <w:r w:rsidRPr="008F328C">
        <w:rPr>
          <w:rFonts w:eastAsia="Times New Roman"/>
          <w:lang w:val="pl-PL"/>
        </w:rPr>
        <w:t>Remisja kliniczna: ocena punktowa w skali Mayo ≤ 2 bez oceny punktowej w częściowej skali &gt; 1;</w:t>
      </w:r>
    </w:p>
    <w:p w14:paraId="398919D0" w14:textId="77777777" w:rsidR="00D22235" w:rsidRPr="008F328C" w:rsidRDefault="00D22235" w:rsidP="00D22235">
      <w:pPr>
        <w:pStyle w:val="a3"/>
        <w:rPr>
          <w:lang w:val="pl-PL"/>
        </w:rPr>
      </w:pPr>
      <w:r w:rsidRPr="008F328C">
        <w:rPr>
          <w:rFonts w:eastAsia="Times New Roman"/>
          <w:lang w:val="pl-PL"/>
        </w:rPr>
        <w:t>Odpowiedź kliniczną stanowi zmniejszenie, w porównaniu do wartości wyjściowej, oceny punktowej aktywności choroby w skali Mayo o ≥ 3 punkty i ≥ 30% oraz zmniejszenie w częściowej skali oceny krwawienia z odbytnicy (ang. rectal bleeding subscore, RBS) o ≥ 1 lub bezwzględna ocena RBS wynosząca 0 lub 1;</w:t>
      </w:r>
    </w:p>
    <w:p w14:paraId="5BB00CEA" w14:textId="77777777" w:rsidR="00D22235" w:rsidRPr="008F328C" w:rsidRDefault="00D22235" w:rsidP="00D22235">
      <w:pPr>
        <w:pStyle w:val="a3"/>
        <w:rPr>
          <w:lang w:val="pl-PL"/>
        </w:rPr>
      </w:pPr>
      <w:r w:rsidRPr="008F328C">
        <w:rPr>
          <w:rFonts w:eastAsia="Times New Roman"/>
          <w:spacing w:val="-2"/>
          <w:position w:val="9"/>
          <w:lang w:val="pl-PL"/>
        </w:rPr>
        <w:t xml:space="preserve">* p &lt; 0,05 dla adalimumabu </w:t>
      </w:r>
      <w:r w:rsidRPr="008F328C">
        <w:rPr>
          <w:rFonts w:eastAsia="Times New Roman"/>
          <w:i/>
          <w:iCs/>
          <w:spacing w:val="-2"/>
          <w:position w:val="9"/>
          <w:lang w:val="pl-PL"/>
        </w:rPr>
        <w:t xml:space="preserve">vs. </w:t>
      </w:r>
      <w:r w:rsidRPr="008F328C">
        <w:rPr>
          <w:rFonts w:eastAsia="Times New Roman"/>
          <w:spacing w:val="-2"/>
          <w:position w:val="9"/>
          <w:lang w:val="pl-PL"/>
        </w:rPr>
        <w:t>placebo porównanie proporcji parami</w:t>
      </w:r>
    </w:p>
    <w:p w14:paraId="0BEC4A5F" w14:textId="77777777" w:rsidR="00D22235" w:rsidRPr="008F328C" w:rsidRDefault="00D22235" w:rsidP="00D22235">
      <w:pPr>
        <w:pStyle w:val="a3"/>
        <w:rPr>
          <w:lang w:val="pl-PL"/>
        </w:rPr>
      </w:pPr>
      <w:r w:rsidRPr="008F328C">
        <w:rPr>
          <w:rFonts w:eastAsia="Times New Roman"/>
          <w:spacing w:val="-2"/>
          <w:lang w:val="pl-PL"/>
        </w:rPr>
        <w:t xml:space="preserve">** p &lt; 0,001 dla adalimumabu </w:t>
      </w:r>
      <w:r w:rsidRPr="008F328C">
        <w:rPr>
          <w:rFonts w:eastAsia="Times New Roman"/>
          <w:i/>
          <w:iCs/>
          <w:spacing w:val="-2"/>
          <w:lang w:val="pl-PL"/>
        </w:rPr>
        <w:t xml:space="preserve">vs. </w:t>
      </w:r>
      <w:r w:rsidRPr="008F328C">
        <w:rPr>
          <w:rFonts w:eastAsia="Times New Roman"/>
          <w:spacing w:val="-2"/>
          <w:lang w:val="pl-PL"/>
        </w:rPr>
        <w:t>placebo porównanie proporcji parami</w:t>
      </w:r>
    </w:p>
    <w:p w14:paraId="02EDDE6E" w14:textId="77777777" w:rsidR="00D22235" w:rsidRPr="008F328C" w:rsidRDefault="00D22235" w:rsidP="00D22235">
      <w:pPr>
        <w:pStyle w:val="a3"/>
        <w:rPr>
          <w:lang w:val="pl-PL"/>
        </w:rPr>
      </w:pPr>
      <w:r w:rsidRPr="008F328C">
        <w:rPr>
          <w:rFonts w:eastAsia="Times New Roman"/>
          <w:position w:val="8"/>
          <w:vertAlign w:val="superscript"/>
          <w:lang w:val="pl-PL"/>
        </w:rPr>
        <w:t>a</w:t>
      </w:r>
      <w:r w:rsidRPr="008F328C">
        <w:rPr>
          <w:rFonts w:eastAsia="Times New Roman"/>
          <w:position w:val="8"/>
          <w:lang w:val="pl-PL"/>
        </w:rPr>
        <w:t xml:space="preserve"> Spośród pacjentów otrzymujących kortykosteroidy w chwili włączenia do badania.</w:t>
      </w:r>
    </w:p>
    <w:p w14:paraId="7A7AD31C" w14:textId="77777777" w:rsidR="00D22235" w:rsidRPr="008F328C" w:rsidRDefault="00D22235" w:rsidP="00D22235">
      <w:pPr>
        <w:spacing w:before="6" w:line="190" w:lineRule="exact"/>
        <w:rPr>
          <w:rFonts w:ascii="Times New Roman" w:hAnsi="Times New Roman" w:cs="Times New Roman"/>
          <w:sz w:val="19"/>
          <w:szCs w:val="19"/>
          <w:lang w:val="pl-PL"/>
        </w:rPr>
      </w:pPr>
    </w:p>
    <w:p w14:paraId="5501DF5F" w14:textId="77777777" w:rsidR="00D22235" w:rsidRPr="008F328C" w:rsidRDefault="00D22235" w:rsidP="00D22235">
      <w:pPr>
        <w:pStyle w:val="a3"/>
        <w:rPr>
          <w:lang w:val="pl-PL"/>
        </w:rPr>
      </w:pPr>
      <w:r w:rsidRPr="008F328C">
        <w:rPr>
          <w:rFonts w:eastAsia="Times New Roman"/>
          <w:lang w:val="pl-PL"/>
        </w:rPr>
        <w:t>Spośród pacjentów, którzy wykazywali odpowiedź kliniczną w 8. tygodniu, w 52. tygodniu odpowiedź stwierdzono u 47%, remisję u 29%, wygojenie błony śluzowej u 41% i remisję wolną od stosowania steroidów przez ≥ 90 dni u 20%.</w:t>
      </w:r>
    </w:p>
    <w:p w14:paraId="43E31634" w14:textId="77777777" w:rsidR="00D22235" w:rsidRPr="008F328C" w:rsidRDefault="00D22235" w:rsidP="00D22235">
      <w:pPr>
        <w:spacing w:before="11" w:line="240" w:lineRule="exact"/>
        <w:rPr>
          <w:rFonts w:ascii="Times New Roman" w:hAnsi="Times New Roman" w:cs="Times New Roman"/>
          <w:sz w:val="24"/>
          <w:szCs w:val="24"/>
          <w:lang w:val="pl-PL"/>
        </w:rPr>
      </w:pPr>
    </w:p>
    <w:p w14:paraId="79D7A8CC" w14:textId="77777777" w:rsidR="00D22235" w:rsidRPr="008F328C" w:rsidRDefault="00D22235" w:rsidP="00D22235">
      <w:pPr>
        <w:pStyle w:val="a3"/>
        <w:rPr>
          <w:lang w:val="pl-PL"/>
        </w:rPr>
      </w:pPr>
      <w:r w:rsidRPr="008F328C">
        <w:rPr>
          <w:rFonts w:eastAsia="Times New Roman"/>
          <w:lang w:val="pl-PL"/>
        </w:rPr>
        <w:t xml:space="preserve">Około 40% pacjentów w badaniu II we WZJG było uprzednio bez powodzenia leczonych innym antagonistą TNF – infliksymabem. U tych pacjentów skuteczność adalimumabu była mniejsza w porównaniu do pacjentów uprzednio nieleczonych antagonistą TNF. W 52. tygodniu, spośród pacjentów uprzednio bez powodzenia leczonych antagonistą TNF, remisję osiągnęło 3% pacjentów otrzymujących </w:t>
      </w:r>
      <w:r w:rsidRPr="008F328C">
        <w:rPr>
          <w:rFonts w:eastAsia="Times New Roman"/>
          <w:lang w:val="pl-PL"/>
        </w:rPr>
        <w:lastRenderedPageBreak/>
        <w:t>placebo i 10% pacjentów otrzymujących adalimumab.</w:t>
      </w:r>
    </w:p>
    <w:p w14:paraId="61738721" w14:textId="77777777" w:rsidR="00D22235" w:rsidRPr="008F328C" w:rsidRDefault="00D22235" w:rsidP="00D22235">
      <w:pPr>
        <w:pStyle w:val="a3"/>
        <w:rPr>
          <w:sz w:val="24"/>
          <w:szCs w:val="24"/>
          <w:lang w:val="pl-PL"/>
        </w:rPr>
      </w:pPr>
    </w:p>
    <w:p w14:paraId="2813E1EB" w14:textId="77777777" w:rsidR="00D22235" w:rsidRPr="008F328C" w:rsidRDefault="00D22235" w:rsidP="00D22235">
      <w:pPr>
        <w:pStyle w:val="a3"/>
        <w:rPr>
          <w:lang w:val="pl-PL"/>
        </w:rPr>
      </w:pPr>
      <w:r w:rsidRPr="008F328C">
        <w:rPr>
          <w:rFonts w:eastAsia="Times New Roman"/>
          <w:lang w:val="pl-PL"/>
        </w:rPr>
        <w:t>Pacjenci z badań I i II we WZJG mieli możliwość kontynuowania leczenia w otwartym, długookresowym badaniu III będącym kontynuacją tych badań. Po 3 latach terapii adalimumabem, 75% pacjentów (301/402) pozostawało w remisji ocenianej w częściowej skali Mayo.</w:t>
      </w:r>
    </w:p>
    <w:p w14:paraId="1DCEC18D" w14:textId="77777777" w:rsidR="00D22235" w:rsidRPr="008F328C" w:rsidRDefault="00D22235" w:rsidP="00D22235">
      <w:pPr>
        <w:pStyle w:val="a3"/>
        <w:rPr>
          <w:lang w:val="pl-PL"/>
        </w:rPr>
      </w:pPr>
    </w:p>
    <w:p w14:paraId="1FE3F526" w14:textId="77777777" w:rsidR="00D22235" w:rsidRPr="008F328C" w:rsidRDefault="00D22235" w:rsidP="00D22235">
      <w:pPr>
        <w:pStyle w:val="a3"/>
        <w:rPr>
          <w:i/>
          <w:u w:val="single"/>
          <w:lang w:val="pl-PL"/>
        </w:rPr>
      </w:pPr>
      <w:r w:rsidRPr="008F328C">
        <w:rPr>
          <w:rFonts w:eastAsia="Times New Roman"/>
          <w:i/>
          <w:iCs/>
          <w:u w:val="single" w:color="000000"/>
          <w:lang w:val="pl-PL"/>
        </w:rPr>
        <w:t>Współczynniki hospitalizacji</w:t>
      </w:r>
    </w:p>
    <w:p w14:paraId="07406BC1" w14:textId="77777777" w:rsidR="00D22235" w:rsidRPr="008F328C" w:rsidRDefault="00D22235" w:rsidP="00D22235">
      <w:pPr>
        <w:pStyle w:val="a3"/>
        <w:rPr>
          <w:sz w:val="18"/>
          <w:szCs w:val="18"/>
          <w:lang w:val="pl-PL"/>
        </w:rPr>
      </w:pPr>
    </w:p>
    <w:p w14:paraId="4D728063" w14:textId="77777777" w:rsidR="00D22235" w:rsidRPr="008F328C" w:rsidRDefault="00D22235" w:rsidP="00D22235">
      <w:pPr>
        <w:pStyle w:val="a3"/>
        <w:rPr>
          <w:lang w:val="pl-PL"/>
        </w:rPr>
      </w:pPr>
      <w:r w:rsidRPr="008F328C">
        <w:rPr>
          <w:rFonts w:eastAsia="Times New Roman"/>
          <w:lang w:val="pl-PL"/>
        </w:rPr>
        <w:t xml:space="preserve">W czasie 52. tygodni prowadzenia badań klinicznych I i II we WZJG w ramieniu terapii adalimumabem obserwowano niższe współczynniki hospitalizacji z wszystkich przyczyn oraz hospitalizacji związanych z WZJG w porównaniu do ramienia otrzymującego placebo. Liczba hospitalizacji z wszystkich przyczyn w grupie leczonej adalimumabem wynosiła 0,18 na pacjentorok </w:t>
      </w:r>
      <w:r w:rsidRPr="008F328C">
        <w:rPr>
          <w:rFonts w:eastAsia="Times New Roman"/>
          <w:i/>
          <w:iCs/>
          <w:lang w:val="pl-PL"/>
        </w:rPr>
        <w:t>vs.</w:t>
      </w:r>
      <w:r w:rsidRPr="008F328C">
        <w:rPr>
          <w:rFonts w:eastAsia="Times New Roman"/>
          <w:lang w:val="pl-PL"/>
        </w:rPr>
        <w:t xml:space="preserve"> 0,26 na pacjentorok w grupie otrzymującej placebo, a odpowiednie dane liczbowe dotyczące hospitalizacji związanych z WZJG wynosiły 0,12 na pacjentorok </w:t>
      </w:r>
      <w:r w:rsidRPr="008F328C">
        <w:rPr>
          <w:rFonts w:eastAsia="Times New Roman"/>
          <w:i/>
          <w:iCs/>
          <w:lang w:val="pl-PL"/>
        </w:rPr>
        <w:t xml:space="preserve">vs. </w:t>
      </w:r>
      <w:r w:rsidRPr="008F328C">
        <w:rPr>
          <w:rFonts w:eastAsia="Times New Roman"/>
          <w:lang w:val="pl-PL"/>
        </w:rPr>
        <w:t>0,22 na pacjentorok.</w:t>
      </w:r>
    </w:p>
    <w:p w14:paraId="3CB4356D" w14:textId="77777777" w:rsidR="00D22235" w:rsidRPr="008F328C" w:rsidRDefault="00D22235" w:rsidP="00D22235">
      <w:pPr>
        <w:pStyle w:val="a3"/>
        <w:rPr>
          <w:sz w:val="24"/>
          <w:szCs w:val="24"/>
          <w:lang w:val="pl-PL"/>
        </w:rPr>
      </w:pPr>
    </w:p>
    <w:p w14:paraId="687259CE"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Jakość życia</w:t>
      </w:r>
    </w:p>
    <w:p w14:paraId="05EC316B" w14:textId="77777777" w:rsidR="00D22235" w:rsidRPr="008F328C" w:rsidRDefault="00D22235" w:rsidP="00D22235">
      <w:pPr>
        <w:pStyle w:val="a3"/>
        <w:rPr>
          <w:sz w:val="18"/>
          <w:szCs w:val="18"/>
          <w:lang w:val="pl-PL"/>
        </w:rPr>
      </w:pPr>
    </w:p>
    <w:p w14:paraId="513099D5" w14:textId="77777777" w:rsidR="00D22235" w:rsidRPr="008F328C" w:rsidRDefault="00D22235" w:rsidP="00D22235">
      <w:pPr>
        <w:pStyle w:val="a3"/>
        <w:rPr>
          <w:lang w:val="pl-PL"/>
        </w:rPr>
      </w:pPr>
      <w:r w:rsidRPr="008F328C">
        <w:rPr>
          <w:rFonts w:eastAsia="Times New Roman"/>
          <w:lang w:val="pl-PL"/>
        </w:rPr>
        <w:t>W badaniu II we WZJG leczenie adalimumabem doprowadziło do poprawy w ocenie według kwestionariusza swoistego dla choroby zapalnej jelit (ang. Inflammatory Bowel Disease Questionnaire, IBDQ).</w:t>
      </w:r>
    </w:p>
    <w:p w14:paraId="6ED76A94" w14:textId="77777777" w:rsidR="00D22235" w:rsidRPr="008F328C" w:rsidRDefault="00D22235" w:rsidP="00D22235">
      <w:pPr>
        <w:spacing w:before="10" w:line="240" w:lineRule="exact"/>
        <w:rPr>
          <w:rFonts w:ascii="Times New Roman" w:hAnsi="Times New Roman" w:cs="Times New Roman"/>
          <w:sz w:val="24"/>
          <w:szCs w:val="24"/>
          <w:lang w:val="pl-PL"/>
        </w:rPr>
      </w:pPr>
    </w:p>
    <w:p w14:paraId="59209511" w14:textId="77777777" w:rsidR="00D22235" w:rsidRPr="008F328C" w:rsidRDefault="00D22235" w:rsidP="00D22235">
      <w:pPr>
        <w:pStyle w:val="a3"/>
        <w:rPr>
          <w:i/>
          <w:lang w:val="pl-PL"/>
        </w:rPr>
      </w:pPr>
      <w:r w:rsidRPr="008F328C">
        <w:rPr>
          <w:rFonts w:eastAsia="Times New Roman"/>
          <w:i/>
          <w:iCs/>
          <w:lang w:val="pl-PL"/>
        </w:rPr>
        <w:t>Zapalenie błony naczyniowej oka</w:t>
      </w:r>
    </w:p>
    <w:p w14:paraId="52039D31" w14:textId="77777777" w:rsidR="00D22235" w:rsidRPr="008F328C" w:rsidRDefault="00D22235" w:rsidP="00D22235">
      <w:pPr>
        <w:pStyle w:val="a3"/>
        <w:rPr>
          <w:sz w:val="24"/>
          <w:szCs w:val="24"/>
          <w:lang w:val="pl-PL"/>
        </w:rPr>
      </w:pPr>
    </w:p>
    <w:p w14:paraId="6FB24FD8" w14:textId="77777777" w:rsidR="00D22235" w:rsidRPr="008F328C" w:rsidRDefault="00D22235" w:rsidP="00D22235">
      <w:pPr>
        <w:pStyle w:val="a3"/>
        <w:rPr>
          <w:lang w:val="pl-PL"/>
        </w:rPr>
      </w:pPr>
      <w:r w:rsidRPr="008F328C">
        <w:rPr>
          <w:rFonts w:eastAsia="Times New Roman"/>
          <w:lang w:val="pl-PL"/>
        </w:rPr>
        <w:t>Bezpieczeństwo stosowania i skuteczność adalimumabu u dorosłych pacjentów z nieinfekcyjnym zapaleniem błony naczyniowej oka w części pośredniej, odcinka tylnego i całej błony naczyniowej, z wyłączeniem pacjentów z izolowaną postacią zapalenia przedniego odcinka błony naczyniowej, oceniano w dwóch randomizowanych, podwójnie zaślepionych, kontrolowanych placebo badaniach klinicznych (UV I i II). Pacjenci otrzymywali placebo lub adalimumab w dawce początkowej 80 mg, a następnie po tygodniu od podania dawki początkowej w dawce 40 mg co drugi tydzień. Dozwolone było jednoczesne podawanie jednego niebiologicznego leku immunosupresyjnego w stałych dawkach.</w:t>
      </w:r>
    </w:p>
    <w:p w14:paraId="26ADF2A7" w14:textId="77777777" w:rsidR="00D22235" w:rsidRPr="008F328C" w:rsidRDefault="00D22235" w:rsidP="00D22235">
      <w:pPr>
        <w:pStyle w:val="a3"/>
        <w:rPr>
          <w:sz w:val="24"/>
          <w:szCs w:val="24"/>
          <w:lang w:val="pl-PL"/>
        </w:rPr>
      </w:pPr>
    </w:p>
    <w:p w14:paraId="7A42BAC5" w14:textId="77777777" w:rsidR="00D22235" w:rsidRPr="008F328C" w:rsidRDefault="00D22235" w:rsidP="00D22235">
      <w:pPr>
        <w:pStyle w:val="a3"/>
        <w:rPr>
          <w:lang w:val="pl-PL"/>
        </w:rPr>
      </w:pPr>
      <w:r w:rsidRPr="008F328C">
        <w:rPr>
          <w:rFonts w:eastAsia="Times New Roman"/>
          <w:lang w:val="pl-PL"/>
        </w:rPr>
        <w:t>W badaniu UV I oceniano 217 pacjentów z aktywnym zapaleniem błony naczyniowej oka pomimo leczenia kortykosteroidami (prednizon podawany doustnie w dawce od 10 do 60 mg/dobę). Wszyscy pacjenci otrzymywali przez 2 tygodnie po przystąpieniu do badania standardową dawkę prednizonu 60 mg/dobę, którą następnie stopniowo zmniejszano zgodnie z obowiązującym schematem, aż do całkowitego zaprzestania podawania kortykosteroidu przed upływem 15. tygodnia.</w:t>
      </w:r>
    </w:p>
    <w:p w14:paraId="6D040A0E" w14:textId="77777777" w:rsidR="00D22235" w:rsidRPr="008F328C" w:rsidRDefault="00D22235" w:rsidP="00D22235">
      <w:pPr>
        <w:pStyle w:val="a3"/>
        <w:rPr>
          <w:sz w:val="24"/>
          <w:szCs w:val="24"/>
          <w:lang w:val="pl-PL"/>
        </w:rPr>
      </w:pPr>
    </w:p>
    <w:p w14:paraId="4F02A9E7" w14:textId="77777777" w:rsidR="00D22235" w:rsidRPr="008F328C" w:rsidRDefault="00D22235" w:rsidP="00D22235">
      <w:pPr>
        <w:pStyle w:val="a3"/>
        <w:rPr>
          <w:lang w:val="pl-PL"/>
        </w:rPr>
      </w:pPr>
      <w:r w:rsidRPr="008F328C">
        <w:rPr>
          <w:rFonts w:eastAsia="Times New Roman"/>
          <w:lang w:val="pl-PL"/>
        </w:rPr>
        <w:t>W badania UV II oceniano 226 pacjentów z nieaktywną postacią zapalenia błony naczyniowej oka, u których w momencie rozpoczynania badania konieczne było długotrwałe leczenie kortykosteroidami (prednizon podawany doustnie w dawce od 10 do 35 mg/dobę) w celu kontroli objawów choroby. Następnie u pacjentów stopniowo zmniejszano dawki, zgodnie z obowiązującym schematem, aż do całkowitego zaprzestania podawania kortykosteroidu przed upływem 19. tygodnia.</w:t>
      </w:r>
    </w:p>
    <w:p w14:paraId="343CF5A2" w14:textId="77777777" w:rsidR="00D22235" w:rsidRPr="008F328C" w:rsidRDefault="00D22235" w:rsidP="00D22235">
      <w:pPr>
        <w:pStyle w:val="a3"/>
        <w:rPr>
          <w:sz w:val="24"/>
          <w:szCs w:val="24"/>
          <w:lang w:val="pl-PL"/>
        </w:rPr>
      </w:pPr>
    </w:p>
    <w:p w14:paraId="21A82537" w14:textId="77777777" w:rsidR="00D22235" w:rsidRPr="008F328C" w:rsidRDefault="00D22235" w:rsidP="00D22235">
      <w:pPr>
        <w:pStyle w:val="a3"/>
        <w:rPr>
          <w:lang w:val="pl-PL"/>
        </w:rPr>
      </w:pPr>
      <w:r w:rsidRPr="008F328C">
        <w:rPr>
          <w:rFonts w:eastAsia="Times New Roman"/>
          <w:lang w:val="pl-PL"/>
        </w:rPr>
        <w:t>W obydwu badaniach pierwszorzędowym punktem końcowym oceny skuteczności był „czas do niepowodzenia leczenia”. Niepowodzenie leczenia definiowano stosując wieloskładnikowy wynik leczenia oceniany na podstawie zapalnych zmian siatkówki i naczyniówki i (lub) zapalnych zmian naczyń siatkówki, stopnia wysięku komórek zapalnych w komorze przedniej (ang. anterior chamber, AC), stopnia zmętnienia ciała szklistego (ang. vitreous haze, HZ) i najlepszej skorygowanej ostrości wzroku (ang. best corrected visual acuity, BCVA).</w:t>
      </w:r>
    </w:p>
    <w:p w14:paraId="4AA86EE5" w14:textId="77777777" w:rsidR="00D22235" w:rsidRPr="008F328C" w:rsidRDefault="00D22235" w:rsidP="00D22235">
      <w:pPr>
        <w:pStyle w:val="a3"/>
        <w:rPr>
          <w:sz w:val="24"/>
          <w:szCs w:val="24"/>
          <w:lang w:val="pl-PL"/>
        </w:rPr>
      </w:pPr>
    </w:p>
    <w:p w14:paraId="3AB31EB5" w14:textId="77777777" w:rsidR="00D22235" w:rsidRPr="008F328C" w:rsidRDefault="00D22235" w:rsidP="00D22235">
      <w:pPr>
        <w:pStyle w:val="a3"/>
        <w:rPr>
          <w:lang w:val="pl-PL"/>
        </w:rPr>
      </w:pPr>
      <w:r w:rsidRPr="008F328C">
        <w:rPr>
          <w:rFonts w:eastAsia="Times New Roman"/>
          <w:lang w:val="pl-PL"/>
        </w:rPr>
        <w:t xml:space="preserve">Pacjenci, którzy ukończyli badania UV I i UV II byli kwalifikowani do niekontrolowanego długoterminowego badania kontynuacyjnego o pierwotnie zaplanowanym czasie trwania 78 tygodni. Pacjentom pozwolono kontynuować leczenie badanym produktem leczniczym po 78. tygodniu, dopóki </w:t>
      </w:r>
      <w:r w:rsidRPr="008F328C">
        <w:rPr>
          <w:rFonts w:eastAsia="Times New Roman"/>
          <w:lang w:val="pl-PL"/>
        </w:rPr>
        <w:lastRenderedPageBreak/>
        <w:t>adalimumab nie był dla nich dostępny.</w:t>
      </w:r>
    </w:p>
    <w:p w14:paraId="04ADE597" w14:textId="77777777" w:rsidR="00D22235" w:rsidRPr="008F328C" w:rsidRDefault="00D22235" w:rsidP="00D22235">
      <w:pPr>
        <w:pStyle w:val="a3"/>
        <w:rPr>
          <w:sz w:val="24"/>
          <w:szCs w:val="24"/>
          <w:lang w:val="pl-PL"/>
        </w:rPr>
      </w:pPr>
    </w:p>
    <w:p w14:paraId="1E4D918C" w14:textId="77777777"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Odpowiedź kliniczna</w:t>
      </w:r>
    </w:p>
    <w:p w14:paraId="20D56A79" w14:textId="77777777" w:rsidR="00D22235" w:rsidRPr="008F328C" w:rsidRDefault="00D22235" w:rsidP="00D22235">
      <w:pPr>
        <w:pStyle w:val="a3"/>
        <w:rPr>
          <w:sz w:val="18"/>
          <w:szCs w:val="18"/>
          <w:lang w:val="pl-PL"/>
        </w:rPr>
      </w:pPr>
    </w:p>
    <w:p w14:paraId="366269CB" w14:textId="7ECD0E4C" w:rsidR="00D22235" w:rsidRPr="008F328C" w:rsidRDefault="00D22235" w:rsidP="00D22235">
      <w:pPr>
        <w:pStyle w:val="a3"/>
        <w:rPr>
          <w:rFonts w:eastAsia="Times New Roman"/>
          <w:lang w:val="pl-PL"/>
        </w:rPr>
      </w:pPr>
      <w:r w:rsidRPr="008F328C">
        <w:rPr>
          <w:rFonts w:eastAsia="Times New Roman"/>
          <w:lang w:val="pl-PL"/>
        </w:rPr>
        <w:t xml:space="preserve">Wyniki obydwu badań wykazały statystycznie istotne zmniejszenie ryzyka niepowodzenia leczenia u pacjentów leczonych adalimumabem w porównaniu do pacjentów otrzymujących placebo (patrz Tabela </w:t>
      </w:r>
      <w:r w:rsidR="000B2CC6">
        <w:rPr>
          <w:rFonts w:eastAsia="Times New Roman"/>
          <w:lang w:val="pl-PL"/>
        </w:rPr>
        <w:t>17</w:t>
      </w:r>
      <w:r w:rsidRPr="008F328C">
        <w:rPr>
          <w:rFonts w:eastAsia="Times New Roman"/>
          <w:lang w:val="pl-PL"/>
        </w:rPr>
        <w:t>). Obydwa badania wykazały wczesny i utrzymujący się wpływ adalimumabu na odsetek niepowodzenia leczenia w porównaniu do placebo (patrz Rycina 1).</w:t>
      </w:r>
    </w:p>
    <w:p w14:paraId="78814F4F" w14:textId="77777777" w:rsidR="00D22235" w:rsidRPr="008F328C" w:rsidRDefault="00D22235" w:rsidP="00D22235">
      <w:pPr>
        <w:pStyle w:val="a3"/>
        <w:rPr>
          <w:lang w:val="pl-PL"/>
        </w:rPr>
      </w:pPr>
    </w:p>
    <w:p w14:paraId="13CC7D3E" w14:textId="1BAA6EF3" w:rsidR="00D22235" w:rsidRPr="008F328C" w:rsidRDefault="00D22235" w:rsidP="00D22235">
      <w:pPr>
        <w:pStyle w:val="a3"/>
        <w:jc w:val="center"/>
        <w:rPr>
          <w:b/>
          <w:lang w:val="pl-PL"/>
        </w:rPr>
      </w:pPr>
      <w:r w:rsidRPr="008F328C">
        <w:rPr>
          <w:rFonts w:eastAsia="Times New Roman"/>
          <w:b/>
          <w:bCs/>
          <w:lang w:val="pl-PL"/>
        </w:rPr>
        <w:t xml:space="preserve">Tabela </w:t>
      </w:r>
      <w:r w:rsidR="000B2CC6">
        <w:rPr>
          <w:rFonts w:eastAsia="Times New Roman"/>
          <w:b/>
          <w:bCs/>
          <w:lang w:val="pl-PL"/>
        </w:rPr>
        <w:t>17</w:t>
      </w:r>
      <w:r w:rsidR="004142DA" w:rsidRPr="008F328C">
        <w:rPr>
          <w:rFonts w:eastAsia="Times New Roman"/>
          <w:b/>
          <w:bCs/>
          <w:lang w:val="pl-PL"/>
        </w:rPr>
        <w:t>.</w:t>
      </w:r>
    </w:p>
    <w:p w14:paraId="26ED6A99" w14:textId="77777777" w:rsidR="00D22235" w:rsidRPr="008F328C" w:rsidRDefault="00D22235" w:rsidP="00D22235">
      <w:pPr>
        <w:pStyle w:val="a3"/>
        <w:jc w:val="center"/>
        <w:rPr>
          <w:b/>
          <w:lang w:val="pl-PL"/>
        </w:rPr>
      </w:pPr>
      <w:r w:rsidRPr="008F328C">
        <w:rPr>
          <w:rFonts w:eastAsia="Times New Roman"/>
          <w:b/>
          <w:bCs/>
          <w:lang w:val="pl-PL"/>
        </w:rPr>
        <w:t>Czas do niepowodzenia leczenia w badaniach UV I i UV II</w:t>
      </w:r>
    </w:p>
    <w:p w14:paraId="7D1F3676" w14:textId="77777777" w:rsidR="00D22235" w:rsidRPr="008F328C" w:rsidRDefault="00D22235" w:rsidP="00D22235">
      <w:pPr>
        <w:pStyle w:val="a3"/>
        <w:jc w:val="center"/>
        <w:rPr>
          <w:b/>
          <w:lang w:val="pl-PL"/>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2"/>
        <w:gridCol w:w="1369"/>
        <w:gridCol w:w="1982"/>
        <w:gridCol w:w="1597"/>
        <w:gridCol w:w="1045"/>
        <w:gridCol w:w="1052"/>
        <w:gridCol w:w="1102"/>
      </w:tblGrid>
      <w:tr w:rsidR="00D22235" w:rsidRPr="008F328C" w14:paraId="67BE50F1" w14:textId="77777777" w:rsidTr="00B17C6A">
        <w:trPr>
          <w:trHeight w:val="378"/>
          <w:jc w:val="center"/>
        </w:trPr>
        <w:tc>
          <w:tcPr>
            <w:tcW w:w="1624" w:type="dxa"/>
            <w:tcBorders>
              <w:top w:val="single" w:sz="4" w:space="0" w:color="auto"/>
              <w:bottom w:val="single" w:sz="4" w:space="0" w:color="auto"/>
            </w:tcBorders>
            <w:vAlign w:val="center"/>
          </w:tcPr>
          <w:p w14:paraId="317946A0" w14:textId="77777777" w:rsidR="00D22235" w:rsidRPr="008F328C" w:rsidRDefault="00D22235" w:rsidP="00B17C6A">
            <w:pPr>
              <w:pStyle w:val="a3"/>
              <w:jc w:val="center"/>
              <w:rPr>
                <w:b/>
                <w:lang w:val="pl-PL" w:eastAsia="ko-KR"/>
              </w:rPr>
            </w:pPr>
            <w:r w:rsidRPr="008F328C">
              <w:rPr>
                <w:rFonts w:eastAsia="Times New Roman"/>
                <w:b/>
                <w:bCs/>
                <w:lang w:val="pl-PL" w:eastAsia="ko-KR"/>
              </w:rPr>
              <w:t>Analiza leczenia</w:t>
            </w:r>
          </w:p>
        </w:tc>
        <w:tc>
          <w:tcPr>
            <w:tcW w:w="1530" w:type="dxa"/>
            <w:tcBorders>
              <w:top w:val="single" w:sz="4" w:space="0" w:color="auto"/>
              <w:bottom w:val="single" w:sz="4" w:space="0" w:color="auto"/>
            </w:tcBorders>
            <w:vAlign w:val="center"/>
          </w:tcPr>
          <w:p w14:paraId="14974869" w14:textId="77777777" w:rsidR="00D22235" w:rsidRPr="008F328C" w:rsidRDefault="00D22235" w:rsidP="00B17C6A">
            <w:pPr>
              <w:pStyle w:val="a3"/>
              <w:jc w:val="center"/>
              <w:rPr>
                <w:b/>
                <w:lang w:val="pl-PL"/>
              </w:rPr>
            </w:pPr>
            <w:r w:rsidRPr="008F328C">
              <w:rPr>
                <w:rFonts w:eastAsia="Times New Roman"/>
                <w:b/>
                <w:bCs/>
                <w:lang w:val="pl-PL"/>
              </w:rPr>
              <w:t>N</w:t>
            </w:r>
          </w:p>
        </w:tc>
        <w:tc>
          <w:tcPr>
            <w:tcW w:w="2052" w:type="dxa"/>
            <w:tcBorders>
              <w:top w:val="single" w:sz="4" w:space="0" w:color="auto"/>
              <w:bottom w:val="single" w:sz="4" w:space="0" w:color="auto"/>
            </w:tcBorders>
            <w:vAlign w:val="center"/>
          </w:tcPr>
          <w:p w14:paraId="0AC1A749" w14:textId="77777777" w:rsidR="00D22235" w:rsidRPr="008F328C" w:rsidRDefault="00D22235" w:rsidP="00B17C6A">
            <w:pPr>
              <w:pStyle w:val="a3"/>
              <w:jc w:val="center"/>
              <w:rPr>
                <w:b/>
                <w:lang w:val="pl-PL"/>
              </w:rPr>
            </w:pPr>
            <w:r w:rsidRPr="008F328C">
              <w:rPr>
                <w:rFonts w:eastAsia="Times New Roman"/>
                <w:b/>
                <w:bCs/>
                <w:spacing w:val="-1"/>
                <w:lang w:val="pl-PL"/>
              </w:rPr>
              <w:t>Niepowodzenie N (%)</w:t>
            </w:r>
          </w:p>
        </w:tc>
        <w:tc>
          <w:tcPr>
            <w:tcW w:w="1130" w:type="dxa"/>
            <w:tcBorders>
              <w:top w:val="single" w:sz="4" w:space="0" w:color="auto"/>
              <w:bottom w:val="single" w:sz="4" w:space="0" w:color="auto"/>
            </w:tcBorders>
          </w:tcPr>
          <w:p w14:paraId="423B4568" w14:textId="77777777" w:rsidR="00D22235" w:rsidRPr="008F328C" w:rsidRDefault="00D22235" w:rsidP="00B17C6A">
            <w:pPr>
              <w:pStyle w:val="a3"/>
              <w:jc w:val="center"/>
              <w:rPr>
                <w:b/>
                <w:bCs/>
                <w:spacing w:val="-1"/>
                <w:lang w:val="pl-PL" w:eastAsia="ko-KR"/>
              </w:rPr>
            </w:pPr>
            <w:r w:rsidRPr="008F328C">
              <w:rPr>
                <w:rFonts w:eastAsia="Times New Roman"/>
                <w:b/>
                <w:bCs/>
                <w:spacing w:val="-1"/>
                <w:lang w:val="pl-PL" w:eastAsia="ko-KR"/>
              </w:rPr>
              <w:t>Mediana czasu do niepowodzenia (miesiące)</w:t>
            </w:r>
          </w:p>
        </w:tc>
        <w:tc>
          <w:tcPr>
            <w:tcW w:w="1130" w:type="dxa"/>
            <w:tcBorders>
              <w:top w:val="single" w:sz="4" w:space="0" w:color="auto"/>
              <w:bottom w:val="single" w:sz="4" w:space="0" w:color="auto"/>
            </w:tcBorders>
            <w:vAlign w:val="center"/>
          </w:tcPr>
          <w:p w14:paraId="76E26EDC" w14:textId="77777777" w:rsidR="00D22235" w:rsidRPr="008F328C" w:rsidRDefault="00D22235" w:rsidP="00B17C6A">
            <w:pPr>
              <w:pStyle w:val="a3"/>
              <w:jc w:val="center"/>
              <w:rPr>
                <w:b/>
                <w:bCs/>
                <w:spacing w:val="-1"/>
                <w:lang w:val="pl-PL" w:eastAsia="ko-KR"/>
              </w:rPr>
            </w:pPr>
            <w:r w:rsidRPr="008F328C">
              <w:rPr>
                <w:rFonts w:eastAsia="Times New Roman"/>
                <w:b/>
                <w:bCs/>
                <w:spacing w:val="-1"/>
                <w:lang w:val="pl-PL" w:eastAsia="ko-KR"/>
              </w:rPr>
              <w:t>HR</w:t>
            </w:r>
            <w:r w:rsidRPr="008F328C">
              <w:rPr>
                <w:rFonts w:eastAsia="Times New Roman"/>
                <w:b/>
                <w:bCs/>
                <w:spacing w:val="-1"/>
                <w:vertAlign w:val="superscript"/>
                <w:lang w:val="pl-PL" w:eastAsia="ko-KR"/>
              </w:rPr>
              <w:t>a</w:t>
            </w:r>
          </w:p>
        </w:tc>
        <w:tc>
          <w:tcPr>
            <w:tcW w:w="1130" w:type="dxa"/>
            <w:tcBorders>
              <w:top w:val="single" w:sz="4" w:space="0" w:color="auto"/>
              <w:bottom w:val="single" w:sz="4" w:space="0" w:color="auto"/>
            </w:tcBorders>
            <w:vAlign w:val="center"/>
          </w:tcPr>
          <w:p w14:paraId="67C3E415" w14:textId="77777777" w:rsidR="00D22235" w:rsidRPr="008F328C" w:rsidRDefault="00D22235" w:rsidP="00B17C6A">
            <w:pPr>
              <w:pStyle w:val="a3"/>
              <w:jc w:val="center"/>
              <w:rPr>
                <w:b/>
                <w:bCs/>
                <w:spacing w:val="-1"/>
                <w:lang w:val="pl-PL" w:eastAsia="ko-KR"/>
              </w:rPr>
            </w:pPr>
            <w:r w:rsidRPr="008F328C">
              <w:rPr>
                <w:rFonts w:eastAsia="Times New Roman"/>
                <w:b/>
                <w:bCs/>
                <w:spacing w:val="-1"/>
                <w:lang w:val="pl-PL" w:eastAsia="ko-KR"/>
              </w:rPr>
              <w:t>CI 95% dla HR</w:t>
            </w:r>
            <w:r w:rsidRPr="008F328C">
              <w:rPr>
                <w:rFonts w:eastAsia="Times New Roman"/>
                <w:b/>
                <w:bCs/>
                <w:spacing w:val="-1"/>
                <w:sz w:val="14"/>
                <w:szCs w:val="14"/>
                <w:lang w:val="pl-PL" w:eastAsia="ko-KR"/>
              </w:rPr>
              <w:t>a</w:t>
            </w:r>
          </w:p>
        </w:tc>
        <w:tc>
          <w:tcPr>
            <w:tcW w:w="1130" w:type="dxa"/>
            <w:tcBorders>
              <w:top w:val="single" w:sz="4" w:space="0" w:color="auto"/>
              <w:bottom w:val="single" w:sz="4" w:space="0" w:color="auto"/>
            </w:tcBorders>
            <w:vAlign w:val="center"/>
          </w:tcPr>
          <w:p w14:paraId="6111E4B3" w14:textId="77777777" w:rsidR="00D22235" w:rsidRPr="008F328C" w:rsidRDefault="00D22235" w:rsidP="00B17C6A">
            <w:pPr>
              <w:pStyle w:val="a3"/>
              <w:jc w:val="center"/>
              <w:rPr>
                <w:b/>
                <w:lang w:val="pl-PL"/>
              </w:rPr>
            </w:pPr>
            <w:r w:rsidRPr="008F328C">
              <w:rPr>
                <w:rFonts w:eastAsia="Times New Roman"/>
                <w:bCs/>
                <w:i/>
                <w:iCs/>
                <w:spacing w:val="-1"/>
                <w:lang w:val="pl-PL" w:eastAsia="ko-KR"/>
              </w:rPr>
              <w:t xml:space="preserve">Wartość </w:t>
            </w:r>
            <w:r w:rsidRPr="008F328C">
              <w:rPr>
                <w:rFonts w:eastAsia="Times New Roman"/>
                <w:b/>
                <w:bCs/>
                <w:i/>
                <w:iCs/>
                <w:spacing w:val="-1"/>
                <w:lang w:val="pl-PL" w:eastAsia="ko-KR"/>
              </w:rPr>
              <w:t>p</w:t>
            </w:r>
            <w:r w:rsidRPr="008F328C">
              <w:rPr>
                <w:rFonts w:eastAsia="Times New Roman"/>
                <w:b/>
                <w:bCs/>
                <w:spacing w:val="-1"/>
                <w:vertAlign w:val="superscript"/>
                <w:lang w:val="pl-PL" w:eastAsia="ko-KR"/>
              </w:rPr>
              <w:t>b</w:t>
            </w:r>
          </w:p>
          <w:p w14:paraId="067F9686" w14:textId="77777777" w:rsidR="00D22235" w:rsidRPr="008F328C" w:rsidRDefault="00D22235" w:rsidP="00B17C6A">
            <w:pPr>
              <w:pStyle w:val="a3"/>
              <w:jc w:val="center"/>
              <w:rPr>
                <w:rFonts w:eastAsia="Times New Roman"/>
                <w:b/>
                <w:bCs/>
                <w:spacing w:val="-1"/>
                <w:lang w:val="pl-PL"/>
              </w:rPr>
            </w:pPr>
          </w:p>
        </w:tc>
      </w:tr>
      <w:tr w:rsidR="00D22235" w:rsidRPr="008F328C" w14:paraId="1198F795" w14:textId="77777777" w:rsidTr="00B17C6A">
        <w:trPr>
          <w:trHeight w:val="378"/>
          <w:jc w:val="center"/>
        </w:trPr>
        <w:tc>
          <w:tcPr>
            <w:tcW w:w="9729" w:type="dxa"/>
            <w:gridSpan w:val="7"/>
            <w:tcBorders>
              <w:top w:val="single" w:sz="4" w:space="0" w:color="auto"/>
              <w:bottom w:val="single" w:sz="4" w:space="0" w:color="auto"/>
            </w:tcBorders>
            <w:vAlign w:val="center"/>
          </w:tcPr>
          <w:p w14:paraId="0B342B95" w14:textId="77777777" w:rsidR="00D22235" w:rsidRPr="008F328C" w:rsidRDefault="00D22235" w:rsidP="00B17C6A">
            <w:pPr>
              <w:pStyle w:val="a3"/>
              <w:rPr>
                <w:b/>
                <w:lang w:val="pl-PL"/>
              </w:rPr>
            </w:pPr>
            <w:r w:rsidRPr="008F328C">
              <w:rPr>
                <w:rFonts w:eastAsia="Times New Roman"/>
                <w:b/>
                <w:bCs/>
                <w:lang w:val="pl-PL"/>
              </w:rPr>
              <w:t xml:space="preserve">Czas do niepowodzenia leczenia w 6. tygodniu lub po 6. tygodniu w badaniu UV I </w:t>
            </w:r>
          </w:p>
          <w:p w14:paraId="6B78BA89" w14:textId="77777777" w:rsidR="00D22235" w:rsidRPr="008F328C" w:rsidRDefault="00D22235" w:rsidP="00B17C6A">
            <w:pPr>
              <w:pStyle w:val="a3"/>
              <w:jc w:val="both"/>
              <w:rPr>
                <w:lang w:val="pl-PL"/>
              </w:rPr>
            </w:pPr>
            <w:r w:rsidRPr="008F328C">
              <w:rPr>
                <w:rFonts w:eastAsia="Times New Roman"/>
                <w:b/>
                <w:bCs/>
                <w:lang w:val="pl-PL"/>
              </w:rPr>
              <w:t>Pierwotna analiza (ITT)</w:t>
            </w:r>
          </w:p>
        </w:tc>
      </w:tr>
      <w:tr w:rsidR="00D22235" w:rsidRPr="008F328C" w14:paraId="2D3F2CD2" w14:textId="77777777" w:rsidTr="00B17C6A">
        <w:trPr>
          <w:trHeight w:val="393"/>
          <w:jc w:val="center"/>
        </w:trPr>
        <w:tc>
          <w:tcPr>
            <w:tcW w:w="1624" w:type="dxa"/>
            <w:tcBorders>
              <w:top w:val="single" w:sz="4" w:space="0" w:color="auto"/>
            </w:tcBorders>
            <w:vAlign w:val="center"/>
          </w:tcPr>
          <w:p w14:paraId="345ED27E" w14:textId="77777777" w:rsidR="00D22235" w:rsidRPr="008F328C" w:rsidRDefault="00D22235" w:rsidP="00B17C6A">
            <w:pPr>
              <w:pStyle w:val="a3"/>
              <w:jc w:val="center"/>
              <w:rPr>
                <w:lang w:val="pl-PL"/>
              </w:rPr>
            </w:pPr>
            <w:r w:rsidRPr="008F328C">
              <w:rPr>
                <w:rFonts w:eastAsia="Times New Roman"/>
                <w:lang w:val="pl-PL"/>
              </w:rPr>
              <w:t>Placebo</w:t>
            </w:r>
          </w:p>
        </w:tc>
        <w:tc>
          <w:tcPr>
            <w:tcW w:w="1530" w:type="dxa"/>
            <w:tcBorders>
              <w:top w:val="single" w:sz="4" w:space="0" w:color="auto"/>
            </w:tcBorders>
          </w:tcPr>
          <w:p w14:paraId="34BDEA90" w14:textId="77777777" w:rsidR="00D22235" w:rsidRPr="008F328C" w:rsidRDefault="00D22235" w:rsidP="00B17C6A">
            <w:pPr>
              <w:pStyle w:val="a3"/>
              <w:jc w:val="center"/>
              <w:rPr>
                <w:lang w:val="pl-PL"/>
              </w:rPr>
            </w:pPr>
            <w:r w:rsidRPr="008F328C">
              <w:rPr>
                <w:rFonts w:eastAsia="Times New Roman"/>
                <w:lang w:val="pl-PL"/>
              </w:rPr>
              <w:t xml:space="preserve">107 </w:t>
            </w:r>
          </w:p>
        </w:tc>
        <w:tc>
          <w:tcPr>
            <w:tcW w:w="2052" w:type="dxa"/>
            <w:tcBorders>
              <w:top w:val="single" w:sz="4" w:space="0" w:color="auto"/>
            </w:tcBorders>
          </w:tcPr>
          <w:p w14:paraId="74DC7864" w14:textId="77777777" w:rsidR="00D22235" w:rsidRPr="008F328C" w:rsidRDefault="00D22235" w:rsidP="00B17C6A">
            <w:pPr>
              <w:pStyle w:val="a3"/>
              <w:jc w:val="center"/>
              <w:rPr>
                <w:lang w:val="pl-PL"/>
              </w:rPr>
            </w:pPr>
            <w:r w:rsidRPr="008F328C">
              <w:rPr>
                <w:rFonts w:eastAsia="Times New Roman"/>
                <w:lang w:val="pl-PL"/>
              </w:rPr>
              <w:t xml:space="preserve">84 (78,5) </w:t>
            </w:r>
          </w:p>
        </w:tc>
        <w:tc>
          <w:tcPr>
            <w:tcW w:w="1130" w:type="dxa"/>
            <w:tcBorders>
              <w:top w:val="single" w:sz="4" w:space="0" w:color="auto"/>
            </w:tcBorders>
          </w:tcPr>
          <w:p w14:paraId="49038B9D" w14:textId="77777777" w:rsidR="00D22235" w:rsidRPr="008F328C" w:rsidRDefault="00D22235" w:rsidP="00B17C6A">
            <w:pPr>
              <w:pStyle w:val="a3"/>
              <w:jc w:val="center"/>
              <w:rPr>
                <w:lang w:val="pl-PL"/>
              </w:rPr>
            </w:pPr>
            <w:r w:rsidRPr="008F328C">
              <w:rPr>
                <w:rFonts w:eastAsia="Times New Roman"/>
                <w:lang w:val="pl-PL"/>
              </w:rPr>
              <w:t xml:space="preserve">3,0 </w:t>
            </w:r>
          </w:p>
        </w:tc>
        <w:tc>
          <w:tcPr>
            <w:tcW w:w="1130" w:type="dxa"/>
            <w:tcBorders>
              <w:top w:val="single" w:sz="4" w:space="0" w:color="auto"/>
            </w:tcBorders>
          </w:tcPr>
          <w:p w14:paraId="280FE678" w14:textId="77777777" w:rsidR="00D22235" w:rsidRPr="008F328C" w:rsidRDefault="00D22235" w:rsidP="00B17C6A">
            <w:pPr>
              <w:pStyle w:val="a3"/>
              <w:jc w:val="center"/>
              <w:rPr>
                <w:lang w:val="pl-PL"/>
              </w:rPr>
            </w:pPr>
            <w:r w:rsidRPr="008F328C">
              <w:rPr>
                <w:lang w:val="pl-PL"/>
              </w:rPr>
              <w:t xml:space="preserve">-- </w:t>
            </w:r>
          </w:p>
        </w:tc>
        <w:tc>
          <w:tcPr>
            <w:tcW w:w="1130" w:type="dxa"/>
            <w:tcBorders>
              <w:top w:val="single" w:sz="4" w:space="0" w:color="auto"/>
            </w:tcBorders>
          </w:tcPr>
          <w:p w14:paraId="05095AAC" w14:textId="77777777" w:rsidR="00D22235" w:rsidRPr="008F328C" w:rsidRDefault="00D22235" w:rsidP="00B17C6A">
            <w:pPr>
              <w:pStyle w:val="a3"/>
              <w:jc w:val="center"/>
              <w:rPr>
                <w:lang w:val="pl-PL"/>
              </w:rPr>
            </w:pPr>
            <w:r w:rsidRPr="008F328C">
              <w:rPr>
                <w:lang w:val="pl-PL"/>
              </w:rPr>
              <w:t xml:space="preserve">-- </w:t>
            </w:r>
          </w:p>
        </w:tc>
        <w:tc>
          <w:tcPr>
            <w:tcW w:w="1130" w:type="dxa"/>
            <w:tcBorders>
              <w:top w:val="single" w:sz="4" w:space="0" w:color="auto"/>
            </w:tcBorders>
          </w:tcPr>
          <w:p w14:paraId="52E81A20" w14:textId="77777777" w:rsidR="00D22235" w:rsidRPr="008F328C" w:rsidRDefault="00D22235" w:rsidP="00B17C6A">
            <w:pPr>
              <w:pStyle w:val="a3"/>
              <w:jc w:val="center"/>
              <w:rPr>
                <w:lang w:val="pl-PL"/>
              </w:rPr>
            </w:pPr>
            <w:r w:rsidRPr="008F328C">
              <w:rPr>
                <w:lang w:val="pl-PL"/>
              </w:rPr>
              <w:t xml:space="preserve">-- </w:t>
            </w:r>
          </w:p>
        </w:tc>
      </w:tr>
      <w:tr w:rsidR="00D22235" w:rsidRPr="008F328C" w14:paraId="601C4888" w14:textId="77777777" w:rsidTr="00B17C6A">
        <w:trPr>
          <w:trHeight w:val="378"/>
          <w:jc w:val="center"/>
        </w:trPr>
        <w:tc>
          <w:tcPr>
            <w:tcW w:w="1624" w:type="dxa"/>
            <w:tcBorders>
              <w:bottom w:val="single" w:sz="4" w:space="0" w:color="auto"/>
            </w:tcBorders>
            <w:vAlign w:val="center"/>
          </w:tcPr>
          <w:p w14:paraId="6BA73D0B" w14:textId="77777777" w:rsidR="00D22235" w:rsidRPr="008F328C" w:rsidRDefault="00D22235" w:rsidP="00B17C6A">
            <w:pPr>
              <w:pStyle w:val="a3"/>
              <w:jc w:val="center"/>
              <w:rPr>
                <w:lang w:val="pl-PL"/>
              </w:rPr>
            </w:pPr>
            <w:r w:rsidRPr="008F328C">
              <w:rPr>
                <w:rFonts w:eastAsia="Times New Roman"/>
                <w:lang w:val="pl-PL"/>
              </w:rPr>
              <w:t>Adalimumab</w:t>
            </w:r>
          </w:p>
        </w:tc>
        <w:tc>
          <w:tcPr>
            <w:tcW w:w="1530" w:type="dxa"/>
            <w:tcBorders>
              <w:bottom w:val="single" w:sz="4" w:space="0" w:color="auto"/>
            </w:tcBorders>
          </w:tcPr>
          <w:p w14:paraId="09DDB726" w14:textId="77777777" w:rsidR="00D22235" w:rsidRPr="008F328C" w:rsidRDefault="00D22235" w:rsidP="00B17C6A">
            <w:pPr>
              <w:pStyle w:val="a3"/>
              <w:jc w:val="center"/>
              <w:rPr>
                <w:lang w:val="pl-PL"/>
              </w:rPr>
            </w:pPr>
            <w:r w:rsidRPr="008F328C">
              <w:rPr>
                <w:rFonts w:eastAsia="Times New Roman"/>
                <w:lang w:val="pl-PL"/>
              </w:rPr>
              <w:t xml:space="preserve">110 </w:t>
            </w:r>
          </w:p>
        </w:tc>
        <w:tc>
          <w:tcPr>
            <w:tcW w:w="2052" w:type="dxa"/>
            <w:tcBorders>
              <w:bottom w:val="single" w:sz="4" w:space="0" w:color="auto"/>
            </w:tcBorders>
          </w:tcPr>
          <w:p w14:paraId="19C7F2DE" w14:textId="77777777" w:rsidR="00D22235" w:rsidRPr="008F328C" w:rsidRDefault="00D22235" w:rsidP="00B17C6A">
            <w:pPr>
              <w:pStyle w:val="a3"/>
              <w:jc w:val="center"/>
              <w:rPr>
                <w:lang w:val="pl-PL"/>
              </w:rPr>
            </w:pPr>
            <w:r w:rsidRPr="008F328C">
              <w:rPr>
                <w:rFonts w:eastAsia="Times New Roman"/>
                <w:lang w:val="pl-PL"/>
              </w:rPr>
              <w:t xml:space="preserve">60 (54,5) </w:t>
            </w:r>
          </w:p>
        </w:tc>
        <w:tc>
          <w:tcPr>
            <w:tcW w:w="1130" w:type="dxa"/>
            <w:tcBorders>
              <w:bottom w:val="single" w:sz="4" w:space="0" w:color="auto"/>
            </w:tcBorders>
          </w:tcPr>
          <w:p w14:paraId="26BCDBC2" w14:textId="77777777" w:rsidR="00D22235" w:rsidRPr="008F328C" w:rsidRDefault="00D22235" w:rsidP="00B17C6A">
            <w:pPr>
              <w:pStyle w:val="a3"/>
              <w:jc w:val="center"/>
              <w:rPr>
                <w:lang w:val="pl-PL"/>
              </w:rPr>
            </w:pPr>
            <w:r w:rsidRPr="008F328C">
              <w:rPr>
                <w:rFonts w:eastAsia="Times New Roman"/>
                <w:lang w:val="pl-PL"/>
              </w:rPr>
              <w:t xml:space="preserve">5,6 </w:t>
            </w:r>
          </w:p>
        </w:tc>
        <w:tc>
          <w:tcPr>
            <w:tcW w:w="1130" w:type="dxa"/>
            <w:tcBorders>
              <w:bottom w:val="single" w:sz="4" w:space="0" w:color="auto"/>
            </w:tcBorders>
          </w:tcPr>
          <w:p w14:paraId="3647624A" w14:textId="77777777" w:rsidR="00D22235" w:rsidRPr="008F328C" w:rsidRDefault="00D22235" w:rsidP="00B17C6A">
            <w:pPr>
              <w:pStyle w:val="a3"/>
              <w:jc w:val="center"/>
              <w:rPr>
                <w:lang w:val="pl-PL"/>
              </w:rPr>
            </w:pPr>
            <w:r w:rsidRPr="008F328C">
              <w:rPr>
                <w:rFonts w:eastAsia="Times New Roman"/>
                <w:lang w:val="pl-PL"/>
              </w:rPr>
              <w:t xml:space="preserve">0,50 </w:t>
            </w:r>
          </w:p>
        </w:tc>
        <w:tc>
          <w:tcPr>
            <w:tcW w:w="1130" w:type="dxa"/>
            <w:tcBorders>
              <w:bottom w:val="single" w:sz="4" w:space="0" w:color="auto"/>
            </w:tcBorders>
          </w:tcPr>
          <w:p w14:paraId="6B928F4A" w14:textId="77777777" w:rsidR="00D22235" w:rsidRPr="008F328C" w:rsidRDefault="00D22235" w:rsidP="00B17C6A">
            <w:pPr>
              <w:pStyle w:val="a3"/>
              <w:jc w:val="center"/>
              <w:rPr>
                <w:lang w:val="pl-PL"/>
              </w:rPr>
            </w:pPr>
            <w:r w:rsidRPr="008F328C">
              <w:rPr>
                <w:rFonts w:eastAsia="Times New Roman"/>
                <w:lang w:val="pl-PL"/>
              </w:rPr>
              <w:t xml:space="preserve">0,36, 0,70 </w:t>
            </w:r>
          </w:p>
        </w:tc>
        <w:tc>
          <w:tcPr>
            <w:tcW w:w="1130" w:type="dxa"/>
            <w:tcBorders>
              <w:bottom w:val="single" w:sz="4" w:space="0" w:color="auto"/>
            </w:tcBorders>
          </w:tcPr>
          <w:p w14:paraId="709004FD" w14:textId="77777777" w:rsidR="00D22235" w:rsidRPr="008F328C" w:rsidRDefault="00D22235" w:rsidP="00B17C6A">
            <w:pPr>
              <w:pStyle w:val="a3"/>
              <w:jc w:val="center"/>
              <w:rPr>
                <w:lang w:val="pl-PL"/>
              </w:rPr>
            </w:pPr>
            <w:r w:rsidRPr="008F328C">
              <w:rPr>
                <w:rFonts w:eastAsia="Times New Roman"/>
                <w:lang w:val="pl-PL"/>
              </w:rPr>
              <w:t xml:space="preserve">&lt;0,001 </w:t>
            </w:r>
          </w:p>
        </w:tc>
      </w:tr>
      <w:tr w:rsidR="00D22235" w:rsidRPr="008F328C" w14:paraId="0694E9AA" w14:textId="77777777" w:rsidTr="00B17C6A">
        <w:trPr>
          <w:trHeight w:val="378"/>
          <w:jc w:val="center"/>
        </w:trPr>
        <w:tc>
          <w:tcPr>
            <w:tcW w:w="9729" w:type="dxa"/>
            <w:gridSpan w:val="7"/>
            <w:tcBorders>
              <w:top w:val="single" w:sz="4" w:space="0" w:color="auto"/>
              <w:bottom w:val="single" w:sz="4" w:space="0" w:color="auto"/>
            </w:tcBorders>
            <w:vAlign w:val="center"/>
          </w:tcPr>
          <w:p w14:paraId="38177587" w14:textId="77777777" w:rsidR="00D22235" w:rsidRPr="008F328C" w:rsidRDefault="00D22235" w:rsidP="00B17C6A">
            <w:pPr>
              <w:pStyle w:val="a3"/>
              <w:jc w:val="both"/>
              <w:rPr>
                <w:b/>
                <w:lang w:val="pl-PL"/>
              </w:rPr>
            </w:pPr>
            <w:r w:rsidRPr="008F328C">
              <w:rPr>
                <w:rFonts w:eastAsia="Times New Roman"/>
                <w:b/>
                <w:bCs/>
                <w:lang w:val="pl-PL"/>
              </w:rPr>
              <w:t>Czas do niepowodzenia leczenia w 2. tygodniu lub po 2. tygodniu w badaniu UV II</w:t>
            </w:r>
          </w:p>
          <w:p w14:paraId="77049A00" w14:textId="77777777" w:rsidR="00D22235" w:rsidRPr="008F328C" w:rsidRDefault="00D22235" w:rsidP="00B17C6A">
            <w:pPr>
              <w:pStyle w:val="a3"/>
              <w:jc w:val="both"/>
              <w:rPr>
                <w:lang w:val="pl-PL"/>
              </w:rPr>
            </w:pPr>
            <w:r w:rsidRPr="008F328C">
              <w:rPr>
                <w:rFonts w:eastAsia="Times New Roman"/>
                <w:b/>
                <w:bCs/>
                <w:lang w:val="pl-PL"/>
              </w:rPr>
              <w:t>Pierwotna analiza (ITT)</w:t>
            </w:r>
          </w:p>
        </w:tc>
      </w:tr>
      <w:tr w:rsidR="00D22235" w:rsidRPr="008F328C" w14:paraId="2FD84F19" w14:textId="77777777" w:rsidTr="00B17C6A">
        <w:trPr>
          <w:trHeight w:val="369"/>
          <w:jc w:val="center"/>
        </w:trPr>
        <w:tc>
          <w:tcPr>
            <w:tcW w:w="1624" w:type="dxa"/>
            <w:tcBorders>
              <w:top w:val="single" w:sz="4" w:space="0" w:color="auto"/>
            </w:tcBorders>
          </w:tcPr>
          <w:p w14:paraId="19D4D562" w14:textId="77777777" w:rsidR="00D22235" w:rsidRPr="008F328C" w:rsidRDefault="00D22235" w:rsidP="00B17C6A">
            <w:pPr>
              <w:pStyle w:val="a3"/>
              <w:jc w:val="center"/>
              <w:rPr>
                <w:lang w:val="pl-PL"/>
              </w:rPr>
            </w:pPr>
            <w:r w:rsidRPr="008F328C">
              <w:rPr>
                <w:rFonts w:eastAsia="Times New Roman"/>
                <w:lang w:val="pl-PL"/>
              </w:rPr>
              <w:t xml:space="preserve">Placebo </w:t>
            </w:r>
          </w:p>
        </w:tc>
        <w:tc>
          <w:tcPr>
            <w:tcW w:w="1530" w:type="dxa"/>
            <w:tcBorders>
              <w:top w:val="single" w:sz="4" w:space="0" w:color="auto"/>
            </w:tcBorders>
          </w:tcPr>
          <w:p w14:paraId="150AD40A" w14:textId="77777777" w:rsidR="00D22235" w:rsidRPr="008F328C" w:rsidRDefault="00D22235" w:rsidP="00B17C6A">
            <w:pPr>
              <w:pStyle w:val="a3"/>
              <w:jc w:val="center"/>
              <w:rPr>
                <w:lang w:val="pl-PL"/>
              </w:rPr>
            </w:pPr>
            <w:r w:rsidRPr="008F328C">
              <w:rPr>
                <w:rFonts w:eastAsia="Times New Roman"/>
                <w:lang w:val="pl-PL"/>
              </w:rPr>
              <w:t xml:space="preserve">111 </w:t>
            </w:r>
          </w:p>
        </w:tc>
        <w:tc>
          <w:tcPr>
            <w:tcW w:w="2052" w:type="dxa"/>
            <w:tcBorders>
              <w:top w:val="single" w:sz="4" w:space="0" w:color="auto"/>
            </w:tcBorders>
          </w:tcPr>
          <w:p w14:paraId="5B754964" w14:textId="77777777" w:rsidR="00D22235" w:rsidRPr="008F328C" w:rsidRDefault="00D22235" w:rsidP="00B17C6A">
            <w:pPr>
              <w:pStyle w:val="a3"/>
              <w:jc w:val="center"/>
              <w:rPr>
                <w:lang w:val="pl-PL"/>
              </w:rPr>
            </w:pPr>
            <w:r w:rsidRPr="008F328C">
              <w:rPr>
                <w:rFonts w:eastAsia="Times New Roman"/>
                <w:lang w:val="pl-PL"/>
              </w:rPr>
              <w:t xml:space="preserve">61 (55,0) </w:t>
            </w:r>
          </w:p>
        </w:tc>
        <w:tc>
          <w:tcPr>
            <w:tcW w:w="1130" w:type="dxa"/>
            <w:tcBorders>
              <w:top w:val="single" w:sz="4" w:space="0" w:color="auto"/>
            </w:tcBorders>
          </w:tcPr>
          <w:p w14:paraId="3D8D5F4A" w14:textId="77777777" w:rsidR="00D22235" w:rsidRPr="008F328C" w:rsidRDefault="00D22235" w:rsidP="00B17C6A">
            <w:pPr>
              <w:pStyle w:val="a3"/>
              <w:jc w:val="center"/>
              <w:rPr>
                <w:lang w:val="pl-PL"/>
              </w:rPr>
            </w:pPr>
            <w:r w:rsidRPr="008F328C">
              <w:rPr>
                <w:rFonts w:eastAsia="Times New Roman"/>
                <w:lang w:val="pl-PL"/>
              </w:rPr>
              <w:t xml:space="preserve">8,3 </w:t>
            </w:r>
          </w:p>
        </w:tc>
        <w:tc>
          <w:tcPr>
            <w:tcW w:w="1130" w:type="dxa"/>
            <w:tcBorders>
              <w:top w:val="single" w:sz="4" w:space="0" w:color="auto"/>
            </w:tcBorders>
          </w:tcPr>
          <w:p w14:paraId="738D6B2D" w14:textId="77777777" w:rsidR="00D22235" w:rsidRPr="008F328C" w:rsidRDefault="00D22235" w:rsidP="00B17C6A">
            <w:pPr>
              <w:pStyle w:val="a3"/>
              <w:jc w:val="center"/>
              <w:rPr>
                <w:lang w:val="pl-PL"/>
              </w:rPr>
            </w:pPr>
            <w:r w:rsidRPr="008F328C">
              <w:rPr>
                <w:lang w:val="pl-PL"/>
              </w:rPr>
              <w:t xml:space="preserve">-- </w:t>
            </w:r>
          </w:p>
        </w:tc>
        <w:tc>
          <w:tcPr>
            <w:tcW w:w="1130" w:type="dxa"/>
            <w:tcBorders>
              <w:top w:val="single" w:sz="4" w:space="0" w:color="auto"/>
            </w:tcBorders>
          </w:tcPr>
          <w:p w14:paraId="1355A0A0" w14:textId="77777777" w:rsidR="00D22235" w:rsidRPr="008F328C" w:rsidRDefault="00D22235" w:rsidP="00B17C6A">
            <w:pPr>
              <w:pStyle w:val="a3"/>
              <w:jc w:val="center"/>
              <w:rPr>
                <w:lang w:val="pl-PL"/>
              </w:rPr>
            </w:pPr>
            <w:r w:rsidRPr="008F328C">
              <w:rPr>
                <w:lang w:val="pl-PL"/>
              </w:rPr>
              <w:t xml:space="preserve">-- </w:t>
            </w:r>
          </w:p>
        </w:tc>
        <w:tc>
          <w:tcPr>
            <w:tcW w:w="1130" w:type="dxa"/>
            <w:tcBorders>
              <w:top w:val="single" w:sz="4" w:space="0" w:color="auto"/>
            </w:tcBorders>
          </w:tcPr>
          <w:p w14:paraId="56FFD697" w14:textId="77777777" w:rsidR="00D22235" w:rsidRPr="008F328C" w:rsidRDefault="00D22235" w:rsidP="00B17C6A">
            <w:pPr>
              <w:pStyle w:val="a3"/>
              <w:jc w:val="center"/>
              <w:rPr>
                <w:lang w:val="pl-PL"/>
              </w:rPr>
            </w:pPr>
            <w:r w:rsidRPr="008F328C">
              <w:rPr>
                <w:lang w:val="pl-PL"/>
              </w:rPr>
              <w:t xml:space="preserve">-- </w:t>
            </w:r>
          </w:p>
        </w:tc>
      </w:tr>
      <w:tr w:rsidR="00D22235" w:rsidRPr="008F328C" w14:paraId="2D3F01EC" w14:textId="77777777" w:rsidTr="00B17C6A">
        <w:trPr>
          <w:trHeight w:val="227"/>
          <w:jc w:val="center"/>
        </w:trPr>
        <w:tc>
          <w:tcPr>
            <w:tcW w:w="1624" w:type="dxa"/>
            <w:tcBorders>
              <w:bottom w:val="single" w:sz="4" w:space="0" w:color="auto"/>
            </w:tcBorders>
          </w:tcPr>
          <w:p w14:paraId="185F4FAC" w14:textId="77777777" w:rsidR="00D22235" w:rsidRPr="008F328C" w:rsidRDefault="00D22235" w:rsidP="00B17C6A">
            <w:pPr>
              <w:pStyle w:val="a3"/>
              <w:jc w:val="center"/>
              <w:rPr>
                <w:lang w:val="pl-PL"/>
              </w:rPr>
            </w:pPr>
            <w:r w:rsidRPr="008F328C">
              <w:rPr>
                <w:rFonts w:eastAsia="Times New Roman"/>
                <w:lang w:val="pl-PL"/>
              </w:rPr>
              <w:t xml:space="preserve">Adalimumab </w:t>
            </w:r>
          </w:p>
        </w:tc>
        <w:tc>
          <w:tcPr>
            <w:tcW w:w="1530" w:type="dxa"/>
            <w:tcBorders>
              <w:bottom w:val="single" w:sz="4" w:space="0" w:color="auto"/>
            </w:tcBorders>
          </w:tcPr>
          <w:p w14:paraId="1B8027F1" w14:textId="77777777" w:rsidR="00D22235" w:rsidRPr="008F328C" w:rsidRDefault="00D22235" w:rsidP="00B17C6A">
            <w:pPr>
              <w:pStyle w:val="a3"/>
              <w:jc w:val="center"/>
              <w:rPr>
                <w:lang w:val="pl-PL"/>
              </w:rPr>
            </w:pPr>
            <w:r w:rsidRPr="008F328C">
              <w:rPr>
                <w:rFonts w:eastAsia="Times New Roman"/>
                <w:lang w:val="pl-PL"/>
              </w:rPr>
              <w:t xml:space="preserve">115 </w:t>
            </w:r>
          </w:p>
        </w:tc>
        <w:tc>
          <w:tcPr>
            <w:tcW w:w="2052" w:type="dxa"/>
            <w:tcBorders>
              <w:bottom w:val="single" w:sz="4" w:space="0" w:color="auto"/>
            </w:tcBorders>
          </w:tcPr>
          <w:p w14:paraId="1E8913B5" w14:textId="77777777" w:rsidR="00D22235" w:rsidRPr="008F328C" w:rsidRDefault="00D22235" w:rsidP="00B17C6A">
            <w:pPr>
              <w:pStyle w:val="a3"/>
              <w:jc w:val="center"/>
              <w:rPr>
                <w:lang w:val="pl-PL"/>
              </w:rPr>
            </w:pPr>
            <w:r w:rsidRPr="008F328C">
              <w:rPr>
                <w:rFonts w:eastAsia="Times New Roman"/>
                <w:lang w:val="pl-PL"/>
              </w:rPr>
              <w:t xml:space="preserve">45 (39,1) </w:t>
            </w:r>
          </w:p>
        </w:tc>
        <w:tc>
          <w:tcPr>
            <w:tcW w:w="1130" w:type="dxa"/>
            <w:tcBorders>
              <w:bottom w:val="single" w:sz="4" w:space="0" w:color="auto"/>
            </w:tcBorders>
          </w:tcPr>
          <w:p w14:paraId="0BC5C15A" w14:textId="77777777" w:rsidR="00D22235" w:rsidRPr="008F328C" w:rsidRDefault="00D22235" w:rsidP="00B17C6A">
            <w:pPr>
              <w:pStyle w:val="a3"/>
              <w:jc w:val="center"/>
              <w:rPr>
                <w:lang w:val="pl-PL"/>
              </w:rPr>
            </w:pPr>
            <w:r w:rsidRPr="008F328C">
              <w:rPr>
                <w:rFonts w:eastAsia="Times New Roman"/>
                <w:lang w:val="pl-PL"/>
              </w:rPr>
              <w:t>NE</w:t>
            </w:r>
            <w:r w:rsidRPr="008F328C">
              <w:rPr>
                <w:rFonts w:eastAsia="Times New Roman"/>
                <w:vertAlign w:val="superscript"/>
                <w:lang w:val="pl-PL"/>
              </w:rPr>
              <w:t>c</w:t>
            </w:r>
            <w:r w:rsidRPr="008F328C">
              <w:rPr>
                <w:rFonts w:eastAsia="Times New Roman"/>
                <w:lang w:val="pl-PL"/>
              </w:rPr>
              <w:t xml:space="preserve"> </w:t>
            </w:r>
          </w:p>
        </w:tc>
        <w:tc>
          <w:tcPr>
            <w:tcW w:w="1130" w:type="dxa"/>
            <w:tcBorders>
              <w:bottom w:val="single" w:sz="4" w:space="0" w:color="auto"/>
            </w:tcBorders>
          </w:tcPr>
          <w:p w14:paraId="3C974ED2" w14:textId="77777777" w:rsidR="00D22235" w:rsidRPr="008F328C" w:rsidRDefault="00D22235" w:rsidP="00B17C6A">
            <w:pPr>
              <w:pStyle w:val="a3"/>
              <w:jc w:val="center"/>
              <w:rPr>
                <w:lang w:val="pl-PL"/>
              </w:rPr>
            </w:pPr>
            <w:r w:rsidRPr="008F328C">
              <w:rPr>
                <w:rFonts w:eastAsia="Times New Roman"/>
                <w:lang w:val="pl-PL"/>
              </w:rPr>
              <w:t xml:space="preserve">0,57 </w:t>
            </w:r>
          </w:p>
        </w:tc>
        <w:tc>
          <w:tcPr>
            <w:tcW w:w="1130" w:type="dxa"/>
            <w:tcBorders>
              <w:bottom w:val="single" w:sz="4" w:space="0" w:color="auto"/>
            </w:tcBorders>
          </w:tcPr>
          <w:p w14:paraId="13B79FD0" w14:textId="77777777" w:rsidR="00D22235" w:rsidRPr="008F328C" w:rsidRDefault="00D22235" w:rsidP="00B17C6A">
            <w:pPr>
              <w:pStyle w:val="a3"/>
              <w:jc w:val="center"/>
              <w:rPr>
                <w:lang w:val="pl-PL"/>
              </w:rPr>
            </w:pPr>
            <w:r w:rsidRPr="008F328C">
              <w:rPr>
                <w:rFonts w:eastAsia="Times New Roman"/>
                <w:lang w:val="pl-PL"/>
              </w:rPr>
              <w:t xml:space="preserve">0,39, 0,84 </w:t>
            </w:r>
          </w:p>
        </w:tc>
        <w:tc>
          <w:tcPr>
            <w:tcW w:w="1130" w:type="dxa"/>
            <w:tcBorders>
              <w:bottom w:val="single" w:sz="4" w:space="0" w:color="auto"/>
            </w:tcBorders>
          </w:tcPr>
          <w:p w14:paraId="067ABA05" w14:textId="77777777" w:rsidR="00D22235" w:rsidRPr="008F328C" w:rsidRDefault="00D22235" w:rsidP="00B17C6A">
            <w:pPr>
              <w:pStyle w:val="a3"/>
              <w:jc w:val="center"/>
              <w:rPr>
                <w:lang w:val="pl-PL"/>
              </w:rPr>
            </w:pPr>
            <w:r w:rsidRPr="008F328C">
              <w:rPr>
                <w:rFonts w:eastAsia="Times New Roman"/>
                <w:lang w:val="pl-PL"/>
              </w:rPr>
              <w:t xml:space="preserve">0,004 </w:t>
            </w:r>
          </w:p>
        </w:tc>
      </w:tr>
    </w:tbl>
    <w:p w14:paraId="653985BC" w14:textId="77777777" w:rsidR="00D22235" w:rsidRPr="008F328C" w:rsidRDefault="00D22235" w:rsidP="00D22235">
      <w:pPr>
        <w:pStyle w:val="a3"/>
        <w:rPr>
          <w:lang w:val="pl-PL"/>
        </w:rPr>
      </w:pPr>
      <w:r w:rsidRPr="008F328C">
        <w:rPr>
          <w:rFonts w:eastAsia="Times New Roman"/>
          <w:lang w:val="pl-PL"/>
        </w:rPr>
        <w:t>Uwaga: Niepowodzenie leczenia w 6. tygodniu lub po 6. tygodniu (badanie UV I) lub w 2. tygodniu lub po 2. tygodniu (badanie UV II) liczono jako zdarzenie. Odnośnie pacjentów wycofanych z badania z innych przyczyn niż niepowodzenie leczenia dokonywano cenzurowania (obserwacja ucięta) w czasie wycofania z badania.</w:t>
      </w:r>
    </w:p>
    <w:p w14:paraId="6ACC76AE" w14:textId="77777777" w:rsidR="00D22235" w:rsidRPr="008F328C" w:rsidRDefault="00D22235" w:rsidP="00D22235">
      <w:pPr>
        <w:pStyle w:val="a3"/>
        <w:numPr>
          <w:ilvl w:val="0"/>
          <w:numId w:val="130"/>
        </w:numPr>
        <w:rPr>
          <w:lang w:val="pl-PL"/>
        </w:rPr>
      </w:pPr>
      <w:r w:rsidRPr="008F328C">
        <w:rPr>
          <w:rFonts w:eastAsia="Times New Roman"/>
          <w:lang w:val="pl-PL"/>
        </w:rPr>
        <w:t>HR - współczynnik ryzyka (ang. hazard ratio, HR) adalimumabu vs placebo na podstawie regresji proporcjonalnego ryzyka z leczeniem jako czynnikiem.</w:t>
      </w:r>
    </w:p>
    <w:p w14:paraId="40F1D4F1" w14:textId="77777777" w:rsidR="00D22235" w:rsidRPr="008F328C" w:rsidRDefault="00D22235" w:rsidP="00D22235">
      <w:pPr>
        <w:pStyle w:val="a3"/>
        <w:numPr>
          <w:ilvl w:val="0"/>
          <w:numId w:val="130"/>
        </w:numPr>
        <w:rPr>
          <w:lang w:val="pl-PL"/>
        </w:rPr>
      </w:pPr>
      <w:r w:rsidRPr="008F328C">
        <w:rPr>
          <w:rFonts w:eastAsia="Times New Roman"/>
          <w:i/>
          <w:iCs/>
          <w:lang w:val="pl-PL"/>
        </w:rPr>
        <w:t>P</w:t>
      </w:r>
      <w:r w:rsidRPr="008F328C">
        <w:rPr>
          <w:rFonts w:eastAsia="Times New Roman"/>
          <w:lang w:val="pl-PL"/>
        </w:rPr>
        <w:t xml:space="preserve"> - wartość dla hipotezy dwustronnej na podstawie testu log-rank.</w:t>
      </w:r>
    </w:p>
    <w:p w14:paraId="1882F267" w14:textId="77777777" w:rsidR="00D22235" w:rsidRPr="008F328C" w:rsidRDefault="00D22235" w:rsidP="00D22235">
      <w:pPr>
        <w:pStyle w:val="a3"/>
        <w:numPr>
          <w:ilvl w:val="0"/>
          <w:numId w:val="130"/>
        </w:numPr>
        <w:rPr>
          <w:lang w:val="pl-PL"/>
        </w:rPr>
      </w:pPr>
      <w:r w:rsidRPr="008F328C">
        <w:rPr>
          <w:rFonts w:eastAsia="Times New Roman"/>
          <w:lang w:val="pl-PL"/>
        </w:rPr>
        <w:t>NE = nieoznaczalne (ang. not estimable). Zdarzenie wystąpiło u mniej niż połowy zagrożonych uczestników badania.</w:t>
      </w:r>
    </w:p>
    <w:p w14:paraId="729A0C84" w14:textId="77777777" w:rsidR="00D22235" w:rsidRPr="008F328C" w:rsidRDefault="00D22235" w:rsidP="00D22235">
      <w:pPr>
        <w:pStyle w:val="a3"/>
        <w:rPr>
          <w:lang w:val="pl-PL"/>
        </w:rPr>
      </w:pPr>
    </w:p>
    <w:p w14:paraId="04E2B203" w14:textId="77777777" w:rsidR="00114A52" w:rsidRDefault="00114A52">
      <w:pPr>
        <w:rPr>
          <w:rFonts w:ascii="Times New Roman" w:hAnsi="Times New Roman" w:cs="Times New Roman"/>
          <w:b/>
          <w:lang w:val="pl-PL"/>
        </w:rPr>
      </w:pPr>
      <w:r>
        <w:rPr>
          <w:rFonts w:ascii="Times New Roman" w:hAnsi="Times New Roman" w:cs="Times New Roman"/>
          <w:b/>
          <w:lang w:val="pl-PL"/>
        </w:rPr>
        <w:br w:type="page"/>
      </w:r>
    </w:p>
    <w:p w14:paraId="1ADF1F83" w14:textId="7B79A603" w:rsidR="00D22235" w:rsidRPr="008F328C" w:rsidRDefault="00D22235" w:rsidP="00D22235">
      <w:pPr>
        <w:jc w:val="center"/>
        <w:rPr>
          <w:rFonts w:ascii="Times New Roman" w:hAnsi="Times New Roman" w:cs="Times New Roman"/>
          <w:b/>
          <w:lang w:val="pl-PL"/>
        </w:rPr>
      </w:pPr>
      <w:r w:rsidRPr="008F328C">
        <w:rPr>
          <w:rFonts w:ascii="Times New Roman" w:hAnsi="Times New Roman" w:cs="Times New Roman"/>
          <w:b/>
          <w:lang w:val="pl-PL"/>
        </w:rPr>
        <w:lastRenderedPageBreak/>
        <w:t>Rycina 1. Krzywe Kaplana-Meiera przedstawiające czas do niepowodzenia leczenia w 6. lub po 6. tygodniu (badanie UV I) oraz w 2. lub po 2. tygodniu (badanie UV II)</w:t>
      </w:r>
    </w:p>
    <w:p w14:paraId="7CC8AC4B" w14:textId="77777777" w:rsidR="00D22235" w:rsidRPr="008F328C" w:rsidRDefault="00D22235" w:rsidP="00D22235">
      <w:pPr>
        <w:keepNext/>
        <w:jc w:val="cente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D22235" w:rsidRPr="008F328C" w14:paraId="196512AF" w14:textId="77777777" w:rsidTr="00B17C6A">
        <w:trPr>
          <w:cantSplit/>
          <w:trHeight w:val="1134"/>
        </w:trPr>
        <w:tc>
          <w:tcPr>
            <w:tcW w:w="861" w:type="dxa"/>
            <w:textDirection w:val="btLr"/>
          </w:tcPr>
          <w:p w14:paraId="3986B2EE" w14:textId="77777777" w:rsidR="00D22235" w:rsidRPr="008F328C" w:rsidRDefault="00D22235" w:rsidP="00B17C6A">
            <w:pPr>
              <w:ind w:left="113" w:right="113"/>
              <w:jc w:val="center"/>
              <w:rPr>
                <w:rFonts w:ascii="Times New Roman" w:hAnsi="Times New Roman" w:cs="Times New Roman"/>
                <w:b/>
                <w:lang w:val="pl-PL"/>
              </w:rPr>
            </w:pPr>
            <w:r w:rsidRPr="008F328C">
              <w:rPr>
                <w:rFonts w:ascii="Times New Roman" w:hAnsi="Times New Roman" w:cs="Times New Roman"/>
                <w:b/>
                <w:lang w:val="pl-PL"/>
              </w:rPr>
              <w:t>ODSETEK NIEPOWODZENIA LECZENIA (%)</w:t>
            </w:r>
          </w:p>
        </w:tc>
        <w:tc>
          <w:tcPr>
            <w:tcW w:w="8425" w:type="dxa"/>
            <w:gridSpan w:val="6"/>
          </w:tcPr>
          <w:p w14:paraId="7F8B2DB2" w14:textId="77777777" w:rsidR="00D22235" w:rsidRPr="008F328C" w:rsidRDefault="00D22235" w:rsidP="00B17C6A">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49BB6FA7" wp14:editId="325ED762">
                  <wp:extent cx="5173980" cy="2292824"/>
                  <wp:effectExtent l="0" t="0" r="7620" b="0"/>
                  <wp:docPr id="1064" name="Obraz 34"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79343" name="Picture 34" descr="Humira Uveitis Figure 5_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207583" cy="2307715"/>
                          </a:xfrm>
                          <a:prstGeom prst="rect">
                            <a:avLst/>
                          </a:prstGeom>
                          <a:noFill/>
                          <a:ln>
                            <a:noFill/>
                          </a:ln>
                        </pic:spPr>
                      </pic:pic>
                    </a:graphicData>
                  </a:graphic>
                </wp:inline>
              </w:drawing>
            </w:r>
          </w:p>
        </w:tc>
      </w:tr>
      <w:tr w:rsidR="00D22235" w:rsidRPr="008F328C" w14:paraId="103C2F65" w14:textId="77777777" w:rsidTr="00B17C6A">
        <w:tc>
          <w:tcPr>
            <w:tcW w:w="861" w:type="dxa"/>
          </w:tcPr>
          <w:p w14:paraId="558A715B" w14:textId="77777777" w:rsidR="00D22235" w:rsidRPr="008F328C" w:rsidRDefault="00D22235" w:rsidP="00B17C6A">
            <w:pPr>
              <w:jc w:val="center"/>
              <w:rPr>
                <w:rFonts w:ascii="Times New Roman" w:hAnsi="Times New Roman" w:cs="Times New Roman"/>
                <w:b/>
                <w:lang w:val="pl-PL"/>
              </w:rPr>
            </w:pPr>
          </w:p>
        </w:tc>
        <w:tc>
          <w:tcPr>
            <w:tcW w:w="8425" w:type="dxa"/>
            <w:gridSpan w:val="6"/>
          </w:tcPr>
          <w:p w14:paraId="3B2B8939" w14:textId="77777777" w:rsidR="00D22235" w:rsidRPr="008F328C" w:rsidRDefault="00D22235" w:rsidP="00B17C6A">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D22235" w:rsidRPr="008F328C" w14:paraId="07E7ED04" w14:textId="77777777" w:rsidTr="00B17C6A">
        <w:tc>
          <w:tcPr>
            <w:tcW w:w="861" w:type="dxa"/>
            <w:vAlign w:val="center"/>
          </w:tcPr>
          <w:p w14:paraId="6FF2E771" w14:textId="77777777" w:rsidR="00D22235" w:rsidRPr="008F328C" w:rsidRDefault="00D22235" w:rsidP="00B17C6A">
            <w:pPr>
              <w:rPr>
                <w:rFonts w:ascii="Times New Roman" w:hAnsi="Times New Roman" w:cs="Times New Roman"/>
                <w:b/>
                <w:lang w:val="pl-PL"/>
              </w:rPr>
            </w:pPr>
          </w:p>
        </w:tc>
        <w:tc>
          <w:tcPr>
            <w:tcW w:w="1917" w:type="dxa"/>
            <w:vAlign w:val="center"/>
          </w:tcPr>
          <w:p w14:paraId="54A5CB44"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Badanie UV I</w:t>
            </w:r>
          </w:p>
        </w:tc>
        <w:tc>
          <w:tcPr>
            <w:tcW w:w="1991" w:type="dxa"/>
            <w:vAlign w:val="center"/>
          </w:tcPr>
          <w:p w14:paraId="7773DB39"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32AE0CA6"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3017132E" wp14:editId="00479E49">
                  <wp:extent cx="400050" cy="180975"/>
                  <wp:effectExtent l="0" t="0" r="0" b="9525"/>
                  <wp:docPr id="1065" name="Obraz 3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98076" name="Picture 35"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5A28085B"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4CD572E9"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56901070" wp14:editId="6FD3822F">
                  <wp:extent cx="561975" cy="180975"/>
                  <wp:effectExtent l="0" t="0" r="9525" b="9525"/>
                  <wp:docPr id="1066" name="Obraz 3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60587" name="Picture 36"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33A6250B"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Adalimumab</w:t>
            </w:r>
          </w:p>
        </w:tc>
      </w:tr>
    </w:tbl>
    <w:p w14:paraId="677C7A02" w14:textId="77777777" w:rsidR="00D22235" w:rsidRPr="008F328C" w:rsidRDefault="00D22235" w:rsidP="00D22235">
      <w:pP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D22235" w:rsidRPr="008F328C" w14:paraId="2A4B1F97" w14:textId="77777777" w:rsidTr="00B17C6A">
        <w:trPr>
          <w:cantSplit/>
          <w:trHeight w:val="1134"/>
        </w:trPr>
        <w:tc>
          <w:tcPr>
            <w:tcW w:w="861" w:type="dxa"/>
            <w:textDirection w:val="btLr"/>
          </w:tcPr>
          <w:p w14:paraId="2D618A7A" w14:textId="77777777" w:rsidR="00D22235" w:rsidRPr="008F328C" w:rsidRDefault="00D22235" w:rsidP="00B17C6A">
            <w:pPr>
              <w:ind w:left="113" w:right="113"/>
              <w:jc w:val="center"/>
              <w:rPr>
                <w:rFonts w:ascii="Times New Roman" w:hAnsi="Times New Roman" w:cs="Times New Roman"/>
                <w:b/>
                <w:lang w:val="pl-PL"/>
              </w:rPr>
            </w:pPr>
            <w:r w:rsidRPr="008F328C">
              <w:rPr>
                <w:rFonts w:ascii="Times New Roman" w:hAnsi="Times New Roman" w:cs="Times New Roman"/>
                <w:b/>
                <w:lang w:val="pl-PL"/>
              </w:rPr>
              <w:t>ODSETEK NIEPOWODZENIA LECZENIA (%)</w:t>
            </w:r>
          </w:p>
        </w:tc>
        <w:tc>
          <w:tcPr>
            <w:tcW w:w="8425" w:type="dxa"/>
            <w:gridSpan w:val="6"/>
          </w:tcPr>
          <w:p w14:paraId="120A2571" w14:textId="77777777" w:rsidR="00D22235" w:rsidRPr="008F328C" w:rsidRDefault="00D22235" w:rsidP="00B17C6A">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20364A13" wp14:editId="5A4C49F7">
                  <wp:extent cx="5210175" cy="2276475"/>
                  <wp:effectExtent l="0" t="0" r="9525" b="9525"/>
                  <wp:docPr id="1067" name="Obraz 37"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7931" name="Picture 37"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210175" cy="2276475"/>
                          </a:xfrm>
                          <a:prstGeom prst="rect">
                            <a:avLst/>
                          </a:prstGeom>
                          <a:noFill/>
                          <a:ln>
                            <a:noFill/>
                          </a:ln>
                        </pic:spPr>
                      </pic:pic>
                    </a:graphicData>
                  </a:graphic>
                </wp:inline>
              </w:drawing>
            </w:r>
          </w:p>
        </w:tc>
      </w:tr>
      <w:tr w:rsidR="00D22235" w:rsidRPr="008F328C" w14:paraId="502985E2" w14:textId="77777777" w:rsidTr="00B17C6A">
        <w:trPr>
          <w:trHeight w:val="166"/>
        </w:trPr>
        <w:tc>
          <w:tcPr>
            <w:tcW w:w="861" w:type="dxa"/>
          </w:tcPr>
          <w:p w14:paraId="1F07BEE5" w14:textId="77777777" w:rsidR="00D22235" w:rsidRPr="008F328C" w:rsidRDefault="00D22235" w:rsidP="00B17C6A">
            <w:pPr>
              <w:jc w:val="center"/>
              <w:rPr>
                <w:rFonts w:ascii="Times New Roman" w:hAnsi="Times New Roman" w:cs="Times New Roman"/>
                <w:b/>
                <w:lang w:val="pl-PL"/>
              </w:rPr>
            </w:pPr>
          </w:p>
        </w:tc>
        <w:tc>
          <w:tcPr>
            <w:tcW w:w="8425" w:type="dxa"/>
            <w:gridSpan w:val="6"/>
          </w:tcPr>
          <w:p w14:paraId="07332545" w14:textId="77777777" w:rsidR="00D22235" w:rsidRPr="008F328C" w:rsidRDefault="00D22235" w:rsidP="00B17C6A">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D22235" w:rsidRPr="008F328C" w14:paraId="4611EF26" w14:textId="77777777" w:rsidTr="00B17C6A">
        <w:tc>
          <w:tcPr>
            <w:tcW w:w="861" w:type="dxa"/>
            <w:vAlign w:val="center"/>
          </w:tcPr>
          <w:p w14:paraId="64020352" w14:textId="77777777" w:rsidR="00D22235" w:rsidRPr="008F328C" w:rsidRDefault="00D22235" w:rsidP="00B17C6A">
            <w:pPr>
              <w:rPr>
                <w:rFonts w:ascii="Times New Roman" w:hAnsi="Times New Roman" w:cs="Times New Roman"/>
                <w:b/>
                <w:lang w:val="pl-PL"/>
              </w:rPr>
            </w:pPr>
          </w:p>
        </w:tc>
        <w:tc>
          <w:tcPr>
            <w:tcW w:w="1917" w:type="dxa"/>
            <w:vAlign w:val="center"/>
          </w:tcPr>
          <w:p w14:paraId="3C4640EC"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Badanie UV II</w:t>
            </w:r>
          </w:p>
        </w:tc>
        <w:tc>
          <w:tcPr>
            <w:tcW w:w="1991" w:type="dxa"/>
            <w:vAlign w:val="center"/>
          </w:tcPr>
          <w:p w14:paraId="6E35794B"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147B311A"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562CB57E" wp14:editId="0C3B84DC">
                  <wp:extent cx="400050" cy="180975"/>
                  <wp:effectExtent l="0" t="0" r="0" b="9525"/>
                  <wp:docPr id="1068" name="Obraz 3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4782" name="Picture 38"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551779DA"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00AA7E02" w14:textId="77777777" w:rsidR="00D22235" w:rsidRPr="008F328C" w:rsidRDefault="00D22235" w:rsidP="00B17C6A">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6264967B" wp14:editId="47EDCD1E">
                  <wp:extent cx="561975" cy="180975"/>
                  <wp:effectExtent l="0" t="0" r="9525" b="9525"/>
                  <wp:docPr id="1069" name="Obraz 3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31054" name="Picture 39"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27B0D617" w14:textId="77777777" w:rsidR="00D22235" w:rsidRPr="008F328C" w:rsidRDefault="00D22235" w:rsidP="00B17C6A">
            <w:pPr>
              <w:rPr>
                <w:rFonts w:ascii="Times New Roman" w:hAnsi="Times New Roman" w:cs="Times New Roman"/>
                <w:b/>
                <w:lang w:val="pl-PL"/>
              </w:rPr>
            </w:pPr>
            <w:r w:rsidRPr="008F328C">
              <w:rPr>
                <w:rFonts w:ascii="Times New Roman" w:hAnsi="Times New Roman" w:cs="Times New Roman"/>
                <w:lang w:val="pl-PL"/>
              </w:rPr>
              <w:t>Adalimumab</w:t>
            </w:r>
          </w:p>
        </w:tc>
      </w:tr>
    </w:tbl>
    <w:p w14:paraId="39104C06" w14:textId="77777777" w:rsidR="00D22235" w:rsidRPr="008F328C" w:rsidRDefault="00D22235" w:rsidP="00D22235">
      <w:pPr>
        <w:spacing w:before="9" w:line="130" w:lineRule="exact"/>
        <w:rPr>
          <w:rFonts w:ascii="Times New Roman" w:hAnsi="Times New Roman" w:cs="Times New Roman"/>
          <w:sz w:val="13"/>
          <w:szCs w:val="13"/>
          <w:lang w:val="pl-PL"/>
        </w:rPr>
      </w:pPr>
    </w:p>
    <w:p w14:paraId="414161CA" w14:textId="77777777" w:rsidR="00D22235" w:rsidRPr="008F328C" w:rsidRDefault="00D22235" w:rsidP="00D22235">
      <w:pPr>
        <w:pStyle w:val="a3"/>
        <w:ind w:leftChars="100" w:left="220"/>
        <w:rPr>
          <w:lang w:val="pl-PL"/>
        </w:rPr>
      </w:pPr>
      <w:r w:rsidRPr="008F328C">
        <w:rPr>
          <w:rFonts w:eastAsia="Times New Roman"/>
          <w:lang w:val="pl-PL"/>
        </w:rPr>
        <w:t>Uwaga: P# = Placebo (liczba zdarzeń/liczba zagrożonych pacjentów); A# = Adalimumab (liczba zdarzeń/liczba zagrożonych pacjentów).</w:t>
      </w:r>
    </w:p>
    <w:p w14:paraId="04515389" w14:textId="77777777" w:rsidR="00D22235" w:rsidRPr="008F328C" w:rsidRDefault="00D22235" w:rsidP="00D22235">
      <w:pPr>
        <w:spacing w:before="3" w:line="110" w:lineRule="exact"/>
        <w:rPr>
          <w:rFonts w:ascii="Times New Roman" w:hAnsi="Times New Roman" w:cs="Times New Roman"/>
          <w:sz w:val="11"/>
          <w:szCs w:val="11"/>
          <w:lang w:val="pl-PL"/>
        </w:rPr>
      </w:pPr>
    </w:p>
    <w:p w14:paraId="3EFE5762" w14:textId="77777777" w:rsidR="00D22235" w:rsidRPr="008F328C" w:rsidRDefault="00D22235" w:rsidP="00D22235">
      <w:pPr>
        <w:spacing w:line="200" w:lineRule="exact"/>
        <w:rPr>
          <w:rFonts w:ascii="Times New Roman" w:hAnsi="Times New Roman" w:cs="Times New Roman"/>
          <w:sz w:val="20"/>
          <w:szCs w:val="20"/>
          <w:lang w:val="pl-PL"/>
        </w:rPr>
      </w:pPr>
    </w:p>
    <w:p w14:paraId="3E6B0F50" w14:textId="77777777" w:rsidR="00D22235" w:rsidRPr="008F328C" w:rsidRDefault="00D22235" w:rsidP="00D22235">
      <w:pPr>
        <w:pStyle w:val="a3"/>
        <w:rPr>
          <w:lang w:val="pl-PL"/>
        </w:rPr>
      </w:pPr>
      <w:r w:rsidRPr="008F328C">
        <w:rPr>
          <w:rFonts w:eastAsia="Times New Roman"/>
          <w:lang w:val="pl-PL"/>
        </w:rPr>
        <w:t>W badaniu UV I statystycznie istotne różnice na korzyść adalimumabu w porównaniu do placebo zaobserwowano dla każdego ze składników niepowodzenia leczenia. W badaniu UV II statystycznie istotne różnice zaobserwowano wyłącznie dla ostrości wzroku, ale w przypadku pozostałych składników dane liczbowe były korzystniejsze dla adalimumabu.</w:t>
      </w:r>
    </w:p>
    <w:p w14:paraId="2C373932" w14:textId="77777777" w:rsidR="00D22235" w:rsidRPr="008F328C" w:rsidRDefault="00D22235" w:rsidP="00D22235">
      <w:pPr>
        <w:spacing w:before="13" w:line="240" w:lineRule="exact"/>
        <w:rPr>
          <w:rFonts w:ascii="Times New Roman" w:hAnsi="Times New Roman" w:cs="Times New Roman"/>
          <w:sz w:val="24"/>
          <w:szCs w:val="24"/>
          <w:lang w:val="pl-PL"/>
        </w:rPr>
      </w:pPr>
    </w:p>
    <w:p w14:paraId="5D99F16E" w14:textId="77777777" w:rsidR="00D22235" w:rsidRPr="008F328C" w:rsidRDefault="00D22235" w:rsidP="00D22235">
      <w:pPr>
        <w:pStyle w:val="a3"/>
        <w:rPr>
          <w:lang w:val="pl-PL"/>
        </w:rPr>
      </w:pPr>
      <w:r w:rsidRPr="008F328C">
        <w:rPr>
          <w:rFonts w:eastAsia="Times New Roman"/>
          <w:lang w:val="pl-PL"/>
        </w:rPr>
        <w:t xml:space="preserve">Spośród 424 uczestników niekontrolowanego, długookresowego badania będącego kontynuacją badań UV I i UV II, 60 uczestników uznano za niespełniających warunków badania (np. z powodu odchyleń lub z powodu powikłań wtórnych retinopatii cukrzycowej, z powodu operacji zaćmy lub witrektomii) i nie uwzględniono ich w pierwotnej analizie skuteczności. Spośród 364 pozostałych pacjentów, 269 pacjentów, których można było poddać ocenie (74%) otrzymało w fazie otwartej leczenie adalimumabem przez 78 tygodni. Na podstawie danych z obserwacji, u 216 (80,3%) stwierdzono brak aktywności choroby (brak aktywnych zmian zapalnych, stopień wysięku komórek zapalnych w komorze przedniej ≤ </w:t>
      </w:r>
      <w:r w:rsidRPr="008F328C">
        <w:rPr>
          <w:rFonts w:eastAsia="Times New Roman"/>
          <w:lang w:val="pl-PL"/>
        </w:rPr>
        <w:lastRenderedPageBreak/>
        <w:t>0,5+, stopień zmętnienia ciała szklistego ≤ 0,5+) przy jednoczesnym stosowaniu steroidu w dawce ≤ 7,5 mg na dobę oraz u 178 (66,2%) brak aktywności choroby bez stosowania steroidu. W 78. tygodniu, najlepsza skorygowana ostrość wzroku (BCVA) uległa poprawie lub utrzymała się na poprzednim poziomie (pogorszenie o &lt; 5 liter) w 88,6% oczu. Na ogół, dane uzyskane po 78. tygodniu były zgodne z tymi wynikami, ale liczba pacjentów włączonych do badania zmniejszyła się po tym czasie. W sumie, spośród pacjentów, którzy przerwali udział w badaniu, 18% przerwało udział z powodu zdarzeń niepożądanych, a 8% z powodu niewystarczającej odpowiedzi na leczenie adalimumabem.</w:t>
      </w:r>
    </w:p>
    <w:p w14:paraId="75CFE0A0" w14:textId="77777777" w:rsidR="00D22235" w:rsidRPr="008F328C" w:rsidRDefault="00D22235" w:rsidP="00D22235">
      <w:pPr>
        <w:pStyle w:val="a3"/>
        <w:rPr>
          <w:sz w:val="24"/>
          <w:szCs w:val="24"/>
          <w:lang w:val="pl-PL"/>
        </w:rPr>
      </w:pPr>
    </w:p>
    <w:p w14:paraId="42E947E5" w14:textId="68048D2A" w:rsidR="00D22235" w:rsidRPr="008F328C" w:rsidRDefault="00D22235" w:rsidP="00D22235">
      <w:pPr>
        <w:pStyle w:val="a3"/>
        <w:rPr>
          <w:rFonts w:eastAsia="Times New Roman"/>
          <w:lang w:val="pl-PL"/>
        </w:rPr>
      </w:pPr>
      <w:r w:rsidRPr="008F328C">
        <w:rPr>
          <w:rFonts w:eastAsia="Times New Roman"/>
          <w:i/>
          <w:iCs/>
          <w:spacing w:val="-1"/>
          <w:u w:val="single" w:color="000000"/>
          <w:lang w:val="pl-PL"/>
        </w:rPr>
        <w:t>Jakość życia</w:t>
      </w:r>
    </w:p>
    <w:p w14:paraId="0A77FA15" w14:textId="77777777" w:rsidR="00D22235" w:rsidRPr="008F328C" w:rsidRDefault="00D22235" w:rsidP="00D22235">
      <w:pPr>
        <w:pStyle w:val="a3"/>
        <w:rPr>
          <w:sz w:val="18"/>
          <w:szCs w:val="18"/>
          <w:lang w:val="pl-PL"/>
        </w:rPr>
      </w:pPr>
    </w:p>
    <w:p w14:paraId="37C19B98" w14:textId="77777777" w:rsidR="00D22235" w:rsidRPr="008F328C" w:rsidRDefault="00D22235" w:rsidP="00D22235">
      <w:pPr>
        <w:pStyle w:val="a3"/>
        <w:rPr>
          <w:lang w:val="pl-PL"/>
        </w:rPr>
      </w:pPr>
      <w:r w:rsidRPr="008F328C">
        <w:rPr>
          <w:rFonts w:eastAsia="Times New Roman"/>
          <w:lang w:val="pl-PL"/>
        </w:rPr>
        <w:t>Efekty leczenia zgłaszane przez pacjentów dotyczące funkcjonowania związanego z widzeniem mierzono w obydwu badaniach za pomocą kwestionariusza NEI VFQ-25. Dane liczbowe były korzystniejsze dla adalimumabu w większości podskal kwestionariusza ze statystycznie istotnymi średnimi różnicami dla ogólnej oceny widzenia, bólu gałki ocznej, widzenia do bliży i zdrowia psychicznego oraz całkowitej oceny w badaniu UV I oraz ogólnej oceny widzenia i zdrowia psychicznego w badaniu UV II. Efekty związane z widzeniem nie przemawiały liczbowo na korzyść adalimumabu w widzeniu barwnym w badaniu UV I oraz w widzeniu barwnym, widzeniu obwodowym i widzeniu do bliży w badaniu UV II.</w:t>
      </w:r>
    </w:p>
    <w:p w14:paraId="197AF741" w14:textId="77777777" w:rsidR="00D22235" w:rsidRPr="008F328C" w:rsidRDefault="00D22235" w:rsidP="00D22235">
      <w:pPr>
        <w:pStyle w:val="a3"/>
        <w:rPr>
          <w:rFonts w:eastAsia="Times New Roman"/>
          <w:i/>
          <w:iCs/>
          <w:spacing w:val="-1"/>
          <w:u w:val="single"/>
          <w:lang w:val="pl-PL"/>
        </w:rPr>
      </w:pPr>
    </w:p>
    <w:p w14:paraId="48C94624" w14:textId="77777777" w:rsidR="00D22235" w:rsidRPr="008F328C" w:rsidRDefault="00D22235" w:rsidP="00D22235">
      <w:pPr>
        <w:pStyle w:val="a3"/>
        <w:rPr>
          <w:u w:val="single" w:color="000000"/>
          <w:lang w:val="pl-PL"/>
        </w:rPr>
      </w:pPr>
      <w:r w:rsidRPr="008F328C">
        <w:rPr>
          <w:rFonts w:eastAsia="Times New Roman"/>
          <w:u w:val="single" w:color="000000"/>
          <w:lang w:val="pl-PL"/>
        </w:rPr>
        <w:t>Immunogenność</w:t>
      </w:r>
    </w:p>
    <w:p w14:paraId="6C94B89B" w14:textId="77777777" w:rsidR="00D22235" w:rsidRPr="008F328C" w:rsidRDefault="00D22235" w:rsidP="00D22235">
      <w:pPr>
        <w:spacing w:before="1" w:line="180" w:lineRule="exact"/>
        <w:rPr>
          <w:rFonts w:ascii="Times New Roman" w:hAnsi="Times New Roman" w:cs="Times New Roman"/>
          <w:sz w:val="18"/>
          <w:szCs w:val="18"/>
          <w:lang w:val="pl-PL" w:eastAsia="ko-KR"/>
        </w:rPr>
      </w:pPr>
    </w:p>
    <w:p w14:paraId="1E4C8837" w14:textId="715DC6FD" w:rsidR="00CF263C" w:rsidRPr="00CF263C" w:rsidRDefault="00CF263C" w:rsidP="00CF263C">
      <w:pPr>
        <w:keepNext/>
        <w:widowControl/>
        <w:tabs>
          <w:tab w:val="left" w:pos="562"/>
        </w:tabs>
        <w:suppressAutoHyphens/>
        <w:rPr>
          <w:rFonts w:ascii="Times New Roman" w:eastAsia="바탕" w:hAnsi="Times New Roman" w:cs="Times New Roman"/>
          <w:lang w:val="pl-PL"/>
        </w:rPr>
      </w:pPr>
      <w:r w:rsidRPr="00AC35E3">
        <w:rPr>
          <w:rFonts w:ascii="Times New Roman" w:hAnsi="Times New Roman"/>
          <w:lang w:val="pl-PL"/>
        </w:rPr>
        <w:t>Tworzenie przeciwciał przeciw adalimumabowi jest związane ze zwiększeniem klirensu i</w:t>
      </w:r>
      <w:r w:rsidRPr="00CF263C">
        <w:rPr>
          <w:rFonts w:ascii="Times New Roman" w:eastAsia="바탕" w:hAnsi="Times New Roman" w:cs="Times New Roman"/>
          <w:lang w:val="pl-PL"/>
        </w:rPr>
        <w:t> </w:t>
      </w:r>
      <w:r w:rsidRPr="00AC35E3">
        <w:rPr>
          <w:rFonts w:ascii="Times New Roman" w:hAnsi="Times New Roman"/>
          <w:lang w:val="pl-PL"/>
        </w:rPr>
        <w:t xml:space="preserve">zmniejszeniem skuteczności adalimumabu. </w:t>
      </w:r>
      <w:r w:rsidRPr="00CF263C">
        <w:rPr>
          <w:rFonts w:ascii="Times New Roman" w:eastAsia="바탕" w:hAnsi="Times New Roman" w:cs="Times New Roman"/>
          <w:lang w:val="pl-PL"/>
        </w:rPr>
        <w:t>Nie stwierdza się wyraźnej korelacji między obecnością przeciwciał przeciw adalimumabowi i występowaniem zdarzeń niepożądanych.</w:t>
      </w:r>
    </w:p>
    <w:p w14:paraId="79126F42"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5343298B"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Pacjentów z reumatoidalnym zapaleniem stawów, w badaniach I, II i III, w okresie od 6. do 12. miesiąca wielokrotnie badano na obecność przeciwciał przeciw adalimumabowi. W tych głównych badaniach klinicznych przeciwciała przeciw adalimumabowi stwierdzono u 5,5% (58/1053) pacjentów leczonych adalimumabem w porównaniu do 0,5% (2/370) otrzymujących placebo. U pacjentów nieotrzymujących jednocześnie metotreksatu częstość występowania wynosiła 12,4% w porównaniu do 0,6%, gdy adalimumab dodano do leczenia metotreksatem.</w:t>
      </w:r>
    </w:p>
    <w:p w14:paraId="529D88FF"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009D6DC4"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pacjentów z chorobą Leśniowskiego-Crohna przeciwciała przeciw adalimumabowi stwierdzono u 7/269 pacjentów (2,6%) i u 19/487 pacjentów (3,9%) z wrzodziejącym zapaleniem jelita grubego.</w:t>
      </w:r>
    </w:p>
    <w:p w14:paraId="3288A47D" w14:textId="77777777" w:rsidR="00CF263C" w:rsidRPr="00CF263C" w:rsidRDefault="00CF263C" w:rsidP="00CF263C">
      <w:pPr>
        <w:widowControl/>
        <w:suppressAutoHyphens/>
        <w:overflowPunct w:val="0"/>
        <w:autoSpaceDE w:val="0"/>
        <w:autoSpaceDN w:val="0"/>
        <w:adjustRightInd w:val="0"/>
        <w:textAlignment w:val="baseline"/>
        <w:rPr>
          <w:rFonts w:ascii="Times New Roman" w:eastAsia="바탕" w:hAnsi="Times New Roman" w:cs="Times New Roman"/>
          <w:lang w:val="pl-PL" w:eastAsia="pl-PL"/>
        </w:rPr>
      </w:pPr>
    </w:p>
    <w:p w14:paraId="3F1B104D"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łuszczycą przeciwciała przeciw adalimumabowi stwierdzono u 77/920 pacjentów (8,4%) leczonych adalimumabem stosowanym w monoterapii.</w:t>
      </w:r>
    </w:p>
    <w:p w14:paraId="0C4D247E"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067DAEB9"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łuszczycą zwyczajną (plackowatą) otrzymujących długookresowe leczenie adalimumabem w monoterapii, którzy uczestniczyli w badaniu klinicznym odstawienia leczenia, a następnie jego wznowienia, częstość występowania przeciwciał przeciw adalimumabowi po wznowieniu leczenia (11 z 482 pacjentów, 2,3%) była podobna do częstości obserwowanej przed odstawieniem leczenia (11 z 590 pacjentów, 1,9%).</w:t>
      </w:r>
    </w:p>
    <w:p w14:paraId="1EA4A47C" w14:textId="77777777" w:rsidR="00CF263C" w:rsidRPr="00CF263C" w:rsidRDefault="00CF263C" w:rsidP="00CF263C">
      <w:pPr>
        <w:widowControl/>
        <w:tabs>
          <w:tab w:val="left" w:pos="562"/>
          <w:tab w:val="left" w:pos="709"/>
        </w:tabs>
        <w:suppressAutoHyphens/>
        <w:spacing w:line="276" w:lineRule="auto"/>
        <w:rPr>
          <w:rFonts w:ascii="Times New Roman" w:eastAsia="Calibri" w:hAnsi="Times New Roman" w:cs="Times New Roman"/>
          <w:lang w:val="pl-PL"/>
        </w:rPr>
      </w:pPr>
    </w:p>
    <w:p w14:paraId="2D46E225" w14:textId="77777777" w:rsidR="00CF263C" w:rsidRPr="00CF263C" w:rsidRDefault="00CF263C" w:rsidP="00CF263C">
      <w:pPr>
        <w:widowControl/>
        <w:tabs>
          <w:tab w:val="left" w:pos="562"/>
          <w:tab w:val="left" w:pos="709"/>
        </w:tabs>
        <w:suppressAutoHyphens/>
        <w:spacing w:line="276" w:lineRule="auto"/>
        <w:rPr>
          <w:rFonts w:ascii="Times New Roman" w:eastAsia="Calibri" w:hAnsi="Times New Roman" w:cs="Times New Roman"/>
          <w:lang w:val="pl-PL"/>
        </w:rPr>
      </w:pPr>
      <w:r w:rsidRPr="00CF263C">
        <w:rPr>
          <w:rFonts w:ascii="Times New Roman" w:eastAsia="Calibri" w:hAnsi="Times New Roman" w:cs="Times New Roman"/>
          <w:lang w:val="pl-PL"/>
        </w:rPr>
        <w:t>U pacjentów z ropnym zapaleniem apokrynowych gruczołów potowych o nasileniu umiarkowanym do ciężkiego, przeciwciała przeciw adalimumabowi stwierdzono u 10 z 99 osób (10,1%) leczonych adalimumabem.</w:t>
      </w:r>
    </w:p>
    <w:p w14:paraId="135E68A8"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p>
    <w:p w14:paraId="27E1A5E3"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r w:rsidRPr="00CF263C">
        <w:rPr>
          <w:rFonts w:ascii="Times New Roman" w:eastAsia="바탕" w:hAnsi="Times New Roman" w:cs="Times New Roman"/>
          <w:lang w:val="pl-PL"/>
        </w:rPr>
        <w:t>U dzieci i młodzieży z umiarkowaną do ciężkiej czynną postacią choroby Leśniowskiego-Crohna odsetek powstawania przeciwciał przeciw adalimumabowi u pacjentów otrzymujących adalimumab wynosił 3,3%.</w:t>
      </w:r>
    </w:p>
    <w:p w14:paraId="16A5B96D"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6EC75AC5"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r w:rsidRPr="00CF263C">
        <w:rPr>
          <w:rFonts w:ascii="Times New Roman" w:eastAsia="바탕" w:hAnsi="Times New Roman" w:cs="Times New Roman"/>
          <w:lang w:val="pl-PL"/>
        </w:rPr>
        <w:t>U dorosłych pacjentów z nieinfekcyjnym zapaleniem błony naczyniowej oka przeciwciała przeciw adalimumabowi stwierdzono u 4,8% (12/249) pacjentów leczonych adalimumabem.</w:t>
      </w:r>
    </w:p>
    <w:p w14:paraId="70F21F0A"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139DBCFE" w14:textId="77777777" w:rsidR="00CF263C" w:rsidRPr="00CF263C" w:rsidRDefault="00CF263C" w:rsidP="00CF263C">
      <w:pPr>
        <w:widowControl/>
        <w:tabs>
          <w:tab w:val="left" w:pos="562"/>
        </w:tabs>
        <w:suppressAutoHyphens/>
        <w:rPr>
          <w:rFonts w:ascii="Times New Roman" w:eastAsia="Calibri" w:hAnsi="Times New Roman" w:cs="Times New Roman"/>
          <w:lang w:val="pl-PL"/>
        </w:rPr>
      </w:pPr>
      <w:r w:rsidRPr="00CF263C">
        <w:rPr>
          <w:rFonts w:ascii="Times New Roman" w:eastAsia="바탕" w:hAnsi="Times New Roman" w:cs="Times New Roman"/>
          <w:szCs w:val="24"/>
          <w:lang w:val="pl-PL"/>
        </w:rPr>
        <w:lastRenderedPageBreak/>
        <w:t>U dzieci i młodzieży z umiarkowanym do ciężkiego, czynnym wrzodziejącym zapaleniem jelita grubego odsetek powstawania przeciwciał przeciw adalimumabowi u pacjentów otrzymujących adalimumab wynosił 3%</w:t>
      </w:r>
      <w:r w:rsidRPr="00CF263C">
        <w:rPr>
          <w:rFonts w:ascii="Times New Roman" w:eastAsia="Calibri" w:hAnsi="Times New Roman" w:cs="Times New Roman"/>
          <w:lang w:val="pl-PL"/>
        </w:rPr>
        <w:t>.</w:t>
      </w:r>
    </w:p>
    <w:p w14:paraId="25682794" w14:textId="77777777" w:rsidR="00CF263C" w:rsidRPr="00CF263C" w:rsidRDefault="00CF263C" w:rsidP="00CF263C">
      <w:pPr>
        <w:widowControl/>
        <w:tabs>
          <w:tab w:val="left" w:pos="562"/>
        </w:tabs>
        <w:suppressAutoHyphens/>
        <w:rPr>
          <w:rFonts w:ascii="Times New Roman" w:eastAsia="바탕" w:hAnsi="Times New Roman" w:cs="Times New Roman"/>
          <w:lang w:val="pl-PL"/>
        </w:rPr>
      </w:pPr>
    </w:p>
    <w:p w14:paraId="207AF0DF" w14:textId="35A7BD4A" w:rsidR="00D22235" w:rsidRDefault="00CF263C" w:rsidP="00CF263C">
      <w:pPr>
        <w:pStyle w:val="a3"/>
        <w:rPr>
          <w:rFonts w:eastAsia="Times New Roman"/>
          <w:lang w:val="pl-PL"/>
        </w:rPr>
      </w:pPr>
      <w:r w:rsidRPr="00CF263C">
        <w:rPr>
          <w:rFonts w:eastAsia="바탕"/>
          <w:lang w:val="pl-PL"/>
        </w:rPr>
        <w:t>Analizy immunogenności są swoiste dla danego produktu i dlatego nie jest możliwe porównanie z wskaźnikami obecności przeciwciał podczas stosowania innych produktów</w:t>
      </w:r>
      <w:r w:rsidR="00D22235" w:rsidRPr="008F328C">
        <w:rPr>
          <w:rFonts w:eastAsia="Times New Roman"/>
          <w:lang w:val="pl-PL"/>
        </w:rPr>
        <w:t>.</w:t>
      </w:r>
    </w:p>
    <w:p w14:paraId="4CE5ECB2" w14:textId="77777777" w:rsidR="000B2CC6" w:rsidRDefault="000B2CC6" w:rsidP="00D22235">
      <w:pPr>
        <w:pStyle w:val="a3"/>
        <w:rPr>
          <w:rFonts w:eastAsia="Times New Roman"/>
          <w:lang w:val="pl-PL"/>
        </w:rPr>
      </w:pPr>
    </w:p>
    <w:p w14:paraId="5A6CACB0" w14:textId="77777777" w:rsidR="004B3D26" w:rsidRPr="00FE49E6" w:rsidRDefault="004B3D26" w:rsidP="004B3D26">
      <w:pPr>
        <w:pStyle w:val="a3"/>
        <w:rPr>
          <w:u w:val="single"/>
          <w:lang w:val="pl-PL"/>
        </w:rPr>
      </w:pPr>
      <w:r w:rsidRPr="00FE49E6">
        <w:rPr>
          <w:u w:val="single"/>
          <w:lang w:val="pl-PL"/>
        </w:rPr>
        <w:t>Dzieci i młodzież</w:t>
      </w:r>
    </w:p>
    <w:p w14:paraId="4A6B844E" w14:textId="77777777" w:rsidR="004B3D26" w:rsidRPr="00B511C9" w:rsidRDefault="004B3D26" w:rsidP="004B3D26">
      <w:pPr>
        <w:pStyle w:val="a3"/>
        <w:rPr>
          <w:u w:val="single"/>
          <w:lang w:val="pl-PL"/>
        </w:rPr>
      </w:pPr>
    </w:p>
    <w:p w14:paraId="2802569D" w14:textId="228C6CF2" w:rsidR="004B3D26" w:rsidRPr="00D97EE5" w:rsidRDefault="004B3D26" w:rsidP="004B3D26">
      <w:pPr>
        <w:pStyle w:val="a3"/>
        <w:rPr>
          <w:i/>
          <w:iCs/>
          <w:lang w:val="pl-PL"/>
        </w:rPr>
      </w:pPr>
      <w:r w:rsidRPr="00FE49E6">
        <w:rPr>
          <w:i/>
          <w:iCs/>
          <w:lang w:val="pl-PL"/>
        </w:rPr>
        <w:t>Ropne zapalenie apokrynowych gruczołów potowych</w:t>
      </w:r>
      <w:r w:rsidR="00DF3E6D" w:rsidRPr="00FE49E6">
        <w:rPr>
          <w:i/>
          <w:iCs/>
          <w:lang w:val="pl-PL"/>
        </w:rPr>
        <w:t xml:space="preserve"> (HS)</w:t>
      </w:r>
      <w:r w:rsidRPr="00FE49E6">
        <w:rPr>
          <w:i/>
          <w:iCs/>
          <w:lang w:val="pl-PL"/>
        </w:rPr>
        <w:t xml:space="preserve"> u młodzieży</w:t>
      </w:r>
    </w:p>
    <w:p w14:paraId="62B34023" w14:textId="77777777" w:rsidR="004B3D26" w:rsidRDefault="004B3D26" w:rsidP="004B3D26">
      <w:pPr>
        <w:pStyle w:val="a3"/>
        <w:rPr>
          <w:lang w:val="pl-PL"/>
        </w:rPr>
      </w:pPr>
    </w:p>
    <w:p w14:paraId="24DA9037" w14:textId="766444EC" w:rsidR="000B2CC6" w:rsidRDefault="004B3D26" w:rsidP="004B3D26">
      <w:pPr>
        <w:pStyle w:val="a3"/>
        <w:rPr>
          <w:lang w:val="pl-PL"/>
        </w:rPr>
      </w:pPr>
      <w:r w:rsidRPr="004B3D26">
        <w:rPr>
          <w:lang w:val="pl-PL"/>
        </w:rPr>
        <w:t xml:space="preserve">Nie ma badań klinicznych produktu </w:t>
      </w:r>
      <w:r w:rsidR="00407CE8">
        <w:rPr>
          <w:lang w:val="pl-PL"/>
        </w:rPr>
        <w:t>Yuflyma</w:t>
      </w:r>
      <w:r w:rsidRPr="004B3D26">
        <w:rPr>
          <w:lang w:val="pl-PL"/>
        </w:rPr>
        <w:t xml:space="preserve"> u pacjentów w wieku młodzieńczym z HS. Skuteczność</w:t>
      </w:r>
      <w:r>
        <w:rPr>
          <w:lang w:val="pl-PL"/>
        </w:rPr>
        <w:t xml:space="preserve"> </w:t>
      </w:r>
      <w:r w:rsidRPr="004B3D26">
        <w:rPr>
          <w:lang w:val="pl-PL"/>
        </w:rPr>
        <w:t>adalimumabu w leczeniu HS u pacjentów w wieku młodzieńczym przewiduje się na podstawie</w:t>
      </w:r>
      <w:r>
        <w:rPr>
          <w:lang w:val="pl-PL"/>
        </w:rPr>
        <w:t xml:space="preserve"> </w:t>
      </w:r>
      <w:r w:rsidRPr="004B3D26">
        <w:rPr>
          <w:lang w:val="pl-PL"/>
        </w:rPr>
        <w:t>wykazanej skuteczności i zależności między ekspozycją na adalimumab i odpowiedzią na leczenie</w:t>
      </w:r>
      <w:r>
        <w:rPr>
          <w:lang w:val="pl-PL"/>
        </w:rPr>
        <w:t xml:space="preserve"> </w:t>
      </w:r>
      <w:r w:rsidRPr="004B3D26">
        <w:rPr>
          <w:lang w:val="pl-PL"/>
        </w:rPr>
        <w:t>u dorosłych pacjentów z HS oraz prawdopodobieństwa, że przebieg choroby, patofizjologia i działanie</w:t>
      </w:r>
      <w:r>
        <w:rPr>
          <w:lang w:val="pl-PL"/>
        </w:rPr>
        <w:t xml:space="preserve"> </w:t>
      </w:r>
      <w:r w:rsidRPr="004B3D26">
        <w:rPr>
          <w:lang w:val="pl-PL"/>
        </w:rPr>
        <w:t>leku są zasadniczo podobne do stwierdzonych u dorosłych p</w:t>
      </w:r>
      <w:r w:rsidR="00FE49E6">
        <w:rPr>
          <w:lang w:val="pl-PL"/>
        </w:rPr>
        <w:t xml:space="preserve">o </w:t>
      </w:r>
      <w:r w:rsidRPr="004B3D26">
        <w:rPr>
          <w:lang w:val="pl-PL"/>
        </w:rPr>
        <w:t>tym samym poziomie ekspozycji.</w:t>
      </w:r>
      <w:r>
        <w:rPr>
          <w:lang w:val="pl-PL"/>
        </w:rPr>
        <w:t xml:space="preserve"> </w:t>
      </w:r>
      <w:r w:rsidRPr="004B3D26">
        <w:rPr>
          <w:lang w:val="pl-PL"/>
        </w:rPr>
        <w:t>Bezpieczeństwo stosowania zalecanej dawki adalimumabu w populacji młodzieży z HS określono na</w:t>
      </w:r>
      <w:r>
        <w:rPr>
          <w:lang w:val="pl-PL"/>
        </w:rPr>
        <w:t xml:space="preserve"> </w:t>
      </w:r>
      <w:r w:rsidRPr="004B3D26">
        <w:rPr>
          <w:lang w:val="pl-PL"/>
        </w:rPr>
        <w:t>podstawie profilu bezpieczeństwa adalimumabu stosowanego w podobnych lub częściej podawanych</w:t>
      </w:r>
      <w:r>
        <w:rPr>
          <w:lang w:val="pl-PL"/>
        </w:rPr>
        <w:t xml:space="preserve"> </w:t>
      </w:r>
      <w:r w:rsidRPr="004B3D26">
        <w:rPr>
          <w:lang w:val="pl-PL"/>
        </w:rPr>
        <w:t>dawkach w różnych wskazaniach zarówno u dorosłych, jak i u dzieci i młodzieży (patrz punkt 5.2).</w:t>
      </w:r>
    </w:p>
    <w:p w14:paraId="6A1C145E" w14:textId="77777777" w:rsidR="004B3D26" w:rsidRDefault="004B3D26" w:rsidP="004B3D26">
      <w:pPr>
        <w:pStyle w:val="a3"/>
        <w:rPr>
          <w:lang w:val="pl-PL"/>
        </w:rPr>
      </w:pPr>
    </w:p>
    <w:p w14:paraId="5042C14E" w14:textId="77777777" w:rsidR="004B3D26" w:rsidRPr="008F328C" w:rsidRDefault="004B3D26" w:rsidP="004B3D26">
      <w:pPr>
        <w:pStyle w:val="a3"/>
        <w:rPr>
          <w:i/>
          <w:lang w:val="pl-PL"/>
        </w:rPr>
      </w:pPr>
      <w:r w:rsidRPr="008F328C">
        <w:rPr>
          <w:rFonts w:eastAsia="Times New Roman"/>
          <w:i/>
          <w:iCs/>
          <w:lang w:val="pl-PL"/>
        </w:rPr>
        <w:t>Choroba Leśniowskiego-Crohna (ChL-C) u dzieci i młodzieży</w:t>
      </w:r>
    </w:p>
    <w:p w14:paraId="2BFEBBB5" w14:textId="77777777" w:rsidR="004B3D26" w:rsidRPr="008F328C" w:rsidRDefault="004B3D26" w:rsidP="004B3D26">
      <w:pPr>
        <w:pStyle w:val="a3"/>
        <w:rPr>
          <w:sz w:val="18"/>
          <w:szCs w:val="18"/>
          <w:lang w:val="pl-PL"/>
        </w:rPr>
      </w:pPr>
    </w:p>
    <w:p w14:paraId="6673D795" w14:textId="77777777" w:rsidR="004B3D26" w:rsidRPr="008F328C" w:rsidRDefault="004B3D26" w:rsidP="004B3D26">
      <w:pPr>
        <w:pStyle w:val="a3"/>
        <w:rPr>
          <w:lang w:val="pl-PL"/>
        </w:rPr>
      </w:pPr>
      <w:r w:rsidRPr="008F328C">
        <w:rPr>
          <w:rFonts w:eastAsia="Times New Roman"/>
          <w:lang w:val="pl-PL"/>
        </w:rPr>
        <w:t>Adalimumab oceniano w wieloośrodkowym, randomizowanym badaniu klinicznym z podwójnie ślepą próbą, którego celem była ocena skuteczności i bezpieczeństwa leczenia indukcyjnego i podtrzymującego dawkami ustalonymi w zależności od masy ciała pacjenta (&lt; 40 kg lub ≥ 40 kg) u 192 pacjentów między 6. a 17. (włącznie) rokiem życia, z chorobą Leśniowskiego-Crohna o nasileniu umiarkowanym do ciężkiego, co definiowano jako wartość pediatrycznego wskaźnika aktywności choroby Leśniowskiego-Crohna (ang. Paediatric Crohn’s Disease Activity Index, PCDAI) &gt; 30. Pacjenci musieli wcześniej bez powodzenia otrzymywać standardowe leczenie stosowane w ChL-C [w tym lek z grupy kortykosteroidów i (lub) lek immunomodulujący]. Możliwe było również włączenie pacjentów, którzy wcześniej przestali odpowiadać na infliksymab lub wystąpiła u nich nietolerancja infliksymabu.</w:t>
      </w:r>
    </w:p>
    <w:p w14:paraId="05225E40" w14:textId="77777777" w:rsidR="004B3D26" w:rsidRPr="008F328C" w:rsidRDefault="004B3D26" w:rsidP="004B3D26">
      <w:pPr>
        <w:pStyle w:val="a3"/>
        <w:rPr>
          <w:sz w:val="24"/>
          <w:szCs w:val="24"/>
          <w:lang w:val="pl-PL"/>
        </w:rPr>
      </w:pPr>
    </w:p>
    <w:p w14:paraId="12867F0A" w14:textId="77777777" w:rsidR="004B3D26" w:rsidRPr="008F328C" w:rsidRDefault="004B3D26" w:rsidP="004B3D26">
      <w:pPr>
        <w:pStyle w:val="a3"/>
        <w:rPr>
          <w:lang w:val="pl-PL"/>
        </w:rPr>
      </w:pPr>
      <w:r w:rsidRPr="008F328C">
        <w:rPr>
          <w:rFonts w:eastAsia="Times New Roman"/>
          <w:lang w:val="pl-PL"/>
        </w:rPr>
        <w:t xml:space="preserve">W próbie otwartej wszyscy pacjenci otrzymali w okresie indukcji dawkę zależną od masy ciała w momencie rozpoczęcia badania: 160 mg w tygodniu 0 i 80 mg w 2. tygodniu – pacjenci o masie ciała ≥ 40 kg oraz odpowiednio 80 mg i 40 mg – pacjenci o masie ciała </w:t>
      </w:r>
    </w:p>
    <w:p w14:paraId="4CC4688A" w14:textId="77777777" w:rsidR="004B3D26" w:rsidRPr="008F328C" w:rsidRDefault="004B3D26" w:rsidP="004B3D26">
      <w:pPr>
        <w:pStyle w:val="a3"/>
        <w:rPr>
          <w:lang w:val="pl-PL"/>
        </w:rPr>
      </w:pPr>
      <w:r w:rsidRPr="008F328C">
        <w:rPr>
          <w:rFonts w:eastAsia="Times New Roman"/>
          <w:lang w:val="pl-PL"/>
        </w:rPr>
        <w:t>&lt; 40 kg.</w:t>
      </w:r>
    </w:p>
    <w:p w14:paraId="25EB6208" w14:textId="77777777" w:rsidR="004B3D26" w:rsidRPr="008F328C" w:rsidRDefault="004B3D26" w:rsidP="004B3D26">
      <w:pPr>
        <w:pStyle w:val="a3"/>
        <w:rPr>
          <w:sz w:val="24"/>
          <w:szCs w:val="24"/>
          <w:lang w:val="pl-PL"/>
        </w:rPr>
      </w:pPr>
    </w:p>
    <w:p w14:paraId="521C95F6" w14:textId="23834FE5" w:rsidR="004B3D26" w:rsidRPr="008F328C" w:rsidRDefault="004B3D26" w:rsidP="004B3D26">
      <w:pPr>
        <w:pStyle w:val="a3"/>
        <w:rPr>
          <w:lang w:val="pl-PL"/>
        </w:rPr>
      </w:pPr>
      <w:r w:rsidRPr="008F328C">
        <w:rPr>
          <w:rFonts w:eastAsia="Times New Roman"/>
          <w:lang w:val="pl-PL"/>
        </w:rPr>
        <w:t>W 4. tygodniu, pacjentów przydzielono losowo w stosunku 1:1 w zależności od ich aktualnej masy ciała do jednego z dwóch schematów leczenia podtrzymującego: „mała dawka” lub „standardowa dawka”, co przedstawiono w Tabeli 1</w:t>
      </w:r>
      <w:r>
        <w:rPr>
          <w:rFonts w:eastAsia="Times New Roman"/>
          <w:lang w:val="pl-PL"/>
        </w:rPr>
        <w:t>8</w:t>
      </w:r>
      <w:r w:rsidRPr="008F328C">
        <w:rPr>
          <w:rFonts w:eastAsia="Times New Roman"/>
          <w:lang w:val="pl-PL"/>
        </w:rPr>
        <w:t>.</w:t>
      </w:r>
    </w:p>
    <w:p w14:paraId="2DB1DC07" w14:textId="77777777" w:rsidR="004B3D26" w:rsidRPr="008F328C" w:rsidRDefault="004B3D26" w:rsidP="004B3D26">
      <w:pPr>
        <w:pStyle w:val="a3"/>
        <w:rPr>
          <w:sz w:val="24"/>
          <w:szCs w:val="24"/>
          <w:lang w:val="pl-PL"/>
        </w:rPr>
      </w:pPr>
    </w:p>
    <w:p w14:paraId="1B52D455" w14:textId="445096A9" w:rsidR="004B3D26" w:rsidRPr="008F328C" w:rsidRDefault="004B3D26" w:rsidP="004B3D26">
      <w:pPr>
        <w:pStyle w:val="a3"/>
        <w:jc w:val="center"/>
        <w:rPr>
          <w:b/>
          <w:lang w:val="pl-PL"/>
        </w:rPr>
      </w:pPr>
      <w:r w:rsidRPr="008F328C">
        <w:rPr>
          <w:rFonts w:eastAsia="Times New Roman"/>
          <w:b/>
          <w:bCs/>
          <w:lang w:val="pl-PL"/>
        </w:rPr>
        <w:t>Tabela 1</w:t>
      </w:r>
      <w:r>
        <w:rPr>
          <w:rFonts w:eastAsia="Times New Roman"/>
          <w:b/>
          <w:bCs/>
          <w:lang w:val="pl-PL"/>
        </w:rPr>
        <w:t>8</w:t>
      </w:r>
      <w:r w:rsidRPr="008F328C">
        <w:rPr>
          <w:rFonts w:eastAsia="Times New Roman"/>
          <w:b/>
          <w:bCs/>
          <w:lang w:val="pl-PL"/>
        </w:rPr>
        <w:t>. Schemat leczenia podtrzymującego</w:t>
      </w:r>
    </w:p>
    <w:p w14:paraId="53A887E9" w14:textId="77777777" w:rsidR="004B3D26" w:rsidRPr="008F328C" w:rsidRDefault="004B3D26" w:rsidP="004B3D26">
      <w:pPr>
        <w:pStyle w:val="a3"/>
        <w:jc w:val="center"/>
        <w:rPr>
          <w:b/>
          <w:lang w:val="pl-PL"/>
        </w:rPr>
      </w:pPr>
    </w:p>
    <w:tbl>
      <w:tblPr>
        <w:tblStyle w:val="TableNormal1"/>
        <w:tblW w:w="8574" w:type="dxa"/>
        <w:jc w:val="center"/>
        <w:tblLayout w:type="fixed"/>
        <w:tblLook w:val="01E0" w:firstRow="1" w:lastRow="1" w:firstColumn="1" w:lastColumn="1" w:noHBand="0" w:noVBand="0"/>
      </w:tblPr>
      <w:tblGrid>
        <w:gridCol w:w="2858"/>
        <w:gridCol w:w="2858"/>
        <w:gridCol w:w="2858"/>
      </w:tblGrid>
      <w:tr w:rsidR="004B3D26" w:rsidRPr="008F328C" w14:paraId="36877D4D" w14:textId="77777777" w:rsidTr="00B2198A">
        <w:trPr>
          <w:jc w:val="center"/>
        </w:trPr>
        <w:tc>
          <w:tcPr>
            <w:tcW w:w="2858" w:type="dxa"/>
            <w:tcBorders>
              <w:top w:val="single" w:sz="5" w:space="0" w:color="000000"/>
              <w:left w:val="single" w:sz="5" w:space="0" w:color="000000"/>
              <w:bottom w:val="single" w:sz="5" w:space="0" w:color="000000"/>
              <w:right w:val="single" w:sz="5" w:space="0" w:color="000000"/>
            </w:tcBorders>
          </w:tcPr>
          <w:p w14:paraId="0372D6FB" w14:textId="77777777" w:rsidR="004B3D26" w:rsidRPr="008F328C" w:rsidRDefault="004B3D26" w:rsidP="00B2198A">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Masa </w:t>
            </w:r>
            <w:r w:rsidRPr="008F328C">
              <w:rPr>
                <w:rFonts w:ascii="Times New Roman" w:eastAsia="Times New Roman" w:hAnsi="Times New Roman" w:cs="Times New Roman"/>
                <w:b/>
                <w:bCs/>
                <w:spacing w:val="-1"/>
                <w:lang w:val="pl-PL"/>
              </w:rPr>
              <w:t>ciała pacjenta</w:t>
            </w:r>
          </w:p>
        </w:tc>
        <w:tc>
          <w:tcPr>
            <w:tcW w:w="2858" w:type="dxa"/>
            <w:tcBorders>
              <w:top w:val="single" w:sz="5" w:space="0" w:color="000000"/>
              <w:left w:val="single" w:sz="5" w:space="0" w:color="000000"/>
              <w:bottom w:val="single" w:sz="5" w:space="0" w:color="000000"/>
              <w:right w:val="single" w:sz="5" w:space="0" w:color="000000"/>
            </w:tcBorders>
          </w:tcPr>
          <w:p w14:paraId="67AE0CC9" w14:textId="77777777" w:rsidR="004B3D26" w:rsidRPr="008F328C" w:rsidRDefault="004B3D26" w:rsidP="00B2198A">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w:t>
            </w:r>
          </w:p>
        </w:tc>
        <w:tc>
          <w:tcPr>
            <w:tcW w:w="2858" w:type="dxa"/>
            <w:tcBorders>
              <w:top w:val="single" w:sz="5" w:space="0" w:color="000000"/>
              <w:left w:val="single" w:sz="5" w:space="0" w:color="000000"/>
              <w:bottom w:val="single" w:sz="5" w:space="0" w:color="000000"/>
              <w:right w:val="single" w:sz="5" w:space="0" w:color="000000"/>
            </w:tcBorders>
          </w:tcPr>
          <w:p w14:paraId="1B2D5E4D" w14:textId="77777777" w:rsidR="004B3D26" w:rsidRPr="008F328C" w:rsidRDefault="004B3D26" w:rsidP="00B2198A">
            <w:pPr>
              <w:pStyle w:val="TableParagraph"/>
              <w:spacing w:before="1" w:line="252"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Standardowa </w:t>
            </w:r>
            <w:r w:rsidRPr="008F328C">
              <w:rPr>
                <w:rFonts w:ascii="Times New Roman" w:eastAsia="Times New Roman" w:hAnsi="Times New Roman" w:cs="Times New Roman"/>
                <w:b/>
                <w:bCs/>
                <w:lang w:val="pl-PL"/>
              </w:rPr>
              <w:t>dawka</w:t>
            </w:r>
          </w:p>
        </w:tc>
      </w:tr>
      <w:tr w:rsidR="004B3D26" w:rsidRPr="008F328C" w14:paraId="7C8202E2" w14:textId="77777777" w:rsidTr="00B2198A">
        <w:trPr>
          <w:jc w:val="center"/>
        </w:trPr>
        <w:tc>
          <w:tcPr>
            <w:tcW w:w="2858" w:type="dxa"/>
            <w:tcBorders>
              <w:top w:val="single" w:sz="5" w:space="0" w:color="000000"/>
              <w:left w:val="single" w:sz="5" w:space="0" w:color="000000"/>
              <w:bottom w:val="single" w:sz="5" w:space="0" w:color="000000"/>
              <w:right w:val="single" w:sz="5" w:space="0" w:color="000000"/>
            </w:tcBorders>
          </w:tcPr>
          <w:p w14:paraId="06DEB7D6"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2858" w:type="dxa"/>
            <w:tcBorders>
              <w:top w:val="single" w:sz="5" w:space="0" w:color="000000"/>
              <w:left w:val="single" w:sz="5" w:space="0" w:color="000000"/>
              <w:bottom w:val="single" w:sz="5" w:space="0" w:color="000000"/>
              <w:right w:val="single" w:sz="5" w:space="0" w:color="000000"/>
            </w:tcBorders>
          </w:tcPr>
          <w:p w14:paraId="293F3D73"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7A251ACC"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r>
      <w:tr w:rsidR="004B3D26" w:rsidRPr="008F328C" w14:paraId="388C71E4" w14:textId="77777777" w:rsidTr="00B2198A">
        <w:trPr>
          <w:jc w:val="center"/>
        </w:trPr>
        <w:tc>
          <w:tcPr>
            <w:tcW w:w="2858" w:type="dxa"/>
            <w:tcBorders>
              <w:top w:val="single" w:sz="5" w:space="0" w:color="000000"/>
              <w:left w:val="single" w:sz="5" w:space="0" w:color="000000"/>
              <w:bottom w:val="single" w:sz="5" w:space="0" w:color="000000"/>
              <w:right w:val="single" w:sz="5" w:space="0" w:color="000000"/>
            </w:tcBorders>
          </w:tcPr>
          <w:p w14:paraId="22B5A532"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2858" w:type="dxa"/>
            <w:tcBorders>
              <w:top w:val="single" w:sz="5" w:space="0" w:color="000000"/>
              <w:left w:val="single" w:sz="5" w:space="0" w:color="000000"/>
              <w:bottom w:val="single" w:sz="5" w:space="0" w:color="000000"/>
              <w:right w:val="single" w:sz="5" w:space="0" w:color="000000"/>
            </w:tcBorders>
          </w:tcPr>
          <w:p w14:paraId="2D8F23D7"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675EBD2E" w14:textId="77777777" w:rsidR="004B3D26" w:rsidRPr="008F328C" w:rsidRDefault="004B3D26" w:rsidP="00B2198A">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r>
    </w:tbl>
    <w:p w14:paraId="7EFA0C0B" w14:textId="77777777" w:rsidR="004B3D26" w:rsidRPr="008F328C" w:rsidRDefault="004B3D26" w:rsidP="004B3D26">
      <w:pPr>
        <w:pStyle w:val="a3"/>
        <w:rPr>
          <w:lang w:val="pl-PL"/>
        </w:rPr>
      </w:pPr>
    </w:p>
    <w:p w14:paraId="59AD087E" w14:textId="77777777" w:rsidR="004B3D26" w:rsidRPr="008F328C" w:rsidRDefault="004B3D26" w:rsidP="004B3D26">
      <w:pPr>
        <w:pStyle w:val="a3"/>
        <w:rPr>
          <w:rFonts w:eastAsia="Times New Roman"/>
          <w:lang w:val="pl-PL"/>
        </w:rPr>
      </w:pPr>
      <w:r w:rsidRPr="008F328C">
        <w:rPr>
          <w:rFonts w:eastAsia="Times New Roman"/>
          <w:i/>
          <w:iCs/>
          <w:spacing w:val="-1"/>
          <w:u w:val="single" w:color="000000"/>
          <w:lang w:val="pl-PL"/>
        </w:rPr>
        <w:t>Wyniki dotyczące skuteczności</w:t>
      </w:r>
    </w:p>
    <w:p w14:paraId="5E2BA569" w14:textId="77777777" w:rsidR="004B3D26" w:rsidRPr="008F328C" w:rsidRDefault="004B3D26" w:rsidP="004B3D26">
      <w:pPr>
        <w:pStyle w:val="a3"/>
        <w:rPr>
          <w:sz w:val="19"/>
          <w:szCs w:val="19"/>
          <w:lang w:val="pl-PL"/>
        </w:rPr>
      </w:pPr>
    </w:p>
    <w:p w14:paraId="4B758C9A" w14:textId="77777777" w:rsidR="004B3D26" w:rsidRPr="008F328C" w:rsidRDefault="004B3D26" w:rsidP="004B3D26">
      <w:pPr>
        <w:pStyle w:val="a3"/>
        <w:rPr>
          <w:lang w:val="pl-PL"/>
        </w:rPr>
      </w:pPr>
      <w:r w:rsidRPr="008F328C">
        <w:rPr>
          <w:rFonts w:eastAsia="Times New Roman"/>
          <w:lang w:val="pl-PL"/>
        </w:rPr>
        <w:t xml:space="preserve">Pierwszorzędowym punktem końcowym badania była remisja kliniczna w 26. tygodniu, co definiowano jako wartość wskaźnika PCDAI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10.</w:t>
      </w:r>
    </w:p>
    <w:p w14:paraId="779FD984" w14:textId="77777777" w:rsidR="004B3D26" w:rsidRPr="008F328C" w:rsidRDefault="004B3D26" w:rsidP="004B3D26">
      <w:pPr>
        <w:pStyle w:val="a3"/>
        <w:rPr>
          <w:sz w:val="24"/>
          <w:szCs w:val="24"/>
          <w:lang w:val="pl-PL"/>
        </w:rPr>
      </w:pPr>
    </w:p>
    <w:p w14:paraId="4A689A88" w14:textId="25C66485" w:rsidR="004B3D26" w:rsidRPr="008F328C" w:rsidRDefault="004B3D26" w:rsidP="004B3D26">
      <w:pPr>
        <w:pStyle w:val="a3"/>
        <w:rPr>
          <w:lang w:val="pl-PL"/>
        </w:rPr>
      </w:pPr>
      <w:r w:rsidRPr="008F328C">
        <w:rPr>
          <w:rFonts w:eastAsia="Times New Roman"/>
          <w:lang w:val="pl-PL"/>
        </w:rPr>
        <w:t xml:space="preserve">Odsetki uzyskania remisji klinicznej i odpowiedzi klinicznej (co definiowano jako zmniejszenie wartości </w:t>
      </w:r>
      <w:r w:rsidRPr="008F328C">
        <w:rPr>
          <w:rFonts w:eastAsia="Times New Roman"/>
          <w:lang w:val="pl-PL"/>
        </w:rPr>
        <w:lastRenderedPageBreak/>
        <w:t>PCDAI o co najmniej 15 punktów w stosunku do wartości wyjściowej) przedstawiono w Tabeli 1</w:t>
      </w:r>
      <w:r>
        <w:rPr>
          <w:rFonts w:eastAsia="Times New Roman"/>
          <w:lang w:val="pl-PL"/>
        </w:rPr>
        <w:t>9</w:t>
      </w:r>
      <w:r w:rsidRPr="008F328C">
        <w:rPr>
          <w:rFonts w:eastAsia="Times New Roman"/>
          <w:lang w:val="pl-PL"/>
        </w:rPr>
        <w:t xml:space="preserve">. Odsetki zaprzestania stosowania kortykosteroidów lub leków immunomodulujących przedstawiono w Tabeli </w:t>
      </w:r>
      <w:r>
        <w:rPr>
          <w:rFonts w:eastAsia="Times New Roman"/>
          <w:lang w:val="pl-PL"/>
        </w:rPr>
        <w:t>20</w:t>
      </w:r>
      <w:r w:rsidRPr="008F328C">
        <w:rPr>
          <w:rFonts w:eastAsia="Times New Roman"/>
          <w:lang w:val="pl-PL"/>
        </w:rPr>
        <w:t>.</w:t>
      </w:r>
    </w:p>
    <w:p w14:paraId="29FD3DBB" w14:textId="77777777" w:rsidR="004B3D26" w:rsidRPr="008F328C" w:rsidRDefault="004B3D26" w:rsidP="004B3D26">
      <w:pPr>
        <w:pStyle w:val="a3"/>
        <w:rPr>
          <w:lang w:val="pl-PL"/>
        </w:rPr>
      </w:pPr>
    </w:p>
    <w:p w14:paraId="7335FF1B" w14:textId="77777777" w:rsidR="004B3D26" w:rsidRPr="008F328C" w:rsidRDefault="004B3D26" w:rsidP="004B3D26">
      <w:pPr>
        <w:spacing w:before="7" w:line="90" w:lineRule="exact"/>
        <w:rPr>
          <w:rFonts w:ascii="Times New Roman" w:hAnsi="Times New Roman" w:cs="Times New Roman"/>
          <w:sz w:val="9"/>
          <w:szCs w:val="9"/>
          <w:lang w:val="pl-PL"/>
        </w:rPr>
      </w:pPr>
    </w:p>
    <w:tbl>
      <w:tblPr>
        <w:tblStyle w:val="TableNormal1"/>
        <w:tblW w:w="0" w:type="auto"/>
        <w:tblInd w:w="1475" w:type="dxa"/>
        <w:tblLayout w:type="fixed"/>
        <w:tblLook w:val="01E0" w:firstRow="1" w:lastRow="1" w:firstColumn="1" w:lastColumn="1" w:noHBand="0" w:noVBand="0"/>
      </w:tblPr>
      <w:tblGrid>
        <w:gridCol w:w="2321"/>
        <w:gridCol w:w="1615"/>
        <w:gridCol w:w="1591"/>
        <w:gridCol w:w="1147"/>
      </w:tblGrid>
      <w:tr w:rsidR="004B3D26" w:rsidRPr="00494296" w14:paraId="0FF5E583" w14:textId="77777777" w:rsidTr="00B2198A">
        <w:tc>
          <w:tcPr>
            <w:tcW w:w="6674" w:type="dxa"/>
            <w:gridSpan w:val="4"/>
            <w:tcBorders>
              <w:top w:val="single" w:sz="7" w:space="0" w:color="000000"/>
              <w:left w:val="single" w:sz="7" w:space="0" w:color="000000"/>
              <w:bottom w:val="single" w:sz="7" w:space="0" w:color="000000"/>
              <w:right w:val="single" w:sz="7" w:space="0" w:color="000000"/>
            </w:tcBorders>
          </w:tcPr>
          <w:p w14:paraId="79889648" w14:textId="7E79B5AB" w:rsidR="004B3D26" w:rsidRPr="008F328C" w:rsidRDefault="004B3D26" w:rsidP="00B2198A">
            <w:pPr>
              <w:pStyle w:val="a3"/>
              <w:jc w:val="center"/>
              <w:rPr>
                <w:b/>
                <w:lang w:val="pl-PL"/>
              </w:rPr>
            </w:pPr>
            <w:r w:rsidRPr="008F328C">
              <w:rPr>
                <w:rFonts w:eastAsia="Times New Roman"/>
                <w:b/>
                <w:bCs/>
                <w:lang w:val="pl-PL"/>
              </w:rPr>
              <w:t>Tabela 1</w:t>
            </w:r>
            <w:r>
              <w:rPr>
                <w:rFonts w:eastAsia="Times New Roman"/>
                <w:b/>
                <w:bCs/>
                <w:lang w:val="pl-PL"/>
              </w:rPr>
              <w:t>9</w:t>
            </w:r>
            <w:r w:rsidRPr="008F328C">
              <w:rPr>
                <w:rFonts w:eastAsia="Times New Roman"/>
                <w:b/>
                <w:bCs/>
                <w:lang w:val="pl-PL"/>
              </w:rPr>
              <w:t>.</w:t>
            </w:r>
          </w:p>
          <w:p w14:paraId="07FA4285" w14:textId="77777777" w:rsidR="004B3D26" w:rsidRPr="008F328C" w:rsidRDefault="004B3D26" w:rsidP="00B2198A">
            <w:pPr>
              <w:pStyle w:val="a3"/>
              <w:jc w:val="center"/>
              <w:rPr>
                <w:b/>
                <w:lang w:val="pl-PL"/>
              </w:rPr>
            </w:pPr>
            <w:r w:rsidRPr="008F328C">
              <w:rPr>
                <w:rFonts w:eastAsia="Times New Roman"/>
                <w:b/>
                <w:bCs/>
                <w:lang w:val="pl-PL"/>
              </w:rPr>
              <w:t>Badanie w ChL-C u dzieci i młodzieży</w:t>
            </w:r>
          </w:p>
          <w:p w14:paraId="26D68D42" w14:textId="77777777" w:rsidR="004B3D26" w:rsidRPr="008F328C" w:rsidRDefault="004B3D26" w:rsidP="00B2198A">
            <w:pPr>
              <w:pStyle w:val="a3"/>
              <w:jc w:val="center"/>
              <w:rPr>
                <w:rFonts w:eastAsia="Times New Roman"/>
                <w:lang w:val="pl-PL"/>
              </w:rPr>
            </w:pPr>
            <w:r w:rsidRPr="008F328C">
              <w:rPr>
                <w:rFonts w:eastAsia="Times New Roman"/>
                <w:b/>
                <w:bCs/>
                <w:lang w:val="pl-PL"/>
              </w:rPr>
              <w:t>Remisja i odpowiedź kliniczna mierzone PCDAI</w:t>
            </w:r>
          </w:p>
        </w:tc>
      </w:tr>
      <w:tr w:rsidR="004B3D26" w:rsidRPr="008F328C" w14:paraId="36A5C22F"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67727F78" w14:textId="77777777" w:rsidR="004B3D26" w:rsidRPr="008F328C" w:rsidRDefault="004B3D26" w:rsidP="00B2198A">
            <w:pPr>
              <w:rPr>
                <w:rFonts w:ascii="Times New Roman" w:hAnsi="Times New Roman" w:cs="Times New Roman"/>
                <w:lang w:val="pl-PL"/>
              </w:rPr>
            </w:pPr>
          </w:p>
        </w:tc>
        <w:tc>
          <w:tcPr>
            <w:tcW w:w="1615" w:type="dxa"/>
            <w:tcBorders>
              <w:top w:val="single" w:sz="7" w:space="0" w:color="000000"/>
              <w:left w:val="single" w:sz="7" w:space="0" w:color="000000"/>
              <w:bottom w:val="single" w:sz="7" w:space="0" w:color="000000"/>
              <w:right w:val="single" w:sz="7" w:space="0" w:color="000000"/>
            </w:tcBorders>
          </w:tcPr>
          <w:p w14:paraId="2E91173B" w14:textId="77777777" w:rsidR="004B3D26" w:rsidRPr="008F328C" w:rsidRDefault="004B3D26" w:rsidP="00B2198A">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standardowa 40/20 mg, co drugi tydzień</w:t>
            </w:r>
          </w:p>
          <w:p w14:paraId="0F34F6D9" w14:textId="77777777" w:rsidR="004B3D26" w:rsidRPr="008F328C" w:rsidRDefault="004B3D26" w:rsidP="00B2198A">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93</w:t>
            </w:r>
          </w:p>
        </w:tc>
        <w:tc>
          <w:tcPr>
            <w:tcW w:w="1591" w:type="dxa"/>
            <w:tcBorders>
              <w:top w:val="single" w:sz="7" w:space="0" w:color="000000"/>
              <w:left w:val="single" w:sz="7" w:space="0" w:color="000000"/>
              <w:bottom w:val="single" w:sz="7" w:space="0" w:color="000000"/>
              <w:right w:val="single" w:sz="7" w:space="0" w:color="000000"/>
            </w:tcBorders>
          </w:tcPr>
          <w:p w14:paraId="7DEE9016" w14:textId="77777777" w:rsidR="004B3D26" w:rsidRPr="008F328C" w:rsidRDefault="004B3D26" w:rsidP="00B2198A">
            <w:pPr>
              <w:pStyle w:val="TableParagraph"/>
              <w:spacing w:before="1" w:line="252" w:lineRule="exact"/>
              <w:ind w:firstLine="1"/>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 20/10 mg, co drugi tydzień</w:t>
            </w:r>
          </w:p>
          <w:p w14:paraId="441A911B" w14:textId="77777777" w:rsidR="004B3D26" w:rsidRPr="008F328C" w:rsidRDefault="004B3D26" w:rsidP="00B2198A">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95</w:t>
            </w:r>
          </w:p>
        </w:tc>
        <w:tc>
          <w:tcPr>
            <w:tcW w:w="1147" w:type="dxa"/>
            <w:tcBorders>
              <w:top w:val="single" w:sz="7" w:space="0" w:color="000000"/>
              <w:left w:val="single" w:sz="7" w:space="0" w:color="000000"/>
              <w:bottom w:val="single" w:sz="7" w:space="0" w:color="000000"/>
              <w:right w:val="single" w:sz="7" w:space="0" w:color="000000"/>
            </w:tcBorders>
          </w:tcPr>
          <w:p w14:paraId="4A3D8F0D" w14:textId="77777777" w:rsidR="004B3D26" w:rsidRPr="008F328C" w:rsidRDefault="004B3D26" w:rsidP="00B2198A">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Wartość p</w:t>
            </w:r>
            <w:r w:rsidRPr="008F328C">
              <w:rPr>
                <w:rFonts w:ascii="Times New Roman" w:eastAsia="Times New Roman" w:hAnsi="Times New Roman" w:cs="Times New Roman"/>
                <w:lang w:val="pl-PL"/>
              </w:rPr>
              <w:t>*</w:t>
            </w:r>
          </w:p>
        </w:tc>
      </w:tr>
      <w:tr w:rsidR="004B3D26" w:rsidRPr="008F328C" w14:paraId="575A12FD"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10176476" w14:textId="77777777" w:rsidR="004B3D26" w:rsidRPr="008F328C" w:rsidRDefault="004B3D26" w:rsidP="00B2198A">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615" w:type="dxa"/>
            <w:tcBorders>
              <w:top w:val="single" w:sz="7" w:space="0" w:color="000000"/>
              <w:left w:val="single" w:sz="7" w:space="0" w:color="000000"/>
              <w:bottom w:val="single" w:sz="7" w:space="0" w:color="000000"/>
              <w:right w:val="single" w:sz="7" w:space="0" w:color="000000"/>
            </w:tcBorders>
          </w:tcPr>
          <w:p w14:paraId="6C75BF1B" w14:textId="77777777" w:rsidR="004B3D26" w:rsidRPr="008F328C" w:rsidRDefault="004B3D26" w:rsidP="00B2198A">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7C317082" w14:textId="77777777" w:rsidR="004B3D26" w:rsidRPr="008F328C" w:rsidRDefault="004B3D26" w:rsidP="00B2198A">
            <w:pPr>
              <w:rPr>
                <w:rFonts w:ascii="Times New Roman" w:hAnsi="Times New Roman" w:cs="Times New Roman"/>
                <w:lang w:val="pl-PL"/>
              </w:rPr>
            </w:pPr>
          </w:p>
        </w:tc>
        <w:tc>
          <w:tcPr>
            <w:tcW w:w="1147" w:type="dxa"/>
            <w:tcBorders>
              <w:top w:val="single" w:sz="7" w:space="0" w:color="000000"/>
              <w:left w:val="single" w:sz="7" w:space="0" w:color="000000"/>
              <w:bottom w:val="single" w:sz="7" w:space="0" w:color="000000"/>
              <w:right w:val="single" w:sz="7" w:space="0" w:color="000000"/>
            </w:tcBorders>
          </w:tcPr>
          <w:p w14:paraId="0FB61541" w14:textId="77777777" w:rsidR="004B3D26" w:rsidRPr="008F328C" w:rsidRDefault="004B3D26" w:rsidP="00B2198A">
            <w:pPr>
              <w:rPr>
                <w:rFonts w:ascii="Times New Roman" w:hAnsi="Times New Roman" w:cs="Times New Roman"/>
                <w:lang w:val="pl-PL"/>
              </w:rPr>
            </w:pPr>
          </w:p>
        </w:tc>
      </w:tr>
      <w:tr w:rsidR="004B3D26" w:rsidRPr="008F328C" w14:paraId="6874BB2C"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35974C7A" w14:textId="77777777" w:rsidR="004B3D26" w:rsidRPr="008F328C" w:rsidRDefault="004B3D26" w:rsidP="00B2198A">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085DB2A0" w14:textId="77777777" w:rsidR="004B3D26" w:rsidRPr="008F328C" w:rsidRDefault="004B3D26" w:rsidP="00B2198A">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38,7%</w:t>
            </w:r>
          </w:p>
        </w:tc>
        <w:tc>
          <w:tcPr>
            <w:tcW w:w="1591" w:type="dxa"/>
            <w:tcBorders>
              <w:top w:val="single" w:sz="7" w:space="0" w:color="000000"/>
              <w:left w:val="single" w:sz="7" w:space="0" w:color="000000"/>
              <w:bottom w:val="single" w:sz="7" w:space="0" w:color="000000"/>
              <w:right w:val="single" w:sz="7" w:space="0" w:color="000000"/>
            </w:tcBorders>
          </w:tcPr>
          <w:p w14:paraId="0D9A507C" w14:textId="77777777" w:rsidR="004B3D26" w:rsidRPr="008F328C" w:rsidRDefault="004B3D26" w:rsidP="00B2198A">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147" w:type="dxa"/>
            <w:tcBorders>
              <w:top w:val="single" w:sz="7" w:space="0" w:color="000000"/>
              <w:left w:val="single" w:sz="7" w:space="0" w:color="000000"/>
              <w:bottom w:val="single" w:sz="7" w:space="0" w:color="000000"/>
              <w:right w:val="single" w:sz="7" w:space="0" w:color="000000"/>
            </w:tcBorders>
          </w:tcPr>
          <w:p w14:paraId="740E6CE6" w14:textId="77777777" w:rsidR="004B3D26" w:rsidRPr="008F328C" w:rsidRDefault="004B3D26" w:rsidP="00B2198A">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0,075</w:t>
            </w:r>
          </w:p>
        </w:tc>
      </w:tr>
      <w:tr w:rsidR="004B3D26" w:rsidRPr="008F328C" w14:paraId="42126615"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613D7E7E" w14:textId="77777777" w:rsidR="004B3D26" w:rsidRPr="008F328C" w:rsidRDefault="004B3D26" w:rsidP="00B2198A">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0F2A9D1D" w14:textId="77777777" w:rsidR="004B3D26" w:rsidRPr="008F328C" w:rsidRDefault="004B3D26" w:rsidP="00B2198A">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59,1%</w:t>
            </w:r>
          </w:p>
        </w:tc>
        <w:tc>
          <w:tcPr>
            <w:tcW w:w="1591" w:type="dxa"/>
            <w:tcBorders>
              <w:top w:val="single" w:sz="7" w:space="0" w:color="000000"/>
              <w:left w:val="single" w:sz="7" w:space="0" w:color="000000"/>
              <w:bottom w:val="single" w:sz="7" w:space="0" w:color="000000"/>
              <w:right w:val="single" w:sz="7" w:space="0" w:color="000000"/>
            </w:tcBorders>
          </w:tcPr>
          <w:p w14:paraId="70DA263E" w14:textId="77777777" w:rsidR="004B3D26" w:rsidRPr="008F328C" w:rsidRDefault="004B3D26" w:rsidP="00B2198A">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48,4%</w:t>
            </w:r>
          </w:p>
        </w:tc>
        <w:tc>
          <w:tcPr>
            <w:tcW w:w="1147" w:type="dxa"/>
            <w:tcBorders>
              <w:top w:val="single" w:sz="7" w:space="0" w:color="000000"/>
              <w:left w:val="single" w:sz="7" w:space="0" w:color="000000"/>
              <w:bottom w:val="single" w:sz="7" w:space="0" w:color="000000"/>
              <w:right w:val="single" w:sz="7" w:space="0" w:color="000000"/>
            </w:tcBorders>
          </w:tcPr>
          <w:p w14:paraId="7BFA0803" w14:textId="77777777" w:rsidR="004B3D26" w:rsidRPr="008F328C" w:rsidRDefault="004B3D26" w:rsidP="00B2198A">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0,073</w:t>
            </w:r>
          </w:p>
        </w:tc>
      </w:tr>
      <w:tr w:rsidR="004B3D26" w:rsidRPr="008F328C" w14:paraId="5B860755"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56E30B5E" w14:textId="77777777" w:rsidR="004B3D26" w:rsidRPr="008F328C" w:rsidRDefault="004B3D26" w:rsidP="00B2198A">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52. tydzień</w:t>
            </w:r>
          </w:p>
        </w:tc>
        <w:tc>
          <w:tcPr>
            <w:tcW w:w="1615" w:type="dxa"/>
            <w:tcBorders>
              <w:top w:val="single" w:sz="7" w:space="0" w:color="000000"/>
              <w:left w:val="single" w:sz="7" w:space="0" w:color="000000"/>
              <w:bottom w:val="single" w:sz="7" w:space="0" w:color="000000"/>
              <w:right w:val="single" w:sz="7" w:space="0" w:color="000000"/>
            </w:tcBorders>
          </w:tcPr>
          <w:p w14:paraId="5F3809E3" w14:textId="77777777" w:rsidR="004B3D26" w:rsidRPr="008F328C" w:rsidRDefault="004B3D26" w:rsidP="00B2198A">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03E02328" w14:textId="77777777" w:rsidR="004B3D26" w:rsidRPr="008F328C" w:rsidRDefault="004B3D26" w:rsidP="00B2198A">
            <w:pPr>
              <w:rPr>
                <w:rFonts w:ascii="Times New Roman" w:hAnsi="Times New Roman" w:cs="Times New Roman"/>
                <w:lang w:val="pl-PL"/>
              </w:rPr>
            </w:pPr>
          </w:p>
        </w:tc>
        <w:tc>
          <w:tcPr>
            <w:tcW w:w="1147" w:type="dxa"/>
            <w:tcBorders>
              <w:top w:val="single" w:sz="7" w:space="0" w:color="000000"/>
              <w:left w:val="single" w:sz="7" w:space="0" w:color="000000"/>
              <w:bottom w:val="single" w:sz="7" w:space="0" w:color="000000"/>
              <w:right w:val="single" w:sz="7" w:space="0" w:color="000000"/>
            </w:tcBorders>
          </w:tcPr>
          <w:p w14:paraId="48B17944" w14:textId="77777777" w:rsidR="004B3D26" w:rsidRPr="008F328C" w:rsidRDefault="004B3D26" w:rsidP="00B2198A">
            <w:pPr>
              <w:rPr>
                <w:rFonts w:ascii="Times New Roman" w:hAnsi="Times New Roman" w:cs="Times New Roman"/>
                <w:lang w:val="pl-PL"/>
              </w:rPr>
            </w:pPr>
          </w:p>
        </w:tc>
      </w:tr>
      <w:tr w:rsidR="004B3D26" w:rsidRPr="008F328C" w14:paraId="6518CAF5"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3FD43BB8" w14:textId="77777777" w:rsidR="004B3D26" w:rsidRPr="008F328C" w:rsidRDefault="004B3D26" w:rsidP="00B2198A">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4C03D4A4" w14:textId="77777777" w:rsidR="004B3D26" w:rsidRPr="008F328C" w:rsidRDefault="004B3D26" w:rsidP="00B2198A">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33,3%</w:t>
            </w:r>
          </w:p>
        </w:tc>
        <w:tc>
          <w:tcPr>
            <w:tcW w:w="1591" w:type="dxa"/>
            <w:tcBorders>
              <w:top w:val="single" w:sz="7" w:space="0" w:color="000000"/>
              <w:left w:val="single" w:sz="7" w:space="0" w:color="000000"/>
              <w:bottom w:val="single" w:sz="7" w:space="0" w:color="000000"/>
              <w:right w:val="single" w:sz="7" w:space="0" w:color="000000"/>
            </w:tcBorders>
          </w:tcPr>
          <w:p w14:paraId="4A016667" w14:textId="77777777" w:rsidR="004B3D26" w:rsidRPr="008F328C" w:rsidRDefault="004B3D26" w:rsidP="00B2198A">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c>
          <w:tcPr>
            <w:tcW w:w="1147" w:type="dxa"/>
            <w:tcBorders>
              <w:top w:val="single" w:sz="7" w:space="0" w:color="000000"/>
              <w:left w:val="single" w:sz="7" w:space="0" w:color="000000"/>
              <w:bottom w:val="single" w:sz="7" w:space="0" w:color="000000"/>
              <w:right w:val="single" w:sz="7" w:space="0" w:color="000000"/>
            </w:tcBorders>
          </w:tcPr>
          <w:p w14:paraId="32C25A8E" w14:textId="77777777" w:rsidR="004B3D26" w:rsidRPr="008F328C" w:rsidRDefault="004B3D26" w:rsidP="00B2198A">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0,100</w:t>
            </w:r>
          </w:p>
        </w:tc>
      </w:tr>
      <w:tr w:rsidR="004B3D26" w:rsidRPr="008F328C" w14:paraId="2000ACC9" w14:textId="77777777" w:rsidTr="00B2198A">
        <w:tc>
          <w:tcPr>
            <w:tcW w:w="2321" w:type="dxa"/>
            <w:tcBorders>
              <w:top w:val="single" w:sz="7" w:space="0" w:color="000000"/>
              <w:left w:val="single" w:sz="7" w:space="0" w:color="000000"/>
              <w:bottom w:val="single" w:sz="7" w:space="0" w:color="000000"/>
              <w:right w:val="single" w:sz="7" w:space="0" w:color="000000"/>
            </w:tcBorders>
          </w:tcPr>
          <w:p w14:paraId="032EFCE3" w14:textId="77777777" w:rsidR="004B3D26" w:rsidRPr="008F328C" w:rsidRDefault="004B3D26" w:rsidP="00B2198A">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3CA848D0" w14:textId="77777777" w:rsidR="004B3D26" w:rsidRPr="008F328C" w:rsidRDefault="004B3D26" w:rsidP="00B2198A">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41,9%</w:t>
            </w:r>
          </w:p>
        </w:tc>
        <w:tc>
          <w:tcPr>
            <w:tcW w:w="1591" w:type="dxa"/>
            <w:tcBorders>
              <w:top w:val="single" w:sz="7" w:space="0" w:color="000000"/>
              <w:left w:val="single" w:sz="7" w:space="0" w:color="000000"/>
              <w:bottom w:val="single" w:sz="7" w:space="0" w:color="000000"/>
              <w:right w:val="single" w:sz="7" w:space="0" w:color="000000"/>
            </w:tcBorders>
          </w:tcPr>
          <w:p w14:paraId="1EFE1DD2" w14:textId="77777777" w:rsidR="004B3D26" w:rsidRPr="008F328C" w:rsidRDefault="004B3D26" w:rsidP="00B2198A">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147" w:type="dxa"/>
            <w:tcBorders>
              <w:top w:val="single" w:sz="7" w:space="0" w:color="000000"/>
              <w:left w:val="single" w:sz="7" w:space="0" w:color="000000"/>
              <w:bottom w:val="single" w:sz="7" w:space="0" w:color="000000"/>
              <w:right w:val="single" w:sz="7" w:space="0" w:color="000000"/>
            </w:tcBorders>
          </w:tcPr>
          <w:p w14:paraId="15CACBFF" w14:textId="77777777" w:rsidR="004B3D26" w:rsidRPr="008F328C" w:rsidRDefault="004B3D26" w:rsidP="00B2198A">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0,038</w:t>
            </w:r>
          </w:p>
        </w:tc>
      </w:tr>
      <w:tr w:rsidR="004B3D26" w:rsidRPr="00FE49E6" w14:paraId="4C510249" w14:textId="77777777" w:rsidTr="00B2198A">
        <w:tc>
          <w:tcPr>
            <w:tcW w:w="6674" w:type="dxa"/>
            <w:gridSpan w:val="4"/>
            <w:tcBorders>
              <w:top w:val="single" w:sz="7" w:space="0" w:color="000000"/>
              <w:left w:val="single" w:sz="7" w:space="0" w:color="000000"/>
              <w:bottom w:val="single" w:sz="7" w:space="0" w:color="000000"/>
              <w:right w:val="single" w:sz="7" w:space="0" w:color="000000"/>
            </w:tcBorders>
          </w:tcPr>
          <w:p w14:paraId="54F168DE" w14:textId="77777777" w:rsidR="004B3D26" w:rsidRPr="008F328C" w:rsidRDefault="004B3D26" w:rsidP="00B2198A">
            <w:pPr>
              <w:pStyle w:val="TableParagraph"/>
              <w:spacing w:line="246" w:lineRule="exact"/>
              <w:ind w:left="13"/>
              <w:rPr>
                <w:rFonts w:ascii="Times New Roman" w:eastAsia="Times New Roman" w:hAnsi="Times New Roman" w:cs="Times New Roman"/>
                <w:lang w:val="pl-PL"/>
              </w:rPr>
            </w:pPr>
            <w:r w:rsidRPr="008F328C">
              <w:rPr>
                <w:rFonts w:ascii="Times New Roman" w:eastAsia="Times New Roman" w:hAnsi="Times New Roman" w:cs="Times New Roman"/>
                <w:lang w:val="pl-PL"/>
              </w:rPr>
              <w:t>* Wartość p – dawka standardowa w porównaniu z małą dawką</w:t>
            </w:r>
          </w:p>
        </w:tc>
      </w:tr>
    </w:tbl>
    <w:p w14:paraId="5AD18B1A" w14:textId="77777777" w:rsidR="004B3D26" w:rsidRPr="008F328C" w:rsidRDefault="004B3D26" w:rsidP="004B3D26">
      <w:pPr>
        <w:rPr>
          <w:rFonts w:ascii="Times New Roman" w:hAnsi="Times New Roman" w:cs="Times New Roman"/>
          <w:sz w:val="24"/>
          <w:szCs w:val="24"/>
          <w:lang w:val="pl-PL"/>
        </w:rPr>
      </w:pPr>
    </w:p>
    <w:tbl>
      <w:tblPr>
        <w:tblStyle w:val="TableNormal1"/>
        <w:tblW w:w="0" w:type="auto"/>
        <w:tblInd w:w="592" w:type="dxa"/>
        <w:tblLayout w:type="fixed"/>
        <w:tblLook w:val="01E0" w:firstRow="1" w:lastRow="1" w:firstColumn="1" w:lastColumn="1" w:noHBand="0" w:noVBand="0"/>
      </w:tblPr>
      <w:tblGrid>
        <w:gridCol w:w="3510"/>
        <w:gridCol w:w="2171"/>
        <w:gridCol w:w="1620"/>
        <w:gridCol w:w="1140"/>
      </w:tblGrid>
      <w:tr w:rsidR="004B3D26" w:rsidRPr="00537986" w14:paraId="5C54E3A5" w14:textId="77777777" w:rsidTr="00B2198A">
        <w:tc>
          <w:tcPr>
            <w:tcW w:w="8441" w:type="dxa"/>
            <w:gridSpan w:val="4"/>
            <w:tcBorders>
              <w:top w:val="single" w:sz="7" w:space="0" w:color="000000"/>
              <w:left w:val="single" w:sz="7" w:space="0" w:color="000000"/>
              <w:bottom w:val="single" w:sz="7" w:space="0" w:color="000000"/>
              <w:right w:val="single" w:sz="7" w:space="0" w:color="000000"/>
            </w:tcBorders>
          </w:tcPr>
          <w:p w14:paraId="33D24375" w14:textId="781AA42B" w:rsidR="004B3D26" w:rsidRPr="008F328C" w:rsidRDefault="004B3D26" w:rsidP="00B2198A">
            <w:pPr>
              <w:pStyle w:val="TableParagraph"/>
              <w:spacing w:before="3" w:line="252" w:lineRule="exact"/>
              <w:ind w:left="3239" w:right="2872" w:firstLine="564"/>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Pr>
                <w:rFonts w:ascii="Times New Roman" w:eastAsia="Times New Roman" w:hAnsi="Times New Roman" w:cs="Times New Roman"/>
                <w:b/>
                <w:bCs/>
                <w:lang w:val="pl-PL"/>
              </w:rPr>
              <w:t>20</w:t>
            </w:r>
            <w:r w:rsidRPr="008F328C">
              <w:rPr>
                <w:rFonts w:ascii="Times New Roman" w:eastAsia="Times New Roman" w:hAnsi="Times New Roman" w:cs="Times New Roman"/>
                <w:b/>
                <w:bCs/>
                <w:lang w:val="pl-PL"/>
              </w:rPr>
              <w:t>.</w:t>
            </w:r>
          </w:p>
          <w:p w14:paraId="24729F45" w14:textId="77777777" w:rsidR="004B3D26" w:rsidRPr="008F328C" w:rsidRDefault="004B3D26" w:rsidP="00B2198A">
            <w:pPr>
              <w:pStyle w:val="TableParagraph"/>
              <w:spacing w:line="249" w:lineRule="exact"/>
              <w:ind w:left="43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Badanie w ChL-C u dzieci i młodzieży</w:t>
            </w:r>
            <w:r w:rsidRPr="008F328C">
              <w:rPr>
                <w:rFonts w:ascii="Times New Roman" w:eastAsia="Times New Roman" w:hAnsi="Times New Roman" w:cs="Times New Roman"/>
                <w:b/>
                <w:bCs/>
                <w:spacing w:val="-1"/>
                <w:lang w:val="pl-PL"/>
              </w:rPr>
              <w:t xml:space="preserve"> Zaprzestanie stosowania kortykosteroidów lub leków immunomodulujących i remisja przetok</w:t>
            </w:r>
          </w:p>
        </w:tc>
      </w:tr>
      <w:tr w:rsidR="004B3D26" w:rsidRPr="008F328C" w14:paraId="1FE33320"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3FAE1904" w14:textId="77777777" w:rsidR="004B3D26" w:rsidRPr="008F328C" w:rsidRDefault="004B3D26" w:rsidP="00B2198A">
            <w:pPr>
              <w:rPr>
                <w:rFonts w:ascii="Times New Roman" w:hAnsi="Times New Roman" w:cs="Times New Roman"/>
                <w:lang w:val="pl-PL"/>
              </w:rPr>
            </w:pPr>
          </w:p>
        </w:tc>
        <w:tc>
          <w:tcPr>
            <w:tcW w:w="2171" w:type="dxa"/>
            <w:tcBorders>
              <w:top w:val="single" w:sz="7" w:space="0" w:color="000000"/>
              <w:left w:val="single" w:sz="7" w:space="0" w:color="000000"/>
              <w:bottom w:val="single" w:sz="7" w:space="0" w:color="000000"/>
              <w:right w:val="single" w:sz="7" w:space="0" w:color="000000"/>
            </w:tcBorders>
          </w:tcPr>
          <w:p w14:paraId="150293C2" w14:textId="77777777" w:rsidR="004B3D26" w:rsidRPr="008F328C" w:rsidRDefault="004B3D26" w:rsidP="00B2198A">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standardowa</w:t>
            </w:r>
          </w:p>
          <w:p w14:paraId="1EEB4322" w14:textId="77777777" w:rsidR="004B3D26" w:rsidRPr="008F328C" w:rsidRDefault="004B3D26" w:rsidP="00B2198A">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40/20 mg, co drugi tydzień</w:t>
            </w:r>
          </w:p>
        </w:tc>
        <w:tc>
          <w:tcPr>
            <w:tcW w:w="1620" w:type="dxa"/>
            <w:tcBorders>
              <w:top w:val="single" w:sz="7" w:space="0" w:color="000000"/>
              <w:left w:val="single" w:sz="7" w:space="0" w:color="000000"/>
              <w:bottom w:val="single" w:sz="7" w:space="0" w:color="000000"/>
              <w:right w:val="single" w:sz="7" w:space="0" w:color="000000"/>
            </w:tcBorders>
          </w:tcPr>
          <w:p w14:paraId="427B3808" w14:textId="77777777" w:rsidR="004B3D26" w:rsidRPr="008F328C" w:rsidRDefault="004B3D26" w:rsidP="00B2198A">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w:t>
            </w:r>
          </w:p>
          <w:p w14:paraId="0C216C17" w14:textId="77777777" w:rsidR="004B3D26" w:rsidRPr="008F328C" w:rsidRDefault="004B3D26" w:rsidP="00B2198A">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20/10 mg, co drugi tydzień</w:t>
            </w:r>
          </w:p>
        </w:tc>
        <w:tc>
          <w:tcPr>
            <w:tcW w:w="1140" w:type="dxa"/>
            <w:tcBorders>
              <w:top w:val="single" w:sz="7" w:space="0" w:color="000000"/>
              <w:left w:val="single" w:sz="7" w:space="0" w:color="000000"/>
              <w:bottom w:val="single" w:sz="7" w:space="0" w:color="000000"/>
              <w:right w:val="single" w:sz="7" w:space="0" w:color="000000"/>
            </w:tcBorders>
          </w:tcPr>
          <w:p w14:paraId="793C7862" w14:textId="77777777" w:rsidR="004B3D26" w:rsidRPr="008F328C" w:rsidRDefault="004B3D26" w:rsidP="00B2198A">
            <w:pPr>
              <w:pStyle w:val="TableParagraph"/>
              <w:spacing w:line="251"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lang w:val="pl-PL"/>
              </w:rPr>
              <w:t>Wartość p</w:t>
            </w:r>
            <w:r w:rsidRPr="008F328C">
              <w:rPr>
                <w:rFonts w:ascii="Times New Roman" w:eastAsia="Times New Roman" w:hAnsi="Times New Roman" w:cs="Times New Roman"/>
                <w:b/>
                <w:bCs/>
                <w:sz w:val="14"/>
                <w:szCs w:val="14"/>
                <w:lang w:val="pl-PL"/>
              </w:rPr>
              <w:t>1</w:t>
            </w:r>
          </w:p>
        </w:tc>
      </w:tr>
      <w:tr w:rsidR="004B3D26" w:rsidRPr="008F328C" w14:paraId="5FE56BE8"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6A2D1F46" w14:textId="77777777" w:rsidR="004B3D26" w:rsidRPr="008F328C" w:rsidRDefault="004B3D26" w:rsidP="00B2198A">
            <w:pPr>
              <w:pStyle w:val="TableParagraph"/>
              <w:spacing w:line="251" w:lineRule="exact"/>
              <w:ind w:left="-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Zaprzestanie przyjmowania kortykosteroidów</w:t>
            </w:r>
          </w:p>
        </w:tc>
        <w:tc>
          <w:tcPr>
            <w:tcW w:w="2171" w:type="dxa"/>
            <w:tcBorders>
              <w:top w:val="single" w:sz="7" w:space="0" w:color="000000"/>
              <w:left w:val="single" w:sz="7" w:space="0" w:color="000000"/>
              <w:bottom w:val="single" w:sz="7" w:space="0" w:color="000000"/>
              <w:right w:val="single" w:sz="7" w:space="0" w:color="000000"/>
            </w:tcBorders>
          </w:tcPr>
          <w:p w14:paraId="6015B9A9" w14:textId="77777777" w:rsidR="004B3D26" w:rsidRPr="008F328C" w:rsidRDefault="004B3D26" w:rsidP="00B2198A">
            <w:pPr>
              <w:pStyle w:val="TableParagraph"/>
              <w:spacing w:line="251" w:lineRule="exact"/>
              <w:ind w:left="546"/>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N=33</w:t>
            </w:r>
          </w:p>
        </w:tc>
        <w:tc>
          <w:tcPr>
            <w:tcW w:w="1620" w:type="dxa"/>
            <w:tcBorders>
              <w:top w:val="single" w:sz="7" w:space="0" w:color="000000"/>
              <w:left w:val="single" w:sz="7" w:space="0" w:color="000000"/>
              <w:bottom w:val="single" w:sz="7" w:space="0" w:color="000000"/>
              <w:right w:val="single" w:sz="7" w:space="0" w:color="000000"/>
            </w:tcBorders>
          </w:tcPr>
          <w:p w14:paraId="3C80848D" w14:textId="77777777" w:rsidR="004B3D26" w:rsidRPr="008F328C" w:rsidRDefault="004B3D26" w:rsidP="00B2198A">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2969EE3D" w14:textId="77777777" w:rsidR="004B3D26" w:rsidRPr="008F328C" w:rsidRDefault="004B3D26" w:rsidP="00B2198A">
            <w:pPr>
              <w:rPr>
                <w:rFonts w:ascii="Times New Roman" w:hAnsi="Times New Roman" w:cs="Times New Roman"/>
                <w:lang w:val="pl-PL"/>
              </w:rPr>
            </w:pPr>
          </w:p>
        </w:tc>
      </w:tr>
      <w:tr w:rsidR="004B3D26" w:rsidRPr="008F328C" w14:paraId="611A88FF"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7F6983A3" w14:textId="77777777" w:rsidR="004B3D26" w:rsidRPr="008F328C" w:rsidRDefault="004B3D26" w:rsidP="00B2198A">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2171" w:type="dxa"/>
            <w:tcBorders>
              <w:top w:val="single" w:sz="7" w:space="0" w:color="000000"/>
              <w:left w:val="single" w:sz="7" w:space="0" w:color="000000"/>
              <w:bottom w:val="single" w:sz="7" w:space="0" w:color="000000"/>
              <w:right w:val="single" w:sz="7" w:space="0" w:color="000000"/>
            </w:tcBorders>
          </w:tcPr>
          <w:p w14:paraId="0DEBF4B0" w14:textId="77777777" w:rsidR="004B3D26" w:rsidRPr="008F328C" w:rsidRDefault="004B3D26" w:rsidP="00B2198A">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84,8%</w:t>
            </w:r>
          </w:p>
        </w:tc>
        <w:tc>
          <w:tcPr>
            <w:tcW w:w="1620" w:type="dxa"/>
            <w:tcBorders>
              <w:top w:val="single" w:sz="7" w:space="0" w:color="000000"/>
              <w:left w:val="single" w:sz="7" w:space="0" w:color="000000"/>
              <w:bottom w:val="single" w:sz="7" w:space="0" w:color="000000"/>
              <w:right w:val="single" w:sz="7" w:space="0" w:color="000000"/>
            </w:tcBorders>
          </w:tcPr>
          <w:p w14:paraId="3016A9C7" w14:textId="77777777" w:rsidR="004B3D26" w:rsidRPr="008F328C" w:rsidRDefault="004B3D26" w:rsidP="00B2198A">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65,8%</w:t>
            </w:r>
          </w:p>
        </w:tc>
        <w:tc>
          <w:tcPr>
            <w:tcW w:w="1140" w:type="dxa"/>
            <w:tcBorders>
              <w:top w:val="single" w:sz="7" w:space="0" w:color="000000"/>
              <w:left w:val="single" w:sz="7" w:space="0" w:color="000000"/>
              <w:bottom w:val="single" w:sz="7" w:space="0" w:color="000000"/>
              <w:right w:val="single" w:sz="7" w:space="0" w:color="000000"/>
            </w:tcBorders>
          </w:tcPr>
          <w:p w14:paraId="707C06B7" w14:textId="77777777" w:rsidR="004B3D26" w:rsidRPr="008F328C" w:rsidRDefault="004B3D26" w:rsidP="00B2198A">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0,066</w:t>
            </w:r>
          </w:p>
        </w:tc>
      </w:tr>
      <w:tr w:rsidR="004B3D26" w:rsidRPr="008F328C" w14:paraId="26E2D678"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52069BD7" w14:textId="77777777" w:rsidR="004B3D26" w:rsidRPr="008F328C" w:rsidRDefault="004B3D26" w:rsidP="00B2198A">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2171" w:type="dxa"/>
            <w:tcBorders>
              <w:top w:val="single" w:sz="7" w:space="0" w:color="000000"/>
              <w:left w:val="single" w:sz="7" w:space="0" w:color="000000"/>
              <w:bottom w:val="single" w:sz="7" w:space="0" w:color="000000"/>
              <w:right w:val="single" w:sz="7" w:space="0" w:color="000000"/>
            </w:tcBorders>
          </w:tcPr>
          <w:p w14:paraId="629574F3" w14:textId="77777777" w:rsidR="004B3D26" w:rsidRPr="008F328C" w:rsidRDefault="004B3D26" w:rsidP="00B2198A">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69,7%</w:t>
            </w:r>
          </w:p>
        </w:tc>
        <w:tc>
          <w:tcPr>
            <w:tcW w:w="1620" w:type="dxa"/>
            <w:tcBorders>
              <w:top w:val="single" w:sz="7" w:space="0" w:color="000000"/>
              <w:left w:val="single" w:sz="7" w:space="0" w:color="000000"/>
              <w:bottom w:val="single" w:sz="7" w:space="0" w:color="000000"/>
              <w:right w:val="single" w:sz="7" w:space="0" w:color="000000"/>
            </w:tcBorders>
          </w:tcPr>
          <w:p w14:paraId="1AB4730F" w14:textId="77777777" w:rsidR="004B3D26" w:rsidRPr="008F328C" w:rsidRDefault="004B3D26" w:rsidP="00B2198A">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60,5%</w:t>
            </w:r>
          </w:p>
        </w:tc>
        <w:tc>
          <w:tcPr>
            <w:tcW w:w="1140" w:type="dxa"/>
            <w:tcBorders>
              <w:top w:val="single" w:sz="7" w:space="0" w:color="000000"/>
              <w:left w:val="single" w:sz="7" w:space="0" w:color="000000"/>
              <w:bottom w:val="single" w:sz="7" w:space="0" w:color="000000"/>
              <w:right w:val="single" w:sz="7" w:space="0" w:color="000000"/>
            </w:tcBorders>
          </w:tcPr>
          <w:p w14:paraId="17AEC5B1" w14:textId="77777777" w:rsidR="004B3D26" w:rsidRPr="008F328C" w:rsidRDefault="004B3D26" w:rsidP="00B2198A">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0,420</w:t>
            </w:r>
          </w:p>
        </w:tc>
      </w:tr>
      <w:tr w:rsidR="004B3D26" w:rsidRPr="008F328C" w14:paraId="62CE98A3"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674A71CA" w14:textId="77777777" w:rsidR="004B3D26" w:rsidRPr="008F328C" w:rsidRDefault="004B3D26" w:rsidP="00B2198A">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Zaprzestanie przyjmowania leków immunomodulujących</w:t>
            </w:r>
            <w:r w:rsidRPr="008F328C">
              <w:rPr>
                <w:rFonts w:ascii="Times New Roman" w:eastAsia="Times New Roman" w:hAnsi="Times New Roman" w:cs="Times New Roman"/>
                <w:spacing w:val="-1"/>
                <w:vertAlign w:val="superscript"/>
                <w:lang w:val="pl-PL"/>
              </w:rPr>
              <w:t>2</w:t>
            </w:r>
          </w:p>
        </w:tc>
        <w:tc>
          <w:tcPr>
            <w:tcW w:w="2171" w:type="dxa"/>
            <w:tcBorders>
              <w:top w:val="single" w:sz="7" w:space="0" w:color="000000"/>
              <w:left w:val="single" w:sz="7" w:space="0" w:color="000000"/>
              <w:bottom w:val="single" w:sz="7" w:space="0" w:color="000000"/>
              <w:right w:val="single" w:sz="7" w:space="0" w:color="000000"/>
            </w:tcBorders>
          </w:tcPr>
          <w:p w14:paraId="2DFC3511" w14:textId="77777777" w:rsidR="004B3D26" w:rsidRPr="008F328C" w:rsidRDefault="004B3D26" w:rsidP="00B2198A">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N=60</w:t>
            </w:r>
          </w:p>
        </w:tc>
        <w:tc>
          <w:tcPr>
            <w:tcW w:w="1620" w:type="dxa"/>
            <w:tcBorders>
              <w:top w:val="single" w:sz="7" w:space="0" w:color="000000"/>
              <w:left w:val="single" w:sz="7" w:space="0" w:color="000000"/>
              <w:bottom w:val="single" w:sz="7" w:space="0" w:color="000000"/>
              <w:right w:val="single" w:sz="7" w:space="0" w:color="000000"/>
            </w:tcBorders>
          </w:tcPr>
          <w:p w14:paraId="3F8C891E" w14:textId="77777777" w:rsidR="004B3D26" w:rsidRPr="008F328C" w:rsidRDefault="004B3D26" w:rsidP="00B2198A">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0D7529BB" w14:textId="77777777" w:rsidR="004B3D26" w:rsidRPr="008F328C" w:rsidRDefault="004B3D26" w:rsidP="00B2198A">
            <w:pPr>
              <w:rPr>
                <w:rFonts w:ascii="Times New Roman" w:hAnsi="Times New Roman" w:cs="Times New Roman"/>
                <w:lang w:val="pl-PL"/>
              </w:rPr>
            </w:pPr>
          </w:p>
        </w:tc>
      </w:tr>
      <w:tr w:rsidR="004B3D26" w:rsidRPr="008F328C" w14:paraId="2095986B"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2AC29DC7" w14:textId="77777777" w:rsidR="004B3D26" w:rsidRPr="008F328C" w:rsidRDefault="004B3D26" w:rsidP="00B2198A">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2171" w:type="dxa"/>
            <w:tcBorders>
              <w:top w:val="single" w:sz="7" w:space="0" w:color="000000"/>
              <w:left w:val="single" w:sz="7" w:space="0" w:color="000000"/>
              <w:bottom w:val="single" w:sz="7" w:space="0" w:color="000000"/>
              <w:right w:val="single" w:sz="7" w:space="0" w:color="000000"/>
            </w:tcBorders>
          </w:tcPr>
          <w:p w14:paraId="072B98BD" w14:textId="77777777" w:rsidR="004B3D26" w:rsidRPr="008F328C" w:rsidRDefault="004B3D26" w:rsidP="00B2198A">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30,0%</w:t>
            </w:r>
          </w:p>
        </w:tc>
        <w:tc>
          <w:tcPr>
            <w:tcW w:w="1620" w:type="dxa"/>
            <w:tcBorders>
              <w:top w:val="single" w:sz="7" w:space="0" w:color="000000"/>
              <w:left w:val="single" w:sz="7" w:space="0" w:color="000000"/>
              <w:bottom w:val="single" w:sz="7" w:space="0" w:color="000000"/>
              <w:right w:val="single" w:sz="7" w:space="0" w:color="000000"/>
            </w:tcBorders>
          </w:tcPr>
          <w:p w14:paraId="2E8F3C0A" w14:textId="77777777" w:rsidR="004B3D26" w:rsidRPr="008F328C" w:rsidRDefault="004B3D26" w:rsidP="00B2198A">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29,8%</w:t>
            </w:r>
          </w:p>
        </w:tc>
        <w:tc>
          <w:tcPr>
            <w:tcW w:w="1140" w:type="dxa"/>
            <w:tcBorders>
              <w:top w:val="single" w:sz="7" w:space="0" w:color="000000"/>
              <w:left w:val="single" w:sz="7" w:space="0" w:color="000000"/>
              <w:bottom w:val="single" w:sz="7" w:space="0" w:color="000000"/>
              <w:right w:val="single" w:sz="7" w:space="0" w:color="000000"/>
            </w:tcBorders>
          </w:tcPr>
          <w:p w14:paraId="47FF1A02" w14:textId="77777777" w:rsidR="004B3D26" w:rsidRPr="008F328C" w:rsidRDefault="004B3D26" w:rsidP="00B2198A">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0,983</w:t>
            </w:r>
          </w:p>
        </w:tc>
      </w:tr>
      <w:tr w:rsidR="004B3D26" w:rsidRPr="008F328C" w14:paraId="56A6296E"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2605049C" w14:textId="77777777" w:rsidR="004B3D26" w:rsidRPr="008F328C" w:rsidRDefault="004B3D26" w:rsidP="00B2198A">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Remisja przetok</w:t>
            </w:r>
            <w:r w:rsidRPr="008F328C">
              <w:rPr>
                <w:rFonts w:ascii="Times New Roman" w:eastAsia="Times New Roman" w:hAnsi="Times New Roman" w:cs="Times New Roman"/>
                <w:spacing w:val="-1"/>
                <w:vertAlign w:val="superscript"/>
                <w:lang w:val="pl-PL"/>
              </w:rPr>
              <w:t>3</w:t>
            </w:r>
          </w:p>
        </w:tc>
        <w:tc>
          <w:tcPr>
            <w:tcW w:w="2171" w:type="dxa"/>
            <w:tcBorders>
              <w:top w:val="single" w:sz="7" w:space="0" w:color="000000"/>
              <w:left w:val="single" w:sz="7" w:space="0" w:color="000000"/>
              <w:bottom w:val="single" w:sz="7" w:space="0" w:color="000000"/>
              <w:right w:val="single" w:sz="7" w:space="0" w:color="000000"/>
            </w:tcBorders>
          </w:tcPr>
          <w:p w14:paraId="298E8FF1" w14:textId="77777777" w:rsidR="004B3D26" w:rsidRPr="008F328C" w:rsidRDefault="004B3D26" w:rsidP="00B2198A">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N=15</w:t>
            </w:r>
          </w:p>
        </w:tc>
        <w:tc>
          <w:tcPr>
            <w:tcW w:w="1620" w:type="dxa"/>
            <w:tcBorders>
              <w:top w:val="single" w:sz="7" w:space="0" w:color="000000"/>
              <w:left w:val="single" w:sz="7" w:space="0" w:color="000000"/>
              <w:bottom w:val="single" w:sz="7" w:space="0" w:color="000000"/>
              <w:right w:val="single" w:sz="7" w:space="0" w:color="000000"/>
            </w:tcBorders>
          </w:tcPr>
          <w:p w14:paraId="5D34DE06" w14:textId="77777777" w:rsidR="004B3D26" w:rsidRPr="008F328C" w:rsidRDefault="004B3D26" w:rsidP="00B2198A">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N=21</w:t>
            </w:r>
          </w:p>
        </w:tc>
        <w:tc>
          <w:tcPr>
            <w:tcW w:w="1140" w:type="dxa"/>
            <w:tcBorders>
              <w:top w:val="single" w:sz="7" w:space="0" w:color="000000"/>
              <w:left w:val="single" w:sz="7" w:space="0" w:color="000000"/>
              <w:bottom w:val="single" w:sz="7" w:space="0" w:color="000000"/>
              <w:right w:val="single" w:sz="7" w:space="0" w:color="000000"/>
            </w:tcBorders>
          </w:tcPr>
          <w:p w14:paraId="50368557" w14:textId="77777777" w:rsidR="004B3D26" w:rsidRPr="008F328C" w:rsidRDefault="004B3D26" w:rsidP="00B2198A">
            <w:pPr>
              <w:rPr>
                <w:rFonts w:ascii="Times New Roman" w:hAnsi="Times New Roman" w:cs="Times New Roman"/>
                <w:lang w:val="pl-PL"/>
              </w:rPr>
            </w:pPr>
          </w:p>
        </w:tc>
      </w:tr>
      <w:tr w:rsidR="004B3D26" w:rsidRPr="008F328C" w14:paraId="2881CF4C" w14:textId="77777777" w:rsidTr="00B2198A">
        <w:tc>
          <w:tcPr>
            <w:tcW w:w="3510" w:type="dxa"/>
            <w:tcBorders>
              <w:top w:val="single" w:sz="7" w:space="0" w:color="000000"/>
              <w:left w:val="single" w:sz="7" w:space="0" w:color="000000"/>
              <w:bottom w:val="single" w:sz="7" w:space="0" w:color="000000"/>
              <w:right w:val="single" w:sz="7" w:space="0" w:color="000000"/>
            </w:tcBorders>
          </w:tcPr>
          <w:p w14:paraId="3F903E19" w14:textId="77777777" w:rsidR="004B3D26" w:rsidRPr="008F328C" w:rsidRDefault="004B3D26" w:rsidP="00B2198A">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2171" w:type="dxa"/>
            <w:tcBorders>
              <w:top w:val="single" w:sz="7" w:space="0" w:color="000000"/>
              <w:left w:val="single" w:sz="7" w:space="0" w:color="000000"/>
              <w:bottom w:val="single" w:sz="7" w:space="0" w:color="000000"/>
              <w:right w:val="single" w:sz="7" w:space="0" w:color="000000"/>
            </w:tcBorders>
          </w:tcPr>
          <w:p w14:paraId="1BAB1675" w14:textId="77777777" w:rsidR="004B3D26" w:rsidRPr="008F328C" w:rsidRDefault="004B3D26" w:rsidP="00B2198A">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46,7%</w:t>
            </w:r>
          </w:p>
        </w:tc>
        <w:tc>
          <w:tcPr>
            <w:tcW w:w="1620" w:type="dxa"/>
            <w:tcBorders>
              <w:top w:val="single" w:sz="7" w:space="0" w:color="000000"/>
              <w:left w:val="single" w:sz="7" w:space="0" w:color="000000"/>
              <w:bottom w:val="single" w:sz="7" w:space="0" w:color="000000"/>
              <w:right w:val="single" w:sz="7" w:space="0" w:color="000000"/>
            </w:tcBorders>
          </w:tcPr>
          <w:p w14:paraId="0D894406" w14:textId="77777777" w:rsidR="004B3D26" w:rsidRPr="008F328C" w:rsidRDefault="004B3D26" w:rsidP="00B2198A">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38,1%</w:t>
            </w:r>
          </w:p>
        </w:tc>
        <w:tc>
          <w:tcPr>
            <w:tcW w:w="1140" w:type="dxa"/>
            <w:tcBorders>
              <w:top w:val="single" w:sz="7" w:space="0" w:color="000000"/>
              <w:left w:val="single" w:sz="7" w:space="0" w:color="000000"/>
              <w:bottom w:val="single" w:sz="7" w:space="0" w:color="000000"/>
              <w:right w:val="single" w:sz="7" w:space="0" w:color="000000"/>
            </w:tcBorders>
          </w:tcPr>
          <w:p w14:paraId="66035286" w14:textId="77777777" w:rsidR="004B3D26" w:rsidRPr="008F328C" w:rsidRDefault="004B3D26" w:rsidP="00B2198A">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0,608</w:t>
            </w:r>
          </w:p>
        </w:tc>
      </w:tr>
      <w:tr w:rsidR="004B3D26" w:rsidRPr="008F328C" w14:paraId="49CAE7B1" w14:textId="77777777" w:rsidTr="00B2198A">
        <w:tc>
          <w:tcPr>
            <w:tcW w:w="3510" w:type="dxa"/>
            <w:tcBorders>
              <w:top w:val="single" w:sz="7" w:space="0" w:color="000000"/>
              <w:left w:val="single" w:sz="7" w:space="0" w:color="000000"/>
              <w:bottom w:val="single" w:sz="5" w:space="0" w:color="000000"/>
              <w:right w:val="single" w:sz="7" w:space="0" w:color="000000"/>
            </w:tcBorders>
          </w:tcPr>
          <w:p w14:paraId="16FA70AD" w14:textId="77777777" w:rsidR="004B3D26" w:rsidRPr="008F328C" w:rsidRDefault="004B3D26" w:rsidP="00B2198A">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2171" w:type="dxa"/>
            <w:tcBorders>
              <w:top w:val="single" w:sz="7" w:space="0" w:color="000000"/>
              <w:left w:val="single" w:sz="7" w:space="0" w:color="000000"/>
              <w:bottom w:val="single" w:sz="5" w:space="0" w:color="000000"/>
              <w:right w:val="single" w:sz="7" w:space="0" w:color="000000"/>
            </w:tcBorders>
          </w:tcPr>
          <w:p w14:paraId="20C15D10" w14:textId="77777777" w:rsidR="004B3D26" w:rsidRPr="008F328C" w:rsidRDefault="004B3D26" w:rsidP="00B2198A">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40,0%</w:t>
            </w:r>
          </w:p>
        </w:tc>
        <w:tc>
          <w:tcPr>
            <w:tcW w:w="1620" w:type="dxa"/>
            <w:tcBorders>
              <w:top w:val="single" w:sz="7" w:space="0" w:color="000000"/>
              <w:left w:val="single" w:sz="7" w:space="0" w:color="000000"/>
              <w:bottom w:val="single" w:sz="5" w:space="0" w:color="000000"/>
              <w:right w:val="single" w:sz="7" w:space="0" w:color="000000"/>
            </w:tcBorders>
          </w:tcPr>
          <w:p w14:paraId="351BFBD7" w14:textId="77777777" w:rsidR="004B3D26" w:rsidRPr="008F328C" w:rsidRDefault="004B3D26" w:rsidP="00B2198A">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140" w:type="dxa"/>
            <w:tcBorders>
              <w:top w:val="single" w:sz="7" w:space="0" w:color="000000"/>
              <w:left w:val="single" w:sz="7" w:space="0" w:color="000000"/>
              <w:bottom w:val="single" w:sz="5" w:space="0" w:color="000000"/>
              <w:right w:val="single" w:sz="7" w:space="0" w:color="000000"/>
            </w:tcBorders>
          </w:tcPr>
          <w:p w14:paraId="0D993675" w14:textId="77777777" w:rsidR="004B3D26" w:rsidRPr="008F328C" w:rsidRDefault="004B3D26" w:rsidP="00B2198A">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0,303</w:t>
            </w:r>
          </w:p>
        </w:tc>
      </w:tr>
    </w:tbl>
    <w:p w14:paraId="08274C31" w14:textId="77777777" w:rsidR="004B3D26" w:rsidRPr="008F328C" w:rsidRDefault="004B3D26" w:rsidP="004B3D26">
      <w:pPr>
        <w:pStyle w:val="a3"/>
        <w:numPr>
          <w:ilvl w:val="0"/>
          <w:numId w:val="1"/>
        </w:numPr>
        <w:ind w:left="550" w:hangingChars="250" w:hanging="550"/>
        <w:rPr>
          <w:lang w:val="pl-PL"/>
        </w:rPr>
      </w:pPr>
      <w:r w:rsidRPr="008F328C">
        <w:rPr>
          <w:rFonts w:eastAsia="Times New Roman"/>
          <w:lang w:val="pl-PL"/>
        </w:rPr>
        <w:t>Wartość p – dawka standardowa w porównaniu z małą dawką.</w:t>
      </w:r>
    </w:p>
    <w:p w14:paraId="66A2B3F0" w14:textId="77777777" w:rsidR="004B3D26" w:rsidRPr="008F328C" w:rsidRDefault="004B3D26" w:rsidP="004B3D26">
      <w:pPr>
        <w:pStyle w:val="a3"/>
        <w:numPr>
          <w:ilvl w:val="0"/>
          <w:numId w:val="1"/>
        </w:numPr>
        <w:ind w:left="550" w:hangingChars="250" w:hanging="550"/>
        <w:rPr>
          <w:lang w:val="pl-PL"/>
        </w:rPr>
      </w:pPr>
      <w:r w:rsidRPr="008F328C">
        <w:rPr>
          <w:rFonts w:eastAsia="Times New Roman"/>
          <w:lang w:val="pl-PL"/>
        </w:rPr>
        <w:t>Jeśli pacjent spełniał kryterium odpowiedzi klinicznej, leczenie immunosupresyjne można było przerwać wyłącznie w 26. tygodniu lub po 26. tygodniu, według uznania badacza.</w:t>
      </w:r>
    </w:p>
    <w:p w14:paraId="0ADDEA9D" w14:textId="77777777" w:rsidR="004B3D26" w:rsidRPr="008F328C" w:rsidRDefault="004B3D26" w:rsidP="004B3D26">
      <w:pPr>
        <w:pStyle w:val="a3"/>
        <w:numPr>
          <w:ilvl w:val="0"/>
          <w:numId w:val="1"/>
        </w:numPr>
        <w:ind w:left="550" w:hangingChars="250" w:hanging="550"/>
        <w:rPr>
          <w:lang w:val="pl-PL"/>
        </w:rPr>
      </w:pPr>
      <w:r w:rsidRPr="008F328C">
        <w:rPr>
          <w:rFonts w:eastAsia="Times New Roman"/>
          <w:lang w:val="pl-PL"/>
        </w:rPr>
        <w:t>Definiowane jako zamknięcie wszystkich przetok czynnych w czasie rozpoczynania badania, które obserwowano podczas co najmniej 2 kolejnych wizyt po rozpoczęciu badania.</w:t>
      </w:r>
    </w:p>
    <w:p w14:paraId="7E7E3623" w14:textId="77777777" w:rsidR="004B3D26" w:rsidRPr="008F328C" w:rsidRDefault="004B3D26" w:rsidP="004B3D26">
      <w:pPr>
        <w:spacing w:before="8" w:line="170" w:lineRule="exact"/>
        <w:rPr>
          <w:rFonts w:ascii="Times New Roman" w:hAnsi="Times New Roman" w:cs="Times New Roman"/>
          <w:sz w:val="17"/>
          <w:szCs w:val="17"/>
          <w:lang w:val="pl-PL"/>
        </w:rPr>
      </w:pPr>
    </w:p>
    <w:p w14:paraId="4AEFEA41" w14:textId="77777777" w:rsidR="004B3D26" w:rsidRPr="008F328C" w:rsidRDefault="004B3D26" w:rsidP="004B3D26">
      <w:pPr>
        <w:pStyle w:val="a3"/>
        <w:rPr>
          <w:lang w:val="pl-PL"/>
        </w:rPr>
      </w:pPr>
      <w:r w:rsidRPr="008F328C">
        <w:rPr>
          <w:rFonts w:eastAsia="Times New Roman"/>
          <w:lang w:val="pl-PL"/>
        </w:rPr>
        <w:t>W obydwu leczonych grupach, w 26. i 52. tygodniu obserwowano statystycznie istotne zwiększenie (poprawę) w stosunku do wartości wyjściowych wskaźnika masy ciała i tempa wzrostu.</w:t>
      </w:r>
    </w:p>
    <w:p w14:paraId="70FA9E18" w14:textId="77777777" w:rsidR="004B3D26" w:rsidRPr="008F328C" w:rsidRDefault="004B3D26" w:rsidP="004B3D26">
      <w:pPr>
        <w:spacing w:before="14" w:line="240" w:lineRule="exact"/>
        <w:rPr>
          <w:rFonts w:ascii="Times New Roman" w:hAnsi="Times New Roman" w:cs="Times New Roman"/>
          <w:sz w:val="24"/>
          <w:szCs w:val="24"/>
          <w:lang w:val="pl-PL"/>
        </w:rPr>
      </w:pPr>
    </w:p>
    <w:p w14:paraId="599000CB" w14:textId="77777777" w:rsidR="004B3D26" w:rsidRPr="008F328C" w:rsidRDefault="004B3D26" w:rsidP="004B3D26">
      <w:pPr>
        <w:pStyle w:val="a3"/>
        <w:rPr>
          <w:lang w:val="pl-PL"/>
        </w:rPr>
      </w:pPr>
      <w:r w:rsidRPr="008F328C">
        <w:rPr>
          <w:rFonts w:eastAsia="Times New Roman"/>
          <w:lang w:val="pl-PL"/>
        </w:rPr>
        <w:t>W obydwu grupach obserwowano również istotną statystycznie i klinicznie poprawę w stosunku do wartości wyjściowych parametrów jakości życia (w tym IMPACT III).</w:t>
      </w:r>
    </w:p>
    <w:p w14:paraId="047B522D" w14:textId="77777777" w:rsidR="004B3D26" w:rsidRPr="008F328C" w:rsidRDefault="004B3D26" w:rsidP="004B3D26">
      <w:pPr>
        <w:pStyle w:val="a3"/>
        <w:rPr>
          <w:lang w:val="pl-PL"/>
        </w:rPr>
      </w:pPr>
    </w:p>
    <w:p w14:paraId="0A0C4771" w14:textId="77777777" w:rsidR="004B3D26" w:rsidRPr="008F328C" w:rsidRDefault="004B3D26" w:rsidP="004B3D26">
      <w:pPr>
        <w:pStyle w:val="a3"/>
        <w:rPr>
          <w:lang w:val="pl-PL"/>
        </w:rPr>
      </w:pPr>
      <w:r w:rsidRPr="008F328C">
        <w:rPr>
          <w:rFonts w:eastAsia="Times New Roman"/>
          <w:lang w:val="pl-PL"/>
        </w:rPr>
        <w:t>Stu pacjentów (n=100) z badania klinicznego populacji dzieci i młodzieży z chorobą Leśniowskiego-Crohna kontynuowało leczenie w długookresowym otwartym badaniu kontynuacyjnym. Po 5 latach leczenia adalimumabem, z 50 pacjentów pozostających w badaniu 74,0% (37/50) nadal było w remisji klinicznej, a 92,0% (46/50) nadal wykazywało odpowiedź kliniczną wg. wskaźnika PCDAI.</w:t>
      </w:r>
    </w:p>
    <w:p w14:paraId="141D6B48" w14:textId="77777777" w:rsidR="004B3D26" w:rsidRPr="00D97EE5" w:rsidRDefault="004B3D26" w:rsidP="004B3D26">
      <w:pPr>
        <w:rPr>
          <w:lang w:val="pl-PL"/>
        </w:rPr>
      </w:pPr>
    </w:p>
    <w:p w14:paraId="47A96998" w14:textId="77777777" w:rsidR="004B3D26" w:rsidRPr="008F328C" w:rsidRDefault="004B3D26" w:rsidP="004B3D26">
      <w:pPr>
        <w:keepNext/>
        <w:rPr>
          <w:rFonts w:ascii="Times New Roman" w:hAnsi="Times New Roman" w:cs="Times New Roman"/>
          <w:bCs/>
          <w:i/>
          <w:lang w:val="pl-PL"/>
        </w:rPr>
      </w:pPr>
      <w:r w:rsidRPr="008F328C">
        <w:rPr>
          <w:rFonts w:ascii="Times New Roman" w:hAnsi="Times New Roman" w:cs="Times New Roman"/>
          <w:bCs/>
          <w:i/>
          <w:lang w:val="pl-PL"/>
        </w:rPr>
        <w:t>Wrzodziejące zapalenie jelita grubego u dzieci i młodzieży</w:t>
      </w:r>
    </w:p>
    <w:p w14:paraId="4944CE26" w14:textId="77777777" w:rsidR="004B3D26" w:rsidRPr="008F328C" w:rsidRDefault="004B3D26" w:rsidP="004B3D26">
      <w:pPr>
        <w:keepNext/>
        <w:rPr>
          <w:rFonts w:ascii="Times New Roman" w:hAnsi="Times New Roman" w:cs="Times New Roman"/>
          <w:bCs/>
          <w:i/>
          <w:lang w:val="pl-PL"/>
        </w:rPr>
      </w:pPr>
    </w:p>
    <w:p w14:paraId="6FA57127"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 xml:space="preserve">Bezpieczeństwo stosowania i skuteczność produktu </w:t>
      </w:r>
      <w:r w:rsidRPr="008F328C">
        <w:rPr>
          <w:rFonts w:ascii="Times New Roman" w:eastAsia="Times New Roman" w:hAnsi="Times New Roman" w:cs="Times New Roman"/>
          <w:lang w:val="pl-PL"/>
        </w:rPr>
        <w:t xml:space="preserve">adalimumabu </w:t>
      </w:r>
      <w:r w:rsidRPr="008F328C">
        <w:rPr>
          <w:rFonts w:ascii="Times New Roman" w:hAnsi="Times New Roman" w:cs="Times New Roman"/>
          <w:lang w:val="pl-PL"/>
        </w:rPr>
        <w:t>oceniano w wieloośrodkowym, randomizowanym badaniu klinicznym z podwójnie ślepą próbą u 93 pacjentów pediatrycznych w wieku od 5 do 17 lat z umiarkowanym do ciężkiego wrzodziejącym zapaleniem jelita grubego (ocena aktywności choroby w skali Mayo od 6 do 12 punktów z oceną obrazu endoskopowego od 2 do 3 punktów, potwierdzona przez centralną weryfikację badania endoskopowego), którzy wykazali niewystarczającą odpowiedź na standardowe leczenie lub go nie tolerowali. Około 16% pacjentów biorących udział w badaniu było uprzednio poddanych nieskutecznemu leczeniu antagonistą TNF. Pacjentom, którzy w chwili włączenia do badania otrzymywali kortykosteroidy, zezwolono na stopnione zmniejszanie ich dawki po upływie 4. tygodnia.</w:t>
      </w:r>
    </w:p>
    <w:p w14:paraId="38F2CDD8" w14:textId="77777777" w:rsidR="004B3D26" w:rsidRPr="008F328C" w:rsidRDefault="004B3D26" w:rsidP="004B3D26">
      <w:pPr>
        <w:rPr>
          <w:rFonts w:ascii="Times New Roman" w:hAnsi="Times New Roman" w:cs="Times New Roman"/>
          <w:lang w:val="pl-PL"/>
        </w:rPr>
      </w:pPr>
    </w:p>
    <w:p w14:paraId="55CFA7DE" w14:textId="77777777" w:rsidR="004B3D26" w:rsidRPr="008F328C" w:rsidRDefault="004B3D26" w:rsidP="004B3D26">
      <w:pPr>
        <w:rPr>
          <w:rFonts w:ascii="Times New Roman" w:hAnsi="Times New Roman" w:cs="Times New Roman"/>
          <w:lang w:val="pl-PL"/>
        </w:rPr>
      </w:pPr>
      <w:r w:rsidRPr="008F328C">
        <w:rPr>
          <w:rStyle w:val="normaltextrun"/>
          <w:rFonts w:ascii="Times New Roman" w:hAnsi="Times New Roman" w:cs="Times New Roman"/>
          <w:shd w:val="clear" w:color="auto" w:fill="FFFFFF"/>
          <w:lang w:val="pl-PL"/>
        </w:rPr>
        <w:t xml:space="preserve">W fazie indukcyjnej badania, 77 pacjentów przydzielono losowo w stosunku 3:2 do grup otrzymujących leczenie produktem </w:t>
      </w:r>
      <w:r w:rsidRPr="008F328C">
        <w:rPr>
          <w:rFonts w:ascii="Times New Roman" w:eastAsia="Times New Roman" w:hAnsi="Times New Roman" w:cs="Times New Roman"/>
          <w:lang w:val="pl-PL"/>
        </w:rPr>
        <w:t>adalimumab</w:t>
      </w:r>
      <w:r w:rsidRPr="008F328C">
        <w:rPr>
          <w:rStyle w:val="normaltextrun"/>
          <w:rFonts w:ascii="Times New Roman" w:hAnsi="Times New Roman" w:cs="Times New Roman"/>
          <w:shd w:val="clear" w:color="auto" w:fill="FFFFFF"/>
          <w:lang w:val="pl-PL"/>
        </w:rPr>
        <w:t xml:space="preserve">, podawane metodą podwójnie ślepej próby w dawce indukcyjnej 2,4 mg/kg (maksymalnie 160 mg) w 0. i 1. tygodniu oraz 1,2 mg/kg (maksymalnie 80 mg) w 2. tygodniu lub w dawce indukcyjnej 2,4 mg/kg (maksymalnie 160 mg) w 0. tygodniu, placebo w 1. tygodniu i 1,2 mg/kg (maksymalnie 80 mg) w 2. tygodniu. Obie grupy otrzymywały 0,6 mg/kg (maksymalnie 40 mg) w 4. i 6. tygodniu. Po wprowadzeniu zmiany do projektu badania, pozostałych 16 pacjentów, którzy zostali włączeni do fazy indukcyjnej, otrzymało w badaniu otwartym leczenie produktem </w:t>
      </w:r>
      <w:r w:rsidRPr="008F328C">
        <w:rPr>
          <w:rFonts w:ascii="Times New Roman" w:eastAsia="Times New Roman" w:hAnsi="Times New Roman" w:cs="Times New Roman"/>
          <w:lang w:val="pl-PL"/>
        </w:rPr>
        <w:t>adalimumabu</w:t>
      </w:r>
      <w:r w:rsidRPr="008F328C">
        <w:rPr>
          <w:rStyle w:val="normaltextrun"/>
          <w:rFonts w:ascii="Times New Roman" w:hAnsi="Times New Roman" w:cs="Times New Roman"/>
          <w:shd w:val="clear" w:color="auto" w:fill="FFFFFF"/>
          <w:lang w:val="pl-PL"/>
        </w:rPr>
        <w:t xml:space="preserve"> w dawce indukcyjnej 2,4 mg/kg (maksymalnie 160 mg) w 0. i 1. tygodniu oraz w dawce 1,2 mg/kg (maksymalnie 80 mg) w 2. tygodniu.</w:t>
      </w:r>
      <w:r w:rsidRPr="008F328C">
        <w:rPr>
          <w:rStyle w:val="eop"/>
          <w:rFonts w:ascii="Times New Roman" w:hAnsi="Times New Roman" w:cs="Times New Roman"/>
          <w:shd w:val="clear" w:color="auto" w:fill="FFFFFF"/>
          <w:lang w:val="pl-PL"/>
        </w:rPr>
        <w:t> </w:t>
      </w:r>
    </w:p>
    <w:p w14:paraId="1A67C5AB" w14:textId="77777777" w:rsidR="004B3D26" w:rsidRPr="008F328C" w:rsidRDefault="004B3D26" w:rsidP="004B3D26">
      <w:pPr>
        <w:rPr>
          <w:rFonts w:ascii="Times New Roman" w:hAnsi="Times New Roman" w:cs="Times New Roman"/>
          <w:lang w:val="pl-PL"/>
        </w:rPr>
      </w:pPr>
    </w:p>
    <w:p w14:paraId="1A16F8AE" w14:textId="77777777" w:rsidR="004B3D26" w:rsidRPr="008F328C" w:rsidRDefault="004B3D26" w:rsidP="004B3D26">
      <w:pPr>
        <w:rPr>
          <w:rStyle w:val="eop"/>
          <w:rFonts w:ascii="Times New Roman" w:hAnsi="Times New Roman" w:cs="Times New Roman"/>
          <w:shd w:val="clear" w:color="auto" w:fill="FFFFFF"/>
          <w:lang w:val="pl-PL"/>
        </w:rPr>
      </w:pPr>
      <w:r w:rsidRPr="008F328C">
        <w:rPr>
          <w:rStyle w:val="normaltextrun"/>
          <w:rFonts w:ascii="Times New Roman" w:hAnsi="Times New Roman" w:cs="Times New Roman"/>
          <w:shd w:val="clear" w:color="auto" w:fill="FFFFFF"/>
          <w:lang w:val="pl-PL"/>
        </w:rPr>
        <w:t xml:space="preserve">W 8. tygodniu, 62 pacjentów, którzy wykazywali odpowiedź kliniczną wg częściowej skali Mayo (ang. </w:t>
      </w:r>
      <w:r w:rsidRPr="008F328C">
        <w:rPr>
          <w:rStyle w:val="normaltextrun"/>
          <w:rFonts w:ascii="Times New Roman" w:hAnsi="Times New Roman" w:cs="Times New Roman"/>
          <w:i/>
          <w:iCs/>
          <w:shd w:val="clear" w:color="auto" w:fill="FFFFFF"/>
          <w:lang w:val="pl-PL"/>
        </w:rPr>
        <w:t>Partial Mayo Score</w:t>
      </w:r>
      <w:r w:rsidRPr="008F328C">
        <w:rPr>
          <w:rStyle w:val="normaltextrun"/>
          <w:rFonts w:ascii="Times New Roman" w:hAnsi="Times New Roman" w:cs="Times New Roman"/>
          <w:shd w:val="clear" w:color="auto" w:fill="FFFFFF"/>
          <w:lang w:val="pl-PL"/>
        </w:rPr>
        <w:t xml:space="preserve">, PMS; zdefiniowaną jako zmniejszenie oceny wg PMS o ≥ 2 punkty i ≥ 30% względem wartości wyjściowej), zostało przydzielonych losowo w stosunku 1:1 do grup otrzymujących leczenie podtrzymujące produktem </w:t>
      </w:r>
      <w:r w:rsidRPr="008F328C">
        <w:rPr>
          <w:rFonts w:ascii="Times New Roman" w:eastAsia="Times New Roman" w:hAnsi="Times New Roman" w:cs="Times New Roman"/>
          <w:lang w:val="pl-PL"/>
        </w:rPr>
        <w:t>adalimumabu</w:t>
      </w:r>
      <w:r w:rsidRPr="008F328C">
        <w:rPr>
          <w:rStyle w:val="normaltextrun"/>
          <w:rFonts w:ascii="Times New Roman" w:hAnsi="Times New Roman" w:cs="Times New Roman"/>
          <w:shd w:val="clear" w:color="auto" w:fill="FFFFFF"/>
          <w:lang w:val="pl-PL"/>
        </w:rPr>
        <w:t xml:space="preserve"> metodą podwójnie ślepej próby w dawce 0,6 mg/kg (maksymalnie 40 mg) co tydzień lub w dawce 0,6 mg/kg (maksymalnie 40 mg) co drugi tydzień. Przed wprowadzeniem zmiany do projektu badania, 12 dodatkowym pacjentom, którzy wykazywali odpowiedź kliniczną wg PMS, przydzielono losowo placebo, ale nie uwzględniono ich w konfirmacyjnej analizie skuteczności. </w:t>
      </w:r>
    </w:p>
    <w:p w14:paraId="7E4EF097" w14:textId="77777777" w:rsidR="004B3D26" w:rsidRPr="008F328C" w:rsidRDefault="004B3D26" w:rsidP="004B3D26">
      <w:pPr>
        <w:rPr>
          <w:rFonts w:ascii="Times New Roman" w:hAnsi="Times New Roman" w:cs="Times New Roman"/>
          <w:lang w:val="pl-PL"/>
        </w:rPr>
      </w:pPr>
    </w:p>
    <w:p w14:paraId="3570D8B4"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Zaostrzenie choroby zdefiniowano jako wzrost oceny wg PMS o co najmniej 3 punkty (u pacjentów z oceną wg PMS od 0 do 2 w 8. tygodniu), o co najmniej 2 punkty (u pacjentów z oceną wg PMS od 3 do 4 w 8. tygodniu) lub o co najmniej 1 punkt (u pacjentów z oceną wg PMS od 5 do 6 w 8. tygodniu). </w:t>
      </w:r>
    </w:p>
    <w:p w14:paraId="45363101" w14:textId="77777777" w:rsidR="004B3D26" w:rsidRPr="008F328C" w:rsidRDefault="004B3D26" w:rsidP="004B3D26">
      <w:pPr>
        <w:rPr>
          <w:rFonts w:ascii="Times New Roman" w:hAnsi="Times New Roman" w:cs="Times New Roman"/>
          <w:lang w:val="pl-PL"/>
        </w:rPr>
      </w:pPr>
    </w:p>
    <w:p w14:paraId="4B02D55E"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Pacjenci, którzy spełniali kryteria zaostrzenia choroby w 12. lub po 12. tygodniu, zostali przydzieleni losowo do otrzymywania dawki reindukcyjnej 2,4 mg/kg (maksymalnie 160 mg) lub 0,6 mg/kg (maksymalnie 40 mg), a następnie kontynuowali oni przyjmowanie odpowiednich dawek podtrzymujących. </w:t>
      </w:r>
    </w:p>
    <w:p w14:paraId="46C06777" w14:textId="77777777" w:rsidR="004B3D26" w:rsidRPr="008F328C" w:rsidRDefault="004B3D26" w:rsidP="004B3D26">
      <w:pPr>
        <w:spacing w:before="10" w:line="240" w:lineRule="exact"/>
        <w:rPr>
          <w:rFonts w:ascii="Times New Roman" w:hAnsi="Times New Roman" w:cs="Times New Roman"/>
          <w:sz w:val="24"/>
          <w:szCs w:val="24"/>
          <w:lang w:val="pl-PL"/>
        </w:rPr>
      </w:pPr>
    </w:p>
    <w:p w14:paraId="5E4E24C8" w14:textId="77777777" w:rsidR="004B3D26" w:rsidRPr="008F328C" w:rsidRDefault="004B3D26" w:rsidP="004B3D26">
      <w:pPr>
        <w:pStyle w:val="gtcbodytext"/>
        <w:spacing w:before="0" w:after="0" w:line="240" w:lineRule="auto"/>
        <w:rPr>
          <w:i/>
          <w:iCs/>
          <w:sz w:val="22"/>
          <w:szCs w:val="22"/>
          <w:u w:val="single"/>
          <w:lang w:val="pl-PL"/>
        </w:rPr>
      </w:pPr>
      <w:r w:rsidRPr="008F328C">
        <w:rPr>
          <w:i/>
          <w:sz w:val="22"/>
          <w:u w:val="single"/>
          <w:lang w:val="pl-PL"/>
        </w:rPr>
        <w:t>Wyniki dotyczące skuteczności</w:t>
      </w:r>
    </w:p>
    <w:p w14:paraId="76E603B7" w14:textId="77777777" w:rsidR="004B3D26" w:rsidRPr="008F328C" w:rsidRDefault="004B3D26" w:rsidP="004B3D26">
      <w:pPr>
        <w:rPr>
          <w:rFonts w:ascii="Times New Roman" w:hAnsi="Times New Roman" w:cs="Times New Roman"/>
          <w:lang w:val="pl-PL"/>
        </w:rPr>
      </w:pPr>
    </w:p>
    <w:p w14:paraId="7129755E"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 xml:space="preserve">Współistniejącymi, pierwszorzędowymi punktami końcowymi były remisja kliniczna wg PMS (zdefiniowana jako ocena punktowa PMS ≤ 2 oraz brak oceny punktowej &gt; 1 dla któregoś parametru) w 8. tygodniu oraz remisja kliniczna wg pełnej skali Mayo (ang. </w:t>
      </w:r>
      <w:r w:rsidRPr="008F328C">
        <w:rPr>
          <w:rFonts w:ascii="Times New Roman" w:hAnsi="Times New Roman" w:cs="Times New Roman"/>
          <w:i/>
          <w:iCs/>
          <w:lang w:val="pl-PL"/>
        </w:rPr>
        <w:t>Full Mayo Score</w:t>
      </w:r>
      <w:r w:rsidRPr="008F328C">
        <w:rPr>
          <w:rFonts w:ascii="Times New Roman" w:hAnsi="Times New Roman" w:cs="Times New Roman"/>
          <w:lang w:val="pl-PL"/>
        </w:rPr>
        <w:t>, FMS) (zdefiniowana jako ocena punktowa w skali Mayo ≤ 2 oraz brak oceny punktowej &gt; 1 dla któregoś parametru) w 52. tygodniu u pacjentów, którzy uzyskali odpowiedź kliniczną wg PMS w 8. tygodniu.</w:t>
      </w:r>
    </w:p>
    <w:p w14:paraId="5E889AF2" w14:textId="77777777" w:rsidR="004B3D26" w:rsidRPr="008F328C" w:rsidRDefault="004B3D26" w:rsidP="004B3D26">
      <w:pPr>
        <w:textAlignment w:val="baseline"/>
        <w:rPr>
          <w:rFonts w:ascii="Times New Roman" w:hAnsi="Times New Roman" w:cs="Times New Roman"/>
          <w:lang w:val="pl-PL" w:eastAsia="en-GB"/>
        </w:rPr>
      </w:pPr>
    </w:p>
    <w:p w14:paraId="39AD233C" w14:textId="77777777" w:rsidR="004B3D26" w:rsidRPr="008F328C" w:rsidRDefault="004B3D26" w:rsidP="004B3D26">
      <w:pPr>
        <w:keepNext/>
        <w:textAlignment w:val="baseline"/>
        <w:rPr>
          <w:rFonts w:ascii="Times New Roman" w:hAnsi="Times New Roman" w:cs="Times New Roman"/>
          <w:lang w:val="pl-PL"/>
        </w:rPr>
      </w:pPr>
      <w:r w:rsidRPr="008F328C">
        <w:rPr>
          <w:rFonts w:ascii="Times New Roman" w:hAnsi="Times New Roman" w:cs="Times New Roman"/>
          <w:lang w:val="pl-PL"/>
        </w:rPr>
        <w:t xml:space="preserve">Wskaźniki remisji klinicznej wg PMS w 8. tygodniu u pacjentów w każdej grupie leczenia indukcyjnego </w:t>
      </w:r>
      <w:r w:rsidRPr="008F328C">
        <w:rPr>
          <w:rFonts w:ascii="Times New Roman" w:hAnsi="Times New Roman" w:cs="Times New Roman"/>
          <w:lang w:val="pl-PL"/>
        </w:rPr>
        <w:lastRenderedPageBreak/>
        <w:t xml:space="preserve">produktem </w:t>
      </w:r>
      <w:r w:rsidRPr="008F328C">
        <w:rPr>
          <w:rFonts w:ascii="Times New Roman" w:eastAsia="Times New Roman" w:hAnsi="Times New Roman" w:cs="Times New Roman"/>
          <w:lang w:val="pl-PL"/>
        </w:rPr>
        <w:t>adalimumab</w:t>
      </w:r>
      <w:r w:rsidRPr="008F328C">
        <w:rPr>
          <w:rFonts w:ascii="Times New Roman" w:hAnsi="Times New Roman" w:cs="Times New Roman"/>
          <w:lang w:val="pl-PL"/>
        </w:rPr>
        <w:t xml:space="preserve"> metodą podwójnie ślepej próby zostały przedstawione w Tabeli 21.</w:t>
      </w:r>
    </w:p>
    <w:p w14:paraId="422D8F29" w14:textId="77777777" w:rsidR="004B3D26" w:rsidRPr="008F328C" w:rsidRDefault="004B3D26" w:rsidP="004B3D26">
      <w:pPr>
        <w:pStyle w:val="gtcbodytext"/>
        <w:keepNext/>
        <w:spacing w:line="240" w:lineRule="auto"/>
        <w:jc w:val="center"/>
        <w:rPr>
          <w:rStyle w:val="normaltextrun"/>
          <w:rFonts w:eastAsiaTheme="minorEastAsia"/>
          <w:b/>
          <w:sz w:val="22"/>
          <w:szCs w:val="22"/>
          <w:lang w:val="pl-PL"/>
        </w:rPr>
      </w:pPr>
      <w:r w:rsidRPr="008F328C">
        <w:rPr>
          <w:b/>
          <w:sz w:val="22"/>
          <w:lang w:val="pl-PL"/>
        </w:rPr>
        <w:t>Tabela 21. Remisja kliniczna wg PMS w 8. tygodniu</w:t>
      </w:r>
    </w:p>
    <w:tbl>
      <w:tblPr>
        <w:tblW w:w="4752" w:type="pct"/>
        <w:jc w:val="center"/>
        <w:tblLook w:val="04A0" w:firstRow="1" w:lastRow="0" w:firstColumn="1" w:lastColumn="0" w:noHBand="0" w:noVBand="1"/>
      </w:tblPr>
      <w:tblGrid>
        <w:gridCol w:w="2548"/>
        <w:gridCol w:w="2973"/>
        <w:gridCol w:w="3401"/>
      </w:tblGrid>
      <w:tr w:rsidR="004B3D26" w:rsidRPr="008F328C" w14:paraId="7B404985" w14:textId="77777777" w:rsidTr="00114A52">
        <w:trPr>
          <w:jc w:val="center"/>
        </w:trPr>
        <w:tc>
          <w:tcPr>
            <w:tcW w:w="142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8D9F3FB" w14:textId="77777777" w:rsidR="004B3D26" w:rsidRPr="008F328C" w:rsidRDefault="004B3D26" w:rsidP="00B2198A">
            <w:pPr>
              <w:keepNext/>
              <w:rPr>
                <w:rFonts w:ascii="Times New Roman" w:hAnsi="Times New Roman" w:cs="Times New Roman"/>
                <w:lang w:val="pl-PL"/>
              </w:rPr>
            </w:pPr>
          </w:p>
        </w:tc>
        <w:tc>
          <w:tcPr>
            <w:tcW w:w="166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C71C718" w14:textId="77777777" w:rsidR="004B3D26" w:rsidRPr="008F328C" w:rsidRDefault="004B3D26" w:rsidP="00B2198A">
            <w:pPr>
              <w:pStyle w:val="paragraph"/>
              <w:keepNext/>
              <w:spacing w:before="0" w:beforeAutospacing="0" w:after="0" w:afterAutospacing="0"/>
              <w:jc w:val="center"/>
              <w:textAlignment w:val="baseline"/>
              <w:rPr>
                <w:b/>
                <w:bCs/>
                <w:sz w:val="22"/>
                <w:szCs w:val="22"/>
                <w:lang w:val="pl-PL"/>
              </w:rPr>
            </w:pPr>
            <w:r w:rsidRPr="008F328C">
              <w:rPr>
                <w:rStyle w:val="spellingerror"/>
                <w:b/>
                <w:sz w:val="22"/>
                <w:lang w:val="pl-PL"/>
              </w:rPr>
              <w:t>Adalimumab</w:t>
            </w:r>
            <w:r w:rsidRPr="008F328C">
              <w:rPr>
                <w:rStyle w:val="spellingerror"/>
                <w:b/>
                <w:sz w:val="22"/>
                <w:vertAlign w:val="superscript"/>
                <w:lang w:val="pl-PL"/>
              </w:rPr>
              <w:t>a</w:t>
            </w:r>
            <w:r w:rsidRPr="008F328C">
              <w:rPr>
                <w:rStyle w:val="eop"/>
                <w:b/>
                <w:sz w:val="22"/>
                <w:lang w:val="pl-PL"/>
              </w:rPr>
              <w:t> </w:t>
            </w:r>
          </w:p>
          <w:p w14:paraId="03EF8E35" w14:textId="77777777" w:rsidR="004B3D26" w:rsidRPr="008F328C" w:rsidRDefault="004B3D26" w:rsidP="00B2198A">
            <w:pPr>
              <w:keepNext/>
              <w:jc w:val="center"/>
              <w:rPr>
                <w:rStyle w:val="eop"/>
                <w:rFonts w:ascii="Times New Roman" w:hAnsi="Times New Roman" w:cs="Times New Roman"/>
                <w:b/>
                <w:bCs/>
                <w:lang w:val="pl-PL"/>
              </w:rPr>
            </w:pPr>
            <w:r w:rsidRPr="008F328C">
              <w:rPr>
                <w:rStyle w:val="normaltextrun"/>
                <w:rFonts w:ascii="Times New Roman" w:hAnsi="Times New Roman" w:cs="Times New Roman"/>
                <w:b/>
                <w:lang w:val="pl-PL"/>
              </w:rPr>
              <w:t>Maksymalnie 160 mg w 0. tygodniu / placebo w 1. tygodniu</w:t>
            </w:r>
            <w:r w:rsidRPr="008F328C">
              <w:rPr>
                <w:rStyle w:val="eop"/>
                <w:rFonts w:ascii="Times New Roman" w:hAnsi="Times New Roman" w:cs="Times New Roman"/>
                <w:b/>
                <w:lang w:val="pl-PL"/>
              </w:rPr>
              <w:t> </w:t>
            </w:r>
          </w:p>
          <w:p w14:paraId="182F3A5C" w14:textId="77777777" w:rsidR="004B3D26" w:rsidRPr="008F328C" w:rsidRDefault="004B3D26" w:rsidP="00B2198A">
            <w:pPr>
              <w:keepNext/>
              <w:jc w:val="center"/>
              <w:rPr>
                <w:rFonts w:ascii="Times New Roman" w:hAnsi="Times New Roman" w:cs="Times New Roman"/>
                <w:lang w:val="pl-PL"/>
              </w:rPr>
            </w:pPr>
            <w:r w:rsidRPr="008F328C">
              <w:rPr>
                <w:rStyle w:val="eop"/>
                <w:rFonts w:ascii="Times New Roman" w:hAnsi="Times New Roman" w:cs="Times New Roman"/>
                <w:lang w:val="pl-PL"/>
              </w:rPr>
              <w:t>N=30</w:t>
            </w:r>
          </w:p>
        </w:tc>
        <w:tc>
          <w:tcPr>
            <w:tcW w:w="190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6DE8A40" w14:textId="77777777" w:rsidR="004B3D26" w:rsidRPr="008F328C" w:rsidRDefault="004B3D26" w:rsidP="00B2198A">
            <w:pPr>
              <w:pStyle w:val="paragraph"/>
              <w:keepNext/>
              <w:spacing w:before="0" w:beforeAutospacing="0" w:after="0" w:afterAutospacing="0"/>
              <w:jc w:val="center"/>
              <w:textAlignment w:val="baseline"/>
              <w:rPr>
                <w:b/>
                <w:bCs/>
                <w:sz w:val="22"/>
                <w:szCs w:val="22"/>
                <w:lang w:val="pl-PL"/>
              </w:rPr>
            </w:pPr>
            <w:r w:rsidRPr="008F328C">
              <w:rPr>
                <w:rStyle w:val="spellingerror"/>
                <w:b/>
                <w:sz w:val="22"/>
                <w:lang w:val="pl-PL"/>
              </w:rPr>
              <w:t>Adalimumab</w:t>
            </w:r>
            <w:r w:rsidRPr="008F328C">
              <w:rPr>
                <w:rStyle w:val="spellingerror"/>
                <w:b/>
                <w:sz w:val="22"/>
                <w:vertAlign w:val="superscript"/>
                <w:lang w:val="pl-PL"/>
              </w:rPr>
              <w:t>b</w:t>
            </w:r>
            <w:r w:rsidRPr="008F328C">
              <w:rPr>
                <w:rStyle w:val="normaltextrun"/>
                <w:b/>
                <w:sz w:val="22"/>
                <w:vertAlign w:val="superscript"/>
                <w:lang w:val="pl-PL"/>
              </w:rPr>
              <w:t>, c</w:t>
            </w:r>
            <w:r w:rsidRPr="008F328C">
              <w:rPr>
                <w:rStyle w:val="eop"/>
                <w:b/>
                <w:sz w:val="22"/>
                <w:lang w:val="pl-PL"/>
              </w:rPr>
              <w:t> </w:t>
            </w:r>
          </w:p>
          <w:p w14:paraId="026AA740" w14:textId="77777777" w:rsidR="004B3D26" w:rsidRPr="008F328C" w:rsidRDefault="004B3D26" w:rsidP="00B2198A">
            <w:pPr>
              <w:keepNext/>
              <w:jc w:val="center"/>
              <w:rPr>
                <w:rStyle w:val="eop"/>
                <w:rFonts w:ascii="Times New Roman" w:hAnsi="Times New Roman" w:cs="Times New Roman"/>
                <w:b/>
                <w:bCs/>
                <w:lang w:val="pl-PL"/>
              </w:rPr>
            </w:pPr>
            <w:r w:rsidRPr="008F328C">
              <w:rPr>
                <w:rStyle w:val="normaltextrun"/>
                <w:rFonts w:ascii="Times New Roman" w:hAnsi="Times New Roman" w:cs="Times New Roman"/>
                <w:b/>
                <w:lang w:val="pl-PL"/>
              </w:rPr>
              <w:t>Maksymalnie 160 mg w 0. i 1. tygodniu</w:t>
            </w:r>
            <w:r w:rsidRPr="008F328C">
              <w:rPr>
                <w:rStyle w:val="eop"/>
                <w:rFonts w:ascii="Times New Roman" w:hAnsi="Times New Roman" w:cs="Times New Roman"/>
                <w:b/>
                <w:lang w:val="pl-PL"/>
              </w:rPr>
              <w:t> </w:t>
            </w:r>
          </w:p>
          <w:p w14:paraId="509EE83D" w14:textId="77777777" w:rsidR="004B3D26" w:rsidRPr="008F328C" w:rsidRDefault="004B3D26" w:rsidP="00B2198A">
            <w:pPr>
              <w:keepNext/>
              <w:jc w:val="center"/>
              <w:rPr>
                <w:rFonts w:ascii="Times New Roman" w:hAnsi="Times New Roman" w:cs="Times New Roman"/>
                <w:lang w:val="pl-PL"/>
              </w:rPr>
            </w:pPr>
            <w:r w:rsidRPr="008F328C">
              <w:rPr>
                <w:rStyle w:val="eop"/>
                <w:rFonts w:ascii="Times New Roman" w:hAnsi="Times New Roman" w:cs="Times New Roman"/>
                <w:lang w:val="pl-PL"/>
              </w:rPr>
              <w:t>N=47</w:t>
            </w:r>
          </w:p>
        </w:tc>
      </w:tr>
      <w:tr w:rsidR="004B3D26" w:rsidRPr="008F328C" w14:paraId="08060D2A" w14:textId="77777777" w:rsidTr="00114A52">
        <w:trPr>
          <w:jc w:val="center"/>
        </w:trPr>
        <w:tc>
          <w:tcPr>
            <w:tcW w:w="142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C517098" w14:textId="77777777" w:rsidR="004B3D26" w:rsidRPr="008F328C" w:rsidRDefault="004B3D26" w:rsidP="00B2198A">
            <w:pPr>
              <w:keepNext/>
              <w:rPr>
                <w:rFonts w:ascii="Times New Roman" w:hAnsi="Times New Roman" w:cs="Times New Roman"/>
                <w:lang w:val="pl-PL"/>
              </w:rPr>
            </w:pPr>
            <w:r w:rsidRPr="008F328C">
              <w:rPr>
                <w:rFonts w:ascii="Times New Roman" w:hAnsi="Times New Roman" w:cs="Times New Roman"/>
                <w:lang w:val="pl-PL"/>
              </w:rPr>
              <w:t>Remisja kliniczna</w:t>
            </w:r>
          </w:p>
        </w:tc>
        <w:tc>
          <w:tcPr>
            <w:tcW w:w="166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B596C09"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13/30 (43,3%)</w:t>
            </w:r>
          </w:p>
        </w:tc>
        <w:tc>
          <w:tcPr>
            <w:tcW w:w="190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0924FA5" w14:textId="77777777" w:rsidR="004B3D26" w:rsidRPr="008F328C" w:rsidRDefault="004B3D26" w:rsidP="00B2198A">
            <w:pPr>
              <w:keepNext/>
              <w:jc w:val="center"/>
              <w:rPr>
                <w:rFonts w:ascii="Times New Roman" w:hAnsi="Times New Roman" w:cs="Times New Roman"/>
                <w:vertAlign w:val="superscript"/>
                <w:lang w:val="pl-PL"/>
              </w:rPr>
            </w:pPr>
            <w:r w:rsidRPr="008F328C">
              <w:rPr>
                <w:rFonts w:ascii="Times New Roman" w:hAnsi="Times New Roman" w:cs="Times New Roman"/>
                <w:lang w:val="pl-PL"/>
              </w:rPr>
              <w:t>28/47 (59,6%)</w:t>
            </w:r>
          </w:p>
        </w:tc>
      </w:tr>
      <w:tr w:rsidR="004B3D26" w:rsidRPr="00537986" w14:paraId="359C863E" w14:textId="77777777" w:rsidTr="00114A52">
        <w:trPr>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B33BBC7"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a </w:t>
            </w:r>
            <w:r w:rsidRPr="008F328C">
              <w:rPr>
                <w:rStyle w:val="normaltextrun"/>
                <w:sz w:val="22"/>
                <w:lang w:val="pl-PL"/>
              </w:rPr>
              <w:t>Adalimumab w dawce 2,4 mg/kg (maksymalnie 160 mg) w 0. tygodniu, placebo w 1. tygodniu i adalimumab w dawce 1,2 mg/kg (maksymalnie 80 mg) w 2. tygodniu.</w:t>
            </w:r>
            <w:r w:rsidRPr="008F328C">
              <w:rPr>
                <w:rStyle w:val="eop"/>
                <w:sz w:val="22"/>
                <w:lang w:val="pl-PL"/>
              </w:rPr>
              <w:t> </w:t>
            </w:r>
          </w:p>
          <w:p w14:paraId="3AB7BD7D"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b </w:t>
            </w:r>
            <w:r w:rsidRPr="008F328C">
              <w:rPr>
                <w:rStyle w:val="normaltextrun"/>
                <w:sz w:val="22"/>
                <w:lang w:val="pl-PL"/>
              </w:rPr>
              <w:t>Adalimumab w dawce 2,4 mg/kg (maksymalnie 160 mg) w 0. i 1. tygodniu i w dawce 1,2 mg/kg (maksymalnie 80 mg) w 2. tygodniu.</w:t>
            </w:r>
            <w:r w:rsidRPr="008F328C">
              <w:rPr>
                <w:rStyle w:val="eop"/>
                <w:sz w:val="22"/>
                <w:lang w:val="pl-PL"/>
              </w:rPr>
              <w:t> </w:t>
            </w:r>
          </w:p>
          <w:p w14:paraId="35ED2DC4"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c </w:t>
            </w:r>
            <w:r w:rsidRPr="008F328C">
              <w:rPr>
                <w:rStyle w:val="normaltextrun"/>
                <w:sz w:val="22"/>
                <w:lang w:val="pl-PL"/>
              </w:rPr>
              <w:t>Nie obejmuje dawki indukcyjnej produktu adalimumab podawanej metodą otwartej próby wynoszącej 2,4 mg/kg (maksymalnie 160 mg) w 0. i 1. tygodniu oraz 1,2 mg/kg (maksymalnie 80 mg) w 2. tygodniu.</w:t>
            </w:r>
          </w:p>
          <w:p w14:paraId="67018B5F"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lang w:val="pl-PL"/>
              </w:rPr>
              <w:t>Uwaga 1: Obie grupy leczenia indukcyjnego otrzymywały 0,6 mg/kg (maksymalnie 40 mg) w 4. i 6. tygodniu.</w:t>
            </w:r>
            <w:r w:rsidRPr="008F328C">
              <w:rPr>
                <w:rStyle w:val="eop"/>
                <w:sz w:val="22"/>
                <w:lang w:val="pl-PL"/>
              </w:rPr>
              <w:t> </w:t>
            </w:r>
          </w:p>
          <w:p w14:paraId="414CAD2E"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lang w:val="pl-PL"/>
              </w:rPr>
              <w:t>Uwaga 2: Uznano, że pacjenci dla których brak było danych liczbowych w 8. tygodniu, nie osiągnęli punktu końcowego.</w:t>
            </w:r>
            <w:r w:rsidRPr="008F328C">
              <w:rPr>
                <w:rStyle w:val="eop"/>
                <w:sz w:val="22"/>
                <w:lang w:val="pl-PL"/>
              </w:rPr>
              <w:t> </w:t>
            </w:r>
          </w:p>
        </w:tc>
      </w:tr>
    </w:tbl>
    <w:p w14:paraId="50D6CBC5" w14:textId="77777777" w:rsidR="004B3D26" w:rsidRPr="008F328C" w:rsidRDefault="004B3D26" w:rsidP="004B3D26">
      <w:pPr>
        <w:rPr>
          <w:rFonts w:ascii="Times New Roman" w:hAnsi="Times New Roman" w:cs="Times New Roman"/>
          <w:lang w:val="pl-PL"/>
        </w:rPr>
      </w:pPr>
    </w:p>
    <w:p w14:paraId="5B5416D6"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W 52. tygodniu oceniono remisję kliniczną wg FMS u pacjentów z odpowiedzią na leczenie w 8. tygodniu, odpowiedź kliniczną wg FMS (zdefiniowaną jako zmniejszenie oceny punktowej w skali Mayo o ≥ 3 punkty i ≥ 30% w stosunku do wartości wyjściowej) u pacjentów z odpowiedzią w 8. tygodniu, gojenie się błony śluzowej wg FMS (zdefiniowane jako ocena parametru endoskopowego w skali Mayo ≤ 1) u pacjentów z odpowiedzią w 8. tygodniu, remisję kliniczną wg FMS u pacjentów będących w remisji w 8. tygodniu oraz odsetek uczestników badania pozostających w remisji bez stosowania kortykosteroidów wg FMS wśród odpowiadających na leczenie w 8. tygodniu. Ocenie poddano pacjentów, którzy otrzymywali produkt adalimumab metodą podwójnie ślepej próby w dawkach podtrzymujących maksymalnie 40 mg co drugi tydzień (0,6 mg/kg) oraz maksymalnie 40 mg co tydzień (0,6 mg/kg) (Tabela 22).</w:t>
      </w:r>
    </w:p>
    <w:p w14:paraId="43FCFA84" w14:textId="77777777" w:rsidR="004B3D26" w:rsidRPr="008F328C" w:rsidRDefault="004B3D26" w:rsidP="004B3D26">
      <w:pPr>
        <w:jc w:val="center"/>
        <w:textAlignment w:val="baseline"/>
        <w:rPr>
          <w:rFonts w:ascii="Times New Roman" w:hAnsi="Times New Roman" w:cs="Times New Roman"/>
          <w:b/>
          <w:lang w:val="pl-PL" w:eastAsia="en-GB"/>
        </w:rPr>
      </w:pPr>
    </w:p>
    <w:p w14:paraId="5B236D92" w14:textId="77777777" w:rsidR="004B3D26" w:rsidRPr="008F328C" w:rsidRDefault="004B3D26" w:rsidP="004B3D26">
      <w:pPr>
        <w:jc w:val="center"/>
        <w:textAlignment w:val="baseline"/>
        <w:rPr>
          <w:rFonts w:ascii="Times New Roman" w:hAnsi="Times New Roman" w:cs="Times New Roman"/>
          <w:b/>
          <w:lang w:val="pl-PL"/>
        </w:rPr>
      </w:pPr>
      <w:r w:rsidRPr="008F328C">
        <w:rPr>
          <w:rFonts w:ascii="Times New Roman" w:hAnsi="Times New Roman" w:cs="Times New Roman"/>
          <w:b/>
          <w:lang w:val="pl-PL"/>
        </w:rPr>
        <w:t>Tabela 22. Wyniki skuteczności w 52. tygodniu </w:t>
      </w:r>
    </w:p>
    <w:tbl>
      <w:tblPr>
        <w:tblW w:w="886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19"/>
        <w:gridCol w:w="2409"/>
        <w:gridCol w:w="2633"/>
      </w:tblGrid>
      <w:tr w:rsidR="004B3D26" w:rsidRPr="00FE49E6" w14:paraId="2A4AE3C3" w14:textId="77777777" w:rsidTr="00114A52">
        <w:trPr>
          <w:trHeight w:val="912"/>
          <w:jc w:val="center"/>
        </w:trPr>
        <w:tc>
          <w:tcPr>
            <w:tcW w:w="3819" w:type="dxa"/>
            <w:tcBorders>
              <w:top w:val="single" w:sz="6" w:space="0" w:color="auto"/>
              <w:left w:val="single" w:sz="6" w:space="0" w:color="auto"/>
              <w:bottom w:val="single" w:sz="6" w:space="0" w:color="auto"/>
              <w:right w:val="single" w:sz="6" w:space="0" w:color="auto"/>
            </w:tcBorders>
            <w:hideMark/>
          </w:tcPr>
          <w:p w14:paraId="792F6F26" w14:textId="77777777" w:rsidR="004B3D26" w:rsidRPr="008F328C" w:rsidRDefault="004B3D26" w:rsidP="00B2198A">
            <w:pPr>
              <w:jc w:val="center"/>
              <w:textAlignment w:val="baseline"/>
              <w:rPr>
                <w:rFonts w:ascii="Times New Roman" w:hAnsi="Times New Roman" w:cs="Times New Roman"/>
                <w:lang w:val="pl-PL" w:eastAsia="en-GB"/>
              </w:rPr>
            </w:pPr>
          </w:p>
        </w:tc>
        <w:tc>
          <w:tcPr>
            <w:tcW w:w="2409" w:type="dxa"/>
            <w:tcBorders>
              <w:top w:val="single" w:sz="6" w:space="0" w:color="auto"/>
              <w:left w:val="nil"/>
              <w:bottom w:val="single" w:sz="6" w:space="0" w:color="auto"/>
              <w:right w:val="single" w:sz="6" w:space="0" w:color="auto"/>
            </w:tcBorders>
            <w:vAlign w:val="center"/>
            <w:hideMark/>
          </w:tcPr>
          <w:p w14:paraId="2BC80156"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a</w:t>
            </w:r>
            <w:r w:rsidRPr="008F328C">
              <w:rPr>
                <w:rFonts w:ascii="Times New Roman" w:hAnsi="Times New Roman" w:cs="Times New Roman"/>
                <w:b/>
                <w:lang w:val="pl-PL"/>
              </w:rPr>
              <w:t> </w:t>
            </w:r>
            <w:r w:rsidRPr="008F328C">
              <w:rPr>
                <w:rFonts w:ascii="Times New Roman" w:hAnsi="Times New Roman" w:cs="Times New Roman"/>
                <w:lang w:val="pl-PL"/>
              </w:rPr>
              <w:t> </w:t>
            </w:r>
          </w:p>
          <w:p w14:paraId="32E815E3"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b/>
                <w:lang w:val="pl-PL"/>
              </w:rPr>
              <w:t>Maksymalnie 40 mg co drugi tydzień</w:t>
            </w:r>
            <w:r w:rsidRPr="008F328C">
              <w:rPr>
                <w:rFonts w:ascii="Times New Roman" w:hAnsi="Times New Roman" w:cs="Times New Roman"/>
                <w:lang w:val="pl-PL"/>
              </w:rPr>
              <w:t> </w:t>
            </w:r>
          </w:p>
          <w:p w14:paraId="0C9C708C"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N=31</w:t>
            </w:r>
          </w:p>
        </w:tc>
        <w:tc>
          <w:tcPr>
            <w:tcW w:w="2633" w:type="dxa"/>
            <w:tcBorders>
              <w:top w:val="single" w:sz="6" w:space="0" w:color="auto"/>
              <w:left w:val="nil"/>
              <w:bottom w:val="single" w:sz="6" w:space="0" w:color="auto"/>
              <w:right w:val="single" w:sz="6" w:space="0" w:color="auto"/>
            </w:tcBorders>
            <w:vAlign w:val="center"/>
            <w:hideMark/>
          </w:tcPr>
          <w:p w14:paraId="68965E7C"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b</w:t>
            </w:r>
            <w:r w:rsidRPr="008F328C">
              <w:rPr>
                <w:rFonts w:ascii="Times New Roman" w:hAnsi="Times New Roman" w:cs="Times New Roman"/>
                <w:b/>
                <w:lang w:val="pl-PL"/>
              </w:rPr>
              <w:t> </w:t>
            </w:r>
            <w:r w:rsidRPr="008F328C">
              <w:rPr>
                <w:rFonts w:ascii="Times New Roman" w:hAnsi="Times New Roman" w:cs="Times New Roman"/>
                <w:lang w:val="pl-PL"/>
              </w:rPr>
              <w:t> </w:t>
            </w:r>
          </w:p>
          <w:p w14:paraId="6BB39AA7"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b/>
                <w:lang w:val="pl-PL"/>
              </w:rPr>
              <w:t>Maksymalnie 40 mg co tydzień</w:t>
            </w:r>
            <w:r w:rsidRPr="008F328C">
              <w:rPr>
                <w:rFonts w:ascii="Times New Roman" w:hAnsi="Times New Roman" w:cs="Times New Roman"/>
                <w:lang w:val="pl-PL"/>
              </w:rPr>
              <w:t> </w:t>
            </w:r>
          </w:p>
          <w:p w14:paraId="6440F02D"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N=31</w:t>
            </w:r>
          </w:p>
        </w:tc>
      </w:tr>
      <w:tr w:rsidR="004B3D26" w:rsidRPr="008F328C" w14:paraId="6322A5AD" w14:textId="77777777" w:rsidTr="00114A52">
        <w:trPr>
          <w:trHeight w:val="570"/>
          <w:jc w:val="center"/>
        </w:trPr>
        <w:tc>
          <w:tcPr>
            <w:tcW w:w="3819" w:type="dxa"/>
            <w:tcBorders>
              <w:top w:val="nil"/>
              <w:left w:val="single" w:sz="6" w:space="0" w:color="auto"/>
              <w:bottom w:val="single" w:sz="6" w:space="0" w:color="auto"/>
              <w:right w:val="single" w:sz="6" w:space="0" w:color="auto"/>
            </w:tcBorders>
            <w:vAlign w:val="center"/>
            <w:hideMark/>
          </w:tcPr>
          <w:p w14:paraId="16107B85"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Remisja kliniczna u odpowiadających na leczenie wg PMS w 8. tygodniu </w:t>
            </w:r>
          </w:p>
        </w:tc>
        <w:tc>
          <w:tcPr>
            <w:tcW w:w="2409" w:type="dxa"/>
            <w:tcBorders>
              <w:top w:val="nil"/>
              <w:left w:val="nil"/>
              <w:bottom w:val="single" w:sz="6" w:space="0" w:color="auto"/>
              <w:right w:val="single" w:sz="6" w:space="0" w:color="auto"/>
            </w:tcBorders>
            <w:vAlign w:val="center"/>
            <w:hideMark/>
          </w:tcPr>
          <w:p w14:paraId="115F6254"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9/31 (29,0%) </w:t>
            </w:r>
          </w:p>
        </w:tc>
        <w:tc>
          <w:tcPr>
            <w:tcW w:w="2633" w:type="dxa"/>
            <w:tcBorders>
              <w:top w:val="nil"/>
              <w:left w:val="nil"/>
              <w:bottom w:val="single" w:sz="6" w:space="0" w:color="auto"/>
              <w:right w:val="single" w:sz="6" w:space="0" w:color="auto"/>
            </w:tcBorders>
            <w:vAlign w:val="center"/>
            <w:hideMark/>
          </w:tcPr>
          <w:p w14:paraId="134BEF29"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14/31 (45,2%)</w:t>
            </w:r>
          </w:p>
        </w:tc>
      </w:tr>
      <w:tr w:rsidR="004B3D26" w:rsidRPr="008F328C" w14:paraId="0E358037" w14:textId="77777777" w:rsidTr="00114A52">
        <w:trPr>
          <w:trHeight w:val="555"/>
          <w:jc w:val="center"/>
        </w:trPr>
        <w:tc>
          <w:tcPr>
            <w:tcW w:w="3819" w:type="dxa"/>
            <w:tcBorders>
              <w:top w:val="nil"/>
              <w:left w:val="single" w:sz="6" w:space="0" w:color="auto"/>
              <w:bottom w:val="single" w:sz="6" w:space="0" w:color="auto"/>
              <w:right w:val="single" w:sz="6" w:space="0" w:color="auto"/>
            </w:tcBorders>
            <w:vAlign w:val="center"/>
            <w:hideMark/>
          </w:tcPr>
          <w:p w14:paraId="433AB703"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Odpowiedź kliniczna u odpowiadających na leczenie wg PMS w 8. tygodniu </w:t>
            </w:r>
          </w:p>
        </w:tc>
        <w:tc>
          <w:tcPr>
            <w:tcW w:w="2409" w:type="dxa"/>
            <w:tcBorders>
              <w:top w:val="nil"/>
              <w:left w:val="nil"/>
              <w:bottom w:val="single" w:sz="6" w:space="0" w:color="auto"/>
              <w:right w:val="single" w:sz="6" w:space="0" w:color="auto"/>
            </w:tcBorders>
            <w:vAlign w:val="center"/>
            <w:hideMark/>
          </w:tcPr>
          <w:p w14:paraId="3E8BCDC6"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19/31 (61,3%) </w:t>
            </w:r>
          </w:p>
        </w:tc>
        <w:tc>
          <w:tcPr>
            <w:tcW w:w="2633" w:type="dxa"/>
            <w:tcBorders>
              <w:top w:val="nil"/>
              <w:left w:val="nil"/>
              <w:bottom w:val="single" w:sz="6" w:space="0" w:color="auto"/>
              <w:right w:val="single" w:sz="6" w:space="0" w:color="auto"/>
            </w:tcBorders>
            <w:vAlign w:val="center"/>
            <w:hideMark/>
          </w:tcPr>
          <w:p w14:paraId="1461FD0C"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21/31 (67,7%) </w:t>
            </w:r>
          </w:p>
        </w:tc>
      </w:tr>
      <w:tr w:rsidR="004B3D26" w:rsidRPr="008F328C" w14:paraId="60E37A89" w14:textId="77777777" w:rsidTr="00114A52">
        <w:trPr>
          <w:jc w:val="center"/>
        </w:trPr>
        <w:tc>
          <w:tcPr>
            <w:tcW w:w="3819" w:type="dxa"/>
            <w:tcBorders>
              <w:top w:val="nil"/>
              <w:left w:val="single" w:sz="6" w:space="0" w:color="auto"/>
              <w:bottom w:val="single" w:sz="6" w:space="0" w:color="auto"/>
              <w:right w:val="single" w:sz="6" w:space="0" w:color="auto"/>
            </w:tcBorders>
            <w:vAlign w:val="center"/>
            <w:hideMark/>
          </w:tcPr>
          <w:p w14:paraId="35848311"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Wygojenie błony śluzowej u odpowiadających na leczenie wg PMS w 8. tygodniu </w:t>
            </w:r>
          </w:p>
        </w:tc>
        <w:tc>
          <w:tcPr>
            <w:tcW w:w="2409" w:type="dxa"/>
            <w:tcBorders>
              <w:top w:val="nil"/>
              <w:left w:val="nil"/>
              <w:bottom w:val="single" w:sz="6" w:space="0" w:color="auto"/>
              <w:right w:val="single" w:sz="6" w:space="0" w:color="auto"/>
            </w:tcBorders>
            <w:vAlign w:val="center"/>
            <w:hideMark/>
          </w:tcPr>
          <w:p w14:paraId="37A4E8C9"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12/31 (38,7%) </w:t>
            </w:r>
          </w:p>
        </w:tc>
        <w:tc>
          <w:tcPr>
            <w:tcW w:w="2633" w:type="dxa"/>
            <w:tcBorders>
              <w:top w:val="nil"/>
              <w:left w:val="nil"/>
              <w:bottom w:val="single" w:sz="6" w:space="0" w:color="auto"/>
              <w:right w:val="single" w:sz="6" w:space="0" w:color="auto"/>
            </w:tcBorders>
            <w:vAlign w:val="center"/>
            <w:hideMark/>
          </w:tcPr>
          <w:p w14:paraId="4C83370B"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16/31 (51,6%) </w:t>
            </w:r>
          </w:p>
        </w:tc>
      </w:tr>
      <w:tr w:rsidR="004B3D26" w:rsidRPr="008F328C" w14:paraId="7BB453EE" w14:textId="77777777" w:rsidTr="00114A52">
        <w:trPr>
          <w:jc w:val="center"/>
        </w:trPr>
        <w:tc>
          <w:tcPr>
            <w:tcW w:w="3819" w:type="dxa"/>
            <w:tcBorders>
              <w:top w:val="nil"/>
              <w:left w:val="single" w:sz="6" w:space="0" w:color="auto"/>
              <w:bottom w:val="single" w:sz="6" w:space="0" w:color="auto"/>
              <w:right w:val="single" w:sz="6" w:space="0" w:color="auto"/>
            </w:tcBorders>
            <w:vAlign w:val="center"/>
            <w:hideMark/>
          </w:tcPr>
          <w:p w14:paraId="11E0B5EF"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Remisja kliniczna u pozostających w remisji wg PMS w 8. tygodniu </w:t>
            </w:r>
          </w:p>
        </w:tc>
        <w:tc>
          <w:tcPr>
            <w:tcW w:w="2409" w:type="dxa"/>
            <w:tcBorders>
              <w:top w:val="nil"/>
              <w:left w:val="nil"/>
              <w:bottom w:val="single" w:sz="6" w:space="0" w:color="auto"/>
              <w:right w:val="single" w:sz="6" w:space="0" w:color="auto"/>
            </w:tcBorders>
            <w:vAlign w:val="center"/>
            <w:hideMark/>
          </w:tcPr>
          <w:p w14:paraId="74B05555"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9/21 (42,9%) </w:t>
            </w:r>
          </w:p>
        </w:tc>
        <w:tc>
          <w:tcPr>
            <w:tcW w:w="2633" w:type="dxa"/>
            <w:tcBorders>
              <w:top w:val="nil"/>
              <w:left w:val="nil"/>
              <w:bottom w:val="single" w:sz="6" w:space="0" w:color="auto"/>
              <w:right w:val="single" w:sz="6" w:space="0" w:color="auto"/>
            </w:tcBorders>
            <w:vAlign w:val="center"/>
            <w:hideMark/>
          </w:tcPr>
          <w:p w14:paraId="2BC690F8"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10/22 (45,5%) </w:t>
            </w:r>
          </w:p>
        </w:tc>
      </w:tr>
      <w:tr w:rsidR="004B3D26" w:rsidRPr="008F328C" w14:paraId="663ED199" w14:textId="77777777" w:rsidTr="00114A52">
        <w:trPr>
          <w:jc w:val="center"/>
        </w:trPr>
        <w:tc>
          <w:tcPr>
            <w:tcW w:w="3819" w:type="dxa"/>
            <w:tcBorders>
              <w:top w:val="nil"/>
              <w:left w:val="single" w:sz="6" w:space="0" w:color="auto"/>
              <w:bottom w:val="single" w:sz="6" w:space="0" w:color="auto"/>
              <w:right w:val="single" w:sz="6" w:space="0" w:color="auto"/>
            </w:tcBorders>
            <w:vAlign w:val="center"/>
            <w:hideMark/>
          </w:tcPr>
          <w:p w14:paraId="5004C97F"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Remisja bez stosowania kortykosteroidów u odpowiadających na leczenie w skali PMS w 8. tygodniu</w:t>
            </w:r>
            <w:r w:rsidRPr="008F328C">
              <w:rPr>
                <w:rFonts w:ascii="Times New Roman" w:hAnsi="Times New Roman" w:cs="Times New Roman"/>
                <w:vertAlign w:val="superscript"/>
                <w:lang w:val="pl-PL"/>
              </w:rPr>
              <w:t>c</w:t>
            </w:r>
            <w:r w:rsidRPr="008F328C">
              <w:rPr>
                <w:rFonts w:ascii="Times New Roman" w:hAnsi="Times New Roman" w:cs="Times New Roman"/>
                <w:lang w:val="pl-PL"/>
              </w:rPr>
              <w:t> </w:t>
            </w:r>
          </w:p>
        </w:tc>
        <w:tc>
          <w:tcPr>
            <w:tcW w:w="2409" w:type="dxa"/>
            <w:tcBorders>
              <w:top w:val="nil"/>
              <w:left w:val="nil"/>
              <w:bottom w:val="single" w:sz="6" w:space="0" w:color="auto"/>
              <w:right w:val="single" w:sz="6" w:space="0" w:color="auto"/>
            </w:tcBorders>
            <w:vAlign w:val="center"/>
            <w:hideMark/>
          </w:tcPr>
          <w:p w14:paraId="62B2E6AD"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4/13 (30,8%) </w:t>
            </w:r>
          </w:p>
        </w:tc>
        <w:tc>
          <w:tcPr>
            <w:tcW w:w="2633" w:type="dxa"/>
            <w:tcBorders>
              <w:top w:val="nil"/>
              <w:left w:val="nil"/>
              <w:bottom w:val="single" w:sz="6" w:space="0" w:color="auto"/>
              <w:right w:val="single" w:sz="6" w:space="0" w:color="auto"/>
            </w:tcBorders>
            <w:vAlign w:val="center"/>
            <w:hideMark/>
          </w:tcPr>
          <w:p w14:paraId="04485703" w14:textId="77777777" w:rsidR="004B3D26" w:rsidRPr="008F328C" w:rsidRDefault="004B3D26" w:rsidP="00B2198A">
            <w:pPr>
              <w:jc w:val="center"/>
              <w:textAlignment w:val="baseline"/>
              <w:rPr>
                <w:rFonts w:ascii="Times New Roman" w:hAnsi="Times New Roman" w:cs="Times New Roman"/>
                <w:lang w:val="pl-PL"/>
              </w:rPr>
            </w:pPr>
            <w:r w:rsidRPr="008F328C">
              <w:rPr>
                <w:rFonts w:ascii="Times New Roman" w:hAnsi="Times New Roman" w:cs="Times New Roman"/>
                <w:lang w:val="pl-PL"/>
              </w:rPr>
              <w:t>5/16 (31,3%) </w:t>
            </w:r>
          </w:p>
        </w:tc>
      </w:tr>
      <w:tr w:rsidR="004B3D26" w:rsidRPr="00537986" w14:paraId="02A5924D" w14:textId="77777777" w:rsidTr="00114A52">
        <w:trPr>
          <w:jc w:val="center"/>
        </w:trPr>
        <w:tc>
          <w:tcPr>
            <w:tcW w:w="8861" w:type="dxa"/>
            <w:gridSpan w:val="3"/>
            <w:tcBorders>
              <w:top w:val="nil"/>
              <w:left w:val="single" w:sz="6" w:space="0" w:color="auto"/>
              <w:bottom w:val="single" w:sz="6" w:space="0" w:color="auto"/>
              <w:right w:val="single" w:sz="6" w:space="0" w:color="auto"/>
            </w:tcBorders>
            <w:hideMark/>
          </w:tcPr>
          <w:p w14:paraId="12FBCDAD"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vertAlign w:val="superscript"/>
                <w:lang w:val="pl-PL"/>
              </w:rPr>
              <w:t>a </w:t>
            </w:r>
            <w:r w:rsidRPr="008F328C">
              <w:rPr>
                <w:rFonts w:ascii="Times New Roman" w:hAnsi="Times New Roman" w:cs="Times New Roman"/>
                <w:lang w:val="pl-PL"/>
              </w:rPr>
              <w:t xml:space="preserve"> Adalimumab w dawce 0,6 mg/kg (maksymalnie 40 mg) co drugi tydzień. </w:t>
            </w:r>
          </w:p>
          <w:p w14:paraId="610E1952"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vertAlign w:val="superscript"/>
                <w:lang w:val="pl-PL"/>
              </w:rPr>
              <w:t>b </w:t>
            </w:r>
            <w:r w:rsidRPr="008F328C">
              <w:rPr>
                <w:rFonts w:ascii="Times New Roman" w:hAnsi="Times New Roman" w:cs="Times New Roman"/>
                <w:lang w:val="pl-PL"/>
              </w:rPr>
              <w:t xml:space="preserve"> Adalimumab w dawce 0,6 mg/kg (maksymalnie 40 mg) co tydzień. </w:t>
            </w:r>
          </w:p>
          <w:p w14:paraId="74EE56D2"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vertAlign w:val="superscript"/>
                <w:lang w:val="pl-PL"/>
              </w:rPr>
              <w:lastRenderedPageBreak/>
              <w:t>c </w:t>
            </w:r>
            <w:r w:rsidRPr="008F328C">
              <w:rPr>
                <w:rFonts w:ascii="Times New Roman" w:hAnsi="Times New Roman" w:cs="Times New Roman"/>
                <w:lang w:val="pl-PL"/>
              </w:rPr>
              <w:t xml:space="preserve"> U pacjentów przyjmujących jednocześnie kortykosteroidy w czasie włączenia do badania. </w:t>
            </w:r>
          </w:p>
          <w:p w14:paraId="7685B60A" w14:textId="77777777" w:rsidR="004B3D26" w:rsidRPr="008F328C" w:rsidRDefault="004B3D26" w:rsidP="00B2198A">
            <w:pPr>
              <w:textAlignment w:val="baseline"/>
              <w:rPr>
                <w:rFonts w:ascii="Times New Roman" w:hAnsi="Times New Roman" w:cs="Times New Roman"/>
                <w:lang w:val="pl-PL"/>
              </w:rPr>
            </w:pPr>
            <w:r w:rsidRPr="008F328C">
              <w:rPr>
                <w:rFonts w:ascii="Times New Roman" w:hAnsi="Times New Roman" w:cs="Times New Roman"/>
                <w:lang w:val="pl-PL"/>
              </w:rPr>
              <w:t xml:space="preserve">Uwaga: Pacjentów, </w:t>
            </w:r>
            <w:r w:rsidRPr="008F328C">
              <w:rPr>
                <w:rStyle w:val="normaltextrun"/>
                <w:rFonts w:ascii="Times New Roman" w:hAnsi="Times New Roman" w:cs="Times New Roman"/>
                <w:lang w:val="pl-PL"/>
              </w:rPr>
              <w:t xml:space="preserve">dla których brak było danych liczbowych </w:t>
            </w:r>
            <w:r w:rsidRPr="008F328C">
              <w:rPr>
                <w:rFonts w:ascii="Times New Roman" w:hAnsi="Times New Roman" w:cs="Times New Roman"/>
                <w:lang w:val="pl-PL"/>
              </w:rPr>
              <w:t>w 52. tygodniu lub których przydzielono losowo do leczenia reindukcyjnego lub podtrzymującego, uznano za nieodpowiadjących na leczenie zgodnie z punktami końcowymi badania w 52. tygodniu. </w:t>
            </w:r>
          </w:p>
        </w:tc>
      </w:tr>
    </w:tbl>
    <w:p w14:paraId="24EA4068" w14:textId="77777777" w:rsidR="004B3D26" w:rsidRPr="008F328C" w:rsidRDefault="004B3D26" w:rsidP="004B3D26">
      <w:pPr>
        <w:rPr>
          <w:rFonts w:ascii="Times New Roman" w:hAnsi="Times New Roman" w:cs="Times New Roman"/>
          <w:lang w:val="pl-PL"/>
        </w:rPr>
      </w:pPr>
    </w:p>
    <w:p w14:paraId="49B5A49C"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 xml:space="preserve">Dodatkowymi, eksploracyjnymi punktami końcowymi dla oceny skuteczności były odpowiedź kliniczna według pediatrycznego współczynnika aktywności wrzodziejącego jelita grubego (ang. </w:t>
      </w:r>
      <w:r w:rsidRPr="008F328C">
        <w:rPr>
          <w:rFonts w:ascii="Times New Roman" w:hAnsi="Times New Roman" w:cs="Times New Roman"/>
          <w:i/>
          <w:iCs/>
          <w:lang w:val="pl-PL"/>
        </w:rPr>
        <w:t>Paediatric Ulcerative Colitis Activity Index</w:t>
      </w:r>
      <w:r w:rsidRPr="008F328C">
        <w:rPr>
          <w:rFonts w:ascii="Times New Roman" w:hAnsi="Times New Roman" w:cs="Times New Roman"/>
          <w:lang w:val="pl-PL"/>
        </w:rPr>
        <w:t xml:space="preserve">, PUCAI) (zdefiniowana jako zmniejszenie oceny wg PUCAI o ≥ 20 punktów w stosunku do wartości wyjściowej) oraz remisja kliniczna wg PUCAI (zdefiniowana jako ocena wartości wskaźnika PUCAI &lt; 10) w 8. i 52. tygodniu (Tabela 23). </w:t>
      </w:r>
    </w:p>
    <w:p w14:paraId="5878C272" w14:textId="77777777" w:rsidR="004B3D26" w:rsidRPr="008F328C" w:rsidRDefault="004B3D26" w:rsidP="004B3D26">
      <w:pPr>
        <w:keepNext/>
        <w:rPr>
          <w:rFonts w:ascii="Times New Roman" w:hAnsi="Times New Roman" w:cs="Times New Roman"/>
          <w:lang w:val="pl-PL"/>
        </w:rPr>
      </w:pPr>
    </w:p>
    <w:tbl>
      <w:tblPr>
        <w:tblW w:w="8829" w:type="dxa"/>
        <w:jc w:val="center"/>
        <w:tblCellMar>
          <w:left w:w="0" w:type="dxa"/>
          <w:right w:w="0" w:type="dxa"/>
        </w:tblCellMar>
        <w:tblLook w:val="04A0" w:firstRow="1" w:lastRow="0" w:firstColumn="1" w:lastColumn="0" w:noHBand="0" w:noVBand="1"/>
      </w:tblPr>
      <w:tblGrid>
        <w:gridCol w:w="3501"/>
        <w:gridCol w:w="2898"/>
        <w:gridCol w:w="2430"/>
      </w:tblGrid>
      <w:tr w:rsidR="004B3D26" w:rsidRPr="00537986" w14:paraId="38DA2B84" w14:textId="77777777" w:rsidTr="00B2198A">
        <w:trPr>
          <w:trHeight w:val="60"/>
          <w:jc w:val="center"/>
        </w:trPr>
        <w:tc>
          <w:tcPr>
            <w:tcW w:w="8829" w:type="dxa"/>
            <w:gridSpan w:val="3"/>
            <w:tcBorders>
              <w:bottom w:val="single" w:sz="4" w:space="0" w:color="auto"/>
            </w:tcBorders>
            <w:tcMar>
              <w:top w:w="0" w:type="dxa"/>
              <w:left w:w="108" w:type="dxa"/>
              <w:bottom w:w="0" w:type="dxa"/>
              <w:right w:w="108" w:type="dxa"/>
            </w:tcMar>
          </w:tcPr>
          <w:p w14:paraId="2BC87E16" w14:textId="77777777" w:rsidR="004B3D26" w:rsidRPr="008F328C" w:rsidRDefault="004B3D26" w:rsidP="00B2198A">
            <w:pPr>
              <w:keepNext/>
              <w:jc w:val="center"/>
              <w:rPr>
                <w:rFonts w:ascii="Times New Roman" w:hAnsi="Times New Roman" w:cs="Times New Roman"/>
                <w:b/>
                <w:lang w:val="pl-PL"/>
              </w:rPr>
            </w:pPr>
            <w:r w:rsidRPr="008F328C">
              <w:rPr>
                <w:rFonts w:ascii="Times New Roman" w:hAnsi="Times New Roman" w:cs="Times New Roman"/>
                <w:b/>
                <w:lang w:val="pl-PL"/>
              </w:rPr>
              <w:t>Tabela 23. Wyniki dotyczące eksploracyjnych punktów końcowych wg PUCAI</w:t>
            </w:r>
          </w:p>
          <w:p w14:paraId="4599D055" w14:textId="77777777" w:rsidR="004B3D26" w:rsidRPr="008F328C" w:rsidRDefault="004B3D26" w:rsidP="00B2198A">
            <w:pPr>
              <w:keepNext/>
              <w:jc w:val="center"/>
              <w:rPr>
                <w:rFonts w:ascii="Times New Roman" w:hAnsi="Times New Roman" w:cs="Times New Roman"/>
                <w:b/>
                <w:bCs/>
                <w:lang w:val="pl-PL"/>
              </w:rPr>
            </w:pPr>
          </w:p>
        </w:tc>
      </w:tr>
      <w:tr w:rsidR="004B3D26" w:rsidRPr="008F328C" w14:paraId="3D6BCA2C" w14:textId="77777777" w:rsidTr="00B2198A">
        <w:trPr>
          <w:trHeight w:val="265"/>
          <w:jc w:val="center"/>
        </w:trPr>
        <w:tc>
          <w:tcPr>
            <w:tcW w:w="350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C42A3E" w14:textId="77777777" w:rsidR="004B3D26" w:rsidRPr="008F328C" w:rsidRDefault="004B3D26" w:rsidP="00B2198A">
            <w:pPr>
              <w:keepNext/>
              <w:rPr>
                <w:rFonts w:ascii="Times New Roman" w:hAnsi="Times New Roman" w:cs="Times New Roman"/>
                <w:lang w:val="pl-PL"/>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954459" w14:textId="77777777" w:rsidR="004B3D26" w:rsidRPr="008F328C" w:rsidRDefault="004B3D26" w:rsidP="00B2198A">
            <w:pPr>
              <w:keepNext/>
              <w:jc w:val="center"/>
              <w:rPr>
                <w:rFonts w:ascii="Times New Roman" w:hAnsi="Times New Roman" w:cs="Times New Roman"/>
                <w:b/>
                <w:bCs/>
                <w:lang w:val="pl-PL"/>
              </w:rPr>
            </w:pPr>
            <w:r w:rsidRPr="008F328C">
              <w:rPr>
                <w:rFonts w:ascii="Times New Roman" w:hAnsi="Times New Roman" w:cs="Times New Roman"/>
                <w:b/>
                <w:lang w:val="pl-PL"/>
              </w:rPr>
              <w:t>8. tydzień</w:t>
            </w:r>
          </w:p>
        </w:tc>
      </w:tr>
      <w:tr w:rsidR="004B3D26" w:rsidRPr="008F328C" w14:paraId="3E79583B" w14:textId="77777777" w:rsidTr="00B2198A">
        <w:trPr>
          <w:trHeight w:val="1042"/>
          <w:jc w:val="center"/>
        </w:trPr>
        <w:tc>
          <w:tcPr>
            <w:tcW w:w="3501"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37CA88" w14:textId="77777777" w:rsidR="004B3D26" w:rsidRPr="008F328C" w:rsidRDefault="004B3D26" w:rsidP="00B2198A">
            <w:pPr>
              <w:keepNext/>
              <w:rPr>
                <w:rFonts w:ascii="Times New Roman" w:hAnsi="Times New Roman" w:cs="Times New Roman"/>
                <w:lang w:val="pl-PL"/>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61A75C" w14:textId="77777777" w:rsidR="004B3D26" w:rsidRPr="008F328C" w:rsidRDefault="004B3D26" w:rsidP="00B2198A">
            <w:pPr>
              <w:keepNext/>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a</w:t>
            </w:r>
          </w:p>
          <w:p w14:paraId="7B5E5A3F" w14:textId="77777777" w:rsidR="004B3D26" w:rsidRPr="008F328C" w:rsidRDefault="004B3D26" w:rsidP="00B2198A">
            <w:pPr>
              <w:keepNext/>
              <w:jc w:val="center"/>
              <w:rPr>
                <w:rFonts w:ascii="Times New Roman" w:hAnsi="Times New Roman" w:cs="Times New Roman"/>
                <w:b/>
                <w:bCs/>
                <w:lang w:val="pl-PL"/>
              </w:rPr>
            </w:pPr>
            <w:r w:rsidRPr="008F328C">
              <w:rPr>
                <w:rFonts w:ascii="Times New Roman" w:hAnsi="Times New Roman" w:cs="Times New Roman"/>
                <w:b/>
                <w:lang w:val="pl-PL"/>
              </w:rPr>
              <w:t>Maksymalnie 160 mg w 0. tygodniu / placebo w 1. tygodniu</w:t>
            </w:r>
          </w:p>
          <w:p w14:paraId="6DB91D51"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A6A522" w14:textId="77777777" w:rsidR="004B3D26" w:rsidRPr="008F328C" w:rsidRDefault="004B3D26" w:rsidP="00B2198A">
            <w:pPr>
              <w:keepNext/>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b,c</w:t>
            </w:r>
          </w:p>
          <w:p w14:paraId="2119FB2B" w14:textId="77777777" w:rsidR="004B3D26" w:rsidRPr="008F328C" w:rsidRDefault="004B3D26" w:rsidP="00B2198A">
            <w:pPr>
              <w:keepNext/>
              <w:jc w:val="center"/>
              <w:rPr>
                <w:rFonts w:ascii="Times New Roman" w:hAnsi="Times New Roman" w:cs="Times New Roman"/>
                <w:b/>
                <w:bCs/>
                <w:lang w:val="pl-PL"/>
              </w:rPr>
            </w:pPr>
            <w:r w:rsidRPr="008F328C">
              <w:rPr>
                <w:rFonts w:ascii="Times New Roman" w:hAnsi="Times New Roman" w:cs="Times New Roman"/>
                <w:b/>
                <w:lang w:val="pl-PL"/>
              </w:rPr>
              <w:t>Maksymalnie 160 mg w 0. i 1. tygodniu</w:t>
            </w:r>
          </w:p>
          <w:p w14:paraId="7CC57729"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N=47</w:t>
            </w:r>
          </w:p>
        </w:tc>
      </w:tr>
      <w:tr w:rsidR="004B3D26" w:rsidRPr="008F328C" w14:paraId="2D561CD8" w14:textId="77777777" w:rsidTr="00B2198A">
        <w:trPr>
          <w:trHeight w:val="202"/>
          <w:jc w:val="center"/>
        </w:trPr>
        <w:tc>
          <w:tcPr>
            <w:tcW w:w="35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A9E7B" w14:textId="77777777" w:rsidR="004B3D26" w:rsidRPr="008F328C" w:rsidRDefault="004B3D26" w:rsidP="00B2198A">
            <w:pPr>
              <w:keepNext/>
              <w:rPr>
                <w:rFonts w:ascii="Times New Roman" w:hAnsi="Times New Roman" w:cs="Times New Roman"/>
                <w:lang w:val="pl-PL"/>
              </w:rPr>
            </w:pPr>
            <w:r w:rsidRPr="008F328C">
              <w:rPr>
                <w:rFonts w:ascii="Times New Roman" w:hAnsi="Times New Roman" w:cs="Times New Roman"/>
                <w:lang w:val="pl-PL"/>
              </w:rPr>
              <w:t>Remisja kliniczna wg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DEC6B9"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7A9294"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22/47 (46,8%)</w:t>
            </w:r>
          </w:p>
        </w:tc>
      </w:tr>
      <w:tr w:rsidR="004B3D26" w:rsidRPr="008F328C" w14:paraId="2FCC3C97" w14:textId="77777777" w:rsidTr="00B2198A">
        <w:trPr>
          <w:trHeight w:val="238"/>
          <w:jc w:val="center"/>
        </w:trPr>
        <w:tc>
          <w:tcPr>
            <w:tcW w:w="35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B9D6595" w14:textId="77777777" w:rsidR="004B3D26" w:rsidRPr="008F328C" w:rsidRDefault="004B3D26" w:rsidP="00B2198A">
            <w:pPr>
              <w:keepNext/>
              <w:rPr>
                <w:rFonts w:ascii="Times New Roman" w:hAnsi="Times New Roman" w:cs="Times New Roman"/>
                <w:lang w:val="pl-PL"/>
              </w:rPr>
            </w:pPr>
            <w:r w:rsidRPr="008F328C">
              <w:rPr>
                <w:rFonts w:ascii="Times New Roman" w:hAnsi="Times New Roman" w:cs="Times New Roman"/>
                <w:lang w:val="pl-PL"/>
              </w:rPr>
              <w:t>Odpowiedź kliniczna wg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4EDA2C"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14AA0B" w14:textId="77777777" w:rsidR="004B3D26" w:rsidRPr="008F328C" w:rsidRDefault="004B3D26" w:rsidP="00B2198A">
            <w:pPr>
              <w:keepNext/>
              <w:jc w:val="center"/>
              <w:rPr>
                <w:rFonts w:ascii="Times New Roman" w:hAnsi="Times New Roman" w:cs="Times New Roman"/>
                <w:lang w:val="pl-PL"/>
              </w:rPr>
            </w:pPr>
            <w:r w:rsidRPr="008F328C">
              <w:rPr>
                <w:rFonts w:ascii="Times New Roman" w:hAnsi="Times New Roman" w:cs="Times New Roman"/>
                <w:lang w:val="pl-PL"/>
              </w:rPr>
              <w:t>32/47 (68,1%)</w:t>
            </w:r>
          </w:p>
        </w:tc>
      </w:tr>
      <w:tr w:rsidR="004B3D26" w:rsidRPr="008F328C" w14:paraId="3D1DC696" w14:textId="77777777" w:rsidTr="00B2198A">
        <w:trPr>
          <w:trHeight w:val="238"/>
          <w:jc w:val="center"/>
        </w:trPr>
        <w:tc>
          <w:tcPr>
            <w:tcW w:w="350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3D4977" w14:textId="77777777" w:rsidR="004B3D26" w:rsidRPr="008F328C" w:rsidRDefault="004B3D26" w:rsidP="00B2198A">
            <w:pPr>
              <w:rPr>
                <w:rFonts w:ascii="Times New Roman" w:hAnsi="Times New Roman" w:cs="Times New Roman"/>
                <w:lang w:val="pl-PL"/>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38478D" w14:textId="77777777" w:rsidR="004B3D26" w:rsidRPr="008F328C" w:rsidRDefault="004B3D26" w:rsidP="00B2198A">
            <w:pPr>
              <w:jc w:val="center"/>
              <w:rPr>
                <w:rFonts w:ascii="Times New Roman" w:hAnsi="Times New Roman" w:cs="Times New Roman"/>
                <w:b/>
                <w:bCs/>
                <w:lang w:val="pl-PL"/>
              </w:rPr>
            </w:pPr>
            <w:r w:rsidRPr="008F328C">
              <w:rPr>
                <w:rFonts w:ascii="Times New Roman" w:hAnsi="Times New Roman" w:cs="Times New Roman"/>
                <w:b/>
                <w:lang w:val="pl-PL"/>
              </w:rPr>
              <w:t>52. tydzień</w:t>
            </w:r>
          </w:p>
        </w:tc>
      </w:tr>
      <w:tr w:rsidR="004B3D26" w:rsidRPr="00FE49E6" w14:paraId="614566D5" w14:textId="77777777" w:rsidTr="00B2198A">
        <w:trPr>
          <w:trHeight w:val="238"/>
          <w:jc w:val="center"/>
        </w:trPr>
        <w:tc>
          <w:tcPr>
            <w:tcW w:w="3501"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584494" w14:textId="77777777" w:rsidR="004B3D26" w:rsidRPr="008F328C" w:rsidRDefault="004B3D26" w:rsidP="00B2198A">
            <w:pPr>
              <w:rPr>
                <w:rFonts w:ascii="Times New Roman" w:hAnsi="Times New Roman" w:cs="Times New Roman"/>
                <w:lang w:val="pl-PL"/>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4BC4AB" w14:textId="77777777" w:rsidR="004B3D26" w:rsidRPr="008F328C" w:rsidRDefault="004B3D26" w:rsidP="00B2198A">
            <w:pPr>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d</w:t>
            </w:r>
          </w:p>
          <w:p w14:paraId="60C4CB55" w14:textId="77777777" w:rsidR="004B3D26" w:rsidRPr="008F328C" w:rsidRDefault="004B3D26" w:rsidP="00B2198A">
            <w:pPr>
              <w:jc w:val="center"/>
              <w:rPr>
                <w:rFonts w:ascii="Times New Roman" w:hAnsi="Times New Roman" w:cs="Times New Roman"/>
                <w:b/>
                <w:bCs/>
                <w:lang w:val="pl-PL"/>
              </w:rPr>
            </w:pPr>
            <w:r w:rsidRPr="008F328C">
              <w:rPr>
                <w:rFonts w:ascii="Times New Roman" w:hAnsi="Times New Roman" w:cs="Times New Roman"/>
                <w:b/>
                <w:lang w:val="pl-PL"/>
              </w:rPr>
              <w:t>Maksymalnie 40 mg co drugi tydzień</w:t>
            </w:r>
          </w:p>
          <w:p w14:paraId="78B95557"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N=31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0BE629" w14:textId="77777777" w:rsidR="004B3D26" w:rsidRPr="008F328C" w:rsidRDefault="004B3D26" w:rsidP="00B2198A">
            <w:pPr>
              <w:jc w:val="center"/>
              <w:rPr>
                <w:rFonts w:ascii="Times New Roman" w:hAnsi="Times New Roman" w:cs="Times New Roman"/>
                <w:b/>
                <w:bCs/>
                <w:vertAlign w:val="superscript"/>
                <w:lang w:val="pl-PL"/>
              </w:rPr>
            </w:pPr>
            <w:r w:rsidRPr="008F328C">
              <w:rPr>
                <w:rFonts w:ascii="Times New Roman" w:hAnsi="Times New Roman" w:cs="Times New Roman"/>
                <w:b/>
                <w:lang w:val="pl-PL"/>
              </w:rPr>
              <w:t>Adalimumab</w:t>
            </w:r>
            <w:r w:rsidRPr="008F328C">
              <w:rPr>
                <w:rFonts w:ascii="Times New Roman" w:hAnsi="Times New Roman" w:cs="Times New Roman"/>
                <w:b/>
                <w:vertAlign w:val="superscript"/>
                <w:lang w:val="pl-PL"/>
              </w:rPr>
              <w:t>e</w:t>
            </w:r>
          </w:p>
          <w:p w14:paraId="5889A0F7" w14:textId="77777777" w:rsidR="004B3D26" w:rsidRPr="008F328C" w:rsidRDefault="004B3D26" w:rsidP="00B2198A">
            <w:pPr>
              <w:jc w:val="center"/>
              <w:rPr>
                <w:rFonts w:ascii="Times New Roman" w:hAnsi="Times New Roman" w:cs="Times New Roman"/>
                <w:b/>
                <w:bCs/>
                <w:lang w:val="pl-PL"/>
              </w:rPr>
            </w:pPr>
            <w:r w:rsidRPr="008F328C">
              <w:rPr>
                <w:rFonts w:ascii="Times New Roman" w:hAnsi="Times New Roman" w:cs="Times New Roman"/>
                <w:b/>
                <w:lang w:val="pl-PL"/>
              </w:rPr>
              <w:t>Maksymalnie 40 mg co tydzień</w:t>
            </w:r>
          </w:p>
          <w:p w14:paraId="32F0F720"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N=31</w:t>
            </w:r>
          </w:p>
        </w:tc>
      </w:tr>
      <w:tr w:rsidR="004B3D26" w:rsidRPr="008F328C" w14:paraId="198F7338" w14:textId="77777777" w:rsidTr="00B2198A">
        <w:trPr>
          <w:trHeight w:val="238"/>
          <w:jc w:val="center"/>
        </w:trPr>
        <w:tc>
          <w:tcPr>
            <w:tcW w:w="35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86DBE9" w14:textId="77777777" w:rsidR="004B3D26" w:rsidRPr="008F328C" w:rsidRDefault="004B3D26" w:rsidP="00B2198A">
            <w:pPr>
              <w:rPr>
                <w:rFonts w:ascii="Times New Roman" w:hAnsi="Times New Roman" w:cs="Times New Roman"/>
                <w:lang w:val="pl-PL"/>
              </w:rPr>
            </w:pPr>
            <w:r w:rsidRPr="008F328C">
              <w:rPr>
                <w:rFonts w:ascii="Times New Roman" w:hAnsi="Times New Roman" w:cs="Times New Roman"/>
                <w:lang w:val="pl-PL"/>
              </w:rPr>
              <w:t>Remisja kliniczna wg PUCAI u pacjentów wykazujących odpowiedź w PMS w 8. tygodniu</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AF4E03"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14/31 (45,2%)</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50B729"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18/31 (58,1%)</w:t>
            </w:r>
          </w:p>
        </w:tc>
      </w:tr>
      <w:tr w:rsidR="004B3D26" w:rsidRPr="008F328C" w14:paraId="2D482415" w14:textId="77777777" w:rsidTr="00B2198A">
        <w:trPr>
          <w:trHeight w:val="238"/>
          <w:jc w:val="center"/>
        </w:trPr>
        <w:tc>
          <w:tcPr>
            <w:tcW w:w="35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43DE39" w14:textId="77777777" w:rsidR="004B3D26" w:rsidRPr="008F328C" w:rsidRDefault="004B3D26" w:rsidP="00B2198A">
            <w:pPr>
              <w:rPr>
                <w:rFonts w:ascii="Times New Roman" w:hAnsi="Times New Roman" w:cs="Times New Roman"/>
                <w:lang w:val="pl-PL"/>
              </w:rPr>
            </w:pPr>
            <w:r w:rsidRPr="008F328C">
              <w:rPr>
                <w:rFonts w:ascii="Times New Roman" w:hAnsi="Times New Roman" w:cs="Times New Roman"/>
                <w:lang w:val="pl-PL"/>
              </w:rPr>
              <w:t>Odpowiedź kliniczna wg PUCAI u pacjentów wykazujących odpowiedź w PMS w 8. tygodniu</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B0F0FF"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18/31 (58,1%)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1A3AA1" w14:textId="77777777" w:rsidR="004B3D26" w:rsidRPr="008F328C" w:rsidRDefault="004B3D26" w:rsidP="00B2198A">
            <w:pPr>
              <w:jc w:val="center"/>
              <w:rPr>
                <w:rFonts w:ascii="Times New Roman" w:hAnsi="Times New Roman" w:cs="Times New Roman"/>
                <w:lang w:val="pl-PL"/>
              </w:rPr>
            </w:pPr>
            <w:r w:rsidRPr="008F328C">
              <w:rPr>
                <w:rFonts w:ascii="Times New Roman" w:hAnsi="Times New Roman" w:cs="Times New Roman"/>
                <w:lang w:val="pl-PL"/>
              </w:rPr>
              <w:t>16/31 (51,6%)</w:t>
            </w:r>
          </w:p>
        </w:tc>
      </w:tr>
      <w:tr w:rsidR="004B3D26" w:rsidRPr="00537986" w14:paraId="3BCCAF4E" w14:textId="77777777" w:rsidTr="00B2198A">
        <w:trPr>
          <w:trHeight w:val="533"/>
          <w:jc w:val="center"/>
        </w:trPr>
        <w:tc>
          <w:tcPr>
            <w:tcW w:w="8829"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9CFB31" w14:textId="77777777" w:rsidR="004B3D26" w:rsidRPr="008F328C" w:rsidRDefault="004B3D26" w:rsidP="00B2198A">
            <w:pPr>
              <w:rPr>
                <w:rStyle w:val="eop"/>
                <w:rFonts w:ascii="Times New Roman" w:hAnsi="Times New Roman" w:cs="Times New Roman"/>
                <w:lang w:val="pl-PL"/>
              </w:rPr>
            </w:pPr>
            <w:r w:rsidRPr="008F328C">
              <w:rPr>
                <w:rFonts w:ascii="Times New Roman" w:hAnsi="Times New Roman" w:cs="Times New Roman"/>
                <w:vertAlign w:val="superscript"/>
                <w:lang w:val="pl-PL"/>
              </w:rPr>
              <w:t xml:space="preserve">a  </w:t>
            </w:r>
            <w:r w:rsidRPr="008F328C">
              <w:rPr>
                <w:rStyle w:val="normaltextrun"/>
                <w:rFonts w:ascii="Times New Roman" w:hAnsi="Times New Roman" w:cs="Times New Roman"/>
                <w:lang w:val="pl-PL"/>
              </w:rPr>
              <w:t>Adalimumab w dawce 2,4 mg/kg (maksymalnie 160 mg) w 0. tygodniu, placebo w 1. tygodniu i adalimumab w dawce 1,2 mg/kg (maksymalnie 80 mg) w 2</w:t>
            </w:r>
            <w:r w:rsidRPr="008F328C">
              <w:rPr>
                <w:rFonts w:ascii="Times New Roman" w:hAnsi="Times New Roman" w:cs="Times New Roman"/>
                <w:lang w:val="pl-PL"/>
              </w:rPr>
              <w:t>. tygodniu.</w:t>
            </w:r>
            <w:r w:rsidRPr="008F328C">
              <w:rPr>
                <w:rStyle w:val="eop"/>
                <w:rFonts w:ascii="Times New Roman" w:hAnsi="Times New Roman" w:cs="Times New Roman"/>
                <w:lang w:val="pl-PL"/>
              </w:rPr>
              <w:t> </w:t>
            </w:r>
          </w:p>
          <w:p w14:paraId="785D5E2A" w14:textId="77777777" w:rsidR="004B3D26" w:rsidRPr="008F328C" w:rsidRDefault="004B3D26" w:rsidP="00B2198A">
            <w:pPr>
              <w:pStyle w:val="paragraph"/>
              <w:spacing w:before="0" w:beforeAutospacing="0" w:after="0" w:afterAutospacing="0"/>
              <w:textAlignment w:val="baseline"/>
              <w:rPr>
                <w:rStyle w:val="eop"/>
                <w:sz w:val="22"/>
                <w:szCs w:val="22"/>
                <w:lang w:val="pl-PL"/>
              </w:rPr>
            </w:pPr>
            <w:r w:rsidRPr="008F328C">
              <w:rPr>
                <w:rStyle w:val="normaltextrun"/>
                <w:sz w:val="22"/>
                <w:vertAlign w:val="superscript"/>
                <w:lang w:val="pl-PL"/>
              </w:rPr>
              <w:t>b </w:t>
            </w:r>
            <w:r w:rsidRPr="008F328C">
              <w:rPr>
                <w:rStyle w:val="normaltextrun"/>
                <w:sz w:val="22"/>
                <w:lang w:val="pl-PL"/>
              </w:rPr>
              <w:t xml:space="preserve"> Adalimumab w dawce 2,4 mg/kg (maksymalnie 160 mg) w 0. i 1. tygodniu i w dawce 1,2 mg/kg (maksymalnie 80 mg) w 2</w:t>
            </w:r>
            <w:r w:rsidRPr="008F328C">
              <w:rPr>
                <w:sz w:val="22"/>
                <w:lang w:val="pl-PL"/>
              </w:rPr>
              <w:t>. tygodniu.</w:t>
            </w:r>
            <w:r w:rsidRPr="008F328C">
              <w:rPr>
                <w:rStyle w:val="eop"/>
                <w:sz w:val="22"/>
                <w:lang w:val="pl-PL"/>
              </w:rPr>
              <w:t> </w:t>
            </w:r>
          </w:p>
          <w:p w14:paraId="30F26985" w14:textId="77777777" w:rsidR="004B3D26" w:rsidRPr="008F328C" w:rsidRDefault="004B3D26" w:rsidP="00B2198A">
            <w:pPr>
              <w:pStyle w:val="paragraph"/>
              <w:spacing w:before="0" w:beforeAutospacing="0" w:after="0" w:afterAutospacing="0"/>
              <w:textAlignment w:val="baseline"/>
              <w:rPr>
                <w:rStyle w:val="normaltextrun"/>
                <w:sz w:val="22"/>
                <w:szCs w:val="22"/>
                <w:lang w:val="pl-PL"/>
              </w:rPr>
            </w:pPr>
            <w:r w:rsidRPr="008F328C">
              <w:rPr>
                <w:rStyle w:val="normaltextrun"/>
                <w:sz w:val="22"/>
                <w:vertAlign w:val="superscript"/>
                <w:lang w:val="pl-PL"/>
              </w:rPr>
              <w:t xml:space="preserve">c  </w:t>
            </w:r>
            <w:r w:rsidRPr="008F328C">
              <w:rPr>
                <w:rStyle w:val="normaltextrun"/>
                <w:sz w:val="22"/>
                <w:lang w:val="pl-PL"/>
              </w:rPr>
              <w:t>Nie obejmuje dawki indukcyjnej produktu adalimumab podawanej metodą otwartej próby wynoszącej 2,4 mg/kg (maksymalnie 160 mg) w 0. i 1. tygodniu oraz 1,2 mg/kg (maksymalnie 80 mg) w 2. tygodniu.</w:t>
            </w:r>
          </w:p>
          <w:p w14:paraId="5EC6DB52"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vertAlign w:val="superscript"/>
                <w:lang w:val="pl-PL"/>
              </w:rPr>
              <w:t>d </w:t>
            </w:r>
            <w:r w:rsidRPr="008F328C">
              <w:rPr>
                <w:sz w:val="22"/>
                <w:lang w:val="pl-PL"/>
              </w:rPr>
              <w:t xml:space="preserve"> Adalimumab w dawce 0,6 mg/kg (maksymalnie 40 mg) co drugi tydzień.</w:t>
            </w:r>
          </w:p>
          <w:p w14:paraId="0DD8C7FC" w14:textId="77777777" w:rsidR="004B3D26" w:rsidRPr="008F328C" w:rsidRDefault="004B3D26" w:rsidP="00B2198A">
            <w:pPr>
              <w:rPr>
                <w:rFonts w:ascii="Times New Roman" w:hAnsi="Times New Roman" w:cs="Times New Roman"/>
                <w:lang w:val="pl-PL"/>
              </w:rPr>
            </w:pPr>
            <w:r w:rsidRPr="008F328C">
              <w:rPr>
                <w:rFonts w:ascii="Times New Roman" w:hAnsi="Times New Roman" w:cs="Times New Roman"/>
                <w:vertAlign w:val="superscript"/>
                <w:lang w:val="pl-PL"/>
              </w:rPr>
              <w:t>e </w:t>
            </w:r>
            <w:r w:rsidRPr="008F328C">
              <w:rPr>
                <w:rFonts w:ascii="Times New Roman" w:hAnsi="Times New Roman" w:cs="Times New Roman"/>
                <w:lang w:val="pl-PL"/>
              </w:rPr>
              <w:t xml:space="preserve"> Adalimumab w dawce 0,6 mg/kg (maksymalnie 40 mg) co tydzień.</w:t>
            </w:r>
          </w:p>
          <w:p w14:paraId="507CD74D"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normaltextrun"/>
                <w:sz w:val="22"/>
                <w:lang w:val="pl-PL"/>
              </w:rPr>
              <w:t>Uwaga 1: Obie grupy leczenia indukcyjnego otrzymywały 0,6 mg/kg (maksymalnie 40 mg) w 4. i 6. tygodniu.</w:t>
            </w:r>
            <w:r w:rsidRPr="008F328C">
              <w:rPr>
                <w:rStyle w:val="eop"/>
                <w:sz w:val="22"/>
                <w:lang w:val="pl-PL"/>
              </w:rPr>
              <w:t> </w:t>
            </w:r>
          </w:p>
          <w:p w14:paraId="605C8D1F" w14:textId="77777777" w:rsidR="004B3D26" w:rsidRPr="008F328C" w:rsidRDefault="004B3D26" w:rsidP="00B2198A">
            <w:pPr>
              <w:pStyle w:val="paragraph"/>
              <w:spacing w:before="0" w:beforeAutospacing="0" w:after="0" w:afterAutospacing="0"/>
              <w:textAlignment w:val="baseline"/>
              <w:rPr>
                <w:rStyle w:val="eop"/>
                <w:sz w:val="22"/>
                <w:szCs w:val="22"/>
                <w:lang w:val="pl-PL"/>
              </w:rPr>
            </w:pPr>
            <w:r w:rsidRPr="008F328C">
              <w:rPr>
                <w:rStyle w:val="normaltextrun"/>
                <w:sz w:val="22"/>
                <w:lang w:val="pl-PL"/>
              </w:rPr>
              <w:t>Uwaga 2: Uznano, że pacjenci, dla których brak było danych liczbowych w 8. tygodniu, nie osiągnęli punktu końcowego.</w:t>
            </w:r>
            <w:r w:rsidRPr="008F328C">
              <w:rPr>
                <w:rStyle w:val="eop"/>
                <w:sz w:val="22"/>
                <w:lang w:val="pl-PL"/>
              </w:rPr>
              <w:t> </w:t>
            </w:r>
          </w:p>
          <w:p w14:paraId="599ECA88" w14:textId="77777777" w:rsidR="004B3D26" w:rsidRPr="008F328C" w:rsidRDefault="004B3D26" w:rsidP="00B2198A">
            <w:pPr>
              <w:pStyle w:val="paragraph"/>
              <w:spacing w:before="0" w:beforeAutospacing="0" w:after="0" w:afterAutospacing="0"/>
              <w:textAlignment w:val="baseline"/>
              <w:rPr>
                <w:sz w:val="22"/>
                <w:szCs w:val="22"/>
                <w:lang w:val="pl-PL"/>
              </w:rPr>
            </w:pPr>
            <w:r w:rsidRPr="008F328C">
              <w:rPr>
                <w:rStyle w:val="eop"/>
                <w:sz w:val="22"/>
                <w:szCs w:val="22"/>
                <w:lang w:val="pl-PL"/>
              </w:rPr>
              <w:t xml:space="preserve">Uwaga 3: </w:t>
            </w:r>
            <w:r w:rsidRPr="008F328C">
              <w:rPr>
                <w:sz w:val="22"/>
                <w:szCs w:val="22"/>
                <w:lang w:val="pl-PL"/>
              </w:rPr>
              <w:t>Pacjentów, dla których brak było danych liczbowych w 52. tygodniu lub których przydzielono losowo do leczenia reindukcyjnego lub podtrzymującego, uznano za nieodpowiadających na leczenie zgodnie z punktami końcowymi badania w 52. tygodniu.</w:t>
            </w:r>
          </w:p>
        </w:tc>
      </w:tr>
    </w:tbl>
    <w:p w14:paraId="366E0C64" w14:textId="77777777" w:rsidR="004B3D26" w:rsidRPr="008F328C" w:rsidRDefault="004B3D26" w:rsidP="004B3D26">
      <w:pPr>
        <w:rPr>
          <w:rFonts w:ascii="Times New Roman" w:hAnsi="Times New Roman" w:cs="Times New Roman"/>
          <w:lang w:val="pl-PL"/>
        </w:rPr>
      </w:pPr>
    </w:p>
    <w:p w14:paraId="36DE35FD"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Dwóch na sześciu pacjentów (33%) leczonych produktem adalimumab, którzy otrzymali leczenie reindukcyjne w trakcie leczenia podtrzymującego, osiągnęło odpowiedź kliniczną wg FMS w 52. tygodniu.</w:t>
      </w:r>
    </w:p>
    <w:p w14:paraId="05CA06B4" w14:textId="77777777" w:rsidR="004B3D26" w:rsidRPr="008F328C" w:rsidRDefault="004B3D26" w:rsidP="004B3D26">
      <w:pPr>
        <w:rPr>
          <w:rFonts w:ascii="Times New Roman" w:hAnsi="Times New Roman" w:cs="Times New Roman"/>
          <w:lang w:val="pl-PL"/>
        </w:rPr>
      </w:pPr>
    </w:p>
    <w:p w14:paraId="326FC80F" w14:textId="77777777" w:rsidR="004B3D26" w:rsidRPr="008F328C" w:rsidRDefault="004B3D26" w:rsidP="004B3D26">
      <w:pPr>
        <w:keepNext/>
        <w:rPr>
          <w:rFonts w:ascii="Times New Roman" w:hAnsi="Times New Roman" w:cs="Times New Roman"/>
          <w:bCs/>
          <w:i/>
          <w:u w:val="single"/>
          <w:lang w:val="pl-PL"/>
        </w:rPr>
      </w:pPr>
      <w:r w:rsidRPr="008F328C">
        <w:rPr>
          <w:rFonts w:ascii="Times New Roman" w:hAnsi="Times New Roman" w:cs="Times New Roman"/>
          <w:i/>
          <w:u w:val="single"/>
          <w:lang w:val="pl-PL"/>
        </w:rPr>
        <w:lastRenderedPageBreak/>
        <w:t>Jakość życia</w:t>
      </w:r>
    </w:p>
    <w:p w14:paraId="055AC8C9" w14:textId="77777777" w:rsidR="004B3D26" w:rsidRPr="008F328C" w:rsidRDefault="004B3D26" w:rsidP="004B3D26">
      <w:pPr>
        <w:keepNext/>
        <w:rPr>
          <w:rFonts w:ascii="Times New Roman" w:hAnsi="Times New Roman" w:cs="Times New Roman"/>
          <w:bCs/>
          <w:i/>
          <w:lang w:val="pl-PL"/>
        </w:rPr>
      </w:pPr>
    </w:p>
    <w:p w14:paraId="06D578A0" w14:textId="77777777" w:rsidR="004B3D26" w:rsidRPr="008F328C" w:rsidRDefault="004B3D26" w:rsidP="004B3D26">
      <w:pPr>
        <w:keepNext/>
        <w:rPr>
          <w:rFonts w:ascii="Times New Roman" w:hAnsi="Times New Roman" w:cs="Times New Roman"/>
          <w:lang w:val="pl-PL"/>
        </w:rPr>
      </w:pPr>
      <w:r w:rsidRPr="008F328C">
        <w:rPr>
          <w:rFonts w:ascii="Times New Roman" w:hAnsi="Times New Roman" w:cs="Times New Roman"/>
          <w:lang w:val="pl-PL"/>
        </w:rPr>
        <w:t xml:space="preserve">W grupach leczonych produktem adalimumab zaobserwowano znaczącą klinicznie poprawę w stosunku do wartości wyjściowej w zakresie oceny punktowej wg kwestionariusza IMPACT III oraz kwestionariusza pogorszenia wydajności pracy i aktywności życiowej (ang. </w:t>
      </w:r>
      <w:r w:rsidRPr="008F328C">
        <w:rPr>
          <w:rFonts w:ascii="Times New Roman" w:hAnsi="Times New Roman" w:cs="Times New Roman"/>
          <w:i/>
          <w:iCs/>
          <w:lang w:val="pl-PL"/>
        </w:rPr>
        <w:t>Work Productivity and Activity Impairment</w:t>
      </w:r>
      <w:r w:rsidRPr="008F328C">
        <w:rPr>
          <w:rFonts w:ascii="Times New Roman" w:hAnsi="Times New Roman" w:cs="Times New Roman"/>
          <w:lang w:val="pl-PL"/>
        </w:rPr>
        <w:t xml:space="preserve">, WPAI) dotyczącej opiekuna. </w:t>
      </w:r>
    </w:p>
    <w:p w14:paraId="46814F0B" w14:textId="77777777" w:rsidR="004B3D26" w:rsidRPr="008F328C" w:rsidRDefault="004B3D26" w:rsidP="004B3D26">
      <w:pPr>
        <w:keepNext/>
        <w:rPr>
          <w:rFonts w:ascii="Times New Roman" w:hAnsi="Times New Roman" w:cs="Times New Roman"/>
          <w:lang w:val="pl-PL"/>
        </w:rPr>
      </w:pPr>
    </w:p>
    <w:p w14:paraId="69C22652" w14:textId="77777777" w:rsidR="004B3D26" w:rsidRPr="008F328C" w:rsidRDefault="004B3D26" w:rsidP="004B3D26">
      <w:pPr>
        <w:rPr>
          <w:rFonts w:ascii="Times New Roman" w:hAnsi="Times New Roman" w:cs="Times New Roman"/>
          <w:lang w:val="pl-PL"/>
        </w:rPr>
      </w:pPr>
      <w:r w:rsidRPr="008F328C">
        <w:rPr>
          <w:rFonts w:ascii="Times New Roman" w:hAnsi="Times New Roman" w:cs="Times New Roman"/>
          <w:lang w:val="pl-PL"/>
        </w:rPr>
        <w:t xml:space="preserve">W grupach leczonych adalimumabem, u pacjentów otrzymujących dużą dawkę podtrzymującą wynoszącą </w:t>
      </w:r>
      <w:r w:rsidRPr="008F328C">
        <w:rPr>
          <w:rStyle w:val="normaltextrun"/>
          <w:rFonts w:ascii="Times New Roman" w:hAnsi="Times New Roman" w:cs="Times New Roman"/>
          <w:lang w:val="pl-PL"/>
        </w:rPr>
        <w:t>maksymalnie</w:t>
      </w:r>
      <w:r w:rsidRPr="008F328C">
        <w:rPr>
          <w:rFonts w:ascii="Times New Roman" w:hAnsi="Times New Roman" w:cs="Times New Roman"/>
          <w:lang w:val="pl-PL"/>
        </w:rPr>
        <w:t xml:space="preserve"> 40 mg (0,6 mg/kg) co tydzień, zaobserwowano znaczące klinicznie zwiększenie (poprawę) szybkości wzrostu oraz wskaźnika masy ciała (BMI) w stosunku do wartości wyjściowej.</w:t>
      </w:r>
    </w:p>
    <w:p w14:paraId="58450303" w14:textId="77777777" w:rsidR="004B3D26" w:rsidRPr="00D97EE5" w:rsidRDefault="004B3D26" w:rsidP="004B3D26">
      <w:pPr>
        <w:rPr>
          <w:lang w:val="pl-PL"/>
        </w:rPr>
      </w:pPr>
    </w:p>
    <w:p w14:paraId="6A916127" w14:textId="77777777" w:rsidR="004B3D26" w:rsidRPr="008F328C" w:rsidRDefault="004B3D26" w:rsidP="004B3D26">
      <w:pPr>
        <w:pStyle w:val="a3"/>
        <w:rPr>
          <w:rFonts w:eastAsia="Times New Roman"/>
          <w:lang w:val="pl-PL"/>
        </w:rPr>
      </w:pPr>
      <w:r w:rsidRPr="008F328C">
        <w:rPr>
          <w:rFonts w:eastAsia="Times New Roman"/>
          <w:i/>
          <w:iCs/>
          <w:spacing w:val="-1"/>
          <w:u w:val="single"/>
          <w:lang w:val="pl-PL"/>
        </w:rPr>
        <w:t xml:space="preserve">Zapalenie błony naczyniowej oka u dzieci i młodzieży </w:t>
      </w:r>
    </w:p>
    <w:p w14:paraId="664917EA" w14:textId="77777777" w:rsidR="004B3D26" w:rsidRPr="008F328C" w:rsidRDefault="004B3D26" w:rsidP="004B3D26">
      <w:pPr>
        <w:pStyle w:val="a3"/>
        <w:rPr>
          <w:sz w:val="24"/>
          <w:szCs w:val="24"/>
          <w:lang w:val="pl-PL"/>
        </w:rPr>
      </w:pPr>
    </w:p>
    <w:p w14:paraId="1D276ACA" w14:textId="77777777" w:rsidR="004B3D26" w:rsidRPr="008F328C" w:rsidRDefault="004B3D26" w:rsidP="004B3D26">
      <w:pPr>
        <w:pStyle w:val="a3"/>
        <w:rPr>
          <w:lang w:val="pl-PL"/>
        </w:rPr>
      </w:pPr>
      <w:r w:rsidRPr="008F328C">
        <w:rPr>
          <w:rFonts w:eastAsia="Times New Roman"/>
          <w:lang w:val="pl-PL"/>
        </w:rPr>
        <w:t>Bezpieczeństwo stosowania i skuteczność adalimumabu oceniano w randomizowanym, podwójnie zaślepionym, kontrolowanym badaniu klinicznym u 90 pacjentów pediatrycznych w wieku od 2 do &lt; 18 lat z czynnym, związanym z MIZS nieinfekcyjnym zapaleniem przedniego odcinka błony naczyniowej oka, u których nieskuteczne było leczenie metotreksatem przez co najmniej 12 tygodni. Pacjenci otrzymywali placebo lub adalimumab 20 mg (jeśli &lt;30 kg) lub adalimumab 40 mg (jeśli ≥ 30 kg) co drugi tydzień w skojarzeniu z metotreksatem w dawce, jaką otrzymywali przed przystąpieniem do badania.</w:t>
      </w:r>
    </w:p>
    <w:p w14:paraId="0C3887C0" w14:textId="77777777" w:rsidR="004B3D26" w:rsidRPr="008F328C" w:rsidRDefault="004B3D26" w:rsidP="004B3D26">
      <w:pPr>
        <w:pStyle w:val="a3"/>
        <w:rPr>
          <w:lang w:val="pl-PL"/>
        </w:rPr>
      </w:pPr>
      <w:r w:rsidRPr="008F328C">
        <w:rPr>
          <w:rFonts w:eastAsia="Times New Roman"/>
          <w:lang w:val="pl-PL"/>
        </w:rPr>
        <w:t>Pierwszorzędowym punktem końcowym był „czas do niepowodzenia leczenia”. Kryteriami niepowodzenia leczenia były nasilenie lub utrzymujący się brak poprawy zapalenia oka lub częściowa poprawa z wystąpieniem utrzymujących się współistniejących chorób oka lub nasilenie się współistniejących chorób oka, niedozwolone jednoczesne stosowanie leków oraz przerwanie leczenia na dłuższy okres.</w:t>
      </w:r>
    </w:p>
    <w:p w14:paraId="6FBC8559" w14:textId="77777777" w:rsidR="004B3D26" w:rsidRPr="008F328C" w:rsidRDefault="004B3D26" w:rsidP="004B3D26">
      <w:pPr>
        <w:pStyle w:val="a3"/>
        <w:rPr>
          <w:sz w:val="24"/>
          <w:szCs w:val="24"/>
          <w:lang w:val="pl-PL"/>
        </w:rPr>
      </w:pPr>
    </w:p>
    <w:p w14:paraId="2E5494CE" w14:textId="77777777" w:rsidR="004B3D26" w:rsidRPr="008F328C" w:rsidRDefault="004B3D26" w:rsidP="004B3D26">
      <w:pPr>
        <w:pStyle w:val="a3"/>
        <w:rPr>
          <w:rFonts w:eastAsia="Times New Roman"/>
          <w:u w:val="single"/>
          <w:lang w:val="pl-PL"/>
        </w:rPr>
      </w:pPr>
      <w:r w:rsidRPr="008F328C">
        <w:rPr>
          <w:rFonts w:eastAsia="Times New Roman"/>
          <w:i/>
          <w:iCs/>
          <w:spacing w:val="-1"/>
          <w:u w:val="single" w:color="000000"/>
          <w:lang w:val="pl-PL"/>
        </w:rPr>
        <w:t>Odpowiedź kliniczna</w:t>
      </w:r>
    </w:p>
    <w:p w14:paraId="7DDD64D8" w14:textId="77777777" w:rsidR="004B3D26" w:rsidRPr="008F328C" w:rsidRDefault="004B3D26" w:rsidP="004B3D26">
      <w:pPr>
        <w:pStyle w:val="a3"/>
        <w:rPr>
          <w:sz w:val="20"/>
          <w:szCs w:val="20"/>
          <w:lang w:val="pl-PL"/>
        </w:rPr>
      </w:pPr>
    </w:p>
    <w:p w14:paraId="3172B3A5" w14:textId="77777777" w:rsidR="004B3D26" w:rsidRPr="008F328C" w:rsidRDefault="004B3D26" w:rsidP="004B3D26">
      <w:pPr>
        <w:pStyle w:val="a3"/>
        <w:rPr>
          <w:lang w:val="pl-PL"/>
        </w:rPr>
      </w:pPr>
      <w:r w:rsidRPr="008F328C">
        <w:rPr>
          <w:rFonts w:eastAsia="Times New Roman"/>
          <w:lang w:val="pl-PL"/>
        </w:rPr>
        <w:t>W porównaniu do placebo, adalimumab istotnie wydłużył czas do niepowodzenia leczenia (patrz Rycina 2, p &lt;0,0001 na podstawie testu log-rank). Mediana czasu do niepowodzenia leczenia wynosiła 24,1 tygodnie u uczestników badania otrzymujących placebo, a u uczestników leczonych adalimumabem mediany czasu do niepowodzenia leczenia nie można było oszacować, ponieważ niepowodzenie leczenia wystąpiło u mniej niż połowy tych uczestników badania. Adalimumab istotnie zmniejszył ryzyko niepowodzenia leczenia o 75% w porównaniu do placebo, jak to wykazał współczynnik ryzyka (ang. hazard ratio, HR = 0,25 [95% CI: 0,12, 0,49]).</w:t>
      </w:r>
    </w:p>
    <w:p w14:paraId="1862A07A" w14:textId="77777777" w:rsidR="004B3D26" w:rsidRPr="008F328C" w:rsidRDefault="004B3D26" w:rsidP="004B3D26">
      <w:pPr>
        <w:spacing w:before="3" w:line="120" w:lineRule="exact"/>
        <w:rPr>
          <w:rFonts w:ascii="Times New Roman" w:hAnsi="Times New Roman" w:cs="Times New Roman"/>
          <w:sz w:val="12"/>
          <w:szCs w:val="12"/>
          <w:lang w:val="pl-PL"/>
        </w:rPr>
      </w:pPr>
    </w:p>
    <w:p w14:paraId="1AB33280" w14:textId="77777777" w:rsidR="004B3D26" w:rsidRPr="008F328C" w:rsidRDefault="004B3D26" w:rsidP="004B3D26">
      <w:pPr>
        <w:spacing w:line="200" w:lineRule="exact"/>
        <w:rPr>
          <w:rFonts w:ascii="Times New Roman" w:hAnsi="Times New Roman" w:cs="Times New Roman"/>
          <w:sz w:val="20"/>
          <w:szCs w:val="20"/>
          <w:lang w:val="pl-PL"/>
        </w:rPr>
      </w:pPr>
    </w:p>
    <w:p w14:paraId="0CBB3851"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67A52B98" w14:textId="13B47362" w:rsidR="004B3D26" w:rsidRPr="008F328C" w:rsidRDefault="004B3D26" w:rsidP="004B3D26">
      <w:pPr>
        <w:pStyle w:val="a3"/>
        <w:jc w:val="center"/>
        <w:rPr>
          <w:b/>
          <w:lang w:val="pl-PL"/>
        </w:rPr>
      </w:pPr>
      <w:r w:rsidRPr="008F328C">
        <w:rPr>
          <w:rFonts w:eastAsia="Times New Roman"/>
          <w:b/>
          <w:bCs/>
          <w:lang w:val="pl-PL"/>
        </w:rPr>
        <w:lastRenderedPageBreak/>
        <w:t>Rycina 2: Krzywe Kaplana-Meiera przedstawiające czas do niepowodzenia leczenia w badaniu klinicznym w zapaleniu błony naczyniowej oka u dzieci i młodzieży</w:t>
      </w:r>
    </w:p>
    <w:p w14:paraId="468650EB" w14:textId="77777777" w:rsidR="004B3D26" w:rsidRPr="008F328C" w:rsidRDefault="004B3D26" w:rsidP="004B3D26">
      <w:pPr>
        <w:spacing w:before="16" w:line="240" w:lineRule="exact"/>
        <w:rPr>
          <w:rFonts w:ascii="Times New Roman" w:hAnsi="Times New Roman" w:cs="Times New Roman"/>
          <w:sz w:val="24"/>
          <w:szCs w:val="24"/>
          <w:lang w:val="pl-PL"/>
        </w:rPr>
      </w:pPr>
    </w:p>
    <w:p w14:paraId="29DB1406" w14:textId="5C94D14F" w:rsidR="004B3D26" w:rsidRPr="008F328C" w:rsidRDefault="004B3D26" w:rsidP="004B3D26">
      <w:pPr>
        <w:ind w:left="687" w:right="10920"/>
        <w:rPr>
          <w:rFonts w:ascii="Times New Roman" w:eastAsia="Times New Roman" w:hAnsi="Times New Roman" w:cs="Times New Roman"/>
          <w:sz w:val="20"/>
          <w:szCs w:val="20"/>
          <w:lang w:val="pl-PL"/>
        </w:rPr>
      </w:pPr>
      <w:r>
        <w:rPr>
          <w:noProof/>
          <w:lang w:eastAsia="ko-KR"/>
        </w:rPr>
        <mc:AlternateContent>
          <mc:Choice Requires="wps">
            <w:drawing>
              <wp:anchor distT="0" distB="0" distL="114300" distR="114300" simplePos="0" relativeHeight="251658392" behindDoc="0" locked="0" layoutInCell="1" allowOverlap="1" wp14:anchorId="66CFB19F" wp14:editId="495E9917">
                <wp:simplePos x="0" y="0"/>
                <wp:positionH relativeFrom="column">
                  <wp:posOffset>368935</wp:posOffset>
                </wp:positionH>
                <wp:positionV relativeFrom="paragraph">
                  <wp:posOffset>3225743</wp:posOffset>
                </wp:positionV>
                <wp:extent cx="455930" cy="321310"/>
                <wp:effectExtent l="0" t="0" r="1270" b="2540"/>
                <wp:wrapNone/>
                <wp:docPr id="1965500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321310"/>
                        </a:xfrm>
                        <a:prstGeom prst="rect">
                          <a:avLst/>
                        </a:prstGeom>
                        <a:solidFill>
                          <a:srgbClr val="FFFFFF"/>
                        </a:solidFill>
                        <a:ln>
                          <a:noFill/>
                        </a:ln>
                      </wps:spPr>
                      <wps:txbx>
                        <w:txbxContent>
                          <w:p w14:paraId="163BDC8B" w14:textId="77777777" w:rsidR="006D7011" w:rsidRDefault="006D7011" w:rsidP="004B3D2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11887A58" w14:textId="77777777" w:rsidR="006D7011" w:rsidRDefault="006D7011" w:rsidP="004B3D2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CFB19F" id="Text Box 3" o:spid="_x0000_s1031" type="#_x0000_t202" style="position:absolute;left:0;text-align:left;margin-left:29.05pt;margin-top:254pt;width:35.9pt;height:25.3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O/ZBwIAAAEEAAAOAAAAZHJzL2Uyb0RvYy54bWysU02P0zAQvSPxHyzfafpBEURNV0tXRUhl&#10;F6mLOE8cp4lIPGbsNim/nrHTdFG5IXKwxp7x87z3Jqu7vm3ESZOr0WRyNplKoY3CojaHTH573r55&#10;L4XzYApo0OhMnrWTd+vXr1adTfUcK2wKTYJBjEs7m8nKe5smiVOVbsFN0GrDyRKpBc9bOiQFQcfo&#10;bZPMp9N3SYdUWEKlnePThyEp1xG/LLXyT2XptBdNJrk3H1eKax7WZL2C9EBgq1pd2oB/6KKF2vCj&#10;V6gH8CCOVP8F1daK0GHpJwrbBMuyVjpyYDaz6Q2bfQVWRy4sjrNXmdz/g1WPp739SsL3H7FnAyMJ&#10;Z3eofjhhcFOBOeh7IuwqDQU/PAuSJZ116eVqkNqlLoDk3Rcs2GQ4eoxAfUltUIV5CkZnA85X0XXv&#10;heLDt8vlhwVnFKcW89liFk1JIB0vW3L+k8ZWhCCTxJ5GcDjtnA/NQDqWhLccNnWxrZsmbuiQbxoS&#10;J2D/t/GL/d+UNSYUGwzXBsRwElkGYgNF3+e9qItMLgNEIJ1jcWbaPP7cV4X0S4qORymT7ucRSEvR&#10;fDYsWZi7MaAxyMfAHNsNcnczKcAoRsmkH8ONH0aVZ8WC35m9VaNHgfJz/x3IXnTxLOgjjiMD6Y08&#10;Q+1A8579Keuo3QuNC1+esyjp5Z8Ig/znPla9/Lnr3wAAAP//AwBQSwMEFAAGAAgAAAAhAKJ4yFzf&#10;AAAACgEAAA8AAABkcnMvZG93bnJldi54bWxMj0FvwjAMhe+T9h8iT9plGimVqEppijbYbtsBhjib&#10;JrTVGqdqUlr+/cxpnCz7PT1/L19PthUX0/vGkYL5LAJhqHS6oUrB4efzNQXhA5LG1pFRcDUe1sXj&#10;Q46ZdiPtzGUfKsEh5DNUUIfQZVL6sjYW/cx1hlg7u95i4LWvpO5x5HDbyjiKEmmxIf5QY2c2tSl/&#10;94NVkGz7YdzR5mV7+PjC766Kj+/Xo1LPT9PbCkQwU/g3ww2f0aFgppMbSHvRKlikc3byjFLudDPE&#10;yyWIE18WaQKyyOV9heIPAAD//wMAUEsBAi0AFAAGAAgAAAAhALaDOJL+AAAA4QEAABMAAAAAAAAA&#10;AAAAAAAAAAAAAFtDb250ZW50X1R5cGVzXS54bWxQSwECLQAUAAYACAAAACEAOP0h/9YAAACUAQAA&#10;CwAAAAAAAAAAAAAAAAAvAQAAX3JlbHMvLnJlbHNQSwECLQAUAAYACAAAACEAWLDv2QcCAAABBAAA&#10;DgAAAAAAAAAAAAAAAAAuAgAAZHJzL2Uyb0RvYy54bWxQSwECLQAUAAYACAAAACEAonjIXN8AAAAK&#10;AQAADwAAAAAAAAAAAAAAAABhBAAAZHJzL2Rvd25yZXYueG1sUEsFBgAAAAAEAAQA8wAAAG0FAAAA&#10;AA==&#10;" stroked="f">
                <v:textbox inset="0,0,0,0">
                  <w:txbxContent>
                    <w:p w14:paraId="163BDC8B" w14:textId="77777777" w:rsidR="006D7011" w:rsidRDefault="006D7011" w:rsidP="004B3D2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11887A58" w14:textId="77777777" w:rsidR="006D7011" w:rsidRDefault="006D7011" w:rsidP="004B3D2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Pr>
          <w:noProof/>
          <w:lang w:eastAsia="ko-KR"/>
        </w:rPr>
        <mc:AlternateContent>
          <mc:Choice Requires="wps">
            <w:drawing>
              <wp:anchor distT="0" distB="0" distL="114300" distR="114300" simplePos="0" relativeHeight="251658390" behindDoc="0" locked="0" layoutInCell="1" allowOverlap="1" wp14:anchorId="48DDFE32" wp14:editId="55A412B2">
                <wp:simplePos x="0" y="0"/>
                <wp:positionH relativeFrom="leftMargin">
                  <wp:posOffset>732155</wp:posOffset>
                </wp:positionH>
                <wp:positionV relativeFrom="paragraph">
                  <wp:posOffset>500380</wp:posOffset>
                </wp:positionV>
                <wp:extent cx="714375" cy="2800985"/>
                <wp:effectExtent l="0" t="0" r="9525" b="18415"/>
                <wp:wrapNone/>
                <wp:docPr id="177400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800985"/>
                        </a:xfrm>
                        <a:prstGeom prst="rect">
                          <a:avLst/>
                        </a:prstGeom>
                        <a:noFill/>
                        <a:ln>
                          <a:noFill/>
                        </a:ln>
                      </wps:spPr>
                      <wps:txbx>
                        <w:txbxContent>
                          <w:p w14:paraId="58BE9915" w14:textId="77777777" w:rsidR="006D7011" w:rsidRDefault="006D7011" w:rsidP="004B3D26">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DFE32" id="Text Box 2" o:spid="_x0000_s1032" type="#_x0000_t202" style="position:absolute;left:0;text-align:left;margin-left:57.65pt;margin-top:39.4pt;width:56.25pt;height:220.55pt;z-index:25165839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9M+3AEAAJsDAAAOAAAAZHJzL2Uyb0RvYy54bWysU8tu2zAQvBfoPxC815LdJnYFy0GaIEWB&#10;9AGk/YAVRVlEJS67pC3577ukLKePW9ELseJjdmZ2tL0Z+04cNXmDtpTLRS6FtgprY/el/Pb14dVG&#10;Ch/A1tCh1aU8aS9vdi9fbAdX6BW22NWaBINYXwyulG0Irsgyr1rdg1+g05YPG6QeAn/SPqsJBkbv&#10;u2yV59fZgFQ7QqW959376VDuEn7TaBU+N43XQXSlZG4hrZTWKq7ZbgvFnsC1Rp1pwD+w6MFYbnqB&#10;uocA4kDmL6jeKEKPTVgo7DNsGqN00sBqlvkfap5acDppYXO8u9jk/x+s+nR8cl9IhPEdjjzAJMK7&#10;R1TfvbB414Ld61siHFoNNTdeRsuywfni/DRa7QsfQarhI9Y8ZDgETEBjQ310hXUKRucBnC6m6zEI&#10;xZvr5ZvX6yspFB+tNnn+dnOVWkAxv3bkw3uNvYhFKYmHmtDh+OhDZAPFfCU2s/hgui4NtrO/bfDF&#10;uJPYR8IT9TBWozB1Ka9j3yimwvrEcginuHC8uYjras0SBk5LKf2PA5CWovtg2ZUYrbmguajmAqxq&#10;kUMXpJjKuzBF8ODI7FsGn3y3eMvONSaJeiZyZswJSFrPaY0R+/U73Xr+p3Y/AQAA//8DAFBLAwQU&#10;AAYACAAAACEAdCLaQt0AAAAKAQAADwAAAGRycy9kb3ducmV2LnhtbEyPy2rDMBBF94X+g5hCd438&#10;wE7iWg7FELoLNM0HKNbUMtHDtZTY+ftOV+1uLnO4j3q3WMNuOIXBOwHpKgGGrvNqcL2A0+f+ZQMs&#10;ROmUNN6hgDsG2DWPD7WslJ/dB96OsWdk4kIlBegYx4rz0Gm0Mqz8iI5+X36yMpKceq4mOZO5NTxL&#10;kpJbOThK0HLEVmN3OV6tgMOd6zm3xalr2/JQ5t97eXk3Qjw/LW+vwCIu8Q+G3/pUHRrqdPZXpwIz&#10;pNMiJ1TAekMTCMiyNR1nAUW63QJvav5/QvMDAAD//wMAUEsBAi0AFAAGAAgAAAAhALaDOJL+AAAA&#10;4QEAABMAAAAAAAAAAAAAAAAAAAAAAFtDb250ZW50X1R5cGVzXS54bWxQSwECLQAUAAYACAAAACEA&#10;OP0h/9YAAACUAQAACwAAAAAAAAAAAAAAAAAvAQAAX3JlbHMvLnJlbHNQSwECLQAUAAYACAAAACEA&#10;M0PTPtwBAACbAwAADgAAAAAAAAAAAAAAAAAuAgAAZHJzL2Uyb0RvYy54bWxQSwECLQAUAAYACAAA&#10;ACEAdCLaQt0AAAAKAQAADwAAAAAAAAAAAAAAAAA2BAAAZHJzL2Rvd25yZXYueG1sUEsFBgAAAAAE&#10;AAQA8wAAAEAFAAAAAA==&#10;" filled="f" stroked="f">
                <v:textbox style="layout-flow:vertical;mso-layout-flow-alt:bottom-to-top" inset="0,0,0,0">
                  <w:txbxContent>
                    <w:p w14:paraId="58BE9915" w14:textId="77777777" w:rsidR="006D7011" w:rsidRDefault="006D7011" w:rsidP="004B3D26">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v:textbox>
                <w10:wrap anchorx="margin"/>
              </v:shape>
            </w:pict>
          </mc:Fallback>
        </mc:AlternateContent>
      </w:r>
      <w:r>
        <w:rPr>
          <w:noProof/>
          <w:lang w:eastAsia="ko-KR"/>
        </w:rPr>
        <mc:AlternateContent>
          <mc:Choice Requires="wps">
            <w:drawing>
              <wp:anchor distT="0" distB="0" distL="114300" distR="114300" simplePos="0" relativeHeight="251658391" behindDoc="0" locked="0" layoutInCell="1" allowOverlap="1" wp14:anchorId="076DB16A" wp14:editId="51F3EF44">
                <wp:simplePos x="0" y="0"/>
                <wp:positionH relativeFrom="column">
                  <wp:posOffset>189230</wp:posOffset>
                </wp:positionH>
                <wp:positionV relativeFrom="paragraph">
                  <wp:posOffset>17780</wp:posOffset>
                </wp:positionV>
                <wp:extent cx="437515" cy="3519170"/>
                <wp:effectExtent l="0" t="0" r="635" b="5080"/>
                <wp:wrapNone/>
                <wp:docPr id="5713458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15" cy="35191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AE59"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640C6592"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4AA178B1"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2F9FF24C"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261F18D7"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1208B1AC"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76DB16A" id="Text Box 1" o:spid="_x0000_s1033" type="#_x0000_t202" style="position:absolute;left:0;text-align:left;margin-left:14.9pt;margin-top:1.4pt;width:34.45pt;height:277.1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fk1dQIAAGcFAAAOAAAAZHJzL2Uyb0RvYy54bWysVFtP2zAUfp+0/2D5faShK2wRKepATJMq&#10;QIOJZ9ex2wjHxzs2Tbpfv2MnaQfjhWkvybH9ndt3LmfnXWPYVqGvwZY8P5pwpqyEqrbrkv+4v/rw&#10;iTMfhK2EAatKvlOen8/fvztrXaGOYQOmUsjIiPVF60q+CcEVWeblRjXCH4FTlh41YCMCHXGdVSha&#10;st6Y7HgyOclawMohSOU93V72j3ye7GutZLjR2qvATMkptpC+mL6r+M3mZ6JYo3CbWg5hiH+IohG1&#10;Jad7U5ciCPaE9V+mmloieNDhSEKTgda1VCkHyiafvMjmbiOcSrkQOd7tafL/z6y83t65W2Sh+wId&#10;FTAl4d0S5KMnbrLW+WLARE594QkdE+00NvFPKTBSJG53ez5VF5iky4/T01k+40zS03SWf85PE+HZ&#10;QduhD18VNCwKJUeqV4pAbJc+RP+iGCHRmQdTV1e1MekQe0RdGGRbQdVdrfNYTdJ4hjKWtSU/mc4m&#10;ybCFqN7jjI1mVOqSwd0hwySFnVERY+x3pVldpURf8S2kVDaM/hM6ojS5eovigD9E9RblPg/SSJ7B&#10;hr1yU1vAvrDPKasex5B1jx8K7vu8IwWhW3WUeMlPI7nxZgXVjhoGoZ8l7+RVTcVbCh9uBdLwUCvQ&#10;Qgg39NEGiHwYJM42gL9eu4946ml65aylYSy5//kkUHFmvlnq9ji5o4CjsBoF+9RcAHVATqvGySSS&#10;AgYzihqheaA9sYhe6ElYSb5KHkbxIvQrgfaMVItFAtF8OhGW9s7JcS5iK953DwLd0K+BOv0axjEV&#10;xYu27bEDqT1vw4GmObXqsHniuvjznFCH/Tj/DQAA//8DAFBLAwQUAAYACAAAACEA0WACHdwAAAAH&#10;AQAADwAAAGRycy9kb3ducmV2LnhtbEyOwU7DMBBE70j8g7VIXBB1WqkkDXEqqISAA4cGPsCJlzhg&#10;r6PYbcPfs5zoaTSa0cyrtrN34ohTHAIpWC4yEEhdMAP1Cj7en24LEDFpMtoFQgU/GGFbX15UujTh&#10;RHs8NqkXPEKx1ApsSmMpZewseh0XYUTi7DNMXie2Uy/NpE887p1cZdmd9HogfrB6xJ3F7rs5eAVF&#10;EXc5xja4r+fm5eYVH5f7N6vU9dX8cA8i4Zz+y/CHz+hQM1MbDmSicApWGyZPrCwcb4ocRKtgvc4z&#10;kHUlz/nrXwAAAP//AwBQSwECLQAUAAYACAAAACEAtoM4kv4AAADhAQAAEwAAAAAAAAAAAAAAAAAA&#10;AAAAW0NvbnRlbnRfVHlwZXNdLnhtbFBLAQItABQABgAIAAAAIQA4/SH/1gAAAJQBAAALAAAAAAAA&#10;AAAAAAAAAC8BAABfcmVscy8ucmVsc1BLAQItABQABgAIAAAAIQAnIfk1dQIAAGcFAAAOAAAAAAAA&#10;AAAAAAAAAC4CAABkcnMvZTJvRG9jLnhtbFBLAQItABQABgAIAAAAIQDRYAId3AAAAAcBAAAPAAAA&#10;AAAAAAAAAAAAAM8EAABkcnMvZG93bnJldi54bWxQSwUGAAAAAAQABADzAAAA2AUAAAAA&#10;" fillcolor="white [3212]" stroked="f" strokeweight=".5pt">
                <v:textbox inset="0,0,0,0">
                  <w:txbxContent>
                    <w:p w14:paraId="5E6BAE59"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640C6592"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4AA178B1"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2F9FF24C"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261F18D7"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1208B1AC" w14:textId="77777777" w:rsidR="006D7011" w:rsidRDefault="006D7011" w:rsidP="004B3D2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v:textbox>
              </v:shape>
            </w:pict>
          </mc:Fallback>
        </mc:AlternateContent>
      </w:r>
      <w:r w:rsidRPr="008F328C">
        <w:rPr>
          <w:rFonts w:ascii="Times New Roman" w:hAnsi="Times New Roman" w:cs="Times New Roman"/>
          <w:noProof/>
          <w:lang w:eastAsia="ko-KR"/>
        </w:rPr>
        <w:drawing>
          <wp:inline distT="0" distB="0" distL="0" distR="0" wp14:anchorId="39C314D7" wp14:editId="0655E127">
            <wp:extent cx="5122911" cy="3766782"/>
            <wp:effectExtent l="0" t="0" r="1905" b="5715"/>
            <wp:docPr id="2042255225" name="그림 2042255225" descr="텍스트, 도표, 라인, 직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그림 29" descr="텍스트, 도표, 라인, 직사각형이(가) 표시된 사진&#10;&#10;자동 생성된 설명"/>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134340" cy="3775185"/>
                    </a:xfrm>
                    <a:prstGeom prst="rect">
                      <a:avLst/>
                    </a:prstGeom>
                    <a:noFill/>
                    <a:ln>
                      <a:noFill/>
                    </a:ln>
                  </pic:spPr>
                </pic:pic>
              </a:graphicData>
            </a:graphic>
          </wp:inline>
        </w:drawing>
      </w:r>
    </w:p>
    <w:p w14:paraId="549BFD0D" w14:textId="77777777" w:rsidR="004B3D26" w:rsidRPr="008F328C" w:rsidRDefault="004B3D26" w:rsidP="004B3D26">
      <w:pPr>
        <w:spacing w:before="36"/>
        <w:ind w:left="479"/>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CZAS (TYGODNIE)</w:t>
      </w:r>
    </w:p>
    <w:p w14:paraId="7F47B183" w14:textId="77777777" w:rsidR="004B3D26" w:rsidRPr="008F328C" w:rsidRDefault="004B3D26" w:rsidP="004B3D26">
      <w:pPr>
        <w:pStyle w:val="a3"/>
        <w:rPr>
          <w:lang w:val="pl-PL"/>
        </w:rPr>
      </w:pPr>
      <w:r w:rsidRPr="008F328C">
        <w:rPr>
          <w:noProof/>
          <w:lang w:eastAsia="ko-KR"/>
        </w:rPr>
        <w:drawing>
          <wp:anchor distT="0" distB="0" distL="114300" distR="114300" simplePos="0" relativeHeight="251658389" behindDoc="1" locked="0" layoutInCell="1" allowOverlap="1" wp14:anchorId="7801EB34" wp14:editId="7CA91842">
            <wp:simplePos x="0" y="0"/>
            <wp:positionH relativeFrom="page">
              <wp:posOffset>5091430</wp:posOffset>
            </wp:positionH>
            <wp:positionV relativeFrom="paragraph">
              <wp:posOffset>67310</wp:posOffset>
            </wp:positionV>
            <wp:extent cx="452755" cy="86995"/>
            <wp:effectExtent l="0" t="0" r="0" b="0"/>
            <wp:wrapNone/>
            <wp:docPr id="464154063" name="그림 46415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8F328C">
        <w:rPr>
          <w:rFonts w:eastAsia="Times New Roman"/>
          <w:lang w:val="pl-PL"/>
        </w:rPr>
        <w:t>Leczenie</w:t>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noProof/>
          <w:lang w:eastAsia="ko-KR"/>
        </w:rPr>
        <w:drawing>
          <wp:inline distT="0" distB="0" distL="0" distR="0" wp14:anchorId="7E148B3E" wp14:editId="752EBFAF">
            <wp:extent cx="457200" cy="127000"/>
            <wp:effectExtent l="0" t="0" r="0" b="0"/>
            <wp:docPr id="586848056" name="그림 58684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8F328C">
        <w:rPr>
          <w:rFonts w:eastAsia="Times New Roman"/>
          <w:lang w:val="pl-PL"/>
        </w:rPr>
        <w:t xml:space="preserve">  Placebo</w:t>
      </w:r>
      <w:r w:rsidRPr="008F328C">
        <w:rPr>
          <w:rFonts w:eastAsia="Times New Roman"/>
          <w:lang w:val="pl-PL"/>
        </w:rPr>
        <w:tab/>
      </w:r>
      <w:r w:rsidRPr="008F328C">
        <w:rPr>
          <w:rFonts w:eastAsia="Times New Roman"/>
          <w:lang w:val="pl-PL"/>
        </w:rPr>
        <w:tab/>
        <w:t xml:space="preserve">      Adalimumab</w:t>
      </w:r>
    </w:p>
    <w:p w14:paraId="7C71EDF7" w14:textId="77777777" w:rsidR="004B3D26" w:rsidRPr="008F328C" w:rsidRDefault="004B3D26" w:rsidP="004B3D26">
      <w:pPr>
        <w:pStyle w:val="a3"/>
        <w:rPr>
          <w:lang w:val="pl-PL"/>
        </w:rPr>
      </w:pPr>
      <w:r w:rsidRPr="008F328C">
        <w:rPr>
          <w:rFonts w:eastAsia="Times New Roman"/>
          <w:lang w:val="pl-PL"/>
        </w:rPr>
        <w:t>Uwaga: P = Placebo (liczba zagrożonych pacjentów); A = adalimumab (liczba zagrożonych pacjentów).</w:t>
      </w:r>
    </w:p>
    <w:p w14:paraId="2863D391" w14:textId="77777777" w:rsidR="00D22235" w:rsidRPr="008F328C" w:rsidRDefault="00D22235" w:rsidP="00D22235">
      <w:pPr>
        <w:spacing w:before="16" w:line="240" w:lineRule="exact"/>
        <w:rPr>
          <w:rFonts w:ascii="Times New Roman" w:hAnsi="Times New Roman" w:cs="Times New Roman"/>
          <w:sz w:val="24"/>
          <w:szCs w:val="24"/>
          <w:lang w:val="pl-PL"/>
        </w:rPr>
      </w:pPr>
    </w:p>
    <w:p w14:paraId="18B818E7" w14:textId="77777777" w:rsidR="00D22235" w:rsidRPr="008F328C" w:rsidRDefault="00D22235" w:rsidP="00D22235">
      <w:pPr>
        <w:widowControl/>
        <w:numPr>
          <w:ilvl w:val="1"/>
          <w:numId w:val="117"/>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farmakokinetyczne</w:t>
      </w:r>
    </w:p>
    <w:p w14:paraId="69A0045F" w14:textId="77777777" w:rsidR="00D22235" w:rsidRPr="008F328C" w:rsidRDefault="00D22235" w:rsidP="00D22235">
      <w:pPr>
        <w:spacing w:before="9" w:line="240" w:lineRule="exact"/>
        <w:rPr>
          <w:rFonts w:ascii="Times New Roman" w:hAnsi="Times New Roman" w:cs="Times New Roman"/>
          <w:sz w:val="24"/>
          <w:szCs w:val="24"/>
          <w:lang w:val="pl-PL"/>
        </w:rPr>
      </w:pPr>
    </w:p>
    <w:p w14:paraId="3AD4A207" w14:textId="77777777" w:rsidR="00D22235" w:rsidRPr="008F328C" w:rsidRDefault="00D22235" w:rsidP="00D22235">
      <w:pPr>
        <w:pStyle w:val="a3"/>
        <w:rPr>
          <w:u w:val="single"/>
          <w:lang w:val="pl-PL"/>
        </w:rPr>
      </w:pPr>
      <w:r w:rsidRPr="008F328C">
        <w:rPr>
          <w:rFonts w:eastAsia="Times New Roman"/>
          <w:u w:val="single" w:color="000000"/>
          <w:lang w:val="pl-PL"/>
        </w:rPr>
        <w:t>Wchłanianie i dystrybucja</w:t>
      </w:r>
    </w:p>
    <w:p w14:paraId="0A58C781" w14:textId="77777777" w:rsidR="00D22235" w:rsidRPr="008F328C" w:rsidRDefault="00D22235" w:rsidP="00D22235">
      <w:pPr>
        <w:spacing w:before="1" w:line="180" w:lineRule="exact"/>
        <w:rPr>
          <w:rFonts w:ascii="Times New Roman" w:hAnsi="Times New Roman" w:cs="Times New Roman"/>
          <w:sz w:val="18"/>
          <w:szCs w:val="18"/>
          <w:lang w:val="pl-PL"/>
        </w:rPr>
      </w:pPr>
    </w:p>
    <w:p w14:paraId="0AEA54FE" w14:textId="77777777" w:rsidR="00D22235" w:rsidRPr="008F328C" w:rsidRDefault="00D22235" w:rsidP="00D22235">
      <w:pPr>
        <w:pStyle w:val="a3"/>
        <w:rPr>
          <w:lang w:val="pl-PL"/>
        </w:rPr>
      </w:pPr>
      <w:r w:rsidRPr="008F328C">
        <w:rPr>
          <w:rFonts w:eastAsia="Times New Roman"/>
          <w:lang w:val="pl-PL"/>
        </w:rPr>
        <w:t>Po podaniu podskórnym pojedynczej dawki 40 mg wchłanianie i dystrybucja adalimumabu przebiegały wolno, a maksymalne stężenie w surowicy wystąpiło po około 5 dniach po podaniu. Średnia bezwzględna biodostępność adalimumabu po podaniu podskórnym pojedynczej dawki 40 mg oceniona na podstawie trzech badań wynosiła 64%. Po podaniu dożylnym pojedynczych dawek od 0,25 do 10 mg/kg mc. stężenia były proporcjonalne do dawki. Po podaniu dawki 0,5 mg/kg mc. (~40 mg) klirens wynosił od 11 do 15 ml/h, objętość dystrybucji (V</w:t>
      </w:r>
      <w:r w:rsidRPr="008F328C">
        <w:rPr>
          <w:rFonts w:eastAsia="Times New Roman"/>
          <w:sz w:val="14"/>
          <w:szCs w:val="14"/>
          <w:lang w:val="pl-PL"/>
        </w:rPr>
        <w:t>ss</w:t>
      </w:r>
      <w:r w:rsidRPr="008F328C">
        <w:rPr>
          <w:rFonts w:eastAsia="Times New Roman"/>
          <w:lang w:val="pl-PL"/>
        </w:rPr>
        <w:t>) wynosiła od 5 do 6 litrów, a średni okres półtrwania w końcowej fazie eliminacji, około 2 tygodnie. Stężenie adalimumabu w płynie maziowym pobranym od kilkunastu pacjentów z reumatoidalnym zapaleniem stawów wynosiło 31-96% wartości stężenia w surowicy.</w:t>
      </w:r>
    </w:p>
    <w:p w14:paraId="5ACB3F6E" w14:textId="77777777" w:rsidR="00D22235" w:rsidRPr="008F328C" w:rsidRDefault="00D22235" w:rsidP="00D22235">
      <w:pPr>
        <w:spacing w:before="14" w:line="240" w:lineRule="exact"/>
        <w:rPr>
          <w:rFonts w:ascii="Times New Roman" w:hAnsi="Times New Roman" w:cs="Times New Roman"/>
          <w:sz w:val="24"/>
          <w:szCs w:val="24"/>
          <w:lang w:val="pl-PL"/>
        </w:rPr>
      </w:pPr>
    </w:p>
    <w:p w14:paraId="424D50C7" w14:textId="77777777" w:rsidR="00D22235" w:rsidRPr="008F328C" w:rsidRDefault="00D22235" w:rsidP="00D22235">
      <w:pPr>
        <w:pStyle w:val="a3"/>
        <w:rPr>
          <w:lang w:val="pl-PL"/>
        </w:rPr>
      </w:pPr>
      <w:r w:rsidRPr="008F328C">
        <w:rPr>
          <w:rFonts w:eastAsia="Times New Roman"/>
          <w:lang w:val="pl-PL"/>
        </w:rPr>
        <w:t xml:space="preserve">Po podaniu podskórnym 40 mg adalimumabu co drugi tydzień u dorosłych pacjentów z reumatoidalnym zapaleniem stawów (RZS) średnie minimalne stężenie (ang. trough) w stanie stacjonarnym wynosiło około 5 </w:t>
      </w:r>
      <w:r w:rsidRPr="008F328C">
        <w:rPr>
          <w:rFonts w:eastAsia="Symbol"/>
          <w:lang w:val="pl-PL"/>
        </w:rPr>
        <w:sym w:font="Symbol" w:char="F06D"/>
      </w:r>
      <w:r w:rsidRPr="008F328C">
        <w:rPr>
          <w:rFonts w:eastAsia="Times New Roman"/>
          <w:lang w:val="pl-PL"/>
        </w:rPr>
        <w:t xml:space="preserve">g/ml (gdy nie podawano równocześnie metotreksatu) oraz 8 do 9 </w:t>
      </w:r>
      <w:r w:rsidRPr="008F328C">
        <w:rPr>
          <w:rFonts w:eastAsia="Symbol"/>
          <w:lang w:val="pl-PL"/>
        </w:rPr>
        <w:sym w:font="Symbol" w:char="F06D"/>
      </w:r>
      <w:r w:rsidRPr="008F328C">
        <w:rPr>
          <w:rFonts w:eastAsia="Times New Roman"/>
          <w:lang w:val="pl-PL"/>
        </w:rPr>
        <w:t>g/ml (gdy podawano równocześnie metotreksat). Po podawaniu podskórnym dawki 20, 40 i 80 mg co drugi tydzień i co tydzień minimalne stężenie adalimumabu w surowicy w stanie stacjonarnym wzrastało w przybliżeniu proporcjonalnie do dawki.</w:t>
      </w:r>
    </w:p>
    <w:p w14:paraId="2B20B8C3" w14:textId="77777777" w:rsidR="00D22235" w:rsidRPr="008F328C" w:rsidRDefault="00D22235" w:rsidP="00D22235">
      <w:pPr>
        <w:pStyle w:val="a3"/>
        <w:rPr>
          <w:lang w:val="pl-PL"/>
        </w:rPr>
      </w:pPr>
    </w:p>
    <w:p w14:paraId="215CDBD8" w14:textId="77777777" w:rsidR="00D22235" w:rsidRPr="008F328C" w:rsidRDefault="00D22235" w:rsidP="00D22235">
      <w:pPr>
        <w:pStyle w:val="a3"/>
        <w:rPr>
          <w:lang w:val="pl-PL"/>
        </w:rPr>
      </w:pPr>
      <w:r w:rsidRPr="008F328C">
        <w:rPr>
          <w:rFonts w:eastAsia="Times New Roman"/>
          <w:lang w:val="pl-PL"/>
        </w:rPr>
        <w:t xml:space="preserve">U dorosłych pacjentów z łuszczycą, średnie minimalne stężenie (ang. trough) w stanie stacjonarnym wynosiło 5 </w:t>
      </w:r>
      <w:r w:rsidRPr="008F328C">
        <w:rPr>
          <w:rFonts w:eastAsia="Symbol"/>
          <w:lang w:val="pl-PL"/>
        </w:rPr>
        <w:sym w:font="Symbol" w:char="F06D"/>
      </w:r>
      <w:r w:rsidRPr="008F328C">
        <w:rPr>
          <w:rFonts w:eastAsia="Times New Roman"/>
          <w:lang w:val="pl-PL"/>
        </w:rPr>
        <w:t>g/ml, gdy adalimumab stosowano w dawce 40 mg co drugi tydzień w monoterapii.</w:t>
      </w:r>
    </w:p>
    <w:p w14:paraId="026AC07E" w14:textId="77777777" w:rsidR="00D22235" w:rsidRPr="008F328C" w:rsidRDefault="00D22235" w:rsidP="00D22235">
      <w:pPr>
        <w:spacing w:before="13" w:line="240" w:lineRule="exact"/>
        <w:rPr>
          <w:rFonts w:ascii="Times New Roman" w:hAnsi="Times New Roman" w:cs="Times New Roman"/>
          <w:sz w:val="24"/>
          <w:szCs w:val="24"/>
          <w:lang w:val="pl-PL"/>
        </w:rPr>
      </w:pPr>
    </w:p>
    <w:p w14:paraId="54675F24" w14:textId="77777777" w:rsidR="00D22235" w:rsidRPr="008F328C" w:rsidRDefault="00D22235" w:rsidP="00D22235">
      <w:pPr>
        <w:pStyle w:val="a3"/>
        <w:rPr>
          <w:lang w:val="pl-PL"/>
        </w:rPr>
      </w:pPr>
      <w:r w:rsidRPr="008F328C">
        <w:rPr>
          <w:rFonts w:eastAsia="Times New Roman"/>
          <w:lang w:val="pl-PL"/>
        </w:rPr>
        <w:lastRenderedPageBreak/>
        <w:t>U dorosłych pacjentów z ropnym zapaleniem apokrynowych gruczołów potowych, po podaniu dawki 160 mg adalimumabu w tygodniu 0, a następnie 80 mg w 2. tygodniu, minimalne (ang. trough) stężenie adalimumabu w surowicy wynosiło w przybliżeniu 7 do 8 μg/ml w 2. i 4. tygodniu. W okresie leczenia adalimumabem 40 mg raz w tygodniu średnie minimalne stężenie w stanie stacjonarnym w 12. tygodniu do 36. tygodnia włącznie wynosiło w przybliżeniu 8 do 10 μg/ml.</w:t>
      </w:r>
    </w:p>
    <w:p w14:paraId="1CB9B8DB" w14:textId="77777777" w:rsidR="00D22235" w:rsidRPr="008F328C" w:rsidRDefault="00D22235" w:rsidP="00D22235">
      <w:pPr>
        <w:spacing w:before="13" w:line="240" w:lineRule="exact"/>
        <w:rPr>
          <w:rFonts w:ascii="Times New Roman" w:hAnsi="Times New Roman" w:cs="Times New Roman"/>
          <w:sz w:val="24"/>
          <w:szCs w:val="24"/>
          <w:lang w:val="pl-PL"/>
        </w:rPr>
      </w:pPr>
    </w:p>
    <w:p w14:paraId="1BF56CB2" w14:textId="77777777" w:rsidR="00D22235" w:rsidRPr="008F328C" w:rsidRDefault="00D22235" w:rsidP="00D22235">
      <w:pPr>
        <w:pStyle w:val="a3"/>
        <w:rPr>
          <w:lang w:val="pl-PL"/>
        </w:rPr>
      </w:pPr>
      <w:r w:rsidRPr="008F328C">
        <w:rPr>
          <w:rFonts w:eastAsia="Times New Roman"/>
          <w:lang w:val="pl-PL"/>
        </w:rPr>
        <w:t>Ekspozycję na adalimumab u młodzieży z HS określano stosując populacyjne modelowanie farmakokinetyki i symulację w oparciu o farmakokinetykę w różnych wskazaniach u dzieci i młodzieży (łuszczyca u dzieci i młodzieży, młodzieńcze idiopatyczne zapalenie stawów, choroba Leśniowskiego-Crohna u dzieci i młodzieży oraz zapalenie stawów z towarzyszącym zapaleniem przyczepów ścięgnistych). Zalecany schemat dawkowania w HS u młodzieży, to 40 mg co drugi tydzień. Ponieważ masa ciała może wpływać na ekspozycję na adalimumab, u młodzieży z większą masą ciała i niewystarczającą odpowiedzią na leczenie może być korzystne zastosowanie dawki zalecanej dla dorosłych, to jest 40 mg co tydzień.</w:t>
      </w:r>
    </w:p>
    <w:p w14:paraId="3157B8EA" w14:textId="77777777" w:rsidR="00D22235" w:rsidRPr="008F328C" w:rsidRDefault="00D22235" w:rsidP="00D22235">
      <w:pPr>
        <w:spacing w:before="13" w:line="240" w:lineRule="exact"/>
        <w:rPr>
          <w:rFonts w:ascii="Times New Roman" w:hAnsi="Times New Roman" w:cs="Times New Roman"/>
          <w:sz w:val="24"/>
          <w:szCs w:val="24"/>
          <w:lang w:val="pl-PL"/>
        </w:rPr>
      </w:pPr>
    </w:p>
    <w:p w14:paraId="0D5DB118" w14:textId="77777777" w:rsidR="00D22235" w:rsidRPr="008F328C" w:rsidRDefault="00D22235" w:rsidP="00D22235">
      <w:pPr>
        <w:pStyle w:val="a3"/>
        <w:rPr>
          <w:lang w:val="pl-PL"/>
        </w:rPr>
      </w:pPr>
      <w:r w:rsidRPr="008F328C">
        <w:rPr>
          <w:rFonts w:eastAsia="Times New Roman"/>
          <w:lang w:val="pl-PL"/>
        </w:rPr>
        <w:t xml:space="preserve">U pacjentów z chorobą Leśniowskiego-Crohna, po podaniu dawki nasycającej 80 mg adalimumabu w tygodniu 0, a następnie 40 mg adalimumabu w 2. tygodniu, w okresie indukcji osiągnięto stężenia minimalne (ang. trough) adalimumabu w surowicy wynoszące około 5,5 </w:t>
      </w:r>
      <w:r w:rsidRPr="008F328C">
        <w:rPr>
          <w:rFonts w:eastAsia="Symbol"/>
          <w:lang w:val="pl-PL"/>
        </w:rPr>
        <w:sym w:font="Symbol" w:char="F06D"/>
      </w:r>
      <w:r w:rsidRPr="008F328C">
        <w:rPr>
          <w:rFonts w:eastAsia="Times New Roman"/>
          <w:lang w:val="pl-PL"/>
        </w:rPr>
        <w:t xml:space="preserve">g/ml. Po podaniu dawki nasycającej 160 mg adalimumabu w tygodniu 0, a następnie 80 mg adalimumabu w 2. tygodniu, w okresie indukcji osiągnięto stężenie minimalne adalimumabu w surowicy wynoszące około 12 </w:t>
      </w:r>
      <w:r w:rsidRPr="008F328C">
        <w:rPr>
          <w:rFonts w:eastAsia="Symbol"/>
          <w:lang w:val="pl-PL"/>
        </w:rPr>
        <w:sym w:font="Symbol" w:char="F06D"/>
      </w:r>
      <w:r w:rsidRPr="008F328C">
        <w:rPr>
          <w:rFonts w:eastAsia="Times New Roman"/>
          <w:lang w:val="pl-PL"/>
        </w:rPr>
        <w:t xml:space="preserve">g/ml. U pacjentów z chorobą Leśniowskiego-Crohna, którzy otrzymywali dawkę podtrzymującą 40 mg adalimumabu co drugi tydzień w stanie stacjonarnym obserwowano średnie stężenia minimalne wynoszące około 7 </w:t>
      </w:r>
      <w:r w:rsidRPr="008F328C">
        <w:rPr>
          <w:rFonts w:eastAsia="Symbol"/>
          <w:lang w:val="pl-PL"/>
        </w:rPr>
        <w:sym w:font="Symbol" w:char="F06D"/>
      </w:r>
      <w:r w:rsidRPr="008F328C">
        <w:rPr>
          <w:rFonts w:eastAsia="Times New Roman"/>
          <w:lang w:val="pl-PL"/>
        </w:rPr>
        <w:t>g/ml.</w:t>
      </w:r>
    </w:p>
    <w:p w14:paraId="5E5F8F27" w14:textId="77777777" w:rsidR="00D22235" w:rsidRPr="008F328C" w:rsidRDefault="00D22235" w:rsidP="00D22235">
      <w:pPr>
        <w:spacing w:before="11" w:line="240" w:lineRule="exact"/>
        <w:rPr>
          <w:rFonts w:ascii="Times New Roman" w:hAnsi="Times New Roman" w:cs="Times New Roman"/>
          <w:sz w:val="24"/>
          <w:szCs w:val="24"/>
          <w:lang w:val="pl-PL"/>
        </w:rPr>
      </w:pPr>
    </w:p>
    <w:p w14:paraId="1303B62B" w14:textId="77777777" w:rsidR="00D22235" w:rsidRPr="008F328C" w:rsidRDefault="00D22235" w:rsidP="00D22235">
      <w:pPr>
        <w:pStyle w:val="a3"/>
        <w:rPr>
          <w:lang w:val="pl-PL"/>
        </w:rPr>
      </w:pPr>
      <w:r w:rsidRPr="008F328C">
        <w:rPr>
          <w:rFonts w:eastAsia="Times New Roman"/>
          <w:lang w:val="pl-PL"/>
        </w:rPr>
        <w:t xml:space="preserve">U pacjentów pediatrycznych z ChL-C o nasileniu umiarkowanym do ciężkiego, w próbie otwartej w okresie indukcji dawka adalimumabu wynosiła 160/80 mg lub 80/40 mg, odpowiednio w tygodniach 0 i 2, w zależności od masy ciała (40 kg stanowiło punkt odcięcia). W 4. tygodniu pacjentów przydzielano losowo w stosunku 1:1 do grup otrzymujących leczenie podtrzymujące dawką standardową (40/20 mg co drugi tydzień) lub małą dawką (20/10 mg co drugi tydzień) w zależności od masy ciała. Średnie (±SD) minimalne stężenia (ang. trough) adalimumabu w surowicy osiągnięte w 4. tygodniu wynosiły 15,7 ± 6,6 </w:t>
      </w:r>
      <w:r w:rsidRPr="008F328C">
        <w:rPr>
          <w:rFonts w:eastAsia="Symbol"/>
          <w:lang w:val="pl-PL"/>
        </w:rPr>
        <w:sym w:font="Symbol" w:char="F06D"/>
      </w:r>
      <w:r w:rsidRPr="008F328C">
        <w:rPr>
          <w:rFonts w:eastAsia="Times New Roman"/>
          <w:lang w:val="pl-PL"/>
        </w:rPr>
        <w:t xml:space="preserve">g/ml u pacjentów ≥ 40 kg (160/80 mg) oraz 10,6 ± 6,1 </w:t>
      </w:r>
      <w:r w:rsidRPr="008F328C">
        <w:rPr>
          <w:rFonts w:eastAsia="Symbol"/>
          <w:lang w:val="pl-PL"/>
        </w:rPr>
        <w:sym w:font="Symbol" w:char="F06D"/>
      </w:r>
      <w:r w:rsidRPr="008F328C">
        <w:rPr>
          <w:rFonts w:eastAsia="Times New Roman"/>
          <w:lang w:val="pl-PL"/>
        </w:rPr>
        <w:t>g/ml u pacjentów &lt; 40 kg (80/40 mg).</w:t>
      </w:r>
    </w:p>
    <w:p w14:paraId="107051C9" w14:textId="77777777" w:rsidR="00D22235" w:rsidRPr="008F328C" w:rsidRDefault="00D22235" w:rsidP="00D22235">
      <w:pPr>
        <w:spacing w:before="7" w:line="240" w:lineRule="exact"/>
        <w:rPr>
          <w:rFonts w:ascii="Times New Roman" w:hAnsi="Times New Roman" w:cs="Times New Roman"/>
          <w:sz w:val="24"/>
          <w:szCs w:val="24"/>
          <w:lang w:val="pl-PL"/>
        </w:rPr>
      </w:pPr>
    </w:p>
    <w:p w14:paraId="3FFE4E68" w14:textId="77777777" w:rsidR="00D22235" w:rsidRPr="008F328C" w:rsidRDefault="00D22235" w:rsidP="00D22235">
      <w:pPr>
        <w:pStyle w:val="a3"/>
        <w:rPr>
          <w:lang w:val="pl-PL"/>
        </w:rPr>
      </w:pPr>
      <w:r w:rsidRPr="008F328C">
        <w:rPr>
          <w:rFonts w:eastAsia="Times New Roman"/>
          <w:lang w:val="pl-PL"/>
        </w:rPr>
        <w:t xml:space="preserve">U pacjentów, którzy pozostali w grupach terapeutycznych, do jakich ich losowo przydzielono, średnie (±SD) minimalne stężenia (ang. trough) adalimumabu w surowicy osiągnięte w 52. tygodniu wynosiły 9,5 ± 5,6 </w:t>
      </w:r>
      <w:r w:rsidRPr="008F328C">
        <w:rPr>
          <w:rFonts w:eastAsia="Symbol"/>
          <w:lang w:val="pl-PL"/>
        </w:rPr>
        <w:sym w:font="Symbol" w:char="F06D"/>
      </w:r>
      <w:r w:rsidRPr="008F328C">
        <w:rPr>
          <w:rFonts w:eastAsia="Times New Roman"/>
          <w:lang w:val="pl-PL"/>
        </w:rPr>
        <w:t xml:space="preserve">g/ml w grupie otrzymującej dawkę standardową oraz 3,5 ± 2,2 </w:t>
      </w:r>
      <w:r w:rsidRPr="008F328C">
        <w:rPr>
          <w:rFonts w:eastAsia="Symbol"/>
          <w:lang w:val="pl-PL"/>
        </w:rPr>
        <w:sym w:font="Symbol" w:char="F06D"/>
      </w:r>
      <w:r w:rsidRPr="008F328C">
        <w:rPr>
          <w:rFonts w:eastAsia="Times New Roman"/>
          <w:lang w:val="pl-PL"/>
        </w:rPr>
        <w:t>g/ml w grupie otrzymującej małą dawkę.  Średnie minimalne stężenia utrzymywały się u pacjentów, którzy kontynuowali leczenie adalimumabem co drugi tydzień przez 52 tygodnie. U pacjentów, u których zwiększono intensywność dawkowania z podawania co drugi tydzień na podawanie co tydzień, średnie (±SD) stężenia adalimumabu w surowicy w 52. tygodniu wynosiły 15,3 ± 11,4 μg/ml (40/20 mg co tydzień) oraz 6,7 ± 3,5 μg/ml (20/10 mg co tydzień).</w:t>
      </w:r>
    </w:p>
    <w:p w14:paraId="1A12C313" w14:textId="77777777" w:rsidR="00D22235" w:rsidRPr="008F328C" w:rsidRDefault="00D22235" w:rsidP="00D22235">
      <w:pPr>
        <w:spacing w:before="11" w:line="240" w:lineRule="exact"/>
        <w:rPr>
          <w:rFonts w:ascii="Times New Roman" w:hAnsi="Times New Roman" w:cs="Times New Roman"/>
          <w:sz w:val="24"/>
          <w:szCs w:val="24"/>
          <w:lang w:val="pl-PL"/>
        </w:rPr>
      </w:pPr>
    </w:p>
    <w:p w14:paraId="5CD27AD4" w14:textId="77777777" w:rsidR="00D22235" w:rsidRPr="008F328C" w:rsidRDefault="00D22235" w:rsidP="00D22235">
      <w:pPr>
        <w:pStyle w:val="a3"/>
        <w:rPr>
          <w:lang w:val="pl-PL"/>
        </w:rPr>
      </w:pPr>
      <w:r w:rsidRPr="008F328C">
        <w:rPr>
          <w:rFonts w:eastAsia="Times New Roman"/>
          <w:lang w:val="pl-PL"/>
        </w:rPr>
        <w:t xml:space="preserve">U pacjentów z wrzodziejącym zapaleniem jelita grubego, w okresie indukcji, po podaniu dawki nasycającej wynoszącej 160 mg adalimumabu w tygodniu 0, a następnie 80 mg adalimumabu w 2. tygodniu, minimalne stężenia (ang. trough) adalimumabu w surowicy wynosiły około 12 </w:t>
      </w:r>
      <w:r w:rsidRPr="008F328C">
        <w:rPr>
          <w:rFonts w:eastAsia="Symbol"/>
          <w:lang w:val="pl-PL"/>
        </w:rPr>
        <w:sym w:font="Symbol" w:char="F06D"/>
      </w:r>
      <w:r w:rsidRPr="008F328C">
        <w:rPr>
          <w:rFonts w:eastAsia="Times New Roman"/>
          <w:lang w:val="pl-PL"/>
        </w:rPr>
        <w:t xml:space="preserve">g/ml. U pacjentów z wrzodziejącym zapaleniem jelita grubego, którzy otrzymywali dawkę podtrzymującą wynoszącą 40 mg adalimumabu co drugi tydzień średnie minimalne stężenia w stanie stacjonarnym wynosiły około 8 </w:t>
      </w:r>
      <w:r w:rsidRPr="008F328C">
        <w:rPr>
          <w:rFonts w:eastAsia="Symbol"/>
          <w:lang w:val="pl-PL"/>
        </w:rPr>
        <w:sym w:font="Symbol" w:char="F06D"/>
      </w:r>
      <w:r w:rsidRPr="008F328C">
        <w:rPr>
          <w:rFonts w:eastAsia="Times New Roman"/>
          <w:lang w:val="pl-PL"/>
        </w:rPr>
        <w:t>g/ml.</w:t>
      </w:r>
    </w:p>
    <w:p w14:paraId="11BF096F" w14:textId="77777777" w:rsidR="00D22235" w:rsidRPr="008F328C" w:rsidRDefault="00D22235" w:rsidP="00D22235">
      <w:pPr>
        <w:rPr>
          <w:rFonts w:ascii="Times New Roman" w:hAnsi="Times New Roman" w:cs="Times New Roman"/>
          <w:lang w:val="pl-PL"/>
        </w:rPr>
      </w:pPr>
    </w:p>
    <w:p w14:paraId="68D9A8CF"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t xml:space="preserve">Po podskórnym podaniu dawki zależnej od masy ciała wynoszącej 0,6 mg/kg (maksymalnie 40 mg) co drugi tydzień pacjentom pediatrycznym z wrzodziejącym zapaleniem jelita grubego, średnie minimalne stężenie adalimumabu w surowicy w stanie stacjonarnym w 52. tygodniu wynosiło 5,01 ± 3,28 µg/ml. W przypadku pacjentów, którzy otrzymywali 0,6 mg/kg (maksymalnie 40 mg) co tydzień, średnie (± SD) minimalne stężenie adalimumabu w surowicy w stanie stacjonarnym w 52. tygodniu wynosiło 15,7 ± </w:t>
      </w:r>
      <w:r w:rsidRPr="008F328C">
        <w:rPr>
          <w:rFonts w:ascii="Times New Roman" w:hAnsi="Times New Roman" w:cs="Times New Roman"/>
          <w:lang w:val="pl-PL"/>
        </w:rPr>
        <w:lastRenderedPageBreak/>
        <w:t>5,60 μg/ml.</w:t>
      </w:r>
    </w:p>
    <w:p w14:paraId="012E03F7" w14:textId="77777777" w:rsidR="00D22235" w:rsidRPr="008F328C" w:rsidRDefault="00D22235" w:rsidP="00D22235">
      <w:pPr>
        <w:spacing w:before="14" w:line="240" w:lineRule="exact"/>
        <w:rPr>
          <w:rFonts w:ascii="Times New Roman" w:hAnsi="Times New Roman" w:cs="Times New Roman"/>
          <w:sz w:val="24"/>
          <w:szCs w:val="24"/>
          <w:lang w:val="pl-PL"/>
        </w:rPr>
      </w:pPr>
    </w:p>
    <w:p w14:paraId="5D5ACA62" w14:textId="77777777" w:rsidR="00D22235" w:rsidRPr="008F328C" w:rsidRDefault="00D22235" w:rsidP="00D22235">
      <w:pPr>
        <w:pStyle w:val="a3"/>
        <w:rPr>
          <w:lang w:val="pl-PL"/>
        </w:rPr>
      </w:pPr>
      <w:r w:rsidRPr="008F328C">
        <w:rPr>
          <w:rFonts w:eastAsia="Times New Roman"/>
          <w:spacing w:val="-2"/>
          <w:lang w:val="pl-PL"/>
        </w:rPr>
        <w:t>U dorosłych pacjentów z zapaleniem błony naczyniowej oka po podaniu dawki nasycającej 80 mg adalimumabu w tygodniu 0, a następnie 40 mg co drugi tydzień począwszy od 1 tygodnia, średnie stężenia w stanie stacjonarnym wynosiły w przybliżeniu 8 do 10 </w:t>
      </w:r>
      <w:r w:rsidRPr="008F328C">
        <w:rPr>
          <w:rFonts w:eastAsia="Symbol"/>
          <w:spacing w:val="-2"/>
          <w:lang w:val="pl-PL"/>
        </w:rPr>
        <w:sym w:font="Symbol" w:char="F06D"/>
      </w:r>
      <w:r w:rsidRPr="008F328C">
        <w:rPr>
          <w:rFonts w:eastAsia="Times New Roman"/>
          <w:spacing w:val="-2"/>
          <w:lang w:val="pl-PL"/>
        </w:rPr>
        <w:t>g/ml.</w:t>
      </w:r>
    </w:p>
    <w:p w14:paraId="7F12FF85" w14:textId="77777777" w:rsidR="00D22235" w:rsidRPr="008F328C" w:rsidRDefault="00D22235" w:rsidP="00D22235">
      <w:pPr>
        <w:spacing w:before="13" w:line="240" w:lineRule="exact"/>
        <w:rPr>
          <w:rFonts w:ascii="Times New Roman" w:hAnsi="Times New Roman" w:cs="Times New Roman"/>
          <w:sz w:val="24"/>
          <w:szCs w:val="24"/>
          <w:lang w:val="pl-PL"/>
        </w:rPr>
      </w:pPr>
    </w:p>
    <w:p w14:paraId="16E18888" w14:textId="77777777" w:rsidR="00D22235" w:rsidRPr="008F328C" w:rsidRDefault="00D22235" w:rsidP="00D22235">
      <w:pPr>
        <w:pStyle w:val="a3"/>
        <w:rPr>
          <w:lang w:val="pl-PL"/>
        </w:rPr>
      </w:pPr>
      <w:r w:rsidRPr="008F328C">
        <w:rPr>
          <w:rFonts w:eastAsia="Times New Roman"/>
          <w:lang w:val="pl-PL"/>
        </w:rPr>
        <w:t>Ekspozycję na adalimumab u pacjentów pediatrycznych z zapaleniem błony naczyniowej oka określano stosując populacyjne modelowanie farmakokinetyki i symulację w oparciu o farmakokinetykę w innych wskazaniach u dzieci i młodzieży (łuszczyca u dzieci i młodzieży, młodzieńcze idiopatyczne zapalenie stawów, choroba Leśniowskiego-Crohna u dzieci i młodzieży) oraz zapalenie stawów z towarzyszącym zapaleniem przyczepów ścięgnistych). Nie ma dostępnych danych o ekspozycji klinicznej po stosowaniu dawki nasycającej u dzieci w wieku &lt; 6 lat. Przewidywane wartości ekspozycji wskazują, że w przypadku nieobecności metotreksatu, dawka nasycająca może powodować początkowe zwiększenie ekspozycji układowej.</w:t>
      </w:r>
    </w:p>
    <w:p w14:paraId="653F7C95" w14:textId="77777777" w:rsidR="00D22235" w:rsidRPr="008F328C" w:rsidRDefault="00D22235" w:rsidP="00D22235">
      <w:pPr>
        <w:spacing w:before="13" w:line="240" w:lineRule="exact"/>
        <w:rPr>
          <w:rFonts w:ascii="Times New Roman" w:hAnsi="Times New Roman" w:cs="Times New Roman"/>
          <w:sz w:val="24"/>
          <w:szCs w:val="24"/>
          <w:lang w:val="pl-PL"/>
        </w:rPr>
      </w:pPr>
    </w:p>
    <w:p w14:paraId="4F9B3C4A" w14:textId="77777777" w:rsidR="00D22235" w:rsidRPr="008F328C" w:rsidRDefault="00D22235" w:rsidP="00D22235">
      <w:pPr>
        <w:pStyle w:val="a3"/>
        <w:rPr>
          <w:lang w:val="pl-PL"/>
        </w:rPr>
      </w:pPr>
      <w:r w:rsidRPr="008F328C">
        <w:rPr>
          <w:rFonts w:eastAsia="Times New Roman"/>
          <w:lang w:val="pl-PL"/>
        </w:rPr>
        <w:t>Stosując populacyjne modelowanie farmakokinetyki i farmakokinetyki/farmakodynamiki i symulację przewidywano porównywalną ekspozycję na adalimumab i skuteczność u pacjentów leczonych dawką 80 mg co drugi tydzień w porównaniu z dawką 40 mg co tydzień (w tym dorosłych pacjentów z RZS, HS, WZJG, ChL-C lub łuszczycą, pacjentów z młodzieńczym HS oraz dzieci i młodzież ≥ 40 kg z ChL-C</w:t>
      </w:r>
      <w:r w:rsidRPr="008F328C">
        <w:rPr>
          <w:iCs/>
          <w:lang w:val="pl-PL"/>
        </w:rPr>
        <w:t xml:space="preserve"> i WZJG</w:t>
      </w:r>
      <w:r w:rsidRPr="008F328C">
        <w:rPr>
          <w:rFonts w:eastAsia="Times New Roman"/>
          <w:lang w:val="pl-PL"/>
        </w:rPr>
        <w:t>).</w:t>
      </w:r>
    </w:p>
    <w:p w14:paraId="1164CCC2" w14:textId="77777777" w:rsidR="00D22235" w:rsidRPr="008F328C" w:rsidRDefault="00D22235" w:rsidP="00D22235">
      <w:pPr>
        <w:spacing w:before="13" w:line="240" w:lineRule="exact"/>
        <w:rPr>
          <w:rFonts w:ascii="Times New Roman" w:hAnsi="Times New Roman" w:cs="Times New Roman"/>
          <w:sz w:val="24"/>
          <w:szCs w:val="24"/>
          <w:lang w:val="pl-PL"/>
        </w:rPr>
      </w:pPr>
    </w:p>
    <w:p w14:paraId="630FFB34" w14:textId="77777777" w:rsidR="00D22235" w:rsidRPr="008F328C" w:rsidRDefault="00D22235" w:rsidP="00D22235">
      <w:pPr>
        <w:pStyle w:val="a3"/>
        <w:rPr>
          <w:u w:val="single"/>
          <w:lang w:val="pl-PL"/>
        </w:rPr>
      </w:pPr>
      <w:r w:rsidRPr="008F328C">
        <w:rPr>
          <w:rFonts w:eastAsia="Times New Roman"/>
          <w:u w:val="single" w:color="000000"/>
          <w:lang w:val="pl-PL"/>
        </w:rPr>
        <w:t>Związek ekspozycji z odpowiedzią na leczenie u dzieci i młodzieży</w:t>
      </w:r>
    </w:p>
    <w:p w14:paraId="7724D3BA" w14:textId="77777777" w:rsidR="00D22235" w:rsidRPr="008F328C" w:rsidRDefault="00D22235" w:rsidP="00D22235">
      <w:pPr>
        <w:pStyle w:val="a3"/>
        <w:rPr>
          <w:lang w:val="pl-PL"/>
        </w:rPr>
      </w:pPr>
    </w:p>
    <w:p w14:paraId="5ADB7E9B" w14:textId="77777777" w:rsidR="00D22235" w:rsidRPr="008F328C" w:rsidRDefault="00D22235" w:rsidP="00D22235">
      <w:pPr>
        <w:pStyle w:val="a3"/>
        <w:rPr>
          <w:lang w:val="pl-PL"/>
        </w:rPr>
      </w:pPr>
      <w:r w:rsidRPr="008F328C">
        <w:rPr>
          <w:rFonts w:eastAsia="Times New Roman"/>
          <w:lang w:val="pl-PL"/>
        </w:rPr>
        <w:t>Na podstawie danych z badań klinicznych u pacjentów z WMIZS (pJIA i ERA) stwierdzono związek ekspozycja-odpowiedź na leczenie między stężeniami w osoczu, a odpowiedzią PedACR 50. Pozorne stężenie adalimumabu w osoczu dające 50% maksymalnego prawdopodobieństwa odpowiedzi PedACR 50 (EC50) wynosiło 3 μg/ml (95% CI: 1-6 μg/ml).</w:t>
      </w:r>
    </w:p>
    <w:p w14:paraId="3194D9D9" w14:textId="77777777" w:rsidR="00D22235" w:rsidRPr="008F328C" w:rsidRDefault="00D22235" w:rsidP="00D22235">
      <w:pPr>
        <w:spacing w:before="13" w:line="240" w:lineRule="exact"/>
        <w:rPr>
          <w:rFonts w:ascii="Times New Roman" w:hAnsi="Times New Roman" w:cs="Times New Roman"/>
          <w:sz w:val="24"/>
          <w:szCs w:val="24"/>
          <w:lang w:val="pl-PL"/>
        </w:rPr>
      </w:pPr>
    </w:p>
    <w:p w14:paraId="367635FF" w14:textId="77777777" w:rsidR="00D22235" w:rsidRPr="008F328C" w:rsidRDefault="00D22235" w:rsidP="00D22235">
      <w:pPr>
        <w:pStyle w:val="a3"/>
        <w:rPr>
          <w:lang w:val="pl-PL"/>
        </w:rPr>
      </w:pPr>
      <w:r w:rsidRPr="008F328C">
        <w:rPr>
          <w:rFonts w:eastAsia="Times New Roman"/>
          <w:lang w:val="pl-PL"/>
        </w:rPr>
        <w:t>Związek ekspozycja-odpowiedź na leczenie między stężeniem adalimumabu a skutecznością u dzieci i młodzieży z ciężką postacią przewlekłej łuszczycy zwyczajnej (plackowatej) stwierdzono dla odpowiedzi PASI 75 i PGA, odpowiednio „czysta” lub „prawie czysta”. Odpowiedzi PASI 75 i PGA „czysta” lub „prawie czysta” zwiększały się wraz ze zwiększaniem się stężeń adalimumabu, w obydwu przypadkach przy podobnej pozornej wartości EC50 wynoszącej w przybliżeniu 4,5 μg/ml (95% CI odpowiednio 0,4-47,6 i 1,9-10,5).</w:t>
      </w:r>
    </w:p>
    <w:p w14:paraId="70023B25" w14:textId="77777777" w:rsidR="00D22235" w:rsidRPr="008F328C" w:rsidRDefault="00D22235" w:rsidP="00D22235">
      <w:pPr>
        <w:spacing w:before="13" w:line="240" w:lineRule="exact"/>
        <w:rPr>
          <w:rFonts w:ascii="Times New Roman" w:hAnsi="Times New Roman" w:cs="Times New Roman"/>
          <w:sz w:val="24"/>
          <w:szCs w:val="24"/>
          <w:lang w:val="pl-PL"/>
        </w:rPr>
      </w:pPr>
    </w:p>
    <w:p w14:paraId="20A3ED89" w14:textId="77777777" w:rsidR="00D22235" w:rsidRPr="008F328C" w:rsidRDefault="00D22235" w:rsidP="00D22235">
      <w:pPr>
        <w:pStyle w:val="a3"/>
        <w:rPr>
          <w:u w:val="single"/>
          <w:lang w:val="pl-PL"/>
        </w:rPr>
      </w:pPr>
      <w:r w:rsidRPr="008F328C">
        <w:rPr>
          <w:rFonts w:eastAsia="Times New Roman"/>
          <w:u w:val="single" w:color="000000"/>
          <w:lang w:val="pl-PL"/>
        </w:rPr>
        <w:t>Eliminacja</w:t>
      </w:r>
    </w:p>
    <w:p w14:paraId="4BDC543F" w14:textId="77777777" w:rsidR="00D22235" w:rsidRPr="008F328C" w:rsidRDefault="00D22235" w:rsidP="00D22235">
      <w:pPr>
        <w:spacing w:before="1" w:line="180" w:lineRule="exact"/>
        <w:rPr>
          <w:rFonts w:ascii="Times New Roman" w:hAnsi="Times New Roman" w:cs="Times New Roman"/>
          <w:sz w:val="18"/>
          <w:szCs w:val="18"/>
          <w:lang w:val="pl-PL"/>
        </w:rPr>
      </w:pPr>
    </w:p>
    <w:p w14:paraId="5E98C68F" w14:textId="77777777" w:rsidR="00D22235" w:rsidRPr="008F328C" w:rsidRDefault="00D22235" w:rsidP="00D22235">
      <w:pPr>
        <w:pStyle w:val="a3"/>
        <w:rPr>
          <w:lang w:val="pl-PL"/>
        </w:rPr>
      </w:pPr>
      <w:r w:rsidRPr="008F328C">
        <w:rPr>
          <w:rFonts w:eastAsia="Times New Roman"/>
          <w:lang w:val="pl-PL"/>
        </w:rPr>
        <w:t>Populacyjne analizy farmakokinetyki uwzgledniające dane od ponad 1300 pacjentów z RZS ujawniły tendencję do zwiększania się pozornego klirensu adalimumabu wraz ze zwiększeniem masy ciała. Po uwzględnieniu różnic w masie ciała, wydaje się, że płeć i wiek mają minimalny wpływ na klirens adalimumabu. Zaobserwowano, że stężenie wolnego adalimumabu w surowicy [niezwiązanego z przeciwciałami przeciw adalimumabowi (ang. anti-adalimumab antibodies, AAA)] było niższe u pacjentów z mierzalnym stężeniem AAA.</w:t>
      </w:r>
    </w:p>
    <w:p w14:paraId="26063557" w14:textId="77777777" w:rsidR="00D22235" w:rsidRPr="008F328C" w:rsidRDefault="00D22235" w:rsidP="00D22235">
      <w:pPr>
        <w:spacing w:before="13" w:line="240" w:lineRule="exact"/>
        <w:rPr>
          <w:rFonts w:ascii="Times New Roman" w:hAnsi="Times New Roman" w:cs="Times New Roman"/>
          <w:sz w:val="24"/>
          <w:szCs w:val="24"/>
          <w:lang w:val="pl-PL"/>
        </w:rPr>
      </w:pPr>
    </w:p>
    <w:p w14:paraId="573918D4" w14:textId="77777777" w:rsidR="00D22235" w:rsidRPr="008F328C" w:rsidRDefault="00D22235" w:rsidP="00D22235">
      <w:pPr>
        <w:pStyle w:val="a3"/>
        <w:rPr>
          <w:u w:val="single"/>
          <w:lang w:val="pl-PL"/>
        </w:rPr>
      </w:pPr>
      <w:r w:rsidRPr="008F328C">
        <w:rPr>
          <w:rFonts w:eastAsia="Times New Roman"/>
          <w:u w:val="single" w:color="000000"/>
          <w:lang w:val="pl-PL"/>
        </w:rPr>
        <w:t>Zaburzenia czynności wątroby lub nerek</w:t>
      </w:r>
    </w:p>
    <w:p w14:paraId="447A6F22" w14:textId="77777777" w:rsidR="00D22235" w:rsidRPr="008F328C" w:rsidRDefault="00D22235" w:rsidP="00D22235">
      <w:pPr>
        <w:spacing w:before="1" w:line="180" w:lineRule="exact"/>
        <w:rPr>
          <w:rFonts w:ascii="Times New Roman" w:hAnsi="Times New Roman" w:cs="Times New Roman"/>
          <w:sz w:val="18"/>
          <w:szCs w:val="18"/>
          <w:lang w:val="pl-PL"/>
        </w:rPr>
      </w:pPr>
    </w:p>
    <w:p w14:paraId="28063755" w14:textId="77777777" w:rsidR="00D22235" w:rsidRPr="008F328C" w:rsidRDefault="00D22235" w:rsidP="00D22235">
      <w:pPr>
        <w:pStyle w:val="a3"/>
        <w:rPr>
          <w:lang w:val="pl-PL"/>
        </w:rPr>
      </w:pPr>
      <w:r w:rsidRPr="008F328C">
        <w:rPr>
          <w:rFonts w:eastAsia="Times New Roman"/>
          <w:lang w:val="pl-PL"/>
        </w:rPr>
        <w:t>Nie badano stosowania adalimumabu u pacjentów z zaburzeniami czynności wątroby lub nerek.</w:t>
      </w:r>
    </w:p>
    <w:p w14:paraId="11857267" w14:textId="77777777" w:rsidR="00D22235" w:rsidRPr="008F328C" w:rsidRDefault="00D22235" w:rsidP="00D22235">
      <w:pPr>
        <w:spacing w:before="18" w:line="240" w:lineRule="exact"/>
        <w:rPr>
          <w:rFonts w:ascii="Times New Roman" w:hAnsi="Times New Roman" w:cs="Times New Roman"/>
          <w:sz w:val="24"/>
          <w:szCs w:val="24"/>
          <w:lang w:val="pl-PL"/>
        </w:rPr>
      </w:pPr>
    </w:p>
    <w:p w14:paraId="47828793" w14:textId="77777777" w:rsidR="00D22235" w:rsidRPr="008F328C" w:rsidRDefault="00D22235" w:rsidP="00D22235">
      <w:pPr>
        <w:widowControl/>
        <w:numPr>
          <w:ilvl w:val="1"/>
          <w:numId w:val="117"/>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Przedkliniczne dane o bezpieczeństwie</w:t>
      </w:r>
    </w:p>
    <w:p w14:paraId="7597E80B" w14:textId="77777777" w:rsidR="00D22235" w:rsidRPr="008F328C" w:rsidRDefault="00D22235" w:rsidP="00D22235">
      <w:pPr>
        <w:spacing w:before="6" w:line="240" w:lineRule="exact"/>
        <w:rPr>
          <w:rFonts w:ascii="Times New Roman" w:hAnsi="Times New Roman" w:cs="Times New Roman"/>
          <w:sz w:val="24"/>
          <w:szCs w:val="24"/>
          <w:lang w:val="pl-PL"/>
        </w:rPr>
      </w:pPr>
    </w:p>
    <w:p w14:paraId="5FADDF70" w14:textId="77777777" w:rsidR="00D22235" w:rsidRPr="008F328C" w:rsidRDefault="00D22235" w:rsidP="00D22235">
      <w:pPr>
        <w:pStyle w:val="a3"/>
        <w:rPr>
          <w:lang w:val="pl-PL"/>
        </w:rPr>
      </w:pPr>
      <w:r w:rsidRPr="008F328C">
        <w:rPr>
          <w:rFonts w:eastAsia="Times New Roman"/>
          <w:lang w:val="pl-PL"/>
        </w:rPr>
        <w:t>Dane niekliniczne, wynikające z badań dotyczących badań toksyczności po podaniu pojedynczym i wielokrotnym i genotoksyczności, nie ujawniają szczególnego zagrożenia dla człowieka</w:t>
      </w:r>
    </w:p>
    <w:p w14:paraId="2C61A5D4" w14:textId="77777777" w:rsidR="00D22235" w:rsidRPr="008F328C" w:rsidRDefault="00D22235" w:rsidP="00D22235">
      <w:pPr>
        <w:spacing w:before="12" w:line="240" w:lineRule="exact"/>
        <w:rPr>
          <w:rFonts w:ascii="Times New Roman" w:hAnsi="Times New Roman" w:cs="Times New Roman"/>
          <w:sz w:val="24"/>
          <w:szCs w:val="24"/>
          <w:lang w:val="pl-PL"/>
        </w:rPr>
      </w:pPr>
    </w:p>
    <w:p w14:paraId="39237D33" w14:textId="77777777" w:rsidR="00D22235" w:rsidRPr="008F328C" w:rsidRDefault="00D22235" w:rsidP="00D22235">
      <w:pPr>
        <w:pStyle w:val="a3"/>
        <w:rPr>
          <w:lang w:val="pl-PL"/>
        </w:rPr>
      </w:pPr>
      <w:r w:rsidRPr="008F328C">
        <w:rPr>
          <w:rFonts w:eastAsia="Times New Roman"/>
          <w:lang w:val="pl-PL"/>
        </w:rPr>
        <w:t xml:space="preserve">Toksyczność adalimumabu na rozwój zarodka i płodu oraz w okresie okołourodzeniowym badano na </w:t>
      </w:r>
      <w:r w:rsidRPr="008F328C">
        <w:rPr>
          <w:rFonts w:eastAsia="Times New Roman"/>
          <w:lang w:val="pl-PL"/>
        </w:rPr>
        <w:lastRenderedPageBreak/>
        <w:t>małpach makakach, którym podawano dawki 0, 30 i 100 mg/kg mc. (9-17 małp w grupie). Nie stwierdzono szkodliwego działania adalimumabu na płody. Dla adalimumabu nie wykonano ani badań potencjalnego działania rakotwórczego ani standardowej oceny toksycznego działania na płodność i w okresie pourodzeniowym ze względu na brak odpowiednich modeli dla przeciwciała o ograniczonej reaktywności krzyżowej przeciw TNF u gryzoni oraz powstawanie neutralizujących przeciwciał u gryzoni.</w:t>
      </w:r>
    </w:p>
    <w:p w14:paraId="4CDD300C" w14:textId="431C3216" w:rsidR="00D22235" w:rsidRPr="008F328C" w:rsidRDefault="00D22235" w:rsidP="00D22235">
      <w:pPr>
        <w:rPr>
          <w:rFonts w:ascii="Times New Roman" w:eastAsia="Times New Roman" w:hAnsi="Times New Roman" w:cs="Times New Roman"/>
          <w:lang w:val="pl-PL"/>
        </w:rPr>
      </w:pPr>
    </w:p>
    <w:p w14:paraId="2BBA5634" w14:textId="77777777" w:rsidR="00CC4159" w:rsidRPr="008F328C" w:rsidRDefault="00CC4159" w:rsidP="00D22235">
      <w:pPr>
        <w:rPr>
          <w:rFonts w:ascii="Times New Roman" w:eastAsia="Times New Roman" w:hAnsi="Times New Roman" w:cs="Times New Roman"/>
          <w:lang w:val="pl-PL"/>
        </w:rPr>
      </w:pPr>
    </w:p>
    <w:p w14:paraId="5C892063" w14:textId="77777777" w:rsidR="00D22235" w:rsidRPr="008F328C" w:rsidRDefault="00D22235" w:rsidP="00D22235">
      <w:pPr>
        <w:widowControl/>
        <w:numPr>
          <w:ilvl w:val="0"/>
          <w:numId w:val="115"/>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DANE FARMACEUTYCZNE</w:t>
      </w:r>
    </w:p>
    <w:p w14:paraId="13AC629D" w14:textId="77777777" w:rsidR="00D22235" w:rsidRPr="008F328C" w:rsidRDefault="00D22235" w:rsidP="00D22235">
      <w:pPr>
        <w:spacing w:before="13" w:line="240" w:lineRule="exact"/>
        <w:rPr>
          <w:rFonts w:ascii="Times New Roman" w:hAnsi="Times New Roman" w:cs="Times New Roman"/>
          <w:sz w:val="24"/>
          <w:szCs w:val="24"/>
          <w:lang w:val="pl-PL"/>
        </w:rPr>
      </w:pPr>
    </w:p>
    <w:p w14:paraId="574FE30C"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Wykaz substancji pomocniczych</w:t>
      </w:r>
    </w:p>
    <w:p w14:paraId="2EC61E2D" w14:textId="77777777" w:rsidR="00D22235" w:rsidRPr="008F328C" w:rsidRDefault="00D22235" w:rsidP="00D22235">
      <w:pPr>
        <w:spacing w:line="240" w:lineRule="exact"/>
        <w:rPr>
          <w:rFonts w:ascii="Times New Roman" w:hAnsi="Times New Roman" w:cs="Times New Roman"/>
          <w:sz w:val="24"/>
          <w:szCs w:val="24"/>
          <w:lang w:val="pl-PL"/>
        </w:rPr>
      </w:pPr>
    </w:p>
    <w:p w14:paraId="01805D86" w14:textId="77777777" w:rsidR="00D22235" w:rsidRPr="008F328C" w:rsidRDefault="00D22235" w:rsidP="00D22235">
      <w:pPr>
        <w:pStyle w:val="a3"/>
        <w:rPr>
          <w:lang w:val="pl-PL"/>
        </w:rPr>
      </w:pPr>
      <w:r w:rsidRPr="008F328C">
        <w:rPr>
          <w:rFonts w:eastAsia="Times New Roman"/>
          <w:lang w:val="pl-PL"/>
        </w:rPr>
        <w:t>Kwas octowy</w:t>
      </w:r>
    </w:p>
    <w:p w14:paraId="3490817F" w14:textId="77777777" w:rsidR="00D22235" w:rsidRPr="008F328C" w:rsidRDefault="00D22235" w:rsidP="00D22235">
      <w:pPr>
        <w:pStyle w:val="a3"/>
        <w:rPr>
          <w:lang w:val="pl-PL"/>
        </w:rPr>
      </w:pPr>
      <w:r w:rsidRPr="008F328C">
        <w:rPr>
          <w:rFonts w:eastAsia="Times New Roman"/>
          <w:lang w:val="pl-PL"/>
        </w:rPr>
        <w:t xml:space="preserve">Sodu octan trójwodny </w:t>
      </w:r>
    </w:p>
    <w:p w14:paraId="26C4B83C" w14:textId="77777777" w:rsidR="00D22235" w:rsidRPr="008F328C" w:rsidRDefault="00D22235" w:rsidP="00D22235">
      <w:pPr>
        <w:pStyle w:val="a3"/>
        <w:rPr>
          <w:lang w:val="pl-PL"/>
        </w:rPr>
      </w:pPr>
      <w:r w:rsidRPr="008F328C">
        <w:rPr>
          <w:rFonts w:eastAsia="Times New Roman"/>
          <w:lang w:val="pl-PL"/>
        </w:rPr>
        <w:t>Glicyna</w:t>
      </w:r>
    </w:p>
    <w:p w14:paraId="63DCA5A2" w14:textId="77777777" w:rsidR="00D22235" w:rsidRPr="008F328C" w:rsidRDefault="00D22235" w:rsidP="00D22235">
      <w:pPr>
        <w:pStyle w:val="a3"/>
        <w:rPr>
          <w:lang w:val="pl-PL"/>
        </w:rPr>
      </w:pPr>
      <w:r w:rsidRPr="008F328C">
        <w:rPr>
          <w:rFonts w:eastAsia="Times New Roman"/>
          <w:lang w:val="pl-PL"/>
        </w:rPr>
        <w:t>Polisorbat 80</w:t>
      </w:r>
    </w:p>
    <w:p w14:paraId="22CB1327" w14:textId="77777777" w:rsidR="00D22235" w:rsidRPr="008F328C" w:rsidRDefault="00D22235" w:rsidP="00D22235">
      <w:pPr>
        <w:pStyle w:val="a3"/>
        <w:rPr>
          <w:lang w:val="pl-PL"/>
        </w:rPr>
      </w:pPr>
      <w:r w:rsidRPr="008F328C">
        <w:rPr>
          <w:rFonts w:eastAsia="Times New Roman"/>
          <w:lang w:val="pl-PL"/>
        </w:rPr>
        <w:t>Woda do wstrzykiwań</w:t>
      </w:r>
    </w:p>
    <w:p w14:paraId="63AA927D" w14:textId="77777777" w:rsidR="00D22235" w:rsidRPr="008F328C" w:rsidRDefault="00D22235" w:rsidP="00D22235">
      <w:pPr>
        <w:spacing w:line="240" w:lineRule="exact"/>
        <w:rPr>
          <w:rFonts w:ascii="Times New Roman" w:hAnsi="Times New Roman" w:cs="Times New Roman"/>
          <w:sz w:val="24"/>
          <w:szCs w:val="24"/>
          <w:lang w:val="pl-PL"/>
        </w:rPr>
      </w:pPr>
    </w:p>
    <w:p w14:paraId="21C29EA7"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Niezgodności farmaceutyczne</w:t>
      </w:r>
    </w:p>
    <w:p w14:paraId="424D2CF5" w14:textId="77777777" w:rsidR="00D22235" w:rsidRPr="008F328C" w:rsidRDefault="00D22235" w:rsidP="00D22235">
      <w:pPr>
        <w:spacing w:line="240" w:lineRule="exact"/>
        <w:rPr>
          <w:rFonts w:ascii="Times New Roman" w:hAnsi="Times New Roman" w:cs="Times New Roman"/>
          <w:sz w:val="24"/>
          <w:szCs w:val="24"/>
          <w:lang w:val="pl-PL"/>
        </w:rPr>
      </w:pPr>
    </w:p>
    <w:p w14:paraId="25C28700" w14:textId="77777777" w:rsidR="00D22235" w:rsidRPr="008F328C" w:rsidRDefault="00D22235" w:rsidP="00D22235">
      <w:pPr>
        <w:pStyle w:val="a3"/>
        <w:rPr>
          <w:lang w:val="pl-PL"/>
        </w:rPr>
      </w:pPr>
      <w:r w:rsidRPr="008F328C">
        <w:rPr>
          <w:rFonts w:eastAsia="Times New Roman"/>
          <w:lang w:val="pl-PL"/>
        </w:rPr>
        <w:t>Nie mieszać tego produktu leczniczego z innymi produktami leczniczymi, ponieważ nie wykonywano badań dotyczących zgodności.</w:t>
      </w:r>
    </w:p>
    <w:p w14:paraId="32C1D63B" w14:textId="77777777" w:rsidR="00D22235" w:rsidRPr="008F328C" w:rsidRDefault="00D22235" w:rsidP="00D22235">
      <w:pPr>
        <w:spacing w:line="240" w:lineRule="exact"/>
        <w:rPr>
          <w:rFonts w:ascii="Times New Roman" w:hAnsi="Times New Roman" w:cs="Times New Roman"/>
          <w:sz w:val="24"/>
          <w:szCs w:val="24"/>
          <w:lang w:val="pl-PL"/>
        </w:rPr>
      </w:pPr>
    </w:p>
    <w:p w14:paraId="514456FF"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Okres ważności</w:t>
      </w:r>
    </w:p>
    <w:p w14:paraId="45CA4C01" w14:textId="77777777" w:rsidR="00D22235" w:rsidRPr="008F328C" w:rsidRDefault="00D22235" w:rsidP="00D22235">
      <w:pPr>
        <w:spacing w:line="240" w:lineRule="exact"/>
        <w:rPr>
          <w:rFonts w:ascii="Times New Roman" w:hAnsi="Times New Roman" w:cs="Times New Roman"/>
          <w:sz w:val="24"/>
          <w:szCs w:val="24"/>
          <w:lang w:val="pl-PL"/>
        </w:rPr>
      </w:pPr>
    </w:p>
    <w:p w14:paraId="4CDD6E49" w14:textId="77777777" w:rsidR="00091741" w:rsidRPr="008F328C" w:rsidRDefault="00091741" w:rsidP="00091741">
      <w:pPr>
        <w:pStyle w:val="a3"/>
        <w:rPr>
          <w:rFonts w:eastAsia="Times New Roman"/>
          <w:lang w:val="pl-PL"/>
        </w:rPr>
      </w:pPr>
      <w:r w:rsidRPr="008F328C">
        <w:rPr>
          <w:rFonts w:eastAsia="Times New Roman"/>
          <w:lang w:val="pl-PL"/>
        </w:rPr>
        <w:t>3 lata</w:t>
      </w:r>
    </w:p>
    <w:p w14:paraId="358E9646" w14:textId="77777777" w:rsidR="00D22235" w:rsidRPr="008F328C" w:rsidRDefault="00D22235" w:rsidP="00B6454C">
      <w:pPr>
        <w:pStyle w:val="a3"/>
        <w:rPr>
          <w:sz w:val="24"/>
          <w:szCs w:val="24"/>
          <w:lang w:val="pl-PL"/>
        </w:rPr>
      </w:pPr>
    </w:p>
    <w:p w14:paraId="3A27BD4B"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środki ostrożności podczas przechowywania</w:t>
      </w:r>
    </w:p>
    <w:p w14:paraId="2195B320" w14:textId="77777777" w:rsidR="00D22235" w:rsidRPr="008F328C" w:rsidRDefault="00D22235" w:rsidP="00D22235">
      <w:pPr>
        <w:spacing w:line="260" w:lineRule="exact"/>
        <w:rPr>
          <w:rFonts w:ascii="Times New Roman" w:hAnsi="Times New Roman" w:cs="Times New Roman"/>
          <w:sz w:val="26"/>
          <w:szCs w:val="26"/>
          <w:lang w:val="pl-PL"/>
        </w:rPr>
      </w:pPr>
    </w:p>
    <w:p w14:paraId="0705940B" w14:textId="77777777" w:rsidR="00D22235" w:rsidRPr="008F328C" w:rsidRDefault="00D22235" w:rsidP="00D22235">
      <w:pPr>
        <w:pStyle w:val="a3"/>
        <w:rPr>
          <w:lang w:val="pl-PL"/>
        </w:rPr>
      </w:pPr>
      <w:r w:rsidRPr="008F328C">
        <w:rPr>
          <w:rFonts w:eastAsia="Times New Roman"/>
          <w:lang w:val="pl-PL"/>
        </w:rPr>
        <w:t>Przechowywać w lodówce (2</w:t>
      </w:r>
      <w:r w:rsidRPr="008F328C">
        <w:rPr>
          <w:rFonts w:eastAsia="Symbol"/>
          <w:lang w:val="pl-PL"/>
        </w:rPr>
        <w:sym w:font="Symbol" w:char="F0B0"/>
      </w:r>
      <w:r w:rsidRPr="008F328C">
        <w:rPr>
          <w:rFonts w:eastAsia="Times New Roman"/>
          <w:lang w:val="pl-PL"/>
        </w:rPr>
        <w:t>C – 8</w:t>
      </w:r>
      <w:r w:rsidRPr="008F328C">
        <w:rPr>
          <w:rFonts w:eastAsia="Symbol"/>
          <w:lang w:val="pl-PL"/>
        </w:rPr>
        <w:sym w:font="Symbol" w:char="F0B0"/>
      </w:r>
      <w:r w:rsidRPr="008F328C">
        <w:rPr>
          <w:rFonts w:eastAsia="Times New Roman"/>
          <w:lang w:val="pl-PL"/>
        </w:rPr>
        <w:t xml:space="preserve">C). Nie zamrażać. </w:t>
      </w:r>
    </w:p>
    <w:p w14:paraId="7C0D0D0F" w14:textId="77777777" w:rsidR="00D22235" w:rsidRPr="008F328C" w:rsidRDefault="00D22235" w:rsidP="00D22235">
      <w:pPr>
        <w:pStyle w:val="a3"/>
        <w:rPr>
          <w:lang w:val="pl-PL"/>
        </w:rPr>
      </w:pPr>
      <w:r w:rsidRPr="008F328C">
        <w:rPr>
          <w:rFonts w:eastAsia="Times New Roman"/>
          <w:lang w:val="pl-PL"/>
        </w:rPr>
        <w:t>Przechowywać ampułko-strzykawkę lub wstrzykiwacz w opakowaniu zewnętrznym w celu ochrony przed światłem.</w:t>
      </w:r>
    </w:p>
    <w:p w14:paraId="1BBAF8F4" w14:textId="77777777" w:rsidR="00D22235" w:rsidRPr="008F328C" w:rsidRDefault="00D22235" w:rsidP="00D22235">
      <w:pPr>
        <w:spacing w:line="240" w:lineRule="exact"/>
        <w:rPr>
          <w:rFonts w:ascii="Times New Roman" w:hAnsi="Times New Roman" w:cs="Times New Roman"/>
          <w:sz w:val="24"/>
          <w:szCs w:val="24"/>
          <w:lang w:val="pl-PL"/>
        </w:rPr>
      </w:pPr>
    </w:p>
    <w:p w14:paraId="6EED6FE5" w14:textId="4454A3D8" w:rsidR="00D22235" w:rsidRPr="008F328C" w:rsidRDefault="00D22235" w:rsidP="00D22235">
      <w:pPr>
        <w:pStyle w:val="a3"/>
        <w:rPr>
          <w:lang w:val="pl-PL"/>
        </w:rPr>
      </w:pPr>
      <w:r w:rsidRPr="008F328C">
        <w:rPr>
          <w:rFonts w:eastAsia="Times New Roman"/>
          <w:lang w:val="pl-PL"/>
        </w:rPr>
        <w:t xml:space="preserve">Jedna ampułko-strzykawka lub wstrzykiwacz z produktem Yuflyma może być przechowywany w temperaturze do 25°C przez okres do </w:t>
      </w:r>
      <w:r w:rsidR="00091741" w:rsidRPr="008F328C">
        <w:rPr>
          <w:rFonts w:eastAsia="Times New Roman"/>
          <w:lang w:val="pl-PL"/>
        </w:rPr>
        <w:t xml:space="preserve">31 </w:t>
      </w:r>
      <w:r w:rsidRPr="008F328C">
        <w:rPr>
          <w:rFonts w:eastAsia="Times New Roman"/>
          <w:lang w:val="pl-PL"/>
        </w:rPr>
        <w:t xml:space="preserve">dni. Ampułko-strzykawkę lub wstrzykiwacz należy chronić przed światłem i wyrzucić, jeśli nie zostaną zużyte w ciągu </w:t>
      </w:r>
      <w:r w:rsidR="00091741" w:rsidRPr="008F328C">
        <w:rPr>
          <w:rFonts w:eastAsia="Times New Roman"/>
          <w:lang w:val="pl-PL"/>
        </w:rPr>
        <w:t xml:space="preserve">31 </w:t>
      </w:r>
      <w:r w:rsidRPr="008F328C">
        <w:rPr>
          <w:rFonts w:eastAsia="Times New Roman"/>
          <w:lang w:val="pl-PL"/>
        </w:rPr>
        <w:t>dni.</w:t>
      </w:r>
    </w:p>
    <w:p w14:paraId="25EA9A6E" w14:textId="77777777" w:rsidR="00D22235" w:rsidRPr="008F328C" w:rsidRDefault="00D22235" w:rsidP="00D22235">
      <w:pPr>
        <w:spacing w:line="240" w:lineRule="exact"/>
        <w:rPr>
          <w:rFonts w:ascii="Times New Roman" w:hAnsi="Times New Roman" w:cs="Times New Roman"/>
          <w:sz w:val="24"/>
          <w:szCs w:val="24"/>
          <w:lang w:val="pl-PL"/>
        </w:rPr>
      </w:pPr>
    </w:p>
    <w:p w14:paraId="343339B7"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Rodzaj i zawartość opakowania</w:t>
      </w:r>
    </w:p>
    <w:p w14:paraId="2C39ED76" w14:textId="77777777" w:rsidR="00D22235" w:rsidRPr="008F328C" w:rsidRDefault="00D22235" w:rsidP="00D22235">
      <w:pPr>
        <w:pStyle w:val="a4"/>
        <w:spacing w:line="240" w:lineRule="exact"/>
        <w:rPr>
          <w:rFonts w:ascii="Times New Roman" w:hAnsi="Times New Roman" w:cs="Times New Roman"/>
          <w:sz w:val="24"/>
          <w:szCs w:val="24"/>
          <w:lang w:val="pl-PL"/>
        </w:rPr>
      </w:pPr>
    </w:p>
    <w:p w14:paraId="45578263" w14:textId="77777777" w:rsidR="00D22235" w:rsidRPr="008F328C" w:rsidRDefault="00D22235" w:rsidP="00D22235">
      <w:pPr>
        <w:pStyle w:val="a3"/>
        <w:rPr>
          <w:u w:val="single"/>
          <w:lang w:val="pl-PL"/>
        </w:rPr>
      </w:pPr>
      <w:r w:rsidRPr="008F328C">
        <w:rPr>
          <w:rFonts w:eastAsia="Times New Roman"/>
          <w:u w:val="single"/>
          <w:lang w:val="pl-PL"/>
        </w:rPr>
        <w:t>Yuflyma 80 mg roztwór do wstrzykiwań w ampułko-strzykawce</w:t>
      </w:r>
    </w:p>
    <w:p w14:paraId="4931E47C" w14:textId="77777777" w:rsidR="00D22235" w:rsidRPr="008F328C" w:rsidRDefault="00D22235" w:rsidP="00D22235">
      <w:pPr>
        <w:pStyle w:val="a3"/>
        <w:rPr>
          <w:u w:val="single"/>
          <w:lang w:val="pl-PL"/>
        </w:rPr>
      </w:pPr>
    </w:p>
    <w:p w14:paraId="1A173EB1" w14:textId="77777777" w:rsidR="00D22235" w:rsidRPr="008F328C" w:rsidRDefault="00D22235" w:rsidP="00D22235">
      <w:pPr>
        <w:pStyle w:val="a3"/>
        <w:rPr>
          <w:lang w:val="pl-PL"/>
        </w:rPr>
      </w:pPr>
      <w:r w:rsidRPr="008F328C">
        <w:rPr>
          <w:rFonts w:eastAsia="Times New Roman"/>
          <w:lang w:val="pl-PL"/>
        </w:rPr>
        <w:t>Roztwór do wstrzykiwań w ampułko-strzykawce do jednorazowego użytku (szkło typu I) z końcówką tłoka z gumy bromobutylowej i igłą z osłoną (elastomer termoplastyczny).</w:t>
      </w:r>
    </w:p>
    <w:p w14:paraId="08CCD762" w14:textId="77777777" w:rsidR="00D22235" w:rsidRPr="008F328C" w:rsidRDefault="00D22235" w:rsidP="00D22235">
      <w:pPr>
        <w:spacing w:line="240" w:lineRule="exact"/>
        <w:rPr>
          <w:rFonts w:ascii="Times New Roman" w:hAnsi="Times New Roman" w:cs="Times New Roman"/>
          <w:sz w:val="24"/>
          <w:szCs w:val="24"/>
          <w:lang w:val="pl-PL"/>
        </w:rPr>
      </w:pPr>
    </w:p>
    <w:p w14:paraId="356F7E3A" w14:textId="77777777" w:rsidR="00D22235" w:rsidRPr="008F328C" w:rsidRDefault="00D22235" w:rsidP="00D22235">
      <w:pPr>
        <w:pStyle w:val="a3"/>
        <w:rPr>
          <w:lang w:val="pl-PL"/>
        </w:rPr>
      </w:pPr>
      <w:r w:rsidRPr="008F328C">
        <w:rPr>
          <w:rFonts w:eastAsia="Times New Roman"/>
          <w:lang w:val="pl-PL"/>
        </w:rPr>
        <w:t>Opakowania zawierają:</w:t>
      </w:r>
    </w:p>
    <w:p w14:paraId="114A56AF" w14:textId="77777777" w:rsidR="00D22235" w:rsidRPr="008F328C" w:rsidRDefault="00D22235" w:rsidP="00D22235">
      <w:pPr>
        <w:pStyle w:val="a3"/>
        <w:numPr>
          <w:ilvl w:val="0"/>
          <w:numId w:val="16"/>
        </w:numPr>
        <w:ind w:left="660" w:hanging="660"/>
        <w:rPr>
          <w:sz w:val="24"/>
          <w:szCs w:val="24"/>
          <w:lang w:val="pl-PL"/>
        </w:rPr>
      </w:pPr>
      <w:r w:rsidRPr="008F328C">
        <w:rPr>
          <w:rFonts w:eastAsia="Times New Roman"/>
          <w:lang w:val="pl-PL"/>
        </w:rPr>
        <w:t>1 ampułko-strzykawkę (0,8 ml jałowego roztworu) i 2 gaziki nasączone alkoholem.</w:t>
      </w:r>
    </w:p>
    <w:p w14:paraId="6BEC225B" w14:textId="77777777" w:rsidR="00D22235" w:rsidRPr="008F328C" w:rsidRDefault="00D22235" w:rsidP="00D22235">
      <w:pPr>
        <w:pStyle w:val="a3"/>
        <w:numPr>
          <w:ilvl w:val="0"/>
          <w:numId w:val="0"/>
        </w:numPr>
        <w:ind w:left="660"/>
        <w:rPr>
          <w:sz w:val="24"/>
          <w:szCs w:val="24"/>
          <w:lang w:val="pl-PL"/>
        </w:rPr>
      </w:pPr>
    </w:p>
    <w:p w14:paraId="5CEEF265" w14:textId="77777777" w:rsidR="00D22235" w:rsidRPr="008F328C" w:rsidRDefault="00D22235" w:rsidP="00D22235">
      <w:pPr>
        <w:pStyle w:val="a3"/>
        <w:rPr>
          <w:u w:val="single"/>
          <w:lang w:val="pl-PL"/>
        </w:rPr>
      </w:pPr>
      <w:r w:rsidRPr="008F328C">
        <w:rPr>
          <w:rFonts w:eastAsia="Times New Roman"/>
          <w:u w:val="single"/>
          <w:lang w:val="pl-PL"/>
        </w:rPr>
        <w:t>Yuflyma 80 mg roztwór do wstrzykiwań w ampułko-strzykawce z osłoną igły</w:t>
      </w:r>
    </w:p>
    <w:p w14:paraId="55D5F7EA" w14:textId="77777777" w:rsidR="00D22235" w:rsidRPr="008F328C" w:rsidRDefault="00D22235" w:rsidP="00D22235">
      <w:pPr>
        <w:pStyle w:val="a3"/>
        <w:rPr>
          <w:u w:val="single"/>
          <w:lang w:val="pl-PL"/>
        </w:rPr>
      </w:pPr>
    </w:p>
    <w:p w14:paraId="0C94A314" w14:textId="77777777" w:rsidR="00D22235" w:rsidRPr="008F328C" w:rsidRDefault="00D22235" w:rsidP="00D22235">
      <w:pPr>
        <w:pStyle w:val="a3"/>
        <w:rPr>
          <w:lang w:val="pl-PL"/>
        </w:rPr>
      </w:pPr>
      <w:r w:rsidRPr="008F328C">
        <w:rPr>
          <w:rFonts w:eastAsia="Times New Roman"/>
          <w:lang w:val="pl-PL"/>
        </w:rPr>
        <w:t>Strzykawka jest wykonane z szkła typu I z końcówką tłoka z gumy bromobutylowej i igłą z osłoną (elastomer termoplastyczny).</w:t>
      </w:r>
    </w:p>
    <w:p w14:paraId="3D40EC4A" w14:textId="77777777" w:rsidR="00D22235" w:rsidRPr="008F328C" w:rsidRDefault="00D22235" w:rsidP="00D22235">
      <w:pPr>
        <w:spacing w:line="240" w:lineRule="exact"/>
        <w:rPr>
          <w:rFonts w:ascii="Times New Roman" w:hAnsi="Times New Roman" w:cs="Times New Roman"/>
          <w:sz w:val="24"/>
          <w:szCs w:val="24"/>
          <w:lang w:val="pl-PL"/>
        </w:rPr>
      </w:pPr>
    </w:p>
    <w:p w14:paraId="7EB5AB4B" w14:textId="77777777" w:rsidR="00D22235" w:rsidRPr="008F328C" w:rsidRDefault="00D22235" w:rsidP="00D22235">
      <w:pPr>
        <w:pStyle w:val="a3"/>
        <w:rPr>
          <w:lang w:val="pl-PL"/>
        </w:rPr>
      </w:pPr>
      <w:r w:rsidRPr="008F328C">
        <w:rPr>
          <w:rFonts w:eastAsia="Times New Roman"/>
          <w:lang w:val="pl-PL"/>
        </w:rPr>
        <w:t>Opakowania zawierają:</w:t>
      </w:r>
    </w:p>
    <w:p w14:paraId="1A796957" w14:textId="77777777" w:rsidR="00D22235" w:rsidRPr="008F328C" w:rsidRDefault="00D22235" w:rsidP="00D22235">
      <w:pPr>
        <w:pStyle w:val="a3"/>
        <w:numPr>
          <w:ilvl w:val="0"/>
          <w:numId w:val="16"/>
        </w:numPr>
        <w:ind w:left="660" w:hanging="660"/>
        <w:rPr>
          <w:lang w:val="pl-PL"/>
        </w:rPr>
      </w:pPr>
      <w:r w:rsidRPr="008F328C">
        <w:rPr>
          <w:rFonts w:eastAsia="Times New Roman"/>
          <w:lang w:val="pl-PL"/>
        </w:rPr>
        <w:lastRenderedPageBreak/>
        <w:t>1 ampułko-strzykawkę z osłoną (0,8 ml jałowego roztworu) i 2 gaziki nasączone alkoholem.</w:t>
      </w:r>
    </w:p>
    <w:p w14:paraId="3ECAE348" w14:textId="77777777" w:rsidR="00D22235" w:rsidRPr="008F328C" w:rsidRDefault="00D22235" w:rsidP="00D22235">
      <w:pPr>
        <w:pStyle w:val="a3"/>
        <w:rPr>
          <w:rFonts w:eastAsia="Times New Roman"/>
          <w:u w:val="single"/>
          <w:lang w:val="pl-PL"/>
        </w:rPr>
      </w:pPr>
    </w:p>
    <w:p w14:paraId="087E0F3C" w14:textId="77777777" w:rsidR="00D22235" w:rsidRPr="008F328C" w:rsidRDefault="00D22235" w:rsidP="00D22235">
      <w:pPr>
        <w:pStyle w:val="a3"/>
        <w:rPr>
          <w:u w:val="single"/>
          <w:lang w:val="pl-PL"/>
        </w:rPr>
      </w:pPr>
      <w:r w:rsidRPr="008F328C">
        <w:rPr>
          <w:rFonts w:eastAsia="Times New Roman"/>
          <w:u w:val="single"/>
          <w:lang w:val="pl-PL"/>
        </w:rPr>
        <w:t>Yuflyma 80 mg w postaci roztworu do wstrzykiwań we wstrzykiwaczu</w:t>
      </w:r>
    </w:p>
    <w:p w14:paraId="671B2E9C" w14:textId="77777777" w:rsidR="00D22235" w:rsidRPr="008F328C" w:rsidRDefault="00D22235" w:rsidP="00D22235">
      <w:pPr>
        <w:pStyle w:val="a3"/>
        <w:rPr>
          <w:u w:val="single"/>
          <w:lang w:val="pl-PL"/>
        </w:rPr>
      </w:pPr>
    </w:p>
    <w:p w14:paraId="18D81142" w14:textId="77777777" w:rsidR="00D22235" w:rsidRPr="008F328C" w:rsidRDefault="00D22235" w:rsidP="00D22235">
      <w:pPr>
        <w:pStyle w:val="a3"/>
        <w:rPr>
          <w:lang w:val="pl-PL"/>
        </w:rPr>
      </w:pPr>
      <w:r w:rsidRPr="008F328C">
        <w:rPr>
          <w:rFonts w:eastAsia="Times New Roman"/>
          <w:lang w:val="pl-PL"/>
        </w:rPr>
        <w:t>Roztwór do wstrzykiwań we wstrzykiwaczu do stosowania u pacjenta zawierający ampułko-strzykawkę. Strzykawka wewnątrz wstrzykiwacza jest wykonana z szkła typu 1 z końcówką tłoka z gumy bromobutylowej i igły z osłoną (z elastomeru termoplastycznego).</w:t>
      </w:r>
    </w:p>
    <w:p w14:paraId="341ACABF" w14:textId="77777777" w:rsidR="00D22235" w:rsidRPr="008F328C" w:rsidRDefault="00D22235" w:rsidP="00D22235">
      <w:pPr>
        <w:spacing w:line="240" w:lineRule="exact"/>
        <w:rPr>
          <w:rFonts w:ascii="Times New Roman" w:hAnsi="Times New Roman" w:cs="Times New Roman"/>
          <w:sz w:val="24"/>
          <w:szCs w:val="24"/>
          <w:lang w:val="pl-PL"/>
        </w:rPr>
      </w:pPr>
    </w:p>
    <w:p w14:paraId="02E0DCF4" w14:textId="77777777" w:rsidR="00D22235" w:rsidRPr="008F328C" w:rsidRDefault="00D22235" w:rsidP="00D22235">
      <w:pPr>
        <w:pStyle w:val="a3"/>
        <w:rPr>
          <w:lang w:val="pl-PL"/>
        </w:rPr>
      </w:pPr>
      <w:r w:rsidRPr="008F328C">
        <w:rPr>
          <w:rFonts w:eastAsia="Times New Roman"/>
          <w:lang w:val="pl-PL"/>
        </w:rPr>
        <w:t>Opakowania zawierają:</w:t>
      </w:r>
    </w:p>
    <w:p w14:paraId="07892EC5" w14:textId="77777777" w:rsidR="00D22235" w:rsidRPr="008F328C" w:rsidRDefault="00D22235" w:rsidP="00D22235">
      <w:pPr>
        <w:pStyle w:val="a3"/>
        <w:numPr>
          <w:ilvl w:val="1"/>
          <w:numId w:val="16"/>
        </w:numPr>
        <w:ind w:left="660" w:hanging="660"/>
        <w:rPr>
          <w:lang w:val="pl-PL"/>
        </w:rPr>
      </w:pPr>
      <w:r w:rsidRPr="008F328C">
        <w:rPr>
          <w:rFonts w:eastAsia="Times New Roman"/>
          <w:lang w:val="pl-PL"/>
        </w:rPr>
        <w:t>1 półautomatyczny wstrzykiwacz (0,8 ml jałowego roztworu) i 2 gaziki nasączone alkoholem.</w:t>
      </w:r>
    </w:p>
    <w:p w14:paraId="34D402E7" w14:textId="5C9564B2" w:rsidR="00D22235" w:rsidRPr="008F328C" w:rsidRDefault="00D22235" w:rsidP="00D22235">
      <w:pPr>
        <w:pStyle w:val="a3"/>
        <w:numPr>
          <w:ilvl w:val="1"/>
          <w:numId w:val="16"/>
        </w:numPr>
        <w:ind w:left="660" w:hanging="660"/>
        <w:rPr>
          <w:lang w:val="pl-PL"/>
        </w:rPr>
      </w:pPr>
      <w:r w:rsidRPr="008F328C">
        <w:rPr>
          <w:rFonts w:eastAsia="Times New Roman"/>
          <w:lang w:val="pl-PL"/>
        </w:rPr>
        <w:t xml:space="preserve">3 półautomatyczne wstrzykiwacze (0,8 ml jałowego roztworu) </w:t>
      </w:r>
      <w:r w:rsidR="001D0743" w:rsidRPr="008F328C">
        <w:rPr>
          <w:rFonts w:eastAsia="Times New Roman"/>
          <w:lang w:val="pl-PL"/>
        </w:rPr>
        <w:t>i</w:t>
      </w:r>
      <w:r w:rsidR="001D0743" w:rsidRPr="008F328C" w:rsidDel="001D0743">
        <w:rPr>
          <w:lang w:val="pl-PL" w:eastAsia="ko-KR"/>
        </w:rPr>
        <w:t xml:space="preserve"> </w:t>
      </w:r>
      <w:r w:rsidR="001D0743" w:rsidRPr="008F328C">
        <w:rPr>
          <w:rFonts w:eastAsia="Times New Roman"/>
          <w:lang w:val="pl-PL"/>
        </w:rPr>
        <w:t>4</w:t>
      </w:r>
      <w:r w:rsidRPr="008F328C">
        <w:rPr>
          <w:rFonts w:eastAsia="Times New Roman"/>
          <w:lang w:val="pl-PL"/>
        </w:rPr>
        <w:t xml:space="preserve"> gaziki </w:t>
      </w:r>
      <w:r w:rsidR="001D0743" w:rsidRPr="008F328C">
        <w:rPr>
          <w:rFonts w:eastAsia="Times New Roman"/>
          <w:lang w:val="pl-PL"/>
        </w:rPr>
        <w:t xml:space="preserve">nasączone </w:t>
      </w:r>
      <w:r w:rsidRPr="008F328C">
        <w:rPr>
          <w:rFonts w:eastAsia="Times New Roman"/>
          <w:lang w:val="pl-PL"/>
        </w:rPr>
        <w:t>alkoholem.</w:t>
      </w:r>
    </w:p>
    <w:p w14:paraId="44801F64" w14:textId="77777777" w:rsidR="00D22235" w:rsidRPr="008F328C" w:rsidRDefault="00D22235" w:rsidP="00D22235">
      <w:pPr>
        <w:spacing w:before="10" w:line="240" w:lineRule="exact"/>
        <w:rPr>
          <w:rFonts w:ascii="Times New Roman" w:hAnsi="Times New Roman" w:cs="Times New Roman"/>
          <w:sz w:val="24"/>
          <w:szCs w:val="24"/>
          <w:lang w:val="pl-PL"/>
        </w:rPr>
      </w:pPr>
    </w:p>
    <w:p w14:paraId="024114DD" w14:textId="77777777" w:rsidR="00D22235" w:rsidRPr="008F328C" w:rsidRDefault="00D22235" w:rsidP="00D22235">
      <w:pPr>
        <w:pStyle w:val="a3"/>
        <w:rPr>
          <w:lang w:val="pl-PL"/>
        </w:rPr>
      </w:pPr>
      <w:r w:rsidRPr="008F328C">
        <w:rPr>
          <w:rFonts w:eastAsia="Times New Roman"/>
          <w:lang w:val="pl-PL"/>
        </w:rPr>
        <w:t>Nie wszystkie rodzaje i wielkości opakowań muszą znajdować się w obrocie.</w:t>
      </w:r>
    </w:p>
    <w:p w14:paraId="15CA0FB2" w14:textId="77777777" w:rsidR="00D22235" w:rsidRPr="008F328C" w:rsidRDefault="00D22235" w:rsidP="00D22235">
      <w:pPr>
        <w:widowControl/>
        <w:tabs>
          <w:tab w:val="left" w:pos="567"/>
        </w:tabs>
        <w:spacing w:line="260" w:lineRule="exact"/>
        <w:rPr>
          <w:rFonts w:ascii="Times New Roman" w:eastAsia="Times New Roman" w:hAnsi="Times New Roman" w:cs="Times New Roman"/>
          <w:b/>
          <w:lang w:val="pl-PL"/>
        </w:rPr>
      </w:pPr>
    </w:p>
    <w:p w14:paraId="03C8D5FE" w14:textId="77777777" w:rsidR="00D22235" w:rsidRPr="008F328C" w:rsidRDefault="00D22235" w:rsidP="00D22235">
      <w:pPr>
        <w:widowControl/>
        <w:numPr>
          <w:ilvl w:val="1"/>
          <w:numId w:val="11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środki ostrożności dotyczące usuwania</w:t>
      </w:r>
    </w:p>
    <w:p w14:paraId="4AC62FD7" w14:textId="77777777" w:rsidR="00D22235" w:rsidRPr="008F328C" w:rsidRDefault="00D22235" w:rsidP="00D22235">
      <w:pPr>
        <w:spacing w:before="12" w:line="240" w:lineRule="exact"/>
        <w:rPr>
          <w:rFonts w:ascii="Times New Roman" w:hAnsi="Times New Roman" w:cs="Times New Roman"/>
          <w:sz w:val="24"/>
          <w:szCs w:val="24"/>
          <w:lang w:val="pl-PL"/>
        </w:rPr>
      </w:pPr>
    </w:p>
    <w:p w14:paraId="30261848" w14:textId="77777777" w:rsidR="00D22235" w:rsidRPr="008F328C" w:rsidRDefault="00D22235" w:rsidP="00D22235">
      <w:pPr>
        <w:pStyle w:val="a3"/>
        <w:rPr>
          <w:lang w:val="pl-PL"/>
        </w:rPr>
      </w:pPr>
      <w:r w:rsidRPr="008F328C">
        <w:rPr>
          <w:rFonts w:eastAsia="Times New Roman"/>
          <w:lang w:val="pl-PL"/>
        </w:rPr>
        <w:t xml:space="preserve">Wszelkie niewykorzystane resztki produktu leczniczego lub jego odpady należy usunąć zgodnie z lokalnymi przepisami. </w:t>
      </w:r>
    </w:p>
    <w:p w14:paraId="4B20515C" w14:textId="05F781A9" w:rsidR="00D22235" w:rsidRPr="008F328C" w:rsidRDefault="00D22235" w:rsidP="004142DA">
      <w:pPr>
        <w:keepNext/>
        <w:widowControl/>
        <w:tabs>
          <w:tab w:val="left" w:pos="567"/>
        </w:tabs>
        <w:rPr>
          <w:rFonts w:ascii="Times New Roman" w:eastAsia="Times New Roman" w:hAnsi="Times New Roman" w:cs="Times New Roman"/>
          <w:b/>
          <w:szCs w:val="20"/>
          <w:lang w:val="pl-PL" w:eastAsia="pl-PL" w:bidi="pl-PL"/>
        </w:rPr>
      </w:pPr>
    </w:p>
    <w:p w14:paraId="0335D7E3" w14:textId="77777777" w:rsidR="00CC4159" w:rsidRPr="008F328C" w:rsidRDefault="00CC4159" w:rsidP="004142DA">
      <w:pPr>
        <w:keepNext/>
        <w:widowControl/>
        <w:tabs>
          <w:tab w:val="left" w:pos="567"/>
        </w:tabs>
        <w:rPr>
          <w:rFonts w:ascii="Times New Roman" w:eastAsia="Times New Roman" w:hAnsi="Times New Roman" w:cs="Times New Roman"/>
          <w:b/>
          <w:szCs w:val="20"/>
          <w:lang w:val="pl-PL" w:eastAsia="pl-PL" w:bidi="pl-PL"/>
        </w:rPr>
      </w:pPr>
    </w:p>
    <w:p w14:paraId="31DE120F" w14:textId="77777777" w:rsidR="00D22235" w:rsidRPr="008F328C" w:rsidRDefault="00D22235" w:rsidP="00D22235">
      <w:pPr>
        <w:pStyle w:val="a4"/>
        <w:keepNext/>
        <w:widowControl/>
        <w:numPr>
          <w:ilvl w:val="0"/>
          <w:numId w:val="115"/>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PODMIOT ODPOWIEDZIALNY POSIADAJĄCY POZWOLENIE NA DOPUSZCZENIE DO OBROTU</w:t>
      </w:r>
    </w:p>
    <w:p w14:paraId="2F67A8E9" w14:textId="77777777" w:rsidR="00D22235" w:rsidRPr="008F328C" w:rsidRDefault="00D22235" w:rsidP="00D22235">
      <w:pPr>
        <w:spacing w:before="12" w:line="240" w:lineRule="exact"/>
        <w:rPr>
          <w:rFonts w:ascii="Times New Roman" w:hAnsi="Times New Roman" w:cs="Times New Roman"/>
          <w:sz w:val="24"/>
          <w:szCs w:val="24"/>
          <w:lang w:val="pl-PL"/>
        </w:rPr>
      </w:pPr>
    </w:p>
    <w:p w14:paraId="36C7B5DB" w14:textId="77777777" w:rsidR="00D22235" w:rsidRPr="008F328C" w:rsidRDefault="00D22235" w:rsidP="00D22235">
      <w:pPr>
        <w:pStyle w:val="a3"/>
        <w:rPr>
          <w:lang w:val="en-GB"/>
        </w:rPr>
      </w:pPr>
      <w:r w:rsidRPr="008F328C">
        <w:rPr>
          <w:lang w:val="en-GB"/>
        </w:rPr>
        <w:t xml:space="preserve">Celltrion Healthcare Hungary Kft. </w:t>
      </w:r>
    </w:p>
    <w:p w14:paraId="269869C7" w14:textId="77777777" w:rsidR="00D22235" w:rsidRPr="008F328C" w:rsidRDefault="00D22235" w:rsidP="00D22235">
      <w:pPr>
        <w:pStyle w:val="a3"/>
        <w:rPr>
          <w:lang w:val="en-GB"/>
        </w:rPr>
      </w:pPr>
      <w:r w:rsidRPr="008F328C">
        <w:rPr>
          <w:lang w:val="en-GB"/>
        </w:rPr>
        <w:t>1062 Budapest</w:t>
      </w:r>
    </w:p>
    <w:p w14:paraId="401EBB41" w14:textId="77777777" w:rsidR="00D22235" w:rsidRPr="008F328C" w:rsidRDefault="00D22235" w:rsidP="00D22235">
      <w:pPr>
        <w:pStyle w:val="a3"/>
      </w:pPr>
      <w:r w:rsidRPr="008F328C">
        <w:rPr>
          <w:lang w:val="en-GB"/>
        </w:rPr>
        <w:t xml:space="preserve">Váci út 1-3. </w:t>
      </w:r>
      <w:r w:rsidRPr="008F328C">
        <w:t>WestEnd Office Building B torony</w:t>
      </w:r>
    </w:p>
    <w:p w14:paraId="587A127F" w14:textId="0FD37E19" w:rsidR="00D22235" w:rsidRPr="008F328C" w:rsidRDefault="00D22235" w:rsidP="004142DA">
      <w:pPr>
        <w:pStyle w:val="a3"/>
      </w:pPr>
      <w:r w:rsidRPr="008F328C">
        <w:rPr>
          <w:rFonts w:eastAsia="Times New Roman"/>
        </w:rPr>
        <w:t>Węgry</w:t>
      </w:r>
    </w:p>
    <w:p w14:paraId="5E246621" w14:textId="660F3499" w:rsidR="00D22235" w:rsidRPr="008F328C" w:rsidRDefault="00D22235" w:rsidP="00D22235">
      <w:pPr>
        <w:spacing w:line="200" w:lineRule="exact"/>
        <w:rPr>
          <w:rFonts w:ascii="Times New Roman" w:hAnsi="Times New Roman" w:cs="Times New Roman"/>
          <w:sz w:val="20"/>
          <w:szCs w:val="20"/>
        </w:rPr>
      </w:pPr>
    </w:p>
    <w:p w14:paraId="7061BDB3" w14:textId="77777777" w:rsidR="00CC4159" w:rsidRPr="008F328C" w:rsidRDefault="00CC4159" w:rsidP="00D22235">
      <w:pPr>
        <w:spacing w:line="200" w:lineRule="exact"/>
        <w:rPr>
          <w:rFonts w:ascii="Times New Roman" w:hAnsi="Times New Roman" w:cs="Times New Roman"/>
          <w:sz w:val="20"/>
          <w:szCs w:val="20"/>
        </w:rPr>
      </w:pPr>
    </w:p>
    <w:p w14:paraId="356EF195" w14:textId="77777777" w:rsidR="00D22235" w:rsidRPr="008F328C" w:rsidRDefault="00D22235" w:rsidP="00D22235">
      <w:pPr>
        <w:widowControl/>
        <w:numPr>
          <w:ilvl w:val="0"/>
          <w:numId w:val="115"/>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NUMERY POZWOLEŃ NA DOPUSZCZENIE DO OBROTU</w:t>
      </w:r>
    </w:p>
    <w:p w14:paraId="7C36A2B0" w14:textId="77777777" w:rsidR="00D22235" w:rsidRPr="008F328C" w:rsidRDefault="00D22235" w:rsidP="00D22235">
      <w:pPr>
        <w:spacing w:before="9" w:line="240" w:lineRule="exact"/>
        <w:rPr>
          <w:rFonts w:ascii="Times New Roman" w:hAnsi="Times New Roman" w:cs="Times New Roman"/>
          <w:sz w:val="24"/>
          <w:szCs w:val="24"/>
          <w:lang w:val="pl-PL"/>
        </w:rPr>
      </w:pPr>
    </w:p>
    <w:p w14:paraId="570C37AB" w14:textId="77777777" w:rsidR="00D22235" w:rsidRPr="008F328C" w:rsidRDefault="00D22235" w:rsidP="00D22235">
      <w:pPr>
        <w:pStyle w:val="a3"/>
        <w:rPr>
          <w:u w:val="single"/>
          <w:lang w:val="pl-PL"/>
        </w:rPr>
      </w:pPr>
      <w:r w:rsidRPr="008F328C">
        <w:rPr>
          <w:rFonts w:eastAsia="Times New Roman"/>
          <w:u w:val="single" w:color="000000"/>
          <w:lang w:val="pl-PL"/>
        </w:rPr>
        <w:t>Yuflyma 80 mg roztwór do wstrzykiwań w ampułko-strzykawce</w:t>
      </w:r>
    </w:p>
    <w:p w14:paraId="0AC06D2C" w14:textId="77777777" w:rsidR="00D22235" w:rsidRPr="008F328C" w:rsidRDefault="00D22235" w:rsidP="00D22235">
      <w:pPr>
        <w:pStyle w:val="a3"/>
        <w:rPr>
          <w:lang w:val="pl-PL"/>
        </w:rPr>
      </w:pPr>
    </w:p>
    <w:p w14:paraId="1328E07E" w14:textId="77777777" w:rsidR="00D22235" w:rsidRPr="008F328C" w:rsidRDefault="00D22235" w:rsidP="00D22235">
      <w:pPr>
        <w:pStyle w:val="a3"/>
        <w:rPr>
          <w:lang w:val="pl-PL"/>
        </w:rPr>
      </w:pPr>
      <w:r w:rsidRPr="008F328C">
        <w:rPr>
          <w:rFonts w:eastAsia="Times New Roman"/>
          <w:lang w:val="pl-PL"/>
        </w:rPr>
        <w:t>EU/</w:t>
      </w:r>
      <w:r w:rsidRPr="008F328C">
        <w:rPr>
          <w:rFonts w:eastAsia="Times New Roman"/>
          <w:color w:val="000000"/>
          <w:lang w:val="pl-PL"/>
        </w:rPr>
        <w:t>1/20/1513/013</w:t>
      </w:r>
    </w:p>
    <w:p w14:paraId="2238FB65" w14:textId="77777777" w:rsidR="00D22235" w:rsidRPr="008F328C" w:rsidRDefault="00D22235" w:rsidP="00D22235">
      <w:pPr>
        <w:spacing w:before="14" w:line="240" w:lineRule="exact"/>
        <w:rPr>
          <w:rFonts w:ascii="Times New Roman" w:hAnsi="Times New Roman" w:cs="Times New Roman"/>
          <w:sz w:val="24"/>
          <w:szCs w:val="24"/>
          <w:lang w:val="pl-PL"/>
        </w:rPr>
      </w:pPr>
    </w:p>
    <w:p w14:paraId="7F111F50" w14:textId="77777777" w:rsidR="00D22235" w:rsidRPr="008F328C" w:rsidRDefault="00D22235" w:rsidP="00D22235">
      <w:pPr>
        <w:pStyle w:val="a3"/>
        <w:rPr>
          <w:u w:val="single" w:color="000000"/>
          <w:lang w:val="pl-PL"/>
        </w:rPr>
      </w:pPr>
      <w:r w:rsidRPr="008F328C">
        <w:rPr>
          <w:rFonts w:eastAsia="Times New Roman"/>
          <w:u w:val="single" w:color="000000"/>
          <w:lang w:val="pl-PL"/>
        </w:rPr>
        <w:t>Yuflyma 80 mg roztwór do wstrzykiwań w ampułko-strzykawce z osłoną igły</w:t>
      </w:r>
    </w:p>
    <w:p w14:paraId="4EEB4728" w14:textId="77777777" w:rsidR="00D22235" w:rsidRPr="008F328C" w:rsidRDefault="00D22235" w:rsidP="00D22235">
      <w:pPr>
        <w:pStyle w:val="a3"/>
        <w:rPr>
          <w:lang w:val="pl-PL"/>
        </w:rPr>
      </w:pPr>
    </w:p>
    <w:p w14:paraId="3315B68E" w14:textId="77777777" w:rsidR="00D22235" w:rsidRPr="008F328C" w:rsidRDefault="00D22235" w:rsidP="00D22235">
      <w:pPr>
        <w:pStyle w:val="a3"/>
        <w:rPr>
          <w:lang w:val="pl-PL"/>
        </w:rPr>
      </w:pPr>
      <w:r w:rsidRPr="008F328C">
        <w:rPr>
          <w:rFonts w:eastAsia="Times New Roman"/>
          <w:color w:val="000000"/>
          <w:lang w:val="pl-PL"/>
        </w:rPr>
        <w:t>EU/1/20/1513</w:t>
      </w:r>
      <w:r w:rsidRPr="008F328C">
        <w:rPr>
          <w:rFonts w:eastAsia="Times New Roman"/>
          <w:lang w:val="pl-PL"/>
        </w:rPr>
        <w:t>/014</w:t>
      </w:r>
    </w:p>
    <w:p w14:paraId="63092413" w14:textId="77777777" w:rsidR="00D22235" w:rsidRPr="008F328C" w:rsidRDefault="00D22235" w:rsidP="00D22235">
      <w:pPr>
        <w:spacing w:before="14" w:line="240" w:lineRule="exact"/>
        <w:rPr>
          <w:rFonts w:ascii="Times New Roman" w:hAnsi="Times New Roman" w:cs="Times New Roman"/>
          <w:sz w:val="24"/>
          <w:szCs w:val="24"/>
          <w:lang w:val="pl-PL"/>
        </w:rPr>
      </w:pPr>
    </w:p>
    <w:p w14:paraId="70B9D979" w14:textId="77777777" w:rsidR="00D22235" w:rsidRPr="008F328C" w:rsidRDefault="00D22235" w:rsidP="00D22235">
      <w:pPr>
        <w:pStyle w:val="a3"/>
        <w:rPr>
          <w:u w:val="single"/>
          <w:lang w:val="pl-PL"/>
        </w:rPr>
      </w:pPr>
      <w:r w:rsidRPr="008F328C">
        <w:rPr>
          <w:rFonts w:eastAsia="Times New Roman"/>
          <w:u w:val="single" w:color="000000"/>
          <w:lang w:val="pl-PL"/>
        </w:rPr>
        <w:t>Yuflyma 80 mg w postaci roztworu do wstrzykiwań we wstrzykiwaczu</w:t>
      </w:r>
    </w:p>
    <w:p w14:paraId="24D8D85E" w14:textId="77777777" w:rsidR="00D22235" w:rsidRPr="008F328C" w:rsidRDefault="00D22235" w:rsidP="00D22235">
      <w:pPr>
        <w:pStyle w:val="a3"/>
        <w:rPr>
          <w:lang w:val="pl-PL"/>
        </w:rPr>
      </w:pPr>
    </w:p>
    <w:p w14:paraId="2DF146B9" w14:textId="77777777" w:rsidR="00D22235" w:rsidRPr="008F328C" w:rsidRDefault="00D22235" w:rsidP="00D22235">
      <w:pPr>
        <w:pStyle w:val="a3"/>
        <w:rPr>
          <w:lang w:val="pl-PL"/>
        </w:rPr>
      </w:pPr>
      <w:r w:rsidRPr="008F328C">
        <w:rPr>
          <w:rFonts w:eastAsia="Times New Roman"/>
          <w:color w:val="000000"/>
          <w:lang w:val="pl-PL"/>
        </w:rPr>
        <w:t>EU/1/20/1513</w:t>
      </w:r>
      <w:r w:rsidRPr="008F328C">
        <w:rPr>
          <w:rFonts w:eastAsia="Times New Roman"/>
          <w:lang w:val="pl-PL"/>
        </w:rPr>
        <w:t>/015</w:t>
      </w:r>
    </w:p>
    <w:p w14:paraId="1C32E001" w14:textId="77777777" w:rsidR="00D22235" w:rsidRPr="008F328C" w:rsidRDefault="00D22235" w:rsidP="00D22235">
      <w:pPr>
        <w:pStyle w:val="a3"/>
        <w:rPr>
          <w:lang w:val="pl-PL"/>
        </w:rPr>
      </w:pPr>
      <w:r w:rsidRPr="008F328C">
        <w:rPr>
          <w:rFonts w:eastAsia="Times New Roman"/>
          <w:color w:val="000000"/>
          <w:lang w:val="pl-PL"/>
        </w:rPr>
        <w:t>EU/1/20/1513/</w:t>
      </w:r>
      <w:r w:rsidRPr="008F328C">
        <w:rPr>
          <w:rFonts w:eastAsia="Times New Roman"/>
          <w:lang w:val="pl-PL"/>
        </w:rPr>
        <w:t>016</w:t>
      </w:r>
    </w:p>
    <w:p w14:paraId="2E4DD184" w14:textId="070D33B2" w:rsidR="00D22235" w:rsidRPr="008F328C" w:rsidRDefault="00D22235" w:rsidP="00D22235">
      <w:pPr>
        <w:spacing w:line="200" w:lineRule="exact"/>
        <w:rPr>
          <w:rFonts w:ascii="Times New Roman" w:hAnsi="Times New Roman" w:cs="Times New Roman"/>
          <w:sz w:val="20"/>
          <w:szCs w:val="20"/>
          <w:lang w:val="pl-PL"/>
        </w:rPr>
      </w:pPr>
    </w:p>
    <w:p w14:paraId="2084E93D" w14:textId="77777777" w:rsidR="00CC4159" w:rsidRPr="008F328C" w:rsidRDefault="00CC4159" w:rsidP="00D22235">
      <w:pPr>
        <w:spacing w:line="200" w:lineRule="exact"/>
        <w:rPr>
          <w:rFonts w:ascii="Times New Roman" w:hAnsi="Times New Roman" w:cs="Times New Roman"/>
          <w:sz w:val="20"/>
          <w:szCs w:val="20"/>
          <w:lang w:val="pl-PL"/>
        </w:rPr>
      </w:pPr>
    </w:p>
    <w:p w14:paraId="7A6B7769" w14:textId="77777777" w:rsidR="00D22235" w:rsidRPr="008F328C" w:rsidRDefault="00D22235" w:rsidP="00D22235">
      <w:pPr>
        <w:pStyle w:val="a4"/>
        <w:keepNext/>
        <w:widowControl/>
        <w:numPr>
          <w:ilvl w:val="0"/>
          <w:numId w:val="115"/>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DATA WYDANIA PIERWSZEGO POZWOLENIA NA DOPUSZCZENIE DO OBROTU I DATA PRZEDŁUŻENIA POZWOLENIA</w:t>
      </w:r>
    </w:p>
    <w:p w14:paraId="07D0FBC5" w14:textId="77777777" w:rsidR="00D22235" w:rsidRPr="008F328C" w:rsidRDefault="00D22235" w:rsidP="00D22235">
      <w:pPr>
        <w:widowControl/>
        <w:tabs>
          <w:tab w:val="left" w:pos="567"/>
        </w:tabs>
        <w:spacing w:line="260" w:lineRule="exact"/>
        <w:rPr>
          <w:rFonts w:ascii="Times New Roman" w:eastAsia="Times New Roman" w:hAnsi="Times New Roman" w:cs="Times New Roman"/>
          <w:b/>
          <w:lang w:val="pl-PL"/>
        </w:rPr>
      </w:pPr>
    </w:p>
    <w:p w14:paraId="77577B85" w14:textId="77777777" w:rsidR="00D22235" w:rsidRPr="008F328C" w:rsidRDefault="00D22235" w:rsidP="00D22235">
      <w:pPr>
        <w:widowControl/>
        <w:tabs>
          <w:tab w:val="left" w:pos="567"/>
        </w:tabs>
        <w:spacing w:line="260" w:lineRule="exact"/>
        <w:rPr>
          <w:rFonts w:ascii="Times New Roman" w:eastAsia="Times New Roman" w:hAnsi="Times New Roman" w:cs="Times New Roman"/>
          <w:bCs/>
          <w:lang w:val="pl-PL"/>
        </w:rPr>
      </w:pPr>
      <w:r w:rsidRPr="008F328C">
        <w:rPr>
          <w:rFonts w:ascii="Times New Roman" w:eastAsia="Times New Roman" w:hAnsi="Times New Roman" w:cs="Times New Roman"/>
          <w:bCs/>
          <w:lang w:val="pl-PL"/>
        </w:rPr>
        <w:t>Data wydania pierwszego pozwolenia na dopuszczenie do obrotu: 11 lutego 2021</w:t>
      </w:r>
    </w:p>
    <w:p w14:paraId="67FDE83B" w14:textId="0642E80C" w:rsidR="00D22235" w:rsidRPr="008F328C" w:rsidRDefault="00D22235" w:rsidP="00D22235">
      <w:pPr>
        <w:widowControl/>
        <w:tabs>
          <w:tab w:val="left" w:pos="567"/>
        </w:tabs>
        <w:spacing w:line="260" w:lineRule="exact"/>
        <w:rPr>
          <w:rFonts w:ascii="Times New Roman" w:eastAsia="Times New Roman" w:hAnsi="Times New Roman" w:cs="Times New Roman"/>
          <w:b/>
          <w:lang w:val="pl-PL"/>
        </w:rPr>
      </w:pPr>
    </w:p>
    <w:p w14:paraId="4FCCC85C" w14:textId="77777777" w:rsidR="00CC4159" w:rsidRPr="008F328C" w:rsidRDefault="00CC4159" w:rsidP="00D22235">
      <w:pPr>
        <w:widowControl/>
        <w:tabs>
          <w:tab w:val="left" w:pos="567"/>
        </w:tabs>
        <w:spacing w:line="260" w:lineRule="exact"/>
        <w:rPr>
          <w:rFonts w:ascii="Times New Roman" w:eastAsia="Times New Roman" w:hAnsi="Times New Roman" w:cs="Times New Roman"/>
          <w:b/>
          <w:lang w:val="pl-PL"/>
        </w:rPr>
      </w:pPr>
    </w:p>
    <w:p w14:paraId="12C3105B" w14:textId="77777777" w:rsidR="00D22235" w:rsidRPr="008F328C" w:rsidRDefault="00D22235" w:rsidP="00D22235">
      <w:pPr>
        <w:pStyle w:val="a4"/>
        <w:keepNext/>
        <w:widowControl/>
        <w:numPr>
          <w:ilvl w:val="0"/>
          <w:numId w:val="115"/>
        </w:numPr>
        <w:tabs>
          <w:tab w:val="left" w:pos="567"/>
        </w:tabs>
        <w:ind w:left="540" w:hanging="540"/>
        <w:rPr>
          <w:rFonts w:ascii="Times New Roman" w:eastAsia="Times New Roman" w:hAnsi="Times New Roman" w:cs="Times New Roman"/>
          <w:b/>
          <w:szCs w:val="20"/>
          <w:lang w:val="pl-PL" w:eastAsia="pl-PL" w:bidi="pl-PL"/>
        </w:rPr>
      </w:pPr>
      <w:r w:rsidRPr="008F328C">
        <w:rPr>
          <w:rFonts w:ascii="Times New Roman" w:eastAsia="Times New Roman" w:hAnsi="Times New Roman" w:cs="Times New Roman"/>
          <w:b/>
          <w:szCs w:val="20"/>
          <w:lang w:val="pl-PL" w:eastAsia="pl-PL" w:bidi="pl-PL"/>
        </w:rPr>
        <w:t>DATA ZATWIERDZENIA LUB CZĘŚCIOWEJ ZMIANY TEKSTU CHARAKTERYSTYKI PRODUKTU LECZNICZEGO</w:t>
      </w:r>
    </w:p>
    <w:p w14:paraId="60571C44" w14:textId="77777777" w:rsidR="00D22235" w:rsidRPr="008F328C" w:rsidRDefault="00D22235" w:rsidP="00D22235">
      <w:pPr>
        <w:spacing w:before="12" w:line="240" w:lineRule="exact"/>
        <w:rPr>
          <w:rFonts w:ascii="Times New Roman" w:hAnsi="Times New Roman" w:cs="Times New Roman"/>
          <w:sz w:val="24"/>
          <w:szCs w:val="24"/>
          <w:lang w:val="pl-PL"/>
        </w:rPr>
      </w:pPr>
    </w:p>
    <w:p w14:paraId="08E4592A" w14:textId="77777777" w:rsidR="00D22235" w:rsidRPr="008F328C" w:rsidRDefault="00D22235" w:rsidP="00D22235">
      <w:pPr>
        <w:pStyle w:val="a3"/>
        <w:rPr>
          <w:lang w:val="pl-PL"/>
        </w:rPr>
      </w:pPr>
      <w:r w:rsidRPr="008F328C">
        <w:rPr>
          <w:rFonts w:eastAsia="Times New Roman"/>
          <w:lang w:val="pl-PL"/>
        </w:rPr>
        <w:lastRenderedPageBreak/>
        <w:t>Szczegółowe informacje o tym produkcie leczniczym są dostępne na stronie internetowej Europejskiej Agencji Leków</w:t>
      </w:r>
      <w:hyperlink r:id="rId25" w:history="1">
        <w:r w:rsidRPr="008F328C">
          <w:rPr>
            <w:rFonts w:eastAsia="Times New Roman"/>
            <w:color w:val="0000FF"/>
            <w:u w:val="single"/>
            <w:lang w:val="pl-PL"/>
          </w:rPr>
          <w:t xml:space="preserve"> http://www.ema.europa.eu</w:t>
        </w:r>
      </w:hyperlink>
    </w:p>
    <w:p w14:paraId="3B3D486C" w14:textId="77777777" w:rsidR="00D22235" w:rsidRPr="008F328C" w:rsidRDefault="00D22235" w:rsidP="00D22235">
      <w:pPr>
        <w:rPr>
          <w:rFonts w:ascii="Times New Roman" w:hAnsi="Times New Roman" w:cs="Times New Roman"/>
          <w:lang w:val="pl-PL"/>
        </w:rPr>
      </w:pPr>
      <w:r w:rsidRPr="008F328C">
        <w:rPr>
          <w:rFonts w:ascii="Times New Roman" w:hAnsi="Times New Roman" w:cs="Times New Roman"/>
          <w:lang w:val="pl-PL"/>
        </w:rPr>
        <w:br w:type="page"/>
      </w:r>
    </w:p>
    <w:p w14:paraId="71420967" w14:textId="77777777" w:rsidR="00C27F39" w:rsidRPr="008F328C" w:rsidRDefault="00C27F39" w:rsidP="00C27F39">
      <w:pPr>
        <w:rPr>
          <w:rFonts w:ascii="Times New Roman" w:eastAsia="맑은 고딕" w:hAnsi="Times New Roman" w:cs="Times New Roman"/>
          <w:lang w:val="pl-PL" w:eastAsia="ko-KR"/>
        </w:rPr>
      </w:pPr>
      <w:r w:rsidRPr="008F328C">
        <w:rPr>
          <w:rFonts w:ascii="Times New Roman" w:hAnsi="Times New Roman" w:cs="Times New Roman"/>
          <w:noProof/>
          <w:lang w:eastAsia="ko-KR"/>
        </w:rPr>
        <w:lastRenderedPageBreak/>
        <w:drawing>
          <wp:inline distT="0" distB="0" distL="0" distR="0" wp14:anchorId="31365B8B" wp14:editId="0D62A835">
            <wp:extent cx="203200" cy="169545"/>
            <wp:effectExtent l="0" t="0" r="6350" b="1905"/>
            <wp:docPr id="3967" name="그림 396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Osoby należące do fachowego personelu medycznego powinny zgłaszać wszelkie podejrzewane działania niepożądane. Aby dowiedzieć się, jak zgłaszać działania niepożądane – patrz punkt 4.8.</w:t>
      </w:r>
    </w:p>
    <w:p w14:paraId="0D6F9DFF" w14:textId="77777777" w:rsidR="00C27F39" w:rsidRPr="008F328C" w:rsidRDefault="00C27F39" w:rsidP="00C27F39">
      <w:pPr>
        <w:widowControl/>
        <w:tabs>
          <w:tab w:val="left" w:pos="567"/>
        </w:tabs>
        <w:rPr>
          <w:rFonts w:ascii="Times New Roman" w:eastAsia="Times New Roman" w:hAnsi="Times New Roman" w:cs="Times New Roman"/>
          <w:lang w:val="pl-PL"/>
        </w:rPr>
      </w:pPr>
    </w:p>
    <w:p w14:paraId="0E0CF091" w14:textId="77777777" w:rsidR="00C27F39" w:rsidRPr="008F328C" w:rsidRDefault="00C27F39" w:rsidP="008F328C">
      <w:pPr>
        <w:widowControl/>
        <w:numPr>
          <w:ilvl w:val="0"/>
          <w:numId w:val="136"/>
        </w:numPr>
        <w:tabs>
          <w:tab w:val="left" w:pos="567"/>
        </w:tabs>
        <w:spacing w:line="260" w:lineRule="exact"/>
        <w:ind w:left="0" w:firstLine="0"/>
        <w:rPr>
          <w:rFonts w:ascii="Times New Roman" w:hAnsi="Times New Roman" w:cs="Times New Roman"/>
          <w:lang w:val="pl-PL"/>
        </w:rPr>
      </w:pPr>
      <w:r w:rsidRPr="008F328C">
        <w:rPr>
          <w:rFonts w:ascii="Times New Roman" w:eastAsia="Times New Roman" w:hAnsi="Times New Roman" w:cs="Times New Roman"/>
          <w:b/>
          <w:bCs/>
          <w:lang w:val="pl-PL"/>
        </w:rPr>
        <w:t>NAZWA PRODUKTU LECZNICZEGO</w:t>
      </w:r>
    </w:p>
    <w:p w14:paraId="2175B59B" w14:textId="77777777" w:rsidR="00C27F39" w:rsidRPr="008F328C" w:rsidRDefault="00C27F39" w:rsidP="00C27F39">
      <w:pPr>
        <w:spacing w:line="240" w:lineRule="exact"/>
        <w:rPr>
          <w:rFonts w:ascii="Times New Roman" w:hAnsi="Times New Roman" w:cs="Times New Roman"/>
          <w:lang w:val="pl-PL"/>
        </w:rPr>
      </w:pPr>
    </w:p>
    <w:p w14:paraId="3BC4C75D" w14:textId="35DA4746" w:rsidR="00C27F39" w:rsidRPr="008F328C" w:rsidRDefault="00C27F39" w:rsidP="00C27F39">
      <w:pPr>
        <w:widowControl/>
        <w:tabs>
          <w:tab w:val="left" w:pos="567"/>
        </w:tabs>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Yuflyma </w:t>
      </w:r>
      <w:r w:rsidR="00ED6A7B" w:rsidRPr="008F328C">
        <w:rPr>
          <w:rFonts w:ascii="Times New Roman" w:eastAsia="Times New Roman" w:hAnsi="Times New Roman" w:cs="Times New Roman"/>
          <w:lang w:val="pl-PL"/>
        </w:rPr>
        <w:t>20</w:t>
      </w:r>
      <w:r w:rsidRPr="008F328C">
        <w:rPr>
          <w:rFonts w:ascii="Times New Roman" w:eastAsia="Times New Roman" w:hAnsi="Times New Roman" w:cs="Times New Roman"/>
          <w:lang w:val="pl-PL"/>
        </w:rPr>
        <w:t> mg w postaci roztworu do wstrzykiwań w ampułko-strzykawce</w:t>
      </w:r>
    </w:p>
    <w:p w14:paraId="0720FC47" w14:textId="77777777" w:rsidR="00C27F39" w:rsidRPr="008F328C" w:rsidRDefault="00C27F39" w:rsidP="00C27F39">
      <w:pPr>
        <w:widowControl/>
        <w:tabs>
          <w:tab w:val="left" w:pos="567"/>
        </w:tabs>
        <w:rPr>
          <w:rFonts w:ascii="Times New Roman" w:eastAsia="Times New Roman" w:hAnsi="Times New Roman" w:cs="Times New Roman"/>
          <w:lang w:val="pl-PL"/>
        </w:rPr>
      </w:pPr>
    </w:p>
    <w:p w14:paraId="21EDD0D4"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3B711A66" w14:textId="77777777" w:rsidR="00C27F39" w:rsidRPr="008F328C" w:rsidRDefault="00C27F39" w:rsidP="008F328C">
      <w:pPr>
        <w:widowControl/>
        <w:numPr>
          <w:ilvl w:val="0"/>
          <w:numId w:val="136"/>
        </w:numPr>
        <w:tabs>
          <w:tab w:val="left" w:pos="567"/>
        </w:tabs>
        <w:spacing w:line="260" w:lineRule="exact"/>
        <w:ind w:left="0" w:firstLine="0"/>
        <w:rPr>
          <w:rFonts w:ascii="Times New Roman" w:hAnsi="Times New Roman" w:cs="Times New Roman"/>
          <w:b/>
          <w:bCs/>
          <w:spacing w:val="-1"/>
          <w:lang w:val="pl-PL"/>
        </w:rPr>
      </w:pPr>
      <w:r w:rsidRPr="008F328C">
        <w:rPr>
          <w:rFonts w:ascii="Times New Roman" w:eastAsia="Times New Roman" w:hAnsi="Times New Roman" w:cs="Times New Roman"/>
          <w:b/>
          <w:bCs/>
          <w:lang w:val="pl-PL"/>
        </w:rPr>
        <w:t>SKŁAD JAKOŚCIOWY I ILOŚCIOWY</w:t>
      </w:r>
    </w:p>
    <w:p w14:paraId="7D0E9C88" w14:textId="77777777" w:rsidR="00C27F39" w:rsidRPr="008F328C" w:rsidRDefault="00C27F39" w:rsidP="00C27F39">
      <w:pPr>
        <w:widowControl/>
        <w:tabs>
          <w:tab w:val="left" w:pos="567"/>
        </w:tabs>
        <w:rPr>
          <w:rFonts w:ascii="Times New Roman" w:eastAsia="Times New Roman" w:hAnsi="Times New Roman" w:cs="Times New Roman"/>
          <w:u w:val="single"/>
          <w:lang w:val="pl-PL"/>
        </w:rPr>
      </w:pPr>
    </w:p>
    <w:p w14:paraId="349819AC" w14:textId="7E0A6B0E" w:rsidR="00C27F39" w:rsidRPr="008F328C" w:rsidRDefault="00C27F39" w:rsidP="00C27F39">
      <w:pPr>
        <w:widowControl/>
        <w:tabs>
          <w:tab w:val="left" w:pos="567"/>
        </w:tabs>
        <w:rPr>
          <w:rFonts w:ascii="Times New Roman" w:eastAsia="Times New Roman" w:hAnsi="Times New Roman" w:cs="Times New Roman"/>
          <w:u w:val="single"/>
          <w:lang w:val="pl-PL"/>
        </w:rPr>
      </w:pPr>
      <w:r w:rsidRPr="008F328C">
        <w:rPr>
          <w:rFonts w:ascii="Times New Roman" w:eastAsia="Times New Roman" w:hAnsi="Times New Roman" w:cs="Times New Roman"/>
          <w:u w:val="single"/>
          <w:lang w:val="pl-PL"/>
        </w:rPr>
        <w:t xml:space="preserve">Yuflyma </w:t>
      </w:r>
      <w:r w:rsidR="00ED6A7B" w:rsidRPr="008F328C">
        <w:rPr>
          <w:rFonts w:ascii="Times New Roman" w:eastAsia="Times New Roman" w:hAnsi="Times New Roman" w:cs="Times New Roman"/>
          <w:u w:val="single"/>
          <w:lang w:val="pl-PL"/>
        </w:rPr>
        <w:t>20</w:t>
      </w:r>
      <w:r w:rsidRPr="008F328C">
        <w:rPr>
          <w:rFonts w:ascii="Times New Roman" w:eastAsia="Times New Roman" w:hAnsi="Times New Roman" w:cs="Times New Roman"/>
          <w:u w:val="single"/>
          <w:lang w:val="pl-PL"/>
        </w:rPr>
        <w:t> mg w postaci roztworu do wstrzykiwań w ampułko-strzykawce</w:t>
      </w:r>
    </w:p>
    <w:p w14:paraId="4A1DB686"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p>
    <w:p w14:paraId="70F000C1" w14:textId="39A09178" w:rsidR="00C27F39" w:rsidRPr="008F328C" w:rsidRDefault="00C27F39" w:rsidP="00C27F39">
      <w:pPr>
        <w:widowControl/>
        <w:tabs>
          <w:tab w:val="left" w:pos="567"/>
        </w:tabs>
        <w:adjustRightInd w:val="0"/>
        <w:rPr>
          <w:rFonts w:ascii="Times New Roman" w:hAnsi="Times New Roman" w:cs="Times New Roman"/>
          <w:lang w:val="pl-PL"/>
        </w:rPr>
      </w:pPr>
      <w:r w:rsidRPr="008F328C">
        <w:rPr>
          <w:rFonts w:ascii="Times New Roman" w:eastAsia="Times New Roman" w:hAnsi="Times New Roman" w:cs="Times New Roman"/>
          <w:lang w:val="pl-PL"/>
        </w:rPr>
        <w:t>Każda ampułko-s</w:t>
      </w:r>
      <w:r w:rsidR="00ED6A7B" w:rsidRPr="008F328C">
        <w:rPr>
          <w:rFonts w:ascii="Times New Roman" w:eastAsia="Times New Roman" w:hAnsi="Times New Roman" w:cs="Times New Roman"/>
          <w:lang w:val="pl-PL"/>
        </w:rPr>
        <w:t>trzykawka z pojedynczą dawką 0,2</w:t>
      </w:r>
      <w:r w:rsidRPr="008F328C">
        <w:rPr>
          <w:rFonts w:ascii="Times New Roman" w:eastAsia="Times New Roman" w:hAnsi="Times New Roman" w:cs="Times New Roman"/>
          <w:lang w:val="pl-PL"/>
        </w:rPr>
        <w:t xml:space="preserve"> ml zawiera </w:t>
      </w:r>
      <w:r w:rsidR="00ED6A7B" w:rsidRPr="008F328C">
        <w:rPr>
          <w:rFonts w:ascii="Times New Roman" w:eastAsia="Times New Roman" w:hAnsi="Times New Roman" w:cs="Times New Roman"/>
          <w:lang w:val="pl-PL"/>
        </w:rPr>
        <w:t>20</w:t>
      </w:r>
      <w:r w:rsidRPr="008F328C">
        <w:rPr>
          <w:rFonts w:ascii="Times New Roman" w:eastAsia="Times New Roman" w:hAnsi="Times New Roman" w:cs="Times New Roman"/>
          <w:lang w:val="pl-PL"/>
        </w:rPr>
        <w:t> mg adalimumabu.</w:t>
      </w:r>
    </w:p>
    <w:p w14:paraId="4259D04B" w14:textId="77777777" w:rsidR="00C27F39" w:rsidRPr="008F328C" w:rsidRDefault="00C27F39" w:rsidP="00C27F39">
      <w:pPr>
        <w:spacing w:line="240" w:lineRule="exact"/>
        <w:rPr>
          <w:rFonts w:ascii="Times New Roman" w:hAnsi="Times New Roman" w:cs="Times New Roman"/>
          <w:lang w:val="pl-PL"/>
        </w:rPr>
      </w:pPr>
    </w:p>
    <w:p w14:paraId="4570505A"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Adalimumab jest rekombinowanym, ludzkim przeciwciałem monoklonalnym produkowanym w komórkach jajnika chomika chińskiego.</w:t>
      </w:r>
    </w:p>
    <w:p w14:paraId="00C7754D"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p>
    <w:p w14:paraId="7EEBADF6"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Pełny wykaz substancji pomocniczych, patrz punkt 6.1.</w:t>
      </w:r>
    </w:p>
    <w:p w14:paraId="327DAFE7" w14:textId="77777777" w:rsidR="00C27F39" w:rsidRPr="008F328C" w:rsidRDefault="00C27F39" w:rsidP="00C27F39">
      <w:pPr>
        <w:spacing w:line="260" w:lineRule="exact"/>
        <w:rPr>
          <w:rFonts w:ascii="Times New Roman" w:hAnsi="Times New Roman" w:cs="Times New Roman"/>
          <w:lang w:val="pl-PL"/>
        </w:rPr>
      </w:pPr>
    </w:p>
    <w:p w14:paraId="1AD207C3" w14:textId="77777777" w:rsidR="00C27F39" w:rsidRPr="008F328C" w:rsidRDefault="00C27F39" w:rsidP="00C27F39">
      <w:pPr>
        <w:spacing w:line="260" w:lineRule="exact"/>
        <w:rPr>
          <w:rFonts w:ascii="Times New Roman" w:hAnsi="Times New Roman" w:cs="Times New Roman"/>
          <w:lang w:val="pl-PL"/>
        </w:rPr>
      </w:pPr>
    </w:p>
    <w:p w14:paraId="06808B53" w14:textId="77777777" w:rsidR="00C27F39" w:rsidRPr="008F328C" w:rsidRDefault="00C27F39" w:rsidP="008F328C">
      <w:pPr>
        <w:widowControl/>
        <w:numPr>
          <w:ilvl w:val="0"/>
          <w:numId w:val="136"/>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POSTAĆ FARMACEUTYCZNA</w:t>
      </w:r>
    </w:p>
    <w:p w14:paraId="0C6DAD92" w14:textId="77777777" w:rsidR="00C27F39" w:rsidRPr="008F328C" w:rsidRDefault="00C27F39" w:rsidP="00C27F39">
      <w:pPr>
        <w:spacing w:line="240" w:lineRule="exact"/>
        <w:rPr>
          <w:rFonts w:ascii="Times New Roman" w:hAnsi="Times New Roman" w:cs="Times New Roman"/>
          <w:lang w:val="pl-PL"/>
        </w:rPr>
      </w:pPr>
    </w:p>
    <w:p w14:paraId="66A87947"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Roztwór do wstrzykiwań (wstrzyknięcie)</w:t>
      </w:r>
    </w:p>
    <w:p w14:paraId="68417E52"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p>
    <w:p w14:paraId="3397EE5A" w14:textId="77777777" w:rsidR="00C27F39" w:rsidRPr="008F328C" w:rsidRDefault="00C27F39" w:rsidP="00C27F39">
      <w:pPr>
        <w:widowControl/>
        <w:tabs>
          <w:tab w:val="left" w:pos="567"/>
        </w:tabs>
        <w:adjustRightInd w:val="0"/>
        <w:rPr>
          <w:rFonts w:ascii="Times New Roman" w:eastAsia="Times New Roman" w:hAnsi="Times New Roman" w:cs="Times New Roman"/>
          <w:lang w:val="pl-PL"/>
        </w:rPr>
      </w:pPr>
      <w:r w:rsidRPr="008F328C">
        <w:rPr>
          <w:rFonts w:ascii="Times New Roman" w:eastAsia="Times New Roman" w:hAnsi="Times New Roman" w:cs="Times New Roman"/>
          <w:lang w:val="pl-PL"/>
        </w:rPr>
        <w:t>Roztwór ma postać lekko opalizującego, bezbarwnego do jasnobrązowego płynu.</w:t>
      </w:r>
    </w:p>
    <w:p w14:paraId="669FAF03" w14:textId="77777777" w:rsidR="00C27F39" w:rsidRPr="008F328C" w:rsidRDefault="00C27F39" w:rsidP="00C27F39">
      <w:pPr>
        <w:spacing w:line="260" w:lineRule="exact"/>
        <w:rPr>
          <w:rFonts w:ascii="Times New Roman" w:hAnsi="Times New Roman" w:cs="Times New Roman"/>
          <w:lang w:val="pl-PL"/>
        </w:rPr>
      </w:pPr>
    </w:p>
    <w:p w14:paraId="1709E866" w14:textId="77777777" w:rsidR="00C27F39" w:rsidRPr="008F328C" w:rsidRDefault="00C27F39" w:rsidP="00C27F39">
      <w:pPr>
        <w:spacing w:line="260" w:lineRule="exact"/>
        <w:rPr>
          <w:rFonts w:ascii="Times New Roman" w:hAnsi="Times New Roman" w:cs="Times New Roman"/>
          <w:lang w:val="pl-PL"/>
        </w:rPr>
      </w:pPr>
    </w:p>
    <w:p w14:paraId="72255084" w14:textId="77777777" w:rsidR="00C27F39" w:rsidRPr="008F328C" w:rsidRDefault="00C27F39" w:rsidP="008F328C">
      <w:pPr>
        <w:widowControl/>
        <w:numPr>
          <w:ilvl w:val="0"/>
          <w:numId w:val="136"/>
        </w:numPr>
        <w:tabs>
          <w:tab w:val="left" w:pos="567"/>
        </w:tabs>
        <w:spacing w:line="260" w:lineRule="exact"/>
        <w:ind w:left="0" w:firstLine="0"/>
        <w:rPr>
          <w:rFonts w:ascii="Times New Roman" w:hAnsi="Times New Roman" w:cs="Times New Roman"/>
          <w:b/>
          <w:spacing w:val="-1"/>
          <w:lang w:val="pl-PL"/>
        </w:rPr>
      </w:pPr>
      <w:r w:rsidRPr="008F328C">
        <w:rPr>
          <w:rFonts w:ascii="Times New Roman" w:eastAsia="Times New Roman" w:hAnsi="Times New Roman" w:cs="Times New Roman"/>
          <w:b/>
          <w:bCs/>
          <w:lang w:val="pl-PL"/>
        </w:rPr>
        <w:t>SZCZEGÓŁOWE DANE KLINICZNE</w:t>
      </w:r>
    </w:p>
    <w:p w14:paraId="1C8ED263" w14:textId="77777777" w:rsidR="00C27F39" w:rsidRPr="008F328C" w:rsidRDefault="00C27F39" w:rsidP="00C27F39">
      <w:pPr>
        <w:pStyle w:val="a4"/>
        <w:tabs>
          <w:tab w:val="left" w:pos="672"/>
        </w:tabs>
        <w:rPr>
          <w:rFonts w:ascii="Times New Roman" w:eastAsia="Times New Roman" w:hAnsi="Times New Roman" w:cs="Times New Roman"/>
          <w:b/>
          <w:lang w:val="pl-PL"/>
        </w:rPr>
      </w:pPr>
    </w:p>
    <w:p w14:paraId="2E29F250"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lang w:val="pl-PL"/>
        </w:rPr>
      </w:pPr>
      <w:r w:rsidRPr="008F328C">
        <w:rPr>
          <w:rFonts w:ascii="Times New Roman" w:eastAsia="Times New Roman" w:hAnsi="Times New Roman" w:cs="Times New Roman"/>
          <w:b/>
          <w:bCs/>
          <w:lang w:val="pl-PL"/>
        </w:rPr>
        <w:t>Wskazania do stosowania</w:t>
      </w:r>
    </w:p>
    <w:p w14:paraId="1A41B271" w14:textId="77777777" w:rsidR="00C27F39" w:rsidRPr="008F328C" w:rsidRDefault="00C27F39" w:rsidP="00C27F39">
      <w:pPr>
        <w:spacing w:line="240" w:lineRule="exact"/>
        <w:rPr>
          <w:rFonts w:ascii="Times New Roman" w:hAnsi="Times New Roman" w:cs="Times New Roman"/>
          <w:lang w:val="pl-PL"/>
        </w:rPr>
      </w:pPr>
    </w:p>
    <w:p w14:paraId="08DEC486" w14:textId="77777777" w:rsidR="00C27F39" w:rsidRPr="008F328C" w:rsidRDefault="00C27F39" w:rsidP="00C27F39">
      <w:pPr>
        <w:pStyle w:val="a3"/>
        <w:rPr>
          <w:u w:val="single" w:color="000000"/>
          <w:lang w:val="pl-PL"/>
        </w:rPr>
      </w:pPr>
      <w:r w:rsidRPr="008F328C">
        <w:rPr>
          <w:rFonts w:eastAsia="Times New Roman"/>
          <w:u w:val="single" w:color="000000"/>
          <w:lang w:val="pl-PL"/>
        </w:rPr>
        <w:t>Młodzieńcze idiopatyczne zapalenie stawów</w:t>
      </w:r>
    </w:p>
    <w:p w14:paraId="6526084B" w14:textId="77777777" w:rsidR="00C27F39" w:rsidRPr="008F328C" w:rsidRDefault="00C27F39" w:rsidP="00C27F39">
      <w:pPr>
        <w:spacing w:line="180" w:lineRule="exact"/>
        <w:rPr>
          <w:rFonts w:ascii="Times New Roman" w:hAnsi="Times New Roman" w:cs="Times New Roman"/>
          <w:lang w:val="pl-PL"/>
        </w:rPr>
      </w:pPr>
    </w:p>
    <w:p w14:paraId="7F190740"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Wielostawowe młodzieńcze idiopatyczne zapalenie stawów</w:t>
      </w:r>
    </w:p>
    <w:p w14:paraId="7E381290" w14:textId="77777777" w:rsidR="00C27F39" w:rsidRPr="008F328C" w:rsidRDefault="00C27F39" w:rsidP="00C27F39">
      <w:pPr>
        <w:spacing w:line="240" w:lineRule="exact"/>
        <w:rPr>
          <w:rFonts w:ascii="Times New Roman" w:hAnsi="Times New Roman" w:cs="Times New Roman"/>
          <w:lang w:val="pl-PL"/>
        </w:rPr>
      </w:pPr>
    </w:p>
    <w:p w14:paraId="482D294E" w14:textId="77777777" w:rsidR="00C27F39" w:rsidRPr="008F328C" w:rsidRDefault="00C27F39" w:rsidP="00C27F39">
      <w:pPr>
        <w:pStyle w:val="a3"/>
        <w:rPr>
          <w:lang w:val="pl-PL"/>
        </w:rPr>
      </w:pPr>
      <w:r w:rsidRPr="008F328C">
        <w:rPr>
          <w:rFonts w:eastAsia="Times New Roman"/>
          <w:lang w:val="pl-PL"/>
        </w:rPr>
        <w:t xml:space="preserve">Produkt Yuflyma w skojarzeniu z metotreksatemjest wskazany w leczeniu czynnego wielostawowego młodzieńczego idiopatycznegozapalenia stawów, u pacjentów w wieku od 2 lat, gdy odpowiedź na jeden lub więcej leków modyfikujących przebieg choroby (ang. </w:t>
      </w:r>
      <w:r w:rsidRPr="008F328C">
        <w:rPr>
          <w:rFonts w:eastAsia="Times New Roman"/>
          <w:i/>
          <w:iCs/>
          <w:lang w:val="pl-PL"/>
        </w:rPr>
        <w:t>disease-modifying anti-rheumatic drugs</w:t>
      </w:r>
      <w:r w:rsidRPr="008F328C">
        <w:rPr>
          <w:rFonts w:eastAsia="Times New Roman"/>
          <w:lang w:val="pl-PL"/>
        </w:rPr>
        <w:t>, DMARDs) okazała się niewystarczająca. Produkt Yuflyma można stosować w monoterapii, jeśli metotreksat jest źle tolerowany lub gdy dalsze leczenie metotreksatem jest niewskazane (skuteczność stosowania w monoterapii, patrz punkt 5.1). Adalimumabu nie badano u pacjentów w wieku poniżej 2 lat.</w:t>
      </w:r>
    </w:p>
    <w:p w14:paraId="07966D15" w14:textId="77777777" w:rsidR="00C27F39" w:rsidRPr="008F328C" w:rsidRDefault="00C27F39" w:rsidP="00C27F39">
      <w:pPr>
        <w:spacing w:line="240" w:lineRule="exact"/>
        <w:rPr>
          <w:rFonts w:ascii="Times New Roman" w:hAnsi="Times New Roman" w:cs="Times New Roman"/>
          <w:lang w:val="pl-PL"/>
        </w:rPr>
      </w:pPr>
    </w:p>
    <w:p w14:paraId="30E366A4"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lang w:val="pl-PL"/>
        </w:rPr>
        <w:t>Zapalenie stawów z towarzyszącym zapaleniem przyczepów ścięgnistych</w:t>
      </w:r>
    </w:p>
    <w:p w14:paraId="1EE57B45" w14:textId="77777777" w:rsidR="00C27F39" w:rsidRPr="008F328C" w:rsidRDefault="00C27F39" w:rsidP="00C27F39">
      <w:pPr>
        <w:spacing w:line="240" w:lineRule="exact"/>
        <w:rPr>
          <w:rFonts w:ascii="Times New Roman" w:hAnsi="Times New Roman" w:cs="Times New Roman"/>
          <w:lang w:val="pl-PL"/>
        </w:rPr>
      </w:pPr>
    </w:p>
    <w:p w14:paraId="64B6C9CD" w14:textId="77777777" w:rsidR="00C27F39" w:rsidRPr="008F328C" w:rsidRDefault="00C27F39" w:rsidP="00C27F39">
      <w:pPr>
        <w:pStyle w:val="a3"/>
        <w:rPr>
          <w:lang w:val="pl-PL"/>
        </w:rPr>
      </w:pPr>
      <w:r w:rsidRPr="008F328C">
        <w:rPr>
          <w:rFonts w:eastAsia="Times New Roman"/>
          <w:lang w:val="pl-PL"/>
        </w:rPr>
        <w:t>Produkt Yuflyma jest wskazany w leczeniu czynnej postaci zapalenia stawów z towarzyszącym zapaleniem przyczepów ścicgnistych u pacjentów w wieku 6 lat i starszych, którzy wykazali niewystarczającą odpowiedź na standardowe leczenie lub gdy nie było ono tolerowane (patrz punkt 5.1).</w:t>
      </w:r>
    </w:p>
    <w:p w14:paraId="53689F1A" w14:textId="77777777" w:rsidR="00C27F39" w:rsidRPr="008F328C" w:rsidRDefault="00C27F39" w:rsidP="00C27F39">
      <w:pPr>
        <w:spacing w:line="240" w:lineRule="exact"/>
        <w:rPr>
          <w:rFonts w:ascii="Times New Roman" w:hAnsi="Times New Roman" w:cs="Times New Roman"/>
          <w:lang w:val="pl-PL"/>
        </w:rPr>
      </w:pPr>
    </w:p>
    <w:p w14:paraId="06F868A3" w14:textId="77777777" w:rsidR="00C27F39" w:rsidRPr="008F328C" w:rsidRDefault="00C27F39" w:rsidP="00C27F39">
      <w:pPr>
        <w:pStyle w:val="a3"/>
        <w:rPr>
          <w:u w:val="single"/>
          <w:lang w:val="pl-PL"/>
        </w:rPr>
      </w:pPr>
      <w:r w:rsidRPr="008F328C">
        <w:rPr>
          <w:rFonts w:eastAsia="Times New Roman"/>
          <w:u w:val="single" w:color="000000"/>
          <w:lang w:val="pl-PL"/>
        </w:rPr>
        <w:t>Łuszczyca zwyczajna (plackowata) u dzieci i młodzieży</w:t>
      </w:r>
    </w:p>
    <w:p w14:paraId="02D2F4FC" w14:textId="77777777" w:rsidR="00C27F39" w:rsidRPr="008F328C" w:rsidRDefault="00C27F39" w:rsidP="00C27F39">
      <w:pPr>
        <w:spacing w:line="180" w:lineRule="exact"/>
        <w:rPr>
          <w:rFonts w:ascii="Times New Roman" w:hAnsi="Times New Roman" w:cs="Times New Roman"/>
          <w:lang w:val="pl-PL"/>
        </w:rPr>
      </w:pPr>
    </w:p>
    <w:p w14:paraId="720D0AC3" w14:textId="77777777" w:rsidR="00C27F39" w:rsidRPr="008F328C" w:rsidRDefault="00C27F39" w:rsidP="00C27F39">
      <w:pPr>
        <w:pStyle w:val="a3"/>
        <w:rPr>
          <w:lang w:val="pl-PL"/>
        </w:rPr>
      </w:pPr>
      <w:r w:rsidRPr="008F328C">
        <w:rPr>
          <w:rFonts w:eastAsia="Times New Roman"/>
          <w:lang w:val="pl-PL"/>
        </w:rPr>
        <w:t xml:space="preserve">Produkt Yuflyma jest wskazany w leczeniu ciężkiej przewlekłej łuszczycy zwyczajnej (plackowatej) u dzieci i młodzieży w wieku od 4 lat, które wykazały niewystarczającą odpowiedź na leczenie miejscowe i </w:t>
      </w:r>
      <w:r w:rsidRPr="008F328C">
        <w:rPr>
          <w:rFonts w:eastAsia="Times New Roman"/>
          <w:lang w:val="pl-PL"/>
        </w:rPr>
        <w:lastRenderedPageBreak/>
        <w:t>fototerapie lub nie kwalifikują się do takiego leczenia.</w:t>
      </w:r>
    </w:p>
    <w:p w14:paraId="7962C2EA" w14:textId="77777777" w:rsidR="00C27F39" w:rsidRPr="008F328C" w:rsidRDefault="00C27F39" w:rsidP="00C27F39">
      <w:pPr>
        <w:spacing w:line="240" w:lineRule="exact"/>
        <w:rPr>
          <w:rFonts w:ascii="Times New Roman" w:hAnsi="Times New Roman" w:cs="Times New Roman"/>
          <w:lang w:val="pl-PL"/>
        </w:rPr>
      </w:pPr>
    </w:p>
    <w:p w14:paraId="3230A090" w14:textId="77777777" w:rsidR="00C27F39" w:rsidRPr="008F328C" w:rsidRDefault="00C27F39" w:rsidP="00C27F39">
      <w:pPr>
        <w:pStyle w:val="a3"/>
        <w:rPr>
          <w:u w:val="single"/>
          <w:lang w:val="pl-PL"/>
        </w:rPr>
      </w:pPr>
      <w:r w:rsidRPr="008F328C">
        <w:rPr>
          <w:rFonts w:eastAsia="Times New Roman"/>
          <w:u w:val="single" w:color="000000"/>
          <w:lang w:val="pl-PL"/>
        </w:rPr>
        <w:t>Choroba Leśniowskiego-Crohna u dzieci i młodzieży</w:t>
      </w:r>
    </w:p>
    <w:p w14:paraId="0E8C8EE7" w14:textId="77777777" w:rsidR="00C27F39" w:rsidRPr="008F328C" w:rsidRDefault="00C27F39" w:rsidP="00C27F39">
      <w:pPr>
        <w:spacing w:line="170" w:lineRule="exact"/>
        <w:rPr>
          <w:rFonts w:ascii="Times New Roman" w:hAnsi="Times New Roman" w:cs="Times New Roman"/>
          <w:lang w:val="pl-PL"/>
        </w:rPr>
      </w:pPr>
    </w:p>
    <w:p w14:paraId="4152FE8C" w14:textId="77777777" w:rsidR="00C27F39" w:rsidRPr="008F328C" w:rsidRDefault="00C27F39" w:rsidP="00C27F39">
      <w:pPr>
        <w:pStyle w:val="a3"/>
        <w:rPr>
          <w:lang w:val="pl-PL"/>
        </w:rPr>
      </w:pPr>
      <w:r w:rsidRPr="008F328C">
        <w:rPr>
          <w:rFonts w:eastAsia="Times New Roman"/>
          <w:lang w:val="pl-PL"/>
        </w:rPr>
        <w:t>Produkt Yuflyma jest wskazany w leczeniu umiarkowanej do ciężkiej, czynnej postaci choroby Leśniowskiego-Crohna u dzieci i młodzieży (w wieku od 6 lat), które wykazały niewystarczającą odpowiedź na standardowe leczenie, w tym leczenie żywieniowe jako terapię pierwotną i lek z grupy kortykosteroidów i (lub) lek immunomodulujący, lub u których występowała nietolerancja lub przeciwwskazania do stosowania takich rodzajów leczenia.</w:t>
      </w:r>
    </w:p>
    <w:p w14:paraId="27FC1767" w14:textId="77777777" w:rsidR="00C27F39" w:rsidRPr="008F328C" w:rsidRDefault="00C27F39" w:rsidP="00C27F39">
      <w:pPr>
        <w:spacing w:line="240" w:lineRule="exact"/>
        <w:rPr>
          <w:rFonts w:ascii="Times New Roman" w:hAnsi="Times New Roman" w:cs="Times New Roman"/>
          <w:lang w:val="pl-PL"/>
        </w:rPr>
      </w:pPr>
    </w:p>
    <w:p w14:paraId="2B03443F" w14:textId="77777777" w:rsidR="00C27F39" w:rsidRPr="008F328C" w:rsidRDefault="00C27F39" w:rsidP="00C27F39">
      <w:pPr>
        <w:pStyle w:val="a3"/>
        <w:rPr>
          <w:u w:val="single"/>
          <w:lang w:val="pl-PL"/>
        </w:rPr>
      </w:pPr>
      <w:r w:rsidRPr="008F328C">
        <w:rPr>
          <w:rFonts w:eastAsia="Times New Roman"/>
          <w:u w:val="single" w:color="000000"/>
          <w:lang w:val="pl-PL"/>
        </w:rPr>
        <w:t xml:space="preserve">Zapalenie błony naczyniowej oka u dzieci i młodzieży </w:t>
      </w:r>
    </w:p>
    <w:p w14:paraId="375DED7E" w14:textId="77777777" w:rsidR="00C27F39" w:rsidRPr="008F328C" w:rsidRDefault="00C27F39" w:rsidP="00C27F39">
      <w:pPr>
        <w:spacing w:line="180" w:lineRule="exact"/>
        <w:rPr>
          <w:rFonts w:ascii="Times New Roman" w:hAnsi="Times New Roman" w:cs="Times New Roman"/>
          <w:lang w:val="pl-PL"/>
        </w:rPr>
      </w:pPr>
    </w:p>
    <w:p w14:paraId="296CD4FD" w14:textId="77777777" w:rsidR="00C27F39" w:rsidRPr="008F328C" w:rsidRDefault="00C27F39" w:rsidP="00C27F39">
      <w:pPr>
        <w:pStyle w:val="a3"/>
        <w:rPr>
          <w:lang w:val="pl-PL"/>
        </w:rPr>
      </w:pPr>
      <w:r w:rsidRPr="008F328C">
        <w:rPr>
          <w:rFonts w:eastAsia="Times New Roman"/>
          <w:lang w:val="pl-PL"/>
        </w:rPr>
        <w:t>Produkt Yuflyma jest wskazany w leczeniu przewlekłego nieinfekcyjnego zapalenia przedniego odcinka błony naczyniowej oka u pacjentów w wieku od 2 lat, którzy wykazywali niewystarczającą odpowiedź na standardowe leczenie lub gdy jest ono nietolerowane lub, u których leczenie konwencjonalne jest niewłaściwe.</w:t>
      </w:r>
    </w:p>
    <w:p w14:paraId="4F33BC0F" w14:textId="77777777" w:rsidR="00C27F39" w:rsidRPr="008F328C" w:rsidRDefault="00C27F39" w:rsidP="00C27F39">
      <w:pPr>
        <w:spacing w:before="15" w:line="240" w:lineRule="exact"/>
        <w:rPr>
          <w:rFonts w:ascii="Times New Roman" w:hAnsi="Times New Roman" w:cs="Times New Roman"/>
          <w:lang w:val="pl-PL"/>
        </w:rPr>
      </w:pPr>
    </w:p>
    <w:p w14:paraId="0EC2769A"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Dawkowanie i sposób podawania</w:t>
      </w:r>
    </w:p>
    <w:p w14:paraId="554C9BAE" w14:textId="77777777" w:rsidR="00C27F39" w:rsidRPr="008F328C" w:rsidRDefault="00C27F39" w:rsidP="00C27F39">
      <w:pPr>
        <w:spacing w:before="9" w:line="240" w:lineRule="exact"/>
        <w:rPr>
          <w:rFonts w:ascii="Times New Roman" w:hAnsi="Times New Roman" w:cs="Times New Roman"/>
          <w:lang w:val="pl-PL"/>
        </w:rPr>
      </w:pPr>
    </w:p>
    <w:p w14:paraId="76FD42B7" w14:textId="77777777" w:rsidR="00C27F39" w:rsidRPr="008F328C" w:rsidRDefault="00C27F39" w:rsidP="00C27F39">
      <w:pPr>
        <w:pStyle w:val="a3"/>
        <w:rPr>
          <w:rFonts w:eastAsia="Times New Roman"/>
          <w:lang w:val="pl-PL"/>
        </w:rPr>
      </w:pPr>
      <w:r w:rsidRPr="008F328C">
        <w:rPr>
          <w:rFonts w:eastAsia="Times New Roman"/>
          <w:lang w:val="pl-PL"/>
        </w:rPr>
        <w:t>Leczenie produktem Yuflyma powinni rozpoczynać i nadzorować lekarze specjaliści posiadający doświadczenie w rozpoznawaniu i leczeniu chorób, w których produkt Yuflyma jest wskazany. Zaleca się lekarzom okulistom, aby przed rozpoczęciem leczenia produktem Yuflyma skonsultowali się z odpowiednim lekarzem specjalistą (patrz punkt 4.4). Pacjenci leczeni produktem Yuflyma powinni otrzymać „Kartę Przypominającą dla Pacjenta”.</w:t>
      </w:r>
    </w:p>
    <w:p w14:paraId="6CF564E2" w14:textId="77777777" w:rsidR="00C27F39" w:rsidRPr="008F328C" w:rsidRDefault="00C27F39" w:rsidP="00C27F39">
      <w:pPr>
        <w:spacing w:line="240" w:lineRule="exact"/>
        <w:rPr>
          <w:rFonts w:ascii="Times New Roman" w:hAnsi="Times New Roman" w:cs="Times New Roman"/>
          <w:lang w:val="pl-PL"/>
        </w:rPr>
      </w:pPr>
    </w:p>
    <w:p w14:paraId="1D2C1C6D" w14:textId="77777777" w:rsidR="00C27F39" w:rsidRPr="008F328C" w:rsidRDefault="00C27F39" w:rsidP="00C27F39">
      <w:pPr>
        <w:pStyle w:val="a3"/>
        <w:rPr>
          <w:lang w:val="pl-PL"/>
        </w:rPr>
      </w:pPr>
      <w:r w:rsidRPr="008F328C">
        <w:rPr>
          <w:rFonts w:eastAsia="Times New Roman"/>
          <w:lang w:val="pl-PL"/>
        </w:rPr>
        <w:t>Po odpowiednim przeszkoleniu zapoznającym z</w:t>
      </w:r>
      <w:r w:rsidRPr="008F328C">
        <w:rPr>
          <w:lang w:val="pl-PL"/>
        </w:rPr>
        <w:t xml:space="preserve"> </w:t>
      </w:r>
      <w:r w:rsidRPr="008F328C">
        <w:rPr>
          <w:rFonts w:eastAsia="Times New Roman"/>
          <w:lang w:val="pl-PL"/>
        </w:rPr>
        <w:t>techniką wstrzykiwania, pacjenci mogą sami wstrzykiwać sobie produkt Yuflyma, jeśli lekarz uzna to za właściwe i w razie potrzeby zleci wizytę kontrolną.</w:t>
      </w:r>
    </w:p>
    <w:p w14:paraId="404B51D9" w14:textId="77777777" w:rsidR="00C27F39" w:rsidRPr="008F328C" w:rsidRDefault="00C27F39" w:rsidP="00C27F39">
      <w:pPr>
        <w:spacing w:line="240" w:lineRule="exact"/>
        <w:rPr>
          <w:rFonts w:ascii="Times New Roman" w:hAnsi="Times New Roman" w:cs="Times New Roman"/>
          <w:lang w:val="pl-PL"/>
        </w:rPr>
      </w:pPr>
    </w:p>
    <w:p w14:paraId="248FB9EA" w14:textId="77777777" w:rsidR="00C27F39" w:rsidRPr="008F328C" w:rsidRDefault="00C27F39" w:rsidP="00C27F39">
      <w:pPr>
        <w:pStyle w:val="a3"/>
        <w:rPr>
          <w:rFonts w:eastAsia="Times New Roman"/>
          <w:lang w:val="pl-PL"/>
        </w:rPr>
      </w:pPr>
      <w:r w:rsidRPr="008F328C">
        <w:rPr>
          <w:rFonts w:eastAsia="Times New Roman"/>
          <w:lang w:val="pl-PL"/>
        </w:rPr>
        <w:t>W czasie leczenia produktem Yuflyma należy zoptymalizować inne stosowane jednocześnie leczenie (np. kortykosteroidami i (lub) lekami immunomodulującymi).</w:t>
      </w:r>
    </w:p>
    <w:p w14:paraId="38DC15CF" w14:textId="77777777" w:rsidR="00C27F39" w:rsidRPr="008F328C" w:rsidRDefault="00C27F39" w:rsidP="00C27F39">
      <w:pPr>
        <w:pStyle w:val="a3"/>
        <w:rPr>
          <w:lang w:val="pl-PL"/>
        </w:rPr>
      </w:pPr>
    </w:p>
    <w:p w14:paraId="1D4467BF" w14:textId="77777777" w:rsidR="00C27F39" w:rsidRPr="008F328C" w:rsidRDefault="00C27F39" w:rsidP="00C27F39">
      <w:pPr>
        <w:pStyle w:val="a3"/>
        <w:rPr>
          <w:u w:val="single"/>
          <w:lang w:val="pl-PL"/>
        </w:rPr>
      </w:pPr>
      <w:r w:rsidRPr="008F328C">
        <w:rPr>
          <w:rFonts w:eastAsia="Times New Roman"/>
          <w:u w:val="single" w:color="000000"/>
          <w:lang w:val="pl-PL"/>
        </w:rPr>
        <w:t>Dawkowanie</w:t>
      </w:r>
    </w:p>
    <w:p w14:paraId="1A4EB490" w14:textId="347DCF8B" w:rsidR="00C27F39" w:rsidRPr="008F328C" w:rsidRDefault="00C27F39" w:rsidP="00C27F39">
      <w:pPr>
        <w:pStyle w:val="a3"/>
        <w:rPr>
          <w:lang w:val="pl-PL"/>
        </w:rPr>
      </w:pPr>
    </w:p>
    <w:p w14:paraId="5871C018" w14:textId="77777777" w:rsidR="00C27F39" w:rsidRPr="008F328C" w:rsidRDefault="00C27F39" w:rsidP="00C27F39">
      <w:pPr>
        <w:pStyle w:val="a3"/>
        <w:rPr>
          <w:i/>
          <w:lang w:val="pl-PL"/>
        </w:rPr>
      </w:pPr>
      <w:r w:rsidRPr="008F328C">
        <w:rPr>
          <w:rFonts w:eastAsia="Times New Roman"/>
          <w:i/>
          <w:iCs/>
          <w:lang w:val="pl-PL"/>
        </w:rPr>
        <w:t>Dzieci i młodzież</w:t>
      </w:r>
    </w:p>
    <w:p w14:paraId="1EE33302" w14:textId="77777777" w:rsidR="00C27F39" w:rsidRPr="008F328C" w:rsidRDefault="00C27F39" w:rsidP="00C27F39">
      <w:pPr>
        <w:pStyle w:val="a3"/>
        <w:rPr>
          <w:i/>
          <w:lang w:val="pl-PL"/>
        </w:rPr>
      </w:pPr>
    </w:p>
    <w:p w14:paraId="63C3D19C" w14:textId="77777777" w:rsidR="00C27F39" w:rsidRPr="008F328C" w:rsidRDefault="00C27F39" w:rsidP="00C27F39">
      <w:pPr>
        <w:spacing w:line="480" w:lineRule="auto"/>
        <w:rPr>
          <w:rFonts w:ascii="Times New Roman" w:eastAsia="Times New Roman" w:hAnsi="Times New Roman" w:cs="Times New Roman"/>
          <w:i/>
          <w:spacing w:val="-1"/>
          <w:lang w:val="pl-PL"/>
        </w:rPr>
      </w:pPr>
      <w:r w:rsidRPr="008F328C">
        <w:rPr>
          <w:rFonts w:ascii="Times New Roman" w:eastAsia="Times New Roman" w:hAnsi="Times New Roman" w:cs="Times New Roman"/>
          <w:i/>
          <w:iCs/>
          <w:spacing w:val="-1"/>
          <w:lang w:val="pl-PL"/>
        </w:rPr>
        <w:t>Młodzieńcze idiopatyczne zapalenie stawów</w:t>
      </w:r>
    </w:p>
    <w:p w14:paraId="6A4D2ACE" w14:textId="77777777" w:rsidR="00C27F39" w:rsidRPr="008F328C" w:rsidRDefault="00C27F39" w:rsidP="00C27F39">
      <w:pPr>
        <w:spacing w:line="480" w:lineRule="auto"/>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 xml:space="preserve">Wielostawowe młodzieńcze idiopatyczne zapalenie stawów u pacjentów w wieku od 2 lat </w:t>
      </w:r>
    </w:p>
    <w:p w14:paraId="2D701893" w14:textId="77777777" w:rsidR="00C27F39" w:rsidRPr="008F328C" w:rsidRDefault="00C27F39" w:rsidP="00C27F39">
      <w:pPr>
        <w:pStyle w:val="a3"/>
        <w:rPr>
          <w:lang w:val="pl-PL"/>
        </w:rPr>
      </w:pPr>
      <w:r w:rsidRPr="008F328C">
        <w:rPr>
          <w:rFonts w:eastAsia="Times New Roman"/>
          <w:lang w:val="pl-PL"/>
        </w:rPr>
        <w:t>Zalecana dawka produktu Yuflyma u pacjentów z wielostawowym młodzieńczym idiopatycznym zapaleniem stawów w wieku od 2 lat ustalana jest w zależności od masy ciała pacjenta (Tabela 1). Produkt Yuflyma podaje się co drugi tydzień we wstrzyknięciu podskórnym.</w:t>
      </w:r>
    </w:p>
    <w:p w14:paraId="406B7CEB" w14:textId="77777777" w:rsidR="00C27F39" w:rsidRPr="008F328C" w:rsidRDefault="00C27F39" w:rsidP="00C27F39">
      <w:pPr>
        <w:pStyle w:val="a3"/>
        <w:rPr>
          <w:lang w:val="pl-PL"/>
        </w:rPr>
      </w:pPr>
    </w:p>
    <w:p w14:paraId="76A42214" w14:textId="77777777" w:rsidR="00C27F39" w:rsidRPr="008F328C" w:rsidRDefault="00C27F39" w:rsidP="00C27F39">
      <w:pPr>
        <w:pStyle w:val="a3"/>
        <w:jc w:val="center"/>
        <w:rPr>
          <w:b/>
          <w:lang w:val="pl-PL"/>
        </w:rPr>
      </w:pPr>
      <w:r w:rsidRPr="008F328C">
        <w:rPr>
          <w:rFonts w:eastAsia="Times New Roman"/>
          <w:b/>
          <w:bCs/>
          <w:lang w:val="pl-PL"/>
        </w:rPr>
        <w:t>Tabela 1 Dawka produktu Yuflyma u pacjentów z wielostawowym młodzieńczym idiopatycznym zapaleniem stawów</w:t>
      </w:r>
    </w:p>
    <w:p w14:paraId="11BC49E3" w14:textId="77777777" w:rsidR="00C27F39" w:rsidRPr="008F328C" w:rsidRDefault="00C27F39" w:rsidP="00C27F39">
      <w:pPr>
        <w:pStyle w:val="a3"/>
        <w:rPr>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C27F39" w:rsidRPr="008F328C" w14:paraId="72EDFACE" w14:textId="77777777" w:rsidTr="00ED6A7B">
        <w:trPr>
          <w:jc w:val="center"/>
        </w:trPr>
        <w:tc>
          <w:tcPr>
            <w:tcW w:w="3271" w:type="dxa"/>
            <w:tcBorders>
              <w:top w:val="single" w:sz="4" w:space="0" w:color="auto"/>
              <w:bottom w:val="single" w:sz="4" w:space="0" w:color="auto"/>
            </w:tcBorders>
            <w:vAlign w:val="center"/>
          </w:tcPr>
          <w:p w14:paraId="7F6B3D3D" w14:textId="77777777" w:rsidR="00C27F39" w:rsidRPr="008F328C" w:rsidRDefault="00C27F39" w:rsidP="00ED6A7B">
            <w:pPr>
              <w:pStyle w:val="a3"/>
              <w:spacing w:before="60" w:after="60"/>
              <w:jc w:val="center"/>
              <w:rPr>
                <w:b/>
                <w:lang w:val="pl-PL"/>
              </w:rPr>
            </w:pPr>
            <w:r w:rsidRPr="008F328C">
              <w:rPr>
                <w:rFonts w:eastAsia="Times New Roman"/>
                <w:b/>
                <w:bCs/>
                <w:lang w:val="pl-PL"/>
              </w:rPr>
              <w:t>Masa ciała pacjenta</w:t>
            </w:r>
          </w:p>
        </w:tc>
        <w:tc>
          <w:tcPr>
            <w:tcW w:w="3271" w:type="dxa"/>
            <w:tcBorders>
              <w:top w:val="single" w:sz="4" w:space="0" w:color="auto"/>
              <w:bottom w:val="single" w:sz="4" w:space="0" w:color="auto"/>
            </w:tcBorders>
            <w:vAlign w:val="center"/>
          </w:tcPr>
          <w:p w14:paraId="50193AB4" w14:textId="77777777" w:rsidR="00C27F39" w:rsidRPr="008F328C" w:rsidRDefault="00C27F39" w:rsidP="00ED6A7B">
            <w:pPr>
              <w:pStyle w:val="a3"/>
              <w:spacing w:before="60" w:after="60"/>
              <w:jc w:val="center"/>
              <w:rPr>
                <w:b/>
                <w:lang w:val="pl-PL"/>
              </w:rPr>
            </w:pPr>
            <w:r w:rsidRPr="008F328C">
              <w:rPr>
                <w:rFonts w:eastAsia="Times New Roman"/>
                <w:b/>
                <w:bCs/>
                <w:lang w:val="pl-PL"/>
              </w:rPr>
              <w:t>Schemat dawkowania</w:t>
            </w:r>
          </w:p>
        </w:tc>
      </w:tr>
      <w:tr w:rsidR="00ED6A7B" w:rsidRPr="008F328C" w14:paraId="5969C7E4" w14:textId="77777777" w:rsidTr="00ED6A7B">
        <w:trPr>
          <w:jc w:val="center"/>
        </w:trPr>
        <w:tc>
          <w:tcPr>
            <w:tcW w:w="3271" w:type="dxa"/>
            <w:tcBorders>
              <w:top w:val="single" w:sz="4" w:space="0" w:color="auto"/>
              <w:bottom w:val="single" w:sz="4" w:space="0" w:color="auto"/>
            </w:tcBorders>
            <w:vAlign w:val="center"/>
          </w:tcPr>
          <w:p w14:paraId="2EBBB4DC" w14:textId="77777777" w:rsidR="00ED6A7B" w:rsidRPr="008F328C" w:rsidRDefault="00ED6A7B" w:rsidP="00ED6A7B">
            <w:pPr>
              <w:pStyle w:val="a3"/>
              <w:spacing w:before="60" w:after="60"/>
              <w:jc w:val="center"/>
              <w:rPr>
                <w:lang w:val="pl-PL"/>
              </w:rPr>
            </w:pPr>
            <w:r w:rsidRPr="008F328C">
              <w:rPr>
                <w:rFonts w:eastAsia="Times New Roman"/>
                <w:lang w:val="pl-PL"/>
              </w:rPr>
              <w:t>10 kg do &lt; 30 kg</w:t>
            </w:r>
          </w:p>
        </w:tc>
        <w:tc>
          <w:tcPr>
            <w:tcW w:w="3271" w:type="dxa"/>
            <w:tcBorders>
              <w:top w:val="single" w:sz="4" w:space="0" w:color="auto"/>
              <w:bottom w:val="single" w:sz="4" w:space="0" w:color="auto"/>
            </w:tcBorders>
            <w:vAlign w:val="center"/>
          </w:tcPr>
          <w:p w14:paraId="721637DB" w14:textId="583DEF02" w:rsidR="00ED6A7B" w:rsidRPr="008F328C" w:rsidRDefault="00ED6A7B" w:rsidP="00ED6A7B">
            <w:pPr>
              <w:pStyle w:val="a3"/>
              <w:spacing w:before="60" w:after="60"/>
              <w:jc w:val="center"/>
              <w:rPr>
                <w:lang w:val="pl-PL"/>
              </w:rPr>
            </w:pPr>
            <w:r w:rsidRPr="008F328C">
              <w:rPr>
                <w:rFonts w:eastAsia="Times New Roman"/>
                <w:lang w:val="pl-PL"/>
              </w:rPr>
              <w:t>20 mg co drugi tydzień</w:t>
            </w:r>
          </w:p>
        </w:tc>
      </w:tr>
      <w:tr w:rsidR="00ED6A7B" w:rsidRPr="008F328C" w14:paraId="2C1C0A03" w14:textId="77777777" w:rsidTr="00ED6A7B">
        <w:trPr>
          <w:jc w:val="center"/>
        </w:trPr>
        <w:tc>
          <w:tcPr>
            <w:tcW w:w="3271" w:type="dxa"/>
            <w:tcBorders>
              <w:top w:val="single" w:sz="4" w:space="0" w:color="auto"/>
              <w:bottom w:val="single" w:sz="4" w:space="0" w:color="auto"/>
            </w:tcBorders>
            <w:vAlign w:val="center"/>
          </w:tcPr>
          <w:p w14:paraId="4A264F11" w14:textId="77777777" w:rsidR="00ED6A7B" w:rsidRPr="008F328C" w:rsidRDefault="00ED6A7B" w:rsidP="00ED6A7B">
            <w:pPr>
              <w:pStyle w:val="a3"/>
              <w:spacing w:before="60" w:after="60"/>
              <w:jc w:val="center"/>
              <w:rPr>
                <w:lang w:val="pl-PL"/>
              </w:rPr>
            </w:pPr>
            <w:r w:rsidRPr="008F328C">
              <w:rPr>
                <w:rFonts w:eastAsia="Times New Roman"/>
                <w:lang w:val="pl-PL"/>
              </w:rPr>
              <w:t>≥ 30 kg</w:t>
            </w:r>
          </w:p>
        </w:tc>
        <w:tc>
          <w:tcPr>
            <w:tcW w:w="3271" w:type="dxa"/>
            <w:tcBorders>
              <w:top w:val="single" w:sz="4" w:space="0" w:color="auto"/>
              <w:bottom w:val="single" w:sz="4" w:space="0" w:color="auto"/>
            </w:tcBorders>
            <w:vAlign w:val="center"/>
          </w:tcPr>
          <w:p w14:paraId="3AB425D4" w14:textId="77777777" w:rsidR="00ED6A7B" w:rsidRPr="008F328C" w:rsidRDefault="00ED6A7B" w:rsidP="00ED6A7B">
            <w:pPr>
              <w:pStyle w:val="a3"/>
              <w:spacing w:before="60" w:after="60"/>
              <w:jc w:val="center"/>
              <w:rPr>
                <w:lang w:val="pl-PL"/>
              </w:rPr>
            </w:pPr>
            <w:r w:rsidRPr="008F328C">
              <w:rPr>
                <w:rFonts w:eastAsia="Times New Roman"/>
                <w:lang w:val="pl-PL"/>
              </w:rPr>
              <w:t>40 mg co drugi tydzień</w:t>
            </w:r>
          </w:p>
        </w:tc>
      </w:tr>
    </w:tbl>
    <w:p w14:paraId="31826B5A" w14:textId="77777777" w:rsidR="00C27F39" w:rsidRPr="008F328C" w:rsidRDefault="00C27F39" w:rsidP="00C27F39">
      <w:pPr>
        <w:pStyle w:val="a3"/>
        <w:rPr>
          <w:lang w:val="pl-PL"/>
        </w:rPr>
      </w:pPr>
    </w:p>
    <w:p w14:paraId="735D330F" w14:textId="77777777" w:rsidR="00C27F39" w:rsidRPr="008F328C" w:rsidRDefault="00C27F39" w:rsidP="00C27F39">
      <w:pPr>
        <w:pStyle w:val="a3"/>
        <w:rPr>
          <w:lang w:val="pl-PL"/>
        </w:rPr>
      </w:pPr>
      <w:r w:rsidRPr="008F328C">
        <w:rPr>
          <w:rFonts w:eastAsia="Times New Roman"/>
          <w:lang w:val="pl-PL"/>
        </w:rPr>
        <w:t xml:space="preserve">Dostępne dane wskazują, że odpowiedź kliniczna następuje zazwyczaj w ciągu 12 tygodni leczenia. Należy ponownie dokładnie rozważyć czy kontynuować leczenie u pacjenta, który nie odpowiedział na </w:t>
      </w:r>
      <w:r w:rsidRPr="008F328C">
        <w:rPr>
          <w:rFonts w:eastAsia="Times New Roman"/>
          <w:lang w:val="pl-PL"/>
        </w:rPr>
        <w:lastRenderedPageBreak/>
        <w:t>leczenie w tym okresie.</w:t>
      </w:r>
    </w:p>
    <w:p w14:paraId="597CBEB5" w14:textId="77777777" w:rsidR="00C27F39" w:rsidRPr="008F328C" w:rsidRDefault="00C27F39" w:rsidP="00C27F39">
      <w:pPr>
        <w:pStyle w:val="a3"/>
        <w:rPr>
          <w:lang w:val="pl-PL"/>
        </w:rPr>
      </w:pPr>
    </w:p>
    <w:p w14:paraId="21AD1420" w14:textId="77777777" w:rsidR="00C27F39" w:rsidRPr="008F328C" w:rsidRDefault="00C27F39" w:rsidP="00C27F39">
      <w:pPr>
        <w:pStyle w:val="a3"/>
        <w:rPr>
          <w:lang w:val="pl-PL"/>
        </w:rPr>
      </w:pPr>
      <w:r w:rsidRPr="008F328C">
        <w:rPr>
          <w:rFonts w:eastAsia="Times New Roman"/>
          <w:lang w:val="pl-PL"/>
        </w:rPr>
        <w:t>Stosowanie adalimumabu u pacjentów w wieku poniżej 2 lat nie jest właściwe w tym wskazaniu.</w:t>
      </w:r>
    </w:p>
    <w:p w14:paraId="07E9D876" w14:textId="515E14AC" w:rsidR="00C27F39" w:rsidRPr="008F328C" w:rsidRDefault="00C27F39" w:rsidP="00C27F39">
      <w:pPr>
        <w:pStyle w:val="a3"/>
        <w:ind w:right="203"/>
        <w:rPr>
          <w:lang w:val="pl-PL"/>
        </w:rPr>
      </w:pPr>
    </w:p>
    <w:p w14:paraId="214BFDE0" w14:textId="57599BAB" w:rsidR="00ED6A7B" w:rsidRPr="008F328C" w:rsidRDefault="00ED6A7B" w:rsidP="00C27F39">
      <w:pPr>
        <w:pStyle w:val="a3"/>
        <w:ind w:right="203"/>
        <w:rPr>
          <w:lang w:val="pl-PL"/>
        </w:rPr>
      </w:pPr>
      <w:r w:rsidRPr="008F328C">
        <w:rPr>
          <w:lang w:val="pl-PL"/>
        </w:rPr>
        <w:t xml:space="preserve">Produkt </w:t>
      </w:r>
      <w:r w:rsidR="008F328C">
        <w:rPr>
          <w:lang w:val="pl-PL"/>
        </w:rPr>
        <w:t>Yuflyma</w:t>
      </w:r>
      <w:r w:rsidRPr="008F328C">
        <w:rPr>
          <w:lang w:val="pl-PL"/>
        </w:rPr>
        <w:t xml:space="preserve"> może być dostępny w innych dawkach i (lub) postaciach w zależności od indywidualnych potrzeb terapeutycznych.</w:t>
      </w:r>
    </w:p>
    <w:p w14:paraId="1EA8C582" w14:textId="77777777" w:rsidR="00ED6A7B" w:rsidRPr="008F328C" w:rsidRDefault="00ED6A7B" w:rsidP="00C27F39">
      <w:pPr>
        <w:pStyle w:val="a3"/>
        <w:ind w:right="203"/>
        <w:rPr>
          <w:lang w:val="pl-PL"/>
        </w:rPr>
      </w:pPr>
    </w:p>
    <w:p w14:paraId="3121C943"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u w:val="single" w:color="000000"/>
          <w:lang w:val="pl-PL"/>
        </w:rPr>
        <w:t>Zapalenie stawów z towarzyszącym zapaleniem przyczepów ścięgnistych</w:t>
      </w:r>
    </w:p>
    <w:p w14:paraId="7832D120" w14:textId="77777777" w:rsidR="00C27F39" w:rsidRPr="008F328C" w:rsidRDefault="00C27F39" w:rsidP="00C27F39">
      <w:pPr>
        <w:spacing w:before="9" w:line="170" w:lineRule="exact"/>
        <w:rPr>
          <w:rFonts w:ascii="Times New Roman" w:hAnsi="Times New Roman" w:cs="Times New Roman"/>
          <w:sz w:val="17"/>
          <w:szCs w:val="17"/>
          <w:lang w:val="pl-PL"/>
        </w:rPr>
      </w:pPr>
    </w:p>
    <w:p w14:paraId="508DA4E5" w14:textId="77777777" w:rsidR="00C27F39" w:rsidRPr="008F328C" w:rsidRDefault="00C27F39" w:rsidP="00C27F39">
      <w:pPr>
        <w:pStyle w:val="a3"/>
        <w:rPr>
          <w:rFonts w:eastAsia="Times New Roman"/>
          <w:lang w:val="pl-PL"/>
        </w:rPr>
      </w:pPr>
      <w:r w:rsidRPr="008F328C">
        <w:rPr>
          <w:rFonts w:eastAsia="Times New Roman"/>
          <w:lang w:val="pl-PL"/>
        </w:rPr>
        <w:t>Zalecana dawka produktu Yuflyma u pacjentów z zapaleniem stawów z towarzyszącym zapaleniem przyczepów ścięgnistych w wieku od 6 lat ustalana jest w zależności od masy ciała pacjenta (Tabela 2). Produkt Yuflyma podaje się co drugi tydzień we wstrzyknięciu podskórnym.</w:t>
      </w:r>
    </w:p>
    <w:p w14:paraId="64FBD129" w14:textId="77777777" w:rsidR="00C27F39" w:rsidRPr="008F328C" w:rsidRDefault="00C27F39" w:rsidP="00C27F39">
      <w:pPr>
        <w:pStyle w:val="a3"/>
        <w:rPr>
          <w:lang w:val="pl-PL"/>
        </w:rPr>
      </w:pPr>
    </w:p>
    <w:p w14:paraId="2B940848" w14:textId="77777777" w:rsidR="00C27F39" w:rsidRPr="008F328C" w:rsidRDefault="00C27F39" w:rsidP="00C27F39">
      <w:pPr>
        <w:pStyle w:val="a3"/>
        <w:jc w:val="center"/>
        <w:rPr>
          <w:b/>
          <w:lang w:val="pl-PL"/>
        </w:rPr>
      </w:pPr>
      <w:r w:rsidRPr="008F328C">
        <w:rPr>
          <w:rFonts w:eastAsia="Times New Roman"/>
          <w:b/>
          <w:bCs/>
          <w:lang w:val="pl-PL"/>
        </w:rPr>
        <w:t>Tabela 2 Dawka produktu Yuflyma u pacjentów z zapaleniem stawów</w:t>
      </w:r>
    </w:p>
    <w:p w14:paraId="690E8BB2" w14:textId="77777777" w:rsidR="00C27F39" w:rsidRPr="008F328C" w:rsidRDefault="00C27F39" w:rsidP="00C27F39">
      <w:pPr>
        <w:pStyle w:val="a3"/>
        <w:jc w:val="center"/>
        <w:rPr>
          <w:rFonts w:eastAsia="Times New Roman"/>
          <w:b/>
          <w:bCs/>
          <w:lang w:val="pl-PL"/>
        </w:rPr>
      </w:pPr>
      <w:r w:rsidRPr="008F328C">
        <w:rPr>
          <w:rFonts w:eastAsia="Times New Roman"/>
          <w:b/>
          <w:bCs/>
          <w:lang w:val="pl-PL"/>
        </w:rPr>
        <w:t>z towarzyszącym zapaleniem przyczepów ścięgnistych</w:t>
      </w:r>
    </w:p>
    <w:p w14:paraId="6E1207D3" w14:textId="77777777" w:rsidR="00C27F39" w:rsidRPr="008F328C" w:rsidRDefault="00C27F39" w:rsidP="00C27F39">
      <w:pPr>
        <w:spacing w:before="7" w:line="220" w:lineRule="exact"/>
        <w:rPr>
          <w:rFonts w:ascii="Times New Roman" w:hAnsi="Times New Roman" w:cs="Times New Roman"/>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C27F39" w:rsidRPr="008F328C" w14:paraId="0C67B548" w14:textId="77777777" w:rsidTr="00ED6A7B">
        <w:trPr>
          <w:jc w:val="center"/>
        </w:trPr>
        <w:tc>
          <w:tcPr>
            <w:tcW w:w="3572" w:type="dxa"/>
            <w:tcBorders>
              <w:top w:val="single" w:sz="4" w:space="0" w:color="auto"/>
              <w:bottom w:val="single" w:sz="4" w:space="0" w:color="auto"/>
            </w:tcBorders>
            <w:vAlign w:val="center"/>
          </w:tcPr>
          <w:p w14:paraId="44C31387" w14:textId="77777777" w:rsidR="00C27F39" w:rsidRPr="008F328C" w:rsidRDefault="00C27F39" w:rsidP="00ED6A7B">
            <w:pPr>
              <w:pStyle w:val="a3"/>
              <w:spacing w:before="60" w:after="60"/>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0AD0EED9" w14:textId="77777777" w:rsidR="00C27F39" w:rsidRPr="008F328C" w:rsidRDefault="00C27F39" w:rsidP="00ED6A7B">
            <w:pPr>
              <w:pStyle w:val="a3"/>
              <w:spacing w:before="60" w:after="60"/>
              <w:jc w:val="center"/>
              <w:rPr>
                <w:b/>
                <w:lang w:val="pl-PL"/>
              </w:rPr>
            </w:pPr>
            <w:r w:rsidRPr="008F328C">
              <w:rPr>
                <w:rFonts w:eastAsia="Times New Roman"/>
                <w:b/>
                <w:bCs/>
                <w:lang w:val="pl-PL"/>
              </w:rPr>
              <w:t>Schemat dawkowania</w:t>
            </w:r>
          </w:p>
        </w:tc>
      </w:tr>
      <w:tr w:rsidR="00ED6A7B" w:rsidRPr="008F328C" w14:paraId="26377E01" w14:textId="77777777" w:rsidTr="00ED6A7B">
        <w:trPr>
          <w:jc w:val="center"/>
        </w:trPr>
        <w:tc>
          <w:tcPr>
            <w:tcW w:w="3572" w:type="dxa"/>
            <w:tcBorders>
              <w:top w:val="single" w:sz="4" w:space="0" w:color="auto"/>
              <w:bottom w:val="single" w:sz="4" w:space="0" w:color="auto"/>
            </w:tcBorders>
            <w:vAlign w:val="center"/>
          </w:tcPr>
          <w:p w14:paraId="01A23259" w14:textId="77777777" w:rsidR="00ED6A7B" w:rsidRPr="008F328C" w:rsidRDefault="00ED6A7B" w:rsidP="00ED6A7B">
            <w:pPr>
              <w:pStyle w:val="a3"/>
              <w:spacing w:before="60" w:after="60"/>
              <w:jc w:val="center"/>
              <w:rPr>
                <w:lang w:val="pl-PL"/>
              </w:rPr>
            </w:pPr>
            <w:r w:rsidRPr="008F328C">
              <w:rPr>
                <w:rFonts w:eastAsia="Times New Roman"/>
                <w:lang w:val="pl-PL"/>
              </w:rPr>
              <w:t>15 kg do &lt; 30 kg</w:t>
            </w:r>
          </w:p>
        </w:tc>
        <w:tc>
          <w:tcPr>
            <w:tcW w:w="3572" w:type="dxa"/>
            <w:tcBorders>
              <w:top w:val="single" w:sz="4" w:space="0" w:color="auto"/>
              <w:bottom w:val="single" w:sz="4" w:space="0" w:color="auto"/>
            </w:tcBorders>
            <w:vAlign w:val="center"/>
          </w:tcPr>
          <w:p w14:paraId="467233BC" w14:textId="1FA97E73" w:rsidR="00ED6A7B" w:rsidRPr="008F328C" w:rsidRDefault="00ED6A7B" w:rsidP="00ED6A7B">
            <w:pPr>
              <w:pStyle w:val="a3"/>
              <w:spacing w:before="60" w:after="60"/>
              <w:jc w:val="center"/>
              <w:rPr>
                <w:lang w:val="pl-PL"/>
              </w:rPr>
            </w:pPr>
            <w:r w:rsidRPr="008F328C">
              <w:rPr>
                <w:rFonts w:eastAsia="Times New Roman"/>
                <w:lang w:val="pl-PL"/>
              </w:rPr>
              <w:t>20 mg co drugi tydzień</w:t>
            </w:r>
          </w:p>
        </w:tc>
      </w:tr>
      <w:tr w:rsidR="00ED6A7B" w:rsidRPr="008F328C" w14:paraId="413D5599" w14:textId="77777777" w:rsidTr="00ED6A7B">
        <w:trPr>
          <w:jc w:val="center"/>
        </w:trPr>
        <w:tc>
          <w:tcPr>
            <w:tcW w:w="3572" w:type="dxa"/>
            <w:tcBorders>
              <w:top w:val="single" w:sz="4" w:space="0" w:color="auto"/>
              <w:bottom w:val="single" w:sz="4" w:space="0" w:color="auto"/>
            </w:tcBorders>
            <w:vAlign w:val="center"/>
          </w:tcPr>
          <w:p w14:paraId="39E9AEFA" w14:textId="77777777" w:rsidR="00ED6A7B" w:rsidRPr="008F328C" w:rsidRDefault="00ED6A7B" w:rsidP="00ED6A7B">
            <w:pPr>
              <w:pStyle w:val="a3"/>
              <w:spacing w:before="60" w:after="60"/>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54EA72A7" w14:textId="77777777" w:rsidR="00ED6A7B" w:rsidRPr="008F328C" w:rsidRDefault="00ED6A7B" w:rsidP="00ED6A7B">
            <w:pPr>
              <w:pStyle w:val="a3"/>
              <w:spacing w:before="60" w:after="60"/>
              <w:jc w:val="center"/>
              <w:rPr>
                <w:lang w:val="pl-PL"/>
              </w:rPr>
            </w:pPr>
            <w:r w:rsidRPr="008F328C">
              <w:rPr>
                <w:rFonts w:eastAsia="Times New Roman"/>
                <w:lang w:val="pl-PL"/>
              </w:rPr>
              <w:t>40 mg co drugi tydzień</w:t>
            </w:r>
          </w:p>
        </w:tc>
      </w:tr>
    </w:tbl>
    <w:p w14:paraId="30A93EC3" w14:textId="77777777" w:rsidR="00C27F39" w:rsidRPr="008F328C" w:rsidRDefault="00C27F39" w:rsidP="00C27F39">
      <w:pPr>
        <w:pStyle w:val="a3"/>
        <w:rPr>
          <w:lang w:val="pl-PL"/>
        </w:rPr>
      </w:pPr>
    </w:p>
    <w:p w14:paraId="67D99E26" w14:textId="19997369" w:rsidR="00C27F39" w:rsidRPr="008F328C" w:rsidRDefault="00C27F39" w:rsidP="00C27F39">
      <w:pPr>
        <w:pStyle w:val="a3"/>
        <w:rPr>
          <w:rFonts w:eastAsia="Times New Roman"/>
          <w:lang w:val="pl-PL"/>
        </w:rPr>
      </w:pPr>
      <w:r w:rsidRPr="008F328C">
        <w:rPr>
          <w:rFonts w:eastAsia="Times New Roman"/>
          <w:lang w:val="pl-PL"/>
        </w:rPr>
        <w:t>Adalimumabu nie badano u pacjentów z zapaleniem stawów z towarzyszącym zapaleniem przyczepów ścięgnistych w wieku poniżej 6 lat.</w:t>
      </w:r>
    </w:p>
    <w:p w14:paraId="2EED4096" w14:textId="71AEF5F0" w:rsidR="00ED6A7B" w:rsidRPr="008F328C" w:rsidRDefault="00ED6A7B" w:rsidP="00C27F39">
      <w:pPr>
        <w:pStyle w:val="a3"/>
        <w:rPr>
          <w:rFonts w:eastAsia="Times New Roman"/>
          <w:lang w:val="pl-PL"/>
        </w:rPr>
      </w:pPr>
    </w:p>
    <w:p w14:paraId="6C3E11F3" w14:textId="10E28BEC" w:rsidR="00ED6A7B" w:rsidRPr="008F328C" w:rsidRDefault="00ED6A7B" w:rsidP="00C27F39">
      <w:pPr>
        <w:pStyle w:val="a3"/>
        <w:rPr>
          <w:lang w:val="pl-PL"/>
        </w:rPr>
      </w:pPr>
      <w:r w:rsidRPr="008F328C">
        <w:rPr>
          <w:lang w:val="pl-PL"/>
        </w:rPr>
        <w:t xml:space="preserve">Produkt </w:t>
      </w:r>
      <w:r w:rsidR="008F328C">
        <w:rPr>
          <w:lang w:val="pl-PL"/>
        </w:rPr>
        <w:t>Yuflyma</w:t>
      </w:r>
      <w:r w:rsidRPr="008F328C">
        <w:rPr>
          <w:lang w:val="pl-PL"/>
        </w:rPr>
        <w:t xml:space="preserve"> może być dostępny w innych dawkach i (lub) postaciach w zależności od indywidualnych potrzeb terapeutycznych.</w:t>
      </w:r>
    </w:p>
    <w:p w14:paraId="2294F372" w14:textId="77777777" w:rsidR="00C27F39" w:rsidRPr="008F328C" w:rsidRDefault="00C27F39" w:rsidP="00C27F39">
      <w:pPr>
        <w:rPr>
          <w:rFonts w:ascii="Times New Roman" w:eastAsia="Times New Roman" w:hAnsi="Times New Roman" w:cs="Times New Roman"/>
          <w:i/>
          <w:spacing w:val="-1"/>
          <w:u w:val="single"/>
          <w:lang w:val="pl-PL"/>
        </w:rPr>
      </w:pPr>
    </w:p>
    <w:p w14:paraId="2F711C84" w14:textId="77777777" w:rsidR="00C27F39" w:rsidRPr="008F328C" w:rsidRDefault="00C27F39" w:rsidP="00C27F39">
      <w:pPr>
        <w:rPr>
          <w:rFonts w:ascii="Times New Roman" w:eastAsia="Times New Roman" w:hAnsi="Times New Roman" w:cs="Times New Roman"/>
          <w:u w:val="single"/>
          <w:lang w:val="pl-PL"/>
        </w:rPr>
      </w:pPr>
      <w:r w:rsidRPr="008F328C">
        <w:rPr>
          <w:rFonts w:ascii="Times New Roman" w:eastAsia="Times New Roman" w:hAnsi="Times New Roman" w:cs="Times New Roman"/>
          <w:i/>
          <w:iCs/>
          <w:spacing w:val="-1"/>
          <w:u w:val="single"/>
          <w:lang w:val="pl-PL"/>
        </w:rPr>
        <w:t>Łuszczyca zwyczajna (plackowata) u dzieci i młodzieży</w:t>
      </w:r>
    </w:p>
    <w:p w14:paraId="215FB511" w14:textId="77777777" w:rsidR="00C27F39" w:rsidRPr="008F328C" w:rsidRDefault="00C27F39" w:rsidP="00C27F39">
      <w:pPr>
        <w:spacing w:line="240" w:lineRule="exact"/>
        <w:rPr>
          <w:rFonts w:ascii="Times New Roman" w:hAnsi="Times New Roman" w:cs="Times New Roman"/>
          <w:sz w:val="24"/>
          <w:szCs w:val="24"/>
          <w:lang w:val="pl-PL"/>
        </w:rPr>
      </w:pPr>
    </w:p>
    <w:p w14:paraId="6FB22118" w14:textId="77777777" w:rsidR="00C27F39" w:rsidRPr="008F328C" w:rsidRDefault="00C27F39" w:rsidP="00C27F39">
      <w:pPr>
        <w:pStyle w:val="a3"/>
        <w:rPr>
          <w:lang w:val="pl-PL"/>
        </w:rPr>
      </w:pPr>
      <w:r w:rsidRPr="008F328C">
        <w:rPr>
          <w:rFonts w:eastAsia="Times New Roman"/>
          <w:lang w:val="pl-PL"/>
        </w:rPr>
        <w:t>Zalecana dawka produktu Yuflyma u pacjentów z łuszczycą zwyczajną (plackowatą) w wieku od 4 do 17 lat</w:t>
      </w:r>
    </w:p>
    <w:p w14:paraId="1FAC8058" w14:textId="77777777" w:rsidR="00C27F39" w:rsidRPr="008F328C" w:rsidRDefault="00C27F39" w:rsidP="00C27F39">
      <w:pPr>
        <w:pStyle w:val="a3"/>
        <w:rPr>
          <w:rFonts w:eastAsia="Times New Roman"/>
          <w:lang w:val="pl-PL"/>
        </w:rPr>
      </w:pPr>
      <w:r w:rsidRPr="008F328C">
        <w:rPr>
          <w:rFonts w:eastAsia="Times New Roman"/>
          <w:lang w:val="pl-PL"/>
        </w:rPr>
        <w:t>ustalana jest w zależności od masy ciała pacjenta (Tabela 3). Produkt Yuflyma podaje się we wstrzyknięciu podskórnym.</w:t>
      </w:r>
    </w:p>
    <w:p w14:paraId="37C475BA" w14:textId="77777777" w:rsidR="00C27F39" w:rsidRPr="008F328C" w:rsidRDefault="00C27F39" w:rsidP="00C27F39">
      <w:pPr>
        <w:pStyle w:val="a3"/>
        <w:rPr>
          <w:lang w:val="pl-PL"/>
        </w:rPr>
      </w:pPr>
    </w:p>
    <w:p w14:paraId="06E53E89" w14:textId="77777777" w:rsidR="00C27F39" w:rsidRPr="008F328C" w:rsidRDefault="00C27F39" w:rsidP="00C27F39">
      <w:pPr>
        <w:pStyle w:val="a3"/>
        <w:jc w:val="center"/>
        <w:rPr>
          <w:b/>
          <w:lang w:val="pl-PL"/>
        </w:rPr>
      </w:pPr>
      <w:r w:rsidRPr="008F328C">
        <w:rPr>
          <w:rFonts w:eastAsia="Times New Roman"/>
          <w:b/>
          <w:bCs/>
          <w:lang w:val="pl-PL"/>
        </w:rPr>
        <w:t xml:space="preserve">Tabela 3 Dawka produktu Yuflyma u dzieci i młodzieży z łuszczycą zwyczajną (plackowatą) </w:t>
      </w:r>
    </w:p>
    <w:p w14:paraId="239CB8B5" w14:textId="77777777" w:rsidR="00C27F39" w:rsidRPr="008F328C" w:rsidRDefault="00C27F39" w:rsidP="00C27F39">
      <w:pPr>
        <w:spacing w:before="7" w:line="220" w:lineRule="exact"/>
        <w:jc w:val="center"/>
        <w:rPr>
          <w:rFonts w:ascii="Times New Roman" w:hAnsi="Times New Roman" w:cs="Times New Roman"/>
          <w:b/>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C27F39" w:rsidRPr="008F328C" w14:paraId="422782B7" w14:textId="77777777" w:rsidTr="00ED6A7B">
        <w:trPr>
          <w:jc w:val="center"/>
        </w:trPr>
        <w:tc>
          <w:tcPr>
            <w:tcW w:w="3572" w:type="dxa"/>
            <w:tcBorders>
              <w:top w:val="single" w:sz="4" w:space="0" w:color="auto"/>
              <w:bottom w:val="single" w:sz="4" w:space="0" w:color="auto"/>
            </w:tcBorders>
            <w:vAlign w:val="center"/>
          </w:tcPr>
          <w:p w14:paraId="4E66AE4D" w14:textId="77777777" w:rsidR="00C27F39" w:rsidRPr="008F328C" w:rsidRDefault="00C27F39" w:rsidP="00ED6A7B">
            <w:pPr>
              <w:pStyle w:val="a3"/>
              <w:spacing w:before="60" w:after="60"/>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5439A2CD" w14:textId="77777777" w:rsidR="00C27F39" w:rsidRPr="008F328C" w:rsidRDefault="00C27F39" w:rsidP="00ED6A7B">
            <w:pPr>
              <w:pStyle w:val="a3"/>
              <w:spacing w:before="60" w:after="60"/>
              <w:jc w:val="center"/>
              <w:rPr>
                <w:b/>
                <w:lang w:val="pl-PL"/>
              </w:rPr>
            </w:pPr>
            <w:r w:rsidRPr="008F328C">
              <w:rPr>
                <w:rFonts w:eastAsia="Times New Roman"/>
                <w:b/>
                <w:bCs/>
                <w:lang w:val="pl-PL"/>
              </w:rPr>
              <w:t>Schemat dawkowania</w:t>
            </w:r>
          </w:p>
        </w:tc>
      </w:tr>
      <w:tr w:rsidR="00ED6A7B" w:rsidRPr="00537986" w14:paraId="4DA285CA" w14:textId="77777777" w:rsidTr="00ED6A7B">
        <w:trPr>
          <w:jc w:val="center"/>
        </w:trPr>
        <w:tc>
          <w:tcPr>
            <w:tcW w:w="3572" w:type="dxa"/>
            <w:tcBorders>
              <w:top w:val="single" w:sz="4" w:space="0" w:color="auto"/>
              <w:bottom w:val="single" w:sz="4" w:space="0" w:color="auto"/>
            </w:tcBorders>
            <w:vAlign w:val="center"/>
          </w:tcPr>
          <w:p w14:paraId="00CE8412" w14:textId="77777777" w:rsidR="00ED6A7B" w:rsidRPr="008F328C" w:rsidRDefault="00ED6A7B" w:rsidP="00ED6A7B">
            <w:pPr>
              <w:pStyle w:val="a3"/>
              <w:spacing w:before="60" w:after="60"/>
              <w:jc w:val="center"/>
              <w:rPr>
                <w:lang w:val="pl-PL"/>
              </w:rPr>
            </w:pPr>
            <w:r w:rsidRPr="008F328C">
              <w:rPr>
                <w:rFonts w:eastAsia="Times New Roman"/>
                <w:lang w:val="pl-PL"/>
              </w:rPr>
              <w:t>15 kg do &lt; 30 kg</w:t>
            </w:r>
          </w:p>
        </w:tc>
        <w:tc>
          <w:tcPr>
            <w:tcW w:w="3572" w:type="dxa"/>
            <w:tcBorders>
              <w:top w:val="single" w:sz="4" w:space="0" w:color="auto"/>
              <w:bottom w:val="single" w:sz="4" w:space="0" w:color="auto"/>
            </w:tcBorders>
            <w:vAlign w:val="center"/>
          </w:tcPr>
          <w:p w14:paraId="0DAD54FF" w14:textId="0A2FF123" w:rsidR="00ED6A7B" w:rsidRPr="008F328C" w:rsidRDefault="00ED6A7B" w:rsidP="00ED196E">
            <w:pPr>
              <w:pStyle w:val="a3"/>
              <w:spacing w:before="60" w:after="60"/>
              <w:jc w:val="center"/>
              <w:rPr>
                <w:lang w:val="pl-PL"/>
              </w:rPr>
            </w:pPr>
            <w:r w:rsidRPr="008F328C">
              <w:rPr>
                <w:rFonts w:eastAsia="Times New Roman"/>
                <w:lang w:val="pl-PL"/>
              </w:rPr>
              <w:t>Dawka początkowa 20 mg, a następnie po upływie jednego tygodnia od podania dawki początkowej, 20 mg podawane co drugi tydzień</w:t>
            </w:r>
          </w:p>
        </w:tc>
      </w:tr>
      <w:tr w:rsidR="00ED6A7B" w:rsidRPr="00537986" w14:paraId="0FB11887" w14:textId="77777777" w:rsidTr="00ED6A7B">
        <w:trPr>
          <w:jc w:val="center"/>
        </w:trPr>
        <w:tc>
          <w:tcPr>
            <w:tcW w:w="3572" w:type="dxa"/>
            <w:tcBorders>
              <w:top w:val="single" w:sz="4" w:space="0" w:color="auto"/>
              <w:bottom w:val="single" w:sz="4" w:space="0" w:color="auto"/>
            </w:tcBorders>
            <w:vAlign w:val="center"/>
          </w:tcPr>
          <w:p w14:paraId="6EF382D7" w14:textId="77777777" w:rsidR="00ED6A7B" w:rsidRPr="008F328C" w:rsidRDefault="00ED6A7B" w:rsidP="00ED6A7B">
            <w:pPr>
              <w:pStyle w:val="a3"/>
              <w:spacing w:before="60" w:after="60"/>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0EEF5C35" w14:textId="77777777" w:rsidR="00ED6A7B" w:rsidRPr="008F328C" w:rsidRDefault="00ED6A7B" w:rsidP="00ED6A7B">
            <w:pPr>
              <w:pStyle w:val="a3"/>
              <w:spacing w:before="60" w:after="60"/>
              <w:jc w:val="center"/>
              <w:rPr>
                <w:lang w:val="pl-PL"/>
              </w:rPr>
            </w:pPr>
            <w:r w:rsidRPr="008F328C">
              <w:rPr>
                <w:rFonts w:eastAsia="Times New Roman"/>
                <w:lang w:val="pl-PL"/>
              </w:rPr>
              <w:t>Dawka początkowa 40 mg, a następnie po upływie jednego tygodnia od podania dawki początkowej, 40 mg podawane co drugi tydzień</w:t>
            </w:r>
          </w:p>
        </w:tc>
      </w:tr>
    </w:tbl>
    <w:p w14:paraId="5054C354" w14:textId="77777777" w:rsidR="00C27F39" w:rsidRPr="008F328C" w:rsidRDefault="00C27F39" w:rsidP="00C27F39">
      <w:pPr>
        <w:pStyle w:val="a3"/>
        <w:rPr>
          <w:lang w:val="pl-PL"/>
        </w:rPr>
      </w:pPr>
    </w:p>
    <w:p w14:paraId="5ED63C57" w14:textId="77777777" w:rsidR="00C27F39" w:rsidRPr="008F328C" w:rsidRDefault="00C27F39" w:rsidP="00C27F39">
      <w:pPr>
        <w:pStyle w:val="a3"/>
        <w:rPr>
          <w:lang w:val="pl-PL"/>
        </w:rPr>
      </w:pPr>
      <w:r w:rsidRPr="008F328C">
        <w:rPr>
          <w:rFonts w:eastAsia="Times New Roman"/>
          <w:lang w:val="pl-PL"/>
        </w:rPr>
        <w:t>Należy dokładnie rozważyć, czy kontynuować leczenie dłużej niż 16 tygodni u pacjenta, który nie odpowiedział na leczenie w tym okresie.</w:t>
      </w:r>
    </w:p>
    <w:p w14:paraId="5BD5B2BD" w14:textId="77777777" w:rsidR="00C27F39" w:rsidRPr="008F328C" w:rsidRDefault="00C27F39" w:rsidP="00C27F39">
      <w:pPr>
        <w:spacing w:line="240" w:lineRule="exact"/>
        <w:rPr>
          <w:rFonts w:ascii="Times New Roman" w:hAnsi="Times New Roman" w:cs="Times New Roman"/>
          <w:sz w:val="24"/>
          <w:szCs w:val="24"/>
          <w:lang w:val="pl-PL"/>
        </w:rPr>
      </w:pPr>
    </w:p>
    <w:p w14:paraId="3036F466" w14:textId="77777777" w:rsidR="00C27F39" w:rsidRPr="008F328C" w:rsidRDefault="00C27F39" w:rsidP="00C27F39">
      <w:pPr>
        <w:pStyle w:val="a3"/>
        <w:rPr>
          <w:rFonts w:eastAsia="Times New Roman"/>
          <w:lang w:val="pl-PL"/>
        </w:rPr>
      </w:pPr>
      <w:r w:rsidRPr="008F328C">
        <w:rPr>
          <w:rFonts w:eastAsia="Times New Roman"/>
          <w:lang w:val="pl-PL"/>
        </w:rPr>
        <w:t xml:space="preserve">Jeśli wskazane jest powtórne leczenie adalimumabem, należy postępować zgodnie z powyższymi </w:t>
      </w:r>
      <w:r w:rsidRPr="008F328C">
        <w:rPr>
          <w:rFonts w:eastAsia="Times New Roman"/>
          <w:lang w:val="pl-PL"/>
        </w:rPr>
        <w:lastRenderedPageBreak/>
        <w:t>zaleceniami dotyczącymi dawkowania i czasu trwania leczenia.</w:t>
      </w:r>
    </w:p>
    <w:p w14:paraId="474AAA92" w14:textId="77777777" w:rsidR="00C27F39" w:rsidRPr="008F328C" w:rsidRDefault="00C27F39" w:rsidP="00C27F39">
      <w:pPr>
        <w:spacing w:line="240" w:lineRule="exact"/>
        <w:rPr>
          <w:rFonts w:ascii="Times New Roman" w:hAnsi="Times New Roman" w:cs="Times New Roman"/>
          <w:sz w:val="24"/>
          <w:szCs w:val="24"/>
          <w:lang w:val="pl-PL"/>
        </w:rPr>
      </w:pPr>
    </w:p>
    <w:p w14:paraId="167E81C0" w14:textId="77777777" w:rsidR="00C27F39" w:rsidRPr="008F328C" w:rsidRDefault="00C27F39" w:rsidP="00C27F39">
      <w:pPr>
        <w:pStyle w:val="a3"/>
        <w:rPr>
          <w:lang w:val="pl-PL"/>
        </w:rPr>
      </w:pPr>
      <w:r w:rsidRPr="008F328C">
        <w:rPr>
          <w:rFonts w:eastAsia="Times New Roman"/>
          <w:lang w:val="pl-PL"/>
        </w:rPr>
        <w:t>Bezpieczeństwo stosowania adalimumabu u dzieci i młodzieży z łuszczycą zwyczajną (plackowatą) oceniano przez średnio 13 miesięcy.</w:t>
      </w:r>
    </w:p>
    <w:p w14:paraId="0E446D02" w14:textId="77777777" w:rsidR="00C27F39" w:rsidRPr="008F328C" w:rsidRDefault="00C27F39" w:rsidP="00C27F39">
      <w:pPr>
        <w:spacing w:line="240" w:lineRule="exact"/>
        <w:rPr>
          <w:rFonts w:ascii="Times New Roman" w:hAnsi="Times New Roman" w:cs="Times New Roman"/>
          <w:sz w:val="24"/>
          <w:szCs w:val="24"/>
          <w:lang w:val="pl-PL"/>
        </w:rPr>
      </w:pPr>
    </w:p>
    <w:p w14:paraId="7216996D" w14:textId="6DDFAD30" w:rsidR="00C27F39" w:rsidRPr="008F328C" w:rsidRDefault="00C27F39" w:rsidP="00C27F39">
      <w:pPr>
        <w:pStyle w:val="a3"/>
        <w:rPr>
          <w:rFonts w:eastAsia="Times New Roman"/>
          <w:lang w:val="pl-PL"/>
        </w:rPr>
      </w:pPr>
      <w:r w:rsidRPr="008F328C">
        <w:rPr>
          <w:rFonts w:eastAsia="Times New Roman"/>
          <w:lang w:val="pl-PL"/>
        </w:rPr>
        <w:t>Stosowanie adalimumabu u pacjentów w wieku poniżej 4 lat nie jest właściwe w tym wskazaniu.</w:t>
      </w:r>
    </w:p>
    <w:p w14:paraId="3903EB8C" w14:textId="3EE91616" w:rsidR="00ED6A7B" w:rsidRPr="008F328C" w:rsidRDefault="00ED6A7B" w:rsidP="00C27F39">
      <w:pPr>
        <w:pStyle w:val="a3"/>
        <w:rPr>
          <w:rFonts w:eastAsia="Times New Roman"/>
          <w:lang w:val="pl-PL"/>
        </w:rPr>
      </w:pPr>
    </w:p>
    <w:p w14:paraId="0F012A47" w14:textId="541F49D8" w:rsidR="00ED6A7B" w:rsidRPr="008F328C" w:rsidRDefault="00ED6A7B" w:rsidP="00C27F39">
      <w:pPr>
        <w:pStyle w:val="a3"/>
        <w:rPr>
          <w:lang w:val="pl-PL"/>
        </w:rPr>
      </w:pPr>
      <w:r w:rsidRPr="008F328C">
        <w:rPr>
          <w:lang w:val="pl-PL"/>
        </w:rPr>
        <w:t xml:space="preserve">Produkt </w:t>
      </w:r>
      <w:r w:rsidR="008F328C">
        <w:rPr>
          <w:lang w:val="pl-PL"/>
        </w:rPr>
        <w:t>Yuflyma</w:t>
      </w:r>
      <w:r w:rsidRPr="008F328C">
        <w:rPr>
          <w:lang w:val="pl-PL"/>
        </w:rPr>
        <w:t xml:space="preserve"> może być dostępny w innych dawkach i (lub) postaciach w zależności od indywidualnych potrzeb terapeutycznych.</w:t>
      </w:r>
    </w:p>
    <w:p w14:paraId="6808D12C" w14:textId="77777777" w:rsidR="00C27F39" w:rsidRPr="008F328C" w:rsidRDefault="00C27F39" w:rsidP="00C27F39">
      <w:pPr>
        <w:pStyle w:val="a3"/>
        <w:rPr>
          <w:lang w:val="pl-PL"/>
        </w:rPr>
      </w:pPr>
    </w:p>
    <w:p w14:paraId="6F75FCD4" w14:textId="77777777" w:rsidR="00C27F39" w:rsidRPr="008F328C" w:rsidRDefault="00C27F39" w:rsidP="00C27F39">
      <w:pPr>
        <w:jc w:val="both"/>
        <w:rPr>
          <w:rFonts w:ascii="Times New Roman" w:eastAsia="Times New Roman" w:hAnsi="Times New Roman" w:cs="Times New Roman"/>
          <w:u w:val="single"/>
          <w:lang w:val="pl-PL"/>
        </w:rPr>
      </w:pPr>
      <w:r w:rsidRPr="008F328C">
        <w:rPr>
          <w:rFonts w:ascii="Times New Roman" w:eastAsia="Times New Roman" w:hAnsi="Times New Roman" w:cs="Times New Roman"/>
          <w:i/>
          <w:iCs/>
          <w:spacing w:val="-1"/>
          <w:u w:val="single"/>
          <w:lang w:val="pl-PL"/>
        </w:rPr>
        <w:t>Choroba Leśniowskiego-Crohna u dzieci i młodzieży</w:t>
      </w:r>
    </w:p>
    <w:p w14:paraId="1C714994" w14:textId="77777777" w:rsidR="00C27F39" w:rsidRPr="008F328C" w:rsidRDefault="00C27F39" w:rsidP="00C27F39">
      <w:pPr>
        <w:spacing w:line="240" w:lineRule="exact"/>
        <w:rPr>
          <w:rFonts w:ascii="Times New Roman" w:hAnsi="Times New Roman" w:cs="Times New Roman"/>
          <w:sz w:val="24"/>
          <w:szCs w:val="24"/>
          <w:lang w:val="pl-PL"/>
        </w:rPr>
      </w:pPr>
    </w:p>
    <w:p w14:paraId="41207048" w14:textId="77777777" w:rsidR="00C27F39" w:rsidRPr="008F328C" w:rsidRDefault="00C27F39" w:rsidP="00C27F39">
      <w:pPr>
        <w:pStyle w:val="a3"/>
        <w:rPr>
          <w:lang w:val="pl-PL"/>
        </w:rPr>
      </w:pPr>
      <w:r w:rsidRPr="008F328C">
        <w:rPr>
          <w:rFonts w:eastAsia="Times New Roman"/>
          <w:lang w:val="pl-PL"/>
        </w:rPr>
        <w:t>Zalecana dawka produktu Yuflyma u pacjentów z chorobą Leśniowskiego-Crohna w wieku od 6 do 17 lat ustalana jest w zależności od masy ciała pacjenta (Tabela 4). Produkt Yuflyma podaje się we wstrzyknięciu podskórnym.</w:t>
      </w:r>
    </w:p>
    <w:p w14:paraId="148058DE" w14:textId="77777777" w:rsidR="00C27F39" w:rsidRPr="008F328C" w:rsidRDefault="00C27F39" w:rsidP="00C27F39">
      <w:pPr>
        <w:pStyle w:val="a3"/>
        <w:rPr>
          <w:lang w:val="pl-PL"/>
        </w:rPr>
      </w:pPr>
    </w:p>
    <w:p w14:paraId="1ADE06E8" w14:textId="77777777" w:rsidR="00C27F39" w:rsidRPr="008F328C" w:rsidRDefault="00C27F39" w:rsidP="00C27F39">
      <w:pPr>
        <w:pStyle w:val="a3"/>
        <w:jc w:val="center"/>
        <w:rPr>
          <w:b/>
          <w:lang w:val="pl-PL"/>
        </w:rPr>
      </w:pPr>
      <w:r w:rsidRPr="008F328C">
        <w:rPr>
          <w:rFonts w:eastAsia="Times New Roman"/>
          <w:b/>
          <w:bCs/>
          <w:lang w:val="pl-PL"/>
        </w:rPr>
        <w:t>Tabela 4 Dawka adalimumabu u dzieci i młodzieży z chorobą Leśniowskiego-Crohna</w:t>
      </w:r>
    </w:p>
    <w:p w14:paraId="52BBA5FB" w14:textId="77777777" w:rsidR="00C27F39" w:rsidRPr="008F328C" w:rsidRDefault="00C27F39" w:rsidP="00C27F39">
      <w:pPr>
        <w:spacing w:before="14" w:line="240" w:lineRule="exact"/>
        <w:rPr>
          <w:rFonts w:ascii="Times New Roman" w:hAnsi="Times New Roman" w:cs="Times New Roman"/>
          <w:sz w:val="24"/>
          <w:szCs w:val="24"/>
          <w:lang w:val="pl-PL"/>
        </w:rPr>
      </w:pPr>
    </w:p>
    <w:tbl>
      <w:tblPr>
        <w:tblStyle w:val="TableNormal1"/>
        <w:tblW w:w="8809" w:type="dxa"/>
        <w:tblInd w:w="704" w:type="dxa"/>
        <w:tblLayout w:type="fixed"/>
        <w:tblLook w:val="01E0" w:firstRow="1" w:lastRow="1" w:firstColumn="1" w:lastColumn="1" w:noHBand="0" w:noVBand="0"/>
      </w:tblPr>
      <w:tblGrid>
        <w:gridCol w:w="1559"/>
        <w:gridCol w:w="5525"/>
        <w:gridCol w:w="1725"/>
      </w:tblGrid>
      <w:tr w:rsidR="00C27F39" w:rsidRPr="00537986" w14:paraId="085A3631" w14:textId="77777777" w:rsidTr="00ED6A7B">
        <w:tc>
          <w:tcPr>
            <w:tcW w:w="1559" w:type="dxa"/>
            <w:tcBorders>
              <w:top w:val="single" w:sz="4" w:space="0" w:color="auto"/>
              <w:left w:val="single" w:sz="4" w:space="0" w:color="auto"/>
              <w:bottom w:val="single" w:sz="4" w:space="0" w:color="auto"/>
              <w:right w:val="single" w:sz="4" w:space="0" w:color="auto"/>
            </w:tcBorders>
            <w:vAlign w:val="center"/>
          </w:tcPr>
          <w:p w14:paraId="03DB74C4" w14:textId="77777777" w:rsidR="00C27F39" w:rsidRPr="008F328C" w:rsidRDefault="00C27F39" w:rsidP="00ED6A7B">
            <w:pPr>
              <w:pStyle w:val="TableParagraph"/>
              <w:spacing w:line="252" w:lineRule="exact"/>
              <w:ind w:firstLine="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Masa ciała pacjenta</w:t>
            </w:r>
          </w:p>
        </w:tc>
        <w:tc>
          <w:tcPr>
            <w:tcW w:w="5525" w:type="dxa"/>
            <w:tcBorders>
              <w:top w:val="single" w:sz="4" w:space="0" w:color="auto"/>
              <w:left w:val="single" w:sz="4" w:space="0" w:color="auto"/>
              <w:bottom w:val="single" w:sz="4" w:space="0" w:color="auto"/>
              <w:right w:val="single" w:sz="4" w:space="0" w:color="auto"/>
            </w:tcBorders>
            <w:vAlign w:val="center"/>
          </w:tcPr>
          <w:p w14:paraId="151B29DE" w14:textId="77777777" w:rsidR="00C27F39" w:rsidRPr="008F328C" w:rsidRDefault="00C27F39" w:rsidP="00ED6A7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indukcyjna</w:t>
            </w:r>
          </w:p>
        </w:tc>
        <w:tc>
          <w:tcPr>
            <w:tcW w:w="1725" w:type="dxa"/>
            <w:tcBorders>
              <w:top w:val="single" w:sz="4" w:space="0" w:color="auto"/>
              <w:left w:val="single" w:sz="4" w:space="0" w:color="auto"/>
              <w:bottom w:val="single" w:sz="4" w:space="0" w:color="auto"/>
              <w:right w:val="single" w:sz="4" w:space="0" w:color="auto"/>
            </w:tcBorders>
            <w:vAlign w:val="center"/>
          </w:tcPr>
          <w:p w14:paraId="4E21F8FF" w14:textId="77777777" w:rsidR="00C27F39" w:rsidRPr="008F328C" w:rsidRDefault="00C27F39" w:rsidP="00ED6A7B">
            <w:pPr>
              <w:pStyle w:val="TableParagraph"/>
              <w:spacing w:line="239"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podtrzymująca począwszy od 4. tygodnia</w:t>
            </w:r>
          </w:p>
        </w:tc>
      </w:tr>
      <w:tr w:rsidR="00ED6A7B" w:rsidRPr="008F328C" w14:paraId="4B07C257" w14:textId="77777777" w:rsidTr="008F328C">
        <w:tc>
          <w:tcPr>
            <w:tcW w:w="1559" w:type="dxa"/>
            <w:tcBorders>
              <w:top w:val="single" w:sz="4" w:space="0" w:color="auto"/>
              <w:left w:val="single" w:sz="7" w:space="0" w:color="000000"/>
              <w:bottom w:val="single" w:sz="7" w:space="0" w:color="000000"/>
              <w:right w:val="single" w:sz="7" w:space="0" w:color="000000"/>
            </w:tcBorders>
          </w:tcPr>
          <w:p w14:paraId="07DDAA54" w14:textId="77777777" w:rsidR="00ED6A7B" w:rsidRPr="008F328C" w:rsidRDefault="00ED6A7B" w:rsidP="00ED6A7B">
            <w:pPr>
              <w:pStyle w:val="TableParagraph"/>
              <w:spacing w:before="9"/>
              <w:ind w:left="140"/>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5525" w:type="dxa"/>
            <w:tcBorders>
              <w:top w:val="single" w:sz="4" w:space="0" w:color="auto"/>
              <w:left w:val="single" w:sz="7" w:space="0" w:color="000000"/>
              <w:bottom w:val="single" w:sz="7" w:space="0" w:color="000000"/>
              <w:right w:val="single" w:sz="7" w:space="0" w:color="000000"/>
            </w:tcBorders>
          </w:tcPr>
          <w:p w14:paraId="5DDC18A7" w14:textId="2D08B452" w:rsidR="00ED6A7B" w:rsidRPr="008F328C" w:rsidRDefault="00ED6A7B" w:rsidP="00ED6A7B">
            <w:pPr>
              <w:pStyle w:val="a4"/>
              <w:numPr>
                <w:ilvl w:val="0"/>
                <w:numId w:val="13"/>
              </w:numPr>
              <w:tabs>
                <w:tab w:val="left" w:pos="315"/>
              </w:tabs>
              <w:spacing w:before="10"/>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w tygodniu 0 i 20 mg w 2. tygodniu</w:t>
            </w:r>
          </w:p>
          <w:p w14:paraId="5FAAAB16" w14:textId="77777777" w:rsidR="00ED6A7B" w:rsidRPr="008F328C" w:rsidRDefault="00ED6A7B" w:rsidP="00ED6A7B">
            <w:pPr>
              <w:pStyle w:val="TableParagraph"/>
              <w:spacing w:before="10" w:line="240" w:lineRule="exact"/>
              <w:rPr>
                <w:rFonts w:ascii="Times New Roman" w:hAnsi="Times New Roman" w:cs="Times New Roman"/>
                <w:sz w:val="24"/>
                <w:szCs w:val="24"/>
                <w:lang w:val="pl-PL"/>
              </w:rPr>
            </w:pPr>
          </w:p>
          <w:p w14:paraId="317264D4" w14:textId="77777777" w:rsidR="00ED6A7B" w:rsidRPr="008F328C" w:rsidRDefault="00ED6A7B" w:rsidP="00ED6A7B">
            <w:pPr>
              <w:pStyle w:val="TableParagraph"/>
              <w:ind w:left="15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0C92D9D5" w14:textId="77777777" w:rsidR="00ED6A7B" w:rsidRPr="008F328C" w:rsidRDefault="00ED6A7B" w:rsidP="00ED6A7B">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80 mg w tygodniu 0 i 40 mg w 2. tygodniu</w:t>
            </w:r>
          </w:p>
        </w:tc>
        <w:tc>
          <w:tcPr>
            <w:tcW w:w="1725" w:type="dxa"/>
            <w:tcBorders>
              <w:top w:val="single" w:sz="4" w:space="0" w:color="auto"/>
              <w:left w:val="single" w:sz="7" w:space="0" w:color="000000"/>
              <w:bottom w:val="single" w:sz="7" w:space="0" w:color="000000"/>
              <w:right w:val="single" w:sz="7" w:space="0" w:color="000000"/>
            </w:tcBorders>
          </w:tcPr>
          <w:p w14:paraId="78BB786C" w14:textId="63CD1B5F" w:rsidR="00ED6A7B" w:rsidRPr="008F328C" w:rsidRDefault="00ED6A7B" w:rsidP="008F328C">
            <w:pPr>
              <w:pStyle w:val="TableParagraph"/>
              <w:spacing w:before="7" w:line="241" w:lineRule="auto"/>
              <w:ind w:left="301" w:hanging="63"/>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20 mg co drugi tydzień</w:t>
            </w:r>
          </w:p>
        </w:tc>
      </w:tr>
      <w:tr w:rsidR="00ED6A7B" w:rsidRPr="008F328C" w14:paraId="1B09EAFB" w14:textId="77777777" w:rsidTr="00ED6A7B">
        <w:tc>
          <w:tcPr>
            <w:tcW w:w="1559" w:type="dxa"/>
            <w:tcBorders>
              <w:top w:val="single" w:sz="7" w:space="0" w:color="000000"/>
              <w:left w:val="single" w:sz="7" w:space="0" w:color="000000"/>
              <w:bottom w:val="single" w:sz="7" w:space="0" w:color="000000"/>
              <w:right w:val="single" w:sz="7" w:space="0" w:color="000000"/>
            </w:tcBorders>
          </w:tcPr>
          <w:p w14:paraId="03B76E3C" w14:textId="77777777" w:rsidR="00ED6A7B" w:rsidRPr="008F328C" w:rsidRDefault="00ED6A7B" w:rsidP="00ED6A7B">
            <w:pPr>
              <w:pStyle w:val="TableParagraph"/>
              <w:spacing w:before="7"/>
              <w:ind w:left="143"/>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5525" w:type="dxa"/>
            <w:tcBorders>
              <w:top w:val="single" w:sz="7" w:space="0" w:color="000000"/>
              <w:left w:val="single" w:sz="7" w:space="0" w:color="000000"/>
              <w:bottom w:val="single" w:sz="7" w:space="0" w:color="000000"/>
              <w:right w:val="single" w:sz="7" w:space="0" w:color="000000"/>
            </w:tcBorders>
          </w:tcPr>
          <w:p w14:paraId="2F0C931E" w14:textId="77777777" w:rsidR="00ED6A7B" w:rsidRPr="008F328C" w:rsidRDefault="00ED6A7B" w:rsidP="00ED6A7B">
            <w:pPr>
              <w:pStyle w:val="a4"/>
              <w:numPr>
                <w:ilvl w:val="0"/>
                <w:numId w:val="12"/>
              </w:numPr>
              <w:tabs>
                <w:tab w:val="left" w:pos="315"/>
              </w:tabs>
              <w:spacing w:before="8"/>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80 mg w tygodniu 0 i 40 mg w 2. tygodniu</w:t>
            </w:r>
          </w:p>
          <w:p w14:paraId="1074BCE5" w14:textId="77777777" w:rsidR="00ED6A7B" w:rsidRPr="008F328C" w:rsidRDefault="00ED6A7B" w:rsidP="00ED6A7B">
            <w:pPr>
              <w:tabs>
                <w:tab w:val="left" w:pos="315"/>
              </w:tabs>
              <w:spacing w:before="8"/>
              <w:rPr>
                <w:rFonts w:ascii="Times New Roman" w:eastAsia="Times New Roman" w:hAnsi="Times New Roman" w:cs="Times New Roman"/>
                <w:lang w:val="pl-PL"/>
              </w:rPr>
            </w:pPr>
          </w:p>
          <w:p w14:paraId="697F4C3F" w14:textId="77777777" w:rsidR="00ED6A7B" w:rsidRPr="008F328C" w:rsidRDefault="00ED6A7B" w:rsidP="00ED6A7B">
            <w:pPr>
              <w:pStyle w:val="TableParagraph"/>
              <w:spacing w:before="7"/>
              <w:ind w:left="159" w:right="35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istnieje potrzeba uzyskania szybszej odpowiedzi na leczenie, uwzględniając, że ryzyko zdarzeń niepożądanych może być większe kiedy stosuje się wyższą dawkę indukcyjną, można zastosować następujący schemat dawkowania:</w:t>
            </w:r>
          </w:p>
          <w:p w14:paraId="539CE96C" w14:textId="77777777" w:rsidR="00ED6A7B" w:rsidRPr="008F328C" w:rsidRDefault="00ED6A7B" w:rsidP="00ED6A7B">
            <w:pPr>
              <w:pStyle w:val="a4"/>
              <w:numPr>
                <w:ilvl w:val="0"/>
                <w:numId w:val="13"/>
              </w:numPr>
              <w:tabs>
                <w:tab w:val="left" w:pos="315"/>
              </w:tabs>
              <w:spacing w:before="2"/>
              <w:ind w:left="31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160 mg w tygodniu 0 i 80 mg w 2. tygodniu</w:t>
            </w:r>
          </w:p>
        </w:tc>
        <w:tc>
          <w:tcPr>
            <w:tcW w:w="1725" w:type="dxa"/>
            <w:tcBorders>
              <w:top w:val="single" w:sz="7" w:space="0" w:color="000000"/>
              <w:left w:val="single" w:sz="7" w:space="0" w:color="000000"/>
              <w:bottom w:val="single" w:sz="7" w:space="0" w:color="000000"/>
              <w:right w:val="single" w:sz="7" w:space="0" w:color="000000"/>
            </w:tcBorders>
          </w:tcPr>
          <w:p w14:paraId="45B3BA96" w14:textId="77777777" w:rsidR="00ED6A7B" w:rsidRPr="008F328C" w:rsidRDefault="00ED6A7B" w:rsidP="00ED6A7B">
            <w:pPr>
              <w:pStyle w:val="TableParagraph"/>
              <w:spacing w:before="7" w:line="241" w:lineRule="auto"/>
              <w:ind w:left="301" w:hanging="6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r>
    </w:tbl>
    <w:p w14:paraId="1EBE4AF1" w14:textId="77777777" w:rsidR="00ED6A7B" w:rsidRPr="008F328C" w:rsidRDefault="00ED6A7B" w:rsidP="00C27F39">
      <w:pPr>
        <w:pStyle w:val="a3"/>
        <w:rPr>
          <w:rFonts w:eastAsia="Times New Roman"/>
          <w:lang w:val="pl-PL"/>
        </w:rPr>
      </w:pPr>
    </w:p>
    <w:p w14:paraId="5636D1E5" w14:textId="6866E056" w:rsidR="00C27F39" w:rsidRPr="008F328C" w:rsidRDefault="00C27F39" w:rsidP="008F328C">
      <w:pPr>
        <w:pStyle w:val="a3"/>
        <w:rPr>
          <w:lang w:val="pl-PL"/>
        </w:rPr>
      </w:pPr>
      <w:r w:rsidRPr="008F328C">
        <w:rPr>
          <w:rFonts w:eastAsia="Times New Roman"/>
          <w:lang w:val="pl-PL"/>
        </w:rPr>
        <w:t>U pacjentów, u których odpowiedź na leczenie jest niewystarczająca, może być korzystne zwiększenie dawkowania:</w:t>
      </w:r>
    </w:p>
    <w:p w14:paraId="14139EC8" w14:textId="6CDADAEA" w:rsidR="00ED6A7B" w:rsidRPr="008F328C" w:rsidRDefault="00ED6A7B" w:rsidP="008F328C">
      <w:pPr>
        <w:pStyle w:val="a4"/>
        <w:numPr>
          <w:ilvl w:val="0"/>
          <w:numId w:val="12"/>
        </w:numPr>
        <w:spacing w:before="8"/>
        <w:ind w:left="567" w:hanging="567"/>
        <w:rPr>
          <w:rFonts w:ascii="Times New Roman" w:eastAsia="Calibri" w:hAnsi="Times New Roman" w:cs="Times New Roman"/>
          <w:spacing w:val="-1"/>
          <w:lang w:val="pl-PL"/>
        </w:rPr>
      </w:pPr>
      <w:r w:rsidRPr="008F328C">
        <w:rPr>
          <w:rFonts w:ascii="Times New Roman" w:eastAsia="Calibri" w:hAnsi="Times New Roman" w:cs="Times New Roman"/>
          <w:spacing w:val="-1"/>
          <w:lang w:val="pl-PL"/>
        </w:rPr>
        <w:t>&lt; 40 kg: 20 mg co tydzień</w:t>
      </w:r>
    </w:p>
    <w:p w14:paraId="101F2020" w14:textId="084D2F13" w:rsidR="00C27F39" w:rsidRPr="008F328C" w:rsidRDefault="00C27F39" w:rsidP="008F328C">
      <w:pPr>
        <w:pStyle w:val="a4"/>
        <w:numPr>
          <w:ilvl w:val="0"/>
          <w:numId w:val="12"/>
        </w:numPr>
        <w:spacing w:before="8"/>
        <w:ind w:left="567" w:hanging="567"/>
        <w:rPr>
          <w:rFonts w:ascii="Times New Roman" w:eastAsia="Times New Roman" w:hAnsi="Times New Roman" w:cs="Times New Roman"/>
          <w:spacing w:val="-1"/>
          <w:lang w:val="pl-PL"/>
        </w:rPr>
      </w:pPr>
      <w:r w:rsidRPr="008F328C">
        <w:rPr>
          <w:rFonts w:ascii="Times New Roman" w:eastAsia="Calibri" w:hAnsi="Times New Roman" w:cs="Times New Roman"/>
          <w:spacing w:val="-1"/>
          <w:lang w:val="pl-PL"/>
        </w:rPr>
        <w:t xml:space="preserve">≥ 40 kg: </w:t>
      </w:r>
      <w:r w:rsidRPr="008F328C">
        <w:rPr>
          <w:rFonts w:ascii="Times New Roman" w:eastAsia="Times New Roman" w:hAnsi="Times New Roman" w:cs="Times New Roman"/>
          <w:spacing w:val="-1"/>
          <w:lang w:val="pl-PL"/>
        </w:rPr>
        <w:t>40 mg co tydzień lub 80 mg co drugi tydzień</w:t>
      </w:r>
    </w:p>
    <w:p w14:paraId="15202E9D" w14:textId="77777777" w:rsidR="00C27F39" w:rsidRPr="008F328C" w:rsidRDefault="00C27F39" w:rsidP="00C27F39">
      <w:pPr>
        <w:spacing w:line="240" w:lineRule="exact"/>
        <w:rPr>
          <w:rFonts w:ascii="Times New Roman" w:hAnsi="Times New Roman" w:cs="Times New Roman"/>
          <w:sz w:val="24"/>
          <w:szCs w:val="24"/>
          <w:lang w:val="pl-PL"/>
        </w:rPr>
      </w:pPr>
    </w:p>
    <w:p w14:paraId="0EA8FF5A" w14:textId="77777777" w:rsidR="00C27F39" w:rsidRPr="008F328C" w:rsidRDefault="00C27F39" w:rsidP="00C27F39">
      <w:pPr>
        <w:pStyle w:val="a3"/>
        <w:rPr>
          <w:lang w:val="pl-PL"/>
        </w:rPr>
      </w:pPr>
      <w:r w:rsidRPr="008F328C">
        <w:rPr>
          <w:rFonts w:eastAsia="Times New Roman"/>
          <w:lang w:val="pl-PL"/>
        </w:rPr>
        <w:t>Należy dokładnie rozważyć, czy kontynuować leczenie u pacjenta, który nie odpowiedział na leczenie do 12. tygodnia.</w:t>
      </w:r>
    </w:p>
    <w:p w14:paraId="0458C9A9" w14:textId="77777777" w:rsidR="00C27F39" w:rsidRPr="008F328C" w:rsidRDefault="00C27F39" w:rsidP="00C27F39">
      <w:pPr>
        <w:pStyle w:val="a3"/>
        <w:rPr>
          <w:lang w:val="pl-PL"/>
        </w:rPr>
      </w:pPr>
    </w:p>
    <w:p w14:paraId="5D3D0114" w14:textId="42DBC13A" w:rsidR="00C27F39" w:rsidRPr="008F328C" w:rsidRDefault="00C27F39" w:rsidP="00C27F39">
      <w:pPr>
        <w:pStyle w:val="a3"/>
        <w:rPr>
          <w:rFonts w:eastAsia="Times New Roman"/>
          <w:lang w:val="pl-PL"/>
        </w:rPr>
      </w:pPr>
      <w:r w:rsidRPr="008F328C">
        <w:rPr>
          <w:rFonts w:eastAsia="Times New Roman"/>
          <w:lang w:val="pl-PL"/>
        </w:rPr>
        <w:t>Stosowanie adalimumabu u pacjentów w wieku poniżej 6 lat nie jest właściwe w tym wskazaniu.</w:t>
      </w:r>
    </w:p>
    <w:p w14:paraId="0390B16E" w14:textId="11EDD32F" w:rsidR="00ED196E" w:rsidRPr="008F328C" w:rsidRDefault="00ED196E" w:rsidP="00C27F39">
      <w:pPr>
        <w:pStyle w:val="a3"/>
        <w:rPr>
          <w:rFonts w:eastAsia="Times New Roman"/>
          <w:lang w:val="pl-PL"/>
        </w:rPr>
      </w:pPr>
    </w:p>
    <w:p w14:paraId="6BCB6A31" w14:textId="4BCA22B3" w:rsidR="00ED196E" w:rsidRPr="008F328C" w:rsidRDefault="00ED196E" w:rsidP="00C27F39">
      <w:pPr>
        <w:pStyle w:val="a3"/>
        <w:rPr>
          <w:lang w:val="pl-PL"/>
        </w:rPr>
      </w:pPr>
      <w:r w:rsidRPr="008F328C">
        <w:rPr>
          <w:lang w:val="pl-PL"/>
        </w:rPr>
        <w:t xml:space="preserve">Produkt </w:t>
      </w:r>
      <w:r w:rsidR="008F328C">
        <w:rPr>
          <w:lang w:val="pl-PL"/>
        </w:rPr>
        <w:t>Yuflyma</w:t>
      </w:r>
      <w:r w:rsidRPr="008F328C">
        <w:rPr>
          <w:lang w:val="pl-PL"/>
        </w:rPr>
        <w:t xml:space="preserve"> może być dostępny w innych dawkach i (lub) postaciach w zależności od indywidualnych potrzeb terapeutycznych.</w:t>
      </w:r>
    </w:p>
    <w:p w14:paraId="085F4E4F" w14:textId="77777777" w:rsidR="00C27F39" w:rsidRPr="008F328C" w:rsidRDefault="00C27F39" w:rsidP="00C27F39">
      <w:pPr>
        <w:rPr>
          <w:rFonts w:ascii="Times New Roman" w:eastAsia="Times New Roman" w:hAnsi="Times New Roman" w:cs="Times New Roman"/>
          <w:i/>
          <w:spacing w:val="-1"/>
          <w:u w:val="single" w:color="000000"/>
          <w:lang w:val="pl-PL"/>
        </w:rPr>
      </w:pPr>
    </w:p>
    <w:p w14:paraId="1ABD627B" w14:textId="77777777" w:rsidR="00C27F39" w:rsidRPr="008F328C" w:rsidRDefault="00C27F39" w:rsidP="00C27F39">
      <w:pPr>
        <w:rPr>
          <w:rFonts w:ascii="Times New Roman" w:eastAsia="Times New Roman" w:hAnsi="Times New Roman" w:cs="Times New Roman"/>
          <w:i/>
          <w:spacing w:val="-1"/>
          <w:u w:val="single" w:color="000000"/>
          <w:lang w:val="pl-PL"/>
        </w:rPr>
      </w:pPr>
      <w:r w:rsidRPr="008F328C">
        <w:rPr>
          <w:rFonts w:ascii="Times New Roman" w:eastAsia="Times New Roman" w:hAnsi="Times New Roman" w:cs="Times New Roman"/>
          <w:i/>
          <w:iCs/>
          <w:spacing w:val="-1"/>
          <w:u w:val="single" w:color="000000"/>
          <w:lang w:val="pl-PL"/>
        </w:rPr>
        <w:t>Zapalenie błony naczyniowej oka u dzieci i młodzieży</w:t>
      </w:r>
    </w:p>
    <w:p w14:paraId="6E77CA2B" w14:textId="77777777" w:rsidR="00C27F39" w:rsidRPr="008F328C" w:rsidRDefault="00C27F39" w:rsidP="00C27F39">
      <w:pPr>
        <w:rPr>
          <w:rFonts w:ascii="Times New Roman" w:eastAsia="Times New Roman" w:hAnsi="Times New Roman" w:cs="Times New Roman"/>
          <w:lang w:val="pl-PL"/>
        </w:rPr>
      </w:pPr>
    </w:p>
    <w:p w14:paraId="0493CA63" w14:textId="56C1A2BF" w:rsidR="00C27F39" w:rsidRPr="008F328C" w:rsidRDefault="00C27F39" w:rsidP="00C27F39">
      <w:pPr>
        <w:pStyle w:val="a3"/>
        <w:rPr>
          <w:lang w:val="pl-PL"/>
        </w:rPr>
      </w:pPr>
      <w:r w:rsidRPr="008F328C">
        <w:rPr>
          <w:rFonts w:eastAsia="Times New Roman"/>
          <w:lang w:val="pl-PL"/>
        </w:rPr>
        <w:t xml:space="preserve">Zalecana dawka produktu Yuflyma u dzieci i młodzieży z zapalaniem błony naczyniowej oka w wieku od 2 lat ustalana jest w zależności </w:t>
      </w:r>
      <w:r w:rsidR="00ED196E" w:rsidRPr="008F328C">
        <w:rPr>
          <w:rFonts w:eastAsia="Times New Roman"/>
          <w:lang w:val="pl-PL"/>
        </w:rPr>
        <w:t>od masy ciała pacjenta (Tabela 5</w:t>
      </w:r>
      <w:r w:rsidRPr="008F328C">
        <w:rPr>
          <w:rFonts w:eastAsia="Times New Roman"/>
          <w:lang w:val="pl-PL"/>
        </w:rPr>
        <w:t>). Produkt Yuflyma podaje się we wstrzyknięciu podskórnym.</w:t>
      </w:r>
    </w:p>
    <w:p w14:paraId="34C7E7B2" w14:textId="77777777" w:rsidR="00C27F39" w:rsidRPr="008F328C" w:rsidRDefault="00C27F39" w:rsidP="00C27F39">
      <w:pPr>
        <w:rPr>
          <w:rFonts w:ascii="Times New Roman" w:hAnsi="Times New Roman" w:cs="Times New Roman"/>
          <w:sz w:val="24"/>
          <w:szCs w:val="24"/>
          <w:lang w:val="pl-PL"/>
        </w:rPr>
      </w:pPr>
    </w:p>
    <w:p w14:paraId="74106630" w14:textId="77777777" w:rsidR="00C27F39" w:rsidRPr="008F328C" w:rsidRDefault="00C27F39" w:rsidP="00C27F39">
      <w:pPr>
        <w:pStyle w:val="a3"/>
        <w:rPr>
          <w:lang w:val="pl-PL"/>
        </w:rPr>
      </w:pPr>
      <w:r w:rsidRPr="008F328C">
        <w:rPr>
          <w:rFonts w:eastAsia="Times New Roman"/>
          <w:lang w:val="pl-PL"/>
        </w:rPr>
        <w:t>W zapaleniu błony naczyniowej oka u dzieci i młodzieży nie ma doświadczenia w leczeniu adalimumabem bez jednoczesnego leczenia metotreksatem.</w:t>
      </w:r>
    </w:p>
    <w:p w14:paraId="342D2710" w14:textId="77777777" w:rsidR="00C27F39" w:rsidRPr="008F328C" w:rsidRDefault="00C27F39" w:rsidP="00C27F39">
      <w:pPr>
        <w:pStyle w:val="a3"/>
        <w:rPr>
          <w:lang w:val="pl-PL"/>
        </w:rPr>
      </w:pPr>
    </w:p>
    <w:p w14:paraId="434072BE" w14:textId="5697E087" w:rsidR="00C27F39" w:rsidRPr="008F328C" w:rsidRDefault="00C27F39" w:rsidP="00C27F39">
      <w:pPr>
        <w:pStyle w:val="a3"/>
        <w:jc w:val="center"/>
        <w:rPr>
          <w:b/>
          <w:lang w:val="pl-PL"/>
        </w:rPr>
      </w:pPr>
      <w:r w:rsidRPr="008F328C">
        <w:rPr>
          <w:rFonts w:eastAsia="Times New Roman"/>
          <w:b/>
          <w:bCs/>
          <w:lang w:val="pl-PL"/>
        </w:rPr>
        <w:t xml:space="preserve">Tabela </w:t>
      </w:r>
      <w:r w:rsidR="00ED196E" w:rsidRPr="008F328C">
        <w:rPr>
          <w:rFonts w:eastAsia="Times New Roman"/>
          <w:b/>
          <w:bCs/>
          <w:lang w:val="pl-PL"/>
        </w:rPr>
        <w:t>5</w:t>
      </w:r>
      <w:r w:rsidRPr="008F328C">
        <w:rPr>
          <w:rFonts w:eastAsia="Times New Roman"/>
          <w:b/>
          <w:bCs/>
          <w:lang w:val="pl-PL"/>
        </w:rPr>
        <w:t xml:space="preserve"> Dawka produktu Yuflyma u dzieci i młodzieży z zapaleniem błony naczyniowej</w:t>
      </w:r>
    </w:p>
    <w:p w14:paraId="1A7ECC60" w14:textId="77777777" w:rsidR="00C27F39" w:rsidRPr="008F328C" w:rsidRDefault="00C27F39" w:rsidP="00C27F39">
      <w:pPr>
        <w:spacing w:before="4" w:line="220" w:lineRule="exact"/>
        <w:rPr>
          <w:rFonts w:ascii="Times New Roman" w:hAnsi="Times New Roman" w:cs="Times New Roman"/>
          <w:lang w:val="pl-PL"/>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C27F39" w:rsidRPr="008F328C" w14:paraId="0F0F6DE4" w14:textId="77777777" w:rsidTr="00ED6A7B">
        <w:trPr>
          <w:trHeight w:val="374"/>
          <w:jc w:val="center"/>
        </w:trPr>
        <w:tc>
          <w:tcPr>
            <w:tcW w:w="3572" w:type="dxa"/>
            <w:tcBorders>
              <w:top w:val="single" w:sz="4" w:space="0" w:color="auto"/>
              <w:bottom w:val="single" w:sz="4" w:space="0" w:color="auto"/>
            </w:tcBorders>
            <w:vAlign w:val="center"/>
          </w:tcPr>
          <w:p w14:paraId="0D734131" w14:textId="77777777" w:rsidR="00C27F39" w:rsidRPr="008F328C" w:rsidRDefault="00C27F39" w:rsidP="00ED6A7B">
            <w:pPr>
              <w:pStyle w:val="a3"/>
              <w:jc w:val="center"/>
              <w:rPr>
                <w:b/>
                <w:lang w:val="pl-PL"/>
              </w:rPr>
            </w:pPr>
            <w:r w:rsidRPr="008F328C">
              <w:rPr>
                <w:rFonts w:eastAsia="Times New Roman"/>
                <w:b/>
                <w:bCs/>
                <w:lang w:val="pl-PL"/>
              </w:rPr>
              <w:t>Masa ciała pacjenta</w:t>
            </w:r>
          </w:p>
        </w:tc>
        <w:tc>
          <w:tcPr>
            <w:tcW w:w="3572" w:type="dxa"/>
            <w:tcBorders>
              <w:top w:val="single" w:sz="4" w:space="0" w:color="auto"/>
              <w:bottom w:val="single" w:sz="4" w:space="0" w:color="auto"/>
            </w:tcBorders>
            <w:vAlign w:val="center"/>
          </w:tcPr>
          <w:p w14:paraId="19989EC3" w14:textId="77777777" w:rsidR="00C27F39" w:rsidRPr="008F328C" w:rsidRDefault="00C27F39" w:rsidP="00ED6A7B">
            <w:pPr>
              <w:pStyle w:val="a3"/>
              <w:jc w:val="center"/>
              <w:rPr>
                <w:b/>
                <w:lang w:val="pl-PL"/>
              </w:rPr>
            </w:pPr>
            <w:r w:rsidRPr="008F328C">
              <w:rPr>
                <w:rFonts w:eastAsia="Times New Roman"/>
                <w:b/>
                <w:bCs/>
                <w:lang w:val="pl-PL"/>
              </w:rPr>
              <w:t>Schemat dawkowania</w:t>
            </w:r>
          </w:p>
        </w:tc>
      </w:tr>
      <w:tr w:rsidR="00ED196E" w:rsidRPr="00494296" w14:paraId="7C3F69CC" w14:textId="77777777" w:rsidTr="00ED6A7B">
        <w:trPr>
          <w:trHeight w:val="388"/>
          <w:jc w:val="center"/>
        </w:trPr>
        <w:tc>
          <w:tcPr>
            <w:tcW w:w="3572" w:type="dxa"/>
            <w:tcBorders>
              <w:top w:val="single" w:sz="4" w:space="0" w:color="auto"/>
              <w:bottom w:val="single" w:sz="4" w:space="0" w:color="auto"/>
            </w:tcBorders>
            <w:vAlign w:val="center"/>
          </w:tcPr>
          <w:p w14:paraId="5DF78F81" w14:textId="77777777" w:rsidR="00ED196E" w:rsidRPr="008F328C" w:rsidRDefault="00ED196E" w:rsidP="00ED196E">
            <w:pPr>
              <w:pStyle w:val="a3"/>
              <w:jc w:val="center"/>
              <w:rPr>
                <w:lang w:val="pl-PL"/>
              </w:rPr>
            </w:pPr>
            <w:r w:rsidRPr="008F328C">
              <w:rPr>
                <w:rFonts w:eastAsia="Times New Roman"/>
                <w:lang w:val="pl-PL"/>
              </w:rPr>
              <w:t>&lt; 30 kg</w:t>
            </w:r>
          </w:p>
        </w:tc>
        <w:tc>
          <w:tcPr>
            <w:tcW w:w="3572" w:type="dxa"/>
            <w:tcBorders>
              <w:top w:val="single" w:sz="4" w:space="0" w:color="auto"/>
              <w:bottom w:val="single" w:sz="4" w:space="0" w:color="auto"/>
            </w:tcBorders>
            <w:vAlign w:val="center"/>
          </w:tcPr>
          <w:p w14:paraId="7D49333B" w14:textId="4AF54BDB" w:rsidR="00ED196E" w:rsidRPr="008F328C" w:rsidRDefault="00ED196E" w:rsidP="00ED196E">
            <w:pPr>
              <w:pStyle w:val="a3"/>
              <w:jc w:val="center"/>
              <w:rPr>
                <w:lang w:val="pl-PL"/>
              </w:rPr>
            </w:pPr>
            <w:r w:rsidRPr="008F328C">
              <w:rPr>
                <w:rFonts w:eastAsia="Times New Roman"/>
                <w:lang w:val="pl-PL"/>
              </w:rPr>
              <w:t>20 mg co drugi tydzień w skojarzeniu z metotreksatem</w:t>
            </w:r>
          </w:p>
        </w:tc>
      </w:tr>
      <w:tr w:rsidR="00ED196E" w:rsidRPr="00494296" w14:paraId="551FFADE" w14:textId="77777777" w:rsidTr="00ED6A7B">
        <w:trPr>
          <w:trHeight w:val="374"/>
          <w:jc w:val="center"/>
        </w:trPr>
        <w:tc>
          <w:tcPr>
            <w:tcW w:w="3572" w:type="dxa"/>
            <w:tcBorders>
              <w:top w:val="single" w:sz="4" w:space="0" w:color="auto"/>
              <w:bottom w:val="single" w:sz="4" w:space="0" w:color="auto"/>
            </w:tcBorders>
            <w:vAlign w:val="center"/>
          </w:tcPr>
          <w:p w14:paraId="27CAB19E" w14:textId="77777777" w:rsidR="00ED196E" w:rsidRPr="008F328C" w:rsidRDefault="00ED196E" w:rsidP="00ED196E">
            <w:pPr>
              <w:pStyle w:val="a3"/>
              <w:jc w:val="center"/>
              <w:rPr>
                <w:lang w:val="pl-PL"/>
              </w:rPr>
            </w:pPr>
            <w:r w:rsidRPr="008F328C">
              <w:rPr>
                <w:rFonts w:eastAsia="Times New Roman"/>
                <w:lang w:val="pl-PL"/>
              </w:rPr>
              <w:t>≥ 30 kg</w:t>
            </w:r>
          </w:p>
        </w:tc>
        <w:tc>
          <w:tcPr>
            <w:tcW w:w="3572" w:type="dxa"/>
            <w:tcBorders>
              <w:top w:val="single" w:sz="4" w:space="0" w:color="auto"/>
              <w:bottom w:val="single" w:sz="4" w:space="0" w:color="auto"/>
            </w:tcBorders>
            <w:vAlign w:val="center"/>
          </w:tcPr>
          <w:p w14:paraId="260CD3A4" w14:textId="77777777" w:rsidR="00ED196E" w:rsidRPr="008F328C" w:rsidRDefault="00ED196E" w:rsidP="00ED196E">
            <w:pPr>
              <w:pStyle w:val="a3"/>
              <w:jc w:val="center"/>
              <w:rPr>
                <w:lang w:val="pl-PL"/>
              </w:rPr>
            </w:pPr>
            <w:r w:rsidRPr="008F328C">
              <w:rPr>
                <w:rFonts w:eastAsia="Times New Roman"/>
                <w:lang w:val="pl-PL"/>
              </w:rPr>
              <w:t>40 mg co drugi tydzień w skojarzeniu z metotreksatem</w:t>
            </w:r>
          </w:p>
        </w:tc>
      </w:tr>
    </w:tbl>
    <w:p w14:paraId="4A21872B" w14:textId="77777777" w:rsidR="00C27F39" w:rsidRPr="008F328C" w:rsidRDefault="00C27F39" w:rsidP="00C27F39">
      <w:pPr>
        <w:pStyle w:val="a3"/>
        <w:rPr>
          <w:lang w:val="pl-PL"/>
        </w:rPr>
      </w:pPr>
    </w:p>
    <w:p w14:paraId="034B648D" w14:textId="77777777" w:rsidR="00C27F39" w:rsidRPr="008F328C" w:rsidRDefault="00C27F39" w:rsidP="00C27F39">
      <w:pPr>
        <w:pStyle w:val="a3"/>
        <w:rPr>
          <w:lang w:val="pl-PL"/>
        </w:rPr>
      </w:pPr>
      <w:r w:rsidRPr="008F328C">
        <w:rPr>
          <w:rFonts w:eastAsia="Times New Roman"/>
          <w:lang w:val="pl-PL"/>
        </w:rPr>
        <w:t>Rozpoczynając leczenie produktem Yuflyma, dawkę nasycającą 40 mg u pacjentów &lt; 30 kg lub 80 mg u pacjentów ≥ 30 kg można podać jeden tydzień przed rozpoczęciem leczenia podtrzymującego. Nie ma dostępnych danych klinicznych dotyczących stosowania dawki nasycającej adalimumabu u dzieci w wieku &lt;6 lat (patrz punkt 5.2).</w:t>
      </w:r>
    </w:p>
    <w:p w14:paraId="7E5D2639" w14:textId="77777777" w:rsidR="00C27F39" w:rsidRPr="008F328C" w:rsidRDefault="00C27F39" w:rsidP="00C27F39">
      <w:pPr>
        <w:spacing w:before="10" w:line="240" w:lineRule="exact"/>
        <w:rPr>
          <w:rFonts w:ascii="Times New Roman" w:hAnsi="Times New Roman" w:cs="Times New Roman"/>
          <w:sz w:val="24"/>
          <w:szCs w:val="24"/>
          <w:lang w:val="pl-PL"/>
        </w:rPr>
      </w:pPr>
    </w:p>
    <w:p w14:paraId="569050F8" w14:textId="77777777" w:rsidR="00C27F39" w:rsidRPr="008F328C" w:rsidRDefault="00C27F39" w:rsidP="00C27F39">
      <w:pPr>
        <w:pStyle w:val="a3"/>
        <w:rPr>
          <w:lang w:val="pl-PL"/>
        </w:rPr>
      </w:pPr>
      <w:r w:rsidRPr="008F328C">
        <w:rPr>
          <w:rFonts w:eastAsia="Times New Roman"/>
          <w:lang w:val="pl-PL"/>
        </w:rPr>
        <w:t>Stosowanie produktu adalimumabu u dzieci w wieku poniżej 2 lat nie jest właściwe w tym wskazaniu.</w:t>
      </w:r>
    </w:p>
    <w:p w14:paraId="797F1906" w14:textId="77777777" w:rsidR="00C27F39" w:rsidRPr="008F328C" w:rsidRDefault="00C27F39" w:rsidP="00C27F39">
      <w:pPr>
        <w:spacing w:before="11" w:line="240" w:lineRule="exact"/>
        <w:rPr>
          <w:rFonts w:ascii="Times New Roman" w:hAnsi="Times New Roman" w:cs="Times New Roman"/>
          <w:sz w:val="24"/>
          <w:szCs w:val="24"/>
          <w:lang w:val="pl-PL"/>
        </w:rPr>
      </w:pPr>
    </w:p>
    <w:p w14:paraId="1BF000B4" w14:textId="77777777" w:rsidR="00C27F39" w:rsidRPr="008F328C" w:rsidRDefault="00C27F39" w:rsidP="00C27F39">
      <w:pPr>
        <w:pStyle w:val="a3"/>
        <w:rPr>
          <w:lang w:val="pl-PL"/>
        </w:rPr>
      </w:pPr>
      <w:r w:rsidRPr="008F328C">
        <w:rPr>
          <w:rFonts w:eastAsia="Times New Roman"/>
          <w:spacing w:val="-4"/>
          <w:lang w:val="pl-PL"/>
        </w:rPr>
        <w:t>Zaleca się coroczną ocenę korzyści i ryzyka związanego z kontynuacją długookresowego leczenia (patrz punkt 5.1).</w:t>
      </w:r>
    </w:p>
    <w:p w14:paraId="6157C73D" w14:textId="4CBD726E" w:rsidR="00C27F39" w:rsidRPr="008F328C" w:rsidRDefault="00C27F39" w:rsidP="00C27F39">
      <w:pPr>
        <w:spacing w:before="16" w:line="240" w:lineRule="exact"/>
        <w:rPr>
          <w:rFonts w:ascii="Times New Roman" w:eastAsia="Times New Roman" w:hAnsi="Times New Roman" w:cs="Times New Roman"/>
          <w:spacing w:val="-4"/>
          <w:lang w:val="pl-PL"/>
        </w:rPr>
      </w:pPr>
    </w:p>
    <w:p w14:paraId="1ADBB337" w14:textId="7921AAF8" w:rsidR="00ED196E" w:rsidRPr="008F328C" w:rsidRDefault="00ED196E" w:rsidP="00C27F39">
      <w:pPr>
        <w:spacing w:before="16" w:line="240" w:lineRule="exact"/>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 xml:space="preserve">Produkt </w:t>
      </w:r>
      <w:r w:rsidR="008F328C">
        <w:rPr>
          <w:rFonts w:ascii="Times New Roman" w:eastAsia="Times New Roman" w:hAnsi="Times New Roman" w:cs="Times New Roman"/>
          <w:spacing w:val="-4"/>
          <w:lang w:val="pl-PL"/>
        </w:rPr>
        <w:t>Yuflyma</w:t>
      </w:r>
      <w:r w:rsidRPr="008F328C">
        <w:rPr>
          <w:rFonts w:ascii="Times New Roman" w:eastAsia="Times New Roman" w:hAnsi="Times New Roman" w:cs="Times New Roman"/>
          <w:spacing w:val="-4"/>
          <w:lang w:val="pl-PL"/>
        </w:rPr>
        <w:t xml:space="preserve"> może być dostępny w innych dawkach i (lub) postaciach w zależności od indywidualnych potrzeb terapeutycznych.</w:t>
      </w:r>
    </w:p>
    <w:p w14:paraId="7F8364CB" w14:textId="5843F840" w:rsidR="00C27F39" w:rsidRPr="008F328C" w:rsidRDefault="00C27F39" w:rsidP="00C27F39">
      <w:pPr>
        <w:spacing w:before="12" w:line="240" w:lineRule="exact"/>
        <w:rPr>
          <w:rFonts w:ascii="Times New Roman" w:eastAsia="Times New Roman" w:hAnsi="Times New Roman" w:cs="Times New Roman"/>
          <w:spacing w:val="-4"/>
          <w:lang w:val="pl-PL"/>
        </w:rPr>
      </w:pPr>
    </w:p>
    <w:p w14:paraId="676A9643" w14:textId="77777777" w:rsidR="00ED196E" w:rsidRPr="008F328C" w:rsidRDefault="00ED196E" w:rsidP="008F328C">
      <w:pPr>
        <w:pStyle w:val="a3"/>
        <w:rPr>
          <w:rFonts w:eastAsia="Times New Roman"/>
          <w:u w:val="single" w:color="000000"/>
          <w:lang w:val="pl-PL"/>
        </w:rPr>
      </w:pPr>
      <w:r w:rsidRPr="008F328C">
        <w:rPr>
          <w:rFonts w:eastAsia="Times New Roman"/>
          <w:u w:val="single" w:color="000000"/>
          <w:lang w:val="pl-PL"/>
        </w:rPr>
        <w:t>Zaburzenia czynności nerek i (lub) wątroby</w:t>
      </w:r>
    </w:p>
    <w:p w14:paraId="05D471F0" w14:textId="77777777" w:rsidR="00ED196E" w:rsidRPr="008F328C" w:rsidRDefault="00ED196E" w:rsidP="00C27F39">
      <w:pPr>
        <w:spacing w:before="12" w:line="240" w:lineRule="exact"/>
        <w:rPr>
          <w:rFonts w:ascii="Times New Roman" w:eastAsia="Times New Roman" w:hAnsi="Times New Roman" w:cs="Times New Roman"/>
          <w:spacing w:val="-4"/>
          <w:lang w:val="pl-PL"/>
        </w:rPr>
      </w:pPr>
    </w:p>
    <w:p w14:paraId="42979946" w14:textId="3A1C35C1" w:rsidR="00ED196E" w:rsidRPr="008F328C" w:rsidRDefault="00ED196E" w:rsidP="00C27F39">
      <w:pPr>
        <w:spacing w:before="12" w:line="240" w:lineRule="exact"/>
        <w:rPr>
          <w:rFonts w:ascii="Times New Roman" w:eastAsia="Times New Roman" w:hAnsi="Times New Roman" w:cs="Times New Roman"/>
          <w:spacing w:val="-4"/>
          <w:lang w:val="pl-PL"/>
        </w:rPr>
      </w:pPr>
      <w:r w:rsidRPr="008F328C">
        <w:rPr>
          <w:rFonts w:ascii="Times New Roman" w:eastAsia="Times New Roman" w:hAnsi="Times New Roman" w:cs="Times New Roman"/>
          <w:spacing w:val="-4"/>
          <w:lang w:val="pl-PL"/>
        </w:rPr>
        <w:t xml:space="preserve">Nie badano stosowania produktu </w:t>
      </w:r>
      <w:r w:rsidR="008F328C">
        <w:rPr>
          <w:rFonts w:ascii="Times New Roman" w:eastAsia="Times New Roman" w:hAnsi="Times New Roman" w:cs="Times New Roman"/>
          <w:spacing w:val="-4"/>
          <w:lang w:val="pl-PL"/>
        </w:rPr>
        <w:t>Yuflyma</w:t>
      </w:r>
      <w:r w:rsidRPr="008F328C">
        <w:rPr>
          <w:rFonts w:ascii="Times New Roman" w:eastAsia="Times New Roman" w:hAnsi="Times New Roman" w:cs="Times New Roman"/>
          <w:spacing w:val="-4"/>
          <w:lang w:val="pl-PL"/>
        </w:rPr>
        <w:t xml:space="preserve"> w tych populacjach pacjentów. Nie można podać zaleceń dotyczących dawkowania</w:t>
      </w:r>
    </w:p>
    <w:p w14:paraId="71A2439A" w14:textId="77777777" w:rsidR="00ED196E" w:rsidRPr="008F328C" w:rsidRDefault="00ED196E" w:rsidP="00C27F39">
      <w:pPr>
        <w:spacing w:before="12" w:line="240" w:lineRule="exact"/>
        <w:rPr>
          <w:rFonts w:ascii="Times New Roman" w:eastAsia="Times New Roman" w:hAnsi="Times New Roman" w:cs="Times New Roman"/>
          <w:spacing w:val="-4"/>
          <w:lang w:val="pl-PL"/>
        </w:rPr>
      </w:pPr>
    </w:p>
    <w:p w14:paraId="6EBEC6B0" w14:textId="77777777" w:rsidR="00C27F39" w:rsidRPr="008F328C" w:rsidRDefault="00C27F39" w:rsidP="00C27F39">
      <w:pPr>
        <w:pStyle w:val="a3"/>
        <w:rPr>
          <w:u w:val="single"/>
          <w:lang w:val="pl-PL"/>
        </w:rPr>
      </w:pPr>
      <w:r w:rsidRPr="008F328C">
        <w:rPr>
          <w:rFonts w:eastAsia="Times New Roman"/>
          <w:u w:val="single" w:color="000000"/>
          <w:lang w:val="pl-PL"/>
        </w:rPr>
        <w:t>Sposób podawania</w:t>
      </w:r>
    </w:p>
    <w:p w14:paraId="27D95363" w14:textId="77777777" w:rsidR="00C27F39" w:rsidRPr="008F328C" w:rsidRDefault="00C27F39" w:rsidP="00C27F39">
      <w:pPr>
        <w:spacing w:before="9" w:line="170" w:lineRule="exact"/>
        <w:rPr>
          <w:rFonts w:ascii="Times New Roman" w:hAnsi="Times New Roman" w:cs="Times New Roman"/>
          <w:lang w:val="pl-PL"/>
        </w:rPr>
      </w:pPr>
    </w:p>
    <w:p w14:paraId="4F483A63" w14:textId="1724F40D" w:rsidR="00C27F39" w:rsidRPr="008F328C" w:rsidRDefault="00C27F39" w:rsidP="00C27F39">
      <w:pPr>
        <w:pStyle w:val="a3"/>
        <w:rPr>
          <w:lang w:val="pl-PL"/>
        </w:rPr>
      </w:pPr>
      <w:r w:rsidRPr="008F328C">
        <w:rPr>
          <w:rFonts w:eastAsia="Times New Roman"/>
          <w:lang w:val="pl-PL"/>
        </w:rPr>
        <w:t>Produkt Yuflyma podaje się we wstrzyknięciu podskórnym.</w:t>
      </w:r>
      <w:r w:rsidR="00ED196E" w:rsidRPr="008F328C">
        <w:rPr>
          <w:lang w:val="pl-PL" w:eastAsia="ko-KR"/>
        </w:rPr>
        <w:t xml:space="preserve"> </w:t>
      </w:r>
      <w:r w:rsidRPr="008F328C">
        <w:rPr>
          <w:rFonts w:eastAsia="Times New Roman"/>
          <w:lang w:val="pl-PL"/>
        </w:rPr>
        <w:t>Pełne instrukcje dotyczące stosowania podano w ulotce dołączonej do opakowania.</w:t>
      </w:r>
    </w:p>
    <w:p w14:paraId="20F4CA20" w14:textId="77777777" w:rsidR="00C27F39" w:rsidRPr="008F328C" w:rsidRDefault="00C27F39" w:rsidP="00C27F39">
      <w:pPr>
        <w:spacing w:before="12" w:line="240" w:lineRule="exact"/>
        <w:rPr>
          <w:rFonts w:ascii="Times New Roman" w:hAnsi="Times New Roman" w:cs="Times New Roman"/>
          <w:lang w:val="pl-PL"/>
        </w:rPr>
      </w:pPr>
    </w:p>
    <w:p w14:paraId="69FADF26" w14:textId="29DCFC15" w:rsidR="00C27F39" w:rsidRPr="008F328C" w:rsidRDefault="00ED196E" w:rsidP="00C27F39">
      <w:pPr>
        <w:pStyle w:val="a3"/>
        <w:rPr>
          <w:lang w:val="pl-PL"/>
        </w:rPr>
      </w:pPr>
      <w:r w:rsidRPr="00DF3E6D">
        <w:rPr>
          <w:lang w:val="pl-PL"/>
        </w:rPr>
        <w:t xml:space="preserve">Produkt </w:t>
      </w:r>
      <w:r w:rsidR="008F328C" w:rsidRPr="00DF3E6D">
        <w:rPr>
          <w:lang w:val="pl-PL"/>
        </w:rPr>
        <w:t>Yuflyma</w:t>
      </w:r>
      <w:r w:rsidRPr="00DF3E6D">
        <w:rPr>
          <w:lang w:val="pl-PL"/>
        </w:rPr>
        <w:t xml:space="preserve"> jest dostępny w innych dawkach i (lub) postaciach</w:t>
      </w:r>
      <w:r w:rsidR="00C27F39" w:rsidRPr="008F328C">
        <w:rPr>
          <w:rFonts w:eastAsia="Times New Roman"/>
          <w:lang w:val="pl-PL"/>
        </w:rPr>
        <w:t>.</w:t>
      </w:r>
    </w:p>
    <w:p w14:paraId="584FB77A" w14:textId="77777777" w:rsidR="00C27F39" w:rsidRPr="008F328C" w:rsidRDefault="00C27F39" w:rsidP="00C27F39">
      <w:pPr>
        <w:spacing w:before="16" w:line="240" w:lineRule="exact"/>
        <w:rPr>
          <w:rFonts w:ascii="Times New Roman" w:hAnsi="Times New Roman" w:cs="Times New Roman"/>
          <w:lang w:val="pl-PL"/>
        </w:rPr>
      </w:pPr>
    </w:p>
    <w:p w14:paraId="053EBB22"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Przeciwwskazania</w:t>
      </w:r>
    </w:p>
    <w:p w14:paraId="529DCBD6" w14:textId="77777777" w:rsidR="00C27F39" w:rsidRPr="008F328C" w:rsidRDefault="00C27F39" w:rsidP="00C27F39">
      <w:pPr>
        <w:spacing w:before="9" w:line="240" w:lineRule="exact"/>
        <w:rPr>
          <w:rFonts w:ascii="Times New Roman" w:hAnsi="Times New Roman" w:cs="Times New Roman"/>
          <w:lang w:val="pl-PL"/>
        </w:rPr>
      </w:pPr>
    </w:p>
    <w:p w14:paraId="0AA1AB56" w14:textId="77777777" w:rsidR="00C27F39" w:rsidRPr="008F328C" w:rsidRDefault="00C27F39" w:rsidP="00C27F39">
      <w:pPr>
        <w:pStyle w:val="a3"/>
        <w:rPr>
          <w:lang w:val="pl-PL"/>
        </w:rPr>
      </w:pPr>
      <w:r w:rsidRPr="008F328C">
        <w:rPr>
          <w:rFonts w:eastAsia="Times New Roman"/>
          <w:lang w:val="pl-PL"/>
        </w:rPr>
        <w:t>Nadwrażliwość na substancję czynną lub na którąkolwiek substancję pomocniczą wymienioną w punkcie 6.1.</w:t>
      </w:r>
    </w:p>
    <w:p w14:paraId="7736A681" w14:textId="77777777" w:rsidR="00C27F39" w:rsidRPr="008F328C" w:rsidRDefault="00C27F39" w:rsidP="00C27F39">
      <w:pPr>
        <w:spacing w:before="13" w:line="240" w:lineRule="exact"/>
        <w:rPr>
          <w:rFonts w:ascii="Times New Roman" w:hAnsi="Times New Roman" w:cs="Times New Roman"/>
          <w:lang w:val="pl-PL"/>
        </w:rPr>
      </w:pPr>
    </w:p>
    <w:p w14:paraId="069E9FC6" w14:textId="77777777" w:rsidR="00C27F39" w:rsidRPr="008F328C" w:rsidRDefault="00C27F39" w:rsidP="00C27F39">
      <w:pPr>
        <w:pStyle w:val="a3"/>
        <w:rPr>
          <w:lang w:val="pl-PL"/>
        </w:rPr>
      </w:pPr>
      <w:r w:rsidRPr="008F328C">
        <w:rPr>
          <w:rFonts w:eastAsia="Times New Roman"/>
          <w:lang w:val="pl-PL"/>
        </w:rPr>
        <w:t xml:space="preserve">Czynna gruźlica lub inne ciężkie zakażenia, takie jak posocznica i zakażenia oportunistyczne (patrz punkt 4.4). </w:t>
      </w:r>
    </w:p>
    <w:p w14:paraId="0E641A9E" w14:textId="77777777" w:rsidR="00C27F39" w:rsidRPr="008F328C" w:rsidRDefault="00C27F39" w:rsidP="00C27F39">
      <w:pPr>
        <w:pStyle w:val="a3"/>
        <w:rPr>
          <w:lang w:val="pl-PL"/>
        </w:rPr>
      </w:pPr>
    </w:p>
    <w:p w14:paraId="315DCEE7" w14:textId="77777777" w:rsidR="00C27F39" w:rsidRPr="008F328C" w:rsidRDefault="00C27F39" w:rsidP="00C27F39">
      <w:pPr>
        <w:pStyle w:val="a3"/>
        <w:rPr>
          <w:lang w:val="pl-PL"/>
        </w:rPr>
      </w:pPr>
      <w:r w:rsidRPr="008F328C">
        <w:rPr>
          <w:rFonts w:eastAsia="Times New Roman"/>
          <w:lang w:val="pl-PL"/>
        </w:rPr>
        <w:t>Umiarkowana i ciężka niewydolność serca (klasa III/IV wg NYHA) (patrz punkt 4.4).</w:t>
      </w:r>
    </w:p>
    <w:p w14:paraId="76D753E6" w14:textId="77777777" w:rsidR="00C27F39" w:rsidRPr="008F328C" w:rsidRDefault="00C27F39" w:rsidP="00C27F39">
      <w:pPr>
        <w:pStyle w:val="a3"/>
        <w:rPr>
          <w:lang w:val="pl-PL"/>
        </w:rPr>
      </w:pPr>
    </w:p>
    <w:p w14:paraId="3DBA928B"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ostrzeżenia i środki ostrożności dotyczące stosowania</w:t>
      </w:r>
    </w:p>
    <w:p w14:paraId="3994BF3B" w14:textId="77777777" w:rsidR="00C27F39" w:rsidRPr="008F328C" w:rsidRDefault="00C27F39" w:rsidP="00C27F39">
      <w:pPr>
        <w:spacing w:before="9" w:line="240" w:lineRule="exact"/>
        <w:rPr>
          <w:rFonts w:ascii="Times New Roman" w:hAnsi="Times New Roman" w:cs="Times New Roman"/>
          <w:lang w:val="pl-PL"/>
        </w:rPr>
      </w:pPr>
    </w:p>
    <w:p w14:paraId="1A790105" w14:textId="77777777" w:rsidR="00C27F39" w:rsidRPr="008F328C" w:rsidRDefault="00C27F39" w:rsidP="00C27F39">
      <w:pPr>
        <w:pStyle w:val="a3"/>
        <w:rPr>
          <w:u w:val="single"/>
          <w:lang w:val="pl-PL"/>
        </w:rPr>
      </w:pPr>
      <w:r w:rsidRPr="008F328C">
        <w:rPr>
          <w:rFonts w:eastAsia="Times New Roman"/>
          <w:spacing w:val="1"/>
          <w:u w:val="single" w:color="000000"/>
          <w:lang w:val="pl-PL"/>
        </w:rPr>
        <w:lastRenderedPageBreak/>
        <w:t>Identyfikowalność</w:t>
      </w:r>
    </w:p>
    <w:p w14:paraId="2F28D457" w14:textId="77777777" w:rsidR="00C27F39" w:rsidRPr="008F328C" w:rsidRDefault="00C27F39" w:rsidP="00C27F39">
      <w:pPr>
        <w:spacing w:before="1" w:line="180" w:lineRule="exact"/>
        <w:rPr>
          <w:rFonts w:ascii="Times New Roman" w:hAnsi="Times New Roman" w:cs="Times New Roman"/>
          <w:lang w:val="pl-PL"/>
        </w:rPr>
      </w:pPr>
    </w:p>
    <w:p w14:paraId="4C66D7EF" w14:textId="77777777" w:rsidR="00C27F39" w:rsidRPr="008F328C" w:rsidRDefault="00C27F39" w:rsidP="00C27F39">
      <w:pPr>
        <w:pStyle w:val="a3"/>
        <w:rPr>
          <w:lang w:val="pl-PL"/>
        </w:rPr>
      </w:pPr>
      <w:r w:rsidRPr="008F328C">
        <w:rPr>
          <w:rFonts w:eastAsia="Times New Roman"/>
          <w:lang w:val="pl-PL"/>
        </w:rPr>
        <w:t>W celu poprawienia identyfikowalności biologicznych produktów leczniczych należy czytelnie zapisać nazwę i numer serii podawanego produktu.</w:t>
      </w:r>
    </w:p>
    <w:p w14:paraId="2076CCDC" w14:textId="77777777" w:rsidR="00C27F39" w:rsidRPr="008F328C" w:rsidRDefault="00C27F39" w:rsidP="00C27F39">
      <w:pPr>
        <w:spacing w:before="11" w:line="240" w:lineRule="exact"/>
        <w:rPr>
          <w:rFonts w:ascii="Times New Roman" w:hAnsi="Times New Roman" w:cs="Times New Roman"/>
          <w:lang w:val="pl-PL"/>
        </w:rPr>
      </w:pPr>
    </w:p>
    <w:p w14:paraId="089DD005" w14:textId="77777777" w:rsidR="00C27F39" w:rsidRPr="008F328C" w:rsidRDefault="00C27F39" w:rsidP="00C27F39">
      <w:pPr>
        <w:pStyle w:val="a3"/>
        <w:rPr>
          <w:u w:val="single"/>
          <w:lang w:val="pl-PL"/>
        </w:rPr>
      </w:pPr>
      <w:r w:rsidRPr="008F328C">
        <w:rPr>
          <w:rFonts w:eastAsia="Times New Roman"/>
          <w:u w:val="single" w:color="000000"/>
          <w:lang w:val="pl-PL"/>
        </w:rPr>
        <w:t>Zakażenia</w:t>
      </w:r>
    </w:p>
    <w:p w14:paraId="2941F6DB" w14:textId="77777777" w:rsidR="00C27F39" w:rsidRPr="008F328C" w:rsidRDefault="00C27F39" w:rsidP="00C27F39">
      <w:pPr>
        <w:spacing w:before="1" w:line="180" w:lineRule="exact"/>
        <w:rPr>
          <w:rFonts w:ascii="Times New Roman" w:hAnsi="Times New Roman" w:cs="Times New Roman"/>
          <w:lang w:val="pl-PL"/>
        </w:rPr>
      </w:pPr>
    </w:p>
    <w:p w14:paraId="62A7FB62" w14:textId="77777777" w:rsidR="00C27F39" w:rsidRPr="008F328C" w:rsidRDefault="00C27F39" w:rsidP="00C27F39">
      <w:pPr>
        <w:pStyle w:val="a3"/>
        <w:rPr>
          <w:lang w:val="pl-PL"/>
        </w:rPr>
      </w:pPr>
      <w:r w:rsidRPr="008F328C">
        <w:rPr>
          <w:rFonts w:eastAsia="Times New Roman"/>
          <w:lang w:val="pl-PL"/>
        </w:rPr>
        <w:t>Pacjenci otrzymujący leki z grupy antagonistów TNF są bardziej podatni na ciężkie zakażenia. Zaburzenie czynności płuc może zwiększyć ryzyko rozwijania się zakażeń. Pacjentów należy wobec tego dokładnie monitorować w celu wykluczenia ewentualnych zakażeń, w tym gruźlicy przed, podczas i po leczeniu produktem Yuflyma. Eliminacja adalimumabu z ustroju może trwać nawet 4 miesiące i w tym okresie należy kontynuować badania kontrolne.</w:t>
      </w:r>
    </w:p>
    <w:p w14:paraId="6163D7E9" w14:textId="77777777" w:rsidR="00C27F39" w:rsidRPr="008F328C" w:rsidRDefault="00C27F39" w:rsidP="00C27F39">
      <w:pPr>
        <w:spacing w:before="14" w:line="240" w:lineRule="exact"/>
        <w:rPr>
          <w:rFonts w:ascii="Times New Roman" w:hAnsi="Times New Roman" w:cs="Times New Roman"/>
          <w:lang w:val="pl-PL"/>
        </w:rPr>
      </w:pPr>
    </w:p>
    <w:p w14:paraId="4E5EE268" w14:textId="77777777" w:rsidR="00C27F39" w:rsidRPr="008F328C" w:rsidRDefault="00C27F39" w:rsidP="00C27F39">
      <w:pPr>
        <w:pStyle w:val="a3"/>
        <w:rPr>
          <w:lang w:val="pl-PL"/>
        </w:rPr>
      </w:pPr>
      <w:r w:rsidRPr="008F328C">
        <w:rPr>
          <w:rFonts w:eastAsia="Times New Roman"/>
          <w:lang w:val="pl-PL"/>
        </w:rPr>
        <w:t xml:space="preserve">Leczenia produktem Yuflyma nie wolno rozpoczynać u pacjentów z czynnym zakażeniem, w tym z przewlekłymi lub miejscowymi zakażeniami, do czasu opanowania zakażenia. U pacjentów narażonych na gruźlicę i pacjentów, którzy podróżowali w rejonach o wysokim ryzyku zachorowania na gruźlicę lub występujących endemicznie grzybic, takich jak histoplazmoza, kokcydioidomykoza lub blastomykoza, przed rozpoczęciem terapii należy rozważyć ryzyko i korzyści związane z leczeniem produktem Yuflyma (patrz </w:t>
      </w:r>
      <w:r w:rsidRPr="008F328C">
        <w:rPr>
          <w:rFonts w:eastAsia="Times New Roman"/>
          <w:i/>
          <w:iCs/>
          <w:lang w:val="pl-PL"/>
        </w:rPr>
        <w:t>Inne zakażenia oportunistyczne</w:t>
      </w:r>
      <w:r w:rsidRPr="008F328C">
        <w:rPr>
          <w:rFonts w:eastAsia="Times New Roman"/>
          <w:lang w:val="pl-PL"/>
        </w:rPr>
        <w:t>).</w:t>
      </w:r>
    </w:p>
    <w:p w14:paraId="292084AD" w14:textId="77777777" w:rsidR="00C27F39" w:rsidRPr="008F328C" w:rsidRDefault="00C27F39" w:rsidP="00C27F39">
      <w:pPr>
        <w:spacing w:before="13" w:line="240" w:lineRule="exact"/>
        <w:rPr>
          <w:rFonts w:ascii="Times New Roman" w:hAnsi="Times New Roman" w:cs="Times New Roman"/>
          <w:lang w:val="pl-PL"/>
        </w:rPr>
      </w:pPr>
    </w:p>
    <w:p w14:paraId="5F8EB2F8" w14:textId="77777777" w:rsidR="00C27F39" w:rsidRPr="008F328C" w:rsidRDefault="00C27F39" w:rsidP="00C27F39">
      <w:pPr>
        <w:pStyle w:val="a3"/>
        <w:rPr>
          <w:lang w:val="pl-PL"/>
        </w:rPr>
      </w:pPr>
      <w:r w:rsidRPr="008F328C">
        <w:rPr>
          <w:rFonts w:eastAsia="Times New Roman"/>
          <w:lang w:val="pl-PL"/>
        </w:rPr>
        <w:t>Pacjentów, u których w czasie leczenia produktem Yuflyma wystąpi nowe zakażenie należy poddać dokładnym badaniom kontrolnym i wykonać badania diagnostyczne w pełnym zakresie. Jeśli u pacjenta wystąpi nowe ciężkie zakażenie lub posocznica, należy zastosować odpowiednie leczenie przeciwbakteryjne lub przeciwgrzybicze, a podawanie produktu Yuflyma należy wstrzymać do czasu opanowania zakażenia. Lekarze powinni zachować ostrożność rozważając użycie produktu Yuflyma u pacjentów z nawracającymi zakażeniami w wywiadzie w stanach, które mogą zwiększać skłonność do zakażeń, w tym jednoczesne stosowanie leków immunosupresyjnych.</w:t>
      </w:r>
    </w:p>
    <w:p w14:paraId="0074B0EF" w14:textId="77777777" w:rsidR="00C27F39" w:rsidRPr="008F328C" w:rsidRDefault="00C27F39" w:rsidP="00C27F39">
      <w:pPr>
        <w:pStyle w:val="a3"/>
        <w:rPr>
          <w:lang w:val="pl-PL"/>
        </w:rPr>
      </w:pPr>
    </w:p>
    <w:p w14:paraId="17B47653"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Ciężkie zakażenia</w:t>
      </w:r>
    </w:p>
    <w:p w14:paraId="012C1C28" w14:textId="77777777" w:rsidR="00C27F39" w:rsidRPr="008F328C" w:rsidRDefault="00C27F39" w:rsidP="00C27F39">
      <w:pPr>
        <w:spacing w:line="240" w:lineRule="exact"/>
        <w:rPr>
          <w:rFonts w:ascii="Times New Roman" w:hAnsi="Times New Roman" w:cs="Times New Roman"/>
          <w:lang w:val="pl-PL"/>
        </w:rPr>
      </w:pPr>
    </w:p>
    <w:p w14:paraId="1440ECE2" w14:textId="77777777" w:rsidR="00C27F39" w:rsidRPr="008F328C" w:rsidRDefault="00C27F39" w:rsidP="00C27F39">
      <w:pPr>
        <w:pStyle w:val="a3"/>
        <w:rPr>
          <w:lang w:val="pl-PL"/>
        </w:rPr>
      </w:pPr>
      <w:r w:rsidRPr="008F328C">
        <w:rPr>
          <w:rFonts w:eastAsia="Times New Roman"/>
          <w:lang w:val="pl-PL"/>
        </w:rPr>
        <w:t>U pacjentów otrzymujących adalimumab zgłaszano ciężkie zakażenia, w tym posocznicę spowodowaną zakażeniem bakteryjnym, zakażeniem wywołanym przez prątki, inwazyjnym zakażeniem grzybiczym, pasożytniczym, wirusowym, lub inne oportunistyczne zakażenia, takie jak listerioza, legionelloza i pneumocystoza.</w:t>
      </w:r>
    </w:p>
    <w:p w14:paraId="19CC5ABB" w14:textId="77777777" w:rsidR="00C27F39" w:rsidRPr="008F328C" w:rsidRDefault="00C27F39" w:rsidP="00C27F39">
      <w:pPr>
        <w:spacing w:line="240" w:lineRule="exact"/>
        <w:rPr>
          <w:rFonts w:ascii="Times New Roman" w:hAnsi="Times New Roman" w:cs="Times New Roman"/>
          <w:lang w:val="pl-PL"/>
        </w:rPr>
      </w:pPr>
    </w:p>
    <w:p w14:paraId="4FC17D3E" w14:textId="77777777" w:rsidR="00C27F39" w:rsidRPr="008F328C" w:rsidRDefault="00C27F39" w:rsidP="00C27F39">
      <w:pPr>
        <w:pStyle w:val="a3"/>
        <w:rPr>
          <w:lang w:val="pl-PL"/>
        </w:rPr>
      </w:pPr>
      <w:r w:rsidRPr="008F328C">
        <w:rPr>
          <w:rFonts w:eastAsia="Times New Roman"/>
          <w:lang w:val="pl-PL"/>
        </w:rPr>
        <w:t>Do innych ciężkich zakażeń obserwowanych w badaniach klinicznych zalicza się zapalenie płuc, odmiedniczkowe zapalenie nerek, septyczne zapalenie stawów oraz posocznicę. Informowano o hospitalizacji lub zgonach w związku z zakażeniami.</w:t>
      </w:r>
    </w:p>
    <w:p w14:paraId="4CEE8E09" w14:textId="77777777" w:rsidR="00C27F39" w:rsidRPr="008F328C" w:rsidRDefault="00C27F39" w:rsidP="00C27F39">
      <w:pPr>
        <w:spacing w:line="240" w:lineRule="exact"/>
        <w:rPr>
          <w:rFonts w:ascii="Times New Roman" w:hAnsi="Times New Roman" w:cs="Times New Roman"/>
          <w:lang w:val="pl-PL"/>
        </w:rPr>
      </w:pPr>
    </w:p>
    <w:p w14:paraId="76CBD94A"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Gruźlica</w:t>
      </w:r>
    </w:p>
    <w:p w14:paraId="055BECEA" w14:textId="77777777" w:rsidR="00C27F39" w:rsidRPr="008F328C" w:rsidRDefault="00C27F39" w:rsidP="00C27F39">
      <w:pPr>
        <w:spacing w:line="240" w:lineRule="exact"/>
        <w:rPr>
          <w:rFonts w:ascii="Times New Roman" w:hAnsi="Times New Roman" w:cs="Times New Roman"/>
          <w:lang w:val="pl-PL"/>
        </w:rPr>
      </w:pPr>
    </w:p>
    <w:p w14:paraId="329C7864" w14:textId="77777777" w:rsidR="00C27F39" w:rsidRPr="008F328C" w:rsidRDefault="00C27F39" w:rsidP="00C27F39">
      <w:pPr>
        <w:pStyle w:val="a3"/>
        <w:rPr>
          <w:lang w:val="pl-PL"/>
        </w:rPr>
      </w:pPr>
      <w:r w:rsidRPr="008F328C">
        <w:rPr>
          <w:rFonts w:eastAsia="Times New Roman"/>
          <w:lang w:val="pl-PL"/>
        </w:rPr>
        <w:t>U pacjentów otrzymujących adalimumab informowano o gruźlicy, w tym jej reaktywacji i nowych zachorowaniach na gruźlicę. Były to doniesienia o przypadkach gruźlicy płucnej i pozapłucnej (tzn. rozsianej).</w:t>
      </w:r>
    </w:p>
    <w:p w14:paraId="37C374B0" w14:textId="77777777" w:rsidR="00C27F39" w:rsidRPr="008F328C" w:rsidRDefault="00C27F39" w:rsidP="00C27F39">
      <w:pPr>
        <w:spacing w:line="240" w:lineRule="exact"/>
        <w:rPr>
          <w:rFonts w:ascii="Times New Roman" w:hAnsi="Times New Roman" w:cs="Times New Roman"/>
          <w:lang w:val="pl-PL"/>
        </w:rPr>
      </w:pPr>
    </w:p>
    <w:p w14:paraId="60604E0A" w14:textId="77777777" w:rsidR="00C27F39" w:rsidRPr="008F328C" w:rsidRDefault="00C27F39" w:rsidP="00C27F39">
      <w:pPr>
        <w:pStyle w:val="a3"/>
        <w:rPr>
          <w:lang w:val="pl-PL"/>
        </w:rPr>
      </w:pPr>
      <w:r w:rsidRPr="008F328C">
        <w:rPr>
          <w:rFonts w:eastAsia="Times New Roman"/>
          <w:lang w:val="pl-PL"/>
        </w:rPr>
        <w:t xml:space="preserve">Przed rozpoczęciem leczenia produktem Yuflyma wszystkich pacjentów należy poddać badaniom w celu wykluczenia zarówno czynnej jak i nieczynnej („utajonej”) gruźlicy. Badanie powinno objąć szczegółową, dokonaną przez lekarza ocenę wywiadu dotyczącego wcześniej przebytej przez pacjenta gruźlicy lub możliwości wcześniejszego narażenia na kontakt z osobami chorymi na czynną gruźlicę oraz stosowanego wcześniej i (lub) obecnie leczenia immunosupresyjnego. U wszystkich pacjentów należy przeprowadzić odpowiednie badania przesiewowe (tzn. skórny odczyn tuberkulinowy i badanie radiologiczne klatki piersiowej) (można postępować zgodnie z lokalnymi zaleceniami). Zaleca się odnotowanie tych badań i ich wyników w „Karcie Przypominającej dla Pacjenta”. Lekarze powinni pamiętać o ryzyku fałszywie ujemnych skórnych odczynów tuberkulinowych, zwłaszcza u ciężko chorych </w:t>
      </w:r>
      <w:r w:rsidRPr="008F328C">
        <w:rPr>
          <w:rFonts w:eastAsia="Times New Roman"/>
          <w:lang w:val="pl-PL"/>
        </w:rPr>
        <w:lastRenderedPageBreak/>
        <w:t>pacjentów lub pacjentów z upośledzeniem odporności.</w:t>
      </w:r>
    </w:p>
    <w:p w14:paraId="699EC81F" w14:textId="77777777" w:rsidR="00C27F39" w:rsidRPr="008F328C" w:rsidRDefault="00C27F39" w:rsidP="00C27F39">
      <w:pPr>
        <w:spacing w:before="13" w:line="240" w:lineRule="exact"/>
        <w:rPr>
          <w:rFonts w:ascii="Times New Roman" w:hAnsi="Times New Roman" w:cs="Times New Roman"/>
          <w:lang w:val="pl-PL"/>
        </w:rPr>
      </w:pPr>
    </w:p>
    <w:p w14:paraId="0B703C16" w14:textId="77777777" w:rsidR="00C27F39" w:rsidRPr="008F328C" w:rsidRDefault="00C27F39" w:rsidP="00C27F39">
      <w:pPr>
        <w:pStyle w:val="a3"/>
        <w:rPr>
          <w:lang w:val="pl-PL"/>
        </w:rPr>
      </w:pPr>
      <w:r w:rsidRPr="008F328C">
        <w:rPr>
          <w:rFonts w:eastAsia="Times New Roman"/>
          <w:lang w:val="pl-PL"/>
        </w:rPr>
        <w:t>W przypadku rozpoznania czynnej gruźlicy nie wolno rozpoczynać leczenia produktem Yuflyma (patrz punkt 4.3).</w:t>
      </w:r>
    </w:p>
    <w:p w14:paraId="6BBDBDE7" w14:textId="77777777" w:rsidR="00C27F39" w:rsidRPr="008F328C" w:rsidRDefault="00C27F39" w:rsidP="00C27F39">
      <w:pPr>
        <w:pStyle w:val="a3"/>
        <w:rPr>
          <w:lang w:val="pl-PL"/>
        </w:rPr>
      </w:pPr>
    </w:p>
    <w:p w14:paraId="692B43AC" w14:textId="77777777" w:rsidR="00C27F39" w:rsidRPr="008F328C" w:rsidRDefault="00C27F39" w:rsidP="00C27F39">
      <w:pPr>
        <w:pStyle w:val="a3"/>
        <w:rPr>
          <w:lang w:val="pl-PL"/>
        </w:rPr>
      </w:pPr>
      <w:r w:rsidRPr="008F328C">
        <w:rPr>
          <w:rFonts w:eastAsia="Times New Roman"/>
          <w:lang w:val="pl-PL"/>
        </w:rPr>
        <w:t xml:space="preserve">We wszystkich opisanych poniżej sytuacjach należy bardzo dokładnie rozważyć korzyści i ryzyko związane z leczeniem. </w:t>
      </w:r>
    </w:p>
    <w:p w14:paraId="3BD007F5" w14:textId="77777777" w:rsidR="00C27F39" w:rsidRPr="008F328C" w:rsidRDefault="00C27F39" w:rsidP="00C27F39">
      <w:pPr>
        <w:pStyle w:val="a3"/>
        <w:rPr>
          <w:lang w:val="pl-PL"/>
        </w:rPr>
      </w:pPr>
    </w:p>
    <w:p w14:paraId="36CE201D" w14:textId="77777777" w:rsidR="00C27F39" w:rsidRPr="008F328C" w:rsidRDefault="00C27F39" w:rsidP="00C27F39">
      <w:pPr>
        <w:pStyle w:val="a3"/>
        <w:rPr>
          <w:lang w:val="pl-PL"/>
        </w:rPr>
      </w:pPr>
      <w:r w:rsidRPr="008F328C">
        <w:rPr>
          <w:rFonts w:eastAsia="Times New Roman"/>
          <w:lang w:val="pl-PL"/>
        </w:rPr>
        <w:t>W przypadku podejrzewania utajonej gruźlicy, należy skonsultować się z lekarzem będącym specjalistą w leczeniu gruźlicy.</w:t>
      </w:r>
    </w:p>
    <w:p w14:paraId="1CB2D7C6" w14:textId="77777777" w:rsidR="00C27F39" w:rsidRPr="008F328C" w:rsidRDefault="00C27F39" w:rsidP="00C27F39">
      <w:pPr>
        <w:spacing w:before="11" w:line="240" w:lineRule="exact"/>
        <w:rPr>
          <w:rFonts w:ascii="Times New Roman" w:hAnsi="Times New Roman" w:cs="Times New Roman"/>
          <w:lang w:val="pl-PL"/>
        </w:rPr>
      </w:pPr>
    </w:p>
    <w:p w14:paraId="140C753D" w14:textId="77777777" w:rsidR="00C27F39" w:rsidRPr="008F328C" w:rsidRDefault="00C27F39" w:rsidP="00C27F39">
      <w:pPr>
        <w:pStyle w:val="a3"/>
        <w:rPr>
          <w:lang w:val="pl-PL"/>
        </w:rPr>
      </w:pPr>
      <w:r w:rsidRPr="008F328C">
        <w:rPr>
          <w:rFonts w:eastAsia="Times New Roman"/>
          <w:lang w:val="pl-PL"/>
        </w:rPr>
        <w:t>W przypadku rozpoznania utajonej gruźlicy, przed rozpoczęciem podawania produktu Yuflyma, należy rozpocząć profilaktyczne leczenie przeciwgruźlicze, zgodnie z lokalnymi zaleceniami.</w:t>
      </w:r>
    </w:p>
    <w:p w14:paraId="3CFA6261" w14:textId="77777777" w:rsidR="00C27F39" w:rsidRPr="008F328C" w:rsidRDefault="00C27F39" w:rsidP="00C27F39">
      <w:pPr>
        <w:spacing w:before="12" w:line="240" w:lineRule="exact"/>
        <w:rPr>
          <w:rFonts w:ascii="Times New Roman" w:hAnsi="Times New Roman" w:cs="Times New Roman"/>
          <w:lang w:val="pl-PL"/>
        </w:rPr>
      </w:pPr>
    </w:p>
    <w:p w14:paraId="6C9CE612" w14:textId="77777777" w:rsidR="00C27F39" w:rsidRPr="008F328C" w:rsidRDefault="00C27F39" w:rsidP="00C27F39">
      <w:pPr>
        <w:pStyle w:val="a3"/>
        <w:rPr>
          <w:lang w:val="pl-PL"/>
        </w:rPr>
      </w:pPr>
      <w:r w:rsidRPr="008F328C">
        <w:rPr>
          <w:rFonts w:eastAsia="Times New Roman"/>
          <w:lang w:val="pl-PL"/>
        </w:rPr>
        <w:t>Zastosowanie profilaktycznego leczenia przeciwgruźliczego, przed rozpoczęciem stosowania produktu Yuflyma, należy również rozważyć u pacjentów z kilkoma lub z istotnymi czynnikami ryzyka wystąpienia gruźlicy pomimo ujemnego wyniku badania w kierunku gruźlicy oraz u pacjentów z utajoną lub czynną gruźlicą w przeszłości, u których nie można potwierdzić zastosowania odpowiedniego leczenia.</w:t>
      </w:r>
    </w:p>
    <w:p w14:paraId="5A3341A4" w14:textId="77777777" w:rsidR="00C27F39" w:rsidRPr="008F328C" w:rsidRDefault="00C27F39" w:rsidP="00C27F39">
      <w:pPr>
        <w:spacing w:before="17" w:line="240" w:lineRule="exact"/>
        <w:rPr>
          <w:rFonts w:ascii="Times New Roman" w:hAnsi="Times New Roman" w:cs="Times New Roman"/>
          <w:lang w:val="pl-PL"/>
        </w:rPr>
      </w:pPr>
    </w:p>
    <w:p w14:paraId="7B6A0937" w14:textId="77777777" w:rsidR="00C27F39" w:rsidRPr="008F328C" w:rsidRDefault="00C27F39" w:rsidP="00C27F39">
      <w:pPr>
        <w:pStyle w:val="a3"/>
        <w:rPr>
          <w:lang w:val="pl-PL"/>
        </w:rPr>
      </w:pPr>
      <w:r w:rsidRPr="008F328C">
        <w:rPr>
          <w:rFonts w:eastAsia="Times New Roman"/>
          <w:lang w:val="pl-PL"/>
        </w:rPr>
        <w:t>Mimo zastosowania profilaktycznego leczenia przeciwgruźliczego, wśród pacjentów leczonych adalimumabem wystąpiły przypadki reaktywacji gruźlicy. U niektórych pacjentów wcześniej z powodzeniem leczonych z powodu czynnej gruźlicy, w czasie leczenia adalimumabem ponownie rozwinęła się gruźlica.</w:t>
      </w:r>
    </w:p>
    <w:p w14:paraId="2DF07E9D" w14:textId="77777777" w:rsidR="00C27F39" w:rsidRPr="008F328C" w:rsidRDefault="00C27F39" w:rsidP="00C27F39">
      <w:pPr>
        <w:spacing w:before="11" w:line="240" w:lineRule="exact"/>
        <w:rPr>
          <w:rFonts w:ascii="Times New Roman" w:hAnsi="Times New Roman" w:cs="Times New Roman"/>
          <w:lang w:val="pl-PL"/>
        </w:rPr>
      </w:pPr>
    </w:p>
    <w:p w14:paraId="7E361BC8" w14:textId="77777777" w:rsidR="00C27F39" w:rsidRPr="008F328C" w:rsidRDefault="00C27F39" w:rsidP="00C27F39">
      <w:pPr>
        <w:pStyle w:val="a3"/>
        <w:rPr>
          <w:lang w:val="pl-PL"/>
        </w:rPr>
      </w:pPr>
      <w:r w:rsidRPr="008F328C">
        <w:rPr>
          <w:rFonts w:eastAsia="Times New Roman"/>
          <w:lang w:val="pl-PL"/>
        </w:rPr>
        <w:t>Pacjentów należy poinstruować, aby zgłaszali się do lekarza w przypadku pojawienia się objawów przedmiotowych/podmiotowych wskazujących na wystąpienie gruźlicy(np. uporczywy kaszel, wyniszczenie/utrata masy ciała, stan podgorączkowy, apatia) w czasie leczenia produktem Yuflyma lub po jego zakończeniu.</w:t>
      </w:r>
    </w:p>
    <w:p w14:paraId="7CD4C42F" w14:textId="77777777" w:rsidR="00C27F39" w:rsidRPr="008F328C" w:rsidRDefault="00C27F39" w:rsidP="00C27F39">
      <w:pPr>
        <w:ind w:left="111"/>
        <w:rPr>
          <w:rFonts w:ascii="Times New Roman" w:hAnsi="Times New Roman" w:cs="Times New Roman"/>
          <w:lang w:val="pl-PL"/>
        </w:rPr>
      </w:pPr>
    </w:p>
    <w:p w14:paraId="09773B16"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spacing w:val="-1"/>
          <w:lang w:val="pl-PL"/>
        </w:rPr>
        <w:t>Inne zakażenia oportunistyczne</w:t>
      </w:r>
    </w:p>
    <w:p w14:paraId="3E225FC8" w14:textId="77777777" w:rsidR="00C27F39" w:rsidRPr="008F328C" w:rsidRDefault="00C27F39" w:rsidP="00C27F39">
      <w:pPr>
        <w:spacing w:before="13" w:line="240" w:lineRule="exact"/>
        <w:rPr>
          <w:rFonts w:ascii="Times New Roman" w:hAnsi="Times New Roman" w:cs="Times New Roman"/>
          <w:lang w:val="pl-PL"/>
        </w:rPr>
      </w:pPr>
    </w:p>
    <w:p w14:paraId="47C15C9D" w14:textId="77777777" w:rsidR="00C27F39" w:rsidRPr="008F328C" w:rsidRDefault="00C27F39" w:rsidP="00C27F39">
      <w:pPr>
        <w:pStyle w:val="a3"/>
        <w:rPr>
          <w:lang w:val="pl-PL"/>
        </w:rPr>
      </w:pPr>
      <w:r w:rsidRPr="008F328C">
        <w:rPr>
          <w:rFonts w:eastAsia="Times New Roman"/>
          <w:lang w:val="pl-PL"/>
        </w:rPr>
        <w:t>U pacjentów otrzymujących adalimumab obserwowano zakażenia oportunistyczne, w tym grzybicze zakażenia inwazyjne. Zakażenia te nie zawsze rozpoznawano u pacjentów otrzymujących leki z grupy antagonistów TNF, co powodowało opóźnienia w zastosowaniu odpowiedniego leczenia, niekiedy prowadzące do zgonów.</w:t>
      </w:r>
    </w:p>
    <w:p w14:paraId="600ACE85" w14:textId="77777777" w:rsidR="00C27F39" w:rsidRPr="008F328C" w:rsidRDefault="00C27F39" w:rsidP="00C27F39">
      <w:pPr>
        <w:pStyle w:val="a3"/>
        <w:rPr>
          <w:lang w:val="pl-PL"/>
        </w:rPr>
      </w:pPr>
    </w:p>
    <w:p w14:paraId="19A1BC34" w14:textId="77777777" w:rsidR="00C27F39" w:rsidRPr="008F328C" w:rsidRDefault="00C27F39" w:rsidP="00C27F39">
      <w:pPr>
        <w:pStyle w:val="a3"/>
        <w:rPr>
          <w:lang w:val="pl-PL"/>
        </w:rPr>
      </w:pPr>
      <w:r w:rsidRPr="008F328C">
        <w:rPr>
          <w:rFonts w:eastAsia="Times New Roman"/>
          <w:lang w:val="pl-PL"/>
        </w:rPr>
        <w:t>U pacjentów, u których wystąpią takie objawy przedmiotowe i podmiotowe, jak gorączka, złe samopoczucie, utrata masy ciała, poty, kaszel, duszność oraz (lub) nacieki w płucach lub inna poważna choroba ogólnoustrojowa z współistniejącym wstrząsem lub bez wstrząsu, należy podejrzewać grzybicze zakażenie inwazyjne oraz natychmiast przerwać podawanie produktu Yuflyma. U tych pacjentów rozpoznanie oraz zastosowanie empirycznej terapii przeciwgrzybiczej należy ustalić w porozumieniu z lekarzem specjalizującym się w leczeniu pacjentów z inwazyjnymi zakażeniami grzybiczymi.</w:t>
      </w:r>
    </w:p>
    <w:p w14:paraId="6CBDE257" w14:textId="77777777" w:rsidR="00C27F39" w:rsidRPr="008F328C" w:rsidRDefault="00C27F39" w:rsidP="00C27F39">
      <w:pPr>
        <w:spacing w:before="13" w:line="240" w:lineRule="exact"/>
        <w:rPr>
          <w:rFonts w:ascii="Times New Roman" w:hAnsi="Times New Roman" w:cs="Times New Roman"/>
          <w:lang w:val="pl-PL"/>
        </w:rPr>
      </w:pPr>
    </w:p>
    <w:p w14:paraId="4BA12070" w14:textId="77777777" w:rsidR="00C27F39" w:rsidRPr="008F328C" w:rsidRDefault="00C27F39" w:rsidP="00C27F39">
      <w:pPr>
        <w:pStyle w:val="a3"/>
        <w:rPr>
          <w:u w:val="single"/>
          <w:lang w:val="pl-PL"/>
        </w:rPr>
      </w:pPr>
      <w:r w:rsidRPr="008F328C">
        <w:rPr>
          <w:rFonts w:eastAsia="Times New Roman"/>
          <w:u w:val="single" w:color="000000"/>
          <w:lang w:val="pl-PL"/>
        </w:rPr>
        <w:t>Reaktywacja zapalenia wątroby typu B</w:t>
      </w:r>
    </w:p>
    <w:p w14:paraId="7F6633D6" w14:textId="77777777" w:rsidR="00C27F39" w:rsidRPr="008F328C" w:rsidRDefault="00C27F39" w:rsidP="00C27F39">
      <w:pPr>
        <w:spacing w:before="9" w:line="170" w:lineRule="exact"/>
        <w:rPr>
          <w:rFonts w:ascii="Times New Roman" w:hAnsi="Times New Roman" w:cs="Times New Roman"/>
          <w:lang w:val="pl-PL"/>
        </w:rPr>
      </w:pPr>
    </w:p>
    <w:p w14:paraId="0EDFA011" w14:textId="77777777" w:rsidR="00C27F39" w:rsidRPr="008F328C" w:rsidRDefault="00C27F39" w:rsidP="00C27F39">
      <w:pPr>
        <w:pStyle w:val="a3"/>
        <w:rPr>
          <w:lang w:val="pl-PL"/>
        </w:rPr>
      </w:pPr>
      <w:r w:rsidRPr="008F328C">
        <w:rPr>
          <w:rFonts w:eastAsia="Times New Roman"/>
          <w:lang w:val="pl-PL"/>
        </w:rPr>
        <w:t>U pacjentów, przewlekłych nosicieli HBV (tzn. takich, u których wykryto antygen powierzchniowy HBV), otrzymujących antagonistę TNF w tym adalimumab, wystąpiła reaktywacja zapalenia wątroby typu B. W niektórych przypadkach doszło do zgonu. Przed rozpoczęciem leczenia produktem Yuflyma, u pacjentów należy wykonać badania w kierunku zakażenia HBV. U pacjentów z dodatnim wynikiem badania w kierunku zakażenia HBV, zaleca się konsultację u lekarza specjalisty w leczeniu zapalenia wątroby typu B.</w:t>
      </w:r>
    </w:p>
    <w:p w14:paraId="340C6173" w14:textId="77777777" w:rsidR="00C27F39" w:rsidRPr="008F328C" w:rsidRDefault="00C27F39" w:rsidP="00C27F39">
      <w:pPr>
        <w:spacing w:before="13" w:line="240" w:lineRule="exact"/>
        <w:rPr>
          <w:rFonts w:ascii="Times New Roman" w:hAnsi="Times New Roman" w:cs="Times New Roman"/>
          <w:lang w:val="pl-PL"/>
        </w:rPr>
      </w:pPr>
    </w:p>
    <w:p w14:paraId="5A03583C" w14:textId="77777777" w:rsidR="00C27F39" w:rsidRPr="008F328C" w:rsidRDefault="00C27F39" w:rsidP="00C27F39">
      <w:pPr>
        <w:pStyle w:val="a3"/>
        <w:rPr>
          <w:lang w:val="pl-PL"/>
        </w:rPr>
      </w:pPr>
      <w:r w:rsidRPr="008F328C">
        <w:rPr>
          <w:rFonts w:eastAsia="Times New Roman"/>
          <w:lang w:val="pl-PL"/>
        </w:rPr>
        <w:t xml:space="preserve">Nosicieli HBV, którzy wymagają leczenia produktem Yuflyma przez cały okres terapii i przez kilka </w:t>
      </w:r>
      <w:r w:rsidRPr="008F328C">
        <w:rPr>
          <w:rFonts w:eastAsia="Times New Roman"/>
          <w:lang w:val="pl-PL"/>
        </w:rPr>
        <w:lastRenderedPageBreak/>
        <w:t>miesięcy po jej zakończeniu należy dokładnie monitorować w kierunku objawów przedmiotowych i podmiotowych czynnego zakażenia HBV. Brak wystarczających informacji uzyskanych podczas leczenia pacjentów będących nosicielami HBV lekami przeciwwirusowymi w połączeniu z antagonistami TNF w celu zapobiegania reaktywacji HBV. U pacjentów, u których wystąpi reaktywacja HBV należy zaprzestać podawania produktu Yuflyma i rozpocząć stosowanie skutecznego leczenia przeciwwirusowego oraz właściwego leczenia podtrzymującego.</w:t>
      </w:r>
    </w:p>
    <w:p w14:paraId="4D5CDF5F" w14:textId="77777777" w:rsidR="00C27F39" w:rsidRPr="008F328C" w:rsidRDefault="00C27F39" w:rsidP="00C27F39">
      <w:pPr>
        <w:spacing w:before="13" w:line="240" w:lineRule="exact"/>
        <w:rPr>
          <w:rFonts w:ascii="Times New Roman" w:hAnsi="Times New Roman" w:cs="Times New Roman"/>
          <w:lang w:val="pl-PL"/>
        </w:rPr>
      </w:pPr>
    </w:p>
    <w:p w14:paraId="7EF216BA" w14:textId="77777777" w:rsidR="00C27F39" w:rsidRPr="008F328C" w:rsidRDefault="00C27F39" w:rsidP="00C27F39">
      <w:pPr>
        <w:pStyle w:val="a3"/>
        <w:rPr>
          <w:u w:val="single"/>
          <w:lang w:val="pl-PL"/>
        </w:rPr>
      </w:pPr>
      <w:r w:rsidRPr="008F328C">
        <w:rPr>
          <w:rFonts w:eastAsia="Times New Roman"/>
          <w:u w:val="single" w:color="000000"/>
          <w:lang w:val="pl-PL"/>
        </w:rPr>
        <w:t>Zaburzenia neurologiczne</w:t>
      </w:r>
    </w:p>
    <w:p w14:paraId="285EC7E5" w14:textId="77777777" w:rsidR="00C27F39" w:rsidRPr="008F328C" w:rsidRDefault="00C27F39" w:rsidP="00C27F39">
      <w:pPr>
        <w:spacing w:before="1" w:line="180" w:lineRule="exact"/>
        <w:rPr>
          <w:rFonts w:ascii="Times New Roman" w:hAnsi="Times New Roman" w:cs="Times New Roman"/>
          <w:lang w:val="pl-PL"/>
        </w:rPr>
      </w:pPr>
    </w:p>
    <w:p w14:paraId="57276C70" w14:textId="77777777" w:rsidR="00C27F39" w:rsidRPr="008F328C" w:rsidRDefault="00C27F39" w:rsidP="00C27F39">
      <w:pPr>
        <w:pStyle w:val="a3"/>
        <w:rPr>
          <w:lang w:val="pl-PL"/>
        </w:rPr>
      </w:pPr>
      <w:r w:rsidRPr="008F328C">
        <w:rPr>
          <w:rFonts w:eastAsia="Times New Roman"/>
          <w:lang w:val="pl-PL"/>
        </w:rPr>
        <w:t>Stosowanie antagonistów TNF, w tym adalimumabu, w rzadkich przypadkach wiązano z wystąpieniem lub zaostrzeniem objawów klinicznych i (lub) radiologicznych chorób demielinizacyjnych ośrodkowego układu nerwowego, w tym stwardnienia rozsianego, zapalenia nerwu wzrokowego oraz chorób demielinizacyjnych obwodowego układu nerwowego, w tym zespołu Guillaina-Barrégo. Należy zachować ostrożność rozważając zastosowanie produktu Yuflyma u pacjentów z zaburzeniami demielinizacyjnymi ośrodkowego lub obwodowego układu nerwowego, które występowały wcześniej lub niedawno się ujawniły. Należy rozważyć zaprzestanie podawania produktu Yuflyma, jeśli wystąpi któreś z tych zaburzeń. Wiadomo, że istnieje związek między zapaleniem części pośredniej błony naczyniowej oka, a zaburzeniami demielinizacyjnymi ośrodkowego układu nerwowego. U pacjentów z nieinfekcyjnym zapaleniem części pośredniej błony naczyniowej oka, należy wykonać badanie neurologiczne przed rozpoczęciem leczenia produktem Yuflyma oraz regularnie w trakcie leczenia w celu oceny już występujących lub rozwijających się zaburzeń demielinizacyjnych ośrodkowego układu nerwowego.</w:t>
      </w:r>
    </w:p>
    <w:p w14:paraId="1E77F322" w14:textId="77777777" w:rsidR="00C27F39" w:rsidRPr="008F328C" w:rsidRDefault="00C27F39" w:rsidP="00C27F39">
      <w:pPr>
        <w:spacing w:before="13" w:line="240" w:lineRule="exact"/>
        <w:rPr>
          <w:rFonts w:ascii="Times New Roman" w:hAnsi="Times New Roman" w:cs="Times New Roman"/>
          <w:lang w:val="pl-PL"/>
        </w:rPr>
      </w:pPr>
    </w:p>
    <w:p w14:paraId="7AB72F26" w14:textId="77777777" w:rsidR="00C27F39" w:rsidRPr="008F328C" w:rsidRDefault="00C27F39" w:rsidP="00C27F39">
      <w:pPr>
        <w:pStyle w:val="a3"/>
        <w:rPr>
          <w:u w:val="single"/>
          <w:lang w:val="pl-PL"/>
        </w:rPr>
      </w:pPr>
      <w:r w:rsidRPr="008F328C">
        <w:rPr>
          <w:rFonts w:eastAsia="Times New Roman"/>
          <w:u w:val="single" w:color="000000"/>
          <w:lang w:val="pl-PL"/>
        </w:rPr>
        <w:t>Reakcje alergiczne</w:t>
      </w:r>
    </w:p>
    <w:p w14:paraId="6098AFCD" w14:textId="77777777" w:rsidR="00C27F39" w:rsidRPr="008F328C" w:rsidRDefault="00C27F39" w:rsidP="00C27F39">
      <w:pPr>
        <w:spacing w:before="9" w:line="170" w:lineRule="exact"/>
        <w:rPr>
          <w:rFonts w:ascii="Times New Roman" w:hAnsi="Times New Roman" w:cs="Times New Roman"/>
          <w:lang w:val="pl-PL"/>
        </w:rPr>
      </w:pPr>
    </w:p>
    <w:p w14:paraId="5C9D33FF" w14:textId="77777777" w:rsidR="00C27F39" w:rsidRPr="008F328C" w:rsidRDefault="00C27F39" w:rsidP="00C27F39">
      <w:pPr>
        <w:pStyle w:val="a3"/>
        <w:rPr>
          <w:lang w:val="pl-PL"/>
        </w:rPr>
      </w:pPr>
      <w:r w:rsidRPr="008F328C">
        <w:rPr>
          <w:rFonts w:eastAsia="Times New Roman"/>
          <w:lang w:val="pl-PL"/>
        </w:rPr>
        <w:t>Ciężkie reakcje alergiczne związane z przyjmowaniem adalimumabu rzadko obserwowano w badaniach klinicznych. Podczas badań klinicznych, niezbyt często obserwowano nieciężkie reakcje alergiczne związane z przyjmowaniem adalimumabu. Informowano o ciężkich reakcjach alergicznych, w tym anafilaksji, po podaniu produktu adalimumabu. W przypadku wystąpienia reakcji anafilaktycznej lub innej ciężkiej reakcji alergicznej, należy natychmiast przerwać podawanie produktu Yuflyma i rozpocząć właściwe leczenie.</w:t>
      </w:r>
    </w:p>
    <w:p w14:paraId="15E0A664" w14:textId="77777777" w:rsidR="00C27F39" w:rsidRPr="008F328C" w:rsidRDefault="00C27F39" w:rsidP="00C27F39">
      <w:pPr>
        <w:spacing w:before="13" w:line="240" w:lineRule="exact"/>
        <w:rPr>
          <w:rFonts w:ascii="Times New Roman" w:hAnsi="Times New Roman" w:cs="Times New Roman"/>
          <w:lang w:val="pl-PL"/>
        </w:rPr>
      </w:pPr>
    </w:p>
    <w:p w14:paraId="665BFB41" w14:textId="77777777" w:rsidR="00C27F39" w:rsidRPr="008F328C" w:rsidRDefault="00C27F39" w:rsidP="00C27F39">
      <w:pPr>
        <w:pStyle w:val="a3"/>
        <w:rPr>
          <w:u w:val="single"/>
          <w:lang w:val="pl-PL"/>
        </w:rPr>
      </w:pPr>
      <w:r w:rsidRPr="008F328C">
        <w:rPr>
          <w:rFonts w:eastAsia="Times New Roman"/>
          <w:u w:val="single" w:color="000000"/>
          <w:lang w:val="pl-PL"/>
        </w:rPr>
        <w:t>Działanie immunosupresyjne</w:t>
      </w:r>
    </w:p>
    <w:p w14:paraId="71C2DDE7" w14:textId="77777777" w:rsidR="00C27F39" w:rsidRPr="008F328C" w:rsidRDefault="00C27F39" w:rsidP="00C27F39">
      <w:pPr>
        <w:spacing w:before="1" w:line="180" w:lineRule="exact"/>
        <w:rPr>
          <w:rFonts w:ascii="Times New Roman" w:hAnsi="Times New Roman" w:cs="Times New Roman"/>
          <w:lang w:val="pl-PL"/>
        </w:rPr>
      </w:pPr>
    </w:p>
    <w:p w14:paraId="5BC7D955" w14:textId="77777777" w:rsidR="00C27F39" w:rsidRPr="008F328C" w:rsidRDefault="00C27F39" w:rsidP="00C27F39">
      <w:pPr>
        <w:pStyle w:val="a3"/>
        <w:rPr>
          <w:lang w:val="pl-PL"/>
        </w:rPr>
      </w:pPr>
      <w:r w:rsidRPr="008F328C">
        <w:rPr>
          <w:rFonts w:eastAsia="Times New Roman"/>
          <w:lang w:val="pl-PL"/>
        </w:rPr>
        <w:t>W badaniu 64 pacjentów z reumatoidalnym zapaleniem stawów leczonych adalimumabem nie stwierdzono działania hamującego reakcje nadwrażliwości typu późnego, obniżenia stężenia immunoglobulin lub zmian w liczbie efektorowych komórek T, B, NK, monocytów/makrofagów oraz granulocytów obojętnochłonnych.</w:t>
      </w:r>
    </w:p>
    <w:p w14:paraId="1CE979CF" w14:textId="77777777" w:rsidR="00C27F39" w:rsidRPr="008F328C" w:rsidRDefault="00C27F39" w:rsidP="00C27F39">
      <w:pPr>
        <w:spacing w:before="11" w:line="240" w:lineRule="exact"/>
        <w:rPr>
          <w:rFonts w:ascii="Times New Roman" w:hAnsi="Times New Roman" w:cs="Times New Roman"/>
          <w:lang w:val="pl-PL"/>
        </w:rPr>
      </w:pPr>
    </w:p>
    <w:p w14:paraId="43F2AB34" w14:textId="77777777" w:rsidR="00C27F39" w:rsidRPr="008F328C" w:rsidRDefault="00C27F39" w:rsidP="00C27F39">
      <w:pPr>
        <w:pStyle w:val="a3"/>
        <w:rPr>
          <w:u w:val="single"/>
          <w:lang w:val="pl-PL"/>
        </w:rPr>
      </w:pPr>
      <w:r w:rsidRPr="008F328C">
        <w:rPr>
          <w:rFonts w:eastAsia="Times New Roman"/>
          <w:u w:val="single" w:color="000000"/>
          <w:lang w:val="pl-PL"/>
        </w:rPr>
        <w:t>Nowotwory złośliwe i zaburzenia limfoproliferacyjne</w:t>
      </w:r>
    </w:p>
    <w:p w14:paraId="4F9EBBC9" w14:textId="77777777" w:rsidR="00C27F39" w:rsidRPr="008F328C" w:rsidRDefault="00C27F39" w:rsidP="00C27F39">
      <w:pPr>
        <w:spacing w:before="1" w:line="180" w:lineRule="exact"/>
        <w:rPr>
          <w:rFonts w:ascii="Times New Roman" w:hAnsi="Times New Roman" w:cs="Times New Roman"/>
          <w:lang w:val="pl-PL"/>
        </w:rPr>
      </w:pPr>
    </w:p>
    <w:p w14:paraId="1796FC51" w14:textId="77777777" w:rsidR="00C27F39" w:rsidRPr="008F328C" w:rsidRDefault="00C27F39" w:rsidP="00C27F39">
      <w:pPr>
        <w:pStyle w:val="a3"/>
        <w:rPr>
          <w:lang w:val="pl-PL"/>
        </w:rPr>
      </w:pPr>
      <w:r w:rsidRPr="008F328C">
        <w:rPr>
          <w:rFonts w:eastAsia="Times New Roman"/>
          <w:lang w:val="pl-PL"/>
        </w:rPr>
        <w:t>W kontrolowanej części badań klinicznych leków z grupy antagonistów TNF, zaobserwowano więcej przypadków nowotworów złośliwych, w tym chłoniaka u pacjentów otrzymujących lek z grupy antagonistów TNF w porównaniu do pacjentów z grupy kontrolnej. Jednakże przypadki te występowały rzadko. Po wprowadzeniu produktu do obrotu zgłoszono przypadki białaczki u pacjentów leczonych lekami z grupy antagonistów TNF. Ryzyko wystąpienia chłoniaka i białaczki jest większe u pacjentów z reumatoidalnym zapaleniem stawów z długotrwałą wysoce aktywną chorobą zapalną, co komplikuje oszacowanie ryzyka. Przy obecnym stanie wiedzy nie można wykluczyć możliwości ryzyka wystąpienia chłoniaków, białaczki i innych nowotworów złośliwych u pacjentów leczonych produktem z grupy antagonistów TNF.</w:t>
      </w:r>
    </w:p>
    <w:p w14:paraId="165A714A" w14:textId="77777777" w:rsidR="00C27F39" w:rsidRPr="008F328C" w:rsidRDefault="00C27F39" w:rsidP="00C27F39">
      <w:pPr>
        <w:spacing w:before="13" w:line="240" w:lineRule="exact"/>
        <w:rPr>
          <w:rFonts w:ascii="Times New Roman" w:hAnsi="Times New Roman" w:cs="Times New Roman"/>
          <w:lang w:val="pl-PL"/>
        </w:rPr>
      </w:pPr>
    </w:p>
    <w:p w14:paraId="26B8F0C3" w14:textId="77777777" w:rsidR="00C27F39" w:rsidRPr="008F328C" w:rsidRDefault="00C27F39" w:rsidP="00C27F39">
      <w:pPr>
        <w:pStyle w:val="a3"/>
        <w:rPr>
          <w:lang w:val="pl-PL"/>
        </w:rPr>
      </w:pPr>
      <w:r w:rsidRPr="008F328C">
        <w:rPr>
          <w:rFonts w:eastAsia="Times New Roman"/>
          <w:lang w:val="pl-PL"/>
        </w:rPr>
        <w:t xml:space="preserve">Po wprowadzeniu do obrotu odnotowano, wśród dzieci oraz młodzieży i młodych dorosłych (w wieku do 22 lat), których leczono lekami z grupy antagonistów TNF (rozpoczęcie leczenia ≤ 18. roku życia), w tym adalimumabem, nowotwory złośliwe, w niektórych przypadkach powodujące zgon. Około połowę przypadków stanowiły chłoniaki. W pozostałych przypadkach były to rozmaite nowotwory złośliwe, w </w:t>
      </w:r>
      <w:r w:rsidRPr="008F328C">
        <w:rPr>
          <w:rFonts w:eastAsia="Times New Roman"/>
          <w:lang w:val="pl-PL"/>
        </w:rPr>
        <w:lastRenderedPageBreak/>
        <w:t>tym rzadkie nowotwory złośliwe zazwyczaj związane z immunosupresją.. Nie można wykluczyć ryzyka rozwoju nowotworów złośliwych u dzieci i młodzieży leczonych lekami z grupy antagonistów TNF.</w:t>
      </w:r>
    </w:p>
    <w:p w14:paraId="1FF92A41" w14:textId="77777777" w:rsidR="00C27F39" w:rsidRPr="008F328C" w:rsidRDefault="00C27F39" w:rsidP="00C27F39">
      <w:pPr>
        <w:spacing w:before="11" w:line="240" w:lineRule="exact"/>
        <w:rPr>
          <w:rFonts w:ascii="Times New Roman" w:hAnsi="Times New Roman" w:cs="Times New Roman"/>
          <w:lang w:val="pl-PL"/>
        </w:rPr>
      </w:pPr>
    </w:p>
    <w:p w14:paraId="34D6C90B" w14:textId="77777777" w:rsidR="00C27F39" w:rsidRPr="008F328C" w:rsidRDefault="00C27F39" w:rsidP="00C27F39">
      <w:pPr>
        <w:pStyle w:val="a3"/>
        <w:rPr>
          <w:lang w:val="pl-PL"/>
        </w:rPr>
      </w:pPr>
      <w:r w:rsidRPr="008F328C">
        <w:rPr>
          <w:rFonts w:eastAsia="Times New Roman"/>
          <w:lang w:val="pl-PL"/>
        </w:rPr>
        <w:t>Po wprowadzeniu produktu do obrotu stwierdzono rzadkie przypadki chłoniaka T-komórkowego wątrobowo-śledzionowego u pacjentów leczonych adalimumabem. Ten rzadki typ chłoniaka T-komórkowego ma bardzo agresywny przebieg i zazwyczaj powoduje zgon. Niektóre z opisanych chłoniaków T-komórkowych wątrobowo-śledzionowych podczas stosowania adalimumabu wystąpiły u młodych dorosłych pacjentów leczonych równocześnie azatiopryną lub 6-merkaptopuryną z powodu choroby zapalnej jelita. Należy dokładnie rozważyć potencjalne ryzyko związane z jednoczesnym stosowaniem azatiopryny lub 6-merkaptopuryny i produktu Yuflyma. Nie można wykluczyć ryzyka wystąpienia chłoniaka T-komórkowego wątrobowo-śledzionowego u pacjentów leczonych produktem Yuflyma (patrz punkt 4.8).</w:t>
      </w:r>
    </w:p>
    <w:p w14:paraId="2EEB8523" w14:textId="77777777" w:rsidR="00C27F39" w:rsidRPr="008F328C" w:rsidRDefault="00C27F39" w:rsidP="00C27F39">
      <w:pPr>
        <w:spacing w:before="11" w:line="240" w:lineRule="exact"/>
        <w:rPr>
          <w:rFonts w:ascii="Times New Roman" w:hAnsi="Times New Roman" w:cs="Times New Roman"/>
          <w:lang w:val="pl-PL"/>
        </w:rPr>
      </w:pPr>
    </w:p>
    <w:p w14:paraId="1C5F56E6" w14:textId="77777777" w:rsidR="00C27F39" w:rsidRPr="008F328C" w:rsidRDefault="00C27F39" w:rsidP="00C27F39">
      <w:pPr>
        <w:pStyle w:val="a3"/>
        <w:rPr>
          <w:lang w:val="pl-PL"/>
        </w:rPr>
      </w:pPr>
      <w:r w:rsidRPr="008F328C">
        <w:rPr>
          <w:rFonts w:eastAsia="Times New Roman"/>
          <w:lang w:val="pl-PL"/>
        </w:rPr>
        <w:t>Nie przeprowadzono badań z udziałem pacjentów z nowotworem złośliwym w wywiadzie lub pacjentów, u których kontynuowano leczenie adalimumabem po wystąpieniu nowotworu złośliwego. Z tego względu należy zachować szczególną ostrożność rozważając zastosowanie produktu Yuflyma u tych pacjentów (patrz punkt 4.8).</w:t>
      </w:r>
    </w:p>
    <w:p w14:paraId="10957E77" w14:textId="77777777" w:rsidR="00C27F39" w:rsidRPr="008F328C" w:rsidRDefault="00C27F39" w:rsidP="00C27F39">
      <w:pPr>
        <w:spacing w:before="13" w:line="240" w:lineRule="exact"/>
        <w:rPr>
          <w:rFonts w:ascii="Times New Roman" w:hAnsi="Times New Roman" w:cs="Times New Roman"/>
          <w:lang w:val="pl-PL"/>
        </w:rPr>
      </w:pPr>
    </w:p>
    <w:p w14:paraId="52214497" w14:textId="77777777" w:rsidR="00C27F39" w:rsidRPr="008F328C" w:rsidRDefault="00C27F39" w:rsidP="00C27F39">
      <w:pPr>
        <w:pStyle w:val="a3"/>
        <w:rPr>
          <w:lang w:val="pl-PL"/>
        </w:rPr>
      </w:pPr>
      <w:r w:rsidRPr="008F328C">
        <w:rPr>
          <w:rFonts w:eastAsia="Times New Roman"/>
          <w:lang w:val="pl-PL"/>
        </w:rPr>
        <w:t>Wszystkich pacjentów, a w szczególności pacjentów z intensywnym leczeniem immunosupresyjnym w wywiadzie lub pacjentów z łuszczycą leczonych w przeszłości metodą PUVA, należy poddać badaniu na obecność raka skóry niebędącego czerniakiem przed rozpoczęciem i w trakcie leczenia produktem Yuflyma. U pacjentów leczonych antagonistami TNF, w tym adalimumabem, informowano również o czerniaku i raku z komórek Merkla (patrz punkt 4.8).</w:t>
      </w:r>
    </w:p>
    <w:p w14:paraId="615138E2" w14:textId="77777777" w:rsidR="00C27F39" w:rsidRPr="008F328C" w:rsidRDefault="00C27F39" w:rsidP="00C27F39">
      <w:pPr>
        <w:spacing w:before="13" w:line="240" w:lineRule="exact"/>
        <w:rPr>
          <w:rFonts w:ascii="Times New Roman" w:hAnsi="Times New Roman" w:cs="Times New Roman"/>
          <w:lang w:val="pl-PL"/>
        </w:rPr>
      </w:pPr>
    </w:p>
    <w:p w14:paraId="040022C0" w14:textId="77777777" w:rsidR="00C27F39" w:rsidRPr="008F328C" w:rsidRDefault="00C27F39" w:rsidP="00C27F39">
      <w:pPr>
        <w:pStyle w:val="a3"/>
        <w:rPr>
          <w:lang w:val="pl-PL"/>
        </w:rPr>
      </w:pPr>
      <w:r w:rsidRPr="008F328C">
        <w:rPr>
          <w:rFonts w:eastAsia="Times New Roman"/>
          <w:lang w:val="pl-PL"/>
        </w:rPr>
        <w:t>W rozpoznawczym badaniu klinicznym oceniającym stosowanie infliksymabu – innego antagonisty TNF, u pacjentów z przewlekłą obturacyjną chorobą płuc (POChP) o nasileniu umiarkowanym do ciężkiego, informowano o większej liczbie nowotworów złośliwych, głównie płuc lub głowy i szyi, u pacjentów leczonych infliksymabem w porównaniu do pacjentów z grupy kontrolnej. Wszyscy pacjenci byli nałogowymi palaczami. Należy zatem zachować ostrożność podczas stosowania jakiegokolwiek antagonisty TNF u pacjentów z POChP oraz u pacjentów – nałogowych palaczy, u których ryzyko wystąpienia nowotworu złośliwego jest zwiększone.</w:t>
      </w:r>
    </w:p>
    <w:p w14:paraId="1441E1C4" w14:textId="77777777" w:rsidR="00C27F39" w:rsidRPr="008F328C" w:rsidRDefault="00C27F39" w:rsidP="00C27F39">
      <w:pPr>
        <w:spacing w:before="11" w:line="240" w:lineRule="exact"/>
        <w:rPr>
          <w:rFonts w:ascii="Times New Roman" w:hAnsi="Times New Roman" w:cs="Times New Roman"/>
          <w:lang w:val="pl-PL"/>
        </w:rPr>
      </w:pPr>
    </w:p>
    <w:p w14:paraId="3E7ED0A7" w14:textId="77777777" w:rsidR="00C27F39" w:rsidRPr="008F328C" w:rsidRDefault="00C27F39" w:rsidP="00C27F39">
      <w:pPr>
        <w:pStyle w:val="a3"/>
        <w:rPr>
          <w:lang w:val="pl-PL"/>
        </w:rPr>
      </w:pPr>
      <w:r w:rsidRPr="008F328C">
        <w:rPr>
          <w:rFonts w:eastAsia="Times New Roman"/>
          <w:lang w:val="pl-PL"/>
        </w:rPr>
        <w:t>Na podstawie dostępnych obecnie danych nie można stwierdzić, czy leczenie adalimumabem zwiększa ryzyko rozwinięcia się dysplazji lub raka jelita grubego. Wszystkich pacjentów z wrzodziejącym zapaleniem jelita grubego i ze zwiększonym ryzykiem dysplazji lub raka jelita grubego (na przykład, pacjentów z długotrwałym wrzodziejącym zapaleniem jelita grubego lub pierwotnym stwardniającym zapaleniem dróg żółciowych) lub pacjentów z dysplazją lub rakiem jelita grubego w przeszłości, przed leczeniem i przez cały okres choroby należy poddawać w regularnych odstępach czasu badaniom przesiewowym w kierunku dysplazji. Taka ocena powinna obejmować kolonoskopię oraz wykonanie biopsji zgodnie z zaleceniami obowiązującymi w danym kraju.</w:t>
      </w:r>
    </w:p>
    <w:p w14:paraId="22177634" w14:textId="77777777" w:rsidR="00C27F39" w:rsidRPr="008F328C" w:rsidRDefault="00C27F39" w:rsidP="00C27F39">
      <w:pPr>
        <w:spacing w:before="13" w:line="240" w:lineRule="exact"/>
        <w:rPr>
          <w:rFonts w:ascii="Times New Roman" w:hAnsi="Times New Roman" w:cs="Times New Roman"/>
          <w:lang w:val="pl-PL"/>
        </w:rPr>
      </w:pPr>
    </w:p>
    <w:p w14:paraId="791E7311" w14:textId="77777777" w:rsidR="00C27F39" w:rsidRPr="008F328C" w:rsidRDefault="00C27F39" w:rsidP="00C27F39">
      <w:pPr>
        <w:pStyle w:val="a3"/>
        <w:rPr>
          <w:u w:val="single"/>
          <w:lang w:val="pl-PL"/>
        </w:rPr>
      </w:pPr>
      <w:r w:rsidRPr="008F328C">
        <w:rPr>
          <w:rFonts w:eastAsia="Times New Roman"/>
          <w:u w:val="single" w:color="000000"/>
          <w:lang w:val="pl-PL"/>
        </w:rPr>
        <w:t>Reakcje hematologiczne</w:t>
      </w:r>
    </w:p>
    <w:p w14:paraId="20314CA3" w14:textId="77777777" w:rsidR="00C27F39" w:rsidRPr="008F328C" w:rsidRDefault="00C27F39" w:rsidP="00C27F39">
      <w:pPr>
        <w:spacing w:before="1" w:line="180" w:lineRule="exact"/>
        <w:rPr>
          <w:rFonts w:ascii="Times New Roman" w:hAnsi="Times New Roman" w:cs="Times New Roman"/>
          <w:lang w:val="pl-PL"/>
        </w:rPr>
      </w:pPr>
    </w:p>
    <w:p w14:paraId="1E55CDA0" w14:textId="77777777" w:rsidR="00C27F39" w:rsidRPr="008F328C" w:rsidRDefault="00C27F39" w:rsidP="00C27F39">
      <w:pPr>
        <w:pStyle w:val="a3"/>
        <w:rPr>
          <w:lang w:val="pl-PL"/>
        </w:rPr>
      </w:pPr>
      <w:r w:rsidRPr="008F328C">
        <w:rPr>
          <w:rFonts w:eastAsia="Times New Roman"/>
          <w:lang w:val="pl-PL"/>
        </w:rPr>
        <w:t>W rzadkich przypadkach informowano o pancytopenii, w tym niedokrwistości aplastycznej w związku ze stosowaniem antagonistów TNF. Podczas stosowania adalimumabu zgłaszano zdarzenia niepożądane ze strony układu hematologicznego, w tym istotny z medycznego punktu widzenia niedobór krwinek (np. trombocytopenia, leukopenia). Wszystkim pacjentom stosującym produkt Yuflyma należy zalecić, aby natychmiast zgłaszali się do lekarza w przypadku pojawienia się objawów przedmiotowych i podmiotowych wskazujących na skazy krwotoczne (np. utrzymująca się gorączka, wylewy podskórne, krwawienie, bladość). Należy rozważyć zaprzestanie leczenia produktem Yuflyma u pacjentów z potwierdzonymi, istotnymi zaburzeniami hematologicznymi.</w:t>
      </w:r>
    </w:p>
    <w:p w14:paraId="5CBE46BE" w14:textId="77777777" w:rsidR="00C27F39" w:rsidRPr="008F328C" w:rsidRDefault="00C27F39" w:rsidP="00C27F39">
      <w:pPr>
        <w:pStyle w:val="a3"/>
        <w:rPr>
          <w:lang w:val="pl-PL"/>
        </w:rPr>
      </w:pPr>
    </w:p>
    <w:p w14:paraId="0AACDC24" w14:textId="77777777" w:rsidR="00C27F39" w:rsidRPr="008F328C" w:rsidRDefault="00C27F39" w:rsidP="00C27F39">
      <w:pPr>
        <w:pStyle w:val="a3"/>
        <w:rPr>
          <w:u w:val="single"/>
          <w:lang w:val="pl-PL"/>
        </w:rPr>
      </w:pPr>
      <w:r w:rsidRPr="008F328C">
        <w:rPr>
          <w:rFonts w:eastAsia="Times New Roman"/>
          <w:u w:val="single" w:color="000000"/>
          <w:lang w:val="pl-PL"/>
        </w:rPr>
        <w:t>Szczepienia</w:t>
      </w:r>
    </w:p>
    <w:p w14:paraId="248600E2" w14:textId="77777777" w:rsidR="00C27F39" w:rsidRPr="008F328C" w:rsidRDefault="00C27F39" w:rsidP="00C27F39">
      <w:pPr>
        <w:spacing w:before="1" w:line="180" w:lineRule="exact"/>
        <w:rPr>
          <w:rFonts w:ascii="Times New Roman" w:hAnsi="Times New Roman" w:cs="Times New Roman"/>
          <w:lang w:val="pl-PL"/>
        </w:rPr>
      </w:pPr>
    </w:p>
    <w:p w14:paraId="43DCB398" w14:textId="77777777" w:rsidR="00C27F39" w:rsidRPr="008F328C" w:rsidRDefault="00C27F39" w:rsidP="00C27F39">
      <w:pPr>
        <w:pStyle w:val="a3"/>
        <w:rPr>
          <w:lang w:val="pl-PL"/>
        </w:rPr>
      </w:pPr>
      <w:r w:rsidRPr="008F328C">
        <w:rPr>
          <w:rFonts w:eastAsia="Times New Roman"/>
          <w:lang w:val="pl-PL"/>
        </w:rPr>
        <w:lastRenderedPageBreak/>
        <w:t>Podobne reakcje przeciwciał na standardową 23-walentną szczepionkę przeciw pneumokokom oraz triwalentną szczepionkę przeciw grypie zaobserwowano w badaniu przeprowadzonym u 226 dorosłych pacjentów z reumatoidalnym zapaleniem stawów, których leczono adalimumabem lub placebo. Brak jest informacji odnośnie wtórnego przenoszenia zakażenia przez żywe szczepionki u pacjentów otrzymujących adalimumab.</w:t>
      </w:r>
    </w:p>
    <w:p w14:paraId="04E2B1BA" w14:textId="77777777" w:rsidR="00C27F39" w:rsidRPr="008F328C" w:rsidRDefault="00C27F39" w:rsidP="00C27F39">
      <w:pPr>
        <w:spacing w:before="17" w:line="240" w:lineRule="exact"/>
        <w:rPr>
          <w:rFonts w:ascii="Times New Roman" w:hAnsi="Times New Roman" w:cs="Times New Roman"/>
          <w:lang w:val="pl-PL"/>
        </w:rPr>
      </w:pPr>
    </w:p>
    <w:p w14:paraId="07C8E871" w14:textId="77777777" w:rsidR="00C27F39" w:rsidRPr="008F328C" w:rsidRDefault="00C27F39" w:rsidP="00C27F39">
      <w:pPr>
        <w:pStyle w:val="a3"/>
        <w:rPr>
          <w:lang w:val="pl-PL"/>
        </w:rPr>
      </w:pPr>
      <w:r w:rsidRPr="008F328C">
        <w:rPr>
          <w:rFonts w:eastAsia="Times New Roman"/>
          <w:spacing w:val="-4"/>
          <w:lang w:val="pl-PL"/>
        </w:rPr>
        <w:t>Zaleca się, aby u dzieci, jeśli to możliwe, przed rozpoczęciem leczenia produktem Yuflyma przeprowadzono wszystkie szczepienia zgodnie z obowiązującym kalendarzem szczepień.</w:t>
      </w:r>
    </w:p>
    <w:p w14:paraId="4189EF8C" w14:textId="77777777" w:rsidR="00C27F39" w:rsidRPr="008F328C" w:rsidRDefault="00C27F39" w:rsidP="00C27F39">
      <w:pPr>
        <w:spacing w:before="11" w:line="240" w:lineRule="exact"/>
        <w:rPr>
          <w:rFonts w:ascii="Times New Roman" w:hAnsi="Times New Roman" w:cs="Times New Roman"/>
          <w:lang w:val="pl-PL"/>
        </w:rPr>
      </w:pPr>
    </w:p>
    <w:p w14:paraId="63B7A60C" w14:textId="77777777" w:rsidR="00C27F39" w:rsidRPr="008F328C" w:rsidRDefault="00C27F39" w:rsidP="00C27F39">
      <w:pPr>
        <w:pStyle w:val="a3"/>
        <w:rPr>
          <w:lang w:val="pl-PL"/>
        </w:rPr>
      </w:pPr>
      <w:r w:rsidRPr="008F328C">
        <w:rPr>
          <w:rFonts w:eastAsia="Times New Roman"/>
          <w:lang w:val="pl-PL"/>
        </w:rPr>
        <w:t>Pacjenci leczeni produktem Yuflyma mogą jednocześnie otrzymywać szczepionki, z wyjątkiem szczepionek żywych. U niemowląt narażonych na adalimumab w okresie życia płodowego nie zaleca się podawania żywych szczepionek (np. szczepionki przeciwgruźliczej, BCG) przez okres 5 miesięcy od przyjęcia przez matkę ostatniej dawki adalimumabu w okresie ciąży.</w:t>
      </w:r>
    </w:p>
    <w:p w14:paraId="176A128C" w14:textId="77777777" w:rsidR="00C27F39" w:rsidRPr="008F328C" w:rsidRDefault="00C27F39" w:rsidP="00C27F39">
      <w:pPr>
        <w:spacing w:before="13" w:line="240" w:lineRule="exact"/>
        <w:rPr>
          <w:rFonts w:ascii="Times New Roman" w:hAnsi="Times New Roman" w:cs="Times New Roman"/>
          <w:lang w:val="pl-PL"/>
        </w:rPr>
      </w:pPr>
    </w:p>
    <w:p w14:paraId="5B5645D2" w14:textId="77777777" w:rsidR="00C27F39" w:rsidRPr="008F328C" w:rsidRDefault="00C27F39" w:rsidP="00C27F39">
      <w:pPr>
        <w:pStyle w:val="a3"/>
        <w:rPr>
          <w:u w:val="single"/>
          <w:lang w:val="pl-PL"/>
        </w:rPr>
      </w:pPr>
      <w:r w:rsidRPr="008F328C">
        <w:rPr>
          <w:rFonts w:eastAsia="Times New Roman"/>
          <w:u w:val="single" w:color="000000"/>
          <w:lang w:val="pl-PL"/>
        </w:rPr>
        <w:t>Zastoinowa niewydolność serca</w:t>
      </w:r>
    </w:p>
    <w:p w14:paraId="17C175A3" w14:textId="77777777" w:rsidR="00C27F39" w:rsidRPr="008F328C" w:rsidRDefault="00C27F39" w:rsidP="00C27F39">
      <w:pPr>
        <w:spacing w:before="1" w:line="180" w:lineRule="exact"/>
        <w:rPr>
          <w:rFonts w:ascii="Times New Roman" w:hAnsi="Times New Roman" w:cs="Times New Roman"/>
          <w:lang w:val="pl-PL"/>
        </w:rPr>
      </w:pPr>
    </w:p>
    <w:p w14:paraId="73CABAB7" w14:textId="77777777" w:rsidR="00C27F39" w:rsidRPr="008F328C" w:rsidRDefault="00C27F39" w:rsidP="00C27F39">
      <w:pPr>
        <w:pStyle w:val="a3"/>
        <w:rPr>
          <w:lang w:val="pl-PL"/>
        </w:rPr>
      </w:pPr>
      <w:r w:rsidRPr="008F328C">
        <w:rPr>
          <w:rFonts w:eastAsia="Times New Roman"/>
          <w:lang w:val="pl-PL"/>
        </w:rPr>
        <w:t>W badaniu klinicznym innego antagonisty TNF zaobserwowano nasilenie zastoinowej niewydolności serca i zwiększoną śmiertelność w wyniku zastoinowej niewydolności serca. U pacjentów otrzymujących adalimumab informowano również o przypadkach pogorszenia zastoinowej niewydolności serca. Należy zachować ostrożność, stosując produkt Yuflyma u pacjentów z łagodną niewydolnością serca (klasa I/II wg NYHA). Yuflyma jest przeciwwskazana w umiarkowanej do ciężkiej niewydolności serca (patrz punkt 4.3). Należy przerwać leczenie produktem Yuflyma u pacjentów, u których pojawiły się nowe objawy zastoinowej niewydolności serca lub wystąpiło pogorszenie istniejących objawów.</w:t>
      </w:r>
    </w:p>
    <w:p w14:paraId="4369E9C7" w14:textId="77777777" w:rsidR="00C27F39" w:rsidRPr="008F328C" w:rsidRDefault="00C27F39" w:rsidP="00C27F39">
      <w:pPr>
        <w:spacing w:before="13" w:line="240" w:lineRule="exact"/>
        <w:rPr>
          <w:rFonts w:ascii="Times New Roman" w:hAnsi="Times New Roman" w:cs="Times New Roman"/>
          <w:lang w:val="pl-PL"/>
        </w:rPr>
      </w:pPr>
    </w:p>
    <w:p w14:paraId="513A5554" w14:textId="77777777" w:rsidR="00C27F39" w:rsidRPr="008F328C" w:rsidRDefault="00C27F39" w:rsidP="00C27F39">
      <w:pPr>
        <w:pStyle w:val="a3"/>
        <w:rPr>
          <w:u w:val="single"/>
          <w:lang w:val="pl-PL"/>
        </w:rPr>
      </w:pPr>
      <w:r w:rsidRPr="008F328C">
        <w:rPr>
          <w:rFonts w:eastAsia="Times New Roman"/>
          <w:u w:val="single" w:color="000000"/>
          <w:lang w:val="pl-PL"/>
        </w:rPr>
        <w:t>Procesy autoimmunologiczne</w:t>
      </w:r>
    </w:p>
    <w:p w14:paraId="45E84FC8" w14:textId="77777777" w:rsidR="00C27F39" w:rsidRPr="008F328C" w:rsidRDefault="00C27F39" w:rsidP="00C27F39">
      <w:pPr>
        <w:spacing w:before="9" w:line="170" w:lineRule="exact"/>
        <w:rPr>
          <w:rFonts w:ascii="Times New Roman" w:hAnsi="Times New Roman" w:cs="Times New Roman"/>
          <w:lang w:val="pl-PL"/>
        </w:rPr>
      </w:pPr>
    </w:p>
    <w:p w14:paraId="7C498471" w14:textId="77777777" w:rsidR="00C27F39" w:rsidRPr="008F328C" w:rsidRDefault="00C27F39" w:rsidP="00C27F39">
      <w:pPr>
        <w:pStyle w:val="a3"/>
        <w:rPr>
          <w:lang w:val="pl-PL"/>
        </w:rPr>
      </w:pPr>
      <w:r w:rsidRPr="008F328C">
        <w:rPr>
          <w:rFonts w:eastAsia="Times New Roman"/>
          <w:lang w:val="pl-PL"/>
        </w:rPr>
        <w:t>Leczenie produktem Yuflyma może powodować powstawanie autoprzeciwciał. Nie wiadomo, jaki może być wpływ długookresowego leczenia adalimumabem na rozwój chorób autoimmunologicznych. Jeśli po leczeniu produktem Yuflyma u pacjenta wystąpią objawy wskazujące na zespół toczniopodobny i oznaczenie przeciwciał przeciw dwuniciowemu DNA jest dodatnie, nie należy kontynuować leczenia produktem Yuflyma (patrz punkt 4.8).</w:t>
      </w:r>
    </w:p>
    <w:p w14:paraId="2B6AEC9F" w14:textId="77777777" w:rsidR="00C27F39" w:rsidRPr="008F328C" w:rsidRDefault="00C27F39" w:rsidP="00C27F39">
      <w:pPr>
        <w:spacing w:before="13" w:line="240" w:lineRule="exact"/>
        <w:rPr>
          <w:rFonts w:ascii="Times New Roman" w:hAnsi="Times New Roman" w:cs="Times New Roman"/>
          <w:u w:val="single"/>
          <w:lang w:val="pl-PL"/>
        </w:rPr>
      </w:pPr>
    </w:p>
    <w:p w14:paraId="4004561F" w14:textId="77777777" w:rsidR="00C27F39" w:rsidRPr="008F328C" w:rsidRDefault="00C27F39" w:rsidP="00C27F39">
      <w:pPr>
        <w:pStyle w:val="a3"/>
        <w:rPr>
          <w:u w:val="single"/>
          <w:lang w:val="pl-PL"/>
        </w:rPr>
      </w:pPr>
      <w:r w:rsidRPr="008F328C">
        <w:rPr>
          <w:rFonts w:eastAsia="Times New Roman"/>
          <w:u w:val="single" w:color="000000"/>
          <w:lang w:val="pl-PL"/>
        </w:rPr>
        <w:t xml:space="preserve"> Równoczesne podawanie biologicznych DMARDs lub antagonistów TNF</w:t>
      </w:r>
    </w:p>
    <w:p w14:paraId="0168AC3F" w14:textId="77777777" w:rsidR="00C27F39" w:rsidRPr="008F328C" w:rsidRDefault="00C27F39" w:rsidP="00C27F39">
      <w:pPr>
        <w:spacing w:before="1" w:line="180" w:lineRule="exact"/>
        <w:rPr>
          <w:rFonts w:ascii="Times New Roman" w:hAnsi="Times New Roman" w:cs="Times New Roman"/>
          <w:lang w:val="pl-PL"/>
        </w:rPr>
      </w:pPr>
    </w:p>
    <w:p w14:paraId="27A49D38" w14:textId="77777777" w:rsidR="00C27F39" w:rsidRPr="008F328C" w:rsidRDefault="00C27F39" w:rsidP="00C27F39">
      <w:pPr>
        <w:pStyle w:val="a3"/>
        <w:rPr>
          <w:lang w:val="pl-PL"/>
        </w:rPr>
      </w:pPr>
      <w:r w:rsidRPr="008F328C">
        <w:rPr>
          <w:rFonts w:eastAsia="Times New Roman"/>
          <w:lang w:val="pl-PL"/>
        </w:rPr>
        <w:t>Ciężkie zakażenia obserwowano podczas badań klinicznych, w których podawano równocześnie anakinrę i etanercept, będący innym antagonistą TNF, bez dodatkowych korzyści klinicznych w porównaniu do stosowania wyłącznie etanerceptu. Ze względu na charakter zdarzeń niepożądanych obserwowanych podczas leczenia skojarzonego etanerceptem i anakinrą, podobne działanie toksyczne może wystąpić w wyniku stosowania anakinry w połączeniu z innymi antagonistami TNF. Nie zaleca się zatem stosowania adalimumabu w skojarzeniu z anakinrą (patrz punkt 4.5).</w:t>
      </w:r>
    </w:p>
    <w:p w14:paraId="713026E3" w14:textId="77777777" w:rsidR="00C27F39" w:rsidRPr="008F328C" w:rsidRDefault="00C27F39" w:rsidP="00C27F39">
      <w:pPr>
        <w:spacing w:before="14" w:line="240" w:lineRule="exact"/>
        <w:rPr>
          <w:rFonts w:ascii="Times New Roman" w:hAnsi="Times New Roman" w:cs="Times New Roman"/>
          <w:lang w:val="pl-PL"/>
        </w:rPr>
      </w:pPr>
    </w:p>
    <w:p w14:paraId="5F50CAFC" w14:textId="77777777" w:rsidR="00C27F39" w:rsidRPr="008F328C" w:rsidRDefault="00C27F39" w:rsidP="00C27F39">
      <w:pPr>
        <w:pStyle w:val="a3"/>
        <w:rPr>
          <w:lang w:val="pl-PL"/>
        </w:rPr>
      </w:pPr>
      <w:r w:rsidRPr="008F328C">
        <w:rPr>
          <w:rFonts w:eastAsia="Times New Roman"/>
          <w:lang w:val="pl-PL"/>
        </w:rPr>
        <w:t>Nie zaleca się równoczesnego podawania adalimumabu z innymi biologicznymi DMARDs (np. anakinra i abatacept) lub innymi antagonistami TNF ze względu na możliwość zwiększonego ryzyka zakażeń, w tym ciężkich zakażeń i innych potencjalnych interakcji farmakologicznych (patrz punkt 4.5).</w:t>
      </w:r>
    </w:p>
    <w:p w14:paraId="39881929" w14:textId="77777777" w:rsidR="00C27F39" w:rsidRPr="008F328C" w:rsidRDefault="00C27F39" w:rsidP="00C27F39">
      <w:pPr>
        <w:spacing w:before="13" w:line="240" w:lineRule="exact"/>
        <w:rPr>
          <w:rFonts w:ascii="Times New Roman" w:hAnsi="Times New Roman" w:cs="Times New Roman"/>
          <w:lang w:val="pl-PL"/>
        </w:rPr>
      </w:pPr>
    </w:p>
    <w:p w14:paraId="353A1E26" w14:textId="77777777" w:rsidR="00C27F39" w:rsidRPr="008F328C" w:rsidRDefault="00C27F39" w:rsidP="00C27F39">
      <w:pPr>
        <w:pStyle w:val="a3"/>
        <w:rPr>
          <w:u w:val="single"/>
          <w:lang w:val="pl-PL"/>
        </w:rPr>
      </w:pPr>
      <w:r w:rsidRPr="008F328C">
        <w:rPr>
          <w:rFonts w:eastAsia="Times New Roman"/>
          <w:u w:val="single" w:color="000000"/>
          <w:lang w:val="pl-PL"/>
        </w:rPr>
        <w:t>Operacje chirurgiczne</w:t>
      </w:r>
    </w:p>
    <w:p w14:paraId="11A372FF" w14:textId="77777777" w:rsidR="00C27F39" w:rsidRPr="008F328C" w:rsidRDefault="00C27F39" w:rsidP="00C27F39">
      <w:pPr>
        <w:spacing w:before="1" w:line="180" w:lineRule="exact"/>
        <w:rPr>
          <w:rFonts w:ascii="Times New Roman" w:hAnsi="Times New Roman" w:cs="Times New Roman"/>
          <w:lang w:val="pl-PL"/>
        </w:rPr>
      </w:pPr>
    </w:p>
    <w:p w14:paraId="467F5649" w14:textId="77777777" w:rsidR="00C27F39" w:rsidRPr="008F328C" w:rsidRDefault="00C27F39" w:rsidP="00C27F39">
      <w:pPr>
        <w:pStyle w:val="a3"/>
        <w:rPr>
          <w:lang w:val="pl-PL"/>
        </w:rPr>
      </w:pPr>
      <w:r w:rsidRPr="008F328C">
        <w:rPr>
          <w:rFonts w:eastAsia="Times New Roman"/>
          <w:lang w:val="pl-PL"/>
        </w:rPr>
        <w:t>Doświadczenie dotyczące bezpieczeństwa zabiegów chirurgicznych u pacjentów leczonych adalimumabemm jest ograniczone. W razie planowania zabiegu chirurgicznego należy uwzględnić długi okres półtrwania adalimumabu. Pacjenta, który wymaga zabiegu chirurgicznego w okresie leczenia produktem należy poddać dokładnej obserwacji w celu wykluczenia obecności zakażenia oraz podjąć odpowiednie postpowanie. Doświadczenie dotyczące bezpieczeństwa wykonywania artroplastyki u pacjentów otrzymujących adalimumab jest ograniczone.</w:t>
      </w:r>
    </w:p>
    <w:p w14:paraId="1E1E0A75" w14:textId="77777777" w:rsidR="00C27F39" w:rsidRPr="008F328C" w:rsidRDefault="00C27F39" w:rsidP="00C27F39">
      <w:pPr>
        <w:pStyle w:val="a3"/>
        <w:rPr>
          <w:u w:color="000000"/>
          <w:lang w:val="pl-PL"/>
        </w:rPr>
      </w:pPr>
    </w:p>
    <w:p w14:paraId="0183FF7A" w14:textId="77777777" w:rsidR="00C27F39" w:rsidRPr="008F328C" w:rsidRDefault="00C27F39" w:rsidP="00C27F39">
      <w:pPr>
        <w:pStyle w:val="a3"/>
        <w:rPr>
          <w:u w:val="single"/>
          <w:lang w:val="pl-PL"/>
        </w:rPr>
      </w:pPr>
      <w:r w:rsidRPr="008F328C">
        <w:rPr>
          <w:rFonts w:eastAsia="Times New Roman"/>
          <w:u w:val="single" w:color="000000"/>
          <w:lang w:val="pl-PL"/>
        </w:rPr>
        <w:lastRenderedPageBreak/>
        <w:t>Niedrożność jelita cienkiego</w:t>
      </w:r>
    </w:p>
    <w:p w14:paraId="3FEC9E0C" w14:textId="77777777" w:rsidR="00C27F39" w:rsidRPr="008F328C" w:rsidRDefault="00C27F39" w:rsidP="00C27F39">
      <w:pPr>
        <w:pStyle w:val="a3"/>
        <w:rPr>
          <w:lang w:val="pl-PL"/>
        </w:rPr>
      </w:pPr>
    </w:p>
    <w:p w14:paraId="73780B13" w14:textId="77777777" w:rsidR="00C27F39" w:rsidRPr="008F328C" w:rsidRDefault="00C27F39" w:rsidP="00C27F39">
      <w:pPr>
        <w:pStyle w:val="a3"/>
        <w:rPr>
          <w:lang w:val="pl-PL"/>
        </w:rPr>
      </w:pPr>
      <w:r w:rsidRPr="008F328C">
        <w:rPr>
          <w:rFonts w:eastAsia="Times New Roman"/>
          <w:lang w:val="pl-PL"/>
        </w:rPr>
        <w:t>Brak odpowiedzi na leczenie choroby Leśniowskiego-Crohna może wskazywać na obecność trwałego, zwłókniałego zwężenia, które może wymagać leczenia chirurgicznego. Dostępne dane wskazują, że adalimumab nie pogarsza zwężeń, ani ich nie powoduje.</w:t>
      </w:r>
    </w:p>
    <w:p w14:paraId="5F4DBF9A" w14:textId="77777777" w:rsidR="00C27F39" w:rsidRPr="008F328C" w:rsidRDefault="00C27F39" w:rsidP="00C27F39">
      <w:pPr>
        <w:spacing w:before="13" w:line="240" w:lineRule="exact"/>
        <w:rPr>
          <w:rFonts w:ascii="Times New Roman" w:hAnsi="Times New Roman" w:cs="Times New Roman"/>
          <w:lang w:val="pl-PL"/>
        </w:rPr>
      </w:pPr>
    </w:p>
    <w:p w14:paraId="44BC5FC5" w14:textId="77777777" w:rsidR="00C27F39" w:rsidRPr="008F328C" w:rsidRDefault="00C27F39" w:rsidP="00C27F39">
      <w:pPr>
        <w:pStyle w:val="a3"/>
        <w:rPr>
          <w:u w:val="single"/>
          <w:lang w:val="pl-PL"/>
        </w:rPr>
      </w:pPr>
      <w:r w:rsidRPr="008F328C">
        <w:rPr>
          <w:rFonts w:eastAsia="Times New Roman"/>
          <w:u w:val="single" w:color="000000"/>
          <w:lang w:val="pl-PL"/>
        </w:rPr>
        <w:t>Pacjenci w podeszłym wieku</w:t>
      </w:r>
    </w:p>
    <w:p w14:paraId="09B2E6D4" w14:textId="77777777" w:rsidR="00C27F39" w:rsidRPr="008F328C" w:rsidRDefault="00C27F39" w:rsidP="00C27F39">
      <w:pPr>
        <w:spacing w:before="9" w:line="170" w:lineRule="exact"/>
        <w:rPr>
          <w:rFonts w:ascii="Times New Roman" w:hAnsi="Times New Roman" w:cs="Times New Roman"/>
          <w:lang w:val="pl-PL"/>
        </w:rPr>
      </w:pPr>
    </w:p>
    <w:p w14:paraId="2F4E19D3" w14:textId="77777777" w:rsidR="00C27F39" w:rsidRPr="008F328C" w:rsidRDefault="00C27F39" w:rsidP="00C27F39">
      <w:pPr>
        <w:pStyle w:val="a3"/>
        <w:rPr>
          <w:lang w:val="pl-PL"/>
        </w:rPr>
      </w:pPr>
      <w:r w:rsidRPr="008F328C">
        <w:rPr>
          <w:rFonts w:eastAsia="Times New Roman"/>
          <w:lang w:val="pl-PL"/>
        </w:rPr>
        <w:t>Częstość występowania ciężkich zakażeń u leczonych adalimumabem pacjentów powyżej 65 rż. (3,7%) była większa, niż u pacjentów poniżej 65 rż. (1,5%). Niektóre z zakażeń powodowały zgon. Podczas leczenia pacjentów w podeszłym wieku należy zwrócić szczególną uwagę na ryzyko zakażenia.</w:t>
      </w:r>
    </w:p>
    <w:p w14:paraId="62418014" w14:textId="77777777" w:rsidR="00C27F39" w:rsidRPr="008F328C" w:rsidRDefault="00C27F39" w:rsidP="00C27F39">
      <w:pPr>
        <w:spacing w:before="11" w:line="240" w:lineRule="exact"/>
        <w:rPr>
          <w:rFonts w:ascii="Times New Roman" w:hAnsi="Times New Roman" w:cs="Times New Roman"/>
          <w:lang w:val="pl-PL"/>
        </w:rPr>
      </w:pPr>
    </w:p>
    <w:p w14:paraId="05DB6399" w14:textId="77777777" w:rsidR="00C27F39" w:rsidRPr="008F328C" w:rsidRDefault="00C27F39" w:rsidP="00C27F39">
      <w:pPr>
        <w:pStyle w:val="a3"/>
        <w:rPr>
          <w:u w:val="single"/>
          <w:lang w:val="pl-PL"/>
        </w:rPr>
      </w:pPr>
      <w:r w:rsidRPr="008F328C">
        <w:rPr>
          <w:rFonts w:eastAsia="Times New Roman"/>
          <w:u w:val="single" w:color="000000"/>
          <w:lang w:val="pl-PL"/>
        </w:rPr>
        <w:t>Dzieci i młodzież</w:t>
      </w:r>
    </w:p>
    <w:p w14:paraId="4C88A060" w14:textId="77777777" w:rsidR="00C27F39" w:rsidRPr="008F328C" w:rsidRDefault="00C27F39" w:rsidP="00C27F39">
      <w:pPr>
        <w:spacing w:before="1" w:line="180" w:lineRule="exact"/>
        <w:rPr>
          <w:rFonts w:ascii="Times New Roman" w:hAnsi="Times New Roman" w:cs="Times New Roman"/>
          <w:lang w:val="pl-PL"/>
        </w:rPr>
      </w:pPr>
    </w:p>
    <w:p w14:paraId="307D5AC4" w14:textId="77777777" w:rsidR="00C27F39" w:rsidRPr="008F328C" w:rsidRDefault="00C27F39" w:rsidP="00C27F39">
      <w:pPr>
        <w:pStyle w:val="a3"/>
        <w:rPr>
          <w:lang w:val="pl-PL"/>
        </w:rPr>
      </w:pPr>
      <w:r w:rsidRPr="008F328C">
        <w:rPr>
          <w:rFonts w:eastAsia="Times New Roman"/>
          <w:lang w:val="pl-PL"/>
        </w:rPr>
        <w:t>Patrz „Szczepienia” powyżej.</w:t>
      </w:r>
    </w:p>
    <w:p w14:paraId="540FED84" w14:textId="77777777" w:rsidR="00C27F39" w:rsidRPr="008F328C" w:rsidRDefault="00C27F39" w:rsidP="00C27F39">
      <w:pPr>
        <w:pStyle w:val="a3"/>
        <w:rPr>
          <w:lang w:val="pl-PL"/>
        </w:rPr>
      </w:pPr>
    </w:p>
    <w:p w14:paraId="0217B267" w14:textId="77777777" w:rsidR="00C27F39" w:rsidRPr="008F328C" w:rsidRDefault="00C27F39" w:rsidP="00C27F39">
      <w:pPr>
        <w:pStyle w:val="a3"/>
        <w:rPr>
          <w:u w:val="single"/>
          <w:lang w:val="pl-PL"/>
        </w:rPr>
      </w:pPr>
      <w:r w:rsidRPr="008F328C">
        <w:rPr>
          <w:rFonts w:eastAsia="Times New Roman"/>
          <w:u w:val="single" w:color="000000"/>
          <w:lang w:val="pl-PL"/>
        </w:rPr>
        <w:t>Zawartość sodu</w:t>
      </w:r>
    </w:p>
    <w:p w14:paraId="6223DDE7" w14:textId="77777777" w:rsidR="00C27F39" w:rsidRPr="008F328C" w:rsidRDefault="00C27F39" w:rsidP="00C27F39">
      <w:pPr>
        <w:pStyle w:val="a3"/>
        <w:rPr>
          <w:lang w:val="pl-PL"/>
        </w:rPr>
      </w:pPr>
    </w:p>
    <w:p w14:paraId="1504C183" w14:textId="1C840C5A" w:rsidR="00C27F39" w:rsidRPr="008F328C" w:rsidRDefault="00C27F39" w:rsidP="00C27F39">
      <w:pPr>
        <w:pStyle w:val="a3"/>
        <w:rPr>
          <w:lang w:val="pl-PL"/>
        </w:rPr>
      </w:pPr>
      <w:r w:rsidRPr="008F328C">
        <w:rPr>
          <w:rFonts w:eastAsia="Times New Roman"/>
          <w:lang w:val="pl-PL"/>
        </w:rPr>
        <w:t xml:space="preserve">Ten produkt leczniczy zawiera mniej niż </w:t>
      </w:r>
      <w:r w:rsidR="00ED196E" w:rsidRPr="008F328C">
        <w:rPr>
          <w:rFonts w:eastAsia="Times New Roman"/>
          <w:lang w:val="pl-PL"/>
        </w:rPr>
        <w:t>1 mmol sodu (23 mg) na dawkę 0,2</w:t>
      </w:r>
      <w:r w:rsidRPr="008F328C">
        <w:rPr>
          <w:rFonts w:eastAsia="Times New Roman"/>
          <w:lang w:val="pl-PL"/>
        </w:rPr>
        <w:t> ml, to znaczy uznaje się go za „wolny od sodu”.</w:t>
      </w:r>
    </w:p>
    <w:p w14:paraId="728079DB" w14:textId="77777777" w:rsidR="00C27F39" w:rsidRPr="008F328C" w:rsidRDefault="00C27F39" w:rsidP="00C27F39">
      <w:pPr>
        <w:spacing w:before="18" w:line="240" w:lineRule="exact"/>
        <w:rPr>
          <w:rFonts w:ascii="Times New Roman" w:hAnsi="Times New Roman" w:cs="Times New Roman"/>
          <w:sz w:val="24"/>
          <w:szCs w:val="24"/>
          <w:lang w:val="pl-PL"/>
        </w:rPr>
      </w:pPr>
    </w:p>
    <w:p w14:paraId="45CFBA66"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Interakcje z innymi produktami leczniczymi i inne rodzaje interakcji</w:t>
      </w:r>
    </w:p>
    <w:p w14:paraId="4D2EAE00" w14:textId="77777777" w:rsidR="00C27F39" w:rsidRPr="008F328C" w:rsidRDefault="00C27F39" w:rsidP="00C27F39">
      <w:pPr>
        <w:spacing w:before="9" w:line="240" w:lineRule="exact"/>
        <w:rPr>
          <w:rFonts w:ascii="Times New Roman" w:hAnsi="Times New Roman" w:cs="Times New Roman"/>
          <w:sz w:val="24"/>
          <w:szCs w:val="24"/>
          <w:lang w:val="pl-PL"/>
        </w:rPr>
      </w:pPr>
    </w:p>
    <w:p w14:paraId="12D612C4" w14:textId="77777777" w:rsidR="00C27F39" w:rsidRPr="008F328C" w:rsidRDefault="00C27F39" w:rsidP="00C27F39">
      <w:pPr>
        <w:pStyle w:val="a3"/>
        <w:rPr>
          <w:lang w:val="pl-PL"/>
        </w:rPr>
      </w:pPr>
      <w:r w:rsidRPr="008F328C">
        <w:rPr>
          <w:rFonts w:eastAsia="Times New Roman"/>
          <w:lang w:val="pl-PL"/>
        </w:rPr>
        <w:t>Badano stosowanie adalimumabu u pacjentów z reumatoidalnym zapaleniem stawów, wielostawowym młodzieńczym idiopatycznym zapaleniem stawów i łuszczycowym zapaleniem stawów przyjmujących ten lek w monoterapii oraz u pacjentów przyjmujących równocześnie metotreksat. Tworzenie przeciwciał było mniejsze, gdy adalimumab podawano z metotreksatem w porównaniu do stosowania w monoterapii. Podawanie adalimumabu bez metotreksatu spowodowało zwiększenie tworzenia się przeciwciał, zwiększenie klirensu i zmniejszenie skuteczności adalimumabu (patrz punkt 5.1).</w:t>
      </w:r>
    </w:p>
    <w:p w14:paraId="399A97BC" w14:textId="77777777" w:rsidR="00C27F39" w:rsidRPr="008F328C" w:rsidRDefault="00C27F39" w:rsidP="00C27F39">
      <w:pPr>
        <w:spacing w:before="17" w:line="240" w:lineRule="exact"/>
        <w:rPr>
          <w:rFonts w:ascii="Times New Roman" w:hAnsi="Times New Roman" w:cs="Times New Roman"/>
          <w:sz w:val="24"/>
          <w:szCs w:val="24"/>
          <w:lang w:val="pl-PL"/>
        </w:rPr>
      </w:pPr>
    </w:p>
    <w:p w14:paraId="7ABBD96A" w14:textId="77777777" w:rsidR="00C27F39" w:rsidRPr="008F328C" w:rsidRDefault="00C27F39" w:rsidP="00C27F39">
      <w:pPr>
        <w:pStyle w:val="a3"/>
        <w:rPr>
          <w:lang w:val="pl-PL"/>
        </w:rPr>
      </w:pPr>
      <w:r w:rsidRPr="008F328C">
        <w:rPr>
          <w:rFonts w:eastAsia="Times New Roman"/>
          <w:lang w:val="pl-PL"/>
        </w:rPr>
        <w:t>Nie zaleca się stosowania w skojarzeniu adalimumabu i anakinry (patrz punkt 4.4 „Równoczesne podawanie biologicznych DMARDs lub antagonistów TNF”).</w:t>
      </w:r>
    </w:p>
    <w:p w14:paraId="1390BAB6" w14:textId="77777777" w:rsidR="00C27F39" w:rsidRPr="008F328C" w:rsidRDefault="00C27F39" w:rsidP="00C27F39">
      <w:pPr>
        <w:spacing w:before="11" w:line="240" w:lineRule="exact"/>
        <w:rPr>
          <w:rFonts w:ascii="Times New Roman" w:hAnsi="Times New Roman" w:cs="Times New Roman"/>
          <w:sz w:val="24"/>
          <w:szCs w:val="24"/>
          <w:lang w:val="pl-PL"/>
        </w:rPr>
      </w:pPr>
    </w:p>
    <w:p w14:paraId="32578DB1" w14:textId="77777777" w:rsidR="00C27F39" w:rsidRPr="008F328C" w:rsidRDefault="00C27F39" w:rsidP="00C27F39">
      <w:pPr>
        <w:pStyle w:val="a3"/>
        <w:rPr>
          <w:lang w:val="pl-PL"/>
        </w:rPr>
      </w:pPr>
      <w:r w:rsidRPr="008F328C">
        <w:rPr>
          <w:rFonts w:eastAsia="Times New Roman"/>
          <w:lang w:val="pl-PL"/>
        </w:rPr>
        <w:t>Nie zaleca się stosowania w skojarzeniu adalimumabu i abataceptu (patrz punkt 4.4 „Równoczesne podawanie biologicznych DMARDs lub antagonistów TNF”).</w:t>
      </w:r>
    </w:p>
    <w:p w14:paraId="63E39445" w14:textId="77777777" w:rsidR="00C27F39" w:rsidRPr="008F328C" w:rsidRDefault="00C27F39" w:rsidP="00C27F39">
      <w:pPr>
        <w:spacing w:before="14" w:line="240" w:lineRule="exact"/>
        <w:rPr>
          <w:rFonts w:ascii="Times New Roman" w:hAnsi="Times New Roman" w:cs="Times New Roman"/>
          <w:sz w:val="24"/>
          <w:szCs w:val="24"/>
          <w:lang w:val="pl-PL"/>
        </w:rPr>
      </w:pPr>
    </w:p>
    <w:p w14:paraId="2CBBF428"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płodność, ciążę i laktację</w:t>
      </w:r>
    </w:p>
    <w:p w14:paraId="41927B3F" w14:textId="77777777" w:rsidR="00C27F39" w:rsidRPr="008F328C" w:rsidRDefault="00C27F39" w:rsidP="00C27F39">
      <w:pPr>
        <w:spacing w:before="9" w:line="240" w:lineRule="exact"/>
        <w:rPr>
          <w:rFonts w:ascii="Times New Roman" w:hAnsi="Times New Roman" w:cs="Times New Roman"/>
          <w:lang w:val="pl-PL"/>
        </w:rPr>
      </w:pPr>
    </w:p>
    <w:p w14:paraId="2B8EFC20" w14:textId="77777777" w:rsidR="00C27F39" w:rsidRPr="008F328C" w:rsidRDefault="00C27F39" w:rsidP="00C27F39">
      <w:pPr>
        <w:pStyle w:val="a3"/>
        <w:rPr>
          <w:u w:val="single"/>
          <w:lang w:val="pl-PL"/>
        </w:rPr>
      </w:pPr>
      <w:r w:rsidRPr="008F328C">
        <w:rPr>
          <w:rFonts w:eastAsia="Times New Roman"/>
          <w:u w:val="single" w:color="000000"/>
          <w:lang w:val="pl-PL"/>
        </w:rPr>
        <w:t>Kobiety w wieku rozrodczym</w:t>
      </w:r>
    </w:p>
    <w:p w14:paraId="276B221B" w14:textId="77777777" w:rsidR="00C27F39" w:rsidRPr="008F328C" w:rsidRDefault="00C27F39" w:rsidP="00C27F39">
      <w:pPr>
        <w:spacing w:before="1" w:line="180" w:lineRule="exact"/>
        <w:rPr>
          <w:rFonts w:ascii="Times New Roman" w:hAnsi="Times New Roman" w:cs="Times New Roman"/>
          <w:lang w:val="pl-PL"/>
        </w:rPr>
      </w:pPr>
    </w:p>
    <w:p w14:paraId="54082E6A" w14:textId="77777777" w:rsidR="00C27F39" w:rsidRPr="008F328C" w:rsidRDefault="00C27F39" w:rsidP="00C27F39">
      <w:pPr>
        <w:pStyle w:val="a3"/>
        <w:rPr>
          <w:lang w:val="pl-PL"/>
        </w:rPr>
      </w:pPr>
      <w:r w:rsidRPr="008F328C">
        <w:rPr>
          <w:rFonts w:eastAsia="Times New Roman"/>
          <w:lang w:val="pl-PL"/>
        </w:rPr>
        <w:t>Kobiety w wieku rozrodczym powinny rozważyć stosowanie odpowiednich metod zapobiegania ciąży i ich kontynuowanie przez co najmniej pięć miesięcy po przyjęciu ostatniej dawki produktu Yuflyma.</w:t>
      </w:r>
    </w:p>
    <w:p w14:paraId="58E972B8" w14:textId="77777777" w:rsidR="00C27F39" w:rsidRPr="008F328C" w:rsidRDefault="00C27F39" w:rsidP="00C27F39">
      <w:pPr>
        <w:spacing w:before="11" w:line="240" w:lineRule="exact"/>
        <w:rPr>
          <w:rFonts w:ascii="Times New Roman" w:hAnsi="Times New Roman" w:cs="Times New Roman"/>
          <w:lang w:val="pl-PL"/>
        </w:rPr>
      </w:pPr>
    </w:p>
    <w:p w14:paraId="0EE2F15C" w14:textId="77777777" w:rsidR="00C27F39" w:rsidRPr="008F328C" w:rsidRDefault="00C27F39" w:rsidP="00C27F39">
      <w:pPr>
        <w:pStyle w:val="a3"/>
        <w:rPr>
          <w:u w:val="single"/>
          <w:lang w:val="pl-PL"/>
        </w:rPr>
      </w:pPr>
      <w:r w:rsidRPr="008F328C">
        <w:rPr>
          <w:rFonts w:eastAsia="Times New Roman"/>
          <w:u w:val="single" w:color="000000"/>
          <w:lang w:val="pl-PL"/>
        </w:rPr>
        <w:t>Ciąża</w:t>
      </w:r>
    </w:p>
    <w:p w14:paraId="33521B35" w14:textId="77777777" w:rsidR="00C27F39" w:rsidRPr="008F328C" w:rsidRDefault="00C27F39" w:rsidP="00C27F39">
      <w:pPr>
        <w:spacing w:before="1" w:line="180" w:lineRule="exact"/>
        <w:rPr>
          <w:rFonts w:ascii="Times New Roman" w:hAnsi="Times New Roman" w:cs="Times New Roman"/>
          <w:lang w:val="pl-PL"/>
        </w:rPr>
      </w:pPr>
    </w:p>
    <w:p w14:paraId="6FEA905A" w14:textId="77777777" w:rsidR="00C27F39" w:rsidRPr="008F328C" w:rsidRDefault="00C27F39" w:rsidP="00C27F39">
      <w:pPr>
        <w:pStyle w:val="a3"/>
        <w:rPr>
          <w:lang w:val="pl-PL"/>
        </w:rPr>
      </w:pPr>
      <w:r w:rsidRPr="008F328C">
        <w:rPr>
          <w:rFonts w:eastAsia="Times New Roman"/>
          <w:lang w:val="pl-PL"/>
        </w:rPr>
        <w:t>Znaczna liczba (około 2 100) prospektywnie rejestrowanych ciąż narażonych na adalimumab, zakończonych żywym urodzeniem ze znanym zakończeniem, w tym ponad 1 500 ciąż narażonych w pierwszym trymestrze, nie wskazuje na zwiększenie odsetka wad rozwojowych u noworodków.</w:t>
      </w:r>
    </w:p>
    <w:p w14:paraId="14B0AD35" w14:textId="77777777" w:rsidR="00C27F39" w:rsidRPr="008F328C" w:rsidRDefault="00C27F39" w:rsidP="00C27F39">
      <w:pPr>
        <w:spacing w:before="13" w:line="240" w:lineRule="exact"/>
        <w:rPr>
          <w:rFonts w:ascii="Times New Roman" w:hAnsi="Times New Roman" w:cs="Times New Roman"/>
          <w:lang w:val="pl-PL"/>
        </w:rPr>
      </w:pPr>
    </w:p>
    <w:p w14:paraId="58F17BEE" w14:textId="77777777" w:rsidR="00C27F39" w:rsidRPr="008F328C" w:rsidRDefault="00C27F39" w:rsidP="00C27F39">
      <w:pPr>
        <w:pStyle w:val="a3"/>
        <w:rPr>
          <w:lang w:val="pl-PL"/>
        </w:rPr>
      </w:pPr>
      <w:r w:rsidRPr="008F328C">
        <w:rPr>
          <w:rFonts w:eastAsia="Times New Roman"/>
          <w:lang w:val="pl-PL"/>
        </w:rPr>
        <w:t xml:space="preserve">Do prospektywnych rejestrów kohortowych włączono 257 kobiet z reumatoidalnym zapaleniem stawów (RZS) lub chorobą Leśniowskiego-Crohna (ChLC) leczonych adalimumabem przynajmniej w pierwszym trymestrze ciąży i 120 kobiet z RZS lub ChLC nie leczonych adalimumabem. Pierwszorzędowym punktem końcowym była częstość występowania urodzeń z poważną wadą wrodzoną. Współczynnik ciąż zakończonych urodzeniem przynajmniej jednego, żywego noworodka z poważną wadą wrodzoną wynosił </w:t>
      </w:r>
      <w:r w:rsidRPr="008F328C">
        <w:rPr>
          <w:rFonts w:eastAsia="Times New Roman"/>
          <w:lang w:val="pl-PL"/>
        </w:rPr>
        <w:lastRenderedPageBreak/>
        <w:t>6/69 (8,7%) u kobiet z RZS leczonych adalimumabem i 5/74 (6,8%) u nieleczonych kobiet z RZS (nieskorygowany OR 1,31, 95% CI 0,38-4,52) oraz 16/152 (10,5%) u kobiet z ChLC leczonych adalimumabem i 3/32 (9,4%) u nieleczonych kobiet z ChLC (nieskorygowany OR 1,14, 95% CI 0,31-4,16). Skorygowany OR (uwzględniający różnice początkowe) wynosił 1,10 (95% CI 0,45-2,73) łącznie dla RZS i ChLC. Dla drugorzędowych punktów końcowych samoistnych poronień, niewielkich wad wrodzonych, przedwczesnego porodu, wielkości płodu, poważnych lub oportunistycznych zakażeń, nie było wyraźnej różnicy między kobietami leczonymi a nieleczonymi adalimumabem, nie zgłaszano także martwych urodzeń oraz nowotworów. Na interpretację danych mogą mieć wpływ ograniczenia metodologiczne badania, w tym mała wielkość próby oraz brak randomizacji.</w:t>
      </w:r>
    </w:p>
    <w:p w14:paraId="432C43B6" w14:textId="77777777" w:rsidR="00C27F39" w:rsidRPr="008F328C" w:rsidRDefault="00C27F39" w:rsidP="00C27F39">
      <w:pPr>
        <w:spacing w:before="10" w:line="240" w:lineRule="exact"/>
        <w:rPr>
          <w:rFonts w:ascii="Times New Roman" w:hAnsi="Times New Roman" w:cs="Times New Roman"/>
          <w:lang w:val="pl-PL"/>
        </w:rPr>
      </w:pPr>
    </w:p>
    <w:p w14:paraId="142E6653" w14:textId="77777777" w:rsidR="00C27F39" w:rsidRPr="008F328C" w:rsidRDefault="00C27F39" w:rsidP="00C27F39">
      <w:pPr>
        <w:pStyle w:val="a3"/>
        <w:rPr>
          <w:lang w:val="pl-PL"/>
        </w:rPr>
      </w:pPr>
      <w:r w:rsidRPr="008F328C">
        <w:rPr>
          <w:rFonts w:eastAsia="Times New Roman"/>
          <w:spacing w:val="-2"/>
          <w:lang w:val="pl-PL"/>
        </w:rPr>
        <w:t>W badaniu toksyczności rozwojowej prowadzonym na małpach nie wykazano toksycznego działania na matkę, embriotoksyczności lub działania teratogennego. Niekliniczne dane o toksyczności pourodzeniowej adalimumabu nie są dostępne (patrz punkt 5.3).</w:t>
      </w:r>
    </w:p>
    <w:p w14:paraId="53184363" w14:textId="77777777" w:rsidR="00C27F39" w:rsidRPr="008F328C" w:rsidRDefault="00C27F39" w:rsidP="00C27F39">
      <w:pPr>
        <w:spacing w:before="14" w:line="260" w:lineRule="exact"/>
        <w:rPr>
          <w:rFonts w:ascii="Times New Roman" w:hAnsi="Times New Roman" w:cs="Times New Roman"/>
          <w:lang w:val="pl-PL"/>
        </w:rPr>
      </w:pPr>
    </w:p>
    <w:p w14:paraId="64DE0082" w14:textId="77777777" w:rsidR="00C27F39" w:rsidRPr="008F328C" w:rsidRDefault="00C27F39" w:rsidP="00C27F39">
      <w:pPr>
        <w:pStyle w:val="a3"/>
        <w:rPr>
          <w:lang w:val="pl-PL"/>
        </w:rPr>
      </w:pPr>
      <w:r w:rsidRPr="008F328C">
        <w:rPr>
          <w:rFonts w:eastAsia="Times New Roman"/>
          <w:lang w:val="pl-PL"/>
        </w:rPr>
        <w:t>Ze względu na hamujące działanie na TNFα, adalimumab podawany w okresie ciąży mógłby wpływać na prawidłową odpowiedź immunologiczną u noworodka. Adalimumab należy stosować w okresie ciąży, tylko jeśli jest to bezwzględnie konieczne.</w:t>
      </w:r>
    </w:p>
    <w:p w14:paraId="33C6695F" w14:textId="77777777" w:rsidR="00C27F39" w:rsidRPr="008F328C" w:rsidRDefault="00C27F39" w:rsidP="00C27F39">
      <w:pPr>
        <w:spacing w:before="11" w:line="240" w:lineRule="exact"/>
        <w:rPr>
          <w:rFonts w:ascii="Times New Roman" w:hAnsi="Times New Roman" w:cs="Times New Roman"/>
          <w:lang w:val="pl-PL"/>
        </w:rPr>
      </w:pPr>
    </w:p>
    <w:p w14:paraId="5DC53BCC" w14:textId="77777777" w:rsidR="00C27F39" w:rsidRPr="008F328C" w:rsidRDefault="00C27F39" w:rsidP="00C27F39">
      <w:pPr>
        <w:pStyle w:val="a3"/>
        <w:rPr>
          <w:lang w:val="pl-PL"/>
        </w:rPr>
      </w:pPr>
      <w:r w:rsidRPr="008F328C">
        <w:rPr>
          <w:rFonts w:eastAsia="Times New Roman"/>
          <w:lang w:val="pl-PL"/>
        </w:rPr>
        <w:t>Adalimumab może przenikać przez łożysko do surowicy niemowląt, których matki leczono w okresie ciąży adalimumabem. W wyniku tego, u niemowląt może wystąpić zwiększone ryzyko zakażenia. U niemowląt narażonych na adalimumab w okresie życia płodowego nie zaleca się podawania żywych szczepionek (np. szczepionki przeciwgruźliczej, BCG) przez okres 5 miesięcy od przyjęcia przez matkę ostatniej dawki adalimumabu w okresie ciąży.</w:t>
      </w:r>
    </w:p>
    <w:p w14:paraId="7293FC97" w14:textId="77777777" w:rsidR="00C27F39" w:rsidRPr="008F328C" w:rsidRDefault="00C27F39" w:rsidP="00C27F39">
      <w:pPr>
        <w:spacing w:before="13" w:line="240" w:lineRule="exact"/>
        <w:rPr>
          <w:rFonts w:ascii="Times New Roman" w:hAnsi="Times New Roman" w:cs="Times New Roman"/>
          <w:lang w:val="pl-PL"/>
        </w:rPr>
      </w:pPr>
    </w:p>
    <w:p w14:paraId="324E13E2" w14:textId="77777777" w:rsidR="00C27F39" w:rsidRPr="008F328C" w:rsidRDefault="00C27F39" w:rsidP="00C27F39">
      <w:pPr>
        <w:pStyle w:val="a3"/>
        <w:rPr>
          <w:u w:val="single"/>
          <w:lang w:val="pl-PL"/>
        </w:rPr>
      </w:pPr>
      <w:r w:rsidRPr="008F328C">
        <w:rPr>
          <w:rFonts w:eastAsia="Times New Roman"/>
          <w:spacing w:val="-1"/>
          <w:u w:val="single" w:color="000000"/>
          <w:lang w:val="pl-PL"/>
        </w:rPr>
        <w:t>Karmienie piersią</w:t>
      </w:r>
    </w:p>
    <w:p w14:paraId="785D95A5" w14:textId="77777777" w:rsidR="00C27F39" w:rsidRPr="008F328C" w:rsidRDefault="00C27F39" w:rsidP="00C27F39">
      <w:pPr>
        <w:spacing w:before="1" w:line="180" w:lineRule="exact"/>
        <w:rPr>
          <w:rFonts w:ascii="Times New Roman" w:hAnsi="Times New Roman" w:cs="Times New Roman"/>
          <w:lang w:val="pl-PL"/>
        </w:rPr>
      </w:pPr>
    </w:p>
    <w:p w14:paraId="3942E543" w14:textId="77777777" w:rsidR="00C27F39" w:rsidRPr="008F328C" w:rsidRDefault="00C27F39" w:rsidP="00C27F39">
      <w:pPr>
        <w:pStyle w:val="a3"/>
        <w:rPr>
          <w:lang w:val="pl-PL"/>
        </w:rPr>
      </w:pPr>
      <w:r w:rsidRPr="008F328C">
        <w:rPr>
          <w:rFonts w:eastAsia="Times New Roman"/>
          <w:lang w:val="pl-PL"/>
        </w:rPr>
        <w:t>Ograniczone dane opublikowane w literaturze wskazują, że adalimumab przenika do mleka ludzkiego w bardzo niewielkich stężeniach i występuje w mleku ludzkim w stężeniu od 0,1% do 1% poziomu w surowicy matki. Podawane doustnie, białka immunoglobuliny G ulegają wewnątrzjelitowej proteolizie i mają małą biodostępność. Nie należy się spodziewać wpływu na organizm noworodków/dzieci karmionych piersią. W związku z tym produkt Yuflyma może być stosowany podczas karmienia piersią.</w:t>
      </w:r>
    </w:p>
    <w:p w14:paraId="5661FACE" w14:textId="77777777" w:rsidR="00C27F39" w:rsidRPr="008F328C" w:rsidRDefault="00C27F39" w:rsidP="00C27F39">
      <w:pPr>
        <w:spacing w:before="11" w:line="240" w:lineRule="exact"/>
        <w:rPr>
          <w:rFonts w:ascii="Times New Roman" w:hAnsi="Times New Roman" w:cs="Times New Roman"/>
          <w:lang w:val="pl-PL"/>
        </w:rPr>
      </w:pPr>
    </w:p>
    <w:p w14:paraId="07DF84E9" w14:textId="77777777" w:rsidR="00C27F39" w:rsidRPr="008F328C" w:rsidRDefault="00C27F39" w:rsidP="00C27F39">
      <w:pPr>
        <w:pStyle w:val="a3"/>
        <w:rPr>
          <w:u w:val="single"/>
          <w:lang w:val="pl-PL"/>
        </w:rPr>
      </w:pPr>
      <w:r w:rsidRPr="008F328C">
        <w:rPr>
          <w:rFonts w:eastAsia="Times New Roman"/>
          <w:u w:val="single" w:color="000000"/>
          <w:lang w:val="pl-PL"/>
        </w:rPr>
        <w:t>Płodność</w:t>
      </w:r>
    </w:p>
    <w:p w14:paraId="24FA8A7B" w14:textId="77777777" w:rsidR="00C27F39" w:rsidRPr="008F328C" w:rsidRDefault="00C27F39" w:rsidP="00C27F39">
      <w:pPr>
        <w:spacing w:before="1" w:line="180" w:lineRule="exact"/>
        <w:rPr>
          <w:rFonts w:ascii="Times New Roman" w:hAnsi="Times New Roman" w:cs="Times New Roman"/>
          <w:lang w:val="pl-PL"/>
        </w:rPr>
      </w:pPr>
    </w:p>
    <w:p w14:paraId="3A9F4E20" w14:textId="6108947B" w:rsidR="00C27F39" w:rsidRPr="008F328C" w:rsidRDefault="00C27F39" w:rsidP="00C27F39">
      <w:pPr>
        <w:pStyle w:val="a3"/>
        <w:rPr>
          <w:lang w:val="pl-PL"/>
        </w:rPr>
      </w:pPr>
      <w:r w:rsidRPr="008F328C">
        <w:rPr>
          <w:rFonts w:eastAsia="Times New Roman"/>
          <w:lang w:val="pl-PL"/>
        </w:rPr>
        <w:t xml:space="preserve">Brak </w:t>
      </w:r>
      <w:r w:rsidR="00B511C9">
        <w:rPr>
          <w:rFonts w:eastAsia="Times New Roman"/>
          <w:lang w:val="pl-PL"/>
        </w:rPr>
        <w:t>nie</w:t>
      </w:r>
      <w:r w:rsidRPr="008F328C">
        <w:rPr>
          <w:rFonts w:eastAsia="Times New Roman"/>
          <w:lang w:val="pl-PL"/>
        </w:rPr>
        <w:t>klinicznych danych o wpływie adalimumabu na płodność.</w:t>
      </w:r>
    </w:p>
    <w:p w14:paraId="0C84F95F" w14:textId="77777777" w:rsidR="00C27F39" w:rsidRPr="008F328C" w:rsidRDefault="00C27F39" w:rsidP="00C27F39">
      <w:pPr>
        <w:spacing w:before="18" w:line="240" w:lineRule="exact"/>
        <w:rPr>
          <w:rFonts w:ascii="Times New Roman" w:hAnsi="Times New Roman" w:cs="Times New Roman"/>
          <w:sz w:val="24"/>
          <w:szCs w:val="24"/>
          <w:lang w:val="pl-PL"/>
        </w:rPr>
      </w:pPr>
    </w:p>
    <w:p w14:paraId="645F5986"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Wpływ na zdolność prowadzenia pojazdów i obsługiwania maszyn</w:t>
      </w:r>
    </w:p>
    <w:p w14:paraId="38FA435F" w14:textId="77777777" w:rsidR="00C27F39" w:rsidRPr="008F328C" w:rsidRDefault="00C27F39" w:rsidP="00C27F39">
      <w:pPr>
        <w:spacing w:before="12" w:line="240" w:lineRule="exact"/>
        <w:rPr>
          <w:rFonts w:ascii="Times New Roman" w:hAnsi="Times New Roman" w:cs="Times New Roman"/>
          <w:sz w:val="24"/>
          <w:szCs w:val="24"/>
          <w:lang w:val="pl-PL"/>
        </w:rPr>
      </w:pPr>
    </w:p>
    <w:p w14:paraId="73F7573E" w14:textId="77777777" w:rsidR="00C27F39" w:rsidRPr="008F328C" w:rsidRDefault="00C27F39" w:rsidP="00C27F39">
      <w:pPr>
        <w:pStyle w:val="a3"/>
        <w:rPr>
          <w:lang w:val="pl-PL"/>
        </w:rPr>
      </w:pPr>
      <w:r w:rsidRPr="008F328C">
        <w:rPr>
          <w:rFonts w:eastAsia="Times New Roman"/>
          <w:lang w:val="pl-PL"/>
        </w:rPr>
        <w:t>Yuflyma może wywierać niewielki wpływ na zdolność prowadzenia pojazdów i obsługiwania maszyn. Po podaniu produktu Yuflyma wystąpić mogą zawroty głowy i pogorszenie widzenia (patrz punkt 4.8).</w:t>
      </w:r>
    </w:p>
    <w:p w14:paraId="72DAED84" w14:textId="77777777" w:rsidR="00C27F39" w:rsidRPr="008F328C" w:rsidRDefault="00C27F39" w:rsidP="00C27F39">
      <w:pPr>
        <w:spacing w:before="15" w:line="240" w:lineRule="exact"/>
        <w:rPr>
          <w:rFonts w:ascii="Times New Roman" w:hAnsi="Times New Roman" w:cs="Times New Roman"/>
          <w:sz w:val="24"/>
          <w:szCs w:val="24"/>
          <w:lang w:val="pl-PL"/>
        </w:rPr>
      </w:pPr>
    </w:p>
    <w:p w14:paraId="53D6D4DE"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Działania niepożądane</w:t>
      </w:r>
    </w:p>
    <w:p w14:paraId="73B1227C" w14:textId="77777777" w:rsidR="00C27F39" w:rsidRPr="008F328C" w:rsidRDefault="00C27F39" w:rsidP="00C27F39">
      <w:pPr>
        <w:spacing w:before="9" w:line="240" w:lineRule="exact"/>
        <w:rPr>
          <w:rFonts w:ascii="Times New Roman" w:hAnsi="Times New Roman" w:cs="Times New Roman"/>
          <w:sz w:val="24"/>
          <w:szCs w:val="24"/>
          <w:lang w:val="pl-PL"/>
        </w:rPr>
      </w:pPr>
    </w:p>
    <w:p w14:paraId="6D84E714" w14:textId="77777777" w:rsidR="00C27F39" w:rsidRPr="008F328C" w:rsidRDefault="00C27F39" w:rsidP="00C27F39">
      <w:pPr>
        <w:pStyle w:val="a3"/>
        <w:rPr>
          <w:u w:val="single"/>
          <w:lang w:val="pl-PL"/>
        </w:rPr>
      </w:pPr>
      <w:r w:rsidRPr="008F328C">
        <w:rPr>
          <w:rFonts w:eastAsia="Times New Roman"/>
          <w:u w:val="single" w:color="000000"/>
          <w:lang w:val="pl-PL"/>
        </w:rPr>
        <w:t>Podsumowanie profilu bezpieczeństwa stosowania</w:t>
      </w:r>
    </w:p>
    <w:p w14:paraId="1EA1EA2C" w14:textId="77777777" w:rsidR="00C27F39" w:rsidRPr="008F328C" w:rsidRDefault="00C27F39" w:rsidP="00C27F39">
      <w:pPr>
        <w:spacing w:before="1" w:line="180" w:lineRule="exact"/>
        <w:rPr>
          <w:rFonts w:ascii="Times New Roman" w:hAnsi="Times New Roman" w:cs="Times New Roman"/>
          <w:sz w:val="18"/>
          <w:szCs w:val="18"/>
          <w:lang w:val="pl-PL"/>
        </w:rPr>
      </w:pPr>
    </w:p>
    <w:p w14:paraId="44A14FDC" w14:textId="77777777" w:rsidR="00C27F39" w:rsidRPr="008F328C" w:rsidRDefault="00C27F39" w:rsidP="00C27F39">
      <w:pPr>
        <w:pStyle w:val="a3"/>
        <w:rPr>
          <w:lang w:val="pl-PL"/>
        </w:rPr>
      </w:pPr>
      <w:r w:rsidRPr="008F328C">
        <w:rPr>
          <w:rFonts w:eastAsia="Times New Roman"/>
          <w:lang w:val="pl-PL"/>
        </w:rPr>
        <w:t xml:space="preserve">Adalimumab badano u 9 506 pacjentów w głównych, kontrolowanych i otwartych badaniach klinicznych przez okres do 60 miesięcy lub dłużej. W badaniach tych uczestniczyli pacjenci z reumatoidalnym zapaleniem stawów o krótkim i długim przebiegu choroby, młodzieńczym idiopatycznym zapaleniem stawów (wielostawowym młodzieńczym idiopatycznym zapaleniem stawów i zapaleniem stawów z towarzyszącym zapaleniem przyczepów ścięgnistych) oraz pacjenci z osiową spondyloartropatią (zesztywniającym zapaleniem stawów kręgosłupa i osiową spondyloartropatią bez zmian radiograficznych charakterystycznych dla zesztywniającego zapalenia stawów kręgosłupa), łuszczycowym zapaleniem stawów, chorobą Leśniowskiego-Crohna, wrzodziejącym zapaleniem jelita grubego, łuszczycą, ropnym zapaleniem apokrynowych gruczołów potowych oraz zapaleniem błony naczyniowej oka. W głównych </w:t>
      </w:r>
      <w:r w:rsidRPr="008F328C">
        <w:rPr>
          <w:rFonts w:eastAsia="Times New Roman"/>
          <w:lang w:val="pl-PL"/>
        </w:rPr>
        <w:lastRenderedPageBreak/>
        <w:t>kontrolowanych badaniach klinicznych brało udział 6 089 pacjentów otrzymujących adalimumab oraz 3 801 pacjentów otrzymujących placebo lub czynną substancję porównawczą w okresie prowadzenia badania kontrolowanego.</w:t>
      </w:r>
    </w:p>
    <w:p w14:paraId="7B817566" w14:textId="77777777" w:rsidR="00C27F39" w:rsidRPr="008F328C" w:rsidRDefault="00C27F39" w:rsidP="00C27F39">
      <w:pPr>
        <w:spacing w:before="13" w:line="240" w:lineRule="exact"/>
        <w:rPr>
          <w:rFonts w:ascii="Times New Roman" w:hAnsi="Times New Roman" w:cs="Times New Roman"/>
          <w:sz w:val="24"/>
          <w:szCs w:val="24"/>
          <w:lang w:val="pl-PL"/>
        </w:rPr>
      </w:pPr>
    </w:p>
    <w:p w14:paraId="3081B906" w14:textId="77777777" w:rsidR="00C27F39" w:rsidRPr="008F328C" w:rsidRDefault="00C27F39" w:rsidP="00C27F39">
      <w:pPr>
        <w:pStyle w:val="a3"/>
        <w:rPr>
          <w:lang w:val="pl-PL"/>
        </w:rPr>
      </w:pPr>
      <w:r w:rsidRPr="008F328C">
        <w:rPr>
          <w:rFonts w:eastAsia="Times New Roman"/>
          <w:lang w:val="pl-PL"/>
        </w:rPr>
        <w:t>Odsetek pacjentów, którzy przerwali leczenie z powodu zdarzeń niepożądanych w głównych badaniach prowadzonych metodą podwójnie ślepej próby z udziałem grup kontrolnych wynosił 5,9% dla pacjentów przyjmujących adalimumab i 5,4% dla pacjentów z grup kontrolnych.</w:t>
      </w:r>
    </w:p>
    <w:p w14:paraId="7BA3F577" w14:textId="77777777" w:rsidR="00C27F39" w:rsidRPr="008F328C" w:rsidRDefault="00C27F39" w:rsidP="00C27F39">
      <w:pPr>
        <w:spacing w:before="17" w:line="240" w:lineRule="exact"/>
        <w:rPr>
          <w:rFonts w:ascii="Times New Roman" w:hAnsi="Times New Roman" w:cs="Times New Roman"/>
          <w:sz w:val="24"/>
          <w:szCs w:val="24"/>
          <w:lang w:val="pl-PL"/>
        </w:rPr>
      </w:pPr>
    </w:p>
    <w:p w14:paraId="5C0CD1B6" w14:textId="77777777" w:rsidR="00C27F39" w:rsidRPr="008F328C" w:rsidRDefault="00C27F39" w:rsidP="00C27F39">
      <w:pPr>
        <w:pStyle w:val="a3"/>
        <w:rPr>
          <w:lang w:val="pl-PL"/>
        </w:rPr>
      </w:pPr>
      <w:r w:rsidRPr="008F328C">
        <w:rPr>
          <w:rFonts w:eastAsia="Times New Roman"/>
          <w:lang w:val="pl-PL"/>
        </w:rPr>
        <w:t>Najczęściej zgłaszanymi działaniami niepożądanymi są zakażenia (takie jak zapalenie części nosowej gardła, zakażenie górnych dróg oddechowych i zapalenie zatok), odczyny w miejscu wstrzyknięcia (rumień, świąd, krwotok, ból lub obrzęk), bóle głowy i bóle mięśniowo-szkieletowe.</w:t>
      </w:r>
    </w:p>
    <w:p w14:paraId="72D61A24" w14:textId="77777777" w:rsidR="00C27F39" w:rsidRPr="008F328C" w:rsidRDefault="00C27F39" w:rsidP="00C27F39">
      <w:pPr>
        <w:pStyle w:val="a3"/>
        <w:rPr>
          <w:lang w:val="pl-PL"/>
        </w:rPr>
      </w:pPr>
    </w:p>
    <w:p w14:paraId="1AB5CDEB" w14:textId="77777777" w:rsidR="00C27F39" w:rsidRPr="008F328C" w:rsidRDefault="00C27F39" w:rsidP="00C27F39">
      <w:pPr>
        <w:pStyle w:val="a3"/>
        <w:rPr>
          <w:lang w:val="pl-PL"/>
        </w:rPr>
      </w:pPr>
      <w:r w:rsidRPr="008F328C">
        <w:rPr>
          <w:rFonts w:eastAsia="Times New Roman"/>
          <w:lang w:val="pl-PL"/>
        </w:rPr>
        <w:t>Informowano o ciężkich działaniach niepożądanych adalimumabu. Leki z grupy antagonistów TNF, takie jak adalimumab, działają na układ immunologiczny i ich stosowanie może wpływać na mechanizmy obronne organizmu skierowane przeciw zakażeniom i nowotworom złośliwym.</w:t>
      </w:r>
    </w:p>
    <w:p w14:paraId="4BA96725" w14:textId="77777777" w:rsidR="00C27F39" w:rsidRPr="008F328C" w:rsidRDefault="00C27F39" w:rsidP="00C27F39">
      <w:pPr>
        <w:pStyle w:val="a3"/>
        <w:rPr>
          <w:lang w:val="pl-PL"/>
        </w:rPr>
      </w:pPr>
      <w:r w:rsidRPr="008F328C">
        <w:rPr>
          <w:rFonts w:eastAsia="Times New Roman"/>
          <w:lang w:val="pl-PL"/>
        </w:rPr>
        <w:t>W związku ze stosowaniem adalimumabu, informowano również o powodujących zgon i zagrażających życiu zakażeniach (w tym posocznicy, zakażeniach oportunistycznych i gruźlicy), reaktywacji wirusowego zapalenia wątroby typu B i rozmaitych nowotworach złośliwych (w tym białaczce, chłoniaku i chłoniaku T-komórkowym wątrobowo-śledzionowym).</w:t>
      </w:r>
    </w:p>
    <w:p w14:paraId="3CE6C7D0" w14:textId="77777777" w:rsidR="00C27F39" w:rsidRPr="008F328C" w:rsidRDefault="00C27F39" w:rsidP="00C27F39">
      <w:pPr>
        <w:spacing w:before="17" w:line="240" w:lineRule="exact"/>
        <w:rPr>
          <w:rFonts w:ascii="Times New Roman" w:hAnsi="Times New Roman" w:cs="Times New Roman"/>
          <w:sz w:val="24"/>
          <w:szCs w:val="24"/>
          <w:lang w:val="pl-PL"/>
        </w:rPr>
      </w:pPr>
    </w:p>
    <w:p w14:paraId="7C8C5A70" w14:textId="77777777" w:rsidR="00C27F39" w:rsidRPr="008F328C" w:rsidRDefault="00C27F39" w:rsidP="00C27F39">
      <w:pPr>
        <w:pStyle w:val="a3"/>
        <w:rPr>
          <w:lang w:val="pl-PL"/>
        </w:rPr>
      </w:pPr>
      <w:r w:rsidRPr="008F328C">
        <w:rPr>
          <w:rFonts w:eastAsia="Times New Roman"/>
          <w:lang w:val="pl-PL"/>
        </w:rPr>
        <w:t>Informowano również o ciężkich zaburzeniach hematologicznych, neurologicznych i autoimmunologicznych. Zalicza się do nich rzadkie doniesienia o pancytopenii, niedokrwistości aplastycznej, zaburzeniach demielinizacyjnych ośrodkowego i obwodowego układu nerwowego oraz zgłaszane przypadki tocznia, zespołu toczniopodobnego i zespołu Stevensa-Johnsona.</w:t>
      </w:r>
    </w:p>
    <w:p w14:paraId="2F767FC3" w14:textId="77777777" w:rsidR="00C27F39" w:rsidRPr="008F328C" w:rsidRDefault="00C27F39" w:rsidP="00C27F39">
      <w:pPr>
        <w:spacing w:before="11" w:line="240" w:lineRule="exact"/>
        <w:rPr>
          <w:rFonts w:ascii="Times New Roman" w:hAnsi="Times New Roman" w:cs="Times New Roman"/>
          <w:sz w:val="24"/>
          <w:szCs w:val="24"/>
          <w:lang w:val="pl-PL"/>
        </w:rPr>
      </w:pPr>
    </w:p>
    <w:p w14:paraId="70102617" w14:textId="77777777" w:rsidR="00C27F39" w:rsidRPr="008F328C" w:rsidRDefault="00C27F39" w:rsidP="00C27F39">
      <w:pPr>
        <w:pStyle w:val="a3"/>
        <w:rPr>
          <w:u w:val="single"/>
          <w:lang w:val="pl-PL"/>
        </w:rPr>
      </w:pPr>
      <w:r w:rsidRPr="008F328C">
        <w:rPr>
          <w:rFonts w:eastAsia="Times New Roman"/>
          <w:u w:val="single" w:color="000000"/>
          <w:lang w:val="pl-PL"/>
        </w:rPr>
        <w:t>Dzieci i młodzież</w:t>
      </w:r>
    </w:p>
    <w:p w14:paraId="369240C9" w14:textId="77777777" w:rsidR="00C27F39" w:rsidRPr="008F328C" w:rsidRDefault="00C27F39" w:rsidP="00C27F39">
      <w:pPr>
        <w:spacing w:before="1" w:line="180" w:lineRule="exact"/>
        <w:rPr>
          <w:rFonts w:ascii="Times New Roman" w:hAnsi="Times New Roman" w:cs="Times New Roman"/>
          <w:sz w:val="18"/>
          <w:szCs w:val="18"/>
          <w:lang w:val="pl-PL"/>
        </w:rPr>
      </w:pPr>
    </w:p>
    <w:p w14:paraId="23CC1F63" w14:textId="77777777" w:rsidR="00C27F39" w:rsidRPr="008F328C" w:rsidRDefault="00C27F39" w:rsidP="00C27F39">
      <w:pPr>
        <w:pStyle w:val="a3"/>
        <w:rPr>
          <w:lang w:val="pl-PL"/>
        </w:rPr>
      </w:pPr>
      <w:r w:rsidRPr="008F328C">
        <w:rPr>
          <w:rFonts w:eastAsia="Times New Roman"/>
          <w:lang w:val="pl-PL"/>
        </w:rPr>
        <w:t>Na ogół, częstość występowania i typ działań niepożądanych u dzieci i młodzieży były podobne do obserwowanych u dorosłych pacjentów.</w:t>
      </w:r>
    </w:p>
    <w:p w14:paraId="68DCCD90" w14:textId="77777777" w:rsidR="00C27F39" w:rsidRPr="008F328C" w:rsidRDefault="00C27F39" w:rsidP="00C27F39">
      <w:pPr>
        <w:spacing w:before="11" w:line="240" w:lineRule="exact"/>
        <w:rPr>
          <w:rFonts w:ascii="Times New Roman" w:hAnsi="Times New Roman" w:cs="Times New Roman"/>
          <w:sz w:val="24"/>
          <w:szCs w:val="24"/>
          <w:lang w:val="pl-PL"/>
        </w:rPr>
      </w:pPr>
    </w:p>
    <w:p w14:paraId="79C6FAC8" w14:textId="77777777" w:rsidR="00C27F39" w:rsidRPr="008F328C" w:rsidRDefault="00C27F39" w:rsidP="00C27F39">
      <w:pPr>
        <w:pStyle w:val="a3"/>
        <w:rPr>
          <w:u w:val="single"/>
          <w:lang w:val="pl-PL"/>
        </w:rPr>
      </w:pPr>
      <w:r w:rsidRPr="008F328C">
        <w:rPr>
          <w:rFonts w:eastAsia="Times New Roman"/>
          <w:u w:val="single" w:color="000000"/>
          <w:lang w:val="pl-PL"/>
        </w:rPr>
        <w:t>Tabelaryczne zestawienie działań niepożądanych</w:t>
      </w:r>
    </w:p>
    <w:p w14:paraId="618FB2F4" w14:textId="77777777" w:rsidR="00C27F39" w:rsidRPr="008F328C" w:rsidRDefault="00C27F39" w:rsidP="00C27F39">
      <w:pPr>
        <w:spacing w:before="1" w:line="180" w:lineRule="exact"/>
        <w:rPr>
          <w:rFonts w:ascii="Times New Roman" w:hAnsi="Times New Roman" w:cs="Times New Roman"/>
          <w:sz w:val="18"/>
          <w:szCs w:val="18"/>
          <w:lang w:val="pl-PL"/>
        </w:rPr>
      </w:pPr>
    </w:p>
    <w:p w14:paraId="54E54C7C" w14:textId="2DF5EBED" w:rsidR="00C27F39" w:rsidRPr="008F328C" w:rsidRDefault="00C27F39" w:rsidP="00C27F39">
      <w:pPr>
        <w:pStyle w:val="a3"/>
        <w:rPr>
          <w:lang w:val="pl-PL"/>
        </w:rPr>
      </w:pPr>
      <w:r w:rsidRPr="008F328C">
        <w:rPr>
          <w:rFonts w:eastAsia="Times New Roman"/>
          <w:lang w:val="pl-PL"/>
        </w:rPr>
        <w:t xml:space="preserve">Poniższy wykaz działań niepożądanych ustalono na podstawie danych uzyskanych w badaniach klinicznych i po wprowadzeniu leku do obrotu. W Tabeli </w:t>
      </w:r>
      <w:r w:rsidR="00ED196E" w:rsidRPr="008F328C">
        <w:rPr>
          <w:rFonts w:eastAsia="Times New Roman"/>
          <w:lang w:val="pl-PL"/>
        </w:rPr>
        <w:t>6</w:t>
      </w:r>
      <w:r w:rsidRPr="008F328C">
        <w:rPr>
          <w:rFonts w:eastAsia="Times New Roman"/>
          <w:lang w:val="pl-PL"/>
        </w:rPr>
        <w:t xml:space="preserve"> poniżej, działania niepożądane uszeregowano według klasyfikacji układów i narządów oraz częstości występowania w następujący sposób: bardzo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 do 1/10); niezbyt często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1/1000 do 1/100); rzadko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1/10 000 do 1/1000); (≥ 1/10) i częstość nieznana (nie może być określona na podstawie dostępnych danych). W obrębie każdej grupy o określonej częstości występowania, działania niepożądane są wymienione zgodnie ze zmniejszającym się nasileniem. Wymieniono działania występujące z największą częstością w różnych wskazaniach. Gwiazdka (*) w kolumnie Klasyfikacja układów i narządów oznacza, że w punktach 4.3, 4.4 i 4.8 podano dodatkowe informacje.</w:t>
      </w:r>
    </w:p>
    <w:p w14:paraId="7BB42136" w14:textId="77777777" w:rsidR="00C27F39" w:rsidRPr="008F328C" w:rsidRDefault="00C27F39" w:rsidP="00C27F39">
      <w:pPr>
        <w:spacing w:before="15" w:line="240" w:lineRule="exact"/>
        <w:rPr>
          <w:rFonts w:ascii="Times New Roman" w:hAnsi="Times New Roman" w:cs="Times New Roman"/>
          <w:sz w:val="24"/>
          <w:szCs w:val="24"/>
          <w:lang w:val="pl-PL"/>
        </w:rPr>
      </w:pPr>
    </w:p>
    <w:p w14:paraId="486B1199" w14:textId="29C125AA" w:rsidR="00C27F39" w:rsidRPr="008F328C" w:rsidRDefault="00C27F39" w:rsidP="00C27F39">
      <w:pPr>
        <w:pStyle w:val="a3"/>
        <w:jc w:val="center"/>
        <w:rPr>
          <w:b/>
          <w:lang w:val="pl-PL"/>
        </w:rPr>
      </w:pPr>
      <w:r w:rsidRPr="008F328C">
        <w:rPr>
          <w:rFonts w:eastAsia="Times New Roman"/>
          <w:b/>
          <w:bCs/>
          <w:lang w:val="pl-PL"/>
        </w:rPr>
        <w:t xml:space="preserve">Tabela </w:t>
      </w:r>
      <w:r w:rsidR="00ED196E" w:rsidRPr="008F328C">
        <w:rPr>
          <w:rFonts w:eastAsia="Times New Roman"/>
          <w:b/>
          <w:bCs/>
          <w:lang w:val="pl-PL"/>
        </w:rPr>
        <w:t>6</w:t>
      </w:r>
      <w:r w:rsidRPr="008F328C">
        <w:rPr>
          <w:rFonts w:eastAsia="Times New Roman"/>
          <w:b/>
          <w:bCs/>
          <w:lang w:val="pl-PL"/>
        </w:rPr>
        <w:t xml:space="preserve"> Działania niepożądane</w:t>
      </w:r>
    </w:p>
    <w:p w14:paraId="4E8EF385" w14:textId="77777777" w:rsidR="00C27F39" w:rsidRPr="008F328C" w:rsidRDefault="00C27F39" w:rsidP="00C27F39">
      <w:pPr>
        <w:spacing w:before="10" w:line="240" w:lineRule="exact"/>
        <w:rPr>
          <w:rFonts w:ascii="Times New Roman" w:hAnsi="Times New Roman" w:cs="Times New Roman"/>
          <w:sz w:val="24"/>
          <w:szCs w:val="24"/>
          <w:lang w:val="pl-PL"/>
        </w:rPr>
      </w:pPr>
    </w:p>
    <w:tbl>
      <w:tblPr>
        <w:tblStyle w:val="TableNormal1"/>
        <w:tblW w:w="0" w:type="auto"/>
        <w:tblInd w:w="110" w:type="dxa"/>
        <w:tblLook w:val="01E0" w:firstRow="1" w:lastRow="1" w:firstColumn="1" w:lastColumn="1" w:noHBand="0" w:noVBand="0"/>
      </w:tblPr>
      <w:tblGrid>
        <w:gridCol w:w="2556"/>
        <w:gridCol w:w="2031"/>
        <w:gridCol w:w="4695"/>
      </w:tblGrid>
      <w:tr w:rsidR="00C27F39" w:rsidRPr="008F328C" w14:paraId="5B573671" w14:textId="77777777" w:rsidTr="00ED6A7B">
        <w:tc>
          <w:tcPr>
            <w:tcW w:w="2599" w:type="dxa"/>
            <w:tcBorders>
              <w:top w:val="single" w:sz="5" w:space="0" w:color="000000"/>
              <w:left w:val="single" w:sz="5" w:space="0" w:color="000000"/>
              <w:bottom w:val="single" w:sz="5" w:space="0" w:color="000000"/>
              <w:right w:val="single" w:sz="5" w:space="0" w:color="000000"/>
            </w:tcBorders>
          </w:tcPr>
          <w:p w14:paraId="5D212675" w14:textId="77777777" w:rsidR="00C27F39" w:rsidRPr="008F328C" w:rsidRDefault="00C27F39" w:rsidP="00ED6A7B">
            <w:pPr>
              <w:pStyle w:val="TableParagraph"/>
              <w:ind w:left="109"/>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Klasyfikacja układów i narządów</w:t>
            </w:r>
          </w:p>
        </w:tc>
        <w:tc>
          <w:tcPr>
            <w:tcW w:w="2076" w:type="dxa"/>
            <w:tcBorders>
              <w:top w:val="single" w:sz="5" w:space="0" w:color="000000"/>
              <w:left w:val="single" w:sz="5" w:space="0" w:color="000000"/>
              <w:bottom w:val="single" w:sz="5" w:space="0" w:color="000000"/>
              <w:right w:val="single" w:sz="5" w:space="0" w:color="000000"/>
            </w:tcBorders>
          </w:tcPr>
          <w:p w14:paraId="5BCD3AFB" w14:textId="77777777" w:rsidR="00C27F39" w:rsidRPr="008F328C" w:rsidRDefault="00C27F39" w:rsidP="00ED6A7B">
            <w:pPr>
              <w:pStyle w:val="TableParagraph"/>
              <w:ind w:left="529"/>
              <w:rPr>
                <w:rFonts w:ascii="Times New Roman" w:eastAsia="Times New Roman" w:hAnsi="Times New Roman" w:cs="Times New Roman"/>
                <w:lang w:val="pl-PL"/>
              </w:rPr>
            </w:pPr>
            <w:r w:rsidRPr="008F328C">
              <w:rPr>
                <w:rFonts w:ascii="Times New Roman" w:eastAsia="Times New Roman" w:hAnsi="Times New Roman" w:cs="Times New Roman"/>
                <w:b/>
                <w:bCs/>
                <w:lang w:val="pl-PL"/>
              </w:rPr>
              <w:t>Częstość</w:t>
            </w:r>
          </w:p>
        </w:tc>
        <w:tc>
          <w:tcPr>
            <w:tcW w:w="4695" w:type="dxa"/>
            <w:tcBorders>
              <w:top w:val="single" w:sz="5" w:space="0" w:color="000000"/>
              <w:left w:val="single" w:sz="5" w:space="0" w:color="000000"/>
              <w:bottom w:val="single" w:sz="5" w:space="0" w:color="000000"/>
              <w:right w:val="single" w:sz="5" w:space="0" w:color="000000"/>
            </w:tcBorders>
          </w:tcPr>
          <w:p w14:paraId="6B5C9F46" w14:textId="77777777" w:rsidR="00C27F39" w:rsidRPr="008F328C" w:rsidRDefault="00C27F39" w:rsidP="00ED6A7B">
            <w:pPr>
              <w:pStyle w:val="TableParagraph"/>
              <w:ind w:left="145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Działanie niepożądane</w:t>
            </w:r>
          </w:p>
        </w:tc>
      </w:tr>
      <w:tr w:rsidR="00C27F39" w:rsidRPr="00537986" w14:paraId="60AB26F9" w14:textId="77777777" w:rsidTr="00ED6A7B">
        <w:tc>
          <w:tcPr>
            <w:tcW w:w="2599" w:type="dxa"/>
            <w:vMerge w:val="restart"/>
            <w:tcBorders>
              <w:top w:val="single" w:sz="5" w:space="0" w:color="000000"/>
              <w:left w:val="single" w:sz="5" w:space="0" w:color="000000"/>
              <w:right w:val="single" w:sz="5" w:space="0" w:color="000000"/>
            </w:tcBorders>
          </w:tcPr>
          <w:p w14:paraId="3BD06A30" w14:textId="77777777" w:rsidR="00C27F39" w:rsidRPr="008F328C" w:rsidRDefault="00C27F39" w:rsidP="00ED6A7B">
            <w:pPr>
              <w:pStyle w:val="TableParagraph"/>
              <w:ind w:left="102" w:right="15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i zarażenia pasożytnicze*</w:t>
            </w:r>
          </w:p>
        </w:tc>
        <w:tc>
          <w:tcPr>
            <w:tcW w:w="2076" w:type="dxa"/>
            <w:tcBorders>
              <w:top w:val="single" w:sz="5" w:space="0" w:color="000000"/>
              <w:left w:val="single" w:sz="5" w:space="0" w:color="000000"/>
              <w:bottom w:val="single" w:sz="5" w:space="0" w:color="000000"/>
              <w:right w:val="single" w:sz="5" w:space="0" w:color="000000"/>
            </w:tcBorders>
          </w:tcPr>
          <w:p w14:paraId="458684C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4A1DD1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dróg oddechowych (w tym zakażenia dolnych i górnych dróg oddechowych, zapalenie płuc, zapalenie zatok, zapalenie gardła, zapalenie części nosowej gardła i zapalenie płuc wywołane przez wirusa opryszczki)</w:t>
            </w:r>
          </w:p>
        </w:tc>
      </w:tr>
      <w:tr w:rsidR="00C27F39" w:rsidRPr="00494296" w14:paraId="45412DEC" w14:textId="77777777" w:rsidTr="00ED6A7B">
        <w:tc>
          <w:tcPr>
            <w:tcW w:w="2599" w:type="dxa"/>
            <w:vMerge/>
            <w:tcBorders>
              <w:left w:val="single" w:sz="5" w:space="0" w:color="000000"/>
              <w:right w:val="single" w:sz="5" w:space="0" w:color="000000"/>
            </w:tcBorders>
          </w:tcPr>
          <w:p w14:paraId="21030F14"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D6625F8"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22CB5B4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układowe (w tym posocznica, drożdżyca i grypa),</w:t>
            </w:r>
          </w:p>
          <w:p w14:paraId="6E7AB2B9" w14:textId="77777777" w:rsidR="00C27F39" w:rsidRPr="008F328C" w:rsidRDefault="00C27F39" w:rsidP="00ED6A7B">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zakażenia jelitowe (w tym wirusowe zapalenie żołądka i jelit),</w:t>
            </w:r>
          </w:p>
          <w:p w14:paraId="742758EB"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skóry i tkanek miękkich (w tym zanokcica, zapalenie tkanki łącznej, liszajec, martwicze zapalenie powięzi i półpasiec),</w:t>
            </w:r>
          </w:p>
          <w:p w14:paraId="248B1700"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ucha,</w:t>
            </w:r>
          </w:p>
          <w:p w14:paraId="06FE169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w obrębie jamy ustnej (w tym zakażenie wirusem opryszczki pospolitej, opryszczka wargowa i zakażenia zębów),</w:t>
            </w:r>
          </w:p>
          <w:p w14:paraId="5CB4A206"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dróg rodnych (w tym zakażenie grzybicze sromu i pochwy), </w:t>
            </w:r>
          </w:p>
          <w:p w14:paraId="18B8A8DB"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dróg moczowych (w tym odmiedniczkowe zapalenie nerek), </w:t>
            </w:r>
          </w:p>
          <w:p w14:paraId="7F32A9E1"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zakażenia grzybicze, </w:t>
            </w:r>
          </w:p>
          <w:p w14:paraId="55AC122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zakażenia stawów</w:t>
            </w:r>
          </w:p>
        </w:tc>
      </w:tr>
      <w:tr w:rsidR="00C27F39" w:rsidRPr="00537986" w14:paraId="44673C36" w14:textId="77777777" w:rsidTr="00ED6A7B">
        <w:tc>
          <w:tcPr>
            <w:tcW w:w="2599" w:type="dxa"/>
            <w:vMerge/>
            <w:tcBorders>
              <w:left w:val="single" w:sz="5" w:space="0" w:color="000000"/>
              <w:bottom w:val="single" w:sz="5" w:space="0" w:color="000000"/>
              <w:right w:val="single" w:sz="5" w:space="0" w:color="000000"/>
            </w:tcBorders>
          </w:tcPr>
          <w:p w14:paraId="708B82B6"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3226100"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48F0119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układu nerwowego (w tym wirusowe</w:t>
            </w:r>
          </w:p>
          <w:p w14:paraId="3CDFD0D5"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zapalenie opon mózgowych),</w:t>
            </w:r>
          </w:p>
          <w:p w14:paraId="715B4255" w14:textId="77777777" w:rsidR="00C27F39" w:rsidRPr="008F328C" w:rsidRDefault="00C27F39" w:rsidP="00ED6A7B">
            <w:pPr>
              <w:pStyle w:val="TableParagraph"/>
              <w:ind w:left="99" w:right="235"/>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oportunistyczne i gruźlica (w tym kokcydioidomykoza, histoplazmoza i zakażenie Mycobacterium avium complex), </w:t>
            </w:r>
          </w:p>
          <w:p w14:paraId="550CB79B" w14:textId="77777777" w:rsidR="00C27F39" w:rsidRPr="008F328C" w:rsidRDefault="00C27F39" w:rsidP="00ED6A7B">
            <w:pPr>
              <w:pStyle w:val="TableParagraph"/>
              <w:ind w:left="99" w:right="23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zakażenia bakteryjne,</w:t>
            </w:r>
          </w:p>
          <w:p w14:paraId="63EC918B" w14:textId="77777777" w:rsidR="00C27F39" w:rsidRPr="008F328C" w:rsidRDefault="00C27F39" w:rsidP="00ED6A7B">
            <w:pPr>
              <w:pStyle w:val="TableParagraph"/>
              <w:ind w:left="99" w:right="199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zakażenia oka, </w:t>
            </w:r>
          </w:p>
          <w:p w14:paraId="05987258" w14:textId="77777777" w:rsidR="00C27F39" w:rsidRPr="008F328C" w:rsidRDefault="00C27F39" w:rsidP="00ED6A7B">
            <w:pPr>
              <w:pStyle w:val="TableParagraph"/>
              <w:ind w:left="99" w:right="199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uchyłków</w:t>
            </w:r>
            <w:r w:rsidRPr="008F328C">
              <w:rPr>
                <w:rFonts w:ascii="Times New Roman" w:eastAsia="Times New Roman" w:hAnsi="Times New Roman" w:cs="Times New Roman"/>
                <w:spacing w:val="-1"/>
                <w:vertAlign w:val="superscript"/>
                <w:lang w:val="pl-PL"/>
              </w:rPr>
              <w:t>1)</w:t>
            </w:r>
          </w:p>
        </w:tc>
      </w:tr>
      <w:tr w:rsidR="00C27F39" w:rsidRPr="008F328C" w14:paraId="177A4311" w14:textId="77777777" w:rsidTr="00ED6A7B">
        <w:tc>
          <w:tcPr>
            <w:tcW w:w="2599" w:type="dxa"/>
            <w:vMerge w:val="restart"/>
            <w:tcBorders>
              <w:top w:val="single" w:sz="5" w:space="0" w:color="000000"/>
              <w:left w:val="single" w:sz="5" w:space="0" w:color="000000"/>
              <w:right w:val="single" w:sz="5" w:space="0" w:color="000000"/>
            </w:tcBorders>
          </w:tcPr>
          <w:p w14:paraId="477DBDD5" w14:textId="77777777" w:rsidR="00C27F39" w:rsidRPr="008F328C" w:rsidRDefault="00C27F39" w:rsidP="00ED6A7B">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Nowotwory łagodne, złośliwe i nieokreślone (w tym torbiele i polipy)*</w:t>
            </w:r>
          </w:p>
        </w:tc>
        <w:tc>
          <w:tcPr>
            <w:tcW w:w="2076" w:type="dxa"/>
            <w:tcBorders>
              <w:top w:val="single" w:sz="5" w:space="0" w:color="000000"/>
              <w:left w:val="single" w:sz="5" w:space="0" w:color="000000"/>
              <w:bottom w:val="single" w:sz="5" w:space="0" w:color="000000"/>
              <w:right w:val="single" w:sz="5" w:space="0" w:color="000000"/>
            </w:tcBorders>
          </w:tcPr>
          <w:p w14:paraId="3DE86288"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718C031" w14:textId="77777777" w:rsidR="00C27F39" w:rsidRPr="008F328C" w:rsidRDefault="00C27F39" w:rsidP="00ED6A7B">
            <w:pPr>
              <w:pStyle w:val="TableParagraph"/>
              <w:ind w:left="99" w:right="18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Rak skóry z wyjątkiem czerniaka (w tym rak podstawnokomórkowy i rak płaskonabłonkowy),</w:t>
            </w:r>
          </w:p>
          <w:p w14:paraId="2B91E7E7"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łagodny</w:t>
            </w:r>
          </w:p>
        </w:tc>
      </w:tr>
      <w:tr w:rsidR="00C27F39" w:rsidRPr="008F328C" w14:paraId="6E84CBEE" w14:textId="77777777" w:rsidTr="00ED6A7B">
        <w:tc>
          <w:tcPr>
            <w:tcW w:w="2599" w:type="dxa"/>
            <w:vMerge/>
            <w:tcBorders>
              <w:left w:val="single" w:sz="5" w:space="0" w:color="000000"/>
              <w:right w:val="single" w:sz="5" w:space="0" w:color="000000"/>
            </w:tcBorders>
          </w:tcPr>
          <w:p w14:paraId="486B94DA"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23A597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7386339E"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Chłoniak**,</w:t>
            </w:r>
          </w:p>
          <w:p w14:paraId="7E771FFE" w14:textId="77777777" w:rsidR="00C27F39" w:rsidRPr="008F328C" w:rsidRDefault="00C27F39" w:rsidP="00ED6A7B">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nowotwór narządów litych (w tym rak piersi, rak płuc i rak gruczołu tarczowego),</w:t>
            </w:r>
          </w:p>
          <w:p w14:paraId="3B134D2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czerniak**</w:t>
            </w:r>
          </w:p>
        </w:tc>
      </w:tr>
      <w:tr w:rsidR="00C27F39" w:rsidRPr="008F328C" w14:paraId="181C6BE8" w14:textId="77777777" w:rsidTr="00ED6A7B">
        <w:tc>
          <w:tcPr>
            <w:tcW w:w="2599" w:type="dxa"/>
            <w:vMerge/>
            <w:tcBorders>
              <w:left w:val="single" w:sz="5" w:space="0" w:color="000000"/>
              <w:right w:val="single" w:sz="5" w:space="0" w:color="000000"/>
            </w:tcBorders>
          </w:tcPr>
          <w:p w14:paraId="77904AB7"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58F45FD"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147CF05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Białaczka</w:t>
            </w:r>
            <w:r w:rsidRPr="008F328C">
              <w:rPr>
                <w:rFonts w:ascii="Times New Roman" w:eastAsia="Times New Roman" w:hAnsi="Times New Roman" w:cs="Times New Roman"/>
                <w:spacing w:val="-1"/>
                <w:vertAlign w:val="superscript"/>
                <w:lang w:val="pl-PL"/>
              </w:rPr>
              <w:t>1)</w:t>
            </w:r>
          </w:p>
        </w:tc>
      </w:tr>
      <w:tr w:rsidR="00C27F39" w:rsidRPr="008F328C" w14:paraId="0F72352A" w14:textId="77777777" w:rsidTr="00ED6A7B">
        <w:tc>
          <w:tcPr>
            <w:tcW w:w="2599" w:type="dxa"/>
            <w:vMerge/>
            <w:tcBorders>
              <w:left w:val="single" w:sz="5" w:space="0" w:color="000000"/>
              <w:bottom w:val="single" w:sz="5" w:space="0" w:color="000000"/>
              <w:right w:val="single" w:sz="5" w:space="0" w:color="000000"/>
            </w:tcBorders>
          </w:tcPr>
          <w:p w14:paraId="15646F43"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90D17DC"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16592772" w14:textId="77777777" w:rsidR="00C27F39" w:rsidRPr="008F328C" w:rsidRDefault="00C27F39" w:rsidP="00ED6A7B">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Chłoniak T-komórkowy wątrobowo-śledzionowy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754AEFB1" w14:textId="77777777" w:rsidR="00C27F39" w:rsidRPr="008F328C" w:rsidRDefault="00C27F39" w:rsidP="00ED6A7B">
            <w:pPr>
              <w:pStyle w:val="TableParagraph"/>
              <w:ind w:left="96"/>
              <w:rPr>
                <w:rFonts w:ascii="Times New Roman" w:eastAsia="Times New Roman" w:hAnsi="Times New Roman" w:cs="Times New Roman"/>
                <w:w w:val="99"/>
                <w:position w:val="8"/>
                <w:lang w:val="pl-PL"/>
              </w:rPr>
            </w:pPr>
            <w:r w:rsidRPr="008F328C">
              <w:rPr>
                <w:rFonts w:ascii="Times New Roman" w:eastAsia="Times New Roman" w:hAnsi="Times New Roman" w:cs="Times New Roman"/>
                <w:spacing w:val="-1"/>
                <w:lang w:val="pl-PL"/>
              </w:rPr>
              <w:t>rak z komórek Merkla (neuroendokrynny nowotwór złośliwy skóry)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56DA4ABE" w14:textId="77777777" w:rsidR="00C27F39" w:rsidRPr="008F328C" w:rsidRDefault="00C27F39" w:rsidP="00ED6A7B">
            <w:pPr>
              <w:pStyle w:val="TableParagraph"/>
              <w:ind w:left="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mięsak Kaposiego </w:t>
            </w:r>
          </w:p>
        </w:tc>
      </w:tr>
      <w:tr w:rsidR="00C27F39" w:rsidRPr="008F328C" w14:paraId="35B83D3B" w14:textId="77777777" w:rsidTr="00ED6A7B">
        <w:tc>
          <w:tcPr>
            <w:tcW w:w="2599" w:type="dxa"/>
            <w:vMerge w:val="restart"/>
            <w:tcBorders>
              <w:top w:val="single" w:sz="5" w:space="0" w:color="000000"/>
              <w:left w:val="single" w:sz="5" w:space="0" w:color="000000"/>
              <w:right w:val="single" w:sz="5" w:space="0" w:color="000000"/>
            </w:tcBorders>
          </w:tcPr>
          <w:p w14:paraId="2B6E537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krwi i układu chłonnego*</w:t>
            </w:r>
          </w:p>
        </w:tc>
        <w:tc>
          <w:tcPr>
            <w:tcW w:w="2076" w:type="dxa"/>
            <w:tcBorders>
              <w:top w:val="single" w:sz="5" w:space="0" w:color="000000"/>
              <w:left w:val="single" w:sz="5" w:space="0" w:color="000000"/>
              <w:bottom w:val="single" w:sz="5" w:space="0" w:color="000000"/>
              <w:right w:val="single" w:sz="5" w:space="0" w:color="000000"/>
            </w:tcBorders>
          </w:tcPr>
          <w:p w14:paraId="4283DEF5"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580D2CBA"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Leukopenia (w tym neutropenia i granulocytoza),</w:t>
            </w:r>
          </w:p>
          <w:p w14:paraId="0C79BF9A"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niedokrwistość</w:t>
            </w:r>
          </w:p>
        </w:tc>
      </w:tr>
      <w:tr w:rsidR="00C27F39" w:rsidRPr="00537986" w14:paraId="15AE2482" w14:textId="77777777" w:rsidTr="00ED6A7B">
        <w:tc>
          <w:tcPr>
            <w:tcW w:w="2599" w:type="dxa"/>
            <w:vMerge/>
            <w:tcBorders>
              <w:left w:val="single" w:sz="5" w:space="0" w:color="000000"/>
              <w:right w:val="single" w:sz="5" w:space="0" w:color="000000"/>
            </w:tcBorders>
          </w:tcPr>
          <w:p w14:paraId="7811C271"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C5D6A3A"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6C1129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Leukocytoza,</w:t>
            </w:r>
          </w:p>
          <w:p w14:paraId="37F38E7D"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małopłytkowość</w:t>
            </w:r>
          </w:p>
        </w:tc>
      </w:tr>
      <w:tr w:rsidR="00C27F39" w:rsidRPr="00494296" w14:paraId="1A60A6BE" w14:textId="77777777" w:rsidTr="00ED6A7B">
        <w:tc>
          <w:tcPr>
            <w:tcW w:w="2599" w:type="dxa"/>
            <w:vMerge/>
            <w:tcBorders>
              <w:left w:val="single" w:sz="5" w:space="0" w:color="000000"/>
              <w:right w:val="single" w:sz="5" w:space="0" w:color="000000"/>
            </w:tcBorders>
          </w:tcPr>
          <w:p w14:paraId="54BB538F"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18187F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149E19A"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Samoistna plamica małopłytkowa</w:t>
            </w:r>
          </w:p>
        </w:tc>
      </w:tr>
      <w:tr w:rsidR="00C27F39" w:rsidRPr="008F328C" w14:paraId="3DA92E05" w14:textId="77777777" w:rsidTr="00ED6A7B">
        <w:tc>
          <w:tcPr>
            <w:tcW w:w="2599" w:type="dxa"/>
            <w:vMerge/>
            <w:tcBorders>
              <w:left w:val="single" w:sz="5" w:space="0" w:color="000000"/>
              <w:bottom w:val="single" w:sz="5" w:space="0" w:color="000000"/>
              <w:right w:val="single" w:sz="5" w:space="0" w:color="000000"/>
            </w:tcBorders>
          </w:tcPr>
          <w:p w14:paraId="08E979AE"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FEDB39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D0FAE9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Pancytopenia</w:t>
            </w:r>
          </w:p>
        </w:tc>
      </w:tr>
      <w:tr w:rsidR="00C27F39" w:rsidRPr="00494296" w14:paraId="238B74F7" w14:textId="77777777" w:rsidTr="00ED6A7B">
        <w:tc>
          <w:tcPr>
            <w:tcW w:w="2599" w:type="dxa"/>
            <w:vMerge w:val="restart"/>
            <w:tcBorders>
              <w:top w:val="single" w:sz="5" w:space="0" w:color="000000"/>
              <w:left w:val="single" w:sz="5" w:space="0" w:color="000000"/>
              <w:right w:val="single" w:sz="5" w:space="0" w:color="000000"/>
            </w:tcBorders>
          </w:tcPr>
          <w:p w14:paraId="1E574FE2"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immunologicznego*</w:t>
            </w:r>
          </w:p>
        </w:tc>
        <w:tc>
          <w:tcPr>
            <w:tcW w:w="2076" w:type="dxa"/>
            <w:tcBorders>
              <w:top w:val="single" w:sz="5" w:space="0" w:color="000000"/>
              <w:left w:val="single" w:sz="5" w:space="0" w:color="000000"/>
              <w:bottom w:val="single" w:sz="5" w:space="0" w:color="000000"/>
              <w:right w:val="single" w:sz="5" w:space="0" w:color="000000"/>
            </w:tcBorders>
          </w:tcPr>
          <w:p w14:paraId="16A0515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F5C5D7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Nadwrażliwość,</w:t>
            </w:r>
          </w:p>
          <w:p w14:paraId="3579FA7E"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alergie (w tym alergia sezonowa)</w:t>
            </w:r>
          </w:p>
        </w:tc>
      </w:tr>
      <w:tr w:rsidR="00C27F39" w:rsidRPr="008F328C" w14:paraId="00A84E7A" w14:textId="77777777" w:rsidTr="00ED6A7B">
        <w:tc>
          <w:tcPr>
            <w:tcW w:w="2599" w:type="dxa"/>
            <w:vMerge/>
            <w:tcBorders>
              <w:left w:val="single" w:sz="5" w:space="0" w:color="000000"/>
              <w:right w:val="single" w:sz="5" w:space="0" w:color="000000"/>
            </w:tcBorders>
          </w:tcPr>
          <w:p w14:paraId="3812DC42"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698901D"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5DD94F4" w14:textId="77777777" w:rsidR="00C27F39" w:rsidRPr="008F328C" w:rsidRDefault="00C27F39" w:rsidP="00ED6A7B">
            <w:pPr>
              <w:pStyle w:val="TableParagraph"/>
              <w:ind w:left="99" w:right="318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Sarkoidoza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zapalenie naczyń</w:t>
            </w:r>
          </w:p>
        </w:tc>
      </w:tr>
      <w:tr w:rsidR="00C27F39" w:rsidRPr="008F328C" w14:paraId="7934C4E3" w14:textId="77777777" w:rsidTr="00ED6A7B">
        <w:tc>
          <w:tcPr>
            <w:tcW w:w="2599" w:type="dxa"/>
            <w:vMerge/>
            <w:tcBorders>
              <w:left w:val="single" w:sz="5" w:space="0" w:color="000000"/>
              <w:bottom w:val="single" w:sz="5" w:space="0" w:color="000000"/>
              <w:right w:val="single" w:sz="5" w:space="0" w:color="000000"/>
            </w:tcBorders>
          </w:tcPr>
          <w:p w14:paraId="53D75F22"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86979C4"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51710E0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Anafilaksja</w:t>
            </w:r>
            <w:r w:rsidRPr="008F328C">
              <w:rPr>
                <w:rFonts w:ascii="Times New Roman" w:eastAsia="Times New Roman" w:hAnsi="Times New Roman" w:cs="Times New Roman"/>
                <w:spacing w:val="-1"/>
                <w:vertAlign w:val="superscript"/>
                <w:lang w:val="pl-PL"/>
              </w:rPr>
              <w:t>1)</w:t>
            </w:r>
          </w:p>
        </w:tc>
      </w:tr>
      <w:tr w:rsidR="00C27F39" w:rsidRPr="00494296" w14:paraId="116BC3CB" w14:textId="77777777" w:rsidTr="00ED6A7B">
        <w:tc>
          <w:tcPr>
            <w:tcW w:w="2599" w:type="dxa"/>
            <w:vMerge w:val="restart"/>
            <w:tcBorders>
              <w:top w:val="single" w:sz="5" w:space="0" w:color="000000"/>
              <w:left w:val="single" w:sz="5" w:space="0" w:color="000000"/>
              <w:right w:val="single" w:sz="5" w:space="0" w:color="000000"/>
            </w:tcBorders>
          </w:tcPr>
          <w:p w14:paraId="78723332"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metabolizmu i odżywiania</w:t>
            </w:r>
          </w:p>
        </w:tc>
        <w:tc>
          <w:tcPr>
            <w:tcW w:w="2076" w:type="dxa"/>
            <w:tcBorders>
              <w:top w:val="single" w:sz="5" w:space="0" w:color="000000"/>
              <w:left w:val="single" w:sz="5" w:space="0" w:color="000000"/>
              <w:bottom w:val="single" w:sz="5" w:space="0" w:color="000000"/>
              <w:right w:val="single" w:sz="5" w:space="0" w:color="000000"/>
            </w:tcBorders>
          </w:tcPr>
          <w:p w14:paraId="5022F362"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67DFD7EE"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stężenia lipidów</w:t>
            </w:r>
          </w:p>
        </w:tc>
      </w:tr>
      <w:tr w:rsidR="00C27F39" w:rsidRPr="008F328C" w14:paraId="6E309038" w14:textId="77777777" w:rsidTr="00ED6A7B">
        <w:tc>
          <w:tcPr>
            <w:tcW w:w="2599" w:type="dxa"/>
            <w:vMerge/>
            <w:tcBorders>
              <w:left w:val="single" w:sz="5" w:space="0" w:color="000000"/>
              <w:bottom w:val="single" w:sz="5" w:space="0" w:color="000000"/>
              <w:right w:val="single" w:sz="5" w:space="0" w:color="000000"/>
            </w:tcBorders>
          </w:tcPr>
          <w:p w14:paraId="6E42FFA9"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B56EA1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05F12D9"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Hipokaliemia,</w:t>
            </w:r>
          </w:p>
          <w:p w14:paraId="0A630C44"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zwiększenie stężenia kwasu moczowego, </w:t>
            </w:r>
          </w:p>
          <w:p w14:paraId="14DA42E1"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nieprawidłowe stężenie sodu we krwi, </w:t>
            </w:r>
          </w:p>
          <w:p w14:paraId="144471BB"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hipokalcemia, </w:t>
            </w:r>
          </w:p>
          <w:p w14:paraId="20CBCB0F"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 xml:space="preserve">hiperglikemia, </w:t>
            </w:r>
          </w:p>
          <w:p w14:paraId="4539B3CC"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hipofosfatemia, </w:t>
            </w:r>
          </w:p>
          <w:p w14:paraId="51B37F89"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odwodnienie</w:t>
            </w:r>
          </w:p>
        </w:tc>
      </w:tr>
      <w:tr w:rsidR="00C27F39" w:rsidRPr="00537986" w14:paraId="63746456" w14:textId="77777777" w:rsidTr="00ED6A7B">
        <w:tc>
          <w:tcPr>
            <w:tcW w:w="2599" w:type="dxa"/>
            <w:tcBorders>
              <w:top w:val="single" w:sz="5" w:space="0" w:color="000000"/>
              <w:left w:val="single" w:sz="5" w:space="0" w:color="000000"/>
              <w:bottom w:val="single" w:sz="5" w:space="0" w:color="000000"/>
              <w:right w:val="single" w:sz="5" w:space="0" w:color="000000"/>
            </w:tcBorders>
          </w:tcPr>
          <w:p w14:paraId="5819B24C"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Zaburzenia psychiczne</w:t>
            </w:r>
          </w:p>
        </w:tc>
        <w:tc>
          <w:tcPr>
            <w:tcW w:w="2076" w:type="dxa"/>
            <w:tcBorders>
              <w:top w:val="single" w:sz="5" w:space="0" w:color="000000"/>
              <w:left w:val="single" w:sz="5" w:space="0" w:color="000000"/>
              <w:bottom w:val="single" w:sz="5" w:space="0" w:color="000000"/>
              <w:right w:val="single" w:sz="5" w:space="0" w:color="000000"/>
            </w:tcBorders>
          </w:tcPr>
          <w:p w14:paraId="6CD9F47C"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08521F3" w14:textId="77777777" w:rsidR="00C27F39" w:rsidRPr="008F328C" w:rsidRDefault="00C27F39" w:rsidP="00ED6A7B">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Zmiany nastroju (w tym depresja), </w:t>
            </w:r>
          </w:p>
          <w:p w14:paraId="0E742625" w14:textId="77777777" w:rsidR="00C27F39" w:rsidRPr="008F328C" w:rsidRDefault="00C27F39" w:rsidP="00ED6A7B">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niepokój, </w:t>
            </w:r>
          </w:p>
          <w:p w14:paraId="18E81C22" w14:textId="77777777" w:rsidR="00C27F39" w:rsidRPr="008F328C" w:rsidRDefault="00C27F39" w:rsidP="00ED6A7B">
            <w:pPr>
              <w:pStyle w:val="TableParagraph"/>
              <w:ind w:left="99" w:right="244"/>
              <w:rPr>
                <w:rFonts w:ascii="Times New Roman" w:eastAsia="Times New Roman" w:hAnsi="Times New Roman" w:cs="Times New Roman"/>
                <w:lang w:val="pl-PL"/>
              </w:rPr>
            </w:pPr>
            <w:r w:rsidRPr="008F328C">
              <w:rPr>
                <w:rFonts w:ascii="Times New Roman" w:eastAsia="Times New Roman" w:hAnsi="Times New Roman" w:cs="Times New Roman"/>
                <w:lang w:val="pl-PL"/>
              </w:rPr>
              <w:t>bezsenność</w:t>
            </w:r>
          </w:p>
          <w:p w14:paraId="1B8BF64B" w14:textId="77777777" w:rsidR="00C27F39" w:rsidRPr="008F328C" w:rsidRDefault="00C27F39" w:rsidP="00ED6A7B">
            <w:pPr>
              <w:pStyle w:val="TableParagraph"/>
              <w:ind w:left="99"/>
              <w:rPr>
                <w:rFonts w:ascii="Times New Roman" w:eastAsia="Times New Roman" w:hAnsi="Times New Roman" w:cs="Times New Roman"/>
                <w:lang w:val="pl-PL"/>
              </w:rPr>
            </w:pPr>
          </w:p>
        </w:tc>
      </w:tr>
      <w:tr w:rsidR="00C27F39" w:rsidRPr="008F328C" w14:paraId="58FB04A3" w14:textId="77777777" w:rsidTr="00ED6A7B">
        <w:tc>
          <w:tcPr>
            <w:tcW w:w="2599" w:type="dxa"/>
            <w:vMerge w:val="restart"/>
            <w:tcBorders>
              <w:top w:val="single" w:sz="5" w:space="0" w:color="000000"/>
              <w:left w:val="single" w:sz="5" w:space="0" w:color="000000"/>
              <w:right w:val="single" w:sz="5" w:space="0" w:color="000000"/>
            </w:tcBorders>
          </w:tcPr>
          <w:p w14:paraId="033A2B93"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nerwowego*</w:t>
            </w:r>
          </w:p>
        </w:tc>
        <w:tc>
          <w:tcPr>
            <w:tcW w:w="2076" w:type="dxa"/>
            <w:tcBorders>
              <w:top w:val="single" w:sz="5" w:space="0" w:color="000000"/>
              <w:left w:val="single" w:sz="5" w:space="0" w:color="000000"/>
              <w:bottom w:val="single" w:sz="5" w:space="0" w:color="000000"/>
              <w:right w:val="single" w:sz="5" w:space="0" w:color="000000"/>
            </w:tcBorders>
          </w:tcPr>
          <w:p w14:paraId="69A6469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2AF01FA7"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głowy</w:t>
            </w:r>
          </w:p>
        </w:tc>
      </w:tr>
      <w:tr w:rsidR="00C27F39" w:rsidRPr="00494296" w14:paraId="5E57E04E" w14:textId="77777777" w:rsidTr="00ED6A7B">
        <w:tc>
          <w:tcPr>
            <w:tcW w:w="2599" w:type="dxa"/>
            <w:vMerge/>
            <w:tcBorders>
              <w:left w:val="single" w:sz="5" w:space="0" w:color="000000"/>
              <w:right w:val="single" w:sz="5" w:space="0" w:color="000000"/>
            </w:tcBorders>
          </w:tcPr>
          <w:p w14:paraId="30EDB92F"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AE5FCFE"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54276999" w14:textId="77777777" w:rsidR="00C27F39" w:rsidRPr="008F328C" w:rsidRDefault="00C27F39" w:rsidP="00ED6A7B">
            <w:pPr>
              <w:pStyle w:val="TableParagraph"/>
              <w:ind w:left="99" w:right="658"/>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Parestezje (w tym niedoczulica), </w:t>
            </w:r>
          </w:p>
          <w:p w14:paraId="070AFDCF" w14:textId="77777777" w:rsidR="00C27F39" w:rsidRPr="008F328C" w:rsidRDefault="00C27F39" w:rsidP="00ED6A7B">
            <w:pPr>
              <w:pStyle w:val="TableParagraph"/>
              <w:ind w:left="99" w:right="65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migrena,</w:t>
            </w:r>
          </w:p>
          <w:p w14:paraId="4BB79EE7"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ucisk korzenia nerwowego</w:t>
            </w:r>
          </w:p>
        </w:tc>
      </w:tr>
      <w:tr w:rsidR="00C27F39" w:rsidRPr="00494296" w14:paraId="43460651" w14:textId="77777777" w:rsidTr="00ED6A7B">
        <w:tc>
          <w:tcPr>
            <w:tcW w:w="2599" w:type="dxa"/>
            <w:vMerge/>
            <w:tcBorders>
              <w:left w:val="single" w:sz="5" w:space="0" w:color="000000"/>
              <w:right w:val="single" w:sz="5" w:space="0" w:color="000000"/>
            </w:tcBorders>
          </w:tcPr>
          <w:p w14:paraId="6C44E8C0"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AA1F47A"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222CC75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Udar mózgu</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2AE8E280" w14:textId="77777777" w:rsidR="00C27F39" w:rsidRPr="008F328C" w:rsidRDefault="00C27F39" w:rsidP="00ED6A7B">
            <w:pPr>
              <w:pStyle w:val="TableParagraph"/>
              <w:ind w:left="99" w:right="28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drżenie mięśniowe, neuropatia</w:t>
            </w:r>
          </w:p>
        </w:tc>
      </w:tr>
      <w:tr w:rsidR="00C27F39" w:rsidRPr="00537986" w14:paraId="3D844E6E" w14:textId="77777777" w:rsidTr="00ED6A7B">
        <w:tc>
          <w:tcPr>
            <w:tcW w:w="2599" w:type="dxa"/>
            <w:vMerge/>
            <w:tcBorders>
              <w:left w:val="single" w:sz="5" w:space="0" w:color="000000"/>
              <w:bottom w:val="single" w:sz="5" w:space="0" w:color="000000"/>
              <w:right w:val="single" w:sz="5" w:space="0" w:color="000000"/>
            </w:tcBorders>
          </w:tcPr>
          <w:p w14:paraId="706D25A4"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64A0B14"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0197B38B"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Stwardnienie rozsiane,</w:t>
            </w:r>
          </w:p>
          <w:p w14:paraId="33CF949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demielinizacyjne (np. zapalenie nerwu wzrokowego, zespół Guillaina-Barrégo)</w:t>
            </w:r>
            <w:r w:rsidRPr="008F328C">
              <w:rPr>
                <w:rFonts w:ascii="Times New Roman" w:eastAsia="Times New Roman" w:hAnsi="Times New Roman" w:cs="Times New Roman"/>
                <w:spacing w:val="-1"/>
                <w:vertAlign w:val="superscript"/>
                <w:lang w:val="pl-PL"/>
              </w:rPr>
              <w:t>1)</w:t>
            </w:r>
          </w:p>
        </w:tc>
      </w:tr>
      <w:tr w:rsidR="00C27F39" w:rsidRPr="008F328C" w14:paraId="5981750E" w14:textId="77777777" w:rsidTr="00ED6A7B">
        <w:tc>
          <w:tcPr>
            <w:tcW w:w="2599" w:type="dxa"/>
            <w:vMerge w:val="restart"/>
            <w:tcBorders>
              <w:top w:val="single" w:sz="5" w:space="0" w:color="000000"/>
              <w:left w:val="single" w:sz="5" w:space="0" w:color="000000"/>
              <w:right w:val="single" w:sz="5" w:space="0" w:color="000000"/>
            </w:tcBorders>
          </w:tcPr>
          <w:p w14:paraId="17C1B4A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oka</w:t>
            </w:r>
          </w:p>
        </w:tc>
        <w:tc>
          <w:tcPr>
            <w:tcW w:w="2076" w:type="dxa"/>
            <w:tcBorders>
              <w:top w:val="single" w:sz="5" w:space="0" w:color="000000"/>
              <w:left w:val="single" w:sz="5" w:space="0" w:color="000000"/>
              <w:bottom w:val="single" w:sz="5" w:space="0" w:color="000000"/>
              <w:right w:val="single" w:sz="5" w:space="0" w:color="000000"/>
            </w:tcBorders>
          </w:tcPr>
          <w:p w14:paraId="7D3D49C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3445DF1" w14:textId="77777777" w:rsidR="00C27F39" w:rsidRPr="008F328C" w:rsidRDefault="00C27F39" w:rsidP="00ED6A7B">
            <w:pPr>
              <w:pStyle w:val="TableParagraph"/>
              <w:ind w:left="99" w:right="227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Pogorszenie widzenia, zapalenie spojówek, zapalenie powiek,</w:t>
            </w:r>
          </w:p>
          <w:p w14:paraId="60D4A9C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oka</w:t>
            </w:r>
          </w:p>
        </w:tc>
      </w:tr>
      <w:tr w:rsidR="00C27F39" w:rsidRPr="008F328C" w14:paraId="7EF093D6" w14:textId="77777777" w:rsidTr="00ED6A7B">
        <w:tc>
          <w:tcPr>
            <w:tcW w:w="2599" w:type="dxa"/>
            <w:vMerge/>
            <w:tcBorders>
              <w:left w:val="single" w:sz="5" w:space="0" w:color="000000"/>
              <w:bottom w:val="single" w:sz="5" w:space="0" w:color="000000"/>
              <w:right w:val="single" w:sz="5" w:space="0" w:color="000000"/>
            </w:tcBorders>
          </w:tcPr>
          <w:p w14:paraId="56748468"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F08805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42F8AE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Podwójne widzenie</w:t>
            </w:r>
          </w:p>
        </w:tc>
      </w:tr>
      <w:tr w:rsidR="00C27F39" w:rsidRPr="008F328C" w14:paraId="3C85B7B1" w14:textId="77777777" w:rsidTr="00ED6A7B">
        <w:tc>
          <w:tcPr>
            <w:tcW w:w="2599" w:type="dxa"/>
            <w:vMerge w:val="restart"/>
            <w:tcBorders>
              <w:top w:val="single" w:sz="5" w:space="0" w:color="000000"/>
              <w:left w:val="single" w:sz="5" w:space="0" w:color="000000"/>
              <w:right w:val="single" w:sz="5" w:space="0" w:color="000000"/>
            </w:tcBorders>
          </w:tcPr>
          <w:p w14:paraId="6E64635D" w14:textId="77777777" w:rsidR="00C27F39" w:rsidRPr="008F328C" w:rsidRDefault="00C27F39" w:rsidP="00ED6A7B">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ucha i błędnika</w:t>
            </w:r>
          </w:p>
        </w:tc>
        <w:tc>
          <w:tcPr>
            <w:tcW w:w="2076" w:type="dxa"/>
            <w:tcBorders>
              <w:top w:val="single" w:sz="5" w:space="0" w:color="000000"/>
              <w:left w:val="single" w:sz="5" w:space="0" w:color="000000"/>
              <w:bottom w:val="single" w:sz="5" w:space="0" w:color="000000"/>
              <w:right w:val="single" w:sz="5" w:space="0" w:color="000000"/>
            </w:tcBorders>
          </w:tcPr>
          <w:p w14:paraId="1C44D2E9"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175BEC5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Zawroty głowy</w:t>
            </w:r>
          </w:p>
        </w:tc>
      </w:tr>
      <w:tr w:rsidR="00C27F39" w:rsidRPr="00494296" w14:paraId="590AEBEC" w14:textId="77777777" w:rsidTr="00ED6A7B">
        <w:tc>
          <w:tcPr>
            <w:tcW w:w="2599" w:type="dxa"/>
            <w:vMerge/>
            <w:tcBorders>
              <w:left w:val="single" w:sz="5" w:space="0" w:color="000000"/>
              <w:bottom w:val="single" w:sz="5" w:space="0" w:color="000000"/>
              <w:right w:val="single" w:sz="5" w:space="0" w:color="000000"/>
            </w:tcBorders>
          </w:tcPr>
          <w:p w14:paraId="70E4DA17"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68F8790"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B5065A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Głuchota,</w:t>
            </w:r>
          </w:p>
          <w:p w14:paraId="7659407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szumy uszne</w:t>
            </w:r>
          </w:p>
        </w:tc>
      </w:tr>
      <w:tr w:rsidR="00C27F39" w:rsidRPr="008F328C" w14:paraId="409AB52C" w14:textId="77777777" w:rsidTr="00ED6A7B">
        <w:tc>
          <w:tcPr>
            <w:tcW w:w="2599" w:type="dxa"/>
            <w:vMerge w:val="restart"/>
            <w:tcBorders>
              <w:top w:val="single" w:sz="5" w:space="0" w:color="000000"/>
              <w:left w:val="single" w:sz="5" w:space="0" w:color="000000"/>
              <w:right w:val="single" w:sz="5" w:space="0" w:color="000000"/>
            </w:tcBorders>
          </w:tcPr>
          <w:p w14:paraId="13099CB8"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serca*</w:t>
            </w:r>
          </w:p>
        </w:tc>
        <w:tc>
          <w:tcPr>
            <w:tcW w:w="2076" w:type="dxa"/>
            <w:tcBorders>
              <w:top w:val="single" w:sz="5" w:space="0" w:color="000000"/>
              <w:left w:val="single" w:sz="5" w:space="0" w:color="000000"/>
              <w:bottom w:val="single" w:sz="5" w:space="0" w:color="000000"/>
              <w:right w:val="single" w:sz="5" w:space="0" w:color="000000"/>
            </w:tcBorders>
          </w:tcPr>
          <w:p w14:paraId="72CE0C7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5C1385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Tachykardia</w:t>
            </w:r>
          </w:p>
        </w:tc>
      </w:tr>
      <w:tr w:rsidR="00C27F39" w:rsidRPr="008F328C" w14:paraId="3A615D34" w14:textId="77777777" w:rsidTr="00ED6A7B">
        <w:tc>
          <w:tcPr>
            <w:tcW w:w="2599" w:type="dxa"/>
            <w:vMerge/>
            <w:tcBorders>
              <w:left w:val="single" w:sz="5" w:space="0" w:color="000000"/>
              <w:right w:val="single" w:sz="5" w:space="0" w:color="000000"/>
            </w:tcBorders>
          </w:tcPr>
          <w:p w14:paraId="0A253DD7"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51C22750"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right w:val="single" w:sz="5" w:space="0" w:color="000000"/>
            </w:tcBorders>
          </w:tcPr>
          <w:p w14:paraId="206B0979" w14:textId="77777777" w:rsidR="00C27F39" w:rsidRPr="008F328C" w:rsidRDefault="00C27F39" w:rsidP="00ED6A7B">
            <w:pPr>
              <w:pStyle w:val="TableParagraph"/>
              <w:ind w:left="99" w:right="1400"/>
              <w:rPr>
                <w:rFonts w:ascii="Times New Roman" w:eastAsia="Times New Roman" w:hAnsi="Times New Roman" w:cs="Times New Roman"/>
                <w:lang w:val="pl-PL"/>
              </w:rPr>
            </w:pPr>
            <w:r w:rsidRPr="008F328C">
              <w:rPr>
                <w:rFonts w:ascii="Times New Roman" w:eastAsia="Times New Roman" w:hAnsi="Times New Roman" w:cs="Times New Roman"/>
                <w:lang w:val="pl-PL"/>
              </w:rPr>
              <w:t>Zawał mięśnia sercowego</w:t>
            </w:r>
            <w:r w:rsidRPr="008F328C">
              <w:rPr>
                <w:rFonts w:ascii="Times New Roman" w:eastAsia="Times New Roman" w:hAnsi="Times New Roman" w:cs="Times New Roman"/>
                <w:vertAlign w:val="superscript"/>
                <w:lang w:val="pl-PL"/>
              </w:rPr>
              <w:t>1)</w:t>
            </w:r>
            <w:r w:rsidRPr="008F328C">
              <w:rPr>
                <w:rFonts w:ascii="Times New Roman" w:eastAsia="Times New Roman" w:hAnsi="Times New Roman" w:cs="Times New Roman"/>
                <w:lang w:val="pl-PL"/>
              </w:rPr>
              <w:t>, zaburzenia rytmu serca,</w:t>
            </w:r>
          </w:p>
          <w:p w14:paraId="45571F87"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zastoinowa niewydolność serca</w:t>
            </w:r>
          </w:p>
        </w:tc>
      </w:tr>
      <w:tr w:rsidR="00C27F39" w:rsidRPr="008F328C" w14:paraId="6804B767" w14:textId="77777777" w:rsidTr="00ED6A7B">
        <w:tc>
          <w:tcPr>
            <w:tcW w:w="2599" w:type="dxa"/>
            <w:vMerge/>
            <w:tcBorders>
              <w:left w:val="single" w:sz="5" w:space="0" w:color="000000"/>
              <w:bottom w:val="single" w:sz="5" w:space="0" w:color="000000"/>
              <w:right w:val="single" w:sz="5" w:space="0" w:color="000000"/>
            </w:tcBorders>
          </w:tcPr>
          <w:p w14:paraId="44416197"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B49C58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782CC16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Zatrzymane akcji serca</w:t>
            </w:r>
          </w:p>
        </w:tc>
      </w:tr>
      <w:tr w:rsidR="00C27F39" w:rsidRPr="008F328C" w14:paraId="613611DB" w14:textId="77777777" w:rsidTr="00ED6A7B">
        <w:tc>
          <w:tcPr>
            <w:tcW w:w="2599" w:type="dxa"/>
            <w:vMerge w:val="restart"/>
            <w:tcBorders>
              <w:top w:val="single" w:sz="5" w:space="0" w:color="000000"/>
              <w:left w:val="single" w:sz="5" w:space="0" w:color="000000"/>
              <w:right w:val="single" w:sz="5" w:space="0" w:color="000000"/>
            </w:tcBorders>
          </w:tcPr>
          <w:p w14:paraId="17FCD7BE"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naczyniowe</w:t>
            </w:r>
          </w:p>
        </w:tc>
        <w:tc>
          <w:tcPr>
            <w:tcW w:w="2076" w:type="dxa"/>
            <w:tcBorders>
              <w:top w:val="single" w:sz="5" w:space="0" w:color="000000"/>
              <w:left w:val="single" w:sz="5" w:space="0" w:color="000000"/>
              <w:bottom w:val="single" w:sz="5" w:space="0" w:color="000000"/>
              <w:right w:val="single" w:sz="5" w:space="0" w:color="000000"/>
            </w:tcBorders>
          </w:tcPr>
          <w:p w14:paraId="59ED480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EF0EA43"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Nadciśnienie, </w:t>
            </w:r>
          </w:p>
          <w:p w14:paraId="7B58159B"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zaczerwienienie skóry z uczuciem gorąca, </w:t>
            </w:r>
          </w:p>
          <w:p w14:paraId="7D41D28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krwiak</w:t>
            </w:r>
          </w:p>
        </w:tc>
      </w:tr>
      <w:tr w:rsidR="00C27F39" w:rsidRPr="008F328C" w14:paraId="4A4F30D8" w14:textId="77777777" w:rsidTr="00ED6A7B">
        <w:tc>
          <w:tcPr>
            <w:tcW w:w="2599" w:type="dxa"/>
            <w:vMerge/>
            <w:tcBorders>
              <w:left w:val="single" w:sz="5" w:space="0" w:color="000000"/>
              <w:bottom w:val="single" w:sz="5" w:space="0" w:color="000000"/>
              <w:right w:val="single" w:sz="5" w:space="0" w:color="000000"/>
            </w:tcBorders>
          </w:tcPr>
          <w:p w14:paraId="7257DACB"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F718E9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3277FF9D"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Tętniak aorty,</w:t>
            </w:r>
          </w:p>
          <w:p w14:paraId="4095EBD3"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niedrożność naczyń tętniczych, </w:t>
            </w:r>
          </w:p>
          <w:p w14:paraId="5284C38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zakrzepowe zapalenie żył</w:t>
            </w:r>
          </w:p>
        </w:tc>
      </w:tr>
      <w:tr w:rsidR="00C27F39" w:rsidRPr="00494296" w14:paraId="0C0C0F33" w14:textId="77777777" w:rsidTr="00ED6A7B">
        <w:tc>
          <w:tcPr>
            <w:tcW w:w="2599" w:type="dxa"/>
            <w:vMerge w:val="restart"/>
            <w:tcBorders>
              <w:top w:val="single" w:sz="5" w:space="0" w:color="000000"/>
              <w:left w:val="single" w:sz="5" w:space="0" w:color="000000"/>
              <w:right w:val="single" w:sz="5" w:space="0" w:color="000000"/>
            </w:tcBorders>
          </w:tcPr>
          <w:p w14:paraId="5B11BDE3"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oddechowego, klatki piersiowej i śródpiersia*</w:t>
            </w:r>
          </w:p>
        </w:tc>
        <w:tc>
          <w:tcPr>
            <w:tcW w:w="2076" w:type="dxa"/>
            <w:tcBorders>
              <w:top w:val="single" w:sz="5" w:space="0" w:color="000000"/>
              <w:left w:val="single" w:sz="5" w:space="0" w:color="000000"/>
              <w:bottom w:val="single" w:sz="5" w:space="0" w:color="000000"/>
              <w:right w:val="single" w:sz="5" w:space="0" w:color="000000"/>
            </w:tcBorders>
          </w:tcPr>
          <w:p w14:paraId="52AE8B20"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0D1C266A"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Astma, </w:t>
            </w:r>
          </w:p>
          <w:p w14:paraId="0BFA778B"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duszność, </w:t>
            </w:r>
          </w:p>
          <w:p w14:paraId="22C8CA77"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kaszel</w:t>
            </w:r>
          </w:p>
        </w:tc>
      </w:tr>
      <w:tr w:rsidR="00C27F39" w:rsidRPr="008F328C" w14:paraId="26AA3ECF" w14:textId="77777777" w:rsidTr="00ED6A7B">
        <w:tc>
          <w:tcPr>
            <w:tcW w:w="2599" w:type="dxa"/>
            <w:vMerge/>
            <w:tcBorders>
              <w:left w:val="single" w:sz="5" w:space="0" w:color="000000"/>
              <w:right w:val="single" w:sz="5" w:space="0" w:color="000000"/>
            </w:tcBorders>
          </w:tcPr>
          <w:p w14:paraId="45AFD472"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575E6BE"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721CBE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Zator tętnicy płucnej</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0697742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śródmiąższowa choroba płuc,</w:t>
            </w:r>
          </w:p>
          <w:p w14:paraId="7B507201"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przewlekła obturacyjna choroba płuc, zapalenie płuc (pneumonitis),</w:t>
            </w:r>
          </w:p>
          <w:p w14:paraId="58328F2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wysięk opłucnowy</w:t>
            </w:r>
            <w:r w:rsidRPr="008F328C">
              <w:rPr>
                <w:rFonts w:ascii="Times New Roman" w:eastAsia="Times New Roman" w:hAnsi="Times New Roman" w:cs="Times New Roman"/>
                <w:spacing w:val="-1"/>
                <w:vertAlign w:val="superscript"/>
                <w:lang w:val="pl-PL"/>
              </w:rPr>
              <w:t>1)</w:t>
            </w:r>
          </w:p>
        </w:tc>
      </w:tr>
      <w:tr w:rsidR="00C27F39" w:rsidRPr="008F328C" w14:paraId="5A502FE4" w14:textId="77777777" w:rsidTr="00ED6A7B">
        <w:tc>
          <w:tcPr>
            <w:tcW w:w="2599" w:type="dxa"/>
            <w:vMerge/>
            <w:tcBorders>
              <w:left w:val="single" w:sz="5" w:space="0" w:color="000000"/>
              <w:bottom w:val="single" w:sz="5" w:space="0" w:color="000000"/>
              <w:right w:val="single" w:sz="5" w:space="0" w:color="000000"/>
            </w:tcBorders>
          </w:tcPr>
          <w:p w14:paraId="6C383FCC"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4F46294"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6E76B023"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Zwłóknienie płuc</w:t>
            </w:r>
            <w:r w:rsidRPr="008F328C">
              <w:rPr>
                <w:rFonts w:ascii="Times New Roman" w:eastAsia="Times New Roman" w:hAnsi="Times New Roman" w:cs="Times New Roman"/>
                <w:spacing w:val="-1"/>
                <w:vertAlign w:val="superscript"/>
                <w:lang w:val="pl-PL"/>
              </w:rPr>
              <w:t>1)</w:t>
            </w:r>
          </w:p>
        </w:tc>
      </w:tr>
      <w:tr w:rsidR="00C27F39" w:rsidRPr="00FE49E6" w14:paraId="17F75E5A" w14:textId="77777777" w:rsidTr="00ED6A7B">
        <w:tc>
          <w:tcPr>
            <w:tcW w:w="2599" w:type="dxa"/>
            <w:vMerge w:val="restart"/>
            <w:tcBorders>
              <w:top w:val="single" w:sz="5" w:space="0" w:color="000000"/>
              <w:left w:val="single" w:sz="5" w:space="0" w:color="000000"/>
              <w:right w:val="single" w:sz="5" w:space="0" w:color="000000"/>
            </w:tcBorders>
          </w:tcPr>
          <w:p w14:paraId="514A1D5C"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żołądka i jelit</w:t>
            </w:r>
          </w:p>
        </w:tc>
        <w:tc>
          <w:tcPr>
            <w:tcW w:w="2076" w:type="dxa"/>
            <w:tcBorders>
              <w:top w:val="single" w:sz="5" w:space="0" w:color="000000"/>
              <w:left w:val="single" w:sz="5" w:space="0" w:color="000000"/>
              <w:bottom w:val="single" w:sz="5" w:space="0" w:color="000000"/>
              <w:right w:val="single" w:sz="5" w:space="0" w:color="000000"/>
            </w:tcBorders>
          </w:tcPr>
          <w:p w14:paraId="235542F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18F6D0D4"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Bóle brzucha, </w:t>
            </w:r>
          </w:p>
          <w:p w14:paraId="4FB61959"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nudności i wymioty</w:t>
            </w:r>
          </w:p>
        </w:tc>
      </w:tr>
      <w:tr w:rsidR="00C27F39" w:rsidRPr="00494296" w14:paraId="4624642E" w14:textId="77777777" w:rsidTr="00ED6A7B">
        <w:tc>
          <w:tcPr>
            <w:tcW w:w="2599" w:type="dxa"/>
            <w:vMerge/>
            <w:tcBorders>
              <w:left w:val="single" w:sz="5" w:space="0" w:color="000000"/>
              <w:right w:val="single" w:sz="5" w:space="0" w:color="000000"/>
            </w:tcBorders>
          </w:tcPr>
          <w:p w14:paraId="07EB4F35"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94A53AE"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379399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Krwotok z przewodu pokarmowego,</w:t>
            </w:r>
          </w:p>
          <w:p w14:paraId="3CA3279A"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dyspepsja,</w:t>
            </w:r>
          </w:p>
          <w:p w14:paraId="5A331F4D"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choroba refluksowa przełyku, </w:t>
            </w:r>
          </w:p>
          <w:p w14:paraId="7644BD70"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suchości (zespół Sjogrena)</w:t>
            </w:r>
          </w:p>
        </w:tc>
      </w:tr>
      <w:tr w:rsidR="00C27F39" w:rsidRPr="00494296" w14:paraId="0822ABA8" w14:textId="77777777" w:rsidTr="00ED6A7B">
        <w:tc>
          <w:tcPr>
            <w:tcW w:w="2599" w:type="dxa"/>
            <w:vMerge/>
            <w:tcBorders>
              <w:left w:val="single" w:sz="5" w:space="0" w:color="000000"/>
              <w:right w:val="single" w:sz="5" w:space="0" w:color="000000"/>
            </w:tcBorders>
          </w:tcPr>
          <w:p w14:paraId="7D24012A"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94D9AE5"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13C401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trzustki,</w:t>
            </w:r>
          </w:p>
          <w:p w14:paraId="5F73D10D"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 xml:space="preserve">utrudnienie połykania, </w:t>
            </w:r>
          </w:p>
          <w:p w14:paraId="7927D4FB"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twarzy</w:t>
            </w:r>
          </w:p>
        </w:tc>
      </w:tr>
      <w:tr w:rsidR="00C27F39" w:rsidRPr="008F328C" w14:paraId="657C2713" w14:textId="77777777" w:rsidTr="00ED6A7B">
        <w:tc>
          <w:tcPr>
            <w:tcW w:w="2599" w:type="dxa"/>
            <w:vMerge/>
            <w:tcBorders>
              <w:left w:val="single" w:sz="5" w:space="0" w:color="000000"/>
              <w:bottom w:val="single" w:sz="5" w:space="0" w:color="000000"/>
              <w:right w:val="single" w:sz="5" w:space="0" w:color="000000"/>
            </w:tcBorders>
          </w:tcPr>
          <w:p w14:paraId="351FF2EC"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5B705A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795FA64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Perforacja jelita</w:t>
            </w:r>
            <w:r w:rsidRPr="008F328C">
              <w:rPr>
                <w:rFonts w:ascii="Times New Roman" w:eastAsia="Times New Roman" w:hAnsi="Times New Roman" w:cs="Times New Roman"/>
                <w:spacing w:val="-4"/>
                <w:vertAlign w:val="superscript"/>
                <w:lang w:val="pl-PL"/>
              </w:rPr>
              <w:t>1)</w:t>
            </w:r>
          </w:p>
        </w:tc>
      </w:tr>
      <w:tr w:rsidR="00C27F39" w:rsidRPr="00537986" w14:paraId="661FC5FD" w14:textId="77777777" w:rsidTr="00ED6A7B">
        <w:tc>
          <w:tcPr>
            <w:tcW w:w="2599" w:type="dxa"/>
            <w:vMerge w:val="restart"/>
            <w:tcBorders>
              <w:top w:val="single" w:sz="5" w:space="0" w:color="000000"/>
              <w:left w:val="single" w:sz="5" w:space="0" w:color="000000"/>
              <w:right w:val="single" w:sz="5" w:space="0" w:color="000000"/>
            </w:tcBorders>
          </w:tcPr>
          <w:p w14:paraId="66F3DFD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Zaburzenia wątroby i dróg żółciowych*</w:t>
            </w:r>
          </w:p>
        </w:tc>
        <w:tc>
          <w:tcPr>
            <w:tcW w:w="2076" w:type="dxa"/>
            <w:tcBorders>
              <w:top w:val="single" w:sz="5" w:space="0" w:color="000000"/>
              <w:left w:val="single" w:sz="5" w:space="0" w:color="000000"/>
              <w:bottom w:val="single" w:sz="5" w:space="0" w:color="000000"/>
              <w:right w:val="single" w:sz="5" w:space="0" w:color="000000"/>
            </w:tcBorders>
          </w:tcPr>
          <w:p w14:paraId="34DF1013"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6C7881FD"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enzymów wątrobowych</w:t>
            </w:r>
          </w:p>
        </w:tc>
      </w:tr>
      <w:tr w:rsidR="00C27F39" w:rsidRPr="00537986" w14:paraId="10457F31" w14:textId="77777777" w:rsidTr="00ED6A7B">
        <w:tc>
          <w:tcPr>
            <w:tcW w:w="2599" w:type="dxa"/>
            <w:vMerge/>
            <w:tcBorders>
              <w:left w:val="single" w:sz="5" w:space="0" w:color="000000"/>
              <w:right w:val="single" w:sz="5" w:space="0" w:color="000000"/>
            </w:tcBorders>
          </w:tcPr>
          <w:p w14:paraId="6BFB5725"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44B1749"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FC9144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pęcherzyka żółciowego i kamica żółciowa,</w:t>
            </w:r>
          </w:p>
          <w:p w14:paraId="101BA995" w14:textId="77777777" w:rsidR="00C27F39" w:rsidRPr="008F328C" w:rsidRDefault="00C27F39" w:rsidP="00ED6A7B">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lang w:val="pl-PL"/>
              </w:rPr>
              <w:t>stłuszczenie wątroby, zwiększenie stężenia bilirubiny</w:t>
            </w:r>
          </w:p>
        </w:tc>
      </w:tr>
      <w:tr w:rsidR="00C27F39" w:rsidRPr="008F328C" w14:paraId="5779B9B0" w14:textId="77777777" w:rsidTr="00ED6A7B">
        <w:tc>
          <w:tcPr>
            <w:tcW w:w="2599" w:type="dxa"/>
            <w:vMerge/>
            <w:tcBorders>
              <w:left w:val="single" w:sz="5" w:space="0" w:color="000000"/>
              <w:right w:val="single" w:sz="5" w:space="0" w:color="000000"/>
            </w:tcBorders>
          </w:tcPr>
          <w:p w14:paraId="552D27E8"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right w:val="single" w:sz="5" w:space="0" w:color="000000"/>
            </w:tcBorders>
          </w:tcPr>
          <w:p w14:paraId="4060D675"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right w:val="single" w:sz="5" w:space="0" w:color="000000"/>
            </w:tcBorders>
          </w:tcPr>
          <w:p w14:paraId="5E1024E9"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wątroby,</w:t>
            </w:r>
          </w:p>
          <w:p w14:paraId="2C64F9C1"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reaktywacja zapalenia wątroby typu B</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38CE254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autoimmunologiczne zapalenie wątroby</w:t>
            </w:r>
            <w:r w:rsidRPr="008F328C">
              <w:rPr>
                <w:rFonts w:ascii="Times New Roman" w:eastAsia="Times New Roman" w:hAnsi="Times New Roman" w:cs="Times New Roman"/>
                <w:spacing w:val="-1"/>
                <w:vertAlign w:val="superscript"/>
                <w:lang w:val="pl-PL"/>
              </w:rPr>
              <w:t>1)</w:t>
            </w:r>
          </w:p>
        </w:tc>
      </w:tr>
      <w:tr w:rsidR="00C27F39" w:rsidRPr="00494296" w14:paraId="31FD10CE" w14:textId="77777777" w:rsidTr="00ED6A7B">
        <w:tc>
          <w:tcPr>
            <w:tcW w:w="2599" w:type="dxa"/>
            <w:vMerge/>
            <w:tcBorders>
              <w:left w:val="single" w:sz="5" w:space="0" w:color="000000"/>
              <w:bottom w:val="single" w:sz="5" w:space="0" w:color="000000"/>
              <w:right w:val="single" w:sz="5" w:space="0" w:color="000000"/>
            </w:tcBorders>
          </w:tcPr>
          <w:p w14:paraId="73D5700C"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5E3877C4"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37577A5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Niewydolność wątroby</w:t>
            </w:r>
            <w:r w:rsidRPr="008F328C">
              <w:rPr>
                <w:rFonts w:ascii="Times New Roman" w:eastAsia="Times New Roman" w:hAnsi="Times New Roman" w:cs="Times New Roman"/>
                <w:spacing w:val="-1"/>
                <w:vertAlign w:val="superscript"/>
                <w:lang w:val="pl-PL"/>
              </w:rPr>
              <w:t>1)</w:t>
            </w:r>
          </w:p>
        </w:tc>
      </w:tr>
      <w:tr w:rsidR="00C27F39" w:rsidRPr="00537986" w14:paraId="3E926B68" w14:textId="77777777" w:rsidTr="00ED6A7B">
        <w:tc>
          <w:tcPr>
            <w:tcW w:w="2599" w:type="dxa"/>
            <w:vMerge w:val="restart"/>
            <w:tcBorders>
              <w:top w:val="single" w:sz="5" w:space="0" w:color="000000"/>
              <w:left w:val="single" w:sz="5" w:space="0" w:color="000000"/>
              <w:right w:val="single" w:sz="5" w:space="0" w:color="000000"/>
            </w:tcBorders>
          </w:tcPr>
          <w:p w14:paraId="547A8753" w14:textId="77777777" w:rsidR="00C27F39" w:rsidRPr="008F328C" w:rsidRDefault="00C27F39" w:rsidP="00ED6A7B">
            <w:pPr>
              <w:pStyle w:val="TableParagraph"/>
              <w:ind w:left="102" w:right="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skóry i tkanki podskórnej</w:t>
            </w:r>
          </w:p>
        </w:tc>
        <w:tc>
          <w:tcPr>
            <w:tcW w:w="2076" w:type="dxa"/>
            <w:tcBorders>
              <w:top w:val="single" w:sz="5" w:space="0" w:color="000000"/>
              <w:left w:val="single" w:sz="5" w:space="0" w:color="000000"/>
              <w:bottom w:val="single" w:sz="5" w:space="0" w:color="000000"/>
              <w:right w:val="single" w:sz="5" w:space="0" w:color="000000"/>
            </w:tcBorders>
          </w:tcPr>
          <w:p w14:paraId="7BA668D8"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3A1123AD"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Wysypka (w tym złuszczająca się wysypka)</w:t>
            </w:r>
          </w:p>
        </w:tc>
      </w:tr>
      <w:tr w:rsidR="00C27F39" w:rsidRPr="00494296" w14:paraId="49F263BE" w14:textId="77777777" w:rsidTr="00ED6A7B">
        <w:tc>
          <w:tcPr>
            <w:tcW w:w="2599" w:type="dxa"/>
            <w:vMerge/>
            <w:tcBorders>
              <w:left w:val="single" w:sz="5" w:space="0" w:color="000000"/>
              <w:right w:val="single" w:sz="5" w:space="0" w:color="000000"/>
            </w:tcBorders>
          </w:tcPr>
          <w:p w14:paraId="122F3A2B"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8D73EBE"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348EBE90"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Pogorszenie się lub wystąpienie łuszczycy (w tym</w:t>
            </w:r>
          </w:p>
          <w:p w14:paraId="63317559" w14:textId="77777777" w:rsidR="00C27F39" w:rsidRPr="008F328C" w:rsidRDefault="00C27F39" w:rsidP="00ED6A7B">
            <w:pPr>
              <w:pStyle w:val="TableParagraph"/>
              <w:ind w:left="99" w:right="74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łuszczyca krostkowa dłoni i stóp)</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pokrzywka,</w:t>
            </w:r>
          </w:p>
          <w:p w14:paraId="7B6FCBC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siniaczenie (w tym plamica),</w:t>
            </w:r>
          </w:p>
          <w:p w14:paraId="0AE928C0" w14:textId="77777777" w:rsidR="00C27F39" w:rsidRPr="008F328C" w:rsidRDefault="00C27F39" w:rsidP="00ED6A7B">
            <w:pPr>
              <w:pStyle w:val="TableParagraph"/>
              <w:ind w:left="99" w:right="65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zapalenie skóry (w tym wyprysk), </w:t>
            </w:r>
          </w:p>
          <w:p w14:paraId="2DCCFBAF" w14:textId="77777777" w:rsidR="00C27F39" w:rsidRPr="008F328C" w:rsidRDefault="00C27F39" w:rsidP="00ED6A7B">
            <w:pPr>
              <w:pStyle w:val="TableParagraph"/>
              <w:ind w:left="99" w:right="65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łamliwość paznokci,</w:t>
            </w:r>
          </w:p>
          <w:p w14:paraId="2BE02950"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nadmierne pocenie się,</w:t>
            </w:r>
          </w:p>
          <w:p w14:paraId="519DB981" w14:textId="77777777" w:rsidR="00C27F39" w:rsidRPr="008F328C" w:rsidRDefault="00C27F39" w:rsidP="00ED6A7B">
            <w:pPr>
              <w:pStyle w:val="TableParagraph"/>
              <w:ind w:left="99" w:right="2911"/>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łysienie</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2AE262BB" w14:textId="77777777" w:rsidR="00C27F39" w:rsidRPr="008F328C" w:rsidRDefault="00C27F39" w:rsidP="00ED6A7B">
            <w:pPr>
              <w:pStyle w:val="TableParagraph"/>
              <w:ind w:left="99" w:right="29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świąd</w:t>
            </w:r>
          </w:p>
        </w:tc>
      </w:tr>
      <w:tr w:rsidR="00C27F39" w:rsidRPr="008F328C" w14:paraId="37B08C94" w14:textId="77777777" w:rsidTr="00ED6A7B">
        <w:tc>
          <w:tcPr>
            <w:tcW w:w="2599" w:type="dxa"/>
            <w:vMerge/>
            <w:tcBorders>
              <w:left w:val="single" w:sz="5" w:space="0" w:color="000000"/>
              <w:right w:val="single" w:sz="5" w:space="0" w:color="000000"/>
            </w:tcBorders>
          </w:tcPr>
          <w:p w14:paraId="72E9589F"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7CF9BB7A"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39A30E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Poty nocne,</w:t>
            </w:r>
          </w:p>
          <w:p w14:paraId="1D53ECC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blizna</w:t>
            </w:r>
          </w:p>
        </w:tc>
      </w:tr>
      <w:tr w:rsidR="00C27F39" w:rsidRPr="00537986" w14:paraId="73767D03" w14:textId="77777777" w:rsidTr="00ED6A7B">
        <w:tc>
          <w:tcPr>
            <w:tcW w:w="2599" w:type="dxa"/>
            <w:vMerge/>
            <w:tcBorders>
              <w:left w:val="single" w:sz="5" w:space="0" w:color="000000"/>
              <w:right w:val="single" w:sz="5" w:space="0" w:color="000000"/>
            </w:tcBorders>
          </w:tcPr>
          <w:p w14:paraId="0B0DD945"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D54D4D4"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2A759BAA" w14:textId="77777777" w:rsidR="00C27F39" w:rsidRPr="008F328C" w:rsidRDefault="00C27F39" w:rsidP="00ED6A7B">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Rumień wielopostaciowy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7CE189A4" w14:textId="77777777" w:rsidR="00C27F39" w:rsidRPr="008F328C" w:rsidRDefault="00C27F39" w:rsidP="00ED6A7B">
            <w:pPr>
              <w:pStyle w:val="TableParagraph"/>
              <w:ind w:left="99" w:right="970"/>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zespół Stevensa-Johnsona</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xml:space="preserve">, </w:t>
            </w:r>
          </w:p>
          <w:p w14:paraId="736A6451" w14:textId="77777777" w:rsidR="00C27F39" w:rsidRPr="008F328C" w:rsidRDefault="00C27F39" w:rsidP="00ED6A7B">
            <w:pPr>
              <w:pStyle w:val="TableParagraph"/>
              <w:ind w:left="99" w:right="97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 naczynioruchowy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w:t>
            </w:r>
          </w:p>
          <w:p w14:paraId="53976E7C" w14:textId="77777777" w:rsidR="00C27F39" w:rsidRPr="008F328C" w:rsidRDefault="00C27F39" w:rsidP="00ED6A7B">
            <w:pPr>
              <w:pStyle w:val="TableParagraph"/>
              <w:ind w:left="99" w:right="181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zapalenie naczyń skóry</w:t>
            </w:r>
            <w:r w:rsidRPr="008F328C">
              <w:rPr>
                <w:rFonts w:ascii="Times New Roman" w:eastAsia="Times New Roman" w:hAnsi="Times New Roman" w:cs="Times New Roman"/>
                <w:spacing w:val="-1"/>
                <w:vertAlign w:val="superscript"/>
                <w:lang w:val="pl-PL"/>
              </w:rPr>
              <w:t>1)</w:t>
            </w:r>
            <w:r w:rsidRPr="008F328C">
              <w:rPr>
                <w:rFonts w:ascii="Times New Roman" w:eastAsia="Times New Roman" w:hAnsi="Times New Roman" w:cs="Times New Roman"/>
                <w:spacing w:val="-1"/>
                <w:lang w:val="pl-PL"/>
              </w:rPr>
              <w:t>, liszajowate zmiany skórne</w:t>
            </w:r>
            <w:r w:rsidRPr="008F328C">
              <w:rPr>
                <w:rFonts w:ascii="Times New Roman" w:eastAsia="Times New Roman" w:hAnsi="Times New Roman" w:cs="Times New Roman"/>
                <w:spacing w:val="-1"/>
                <w:vertAlign w:val="superscript"/>
                <w:lang w:val="pl-PL"/>
              </w:rPr>
              <w:t>1)</w:t>
            </w:r>
          </w:p>
        </w:tc>
      </w:tr>
      <w:tr w:rsidR="00C27F39" w:rsidRPr="00494296" w14:paraId="32C2E5D7" w14:textId="77777777" w:rsidTr="00ED6A7B">
        <w:tc>
          <w:tcPr>
            <w:tcW w:w="2599" w:type="dxa"/>
            <w:vMerge/>
            <w:tcBorders>
              <w:left w:val="single" w:sz="5" w:space="0" w:color="000000"/>
              <w:bottom w:val="single" w:sz="5" w:space="0" w:color="000000"/>
              <w:right w:val="single" w:sz="5" w:space="0" w:color="000000"/>
            </w:tcBorders>
          </w:tcPr>
          <w:p w14:paraId="23A6C07F"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4F338AE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Częstość nieznana</w:t>
            </w:r>
          </w:p>
        </w:tc>
        <w:tc>
          <w:tcPr>
            <w:tcW w:w="4574" w:type="dxa"/>
            <w:tcBorders>
              <w:top w:val="single" w:sz="5" w:space="0" w:color="000000"/>
              <w:left w:val="single" w:sz="5" w:space="0" w:color="000000"/>
              <w:bottom w:val="single" w:sz="5" w:space="0" w:color="000000"/>
              <w:right w:val="single" w:sz="5" w:space="0" w:color="000000"/>
            </w:tcBorders>
          </w:tcPr>
          <w:p w14:paraId="07646D5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Nasilenie objawów zapalenia skórno-mięśniowego</w:t>
            </w:r>
            <w:r w:rsidRPr="008F328C">
              <w:rPr>
                <w:rFonts w:ascii="Times New Roman" w:eastAsia="Times New Roman" w:hAnsi="Times New Roman" w:cs="Times New Roman"/>
                <w:vertAlign w:val="superscript"/>
                <w:lang w:val="pl-PL"/>
              </w:rPr>
              <w:t>1)</w:t>
            </w:r>
          </w:p>
        </w:tc>
      </w:tr>
      <w:tr w:rsidR="00C27F39" w:rsidRPr="008F328C" w14:paraId="2566A9F6" w14:textId="77777777" w:rsidTr="00ED6A7B">
        <w:tc>
          <w:tcPr>
            <w:tcW w:w="2599" w:type="dxa"/>
            <w:vMerge w:val="restart"/>
            <w:tcBorders>
              <w:top w:val="single" w:sz="5" w:space="0" w:color="000000"/>
              <w:left w:val="single" w:sz="5" w:space="0" w:color="000000"/>
              <w:right w:val="single" w:sz="5" w:space="0" w:color="000000"/>
            </w:tcBorders>
          </w:tcPr>
          <w:p w14:paraId="79F83707"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mięśniowo-szkieletowe i tkanki łącznej</w:t>
            </w:r>
          </w:p>
        </w:tc>
        <w:tc>
          <w:tcPr>
            <w:tcW w:w="2076" w:type="dxa"/>
            <w:tcBorders>
              <w:top w:val="single" w:sz="5" w:space="0" w:color="000000"/>
              <w:left w:val="single" w:sz="5" w:space="0" w:color="000000"/>
              <w:bottom w:val="single" w:sz="5" w:space="0" w:color="000000"/>
              <w:right w:val="single" w:sz="5" w:space="0" w:color="000000"/>
            </w:tcBorders>
          </w:tcPr>
          <w:p w14:paraId="4264042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bottom w:val="single" w:sz="5" w:space="0" w:color="000000"/>
              <w:right w:val="single" w:sz="5" w:space="0" w:color="000000"/>
            </w:tcBorders>
          </w:tcPr>
          <w:p w14:paraId="12000258"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Bóle mięśniowo-szkieletowe</w:t>
            </w:r>
          </w:p>
        </w:tc>
      </w:tr>
      <w:tr w:rsidR="00C27F39" w:rsidRPr="00537986" w14:paraId="5CA03564" w14:textId="77777777" w:rsidTr="00ED6A7B">
        <w:tc>
          <w:tcPr>
            <w:tcW w:w="2599" w:type="dxa"/>
            <w:vMerge/>
            <w:tcBorders>
              <w:left w:val="single" w:sz="5" w:space="0" w:color="000000"/>
              <w:right w:val="single" w:sz="5" w:space="0" w:color="000000"/>
            </w:tcBorders>
          </w:tcPr>
          <w:p w14:paraId="6E92FA7C"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7A06920"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FEDB0AF"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lang w:val="pl-PL"/>
              </w:rPr>
              <w:t>Skurcze mięśni (w tym zwiększona aktywność kinazy kreatynowej we krwi)</w:t>
            </w:r>
          </w:p>
        </w:tc>
      </w:tr>
      <w:tr w:rsidR="00C27F39" w:rsidRPr="00494296" w14:paraId="0BBEF77A" w14:textId="77777777" w:rsidTr="00ED6A7B">
        <w:tc>
          <w:tcPr>
            <w:tcW w:w="2599" w:type="dxa"/>
            <w:vMerge/>
            <w:tcBorders>
              <w:left w:val="single" w:sz="5" w:space="0" w:color="000000"/>
              <w:right w:val="single" w:sz="5" w:space="0" w:color="000000"/>
            </w:tcBorders>
          </w:tcPr>
          <w:p w14:paraId="092D1513"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18E21EB"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64B7E7B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Rabdomioliza</w:t>
            </w:r>
          </w:p>
          <w:p w14:paraId="7E4081C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toczeń rumieniowaty układowy</w:t>
            </w:r>
          </w:p>
        </w:tc>
      </w:tr>
      <w:tr w:rsidR="00C27F39" w:rsidRPr="00537986" w14:paraId="5B08CC54" w14:textId="77777777" w:rsidTr="00ED6A7B">
        <w:tc>
          <w:tcPr>
            <w:tcW w:w="2599" w:type="dxa"/>
            <w:vMerge/>
            <w:tcBorders>
              <w:left w:val="single" w:sz="5" w:space="0" w:color="000000"/>
              <w:bottom w:val="single" w:sz="5" w:space="0" w:color="000000"/>
              <w:right w:val="single" w:sz="5" w:space="0" w:color="000000"/>
            </w:tcBorders>
          </w:tcPr>
          <w:p w14:paraId="3828AA82"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0B2216F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Rzadko</w:t>
            </w:r>
          </w:p>
        </w:tc>
        <w:tc>
          <w:tcPr>
            <w:tcW w:w="4574" w:type="dxa"/>
            <w:tcBorders>
              <w:top w:val="single" w:sz="5" w:space="0" w:color="000000"/>
              <w:left w:val="single" w:sz="5" w:space="0" w:color="000000"/>
              <w:bottom w:val="single" w:sz="5" w:space="0" w:color="000000"/>
              <w:right w:val="single" w:sz="5" w:space="0" w:color="000000"/>
            </w:tcBorders>
          </w:tcPr>
          <w:p w14:paraId="35D8D8FA"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Zespół toczniopodobny</w:t>
            </w:r>
            <w:r w:rsidRPr="008F328C">
              <w:rPr>
                <w:rFonts w:ascii="Times New Roman" w:eastAsia="Times New Roman" w:hAnsi="Times New Roman" w:cs="Times New Roman"/>
                <w:spacing w:val="-1"/>
                <w:vertAlign w:val="superscript"/>
                <w:lang w:val="pl-PL"/>
              </w:rPr>
              <w:t>1)</w:t>
            </w:r>
          </w:p>
        </w:tc>
      </w:tr>
      <w:tr w:rsidR="00C27F39" w:rsidRPr="00537986" w14:paraId="1BD777D0" w14:textId="77777777" w:rsidTr="00ED6A7B">
        <w:tc>
          <w:tcPr>
            <w:tcW w:w="2599" w:type="dxa"/>
            <w:vMerge w:val="restart"/>
            <w:tcBorders>
              <w:top w:val="single" w:sz="5" w:space="0" w:color="000000"/>
              <w:left w:val="single" w:sz="5" w:space="0" w:color="000000"/>
              <w:right w:val="single" w:sz="5" w:space="0" w:color="000000"/>
            </w:tcBorders>
          </w:tcPr>
          <w:p w14:paraId="7B93A6BA" w14:textId="77777777" w:rsidR="00C27F39" w:rsidRPr="008F328C" w:rsidRDefault="00C27F39" w:rsidP="00ED6A7B">
            <w:pPr>
              <w:pStyle w:val="TableParagraph"/>
              <w:ind w:left="102" w:right="19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nerek i dróg moczowych</w:t>
            </w:r>
          </w:p>
        </w:tc>
        <w:tc>
          <w:tcPr>
            <w:tcW w:w="2076" w:type="dxa"/>
            <w:tcBorders>
              <w:top w:val="single" w:sz="5" w:space="0" w:color="000000"/>
              <w:left w:val="single" w:sz="5" w:space="0" w:color="000000"/>
              <w:bottom w:val="single" w:sz="5" w:space="0" w:color="000000"/>
              <w:right w:val="single" w:sz="5" w:space="0" w:color="000000"/>
            </w:tcBorders>
          </w:tcPr>
          <w:p w14:paraId="6A702335"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B0388FC"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Zaburzenia czynności nerek, </w:t>
            </w:r>
          </w:p>
          <w:p w14:paraId="01AB187F" w14:textId="77777777" w:rsidR="00C27F39" w:rsidRPr="008F328C" w:rsidRDefault="00C27F39" w:rsidP="00ED6A7B">
            <w:pPr>
              <w:pStyle w:val="TableParagraph"/>
              <w:ind w:left="99" w:right="2260"/>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krwiomocz</w:t>
            </w:r>
          </w:p>
        </w:tc>
      </w:tr>
      <w:tr w:rsidR="00C27F39" w:rsidRPr="008F328C" w14:paraId="367DF5F9" w14:textId="77777777" w:rsidTr="00ED6A7B">
        <w:tc>
          <w:tcPr>
            <w:tcW w:w="2599" w:type="dxa"/>
            <w:vMerge/>
            <w:tcBorders>
              <w:left w:val="single" w:sz="5" w:space="0" w:color="000000"/>
              <w:bottom w:val="single" w:sz="5" w:space="0" w:color="000000"/>
              <w:right w:val="single" w:sz="5" w:space="0" w:color="000000"/>
            </w:tcBorders>
          </w:tcPr>
          <w:p w14:paraId="341C1878"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34E37D0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1640295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Oddawanie moczu w nocy</w:t>
            </w:r>
          </w:p>
        </w:tc>
      </w:tr>
      <w:tr w:rsidR="00C27F39" w:rsidRPr="008F328C" w14:paraId="5CE0A655" w14:textId="77777777" w:rsidTr="00ED6A7B">
        <w:tc>
          <w:tcPr>
            <w:tcW w:w="2599" w:type="dxa"/>
            <w:tcBorders>
              <w:top w:val="single" w:sz="5" w:space="0" w:color="000000"/>
              <w:left w:val="single" w:sz="5" w:space="0" w:color="000000"/>
              <w:bottom w:val="single" w:sz="5" w:space="0" w:color="000000"/>
              <w:right w:val="single" w:sz="5" w:space="0" w:color="000000"/>
            </w:tcBorders>
          </w:tcPr>
          <w:p w14:paraId="19521A5D"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układu rozrodczego i piersi</w:t>
            </w:r>
          </w:p>
        </w:tc>
        <w:tc>
          <w:tcPr>
            <w:tcW w:w="2076" w:type="dxa"/>
            <w:tcBorders>
              <w:top w:val="single" w:sz="5" w:space="0" w:color="000000"/>
              <w:left w:val="single" w:sz="5" w:space="0" w:color="000000"/>
              <w:bottom w:val="single" w:sz="5" w:space="0" w:color="000000"/>
              <w:right w:val="single" w:sz="5" w:space="0" w:color="000000"/>
            </w:tcBorders>
          </w:tcPr>
          <w:p w14:paraId="7DCA3181"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50DA2C41"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erekcji</w:t>
            </w:r>
          </w:p>
        </w:tc>
      </w:tr>
      <w:tr w:rsidR="00C27F39" w:rsidRPr="00537986" w14:paraId="6940D57F" w14:textId="77777777" w:rsidTr="00ED6A7B">
        <w:tc>
          <w:tcPr>
            <w:tcW w:w="2599" w:type="dxa"/>
            <w:vMerge w:val="restart"/>
            <w:tcBorders>
              <w:top w:val="single" w:sz="5" w:space="0" w:color="000000"/>
              <w:left w:val="single" w:sz="5" w:space="0" w:color="000000"/>
              <w:right w:val="single" w:sz="5" w:space="0" w:color="000000"/>
            </w:tcBorders>
          </w:tcPr>
          <w:p w14:paraId="3159FA39"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ogólne i</w:t>
            </w:r>
          </w:p>
          <w:p w14:paraId="63E1336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i stany w miejscu</w:t>
            </w:r>
          </w:p>
          <w:p w14:paraId="517DAFF6"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podania*</w:t>
            </w:r>
          </w:p>
        </w:tc>
        <w:tc>
          <w:tcPr>
            <w:tcW w:w="2076" w:type="dxa"/>
            <w:tcBorders>
              <w:top w:val="single" w:sz="5" w:space="0" w:color="000000"/>
              <w:left w:val="single" w:sz="5" w:space="0" w:color="000000"/>
              <w:right w:val="single" w:sz="5" w:space="0" w:color="000000"/>
            </w:tcBorders>
          </w:tcPr>
          <w:p w14:paraId="5DD45D63"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Bardzo często</w:t>
            </w:r>
          </w:p>
        </w:tc>
        <w:tc>
          <w:tcPr>
            <w:tcW w:w="4574" w:type="dxa"/>
            <w:tcBorders>
              <w:top w:val="single" w:sz="5" w:space="0" w:color="000000"/>
              <w:left w:val="single" w:sz="5" w:space="0" w:color="000000"/>
              <w:right w:val="single" w:sz="5" w:space="0" w:color="000000"/>
            </w:tcBorders>
          </w:tcPr>
          <w:p w14:paraId="370F83D2"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Odczyn w miejscu wstrzyknięcia (w tym rumień w miejscu</w:t>
            </w:r>
            <w:r w:rsidRPr="008F328C">
              <w:rPr>
                <w:rFonts w:ascii="Times New Roman" w:eastAsia="Times New Roman" w:hAnsi="Times New Roman" w:cs="Times New Roman"/>
                <w:spacing w:val="-1"/>
                <w:lang w:val="pl-PL"/>
              </w:rPr>
              <w:t xml:space="preserve"> wstrzyknięcia)</w:t>
            </w:r>
          </w:p>
        </w:tc>
      </w:tr>
      <w:tr w:rsidR="00C27F39" w:rsidRPr="00494296" w14:paraId="24B3F51C" w14:textId="77777777" w:rsidTr="00ED6A7B">
        <w:tc>
          <w:tcPr>
            <w:tcW w:w="2599" w:type="dxa"/>
            <w:vMerge/>
            <w:tcBorders>
              <w:left w:val="single" w:sz="5" w:space="0" w:color="000000"/>
              <w:right w:val="single" w:sz="5" w:space="0" w:color="000000"/>
            </w:tcBorders>
          </w:tcPr>
          <w:p w14:paraId="774B4A8A"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1E77956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6CAC7C31"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Bóle w klatce piersiowej,</w:t>
            </w:r>
          </w:p>
          <w:p w14:paraId="30255ED6" w14:textId="77777777" w:rsidR="00C27F39" w:rsidRPr="008F328C" w:rsidRDefault="00C27F39" w:rsidP="00ED6A7B">
            <w:pPr>
              <w:pStyle w:val="TableParagraph"/>
              <w:ind w:left="99" w:right="29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obrzęki,gorączka</w:t>
            </w:r>
            <w:r w:rsidRPr="008F328C">
              <w:rPr>
                <w:rFonts w:ascii="Times New Roman" w:eastAsia="Times New Roman" w:hAnsi="Times New Roman" w:cs="Times New Roman"/>
                <w:spacing w:val="-1"/>
                <w:vertAlign w:val="superscript"/>
                <w:lang w:val="pl-PL"/>
              </w:rPr>
              <w:t>1)</w:t>
            </w:r>
          </w:p>
        </w:tc>
      </w:tr>
      <w:tr w:rsidR="00C27F39" w:rsidRPr="008F328C" w14:paraId="28C9EC20" w14:textId="77777777" w:rsidTr="00ED6A7B">
        <w:tc>
          <w:tcPr>
            <w:tcW w:w="2599" w:type="dxa"/>
            <w:vMerge/>
            <w:tcBorders>
              <w:left w:val="single" w:sz="5" w:space="0" w:color="000000"/>
              <w:bottom w:val="single" w:sz="5" w:space="0" w:color="000000"/>
              <w:right w:val="single" w:sz="5" w:space="0" w:color="000000"/>
            </w:tcBorders>
          </w:tcPr>
          <w:p w14:paraId="26CF03F2" w14:textId="77777777" w:rsidR="00C27F39" w:rsidRPr="008F328C" w:rsidRDefault="00C27F39" w:rsidP="00ED6A7B">
            <w:pPr>
              <w:rPr>
                <w:rFonts w:ascii="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6ED72D68"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Niezbyt często</w:t>
            </w:r>
          </w:p>
        </w:tc>
        <w:tc>
          <w:tcPr>
            <w:tcW w:w="4574" w:type="dxa"/>
            <w:tcBorders>
              <w:top w:val="single" w:sz="5" w:space="0" w:color="000000"/>
              <w:left w:val="single" w:sz="5" w:space="0" w:color="000000"/>
              <w:bottom w:val="single" w:sz="5" w:space="0" w:color="000000"/>
              <w:right w:val="single" w:sz="5" w:space="0" w:color="000000"/>
            </w:tcBorders>
          </w:tcPr>
          <w:p w14:paraId="4FF5EE75"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Zapalenie</w:t>
            </w:r>
          </w:p>
        </w:tc>
      </w:tr>
      <w:tr w:rsidR="00C27F39" w:rsidRPr="00537986" w14:paraId="28722811" w14:textId="77777777" w:rsidTr="00ED6A7B">
        <w:tc>
          <w:tcPr>
            <w:tcW w:w="2599" w:type="dxa"/>
            <w:vMerge w:val="restart"/>
            <w:tcBorders>
              <w:top w:val="single" w:sz="5" w:space="0" w:color="000000"/>
              <w:left w:val="single" w:sz="5" w:space="0" w:color="000000"/>
              <w:right w:val="single" w:sz="5" w:space="0" w:color="000000"/>
            </w:tcBorders>
          </w:tcPr>
          <w:p w14:paraId="6574577F"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Badania diagnostyczne*</w:t>
            </w:r>
          </w:p>
          <w:p w14:paraId="3B4D951A" w14:textId="77777777" w:rsidR="00C27F39" w:rsidRPr="008F328C" w:rsidRDefault="00C27F39" w:rsidP="00ED6A7B">
            <w:pPr>
              <w:pStyle w:val="TableParagraph"/>
              <w:ind w:left="102"/>
              <w:rPr>
                <w:rFonts w:ascii="Times New Roman" w:eastAsia="Times New Roman" w:hAnsi="Times New Roman" w:cs="Times New Roman"/>
                <w:lang w:val="pl-PL"/>
              </w:rPr>
            </w:pPr>
          </w:p>
        </w:tc>
        <w:tc>
          <w:tcPr>
            <w:tcW w:w="2076" w:type="dxa"/>
            <w:tcBorders>
              <w:top w:val="single" w:sz="5" w:space="0" w:color="000000"/>
              <w:left w:val="single" w:sz="5" w:space="0" w:color="000000"/>
              <w:bottom w:val="single" w:sz="5" w:space="0" w:color="000000"/>
              <w:right w:val="single" w:sz="5" w:space="0" w:color="000000"/>
            </w:tcBorders>
          </w:tcPr>
          <w:p w14:paraId="2A5DEADA"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574" w:type="dxa"/>
            <w:tcBorders>
              <w:top w:val="single" w:sz="5" w:space="0" w:color="000000"/>
              <w:left w:val="single" w:sz="5" w:space="0" w:color="000000"/>
              <w:bottom w:val="single" w:sz="5" w:space="0" w:color="000000"/>
              <w:right w:val="single" w:sz="5" w:space="0" w:color="000000"/>
            </w:tcBorders>
          </w:tcPr>
          <w:p w14:paraId="70076FF4"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Zaburzenia krzepnięcia krwi i krwawienia (w tym wydłużenie czasu częściowej tromboplastyny po aktywacji),</w:t>
            </w:r>
          </w:p>
          <w:p w14:paraId="685EDDC6"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dodatni test w kierunku autoprzeciwciał (w tym </w:t>
            </w:r>
            <w:r w:rsidRPr="008F328C">
              <w:rPr>
                <w:rFonts w:ascii="Times New Roman" w:eastAsia="Times New Roman" w:hAnsi="Times New Roman" w:cs="Times New Roman"/>
                <w:spacing w:val="-1"/>
                <w:lang w:val="pl-PL"/>
              </w:rPr>
              <w:lastRenderedPageBreak/>
              <w:t>przeciwciał przeciw dwuniciowemu DNA),</w:t>
            </w:r>
          </w:p>
          <w:p w14:paraId="1A6ED1C5"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zwiększenie aktywności dehydrogenazy mleczanowej we krwi</w:t>
            </w:r>
          </w:p>
        </w:tc>
      </w:tr>
      <w:tr w:rsidR="00C27F39" w:rsidRPr="008F328C" w14:paraId="14AA81A5" w14:textId="77777777" w:rsidTr="00ED6A7B">
        <w:tc>
          <w:tcPr>
            <w:tcW w:w="2599" w:type="dxa"/>
            <w:vMerge/>
            <w:tcBorders>
              <w:left w:val="single" w:sz="5" w:space="0" w:color="000000"/>
              <w:bottom w:val="single" w:sz="5" w:space="0" w:color="000000"/>
              <w:right w:val="single" w:sz="5" w:space="0" w:color="000000"/>
            </w:tcBorders>
          </w:tcPr>
          <w:p w14:paraId="3E77E22D" w14:textId="77777777" w:rsidR="00C27F39" w:rsidRPr="008F328C" w:rsidRDefault="00C27F39" w:rsidP="00ED6A7B">
            <w:pPr>
              <w:pStyle w:val="TableParagraph"/>
              <w:ind w:left="102"/>
              <w:rPr>
                <w:rFonts w:ascii="Times New Roman" w:eastAsia="Times New Roman" w:hAnsi="Times New Roman" w:cs="Times New Roman"/>
                <w:spacing w:val="-4"/>
                <w:lang w:val="pl-PL"/>
              </w:rPr>
            </w:pPr>
          </w:p>
        </w:tc>
        <w:tc>
          <w:tcPr>
            <w:tcW w:w="2076" w:type="dxa"/>
            <w:tcBorders>
              <w:top w:val="single" w:sz="5" w:space="0" w:color="000000"/>
              <w:left w:val="single" w:sz="5" w:space="0" w:color="000000"/>
              <w:bottom w:val="single" w:sz="5" w:space="0" w:color="000000"/>
              <w:right w:val="single" w:sz="5" w:space="0" w:color="000000"/>
            </w:tcBorders>
          </w:tcPr>
          <w:p w14:paraId="182CB590" w14:textId="77777777" w:rsidR="00C27F39" w:rsidRPr="008F328C" w:rsidRDefault="00C27F39" w:rsidP="00ED6A7B">
            <w:pPr>
              <w:pStyle w:val="TableParagraph"/>
              <w:ind w:left="102"/>
              <w:rPr>
                <w:rFonts w:ascii="Times New Roman" w:eastAsia="Times New Roman" w:hAnsi="Times New Roman" w:cs="Times New Roman"/>
                <w:spacing w:val="-2"/>
                <w:lang w:val="pl-PL"/>
              </w:rPr>
            </w:pPr>
            <w:r w:rsidRPr="008F328C">
              <w:rPr>
                <w:rFonts w:ascii="Times New Roman" w:eastAsia="Times New Roman" w:hAnsi="Times New Roman" w:cs="Times New Roman"/>
                <w:spacing w:val="-1"/>
                <w:lang w:val="pl-PL"/>
              </w:rPr>
              <w:t>Częstość nieznana</w:t>
            </w:r>
          </w:p>
        </w:tc>
        <w:tc>
          <w:tcPr>
            <w:tcW w:w="4695" w:type="dxa"/>
            <w:tcBorders>
              <w:top w:val="single" w:sz="5" w:space="0" w:color="000000"/>
              <w:left w:val="single" w:sz="5" w:space="0" w:color="000000"/>
              <w:bottom w:val="single" w:sz="5" w:space="0" w:color="000000"/>
              <w:right w:val="single" w:sz="5" w:space="0" w:color="000000"/>
            </w:tcBorders>
          </w:tcPr>
          <w:p w14:paraId="063E074B" w14:textId="77777777" w:rsidR="00C27F39" w:rsidRPr="008F328C" w:rsidRDefault="00C27F39" w:rsidP="00ED6A7B">
            <w:pPr>
              <w:pStyle w:val="TableParagraph"/>
              <w:ind w:left="99"/>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Zwiększenie masy ciała</w:t>
            </w:r>
            <w:r w:rsidRPr="008F328C">
              <w:rPr>
                <w:rFonts w:ascii="Times New Roman" w:eastAsia="Times New Roman" w:hAnsi="Times New Roman" w:cs="Times New Roman"/>
                <w:spacing w:val="-1"/>
                <w:vertAlign w:val="superscript"/>
                <w:lang w:val="pl-PL"/>
              </w:rPr>
              <w:t>2)</w:t>
            </w:r>
          </w:p>
        </w:tc>
      </w:tr>
      <w:tr w:rsidR="00C27F39" w:rsidRPr="008F328C" w14:paraId="4E8D35E2" w14:textId="77777777" w:rsidTr="00ED6A7B">
        <w:tc>
          <w:tcPr>
            <w:tcW w:w="2599" w:type="dxa"/>
            <w:tcBorders>
              <w:top w:val="single" w:sz="5" w:space="0" w:color="000000"/>
              <w:left w:val="single" w:sz="5" w:space="0" w:color="000000"/>
              <w:bottom w:val="single" w:sz="5" w:space="0" w:color="000000"/>
              <w:right w:val="single" w:sz="5" w:space="0" w:color="000000"/>
            </w:tcBorders>
          </w:tcPr>
          <w:p w14:paraId="6C3C4FA9"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Urazy, zatrucia i powikłania po zabiegach</w:t>
            </w:r>
          </w:p>
        </w:tc>
        <w:tc>
          <w:tcPr>
            <w:tcW w:w="2076" w:type="dxa"/>
            <w:tcBorders>
              <w:top w:val="single" w:sz="5" w:space="0" w:color="000000"/>
              <w:left w:val="single" w:sz="5" w:space="0" w:color="000000"/>
              <w:bottom w:val="single" w:sz="5" w:space="0" w:color="000000"/>
              <w:right w:val="single" w:sz="5" w:space="0" w:color="000000"/>
            </w:tcBorders>
          </w:tcPr>
          <w:p w14:paraId="60C8F37D" w14:textId="77777777" w:rsidR="00C27F39" w:rsidRPr="008F328C" w:rsidRDefault="00C27F39" w:rsidP="00ED6A7B">
            <w:pPr>
              <w:pStyle w:val="TableParagraph"/>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Często</w:t>
            </w:r>
          </w:p>
        </w:tc>
        <w:tc>
          <w:tcPr>
            <w:tcW w:w="4695" w:type="dxa"/>
            <w:tcBorders>
              <w:top w:val="single" w:sz="5" w:space="0" w:color="000000"/>
              <w:left w:val="single" w:sz="5" w:space="0" w:color="000000"/>
              <w:bottom w:val="single" w:sz="5" w:space="0" w:color="000000"/>
              <w:right w:val="single" w:sz="5" w:space="0" w:color="000000"/>
            </w:tcBorders>
          </w:tcPr>
          <w:p w14:paraId="1831EE3C" w14:textId="77777777" w:rsidR="00C27F39" w:rsidRPr="008F328C" w:rsidRDefault="00C27F39" w:rsidP="00ED6A7B">
            <w:pPr>
              <w:pStyle w:val="TableParagraph"/>
              <w:ind w:left="99"/>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Zaburzenia gojenia</w:t>
            </w:r>
          </w:p>
        </w:tc>
      </w:tr>
    </w:tbl>
    <w:p w14:paraId="1A5900E3" w14:textId="77777777" w:rsidR="00C27F39" w:rsidRPr="008F328C" w:rsidRDefault="00C27F39" w:rsidP="00C27F39">
      <w:pPr>
        <w:spacing w:before="1" w:line="150" w:lineRule="exact"/>
        <w:rPr>
          <w:rFonts w:ascii="Times New Roman" w:hAnsi="Times New Roman" w:cs="Times New Roman"/>
          <w:sz w:val="15"/>
          <w:szCs w:val="15"/>
          <w:lang w:val="pl-PL"/>
        </w:rPr>
      </w:pPr>
    </w:p>
    <w:p w14:paraId="6383B983" w14:textId="77777777" w:rsidR="00C27F39" w:rsidRPr="008F328C" w:rsidRDefault="00C27F39" w:rsidP="00C27F39">
      <w:pPr>
        <w:pStyle w:val="a3"/>
        <w:numPr>
          <w:ilvl w:val="0"/>
          <w:numId w:val="0"/>
        </w:numPr>
        <w:rPr>
          <w:lang w:val="pl-PL"/>
        </w:rPr>
      </w:pPr>
      <w:r w:rsidRPr="008F328C">
        <w:rPr>
          <w:rFonts w:eastAsia="Times New Roman"/>
          <w:lang w:val="pl-PL"/>
        </w:rPr>
        <w:t>* dodatkowe informacje znaleźć można w punktach 4.3, 4.4 i 4.8</w:t>
      </w:r>
    </w:p>
    <w:p w14:paraId="4F70C782" w14:textId="77777777" w:rsidR="00C27F39" w:rsidRPr="008F328C" w:rsidRDefault="00C27F39" w:rsidP="00C27F39">
      <w:pPr>
        <w:pStyle w:val="a3"/>
        <w:rPr>
          <w:lang w:val="pl-PL"/>
        </w:rPr>
      </w:pPr>
      <w:r w:rsidRPr="008F328C">
        <w:rPr>
          <w:rFonts w:eastAsia="Times New Roman"/>
          <w:lang w:val="pl-PL"/>
        </w:rPr>
        <w:t>** w tym badania kontynuacyjne metodą otwartej próby</w:t>
      </w:r>
    </w:p>
    <w:p w14:paraId="34A295CD" w14:textId="77777777" w:rsidR="00C27F39" w:rsidRPr="008F328C" w:rsidRDefault="00C27F39" w:rsidP="00C27F39">
      <w:pPr>
        <w:pStyle w:val="a3"/>
        <w:rPr>
          <w:rFonts w:eastAsia="Times New Roman"/>
          <w:position w:val="8"/>
          <w:lang w:val="pl-PL"/>
        </w:rPr>
      </w:pPr>
      <w:r w:rsidRPr="008F328C">
        <w:rPr>
          <w:rFonts w:eastAsia="Times New Roman"/>
          <w:position w:val="8"/>
          <w:sz w:val="14"/>
          <w:szCs w:val="14"/>
          <w:lang w:val="pl-PL"/>
        </w:rPr>
        <w:t xml:space="preserve">1) </w:t>
      </w:r>
      <w:r w:rsidRPr="008F328C">
        <w:rPr>
          <w:rFonts w:eastAsia="Times New Roman"/>
          <w:position w:val="8"/>
          <w:lang w:val="pl-PL"/>
        </w:rPr>
        <w:t>w tym dane ze zgłoszeń spontanicznych</w:t>
      </w:r>
    </w:p>
    <w:p w14:paraId="5C59AF90" w14:textId="77777777" w:rsidR="00C27F39" w:rsidRPr="008F328C" w:rsidRDefault="00C27F39" w:rsidP="00C27F39">
      <w:pPr>
        <w:pStyle w:val="a3"/>
        <w:ind w:left="176" w:hangingChars="80" w:hanging="176"/>
        <w:rPr>
          <w:lang w:val="pl-PL"/>
        </w:rPr>
      </w:pPr>
      <w:r w:rsidRPr="008F328C">
        <w:rPr>
          <w:vertAlign w:val="superscript"/>
          <w:lang w:val="pl-PL"/>
        </w:rPr>
        <w:t>2)</w:t>
      </w:r>
      <w:r w:rsidRPr="008F328C">
        <w:rPr>
          <w:lang w:val="pl-PL"/>
        </w:rPr>
        <w:t xml:space="preserve"> W okresie leczenia trwającego 4–6 miesięcy w przypadku adalimumabu średnia zmiana masy ciała względem wartości początkowej wynosiła 0,3–1,0 kg we wskazaniach do stosowania u osób dorosłych, a w przypadku placebo (minus) -0,4–0,4 kg. W długotrwałych badaniach przedłużonych ze średnim czasem narażenia wynoszącym około 1–2 lat i bez grupy kontrolnej, obserwowano też zwiększenie masy ciała o 5–6 kg, zwłaszcza u pacjentów z chorobą Leśniowskiego-Crohna oraz z wrzodziejącym zapaleniem jelita grubego. Mechanizm warunkujący to działanie nie jest w pełni wyjaśniony, ale może mieć związek z przeciwzapalnym działaniem adalimumabu.</w:t>
      </w:r>
    </w:p>
    <w:p w14:paraId="77B11C33" w14:textId="77777777" w:rsidR="00C27F39" w:rsidRPr="008F328C" w:rsidRDefault="00C27F39" w:rsidP="00C27F39">
      <w:pPr>
        <w:spacing w:before="13" w:line="240" w:lineRule="exact"/>
        <w:rPr>
          <w:rFonts w:ascii="Times New Roman" w:hAnsi="Times New Roman" w:cs="Times New Roman"/>
          <w:sz w:val="24"/>
          <w:szCs w:val="24"/>
          <w:lang w:val="pl-PL"/>
        </w:rPr>
      </w:pPr>
    </w:p>
    <w:p w14:paraId="74155389" w14:textId="77777777" w:rsidR="00C27F39" w:rsidRPr="008F328C" w:rsidRDefault="00C27F39" w:rsidP="00C27F39">
      <w:pPr>
        <w:pStyle w:val="a3"/>
        <w:rPr>
          <w:u w:val="single"/>
          <w:lang w:val="pl-PL"/>
        </w:rPr>
      </w:pPr>
      <w:r w:rsidRPr="008F328C">
        <w:rPr>
          <w:rFonts w:eastAsia="Times New Roman"/>
          <w:u w:val="single" w:color="000000"/>
          <w:lang w:val="pl-PL"/>
        </w:rPr>
        <w:t>Zapalenie błony naczyniowej oka</w:t>
      </w:r>
    </w:p>
    <w:p w14:paraId="7132A42E" w14:textId="77777777" w:rsidR="00C27F39" w:rsidRPr="008F328C" w:rsidRDefault="00C27F39" w:rsidP="00C27F39">
      <w:pPr>
        <w:spacing w:before="1" w:line="180" w:lineRule="exact"/>
        <w:rPr>
          <w:rFonts w:ascii="Times New Roman" w:hAnsi="Times New Roman" w:cs="Times New Roman"/>
          <w:sz w:val="18"/>
          <w:szCs w:val="18"/>
          <w:lang w:val="pl-PL"/>
        </w:rPr>
      </w:pPr>
    </w:p>
    <w:p w14:paraId="3ED16AD4" w14:textId="77777777" w:rsidR="00C27F39" w:rsidRPr="008F328C" w:rsidRDefault="00C27F39" w:rsidP="00C27F39">
      <w:pPr>
        <w:pStyle w:val="a3"/>
        <w:rPr>
          <w:lang w:val="pl-PL"/>
        </w:rPr>
      </w:pPr>
      <w:r w:rsidRPr="008F328C">
        <w:rPr>
          <w:rFonts w:eastAsia="Times New Roman"/>
          <w:lang w:val="pl-PL"/>
        </w:rPr>
        <w:t>U pacjentów z zapaleniem błony naczyniowej oka leczonych adalimumabem co drugi tydzień profil bezpieczeństwa był zgodny ze znanym profilem bezpieczeństwa adalimumabu.</w:t>
      </w:r>
    </w:p>
    <w:p w14:paraId="02FC1312" w14:textId="77777777" w:rsidR="00C27F39" w:rsidRPr="008F328C" w:rsidRDefault="00C27F39" w:rsidP="00C27F39">
      <w:pPr>
        <w:spacing w:before="11" w:line="240" w:lineRule="exact"/>
        <w:rPr>
          <w:rFonts w:ascii="Times New Roman" w:hAnsi="Times New Roman" w:cs="Times New Roman"/>
          <w:sz w:val="24"/>
          <w:szCs w:val="24"/>
          <w:lang w:val="pl-PL"/>
        </w:rPr>
      </w:pPr>
    </w:p>
    <w:p w14:paraId="1B745B07" w14:textId="77777777" w:rsidR="00C27F39" w:rsidRPr="008F328C" w:rsidRDefault="00C27F39" w:rsidP="00C27F39">
      <w:pPr>
        <w:pStyle w:val="a3"/>
        <w:rPr>
          <w:lang w:val="pl-PL"/>
        </w:rPr>
      </w:pPr>
      <w:r w:rsidRPr="008F328C">
        <w:rPr>
          <w:rFonts w:eastAsia="Times New Roman"/>
          <w:u w:color="000000"/>
          <w:lang w:val="pl-PL"/>
        </w:rPr>
        <w:t>Opis wybranych działań niepożądanych</w:t>
      </w:r>
    </w:p>
    <w:p w14:paraId="59D4EBF1" w14:textId="77777777" w:rsidR="00C27F39" w:rsidRPr="008F328C" w:rsidRDefault="00C27F39" w:rsidP="00C27F39">
      <w:pPr>
        <w:pStyle w:val="a3"/>
        <w:rPr>
          <w:sz w:val="18"/>
          <w:szCs w:val="18"/>
          <w:lang w:val="pl-PL"/>
        </w:rPr>
      </w:pPr>
    </w:p>
    <w:p w14:paraId="586C6992" w14:textId="77777777" w:rsidR="00C27F39" w:rsidRPr="008F328C" w:rsidRDefault="00C27F39" w:rsidP="00C27F39">
      <w:pPr>
        <w:pStyle w:val="a3"/>
        <w:rPr>
          <w:rFonts w:eastAsia="Times New Roman"/>
          <w:lang w:val="pl-PL"/>
        </w:rPr>
      </w:pPr>
      <w:r w:rsidRPr="008F328C">
        <w:rPr>
          <w:rFonts w:eastAsia="Times New Roman"/>
          <w:i/>
          <w:iCs/>
          <w:spacing w:val="-1"/>
          <w:lang w:val="pl-PL"/>
        </w:rPr>
        <w:t>Odczyny w miejscu wstrzyknięcia</w:t>
      </w:r>
    </w:p>
    <w:p w14:paraId="521AEAE4" w14:textId="77777777" w:rsidR="00C27F39" w:rsidRPr="008F328C" w:rsidRDefault="00C27F39" w:rsidP="00C27F39">
      <w:pPr>
        <w:pStyle w:val="a3"/>
        <w:rPr>
          <w:sz w:val="24"/>
          <w:szCs w:val="24"/>
          <w:lang w:val="pl-PL"/>
        </w:rPr>
      </w:pPr>
    </w:p>
    <w:p w14:paraId="6DB21966" w14:textId="77777777" w:rsidR="00C27F39" w:rsidRPr="008F328C" w:rsidRDefault="00C27F39" w:rsidP="00C27F39">
      <w:pPr>
        <w:pStyle w:val="a3"/>
        <w:rPr>
          <w:lang w:val="pl-PL"/>
        </w:rPr>
      </w:pPr>
      <w:r w:rsidRPr="008F328C">
        <w:rPr>
          <w:rFonts w:eastAsia="Times New Roman"/>
          <w:lang w:val="pl-PL"/>
        </w:rPr>
        <w:t>W głównych kontrolowanych badaniach klinicznych u dorosłych i dzieci, u 12,9% pacjentów leczonych adalimumabem wystąpiły odczyny w miejscu wstrzyknięcia [rumień i (lub) świąd, krwotok, ból lub obrzęk] w porównaniu do 7,2% pacjentów otrzymujących placebo lub czynną substancję porównawczą. Na ogół odczyny w miejscu wstrzyknięcia nie wymagały zaprzestania stosowania produktu leczniczego.</w:t>
      </w:r>
    </w:p>
    <w:p w14:paraId="64853F76" w14:textId="77777777" w:rsidR="00C27F39" w:rsidRPr="008F328C" w:rsidRDefault="00C27F39" w:rsidP="00C27F39">
      <w:pPr>
        <w:pStyle w:val="a3"/>
        <w:rPr>
          <w:lang w:val="pl-PL"/>
        </w:rPr>
      </w:pPr>
    </w:p>
    <w:p w14:paraId="66E070CD" w14:textId="77777777" w:rsidR="00C27F39" w:rsidRPr="008F328C" w:rsidRDefault="00C27F39" w:rsidP="00C27F39">
      <w:pPr>
        <w:pStyle w:val="a3"/>
        <w:rPr>
          <w:rFonts w:eastAsia="Times New Roman"/>
          <w:lang w:val="pl-PL"/>
        </w:rPr>
      </w:pPr>
      <w:r w:rsidRPr="008F328C">
        <w:rPr>
          <w:rFonts w:eastAsia="Times New Roman"/>
          <w:i/>
          <w:iCs/>
          <w:spacing w:val="-1"/>
          <w:lang w:val="pl-PL"/>
        </w:rPr>
        <w:t>Zakażenia</w:t>
      </w:r>
    </w:p>
    <w:p w14:paraId="4B5447A2" w14:textId="77777777" w:rsidR="00C27F39" w:rsidRPr="008F328C" w:rsidRDefault="00C27F39" w:rsidP="00C27F39">
      <w:pPr>
        <w:pStyle w:val="a3"/>
        <w:rPr>
          <w:lang w:val="pl-PL"/>
        </w:rPr>
      </w:pPr>
    </w:p>
    <w:p w14:paraId="7B4CDF8D" w14:textId="77777777" w:rsidR="00C27F39" w:rsidRPr="008F328C" w:rsidRDefault="00C27F39" w:rsidP="00C27F39">
      <w:pPr>
        <w:pStyle w:val="a3"/>
        <w:rPr>
          <w:lang w:val="pl-PL"/>
        </w:rPr>
      </w:pPr>
      <w:r w:rsidRPr="008F328C">
        <w:rPr>
          <w:rFonts w:eastAsia="Times New Roman"/>
          <w:lang w:val="pl-PL"/>
        </w:rPr>
        <w:t>W głównych kontrolowanych badaniach klinicznych u dorosłych i dzieci, współczynnik zakażeń wynosił 1,51 na pacjentorok u pacjentów leczonych adalimumabem oraz 1,46 na pacjentorok u pacjentów otrzymujących placebo lub czynną substancję porównawczą. Były to przede wszystkim zapalenie części nosowej gardła, zakażenie górnych dróg oddechowych i zapalenie zatok. Większość pacjentów kontynuowała stosowanie produktu adalimumabem po ustąpieniu zakażenia.</w:t>
      </w:r>
    </w:p>
    <w:p w14:paraId="4F290BEC" w14:textId="77777777" w:rsidR="00C27F39" w:rsidRPr="008F328C" w:rsidRDefault="00C27F39" w:rsidP="00C27F39">
      <w:pPr>
        <w:pStyle w:val="a3"/>
        <w:rPr>
          <w:lang w:val="pl-PL"/>
        </w:rPr>
      </w:pPr>
    </w:p>
    <w:p w14:paraId="74BB458E" w14:textId="77777777" w:rsidR="00C27F39" w:rsidRPr="008F328C" w:rsidRDefault="00C27F39" w:rsidP="00C27F39">
      <w:pPr>
        <w:pStyle w:val="a3"/>
        <w:rPr>
          <w:lang w:val="pl-PL"/>
        </w:rPr>
      </w:pPr>
      <w:r w:rsidRPr="008F328C">
        <w:rPr>
          <w:rFonts w:eastAsia="Times New Roman"/>
          <w:lang w:val="pl-PL"/>
        </w:rPr>
        <w:t>Częstość występowania ciężkich zakażeń wynosiła 0,04 na pacjentorok u pacjentów leczonych adalimumabem i 0,03 na pacjentorok u pacjentów otrzymujących placebo lub czynną substancję porównawczą.</w:t>
      </w:r>
    </w:p>
    <w:p w14:paraId="4F685D35" w14:textId="77777777" w:rsidR="00C27F39" w:rsidRPr="008F328C" w:rsidRDefault="00C27F39" w:rsidP="00C27F39">
      <w:pPr>
        <w:pStyle w:val="a3"/>
        <w:rPr>
          <w:lang w:val="pl-PL"/>
        </w:rPr>
      </w:pPr>
    </w:p>
    <w:p w14:paraId="71CCA792" w14:textId="77777777" w:rsidR="00C27F39" w:rsidRPr="008F328C" w:rsidRDefault="00C27F39" w:rsidP="00C27F39">
      <w:pPr>
        <w:pStyle w:val="a3"/>
        <w:rPr>
          <w:lang w:val="pl-PL"/>
        </w:rPr>
      </w:pPr>
      <w:r w:rsidRPr="008F328C">
        <w:rPr>
          <w:rFonts w:eastAsia="Times New Roman"/>
          <w:lang w:val="pl-PL"/>
        </w:rPr>
        <w:t>W kontrolowanych i otwartych badaniach klinicznych adalimumabu u dorosłych i dzieci, zgłaszano ciężkie zakażenia (w tym zakażenia prowadzące do zgonu, które występowały rzadko) łącznie z doniesieniami o gruźlicy (w tym gruźlicy prosówkowej i pozapłucnej) oraz o inwazyjnych zakażeniach oportunistycznych (np. rozsiana lub pozapłucna histoplazmoza, blastomykoza, kokcydioidomykoza, pneumocystoza, kandydoza, aspergiloza i listerioza). Większość przypadków gruźlicy pojawiło się podczas pierwszych ośmiu miesięcy leczenia i może być wyrazem uaktywnienia się utajonego procesu chorobowego.</w:t>
      </w:r>
    </w:p>
    <w:p w14:paraId="53458CC4" w14:textId="77777777" w:rsidR="00C27F39" w:rsidRPr="008F328C" w:rsidRDefault="00C27F39" w:rsidP="00C27F39">
      <w:pPr>
        <w:pStyle w:val="a3"/>
        <w:rPr>
          <w:lang w:val="pl-PL"/>
        </w:rPr>
      </w:pPr>
    </w:p>
    <w:p w14:paraId="2E361771" w14:textId="77777777" w:rsidR="00C27F39" w:rsidRPr="008F328C" w:rsidRDefault="00C27F39" w:rsidP="00C27F39">
      <w:pPr>
        <w:pStyle w:val="a3"/>
        <w:rPr>
          <w:rFonts w:eastAsia="Times New Roman"/>
          <w:lang w:val="pl-PL"/>
        </w:rPr>
      </w:pPr>
      <w:r w:rsidRPr="008F328C">
        <w:rPr>
          <w:rFonts w:eastAsia="Times New Roman"/>
          <w:i/>
          <w:iCs/>
          <w:spacing w:val="-1"/>
          <w:lang w:val="pl-PL"/>
        </w:rPr>
        <w:t>Nowotwory złośliwe i zaburzenia limfoproliferacyjne</w:t>
      </w:r>
    </w:p>
    <w:p w14:paraId="6C2E1487" w14:textId="77777777" w:rsidR="00C27F39" w:rsidRPr="008F328C" w:rsidRDefault="00C27F39" w:rsidP="00C27F39">
      <w:pPr>
        <w:pStyle w:val="a3"/>
        <w:rPr>
          <w:lang w:val="pl-PL"/>
        </w:rPr>
      </w:pPr>
    </w:p>
    <w:p w14:paraId="3ED66E03" w14:textId="57B1F7F8" w:rsidR="00C27F39" w:rsidRPr="008F328C" w:rsidRDefault="00C27F39" w:rsidP="00C27F39">
      <w:pPr>
        <w:pStyle w:val="a3"/>
        <w:rPr>
          <w:lang w:val="pl-PL"/>
        </w:rPr>
      </w:pPr>
      <w:r w:rsidRPr="008F328C">
        <w:rPr>
          <w:rFonts w:eastAsia="Times New Roman"/>
          <w:lang w:val="pl-PL"/>
        </w:rPr>
        <w:lastRenderedPageBreak/>
        <w:t>Nie zaobserwowano nowotworów złośliwych u 249 pacjentów pediatrycznych podczas badań klinicznych adalimumabu u pacjentów z młodzieńczym idiopatycznym zapaleniem stawów (wielostawowym młodzieńczym idiopatycznym zapaleniem stawów i zapaleniem stawów z towarzyszącym zapaleniem przyczepów ścięgnistych), gdzie ekspozycja wynosiła 655,6 pacjentolat. Ponadto, nie zaobserwowano nowotworów złośliwych u 192 pacjentów podczas badań klinicznych adalimumabu u dzieci i młodzieży z chorobą Leśniowskiego-Crohna, gdzie narażenie wynosiło 498,1 pacjentolat. W badaniu klinicznym adalimumabu u dzieci i młodzieży z przewlekłą łuszczycą zwyczajną (plackowatą) nie zaobserwowano nowotworów złośliwych u 77 pacjentów przy ekspozycji wynoszącej 80,0 pacjen</w:t>
      </w:r>
      <w:r w:rsidR="00ED196E" w:rsidRPr="008F328C">
        <w:rPr>
          <w:rFonts w:eastAsia="Times New Roman"/>
          <w:lang w:val="pl-PL"/>
        </w:rPr>
        <w:t>tolat</w:t>
      </w:r>
      <w:r w:rsidRPr="008F328C">
        <w:rPr>
          <w:rFonts w:eastAsia="Calibri"/>
          <w:lang w:val="pl-PL"/>
        </w:rPr>
        <w:t xml:space="preserve">. </w:t>
      </w:r>
      <w:r w:rsidRPr="008F328C">
        <w:rPr>
          <w:rFonts w:eastAsia="Times New Roman"/>
          <w:lang w:val="pl-PL"/>
        </w:rPr>
        <w:t>Nie zaobserwowano nowotworów złośliwych u 60 pacjentów pediatrycznych podczas badania klinicznego adalimumabu u pacjentów pediatrycznych z zapaleniem błony naczyniowej oka, gdzie ekspozycja wynosiła 58,4 pacjentolat.</w:t>
      </w:r>
    </w:p>
    <w:p w14:paraId="43474361" w14:textId="77777777" w:rsidR="00C27F39" w:rsidRPr="008F328C" w:rsidRDefault="00C27F39" w:rsidP="00C27F39">
      <w:pPr>
        <w:spacing w:before="13" w:line="240" w:lineRule="exact"/>
        <w:rPr>
          <w:rFonts w:ascii="Times New Roman" w:hAnsi="Times New Roman" w:cs="Times New Roman"/>
          <w:sz w:val="24"/>
          <w:szCs w:val="24"/>
          <w:lang w:val="pl-PL"/>
        </w:rPr>
      </w:pPr>
    </w:p>
    <w:p w14:paraId="1FF0B55C" w14:textId="77777777" w:rsidR="00C27F39" w:rsidRPr="008F328C" w:rsidRDefault="00C27F39" w:rsidP="00C27F39">
      <w:pPr>
        <w:pStyle w:val="a3"/>
        <w:rPr>
          <w:lang w:val="pl-PL"/>
        </w:rPr>
      </w:pPr>
      <w:r w:rsidRPr="008F328C">
        <w:rPr>
          <w:rFonts w:eastAsia="Times New Roman"/>
          <w:lang w:val="pl-PL"/>
        </w:rPr>
        <w:t>W czasie kontrolowanych części głównych badań klinicznych adalimumabu trwających co najmniej 12 tygodni u dorosłych pacjentów z umiarkowanym do ciężkiego czynnym reumatoidalnym zapaleniem stawów, zesztywniającym zapaleniem stawów kręgosłupa, osiową spondyloartropatią bez zmian radiograficznych charakterystycznych dla zesztywniającego zapalenia stawów kręgosłupa, łuszczycowym zapaleniem stawów, łuszczycą, ropnym zapaleniem apokrynowych gruczołów potowych, chorobą Leśniowskiego-Crohna, wrzodziejącym zapaleniem jelita grubego i zapaleniem błony naczyniowej oka, obserwowany współczynnik występowania (95% przedział ufności) nowotworów złośliwych, innych niż chłoniak i rak skóry niebędący czerniakiem, wynosił 6,8 (4,4, 10,5) na 1000 pacjentolat u 5291 pacjentów leczonych adalimumabem w porównaniu do współczynnika 6,3 (3,4, 11,8) na 1000 pacjentolat u 3444 pacjentów z grup kontrolnych (mediana czasu trwania leczenia wynosiła 4,0 miesiące u pacjentów leczonych adalimumabemm oraz 3,8 miesiąca u pacjentów z grup kontrolnych). Współczynnik występowania (95% przedział ufności) raków skóry, niebędących czerniakiem, wynosił 8,8 (6,0, 13,0) na 1000 pacjentolat u pacjentów leczonych adalimumabem oraz 3,2 (1,3, 7,6) na 1000 pacjentolat u pacjentów z grup kontrolnych. Z tych raków skóry, współczynniki występowania (95% przedział ufności) raków płaskonabłonkowych wynosiły 2,7 (1,4, 5,4) na 1000 pacjentolat u pacjentów leczonych adalimumabem i 0,6 (0,1, 4,5) na 1 000 pacjentolat u pacjentów z grup kontrolnych. Współczynnik występowania (95% przedział ufności) chłoniaków wynosił 0,7 (0,2, 2,7) na 1 000 pacjentolat u pacjentów leczonych adalimumabem oraz 0,6 (0,1, 4,5) na 1 000 pacjentolat u pacjentów z grup kontrolnych.</w:t>
      </w:r>
    </w:p>
    <w:p w14:paraId="706A4B15" w14:textId="77777777" w:rsidR="00C27F39" w:rsidRPr="008F328C" w:rsidRDefault="00C27F39" w:rsidP="00C27F39">
      <w:pPr>
        <w:spacing w:before="13" w:line="240" w:lineRule="exact"/>
        <w:rPr>
          <w:rFonts w:ascii="Times New Roman" w:hAnsi="Times New Roman" w:cs="Times New Roman"/>
          <w:sz w:val="24"/>
          <w:szCs w:val="24"/>
          <w:lang w:val="pl-PL"/>
        </w:rPr>
      </w:pPr>
    </w:p>
    <w:p w14:paraId="38CF5B77" w14:textId="77777777" w:rsidR="00C27F39" w:rsidRPr="008F328C" w:rsidRDefault="00C27F39" w:rsidP="00C27F39">
      <w:pPr>
        <w:pStyle w:val="a3"/>
        <w:rPr>
          <w:lang w:val="pl-PL"/>
        </w:rPr>
      </w:pPr>
      <w:r w:rsidRPr="008F328C">
        <w:rPr>
          <w:rFonts w:eastAsia="Times New Roman"/>
          <w:lang w:val="pl-PL"/>
        </w:rPr>
        <w:t>Gdy rozpatruje się łącznie kontrolowane części tych badań klinicznych oraz trwające obecnie i zakończone badania otwarte będące ich kontynuacją, o medianie czasu trwania wynoszącej około 3,3 lat, obejmujące 6427 pacjentów i ponad 26 439 pacjentolat terapii, obserwowany współczynnik występowania nowotworów złośliwych, innych niż chłoniak i raki skóry niebędące czerniakiem, wynosi około 8,5 na 1000 pacjentolat. Obserwowany współczynnik występowania raków skóry niebędących czerniakiem wynosi około 9,6 na 1000 pacjentolat, a obserwowany współczynnik występowania chłoniaków – około 1,3 na 1000 pacjentolat.</w:t>
      </w:r>
    </w:p>
    <w:p w14:paraId="05F4C15F" w14:textId="77777777" w:rsidR="00C27F39" w:rsidRPr="008F328C" w:rsidRDefault="00C27F39" w:rsidP="00C27F39">
      <w:pPr>
        <w:spacing w:before="14" w:line="240" w:lineRule="exact"/>
        <w:rPr>
          <w:rFonts w:ascii="Times New Roman" w:hAnsi="Times New Roman" w:cs="Times New Roman"/>
          <w:sz w:val="24"/>
          <w:szCs w:val="24"/>
          <w:lang w:val="pl-PL"/>
        </w:rPr>
      </w:pPr>
    </w:p>
    <w:p w14:paraId="5FBF6750" w14:textId="77777777" w:rsidR="00FF18EE" w:rsidRPr="008F328C" w:rsidRDefault="00FF18EE" w:rsidP="00FF18EE">
      <w:pPr>
        <w:pStyle w:val="a3"/>
        <w:rPr>
          <w:lang w:val="pl-PL"/>
        </w:rPr>
      </w:pPr>
      <w:r w:rsidRPr="008F328C">
        <w:rPr>
          <w:rFonts w:eastAsia="Times New Roman"/>
          <w:lang w:val="pl-PL"/>
        </w:rPr>
        <w:t xml:space="preserve">Po wprowadzeniu produktu do obrotu, od stycznia 2003 do grudnia 2010, głównie u pacjentów z reumatoidalnym zapaleniem stawów, zgłaszany </w:t>
      </w:r>
      <w:r>
        <w:rPr>
          <w:lang w:val="pl-PL"/>
        </w:rPr>
        <w:t xml:space="preserve">spontanicznie </w:t>
      </w:r>
      <w:r w:rsidRPr="008F328C">
        <w:rPr>
          <w:rFonts w:eastAsia="Times New Roman"/>
          <w:lang w:val="pl-PL"/>
        </w:rPr>
        <w:t xml:space="preserve">współczynnik występowania nowotworów złośliwych wynosi około 2,7 na 1000 pacjentolat. Zgłaszane </w:t>
      </w:r>
      <w:r>
        <w:rPr>
          <w:lang w:val="pl-PL"/>
        </w:rPr>
        <w:t xml:space="preserve">spontanicznie </w:t>
      </w:r>
      <w:r w:rsidRPr="008F328C">
        <w:rPr>
          <w:rFonts w:eastAsia="Times New Roman"/>
          <w:lang w:val="pl-PL"/>
        </w:rPr>
        <w:t>współczynniki występowania raków skóry niebędących czerniakami i chłoniaków wynoszą odpowiednio około 0,2 i 0,3 na 1000 pacjentolat (patrz punkt 4.4).</w:t>
      </w:r>
    </w:p>
    <w:p w14:paraId="50D94632" w14:textId="77777777" w:rsidR="00C27F39" w:rsidRPr="00FF18EE" w:rsidRDefault="00C27F39" w:rsidP="00C27F39">
      <w:pPr>
        <w:spacing w:before="17" w:line="240" w:lineRule="exact"/>
        <w:rPr>
          <w:rFonts w:ascii="Times New Roman" w:hAnsi="Times New Roman" w:cs="Times New Roman"/>
          <w:sz w:val="24"/>
          <w:szCs w:val="24"/>
          <w:lang w:val="pl-PL"/>
        </w:rPr>
      </w:pPr>
    </w:p>
    <w:p w14:paraId="3A66CAE0" w14:textId="77777777" w:rsidR="00C27F39" w:rsidRPr="008F328C" w:rsidRDefault="00C27F39" w:rsidP="00C27F39">
      <w:pPr>
        <w:pStyle w:val="a3"/>
        <w:rPr>
          <w:lang w:val="pl-PL"/>
        </w:rPr>
      </w:pPr>
      <w:r w:rsidRPr="008F328C">
        <w:rPr>
          <w:rFonts w:eastAsia="Times New Roman"/>
          <w:lang w:val="pl-PL"/>
        </w:rPr>
        <w:t>Po wprowadzeniu produktu do obrotu informowano o rzadkich przypadkach chłoniaka T-komórkowego wątrobowo-śledzionowego u pacjentów leczonych adalimumabem (patrz punkt 4.4).</w:t>
      </w:r>
    </w:p>
    <w:p w14:paraId="1481BDA2" w14:textId="77777777" w:rsidR="00C27F39" w:rsidRPr="008F328C" w:rsidRDefault="00C27F39" w:rsidP="00C27F39">
      <w:pPr>
        <w:pStyle w:val="a3"/>
        <w:rPr>
          <w:sz w:val="24"/>
          <w:szCs w:val="24"/>
          <w:lang w:val="pl-PL"/>
        </w:rPr>
      </w:pPr>
    </w:p>
    <w:p w14:paraId="5054A38D" w14:textId="77777777" w:rsidR="00C27F39" w:rsidRPr="008F328C" w:rsidRDefault="00C27F39" w:rsidP="00C27F39">
      <w:pPr>
        <w:pStyle w:val="a3"/>
        <w:rPr>
          <w:rFonts w:eastAsia="Times New Roman"/>
          <w:lang w:val="pl-PL"/>
        </w:rPr>
      </w:pPr>
      <w:r w:rsidRPr="008F328C">
        <w:rPr>
          <w:rFonts w:eastAsia="Times New Roman"/>
          <w:i/>
          <w:iCs/>
          <w:spacing w:val="-1"/>
          <w:lang w:val="pl-PL"/>
        </w:rPr>
        <w:t>Autoprzeciwciała</w:t>
      </w:r>
    </w:p>
    <w:p w14:paraId="5A133ECC" w14:textId="77777777" w:rsidR="00C27F39" w:rsidRPr="008F328C" w:rsidRDefault="00C27F39" w:rsidP="00C27F39">
      <w:pPr>
        <w:pStyle w:val="a3"/>
        <w:rPr>
          <w:sz w:val="24"/>
          <w:szCs w:val="24"/>
          <w:lang w:val="pl-PL"/>
        </w:rPr>
      </w:pPr>
    </w:p>
    <w:p w14:paraId="2F5D0B80" w14:textId="77777777" w:rsidR="00C27F39" w:rsidRPr="008F328C" w:rsidRDefault="00C27F39" w:rsidP="00C27F39">
      <w:pPr>
        <w:pStyle w:val="a3"/>
        <w:rPr>
          <w:lang w:val="pl-PL"/>
        </w:rPr>
      </w:pPr>
      <w:r w:rsidRPr="008F328C">
        <w:rPr>
          <w:rFonts w:eastAsia="Times New Roman"/>
          <w:lang w:val="pl-PL"/>
        </w:rPr>
        <w:t xml:space="preserve">Próbki surowicy pacjentów z reumatoidalnym zapaleniem stawów badano wielokrotnie na obecność autoprzeciwciał (badanie I-V). W tych badaniach klinicznych, u 11,9% pacjentów leczonych </w:t>
      </w:r>
      <w:r w:rsidRPr="008F328C">
        <w:rPr>
          <w:rFonts w:eastAsia="Times New Roman"/>
          <w:lang w:val="pl-PL"/>
        </w:rPr>
        <w:lastRenderedPageBreak/>
        <w:t>adalimumabem i u 8,1% pacjentów otrzymujących placebo lub czynną substancję porównawczą, którzy mieli ujemne miana przeciwciał przeciwjądrowych przed rozpoczęciem badania stwierdzono dodatnie miana w 24. tygodniu. U dwóch pacjentów z 3441 leczonych adalimumabem, we wszystkich badaniach stosowania w reumatoidalnym zapaleniu stawów i łuszczycowym zapaleniu stawów, pojawiły się objawy kliniczne wskazujące na wystąpienie zespołu toczniopodobnego. Stan pacjentów poprawił się po odstawieniu leczenia. U żadnego z pacjentów nie wystąpiło toczniowe zapalenie nerek lub objawy ze strony ośrodkowego układu nerwowego.</w:t>
      </w:r>
    </w:p>
    <w:p w14:paraId="1F8EFCDA" w14:textId="77777777" w:rsidR="00C27F39" w:rsidRPr="008F328C" w:rsidRDefault="00C27F39" w:rsidP="00C27F39">
      <w:pPr>
        <w:pStyle w:val="a3"/>
        <w:rPr>
          <w:sz w:val="24"/>
          <w:szCs w:val="24"/>
          <w:lang w:val="pl-PL"/>
        </w:rPr>
      </w:pPr>
    </w:p>
    <w:p w14:paraId="4B86F862" w14:textId="77777777" w:rsidR="00C27F39" w:rsidRPr="008F328C" w:rsidRDefault="00C27F39" w:rsidP="00C27F39">
      <w:pPr>
        <w:pStyle w:val="a3"/>
        <w:rPr>
          <w:rFonts w:eastAsia="Times New Roman"/>
          <w:lang w:val="pl-PL"/>
        </w:rPr>
      </w:pPr>
      <w:r w:rsidRPr="008F328C">
        <w:rPr>
          <w:rFonts w:eastAsia="Times New Roman"/>
          <w:i/>
          <w:iCs/>
          <w:lang w:val="pl-PL"/>
        </w:rPr>
        <w:t>Zaburzenia wątroby i dróg żółciowych</w:t>
      </w:r>
    </w:p>
    <w:p w14:paraId="13F3A27E" w14:textId="77777777" w:rsidR="00C27F39" w:rsidRPr="008F328C" w:rsidRDefault="00C27F39" w:rsidP="00C27F39">
      <w:pPr>
        <w:pStyle w:val="a3"/>
        <w:rPr>
          <w:sz w:val="24"/>
          <w:szCs w:val="24"/>
          <w:lang w:val="pl-PL"/>
        </w:rPr>
      </w:pPr>
    </w:p>
    <w:p w14:paraId="04AD7BEA" w14:textId="77777777" w:rsidR="00C27F39" w:rsidRPr="008F328C" w:rsidRDefault="00C27F39" w:rsidP="00C27F39">
      <w:pPr>
        <w:pStyle w:val="a3"/>
        <w:rPr>
          <w:lang w:val="pl-PL"/>
        </w:rPr>
      </w:pPr>
      <w:r w:rsidRPr="008F328C">
        <w:rPr>
          <w:rFonts w:eastAsia="Times New Roman"/>
          <w:lang w:val="pl-PL"/>
        </w:rPr>
        <w:t>W kontrolowanych badaniach klinicznych fazy III adalimumabem u pacjentów z reumatoidalnym zapaleniem stawów i łuszczycowym zapaleniem stawów, gdzie okres kontrolny trwał od 4 do 104 tygodni, zwiększenie aktywności AlAT ≥ 3 x górna granica normy (GGN) wystąpiło u 3,7% pacjentów leczonych adalimumabem i 1,6% pacjentów otrzymujących leczenie porównawcze.</w:t>
      </w:r>
    </w:p>
    <w:p w14:paraId="0E778612" w14:textId="77777777" w:rsidR="00C27F39" w:rsidRPr="008F328C" w:rsidRDefault="00C27F39" w:rsidP="00C27F39">
      <w:pPr>
        <w:pStyle w:val="a3"/>
        <w:rPr>
          <w:sz w:val="24"/>
          <w:szCs w:val="24"/>
          <w:lang w:val="pl-PL"/>
        </w:rPr>
      </w:pPr>
    </w:p>
    <w:p w14:paraId="1A5F0DA6" w14:textId="77777777" w:rsidR="00C27F39" w:rsidRPr="008F328C" w:rsidRDefault="00C27F39" w:rsidP="00C27F39">
      <w:pPr>
        <w:pStyle w:val="a3"/>
        <w:rPr>
          <w:lang w:val="pl-PL"/>
        </w:rPr>
      </w:pPr>
      <w:r w:rsidRPr="008F328C">
        <w:rPr>
          <w:rFonts w:eastAsia="Times New Roman"/>
          <w:lang w:val="pl-PL"/>
        </w:rPr>
        <w:t>W kontrolowanych badaniach klinicznych fazy III adalimumabu u pacjentów w wieku od 4 do 17 lat z wielostawowym młodzieńczym idiopatycznym zapaleniem stawów, oraz u pacjentów w wieku od 6 do 17 lat z zapaleniem stawów z towarzyszącym zapaleniem przyczepów ścięgnistych, odnotowano zwiększenie aktywności AlAT ≥ 3 x GGN u 6,1% pacjentów leczonych adalimumabem i 1,3% pacjentów otrzymujących leczenie porównawcze. W większości przypadków zwiększenie aktywności AlAT obserwowano podczas jednoczesnego stosowania metotreksatu. W badaniu klinicznym fazy III adalimumabu u pacjentów w wieku od 2 do &lt; 4 lat z wielostawowym młodzieńczym idiopatycznym zapaleniem stawów, nie odnotowano zwiększenia aktywności AlAT ≥ 3 x GGN.</w:t>
      </w:r>
    </w:p>
    <w:p w14:paraId="4B9B5A1E" w14:textId="77777777" w:rsidR="00C27F39" w:rsidRPr="008F328C" w:rsidRDefault="00C27F39" w:rsidP="00C27F39">
      <w:pPr>
        <w:pStyle w:val="a3"/>
        <w:rPr>
          <w:sz w:val="24"/>
          <w:szCs w:val="24"/>
          <w:lang w:val="pl-PL"/>
        </w:rPr>
      </w:pPr>
    </w:p>
    <w:p w14:paraId="21DD0F4F" w14:textId="77777777" w:rsidR="00C27F39" w:rsidRPr="008F328C" w:rsidRDefault="00C27F39" w:rsidP="00C27F39">
      <w:pPr>
        <w:pStyle w:val="a3"/>
        <w:rPr>
          <w:lang w:val="pl-PL"/>
        </w:rPr>
      </w:pPr>
      <w:r w:rsidRPr="008F328C">
        <w:rPr>
          <w:rFonts w:eastAsia="Times New Roman"/>
          <w:lang w:val="pl-PL"/>
        </w:rPr>
        <w:t>W kontrolowanych badaniach klinicznych fazy III adalimumabu u pacjentów z chorobą Leśniowskiego-Crohna i wrzodziejącym zapaleniem jelita grubego, gdzie okres kontrolny trwał od 4 do 52 tygodni zwiększenie aktywności AlAT ≥ 3 x górnej granicy wartości prawidłowych wystąpiło u 0,9% pacjentów leczonych adalimumabem i 0,9% pacjentów otrzymujących leczenie porównawcze.</w:t>
      </w:r>
    </w:p>
    <w:p w14:paraId="38A11E72" w14:textId="77777777" w:rsidR="00C27F39" w:rsidRPr="008F328C" w:rsidRDefault="00C27F39" w:rsidP="00C27F39">
      <w:pPr>
        <w:spacing w:before="11" w:line="240" w:lineRule="exact"/>
        <w:rPr>
          <w:rFonts w:ascii="Times New Roman" w:hAnsi="Times New Roman" w:cs="Times New Roman"/>
          <w:sz w:val="24"/>
          <w:szCs w:val="24"/>
          <w:lang w:val="pl-PL"/>
        </w:rPr>
      </w:pPr>
    </w:p>
    <w:p w14:paraId="1819BF9A" w14:textId="77777777" w:rsidR="00C27F39" w:rsidRPr="008F328C" w:rsidRDefault="00C27F39" w:rsidP="00C27F39">
      <w:pPr>
        <w:pStyle w:val="a3"/>
        <w:rPr>
          <w:lang w:val="pl-PL"/>
        </w:rPr>
      </w:pPr>
      <w:r w:rsidRPr="008F328C">
        <w:rPr>
          <w:rFonts w:eastAsia="Times New Roman"/>
          <w:lang w:val="pl-PL"/>
        </w:rPr>
        <w:t>W badaniu fazy III adalimumabu u dzieci i młodzieży z chorobą Leśniowskiego-Crohna oceniano skuteczność i bezpieczeństwo dwóch schematów dawkowania podtrzymującego, ustalonego w zależności od masy ciała pacjenta, następującego po indukcji zależnymi od masy ciała dawkami. W czasie do 52 tygodni leczenia, zwiększenie aktywności AlAT ≥ 3 x GGN wystąpiło u 2,6% (5/192) pacjentów, z których 4 wyjściowo otrzymywało jednocześnie leki immunosupresyjne.</w:t>
      </w:r>
    </w:p>
    <w:p w14:paraId="2ED835A9" w14:textId="77777777" w:rsidR="00C27F39" w:rsidRPr="008F328C" w:rsidRDefault="00C27F39" w:rsidP="00C27F39">
      <w:pPr>
        <w:spacing w:before="13" w:line="240" w:lineRule="exact"/>
        <w:rPr>
          <w:rFonts w:ascii="Times New Roman" w:hAnsi="Times New Roman" w:cs="Times New Roman"/>
          <w:sz w:val="24"/>
          <w:szCs w:val="24"/>
          <w:lang w:val="pl-PL"/>
        </w:rPr>
      </w:pPr>
    </w:p>
    <w:p w14:paraId="378F6F82" w14:textId="77777777" w:rsidR="00C27F39" w:rsidRPr="008F328C" w:rsidRDefault="00C27F39" w:rsidP="00C27F39">
      <w:pPr>
        <w:pStyle w:val="a3"/>
        <w:rPr>
          <w:lang w:val="pl-PL"/>
        </w:rPr>
      </w:pPr>
      <w:r w:rsidRPr="008F328C">
        <w:rPr>
          <w:rFonts w:eastAsia="Times New Roman"/>
          <w:lang w:val="pl-PL"/>
        </w:rPr>
        <w:t>W kontrolowanych badaniach klinicznych fazy III adalimumabu u pacjentów z łuszczycą zwyczajną (plackowatą), gdzie okres kontrolny trwał od 12 do 24 tygodni, zwiększenie aktywności AlAT ≥ 3 x GGN wystąpiło u 1,8% pacjentów leczonych adalimumabem i 1,8% pacjentów otrzymujących leczenie porównawcze.</w:t>
      </w:r>
    </w:p>
    <w:p w14:paraId="14B5A346" w14:textId="77777777" w:rsidR="00C27F39" w:rsidRPr="008F328C" w:rsidRDefault="00C27F39" w:rsidP="00C27F39">
      <w:pPr>
        <w:spacing w:before="17" w:line="240" w:lineRule="exact"/>
        <w:rPr>
          <w:rFonts w:ascii="Times New Roman" w:hAnsi="Times New Roman" w:cs="Times New Roman"/>
          <w:sz w:val="24"/>
          <w:szCs w:val="24"/>
          <w:lang w:val="pl-PL"/>
        </w:rPr>
      </w:pPr>
    </w:p>
    <w:p w14:paraId="17456E21" w14:textId="77777777" w:rsidR="00C27F39" w:rsidRPr="008F328C" w:rsidRDefault="00C27F39" w:rsidP="00C27F39">
      <w:pPr>
        <w:pStyle w:val="a3"/>
        <w:rPr>
          <w:lang w:val="pl-PL"/>
        </w:rPr>
      </w:pPr>
      <w:r w:rsidRPr="008F328C">
        <w:rPr>
          <w:rFonts w:eastAsia="Times New Roman"/>
          <w:lang w:val="pl-PL"/>
        </w:rPr>
        <w:t>W badaniu klinicznym fazy III adalimumabu u dzieci i młodzieży z łuszczycą zwyczajną (plackowatą) nie wystąpiło zwiększenie aktywności AlAT ≥ 3 x GGN.</w:t>
      </w:r>
    </w:p>
    <w:p w14:paraId="5D9E9638" w14:textId="77777777" w:rsidR="00C27F39" w:rsidRPr="008F328C" w:rsidRDefault="00C27F39" w:rsidP="00C27F39">
      <w:pPr>
        <w:spacing w:before="11" w:line="240" w:lineRule="exact"/>
        <w:rPr>
          <w:rFonts w:ascii="Times New Roman" w:hAnsi="Times New Roman" w:cs="Times New Roman"/>
          <w:sz w:val="24"/>
          <w:szCs w:val="24"/>
          <w:lang w:val="pl-PL"/>
        </w:rPr>
      </w:pPr>
    </w:p>
    <w:p w14:paraId="63F24EBB" w14:textId="77777777" w:rsidR="00C27F39" w:rsidRPr="008F328C" w:rsidRDefault="00C27F39" w:rsidP="00C27F39">
      <w:pPr>
        <w:pStyle w:val="a3"/>
        <w:rPr>
          <w:rFonts w:eastAsia="Times New Roman"/>
          <w:lang w:val="pl-PL"/>
        </w:rPr>
      </w:pPr>
      <w:r w:rsidRPr="008F328C">
        <w:rPr>
          <w:rFonts w:eastAsia="Times New Roman"/>
          <w:lang w:val="pl-PL"/>
        </w:rPr>
        <w:t>W kontrolowanych badaniach klinicznych adalimumabu (dawka początkowa 80 mg w tygodniu 0, a następnie począwszy od 1. tygodnia 40 mg co drugi tydzień) u dorosłych pacjentów z zapaleniem błony naczyniowej oka w okresie do 80 tygodni z medianą ekspozycji wynoszącą 166,5 dni i 105,0 dni odpowiednio u pacjentów leczonych adalimumabem i pacjentów leczonych produktem porównawczym, zwiększenie aktywności AlAT ≥ 3 x GGN wystąpiło u 2,4% pacjentów leczonych adalimumabem i 2,4% pacjentów leczonych produktem porównawczym.</w:t>
      </w:r>
    </w:p>
    <w:p w14:paraId="61C33805" w14:textId="77777777" w:rsidR="00C27F39" w:rsidRPr="008F328C" w:rsidRDefault="00C27F39" w:rsidP="00C27F39">
      <w:pPr>
        <w:pStyle w:val="a3"/>
        <w:rPr>
          <w:lang w:val="pl-PL"/>
        </w:rPr>
      </w:pPr>
    </w:p>
    <w:p w14:paraId="3E235E8D" w14:textId="77777777" w:rsidR="00C27F39" w:rsidRPr="008F328C" w:rsidRDefault="00C27F39" w:rsidP="00C27F39">
      <w:pPr>
        <w:pStyle w:val="a3"/>
        <w:rPr>
          <w:lang w:val="pl-PL"/>
        </w:rPr>
      </w:pPr>
      <w:r w:rsidRPr="008F328C">
        <w:rPr>
          <w:rFonts w:eastAsia="Times New Roman"/>
          <w:lang w:val="pl-PL"/>
        </w:rPr>
        <w:t xml:space="preserve">W badaniach klinicznych we wszystkich wskazaniach pacjenci ze zwiększoną aktywnością AlAT nie wykazywali objawów podmiotowych, a w większości przypadków zwiększenie aktywności było przemijające i ustępowało podczas kontynuacji leczenia. Jednakże, po wprowadzeniu leku do obrotu u </w:t>
      </w:r>
      <w:r w:rsidRPr="008F328C">
        <w:rPr>
          <w:rFonts w:eastAsia="Times New Roman"/>
          <w:lang w:val="pl-PL"/>
        </w:rPr>
        <w:lastRenderedPageBreak/>
        <w:t>pacjentów otrzymujących adalimumab odnotowano przypadki niewydolności wątroby oraz mniej poważnych zaburzeń wątroby, które mogą poprzedzać niewydolność wątroby, takich jak zapalenie wątroby, w tym autoimmunologiczne zapalenie wątroby.</w:t>
      </w:r>
    </w:p>
    <w:p w14:paraId="6DEF1C6A" w14:textId="77777777" w:rsidR="00C27F39" w:rsidRPr="008F328C" w:rsidRDefault="00C27F39" w:rsidP="00C27F39">
      <w:pPr>
        <w:pStyle w:val="a3"/>
        <w:rPr>
          <w:u w:color="000000"/>
          <w:lang w:val="pl-PL"/>
        </w:rPr>
      </w:pPr>
    </w:p>
    <w:p w14:paraId="0921FC82" w14:textId="77777777" w:rsidR="00C27F39" w:rsidRPr="008F328C" w:rsidRDefault="00C27F39" w:rsidP="00C27F39">
      <w:pPr>
        <w:pStyle w:val="a3"/>
        <w:rPr>
          <w:u w:val="single"/>
          <w:lang w:val="pl-PL"/>
        </w:rPr>
      </w:pPr>
      <w:r w:rsidRPr="008F328C">
        <w:rPr>
          <w:rFonts w:eastAsia="Times New Roman"/>
          <w:u w:val="single" w:color="000000"/>
          <w:lang w:val="pl-PL"/>
        </w:rPr>
        <w:t>Jednoczesne leczenie azatiopryną/6-merkaptopuryną</w:t>
      </w:r>
    </w:p>
    <w:p w14:paraId="77E0AD36" w14:textId="77777777" w:rsidR="00C27F39" w:rsidRPr="008F328C" w:rsidRDefault="00C27F39" w:rsidP="00C27F39">
      <w:pPr>
        <w:spacing w:before="1" w:line="180" w:lineRule="exact"/>
        <w:rPr>
          <w:rFonts w:ascii="Times New Roman" w:hAnsi="Times New Roman" w:cs="Times New Roman"/>
          <w:sz w:val="18"/>
          <w:szCs w:val="18"/>
          <w:lang w:val="pl-PL"/>
        </w:rPr>
      </w:pPr>
    </w:p>
    <w:p w14:paraId="0161F458" w14:textId="77777777" w:rsidR="00C27F39" w:rsidRPr="008F328C" w:rsidRDefault="00C27F39" w:rsidP="00C27F39">
      <w:pPr>
        <w:pStyle w:val="a3"/>
        <w:rPr>
          <w:lang w:val="pl-PL"/>
        </w:rPr>
      </w:pPr>
      <w:r w:rsidRPr="008F328C">
        <w:rPr>
          <w:rFonts w:eastAsia="Times New Roman"/>
          <w:lang w:val="pl-PL"/>
        </w:rPr>
        <w:t>W badaniach choroby Leśniowskiego-Crohna u dorosłych, obserwowano większą częstość występowania nowotworów złośliwych i ciężkich zdarzeń niepożądanych związanych z zakażeniami w związku z leczeniem skojarzonym adalimumabem i azatiopryną/6-merkaptopuryną w porównaniu do stosowania adalimumabu w monoterapii.</w:t>
      </w:r>
    </w:p>
    <w:p w14:paraId="25E79409" w14:textId="77777777" w:rsidR="00C27F39" w:rsidRPr="008F328C" w:rsidRDefault="00C27F39" w:rsidP="00C27F39">
      <w:pPr>
        <w:spacing w:before="13" w:line="240" w:lineRule="exact"/>
        <w:rPr>
          <w:rFonts w:ascii="Times New Roman" w:hAnsi="Times New Roman" w:cs="Times New Roman"/>
          <w:sz w:val="24"/>
          <w:szCs w:val="24"/>
          <w:lang w:val="pl-PL"/>
        </w:rPr>
      </w:pPr>
    </w:p>
    <w:p w14:paraId="4026DC5C" w14:textId="77777777" w:rsidR="00C27F39" w:rsidRPr="008F328C" w:rsidRDefault="00C27F39" w:rsidP="00C27F39">
      <w:pPr>
        <w:pStyle w:val="a3"/>
        <w:rPr>
          <w:u w:val="single"/>
          <w:lang w:val="pl-PL"/>
        </w:rPr>
      </w:pPr>
      <w:r w:rsidRPr="008F328C">
        <w:rPr>
          <w:rFonts w:eastAsia="Times New Roman"/>
          <w:u w:val="single" w:color="000000"/>
          <w:lang w:val="pl-PL"/>
        </w:rPr>
        <w:t>Zgłaszanie podejrzewanych działań niepożądanych</w:t>
      </w:r>
    </w:p>
    <w:p w14:paraId="2DE09884" w14:textId="77777777" w:rsidR="00C27F39" w:rsidRPr="008F328C" w:rsidRDefault="00C27F39" w:rsidP="00C27F39">
      <w:pPr>
        <w:spacing w:before="9" w:line="170" w:lineRule="exact"/>
        <w:rPr>
          <w:rFonts w:ascii="Times New Roman" w:hAnsi="Times New Roman" w:cs="Times New Roman"/>
          <w:sz w:val="17"/>
          <w:szCs w:val="17"/>
          <w:lang w:val="pl-PL"/>
        </w:rPr>
      </w:pPr>
    </w:p>
    <w:p w14:paraId="1C47CF14" w14:textId="77777777" w:rsidR="00C27F39" w:rsidRPr="008F328C" w:rsidRDefault="00C27F39" w:rsidP="00C27F39">
      <w:pPr>
        <w:pStyle w:val="a3"/>
        <w:rPr>
          <w:rFonts w:eastAsia="Times New Roman"/>
          <w:color w:val="000000"/>
          <w:lang w:val="pl-PL"/>
        </w:rPr>
      </w:pPr>
      <w:r w:rsidRPr="008F328C">
        <w:rPr>
          <w:rFonts w:eastAsia="Times New Roman"/>
          <w:lang w:val="pl-PL"/>
        </w:rPr>
        <w:t xml:space="preserve">Po dopuszczeniu produktu leczniczego do obrotu istotne jest zgłaszanie podejrzewanych działań niepożądanych. Umożliwia to nieprzerwane monitorowanie stosunku korzyści do ryzyka stosowania produktu leczniczego. Osoby należące do fachowego personelu medycznego powinny zgłaszać wszelkie </w:t>
      </w:r>
      <w:r w:rsidRPr="008F328C">
        <w:rPr>
          <w:rFonts w:eastAsia="Times New Roman"/>
          <w:highlight w:val="lightGray"/>
          <w:lang w:val="pl-PL"/>
        </w:rPr>
        <w:t>podejrzewane działania niepożądane za pośrednictwem krajowego systemu zgłaszania wymienionego w </w:t>
      </w:r>
      <w:hyperlink r:id="rId26" w:history="1">
        <w:r w:rsidRPr="008F328C">
          <w:rPr>
            <w:rFonts w:eastAsia="Times New Roman"/>
            <w:color w:val="0000FF"/>
            <w:highlight w:val="lightGray"/>
            <w:u w:val="single"/>
            <w:lang w:val="pl-PL"/>
          </w:rPr>
          <w:t>Załączniku V</w:t>
        </w:r>
        <w:r w:rsidRPr="008F328C">
          <w:rPr>
            <w:rFonts w:eastAsia="Times New Roman"/>
            <w:color w:val="000000"/>
            <w:highlight w:val="lightGray"/>
            <w:lang w:val="pl-PL"/>
          </w:rPr>
          <w:t>.</w:t>
        </w:r>
      </w:hyperlink>
    </w:p>
    <w:p w14:paraId="09E004EA" w14:textId="77777777" w:rsidR="00C27F39" w:rsidRPr="008F328C" w:rsidRDefault="00C27F39" w:rsidP="00C27F39">
      <w:pPr>
        <w:pStyle w:val="a3"/>
        <w:rPr>
          <w:lang w:val="pl-PL"/>
        </w:rPr>
      </w:pPr>
    </w:p>
    <w:p w14:paraId="722945E5" w14:textId="77777777" w:rsidR="00C27F39" w:rsidRPr="008F328C" w:rsidRDefault="00C27F39" w:rsidP="008F328C">
      <w:pPr>
        <w:widowControl/>
        <w:numPr>
          <w:ilvl w:val="1"/>
          <w:numId w:val="137"/>
        </w:numPr>
        <w:tabs>
          <w:tab w:val="left" w:pos="567"/>
        </w:tabs>
        <w:spacing w:line="260" w:lineRule="exact"/>
        <w:ind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Przedawkowanie</w:t>
      </w:r>
    </w:p>
    <w:p w14:paraId="346B4792" w14:textId="77777777" w:rsidR="00C27F39" w:rsidRPr="008F328C" w:rsidRDefault="00C27F39" w:rsidP="00C27F39">
      <w:pPr>
        <w:spacing w:before="12" w:line="240" w:lineRule="exact"/>
        <w:rPr>
          <w:rFonts w:ascii="Times New Roman" w:hAnsi="Times New Roman" w:cs="Times New Roman"/>
          <w:sz w:val="24"/>
          <w:szCs w:val="24"/>
          <w:lang w:val="pl-PL"/>
        </w:rPr>
      </w:pPr>
    </w:p>
    <w:p w14:paraId="12A57CBD" w14:textId="77777777" w:rsidR="00C27F39" w:rsidRPr="008F328C" w:rsidRDefault="00C27F39" w:rsidP="00C27F39">
      <w:pPr>
        <w:pStyle w:val="a3"/>
        <w:rPr>
          <w:lang w:val="pl-PL"/>
        </w:rPr>
      </w:pPr>
      <w:r w:rsidRPr="008F328C">
        <w:rPr>
          <w:rFonts w:eastAsia="Times New Roman"/>
          <w:lang w:val="pl-PL"/>
        </w:rPr>
        <w:t>W czasie badań klinicznych nie stwierdzono toksyczności wymagającej zmniejszenia dawki. Najwyższy oceniany poziom dawkowania to wielokrotna dawka dożylna 10 mg/kg mc., to jest w przybliżeniu 15 razy więcej niż zalecana dawka.</w:t>
      </w:r>
    </w:p>
    <w:p w14:paraId="71AF2A2F" w14:textId="77777777" w:rsidR="00C27F39" w:rsidRPr="008F328C" w:rsidRDefault="00C27F39" w:rsidP="00C27F39">
      <w:pPr>
        <w:spacing w:line="200" w:lineRule="exact"/>
        <w:rPr>
          <w:rFonts w:ascii="Times New Roman" w:hAnsi="Times New Roman" w:cs="Times New Roman"/>
          <w:sz w:val="20"/>
          <w:szCs w:val="20"/>
          <w:lang w:val="pl-PL"/>
        </w:rPr>
      </w:pPr>
    </w:p>
    <w:p w14:paraId="67F250DF"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56156855" w14:textId="77777777" w:rsidR="00C27F39" w:rsidRPr="008F328C" w:rsidRDefault="00C27F39" w:rsidP="008F328C">
      <w:pPr>
        <w:widowControl/>
        <w:numPr>
          <w:ilvl w:val="0"/>
          <w:numId w:val="13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FARMAKOLOGICZNE</w:t>
      </w:r>
    </w:p>
    <w:p w14:paraId="0E505F3F" w14:textId="77777777" w:rsidR="00C27F39" w:rsidRPr="008F328C" w:rsidRDefault="00C27F39" w:rsidP="00C27F39">
      <w:pPr>
        <w:spacing w:before="11" w:line="240" w:lineRule="exact"/>
        <w:rPr>
          <w:rFonts w:ascii="Times New Roman" w:hAnsi="Times New Roman" w:cs="Times New Roman"/>
          <w:sz w:val="24"/>
          <w:szCs w:val="24"/>
          <w:lang w:val="pl-PL"/>
        </w:rPr>
      </w:pPr>
    </w:p>
    <w:p w14:paraId="3C62A99C" w14:textId="77777777" w:rsidR="00C27F39" w:rsidRPr="008F328C" w:rsidRDefault="00C27F39" w:rsidP="008F328C">
      <w:pPr>
        <w:widowControl/>
        <w:numPr>
          <w:ilvl w:val="1"/>
          <w:numId w:val="13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farmakodynamiczne</w:t>
      </w:r>
    </w:p>
    <w:p w14:paraId="3011A894" w14:textId="77777777" w:rsidR="00C27F39" w:rsidRPr="008F328C" w:rsidRDefault="00C27F39" w:rsidP="00C27F39">
      <w:pPr>
        <w:spacing w:before="9" w:line="240" w:lineRule="exact"/>
        <w:rPr>
          <w:rFonts w:ascii="Times New Roman" w:hAnsi="Times New Roman" w:cs="Times New Roman"/>
          <w:sz w:val="24"/>
          <w:szCs w:val="24"/>
          <w:lang w:val="pl-PL"/>
        </w:rPr>
      </w:pPr>
    </w:p>
    <w:p w14:paraId="307D069D" w14:textId="77777777" w:rsidR="00C27F39" w:rsidRPr="008F328C" w:rsidRDefault="00C27F39" w:rsidP="00C27F39">
      <w:pPr>
        <w:pStyle w:val="a3"/>
        <w:rPr>
          <w:lang w:val="pl-PL"/>
        </w:rPr>
      </w:pPr>
      <w:r w:rsidRPr="008F328C">
        <w:rPr>
          <w:rFonts w:eastAsia="Times New Roman"/>
          <w:lang w:val="pl-PL"/>
        </w:rPr>
        <w:t>Grupa farmakoterapeutyczna: Leki immunosupresyjne. Inhibitory czynnika martwicy nowotworów alfa (TNF-α). Kod ATC: L04AB04</w:t>
      </w:r>
    </w:p>
    <w:p w14:paraId="47738E80" w14:textId="77777777" w:rsidR="00C27F39" w:rsidRPr="008F328C" w:rsidRDefault="00C27F39" w:rsidP="00C27F39">
      <w:pPr>
        <w:pStyle w:val="a3"/>
        <w:rPr>
          <w:lang w:val="pl-PL"/>
        </w:rPr>
      </w:pPr>
    </w:p>
    <w:p w14:paraId="372E99B2" w14:textId="77777777" w:rsidR="00C27F39" w:rsidRPr="008F328C" w:rsidRDefault="00C27F39" w:rsidP="00C27F39">
      <w:pPr>
        <w:pStyle w:val="a3"/>
        <w:rPr>
          <w:lang w:val="pl-PL"/>
        </w:rPr>
      </w:pPr>
      <w:r w:rsidRPr="008F328C">
        <w:rPr>
          <w:rFonts w:eastAsia="Times New Roman"/>
          <w:lang w:val="pl-PL"/>
        </w:rPr>
        <w:t xml:space="preserve">Yuflyma jest produktem leczniczym biopodobnym. Szczegółowe informacje są dostępne na stronie internetowej Europejskiej Agencji Leków </w:t>
      </w:r>
      <w:hyperlink r:id="rId27" w:history="1">
        <w:r w:rsidRPr="008F328C">
          <w:rPr>
            <w:rStyle w:val="ad"/>
            <w:rFonts w:eastAsia="Times New Roman"/>
            <w:lang w:val="pl-PL"/>
          </w:rPr>
          <w:t>http://www.ema.europa.eu.</w:t>
        </w:r>
      </w:hyperlink>
    </w:p>
    <w:p w14:paraId="11CB094C" w14:textId="77777777" w:rsidR="00C27F39" w:rsidRPr="008F328C" w:rsidRDefault="00C27F39" w:rsidP="00C27F39">
      <w:pPr>
        <w:spacing w:before="10" w:line="240" w:lineRule="exact"/>
        <w:rPr>
          <w:rFonts w:ascii="Times New Roman" w:hAnsi="Times New Roman" w:cs="Times New Roman"/>
          <w:sz w:val="24"/>
          <w:szCs w:val="24"/>
          <w:lang w:val="pl-PL"/>
        </w:rPr>
      </w:pPr>
    </w:p>
    <w:p w14:paraId="353074F6" w14:textId="77777777" w:rsidR="00C27F39" w:rsidRPr="008F328C" w:rsidRDefault="00C27F39" w:rsidP="00C27F39">
      <w:pPr>
        <w:pStyle w:val="a3"/>
        <w:rPr>
          <w:u w:val="single"/>
          <w:lang w:val="pl-PL"/>
        </w:rPr>
      </w:pPr>
      <w:r w:rsidRPr="008F328C">
        <w:rPr>
          <w:rFonts w:eastAsia="Times New Roman"/>
          <w:u w:val="single" w:color="000000"/>
          <w:lang w:val="pl-PL"/>
        </w:rPr>
        <w:t>Mechanizm działania</w:t>
      </w:r>
    </w:p>
    <w:p w14:paraId="1F03DEBB" w14:textId="77777777" w:rsidR="00C27F39" w:rsidRPr="008F328C" w:rsidRDefault="00C27F39" w:rsidP="00C27F39">
      <w:pPr>
        <w:spacing w:before="1" w:line="180" w:lineRule="exact"/>
        <w:rPr>
          <w:rFonts w:ascii="Times New Roman" w:hAnsi="Times New Roman" w:cs="Times New Roman"/>
          <w:sz w:val="18"/>
          <w:szCs w:val="18"/>
          <w:lang w:val="pl-PL"/>
        </w:rPr>
      </w:pPr>
    </w:p>
    <w:p w14:paraId="72846BD8" w14:textId="77777777" w:rsidR="00C27F39" w:rsidRPr="008F328C" w:rsidRDefault="00C27F39" w:rsidP="00C27F39">
      <w:pPr>
        <w:pStyle w:val="a3"/>
        <w:rPr>
          <w:lang w:val="pl-PL"/>
        </w:rPr>
      </w:pPr>
      <w:r w:rsidRPr="008F328C">
        <w:rPr>
          <w:rFonts w:eastAsia="Times New Roman"/>
          <w:lang w:val="pl-PL"/>
        </w:rPr>
        <w:t>Adalimumab wiąże się swoiście z TNF i neutralizuje biologiczną czynność TNF blokując jego interakcje z receptorami p55 i p75 na powierzchni komórki.</w:t>
      </w:r>
    </w:p>
    <w:p w14:paraId="5D2A3B59" w14:textId="77777777" w:rsidR="00C27F39" w:rsidRPr="008F328C" w:rsidRDefault="00C27F39" w:rsidP="00C27F39">
      <w:pPr>
        <w:spacing w:before="10" w:line="240" w:lineRule="exact"/>
        <w:rPr>
          <w:rFonts w:ascii="Times New Roman" w:hAnsi="Times New Roman" w:cs="Times New Roman"/>
          <w:sz w:val="24"/>
          <w:szCs w:val="24"/>
          <w:lang w:val="pl-PL"/>
        </w:rPr>
      </w:pPr>
    </w:p>
    <w:p w14:paraId="3833A52B" w14:textId="77777777" w:rsidR="00C27F39" w:rsidRPr="008F328C" w:rsidRDefault="00C27F39" w:rsidP="00C27F39">
      <w:pPr>
        <w:pStyle w:val="a3"/>
        <w:rPr>
          <w:lang w:val="pl-PL"/>
        </w:rPr>
      </w:pPr>
      <w:r w:rsidRPr="008F328C">
        <w:rPr>
          <w:rFonts w:eastAsia="Times New Roman"/>
          <w:lang w:val="pl-PL"/>
        </w:rPr>
        <w:t>Adalimumab moduluje również odpowiedzi biologiczne indukowane lub regulowane przez TNF, w tym zmiany w poziomach cząsteczek adhezji międzykomórkowej odpowiadających za migrację leukocytów (ELAM-1, VCAM-1 i ICAM-1, wartość IC</w:t>
      </w:r>
      <w:r w:rsidRPr="008F328C">
        <w:rPr>
          <w:rFonts w:eastAsia="Times New Roman"/>
          <w:sz w:val="14"/>
          <w:szCs w:val="14"/>
          <w:lang w:val="pl-PL"/>
        </w:rPr>
        <w:t>50</w:t>
      </w:r>
      <w:r w:rsidRPr="008F328C">
        <w:rPr>
          <w:rFonts w:eastAsia="Times New Roman"/>
          <w:lang w:val="pl-PL"/>
        </w:rPr>
        <w:t xml:space="preserve"> wynosi 0,1-0,2 nM).</w:t>
      </w:r>
    </w:p>
    <w:p w14:paraId="30542250" w14:textId="77777777" w:rsidR="00C27F39" w:rsidRPr="008F328C" w:rsidRDefault="00C27F39" w:rsidP="00C27F39">
      <w:pPr>
        <w:spacing w:before="12" w:line="240" w:lineRule="exact"/>
        <w:rPr>
          <w:rFonts w:ascii="Times New Roman" w:hAnsi="Times New Roman" w:cs="Times New Roman"/>
          <w:sz w:val="24"/>
          <w:szCs w:val="24"/>
          <w:lang w:val="pl-PL"/>
        </w:rPr>
      </w:pPr>
    </w:p>
    <w:p w14:paraId="26B519AD" w14:textId="77777777" w:rsidR="00C27F39" w:rsidRPr="008F328C" w:rsidRDefault="00C27F39" w:rsidP="00C27F39">
      <w:pPr>
        <w:pStyle w:val="a3"/>
        <w:rPr>
          <w:u w:val="single"/>
          <w:lang w:val="pl-PL"/>
        </w:rPr>
      </w:pPr>
      <w:r w:rsidRPr="008F328C">
        <w:rPr>
          <w:rFonts w:eastAsia="Times New Roman"/>
          <w:u w:val="single" w:color="000000"/>
          <w:lang w:val="pl-PL"/>
        </w:rPr>
        <w:t>Działanie farmakodynamiczne</w:t>
      </w:r>
    </w:p>
    <w:p w14:paraId="0CA6C7AF" w14:textId="77777777" w:rsidR="00C27F39" w:rsidRPr="008F328C" w:rsidRDefault="00C27F39" w:rsidP="00C27F39">
      <w:pPr>
        <w:spacing w:before="1" w:line="180" w:lineRule="exact"/>
        <w:rPr>
          <w:rFonts w:ascii="Times New Roman" w:hAnsi="Times New Roman" w:cs="Times New Roman"/>
          <w:sz w:val="18"/>
          <w:szCs w:val="18"/>
          <w:lang w:val="pl-PL"/>
        </w:rPr>
      </w:pPr>
    </w:p>
    <w:p w14:paraId="75474323" w14:textId="77777777" w:rsidR="00C27F39" w:rsidRPr="008F328C" w:rsidRDefault="00C27F39" w:rsidP="00C27F39">
      <w:pPr>
        <w:pStyle w:val="a3"/>
        <w:rPr>
          <w:lang w:val="pl-PL"/>
        </w:rPr>
      </w:pPr>
      <w:r w:rsidRPr="008F328C">
        <w:rPr>
          <w:rFonts w:eastAsia="Times New Roman"/>
          <w:lang w:val="pl-PL"/>
        </w:rPr>
        <w:t>Po leczeniu adalimumabem u pacjentów z reumatoidalnym zapaleniem stawów zaobserwowano szybkie obniżenie się poziomu wskaźników fazy ostrej zapalenia</w:t>
      </w:r>
    </w:p>
    <w:p w14:paraId="49E78941" w14:textId="77777777" w:rsidR="00C27F39" w:rsidRPr="008F328C" w:rsidRDefault="00C27F39" w:rsidP="00C27F39">
      <w:pPr>
        <w:pStyle w:val="a3"/>
        <w:rPr>
          <w:lang w:val="pl-PL"/>
        </w:rPr>
      </w:pPr>
      <w:r w:rsidRPr="008F328C">
        <w:rPr>
          <w:rFonts w:eastAsia="Times New Roman"/>
          <w:lang w:val="pl-PL"/>
        </w:rPr>
        <w:t>[białko C-reaktywne (CRP) i odczyn Biernackiego (OB)] oraz stężenia cytokin (IL-6) w surowicy w porównaniu do wartości przed rozpoczęciem leczenia. Po podaniu adalimumabu zmniejszeniu uległy również stężenia metaloproteinaz macierzy (MMP-1 i MMP-3), które powodują przebudowę tkanek odpowiedzialną za zniszczenie chrząstki. U pacjentów leczonych adalimumabem zwykle obserwowano poprawę hematologicznych wskaźników przewlekłego stanu zapalnego.</w:t>
      </w:r>
    </w:p>
    <w:p w14:paraId="5289600C" w14:textId="77777777" w:rsidR="00C27F39" w:rsidRPr="008F328C" w:rsidRDefault="00C27F39" w:rsidP="00C27F39">
      <w:pPr>
        <w:spacing w:before="10" w:line="240" w:lineRule="exact"/>
        <w:rPr>
          <w:rFonts w:ascii="Times New Roman" w:hAnsi="Times New Roman" w:cs="Times New Roman"/>
          <w:sz w:val="24"/>
          <w:szCs w:val="24"/>
          <w:lang w:val="pl-PL"/>
        </w:rPr>
      </w:pPr>
    </w:p>
    <w:p w14:paraId="7B36999A" w14:textId="77777777" w:rsidR="00C27F39" w:rsidRPr="008F328C" w:rsidRDefault="00C27F39" w:rsidP="00C27F39">
      <w:pPr>
        <w:pStyle w:val="a3"/>
        <w:rPr>
          <w:lang w:val="pl-PL"/>
        </w:rPr>
      </w:pPr>
      <w:r w:rsidRPr="008F328C">
        <w:rPr>
          <w:rFonts w:eastAsia="Times New Roman"/>
          <w:lang w:val="pl-PL"/>
        </w:rPr>
        <w:t>Po leczeniu adalimumabem obserwowano także szybkie obniżenie się poziomu CRP u pacjentów z wielostawowym młodzieńczym zapaleniem stawów, chorobą Leśniowskiego-Crohna, wrzodziejącym zapaleniem jelita grubego i ropnym zapaleniem apokrynowych gruczołów potowych. U pacjentów z chorobą Leśniowskiego-Crohna stwierdzono zmniejszenie liczby komórek charakteryzujących się ekspresją wskaźników stanu zapalnego w jelicie grubym, w tym znaczące zmniejszenie ekspresji TNF-α. Badania endoskopowe błony śluzowej jelit wykazały gojenie się śluzówki u pacjentów leczonych adalimumabem.</w:t>
      </w:r>
    </w:p>
    <w:p w14:paraId="78AFA2B3" w14:textId="77777777" w:rsidR="00C27F39" w:rsidRPr="008F328C" w:rsidRDefault="00C27F39" w:rsidP="00C27F39">
      <w:pPr>
        <w:pStyle w:val="a3"/>
        <w:rPr>
          <w:u w:val="single" w:color="000000"/>
          <w:lang w:val="pl-PL"/>
        </w:rPr>
      </w:pPr>
    </w:p>
    <w:p w14:paraId="0501B3AD" w14:textId="77777777" w:rsidR="00C27F39" w:rsidRPr="008F328C" w:rsidRDefault="00C27F39" w:rsidP="00C27F39">
      <w:pPr>
        <w:pStyle w:val="a3"/>
        <w:rPr>
          <w:u w:val="single"/>
          <w:lang w:val="pl-PL"/>
        </w:rPr>
      </w:pPr>
      <w:r w:rsidRPr="008F328C">
        <w:rPr>
          <w:rFonts w:eastAsia="Times New Roman"/>
          <w:u w:val="single" w:color="000000"/>
          <w:lang w:val="pl-PL"/>
        </w:rPr>
        <w:t>Skuteczność kliniczna i bezpieczeństwo stosowania</w:t>
      </w:r>
    </w:p>
    <w:p w14:paraId="2D56B70F" w14:textId="77777777" w:rsidR="00C27F39" w:rsidRPr="008F328C" w:rsidRDefault="00C27F39" w:rsidP="00C27F39">
      <w:pPr>
        <w:spacing w:line="180" w:lineRule="exact"/>
        <w:rPr>
          <w:rFonts w:ascii="Times New Roman" w:hAnsi="Times New Roman" w:cs="Times New Roman"/>
          <w:sz w:val="18"/>
          <w:szCs w:val="18"/>
          <w:lang w:val="pl-PL"/>
        </w:rPr>
      </w:pPr>
    </w:p>
    <w:p w14:paraId="72B991AA" w14:textId="4C6AA601" w:rsidR="00C27F39" w:rsidRPr="008F328C" w:rsidRDefault="00270309" w:rsidP="00C27F39">
      <w:pPr>
        <w:pStyle w:val="a3"/>
        <w:rPr>
          <w:rFonts w:eastAsia="Times New Roman"/>
          <w:i/>
          <w:iCs/>
          <w:lang w:val="pl-PL"/>
        </w:rPr>
      </w:pPr>
      <w:r w:rsidRPr="008F328C">
        <w:rPr>
          <w:rFonts w:eastAsia="Times New Roman"/>
          <w:i/>
          <w:iCs/>
          <w:lang w:val="pl-PL"/>
        </w:rPr>
        <w:t>Reumatoidalne zapalenie stawów (RZS) u dorosłych</w:t>
      </w:r>
    </w:p>
    <w:p w14:paraId="54161115" w14:textId="77777777" w:rsidR="00C27F39" w:rsidRPr="008F328C" w:rsidRDefault="00C27F39" w:rsidP="00C27F39">
      <w:pPr>
        <w:pStyle w:val="a3"/>
        <w:rPr>
          <w:sz w:val="24"/>
          <w:szCs w:val="24"/>
          <w:lang w:val="pl-PL"/>
        </w:rPr>
      </w:pPr>
    </w:p>
    <w:p w14:paraId="6D9A22E0" w14:textId="0158AD85" w:rsidR="00C27F39" w:rsidRPr="008F328C" w:rsidRDefault="00C27F39" w:rsidP="00C27F39">
      <w:pPr>
        <w:pStyle w:val="a3"/>
        <w:rPr>
          <w:lang w:val="pl-PL"/>
        </w:rPr>
      </w:pPr>
      <w:r w:rsidRPr="008F328C">
        <w:rPr>
          <w:rFonts w:eastAsia="Times New Roman"/>
          <w:lang w:val="pl-PL"/>
        </w:rPr>
        <w:t>W badaniach klinicznych adalimumab oceniono u ponad 3000 pacjentów z reumatoidalnym zapaleniem stawów. Skuteczność i bezpieczeństwo stosowania adalimumabu oceniono w pięciu randomizowanych podwójnie zaślepionych badaniach z udziałem grup kontrolnych. Niektórych pacjentów leczo</w:t>
      </w:r>
      <w:r w:rsidR="00270309" w:rsidRPr="008F328C">
        <w:rPr>
          <w:rFonts w:eastAsia="Times New Roman"/>
          <w:lang w:val="pl-PL"/>
        </w:rPr>
        <w:t>no przez okres do 120 miesięcy.</w:t>
      </w:r>
    </w:p>
    <w:p w14:paraId="4D38D9D2" w14:textId="77777777" w:rsidR="00C27F39" w:rsidRPr="008F328C" w:rsidRDefault="00C27F39" w:rsidP="00C27F39">
      <w:pPr>
        <w:spacing w:before="13" w:line="240" w:lineRule="exact"/>
        <w:rPr>
          <w:rFonts w:ascii="Times New Roman" w:hAnsi="Times New Roman" w:cs="Times New Roman"/>
          <w:sz w:val="24"/>
          <w:szCs w:val="24"/>
          <w:lang w:val="pl-PL"/>
        </w:rPr>
      </w:pPr>
    </w:p>
    <w:p w14:paraId="0DB37FBC" w14:textId="0F07FB8B" w:rsidR="00C27F39" w:rsidRPr="008F328C" w:rsidRDefault="00C27F39" w:rsidP="00C27F39">
      <w:pPr>
        <w:pStyle w:val="a3"/>
        <w:rPr>
          <w:lang w:val="pl-PL"/>
        </w:rPr>
      </w:pPr>
      <w:r w:rsidRPr="008F328C">
        <w:rPr>
          <w:rFonts w:eastAsia="Times New Roman"/>
          <w:lang w:val="pl-PL"/>
        </w:rPr>
        <w:t>W badaniu I w RZS oceniono 271 pacjentów z czynnym reumatoidalnym zapaleniem stawów o nasileniu umiarkowanym do ciężkiego.</w:t>
      </w:r>
      <w:r w:rsidRPr="008F328C">
        <w:rPr>
          <w:lang w:val="pl-PL"/>
        </w:rPr>
        <w:t xml:space="preserve"> </w:t>
      </w:r>
      <w:r w:rsidRPr="008F328C">
        <w:rPr>
          <w:rFonts w:eastAsia="Times New Roman"/>
          <w:lang w:val="pl-PL"/>
        </w:rPr>
        <w:t>Pacjenci byli w wieku ≥ 18 lat, w przeszłości byli bez powodzenia leczeni przynajmniej jednym lekiem modyfikującym przebieg choroby, skuteczność metotreksatu w dawce od 12,5 do 25 mg (10 mg, gdy nie tolerowali metotreksatu) raz w tygodniu była niedostateczna i u których dawka metotreksatu utrzymywana była na stałym poziomie 10 do 25 mg raz w tygodniu. Dawkę 20, 40 lub 80 mg adalimumabu lub placebo podawano co drugi tydzień przez 24 tygodnie.</w:t>
      </w:r>
    </w:p>
    <w:p w14:paraId="3A380938" w14:textId="77777777" w:rsidR="00C27F39" w:rsidRPr="008F328C" w:rsidRDefault="00C27F39" w:rsidP="00C27F39">
      <w:pPr>
        <w:spacing w:before="13" w:line="240" w:lineRule="exact"/>
        <w:rPr>
          <w:rFonts w:ascii="Times New Roman" w:hAnsi="Times New Roman" w:cs="Times New Roman"/>
          <w:sz w:val="24"/>
          <w:szCs w:val="24"/>
          <w:lang w:val="pl-PL"/>
        </w:rPr>
      </w:pPr>
    </w:p>
    <w:p w14:paraId="12C66C7C" w14:textId="77777777" w:rsidR="00C27F39" w:rsidRPr="008F328C" w:rsidRDefault="00C27F39" w:rsidP="00C27F39">
      <w:pPr>
        <w:pStyle w:val="a3"/>
        <w:rPr>
          <w:lang w:val="pl-PL"/>
        </w:rPr>
      </w:pPr>
      <w:r w:rsidRPr="008F328C">
        <w:rPr>
          <w:rFonts w:eastAsia="Times New Roman"/>
          <w:lang w:val="pl-PL"/>
        </w:rPr>
        <w:t>W badaniu II w RZS oceniono 544 pacjentów z czynnym reumatoidalnym zapaleniem stawów o nasileniu umiarkowanym do ciężkiego.</w:t>
      </w:r>
      <w:r w:rsidRPr="008F328C">
        <w:rPr>
          <w:lang w:val="pl-PL"/>
        </w:rPr>
        <w:t xml:space="preserve"> </w:t>
      </w:r>
      <w:r w:rsidRPr="008F328C">
        <w:rPr>
          <w:rFonts w:eastAsia="Times New Roman"/>
          <w:lang w:val="pl-PL"/>
        </w:rPr>
        <w:t>Pacjenci byli w wieku ≥ 18 lat i w przeszłości byli bez powodzenia leczeni przynajmniej jednym lekiem modyfikującym przebieg choroby. Podawano im adalimumabu w dawce 20 lub 40 mg we wstrzyknięciu podskórnym co drugi tydzień naprzemiennie z placebo w pozostałych tygodniach lub adalimumab co tydzień przez 26 tygodni; placebo podawano co tydzień przez ten sam okres. Nie wolno było przyjmować innych leków modyfikujących przebieg choroby.</w:t>
      </w:r>
    </w:p>
    <w:p w14:paraId="613C7AEE" w14:textId="77777777" w:rsidR="00C27F39" w:rsidRPr="008F328C" w:rsidRDefault="00C27F39" w:rsidP="00C27F39">
      <w:pPr>
        <w:spacing w:before="13" w:line="240" w:lineRule="exact"/>
        <w:rPr>
          <w:rFonts w:ascii="Times New Roman" w:hAnsi="Times New Roman" w:cs="Times New Roman"/>
          <w:sz w:val="24"/>
          <w:szCs w:val="24"/>
          <w:lang w:val="pl-PL"/>
        </w:rPr>
      </w:pPr>
    </w:p>
    <w:p w14:paraId="6844EAE7" w14:textId="77777777" w:rsidR="00C27F39" w:rsidRPr="008F328C" w:rsidRDefault="00C27F39" w:rsidP="00C27F39">
      <w:pPr>
        <w:pStyle w:val="a3"/>
        <w:rPr>
          <w:lang w:val="pl-PL"/>
        </w:rPr>
      </w:pPr>
      <w:r w:rsidRPr="008F328C">
        <w:rPr>
          <w:rFonts w:eastAsia="Times New Roman"/>
          <w:lang w:val="pl-PL"/>
        </w:rPr>
        <w:t>W badaniu III w RZS oceniono 619 pacjentów z czynnym reumatoidalnym zapaleniem stawów o nasileniu umiarkowanym do ciężkiego,</w:t>
      </w:r>
      <w:r w:rsidRPr="008F328C">
        <w:rPr>
          <w:lang w:val="pl-PL"/>
        </w:rPr>
        <w:t xml:space="preserve"> </w:t>
      </w:r>
      <w:r w:rsidRPr="008F328C">
        <w:rPr>
          <w:rFonts w:eastAsia="Times New Roman"/>
          <w:lang w:val="pl-PL"/>
        </w:rPr>
        <w:t>w wieku ≥ 18 lat, u których metotreksat w dawce 12,5 do 25 mg był nieskuteczny lub pacjenci nie tolerowali metotreksatu w dawce 10 mg co tydzień. W badaniu uczestniczyły trzy grupy. Pierwsza otrzymywała wstrzyknięcia placebo co tydzień przez 52 tygodnie. Druga otrzymywała 20 mg adalimumabu co tydzień przez 52. tygodnie. Trzecia grupa otrzymywała 40 mg adalimumabu co drugi tydzień naprzemiennie z wstrzyknięciami placebo w pozostałych tygodniach. Po zakończeniu pierwszych 52 tygodni leczenia, 457 pacjentów włączono do fazy otwartej będącej kontynuacją tego badania, w której adalimumabu 40 mg/MTX podawano co drugi tydzień przez okres do 10 lat.</w:t>
      </w:r>
    </w:p>
    <w:p w14:paraId="36F49615" w14:textId="77777777" w:rsidR="00C27F39" w:rsidRPr="008F328C" w:rsidRDefault="00C27F39" w:rsidP="00C27F39">
      <w:pPr>
        <w:spacing w:before="13" w:line="240" w:lineRule="exact"/>
        <w:rPr>
          <w:rFonts w:ascii="Times New Roman" w:hAnsi="Times New Roman" w:cs="Times New Roman"/>
          <w:sz w:val="24"/>
          <w:szCs w:val="24"/>
          <w:lang w:val="pl-PL"/>
        </w:rPr>
      </w:pPr>
    </w:p>
    <w:p w14:paraId="602E6843" w14:textId="77777777" w:rsidR="00C27F39" w:rsidRPr="008F328C" w:rsidRDefault="00C27F39" w:rsidP="00C27F39">
      <w:pPr>
        <w:pStyle w:val="a3"/>
        <w:rPr>
          <w:lang w:val="pl-PL"/>
        </w:rPr>
      </w:pPr>
      <w:r w:rsidRPr="008F328C">
        <w:rPr>
          <w:rFonts w:eastAsia="Times New Roman"/>
          <w:lang w:val="pl-PL"/>
        </w:rPr>
        <w:t xml:space="preserve">W badaniu IV w RZS u 636 pacjentów z czynnym reumatoidalnym zapaleniem stawów o nasileniu umiarkowanym do ciężkiego, w wieku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18 lat oceniano przede wszystkim bezpieczeństwo stosowania. Pacjenci, albo nigdy nie przyjmowali innych leków modyfikujących przebieg choroby, albo mogli kontynuować stosowane wcześniej leczenie przeciwreumatyczne pod warunkiem, że nie było ono zmieniane przez co najmniej 28 dni. Były to takie leki, jak metotreksat, leflunomid, hydroksychlorochina, sulfasalazyna i (lub) sole złota. Pacjenci byli losowo przydzieleni do grupy otrzymującej 40 mg adalimumabu lub do grupy otrzymującej placebo co drugi tydzień przez 24 tygodnie.</w:t>
      </w:r>
    </w:p>
    <w:p w14:paraId="6F62BADD" w14:textId="77777777" w:rsidR="00C27F39" w:rsidRPr="008F328C" w:rsidRDefault="00C27F39" w:rsidP="00C27F39">
      <w:pPr>
        <w:spacing w:before="11" w:line="240" w:lineRule="exact"/>
        <w:rPr>
          <w:rFonts w:ascii="Times New Roman" w:hAnsi="Times New Roman" w:cs="Times New Roman"/>
          <w:sz w:val="24"/>
          <w:szCs w:val="24"/>
          <w:lang w:val="pl-PL"/>
        </w:rPr>
      </w:pPr>
    </w:p>
    <w:p w14:paraId="39A79909" w14:textId="77777777" w:rsidR="00C27F39" w:rsidRPr="008F328C" w:rsidRDefault="00C27F39" w:rsidP="00C27F39">
      <w:pPr>
        <w:pStyle w:val="a3"/>
        <w:rPr>
          <w:lang w:val="pl-PL"/>
        </w:rPr>
      </w:pPr>
      <w:r w:rsidRPr="008F328C">
        <w:rPr>
          <w:rFonts w:eastAsia="Times New Roman"/>
          <w:lang w:val="pl-PL"/>
        </w:rPr>
        <w:t xml:space="preserve">W badaniu V w RZS oceniono 799 dorosłych pacjentów z czynnym wczesnym reumatoidalnym zapaleniem stawów (średni czas trwania choroby mniej niż 9 miesięcy) o nasileniu umiarkowanym do ciężkiego, którym nie podawano wcześniej metotreksatu. Przez 104 tygodnie w badaniu oceniono </w:t>
      </w:r>
      <w:r w:rsidRPr="008F328C">
        <w:rPr>
          <w:rFonts w:eastAsia="Times New Roman"/>
          <w:lang w:val="pl-PL"/>
        </w:rPr>
        <w:lastRenderedPageBreak/>
        <w:t>skuteczność skojarzonego leczenia adalimumabem 40 mg co drugi tydzień i metotreksatem, adalimumabem 40 mg co drugi tydzień w monoterapii oraz metotreksatem w monoterapii, w zmniejszaniu nasilenia objawów przedmiotowych i podmiotowych oraz szybkości postępu uszkodzenia stawów w przebiegu reumatoidalnego zapalenia stawów. Po zakończeniu pierwszych 104 tygodni leczenia, 497 pacjentów włączono do fazy otwartej, będącej kontynuacją tego badania, w której 40 mg adalimumabu podawano co drugi tydzień przez okres do 10 lat.</w:t>
      </w:r>
    </w:p>
    <w:p w14:paraId="6DA6C5B5" w14:textId="77777777" w:rsidR="00C27F39" w:rsidRPr="008F328C" w:rsidRDefault="00C27F39" w:rsidP="00C27F39">
      <w:pPr>
        <w:spacing w:before="13" w:line="240" w:lineRule="exact"/>
        <w:rPr>
          <w:rFonts w:ascii="Times New Roman" w:hAnsi="Times New Roman" w:cs="Times New Roman"/>
          <w:sz w:val="24"/>
          <w:szCs w:val="24"/>
          <w:lang w:val="pl-PL"/>
        </w:rPr>
      </w:pPr>
    </w:p>
    <w:p w14:paraId="1C54BD67" w14:textId="1F16E5CA" w:rsidR="00C27F39" w:rsidRPr="008F328C" w:rsidRDefault="00C27F39" w:rsidP="00C27F39">
      <w:pPr>
        <w:pStyle w:val="a3"/>
        <w:rPr>
          <w:lang w:val="pl-PL"/>
        </w:rPr>
      </w:pPr>
      <w:r w:rsidRPr="008F328C">
        <w:rPr>
          <w:rFonts w:eastAsia="Times New Roman"/>
          <w:lang w:val="pl-PL"/>
        </w:rPr>
        <w:t>Pierwszorzędowym punktem końcowym w badaniach I, II i III w RZS oraz drugorzędowym punktem końcowym w badaniu IV w RZS był odsetek pacjentów, którzy uzyskali odpowiedź 20 w skali ACR (ang. American College of Rheumatology) w 24. lub 26. tygodniu badania. Pierwszorzędowym punktem końcowym w badaniu V w RZS był odsetek pacjentów, którzy uzyskali odpowiedź 50 w skali ACR w 52. tygodniu badania. Dodatkowym pierwszorzędowym punktem końcowym w badaniach III i V w RZS w 52. tygodniu było opóźnienie postępu choroby (stwierdzone badaniem radiologicznym).</w:t>
      </w:r>
      <w:r w:rsidR="00270309" w:rsidRPr="008F328C">
        <w:rPr>
          <w:rFonts w:eastAsia="Times New Roman"/>
          <w:lang w:val="pl-PL"/>
        </w:rPr>
        <w:t xml:space="preserve"> </w:t>
      </w:r>
      <w:r w:rsidRPr="008F328C">
        <w:rPr>
          <w:rFonts w:eastAsia="Times New Roman"/>
          <w:lang w:val="pl-PL"/>
        </w:rPr>
        <w:t xml:space="preserve">Pierwszorzędowym punktem końcowym w badaniu III w RZS były </w:t>
      </w:r>
      <w:r w:rsidR="00270309" w:rsidRPr="008F328C">
        <w:rPr>
          <w:rFonts w:eastAsia="Times New Roman"/>
          <w:lang w:val="pl-PL"/>
        </w:rPr>
        <w:t>również zmiany w jakości życia.</w:t>
      </w:r>
    </w:p>
    <w:p w14:paraId="79F2D987" w14:textId="77777777" w:rsidR="00C27F39" w:rsidRPr="008F328C" w:rsidRDefault="00C27F39" w:rsidP="00C27F39">
      <w:pPr>
        <w:spacing w:before="13" w:line="240" w:lineRule="exact"/>
        <w:rPr>
          <w:rFonts w:ascii="Times New Roman" w:hAnsi="Times New Roman" w:cs="Times New Roman"/>
          <w:sz w:val="24"/>
          <w:szCs w:val="24"/>
          <w:lang w:val="pl-PL"/>
        </w:rPr>
      </w:pPr>
    </w:p>
    <w:p w14:paraId="74900A53" w14:textId="77777777" w:rsidR="00C27F39" w:rsidRPr="008F328C" w:rsidRDefault="00C27F39" w:rsidP="00C27F39">
      <w:pPr>
        <w:rPr>
          <w:rFonts w:ascii="Times New Roman" w:eastAsia="Times New Roman" w:hAnsi="Times New Roman" w:cs="Times New Roman"/>
          <w:lang w:val="pl-PL"/>
        </w:rPr>
      </w:pPr>
      <w:r w:rsidRPr="008F328C">
        <w:rPr>
          <w:rFonts w:ascii="Times New Roman" w:eastAsia="Times New Roman" w:hAnsi="Times New Roman" w:cs="Times New Roman"/>
          <w:i/>
          <w:iCs/>
          <w:spacing w:val="-1"/>
          <w:u w:val="single" w:color="000000"/>
          <w:lang w:val="pl-PL"/>
        </w:rPr>
        <w:t>Odpowiedź w skali ACR</w:t>
      </w:r>
    </w:p>
    <w:p w14:paraId="54E8FCC6" w14:textId="77777777" w:rsidR="00C27F39" w:rsidRPr="008F328C" w:rsidRDefault="00C27F39" w:rsidP="00C27F39">
      <w:pPr>
        <w:spacing w:before="1" w:line="180" w:lineRule="exact"/>
        <w:rPr>
          <w:rFonts w:ascii="Times New Roman" w:hAnsi="Times New Roman" w:cs="Times New Roman"/>
          <w:sz w:val="18"/>
          <w:szCs w:val="18"/>
          <w:lang w:val="pl-PL"/>
        </w:rPr>
      </w:pPr>
    </w:p>
    <w:p w14:paraId="0936240E" w14:textId="2A056D12" w:rsidR="00C27F39" w:rsidRPr="008F328C" w:rsidRDefault="00C27F39" w:rsidP="00C27F39">
      <w:pPr>
        <w:pStyle w:val="a3"/>
        <w:rPr>
          <w:lang w:val="pl-PL"/>
        </w:rPr>
      </w:pPr>
      <w:r w:rsidRPr="008F328C">
        <w:rPr>
          <w:rFonts w:eastAsia="Times New Roman"/>
          <w:lang w:val="pl-PL"/>
        </w:rPr>
        <w:t xml:space="preserve">W badaniach I, II i III w RZS odsetek pacjentów leczonych adalimumabem, którzy uzyskali odpowiedzi 20, 50 i 70 w skali ACR był podobny. Wyniki uzyskane po podawaniu dawki 40 mg co drugi tydzień przedstawiono w Tabeli </w:t>
      </w:r>
      <w:r w:rsidR="00270309" w:rsidRPr="008F328C">
        <w:rPr>
          <w:rFonts w:eastAsia="Times New Roman"/>
          <w:lang w:val="pl-PL"/>
        </w:rPr>
        <w:t>7</w:t>
      </w:r>
      <w:r w:rsidRPr="008F328C">
        <w:rPr>
          <w:rFonts w:eastAsia="Times New Roman"/>
          <w:lang w:val="pl-PL"/>
        </w:rPr>
        <w:t>.</w:t>
      </w:r>
    </w:p>
    <w:p w14:paraId="7D11E4AE" w14:textId="77777777" w:rsidR="00C27F39" w:rsidRPr="008F328C" w:rsidRDefault="00C27F39" w:rsidP="00C27F39">
      <w:pPr>
        <w:spacing w:before="15" w:line="240" w:lineRule="exact"/>
        <w:rPr>
          <w:rFonts w:ascii="Times New Roman" w:hAnsi="Times New Roman" w:cs="Times New Roman"/>
          <w:sz w:val="24"/>
          <w:szCs w:val="24"/>
          <w:lang w:val="pl-PL"/>
        </w:rPr>
      </w:pPr>
    </w:p>
    <w:p w14:paraId="327EDEDF" w14:textId="66C7F6DB" w:rsidR="00C27F39" w:rsidRPr="008F328C" w:rsidRDefault="00C27F39" w:rsidP="00C27F39">
      <w:pPr>
        <w:jc w:val="center"/>
        <w:rPr>
          <w:rFonts w:ascii="Times New Roman" w:hAnsi="Times New Roman" w:cs="Times New Roman"/>
          <w:lang w:val="pl-PL"/>
        </w:rPr>
      </w:pPr>
      <w:r w:rsidRPr="008F328C">
        <w:rPr>
          <w:rFonts w:ascii="Times New Roman" w:eastAsia="Times New Roman" w:hAnsi="Times New Roman" w:cs="Times New Roman"/>
          <w:b/>
          <w:bCs/>
          <w:lang w:val="pl-PL"/>
        </w:rPr>
        <w:t xml:space="preserve">Tabela </w:t>
      </w:r>
      <w:r w:rsidR="00270309" w:rsidRPr="008F328C">
        <w:rPr>
          <w:rFonts w:ascii="Times New Roman" w:eastAsia="Times New Roman" w:hAnsi="Times New Roman" w:cs="Times New Roman"/>
          <w:b/>
          <w:bCs/>
          <w:lang w:val="pl-PL"/>
        </w:rPr>
        <w:t>7</w:t>
      </w:r>
    </w:p>
    <w:p w14:paraId="4838EDFF" w14:textId="77777777" w:rsidR="00C27F39" w:rsidRPr="008F328C" w:rsidRDefault="00C27F39" w:rsidP="00C27F39">
      <w:pPr>
        <w:pStyle w:val="a3"/>
        <w:jc w:val="center"/>
        <w:rPr>
          <w:b/>
          <w:lang w:val="pl-PL"/>
        </w:rPr>
      </w:pPr>
      <w:r w:rsidRPr="008F328C">
        <w:rPr>
          <w:rFonts w:eastAsia="Times New Roman"/>
          <w:b/>
          <w:bCs/>
          <w:lang w:val="pl-PL"/>
        </w:rPr>
        <w:t xml:space="preserve">Odpowiedzi w skali ACR w badaniach z grupami kontrolnymi otrzymującymi placebo </w:t>
      </w:r>
      <w:r w:rsidRPr="008F328C">
        <w:rPr>
          <w:rFonts w:eastAsia="Times New Roman"/>
          <w:b/>
          <w:bCs/>
          <w:lang w:val="pl-PL"/>
        </w:rPr>
        <w:br/>
        <w:t>(odsetek pacjentów)</w:t>
      </w:r>
    </w:p>
    <w:p w14:paraId="4B0F396F" w14:textId="77777777" w:rsidR="00C27F39" w:rsidRPr="008F328C" w:rsidRDefault="00C27F39" w:rsidP="00C27F39">
      <w:pPr>
        <w:spacing w:before="11" w:line="240" w:lineRule="exact"/>
        <w:rPr>
          <w:rFonts w:ascii="Times New Roman" w:hAnsi="Times New Roman" w:cs="Times New Roman"/>
          <w:sz w:val="24"/>
          <w:szCs w:val="24"/>
          <w:lang w:val="pl-PL"/>
        </w:rPr>
      </w:pPr>
    </w:p>
    <w:tbl>
      <w:tblPr>
        <w:tblStyle w:val="TableNormal1"/>
        <w:tblW w:w="0" w:type="auto"/>
        <w:tblInd w:w="201" w:type="dxa"/>
        <w:tblLayout w:type="fixed"/>
        <w:tblLook w:val="01E0" w:firstRow="1" w:lastRow="1" w:firstColumn="1" w:lastColumn="1" w:noHBand="0" w:noVBand="0"/>
      </w:tblPr>
      <w:tblGrid>
        <w:gridCol w:w="1186"/>
        <w:gridCol w:w="1075"/>
        <w:gridCol w:w="1608"/>
        <w:gridCol w:w="1273"/>
        <w:gridCol w:w="1288"/>
        <w:gridCol w:w="1151"/>
        <w:gridCol w:w="1544"/>
      </w:tblGrid>
      <w:tr w:rsidR="00C27F39" w:rsidRPr="008F328C" w14:paraId="64DC9E05" w14:textId="77777777" w:rsidTr="00ED6A7B">
        <w:tc>
          <w:tcPr>
            <w:tcW w:w="1186" w:type="dxa"/>
            <w:vMerge w:val="restart"/>
            <w:tcBorders>
              <w:top w:val="single" w:sz="4" w:space="0" w:color="auto"/>
              <w:left w:val="single" w:sz="4" w:space="0" w:color="auto"/>
              <w:right w:val="single" w:sz="4" w:space="0" w:color="auto"/>
            </w:tcBorders>
          </w:tcPr>
          <w:p w14:paraId="221B4373" w14:textId="77777777" w:rsidR="00C27F39" w:rsidRPr="008F328C" w:rsidRDefault="00C27F39" w:rsidP="00ED6A7B">
            <w:pPr>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Odpowiedź</w:t>
            </w:r>
          </w:p>
        </w:tc>
        <w:tc>
          <w:tcPr>
            <w:tcW w:w="2683" w:type="dxa"/>
            <w:gridSpan w:val="2"/>
            <w:tcBorders>
              <w:top w:val="single" w:sz="4" w:space="0" w:color="auto"/>
              <w:left w:val="single" w:sz="4" w:space="0" w:color="auto"/>
              <w:bottom w:val="single" w:sz="4" w:space="0" w:color="auto"/>
              <w:right w:val="single" w:sz="4" w:space="0" w:color="auto"/>
            </w:tcBorders>
          </w:tcPr>
          <w:p w14:paraId="0AF74A61"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561" w:type="dxa"/>
            <w:gridSpan w:val="2"/>
            <w:tcBorders>
              <w:top w:val="single" w:sz="4" w:space="0" w:color="auto"/>
              <w:left w:val="single" w:sz="4" w:space="0" w:color="auto"/>
              <w:bottom w:val="single" w:sz="4" w:space="0" w:color="auto"/>
              <w:right w:val="single" w:sz="4" w:space="0" w:color="auto"/>
            </w:tcBorders>
          </w:tcPr>
          <w:p w14:paraId="4BED162C"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c>
          <w:tcPr>
            <w:tcW w:w="2695" w:type="dxa"/>
            <w:gridSpan w:val="2"/>
            <w:tcBorders>
              <w:top w:val="single" w:sz="4" w:space="0" w:color="auto"/>
              <w:left w:val="single" w:sz="4" w:space="0" w:color="auto"/>
              <w:bottom w:val="single" w:sz="4" w:space="0" w:color="auto"/>
              <w:right w:val="single" w:sz="4" w:space="0" w:color="auto"/>
            </w:tcBorders>
          </w:tcPr>
          <w:p w14:paraId="617872E5"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Badanie III w RZS</w:t>
            </w:r>
            <w:r w:rsidRPr="008F328C">
              <w:rPr>
                <w:rFonts w:ascii="Times New Roman" w:eastAsia="Times New Roman" w:hAnsi="Times New Roman" w:cs="Times New Roman"/>
                <w:spacing w:val="-1"/>
                <w:sz w:val="14"/>
                <w:szCs w:val="14"/>
                <w:lang w:val="pl-PL"/>
              </w:rPr>
              <w:t>a</w:t>
            </w:r>
            <w:r w:rsidRPr="008F328C">
              <w:rPr>
                <w:rFonts w:ascii="Times New Roman" w:eastAsia="Times New Roman" w:hAnsi="Times New Roman" w:cs="Times New Roman"/>
                <w:spacing w:val="-1"/>
                <w:lang w:val="pl-PL"/>
              </w:rPr>
              <w:t>**</w:t>
            </w:r>
          </w:p>
        </w:tc>
      </w:tr>
      <w:tr w:rsidR="00C27F39" w:rsidRPr="008F328C" w14:paraId="7D25DBC1" w14:textId="77777777" w:rsidTr="00ED6A7B">
        <w:tc>
          <w:tcPr>
            <w:tcW w:w="1186" w:type="dxa"/>
            <w:vMerge/>
            <w:tcBorders>
              <w:left w:val="single" w:sz="4" w:space="0" w:color="auto"/>
              <w:bottom w:val="single" w:sz="4" w:space="0" w:color="auto"/>
              <w:right w:val="single" w:sz="4" w:space="0" w:color="auto"/>
            </w:tcBorders>
          </w:tcPr>
          <w:p w14:paraId="7EA7160E" w14:textId="77777777" w:rsidR="00C27F39" w:rsidRPr="008F328C" w:rsidRDefault="00C27F39" w:rsidP="00ED6A7B">
            <w:pPr>
              <w:jc w:val="center"/>
              <w:rPr>
                <w:rFonts w:ascii="Times New Roman" w:hAnsi="Times New Roman" w:cs="Times New Roman"/>
                <w:lang w:val="pl-PL"/>
              </w:rPr>
            </w:pPr>
          </w:p>
        </w:tc>
        <w:tc>
          <w:tcPr>
            <w:tcW w:w="1075" w:type="dxa"/>
            <w:tcBorders>
              <w:top w:val="single" w:sz="4" w:space="0" w:color="auto"/>
              <w:left w:val="single" w:sz="4" w:space="0" w:color="auto"/>
              <w:bottom w:val="single" w:sz="4" w:space="0" w:color="auto"/>
              <w:right w:val="single" w:sz="4" w:space="0" w:color="auto"/>
            </w:tcBorders>
          </w:tcPr>
          <w:p w14:paraId="6B061B08"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6447FD29" w14:textId="77777777" w:rsidR="00C27F39" w:rsidRPr="008F328C" w:rsidRDefault="00C27F39" w:rsidP="00ED6A7B">
            <w:pPr>
              <w:pStyle w:val="TableParagraph"/>
              <w:spacing w:before="5"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n=60</w:t>
            </w:r>
          </w:p>
        </w:tc>
        <w:tc>
          <w:tcPr>
            <w:tcW w:w="1608" w:type="dxa"/>
            <w:tcBorders>
              <w:top w:val="single" w:sz="4" w:space="0" w:color="auto"/>
              <w:left w:val="single" w:sz="4" w:space="0" w:color="auto"/>
              <w:bottom w:val="single" w:sz="4" w:space="0" w:color="auto"/>
              <w:right w:val="single" w:sz="4" w:space="0" w:color="auto"/>
            </w:tcBorders>
          </w:tcPr>
          <w:p w14:paraId="38C80674" w14:textId="77777777" w:rsidR="00C27F39" w:rsidRPr="008F328C" w:rsidRDefault="00C27F39" w:rsidP="00ED6A7B">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6CAC73F1"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n=63</w:t>
            </w:r>
          </w:p>
        </w:tc>
        <w:tc>
          <w:tcPr>
            <w:tcW w:w="1273" w:type="dxa"/>
            <w:tcBorders>
              <w:top w:val="single" w:sz="4" w:space="0" w:color="auto"/>
              <w:left w:val="single" w:sz="4" w:space="0" w:color="auto"/>
              <w:bottom w:val="single" w:sz="4" w:space="0" w:color="auto"/>
              <w:right w:val="single" w:sz="4" w:space="0" w:color="auto"/>
            </w:tcBorders>
          </w:tcPr>
          <w:p w14:paraId="2EE8E2A8"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374C157B"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n=110</w:t>
            </w:r>
          </w:p>
        </w:tc>
        <w:tc>
          <w:tcPr>
            <w:tcW w:w="1288" w:type="dxa"/>
            <w:tcBorders>
              <w:top w:val="single" w:sz="4" w:space="0" w:color="auto"/>
              <w:left w:val="single" w:sz="4" w:space="0" w:color="auto"/>
              <w:bottom w:val="single" w:sz="4" w:space="0" w:color="auto"/>
              <w:right w:val="single" w:sz="4" w:space="0" w:color="auto"/>
            </w:tcBorders>
          </w:tcPr>
          <w:p w14:paraId="7CE0F056" w14:textId="77777777" w:rsidR="00C27F39" w:rsidRPr="008F328C" w:rsidRDefault="00C27F39" w:rsidP="00ED6A7B">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p>
          <w:p w14:paraId="5C711F95"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n=113</w:t>
            </w:r>
          </w:p>
        </w:tc>
        <w:tc>
          <w:tcPr>
            <w:tcW w:w="1151" w:type="dxa"/>
            <w:tcBorders>
              <w:top w:val="single" w:sz="4" w:space="0" w:color="auto"/>
              <w:left w:val="single" w:sz="4" w:space="0" w:color="auto"/>
              <w:bottom w:val="single" w:sz="4" w:space="0" w:color="auto"/>
              <w:right w:val="single" w:sz="4" w:space="0" w:color="auto"/>
            </w:tcBorders>
          </w:tcPr>
          <w:p w14:paraId="7AD57935"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Placebo/</w:t>
            </w:r>
          </w:p>
          <w:p w14:paraId="6A97DD8A" w14:textId="77777777" w:rsidR="00C27F39" w:rsidRPr="008F328C" w:rsidRDefault="00C27F39" w:rsidP="00ED6A7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sz w:val="14"/>
                <w:szCs w:val="14"/>
                <w:lang w:val="pl-PL"/>
              </w:rPr>
              <w:t xml:space="preserve">c </w:t>
            </w:r>
            <w:r w:rsidRPr="008F328C">
              <w:rPr>
                <w:rFonts w:ascii="Times New Roman" w:eastAsia="Times New Roman" w:hAnsi="Times New Roman" w:cs="Times New Roman"/>
                <w:lang w:val="pl-PL"/>
              </w:rPr>
              <w:t>n=200</w:t>
            </w:r>
          </w:p>
        </w:tc>
        <w:tc>
          <w:tcPr>
            <w:tcW w:w="1544" w:type="dxa"/>
            <w:tcBorders>
              <w:top w:val="single" w:sz="4" w:space="0" w:color="auto"/>
              <w:left w:val="single" w:sz="4" w:space="0" w:color="auto"/>
              <w:bottom w:val="single" w:sz="4" w:space="0" w:color="auto"/>
              <w:right w:val="single" w:sz="4" w:space="0" w:color="auto"/>
            </w:tcBorders>
          </w:tcPr>
          <w:p w14:paraId="5F1AD790" w14:textId="77777777" w:rsidR="00C27F39" w:rsidRPr="008F328C" w:rsidRDefault="00C27F39" w:rsidP="00ED6A7B">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Adalimumab</w:t>
            </w:r>
            <w:r w:rsidRPr="008F328C">
              <w:rPr>
                <w:rFonts w:ascii="Times New Roman" w:eastAsia="Times New Roman" w:hAnsi="Times New Roman" w:cs="Times New Roman"/>
                <w:spacing w:val="-1"/>
                <w:sz w:val="14"/>
                <w:szCs w:val="14"/>
                <w:lang w:val="pl-PL"/>
              </w:rPr>
              <w:t>b</w:t>
            </w:r>
            <w:r w:rsidRPr="008F328C">
              <w:rPr>
                <w:rFonts w:ascii="Times New Roman" w:eastAsia="Times New Roman" w:hAnsi="Times New Roman" w:cs="Times New Roman"/>
                <w:spacing w:val="-1"/>
                <w:lang w:val="pl-PL"/>
              </w:rPr>
              <w:t>/ MTX</w:t>
            </w:r>
            <w:r w:rsidRPr="008F328C">
              <w:rPr>
                <w:rFonts w:ascii="Times New Roman" w:eastAsia="Times New Roman" w:hAnsi="Times New Roman" w:cs="Times New Roman"/>
                <w:spacing w:val="-1"/>
                <w:sz w:val="14"/>
                <w:szCs w:val="14"/>
                <w:lang w:val="pl-PL"/>
              </w:rPr>
              <w:t>c</w:t>
            </w:r>
          </w:p>
          <w:p w14:paraId="23CCA6C0"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n=207</w:t>
            </w:r>
          </w:p>
        </w:tc>
      </w:tr>
      <w:tr w:rsidR="00C27F39" w:rsidRPr="008F328C" w14:paraId="4FE6BC81" w14:textId="77777777" w:rsidTr="00ED6A7B">
        <w:tc>
          <w:tcPr>
            <w:tcW w:w="1186" w:type="dxa"/>
            <w:tcBorders>
              <w:top w:val="single" w:sz="4" w:space="0" w:color="auto"/>
              <w:left w:val="single" w:sz="4" w:space="0" w:color="auto"/>
              <w:bottom w:val="nil"/>
              <w:right w:val="single" w:sz="8" w:space="0" w:color="000000"/>
            </w:tcBorders>
          </w:tcPr>
          <w:p w14:paraId="306C6A4F" w14:textId="77777777" w:rsidR="00C27F39" w:rsidRPr="008F328C" w:rsidRDefault="00C27F39" w:rsidP="00ED6A7B">
            <w:pPr>
              <w:pStyle w:val="TableParagraph"/>
              <w:spacing w:line="248"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20</w:t>
            </w:r>
          </w:p>
        </w:tc>
        <w:tc>
          <w:tcPr>
            <w:tcW w:w="1075" w:type="dxa"/>
            <w:vMerge w:val="restart"/>
            <w:tcBorders>
              <w:top w:val="single" w:sz="4" w:space="0" w:color="auto"/>
              <w:left w:val="single" w:sz="8" w:space="0" w:color="000000"/>
              <w:right w:val="nil"/>
            </w:tcBorders>
          </w:tcPr>
          <w:p w14:paraId="4A372174"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400B474B"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13,3%</w:t>
            </w:r>
          </w:p>
        </w:tc>
        <w:tc>
          <w:tcPr>
            <w:tcW w:w="1608" w:type="dxa"/>
            <w:vMerge w:val="restart"/>
            <w:tcBorders>
              <w:top w:val="single" w:sz="4" w:space="0" w:color="auto"/>
              <w:left w:val="nil"/>
              <w:right w:val="single" w:sz="7" w:space="0" w:color="000000"/>
            </w:tcBorders>
          </w:tcPr>
          <w:p w14:paraId="0BBACE28"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18839A11"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65,1%</w:t>
            </w:r>
          </w:p>
        </w:tc>
        <w:tc>
          <w:tcPr>
            <w:tcW w:w="1273" w:type="dxa"/>
            <w:vMerge w:val="restart"/>
            <w:tcBorders>
              <w:top w:val="single" w:sz="4" w:space="0" w:color="auto"/>
              <w:left w:val="single" w:sz="7" w:space="0" w:color="000000"/>
              <w:right w:val="nil"/>
            </w:tcBorders>
          </w:tcPr>
          <w:p w14:paraId="0BBA473C"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044B8019"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19,1%</w:t>
            </w:r>
          </w:p>
        </w:tc>
        <w:tc>
          <w:tcPr>
            <w:tcW w:w="1288" w:type="dxa"/>
            <w:vMerge w:val="restart"/>
            <w:tcBorders>
              <w:top w:val="single" w:sz="4" w:space="0" w:color="auto"/>
              <w:left w:val="nil"/>
              <w:right w:val="single" w:sz="7" w:space="0" w:color="000000"/>
            </w:tcBorders>
          </w:tcPr>
          <w:p w14:paraId="5F7DF481"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7E19E641"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46,0%</w:t>
            </w:r>
          </w:p>
        </w:tc>
        <w:tc>
          <w:tcPr>
            <w:tcW w:w="1151" w:type="dxa"/>
            <w:vMerge w:val="restart"/>
            <w:tcBorders>
              <w:top w:val="single" w:sz="4" w:space="0" w:color="auto"/>
              <w:left w:val="single" w:sz="7" w:space="0" w:color="000000"/>
              <w:right w:val="nil"/>
            </w:tcBorders>
          </w:tcPr>
          <w:p w14:paraId="42A3534F"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0EBFD5BE"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29,5%</w:t>
            </w:r>
          </w:p>
        </w:tc>
        <w:tc>
          <w:tcPr>
            <w:tcW w:w="1544" w:type="dxa"/>
            <w:vMerge w:val="restart"/>
            <w:tcBorders>
              <w:top w:val="single" w:sz="4" w:space="0" w:color="auto"/>
              <w:left w:val="nil"/>
              <w:right w:val="single" w:sz="4" w:space="0" w:color="auto"/>
            </w:tcBorders>
          </w:tcPr>
          <w:p w14:paraId="70779DE8" w14:textId="77777777" w:rsidR="00C27F39" w:rsidRPr="008F328C" w:rsidRDefault="00C27F39" w:rsidP="00ED6A7B">
            <w:pPr>
              <w:pStyle w:val="TableParagraph"/>
              <w:spacing w:before="7" w:line="240" w:lineRule="exact"/>
              <w:jc w:val="center"/>
              <w:rPr>
                <w:rFonts w:ascii="Times New Roman" w:hAnsi="Times New Roman" w:cs="Times New Roman"/>
                <w:sz w:val="24"/>
                <w:szCs w:val="24"/>
                <w:lang w:val="pl-PL"/>
              </w:rPr>
            </w:pPr>
          </w:p>
          <w:p w14:paraId="37F1BCDA"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63,3%</w:t>
            </w:r>
          </w:p>
        </w:tc>
      </w:tr>
      <w:tr w:rsidR="00C27F39" w:rsidRPr="008F328C" w14:paraId="1E46DE7B" w14:textId="77777777" w:rsidTr="00ED6A7B">
        <w:tc>
          <w:tcPr>
            <w:tcW w:w="1186" w:type="dxa"/>
            <w:tcBorders>
              <w:top w:val="nil"/>
              <w:left w:val="single" w:sz="4" w:space="0" w:color="auto"/>
              <w:right w:val="single" w:sz="8" w:space="0" w:color="000000"/>
            </w:tcBorders>
          </w:tcPr>
          <w:p w14:paraId="61DA7B60"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vMerge/>
            <w:tcBorders>
              <w:left w:val="single" w:sz="8" w:space="0" w:color="000000"/>
              <w:right w:val="nil"/>
            </w:tcBorders>
          </w:tcPr>
          <w:p w14:paraId="15BBFBE7" w14:textId="77777777" w:rsidR="00C27F39" w:rsidRPr="008F328C" w:rsidRDefault="00C27F39" w:rsidP="00ED6A7B">
            <w:pPr>
              <w:jc w:val="center"/>
              <w:rPr>
                <w:rFonts w:ascii="Times New Roman" w:hAnsi="Times New Roman" w:cs="Times New Roman"/>
                <w:lang w:val="pl-PL"/>
              </w:rPr>
            </w:pPr>
          </w:p>
        </w:tc>
        <w:tc>
          <w:tcPr>
            <w:tcW w:w="1608" w:type="dxa"/>
            <w:vMerge/>
            <w:tcBorders>
              <w:left w:val="nil"/>
              <w:right w:val="single" w:sz="7" w:space="0" w:color="000000"/>
            </w:tcBorders>
          </w:tcPr>
          <w:p w14:paraId="67BB8137" w14:textId="77777777" w:rsidR="00C27F39" w:rsidRPr="008F328C" w:rsidRDefault="00C27F39" w:rsidP="00ED6A7B">
            <w:pPr>
              <w:jc w:val="center"/>
              <w:rPr>
                <w:rFonts w:ascii="Times New Roman" w:hAnsi="Times New Roman" w:cs="Times New Roman"/>
                <w:lang w:val="pl-PL"/>
              </w:rPr>
            </w:pPr>
          </w:p>
        </w:tc>
        <w:tc>
          <w:tcPr>
            <w:tcW w:w="1273" w:type="dxa"/>
            <w:vMerge/>
            <w:tcBorders>
              <w:left w:val="single" w:sz="7" w:space="0" w:color="000000"/>
              <w:right w:val="nil"/>
            </w:tcBorders>
          </w:tcPr>
          <w:p w14:paraId="1F5912F1" w14:textId="77777777" w:rsidR="00C27F39" w:rsidRPr="008F328C" w:rsidRDefault="00C27F39" w:rsidP="00ED6A7B">
            <w:pPr>
              <w:jc w:val="center"/>
              <w:rPr>
                <w:rFonts w:ascii="Times New Roman" w:hAnsi="Times New Roman" w:cs="Times New Roman"/>
                <w:lang w:val="pl-PL"/>
              </w:rPr>
            </w:pPr>
          </w:p>
        </w:tc>
        <w:tc>
          <w:tcPr>
            <w:tcW w:w="1288" w:type="dxa"/>
            <w:vMerge/>
            <w:tcBorders>
              <w:left w:val="nil"/>
              <w:right w:val="single" w:sz="7" w:space="0" w:color="000000"/>
            </w:tcBorders>
          </w:tcPr>
          <w:p w14:paraId="373879F9" w14:textId="77777777" w:rsidR="00C27F39" w:rsidRPr="008F328C" w:rsidRDefault="00C27F39" w:rsidP="00ED6A7B">
            <w:pPr>
              <w:jc w:val="center"/>
              <w:rPr>
                <w:rFonts w:ascii="Times New Roman" w:hAnsi="Times New Roman" w:cs="Times New Roman"/>
                <w:lang w:val="pl-PL"/>
              </w:rPr>
            </w:pPr>
          </w:p>
        </w:tc>
        <w:tc>
          <w:tcPr>
            <w:tcW w:w="1151" w:type="dxa"/>
            <w:vMerge/>
            <w:tcBorders>
              <w:left w:val="single" w:sz="7" w:space="0" w:color="000000"/>
              <w:right w:val="nil"/>
            </w:tcBorders>
          </w:tcPr>
          <w:p w14:paraId="0CAC17CF" w14:textId="77777777" w:rsidR="00C27F39" w:rsidRPr="008F328C" w:rsidRDefault="00C27F39" w:rsidP="00ED6A7B">
            <w:pPr>
              <w:jc w:val="center"/>
              <w:rPr>
                <w:rFonts w:ascii="Times New Roman" w:hAnsi="Times New Roman" w:cs="Times New Roman"/>
                <w:lang w:val="pl-PL"/>
              </w:rPr>
            </w:pPr>
          </w:p>
        </w:tc>
        <w:tc>
          <w:tcPr>
            <w:tcW w:w="1544" w:type="dxa"/>
            <w:vMerge/>
            <w:tcBorders>
              <w:left w:val="nil"/>
              <w:right w:val="single" w:sz="4" w:space="0" w:color="auto"/>
            </w:tcBorders>
          </w:tcPr>
          <w:p w14:paraId="411A0537" w14:textId="77777777" w:rsidR="00C27F39" w:rsidRPr="008F328C" w:rsidRDefault="00C27F39" w:rsidP="00ED6A7B">
            <w:pPr>
              <w:jc w:val="center"/>
              <w:rPr>
                <w:rFonts w:ascii="Times New Roman" w:hAnsi="Times New Roman" w:cs="Times New Roman"/>
                <w:lang w:val="pl-PL"/>
              </w:rPr>
            </w:pPr>
          </w:p>
        </w:tc>
      </w:tr>
      <w:tr w:rsidR="00C27F39" w:rsidRPr="008F328C" w14:paraId="0BBBA58B" w14:textId="77777777" w:rsidTr="00ED6A7B">
        <w:tc>
          <w:tcPr>
            <w:tcW w:w="1186" w:type="dxa"/>
            <w:tcBorders>
              <w:top w:val="nil"/>
              <w:left w:val="single" w:sz="4" w:space="0" w:color="auto"/>
              <w:bottom w:val="single" w:sz="4" w:space="0" w:color="auto"/>
              <w:right w:val="single" w:sz="8" w:space="0" w:color="000000"/>
            </w:tcBorders>
          </w:tcPr>
          <w:p w14:paraId="1FD1E3CF"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8" w:space="0" w:color="000000"/>
              <w:bottom w:val="single" w:sz="4" w:space="0" w:color="auto"/>
              <w:right w:val="nil"/>
            </w:tcBorders>
          </w:tcPr>
          <w:p w14:paraId="521D4ED8"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49669BB8"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0070C73A"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0197A656"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31D4CF71"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24,0%</w:t>
            </w:r>
          </w:p>
        </w:tc>
        <w:tc>
          <w:tcPr>
            <w:tcW w:w="1544" w:type="dxa"/>
            <w:tcBorders>
              <w:top w:val="nil"/>
              <w:left w:val="nil"/>
              <w:bottom w:val="single" w:sz="4" w:space="0" w:color="auto"/>
              <w:right w:val="single" w:sz="4" w:space="0" w:color="auto"/>
            </w:tcBorders>
          </w:tcPr>
          <w:p w14:paraId="4C26E8BE"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58,9%</w:t>
            </w:r>
          </w:p>
        </w:tc>
      </w:tr>
      <w:tr w:rsidR="00C27F39" w:rsidRPr="008F328C" w14:paraId="7CED335B" w14:textId="77777777" w:rsidTr="00ED6A7B">
        <w:tc>
          <w:tcPr>
            <w:tcW w:w="1186" w:type="dxa"/>
            <w:tcBorders>
              <w:top w:val="single" w:sz="4" w:space="0" w:color="auto"/>
              <w:left w:val="single" w:sz="4" w:space="0" w:color="auto"/>
              <w:bottom w:val="nil"/>
              <w:right w:val="single" w:sz="8" w:space="0" w:color="000000"/>
            </w:tcBorders>
          </w:tcPr>
          <w:p w14:paraId="38CA7F7E"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50</w:t>
            </w:r>
          </w:p>
        </w:tc>
        <w:tc>
          <w:tcPr>
            <w:tcW w:w="1075" w:type="dxa"/>
            <w:tcBorders>
              <w:top w:val="single" w:sz="4" w:space="0" w:color="auto"/>
              <w:left w:val="single" w:sz="8" w:space="0" w:color="000000"/>
              <w:bottom w:val="nil"/>
              <w:right w:val="nil"/>
            </w:tcBorders>
          </w:tcPr>
          <w:p w14:paraId="4B89CEE1" w14:textId="77777777" w:rsidR="00C27F39" w:rsidRPr="008F328C" w:rsidRDefault="00C27F39" w:rsidP="00ED6A7B">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00D259DF" w14:textId="77777777" w:rsidR="00C27F39" w:rsidRPr="008F328C" w:rsidRDefault="00C27F39" w:rsidP="00ED6A7B">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20CE621B" w14:textId="77777777" w:rsidR="00C27F39" w:rsidRPr="008F328C" w:rsidRDefault="00C27F39" w:rsidP="00ED6A7B">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28967217" w14:textId="77777777" w:rsidR="00C27F39" w:rsidRPr="008F328C" w:rsidRDefault="00C27F39" w:rsidP="00ED6A7B">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2EA397E3" w14:textId="77777777" w:rsidR="00C27F39" w:rsidRPr="008F328C" w:rsidRDefault="00C27F39" w:rsidP="00ED6A7B">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5506B226" w14:textId="77777777" w:rsidR="00C27F39" w:rsidRPr="008F328C" w:rsidRDefault="00C27F39" w:rsidP="00ED6A7B">
            <w:pPr>
              <w:jc w:val="center"/>
              <w:rPr>
                <w:rFonts w:ascii="Times New Roman" w:hAnsi="Times New Roman" w:cs="Times New Roman"/>
                <w:lang w:val="pl-PL"/>
              </w:rPr>
            </w:pPr>
          </w:p>
        </w:tc>
      </w:tr>
      <w:tr w:rsidR="00C27F39" w:rsidRPr="008F328C" w14:paraId="3A7C8F14" w14:textId="77777777" w:rsidTr="00ED6A7B">
        <w:tc>
          <w:tcPr>
            <w:tcW w:w="1186" w:type="dxa"/>
            <w:tcBorders>
              <w:top w:val="nil"/>
              <w:left w:val="single" w:sz="4" w:space="0" w:color="auto"/>
              <w:right w:val="single" w:sz="8" w:space="0" w:color="000000"/>
            </w:tcBorders>
          </w:tcPr>
          <w:p w14:paraId="32D82099"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right w:val="nil"/>
            </w:tcBorders>
          </w:tcPr>
          <w:p w14:paraId="28674ED9"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6,7%</w:t>
            </w:r>
          </w:p>
        </w:tc>
        <w:tc>
          <w:tcPr>
            <w:tcW w:w="1608" w:type="dxa"/>
            <w:tcBorders>
              <w:top w:val="nil"/>
              <w:left w:val="nil"/>
              <w:right w:val="single" w:sz="7" w:space="0" w:color="000000"/>
            </w:tcBorders>
          </w:tcPr>
          <w:p w14:paraId="1E489654"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52,4%</w:t>
            </w:r>
          </w:p>
        </w:tc>
        <w:tc>
          <w:tcPr>
            <w:tcW w:w="1273" w:type="dxa"/>
            <w:tcBorders>
              <w:top w:val="nil"/>
              <w:left w:val="single" w:sz="7" w:space="0" w:color="000000"/>
              <w:right w:val="nil"/>
            </w:tcBorders>
          </w:tcPr>
          <w:p w14:paraId="61BBD088"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8,2%</w:t>
            </w:r>
          </w:p>
        </w:tc>
        <w:tc>
          <w:tcPr>
            <w:tcW w:w="1288" w:type="dxa"/>
            <w:tcBorders>
              <w:top w:val="nil"/>
              <w:left w:val="nil"/>
              <w:right w:val="single" w:sz="7" w:space="0" w:color="000000"/>
            </w:tcBorders>
          </w:tcPr>
          <w:p w14:paraId="7D3BDE33"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22,1%</w:t>
            </w:r>
          </w:p>
        </w:tc>
        <w:tc>
          <w:tcPr>
            <w:tcW w:w="1151" w:type="dxa"/>
            <w:tcBorders>
              <w:top w:val="nil"/>
              <w:left w:val="single" w:sz="7" w:space="0" w:color="000000"/>
              <w:right w:val="nil"/>
            </w:tcBorders>
          </w:tcPr>
          <w:p w14:paraId="7CC840D6"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right w:val="single" w:sz="4" w:space="0" w:color="auto"/>
            </w:tcBorders>
          </w:tcPr>
          <w:p w14:paraId="296C4AC1"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39,1%</w:t>
            </w:r>
          </w:p>
        </w:tc>
      </w:tr>
      <w:tr w:rsidR="00C27F39" w:rsidRPr="008F328C" w14:paraId="3ECC9034" w14:textId="77777777" w:rsidTr="00ED6A7B">
        <w:tc>
          <w:tcPr>
            <w:tcW w:w="1186" w:type="dxa"/>
            <w:tcBorders>
              <w:top w:val="nil"/>
              <w:left w:val="single" w:sz="4" w:space="0" w:color="auto"/>
              <w:bottom w:val="single" w:sz="4" w:space="0" w:color="auto"/>
              <w:right w:val="single" w:sz="8" w:space="0" w:color="000000"/>
            </w:tcBorders>
          </w:tcPr>
          <w:p w14:paraId="5789B83F"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8" w:space="0" w:color="000000"/>
              <w:bottom w:val="single" w:sz="4" w:space="0" w:color="auto"/>
              <w:right w:val="nil"/>
            </w:tcBorders>
          </w:tcPr>
          <w:p w14:paraId="596E3BC0"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4" w:space="0" w:color="auto"/>
              <w:right w:val="single" w:sz="7" w:space="0" w:color="000000"/>
            </w:tcBorders>
          </w:tcPr>
          <w:p w14:paraId="74F7200B" w14:textId="77777777" w:rsidR="00C27F39" w:rsidRPr="008F328C" w:rsidRDefault="00C27F39" w:rsidP="00ED6A7B">
            <w:pPr>
              <w:pStyle w:val="TableParagraph"/>
              <w:tabs>
                <w:tab w:val="left" w:pos="1013"/>
              </w:tabs>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4" w:space="0" w:color="auto"/>
              <w:right w:val="nil"/>
            </w:tcBorders>
          </w:tcPr>
          <w:p w14:paraId="47954A65"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4" w:space="0" w:color="auto"/>
              <w:right w:val="single" w:sz="7" w:space="0" w:color="000000"/>
            </w:tcBorders>
          </w:tcPr>
          <w:p w14:paraId="4553DD08"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4" w:space="0" w:color="auto"/>
              <w:right w:val="nil"/>
            </w:tcBorders>
          </w:tcPr>
          <w:p w14:paraId="3D535BAA"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tc>
        <w:tc>
          <w:tcPr>
            <w:tcW w:w="1544" w:type="dxa"/>
            <w:tcBorders>
              <w:top w:val="nil"/>
              <w:left w:val="nil"/>
              <w:bottom w:val="single" w:sz="4" w:space="0" w:color="auto"/>
              <w:right w:val="single" w:sz="4" w:space="0" w:color="auto"/>
            </w:tcBorders>
          </w:tcPr>
          <w:p w14:paraId="41F067D8"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41,5%</w:t>
            </w:r>
          </w:p>
        </w:tc>
      </w:tr>
      <w:tr w:rsidR="00C27F39" w:rsidRPr="008F328C" w14:paraId="29763AAA" w14:textId="77777777" w:rsidTr="00ED6A7B">
        <w:tc>
          <w:tcPr>
            <w:tcW w:w="1186" w:type="dxa"/>
            <w:tcBorders>
              <w:top w:val="single" w:sz="4" w:space="0" w:color="auto"/>
              <w:left w:val="single" w:sz="4" w:space="0" w:color="auto"/>
              <w:right w:val="single" w:sz="8" w:space="0" w:color="000000"/>
            </w:tcBorders>
          </w:tcPr>
          <w:p w14:paraId="48C4E059"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ACR 70</w:t>
            </w:r>
          </w:p>
        </w:tc>
        <w:tc>
          <w:tcPr>
            <w:tcW w:w="1075" w:type="dxa"/>
            <w:tcBorders>
              <w:top w:val="single" w:sz="4" w:space="0" w:color="auto"/>
              <w:left w:val="single" w:sz="8" w:space="0" w:color="000000"/>
              <w:bottom w:val="nil"/>
              <w:right w:val="nil"/>
            </w:tcBorders>
          </w:tcPr>
          <w:p w14:paraId="43DF9EC8" w14:textId="77777777" w:rsidR="00C27F39" w:rsidRPr="008F328C" w:rsidRDefault="00C27F39" w:rsidP="00ED6A7B">
            <w:pPr>
              <w:jc w:val="center"/>
              <w:rPr>
                <w:rFonts w:ascii="Times New Roman" w:hAnsi="Times New Roman" w:cs="Times New Roman"/>
                <w:lang w:val="pl-PL"/>
              </w:rPr>
            </w:pPr>
          </w:p>
        </w:tc>
        <w:tc>
          <w:tcPr>
            <w:tcW w:w="1608" w:type="dxa"/>
            <w:tcBorders>
              <w:top w:val="single" w:sz="4" w:space="0" w:color="auto"/>
              <w:left w:val="nil"/>
              <w:bottom w:val="nil"/>
              <w:right w:val="single" w:sz="7" w:space="0" w:color="000000"/>
            </w:tcBorders>
          </w:tcPr>
          <w:p w14:paraId="74DB406F" w14:textId="77777777" w:rsidR="00C27F39" w:rsidRPr="008F328C" w:rsidRDefault="00C27F39" w:rsidP="00ED6A7B">
            <w:pPr>
              <w:jc w:val="center"/>
              <w:rPr>
                <w:rFonts w:ascii="Times New Roman" w:hAnsi="Times New Roman" w:cs="Times New Roman"/>
                <w:lang w:val="pl-PL"/>
              </w:rPr>
            </w:pPr>
          </w:p>
        </w:tc>
        <w:tc>
          <w:tcPr>
            <w:tcW w:w="1273" w:type="dxa"/>
            <w:tcBorders>
              <w:top w:val="single" w:sz="4" w:space="0" w:color="auto"/>
              <w:left w:val="single" w:sz="7" w:space="0" w:color="000000"/>
              <w:bottom w:val="nil"/>
              <w:right w:val="nil"/>
            </w:tcBorders>
          </w:tcPr>
          <w:p w14:paraId="1A43E41A" w14:textId="77777777" w:rsidR="00C27F39" w:rsidRPr="008F328C" w:rsidRDefault="00C27F39" w:rsidP="00ED6A7B">
            <w:pPr>
              <w:jc w:val="center"/>
              <w:rPr>
                <w:rFonts w:ascii="Times New Roman" w:hAnsi="Times New Roman" w:cs="Times New Roman"/>
                <w:lang w:val="pl-PL"/>
              </w:rPr>
            </w:pPr>
          </w:p>
        </w:tc>
        <w:tc>
          <w:tcPr>
            <w:tcW w:w="1288" w:type="dxa"/>
            <w:tcBorders>
              <w:top w:val="single" w:sz="4" w:space="0" w:color="auto"/>
              <w:left w:val="nil"/>
              <w:bottom w:val="nil"/>
              <w:right w:val="single" w:sz="7" w:space="0" w:color="000000"/>
            </w:tcBorders>
          </w:tcPr>
          <w:p w14:paraId="39928400" w14:textId="77777777" w:rsidR="00C27F39" w:rsidRPr="008F328C" w:rsidRDefault="00C27F39" w:rsidP="00ED6A7B">
            <w:pPr>
              <w:jc w:val="center"/>
              <w:rPr>
                <w:rFonts w:ascii="Times New Roman" w:hAnsi="Times New Roman" w:cs="Times New Roman"/>
                <w:lang w:val="pl-PL"/>
              </w:rPr>
            </w:pPr>
          </w:p>
        </w:tc>
        <w:tc>
          <w:tcPr>
            <w:tcW w:w="1151" w:type="dxa"/>
            <w:tcBorders>
              <w:top w:val="single" w:sz="4" w:space="0" w:color="auto"/>
              <w:left w:val="single" w:sz="7" w:space="0" w:color="000000"/>
              <w:bottom w:val="nil"/>
              <w:right w:val="nil"/>
            </w:tcBorders>
          </w:tcPr>
          <w:p w14:paraId="44DEC393" w14:textId="77777777" w:rsidR="00C27F39" w:rsidRPr="008F328C" w:rsidRDefault="00C27F39" w:rsidP="00ED6A7B">
            <w:pPr>
              <w:jc w:val="center"/>
              <w:rPr>
                <w:rFonts w:ascii="Times New Roman" w:hAnsi="Times New Roman" w:cs="Times New Roman"/>
                <w:lang w:val="pl-PL"/>
              </w:rPr>
            </w:pPr>
          </w:p>
        </w:tc>
        <w:tc>
          <w:tcPr>
            <w:tcW w:w="1544" w:type="dxa"/>
            <w:tcBorders>
              <w:top w:val="single" w:sz="4" w:space="0" w:color="auto"/>
              <w:left w:val="nil"/>
              <w:bottom w:val="nil"/>
              <w:right w:val="single" w:sz="4" w:space="0" w:color="auto"/>
            </w:tcBorders>
          </w:tcPr>
          <w:p w14:paraId="3101B47F" w14:textId="77777777" w:rsidR="00C27F39" w:rsidRPr="008F328C" w:rsidRDefault="00C27F39" w:rsidP="00ED6A7B">
            <w:pPr>
              <w:jc w:val="center"/>
              <w:rPr>
                <w:rFonts w:ascii="Times New Roman" w:hAnsi="Times New Roman" w:cs="Times New Roman"/>
                <w:lang w:val="pl-PL"/>
              </w:rPr>
            </w:pPr>
          </w:p>
        </w:tc>
      </w:tr>
      <w:tr w:rsidR="00C27F39" w:rsidRPr="008F328C" w14:paraId="079BEAED" w14:textId="77777777" w:rsidTr="00ED6A7B">
        <w:tc>
          <w:tcPr>
            <w:tcW w:w="1186" w:type="dxa"/>
            <w:tcBorders>
              <w:top w:val="nil"/>
              <w:left w:val="single" w:sz="4" w:space="0" w:color="auto"/>
              <w:bottom w:val="nil"/>
              <w:right w:val="single" w:sz="8" w:space="0" w:color="000000"/>
            </w:tcBorders>
          </w:tcPr>
          <w:p w14:paraId="37B54D05"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 miesięcy</w:t>
            </w:r>
          </w:p>
        </w:tc>
        <w:tc>
          <w:tcPr>
            <w:tcW w:w="1075" w:type="dxa"/>
            <w:tcBorders>
              <w:top w:val="nil"/>
              <w:left w:val="single" w:sz="8" w:space="0" w:color="000000"/>
              <w:bottom w:val="nil"/>
              <w:right w:val="nil"/>
            </w:tcBorders>
          </w:tcPr>
          <w:p w14:paraId="41589AAC"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3,3%</w:t>
            </w:r>
          </w:p>
        </w:tc>
        <w:tc>
          <w:tcPr>
            <w:tcW w:w="1608" w:type="dxa"/>
            <w:tcBorders>
              <w:top w:val="nil"/>
              <w:left w:val="nil"/>
              <w:bottom w:val="nil"/>
              <w:right w:val="single" w:sz="7" w:space="0" w:color="000000"/>
            </w:tcBorders>
          </w:tcPr>
          <w:p w14:paraId="7F329ADD"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273" w:type="dxa"/>
            <w:tcBorders>
              <w:top w:val="nil"/>
              <w:left w:val="single" w:sz="7" w:space="0" w:color="000000"/>
              <w:bottom w:val="nil"/>
              <w:right w:val="nil"/>
            </w:tcBorders>
          </w:tcPr>
          <w:p w14:paraId="536BFD15"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1,8%</w:t>
            </w:r>
          </w:p>
        </w:tc>
        <w:tc>
          <w:tcPr>
            <w:tcW w:w="1288" w:type="dxa"/>
            <w:tcBorders>
              <w:top w:val="nil"/>
              <w:left w:val="nil"/>
              <w:bottom w:val="nil"/>
              <w:right w:val="single" w:sz="7" w:space="0" w:color="000000"/>
            </w:tcBorders>
          </w:tcPr>
          <w:p w14:paraId="70D8DE93"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12,4%</w:t>
            </w:r>
          </w:p>
        </w:tc>
        <w:tc>
          <w:tcPr>
            <w:tcW w:w="1151" w:type="dxa"/>
            <w:tcBorders>
              <w:top w:val="nil"/>
              <w:left w:val="single" w:sz="7" w:space="0" w:color="000000"/>
              <w:bottom w:val="nil"/>
              <w:right w:val="nil"/>
            </w:tcBorders>
          </w:tcPr>
          <w:p w14:paraId="4ADFA656"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544" w:type="dxa"/>
            <w:tcBorders>
              <w:top w:val="nil"/>
              <w:left w:val="nil"/>
              <w:bottom w:val="nil"/>
              <w:right w:val="single" w:sz="4" w:space="0" w:color="auto"/>
            </w:tcBorders>
          </w:tcPr>
          <w:p w14:paraId="00FD11AE" w14:textId="77777777" w:rsidR="00C27F39" w:rsidRPr="008F328C" w:rsidRDefault="00C27F39" w:rsidP="00ED6A7B">
            <w:pPr>
              <w:pStyle w:val="TableParagraph"/>
              <w:spacing w:line="24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20,8%</w:t>
            </w:r>
          </w:p>
        </w:tc>
      </w:tr>
      <w:tr w:rsidR="00C27F39" w:rsidRPr="008F328C" w14:paraId="70FE8D0C" w14:textId="77777777" w:rsidTr="00ED6A7B">
        <w:tc>
          <w:tcPr>
            <w:tcW w:w="1186" w:type="dxa"/>
            <w:tcBorders>
              <w:top w:val="nil"/>
              <w:left w:val="single" w:sz="4" w:space="0" w:color="auto"/>
              <w:bottom w:val="single" w:sz="8" w:space="0" w:color="000000"/>
              <w:right w:val="single" w:sz="7" w:space="0" w:color="000000"/>
            </w:tcBorders>
          </w:tcPr>
          <w:p w14:paraId="039027BF"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 miesięcy</w:t>
            </w:r>
          </w:p>
        </w:tc>
        <w:tc>
          <w:tcPr>
            <w:tcW w:w="1075" w:type="dxa"/>
            <w:tcBorders>
              <w:top w:val="nil"/>
              <w:left w:val="single" w:sz="7" w:space="0" w:color="000000"/>
              <w:bottom w:val="single" w:sz="7" w:space="0" w:color="000000"/>
              <w:right w:val="nil"/>
            </w:tcBorders>
          </w:tcPr>
          <w:p w14:paraId="4C51785B"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608" w:type="dxa"/>
            <w:tcBorders>
              <w:top w:val="nil"/>
              <w:left w:val="nil"/>
              <w:bottom w:val="single" w:sz="7" w:space="0" w:color="000000"/>
              <w:right w:val="single" w:sz="7" w:space="0" w:color="000000"/>
            </w:tcBorders>
          </w:tcPr>
          <w:p w14:paraId="6C831276"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73" w:type="dxa"/>
            <w:tcBorders>
              <w:top w:val="nil"/>
              <w:left w:val="single" w:sz="7" w:space="0" w:color="000000"/>
              <w:bottom w:val="single" w:sz="7" w:space="0" w:color="000000"/>
              <w:right w:val="nil"/>
            </w:tcBorders>
          </w:tcPr>
          <w:p w14:paraId="7B682177"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288" w:type="dxa"/>
            <w:tcBorders>
              <w:top w:val="nil"/>
              <w:left w:val="nil"/>
              <w:bottom w:val="single" w:sz="7" w:space="0" w:color="000000"/>
              <w:right w:val="single" w:sz="7" w:space="0" w:color="000000"/>
            </w:tcBorders>
          </w:tcPr>
          <w:p w14:paraId="64D8C1F2" w14:textId="77777777" w:rsidR="00C27F39" w:rsidRPr="008F328C" w:rsidRDefault="00C27F39" w:rsidP="00ED6A7B">
            <w:pPr>
              <w:pStyle w:val="TableParagraph"/>
              <w:tabs>
                <w:tab w:val="left" w:pos="832"/>
              </w:tabs>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Nie dotyczy</w:t>
            </w:r>
          </w:p>
        </w:tc>
        <w:tc>
          <w:tcPr>
            <w:tcW w:w="1151" w:type="dxa"/>
            <w:tcBorders>
              <w:top w:val="nil"/>
              <w:left w:val="single" w:sz="7" w:space="0" w:color="000000"/>
              <w:bottom w:val="single" w:sz="7" w:space="0" w:color="000000"/>
              <w:right w:val="nil"/>
            </w:tcBorders>
          </w:tcPr>
          <w:p w14:paraId="6A955A85"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4,5%</w:t>
            </w:r>
          </w:p>
        </w:tc>
        <w:tc>
          <w:tcPr>
            <w:tcW w:w="1544" w:type="dxa"/>
            <w:tcBorders>
              <w:top w:val="nil"/>
              <w:left w:val="nil"/>
              <w:bottom w:val="single" w:sz="8" w:space="0" w:color="000000"/>
              <w:right w:val="single" w:sz="4" w:space="0" w:color="auto"/>
            </w:tcBorders>
          </w:tcPr>
          <w:p w14:paraId="7EBE98F3" w14:textId="77777777" w:rsidR="00C27F39" w:rsidRPr="008F328C" w:rsidRDefault="00C27F39" w:rsidP="00ED6A7B">
            <w:pPr>
              <w:pStyle w:val="TableParagraph"/>
              <w:spacing w:line="24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r>
    </w:tbl>
    <w:p w14:paraId="7075FF6A" w14:textId="77777777" w:rsidR="00C27F39" w:rsidRPr="008F328C" w:rsidRDefault="00C27F39" w:rsidP="00C27F39">
      <w:pPr>
        <w:pStyle w:val="a3"/>
        <w:numPr>
          <w:ilvl w:val="0"/>
          <w:numId w:val="0"/>
        </w:numPr>
        <w:rPr>
          <w:lang w:val="pl-PL"/>
        </w:rPr>
      </w:pPr>
      <w:r w:rsidRPr="008F328C">
        <w:rPr>
          <w:rFonts w:eastAsia="Times New Roman"/>
          <w:position w:val="8"/>
          <w:sz w:val="14"/>
          <w:szCs w:val="14"/>
          <w:lang w:val="pl-PL"/>
        </w:rPr>
        <w:t xml:space="preserve">a </w:t>
      </w:r>
      <w:r w:rsidRPr="008F328C">
        <w:rPr>
          <w:rFonts w:eastAsia="Times New Roman"/>
          <w:position w:val="8"/>
          <w:lang w:val="pl-PL"/>
        </w:rPr>
        <w:t>Badanie I w RZS w 24. tygodniu, badanie II w RZS w 26. tygodniu, badanie III w RZS w 24. i 52. tygodniu</w:t>
      </w:r>
    </w:p>
    <w:p w14:paraId="79D481A9" w14:textId="77777777" w:rsidR="00C27F39" w:rsidRPr="008F328C" w:rsidRDefault="00C27F39" w:rsidP="00C27F39">
      <w:pPr>
        <w:pStyle w:val="a3"/>
        <w:numPr>
          <w:ilvl w:val="0"/>
          <w:numId w:val="0"/>
        </w:numPr>
        <w:rPr>
          <w:lang w:val="pl-PL"/>
        </w:rPr>
      </w:pPr>
      <w:r w:rsidRPr="008F328C">
        <w:rPr>
          <w:rFonts w:eastAsia="Times New Roman"/>
          <w:position w:val="8"/>
          <w:sz w:val="14"/>
          <w:szCs w:val="14"/>
          <w:lang w:val="pl-PL"/>
        </w:rPr>
        <w:t xml:space="preserve">b </w:t>
      </w:r>
      <w:r w:rsidRPr="008F328C">
        <w:rPr>
          <w:rFonts w:eastAsia="Times New Roman"/>
          <w:position w:val="8"/>
          <w:lang w:val="pl-PL"/>
        </w:rPr>
        <w:t>40 mg adalimumabu podawane co drugi tydzień</w:t>
      </w:r>
    </w:p>
    <w:p w14:paraId="687F2FD8" w14:textId="77777777" w:rsidR="00C27F39" w:rsidRPr="008F328C" w:rsidRDefault="00C27F39" w:rsidP="00C27F39">
      <w:pPr>
        <w:pStyle w:val="a3"/>
        <w:rPr>
          <w:lang w:val="pl-PL"/>
        </w:rPr>
      </w:pPr>
      <w:r w:rsidRPr="008F328C">
        <w:rPr>
          <w:rFonts w:eastAsia="Times New Roman"/>
          <w:position w:val="8"/>
          <w:sz w:val="14"/>
          <w:szCs w:val="14"/>
          <w:lang w:val="pl-PL"/>
        </w:rPr>
        <w:t xml:space="preserve">c </w:t>
      </w:r>
      <w:r w:rsidRPr="008F328C">
        <w:rPr>
          <w:rFonts w:eastAsia="Times New Roman"/>
          <w:position w:val="8"/>
          <w:lang w:val="pl-PL"/>
        </w:rPr>
        <w:t>MTX = metotreksat</w:t>
      </w:r>
    </w:p>
    <w:p w14:paraId="725B709F" w14:textId="77777777" w:rsidR="00C27F39" w:rsidRPr="008F328C" w:rsidRDefault="00C27F39" w:rsidP="00C27F39">
      <w:pPr>
        <w:spacing w:before="1"/>
        <w:rPr>
          <w:rFonts w:ascii="Times New Roman" w:eastAsia="Times New Roman" w:hAnsi="Times New Roman" w:cs="Times New Roman"/>
          <w:lang w:val="pl-PL"/>
        </w:rPr>
      </w:pPr>
      <w:r w:rsidRPr="008F328C">
        <w:rPr>
          <w:rFonts w:ascii="Times New Roman" w:eastAsia="Times New Roman" w:hAnsi="Times New Roman" w:cs="Times New Roman"/>
          <w:lang w:val="pl-PL"/>
        </w:rPr>
        <w:t>**p &lt; 0,01, adalimumab w porównaniu z placebo</w:t>
      </w:r>
    </w:p>
    <w:p w14:paraId="38FC66F8" w14:textId="77777777" w:rsidR="00C27F39" w:rsidRPr="008F328C" w:rsidRDefault="00C27F39" w:rsidP="00C27F39">
      <w:pPr>
        <w:spacing w:before="1" w:line="180" w:lineRule="exact"/>
        <w:rPr>
          <w:rFonts w:ascii="Times New Roman" w:hAnsi="Times New Roman" w:cs="Times New Roman"/>
          <w:sz w:val="18"/>
          <w:szCs w:val="18"/>
          <w:lang w:val="pl-PL"/>
        </w:rPr>
      </w:pPr>
    </w:p>
    <w:p w14:paraId="4606FE74" w14:textId="77777777" w:rsidR="00C27F39" w:rsidRPr="008F328C" w:rsidRDefault="00C27F39" w:rsidP="00C27F39">
      <w:pPr>
        <w:pStyle w:val="a3"/>
        <w:rPr>
          <w:lang w:val="pl-PL"/>
        </w:rPr>
      </w:pPr>
      <w:r w:rsidRPr="008F328C">
        <w:rPr>
          <w:rFonts w:eastAsia="Times New Roman"/>
          <w:lang w:val="pl-PL"/>
        </w:rPr>
        <w:t>W badaniach I-IV w RZS wszystkie składniki kryteriów odpowiedzi w skali ACR [liczba bolesnych i obrzękniętych stawów, ocena aktywności choroby i dolegliwości bólowych przez lekarza i przez pacjenta, wskaźnik niepełnosprawności (HAQ) oraz wartości CRP (mg/100 ml)] poprawiły się w tygodniu 24. lub 26. w porównaniu do grupy otrzymującej placebo. W badaniu III w RZS poprawa utrzymywała się do 52. tygodnia włącznie.</w:t>
      </w:r>
    </w:p>
    <w:p w14:paraId="155C7120" w14:textId="77777777" w:rsidR="00C27F39" w:rsidRPr="008F328C" w:rsidRDefault="00C27F39" w:rsidP="00C27F39">
      <w:pPr>
        <w:spacing w:before="13" w:line="240" w:lineRule="exact"/>
        <w:rPr>
          <w:rFonts w:ascii="Times New Roman" w:hAnsi="Times New Roman" w:cs="Times New Roman"/>
          <w:sz w:val="24"/>
          <w:szCs w:val="24"/>
          <w:lang w:val="pl-PL"/>
        </w:rPr>
      </w:pPr>
    </w:p>
    <w:p w14:paraId="166C88F5" w14:textId="77777777" w:rsidR="00C27F39" w:rsidRPr="008F328C" w:rsidRDefault="00C27F39" w:rsidP="00C27F39">
      <w:pPr>
        <w:pStyle w:val="a3"/>
        <w:rPr>
          <w:lang w:val="pl-PL"/>
        </w:rPr>
      </w:pPr>
      <w:r w:rsidRPr="008F328C">
        <w:rPr>
          <w:rFonts w:eastAsia="Times New Roman"/>
          <w:lang w:val="pl-PL"/>
        </w:rPr>
        <w:t xml:space="preserve">W fazie otwartej będącej kontynuacją badania III w RZS, u większości pacjentów wykazujących odpowiedź na leczenie w skali ACR, odpowiedź ta utrzymywała się podczas obserwacji prowadzonej przez okres do 10 lat. Stuczternastu z 207 pacjentów losowo przydzielonych do grupy otrzymującej </w:t>
      </w:r>
      <w:r w:rsidRPr="008F328C">
        <w:rPr>
          <w:rFonts w:eastAsia="Times New Roman"/>
          <w:lang w:val="pl-PL"/>
        </w:rPr>
        <w:lastRenderedPageBreak/>
        <w:t>adalimumab 40 mg co drugi tydzień kontynuowało leczenie przez 5 lat. Spośród nich, u 86 pacjentów (75,4%) stwierdzono odpowiedź 20 w skali ACR, u 72 pacjentów (63,2%) – odpowiedź 50 w skali ACR, a u 41 pacjentów (36%) – odpowiedź 70 w skali ACR. 81 z 207 pacjentów kontynuowało leczenie adalimumabem 40 mg co drugi tydzień przez 10 lat. Spośród nich, u 64 pacjentów (79,0%) stwierdzono odpowiedź 20 w skali ACR, u 56 pacjentów (69,1%) – odpowiedź 50 w skali ACR, a u 43 pacjentów (53,1%) – odpowiedź 70 w skali ACR.</w:t>
      </w:r>
    </w:p>
    <w:p w14:paraId="5CCED88C" w14:textId="77777777" w:rsidR="00C27F39" w:rsidRPr="008F328C" w:rsidRDefault="00C27F39" w:rsidP="00C27F39">
      <w:pPr>
        <w:spacing w:before="17" w:line="240" w:lineRule="exact"/>
        <w:rPr>
          <w:rFonts w:ascii="Times New Roman" w:hAnsi="Times New Roman" w:cs="Times New Roman"/>
          <w:sz w:val="24"/>
          <w:szCs w:val="24"/>
          <w:lang w:val="pl-PL"/>
        </w:rPr>
      </w:pPr>
    </w:p>
    <w:p w14:paraId="06565FE2" w14:textId="77777777" w:rsidR="00C27F39" w:rsidRPr="008F328C" w:rsidRDefault="00C27F39" w:rsidP="00C27F39">
      <w:pPr>
        <w:pStyle w:val="a3"/>
        <w:rPr>
          <w:lang w:val="pl-PL"/>
        </w:rPr>
      </w:pPr>
      <w:r w:rsidRPr="008F328C">
        <w:rPr>
          <w:rFonts w:eastAsia="Times New Roman"/>
          <w:lang w:val="pl-PL"/>
        </w:rPr>
        <w:t>W badaniu IV w RZS odpowiedź 20 w skali ACR u pacjentów leczonych adalimumabem plus standardowe leczenie była istotnie statystycznie lepsza niż u pacjentów otrzymujących placebo plus standardowe leczenie (p &lt; 0,001).</w:t>
      </w:r>
    </w:p>
    <w:p w14:paraId="3AA91F98" w14:textId="77777777" w:rsidR="00C27F39" w:rsidRPr="008F328C" w:rsidRDefault="00C27F39" w:rsidP="00C27F39">
      <w:pPr>
        <w:spacing w:before="11" w:line="240" w:lineRule="exact"/>
        <w:rPr>
          <w:rFonts w:ascii="Times New Roman" w:hAnsi="Times New Roman" w:cs="Times New Roman"/>
          <w:sz w:val="24"/>
          <w:szCs w:val="24"/>
          <w:lang w:val="pl-PL"/>
        </w:rPr>
      </w:pPr>
    </w:p>
    <w:p w14:paraId="052DD06E" w14:textId="77777777" w:rsidR="00C27F39" w:rsidRPr="008F328C" w:rsidRDefault="00C27F39" w:rsidP="00C27F39">
      <w:pPr>
        <w:pStyle w:val="a3"/>
        <w:rPr>
          <w:lang w:val="pl-PL"/>
        </w:rPr>
      </w:pPr>
      <w:r w:rsidRPr="008F328C">
        <w:rPr>
          <w:rFonts w:eastAsia="Times New Roman"/>
          <w:lang w:val="pl-PL"/>
        </w:rPr>
        <w:t>W badaniach I-IV w RZS pacjenci leczeni adalimumabem w porównaniu do grupy otrzymującej placebo osiągnęli statystycznie istotne odpowiedzi 20 i 50 w skali ACR już w tydzień lub dwa tygodnie po rozpoczęciu leczenia.</w:t>
      </w:r>
    </w:p>
    <w:p w14:paraId="49A1C701" w14:textId="77777777" w:rsidR="00C27F39" w:rsidRPr="008F328C" w:rsidRDefault="00C27F39" w:rsidP="00C27F39">
      <w:pPr>
        <w:pStyle w:val="a3"/>
        <w:rPr>
          <w:lang w:val="pl-PL"/>
        </w:rPr>
      </w:pPr>
    </w:p>
    <w:p w14:paraId="5E5C504C" w14:textId="192BF048" w:rsidR="00C27F39" w:rsidRPr="008F328C" w:rsidRDefault="00C27F39" w:rsidP="00C27F39">
      <w:pPr>
        <w:pStyle w:val="a3"/>
        <w:rPr>
          <w:lang w:val="pl-PL"/>
        </w:rPr>
      </w:pPr>
      <w:r w:rsidRPr="008F328C">
        <w:rPr>
          <w:rFonts w:eastAsia="Times New Roman"/>
          <w:lang w:val="pl-PL"/>
        </w:rPr>
        <w:t xml:space="preserve">W badaniu V w RZS z udziałem pacjentów z wczesnym reumatoidalnym zapaleniem stawów, którym nie podawano wcześniej metotreksatu, leczenie skojarzone adalimumabem i metotreksatem doprowadziło w 52. tygodniu do szybszej i istotnie większej odpowiedzi na leczenie w skali ACR niż metotreksat stosowany w monoterapii i adalimumab w monoterapii. Odpowiedzi te utrzymywały się w 104. tygodniu (patrz Tabela </w:t>
      </w:r>
      <w:r w:rsidR="00270309" w:rsidRPr="008F328C">
        <w:rPr>
          <w:rFonts w:eastAsia="Times New Roman"/>
          <w:lang w:val="pl-PL"/>
        </w:rPr>
        <w:t>8</w:t>
      </w:r>
      <w:r w:rsidRPr="008F328C">
        <w:rPr>
          <w:rFonts w:eastAsia="Times New Roman"/>
          <w:lang w:val="pl-PL"/>
        </w:rPr>
        <w:t>).</w:t>
      </w:r>
    </w:p>
    <w:p w14:paraId="168152C5" w14:textId="77777777" w:rsidR="00C27F39" w:rsidRPr="008F328C" w:rsidRDefault="00C27F39" w:rsidP="00C27F39">
      <w:pPr>
        <w:pStyle w:val="a3"/>
        <w:jc w:val="center"/>
        <w:rPr>
          <w:b/>
          <w:lang w:val="pl-PL"/>
        </w:rPr>
      </w:pPr>
    </w:p>
    <w:p w14:paraId="7A511D44" w14:textId="6EA4C58B" w:rsidR="00C27F39" w:rsidRPr="008F328C" w:rsidRDefault="00C27F39" w:rsidP="00C27F39">
      <w:pPr>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270309" w:rsidRPr="008F328C">
        <w:rPr>
          <w:rFonts w:ascii="Times New Roman" w:eastAsia="Times New Roman" w:hAnsi="Times New Roman" w:cs="Times New Roman"/>
          <w:b/>
          <w:bCs/>
          <w:lang w:val="pl-PL"/>
        </w:rPr>
        <w:t>8</w:t>
      </w:r>
    </w:p>
    <w:p w14:paraId="14DCA168" w14:textId="77777777" w:rsidR="00C27F39" w:rsidRPr="008F328C" w:rsidRDefault="00C27F39" w:rsidP="00C27F39">
      <w:pPr>
        <w:pStyle w:val="a3"/>
        <w:jc w:val="center"/>
        <w:rPr>
          <w:b/>
          <w:lang w:val="pl-PL"/>
        </w:rPr>
      </w:pPr>
      <w:r w:rsidRPr="008F328C">
        <w:rPr>
          <w:rFonts w:eastAsia="Times New Roman"/>
          <w:b/>
          <w:bCs/>
          <w:lang w:val="pl-PL"/>
        </w:rPr>
        <w:t>Odpowiedzi w skali ACR w badaniu V w RZS</w:t>
      </w:r>
    </w:p>
    <w:p w14:paraId="6F28D53D" w14:textId="77777777" w:rsidR="00C27F39" w:rsidRPr="008F328C" w:rsidRDefault="00C27F39" w:rsidP="00C27F39">
      <w:pPr>
        <w:pStyle w:val="a3"/>
        <w:jc w:val="center"/>
        <w:rPr>
          <w:b/>
          <w:lang w:val="pl-PL"/>
        </w:rPr>
      </w:pPr>
      <w:r w:rsidRPr="008F328C">
        <w:rPr>
          <w:rFonts w:eastAsia="Times New Roman"/>
          <w:b/>
          <w:bCs/>
          <w:lang w:val="pl-PL"/>
        </w:rPr>
        <w:t>(odsetek pacjentów)</w:t>
      </w:r>
    </w:p>
    <w:p w14:paraId="0C8989C9" w14:textId="77777777" w:rsidR="00C27F39" w:rsidRPr="008F328C" w:rsidRDefault="00C27F39" w:rsidP="00C27F39">
      <w:pPr>
        <w:pStyle w:val="a3"/>
        <w:jc w:val="center"/>
        <w:rPr>
          <w:b/>
          <w:lang w:val="pl-PL"/>
        </w:rPr>
      </w:pPr>
    </w:p>
    <w:tbl>
      <w:tblPr>
        <w:tblStyle w:val="TableNormal1"/>
        <w:tblW w:w="0" w:type="auto"/>
        <w:tblInd w:w="184" w:type="dxa"/>
        <w:tblLayout w:type="fixed"/>
        <w:tblLook w:val="01E0" w:firstRow="1" w:lastRow="1" w:firstColumn="1" w:lastColumn="1" w:noHBand="0" w:noVBand="0"/>
      </w:tblPr>
      <w:tblGrid>
        <w:gridCol w:w="1366"/>
        <w:gridCol w:w="1275"/>
        <w:gridCol w:w="1276"/>
        <w:gridCol w:w="1985"/>
        <w:gridCol w:w="957"/>
        <w:gridCol w:w="1174"/>
        <w:gridCol w:w="1216"/>
      </w:tblGrid>
      <w:tr w:rsidR="00C27F39" w:rsidRPr="008F328C" w14:paraId="48E2645B" w14:textId="77777777" w:rsidTr="00ED6A7B">
        <w:tc>
          <w:tcPr>
            <w:tcW w:w="1366" w:type="dxa"/>
            <w:tcBorders>
              <w:top w:val="single" w:sz="5" w:space="0" w:color="000000"/>
              <w:left w:val="single" w:sz="8" w:space="0" w:color="000000"/>
              <w:bottom w:val="single" w:sz="5" w:space="0" w:color="000000"/>
              <w:right w:val="single" w:sz="5" w:space="0" w:color="000000"/>
            </w:tcBorders>
            <w:vAlign w:val="center"/>
          </w:tcPr>
          <w:p w14:paraId="1377AAFB" w14:textId="77777777" w:rsidR="00C27F39" w:rsidRPr="008F328C" w:rsidRDefault="00C27F39" w:rsidP="00ED6A7B">
            <w:pPr>
              <w:pStyle w:val="TableParagraph"/>
              <w:spacing w:line="120" w:lineRule="exact"/>
              <w:jc w:val="center"/>
              <w:rPr>
                <w:rFonts w:ascii="Times New Roman" w:hAnsi="Times New Roman" w:cs="Times New Roman"/>
                <w:sz w:val="12"/>
                <w:szCs w:val="12"/>
                <w:lang w:val="pl-PL"/>
              </w:rPr>
            </w:pPr>
          </w:p>
          <w:p w14:paraId="70E7132E"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Odpowiedź</w:t>
            </w:r>
          </w:p>
        </w:tc>
        <w:tc>
          <w:tcPr>
            <w:tcW w:w="1275" w:type="dxa"/>
            <w:tcBorders>
              <w:top w:val="single" w:sz="5" w:space="0" w:color="000000"/>
              <w:left w:val="single" w:sz="5" w:space="0" w:color="000000"/>
              <w:bottom w:val="single" w:sz="5" w:space="0" w:color="000000"/>
              <w:right w:val="single" w:sz="5" w:space="0" w:color="000000"/>
            </w:tcBorders>
            <w:vAlign w:val="center"/>
          </w:tcPr>
          <w:p w14:paraId="6BD7CE29" w14:textId="77777777" w:rsidR="00C27F39" w:rsidRPr="008F328C" w:rsidRDefault="00C27F39" w:rsidP="00ED6A7B">
            <w:pPr>
              <w:pStyle w:val="TableParagraph"/>
              <w:spacing w:line="252" w:lineRule="exact"/>
              <w:ind w:firstLine="3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MTX 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510CDDE0" w14:textId="77777777" w:rsidR="00C27F39" w:rsidRPr="008F328C" w:rsidRDefault="00C27F39" w:rsidP="00ED6A7B">
            <w:pPr>
              <w:pStyle w:val="TableParagraph"/>
              <w:spacing w:line="252" w:lineRule="exact"/>
              <w:ind w:hanging="8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 Adalimumab 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75A8B243" w14:textId="77777777" w:rsidR="00C27F39" w:rsidRPr="008F328C" w:rsidRDefault="00C27F39" w:rsidP="00ED6A7B">
            <w:pPr>
              <w:pStyle w:val="TableParagraph"/>
              <w:spacing w:line="252" w:lineRule="exact"/>
              <w:ind w:hanging="372"/>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      Adalimumab/MTX</w:t>
            </w:r>
          </w:p>
          <w:p w14:paraId="63CBB703" w14:textId="77777777" w:rsidR="00C27F39" w:rsidRPr="008F328C" w:rsidRDefault="00C27F39" w:rsidP="00ED6A7B">
            <w:pPr>
              <w:pStyle w:val="TableParagraph"/>
              <w:spacing w:line="252" w:lineRule="exact"/>
              <w:ind w:hanging="37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1938E5E7" w14:textId="77777777" w:rsidR="00C27F39" w:rsidRPr="008F328C" w:rsidRDefault="00C27F39" w:rsidP="00ED6A7B">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36D89367" w14:textId="77777777" w:rsidR="00C27F39" w:rsidRPr="008F328C" w:rsidRDefault="00C27F39" w:rsidP="00ED6A7B">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2D9BB102" w14:textId="77777777" w:rsidR="00C27F39" w:rsidRPr="008F328C" w:rsidRDefault="00C27F39" w:rsidP="00ED6A7B">
            <w:pPr>
              <w:pStyle w:val="TableParagraph"/>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wartość p</w:t>
            </w:r>
            <w:r w:rsidRPr="008F328C">
              <w:rPr>
                <w:rFonts w:ascii="Times New Roman" w:eastAsia="Times New Roman" w:hAnsi="Times New Roman" w:cs="Times New Roman"/>
                <w:b/>
                <w:bCs/>
                <w:spacing w:val="-1"/>
                <w:vertAlign w:val="superscript"/>
                <w:lang w:val="pl-PL"/>
              </w:rPr>
              <w:t>c</w:t>
            </w:r>
          </w:p>
        </w:tc>
      </w:tr>
      <w:tr w:rsidR="00C27F39" w:rsidRPr="008F328C" w14:paraId="5B4C5EEA" w14:textId="77777777" w:rsidTr="00ED6A7B">
        <w:tc>
          <w:tcPr>
            <w:tcW w:w="9249" w:type="dxa"/>
            <w:gridSpan w:val="7"/>
            <w:tcBorders>
              <w:top w:val="single" w:sz="5" w:space="0" w:color="000000"/>
              <w:left w:val="single" w:sz="8" w:space="0" w:color="000000"/>
              <w:bottom w:val="single" w:sz="5" w:space="0" w:color="000000"/>
              <w:right w:val="single" w:sz="9" w:space="0" w:color="000000"/>
            </w:tcBorders>
          </w:tcPr>
          <w:p w14:paraId="3030CD9A" w14:textId="77777777" w:rsidR="00C27F39" w:rsidRPr="008F328C" w:rsidRDefault="00C27F39" w:rsidP="00ED6A7B">
            <w:pPr>
              <w:rPr>
                <w:rFonts w:ascii="Times New Roman" w:hAnsi="Times New Roman" w:cs="Times New Roman"/>
                <w:lang w:val="pl-PL"/>
              </w:rPr>
            </w:pPr>
            <w:r w:rsidRPr="008F328C">
              <w:rPr>
                <w:rFonts w:ascii="Times New Roman" w:eastAsia="Times New Roman" w:hAnsi="Times New Roman" w:cs="Times New Roman"/>
                <w:spacing w:val="-1"/>
                <w:lang w:val="pl-PL"/>
              </w:rPr>
              <w:t>ACR 20</w:t>
            </w:r>
          </w:p>
        </w:tc>
      </w:tr>
      <w:tr w:rsidR="00C27F39" w:rsidRPr="008F328C" w14:paraId="6497C00F"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1BE22C46" w14:textId="77777777" w:rsidR="00C27F39" w:rsidRPr="008F328C" w:rsidRDefault="00C27F39" w:rsidP="00ED6A7B">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4EC9372C"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62,6%</w:t>
            </w:r>
          </w:p>
        </w:tc>
        <w:tc>
          <w:tcPr>
            <w:tcW w:w="1276" w:type="dxa"/>
            <w:tcBorders>
              <w:top w:val="single" w:sz="5" w:space="0" w:color="000000"/>
              <w:left w:val="single" w:sz="5" w:space="0" w:color="000000"/>
              <w:bottom w:val="single" w:sz="5" w:space="0" w:color="000000"/>
              <w:right w:val="single" w:sz="5" w:space="0" w:color="000000"/>
            </w:tcBorders>
          </w:tcPr>
          <w:p w14:paraId="1856603D"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54,4%</w:t>
            </w:r>
          </w:p>
        </w:tc>
        <w:tc>
          <w:tcPr>
            <w:tcW w:w="1985" w:type="dxa"/>
            <w:tcBorders>
              <w:top w:val="single" w:sz="5" w:space="0" w:color="000000"/>
              <w:left w:val="single" w:sz="5" w:space="0" w:color="000000"/>
              <w:bottom w:val="single" w:sz="5" w:space="0" w:color="000000"/>
              <w:right w:val="single" w:sz="5" w:space="0" w:color="000000"/>
            </w:tcBorders>
          </w:tcPr>
          <w:p w14:paraId="44B6C20D" w14:textId="77777777" w:rsidR="00C27F39" w:rsidRPr="008F328C" w:rsidRDefault="00C27F39" w:rsidP="00ED6A7B">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72,8%</w:t>
            </w:r>
          </w:p>
        </w:tc>
        <w:tc>
          <w:tcPr>
            <w:tcW w:w="957" w:type="dxa"/>
            <w:tcBorders>
              <w:top w:val="single" w:sz="5" w:space="0" w:color="000000"/>
              <w:left w:val="single" w:sz="5" w:space="0" w:color="000000"/>
              <w:bottom w:val="single" w:sz="5" w:space="0" w:color="000000"/>
              <w:right w:val="single" w:sz="5" w:space="0" w:color="000000"/>
            </w:tcBorders>
          </w:tcPr>
          <w:p w14:paraId="323F47E9" w14:textId="77777777" w:rsidR="00C27F39" w:rsidRPr="008F328C" w:rsidRDefault="00C27F39" w:rsidP="00ED6A7B">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0,013</w:t>
            </w:r>
          </w:p>
        </w:tc>
        <w:tc>
          <w:tcPr>
            <w:tcW w:w="1174" w:type="dxa"/>
            <w:tcBorders>
              <w:top w:val="single" w:sz="5" w:space="0" w:color="000000"/>
              <w:left w:val="single" w:sz="5" w:space="0" w:color="000000"/>
              <w:bottom w:val="single" w:sz="5" w:space="0" w:color="000000"/>
              <w:right w:val="single" w:sz="5" w:space="0" w:color="000000"/>
            </w:tcBorders>
          </w:tcPr>
          <w:p w14:paraId="40B691A8" w14:textId="77777777" w:rsidR="00C27F39" w:rsidRPr="008F328C" w:rsidRDefault="00C27F39" w:rsidP="00ED6A7B">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6FEB5F8" w14:textId="77777777" w:rsidR="00C27F39" w:rsidRPr="008F328C" w:rsidRDefault="00C27F39" w:rsidP="00ED6A7B">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0,043</w:t>
            </w:r>
          </w:p>
        </w:tc>
      </w:tr>
      <w:tr w:rsidR="00C27F39" w:rsidRPr="008F328C" w14:paraId="7EC8C53D"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2CAFFEE7" w14:textId="77777777" w:rsidR="00C27F39" w:rsidRPr="008F328C" w:rsidRDefault="00C27F39" w:rsidP="00ED6A7B">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76D2BCA1"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56,0%</w:t>
            </w:r>
          </w:p>
        </w:tc>
        <w:tc>
          <w:tcPr>
            <w:tcW w:w="1276" w:type="dxa"/>
            <w:tcBorders>
              <w:top w:val="single" w:sz="5" w:space="0" w:color="000000"/>
              <w:left w:val="single" w:sz="5" w:space="0" w:color="000000"/>
              <w:bottom w:val="single" w:sz="5" w:space="0" w:color="000000"/>
              <w:right w:val="single" w:sz="5" w:space="0" w:color="000000"/>
            </w:tcBorders>
          </w:tcPr>
          <w:p w14:paraId="0D9B6F17"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49,3%</w:t>
            </w:r>
          </w:p>
        </w:tc>
        <w:tc>
          <w:tcPr>
            <w:tcW w:w="1985" w:type="dxa"/>
            <w:tcBorders>
              <w:top w:val="single" w:sz="5" w:space="0" w:color="000000"/>
              <w:left w:val="single" w:sz="5" w:space="0" w:color="000000"/>
              <w:bottom w:val="single" w:sz="5" w:space="0" w:color="000000"/>
              <w:right w:val="single" w:sz="5" w:space="0" w:color="000000"/>
            </w:tcBorders>
          </w:tcPr>
          <w:p w14:paraId="1F018FE9" w14:textId="77777777" w:rsidR="00C27F39" w:rsidRPr="008F328C" w:rsidRDefault="00C27F39" w:rsidP="00ED6A7B">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69,4%</w:t>
            </w:r>
          </w:p>
        </w:tc>
        <w:tc>
          <w:tcPr>
            <w:tcW w:w="957" w:type="dxa"/>
            <w:tcBorders>
              <w:top w:val="single" w:sz="5" w:space="0" w:color="000000"/>
              <w:left w:val="single" w:sz="5" w:space="0" w:color="000000"/>
              <w:bottom w:val="single" w:sz="5" w:space="0" w:color="000000"/>
              <w:right w:val="single" w:sz="5" w:space="0" w:color="000000"/>
            </w:tcBorders>
          </w:tcPr>
          <w:p w14:paraId="19FAAD39" w14:textId="77777777" w:rsidR="00C27F39" w:rsidRPr="008F328C" w:rsidRDefault="00C27F39" w:rsidP="00ED6A7B">
            <w:pPr>
              <w:pStyle w:val="TableParagraph"/>
              <w:spacing w:line="248" w:lineRule="exact"/>
              <w:ind w:left="296"/>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c>
          <w:tcPr>
            <w:tcW w:w="1174" w:type="dxa"/>
            <w:tcBorders>
              <w:top w:val="single" w:sz="5" w:space="0" w:color="000000"/>
              <w:left w:val="single" w:sz="5" w:space="0" w:color="000000"/>
              <w:bottom w:val="single" w:sz="5" w:space="0" w:color="000000"/>
              <w:right w:val="single" w:sz="5" w:space="0" w:color="000000"/>
            </w:tcBorders>
          </w:tcPr>
          <w:p w14:paraId="40D41370" w14:textId="77777777" w:rsidR="00C27F39" w:rsidRPr="008F328C" w:rsidRDefault="00C27F39" w:rsidP="00ED6A7B">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22FA7E37" w14:textId="77777777" w:rsidR="00C27F39" w:rsidRPr="008F328C" w:rsidRDefault="00C27F39" w:rsidP="00ED6A7B">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0,140</w:t>
            </w:r>
          </w:p>
        </w:tc>
      </w:tr>
      <w:tr w:rsidR="00C27F39" w:rsidRPr="008F328C" w14:paraId="7CC514C4" w14:textId="77777777" w:rsidTr="00ED6A7B">
        <w:tc>
          <w:tcPr>
            <w:tcW w:w="9249" w:type="dxa"/>
            <w:gridSpan w:val="7"/>
            <w:tcBorders>
              <w:top w:val="single" w:sz="5" w:space="0" w:color="000000"/>
              <w:left w:val="single" w:sz="8" w:space="0" w:color="000000"/>
              <w:bottom w:val="single" w:sz="5" w:space="0" w:color="000000"/>
              <w:right w:val="single" w:sz="9" w:space="0" w:color="000000"/>
            </w:tcBorders>
          </w:tcPr>
          <w:p w14:paraId="7743BD60" w14:textId="77777777" w:rsidR="00C27F39" w:rsidRPr="008F328C" w:rsidRDefault="00C27F39" w:rsidP="00ED6A7B">
            <w:pPr>
              <w:rPr>
                <w:rFonts w:ascii="Times New Roman" w:hAnsi="Times New Roman" w:cs="Times New Roman"/>
                <w:lang w:val="pl-PL"/>
              </w:rPr>
            </w:pPr>
            <w:r w:rsidRPr="008F328C">
              <w:rPr>
                <w:rFonts w:ascii="Times New Roman" w:eastAsia="Times New Roman" w:hAnsi="Times New Roman" w:cs="Times New Roman"/>
                <w:spacing w:val="-1"/>
                <w:lang w:val="pl-PL"/>
              </w:rPr>
              <w:t>ACR 50</w:t>
            </w:r>
          </w:p>
        </w:tc>
      </w:tr>
      <w:tr w:rsidR="00C27F39" w:rsidRPr="008F328C" w14:paraId="1758CAA2"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2FBA9E03" w14:textId="77777777" w:rsidR="00C27F39" w:rsidRPr="008F328C" w:rsidRDefault="00C27F39" w:rsidP="00ED6A7B">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254CA7D7" w14:textId="77777777" w:rsidR="00C27F39" w:rsidRPr="008F328C" w:rsidRDefault="00C27F39" w:rsidP="00ED6A7B">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45,9%</w:t>
            </w:r>
          </w:p>
        </w:tc>
        <w:tc>
          <w:tcPr>
            <w:tcW w:w="1276" w:type="dxa"/>
            <w:tcBorders>
              <w:top w:val="single" w:sz="5" w:space="0" w:color="000000"/>
              <w:left w:val="single" w:sz="5" w:space="0" w:color="000000"/>
              <w:bottom w:val="single" w:sz="5" w:space="0" w:color="000000"/>
              <w:right w:val="single" w:sz="5" w:space="0" w:color="000000"/>
            </w:tcBorders>
          </w:tcPr>
          <w:p w14:paraId="08CFB947" w14:textId="77777777" w:rsidR="00C27F39" w:rsidRPr="008F328C" w:rsidRDefault="00C27F39" w:rsidP="00ED6A7B">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41,2%</w:t>
            </w:r>
          </w:p>
        </w:tc>
        <w:tc>
          <w:tcPr>
            <w:tcW w:w="1985" w:type="dxa"/>
            <w:tcBorders>
              <w:top w:val="single" w:sz="5" w:space="0" w:color="000000"/>
              <w:left w:val="single" w:sz="5" w:space="0" w:color="000000"/>
              <w:bottom w:val="single" w:sz="5" w:space="0" w:color="000000"/>
              <w:right w:val="single" w:sz="5" w:space="0" w:color="000000"/>
            </w:tcBorders>
          </w:tcPr>
          <w:p w14:paraId="240387ED" w14:textId="77777777" w:rsidR="00C27F39" w:rsidRPr="008F328C" w:rsidRDefault="00C27F39" w:rsidP="00ED6A7B">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61,6%</w:t>
            </w:r>
          </w:p>
        </w:tc>
        <w:tc>
          <w:tcPr>
            <w:tcW w:w="957" w:type="dxa"/>
            <w:tcBorders>
              <w:top w:val="single" w:sz="5" w:space="0" w:color="000000"/>
              <w:left w:val="single" w:sz="5" w:space="0" w:color="000000"/>
              <w:bottom w:val="single" w:sz="5" w:space="0" w:color="000000"/>
              <w:right w:val="single" w:sz="5" w:space="0" w:color="000000"/>
            </w:tcBorders>
          </w:tcPr>
          <w:p w14:paraId="36824C3D" w14:textId="77777777" w:rsidR="00C27F39" w:rsidRPr="008F328C" w:rsidRDefault="00C27F39" w:rsidP="00ED6A7B">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3FB3A264" w14:textId="77777777" w:rsidR="00C27F39" w:rsidRPr="008F328C" w:rsidRDefault="00C27F39" w:rsidP="00ED6A7B">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6969B52F" w14:textId="77777777" w:rsidR="00C27F39" w:rsidRPr="008F328C" w:rsidRDefault="00C27F39" w:rsidP="00ED6A7B">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0,317</w:t>
            </w:r>
          </w:p>
        </w:tc>
      </w:tr>
      <w:tr w:rsidR="00C27F39" w:rsidRPr="008F328C" w14:paraId="0EF26587"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4462544F" w14:textId="77777777" w:rsidR="00C27F39" w:rsidRPr="008F328C" w:rsidRDefault="00C27F39" w:rsidP="00ED6A7B">
            <w:pPr>
              <w:pStyle w:val="TableParagraph"/>
              <w:spacing w:line="246"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0B494207" w14:textId="77777777" w:rsidR="00C27F39" w:rsidRPr="008F328C" w:rsidRDefault="00C27F39" w:rsidP="00ED6A7B">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42,8%</w:t>
            </w:r>
          </w:p>
        </w:tc>
        <w:tc>
          <w:tcPr>
            <w:tcW w:w="1276" w:type="dxa"/>
            <w:tcBorders>
              <w:top w:val="single" w:sz="5" w:space="0" w:color="000000"/>
              <w:left w:val="single" w:sz="5" w:space="0" w:color="000000"/>
              <w:bottom w:val="single" w:sz="5" w:space="0" w:color="000000"/>
              <w:right w:val="single" w:sz="5" w:space="0" w:color="000000"/>
            </w:tcBorders>
          </w:tcPr>
          <w:p w14:paraId="1476CC87" w14:textId="77777777" w:rsidR="00C27F39" w:rsidRPr="008F328C" w:rsidRDefault="00C27F39" w:rsidP="00ED6A7B">
            <w:pPr>
              <w:pStyle w:val="TableParagraph"/>
              <w:spacing w:line="246"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36,9%</w:t>
            </w:r>
          </w:p>
        </w:tc>
        <w:tc>
          <w:tcPr>
            <w:tcW w:w="1985" w:type="dxa"/>
            <w:tcBorders>
              <w:top w:val="single" w:sz="5" w:space="0" w:color="000000"/>
              <w:left w:val="single" w:sz="5" w:space="0" w:color="000000"/>
              <w:bottom w:val="single" w:sz="5" w:space="0" w:color="000000"/>
              <w:right w:val="single" w:sz="5" w:space="0" w:color="000000"/>
            </w:tcBorders>
          </w:tcPr>
          <w:p w14:paraId="2C91238C" w14:textId="77777777" w:rsidR="00C27F39" w:rsidRPr="008F328C" w:rsidRDefault="00C27F39" w:rsidP="00ED6A7B">
            <w:pPr>
              <w:pStyle w:val="TableParagraph"/>
              <w:spacing w:line="246"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59,0%</w:t>
            </w:r>
          </w:p>
        </w:tc>
        <w:tc>
          <w:tcPr>
            <w:tcW w:w="957" w:type="dxa"/>
            <w:tcBorders>
              <w:top w:val="single" w:sz="5" w:space="0" w:color="000000"/>
              <w:left w:val="single" w:sz="5" w:space="0" w:color="000000"/>
              <w:bottom w:val="single" w:sz="5" w:space="0" w:color="000000"/>
              <w:right w:val="single" w:sz="5" w:space="0" w:color="000000"/>
            </w:tcBorders>
          </w:tcPr>
          <w:p w14:paraId="570D76CB" w14:textId="77777777" w:rsidR="00C27F39" w:rsidRPr="008F328C" w:rsidRDefault="00C27F39" w:rsidP="00ED6A7B">
            <w:pPr>
              <w:pStyle w:val="TableParagraph"/>
              <w:spacing w:line="246"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3A9327C8" w14:textId="77777777" w:rsidR="00C27F39" w:rsidRPr="008F328C" w:rsidRDefault="00C27F39" w:rsidP="00ED6A7B">
            <w:pPr>
              <w:pStyle w:val="TableParagraph"/>
              <w:spacing w:line="246"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A69FBEC" w14:textId="77777777" w:rsidR="00C27F39" w:rsidRPr="008F328C" w:rsidRDefault="00C27F39" w:rsidP="00ED6A7B">
            <w:pPr>
              <w:pStyle w:val="TableParagraph"/>
              <w:spacing w:line="246"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0,162</w:t>
            </w:r>
          </w:p>
        </w:tc>
      </w:tr>
      <w:tr w:rsidR="00C27F39" w:rsidRPr="008F328C" w14:paraId="66B4D2D2" w14:textId="77777777" w:rsidTr="00ED6A7B">
        <w:tc>
          <w:tcPr>
            <w:tcW w:w="9249" w:type="dxa"/>
            <w:gridSpan w:val="7"/>
            <w:tcBorders>
              <w:top w:val="single" w:sz="5" w:space="0" w:color="000000"/>
              <w:left w:val="single" w:sz="8" w:space="0" w:color="000000"/>
              <w:bottom w:val="single" w:sz="5" w:space="0" w:color="000000"/>
              <w:right w:val="single" w:sz="9" w:space="0" w:color="000000"/>
            </w:tcBorders>
          </w:tcPr>
          <w:p w14:paraId="042DA8E4" w14:textId="77777777" w:rsidR="00C27F39" w:rsidRPr="008F328C" w:rsidRDefault="00C27F39" w:rsidP="00ED6A7B">
            <w:pPr>
              <w:rPr>
                <w:rFonts w:ascii="Times New Roman" w:hAnsi="Times New Roman" w:cs="Times New Roman"/>
                <w:lang w:val="pl-PL"/>
              </w:rPr>
            </w:pPr>
            <w:r w:rsidRPr="008F328C">
              <w:rPr>
                <w:rFonts w:ascii="Times New Roman" w:eastAsia="Times New Roman" w:hAnsi="Times New Roman" w:cs="Times New Roman"/>
                <w:spacing w:val="-1"/>
                <w:lang w:val="pl-PL"/>
              </w:rPr>
              <w:t>ACR 70</w:t>
            </w:r>
          </w:p>
        </w:tc>
      </w:tr>
      <w:tr w:rsidR="00C27F39" w:rsidRPr="008F328C" w14:paraId="6CE6080B"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4208B1A2" w14:textId="77777777" w:rsidR="00C27F39" w:rsidRPr="008F328C" w:rsidRDefault="00C27F39" w:rsidP="00ED6A7B">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tc>
        <w:tc>
          <w:tcPr>
            <w:tcW w:w="1275" w:type="dxa"/>
            <w:tcBorders>
              <w:top w:val="single" w:sz="5" w:space="0" w:color="000000"/>
              <w:left w:val="single" w:sz="5" w:space="0" w:color="000000"/>
              <w:bottom w:val="single" w:sz="5" w:space="0" w:color="000000"/>
              <w:right w:val="single" w:sz="5" w:space="0" w:color="000000"/>
            </w:tcBorders>
          </w:tcPr>
          <w:p w14:paraId="62936A8B"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27,2%</w:t>
            </w:r>
          </w:p>
        </w:tc>
        <w:tc>
          <w:tcPr>
            <w:tcW w:w="1276" w:type="dxa"/>
            <w:tcBorders>
              <w:top w:val="single" w:sz="5" w:space="0" w:color="000000"/>
              <w:left w:val="single" w:sz="5" w:space="0" w:color="000000"/>
              <w:bottom w:val="single" w:sz="5" w:space="0" w:color="000000"/>
              <w:right w:val="single" w:sz="5" w:space="0" w:color="000000"/>
            </w:tcBorders>
          </w:tcPr>
          <w:p w14:paraId="4C6B3667"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25,9%</w:t>
            </w:r>
          </w:p>
        </w:tc>
        <w:tc>
          <w:tcPr>
            <w:tcW w:w="1985" w:type="dxa"/>
            <w:tcBorders>
              <w:top w:val="single" w:sz="5" w:space="0" w:color="000000"/>
              <w:left w:val="single" w:sz="5" w:space="0" w:color="000000"/>
              <w:bottom w:val="single" w:sz="5" w:space="0" w:color="000000"/>
              <w:right w:val="single" w:sz="5" w:space="0" w:color="000000"/>
            </w:tcBorders>
          </w:tcPr>
          <w:p w14:paraId="4812FA70" w14:textId="77777777" w:rsidR="00C27F39" w:rsidRPr="008F328C" w:rsidRDefault="00C27F39" w:rsidP="00ED6A7B">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45,5%</w:t>
            </w:r>
          </w:p>
        </w:tc>
        <w:tc>
          <w:tcPr>
            <w:tcW w:w="957" w:type="dxa"/>
            <w:tcBorders>
              <w:top w:val="single" w:sz="5" w:space="0" w:color="000000"/>
              <w:left w:val="single" w:sz="5" w:space="0" w:color="000000"/>
              <w:bottom w:val="single" w:sz="5" w:space="0" w:color="000000"/>
              <w:right w:val="single" w:sz="5" w:space="0" w:color="000000"/>
            </w:tcBorders>
          </w:tcPr>
          <w:p w14:paraId="1B1E7F8B" w14:textId="77777777" w:rsidR="00C27F39" w:rsidRPr="008F328C" w:rsidRDefault="00C27F39" w:rsidP="00ED6A7B">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7C0FBDB3" w14:textId="77777777" w:rsidR="00C27F39" w:rsidRPr="008F328C" w:rsidRDefault="00C27F39" w:rsidP="00ED6A7B">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02ED83CD" w14:textId="77777777" w:rsidR="00C27F39" w:rsidRPr="008F328C" w:rsidRDefault="00C27F39" w:rsidP="00ED6A7B">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0,656</w:t>
            </w:r>
          </w:p>
        </w:tc>
      </w:tr>
      <w:tr w:rsidR="00C27F39" w:rsidRPr="008F328C" w14:paraId="7E51C0F1" w14:textId="77777777" w:rsidTr="00ED6A7B">
        <w:tc>
          <w:tcPr>
            <w:tcW w:w="1366" w:type="dxa"/>
            <w:tcBorders>
              <w:top w:val="single" w:sz="5" w:space="0" w:color="000000"/>
              <w:left w:val="single" w:sz="8" w:space="0" w:color="000000"/>
              <w:bottom w:val="single" w:sz="5" w:space="0" w:color="000000"/>
              <w:right w:val="single" w:sz="5" w:space="0" w:color="000000"/>
            </w:tcBorders>
          </w:tcPr>
          <w:p w14:paraId="4FCF6D28" w14:textId="77777777" w:rsidR="00C27F39" w:rsidRPr="008F328C" w:rsidRDefault="00C27F39" w:rsidP="00ED6A7B">
            <w:pPr>
              <w:pStyle w:val="TableParagraph"/>
              <w:spacing w:line="248" w:lineRule="exact"/>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104. tydzień</w:t>
            </w:r>
          </w:p>
        </w:tc>
        <w:tc>
          <w:tcPr>
            <w:tcW w:w="1275" w:type="dxa"/>
            <w:tcBorders>
              <w:top w:val="single" w:sz="5" w:space="0" w:color="000000"/>
              <w:left w:val="single" w:sz="5" w:space="0" w:color="000000"/>
              <w:bottom w:val="single" w:sz="5" w:space="0" w:color="000000"/>
              <w:right w:val="single" w:sz="5" w:space="0" w:color="000000"/>
            </w:tcBorders>
          </w:tcPr>
          <w:p w14:paraId="639B7C4F"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276" w:type="dxa"/>
            <w:tcBorders>
              <w:top w:val="single" w:sz="5" w:space="0" w:color="000000"/>
              <w:left w:val="single" w:sz="5" w:space="0" w:color="000000"/>
              <w:bottom w:val="single" w:sz="5" w:space="0" w:color="000000"/>
              <w:right w:val="single" w:sz="5" w:space="0" w:color="000000"/>
            </w:tcBorders>
          </w:tcPr>
          <w:p w14:paraId="5EFCC84D" w14:textId="77777777" w:rsidR="00C27F39" w:rsidRPr="008F328C" w:rsidRDefault="00C27F39" w:rsidP="00ED6A7B">
            <w:pPr>
              <w:pStyle w:val="TableParagraph"/>
              <w:spacing w:line="248" w:lineRule="exact"/>
              <w:ind w:left="368"/>
              <w:rPr>
                <w:rFonts w:ascii="Times New Roman" w:eastAsia="Times New Roman" w:hAnsi="Times New Roman" w:cs="Times New Roman"/>
                <w:lang w:val="pl-PL"/>
              </w:rPr>
            </w:pPr>
            <w:r w:rsidRPr="008F328C">
              <w:rPr>
                <w:rFonts w:ascii="Times New Roman" w:eastAsia="Times New Roman" w:hAnsi="Times New Roman" w:cs="Times New Roman"/>
                <w:lang w:val="pl-PL"/>
              </w:rPr>
              <w:t>28,1%</w:t>
            </w:r>
          </w:p>
        </w:tc>
        <w:tc>
          <w:tcPr>
            <w:tcW w:w="1985" w:type="dxa"/>
            <w:tcBorders>
              <w:top w:val="single" w:sz="5" w:space="0" w:color="000000"/>
              <w:left w:val="single" w:sz="5" w:space="0" w:color="000000"/>
              <w:bottom w:val="single" w:sz="5" w:space="0" w:color="000000"/>
              <w:right w:val="single" w:sz="5" w:space="0" w:color="000000"/>
            </w:tcBorders>
          </w:tcPr>
          <w:p w14:paraId="229D1781" w14:textId="77777777" w:rsidR="00C27F39" w:rsidRPr="008F328C" w:rsidRDefault="00C27F39" w:rsidP="00ED6A7B">
            <w:pPr>
              <w:pStyle w:val="TableParagraph"/>
              <w:spacing w:line="248" w:lineRule="exact"/>
              <w:ind w:left="498"/>
              <w:rPr>
                <w:rFonts w:ascii="Times New Roman" w:eastAsia="Times New Roman" w:hAnsi="Times New Roman" w:cs="Times New Roman"/>
                <w:lang w:val="pl-PL"/>
              </w:rPr>
            </w:pPr>
            <w:r w:rsidRPr="008F328C">
              <w:rPr>
                <w:rFonts w:ascii="Times New Roman" w:eastAsia="Times New Roman" w:hAnsi="Times New Roman" w:cs="Times New Roman"/>
                <w:lang w:val="pl-PL"/>
              </w:rPr>
              <w:t>46,6%</w:t>
            </w:r>
          </w:p>
        </w:tc>
        <w:tc>
          <w:tcPr>
            <w:tcW w:w="957" w:type="dxa"/>
            <w:tcBorders>
              <w:top w:val="single" w:sz="5" w:space="0" w:color="000000"/>
              <w:left w:val="single" w:sz="5" w:space="0" w:color="000000"/>
              <w:bottom w:val="single" w:sz="5" w:space="0" w:color="000000"/>
              <w:right w:val="single" w:sz="5" w:space="0" w:color="000000"/>
            </w:tcBorders>
          </w:tcPr>
          <w:p w14:paraId="7F9B680E" w14:textId="77777777" w:rsidR="00C27F39" w:rsidRPr="008F328C" w:rsidRDefault="00C27F39" w:rsidP="00ED6A7B">
            <w:pPr>
              <w:pStyle w:val="TableParagraph"/>
              <w:spacing w:line="248" w:lineRule="exact"/>
              <w:ind w:left="205"/>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174" w:type="dxa"/>
            <w:tcBorders>
              <w:top w:val="single" w:sz="5" w:space="0" w:color="000000"/>
              <w:left w:val="single" w:sz="5" w:space="0" w:color="000000"/>
              <w:bottom w:val="single" w:sz="5" w:space="0" w:color="000000"/>
              <w:right w:val="single" w:sz="5" w:space="0" w:color="000000"/>
            </w:tcBorders>
          </w:tcPr>
          <w:p w14:paraId="07F3EA22" w14:textId="77777777" w:rsidR="00C27F39" w:rsidRPr="008F328C" w:rsidRDefault="00C27F39" w:rsidP="00ED6A7B">
            <w:pPr>
              <w:pStyle w:val="TableParagraph"/>
              <w:spacing w:line="248" w:lineRule="exact"/>
              <w:ind w:left="243"/>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1216" w:type="dxa"/>
            <w:tcBorders>
              <w:top w:val="single" w:sz="5" w:space="0" w:color="000000"/>
              <w:left w:val="single" w:sz="5" w:space="0" w:color="000000"/>
              <w:bottom w:val="single" w:sz="5" w:space="0" w:color="000000"/>
              <w:right w:val="single" w:sz="9" w:space="0" w:color="000000"/>
            </w:tcBorders>
          </w:tcPr>
          <w:p w14:paraId="3369D65F" w14:textId="77777777" w:rsidR="00C27F39" w:rsidRPr="008F328C" w:rsidRDefault="00C27F39" w:rsidP="00ED6A7B">
            <w:pPr>
              <w:pStyle w:val="TableParagraph"/>
              <w:spacing w:line="248" w:lineRule="exact"/>
              <w:ind w:left="351"/>
              <w:rPr>
                <w:rFonts w:ascii="Times New Roman" w:eastAsia="Times New Roman" w:hAnsi="Times New Roman" w:cs="Times New Roman"/>
                <w:lang w:val="pl-PL"/>
              </w:rPr>
            </w:pPr>
            <w:r w:rsidRPr="008F328C">
              <w:rPr>
                <w:rFonts w:ascii="Times New Roman" w:eastAsia="Times New Roman" w:hAnsi="Times New Roman" w:cs="Times New Roman"/>
                <w:lang w:val="pl-PL"/>
              </w:rPr>
              <w:t>0,864</w:t>
            </w:r>
          </w:p>
        </w:tc>
      </w:tr>
    </w:tbl>
    <w:p w14:paraId="2163D3DD" w14:textId="77777777" w:rsidR="00C27F39" w:rsidRPr="008F328C" w:rsidRDefault="00C27F39" w:rsidP="00C27F39">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0DC397EF" w14:textId="77777777" w:rsidR="00C27F39" w:rsidRPr="008F328C" w:rsidRDefault="00C27F39" w:rsidP="00C27F39">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23A86CB7" w14:textId="77777777" w:rsidR="00C27F39" w:rsidRPr="008F328C" w:rsidRDefault="00C27F39" w:rsidP="00C27F39">
      <w:pPr>
        <w:pStyle w:val="a3"/>
        <w:rPr>
          <w:sz w:val="17"/>
          <w:szCs w:val="17"/>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0F5F6780" w14:textId="77777777" w:rsidR="00C27F39" w:rsidRPr="008F328C" w:rsidRDefault="00C27F39" w:rsidP="00C27F39">
      <w:pPr>
        <w:spacing w:before="5" w:line="170" w:lineRule="exact"/>
        <w:rPr>
          <w:rFonts w:ascii="Times New Roman" w:hAnsi="Times New Roman" w:cs="Times New Roman"/>
          <w:sz w:val="17"/>
          <w:szCs w:val="17"/>
          <w:lang w:val="pl-PL"/>
        </w:rPr>
      </w:pPr>
    </w:p>
    <w:p w14:paraId="5A1243C2" w14:textId="77777777" w:rsidR="00C27F39" w:rsidRPr="008F328C" w:rsidRDefault="00C27F39" w:rsidP="00C27F39">
      <w:pPr>
        <w:pStyle w:val="a3"/>
        <w:rPr>
          <w:lang w:val="pl-PL"/>
        </w:rPr>
      </w:pPr>
      <w:r w:rsidRPr="008F328C">
        <w:rPr>
          <w:rFonts w:eastAsia="Times New Roman"/>
          <w:lang w:val="pl-PL"/>
        </w:rPr>
        <w:t>W fazie otwartej, będącej kontynuacją badania V w RZS, odsetki odpowiedzi na leczenie w skali ACR utrzymywały się, gdy leczenie kontynuowano przez okres do 10 lat. Z 542 pacjentów, którym losowo przydzielono leczenie adalimumabem 40 mg co drugi tydzień, 170 pacjentów kontynuowało leczenie adalimumabem 40 mg co drugi tydzień przez 10 lat. Z tych pacjentów, 154 pacjentów (90,6%) wykazało odpowiedź 20 w skali ACR, 127 pacjentów (74,7%) wykazało odpowiedź 50 w skali ACR i 102 pacjentów (60%) wykazało odpowiedź 70 w skali ACR.</w:t>
      </w:r>
    </w:p>
    <w:p w14:paraId="09BE5467" w14:textId="77777777" w:rsidR="00C27F39" w:rsidRPr="008F328C" w:rsidRDefault="00C27F39" w:rsidP="00C27F39">
      <w:pPr>
        <w:spacing w:before="13" w:line="240" w:lineRule="exact"/>
        <w:rPr>
          <w:rFonts w:ascii="Times New Roman" w:hAnsi="Times New Roman" w:cs="Times New Roman"/>
          <w:sz w:val="24"/>
          <w:szCs w:val="24"/>
          <w:lang w:val="pl-PL"/>
        </w:rPr>
      </w:pPr>
    </w:p>
    <w:p w14:paraId="65B8AE9C" w14:textId="77777777" w:rsidR="00C27F39" w:rsidRPr="008F328C" w:rsidRDefault="00C27F39" w:rsidP="00C27F39">
      <w:pPr>
        <w:pStyle w:val="a3"/>
        <w:rPr>
          <w:lang w:val="pl-PL"/>
        </w:rPr>
      </w:pPr>
      <w:r w:rsidRPr="008F328C">
        <w:rPr>
          <w:rFonts w:eastAsia="Times New Roman"/>
          <w:lang w:val="pl-PL"/>
        </w:rPr>
        <w:t xml:space="preserve">W 52. tygodniu, 42,9% pacjentów, którzy otrzymywali leczenie skojarzone adalimumabem i metotreksatem, osiągnęło stan remisji klinicznej [DAS28 (CRP) &lt; 2,6] w porównaniu do 20,6% pacjentów, którzy otrzymywali metotreksat w monoterapii i 23,4% pacjentów, którzy otrzymywali </w:t>
      </w:r>
      <w:r w:rsidRPr="008F328C">
        <w:rPr>
          <w:rFonts w:eastAsia="Times New Roman"/>
          <w:lang w:val="pl-PL"/>
        </w:rPr>
        <w:lastRenderedPageBreak/>
        <w:t>adalimumab w monoterapii. Leczenie skojarzone adalimumabem i metotreksatem przewyższało pod względem klinicznym i statystycznym stosowanie metotreksatu (p &lt; 0,001) i adalimumabu w monoterapii (p &lt; 0,001) w odniesieniu do uzyskania małej aktywności choroby u pacjentów z niedawno rozpoznanym umiarkowanym do ciężkiego reumatoidalnym zapaleniem stawów.  Odpowiedź na obydwa rodzaje monoterapii była podobna (p = 0,447). Z 342 uczestników badania, którym pierwotnie przydzielono leczenie adalimumabem w monoterapii lub leczenie skojarzone adalimumabem i metotreksatem, a następnie włączono ich do otwartego badania kontynuacyjnego, 171 uczestników zakończyło trwające 10 lat leczenie adalimumabem. Spośród nich, jak poinformowano, 109 (63,7%) uczestników pozostawało w fazie remisji po 10 latach.</w:t>
      </w:r>
    </w:p>
    <w:p w14:paraId="790F838A" w14:textId="77777777" w:rsidR="00C27F39" w:rsidRPr="008F328C" w:rsidRDefault="00C27F39" w:rsidP="00C27F39">
      <w:pPr>
        <w:pStyle w:val="a3"/>
        <w:rPr>
          <w:lang w:val="pl-PL"/>
        </w:rPr>
      </w:pPr>
    </w:p>
    <w:p w14:paraId="63364269"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Odpowiedź radiologiczna</w:t>
      </w:r>
    </w:p>
    <w:p w14:paraId="339EAAF5" w14:textId="77777777" w:rsidR="00C27F39" w:rsidRPr="008F328C" w:rsidRDefault="00C27F39" w:rsidP="00C27F39">
      <w:pPr>
        <w:pStyle w:val="a3"/>
        <w:rPr>
          <w:sz w:val="18"/>
          <w:szCs w:val="18"/>
          <w:lang w:val="pl-PL"/>
        </w:rPr>
      </w:pPr>
    </w:p>
    <w:p w14:paraId="691159A9" w14:textId="03EDD839" w:rsidR="00C27F39" w:rsidRPr="008F328C" w:rsidRDefault="00C27F39" w:rsidP="00C27F39">
      <w:pPr>
        <w:pStyle w:val="a3"/>
        <w:rPr>
          <w:lang w:val="pl-PL"/>
        </w:rPr>
      </w:pPr>
      <w:r w:rsidRPr="008F328C">
        <w:rPr>
          <w:rFonts w:eastAsia="Times New Roman"/>
          <w:lang w:val="pl-PL"/>
        </w:rPr>
        <w:t xml:space="preserve">W badaniu III w RZS, w którym średni czas trwania reumatoidalnego zapalenia stawów u pacjentów leczonych adalimumabem wynosił około 11 lat, strukturalne uszkodzenie stawów oceniano radiologicznie i opisywano jako zmianę w zmodyfikowanej całkowitej skali Sharpa (ang. Total Sharp Score, TSS) i jej składnikach, skali oceny nadżerek oraz skali oceny zwężenia szpar stawowych. Po 6 i 12 miesiącach pacjenci leczeni adalimumabem i metotreksatem wykazali w badaniu radiologicznym istotnie mniejszy postęp zmian niż pacjenci otrzymujący wyłącznie metotreksat (patrz Tabela </w:t>
      </w:r>
      <w:r w:rsidR="00270309" w:rsidRPr="008F328C">
        <w:rPr>
          <w:rFonts w:eastAsia="Times New Roman"/>
          <w:lang w:val="pl-PL"/>
        </w:rPr>
        <w:t>9</w:t>
      </w:r>
      <w:r w:rsidRPr="008F328C">
        <w:rPr>
          <w:rFonts w:eastAsia="Times New Roman"/>
          <w:lang w:val="pl-PL"/>
        </w:rPr>
        <w:t>).</w:t>
      </w:r>
    </w:p>
    <w:p w14:paraId="59A98E5F" w14:textId="77777777" w:rsidR="00C27F39" w:rsidRPr="008F328C" w:rsidRDefault="00C27F39" w:rsidP="00C27F39">
      <w:pPr>
        <w:pStyle w:val="a3"/>
        <w:rPr>
          <w:lang w:val="pl-PL"/>
        </w:rPr>
      </w:pPr>
    </w:p>
    <w:p w14:paraId="58C7B484" w14:textId="77777777" w:rsidR="00C27F39" w:rsidRPr="008F328C" w:rsidRDefault="00C27F39" w:rsidP="00C27F39">
      <w:pPr>
        <w:pStyle w:val="a3"/>
        <w:rPr>
          <w:lang w:val="pl-PL"/>
        </w:rPr>
      </w:pPr>
      <w:r w:rsidRPr="008F328C">
        <w:rPr>
          <w:rFonts w:eastAsia="Times New Roman"/>
          <w:lang w:val="pl-PL"/>
        </w:rPr>
        <w:t>W fazie otwartej, będącej kontynuacją badania III w RZS zmniejszenie szybkości postępu uszkodzenia strukturalnego utrzymywało się przez 8 i 10 lat w tej podgrupie pacjentów. Po 8 latach, 81 z 207 pacjentów pierwotnie leczonych adalimumabem 40 mg co drugi tydzień oceniano radiologicznie. Spośród tych pacjentów 48 nie wykazało postępu uszkodzenia strukturalnego, co definiowano jako zmianę w stosunku do wartości wyjściowej w zmodyfikowanej całkowitej skali Sharpa (mTSS) wynoszącą 0,5 lub mniej. Po 10 latach, 79 z 207 pacjentów pierwotnie leczonych adalimumabem 40 mg co drugi tydzień oceniano radiologicznie. Spośród tych pacjentów 40 nie wykazało postępu uszkodzenia strukturalnego, co definiowano jako zmianę w stosunku do wartości wyjściowej w zmodyfikowanej całkowitej skali Sharpa (mTSS) wynoszącą 0,5 lub mniej.</w:t>
      </w:r>
    </w:p>
    <w:p w14:paraId="00651C46" w14:textId="77777777" w:rsidR="00C27F39" w:rsidRPr="008F328C" w:rsidRDefault="00C27F39" w:rsidP="00C27F39">
      <w:pPr>
        <w:spacing w:before="18" w:line="240" w:lineRule="exact"/>
        <w:rPr>
          <w:rFonts w:ascii="Times New Roman" w:hAnsi="Times New Roman" w:cs="Times New Roman"/>
          <w:sz w:val="24"/>
          <w:szCs w:val="24"/>
          <w:lang w:val="pl-PL"/>
        </w:rPr>
      </w:pPr>
    </w:p>
    <w:p w14:paraId="41FA679F" w14:textId="727A57B6"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9</w:t>
      </w:r>
    </w:p>
    <w:p w14:paraId="3E660F76" w14:textId="77777777" w:rsidR="00C27F39" w:rsidRPr="008F328C" w:rsidRDefault="00C27F39" w:rsidP="00C27F39">
      <w:pPr>
        <w:pStyle w:val="a3"/>
        <w:jc w:val="center"/>
        <w:rPr>
          <w:b/>
          <w:lang w:val="pl-PL"/>
        </w:rPr>
      </w:pPr>
      <w:r w:rsidRPr="008F328C">
        <w:rPr>
          <w:rFonts w:eastAsia="Times New Roman"/>
          <w:b/>
          <w:bCs/>
          <w:lang w:val="pl-PL"/>
        </w:rPr>
        <w:t>Średnie zmiany w badaniu radiologicznym w okresie 12 miesięcy w badaniu III w RZS</w:t>
      </w:r>
    </w:p>
    <w:p w14:paraId="6C6BFBC7" w14:textId="77777777" w:rsidR="00C27F39" w:rsidRPr="008F328C" w:rsidRDefault="00C27F39" w:rsidP="00C27F39">
      <w:pPr>
        <w:spacing w:before="14" w:line="240" w:lineRule="exact"/>
        <w:rPr>
          <w:rFonts w:ascii="Times New Roman" w:hAnsi="Times New Roman" w:cs="Times New Roman"/>
          <w:sz w:val="24"/>
          <w:szCs w:val="24"/>
          <w:lang w:val="pl-PL"/>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C27F39" w:rsidRPr="008F328C" w14:paraId="218AB345" w14:textId="77777777" w:rsidTr="00ED6A7B">
        <w:tc>
          <w:tcPr>
            <w:tcW w:w="2088" w:type="dxa"/>
            <w:tcBorders>
              <w:top w:val="single" w:sz="5" w:space="0" w:color="000000"/>
              <w:left w:val="single" w:sz="5" w:space="0" w:color="000000"/>
              <w:bottom w:val="single" w:sz="5" w:space="0" w:color="000000"/>
              <w:right w:val="single" w:sz="5" w:space="0" w:color="000000"/>
            </w:tcBorders>
            <w:vAlign w:val="center"/>
          </w:tcPr>
          <w:p w14:paraId="05A7004D" w14:textId="77777777" w:rsidR="00C27F39" w:rsidRPr="008F328C" w:rsidRDefault="00C27F39" w:rsidP="00ED6A7B">
            <w:pPr>
              <w:jc w:val="center"/>
              <w:rPr>
                <w:rFonts w:ascii="Times New Roman" w:hAnsi="Times New Roman" w:cs="Times New Roman"/>
                <w:lang w:val="pl-PL"/>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72C338F3"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466CBE35" w14:textId="77777777" w:rsidR="00C27F39" w:rsidRPr="008F328C" w:rsidRDefault="00C27F39" w:rsidP="00ED6A7B">
            <w:pPr>
              <w:pStyle w:val="TableParagraph"/>
              <w:spacing w:line="254"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vertAlign w:val="superscript"/>
                <w:lang w:val="pl-PL"/>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54C9E1E0"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5FEB3A6C" w14:textId="77777777" w:rsidR="00C27F39" w:rsidRPr="008F328C" w:rsidRDefault="00C27F39" w:rsidP="00ED6A7B">
            <w:pPr>
              <w:pStyle w:val="TableParagraph"/>
              <w:spacing w:line="252" w:lineRule="exact"/>
              <w:ind w:hanging="6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1999" w:type="dxa"/>
            <w:tcBorders>
              <w:top w:val="single" w:sz="5" w:space="0" w:color="000000"/>
              <w:left w:val="single" w:sz="5" w:space="0" w:color="000000"/>
              <w:bottom w:val="single" w:sz="5" w:space="0" w:color="000000"/>
              <w:right w:val="single" w:sz="5" w:space="0" w:color="000000"/>
            </w:tcBorders>
            <w:vAlign w:val="center"/>
          </w:tcPr>
          <w:p w14:paraId="5E2D1839"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Placebo/MTX</w:t>
            </w:r>
          </w:p>
          <w:p w14:paraId="03073E7E" w14:textId="77777777" w:rsidR="00C27F39" w:rsidRPr="008F328C" w:rsidRDefault="00C27F39" w:rsidP="00ED6A7B">
            <w:pPr>
              <w:pStyle w:val="TableParagraph"/>
              <w:spacing w:line="237" w:lineRule="auto"/>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 (95% przedział ufności</w:t>
            </w:r>
            <w:r w:rsidRPr="008F328C">
              <w:rPr>
                <w:rFonts w:ascii="Times New Roman" w:eastAsia="Times New Roman" w:hAnsi="Times New Roman" w:cs="Times New Roman"/>
                <w:spacing w:val="-1"/>
                <w:vertAlign w:val="superscript"/>
                <w:lang w:val="pl-PL"/>
              </w:rPr>
              <w:t>b</w:t>
            </w:r>
            <w:r w:rsidRPr="008F328C">
              <w:rPr>
                <w:rFonts w:ascii="Times New Roman" w:eastAsia="Times New Roman" w:hAnsi="Times New Roman" w:cs="Times New Roman"/>
                <w:spacing w:val="-1"/>
                <w:lang w:val="pl-PL"/>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47F51DF2"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Wartość p</w:t>
            </w:r>
          </w:p>
        </w:tc>
      </w:tr>
      <w:tr w:rsidR="00C27F39" w:rsidRPr="008F328C" w14:paraId="254AB72B" w14:textId="77777777" w:rsidTr="00ED6A7B">
        <w:tc>
          <w:tcPr>
            <w:tcW w:w="2088" w:type="dxa"/>
            <w:tcBorders>
              <w:top w:val="single" w:sz="5" w:space="0" w:color="000000"/>
              <w:left w:val="single" w:sz="5" w:space="0" w:color="000000"/>
              <w:bottom w:val="single" w:sz="5" w:space="0" w:color="000000"/>
              <w:right w:val="single" w:sz="5" w:space="0" w:color="000000"/>
            </w:tcBorders>
          </w:tcPr>
          <w:p w14:paraId="610C2D30"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Całkowita skala Sharpa</w:t>
            </w:r>
          </w:p>
        </w:tc>
        <w:tc>
          <w:tcPr>
            <w:tcW w:w="1430" w:type="dxa"/>
            <w:tcBorders>
              <w:top w:val="single" w:sz="5" w:space="0" w:color="000000"/>
              <w:left w:val="single" w:sz="5" w:space="0" w:color="000000"/>
              <w:bottom w:val="single" w:sz="5" w:space="0" w:color="000000"/>
              <w:right w:val="single" w:sz="5" w:space="0" w:color="000000"/>
            </w:tcBorders>
          </w:tcPr>
          <w:p w14:paraId="2B2E8373" w14:textId="77777777" w:rsidR="00C27F39" w:rsidRPr="008F328C" w:rsidRDefault="00C27F39" w:rsidP="00ED6A7B">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790" w:type="dxa"/>
            <w:tcBorders>
              <w:top w:val="single" w:sz="5" w:space="0" w:color="000000"/>
              <w:left w:val="single" w:sz="5" w:space="0" w:color="000000"/>
              <w:bottom w:val="single" w:sz="5" w:space="0" w:color="000000"/>
              <w:right w:val="single" w:sz="5" w:space="0" w:color="000000"/>
            </w:tcBorders>
          </w:tcPr>
          <w:p w14:paraId="327593AB" w14:textId="77777777" w:rsidR="00C27F39" w:rsidRPr="008F328C" w:rsidRDefault="00C27F39" w:rsidP="00ED6A7B">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63AEC622" w14:textId="77777777" w:rsidR="00C27F39" w:rsidRPr="008F328C" w:rsidRDefault="00C27F39" w:rsidP="00ED6A7B">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(1,4, 3,8)</w:t>
            </w:r>
          </w:p>
        </w:tc>
        <w:tc>
          <w:tcPr>
            <w:tcW w:w="1548" w:type="dxa"/>
            <w:tcBorders>
              <w:top w:val="single" w:sz="5" w:space="0" w:color="000000"/>
              <w:left w:val="single" w:sz="5" w:space="0" w:color="000000"/>
              <w:bottom w:val="single" w:sz="5" w:space="0" w:color="000000"/>
              <w:right w:val="single" w:sz="5" w:space="0" w:color="000000"/>
            </w:tcBorders>
          </w:tcPr>
          <w:p w14:paraId="42F3FD56" w14:textId="77777777" w:rsidR="00C27F39" w:rsidRPr="008F328C" w:rsidRDefault="00C27F39" w:rsidP="00ED6A7B">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&lt; 0,001</w:t>
            </w:r>
            <w:r w:rsidRPr="008F328C">
              <w:rPr>
                <w:rFonts w:ascii="Times New Roman" w:eastAsia="Times New Roman" w:hAnsi="Times New Roman" w:cs="Times New Roman"/>
                <w:vertAlign w:val="superscript"/>
                <w:lang w:val="pl-PL"/>
              </w:rPr>
              <w:t>c</w:t>
            </w:r>
          </w:p>
        </w:tc>
      </w:tr>
      <w:tr w:rsidR="00C27F39" w:rsidRPr="008F328C" w14:paraId="1A727384" w14:textId="77777777" w:rsidTr="00ED6A7B">
        <w:tc>
          <w:tcPr>
            <w:tcW w:w="2088" w:type="dxa"/>
            <w:tcBorders>
              <w:top w:val="single" w:sz="5" w:space="0" w:color="000000"/>
              <w:left w:val="single" w:sz="5" w:space="0" w:color="000000"/>
              <w:bottom w:val="single" w:sz="5" w:space="0" w:color="000000"/>
              <w:right w:val="single" w:sz="5" w:space="0" w:color="000000"/>
            </w:tcBorders>
          </w:tcPr>
          <w:p w14:paraId="3E61A7D1"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430" w:type="dxa"/>
            <w:tcBorders>
              <w:top w:val="single" w:sz="5" w:space="0" w:color="000000"/>
              <w:left w:val="single" w:sz="5" w:space="0" w:color="000000"/>
              <w:bottom w:val="single" w:sz="5" w:space="0" w:color="000000"/>
              <w:right w:val="single" w:sz="5" w:space="0" w:color="000000"/>
            </w:tcBorders>
          </w:tcPr>
          <w:p w14:paraId="436FC36F" w14:textId="77777777" w:rsidR="00C27F39" w:rsidRPr="008F328C" w:rsidRDefault="00C27F39" w:rsidP="00ED6A7B">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1.6</w:t>
            </w:r>
          </w:p>
        </w:tc>
        <w:tc>
          <w:tcPr>
            <w:tcW w:w="1790" w:type="dxa"/>
            <w:tcBorders>
              <w:top w:val="single" w:sz="5" w:space="0" w:color="000000"/>
              <w:left w:val="single" w:sz="5" w:space="0" w:color="000000"/>
              <w:bottom w:val="single" w:sz="5" w:space="0" w:color="000000"/>
              <w:right w:val="single" w:sz="5" w:space="0" w:color="000000"/>
            </w:tcBorders>
          </w:tcPr>
          <w:p w14:paraId="31A9503E" w14:textId="77777777" w:rsidR="00C27F39" w:rsidRPr="008F328C" w:rsidRDefault="00C27F39" w:rsidP="00ED6A7B">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0,0</w:t>
            </w:r>
          </w:p>
        </w:tc>
        <w:tc>
          <w:tcPr>
            <w:tcW w:w="1999" w:type="dxa"/>
            <w:tcBorders>
              <w:top w:val="single" w:sz="5" w:space="0" w:color="000000"/>
              <w:left w:val="single" w:sz="5" w:space="0" w:color="000000"/>
              <w:bottom w:val="single" w:sz="5" w:space="0" w:color="000000"/>
              <w:right w:val="single" w:sz="5" w:space="0" w:color="000000"/>
            </w:tcBorders>
          </w:tcPr>
          <w:p w14:paraId="477828F9" w14:textId="77777777" w:rsidR="00C27F39" w:rsidRPr="008F328C" w:rsidRDefault="00C27F39" w:rsidP="00ED6A7B">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(0,9, 2,2)</w:t>
            </w:r>
          </w:p>
        </w:tc>
        <w:tc>
          <w:tcPr>
            <w:tcW w:w="1548" w:type="dxa"/>
            <w:tcBorders>
              <w:top w:val="single" w:sz="5" w:space="0" w:color="000000"/>
              <w:left w:val="single" w:sz="5" w:space="0" w:color="000000"/>
              <w:bottom w:val="single" w:sz="5" w:space="0" w:color="000000"/>
              <w:right w:val="single" w:sz="5" w:space="0" w:color="000000"/>
            </w:tcBorders>
          </w:tcPr>
          <w:p w14:paraId="67C8B91D" w14:textId="77777777" w:rsidR="00C27F39" w:rsidRPr="008F328C" w:rsidRDefault="00C27F39" w:rsidP="00ED6A7B">
            <w:pPr>
              <w:pStyle w:val="TableParagraph"/>
              <w:spacing w:line="246" w:lineRule="exact"/>
              <w:ind w:left="431"/>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C27F39" w:rsidRPr="008F328C" w14:paraId="4CFEB9A4" w14:textId="77777777" w:rsidTr="00ED6A7B">
        <w:tc>
          <w:tcPr>
            <w:tcW w:w="2088" w:type="dxa"/>
            <w:tcBorders>
              <w:top w:val="single" w:sz="5" w:space="0" w:color="000000"/>
              <w:left w:val="single" w:sz="5" w:space="0" w:color="000000"/>
              <w:bottom w:val="single" w:sz="5" w:space="0" w:color="000000"/>
              <w:right w:val="single" w:sz="5" w:space="0" w:color="000000"/>
            </w:tcBorders>
          </w:tcPr>
          <w:p w14:paraId="33C64A99"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r w:rsidRPr="008F328C">
              <w:rPr>
                <w:rFonts w:ascii="Times New Roman" w:eastAsia="Times New Roman" w:hAnsi="Times New Roman" w:cs="Times New Roman"/>
                <w:spacing w:val="1"/>
                <w:vertAlign w:val="superscript"/>
                <w:lang w:val="pl-PL"/>
              </w:rPr>
              <w:t>d</w:t>
            </w:r>
          </w:p>
        </w:tc>
        <w:tc>
          <w:tcPr>
            <w:tcW w:w="1430" w:type="dxa"/>
            <w:tcBorders>
              <w:top w:val="single" w:sz="5" w:space="0" w:color="000000"/>
              <w:left w:val="single" w:sz="5" w:space="0" w:color="000000"/>
              <w:bottom w:val="single" w:sz="5" w:space="0" w:color="000000"/>
              <w:right w:val="single" w:sz="5" w:space="0" w:color="000000"/>
            </w:tcBorders>
          </w:tcPr>
          <w:p w14:paraId="59289989" w14:textId="77777777" w:rsidR="00C27F39" w:rsidRPr="008F328C" w:rsidRDefault="00C27F39" w:rsidP="00ED6A7B">
            <w:pPr>
              <w:pStyle w:val="TableParagraph"/>
              <w:spacing w:line="246" w:lineRule="exact"/>
              <w:ind w:left="551" w:right="55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w:t>
            </w:r>
          </w:p>
        </w:tc>
        <w:tc>
          <w:tcPr>
            <w:tcW w:w="1790" w:type="dxa"/>
            <w:tcBorders>
              <w:top w:val="single" w:sz="5" w:space="0" w:color="000000"/>
              <w:left w:val="single" w:sz="5" w:space="0" w:color="000000"/>
              <w:bottom w:val="single" w:sz="5" w:space="0" w:color="000000"/>
              <w:right w:val="single" w:sz="5" w:space="0" w:color="000000"/>
            </w:tcBorders>
          </w:tcPr>
          <w:p w14:paraId="05970154" w14:textId="77777777" w:rsidR="00C27F39" w:rsidRPr="008F328C" w:rsidRDefault="00C27F39" w:rsidP="00ED6A7B">
            <w:pPr>
              <w:pStyle w:val="TableParagraph"/>
              <w:spacing w:line="246" w:lineRule="exact"/>
              <w:ind w:left="731" w:right="73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0,1</w:t>
            </w:r>
          </w:p>
        </w:tc>
        <w:tc>
          <w:tcPr>
            <w:tcW w:w="1999" w:type="dxa"/>
            <w:tcBorders>
              <w:top w:val="single" w:sz="5" w:space="0" w:color="000000"/>
              <w:left w:val="single" w:sz="5" w:space="0" w:color="000000"/>
              <w:bottom w:val="single" w:sz="5" w:space="0" w:color="000000"/>
              <w:right w:val="single" w:sz="5" w:space="0" w:color="000000"/>
            </w:tcBorders>
          </w:tcPr>
          <w:p w14:paraId="0D1A9DDB" w14:textId="77777777" w:rsidR="00C27F39" w:rsidRPr="008F328C" w:rsidRDefault="00C27F39" w:rsidP="00ED6A7B">
            <w:pPr>
              <w:pStyle w:val="TableParagraph"/>
              <w:spacing w:line="246" w:lineRule="exact"/>
              <w:ind w:left="42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0,9 (0,3, 1,4)</w:t>
            </w:r>
          </w:p>
        </w:tc>
        <w:tc>
          <w:tcPr>
            <w:tcW w:w="1548" w:type="dxa"/>
            <w:tcBorders>
              <w:top w:val="single" w:sz="5" w:space="0" w:color="000000"/>
              <w:left w:val="single" w:sz="5" w:space="0" w:color="000000"/>
              <w:bottom w:val="single" w:sz="5" w:space="0" w:color="000000"/>
              <w:right w:val="single" w:sz="5" w:space="0" w:color="000000"/>
            </w:tcBorders>
          </w:tcPr>
          <w:p w14:paraId="51267FB9" w14:textId="77777777" w:rsidR="00C27F39" w:rsidRPr="008F328C" w:rsidRDefault="00C27F39" w:rsidP="00ED6A7B">
            <w:pPr>
              <w:pStyle w:val="TableParagraph"/>
              <w:spacing w:line="246" w:lineRule="exact"/>
              <w:ind w:left="575"/>
              <w:rPr>
                <w:rFonts w:ascii="Times New Roman" w:eastAsia="Times New Roman" w:hAnsi="Times New Roman" w:cs="Times New Roman"/>
                <w:lang w:val="pl-PL"/>
              </w:rPr>
            </w:pPr>
            <w:r w:rsidRPr="008F328C">
              <w:rPr>
                <w:rFonts w:ascii="Times New Roman" w:eastAsia="Times New Roman" w:hAnsi="Times New Roman" w:cs="Times New Roman"/>
                <w:lang w:val="pl-PL"/>
              </w:rPr>
              <w:t>0,002</w:t>
            </w:r>
          </w:p>
        </w:tc>
      </w:tr>
    </w:tbl>
    <w:p w14:paraId="6324B5D2" w14:textId="77777777" w:rsidR="00C27F39" w:rsidRPr="008F328C" w:rsidRDefault="00C27F39" w:rsidP="00C27F39">
      <w:pPr>
        <w:pStyle w:val="a3"/>
        <w:rPr>
          <w:lang w:val="pl-PL"/>
        </w:rPr>
      </w:pPr>
      <w:r w:rsidRPr="008F328C">
        <w:rPr>
          <w:rFonts w:eastAsia="Times New Roman"/>
          <w:bCs/>
          <w:position w:val="8"/>
          <w:vertAlign w:val="superscript"/>
          <w:lang w:val="pl-PL"/>
        </w:rPr>
        <w:t>a</w:t>
      </w:r>
      <w:r w:rsidRPr="008F328C">
        <w:rPr>
          <w:rFonts w:eastAsia="Times New Roman"/>
          <w:bCs/>
          <w:position w:val="8"/>
          <w:sz w:val="14"/>
          <w:szCs w:val="14"/>
          <w:lang w:val="pl-PL"/>
        </w:rPr>
        <w:t xml:space="preserve"> </w:t>
      </w:r>
      <w:r w:rsidRPr="008F328C">
        <w:rPr>
          <w:rFonts w:eastAsia="Times New Roman"/>
          <w:position w:val="8"/>
          <w:lang w:val="pl-PL"/>
        </w:rPr>
        <w:t>metotreksat</w:t>
      </w:r>
    </w:p>
    <w:p w14:paraId="1260330D" w14:textId="77777777" w:rsidR="00C27F39" w:rsidRPr="008F328C" w:rsidRDefault="00C27F39" w:rsidP="00C27F39">
      <w:pPr>
        <w:pStyle w:val="a3"/>
        <w:rPr>
          <w:lang w:val="pl-PL"/>
        </w:rPr>
      </w:pPr>
      <w:r w:rsidRPr="008F328C">
        <w:rPr>
          <w:rFonts w:eastAsia="Times New Roman"/>
          <w:position w:val="8"/>
          <w:vertAlign w:val="superscript"/>
          <w:lang w:val="pl-PL"/>
        </w:rPr>
        <w:t>b</w:t>
      </w:r>
      <w:r w:rsidRPr="008F328C">
        <w:rPr>
          <w:rFonts w:eastAsia="Times New Roman"/>
          <w:position w:val="8"/>
          <w:sz w:val="14"/>
          <w:szCs w:val="14"/>
          <w:lang w:val="pl-PL"/>
        </w:rPr>
        <w:t xml:space="preserve"> </w:t>
      </w:r>
      <w:r w:rsidRPr="008F328C">
        <w:rPr>
          <w:rFonts w:eastAsia="Times New Roman"/>
          <w:position w:val="8"/>
          <w:lang w:val="pl-PL"/>
        </w:rPr>
        <w:t>95% przedziały ufności dla różnic w zmianie punktacji między metotreksatem a adalimumabem</w:t>
      </w:r>
    </w:p>
    <w:p w14:paraId="0F933392" w14:textId="77777777" w:rsidR="00C27F39" w:rsidRPr="008F328C" w:rsidRDefault="00C27F39" w:rsidP="00C27F39">
      <w:pPr>
        <w:pStyle w:val="a3"/>
        <w:rPr>
          <w:lang w:val="pl-PL"/>
        </w:rPr>
      </w:pPr>
      <w:r w:rsidRPr="008F328C">
        <w:rPr>
          <w:rFonts w:eastAsia="Times New Roman"/>
          <w:position w:val="8"/>
          <w:vertAlign w:val="superscript"/>
          <w:lang w:val="pl-PL"/>
        </w:rPr>
        <w:t>c</w:t>
      </w:r>
      <w:r w:rsidRPr="008F328C">
        <w:rPr>
          <w:rFonts w:eastAsia="Times New Roman"/>
          <w:position w:val="8"/>
          <w:sz w:val="14"/>
          <w:szCs w:val="14"/>
          <w:lang w:val="pl-PL"/>
        </w:rPr>
        <w:t xml:space="preserve"> </w:t>
      </w:r>
      <w:r w:rsidRPr="008F328C">
        <w:rPr>
          <w:rFonts w:eastAsia="Times New Roman"/>
          <w:position w:val="8"/>
          <w:lang w:val="pl-PL"/>
        </w:rPr>
        <w:t>na podstawie analizy rang</w:t>
      </w:r>
    </w:p>
    <w:p w14:paraId="1D2E2435" w14:textId="77777777" w:rsidR="00C27F39" w:rsidRPr="008F328C" w:rsidRDefault="00C27F39" w:rsidP="00C27F39">
      <w:pPr>
        <w:pStyle w:val="a3"/>
        <w:rPr>
          <w:lang w:val="pl-PL"/>
        </w:rPr>
      </w:pPr>
      <w:r w:rsidRPr="008F328C">
        <w:rPr>
          <w:rFonts w:eastAsia="Times New Roman"/>
          <w:position w:val="8"/>
          <w:vertAlign w:val="superscript"/>
          <w:lang w:val="pl-PL"/>
        </w:rPr>
        <w:t>d</w:t>
      </w:r>
      <w:r w:rsidRPr="008F328C">
        <w:rPr>
          <w:rFonts w:eastAsia="Times New Roman"/>
          <w:position w:val="8"/>
          <w:sz w:val="14"/>
          <w:szCs w:val="14"/>
          <w:lang w:val="pl-PL"/>
        </w:rPr>
        <w:t xml:space="preserve"> </w:t>
      </w:r>
      <w:r w:rsidRPr="008F328C">
        <w:rPr>
          <w:rFonts w:eastAsia="Times New Roman"/>
          <w:position w:val="8"/>
          <w:lang w:val="pl-PL"/>
        </w:rPr>
        <w:t>zwężenie szpar stawowych</w:t>
      </w:r>
    </w:p>
    <w:p w14:paraId="0E2FD9A0" w14:textId="77777777" w:rsidR="00C27F39" w:rsidRPr="008F328C" w:rsidRDefault="00C27F39" w:rsidP="00C27F39">
      <w:pPr>
        <w:spacing w:before="17" w:line="240" w:lineRule="exact"/>
        <w:rPr>
          <w:rFonts w:ascii="Times New Roman" w:hAnsi="Times New Roman" w:cs="Times New Roman"/>
          <w:sz w:val="24"/>
          <w:szCs w:val="24"/>
          <w:lang w:val="pl-PL"/>
        </w:rPr>
      </w:pPr>
    </w:p>
    <w:p w14:paraId="5CBC96D4" w14:textId="789CDF3B" w:rsidR="00C27F39" w:rsidRPr="008F328C" w:rsidRDefault="00C27F39" w:rsidP="00C27F39">
      <w:pPr>
        <w:pStyle w:val="a3"/>
        <w:rPr>
          <w:lang w:val="pl-PL"/>
        </w:rPr>
      </w:pPr>
      <w:r w:rsidRPr="008F328C">
        <w:rPr>
          <w:rFonts w:eastAsia="Times New Roman"/>
          <w:lang w:val="pl-PL"/>
        </w:rPr>
        <w:t xml:space="preserve">W badaniu V w RZS, strukturalne uszkodzenie stawów oceniano radiologicznie i opisywano jako zmianę w modyfikowanej całkowitej skali Sharpa (patrz Tabela </w:t>
      </w:r>
      <w:r w:rsidR="00270309" w:rsidRPr="008F328C">
        <w:rPr>
          <w:rFonts w:eastAsia="Times New Roman"/>
          <w:lang w:val="pl-PL"/>
        </w:rPr>
        <w:t>10</w:t>
      </w:r>
      <w:r w:rsidRPr="008F328C">
        <w:rPr>
          <w:rFonts w:eastAsia="Times New Roman"/>
          <w:lang w:val="pl-PL"/>
        </w:rPr>
        <w:t>).</w:t>
      </w:r>
    </w:p>
    <w:p w14:paraId="49F33CB3" w14:textId="77777777" w:rsidR="00C27F39" w:rsidRPr="008F328C" w:rsidRDefault="00C27F39" w:rsidP="00C27F39">
      <w:pPr>
        <w:spacing w:before="15" w:line="240" w:lineRule="exact"/>
        <w:rPr>
          <w:rFonts w:ascii="Times New Roman" w:hAnsi="Times New Roman" w:cs="Times New Roman"/>
          <w:sz w:val="24"/>
          <w:szCs w:val="24"/>
          <w:lang w:val="pl-PL"/>
        </w:rPr>
      </w:pPr>
    </w:p>
    <w:p w14:paraId="136C7845" w14:textId="54813C85"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10</w:t>
      </w:r>
    </w:p>
    <w:p w14:paraId="434EAF5B" w14:textId="77777777" w:rsidR="00C27F39" w:rsidRPr="008F328C" w:rsidRDefault="00C27F39" w:rsidP="00C27F39">
      <w:pPr>
        <w:pStyle w:val="a3"/>
        <w:jc w:val="center"/>
        <w:rPr>
          <w:b/>
          <w:lang w:val="pl-PL"/>
        </w:rPr>
      </w:pPr>
      <w:r w:rsidRPr="008F328C">
        <w:rPr>
          <w:rFonts w:eastAsia="Times New Roman"/>
          <w:b/>
          <w:bCs/>
          <w:lang w:val="pl-PL"/>
        </w:rPr>
        <w:t>Średnie zmiany w badaniu radiologicznym w 52. tygodniu w badaniu V w RZS</w:t>
      </w:r>
    </w:p>
    <w:p w14:paraId="3CAA0A0E" w14:textId="77777777" w:rsidR="00C27F39" w:rsidRPr="008F328C" w:rsidRDefault="00C27F39" w:rsidP="00C27F39">
      <w:pPr>
        <w:spacing w:before="11" w:line="240" w:lineRule="exact"/>
        <w:rPr>
          <w:rFonts w:ascii="Times New Roman" w:hAnsi="Times New Roman" w:cs="Times New Roman"/>
          <w:sz w:val="24"/>
          <w:szCs w:val="24"/>
          <w:lang w:val="pl-PL"/>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C27F39" w:rsidRPr="008F328C" w14:paraId="31229066" w14:textId="77777777" w:rsidTr="00ED6A7B">
        <w:tc>
          <w:tcPr>
            <w:tcW w:w="1430" w:type="dxa"/>
            <w:tcBorders>
              <w:top w:val="single" w:sz="5" w:space="0" w:color="000000"/>
              <w:left w:val="single" w:sz="5" w:space="0" w:color="000000"/>
              <w:bottom w:val="single" w:sz="5" w:space="0" w:color="000000"/>
              <w:right w:val="single" w:sz="5" w:space="0" w:color="000000"/>
            </w:tcBorders>
          </w:tcPr>
          <w:p w14:paraId="62508650" w14:textId="77777777" w:rsidR="00C27F39" w:rsidRPr="008F328C" w:rsidRDefault="00C27F39" w:rsidP="00ED6A7B">
            <w:pPr>
              <w:rPr>
                <w:rFonts w:ascii="Times New Roman" w:hAnsi="Times New Roman" w:cs="Times New Roman"/>
                <w:lang w:val="pl-PL"/>
              </w:rPr>
            </w:pPr>
          </w:p>
        </w:tc>
        <w:tc>
          <w:tcPr>
            <w:tcW w:w="1541" w:type="dxa"/>
            <w:tcBorders>
              <w:top w:val="single" w:sz="5" w:space="0" w:color="000000"/>
              <w:left w:val="single" w:sz="5" w:space="0" w:color="000000"/>
              <w:bottom w:val="single" w:sz="5" w:space="0" w:color="000000"/>
              <w:right w:val="single" w:sz="5" w:space="0" w:color="000000"/>
            </w:tcBorders>
          </w:tcPr>
          <w:p w14:paraId="463D92FD"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p>
          <w:p w14:paraId="433CCB47"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n=257 </w:t>
            </w:r>
          </w:p>
          <w:p w14:paraId="0E4F34B1"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0FA5323C"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przedział ufności)</w:t>
            </w:r>
          </w:p>
        </w:tc>
        <w:tc>
          <w:tcPr>
            <w:tcW w:w="1481" w:type="dxa"/>
            <w:tcBorders>
              <w:top w:val="single" w:sz="5" w:space="0" w:color="000000"/>
              <w:left w:val="single" w:sz="5" w:space="0" w:color="000000"/>
              <w:bottom w:val="single" w:sz="5" w:space="0" w:color="000000"/>
              <w:right w:val="single" w:sz="5" w:space="0" w:color="000000"/>
            </w:tcBorders>
          </w:tcPr>
          <w:p w14:paraId="4F84E9A9"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Adalimumab</w:t>
            </w:r>
          </w:p>
          <w:p w14:paraId="3904C546"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n=274 </w:t>
            </w:r>
          </w:p>
          <w:p w14:paraId="0710CFD9"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(95%</w:t>
            </w:r>
          </w:p>
          <w:p w14:paraId="2B025AE6"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przedział ufności)</w:t>
            </w:r>
          </w:p>
        </w:tc>
        <w:tc>
          <w:tcPr>
            <w:tcW w:w="1488" w:type="dxa"/>
            <w:tcBorders>
              <w:top w:val="single" w:sz="5" w:space="0" w:color="000000"/>
              <w:left w:val="single" w:sz="5" w:space="0" w:color="000000"/>
              <w:bottom w:val="single" w:sz="5" w:space="0" w:color="000000"/>
              <w:right w:val="single" w:sz="5" w:space="0" w:color="000000"/>
            </w:tcBorders>
          </w:tcPr>
          <w:p w14:paraId="146603B2"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Adalimumab/MTX</w:t>
            </w:r>
          </w:p>
          <w:p w14:paraId="28A88AD9"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n=268 </w:t>
            </w:r>
          </w:p>
          <w:p w14:paraId="64E36FBC"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(95%</w:t>
            </w:r>
          </w:p>
          <w:p w14:paraId="04427563" w14:textId="77777777" w:rsidR="00C27F39" w:rsidRPr="008F328C" w:rsidRDefault="00C27F39" w:rsidP="00ED6A7B">
            <w:pPr>
              <w:pStyle w:val="TableParagraph"/>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przedział ufności)</w:t>
            </w:r>
          </w:p>
        </w:tc>
        <w:tc>
          <w:tcPr>
            <w:tcW w:w="991" w:type="dxa"/>
            <w:tcBorders>
              <w:top w:val="single" w:sz="5" w:space="0" w:color="000000"/>
              <w:left w:val="single" w:sz="5" w:space="0" w:color="000000"/>
              <w:bottom w:val="single" w:sz="5" w:space="0" w:color="000000"/>
              <w:right w:val="single" w:sz="5" w:space="0" w:color="000000"/>
            </w:tcBorders>
          </w:tcPr>
          <w:p w14:paraId="049E14A3" w14:textId="77777777" w:rsidR="00C27F39" w:rsidRPr="008F328C" w:rsidRDefault="00C27F39" w:rsidP="00ED6A7B">
            <w:pPr>
              <w:pStyle w:val="TableParagraph"/>
              <w:spacing w:line="200" w:lineRule="exact"/>
              <w:rPr>
                <w:rFonts w:ascii="Times New Roman" w:hAnsi="Times New Roman" w:cs="Times New Roman"/>
                <w:sz w:val="20"/>
                <w:szCs w:val="20"/>
                <w:lang w:val="pl-PL"/>
              </w:rPr>
            </w:pPr>
          </w:p>
          <w:p w14:paraId="3F8A5122" w14:textId="77777777" w:rsidR="00C27F39" w:rsidRPr="008F328C" w:rsidRDefault="00C27F39" w:rsidP="00ED6A7B">
            <w:pPr>
              <w:pStyle w:val="TableParagraph"/>
              <w:spacing w:before="14" w:line="280" w:lineRule="exact"/>
              <w:rPr>
                <w:rFonts w:ascii="Times New Roman" w:hAnsi="Times New Roman" w:cs="Times New Roman"/>
                <w:sz w:val="28"/>
                <w:szCs w:val="28"/>
                <w:lang w:val="pl-PL"/>
              </w:rPr>
            </w:pPr>
          </w:p>
          <w:p w14:paraId="38576DBA" w14:textId="77777777" w:rsidR="00C27F39" w:rsidRPr="008F328C" w:rsidRDefault="00C27F39" w:rsidP="00ED6A7B">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 xml:space="preserve">Wartość </w:t>
            </w:r>
            <w:r w:rsidRPr="008F328C">
              <w:rPr>
                <w:rFonts w:ascii="Times New Roman" w:eastAsia="Times New Roman" w:hAnsi="Times New Roman" w:cs="Times New Roman"/>
                <w:lang w:val="pl-PL"/>
              </w:rPr>
              <w:lastRenderedPageBreak/>
              <w:t>p</w:t>
            </w:r>
            <w:r w:rsidRPr="008F328C">
              <w:rPr>
                <w:rFonts w:ascii="Times New Roman" w:eastAsia="Times New Roman" w:hAnsi="Times New Roman" w:cs="Times New Roman"/>
                <w:vertAlign w:val="superscript"/>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0D195363" w14:textId="77777777" w:rsidR="00C27F39" w:rsidRPr="008F328C" w:rsidRDefault="00C27F39" w:rsidP="00ED6A7B">
            <w:pPr>
              <w:pStyle w:val="TableParagraph"/>
              <w:spacing w:line="200" w:lineRule="exact"/>
              <w:rPr>
                <w:rFonts w:ascii="Times New Roman" w:hAnsi="Times New Roman" w:cs="Times New Roman"/>
                <w:sz w:val="20"/>
                <w:szCs w:val="20"/>
                <w:lang w:val="pl-PL"/>
              </w:rPr>
            </w:pPr>
          </w:p>
          <w:p w14:paraId="1FA0B623" w14:textId="77777777" w:rsidR="00C27F39" w:rsidRPr="008F328C" w:rsidRDefault="00C27F39" w:rsidP="00ED6A7B">
            <w:pPr>
              <w:pStyle w:val="TableParagraph"/>
              <w:spacing w:before="14" w:line="280" w:lineRule="exact"/>
              <w:rPr>
                <w:rFonts w:ascii="Times New Roman" w:hAnsi="Times New Roman" w:cs="Times New Roman"/>
                <w:sz w:val="28"/>
                <w:szCs w:val="28"/>
                <w:lang w:val="pl-PL"/>
              </w:rPr>
            </w:pPr>
          </w:p>
          <w:p w14:paraId="737826E4" w14:textId="77777777" w:rsidR="00C27F39" w:rsidRPr="008F328C" w:rsidRDefault="00C27F39" w:rsidP="00ED6A7B">
            <w:pPr>
              <w:pStyle w:val="TableParagraph"/>
              <w:ind w:left="12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 xml:space="preserve">Wartość </w:t>
            </w:r>
            <w:r w:rsidRPr="008F328C">
              <w:rPr>
                <w:rFonts w:ascii="Times New Roman" w:eastAsia="Times New Roman" w:hAnsi="Times New Roman" w:cs="Times New Roman"/>
                <w:lang w:val="pl-PL"/>
              </w:rPr>
              <w:lastRenderedPageBreak/>
              <w:t>p</w:t>
            </w:r>
            <w:r w:rsidRPr="008F328C">
              <w:rPr>
                <w:rFonts w:ascii="Times New Roman" w:eastAsia="Times New Roman" w:hAnsi="Times New Roman" w:cs="Times New Roman"/>
                <w:vertAlign w:val="superscript"/>
                <w:lang w:val="pl-PL"/>
              </w:rPr>
              <w:t>b</w:t>
            </w:r>
          </w:p>
        </w:tc>
        <w:tc>
          <w:tcPr>
            <w:tcW w:w="991" w:type="dxa"/>
            <w:tcBorders>
              <w:top w:val="single" w:sz="5" w:space="0" w:color="000000"/>
              <w:left w:val="single" w:sz="5" w:space="0" w:color="000000"/>
              <w:bottom w:val="single" w:sz="5" w:space="0" w:color="000000"/>
              <w:right w:val="single" w:sz="5" w:space="0" w:color="000000"/>
            </w:tcBorders>
          </w:tcPr>
          <w:p w14:paraId="6378F249" w14:textId="77777777" w:rsidR="00C27F39" w:rsidRPr="008F328C" w:rsidRDefault="00C27F39" w:rsidP="00ED6A7B">
            <w:pPr>
              <w:pStyle w:val="TableParagraph"/>
              <w:spacing w:line="200" w:lineRule="exact"/>
              <w:rPr>
                <w:rFonts w:ascii="Times New Roman" w:hAnsi="Times New Roman" w:cs="Times New Roman"/>
                <w:sz w:val="20"/>
                <w:szCs w:val="20"/>
                <w:lang w:val="pl-PL"/>
              </w:rPr>
            </w:pPr>
          </w:p>
          <w:p w14:paraId="31F3C54B" w14:textId="77777777" w:rsidR="00C27F39" w:rsidRPr="008F328C" w:rsidRDefault="00C27F39" w:rsidP="00ED6A7B">
            <w:pPr>
              <w:pStyle w:val="TableParagraph"/>
              <w:spacing w:before="14" w:line="280" w:lineRule="exact"/>
              <w:rPr>
                <w:rFonts w:ascii="Times New Roman" w:hAnsi="Times New Roman" w:cs="Times New Roman"/>
                <w:sz w:val="28"/>
                <w:szCs w:val="28"/>
                <w:lang w:val="pl-PL"/>
              </w:rPr>
            </w:pPr>
          </w:p>
          <w:p w14:paraId="6FE4A1DD" w14:textId="77777777" w:rsidR="00C27F39" w:rsidRPr="008F328C" w:rsidRDefault="00C27F39" w:rsidP="00ED6A7B">
            <w:pPr>
              <w:pStyle w:val="TableParagraph"/>
              <w:ind w:left="126"/>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 xml:space="preserve">Wartość </w:t>
            </w:r>
            <w:r w:rsidRPr="008F328C">
              <w:rPr>
                <w:rFonts w:ascii="Times New Roman" w:eastAsia="Times New Roman" w:hAnsi="Times New Roman" w:cs="Times New Roman"/>
                <w:lang w:val="pl-PL"/>
              </w:rPr>
              <w:lastRenderedPageBreak/>
              <w:t>p</w:t>
            </w:r>
            <w:r w:rsidRPr="008F328C">
              <w:rPr>
                <w:rFonts w:ascii="Times New Roman" w:eastAsia="Times New Roman" w:hAnsi="Times New Roman" w:cs="Times New Roman"/>
                <w:vertAlign w:val="superscript"/>
                <w:lang w:val="pl-PL"/>
              </w:rPr>
              <w:t>c</w:t>
            </w:r>
          </w:p>
        </w:tc>
      </w:tr>
      <w:tr w:rsidR="00C27F39" w:rsidRPr="008F328C" w14:paraId="36C02826" w14:textId="77777777" w:rsidTr="00ED6A7B">
        <w:tc>
          <w:tcPr>
            <w:tcW w:w="1430" w:type="dxa"/>
            <w:tcBorders>
              <w:top w:val="single" w:sz="5" w:space="0" w:color="000000"/>
              <w:left w:val="single" w:sz="5" w:space="0" w:color="000000"/>
              <w:bottom w:val="single" w:sz="5" w:space="0" w:color="000000"/>
              <w:right w:val="single" w:sz="5" w:space="0" w:color="000000"/>
            </w:tcBorders>
          </w:tcPr>
          <w:p w14:paraId="160A6F4D"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Całkowita skala</w:t>
            </w:r>
          </w:p>
          <w:p w14:paraId="295C9313" w14:textId="77777777" w:rsidR="00C27F39" w:rsidRPr="008F328C" w:rsidRDefault="00C27F39" w:rsidP="00ED6A7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Sharpa</w:t>
            </w:r>
          </w:p>
        </w:tc>
        <w:tc>
          <w:tcPr>
            <w:tcW w:w="1541" w:type="dxa"/>
            <w:tcBorders>
              <w:top w:val="single" w:sz="5" w:space="0" w:color="000000"/>
              <w:left w:val="single" w:sz="5" w:space="0" w:color="000000"/>
              <w:bottom w:val="single" w:sz="5" w:space="0" w:color="000000"/>
              <w:right w:val="single" w:sz="5" w:space="0" w:color="000000"/>
            </w:tcBorders>
          </w:tcPr>
          <w:p w14:paraId="5F82F8EC" w14:textId="77777777" w:rsidR="00C27F39" w:rsidRPr="008F328C" w:rsidRDefault="00C27F39" w:rsidP="00ED6A7B">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5,7 (4,2-7,3)</w:t>
            </w:r>
          </w:p>
        </w:tc>
        <w:tc>
          <w:tcPr>
            <w:tcW w:w="1481" w:type="dxa"/>
            <w:tcBorders>
              <w:top w:val="single" w:sz="5" w:space="0" w:color="000000"/>
              <w:left w:val="single" w:sz="5" w:space="0" w:color="000000"/>
              <w:bottom w:val="single" w:sz="5" w:space="0" w:color="000000"/>
              <w:right w:val="single" w:sz="5" w:space="0" w:color="000000"/>
            </w:tcBorders>
          </w:tcPr>
          <w:p w14:paraId="3E945857"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3,0 (1,7-4,3)</w:t>
            </w:r>
          </w:p>
        </w:tc>
        <w:tc>
          <w:tcPr>
            <w:tcW w:w="1488" w:type="dxa"/>
            <w:tcBorders>
              <w:top w:val="single" w:sz="5" w:space="0" w:color="000000"/>
              <w:left w:val="single" w:sz="5" w:space="0" w:color="000000"/>
              <w:bottom w:val="single" w:sz="5" w:space="0" w:color="000000"/>
              <w:right w:val="single" w:sz="5" w:space="0" w:color="000000"/>
            </w:tcBorders>
          </w:tcPr>
          <w:p w14:paraId="5C0DDCF1" w14:textId="77777777" w:rsidR="00C27F39" w:rsidRPr="008F328C" w:rsidRDefault="00C27F39" w:rsidP="00ED6A7B">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991" w:type="dxa"/>
            <w:tcBorders>
              <w:top w:val="single" w:sz="5" w:space="0" w:color="000000"/>
              <w:left w:val="single" w:sz="5" w:space="0" w:color="000000"/>
              <w:bottom w:val="single" w:sz="5" w:space="0" w:color="000000"/>
              <w:right w:val="single" w:sz="5" w:space="0" w:color="000000"/>
            </w:tcBorders>
          </w:tcPr>
          <w:p w14:paraId="1AE1F381" w14:textId="77777777" w:rsidR="00C27F39" w:rsidRPr="008F328C" w:rsidRDefault="00C27F39" w:rsidP="00ED6A7B">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69474931"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0,0020</w:t>
            </w:r>
          </w:p>
        </w:tc>
        <w:tc>
          <w:tcPr>
            <w:tcW w:w="991" w:type="dxa"/>
            <w:tcBorders>
              <w:top w:val="single" w:sz="5" w:space="0" w:color="000000"/>
              <w:left w:val="single" w:sz="5" w:space="0" w:color="000000"/>
              <w:bottom w:val="single" w:sz="5" w:space="0" w:color="000000"/>
              <w:right w:val="single" w:sz="5" w:space="0" w:color="000000"/>
            </w:tcBorders>
          </w:tcPr>
          <w:p w14:paraId="6ECFD8E1" w14:textId="77777777" w:rsidR="00C27F39" w:rsidRPr="008F328C" w:rsidRDefault="00C27F39" w:rsidP="00ED6A7B">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C27F39" w:rsidRPr="008F328C" w14:paraId="447794F1" w14:textId="77777777" w:rsidTr="00ED6A7B">
        <w:tc>
          <w:tcPr>
            <w:tcW w:w="1430" w:type="dxa"/>
            <w:tcBorders>
              <w:top w:val="single" w:sz="5" w:space="0" w:color="000000"/>
              <w:left w:val="single" w:sz="5" w:space="0" w:color="000000"/>
              <w:bottom w:val="single" w:sz="5" w:space="0" w:color="000000"/>
              <w:right w:val="single" w:sz="5" w:space="0" w:color="000000"/>
            </w:tcBorders>
          </w:tcPr>
          <w:p w14:paraId="04D10FC0"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nadżerek</w:t>
            </w:r>
          </w:p>
        </w:tc>
        <w:tc>
          <w:tcPr>
            <w:tcW w:w="1541" w:type="dxa"/>
            <w:tcBorders>
              <w:top w:val="single" w:sz="5" w:space="0" w:color="000000"/>
              <w:left w:val="single" w:sz="5" w:space="0" w:color="000000"/>
              <w:bottom w:val="single" w:sz="5" w:space="0" w:color="000000"/>
              <w:right w:val="single" w:sz="5" w:space="0" w:color="000000"/>
            </w:tcBorders>
          </w:tcPr>
          <w:p w14:paraId="6355F956" w14:textId="77777777" w:rsidR="00C27F39" w:rsidRPr="008F328C" w:rsidRDefault="00C27F39" w:rsidP="00ED6A7B">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3,7 (2,7-4,7)</w:t>
            </w:r>
          </w:p>
        </w:tc>
        <w:tc>
          <w:tcPr>
            <w:tcW w:w="1481" w:type="dxa"/>
            <w:tcBorders>
              <w:top w:val="single" w:sz="5" w:space="0" w:color="000000"/>
              <w:left w:val="single" w:sz="5" w:space="0" w:color="000000"/>
              <w:bottom w:val="single" w:sz="5" w:space="0" w:color="000000"/>
              <w:right w:val="single" w:sz="5" w:space="0" w:color="000000"/>
            </w:tcBorders>
          </w:tcPr>
          <w:p w14:paraId="744B481B"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1,7 (1,0-2,4)</w:t>
            </w:r>
          </w:p>
        </w:tc>
        <w:tc>
          <w:tcPr>
            <w:tcW w:w="1488" w:type="dxa"/>
            <w:tcBorders>
              <w:top w:val="single" w:sz="5" w:space="0" w:color="000000"/>
              <w:left w:val="single" w:sz="5" w:space="0" w:color="000000"/>
              <w:bottom w:val="single" w:sz="5" w:space="0" w:color="000000"/>
              <w:right w:val="single" w:sz="5" w:space="0" w:color="000000"/>
            </w:tcBorders>
          </w:tcPr>
          <w:p w14:paraId="071A3B48" w14:textId="77777777" w:rsidR="00C27F39" w:rsidRPr="008F328C" w:rsidRDefault="00C27F39" w:rsidP="00ED6A7B">
            <w:pPr>
              <w:pStyle w:val="TableParagraph"/>
              <w:spacing w:line="246" w:lineRule="exact"/>
              <w:ind w:left="188"/>
              <w:rPr>
                <w:rFonts w:ascii="Times New Roman" w:eastAsia="Times New Roman" w:hAnsi="Times New Roman" w:cs="Times New Roman"/>
                <w:lang w:val="pl-PL"/>
              </w:rPr>
            </w:pPr>
            <w:r w:rsidRPr="008F328C">
              <w:rPr>
                <w:rFonts w:ascii="Times New Roman" w:eastAsia="Times New Roman" w:hAnsi="Times New Roman" w:cs="Times New Roman"/>
                <w:lang w:val="pl-PL"/>
              </w:rPr>
              <w:t>0,8 (0,4-1,2)</w:t>
            </w:r>
          </w:p>
        </w:tc>
        <w:tc>
          <w:tcPr>
            <w:tcW w:w="991" w:type="dxa"/>
            <w:tcBorders>
              <w:top w:val="single" w:sz="5" w:space="0" w:color="000000"/>
              <w:left w:val="single" w:sz="5" w:space="0" w:color="000000"/>
              <w:bottom w:val="single" w:sz="5" w:space="0" w:color="000000"/>
              <w:right w:val="single" w:sz="5" w:space="0" w:color="000000"/>
            </w:tcBorders>
          </w:tcPr>
          <w:p w14:paraId="1460FC38" w14:textId="77777777" w:rsidR="00C27F39" w:rsidRPr="008F328C" w:rsidRDefault="00C27F39" w:rsidP="00ED6A7B">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67B8B99F"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0,0082</w:t>
            </w:r>
          </w:p>
        </w:tc>
        <w:tc>
          <w:tcPr>
            <w:tcW w:w="991" w:type="dxa"/>
            <w:tcBorders>
              <w:top w:val="single" w:sz="5" w:space="0" w:color="000000"/>
              <w:left w:val="single" w:sz="5" w:space="0" w:color="000000"/>
              <w:bottom w:val="single" w:sz="5" w:space="0" w:color="000000"/>
              <w:right w:val="single" w:sz="5" w:space="0" w:color="000000"/>
            </w:tcBorders>
          </w:tcPr>
          <w:p w14:paraId="34B5FB54" w14:textId="77777777" w:rsidR="00C27F39" w:rsidRPr="008F328C" w:rsidRDefault="00C27F39" w:rsidP="00ED6A7B">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r>
      <w:tr w:rsidR="00C27F39" w:rsidRPr="008F328C" w14:paraId="1CECFEC2" w14:textId="77777777" w:rsidTr="00ED6A7B">
        <w:tc>
          <w:tcPr>
            <w:tcW w:w="1430" w:type="dxa"/>
            <w:tcBorders>
              <w:top w:val="single" w:sz="5" w:space="0" w:color="000000"/>
              <w:left w:val="single" w:sz="5" w:space="0" w:color="000000"/>
              <w:bottom w:val="single" w:sz="5" w:space="0" w:color="000000"/>
              <w:right w:val="single" w:sz="5" w:space="0" w:color="000000"/>
            </w:tcBorders>
          </w:tcPr>
          <w:p w14:paraId="3A99A9B5"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Skala oceny ZSS</w:t>
            </w:r>
          </w:p>
        </w:tc>
        <w:tc>
          <w:tcPr>
            <w:tcW w:w="1541" w:type="dxa"/>
            <w:tcBorders>
              <w:top w:val="single" w:sz="5" w:space="0" w:color="000000"/>
              <w:left w:val="single" w:sz="5" w:space="0" w:color="000000"/>
              <w:bottom w:val="single" w:sz="5" w:space="0" w:color="000000"/>
              <w:right w:val="single" w:sz="5" w:space="0" w:color="000000"/>
            </w:tcBorders>
          </w:tcPr>
          <w:p w14:paraId="34105B86" w14:textId="77777777" w:rsidR="00C27F39" w:rsidRPr="008F328C" w:rsidRDefault="00C27F39" w:rsidP="00ED6A7B">
            <w:pPr>
              <w:pStyle w:val="TableParagraph"/>
              <w:spacing w:line="246" w:lineRule="exact"/>
              <w:ind w:left="215"/>
              <w:rPr>
                <w:rFonts w:ascii="Times New Roman" w:eastAsia="Times New Roman" w:hAnsi="Times New Roman" w:cs="Times New Roman"/>
                <w:lang w:val="pl-PL"/>
              </w:rPr>
            </w:pPr>
            <w:r w:rsidRPr="008F328C">
              <w:rPr>
                <w:rFonts w:ascii="Times New Roman" w:eastAsia="Times New Roman" w:hAnsi="Times New Roman" w:cs="Times New Roman"/>
                <w:lang w:val="pl-PL"/>
              </w:rPr>
              <w:t>2,0 (1,2-2,8)</w:t>
            </w:r>
          </w:p>
        </w:tc>
        <w:tc>
          <w:tcPr>
            <w:tcW w:w="1481" w:type="dxa"/>
            <w:tcBorders>
              <w:top w:val="single" w:sz="5" w:space="0" w:color="000000"/>
              <w:left w:val="single" w:sz="5" w:space="0" w:color="000000"/>
              <w:bottom w:val="single" w:sz="5" w:space="0" w:color="000000"/>
              <w:right w:val="single" w:sz="5" w:space="0" w:color="000000"/>
            </w:tcBorders>
          </w:tcPr>
          <w:p w14:paraId="7293E431"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1,3 (0,5-2,1)</w:t>
            </w:r>
          </w:p>
        </w:tc>
        <w:tc>
          <w:tcPr>
            <w:tcW w:w="1488" w:type="dxa"/>
            <w:tcBorders>
              <w:top w:val="single" w:sz="5" w:space="0" w:color="000000"/>
              <w:left w:val="single" w:sz="5" w:space="0" w:color="000000"/>
              <w:bottom w:val="single" w:sz="5" w:space="0" w:color="000000"/>
              <w:right w:val="single" w:sz="5" w:space="0" w:color="000000"/>
            </w:tcBorders>
          </w:tcPr>
          <w:p w14:paraId="2EA614B4" w14:textId="77777777" w:rsidR="00C27F39" w:rsidRPr="008F328C" w:rsidRDefault="00C27F39" w:rsidP="00ED6A7B">
            <w:pPr>
              <w:pStyle w:val="TableParagraph"/>
              <w:spacing w:line="246" w:lineRule="exact"/>
              <w:ind w:left="270"/>
              <w:rPr>
                <w:rFonts w:ascii="Times New Roman" w:eastAsia="Times New Roman" w:hAnsi="Times New Roman" w:cs="Times New Roman"/>
                <w:lang w:val="pl-PL"/>
              </w:rPr>
            </w:pPr>
            <w:r w:rsidRPr="008F328C">
              <w:rPr>
                <w:rFonts w:ascii="Times New Roman" w:eastAsia="Times New Roman" w:hAnsi="Times New Roman" w:cs="Times New Roman"/>
                <w:lang w:val="pl-PL"/>
              </w:rPr>
              <w:t>0,5 (0-1,0)</w:t>
            </w:r>
          </w:p>
        </w:tc>
        <w:tc>
          <w:tcPr>
            <w:tcW w:w="991" w:type="dxa"/>
            <w:tcBorders>
              <w:top w:val="single" w:sz="5" w:space="0" w:color="000000"/>
              <w:left w:val="single" w:sz="5" w:space="0" w:color="000000"/>
              <w:bottom w:val="single" w:sz="5" w:space="0" w:color="000000"/>
              <w:right w:val="single" w:sz="5" w:space="0" w:color="000000"/>
            </w:tcBorders>
          </w:tcPr>
          <w:p w14:paraId="3474FC42" w14:textId="77777777" w:rsidR="00C27F39" w:rsidRPr="008F328C" w:rsidRDefault="00C27F39" w:rsidP="00ED6A7B">
            <w:pPr>
              <w:pStyle w:val="TableParagraph"/>
              <w:spacing w:line="246" w:lineRule="exact"/>
              <w:ind w:left="150"/>
              <w:rPr>
                <w:rFonts w:ascii="Times New Roman" w:eastAsia="Times New Roman" w:hAnsi="Times New Roman" w:cs="Times New Roman"/>
                <w:lang w:val="pl-PL"/>
              </w:rPr>
            </w:pPr>
            <w:r w:rsidRPr="008F328C">
              <w:rPr>
                <w:rFonts w:ascii="Times New Roman" w:eastAsia="Times New Roman" w:hAnsi="Times New Roman" w:cs="Times New Roman"/>
                <w:lang w:val="pl-PL"/>
              </w:rPr>
              <w:t>&lt;0,001</w:t>
            </w:r>
          </w:p>
        </w:tc>
        <w:tc>
          <w:tcPr>
            <w:tcW w:w="989" w:type="dxa"/>
            <w:tcBorders>
              <w:top w:val="single" w:sz="5" w:space="0" w:color="000000"/>
              <w:left w:val="single" w:sz="5" w:space="0" w:color="000000"/>
              <w:bottom w:val="single" w:sz="5" w:space="0" w:color="000000"/>
              <w:right w:val="single" w:sz="5" w:space="0" w:color="000000"/>
            </w:tcBorders>
          </w:tcPr>
          <w:p w14:paraId="06FE32AB" w14:textId="77777777" w:rsidR="00C27F39" w:rsidRPr="008F328C" w:rsidRDefault="00C27F39" w:rsidP="00ED6A7B">
            <w:pPr>
              <w:pStyle w:val="TableParagraph"/>
              <w:spacing w:line="246" w:lineRule="exact"/>
              <w:ind w:left="183"/>
              <w:rPr>
                <w:rFonts w:ascii="Times New Roman" w:eastAsia="Times New Roman" w:hAnsi="Times New Roman" w:cs="Times New Roman"/>
                <w:lang w:val="pl-PL"/>
              </w:rPr>
            </w:pPr>
            <w:r w:rsidRPr="008F328C">
              <w:rPr>
                <w:rFonts w:ascii="Times New Roman" w:eastAsia="Times New Roman" w:hAnsi="Times New Roman" w:cs="Times New Roman"/>
                <w:lang w:val="pl-PL"/>
              </w:rPr>
              <w:t>0,0037</w:t>
            </w:r>
          </w:p>
        </w:tc>
        <w:tc>
          <w:tcPr>
            <w:tcW w:w="991" w:type="dxa"/>
            <w:tcBorders>
              <w:top w:val="single" w:sz="5" w:space="0" w:color="000000"/>
              <w:left w:val="single" w:sz="5" w:space="0" w:color="000000"/>
              <w:bottom w:val="single" w:sz="5" w:space="0" w:color="000000"/>
              <w:right w:val="single" w:sz="5" w:space="0" w:color="000000"/>
            </w:tcBorders>
          </w:tcPr>
          <w:p w14:paraId="60EA708F" w14:textId="77777777" w:rsidR="00C27F39" w:rsidRPr="008F328C" w:rsidRDefault="00C27F39" w:rsidP="00ED6A7B">
            <w:pPr>
              <w:pStyle w:val="TableParagraph"/>
              <w:spacing w:line="246" w:lineRule="exact"/>
              <w:ind w:left="241"/>
              <w:rPr>
                <w:rFonts w:ascii="Times New Roman" w:eastAsia="Times New Roman" w:hAnsi="Times New Roman" w:cs="Times New Roman"/>
                <w:lang w:val="pl-PL"/>
              </w:rPr>
            </w:pPr>
            <w:r w:rsidRPr="008F328C">
              <w:rPr>
                <w:rFonts w:ascii="Times New Roman" w:eastAsia="Times New Roman" w:hAnsi="Times New Roman" w:cs="Times New Roman"/>
                <w:lang w:val="pl-PL"/>
              </w:rPr>
              <w:t>0,151</w:t>
            </w:r>
          </w:p>
        </w:tc>
      </w:tr>
    </w:tbl>
    <w:p w14:paraId="4AF62607" w14:textId="77777777" w:rsidR="00C27F39" w:rsidRPr="008F328C" w:rsidRDefault="00C27F39" w:rsidP="00C27F39">
      <w:pPr>
        <w:pStyle w:val="a3"/>
        <w:rPr>
          <w:rFonts w:eastAsia="Times New Roman"/>
          <w:lang w:val="pl-PL"/>
        </w:rPr>
      </w:pPr>
      <w:r w:rsidRPr="008F328C">
        <w:rPr>
          <w:rFonts w:eastAsia="Times New Roman"/>
          <w:vertAlign w:val="superscript"/>
          <w:lang w:val="pl-PL"/>
        </w:rPr>
        <w:t>a</w:t>
      </w:r>
      <w:r w:rsidRPr="008F328C">
        <w:rPr>
          <w:rFonts w:eastAsia="Times New Roman"/>
          <w:lang w:val="pl-PL"/>
        </w:rPr>
        <w:t xml:space="preserve"> Wartość p z porównania parami przy użyciu testu U Mann’a i Whitney’a, leczenia metotreksatem w monoterapii oraz leczenia skojarzonego adalimumabem i metotreksatem.</w:t>
      </w:r>
    </w:p>
    <w:p w14:paraId="601DB44E" w14:textId="77777777" w:rsidR="00C27F39" w:rsidRPr="008F328C" w:rsidRDefault="00C27F39" w:rsidP="00C27F39">
      <w:pPr>
        <w:pStyle w:val="a3"/>
        <w:rPr>
          <w:rFonts w:eastAsia="Times New Roman"/>
          <w:lang w:val="pl-PL"/>
        </w:rPr>
      </w:pPr>
      <w:r w:rsidRPr="008F328C">
        <w:rPr>
          <w:rFonts w:eastAsia="Times New Roman"/>
          <w:vertAlign w:val="superscript"/>
          <w:lang w:val="pl-PL"/>
        </w:rPr>
        <w:t>b</w:t>
      </w:r>
      <w:r w:rsidRPr="008F328C">
        <w:rPr>
          <w:rFonts w:eastAsia="Times New Roman"/>
          <w:lang w:val="pl-PL"/>
        </w:rPr>
        <w:t xml:space="preserve"> Wartość p z porównania parami przy użyciu testu U Mann’a i Whitney’a, leczenia adalimumabem w monoterapii oraz leczenia skojarzonego adalimumabem i metotreksatem.</w:t>
      </w:r>
    </w:p>
    <w:p w14:paraId="6E9B0566" w14:textId="77777777" w:rsidR="00C27F39" w:rsidRPr="008F328C" w:rsidRDefault="00C27F39" w:rsidP="00C27F39">
      <w:pPr>
        <w:pStyle w:val="a3"/>
        <w:rPr>
          <w:rFonts w:eastAsia="Times New Roman"/>
          <w:lang w:val="pl-PL"/>
        </w:rPr>
      </w:pPr>
      <w:r w:rsidRPr="008F328C">
        <w:rPr>
          <w:rFonts w:eastAsia="Times New Roman"/>
          <w:vertAlign w:val="superscript"/>
          <w:lang w:val="pl-PL"/>
        </w:rPr>
        <w:t>c</w:t>
      </w:r>
      <w:r w:rsidRPr="008F328C">
        <w:rPr>
          <w:rFonts w:eastAsia="Times New Roman"/>
          <w:lang w:val="pl-PL"/>
        </w:rPr>
        <w:t xml:space="preserve"> Wartość p z porównania parami przy użyciu testu U Mann’a i Whitney’a, leczenia adalimumabem w monoterapii oraz leczenia metotreksatem w monoterapii.</w:t>
      </w:r>
    </w:p>
    <w:p w14:paraId="4C2B1DEE" w14:textId="77777777" w:rsidR="00C27F39" w:rsidRPr="008F328C" w:rsidRDefault="00C27F39" w:rsidP="00C27F39">
      <w:pPr>
        <w:spacing w:before="8" w:line="170" w:lineRule="exact"/>
        <w:rPr>
          <w:rFonts w:ascii="Times New Roman" w:hAnsi="Times New Roman" w:cs="Times New Roman"/>
          <w:sz w:val="17"/>
          <w:szCs w:val="17"/>
          <w:lang w:val="pl-PL"/>
        </w:rPr>
      </w:pPr>
    </w:p>
    <w:p w14:paraId="2D280150" w14:textId="77777777" w:rsidR="00C27F39" w:rsidRPr="008F328C" w:rsidRDefault="00C27F39" w:rsidP="00C27F39">
      <w:pPr>
        <w:pStyle w:val="a3"/>
        <w:rPr>
          <w:lang w:val="pl-PL"/>
        </w:rPr>
      </w:pPr>
      <w:r w:rsidRPr="008F328C">
        <w:rPr>
          <w:rFonts w:eastAsia="Times New Roman"/>
          <w:lang w:val="pl-PL"/>
        </w:rPr>
        <w:t xml:space="preserve">Po 52 i 104 tygodniach leczenia, odsetek pacjentów bez postępu choroby (zmiana wartości wyjściowej zmodyfikowanej całkowitej skali Sharpa ≤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0,5) był istotnie większy w przypadku leczenia skojarzonego adalimumabem i metotreksatem (odpowiednio 63,8% i 61,2%) w porównaniu do stosowania metotreksatu w monoterapii (odpowiednio 37,4% i 33,5%, p &lt; 0,001) i adalimumabu w monoterapii (odpowiednio 50,7%, p &lt; 0,002 i 44,5%, p &lt; 0,001).</w:t>
      </w:r>
    </w:p>
    <w:p w14:paraId="72C72955" w14:textId="77777777" w:rsidR="00C27F39" w:rsidRPr="008F328C" w:rsidRDefault="00C27F39" w:rsidP="00C27F39">
      <w:pPr>
        <w:spacing w:before="10" w:line="240" w:lineRule="exact"/>
        <w:rPr>
          <w:rFonts w:ascii="Times New Roman" w:hAnsi="Times New Roman" w:cs="Times New Roman"/>
          <w:sz w:val="24"/>
          <w:szCs w:val="24"/>
          <w:lang w:val="pl-PL"/>
        </w:rPr>
      </w:pPr>
    </w:p>
    <w:p w14:paraId="5D89A8D3" w14:textId="77777777" w:rsidR="00C27F39" w:rsidRPr="008F328C" w:rsidRDefault="00C27F39" w:rsidP="00C27F39">
      <w:pPr>
        <w:pStyle w:val="a3"/>
        <w:rPr>
          <w:lang w:val="pl-PL"/>
        </w:rPr>
      </w:pPr>
      <w:r w:rsidRPr="008F328C">
        <w:rPr>
          <w:rFonts w:eastAsia="Times New Roman"/>
          <w:lang w:val="pl-PL"/>
        </w:rPr>
        <w:t>W fazie otwartej, będącej kontynuacją badania V w RZS, w 10. roku średnia zmiana wartości wyjściowych w zmodyfikowanej całkowitej skali Sharpa wynosiła 10,8, 9,2 i 3,9 u pacjentów, którym losowo przydzielono leczenie odpowiednio metotreksatem w monoterapii, adalimumabem w monoterapii i terapię skojarzoną adalimumabem i metotreksatem. Odsetki pacjentów bez postępu choroby w badaniu radiologicznym wynosiły odpowiednio 31,3%, 23,7% i 36,7%.</w:t>
      </w:r>
    </w:p>
    <w:p w14:paraId="051E85BE" w14:textId="77777777" w:rsidR="00C27F39" w:rsidRPr="008F328C" w:rsidRDefault="00C27F39" w:rsidP="00C27F39">
      <w:pPr>
        <w:pStyle w:val="a3"/>
        <w:rPr>
          <w:sz w:val="24"/>
          <w:szCs w:val="24"/>
          <w:lang w:val="pl-PL"/>
        </w:rPr>
      </w:pPr>
    </w:p>
    <w:p w14:paraId="7EFD6A64"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Jakość życia i sprawność fizyczna</w:t>
      </w:r>
    </w:p>
    <w:p w14:paraId="5AE76A26" w14:textId="77777777" w:rsidR="00C27F39" w:rsidRPr="008F328C" w:rsidRDefault="00C27F39" w:rsidP="00C27F39">
      <w:pPr>
        <w:pStyle w:val="a3"/>
        <w:rPr>
          <w:sz w:val="18"/>
          <w:szCs w:val="18"/>
          <w:lang w:val="pl-PL"/>
        </w:rPr>
      </w:pPr>
    </w:p>
    <w:p w14:paraId="7AE01C54" w14:textId="77777777" w:rsidR="00C27F39" w:rsidRPr="008F328C" w:rsidRDefault="00C27F39" w:rsidP="00C27F39">
      <w:pPr>
        <w:pStyle w:val="a3"/>
        <w:rPr>
          <w:lang w:val="pl-PL"/>
        </w:rPr>
      </w:pPr>
      <w:r w:rsidRPr="008F328C">
        <w:rPr>
          <w:rFonts w:eastAsia="Times New Roman"/>
          <w:lang w:val="pl-PL"/>
        </w:rPr>
        <w:t>Związaną ze stanem zdrowia jakość życia i sprawność fizyczną oceniano przy pomocy wskaźnika niepełnosprawności kwestionariusza oceny stanu zdrowia (ang. Health Assessment Questionnaire, HAQ) w czterech oryginalnych odpowiednio i prawidłowo kontrolowanych badaniach klinicznych i stanowiło to określony wcześniej pierwszorzędowy punkt końcowy w 52. tygodniu w badaniu III w RZS. Wszystkie dawki/schematy dawkowania adalimumabu w wymienionych czterech badaniach doprowadziły w 6. miesiącu do istotnej statystycznie, większej poprawy wyjściowego wskaźnika niepełnosprawności HAQ w porównaniu do placebo, a w badaniu III w RZS to samo zaobserwowano w 52. tygodniu. Punktacja według skróconego kwestionariusza oceny stanu zdrowia (ang. Short Form Health Survey, SF-36) dla wszystkich dawek/schematów dawkowania adalimumabu w wymienionych czterech badaniach potwierdza te wyniki. Uzyskano statystycznie istotną sumaryczną punktację składowej dotyczącej sprawności fizycznej (ang. Physical Component Summary, PCS) oraz statystycznie istotną punktację dotyczącą dolegliwości bólowych i witalności dla dawki 40 mg co drugi tydzień. Stwierdzono statystycznie istotne zmniejszenie męczliwości mierzonej w punktacji oceny czynnościowej leczenia chorób przewlekłych (ang. Functional Assessment of Chronic Illness Therapy, FACIT) we wszystkich trzech badaniach, w których to oceniano (badania I, III i IV w RZS).</w:t>
      </w:r>
    </w:p>
    <w:p w14:paraId="02ABAB45" w14:textId="77777777" w:rsidR="00C27F39" w:rsidRPr="008F328C" w:rsidRDefault="00C27F39" w:rsidP="00C27F39">
      <w:pPr>
        <w:pStyle w:val="a3"/>
        <w:rPr>
          <w:sz w:val="24"/>
          <w:szCs w:val="24"/>
          <w:lang w:val="pl-PL"/>
        </w:rPr>
      </w:pPr>
    </w:p>
    <w:p w14:paraId="0ED62726" w14:textId="77777777" w:rsidR="00C27F39" w:rsidRPr="008F328C" w:rsidRDefault="00C27F39" w:rsidP="00C27F39">
      <w:pPr>
        <w:pStyle w:val="a3"/>
        <w:rPr>
          <w:lang w:val="pl-PL"/>
        </w:rPr>
      </w:pPr>
      <w:r w:rsidRPr="008F328C">
        <w:rPr>
          <w:rFonts w:eastAsia="Times New Roman"/>
          <w:lang w:val="pl-PL"/>
        </w:rPr>
        <w:t>W badaniu III w RZS, prowadzonym metodą otwartej próby, u większości pacjentów, którzy osiągnęli poprawę sprawności fizycznej i kontynuowali leczenie, poprawa utrzymywała się do 520. tygodnia włącznie (120 miesięcy). Poprawę jakości życia mierzono do 156. tygodnia (36 miesięcy) i w okresie tym stwierdzono utrzymywanie się poprawy.</w:t>
      </w:r>
    </w:p>
    <w:p w14:paraId="48A88F4F" w14:textId="77777777" w:rsidR="00C27F39" w:rsidRPr="008F328C" w:rsidRDefault="00C27F39" w:rsidP="00C27F39">
      <w:pPr>
        <w:pStyle w:val="a3"/>
        <w:rPr>
          <w:sz w:val="24"/>
          <w:szCs w:val="24"/>
          <w:lang w:val="pl-PL"/>
        </w:rPr>
      </w:pPr>
    </w:p>
    <w:p w14:paraId="058EA484" w14:textId="77777777" w:rsidR="00C27F39" w:rsidRPr="008F328C" w:rsidRDefault="00C27F39" w:rsidP="00C27F39">
      <w:pPr>
        <w:pStyle w:val="a3"/>
        <w:rPr>
          <w:lang w:val="pl-PL"/>
        </w:rPr>
      </w:pPr>
      <w:r w:rsidRPr="008F328C">
        <w:rPr>
          <w:rFonts w:eastAsia="Times New Roman"/>
          <w:lang w:val="pl-PL"/>
        </w:rPr>
        <w:t xml:space="preserve">W badaniu V w RZS, poprawa wskaźnika niepełnosprawności HAQ oraz składowa kwestionariusza SF-36 dotycząca sprawności fizycznej wykazały w 52. tygodniu większą poprawę (p &lt; 0,001) w przypadku </w:t>
      </w:r>
      <w:r w:rsidRPr="008F328C">
        <w:rPr>
          <w:rFonts w:eastAsia="Times New Roman"/>
          <w:lang w:val="pl-PL"/>
        </w:rPr>
        <w:lastRenderedPageBreak/>
        <w:t>leczenia skojarzonego adalimumabem i metotreksatem niż w przypadku stosowania metotreksatu w monoterapii i adalimumabu w monoterapii. Poprawa ta utrzymywała się do 104. tygodnia włącznie. U 250 uczestników, którzy ukończyli otwarte badanie kontynuacyjne, poprawa stanu czynnościowego utrzymywała się przez cały 10-letni okres leczenia.</w:t>
      </w:r>
    </w:p>
    <w:p w14:paraId="4C4A151F" w14:textId="77777777" w:rsidR="00C27F39" w:rsidRPr="008F328C" w:rsidRDefault="00C27F39" w:rsidP="00C27F39">
      <w:pPr>
        <w:pStyle w:val="a3"/>
        <w:rPr>
          <w:sz w:val="24"/>
          <w:szCs w:val="24"/>
          <w:lang w:val="pl-PL"/>
        </w:rPr>
      </w:pPr>
    </w:p>
    <w:p w14:paraId="072F1421" w14:textId="3359C7AC" w:rsidR="00C27F39" w:rsidRPr="008F328C" w:rsidRDefault="00270309" w:rsidP="00C27F39">
      <w:pPr>
        <w:pStyle w:val="a3"/>
        <w:rPr>
          <w:i/>
          <w:lang w:val="pl-PL"/>
        </w:rPr>
      </w:pPr>
      <w:r w:rsidRPr="008F328C">
        <w:rPr>
          <w:i/>
          <w:lang w:val="pl-PL"/>
        </w:rPr>
        <w:t>Łuszczyca zwyczajna (plackowata) u dorosłych</w:t>
      </w:r>
    </w:p>
    <w:p w14:paraId="164DEC60" w14:textId="77777777" w:rsidR="00270309" w:rsidRPr="008F328C" w:rsidRDefault="00270309" w:rsidP="00C27F39">
      <w:pPr>
        <w:pStyle w:val="a3"/>
        <w:rPr>
          <w:sz w:val="24"/>
          <w:szCs w:val="24"/>
          <w:lang w:val="pl-PL"/>
        </w:rPr>
      </w:pPr>
    </w:p>
    <w:p w14:paraId="3423FCF2" w14:textId="77777777" w:rsidR="00C27F39" w:rsidRPr="008F328C" w:rsidRDefault="00C27F39" w:rsidP="00C27F39">
      <w:pPr>
        <w:pStyle w:val="a3"/>
        <w:rPr>
          <w:lang w:val="pl-PL"/>
        </w:rPr>
      </w:pPr>
      <w:r w:rsidRPr="008F328C">
        <w:rPr>
          <w:rFonts w:eastAsia="Times New Roman"/>
          <w:lang w:val="pl-PL"/>
        </w:rPr>
        <w:t xml:space="preserve">Bezpieczeństwo stosowania i skuteczność adalimumabu badano u dorosłych pacjentów z przewlekłą łuszczycą zwyczajną (plackowatą) [zmienione chorobowo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10% powierzchni ciała oraz wskaźnik powierzchni i nasilenia zmian łuszczycowych PASI (ang. Psoriasis Area and Severity Index)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12 lub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10], którzy byli kandydatami do leczenia systemowego lub fototerapii w randomizowanych badaniach klinicznych prowadzonych metodą podwójnie ślepej próby. Siedemdziesiąt trzy procent (73%) pacjentów zakwalifikowanych do badań I i II w łuszczycy poddanych zostało uprzednio leczeniu systemowemu lub fototerapii. Bezpieczeństwo stosowania i skuteczność adalimumabu badano również u dorosłych pacjentów z przewlekłą łuszczycą zwyczajną (plackowatą) o nasileniu umiarkowanym do ciężkiego ze współistniejącą łuszczycą dłoni i (lub) stóp, którzy byli kandydatami do leczenia systemowego w randomizowanym badaniu klinicznym prowadzonym metodą podwójnie ślepej próby (badanie III w łuszczycy).</w:t>
      </w:r>
    </w:p>
    <w:p w14:paraId="63ABAA47" w14:textId="77777777" w:rsidR="00C27F39" w:rsidRPr="008F328C" w:rsidRDefault="00C27F39" w:rsidP="00C27F39">
      <w:pPr>
        <w:pStyle w:val="a3"/>
        <w:rPr>
          <w:lang w:val="pl-PL"/>
        </w:rPr>
      </w:pPr>
    </w:p>
    <w:p w14:paraId="4BB041E1" w14:textId="77777777" w:rsidR="00C27F39" w:rsidRPr="008F328C" w:rsidRDefault="00C27F39" w:rsidP="00C27F39">
      <w:pPr>
        <w:pStyle w:val="a3"/>
        <w:rPr>
          <w:lang w:val="pl-PL"/>
        </w:rPr>
      </w:pPr>
      <w:r w:rsidRPr="008F328C">
        <w:rPr>
          <w:rFonts w:eastAsia="Times New Roman"/>
          <w:lang w:val="pl-PL"/>
        </w:rPr>
        <w:t xml:space="preserve">W badaniu I w łuszczycy (REVEAL) oceniano 1212 pacjentów podczas trzech okresów leczenia. W okresie A, pacjenci otrzymywali placebo lub adalimumab w dawce początkowej 80 mg, a następnie po upływie jednego tygodnia od podania dawki początkowej 40 mg co drugi tydzień. Po 16 tygodniach leczenia pacjenci, których odpowiedź na leczenie wynosiła co najmniej PASI 75 (poprawa punktacji PASI o co najmniej 75% w stosunku do wartości wyjściowej) przechodzili do okresu B i w badaniu otwartym otrzymywali 40 mg adalimumabu co drugi tydzień. Pacjenci, u których odpowiedź na leczenie </w:t>
      </w:r>
      <w:r w:rsidRPr="008F328C">
        <w:rPr>
          <w:rFonts w:eastAsia="Symbol"/>
          <w:lang w:val="pl-PL"/>
        </w:rPr>
        <w:sym w:font="Symbol" w:char="F0B3"/>
      </w:r>
      <w:r w:rsidRPr="008F328C">
        <w:rPr>
          <w:rFonts w:eastAsia="Times New Roman"/>
          <w:lang w:val="pl-PL"/>
        </w:rPr>
        <w:t>PASI 75 utrzymywała się w 33. tygodniu, a pierwotnie byli przydzieleni losowo do grupy otrzymującej aktywne leczenie w okresie A, w okresie C byli ponownie losowo przydzielani do grupy otrzymującej adalimumab 40 mg co drugi tydzień lub placebo przez dodatkowe 19 tygodni. We wszystkich leczonych grupach, średnia wyjściowa wartość PASI wynosiła 18,9, a wyjściowa ocena PGA (ang. Physician’s Global Assessment) wahała się od „umiarkowanej” (53% uczestników) do „ciężkiej” (41%) i „bardzo ciężkiej” (6%).</w:t>
      </w:r>
    </w:p>
    <w:p w14:paraId="43DC37A5" w14:textId="77777777" w:rsidR="00C27F39" w:rsidRPr="008F328C" w:rsidRDefault="00C27F39" w:rsidP="00C27F39">
      <w:pPr>
        <w:spacing w:before="14" w:line="240" w:lineRule="exact"/>
        <w:rPr>
          <w:rFonts w:ascii="Times New Roman" w:hAnsi="Times New Roman" w:cs="Times New Roman"/>
          <w:sz w:val="24"/>
          <w:szCs w:val="24"/>
          <w:lang w:val="pl-PL"/>
        </w:rPr>
      </w:pPr>
    </w:p>
    <w:p w14:paraId="724F85C9" w14:textId="77777777" w:rsidR="00C27F39" w:rsidRPr="008F328C" w:rsidRDefault="00C27F39" w:rsidP="00C27F39">
      <w:pPr>
        <w:pStyle w:val="a3"/>
        <w:rPr>
          <w:lang w:val="pl-PL"/>
        </w:rPr>
      </w:pPr>
      <w:r w:rsidRPr="008F328C">
        <w:rPr>
          <w:rFonts w:eastAsia="Times New Roman"/>
          <w:lang w:val="pl-PL"/>
        </w:rPr>
        <w:t xml:space="preserve">W badaniu II w łuszczycy (CHAMPION) u 271 pacjentów porównywano skuteczność i bezpieczeństwo stosowania adalimumabu z metotreksatem i placebo. Pacjenci otrzymywali placebo, metotreksat w dawce początkowej 7,5 mg, zwiększanej następnie do 12. tygodnia tak, że dawka maksymalna wynosiła 25 mg lub adalimumab w dawce początkowej 80 mg, a następnie (po upływie jednego tygodnia od podania dawki początkowej) 40 mg co drugi tydzień przez 16 tygodni. Brak dostępnych danych porównujących adalimumab i metotreksat w okresie dłuższym niż16 tygodni leczenia. U pacjentów otrzymujących metotreksat, którzy wykazali odpowiedź </w:t>
      </w:r>
      <w:r w:rsidRPr="008F328C">
        <w:rPr>
          <w:rFonts w:eastAsia="Symbol"/>
          <w:lang w:val="pl-PL"/>
        </w:rPr>
        <w:sym w:font="Symbol" w:char="F0B3"/>
      </w:r>
      <w:r w:rsidRPr="008F328C">
        <w:rPr>
          <w:rFonts w:eastAsia="Times New Roman"/>
          <w:lang w:val="pl-PL"/>
        </w:rPr>
        <w:t>PASI 50 w 8. i (lub) 12. tygodniu nie zwiększano dawki. We wszystkich leczonych grupach, średnia wyjściowa wartość PASI wynosiła 19,7, a wyjściowa ocena PGA wahała się od „łagodnej” (&lt; 1%) do „umiarkowanej” (48%), „ciężkiej” (46%) i „bardzo ciężkiej” (6%).</w:t>
      </w:r>
    </w:p>
    <w:p w14:paraId="6FCC6FD8" w14:textId="77777777" w:rsidR="00C27F39" w:rsidRPr="008F328C" w:rsidRDefault="00C27F39" w:rsidP="00C27F39">
      <w:pPr>
        <w:spacing w:before="17" w:line="240" w:lineRule="exact"/>
        <w:rPr>
          <w:rFonts w:ascii="Times New Roman" w:hAnsi="Times New Roman" w:cs="Times New Roman"/>
          <w:sz w:val="24"/>
          <w:szCs w:val="24"/>
          <w:lang w:val="pl-PL"/>
        </w:rPr>
      </w:pPr>
    </w:p>
    <w:p w14:paraId="10EBAD2E" w14:textId="77777777" w:rsidR="00C27F39" w:rsidRPr="008F328C" w:rsidRDefault="00C27F39" w:rsidP="00C27F39">
      <w:pPr>
        <w:pStyle w:val="a3"/>
        <w:rPr>
          <w:lang w:val="pl-PL"/>
        </w:rPr>
      </w:pPr>
      <w:r w:rsidRPr="008F328C">
        <w:rPr>
          <w:rFonts w:eastAsia="Times New Roman"/>
          <w:lang w:val="pl-PL"/>
        </w:rPr>
        <w:t>Pacjenci uczestniczący we wszystkich badaniach klinicznych fazy II i III w łuszczycy mogli zostać włączeni do otwartego badania kontynuacyjnego, w którym adalimumab podawano przez co najmniej 108 dodatkowych tygodni.</w:t>
      </w:r>
    </w:p>
    <w:p w14:paraId="3C5F6CFE" w14:textId="77777777" w:rsidR="00C27F39" w:rsidRPr="008F328C" w:rsidRDefault="00C27F39" w:rsidP="00C27F39">
      <w:pPr>
        <w:spacing w:before="14" w:line="240" w:lineRule="exact"/>
        <w:rPr>
          <w:rFonts w:ascii="Times New Roman" w:hAnsi="Times New Roman" w:cs="Times New Roman"/>
          <w:sz w:val="24"/>
          <w:szCs w:val="24"/>
          <w:lang w:val="pl-PL"/>
        </w:rPr>
      </w:pPr>
    </w:p>
    <w:p w14:paraId="33E5175A" w14:textId="696A316C" w:rsidR="00C27F39" w:rsidRPr="008F328C" w:rsidRDefault="00C27F39" w:rsidP="00C27F39">
      <w:pPr>
        <w:pStyle w:val="a3"/>
        <w:rPr>
          <w:lang w:val="pl-PL"/>
        </w:rPr>
      </w:pPr>
      <w:r w:rsidRPr="008F328C">
        <w:rPr>
          <w:rFonts w:eastAsia="Times New Roman"/>
          <w:lang w:val="pl-PL"/>
        </w:rPr>
        <w:t xml:space="preserve">W badaniach I i II w łuszczycy, pierwszorzędowym punktem końcowym był odsetek pacjentów, którzy w 16. tygodniu osiągnęli odpowiedź PASI 75 w stosunku do wartości wyjściowej (patrz Tabele </w:t>
      </w:r>
      <w:r w:rsidR="00270309" w:rsidRPr="008F328C">
        <w:rPr>
          <w:rFonts w:eastAsia="Times New Roman"/>
          <w:lang w:val="pl-PL"/>
        </w:rPr>
        <w:t>11</w:t>
      </w:r>
      <w:r w:rsidRPr="008F328C">
        <w:rPr>
          <w:rFonts w:eastAsia="Times New Roman"/>
          <w:lang w:val="pl-PL"/>
        </w:rPr>
        <w:t xml:space="preserve"> i </w:t>
      </w:r>
      <w:r w:rsidR="00270309" w:rsidRPr="008F328C">
        <w:rPr>
          <w:rFonts w:eastAsia="Times New Roman"/>
          <w:lang w:val="pl-PL"/>
        </w:rPr>
        <w:t>12</w:t>
      </w:r>
      <w:r w:rsidRPr="008F328C">
        <w:rPr>
          <w:rFonts w:eastAsia="Times New Roman"/>
          <w:lang w:val="pl-PL"/>
        </w:rPr>
        <w:t>).</w:t>
      </w:r>
    </w:p>
    <w:p w14:paraId="76BDB1AE" w14:textId="77777777" w:rsidR="00C27F39" w:rsidRPr="008F328C" w:rsidRDefault="00C27F39" w:rsidP="00C27F39">
      <w:pPr>
        <w:rPr>
          <w:rFonts w:ascii="Times New Roman" w:hAnsi="Times New Roman" w:cs="Times New Roman"/>
          <w:b/>
          <w:lang w:val="pl-PL"/>
        </w:rPr>
      </w:pPr>
    </w:p>
    <w:p w14:paraId="713411EE"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6656662E" w14:textId="27AB499F" w:rsidR="00C27F39" w:rsidRPr="008F328C" w:rsidRDefault="00C27F39" w:rsidP="00C27F39">
      <w:pPr>
        <w:pStyle w:val="a3"/>
        <w:keepNext/>
        <w:keepLines/>
        <w:jc w:val="center"/>
        <w:rPr>
          <w:b/>
          <w:lang w:val="pl-PL"/>
        </w:rPr>
      </w:pPr>
      <w:r w:rsidRPr="008F328C">
        <w:rPr>
          <w:rFonts w:eastAsia="Times New Roman"/>
          <w:b/>
          <w:bCs/>
          <w:lang w:val="pl-PL"/>
        </w:rPr>
        <w:lastRenderedPageBreak/>
        <w:t xml:space="preserve">Tabela </w:t>
      </w:r>
      <w:r w:rsidR="00270309" w:rsidRPr="008F328C">
        <w:rPr>
          <w:rFonts w:eastAsia="Times New Roman"/>
          <w:b/>
          <w:bCs/>
          <w:lang w:val="pl-PL"/>
        </w:rPr>
        <w:t>11</w:t>
      </w:r>
    </w:p>
    <w:p w14:paraId="1B9AEA39" w14:textId="2872EAA4" w:rsidR="00C27F39" w:rsidRDefault="00C27F39" w:rsidP="00C27F39">
      <w:pPr>
        <w:pStyle w:val="a3"/>
        <w:keepNext/>
        <w:keepLines/>
        <w:jc w:val="center"/>
        <w:rPr>
          <w:rFonts w:eastAsia="Times New Roman"/>
          <w:b/>
          <w:bCs/>
          <w:lang w:val="pl-PL"/>
        </w:rPr>
      </w:pPr>
      <w:r w:rsidRPr="008F328C">
        <w:rPr>
          <w:rFonts w:eastAsia="Times New Roman"/>
          <w:b/>
          <w:bCs/>
          <w:lang w:val="pl-PL"/>
        </w:rPr>
        <w:t xml:space="preserve">Badanie I w łuszczycy (REVEAL) - wyniki skuteczności w 16. </w:t>
      </w:r>
      <w:r w:rsidR="00114A52" w:rsidRPr="008F328C">
        <w:rPr>
          <w:rFonts w:eastAsia="Times New Roman"/>
          <w:b/>
          <w:bCs/>
          <w:lang w:val="pl-PL"/>
        </w:rPr>
        <w:t>T</w:t>
      </w:r>
      <w:r w:rsidRPr="008F328C">
        <w:rPr>
          <w:rFonts w:eastAsia="Times New Roman"/>
          <w:b/>
          <w:bCs/>
          <w:lang w:val="pl-PL"/>
        </w:rPr>
        <w:t>ygodniu</w:t>
      </w:r>
    </w:p>
    <w:p w14:paraId="1641D4E3" w14:textId="77777777" w:rsidR="00114A52" w:rsidRPr="008F328C" w:rsidRDefault="00114A52" w:rsidP="00C27F39">
      <w:pPr>
        <w:pStyle w:val="a3"/>
        <w:keepNext/>
        <w:keepLines/>
        <w:jc w:val="center"/>
        <w:rPr>
          <w:b/>
          <w:lang w:val="pl-PL"/>
        </w:rPr>
      </w:pP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C27F39" w:rsidRPr="008F328C" w14:paraId="5A81F598" w14:textId="77777777" w:rsidTr="00ED6A7B">
        <w:tc>
          <w:tcPr>
            <w:tcW w:w="2625" w:type="dxa"/>
            <w:tcBorders>
              <w:top w:val="single" w:sz="5" w:space="0" w:color="000000"/>
              <w:left w:val="single" w:sz="5" w:space="0" w:color="000000"/>
              <w:bottom w:val="single" w:sz="5" w:space="0" w:color="000000"/>
              <w:right w:val="single" w:sz="5" w:space="0" w:color="000000"/>
            </w:tcBorders>
          </w:tcPr>
          <w:p w14:paraId="21185BAF" w14:textId="77777777" w:rsidR="00C27F39" w:rsidRPr="008F328C" w:rsidRDefault="00C27F39" w:rsidP="00ED6A7B">
            <w:pPr>
              <w:rPr>
                <w:rFonts w:ascii="Times New Roman" w:hAnsi="Times New Roman" w:cs="Times New Roman"/>
                <w:lang w:val="pl-PL"/>
              </w:rPr>
            </w:pPr>
          </w:p>
        </w:tc>
        <w:tc>
          <w:tcPr>
            <w:tcW w:w="1701" w:type="dxa"/>
            <w:tcBorders>
              <w:top w:val="single" w:sz="5" w:space="0" w:color="000000"/>
              <w:left w:val="single" w:sz="5" w:space="0" w:color="000000"/>
              <w:bottom w:val="single" w:sz="5" w:space="0" w:color="000000"/>
              <w:right w:val="single" w:sz="5" w:space="0" w:color="000000"/>
            </w:tcBorders>
          </w:tcPr>
          <w:p w14:paraId="3E820D49" w14:textId="77777777" w:rsidR="00C27F39" w:rsidRPr="008F328C" w:rsidRDefault="00C27F39" w:rsidP="00ED6A7B">
            <w:pPr>
              <w:pStyle w:val="TableParagraph"/>
              <w:spacing w:before="3" w:line="252" w:lineRule="exact"/>
              <w:ind w:left="498" w:right="433" w:hanging="6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 xml:space="preserve">Placebo N=398 </w:t>
            </w:r>
          </w:p>
          <w:p w14:paraId="1E4472A7" w14:textId="77777777" w:rsidR="00C27F39" w:rsidRPr="008F328C" w:rsidRDefault="00C27F39" w:rsidP="00ED6A7B">
            <w:pPr>
              <w:pStyle w:val="TableParagraph"/>
              <w:spacing w:before="3" w:line="252" w:lineRule="exact"/>
              <w:ind w:left="498" w:right="433" w:hanging="6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c>
          <w:tcPr>
            <w:tcW w:w="2801" w:type="dxa"/>
            <w:tcBorders>
              <w:top w:val="single" w:sz="5" w:space="0" w:color="000000"/>
              <w:left w:val="single" w:sz="5" w:space="0" w:color="000000"/>
              <w:bottom w:val="single" w:sz="5" w:space="0" w:color="000000"/>
              <w:right w:val="single" w:sz="5" w:space="0" w:color="000000"/>
            </w:tcBorders>
          </w:tcPr>
          <w:p w14:paraId="42EF2EEF" w14:textId="77777777" w:rsidR="00C27F39" w:rsidRPr="008F328C" w:rsidRDefault="00C27F39" w:rsidP="00ED6A7B">
            <w:pPr>
              <w:pStyle w:val="TableParagraph"/>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6CE85E7D" w14:textId="77777777" w:rsidR="00C27F39" w:rsidRPr="008F328C" w:rsidRDefault="00C27F39" w:rsidP="00ED6A7B">
            <w:pPr>
              <w:pStyle w:val="TableParagraph"/>
              <w:spacing w:before="3"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N=814 </w:t>
            </w:r>
          </w:p>
          <w:p w14:paraId="297DCF2F" w14:textId="77777777" w:rsidR="00C27F39" w:rsidRPr="008F328C" w:rsidRDefault="00C27F39" w:rsidP="00ED6A7B">
            <w:pPr>
              <w:pStyle w:val="TableParagraph"/>
              <w:spacing w:before="3" w:line="252" w:lineRule="exact"/>
              <w:ind w:left="277" w:right="27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C27F39" w:rsidRPr="008F328C" w14:paraId="62A7ABBC" w14:textId="77777777" w:rsidTr="00ED6A7B">
        <w:tc>
          <w:tcPr>
            <w:tcW w:w="2625" w:type="dxa"/>
            <w:tcBorders>
              <w:top w:val="single" w:sz="5" w:space="0" w:color="000000"/>
              <w:left w:val="single" w:sz="5" w:space="0" w:color="000000"/>
              <w:bottom w:val="single" w:sz="5" w:space="0" w:color="000000"/>
              <w:right w:val="single" w:sz="5" w:space="0" w:color="000000"/>
            </w:tcBorders>
          </w:tcPr>
          <w:p w14:paraId="46B7B8E9" w14:textId="77777777" w:rsidR="00C27F39" w:rsidRPr="008F328C" w:rsidRDefault="00C27F39" w:rsidP="00ED6A7B">
            <w:pPr>
              <w:pStyle w:val="TableParagraph"/>
              <w:spacing w:line="267" w:lineRule="exact"/>
              <w:ind w:left="320"/>
              <w:rPr>
                <w:rFonts w:ascii="Times New Roman" w:eastAsia="Times New Roman" w:hAnsi="Times New Roman" w:cs="Times New Roman"/>
                <w:sz w:val="14"/>
                <w:szCs w:val="14"/>
                <w:lang w:val="pl-PL"/>
              </w:rPr>
            </w:pPr>
            <w:r w:rsidRPr="008F328C">
              <w:rPr>
                <w:rFonts w:ascii="Times New Roman" w:eastAsia="Symbol" w:hAnsi="Times New Roman" w:cs="Times New Roman"/>
                <w:b/>
                <w:bCs/>
                <w:lang w:val="pl-PL"/>
              </w:rPr>
              <w:sym w:font="Symbol" w:char="F0B3"/>
            </w:r>
            <w:r w:rsidRPr="008F328C">
              <w:rPr>
                <w:rFonts w:ascii="Times New Roman" w:eastAsia="Symbol" w:hAnsi="Times New Roman" w:cs="Times New Roman"/>
                <w:b/>
                <w:bCs/>
                <w:lang w:val="pl-PL"/>
              </w:rPr>
              <w:sym w:font="Symbol" w:char="F020"/>
            </w:r>
            <w:r w:rsidRPr="008F328C">
              <w:rPr>
                <w:rFonts w:ascii="Times New Roman" w:eastAsia="Times New Roman" w:hAnsi="Times New Roman" w:cs="Times New Roman"/>
                <w:b/>
                <w:bCs/>
                <w:lang w:val="pl-PL"/>
              </w:rPr>
              <w:t>PASI 75</w:t>
            </w:r>
            <w:r w:rsidRPr="008F328C">
              <w:rPr>
                <w:rFonts w:ascii="Times New Roman" w:eastAsia="Times New Roman" w:hAnsi="Times New Roman" w:cs="Times New Roman"/>
                <w:b/>
                <w:bCs/>
                <w:vertAlign w:val="superscript"/>
                <w:lang w:val="pl-PL"/>
              </w:rPr>
              <w:t>a</w:t>
            </w:r>
          </w:p>
        </w:tc>
        <w:tc>
          <w:tcPr>
            <w:tcW w:w="1701" w:type="dxa"/>
            <w:tcBorders>
              <w:top w:val="single" w:sz="5" w:space="0" w:color="000000"/>
              <w:left w:val="single" w:sz="5" w:space="0" w:color="000000"/>
              <w:bottom w:val="single" w:sz="5" w:space="0" w:color="000000"/>
              <w:right w:val="single" w:sz="5" w:space="0" w:color="000000"/>
            </w:tcBorders>
          </w:tcPr>
          <w:p w14:paraId="113DA3AE" w14:textId="77777777" w:rsidR="00C27F39" w:rsidRPr="008F328C" w:rsidRDefault="00C27F39" w:rsidP="00ED6A7B">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(6,5)</w:t>
            </w:r>
          </w:p>
        </w:tc>
        <w:tc>
          <w:tcPr>
            <w:tcW w:w="2801" w:type="dxa"/>
            <w:tcBorders>
              <w:top w:val="single" w:sz="5" w:space="0" w:color="000000"/>
              <w:left w:val="single" w:sz="5" w:space="0" w:color="000000"/>
              <w:bottom w:val="single" w:sz="5" w:space="0" w:color="000000"/>
              <w:right w:val="single" w:sz="5" w:space="0" w:color="000000"/>
            </w:tcBorders>
          </w:tcPr>
          <w:p w14:paraId="04BD064F" w14:textId="77777777" w:rsidR="00C27F39" w:rsidRPr="008F328C" w:rsidRDefault="00C27F39" w:rsidP="00ED6A7B">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578 (70,9)</w:t>
            </w:r>
            <w:r w:rsidRPr="008F328C">
              <w:rPr>
                <w:rFonts w:ascii="Times New Roman" w:eastAsia="Times New Roman" w:hAnsi="Times New Roman" w:cs="Times New Roman"/>
                <w:spacing w:val="-1"/>
                <w:sz w:val="14"/>
                <w:szCs w:val="14"/>
                <w:lang w:val="pl-PL"/>
              </w:rPr>
              <w:t>b</w:t>
            </w:r>
          </w:p>
        </w:tc>
      </w:tr>
      <w:tr w:rsidR="00C27F39" w:rsidRPr="008F328C" w14:paraId="2E301F2F" w14:textId="77777777" w:rsidTr="00ED6A7B">
        <w:tc>
          <w:tcPr>
            <w:tcW w:w="2625" w:type="dxa"/>
            <w:tcBorders>
              <w:top w:val="single" w:sz="5" w:space="0" w:color="000000"/>
              <w:left w:val="single" w:sz="5" w:space="0" w:color="000000"/>
              <w:bottom w:val="single" w:sz="5" w:space="0" w:color="000000"/>
              <w:right w:val="single" w:sz="5" w:space="0" w:color="000000"/>
            </w:tcBorders>
          </w:tcPr>
          <w:p w14:paraId="55743D7D" w14:textId="77777777" w:rsidR="00C27F39" w:rsidRPr="008F328C" w:rsidRDefault="00C27F39" w:rsidP="00ED6A7B">
            <w:pPr>
              <w:pStyle w:val="TableParagraph"/>
              <w:spacing w:line="251"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PASI 100</w:t>
            </w:r>
          </w:p>
        </w:tc>
        <w:tc>
          <w:tcPr>
            <w:tcW w:w="1701" w:type="dxa"/>
            <w:tcBorders>
              <w:top w:val="single" w:sz="5" w:space="0" w:color="000000"/>
              <w:left w:val="single" w:sz="5" w:space="0" w:color="000000"/>
              <w:bottom w:val="single" w:sz="5" w:space="0" w:color="000000"/>
              <w:right w:val="single" w:sz="5" w:space="0" w:color="000000"/>
            </w:tcBorders>
          </w:tcPr>
          <w:p w14:paraId="6767B75B" w14:textId="77777777" w:rsidR="00C27F39" w:rsidRPr="008F328C" w:rsidRDefault="00C27F39" w:rsidP="00ED6A7B">
            <w:pPr>
              <w:pStyle w:val="TableParagraph"/>
              <w:spacing w:line="246" w:lineRule="exact"/>
              <w:ind w:left="512"/>
              <w:rPr>
                <w:rFonts w:ascii="Times New Roman" w:eastAsia="Times New Roman" w:hAnsi="Times New Roman" w:cs="Times New Roman"/>
                <w:lang w:val="pl-PL"/>
              </w:rPr>
            </w:pPr>
            <w:r w:rsidRPr="008F328C">
              <w:rPr>
                <w:rFonts w:ascii="Times New Roman" w:eastAsia="Times New Roman" w:hAnsi="Times New Roman" w:cs="Times New Roman"/>
                <w:lang w:val="pl-PL"/>
              </w:rPr>
              <w:t>3 (0,8)</w:t>
            </w:r>
          </w:p>
        </w:tc>
        <w:tc>
          <w:tcPr>
            <w:tcW w:w="2801" w:type="dxa"/>
            <w:tcBorders>
              <w:top w:val="single" w:sz="5" w:space="0" w:color="000000"/>
              <w:left w:val="single" w:sz="5" w:space="0" w:color="000000"/>
              <w:bottom w:val="single" w:sz="5" w:space="0" w:color="000000"/>
              <w:right w:val="single" w:sz="5" w:space="0" w:color="000000"/>
            </w:tcBorders>
          </w:tcPr>
          <w:p w14:paraId="10F1FAD3" w14:textId="77777777" w:rsidR="00C27F39" w:rsidRPr="008F328C" w:rsidRDefault="00C27F39" w:rsidP="00ED6A7B">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163 (20,0)</w:t>
            </w:r>
            <w:r w:rsidRPr="008F328C">
              <w:rPr>
                <w:rFonts w:ascii="Times New Roman" w:eastAsia="Times New Roman" w:hAnsi="Times New Roman" w:cs="Times New Roman"/>
                <w:spacing w:val="-1"/>
                <w:sz w:val="14"/>
                <w:szCs w:val="14"/>
                <w:lang w:val="pl-PL"/>
              </w:rPr>
              <w:t>b</w:t>
            </w:r>
          </w:p>
        </w:tc>
      </w:tr>
      <w:tr w:rsidR="00C27F39" w:rsidRPr="008F328C" w14:paraId="2B538E49" w14:textId="77777777" w:rsidTr="00ED6A7B">
        <w:tc>
          <w:tcPr>
            <w:tcW w:w="2625" w:type="dxa"/>
            <w:tcBorders>
              <w:top w:val="single" w:sz="5" w:space="0" w:color="000000"/>
              <w:left w:val="single" w:sz="5" w:space="0" w:color="000000"/>
              <w:bottom w:val="single" w:sz="5" w:space="0" w:color="000000"/>
              <w:right w:val="single" w:sz="5" w:space="0" w:color="000000"/>
            </w:tcBorders>
          </w:tcPr>
          <w:p w14:paraId="07292033" w14:textId="77777777" w:rsidR="00C27F39" w:rsidRPr="008F328C" w:rsidRDefault="00C27F39" w:rsidP="00ED6A7B">
            <w:pPr>
              <w:pStyle w:val="TableParagraph"/>
              <w:spacing w:line="250" w:lineRule="exact"/>
              <w:ind w:left="323"/>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PGA: czysta/prawie czysta</w:t>
            </w:r>
          </w:p>
        </w:tc>
        <w:tc>
          <w:tcPr>
            <w:tcW w:w="1701" w:type="dxa"/>
            <w:tcBorders>
              <w:top w:val="single" w:sz="5" w:space="0" w:color="000000"/>
              <w:left w:val="single" w:sz="5" w:space="0" w:color="000000"/>
              <w:bottom w:val="single" w:sz="5" w:space="0" w:color="000000"/>
              <w:right w:val="single" w:sz="5" w:space="0" w:color="000000"/>
            </w:tcBorders>
          </w:tcPr>
          <w:p w14:paraId="4FC4FB00" w14:textId="77777777" w:rsidR="00C27F39" w:rsidRPr="008F328C" w:rsidRDefault="00C27F39" w:rsidP="00ED6A7B">
            <w:pPr>
              <w:pStyle w:val="TableParagraph"/>
              <w:spacing w:line="246" w:lineRule="exact"/>
              <w:ind w:left="4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17 (4,3)</w:t>
            </w:r>
          </w:p>
        </w:tc>
        <w:tc>
          <w:tcPr>
            <w:tcW w:w="2801" w:type="dxa"/>
            <w:tcBorders>
              <w:top w:val="single" w:sz="5" w:space="0" w:color="000000"/>
              <w:left w:val="single" w:sz="5" w:space="0" w:color="000000"/>
              <w:bottom w:val="single" w:sz="5" w:space="0" w:color="000000"/>
              <w:right w:val="single" w:sz="5" w:space="0" w:color="000000"/>
            </w:tcBorders>
          </w:tcPr>
          <w:p w14:paraId="52DE0ADC" w14:textId="77777777" w:rsidR="00C27F39" w:rsidRPr="008F328C" w:rsidRDefault="00C27F39" w:rsidP="00ED6A7B">
            <w:pPr>
              <w:pStyle w:val="TableParagraph"/>
              <w:spacing w:line="246" w:lineRule="exact"/>
              <w:ind w:left="678"/>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506 (62,2)</w:t>
            </w:r>
            <w:r w:rsidRPr="008F328C">
              <w:rPr>
                <w:rFonts w:ascii="Times New Roman" w:eastAsia="Times New Roman" w:hAnsi="Times New Roman" w:cs="Times New Roman"/>
                <w:spacing w:val="-1"/>
                <w:sz w:val="14"/>
                <w:szCs w:val="14"/>
                <w:lang w:val="pl-PL"/>
              </w:rPr>
              <w:t>b</w:t>
            </w:r>
          </w:p>
        </w:tc>
      </w:tr>
      <w:tr w:rsidR="00C27F39" w:rsidRPr="00FE49E6" w14:paraId="7E7EBE2F" w14:textId="77777777" w:rsidTr="00ED6A7B">
        <w:tc>
          <w:tcPr>
            <w:tcW w:w="7127" w:type="dxa"/>
            <w:gridSpan w:val="3"/>
            <w:tcBorders>
              <w:top w:val="single" w:sz="5" w:space="0" w:color="000000"/>
              <w:left w:val="single" w:sz="5" w:space="0" w:color="000000"/>
              <w:bottom w:val="single" w:sz="5" w:space="0" w:color="000000"/>
              <w:right w:val="single" w:sz="5" w:space="0" w:color="000000"/>
            </w:tcBorders>
          </w:tcPr>
          <w:p w14:paraId="3F8663BB" w14:textId="77777777" w:rsidR="00C27F39" w:rsidRPr="008F328C" w:rsidRDefault="00C27F39" w:rsidP="00ED6A7B">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a</w:t>
            </w:r>
            <w:r w:rsidRPr="008F328C">
              <w:rPr>
                <w:rFonts w:ascii="Times New Roman" w:eastAsia="Times New Roman" w:hAnsi="Times New Roman" w:cs="Times New Roman"/>
                <w:lang w:val="pl-PL"/>
              </w:rPr>
              <w:t xml:space="preserve"> Odsetek pacjentów osiągających odpowiedź PASI 75 obliczano jako współczynnik korygowany dla ośrodków</w:t>
            </w:r>
          </w:p>
          <w:p w14:paraId="21ACD547" w14:textId="77777777" w:rsidR="00C27F39" w:rsidRPr="008F328C" w:rsidRDefault="00C27F39" w:rsidP="00ED6A7B">
            <w:pPr>
              <w:pStyle w:val="TableParagraph"/>
              <w:ind w:left="101"/>
              <w:rPr>
                <w:rFonts w:ascii="Times New Roman" w:eastAsia="Times New Roman" w:hAnsi="Times New Roman" w:cs="Times New Roman"/>
                <w:lang w:val="pl-PL"/>
              </w:rPr>
            </w:pPr>
            <w:r w:rsidRPr="008F328C">
              <w:rPr>
                <w:rFonts w:ascii="Times New Roman" w:eastAsia="Times New Roman" w:hAnsi="Times New Roman" w:cs="Times New Roman"/>
                <w:vertAlign w:val="superscript"/>
                <w:lang w:val="pl-PL"/>
              </w:rPr>
              <w:t>b</w:t>
            </w:r>
            <w:r w:rsidRPr="008F328C">
              <w:rPr>
                <w:rFonts w:ascii="Times New Roman" w:eastAsia="Times New Roman" w:hAnsi="Times New Roman" w:cs="Times New Roman"/>
                <w:lang w:val="pl-PL"/>
              </w:rPr>
              <w:t xml:space="preserve"> p ≤ 0,001, adalimumab w porównaniu do placebo</w:t>
            </w:r>
          </w:p>
        </w:tc>
      </w:tr>
    </w:tbl>
    <w:p w14:paraId="5F531685" w14:textId="77777777" w:rsidR="00C27F39" w:rsidRPr="008F328C" w:rsidRDefault="00C27F39" w:rsidP="00C27F39">
      <w:pPr>
        <w:spacing w:line="110" w:lineRule="exact"/>
        <w:rPr>
          <w:rFonts w:ascii="Times New Roman" w:hAnsi="Times New Roman" w:cs="Times New Roman"/>
          <w:sz w:val="11"/>
          <w:szCs w:val="11"/>
          <w:lang w:val="pl-PL"/>
        </w:rPr>
      </w:pPr>
    </w:p>
    <w:p w14:paraId="1193D97D" w14:textId="77777777" w:rsidR="00C27F39" w:rsidRPr="008F328C" w:rsidRDefault="00C27F39" w:rsidP="00C27F39">
      <w:pPr>
        <w:spacing w:before="3" w:line="170" w:lineRule="exact"/>
        <w:rPr>
          <w:rFonts w:ascii="Times New Roman" w:hAnsi="Times New Roman" w:cs="Times New Roman"/>
          <w:sz w:val="17"/>
          <w:szCs w:val="17"/>
          <w:lang w:val="pl-PL"/>
        </w:rPr>
      </w:pPr>
    </w:p>
    <w:p w14:paraId="700B5CD6" w14:textId="15AB9354"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12</w:t>
      </w:r>
    </w:p>
    <w:p w14:paraId="7EF56211" w14:textId="2F2E7B32" w:rsidR="00C27F39" w:rsidRDefault="00C27F39" w:rsidP="00C27F39">
      <w:pPr>
        <w:pStyle w:val="a3"/>
        <w:jc w:val="center"/>
        <w:rPr>
          <w:rFonts w:eastAsia="Times New Roman"/>
          <w:b/>
          <w:bCs/>
          <w:lang w:val="pl-PL"/>
        </w:rPr>
      </w:pPr>
      <w:r w:rsidRPr="008F328C">
        <w:rPr>
          <w:rFonts w:eastAsia="Times New Roman"/>
          <w:b/>
          <w:bCs/>
          <w:lang w:val="pl-PL"/>
        </w:rPr>
        <w:t xml:space="preserve">Badanie II w łuszczycy (CHAMPION) – wyniki skuteczności w 16. </w:t>
      </w:r>
      <w:r w:rsidR="00114A52" w:rsidRPr="008F328C">
        <w:rPr>
          <w:rFonts w:eastAsia="Times New Roman"/>
          <w:b/>
          <w:bCs/>
          <w:lang w:val="pl-PL"/>
        </w:rPr>
        <w:t>T</w:t>
      </w:r>
      <w:r w:rsidRPr="008F328C">
        <w:rPr>
          <w:rFonts w:eastAsia="Times New Roman"/>
          <w:b/>
          <w:bCs/>
          <w:lang w:val="pl-PL"/>
        </w:rPr>
        <w:t>ygodniu</w:t>
      </w:r>
    </w:p>
    <w:p w14:paraId="3425A19C" w14:textId="77777777" w:rsidR="00114A52" w:rsidRPr="008F328C" w:rsidRDefault="00114A52" w:rsidP="00C27F39">
      <w:pPr>
        <w:pStyle w:val="a3"/>
        <w:jc w:val="center"/>
        <w:rPr>
          <w:b/>
          <w:lang w:val="pl-PL"/>
        </w:rPr>
      </w:pP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C27F39" w:rsidRPr="008F328C" w14:paraId="012EE4F5" w14:textId="77777777" w:rsidTr="00ED6A7B">
        <w:tc>
          <w:tcPr>
            <w:tcW w:w="2294" w:type="dxa"/>
            <w:vAlign w:val="center"/>
          </w:tcPr>
          <w:p w14:paraId="26C02EC6" w14:textId="77777777" w:rsidR="00C27F39" w:rsidRPr="008F328C" w:rsidRDefault="00C27F39" w:rsidP="00ED6A7B">
            <w:pPr>
              <w:pStyle w:val="a3"/>
              <w:rPr>
                <w:lang w:val="pl-PL"/>
              </w:rPr>
            </w:pPr>
          </w:p>
        </w:tc>
        <w:tc>
          <w:tcPr>
            <w:tcW w:w="2197" w:type="dxa"/>
            <w:vAlign w:val="center"/>
          </w:tcPr>
          <w:p w14:paraId="35CF1A80" w14:textId="77777777" w:rsidR="00C27F39" w:rsidRPr="008F328C" w:rsidRDefault="00C27F39" w:rsidP="00ED6A7B">
            <w:pPr>
              <w:pStyle w:val="TableParagraph"/>
              <w:spacing w:before="4" w:line="252" w:lineRule="exact"/>
              <w:ind w:left="459" w:right="459"/>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t>Placebo N=53</w:t>
            </w:r>
          </w:p>
          <w:p w14:paraId="65387FA8" w14:textId="77777777" w:rsidR="00C27F39" w:rsidRPr="008F328C" w:rsidRDefault="00C27F39" w:rsidP="00ED6A7B">
            <w:pPr>
              <w:pStyle w:val="TableParagraph"/>
              <w:spacing w:before="4" w:line="252" w:lineRule="exact"/>
              <w:ind w:left="459" w:right="459"/>
              <w:jc w:val="center"/>
              <w:rPr>
                <w:rFonts w:ascii="Times New Roman" w:hAnsi="Times New Roman" w:cs="Times New Roman"/>
                <w:b/>
                <w:lang w:val="pl-PL"/>
              </w:rPr>
            </w:pPr>
            <w:r w:rsidRPr="008F328C">
              <w:rPr>
                <w:rFonts w:ascii="Times New Roman" w:eastAsia="Times New Roman" w:hAnsi="Times New Roman" w:cs="Times New Roman"/>
                <w:b/>
                <w:bCs/>
                <w:lang w:val="pl-PL"/>
              </w:rPr>
              <w:t>n (%)</w:t>
            </w:r>
          </w:p>
        </w:tc>
        <w:tc>
          <w:tcPr>
            <w:tcW w:w="2197" w:type="dxa"/>
            <w:vAlign w:val="center"/>
          </w:tcPr>
          <w:p w14:paraId="43864418" w14:textId="77777777" w:rsidR="00C27F39" w:rsidRPr="008F328C" w:rsidRDefault="00C27F39" w:rsidP="00ED6A7B">
            <w:pPr>
              <w:pStyle w:val="a3"/>
              <w:jc w:val="center"/>
              <w:rPr>
                <w:b/>
                <w:lang w:val="pl-PL"/>
              </w:rPr>
            </w:pPr>
            <w:r w:rsidRPr="008F328C">
              <w:rPr>
                <w:rFonts w:eastAsia="Times New Roman"/>
                <w:b/>
                <w:bCs/>
                <w:lang w:val="pl-PL"/>
              </w:rPr>
              <w:t>MTX</w:t>
            </w:r>
          </w:p>
          <w:p w14:paraId="10EF346C" w14:textId="77777777" w:rsidR="00C27F39" w:rsidRPr="008F328C" w:rsidRDefault="00C27F39" w:rsidP="00ED6A7B">
            <w:pPr>
              <w:pStyle w:val="a3"/>
              <w:jc w:val="center"/>
              <w:rPr>
                <w:b/>
                <w:lang w:val="pl-PL"/>
              </w:rPr>
            </w:pPr>
            <w:r w:rsidRPr="008F328C">
              <w:rPr>
                <w:rFonts w:eastAsia="Times New Roman"/>
                <w:b/>
                <w:bCs/>
                <w:lang w:val="pl-PL"/>
              </w:rPr>
              <w:t>N=110</w:t>
            </w:r>
          </w:p>
          <w:p w14:paraId="43BAD5B2" w14:textId="77777777" w:rsidR="00C27F39" w:rsidRPr="008F328C" w:rsidRDefault="00C27F39" w:rsidP="00ED6A7B">
            <w:pPr>
              <w:pStyle w:val="a3"/>
              <w:jc w:val="center"/>
              <w:rPr>
                <w:lang w:val="pl-PL"/>
              </w:rPr>
            </w:pPr>
            <w:r w:rsidRPr="008F328C">
              <w:rPr>
                <w:rFonts w:eastAsia="Times New Roman"/>
                <w:b/>
                <w:bCs/>
                <w:lang w:val="pl-PL"/>
              </w:rPr>
              <w:t>n (%)</w:t>
            </w:r>
          </w:p>
        </w:tc>
        <w:tc>
          <w:tcPr>
            <w:tcW w:w="2751" w:type="dxa"/>
            <w:vAlign w:val="center"/>
          </w:tcPr>
          <w:p w14:paraId="71A4EBEC" w14:textId="77777777" w:rsidR="00C27F39" w:rsidRPr="008F328C" w:rsidRDefault="00C27F39" w:rsidP="00ED6A7B">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Adalimumab 40 mg, co drugi tydzień</w:t>
            </w:r>
          </w:p>
          <w:p w14:paraId="5EFBA9E7" w14:textId="77777777" w:rsidR="00C27F39" w:rsidRPr="008F328C" w:rsidRDefault="00C27F39" w:rsidP="00ED6A7B">
            <w:pPr>
              <w:pStyle w:val="TableParagraph"/>
              <w:spacing w:before="4" w:line="252" w:lineRule="exact"/>
              <w:ind w:left="113" w:right="113"/>
              <w:jc w:val="cente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N=108</w:t>
            </w:r>
          </w:p>
          <w:p w14:paraId="77B1F5C8" w14:textId="77777777" w:rsidR="00C27F39" w:rsidRPr="008F328C" w:rsidRDefault="00C27F39" w:rsidP="00ED6A7B">
            <w:pPr>
              <w:pStyle w:val="TableParagraph"/>
              <w:spacing w:before="4" w:line="252" w:lineRule="exact"/>
              <w:ind w:left="113" w:right="113"/>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w:t>
            </w:r>
          </w:p>
        </w:tc>
      </w:tr>
      <w:tr w:rsidR="00C27F39" w:rsidRPr="008F328C" w14:paraId="13CA7DD1" w14:textId="77777777" w:rsidTr="00ED6A7B">
        <w:tc>
          <w:tcPr>
            <w:tcW w:w="2294" w:type="dxa"/>
          </w:tcPr>
          <w:p w14:paraId="7F1242AC" w14:textId="77777777" w:rsidR="00C27F39" w:rsidRPr="008F328C" w:rsidRDefault="00C27F39" w:rsidP="00ED6A7B">
            <w:pPr>
              <w:pStyle w:val="a3"/>
              <w:rPr>
                <w:b/>
                <w:lang w:val="pl-PL"/>
              </w:rPr>
            </w:pPr>
            <w:r w:rsidRPr="008F328C">
              <w:rPr>
                <w:rFonts w:eastAsia="Symbol"/>
                <w:b/>
                <w:lang w:val="pl-PL"/>
              </w:rPr>
              <w:sym w:font="Symbol" w:char="F0B3"/>
            </w:r>
            <w:r w:rsidRPr="008F328C">
              <w:rPr>
                <w:rFonts w:eastAsia="Symbol"/>
                <w:b/>
                <w:lang w:val="pl-PL"/>
              </w:rPr>
              <w:sym w:font="Symbol" w:char="F020"/>
            </w:r>
            <w:r w:rsidRPr="008F328C">
              <w:rPr>
                <w:rFonts w:eastAsia="Times New Roman"/>
                <w:b/>
                <w:lang w:val="pl-PL"/>
              </w:rPr>
              <w:t>PASI 75</w:t>
            </w:r>
          </w:p>
        </w:tc>
        <w:tc>
          <w:tcPr>
            <w:tcW w:w="2197" w:type="dxa"/>
          </w:tcPr>
          <w:p w14:paraId="7A94BF1C" w14:textId="77777777" w:rsidR="00C27F39" w:rsidRPr="008F328C" w:rsidRDefault="00C27F39" w:rsidP="00ED6A7B">
            <w:pPr>
              <w:pStyle w:val="a3"/>
              <w:jc w:val="center"/>
              <w:rPr>
                <w:b/>
                <w:lang w:val="pl-PL"/>
              </w:rPr>
            </w:pPr>
            <w:r w:rsidRPr="008F328C">
              <w:rPr>
                <w:rFonts w:eastAsia="Times New Roman"/>
                <w:lang w:val="pl-PL"/>
              </w:rPr>
              <w:t>10 (18,9)</w:t>
            </w:r>
          </w:p>
        </w:tc>
        <w:tc>
          <w:tcPr>
            <w:tcW w:w="2197" w:type="dxa"/>
          </w:tcPr>
          <w:p w14:paraId="37749FDD" w14:textId="77777777" w:rsidR="00C27F39" w:rsidRPr="008F328C" w:rsidRDefault="00C27F39" w:rsidP="00ED6A7B">
            <w:pPr>
              <w:pStyle w:val="a3"/>
              <w:jc w:val="center"/>
              <w:rPr>
                <w:b/>
                <w:lang w:val="pl-PL"/>
              </w:rPr>
            </w:pPr>
            <w:r w:rsidRPr="008F328C">
              <w:rPr>
                <w:rFonts w:eastAsia="Times New Roman"/>
                <w:lang w:val="pl-PL"/>
              </w:rPr>
              <w:t>39 (35,5)</w:t>
            </w:r>
          </w:p>
        </w:tc>
        <w:tc>
          <w:tcPr>
            <w:tcW w:w="2751" w:type="dxa"/>
          </w:tcPr>
          <w:p w14:paraId="1025C385" w14:textId="77777777" w:rsidR="00C27F39" w:rsidRPr="008F328C" w:rsidRDefault="00C27F39" w:rsidP="00ED6A7B">
            <w:pPr>
              <w:pStyle w:val="a3"/>
              <w:jc w:val="center"/>
              <w:rPr>
                <w:b/>
                <w:lang w:val="pl-PL"/>
              </w:rPr>
            </w:pPr>
            <w:r w:rsidRPr="008F328C">
              <w:rPr>
                <w:rFonts w:eastAsia="Times New Roman"/>
                <w:spacing w:val="-1"/>
                <w:lang w:val="pl-PL"/>
              </w:rPr>
              <w:t xml:space="preserve">86 (79,6) </w:t>
            </w:r>
            <w:r w:rsidRPr="008F328C">
              <w:rPr>
                <w:rFonts w:eastAsia="Times New Roman"/>
                <w:spacing w:val="-1"/>
                <w:vertAlign w:val="superscript"/>
                <w:lang w:val="pl-PL"/>
              </w:rPr>
              <w:t>a, b</w:t>
            </w:r>
          </w:p>
        </w:tc>
      </w:tr>
      <w:tr w:rsidR="00C27F39" w:rsidRPr="008F328C" w14:paraId="78405FAB" w14:textId="77777777" w:rsidTr="00ED6A7B">
        <w:tc>
          <w:tcPr>
            <w:tcW w:w="2294" w:type="dxa"/>
          </w:tcPr>
          <w:p w14:paraId="5A496CC0" w14:textId="77777777" w:rsidR="00C27F39" w:rsidRPr="008F328C" w:rsidRDefault="00C27F39" w:rsidP="00ED6A7B">
            <w:pPr>
              <w:pStyle w:val="a3"/>
              <w:rPr>
                <w:b/>
                <w:lang w:val="pl-PL"/>
              </w:rPr>
            </w:pPr>
            <w:r w:rsidRPr="008F328C">
              <w:rPr>
                <w:rFonts w:eastAsia="Times New Roman"/>
                <w:b/>
                <w:lang w:val="pl-PL"/>
              </w:rPr>
              <w:t>PASI 100</w:t>
            </w:r>
          </w:p>
        </w:tc>
        <w:tc>
          <w:tcPr>
            <w:tcW w:w="2197" w:type="dxa"/>
          </w:tcPr>
          <w:p w14:paraId="4DDDF9EF" w14:textId="77777777" w:rsidR="00C27F39" w:rsidRPr="008F328C" w:rsidRDefault="00C27F39" w:rsidP="00ED6A7B">
            <w:pPr>
              <w:pStyle w:val="a3"/>
              <w:jc w:val="center"/>
              <w:rPr>
                <w:b/>
                <w:lang w:val="pl-PL"/>
              </w:rPr>
            </w:pPr>
            <w:r w:rsidRPr="008F328C">
              <w:rPr>
                <w:rFonts w:eastAsia="Times New Roman"/>
                <w:lang w:val="pl-PL"/>
              </w:rPr>
              <w:t>1 (1,9)</w:t>
            </w:r>
          </w:p>
        </w:tc>
        <w:tc>
          <w:tcPr>
            <w:tcW w:w="2197" w:type="dxa"/>
          </w:tcPr>
          <w:p w14:paraId="57CA2D26" w14:textId="77777777" w:rsidR="00C27F39" w:rsidRPr="008F328C" w:rsidRDefault="00C27F39" w:rsidP="00ED6A7B">
            <w:pPr>
              <w:pStyle w:val="a3"/>
              <w:jc w:val="center"/>
              <w:rPr>
                <w:b/>
                <w:lang w:val="pl-PL"/>
              </w:rPr>
            </w:pPr>
            <w:r w:rsidRPr="008F328C">
              <w:rPr>
                <w:rFonts w:eastAsia="Times New Roman"/>
                <w:lang w:val="pl-PL"/>
              </w:rPr>
              <w:t>8 (7,3)</w:t>
            </w:r>
          </w:p>
        </w:tc>
        <w:tc>
          <w:tcPr>
            <w:tcW w:w="2751" w:type="dxa"/>
          </w:tcPr>
          <w:p w14:paraId="0232F728" w14:textId="77777777" w:rsidR="00C27F39" w:rsidRPr="008F328C" w:rsidRDefault="00C27F39" w:rsidP="00ED6A7B">
            <w:pPr>
              <w:pStyle w:val="a3"/>
              <w:jc w:val="center"/>
              <w:rPr>
                <w:b/>
                <w:lang w:val="pl-PL"/>
              </w:rPr>
            </w:pPr>
            <w:r w:rsidRPr="008F328C">
              <w:rPr>
                <w:rFonts w:eastAsia="Times New Roman"/>
                <w:spacing w:val="-1"/>
                <w:lang w:val="pl-PL"/>
              </w:rPr>
              <w:t xml:space="preserve">18 (16,7) </w:t>
            </w:r>
            <w:r w:rsidRPr="008F328C">
              <w:rPr>
                <w:rFonts w:eastAsia="Times New Roman"/>
                <w:spacing w:val="-1"/>
                <w:vertAlign w:val="superscript"/>
                <w:lang w:val="pl-PL"/>
              </w:rPr>
              <w:t>c, d</w:t>
            </w:r>
          </w:p>
        </w:tc>
      </w:tr>
      <w:tr w:rsidR="00C27F39" w:rsidRPr="008F328C" w14:paraId="3B2067F7" w14:textId="77777777" w:rsidTr="00ED6A7B">
        <w:tc>
          <w:tcPr>
            <w:tcW w:w="2294" w:type="dxa"/>
          </w:tcPr>
          <w:p w14:paraId="58A30E6B" w14:textId="77777777" w:rsidR="00C27F39" w:rsidRPr="008F328C" w:rsidRDefault="00C27F39" w:rsidP="00ED6A7B">
            <w:pPr>
              <w:pStyle w:val="TableParagraph"/>
              <w:spacing w:line="251" w:lineRule="exact"/>
              <w:rPr>
                <w:rFonts w:ascii="Times New Roman" w:hAnsi="Times New Roman" w:cs="Times New Roman"/>
                <w:b/>
                <w:lang w:val="pl-PL"/>
              </w:rPr>
            </w:pPr>
            <w:r w:rsidRPr="008F328C">
              <w:rPr>
                <w:rFonts w:ascii="Times New Roman" w:eastAsia="Times New Roman" w:hAnsi="Times New Roman" w:cs="Times New Roman"/>
                <w:b/>
                <w:bCs/>
                <w:lang w:val="pl-PL"/>
              </w:rPr>
              <w:t>PGA: czysta/prawie czysta</w:t>
            </w:r>
          </w:p>
        </w:tc>
        <w:tc>
          <w:tcPr>
            <w:tcW w:w="2197" w:type="dxa"/>
          </w:tcPr>
          <w:p w14:paraId="026D13FD" w14:textId="77777777" w:rsidR="00C27F39" w:rsidRPr="008F328C" w:rsidRDefault="00C27F39" w:rsidP="00ED6A7B">
            <w:pPr>
              <w:pStyle w:val="a3"/>
              <w:jc w:val="center"/>
              <w:rPr>
                <w:b/>
                <w:lang w:val="pl-PL"/>
              </w:rPr>
            </w:pPr>
            <w:r w:rsidRPr="008F328C">
              <w:rPr>
                <w:rFonts w:eastAsia="Times New Roman"/>
                <w:lang w:val="pl-PL"/>
              </w:rPr>
              <w:t>6 (11,3)</w:t>
            </w:r>
          </w:p>
        </w:tc>
        <w:tc>
          <w:tcPr>
            <w:tcW w:w="2197" w:type="dxa"/>
          </w:tcPr>
          <w:p w14:paraId="2DA480B7" w14:textId="77777777" w:rsidR="00C27F39" w:rsidRPr="008F328C" w:rsidRDefault="00C27F39" w:rsidP="00ED6A7B">
            <w:pPr>
              <w:pStyle w:val="a3"/>
              <w:jc w:val="center"/>
              <w:rPr>
                <w:b/>
                <w:lang w:val="pl-PL"/>
              </w:rPr>
            </w:pPr>
            <w:r w:rsidRPr="008F328C">
              <w:rPr>
                <w:rFonts w:eastAsia="Times New Roman"/>
                <w:lang w:val="pl-PL"/>
              </w:rPr>
              <w:t>33 (30,0)</w:t>
            </w:r>
          </w:p>
        </w:tc>
        <w:tc>
          <w:tcPr>
            <w:tcW w:w="2751" w:type="dxa"/>
          </w:tcPr>
          <w:p w14:paraId="1AEAC1FB" w14:textId="77777777" w:rsidR="00C27F39" w:rsidRPr="008F328C" w:rsidRDefault="00C27F39" w:rsidP="00ED6A7B">
            <w:pPr>
              <w:pStyle w:val="a3"/>
              <w:jc w:val="center"/>
              <w:rPr>
                <w:b/>
                <w:lang w:val="pl-PL"/>
              </w:rPr>
            </w:pPr>
            <w:r w:rsidRPr="008F328C">
              <w:rPr>
                <w:rFonts w:eastAsia="Times New Roman"/>
                <w:spacing w:val="-1"/>
                <w:lang w:val="pl-PL"/>
              </w:rPr>
              <w:t xml:space="preserve">79 (73.1) </w:t>
            </w:r>
            <w:r w:rsidRPr="008F328C">
              <w:rPr>
                <w:rFonts w:eastAsia="Times New Roman"/>
                <w:spacing w:val="-1"/>
                <w:vertAlign w:val="superscript"/>
                <w:lang w:val="pl-PL"/>
              </w:rPr>
              <w:t>a, b</w:t>
            </w:r>
          </w:p>
        </w:tc>
      </w:tr>
      <w:tr w:rsidR="00C27F39" w:rsidRPr="00FE49E6" w14:paraId="5E6BB992" w14:textId="77777777" w:rsidTr="00ED6A7B">
        <w:tc>
          <w:tcPr>
            <w:tcW w:w="9439" w:type="dxa"/>
            <w:gridSpan w:val="4"/>
          </w:tcPr>
          <w:p w14:paraId="654147E5" w14:textId="77777777" w:rsidR="00C27F39" w:rsidRPr="008F328C" w:rsidRDefault="00C27F39" w:rsidP="00ED6A7B">
            <w:pPr>
              <w:pStyle w:val="TableParagraph"/>
              <w:spacing w:line="246"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a</w:t>
            </w:r>
            <w:r w:rsidRPr="008F328C">
              <w:rPr>
                <w:rFonts w:ascii="Times New Roman" w:eastAsia="Times New Roman" w:hAnsi="Times New Roman" w:cs="Times New Roman"/>
                <w:spacing w:val="-2"/>
                <w:lang w:val="pl-PL"/>
              </w:rPr>
              <w:t xml:space="preserve"> p &lt; 0,001 adalimumab w porównaniu do placebo</w:t>
            </w:r>
          </w:p>
          <w:p w14:paraId="146FFBE1" w14:textId="77777777" w:rsidR="00C27F39" w:rsidRPr="008F328C" w:rsidRDefault="00C27F39" w:rsidP="00ED6A7B">
            <w:pPr>
              <w:pStyle w:val="TableParagraph"/>
              <w:spacing w:line="252"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b</w:t>
            </w:r>
            <w:r w:rsidRPr="008F328C">
              <w:rPr>
                <w:rFonts w:ascii="Times New Roman" w:eastAsia="Times New Roman" w:hAnsi="Times New Roman" w:cs="Times New Roman"/>
                <w:spacing w:val="-2"/>
                <w:lang w:val="pl-PL"/>
              </w:rPr>
              <w:t xml:space="preserve"> p &lt; 0,001 adalimumab w porównaniu do metotreksatu</w:t>
            </w:r>
          </w:p>
          <w:p w14:paraId="271E987E" w14:textId="77777777" w:rsidR="00C27F39" w:rsidRPr="008F328C" w:rsidRDefault="00C27F39" w:rsidP="00ED6A7B">
            <w:pPr>
              <w:pStyle w:val="TableParagraph"/>
              <w:spacing w:line="254" w:lineRule="exact"/>
              <w:rPr>
                <w:rFonts w:ascii="Times New Roman" w:eastAsia="Times New Roman" w:hAnsi="Times New Roman" w:cs="Times New Roman"/>
                <w:spacing w:val="-2"/>
                <w:lang w:val="pl-PL"/>
              </w:rPr>
            </w:pPr>
            <w:r w:rsidRPr="008F328C">
              <w:rPr>
                <w:rFonts w:ascii="Times New Roman" w:eastAsia="Times New Roman" w:hAnsi="Times New Roman" w:cs="Times New Roman"/>
                <w:spacing w:val="-2"/>
                <w:vertAlign w:val="superscript"/>
                <w:lang w:val="pl-PL"/>
              </w:rPr>
              <w:t>c</w:t>
            </w:r>
            <w:r w:rsidRPr="008F328C">
              <w:rPr>
                <w:rFonts w:ascii="Times New Roman" w:eastAsia="Times New Roman" w:hAnsi="Times New Roman" w:cs="Times New Roman"/>
                <w:spacing w:val="-2"/>
                <w:lang w:val="pl-PL"/>
              </w:rPr>
              <w:t xml:space="preserve"> p &lt; 0,01, adalimumab w porównaniu do placebo</w:t>
            </w:r>
          </w:p>
          <w:p w14:paraId="5BCCE4A0" w14:textId="77777777" w:rsidR="00C27F39" w:rsidRPr="008F328C" w:rsidRDefault="00C27F39" w:rsidP="00ED6A7B">
            <w:pPr>
              <w:pStyle w:val="a3"/>
              <w:rPr>
                <w:rFonts w:eastAsia="Times New Roman"/>
                <w:spacing w:val="-2"/>
                <w:lang w:val="pl-PL"/>
              </w:rPr>
            </w:pPr>
            <w:r w:rsidRPr="008F328C">
              <w:rPr>
                <w:rFonts w:eastAsia="Times New Roman"/>
                <w:spacing w:val="-2"/>
                <w:vertAlign w:val="superscript"/>
                <w:lang w:val="pl-PL"/>
              </w:rPr>
              <w:t>d</w:t>
            </w:r>
            <w:r w:rsidRPr="008F328C">
              <w:rPr>
                <w:rFonts w:eastAsia="Times New Roman"/>
                <w:spacing w:val="-2"/>
                <w:lang w:val="pl-PL"/>
              </w:rPr>
              <w:t xml:space="preserve"> p &lt; 0,05 adalimumab w porównaniu do metotreksatu</w:t>
            </w:r>
          </w:p>
        </w:tc>
      </w:tr>
    </w:tbl>
    <w:p w14:paraId="65BB0202" w14:textId="77777777" w:rsidR="00C27F39" w:rsidRPr="008F328C" w:rsidRDefault="00C27F39" w:rsidP="00C27F39">
      <w:pPr>
        <w:pStyle w:val="a3"/>
        <w:rPr>
          <w:lang w:val="pl-PL"/>
        </w:rPr>
      </w:pPr>
    </w:p>
    <w:p w14:paraId="5248FD1D" w14:textId="77777777" w:rsidR="00C27F39" w:rsidRPr="008F328C" w:rsidRDefault="00C27F39" w:rsidP="00C27F39">
      <w:pPr>
        <w:pStyle w:val="a3"/>
        <w:rPr>
          <w:lang w:val="pl-PL"/>
        </w:rPr>
      </w:pPr>
      <w:r w:rsidRPr="008F328C">
        <w:rPr>
          <w:rFonts w:eastAsia="Times New Roman"/>
          <w:spacing w:val="-2"/>
          <w:lang w:val="pl-PL"/>
        </w:rPr>
        <w:t>W badaniu I w łuszczycy, u 28% pacjentów, którzy uzyskali odpowiedź PASI 75 i w 33. tygodniu zostali powtórnie losowo przydzieleni do grupy otrzymującej placebo w porównaniu do 5% pacjentów kontynuujących leczenie adalimumabem, p &lt; 0,001, wystąpiła „utrata adekwatnej odpowiedzi na leczenie” (punktacja PASI po 33. tygodniu oraz w 52. tygodniu lub przed 52. tygodniem, co dało odpowiedź &lt; PASI 50 w stosunku do wartości wyjściowych z co najmniej 6-punktowym zwiększeniem w punktacji PASI w stosunku do 33. tygodnia). Spośród pacjentów, którzy „utracili adekwatną odpowiedź na leczenie” po powtórnym losowym przydzieleniu do grupy otrzymującej placebo, a których następnie włączono ponownie do otwartego badania kontynuacyjnego 38% (25/66) i 55% (36/66) odzyskało odpowiedź na leczenie PASI 75 po odpowiednio 12 i 24 tygodniach powtórnego leczenia.</w:t>
      </w:r>
    </w:p>
    <w:p w14:paraId="55231B13" w14:textId="77777777" w:rsidR="00C27F39" w:rsidRPr="008F328C" w:rsidRDefault="00C27F39" w:rsidP="00C27F39">
      <w:pPr>
        <w:spacing w:before="11" w:line="240" w:lineRule="exact"/>
        <w:rPr>
          <w:rFonts w:ascii="Times New Roman" w:hAnsi="Times New Roman" w:cs="Times New Roman"/>
          <w:sz w:val="24"/>
          <w:szCs w:val="24"/>
          <w:lang w:val="pl-PL"/>
        </w:rPr>
      </w:pPr>
    </w:p>
    <w:p w14:paraId="3ED28411" w14:textId="77777777" w:rsidR="00C27F39" w:rsidRPr="008F328C" w:rsidRDefault="00C27F39" w:rsidP="00C27F39">
      <w:pPr>
        <w:pStyle w:val="a3"/>
        <w:rPr>
          <w:lang w:val="pl-PL"/>
        </w:rPr>
      </w:pPr>
      <w:r w:rsidRPr="008F328C">
        <w:rPr>
          <w:rFonts w:eastAsia="Times New Roman"/>
          <w:lang w:val="pl-PL"/>
        </w:rPr>
        <w:t>Łącznie 233 pacjentów, którzy w 16. i 33. tygodniu wykazali odpowiedź na leczenie PASI 75, otrzymywało adalimumab przez 52 tygodnie w ramach badania I w łuszczycy, a następnie w otwartym badaniu kontynuacyjnym. U tych pacjentów, po dodatkowych 108 tygodniach leczenia w badaniu otwartym (łącznie 160 tygodni) odsetki odpowiedzi na leczenie PASI 75 i PGA określana jako „czysta” lub „prawie czysta” wynosiły odpowiednio 74,7% i 59,0%. Analiza, w której za nieodpowiadających na leczenie uznano wszystkich tych pacjentów, którzy przerwali udział w badaniu z powodu zdarzeń niepożądanych lub braku skuteczności leczenia albo u których konieczne było znaczne zwiększenie dawki, wykazała że odsetki odpowiedzi PASI 75 i PGA określana jako „czysta” lub „prawie czysta” wynosiły u tych pacjentów odpowiednio 69,6% i 55,7% po dodatkowych 108 tygodniach leczenia w otwartym badaniu kontynuacyjnym (łącznie 160 tygodni).</w:t>
      </w:r>
    </w:p>
    <w:p w14:paraId="2D2143B0" w14:textId="77777777" w:rsidR="00C27F39" w:rsidRPr="008F328C" w:rsidRDefault="00C27F39" w:rsidP="00C27F39">
      <w:pPr>
        <w:spacing w:before="13" w:line="240" w:lineRule="exact"/>
        <w:rPr>
          <w:rFonts w:ascii="Times New Roman" w:hAnsi="Times New Roman" w:cs="Times New Roman"/>
          <w:sz w:val="24"/>
          <w:szCs w:val="24"/>
          <w:lang w:val="pl-PL"/>
        </w:rPr>
      </w:pPr>
    </w:p>
    <w:p w14:paraId="702E83A9" w14:textId="77777777" w:rsidR="00C27F39" w:rsidRPr="008F328C" w:rsidRDefault="00C27F39" w:rsidP="00C27F39">
      <w:pPr>
        <w:pStyle w:val="a3"/>
        <w:rPr>
          <w:lang w:val="pl-PL"/>
        </w:rPr>
      </w:pPr>
      <w:r w:rsidRPr="008F328C">
        <w:rPr>
          <w:rFonts w:eastAsia="Times New Roman"/>
          <w:lang w:val="pl-PL"/>
        </w:rPr>
        <w:lastRenderedPageBreak/>
        <w:t>U łącznie 347 pacjentów, wykazujących stałą odpowiedź na leczenie, dokonano oceny w okresie zaprzestania leczenia oraz po wznowieniu leczenia w otwartym badaniu kontynuacyjnym. W okresie w którym zaprzestano leczenia, objawy łuszczycy z czasem nawróciły, a mediana czasu do nawrotu objawów choroby (obniżenie oceny PGA do „umiarkowana” lub jeszcze gorszy wynik) wynosiła około 5 miesięcy. U żadnego z tych pacjentów nie wystąpił pełny nawrót choroby w okresie zaprzestania leczenia. Po 16 tygodniach powtórnego leczenia, odpowiedź ocenianą jako PGA „czysta” lub „prawie czysta” uzyskano łącznie u 76,5% (218/285) pacjentów, którzy wznowili leczenie, niezależnie od tego czy doszło do nawrotu objawów w okresie zaprzestania leczenia (69,1% [123/178] pacjentów, u których w okresie zaprzestania leczenia doszło do nawrotu objawów choroby i 88,8% [95/107] pacjentów, u których nie doszło do nawrotu choroby). W okresie powtórnego leczenia obserwowano podobny profil bezpieczeństwa jak przed zaprzestaniem leczenia.</w:t>
      </w:r>
    </w:p>
    <w:p w14:paraId="437DEA99" w14:textId="77777777" w:rsidR="00C27F39" w:rsidRPr="008F328C" w:rsidRDefault="00C27F39" w:rsidP="00C27F39">
      <w:pPr>
        <w:pStyle w:val="a3"/>
        <w:rPr>
          <w:lang w:val="pl-PL"/>
        </w:rPr>
      </w:pPr>
    </w:p>
    <w:p w14:paraId="509DC154" w14:textId="77777777" w:rsidR="00C27F39" w:rsidRPr="008F328C" w:rsidRDefault="00C27F39" w:rsidP="00C27F39">
      <w:pPr>
        <w:pStyle w:val="a3"/>
        <w:rPr>
          <w:lang w:val="pl-PL"/>
        </w:rPr>
      </w:pPr>
      <w:r w:rsidRPr="008F328C">
        <w:rPr>
          <w:rFonts w:eastAsia="Times New Roman"/>
          <w:lang w:val="pl-PL"/>
        </w:rPr>
        <w:t>W 16. tygodniu uzyskano istotną poprawę wskaźnika jakości życia zależnej od dolegliwości skórnych (ang. Dermatology Life Quality Index, DLQI) w stosunku do wartości wyjściowych w porównaniu do placebo (badania I i II) oraz metotreksatu (badanie II). W badaniu I poprawa sumarycznej punktacji składowych dotyczących sprawności fizycznej i psychicznej w kwestionariuszu SF-36 była również istotna w porównaniu do placebo.</w:t>
      </w:r>
    </w:p>
    <w:p w14:paraId="4F0E93DF" w14:textId="77777777" w:rsidR="00C27F39" w:rsidRPr="008F328C" w:rsidRDefault="00C27F39" w:rsidP="00C27F39">
      <w:pPr>
        <w:spacing w:before="13" w:line="240" w:lineRule="exact"/>
        <w:rPr>
          <w:rFonts w:ascii="Times New Roman" w:hAnsi="Times New Roman" w:cs="Times New Roman"/>
          <w:sz w:val="24"/>
          <w:szCs w:val="24"/>
          <w:lang w:val="pl-PL"/>
        </w:rPr>
      </w:pPr>
    </w:p>
    <w:p w14:paraId="7D4BC27A" w14:textId="77777777" w:rsidR="00C27F39" w:rsidRPr="008F328C" w:rsidRDefault="00C27F39" w:rsidP="00C27F39">
      <w:pPr>
        <w:pStyle w:val="a3"/>
        <w:rPr>
          <w:lang w:val="pl-PL"/>
        </w:rPr>
      </w:pPr>
      <w:r w:rsidRPr="008F328C">
        <w:rPr>
          <w:rFonts w:eastAsia="Times New Roman"/>
          <w:lang w:val="pl-PL"/>
        </w:rPr>
        <w:t>W otwartym badaniu kontynuacyjnym spośród pacjentów, którym zwiększono dawkę z 40 mg co drugi tydzień do 40 mg co tydzień z powodu odpowiedzi PASI mniejszej niż 50%, 26,4% (92/349) i 37,8% (132/349) pacjentów osiągnęło odpowiedź PASI 75 odpowiednio w tygodniu 12 i 24.</w:t>
      </w:r>
    </w:p>
    <w:p w14:paraId="5E70B4CF" w14:textId="77777777" w:rsidR="00C27F39" w:rsidRPr="008F328C" w:rsidRDefault="00C27F39" w:rsidP="00C27F39">
      <w:pPr>
        <w:spacing w:before="17" w:line="240" w:lineRule="exact"/>
        <w:rPr>
          <w:rFonts w:ascii="Times New Roman" w:hAnsi="Times New Roman" w:cs="Times New Roman"/>
          <w:sz w:val="24"/>
          <w:szCs w:val="24"/>
          <w:lang w:val="pl-PL"/>
        </w:rPr>
      </w:pPr>
    </w:p>
    <w:p w14:paraId="24D55805" w14:textId="77777777" w:rsidR="00C27F39" w:rsidRPr="008F328C" w:rsidRDefault="00C27F39" w:rsidP="00C27F39">
      <w:pPr>
        <w:pStyle w:val="a3"/>
        <w:rPr>
          <w:lang w:val="pl-PL"/>
        </w:rPr>
      </w:pPr>
      <w:r w:rsidRPr="008F328C">
        <w:rPr>
          <w:rFonts w:eastAsia="Times New Roman"/>
          <w:lang w:val="pl-PL"/>
        </w:rPr>
        <w:t xml:space="preserve">W badaniu III w łuszczycy (REACH) porównywano skuteczność i bezpieczeństwo stosowania adalimumabu </w:t>
      </w:r>
      <w:r w:rsidRPr="008F328C">
        <w:rPr>
          <w:rFonts w:eastAsia="Times New Roman"/>
          <w:i/>
          <w:iCs/>
          <w:lang w:val="pl-PL"/>
        </w:rPr>
        <w:t>versus</w:t>
      </w:r>
      <w:r w:rsidRPr="008F328C">
        <w:rPr>
          <w:rFonts w:eastAsia="Times New Roman"/>
          <w:lang w:val="pl-PL"/>
        </w:rPr>
        <w:t xml:space="preserve"> placebo u 72 pacjentów z przewlekłą łuszczycą zwyczajną (plackowatą) o nasileniu umiarkowanym do ciężkiego oraz z łuszczycą dłoni i (lub) stóp. Pacjenci otrzymywali adalimumab w dawce początkowej 80 mg, a następnie 40 mg co drugi tydzień (po upływie jednego tygodnia od podania dawki początkowej) lub placebo przez 16 tygodni. W 16. tygodniu statystycznie istotnie większy odsetek pacjentów, którzy otrzymywali adalimumab, osiągnął ocenę PGA „czysta” lub „prawie czysta” dla zmian na dłoniach i (lub) stopach w porównaniu do pacjentów, którzy otrzymywali placebo (odpowiednio 30,6 % w porównaniu do 4,3% [P=0,014]).</w:t>
      </w:r>
    </w:p>
    <w:p w14:paraId="279E8418" w14:textId="77777777" w:rsidR="00C27F39" w:rsidRPr="008F328C" w:rsidRDefault="00C27F39" w:rsidP="00C27F39">
      <w:pPr>
        <w:spacing w:before="13" w:line="240" w:lineRule="exact"/>
        <w:rPr>
          <w:rFonts w:ascii="Times New Roman" w:hAnsi="Times New Roman" w:cs="Times New Roman"/>
          <w:sz w:val="24"/>
          <w:szCs w:val="24"/>
          <w:lang w:val="pl-PL"/>
        </w:rPr>
      </w:pPr>
    </w:p>
    <w:p w14:paraId="073E631D" w14:textId="5E7B9674" w:rsidR="00C27F39" w:rsidRPr="008F328C" w:rsidRDefault="00C27F39" w:rsidP="00C27F39">
      <w:pPr>
        <w:pStyle w:val="a3"/>
        <w:rPr>
          <w:rFonts w:eastAsia="Times New Roman"/>
          <w:lang w:val="pl-PL"/>
        </w:rPr>
      </w:pPr>
      <w:r w:rsidRPr="008F328C">
        <w:rPr>
          <w:rFonts w:eastAsia="Times New Roman"/>
          <w:lang w:val="pl-PL"/>
        </w:rPr>
        <w:t xml:space="preserve">W badaniu IV w łuszczycy porównywano skuteczność i bezpieczeństwo stosowania adalimumabu z placebo u 217 dorosłych pacjentów z łuszczycą paznokci o nasileniu umiarkowanym do ciężkiego. Pacjenci otrzymywali adalimumab w dawce początkowej 80 mg, a następnie 40 mg co drugi tydzień (po upływie jednego tygodnia od podania dawki początkowej) lub placebo przez 26 tygodni, a następnie leczenie adalimumabem w próbie otwartej przez dodatkowych 26 tygodni. Ocena łuszczycy paznokci obejmowała zmodyfikowany wskaźnik nasilenia łuszczycy paznokci (ang. Modified Nail Psoriasis Severity Index, mNAPSI), ogólną ocenę lekarską łuszczycy paznokci rąk (ang. Physician’s Global Assessment of Fingernail Psoriasis, PGA-F) oraz wskaźnik nasilenia łuszczycy paznokci (ang. Nail Psoriasis Severity Index, NAPSI) (patrz Tabela </w:t>
      </w:r>
      <w:r w:rsidR="00270309" w:rsidRPr="008F328C">
        <w:rPr>
          <w:rFonts w:eastAsia="Times New Roman"/>
          <w:lang w:val="pl-PL"/>
        </w:rPr>
        <w:t>13</w:t>
      </w:r>
      <w:r w:rsidRPr="008F328C">
        <w:rPr>
          <w:rFonts w:eastAsia="Times New Roman"/>
          <w:lang w:val="pl-PL"/>
        </w:rPr>
        <w:t>). U pacjentów z łuszczycą paznokci z różną powierzchnią ciała (ang. Body Surface Area, BSA) zajętą przez zmiany łuszczycowe [BSA ≥ 10% (60% pacjentów) oraz BSA&lt;10% i ≥5% (40% pacjentów)] wykazano korzyści leczenia adalimumabem.</w:t>
      </w:r>
    </w:p>
    <w:p w14:paraId="7F6D1391" w14:textId="77777777" w:rsidR="00C27F39" w:rsidRPr="008F328C" w:rsidRDefault="00C27F39" w:rsidP="00C27F39">
      <w:pPr>
        <w:pStyle w:val="a3"/>
        <w:rPr>
          <w:lang w:val="pl-PL"/>
        </w:rPr>
      </w:pPr>
    </w:p>
    <w:p w14:paraId="16949F2F" w14:textId="28F3FD22"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13</w:t>
      </w:r>
    </w:p>
    <w:p w14:paraId="5EAB8B24" w14:textId="77777777" w:rsidR="00C27F39" w:rsidRPr="008F328C" w:rsidRDefault="00C27F39" w:rsidP="00C27F39">
      <w:pPr>
        <w:pStyle w:val="a3"/>
        <w:jc w:val="center"/>
        <w:rPr>
          <w:b/>
          <w:lang w:val="pl-PL"/>
        </w:rPr>
      </w:pPr>
      <w:r w:rsidRPr="008F328C">
        <w:rPr>
          <w:rFonts w:eastAsia="Times New Roman"/>
          <w:b/>
          <w:bCs/>
          <w:lang w:val="pl-PL"/>
        </w:rPr>
        <w:t>Badanie IV w łuszczycy – wyniki skuteczności w 16, 26 i 52. tygodniu</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C27F39" w:rsidRPr="00494296" w14:paraId="2F5DA8F7" w14:textId="77777777" w:rsidTr="00ED6A7B">
        <w:tc>
          <w:tcPr>
            <w:tcW w:w="2719" w:type="dxa"/>
            <w:vMerge w:val="restart"/>
            <w:tcBorders>
              <w:top w:val="single" w:sz="5" w:space="0" w:color="000000"/>
              <w:left w:val="single" w:sz="5" w:space="0" w:color="000000"/>
              <w:right w:val="single" w:sz="5" w:space="0" w:color="000000"/>
            </w:tcBorders>
          </w:tcPr>
          <w:p w14:paraId="7605BF56"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Punkt końcowy</w:t>
            </w:r>
          </w:p>
        </w:tc>
        <w:tc>
          <w:tcPr>
            <w:tcW w:w="2340" w:type="dxa"/>
            <w:gridSpan w:val="2"/>
            <w:tcBorders>
              <w:top w:val="single" w:sz="5" w:space="0" w:color="000000"/>
              <w:left w:val="single" w:sz="5" w:space="0" w:color="000000"/>
              <w:bottom w:val="single" w:sz="5" w:space="0" w:color="000000"/>
              <w:right w:val="single" w:sz="5" w:space="0" w:color="000000"/>
            </w:tcBorders>
          </w:tcPr>
          <w:p w14:paraId="558A4F96" w14:textId="77777777" w:rsidR="00C27F39" w:rsidRPr="008F328C" w:rsidRDefault="00C27F39" w:rsidP="00ED6A7B">
            <w:pPr>
              <w:pStyle w:val="TableParagraph"/>
              <w:spacing w:line="246" w:lineRule="exact"/>
              <w:ind w:right="4"/>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16. tydzień</w:t>
            </w:r>
          </w:p>
          <w:p w14:paraId="361C0562" w14:textId="77777777" w:rsidR="00C27F39" w:rsidRPr="008F328C" w:rsidRDefault="00C27F39" w:rsidP="00ED6A7B">
            <w:pPr>
              <w:pStyle w:val="TableParagraph"/>
              <w:spacing w:line="252" w:lineRule="exact"/>
              <w:ind w:left="293" w:right="295"/>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6C075CE9" w14:textId="77777777" w:rsidR="00C27F39" w:rsidRPr="008F328C" w:rsidRDefault="00C27F39" w:rsidP="00ED6A7B">
            <w:pPr>
              <w:pStyle w:val="TableParagraph"/>
              <w:spacing w:line="246" w:lineRule="exact"/>
              <w:ind w:left="705" w:right="710"/>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26. tydzień</w:t>
            </w:r>
          </w:p>
          <w:p w14:paraId="71844E74" w14:textId="77777777" w:rsidR="00C27F39" w:rsidRPr="008F328C" w:rsidRDefault="00C27F39" w:rsidP="00ED6A7B">
            <w:pPr>
              <w:pStyle w:val="TableParagraph"/>
              <w:spacing w:line="252" w:lineRule="exact"/>
              <w:ind w:left="247" w:right="249"/>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Kontrolowane placebo</w:t>
            </w:r>
          </w:p>
        </w:tc>
        <w:tc>
          <w:tcPr>
            <w:tcW w:w="2268" w:type="dxa"/>
            <w:tcBorders>
              <w:top w:val="single" w:sz="5" w:space="0" w:color="000000"/>
              <w:left w:val="single" w:sz="5" w:space="0" w:color="000000"/>
              <w:bottom w:val="single" w:sz="5" w:space="0" w:color="000000"/>
              <w:right w:val="single" w:sz="5" w:space="0" w:color="000000"/>
            </w:tcBorders>
          </w:tcPr>
          <w:p w14:paraId="7BC2A30F" w14:textId="77777777" w:rsidR="00C27F39" w:rsidRPr="008F328C" w:rsidRDefault="00C27F39" w:rsidP="00ED6A7B">
            <w:pPr>
              <w:pStyle w:val="TableParagraph"/>
              <w:spacing w:line="246" w:lineRule="exact"/>
              <w:ind w:left="733"/>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52. tydzień</w:t>
            </w:r>
          </w:p>
          <w:p w14:paraId="74F67E71" w14:textId="77777777" w:rsidR="00C27F39" w:rsidRPr="008F328C" w:rsidRDefault="00C27F39" w:rsidP="00ED6A7B">
            <w:pPr>
              <w:pStyle w:val="TableParagraph"/>
              <w:spacing w:line="252" w:lineRule="exact"/>
              <w:ind w:left="63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Próba otwarta</w:t>
            </w:r>
          </w:p>
        </w:tc>
      </w:tr>
      <w:tr w:rsidR="00C27F39" w:rsidRPr="00FE49E6" w14:paraId="15981BDC" w14:textId="77777777" w:rsidTr="00ED6A7B">
        <w:tc>
          <w:tcPr>
            <w:tcW w:w="2719" w:type="dxa"/>
            <w:vMerge/>
            <w:tcBorders>
              <w:left w:val="single" w:sz="5" w:space="0" w:color="000000"/>
              <w:bottom w:val="single" w:sz="5" w:space="0" w:color="000000"/>
              <w:right w:val="single" w:sz="5" w:space="0" w:color="000000"/>
            </w:tcBorders>
          </w:tcPr>
          <w:p w14:paraId="3727E592" w14:textId="77777777" w:rsidR="00C27F39" w:rsidRPr="008F328C" w:rsidRDefault="00C27F39" w:rsidP="00ED6A7B">
            <w:pPr>
              <w:rPr>
                <w:rFonts w:ascii="Times New Roman" w:hAnsi="Times New Roman" w:cs="Times New Roman"/>
                <w:lang w:val="pl-PL"/>
              </w:rPr>
            </w:pPr>
          </w:p>
        </w:tc>
        <w:tc>
          <w:tcPr>
            <w:tcW w:w="1080" w:type="dxa"/>
            <w:tcBorders>
              <w:top w:val="single" w:sz="5" w:space="0" w:color="000000"/>
              <w:left w:val="single" w:sz="5" w:space="0" w:color="000000"/>
              <w:bottom w:val="single" w:sz="5" w:space="0" w:color="000000"/>
              <w:right w:val="single" w:sz="5" w:space="0" w:color="000000"/>
            </w:tcBorders>
          </w:tcPr>
          <w:p w14:paraId="109EE3B7"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3A929682" w14:textId="77777777" w:rsidR="00C27F39" w:rsidRPr="008F328C" w:rsidRDefault="00C27F39" w:rsidP="00ED6A7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24A4C774" w14:textId="77777777" w:rsidR="00C27F39" w:rsidRPr="008F328C" w:rsidRDefault="00C27F39" w:rsidP="00ED6A7B">
            <w:pPr>
              <w:pStyle w:val="TableParagraph"/>
              <w:spacing w:line="246" w:lineRule="exact"/>
              <w:jc w:val="center"/>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Adalimumab 40 mg, co drugi tydzień </w:t>
            </w:r>
          </w:p>
          <w:p w14:paraId="608478E4"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N=109</w:t>
            </w:r>
          </w:p>
        </w:tc>
        <w:tc>
          <w:tcPr>
            <w:tcW w:w="989" w:type="dxa"/>
            <w:tcBorders>
              <w:top w:val="single" w:sz="5" w:space="0" w:color="000000"/>
              <w:left w:val="single" w:sz="5" w:space="0" w:color="000000"/>
              <w:bottom w:val="single" w:sz="5" w:space="0" w:color="000000"/>
              <w:right w:val="single" w:sz="5" w:space="0" w:color="000000"/>
            </w:tcBorders>
          </w:tcPr>
          <w:p w14:paraId="551EB52B"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16191382" w14:textId="77777777" w:rsidR="00C27F39" w:rsidRPr="008F328C" w:rsidRDefault="00C27F39" w:rsidP="00ED6A7B">
            <w:pPr>
              <w:pStyle w:val="TableParagraph"/>
              <w:spacing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N=108</w:t>
            </w:r>
          </w:p>
        </w:tc>
        <w:tc>
          <w:tcPr>
            <w:tcW w:w="1260" w:type="dxa"/>
            <w:tcBorders>
              <w:top w:val="single" w:sz="5" w:space="0" w:color="000000"/>
              <w:left w:val="single" w:sz="5" w:space="0" w:color="000000"/>
              <w:bottom w:val="single" w:sz="5" w:space="0" w:color="000000"/>
              <w:right w:val="single" w:sz="5" w:space="0" w:color="000000"/>
            </w:tcBorders>
          </w:tcPr>
          <w:p w14:paraId="5B0E1062"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4597553F" w14:textId="77777777" w:rsidR="00C27F39" w:rsidRPr="008F328C" w:rsidRDefault="00C27F39" w:rsidP="00ED6A7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59AE1CF7" w14:textId="77777777" w:rsidR="00C27F39" w:rsidRPr="008F328C" w:rsidRDefault="00C27F39" w:rsidP="00ED6A7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N=109</w:t>
            </w:r>
          </w:p>
        </w:tc>
        <w:tc>
          <w:tcPr>
            <w:tcW w:w="2268" w:type="dxa"/>
            <w:tcBorders>
              <w:top w:val="single" w:sz="5" w:space="0" w:color="000000"/>
              <w:left w:val="single" w:sz="5" w:space="0" w:color="000000"/>
              <w:bottom w:val="single" w:sz="5" w:space="0" w:color="000000"/>
              <w:right w:val="single" w:sz="5" w:space="0" w:color="000000"/>
            </w:tcBorders>
          </w:tcPr>
          <w:p w14:paraId="079A09B9"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3B73B774" w14:textId="77777777" w:rsidR="00C27F39" w:rsidRPr="008F328C" w:rsidRDefault="00C27F39" w:rsidP="00ED6A7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xml:space="preserve">40 mg, co drugi tydzień </w:t>
            </w:r>
          </w:p>
          <w:p w14:paraId="6151AE49" w14:textId="77777777" w:rsidR="00C27F39" w:rsidRPr="008F328C" w:rsidRDefault="00C27F39" w:rsidP="00ED6A7B">
            <w:pPr>
              <w:pStyle w:val="TableParagraph"/>
              <w:spacing w:before="1" w:line="254"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N=80</w:t>
            </w:r>
          </w:p>
        </w:tc>
      </w:tr>
      <w:tr w:rsidR="00C27F39" w:rsidRPr="008F328C" w14:paraId="0CFD7FBC" w14:textId="77777777" w:rsidTr="00ED6A7B">
        <w:tc>
          <w:tcPr>
            <w:tcW w:w="2719" w:type="dxa"/>
            <w:tcBorders>
              <w:top w:val="single" w:sz="5" w:space="0" w:color="000000"/>
              <w:left w:val="single" w:sz="5" w:space="0" w:color="000000"/>
              <w:bottom w:val="single" w:sz="5" w:space="0" w:color="000000"/>
              <w:right w:val="single" w:sz="5" w:space="0" w:color="000000"/>
            </w:tcBorders>
          </w:tcPr>
          <w:p w14:paraId="07718BA3"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 mNAPSI 75 (%)</w:t>
            </w:r>
          </w:p>
        </w:tc>
        <w:tc>
          <w:tcPr>
            <w:tcW w:w="1080" w:type="dxa"/>
            <w:tcBorders>
              <w:top w:val="single" w:sz="5" w:space="0" w:color="000000"/>
              <w:left w:val="single" w:sz="5" w:space="0" w:color="000000"/>
              <w:bottom w:val="single" w:sz="5" w:space="0" w:color="000000"/>
              <w:right w:val="single" w:sz="5" w:space="0" w:color="000000"/>
            </w:tcBorders>
          </w:tcPr>
          <w:p w14:paraId="2A068EFC" w14:textId="77777777" w:rsidR="00C27F39" w:rsidRPr="008F328C" w:rsidRDefault="00C27F39" w:rsidP="00ED6A7B">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58A817D0" w14:textId="77777777" w:rsidR="00C27F39" w:rsidRPr="008F328C" w:rsidRDefault="00C27F39" w:rsidP="00ED6A7B">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26,0</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43A65E3B" w14:textId="77777777" w:rsidR="00C27F39" w:rsidRPr="008F328C" w:rsidRDefault="00C27F39" w:rsidP="00ED6A7B">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3,4</w:t>
            </w:r>
          </w:p>
        </w:tc>
        <w:tc>
          <w:tcPr>
            <w:tcW w:w="1260" w:type="dxa"/>
            <w:tcBorders>
              <w:top w:val="single" w:sz="5" w:space="0" w:color="000000"/>
              <w:left w:val="single" w:sz="5" w:space="0" w:color="000000"/>
              <w:bottom w:val="single" w:sz="5" w:space="0" w:color="000000"/>
              <w:right w:val="single" w:sz="5" w:space="0" w:color="000000"/>
            </w:tcBorders>
          </w:tcPr>
          <w:p w14:paraId="6079C4D7" w14:textId="77777777" w:rsidR="00C27F39" w:rsidRPr="008F328C" w:rsidRDefault="00C27F39" w:rsidP="00ED6A7B">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46,6</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3A8149EB" w14:textId="77777777" w:rsidR="00C27F39" w:rsidRPr="008F328C" w:rsidRDefault="00C27F39" w:rsidP="00ED6A7B">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65,0</w:t>
            </w:r>
          </w:p>
        </w:tc>
      </w:tr>
      <w:tr w:rsidR="00C27F39" w:rsidRPr="008F328C" w14:paraId="7D5D3C24" w14:textId="77777777" w:rsidTr="00ED6A7B">
        <w:tc>
          <w:tcPr>
            <w:tcW w:w="2719" w:type="dxa"/>
            <w:tcBorders>
              <w:top w:val="single" w:sz="5" w:space="0" w:color="000000"/>
              <w:left w:val="single" w:sz="5" w:space="0" w:color="000000"/>
              <w:bottom w:val="single" w:sz="5" w:space="0" w:color="000000"/>
              <w:right w:val="single" w:sz="5" w:space="0" w:color="000000"/>
            </w:tcBorders>
          </w:tcPr>
          <w:p w14:paraId="741A0E15"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PGA-F czysta/minimalna oraz</w:t>
            </w: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poprawa ≥ 2. stopnia (%)</w:t>
            </w:r>
          </w:p>
        </w:tc>
        <w:tc>
          <w:tcPr>
            <w:tcW w:w="1080" w:type="dxa"/>
            <w:tcBorders>
              <w:top w:val="single" w:sz="5" w:space="0" w:color="000000"/>
              <w:left w:val="single" w:sz="5" w:space="0" w:color="000000"/>
              <w:bottom w:val="single" w:sz="5" w:space="0" w:color="000000"/>
              <w:right w:val="single" w:sz="5" w:space="0" w:color="000000"/>
            </w:tcBorders>
          </w:tcPr>
          <w:p w14:paraId="269B4413" w14:textId="77777777" w:rsidR="00C27F39" w:rsidRPr="008F328C" w:rsidRDefault="00C27F39" w:rsidP="00ED6A7B">
            <w:pPr>
              <w:pStyle w:val="TableParagraph"/>
              <w:spacing w:line="246" w:lineRule="exact"/>
              <w:ind w:left="373" w:right="38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2,9</w:t>
            </w:r>
          </w:p>
        </w:tc>
        <w:tc>
          <w:tcPr>
            <w:tcW w:w="1260" w:type="dxa"/>
            <w:tcBorders>
              <w:top w:val="single" w:sz="5" w:space="0" w:color="000000"/>
              <w:left w:val="single" w:sz="5" w:space="0" w:color="000000"/>
              <w:bottom w:val="single" w:sz="5" w:space="0" w:color="000000"/>
              <w:right w:val="single" w:sz="5" w:space="0" w:color="000000"/>
            </w:tcBorders>
          </w:tcPr>
          <w:p w14:paraId="2D8F5DE7" w14:textId="77777777" w:rsidR="00C27F39" w:rsidRPr="008F328C" w:rsidRDefault="00C27F39" w:rsidP="00ED6A7B">
            <w:pPr>
              <w:pStyle w:val="TableParagraph"/>
              <w:spacing w:line="246" w:lineRule="exact"/>
              <w:ind w:left="397"/>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29,7</w:t>
            </w:r>
            <w:r w:rsidRPr="008F328C">
              <w:rPr>
                <w:rFonts w:ascii="Times New Roman" w:eastAsia="Times New Roman" w:hAnsi="Times New Roman" w:cs="Times New Roman"/>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701227F4" w14:textId="77777777" w:rsidR="00C27F39" w:rsidRPr="008F328C" w:rsidRDefault="00C27F39" w:rsidP="00ED6A7B">
            <w:pPr>
              <w:pStyle w:val="TableParagraph"/>
              <w:spacing w:line="246" w:lineRule="exact"/>
              <w:ind w:left="327" w:right="334"/>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6,9</w:t>
            </w:r>
          </w:p>
        </w:tc>
        <w:tc>
          <w:tcPr>
            <w:tcW w:w="1260" w:type="dxa"/>
            <w:tcBorders>
              <w:top w:val="single" w:sz="5" w:space="0" w:color="000000"/>
              <w:left w:val="single" w:sz="5" w:space="0" w:color="000000"/>
              <w:bottom w:val="single" w:sz="5" w:space="0" w:color="000000"/>
              <w:right w:val="single" w:sz="5" w:space="0" w:color="000000"/>
            </w:tcBorders>
          </w:tcPr>
          <w:p w14:paraId="0393AEF6" w14:textId="77777777" w:rsidR="00C27F39" w:rsidRPr="008F328C" w:rsidRDefault="00C27F39" w:rsidP="00ED6A7B">
            <w:pPr>
              <w:pStyle w:val="TableParagraph"/>
              <w:spacing w:line="246" w:lineRule="exact"/>
              <w:ind w:left="399"/>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48,9</w:t>
            </w:r>
            <w:r w:rsidRPr="008F328C">
              <w:rPr>
                <w:rFonts w:ascii="Times New Roman" w:eastAsia="Times New Roman" w:hAnsi="Times New Roman" w:cs="Times New Roman"/>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53ABB575" w14:textId="77777777" w:rsidR="00C27F39" w:rsidRPr="008F328C" w:rsidRDefault="00C27F39" w:rsidP="00ED6A7B">
            <w:pPr>
              <w:pStyle w:val="TableParagraph"/>
              <w:spacing w:line="246" w:lineRule="exact"/>
              <w:ind w:left="916" w:right="91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61,3</w:t>
            </w:r>
          </w:p>
        </w:tc>
      </w:tr>
      <w:tr w:rsidR="00C27F39" w:rsidRPr="008F328C" w14:paraId="10A060EA" w14:textId="77777777" w:rsidTr="00ED6A7B">
        <w:tc>
          <w:tcPr>
            <w:tcW w:w="2719" w:type="dxa"/>
            <w:tcBorders>
              <w:top w:val="single" w:sz="5" w:space="0" w:color="000000"/>
              <w:left w:val="single" w:sz="5" w:space="0" w:color="000000"/>
              <w:bottom w:val="single" w:sz="5" w:space="0" w:color="000000"/>
              <w:right w:val="single" w:sz="5" w:space="0" w:color="000000"/>
            </w:tcBorders>
          </w:tcPr>
          <w:p w14:paraId="7CD92DD5"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Odsetek zmiany w całkowitej</w:t>
            </w:r>
          </w:p>
          <w:p w14:paraId="32C02EDA" w14:textId="77777777" w:rsidR="00C27F39" w:rsidRPr="008F328C" w:rsidRDefault="00C27F39" w:rsidP="00ED6A7B">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ocenie paznokci rąk w skali NAPSI (%)</w:t>
            </w:r>
          </w:p>
        </w:tc>
        <w:tc>
          <w:tcPr>
            <w:tcW w:w="1080" w:type="dxa"/>
            <w:tcBorders>
              <w:top w:val="single" w:sz="5" w:space="0" w:color="000000"/>
              <w:left w:val="single" w:sz="5" w:space="0" w:color="000000"/>
              <w:bottom w:val="single" w:sz="5" w:space="0" w:color="000000"/>
              <w:right w:val="single" w:sz="5" w:space="0" w:color="000000"/>
            </w:tcBorders>
          </w:tcPr>
          <w:p w14:paraId="11D23F62" w14:textId="77777777" w:rsidR="00C27F39" w:rsidRPr="008F328C" w:rsidRDefault="00C27F39" w:rsidP="00ED6A7B">
            <w:pPr>
              <w:pStyle w:val="TableParagraph"/>
              <w:spacing w:line="246" w:lineRule="exact"/>
              <w:ind w:left="337" w:right="346"/>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-7,8</w:t>
            </w:r>
          </w:p>
        </w:tc>
        <w:tc>
          <w:tcPr>
            <w:tcW w:w="1260" w:type="dxa"/>
            <w:tcBorders>
              <w:top w:val="single" w:sz="5" w:space="0" w:color="000000"/>
              <w:left w:val="single" w:sz="5" w:space="0" w:color="000000"/>
              <w:bottom w:val="single" w:sz="5" w:space="0" w:color="000000"/>
              <w:right w:val="single" w:sz="5" w:space="0" w:color="000000"/>
            </w:tcBorders>
          </w:tcPr>
          <w:p w14:paraId="49D65271" w14:textId="77777777" w:rsidR="00C27F39" w:rsidRPr="008F328C" w:rsidRDefault="00C27F39" w:rsidP="00ED6A7B">
            <w:pPr>
              <w:pStyle w:val="TableParagraph"/>
              <w:spacing w:line="246" w:lineRule="exact"/>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 xml:space="preserve">-44,2 </w:t>
            </w:r>
            <w:r w:rsidRPr="008F328C">
              <w:rPr>
                <w:rFonts w:ascii="Times New Roman" w:eastAsia="Times New Roman" w:hAnsi="Times New Roman" w:cs="Times New Roman"/>
                <w:spacing w:val="-4"/>
                <w:sz w:val="14"/>
                <w:szCs w:val="14"/>
                <w:lang w:val="pl-PL"/>
              </w:rPr>
              <w:t>a</w:t>
            </w:r>
          </w:p>
        </w:tc>
        <w:tc>
          <w:tcPr>
            <w:tcW w:w="989" w:type="dxa"/>
            <w:tcBorders>
              <w:top w:val="single" w:sz="5" w:space="0" w:color="000000"/>
              <w:left w:val="single" w:sz="5" w:space="0" w:color="000000"/>
              <w:bottom w:val="single" w:sz="5" w:space="0" w:color="000000"/>
              <w:right w:val="single" w:sz="5" w:space="0" w:color="000000"/>
            </w:tcBorders>
          </w:tcPr>
          <w:p w14:paraId="3E258999" w14:textId="77777777" w:rsidR="00C27F39" w:rsidRPr="008F328C" w:rsidRDefault="00C27F39" w:rsidP="00ED6A7B">
            <w:pPr>
              <w:pStyle w:val="TableParagraph"/>
              <w:spacing w:line="246" w:lineRule="exact"/>
              <w:ind w:left="255"/>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-11,5</w:t>
            </w:r>
          </w:p>
        </w:tc>
        <w:tc>
          <w:tcPr>
            <w:tcW w:w="1260" w:type="dxa"/>
            <w:tcBorders>
              <w:top w:val="single" w:sz="5" w:space="0" w:color="000000"/>
              <w:left w:val="single" w:sz="5" w:space="0" w:color="000000"/>
              <w:bottom w:val="single" w:sz="5" w:space="0" w:color="000000"/>
              <w:right w:val="single" w:sz="5" w:space="0" w:color="000000"/>
            </w:tcBorders>
          </w:tcPr>
          <w:p w14:paraId="411C9689" w14:textId="77777777" w:rsidR="00C27F39" w:rsidRPr="008F328C" w:rsidRDefault="00C27F39" w:rsidP="00ED6A7B">
            <w:pPr>
              <w:pStyle w:val="TableParagraph"/>
              <w:spacing w:line="246" w:lineRule="exact"/>
              <w:ind w:left="363"/>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4"/>
                <w:lang w:val="pl-PL"/>
              </w:rPr>
              <w:t>-56,2</w:t>
            </w:r>
            <w:r w:rsidRPr="008F328C">
              <w:rPr>
                <w:rFonts w:ascii="Times New Roman" w:eastAsia="Times New Roman" w:hAnsi="Times New Roman" w:cs="Times New Roman"/>
                <w:spacing w:val="-4"/>
                <w:vertAlign w:val="superscript"/>
                <w:lang w:val="pl-PL"/>
              </w:rPr>
              <w:t>a</w:t>
            </w:r>
          </w:p>
        </w:tc>
        <w:tc>
          <w:tcPr>
            <w:tcW w:w="2268" w:type="dxa"/>
            <w:tcBorders>
              <w:top w:val="single" w:sz="5" w:space="0" w:color="000000"/>
              <w:left w:val="single" w:sz="5" w:space="0" w:color="000000"/>
              <w:bottom w:val="single" w:sz="5" w:space="0" w:color="000000"/>
              <w:right w:val="single" w:sz="5" w:space="0" w:color="000000"/>
            </w:tcBorders>
          </w:tcPr>
          <w:p w14:paraId="00C7EB74" w14:textId="77777777" w:rsidR="00C27F39" w:rsidRPr="008F328C" w:rsidRDefault="00C27F39" w:rsidP="00ED6A7B">
            <w:pPr>
              <w:pStyle w:val="TableParagraph"/>
              <w:spacing w:line="246" w:lineRule="exact"/>
              <w:ind w:left="880" w:right="882"/>
              <w:jc w:val="center"/>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-72,2</w:t>
            </w:r>
          </w:p>
        </w:tc>
      </w:tr>
      <w:tr w:rsidR="00C27F39" w:rsidRPr="008F328C" w14:paraId="27740530" w14:textId="77777777" w:rsidTr="00ED6A7B">
        <w:tc>
          <w:tcPr>
            <w:tcW w:w="9576" w:type="dxa"/>
            <w:gridSpan w:val="6"/>
            <w:tcBorders>
              <w:top w:val="single" w:sz="5" w:space="0" w:color="000000"/>
              <w:left w:val="single" w:sz="5" w:space="0" w:color="000000"/>
              <w:bottom w:val="single" w:sz="5" w:space="0" w:color="000000"/>
              <w:right w:val="single" w:sz="5" w:space="0" w:color="000000"/>
            </w:tcBorders>
            <w:vAlign w:val="center"/>
          </w:tcPr>
          <w:p w14:paraId="73B2A515" w14:textId="77777777" w:rsidR="00C27F39" w:rsidRPr="008F328C" w:rsidRDefault="00C27F39" w:rsidP="00ED6A7B">
            <w:pPr>
              <w:pStyle w:val="TableParagraph"/>
              <w:spacing w:line="240" w:lineRule="atLeast"/>
              <w:ind w:left="101"/>
              <w:jc w:val="both"/>
              <w:rPr>
                <w:rFonts w:ascii="Times New Roman" w:eastAsia="Times New Roman" w:hAnsi="Times New Roman" w:cs="Times New Roman"/>
                <w:lang w:val="en-GB"/>
              </w:rPr>
            </w:pPr>
            <w:r w:rsidRPr="008F328C">
              <w:rPr>
                <w:rFonts w:ascii="Times New Roman" w:eastAsia="Times New Roman" w:hAnsi="Times New Roman" w:cs="Times New Roman"/>
                <w:position w:val="8"/>
                <w:vertAlign w:val="superscript"/>
                <w:lang w:val="en-GB"/>
              </w:rPr>
              <w:t xml:space="preserve">a </w:t>
            </w:r>
            <w:r w:rsidRPr="008F328C">
              <w:rPr>
                <w:rFonts w:ascii="Times New Roman" w:eastAsia="Times New Roman" w:hAnsi="Times New Roman" w:cs="Times New Roman"/>
                <w:position w:val="8"/>
                <w:lang w:val="en-GB"/>
              </w:rPr>
              <w:t xml:space="preserve">p &lt; 0,001 adalimumab </w:t>
            </w:r>
            <w:r w:rsidRPr="008F328C">
              <w:rPr>
                <w:rFonts w:ascii="Times New Roman" w:eastAsia="Times New Roman" w:hAnsi="Times New Roman" w:cs="Times New Roman"/>
                <w:i/>
                <w:iCs/>
                <w:position w:val="8"/>
                <w:lang w:val="en-GB"/>
              </w:rPr>
              <w:t xml:space="preserve">vs. </w:t>
            </w:r>
            <w:r w:rsidRPr="008F328C">
              <w:rPr>
                <w:rFonts w:ascii="Times New Roman" w:eastAsia="Times New Roman" w:hAnsi="Times New Roman" w:cs="Times New Roman"/>
                <w:position w:val="8"/>
                <w:lang w:val="en-GB"/>
              </w:rPr>
              <w:t>placebo</w:t>
            </w:r>
          </w:p>
        </w:tc>
      </w:tr>
    </w:tbl>
    <w:p w14:paraId="28F7C98C" w14:textId="77777777" w:rsidR="00C27F39" w:rsidRPr="008F328C" w:rsidRDefault="00C27F39" w:rsidP="00C27F39">
      <w:pPr>
        <w:spacing w:before="5" w:line="170" w:lineRule="exact"/>
        <w:rPr>
          <w:rFonts w:ascii="Times New Roman" w:hAnsi="Times New Roman" w:cs="Times New Roman"/>
          <w:sz w:val="17"/>
          <w:szCs w:val="17"/>
          <w:lang w:val="en-GB"/>
        </w:rPr>
      </w:pPr>
    </w:p>
    <w:p w14:paraId="44FBC1CC" w14:textId="77777777" w:rsidR="00C27F39" w:rsidRPr="008F328C" w:rsidRDefault="00C27F39" w:rsidP="00C27F39">
      <w:pPr>
        <w:pStyle w:val="a3"/>
        <w:rPr>
          <w:lang w:val="pl-PL"/>
        </w:rPr>
      </w:pPr>
      <w:r w:rsidRPr="008F328C">
        <w:rPr>
          <w:rFonts w:eastAsia="Times New Roman"/>
          <w:lang w:val="pl-PL"/>
        </w:rPr>
        <w:t>Pacjenci leczeni adalimumabem wykazali w 26. tygodniu statystycznie istotną poprawę wskaźnika DLQI w porównaniu do pacjentów otrzymujących placebo.</w:t>
      </w:r>
    </w:p>
    <w:p w14:paraId="094682F5" w14:textId="77777777" w:rsidR="00C27F39" w:rsidRPr="008F328C" w:rsidRDefault="00C27F39" w:rsidP="00C27F39">
      <w:pPr>
        <w:pStyle w:val="a3"/>
        <w:rPr>
          <w:sz w:val="24"/>
          <w:szCs w:val="24"/>
          <w:lang w:val="pl-PL"/>
        </w:rPr>
      </w:pPr>
    </w:p>
    <w:p w14:paraId="5327AFC0" w14:textId="0BE79C79" w:rsidR="00C27F39" w:rsidRPr="008F328C" w:rsidRDefault="00270309" w:rsidP="00C27F39">
      <w:pPr>
        <w:pStyle w:val="a3"/>
        <w:rPr>
          <w:rFonts w:eastAsia="Times New Roman"/>
          <w:i/>
          <w:iCs/>
          <w:spacing w:val="-1"/>
          <w:lang w:val="pl-PL"/>
        </w:rPr>
      </w:pPr>
      <w:r w:rsidRPr="008F328C">
        <w:rPr>
          <w:rFonts w:eastAsia="Times New Roman"/>
          <w:i/>
          <w:iCs/>
          <w:spacing w:val="-1"/>
          <w:lang w:val="pl-PL"/>
        </w:rPr>
        <w:t>Choroba Leśniowskiego-Crohna (ChL-C) u dorosłych</w:t>
      </w:r>
    </w:p>
    <w:p w14:paraId="348E2F4B" w14:textId="77777777" w:rsidR="00C27F39" w:rsidRPr="008F328C" w:rsidRDefault="00C27F39" w:rsidP="00C27F39">
      <w:pPr>
        <w:pStyle w:val="a3"/>
        <w:rPr>
          <w:sz w:val="24"/>
          <w:szCs w:val="24"/>
          <w:lang w:val="pl-PL"/>
        </w:rPr>
      </w:pPr>
    </w:p>
    <w:p w14:paraId="4DB92238" w14:textId="77777777" w:rsidR="00C27F39" w:rsidRPr="008F328C" w:rsidRDefault="00C27F39" w:rsidP="00C27F39">
      <w:pPr>
        <w:pStyle w:val="a3"/>
        <w:rPr>
          <w:lang w:val="pl-PL"/>
        </w:rPr>
      </w:pPr>
      <w:r w:rsidRPr="008F328C">
        <w:rPr>
          <w:rFonts w:eastAsia="Times New Roman"/>
          <w:lang w:val="pl-PL"/>
        </w:rPr>
        <w:t xml:space="preserve">Bezpieczeństwo stosowania i skuteczność adalimumabu oceniano u ponad 1 500 pacjentów z czynną chorobą Leśniowskiego-Crohna o nasileniu umiarkowanym do ciężkiego [wskaźnik aktywności choroby Leśniowskiego-Crohna (ang. Crohn’s Disease Activity Index, CDAI)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220 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450] w randomizowanych, kontrolowanych placebo badaniach klinicznych metodą podwójnie ślepej próby. Dozwolone było jednoczesne stosowanie stałych dawek aminosalicylanów, kortykosteroidów i (lub) leków immunomodulujących i 80% pacjentów kontynuowało przyjmowanie co najmniej jednego z tych leków.</w:t>
      </w:r>
    </w:p>
    <w:p w14:paraId="52628D3E" w14:textId="77777777" w:rsidR="00C27F39" w:rsidRPr="008F328C" w:rsidRDefault="00C27F39" w:rsidP="00C27F39">
      <w:pPr>
        <w:pStyle w:val="a3"/>
        <w:rPr>
          <w:sz w:val="24"/>
          <w:szCs w:val="24"/>
          <w:lang w:val="pl-PL"/>
        </w:rPr>
      </w:pPr>
    </w:p>
    <w:p w14:paraId="29D167A1" w14:textId="77777777" w:rsidR="00C27F39" w:rsidRPr="008F328C" w:rsidRDefault="00C27F39" w:rsidP="00C27F39">
      <w:pPr>
        <w:pStyle w:val="a3"/>
        <w:rPr>
          <w:lang w:val="pl-PL"/>
        </w:rPr>
      </w:pPr>
      <w:r w:rsidRPr="008F328C">
        <w:rPr>
          <w:rFonts w:eastAsia="Times New Roman"/>
          <w:lang w:val="pl-PL"/>
        </w:rPr>
        <w:t>Indukcję remisji klinicznej (określonej jako CDAI &lt; 150) oceniano w dwóch badaniach: badanie I w ChL-C (CLASSIC I) i badanie II w ChL-C (GAIN). W badaniu I w ChL-C, 299 pacjentów nie leczonych wcześniej lekiem z grupy antagonistów TNF losowo przydzielono do jednej z czterech grup otrzymujących: placebo w tygodniach 0 i 2; 160 mg adalimumabu w tygodniu 0 oraz 80 mg w 2. tygodniu; 80 mg w tygodniu 0 i 40 mg w 2. tygodniu oraz 40 mg w tygodniu 0 i 20 mg w 2. tygodniu. W badaniu II w ChL-C, 325 pacjentów, którzy przestali wykazywać odpowiedź na leczenie infliksymabem lub go nie tolerowali losowo przydzielono do grupy, która otrzymywała160 mg adalimumabu w tygodniu 0 i 80 mg w 2. tygodniu lub placebo w tygodniach 0 i 2. Osoby, które pierwotnie nie odpowiadały na leczenie wykluczono z udziału w badaniach i dlatego pacjentów tych nie poddawano dalszej ocenie.</w:t>
      </w:r>
    </w:p>
    <w:p w14:paraId="618158BD" w14:textId="77777777" w:rsidR="00C27F39" w:rsidRPr="008F328C" w:rsidRDefault="00C27F39" w:rsidP="00C27F39">
      <w:pPr>
        <w:pStyle w:val="a3"/>
        <w:rPr>
          <w:sz w:val="24"/>
          <w:szCs w:val="24"/>
          <w:lang w:val="pl-PL"/>
        </w:rPr>
      </w:pPr>
    </w:p>
    <w:p w14:paraId="3A362EEA" w14:textId="77777777" w:rsidR="00C27F39" w:rsidRPr="008F328C" w:rsidRDefault="00C27F39" w:rsidP="00C27F39">
      <w:pPr>
        <w:pStyle w:val="a3"/>
        <w:rPr>
          <w:lang w:val="pl-PL"/>
        </w:rPr>
      </w:pPr>
      <w:r w:rsidRPr="008F328C">
        <w:rPr>
          <w:rFonts w:eastAsia="Times New Roman"/>
          <w:lang w:val="pl-PL"/>
        </w:rPr>
        <w:t>W badaniu III (CHARM) w ChL-C oceniano utrzymywanie się remisji klinicznej. W badaniu III w ChL-C, 854 pacjentów otrzymywało w otwartej próbie 80 mg w tygodniu 0 i 40 mg w 2. tygodniu. W 4. tygodniu pacjentów losowo przydzielono do grupy otrzymującej 40 mg co drugi tydzień, 40 mg co tydzień lub placebo, a całkowity czas trwania badania wynosił 56 tygodni. Pacjentów, którzy wykazali kliniczną odpowiedź na leczenie (zmniejszenie wskaźnika CDAI ≥ 70) w 4. tygodniu wyodrębniono i poddano odrębnej analizie niż pacjentów, którzy nie wykazali odpowiedzi klinicznej w 4. tygodniu. Po upływie 8. tygodnia dozwolone było stopniowe zmniejszenie dawki kortykosteroidu.</w:t>
      </w:r>
    </w:p>
    <w:p w14:paraId="4BB2A232" w14:textId="77777777" w:rsidR="00C27F39" w:rsidRPr="008F328C" w:rsidRDefault="00C27F39" w:rsidP="00C27F39">
      <w:pPr>
        <w:spacing w:before="11" w:line="240" w:lineRule="exact"/>
        <w:rPr>
          <w:rFonts w:ascii="Times New Roman" w:hAnsi="Times New Roman" w:cs="Times New Roman"/>
          <w:sz w:val="24"/>
          <w:szCs w:val="24"/>
          <w:lang w:val="pl-PL"/>
        </w:rPr>
      </w:pPr>
    </w:p>
    <w:p w14:paraId="1F05342E" w14:textId="0EEA001A" w:rsidR="00C27F39" w:rsidRPr="008F328C" w:rsidRDefault="00C27F39" w:rsidP="00C27F39">
      <w:pPr>
        <w:pStyle w:val="a3"/>
        <w:rPr>
          <w:lang w:val="pl-PL"/>
        </w:rPr>
      </w:pPr>
      <w:r w:rsidRPr="008F328C">
        <w:rPr>
          <w:rFonts w:eastAsia="Times New Roman"/>
          <w:lang w:val="pl-PL"/>
        </w:rPr>
        <w:t xml:space="preserve">Odsetki indukcji remisji i odpowiedzi na leczenie w badaniach I i II w ChL-C przedstawiono w Tabeli </w:t>
      </w:r>
      <w:r w:rsidR="00270309" w:rsidRPr="008F328C">
        <w:rPr>
          <w:rFonts w:eastAsia="Times New Roman"/>
          <w:lang w:val="pl-PL"/>
        </w:rPr>
        <w:t>14</w:t>
      </w:r>
      <w:r w:rsidRPr="008F328C">
        <w:rPr>
          <w:rFonts w:eastAsia="Times New Roman"/>
          <w:lang w:val="pl-PL"/>
        </w:rPr>
        <w:t>.</w:t>
      </w:r>
    </w:p>
    <w:p w14:paraId="25AF7E49" w14:textId="77777777" w:rsidR="00C27F39" w:rsidRPr="008F328C" w:rsidRDefault="00C27F39" w:rsidP="00C27F39">
      <w:pPr>
        <w:pStyle w:val="a3"/>
        <w:jc w:val="center"/>
        <w:rPr>
          <w:b/>
          <w:lang w:val="pl-PL"/>
        </w:rPr>
      </w:pPr>
    </w:p>
    <w:p w14:paraId="588C8B7D" w14:textId="08FBAECA" w:rsidR="00C27F39" w:rsidRPr="008F328C" w:rsidRDefault="00C27F39" w:rsidP="00C27F39">
      <w:pPr>
        <w:jc w:val="center"/>
        <w:rPr>
          <w:rFonts w:ascii="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270309" w:rsidRPr="008F328C">
        <w:rPr>
          <w:rFonts w:ascii="Times New Roman" w:eastAsia="Times New Roman" w:hAnsi="Times New Roman" w:cs="Times New Roman"/>
          <w:b/>
          <w:bCs/>
          <w:lang w:val="pl-PL"/>
        </w:rPr>
        <w:t>14</w:t>
      </w:r>
    </w:p>
    <w:p w14:paraId="22D01381" w14:textId="77777777" w:rsidR="00C27F39" w:rsidRPr="008F328C" w:rsidRDefault="00C27F39" w:rsidP="00C27F39">
      <w:pPr>
        <w:pStyle w:val="a3"/>
        <w:jc w:val="center"/>
        <w:rPr>
          <w:b/>
          <w:lang w:val="pl-PL"/>
        </w:rPr>
      </w:pPr>
      <w:r w:rsidRPr="008F328C">
        <w:rPr>
          <w:rFonts w:eastAsia="Times New Roman"/>
          <w:b/>
          <w:bCs/>
          <w:lang w:val="pl-PL"/>
        </w:rPr>
        <w:t>Indukcja remisji klinicznej i odpowiedzi na leczenie (odsetek pacjentów)</w:t>
      </w:r>
    </w:p>
    <w:p w14:paraId="2388EE38" w14:textId="77777777" w:rsidR="00C27F39" w:rsidRPr="008F328C" w:rsidRDefault="00C27F39" w:rsidP="00C27F39">
      <w:pPr>
        <w:spacing w:before="3" w:line="10" w:lineRule="exact"/>
        <w:rPr>
          <w:rFonts w:ascii="Times New Roman" w:hAnsi="Times New Roman" w:cs="Times New Roman"/>
          <w:sz w:val="4"/>
          <w:szCs w:val="4"/>
          <w:lang w:val="pl-PL"/>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C27F39" w:rsidRPr="00494296" w14:paraId="165F1731" w14:textId="77777777" w:rsidTr="00ED6A7B">
        <w:trPr>
          <w:trHeight w:hRule="exact" w:val="569"/>
        </w:trPr>
        <w:tc>
          <w:tcPr>
            <w:tcW w:w="2311" w:type="dxa"/>
            <w:tcBorders>
              <w:top w:val="single" w:sz="5" w:space="0" w:color="000000"/>
              <w:left w:val="single" w:sz="5" w:space="0" w:color="000000"/>
              <w:bottom w:val="single" w:sz="5" w:space="0" w:color="000000"/>
              <w:right w:val="single" w:sz="5" w:space="0" w:color="000000"/>
            </w:tcBorders>
          </w:tcPr>
          <w:p w14:paraId="57279037" w14:textId="77777777" w:rsidR="00C27F39" w:rsidRPr="008F328C" w:rsidRDefault="00C27F39" w:rsidP="00ED6A7B">
            <w:pPr>
              <w:rPr>
                <w:rFonts w:ascii="Times New Roman" w:hAnsi="Times New Roman" w:cs="Times New Roman"/>
                <w:lang w:val="pl-PL"/>
              </w:rPr>
            </w:pPr>
          </w:p>
        </w:tc>
        <w:tc>
          <w:tcPr>
            <w:tcW w:w="3779" w:type="dxa"/>
            <w:gridSpan w:val="3"/>
            <w:tcBorders>
              <w:top w:val="single" w:sz="5" w:space="0" w:color="000000"/>
              <w:left w:val="single" w:sz="5" w:space="0" w:color="000000"/>
              <w:bottom w:val="single" w:sz="5" w:space="0" w:color="000000"/>
              <w:right w:val="single" w:sz="5" w:space="0" w:color="000000"/>
            </w:tcBorders>
          </w:tcPr>
          <w:p w14:paraId="23D47ED3" w14:textId="77777777" w:rsidR="00C27F39" w:rsidRPr="008F328C" w:rsidRDefault="00C27F39" w:rsidP="00ED6A7B">
            <w:pPr>
              <w:pStyle w:val="TableParagraph"/>
              <w:spacing w:before="39" w:line="240" w:lineRule="exact"/>
              <w:ind w:left="102" w:right="15"/>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 w ChL-C: pacjenci nieleczeni wcześniej infliksymabem</w:t>
            </w:r>
          </w:p>
        </w:tc>
        <w:tc>
          <w:tcPr>
            <w:tcW w:w="3402" w:type="dxa"/>
            <w:gridSpan w:val="2"/>
            <w:tcBorders>
              <w:top w:val="single" w:sz="5" w:space="0" w:color="000000"/>
              <w:left w:val="single" w:sz="5" w:space="0" w:color="000000"/>
              <w:bottom w:val="single" w:sz="5" w:space="0" w:color="000000"/>
              <w:right w:val="single" w:sz="5" w:space="0" w:color="000000"/>
            </w:tcBorders>
          </w:tcPr>
          <w:p w14:paraId="2A122D42" w14:textId="77777777" w:rsidR="00C27F39" w:rsidRPr="008F328C" w:rsidRDefault="00C27F39" w:rsidP="00ED6A7B">
            <w:pPr>
              <w:pStyle w:val="TableParagraph"/>
              <w:spacing w:before="39"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Badanie II w ChL-C: pacjenci leczeni wcześniej infliksymabem</w:t>
            </w:r>
          </w:p>
        </w:tc>
      </w:tr>
      <w:tr w:rsidR="00C27F39" w:rsidRPr="008F328C" w14:paraId="4F6FB959" w14:textId="77777777" w:rsidTr="00ED6A7B">
        <w:trPr>
          <w:trHeight w:hRule="exact" w:val="890"/>
        </w:trPr>
        <w:tc>
          <w:tcPr>
            <w:tcW w:w="2311" w:type="dxa"/>
            <w:tcBorders>
              <w:top w:val="single" w:sz="5" w:space="0" w:color="000000"/>
              <w:left w:val="single" w:sz="5" w:space="0" w:color="000000"/>
              <w:bottom w:val="single" w:sz="5" w:space="0" w:color="000000"/>
              <w:right w:val="single" w:sz="5" w:space="0" w:color="000000"/>
            </w:tcBorders>
          </w:tcPr>
          <w:p w14:paraId="590980F3" w14:textId="77777777" w:rsidR="00C27F39" w:rsidRPr="008F328C" w:rsidRDefault="00C27F39" w:rsidP="00ED6A7B">
            <w:pPr>
              <w:rPr>
                <w:rFonts w:ascii="Times New Roman" w:hAnsi="Times New Roman" w:cs="Times New Roman"/>
                <w:lang w:val="pl-PL"/>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5CA4D56C" w14:textId="77777777" w:rsidR="00C27F39" w:rsidRPr="008F328C" w:rsidRDefault="00C27F39" w:rsidP="00ED6A7B">
            <w:pPr>
              <w:pStyle w:val="TableParagraph"/>
              <w:spacing w:before="24" w:line="268" w:lineRule="auto"/>
              <w:ind w:firstLineChars="50" w:firstLine="110"/>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3A9C86B2" w14:textId="77777777" w:rsidR="00C27F39" w:rsidRPr="008F328C" w:rsidRDefault="00C27F39" w:rsidP="00ED6A7B">
            <w:pPr>
              <w:pStyle w:val="TableParagraph"/>
              <w:spacing w:before="24" w:line="268" w:lineRule="auto"/>
              <w:ind w:firstLineChars="50" w:firstLine="110"/>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21E83B2D" w14:textId="77777777" w:rsidR="00C27F39" w:rsidRPr="008F328C" w:rsidRDefault="00C27F39" w:rsidP="00ED6A7B">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Adalimumab 80/40 mg </w:t>
            </w:r>
            <w:r w:rsidRPr="008F328C">
              <w:rPr>
                <w:rFonts w:ascii="Times New Roman" w:eastAsia="Times New Roman" w:hAnsi="Times New Roman" w:cs="Times New Roman"/>
                <w:b/>
                <w:bCs/>
                <w:lang w:val="pl-PL"/>
              </w:rPr>
              <w:br/>
              <w:t>N=75</w:t>
            </w:r>
          </w:p>
        </w:tc>
        <w:tc>
          <w:tcPr>
            <w:tcW w:w="1338" w:type="dxa"/>
            <w:tcBorders>
              <w:top w:val="single" w:sz="5" w:space="0" w:color="000000"/>
              <w:left w:val="single" w:sz="5" w:space="0" w:color="000000"/>
              <w:bottom w:val="single" w:sz="5" w:space="0" w:color="000000"/>
              <w:right w:val="single" w:sz="5" w:space="0" w:color="000000"/>
            </w:tcBorders>
            <w:vAlign w:val="center"/>
          </w:tcPr>
          <w:p w14:paraId="6532DF06" w14:textId="77777777" w:rsidR="00C27F39" w:rsidRPr="008F328C" w:rsidRDefault="00C27F39" w:rsidP="00ED6A7B">
            <w:pPr>
              <w:pStyle w:val="TableParagraph"/>
              <w:spacing w:before="24" w:line="24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6BA2D36D" w14:textId="77777777" w:rsidR="00C27F39" w:rsidRPr="008F328C" w:rsidRDefault="00C27F39" w:rsidP="00ED6A7B">
            <w:pPr>
              <w:pStyle w:val="TableParagraph"/>
              <w:spacing w:before="24" w:line="24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6095EC2A" w14:textId="77777777" w:rsidR="00C27F39" w:rsidRPr="008F328C" w:rsidRDefault="00C27F39" w:rsidP="00ED6A7B">
            <w:pPr>
              <w:pStyle w:val="TableParagraph"/>
              <w:spacing w:before="24" w:line="268" w:lineRule="auto"/>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Placebo </w:t>
            </w:r>
          </w:p>
          <w:p w14:paraId="7291F2ED" w14:textId="77777777" w:rsidR="00C27F39" w:rsidRPr="008F328C" w:rsidRDefault="00C27F39" w:rsidP="00ED6A7B">
            <w:pPr>
              <w:pStyle w:val="TableParagraph"/>
              <w:spacing w:before="24" w:line="268" w:lineRule="auto"/>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64216EF9" w14:textId="77777777" w:rsidR="00C27F39" w:rsidRPr="008F328C" w:rsidRDefault="00C27F39" w:rsidP="00ED6A7B">
            <w:pPr>
              <w:pStyle w:val="TableParagraph"/>
              <w:spacing w:before="24" w:line="266" w:lineRule="auto"/>
              <w:ind w:hanging="4"/>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Adalimumab 160/80 mg </w:t>
            </w:r>
          </w:p>
          <w:p w14:paraId="71AB307A" w14:textId="77777777" w:rsidR="00C27F39" w:rsidRPr="008F328C" w:rsidRDefault="00C27F39" w:rsidP="00ED6A7B">
            <w:pPr>
              <w:pStyle w:val="TableParagraph"/>
              <w:spacing w:before="24" w:line="266" w:lineRule="auto"/>
              <w:ind w:hanging="4"/>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N=159</w:t>
            </w:r>
          </w:p>
        </w:tc>
      </w:tr>
      <w:tr w:rsidR="00C27F39" w:rsidRPr="008F328C" w14:paraId="40E198DD" w14:textId="77777777" w:rsidTr="00ED6A7B">
        <w:trPr>
          <w:trHeight w:hRule="exact" w:val="331"/>
        </w:trPr>
        <w:tc>
          <w:tcPr>
            <w:tcW w:w="2311" w:type="dxa"/>
            <w:tcBorders>
              <w:top w:val="single" w:sz="5" w:space="0" w:color="000000"/>
              <w:left w:val="single" w:sz="5" w:space="0" w:color="000000"/>
              <w:bottom w:val="single" w:sz="5" w:space="0" w:color="000000"/>
              <w:right w:val="single" w:sz="5" w:space="0" w:color="000000"/>
            </w:tcBorders>
          </w:tcPr>
          <w:p w14:paraId="0C265D15"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4. tydzień</w:t>
            </w:r>
          </w:p>
        </w:tc>
        <w:tc>
          <w:tcPr>
            <w:tcW w:w="1085" w:type="dxa"/>
            <w:tcBorders>
              <w:top w:val="single" w:sz="5" w:space="0" w:color="000000"/>
              <w:left w:val="single" w:sz="5" w:space="0" w:color="000000"/>
              <w:bottom w:val="single" w:sz="5" w:space="0" w:color="000000"/>
              <w:right w:val="single" w:sz="5" w:space="0" w:color="000000"/>
            </w:tcBorders>
          </w:tcPr>
          <w:p w14:paraId="36CDA8A0" w14:textId="77777777" w:rsidR="00C27F39" w:rsidRPr="008F328C" w:rsidRDefault="00C27F39" w:rsidP="00ED6A7B">
            <w:pPr>
              <w:rPr>
                <w:rFonts w:ascii="Times New Roman" w:hAnsi="Times New Roman" w:cs="Times New Roman"/>
                <w:lang w:val="pl-PL"/>
              </w:rPr>
            </w:pPr>
          </w:p>
        </w:tc>
        <w:tc>
          <w:tcPr>
            <w:tcW w:w="1356" w:type="dxa"/>
            <w:tcBorders>
              <w:top w:val="single" w:sz="5" w:space="0" w:color="000000"/>
              <w:left w:val="single" w:sz="5" w:space="0" w:color="000000"/>
              <w:bottom w:val="single" w:sz="5" w:space="0" w:color="000000"/>
              <w:right w:val="single" w:sz="5" w:space="0" w:color="000000"/>
            </w:tcBorders>
          </w:tcPr>
          <w:p w14:paraId="0ACACC3C" w14:textId="77777777" w:rsidR="00C27F39" w:rsidRPr="008F328C" w:rsidRDefault="00C27F39" w:rsidP="00ED6A7B">
            <w:pPr>
              <w:rPr>
                <w:rFonts w:ascii="Times New Roman" w:hAnsi="Times New Roman" w:cs="Times New Roman"/>
                <w:lang w:val="pl-PL"/>
              </w:rPr>
            </w:pPr>
          </w:p>
        </w:tc>
        <w:tc>
          <w:tcPr>
            <w:tcW w:w="1338" w:type="dxa"/>
            <w:tcBorders>
              <w:top w:val="single" w:sz="5" w:space="0" w:color="000000"/>
              <w:left w:val="single" w:sz="5" w:space="0" w:color="000000"/>
              <w:bottom w:val="single" w:sz="5" w:space="0" w:color="000000"/>
              <w:right w:val="single" w:sz="5" w:space="0" w:color="000000"/>
            </w:tcBorders>
          </w:tcPr>
          <w:p w14:paraId="2109BF90" w14:textId="77777777" w:rsidR="00C27F39" w:rsidRPr="008F328C" w:rsidRDefault="00C27F39" w:rsidP="00ED6A7B">
            <w:pPr>
              <w:rPr>
                <w:rFonts w:ascii="Times New Roman" w:hAnsi="Times New Roman" w:cs="Times New Roman"/>
                <w:lang w:val="pl-PL"/>
              </w:rPr>
            </w:pPr>
          </w:p>
        </w:tc>
        <w:tc>
          <w:tcPr>
            <w:tcW w:w="1559" w:type="dxa"/>
            <w:tcBorders>
              <w:top w:val="single" w:sz="5" w:space="0" w:color="000000"/>
              <w:left w:val="single" w:sz="5" w:space="0" w:color="000000"/>
              <w:bottom w:val="single" w:sz="5" w:space="0" w:color="000000"/>
              <w:right w:val="single" w:sz="5" w:space="0" w:color="000000"/>
            </w:tcBorders>
          </w:tcPr>
          <w:p w14:paraId="0E06BFC6" w14:textId="77777777" w:rsidR="00C27F39" w:rsidRPr="008F328C" w:rsidRDefault="00C27F39" w:rsidP="00ED6A7B">
            <w:pPr>
              <w:rPr>
                <w:rFonts w:ascii="Times New Roman" w:hAnsi="Times New Roman" w:cs="Times New Roman"/>
                <w:lang w:val="pl-PL"/>
              </w:rPr>
            </w:pPr>
          </w:p>
        </w:tc>
        <w:tc>
          <w:tcPr>
            <w:tcW w:w="1843" w:type="dxa"/>
            <w:tcBorders>
              <w:top w:val="single" w:sz="5" w:space="0" w:color="000000"/>
              <w:left w:val="single" w:sz="5" w:space="0" w:color="000000"/>
              <w:bottom w:val="single" w:sz="5" w:space="0" w:color="000000"/>
              <w:right w:val="single" w:sz="5" w:space="0" w:color="000000"/>
            </w:tcBorders>
          </w:tcPr>
          <w:p w14:paraId="33F7B4D8" w14:textId="77777777" w:rsidR="00C27F39" w:rsidRPr="008F328C" w:rsidRDefault="00C27F39" w:rsidP="00ED6A7B">
            <w:pPr>
              <w:rPr>
                <w:rFonts w:ascii="Times New Roman" w:hAnsi="Times New Roman" w:cs="Times New Roman"/>
                <w:lang w:val="pl-PL"/>
              </w:rPr>
            </w:pPr>
          </w:p>
        </w:tc>
      </w:tr>
      <w:tr w:rsidR="00C27F39" w:rsidRPr="008F328C" w14:paraId="1D5D4E6D" w14:textId="77777777" w:rsidTr="00ED6A7B">
        <w:trPr>
          <w:trHeight w:hRule="exact" w:val="329"/>
        </w:trPr>
        <w:tc>
          <w:tcPr>
            <w:tcW w:w="2311" w:type="dxa"/>
            <w:tcBorders>
              <w:top w:val="single" w:sz="5" w:space="0" w:color="000000"/>
              <w:left w:val="single" w:sz="5" w:space="0" w:color="000000"/>
              <w:bottom w:val="single" w:sz="5" w:space="0" w:color="000000"/>
              <w:right w:val="single" w:sz="5" w:space="0" w:color="000000"/>
            </w:tcBorders>
          </w:tcPr>
          <w:p w14:paraId="29B21A52"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085" w:type="dxa"/>
            <w:tcBorders>
              <w:top w:val="single" w:sz="5" w:space="0" w:color="000000"/>
              <w:left w:val="single" w:sz="5" w:space="0" w:color="000000"/>
              <w:bottom w:val="single" w:sz="5" w:space="0" w:color="000000"/>
              <w:right w:val="single" w:sz="5" w:space="0" w:color="000000"/>
            </w:tcBorders>
          </w:tcPr>
          <w:p w14:paraId="30A892EF" w14:textId="77777777" w:rsidR="00C27F39" w:rsidRPr="008F328C" w:rsidRDefault="00C27F39" w:rsidP="00ED6A7B">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356" w:type="dxa"/>
            <w:tcBorders>
              <w:top w:val="single" w:sz="5" w:space="0" w:color="000000"/>
              <w:left w:val="single" w:sz="5" w:space="0" w:color="000000"/>
              <w:bottom w:val="single" w:sz="5" w:space="0" w:color="000000"/>
              <w:right w:val="single" w:sz="5" w:space="0" w:color="000000"/>
            </w:tcBorders>
          </w:tcPr>
          <w:p w14:paraId="4E1997D1" w14:textId="77777777" w:rsidR="00C27F39" w:rsidRPr="008F328C" w:rsidRDefault="00C27F39" w:rsidP="00ED6A7B">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38" w:type="dxa"/>
            <w:tcBorders>
              <w:top w:val="single" w:sz="5" w:space="0" w:color="000000"/>
              <w:left w:val="single" w:sz="5" w:space="0" w:color="000000"/>
              <w:bottom w:val="single" w:sz="5" w:space="0" w:color="000000"/>
              <w:right w:val="single" w:sz="5" w:space="0" w:color="000000"/>
            </w:tcBorders>
          </w:tcPr>
          <w:p w14:paraId="46E20138" w14:textId="77777777" w:rsidR="00C27F39" w:rsidRPr="008F328C" w:rsidRDefault="00C27F39" w:rsidP="00ED6A7B">
            <w:pPr>
              <w:pStyle w:val="TableParagraph"/>
              <w:spacing w:before="18"/>
              <w:ind w:left="344"/>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36%</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6755A871" w14:textId="77777777" w:rsidR="00C27F39" w:rsidRPr="008F328C" w:rsidRDefault="00C27F39" w:rsidP="00ED6A7B">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w:t>
            </w:r>
          </w:p>
        </w:tc>
        <w:tc>
          <w:tcPr>
            <w:tcW w:w="1843" w:type="dxa"/>
            <w:tcBorders>
              <w:top w:val="single" w:sz="5" w:space="0" w:color="000000"/>
              <w:left w:val="single" w:sz="5" w:space="0" w:color="000000"/>
              <w:bottom w:val="single" w:sz="5" w:space="0" w:color="000000"/>
              <w:right w:val="single" w:sz="5" w:space="0" w:color="000000"/>
            </w:tcBorders>
          </w:tcPr>
          <w:p w14:paraId="5C2BF4DB" w14:textId="77777777" w:rsidR="00C27F39" w:rsidRPr="008F328C" w:rsidRDefault="00C27F39" w:rsidP="00ED6A7B">
            <w:pPr>
              <w:pStyle w:val="TableParagraph"/>
              <w:spacing w:before="18"/>
              <w:ind w:left="644" w:right="644"/>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21%</w:t>
            </w:r>
            <w:r w:rsidRPr="008F328C">
              <w:rPr>
                <w:rFonts w:ascii="Times New Roman" w:eastAsia="Times New Roman" w:hAnsi="Times New Roman" w:cs="Times New Roman"/>
                <w:sz w:val="14"/>
                <w:szCs w:val="14"/>
                <w:lang w:val="pl-PL"/>
              </w:rPr>
              <w:t>*</w:t>
            </w:r>
          </w:p>
        </w:tc>
      </w:tr>
      <w:tr w:rsidR="00C27F39" w:rsidRPr="008F328C" w14:paraId="474F42A5" w14:textId="77777777" w:rsidTr="00ED6A7B">
        <w:trPr>
          <w:trHeight w:hRule="exact" w:val="571"/>
        </w:trPr>
        <w:tc>
          <w:tcPr>
            <w:tcW w:w="2311" w:type="dxa"/>
            <w:tcBorders>
              <w:top w:val="single" w:sz="5" w:space="0" w:color="000000"/>
              <w:left w:val="single" w:sz="5" w:space="0" w:color="000000"/>
              <w:bottom w:val="single" w:sz="5" w:space="0" w:color="000000"/>
              <w:right w:val="single" w:sz="5" w:space="0" w:color="000000"/>
            </w:tcBorders>
          </w:tcPr>
          <w:p w14:paraId="1F966F69" w14:textId="77777777" w:rsidR="00C27F39" w:rsidRPr="008F328C" w:rsidRDefault="00C27F39" w:rsidP="00ED6A7B">
            <w:pPr>
              <w:pStyle w:val="TableParagraph"/>
              <w:spacing w:before="40" w:line="240"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Odpowiedź kliniczna (CR-100)</w:t>
            </w:r>
          </w:p>
        </w:tc>
        <w:tc>
          <w:tcPr>
            <w:tcW w:w="1085" w:type="dxa"/>
            <w:tcBorders>
              <w:top w:val="single" w:sz="5" w:space="0" w:color="000000"/>
              <w:left w:val="single" w:sz="5" w:space="0" w:color="000000"/>
              <w:bottom w:val="single" w:sz="5" w:space="0" w:color="000000"/>
              <w:right w:val="single" w:sz="5" w:space="0" w:color="000000"/>
            </w:tcBorders>
          </w:tcPr>
          <w:p w14:paraId="693CD161" w14:textId="77777777" w:rsidR="00C27F39" w:rsidRPr="008F328C" w:rsidRDefault="00C27F39" w:rsidP="00ED6A7B">
            <w:pPr>
              <w:pStyle w:val="TableParagraph"/>
              <w:spacing w:before="24"/>
              <w:ind w:left="387"/>
              <w:rPr>
                <w:rFonts w:ascii="Times New Roman" w:eastAsia="Times New Roman" w:hAnsi="Times New Roman" w:cs="Times New Roman"/>
                <w:lang w:val="pl-PL"/>
              </w:rPr>
            </w:pPr>
            <w:r w:rsidRPr="008F328C">
              <w:rPr>
                <w:rFonts w:ascii="Times New Roman" w:eastAsia="Times New Roman" w:hAnsi="Times New Roman" w:cs="Times New Roman"/>
                <w:lang w:val="pl-PL"/>
              </w:rPr>
              <w:t>24%</w:t>
            </w:r>
          </w:p>
        </w:tc>
        <w:tc>
          <w:tcPr>
            <w:tcW w:w="1356" w:type="dxa"/>
            <w:tcBorders>
              <w:top w:val="single" w:sz="5" w:space="0" w:color="000000"/>
              <w:left w:val="single" w:sz="5" w:space="0" w:color="000000"/>
              <w:bottom w:val="single" w:sz="5" w:space="0" w:color="000000"/>
              <w:right w:val="single" w:sz="5" w:space="0" w:color="000000"/>
            </w:tcBorders>
          </w:tcPr>
          <w:p w14:paraId="5D3965F4" w14:textId="77777777" w:rsidR="00C27F39" w:rsidRPr="008F328C" w:rsidRDefault="00C27F39" w:rsidP="00ED6A7B">
            <w:pPr>
              <w:pStyle w:val="TableParagraph"/>
              <w:spacing w:before="24"/>
              <w:ind w:left="395" w:right="398"/>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37%</w:t>
            </w:r>
          </w:p>
        </w:tc>
        <w:tc>
          <w:tcPr>
            <w:tcW w:w="1338" w:type="dxa"/>
            <w:tcBorders>
              <w:top w:val="single" w:sz="5" w:space="0" w:color="000000"/>
              <w:left w:val="single" w:sz="5" w:space="0" w:color="000000"/>
              <w:bottom w:val="single" w:sz="5" w:space="0" w:color="000000"/>
              <w:right w:val="single" w:sz="5" w:space="0" w:color="000000"/>
            </w:tcBorders>
          </w:tcPr>
          <w:p w14:paraId="7E093B2C" w14:textId="77777777" w:rsidR="00C27F39" w:rsidRPr="008F328C" w:rsidRDefault="00C27F39" w:rsidP="00ED6A7B">
            <w:pPr>
              <w:pStyle w:val="TableParagraph"/>
              <w:spacing w:before="18"/>
              <w:ind w:left="311"/>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49%</w:t>
            </w:r>
            <w:r w:rsidRPr="008F328C">
              <w:rPr>
                <w:rFonts w:ascii="Times New Roman" w:eastAsia="Times New Roman" w:hAnsi="Times New Roman" w:cs="Times New Roman"/>
                <w:sz w:val="14"/>
                <w:szCs w:val="14"/>
                <w:lang w:val="pl-PL"/>
              </w:rPr>
              <w:t>**</w:t>
            </w:r>
          </w:p>
        </w:tc>
        <w:tc>
          <w:tcPr>
            <w:tcW w:w="1559" w:type="dxa"/>
            <w:tcBorders>
              <w:top w:val="single" w:sz="5" w:space="0" w:color="000000"/>
              <w:left w:val="single" w:sz="5" w:space="0" w:color="000000"/>
              <w:bottom w:val="single" w:sz="5" w:space="0" w:color="000000"/>
              <w:right w:val="single" w:sz="5" w:space="0" w:color="000000"/>
            </w:tcBorders>
          </w:tcPr>
          <w:p w14:paraId="432FF8A7" w14:textId="77777777" w:rsidR="00C27F39" w:rsidRPr="008F328C" w:rsidRDefault="00C27F39" w:rsidP="00ED6A7B">
            <w:pPr>
              <w:pStyle w:val="TableParagraph"/>
              <w:spacing w:before="24"/>
              <w:ind w:left="519" w:right="520"/>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25%</w:t>
            </w:r>
          </w:p>
        </w:tc>
        <w:tc>
          <w:tcPr>
            <w:tcW w:w="1843" w:type="dxa"/>
            <w:tcBorders>
              <w:top w:val="single" w:sz="5" w:space="0" w:color="000000"/>
              <w:left w:val="single" w:sz="5" w:space="0" w:color="000000"/>
              <w:bottom w:val="single" w:sz="5" w:space="0" w:color="000000"/>
              <w:right w:val="single" w:sz="5" w:space="0" w:color="000000"/>
            </w:tcBorders>
          </w:tcPr>
          <w:p w14:paraId="2262E747" w14:textId="77777777" w:rsidR="00C27F39" w:rsidRPr="008F328C" w:rsidRDefault="00C27F39" w:rsidP="00ED6A7B">
            <w:pPr>
              <w:pStyle w:val="TableParagraph"/>
              <w:spacing w:before="18"/>
              <w:ind w:left="609" w:right="616"/>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38%</w:t>
            </w:r>
            <w:r w:rsidRPr="008F328C">
              <w:rPr>
                <w:rFonts w:ascii="Times New Roman" w:eastAsia="Times New Roman" w:hAnsi="Times New Roman" w:cs="Times New Roman"/>
                <w:sz w:val="14"/>
                <w:szCs w:val="14"/>
                <w:lang w:val="pl-PL"/>
              </w:rPr>
              <w:t>**</w:t>
            </w:r>
          </w:p>
        </w:tc>
      </w:tr>
    </w:tbl>
    <w:p w14:paraId="46BC8217" w14:textId="77777777" w:rsidR="00C27F39" w:rsidRPr="008F328C" w:rsidRDefault="00C27F39" w:rsidP="00C27F39">
      <w:pPr>
        <w:pStyle w:val="a3"/>
        <w:rPr>
          <w:lang w:val="pl-PL"/>
        </w:rPr>
      </w:pPr>
      <w:r w:rsidRPr="008F328C">
        <w:rPr>
          <w:rFonts w:eastAsia="Times New Roman"/>
          <w:lang w:val="pl-PL"/>
        </w:rPr>
        <w:t>Wszystkie wartości p są wynikiem porównywania parami odsetków dla adalimumabu w porównaniu do placebo.</w:t>
      </w:r>
    </w:p>
    <w:p w14:paraId="48D79781" w14:textId="77777777" w:rsidR="00C27F39" w:rsidRPr="008F328C" w:rsidRDefault="00C27F39" w:rsidP="00C27F39">
      <w:pPr>
        <w:pStyle w:val="a3"/>
        <w:rPr>
          <w:lang w:val="pl-PL"/>
        </w:rPr>
      </w:pPr>
      <w:r w:rsidRPr="008F328C">
        <w:rPr>
          <w:rFonts w:eastAsia="Times New Roman"/>
          <w:position w:val="8"/>
          <w:sz w:val="14"/>
          <w:szCs w:val="14"/>
          <w:lang w:val="pl-PL"/>
        </w:rPr>
        <w:t>*</w:t>
      </w:r>
      <w:r w:rsidRPr="008F328C">
        <w:rPr>
          <w:rFonts w:eastAsia="Times New Roman"/>
          <w:position w:val="8"/>
          <w:lang w:val="pl-PL"/>
        </w:rPr>
        <w:t>p &lt; 0,001</w:t>
      </w:r>
    </w:p>
    <w:p w14:paraId="11DBFFF7" w14:textId="77777777" w:rsidR="00C27F39" w:rsidRPr="008F328C" w:rsidRDefault="00C27F39" w:rsidP="00C27F39">
      <w:pPr>
        <w:tabs>
          <w:tab w:val="left" w:pos="506"/>
        </w:tabs>
        <w:spacing w:before="22"/>
        <w:rPr>
          <w:rFonts w:ascii="Times New Roman" w:eastAsia="Times New Roman" w:hAnsi="Times New Roman" w:cs="Times New Roman"/>
          <w:lang w:val="pl-PL"/>
        </w:rPr>
      </w:pPr>
      <w:r w:rsidRPr="008F328C">
        <w:rPr>
          <w:rFonts w:ascii="Times New Roman" w:eastAsia="Times New Roman" w:hAnsi="Times New Roman" w:cs="Times New Roman"/>
          <w:position w:val="8"/>
          <w:sz w:val="14"/>
          <w:szCs w:val="14"/>
          <w:lang w:val="pl-PL"/>
        </w:rPr>
        <w:t>**</w:t>
      </w:r>
      <w:r w:rsidRPr="008F328C">
        <w:rPr>
          <w:rFonts w:ascii="Times New Roman" w:eastAsia="Times New Roman" w:hAnsi="Times New Roman" w:cs="Times New Roman"/>
          <w:position w:val="8"/>
          <w:lang w:val="pl-PL"/>
        </w:rPr>
        <w:t>p &lt; 0,01</w:t>
      </w:r>
    </w:p>
    <w:p w14:paraId="3FF760E0" w14:textId="77777777" w:rsidR="00C27F39" w:rsidRPr="008F328C" w:rsidRDefault="00C27F39" w:rsidP="00C27F39">
      <w:pPr>
        <w:spacing w:before="15" w:line="200" w:lineRule="exact"/>
        <w:rPr>
          <w:rFonts w:ascii="Times New Roman" w:hAnsi="Times New Roman" w:cs="Times New Roman"/>
          <w:sz w:val="20"/>
          <w:szCs w:val="20"/>
          <w:lang w:val="pl-PL"/>
        </w:rPr>
      </w:pPr>
    </w:p>
    <w:p w14:paraId="104C496B" w14:textId="77777777" w:rsidR="00C27F39" w:rsidRPr="008F328C" w:rsidRDefault="00C27F39" w:rsidP="00C27F39">
      <w:pPr>
        <w:pStyle w:val="a3"/>
        <w:rPr>
          <w:lang w:val="pl-PL"/>
        </w:rPr>
      </w:pPr>
      <w:r w:rsidRPr="008F328C">
        <w:rPr>
          <w:rFonts w:eastAsia="Times New Roman"/>
          <w:lang w:val="pl-PL"/>
        </w:rPr>
        <w:t>Podobne odsetki remisji dla schematów indukcji z zastosowaniem dawek 160/80 mg i 80/40 mg zaobserwowano przed upływem 8 tygodni, a zdarzenia niepożądane stwierdzano częściej w grupie otrzymującej dawki 160/80 mg.</w:t>
      </w:r>
    </w:p>
    <w:p w14:paraId="59A951C1" w14:textId="77777777" w:rsidR="00C27F39" w:rsidRPr="008F328C" w:rsidRDefault="00C27F39" w:rsidP="00C27F39">
      <w:pPr>
        <w:spacing w:before="11" w:line="240" w:lineRule="exact"/>
        <w:rPr>
          <w:rFonts w:ascii="Times New Roman" w:hAnsi="Times New Roman" w:cs="Times New Roman"/>
          <w:sz w:val="24"/>
          <w:szCs w:val="24"/>
          <w:lang w:val="pl-PL"/>
        </w:rPr>
      </w:pPr>
    </w:p>
    <w:p w14:paraId="4FB248AE" w14:textId="34CF11E1" w:rsidR="00C27F39" w:rsidRPr="008F328C" w:rsidRDefault="00C27F39" w:rsidP="00C27F39">
      <w:pPr>
        <w:pStyle w:val="a3"/>
        <w:rPr>
          <w:lang w:val="pl-PL"/>
        </w:rPr>
      </w:pPr>
      <w:r w:rsidRPr="008F328C">
        <w:rPr>
          <w:rFonts w:eastAsia="Times New Roman"/>
          <w:lang w:val="pl-PL"/>
        </w:rPr>
        <w:t xml:space="preserve">W badaniu III w ChL-C, w 4. tygodniu odpowiedź kliniczna wystąpiła u 58% (499/854) pacjentów, których oceniono w analizie pierwotnej. Spośród pacjentów wykazujących odpowiedź kliniczną w 4. tygodniu u 48% zastosowano wcześniej inny lek z grupy antagonistów TNF. Odsetki utrzymywania się remisji i odpowiedzi na leczenie przedstawiono w Tabeli </w:t>
      </w:r>
      <w:r w:rsidR="00270309" w:rsidRPr="008F328C">
        <w:rPr>
          <w:rFonts w:eastAsia="Times New Roman"/>
          <w:lang w:val="pl-PL"/>
        </w:rPr>
        <w:t>15</w:t>
      </w:r>
      <w:r w:rsidRPr="008F328C">
        <w:rPr>
          <w:rFonts w:eastAsia="Times New Roman"/>
          <w:lang w:val="pl-PL"/>
        </w:rPr>
        <w:t>. Wyniki remisji klinicznej utrzymywały się na względnie stałym poziomie niezależnie od uprzednio zastosowanego leku z grupy antagonistów TNF.</w:t>
      </w:r>
    </w:p>
    <w:p w14:paraId="059B26D0" w14:textId="77777777" w:rsidR="00C27F39" w:rsidRPr="008F328C" w:rsidRDefault="00C27F39" w:rsidP="00C27F39">
      <w:pPr>
        <w:spacing w:before="13" w:line="240" w:lineRule="exact"/>
        <w:rPr>
          <w:rFonts w:ascii="Times New Roman" w:hAnsi="Times New Roman" w:cs="Times New Roman"/>
          <w:sz w:val="24"/>
          <w:szCs w:val="24"/>
          <w:lang w:val="pl-PL"/>
        </w:rPr>
      </w:pPr>
    </w:p>
    <w:p w14:paraId="2C2CA6BF" w14:textId="77777777" w:rsidR="00C27F39" w:rsidRPr="008F328C" w:rsidRDefault="00C27F39" w:rsidP="00C27F39">
      <w:pPr>
        <w:pStyle w:val="a3"/>
        <w:rPr>
          <w:rFonts w:eastAsia="Times New Roman"/>
          <w:lang w:val="pl-PL"/>
        </w:rPr>
      </w:pPr>
      <w:r w:rsidRPr="008F328C">
        <w:rPr>
          <w:rFonts w:eastAsia="Times New Roman"/>
          <w:lang w:val="pl-PL"/>
        </w:rPr>
        <w:t>W 56. tygodniu liczba hospitalizacji w związku z chorobą oraz liczba zabiegów chirurgicznych zmniejszyła się istotnie statystycznie w grupie leczonej adalimumabem w porównaniu do placebo.</w:t>
      </w:r>
    </w:p>
    <w:p w14:paraId="4805B52B" w14:textId="77777777" w:rsidR="00C27F39" w:rsidRPr="008F328C" w:rsidRDefault="00C27F39" w:rsidP="00C27F39">
      <w:pPr>
        <w:pStyle w:val="a3"/>
        <w:rPr>
          <w:lang w:val="pl-PL"/>
        </w:rPr>
      </w:pPr>
    </w:p>
    <w:p w14:paraId="1E040CE9" w14:textId="19006A66"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15</w:t>
      </w:r>
    </w:p>
    <w:p w14:paraId="1C701BC4" w14:textId="77777777" w:rsidR="00C27F39" w:rsidRPr="008F328C" w:rsidRDefault="00C27F39" w:rsidP="00C27F39">
      <w:pPr>
        <w:pStyle w:val="a3"/>
        <w:jc w:val="center"/>
        <w:rPr>
          <w:b/>
          <w:lang w:val="pl-PL"/>
        </w:rPr>
      </w:pPr>
      <w:r w:rsidRPr="008F328C">
        <w:rPr>
          <w:rFonts w:eastAsia="Times New Roman"/>
          <w:b/>
          <w:bCs/>
          <w:lang w:val="pl-PL"/>
        </w:rPr>
        <w:t>Utrzymywanie się remisji klinicznej i odpowiedzi na leczenie (odsetek pacjentów)</w:t>
      </w:r>
    </w:p>
    <w:p w14:paraId="13E5EEDF" w14:textId="77777777" w:rsidR="00C27F39" w:rsidRPr="008F328C" w:rsidRDefault="00C27F39" w:rsidP="00C27F39">
      <w:pPr>
        <w:spacing w:before="6" w:line="10" w:lineRule="exact"/>
        <w:rPr>
          <w:rFonts w:ascii="Times New Roman" w:hAnsi="Times New Roman" w:cs="Times New Roman"/>
          <w:sz w:val="4"/>
          <w:szCs w:val="4"/>
          <w:lang w:val="pl-PL"/>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C27F39" w:rsidRPr="008F328C" w14:paraId="61C21483"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77098B1E" w14:textId="77777777" w:rsidR="00C27F39" w:rsidRPr="008F328C" w:rsidRDefault="00C27F39" w:rsidP="00ED6A7B">
            <w:pPr>
              <w:jc w:val="center"/>
              <w:rPr>
                <w:rFonts w:ascii="Times New Roman" w:hAnsi="Times New Roman" w:cs="Times New Roman"/>
                <w:lang w:val="pl-PL"/>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442B013F"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40DBB7C3" w14:textId="77777777" w:rsidR="00C27F39" w:rsidRPr="008F328C" w:rsidRDefault="00C27F39" w:rsidP="00ED6A7B">
            <w:pPr>
              <w:pStyle w:val="TableParagraph"/>
              <w:spacing w:line="240" w:lineRule="exact"/>
              <w:ind w:firstLine="115"/>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 co drugi tydzień</w:t>
            </w:r>
          </w:p>
        </w:tc>
        <w:tc>
          <w:tcPr>
            <w:tcW w:w="2150" w:type="dxa"/>
            <w:tcBorders>
              <w:top w:val="single" w:sz="5" w:space="0" w:color="000000"/>
              <w:left w:val="single" w:sz="5" w:space="0" w:color="000000"/>
              <w:bottom w:val="single" w:sz="5" w:space="0" w:color="000000"/>
              <w:right w:val="single" w:sz="5" w:space="0" w:color="000000"/>
            </w:tcBorders>
            <w:vAlign w:val="center"/>
          </w:tcPr>
          <w:p w14:paraId="48258091" w14:textId="77777777" w:rsidR="00C27F39" w:rsidRPr="008F328C" w:rsidRDefault="00C27F39" w:rsidP="00ED6A7B">
            <w:pPr>
              <w:pStyle w:val="TableParagraph"/>
              <w:spacing w:line="240" w:lineRule="exact"/>
              <w:ind w:hanging="16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 mg adalimumabu</w:t>
            </w:r>
            <w:r w:rsidRPr="008F328C">
              <w:rPr>
                <w:rFonts w:ascii="Times New Roman" w:eastAsia="Times New Roman" w:hAnsi="Times New Roman" w:cs="Times New Roman"/>
                <w:b/>
                <w:bCs/>
                <w:lang w:val="pl-PL"/>
              </w:rPr>
              <w:br/>
              <w:t xml:space="preserve"> co tydzień</w:t>
            </w:r>
          </w:p>
        </w:tc>
      </w:tr>
      <w:tr w:rsidR="00C27F39" w:rsidRPr="008F328C" w14:paraId="49184D19"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6D99DD9F"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42D81C84"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77CAC240"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88B0A56"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C27F39" w:rsidRPr="008F328C" w14:paraId="0426ADE7"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44529957"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2FD16F9B"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10B34E59"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49D17948"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47%*</w:t>
            </w:r>
          </w:p>
        </w:tc>
      </w:tr>
      <w:tr w:rsidR="00C27F39" w:rsidRPr="008F328C" w14:paraId="3137C7FA"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5AEA3C3A"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67155795"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38CDD927"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4C1087D5"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52%*</w:t>
            </w:r>
          </w:p>
        </w:tc>
      </w:tr>
      <w:tr w:rsidR="00C27F39" w:rsidRPr="008F328C" w14:paraId="0D101925"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43FF943E" w14:textId="77777777" w:rsidR="00C27F39" w:rsidRPr="008F328C" w:rsidRDefault="00C27F39" w:rsidP="00ED6A7B">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Pacjenci w remisji bez przyjmowania steroidów przez ≥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EE6E0DF"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3A4D9664"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D8F49D4"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15% (11/74)**</w:t>
            </w:r>
          </w:p>
        </w:tc>
      </w:tr>
      <w:tr w:rsidR="00C27F39" w:rsidRPr="008F328C" w14:paraId="585F7B00"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3DA14CB9"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b/>
                <w:bCs/>
                <w:lang w:val="pl-PL"/>
              </w:rPr>
              <w:t>56. tydzień</w:t>
            </w:r>
          </w:p>
        </w:tc>
        <w:tc>
          <w:tcPr>
            <w:tcW w:w="1417" w:type="dxa"/>
            <w:tcBorders>
              <w:top w:val="single" w:sz="5" w:space="0" w:color="000000"/>
              <w:left w:val="single" w:sz="5" w:space="0" w:color="000000"/>
              <w:bottom w:val="single" w:sz="5" w:space="0" w:color="000000"/>
              <w:right w:val="single" w:sz="5" w:space="0" w:color="000000"/>
            </w:tcBorders>
            <w:vAlign w:val="center"/>
          </w:tcPr>
          <w:p w14:paraId="70093C75"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2D6139E2"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05F663CE"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 = 157</w:t>
            </w:r>
          </w:p>
        </w:tc>
      </w:tr>
      <w:tr w:rsidR="00C27F39" w:rsidRPr="008F328C" w14:paraId="76BBC8CE"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61FE8C6F"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417" w:type="dxa"/>
            <w:tcBorders>
              <w:top w:val="single" w:sz="5" w:space="0" w:color="000000"/>
              <w:left w:val="single" w:sz="5" w:space="0" w:color="000000"/>
              <w:bottom w:val="single" w:sz="5" w:space="0" w:color="000000"/>
              <w:right w:val="single" w:sz="5" w:space="0" w:color="000000"/>
            </w:tcBorders>
            <w:vAlign w:val="center"/>
          </w:tcPr>
          <w:p w14:paraId="7D5E6B91"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2A519370"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1691E99C"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r>
      <w:tr w:rsidR="00C27F39" w:rsidRPr="008F328C" w14:paraId="41BB34D5"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1D137D73" w14:textId="77777777" w:rsidR="00C27F39" w:rsidRPr="008F328C" w:rsidRDefault="00C27F39" w:rsidP="00ED6A7B">
            <w:pPr>
              <w:pStyle w:val="TableParagraph"/>
              <w:spacing w:before="24"/>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FC06CF0"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641FE397"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366AFEBC"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48%*</w:t>
            </w:r>
          </w:p>
        </w:tc>
      </w:tr>
      <w:tr w:rsidR="00C27F39" w:rsidRPr="008F328C" w14:paraId="7239DD80" w14:textId="77777777" w:rsidTr="00ED6A7B">
        <w:tc>
          <w:tcPr>
            <w:tcW w:w="3467" w:type="dxa"/>
            <w:tcBorders>
              <w:top w:val="single" w:sz="5" w:space="0" w:color="000000"/>
              <w:left w:val="single" w:sz="5" w:space="0" w:color="000000"/>
              <w:bottom w:val="single" w:sz="5" w:space="0" w:color="000000"/>
              <w:right w:val="single" w:sz="5" w:space="0" w:color="000000"/>
            </w:tcBorders>
            <w:vAlign w:val="center"/>
          </w:tcPr>
          <w:p w14:paraId="45E6B49B" w14:textId="77777777" w:rsidR="00C27F39" w:rsidRPr="008F328C" w:rsidRDefault="00C27F39" w:rsidP="00ED6A7B">
            <w:pPr>
              <w:pStyle w:val="TableParagraph"/>
              <w:spacing w:before="40" w:line="240" w:lineRule="exact"/>
              <w:ind w:left="462" w:right="64"/>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Pacjenci w remisji bez przyjmowania steroidów przez ≥ 90 dni</w:t>
            </w:r>
            <w:r w:rsidRPr="008F328C">
              <w:rPr>
                <w:rFonts w:ascii="Times New Roman" w:eastAsia="Times New Roman" w:hAnsi="Times New Roman" w:cs="Times New Roman"/>
                <w:spacing w:val="-1"/>
                <w:vertAlign w:val="superscript"/>
                <w:lang w:val="pl-PL"/>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EAB875C"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5574A139"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7659E883" w14:textId="77777777" w:rsidR="00C27F39" w:rsidRPr="008F328C" w:rsidRDefault="00C27F39" w:rsidP="00ED6A7B">
            <w:pPr>
              <w:pStyle w:val="TableParagraph"/>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20% (15/74)**</w:t>
            </w:r>
          </w:p>
        </w:tc>
      </w:tr>
    </w:tbl>
    <w:p w14:paraId="30F377B4" w14:textId="77777777" w:rsidR="00C27F39" w:rsidRPr="008F328C" w:rsidRDefault="00C27F39" w:rsidP="00C27F39">
      <w:pPr>
        <w:pStyle w:val="a3"/>
        <w:rPr>
          <w:lang w:val="pl-PL"/>
        </w:rPr>
      </w:pPr>
      <w:r w:rsidRPr="008F328C">
        <w:rPr>
          <w:rFonts w:eastAsia="Times New Roman"/>
          <w:lang w:val="pl-PL"/>
        </w:rPr>
        <w:t>*p &lt; 0,001 dla adalimumabu w porównaniu do placebo, porównanie parami odsetków</w:t>
      </w:r>
    </w:p>
    <w:p w14:paraId="07440624" w14:textId="77777777" w:rsidR="00C27F39" w:rsidRPr="008F328C" w:rsidRDefault="00C27F39" w:rsidP="00C27F39">
      <w:pPr>
        <w:pStyle w:val="a3"/>
        <w:rPr>
          <w:lang w:val="pl-PL"/>
        </w:rPr>
      </w:pPr>
      <w:r w:rsidRPr="008F328C">
        <w:rPr>
          <w:rFonts w:eastAsia="Times New Roman"/>
          <w:lang w:val="pl-PL"/>
        </w:rPr>
        <w:t>**p &lt; 0,02 dla adalimumabu w porównaniu do placebo, porównanie parami odsetków</w:t>
      </w:r>
    </w:p>
    <w:p w14:paraId="57AC4D12" w14:textId="77777777" w:rsidR="00C27F39" w:rsidRPr="008F328C" w:rsidRDefault="00C27F39" w:rsidP="00C27F39">
      <w:pPr>
        <w:pStyle w:val="a3"/>
        <w:rPr>
          <w:lang w:val="pl-PL"/>
        </w:rPr>
      </w:pPr>
      <w:r w:rsidRPr="008F328C">
        <w:rPr>
          <w:rFonts w:eastAsia="Times New Roman"/>
          <w:position w:val="8"/>
          <w:sz w:val="14"/>
          <w:szCs w:val="14"/>
          <w:lang w:val="pl-PL"/>
        </w:rPr>
        <w:t xml:space="preserve">a </w:t>
      </w:r>
      <w:r w:rsidRPr="008F328C">
        <w:rPr>
          <w:rFonts w:eastAsia="Times New Roman"/>
          <w:position w:val="8"/>
          <w:lang w:val="pl-PL"/>
        </w:rPr>
        <w:t>pacjenci przyjmujący początkowo kortykosteroidy.</w:t>
      </w:r>
    </w:p>
    <w:p w14:paraId="08159C03" w14:textId="77777777" w:rsidR="00C27F39" w:rsidRPr="008F328C" w:rsidRDefault="00C27F39" w:rsidP="00C27F39">
      <w:pPr>
        <w:pStyle w:val="a3"/>
        <w:rPr>
          <w:lang w:val="pl-PL"/>
        </w:rPr>
      </w:pPr>
    </w:p>
    <w:p w14:paraId="400EC4DB" w14:textId="77777777" w:rsidR="00C27F39" w:rsidRPr="008F328C" w:rsidRDefault="00C27F39" w:rsidP="00C27F39">
      <w:pPr>
        <w:pStyle w:val="a3"/>
        <w:rPr>
          <w:lang w:val="pl-PL"/>
        </w:rPr>
      </w:pPr>
      <w:r w:rsidRPr="008F328C">
        <w:rPr>
          <w:rFonts w:eastAsia="Times New Roman"/>
          <w:spacing w:val="1"/>
          <w:lang w:val="pl-PL"/>
        </w:rPr>
        <w:t>Spośród pacjentów, którzy nie odpowiedzieli na leczenie w 4. tygodniu, przed upływem 12. tygodnia na leczenie odpowiedziało 43% pacjentów otrzymujących leczenie podtrzymujące adalimumabem w porównaniu do 30% pacjentów otrzymujących placebo w leczeniu podtrzymującym. Wyniki te sugerują, że kontynuowanie leczenia podtrzymującego do 12. tygodnia włącznie może być korzystne u pacjentów, którzy nie odpowiedzieli na leczenie przed upływem 4. tygodnia. Kontynuacja leczenia dłużej niż 12 tygodni nie spowodowała istotnie większej liczby odpowiedzi na leczenie (patrz punkt 4.2).</w:t>
      </w:r>
    </w:p>
    <w:p w14:paraId="11A2CE04" w14:textId="77777777" w:rsidR="00C27F39" w:rsidRPr="008F328C" w:rsidRDefault="00C27F39" w:rsidP="00C27F39">
      <w:pPr>
        <w:pStyle w:val="a3"/>
        <w:rPr>
          <w:lang w:val="pl-PL"/>
        </w:rPr>
      </w:pPr>
    </w:p>
    <w:p w14:paraId="2DC63BBB" w14:textId="77777777" w:rsidR="00C27F39" w:rsidRPr="008F328C" w:rsidRDefault="00C27F39" w:rsidP="00C27F39">
      <w:pPr>
        <w:pStyle w:val="a3"/>
        <w:rPr>
          <w:lang w:val="pl-PL"/>
        </w:rPr>
      </w:pPr>
      <w:r w:rsidRPr="008F328C">
        <w:rPr>
          <w:rFonts w:eastAsia="Times New Roman"/>
          <w:lang w:val="pl-PL"/>
        </w:rPr>
        <w:t>Stusiedemnastu z dwustusiedemdziesięciu sześciu (117/276) pacjentów z badania I w ChL-C oraz 272/777 pacjentów z badań II i III w ChL-C poddano obserwacji przez co najmniej 3 lata w ramach otwartego leczenia adalimumabem. Odpowiednio 88 i 189 pacjentów pozostawało w stanie remisji klinicznej. Odpowiedź kliniczną (CR-100) utrzymano odpowiednio u 102 i 233 pacjentów.</w:t>
      </w:r>
    </w:p>
    <w:p w14:paraId="28EE4B54" w14:textId="77777777" w:rsidR="00C27F39" w:rsidRPr="008F328C" w:rsidRDefault="00C27F39" w:rsidP="00C27F39">
      <w:pPr>
        <w:pStyle w:val="a3"/>
        <w:rPr>
          <w:lang w:val="pl-PL"/>
        </w:rPr>
      </w:pPr>
    </w:p>
    <w:p w14:paraId="58CC998D"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Jakość życia</w:t>
      </w:r>
    </w:p>
    <w:p w14:paraId="3C2B8D5D" w14:textId="77777777" w:rsidR="00C27F39" w:rsidRPr="008F328C" w:rsidRDefault="00C27F39" w:rsidP="00C27F39">
      <w:pPr>
        <w:pStyle w:val="a3"/>
        <w:rPr>
          <w:sz w:val="18"/>
          <w:szCs w:val="18"/>
          <w:lang w:val="pl-PL"/>
        </w:rPr>
      </w:pPr>
    </w:p>
    <w:p w14:paraId="6DDB0C23" w14:textId="77777777" w:rsidR="00C27F39" w:rsidRPr="008F328C" w:rsidRDefault="00C27F39" w:rsidP="00C27F39">
      <w:pPr>
        <w:pStyle w:val="a3"/>
        <w:rPr>
          <w:lang w:val="pl-PL"/>
        </w:rPr>
      </w:pPr>
      <w:r w:rsidRPr="008F328C">
        <w:rPr>
          <w:rFonts w:eastAsia="Times New Roman"/>
          <w:lang w:val="pl-PL"/>
        </w:rPr>
        <w:t>W badaniach I i II w ChL-C, statystycznie istotną poprawę całkowitej punktacji w kwestionariuszu swoistym dla choroby zapalnej jelit (ang</w:t>
      </w:r>
      <w:r w:rsidRPr="008F328C">
        <w:rPr>
          <w:rFonts w:eastAsia="Times New Roman"/>
          <w:i/>
          <w:lang w:val="pl-PL"/>
        </w:rPr>
        <w:t>. Inflammatory Bowel Disease Questionnaire</w:t>
      </w:r>
      <w:r w:rsidRPr="008F328C">
        <w:rPr>
          <w:rFonts w:eastAsia="Times New Roman"/>
          <w:lang w:val="pl-PL"/>
        </w:rPr>
        <w:t>, IBDQ) osiągnięto w 4. tygodniu u pacjentów losowo przydzielonych do grup otrzymujących adalimumab w dawkach 80/40 mg i 160/80 mg w porównaniu do placebo. Poprawę obserwowano również w 26. i 56. tygodniu w badaniu III w ChL-C w grupach leczonych adalimumabem w porównaniu do grupy otrzymującej placebo.</w:t>
      </w:r>
    </w:p>
    <w:p w14:paraId="120844B1" w14:textId="77777777" w:rsidR="00C27F39" w:rsidRPr="008F328C" w:rsidRDefault="00C27F39" w:rsidP="00C27F39">
      <w:pPr>
        <w:pStyle w:val="a3"/>
        <w:rPr>
          <w:lang w:val="pl-PL"/>
        </w:rPr>
      </w:pPr>
    </w:p>
    <w:p w14:paraId="1EF362BB" w14:textId="5912D7CF" w:rsidR="00C27F39" w:rsidRPr="008F328C" w:rsidRDefault="00270309" w:rsidP="00C27F39">
      <w:pPr>
        <w:pStyle w:val="a3"/>
        <w:rPr>
          <w:i/>
          <w:lang w:val="pl-PL"/>
        </w:rPr>
      </w:pPr>
      <w:r w:rsidRPr="008F328C">
        <w:rPr>
          <w:i/>
          <w:lang w:val="pl-PL"/>
        </w:rPr>
        <w:t>Zapalenie błony naczyniowej oka u dorosłych</w:t>
      </w:r>
    </w:p>
    <w:p w14:paraId="42EE171C" w14:textId="77777777" w:rsidR="00270309" w:rsidRPr="008F328C" w:rsidRDefault="00270309" w:rsidP="00C27F39">
      <w:pPr>
        <w:pStyle w:val="a3"/>
        <w:rPr>
          <w:sz w:val="24"/>
          <w:szCs w:val="24"/>
          <w:lang w:val="pl-PL"/>
        </w:rPr>
      </w:pPr>
    </w:p>
    <w:p w14:paraId="7A1F4F96" w14:textId="77777777" w:rsidR="00C27F39" w:rsidRPr="008F328C" w:rsidRDefault="00C27F39" w:rsidP="00C27F39">
      <w:pPr>
        <w:pStyle w:val="a3"/>
        <w:rPr>
          <w:lang w:val="pl-PL"/>
        </w:rPr>
      </w:pPr>
      <w:r w:rsidRPr="008F328C">
        <w:rPr>
          <w:rFonts w:eastAsia="Times New Roman"/>
          <w:lang w:val="pl-PL"/>
        </w:rPr>
        <w:t>Bezpieczeństwo stosowania i skuteczność adalimumabu u dorosłych pacjentów z nieinfekcyjnym zapaleniem błony naczyniowej oka w części pośredniej, odcinka tylnego i całej błony naczyniowej, z wyłączeniem pacjentów z izolowaną postacią zapalenia przedniego odcinka błony naczyniowej, oceniano w dwóch randomizowanych, podwójnie zaślepionych, kontrolowanych placebo badaniach klinicznych (UV I i II). Pacjenci otrzymywali placebo lub adalimumab w dawce początkowej 80 mg, a następnie po tygodniu od podania dawki początkowej w dawce 40 mg co drugi tydzień. Dozwolone było jednoczesne podawanie jednego niebiologicznego leku immunosupresyjnego w stałych dawkach.</w:t>
      </w:r>
    </w:p>
    <w:p w14:paraId="1E3D1B6A" w14:textId="77777777" w:rsidR="00C27F39" w:rsidRPr="008F328C" w:rsidRDefault="00C27F39" w:rsidP="00C27F39">
      <w:pPr>
        <w:pStyle w:val="a3"/>
        <w:rPr>
          <w:sz w:val="24"/>
          <w:szCs w:val="24"/>
          <w:lang w:val="pl-PL"/>
        </w:rPr>
      </w:pPr>
    </w:p>
    <w:p w14:paraId="295176F8" w14:textId="77777777" w:rsidR="00C27F39" w:rsidRPr="008F328C" w:rsidRDefault="00C27F39" w:rsidP="00C27F39">
      <w:pPr>
        <w:pStyle w:val="a3"/>
        <w:rPr>
          <w:lang w:val="pl-PL"/>
        </w:rPr>
      </w:pPr>
      <w:r w:rsidRPr="008F328C">
        <w:rPr>
          <w:rFonts w:eastAsia="Times New Roman"/>
          <w:lang w:val="pl-PL"/>
        </w:rPr>
        <w:t>W badaniu UV I oceniano 217 pacjentów z aktywnym zapaleniem błony naczyniowej oka pomimo leczenia kortykosteroidami (prednizon podawany doustnie w dawce od 10 do 60 mg/dobę). Wszyscy pacjenci otrzymywali przez 2 tygodnie po przystąpieniu do badania standardową dawkę prednizonu 60 mg/dobę, którą następnie stopniowo zmniejszano zgodnie z obowiązującym schematem, aż do całkowitego zaprzestania podawania kortykosteroidu przed upływem 15. tygodnia.</w:t>
      </w:r>
    </w:p>
    <w:p w14:paraId="354DCA2E" w14:textId="77777777" w:rsidR="00C27F39" w:rsidRPr="008F328C" w:rsidRDefault="00C27F39" w:rsidP="00C27F39">
      <w:pPr>
        <w:pStyle w:val="a3"/>
        <w:rPr>
          <w:sz w:val="24"/>
          <w:szCs w:val="24"/>
          <w:lang w:val="pl-PL"/>
        </w:rPr>
      </w:pPr>
    </w:p>
    <w:p w14:paraId="0452287F" w14:textId="77777777" w:rsidR="00C27F39" w:rsidRPr="008F328C" w:rsidRDefault="00C27F39" w:rsidP="00C27F39">
      <w:pPr>
        <w:pStyle w:val="a3"/>
        <w:rPr>
          <w:lang w:val="pl-PL"/>
        </w:rPr>
      </w:pPr>
      <w:r w:rsidRPr="008F328C">
        <w:rPr>
          <w:rFonts w:eastAsia="Times New Roman"/>
          <w:lang w:val="pl-PL"/>
        </w:rPr>
        <w:t>W badania UV II oceniano 226 pacjentów z nieaktywną postacią zapalenia błony naczyniowej oka, u których w momencie rozpoczynania badania konieczne było długotrwałe leczenie kortykosteroidami (prednizon podawany doustnie w dawce od 10 do 35 mg/dobę) w celu kontroli objawów choroby. Następnie u pacjentów stopniowo zmniejszano dawki, zgodnie z obowiązującym schematem, aż do całkowitego zaprzestania podawania kortykosteroidu przed upływem 19. tygodnia.</w:t>
      </w:r>
    </w:p>
    <w:p w14:paraId="5EE8452F" w14:textId="77777777" w:rsidR="00C27F39" w:rsidRPr="008F328C" w:rsidRDefault="00C27F39" w:rsidP="00C27F39">
      <w:pPr>
        <w:pStyle w:val="a3"/>
        <w:rPr>
          <w:sz w:val="24"/>
          <w:szCs w:val="24"/>
          <w:lang w:val="pl-PL"/>
        </w:rPr>
      </w:pPr>
    </w:p>
    <w:p w14:paraId="0FB30CFF" w14:textId="77777777" w:rsidR="00C27F39" w:rsidRPr="008F328C" w:rsidRDefault="00C27F39" w:rsidP="00C27F39">
      <w:pPr>
        <w:pStyle w:val="a3"/>
        <w:rPr>
          <w:lang w:val="pl-PL"/>
        </w:rPr>
      </w:pPr>
      <w:r w:rsidRPr="008F328C">
        <w:rPr>
          <w:rFonts w:eastAsia="Times New Roman"/>
          <w:lang w:val="pl-PL"/>
        </w:rPr>
        <w:t>W obydwu badaniach pierwszorzędowym punktem końcowym oceny skuteczności był „czas do niepowodzenia leczenia”. Niepowodzenie leczenia definiowano stosując wieloskładnikowy wynik leczenia oceniany na podstawie zapalnych zmian siatkówki i naczyniówki i (lub) zapalnych zmian naczyń siatkówki, stopnia wysięku komórek zapalnych w komorze przedniej (ang. anterior chamber, AC), stopnia zmętnienia ciała szklistego (ang. vitreous haze, HZ) i najlepszej skorygowanej ostrości wzroku (ang. best corrected visual acuity, BCVA).</w:t>
      </w:r>
    </w:p>
    <w:p w14:paraId="63063BD8" w14:textId="77777777" w:rsidR="00C27F39" w:rsidRPr="008F328C" w:rsidRDefault="00C27F39" w:rsidP="00C27F39">
      <w:pPr>
        <w:pStyle w:val="a3"/>
        <w:rPr>
          <w:sz w:val="24"/>
          <w:szCs w:val="24"/>
          <w:lang w:val="pl-PL"/>
        </w:rPr>
      </w:pPr>
    </w:p>
    <w:p w14:paraId="0132C9EE" w14:textId="77777777" w:rsidR="00C27F39" w:rsidRPr="008F328C" w:rsidRDefault="00C27F39" w:rsidP="00C27F39">
      <w:pPr>
        <w:pStyle w:val="a3"/>
        <w:rPr>
          <w:lang w:val="pl-PL"/>
        </w:rPr>
      </w:pPr>
      <w:r w:rsidRPr="008F328C">
        <w:rPr>
          <w:rFonts w:eastAsia="Times New Roman"/>
          <w:lang w:val="pl-PL"/>
        </w:rPr>
        <w:t>Pacjenci, którzy ukończyli badania UV I i UV II byli kwalifikowani do niekontrolowanego długoterminowego badania kontynuacyjnego o pierwotnie zaplanowanym czasie trwania 78 tygodni. Pacjentom pozwolono kontynuować leczenie badanym produktem leczniczym po 78. tygodniu, dopóki adalimumab nie był dla nich dostępny.</w:t>
      </w:r>
    </w:p>
    <w:p w14:paraId="147957A0" w14:textId="77777777" w:rsidR="00C27F39" w:rsidRPr="008F328C" w:rsidRDefault="00C27F39" w:rsidP="00C27F39">
      <w:pPr>
        <w:pStyle w:val="a3"/>
        <w:rPr>
          <w:sz w:val="24"/>
          <w:szCs w:val="24"/>
          <w:lang w:val="pl-PL"/>
        </w:rPr>
      </w:pPr>
    </w:p>
    <w:p w14:paraId="0E235664"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Odpowiedź kliniczna</w:t>
      </w:r>
    </w:p>
    <w:p w14:paraId="7CB60152" w14:textId="77777777" w:rsidR="00C27F39" w:rsidRPr="008F328C" w:rsidRDefault="00C27F39" w:rsidP="00C27F39">
      <w:pPr>
        <w:pStyle w:val="a3"/>
        <w:rPr>
          <w:sz w:val="18"/>
          <w:szCs w:val="18"/>
          <w:lang w:val="pl-PL"/>
        </w:rPr>
      </w:pPr>
    </w:p>
    <w:p w14:paraId="6D5D97D1" w14:textId="3FFCC46F" w:rsidR="00C27F39" w:rsidRPr="008F328C" w:rsidRDefault="00C27F39" w:rsidP="00C27F39">
      <w:pPr>
        <w:pStyle w:val="a3"/>
        <w:rPr>
          <w:rFonts w:eastAsia="Times New Roman"/>
          <w:lang w:val="pl-PL"/>
        </w:rPr>
      </w:pPr>
      <w:r w:rsidRPr="008F328C">
        <w:rPr>
          <w:rFonts w:eastAsia="Times New Roman"/>
          <w:lang w:val="pl-PL"/>
        </w:rPr>
        <w:t xml:space="preserve">Wyniki obydwu badań wykazały statystycznie istotne zmniejszenie ryzyka niepowodzenia leczenia u pacjentów leczonych adalimumabem w porównaniu do pacjentów otrzymujących placebo (patrz Tabela </w:t>
      </w:r>
      <w:r w:rsidR="00270309" w:rsidRPr="008F328C">
        <w:rPr>
          <w:rFonts w:eastAsia="Times New Roman"/>
          <w:lang w:val="pl-PL"/>
        </w:rPr>
        <w:t>16</w:t>
      </w:r>
      <w:r w:rsidRPr="008F328C">
        <w:rPr>
          <w:rFonts w:eastAsia="Times New Roman"/>
          <w:lang w:val="pl-PL"/>
        </w:rPr>
        <w:t xml:space="preserve">). Obydwa badania wykazały wczesny i utrzymujący się wpływ adalimumabu na odsetek niepowodzenia leczenia w porównaniu do placebo (patrz Rycina </w:t>
      </w:r>
      <w:r w:rsidR="00270309" w:rsidRPr="008F328C">
        <w:rPr>
          <w:rFonts w:eastAsia="Times New Roman"/>
          <w:lang w:val="pl-PL"/>
        </w:rPr>
        <w:t>1</w:t>
      </w:r>
      <w:r w:rsidRPr="008F328C">
        <w:rPr>
          <w:rFonts w:eastAsia="Times New Roman"/>
          <w:lang w:val="pl-PL"/>
        </w:rPr>
        <w:t>).</w:t>
      </w:r>
    </w:p>
    <w:p w14:paraId="3A961A3F" w14:textId="77777777" w:rsidR="00C27F39" w:rsidRPr="008F328C" w:rsidRDefault="00C27F39" w:rsidP="00C27F39">
      <w:pPr>
        <w:pStyle w:val="a3"/>
        <w:rPr>
          <w:lang w:val="pl-PL"/>
        </w:rPr>
      </w:pPr>
    </w:p>
    <w:p w14:paraId="30DFDB96" w14:textId="77777777" w:rsidR="00114A52" w:rsidRDefault="00114A52">
      <w:pPr>
        <w:rPr>
          <w:rFonts w:ascii="Times New Roman" w:eastAsia="Times New Roman" w:hAnsi="Times New Roman" w:cs="Times New Roman"/>
          <w:b/>
          <w:bCs/>
          <w:lang w:val="pl-PL"/>
        </w:rPr>
      </w:pPr>
      <w:r>
        <w:rPr>
          <w:rFonts w:eastAsia="Times New Roman"/>
          <w:b/>
          <w:bCs/>
          <w:lang w:val="pl-PL"/>
        </w:rPr>
        <w:br w:type="page"/>
      </w:r>
    </w:p>
    <w:p w14:paraId="2B79BD54" w14:textId="5BA054BE" w:rsidR="00C27F39" w:rsidRPr="008F328C" w:rsidRDefault="00C27F39" w:rsidP="00C27F39">
      <w:pPr>
        <w:pStyle w:val="a3"/>
        <w:jc w:val="center"/>
        <w:rPr>
          <w:b/>
          <w:lang w:val="pl-PL"/>
        </w:rPr>
      </w:pPr>
      <w:r w:rsidRPr="008F328C">
        <w:rPr>
          <w:rFonts w:eastAsia="Times New Roman"/>
          <w:b/>
          <w:bCs/>
          <w:lang w:val="pl-PL"/>
        </w:rPr>
        <w:lastRenderedPageBreak/>
        <w:t xml:space="preserve">Tabela </w:t>
      </w:r>
      <w:r w:rsidR="00270309" w:rsidRPr="008F328C">
        <w:rPr>
          <w:rFonts w:eastAsia="Times New Roman"/>
          <w:b/>
          <w:bCs/>
          <w:lang w:val="pl-PL"/>
        </w:rPr>
        <w:t>16</w:t>
      </w:r>
    </w:p>
    <w:p w14:paraId="7860FC34" w14:textId="77777777" w:rsidR="00C27F39" w:rsidRPr="008F328C" w:rsidRDefault="00C27F39" w:rsidP="00C27F39">
      <w:pPr>
        <w:pStyle w:val="a3"/>
        <w:jc w:val="center"/>
        <w:rPr>
          <w:b/>
          <w:lang w:val="pl-PL"/>
        </w:rPr>
      </w:pPr>
      <w:r w:rsidRPr="008F328C">
        <w:rPr>
          <w:rFonts w:eastAsia="Times New Roman"/>
          <w:b/>
          <w:bCs/>
          <w:lang w:val="pl-PL"/>
        </w:rPr>
        <w:t>Czas do niepowodzenia leczenia w badaniach UV I i UV II</w:t>
      </w:r>
    </w:p>
    <w:p w14:paraId="3BB85C0A" w14:textId="77777777" w:rsidR="00C27F39" w:rsidRPr="008F328C" w:rsidRDefault="00C27F39" w:rsidP="00C27F39">
      <w:pPr>
        <w:pStyle w:val="a3"/>
        <w:jc w:val="center"/>
        <w:rPr>
          <w:b/>
          <w:lang w:val="pl-PL"/>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2"/>
        <w:gridCol w:w="1369"/>
        <w:gridCol w:w="1982"/>
        <w:gridCol w:w="1597"/>
        <w:gridCol w:w="1045"/>
        <w:gridCol w:w="1052"/>
        <w:gridCol w:w="1102"/>
      </w:tblGrid>
      <w:tr w:rsidR="00C27F39" w:rsidRPr="008F328C" w14:paraId="10A58113" w14:textId="77777777" w:rsidTr="00ED6A7B">
        <w:trPr>
          <w:trHeight w:val="378"/>
          <w:jc w:val="center"/>
        </w:trPr>
        <w:tc>
          <w:tcPr>
            <w:tcW w:w="1624" w:type="dxa"/>
            <w:tcBorders>
              <w:top w:val="single" w:sz="4" w:space="0" w:color="auto"/>
              <w:bottom w:val="single" w:sz="4" w:space="0" w:color="auto"/>
            </w:tcBorders>
            <w:vAlign w:val="center"/>
          </w:tcPr>
          <w:p w14:paraId="2AAFBCEE" w14:textId="77777777" w:rsidR="00C27F39" w:rsidRPr="008F328C" w:rsidRDefault="00C27F39" w:rsidP="00ED6A7B">
            <w:pPr>
              <w:pStyle w:val="a3"/>
              <w:jc w:val="center"/>
              <w:rPr>
                <w:b/>
                <w:lang w:val="pl-PL" w:eastAsia="ko-KR"/>
              </w:rPr>
            </w:pPr>
            <w:r w:rsidRPr="008F328C">
              <w:rPr>
                <w:rFonts w:eastAsia="Times New Roman"/>
                <w:b/>
                <w:bCs/>
                <w:lang w:val="pl-PL" w:eastAsia="ko-KR"/>
              </w:rPr>
              <w:t>Analiza leczenia</w:t>
            </w:r>
          </w:p>
        </w:tc>
        <w:tc>
          <w:tcPr>
            <w:tcW w:w="1530" w:type="dxa"/>
            <w:tcBorders>
              <w:top w:val="single" w:sz="4" w:space="0" w:color="auto"/>
              <w:bottom w:val="single" w:sz="4" w:space="0" w:color="auto"/>
            </w:tcBorders>
            <w:vAlign w:val="center"/>
          </w:tcPr>
          <w:p w14:paraId="32EFD360" w14:textId="77777777" w:rsidR="00C27F39" w:rsidRPr="008F328C" w:rsidRDefault="00C27F39" w:rsidP="00ED6A7B">
            <w:pPr>
              <w:pStyle w:val="a3"/>
              <w:jc w:val="center"/>
              <w:rPr>
                <w:b/>
                <w:lang w:val="pl-PL"/>
              </w:rPr>
            </w:pPr>
            <w:r w:rsidRPr="008F328C">
              <w:rPr>
                <w:rFonts w:eastAsia="Times New Roman"/>
                <w:b/>
                <w:bCs/>
                <w:lang w:val="pl-PL"/>
              </w:rPr>
              <w:t>N</w:t>
            </w:r>
          </w:p>
        </w:tc>
        <w:tc>
          <w:tcPr>
            <w:tcW w:w="2052" w:type="dxa"/>
            <w:tcBorders>
              <w:top w:val="single" w:sz="4" w:space="0" w:color="auto"/>
              <w:bottom w:val="single" w:sz="4" w:space="0" w:color="auto"/>
            </w:tcBorders>
            <w:vAlign w:val="center"/>
          </w:tcPr>
          <w:p w14:paraId="358CC658" w14:textId="77777777" w:rsidR="00C27F39" w:rsidRPr="008F328C" w:rsidRDefault="00C27F39" w:rsidP="00ED6A7B">
            <w:pPr>
              <w:pStyle w:val="a3"/>
              <w:jc w:val="center"/>
              <w:rPr>
                <w:b/>
                <w:lang w:val="pl-PL"/>
              </w:rPr>
            </w:pPr>
            <w:r w:rsidRPr="008F328C">
              <w:rPr>
                <w:rFonts w:eastAsia="Times New Roman"/>
                <w:b/>
                <w:bCs/>
                <w:spacing w:val="-1"/>
                <w:lang w:val="pl-PL"/>
              </w:rPr>
              <w:t>Niepowodzenie N (%)</w:t>
            </w:r>
          </w:p>
        </w:tc>
        <w:tc>
          <w:tcPr>
            <w:tcW w:w="1130" w:type="dxa"/>
            <w:tcBorders>
              <w:top w:val="single" w:sz="4" w:space="0" w:color="auto"/>
              <w:bottom w:val="single" w:sz="4" w:space="0" w:color="auto"/>
            </w:tcBorders>
          </w:tcPr>
          <w:p w14:paraId="74A1E7D8" w14:textId="77777777" w:rsidR="00C27F39" w:rsidRPr="008F328C" w:rsidRDefault="00C27F39" w:rsidP="00ED6A7B">
            <w:pPr>
              <w:pStyle w:val="a3"/>
              <w:jc w:val="center"/>
              <w:rPr>
                <w:b/>
                <w:bCs/>
                <w:spacing w:val="-1"/>
                <w:lang w:val="pl-PL" w:eastAsia="ko-KR"/>
              </w:rPr>
            </w:pPr>
            <w:r w:rsidRPr="008F328C">
              <w:rPr>
                <w:rFonts w:eastAsia="Times New Roman"/>
                <w:b/>
                <w:bCs/>
                <w:spacing w:val="-1"/>
                <w:lang w:val="pl-PL" w:eastAsia="ko-KR"/>
              </w:rPr>
              <w:t>Mediana czasu do niepowodzenia (miesiące)</w:t>
            </w:r>
          </w:p>
        </w:tc>
        <w:tc>
          <w:tcPr>
            <w:tcW w:w="1130" w:type="dxa"/>
            <w:tcBorders>
              <w:top w:val="single" w:sz="4" w:space="0" w:color="auto"/>
              <w:bottom w:val="single" w:sz="4" w:space="0" w:color="auto"/>
            </w:tcBorders>
            <w:vAlign w:val="center"/>
          </w:tcPr>
          <w:p w14:paraId="02484D6C" w14:textId="77777777" w:rsidR="00C27F39" w:rsidRPr="008F328C" w:rsidRDefault="00C27F39" w:rsidP="00ED6A7B">
            <w:pPr>
              <w:pStyle w:val="a3"/>
              <w:jc w:val="center"/>
              <w:rPr>
                <w:b/>
                <w:bCs/>
                <w:spacing w:val="-1"/>
                <w:lang w:val="pl-PL" w:eastAsia="ko-KR"/>
              </w:rPr>
            </w:pPr>
            <w:r w:rsidRPr="008F328C">
              <w:rPr>
                <w:rFonts w:eastAsia="Times New Roman"/>
                <w:b/>
                <w:bCs/>
                <w:spacing w:val="-1"/>
                <w:lang w:val="pl-PL" w:eastAsia="ko-KR"/>
              </w:rPr>
              <w:t>HR</w:t>
            </w:r>
            <w:r w:rsidRPr="008F328C">
              <w:rPr>
                <w:rFonts w:eastAsia="Times New Roman"/>
                <w:b/>
                <w:bCs/>
                <w:spacing w:val="-1"/>
                <w:vertAlign w:val="superscript"/>
                <w:lang w:val="pl-PL" w:eastAsia="ko-KR"/>
              </w:rPr>
              <w:t>a</w:t>
            </w:r>
          </w:p>
        </w:tc>
        <w:tc>
          <w:tcPr>
            <w:tcW w:w="1130" w:type="dxa"/>
            <w:tcBorders>
              <w:top w:val="single" w:sz="4" w:space="0" w:color="auto"/>
              <w:bottom w:val="single" w:sz="4" w:space="0" w:color="auto"/>
            </w:tcBorders>
            <w:vAlign w:val="center"/>
          </w:tcPr>
          <w:p w14:paraId="2ACED6C4" w14:textId="77777777" w:rsidR="00C27F39" w:rsidRPr="008F328C" w:rsidRDefault="00C27F39" w:rsidP="00ED6A7B">
            <w:pPr>
              <w:pStyle w:val="a3"/>
              <w:jc w:val="center"/>
              <w:rPr>
                <w:b/>
                <w:bCs/>
                <w:spacing w:val="-1"/>
                <w:lang w:val="pl-PL" w:eastAsia="ko-KR"/>
              </w:rPr>
            </w:pPr>
            <w:r w:rsidRPr="008F328C">
              <w:rPr>
                <w:rFonts w:eastAsia="Times New Roman"/>
                <w:b/>
                <w:bCs/>
                <w:spacing w:val="-1"/>
                <w:lang w:val="pl-PL" w:eastAsia="ko-KR"/>
              </w:rPr>
              <w:t>CI 95% dla HR</w:t>
            </w:r>
            <w:r w:rsidRPr="008F328C">
              <w:rPr>
                <w:rFonts w:eastAsia="Times New Roman"/>
                <w:b/>
                <w:bCs/>
                <w:spacing w:val="-1"/>
                <w:sz w:val="14"/>
                <w:szCs w:val="14"/>
                <w:lang w:val="pl-PL" w:eastAsia="ko-KR"/>
              </w:rPr>
              <w:t>a</w:t>
            </w:r>
          </w:p>
        </w:tc>
        <w:tc>
          <w:tcPr>
            <w:tcW w:w="1130" w:type="dxa"/>
            <w:tcBorders>
              <w:top w:val="single" w:sz="4" w:space="0" w:color="auto"/>
              <w:bottom w:val="single" w:sz="4" w:space="0" w:color="auto"/>
            </w:tcBorders>
            <w:vAlign w:val="center"/>
          </w:tcPr>
          <w:p w14:paraId="5C11EF53" w14:textId="77777777" w:rsidR="00C27F39" w:rsidRPr="008F328C" w:rsidRDefault="00C27F39" w:rsidP="00ED6A7B">
            <w:pPr>
              <w:pStyle w:val="a3"/>
              <w:jc w:val="center"/>
              <w:rPr>
                <w:b/>
                <w:lang w:val="pl-PL"/>
              </w:rPr>
            </w:pPr>
            <w:r w:rsidRPr="008F328C">
              <w:rPr>
                <w:rFonts w:eastAsia="Times New Roman"/>
                <w:bCs/>
                <w:i/>
                <w:iCs/>
                <w:spacing w:val="-1"/>
                <w:lang w:val="pl-PL" w:eastAsia="ko-KR"/>
              </w:rPr>
              <w:t xml:space="preserve">Wartość </w:t>
            </w:r>
            <w:r w:rsidRPr="008F328C">
              <w:rPr>
                <w:rFonts w:eastAsia="Times New Roman"/>
                <w:b/>
                <w:bCs/>
                <w:i/>
                <w:iCs/>
                <w:spacing w:val="-1"/>
                <w:lang w:val="pl-PL" w:eastAsia="ko-KR"/>
              </w:rPr>
              <w:t>p</w:t>
            </w:r>
            <w:r w:rsidRPr="008F328C">
              <w:rPr>
                <w:rFonts w:eastAsia="Times New Roman"/>
                <w:b/>
                <w:bCs/>
                <w:spacing w:val="-1"/>
                <w:vertAlign w:val="superscript"/>
                <w:lang w:val="pl-PL" w:eastAsia="ko-KR"/>
              </w:rPr>
              <w:t>b</w:t>
            </w:r>
          </w:p>
          <w:p w14:paraId="371736FE" w14:textId="77777777" w:rsidR="00C27F39" w:rsidRPr="008F328C" w:rsidRDefault="00C27F39" w:rsidP="00ED6A7B">
            <w:pPr>
              <w:pStyle w:val="a3"/>
              <w:jc w:val="center"/>
              <w:rPr>
                <w:rFonts w:eastAsia="Times New Roman"/>
                <w:b/>
                <w:bCs/>
                <w:spacing w:val="-1"/>
                <w:lang w:val="pl-PL"/>
              </w:rPr>
            </w:pPr>
          </w:p>
        </w:tc>
      </w:tr>
      <w:tr w:rsidR="00C27F39" w:rsidRPr="008F328C" w14:paraId="51A1191B" w14:textId="77777777" w:rsidTr="00ED6A7B">
        <w:trPr>
          <w:trHeight w:val="378"/>
          <w:jc w:val="center"/>
        </w:trPr>
        <w:tc>
          <w:tcPr>
            <w:tcW w:w="9729" w:type="dxa"/>
            <w:gridSpan w:val="7"/>
            <w:tcBorders>
              <w:top w:val="single" w:sz="4" w:space="0" w:color="auto"/>
              <w:bottom w:val="single" w:sz="4" w:space="0" w:color="auto"/>
            </w:tcBorders>
            <w:vAlign w:val="center"/>
          </w:tcPr>
          <w:p w14:paraId="38555E5D" w14:textId="77777777" w:rsidR="00C27F39" w:rsidRPr="008F328C" w:rsidRDefault="00C27F39" w:rsidP="00ED6A7B">
            <w:pPr>
              <w:pStyle w:val="a3"/>
              <w:rPr>
                <w:b/>
                <w:lang w:val="pl-PL"/>
              </w:rPr>
            </w:pPr>
            <w:r w:rsidRPr="008F328C">
              <w:rPr>
                <w:rFonts w:eastAsia="Times New Roman"/>
                <w:b/>
                <w:bCs/>
                <w:lang w:val="pl-PL"/>
              </w:rPr>
              <w:t xml:space="preserve">Czas do niepowodzenia leczenia w 6. tygodniu lub po 6. tygodniu w badaniu UV I </w:t>
            </w:r>
          </w:p>
          <w:p w14:paraId="3E11F2EC" w14:textId="77777777" w:rsidR="00C27F39" w:rsidRPr="008F328C" w:rsidRDefault="00C27F39" w:rsidP="00ED6A7B">
            <w:pPr>
              <w:pStyle w:val="a3"/>
              <w:jc w:val="both"/>
              <w:rPr>
                <w:lang w:val="pl-PL"/>
              </w:rPr>
            </w:pPr>
            <w:r w:rsidRPr="008F328C">
              <w:rPr>
                <w:rFonts w:eastAsia="Times New Roman"/>
                <w:b/>
                <w:bCs/>
                <w:lang w:val="pl-PL"/>
              </w:rPr>
              <w:t>Pierwotna analiza (ITT)</w:t>
            </w:r>
          </w:p>
        </w:tc>
      </w:tr>
      <w:tr w:rsidR="00C27F39" w:rsidRPr="008F328C" w14:paraId="65B064E2" w14:textId="77777777" w:rsidTr="00ED6A7B">
        <w:trPr>
          <w:trHeight w:val="393"/>
          <w:jc w:val="center"/>
        </w:trPr>
        <w:tc>
          <w:tcPr>
            <w:tcW w:w="1624" w:type="dxa"/>
            <w:tcBorders>
              <w:top w:val="single" w:sz="4" w:space="0" w:color="auto"/>
            </w:tcBorders>
            <w:vAlign w:val="center"/>
          </w:tcPr>
          <w:p w14:paraId="2C4D04B1" w14:textId="77777777" w:rsidR="00C27F39" w:rsidRPr="008F328C" w:rsidRDefault="00C27F39" w:rsidP="00ED6A7B">
            <w:pPr>
              <w:pStyle w:val="a3"/>
              <w:jc w:val="center"/>
              <w:rPr>
                <w:lang w:val="pl-PL"/>
              </w:rPr>
            </w:pPr>
            <w:r w:rsidRPr="008F328C">
              <w:rPr>
                <w:rFonts w:eastAsia="Times New Roman"/>
                <w:lang w:val="pl-PL"/>
              </w:rPr>
              <w:t>Placebo</w:t>
            </w:r>
          </w:p>
        </w:tc>
        <w:tc>
          <w:tcPr>
            <w:tcW w:w="1530" w:type="dxa"/>
            <w:tcBorders>
              <w:top w:val="single" w:sz="4" w:space="0" w:color="auto"/>
            </w:tcBorders>
          </w:tcPr>
          <w:p w14:paraId="21B9B2A6" w14:textId="77777777" w:rsidR="00C27F39" w:rsidRPr="008F328C" w:rsidRDefault="00C27F39" w:rsidP="00ED6A7B">
            <w:pPr>
              <w:pStyle w:val="a3"/>
              <w:jc w:val="center"/>
              <w:rPr>
                <w:lang w:val="pl-PL"/>
              </w:rPr>
            </w:pPr>
            <w:r w:rsidRPr="008F328C">
              <w:rPr>
                <w:rFonts w:eastAsia="Times New Roman"/>
                <w:lang w:val="pl-PL"/>
              </w:rPr>
              <w:t xml:space="preserve">107 </w:t>
            </w:r>
          </w:p>
        </w:tc>
        <w:tc>
          <w:tcPr>
            <w:tcW w:w="2052" w:type="dxa"/>
            <w:tcBorders>
              <w:top w:val="single" w:sz="4" w:space="0" w:color="auto"/>
            </w:tcBorders>
          </w:tcPr>
          <w:p w14:paraId="6C07548E" w14:textId="77777777" w:rsidR="00C27F39" w:rsidRPr="008F328C" w:rsidRDefault="00C27F39" w:rsidP="00ED6A7B">
            <w:pPr>
              <w:pStyle w:val="a3"/>
              <w:jc w:val="center"/>
              <w:rPr>
                <w:lang w:val="pl-PL"/>
              </w:rPr>
            </w:pPr>
            <w:r w:rsidRPr="008F328C">
              <w:rPr>
                <w:rFonts w:eastAsia="Times New Roman"/>
                <w:lang w:val="pl-PL"/>
              </w:rPr>
              <w:t xml:space="preserve">84 (78,5) </w:t>
            </w:r>
          </w:p>
        </w:tc>
        <w:tc>
          <w:tcPr>
            <w:tcW w:w="1130" w:type="dxa"/>
            <w:tcBorders>
              <w:top w:val="single" w:sz="4" w:space="0" w:color="auto"/>
            </w:tcBorders>
          </w:tcPr>
          <w:p w14:paraId="7043CC03" w14:textId="77777777" w:rsidR="00C27F39" w:rsidRPr="008F328C" w:rsidRDefault="00C27F39" w:rsidP="00ED6A7B">
            <w:pPr>
              <w:pStyle w:val="a3"/>
              <w:jc w:val="center"/>
              <w:rPr>
                <w:lang w:val="pl-PL"/>
              </w:rPr>
            </w:pPr>
            <w:r w:rsidRPr="008F328C">
              <w:rPr>
                <w:rFonts w:eastAsia="Times New Roman"/>
                <w:lang w:val="pl-PL"/>
              </w:rPr>
              <w:t xml:space="preserve">3,0 </w:t>
            </w:r>
          </w:p>
        </w:tc>
        <w:tc>
          <w:tcPr>
            <w:tcW w:w="1130" w:type="dxa"/>
            <w:tcBorders>
              <w:top w:val="single" w:sz="4" w:space="0" w:color="auto"/>
            </w:tcBorders>
          </w:tcPr>
          <w:p w14:paraId="73F675D0" w14:textId="77777777" w:rsidR="00C27F39" w:rsidRPr="008F328C" w:rsidRDefault="00C27F39" w:rsidP="00ED6A7B">
            <w:pPr>
              <w:pStyle w:val="a3"/>
              <w:jc w:val="center"/>
              <w:rPr>
                <w:lang w:val="pl-PL"/>
              </w:rPr>
            </w:pPr>
            <w:r w:rsidRPr="008F328C">
              <w:rPr>
                <w:lang w:val="pl-PL"/>
              </w:rPr>
              <w:t xml:space="preserve">-- </w:t>
            </w:r>
          </w:p>
        </w:tc>
        <w:tc>
          <w:tcPr>
            <w:tcW w:w="1130" w:type="dxa"/>
            <w:tcBorders>
              <w:top w:val="single" w:sz="4" w:space="0" w:color="auto"/>
            </w:tcBorders>
          </w:tcPr>
          <w:p w14:paraId="5112ADF7" w14:textId="77777777" w:rsidR="00C27F39" w:rsidRPr="008F328C" w:rsidRDefault="00C27F39" w:rsidP="00ED6A7B">
            <w:pPr>
              <w:pStyle w:val="a3"/>
              <w:jc w:val="center"/>
              <w:rPr>
                <w:lang w:val="pl-PL"/>
              </w:rPr>
            </w:pPr>
            <w:r w:rsidRPr="008F328C">
              <w:rPr>
                <w:lang w:val="pl-PL"/>
              </w:rPr>
              <w:t xml:space="preserve">-- </w:t>
            </w:r>
          </w:p>
        </w:tc>
        <w:tc>
          <w:tcPr>
            <w:tcW w:w="1130" w:type="dxa"/>
            <w:tcBorders>
              <w:top w:val="single" w:sz="4" w:space="0" w:color="auto"/>
            </w:tcBorders>
          </w:tcPr>
          <w:p w14:paraId="54A8AAE1" w14:textId="77777777" w:rsidR="00C27F39" w:rsidRPr="008F328C" w:rsidRDefault="00C27F39" w:rsidP="00ED6A7B">
            <w:pPr>
              <w:pStyle w:val="a3"/>
              <w:jc w:val="center"/>
              <w:rPr>
                <w:lang w:val="pl-PL"/>
              </w:rPr>
            </w:pPr>
            <w:r w:rsidRPr="008F328C">
              <w:rPr>
                <w:lang w:val="pl-PL"/>
              </w:rPr>
              <w:t xml:space="preserve">-- </w:t>
            </w:r>
          </w:p>
        </w:tc>
      </w:tr>
      <w:tr w:rsidR="00C27F39" w:rsidRPr="008F328C" w14:paraId="1EBB8FCE" w14:textId="77777777" w:rsidTr="00ED6A7B">
        <w:trPr>
          <w:trHeight w:val="378"/>
          <w:jc w:val="center"/>
        </w:trPr>
        <w:tc>
          <w:tcPr>
            <w:tcW w:w="1624" w:type="dxa"/>
            <w:tcBorders>
              <w:bottom w:val="single" w:sz="4" w:space="0" w:color="auto"/>
            </w:tcBorders>
            <w:vAlign w:val="center"/>
          </w:tcPr>
          <w:p w14:paraId="3B1B2890" w14:textId="77777777" w:rsidR="00C27F39" w:rsidRPr="008F328C" w:rsidRDefault="00C27F39" w:rsidP="00ED6A7B">
            <w:pPr>
              <w:pStyle w:val="a3"/>
              <w:jc w:val="center"/>
              <w:rPr>
                <w:lang w:val="pl-PL"/>
              </w:rPr>
            </w:pPr>
            <w:r w:rsidRPr="008F328C">
              <w:rPr>
                <w:rFonts w:eastAsia="Times New Roman"/>
                <w:lang w:val="pl-PL"/>
              </w:rPr>
              <w:t>Adalimumab</w:t>
            </w:r>
          </w:p>
        </w:tc>
        <w:tc>
          <w:tcPr>
            <w:tcW w:w="1530" w:type="dxa"/>
            <w:tcBorders>
              <w:bottom w:val="single" w:sz="4" w:space="0" w:color="auto"/>
            </w:tcBorders>
          </w:tcPr>
          <w:p w14:paraId="1BEFFCD3" w14:textId="77777777" w:rsidR="00C27F39" w:rsidRPr="008F328C" w:rsidRDefault="00C27F39" w:rsidP="00ED6A7B">
            <w:pPr>
              <w:pStyle w:val="a3"/>
              <w:jc w:val="center"/>
              <w:rPr>
                <w:lang w:val="pl-PL"/>
              </w:rPr>
            </w:pPr>
            <w:r w:rsidRPr="008F328C">
              <w:rPr>
                <w:rFonts w:eastAsia="Times New Roman"/>
                <w:lang w:val="pl-PL"/>
              </w:rPr>
              <w:t xml:space="preserve">110 </w:t>
            </w:r>
          </w:p>
        </w:tc>
        <w:tc>
          <w:tcPr>
            <w:tcW w:w="2052" w:type="dxa"/>
            <w:tcBorders>
              <w:bottom w:val="single" w:sz="4" w:space="0" w:color="auto"/>
            </w:tcBorders>
          </w:tcPr>
          <w:p w14:paraId="60C2DC54" w14:textId="77777777" w:rsidR="00C27F39" w:rsidRPr="008F328C" w:rsidRDefault="00C27F39" w:rsidP="00ED6A7B">
            <w:pPr>
              <w:pStyle w:val="a3"/>
              <w:jc w:val="center"/>
              <w:rPr>
                <w:lang w:val="pl-PL"/>
              </w:rPr>
            </w:pPr>
            <w:r w:rsidRPr="008F328C">
              <w:rPr>
                <w:rFonts w:eastAsia="Times New Roman"/>
                <w:lang w:val="pl-PL"/>
              </w:rPr>
              <w:t xml:space="preserve">60 (54,5) </w:t>
            </w:r>
          </w:p>
        </w:tc>
        <w:tc>
          <w:tcPr>
            <w:tcW w:w="1130" w:type="dxa"/>
            <w:tcBorders>
              <w:bottom w:val="single" w:sz="4" w:space="0" w:color="auto"/>
            </w:tcBorders>
          </w:tcPr>
          <w:p w14:paraId="2E8B6CC4" w14:textId="77777777" w:rsidR="00C27F39" w:rsidRPr="008F328C" w:rsidRDefault="00C27F39" w:rsidP="00ED6A7B">
            <w:pPr>
              <w:pStyle w:val="a3"/>
              <w:jc w:val="center"/>
              <w:rPr>
                <w:lang w:val="pl-PL"/>
              </w:rPr>
            </w:pPr>
            <w:r w:rsidRPr="008F328C">
              <w:rPr>
                <w:rFonts w:eastAsia="Times New Roman"/>
                <w:lang w:val="pl-PL"/>
              </w:rPr>
              <w:t xml:space="preserve">5,6 </w:t>
            </w:r>
          </w:p>
        </w:tc>
        <w:tc>
          <w:tcPr>
            <w:tcW w:w="1130" w:type="dxa"/>
            <w:tcBorders>
              <w:bottom w:val="single" w:sz="4" w:space="0" w:color="auto"/>
            </w:tcBorders>
          </w:tcPr>
          <w:p w14:paraId="35D86469" w14:textId="77777777" w:rsidR="00C27F39" w:rsidRPr="008F328C" w:rsidRDefault="00C27F39" w:rsidP="00ED6A7B">
            <w:pPr>
              <w:pStyle w:val="a3"/>
              <w:jc w:val="center"/>
              <w:rPr>
                <w:lang w:val="pl-PL"/>
              </w:rPr>
            </w:pPr>
            <w:r w:rsidRPr="008F328C">
              <w:rPr>
                <w:rFonts w:eastAsia="Times New Roman"/>
                <w:lang w:val="pl-PL"/>
              </w:rPr>
              <w:t xml:space="preserve">0,50 </w:t>
            </w:r>
          </w:p>
        </w:tc>
        <w:tc>
          <w:tcPr>
            <w:tcW w:w="1130" w:type="dxa"/>
            <w:tcBorders>
              <w:bottom w:val="single" w:sz="4" w:space="0" w:color="auto"/>
            </w:tcBorders>
          </w:tcPr>
          <w:p w14:paraId="4990D561" w14:textId="77777777" w:rsidR="00C27F39" w:rsidRPr="008F328C" w:rsidRDefault="00C27F39" w:rsidP="00ED6A7B">
            <w:pPr>
              <w:pStyle w:val="a3"/>
              <w:jc w:val="center"/>
              <w:rPr>
                <w:lang w:val="pl-PL"/>
              </w:rPr>
            </w:pPr>
            <w:r w:rsidRPr="008F328C">
              <w:rPr>
                <w:rFonts w:eastAsia="Times New Roman"/>
                <w:lang w:val="pl-PL"/>
              </w:rPr>
              <w:t xml:space="preserve">0,36, 0,70 </w:t>
            </w:r>
          </w:p>
        </w:tc>
        <w:tc>
          <w:tcPr>
            <w:tcW w:w="1130" w:type="dxa"/>
            <w:tcBorders>
              <w:bottom w:val="single" w:sz="4" w:space="0" w:color="auto"/>
            </w:tcBorders>
          </w:tcPr>
          <w:p w14:paraId="5456BDC8" w14:textId="77777777" w:rsidR="00C27F39" w:rsidRPr="008F328C" w:rsidRDefault="00C27F39" w:rsidP="00ED6A7B">
            <w:pPr>
              <w:pStyle w:val="a3"/>
              <w:jc w:val="center"/>
              <w:rPr>
                <w:lang w:val="pl-PL"/>
              </w:rPr>
            </w:pPr>
            <w:r w:rsidRPr="008F328C">
              <w:rPr>
                <w:rFonts w:eastAsia="Times New Roman"/>
                <w:lang w:val="pl-PL"/>
              </w:rPr>
              <w:t xml:space="preserve">&lt;0,001 </w:t>
            </w:r>
          </w:p>
        </w:tc>
      </w:tr>
      <w:tr w:rsidR="00C27F39" w:rsidRPr="008F328C" w14:paraId="23C7C408" w14:textId="77777777" w:rsidTr="00ED6A7B">
        <w:trPr>
          <w:trHeight w:val="378"/>
          <w:jc w:val="center"/>
        </w:trPr>
        <w:tc>
          <w:tcPr>
            <w:tcW w:w="9729" w:type="dxa"/>
            <w:gridSpan w:val="7"/>
            <w:tcBorders>
              <w:top w:val="single" w:sz="4" w:space="0" w:color="auto"/>
              <w:bottom w:val="single" w:sz="4" w:space="0" w:color="auto"/>
            </w:tcBorders>
            <w:vAlign w:val="center"/>
          </w:tcPr>
          <w:p w14:paraId="1C8885C4" w14:textId="77777777" w:rsidR="00C27F39" w:rsidRPr="008F328C" w:rsidRDefault="00C27F39" w:rsidP="00ED6A7B">
            <w:pPr>
              <w:pStyle w:val="a3"/>
              <w:jc w:val="both"/>
              <w:rPr>
                <w:b/>
                <w:lang w:val="pl-PL"/>
              </w:rPr>
            </w:pPr>
            <w:r w:rsidRPr="008F328C">
              <w:rPr>
                <w:rFonts w:eastAsia="Times New Roman"/>
                <w:b/>
                <w:bCs/>
                <w:lang w:val="pl-PL"/>
              </w:rPr>
              <w:t>Czas do niepowodzenia leczenia w 2. tygodniu lub po 2. tygodniu w badaniu UV II</w:t>
            </w:r>
          </w:p>
          <w:p w14:paraId="3C805EF5" w14:textId="77777777" w:rsidR="00C27F39" w:rsidRPr="008F328C" w:rsidRDefault="00C27F39" w:rsidP="00ED6A7B">
            <w:pPr>
              <w:pStyle w:val="a3"/>
              <w:jc w:val="both"/>
              <w:rPr>
                <w:lang w:val="pl-PL"/>
              </w:rPr>
            </w:pPr>
            <w:r w:rsidRPr="008F328C">
              <w:rPr>
                <w:rFonts w:eastAsia="Times New Roman"/>
                <w:b/>
                <w:bCs/>
                <w:lang w:val="pl-PL"/>
              </w:rPr>
              <w:t>Pierwotna analiza (ITT)</w:t>
            </w:r>
          </w:p>
        </w:tc>
      </w:tr>
      <w:tr w:rsidR="00C27F39" w:rsidRPr="008F328C" w14:paraId="69E0FEAF" w14:textId="77777777" w:rsidTr="00ED6A7B">
        <w:trPr>
          <w:trHeight w:val="369"/>
          <w:jc w:val="center"/>
        </w:trPr>
        <w:tc>
          <w:tcPr>
            <w:tcW w:w="1624" w:type="dxa"/>
            <w:tcBorders>
              <w:top w:val="single" w:sz="4" w:space="0" w:color="auto"/>
            </w:tcBorders>
          </w:tcPr>
          <w:p w14:paraId="41B83761" w14:textId="77777777" w:rsidR="00C27F39" w:rsidRPr="008F328C" w:rsidRDefault="00C27F39" w:rsidP="00ED6A7B">
            <w:pPr>
              <w:pStyle w:val="a3"/>
              <w:jc w:val="center"/>
              <w:rPr>
                <w:lang w:val="pl-PL"/>
              </w:rPr>
            </w:pPr>
            <w:r w:rsidRPr="008F328C">
              <w:rPr>
                <w:rFonts w:eastAsia="Times New Roman"/>
                <w:lang w:val="pl-PL"/>
              </w:rPr>
              <w:t xml:space="preserve">Placebo </w:t>
            </w:r>
          </w:p>
        </w:tc>
        <w:tc>
          <w:tcPr>
            <w:tcW w:w="1530" w:type="dxa"/>
            <w:tcBorders>
              <w:top w:val="single" w:sz="4" w:space="0" w:color="auto"/>
            </w:tcBorders>
          </w:tcPr>
          <w:p w14:paraId="53316139" w14:textId="77777777" w:rsidR="00C27F39" w:rsidRPr="008F328C" w:rsidRDefault="00C27F39" w:rsidP="00ED6A7B">
            <w:pPr>
              <w:pStyle w:val="a3"/>
              <w:jc w:val="center"/>
              <w:rPr>
                <w:lang w:val="pl-PL"/>
              </w:rPr>
            </w:pPr>
            <w:r w:rsidRPr="008F328C">
              <w:rPr>
                <w:rFonts w:eastAsia="Times New Roman"/>
                <w:lang w:val="pl-PL"/>
              </w:rPr>
              <w:t xml:space="preserve">111 </w:t>
            </w:r>
          </w:p>
        </w:tc>
        <w:tc>
          <w:tcPr>
            <w:tcW w:w="2052" w:type="dxa"/>
            <w:tcBorders>
              <w:top w:val="single" w:sz="4" w:space="0" w:color="auto"/>
            </w:tcBorders>
          </w:tcPr>
          <w:p w14:paraId="286BB182" w14:textId="77777777" w:rsidR="00C27F39" w:rsidRPr="008F328C" w:rsidRDefault="00C27F39" w:rsidP="00ED6A7B">
            <w:pPr>
              <w:pStyle w:val="a3"/>
              <w:jc w:val="center"/>
              <w:rPr>
                <w:lang w:val="pl-PL"/>
              </w:rPr>
            </w:pPr>
            <w:r w:rsidRPr="008F328C">
              <w:rPr>
                <w:rFonts w:eastAsia="Times New Roman"/>
                <w:lang w:val="pl-PL"/>
              </w:rPr>
              <w:t xml:space="preserve">61 (55,0) </w:t>
            </w:r>
          </w:p>
        </w:tc>
        <w:tc>
          <w:tcPr>
            <w:tcW w:w="1130" w:type="dxa"/>
            <w:tcBorders>
              <w:top w:val="single" w:sz="4" w:space="0" w:color="auto"/>
            </w:tcBorders>
          </w:tcPr>
          <w:p w14:paraId="46858DFC" w14:textId="77777777" w:rsidR="00C27F39" w:rsidRPr="008F328C" w:rsidRDefault="00C27F39" w:rsidP="00ED6A7B">
            <w:pPr>
              <w:pStyle w:val="a3"/>
              <w:jc w:val="center"/>
              <w:rPr>
                <w:lang w:val="pl-PL"/>
              </w:rPr>
            </w:pPr>
            <w:r w:rsidRPr="008F328C">
              <w:rPr>
                <w:rFonts w:eastAsia="Times New Roman"/>
                <w:lang w:val="pl-PL"/>
              </w:rPr>
              <w:t xml:space="preserve">8,3 </w:t>
            </w:r>
          </w:p>
        </w:tc>
        <w:tc>
          <w:tcPr>
            <w:tcW w:w="1130" w:type="dxa"/>
            <w:tcBorders>
              <w:top w:val="single" w:sz="4" w:space="0" w:color="auto"/>
            </w:tcBorders>
          </w:tcPr>
          <w:p w14:paraId="0CA4DA83" w14:textId="77777777" w:rsidR="00C27F39" w:rsidRPr="008F328C" w:rsidRDefault="00C27F39" w:rsidP="00ED6A7B">
            <w:pPr>
              <w:pStyle w:val="a3"/>
              <w:jc w:val="center"/>
              <w:rPr>
                <w:lang w:val="pl-PL"/>
              </w:rPr>
            </w:pPr>
            <w:r w:rsidRPr="008F328C">
              <w:rPr>
                <w:lang w:val="pl-PL"/>
              </w:rPr>
              <w:t xml:space="preserve">-- </w:t>
            </w:r>
          </w:p>
        </w:tc>
        <w:tc>
          <w:tcPr>
            <w:tcW w:w="1130" w:type="dxa"/>
            <w:tcBorders>
              <w:top w:val="single" w:sz="4" w:space="0" w:color="auto"/>
            </w:tcBorders>
          </w:tcPr>
          <w:p w14:paraId="2B5F7E86" w14:textId="77777777" w:rsidR="00C27F39" w:rsidRPr="008F328C" w:rsidRDefault="00C27F39" w:rsidP="00ED6A7B">
            <w:pPr>
              <w:pStyle w:val="a3"/>
              <w:jc w:val="center"/>
              <w:rPr>
                <w:lang w:val="pl-PL"/>
              </w:rPr>
            </w:pPr>
            <w:r w:rsidRPr="008F328C">
              <w:rPr>
                <w:lang w:val="pl-PL"/>
              </w:rPr>
              <w:t xml:space="preserve">-- </w:t>
            </w:r>
          </w:p>
        </w:tc>
        <w:tc>
          <w:tcPr>
            <w:tcW w:w="1130" w:type="dxa"/>
            <w:tcBorders>
              <w:top w:val="single" w:sz="4" w:space="0" w:color="auto"/>
            </w:tcBorders>
          </w:tcPr>
          <w:p w14:paraId="0985B798" w14:textId="77777777" w:rsidR="00C27F39" w:rsidRPr="008F328C" w:rsidRDefault="00C27F39" w:rsidP="00ED6A7B">
            <w:pPr>
              <w:pStyle w:val="a3"/>
              <w:jc w:val="center"/>
              <w:rPr>
                <w:lang w:val="pl-PL"/>
              </w:rPr>
            </w:pPr>
            <w:r w:rsidRPr="008F328C">
              <w:rPr>
                <w:lang w:val="pl-PL"/>
              </w:rPr>
              <w:t xml:space="preserve">-- </w:t>
            </w:r>
          </w:p>
        </w:tc>
      </w:tr>
      <w:tr w:rsidR="00C27F39" w:rsidRPr="008F328C" w14:paraId="6EEDDE0E" w14:textId="77777777" w:rsidTr="00ED6A7B">
        <w:trPr>
          <w:trHeight w:val="227"/>
          <w:jc w:val="center"/>
        </w:trPr>
        <w:tc>
          <w:tcPr>
            <w:tcW w:w="1624" w:type="dxa"/>
            <w:tcBorders>
              <w:bottom w:val="single" w:sz="4" w:space="0" w:color="auto"/>
            </w:tcBorders>
          </w:tcPr>
          <w:p w14:paraId="77976FD0" w14:textId="77777777" w:rsidR="00C27F39" w:rsidRPr="008F328C" w:rsidRDefault="00C27F39" w:rsidP="00ED6A7B">
            <w:pPr>
              <w:pStyle w:val="a3"/>
              <w:jc w:val="center"/>
              <w:rPr>
                <w:lang w:val="pl-PL"/>
              </w:rPr>
            </w:pPr>
            <w:r w:rsidRPr="008F328C">
              <w:rPr>
                <w:rFonts w:eastAsia="Times New Roman"/>
                <w:lang w:val="pl-PL"/>
              </w:rPr>
              <w:t xml:space="preserve">Adalimumab </w:t>
            </w:r>
          </w:p>
        </w:tc>
        <w:tc>
          <w:tcPr>
            <w:tcW w:w="1530" w:type="dxa"/>
            <w:tcBorders>
              <w:bottom w:val="single" w:sz="4" w:space="0" w:color="auto"/>
            </w:tcBorders>
          </w:tcPr>
          <w:p w14:paraId="07A98284" w14:textId="77777777" w:rsidR="00C27F39" w:rsidRPr="008F328C" w:rsidRDefault="00C27F39" w:rsidP="00ED6A7B">
            <w:pPr>
              <w:pStyle w:val="a3"/>
              <w:jc w:val="center"/>
              <w:rPr>
                <w:lang w:val="pl-PL"/>
              </w:rPr>
            </w:pPr>
            <w:r w:rsidRPr="008F328C">
              <w:rPr>
                <w:rFonts w:eastAsia="Times New Roman"/>
                <w:lang w:val="pl-PL"/>
              </w:rPr>
              <w:t xml:space="preserve">115 </w:t>
            </w:r>
          </w:p>
        </w:tc>
        <w:tc>
          <w:tcPr>
            <w:tcW w:w="2052" w:type="dxa"/>
            <w:tcBorders>
              <w:bottom w:val="single" w:sz="4" w:space="0" w:color="auto"/>
            </w:tcBorders>
          </w:tcPr>
          <w:p w14:paraId="0D00B07D" w14:textId="77777777" w:rsidR="00C27F39" w:rsidRPr="008F328C" w:rsidRDefault="00C27F39" w:rsidP="00ED6A7B">
            <w:pPr>
              <w:pStyle w:val="a3"/>
              <w:jc w:val="center"/>
              <w:rPr>
                <w:lang w:val="pl-PL"/>
              </w:rPr>
            </w:pPr>
            <w:r w:rsidRPr="008F328C">
              <w:rPr>
                <w:rFonts w:eastAsia="Times New Roman"/>
                <w:lang w:val="pl-PL"/>
              </w:rPr>
              <w:t xml:space="preserve">45 (39,1) </w:t>
            </w:r>
          </w:p>
        </w:tc>
        <w:tc>
          <w:tcPr>
            <w:tcW w:w="1130" w:type="dxa"/>
            <w:tcBorders>
              <w:bottom w:val="single" w:sz="4" w:space="0" w:color="auto"/>
            </w:tcBorders>
          </w:tcPr>
          <w:p w14:paraId="6E7F572A" w14:textId="77777777" w:rsidR="00C27F39" w:rsidRPr="008F328C" w:rsidRDefault="00C27F39" w:rsidP="00ED6A7B">
            <w:pPr>
              <w:pStyle w:val="a3"/>
              <w:jc w:val="center"/>
              <w:rPr>
                <w:lang w:val="pl-PL"/>
              </w:rPr>
            </w:pPr>
            <w:r w:rsidRPr="008F328C">
              <w:rPr>
                <w:rFonts w:eastAsia="Times New Roman"/>
                <w:lang w:val="pl-PL"/>
              </w:rPr>
              <w:t>NE</w:t>
            </w:r>
            <w:r w:rsidRPr="008F328C">
              <w:rPr>
                <w:rFonts w:eastAsia="Times New Roman"/>
                <w:vertAlign w:val="superscript"/>
                <w:lang w:val="pl-PL"/>
              </w:rPr>
              <w:t>c</w:t>
            </w:r>
            <w:r w:rsidRPr="008F328C">
              <w:rPr>
                <w:rFonts w:eastAsia="Times New Roman"/>
                <w:lang w:val="pl-PL"/>
              </w:rPr>
              <w:t xml:space="preserve"> </w:t>
            </w:r>
          </w:p>
        </w:tc>
        <w:tc>
          <w:tcPr>
            <w:tcW w:w="1130" w:type="dxa"/>
            <w:tcBorders>
              <w:bottom w:val="single" w:sz="4" w:space="0" w:color="auto"/>
            </w:tcBorders>
          </w:tcPr>
          <w:p w14:paraId="263FE976" w14:textId="77777777" w:rsidR="00C27F39" w:rsidRPr="008F328C" w:rsidRDefault="00C27F39" w:rsidP="00ED6A7B">
            <w:pPr>
              <w:pStyle w:val="a3"/>
              <w:jc w:val="center"/>
              <w:rPr>
                <w:lang w:val="pl-PL"/>
              </w:rPr>
            </w:pPr>
            <w:r w:rsidRPr="008F328C">
              <w:rPr>
                <w:rFonts w:eastAsia="Times New Roman"/>
                <w:lang w:val="pl-PL"/>
              </w:rPr>
              <w:t xml:space="preserve">0,57 </w:t>
            </w:r>
          </w:p>
        </w:tc>
        <w:tc>
          <w:tcPr>
            <w:tcW w:w="1130" w:type="dxa"/>
            <w:tcBorders>
              <w:bottom w:val="single" w:sz="4" w:space="0" w:color="auto"/>
            </w:tcBorders>
          </w:tcPr>
          <w:p w14:paraId="7CEC0970" w14:textId="77777777" w:rsidR="00C27F39" w:rsidRPr="008F328C" w:rsidRDefault="00C27F39" w:rsidP="00ED6A7B">
            <w:pPr>
              <w:pStyle w:val="a3"/>
              <w:jc w:val="center"/>
              <w:rPr>
                <w:lang w:val="pl-PL"/>
              </w:rPr>
            </w:pPr>
            <w:r w:rsidRPr="008F328C">
              <w:rPr>
                <w:rFonts w:eastAsia="Times New Roman"/>
                <w:lang w:val="pl-PL"/>
              </w:rPr>
              <w:t xml:space="preserve">0,39, 0,84 </w:t>
            </w:r>
          </w:p>
        </w:tc>
        <w:tc>
          <w:tcPr>
            <w:tcW w:w="1130" w:type="dxa"/>
            <w:tcBorders>
              <w:bottom w:val="single" w:sz="4" w:space="0" w:color="auto"/>
            </w:tcBorders>
          </w:tcPr>
          <w:p w14:paraId="06330906" w14:textId="77777777" w:rsidR="00C27F39" w:rsidRPr="008F328C" w:rsidRDefault="00C27F39" w:rsidP="00ED6A7B">
            <w:pPr>
              <w:pStyle w:val="a3"/>
              <w:jc w:val="center"/>
              <w:rPr>
                <w:lang w:val="pl-PL"/>
              </w:rPr>
            </w:pPr>
            <w:r w:rsidRPr="008F328C">
              <w:rPr>
                <w:rFonts w:eastAsia="Times New Roman"/>
                <w:lang w:val="pl-PL"/>
              </w:rPr>
              <w:t xml:space="preserve">0,004 </w:t>
            </w:r>
          </w:p>
        </w:tc>
      </w:tr>
    </w:tbl>
    <w:p w14:paraId="366CA5BD" w14:textId="77777777" w:rsidR="00C27F39" w:rsidRPr="008F328C" w:rsidRDefault="00C27F39" w:rsidP="00C27F39">
      <w:pPr>
        <w:pStyle w:val="a3"/>
        <w:rPr>
          <w:lang w:val="pl-PL"/>
        </w:rPr>
      </w:pPr>
      <w:r w:rsidRPr="008F328C">
        <w:rPr>
          <w:rFonts w:eastAsia="Times New Roman"/>
          <w:lang w:val="pl-PL"/>
        </w:rPr>
        <w:t>Uwaga: Niepowodzenie leczenia w 6. tygodniu lub po 6. tygodniu (badanie UV I) lub w 2. tygodniu lub po 2. tygodniu (badanie UV II) liczono jako zdarzenie. Odnośnie pacjentów wycofanych z badania z innych przyczyn niż niepowodzenie leczenia dokonywano cenzurowania (obserwacja ucięta) w czasie wycofania z badania.</w:t>
      </w:r>
    </w:p>
    <w:p w14:paraId="011F17CF" w14:textId="77777777" w:rsidR="00C27F39" w:rsidRPr="008F328C" w:rsidRDefault="00C27F39" w:rsidP="00C27F39">
      <w:pPr>
        <w:pStyle w:val="a3"/>
        <w:numPr>
          <w:ilvl w:val="0"/>
          <w:numId w:val="9"/>
        </w:numPr>
        <w:rPr>
          <w:lang w:val="pl-PL"/>
        </w:rPr>
      </w:pPr>
      <w:r w:rsidRPr="008F328C">
        <w:rPr>
          <w:rFonts w:eastAsia="Times New Roman"/>
          <w:lang w:val="pl-PL"/>
        </w:rPr>
        <w:t>HR - współczynnik ryzyka (ang. hazard ratio, HR) adalimumabu vs placebo na podstawie regresji proporcjonalnego ryzyka z leczeniem jako czynnikiem.</w:t>
      </w:r>
    </w:p>
    <w:p w14:paraId="20E11301" w14:textId="77777777" w:rsidR="00C27F39" w:rsidRPr="008F328C" w:rsidRDefault="00C27F39" w:rsidP="00C27F39">
      <w:pPr>
        <w:pStyle w:val="a3"/>
        <w:numPr>
          <w:ilvl w:val="0"/>
          <w:numId w:val="9"/>
        </w:numPr>
        <w:rPr>
          <w:lang w:val="pl-PL"/>
        </w:rPr>
      </w:pPr>
      <w:r w:rsidRPr="008F328C">
        <w:rPr>
          <w:rFonts w:eastAsia="Times New Roman"/>
          <w:i/>
          <w:iCs/>
          <w:lang w:val="pl-PL"/>
        </w:rPr>
        <w:t>P</w:t>
      </w:r>
      <w:r w:rsidRPr="008F328C">
        <w:rPr>
          <w:rFonts w:eastAsia="Times New Roman"/>
          <w:lang w:val="pl-PL"/>
        </w:rPr>
        <w:t xml:space="preserve"> - wartość dla hipotezy dwustronnej na podstawie testu log-rank.</w:t>
      </w:r>
    </w:p>
    <w:p w14:paraId="75A2C6AF" w14:textId="77777777" w:rsidR="00C27F39" w:rsidRPr="008F328C" w:rsidRDefault="00C27F39" w:rsidP="00C27F39">
      <w:pPr>
        <w:pStyle w:val="a3"/>
        <w:numPr>
          <w:ilvl w:val="0"/>
          <w:numId w:val="9"/>
        </w:numPr>
        <w:rPr>
          <w:lang w:val="pl-PL"/>
        </w:rPr>
      </w:pPr>
      <w:r w:rsidRPr="008F328C">
        <w:rPr>
          <w:rFonts w:eastAsia="Times New Roman"/>
          <w:lang w:val="pl-PL"/>
        </w:rPr>
        <w:t>NE = nieoznaczalne (ang. not estimable). Zdarzenie wystąpiło u mniej niż połowy zagrożonych uczestników badania.</w:t>
      </w:r>
    </w:p>
    <w:p w14:paraId="00AD0B32" w14:textId="77777777" w:rsidR="00C27F39" w:rsidRPr="008F328C" w:rsidRDefault="00C27F39" w:rsidP="00C27F39">
      <w:pPr>
        <w:pStyle w:val="a3"/>
        <w:rPr>
          <w:lang w:val="pl-PL"/>
        </w:rPr>
      </w:pPr>
    </w:p>
    <w:p w14:paraId="09933058" w14:textId="38B51618" w:rsidR="00C27F39" w:rsidRPr="008F328C" w:rsidRDefault="00C27F39" w:rsidP="00C27F39">
      <w:pPr>
        <w:jc w:val="center"/>
        <w:rPr>
          <w:rFonts w:ascii="Times New Roman" w:hAnsi="Times New Roman" w:cs="Times New Roman"/>
          <w:b/>
          <w:lang w:val="pl-PL"/>
        </w:rPr>
      </w:pPr>
      <w:r w:rsidRPr="008F328C">
        <w:rPr>
          <w:rFonts w:ascii="Times New Roman" w:hAnsi="Times New Roman" w:cs="Times New Roman"/>
          <w:b/>
          <w:lang w:val="pl-PL"/>
        </w:rPr>
        <w:t xml:space="preserve">Rycina </w:t>
      </w:r>
      <w:r w:rsidR="00270309" w:rsidRPr="008F328C">
        <w:rPr>
          <w:rFonts w:ascii="Times New Roman" w:hAnsi="Times New Roman" w:cs="Times New Roman"/>
          <w:b/>
          <w:lang w:val="pl-PL"/>
        </w:rPr>
        <w:t>1</w:t>
      </w:r>
      <w:r w:rsidRPr="008F328C">
        <w:rPr>
          <w:rFonts w:ascii="Times New Roman" w:hAnsi="Times New Roman" w:cs="Times New Roman"/>
          <w:b/>
          <w:lang w:val="pl-PL"/>
        </w:rPr>
        <w:t>. Krzywe Kaplana-Meiera przedstawiające czas do niepowodzenia leczenia w 6. lub po 6. tygodniu (badanie UV I) oraz w 2. lub po 2. tygodniu (badanie UV II)</w:t>
      </w:r>
    </w:p>
    <w:p w14:paraId="6EB255C4" w14:textId="77777777" w:rsidR="00C27F39" w:rsidRPr="008F328C" w:rsidRDefault="00C27F39" w:rsidP="00C27F39">
      <w:pPr>
        <w:keepNext/>
        <w:jc w:val="cente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C27F39" w:rsidRPr="008F328C" w14:paraId="754A7122" w14:textId="77777777" w:rsidTr="00ED6A7B">
        <w:trPr>
          <w:cantSplit/>
          <w:trHeight w:val="1134"/>
        </w:trPr>
        <w:tc>
          <w:tcPr>
            <w:tcW w:w="861" w:type="dxa"/>
            <w:textDirection w:val="btLr"/>
          </w:tcPr>
          <w:p w14:paraId="4A913594" w14:textId="77777777" w:rsidR="00C27F39" w:rsidRPr="008F328C" w:rsidRDefault="00C27F39" w:rsidP="00ED6A7B">
            <w:pPr>
              <w:ind w:left="113" w:right="113"/>
              <w:jc w:val="center"/>
              <w:rPr>
                <w:rFonts w:ascii="Times New Roman" w:hAnsi="Times New Roman" w:cs="Times New Roman"/>
                <w:b/>
                <w:lang w:val="pl-PL"/>
              </w:rPr>
            </w:pPr>
            <w:r w:rsidRPr="008F328C">
              <w:rPr>
                <w:rFonts w:ascii="Times New Roman" w:hAnsi="Times New Roman" w:cs="Times New Roman"/>
                <w:b/>
                <w:lang w:val="pl-PL"/>
              </w:rPr>
              <w:t>ODSETEK NIEPOWODZENIA LECZENIA (%)</w:t>
            </w:r>
          </w:p>
        </w:tc>
        <w:tc>
          <w:tcPr>
            <w:tcW w:w="8425" w:type="dxa"/>
            <w:gridSpan w:val="6"/>
          </w:tcPr>
          <w:p w14:paraId="3FC14A41" w14:textId="77777777" w:rsidR="00C27F39" w:rsidRPr="008F328C" w:rsidRDefault="00C27F39" w:rsidP="00ED6A7B">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34B21F50" wp14:editId="30680812">
                  <wp:extent cx="5175250" cy="2066157"/>
                  <wp:effectExtent l="0" t="0" r="6350" b="0"/>
                  <wp:docPr id="3969" name="Obraz 34"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79343" name="Picture 34" descr="Humira Uveitis Figure 5_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202338" cy="2076972"/>
                          </a:xfrm>
                          <a:prstGeom prst="rect">
                            <a:avLst/>
                          </a:prstGeom>
                          <a:noFill/>
                          <a:ln>
                            <a:noFill/>
                          </a:ln>
                        </pic:spPr>
                      </pic:pic>
                    </a:graphicData>
                  </a:graphic>
                </wp:inline>
              </w:drawing>
            </w:r>
          </w:p>
        </w:tc>
      </w:tr>
      <w:tr w:rsidR="00C27F39" w:rsidRPr="008F328C" w14:paraId="6C0C543A" w14:textId="77777777" w:rsidTr="00ED6A7B">
        <w:tc>
          <w:tcPr>
            <w:tcW w:w="861" w:type="dxa"/>
          </w:tcPr>
          <w:p w14:paraId="43E3172B" w14:textId="77777777" w:rsidR="00C27F39" w:rsidRPr="008F328C" w:rsidRDefault="00C27F39" w:rsidP="00ED6A7B">
            <w:pPr>
              <w:jc w:val="center"/>
              <w:rPr>
                <w:rFonts w:ascii="Times New Roman" w:hAnsi="Times New Roman" w:cs="Times New Roman"/>
                <w:b/>
                <w:lang w:val="pl-PL"/>
              </w:rPr>
            </w:pPr>
          </w:p>
        </w:tc>
        <w:tc>
          <w:tcPr>
            <w:tcW w:w="8425" w:type="dxa"/>
            <w:gridSpan w:val="6"/>
          </w:tcPr>
          <w:p w14:paraId="79FCA329" w14:textId="77777777" w:rsidR="00C27F39" w:rsidRPr="008F328C" w:rsidRDefault="00C27F39" w:rsidP="00ED6A7B">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C27F39" w:rsidRPr="008F328C" w14:paraId="6E50A160" w14:textId="77777777" w:rsidTr="00ED6A7B">
        <w:tc>
          <w:tcPr>
            <w:tcW w:w="861" w:type="dxa"/>
            <w:vAlign w:val="center"/>
          </w:tcPr>
          <w:p w14:paraId="30082A7C" w14:textId="77777777" w:rsidR="00C27F39" w:rsidRPr="008F328C" w:rsidRDefault="00C27F39" w:rsidP="00ED6A7B">
            <w:pPr>
              <w:rPr>
                <w:rFonts w:ascii="Times New Roman" w:hAnsi="Times New Roman" w:cs="Times New Roman"/>
                <w:b/>
                <w:lang w:val="pl-PL"/>
              </w:rPr>
            </w:pPr>
          </w:p>
        </w:tc>
        <w:tc>
          <w:tcPr>
            <w:tcW w:w="1917" w:type="dxa"/>
            <w:vAlign w:val="center"/>
          </w:tcPr>
          <w:p w14:paraId="4452A2CD"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Badanie UV I</w:t>
            </w:r>
          </w:p>
        </w:tc>
        <w:tc>
          <w:tcPr>
            <w:tcW w:w="1991" w:type="dxa"/>
            <w:vAlign w:val="center"/>
          </w:tcPr>
          <w:p w14:paraId="313C5E74"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740042A8"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220A635F" wp14:editId="0392FC45">
                  <wp:extent cx="400050" cy="180975"/>
                  <wp:effectExtent l="0" t="0" r="0" b="9525"/>
                  <wp:docPr id="3970" name="Obraz 3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98076" name="Picture 35"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490A21EA"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24C3E3A7"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38E4A4DB" wp14:editId="36952B78">
                  <wp:extent cx="561975" cy="180975"/>
                  <wp:effectExtent l="0" t="0" r="9525" b="9525"/>
                  <wp:docPr id="3971" name="Obraz 36"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60587" name="Picture 36"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0A0148C0"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Adalimumab</w:t>
            </w:r>
          </w:p>
        </w:tc>
      </w:tr>
    </w:tbl>
    <w:p w14:paraId="264BBF7C" w14:textId="77777777" w:rsidR="00C27F39" w:rsidRPr="008F328C" w:rsidRDefault="00C27F39" w:rsidP="00C27F39">
      <w:pPr>
        <w:rPr>
          <w:rFonts w:ascii="Times New Roman" w:hAnsi="Times New Roman" w:cs="Times New Roman"/>
          <w:b/>
          <w:lang w:val="pl-PL"/>
        </w:rPr>
      </w:pPr>
    </w:p>
    <w:tbl>
      <w:tblPr>
        <w:tblW w:w="0" w:type="auto"/>
        <w:tblLayout w:type="fixed"/>
        <w:tblLook w:val="04A0" w:firstRow="1" w:lastRow="0" w:firstColumn="1" w:lastColumn="0" w:noHBand="0" w:noVBand="1"/>
      </w:tblPr>
      <w:tblGrid>
        <w:gridCol w:w="861"/>
        <w:gridCol w:w="1917"/>
        <w:gridCol w:w="1991"/>
        <w:gridCol w:w="949"/>
        <w:gridCol w:w="946"/>
        <w:gridCol w:w="1241"/>
        <w:gridCol w:w="1381"/>
      </w:tblGrid>
      <w:tr w:rsidR="00C27F39" w:rsidRPr="008F328C" w14:paraId="6287F3C9" w14:textId="77777777" w:rsidTr="00ED6A7B">
        <w:trPr>
          <w:cantSplit/>
          <w:trHeight w:val="1134"/>
        </w:trPr>
        <w:tc>
          <w:tcPr>
            <w:tcW w:w="861" w:type="dxa"/>
            <w:textDirection w:val="btLr"/>
          </w:tcPr>
          <w:p w14:paraId="42FDC932" w14:textId="77777777" w:rsidR="00C27F39" w:rsidRPr="008F328C" w:rsidRDefault="00C27F39" w:rsidP="00ED6A7B">
            <w:pPr>
              <w:ind w:left="113" w:right="113"/>
              <w:jc w:val="center"/>
              <w:rPr>
                <w:rFonts w:ascii="Times New Roman" w:hAnsi="Times New Roman" w:cs="Times New Roman"/>
                <w:b/>
                <w:lang w:val="pl-PL"/>
              </w:rPr>
            </w:pPr>
            <w:r w:rsidRPr="008F328C">
              <w:rPr>
                <w:rFonts w:ascii="Times New Roman" w:hAnsi="Times New Roman" w:cs="Times New Roman"/>
                <w:b/>
                <w:lang w:val="pl-PL"/>
              </w:rPr>
              <w:lastRenderedPageBreak/>
              <w:t>ODSETEK NIEPOWODZENIA LECZENIA (%)</w:t>
            </w:r>
          </w:p>
        </w:tc>
        <w:tc>
          <w:tcPr>
            <w:tcW w:w="8425" w:type="dxa"/>
            <w:gridSpan w:val="6"/>
          </w:tcPr>
          <w:p w14:paraId="1D1C5224" w14:textId="77777777" w:rsidR="00C27F39" w:rsidRPr="008F328C" w:rsidRDefault="00C27F39" w:rsidP="00ED6A7B">
            <w:pPr>
              <w:jc w:val="center"/>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13B16021" wp14:editId="16C19B0C">
                  <wp:extent cx="5210175" cy="2066925"/>
                  <wp:effectExtent l="0" t="0" r="9525" b="9525"/>
                  <wp:docPr id="3972" name="Obraz 37"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7931" name="Picture 37" descr="Humira Uveitis Figure 5_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210175" cy="2066925"/>
                          </a:xfrm>
                          <a:prstGeom prst="rect">
                            <a:avLst/>
                          </a:prstGeom>
                          <a:noFill/>
                          <a:ln>
                            <a:noFill/>
                          </a:ln>
                        </pic:spPr>
                      </pic:pic>
                    </a:graphicData>
                  </a:graphic>
                </wp:inline>
              </w:drawing>
            </w:r>
          </w:p>
        </w:tc>
      </w:tr>
      <w:tr w:rsidR="00C27F39" w:rsidRPr="008F328C" w14:paraId="456DA703" w14:textId="77777777" w:rsidTr="00ED6A7B">
        <w:trPr>
          <w:trHeight w:val="166"/>
        </w:trPr>
        <w:tc>
          <w:tcPr>
            <w:tcW w:w="861" w:type="dxa"/>
          </w:tcPr>
          <w:p w14:paraId="14A05584" w14:textId="77777777" w:rsidR="00C27F39" w:rsidRPr="008F328C" w:rsidRDefault="00C27F39" w:rsidP="00ED6A7B">
            <w:pPr>
              <w:jc w:val="center"/>
              <w:rPr>
                <w:rFonts w:ascii="Times New Roman" w:hAnsi="Times New Roman" w:cs="Times New Roman"/>
                <w:b/>
                <w:lang w:val="pl-PL"/>
              </w:rPr>
            </w:pPr>
          </w:p>
        </w:tc>
        <w:tc>
          <w:tcPr>
            <w:tcW w:w="8425" w:type="dxa"/>
            <w:gridSpan w:val="6"/>
          </w:tcPr>
          <w:p w14:paraId="65FD6737" w14:textId="77777777" w:rsidR="00C27F39" w:rsidRPr="008F328C" w:rsidRDefault="00C27F39" w:rsidP="00ED6A7B">
            <w:pPr>
              <w:jc w:val="center"/>
              <w:rPr>
                <w:rFonts w:ascii="Times New Roman" w:hAnsi="Times New Roman" w:cs="Times New Roman"/>
                <w:b/>
                <w:lang w:val="pl-PL"/>
              </w:rPr>
            </w:pPr>
            <w:r w:rsidRPr="008F328C">
              <w:rPr>
                <w:rFonts w:ascii="Times New Roman" w:hAnsi="Times New Roman" w:cs="Times New Roman"/>
                <w:b/>
                <w:lang w:val="pl-PL"/>
              </w:rPr>
              <w:t>CZAS (MIESIĄCE)</w:t>
            </w:r>
          </w:p>
        </w:tc>
      </w:tr>
      <w:tr w:rsidR="00C27F39" w:rsidRPr="008F328C" w14:paraId="6533A237" w14:textId="77777777" w:rsidTr="00ED6A7B">
        <w:tc>
          <w:tcPr>
            <w:tcW w:w="861" w:type="dxa"/>
            <w:vAlign w:val="center"/>
          </w:tcPr>
          <w:p w14:paraId="1AACE580" w14:textId="77777777" w:rsidR="00C27F39" w:rsidRPr="008F328C" w:rsidRDefault="00C27F39" w:rsidP="00ED6A7B">
            <w:pPr>
              <w:rPr>
                <w:rFonts w:ascii="Times New Roman" w:hAnsi="Times New Roman" w:cs="Times New Roman"/>
                <w:b/>
                <w:lang w:val="pl-PL"/>
              </w:rPr>
            </w:pPr>
          </w:p>
        </w:tc>
        <w:tc>
          <w:tcPr>
            <w:tcW w:w="1917" w:type="dxa"/>
            <w:vAlign w:val="center"/>
          </w:tcPr>
          <w:p w14:paraId="75ED16F2"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Badanie UV II</w:t>
            </w:r>
          </w:p>
        </w:tc>
        <w:tc>
          <w:tcPr>
            <w:tcW w:w="1991" w:type="dxa"/>
            <w:vAlign w:val="center"/>
          </w:tcPr>
          <w:p w14:paraId="23962BA4"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lang w:val="pl-PL"/>
              </w:rPr>
              <w:t>Leczenie</w:t>
            </w:r>
          </w:p>
        </w:tc>
        <w:tc>
          <w:tcPr>
            <w:tcW w:w="949" w:type="dxa"/>
            <w:vAlign w:val="center"/>
          </w:tcPr>
          <w:p w14:paraId="5314F171"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1C65D2A9" wp14:editId="094F52D2">
                  <wp:extent cx="400050" cy="180975"/>
                  <wp:effectExtent l="0" t="0" r="0" b="9525"/>
                  <wp:docPr id="3973" name="Obraz 3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4782" name="Picture 38" descr="Humira Uveitis Figure 5_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946" w:type="dxa"/>
            <w:vAlign w:val="center"/>
          </w:tcPr>
          <w:p w14:paraId="657F6519"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Placebo</w:t>
            </w:r>
          </w:p>
        </w:tc>
        <w:tc>
          <w:tcPr>
            <w:tcW w:w="1241" w:type="dxa"/>
            <w:vAlign w:val="center"/>
          </w:tcPr>
          <w:p w14:paraId="6356633F" w14:textId="77777777" w:rsidR="00C27F39" w:rsidRPr="008F328C" w:rsidRDefault="00C27F39" w:rsidP="00ED6A7B">
            <w:pPr>
              <w:jc w:val="right"/>
              <w:rPr>
                <w:rFonts w:ascii="Times New Roman" w:hAnsi="Times New Roman" w:cs="Times New Roman"/>
                <w:b/>
                <w:lang w:val="pl-PL"/>
              </w:rPr>
            </w:pPr>
            <w:r w:rsidRPr="008F328C">
              <w:rPr>
                <w:rFonts w:ascii="Times New Roman" w:hAnsi="Times New Roman" w:cs="Times New Roman"/>
                <w:noProof/>
                <w:lang w:eastAsia="ko-KR"/>
              </w:rPr>
              <w:drawing>
                <wp:inline distT="0" distB="0" distL="0" distR="0" wp14:anchorId="43290952" wp14:editId="18577020">
                  <wp:extent cx="561975" cy="180975"/>
                  <wp:effectExtent l="0" t="0" r="9525" b="9525"/>
                  <wp:docPr id="3974" name="Obraz 39"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31054" name="Picture 39" descr="Humira Uveitis Figure 5_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975" cy="180975"/>
                          </a:xfrm>
                          <a:prstGeom prst="rect">
                            <a:avLst/>
                          </a:prstGeom>
                          <a:noFill/>
                          <a:ln>
                            <a:noFill/>
                          </a:ln>
                        </pic:spPr>
                      </pic:pic>
                    </a:graphicData>
                  </a:graphic>
                </wp:inline>
              </w:drawing>
            </w:r>
            <w:r w:rsidRPr="008F328C">
              <w:rPr>
                <w:rFonts w:ascii="Times New Roman" w:hAnsi="Times New Roman" w:cs="Times New Roman"/>
                <w:lang w:val="pl-PL"/>
              </w:rPr>
              <w:t xml:space="preserve"> </w:t>
            </w:r>
          </w:p>
        </w:tc>
        <w:tc>
          <w:tcPr>
            <w:tcW w:w="1381" w:type="dxa"/>
            <w:vAlign w:val="center"/>
          </w:tcPr>
          <w:p w14:paraId="042A48B3" w14:textId="77777777" w:rsidR="00C27F39" w:rsidRPr="008F328C" w:rsidRDefault="00C27F39" w:rsidP="00ED6A7B">
            <w:pPr>
              <w:rPr>
                <w:rFonts w:ascii="Times New Roman" w:hAnsi="Times New Roman" w:cs="Times New Roman"/>
                <w:b/>
                <w:lang w:val="pl-PL"/>
              </w:rPr>
            </w:pPr>
            <w:r w:rsidRPr="008F328C">
              <w:rPr>
                <w:rFonts w:ascii="Times New Roman" w:hAnsi="Times New Roman" w:cs="Times New Roman"/>
                <w:lang w:val="pl-PL"/>
              </w:rPr>
              <w:t>Adalimumab</w:t>
            </w:r>
          </w:p>
        </w:tc>
      </w:tr>
    </w:tbl>
    <w:p w14:paraId="08E2F1C0" w14:textId="77777777" w:rsidR="00C27F39" w:rsidRPr="008F328C" w:rsidRDefault="00C27F39" w:rsidP="00C27F39">
      <w:pPr>
        <w:spacing w:before="9" w:line="130" w:lineRule="exact"/>
        <w:rPr>
          <w:rFonts w:ascii="Times New Roman" w:hAnsi="Times New Roman" w:cs="Times New Roman"/>
          <w:sz w:val="13"/>
          <w:szCs w:val="13"/>
          <w:lang w:val="pl-PL"/>
        </w:rPr>
      </w:pPr>
    </w:p>
    <w:p w14:paraId="0560F718" w14:textId="77777777" w:rsidR="00C27F39" w:rsidRPr="008F328C" w:rsidRDefault="00C27F39" w:rsidP="00C27F39">
      <w:pPr>
        <w:pStyle w:val="a3"/>
        <w:ind w:leftChars="100" w:left="220"/>
        <w:rPr>
          <w:lang w:val="pl-PL"/>
        </w:rPr>
      </w:pPr>
      <w:r w:rsidRPr="008F328C">
        <w:rPr>
          <w:rFonts w:eastAsia="Times New Roman"/>
          <w:lang w:val="pl-PL"/>
        </w:rPr>
        <w:t>Uwaga: P# = Placebo (liczba zdarzeń/liczba zagrożonych pacjentów); A# = Adalimumab (liczba zdarzeń/liczba zagrożonych pacjentów).</w:t>
      </w:r>
    </w:p>
    <w:p w14:paraId="7451B47F" w14:textId="77777777" w:rsidR="00C27F39" w:rsidRPr="008F328C" w:rsidRDefault="00C27F39" w:rsidP="00C27F39">
      <w:pPr>
        <w:spacing w:line="200" w:lineRule="exact"/>
        <w:rPr>
          <w:rFonts w:ascii="Times New Roman" w:hAnsi="Times New Roman" w:cs="Times New Roman"/>
          <w:sz w:val="20"/>
          <w:szCs w:val="20"/>
          <w:lang w:val="pl-PL"/>
        </w:rPr>
      </w:pPr>
    </w:p>
    <w:p w14:paraId="7D8661D8" w14:textId="77777777" w:rsidR="00C27F39" w:rsidRPr="008F328C" w:rsidRDefault="00C27F39" w:rsidP="00C27F39">
      <w:pPr>
        <w:pStyle w:val="a3"/>
        <w:rPr>
          <w:lang w:val="pl-PL"/>
        </w:rPr>
      </w:pPr>
      <w:r w:rsidRPr="008F328C">
        <w:rPr>
          <w:rFonts w:eastAsia="Times New Roman"/>
          <w:lang w:val="pl-PL"/>
        </w:rPr>
        <w:t>W badaniu UV I statystycznie istotne różnice na korzyść adalimumabu w porównaniu do placebo zaobserwowano dla każdego ze składników niepowodzenia leczenia. W badaniu UV II statystycznie istotne różnice zaobserwowano wyłącznie dla ostrości wzroku, ale w przypadku pozostałych składników dane liczbowe były korzystniejsze dla adalimumabu.</w:t>
      </w:r>
    </w:p>
    <w:p w14:paraId="2764A976" w14:textId="77777777" w:rsidR="00C27F39" w:rsidRPr="008F328C" w:rsidRDefault="00C27F39" w:rsidP="00C27F39">
      <w:pPr>
        <w:spacing w:before="13" w:line="240" w:lineRule="exact"/>
        <w:rPr>
          <w:rFonts w:ascii="Times New Roman" w:hAnsi="Times New Roman" w:cs="Times New Roman"/>
          <w:sz w:val="24"/>
          <w:szCs w:val="24"/>
          <w:lang w:val="pl-PL"/>
        </w:rPr>
      </w:pPr>
    </w:p>
    <w:p w14:paraId="5BC5CF6F" w14:textId="77777777" w:rsidR="00C27F39" w:rsidRPr="008F328C" w:rsidRDefault="00C27F39" w:rsidP="00C27F39">
      <w:pPr>
        <w:pStyle w:val="a3"/>
        <w:rPr>
          <w:lang w:val="pl-PL"/>
        </w:rPr>
      </w:pPr>
      <w:r w:rsidRPr="008F328C">
        <w:rPr>
          <w:rFonts w:eastAsia="Times New Roman"/>
          <w:lang w:val="pl-PL"/>
        </w:rPr>
        <w:t>Spośród 424 uczestników niekontrolowanego, długookresowego badania będącego kontynuacją badań UV I i UV II, 60 uczestników uznano za niespełniających warunków badania (np. z powodu odchyleń lub z powodu powikłań wtórnych retinopatii cukrzycowej, z powodu operacji zaćmy lub witrektomii) i nie uwzględniono ich w pierwotnej analizie skuteczności. Spośród 364 pozostałych pacjentów, 269 pacjentów, których można było poddać ocenie (74%) otrzymało w fazie otwartej leczenie adalimumabem przez 78 tygodni. Na podstawie danych z obserwacji, u 216 (80,3%) stwierdzono brak aktywności choroby (brak aktywnych zmian zapalnych, stopień wysięku komórek zapalnych w komorze przedniej ≤ 0,5+, stopień zmętnienia ciała szklistego ≤ 0,5+) przy jednoczesnym stosowaniu steroidu w dawce ≤ 7,5 mg na dobę oraz u 178 (66,2%) brak aktywności choroby bez stosowania steroidu. W 78. tygodniu, najlepsza skorygowana ostrość wzroku (BCVA) uległa poprawie lub utrzymała się na poprzednim poziomie (pogorszenie o &lt; 5 liter) w 88,6% oczu. Na ogół, dane uzyskane po 78. tygodniu były zgodne z tymi wynikami, ale liczba pacjentów włączonych do badania zmniejszyła się po tym czasie. W sumie, spośród pacjentów, którzy przerwali udział w badaniu, 18% przerwało udział z powodu zdarzeń niepożądanych, a 8% z powodu niewystarczającej odpowiedzi na leczenie adalimumabem.</w:t>
      </w:r>
    </w:p>
    <w:p w14:paraId="4EB3BEAC" w14:textId="77777777" w:rsidR="00C27F39" w:rsidRPr="008F328C" w:rsidRDefault="00C27F39" w:rsidP="00C27F39">
      <w:pPr>
        <w:pStyle w:val="a3"/>
        <w:rPr>
          <w:sz w:val="24"/>
          <w:szCs w:val="24"/>
          <w:lang w:val="pl-PL"/>
        </w:rPr>
      </w:pPr>
    </w:p>
    <w:p w14:paraId="60A6B528"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Jakość życia</w:t>
      </w:r>
    </w:p>
    <w:p w14:paraId="7680B637" w14:textId="77777777" w:rsidR="00C27F39" w:rsidRPr="008F328C" w:rsidRDefault="00C27F39" w:rsidP="00C27F39">
      <w:pPr>
        <w:pStyle w:val="a3"/>
        <w:rPr>
          <w:sz w:val="18"/>
          <w:szCs w:val="18"/>
          <w:lang w:val="pl-PL"/>
        </w:rPr>
      </w:pPr>
    </w:p>
    <w:p w14:paraId="42DB5165" w14:textId="77777777" w:rsidR="00C27F39" w:rsidRPr="008F328C" w:rsidRDefault="00C27F39" w:rsidP="00C27F39">
      <w:pPr>
        <w:pStyle w:val="a3"/>
        <w:rPr>
          <w:lang w:val="pl-PL"/>
        </w:rPr>
      </w:pPr>
      <w:r w:rsidRPr="008F328C">
        <w:rPr>
          <w:rFonts w:eastAsia="Times New Roman"/>
          <w:lang w:val="pl-PL"/>
        </w:rPr>
        <w:t>Efekty leczenia zgłaszane przez pacjentów dotyczące funkcjonowania związanego z widzeniem mierzono w obydwu badaniach za pomocą kwestionariusza NEI VFQ-25. Dane liczbowe były korzystniejsze dla adalimumabu w większości podskal kwestionariusza ze statystycznie istotnymi średnimi różnicami dla ogólnej oceny widzenia, bólu gałki ocznej, widzenia do bliży i zdrowia psychicznego oraz całkowitej oceny w badaniu UV I oraz ogólnej oceny widzenia i zdrowia psychicznego w badaniu UV II. Efekty związane z widzeniem nie przemawiały liczbowo na korzyść adalimumabu w widzeniu barwnym w badaniu UV I oraz w widzeniu barwnym, widzeniu obwodowym i widzeniu do bliży w badaniu UV II.</w:t>
      </w:r>
    </w:p>
    <w:p w14:paraId="72CE5B71" w14:textId="77777777" w:rsidR="00C27F39" w:rsidRPr="008F328C" w:rsidRDefault="00C27F39" w:rsidP="00C27F39">
      <w:pPr>
        <w:rPr>
          <w:rFonts w:ascii="Times New Roman" w:hAnsi="Times New Roman" w:cs="Times New Roman"/>
          <w:lang w:val="pl-PL"/>
        </w:rPr>
      </w:pPr>
    </w:p>
    <w:p w14:paraId="7196F063" w14:textId="77777777" w:rsidR="00C27F39" w:rsidRPr="008F328C" w:rsidRDefault="00C27F39" w:rsidP="00C27F39">
      <w:pPr>
        <w:pStyle w:val="a3"/>
        <w:rPr>
          <w:u w:val="single" w:color="000000"/>
          <w:lang w:val="pl-PL"/>
        </w:rPr>
      </w:pPr>
      <w:r w:rsidRPr="008F328C">
        <w:rPr>
          <w:rFonts w:eastAsia="Times New Roman"/>
          <w:u w:val="single" w:color="000000"/>
          <w:lang w:val="pl-PL"/>
        </w:rPr>
        <w:t>Immunogenność</w:t>
      </w:r>
    </w:p>
    <w:p w14:paraId="46910D5C" w14:textId="77777777" w:rsidR="00C27F39" w:rsidRPr="008F328C" w:rsidRDefault="00C27F39" w:rsidP="00C27F39">
      <w:pPr>
        <w:spacing w:before="1" w:line="180" w:lineRule="exact"/>
        <w:rPr>
          <w:rFonts w:ascii="Times New Roman" w:hAnsi="Times New Roman" w:cs="Times New Roman"/>
          <w:sz w:val="18"/>
          <w:szCs w:val="18"/>
          <w:lang w:val="pl-PL" w:eastAsia="ko-KR"/>
        </w:rPr>
      </w:pPr>
    </w:p>
    <w:p w14:paraId="4584DE2A" w14:textId="79586FA7" w:rsidR="003B21F7" w:rsidRPr="003B21F7" w:rsidRDefault="003B21F7" w:rsidP="003B21F7">
      <w:pPr>
        <w:widowControl/>
        <w:tabs>
          <w:tab w:val="left" w:pos="562"/>
        </w:tabs>
        <w:suppressAutoHyphens/>
        <w:rPr>
          <w:rFonts w:ascii="Times New Roman" w:eastAsia="바탕" w:hAnsi="Times New Roman" w:cs="Times New Roman"/>
          <w:lang w:val="pl-PL"/>
        </w:rPr>
      </w:pPr>
      <w:r w:rsidRPr="00AC35E3">
        <w:rPr>
          <w:rFonts w:ascii="Times New Roman" w:hAnsi="Times New Roman"/>
          <w:lang w:val="pl-PL"/>
        </w:rPr>
        <w:t>Tworzenie przeciwciał przeciw adalimumabowi jest związane ze zwiększeniem klirensu i</w:t>
      </w:r>
      <w:r w:rsidRPr="003B21F7">
        <w:rPr>
          <w:rFonts w:ascii="Times New Roman" w:eastAsia="바탕" w:hAnsi="Times New Roman" w:cs="Times New Roman"/>
          <w:lang w:val="pl-PL"/>
        </w:rPr>
        <w:t> </w:t>
      </w:r>
      <w:r w:rsidRPr="00AC35E3">
        <w:rPr>
          <w:rFonts w:ascii="Times New Roman" w:hAnsi="Times New Roman"/>
          <w:lang w:val="pl-PL"/>
        </w:rPr>
        <w:t xml:space="preserve">zmniejszeniem skuteczności adalimumabu. </w:t>
      </w:r>
      <w:r w:rsidRPr="003B21F7">
        <w:rPr>
          <w:rFonts w:ascii="Times New Roman" w:eastAsia="바탕" w:hAnsi="Times New Roman" w:cs="Times New Roman"/>
          <w:lang w:val="pl-PL"/>
        </w:rPr>
        <w:t>Nie stwierdza się wyraźnej korelacji między obecnością przeciwciał przeciw adalimumabowi i występowaniem zdarzeń niepożądanych.</w:t>
      </w:r>
    </w:p>
    <w:p w14:paraId="154BC39B"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169BDCB0" w14:textId="77777777" w:rsidR="003B21F7" w:rsidRPr="003B21F7" w:rsidRDefault="003B21F7" w:rsidP="003B21F7">
      <w:pPr>
        <w:widowControl/>
        <w:tabs>
          <w:tab w:val="left" w:pos="562"/>
          <w:tab w:val="left" w:pos="1294"/>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pacjentów w wieku od 4 do 17 lat z wielostawowym młodzieńczym idiopatycznym zapaleniem stawów przeciwciała przeciw adalimumabowi stwierdzono u 15,8% (27/171) pacjentów leczonych adalimumabem. U pacjentów niestosujących jednocześnie metotreksatu, częstość występowania wynosiła 25,6% (22/86) pacjentów w porównaniu do 5,9% (5/85) pacjentów, gdy adalimumab dodano do leczenia metotreksatem. U pacjentów z wielostawowym młodzieńczym idiopatycznym zapaleniem stawów, w wieku od 2 do &lt; 4 lat lub 4 lat i powyżej, o masie ciała &lt; 15 kg, przeciwciała przeciw adalimumabowi stwierdzono u 7% (1/15) pacjentów. Ten jeden pacjent otrzymywał jednocześnie metotreksat.</w:t>
      </w:r>
    </w:p>
    <w:p w14:paraId="746E1B6F" w14:textId="77777777" w:rsidR="003B21F7" w:rsidRPr="003B21F7" w:rsidRDefault="003B21F7" w:rsidP="003B21F7">
      <w:pPr>
        <w:widowControl/>
        <w:tabs>
          <w:tab w:val="left" w:pos="562"/>
          <w:tab w:val="left" w:pos="1294"/>
        </w:tabs>
        <w:suppressAutoHyphens/>
        <w:rPr>
          <w:rFonts w:ascii="Times New Roman" w:eastAsia="바탕" w:hAnsi="Times New Roman" w:cs="Times New Roman"/>
          <w:lang w:val="pl-PL"/>
        </w:rPr>
      </w:pPr>
    </w:p>
    <w:p w14:paraId="3F1F66D0" w14:textId="77777777" w:rsidR="003B21F7" w:rsidRPr="003B21F7" w:rsidRDefault="003B21F7" w:rsidP="003B21F7">
      <w:pPr>
        <w:widowControl/>
        <w:tabs>
          <w:tab w:val="left" w:pos="562"/>
          <w:tab w:val="left" w:pos="1294"/>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pacjentów z zapaleniem stawów z towarzyszącym zapaleniem przyczepów ścięgnistych przeciwciała przeciw adalimumabowi stwierdzono u 10,9% (5/46) pacjentów leczonych adalimumabem. U pacjentów niestosujących jednocześnie metotreksatu, stwierdzono je u 13,6% (3/22) pacjentów w porównaniu z 8,3% (2/24) pacjentów, gdy adalimumab dodano do leczenia metotreksatem.</w:t>
      </w:r>
    </w:p>
    <w:p w14:paraId="32B80C36"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59B93481"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r w:rsidRPr="003B21F7">
        <w:rPr>
          <w:rFonts w:ascii="Times New Roman" w:eastAsia="바탕" w:hAnsi="Times New Roman" w:cs="Times New Roman"/>
          <w:lang w:val="pl-PL"/>
        </w:rPr>
        <w:t>Pacjentów z reumatoidalnym zapaleniem stawów, w badaniach I, II i III, w okresie od 6. do 12. miesiąca wielokrotnie badano na obecność przeciwciał przeciw adalimumabowi. W tych głównych badaniach klinicznych przeciwciała przeciw adalimumabowi stwierdzono u 5,5% (58/1053) pacjentów leczonych adalimumabem w porównaniu do 0,5% (2/370) otrzymujących placebo. U pacjentów nieotrzymujących jednocześnie metotreksatu częstość występowania wynosiła 12,4% w porównaniu do 0,6%, gdy adalimumab dodano do leczenia metotreksatem.</w:t>
      </w:r>
    </w:p>
    <w:p w14:paraId="31201E3E" w14:textId="77777777" w:rsidR="003B21F7" w:rsidRPr="003B21F7" w:rsidRDefault="003B21F7" w:rsidP="003B21F7">
      <w:pPr>
        <w:widowControl/>
        <w:tabs>
          <w:tab w:val="left" w:pos="562"/>
        </w:tabs>
        <w:suppressAutoHyphens/>
        <w:rPr>
          <w:rFonts w:ascii="Times New Roman" w:eastAsia="Calibri" w:hAnsi="Times New Roman" w:cs="Times New Roman"/>
          <w:lang w:val="pl-PL"/>
        </w:rPr>
      </w:pPr>
    </w:p>
    <w:p w14:paraId="38350126" w14:textId="77777777" w:rsidR="003B21F7" w:rsidRPr="003B21F7" w:rsidRDefault="003B21F7" w:rsidP="003B21F7">
      <w:pPr>
        <w:widowControl/>
        <w:tabs>
          <w:tab w:val="left" w:pos="562"/>
        </w:tabs>
        <w:suppressAutoHyphens/>
        <w:rPr>
          <w:rFonts w:ascii="Times New Roman" w:eastAsia="Calibri" w:hAnsi="Times New Roman" w:cs="Times New Roman"/>
          <w:lang w:val="pl-PL"/>
        </w:rPr>
      </w:pPr>
      <w:r w:rsidRPr="003B21F7">
        <w:rPr>
          <w:rFonts w:ascii="Times New Roman" w:eastAsia="Calibri" w:hAnsi="Times New Roman" w:cs="Times New Roman"/>
          <w:lang w:val="pl-PL"/>
        </w:rPr>
        <w:t>U dzieci i młodzieży z łuszczycą zwyczajną (plackowatą) przeciwciała przeciw adalimumabowi stwierdzono u 5/38 pacjentów (13%) leczonych adalimumabem 0,8 mg/kg mc. w monoterapii.</w:t>
      </w:r>
    </w:p>
    <w:p w14:paraId="6479D35D"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30AE7858"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dorosłych pacjentów z łuszczycą przeciwciała przeciw adalimumabowi stwierdzono u 77 z 920 pacjentów (8,4%) leczonych adalimumabem stosowanym w monoterapii.</w:t>
      </w:r>
    </w:p>
    <w:p w14:paraId="304B8E7A"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5DA5B53C"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dorosłych pacjentów z łuszczycą zwyczajną (plackowatą) otrzymujących długookresowe leczenie adalimumabem w monoterapii, którzy uczestniczyli w badaniu klinicznym odstawienia leczenia, a następnie jego wznowienia, częstość występowania przeciwciał przeciw adalimumabowi po wznowieniu leczenia (11 z 482 pacjentów, 2,3%) była podobna do częstości obserwowanej przed odstawieniem leczenia (11 z 590 pacjentów, 1,9%).</w:t>
      </w:r>
    </w:p>
    <w:p w14:paraId="3926B39C"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1CC54855" w14:textId="77777777" w:rsidR="003B21F7" w:rsidRPr="003B21F7" w:rsidRDefault="003B21F7" w:rsidP="003B21F7">
      <w:pPr>
        <w:widowControl/>
        <w:tabs>
          <w:tab w:val="left" w:pos="562"/>
        </w:tabs>
        <w:suppressAutoHyphens/>
        <w:rPr>
          <w:rFonts w:ascii="Times New Roman" w:eastAsia="Calibri" w:hAnsi="Times New Roman" w:cs="Times New Roman"/>
          <w:lang w:val="pl-PL"/>
        </w:rPr>
      </w:pPr>
      <w:r w:rsidRPr="003B21F7">
        <w:rPr>
          <w:rFonts w:ascii="Times New Roman" w:eastAsia="바탕" w:hAnsi="Times New Roman" w:cs="Times New Roman"/>
          <w:lang w:val="pl-PL"/>
        </w:rPr>
        <w:t>U dzieci i młodzieży z umiarkowaną do ciężkiej czynną postacią choroby Leśniowskiego-Crohna odsetek powstawania przeciwciał przeciw adalimumabowi u pacjentów otrzymujących adalimumab wynosił 3,3%.</w:t>
      </w:r>
    </w:p>
    <w:p w14:paraId="5774A47E"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30D757C8"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pacjentów z chorobą Leśniowskiego-Crohna przeciwciała przeciw adalimumabowi stwierdzono u 7 z 269 pacjentów (2,6%).</w:t>
      </w:r>
    </w:p>
    <w:p w14:paraId="504F5D9C"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0FC70E3B"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r w:rsidRPr="003B21F7">
        <w:rPr>
          <w:rFonts w:ascii="Times New Roman" w:eastAsia="바탕" w:hAnsi="Times New Roman" w:cs="Times New Roman"/>
          <w:lang w:val="pl-PL"/>
        </w:rPr>
        <w:t>U pacjentów z nieinfekcyjnym zapaleniem błony naczyniowej oka przeciwciała przeciw adalimumabowi stwierdzono u 4,8% (12/249) pacjentów leczonych adalimumabem.</w:t>
      </w:r>
    </w:p>
    <w:p w14:paraId="627997C4" w14:textId="77777777" w:rsidR="003B21F7" w:rsidRPr="003B21F7" w:rsidRDefault="003B21F7" w:rsidP="003B21F7">
      <w:pPr>
        <w:widowControl/>
        <w:tabs>
          <w:tab w:val="left" w:pos="562"/>
        </w:tabs>
        <w:suppressAutoHyphens/>
        <w:rPr>
          <w:rFonts w:ascii="Times New Roman" w:eastAsia="바탕" w:hAnsi="Times New Roman" w:cs="Times New Roman"/>
          <w:lang w:val="pl-PL"/>
        </w:rPr>
      </w:pPr>
    </w:p>
    <w:p w14:paraId="45BA64F4" w14:textId="54CC7A96" w:rsidR="00C27F39" w:rsidRPr="008F328C" w:rsidRDefault="003B21F7" w:rsidP="003B21F7">
      <w:pPr>
        <w:pStyle w:val="a3"/>
        <w:rPr>
          <w:lang w:val="pl-PL"/>
        </w:rPr>
      </w:pPr>
      <w:r w:rsidRPr="003B21F7">
        <w:rPr>
          <w:rFonts w:eastAsia="바탕"/>
          <w:lang w:val="pl-PL"/>
        </w:rPr>
        <w:t>Analizy immunogenności są swoiste dla danego produktu i dlatego nie jest możliwe porównanie ze wskaźnikami obecności przeciwciał podczas stosowania innych produktów</w:t>
      </w:r>
      <w:r w:rsidR="00C27F39" w:rsidRPr="008F328C">
        <w:rPr>
          <w:rFonts w:eastAsia="Times New Roman"/>
          <w:lang w:val="pl-PL"/>
        </w:rPr>
        <w:t>.</w:t>
      </w:r>
    </w:p>
    <w:p w14:paraId="1ABFB903" w14:textId="77777777" w:rsidR="00C27F39" w:rsidRPr="008F328C" w:rsidRDefault="00C27F39" w:rsidP="00C27F39">
      <w:pPr>
        <w:pStyle w:val="a3"/>
        <w:rPr>
          <w:lang w:val="pl-PL"/>
        </w:rPr>
      </w:pPr>
    </w:p>
    <w:p w14:paraId="48296FCC" w14:textId="77777777" w:rsidR="00C27F39" w:rsidRPr="008F328C" w:rsidRDefault="00C27F39" w:rsidP="00C27F39">
      <w:pPr>
        <w:pStyle w:val="a3"/>
        <w:rPr>
          <w:u w:val="single"/>
          <w:lang w:val="pl-PL"/>
        </w:rPr>
      </w:pPr>
      <w:r w:rsidRPr="008F328C">
        <w:rPr>
          <w:rFonts w:eastAsia="Times New Roman"/>
          <w:u w:val="single" w:color="000000"/>
          <w:lang w:val="pl-PL"/>
        </w:rPr>
        <w:t>Dzieci i młodzież</w:t>
      </w:r>
    </w:p>
    <w:p w14:paraId="78B2B86D" w14:textId="77777777" w:rsidR="00C27F39" w:rsidRPr="008F328C" w:rsidRDefault="00C27F39" w:rsidP="008F328C">
      <w:pPr>
        <w:pStyle w:val="a3"/>
        <w:rPr>
          <w:sz w:val="18"/>
          <w:szCs w:val="18"/>
          <w:lang w:val="pl-PL"/>
        </w:rPr>
      </w:pPr>
    </w:p>
    <w:p w14:paraId="7B5A2D32" w14:textId="77777777" w:rsidR="00C27F39" w:rsidRPr="008F328C" w:rsidRDefault="00C27F39" w:rsidP="00C27F39">
      <w:pPr>
        <w:pStyle w:val="a3"/>
        <w:rPr>
          <w:rFonts w:eastAsia="Times New Roman"/>
          <w:i/>
          <w:spacing w:val="-1"/>
          <w:lang w:val="pl-PL"/>
        </w:rPr>
      </w:pPr>
      <w:r w:rsidRPr="008F328C">
        <w:rPr>
          <w:rFonts w:eastAsia="Times New Roman"/>
          <w:i/>
          <w:iCs/>
          <w:spacing w:val="-1"/>
          <w:lang w:val="pl-PL"/>
        </w:rPr>
        <w:t>Młodzieńcze idiopatyczne zapalenie stawów (MIZS)</w:t>
      </w:r>
    </w:p>
    <w:p w14:paraId="4D84E441" w14:textId="77777777" w:rsidR="00C27F39" w:rsidRPr="008F328C" w:rsidRDefault="00C27F39" w:rsidP="00C27F39">
      <w:pPr>
        <w:pStyle w:val="a3"/>
        <w:rPr>
          <w:rFonts w:eastAsia="Times New Roman"/>
          <w:i/>
          <w:spacing w:val="-1"/>
          <w:u w:val="single" w:color="000000"/>
          <w:lang w:val="pl-PL"/>
        </w:rPr>
      </w:pPr>
    </w:p>
    <w:p w14:paraId="7E356CA6"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Wielostawowe młodzieńcze idiopatyczne zapalenie stawów (WMIZS)</w:t>
      </w:r>
    </w:p>
    <w:p w14:paraId="0C27E0C2" w14:textId="77777777" w:rsidR="00270309" w:rsidRPr="008F328C" w:rsidRDefault="00270309" w:rsidP="00C27F39">
      <w:pPr>
        <w:pStyle w:val="a3"/>
        <w:rPr>
          <w:rFonts w:eastAsia="Times New Roman"/>
          <w:lang w:val="pl-PL"/>
        </w:rPr>
      </w:pPr>
    </w:p>
    <w:p w14:paraId="629610BE" w14:textId="48EECC7E" w:rsidR="00C27F39" w:rsidRPr="008F328C" w:rsidRDefault="00C27F39" w:rsidP="00C27F39">
      <w:pPr>
        <w:pStyle w:val="a3"/>
        <w:rPr>
          <w:lang w:val="pl-PL"/>
        </w:rPr>
      </w:pPr>
      <w:r w:rsidRPr="008F328C">
        <w:rPr>
          <w:rFonts w:eastAsia="Times New Roman"/>
          <w:lang w:val="pl-PL"/>
        </w:rPr>
        <w:t xml:space="preserve">Bezpieczeństwo stosowania i skuteczność adalimumabu oceniano w dwóch badaniach klinicznych (pJIA I II) u dzieci z czynną postacią wielostawowego młodzieńczego idiopatycznego zapalenia stawów lub </w:t>
      </w:r>
      <w:r w:rsidRPr="008F328C">
        <w:rPr>
          <w:rFonts w:eastAsia="Times New Roman"/>
          <w:lang w:val="pl-PL"/>
        </w:rPr>
        <w:lastRenderedPageBreak/>
        <w:t>MIZS o dalszym przebiegu wielostawowym, u których występowały rozmaite typy początku MIZS [najczęściej seronegatywne (RF-) lub seropozytywne (RF+) zapalenie wielostawowe lub rozszerzająca się postać skąpostawowa].</w:t>
      </w:r>
    </w:p>
    <w:p w14:paraId="320D2D5B" w14:textId="77777777" w:rsidR="00C27F39" w:rsidRPr="008F328C" w:rsidRDefault="00C27F39" w:rsidP="00C27F39">
      <w:pPr>
        <w:pStyle w:val="a3"/>
        <w:rPr>
          <w:sz w:val="24"/>
          <w:szCs w:val="24"/>
          <w:lang w:val="pl-PL"/>
        </w:rPr>
      </w:pPr>
    </w:p>
    <w:p w14:paraId="3E91B7DA" w14:textId="77777777" w:rsidR="00C27F39" w:rsidRPr="008F328C" w:rsidRDefault="00C27F39" w:rsidP="00C27F39">
      <w:pPr>
        <w:pStyle w:val="a3"/>
        <w:rPr>
          <w:lang w:val="pl-PL"/>
        </w:rPr>
      </w:pPr>
      <w:r w:rsidRPr="008F328C">
        <w:rPr>
          <w:rFonts w:eastAsia="Times New Roman"/>
          <w:lang w:val="pl-PL"/>
        </w:rPr>
        <w:t>pJIA-I</w:t>
      </w:r>
    </w:p>
    <w:p w14:paraId="7746FE15" w14:textId="77777777" w:rsidR="00C27F39" w:rsidRPr="008F328C" w:rsidRDefault="00C27F39" w:rsidP="00C27F39">
      <w:pPr>
        <w:pStyle w:val="a3"/>
        <w:rPr>
          <w:sz w:val="18"/>
          <w:szCs w:val="18"/>
          <w:lang w:val="pl-PL"/>
        </w:rPr>
      </w:pPr>
    </w:p>
    <w:p w14:paraId="798E6E4D" w14:textId="3C501170" w:rsidR="00C27F39" w:rsidRPr="008F328C" w:rsidRDefault="00C27F39" w:rsidP="00C27F39">
      <w:pPr>
        <w:pStyle w:val="a3"/>
        <w:rPr>
          <w:lang w:val="pl-PL"/>
        </w:rPr>
      </w:pPr>
      <w:r w:rsidRPr="008F328C">
        <w:rPr>
          <w:rFonts w:eastAsia="Times New Roman"/>
          <w:lang w:val="pl-PL"/>
        </w:rPr>
        <w:t>Bezpieczeństwo stosowania i skuteczność adalimumabu badano w wieloośrodkowym, randomizowanym badaniu klinicznym z podwójnie ślepą próbą i grupami równoległymi u 171 dzieci (w wieku od 4 do 17 lat) z WMIZS. W fazie wstępnej otwartej (ang. open-label lead in, OL LI) pacjentów przydzielono do dwóch grup - leczonych MTX (metotreksatem) lub nieleczonych MTX. Pacjenci w grupie nieleczonych MTX, albo nigdy nie byli leczeni MTX, albo zaprzestano u nich stosowania MTX co najmniej dwa tygodnie przed podaniem badanego leku. Pacjenci w dalszym ciągu otrzymywali stałe dawki leków z grupy NLPZ i (lub) prednizon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0,2 mg/kg mc./dobc lub maksymalnie 10 mg/dobc). W fazie OL LI wszyscy pacjenci otrzymywali adalimumabu w dawce 24 mg/m</w:t>
      </w:r>
      <w:r w:rsidRPr="008F328C">
        <w:rPr>
          <w:rFonts w:eastAsia="Times New Roman"/>
          <w:sz w:val="14"/>
          <w:szCs w:val="14"/>
          <w:lang w:val="pl-PL"/>
        </w:rPr>
        <w:t>2</w:t>
      </w:r>
      <w:r w:rsidRPr="008F328C">
        <w:rPr>
          <w:rFonts w:eastAsia="Times New Roman"/>
          <w:lang w:val="pl-PL"/>
        </w:rPr>
        <w:t xml:space="preserve"> pc. do maksymalnie 40 mg co drugi tydzień przez 16 tygodni. Podział pacjentów wg wieku oraz dawki minimalnej, mediany dawki i dawki maksymalnej, jaką otrzymywali w fazie OL LI przedstawiono w Tabeli </w:t>
      </w:r>
      <w:r w:rsidR="00270309" w:rsidRPr="008F328C">
        <w:rPr>
          <w:rFonts w:eastAsia="Times New Roman"/>
          <w:lang w:val="pl-PL"/>
        </w:rPr>
        <w:t>17</w:t>
      </w:r>
      <w:r w:rsidRPr="008F328C">
        <w:rPr>
          <w:rFonts w:eastAsia="Times New Roman"/>
          <w:lang w:val="pl-PL"/>
        </w:rPr>
        <w:t>.</w:t>
      </w:r>
    </w:p>
    <w:p w14:paraId="682A77C8" w14:textId="77777777" w:rsidR="00C27F39" w:rsidRPr="008F328C" w:rsidRDefault="00C27F39" w:rsidP="00C27F39">
      <w:pPr>
        <w:spacing w:before="18" w:line="240" w:lineRule="exact"/>
        <w:rPr>
          <w:rFonts w:ascii="Times New Roman" w:hAnsi="Times New Roman" w:cs="Times New Roman"/>
          <w:sz w:val="24"/>
          <w:szCs w:val="24"/>
          <w:lang w:val="pl-PL"/>
        </w:rPr>
      </w:pPr>
    </w:p>
    <w:p w14:paraId="40421E94" w14:textId="3EF27CE3"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17</w:t>
      </w:r>
    </w:p>
    <w:p w14:paraId="439BF553" w14:textId="77777777" w:rsidR="00C27F39" w:rsidRPr="008F328C" w:rsidRDefault="00C27F39" w:rsidP="00C27F39">
      <w:pPr>
        <w:pStyle w:val="a3"/>
        <w:jc w:val="center"/>
        <w:rPr>
          <w:b/>
          <w:lang w:val="pl-PL"/>
        </w:rPr>
      </w:pPr>
      <w:r w:rsidRPr="008F328C">
        <w:rPr>
          <w:rFonts w:eastAsia="Times New Roman"/>
          <w:b/>
          <w:bCs/>
          <w:lang w:val="pl-PL"/>
        </w:rPr>
        <w:t>Podział pacjentów wg wieku i dawki adalimumabu, jaką otrzymali w fazie OL LI</w:t>
      </w:r>
    </w:p>
    <w:p w14:paraId="511F37A9" w14:textId="77777777" w:rsidR="00C27F39" w:rsidRPr="008F328C" w:rsidRDefault="00C27F39" w:rsidP="00C27F39">
      <w:pPr>
        <w:spacing w:before="15" w:line="260" w:lineRule="exact"/>
        <w:rPr>
          <w:rFonts w:ascii="Times New Roman" w:hAnsi="Times New Roman" w:cs="Times New Roman"/>
          <w:sz w:val="26"/>
          <w:szCs w:val="26"/>
          <w:lang w:val="pl-PL"/>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C27F39" w:rsidRPr="00FE49E6" w14:paraId="71FB7C4A"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35A72550"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Grupa wiekowa</w:t>
            </w:r>
          </w:p>
        </w:tc>
        <w:tc>
          <w:tcPr>
            <w:tcW w:w="3521" w:type="dxa"/>
            <w:tcBorders>
              <w:top w:val="single" w:sz="5" w:space="0" w:color="000000"/>
              <w:left w:val="single" w:sz="5" w:space="0" w:color="000000"/>
              <w:bottom w:val="single" w:sz="5" w:space="0" w:color="000000"/>
              <w:right w:val="single" w:sz="5" w:space="0" w:color="000000"/>
            </w:tcBorders>
          </w:tcPr>
          <w:p w14:paraId="684F3C83" w14:textId="77777777" w:rsidR="00C27F39" w:rsidRPr="008F328C" w:rsidRDefault="00C27F39" w:rsidP="00ED6A7B">
            <w:pPr>
              <w:pStyle w:val="TableParagraph"/>
              <w:spacing w:line="246"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 Wyjściowa liczba pacjentów n (%)</w:t>
            </w:r>
          </w:p>
        </w:tc>
        <w:tc>
          <w:tcPr>
            <w:tcW w:w="3240" w:type="dxa"/>
            <w:tcBorders>
              <w:top w:val="single" w:sz="5" w:space="0" w:color="000000"/>
              <w:left w:val="single" w:sz="5" w:space="0" w:color="000000"/>
              <w:bottom w:val="single" w:sz="5" w:space="0" w:color="000000"/>
              <w:right w:val="single" w:sz="5" w:space="0" w:color="000000"/>
            </w:tcBorders>
          </w:tcPr>
          <w:p w14:paraId="42D14E3F"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Dawka minimalna, mediana dawki</w:t>
            </w:r>
          </w:p>
          <w:p w14:paraId="72B3ACDD" w14:textId="77777777" w:rsidR="00C27F39" w:rsidRPr="008F328C" w:rsidRDefault="00C27F39" w:rsidP="00ED6A7B">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i dawka maksymalna</w:t>
            </w:r>
          </w:p>
        </w:tc>
      </w:tr>
      <w:tr w:rsidR="00C27F39" w:rsidRPr="008F328C" w14:paraId="2F1919EF"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57DC1333"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4 do 7 lat</w:t>
            </w:r>
          </w:p>
        </w:tc>
        <w:tc>
          <w:tcPr>
            <w:tcW w:w="3521" w:type="dxa"/>
            <w:tcBorders>
              <w:top w:val="single" w:sz="5" w:space="0" w:color="000000"/>
              <w:left w:val="single" w:sz="5" w:space="0" w:color="000000"/>
              <w:bottom w:val="single" w:sz="5" w:space="0" w:color="000000"/>
              <w:right w:val="single" w:sz="5" w:space="0" w:color="000000"/>
            </w:tcBorders>
          </w:tcPr>
          <w:p w14:paraId="30D97028"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31 (18,1)</w:t>
            </w:r>
          </w:p>
        </w:tc>
        <w:tc>
          <w:tcPr>
            <w:tcW w:w="3240" w:type="dxa"/>
            <w:tcBorders>
              <w:top w:val="single" w:sz="5" w:space="0" w:color="000000"/>
              <w:left w:val="single" w:sz="5" w:space="0" w:color="000000"/>
              <w:bottom w:val="single" w:sz="5" w:space="0" w:color="000000"/>
              <w:right w:val="single" w:sz="5" w:space="0" w:color="000000"/>
            </w:tcBorders>
          </w:tcPr>
          <w:p w14:paraId="20B08633"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10, 20 i 25 mg</w:t>
            </w:r>
          </w:p>
        </w:tc>
      </w:tr>
      <w:tr w:rsidR="00C27F39" w:rsidRPr="008F328C" w14:paraId="60EF4489"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7104C3A2" w14:textId="77777777" w:rsidR="00C27F39" w:rsidRPr="008F328C" w:rsidRDefault="00C27F39" w:rsidP="00ED6A7B">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8 do 12 lat</w:t>
            </w:r>
          </w:p>
        </w:tc>
        <w:tc>
          <w:tcPr>
            <w:tcW w:w="3521" w:type="dxa"/>
            <w:tcBorders>
              <w:top w:val="single" w:sz="5" w:space="0" w:color="000000"/>
              <w:left w:val="single" w:sz="5" w:space="0" w:color="000000"/>
              <w:bottom w:val="single" w:sz="5" w:space="0" w:color="000000"/>
              <w:right w:val="single" w:sz="5" w:space="0" w:color="000000"/>
            </w:tcBorders>
          </w:tcPr>
          <w:p w14:paraId="5ED20793" w14:textId="77777777" w:rsidR="00C27F39" w:rsidRPr="008F328C" w:rsidRDefault="00C27F39" w:rsidP="00ED6A7B">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71 (41,5)</w:t>
            </w:r>
          </w:p>
        </w:tc>
        <w:tc>
          <w:tcPr>
            <w:tcW w:w="3240" w:type="dxa"/>
            <w:tcBorders>
              <w:top w:val="single" w:sz="5" w:space="0" w:color="000000"/>
              <w:left w:val="single" w:sz="5" w:space="0" w:color="000000"/>
              <w:bottom w:val="single" w:sz="5" w:space="0" w:color="000000"/>
              <w:right w:val="single" w:sz="5" w:space="0" w:color="000000"/>
            </w:tcBorders>
          </w:tcPr>
          <w:p w14:paraId="3A7977A2" w14:textId="77777777" w:rsidR="00C27F39" w:rsidRPr="008F328C" w:rsidRDefault="00C27F39" w:rsidP="00ED6A7B">
            <w:pPr>
              <w:pStyle w:val="TableParagraph"/>
              <w:spacing w:line="248"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20, 25 i 40 mg</w:t>
            </w:r>
          </w:p>
        </w:tc>
      </w:tr>
      <w:tr w:rsidR="00C27F39" w:rsidRPr="008F328C" w14:paraId="781E6C41"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56252EEF"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13 do 17 lat</w:t>
            </w:r>
          </w:p>
        </w:tc>
        <w:tc>
          <w:tcPr>
            <w:tcW w:w="3521" w:type="dxa"/>
            <w:tcBorders>
              <w:top w:val="single" w:sz="5" w:space="0" w:color="000000"/>
              <w:left w:val="single" w:sz="5" w:space="0" w:color="000000"/>
              <w:bottom w:val="single" w:sz="5" w:space="0" w:color="000000"/>
              <w:right w:val="single" w:sz="5" w:space="0" w:color="000000"/>
            </w:tcBorders>
          </w:tcPr>
          <w:p w14:paraId="6B8667A1"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69 (40,4)</w:t>
            </w:r>
          </w:p>
        </w:tc>
        <w:tc>
          <w:tcPr>
            <w:tcW w:w="3240" w:type="dxa"/>
            <w:tcBorders>
              <w:top w:val="single" w:sz="5" w:space="0" w:color="000000"/>
              <w:left w:val="single" w:sz="5" w:space="0" w:color="000000"/>
              <w:bottom w:val="single" w:sz="5" w:space="0" w:color="000000"/>
              <w:right w:val="single" w:sz="5" w:space="0" w:color="000000"/>
            </w:tcBorders>
          </w:tcPr>
          <w:p w14:paraId="1E427F68"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25, 40 i 40 mg</w:t>
            </w:r>
          </w:p>
        </w:tc>
      </w:tr>
    </w:tbl>
    <w:p w14:paraId="422BF1A6" w14:textId="77777777" w:rsidR="00C27F39" w:rsidRPr="008F328C" w:rsidRDefault="00C27F39" w:rsidP="00C27F39">
      <w:pPr>
        <w:spacing w:before="3" w:line="170" w:lineRule="exact"/>
        <w:rPr>
          <w:rFonts w:ascii="Times New Roman" w:hAnsi="Times New Roman" w:cs="Times New Roman"/>
          <w:sz w:val="17"/>
          <w:szCs w:val="17"/>
          <w:lang w:val="pl-PL"/>
        </w:rPr>
      </w:pPr>
    </w:p>
    <w:p w14:paraId="2AE246D8" w14:textId="77777777" w:rsidR="00C27F39" w:rsidRPr="008F328C" w:rsidRDefault="00C27F39" w:rsidP="00C27F39">
      <w:pPr>
        <w:pStyle w:val="a3"/>
        <w:rPr>
          <w:lang w:val="pl-PL"/>
        </w:rPr>
      </w:pPr>
      <w:r w:rsidRPr="008F328C">
        <w:rPr>
          <w:rFonts w:eastAsia="Times New Roman"/>
          <w:lang w:val="pl-PL"/>
        </w:rPr>
        <w:t>Pacjenci wykazujący odpowiedź 30 w pediatrycznej skali ACR w 16. tygodniu kwalifikowali się do randomizacji w fazie podwójnie ślepej próby i otrzymywali albo adalimumab w dawce 24 mg/m</w:t>
      </w:r>
      <w:r w:rsidRPr="008F328C">
        <w:rPr>
          <w:rFonts w:eastAsia="Times New Roman"/>
          <w:sz w:val="14"/>
          <w:szCs w:val="14"/>
          <w:lang w:val="pl-PL"/>
        </w:rPr>
        <w:t xml:space="preserve">2 </w:t>
      </w:r>
      <w:r w:rsidRPr="008F328C">
        <w:rPr>
          <w:rFonts w:eastAsia="Times New Roman"/>
          <w:lang w:val="pl-PL"/>
        </w:rPr>
        <w:t xml:space="preserve">pc. do maksymalnie 40 mg albo placebo co drugi tydzień przez dodatkowo 32 tygodnie lub do momentu reaktywacji choroby. Kryteria reaktywacji choroby określono jako pogorszenie o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30% w stosunku do wartości wyjściowych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3 z 6 kryteriów podstawowych w pediatrycznej skali ACR, </w:t>
      </w:r>
      <w:r w:rsidRPr="008F328C">
        <w:rPr>
          <w:rFonts w:eastAsia="Symbol"/>
          <w:lang w:val="pl-PL"/>
        </w:rPr>
        <w:sym w:font="Symbol" w:char="F0B3"/>
      </w:r>
      <w:r w:rsidRPr="008F328C">
        <w:rPr>
          <w:rFonts w:eastAsia="Symbol"/>
          <w:lang w:val="pl-PL"/>
        </w:rPr>
        <w:sym w:font="Symbol" w:char="F020"/>
      </w:r>
      <w:r w:rsidRPr="008F328C">
        <w:rPr>
          <w:rFonts w:eastAsia="Times New Roman"/>
          <w:lang w:val="pl-PL"/>
        </w:rPr>
        <w:t xml:space="preserve">2 zaatakowanych czynną chorobą stawów lub poprawę o </w:t>
      </w:r>
      <w:r w:rsidRPr="008F328C">
        <w:rPr>
          <w:rFonts w:eastAsia="Symbol"/>
          <w:lang w:val="pl-PL"/>
        </w:rPr>
        <w:sym w:font="Symbol" w:char="F03E"/>
      </w:r>
      <w:r w:rsidRPr="008F328C">
        <w:rPr>
          <w:rFonts w:eastAsia="Symbol"/>
          <w:lang w:val="pl-PL"/>
        </w:rPr>
        <w:sym w:font="Symbol" w:char="F020"/>
      </w:r>
      <w:r w:rsidRPr="008F328C">
        <w:rPr>
          <w:rFonts w:eastAsia="Times New Roman"/>
          <w:lang w:val="pl-PL"/>
        </w:rPr>
        <w:t>30% nie więcej niż w 1 z 6 kryteriów. Po 32 tygodniach lub w momencie reaktywacji choroby, pacjenci kwalifikowali się do włączenia do fazy otwartej będącej kontynuacją badania.</w:t>
      </w:r>
    </w:p>
    <w:p w14:paraId="45C4A8A1" w14:textId="77777777" w:rsidR="00C27F39" w:rsidRPr="008F328C" w:rsidRDefault="00C27F39" w:rsidP="00C27F39">
      <w:pPr>
        <w:spacing w:before="18" w:line="240" w:lineRule="exact"/>
        <w:rPr>
          <w:rFonts w:ascii="Times New Roman" w:hAnsi="Times New Roman" w:cs="Times New Roman"/>
          <w:sz w:val="24"/>
          <w:szCs w:val="24"/>
          <w:lang w:val="pl-PL"/>
        </w:rPr>
      </w:pPr>
    </w:p>
    <w:p w14:paraId="2486125D" w14:textId="1C0869E9"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18</w:t>
      </w:r>
    </w:p>
    <w:p w14:paraId="467B4683" w14:textId="77777777" w:rsidR="00C27F39" w:rsidRPr="008F328C" w:rsidRDefault="00C27F39" w:rsidP="00C27F39">
      <w:pPr>
        <w:pStyle w:val="a3"/>
        <w:jc w:val="center"/>
        <w:rPr>
          <w:b/>
          <w:lang w:val="pl-PL"/>
        </w:rPr>
      </w:pPr>
      <w:r w:rsidRPr="008F328C">
        <w:rPr>
          <w:rFonts w:eastAsia="Times New Roman"/>
          <w:b/>
          <w:bCs/>
          <w:lang w:val="pl-PL"/>
        </w:rPr>
        <w:t>Odpowiedzi 30 w pediatrycznej skali ACR w badaniu WMIZS</w:t>
      </w:r>
    </w:p>
    <w:p w14:paraId="024CE96F" w14:textId="77777777" w:rsidR="00C27F39" w:rsidRPr="008F328C" w:rsidRDefault="00C27F39" w:rsidP="00C27F39">
      <w:pPr>
        <w:pStyle w:val="a3"/>
        <w:rPr>
          <w:lang w:val="pl-PL"/>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C27F39" w:rsidRPr="008F328C" w14:paraId="2B3C9BCD"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5BA3F2A2"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Grupa</w:t>
            </w:r>
          </w:p>
        </w:tc>
        <w:tc>
          <w:tcPr>
            <w:tcW w:w="3521" w:type="dxa"/>
            <w:gridSpan w:val="2"/>
            <w:tcBorders>
              <w:top w:val="single" w:sz="5" w:space="0" w:color="000000"/>
              <w:left w:val="single" w:sz="5" w:space="0" w:color="000000"/>
              <w:bottom w:val="single" w:sz="5" w:space="0" w:color="000000"/>
              <w:right w:val="single" w:sz="5" w:space="0" w:color="000000"/>
            </w:tcBorders>
          </w:tcPr>
          <w:p w14:paraId="3BA00A3E" w14:textId="77777777" w:rsidR="00C27F39" w:rsidRPr="008F328C" w:rsidRDefault="00C27F39" w:rsidP="00ED6A7B">
            <w:pPr>
              <w:pStyle w:val="TableParagraph"/>
              <w:spacing w:line="246" w:lineRule="exact"/>
              <w:ind w:left="1463" w:right="1517"/>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05B5D1C1" w14:textId="77777777" w:rsidR="00C27F39" w:rsidRPr="008F328C" w:rsidRDefault="00C27F39" w:rsidP="00ED6A7B">
            <w:pPr>
              <w:pStyle w:val="TableParagraph"/>
              <w:spacing w:line="246" w:lineRule="exact"/>
              <w:ind w:left="954"/>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Bez MTX</w:t>
            </w:r>
          </w:p>
        </w:tc>
      </w:tr>
      <w:tr w:rsidR="00C27F39" w:rsidRPr="008F328C" w14:paraId="113E9EE2"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4F31D446"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lang w:val="pl-PL"/>
              </w:rPr>
              <w:t>Faza</w:t>
            </w:r>
          </w:p>
        </w:tc>
        <w:tc>
          <w:tcPr>
            <w:tcW w:w="3521" w:type="dxa"/>
            <w:gridSpan w:val="2"/>
            <w:tcBorders>
              <w:top w:val="single" w:sz="5" w:space="0" w:color="000000"/>
              <w:left w:val="single" w:sz="5" w:space="0" w:color="000000"/>
              <w:bottom w:val="single" w:sz="5" w:space="0" w:color="000000"/>
              <w:right w:val="single" w:sz="5" w:space="0" w:color="000000"/>
            </w:tcBorders>
          </w:tcPr>
          <w:p w14:paraId="45A9623D" w14:textId="77777777" w:rsidR="00C27F39" w:rsidRPr="008F328C" w:rsidRDefault="00C27F39" w:rsidP="00ED6A7B">
            <w:pPr>
              <w:rPr>
                <w:rFonts w:ascii="Times New Roman" w:hAnsi="Times New Roman" w:cs="Times New Roman"/>
                <w:lang w:val="pl-PL"/>
              </w:rPr>
            </w:pPr>
          </w:p>
        </w:tc>
        <w:tc>
          <w:tcPr>
            <w:tcW w:w="3240" w:type="dxa"/>
            <w:gridSpan w:val="2"/>
            <w:tcBorders>
              <w:top w:val="single" w:sz="5" w:space="0" w:color="000000"/>
              <w:left w:val="single" w:sz="5" w:space="0" w:color="000000"/>
              <w:bottom w:val="single" w:sz="5" w:space="0" w:color="000000"/>
              <w:right w:val="single" w:sz="5" w:space="0" w:color="000000"/>
            </w:tcBorders>
          </w:tcPr>
          <w:p w14:paraId="0E2A8BB7" w14:textId="77777777" w:rsidR="00C27F39" w:rsidRPr="008F328C" w:rsidRDefault="00C27F39" w:rsidP="00ED6A7B">
            <w:pPr>
              <w:rPr>
                <w:rFonts w:ascii="Times New Roman" w:hAnsi="Times New Roman" w:cs="Times New Roman"/>
                <w:lang w:val="pl-PL"/>
              </w:rPr>
            </w:pPr>
          </w:p>
        </w:tc>
      </w:tr>
      <w:tr w:rsidR="00C27F39" w:rsidRPr="008F328C" w14:paraId="30E7D059"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2A620ECF"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2"/>
                <w:lang w:val="pl-PL"/>
              </w:rPr>
              <w:t>OL LI 16 tygodni</w:t>
            </w:r>
          </w:p>
        </w:tc>
        <w:tc>
          <w:tcPr>
            <w:tcW w:w="3521" w:type="dxa"/>
            <w:gridSpan w:val="2"/>
            <w:tcBorders>
              <w:top w:val="single" w:sz="5" w:space="0" w:color="000000"/>
              <w:left w:val="single" w:sz="5" w:space="0" w:color="000000"/>
              <w:bottom w:val="single" w:sz="5" w:space="0" w:color="000000"/>
              <w:right w:val="single" w:sz="5" w:space="0" w:color="000000"/>
            </w:tcBorders>
          </w:tcPr>
          <w:p w14:paraId="0EDED25A" w14:textId="77777777" w:rsidR="00C27F39" w:rsidRPr="008F328C" w:rsidRDefault="00C27F39" w:rsidP="00ED6A7B">
            <w:pPr>
              <w:rPr>
                <w:rFonts w:ascii="Times New Roman" w:hAnsi="Times New Roman" w:cs="Times New Roman"/>
                <w:lang w:val="pl-PL"/>
              </w:rPr>
            </w:pPr>
          </w:p>
        </w:tc>
        <w:tc>
          <w:tcPr>
            <w:tcW w:w="3240" w:type="dxa"/>
            <w:gridSpan w:val="2"/>
            <w:tcBorders>
              <w:top w:val="single" w:sz="5" w:space="0" w:color="000000"/>
              <w:left w:val="single" w:sz="5" w:space="0" w:color="000000"/>
              <w:bottom w:val="single" w:sz="5" w:space="0" w:color="000000"/>
              <w:right w:val="single" w:sz="5" w:space="0" w:color="000000"/>
            </w:tcBorders>
          </w:tcPr>
          <w:p w14:paraId="15386E2F" w14:textId="77777777" w:rsidR="00C27F39" w:rsidRPr="008F328C" w:rsidRDefault="00C27F39" w:rsidP="00ED6A7B">
            <w:pPr>
              <w:rPr>
                <w:rFonts w:ascii="Times New Roman" w:hAnsi="Times New Roman" w:cs="Times New Roman"/>
                <w:lang w:val="pl-PL"/>
              </w:rPr>
            </w:pPr>
          </w:p>
        </w:tc>
      </w:tr>
      <w:tr w:rsidR="00C27F39" w:rsidRPr="008F328C" w14:paraId="725B8EB5"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4830C6EA" w14:textId="77777777" w:rsidR="00C27F39" w:rsidRPr="008F328C" w:rsidRDefault="00C27F39" w:rsidP="00ED6A7B">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30 w skali pediatrycznej ACR</w:t>
            </w:r>
            <w:r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(n/N)</w:t>
            </w:r>
          </w:p>
        </w:tc>
        <w:tc>
          <w:tcPr>
            <w:tcW w:w="3521" w:type="dxa"/>
            <w:gridSpan w:val="2"/>
            <w:tcBorders>
              <w:top w:val="single" w:sz="5" w:space="0" w:color="000000"/>
              <w:left w:val="single" w:sz="5" w:space="0" w:color="000000"/>
              <w:bottom w:val="single" w:sz="5" w:space="0" w:color="000000"/>
              <w:right w:val="single" w:sz="5" w:space="0" w:color="000000"/>
            </w:tcBorders>
          </w:tcPr>
          <w:p w14:paraId="124BDE05" w14:textId="77777777" w:rsidR="00C27F39" w:rsidRPr="008F328C" w:rsidRDefault="00C27F39" w:rsidP="00ED6A7B">
            <w:pPr>
              <w:pStyle w:val="TableParagraph"/>
              <w:spacing w:line="246" w:lineRule="exact"/>
              <w:ind w:left="109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03912596" w14:textId="77777777" w:rsidR="00C27F39" w:rsidRPr="008F328C" w:rsidRDefault="00C27F39" w:rsidP="00ED6A7B">
            <w:pPr>
              <w:pStyle w:val="TableParagraph"/>
              <w:spacing w:line="246" w:lineRule="exact"/>
              <w:ind w:left="951"/>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74,4% (64/86)</w:t>
            </w:r>
          </w:p>
        </w:tc>
      </w:tr>
      <w:tr w:rsidR="00C27F39" w:rsidRPr="008F328C" w14:paraId="3D79B365" w14:textId="77777777" w:rsidTr="00ED6A7B">
        <w:tc>
          <w:tcPr>
            <w:tcW w:w="9178" w:type="dxa"/>
            <w:gridSpan w:val="5"/>
            <w:tcBorders>
              <w:top w:val="single" w:sz="5" w:space="0" w:color="000000"/>
              <w:left w:val="single" w:sz="5" w:space="0" w:color="000000"/>
              <w:bottom w:val="single" w:sz="5" w:space="0" w:color="000000"/>
              <w:right w:val="single" w:sz="5" w:space="0" w:color="000000"/>
            </w:tcBorders>
          </w:tcPr>
          <w:p w14:paraId="3D7E9DD4" w14:textId="77777777" w:rsidR="00C27F39" w:rsidRPr="008F328C" w:rsidRDefault="00C27F39" w:rsidP="00ED6A7B">
            <w:pPr>
              <w:pStyle w:val="TableParagraph"/>
              <w:spacing w:line="246" w:lineRule="exact"/>
              <w:ind w:left="3335" w:right="4114"/>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Wyniki skuteczności</w:t>
            </w:r>
          </w:p>
        </w:tc>
      </w:tr>
      <w:tr w:rsidR="00C27F39" w:rsidRPr="008F328C" w14:paraId="6930673C"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00E3FA52" w14:textId="77777777" w:rsidR="00C27F39" w:rsidRPr="008F328C" w:rsidRDefault="00C27F39" w:rsidP="00ED6A7B">
            <w:pPr>
              <w:pStyle w:val="TableParagraph"/>
              <w:spacing w:line="246"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Podwójnie zaślepiona 32 tygodnie</w:t>
            </w:r>
          </w:p>
        </w:tc>
        <w:tc>
          <w:tcPr>
            <w:tcW w:w="1762" w:type="dxa"/>
            <w:tcBorders>
              <w:top w:val="single" w:sz="5" w:space="0" w:color="000000"/>
              <w:left w:val="single" w:sz="5" w:space="0" w:color="000000"/>
              <w:bottom w:val="single" w:sz="5" w:space="0" w:color="000000"/>
              <w:right w:val="single" w:sz="5" w:space="0" w:color="000000"/>
            </w:tcBorders>
          </w:tcPr>
          <w:p w14:paraId="4506B9FC"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Adalimumab/MTX</w:t>
            </w:r>
          </w:p>
          <w:p w14:paraId="2E19DA1B" w14:textId="77777777" w:rsidR="00C27F39" w:rsidRPr="008F328C" w:rsidRDefault="00C27F39" w:rsidP="00ED6A7B">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38)</w:t>
            </w:r>
          </w:p>
        </w:tc>
        <w:tc>
          <w:tcPr>
            <w:tcW w:w="1759" w:type="dxa"/>
            <w:tcBorders>
              <w:top w:val="single" w:sz="5" w:space="0" w:color="000000"/>
              <w:left w:val="single" w:sz="5" w:space="0" w:color="000000"/>
              <w:bottom w:val="single" w:sz="5" w:space="0" w:color="000000"/>
              <w:right w:val="single" w:sz="5" w:space="0" w:color="000000"/>
            </w:tcBorders>
          </w:tcPr>
          <w:p w14:paraId="30D10FC8"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Placebo/MTX</w:t>
            </w:r>
          </w:p>
          <w:p w14:paraId="5F573A8E" w14:textId="77777777" w:rsidR="00C27F39" w:rsidRPr="008F328C" w:rsidRDefault="00C27F39" w:rsidP="00ED6A7B">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37)</w:t>
            </w:r>
          </w:p>
        </w:tc>
        <w:tc>
          <w:tcPr>
            <w:tcW w:w="1651" w:type="dxa"/>
            <w:tcBorders>
              <w:top w:val="single" w:sz="5" w:space="0" w:color="000000"/>
              <w:left w:val="single" w:sz="5" w:space="0" w:color="000000"/>
              <w:bottom w:val="single" w:sz="5" w:space="0" w:color="000000"/>
              <w:right w:val="single" w:sz="5" w:space="0" w:color="000000"/>
            </w:tcBorders>
          </w:tcPr>
          <w:p w14:paraId="306E3DB1"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w:t>
            </w:r>
          </w:p>
          <w:p w14:paraId="10417C8E" w14:textId="77777777" w:rsidR="00C27F39" w:rsidRPr="008F328C" w:rsidRDefault="00C27F39" w:rsidP="00ED6A7B">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30)</w:t>
            </w:r>
          </w:p>
        </w:tc>
        <w:tc>
          <w:tcPr>
            <w:tcW w:w="1589" w:type="dxa"/>
            <w:tcBorders>
              <w:top w:val="single" w:sz="5" w:space="0" w:color="000000"/>
              <w:left w:val="single" w:sz="5" w:space="0" w:color="000000"/>
              <w:bottom w:val="single" w:sz="5" w:space="0" w:color="000000"/>
              <w:right w:val="single" w:sz="5" w:space="0" w:color="000000"/>
            </w:tcBorders>
          </w:tcPr>
          <w:p w14:paraId="3B54117A"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Placebo</w:t>
            </w:r>
          </w:p>
          <w:p w14:paraId="232F5083" w14:textId="77777777" w:rsidR="00C27F39" w:rsidRPr="008F328C" w:rsidRDefault="00C27F39" w:rsidP="00ED6A7B">
            <w:pPr>
              <w:pStyle w:val="TableParagraph"/>
              <w:spacing w:before="1"/>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 = 28)</w:t>
            </w:r>
          </w:p>
        </w:tc>
      </w:tr>
      <w:tr w:rsidR="00C27F39" w:rsidRPr="008F328C" w14:paraId="0AFA289A"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00F56B1A" w14:textId="77777777" w:rsidR="00C27F39" w:rsidRPr="008F328C" w:rsidRDefault="00C27F39" w:rsidP="00ED6A7B">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Reaktywacja choroby po</w:t>
            </w:r>
          </w:p>
          <w:p w14:paraId="621A730D" w14:textId="77777777" w:rsidR="00C27F39" w:rsidRPr="008F328C" w:rsidRDefault="00C27F39" w:rsidP="00ED6A7B">
            <w:pPr>
              <w:pStyle w:val="TableParagraph"/>
              <w:spacing w:line="252"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zakończeniu okresu</w:t>
            </w:r>
          </w:p>
          <w:p w14:paraId="2BBC92D1" w14:textId="77777777" w:rsidR="00C27F39" w:rsidRPr="008F328C" w:rsidRDefault="00C27F39" w:rsidP="00ED6A7B">
            <w:pPr>
              <w:pStyle w:val="TableParagraph"/>
              <w:spacing w:line="254" w:lineRule="exact"/>
              <w:ind w:left="668"/>
              <w:rPr>
                <w:rFonts w:ascii="Times New Roman" w:eastAsia="Times New Roman" w:hAnsi="Times New Roman" w:cs="Times New Roman"/>
                <w:lang w:val="pl-PL"/>
              </w:rPr>
            </w:pPr>
            <w:r w:rsidRPr="008F328C">
              <w:rPr>
                <w:rFonts w:ascii="Times New Roman" w:eastAsia="Times New Roman" w:hAnsi="Times New Roman" w:cs="Times New Roman"/>
                <w:lang w:val="pl-PL"/>
              </w:rPr>
              <w:t>32 tygodnia (n/N)</w:t>
            </w:r>
          </w:p>
        </w:tc>
        <w:tc>
          <w:tcPr>
            <w:tcW w:w="1762" w:type="dxa"/>
            <w:tcBorders>
              <w:top w:val="single" w:sz="5" w:space="0" w:color="000000"/>
              <w:left w:val="single" w:sz="5" w:space="0" w:color="000000"/>
              <w:bottom w:val="single" w:sz="5" w:space="0" w:color="000000"/>
              <w:right w:val="single" w:sz="5" w:space="0" w:color="000000"/>
            </w:tcBorders>
          </w:tcPr>
          <w:p w14:paraId="7C5919BD"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36,8% (14/38)</w:t>
            </w:r>
          </w:p>
        </w:tc>
        <w:tc>
          <w:tcPr>
            <w:tcW w:w="1759" w:type="dxa"/>
            <w:tcBorders>
              <w:top w:val="single" w:sz="5" w:space="0" w:color="000000"/>
              <w:left w:val="single" w:sz="5" w:space="0" w:color="000000"/>
              <w:bottom w:val="single" w:sz="5" w:space="0" w:color="000000"/>
              <w:right w:val="single" w:sz="5" w:space="0" w:color="000000"/>
            </w:tcBorders>
          </w:tcPr>
          <w:p w14:paraId="013D623F" w14:textId="77777777" w:rsidR="00C27F39" w:rsidRPr="008F328C" w:rsidRDefault="00C27F39" w:rsidP="00ED6A7B">
            <w:pPr>
              <w:pStyle w:val="TableParagraph"/>
              <w:spacing w:line="246"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64,9% (24/37)</w:t>
            </w:r>
            <w:r w:rsidRPr="008F328C">
              <w:rPr>
                <w:rFonts w:ascii="Times New Roman" w:eastAsia="Times New Roman" w:hAnsi="Times New Roman" w:cs="Times New Roman"/>
                <w:spacing w:val="-1"/>
                <w:sz w:val="14"/>
                <w:szCs w:val="14"/>
                <w:lang w:val="pl-PL"/>
              </w:rPr>
              <w:t>b</w:t>
            </w:r>
          </w:p>
        </w:tc>
        <w:tc>
          <w:tcPr>
            <w:tcW w:w="1651" w:type="dxa"/>
            <w:tcBorders>
              <w:top w:val="single" w:sz="5" w:space="0" w:color="000000"/>
              <w:left w:val="single" w:sz="5" w:space="0" w:color="000000"/>
              <w:bottom w:val="single" w:sz="5" w:space="0" w:color="000000"/>
              <w:right w:val="single" w:sz="5" w:space="0" w:color="000000"/>
            </w:tcBorders>
          </w:tcPr>
          <w:p w14:paraId="2AEEC4A8"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43,3% (13/30)</w:t>
            </w:r>
          </w:p>
        </w:tc>
        <w:tc>
          <w:tcPr>
            <w:tcW w:w="1589" w:type="dxa"/>
            <w:tcBorders>
              <w:top w:val="single" w:sz="5" w:space="0" w:color="000000"/>
              <w:left w:val="single" w:sz="5" w:space="0" w:color="000000"/>
              <w:bottom w:val="single" w:sz="5" w:space="0" w:color="000000"/>
              <w:right w:val="single" w:sz="5" w:space="0" w:color="000000"/>
            </w:tcBorders>
          </w:tcPr>
          <w:p w14:paraId="24FB3C99"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71,4%</w:t>
            </w:r>
          </w:p>
          <w:p w14:paraId="55507736" w14:textId="77777777" w:rsidR="00C27F39" w:rsidRPr="008F328C" w:rsidRDefault="00C27F39" w:rsidP="00ED6A7B">
            <w:pPr>
              <w:pStyle w:val="TableParagraph"/>
              <w:spacing w:line="252"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(20/28)</w:t>
            </w:r>
            <w:r w:rsidRPr="008F328C">
              <w:rPr>
                <w:rFonts w:ascii="Times New Roman" w:eastAsia="Times New Roman" w:hAnsi="Times New Roman" w:cs="Times New Roman"/>
                <w:spacing w:val="-1"/>
                <w:sz w:val="14"/>
                <w:szCs w:val="14"/>
                <w:lang w:val="pl-PL"/>
              </w:rPr>
              <w:t>c</w:t>
            </w:r>
          </w:p>
        </w:tc>
      </w:tr>
      <w:tr w:rsidR="00C27F39" w:rsidRPr="008F328C" w14:paraId="495B4EAF" w14:textId="77777777" w:rsidTr="00ED6A7B">
        <w:tc>
          <w:tcPr>
            <w:tcW w:w="2417" w:type="dxa"/>
            <w:tcBorders>
              <w:top w:val="single" w:sz="5" w:space="0" w:color="000000"/>
              <w:left w:val="single" w:sz="5" w:space="0" w:color="000000"/>
              <w:bottom w:val="single" w:sz="5" w:space="0" w:color="000000"/>
              <w:right w:val="single" w:sz="5" w:space="0" w:color="000000"/>
            </w:tcBorders>
          </w:tcPr>
          <w:p w14:paraId="39F44CCD" w14:textId="77777777" w:rsidR="00C27F39" w:rsidRPr="008F328C" w:rsidRDefault="00C27F39" w:rsidP="00ED6A7B">
            <w:pPr>
              <w:pStyle w:val="TableParagraph"/>
              <w:spacing w:line="246" w:lineRule="exact"/>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Mediana czasu do</w:t>
            </w:r>
          </w:p>
          <w:p w14:paraId="6C33186E" w14:textId="77777777" w:rsidR="00C27F39" w:rsidRPr="008F328C" w:rsidRDefault="00C27F39" w:rsidP="00ED6A7B">
            <w:pPr>
              <w:pStyle w:val="TableParagraph"/>
              <w:spacing w:before="1"/>
              <w:ind w:left="668"/>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reaktywacji choroby</w:t>
            </w:r>
          </w:p>
        </w:tc>
        <w:tc>
          <w:tcPr>
            <w:tcW w:w="1762" w:type="dxa"/>
            <w:tcBorders>
              <w:top w:val="single" w:sz="5" w:space="0" w:color="000000"/>
              <w:left w:val="single" w:sz="5" w:space="0" w:color="000000"/>
              <w:bottom w:val="single" w:sz="5" w:space="0" w:color="000000"/>
              <w:right w:val="single" w:sz="5" w:space="0" w:color="000000"/>
            </w:tcBorders>
          </w:tcPr>
          <w:p w14:paraId="7F3D2A7E"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lastRenderedPageBreak/>
              <w:t>&gt; 32 tygodnie</w:t>
            </w:r>
          </w:p>
        </w:tc>
        <w:tc>
          <w:tcPr>
            <w:tcW w:w="1759" w:type="dxa"/>
            <w:tcBorders>
              <w:top w:val="single" w:sz="5" w:space="0" w:color="000000"/>
              <w:left w:val="single" w:sz="5" w:space="0" w:color="000000"/>
              <w:bottom w:val="single" w:sz="5" w:space="0" w:color="000000"/>
              <w:right w:val="single" w:sz="5" w:space="0" w:color="000000"/>
            </w:tcBorders>
          </w:tcPr>
          <w:p w14:paraId="689431C3"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tygodni</w:t>
            </w:r>
          </w:p>
        </w:tc>
        <w:tc>
          <w:tcPr>
            <w:tcW w:w="1651" w:type="dxa"/>
            <w:tcBorders>
              <w:top w:val="single" w:sz="5" w:space="0" w:color="000000"/>
              <w:left w:val="single" w:sz="5" w:space="0" w:color="000000"/>
              <w:bottom w:val="single" w:sz="5" w:space="0" w:color="000000"/>
              <w:right w:val="single" w:sz="5" w:space="0" w:color="000000"/>
            </w:tcBorders>
          </w:tcPr>
          <w:p w14:paraId="1845E7C6"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&gt; 32 tygodnie</w:t>
            </w:r>
          </w:p>
        </w:tc>
        <w:tc>
          <w:tcPr>
            <w:tcW w:w="1589" w:type="dxa"/>
            <w:tcBorders>
              <w:top w:val="single" w:sz="5" w:space="0" w:color="000000"/>
              <w:left w:val="single" w:sz="5" w:space="0" w:color="000000"/>
              <w:bottom w:val="single" w:sz="5" w:space="0" w:color="000000"/>
              <w:right w:val="single" w:sz="5" w:space="0" w:color="000000"/>
            </w:tcBorders>
          </w:tcPr>
          <w:p w14:paraId="4CD959EA"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14 tygodni</w:t>
            </w:r>
          </w:p>
        </w:tc>
      </w:tr>
    </w:tbl>
    <w:p w14:paraId="4EE65FE6" w14:textId="77777777" w:rsidR="00C27F39" w:rsidRPr="008F328C" w:rsidRDefault="00C27F39" w:rsidP="00C27F39">
      <w:pPr>
        <w:spacing w:before="3" w:line="180" w:lineRule="exact"/>
        <w:rPr>
          <w:rFonts w:ascii="Times New Roman" w:hAnsi="Times New Roman" w:cs="Times New Roman"/>
          <w:sz w:val="18"/>
          <w:szCs w:val="18"/>
          <w:lang w:val="pl-PL"/>
        </w:rPr>
      </w:pPr>
    </w:p>
    <w:p w14:paraId="76F9C99A" w14:textId="77777777" w:rsidR="00C27F39" w:rsidRPr="008F328C" w:rsidRDefault="00C27F39" w:rsidP="00C27F39">
      <w:pPr>
        <w:pStyle w:val="a3"/>
        <w:rPr>
          <w:lang w:val="pl-PL"/>
        </w:rPr>
      </w:pPr>
      <w:r w:rsidRPr="008F328C">
        <w:rPr>
          <w:rFonts w:eastAsia="Times New Roman"/>
          <w:position w:val="8"/>
          <w:vertAlign w:val="superscript"/>
          <w:lang w:val="pl-PL"/>
        </w:rPr>
        <w:t xml:space="preserve">a </w:t>
      </w:r>
      <w:r w:rsidRPr="008F328C">
        <w:rPr>
          <w:rFonts w:eastAsia="Times New Roman"/>
          <w:position w:val="8"/>
          <w:lang w:val="pl-PL"/>
        </w:rPr>
        <w:t>Odpowiedzi 30/50/70 w pediatrycznej skali ACR w 48. tygodniu istotnie większe niż u pacjentów otrzymujących placebo</w:t>
      </w:r>
    </w:p>
    <w:p w14:paraId="67B80AFC" w14:textId="77777777" w:rsidR="00C27F39" w:rsidRPr="008F328C" w:rsidRDefault="00C27F39" w:rsidP="00C27F39">
      <w:pPr>
        <w:pStyle w:val="a3"/>
        <w:rPr>
          <w:lang w:val="pl-PL"/>
        </w:rPr>
      </w:pPr>
      <w:r w:rsidRPr="008F328C">
        <w:rPr>
          <w:rFonts w:eastAsia="Times New Roman"/>
          <w:position w:val="8"/>
          <w:vertAlign w:val="superscript"/>
          <w:lang w:val="pl-PL"/>
        </w:rPr>
        <w:t xml:space="preserve">b </w:t>
      </w:r>
      <w:r w:rsidRPr="008F328C">
        <w:rPr>
          <w:rFonts w:eastAsia="Times New Roman"/>
          <w:position w:val="8"/>
          <w:lang w:val="pl-PL"/>
        </w:rPr>
        <w:t>p = 0,015</w:t>
      </w:r>
    </w:p>
    <w:p w14:paraId="1A8A5112" w14:textId="77777777" w:rsidR="00C27F39" w:rsidRPr="008F328C" w:rsidRDefault="00C27F39" w:rsidP="00C27F39">
      <w:pPr>
        <w:pStyle w:val="a3"/>
        <w:rPr>
          <w:lang w:val="pl-PL"/>
        </w:rPr>
      </w:pPr>
      <w:r w:rsidRPr="008F328C">
        <w:rPr>
          <w:rFonts w:eastAsia="Times New Roman"/>
          <w:position w:val="8"/>
          <w:vertAlign w:val="superscript"/>
          <w:lang w:val="pl-PL"/>
        </w:rPr>
        <w:t xml:space="preserve">c </w:t>
      </w:r>
      <w:r w:rsidRPr="008F328C">
        <w:rPr>
          <w:rFonts w:eastAsia="Times New Roman"/>
          <w:position w:val="8"/>
          <w:lang w:val="pl-PL"/>
        </w:rPr>
        <w:t>p = 0,031</w:t>
      </w:r>
    </w:p>
    <w:p w14:paraId="4754EC1E" w14:textId="77777777" w:rsidR="00C27F39" w:rsidRPr="008F328C" w:rsidRDefault="00C27F39" w:rsidP="00C27F39">
      <w:pPr>
        <w:spacing w:before="14" w:line="240" w:lineRule="exact"/>
        <w:rPr>
          <w:rFonts w:ascii="Times New Roman" w:hAnsi="Times New Roman" w:cs="Times New Roman"/>
          <w:sz w:val="24"/>
          <w:szCs w:val="24"/>
          <w:lang w:val="pl-PL"/>
        </w:rPr>
      </w:pPr>
    </w:p>
    <w:p w14:paraId="1FF306CE" w14:textId="77777777" w:rsidR="00C27F39" w:rsidRPr="008F328C" w:rsidRDefault="00C27F39" w:rsidP="00C27F39">
      <w:pPr>
        <w:pStyle w:val="a3"/>
        <w:rPr>
          <w:lang w:val="pl-PL"/>
        </w:rPr>
      </w:pPr>
      <w:r w:rsidRPr="008F328C">
        <w:rPr>
          <w:rFonts w:eastAsia="Times New Roman"/>
          <w:spacing w:val="1"/>
          <w:lang w:val="pl-PL"/>
        </w:rPr>
        <w:t>Wśród tych, którzy odpowiedzieli na leczenie w 16. tygodniu (n = 144), odpowiedzi 30/50/70/90 w pediatrycznej skali ACR utrzymywały się przez okres do sześciu lat w fazie otwartej będącej kontynuacją badania (ang. open label extension, OLE) u pacjentów, którzy otrzymywali adalimumab przez cały okres trwania badania. Ogółem 19 pacjentów (11 w grupie wiekowej 4 do 12 lat w chwili rozpoczęcia leczenia oraz 8 pacjentów w grupie wiekowej 13 do 17 lat w chwili rozpoczęcia leczenia) leczono przez 6 lat lub dłużej.</w:t>
      </w:r>
    </w:p>
    <w:p w14:paraId="4958C063" w14:textId="77777777" w:rsidR="00C27F39" w:rsidRPr="008F328C" w:rsidRDefault="00C27F39" w:rsidP="00C27F39">
      <w:pPr>
        <w:spacing w:before="14" w:line="240" w:lineRule="exact"/>
        <w:rPr>
          <w:rFonts w:ascii="Times New Roman" w:hAnsi="Times New Roman" w:cs="Times New Roman"/>
          <w:sz w:val="24"/>
          <w:szCs w:val="24"/>
          <w:lang w:val="pl-PL"/>
        </w:rPr>
      </w:pPr>
    </w:p>
    <w:p w14:paraId="6CD96E9A" w14:textId="77777777" w:rsidR="00C27F39" w:rsidRPr="008F328C" w:rsidRDefault="00C27F39" w:rsidP="00C27F39">
      <w:pPr>
        <w:pStyle w:val="a3"/>
        <w:rPr>
          <w:lang w:val="pl-PL"/>
        </w:rPr>
      </w:pPr>
      <w:r w:rsidRPr="008F328C">
        <w:rPr>
          <w:rFonts w:eastAsia="Times New Roman"/>
          <w:lang w:val="pl-PL"/>
        </w:rPr>
        <w:t>Na ogół, odpowiedź na leczenie była lepsza i u mniejszej liczby pacjentów stwierdzono przeciwciała, gdy stosowano w skojarzeniu adalimumab i MTX w porównaniu do adalimumabu w monoterapii. Biorąc pod uwagę te wyniki zaleca się stosowanie produktu Yuflyma w skojarzeniu z MTX lub stosowanie w monoterapii u pacjentów, dla których MTX nie jest odpowiedni (patrz punkt 4.2).</w:t>
      </w:r>
    </w:p>
    <w:p w14:paraId="6C750593" w14:textId="77777777" w:rsidR="00C27F39" w:rsidRPr="008F328C" w:rsidRDefault="00C27F39" w:rsidP="00C27F39">
      <w:pPr>
        <w:pStyle w:val="a3"/>
        <w:rPr>
          <w:lang w:val="pl-PL"/>
        </w:rPr>
      </w:pPr>
    </w:p>
    <w:p w14:paraId="6063CD83" w14:textId="77777777" w:rsidR="00C27F39" w:rsidRPr="008F328C" w:rsidRDefault="00C27F39" w:rsidP="00C27F39">
      <w:pPr>
        <w:pStyle w:val="a3"/>
        <w:rPr>
          <w:lang w:val="pl-PL"/>
        </w:rPr>
      </w:pPr>
      <w:r w:rsidRPr="008F328C">
        <w:rPr>
          <w:rFonts w:eastAsia="Times New Roman"/>
          <w:spacing w:val="1"/>
          <w:lang w:val="pl-PL"/>
        </w:rPr>
        <w:t>pJIA-II</w:t>
      </w:r>
    </w:p>
    <w:p w14:paraId="6FD01731" w14:textId="77777777" w:rsidR="00C27F39" w:rsidRPr="008F328C" w:rsidRDefault="00C27F39" w:rsidP="00C27F39">
      <w:pPr>
        <w:spacing w:before="11" w:line="240" w:lineRule="exact"/>
        <w:rPr>
          <w:rFonts w:ascii="Times New Roman" w:hAnsi="Times New Roman" w:cs="Times New Roman"/>
          <w:sz w:val="24"/>
          <w:szCs w:val="24"/>
          <w:lang w:val="pl-PL"/>
        </w:rPr>
      </w:pPr>
    </w:p>
    <w:p w14:paraId="1D16B5A1" w14:textId="77777777" w:rsidR="00C27F39" w:rsidRPr="008F328C" w:rsidRDefault="00C27F39" w:rsidP="00C27F39">
      <w:pPr>
        <w:pStyle w:val="a3"/>
        <w:rPr>
          <w:lang w:val="pl-PL"/>
        </w:rPr>
      </w:pPr>
      <w:r w:rsidRPr="008F328C">
        <w:rPr>
          <w:rFonts w:eastAsia="Times New Roman"/>
          <w:lang w:val="pl-PL"/>
        </w:rPr>
        <w:t xml:space="preserve">Bezpieczeństwo stosowania i skuteczność adalimumabu oceniano w otwartym, wieloośrodkowym badaniu klinicznym u 32 dzieci </w:t>
      </w:r>
    </w:p>
    <w:p w14:paraId="0B429AAA" w14:textId="77777777" w:rsidR="00C27F39" w:rsidRPr="008F328C" w:rsidRDefault="00C27F39" w:rsidP="00C27F39">
      <w:pPr>
        <w:pStyle w:val="a3"/>
        <w:rPr>
          <w:lang w:val="pl-PL"/>
        </w:rPr>
      </w:pPr>
      <w:r w:rsidRPr="008F328C">
        <w:rPr>
          <w:rFonts w:eastAsia="Times New Roman"/>
          <w:lang w:val="pl-PL"/>
        </w:rPr>
        <w:t>(w wieku od 2 do &lt;4 lat lub w wieku 4 lat i starszych o masie ciała &lt;15 kg) z umiarkowanym do ciężkiego czynnym wielostawowym MIZS. Pacjenci otrzymywali adalimumab 24 mg/m</w:t>
      </w:r>
      <w:r w:rsidRPr="008F328C">
        <w:rPr>
          <w:rFonts w:eastAsia="Times New Roman"/>
          <w:sz w:val="14"/>
          <w:szCs w:val="14"/>
          <w:lang w:val="pl-PL"/>
        </w:rPr>
        <w:t>2</w:t>
      </w:r>
      <w:r w:rsidRPr="008F328C">
        <w:rPr>
          <w:rFonts w:eastAsia="Times New Roman"/>
          <w:lang w:val="pl-PL"/>
        </w:rPr>
        <w:t xml:space="preserve"> pc., do maksymalnie 20 mg co drugi tydzień jako dawkę pojedynczą we wstrzyknięciu podskórnym przez co najmniej 24 tygodnie. W okresie badania większość pacjentów przyjmowała równocześnie MTX, a mniej z nich informowało o stosowaniu kortykosteroidów lub NLPZ.</w:t>
      </w:r>
    </w:p>
    <w:p w14:paraId="15340F94" w14:textId="77777777" w:rsidR="00C27F39" w:rsidRPr="008F328C" w:rsidRDefault="00C27F39" w:rsidP="00C27F39">
      <w:pPr>
        <w:spacing w:before="14" w:line="240" w:lineRule="exact"/>
        <w:rPr>
          <w:rFonts w:ascii="Times New Roman" w:hAnsi="Times New Roman" w:cs="Times New Roman"/>
          <w:sz w:val="24"/>
          <w:szCs w:val="24"/>
          <w:lang w:val="pl-PL"/>
        </w:rPr>
      </w:pPr>
    </w:p>
    <w:p w14:paraId="09464D80" w14:textId="77777777" w:rsidR="00C27F39" w:rsidRPr="008F328C" w:rsidRDefault="00C27F39" w:rsidP="00C27F39">
      <w:pPr>
        <w:pStyle w:val="a3"/>
        <w:rPr>
          <w:lang w:val="pl-PL"/>
        </w:rPr>
      </w:pPr>
      <w:r w:rsidRPr="008F328C">
        <w:rPr>
          <w:rFonts w:eastAsia="Times New Roman"/>
          <w:lang w:val="pl-PL"/>
        </w:rPr>
        <w:t>W 12. i 24. tygodniu, gdy zastosowano analizę obserwowanych danych, odsetek odpowiedzi 30 w pediatrycznej skali ACR wynosił odpowiednio 93,5% i 90,0%. Odsetek uczestników badania, którzy osiągnęli odpowiedź 50/70/90 w pediatrycznej skali ACR w 12. i 24. tygodniu wynosił odpowiednio 90,3%/61,3%/38,7% oraz 83,3%/73,3%/36,7%. Wśród tych, którzy odpowiedzieli na leczenie (odpowiedź 30 w pediatrycznej skali ACR) w 24. tygodniu (n=27 z 30 pacjentów), odpowiedź 30 w pediatrycznej skali ACR utrzymywała się do 60 tygodni w fazie OLE u pacjentów, którzy otrzymywali adalimumab przez cały ten okres. Ogółem, 20 uczestników badania leczono przez 60 tygodni lub dłużej.</w:t>
      </w:r>
    </w:p>
    <w:p w14:paraId="6917EBD5" w14:textId="77777777" w:rsidR="00C27F39" w:rsidRPr="008F328C" w:rsidRDefault="00C27F39" w:rsidP="00C27F39">
      <w:pPr>
        <w:pStyle w:val="a3"/>
        <w:rPr>
          <w:sz w:val="24"/>
          <w:szCs w:val="24"/>
          <w:lang w:val="pl-PL"/>
        </w:rPr>
      </w:pPr>
    </w:p>
    <w:p w14:paraId="55BF3D65" w14:textId="77777777" w:rsidR="00C27F39" w:rsidRPr="008F328C" w:rsidRDefault="00C27F39" w:rsidP="00C27F39">
      <w:pPr>
        <w:pStyle w:val="a3"/>
        <w:rPr>
          <w:rFonts w:eastAsia="Times New Roman"/>
          <w:lang w:val="pl-PL"/>
        </w:rPr>
      </w:pPr>
      <w:r w:rsidRPr="008F328C">
        <w:rPr>
          <w:rFonts w:eastAsia="Times New Roman"/>
          <w:i/>
          <w:iCs/>
          <w:u w:val="single" w:color="000000"/>
          <w:lang w:val="pl-PL"/>
        </w:rPr>
        <w:t>Zapalenie stawów z towarzyszącym zapaleniem przyczepów ścięgnistych</w:t>
      </w:r>
    </w:p>
    <w:p w14:paraId="24A31E90" w14:textId="77777777" w:rsidR="00C27F39" w:rsidRPr="008F328C" w:rsidRDefault="00C27F39" w:rsidP="00C27F39">
      <w:pPr>
        <w:pStyle w:val="a3"/>
        <w:rPr>
          <w:sz w:val="18"/>
          <w:szCs w:val="18"/>
          <w:lang w:val="pl-PL"/>
        </w:rPr>
      </w:pPr>
    </w:p>
    <w:p w14:paraId="20D8501C" w14:textId="77777777" w:rsidR="00C27F39" w:rsidRPr="008F328C" w:rsidRDefault="00C27F39" w:rsidP="00C27F39">
      <w:pPr>
        <w:pStyle w:val="a3"/>
        <w:rPr>
          <w:lang w:val="pl-PL"/>
        </w:rPr>
      </w:pPr>
      <w:r w:rsidRPr="008F328C">
        <w:rPr>
          <w:rFonts w:eastAsia="Times New Roman"/>
          <w:lang w:val="pl-PL"/>
        </w:rPr>
        <w:t>Bezpieczeństwo stosowania i skuteczność adalimumabu oceniano w wieloośrodkowym, randomizowanym badaniu klinicznym z podwójnie ślepą próbą z udziałem 46 dzieci (w wieku od 6 do 17 lat), u których rozpoznano umiarkowaną postać zapalenia stawów z towarzyszącym zapaleniem przyczepów ścięgnistych. Pacjenci byli losowo przydzielani albo do grupy otrzymującej adalimumab w dawce 24 mg/m</w:t>
      </w:r>
      <w:r w:rsidRPr="008F328C">
        <w:rPr>
          <w:rFonts w:eastAsia="Times New Roman"/>
          <w:sz w:val="14"/>
          <w:szCs w:val="14"/>
          <w:lang w:val="pl-PL"/>
        </w:rPr>
        <w:t xml:space="preserve">2 </w:t>
      </w:r>
      <w:r w:rsidRPr="008F328C">
        <w:rPr>
          <w:rFonts w:eastAsia="Times New Roman"/>
          <w:lang w:val="pl-PL"/>
        </w:rPr>
        <w:t>pc. do maksymalnie 40 mg albo do grupy otrzymującej placebo; produkty podawano co drugi tydzień przez okres 12 tygodni. Po fazie badania prowadzonej metodą podwójnie zaślepioną nastąpiła faza otwarta (ang. open-label, OL), podczas której pacjentom podawano adalimumab w dawce 24 mg/m</w:t>
      </w:r>
      <w:r w:rsidRPr="008F328C">
        <w:rPr>
          <w:rFonts w:eastAsia="Times New Roman"/>
          <w:sz w:val="14"/>
          <w:szCs w:val="14"/>
          <w:lang w:val="pl-PL"/>
        </w:rPr>
        <w:t>2</w:t>
      </w:r>
      <w:r w:rsidRPr="008F328C">
        <w:rPr>
          <w:rFonts w:eastAsia="Times New Roman"/>
          <w:lang w:val="pl-PL"/>
        </w:rPr>
        <w:t xml:space="preserve"> pc. do maksymalnie 40 mg, co drugi tydzień, podskórnie, przez dodatkowy okres do 192 tygodni. Pierwszorzędowym punktem końcowym była procentowa zmiana liczby zaatakowanych czynną chorobą stawów (obrzęk z innego powodu niż zniekształcenie lub stawy, w których wystąpiło ograniczenie ruchomości oraz ból i (lub) tkliwość) w okresie od początku badania do tygodnia 12., która wyniosła średnio -62,6% (mediana zmiany procentowej -88,9%) w grupie otrzymującej adalimumab w porównaniu z -11,6% (mediana zmiany procentowej -50,0%) w grupie otrzymującej placebo. Poprawa pod względem </w:t>
      </w:r>
      <w:r w:rsidRPr="008F328C">
        <w:rPr>
          <w:rFonts w:eastAsia="Times New Roman"/>
          <w:lang w:val="pl-PL"/>
        </w:rPr>
        <w:lastRenderedPageBreak/>
        <w:t>liczby zaatakowanych czynną chorobą stawów utrzymywała się w fazie OL do 156. tygodnia wyłącznie u 26 z 31 (84%) pacjentów w grupie otrzymującej adalimumab, którzy pozostali w badaniu. U większości pacjentów odnotowano kliniczną poprawę pod względem drugorzędowych punktów końcowych, takich jak liczba przyczepów ścięgnistych objętych zapaleniem, liczba tkliwych stawów (ang. tender joint count, TJC), liczba obrzękniętych stawów (ang. swollen joint count, SJC) oraz odpowiedź 50 i 70 w pediatrycznej skali ACR; poprawa ta nie była jednak istotna statystycznie.</w:t>
      </w:r>
    </w:p>
    <w:p w14:paraId="2585F4D3" w14:textId="77777777" w:rsidR="00C27F39" w:rsidRPr="008F328C" w:rsidRDefault="00C27F39" w:rsidP="00C27F39">
      <w:pPr>
        <w:spacing w:before="16" w:line="240" w:lineRule="exact"/>
        <w:rPr>
          <w:rFonts w:ascii="Times New Roman" w:hAnsi="Times New Roman" w:cs="Times New Roman"/>
          <w:sz w:val="24"/>
          <w:szCs w:val="24"/>
          <w:lang w:val="pl-PL"/>
        </w:rPr>
      </w:pPr>
    </w:p>
    <w:p w14:paraId="1F0E1467" w14:textId="77777777" w:rsidR="00C27F39" w:rsidRPr="008F328C" w:rsidRDefault="00C27F39" w:rsidP="00C27F39">
      <w:pPr>
        <w:pStyle w:val="a3"/>
        <w:rPr>
          <w:rFonts w:eastAsia="Times New Roman"/>
          <w:lang w:val="pl-PL"/>
        </w:rPr>
      </w:pPr>
      <w:r w:rsidRPr="008F328C">
        <w:rPr>
          <w:rFonts w:eastAsia="Times New Roman"/>
          <w:i/>
          <w:iCs/>
          <w:spacing w:val="-1"/>
          <w:lang w:val="pl-PL"/>
        </w:rPr>
        <w:t>Łuszczyca zwyczajna (plackowata) u dzieci i młodzieży</w:t>
      </w:r>
    </w:p>
    <w:p w14:paraId="7A316D69" w14:textId="77777777" w:rsidR="00C27F39" w:rsidRPr="008F328C" w:rsidRDefault="00C27F39" w:rsidP="00C27F39">
      <w:pPr>
        <w:pStyle w:val="a3"/>
        <w:rPr>
          <w:sz w:val="24"/>
          <w:szCs w:val="24"/>
          <w:lang w:val="pl-PL"/>
        </w:rPr>
      </w:pPr>
    </w:p>
    <w:p w14:paraId="553F459C" w14:textId="77777777" w:rsidR="00C27F39" w:rsidRPr="008F328C" w:rsidRDefault="00C27F39" w:rsidP="00C27F39">
      <w:pPr>
        <w:pStyle w:val="a3"/>
        <w:rPr>
          <w:lang w:val="pl-PL"/>
        </w:rPr>
      </w:pPr>
      <w:r w:rsidRPr="008F328C">
        <w:rPr>
          <w:rFonts w:eastAsia="Times New Roman"/>
          <w:lang w:val="pl-PL"/>
        </w:rPr>
        <w:t>Skuteczność adalimumabu oceniano w randomizowanym kontrolowanym podwójnie zaślepionym badaniu klinicznym u 114 pacjentów pediatrycznych w wieku od 4 lat z ciężką postacią przewlekłej łuszczycy zwyczajnej (plackowatej) o nasileniu w skali PGA ≥ 4 [definiowana jako ogólna ocena lekarska (ang. Physician’s Global Assessment) lub zmienione chorobowo &gt; 20% powierzchni ciała (ang. Body Surface Area, BSA) lub zmienione chorobowo &gt; 10% powierzchni ciała z bardzo pogrubiałymi zmianami skórnymi lub wskaźnik powierzchni i nasilenia zmian łuszczycowych PASI (ang. Psoriasis Area and Severity Index) ≥ 20 lub ≥ 10 z istotnym klinicznie zajęciem twarzy, genitaliów, dłoni i (lub) stóp] niewystarczająco kontrolowaną po zastosowaniu leczenia miejscowego i helioterapii lub fototerapii.</w:t>
      </w:r>
    </w:p>
    <w:p w14:paraId="775E643C" w14:textId="77777777" w:rsidR="00C27F39" w:rsidRPr="008F328C" w:rsidRDefault="00C27F39" w:rsidP="00C27F39">
      <w:pPr>
        <w:pStyle w:val="a3"/>
        <w:rPr>
          <w:sz w:val="24"/>
          <w:szCs w:val="24"/>
          <w:lang w:val="pl-PL"/>
        </w:rPr>
      </w:pPr>
    </w:p>
    <w:p w14:paraId="7B384795" w14:textId="77777777" w:rsidR="00C27F39" w:rsidRPr="008F328C" w:rsidRDefault="00C27F39" w:rsidP="00C27F39">
      <w:pPr>
        <w:pStyle w:val="a3"/>
        <w:rPr>
          <w:lang w:val="pl-PL"/>
        </w:rPr>
      </w:pPr>
      <w:r w:rsidRPr="008F328C">
        <w:rPr>
          <w:rFonts w:eastAsia="Times New Roman"/>
          <w:lang w:val="pl-PL"/>
        </w:rPr>
        <w:t>Pacjenci otrzymywali adalimumab 0,8 mg/kg mc. co drugi tydzień (do 40 mg), 0,4 mg/kg mc. co drugi tydzień (do 20 mg) lub metotreksat 0,1 – 0,4 mg/kg mc. tygodniowo (do 25 mg).  W 16. tygodniu dodatnią odpowiedź, świadczącą o skuteczności (np. PASI 75) wykazało więcej pacjentów, którym losowo przydzielono leczenie adalimumabem 0,8 mg/kg mc. niż pacjentów, którym losowo przydzielono leczenie adalimumabem w dawce 0,4 mg/kg mc. co drugi tydzień lub MTX.</w:t>
      </w:r>
    </w:p>
    <w:p w14:paraId="391F0DA6" w14:textId="77777777" w:rsidR="00C27F39" w:rsidRPr="008F328C" w:rsidRDefault="00C27F39" w:rsidP="00C27F39">
      <w:pPr>
        <w:pStyle w:val="a3"/>
        <w:jc w:val="center"/>
        <w:rPr>
          <w:lang w:val="pl-PL"/>
        </w:rPr>
      </w:pPr>
    </w:p>
    <w:p w14:paraId="775B7025" w14:textId="266E751E"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19</w:t>
      </w:r>
    </w:p>
    <w:p w14:paraId="09EA294A" w14:textId="3A3AA45F" w:rsidR="00C27F39" w:rsidRDefault="00C27F39" w:rsidP="00C27F39">
      <w:pPr>
        <w:pStyle w:val="a3"/>
        <w:jc w:val="center"/>
        <w:rPr>
          <w:rFonts w:eastAsia="Times New Roman"/>
          <w:b/>
          <w:bCs/>
          <w:lang w:val="pl-PL"/>
        </w:rPr>
      </w:pPr>
      <w:r w:rsidRPr="008F328C">
        <w:rPr>
          <w:rFonts w:eastAsia="Times New Roman"/>
          <w:b/>
          <w:bCs/>
          <w:lang w:val="pl-PL"/>
        </w:rPr>
        <w:t xml:space="preserve">Łuszczyca zwyczajna (plackowata) u dzieci i młodzieży Wyniki skuteczności w 16. </w:t>
      </w:r>
      <w:r w:rsidR="00114A52" w:rsidRPr="008F328C">
        <w:rPr>
          <w:rFonts w:eastAsia="Times New Roman"/>
          <w:b/>
          <w:bCs/>
          <w:lang w:val="pl-PL"/>
        </w:rPr>
        <w:t>T</w:t>
      </w:r>
      <w:r w:rsidRPr="008F328C">
        <w:rPr>
          <w:rFonts w:eastAsia="Times New Roman"/>
          <w:b/>
          <w:bCs/>
          <w:lang w:val="pl-PL"/>
        </w:rPr>
        <w:t>ygodniu</w:t>
      </w:r>
    </w:p>
    <w:p w14:paraId="3A6C7881" w14:textId="77777777" w:rsidR="00114A52" w:rsidRPr="008F328C" w:rsidRDefault="00114A52" w:rsidP="00C27F39">
      <w:pPr>
        <w:pStyle w:val="a3"/>
        <w:jc w:val="center"/>
        <w:rPr>
          <w:b/>
          <w:lang w:val="pl-PL"/>
        </w:rPr>
      </w:pPr>
    </w:p>
    <w:p w14:paraId="773EBA72" w14:textId="77777777" w:rsidR="00C27F39" w:rsidRPr="008F328C" w:rsidRDefault="00C27F39" w:rsidP="00C27F39">
      <w:pPr>
        <w:spacing w:before="4" w:line="10" w:lineRule="exact"/>
        <w:rPr>
          <w:rFonts w:ascii="Times New Roman" w:hAnsi="Times New Roman" w:cs="Times New Roman"/>
          <w:sz w:val="4"/>
          <w:szCs w:val="4"/>
          <w:lang w:val="pl-PL"/>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C27F39" w:rsidRPr="00FE49E6" w14:paraId="396B2BBC" w14:textId="77777777" w:rsidTr="00ED6A7B">
        <w:tc>
          <w:tcPr>
            <w:tcW w:w="3528" w:type="dxa"/>
          </w:tcPr>
          <w:p w14:paraId="3C839AF4" w14:textId="77777777" w:rsidR="00C27F39" w:rsidRPr="008F328C" w:rsidRDefault="00C27F39" w:rsidP="00ED6A7B">
            <w:pPr>
              <w:rPr>
                <w:rFonts w:ascii="Times New Roman" w:hAnsi="Times New Roman" w:cs="Times New Roman"/>
                <w:lang w:val="pl-PL"/>
              </w:rPr>
            </w:pPr>
          </w:p>
        </w:tc>
        <w:tc>
          <w:tcPr>
            <w:tcW w:w="1680" w:type="dxa"/>
          </w:tcPr>
          <w:p w14:paraId="1FDC6014" w14:textId="77777777" w:rsidR="00C27F39" w:rsidRPr="008F328C" w:rsidRDefault="00C27F39" w:rsidP="00ED6A7B">
            <w:pPr>
              <w:pStyle w:val="TableParagraph"/>
              <w:spacing w:line="246" w:lineRule="exact"/>
              <w:ind w:left="537" w:right="535"/>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lang w:val="pl-PL"/>
              </w:rPr>
              <w:t>MTX</w:t>
            </w:r>
            <w:r w:rsidRPr="008F328C">
              <w:rPr>
                <w:rFonts w:ascii="Times New Roman" w:eastAsia="Times New Roman" w:hAnsi="Times New Roman" w:cs="Times New Roman"/>
                <w:vertAlign w:val="superscript"/>
                <w:lang w:val="pl-PL"/>
              </w:rPr>
              <w:t>a</w:t>
            </w:r>
          </w:p>
          <w:p w14:paraId="645EA625" w14:textId="77777777" w:rsidR="00C27F39" w:rsidRPr="008F328C" w:rsidRDefault="00C27F39" w:rsidP="00ED6A7B">
            <w:pPr>
              <w:pStyle w:val="TableParagraph"/>
              <w:spacing w:line="252" w:lineRule="exact"/>
              <w:ind w:left="563" w:right="563"/>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N=37</w:t>
            </w:r>
          </w:p>
        </w:tc>
        <w:tc>
          <w:tcPr>
            <w:tcW w:w="3190" w:type="dxa"/>
          </w:tcPr>
          <w:p w14:paraId="1E18D334" w14:textId="77777777" w:rsidR="00C27F39" w:rsidRPr="008F328C" w:rsidRDefault="00C27F39" w:rsidP="00ED6A7B">
            <w:pPr>
              <w:pStyle w:val="TableParagraph"/>
              <w:spacing w:before="5" w:line="252" w:lineRule="exact"/>
              <w:ind w:left="113" w:right="102"/>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Adalimumab 0,8 mg/kg, co drugi tydzień N=38</w:t>
            </w:r>
          </w:p>
        </w:tc>
      </w:tr>
      <w:tr w:rsidR="00C27F39" w:rsidRPr="008F328C" w14:paraId="7AFE24CD" w14:textId="77777777" w:rsidTr="00ED6A7B">
        <w:tc>
          <w:tcPr>
            <w:tcW w:w="3528" w:type="dxa"/>
          </w:tcPr>
          <w:p w14:paraId="5F79ADD3" w14:textId="77777777" w:rsidR="00C27F39" w:rsidRPr="008F328C" w:rsidRDefault="00C27F39" w:rsidP="00ED6A7B">
            <w:pPr>
              <w:pStyle w:val="TableParagraph"/>
              <w:spacing w:before="4"/>
              <w:ind w:left="227"/>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PASI 75</w:t>
            </w:r>
            <w:r w:rsidRPr="008F328C">
              <w:rPr>
                <w:rFonts w:ascii="Times New Roman" w:eastAsia="Times New Roman" w:hAnsi="Times New Roman" w:cs="Times New Roman"/>
                <w:spacing w:val="-1"/>
                <w:vertAlign w:val="superscript"/>
                <w:lang w:val="pl-PL"/>
              </w:rPr>
              <w:t>b</w:t>
            </w:r>
          </w:p>
        </w:tc>
        <w:tc>
          <w:tcPr>
            <w:tcW w:w="1680" w:type="dxa"/>
          </w:tcPr>
          <w:p w14:paraId="5A0E7262" w14:textId="77777777" w:rsidR="00C27F39" w:rsidRPr="008F328C" w:rsidRDefault="00C27F39" w:rsidP="00ED6A7B">
            <w:pPr>
              <w:pStyle w:val="TableParagraph"/>
              <w:spacing w:before="9"/>
              <w:ind w:left="33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12 (32,4%)</w:t>
            </w:r>
          </w:p>
        </w:tc>
        <w:tc>
          <w:tcPr>
            <w:tcW w:w="3190" w:type="dxa"/>
          </w:tcPr>
          <w:p w14:paraId="774707AB" w14:textId="77777777" w:rsidR="00C27F39" w:rsidRPr="008F328C" w:rsidRDefault="00C27F39" w:rsidP="00ED6A7B">
            <w:pPr>
              <w:pStyle w:val="TableParagraph"/>
              <w:spacing w:before="9"/>
              <w:ind w:left="1075" w:right="1076"/>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22 (57,9%)</w:t>
            </w:r>
          </w:p>
        </w:tc>
      </w:tr>
      <w:tr w:rsidR="00C27F39" w:rsidRPr="008F328C" w14:paraId="56C1623D" w14:textId="77777777" w:rsidTr="00ED6A7B">
        <w:tc>
          <w:tcPr>
            <w:tcW w:w="3528" w:type="dxa"/>
          </w:tcPr>
          <w:p w14:paraId="02D6CC14" w14:textId="77777777" w:rsidR="00C27F39" w:rsidRPr="008F328C" w:rsidRDefault="00C27F39" w:rsidP="00ED6A7B">
            <w:pPr>
              <w:pStyle w:val="TableParagraph"/>
              <w:spacing w:before="4"/>
              <w:ind w:left="227"/>
              <w:rPr>
                <w:rFonts w:ascii="Times New Roman" w:eastAsia="Times New Roman" w:hAnsi="Times New Roman" w:cs="Times New Roman"/>
                <w:sz w:val="14"/>
                <w:szCs w:val="14"/>
                <w:lang w:val="pl-PL"/>
              </w:rPr>
            </w:pPr>
            <w:r w:rsidRPr="008F328C">
              <w:rPr>
                <w:rFonts w:ascii="Times New Roman" w:eastAsia="Times New Roman" w:hAnsi="Times New Roman" w:cs="Times New Roman"/>
                <w:spacing w:val="-1"/>
                <w:lang w:val="pl-PL"/>
              </w:rPr>
              <w:t>PGA: czysta/prawie czysta</w:t>
            </w:r>
            <w:r w:rsidRPr="008F328C">
              <w:rPr>
                <w:rFonts w:ascii="Times New Roman" w:eastAsia="Times New Roman" w:hAnsi="Times New Roman" w:cs="Times New Roman"/>
                <w:spacing w:val="-1"/>
                <w:vertAlign w:val="superscript"/>
                <w:lang w:val="pl-PL"/>
              </w:rPr>
              <w:t>c</w:t>
            </w:r>
          </w:p>
        </w:tc>
        <w:tc>
          <w:tcPr>
            <w:tcW w:w="1680" w:type="dxa"/>
          </w:tcPr>
          <w:p w14:paraId="055FDBA2" w14:textId="77777777" w:rsidR="00C27F39" w:rsidRPr="008F328C" w:rsidRDefault="00C27F39" w:rsidP="00ED6A7B">
            <w:pPr>
              <w:pStyle w:val="TableParagraph"/>
              <w:spacing w:before="9"/>
              <w:ind w:left="33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15 (40,5%)</w:t>
            </w:r>
          </w:p>
        </w:tc>
        <w:tc>
          <w:tcPr>
            <w:tcW w:w="3190" w:type="dxa"/>
          </w:tcPr>
          <w:p w14:paraId="49798A74" w14:textId="77777777" w:rsidR="00C27F39" w:rsidRPr="008F328C" w:rsidRDefault="00C27F39" w:rsidP="00ED6A7B">
            <w:pPr>
              <w:pStyle w:val="TableParagraph"/>
              <w:spacing w:before="9"/>
              <w:ind w:left="1076" w:right="1077"/>
              <w:jc w:val="center"/>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23 (60,5%)</w:t>
            </w:r>
          </w:p>
        </w:tc>
      </w:tr>
      <w:tr w:rsidR="00C27F39" w:rsidRPr="00FE49E6" w14:paraId="2DA140A7" w14:textId="77777777" w:rsidTr="00ED6A7B">
        <w:tc>
          <w:tcPr>
            <w:tcW w:w="8398" w:type="dxa"/>
            <w:gridSpan w:val="3"/>
          </w:tcPr>
          <w:p w14:paraId="53E2B479" w14:textId="77777777" w:rsidR="00C27F39" w:rsidRPr="008F328C" w:rsidRDefault="00C27F39" w:rsidP="00ED6A7B">
            <w:pPr>
              <w:pStyle w:val="Bullet"/>
              <w:keepNext/>
              <w:numPr>
                <w:ilvl w:val="0"/>
                <w:numId w:val="0"/>
              </w:numPr>
              <w:ind w:left="567" w:hanging="567"/>
              <w:rPr>
                <w:lang w:val="no"/>
              </w:rPr>
            </w:pPr>
            <w:r w:rsidRPr="008F328C">
              <w:rPr>
                <w:vertAlign w:val="superscript"/>
                <w:lang w:val="no"/>
              </w:rPr>
              <w:t>a</w:t>
            </w:r>
            <w:r w:rsidRPr="008F328C">
              <w:rPr>
                <w:lang w:val="no"/>
              </w:rPr>
              <w:t xml:space="preserve"> MTX = metotreksat</w:t>
            </w:r>
          </w:p>
          <w:p w14:paraId="3B325887" w14:textId="77777777" w:rsidR="00C27F39" w:rsidRPr="008F328C" w:rsidRDefault="00C27F39" w:rsidP="00ED6A7B">
            <w:pPr>
              <w:pStyle w:val="Bullet"/>
              <w:keepNext/>
              <w:numPr>
                <w:ilvl w:val="0"/>
                <w:numId w:val="0"/>
              </w:numPr>
              <w:ind w:left="567" w:hanging="567"/>
              <w:rPr>
                <w:lang w:val="no"/>
              </w:rPr>
            </w:pPr>
            <w:r w:rsidRPr="008F328C">
              <w:rPr>
                <w:vertAlign w:val="superscript"/>
                <w:lang w:val="no"/>
              </w:rPr>
              <w:t>b</w:t>
            </w:r>
            <w:r w:rsidRPr="008F328C">
              <w:rPr>
                <w:lang w:val="no"/>
              </w:rPr>
              <w:t xml:space="preserve"> P=0,027, adalimumab 0,8 mg/kg w porównaniu do MTX</w:t>
            </w:r>
          </w:p>
          <w:p w14:paraId="157B1354" w14:textId="77777777" w:rsidR="00C27F39" w:rsidRPr="008F328C" w:rsidRDefault="00C27F39" w:rsidP="00ED6A7B">
            <w:pPr>
              <w:pStyle w:val="Bullet"/>
              <w:keepNext/>
              <w:numPr>
                <w:ilvl w:val="0"/>
                <w:numId w:val="0"/>
              </w:numPr>
              <w:ind w:left="567" w:hanging="567"/>
              <w:rPr>
                <w:rFonts w:eastAsia="Times New Roman"/>
                <w:lang w:val="pl-PL"/>
              </w:rPr>
            </w:pPr>
            <w:r w:rsidRPr="008F328C">
              <w:rPr>
                <w:vertAlign w:val="superscript"/>
                <w:lang w:val="no"/>
              </w:rPr>
              <w:t>c</w:t>
            </w:r>
            <w:r w:rsidRPr="008F328C">
              <w:rPr>
                <w:lang w:val="no"/>
              </w:rPr>
              <w:t xml:space="preserve"> P=0,083, adalimumab 0,8 mg/kg w porównaniu do MTX</w:t>
            </w:r>
          </w:p>
        </w:tc>
      </w:tr>
    </w:tbl>
    <w:p w14:paraId="1E3A16EB" w14:textId="77777777" w:rsidR="00C27F39" w:rsidRPr="008F328C" w:rsidRDefault="00C27F39" w:rsidP="00C27F39">
      <w:pPr>
        <w:spacing w:before="3" w:line="170" w:lineRule="exact"/>
        <w:rPr>
          <w:rFonts w:ascii="Times New Roman" w:hAnsi="Times New Roman" w:cs="Times New Roman"/>
          <w:sz w:val="17"/>
          <w:szCs w:val="17"/>
          <w:lang w:val="pl-PL"/>
        </w:rPr>
      </w:pPr>
    </w:p>
    <w:p w14:paraId="358DFD74" w14:textId="77777777" w:rsidR="00C27F39" w:rsidRPr="008F328C" w:rsidRDefault="00C27F39" w:rsidP="00C27F39">
      <w:pPr>
        <w:pStyle w:val="a3"/>
        <w:rPr>
          <w:lang w:val="pl-PL"/>
        </w:rPr>
      </w:pPr>
      <w:r w:rsidRPr="008F328C">
        <w:rPr>
          <w:rFonts w:eastAsia="Times New Roman"/>
          <w:lang w:val="pl-PL"/>
        </w:rPr>
        <w:t>U pacjentów, którzy osiągnęli odpowiedź na leczenie PASI 75 i ocenę PGA „czysta” lub „prawie czysta” zaprzestano leczenia na okres do 36 tygodni i monitorowano ich w celu wykrycia utraty kontroli choroby (tzn. pogorszenia oceny PGA o co najmniej dwa stopnie). Następnie pacjentów powtórnie poddano leczeniu adalimumabem 0,8 mg/kg mc. co drugi tydzień przez dodatkowe 16 tygodni i podczas powtórnego leczenia stwierdzono podobne odsetki odpowiedzi jak w poprzedniej fazie podwójnie zaślepionej: odpowiedź na leczenie PASI 75 u 78,9% (15 z 19 pacjentów) i ocena PGA „czysta” lub „prawie czysta” u 52,6% (10 z 19 pacjentów).</w:t>
      </w:r>
    </w:p>
    <w:p w14:paraId="23411AF1" w14:textId="77777777" w:rsidR="00C27F39" w:rsidRPr="008F328C" w:rsidRDefault="00C27F39" w:rsidP="00C27F39">
      <w:pPr>
        <w:pStyle w:val="a3"/>
        <w:rPr>
          <w:sz w:val="24"/>
          <w:szCs w:val="24"/>
          <w:lang w:val="pl-PL"/>
        </w:rPr>
      </w:pPr>
    </w:p>
    <w:p w14:paraId="13B35430" w14:textId="77777777" w:rsidR="00C27F39" w:rsidRPr="008F328C" w:rsidRDefault="00C27F39" w:rsidP="00C27F39">
      <w:pPr>
        <w:pStyle w:val="a3"/>
        <w:rPr>
          <w:lang w:val="pl-PL"/>
        </w:rPr>
      </w:pPr>
      <w:r w:rsidRPr="008F328C">
        <w:rPr>
          <w:rFonts w:eastAsia="Times New Roman"/>
          <w:lang w:val="pl-PL"/>
        </w:rPr>
        <w:t>W fazie otwartej badania, odpowiedzi na leczenie wyrażone PASI 75 i oceną PGA „czysta” lub „prawie czysta” utrzymywały się przez dodatkowe 52 tygodnie bez nowych obserwacji dotyczących bezpieczeństwa stosowania.</w:t>
      </w:r>
    </w:p>
    <w:p w14:paraId="61B17799" w14:textId="77777777" w:rsidR="00C27F39" w:rsidRPr="008F328C" w:rsidRDefault="00C27F39" w:rsidP="00C27F39">
      <w:pPr>
        <w:pStyle w:val="a3"/>
        <w:rPr>
          <w:sz w:val="24"/>
          <w:szCs w:val="24"/>
          <w:lang w:val="pl-PL"/>
        </w:rPr>
      </w:pPr>
    </w:p>
    <w:p w14:paraId="2D439131" w14:textId="77777777" w:rsidR="00C27F39" w:rsidRPr="008F328C" w:rsidRDefault="00C27F39" w:rsidP="00C27F39">
      <w:pPr>
        <w:pStyle w:val="a3"/>
        <w:rPr>
          <w:i/>
          <w:lang w:val="pl-PL"/>
        </w:rPr>
      </w:pPr>
      <w:r w:rsidRPr="008F328C">
        <w:rPr>
          <w:rFonts w:eastAsia="Times New Roman"/>
          <w:i/>
          <w:iCs/>
          <w:lang w:val="pl-PL"/>
        </w:rPr>
        <w:t>Choroba Leśniowskiego-Crohna (ChL-C) u dzieci i młodzieży</w:t>
      </w:r>
    </w:p>
    <w:p w14:paraId="1425D594" w14:textId="77777777" w:rsidR="00C27F39" w:rsidRPr="008F328C" w:rsidRDefault="00C27F39" w:rsidP="00C27F39">
      <w:pPr>
        <w:pStyle w:val="a3"/>
        <w:rPr>
          <w:sz w:val="18"/>
          <w:szCs w:val="18"/>
          <w:lang w:val="pl-PL"/>
        </w:rPr>
      </w:pPr>
    </w:p>
    <w:p w14:paraId="0A7F3AE7" w14:textId="77777777" w:rsidR="00C27F39" w:rsidRPr="008F328C" w:rsidRDefault="00C27F39" w:rsidP="00C27F39">
      <w:pPr>
        <w:pStyle w:val="a3"/>
        <w:rPr>
          <w:lang w:val="pl-PL"/>
        </w:rPr>
      </w:pPr>
      <w:r w:rsidRPr="008F328C">
        <w:rPr>
          <w:rFonts w:eastAsia="Times New Roman"/>
          <w:lang w:val="pl-PL"/>
        </w:rPr>
        <w:t xml:space="preserve">Adalimumab oceniano w wieloośrodkowym, randomizowanym badaniu klinicznym z podwójnie ślepą próbą, którego celem była ocena skuteczności i bezpieczeństwa leczenia indukcyjnego i podtrzymującego dawkami ustalonymi w zależności od masy ciała pacjenta (&lt; 40 kg lub ≥ 40 kg) u 192 pacjentów między 6. a 17. (włącznie) rokiem życia, z chorobą Leśniowskiego-Crohna o nasileniu umiarkowanym do </w:t>
      </w:r>
      <w:r w:rsidRPr="008F328C">
        <w:rPr>
          <w:rFonts w:eastAsia="Times New Roman"/>
          <w:lang w:val="pl-PL"/>
        </w:rPr>
        <w:lastRenderedPageBreak/>
        <w:t>ciężkiego, co definiowano jako wartość pediatrycznego wskaźnika aktywności choroby Leśniowskiego-Crohna (ang. Paediatric Crohn’s Disease Activity Index, PCDAI) &gt; 30. Pacjenci musieli wcześniej bez powodzenia otrzymywać standardowe leczenie stosowane w ChL-C [w tym lek z grupy kortykosteroidów i (lub) lek immunomodulujący]. Możliwe było również włączenie pacjentów, którzy wcześniej przestali odpowiadać na infliksymab lub wystąpiła u nich nietolerancja infliksymabu.</w:t>
      </w:r>
    </w:p>
    <w:p w14:paraId="4E0362DE" w14:textId="77777777" w:rsidR="00C27F39" w:rsidRPr="008F328C" w:rsidRDefault="00C27F39" w:rsidP="00C27F39">
      <w:pPr>
        <w:pStyle w:val="a3"/>
        <w:rPr>
          <w:sz w:val="24"/>
          <w:szCs w:val="24"/>
          <w:lang w:val="pl-PL"/>
        </w:rPr>
      </w:pPr>
    </w:p>
    <w:p w14:paraId="72F4CC44" w14:textId="77777777" w:rsidR="00C27F39" w:rsidRPr="008F328C" w:rsidRDefault="00C27F39" w:rsidP="00C27F39">
      <w:pPr>
        <w:pStyle w:val="a3"/>
        <w:rPr>
          <w:lang w:val="pl-PL"/>
        </w:rPr>
      </w:pPr>
      <w:r w:rsidRPr="008F328C">
        <w:rPr>
          <w:rFonts w:eastAsia="Times New Roman"/>
          <w:lang w:val="pl-PL"/>
        </w:rPr>
        <w:t xml:space="preserve">W próbie otwartej wszyscy pacjenci otrzymali w okresie indukcji dawkę zależną od masy ciała w momencie rozpoczęcia badania: 160 mg w tygodniu 0 i 80 mg w 2. tygodniu – pacjenci o masie ciała ≥ 40 kg oraz odpowiednio 80 mg i 40 mg – pacjenci o masie ciała </w:t>
      </w:r>
    </w:p>
    <w:p w14:paraId="344D42F1" w14:textId="77777777" w:rsidR="00C27F39" w:rsidRPr="008F328C" w:rsidRDefault="00C27F39" w:rsidP="00C27F39">
      <w:pPr>
        <w:pStyle w:val="a3"/>
        <w:rPr>
          <w:lang w:val="pl-PL"/>
        </w:rPr>
      </w:pPr>
      <w:r w:rsidRPr="008F328C">
        <w:rPr>
          <w:rFonts w:eastAsia="Times New Roman"/>
          <w:lang w:val="pl-PL"/>
        </w:rPr>
        <w:t>&lt; 40 kg.</w:t>
      </w:r>
    </w:p>
    <w:p w14:paraId="130DE34E" w14:textId="77777777" w:rsidR="00C27F39" w:rsidRPr="008F328C" w:rsidRDefault="00C27F39" w:rsidP="00C27F39">
      <w:pPr>
        <w:pStyle w:val="a3"/>
        <w:rPr>
          <w:sz w:val="24"/>
          <w:szCs w:val="24"/>
          <w:lang w:val="pl-PL"/>
        </w:rPr>
      </w:pPr>
    </w:p>
    <w:p w14:paraId="16D5F351" w14:textId="1B2A60FB" w:rsidR="00C27F39" w:rsidRPr="008F328C" w:rsidRDefault="00C27F39" w:rsidP="00C27F39">
      <w:pPr>
        <w:pStyle w:val="a3"/>
        <w:rPr>
          <w:lang w:val="pl-PL"/>
        </w:rPr>
      </w:pPr>
      <w:r w:rsidRPr="008F328C">
        <w:rPr>
          <w:rFonts w:eastAsia="Times New Roman"/>
          <w:lang w:val="pl-PL"/>
        </w:rPr>
        <w:t xml:space="preserve">W 4. tygodniu, pacjentów przydzielono losowo w stosunku 1:1 w zależności od ich aktualnej masy ciała do jednego z dwóch schematów leczenia podtrzymującego: „mała dawka” lub „standardowa dawka”, co przedstawiono w Tabeli </w:t>
      </w:r>
      <w:r w:rsidR="00270309" w:rsidRPr="008F328C">
        <w:rPr>
          <w:rFonts w:eastAsia="Times New Roman"/>
          <w:lang w:val="pl-PL"/>
        </w:rPr>
        <w:t>20</w:t>
      </w:r>
      <w:r w:rsidRPr="008F328C">
        <w:rPr>
          <w:rFonts w:eastAsia="Times New Roman"/>
          <w:lang w:val="pl-PL"/>
        </w:rPr>
        <w:t>.</w:t>
      </w:r>
    </w:p>
    <w:p w14:paraId="28E424F2" w14:textId="77777777" w:rsidR="00C27F39" w:rsidRPr="008F328C" w:rsidRDefault="00C27F39" w:rsidP="00C27F39">
      <w:pPr>
        <w:pStyle w:val="a3"/>
        <w:rPr>
          <w:sz w:val="24"/>
          <w:szCs w:val="24"/>
          <w:lang w:val="pl-PL"/>
        </w:rPr>
      </w:pPr>
    </w:p>
    <w:p w14:paraId="536A2C6F" w14:textId="69836E7F" w:rsidR="00C27F39" w:rsidRPr="008F328C" w:rsidRDefault="00C27F39" w:rsidP="00C27F39">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20</w:t>
      </w:r>
      <w:r w:rsidRPr="008F328C">
        <w:rPr>
          <w:rFonts w:eastAsia="Times New Roman"/>
          <w:b/>
          <w:bCs/>
          <w:lang w:val="pl-PL"/>
        </w:rPr>
        <w:t xml:space="preserve"> Schemat leczenia podtrzymującego</w:t>
      </w:r>
    </w:p>
    <w:p w14:paraId="2B3773F8" w14:textId="77777777" w:rsidR="00C27F39" w:rsidRPr="008F328C" w:rsidRDefault="00C27F39" w:rsidP="00C27F39">
      <w:pPr>
        <w:pStyle w:val="a3"/>
        <w:jc w:val="center"/>
        <w:rPr>
          <w:b/>
          <w:lang w:val="pl-PL"/>
        </w:rPr>
      </w:pPr>
    </w:p>
    <w:tbl>
      <w:tblPr>
        <w:tblStyle w:val="TableNormal1"/>
        <w:tblW w:w="8574" w:type="dxa"/>
        <w:jc w:val="center"/>
        <w:tblLayout w:type="fixed"/>
        <w:tblLook w:val="01E0" w:firstRow="1" w:lastRow="1" w:firstColumn="1" w:lastColumn="1" w:noHBand="0" w:noVBand="0"/>
      </w:tblPr>
      <w:tblGrid>
        <w:gridCol w:w="2858"/>
        <w:gridCol w:w="2858"/>
        <w:gridCol w:w="2858"/>
      </w:tblGrid>
      <w:tr w:rsidR="00C27F39" w:rsidRPr="008F328C" w14:paraId="51073253" w14:textId="77777777" w:rsidTr="00ED6A7B">
        <w:trPr>
          <w:jc w:val="center"/>
        </w:trPr>
        <w:tc>
          <w:tcPr>
            <w:tcW w:w="2858" w:type="dxa"/>
            <w:tcBorders>
              <w:top w:val="single" w:sz="5" w:space="0" w:color="000000"/>
              <w:left w:val="single" w:sz="5" w:space="0" w:color="000000"/>
              <w:bottom w:val="single" w:sz="5" w:space="0" w:color="000000"/>
              <w:right w:val="single" w:sz="5" w:space="0" w:color="000000"/>
            </w:tcBorders>
          </w:tcPr>
          <w:p w14:paraId="0968BC2D" w14:textId="77777777" w:rsidR="00C27F39" w:rsidRPr="008F328C" w:rsidRDefault="00C27F39" w:rsidP="00ED6A7B">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Masa </w:t>
            </w:r>
            <w:r w:rsidRPr="008F328C">
              <w:rPr>
                <w:rFonts w:ascii="Times New Roman" w:eastAsia="Times New Roman" w:hAnsi="Times New Roman" w:cs="Times New Roman"/>
                <w:b/>
                <w:bCs/>
                <w:spacing w:val="-1"/>
                <w:lang w:val="pl-PL"/>
              </w:rPr>
              <w:t>ciała pacjenta</w:t>
            </w:r>
          </w:p>
        </w:tc>
        <w:tc>
          <w:tcPr>
            <w:tcW w:w="2858" w:type="dxa"/>
            <w:tcBorders>
              <w:top w:val="single" w:sz="5" w:space="0" w:color="000000"/>
              <w:left w:val="single" w:sz="5" w:space="0" w:color="000000"/>
              <w:bottom w:val="single" w:sz="5" w:space="0" w:color="000000"/>
              <w:right w:val="single" w:sz="5" w:space="0" w:color="000000"/>
            </w:tcBorders>
          </w:tcPr>
          <w:p w14:paraId="1207BDFA" w14:textId="77777777" w:rsidR="00C27F39" w:rsidRPr="008F328C" w:rsidRDefault="00C27F39" w:rsidP="00ED6A7B">
            <w:pPr>
              <w:pStyle w:val="TableParagraph"/>
              <w:spacing w:line="249"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w:t>
            </w:r>
          </w:p>
        </w:tc>
        <w:tc>
          <w:tcPr>
            <w:tcW w:w="2858" w:type="dxa"/>
            <w:tcBorders>
              <w:top w:val="single" w:sz="5" w:space="0" w:color="000000"/>
              <w:left w:val="single" w:sz="5" w:space="0" w:color="000000"/>
              <w:bottom w:val="single" w:sz="5" w:space="0" w:color="000000"/>
              <w:right w:val="single" w:sz="5" w:space="0" w:color="000000"/>
            </w:tcBorders>
          </w:tcPr>
          <w:p w14:paraId="4E0FD911" w14:textId="77777777" w:rsidR="00C27F39" w:rsidRPr="008F328C" w:rsidRDefault="00C27F39" w:rsidP="00ED6A7B">
            <w:pPr>
              <w:pStyle w:val="TableParagraph"/>
              <w:spacing w:before="1" w:line="252"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Standardowa </w:t>
            </w:r>
            <w:r w:rsidRPr="008F328C">
              <w:rPr>
                <w:rFonts w:ascii="Times New Roman" w:eastAsia="Times New Roman" w:hAnsi="Times New Roman" w:cs="Times New Roman"/>
                <w:b/>
                <w:bCs/>
                <w:lang w:val="pl-PL"/>
              </w:rPr>
              <w:t>dawka</w:t>
            </w:r>
          </w:p>
        </w:tc>
      </w:tr>
      <w:tr w:rsidR="00C27F39" w:rsidRPr="008F328C" w14:paraId="71988228" w14:textId="77777777" w:rsidTr="00ED6A7B">
        <w:trPr>
          <w:jc w:val="center"/>
        </w:trPr>
        <w:tc>
          <w:tcPr>
            <w:tcW w:w="2858" w:type="dxa"/>
            <w:tcBorders>
              <w:top w:val="single" w:sz="5" w:space="0" w:color="000000"/>
              <w:left w:val="single" w:sz="5" w:space="0" w:color="000000"/>
              <w:bottom w:val="single" w:sz="5" w:space="0" w:color="000000"/>
              <w:right w:val="single" w:sz="5" w:space="0" w:color="000000"/>
            </w:tcBorders>
          </w:tcPr>
          <w:p w14:paraId="1C226921"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&lt; 40 kg</w:t>
            </w:r>
          </w:p>
        </w:tc>
        <w:tc>
          <w:tcPr>
            <w:tcW w:w="2858" w:type="dxa"/>
            <w:tcBorders>
              <w:top w:val="single" w:sz="5" w:space="0" w:color="000000"/>
              <w:left w:val="single" w:sz="5" w:space="0" w:color="000000"/>
              <w:bottom w:val="single" w:sz="5" w:space="0" w:color="000000"/>
              <w:right w:val="single" w:sz="5" w:space="0" w:color="000000"/>
            </w:tcBorders>
          </w:tcPr>
          <w:p w14:paraId="6F27DBB2"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10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67242B28"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r>
      <w:tr w:rsidR="00C27F39" w:rsidRPr="008F328C" w14:paraId="503B0C2B" w14:textId="77777777" w:rsidTr="00ED6A7B">
        <w:trPr>
          <w:jc w:val="center"/>
        </w:trPr>
        <w:tc>
          <w:tcPr>
            <w:tcW w:w="2858" w:type="dxa"/>
            <w:tcBorders>
              <w:top w:val="single" w:sz="5" w:space="0" w:color="000000"/>
              <w:left w:val="single" w:sz="5" w:space="0" w:color="000000"/>
              <w:bottom w:val="single" w:sz="5" w:space="0" w:color="000000"/>
              <w:right w:val="single" w:sz="5" w:space="0" w:color="000000"/>
            </w:tcBorders>
          </w:tcPr>
          <w:p w14:paraId="02C63691"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 40 kg</w:t>
            </w:r>
          </w:p>
        </w:tc>
        <w:tc>
          <w:tcPr>
            <w:tcW w:w="2858" w:type="dxa"/>
            <w:tcBorders>
              <w:top w:val="single" w:sz="5" w:space="0" w:color="000000"/>
              <w:left w:val="single" w:sz="5" w:space="0" w:color="000000"/>
              <w:bottom w:val="single" w:sz="5" w:space="0" w:color="000000"/>
              <w:right w:val="single" w:sz="5" w:space="0" w:color="000000"/>
            </w:tcBorders>
          </w:tcPr>
          <w:p w14:paraId="0927F9DF"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20 mg co drugi tydzień</w:t>
            </w:r>
          </w:p>
        </w:tc>
        <w:tc>
          <w:tcPr>
            <w:tcW w:w="2858" w:type="dxa"/>
            <w:tcBorders>
              <w:top w:val="single" w:sz="5" w:space="0" w:color="000000"/>
              <w:left w:val="single" w:sz="5" w:space="0" w:color="000000"/>
              <w:bottom w:val="single" w:sz="5" w:space="0" w:color="000000"/>
              <w:right w:val="single" w:sz="5" w:space="0" w:color="000000"/>
            </w:tcBorders>
          </w:tcPr>
          <w:p w14:paraId="5DA9A565" w14:textId="77777777" w:rsidR="00C27F39" w:rsidRPr="008F328C" w:rsidRDefault="00C27F39" w:rsidP="00ED6A7B">
            <w:pPr>
              <w:pStyle w:val="TableParagraph"/>
              <w:spacing w:line="244" w:lineRule="exact"/>
              <w:ind w:left="102"/>
              <w:jc w:val="center"/>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r>
    </w:tbl>
    <w:p w14:paraId="044E9B2D" w14:textId="77777777" w:rsidR="00C27F39" w:rsidRPr="008F328C" w:rsidRDefault="00C27F39" w:rsidP="00C27F39">
      <w:pPr>
        <w:pStyle w:val="a3"/>
        <w:rPr>
          <w:lang w:val="pl-PL"/>
        </w:rPr>
      </w:pPr>
    </w:p>
    <w:p w14:paraId="56A3C0BF" w14:textId="77777777" w:rsidR="00C27F39" w:rsidRPr="008F328C" w:rsidRDefault="00C27F39" w:rsidP="00C27F39">
      <w:pPr>
        <w:pStyle w:val="a3"/>
        <w:rPr>
          <w:rFonts w:eastAsia="Times New Roman"/>
          <w:lang w:val="pl-PL"/>
        </w:rPr>
      </w:pPr>
      <w:r w:rsidRPr="008F328C">
        <w:rPr>
          <w:rFonts w:eastAsia="Times New Roman"/>
          <w:i/>
          <w:iCs/>
          <w:spacing w:val="-1"/>
          <w:u w:val="single" w:color="000000"/>
          <w:lang w:val="pl-PL"/>
        </w:rPr>
        <w:t>Wyniki dotyczące skuteczności</w:t>
      </w:r>
    </w:p>
    <w:p w14:paraId="63265074" w14:textId="77777777" w:rsidR="00C27F39" w:rsidRPr="008F328C" w:rsidRDefault="00C27F39" w:rsidP="00C27F39">
      <w:pPr>
        <w:pStyle w:val="a3"/>
        <w:rPr>
          <w:sz w:val="19"/>
          <w:szCs w:val="19"/>
          <w:lang w:val="pl-PL"/>
        </w:rPr>
      </w:pPr>
    </w:p>
    <w:p w14:paraId="4FE94FA7" w14:textId="77777777" w:rsidR="00C27F39" w:rsidRPr="008F328C" w:rsidRDefault="00C27F39" w:rsidP="00C27F39">
      <w:pPr>
        <w:pStyle w:val="a3"/>
        <w:rPr>
          <w:lang w:val="pl-PL"/>
        </w:rPr>
      </w:pPr>
      <w:r w:rsidRPr="008F328C">
        <w:rPr>
          <w:rFonts w:eastAsia="Times New Roman"/>
          <w:lang w:val="pl-PL"/>
        </w:rPr>
        <w:t xml:space="preserve">Pierwszorzędowym punktem końcowym badania była remisja kliniczna w 26. tygodniu, co definiowano jako wartość wskaźnika PCDAI </w:t>
      </w:r>
      <w:r w:rsidRPr="008F328C">
        <w:rPr>
          <w:rFonts w:eastAsia="Symbol"/>
          <w:lang w:val="pl-PL"/>
        </w:rPr>
        <w:sym w:font="Symbol" w:char="F0A3"/>
      </w:r>
      <w:r w:rsidRPr="008F328C">
        <w:rPr>
          <w:rFonts w:eastAsia="Symbol"/>
          <w:lang w:val="pl-PL"/>
        </w:rPr>
        <w:sym w:font="Symbol" w:char="F020"/>
      </w:r>
      <w:r w:rsidRPr="008F328C">
        <w:rPr>
          <w:rFonts w:eastAsia="Times New Roman"/>
          <w:lang w:val="pl-PL"/>
        </w:rPr>
        <w:t>10.</w:t>
      </w:r>
    </w:p>
    <w:p w14:paraId="44A18785" w14:textId="77777777" w:rsidR="00C27F39" w:rsidRPr="008F328C" w:rsidRDefault="00C27F39" w:rsidP="00C27F39">
      <w:pPr>
        <w:pStyle w:val="a3"/>
        <w:rPr>
          <w:sz w:val="24"/>
          <w:szCs w:val="24"/>
          <w:lang w:val="pl-PL"/>
        </w:rPr>
      </w:pPr>
    </w:p>
    <w:p w14:paraId="03D8C898" w14:textId="08E3FBDA" w:rsidR="00C27F39" w:rsidRPr="008F328C" w:rsidRDefault="00C27F39" w:rsidP="00C27F39">
      <w:pPr>
        <w:pStyle w:val="a3"/>
        <w:rPr>
          <w:lang w:val="pl-PL"/>
        </w:rPr>
      </w:pPr>
      <w:r w:rsidRPr="008F328C">
        <w:rPr>
          <w:rFonts w:eastAsia="Times New Roman"/>
          <w:lang w:val="pl-PL"/>
        </w:rPr>
        <w:t xml:space="preserve">Odsetki uzyskania remisji klinicznej i odpowiedzi klinicznej (co definiowano jako zmniejszenie wartości PCDAI o co najmniej 15 punktów w stosunku do wartości wyjściowej) przedstawiono w Tabeli </w:t>
      </w:r>
      <w:r w:rsidR="00270309" w:rsidRPr="008F328C">
        <w:rPr>
          <w:rFonts w:eastAsia="Times New Roman"/>
          <w:lang w:val="pl-PL"/>
        </w:rPr>
        <w:t>21</w:t>
      </w:r>
      <w:r w:rsidRPr="008F328C">
        <w:rPr>
          <w:rFonts w:eastAsia="Times New Roman"/>
          <w:lang w:val="pl-PL"/>
        </w:rPr>
        <w:t xml:space="preserve">. Odsetki zaprzestania stosowania kortykosteroidów lub leków immunomodulujących przedstawiono w Tabeli </w:t>
      </w:r>
      <w:r w:rsidR="00270309" w:rsidRPr="008F328C">
        <w:rPr>
          <w:rFonts w:eastAsia="Times New Roman"/>
          <w:lang w:val="pl-PL"/>
        </w:rPr>
        <w:t>22</w:t>
      </w:r>
      <w:r w:rsidRPr="008F328C">
        <w:rPr>
          <w:rFonts w:eastAsia="Times New Roman"/>
          <w:lang w:val="pl-PL"/>
        </w:rPr>
        <w:t>.</w:t>
      </w:r>
    </w:p>
    <w:p w14:paraId="2E942970" w14:textId="77777777" w:rsidR="00C27F39" w:rsidRPr="008F328C" w:rsidRDefault="00C27F39" w:rsidP="00C27F39">
      <w:pPr>
        <w:pStyle w:val="a3"/>
        <w:rPr>
          <w:lang w:val="pl-PL"/>
        </w:rPr>
      </w:pPr>
    </w:p>
    <w:p w14:paraId="05068CB3" w14:textId="77777777" w:rsidR="00C27F39" w:rsidRPr="008F328C" w:rsidRDefault="00C27F39" w:rsidP="00C27F39">
      <w:pPr>
        <w:spacing w:before="7" w:line="90" w:lineRule="exact"/>
        <w:rPr>
          <w:rFonts w:ascii="Times New Roman" w:hAnsi="Times New Roman" w:cs="Times New Roman"/>
          <w:sz w:val="9"/>
          <w:szCs w:val="9"/>
          <w:lang w:val="pl-PL"/>
        </w:rPr>
      </w:pPr>
    </w:p>
    <w:tbl>
      <w:tblPr>
        <w:tblStyle w:val="TableNormal1"/>
        <w:tblW w:w="0" w:type="auto"/>
        <w:tblInd w:w="1475" w:type="dxa"/>
        <w:tblLayout w:type="fixed"/>
        <w:tblLook w:val="01E0" w:firstRow="1" w:lastRow="1" w:firstColumn="1" w:lastColumn="1" w:noHBand="0" w:noVBand="0"/>
      </w:tblPr>
      <w:tblGrid>
        <w:gridCol w:w="2321"/>
        <w:gridCol w:w="1615"/>
        <w:gridCol w:w="1591"/>
        <w:gridCol w:w="1920"/>
      </w:tblGrid>
      <w:tr w:rsidR="00C27F39" w:rsidRPr="00494296" w14:paraId="00EA5161" w14:textId="77777777" w:rsidTr="00ED6A7B">
        <w:tc>
          <w:tcPr>
            <w:tcW w:w="7447" w:type="dxa"/>
            <w:gridSpan w:val="4"/>
            <w:tcBorders>
              <w:top w:val="single" w:sz="7" w:space="0" w:color="000000"/>
              <w:left w:val="single" w:sz="7" w:space="0" w:color="000000"/>
              <w:bottom w:val="single" w:sz="7" w:space="0" w:color="000000"/>
              <w:right w:val="single" w:sz="7" w:space="0" w:color="000000"/>
            </w:tcBorders>
          </w:tcPr>
          <w:p w14:paraId="67506ECA" w14:textId="39707F16" w:rsidR="00C27F39" w:rsidRPr="008F328C" w:rsidRDefault="00C27F39" w:rsidP="00ED6A7B">
            <w:pPr>
              <w:pStyle w:val="a3"/>
              <w:jc w:val="center"/>
              <w:rPr>
                <w:b/>
                <w:lang w:val="pl-PL"/>
              </w:rPr>
            </w:pPr>
            <w:r w:rsidRPr="008F328C">
              <w:rPr>
                <w:rFonts w:eastAsia="Times New Roman"/>
                <w:b/>
                <w:bCs/>
                <w:lang w:val="pl-PL"/>
              </w:rPr>
              <w:t xml:space="preserve">Tabela </w:t>
            </w:r>
            <w:r w:rsidR="00270309" w:rsidRPr="008F328C">
              <w:rPr>
                <w:rFonts w:eastAsia="Times New Roman"/>
                <w:b/>
                <w:bCs/>
                <w:lang w:val="pl-PL"/>
              </w:rPr>
              <w:t>21</w:t>
            </w:r>
          </w:p>
          <w:p w14:paraId="13B72B54" w14:textId="77777777" w:rsidR="00C27F39" w:rsidRPr="008F328C" w:rsidRDefault="00C27F39" w:rsidP="00ED6A7B">
            <w:pPr>
              <w:pStyle w:val="a3"/>
              <w:jc w:val="center"/>
              <w:rPr>
                <w:b/>
                <w:lang w:val="pl-PL"/>
              </w:rPr>
            </w:pPr>
            <w:r w:rsidRPr="008F328C">
              <w:rPr>
                <w:rFonts w:eastAsia="Times New Roman"/>
                <w:b/>
                <w:bCs/>
                <w:lang w:val="pl-PL"/>
              </w:rPr>
              <w:t>Badanie w ChL-C u dzieci i młodzieży</w:t>
            </w:r>
          </w:p>
          <w:p w14:paraId="7505F73A" w14:textId="77777777" w:rsidR="00C27F39" w:rsidRPr="008F328C" w:rsidRDefault="00C27F39" w:rsidP="00ED6A7B">
            <w:pPr>
              <w:pStyle w:val="a3"/>
              <w:jc w:val="center"/>
              <w:rPr>
                <w:rFonts w:eastAsia="Times New Roman"/>
                <w:lang w:val="pl-PL"/>
              </w:rPr>
            </w:pPr>
            <w:r w:rsidRPr="008F328C">
              <w:rPr>
                <w:rFonts w:eastAsia="Times New Roman"/>
                <w:b/>
                <w:bCs/>
                <w:lang w:val="pl-PL"/>
              </w:rPr>
              <w:t>Remisja i odpowiedź kliniczna mierzone PCDAI</w:t>
            </w:r>
          </w:p>
        </w:tc>
      </w:tr>
      <w:tr w:rsidR="00C27F39" w:rsidRPr="008F328C" w14:paraId="50B9E136"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38409988" w14:textId="77777777" w:rsidR="00C27F39" w:rsidRPr="008F328C" w:rsidRDefault="00C27F39" w:rsidP="00ED6A7B">
            <w:pPr>
              <w:rPr>
                <w:rFonts w:ascii="Times New Roman" w:hAnsi="Times New Roman" w:cs="Times New Roman"/>
                <w:lang w:val="pl-PL"/>
              </w:rPr>
            </w:pPr>
          </w:p>
        </w:tc>
        <w:tc>
          <w:tcPr>
            <w:tcW w:w="1615" w:type="dxa"/>
            <w:tcBorders>
              <w:top w:val="single" w:sz="7" w:space="0" w:color="000000"/>
              <w:left w:val="single" w:sz="7" w:space="0" w:color="000000"/>
              <w:bottom w:val="single" w:sz="7" w:space="0" w:color="000000"/>
              <w:right w:val="single" w:sz="7" w:space="0" w:color="000000"/>
            </w:tcBorders>
          </w:tcPr>
          <w:p w14:paraId="214EBF17" w14:textId="77777777" w:rsidR="00C27F39" w:rsidRPr="008F328C" w:rsidRDefault="00C27F39" w:rsidP="00ED6A7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Dawka standardowa 40/20 mg, co drugi tydzień</w:t>
            </w:r>
          </w:p>
          <w:p w14:paraId="65059BA3" w14:textId="77777777" w:rsidR="00C27F39" w:rsidRPr="008F328C" w:rsidRDefault="00C27F39" w:rsidP="00ED6A7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93</w:t>
            </w:r>
          </w:p>
        </w:tc>
        <w:tc>
          <w:tcPr>
            <w:tcW w:w="1591" w:type="dxa"/>
            <w:tcBorders>
              <w:top w:val="single" w:sz="7" w:space="0" w:color="000000"/>
              <w:left w:val="single" w:sz="7" w:space="0" w:color="000000"/>
              <w:bottom w:val="single" w:sz="7" w:space="0" w:color="000000"/>
              <w:right w:val="single" w:sz="7" w:space="0" w:color="000000"/>
            </w:tcBorders>
          </w:tcPr>
          <w:p w14:paraId="2330A498" w14:textId="77777777" w:rsidR="00C27F39" w:rsidRPr="008F328C" w:rsidRDefault="00C27F39" w:rsidP="00ED6A7B">
            <w:pPr>
              <w:pStyle w:val="TableParagraph"/>
              <w:spacing w:before="1" w:line="252" w:lineRule="exact"/>
              <w:ind w:firstLine="1"/>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t>Mała dawka 20/10 mg, co drugi tydzień</w:t>
            </w:r>
          </w:p>
          <w:p w14:paraId="1C270FAC" w14:textId="77777777" w:rsidR="00C27F39" w:rsidRPr="008F328C" w:rsidRDefault="00C27F39" w:rsidP="00ED6A7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N = 95</w:t>
            </w:r>
          </w:p>
        </w:tc>
        <w:tc>
          <w:tcPr>
            <w:tcW w:w="1920" w:type="dxa"/>
            <w:tcBorders>
              <w:top w:val="single" w:sz="7" w:space="0" w:color="000000"/>
              <w:left w:val="single" w:sz="7" w:space="0" w:color="000000"/>
              <w:bottom w:val="single" w:sz="7" w:space="0" w:color="000000"/>
              <w:right w:val="single" w:sz="7" w:space="0" w:color="000000"/>
            </w:tcBorders>
          </w:tcPr>
          <w:p w14:paraId="2190F2A8" w14:textId="77777777" w:rsidR="00C27F39" w:rsidRPr="008F328C" w:rsidRDefault="00C27F39" w:rsidP="00ED6A7B">
            <w:pPr>
              <w:pStyle w:val="TableParagraph"/>
              <w:spacing w:line="246"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Wartość p</w:t>
            </w:r>
            <w:r w:rsidRPr="008F328C">
              <w:rPr>
                <w:rFonts w:ascii="Times New Roman" w:eastAsia="Times New Roman" w:hAnsi="Times New Roman" w:cs="Times New Roman"/>
                <w:lang w:val="pl-PL"/>
              </w:rPr>
              <w:t>*</w:t>
            </w:r>
          </w:p>
        </w:tc>
      </w:tr>
      <w:tr w:rsidR="00C27F39" w:rsidRPr="008F328C" w14:paraId="61791828"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0601A7B7" w14:textId="77777777" w:rsidR="00C27F39" w:rsidRPr="008F328C" w:rsidRDefault="00C27F39" w:rsidP="00ED6A7B">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26. tydzień</w:t>
            </w:r>
          </w:p>
        </w:tc>
        <w:tc>
          <w:tcPr>
            <w:tcW w:w="1615" w:type="dxa"/>
            <w:tcBorders>
              <w:top w:val="single" w:sz="7" w:space="0" w:color="000000"/>
              <w:left w:val="single" w:sz="7" w:space="0" w:color="000000"/>
              <w:bottom w:val="single" w:sz="7" w:space="0" w:color="000000"/>
              <w:right w:val="single" w:sz="7" w:space="0" w:color="000000"/>
            </w:tcBorders>
          </w:tcPr>
          <w:p w14:paraId="088BDBD2" w14:textId="77777777" w:rsidR="00C27F39" w:rsidRPr="008F328C" w:rsidRDefault="00C27F39" w:rsidP="00ED6A7B">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787CAD93" w14:textId="77777777" w:rsidR="00C27F39" w:rsidRPr="008F328C" w:rsidRDefault="00C27F39" w:rsidP="00ED6A7B">
            <w:pPr>
              <w:rPr>
                <w:rFonts w:ascii="Times New Roman" w:hAnsi="Times New Roman" w:cs="Times New Roman"/>
                <w:lang w:val="pl-PL"/>
              </w:rPr>
            </w:pPr>
          </w:p>
        </w:tc>
        <w:tc>
          <w:tcPr>
            <w:tcW w:w="1920" w:type="dxa"/>
            <w:tcBorders>
              <w:top w:val="single" w:sz="7" w:space="0" w:color="000000"/>
              <w:left w:val="single" w:sz="7" w:space="0" w:color="000000"/>
              <w:bottom w:val="single" w:sz="7" w:space="0" w:color="000000"/>
              <w:right w:val="single" w:sz="7" w:space="0" w:color="000000"/>
            </w:tcBorders>
          </w:tcPr>
          <w:p w14:paraId="621BD9A2" w14:textId="77777777" w:rsidR="00C27F39" w:rsidRPr="008F328C" w:rsidRDefault="00C27F39" w:rsidP="00ED6A7B">
            <w:pPr>
              <w:rPr>
                <w:rFonts w:ascii="Times New Roman" w:hAnsi="Times New Roman" w:cs="Times New Roman"/>
                <w:lang w:val="pl-PL"/>
              </w:rPr>
            </w:pPr>
          </w:p>
        </w:tc>
      </w:tr>
      <w:tr w:rsidR="00C27F39" w:rsidRPr="008F328C" w14:paraId="641A08B8"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7DA09D7B" w14:textId="77777777" w:rsidR="00C27F39" w:rsidRPr="008F328C" w:rsidRDefault="00C27F39" w:rsidP="00ED6A7B">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15C6678E" w14:textId="77777777" w:rsidR="00C27F39" w:rsidRPr="008F328C" w:rsidRDefault="00C27F39" w:rsidP="00ED6A7B">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38,7%</w:t>
            </w:r>
          </w:p>
        </w:tc>
        <w:tc>
          <w:tcPr>
            <w:tcW w:w="1591" w:type="dxa"/>
            <w:tcBorders>
              <w:top w:val="single" w:sz="7" w:space="0" w:color="000000"/>
              <w:left w:val="single" w:sz="7" w:space="0" w:color="000000"/>
              <w:bottom w:val="single" w:sz="7" w:space="0" w:color="000000"/>
              <w:right w:val="single" w:sz="7" w:space="0" w:color="000000"/>
            </w:tcBorders>
          </w:tcPr>
          <w:p w14:paraId="777F6D67" w14:textId="77777777" w:rsidR="00C27F39" w:rsidRPr="008F328C" w:rsidRDefault="00C27F39" w:rsidP="00ED6A7B">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920" w:type="dxa"/>
            <w:tcBorders>
              <w:top w:val="single" w:sz="7" w:space="0" w:color="000000"/>
              <w:left w:val="single" w:sz="7" w:space="0" w:color="000000"/>
              <w:bottom w:val="single" w:sz="7" w:space="0" w:color="000000"/>
              <w:right w:val="single" w:sz="7" w:space="0" w:color="000000"/>
            </w:tcBorders>
          </w:tcPr>
          <w:p w14:paraId="6E94F8CF" w14:textId="77777777" w:rsidR="00C27F39" w:rsidRPr="008F328C" w:rsidRDefault="00C27F39" w:rsidP="00ED6A7B">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0,075</w:t>
            </w:r>
          </w:p>
        </w:tc>
      </w:tr>
      <w:tr w:rsidR="00C27F39" w:rsidRPr="008F328C" w14:paraId="5283868D"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55CD6DDC" w14:textId="77777777" w:rsidR="00C27F39" w:rsidRPr="008F328C" w:rsidRDefault="00C27F39" w:rsidP="00ED6A7B">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44FC63CB" w14:textId="77777777" w:rsidR="00C27F39" w:rsidRPr="008F328C" w:rsidRDefault="00C27F39" w:rsidP="00ED6A7B">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59,1%</w:t>
            </w:r>
          </w:p>
        </w:tc>
        <w:tc>
          <w:tcPr>
            <w:tcW w:w="1591" w:type="dxa"/>
            <w:tcBorders>
              <w:top w:val="single" w:sz="7" w:space="0" w:color="000000"/>
              <w:left w:val="single" w:sz="7" w:space="0" w:color="000000"/>
              <w:bottom w:val="single" w:sz="7" w:space="0" w:color="000000"/>
              <w:right w:val="single" w:sz="7" w:space="0" w:color="000000"/>
            </w:tcBorders>
          </w:tcPr>
          <w:p w14:paraId="218D388B" w14:textId="77777777" w:rsidR="00C27F39" w:rsidRPr="008F328C" w:rsidRDefault="00C27F39" w:rsidP="00ED6A7B">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48,4%</w:t>
            </w:r>
          </w:p>
        </w:tc>
        <w:tc>
          <w:tcPr>
            <w:tcW w:w="1920" w:type="dxa"/>
            <w:tcBorders>
              <w:top w:val="single" w:sz="7" w:space="0" w:color="000000"/>
              <w:left w:val="single" w:sz="7" w:space="0" w:color="000000"/>
              <w:bottom w:val="single" w:sz="7" w:space="0" w:color="000000"/>
              <w:right w:val="single" w:sz="7" w:space="0" w:color="000000"/>
            </w:tcBorders>
          </w:tcPr>
          <w:p w14:paraId="41BEDF26" w14:textId="77777777" w:rsidR="00C27F39" w:rsidRPr="008F328C" w:rsidRDefault="00C27F39" w:rsidP="00ED6A7B">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0,073</w:t>
            </w:r>
          </w:p>
        </w:tc>
      </w:tr>
      <w:tr w:rsidR="00C27F39" w:rsidRPr="008F328C" w14:paraId="2BE9F5DD"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1ACDAF95" w14:textId="77777777" w:rsidR="00C27F39" w:rsidRPr="008F328C" w:rsidRDefault="00C27F39" w:rsidP="00ED6A7B">
            <w:pPr>
              <w:pStyle w:val="TableParagraph"/>
              <w:spacing w:line="251" w:lineRule="exact"/>
              <w:ind w:left="13"/>
              <w:rPr>
                <w:rFonts w:ascii="Times New Roman" w:eastAsia="Times New Roman" w:hAnsi="Times New Roman" w:cs="Times New Roman"/>
                <w:lang w:val="pl-PL"/>
              </w:rPr>
            </w:pPr>
            <w:r w:rsidRPr="008F328C">
              <w:rPr>
                <w:rFonts w:ascii="Times New Roman" w:eastAsia="Times New Roman" w:hAnsi="Times New Roman" w:cs="Times New Roman"/>
                <w:b/>
                <w:bCs/>
                <w:lang w:val="pl-PL"/>
              </w:rPr>
              <w:t>52. tydzień</w:t>
            </w:r>
          </w:p>
        </w:tc>
        <w:tc>
          <w:tcPr>
            <w:tcW w:w="1615" w:type="dxa"/>
            <w:tcBorders>
              <w:top w:val="single" w:sz="7" w:space="0" w:color="000000"/>
              <w:left w:val="single" w:sz="7" w:space="0" w:color="000000"/>
              <w:bottom w:val="single" w:sz="7" w:space="0" w:color="000000"/>
              <w:right w:val="single" w:sz="7" w:space="0" w:color="000000"/>
            </w:tcBorders>
          </w:tcPr>
          <w:p w14:paraId="5FD5B13B" w14:textId="77777777" w:rsidR="00C27F39" w:rsidRPr="008F328C" w:rsidRDefault="00C27F39" w:rsidP="00ED6A7B">
            <w:pPr>
              <w:rPr>
                <w:rFonts w:ascii="Times New Roman" w:hAnsi="Times New Roman" w:cs="Times New Roman"/>
                <w:lang w:val="pl-PL"/>
              </w:rPr>
            </w:pPr>
          </w:p>
        </w:tc>
        <w:tc>
          <w:tcPr>
            <w:tcW w:w="1591" w:type="dxa"/>
            <w:tcBorders>
              <w:top w:val="single" w:sz="7" w:space="0" w:color="000000"/>
              <w:left w:val="single" w:sz="7" w:space="0" w:color="000000"/>
              <w:bottom w:val="single" w:sz="7" w:space="0" w:color="000000"/>
              <w:right w:val="single" w:sz="7" w:space="0" w:color="000000"/>
            </w:tcBorders>
          </w:tcPr>
          <w:p w14:paraId="23FD16ED" w14:textId="77777777" w:rsidR="00C27F39" w:rsidRPr="008F328C" w:rsidRDefault="00C27F39" w:rsidP="00ED6A7B">
            <w:pPr>
              <w:rPr>
                <w:rFonts w:ascii="Times New Roman" w:hAnsi="Times New Roman" w:cs="Times New Roman"/>
                <w:lang w:val="pl-PL"/>
              </w:rPr>
            </w:pPr>
          </w:p>
        </w:tc>
        <w:tc>
          <w:tcPr>
            <w:tcW w:w="1920" w:type="dxa"/>
            <w:tcBorders>
              <w:top w:val="single" w:sz="7" w:space="0" w:color="000000"/>
              <w:left w:val="single" w:sz="7" w:space="0" w:color="000000"/>
              <w:bottom w:val="single" w:sz="7" w:space="0" w:color="000000"/>
              <w:right w:val="single" w:sz="7" w:space="0" w:color="000000"/>
            </w:tcBorders>
          </w:tcPr>
          <w:p w14:paraId="3F654A8E" w14:textId="77777777" w:rsidR="00C27F39" w:rsidRPr="008F328C" w:rsidRDefault="00C27F39" w:rsidP="00ED6A7B">
            <w:pPr>
              <w:rPr>
                <w:rFonts w:ascii="Times New Roman" w:hAnsi="Times New Roman" w:cs="Times New Roman"/>
                <w:lang w:val="pl-PL"/>
              </w:rPr>
            </w:pPr>
          </w:p>
        </w:tc>
      </w:tr>
      <w:tr w:rsidR="00C27F39" w:rsidRPr="008F328C" w14:paraId="304DDEDA"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4989F5AD" w14:textId="77777777" w:rsidR="00C27F39" w:rsidRPr="008F328C" w:rsidRDefault="00C27F39" w:rsidP="00ED6A7B">
            <w:pPr>
              <w:pStyle w:val="TableParagraph"/>
              <w:spacing w:line="246"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Remisja kliniczna</w:t>
            </w:r>
          </w:p>
        </w:tc>
        <w:tc>
          <w:tcPr>
            <w:tcW w:w="1615" w:type="dxa"/>
            <w:tcBorders>
              <w:top w:val="single" w:sz="7" w:space="0" w:color="000000"/>
              <w:left w:val="single" w:sz="7" w:space="0" w:color="000000"/>
              <w:bottom w:val="single" w:sz="7" w:space="0" w:color="000000"/>
              <w:right w:val="single" w:sz="7" w:space="0" w:color="000000"/>
            </w:tcBorders>
          </w:tcPr>
          <w:p w14:paraId="4CA2D83F" w14:textId="77777777" w:rsidR="00C27F39" w:rsidRPr="008F328C" w:rsidRDefault="00C27F39" w:rsidP="00ED6A7B">
            <w:pPr>
              <w:pStyle w:val="TableParagraph"/>
              <w:spacing w:line="246"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33,3%</w:t>
            </w:r>
          </w:p>
        </w:tc>
        <w:tc>
          <w:tcPr>
            <w:tcW w:w="1591" w:type="dxa"/>
            <w:tcBorders>
              <w:top w:val="single" w:sz="7" w:space="0" w:color="000000"/>
              <w:left w:val="single" w:sz="7" w:space="0" w:color="000000"/>
              <w:bottom w:val="single" w:sz="7" w:space="0" w:color="000000"/>
              <w:right w:val="single" w:sz="7" w:space="0" w:color="000000"/>
            </w:tcBorders>
          </w:tcPr>
          <w:p w14:paraId="1E4EC008" w14:textId="77777777" w:rsidR="00C27F39" w:rsidRPr="008F328C" w:rsidRDefault="00C27F39" w:rsidP="00ED6A7B">
            <w:pPr>
              <w:pStyle w:val="TableParagraph"/>
              <w:spacing w:line="246"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23,2%</w:t>
            </w:r>
          </w:p>
        </w:tc>
        <w:tc>
          <w:tcPr>
            <w:tcW w:w="1920" w:type="dxa"/>
            <w:tcBorders>
              <w:top w:val="single" w:sz="7" w:space="0" w:color="000000"/>
              <w:left w:val="single" w:sz="7" w:space="0" w:color="000000"/>
              <w:bottom w:val="single" w:sz="7" w:space="0" w:color="000000"/>
              <w:right w:val="single" w:sz="7" w:space="0" w:color="000000"/>
            </w:tcBorders>
          </w:tcPr>
          <w:p w14:paraId="4E29AFE6" w14:textId="77777777" w:rsidR="00C27F39" w:rsidRPr="008F328C" w:rsidRDefault="00C27F39" w:rsidP="00ED6A7B">
            <w:pPr>
              <w:pStyle w:val="TableParagraph"/>
              <w:spacing w:line="246"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0,100</w:t>
            </w:r>
          </w:p>
        </w:tc>
      </w:tr>
      <w:tr w:rsidR="00C27F39" w:rsidRPr="008F328C" w14:paraId="3D493B6F" w14:textId="77777777" w:rsidTr="00ED6A7B">
        <w:tc>
          <w:tcPr>
            <w:tcW w:w="2321" w:type="dxa"/>
            <w:tcBorders>
              <w:top w:val="single" w:sz="7" w:space="0" w:color="000000"/>
              <w:left w:val="single" w:sz="7" w:space="0" w:color="000000"/>
              <w:bottom w:val="single" w:sz="7" w:space="0" w:color="000000"/>
              <w:right w:val="single" w:sz="7" w:space="0" w:color="000000"/>
            </w:tcBorders>
          </w:tcPr>
          <w:p w14:paraId="366B11EF" w14:textId="77777777" w:rsidR="00C27F39" w:rsidRPr="008F328C" w:rsidRDefault="00C27F39" w:rsidP="00ED6A7B">
            <w:pPr>
              <w:pStyle w:val="TableParagraph"/>
              <w:spacing w:line="248" w:lineRule="exact"/>
              <w:ind w:left="179"/>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Odpowiedź kliniczna</w:t>
            </w:r>
          </w:p>
        </w:tc>
        <w:tc>
          <w:tcPr>
            <w:tcW w:w="1615" w:type="dxa"/>
            <w:tcBorders>
              <w:top w:val="single" w:sz="7" w:space="0" w:color="000000"/>
              <w:left w:val="single" w:sz="7" w:space="0" w:color="000000"/>
              <w:bottom w:val="single" w:sz="7" w:space="0" w:color="000000"/>
              <w:right w:val="single" w:sz="7" w:space="0" w:color="000000"/>
            </w:tcBorders>
          </w:tcPr>
          <w:p w14:paraId="449BD544" w14:textId="77777777" w:rsidR="00C27F39" w:rsidRPr="008F328C" w:rsidRDefault="00C27F39" w:rsidP="00ED6A7B">
            <w:pPr>
              <w:pStyle w:val="TableParagraph"/>
              <w:spacing w:line="248" w:lineRule="exact"/>
              <w:ind w:left="519"/>
              <w:rPr>
                <w:rFonts w:ascii="Times New Roman" w:eastAsia="Times New Roman" w:hAnsi="Times New Roman" w:cs="Times New Roman"/>
                <w:lang w:val="pl-PL"/>
              </w:rPr>
            </w:pPr>
            <w:r w:rsidRPr="008F328C">
              <w:rPr>
                <w:rFonts w:ascii="Times New Roman" w:eastAsia="Times New Roman" w:hAnsi="Times New Roman" w:cs="Times New Roman"/>
                <w:lang w:val="pl-PL"/>
              </w:rPr>
              <w:t>41,9%</w:t>
            </w:r>
          </w:p>
        </w:tc>
        <w:tc>
          <w:tcPr>
            <w:tcW w:w="1591" w:type="dxa"/>
            <w:tcBorders>
              <w:top w:val="single" w:sz="7" w:space="0" w:color="000000"/>
              <w:left w:val="single" w:sz="7" w:space="0" w:color="000000"/>
              <w:bottom w:val="single" w:sz="7" w:space="0" w:color="000000"/>
              <w:right w:val="single" w:sz="7" w:space="0" w:color="000000"/>
            </w:tcBorders>
          </w:tcPr>
          <w:p w14:paraId="29516A92" w14:textId="77777777" w:rsidR="00C27F39" w:rsidRPr="008F328C" w:rsidRDefault="00C27F39" w:rsidP="00ED6A7B">
            <w:pPr>
              <w:pStyle w:val="TableParagraph"/>
              <w:spacing w:line="248" w:lineRule="exact"/>
              <w:ind w:left="510"/>
              <w:rPr>
                <w:rFonts w:ascii="Times New Roman" w:eastAsia="Times New Roman" w:hAnsi="Times New Roman" w:cs="Times New Roman"/>
                <w:lang w:val="pl-PL"/>
              </w:rPr>
            </w:pPr>
            <w:r w:rsidRPr="008F328C">
              <w:rPr>
                <w:rFonts w:ascii="Times New Roman" w:eastAsia="Times New Roman" w:hAnsi="Times New Roman" w:cs="Times New Roman"/>
                <w:lang w:val="pl-PL"/>
              </w:rPr>
              <w:t>28,4%</w:t>
            </w:r>
          </w:p>
        </w:tc>
        <w:tc>
          <w:tcPr>
            <w:tcW w:w="1920" w:type="dxa"/>
            <w:tcBorders>
              <w:top w:val="single" w:sz="7" w:space="0" w:color="000000"/>
              <w:left w:val="single" w:sz="7" w:space="0" w:color="000000"/>
              <w:bottom w:val="single" w:sz="7" w:space="0" w:color="000000"/>
              <w:right w:val="single" w:sz="7" w:space="0" w:color="000000"/>
            </w:tcBorders>
          </w:tcPr>
          <w:p w14:paraId="337226DA" w14:textId="77777777" w:rsidR="00C27F39" w:rsidRPr="008F328C" w:rsidRDefault="00C27F39" w:rsidP="00ED6A7B">
            <w:pPr>
              <w:pStyle w:val="TableParagraph"/>
              <w:spacing w:line="248" w:lineRule="exact"/>
              <w:ind w:left="323"/>
              <w:rPr>
                <w:rFonts w:ascii="Times New Roman" w:eastAsia="Times New Roman" w:hAnsi="Times New Roman" w:cs="Times New Roman"/>
                <w:lang w:val="pl-PL"/>
              </w:rPr>
            </w:pPr>
            <w:r w:rsidRPr="008F328C">
              <w:rPr>
                <w:rFonts w:ascii="Times New Roman" w:eastAsia="Times New Roman" w:hAnsi="Times New Roman" w:cs="Times New Roman"/>
                <w:lang w:val="pl-PL"/>
              </w:rPr>
              <w:t>0,038</w:t>
            </w:r>
          </w:p>
        </w:tc>
      </w:tr>
      <w:tr w:rsidR="00C27F39" w:rsidRPr="00FE49E6" w14:paraId="06C71863" w14:textId="77777777" w:rsidTr="00ED6A7B">
        <w:tc>
          <w:tcPr>
            <w:tcW w:w="7447" w:type="dxa"/>
            <w:gridSpan w:val="4"/>
            <w:tcBorders>
              <w:top w:val="single" w:sz="7" w:space="0" w:color="000000"/>
              <w:left w:val="single" w:sz="7" w:space="0" w:color="000000"/>
              <w:bottom w:val="single" w:sz="7" w:space="0" w:color="000000"/>
              <w:right w:val="single" w:sz="7" w:space="0" w:color="000000"/>
            </w:tcBorders>
          </w:tcPr>
          <w:p w14:paraId="3D79DAAE" w14:textId="77777777" w:rsidR="00C27F39" w:rsidRPr="008F328C" w:rsidRDefault="00C27F39" w:rsidP="00ED6A7B">
            <w:pPr>
              <w:pStyle w:val="TableParagraph"/>
              <w:spacing w:line="246" w:lineRule="exact"/>
              <w:ind w:left="13"/>
              <w:rPr>
                <w:rFonts w:ascii="Times New Roman" w:eastAsia="Times New Roman" w:hAnsi="Times New Roman" w:cs="Times New Roman"/>
                <w:lang w:val="pl-PL"/>
              </w:rPr>
            </w:pPr>
            <w:r w:rsidRPr="008F328C">
              <w:rPr>
                <w:rFonts w:ascii="Times New Roman" w:eastAsia="Times New Roman" w:hAnsi="Times New Roman" w:cs="Times New Roman"/>
                <w:lang w:val="pl-PL"/>
              </w:rPr>
              <w:t>* Wartość p – dawka standardowa w porównaniu z małą dawką</w:t>
            </w:r>
          </w:p>
        </w:tc>
      </w:tr>
    </w:tbl>
    <w:p w14:paraId="1EFF32E8" w14:textId="77777777" w:rsidR="00C27F39" w:rsidRPr="008F328C" w:rsidRDefault="00C27F39" w:rsidP="00C27F39">
      <w:pPr>
        <w:spacing w:before="10" w:line="240" w:lineRule="exact"/>
        <w:rPr>
          <w:rFonts w:ascii="Times New Roman" w:hAnsi="Times New Roman" w:cs="Times New Roman"/>
          <w:sz w:val="24"/>
          <w:szCs w:val="24"/>
          <w:lang w:val="pl-PL"/>
        </w:rPr>
      </w:pPr>
    </w:p>
    <w:p w14:paraId="3F50B6D0" w14:textId="77777777" w:rsidR="00C27F39" w:rsidRPr="008F328C" w:rsidRDefault="00C27F39" w:rsidP="00C27F39">
      <w:pPr>
        <w:rPr>
          <w:rFonts w:ascii="Times New Roman" w:hAnsi="Times New Roman" w:cs="Times New Roman"/>
          <w:sz w:val="24"/>
          <w:szCs w:val="24"/>
          <w:lang w:val="pl-PL"/>
        </w:rPr>
      </w:pPr>
    </w:p>
    <w:tbl>
      <w:tblPr>
        <w:tblStyle w:val="TableNormal1"/>
        <w:tblW w:w="0" w:type="auto"/>
        <w:tblInd w:w="1409" w:type="dxa"/>
        <w:tblLayout w:type="fixed"/>
        <w:tblLook w:val="01E0" w:firstRow="1" w:lastRow="1" w:firstColumn="1" w:lastColumn="1" w:noHBand="0" w:noVBand="0"/>
      </w:tblPr>
      <w:tblGrid>
        <w:gridCol w:w="3208"/>
        <w:gridCol w:w="1656"/>
        <w:gridCol w:w="1620"/>
        <w:gridCol w:w="1140"/>
      </w:tblGrid>
      <w:tr w:rsidR="00C27F39" w:rsidRPr="00494296" w14:paraId="1AC9FD5F" w14:textId="77777777" w:rsidTr="00ED6A7B">
        <w:tc>
          <w:tcPr>
            <w:tcW w:w="7624" w:type="dxa"/>
            <w:gridSpan w:val="4"/>
            <w:tcBorders>
              <w:top w:val="single" w:sz="7" w:space="0" w:color="000000"/>
              <w:left w:val="single" w:sz="7" w:space="0" w:color="000000"/>
              <w:bottom w:val="single" w:sz="7" w:space="0" w:color="000000"/>
              <w:right w:val="single" w:sz="7" w:space="0" w:color="000000"/>
            </w:tcBorders>
          </w:tcPr>
          <w:p w14:paraId="16821CD0" w14:textId="685C8399" w:rsidR="00C27F39" w:rsidRPr="008F328C" w:rsidRDefault="00C27F39" w:rsidP="00ED6A7B">
            <w:pPr>
              <w:pStyle w:val="TableParagraph"/>
              <w:spacing w:before="3" w:line="252" w:lineRule="exact"/>
              <w:ind w:left="3239" w:right="2872" w:firstLine="564"/>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Tabela </w:t>
            </w:r>
            <w:r w:rsidR="00270309" w:rsidRPr="008F328C">
              <w:rPr>
                <w:rFonts w:ascii="Times New Roman" w:eastAsia="Times New Roman" w:hAnsi="Times New Roman" w:cs="Times New Roman"/>
                <w:b/>
                <w:bCs/>
                <w:lang w:val="pl-PL"/>
              </w:rPr>
              <w:t>22</w:t>
            </w:r>
            <w:r w:rsidRPr="008F328C">
              <w:rPr>
                <w:rFonts w:ascii="Times New Roman" w:eastAsia="Times New Roman" w:hAnsi="Times New Roman" w:cs="Times New Roman"/>
                <w:b/>
                <w:bCs/>
                <w:lang w:val="pl-PL"/>
              </w:rPr>
              <w:t xml:space="preserve"> </w:t>
            </w:r>
          </w:p>
          <w:p w14:paraId="18980379" w14:textId="77777777" w:rsidR="00C27F39" w:rsidRPr="008F328C" w:rsidRDefault="00C27F39" w:rsidP="00ED6A7B">
            <w:pPr>
              <w:pStyle w:val="TableParagraph"/>
              <w:spacing w:line="249" w:lineRule="exact"/>
              <w:ind w:left="431"/>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Badanie w ChL-C u dzieci i młodzieży</w:t>
            </w:r>
            <w:r w:rsidRPr="008F328C">
              <w:rPr>
                <w:rFonts w:ascii="Times New Roman" w:eastAsia="Times New Roman" w:hAnsi="Times New Roman" w:cs="Times New Roman"/>
                <w:b/>
                <w:bCs/>
                <w:spacing w:val="-1"/>
                <w:lang w:val="pl-PL"/>
              </w:rPr>
              <w:t xml:space="preserve"> Zaprzestanie stosowania kortykosteroidów lub leków immunomodulujących i remisja przetok</w:t>
            </w:r>
          </w:p>
        </w:tc>
      </w:tr>
      <w:tr w:rsidR="00C27F39" w:rsidRPr="008F328C" w14:paraId="1ECD7C23"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5209D2C5" w14:textId="77777777" w:rsidR="00C27F39" w:rsidRPr="008F328C" w:rsidRDefault="00C27F39" w:rsidP="00ED6A7B">
            <w:pPr>
              <w:rPr>
                <w:rFonts w:ascii="Times New Roman" w:hAnsi="Times New Roman" w:cs="Times New Roman"/>
                <w:lang w:val="pl-PL"/>
              </w:rPr>
            </w:pPr>
          </w:p>
        </w:tc>
        <w:tc>
          <w:tcPr>
            <w:tcW w:w="1656" w:type="dxa"/>
            <w:tcBorders>
              <w:top w:val="single" w:sz="7" w:space="0" w:color="000000"/>
              <w:left w:val="single" w:sz="7" w:space="0" w:color="000000"/>
              <w:bottom w:val="single" w:sz="7" w:space="0" w:color="000000"/>
              <w:right w:val="single" w:sz="7" w:space="0" w:color="000000"/>
            </w:tcBorders>
          </w:tcPr>
          <w:p w14:paraId="5DE79E51" w14:textId="77777777" w:rsidR="00C27F39" w:rsidRPr="008F328C" w:rsidRDefault="00C27F39" w:rsidP="00ED6A7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Dawka </w:t>
            </w:r>
            <w:r w:rsidRPr="008F328C">
              <w:rPr>
                <w:rFonts w:ascii="Times New Roman" w:eastAsia="Times New Roman" w:hAnsi="Times New Roman" w:cs="Times New Roman"/>
                <w:b/>
                <w:bCs/>
                <w:spacing w:val="-1"/>
                <w:lang w:val="pl-PL"/>
              </w:rPr>
              <w:lastRenderedPageBreak/>
              <w:t>standardowa</w:t>
            </w:r>
          </w:p>
          <w:p w14:paraId="19B15F99" w14:textId="77777777" w:rsidR="00C27F39" w:rsidRPr="008F328C" w:rsidRDefault="00C27F39" w:rsidP="00ED6A7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40/20 mg, co drugi tydzień</w:t>
            </w:r>
          </w:p>
        </w:tc>
        <w:tc>
          <w:tcPr>
            <w:tcW w:w="1620" w:type="dxa"/>
            <w:tcBorders>
              <w:top w:val="single" w:sz="7" w:space="0" w:color="000000"/>
              <w:left w:val="single" w:sz="7" w:space="0" w:color="000000"/>
              <w:bottom w:val="single" w:sz="7" w:space="0" w:color="000000"/>
              <w:right w:val="single" w:sz="7" w:space="0" w:color="000000"/>
            </w:tcBorders>
          </w:tcPr>
          <w:p w14:paraId="44AD1FB6" w14:textId="77777777" w:rsidR="00C27F39" w:rsidRPr="008F328C" w:rsidRDefault="00C27F39" w:rsidP="00ED6A7B">
            <w:pPr>
              <w:pStyle w:val="TableParagraph"/>
              <w:spacing w:line="251"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2"/>
                <w:lang w:val="pl-PL"/>
              </w:rPr>
              <w:lastRenderedPageBreak/>
              <w:t>Mała dawka</w:t>
            </w:r>
          </w:p>
          <w:p w14:paraId="40A66C9F" w14:textId="77777777" w:rsidR="00C27F39" w:rsidRPr="008F328C" w:rsidRDefault="00C27F39" w:rsidP="00ED6A7B">
            <w:pPr>
              <w:pStyle w:val="TableParagraph"/>
              <w:spacing w:before="1" w:line="252" w:lineRule="exact"/>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lastRenderedPageBreak/>
              <w:t>20/10 mg, co drugi tydzień</w:t>
            </w:r>
          </w:p>
        </w:tc>
        <w:tc>
          <w:tcPr>
            <w:tcW w:w="1140" w:type="dxa"/>
            <w:tcBorders>
              <w:top w:val="single" w:sz="7" w:space="0" w:color="000000"/>
              <w:left w:val="single" w:sz="7" w:space="0" w:color="000000"/>
              <w:bottom w:val="single" w:sz="7" w:space="0" w:color="000000"/>
              <w:right w:val="single" w:sz="7" w:space="0" w:color="000000"/>
            </w:tcBorders>
          </w:tcPr>
          <w:p w14:paraId="4BA1F1FE" w14:textId="77777777" w:rsidR="00C27F39" w:rsidRPr="008F328C" w:rsidRDefault="00C27F39" w:rsidP="00ED6A7B">
            <w:pPr>
              <w:pStyle w:val="TableParagraph"/>
              <w:spacing w:line="251" w:lineRule="exact"/>
              <w:jc w:val="center"/>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lang w:val="pl-PL"/>
              </w:rPr>
              <w:lastRenderedPageBreak/>
              <w:t>Wartość p</w:t>
            </w:r>
            <w:r w:rsidRPr="008F328C">
              <w:rPr>
                <w:rFonts w:ascii="Times New Roman" w:eastAsia="Times New Roman" w:hAnsi="Times New Roman" w:cs="Times New Roman"/>
                <w:b/>
                <w:bCs/>
                <w:sz w:val="14"/>
                <w:szCs w:val="14"/>
                <w:lang w:val="pl-PL"/>
              </w:rPr>
              <w:t>1</w:t>
            </w:r>
          </w:p>
        </w:tc>
      </w:tr>
      <w:tr w:rsidR="00C27F39" w:rsidRPr="008F328C" w14:paraId="0A862097"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4C1FFC8B" w14:textId="77777777" w:rsidR="00C27F39" w:rsidRPr="008F328C" w:rsidRDefault="00C27F39" w:rsidP="00ED6A7B">
            <w:pPr>
              <w:pStyle w:val="TableParagraph"/>
              <w:spacing w:line="251" w:lineRule="exact"/>
              <w:ind w:left="-1"/>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Zaprzestanie przyjmowania kortykosteroidów</w:t>
            </w:r>
          </w:p>
        </w:tc>
        <w:tc>
          <w:tcPr>
            <w:tcW w:w="1656" w:type="dxa"/>
            <w:tcBorders>
              <w:top w:val="single" w:sz="7" w:space="0" w:color="000000"/>
              <w:left w:val="single" w:sz="7" w:space="0" w:color="000000"/>
              <w:bottom w:val="single" w:sz="7" w:space="0" w:color="000000"/>
              <w:right w:val="single" w:sz="7" w:space="0" w:color="000000"/>
            </w:tcBorders>
          </w:tcPr>
          <w:p w14:paraId="02283252" w14:textId="77777777" w:rsidR="00C27F39" w:rsidRPr="008F328C" w:rsidRDefault="00C27F39" w:rsidP="00ED6A7B">
            <w:pPr>
              <w:pStyle w:val="TableParagraph"/>
              <w:spacing w:line="251" w:lineRule="exact"/>
              <w:ind w:left="546"/>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N=33</w:t>
            </w:r>
          </w:p>
        </w:tc>
        <w:tc>
          <w:tcPr>
            <w:tcW w:w="1620" w:type="dxa"/>
            <w:tcBorders>
              <w:top w:val="single" w:sz="7" w:space="0" w:color="000000"/>
              <w:left w:val="single" w:sz="7" w:space="0" w:color="000000"/>
              <w:bottom w:val="single" w:sz="7" w:space="0" w:color="000000"/>
              <w:right w:val="single" w:sz="7" w:space="0" w:color="000000"/>
            </w:tcBorders>
          </w:tcPr>
          <w:p w14:paraId="5B1F34C0" w14:textId="77777777" w:rsidR="00C27F39" w:rsidRPr="008F328C" w:rsidRDefault="00C27F39" w:rsidP="00ED6A7B">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57379619" w14:textId="77777777" w:rsidR="00C27F39" w:rsidRPr="008F328C" w:rsidRDefault="00C27F39" w:rsidP="00ED6A7B">
            <w:pPr>
              <w:rPr>
                <w:rFonts w:ascii="Times New Roman" w:hAnsi="Times New Roman" w:cs="Times New Roman"/>
                <w:lang w:val="pl-PL"/>
              </w:rPr>
            </w:pPr>
          </w:p>
        </w:tc>
      </w:tr>
      <w:tr w:rsidR="00C27F39" w:rsidRPr="008F328C" w14:paraId="1044346C"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569CFCB9" w14:textId="77777777" w:rsidR="00C27F39" w:rsidRPr="008F328C" w:rsidRDefault="00C27F39" w:rsidP="00ED6A7B">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1656" w:type="dxa"/>
            <w:tcBorders>
              <w:top w:val="single" w:sz="7" w:space="0" w:color="000000"/>
              <w:left w:val="single" w:sz="7" w:space="0" w:color="000000"/>
              <w:bottom w:val="single" w:sz="7" w:space="0" w:color="000000"/>
              <w:right w:val="single" w:sz="7" w:space="0" w:color="000000"/>
            </w:tcBorders>
          </w:tcPr>
          <w:p w14:paraId="5F982411" w14:textId="77777777" w:rsidR="00C27F39" w:rsidRPr="008F328C" w:rsidRDefault="00C27F39" w:rsidP="00ED6A7B">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84,8%</w:t>
            </w:r>
          </w:p>
        </w:tc>
        <w:tc>
          <w:tcPr>
            <w:tcW w:w="1620" w:type="dxa"/>
            <w:tcBorders>
              <w:top w:val="single" w:sz="7" w:space="0" w:color="000000"/>
              <w:left w:val="single" w:sz="7" w:space="0" w:color="000000"/>
              <w:bottom w:val="single" w:sz="7" w:space="0" w:color="000000"/>
              <w:right w:val="single" w:sz="7" w:space="0" w:color="000000"/>
            </w:tcBorders>
          </w:tcPr>
          <w:p w14:paraId="6AAC785D" w14:textId="77777777" w:rsidR="00C27F39" w:rsidRPr="008F328C" w:rsidRDefault="00C27F39" w:rsidP="00ED6A7B">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65,8%</w:t>
            </w:r>
          </w:p>
        </w:tc>
        <w:tc>
          <w:tcPr>
            <w:tcW w:w="1140" w:type="dxa"/>
            <w:tcBorders>
              <w:top w:val="single" w:sz="7" w:space="0" w:color="000000"/>
              <w:left w:val="single" w:sz="7" w:space="0" w:color="000000"/>
              <w:bottom w:val="single" w:sz="7" w:space="0" w:color="000000"/>
              <w:right w:val="single" w:sz="7" w:space="0" w:color="000000"/>
            </w:tcBorders>
          </w:tcPr>
          <w:p w14:paraId="75927FF8" w14:textId="77777777" w:rsidR="00C27F39" w:rsidRPr="008F328C" w:rsidRDefault="00C27F39" w:rsidP="00ED6A7B">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0,066</w:t>
            </w:r>
          </w:p>
        </w:tc>
      </w:tr>
      <w:tr w:rsidR="00C27F39" w:rsidRPr="008F328C" w14:paraId="0D0566CC"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239BD94B" w14:textId="77777777" w:rsidR="00C27F39" w:rsidRPr="008F328C" w:rsidRDefault="00C27F39" w:rsidP="00ED6A7B">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7" w:space="0" w:color="000000"/>
              <w:right w:val="single" w:sz="7" w:space="0" w:color="000000"/>
            </w:tcBorders>
          </w:tcPr>
          <w:p w14:paraId="2CEBE5B8" w14:textId="77777777" w:rsidR="00C27F39" w:rsidRPr="008F328C" w:rsidRDefault="00C27F39" w:rsidP="00ED6A7B">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69,7%</w:t>
            </w:r>
          </w:p>
        </w:tc>
        <w:tc>
          <w:tcPr>
            <w:tcW w:w="1620" w:type="dxa"/>
            <w:tcBorders>
              <w:top w:val="single" w:sz="7" w:space="0" w:color="000000"/>
              <w:left w:val="single" w:sz="7" w:space="0" w:color="000000"/>
              <w:bottom w:val="single" w:sz="7" w:space="0" w:color="000000"/>
              <w:right w:val="single" w:sz="7" w:space="0" w:color="000000"/>
            </w:tcBorders>
          </w:tcPr>
          <w:p w14:paraId="70D884A7" w14:textId="77777777" w:rsidR="00C27F39" w:rsidRPr="008F328C" w:rsidRDefault="00C27F39" w:rsidP="00ED6A7B">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60,5%</w:t>
            </w:r>
          </w:p>
        </w:tc>
        <w:tc>
          <w:tcPr>
            <w:tcW w:w="1140" w:type="dxa"/>
            <w:tcBorders>
              <w:top w:val="single" w:sz="7" w:space="0" w:color="000000"/>
              <w:left w:val="single" w:sz="7" w:space="0" w:color="000000"/>
              <w:bottom w:val="single" w:sz="7" w:space="0" w:color="000000"/>
              <w:right w:val="single" w:sz="7" w:space="0" w:color="000000"/>
            </w:tcBorders>
          </w:tcPr>
          <w:p w14:paraId="3D65FF71" w14:textId="77777777" w:rsidR="00C27F39" w:rsidRPr="008F328C" w:rsidRDefault="00C27F39" w:rsidP="00ED6A7B">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0,420</w:t>
            </w:r>
          </w:p>
        </w:tc>
      </w:tr>
      <w:tr w:rsidR="00C27F39" w:rsidRPr="008F328C" w14:paraId="646A8171"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2345644C" w14:textId="77777777" w:rsidR="00C27F39" w:rsidRPr="008F328C" w:rsidRDefault="00C27F39" w:rsidP="00ED6A7B">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Zaprzestanie przyjmowania leków immunomodulujących</w:t>
            </w:r>
            <w:r w:rsidRPr="008F328C">
              <w:rPr>
                <w:rFonts w:ascii="Times New Roman" w:eastAsia="Times New Roman" w:hAnsi="Times New Roman" w:cs="Times New Roman"/>
                <w:spacing w:val="-1"/>
                <w:vertAlign w:val="superscript"/>
                <w:lang w:val="pl-PL"/>
              </w:rPr>
              <w:t>2</w:t>
            </w:r>
          </w:p>
        </w:tc>
        <w:tc>
          <w:tcPr>
            <w:tcW w:w="1656" w:type="dxa"/>
            <w:tcBorders>
              <w:top w:val="single" w:sz="7" w:space="0" w:color="000000"/>
              <w:left w:val="single" w:sz="7" w:space="0" w:color="000000"/>
              <w:bottom w:val="single" w:sz="7" w:space="0" w:color="000000"/>
              <w:right w:val="single" w:sz="7" w:space="0" w:color="000000"/>
            </w:tcBorders>
          </w:tcPr>
          <w:p w14:paraId="38257653" w14:textId="77777777" w:rsidR="00C27F39" w:rsidRPr="008F328C" w:rsidRDefault="00C27F39" w:rsidP="00ED6A7B">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N=60</w:t>
            </w:r>
          </w:p>
        </w:tc>
        <w:tc>
          <w:tcPr>
            <w:tcW w:w="1620" w:type="dxa"/>
            <w:tcBorders>
              <w:top w:val="single" w:sz="7" w:space="0" w:color="000000"/>
              <w:left w:val="single" w:sz="7" w:space="0" w:color="000000"/>
              <w:bottom w:val="single" w:sz="7" w:space="0" w:color="000000"/>
              <w:right w:val="single" w:sz="7" w:space="0" w:color="000000"/>
            </w:tcBorders>
          </w:tcPr>
          <w:p w14:paraId="10392945" w14:textId="77777777" w:rsidR="00C27F39" w:rsidRPr="008F328C" w:rsidRDefault="00C27F39" w:rsidP="00ED6A7B">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N=38</w:t>
            </w:r>
          </w:p>
        </w:tc>
        <w:tc>
          <w:tcPr>
            <w:tcW w:w="1140" w:type="dxa"/>
            <w:tcBorders>
              <w:top w:val="single" w:sz="7" w:space="0" w:color="000000"/>
              <w:left w:val="single" w:sz="7" w:space="0" w:color="000000"/>
              <w:bottom w:val="single" w:sz="7" w:space="0" w:color="000000"/>
              <w:right w:val="single" w:sz="7" w:space="0" w:color="000000"/>
            </w:tcBorders>
          </w:tcPr>
          <w:p w14:paraId="7BF0EABE" w14:textId="77777777" w:rsidR="00C27F39" w:rsidRPr="008F328C" w:rsidRDefault="00C27F39" w:rsidP="00ED6A7B">
            <w:pPr>
              <w:rPr>
                <w:rFonts w:ascii="Times New Roman" w:hAnsi="Times New Roman" w:cs="Times New Roman"/>
                <w:lang w:val="pl-PL"/>
              </w:rPr>
            </w:pPr>
          </w:p>
        </w:tc>
      </w:tr>
      <w:tr w:rsidR="00C27F39" w:rsidRPr="008F328C" w14:paraId="084401AD"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64F4C728" w14:textId="77777777" w:rsidR="00C27F39" w:rsidRPr="008F328C" w:rsidRDefault="00C27F39" w:rsidP="00ED6A7B">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7" w:space="0" w:color="000000"/>
              <w:right w:val="single" w:sz="7" w:space="0" w:color="000000"/>
            </w:tcBorders>
          </w:tcPr>
          <w:p w14:paraId="1D893415" w14:textId="77777777" w:rsidR="00C27F39" w:rsidRPr="008F328C" w:rsidRDefault="00C27F39" w:rsidP="00ED6A7B">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30,0%</w:t>
            </w:r>
          </w:p>
        </w:tc>
        <w:tc>
          <w:tcPr>
            <w:tcW w:w="1620" w:type="dxa"/>
            <w:tcBorders>
              <w:top w:val="single" w:sz="7" w:space="0" w:color="000000"/>
              <w:left w:val="single" w:sz="7" w:space="0" w:color="000000"/>
              <w:bottom w:val="single" w:sz="7" w:space="0" w:color="000000"/>
              <w:right w:val="single" w:sz="7" w:space="0" w:color="000000"/>
            </w:tcBorders>
          </w:tcPr>
          <w:p w14:paraId="339FC858" w14:textId="77777777" w:rsidR="00C27F39" w:rsidRPr="008F328C" w:rsidRDefault="00C27F39" w:rsidP="00ED6A7B">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29,8%</w:t>
            </w:r>
          </w:p>
        </w:tc>
        <w:tc>
          <w:tcPr>
            <w:tcW w:w="1140" w:type="dxa"/>
            <w:tcBorders>
              <w:top w:val="single" w:sz="7" w:space="0" w:color="000000"/>
              <w:left w:val="single" w:sz="7" w:space="0" w:color="000000"/>
              <w:bottom w:val="single" w:sz="7" w:space="0" w:color="000000"/>
              <w:right w:val="single" w:sz="7" w:space="0" w:color="000000"/>
            </w:tcBorders>
          </w:tcPr>
          <w:p w14:paraId="13D5B316" w14:textId="77777777" w:rsidR="00C27F39" w:rsidRPr="008F328C" w:rsidRDefault="00C27F39" w:rsidP="00ED6A7B">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0,983</w:t>
            </w:r>
          </w:p>
        </w:tc>
      </w:tr>
      <w:tr w:rsidR="00C27F39" w:rsidRPr="008F328C" w14:paraId="3D155816"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3401038B" w14:textId="77777777" w:rsidR="00C27F39" w:rsidRPr="008F328C" w:rsidRDefault="00C27F39" w:rsidP="00ED6A7B">
            <w:pPr>
              <w:pStyle w:val="TableParagraph"/>
              <w:spacing w:line="251" w:lineRule="exact"/>
              <w:ind w:left="-1"/>
              <w:rPr>
                <w:rFonts w:ascii="Times New Roman" w:eastAsia="Times New Roman" w:hAnsi="Times New Roman" w:cs="Times New Roman"/>
                <w:sz w:val="14"/>
                <w:szCs w:val="14"/>
                <w:lang w:val="pl-PL"/>
              </w:rPr>
            </w:pPr>
            <w:r w:rsidRPr="008F328C">
              <w:rPr>
                <w:rFonts w:ascii="Times New Roman" w:eastAsia="Times New Roman" w:hAnsi="Times New Roman" w:cs="Times New Roman"/>
                <w:b/>
                <w:bCs/>
                <w:spacing w:val="-1"/>
                <w:lang w:val="pl-PL"/>
              </w:rPr>
              <w:t>Remisja przetok</w:t>
            </w:r>
            <w:r w:rsidRPr="008F328C">
              <w:rPr>
                <w:rFonts w:ascii="Times New Roman" w:eastAsia="Times New Roman" w:hAnsi="Times New Roman" w:cs="Times New Roman"/>
                <w:spacing w:val="-1"/>
                <w:vertAlign w:val="superscript"/>
                <w:lang w:val="pl-PL"/>
              </w:rPr>
              <w:t>3</w:t>
            </w:r>
          </w:p>
        </w:tc>
        <w:tc>
          <w:tcPr>
            <w:tcW w:w="1656" w:type="dxa"/>
            <w:tcBorders>
              <w:top w:val="single" w:sz="7" w:space="0" w:color="000000"/>
              <w:left w:val="single" w:sz="7" w:space="0" w:color="000000"/>
              <w:bottom w:val="single" w:sz="7" w:space="0" w:color="000000"/>
              <w:right w:val="single" w:sz="7" w:space="0" w:color="000000"/>
            </w:tcBorders>
          </w:tcPr>
          <w:p w14:paraId="25F1C018" w14:textId="77777777" w:rsidR="00C27F39" w:rsidRPr="008F328C" w:rsidRDefault="00C27F39" w:rsidP="00ED6A7B">
            <w:pPr>
              <w:pStyle w:val="TableParagraph"/>
              <w:spacing w:line="251" w:lineRule="exact"/>
              <w:ind w:left="557" w:right="543"/>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N=15</w:t>
            </w:r>
          </w:p>
        </w:tc>
        <w:tc>
          <w:tcPr>
            <w:tcW w:w="1620" w:type="dxa"/>
            <w:tcBorders>
              <w:top w:val="single" w:sz="7" w:space="0" w:color="000000"/>
              <w:left w:val="single" w:sz="7" w:space="0" w:color="000000"/>
              <w:bottom w:val="single" w:sz="7" w:space="0" w:color="000000"/>
              <w:right w:val="single" w:sz="7" w:space="0" w:color="000000"/>
            </w:tcBorders>
          </w:tcPr>
          <w:p w14:paraId="46630EF7" w14:textId="77777777" w:rsidR="00C27F39" w:rsidRPr="008F328C" w:rsidRDefault="00C27F39" w:rsidP="00ED6A7B">
            <w:pPr>
              <w:pStyle w:val="TableParagraph"/>
              <w:spacing w:line="251" w:lineRule="exact"/>
              <w:ind w:left="537" w:right="52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N=21</w:t>
            </w:r>
          </w:p>
        </w:tc>
        <w:tc>
          <w:tcPr>
            <w:tcW w:w="1140" w:type="dxa"/>
            <w:tcBorders>
              <w:top w:val="single" w:sz="7" w:space="0" w:color="000000"/>
              <w:left w:val="single" w:sz="7" w:space="0" w:color="000000"/>
              <w:bottom w:val="single" w:sz="7" w:space="0" w:color="000000"/>
              <w:right w:val="single" w:sz="7" w:space="0" w:color="000000"/>
            </w:tcBorders>
          </w:tcPr>
          <w:p w14:paraId="6142070D" w14:textId="77777777" w:rsidR="00C27F39" w:rsidRPr="008F328C" w:rsidRDefault="00C27F39" w:rsidP="00ED6A7B">
            <w:pPr>
              <w:rPr>
                <w:rFonts w:ascii="Times New Roman" w:hAnsi="Times New Roman" w:cs="Times New Roman"/>
                <w:lang w:val="pl-PL"/>
              </w:rPr>
            </w:pPr>
          </w:p>
        </w:tc>
      </w:tr>
      <w:tr w:rsidR="00C27F39" w:rsidRPr="008F328C" w14:paraId="251799AA" w14:textId="77777777" w:rsidTr="00ED6A7B">
        <w:tc>
          <w:tcPr>
            <w:tcW w:w="3208" w:type="dxa"/>
            <w:tcBorders>
              <w:top w:val="single" w:sz="7" w:space="0" w:color="000000"/>
              <w:left w:val="single" w:sz="7" w:space="0" w:color="000000"/>
              <w:bottom w:val="single" w:sz="7" w:space="0" w:color="000000"/>
              <w:right w:val="single" w:sz="7" w:space="0" w:color="000000"/>
            </w:tcBorders>
          </w:tcPr>
          <w:p w14:paraId="76E12013" w14:textId="77777777" w:rsidR="00C27F39" w:rsidRPr="008F328C" w:rsidRDefault="00C27F39" w:rsidP="00ED6A7B">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26. tydzień</w:t>
            </w:r>
          </w:p>
        </w:tc>
        <w:tc>
          <w:tcPr>
            <w:tcW w:w="1656" w:type="dxa"/>
            <w:tcBorders>
              <w:top w:val="single" w:sz="7" w:space="0" w:color="000000"/>
              <w:left w:val="single" w:sz="7" w:space="0" w:color="000000"/>
              <w:bottom w:val="single" w:sz="7" w:space="0" w:color="000000"/>
              <w:right w:val="single" w:sz="7" w:space="0" w:color="000000"/>
            </w:tcBorders>
          </w:tcPr>
          <w:p w14:paraId="3598822C" w14:textId="77777777" w:rsidR="00C27F39" w:rsidRPr="008F328C" w:rsidRDefault="00C27F39" w:rsidP="00ED6A7B">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46,7%</w:t>
            </w:r>
          </w:p>
        </w:tc>
        <w:tc>
          <w:tcPr>
            <w:tcW w:w="1620" w:type="dxa"/>
            <w:tcBorders>
              <w:top w:val="single" w:sz="7" w:space="0" w:color="000000"/>
              <w:left w:val="single" w:sz="7" w:space="0" w:color="000000"/>
              <w:bottom w:val="single" w:sz="7" w:space="0" w:color="000000"/>
              <w:right w:val="single" w:sz="7" w:space="0" w:color="000000"/>
            </w:tcBorders>
          </w:tcPr>
          <w:p w14:paraId="36C6A2D5" w14:textId="77777777" w:rsidR="00C27F39" w:rsidRPr="008F328C" w:rsidRDefault="00C27F39" w:rsidP="00ED6A7B">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38,1%</w:t>
            </w:r>
          </w:p>
        </w:tc>
        <w:tc>
          <w:tcPr>
            <w:tcW w:w="1140" w:type="dxa"/>
            <w:tcBorders>
              <w:top w:val="single" w:sz="7" w:space="0" w:color="000000"/>
              <w:left w:val="single" w:sz="7" w:space="0" w:color="000000"/>
              <w:bottom w:val="single" w:sz="7" w:space="0" w:color="000000"/>
              <w:right w:val="single" w:sz="7" w:space="0" w:color="000000"/>
            </w:tcBorders>
          </w:tcPr>
          <w:p w14:paraId="7D619ED7" w14:textId="77777777" w:rsidR="00C27F39" w:rsidRPr="008F328C" w:rsidRDefault="00C27F39" w:rsidP="00ED6A7B">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0,608</w:t>
            </w:r>
          </w:p>
        </w:tc>
      </w:tr>
      <w:tr w:rsidR="00C27F39" w:rsidRPr="008F328C" w14:paraId="330A2B50" w14:textId="77777777" w:rsidTr="00ED6A7B">
        <w:tc>
          <w:tcPr>
            <w:tcW w:w="3208" w:type="dxa"/>
            <w:tcBorders>
              <w:top w:val="single" w:sz="7" w:space="0" w:color="000000"/>
              <w:left w:val="single" w:sz="7" w:space="0" w:color="000000"/>
              <w:bottom w:val="single" w:sz="5" w:space="0" w:color="000000"/>
              <w:right w:val="single" w:sz="7" w:space="0" w:color="000000"/>
            </w:tcBorders>
          </w:tcPr>
          <w:p w14:paraId="156ED678" w14:textId="77777777" w:rsidR="00C27F39" w:rsidRPr="008F328C" w:rsidRDefault="00C27F39" w:rsidP="00ED6A7B">
            <w:pPr>
              <w:pStyle w:val="TableParagraph"/>
              <w:spacing w:line="246" w:lineRule="exact"/>
              <w:ind w:left="-1"/>
              <w:rPr>
                <w:rFonts w:ascii="Times New Roman" w:eastAsia="Times New Roman" w:hAnsi="Times New Roman" w:cs="Times New Roman"/>
                <w:lang w:val="pl-PL"/>
              </w:rPr>
            </w:pPr>
            <w:r w:rsidRPr="008F328C">
              <w:rPr>
                <w:rFonts w:ascii="Times New Roman" w:eastAsia="Times New Roman" w:hAnsi="Times New Roman" w:cs="Times New Roman"/>
                <w:lang w:val="pl-PL"/>
              </w:rPr>
              <w:t>52. tydzień</w:t>
            </w:r>
          </w:p>
        </w:tc>
        <w:tc>
          <w:tcPr>
            <w:tcW w:w="1656" w:type="dxa"/>
            <w:tcBorders>
              <w:top w:val="single" w:sz="7" w:space="0" w:color="000000"/>
              <w:left w:val="single" w:sz="7" w:space="0" w:color="000000"/>
              <w:bottom w:val="single" w:sz="5" w:space="0" w:color="000000"/>
              <w:right w:val="single" w:sz="7" w:space="0" w:color="000000"/>
            </w:tcBorders>
          </w:tcPr>
          <w:p w14:paraId="5826668D" w14:textId="77777777" w:rsidR="00C27F39" w:rsidRPr="008F328C" w:rsidRDefault="00C27F39" w:rsidP="00ED6A7B">
            <w:pPr>
              <w:pStyle w:val="TableParagraph"/>
              <w:spacing w:line="246" w:lineRule="exact"/>
              <w:ind w:left="541"/>
              <w:rPr>
                <w:rFonts w:ascii="Times New Roman" w:eastAsia="Times New Roman" w:hAnsi="Times New Roman" w:cs="Times New Roman"/>
                <w:lang w:val="pl-PL"/>
              </w:rPr>
            </w:pPr>
            <w:r w:rsidRPr="008F328C">
              <w:rPr>
                <w:rFonts w:ascii="Times New Roman" w:eastAsia="Times New Roman" w:hAnsi="Times New Roman" w:cs="Times New Roman"/>
                <w:lang w:val="pl-PL"/>
              </w:rPr>
              <w:t>40,0%</w:t>
            </w:r>
          </w:p>
        </w:tc>
        <w:tc>
          <w:tcPr>
            <w:tcW w:w="1620" w:type="dxa"/>
            <w:tcBorders>
              <w:top w:val="single" w:sz="7" w:space="0" w:color="000000"/>
              <w:left w:val="single" w:sz="7" w:space="0" w:color="000000"/>
              <w:bottom w:val="single" w:sz="5" w:space="0" w:color="000000"/>
              <w:right w:val="single" w:sz="7" w:space="0" w:color="000000"/>
            </w:tcBorders>
          </w:tcPr>
          <w:p w14:paraId="54390876" w14:textId="77777777" w:rsidR="00C27F39" w:rsidRPr="008F328C" w:rsidRDefault="00C27F39" w:rsidP="00ED6A7B">
            <w:pPr>
              <w:pStyle w:val="TableParagraph"/>
              <w:spacing w:line="246" w:lineRule="exact"/>
              <w:ind w:left="522"/>
              <w:rPr>
                <w:rFonts w:ascii="Times New Roman" w:eastAsia="Times New Roman" w:hAnsi="Times New Roman" w:cs="Times New Roman"/>
                <w:lang w:val="pl-PL"/>
              </w:rPr>
            </w:pPr>
            <w:r w:rsidRPr="008F328C">
              <w:rPr>
                <w:rFonts w:ascii="Times New Roman" w:eastAsia="Times New Roman" w:hAnsi="Times New Roman" w:cs="Times New Roman"/>
                <w:lang w:val="pl-PL"/>
              </w:rPr>
              <w:t>23,8%</w:t>
            </w:r>
          </w:p>
        </w:tc>
        <w:tc>
          <w:tcPr>
            <w:tcW w:w="1140" w:type="dxa"/>
            <w:tcBorders>
              <w:top w:val="single" w:sz="7" w:space="0" w:color="000000"/>
              <w:left w:val="single" w:sz="7" w:space="0" w:color="000000"/>
              <w:bottom w:val="single" w:sz="5" w:space="0" w:color="000000"/>
              <w:right w:val="single" w:sz="7" w:space="0" w:color="000000"/>
            </w:tcBorders>
          </w:tcPr>
          <w:p w14:paraId="2B067D85" w14:textId="77777777" w:rsidR="00C27F39" w:rsidRPr="008F328C" w:rsidRDefault="00C27F39" w:rsidP="00ED6A7B">
            <w:pPr>
              <w:pStyle w:val="TableParagraph"/>
              <w:spacing w:line="246" w:lineRule="exact"/>
              <w:ind w:left="318"/>
              <w:rPr>
                <w:rFonts w:ascii="Times New Roman" w:eastAsia="Times New Roman" w:hAnsi="Times New Roman" w:cs="Times New Roman"/>
                <w:lang w:val="pl-PL"/>
              </w:rPr>
            </w:pPr>
            <w:r w:rsidRPr="008F328C">
              <w:rPr>
                <w:rFonts w:ascii="Times New Roman" w:eastAsia="Times New Roman" w:hAnsi="Times New Roman" w:cs="Times New Roman"/>
                <w:lang w:val="pl-PL"/>
              </w:rPr>
              <w:t>0,303</w:t>
            </w:r>
          </w:p>
        </w:tc>
      </w:tr>
    </w:tbl>
    <w:p w14:paraId="282C674B" w14:textId="77777777" w:rsidR="00C27F39" w:rsidRPr="008F328C" w:rsidRDefault="00C27F39" w:rsidP="008F328C">
      <w:pPr>
        <w:pStyle w:val="a3"/>
        <w:numPr>
          <w:ilvl w:val="0"/>
          <w:numId w:val="139"/>
        </w:numPr>
        <w:ind w:left="550"/>
        <w:rPr>
          <w:lang w:val="pl-PL"/>
        </w:rPr>
      </w:pPr>
      <w:r w:rsidRPr="008F328C">
        <w:rPr>
          <w:rFonts w:eastAsia="Times New Roman"/>
          <w:lang w:val="pl-PL"/>
        </w:rPr>
        <w:t>Wartość p – dawka standardowa w porównaniu z małą dawką.</w:t>
      </w:r>
    </w:p>
    <w:p w14:paraId="4A8369CF" w14:textId="77777777" w:rsidR="00C27F39" w:rsidRPr="008F328C" w:rsidRDefault="00C27F39" w:rsidP="008F328C">
      <w:pPr>
        <w:pStyle w:val="a3"/>
        <w:numPr>
          <w:ilvl w:val="0"/>
          <w:numId w:val="139"/>
        </w:numPr>
        <w:ind w:left="550"/>
        <w:rPr>
          <w:lang w:val="pl-PL"/>
        </w:rPr>
      </w:pPr>
      <w:r w:rsidRPr="008F328C">
        <w:rPr>
          <w:rFonts w:eastAsia="Times New Roman"/>
          <w:lang w:val="pl-PL"/>
        </w:rPr>
        <w:t>Jeśli pacjent spełniał kryterium odpowiedzi klinicznej, leczenie immunosupresyjne można było przerwać wyłącznie w 26. tygodniu lub po 26. tygodniu, według uznania badacza.</w:t>
      </w:r>
    </w:p>
    <w:p w14:paraId="2E7F0191" w14:textId="77777777" w:rsidR="00C27F39" w:rsidRPr="008F328C" w:rsidRDefault="00C27F39" w:rsidP="008F328C">
      <w:pPr>
        <w:pStyle w:val="a3"/>
        <w:numPr>
          <w:ilvl w:val="0"/>
          <w:numId w:val="139"/>
        </w:numPr>
        <w:ind w:left="550"/>
        <w:rPr>
          <w:lang w:val="pl-PL"/>
        </w:rPr>
      </w:pPr>
      <w:r w:rsidRPr="008F328C">
        <w:rPr>
          <w:rFonts w:eastAsia="Times New Roman"/>
          <w:lang w:val="pl-PL"/>
        </w:rPr>
        <w:t>Definiowane jako zamknięcie wszystkich przetok czynnych w czasie rozpoczynania badania, które obserwowano podczas co najmniej 2 kolejnych wizyt po rozpoczęciu badania.</w:t>
      </w:r>
    </w:p>
    <w:p w14:paraId="596BE992" w14:textId="77777777" w:rsidR="00C27F39" w:rsidRPr="008F328C" w:rsidRDefault="00C27F39" w:rsidP="00C27F39">
      <w:pPr>
        <w:spacing w:before="8" w:line="170" w:lineRule="exact"/>
        <w:rPr>
          <w:rFonts w:ascii="Times New Roman" w:hAnsi="Times New Roman" w:cs="Times New Roman"/>
          <w:sz w:val="17"/>
          <w:szCs w:val="17"/>
          <w:lang w:val="pl-PL"/>
        </w:rPr>
      </w:pPr>
    </w:p>
    <w:p w14:paraId="1BEC7456" w14:textId="77777777" w:rsidR="00C27F39" w:rsidRPr="008F328C" w:rsidRDefault="00C27F39" w:rsidP="00C27F39">
      <w:pPr>
        <w:pStyle w:val="a3"/>
        <w:rPr>
          <w:lang w:val="pl-PL"/>
        </w:rPr>
      </w:pPr>
      <w:r w:rsidRPr="008F328C">
        <w:rPr>
          <w:rFonts w:eastAsia="Times New Roman"/>
          <w:lang w:val="pl-PL"/>
        </w:rPr>
        <w:t>W obydwu leczonych grupach, w 26. i 52. tygodniu obserwowano statystycznie istotne zwiększenie (poprawę) w stosunku do wartości wyjściowych wskaźnika masy ciała i tempa wzrostu.</w:t>
      </w:r>
    </w:p>
    <w:p w14:paraId="5937C91A" w14:textId="77777777" w:rsidR="00C27F39" w:rsidRPr="008F328C" w:rsidRDefault="00C27F39" w:rsidP="00C27F39">
      <w:pPr>
        <w:spacing w:before="14" w:line="240" w:lineRule="exact"/>
        <w:rPr>
          <w:rFonts w:ascii="Times New Roman" w:hAnsi="Times New Roman" w:cs="Times New Roman"/>
          <w:sz w:val="24"/>
          <w:szCs w:val="24"/>
          <w:lang w:val="pl-PL"/>
        </w:rPr>
      </w:pPr>
    </w:p>
    <w:p w14:paraId="4C2ADDAF" w14:textId="77777777" w:rsidR="00C27F39" w:rsidRPr="008F328C" w:rsidRDefault="00C27F39" w:rsidP="00C27F39">
      <w:pPr>
        <w:pStyle w:val="a3"/>
        <w:rPr>
          <w:lang w:val="pl-PL"/>
        </w:rPr>
      </w:pPr>
      <w:r w:rsidRPr="008F328C">
        <w:rPr>
          <w:rFonts w:eastAsia="Times New Roman"/>
          <w:lang w:val="pl-PL"/>
        </w:rPr>
        <w:t>W obydwu grupach obserwowano również istotną statystycznie i klinicznie poprawę w stosunku do wartości wyjściowych parametrów jakości życia (w tym IMPACT III).</w:t>
      </w:r>
    </w:p>
    <w:p w14:paraId="23876A5A" w14:textId="77777777" w:rsidR="00C27F39" w:rsidRPr="008F328C" w:rsidRDefault="00C27F39" w:rsidP="00C27F39">
      <w:pPr>
        <w:pStyle w:val="a3"/>
        <w:rPr>
          <w:lang w:val="pl-PL"/>
        </w:rPr>
      </w:pPr>
    </w:p>
    <w:p w14:paraId="1D07C821" w14:textId="77777777" w:rsidR="00C27F39" w:rsidRPr="008F328C" w:rsidRDefault="00C27F39" w:rsidP="00C27F39">
      <w:pPr>
        <w:pStyle w:val="a3"/>
        <w:rPr>
          <w:lang w:val="pl-PL"/>
        </w:rPr>
      </w:pPr>
      <w:r w:rsidRPr="008F328C">
        <w:rPr>
          <w:rFonts w:eastAsia="Times New Roman"/>
          <w:lang w:val="pl-PL"/>
        </w:rPr>
        <w:t>Stu pacjentów (n=100) z badania klinicznego populacji dzieci i młodzieży z chorobą Leśniowskiego-Crohna kontynuowało leczenie w długookresowym otwartym badaniu kontynuacyjnym. Po 5 latach leczenia adalimumabem, z 50 pacjentów pozostających w badaniu 74,0% (37/50) nadal było w remisji klinicznej, a 92,0% (46/50) nadal wykazywało odpowiedź kliniczną wg. wskaźnika PCDAI.</w:t>
      </w:r>
    </w:p>
    <w:p w14:paraId="4E954DC3" w14:textId="77777777" w:rsidR="00C27F39" w:rsidRPr="008F328C" w:rsidRDefault="00C27F39" w:rsidP="00C27F39">
      <w:pPr>
        <w:spacing w:before="16" w:line="240" w:lineRule="exact"/>
        <w:rPr>
          <w:rFonts w:ascii="Times New Roman" w:hAnsi="Times New Roman" w:cs="Times New Roman"/>
          <w:sz w:val="24"/>
          <w:szCs w:val="24"/>
          <w:lang w:val="pl-PL"/>
        </w:rPr>
      </w:pPr>
    </w:p>
    <w:p w14:paraId="309A214B" w14:textId="77777777" w:rsidR="00C27F39" w:rsidRPr="008F328C" w:rsidRDefault="00C27F39" w:rsidP="00C27F39">
      <w:pPr>
        <w:pStyle w:val="a3"/>
        <w:rPr>
          <w:rFonts w:eastAsia="Times New Roman"/>
          <w:lang w:val="pl-PL"/>
        </w:rPr>
      </w:pPr>
      <w:r w:rsidRPr="008F328C">
        <w:rPr>
          <w:rFonts w:eastAsia="Times New Roman"/>
          <w:i/>
          <w:iCs/>
          <w:spacing w:val="-1"/>
          <w:u w:val="single"/>
          <w:lang w:val="pl-PL"/>
        </w:rPr>
        <w:t xml:space="preserve">Zapalenie błony naczyniowej oka u dzieci i młodzieży </w:t>
      </w:r>
    </w:p>
    <w:p w14:paraId="23FC0F38" w14:textId="77777777" w:rsidR="00C27F39" w:rsidRPr="008F328C" w:rsidRDefault="00C27F39" w:rsidP="00C27F39">
      <w:pPr>
        <w:pStyle w:val="a3"/>
        <w:rPr>
          <w:sz w:val="24"/>
          <w:szCs w:val="24"/>
          <w:lang w:val="pl-PL"/>
        </w:rPr>
      </w:pPr>
    </w:p>
    <w:p w14:paraId="17E08A13" w14:textId="10E8D774" w:rsidR="00C27F39" w:rsidRPr="008F328C" w:rsidRDefault="00C27F39" w:rsidP="00C27F39">
      <w:pPr>
        <w:pStyle w:val="a3"/>
        <w:rPr>
          <w:rFonts w:eastAsia="Times New Roman"/>
          <w:lang w:val="pl-PL"/>
        </w:rPr>
      </w:pPr>
      <w:r w:rsidRPr="008F328C">
        <w:rPr>
          <w:rFonts w:eastAsia="Times New Roman"/>
          <w:lang w:val="pl-PL"/>
        </w:rPr>
        <w:t>Bezpieczeństwo stosowania i skuteczność adalimumabu oceniano w randomizowanym, podwójnie zaślepionym, kontrolowanym badaniu klinicznym u 90 pacjentów pediatrycznych w wieku od 2 do &lt; 18 lat z czynnym, związanym z MIZS nieinfekcyjnym zapaleniem przedniego odcinka błony naczyniowej oka, u których nieskuteczne było leczenie metotreksatem przez co najmniej 12 tygodni. Pacjenci otrzymywali placebo lub adalimumab 20 mg (jeśli &lt;30 kg) lub adalimumab 40 mg (jeśli ≥ 30 kg) co drugi tydzień w skojarzeniu z metotreksatem w dawce, jaką otrzymywali przed przystąpieniem do badania.</w:t>
      </w:r>
    </w:p>
    <w:p w14:paraId="4F9E3184" w14:textId="77777777" w:rsidR="002525CB" w:rsidRPr="008F328C" w:rsidRDefault="002525CB" w:rsidP="00C27F39">
      <w:pPr>
        <w:pStyle w:val="a3"/>
        <w:rPr>
          <w:lang w:val="pl-PL"/>
        </w:rPr>
      </w:pPr>
    </w:p>
    <w:p w14:paraId="1C1DAD42" w14:textId="77777777" w:rsidR="00C27F39" w:rsidRPr="008F328C" w:rsidRDefault="00C27F39" w:rsidP="00C27F39">
      <w:pPr>
        <w:pStyle w:val="a3"/>
        <w:rPr>
          <w:lang w:val="pl-PL"/>
        </w:rPr>
      </w:pPr>
      <w:r w:rsidRPr="008F328C">
        <w:rPr>
          <w:rFonts w:eastAsia="Times New Roman"/>
          <w:lang w:val="pl-PL"/>
        </w:rPr>
        <w:t>Pierwszorzędowym punktem końcowym był „czas do niepowodzenia leczenia”. Kryteriami niepowodzenia leczenia były nasilenie lub utrzymujący się brak poprawy zapalenia oka lub częściowa poprawa z wystąpieniem utrzymujących się współistniejących chorób oka lub nasilenie się współistniejących chorób oka, niedozwolone jednoczesne stosowanie leków oraz przerwanie leczenia na dłuższy okres.</w:t>
      </w:r>
    </w:p>
    <w:p w14:paraId="398C72DA" w14:textId="77777777" w:rsidR="00C27F39" w:rsidRPr="008F328C" w:rsidRDefault="00C27F39" w:rsidP="00C27F39">
      <w:pPr>
        <w:pStyle w:val="a3"/>
        <w:rPr>
          <w:sz w:val="24"/>
          <w:szCs w:val="24"/>
          <w:lang w:val="pl-PL"/>
        </w:rPr>
      </w:pPr>
    </w:p>
    <w:p w14:paraId="5C1EDFAC" w14:textId="77777777" w:rsidR="00C27F39" w:rsidRPr="008F328C" w:rsidRDefault="00C27F39" w:rsidP="00C27F39">
      <w:pPr>
        <w:pStyle w:val="a3"/>
        <w:rPr>
          <w:rFonts w:eastAsia="Times New Roman"/>
          <w:u w:val="single"/>
          <w:lang w:val="pl-PL"/>
        </w:rPr>
      </w:pPr>
      <w:r w:rsidRPr="008F328C">
        <w:rPr>
          <w:rFonts w:eastAsia="Times New Roman"/>
          <w:i/>
          <w:iCs/>
          <w:spacing w:val="-1"/>
          <w:u w:val="single" w:color="000000"/>
          <w:lang w:val="pl-PL"/>
        </w:rPr>
        <w:t>Odpowiedź kliniczna</w:t>
      </w:r>
    </w:p>
    <w:p w14:paraId="2777B874" w14:textId="77777777" w:rsidR="00C27F39" w:rsidRPr="008F328C" w:rsidRDefault="00C27F39" w:rsidP="00C27F39">
      <w:pPr>
        <w:pStyle w:val="a3"/>
        <w:rPr>
          <w:sz w:val="20"/>
          <w:szCs w:val="20"/>
          <w:lang w:val="pl-PL"/>
        </w:rPr>
      </w:pPr>
    </w:p>
    <w:p w14:paraId="36EC145B" w14:textId="2A05E4B3" w:rsidR="00C27F39" w:rsidRPr="008F328C" w:rsidRDefault="00C27F39" w:rsidP="00C27F39">
      <w:pPr>
        <w:pStyle w:val="a3"/>
        <w:rPr>
          <w:lang w:val="pl-PL"/>
        </w:rPr>
      </w:pPr>
      <w:r w:rsidRPr="008F328C">
        <w:rPr>
          <w:rFonts w:eastAsia="Times New Roman"/>
          <w:lang w:val="pl-PL"/>
        </w:rPr>
        <w:t xml:space="preserve">W porównaniu do placebo, adalimumab istotnie wydłużył czas do niepowodzenia leczenia (patrz Rycina </w:t>
      </w:r>
      <w:r w:rsidR="002525CB" w:rsidRPr="008F328C">
        <w:rPr>
          <w:rFonts w:eastAsia="Times New Roman"/>
          <w:lang w:val="pl-PL"/>
        </w:rPr>
        <w:t>2</w:t>
      </w:r>
      <w:r w:rsidRPr="008F328C">
        <w:rPr>
          <w:rFonts w:eastAsia="Times New Roman"/>
          <w:lang w:val="pl-PL"/>
        </w:rPr>
        <w:t xml:space="preserve">, p &lt;0,0001 na podstawie testu log-rank). Mediana czasu do niepowodzenia leczenia wynosiła 24,1 tygodnie u uczestników badania otrzymujących placebo, a u uczestników leczonych adalimumabem mediany czasu do niepowodzenia leczenia nie można było oszacować, ponieważ niepowodzenie leczenia wystąpiło u mniej niż połowy tych uczestników badania. Adalimumab istotnie zmniejszył ryzyko niepowodzenia leczenia o 75% w porównaniu do placebo, jak to wykazał współczynnik ryzyka (ang. </w:t>
      </w:r>
      <w:r w:rsidRPr="008F328C">
        <w:rPr>
          <w:rFonts w:eastAsia="Times New Roman"/>
          <w:lang w:val="pl-PL"/>
        </w:rPr>
        <w:lastRenderedPageBreak/>
        <w:t>hazard ratio, HR = 0,25 [95% CI: 0,12, 0,49]).</w:t>
      </w:r>
    </w:p>
    <w:p w14:paraId="24C44885" w14:textId="76C0A2DB" w:rsidR="00C27F39" w:rsidRPr="008F328C" w:rsidRDefault="00C27F39" w:rsidP="00C27F39">
      <w:pPr>
        <w:rPr>
          <w:rFonts w:ascii="Times New Roman" w:eastAsia="Times New Roman" w:hAnsi="Times New Roman" w:cs="Times New Roman"/>
          <w:b/>
          <w:bCs/>
          <w:lang w:val="pl-PL"/>
        </w:rPr>
      </w:pPr>
    </w:p>
    <w:p w14:paraId="191ED077" w14:textId="784377D7" w:rsidR="00C27F39" w:rsidRPr="008F328C" w:rsidRDefault="00C27F39" w:rsidP="00C27F39">
      <w:pPr>
        <w:pStyle w:val="a3"/>
        <w:jc w:val="center"/>
        <w:rPr>
          <w:b/>
          <w:lang w:val="pl-PL"/>
        </w:rPr>
      </w:pPr>
      <w:r w:rsidRPr="008F328C">
        <w:rPr>
          <w:rFonts w:eastAsia="Times New Roman"/>
          <w:b/>
          <w:bCs/>
          <w:lang w:val="pl-PL"/>
        </w:rPr>
        <w:t>Rycina </w:t>
      </w:r>
      <w:r w:rsidR="002525CB" w:rsidRPr="008F328C">
        <w:rPr>
          <w:rFonts w:eastAsia="Times New Roman"/>
          <w:b/>
          <w:bCs/>
          <w:lang w:val="pl-PL"/>
        </w:rPr>
        <w:t>2</w:t>
      </w:r>
      <w:r w:rsidRPr="008F328C">
        <w:rPr>
          <w:rFonts w:eastAsia="Times New Roman"/>
          <w:b/>
          <w:bCs/>
          <w:lang w:val="pl-PL"/>
        </w:rPr>
        <w:t>: Krzywe Kaplana-Meiera przedstawiające czas do niepowodzenia leczenia w badaniu klinicznym w zapaleniu błony naczyniowej oka u dzieci i młodzieży</w:t>
      </w:r>
    </w:p>
    <w:p w14:paraId="4E3016E8" w14:textId="77777777" w:rsidR="00C27F39" w:rsidRPr="008F328C" w:rsidRDefault="00C27F39" w:rsidP="00C27F39">
      <w:pPr>
        <w:spacing w:before="16" w:line="240" w:lineRule="exact"/>
        <w:rPr>
          <w:rFonts w:ascii="Times New Roman" w:hAnsi="Times New Roman" w:cs="Times New Roman"/>
          <w:sz w:val="24"/>
          <w:szCs w:val="24"/>
          <w:lang w:val="pl-PL"/>
        </w:rPr>
      </w:pPr>
    </w:p>
    <w:p w14:paraId="25EBAC88" w14:textId="77777777" w:rsidR="00C27F39" w:rsidRPr="008F328C" w:rsidRDefault="00C27F39" w:rsidP="00C27F39">
      <w:pPr>
        <w:ind w:left="687" w:right="10920"/>
        <w:rPr>
          <w:rFonts w:ascii="Times New Roman" w:eastAsia="Times New Roman" w:hAnsi="Times New Roman" w:cs="Times New Roman"/>
          <w:sz w:val="20"/>
          <w:szCs w:val="20"/>
          <w:lang w:val="pl-PL"/>
        </w:rPr>
      </w:pPr>
      <w:r w:rsidRPr="008F328C">
        <w:rPr>
          <w:rFonts w:ascii="Times New Roman" w:eastAsiaTheme="minorHAnsi" w:hAnsi="Times New Roman" w:cs="Times New Roman"/>
          <w:noProof/>
          <w:lang w:eastAsia="ko-KR"/>
        </w:rPr>
        <mc:AlternateContent>
          <mc:Choice Requires="wps">
            <w:drawing>
              <wp:anchor distT="0" distB="0" distL="114300" distR="114300" simplePos="0" relativeHeight="251658374" behindDoc="0" locked="0" layoutInCell="1" allowOverlap="1" wp14:anchorId="6D752D3A" wp14:editId="4354ED5A">
                <wp:simplePos x="0" y="0"/>
                <wp:positionH relativeFrom="leftMargin">
                  <wp:posOffset>732155</wp:posOffset>
                </wp:positionH>
                <wp:positionV relativeFrom="paragraph">
                  <wp:posOffset>500380</wp:posOffset>
                </wp:positionV>
                <wp:extent cx="714375" cy="2800985"/>
                <wp:effectExtent l="0" t="0" r="9525" b="18415"/>
                <wp:wrapNone/>
                <wp:docPr id="3965"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80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5FE53" w14:textId="77777777" w:rsidR="006D7011" w:rsidRDefault="006D7011" w:rsidP="00C27F39">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52D3A" id="_x0000_s1034" type="#_x0000_t202" style="position:absolute;left:0;text-align:left;margin-left:57.65pt;margin-top:39.4pt;width:56.25pt;height:220.55pt;z-index:25165837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yo3AEAAJsDAAAOAAAAZHJzL2Uyb0RvYy54bWysU9uO0zAQfUfiHyy/06SFpSVqulp2tQhp&#10;WZAWPmDiOI1F4jFjt0n/nrHTdLm8IV6siS9nzjlzsr0e+04cNXmDtpTLRS6FtgprY/el/Pb1/tVG&#10;Ch/A1tCh1aU8aS+vdy9fbAdX6BW22NWaBINYXwyulG0Irsgyr1rdg1+g05YPG6QeAn/SPqsJBkbv&#10;u2yV52+zAal2hEp7z7t306HcJfym0Sp8bhqvg+hKydxCWimtVVyz3RaKPYFrjTrTgH9g0YOx3PQC&#10;dQcBxIHMX1C9UYQem7BQ2GfYNEbppIHVLPM/1Dy14HTSwuZ4d7HJ/z9Y9Xh8cl9IhPE9jjzAJMK7&#10;B1TfvbB424Ld6xsiHFoNNTdeRsuywfni/DRa7QsfQarhE9Y8ZDgETEBjQ310hXUKRucBnC6m6zEI&#10;xZvr5ZvX6yspFB+tNnn+bnOVWkAxv3bkwweNvYhFKYmHmtDh+OBDZAPFfCU2s3hvui4NtrO/bfDF&#10;uJPYR8IT9TBWozB1KTexbxRTYX1iOYRTXDjeXMR1tWYJA6ellP7HAUhL0X207EqM1lzQXFRzAVa1&#10;yKELUkzlbZgieHBk9i2DT75bvGHnGpNEPRM5M+YEJK3ntMaI/fqdbj3/U7ufAAAA//8DAFBLAwQU&#10;AAYACAAAACEAdCLaQt0AAAAKAQAADwAAAGRycy9kb3ducmV2LnhtbEyPy2rDMBBF94X+g5hCd438&#10;wE7iWg7FELoLNM0HKNbUMtHDtZTY+ftOV+1uLnO4j3q3WMNuOIXBOwHpKgGGrvNqcL2A0+f+ZQMs&#10;ROmUNN6hgDsG2DWPD7WslJ/dB96OsWdk4kIlBegYx4rz0Gm0Mqz8iI5+X36yMpKceq4mOZO5NTxL&#10;kpJbOThK0HLEVmN3OV6tgMOd6zm3xalr2/JQ5t97eXk3Qjw/LW+vwCIu8Q+G3/pUHRrqdPZXpwIz&#10;pNMiJ1TAekMTCMiyNR1nAUW63QJvav5/QvMDAAD//wMAUEsBAi0AFAAGAAgAAAAhALaDOJL+AAAA&#10;4QEAABMAAAAAAAAAAAAAAAAAAAAAAFtDb250ZW50X1R5cGVzXS54bWxQSwECLQAUAAYACAAAACEA&#10;OP0h/9YAAACUAQAACwAAAAAAAAAAAAAAAAAvAQAAX3JlbHMvLnJlbHNQSwECLQAUAAYACAAAACEA&#10;4ywcqNwBAACbAwAADgAAAAAAAAAAAAAAAAAuAgAAZHJzL2Uyb0RvYy54bWxQSwECLQAUAAYACAAA&#10;ACEAdCLaQt0AAAAKAQAADwAAAAAAAAAAAAAAAAA2BAAAZHJzL2Rvd25yZXYueG1sUEsFBgAAAAAE&#10;AAQA8wAAAEAFAAAAAA==&#10;" filled="f" stroked="f">
                <v:textbox style="layout-flow:vertical;mso-layout-flow-alt:bottom-to-top" inset="0,0,0,0">
                  <w:txbxContent>
                    <w:p w14:paraId="6F65FE53" w14:textId="77777777" w:rsidR="006D7011" w:rsidRDefault="006D7011" w:rsidP="00C27F39">
                      <w:pPr>
                        <w:spacing w:line="245" w:lineRule="exact"/>
                        <w:ind w:left="20"/>
                        <w:jc w:val="center"/>
                        <w:rPr>
                          <w:rFonts w:ascii="Times New Roman" w:eastAsia="Times New Roman" w:hAnsi="Times New Roman" w:cs="Times New Roman"/>
                        </w:rPr>
                      </w:pPr>
                      <w:r>
                        <w:rPr>
                          <w:rFonts w:ascii="Times New Roman" w:eastAsia="Times New Roman" w:hAnsi="Times New Roman" w:cs="Times New Roman"/>
                          <w:b/>
                          <w:bCs/>
                          <w:spacing w:val="-1"/>
                          <w:lang w:val="pl-PL"/>
                        </w:rPr>
                        <w:t>PRAWDOPODOBIEŃSTWO NIEPOWODZENIA LECZENIA</w:t>
                      </w:r>
                    </w:p>
                  </w:txbxContent>
                </v:textbox>
                <w10:wrap anchorx="margin"/>
              </v:shape>
            </w:pict>
          </mc:Fallback>
        </mc:AlternateContent>
      </w:r>
      <w:r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5" behindDoc="0" locked="0" layoutInCell="1" allowOverlap="1" wp14:anchorId="2C226319" wp14:editId="3E4081E9">
                <wp:simplePos x="0" y="0"/>
                <wp:positionH relativeFrom="column">
                  <wp:posOffset>189069</wp:posOffset>
                </wp:positionH>
                <wp:positionV relativeFrom="paragraph">
                  <wp:posOffset>17780</wp:posOffset>
                </wp:positionV>
                <wp:extent cx="437487" cy="3519377"/>
                <wp:effectExtent l="0" t="0" r="1270" b="5080"/>
                <wp:wrapNone/>
                <wp:docPr id="3966" name="Text Box 3966"/>
                <wp:cNvGraphicFramePr/>
                <a:graphic xmlns:a="http://schemas.openxmlformats.org/drawingml/2006/main">
                  <a:graphicData uri="http://schemas.microsoft.com/office/word/2010/wordprocessingShape">
                    <wps:wsp>
                      <wps:cNvSpPr txBox="1"/>
                      <wps:spPr>
                        <a:xfrm>
                          <a:off x="0" y="0"/>
                          <a:ext cx="437487"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CC92AC"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4F23BE54"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29498172"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03F7BF98"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527DE124"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42330163"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C226319" id="Text Box 3966" o:spid="_x0000_s1035" type="#_x0000_t202" style="position:absolute;left:0;text-align:left;margin-left:14.9pt;margin-top:1.4pt;width:34.45pt;height:277.1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38aQIAAE4FAAAOAAAAZHJzL2Uyb0RvYy54bWysVN9P2zAQfp+0/8Hy+5qWAoWKFDEQ0yQE&#10;aGXi2XXsJprj885uk+6v39lJWsZ4YdpLcvbdfffD393FZVsbtlXoK7A5n4zGnCkroajsOuffn24/&#10;nXHmg7CFMGBVznfK88vFxw8XjZurIyjBFAoZgVg/b1zOyxDcPMu8LFUt/AicsqTUgLUIdMR1VqBo&#10;CL022dF4fJo1gIVDkMp7ur3plHyR8LVWMjxo7VVgJueUW0hfTN9V/GaLCzFfo3BlJfs0xD9kUYvK&#10;UtA91I0Igm2w+guqriSCBx1GEuoMtK6kSjVQNZPxq2qWpXAq1ULN8W7fJv//YOX9dukekYX2M7T0&#10;gLEhjfNzT5exnlZjHf+UKSM9tXC3b5tqA5N0eTydHZ/NOJOkmp5MzqezWYTJDt4OffiioGZRyDnS&#10;s6Ruie2dD53pYBKDeTBVcVsZkw6RCuraINsKesTVOuVI4H9YGcuanJ9OT8YJ2EJ075CNjTAqkaEP&#10;d6gwSWFnVLQx9pvSrCpSoW/EFlIqG4b4yTpaaQr1Hsfe/pDVe5y7OsgjRQYb9s51ZQFT9Wl6Di0r&#10;fgwp686e3uZF3VEM7aqlwnN+PhBgBcWOeIHQjYx38raix7sTPjwKpBkhKtDchwf6aAPUfOglzkrA&#10;X2/dR3uiLmk5a2jmcu5/bgQqzsxXS6SOAzoIOAirQbCb+hqIARPaKE4mkRwwmEHUCPUzrYOrGIVU&#10;wkqKlfMwiNehm3xaJ1JdXSUjGkMnwp1dOhmhY1cjFZ/aZ4Gu52sgpt/DMI1i/oq2nW3f1K5v/YGG&#10;Ns1Bv2DiVnh5TlaHNbj4DQAA//8DAFBLAwQUAAYACAAAACEA0WACHdwAAAAHAQAADwAAAGRycy9k&#10;b3ducmV2LnhtbEyOwU7DMBBE70j8g7VIXBB1WqkkDXEqqISAA4cGPsCJlzhgr6PYbcPfs5zoaTSa&#10;0cyrtrN34ohTHAIpWC4yEEhdMAP1Cj7en24LEDFpMtoFQgU/GGFbX15UujThRHs8NqkXPEKx1Aps&#10;SmMpZewseh0XYUTi7DNMXie2Uy/NpE887p1cZdmd9HogfrB6xJ3F7rs5eAVFEXc5xja4r+fm5eYV&#10;H5f7N6vU9dX8cA8i4Zz+y/CHz+hQM1MbDmSicApWGyZPrCwcb4ocRKtgvc4zkHUlz/nrXwAAAP//&#10;AwBQSwECLQAUAAYACAAAACEAtoM4kv4AAADhAQAAEwAAAAAAAAAAAAAAAAAAAAAAW0NvbnRlbnRf&#10;VHlwZXNdLnhtbFBLAQItABQABgAIAAAAIQA4/SH/1gAAAJQBAAALAAAAAAAAAAAAAAAAAC8BAABf&#10;cmVscy8ucmVsc1BLAQItABQABgAIAAAAIQDCcx38aQIAAE4FAAAOAAAAAAAAAAAAAAAAAC4CAABk&#10;cnMvZTJvRG9jLnhtbFBLAQItABQABgAIAAAAIQDRYAId3AAAAAcBAAAPAAAAAAAAAAAAAAAAAMME&#10;AABkcnMvZG93bnJldi54bWxQSwUGAAAAAAQABADzAAAAzAUAAAAA&#10;" fillcolor="white [3212]" stroked="f" strokeweight=".5pt">
                <v:textbox inset="0,0,0,0">
                  <w:txbxContent>
                    <w:p w14:paraId="7CCC92AC"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1,0</w:t>
                      </w:r>
                    </w:p>
                    <w:p w14:paraId="4F23BE54"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0,8</w:t>
                      </w:r>
                    </w:p>
                    <w:p w14:paraId="29498172"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0,6</w:t>
                      </w:r>
                    </w:p>
                    <w:p w14:paraId="03F7BF98"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0,4</w:t>
                      </w:r>
                    </w:p>
                    <w:p w14:paraId="527DE124"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0,2</w:t>
                      </w:r>
                    </w:p>
                    <w:p w14:paraId="42330163" w14:textId="77777777" w:rsidR="006D7011" w:rsidRDefault="006D7011" w:rsidP="00C27F39">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pl-PL"/>
                        </w:rPr>
                        <w:t>0,0</w:t>
                      </w:r>
                    </w:p>
                  </w:txbxContent>
                </v:textbox>
              </v:shape>
            </w:pict>
          </mc:Fallback>
        </mc:AlternateContent>
      </w:r>
      <w:r w:rsidRPr="008F328C">
        <w:rPr>
          <w:rFonts w:ascii="Times New Roman" w:hAnsi="Times New Roman" w:cs="Times New Roman"/>
          <w:noProof/>
          <w:lang w:eastAsia="ko-KR"/>
        </w:rPr>
        <w:drawing>
          <wp:inline distT="0" distB="0" distL="0" distR="0" wp14:anchorId="4BC49A97" wp14:editId="506B6F9E">
            <wp:extent cx="5461000" cy="4067175"/>
            <wp:effectExtent l="0" t="0" r="6350" b="9525"/>
            <wp:docPr id="3975"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1000" cy="4067175"/>
                    </a:xfrm>
                    <a:prstGeom prst="rect">
                      <a:avLst/>
                    </a:prstGeom>
                    <a:noFill/>
                    <a:ln>
                      <a:noFill/>
                    </a:ln>
                  </pic:spPr>
                </pic:pic>
              </a:graphicData>
            </a:graphic>
          </wp:inline>
        </w:drawing>
      </w:r>
    </w:p>
    <w:p w14:paraId="5D46A69C" w14:textId="77777777" w:rsidR="00C27F39" w:rsidRPr="008F328C" w:rsidRDefault="00C27F39" w:rsidP="00C27F39">
      <w:pPr>
        <w:spacing w:before="36"/>
        <w:ind w:left="479"/>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CZAS (TYGODNIE)</w:t>
      </w:r>
    </w:p>
    <w:p w14:paraId="7A729A44" w14:textId="77777777" w:rsidR="00C27F39" w:rsidRPr="008F328C" w:rsidRDefault="00C27F39" w:rsidP="00C27F39">
      <w:pPr>
        <w:pStyle w:val="a3"/>
        <w:rPr>
          <w:lang w:val="pl-PL"/>
        </w:rPr>
      </w:pPr>
      <w:r w:rsidRPr="008F328C">
        <w:rPr>
          <w:noProof/>
          <w:lang w:eastAsia="ko-KR"/>
        </w:rPr>
        <w:drawing>
          <wp:anchor distT="0" distB="0" distL="114300" distR="114300" simplePos="0" relativeHeight="251658373" behindDoc="1" locked="0" layoutInCell="1" allowOverlap="1" wp14:anchorId="44A5D54B" wp14:editId="28F4705F">
            <wp:simplePos x="0" y="0"/>
            <wp:positionH relativeFrom="page">
              <wp:posOffset>5091430</wp:posOffset>
            </wp:positionH>
            <wp:positionV relativeFrom="paragraph">
              <wp:posOffset>67310</wp:posOffset>
            </wp:positionV>
            <wp:extent cx="452755" cy="86995"/>
            <wp:effectExtent l="0" t="0" r="0" b="0"/>
            <wp:wrapNone/>
            <wp:docPr id="3976" name="그림 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8F328C">
        <w:rPr>
          <w:rFonts w:eastAsia="Times New Roman"/>
          <w:lang w:val="pl-PL"/>
        </w:rPr>
        <w:t>Leczenie</w:t>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rFonts w:eastAsia="Times New Roman"/>
          <w:lang w:val="pl-PL"/>
        </w:rPr>
        <w:tab/>
      </w:r>
      <w:r w:rsidRPr="008F328C">
        <w:rPr>
          <w:noProof/>
          <w:lang w:eastAsia="ko-KR"/>
        </w:rPr>
        <w:drawing>
          <wp:inline distT="0" distB="0" distL="0" distR="0" wp14:anchorId="4487A2FC" wp14:editId="22847969">
            <wp:extent cx="457200" cy="127000"/>
            <wp:effectExtent l="0" t="0" r="0" b="0"/>
            <wp:docPr id="3977"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8F328C">
        <w:rPr>
          <w:rFonts w:eastAsia="Times New Roman"/>
          <w:lang w:val="pl-PL"/>
        </w:rPr>
        <w:t xml:space="preserve">  Placebo</w:t>
      </w:r>
      <w:r w:rsidRPr="008F328C">
        <w:rPr>
          <w:rFonts w:eastAsia="Times New Roman"/>
          <w:lang w:val="pl-PL"/>
        </w:rPr>
        <w:tab/>
      </w:r>
      <w:r w:rsidRPr="008F328C">
        <w:rPr>
          <w:rFonts w:eastAsia="Times New Roman"/>
          <w:lang w:val="pl-PL"/>
        </w:rPr>
        <w:tab/>
        <w:t xml:space="preserve">      Adalimumab</w:t>
      </w:r>
    </w:p>
    <w:p w14:paraId="19951C9D" w14:textId="77777777" w:rsidR="00C27F39" w:rsidRPr="008F328C" w:rsidRDefault="00C27F39" w:rsidP="00C27F39">
      <w:pPr>
        <w:pStyle w:val="a3"/>
        <w:rPr>
          <w:lang w:val="pl-PL"/>
        </w:rPr>
      </w:pPr>
      <w:r w:rsidRPr="008F328C">
        <w:rPr>
          <w:rFonts w:eastAsia="Times New Roman"/>
          <w:lang w:val="pl-PL"/>
        </w:rPr>
        <w:t>Uwaga: P = Placebo (liczba zagrożonych pacjentów); A = adalimumab (liczba zagrożonych pacjentów).</w:t>
      </w:r>
    </w:p>
    <w:p w14:paraId="08777AE5" w14:textId="77777777" w:rsidR="00C27F39" w:rsidRPr="008F328C" w:rsidRDefault="00C27F39" w:rsidP="00C27F39">
      <w:pPr>
        <w:spacing w:before="16" w:line="240" w:lineRule="exact"/>
        <w:rPr>
          <w:rFonts w:ascii="Times New Roman" w:hAnsi="Times New Roman" w:cs="Times New Roman"/>
          <w:sz w:val="24"/>
          <w:szCs w:val="24"/>
          <w:lang w:val="pl-PL"/>
        </w:rPr>
      </w:pPr>
    </w:p>
    <w:p w14:paraId="6AB25E15" w14:textId="77777777" w:rsidR="00C27F39" w:rsidRPr="008F328C" w:rsidRDefault="00C27F39" w:rsidP="008F328C">
      <w:pPr>
        <w:widowControl/>
        <w:numPr>
          <w:ilvl w:val="1"/>
          <w:numId w:val="13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Właściwości farmakokinetyczne</w:t>
      </w:r>
    </w:p>
    <w:p w14:paraId="57D042FD" w14:textId="77777777" w:rsidR="00C27F39" w:rsidRPr="008F328C" w:rsidRDefault="00C27F39" w:rsidP="00C27F39">
      <w:pPr>
        <w:spacing w:before="9" w:line="240" w:lineRule="exact"/>
        <w:rPr>
          <w:rFonts w:ascii="Times New Roman" w:hAnsi="Times New Roman" w:cs="Times New Roman"/>
          <w:sz w:val="24"/>
          <w:szCs w:val="24"/>
          <w:lang w:val="pl-PL"/>
        </w:rPr>
      </w:pPr>
    </w:p>
    <w:p w14:paraId="6BA6CB4F" w14:textId="77777777" w:rsidR="00C27F39" w:rsidRPr="008F328C" w:rsidRDefault="00C27F39" w:rsidP="00C27F39">
      <w:pPr>
        <w:pStyle w:val="a3"/>
        <w:rPr>
          <w:u w:val="single"/>
          <w:lang w:val="pl-PL"/>
        </w:rPr>
      </w:pPr>
      <w:r w:rsidRPr="008F328C">
        <w:rPr>
          <w:rFonts w:eastAsia="Times New Roman"/>
          <w:u w:val="single" w:color="000000"/>
          <w:lang w:val="pl-PL"/>
        </w:rPr>
        <w:t>Wchłanianie i dystrybucja</w:t>
      </w:r>
    </w:p>
    <w:p w14:paraId="78D28903" w14:textId="77777777" w:rsidR="00C27F39" w:rsidRPr="008F328C" w:rsidRDefault="00C27F39" w:rsidP="00C27F39">
      <w:pPr>
        <w:spacing w:before="1" w:line="180" w:lineRule="exact"/>
        <w:rPr>
          <w:rFonts w:ascii="Times New Roman" w:hAnsi="Times New Roman" w:cs="Times New Roman"/>
          <w:sz w:val="18"/>
          <w:szCs w:val="18"/>
          <w:lang w:val="pl-PL"/>
        </w:rPr>
      </w:pPr>
    </w:p>
    <w:p w14:paraId="4DA65344" w14:textId="77777777" w:rsidR="00C27F39" w:rsidRPr="008F328C" w:rsidRDefault="00C27F39" w:rsidP="00C27F39">
      <w:pPr>
        <w:pStyle w:val="a3"/>
        <w:rPr>
          <w:lang w:val="pl-PL"/>
        </w:rPr>
      </w:pPr>
      <w:r w:rsidRPr="008F328C">
        <w:rPr>
          <w:rFonts w:eastAsia="Times New Roman"/>
          <w:lang w:val="pl-PL"/>
        </w:rPr>
        <w:t>Po podaniu podskórnym dawki 24 mg/m</w:t>
      </w:r>
      <w:r w:rsidRPr="008F328C">
        <w:rPr>
          <w:rFonts w:eastAsia="Times New Roman"/>
          <w:sz w:val="14"/>
          <w:szCs w:val="14"/>
          <w:lang w:val="pl-PL"/>
        </w:rPr>
        <w:t>2</w:t>
      </w:r>
      <w:r w:rsidRPr="008F328C">
        <w:rPr>
          <w:rFonts w:eastAsia="Times New Roman"/>
          <w:lang w:val="pl-PL"/>
        </w:rPr>
        <w:t xml:space="preserve"> pc. (maksymalnie 40 mg) co drugi tydzień pacjentom z wielostawowym młodzieńczym idiopatycznym zapaleniem stawów (WMIZS) w wieku od 4 do 17 lat średnie minimalne stężenie (ang. trough) adalimumabu w surowicy w stanie stacjonarnym (wartości oznaczane od 20. do 48. tygodnia) wynosiło 5,6 ± 5,6 μg/ml (102% CV - współczynnik zmienności), gdy adalimumab stosowano bez metotreksatu i 10,9 ± 5,2 μg/ml (47,7% CV), gdy stosowano jednocześnie metotreksat.</w:t>
      </w:r>
    </w:p>
    <w:p w14:paraId="00D52F4C" w14:textId="77777777" w:rsidR="00C27F39" w:rsidRPr="008F328C" w:rsidRDefault="00C27F39" w:rsidP="00C27F39">
      <w:pPr>
        <w:spacing w:before="13" w:line="240" w:lineRule="exact"/>
        <w:rPr>
          <w:rFonts w:ascii="Times New Roman" w:hAnsi="Times New Roman" w:cs="Times New Roman"/>
          <w:sz w:val="24"/>
          <w:szCs w:val="24"/>
          <w:lang w:val="pl-PL"/>
        </w:rPr>
      </w:pPr>
    </w:p>
    <w:p w14:paraId="0D84370D" w14:textId="77777777" w:rsidR="00C27F39" w:rsidRPr="008F328C" w:rsidRDefault="00C27F39" w:rsidP="00C27F39">
      <w:pPr>
        <w:pStyle w:val="a3"/>
        <w:rPr>
          <w:lang w:val="pl-PL"/>
        </w:rPr>
      </w:pPr>
      <w:r w:rsidRPr="008F328C">
        <w:rPr>
          <w:rFonts w:eastAsia="Times New Roman"/>
          <w:lang w:val="pl-PL"/>
        </w:rPr>
        <w:t>U pacjentów z wielostawowym MIZS w wieku od 2 do &lt; 4 lat lub w wieku 4 lat i starszych o masie ciała &lt; 15 kg, którym podawano adalimumab w dawce 24 mg/m</w:t>
      </w:r>
      <w:r w:rsidRPr="008F328C">
        <w:rPr>
          <w:rFonts w:eastAsia="Times New Roman"/>
          <w:sz w:val="14"/>
          <w:szCs w:val="14"/>
          <w:lang w:val="pl-PL"/>
        </w:rPr>
        <w:t>2</w:t>
      </w:r>
      <w:r w:rsidRPr="008F328C">
        <w:rPr>
          <w:rFonts w:eastAsia="Times New Roman"/>
          <w:lang w:val="pl-PL"/>
        </w:rPr>
        <w:t xml:space="preserve"> pc., średnie minimalne stężenie (ang. trough) adalimumabu w surowicy w stanie stacjonarnym wynosiło 6,0 ± 6,1 μg/ml (101% CV), gdy adalimumab stosowano bez metotreksatu i 7,9 ± 5,6 μg/ml (71,2% CV), gdy stosowano jednocześnie metotreksat.</w:t>
      </w:r>
    </w:p>
    <w:p w14:paraId="2440A94B" w14:textId="77777777" w:rsidR="00C27F39" w:rsidRPr="008F328C" w:rsidRDefault="00C27F39" w:rsidP="00C27F39">
      <w:pPr>
        <w:spacing w:before="6" w:line="240" w:lineRule="exact"/>
        <w:rPr>
          <w:rFonts w:ascii="Times New Roman" w:hAnsi="Times New Roman" w:cs="Times New Roman"/>
          <w:sz w:val="24"/>
          <w:szCs w:val="24"/>
          <w:lang w:val="pl-PL"/>
        </w:rPr>
      </w:pPr>
    </w:p>
    <w:p w14:paraId="5FAB70BB" w14:textId="77777777" w:rsidR="00C27F39" w:rsidRPr="008F328C" w:rsidRDefault="00C27F39" w:rsidP="00C27F39">
      <w:pPr>
        <w:pStyle w:val="a3"/>
        <w:rPr>
          <w:lang w:val="pl-PL"/>
        </w:rPr>
      </w:pPr>
      <w:r w:rsidRPr="008F328C">
        <w:rPr>
          <w:rFonts w:eastAsia="Times New Roman"/>
          <w:lang w:val="pl-PL"/>
        </w:rPr>
        <w:t>U pacjentów w wieku od 6 do 17 lat z zapaleniem stawów z towarzyszącym zapaleniem przyczepów ścięgnistych, po podawaniu dawki 24 mg/m</w:t>
      </w:r>
      <w:r w:rsidRPr="008F328C">
        <w:rPr>
          <w:rFonts w:eastAsia="Times New Roman"/>
          <w:sz w:val="14"/>
          <w:szCs w:val="14"/>
          <w:lang w:val="pl-PL"/>
        </w:rPr>
        <w:t>2</w:t>
      </w:r>
      <w:r w:rsidRPr="008F328C">
        <w:rPr>
          <w:rFonts w:eastAsia="Times New Roman"/>
          <w:lang w:val="pl-PL"/>
        </w:rPr>
        <w:t xml:space="preserve"> pc. (maksymalnie 40 mg) podskórnie co drugi tydzień, średnie minimalne stężenia (ang. trough) adalimumabu w surowicy w stanie stacjonarnym (wartości </w:t>
      </w:r>
      <w:r w:rsidRPr="008F328C">
        <w:rPr>
          <w:rFonts w:eastAsia="Times New Roman"/>
          <w:lang w:val="pl-PL"/>
        </w:rPr>
        <w:lastRenderedPageBreak/>
        <w:t>oznaczane w 24 tygodniu) wyniosły 8,8 ± 6,6 μg/ml, gdy adalimumab stosowano bez metotreksatu i 11,8 ± 4,3 μg/ml, gdy stosowano jednocześnie metotreksat.</w:t>
      </w:r>
    </w:p>
    <w:p w14:paraId="34538D26" w14:textId="50285C97" w:rsidR="00C27F39" w:rsidRPr="008F328C" w:rsidRDefault="00C27F39" w:rsidP="00C27F39">
      <w:pPr>
        <w:spacing w:before="11" w:line="240" w:lineRule="exact"/>
        <w:rPr>
          <w:rFonts w:ascii="Times New Roman" w:hAnsi="Times New Roman" w:cs="Times New Roman"/>
          <w:sz w:val="24"/>
          <w:szCs w:val="24"/>
          <w:lang w:val="pl-PL"/>
        </w:rPr>
      </w:pPr>
    </w:p>
    <w:p w14:paraId="045ABAAF" w14:textId="77777777" w:rsidR="00C27F39" w:rsidRPr="008F328C" w:rsidRDefault="00C27F39" w:rsidP="00C27F39">
      <w:pPr>
        <w:pStyle w:val="a3"/>
        <w:rPr>
          <w:lang w:val="pl-PL"/>
        </w:rPr>
      </w:pPr>
      <w:r w:rsidRPr="008F328C">
        <w:rPr>
          <w:rFonts w:eastAsia="Times New Roman"/>
          <w:lang w:val="pl-PL"/>
        </w:rPr>
        <w:t>Po podaniu dawki 0,8 mg/kg mc. (maksymalnie 40 mg) podskórnie co drugi tydzień pacjentom pediatrycznym z przewlekłą łuszczycą zwyczajną (plackowatą), średnie ± SD minimalne stężenie adalimumabu w stanie stacjonarnym wynosiło w przybliżeniu 7,4 ± 5,8 µg/ml (79% CV).</w:t>
      </w:r>
    </w:p>
    <w:p w14:paraId="54F93719" w14:textId="656995AE" w:rsidR="00C27F39" w:rsidRPr="008F328C" w:rsidRDefault="00C27F39" w:rsidP="00C27F39">
      <w:pPr>
        <w:spacing w:before="11" w:line="240" w:lineRule="exact"/>
        <w:rPr>
          <w:rFonts w:ascii="Times New Roman" w:hAnsi="Times New Roman" w:cs="Times New Roman"/>
          <w:sz w:val="24"/>
          <w:szCs w:val="24"/>
          <w:lang w:val="pl-PL"/>
        </w:rPr>
      </w:pPr>
    </w:p>
    <w:p w14:paraId="77C3A53A" w14:textId="77777777" w:rsidR="00C27F39" w:rsidRPr="008F328C" w:rsidRDefault="00C27F39" w:rsidP="00C27F39">
      <w:pPr>
        <w:pStyle w:val="a3"/>
        <w:rPr>
          <w:lang w:val="pl-PL"/>
        </w:rPr>
      </w:pPr>
      <w:r w:rsidRPr="008F328C">
        <w:rPr>
          <w:rFonts w:eastAsia="Times New Roman"/>
          <w:lang w:val="pl-PL"/>
        </w:rPr>
        <w:t xml:space="preserve">U pacjentów pediatrycznych z ChL-C o nasileniu umiarkowanym do ciężkiego, w próbie otwartej w okresie indukcji dawka adalimumabu wynosiła 160/80 mg lub 80/40 mg, odpowiednio w tygodniach 0 i 2, w zależności od masy ciała (40 kg stanowiło punkt odcięcia). W 4. tygodniu pacjentów przydzielano losowo w stosunku 1:1 do grup otrzymujących leczenie podtrzymujące dawką standardową (40/20 mg co drugi tydzień) lub małą dawką (20/10 mg co drugi tydzień) w zależności od masy ciała. Średnie (±SD) minimalne stężenia (ang. trough) adalimumabu w surowicy osiągnięte w 4. tygodniu wynosiły 15,7 ± 6,6 </w:t>
      </w:r>
      <w:r w:rsidRPr="008F328C">
        <w:rPr>
          <w:rFonts w:eastAsia="Symbol"/>
          <w:lang w:val="pl-PL"/>
        </w:rPr>
        <w:sym w:font="Symbol" w:char="F06D"/>
      </w:r>
      <w:r w:rsidRPr="008F328C">
        <w:rPr>
          <w:rFonts w:eastAsia="Times New Roman"/>
          <w:lang w:val="pl-PL"/>
        </w:rPr>
        <w:t xml:space="preserve">g/ml u pacjentów ≥ 40 kg (160/80 mg) oraz 10,6 ± 6,1 </w:t>
      </w:r>
      <w:r w:rsidRPr="008F328C">
        <w:rPr>
          <w:rFonts w:eastAsia="Symbol"/>
          <w:lang w:val="pl-PL"/>
        </w:rPr>
        <w:sym w:font="Symbol" w:char="F06D"/>
      </w:r>
      <w:r w:rsidRPr="008F328C">
        <w:rPr>
          <w:rFonts w:eastAsia="Times New Roman"/>
          <w:lang w:val="pl-PL"/>
        </w:rPr>
        <w:t>g/ml u pacjentów &lt; 40 kg (80/40 mg).</w:t>
      </w:r>
    </w:p>
    <w:p w14:paraId="27A69889" w14:textId="77777777" w:rsidR="00C27F39" w:rsidRPr="008F328C" w:rsidRDefault="00C27F39" w:rsidP="00C27F39">
      <w:pPr>
        <w:spacing w:before="7" w:line="240" w:lineRule="exact"/>
        <w:rPr>
          <w:rFonts w:ascii="Times New Roman" w:hAnsi="Times New Roman" w:cs="Times New Roman"/>
          <w:sz w:val="24"/>
          <w:szCs w:val="24"/>
          <w:lang w:val="pl-PL"/>
        </w:rPr>
      </w:pPr>
    </w:p>
    <w:p w14:paraId="3D3679FD" w14:textId="77777777" w:rsidR="00C27F39" w:rsidRPr="008F328C" w:rsidRDefault="00C27F39" w:rsidP="00C27F39">
      <w:pPr>
        <w:pStyle w:val="a3"/>
        <w:rPr>
          <w:lang w:val="pl-PL"/>
        </w:rPr>
      </w:pPr>
      <w:r w:rsidRPr="008F328C">
        <w:rPr>
          <w:rFonts w:eastAsia="Times New Roman"/>
          <w:lang w:val="pl-PL"/>
        </w:rPr>
        <w:t xml:space="preserve">U pacjentów, którzy pozostali w grupach terapeutycznych, do jakich ich losowo przydzielono, średnie (±SD) minimalne stężenia (ang. trough) adalimumabu w surowicy osiągnięte w 52. tygodniu wynosiły 9,5 ± 5,6 </w:t>
      </w:r>
      <w:r w:rsidRPr="008F328C">
        <w:rPr>
          <w:rFonts w:eastAsia="Symbol"/>
          <w:lang w:val="pl-PL"/>
        </w:rPr>
        <w:sym w:font="Symbol" w:char="F06D"/>
      </w:r>
      <w:r w:rsidRPr="008F328C">
        <w:rPr>
          <w:rFonts w:eastAsia="Times New Roman"/>
          <w:lang w:val="pl-PL"/>
        </w:rPr>
        <w:t xml:space="preserve">g/ml w grupie otrzymującej dawkę standardową oraz 3,5 ± 2,2 </w:t>
      </w:r>
      <w:r w:rsidRPr="008F328C">
        <w:rPr>
          <w:rFonts w:eastAsia="Symbol"/>
          <w:lang w:val="pl-PL"/>
        </w:rPr>
        <w:sym w:font="Symbol" w:char="F06D"/>
      </w:r>
      <w:r w:rsidRPr="008F328C">
        <w:rPr>
          <w:rFonts w:eastAsia="Times New Roman"/>
          <w:lang w:val="pl-PL"/>
        </w:rPr>
        <w:t>g/ml w grupie otrzymującej małą dawkę.  Średnie minimalne stężenia utrzymywały się u pacjentów, którzy kontynuowali leczenie adalimumabem co drugi tydzień przez 52 tygodnie. U pacjentów, u których zwiększono intensywność dawkowania z podawania co drugi tydzień na podawanie co tydzień, średnie (±SD) stężenia adalimumabu w surowicy w 52. tygodniu wynosiły 15,3 ± 11,4 μg/ml (40/20 mg co tydzień) oraz 6,7 ± 3,5 μg/ml (20/10 mg co tydzień).</w:t>
      </w:r>
    </w:p>
    <w:p w14:paraId="4D9BB506" w14:textId="4928A1E1" w:rsidR="00C27F39" w:rsidRPr="008F328C" w:rsidRDefault="00C27F39" w:rsidP="00C27F39">
      <w:pPr>
        <w:spacing w:before="13" w:line="240" w:lineRule="exact"/>
        <w:rPr>
          <w:rFonts w:ascii="Times New Roman" w:hAnsi="Times New Roman" w:cs="Times New Roman"/>
          <w:sz w:val="24"/>
          <w:szCs w:val="24"/>
          <w:lang w:val="pl-PL"/>
        </w:rPr>
      </w:pPr>
    </w:p>
    <w:p w14:paraId="697C73C1" w14:textId="77777777" w:rsidR="00C27F39" w:rsidRPr="008F328C" w:rsidRDefault="00C27F39" w:rsidP="00C27F39">
      <w:pPr>
        <w:pStyle w:val="a3"/>
        <w:rPr>
          <w:lang w:val="pl-PL"/>
        </w:rPr>
      </w:pPr>
      <w:r w:rsidRPr="008F328C">
        <w:rPr>
          <w:rFonts w:eastAsia="Times New Roman"/>
          <w:lang w:val="pl-PL"/>
        </w:rPr>
        <w:t>Ekspozycję na adalimumab u pacjentów pediatrycznych z zapaleniem błony naczyniowej oka określano stosując populacyjne modelowanie farmakokinetyki i symulację w oparciu o farmakokinetykę w innych wskazaniach u dzieci i młodzieży (łuszczyca u dzieci i młodzieży, młodzieńcze idiopatyczne zapalenie stawów, choroba Leśniowskiego-Crohna u dzieci i młodzieży) oraz zapalenie stawów z towarzyszącym zapaleniem przyczepów ścięgnistych). Nie ma dostępnych danych o ekspozycji klinicznej po stosowaniu dawki nasycającej u dzieci w wieku &lt; 6 lat. Przewidywane wartości ekspozycji wskazują, że w przypadku nieobecności metotreksatu, dawka nasycająca może powodować początkowe zwiększenie ekspozycji układowej.</w:t>
      </w:r>
    </w:p>
    <w:p w14:paraId="6671A560" w14:textId="77777777" w:rsidR="00C27F39" w:rsidRPr="008F328C" w:rsidRDefault="00C27F39" w:rsidP="00C27F39">
      <w:pPr>
        <w:spacing w:before="13" w:line="240" w:lineRule="exact"/>
        <w:rPr>
          <w:rFonts w:ascii="Times New Roman" w:hAnsi="Times New Roman" w:cs="Times New Roman"/>
          <w:sz w:val="24"/>
          <w:szCs w:val="24"/>
          <w:lang w:val="pl-PL"/>
        </w:rPr>
      </w:pPr>
    </w:p>
    <w:p w14:paraId="5CCDBE77" w14:textId="77777777" w:rsidR="00C27F39" w:rsidRPr="008F328C" w:rsidRDefault="00C27F39" w:rsidP="00C27F39">
      <w:pPr>
        <w:pStyle w:val="a3"/>
        <w:rPr>
          <w:u w:val="single"/>
          <w:lang w:val="pl-PL"/>
        </w:rPr>
      </w:pPr>
      <w:r w:rsidRPr="008F328C">
        <w:rPr>
          <w:rFonts w:eastAsia="Times New Roman"/>
          <w:u w:val="single" w:color="000000"/>
          <w:lang w:val="pl-PL"/>
        </w:rPr>
        <w:t>Związek ekspozycji z odpowiedzią na leczenie u dzieci i młodzieży</w:t>
      </w:r>
    </w:p>
    <w:p w14:paraId="5C10D058" w14:textId="77777777" w:rsidR="00C27F39" w:rsidRPr="008F328C" w:rsidRDefault="00C27F39" w:rsidP="00C27F39">
      <w:pPr>
        <w:pStyle w:val="a3"/>
        <w:rPr>
          <w:lang w:val="pl-PL"/>
        </w:rPr>
      </w:pPr>
    </w:p>
    <w:p w14:paraId="0C159624" w14:textId="77777777" w:rsidR="00C27F39" w:rsidRPr="008F328C" w:rsidRDefault="00C27F39" w:rsidP="00C27F39">
      <w:pPr>
        <w:pStyle w:val="a3"/>
        <w:rPr>
          <w:lang w:val="pl-PL"/>
        </w:rPr>
      </w:pPr>
      <w:r w:rsidRPr="008F328C">
        <w:rPr>
          <w:rFonts w:eastAsia="Times New Roman"/>
          <w:lang w:val="pl-PL"/>
        </w:rPr>
        <w:t>Na podstawie danych z badań klinicznych u pacjentów z WMIZS (pJIA i ERA) stwierdzono związek ekspozycja-odpowiedź na leczenie między stężeniami w osoczu, a odpowiedzią PedACR 50. Pozorne stężenie adalimumabu w osoczu dające 50% maksymalnego prawdopodobieństwa odpowiedzi PedACR 50 (EC50) wynosiło 3 μg/ml (95% CI: 1-6 μg/ml).</w:t>
      </w:r>
    </w:p>
    <w:p w14:paraId="332D9236" w14:textId="77777777" w:rsidR="00C27F39" w:rsidRPr="008F328C" w:rsidRDefault="00C27F39" w:rsidP="00C27F39">
      <w:pPr>
        <w:spacing w:before="13" w:line="240" w:lineRule="exact"/>
        <w:rPr>
          <w:rFonts w:ascii="Times New Roman" w:hAnsi="Times New Roman" w:cs="Times New Roman"/>
          <w:sz w:val="24"/>
          <w:szCs w:val="24"/>
          <w:lang w:val="pl-PL"/>
        </w:rPr>
      </w:pPr>
    </w:p>
    <w:p w14:paraId="764EDEC1" w14:textId="77777777" w:rsidR="00C27F39" w:rsidRPr="008F328C" w:rsidRDefault="00C27F39" w:rsidP="00C27F39">
      <w:pPr>
        <w:pStyle w:val="a3"/>
        <w:rPr>
          <w:lang w:val="pl-PL"/>
        </w:rPr>
      </w:pPr>
      <w:r w:rsidRPr="008F328C">
        <w:rPr>
          <w:rFonts w:eastAsia="Times New Roman"/>
          <w:lang w:val="pl-PL"/>
        </w:rPr>
        <w:t>Związek ekspozycja-odpowiedź na leczenie między stężeniem adalimumabu a skutecznością u dzieci i młodzieży z ciężką postacią przewlekłej łuszczycy zwyczajnej (plackowatej) stwierdzono dla odpowiedzi PASI 75 i PGA, odpowiednio „czysta” lub „prawie czysta”. Odpowiedzi PASI 75 i PGA „czysta” lub „prawie czysta” zwiększały się wraz ze zwiększaniem się stężeń adalimumabu, w obydwu przypadkach przy podobnej pozornej wartości EC50 wynoszącej w przybliżeniu 4,5 μg/ml (95% CI odpowiednio 0,4-47,6 i 1,9-10,5).</w:t>
      </w:r>
    </w:p>
    <w:p w14:paraId="4AC49AB5" w14:textId="59701F58" w:rsidR="00C27F39" w:rsidRPr="008F328C" w:rsidRDefault="00C27F39" w:rsidP="00C27F39">
      <w:pPr>
        <w:spacing w:before="13" w:line="240" w:lineRule="exact"/>
        <w:rPr>
          <w:rFonts w:ascii="Times New Roman" w:hAnsi="Times New Roman" w:cs="Times New Roman"/>
          <w:sz w:val="24"/>
          <w:szCs w:val="24"/>
          <w:lang w:val="pl-PL" w:eastAsia="ko-KR"/>
        </w:rPr>
      </w:pPr>
    </w:p>
    <w:p w14:paraId="0570A5A7" w14:textId="6B250CB6" w:rsidR="002525CB" w:rsidRPr="008F328C" w:rsidRDefault="002525CB" w:rsidP="008F328C">
      <w:pPr>
        <w:pStyle w:val="a3"/>
        <w:rPr>
          <w:rFonts w:eastAsia="Times New Roman"/>
          <w:u w:val="single" w:color="000000"/>
          <w:lang w:val="pl-PL"/>
        </w:rPr>
      </w:pPr>
      <w:r w:rsidRPr="008F328C">
        <w:rPr>
          <w:rFonts w:eastAsia="Times New Roman"/>
          <w:u w:val="single" w:color="000000"/>
          <w:lang w:val="pl-PL"/>
        </w:rPr>
        <w:t>Dorośli</w:t>
      </w:r>
    </w:p>
    <w:p w14:paraId="6E19790A" w14:textId="77777777" w:rsidR="002525CB" w:rsidRPr="008F328C" w:rsidRDefault="002525CB" w:rsidP="00C27F39">
      <w:pPr>
        <w:spacing w:before="13" w:line="240" w:lineRule="exact"/>
        <w:rPr>
          <w:rFonts w:ascii="Times New Roman" w:hAnsi="Times New Roman" w:cs="Times New Roman"/>
          <w:sz w:val="24"/>
          <w:szCs w:val="24"/>
          <w:lang w:val="pl-PL"/>
        </w:rPr>
      </w:pPr>
    </w:p>
    <w:p w14:paraId="3261A2DB" w14:textId="77777777" w:rsidR="002525CB" w:rsidRPr="008F328C" w:rsidRDefault="002525CB" w:rsidP="002525CB">
      <w:pPr>
        <w:pStyle w:val="a3"/>
        <w:rPr>
          <w:lang w:val="pl-PL"/>
        </w:rPr>
      </w:pPr>
      <w:r w:rsidRPr="008F328C">
        <w:rPr>
          <w:rFonts w:eastAsia="Times New Roman"/>
          <w:lang w:val="pl-PL"/>
        </w:rPr>
        <w:t xml:space="preserve">Po podaniu podskórnym pojedynczej dawki 40 mg wchłanianie i dystrybucja adalimumabu przebiegały wolno, a maksymalne stężenie w surowicy wystąpiło po około 5 dniach po podaniu. Średnia bezwzględna biodostępność adalimumabu po podaniu podskórnym pojedynczej dawki 40 mg oceniona na podstawie trzech badań wynosiła 64%. Po podaniu dożylnym pojedynczych dawek od 0,25 do 10 mg/kg mc. stężenia </w:t>
      </w:r>
      <w:r w:rsidRPr="008F328C">
        <w:rPr>
          <w:rFonts w:eastAsia="Times New Roman"/>
          <w:lang w:val="pl-PL"/>
        </w:rPr>
        <w:lastRenderedPageBreak/>
        <w:t>były proporcjonalne do dawki. Po podaniu dawki 0,5 mg/kg mc. (~40 mg) klirens wynosił od 11 do 15 ml/h, objętość dystrybucji (V</w:t>
      </w:r>
      <w:r w:rsidRPr="008F328C">
        <w:rPr>
          <w:rFonts w:eastAsia="Times New Roman"/>
          <w:sz w:val="14"/>
          <w:szCs w:val="14"/>
          <w:lang w:val="pl-PL"/>
        </w:rPr>
        <w:t>ss</w:t>
      </w:r>
      <w:r w:rsidRPr="008F328C">
        <w:rPr>
          <w:rFonts w:eastAsia="Times New Roman"/>
          <w:lang w:val="pl-PL"/>
        </w:rPr>
        <w:t>) wynosiła od 5 do 6 litrów, a średni okres półtrwania w końcowej fazie eliminacji, około 2 tygodnie. Stężenie adalimumabu w płynie maziowym pobranym od kilkunastu pacjentów z reumatoidalnym zapaleniem stawów wynosiło 31-96% wartości stężenia w surowicy.</w:t>
      </w:r>
    </w:p>
    <w:p w14:paraId="66B18672" w14:textId="77777777" w:rsidR="002525CB" w:rsidRPr="008F328C" w:rsidRDefault="002525CB" w:rsidP="002525CB">
      <w:pPr>
        <w:spacing w:before="14" w:line="240" w:lineRule="exact"/>
        <w:rPr>
          <w:rFonts w:ascii="Times New Roman" w:hAnsi="Times New Roman" w:cs="Times New Roman"/>
          <w:sz w:val="24"/>
          <w:szCs w:val="24"/>
          <w:lang w:val="pl-PL"/>
        </w:rPr>
      </w:pPr>
    </w:p>
    <w:p w14:paraId="437FA9EB" w14:textId="77777777" w:rsidR="002525CB" w:rsidRPr="008F328C" w:rsidRDefault="002525CB" w:rsidP="002525CB">
      <w:pPr>
        <w:pStyle w:val="a3"/>
        <w:rPr>
          <w:lang w:val="pl-PL"/>
        </w:rPr>
      </w:pPr>
      <w:r w:rsidRPr="008F328C">
        <w:rPr>
          <w:rFonts w:eastAsia="Times New Roman"/>
          <w:lang w:val="pl-PL"/>
        </w:rPr>
        <w:t xml:space="preserve">Po podaniu podskórnym 40 mg adalimumabu co drugi tydzień u dorosłych pacjentów z reumatoidalnym zapaleniem stawów (RZS) średnie minimalne stężenie (ang. trough) w stanie stacjonarnym wynosiło około 5 </w:t>
      </w:r>
      <w:r w:rsidRPr="008F328C">
        <w:rPr>
          <w:rFonts w:eastAsia="Symbol"/>
          <w:lang w:val="pl-PL"/>
        </w:rPr>
        <w:sym w:font="Symbol" w:char="F06D"/>
      </w:r>
      <w:r w:rsidRPr="008F328C">
        <w:rPr>
          <w:rFonts w:eastAsia="Times New Roman"/>
          <w:lang w:val="pl-PL"/>
        </w:rPr>
        <w:t xml:space="preserve">g/ml (gdy nie podawano równocześnie metotreksatu) oraz 8 do 9 </w:t>
      </w:r>
      <w:r w:rsidRPr="008F328C">
        <w:rPr>
          <w:rFonts w:eastAsia="Symbol"/>
          <w:lang w:val="pl-PL"/>
        </w:rPr>
        <w:sym w:font="Symbol" w:char="F06D"/>
      </w:r>
      <w:r w:rsidRPr="008F328C">
        <w:rPr>
          <w:rFonts w:eastAsia="Times New Roman"/>
          <w:lang w:val="pl-PL"/>
        </w:rPr>
        <w:t>g/ml (gdy podawano równocześnie metotreksat). Po podawaniu podskórnym dawki 20, 40 i 80 mg co drugi tydzień i co tydzień minimalne stężenie adalimumabu w surowicy w stanie stacjonarnym wzrastało w przybliżeniu proporcjonalnie do dawki.</w:t>
      </w:r>
    </w:p>
    <w:p w14:paraId="13A6626F" w14:textId="77777777" w:rsidR="002525CB" w:rsidRPr="008F328C" w:rsidRDefault="002525CB" w:rsidP="002525CB">
      <w:pPr>
        <w:spacing w:before="8" w:line="240" w:lineRule="exact"/>
        <w:rPr>
          <w:rFonts w:ascii="Times New Roman" w:hAnsi="Times New Roman" w:cs="Times New Roman"/>
          <w:sz w:val="24"/>
          <w:szCs w:val="24"/>
          <w:lang w:val="pl-PL"/>
        </w:rPr>
      </w:pPr>
    </w:p>
    <w:p w14:paraId="623F440A" w14:textId="77777777" w:rsidR="002525CB" w:rsidRPr="008F328C" w:rsidRDefault="002525CB" w:rsidP="002525CB">
      <w:pPr>
        <w:pStyle w:val="a3"/>
        <w:rPr>
          <w:lang w:val="pl-PL"/>
        </w:rPr>
      </w:pPr>
      <w:r w:rsidRPr="008F328C">
        <w:rPr>
          <w:rFonts w:eastAsia="Times New Roman"/>
          <w:lang w:val="pl-PL"/>
        </w:rPr>
        <w:t xml:space="preserve">U dorosłych pacjentów z łuszczycą, średnie minimalne stężenie (ang. trough) w stanie stacjonarnym wynosiło 5 </w:t>
      </w:r>
      <w:r w:rsidRPr="008F328C">
        <w:rPr>
          <w:rFonts w:eastAsia="Symbol"/>
          <w:lang w:val="pl-PL"/>
        </w:rPr>
        <w:sym w:font="Symbol" w:char="F06D"/>
      </w:r>
      <w:r w:rsidRPr="008F328C">
        <w:rPr>
          <w:rFonts w:eastAsia="Times New Roman"/>
          <w:lang w:val="pl-PL"/>
        </w:rPr>
        <w:t>g/ml, gdy adalimumab stosowano w dawce 40 mg co drugi tydzień w monoterapii.</w:t>
      </w:r>
    </w:p>
    <w:p w14:paraId="1C68712B" w14:textId="3D204179" w:rsidR="002525CB" w:rsidRPr="008F328C" w:rsidRDefault="002525CB" w:rsidP="00C27F39">
      <w:pPr>
        <w:spacing w:before="13" w:line="240" w:lineRule="exact"/>
        <w:rPr>
          <w:rFonts w:ascii="Times New Roman" w:hAnsi="Times New Roman" w:cs="Times New Roman"/>
          <w:sz w:val="24"/>
          <w:szCs w:val="24"/>
          <w:lang w:val="pl-PL"/>
        </w:rPr>
      </w:pPr>
    </w:p>
    <w:p w14:paraId="1E509CB8" w14:textId="77777777" w:rsidR="002525CB" w:rsidRPr="008F328C" w:rsidRDefault="002525CB" w:rsidP="002525CB">
      <w:pPr>
        <w:pStyle w:val="a3"/>
        <w:rPr>
          <w:lang w:val="pl-PL"/>
        </w:rPr>
      </w:pPr>
      <w:r w:rsidRPr="008F328C">
        <w:rPr>
          <w:rFonts w:eastAsia="Times New Roman"/>
          <w:lang w:val="pl-PL"/>
        </w:rPr>
        <w:t xml:space="preserve">U pacjentów z chorobą Leśniowskiego-Crohna, po podaniu dawki nasycającej 80 mg adalimumabu w tygodniu 0, a następnie 40 mg adalimumabu w 2. tygodniu, w okresie indukcji osiągnięto stężenia minimalne (ang. trough) adalimumabu w surowicy wynoszące około 5,5 </w:t>
      </w:r>
      <w:r w:rsidRPr="008F328C">
        <w:rPr>
          <w:rFonts w:eastAsia="Symbol"/>
          <w:lang w:val="pl-PL"/>
        </w:rPr>
        <w:sym w:font="Symbol" w:char="F06D"/>
      </w:r>
      <w:r w:rsidRPr="008F328C">
        <w:rPr>
          <w:rFonts w:eastAsia="Times New Roman"/>
          <w:lang w:val="pl-PL"/>
        </w:rPr>
        <w:t xml:space="preserve">g/ml. Po podaniu dawki nasycającej 160 mg adalimumabu w tygodniu 0, a następnie 80 mg adalimumabu w 2. tygodniu, w okresie indukcji osiągnięto stężenie minimalne adalimumabu w surowicy wynoszące około 12 </w:t>
      </w:r>
      <w:r w:rsidRPr="008F328C">
        <w:rPr>
          <w:rFonts w:eastAsia="Symbol"/>
          <w:lang w:val="pl-PL"/>
        </w:rPr>
        <w:sym w:font="Symbol" w:char="F06D"/>
      </w:r>
      <w:r w:rsidRPr="008F328C">
        <w:rPr>
          <w:rFonts w:eastAsia="Times New Roman"/>
          <w:lang w:val="pl-PL"/>
        </w:rPr>
        <w:t xml:space="preserve">g/ml. U pacjentów z chorobą Leśniowskiego-Crohna, którzy otrzymywali dawkę podtrzymującą 40 mg adalimumabu co drugi tydzień w stanie stacjonarnym obserwowano średnie stężenia minimalne wynoszące około 7 </w:t>
      </w:r>
      <w:r w:rsidRPr="008F328C">
        <w:rPr>
          <w:rFonts w:eastAsia="Symbol"/>
          <w:lang w:val="pl-PL"/>
        </w:rPr>
        <w:sym w:font="Symbol" w:char="F06D"/>
      </w:r>
      <w:r w:rsidRPr="008F328C">
        <w:rPr>
          <w:rFonts w:eastAsia="Times New Roman"/>
          <w:lang w:val="pl-PL"/>
        </w:rPr>
        <w:t>g/ml.</w:t>
      </w:r>
    </w:p>
    <w:p w14:paraId="197C840B" w14:textId="558CD8BD" w:rsidR="002525CB" w:rsidRPr="008F328C" w:rsidRDefault="002525CB" w:rsidP="00C27F39">
      <w:pPr>
        <w:spacing w:before="13" w:line="240" w:lineRule="exact"/>
        <w:rPr>
          <w:rFonts w:ascii="Times New Roman" w:hAnsi="Times New Roman" w:cs="Times New Roman"/>
          <w:sz w:val="24"/>
          <w:szCs w:val="24"/>
          <w:lang w:val="pl-PL"/>
        </w:rPr>
      </w:pPr>
    </w:p>
    <w:p w14:paraId="0D408AD4" w14:textId="77777777" w:rsidR="002525CB" w:rsidRPr="008F328C" w:rsidRDefault="002525CB" w:rsidP="002525CB">
      <w:pPr>
        <w:pStyle w:val="a3"/>
        <w:rPr>
          <w:lang w:val="pl-PL"/>
        </w:rPr>
      </w:pPr>
      <w:r w:rsidRPr="008F328C">
        <w:rPr>
          <w:rFonts w:eastAsia="Times New Roman"/>
          <w:spacing w:val="-2"/>
          <w:lang w:val="pl-PL"/>
        </w:rPr>
        <w:t>U dorosłych pacjentów z zapaleniem błony naczyniowej oka po podaniu dawki nasycającej 80 mg adalimumabu w tygodniu 0, a następnie 40 mg co drugi tydzień począwszy od 1 tygodnia, średnie stężenia w stanie stacjonarnym wynosiły w przybliżeniu 8 do 10 </w:t>
      </w:r>
      <w:r w:rsidRPr="008F328C">
        <w:rPr>
          <w:rFonts w:eastAsia="Symbol"/>
          <w:spacing w:val="-2"/>
          <w:lang w:val="pl-PL"/>
        </w:rPr>
        <w:sym w:font="Symbol" w:char="F06D"/>
      </w:r>
      <w:r w:rsidRPr="008F328C">
        <w:rPr>
          <w:rFonts w:eastAsia="Times New Roman"/>
          <w:spacing w:val="-2"/>
          <w:lang w:val="pl-PL"/>
        </w:rPr>
        <w:t>g/ml.</w:t>
      </w:r>
    </w:p>
    <w:p w14:paraId="1763B330" w14:textId="35945970" w:rsidR="002525CB" w:rsidRPr="008F328C" w:rsidRDefault="002525CB" w:rsidP="00C27F39">
      <w:pPr>
        <w:spacing w:before="13" w:line="240" w:lineRule="exact"/>
        <w:rPr>
          <w:rFonts w:ascii="Times New Roman" w:hAnsi="Times New Roman" w:cs="Times New Roman"/>
          <w:sz w:val="24"/>
          <w:szCs w:val="24"/>
          <w:lang w:val="pl-PL"/>
        </w:rPr>
      </w:pPr>
    </w:p>
    <w:p w14:paraId="1737E5C5" w14:textId="612BD62D" w:rsidR="002525CB" w:rsidRPr="008F328C" w:rsidRDefault="002525CB" w:rsidP="008F328C">
      <w:pPr>
        <w:pStyle w:val="a3"/>
        <w:rPr>
          <w:lang w:val="pl-PL"/>
        </w:rPr>
      </w:pPr>
      <w:r w:rsidRPr="008F328C">
        <w:rPr>
          <w:rFonts w:eastAsia="Times New Roman"/>
          <w:lang w:val="pl-PL"/>
        </w:rPr>
        <w:t>Stosując populacyjne modelowanie farmakokinetyki i farmakokinetyki/farmakodynamiki i symulację przewidywano porównywalną ekspozycję na adalimumab i skuteczność u pacjentów leczonych dawką 80 mg co drugi tydzień w porównaniu z dawką 40 mg co tydzień (w tym dorosłych pacjentów z RZS, HS, WZJG, ChL-C lub łuszczycą, pacjentów z młodzieńczym HS oraz dzieci i młodzież ≥ 40 kg z ChL-C</w:t>
      </w:r>
      <w:r w:rsidRPr="008F328C">
        <w:rPr>
          <w:iCs/>
          <w:lang w:val="pl-PL"/>
        </w:rPr>
        <w:t xml:space="preserve"> i WZJG</w:t>
      </w:r>
      <w:r w:rsidRPr="008F328C">
        <w:rPr>
          <w:rFonts w:eastAsia="Times New Roman"/>
          <w:lang w:val="pl-PL"/>
        </w:rPr>
        <w:t>).</w:t>
      </w:r>
    </w:p>
    <w:p w14:paraId="6B4C489F" w14:textId="77777777" w:rsidR="002525CB" w:rsidRPr="008F328C" w:rsidRDefault="002525CB" w:rsidP="00C27F39">
      <w:pPr>
        <w:spacing w:before="13" w:line="240" w:lineRule="exact"/>
        <w:rPr>
          <w:rFonts w:ascii="Times New Roman" w:hAnsi="Times New Roman" w:cs="Times New Roman"/>
          <w:sz w:val="24"/>
          <w:szCs w:val="24"/>
          <w:lang w:val="pl-PL"/>
        </w:rPr>
      </w:pPr>
    </w:p>
    <w:p w14:paraId="736FF0AF" w14:textId="77777777" w:rsidR="00C27F39" w:rsidRPr="008F328C" w:rsidRDefault="00C27F39" w:rsidP="00C27F39">
      <w:pPr>
        <w:pStyle w:val="a3"/>
        <w:rPr>
          <w:u w:val="single"/>
          <w:lang w:val="pl-PL"/>
        </w:rPr>
      </w:pPr>
      <w:r w:rsidRPr="008F328C">
        <w:rPr>
          <w:rFonts w:eastAsia="Times New Roman"/>
          <w:u w:val="single" w:color="000000"/>
          <w:lang w:val="pl-PL"/>
        </w:rPr>
        <w:t>Eliminacja</w:t>
      </w:r>
    </w:p>
    <w:p w14:paraId="28716F19" w14:textId="77777777" w:rsidR="00C27F39" w:rsidRPr="008F328C" w:rsidRDefault="00C27F39" w:rsidP="00C27F39">
      <w:pPr>
        <w:spacing w:before="1" w:line="180" w:lineRule="exact"/>
        <w:rPr>
          <w:rFonts w:ascii="Times New Roman" w:hAnsi="Times New Roman" w:cs="Times New Roman"/>
          <w:sz w:val="18"/>
          <w:szCs w:val="18"/>
          <w:lang w:val="pl-PL"/>
        </w:rPr>
      </w:pPr>
    </w:p>
    <w:p w14:paraId="22BFDFEF" w14:textId="77777777" w:rsidR="00C27F39" w:rsidRPr="008F328C" w:rsidRDefault="00C27F39" w:rsidP="00C27F39">
      <w:pPr>
        <w:pStyle w:val="a3"/>
        <w:rPr>
          <w:lang w:val="pl-PL"/>
        </w:rPr>
      </w:pPr>
      <w:r w:rsidRPr="008F328C">
        <w:rPr>
          <w:rFonts w:eastAsia="Times New Roman"/>
          <w:lang w:val="pl-PL"/>
        </w:rPr>
        <w:t>Populacyjne analizy farmakokinetyki uwzgledniające dane od ponad 1300 pacjentów z RZS ujawniły tendencję do zwiększania się pozornego klirensu adalimumabu wraz ze zwiększeniem masy ciała. Po uwzględnieniu różnic w masie ciała, wydaje się, że płeć i wiek mają minimalny wpływ na klirens adalimumabu. Zaobserwowano, że stężenie wolnego adalimumabu w surowicy [niezwiązanego z przeciwciałami przeciw adalimumabowi (ang. anti-adalimumab antibodies, AAA)] było niższe u pacjentów z mierzalnym stężeniem AAA.</w:t>
      </w:r>
    </w:p>
    <w:p w14:paraId="35FEA319" w14:textId="77777777" w:rsidR="00C27F39" w:rsidRPr="008F328C" w:rsidRDefault="00C27F39" w:rsidP="00C27F39">
      <w:pPr>
        <w:spacing w:before="13" w:line="240" w:lineRule="exact"/>
        <w:rPr>
          <w:rFonts w:ascii="Times New Roman" w:hAnsi="Times New Roman" w:cs="Times New Roman"/>
          <w:sz w:val="24"/>
          <w:szCs w:val="24"/>
          <w:lang w:val="pl-PL"/>
        </w:rPr>
      </w:pPr>
    </w:p>
    <w:p w14:paraId="04C3D6AB" w14:textId="77777777" w:rsidR="00C27F39" w:rsidRPr="008F328C" w:rsidRDefault="00C27F39" w:rsidP="00C27F39">
      <w:pPr>
        <w:pStyle w:val="a3"/>
        <w:rPr>
          <w:u w:val="single"/>
          <w:lang w:val="pl-PL"/>
        </w:rPr>
      </w:pPr>
      <w:r w:rsidRPr="008F328C">
        <w:rPr>
          <w:rFonts w:eastAsia="Times New Roman"/>
          <w:u w:val="single" w:color="000000"/>
          <w:lang w:val="pl-PL"/>
        </w:rPr>
        <w:t>Zaburzenia czynności wątroby lub nerek</w:t>
      </w:r>
    </w:p>
    <w:p w14:paraId="680F16C4" w14:textId="77777777" w:rsidR="00C27F39" w:rsidRPr="008F328C" w:rsidRDefault="00C27F39" w:rsidP="00C27F39">
      <w:pPr>
        <w:spacing w:before="1" w:line="180" w:lineRule="exact"/>
        <w:rPr>
          <w:rFonts w:ascii="Times New Roman" w:hAnsi="Times New Roman" w:cs="Times New Roman"/>
          <w:sz w:val="18"/>
          <w:szCs w:val="18"/>
          <w:lang w:val="pl-PL"/>
        </w:rPr>
      </w:pPr>
    </w:p>
    <w:p w14:paraId="25E94355" w14:textId="77777777" w:rsidR="00C27F39" w:rsidRPr="008F328C" w:rsidRDefault="00C27F39" w:rsidP="00C27F39">
      <w:pPr>
        <w:pStyle w:val="a3"/>
        <w:rPr>
          <w:lang w:val="pl-PL"/>
        </w:rPr>
      </w:pPr>
      <w:r w:rsidRPr="008F328C">
        <w:rPr>
          <w:rFonts w:eastAsia="Times New Roman"/>
          <w:lang w:val="pl-PL"/>
        </w:rPr>
        <w:t>Nie badano stosowania adalimumabu u pacjentów z zaburzeniami czynności wątroby lub nerek.</w:t>
      </w:r>
    </w:p>
    <w:p w14:paraId="00C8DD76" w14:textId="77777777" w:rsidR="00C27F39" w:rsidRPr="008F328C" w:rsidRDefault="00C27F39" w:rsidP="00C27F39">
      <w:pPr>
        <w:spacing w:before="18" w:line="240" w:lineRule="exact"/>
        <w:rPr>
          <w:rFonts w:ascii="Times New Roman" w:hAnsi="Times New Roman" w:cs="Times New Roman"/>
          <w:sz w:val="24"/>
          <w:szCs w:val="24"/>
          <w:lang w:val="pl-PL"/>
        </w:rPr>
      </w:pPr>
    </w:p>
    <w:p w14:paraId="34E4B995" w14:textId="77777777" w:rsidR="00C27F39" w:rsidRPr="008F328C" w:rsidRDefault="00C27F39" w:rsidP="008F328C">
      <w:pPr>
        <w:widowControl/>
        <w:numPr>
          <w:ilvl w:val="1"/>
          <w:numId w:val="138"/>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Przedkliniczne dane o bezpieczeństwie</w:t>
      </w:r>
    </w:p>
    <w:p w14:paraId="45B04812" w14:textId="77777777" w:rsidR="00C27F39" w:rsidRPr="008F328C" w:rsidRDefault="00C27F39" w:rsidP="00C27F39">
      <w:pPr>
        <w:spacing w:before="6" w:line="240" w:lineRule="exact"/>
        <w:rPr>
          <w:rFonts w:ascii="Times New Roman" w:hAnsi="Times New Roman" w:cs="Times New Roman"/>
          <w:sz w:val="24"/>
          <w:szCs w:val="24"/>
          <w:lang w:val="pl-PL"/>
        </w:rPr>
      </w:pPr>
    </w:p>
    <w:p w14:paraId="16C9AFB3" w14:textId="77777777" w:rsidR="00C27F39" w:rsidRPr="008F328C" w:rsidRDefault="00C27F39" w:rsidP="00C27F39">
      <w:pPr>
        <w:pStyle w:val="a3"/>
        <w:rPr>
          <w:lang w:val="pl-PL"/>
        </w:rPr>
      </w:pPr>
      <w:r w:rsidRPr="008F328C">
        <w:rPr>
          <w:rFonts w:eastAsia="Times New Roman"/>
          <w:lang w:val="pl-PL"/>
        </w:rPr>
        <w:t>Dane niekliniczne, wynikające z badań dotyczących badań toksyczności po podaniu pojedynczym i wielokrotnym i genotoksyczności, nie ujawniają szczególnego zagrożenia dla człowieka</w:t>
      </w:r>
    </w:p>
    <w:p w14:paraId="52661708" w14:textId="77777777" w:rsidR="00C27F39" w:rsidRPr="008F328C" w:rsidRDefault="00C27F39" w:rsidP="00C27F39">
      <w:pPr>
        <w:spacing w:before="12" w:line="240" w:lineRule="exact"/>
        <w:rPr>
          <w:rFonts w:ascii="Times New Roman" w:hAnsi="Times New Roman" w:cs="Times New Roman"/>
          <w:sz w:val="24"/>
          <w:szCs w:val="24"/>
          <w:lang w:val="pl-PL"/>
        </w:rPr>
      </w:pPr>
    </w:p>
    <w:p w14:paraId="318E5FCE" w14:textId="77777777" w:rsidR="00C27F39" w:rsidRPr="008F328C" w:rsidRDefault="00C27F39" w:rsidP="00C27F39">
      <w:pPr>
        <w:pStyle w:val="a3"/>
        <w:rPr>
          <w:rFonts w:eastAsia="Times New Roman"/>
          <w:lang w:val="pl-PL"/>
        </w:rPr>
      </w:pPr>
      <w:r w:rsidRPr="008F328C">
        <w:rPr>
          <w:rFonts w:eastAsia="Times New Roman"/>
          <w:lang w:val="pl-PL"/>
        </w:rPr>
        <w:t xml:space="preserve">Toksyczność adalimumabu na rozwój zarodka i płodu oraz w okresie okołourodzeniowym badano na </w:t>
      </w:r>
      <w:r w:rsidRPr="008F328C">
        <w:rPr>
          <w:rFonts w:eastAsia="Times New Roman"/>
          <w:lang w:val="pl-PL"/>
        </w:rPr>
        <w:lastRenderedPageBreak/>
        <w:t>małpach makakach, którym podawano dawki 0, 30 i 100 mg/kg mc. (9-17 małp w grupie). Nie stwierdzono szkodliwego działania adalimumabu na płody. Dla adalimumabu nie wykonano ani badań potencjalnego działania rakotwórczego ani standardowej oceny toksycznego działania na płodność i w okresie pourodzeniowym ze względu na brak odpowiednich modeli dla przeciwciała o ograniczonej reaktywności krzyżowej przeciw TNF u gryzoni oraz powstawanie neutralizujących przeciwciał u gryzoni.</w:t>
      </w:r>
    </w:p>
    <w:p w14:paraId="3DFE29C4" w14:textId="77777777" w:rsidR="00C27F39" w:rsidRPr="008F328C" w:rsidRDefault="00C27F39" w:rsidP="00C27F39">
      <w:pPr>
        <w:pStyle w:val="a3"/>
        <w:rPr>
          <w:lang w:val="pl-PL"/>
        </w:rPr>
      </w:pPr>
    </w:p>
    <w:p w14:paraId="5A952C6D" w14:textId="77777777" w:rsidR="00C27F39" w:rsidRPr="008F328C" w:rsidRDefault="00C27F39" w:rsidP="00C27F39">
      <w:pPr>
        <w:rPr>
          <w:rFonts w:ascii="Times New Roman" w:eastAsia="Times New Roman" w:hAnsi="Times New Roman" w:cs="Times New Roman"/>
          <w:lang w:val="pl-PL"/>
        </w:rPr>
      </w:pPr>
    </w:p>
    <w:p w14:paraId="27D644D7" w14:textId="77777777" w:rsidR="00C27F39" w:rsidRPr="008F328C" w:rsidRDefault="00C27F39" w:rsidP="008F328C">
      <w:pPr>
        <w:widowControl/>
        <w:numPr>
          <w:ilvl w:val="0"/>
          <w:numId w:val="13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DANE FARMACEUTYCZNE</w:t>
      </w:r>
    </w:p>
    <w:p w14:paraId="621BAD84" w14:textId="77777777" w:rsidR="00C27F39" w:rsidRPr="008F328C" w:rsidRDefault="00C27F39" w:rsidP="00C27F39">
      <w:pPr>
        <w:spacing w:before="13" w:line="240" w:lineRule="exact"/>
        <w:rPr>
          <w:rFonts w:ascii="Times New Roman" w:hAnsi="Times New Roman" w:cs="Times New Roman"/>
          <w:sz w:val="24"/>
          <w:szCs w:val="24"/>
          <w:lang w:val="pl-PL"/>
        </w:rPr>
      </w:pPr>
    </w:p>
    <w:p w14:paraId="5ADC90BF"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Wykaz substancji pomocniczych</w:t>
      </w:r>
    </w:p>
    <w:p w14:paraId="5AA9C986" w14:textId="77777777" w:rsidR="00C27F39" w:rsidRPr="008F328C" w:rsidRDefault="00C27F39" w:rsidP="00C27F39">
      <w:pPr>
        <w:spacing w:line="240" w:lineRule="exact"/>
        <w:rPr>
          <w:rFonts w:ascii="Times New Roman" w:hAnsi="Times New Roman" w:cs="Times New Roman"/>
          <w:sz w:val="24"/>
          <w:szCs w:val="24"/>
          <w:lang w:val="pl-PL"/>
        </w:rPr>
      </w:pPr>
    </w:p>
    <w:p w14:paraId="3EA5073A" w14:textId="77777777" w:rsidR="00C27F39" w:rsidRPr="008F328C" w:rsidRDefault="00C27F39" w:rsidP="00C27F39">
      <w:pPr>
        <w:pStyle w:val="a3"/>
        <w:rPr>
          <w:lang w:val="pl-PL"/>
        </w:rPr>
      </w:pPr>
      <w:r w:rsidRPr="008F328C">
        <w:rPr>
          <w:rFonts w:eastAsia="Times New Roman"/>
          <w:lang w:val="pl-PL"/>
        </w:rPr>
        <w:t>Kwas octowy</w:t>
      </w:r>
    </w:p>
    <w:p w14:paraId="5C1304F9" w14:textId="77777777" w:rsidR="00C27F39" w:rsidRPr="008F328C" w:rsidRDefault="00C27F39" w:rsidP="00C27F39">
      <w:pPr>
        <w:pStyle w:val="a3"/>
        <w:rPr>
          <w:lang w:val="pl-PL"/>
        </w:rPr>
      </w:pPr>
      <w:r w:rsidRPr="008F328C">
        <w:rPr>
          <w:rFonts w:eastAsia="Times New Roman"/>
          <w:lang w:val="pl-PL"/>
        </w:rPr>
        <w:t xml:space="preserve">Sodu octan trójwodny </w:t>
      </w:r>
    </w:p>
    <w:p w14:paraId="60B2BA8B" w14:textId="77777777" w:rsidR="00C27F39" w:rsidRPr="008F328C" w:rsidRDefault="00C27F39" w:rsidP="00C27F39">
      <w:pPr>
        <w:pStyle w:val="a3"/>
        <w:rPr>
          <w:lang w:val="pl-PL"/>
        </w:rPr>
      </w:pPr>
      <w:r w:rsidRPr="008F328C">
        <w:rPr>
          <w:rFonts w:eastAsia="Times New Roman"/>
          <w:lang w:val="pl-PL"/>
        </w:rPr>
        <w:t>Glicyna</w:t>
      </w:r>
    </w:p>
    <w:p w14:paraId="43AB4A87" w14:textId="77777777" w:rsidR="00C27F39" w:rsidRPr="008F328C" w:rsidRDefault="00C27F39" w:rsidP="00C27F39">
      <w:pPr>
        <w:pStyle w:val="a3"/>
        <w:rPr>
          <w:lang w:val="pl-PL"/>
        </w:rPr>
      </w:pPr>
      <w:r w:rsidRPr="008F328C">
        <w:rPr>
          <w:rFonts w:eastAsia="Times New Roman"/>
          <w:lang w:val="pl-PL"/>
        </w:rPr>
        <w:t>Polisorbat 80</w:t>
      </w:r>
    </w:p>
    <w:p w14:paraId="1D56E354" w14:textId="77777777" w:rsidR="00C27F39" w:rsidRPr="008F328C" w:rsidRDefault="00C27F39" w:rsidP="00C27F39">
      <w:pPr>
        <w:pStyle w:val="a3"/>
        <w:rPr>
          <w:lang w:val="pl-PL"/>
        </w:rPr>
      </w:pPr>
      <w:r w:rsidRPr="008F328C">
        <w:rPr>
          <w:rFonts w:eastAsia="Times New Roman"/>
          <w:lang w:val="pl-PL"/>
        </w:rPr>
        <w:t>Woda do wstrzykiwań</w:t>
      </w:r>
    </w:p>
    <w:p w14:paraId="295BCF87" w14:textId="77777777" w:rsidR="00C27F39" w:rsidRPr="008F328C" w:rsidRDefault="00C27F39" w:rsidP="00C27F39">
      <w:pPr>
        <w:spacing w:line="240" w:lineRule="exact"/>
        <w:rPr>
          <w:rFonts w:ascii="Times New Roman" w:hAnsi="Times New Roman" w:cs="Times New Roman"/>
          <w:sz w:val="24"/>
          <w:szCs w:val="24"/>
          <w:lang w:val="pl-PL"/>
        </w:rPr>
      </w:pPr>
    </w:p>
    <w:p w14:paraId="423548DB"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Niezgodności farmaceutyczne</w:t>
      </w:r>
    </w:p>
    <w:p w14:paraId="1138D918" w14:textId="77777777" w:rsidR="00C27F39" w:rsidRPr="008F328C" w:rsidRDefault="00C27F39" w:rsidP="00C27F39">
      <w:pPr>
        <w:spacing w:line="240" w:lineRule="exact"/>
        <w:rPr>
          <w:rFonts w:ascii="Times New Roman" w:hAnsi="Times New Roman" w:cs="Times New Roman"/>
          <w:sz w:val="24"/>
          <w:szCs w:val="24"/>
          <w:lang w:val="pl-PL"/>
        </w:rPr>
      </w:pPr>
    </w:p>
    <w:p w14:paraId="4CED37E6" w14:textId="77777777" w:rsidR="00C27F39" w:rsidRPr="008F328C" w:rsidRDefault="00C27F39" w:rsidP="00C27F39">
      <w:pPr>
        <w:pStyle w:val="a3"/>
        <w:rPr>
          <w:lang w:val="pl-PL"/>
        </w:rPr>
      </w:pPr>
      <w:r w:rsidRPr="008F328C">
        <w:rPr>
          <w:rFonts w:eastAsia="Times New Roman"/>
          <w:lang w:val="pl-PL"/>
        </w:rPr>
        <w:t>Nie mieszać tego produktu leczniczego z innymi produktami leczniczymi, ponieważ nie wykonywano badań dotyczących zgodności.</w:t>
      </w:r>
    </w:p>
    <w:p w14:paraId="438645A6" w14:textId="77777777" w:rsidR="00C27F39" w:rsidRPr="008F328C" w:rsidRDefault="00C27F39" w:rsidP="00C27F39">
      <w:pPr>
        <w:spacing w:line="240" w:lineRule="exact"/>
        <w:rPr>
          <w:rFonts w:ascii="Times New Roman" w:hAnsi="Times New Roman" w:cs="Times New Roman"/>
          <w:sz w:val="24"/>
          <w:szCs w:val="24"/>
          <w:lang w:val="pl-PL"/>
        </w:rPr>
      </w:pPr>
    </w:p>
    <w:p w14:paraId="112ADC01"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Okres ważności</w:t>
      </w:r>
    </w:p>
    <w:p w14:paraId="3446DF04" w14:textId="77777777" w:rsidR="00C27F39" w:rsidRPr="008F328C" w:rsidRDefault="00C27F39" w:rsidP="00C27F39">
      <w:pPr>
        <w:spacing w:line="240" w:lineRule="exact"/>
        <w:rPr>
          <w:rFonts w:ascii="Times New Roman" w:hAnsi="Times New Roman" w:cs="Times New Roman"/>
          <w:sz w:val="24"/>
          <w:szCs w:val="24"/>
          <w:lang w:val="pl-PL"/>
        </w:rPr>
      </w:pPr>
    </w:p>
    <w:p w14:paraId="1DE66F54" w14:textId="4242373D" w:rsidR="00C27F39" w:rsidRPr="008F328C" w:rsidRDefault="002D1085" w:rsidP="00C27F39">
      <w:pPr>
        <w:pStyle w:val="a3"/>
        <w:rPr>
          <w:rFonts w:eastAsia="Times New Roman"/>
          <w:lang w:val="pl-PL"/>
        </w:rPr>
      </w:pPr>
      <w:r w:rsidRPr="002D1085">
        <w:rPr>
          <w:rFonts w:eastAsia="Times New Roman"/>
          <w:lang w:val="pl-PL"/>
        </w:rPr>
        <w:t>3 lata</w:t>
      </w:r>
    </w:p>
    <w:p w14:paraId="2C4998F2" w14:textId="77777777" w:rsidR="00C27F39" w:rsidRPr="008F328C" w:rsidRDefault="00C27F39" w:rsidP="00C27F39">
      <w:pPr>
        <w:spacing w:line="240" w:lineRule="exact"/>
        <w:rPr>
          <w:rFonts w:ascii="Times New Roman" w:hAnsi="Times New Roman" w:cs="Times New Roman"/>
          <w:sz w:val="24"/>
          <w:szCs w:val="24"/>
          <w:lang w:val="pl-PL"/>
        </w:rPr>
      </w:pPr>
    </w:p>
    <w:p w14:paraId="1E7D54EE"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środki ostrożności podczas przechowywania</w:t>
      </w:r>
    </w:p>
    <w:p w14:paraId="49300035" w14:textId="77777777" w:rsidR="00C27F39" w:rsidRPr="008F328C" w:rsidRDefault="00C27F39" w:rsidP="00C27F39">
      <w:pPr>
        <w:spacing w:line="260" w:lineRule="exact"/>
        <w:rPr>
          <w:rFonts w:ascii="Times New Roman" w:hAnsi="Times New Roman" w:cs="Times New Roman"/>
          <w:sz w:val="26"/>
          <w:szCs w:val="26"/>
          <w:lang w:val="pl-PL"/>
        </w:rPr>
      </w:pPr>
    </w:p>
    <w:p w14:paraId="5184D19C" w14:textId="77777777" w:rsidR="00C27F39" w:rsidRPr="008F328C" w:rsidRDefault="00C27F39" w:rsidP="00C27F39">
      <w:pPr>
        <w:pStyle w:val="a3"/>
        <w:rPr>
          <w:lang w:val="pl-PL"/>
        </w:rPr>
      </w:pPr>
      <w:r w:rsidRPr="008F328C">
        <w:rPr>
          <w:rFonts w:eastAsia="Times New Roman"/>
          <w:lang w:val="pl-PL"/>
        </w:rPr>
        <w:t>Przechowywać w lodówce (2</w:t>
      </w:r>
      <w:r w:rsidRPr="008F328C">
        <w:rPr>
          <w:rFonts w:eastAsia="Symbol"/>
          <w:lang w:val="pl-PL"/>
        </w:rPr>
        <w:sym w:font="Symbol" w:char="F0B0"/>
      </w:r>
      <w:r w:rsidRPr="008F328C">
        <w:rPr>
          <w:rFonts w:eastAsia="Times New Roman"/>
          <w:lang w:val="pl-PL"/>
        </w:rPr>
        <w:t>C – 8</w:t>
      </w:r>
      <w:r w:rsidRPr="008F328C">
        <w:rPr>
          <w:rFonts w:eastAsia="Symbol"/>
          <w:lang w:val="pl-PL"/>
        </w:rPr>
        <w:sym w:font="Symbol" w:char="F0B0"/>
      </w:r>
      <w:r w:rsidRPr="008F328C">
        <w:rPr>
          <w:rFonts w:eastAsia="Times New Roman"/>
          <w:lang w:val="pl-PL"/>
        </w:rPr>
        <w:t xml:space="preserve">C). Nie zamrażać. </w:t>
      </w:r>
    </w:p>
    <w:p w14:paraId="6F6A3E23" w14:textId="632A0FD6" w:rsidR="00C27F39" w:rsidRPr="008F328C" w:rsidRDefault="00C27F39" w:rsidP="00C27F39">
      <w:pPr>
        <w:pStyle w:val="a3"/>
        <w:rPr>
          <w:lang w:val="pl-PL"/>
        </w:rPr>
      </w:pPr>
      <w:r w:rsidRPr="008F328C">
        <w:rPr>
          <w:rFonts w:eastAsia="Times New Roman"/>
          <w:lang w:val="pl-PL"/>
        </w:rPr>
        <w:t>Przechowywać ampułko-strzykawkę w opakowaniu zewnętrznym w celu ochrony przed światłem.</w:t>
      </w:r>
    </w:p>
    <w:p w14:paraId="59DEB734" w14:textId="77777777" w:rsidR="00C27F39" w:rsidRPr="008F328C" w:rsidRDefault="00C27F39" w:rsidP="00C27F39">
      <w:pPr>
        <w:spacing w:line="240" w:lineRule="exact"/>
        <w:rPr>
          <w:rFonts w:ascii="Times New Roman" w:hAnsi="Times New Roman" w:cs="Times New Roman"/>
          <w:sz w:val="24"/>
          <w:szCs w:val="24"/>
          <w:lang w:val="pl-PL"/>
        </w:rPr>
      </w:pPr>
    </w:p>
    <w:p w14:paraId="502734B5" w14:textId="4041225C" w:rsidR="00C27F39" w:rsidRPr="008F328C" w:rsidRDefault="00C27F39" w:rsidP="00C27F39">
      <w:pPr>
        <w:pStyle w:val="a3"/>
        <w:rPr>
          <w:lang w:val="pl-PL"/>
        </w:rPr>
      </w:pPr>
      <w:r w:rsidRPr="008F328C">
        <w:rPr>
          <w:rFonts w:eastAsia="Times New Roman"/>
          <w:lang w:val="pl-PL"/>
        </w:rPr>
        <w:t>Jedna ampułko-strzykawka z produktem Yuflyma może być przechowywany w temperaturze do 25°C przez okres do 31 dni. Ampułko-strzykawkę należy chronić przed światłem i wyrzucić, jeśli nie zostaną zużyte w ciągu 31 dni.</w:t>
      </w:r>
    </w:p>
    <w:p w14:paraId="0B1DF666" w14:textId="77777777" w:rsidR="00C27F39" w:rsidRPr="008F328C" w:rsidRDefault="00C27F39" w:rsidP="00C27F39">
      <w:pPr>
        <w:spacing w:line="240" w:lineRule="exact"/>
        <w:rPr>
          <w:rFonts w:ascii="Times New Roman" w:hAnsi="Times New Roman" w:cs="Times New Roman"/>
          <w:sz w:val="24"/>
          <w:szCs w:val="24"/>
          <w:lang w:val="pl-PL"/>
        </w:rPr>
      </w:pPr>
    </w:p>
    <w:p w14:paraId="17825716"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Rodzaj i zawartość opakowania</w:t>
      </w:r>
    </w:p>
    <w:p w14:paraId="7E53AB06" w14:textId="77777777" w:rsidR="00C27F39" w:rsidRPr="008F328C" w:rsidRDefault="00C27F39" w:rsidP="00C27F39">
      <w:pPr>
        <w:pStyle w:val="a4"/>
        <w:spacing w:line="240" w:lineRule="exact"/>
        <w:rPr>
          <w:rFonts w:ascii="Times New Roman" w:hAnsi="Times New Roman" w:cs="Times New Roman"/>
          <w:sz w:val="24"/>
          <w:szCs w:val="24"/>
          <w:lang w:val="pl-PL"/>
        </w:rPr>
      </w:pPr>
    </w:p>
    <w:p w14:paraId="6AD502AF" w14:textId="73C99128" w:rsidR="00C27F39" w:rsidRPr="008F328C" w:rsidRDefault="00C27F39" w:rsidP="00C27F39">
      <w:pPr>
        <w:pStyle w:val="a3"/>
        <w:rPr>
          <w:u w:val="single"/>
          <w:lang w:val="pl-PL"/>
        </w:rPr>
      </w:pPr>
      <w:r w:rsidRPr="008F328C">
        <w:rPr>
          <w:rFonts w:eastAsia="Times New Roman"/>
          <w:u w:val="single"/>
          <w:lang w:val="pl-PL"/>
        </w:rPr>
        <w:t xml:space="preserve">Yuflyma </w:t>
      </w:r>
      <w:r w:rsidR="002525CB" w:rsidRPr="008F328C">
        <w:rPr>
          <w:rFonts w:eastAsia="Times New Roman"/>
          <w:u w:val="single"/>
          <w:lang w:val="pl-PL"/>
        </w:rPr>
        <w:t>20</w:t>
      </w:r>
      <w:r w:rsidRPr="008F328C">
        <w:rPr>
          <w:rFonts w:eastAsia="Times New Roman"/>
          <w:u w:val="single"/>
          <w:lang w:val="pl-PL"/>
        </w:rPr>
        <w:t> mg roztwór do wstrzykiwań w ampułko-strzykawce</w:t>
      </w:r>
    </w:p>
    <w:p w14:paraId="08D4D702" w14:textId="77777777" w:rsidR="00C27F39" w:rsidRPr="008F328C" w:rsidRDefault="00C27F39" w:rsidP="00C27F39">
      <w:pPr>
        <w:pStyle w:val="a3"/>
        <w:rPr>
          <w:u w:val="single"/>
          <w:lang w:val="pl-PL"/>
        </w:rPr>
      </w:pPr>
    </w:p>
    <w:p w14:paraId="68491CB3" w14:textId="77777777" w:rsidR="00C27F39" w:rsidRPr="008F328C" w:rsidRDefault="00C27F39" w:rsidP="00C27F39">
      <w:pPr>
        <w:pStyle w:val="a3"/>
        <w:rPr>
          <w:lang w:val="pl-PL"/>
        </w:rPr>
      </w:pPr>
      <w:r w:rsidRPr="008F328C">
        <w:rPr>
          <w:rFonts w:eastAsia="Times New Roman"/>
          <w:lang w:val="pl-PL"/>
        </w:rPr>
        <w:t>Roztwór do wstrzykiwań w ampułko-strzykawce do jednorazowego użytku (szkło typu I) z końcówką tłoka z gumy bromobutylowej i igłą z osłoną (elastomer termoplastyczny).</w:t>
      </w:r>
    </w:p>
    <w:p w14:paraId="57DEE8FA" w14:textId="77777777" w:rsidR="00C27F39" w:rsidRPr="008F328C" w:rsidRDefault="00C27F39" w:rsidP="00C27F39">
      <w:pPr>
        <w:spacing w:line="240" w:lineRule="exact"/>
        <w:rPr>
          <w:rFonts w:ascii="Times New Roman" w:hAnsi="Times New Roman" w:cs="Times New Roman"/>
          <w:sz w:val="24"/>
          <w:szCs w:val="24"/>
          <w:lang w:val="pl-PL"/>
        </w:rPr>
      </w:pPr>
    </w:p>
    <w:p w14:paraId="1D9C9285" w14:textId="77777777" w:rsidR="00C27F39" w:rsidRPr="008F328C" w:rsidRDefault="00C27F39" w:rsidP="00C27F39">
      <w:pPr>
        <w:pStyle w:val="a3"/>
        <w:rPr>
          <w:lang w:val="pl-PL"/>
        </w:rPr>
      </w:pPr>
      <w:r w:rsidRPr="008F328C">
        <w:rPr>
          <w:rFonts w:eastAsia="Times New Roman"/>
          <w:lang w:val="pl-PL"/>
        </w:rPr>
        <w:t>Opakowania zawierają:</w:t>
      </w:r>
    </w:p>
    <w:p w14:paraId="755B1AD4" w14:textId="34B9F0A4" w:rsidR="00A544AB" w:rsidRDefault="00A544AB" w:rsidP="00C27F39">
      <w:pPr>
        <w:pStyle w:val="a3"/>
        <w:numPr>
          <w:ilvl w:val="0"/>
          <w:numId w:val="16"/>
        </w:numPr>
        <w:ind w:left="660" w:hanging="660"/>
        <w:rPr>
          <w:lang w:val="pl-PL"/>
        </w:rPr>
      </w:pPr>
      <w:r>
        <w:rPr>
          <w:rFonts w:hint="eastAsia"/>
          <w:lang w:val="pl-PL" w:eastAsia="ko-KR"/>
        </w:rPr>
        <w:t xml:space="preserve">1 </w:t>
      </w:r>
      <w:r w:rsidRPr="008F328C">
        <w:rPr>
          <w:rFonts w:eastAsia="Times New Roman"/>
          <w:lang w:val="pl-PL"/>
        </w:rPr>
        <w:t>ampułko-strzykawkę (0,</w:t>
      </w:r>
      <w:r>
        <w:rPr>
          <w:rFonts w:hint="eastAsia"/>
          <w:lang w:val="pl-PL" w:eastAsia="ko-KR"/>
        </w:rPr>
        <w:t>2</w:t>
      </w:r>
      <w:r w:rsidRPr="008F328C">
        <w:rPr>
          <w:rFonts w:eastAsia="Times New Roman"/>
          <w:lang w:val="pl-PL"/>
        </w:rPr>
        <w:t xml:space="preserve"> ml jałowego roztworu) i 2 gaziki nasączone alkoholem.</w:t>
      </w:r>
    </w:p>
    <w:p w14:paraId="13064389" w14:textId="1DD002E2" w:rsidR="00C27F39" w:rsidRPr="008F328C" w:rsidRDefault="002525CB" w:rsidP="00C27F39">
      <w:pPr>
        <w:pStyle w:val="a3"/>
        <w:numPr>
          <w:ilvl w:val="0"/>
          <w:numId w:val="16"/>
        </w:numPr>
        <w:ind w:left="660" w:hanging="660"/>
        <w:rPr>
          <w:lang w:val="pl-PL"/>
        </w:rPr>
      </w:pPr>
      <w:r w:rsidRPr="008F328C">
        <w:rPr>
          <w:rFonts w:eastAsia="Times New Roman"/>
          <w:lang w:val="pl-PL"/>
        </w:rPr>
        <w:t>2 ampułko-strzykawki (0,2</w:t>
      </w:r>
      <w:r w:rsidR="00C27F39" w:rsidRPr="008F328C">
        <w:rPr>
          <w:rFonts w:eastAsia="Times New Roman"/>
          <w:lang w:val="pl-PL"/>
        </w:rPr>
        <w:t xml:space="preserve"> ml jałowego roztworu), </w:t>
      </w:r>
      <w:r w:rsidR="00E347DC" w:rsidRPr="008F328C">
        <w:rPr>
          <w:rFonts w:eastAsia="Times New Roman"/>
          <w:lang w:val="pl-PL"/>
        </w:rPr>
        <w:t>i 2 gaziki nasączone alkoholem</w:t>
      </w:r>
      <w:r w:rsidR="00C27F39" w:rsidRPr="008F328C">
        <w:rPr>
          <w:rFonts w:eastAsia="Times New Roman"/>
          <w:lang w:val="pl-PL"/>
        </w:rPr>
        <w:t>.</w:t>
      </w:r>
    </w:p>
    <w:p w14:paraId="3243C374" w14:textId="77777777" w:rsidR="00A544AB" w:rsidRDefault="00A544AB" w:rsidP="00C27F39">
      <w:pPr>
        <w:widowControl/>
        <w:tabs>
          <w:tab w:val="left" w:pos="567"/>
        </w:tabs>
        <w:spacing w:line="260" w:lineRule="exact"/>
        <w:rPr>
          <w:rFonts w:ascii="Times New Roman" w:hAnsi="Times New Roman" w:cs="Times New Roman"/>
          <w:b/>
          <w:lang w:val="pl-PL" w:eastAsia="ko-KR"/>
        </w:rPr>
      </w:pPr>
    </w:p>
    <w:p w14:paraId="56DA5174" w14:textId="2C69773A" w:rsidR="00DB0478" w:rsidRPr="00DB0478" w:rsidRDefault="00DB0478" w:rsidP="00AC35E3">
      <w:pPr>
        <w:pStyle w:val="a3"/>
        <w:rPr>
          <w:b/>
          <w:lang w:val="pl-PL" w:eastAsia="ko-KR"/>
        </w:rPr>
      </w:pPr>
      <w:r w:rsidRPr="008F328C">
        <w:rPr>
          <w:rFonts w:eastAsia="Times New Roman"/>
          <w:lang w:val="pl-PL"/>
        </w:rPr>
        <w:t>Nie wszystkie rodzaje i wielkości opakowań muszą znajdować się w obrocie.</w:t>
      </w:r>
    </w:p>
    <w:p w14:paraId="2ED573F9"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4DCEEB27" w14:textId="77777777" w:rsidR="00C27F39" w:rsidRPr="008F328C" w:rsidRDefault="00C27F39" w:rsidP="008F328C">
      <w:pPr>
        <w:widowControl/>
        <w:numPr>
          <w:ilvl w:val="1"/>
          <w:numId w:val="140"/>
        </w:numPr>
        <w:tabs>
          <w:tab w:val="left" w:pos="567"/>
        </w:tabs>
        <w:spacing w:line="26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Specjalne środki ostrożności dotyczące usuwania</w:t>
      </w:r>
    </w:p>
    <w:p w14:paraId="16200CE4" w14:textId="77777777" w:rsidR="00C27F39" w:rsidRPr="008F328C" w:rsidRDefault="00C27F39" w:rsidP="00C27F39">
      <w:pPr>
        <w:spacing w:before="12" w:line="240" w:lineRule="exact"/>
        <w:rPr>
          <w:rFonts w:ascii="Times New Roman" w:hAnsi="Times New Roman" w:cs="Times New Roman"/>
          <w:sz w:val="24"/>
          <w:szCs w:val="24"/>
          <w:lang w:val="pl-PL"/>
        </w:rPr>
      </w:pPr>
    </w:p>
    <w:p w14:paraId="669B3282" w14:textId="77777777" w:rsidR="00C27F39" w:rsidRPr="008F328C" w:rsidRDefault="00C27F39" w:rsidP="00C27F39">
      <w:pPr>
        <w:pStyle w:val="a3"/>
        <w:rPr>
          <w:lang w:val="pl-PL"/>
        </w:rPr>
      </w:pPr>
      <w:r w:rsidRPr="008F328C">
        <w:rPr>
          <w:rFonts w:eastAsia="Times New Roman"/>
          <w:lang w:val="pl-PL"/>
        </w:rPr>
        <w:t xml:space="preserve">Wszelkie niewykorzystane resztki produktu leczniczego lub jego odpady należy usunąć zgodnie z lokalnymi przepisami. </w:t>
      </w:r>
    </w:p>
    <w:p w14:paraId="6AEDA175" w14:textId="77777777" w:rsidR="00C27F39" w:rsidRPr="008F328C" w:rsidRDefault="00C27F39" w:rsidP="00C27F39">
      <w:pPr>
        <w:keepNext/>
        <w:widowControl/>
        <w:tabs>
          <w:tab w:val="left" w:pos="567"/>
        </w:tabs>
        <w:rPr>
          <w:rFonts w:ascii="Times New Roman" w:eastAsia="Times New Roman" w:hAnsi="Times New Roman" w:cs="Times New Roman"/>
          <w:b/>
          <w:szCs w:val="20"/>
          <w:lang w:val="pl-PL" w:eastAsia="pl-PL" w:bidi="pl-PL"/>
        </w:rPr>
      </w:pPr>
    </w:p>
    <w:p w14:paraId="3957E57D" w14:textId="77777777" w:rsidR="00C27F39" w:rsidRPr="008F328C" w:rsidRDefault="00C27F39" w:rsidP="00C27F39">
      <w:pPr>
        <w:keepNext/>
        <w:widowControl/>
        <w:tabs>
          <w:tab w:val="left" w:pos="567"/>
        </w:tabs>
        <w:rPr>
          <w:rFonts w:ascii="Times New Roman" w:eastAsia="Times New Roman" w:hAnsi="Times New Roman" w:cs="Times New Roman"/>
          <w:b/>
          <w:szCs w:val="20"/>
          <w:lang w:val="pl-PL" w:eastAsia="pl-PL" w:bidi="pl-PL"/>
        </w:rPr>
      </w:pPr>
    </w:p>
    <w:p w14:paraId="7C0BBA1C" w14:textId="77777777" w:rsidR="00C27F39" w:rsidRPr="008F328C" w:rsidRDefault="00C27F39" w:rsidP="008F328C">
      <w:pPr>
        <w:pStyle w:val="a4"/>
        <w:keepNext/>
        <w:widowControl/>
        <w:numPr>
          <w:ilvl w:val="0"/>
          <w:numId w:val="136"/>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PODMIOT ODPOWIEDZIALNY POSIADAJĄCY POZWOLENIE NA DOPUSZCZENIE DO OBROTU</w:t>
      </w:r>
    </w:p>
    <w:p w14:paraId="68EFABDF" w14:textId="77777777" w:rsidR="00C27F39" w:rsidRPr="008F328C" w:rsidRDefault="00C27F39" w:rsidP="00C27F39">
      <w:pPr>
        <w:spacing w:before="12" w:line="240" w:lineRule="exact"/>
        <w:rPr>
          <w:rFonts w:ascii="Times New Roman" w:hAnsi="Times New Roman" w:cs="Times New Roman"/>
          <w:sz w:val="24"/>
          <w:szCs w:val="24"/>
          <w:lang w:val="pl-PL"/>
        </w:rPr>
      </w:pPr>
    </w:p>
    <w:p w14:paraId="4DA172D6" w14:textId="77777777" w:rsidR="00C27F39" w:rsidRPr="008F328C" w:rsidRDefault="00C27F39" w:rsidP="00C27F39">
      <w:pPr>
        <w:pStyle w:val="a3"/>
        <w:rPr>
          <w:lang w:val="en-GB"/>
        </w:rPr>
      </w:pPr>
      <w:r w:rsidRPr="008F328C">
        <w:rPr>
          <w:lang w:val="en-GB"/>
        </w:rPr>
        <w:t xml:space="preserve">Celltrion Healthcare Hungary Kft. </w:t>
      </w:r>
    </w:p>
    <w:p w14:paraId="45BF5A01" w14:textId="77777777" w:rsidR="00C27F39" w:rsidRPr="008F328C" w:rsidRDefault="00C27F39" w:rsidP="00C27F39">
      <w:pPr>
        <w:pStyle w:val="a3"/>
        <w:rPr>
          <w:lang w:val="en-GB"/>
        </w:rPr>
      </w:pPr>
      <w:r w:rsidRPr="008F328C">
        <w:rPr>
          <w:lang w:val="en-GB"/>
        </w:rPr>
        <w:t>1062 Budapest</w:t>
      </w:r>
    </w:p>
    <w:p w14:paraId="58EC9F2B" w14:textId="77777777" w:rsidR="00C27F39" w:rsidRPr="008F328C" w:rsidRDefault="00C27F39" w:rsidP="00C27F39">
      <w:pPr>
        <w:pStyle w:val="a3"/>
      </w:pPr>
      <w:r w:rsidRPr="008F328C">
        <w:rPr>
          <w:lang w:val="en-GB"/>
        </w:rPr>
        <w:t xml:space="preserve">Váci út 1-3. </w:t>
      </w:r>
      <w:r w:rsidRPr="008F328C">
        <w:t>WestEnd Office Building B torony</w:t>
      </w:r>
    </w:p>
    <w:p w14:paraId="08A3276A" w14:textId="77777777" w:rsidR="00C27F39" w:rsidRPr="008F328C" w:rsidRDefault="00C27F39" w:rsidP="00C27F39">
      <w:pPr>
        <w:pStyle w:val="a3"/>
      </w:pPr>
      <w:r w:rsidRPr="008F328C">
        <w:rPr>
          <w:rFonts w:eastAsia="Times New Roman"/>
        </w:rPr>
        <w:t>Węgry</w:t>
      </w:r>
    </w:p>
    <w:p w14:paraId="762BCB78" w14:textId="77777777" w:rsidR="00C27F39" w:rsidRPr="008F328C" w:rsidRDefault="00C27F39" w:rsidP="00C27F39">
      <w:pPr>
        <w:spacing w:line="200" w:lineRule="exact"/>
        <w:rPr>
          <w:rFonts w:ascii="Times New Roman" w:hAnsi="Times New Roman" w:cs="Times New Roman"/>
          <w:sz w:val="20"/>
          <w:szCs w:val="20"/>
        </w:rPr>
      </w:pPr>
    </w:p>
    <w:p w14:paraId="0929C31E" w14:textId="77777777" w:rsidR="00C27F39" w:rsidRPr="008F328C" w:rsidRDefault="00C27F39" w:rsidP="00C27F39">
      <w:pPr>
        <w:spacing w:line="200" w:lineRule="exact"/>
        <w:rPr>
          <w:rFonts w:ascii="Times New Roman" w:hAnsi="Times New Roman" w:cs="Times New Roman"/>
          <w:sz w:val="20"/>
          <w:szCs w:val="20"/>
        </w:rPr>
      </w:pPr>
    </w:p>
    <w:p w14:paraId="222F0794" w14:textId="77777777" w:rsidR="00C27F39" w:rsidRPr="008F328C" w:rsidRDefault="00C27F39" w:rsidP="008F328C">
      <w:pPr>
        <w:widowControl/>
        <w:numPr>
          <w:ilvl w:val="0"/>
          <w:numId w:val="136"/>
        </w:numPr>
        <w:tabs>
          <w:tab w:val="left" w:pos="567"/>
        </w:tabs>
        <w:spacing w:line="260" w:lineRule="exact"/>
        <w:ind w:left="0" w:firstLine="0"/>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NUMERY POZWOLEŃ NA DOPUSZCZENIE DO OBROTU</w:t>
      </w:r>
    </w:p>
    <w:p w14:paraId="01427CA8" w14:textId="77777777" w:rsidR="00C27F39" w:rsidRPr="008F328C" w:rsidRDefault="00C27F39" w:rsidP="00C27F39">
      <w:pPr>
        <w:spacing w:before="9" w:line="240" w:lineRule="exact"/>
        <w:rPr>
          <w:rFonts w:ascii="Times New Roman" w:hAnsi="Times New Roman" w:cs="Times New Roman"/>
          <w:sz w:val="24"/>
          <w:szCs w:val="24"/>
          <w:lang w:val="pl-PL"/>
        </w:rPr>
      </w:pPr>
    </w:p>
    <w:p w14:paraId="6EB4DBDF" w14:textId="03C7C397" w:rsidR="00C27F39" w:rsidRPr="008F328C" w:rsidRDefault="00C27F39" w:rsidP="00C27F39">
      <w:pPr>
        <w:pStyle w:val="a3"/>
        <w:rPr>
          <w:u w:val="single"/>
          <w:lang w:val="pl-PL"/>
        </w:rPr>
      </w:pPr>
      <w:r w:rsidRPr="008F328C">
        <w:rPr>
          <w:rFonts w:eastAsia="Times New Roman"/>
          <w:u w:val="single" w:color="000000"/>
          <w:lang w:val="pl-PL"/>
        </w:rPr>
        <w:t xml:space="preserve">Yuflyma </w:t>
      </w:r>
      <w:r w:rsidR="002525CB" w:rsidRPr="008F328C">
        <w:rPr>
          <w:rFonts w:eastAsia="Times New Roman"/>
          <w:u w:val="single" w:color="000000"/>
          <w:lang w:val="pl-PL"/>
        </w:rPr>
        <w:t>20</w:t>
      </w:r>
      <w:r w:rsidRPr="008F328C">
        <w:rPr>
          <w:rFonts w:eastAsia="Times New Roman"/>
          <w:u w:val="single" w:color="000000"/>
          <w:lang w:val="pl-PL"/>
        </w:rPr>
        <w:t> mg roztwór do wstrzykiwań w ampułko-strzykawce</w:t>
      </w:r>
    </w:p>
    <w:p w14:paraId="2B63E59D" w14:textId="77777777" w:rsidR="00C27F39" w:rsidRPr="008F328C" w:rsidRDefault="00C27F39" w:rsidP="00C27F39">
      <w:pPr>
        <w:pStyle w:val="a3"/>
        <w:rPr>
          <w:lang w:val="pl-PL"/>
        </w:rPr>
      </w:pPr>
    </w:p>
    <w:p w14:paraId="326C70C2" w14:textId="38C893B6" w:rsidR="00C27F39" w:rsidRPr="00AC35E3" w:rsidRDefault="00C27F39" w:rsidP="00C27F39">
      <w:pPr>
        <w:pStyle w:val="a3"/>
        <w:rPr>
          <w:lang w:val="pl-PL"/>
        </w:rPr>
      </w:pPr>
      <w:r w:rsidRPr="008F328C">
        <w:rPr>
          <w:rFonts w:eastAsia="Times New Roman"/>
          <w:lang w:val="pl-PL"/>
        </w:rPr>
        <w:t>EU/</w:t>
      </w:r>
      <w:r w:rsidR="002525CB" w:rsidRPr="008F328C">
        <w:rPr>
          <w:rFonts w:eastAsia="Times New Roman"/>
          <w:color w:val="000000"/>
          <w:lang w:val="pl-PL"/>
        </w:rPr>
        <w:t>1/20/1513/017</w:t>
      </w:r>
    </w:p>
    <w:p w14:paraId="40A62521" w14:textId="1360616B" w:rsidR="00280B22" w:rsidRPr="004627F3" w:rsidRDefault="00280B22" w:rsidP="00C27F39">
      <w:pPr>
        <w:pStyle w:val="a3"/>
        <w:rPr>
          <w:lang w:val="pl-PL" w:eastAsia="ko-KR"/>
        </w:rPr>
      </w:pPr>
      <w:r>
        <w:rPr>
          <w:rFonts w:hint="eastAsia"/>
          <w:color w:val="000000"/>
          <w:lang w:val="pl-PL" w:eastAsia="ko-KR"/>
        </w:rPr>
        <w:t>EU/1/20/1513/018</w:t>
      </w:r>
    </w:p>
    <w:p w14:paraId="3F262D64" w14:textId="77777777" w:rsidR="00C27F39" w:rsidRPr="008F328C" w:rsidRDefault="00C27F39" w:rsidP="00C27F39">
      <w:pPr>
        <w:spacing w:line="200" w:lineRule="exact"/>
        <w:rPr>
          <w:rFonts w:ascii="Times New Roman" w:hAnsi="Times New Roman" w:cs="Times New Roman"/>
          <w:sz w:val="20"/>
          <w:szCs w:val="20"/>
          <w:lang w:val="pl-PL"/>
        </w:rPr>
      </w:pPr>
    </w:p>
    <w:p w14:paraId="36A8372F" w14:textId="77777777" w:rsidR="00C27F39" w:rsidRPr="008F328C" w:rsidRDefault="00C27F39" w:rsidP="00C27F39">
      <w:pPr>
        <w:spacing w:line="200" w:lineRule="exact"/>
        <w:rPr>
          <w:rFonts w:ascii="Times New Roman" w:hAnsi="Times New Roman" w:cs="Times New Roman"/>
          <w:sz w:val="20"/>
          <w:szCs w:val="20"/>
          <w:lang w:val="pl-PL"/>
        </w:rPr>
      </w:pPr>
    </w:p>
    <w:p w14:paraId="6E59E874" w14:textId="77777777" w:rsidR="00C27F39" w:rsidRPr="008F328C" w:rsidRDefault="00C27F39" w:rsidP="008F328C">
      <w:pPr>
        <w:pStyle w:val="a4"/>
        <w:keepNext/>
        <w:widowControl/>
        <w:numPr>
          <w:ilvl w:val="0"/>
          <w:numId w:val="136"/>
        </w:numPr>
        <w:tabs>
          <w:tab w:val="left" w:pos="567"/>
        </w:tabs>
        <w:ind w:left="540" w:hanging="540"/>
        <w:rPr>
          <w:rFonts w:ascii="Times New Roman" w:eastAsia="Times New Roman" w:hAnsi="Times New Roman" w:cs="Times New Roman"/>
          <w:b/>
          <w:lang w:val="pl-PL"/>
        </w:rPr>
      </w:pPr>
      <w:r w:rsidRPr="008F328C">
        <w:rPr>
          <w:rFonts w:ascii="Times New Roman" w:eastAsia="Times New Roman" w:hAnsi="Times New Roman" w:cs="Times New Roman"/>
          <w:b/>
          <w:szCs w:val="20"/>
          <w:lang w:val="pl-PL" w:eastAsia="pl-PL" w:bidi="pl-PL"/>
        </w:rPr>
        <w:t>DATA WYDANIA PIERWSZEGO POZWOLENIA NA DOPUSZCZENIE DO OBROTU I DATA PRZEDŁUŻENIA POZWOLENIA</w:t>
      </w:r>
    </w:p>
    <w:p w14:paraId="0A3796F1"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11A64524" w14:textId="77777777" w:rsidR="00C27F39" w:rsidRPr="008F328C" w:rsidRDefault="00C27F39" w:rsidP="00C27F39">
      <w:pPr>
        <w:widowControl/>
        <w:tabs>
          <w:tab w:val="left" w:pos="567"/>
        </w:tabs>
        <w:spacing w:line="260" w:lineRule="exact"/>
        <w:rPr>
          <w:rFonts w:ascii="Times New Roman" w:eastAsia="Times New Roman" w:hAnsi="Times New Roman" w:cs="Times New Roman"/>
          <w:bCs/>
          <w:lang w:val="pl-PL"/>
        </w:rPr>
      </w:pPr>
      <w:r w:rsidRPr="008F328C">
        <w:rPr>
          <w:rFonts w:ascii="Times New Roman" w:eastAsia="Times New Roman" w:hAnsi="Times New Roman" w:cs="Times New Roman"/>
          <w:bCs/>
          <w:lang w:val="pl-PL"/>
        </w:rPr>
        <w:t>Data wydania pierwszego pozwolenia na dopuszczenie do obrotu: 11 lutego 2021</w:t>
      </w:r>
    </w:p>
    <w:p w14:paraId="32B72249"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36AB2ACE" w14:textId="77777777" w:rsidR="00C27F39" w:rsidRPr="008F328C" w:rsidRDefault="00C27F39" w:rsidP="00C27F39">
      <w:pPr>
        <w:widowControl/>
        <w:tabs>
          <w:tab w:val="left" w:pos="567"/>
        </w:tabs>
        <w:spacing w:line="260" w:lineRule="exact"/>
        <w:rPr>
          <w:rFonts w:ascii="Times New Roman" w:eastAsia="Times New Roman" w:hAnsi="Times New Roman" w:cs="Times New Roman"/>
          <w:b/>
          <w:lang w:val="pl-PL"/>
        </w:rPr>
      </w:pPr>
    </w:p>
    <w:p w14:paraId="5F95E3F8" w14:textId="77777777" w:rsidR="00C27F39" w:rsidRPr="008F328C" w:rsidRDefault="00C27F39" w:rsidP="008F328C">
      <w:pPr>
        <w:pStyle w:val="a4"/>
        <w:keepNext/>
        <w:widowControl/>
        <w:numPr>
          <w:ilvl w:val="0"/>
          <w:numId w:val="136"/>
        </w:numPr>
        <w:tabs>
          <w:tab w:val="left" w:pos="567"/>
        </w:tabs>
        <w:ind w:left="540" w:hanging="540"/>
        <w:rPr>
          <w:rFonts w:ascii="Times New Roman" w:eastAsia="Times New Roman" w:hAnsi="Times New Roman" w:cs="Times New Roman"/>
          <w:b/>
          <w:szCs w:val="20"/>
          <w:lang w:val="pl-PL" w:eastAsia="pl-PL" w:bidi="pl-PL"/>
        </w:rPr>
      </w:pPr>
      <w:r w:rsidRPr="008F328C">
        <w:rPr>
          <w:rFonts w:ascii="Times New Roman" w:eastAsia="Times New Roman" w:hAnsi="Times New Roman" w:cs="Times New Roman"/>
          <w:b/>
          <w:szCs w:val="20"/>
          <w:lang w:val="pl-PL" w:eastAsia="pl-PL" w:bidi="pl-PL"/>
        </w:rPr>
        <w:t>DATA ZATWIERDZENIA LUB CZĘŚCIOWEJ ZMIANY TEKSTU CHARAKTERYSTYKI PRODUKTU LECZNICZEGO</w:t>
      </w:r>
    </w:p>
    <w:p w14:paraId="145797B5" w14:textId="77777777" w:rsidR="00C27F39" w:rsidRPr="008F328C" w:rsidRDefault="00C27F39" w:rsidP="00C27F39">
      <w:pPr>
        <w:spacing w:before="12" w:line="240" w:lineRule="exact"/>
        <w:rPr>
          <w:rFonts w:ascii="Times New Roman" w:hAnsi="Times New Roman" w:cs="Times New Roman"/>
          <w:sz w:val="24"/>
          <w:szCs w:val="24"/>
          <w:lang w:val="pl-PL"/>
        </w:rPr>
      </w:pPr>
    </w:p>
    <w:p w14:paraId="7F63C2D5" w14:textId="77777777" w:rsidR="00C27F39" w:rsidRPr="008F328C" w:rsidRDefault="00C27F39" w:rsidP="00C27F39">
      <w:pPr>
        <w:pStyle w:val="a3"/>
        <w:rPr>
          <w:rFonts w:eastAsia="Times New Roman"/>
          <w:color w:val="0000FF"/>
          <w:u w:val="single"/>
          <w:lang w:val="pl-PL"/>
        </w:rPr>
      </w:pPr>
      <w:r w:rsidRPr="008F328C">
        <w:rPr>
          <w:rFonts w:eastAsia="Times New Roman"/>
          <w:lang w:val="pl-PL"/>
        </w:rPr>
        <w:t>Szczegółowe informacje o tym produkcie leczniczym są dostępne na stronie internetowej Europejskiej Agencji Leków</w:t>
      </w:r>
      <w:hyperlink r:id="rId28" w:history="1">
        <w:r w:rsidRPr="008F328C">
          <w:rPr>
            <w:rFonts w:eastAsia="Times New Roman"/>
            <w:color w:val="0000FF"/>
            <w:u w:val="single"/>
            <w:lang w:val="pl-PL"/>
          </w:rPr>
          <w:t xml:space="preserve"> http://www.ema.europa.eu</w:t>
        </w:r>
      </w:hyperlink>
    </w:p>
    <w:p w14:paraId="4F182D6D" w14:textId="012C7758" w:rsidR="002525CB" w:rsidRPr="008F328C" w:rsidRDefault="002525CB">
      <w:pPr>
        <w:rPr>
          <w:rFonts w:ascii="Times New Roman" w:hAnsi="Times New Roman" w:cs="Times New Roman"/>
          <w:lang w:val="pl-PL"/>
        </w:rPr>
      </w:pPr>
      <w:r w:rsidRPr="008F328C">
        <w:rPr>
          <w:rFonts w:ascii="Times New Roman" w:hAnsi="Times New Roman" w:cs="Times New Roman"/>
          <w:lang w:val="pl-PL"/>
        </w:rPr>
        <w:br w:type="page"/>
      </w:r>
    </w:p>
    <w:p w14:paraId="21EB2D5B" w14:textId="77777777" w:rsidR="000A4A2F" w:rsidRPr="008F328C" w:rsidRDefault="000A4A2F" w:rsidP="00D22235">
      <w:pPr>
        <w:pStyle w:val="a3"/>
        <w:rPr>
          <w:lang w:val="pl-PL"/>
        </w:rPr>
      </w:pPr>
    </w:p>
    <w:p w14:paraId="70C8CB8E" w14:textId="77777777" w:rsidR="002E5800" w:rsidRPr="008F328C" w:rsidRDefault="002E5800">
      <w:pPr>
        <w:spacing w:line="200" w:lineRule="exact"/>
        <w:rPr>
          <w:rFonts w:ascii="Times New Roman" w:hAnsi="Times New Roman" w:cs="Times New Roman"/>
          <w:sz w:val="20"/>
          <w:szCs w:val="20"/>
          <w:lang w:val="pl-PL"/>
        </w:rPr>
      </w:pPr>
    </w:p>
    <w:p w14:paraId="6235E79E" w14:textId="77777777" w:rsidR="002E5800" w:rsidRPr="008F328C" w:rsidRDefault="002E5800">
      <w:pPr>
        <w:spacing w:line="200" w:lineRule="exact"/>
        <w:rPr>
          <w:rFonts w:ascii="Times New Roman" w:hAnsi="Times New Roman" w:cs="Times New Roman"/>
          <w:sz w:val="20"/>
          <w:szCs w:val="20"/>
          <w:lang w:val="pl-PL"/>
        </w:rPr>
      </w:pPr>
    </w:p>
    <w:p w14:paraId="49037AEE" w14:textId="77777777" w:rsidR="002E5800" w:rsidRPr="008F328C" w:rsidRDefault="002E5800">
      <w:pPr>
        <w:spacing w:line="200" w:lineRule="exact"/>
        <w:rPr>
          <w:rFonts w:ascii="Times New Roman" w:hAnsi="Times New Roman" w:cs="Times New Roman"/>
          <w:sz w:val="20"/>
          <w:szCs w:val="20"/>
          <w:lang w:val="pl-PL"/>
        </w:rPr>
      </w:pPr>
    </w:p>
    <w:p w14:paraId="258FD0D5" w14:textId="77777777" w:rsidR="002E5800" w:rsidRPr="008F328C" w:rsidRDefault="002E5800">
      <w:pPr>
        <w:spacing w:line="200" w:lineRule="exact"/>
        <w:rPr>
          <w:rFonts w:ascii="Times New Roman" w:hAnsi="Times New Roman" w:cs="Times New Roman"/>
          <w:sz w:val="20"/>
          <w:szCs w:val="20"/>
          <w:lang w:val="pl-PL"/>
        </w:rPr>
      </w:pPr>
    </w:p>
    <w:p w14:paraId="194B4317" w14:textId="75201254" w:rsidR="002E5800" w:rsidRPr="008F328C" w:rsidRDefault="002E5800">
      <w:pPr>
        <w:spacing w:line="200" w:lineRule="exact"/>
        <w:rPr>
          <w:rFonts w:ascii="Times New Roman" w:hAnsi="Times New Roman" w:cs="Times New Roman"/>
          <w:sz w:val="20"/>
          <w:szCs w:val="20"/>
          <w:lang w:val="pl-PL"/>
        </w:rPr>
      </w:pPr>
    </w:p>
    <w:p w14:paraId="6A6C13C1" w14:textId="4F3ED1F7" w:rsidR="000A4A2F" w:rsidRPr="008F328C" w:rsidRDefault="000A4A2F">
      <w:pPr>
        <w:spacing w:line="200" w:lineRule="exact"/>
        <w:rPr>
          <w:rFonts w:ascii="Times New Roman" w:hAnsi="Times New Roman" w:cs="Times New Roman"/>
          <w:sz w:val="20"/>
          <w:szCs w:val="20"/>
          <w:lang w:val="pl-PL"/>
        </w:rPr>
      </w:pPr>
    </w:p>
    <w:p w14:paraId="3809DE6D" w14:textId="6DA6D270" w:rsidR="000A4A2F" w:rsidRPr="008F328C" w:rsidRDefault="000A4A2F">
      <w:pPr>
        <w:spacing w:line="200" w:lineRule="exact"/>
        <w:rPr>
          <w:rFonts w:ascii="Times New Roman" w:hAnsi="Times New Roman" w:cs="Times New Roman"/>
          <w:sz w:val="20"/>
          <w:szCs w:val="20"/>
          <w:lang w:val="pl-PL"/>
        </w:rPr>
      </w:pPr>
    </w:p>
    <w:p w14:paraId="33E40089" w14:textId="4CF54656" w:rsidR="000A4A2F" w:rsidRPr="008F328C" w:rsidRDefault="000A4A2F">
      <w:pPr>
        <w:spacing w:line="200" w:lineRule="exact"/>
        <w:rPr>
          <w:rFonts w:ascii="Times New Roman" w:hAnsi="Times New Roman" w:cs="Times New Roman"/>
          <w:sz w:val="20"/>
          <w:szCs w:val="20"/>
          <w:lang w:val="pl-PL"/>
        </w:rPr>
      </w:pPr>
    </w:p>
    <w:p w14:paraId="78981E6A" w14:textId="7ED3CC27" w:rsidR="000A4A2F" w:rsidRPr="008F328C" w:rsidRDefault="000A4A2F">
      <w:pPr>
        <w:spacing w:line="200" w:lineRule="exact"/>
        <w:rPr>
          <w:rFonts w:ascii="Times New Roman" w:hAnsi="Times New Roman" w:cs="Times New Roman"/>
          <w:sz w:val="20"/>
          <w:szCs w:val="20"/>
          <w:lang w:val="pl-PL"/>
        </w:rPr>
      </w:pPr>
    </w:p>
    <w:p w14:paraId="1E4BF9EB" w14:textId="63BF68B0" w:rsidR="000A4A2F" w:rsidRPr="008F328C" w:rsidRDefault="000A4A2F">
      <w:pPr>
        <w:spacing w:line="200" w:lineRule="exact"/>
        <w:rPr>
          <w:rFonts w:ascii="Times New Roman" w:hAnsi="Times New Roman" w:cs="Times New Roman"/>
          <w:sz w:val="20"/>
          <w:szCs w:val="20"/>
          <w:lang w:val="pl-PL"/>
        </w:rPr>
      </w:pPr>
    </w:p>
    <w:p w14:paraId="41200A3E" w14:textId="0535D25B" w:rsidR="000A4A2F" w:rsidRPr="008F328C" w:rsidRDefault="000A4A2F">
      <w:pPr>
        <w:spacing w:line="200" w:lineRule="exact"/>
        <w:rPr>
          <w:rFonts w:ascii="Times New Roman" w:hAnsi="Times New Roman" w:cs="Times New Roman"/>
          <w:sz w:val="20"/>
          <w:szCs w:val="20"/>
          <w:lang w:val="pl-PL"/>
        </w:rPr>
      </w:pPr>
    </w:p>
    <w:p w14:paraId="7CD39AC3" w14:textId="5CE52366" w:rsidR="000A4A2F" w:rsidRPr="008F328C" w:rsidRDefault="000A4A2F">
      <w:pPr>
        <w:spacing w:line="200" w:lineRule="exact"/>
        <w:rPr>
          <w:rFonts w:ascii="Times New Roman" w:hAnsi="Times New Roman" w:cs="Times New Roman"/>
          <w:sz w:val="20"/>
          <w:szCs w:val="20"/>
          <w:lang w:val="pl-PL"/>
        </w:rPr>
      </w:pPr>
    </w:p>
    <w:p w14:paraId="5D8BE3EF" w14:textId="5AB42688" w:rsidR="000A4A2F" w:rsidRPr="008F328C" w:rsidRDefault="000A4A2F">
      <w:pPr>
        <w:spacing w:line="200" w:lineRule="exact"/>
        <w:rPr>
          <w:rFonts w:ascii="Times New Roman" w:hAnsi="Times New Roman" w:cs="Times New Roman"/>
          <w:sz w:val="20"/>
          <w:szCs w:val="20"/>
          <w:lang w:val="pl-PL"/>
        </w:rPr>
      </w:pPr>
    </w:p>
    <w:p w14:paraId="4C372006" w14:textId="77777777" w:rsidR="000A4A2F" w:rsidRPr="008F328C" w:rsidRDefault="000A4A2F">
      <w:pPr>
        <w:spacing w:line="200" w:lineRule="exact"/>
        <w:rPr>
          <w:rFonts w:ascii="Times New Roman" w:hAnsi="Times New Roman" w:cs="Times New Roman"/>
          <w:sz w:val="20"/>
          <w:szCs w:val="20"/>
          <w:lang w:val="pl-PL"/>
        </w:rPr>
      </w:pPr>
    </w:p>
    <w:p w14:paraId="7759764F" w14:textId="77777777" w:rsidR="002E5800" w:rsidRPr="008F328C" w:rsidRDefault="002E5800">
      <w:pPr>
        <w:spacing w:line="200" w:lineRule="exact"/>
        <w:rPr>
          <w:rFonts w:ascii="Times New Roman" w:hAnsi="Times New Roman" w:cs="Times New Roman"/>
          <w:sz w:val="20"/>
          <w:szCs w:val="20"/>
          <w:lang w:val="pl-PL"/>
        </w:rPr>
      </w:pPr>
    </w:p>
    <w:p w14:paraId="3E1CB44D" w14:textId="77777777" w:rsidR="002E5800" w:rsidRPr="008F328C" w:rsidRDefault="002E5800">
      <w:pPr>
        <w:spacing w:line="200" w:lineRule="exact"/>
        <w:rPr>
          <w:rFonts w:ascii="Times New Roman" w:hAnsi="Times New Roman" w:cs="Times New Roman"/>
          <w:sz w:val="20"/>
          <w:szCs w:val="20"/>
          <w:lang w:val="pl-PL"/>
        </w:rPr>
      </w:pPr>
    </w:p>
    <w:p w14:paraId="6E3DD4B2" w14:textId="77777777" w:rsidR="002E5800" w:rsidRPr="008F328C" w:rsidRDefault="002E5800">
      <w:pPr>
        <w:spacing w:line="200" w:lineRule="exact"/>
        <w:rPr>
          <w:rFonts w:ascii="Times New Roman" w:hAnsi="Times New Roman" w:cs="Times New Roman"/>
          <w:sz w:val="20"/>
          <w:szCs w:val="20"/>
          <w:lang w:val="pl-PL"/>
        </w:rPr>
      </w:pPr>
    </w:p>
    <w:p w14:paraId="5515B1FD" w14:textId="77777777" w:rsidR="002E5800" w:rsidRPr="008F328C" w:rsidRDefault="002E5800">
      <w:pPr>
        <w:spacing w:line="200" w:lineRule="exact"/>
        <w:rPr>
          <w:rFonts w:ascii="Times New Roman" w:hAnsi="Times New Roman" w:cs="Times New Roman"/>
          <w:sz w:val="20"/>
          <w:szCs w:val="20"/>
          <w:lang w:val="pl-PL"/>
        </w:rPr>
      </w:pPr>
    </w:p>
    <w:p w14:paraId="3C5A2488" w14:textId="77777777" w:rsidR="002E5800" w:rsidRPr="008F328C" w:rsidRDefault="002E5800">
      <w:pPr>
        <w:spacing w:before="4" w:line="200" w:lineRule="exact"/>
        <w:rPr>
          <w:rFonts w:ascii="Times New Roman" w:hAnsi="Times New Roman" w:cs="Times New Roman"/>
          <w:sz w:val="20"/>
          <w:szCs w:val="20"/>
          <w:lang w:val="pl-PL"/>
        </w:rPr>
      </w:pPr>
    </w:p>
    <w:p w14:paraId="69384547" w14:textId="77777777" w:rsidR="002E5800" w:rsidRPr="008F328C" w:rsidRDefault="000E0B7C">
      <w:pPr>
        <w:pStyle w:val="TableParagraph"/>
        <w:tabs>
          <w:tab w:val="left" w:pos="4171"/>
          <w:tab w:val="center" w:pos="4800"/>
        </w:tabs>
        <w:ind w:right="1950"/>
        <w:jc w:val="center"/>
        <w:rPr>
          <w:rFonts w:ascii="Times New Roman" w:hAnsi="Times New Roman" w:cs="Times New Roman"/>
          <w:b/>
          <w:lang w:val="pl-PL"/>
        </w:rPr>
      </w:pPr>
      <w:r w:rsidRPr="008F328C">
        <w:rPr>
          <w:rFonts w:ascii="Times New Roman" w:eastAsia="Times New Roman" w:hAnsi="Times New Roman" w:cs="Times New Roman"/>
          <w:b/>
          <w:bCs/>
          <w:lang w:val="pl-PL"/>
        </w:rPr>
        <w:t>ANEKS II</w:t>
      </w:r>
    </w:p>
    <w:p w14:paraId="2EC6A6C3" w14:textId="77777777" w:rsidR="002E5800" w:rsidRPr="008F328C" w:rsidRDefault="002E5800">
      <w:pPr>
        <w:pStyle w:val="TableParagraph"/>
        <w:ind w:right="1950"/>
        <w:jc w:val="center"/>
        <w:rPr>
          <w:rFonts w:ascii="Times New Roman" w:hAnsi="Times New Roman" w:cs="Times New Roman"/>
          <w:b/>
          <w:lang w:val="pl-PL"/>
        </w:rPr>
      </w:pPr>
    </w:p>
    <w:p w14:paraId="15F844E2" w14:textId="77777777" w:rsidR="002E5800" w:rsidRPr="008F328C" w:rsidRDefault="000E0B7C">
      <w:pPr>
        <w:widowControl/>
        <w:numPr>
          <w:ilvl w:val="0"/>
          <w:numId w:val="32"/>
        </w:numPr>
        <w:tabs>
          <w:tab w:val="left" w:pos="567"/>
          <w:tab w:val="left" w:pos="1701"/>
        </w:tabs>
        <w:ind w:left="1701" w:right="1950" w:hanging="708"/>
        <w:rPr>
          <w:rFonts w:ascii="Times New Roman" w:eastAsia="Times New Roman" w:hAnsi="Times New Roman" w:cs="Times New Roman"/>
          <w:b/>
          <w:caps/>
          <w:szCs w:val="20"/>
          <w:lang w:val="pl-PL" w:eastAsia="pl-PL" w:bidi="pl-PL"/>
        </w:rPr>
      </w:pPr>
      <w:r w:rsidRPr="008F328C">
        <w:rPr>
          <w:rFonts w:ascii="Times New Roman" w:eastAsia="Times New Roman" w:hAnsi="Times New Roman" w:cs="Times New Roman"/>
          <w:b/>
          <w:caps/>
          <w:szCs w:val="20"/>
          <w:lang w:val="pl-PL" w:eastAsia="pl-PL" w:bidi="pl-PL"/>
        </w:rPr>
        <w:t>WYTWÓRCY BIOLOGICZNEJ SUBSTANCJI CZYNNEJ ORAZ WYTWÓRCY ODPOWIEDZIALNI ZA ZWOLNIENIE SERII</w:t>
      </w:r>
    </w:p>
    <w:p w14:paraId="707754DC" w14:textId="77777777" w:rsidR="002E5800" w:rsidRPr="008F328C" w:rsidRDefault="002E5800">
      <w:pPr>
        <w:widowControl/>
        <w:tabs>
          <w:tab w:val="left" w:pos="567"/>
          <w:tab w:val="left" w:pos="1701"/>
        </w:tabs>
        <w:ind w:left="1701" w:right="1950"/>
        <w:rPr>
          <w:rFonts w:ascii="Times New Roman" w:eastAsia="Times New Roman" w:hAnsi="Times New Roman" w:cs="Times New Roman"/>
          <w:b/>
          <w:caps/>
          <w:szCs w:val="20"/>
          <w:lang w:val="pl-PL" w:eastAsia="pl-PL" w:bidi="pl-PL"/>
        </w:rPr>
      </w:pPr>
    </w:p>
    <w:p w14:paraId="2CFF760E" w14:textId="77777777" w:rsidR="002E5800" w:rsidRPr="008F328C" w:rsidRDefault="000E0B7C">
      <w:pPr>
        <w:widowControl/>
        <w:numPr>
          <w:ilvl w:val="0"/>
          <w:numId w:val="32"/>
        </w:numPr>
        <w:tabs>
          <w:tab w:val="left" w:pos="567"/>
          <w:tab w:val="left" w:pos="1701"/>
        </w:tabs>
        <w:ind w:left="1701" w:right="1950" w:hanging="708"/>
        <w:rPr>
          <w:rFonts w:ascii="Times New Roman" w:eastAsia="Times New Roman" w:hAnsi="Times New Roman" w:cs="Times New Roman"/>
          <w:b/>
          <w:caps/>
          <w:szCs w:val="20"/>
          <w:lang w:val="pl-PL" w:eastAsia="pl-PL" w:bidi="pl-PL"/>
        </w:rPr>
      </w:pPr>
      <w:r w:rsidRPr="008F328C">
        <w:rPr>
          <w:rFonts w:ascii="Times New Roman" w:eastAsia="Times New Roman" w:hAnsi="Times New Roman" w:cs="Times New Roman"/>
          <w:b/>
          <w:caps/>
          <w:szCs w:val="20"/>
          <w:lang w:val="pl-PL" w:eastAsia="pl-PL" w:bidi="pl-PL"/>
        </w:rPr>
        <w:t>WARUNKI LUB OGRANICZENIA DOTYCZĄCE ZAOPATRZENIA I STOSOWANIA</w:t>
      </w:r>
    </w:p>
    <w:p w14:paraId="5F60D3EC" w14:textId="77777777" w:rsidR="002E5800" w:rsidRPr="008F328C" w:rsidRDefault="002E5800">
      <w:pPr>
        <w:widowControl/>
        <w:tabs>
          <w:tab w:val="left" w:pos="567"/>
          <w:tab w:val="left" w:pos="1701"/>
        </w:tabs>
        <w:ind w:left="1701" w:right="1950"/>
        <w:rPr>
          <w:rFonts w:ascii="Times New Roman" w:eastAsia="Times New Roman" w:hAnsi="Times New Roman" w:cs="Times New Roman"/>
          <w:b/>
          <w:caps/>
          <w:szCs w:val="20"/>
          <w:lang w:val="pl-PL" w:eastAsia="pl-PL" w:bidi="pl-PL"/>
        </w:rPr>
      </w:pPr>
    </w:p>
    <w:p w14:paraId="20AEE099" w14:textId="77777777" w:rsidR="002E5800" w:rsidRPr="008F328C" w:rsidRDefault="000E0B7C">
      <w:pPr>
        <w:widowControl/>
        <w:numPr>
          <w:ilvl w:val="0"/>
          <w:numId w:val="32"/>
        </w:numPr>
        <w:tabs>
          <w:tab w:val="left" w:pos="567"/>
          <w:tab w:val="left" w:pos="1701"/>
        </w:tabs>
        <w:ind w:left="1701" w:right="1950" w:hanging="708"/>
        <w:rPr>
          <w:rFonts w:ascii="Times New Roman" w:hAnsi="Times New Roman" w:cs="Times New Roman"/>
          <w:b/>
          <w:lang w:val="pl-PL"/>
        </w:rPr>
      </w:pPr>
      <w:r w:rsidRPr="008F328C">
        <w:rPr>
          <w:rFonts w:ascii="Times New Roman" w:eastAsia="Times New Roman" w:hAnsi="Times New Roman" w:cs="Times New Roman"/>
          <w:b/>
          <w:caps/>
          <w:szCs w:val="20"/>
          <w:lang w:val="pl-PL" w:eastAsia="pl-PL" w:bidi="pl-PL"/>
        </w:rPr>
        <w:t>INNE WARUNKI I WYMAGANIA DOTYCZĄCE DOPUSZCZENIA DO OBROTU</w:t>
      </w:r>
    </w:p>
    <w:p w14:paraId="6FEB1B94" w14:textId="77777777" w:rsidR="002E5800" w:rsidRPr="008F328C" w:rsidRDefault="002E5800">
      <w:pPr>
        <w:pStyle w:val="TableParagraph"/>
        <w:ind w:left="1701" w:right="1950"/>
        <w:rPr>
          <w:rFonts w:ascii="Times New Roman" w:hAnsi="Times New Roman" w:cs="Times New Roman"/>
          <w:b/>
          <w:lang w:val="pl-PL"/>
        </w:rPr>
      </w:pPr>
    </w:p>
    <w:p w14:paraId="298E0057" w14:textId="77777777" w:rsidR="002E5800" w:rsidRPr="008F328C" w:rsidRDefault="000E0B7C">
      <w:pPr>
        <w:widowControl/>
        <w:numPr>
          <w:ilvl w:val="0"/>
          <w:numId w:val="32"/>
        </w:numPr>
        <w:tabs>
          <w:tab w:val="left" w:pos="567"/>
          <w:tab w:val="left" w:pos="1701"/>
        </w:tabs>
        <w:ind w:left="1701" w:right="1950" w:hanging="708"/>
        <w:rPr>
          <w:rFonts w:ascii="Times New Roman" w:hAnsi="Times New Roman" w:cs="Times New Roman"/>
          <w:b/>
          <w:lang w:val="pl-PL"/>
        </w:rPr>
      </w:pPr>
      <w:r w:rsidRPr="008F328C">
        <w:rPr>
          <w:rFonts w:ascii="Times New Roman" w:eastAsia="Times New Roman" w:hAnsi="Times New Roman" w:cs="Times New Roman"/>
          <w:b/>
          <w:caps/>
          <w:szCs w:val="20"/>
          <w:lang w:val="pl-PL" w:eastAsia="pl-PL" w:bidi="pl-PL"/>
        </w:rPr>
        <w:t>WARUNKI LUB OGRANICZENIA DOTYCZĄCE BEZPIECZNEGO I SKUTECZNEGO STOSOWANIA PRODUKTU LECZNICZEGO</w:t>
      </w:r>
    </w:p>
    <w:p w14:paraId="47AFE1F2" w14:textId="77777777" w:rsidR="002E5800" w:rsidRPr="008F328C" w:rsidRDefault="000E0B7C">
      <w:pPr>
        <w:pStyle w:val="TableParagraph"/>
        <w:numPr>
          <w:ilvl w:val="0"/>
          <w:numId w:val="32"/>
        </w:numPr>
        <w:ind w:left="1701" w:right="1950"/>
        <w:rPr>
          <w:rFonts w:ascii="Times New Roman" w:hAnsi="Times New Roman" w:cs="Times New Roman"/>
          <w:b/>
          <w:lang w:val="pl-PL"/>
        </w:rPr>
      </w:pPr>
      <w:r w:rsidRPr="008F328C">
        <w:rPr>
          <w:rFonts w:ascii="Times New Roman" w:hAnsi="Times New Roman" w:cs="Times New Roman"/>
          <w:b/>
          <w:lang w:val="pl-PL"/>
        </w:rPr>
        <w:br w:type="page"/>
      </w:r>
    </w:p>
    <w:p w14:paraId="417BE0AC" w14:textId="77777777" w:rsidR="002E5800" w:rsidRPr="008F328C" w:rsidRDefault="000E0B7C">
      <w:pPr>
        <w:pStyle w:val="1"/>
        <w:numPr>
          <w:ilvl w:val="0"/>
          <w:numId w:val="34"/>
        </w:numPr>
        <w:ind w:left="360"/>
        <w:rPr>
          <w:rFonts w:cs="Times New Roman"/>
          <w:lang w:val="pl-PL"/>
        </w:rPr>
      </w:pPr>
      <w:bookmarkStart w:id="11" w:name="A._MANUFACTURERS_OF_THE_BIOLOGICAL_ACTIV"/>
      <w:bookmarkEnd w:id="11"/>
      <w:r w:rsidRPr="008F328C">
        <w:rPr>
          <w:rFonts w:cs="Times New Roman"/>
          <w:lang w:val="pl-PL"/>
        </w:rPr>
        <w:lastRenderedPageBreak/>
        <w:t>WYTWÓRCY BIOLOGICZNEJ SUBSTANCJI CZYNNEJ ORAZ WYTWÓRCY ODPOWIEDZIALNI ZA ZWOLNIENIE SERII</w:t>
      </w:r>
    </w:p>
    <w:p w14:paraId="48670591" w14:textId="77777777" w:rsidR="002E5800" w:rsidRPr="008F328C" w:rsidRDefault="002E5800">
      <w:pPr>
        <w:spacing w:before="5" w:line="240" w:lineRule="exact"/>
        <w:rPr>
          <w:rFonts w:ascii="Times New Roman" w:hAnsi="Times New Roman" w:cs="Times New Roman"/>
          <w:sz w:val="24"/>
          <w:szCs w:val="24"/>
          <w:lang w:val="pl-PL"/>
        </w:rPr>
      </w:pPr>
    </w:p>
    <w:p w14:paraId="334D78C6" w14:textId="77777777" w:rsidR="002E5800" w:rsidRPr="008F328C" w:rsidRDefault="000E0B7C">
      <w:pPr>
        <w:pStyle w:val="a3"/>
        <w:rPr>
          <w:u w:val="single"/>
          <w:lang w:val="pl-PL"/>
        </w:rPr>
      </w:pPr>
      <w:r w:rsidRPr="008F328C">
        <w:rPr>
          <w:rFonts w:eastAsia="Times New Roman"/>
          <w:u w:val="single" w:color="000000"/>
          <w:lang w:val="pl-PL"/>
        </w:rPr>
        <w:t>Nazwa i adres wytwórcy (wytwórców) biologicznej substancji czynnej</w:t>
      </w:r>
    </w:p>
    <w:p w14:paraId="3E1F0963" w14:textId="77777777" w:rsidR="002E5800" w:rsidRPr="008F328C" w:rsidRDefault="002E5800">
      <w:pPr>
        <w:spacing w:before="1" w:line="180" w:lineRule="exact"/>
        <w:rPr>
          <w:rFonts w:ascii="Times New Roman" w:hAnsi="Times New Roman" w:cs="Times New Roman"/>
          <w:sz w:val="18"/>
          <w:szCs w:val="18"/>
          <w:lang w:val="pl-PL"/>
        </w:rPr>
      </w:pPr>
    </w:p>
    <w:p w14:paraId="406496CA" w14:textId="7E016292" w:rsidR="00D940A1" w:rsidRPr="00DF3E6D" w:rsidRDefault="000E0B7C" w:rsidP="00D940A1">
      <w:pPr>
        <w:pStyle w:val="a3"/>
        <w:rPr>
          <w:rFonts w:eastAsia="Times New Roman"/>
          <w:lang w:val="en-GB"/>
        </w:rPr>
      </w:pPr>
      <w:r w:rsidRPr="00DF3E6D">
        <w:rPr>
          <w:rFonts w:eastAsia="Times New Roman"/>
          <w:lang w:val="en-GB"/>
        </w:rPr>
        <w:t>CELLTRION INC.</w:t>
      </w:r>
      <w:r w:rsidRPr="00DF3E6D">
        <w:rPr>
          <w:rFonts w:eastAsia="Times New Roman"/>
          <w:lang w:val="en-GB"/>
        </w:rPr>
        <w:br/>
        <w:t>20 Academy-ro 51 beon-gil</w:t>
      </w:r>
      <w:r w:rsidRPr="00DF3E6D">
        <w:rPr>
          <w:rFonts w:eastAsia="Times New Roman"/>
          <w:lang w:val="en-GB"/>
        </w:rPr>
        <w:br/>
        <w:t>Yeonsu-gu</w:t>
      </w:r>
      <w:r w:rsidRPr="00DF3E6D">
        <w:rPr>
          <w:rFonts w:eastAsia="Times New Roman"/>
          <w:lang w:val="en-GB"/>
        </w:rPr>
        <w:br/>
        <w:t>22014 Incheon</w:t>
      </w:r>
      <w:r w:rsidR="00D940A1" w:rsidRPr="00DF3E6D">
        <w:rPr>
          <w:rFonts w:eastAsia="Times New Roman"/>
          <w:lang w:val="en-GB"/>
        </w:rPr>
        <w:t>Republika Korei</w:t>
      </w:r>
    </w:p>
    <w:p w14:paraId="7967DB49" w14:textId="77777777" w:rsidR="002E5800" w:rsidRPr="00DF3E6D" w:rsidRDefault="002E5800">
      <w:pPr>
        <w:spacing w:before="13" w:line="240" w:lineRule="exact"/>
        <w:rPr>
          <w:rFonts w:ascii="Times New Roman" w:hAnsi="Times New Roman" w:cs="Times New Roman"/>
          <w:sz w:val="24"/>
          <w:szCs w:val="24"/>
          <w:u w:val="single"/>
          <w:lang w:val="en-GB"/>
        </w:rPr>
      </w:pPr>
    </w:p>
    <w:p w14:paraId="2054814C" w14:textId="77777777" w:rsidR="002E5800" w:rsidRPr="008F328C" w:rsidRDefault="000E0B7C">
      <w:pPr>
        <w:pStyle w:val="a3"/>
        <w:rPr>
          <w:u w:val="single"/>
          <w:lang w:val="pl-PL"/>
        </w:rPr>
      </w:pPr>
      <w:r w:rsidRPr="008F328C">
        <w:rPr>
          <w:rFonts w:eastAsia="Times New Roman"/>
          <w:u w:val="single" w:color="000000"/>
          <w:lang w:val="pl-PL"/>
        </w:rPr>
        <w:t>Nazwa i adres wytwórcy odpowiedzialnego (wytwórców odpowiedzialnych) za zwolnienie serii</w:t>
      </w:r>
    </w:p>
    <w:p w14:paraId="64F10B29" w14:textId="77777777" w:rsidR="002E5800" w:rsidRPr="008F328C" w:rsidRDefault="002E5800">
      <w:pPr>
        <w:spacing w:before="1" w:line="180" w:lineRule="exact"/>
        <w:rPr>
          <w:rFonts w:ascii="Times New Roman" w:hAnsi="Times New Roman" w:cs="Times New Roman"/>
          <w:sz w:val="18"/>
          <w:szCs w:val="18"/>
          <w:lang w:val="pl-PL"/>
        </w:rPr>
      </w:pPr>
    </w:p>
    <w:p w14:paraId="0E4619D6" w14:textId="3436ABD9" w:rsidR="002E5800" w:rsidRPr="008F328C" w:rsidDel="009E0A16" w:rsidRDefault="000E0B7C">
      <w:pPr>
        <w:pStyle w:val="a3"/>
        <w:rPr>
          <w:del w:id="12" w:author="만든 이"/>
        </w:rPr>
      </w:pPr>
      <w:del w:id="13" w:author="만든 이">
        <w:r w:rsidRPr="008F328C" w:rsidDel="009E0A16">
          <w:rPr>
            <w:lang w:val="en-GB"/>
          </w:rPr>
          <w:delText xml:space="preserve">Millmount Healthcare </w:delText>
        </w:r>
        <w:r w:rsidRPr="008F328C" w:rsidDel="009E0A16">
          <w:delText>Ltd.</w:delText>
        </w:r>
      </w:del>
    </w:p>
    <w:p w14:paraId="3259D679" w14:textId="254B51F8" w:rsidR="002E5800" w:rsidRPr="008F328C" w:rsidDel="009E0A16" w:rsidRDefault="000E0B7C">
      <w:pPr>
        <w:pStyle w:val="a3"/>
        <w:rPr>
          <w:del w:id="14" w:author="만든 이"/>
        </w:rPr>
      </w:pPr>
      <w:del w:id="15" w:author="만든 이">
        <w:r w:rsidRPr="008F328C" w:rsidDel="009E0A16">
          <w:delText>Block 7</w:delText>
        </w:r>
      </w:del>
    </w:p>
    <w:p w14:paraId="3B85AE7C" w14:textId="3A78559A" w:rsidR="002E5800" w:rsidRPr="008F328C" w:rsidDel="009E0A16" w:rsidRDefault="000E0B7C">
      <w:pPr>
        <w:pStyle w:val="a3"/>
        <w:rPr>
          <w:del w:id="16" w:author="만든 이"/>
        </w:rPr>
      </w:pPr>
      <w:del w:id="17" w:author="만든 이">
        <w:r w:rsidRPr="008F328C" w:rsidDel="009E0A16">
          <w:delText xml:space="preserve">City North Business Campus </w:delText>
        </w:r>
      </w:del>
    </w:p>
    <w:p w14:paraId="12838C50" w14:textId="7423A366" w:rsidR="002E5800" w:rsidRPr="008F328C" w:rsidDel="009E0A16" w:rsidRDefault="000E0B7C">
      <w:pPr>
        <w:pStyle w:val="a3"/>
        <w:rPr>
          <w:del w:id="18" w:author="만든 이"/>
        </w:rPr>
      </w:pPr>
      <w:del w:id="19" w:author="만든 이">
        <w:r w:rsidRPr="008F328C" w:rsidDel="009E0A16">
          <w:delText>Stamullen, Co. Meath K32 YD60</w:delText>
        </w:r>
      </w:del>
    </w:p>
    <w:p w14:paraId="5BAA948E" w14:textId="4293C096" w:rsidR="002E5800" w:rsidRPr="00DA01FB" w:rsidDel="009E0A16" w:rsidRDefault="00D940A1">
      <w:pPr>
        <w:pStyle w:val="a3"/>
        <w:rPr>
          <w:del w:id="20" w:author="만든 이"/>
          <w:lang w:val="es-ES"/>
        </w:rPr>
      </w:pPr>
      <w:del w:id="21" w:author="만든 이">
        <w:r w:rsidRPr="00DA01FB" w:rsidDel="009E0A16">
          <w:rPr>
            <w:rFonts w:eastAsia="Times New Roman"/>
            <w:lang w:val="es-ES"/>
          </w:rPr>
          <w:delText>Irlandia</w:delText>
        </w:r>
      </w:del>
    </w:p>
    <w:p w14:paraId="3A11EDF8" w14:textId="39501BC0" w:rsidR="002E5800" w:rsidRPr="00DA01FB" w:rsidDel="009E0A16" w:rsidRDefault="002E5800">
      <w:pPr>
        <w:pStyle w:val="a3"/>
        <w:rPr>
          <w:del w:id="22" w:author="만든 이"/>
          <w:lang w:val="es-ES"/>
        </w:rPr>
      </w:pPr>
    </w:p>
    <w:p w14:paraId="396A7352" w14:textId="77777777" w:rsidR="009E0A16" w:rsidRPr="008F328C" w:rsidRDefault="009E0A16" w:rsidP="009E0A16">
      <w:pPr>
        <w:pStyle w:val="a3"/>
        <w:rPr>
          <w:moveTo w:id="23" w:author="만든 이" w16du:dateUtc="2025-09-09T06:15:00Z"/>
          <w:lang w:val="de-CH"/>
        </w:rPr>
      </w:pPr>
      <w:moveToRangeStart w:id="24" w:author="만든 이" w:name="move208323358"/>
      <w:moveTo w:id="25" w:author="만든 이" w16du:dateUtc="2025-09-09T06:15:00Z">
        <w:r w:rsidRPr="008F328C">
          <w:rPr>
            <w:lang w:val="de-CH"/>
          </w:rPr>
          <w:t>Nuvisan France SARL</w:t>
        </w:r>
      </w:moveTo>
    </w:p>
    <w:p w14:paraId="43D6D3B3" w14:textId="77777777" w:rsidR="009E0A16" w:rsidRPr="008F328C" w:rsidRDefault="009E0A16" w:rsidP="009E0A16">
      <w:pPr>
        <w:pStyle w:val="a3"/>
        <w:rPr>
          <w:moveTo w:id="26" w:author="만든 이" w16du:dateUtc="2025-09-09T06:15:00Z"/>
          <w:lang w:val="de-CH"/>
        </w:rPr>
      </w:pPr>
      <w:moveTo w:id="27" w:author="만든 이" w16du:dateUtc="2025-09-09T06:15:00Z">
        <w:r w:rsidRPr="008F328C">
          <w:rPr>
            <w:lang w:val="de-CH"/>
          </w:rPr>
          <w:t>2400, Route des Colles</w:t>
        </w:r>
      </w:moveTo>
    </w:p>
    <w:p w14:paraId="23845BBC" w14:textId="77777777" w:rsidR="009E0A16" w:rsidRPr="008F328C" w:rsidRDefault="009E0A16" w:rsidP="009E0A16">
      <w:pPr>
        <w:pStyle w:val="a3"/>
        <w:rPr>
          <w:moveTo w:id="28" w:author="만든 이" w16du:dateUtc="2025-09-09T06:15:00Z"/>
          <w:lang w:val="de-CH"/>
        </w:rPr>
      </w:pPr>
      <w:moveTo w:id="29" w:author="만든 이" w16du:dateUtc="2025-09-09T06:15:00Z">
        <w:r w:rsidRPr="008F328C">
          <w:rPr>
            <w:lang w:val="de-CH"/>
          </w:rPr>
          <w:t>06410, Biot</w:t>
        </w:r>
      </w:moveTo>
    </w:p>
    <w:p w14:paraId="27C00FBE" w14:textId="77777777" w:rsidR="009E0A16" w:rsidRPr="008F328C" w:rsidRDefault="009E0A16" w:rsidP="009E0A16">
      <w:pPr>
        <w:pStyle w:val="a3"/>
        <w:rPr>
          <w:moveTo w:id="30" w:author="만든 이" w16du:dateUtc="2025-09-09T06:15:00Z"/>
          <w:lang w:val="de-CH"/>
        </w:rPr>
      </w:pPr>
      <w:moveTo w:id="31" w:author="만든 이" w16du:dateUtc="2025-09-09T06:15:00Z">
        <w:r w:rsidRPr="008F328C">
          <w:rPr>
            <w:lang w:val="de-CH"/>
          </w:rPr>
          <w:t>Francja</w:t>
        </w:r>
      </w:moveTo>
    </w:p>
    <w:p w14:paraId="0E28BAB4" w14:textId="77777777" w:rsidR="009E0A16" w:rsidRPr="008F328C" w:rsidRDefault="009E0A16" w:rsidP="009E0A16">
      <w:pPr>
        <w:pStyle w:val="a3"/>
        <w:rPr>
          <w:moveTo w:id="32" w:author="만든 이" w16du:dateUtc="2025-09-09T06:15:00Z"/>
          <w:lang w:val="es-ES_tradnl"/>
        </w:rPr>
      </w:pPr>
    </w:p>
    <w:moveToRangeEnd w:id="24"/>
    <w:p w14:paraId="5A9570D1" w14:textId="77777777" w:rsidR="00C93888" w:rsidRPr="008F328C" w:rsidRDefault="00C93888" w:rsidP="00C93888">
      <w:pPr>
        <w:pStyle w:val="a3"/>
        <w:rPr>
          <w:lang w:val="de-CH"/>
        </w:rPr>
      </w:pPr>
      <w:r w:rsidRPr="008F328C">
        <w:rPr>
          <w:lang w:val="de-CH"/>
        </w:rPr>
        <w:t>Nuvisan GmbH</w:t>
      </w:r>
    </w:p>
    <w:p w14:paraId="3215F46B" w14:textId="295A942D" w:rsidR="00C93888" w:rsidRPr="008F328C" w:rsidRDefault="00C93888" w:rsidP="00C93888">
      <w:pPr>
        <w:pStyle w:val="a3"/>
        <w:rPr>
          <w:lang w:val="de-CH"/>
        </w:rPr>
      </w:pPr>
      <w:r w:rsidRPr="008F328C">
        <w:rPr>
          <w:lang w:val="de-CH"/>
        </w:rPr>
        <w:t>Wegenerstraße 13</w:t>
      </w:r>
    </w:p>
    <w:p w14:paraId="0F4E7554" w14:textId="5BD4B18B" w:rsidR="00C93888" w:rsidRPr="008F328C" w:rsidRDefault="00C93888" w:rsidP="00C93888">
      <w:pPr>
        <w:pStyle w:val="a3"/>
        <w:rPr>
          <w:lang w:val="de-CH"/>
        </w:rPr>
      </w:pPr>
      <w:r w:rsidRPr="008F328C">
        <w:rPr>
          <w:lang w:val="de-CH"/>
        </w:rPr>
        <w:t>89231 Neu</w:t>
      </w:r>
      <w:r w:rsidR="00190E6B">
        <w:rPr>
          <w:rFonts w:hint="eastAsia"/>
          <w:lang w:val="de-CH" w:eastAsia="ko-KR"/>
        </w:rPr>
        <w:t>-</w:t>
      </w:r>
      <w:r w:rsidRPr="008F328C">
        <w:rPr>
          <w:lang w:val="de-CH"/>
        </w:rPr>
        <w:t>Ulm</w:t>
      </w:r>
    </w:p>
    <w:p w14:paraId="4FF7E3CB" w14:textId="77777777" w:rsidR="00C93888" w:rsidRPr="008F328C" w:rsidRDefault="00C93888" w:rsidP="00C93888">
      <w:pPr>
        <w:pStyle w:val="a3"/>
        <w:rPr>
          <w:lang w:val="de-CH"/>
        </w:rPr>
      </w:pPr>
      <w:r w:rsidRPr="008F328C">
        <w:rPr>
          <w:lang w:val="de-CH"/>
        </w:rPr>
        <w:t>Niemcy</w:t>
      </w:r>
    </w:p>
    <w:p w14:paraId="73EAB923" w14:textId="77777777" w:rsidR="00C93888" w:rsidRPr="008F328C" w:rsidRDefault="00C93888" w:rsidP="00C93888">
      <w:pPr>
        <w:pStyle w:val="a3"/>
        <w:rPr>
          <w:lang w:val="de-CH"/>
        </w:rPr>
      </w:pPr>
    </w:p>
    <w:p w14:paraId="0ECD5E1E" w14:textId="7B02575E" w:rsidR="00C93888" w:rsidRPr="008F328C" w:rsidDel="009E0A16" w:rsidRDefault="00C93888" w:rsidP="00C93888">
      <w:pPr>
        <w:pStyle w:val="a3"/>
        <w:rPr>
          <w:moveFrom w:id="33" w:author="만든 이" w16du:dateUtc="2025-09-09T06:15:00Z"/>
          <w:lang w:val="de-CH"/>
        </w:rPr>
      </w:pPr>
      <w:moveFromRangeStart w:id="34" w:author="만든 이" w:name="move208323358"/>
      <w:moveFrom w:id="35" w:author="만든 이" w16du:dateUtc="2025-09-09T06:15:00Z">
        <w:r w:rsidRPr="008F328C" w:rsidDel="009E0A16">
          <w:rPr>
            <w:lang w:val="de-CH"/>
          </w:rPr>
          <w:t>Nuvisan France SARL</w:t>
        </w:r>
      </w:moveFrom>
    </w:p>
    <w:p w14:paraId="77A055AC" w14:textId="316ED9A2" w:rsidR="00C93888" w:rsidRPr="008F328C" w:rsidDel="009E0A16" w:rsidRDefault="00C93888" w:rsidP="00C93888">
      <w:pPr>
        <w:pStyle w:val="a3"/>
        <w:rPr>
          <w:moveFrom w:id="36" w:author="만든 이" w16du:dateUtc="2025-09-09T06:15:00Z"/>
          <w:lang w:val="de-CH"/>
        </w:rPr>
      </w:pPr>
      <w:moveFrom w:id="37" w:author="만든 이" w16du:dateUtc="2025-09-09T06:15:00Z">
        <w:r w:rsidRPr="008F328C" w:rsidDel="009E0A16">
          <w:rPr>
            <w:lang w:val="de-CH"/>
          </w:rPr>
          <w:t>2400, Route des Colles</w:t>
        </w:r>
      </w:moveFrom>
    </w:p>
    <w:p w14:paraId="5D03B133" w14:textId="05B5CF17" w:rsidR="00C93888" w:rsidRPr="008F328C" w:rsidDel="009E0A16" w:rsidRDefault="00C93888" w:rsidP="00C93888">
      <w:pPr>
        <w:pStyle w:val="a3"/>
        <w:rPr>
          <w:moveFrom w:id="38" w:author="만든 이" w16du:dateUtc="2025-09-09T06:15:00Z"/>
          <w:lang w:val="de-CH"/>
        </w:rPr>
      </w:pPr>
      <w:moveFrom w:id="39" w:author="만든 이" w16du:dateUtc="2025-09-09T06:15:00Z">
        <w:r w:rsidRPr="008F328C" w:rsidDel="009E0A16">
          <w:rPr>
            <w:lang w:val="de-CH"/>
          </w:rPr>
          <w:t>06410, Biot</w:t>
        </w:r>
      </w:moveFrom>
    </w:p>
    <w:p w14:paraId="71B1EC55" w14:textId="7E28BD61" w:rsidR="00C93888" w:rsidRPr="008F328C" w:rsidDel="009E0A16" w:rsidRDefault="00C93888" w:rsidP="00C93888">
      <w:pPr>
        <w:pStyle w:val="a3"/>
        <w:rPr>
          <w:moveFrom w:id="40" w:author="만든 이" w16du:dateUtc="2025-09-09T06:15:00Z"/>
          <w:lang w:val="de-CH"/>
        </w:rPr>
      </w:pPr>
      <w:moveFrom w:id="41" w:author="만든 이" w16du:dateUtc="2025-09-09T06:15:00Z">
        <w:r w:rsidRPr="008F328C" w:rsidDel="009E0A16">
          <w:rPr>
            <w:lang w:val="de-CH"/>
          </w:rPr>
          <w:t>Francja</w:t>
        </w:r>
      </w:moveFrom>
    </w:p>
    <w:p w14:paraId="2B6F494F" w14:textId="7BF63F1A" w:rsidR="008D1574" w:rsidRPr="008F328C" w:rsidDel="009E0A16" w:rsidRDefault="008D1574" w:rsidP="008D1574">
      <w:pPr>
        <w:pStyle w:val="a3"/>
        <w:rPr>
          <w:moveFrom w:id="42" w:author="만든 이" w16du:dateUtc="2025-09-09T06:15:00Z"/>
          <w:lang w:val="es-ES_tradnl"/>
        </w:rPr>
      </w:pPr>
    </w:p>
    <w:moveFromRangeEnd w:id="34"/>
    <w:p w14:paraId="675C22BB" w14:textId="77777777" w:rsidR="008D1574" w:rsidRPr="00494296" w:rsidRDefault="008D1574" w:rsidP="008D1574">
      <w:pPr>
        <w:pStyle w:val="a3"/>
        <w:rPr>
          <w:lang w:val="de-CH"/>
        </w:rPr>
      </w:pPr>
      <w:r w:rsidRPr="00494296">
        <w:rPr>
          <w:lang w:val="de-CH"/>
        </w:rPr>
        <w:t>Midas Pharma GmbH</w:t>
      </w:r>
    </w:p>
    <w:p w14:paraId="54AD4144" w14:textId="45E8DAEC" w:rsidR="008D1574" w:rsidRPr="00494296" w:rsidRDefault="008D1574" w:rsidP="008D1574">
      <w:pPr>
        <w:pStyle w:val="a3"/>
        <w:rPr>
          <w:lang w:val="de-CH"/>
        </w:rPr>
      </w:pPr>
      <w:r w:rsidRPr="00494296">
        <w:rPr>
          <w:lang w:val="de-CH"/>
        </w:rPr>
        <w:t>Rheinstr. 49</w:t>
      </w:r>
    </w:p>
    <w:p w14:paraId="15ADA5AC" w14:textId="1123744B" w:rsidR="008D1574" w:rsidRPr="00494296" w:rsidRDefault="008D1574" w:rsidP="008D1574">
      <w:pPr>
        <w:pStyle w:val="a3"/>
        <w:rPr>
          <w:lang w:val="de-CH"/>
        </w:rPr>
      </w:pPr>
      <w:r w:rsidRPr="00494296">
        <w:rPr>
          <w:lang w:val="de-CH"/>
        </w:rPr>
        <w:t>55218 Ingelheim</w:t>
      </w:r>
    </w:p>
    <w:p w14:paraId="41B97467" w14:textId="36314450" w:rsidR="008D1574" w:rsidRPr="008F328C" w:rsidRDefault="008D1574" w:rsidP="008D1574">
      <w:pPr>
        <w:pStyle w:val="a3"/>
        <w:rPr>
          <w:lang w:val="de-CH"/>
        </w:rPr>
      </w:pPr>
      <w:r w:rsidRPr="008F328C">
        <w:rPr>
          <w:lang w:val="de-CH"/>
        </w:rPr>
        <w:t>Niemcy</w:t>
      </w:r>
    </w:p>
    <w:p w14:paraId="02B360BF" w14:textId="77777777" w:rsidR="008D1574" w:rsidRPr="00494296" w:rsidRDefault="008D1574" w:rsidP="008D1574">
      <w:pPr>
        <w:pStyle w:val="a3"/>
        <w:rPr>
          <w:lang w:val="de-CH"/>
        </w:rPr>
      </w:pPr>
    </w:p>
    <w:p w14:paraId="3693443F" w14:textId="5C061DB0" w:rsidR="008D1574" w:rsidRPr="008F328C" w:rsidRDefault="008D1574" w:rsidP="008D1574">
      <w:pPr>
        <w:pStyle w:val="a3"/>
        <w:rPr>
          <w:lang w:val="fr-FR"/>
        </w:rPr>
      </w:pPr>
      <w:r w:rsidRPr="008F328C">
        <w:rPr>
          <w:lang w:val="fr-FR"/>
        </w:rPr>
        <w:t>KYMOS S.L.</w:t>
      </w:r>
    </w:p>
    <w:p w14:paraId="4AADFBF5" w14:textId="18310B95" w:rsidR="008D1574" w:rsidRPr="008F328C" w:rsidRDefault="008D1574" w:rsidP="008D1574">
      <w:pPr>
        <w:pStyle w:val="a3"/>
        <w:rPr>
          <w:lang w:val="fr-FR"/>
        </w:rPr>
      </w:pPr>
      <w:r w:rsidRPr="008F328C">
        <w:rPr>
          <w:lang w:val="fr-FR"/>
        </w:rPr>
        <w:t>Ronda Can Fatjó, 7B.</w:t>
      </w:r>
    </w:p>
    <w:p w14:paraId="0FA7B309" w14:textId="1622F078" w:rsidR="008D1574" w:rsidRPr="008F328C" w:rsidRDefault="008D1574" w:rsidP="008D1574">
      <w:pPr>
        <w:pStyle w:val="a3"/>
        <w:rPr>
          <w:lang w:val="fr-FR"/>
        </w:rPr>
      </w:pPr>
      <w:r w:rsidRPr="008F328C">
        <w:rPr>
          <w:lang w:val="fr-FR"/>
        </w:rPr>
        <w:t>08290 Cerdanyola del Vallès</w:t>
      </w:r>
    </w:p>
    <w:p w14:paraId="2F8C0942" w14:textId="42B605B7" w:rsidR="008D1574" w:rsidRPr="008F328C" w:rsidRDefault="008D1574" w:rsidP="008D1574">
      <w:pPr>
        <w:pStyle w:val="a3"/>
        <w:rPr>
          <w:lang w:val="fr-FR"/>
        </w:rPr>
      </w:pPr>
      <w:r w:rsidRPr="008F328C">
        <w:rPr>
          <w:lang w:val="fr-FR"/>
        </w:rPr>
        <w:t>Barcelona</w:t>
      </w:r>
    </w:p>
    <w:p w14:paraId="2A4BEA2A" w14:textId="03CD4448" w:rsidR="008D1574" w:rsidRPr="008F328C" w:rsidRDefault="008D1574" w:rsidP="008D1574">
      <w:pPr>
        <w:pStyle w:val="a3"/>
        <w:rPr>
          <w:lang w:val="fr-FR"/>
        </w:rPr>
      </w:pPr>
      <w:r w:rsidRPr="008F328C">
        <w:rPr>
          <w:lang w:val="fr-FR"/>
        </w:rPr>
        <w:t>Hiszpania</w:t>
      </w:r>
    </w:p>
    <w:p w14:paraId="51C46DEB" w14:textId="77777777" w:rsidR="00C93888" w:rsidRPr="008F328C" w:rsidRDefault="00C93888" w:rsidP="00C93888">
      <w:pPr>
        <w:pStyle w:val="a3"/>
        <w:rPr>
          <w:lang w:val="de-CH"/>
        </w:rPr>
      </w:pPr>
    </w:p>
    <w:p w14:paraId="6CF1A07E" w14:textId="11ECD2E5" w:rsidR="00D940A1" w:rsidRPr="008F328C" w:rsidRDefault="00C93888" w:rsidP="00C93888">
      <w:pPr>
        <w:pStyle w:val="a3"/>
        <w:rPr>
          <w:lang w:val="de-CH"/>
        </w:rPr>
      </w:pPr>
      <w:r w:rsidRPr="008F328C">
        <w:rPr>
          <w:lang w:val="de-CH"/>
        </w:rPr>
        <w:t>Wydrukowana ulotka dla pacjenta musi zawierać nazwę i adres wytwórcy odpowiedzialnego za zwolnienie danej serii produktu leczniczego</w:t>
      </w:r>
      <w:r w:rsidR="00D940A1" w:rsidRPr="008F328C">
        <w:rPr>
          <w:lang w:val="de-CH"/>
        </w:rPr>
        <w:t>.</w:t>
      </w:r>
    </w:p>
    <w:p w14:paraId="5CE30986" w14:textId="77777777" w:rsidR="002E5800" w:rsidRPr="008F328C" w:rsidRDefault="002E5800">
      <w:pPr>
        <w:pStyle w:val="a3"/>
        <w:rPr>
          <w:lang w:val="de-CH"/>
        </w:rPr>
      </w:pPr>
    </w:p>
    <w:p w14:paraId="0CF14FFF" w14:textId="77777777" w:rsidR="002E5800" w:rsidRPr="008F328C" w:rsidRDefault="000E0B7C">
      <w:pPr>
        <w:pStyle w:val="1"/>
        <w:numPr>
          <w:ilvl w:val="0"/>
          <w:numId w:val="34"/>
        </w:numPr>
        <w:ind w:left="360"/>
        <w:rPr>
          <w:rFonts w:cs="Times New Roman"/>
          <w:lang w:val="pl-PL"/>
        </w:rPr>
      </w:pPr>
      <w:bookmarkStart w:id="43" w:name="B._CONDITIONS_OR_RESTRICTIONS_REGARDING_"/>
      <w:bookmarkEnd w:id="43"/>
      <w:r w:rsidRPr="008F328C">
        <w:rPr>
          <w:rFonts w:cs="Times New Roman"/>
          <w:lang w:val="pl-PL"/>
        </w:rPr>
        <w:t>WARUNKI LUB OGRANICZENIA DOTYCZĄCE ZAOPATRZENIA I STOSOWANIA</w:t>
      </w:r>
    </w:p>
    <w:p w14:paraId="209695D9" w14:textId="77777777" w:rsidR="002E5800" w:rsidRPr="008F328C" w:rsidRDefault="002E5800">
      <w:pPr>
        <w:spacing w:before="12" w:line="240" w:lineRule="exact"/>
        <w:rPr>
          <w:rFonts w:ascii="Times New Roman" w:hAnsi="Times New Roman" w:cs="Times New Roman"/>
          <w:sz w:val="24"/>
          <w:szCs w:val="24"/>
          <w:lang w:val="pl-PL"/>
        </w:rPr>
      </w:pPr>
    </w:p>
    <w:p w14:paraId="4BFF5FC0" w14:textId="77777777" w:rsidR="002E5800" w:rsidRPr="008F328C" w:rsidRDefault="000E0B7C">
      <w:pPr>
        <w:pStyle w:val="a3"/>
        <w:rPr>
          <w:lang w:val="pl-PL"/>
        </w:rPr>
      </w:pPr>
      <w:r w:rsidRPr="008F328C">
        <w:rPr>
          <w:rFonts w:eastAsia="Times New Roman"/>
          <w:lang w:val="pl-PL"/>
        </w:rPr>
        <w:t>Produkt leczniczy wydawany na receptę do zastrzeżonego stosowania (patrz aneks I: Charakterystyka produktu leczniczego, punkt 4.2).</w:t>
      </w:r>
    </w:p>
    <w:p w14:paraId="1F093240" w14:textId="77777777" w:rsidR="002E5800" w:rsidRPr="008F328C" w:rsidRDefault="002E5800">
      <w:pPr>
        <w:spacing w:before="7" w:line="100" w:lineRule="exact"/>
        <w:rPr>
          <w:rFonts w:ascii="Times New Roman" w:hAnsi="Times New Roman" w:cs="Times New Roman"/>
          <w:sz w:val="10"/>
          <w:szCs w:val="10"/>
          <w:lang w:val="pl-PL"/>
        </w:rPr>
      </w:pPr>
    </w:p>
    <w:p w14:paraId="3BAFA395" w14:textId="77777777" w:rsidR="002E5800" w:rsidRPr="008F328C" w:rsidRDefault="002E5800">
      <w:pPr>
        <w:pStyle w:val="a3"/>
        <w:rPr>
          <w:lang w:val="pl-PL"/>
        </w:rPr>
      </w:pPr>
    </w:p>
    <w:p w14:paraId="5C235AED" w14:textId="77777777" w:rsidR="002E5800" w:rsidRPr="008F328C" w:rsidRDefault="000E0B7C">
      <w:pPr>
        <w:pStyle w:val="1"/>
        <w:numPr>
          <w:ilvl w:val="0"/>
          <w:numId w:val="34"/>
        </w:numPr>
        <w:ind w:left="360"/>
        <w:rPr>
          <w:rFonts w:cs="Times New Roman"/>
          <w:lang w:val="pl-PL"/>
        </w:rPr>
      </w:pPr>
      <w:bookmarkStart w:id="44" w:name="C.__OTHER_CONDITIONS_AND_REQUIREMENTS_OF"/>
      <w:bookmarkEnd w:id="44"/>
      <w:r w:rsidRPr="008F328C">
        <w:rPr>
          <w:rFonts w:cs="Times New Roman"/>
          <w:lang w:val="pl-PL"/>
        </w:rPr>
        <w:t>INNE WARUNKI I WYMAGANIA DOTYCZĄCE DOPUSZCZENIA DO OBROTU</w:t>
      </w:r>
    </w:p>
    <w:p w14:paraId="53642118" w14:textId="77777777" w:rsidR="002E5800" w:rsidRPr="008F328C" w:rsidRDefault="002E5800">
      <w:pPr>
        <w:spacing w:before="13" w:line="240" w:lineRule="exact"/>
        <w:rPr>
          <w:rFonts w:ascii="Times New Roman" w:hAnsi="Times New Roman" w:cs="Times New Roman"/>
          <w:sz w:val="24"/>
          <w:szCs w:val="24"/>
          <w:lang w:val="pl-PL"/>
        </w:rPr>
      </w:pPr>
    </w:p>
    <w:p w14:paraId="43567E3E" w14:textId="77777777" w:rsidR="002E5800" w:rsidRPr="008F328C" w:rsidRDefault="000E0B7C">
      <w:pPr>
        <w:keepNext/>
        <w:widowControl/>
        <w:numPr>
          <w:ilvl w:val="1"/>
          <w:numId w:val="8"/>
        </w:numPr>
        <w:tabs>
          <w:tab w:val="num" w:pos="567"/>
        </w:tabs>
        <w:ind w:left="567" w:right="-1" w:hanging="567"/>
        <w:rPr>
          <w:rFonts w:ascii="Times New Roman" w:eastAsia="Times New Roman" w:hAnsi="Times New Roman" w:cs="Times New Roman"/>
        </w:rPr>
      </w:pPr>
      <w:r w:rsidRPr="008F328C">
        <w:rPr>
          <w:rFonts w:ascii="Times New Roman" w:eastAsia="Times New Roman" w:hAnsi="Times New Roman" w:cs="Times New Roman"/>
          <w:b/>
          <w:szCs w:val="20"/>
          <w:lang w:val="pl-PL" w:eastAsia="pl-PL" w:bidi="pl-PL"/>
        </w:rPr>
        <w:t xml:space="preserve">Okresowe raporty o bezpieczeństwie stosowania (ang. </w:t>
      </w:r>
      <w:r w:rsidRPr="008F328C">
        <w:rPr>
          <w:rFonts w:ascii="Times New Roman" w:eastAsia="Times New Roman" w:hAnsi="Times New Roman" w:cs="Times New Roman"/>
          <w:b/>
          <w:szCs w:val="20"/>
          <w:lang w:eastAsia="pl-PL" w:bidi="pl-PL"/>
        </w:rPr>
        <w:t>Periodic safety update reports, PSURs)</w:t>
      </w:r>
    </w:p>
    <w:p w14:paraId="6835F945" w14:textId="77777777" w:rsidR="002E5800" w:rsidRPr="008F328C" w:rsidRDefault="002E5800">
      <w:pPr>
        <w:tabs>
          <w:tab w:val="left" w:pos="831"/>
        </w:tabs>
        <w:rPr>
          <w:rFonts w:ascii="Times New Roman" w:eastAsia="Times New Roman" w:hAnsi="Times New Roman" w:cs="Times New Roman"/>
        </w:rPr>
      </w:pPr>
    </w:p>
    <w:p w14:paraId="5B4F8922" w14:textId="77E61B64" w:rsidR="002E5800" w:rsidRPr="008F328C" w:rsidRDefault="000E0B7C" w:rsidP="004142DA">
      <w:pPr>
        <w:pStyle w:val="a3"/>
        <w:rPr>
          <w:lang w:val="pl-PL"/>
        </w:rPr>
      </w:pPr>
      <w:r w:rsidRPr="008F328C">
        <w:rPr>
          <w:rFonts w:eastAsia="Times New Roman"/>
          <w:lang w:val="pl-PL"/>
        </w:rPr>
        <w:t>Wymagania do przedłożenia okresowych raportów o bezpieczeństwie stosowania tego produktu leczniczego są określone w</w:t>
      </w:r>
      <w:r w:rsidRPr="008F328C">
        <w:rPr>
          <w:lang w:val="pl-PL"/>
        </w:rPr>
        <w:t xml:space="preserve"> </w:t>
      </w:r>
      <w:r w:rsidRPr="008F328C">
        <w:rPr>
          <w:rFonts w:eastAsia="Times New Roman"/>
          <w:lang w:val="pl-PL"/>
        </w:rPr>
        <w:t>wykazie unijnych dat referencyjnych (wykaz EURD), o którym mowa w art. 107c ust. 7 dyrektywy 2001/83/WE i jego kolejnych aktualizacjach ogłaszanych na europejskiej stronie internetowej dotyczącej leków.</w:t>
      </w:r>
    </w:p>
    <w:p w14:paraId="154CCFC5" w14:textId="77777777" w:rsidR="002E5800" w:rsidRPr="008F328C" w:rsidRDefault="002E5800">
      <w:pPr>
        <w:pStyle w:val="a3"/>
        <w:rPr>
          <w:lang w:val="pl-PL"/>
        </w:rPr>
      </w:pPr>
    </w:p>
    <w:p w14:paraId="3ECB7A0E" w14:textId="77777777" w:rsidR="002E5800" w:rsidRPr="008F328C" w:rsidRDefault="000E0B7C">
      <w:pPr>
        <w:pStyle w:val="1"/>
        <w:numPr>
          <w:ilvl w:val="0"/>
          <w:numId w:val="34"/>
        </w:numPr>
        <w:ind w:left="360"/>
        <w:rPr>
          <w:rFonts w:cs="Times New Roman"/>
          <w:lang w:val="pl-PL"/>
        </w:rPr>
      </w:pPr>
      <w:bookmarkStart w:id="45" w:name="D._CONDITIONS_OR_RESTRICTIONS_WITH_REGAR"/>
      <w:bookmarkEnd w:id="45"/>
      <w:r w:rsidRPr="008F328C">
        <w:rPr>
          <w:rFonts w:cs="Times New Roman"/>
          <w:lang w:val="pl-PL"/>
        </w:rPr>
        <w:t>WARUNKI LUB OGRANICZENIA DOTYCZĄCE BEZPIECZNEGO I SKUTECZNEGO STOSOWANIA PRODUKTU LECZNICZEGO</w:t>
      </w:r>
    </w:p>
    <w:p w14:paraId="1F163B7D" w14:textId="77777777" w:rsidR="002E5800" w:rsidRPr="008F328C" w:rsidRDefault="002E5800">
      <w:pPr>
        <w:spacing w:before="20" w:line="220" w:lineRule="exact"/>
        <w:rPr>
          <w:rFonts w:ascii="Times New Roman" w:hAnsi="Times New Roman" w:cs="Times New Roman"/>
          <w:lang w:val="pl-PL"/>
        </w:rPr>
      </w:pPr>
    </w:p>
    <w:p w14:paraId="32F4DA11" w14:textId="77777777" w:rsidR="002E5800" w:rsidRPr="008F328C" w:rsidRDefault="000E0B7C">
      <w:pPr>
        <w:keepNext/>
        <w:widowControl/>
        <w:numPr>
          <w:ilvl w:val="1"/>
          <w:numId w:val="8"/>
        </w:numPr>
        <w:tabs>
          <w:tab w:val="num" w:pos="567"/>
        </w:tabs>
        <w:ind w:left="567" w:right="-1" w:hanging="56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Plan zarządzania ryzykiem (ang. Risk Management Plan, RMP)</w:t>
      </w:r>
    </w:p>
    <w:p w14:paraId="765E85BB" w14:textId="77777777" w:rsidR="002E5800" w:rsidRPr="008F328C" w:rsidRDefault="002E5800">
      <w:pPr>
        <w:spacing w:before="1" w:line="260" w:lineRule="exact"/>
        <w:rPr>
          <w:rFonts w:ascii="Times New Roman" w:hAnsi="Times New Roman" w:cs="Times New Roman"/>
          <w:sz w:val="26"/>
          <w:szCs w:val="26"/>
          <w:lang w:val="pl-PL"/>
        </w:rPr>
      </w:pPr>
    </w:p>
    <w:p w14:paraId="233D42AF" w14:textId="77777777" w:rsidR="002E5800" w:rsidRPr="008F328C" w:rsidRDefault="000E0B7C">
      <w:pPr>
        <w:pStyle w:val="a3"/>
        <w:rPr>
          <w:lang w:val="pl-PL"/>
        </w:rPr>
      </w:pPr>
      <w:r w:rsidRPr="008F328C">
        <w:rPr>
          <w:rFonts w:eastAsia="Times New Roman"/>
          <w:lang w:val="pl-PL"/>
        </w:rPr>
        <w:t>Podmiot odpowiedzialny podejmie wymagane działania i interwencje z zakresu nadzoru nad bezpieczeństwem farmakoterapii wyszczególnione w RMP, przedstawionym w module 1.8.2 dokumentacji do pozwolenia na dopuszczenie do obrotu, i wszelkich jego kolejnych aktualizacjach.</w:t>
      </w:r>
    </w:p>
    <w:p w14:paraId="0033EED9" w14:textId="77777777" w:rsidR="002E5800" w:rsidRPr="008F328C" w:rsidRDefault="002E5800">
      <w:pPr>
        <w:spacing w:before="11" w:line="240" w:lineRule="exact"/>
        <w:rPr>
          <w:rFonts w:ascii="Times New Roman" w:hAnsi="Times New Roman" w:cs="Times New Roman"/>
          <w:sz w:val="24"/>
          <w:szCs w:val="24"/>
          <w:lang w:val="pl-PL"/>
        </w:rPr>
      </w:pPr>
    </w:p>
    <w:p w14:paraId="635EA1F1" w14:textId="77777777" w:rsidR="002E5800" w:rsidRPr="008F328C" w:rsidRDefault="000E0B7C">
      <w:pPr>
        <w:pStyle w:val="a3"/>
        <w:rPr>
          <w:lang w:val="pl-PL"/>
        </w:rPr>
      </w:pPr>
      <w:r w:rsidRPr="008F328C">
        <w:rPr>
          <w:rFonts w:eastAsia="Times New Roman"/>
          <w:lang w:val="pl-PL"/>
        </w:rPr>
        <w:t>Uaktualniony RMP należy przedstawiać:</w:t>
      </w:r>
    </w:p>
    <w:p w14:paraId="407793B6" w14:textId="77777777" w:rsidR="002E5800" w:rsidRPr="008F328C" w:rsidRDefault="000E0B7C">
      <w:pPr>
        <w:pStyle w:val="a3"/>
        <w:numPr>
          <w:ilvl w:val="1"/>
          <w:numId w:val="16"/>
        </w:numPr>
        <w:ind w:left="660" w:hanging="660"/>
        <w:rPr>
          <w:lang w:val="pl-PL"/>
        </w:rPr>
      </w:pPr>
      <w:r w:rsidRPr="008F328C">
        <w:rPr>
          <w:rFonts w:eastAsia="Times New Roman"/>
          <w:lang w:val="pl-PL"/>
        </w:rPr>
        <w:t>na żądanie Europejskiej Agencji Leków;</w:t>
      </w:r>
    </w:p>
    <w:p w14:paraId="466A8A54" w14:textId="77777777" w:rsidR="002E5800" w:rsidRPr="008F328C" w:rsidRDefault="000E0B7C">
      <w:pPr>
        <w:pStyle w:val="a3"/>
        <w:numPr>
          <w:ilvl w:val="1"/>
          <w:numId w:val="16"/>
        </w:numPr>
        <w:ind w:left="660" w:hanging="660"/>
        <w:rPr>
          <w:lang w:val="pl-PL"/>
        </w:rPr>
      </w:pPr>
      <w:r w:rsidRPr="008F328C">
        <w:rPr>
          <w:rFonts w:eastAsia="Times New Roman"/>
          <w:lang w:val="pl-PL"/>
        </w:rPr>
        <w:t>w razie zmiany systemu zarządzania ryzykiem, zwłaszcza w wyniku uzyskania nowych informacji, które mogą istotnie wpłynąć na stosunek ryzyka do korzyści, lub w wyniku uzyskania istotnych informacji, dotyczących bezpieczeństwa stosowania produktu leczniczego lub odnoszących się do minimalizacji ryzyka.</w:t>
      </w:r>
    </w:p>
    <w:p w14:paraId="004990DC" w14:textId="77777777" w:rsidR="002E5800" w:rsidRPr="008F328C" w:rsidRDefault="002E5800">
      <w:pPr>
        <w:spacing w:before="2" w:line="240" w:lineRule="exact"/>
        <w:rPr>
          <w:rFonts w:ascii="Times New Roman" w:hAnsi="Times New Roman" w:cs="Times New Roman"/>
          <w:sz w:val="24"/>
          <w:szCs w:val="24"/>
          <w:lang w:val="pl-PL"/>
        </w:rPr>
      </w:pPr>
    </w:p>
    <w:p w14:paraId="21470152" w14:textId="77777777" w:rsidR="002E5800" w:rsidRPr="008F328C" w:rsidRDefault="000E0B7C">
      <w:pPr>
        <w:widowControl/>
        <w:numPr>
          <w:ilvl w:val="0"/>
          <w:numId w:val="16"/>
        </w:numPr>
        <w:tabs>
          <w:tab w:val="left" w:pos="567"/>
          <w:tab w:val="num" w:pos="720"/>
        </w:tabs>
        <w:ind w:left="720" w:right="-1" w:hanging="720"/>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 xml:space="preserve">Dodatkowe działania w celu minimalizacji </w:t>
      </w:r>
      <w:r w:rsidRPr="008F328C">
        <w:rPr>
          <w:rFonts w:ascii="Times New Roman" w:eastAsia="Times New Roman" w:hAnsi="Times New Roman" w:cs="Times New Roman"/>
          <w:b/>
          <w:szCs w:val="20"/>
          <w:lang w:val="pl-PL" w:eastAsia="pl-PL" w:bidi="pl-PL"/>
        </w:rPr>
        <w:t>ryzyka</w:t>
      </w:r>
    </w:p>
    <w:p w14:paraId="3C0A5F83" w14:textId="77777777" w:rsidR="002E5800" w:rsidRPr="008F328C" w:rsidRDefault="002E5800">
      <w:pPr>
        <w:spacing w:before="17" w:line="240" w:lineRule="exact"/>
        <w:rPr>
          <w:rFonts w:ascii="Times New Roman" w:hAnsi="Times New Roman" w:cs="Times New Roman"/>
          <w:lang w:val="pl-PL"/>
        </w:rPr>
      </w:pPr>
    </w:p>
    <w:p w14:paraId="74FEF9B5" w14:textId="3FDEFCAF" w:rsidR="002E5800" w:rsidRPr="008F328C" w:rsidRDefault="000E0B7C">
      <w:pPr>
        <w:spacing w:before="17" w:line="240" w:lineRule="exact"/>
        <w:rPr>
          <w:rFonts w:ascii="Times New Roman" w:hAnsi="Times New Roman" w:cs="Times New Roman"/>
          <w:lang w:val="pl-PL"/>
        </w:rPr>
      </w:pPr>
      <w:r w:rsidRPr="008F328C">
        <w:rPr>
          <w:rFonts w:ascii="Times New Roman" w:eastAsia="Times New Roman" w:hAnsi="Times New Roman" w:cs="Times New Roman"/>
          <w:lang w:val="pl-PL"/>
        </w:rPr>
        <w:t xml:space="preserve">Przed wprowadzeniem produktu leczniczego Yuflyma do obrotu w każdym Państwie Członkowskim podmiot odpowiedzialny (MAH) musi uzgodnić z Organem Kompetentnym Państwa Członkowskiego treść i format programu edukacyjnego, w tym środki przekazu, kanały dystrybucji oraz wszelkie inne aspekty programu. Program edukacyjny składa się z Karty </w:t>
      </w:r>
      <w:r w:rsidR="00DA6408" w:rsidRPr="008F328C">
        <w:rPr>
          <w:rFonts w:ascii="Times New Roman" w:eastAsia="Times New Roman" w:hAnsi="Times New Roman" w:cs="Times New Roman"/>
          <w:lang w:val="pl-PL"/>
        </w:rPr>
        <w:t>P</w:t>
      </w:r>
      <w:r w:rsidRPr="008F328C">
        <w:rPr>
          <w:rFonts w:ascii="Times New Roman" w:eastAsia="Times New Roman" w:hAnsi="Times New Roman" w:cs="Times New Roman"/>
          <w:lang w:val="pl-PL"/>
        </w:rPr>
        <w:t>rzypom</w:t>
      </w:r>
      <w:r w:rsidR="00DA6408" w:rsidRPr="008F328C">
        <w:rPr>
          <w:rFonts w:ascii="Times New Roman" w:eastAsia="Times New Roman" w:hAnsi="Times New Roman" w:cs="Times New Roman"/>
          <w:lang w:val="pl-PL"/>
        </w:rPr>
        <w:t>inajaca</w:t>
      </w:r>
      <w:r w:rsidRPr="008F328C">
        <w:rPr>
          <w:rFonts w:ascii="Times New Roman" w:eastAsia="Times New Roman" w:hAnsi="Times New Roman" w:cs="Times New Roman"/>
          <w:lang w:val="pl-PL"/>
        </w:rPr>
        <w:t xml:space="preserve"> dla </w:t>
      </w:r>
      <w:r w:rsidR="00DA6408" w:rsidRPr="008F328C">
        <w:rPr>
          <w:rFonts w:ascii="Times New Roman" w:eastAsia="Times New Roman" w:hAnsi="Times New Roman" w:cs="Times New Roman"/>
          <w:lang w:val="pl-PL"/>
        </w:rPr>
        <w:t>Pacjenta</w:t>
      </w:r>
      <w:r w:rsidRPr="008F328C">
        <w:rPr>
          <w:rFonts w:ascii="Times New Roman" w:eastAsia="Times New Roman" w:hAnsi="Times New Roman" w:cs="Times New Roman"/>
          <w:lang w:val="pl-PL"/>
        </w:rPr>
        <w:t>.</w:t>
      </w:r>
    </w:p>
    <w:p w14:paraId="74BE7BC7" w14:textId="77777777" w:rsidR="002E5800" w:rsidRPr="008F328C" w:rsidRDefault="002E5800">
      <w:pPr>
        <w:spacing w:before="17" w:line="240" w:lineRule="exact"/>
        <w:rPr>
          <w:rFonts w:ascii="Times New Roman" w:hAnsi="Times New Roman" w:cs="Times New Roman"/>
          <w:lang w:val="pl-PL"/>
        </w:rPr>
      </w:pPr>
    </w:p>
    <w:p w14:paraId="4A9F7834" w14:textId="50DB76C9" w:rsidR="002E5800" w:rsidRPr="008F328C" w:rsidRDefault="000E0B7C" w:rsidP="00404101">
      <w:pPr>
        <w:spacing w:before="17" w:line="240" w:lineRule="exact"/>
        <w:rPr>
          <w:rFonts w:ascii="Times New Roman" w:hAnsi="Times New Roman" w:cs="Times New Roman"/>
          <w:lang w:val="pl-PL"/>
        </w:rPr>
      </w:pPr>
      <w:r w:rsidRPr="008F328C">
        <w:rPr>
          <w:rFonts w:ascii="Times New Roman" w:eastAsia="Times New Roman" w:hAnsi="Times New Roman" w:cs="Times New Roman"/>
          <w:lang w:val="pl-PL"/>
        </w:rPr>
        <w:t xml:space="preserve">Karta </w:t>
      </w:r>
      <w:r w:rsidR="001C6B2F" w:rsidRPr="008F328C">
        <w:rPr>
          <w:rFonts w:ascii="Times New Roman" w:eastAsia="Times New Roman" w:hAnsi="Times New Roman" w:cs="Times New Roman"/>
          <w:lang w:val="pl-PL"/>
        </w:rPr>
        <w:t xml:space="preserve">Przypominajaca dla Pacjenta </w:t>
      </w:r>
      <w:r w:rsidRPr="008F328C">
        <w:rPr>
          <w:rFonts w:ascii="Times New Roman" w:eastAsia="Times New Roman" w:hAnsi="Times New Roman" w:cs="Times New Roman"/>
          <w:lang w:val="pl-PL"/>
        </w:rPr>
        <w:t>zawiera ważne informacje dotyczące bezpieczeństwa, które pacjent musi znać przed rozpoczęciem leczenia produktem Yuflyma. Ta karta przypom</w:t>
      </w:r>
      <w:r w:rsidR="001C6B2F" w:rsidRPr="008F328C">
        <w:rPr>
          <w:rFonts w:ascii="Times New Roman" w:eastAsia="Times New Roman" w:hAnsi="Times New Roman" w:cs="Times New Roman"/>
          <w:lang w:val="pl-PL"/>
        </w:rPr>
        <w:t>nająca</w:t>
      </w:r>
      <w:r w:rsidRPr="008F328C">
        <w:rPr>
          <w:rFonts w:ascii="Times New Roman" w:eastAsia="Times New Roman" w:hAnsi="Times New Roman" w:cs="Times New Roman"/>
          <w:lang w:val="pl-PL"/>
        </w:rPr>
        <w:t xml:space="preserve"> ma na celu podkreślenie ryzyka wystąpienia poważnych zakażeń, gruźlicy, nowotworów złośliwych, zaburzeń demielinizacyjnych (w tym stwardnienia rozsianego [SM], zespołu Guillaina Barrésa [GBS] i zapalenia nerwu wzrokowego [ON]) oraz choroby BCG po podaniu żywej szczepionki BCG niemowlętom narażonych na produkt Yuflyma </w:t>
      </w:r>
      <w:r w:rsidRPr="008F328C">
        <w:rPr>
          <w:rFonts w:ascii="Times New Roman" w:eastAsia="Times New Roman" w:hAnsi="Times New Roman" w:cs="Times New Roman"/>
          <w:i/>
          <w:iCs/>
          <w:lang w:val="pl-PL"/>
        </w:rPr>
        <w:t>in utero</w:t>
      </w:r>
      <w:r w:rsidRPr="008F328C">
        <w:rPr>
          <w:rFonts w:ascii="Times New Roman" w:eastAsia="Times New Roman" w:hAnsi="Times New Roman" w:cs="Times New Roman"/>
          <w:lang w:val="pl-PL"/>
        </w:rPr>
        <w:t>.</w:t>
      </w:r>
    </w:p>
    <w:p w14:paraId="62D346EB" w14:textId="77777777" w:rsidR="002E5800" w:rsidRPr="008F328C" w:rsidRDefault="002E5800">
      <w:pPr>
        <w:pStyle w:val="a3"/>
        <w:rPr>
          <w:lang w:val="pl-PL"/>
        </w:rPr>
      </w:pPr>
    </w:p>
    <w:p w14:paraId="5E549204" w14:textId="77777777" w:rsidR="002E5800" w:rsidRPr="008F328C" w:rsidRDefault="000E0B7C">
      <w:pPr>
        <w:pStyle w:val="a3"/>
        <w:rPr>
          <w:lang w:val="pl-PL"/>
        </w:rPr>
      </w:pPr>
      <w:r w:rsidRPr="008F328C">
        <w:rPr>
          <w:rFonts w:eastAsia="Times New Roman"/>
          <w:lang w:val="pl-PL"/>
        </w:rPr>
        <w:t>Podmiot odpowiedzialny dopilnuje, aby w każdym państwie członkowskim, w którym produkt Yuflyma jest dopuszczony do obrotu, wszyscy pracownicy ochrony zdrowia, którzy mogą przepisywać adalimumab i wszyscy pacjenci, którzy mają go stosować, mieli dostęp do następującego programu edukacyjnego/otrzymali następujące materiały edukacyjne:</w:t>
      </w:r>
    </w:p>
    <w:p w14:paraId="6D728BD3" w14:textId="77777777" w:rsidR="002E5800" w:rsidRPr="008F328C" w:rsidRDefault="002E5800">
      <w:pPr>
        <w:spacing w:before="17" w:line="240" w:lineRule="exact"/>
        <w:rPr>
          <w:rFonts w:ascii="Times New Roman" w:hAnsi="Times New Roman" w:cs="Times New Roman"/>
          <w:sz w:val="24"/>
          <w:szCs w:val="24"/>
          <w:lang w:val="pl-PL"/>
        </w:rPr>
      </w:pPr>
    </w:p>
    <w:p w14:paraId="5E6B1ED4" w14:textId="77777777" w:rsidR="002E5800" w:rsidRPr="008F328C" w:rsidRDefault="000E0B7C">
      <w:pPr>
        <w:pStyle w:val="a3"/>
        <w:rPr>
          <w:lang w:val="pl-PL"/>
        </w:rPr>
      </w:pPr>
      <w:r w:rsidRPr="008F328C">
        <w:rPr>
          <w:rFonts w:eastAsia="Times New Roman"/>
          <w:b/>
          <w:bCs/>
          <w:lang w:val="pl-PL"/>
        </w:rPr>
        <w:t>Karty z przypomnieniem dla pacjenta (osoby dorosłe, dzieci i młodzież) zawierają następujące kluczowe elementy:</w:t>
      </w:r>
    </w:p>
    <w:p w14:paraId="4E8A8A8C" w14:textId="77777777" w:rsidR="002E5800" w:rsidRPr="008F328C" w:rsidRDefault="002E5800">
      <w:pPr>
        <w:spacing w:before="13" w:line="240" w:lineRule="exact"/>
        <w:rPr>
          <w:rFonts w:ascii="Times New Roman" w:hAnsi="Times New Roman" w:cs="Times New Roman"/>
          <w:sz w:val="24"/>
          <w:szCs w:val="24"/>
          <w:lang w:val="pl-PL"/>
        </w:rPr>
      </w:pPr>
    </w:p>
    <w:p w14:paraId="33F20D67" w14:textId="77777777" w:rsidR="002E5800" w:rsidRPr="008F328C" w:rsidRDefault="000E0B7C">
      <w:pPr>
        <w:pStyle w:val="a3"/>
        <w:numPr>
          <w:ilvl w:val="0"/>
          <w:numId w:val="110"/>
        </w:numPr>
        <w:ind w:left="360"/>
        <w:rPr>
          <w:lang w:val="pl-PL"/>
        </w:rPr>
      </w:pPr>
      <w:r w:rsidRPr="008F328C">
        <w:rPr>
          <w:rFonts w:eastAsia="Times New Roman"/>
          <w:lang w:val="pl-PL"/>
        </w:rPr>
        <w:t xml:space="preserve">leczenie produktem Yuflyma może zwiększyć ryzyko wystąpienia zakażeń, w tym gruźlicy, raka i </w:t>
      </w:r>
    </w:p>
    <w:p w14:paraId="67F8FB83" w14:textId="77777777" w:rsidR="002E5800" w:rsidRPr="008F328C" w:rsidRDefault="000E0B7C">
      <w:pPr>
        <w:pStyle w:val="a3"/>
        <w:numPr>
          <w:ilvl w:val="0"/>
          <w:numId w:val="110"/>
        </w:numPr>
        <w:ind w:left="360"/>
        <w:rPr>
          <w:lang w:val="pl-PL"/>
        </w:rPr>
      </w:pPr>
      <w:r w:rsidRPr="008F328C">
        <w:rPr>
          <w:rFonts w:eastAsia="Times New Roman"/>
          <w:lang w:val="pl-PL"/>
        </w:rPr>
        <w:t>problemów z układem nerwowym;</w:t>
      </w:r>
    </w:p>
    <w:p w14:paraId="55D5BB49" w14:textId="77777777" w:rsidR="002E5800" w:rsidRPr="008F328C" w:rsidRDefault="000E0B7C">
      <w:pPr>
        <w:pStyle w:val="a3"/>
        <w:numPr>
          <w:ilvl w:val="0"/>
          <w:numId w:val="110"/>
        </w:numPr>
        <w:ind w:left="360"/>
        <w:rPr>
          <w:lang w:val="pl-PL"/>
        </w:rPr>
      </w:pPr>
      <w:r w:rsidRPr="008F328C">
        <w:rPr>
          <w:rFonts w:eastAsia="Times New Roman"/>
          <w:lang w:val="pl-PL"/>
        </w:rPr>
        <w:t>objawy przedmiotowe i podmiotowe tych istotnych zagrożeń dotyczących bezpieczeństwa i kiedy należy zwrócić się o pomoc do pracownika służby zdrowia;</w:t>
      </w:r>
    </w:p>
    <w:p w14:paraId="037ED28A" w14:textId="77777777" w:rsidR="002E5800" w:rsidRPr="008F328C" w:rsidRDefault="000E0B7C">
      <w:pPr>
        <w:pStyle w:val="a3"/>
        <w:numPr>
          <w:ilvl w:val="0"/>
          <w:numId w:val="110"/>
        </w:numPr>
        <w:ind w:left="360"/>
        <w:rPr>
          <w:lang w:val="pl-PL"/>
        </w:rPr>
      </w:pPr>
      <w:r w:rsidRPr="008F328C">
        <w:rPr>
          <w:rFonts w:eastAsia="Times New Roman"/>
          <w:lang w:val="pl-PL"/>
        </w:rPr>
        <w:t>znaczenie nieprzyjmowania żywych szczepionek i informowania lekarza o leczeniu pacjentki w przypadku ciąży;</w:t>
      </w:r>
    </w:p>
    <w:p w14:paraId="335FA4A4" w14:textId="77777777" w:rsidR="002E5800" w:rsidRPr="008F328C" w:rsidRDefault="000E0B7C">
      <w:pPr>
        <w:pStyle w:val="a3"/>
        <w:numPr>
          <w:ilvl w:val="0"/>
          <w:numId w:val="110"/>
        </w:numPr>
        <w:ind w:left="360"/>
        <w:rPr>
          <w:lang w:val="pl-PL"/>
        </w:rPr>
      </w:pPr>
      <w:r w:rsidRPr="008F328C">
        <w:rPr>
          <w:rFonts w:eastAsia="Times New Roman"/>
          <w:lang w:val="pl-PL"/>
        </w:rPr>
        <w:t xml:space="preserve">instrukcje dotyczące zapisywania nazwy marki i numeru serii leku w celu zapewnienia </w:t>
      </w:r>
      <w:r w:rsidRPr="008F328C">
        <w:rPr>
          <w:rFonts w:eastAsia="Times New Roman"/>
          <w:lang w:val="pl-PL"/>
        </w:rPr>
        <w:lastRenderedPageBreak/>
        <w:t>identyfikowalności;</w:t>
      </w:r>
    </w:p>
    <w:p w14:paraId="773BFD5E" w14:textId="77777777" w:rsidR="002E5800" w:rsidRPr="008F328C" w:rsidRDefault="000E0B7C">
      <w:pPr>
        <w:pStyle w:val="a3"/>
        <w:numPr>
          <w:ilvl w:val="0"/>
          <w:numId w:val="110"/>
        </w:numPr>
        <w:ind w:left="360"/>
        <w:rPr>
          <w:lang w:val="pl-PL"/>
        </w:rPr>
      </w:pPr>
      <w:r w:rsidRPr="008F328C">
        <w:rPr>
          <w:rFonts w:eastAsia="Times New Roman"/>
          <w:lang w:val="pl-PL"/>
        </w:rPr>
        <w:t>dane kontaktowe lekarza, który przepisał adalimumab.</w:t>
      </w:r>
    </w:p>
    <w:p w14:paraId="5373FE87"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p w14:paraId="23F852CB" w14:textId="77777777" w:rsidR="002E5800" w:rsidRPr="008F328C" w:rsidRDefault="002E5800">
      <w:pPr>
        <w:spacing w:line="200" w:lineRule="exact"/>
        <w:rPr>
          <w:rFonts w:ascii="Times New Roman" w:hAnsi="Times New Roman" w:cs="Times New Roman"/>
          <w:sz w:val="20"/>
          <w:szCs w:val="20"/>
          <w:lang w:val="pl-PL"/>
        </w:rPr>
      </w:pPr>
    </w:p>
    <w:p w14:paraId="088CEFBF" w14:textId="77777777" w:rsidR="002E5800" w:rsidRPr="008F328C" w:rsidRDefault="002E5800">
      <w:pPr>
        <w:spacing w:line="200" w:lineRule="exact"/>
        <w:rPr>
          <w:rFonts w:ascii="Times New Roman" w:hAnsi="Times New Roman" w:cs="Times New Roman"/>
          <w:sz w:val="20"/>
          <w:szCs w:val="20"/>
          <w:lang w:val="pl-PL"/>
        </w:rPr>
      </w:pPr>
    </w:p>
    <w:p w14:paraId="21D61621" w14:textId="77777777" w:rsidR="002E5800" w:rsidRPr="008F328C" w:rsidRDefault="002E5800">
      <w:pPr>
        <w:spacing w:line="200" w:lineRule="exact"/>
        <w:rPr>
          <w:rFonts w:ascii="Times New Roman" w:hAnsi="Times New Roman" w:cs="Times New Roman"/>
          <w:sz w:val="20"/>
          <w:szCs w:val="20"/>
          <w:lang w:val="pl-PL"/>
        </w:rPr>
      </w:pPr>
    </w:p>
    <w:p w14:paraId="2D1BBC1E" w14:textId="77777777" w:rsidR="002E5800" w:rsidRPr="008F328C" w:rsidRDefault="002E5800">
      <w:pPr>
        <w:spacing w:line="200" w:lineRule="exact"/>
        <w:rPr>
          <w:rFonts w:ascii="Times New Roman" w:hAnsi="Times New Roman" w:cs="Times New Roman"/>
          <w:sz w:val="20"/>
          <w:szCs w:val="20"/>
          <w:lang w:val="pl-PL"/>
        </w:rPr>
      </w:pPr>
    </w:p>
    <w:p w14:paraId="1C0C935B" w14:textId="77777777" w:rsidR="002E5800" w:rsidRPr="008F328C" w:rsidRDefault="002E5800">
      <w:pPr>
        <w:spacing w:line="200" w:lineRule="exact"/>
        <w:rPr>
          <w:rFonts w:ascii="Times New Roman" w:hAnsi="Times New Roman" w:cs="Times New Roman"/>
          <w:sz w:val="20"/>
          <w:szCs w:val="20"/>
          <w:lang w:val="pl-PL"/>
        </w:rPr>
      </w:pPr>
    </w:p>
    <w:p w14:paraId="297DD656" w14:textId="77777777" w:rsidR="002E5800" w:rsidRPr="008F328C" w:rsidRDefault="002E5800">
      <w:pPr>
        <w:spacing w:line="200" w:lineRule="exact"/>
        <w:rPr>
          <w:rFonts w:ascii="Times New Roman" w:hAnsi="Times New Roman" w:cs="Times New Roman"/>
          <w:sz w:val="20"/>
          <w:szCs w:val="20"/>
          <w:lang w:val="pl-PL"/>
        </w:rPr>
      </w:pPr>
    </w:p>
    <w:p w14:paraId="5B9477A2" w14:textId="77777777" w:rsidR="002E5800" w:rsidRPr="008F328C" w:rsidRDefault="002E5800">
      <w:pPr>
        <w:spacing w:line="200" w:lineRule="exact"/>
        <w:rPr>
          <w:rFonts w:ascii="Times New Roman" w:hAnsi="Times New Roman" w:cs="Times New Roman"/>
          <w:sz w:val="20"/>
          <w:szCs w:val="20"/>
          <w:lang w:val="pl-PL"/>
        </w:rPr>
      </w:pPr>
    </w:p>
    <w:p w14:paraId="69BE6C3F" w14:textId="77777777" w:rsidR="002E5800" w:rsidRPr="008F328C" w:rsidRDefault="002E5800">
      <w:pPr>
        <w:spacing w:line="200" w:lineRule="exact"/>
        <w:rPr>
          <w:rFonts w:ascii="Times New Roman" w:hAnsi="Times New Roman" w:cs="Times New Roman"/>
          <w:sz w:val="20"/>
          <w:szCs w:val="20"/>
          <w:lang w:val="pl-PL"/>
        </w:rPr>
      </w:pPr>
    </w:p>
    <w:p w14:paraId="494BAA64" w14:textId="77777777" w:rsidR="002E5800" w:rsidRPr="008F328C" w:rsidRDefault="002E5800">
      <w:pPr>
        <w:spacing w:line="200" w:lineRule="exact"/>
        <w:rPr>
          <w:rFonts w:ascii="Times New Roman" w:hAnsi="Times New Roman" w:cs="Times New Roman"/>
          <w:sz w:val="20"/>
          <w:szCs w:val="20"/>
          <w:lang w:val="pl-PL"/>
        </w:rPr>
      </w:pPr>
    </w:p>
    <w:p w14:paraId="76D4A1AE" w14:textId="77777777" w:rsidR="002E5800" w:rsidRPr="008F328C" w:rsidRDefault="002E5800">
      <w:pPr>
        <w:spacing w:line="200" w:lineRule="exact"/>
        <w:rPr>
          <w:rFonts w:ascii="Times New Roman" w:hAnsi="Times New Roman" w:cs="Times New Roman"/>
          <w:sz w:val="20"/>
          <w:szCs w:val="20"/>
          <w:lang w:val="pl-PL"/>
        </w:rPr>
      </w:pPr>
    </w:p>
    <w:p w14:paraId="564B8ADE" w14:textId="77777777" w:rsidR="002E5800" w:rsidRPr="008F328C" w:rsidRDefault="002E5800">
      <w:pPr>
        <w:spacing w:line="200" w:lineRule="exact"/>
        <w:rPr>
          <w:rFonts w:ascii="Times New Roman" w:hAnsi="Times New Roman" w:cs="Times New Roman"/>
          <w:sz w:val="20"/>
          <w:szCs w:val="20"/>
          <w:lang w:val="pl-PL"/>
        </w:rPr>
      </w:pPr>
    </w:p>
    <w:p w14:paraId="2B1B4DD4" w14:textId="77777777" w:rsidR="002E5800" w:rsidRPr="008F328C" w:rsidRDefault="002E5800">
      <w:pPr>
        <w:spacing w:line="200" w:lineRule="exact"/>
        <w:rPr>
          <w:rFonts w:ascii="Times New Roman" w:hAnsi="Times New Roman" w:cs="Times New Roman"/>
          <w:sz w:val="20"/>
          <w:szCs w:val="20"/>
          <w:lang w:val="pl-PL"/>
        </w:rPr>
      </w:pPr>
    </w:p>
    <w:p w14:paraId="51857610" w14:textId="77777777" w:rsidR="002E5800" w:rsidRPr="008F328C" w:rsidRDefault="002E5800">
      <w:pPr>
        <w:spacing w:line="200" w:lineRule="exact"/>
        <w:rPr>
          <w:rFonts w:ascii="Times New Roman" w:hAnsi="Times New Roman" w:cs="Times New Roman"/>
          <w:sz w:val="20"/>
          <w:szCs w:val="20"/>
          <w:lang w:val="pl-PL"/>
        </w:rPr>
      </w:pPr>
    </w:p>
    <w:p w14:paraId="080F188F" w14:textId="77777777" w:rsidR="002E5800" w:rsidRPr="008F328C" w:rsidRDefault="002E5800">
      <w:pPr>
        <w:spacing w:line="200" w:lineRule="exact"/>
        <w:rPr>
          <w:rFonts w:ascii="Times New Roman" w:hAnsi="Times New Roman" w:cs="Times New Roman"/>
          <w:sz w:val="20"/>
          <w:szCs w:val="20"/>
          <w:lang w:val="pl-PL"/>
        </w:rPr>
      </w:pPr>
    </w:p>
    <w:p w14:paraId="462DEA22" w14:textId="77777777" w:rsidR="002E5800" w:rsidRPr="008F328C" w:rsidRDefault="002E5800">
      <w:pPr>
        <w:spacing w:line="200" w:lineRule="exact"/>
        <w:rPr>
          <w:rFonts w:ascii="Times New Roman" w:hAnsi="Times New Roman" w:cs="Times New Roman"/>
          <w:sz w:val="20"/>
          <w:szCs w:val="20"/>
          <w:lang w:val="pl-PL"/>
        </w:rPr>
      </w:pPr>
    </w:p>
    <w:p w14:paraId="6A7BFF6D" w14:textId="77777777" w:rsidR="002E5800" w:rsidRPr="008F328C" w:rsidRDefault="002E5800">
      <w:pPr>
        <w:spacing w:line="200" w:lineRule="exact"/>
        <w:rPr>
          <w:rFonts w:ascii="Times New Roman" w:hAnsi="Times New Roman" w:cs="Times New Roman"/>
          <w:sz w:val="20"/>
          <w:szCs w:val="20"/>
          <w:lang w:val="pl-PL"/>
        </w:rPr>
      </w:pPr>
    </w:p>
    <w:p w14:paraId="3202FA13" w14:textId="77777777" w:rsidR="002E5800" w:rsidRPr="008F328C" w:rsidRDefault="002E5800">
      <w:pPr>
        <w:spacing w:line="200" w:lineRule="exact"/>
        <w:rPr>
          <w:rFonts w:ascii="Times New Roman" w:hAnsi="Times New Roman" w:cs="Times New Roman"/>
          <w:sz w:val="20"/>
          <w:szCs w:val="20"/>
          <w:lang w:val="pl-PL"/>
        </w:rPr>
      </w:pPr>
    </w:p>
    <w:p w14:paraId="37407FF2" w14:textId="77777777" w:rsidR="002E5800" w:rsidRPr="008F328C" w:rsidRDefault="002E5800">
      <w:pPr>
        <w:spacing w:line="200" w:lineRule="exact"/>
        <w:rPr>
          <w:rFonts w:ascii="Times New Roman" w:hAnsi="Times New Roman" w:cs="Times New Roman"/>
          <w:sz w:val="20"/>
          <w:szCs w:val="20"/>
          <w:lang w:val="pl-PL"/>
        </w:rPr>
      </w:pPr>
    </w:p>
    <w:p w14:paraId="407946F9" w14:textId="77777777" w:rsidR="002E5800" w:rsidRPr="008F328C" w:rsidRDefault="002E5800">
      <w:pPr>
        <w:spacing w:line="200" w:lineRule="exact"/>
        <w:rPr>
          <w:rFonts w:ascii="Times New Roman" w:hAnsi="Times New Roman" w:cs="Times New Roman"/>
          <w:sz w:val="20"/>
          <w:szCs w:val="20"/>
          <w:lang w:val="pl-PL"/>
        </w:rPr>
      </w:pPr>
    </w:p>
    <w:p w14:paraId="07A4930E" w14:textId="77777777" w:rsidR="002E5800" w:rsidRPr="008F328C" w:rsidRDefault="002E5800">
      <w:pPr>
        <w:spacing w:line="200" w:lineRule="exact"/>
        <w:rPr>
          <w:rFonts w:ascii="Times New Roman" w:hAnsi="Times New Roman" w:cs="Times New Roman"/>
          <w:sz w:val="20"/>
          <w:szCs w:val="20"/>
          <w:lang w:val="pl-PL"/>
        </w:rPr>
      </w:pPr>
    </w:p>
    <w:p w14:paraId="4FAA3655" w14:textId="77777777" w:rsidR="002E5800" w:rsidRPr="008F328C" w:rsidRDefault="002E5800">
      <w:pPr>
        <w:spacing w:line="200" w:lineRule="exact"/>
        <w:rPr>
          <w:rFonts w:ascii="Times New Roman" w:hAnsi="Times New Roman" w:cs="Times New Roman"/>
          <w:sz w:val="20"/>
          <w:szCs w:val="20"/>
          <w:lang w:val="pl-PL"/>
        </w:rPr>
      </w:pPr>
    </w:p>
    <w:p w14:paraId="4FF34833" w14:textId="77777777" w:rsidR="002E5800" w:rsidRPr="008F328C" w:rsidRDefault="002E5800">
      <w:pPr>
        <w:spacing w:line="200" w:lineRule="exact"/>
        <w:rPr>
          <w:rFonts w:ascii="Times New Roman" w:hAnsi="Times New Roman" w:cs="Times New Roman"/>
          <w:sz w:val="20"/>
          <w:szCs w:val="20"/>
          <w:lang w:val="pl-PL"/>
        </w:rPr>
      </w:pPr>
    </w:p>
    <w:p w14:paraId="4325A6E4" w14:textId="77777777" w:rsidR="002E5800" w:rsidRPr="008F328C" w:rsidRDefault="002E5800">
      <w:pPr>
        <w:spacing w:line="200" w:lineRule="exact"/>
        <w:rPr>
          <w:rFonts w:ascii="Times New Roman" w:hAnsi="Times New Roman" w:cs="Times New Roman"/>
          <w:sz w:val="20"/>
          <w:szCs w:val="20"/>
          <w:lang w:val="pl-PL"/>
        </w:rPr>
      </w:pPr>
    </w:p>
    <w:p w14:paraId="168054EB" w14:textId="77777777" w:rsidR="002E5800" w:rsidRPr="008F328C" w:rsidRDefault="002E5800">
      <w:pPr>
        <w:spacing w:line="200" w:lineRule="exact"/>
        <w:rPr>
          <w:rFonts w:ascii="Times New Roman" w:hAnsi="Times New Roman" w:cs="Times New Roman"/>
          <w:sz w:val="20"/>
          <w:szCs w:val="20"/>
          <w:lang w:val="pl-PL"/>
        </w:rPr>
      </w:pPr>
    </w:p>
    <w:p w14:paraId="544677EA" w14:textId="77777777" w:rsidR="002E5800" w:rsidRPr="008F328C" w:rsidRDefault="002E5800">
      <w:pPr>
        <w:spacing w:line="200" w:lineRule="exact"/>
        <w:rPr>
          <w:rFonts w:ascii="Times New Roman" w:hAnsi="Times New Roman" w:cs="Times New Roman"/>
          <w:sz w:val="20"/>
          <w:szCs w:val="20"/>
          <w:lang w:val="pl-PL"/>
        </w:rPr>
      </w:pPr>
    </w:p>
    <w:p w14:paraId="2E731CDB" w14:textId="77777777" w:rsidR="002E5800" w:rsidRPr="008F328C" w:rsidRDefault="002E5800">
      <w:pPr>
        <w:spacing w:line="200" w:lineRule="exact"/>
        <w:rPr>
          <w:rFonts w:ascii="Times New Roman" w:hAnsi="Times New Roman" w:cs="Times New Roman"/>
          <w:sz w:val="20"/>
          <w:szCs w:val="20"/>
          <w:lang w:val="pl-PL"/>
        </w:rPr>
      </w:pPr>
    </w:p>
    <w:p w14:paraId="1126D707" w14:textId="77777777" w:rsidR="002E5800" w:rsidRPr="008F328C" w:rsidRDefault="002E5800">
      <w:pPr>
        <w:spacing w:before="4" w:line="200" w:lineRule="exact"/>
        <w:rPr>
          <w:rFonts w:ascii="Times New Roman" w:hAnsi="Times New Roman" w:cs="Times New Roman"/>
          <w:sz w:val="20"/>
          <w:szCs w:val="20"/>
          <w:lang w:val="pl-PL"/>
        </w:rPr>
      </w:pPr>
    </w:p>
    <w:p w14:paraId="1A13D660" w14:textId="77777777" w:rsidR="002E5800" w:rsidRPr="008F328C" w:rsidRDefault="000E0B7C">
      <w:pPr>
        <w:pStyle w:val="TableParagraph"/>
        <w:jc w:val="center"/>
        <w:rPr>
          <w:rFonts w:ascii="Times New Roman" w:hAnsi="Times New Roman" w:cs="Times New Roman"/>
          <w:b/>
          <w:lang w:val="pl-PL"/>
        </w:rPr>
      </w:pPr>
      <w:r w:rsidRPr="008F328C">
        <w:rPr>
          <w:rFonts w:ascii="Times New Roman" w:eastAsia="Times New Roman" w:hAnsi="Times New Roman" w:cs="Times New Roman"/>
          <w:b/>
          <w:bCs/>
          <w:lang w:val="pl-PL"/>
        </w:rPr>
        <w:t>ANEKS III</w:t>
      </w:r>
    </w:p>
    <w:p w14:paraId="0613E883" w14:textId="77777777" w:rsidR="002E5800" w:rsidRPr="008F328C" w:rsidRDefault="002E5800">
      <w:pPr>
        <w:pStyle w:val="TableParagraph"/>
        <w:jc w:val="center"/>
        <w:rPr>
          <w:rFonts w:ascii="Times New Roman" w:hAnsi="Times New Roman" w:cs="Times New Roman"/>
          <w:b/>
          <w:lang w:val="pl-PL"/>
        </w:rPr>
      </w:pPr>
    </w:p>
    <w:p w14:paraId="44CB8F94" w14:textId="77777777" w:rsidR="002E5800" w:rsidRPr="008F328C" w:rsidRDefault="000E0B7C">
      <w:pPr>
        <w:pStyle w:val="TableParagraph"/>
        <w:jc w:val="center"/>
        <w:rPr>
          <w:rFonts w:ascii="Times New Roman" w:hAnsi="Times New Roman" w:cs="Times New Roman"/>
          <w:b/>
          <w:lang w:val="pl-PL"/>
        </w:rPr>
      </w:pPr>
      <w:r w:rsidRPr="008F328C">
        <w:rPr>
          <w:rFonts w:ascii="Times New Roman" w:eastAsia="Times New Roman" w:hAnsi="Times New Roman" w:cs="Times New Roman"/>
          <w:b/>
          <w:bCs/>
          <w:lang w:val="pl-PL"/>
        </w:rPr>
        <w:t>OZNAKOWANIE OPAKOWAŃ I ULOTKA DLA PACJENTA</w:t>
      </w:r>
    </w:p>
    <w:p w14:paraId="504FFE20" w14:textId="77777777" w:rsidR="002E5800" w:rsidRPr="008F328C" w:rsidRDefault="000E0B7C">
      <w:pPr>
        <w:rPr>
          <w:rFonts w:ascii="Times New Roman" w:hAnsi="Times New Roman" w:cs="Times New Roman"/>
          <w:b/>
          <w:lang w:val="pl-PL"/>
        </w:rPr>
      </w:pPr>
      <w:r w:rsidRPr="008F328C">
        <w:rPr>
          <w:rFonts w:ascii="Times New Roman" w:hAnsi="Times New Roman" w:cs="Times New Roman"/>
          <w:b/>
          <w:lang w:val="pl-PL"/>
        </w:rPr>
        <w:br w:type="page"/>
      </w:r>
    </w:p>
    <w:p w14:paraId="27D4F7E7" w14:textId="77777777" w:rsidR="002E5800" w:rsidRPr="008F328C" w:rsidRDefault="002E5800">
      <w:pPr>
        <w:spacing w:line="200" w:lineRule="exact"/>
        <w:rPr>
          <w:rFonts w:ascii="Times New Roman" w:hAnsi="Times New Roman" w:cs="Times New Roman"/>
          <w:sz w:val="20"/>
          <w:szCs w:val="20"/>
          <w:lang w:val="pl-PL"/>
        </w:rPr>
      </w:pPr>
    </w:p>
    <w:p w14:paraId="3037306F" w14:textId="77777777" w:rsidR="002E5800" w:rsidRPr="008F328C" w:rsidRDefault="002E5800">
      <w:pPr>
        <w:spacing w:line="200" w:lineRule="exact"/>
        <w:rPr>
          <w:rFonts w:ascii="Times New Roman" w:hAnsi="Times New Roman" w:cs="Times New Roman"/>
          <w:sz w:val="20"/>
          <w:szCs w:val="20"/>
          <w:lang w:val="pl-PL"/>
        </w:rPr>
      </w:pPr>
    </w:p>
    <w:p w14:paraId="5049F228" w14:textId="77777777" w:rsidR="002E5800" w:rsidRPr="008F328C" w:rsidRDefault="002E5800">
      <w:pPr>
        <w:spacing w:line="200" w:lineRule="exact"/>
        <w:rPr>
          <w:rFonts w:ascii="Times New Roman" w:hAnsi="Times New Roman" w:cs="Times New Roman"/>
          <w:sz w:val="20"/>
          <w:szCs w:val="20"/>
          <w:lang w:val="pl-PL"/>
        </w:rPr>
      </w:pPr>
    </w:p>
    <w:p w14:paraId="3FDBCE95" w14:textId="77777777" w:rsidR="002E5800" w:rsidRPr="008F328C" w:rsidRDefault="002E5800">
      <w:pPr>
        <w:spacing w:line="200" w:lineRule="exact"/>
        <w:rPr>
          <w:rFonts w:ascii="Times New Roman" w:hAnsi="Times New Roman" w:cs="Times New Roman"/>
          <w:sz w:val="20"/>
          <w:szCs w:val="20"/>
          <w:lang w:val="pl-PL"/>
        </w:rPr>
      </w:pPr>
    </w:p>
    <w:p w14:paraId="6E91131A" w14:textId="77777777" w:rsidR="002E5800" w:rsidRPr="008F328C" w:rsidRDefault="002E5800">
      <w:pPr>
        <w:spacing w:line="200" w:lineRule="exact"/>
        <w:rPr>
          <w:rFonts w:ascii="Times New Roman" w:hAnsi="Times New Roman" w:cs="Times New Roman"/>
          <w:sz w:val="20"/>
          <w:szCs w:val="20"/>
          <w:lang w:val="pl-PL"/>
        </w:rPr>
      </w:pPr>
    </w:p>
    <w:p w14:paraId="4E96B8A4" w14:textId="77777777" w:rsidR="002E5800" w:rsidRPr="008F328C" w:rsidRDefault="002E5800">
      <w:pPr>
        <w:spacing w:line="200" w:lineRule="exact"/>
        <w:rPr>
          <w:rFonts w:ascii="Times New Roman" w:hAnsi="Times New Roman" w:cs="Times New Roman"/>
          <w:sz w:val="20"/>
          <w:szCs w:val="20"/>
          <w:lang w:val="pl-PL"/>
        </w:rPr>
      </w:pPr>
    </w:p>
    <w:p w14:paraId="07365083" w14:textId="77777777" w:rsidR="002E5800" w:rsidRPr="008F328C" w:rsidRDefault="002E5800">
      <w:pPr>
        <w:spacing w:line="200" w:lineRule="exact"/>
        <w:rPr>
          <w:rFonts w:ascii="Times New Roman" w:hAnsi="Times New Roman" w:cs="Times New Roman"/>
          <w:sz w:val="20"/>
          <w:szCs w:val="20"/>
          <w:lang w:val="pl-PL"/>
        </w:rPr>
      </w:pPr>
    </w:p>
    <w:p w14:paraId="49BB5867" w14:textId="77777777" w:rsidR="002E5800" w:rsidRPr="008F328C" w:rsidRDefault="002E5800">
      <w:pPr>
        <w:spacing w:line="200" w:lineRule="exact"/>
        <w:rPr>
          <w:rFonts w:ascii="Times New Roman" w:hAnsi="Times New Roman" w:cs="Times New Roman"/>
          <w:sz w:val="20"/>
          <w:szCs w:val="20"/>
          <w:lang w:val="pl-PL"/>
        </w:rPr>
      </w:pPr>
    </w:p>
    <w:p w14:paraId="333B44B4" w14:textId="77777777" w:rsidR="002E5800" w:rsidRPr="008F328C" w:rsidRDefault="002E5800">
      <w:pPr>
        <w:spacing w:line="200" w:lineRule="exact"/>
        <w:rPr>
          <w:rFonts w:ascii="Times New Roman" w:hAnsi="Times New Roman" w:cs="Times New Roman"/>
          <w:sz w:val="20"/>
          <w:szCs w:val="20"/>
          <w:lang w:val="pl-PL"/>
        </w:rPr>
      </w:pPr>
    </w:p>
    <w:p w14:paraId="03C78CB4" w14:textId="77777777" w:rsidR="002E5800" w:rsidRPr="008F328C" w:rsidRDefault="002E5800">
      <w:pPr>
        <w:spacing w:line="200" w:lineRule="exact"/>
        <w:rPr>
          <w:rFonts w:ascii="Times New Roman" w:hAnsi="Times New Roman" w:cs="Times New Roman"/>
          <w:sz w:val="20"/>
          <w:szCs w:val="20"/>
          <w:lang w:val="pl-PL"/>
        </w:rPr>
      </w:pPr>
    </w:p>
    <w:p w14:paraId="196D8AAB" w14:textId="77777777" w:rsidR="002E5800" w:rsidRPr="008F328C" w:rsidRDefault="002E5800">
      <w:pPr>
        <w:spacing w:line="200" w:lineRule="exact"/>
        <w:rPr>
          <w:rFonts w:ascii="Times New Roman" w:hAnsi="Times New Roman" w:cs="Times New Roman"/>
          <w:sz w:val="20"/>
          <w:szCs w:val="20"/>
          <w:lang w:val="pl-PL"/>
        </w:rPr>
      </w:pPr>
    </w:p>
    <w:p w14:paraId="1A6D7B38" w14:textId="77777777" w:rsidR="002E5800" w:rsidRPr="008F328C" w:rsidRDefault="002E5800">
      <w:pPr>
        <w:spacing w:line="200" w:lineRule="exact"/>
        <w:rPr>
          <w:rFonts w:ascii="Times New Roman" w:hAnsi="Times New Roman" w:cs="Times New Roman"/>
          <w:sz w:val="20"/>
          <w:szCs w:val="20"/>
          <w:lang w:val="pl-PL"/>
        </w:rPr>
      </w:pPr>
    </w:p>
    <w:p w14:paraId="751CD68D" w14:textId="77777777" w:rsidR="002E5800" w:rsidRPr="008F328C" w:rsidRDefault="002E5800">
      <w:pPr>
        <w:spacing w:line="200" w:lineRule="exact"/>
        <w:rPr>
          <w:rFonts w:ascii="Times New Roman" w:hAnsi="Times New Roman" w:cs="Times New Roman"/>
          <w:sz w:val="20"/>
          <w:szCs w:val="20"/>
          <w:lang w:val="pl-PL"/>
        </w:rPr>
      </w:pPr>
    </w:p>
    <w:p w14:paraId="6E5FDCCD" w14:textId="77777777" w:rsidR="002E5800" w:rsidRPr="008F328C" w:rsidRDefault="002E5800">
      <w:pPr>
        <w:spacing w:line="200" w:lineRule="exact"/>
        <w:rPr>
          <w:rFonts w:ascii="Times New Roman" w:hAnsi="Times New Roman" w:cs="Times New Roman"/>
          <w:sz w:val="20"/>
          <w:szCs w:val="20"/>
          <w:lang w:val="pl-PL"/>
        </w:rPr>
      </w:pPr>
    </w:p>
    <w:p w14:paraId="6EA68ECB" w14:textId="77777777" w:rsidR="002E5800" w:rsidRPr="008F328C" w:rsidRDefault="002E5800">
      <w:pPr>
        <w:spacing w:line="200" w:lineRule="exact"/>
        <w:rPr>
          <w:rFonts w:ascii="Times New Roman" w:hAnsi="Times New Roman" w:cs="Times New Roman"/>
          <w:sz w:val="20"/>
          <w:szCs w:val="20"/>
          <w:lang w:val="pl-PL"/>
        </w:rPr>
      </w:pPr>
    </w:p>
    <w:p w14:paraId="06C0F85D" w14:textId="77777777" w:rsidR="002E5800" w:rsidRPr="008F328C" w:rsidRDefault="002E5800">
      <w:pPr>
        <w:spacing w:line="200" w:lineRule="exact"/>
        <w:rPr>
          <w:rFonts w:ascii="Times New Roman" w:hAnsi="Times New Roman" w:cs="Times New Roman"/>
          <w:sz w:val="20"/>
          <w:szCs w:val="20"/>
          <w:lang w:val="pl-PL"/>
        </w:rPr>
      </w:pPr>
    </w:p>
    <w:p w14:paraId="3404A994" w14:textId="77777777" w:rsidR="002E5800" w:rsidRPr="008F328C" w:rsidRDefault="002E5800">
      <w:pPr>
        <w:spacing w:line="200" w:lineRule="exact"/>
        <w:rPr>
          <w:rFonts w:ascii="Times New Roman" w:hAnsi="Times New Roman" w:cs="Times New Roman"/>
          <w:sz w:val="20"/>
          <w:szCs w:val="20"/>
          <w:lang w:val="pl-PL"/>
        </w:rPr>
      </w:pPr>
    </w:p>
    <w:p w14:paraId="31EA6989" w14:textId="77777777" w:rsidR="002E5800" w:rsidRPr="008F328C" w:rsidRDefault="002E5800">
      <w:pPr>
        <w:spacing w:line="200" w:lineRule="exact"/>
        <w:rPr>
          <w:rFonts w:ascii="Times New Roman" w:hAnsi="Times New Roman" w:cs="Times New Roman"/>
          <w:sz w:val="20"/>
          <w:szCs w:val="20"/>
          <w:lang w:val="pl-PL"/>
        </w:rPr>
      </w:pPr>
    </w:p>
    <w:p w14:paraId="08DF6D49" w14:textId="77777777" w:rsidR="002E5800" w:rsidRPr="008F328C" w:rsidRDefault="002E5800">
      <w:pPr>
        <w:spacing w:line="200" w:lineRule="exact"/>
        <w:rPr>
          <w:rFonts w:ascii="Times New Roman" w:hAnsi="Times New Roman" w:cs="Times New Roman"/>
          <w:sz w:val="20"/>
          <w:szCs w:val="20"/>
          <w:lang w:val="pl-PL"/>
        </w:rPr>
      </w:pPr>
    </w:p>
    <w:p w14:paraId="7E704C0D" w14:textId="77777777" w:rsidR="002E5800" w:rsidRPr="008F328C" w:rsidRDefault="002E5800">
      <w:pPr>
        <w:spacing w:line="200" w:lineRule="exact"/>
        <w:rPr>
          <w:rFonts w:ascii="Times New Roman" w:hAnsi="Times New Roman" w:cs="Times New Roman"/>
          <w:sz w:val="20"/>
          <w:szCs w:val="20"/>
          <w:lang w:val="pl-PL"/>
        </w:rPr>
      </w:pPr>
    </w:p>
    <w:p w14:paraId="35229A51" w14:textId="77777777" w:rsidR="002E5800" w:rsidRPr="008F328C" w:rsidRDefault="002E5800">
      <w:pPr>
        <w:spacing w:line="200" w:lineRule="exact"/>
        <w:rPr>
          <w:rFonts w:ascii="Times New Roman" w:hAnsi="Times New Roman" w:cs="Times New Roman"/>
          <w:sz w:val="20"/>
          <w:szCs w:val="20"/>
          <w:lang w:val="pl-PL"/>
        </w:rPr>
      </w:pPr>
    </w:p>
    <w:p w14:paraId="0B86D831" w14:textId="77777777" w:rsidR="002E5800" w:rsidRPr="008F328C" w:rsidRDefault="002E5800">
      <w:pPr>
        <w:spacing w:line="200" w:lineRule="exact"/>
        <w:rPr>
          <w:rFonts w:ascii="Times New Roman" w:hAnsi="Times New Roman" w:cs="Times New Roman"/>
          <w:sz w:val="20"/>
          <w:szCs w:val="20"/>
          <w:lang w:val="pl-PL"/>
        </w:rPr>
      </w:pPr>
    </w:p>
    <w:p w14:paraId="4F207D35" w14:textId="77777777" w:rsidR="002E5800" w:rsidRPr="008F328C" w:rsidRDefault="002E5800">
      <w:pPr>
        <w:spacing w:line="200" w:lineRule="exact"/>
        <w:rPr>
          <w:rFonts w:ascii="Times New Roman" w:hAnsi="Times New Roman" w:cs="Times New Roman"/>
          <w:sz w:val="20"/>
          <w:szCs w:val="20"/>
          <w:lang w:val="pl-PL"/>
        </w:rPr>
      </w:pPr>
    </w:p>
    <w:p w14:paraId="2C7036F1" w14:textId="77777777" w:rsidR="002E5800" w:rsidRPr="008F328C" w:rsidRDefault="002E5800">
      <w:pPr>
        <w:spacing w:line="200" w:lineRule="exact"/>
        <w:rPr>
          <w:rFonts w:ascii="Times New Roman" w:hAnsi="Times New Roman" w:cs="Times New Roman"/>
          <w:sz w:val="20"/>
          <w:szCs w:val="20"/>
          <w:lang w:val="pl-PL"/>
        </w:rPr>
      </w:pPr>
    </w:p>
    <w:p w14:paraId="67F88979" w14:textId="77777777" w:rsidR="002E5800" w:rsidRPr="008F328C" w:rsidRDefault="002E5800">
      <w:pPr>
        <w:spacing w:line="200" w:lineRule="exact"/>
        <w:rPr>
          <w:rFonts w:ascii="Times New Roman" w:hAnsi="Times New Roman" w:cs="Times New Roman"/>
          <w:sz w:val="20"/>
          <w:szCs w:val="20"/>
          <w:lang w:val="pl-PL"/>
        </w:rPr>
      </w:pPr>
    </w:p>
    <w:p w14:paraId="44BEE390" w14:textId="77777777" w:rsidR="002E5800" w:rsidRPr="008F328C" w:rsidRDefault="002E5800">
      <w:pPr>
        <w:spacing w:line="200" w:lineRule="exact"/>
        <w:rPr>
          <w:rFonts w:ascii="Times New Roman" w:hAnsi="Times New Roman" w:cs="Times New Roman"/>
          <w:sz w:val="20"/>
          <w:szCs w:val="20"/>
          <w:lang w:val="pl-PL"/>
        </w:rPr>
      </w:pPr>
    </w:p>
    <w:p w14:paraId="6A2CE7C6" w14:textId="77777777" w:rsidR="002E5800" w:rsidRPr="008F328C" w:rsidRDefault="002E5800">
      <w:pPr>
        <w:spacing w:before="4" w:line="200" w:lineRule="exact"/>
        <w:rPr>
          <w:rFonts w:ascii="Times New Roman" w:hAnsi="Times New Roman" w:cs="Times New Roman"/>
          <w:sz w:val="20"/>
          <w:szCs w:val="20"/>
          <w:lang w:val="pl-PL"/>
        </w:rPr>
      </w:pPr>
    </w:p>
    <w:p w14:paraId="57C47650" w14:textId="77777777" w:rsidR="002E5800" w:rsidRPr="008F328C" w:rsidRDefault="000E0B7C">
      <w:pPr>
        <w:pStyle w:val="1"/>
        <w:numPr>
          <w:ilvl w:val="0"/>
          <w:numId w:val="35"/>
        </w:numPr>
        <w:jc w:val="center"/>
        <w:rPr>
          <w:rFonts w:cs="Times New Roman"/>
          <w:lang w:val="pl-PL"/>
        </w:rPr>
      </w:pPr>
      <w:bookmarkStart w:id="46" w:name="A._LABELLING"/>
      <w:bookmarkEnd w:id="46"/>
      <w:r w:rsidRPr="008F328C">
        <w:rPr>
          <w:rFonts w:cs="Times New Roman"/>
          <w:lang w:val="pl-PL"/>
        </w:rPr>
        <w:t>OZNAKOWANIE OPAKOWAŃ</w:t>
      </w:r>
    </w:p>
    <w:p w14:paraId="26FBBDAC"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tbl>
      <w:tblPr>
        <w:tblStyle w:val="ac"/>
        <w:tblW w:w="9666" w:type="dxa"/>
        <w:tblLook w:val="04A0" w:firstRow="1" w:lastRow="0" w:firstColumn="1" w:lastColumn="0" w:noHBand="0" w:noVBand="1"/>
      </w:tblPr>
      <w:tblGrid>
        <w:gridCol w:w="9666"/>
      </w:tblGrid>
      <w:tr w:rsidR="002E5800" w:rsidRPr="006D3555" w14:paraId="797E5E75" w14:textId="77777777">
        <w:trPr>
          <w:trHeight w:val="822"/>
        </w:trPr>
        <w:tc>
          <w:tcPr>
            <w:tcW w:w="9666" w:type="dxa"/>
            <w:vAlign w:val="center"/>
          </w:tcPr>
          <w:p w14:paraId="22A82476" w14:textId="77777777" w:rsidR="002E5800" w:rsidRPr="008F328C" w:rsidRDefault="000E0B7C">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lastRenderedPageBreak/>
              <w:t>INFORMACJE ZAMIESZCZANE NA OPAKOWANIACH ZEWNĘTRZNYCH</w:t>
            </w:r>
          </w:p>
          <w:p w14:paraId="278B8674" w14:textId="77777777" w:rsidR="002E5800" w:rsidRPr="008F328C" w:rsidRDefault="002E5800">
            <w:pPr>
              <w:spacing w:line="180" w:lineRule="exact"/>
              <w:jc w:val="both"/>
              <w:rPr>
                <w:rFonts w:ascii="Times New Roman" w:hAnsi="Times New Roman" w:cs="Times New Roman"/>
                <w:lang w:val="pl-PL"/>
              </w:rPr>
            </w:pPr>
          </w:p>
          <w:p w14:paraId="2EB1E3D6" w14:textId="77777777" w:rsidR="002E5800" w:rsidRPr="008F328C" w:rsidRDefault="000E0B7C">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ZEWNĘTRZNE OPAKOWANIE KARTONOWE AMPUŁKO-STRZYKAWKI </w:t>
            </w:r>
          </w:p>
        </w:tc>
      </w:tr>
    </w:tbl>
    <w:p w14:paraId="7FFAA6E9" w14:textId="77777777" w:rsidR="002E5800" w:rsidRPr="008F328C" w:rsidRDefault="002E5800">
      <w:pPr>
        <w:spacing w:line="200" w:lineRule="exact"/>
        <w:rPr>
          <w:rFonts w:ascii="Times New Roman" w:hAnsi="Times New Roman" w:cs="Times New Roman"/>
          <w:lang w:val="pl-PL"/>
        </w:rPr>
      </w:pPr>
    </w:p>
    <w:p w14:paraId="4DE234F3" w14:textId="77777777" w:rsidR="002E5800" w:rsidRPr="008F328C" w:rsidRDefault="002E5800">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2E5800" w:rsidRPr="008F328C" w14:paraId="4107C1CF" w14:textId="77777777">
        <w:trPr>
          <w:trHeight w:val="317"/>
        </w:trPr>
        <w:tc>
          <w:tcPr>
            <w:tcW w:w="9666" w:type="dxa"/>
            <w:vAlign w:val="center"/>
          </w:tcPr>
          <w:p w14:paraId="7A16354D"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NAZWA PRODUKTU LECZNICZEGO</w:t>
            </w:r>
          </w:p>
        </w:tc>
      </w:tr>
    </w:tbl>
    <w:p w14:paraId="61A2FF55" w14:textId="77777777" w:rsidR="002E5800" w:rsidRPr="008F328C" w:rsidRDefault="002E5800">
      <w:pPr>
        <w:spacing w:line="200" w:lineRule="exact"/>
        <w:rPr>
          <w:rFonts w:ascii="Times New Roman" w:hAnsi="Times New Roman" w:cs="Times New Roman"/>
          <w:lang w:val="pl-PL"/>
        </w:rPr>
      </w:pPr>
    </w:p>
    <w:p w14:paraId="452A579D" w14:textId="77777777" w:rsidR="002E5800" w:rsidRPr="008F328C" w:rsidRDefault="000E0B7C">
      <w:pPr>
        <w:pStyle w:val="a3"/>
        <w:rPr>
          <w:lang w:val="pl-PL"/>
        </w:rPr>
      </w:pPr>
      <w:r w:rsidRPr="008F328C">
        <w:rPr>
          <w:rFonts w:eastAsia="Times New Roman"/>
          <w:lang w:val="pl-PL"/>
        </w:rPr>
        <w:t>Yuflyma 40 mg roztwór do wstrzykiwań w ampułko-strzykawce</w:t>
      </w:r>
    </w:p>
    <w:p w14:paraId="047005EB" w14:textId="39BBC278" w:rsidR="002E5800" w:rsidRPr="008F328C" w:rsidRDefault="00120AE9">
      <w:pPr>
        <w:pStyle w:val="a3"/>
        <w:rPr>
          <w:lang w:val="pl-PL"/>
        </w:rPr>
      </w:pPr>
      <w:r w:rsidRPr="008F328C">
        <w:rPr>
          <w:rFonts w:eastAsia="Times New Roman"/>
          <w:lang w:val="pl-PL"/>
        </w:rPr>
        <w:t>a</w:t>
      </w:r>
      <w:r w:rsidR="000E0B7C" w:rsidRPr="008F328C">
        <w:rPr>
          <w:rFonts w:eastAsia="Times New Roman"/>
          <w:lang w:val="pl-PL"/>
        </w:rPr>
        <w:t>dalimumab</w:t>
      </w:r>
    </w:p>
    <w:p w14:paraId="03B11D1A"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3248CC05" w14:textId="77777777">
        <w:trPr>
          <w:trHeight w:val="317"/>
        </w:trPr>
        <w:tc>
          <w:tcPr>
            <w:tcW w:w="9666" w:type="dxa"/>
            <w:vAlign w:val="center"/>
          </w:tcPr>
          <w:p w14:paraId="3CB62225"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SUBSTANCJI CZYNNEJ</w:t>
            </w:r>
          </w:p>
        </w:tc>
      </w:tr>
    </w:tbl>
    <w:p w14:paraId="2DC7A8D8" w14:textId="77777777" w:rsidR="002E5800" w:rsidRPr="008F328C" w:rsidRDefault="002E5800">
      <w:pPr>
        <w:spacing w:before="13" w:line="280" w:lineRule="exact"/>
        <w:rPr>
          <w:rFonts w:ascii="Times New Roman" w:hAnsi="Times New Roman" w:cs="Times New Roman"/>
          <w:lang w:val="pl-PL"/>
        </w:rPr>
      </w:pPr>
    </w:p>
    <w:p w14:paraId="5FA535D1" w14:textId="77777777" w:rsidR="002E5800" w:rsidRPr="008F328C" w:rsidRDefault="000E0B7C">
      <w:pPr>
        <w:pStyle w:val="a3"/>
        <w:rPr>
          <w:lang w:val="pl-PL"/>
        </w:rPr>
      </w:pPr>
      <w:r w:rsidRPr="008F328C">
        <w:rPr>
          <w:rFonts w:eastAsia="Times New Roman"/>
          <w:lang w:val="pl-PL"/>
        </w:rPr>
        <w:t>Jedna ampułko-strzykawka 0,4 ml zawiera 40 mg adalimumabu.</w:t>
      </w:r>
    </w:p>
    <w:p w14:paraId="267D7536" w14:textId="77777777" w:rsidR="002E5800" w:rsidRPr="008F328C" w:rsidRDefault="002E5800">
      <w:pPr>
        <w:spacing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C87D089" w14:textId="77777777">
        <w:trPr>
          <w:trHeight w:val="317"/>
        </w:trPr>
        <w:tc>
          <w:tcPr>
            <w:tcW w:w="9666" w:type="dxa"/>
            <w:vAlign w:val="center"/>
          </w:tcPr>
          <w:p w14:paraId="360658C2"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WYKAZ SUBSTANCJI POMOCNICZYCH</w:t>
            </w:r>
          </w:p>
        </w:tc>
      </w:tr>
    </w:tbl>
    <w:p w14:paraId="7157EB3D" w14:textId="77777777" w:rsidR="002E5800" w:rsidRPr="008F328C" w:rsidRDefault="002E5800">
      <w:pPr>
        <w:pStyle w:val="a3"/>
        <w:rPr>
          <w:lang w:val="pl-PL"/>
        </w:rPr>
      </w:pPr>
    </w:p>
    <w:p w14:paraId="54E86A56" w14:textId="0E68DE21" w:rsidR="002E5800" w:rsidRPr="008F328C" w:rsidRDefault="000E0B7C">
      <w:pPr>
        <w:pStyle w:val="a3"/>
        <w:rPr>
          <w:lang w:val="pl-PL"/>
        </w:rPr>
      </w:pPr>
      <w:r w:rsidRPr="008F328C">
        <w:rPr>
          <w:rFonts w:eastAsia="Times New Roman"/>
          <w:lang w:val="pl-PL"/>
        </w:rPr>
        <w:t>Substancje pomocnicze: kwas octowy, sodu octan</w:t>
      </w:r>
      <w:r w:rsidR="00944D4F" w:rsidRPr="008F328C">
        <w:rPr>
          <w:rFonts w:eastAsia="Times New Roman"/>
          <w:lang w:val="pl-PL"/>
        </w:rPr>
        <w:t xml:space="preserve"> trójwodny</w:t>
      </w:r>
      <w:r w:rsidRPr="008F328C">
        <w:rPr>
          <w:rFonts w:eastAsia="Times New Roman"/>
          <w:lang w:val="pl-PL"/>
        </w:rPr>
        <w:t xml:space="preserve">, glicyna, polisorbat 80, woda do wstrzykiwań. </w:t>
      </w:r>
    </w:p>
    <w:p w14:paraId="734443B9" w14:textId="77777777" w:rsidR="002E5800" w:rsidRPr="008F328C" w:rsidRDefault="000E0B7C">
      <w:pPr>
        <w:pStyle w:val="a3"/>
        <w:rPr>
          <w:lang w:val="pl-PL"/>
        </w:rPr>
      </w:pPr>
      <w:r w:rsidRPr="008F328C">
        <w:rPr>
          <w:rFonts w:eastAsia="Times New Roman"/>
          <w:highlight w:val="lightGray"/>
          <w:lang w:val="pl-PL"/>
        </w:rPr>
        <w:t>W celu uzyskania dalszych informacji patrz ulotka załączona do opakowania.</w:t>
      </w:r>
    </w:p>
    <w:p w14:paraId="67B53A95" w14:textId="51B5BB32" w:rsidR="002E5800" w:rsidRPr="008F328C" w:rsidRDefault="000E0B7C" w:rsidP="00D22235">
      <w:pPr>
        <w:pStyle w:val="a3"/>
        <w:tabs>
          <w:tab w:val="left" w:pos="1386"/>
        </w:tabs>
        <w:rPr>
          <w:lang w:val="pl-PL"/>
        </w:rPr>
      </w:pPr>
      <w:r w:rsidRPr="008F328C">
        <w:rPr>
          <w:lang w:val="pl-PL"/>
        </w:rPr>
        <w:tab/>
      </w: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D54497" w14:paraId="30816AB9" w14:textId="77777777">
        <w:trPr>
          <w:trHeight w:val="317"/>
        </w:trPr>
        <w:tc>
          <w:tcPr>
            <w:tcW w:w="9666" w:type="dxa"/>
            <w:vAlign w:val="center"/>
          </w:tcPr>
          <w:p w14:paraId="2E954B95"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POSTAĆ FARMACEUTYCZNA I ZAWARTOŚĆ OPAKOWANIA</w:t>
            </w:r>
          </w:p>
        </w:tc>
      </w:tr>
    </w:tbl>
    <w:p w14:paraId="6FE7FBA5" w14:textId="77777777" w:rsidR="002E5800" w:rsidRPr="008F328C" w:rsidRDefault="002E5800">
      <w:pPr>
        <w:pStyle w:val="a3"/>
        <w:rPr>
          <w:lang w:val="pl-PL"/>
        </w:rPr>
      </w:pPr>
    </w:p>
    <w:p w14:paraId="31ADCAE0" w14:textId="77777777" w:rsidR="002E5800" w:rsidRPr="008F328C" w:rsidRDefault="000E0B7C">
      <w:pPr>
        <w:pStyle w:val="a3"/>
        <w:rPr>
          <w:lang w:val="pl-PL"/>
        </w:rPr>
      </w:pPr>
      <w:r w:rsidRPr="008F328C">
        <w:rPr>
          <w:rFonts w:eastAsia="Times New Roman"/>
          <w:highlight w:val="lightGray"/>
          <w:lang w:val="pl-PL"/>
        </w:rPr>
        <w:t>Roztwór do wstrzykiwań</w:t>
      </w:r>
    </w:p>
    <w:p w14:paraId="734CB66F" w14:textId="77777777" w:rsidR="002E5800" w:rsidRPr="008F328C" w:rsidRDefault="000E0B7C">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1 ampułko-strzykawka</w:t>
      </w:r>
    </w:p>
    <w:p w14:paraId="60FFAFF7" w14:textId="77777777" w:rsidR="002E5800" w:rsidRPr="008F328C" w:rsidRDefault="000E0B7C">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2 gaziki nasączone alkoholem</w:t>
      </w:r>
    </w:p>
    <w:p w14:paraId="4C0E8972" w14:textId="77777777" w:rsidR="002E5800" w:rsidRPr="008F328C" w:rsidRDefault="002E5800">
      <w:pPr>
        <w:autoSpaceDE w:val="0"/>
        <w:autoSpaceDN w:val="0"/>
        <w:adjustRightInd w:val="0"/>
        <w:rPr>
          <w:rFonts w:ascii="Times New Roman" w:hAnsi="Times New Roman" w:cs="Times New Roman"/>
          <w:lang w:val="pl-PL"/>
        </w:rPr>
      </w:pPr>
    </w:p>
    <w:p w14:paraId="64BBB7C6"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ampułko-strzykawki</w:t>
      </w:r>
    </w:p>
    <w:p w14:paraId="10860D36"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gaziki nasączone alkoholem</w:t>
      </w:r>
    </w:p>
    <w:p w14:paraId="01B581C6" w14:textId="77777777" w:rsidR="002E5800" w:rsidRPr="008F328C" w:rsidRDefault="002E5800">
      <w:pPr>
        <w:autoSpaceDE w:val="0"/>
        <w:autoSpaceDN w:val="0"/>
        <w:adjustRightInd w:val="0"/>
        <w:rPr>
          <w:rFonts w:ascii="Times New Roman" w:hAnsi="Times New Roman" w:cs="Times New Roman"/>
          <w:highlight w:val="lightGray"/>
          <w:lang w:val="pl-PL"/>
        </w:rPr>
      </w:pPr>
    </w:p>
    <w:p w14:paraId="2B404267"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ampułko-strzykawki</w:t>
      </w:r>
    </w:p>
    <w:p w14:paraId="5B40291C"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4 gaziki nasączone alkoholem</w:t>
      </w:r>
    </w:p>
    <w:p w14:paraId="4775F0C9" w14:textId="77777777" w:rsidR="002E5800" w:rsidRPr="008F328C" w:rsidRDefault="002E5800">
      <w:pPr>
        <w:autoSpaceDE w:val="0"/>
        <w:autoSpaceDN w:val="0"/>
        <w:adjustRightInd w:val="0"/>
        <w:rPr>
          <w:rFonts w:ascii="Times New Roman" w:hAnsi="Times New Roman" w:cs="Times New Roman"/>
          <w:highlight w:val="lightGray"/>
          <w:lang w:val="pl-PL"/>
        </w:rPr>
      </w:pPr>
    </w:p>
    <w:p w14:paraId="12A33227"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6 ampułko-strzykawek</w:t>
      </w:r>
    </w:p>
    <w:p w14:paraId="19C7C18F"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6 gazików nasączonych alkoholem</w:t>
      </w:r>
    </w:p>
    <w:p w14:paraId="1F59580E" w14:textId="77777777" w:rsidR="002E5800" w:rsidRPr="008F328C" w:rsidRDefault="002E5800">
      <w:pPr>
        <w:autoSpaceDE w:val="0"/>
        <w:autoSpaceDN w:val="0"/>
        <w:adjustRightInd w:val="0"/>
        <w:rPr>
          <w:rFonts w:ascii="Times New Roman" w:hAnsi="Times New Roman" w:cs="Times New Roman"/>
          <w:highlight w:val="lightGray"/>
          <w:lang w:val="pl-PL"/>
        </w:rPr>
      </w:pPr>
    </w:p>
    <w:p w14:paraId="4193C10A"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1 ampułkostrzykawka z osłoną igły</w:t>
      </w:r>
    </w:p>
    <w:p w14:paraId="5C618010"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gaziki nasączone alkoholem</w:t>
      </w:r>
    </w:p>
    <w:p w14:paraId="237AC114" w14:textId="77777777" w:rsidR="002E5800" w:rsidRPr="008F328C" w:rsidRDefault="002E5800">
      <w:pPr>
        <w:autoSpaceDE w:val="0"/>
        <w:autoSpaceDN w:val="0"/>
        <w:adjustRightInd w:val="0"/>
        <w:rPr>
          <w:rFonts w:ascii="Times New Roman" w:hAnsi="Times New Roman" w:cs="Times New Roman"/>
          <w:highlight w:val="lightGray"/>
          <w:lang w:val="pl-PL"/>
        </w:rPr>
      </w:pPr>
    </w:p>
    <w:p w14:paraId="374DD8E2"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ampułkostrzykawki z osłoną igły</w:t>
      </w:r>
    </w:p>
    <w:p w14:paraId="40862DEB"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gaziki nasączone alkoholem</w:t>
      </w:r>
    </w:p>
    <w:p w14:paraId="769C65B6" w14:textId="77777777" w:rsidR="002E5800" w:rsidRPr="008F328C" w:rsidRDefault="002E5800">
      <w:pPr>
        <w:autoSpaceDE w:val="0"/>
        <w:autoSpaceDN w:val="0"/>
        <w:adjustRightInd w:val="0"/>
        <w:rPr>
          <w:rFonts w:ascii="Times New Roman" w:hAnsi="Times New Roman" w:cs="Times New Roman"/>
          <w:highlight w:val="lightGray"/>
          <w:lang w:val="pl-PL"/>
        </w:rPr>
      </w:pPr>
    </w:p>
    <w:p w14:paraId="68F6F30C"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3 ampułkostrzykawki z osłoną igły</w:t>
      </w:r>
    </w:p>
    <w:p w14:paraId="64D6FDFB" w14:textId="77777777" w:rsidR="002E5800" w:rsidRPr="008F328C" w:rsidRDefault="000E0B7C">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4 gaziki nasączone alkoholem</w:t>
      </w:r>
    </w:p>
    <w:p w14:paraId="26DA723B" w14:textId="77777777" w:rsidR="002E5800" w:rsidRPr="008F328C" w:rsidRDefault="002E5800">
      <w:pPr>
        <w:autoSpaceDE w:val="0"/>
        <w:autoSpaceDN w:val="0"/>
        <w:adjustRightInd w:val="0"/>
        <w:rPr>
          <w:rFonts w:ascii="Times New Roman" w:hAnsi="Times New Roman" w:cs="Times New Roman"/>
          <w:highlight w:val="lightGray"/>
          <w:lang w:val="pl-PL"/>
        </w:rPr>
      </w:pPr>
    </w:p>
    <w:p w14:paraId="255D186D" w14:textId="77777777" w:rsidR="002E5800" w:rsidRPr="008F328C" w:rsidRDefault="000E0B7C">
      <w:pPr>
        <w:spacing w:line="200" w:lineRule="exact"/>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4 ampułkostrzykawki z osłoną igły</w:t>
      </w:r>
    </w:p>
    <w:p w14:paraId="7F7EE303" w14:textId="77777777" w:rsidR="002E5800" w:rsidRPr="008F328C" w:rsidRDefault="000E0B7C">
      <w:pPr>
        <w:spacing w:line="200" w:lineRule="exact"/>
        <w:rPr>
          <w:rFonts w:ascii="Times New Roman" w:hAnsi="Times New Roman" w:cs="Times New Roman"/>
          <w:lang w:val="pl-PL"/>
        </w:rPr>
      </w:pPr>
      <w:r w:rsidRPr="008F328C">
        <w:rPr>
          <w:rFonts w:ascii="Times New Roman" w:eastAsia="Times New Roman" w:hAnsi="Times New Roman" w:cs="Times New Roman"/>
          <w:highlight w:val="lightGray"/>
          <w:lang w:val="pl-PL"/>
        </w:rPr>
        <w:t>6 gazików nasączonych alkoholem</w:t>
      </w:r>
    </w:p>
    <w:p w14:paraId="41D7ECFD" w14:textId="77777777" w:rsidR="002E5800" w:rsidRPr="008F328C" w:rsidRDefault="002E5800">
      <w:pPr>
        <w:spacing w:line="200" w:lineRule="exact"/>
        <w:rPr>
          <w:rFonts w:ascii="Times New Roman" w:hAnsi="Times New Roman" w:cs="Times New Roman"/>
          <w:lang w:val="pl-PL"/>
        </w:rPr>
      </w:pPr>
    </w:p>
    <w:p w14:paraId="13AB8C57" w14:textId="77777777" w:rsidR="002E5800" w:rsidRPr="008F328C" w:rsidRDefault="002E5800">
      <w:pPr>
        <w:spacing w:line="20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53421841" w14:textId="77777777">
        <w:trPr>
          <w:trHeight w:val="317"/>
        </w:trPr>
        <w:tc>
          <w:tcPr>
            <w:tcW w:w="9666" w:type="dxa"/>
            <w:vAlign w:val="center"/>
          </w:tcPr>
          <w:p w14:paraId="3733A4B2"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I DROGA PODANIA</w:t>
            </w:r>
          </w:p>
        </w:tc>
      </w:tr>
    </w:tbl>
    <w:p w14:paraId="29A95C6B" w14:textId="77777777" w:rsidR="002E5800" w:rsidRPr="008F328C" w:rsidRDefault="002E5800">
      <w:pPr>
        <w:spacing w:line="200" w:lineRule="exact"/>
        <w:rPr>
          <w:rFonts w:ascii="Times New Roman" w:hAnsi="Times New Roman" w:cs="Times New Roman"/>
          <w:lang w:val="pl-PL"/>
        </w:rPr>
      </w:pPr>
    </w:p>
    <w:p w14:paraId="614B3070" w14:textId="77777777" w:rsidR="002E5800" w:rsidRPr="008F328C" w:rsidRDefault="000E0B7C">
      <w:pPr>
        <w:pStyle w:val="a3"/>
        <w:rPr>
          <w:lang w:val="pl-PL"/>
        </w:rPr>
      </w:pPr>
      <w:r w:rsidRPr="008F328C">
        <w:rPr>
          <w:rFonts w:eastAsia="Times New Roman"/>
          <w:lang w:val="pl-PL"/>
        </w:rPr>
        <w:t>Podanie podskórne</w:t>
      </w:r>
    </w:p>
    <w:p w14:paraId="1C8E220A" w14:textId="77777777" w:rsidR="002E5800" w:rsidRPr="008F328C" w:rsidRDefault="002E5800">
      <w:pPr>
        <w:pStyle w:val="a3"/>
        <w:rPr>
          <w:lang w:val="pl-PL"/>
        </w:rPr>
      </w:pPr>
    </w:p>
    <w:p w14:paraId="13BC9BF3" w14:textId="77777777" w:rsidR="002E5800" w:rsidRPr="008F328C" w:rsidRDefault="000E0B7C">
      <w:pPr>
        <w:pStyle w:val="a3"/>
        <w:rPr>
          <w:lang w:val="pl-PL"/>
        </w:rPr>
      </w:pPr>
      <w:r w:rsidRPr="008F328C">
        <w:rPr>
          <w:rFonts w:eastAsia="Times New Roman"/>
          <w:lang w:val="pl-PL"/>
        </w:rPr>
        <w:t>Należy zapoznać się z treścią ulotki przed zastosowaniem leku.</w:t>
      </w:r>
    </w:p>
    <w:p w14:paraId="45B7633D" w14:textId="77777777" w:rsidR="002E5800" w:rsidRPr="008F328C" w:rsidRDefault="002E5800">
      <w:pPr>
        <w:pStyle w:val="a3"/>
        <w:rPr>
          <w:lang w:val="pl-PL"/>
        </w:rPr>
      </w:pPr>
    </w:p>
    <w:p w14:paraId="2766EA36" w14:textId="77777777" w:rsidR="002E5800" w:rsidRPr="008F328C" w:rsidRDefault="000E0B7C">
      <w:pPr>
        <w:pStyle w:val="a3"/>
        <w:rPr>
          <w:lang w:val="pl-PL"/>
        </w:rPr>
      </w:pPr>
      <w:r w:rsidRPr="008F328C">
        <w:rPr>
          <w:rFonts w:eastAsia="Times New Roman"/>
          <w:lang w:val="pl-PL"/>
        </w:rPr>
        <w:t>Produkt wyłącznie do jednorazowego użytku.</w:t>
      </w:r>
    </w:p>
    <w:p w14:paraId="0BF0599F"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6D3555" w14:paraId="1D7C2E91" w14:textId="77777777">
        <w:trPr>
          <w:trHeight w:val="317"/>
        </w:trPr>
        <w:tc>
          <w:tcPr>
            <w:tcW w:w="9666" w:type="dxa"/>
            <w:vAlign w:val="center"/>
          </w:tcPr>
          <w:p w14:paraId="1EAAE767"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OSTRZEŻENIE DOTYCZĄCE PRZECHOWYWANIA PRODUKTU LECZNICZEGO W MIEJSCU NIEWIDOCZNYM I NIEDOSTĘPNYM DLA DZIECI</w:t>
            </w:r>
          </w:p>
        </w:tc>
      </w:tr>
    </w:tbl>
    <w:p w14:paraId="4013237A" w14:textId="77777777" w:rsidR="002E5800" w:rsidRPr="008F328C" w:rsidRDefault="002E5800">
      <w:pPr>
        <w:spacing w:before="1" w:line="200" w:lineRule="exact"/>
        <w:rPr>
          <w:rFonts w:ascii="Times New Roman" w:hAnsi="Times New Roman" w:cs="Times New Roman"/>
          <w:lang w:val="pl-PL"/>
        </w:rPr>
      </w:pPr>
    </w:p>
    <w:p w14:paraId="3944DF01" w14:textId="77777777" w:rsidR="002E5800" w:rsidRPr="008F328C" w:rsidRDefault="000E0B7C">
      <w:pPr>
        <w:pStyle w:val="a3"/>
        <w:rPr>
          <w:lang w:val="pl-PL"/>
        </w:rPr>
      </w:pPr>
      <w:r w:rsidRPr="008F328C">
        <w:rPr>
          <w:rFonts w:eastAsia="Times New Roman"/>
          <w:lang w:val="pl-PL"/>
        </w:rPr>
        <w:t>Lek przechowywać w miejscu niewidocznym i niedostępnym dla dzieci.</w:t>
      </w:r>
    </w:p>
    <w:p w14:paraId="0D41968A"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6D3555" w14:paraId="2B8AB6F4" w14:textId="77777777">
        <w:trPr>
          <w:trHeight w:val="317"/>
        </w:trPr>
        <w:tc>
          <w:tcPr>
            <w:tcW w:w="9666" w:type="dxa"/>
            <w:vAlign w:val="center"/>
          </w:tcPr>
          <w:p w14:paraId="2838F138"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INNE OSTRZEŻENIA SPECJALNE, JEŚLI KONIECZNE</w:t>
            </w:r>
          </w:p>
        </w:tc>
      </w:tr>
    </w:tbl>
    <w:p w14:paraId="329D194C" w14:textId="6783DFA7" w:rsidR="002E5800" w:rsidRPr="008F328C" w:rsidRDefault="002E5800">
      <w:pPr>
        <w:rPr>
          <w:rFonts w:ascii="Times New Roman" w:hAnsi="Times New Roman" w:cs="Times New Roman"/>
          <w:lang w:val="pl-PL"/>
        </w:rPr>
      </w:pPr>
    </w:p>
    <w:p w14:paraId="4927FF15" w14:textId="77777777" w:rsidR="00CC4159" w:rsidRPr="008F328C" w:rsidRDefault="00CC4159">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6C20F370" w14:textId="77777777">
        <w:trPr>
          <w:trHeight w:val="317"/>
        </w:trPr>
        <w:tc>
          <w:tcPr>
            <w:tcW w:w="9666" w:type="dxa"/>
            <w:vAlign w:val="center"/>
          </w:tcPr>
          <w:p w14:paraId="4FE054C5"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472802C7" w14:textId="77777777" w:rsidR="002E5800" w:rsidRPr="008F328C" w:rsidRDefault="002E5800">
      <w:pPr>
        <w:rPr>
          <w:rFonts w:ascii="Times New Roman" w:hAnsi="Times New Roman" w:cs="Times New Roman"/>
          <w:lang w:val="pl-PL"/>
        </w:rPr>
      </w:pPr>
    </w:p>
    <w:p w14:paraId="34FDF806" w14:textId="202992B4" w:rsidR="002E5800" w:rsidRPr="008F328C" w:rsidRDefault="00120AE9" w:rsidP="00120AE9">
      <w:pPr>
        <w:pStyle w:val="a3"/>
        <w:rPr>
          <w:rFonts w:eastAsia="Times New Roman"/>
          <w:lang w:val="pl-PL"/>
        </w:rPr>
      </w:pPr>
      <w:r w:rsidRPr="008F328C">
        <w:rPr>
          <w:rFonts w:eastAsia="Times New Roman"/>
          <w:lang w:val="pl-PL"/>
        </w:rPr>
        <w:t>Termin ważności (EXP)</w:t>
      </w:r>
    </w:p>
    <w:p w14:paraId="0E20D793"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5C2E5E74" w14:textId="77777777">
        <w:trPr>
          <w:trHeight w:val="317"/>
        </w:trPr>
        <w:tc>
          <w:tcPr>
            <w:tcW w:w="9666" w:type="dxa"/>
            <w:vAlign w:val="center"/>
          </w:tcPr>
          <w:p w14:paraId="1CFACA44"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WARUNKI PRZECHOWYWANIA</w:t>
            </w:r>
          </w:p>
        </w:tc>
      </w:tr>
    </w:tbl>
    <w:p w14:paraId="79EA7A7A" w14:textId="77777777" w:rsidR="002E5800" w:rsidRPr="008F328C" w:rsidRDefault="002E5800">
      <w:pPr>
        <w:rPr>
          <w:rFonts w:ascii="Times New Roman" w:hAnsi="Times New Roman" w:cs="Times New Roman"/>
          <w:lang w:val="pl-PL"/>
        </w:rPr>
      </w:pPr>
    </w:p>
    <w:p w14:paraId="3369A191" w14:textId="77777777" w:rsidR="002E5800" w:rsidRPr="008F328C" w:rsidRDefault="000E0B7C">
      <w:pPr>
        <w:pStyle w:val="a3"/>
        <w:rPr>
          <w:lang w:val="pl-PL"/>
        </w:rPr>
      </w:pPr>
      <w:r w:rsidRPr="008F328C">
        <w:rPr>
          <w:rFonts w:eastAsia="Times New Roman"/>
          <w:lang w:val="pl-PL"/>
        </w:rPr>
        <w:t>Przechowywać w lodówce. Nie zamrażać.</w:t>
      </w:r>
    </w:p>
    <w:p w14:paraId="76680C44" w14:textId="77777777" w:rsidR="002E5800" w:rsidRPr="008F328C" w:rsidRDefault="000E0B7C">
      <w:pPr>
        <w:pStyle w:val="a3"/>
        <w:rPr>
          <w:lang w:val="pl-PL"/>
        </w:rPr>
      </w:pPr>
      <w:r w:rsidRPr="008F328C">
        <w:rPr>
          <w:rFonts w:eastAsia="Times New Roman"/>
          <w:lang w:val="pl-PL"/>
        </w:rPr>
        <w:t>Przechowywać ampułko-strzykawkę w opakowaniu zewnętrznym w celu ochrony przed światłem.</w:t>
      </w:r>
    </w:p>
    <w:p w14:paraId="10AB8FAE" w14:textId="77777777" w:rsidR="002E5800" w:rsidRPr="008F328C" w:rsidRDefault="000E0B7C">
      <w:pPr>
        <w:pStyle w:val="a3"/>
        <w:rPr>
          <w:lang w:val="pl-PL"/>
        </w:rPr>
      </w:pPr>
      <w:r w:rsidRPr="008F328C">
        <w:rPr>
          <w:rFonts w:eastAsia="Times New Roman"/>
          <w:highlight w:val="lightGray"/>
          <w:lang w:val="pl-PL"/>
        </w:rPr>
        <w:t>Przechowywać ampułko-strzykawkę w opakowaniu zewnętrznym w celu ochrony przed światłem.</w:t>
      </w:r>
    </w:p>
    <w:p w14:paraId="2CD2C4FC" w14:textId="43DB4E59" w:rsidR="002E5800" w:rsidRPr="008F328C" w:rsidRDefault="000E0B7C" w:rsidP="00D22235">
      <w:pPr>
        <w:pStyle w:val="a3"/>
        <w:rPr>
          <w:lang w:val="pl-PL"/>
        </w:rPr>
      </w:pPr>
      <w:r w:rsidRPr="008F328C">
        <w:rPr>
          <w:rFonts w:eastAsia="Times New Roman"/>
          <w:lang w:val="pl-PL"/>
        </w:rPr>
        <w:t>Dodatkowe informacje dotyczące przechowywania znajdują się w ulotce dołączonej do opakowania.</w:t>
      </w:r>
    </w:p>
    <w:p w14:paraId="2CDBD3A3"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6C1F7352" w14:textId="77777777">
        <w:trPr>
          <w:trHeight w:val="317"/>
        </w:trPr>
        <w:tc>
          <w:tcPr>
            <w:tcW w:w="9666" w:type="dxa"/>
            <w:vAlign w:val="center"/>
          </w:tcPr>
          <w:p w14:paraId="0852D0C3"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SPECJALNE ŚRODKI OSTROŻNOŚCI DOTYCZĄCE USUWANIA NIEZUŻYTEGO PRODUKTU LECZNICZEGO LUB POCHODZĄCYCH Z NIEGO ODPADÓW, JEŚLI WŁAŚCIWE</w:t>
            </w:r>
          </w:p>
        </w:tc>
      </w:tr>
    </w:tbl>
    <w:p w14:paraId="1DC252BF" w14:textId="7C95FCB8" w:rsidR="002E5800" w:rsidRPr="008F328C" w:rsidRDefault="002E5800">
      <w:pPr>
        <w:rPr>
          <w:rFonts w:ascii="Times New Roman" w:hAnsi="Times New Roman" w:cs="Times New Roman"/>
          <w:lang w:val="pl-PL"/>
        </w:rPr>
      </w:pPr>
    </w:p>
    <w:p w14:paraId="210D0CD7" w14:textId="77777777" w:rsidR="00CC4159" w:rsidRPr="008F328C" w:rsidRDefault="00CC4159">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1CD54355" w14:textId="77777777">
        <w:trPr>
          <w:trHeight w:val="317"/>
        </w:trPr>
        <w:tc>
          <w:tcPr>
            <w:tcW w:w="9666" w:type="dxa"/>
            <w:vAlign w:val="center"/>
          </w:tcPr>
          <w:p w14:paraId="42ED1897"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I ADRES PODMIOTU ODPOWIEDZIALNEGO</w:t>
            </w:r>
          </w:p>
        </w:tc>
      </w:tr>
    </w:tbl>
    <w:p w14:paraId="3C84CBA0" w14:textId="77777777" w:rsidR="002E5800" w:rsidRPr="008F328C" w:rsidRDefault="002E5800">
      <w:pPr>
        <w:spacing w:before="5" w:line="200" w:lineRule="exact"/>
        <w:rPr>
          <w:rFonts w:ascii="Times New Roman" w:hAnsi="Times New Roman" w:cs="Times New Roman"/>
          <w:lang w:val="pl-PL"/>
        </w:rPr>
      </w:pPr>
    </w:p>
    <w:p w14:paraId="4D84985C" w14:textId="77777777" w:rsidR="002E5800" w:rsidRPr="008F328C" w:rsidRDefault="000E0B7C">
      <w:pPr>
        <w:pStyle w:val="a3"/>
        <w:rPr>
          <w:lang w:val="en-GB"/>
        </w:rPr>
      </w:pPr>
      <w:r w:rsidRPr="008F328C">
        <w:rPr>
          <w:lang w:val="en-GB"/>
        </w:rPr>
        <w:t xml:space="preserve">Celltrion Healthcare Hungary Kft. </w:t>
      </w:r>
    </w:p>
    <w:p w14:paraId="72D5D617" w14:textId="77777777" w:rsidR="002E5800" w:rsidRPr="008F328C" w:rsidRDefault="000E0B7C">
      <w:pPr>
        <w:pStyle w:val="a3"/>
        <w:rPr>
          <w:lang w:val="en-GB"/>
        </w:rPr>
      </w:pPr>
      <w:r w:rsidRPr="008F328C">
        <w:rPr>
          <w:lang w:val="en-GB"/>
        </w:rPr>
        <w:t>1062 Budapest</w:t>
      </w:r>
    </w:p>
    <w:p w14:paraId="108313F0" w14:textId="77777777" w:rsidR="002E5800" w:rsidRPr="008F328C" w:rsidRDefault="000E0B7C">
      <w:pPr>
        <w:pStyle w:val="a3"/>
      </w:pPr>
      <w:r w:rsidRPr="008F328C">
        <w:rPr>
          <w:lang w:val="en-GB"/>
        </w:rPr>
        <w:t xml:space="preserve">Váci út 1-3. </w:t>
      </w:r>
      <w:r w:rsidRPr="008F328C">
        <w:t>WestEnd Office Building B torony</w:t>
      </w:r>
    </w:p>
    <w:p w14:paraId="0FA0A11A" w14:textId="77777777" w:rsidR="002E5800" w:rsidRPr="008F328C" w:rsidRDefault="000E0B7C">
      <w:pPr>
        <w:pStyle w:val="a3"/>
      </w:pPr>
      <w:r w:rsidRPr="008F328C">
        <w:rPr>
          <w:rFonts w:eastAsia="Times New Roman"/>
        </w:rPr>
        <w:t>Węgry</w:t>
      </w:r>
    </w:p>
    <w:p w14:paraId="62F0A2D3" w14:textId="77777777" w:rsidR="002E5800" w:rsidRPr="008F328C" w:rsidRDefault="002E580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D54497" w14:paraId="4CB3EE80" w14:textId="77777777">
        <w:trPr>
          <w:trHeight w:val="317"/>
        </w:trPr>
        <w:tc>
          <w:tcPr>
            <w:tcW w:w="9666" w:type="dxa"/>
            <w:vAlign w:val="center"/>
          </w:tcPr>
          <w:p w14:paraId="44A36DB1"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POZWOLENIA NA DOPUSZCZENIE DO OBROTU</w:t>
            </w:r>
          </w:p>
        </w:tc>
      </w:tr>
    </w:tbl>
    <w:p w14:paraId="2DD17E1E" w14:textId="77777777" w:rsidR="002E5800" w:rsidRPr="008F328C" w:rsidRDefault="002E5800">
      <w:pPr>
        <w:rPr>
          <w:rFonts w:ascii="Times New Roman" w:hAnsi="Times New Roman" w:cs="Times New Roman"/>
          <w:lang w:val="pl-PL"/>
        </w:rPr>
      </w:pPr>
    </w:p>
    <w:p w14:paraId="58E001AA" w14:textId="77777777" w:rsidR="002E5800" w:rsidRPr="008F328C" w:rsidRDefault="000E0B7C">
      <w:pPr>
        <w:pStyle w:val="a3"/>
        <w:rPr>
          <w:highlight w:val="lightGray"/>
          <w:lang w:val="pl-PL"/>
        </w:rPr>
      </w:pPr>
      <w:r w:rsidRPr="008F328C">
        <w:rPr>
          <w:rFonts w:eastAsia="Times New Roman"/>
          <w:lang w:val="pl-PL"/>
        </w:rPr>
        <w:t>EU/</w:t>
      </w:r>
      <w:r w:rsidRPr="008F328C">
        <w:rPr>
          <w:rFonts w:eastAsia="Times New Roman"/>
          <w:color w:val="000000"/>
          <w:lang w:val="pl-PL"/>
        </w:rPr>
        <w:t>1/20/1513/001</w:t>
      </w:r>
      <w:r w:rsidRPr="008F328C">
        <w:rPr>
          <w:rFonts w:eastAsia="Times New Roman"/>
          <w:lang w:val="pl-PL"/>
        </w:rPr>
        <w:t xml:space="preserve"> </w:t>
      </w:r>
      <w:r w:rsidRPr="008F328C">
        <w:rPr>
          <w:rFonts w:eastAsia="Times New Roman"/>
          <w:highlight w:val="lightGray"/>
          <w:lang w:val="pl-PL"/>
        </w:rPr>
        <w:t>1 ampułko-strzykawka</w:t>
      </w:r>
    </w:p>
    <w:p w14:paraId="24ACBC83"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1/20/1513/002</w:t>
      </w:r>
      <w:r w:rsidRPr="008F328C">
        <w:rPr>
          <w:rFonts w:eastAsia="Times New Roman"/>
          <w:highlight w:val="lightGray"/>
          <w:lang w:val="pl-PL"/>
        </w:rPr>
        <w:t xml:space="preserve"> 2 ampułko-strzykawki</w:t>
      </w:r>
    </w:p>
    <w:p w14:paraId="11C8BAB2"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1/20/1513/003</w:t>
      </w:r>
      <w:r w:rsidRPr="008F328C">
        <w:rPr>
          <w:rFonts w:eastAsia="Times New Roman"/>
          <w:highlight w:val="lightGray"/>
          <w:lang w:val="pl-PL"/>
        </w:rPr>
        <w:t xml:space="preserve"> 4 ampułko-strzykawki </w:t>
      </w:r>
    </w:p>
    <w:p w14:paraId="5CAEEE9E"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1/20/1513/004</w:t>
      </w:r>
      <w:r w:rsidRPr="008F328C">
        <w:rPr>
          <w:rFonts w:eastAsia="Times New Roman"/>
          <w:highlight w:val="lightGray"/>
          <w:lang w:val="pl-PL"/>
        </w:rPr>
        <w:t xml:space="preserve"> 6 ampułko-strzykawek </w:t>
      </w:r>
    </w:p>
    <w:p w14:paraId="3E0506D4"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1/20/1513/005</w:t>
      </w:r>
      <w:r w:rsidRPr="008F328C">
        <w:rPr>
          <w:rFonts w:eastAsia="Times New Roman"/>
          <w:highlight w:val="lightGray"/>
          <w:lang w:val="pl-PL"/>
        </w:rPr>
        <w:t xml:space="preserve"> 1 ampułko-strzykawka z osłoną igły</w:t>
      </w:r>
    </w:p>
    <w:p w14:paraId="61E3CE47"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1/20/1513/006</w:t>
      </w:r>
      <w:r w:rsidRPr="008F328C">
        <w:rPr>
          <w:rFonts w:eastAsia="Times New Roman"/>
          <w:highlight w:val="lightGray"/>
          <w:lang w:val="pl-PL"/>
        </w:rPr>
        <w:t xml:space="preserve"> 2 ampułko-strzykawki z osłoną igły</w:t>
      </w:r>
    </w:p>
    <w:p w14:paraId="7B6D5CC5" w14:textId="77777777"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1/20/1513/007</w:t>
      </w:r>
      <w:r w:rsidRPr="008F328C">
        <w:rPr>
          <w:rFonts w:eastAsia="Times New Roman"/>
          <w:highlight w:val="lightGray"/>
          <w:lang w:val="pl-PL"/>
        </w:rPr>
        <w:t xml:space="preserve"> 4 ampułko-strzykawki z osłoną igły</w:t>
      </w:r>
    </w:p>
    <w:p w14:paraId="2D8CEFBF" w14:textId="77777777" w:rsidR="002E5800" w:rsidRPr="008F328C" w:rsidRDefault="000E0B7C">
      <w:pPr>
        <w:pStyle w:val="a3"/>
        <w:rPr>
          <w:lang w:val="pl-PL"/>
        </w:rPr>
      </w:pPr>
      <w:r w:rsidRPr="008F328C">
        <w:rPr>
          <w:rFonts w:eastAsia="Times New Roman"/>
          <w:highlight w:val="lightGray"/>
          <w:lang w:val="pl-PL"/>
        </w:rPr>
        <w:lastRenderedPageBreak/>
        <w:t>EU/</w:t>
      </w:r>
      <w:r w:rsidRPr="008F328C">
        <w:rPr>
          <w:rFonts w:eastAsia="Times New Roman"/>
          <w:color w:val="000000"/>
          <w:highlight w:val="lightGray"/>
          <w:lang w:val="pl-PL"/>
        </w:rPr>
        <w:t>1/20/1513/008</w:t>
      </w:r>
      <w:r w:rsidRPr="008F328C">
        <w:rPr>
          <w:rFonts w:eastAsia="Times New Roman"/>
          <w:highlight w:val="lightGray"/>
          <w:lang w:val="pl-PL"/>
        </w:rPr>
        <w:t xml:space="preserve"> 6 ampułko-strzykawek z osłoną igły</w:t>
      </w:r>
    </w:p>
    <w:p w14:paraId="418AA680"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65D53C91" w14:textId="77777777">
        <w:trPr>
          <w:trHeight w:val="317"/>
        </w:trPr>
        <w:tc>
          <w:tcPr>
            <w:tcW w:w="9666" w:type="dxa"/>
            <w:vAlign w:val="center"/>
          </w:tcPr>
          <w:p w14:paraId="7F2266F8"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408165E9" w14:textId="77777777" w:rsidR="002E5800" w:rsidRPr="008F328C" w:rsidRDefault="002E5800">
      <w:pPr>
        <w:rPr>
          <w:rFonts w:ascii="Times New Roman" w:hAnsi="Times New Roman" w:cs="Times New Roman"/>
          <w:lang w:val="pl-PL"/>
        </w:rPr>
      </w:pPr>
    </w:p>
    <w:p w14:paraId="222DAE65" w14:textId="4F59765C" w:rsidR="00120AE9" w:rsidRPr="008F328C" w:rsidRDefault="00120AE9">
      <w:pPr>
        <w:pStyle w:val="a3"/>
        <w:rPr>
          <w:lang w:val="pl-PL"/>
        </w:rPr>
      </w:pPr>
      <w:r w:rsidRPr="008F328C">
        <w:rPr>
          <w:rFonts w:eastAsia="Times New Roman"/>
          <w:lang w:val="pl-PL"/>
        </w:rPr>
        <w:t>Nr serii (Lot)</w:t>
      </w:r>
    </w:p>
    <w:p w14:paraId="565DCCC7"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127E1079" w14:textId="77777777">
        <w:trPr>
          <w:trHeight w:val="317"/>
        </w:trPr>
        <w:tc>
          <w:tcPr>
            <w:tcW w:w="9666" w:type="dxa"/>
            <w:vAlign w:val="center"/>
          </w:tcPr>
          <w:p w14:paraId="6785C907"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OGÓLNA KATEGORIA DOSTĘPNOŚCI</w:t>
            </w:r>
          </w:p>
        </w:tc>
      </w:tr>
    </w:tbl>
    <w:p w14:paraId="0CDC78E3" w14:textId="57AB3AC1" w:rsidR="002E5800" w:rsidRPr="008F328C" w:rsidRDefault="002E5800">
      <w:pPr>
        <w:jc w:val="both"/>
        <w:rPr>
          <w:rFonts w:ascii="Times New Roman" w:hAnsi="Times New Roman" w:cs="Times New Roman"/>
          <w:lang w:val="pl-PL"/>
        </w:rPr>
      </w:pPr>
    </w:p>
    <w:p w14:paraId="5EF9EF8E" w14:textId="77777777" w:rsidR="00CC4159" w:rsidRPr="008F328C" w:rsidRDefault="00CC4159">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5122356B" w14:textId="77777777">
        <w:trPr>
          <w:trHeight w:val="317"/>
        </w:trPr>
        <w:tc>
          <w:tcPr>
            <w:tcW w:w="9666" w:type="dxa"/>
            <w:vAlign w:val="center"/>
          </w:tcPr>
          <w:p w14:paraId="0116575D"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INSTRUKCJA UŻYCIA</w:t>
            </w:r>
          </w:p>
        </w:tc>
      </w:tr>
    </w:tbl>
    <w:p w14:paraId="1E409F33" w14:textId="494360A9" w:rsidR="002E5800" w:rsidRPr="008F328C" w:rsidRDefault="002E5800">
      <w:pPr>
        <w:jc w:val="both"/>
        <w:rPr>
          <w:rFonts w:ascii="Times New Roman" w:hAnsi="Times New Roman" w:cs="Times New Roman"/>
          <w:lang w:val="pl-PL"/>
        </w:rPr>
      </w:pPr>
    </w:p>
    <w:p w14:paraId="38E00CB6" w14:textId="77777777" w:rsidR="00CC4159" w:rsidRPr="008F328C" w:rsidRDefault="00CC4159">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0DCBE519" w14:textId="77777777">
        <w:trPr>
          <w:trHeight w:val="317"/>
        </w:trPr>
        <w:tc>
          <w:tcPr>
            <w:tcW w:w="9666" w:type="dxa"/>
            <w:vAlign w:val="center"/>
          </w:tcPr>
          <w:p w14:paraId="30281C21"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INFORMACJA PODANA SYSTEMEM BRAILLE’A</w:t>
            </w:r>
          </w:p>
        </w:tc>
      </w:tr>
    </w:tbl>
    <w:p w14:paraId="6220B204" w14:textId="77777777" w:rsidR="002E5800" w:rsidRPr="008F328C" w:rsidRDefault="002E5800">
      <w:pPr>
        <w:jc w:val="both"/>
        <w:rPr>
          <w:rFonts w:ascii="Times New Roman" w:hAnsi="Times New Roman" w:cs="Times New Roman"/>
          <w:lang w:val="pl-PL"/>
        </w:rPr>
      </w:pPr>
    </w:p>
    <w:p w14:paraId="1B5A3DAA" w14:textId="77777777" w:rsidR="002E5800" w:rsidRPr="008F328C" w:rsidRDefault="000E0B7C">
      <w:pPr>
        <w:pStyle w:val="a3"/>
        <w:rPr>
          <w:lang w:val="pl-PL"/>
        </w:rPr>
      </w:pPr>
      <w:r w:rsidRPr="008F328C">
        <w:rPr>
          <w:rFonts w:eastAsia="Times New Roman"/>
          <w:lang w:val="pl-PL"/>
        </w:rPr>
        <w:t>Yuflyma 40 mg</w:t>
      </w:r>
    </w:p>
    <w:p w14:paraId="3FFD9C87" w14:textId="77777777" w:rsidR="002E5800" w:rsidRPr="008F328C" w:rsidRDefault="002E5800">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3CFDB535" w14:textId="77777777">
        <w:trPr>
          <w:trHeight w:val="317"/>
        </w:trPr>
        <w:tc>
          <w:tcPr>
            <w:tcW w:w="9666" w:type="dxa"/>
            <w:vAlign w:val="center"/>
          </w:tcPr>
          <w:p w14:paraId="7F6ABDBB"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KOD 2D</w:t>
            </w:r>
          </w:p>
        </w:tc>
      </w:tr>
    </w:tbl>
    <w:p w14:paraId="6C1D78E9" w14:textId="77777777" w:rsidR="002E5800" w:rsidRPr="008F328C" w:rsidRDefault="002E5800">
      <w:pPr>
        <w:jc w:val="both"/>
        <w:rPr>
          <w:rFonts w:ascii="Times New Roman" w:hAnsi="Times New Roman" w:cs="Times New Roman"/>
          <w:lang w:val="pl-PL"/>
        </w:rPr>
      </w:pPr>
    </w:p>
    <w:p w14:paraId="41B46780" w14:textId="77777777" w:rsidR="002E5800" w:rsidRPr="008F328C" w:rsidRDefault="000E0B7C">
      <w:pPr>
        <w:pStyle w:val="a3"/>
        <w:rPr>
          <w:lang w:val="pl-PL"/>
        </w:rPr>
      </w:pPr>
      <w:r w:rsidRPr="008F328C">
        <w:rPr>
          <w:rFonts w:eastAsia="Times New Roman"/>
          <w:highlight w:val="lightGray"/>
          <w:lang w:val="pl-PL"/>
        </w:rPr>
        <w:t>Obejmuje kod 2D będący nośnikiem niepowtarzalnego identyfikatora.</w:t>
      </w:r>
    </w:p>
    <w:p w14:paraId="53B143E7" w14:textId="77777777" w:rsidR="002E5800" w:rsidRPr="008F328C" w:rsidRDefault="002E5800">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183DFF95" w14:textId="77777777">
        <w:trPr>
          <w:trHeight w:val="317"/>
        </w:trPr>
        <w:tc>
          <w:tcPr>
            <w:tcW w:w="9666" w:type="dxa"/>
            <w:vAlign w:val="center"/>
          </w:tcPr>
          <w:p w14:paraId="5286CB9C" w14:textId="77777777" w:rsidR="002E5800" w:rsidRPr="008F328C" w:rsidRDefault="000E0B7C">
            <w:pPr>
              <w:numPr>
                <w:ilvl w:val="0"/>
                <w:numId w:val="6"/>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DANE CZYTELNE DLA CZŁOWIEKA</w:t>
            </w:r>
          </w:p>
        </w:tc>
      </w:tr>
    </w:tbl>
    <w:p w14:paraId="1D82BDCA" w14:textId="77777777" w:rsidR="002E5800" w:rsidRPr="008F328C" w:rsidRDefault="002E5800">
      <w:pPr>
        <w:jc w:val="both"/>
        <w:rPr>
          <w:rFonts w:ascii="Times New Roman" w:hAnsi="Times New Roman" w:cs="Times New Roman"/>
          <w:lang w:val="pl-PL"/>
        </w:rPr>
      </w:pPr>
    </w:p>
    <w:p w14:paraId="3BB7ACE0" w14:textId="77777777" w:rsidR="002E5800" w:rsidRPr="008F328C" w:rsidRDefault="000E0B7C">
      <w:pPr>
        <w:pStyle w:val="a3"/>
        <w:rPr>
          <w:lang w:val="pl-PL"/>
        </w:rPr>
      </w:pPr>
      <w:r w:rsidRPr="008F328C">
        <w:rPr>
          <w:rFonts w:eastAsia="Times New Roman"/>
          <w:lang w:val="pl-PL"/>
        </w:rPr>
        <w:t>PC</w:t>
      </w:r>
    </w:p>
    <w:p w14:paraId="106FD396" w14:textId="77777777" w:rsidR="002E5800" w:rsidRPr="008F328C" w:rsidRDefault="000E0B7C">
      <w:pPr>
        <w:pStyle w:val="a3"/>
        <w:rPr>
          <w:lang w:val="pl-PL"/>
        </w:rPr>
      </w:pPr>
      <w:r w:rsidRPr="008F328C">
        <w:rPr>
          <w:rFonts w:eastAsia="Times New Roman"/>
          <w:lang w:val="pl-PL"/>
        </w:rPr>
        <w:t>SN</w:t>
      </w:r>
    </w:p>
    <w:p w14:paraId="2D14DC8A" w14:textId="77777777" w:rsidR="002E5800" w:rsidRPr="008F328C" w:rsidRDefault="000E0B7C">
      <w:pPr>
        <w:pStyle w:val="a3"/>
        <w:rPr>
          <w:lang w:val="pl-PL"/>
        </w:rPr>
      </w:pPr>
      <w:r w:rsidRPr="008F328C">
        <w:rPr>
          <w:rFonts w:eastAsia="Times New Roman"/>
          <w:spacing w:val="-2"/>
          <w:lang w:val="pl-PL"/>
        </w:rPr>
        <w:t>NN</w:t>
      </w:r>
    </w:p>
    <w:p w14:paraId="145D52B5"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tbl>
      <w:tblPr>
        <w:tblStyle w:val="ac"/>
        <w:tblW w:w="9666" w:type="dxa"/>
        <w:tblLook w:val="04A0" w:firstRow="1" w:lastRow="0" w:firstColumn="1" w:lastColumn="0" w:noHBand="0" w:noVBand="1"/>
      </w:tblPr>
      <w:tblGrid>
        <w:gridCol w:w="9666"/>
      </w:tblGrid>
      <w:tr w:rsidR="002E5800" w:rsidRPr="00A5286D" w14:paraId="2EF3A426" w14:textId="77777777">
        <w:trPr>
          <w:trHeight w:val="822"/>
        </w:trPr>
        <w:tc>
          <w:tcPr>
            <w:tcW w:w="9666" w:type="dxa"/>
            <w:vAlign w:val="center"/>
          </w:tcPr>
          <w:p w14:paraId="5B3AA28C" w14:textId="77777777" w:rsidR="002E5800" w:rsidRPr="008F328C" w:rsidRDefault="000E0B7C">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 xml:space="preserve">MINIMUM INFORMACJI ZAMIESZCZANYCH NA MAŁYCH OPAKOWANIACH BEZPOŚREDNICH </w:t>
            </w:r>
          </w:p>
          <w:p w14:paraId="737AC8EC" w14:textId="77777777" w:rsidR="002E5800" w:rsidRPr="008F328C" w:rsidRDefault="002E5800">
            <w:pPr>
              <w:tabs>
                <w:tab w:val="left" w:pos="672"/>
              </w:tabs>
              <w:jc w:val="both"/>
              <w:rPr>
                <w:rFonts w:ascii="Times New Roman" w:eastAsia="Times New Roman" w:hAnsi="Times New Roman" w:cs="Times New Roman"/>
                <w:b/>
                <w:bCs/>
                <w:spacing w:val="-1"/>
                <w:lang w:val="pl-PL"/>
              </w:rPr>
            </w:pPr>
          </w:p>
          <w:p w14:paraId="487AED6F" w14:textId="77777777" w:rsidR="002E5800" w:rsidRPr="008F328C" w:rsidRDefault="000E0B7C">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ETYKIETA AMPUŁKO-STRZYKAWKI</w:t>
            </w:r>
          </w:p>
        </w:tc>
      </w:tr>
    </w:tbl>
    <w:p w14:paraId="4B8D66FC" w14:textId="77777777" w:rsidR="002E5800" w:rsidRPr="008F328C" w:rsidRDefault="002E5800">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2E5800" w:rsidRPr="00D54497" w14:paraId="4E1D3DC9" w14:textId="77777777">
        <w:trPr>
          <w:trHeight w:val="317"/>
        </w:trPr>
        <w:tc>
          <w:tcPr>
            <w:tcW w:w="9666" w:type="dxa"/>
            <w:vAlign w:val="center"/>
          </w:tcPr>
          <w:p w14:paraId="0AB49DFA"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PRODUKTU LECZNICZEGO I DROGA PODANIA</w:t>
            </w:r>
          </w:p>
        </w:tc>
      </w:tr>
    </w:tbl>
    <w:p w14:paraId="52D82A2D" w14:textId="77777777" w:rsidR="002E5800" w:rsidRPr="008F328C" w:rsidRDefault="002E5800">
      <w:pPr>
        <w:spacing w:line="200" w:lineRule="exact"/>
        <w:rPr>
          <w:rFonts w:ascii="Times New Roman" w:hAnsi="Times New Roman" w:cs="Times New Roman"/>
          <w:lang w:val="pl-PL"/>
        </w:rPr>
      </w:pPr>
    </w:p>
    <w:p w14:paraId="49D6D83D" w14:textId="15BC8B7C" w:rsidR="002E5800" w:rsidRPr="008F328C" w:rsidRDefault="000E0B7C">
      <w:pPr>
        <w:pStyle w:val="a3"/>
        <w:rPr>
          <w:lang w:val="pl-PL"/>
        </w:rPr>
      </w:pPr>
      <w:r w:rsidRPr="008F328C">
        <w:rPr>
          <w:rFonts w:eastAsia="Times New Roman"/>
          <w:lang w:val="pl-PL"/>
        </w:rPr>
        <w:t>Yuflyma 40 mg do wstrzykiwań</w:t>
      </w:r>
    </w:p>
    <w:p w14:paraId="52327879" w14:textId="69D8CEB4" w:rsidR="002E5800" w:rsidRPr="008F328C" w:rsidRDefault="00120AE9">
      <w:pPr>
        <w:pStyle w:val="a3"/>
        <w:rPr>
          <w:lang w:val="pl-PL"/>
        </w:rPr>
      </w:pPr>
      <w:r w:rsidRPr="008F328C">
        <w:rPr>
          <w:rFonts w:eastAsia="Times New Roman"/>
          <w:lang w:val="pl-PL"/>
        </w:rPr>
        <w:t>a</w:t>
      </w:r>
      <w:r w:rsidR="000E0B7C" w:rsidRPr="008F328C">
        <w:rPr>
          <w:rFonts w:eastAsia="Times New Roman"/>
          <w:lang w:val="pl-PL"/>
        </w:rPr>
        <w:t>dalimumab</w:t>
      </w:r>
    </w:p>
    <w:p w14:paraId="61A4D944" w14:textId="361E92F2" w:rsidR="002E5800" w:rsidRPr="008F328C" w:rsidRDefault="00120AE9">
      <w:pPr>
        <w:pStyle w:val="a3"/>
        <w:rPr>
          <w:lang w:val="pl-PL"/>
        </w:rPr>
      </w:pPr>
      <w:r w:rsidRPr="008F328C">
        <w:rPr>
          <w:rFonts w:eastAsia="Times New Roman"/>
          <w:lang w:val="pl-PL"/>
        </w:rPr>
        <w:t>sc.</w:t>
      </w:r>
      <w:r w:rsidR="000E0B7C" w:rsidRPr="008F328C">
        <w:rPr>
          <w:rFonts w:eastAsia="Times New Roman"/>
          <w:lang w:val="pl-PL"/>
        </w:rPr>
        <w:t xml:space="preserve"> </w:t>
      </w:r>
    </w:p>
    <w:p w14:paraId="0C2FE072"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6A76A6B2" w14:textId="77777777">
        <w:trPr>
          <w:trHeight w:val="317"/>
        </w:trPr>
        <w:tc>
          <w:tcPr>
            <w:tcW w:w="9666" w:type="dxa"/>
            <w:vAlign w:val="center"/>
          </w:tcPr>
          <w:p w14:paraId="23C2279E"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PODAWANIA</w:t>
            </w:r>
          </w:p>
        </w:tc>
      </w:tr>
    </w:tbl>
    <w:p w14:paraId="6E1D1F90" w14:textId="2EB07A1E" w:rsidR="002E5800" w:rsidRPr="008F328C" w:rsidRDefault="002E5800">
      <w:pPr>
        <w:spacing w:before="13" w:line="280" w:lineRule="exact"/>
        <w:rPr>
          <w:rFonts w:ascii="Times New Roman" w:hAnsi="Times New Roman" w:cs="Times New Roman"/>
          <w:lang w:val="pl-PL"/>
        </w:rPr>
      </w:pPr>
    </w:p>
    <w:p w14:paraId="43499D8D" w14:textId="77777777" w:rsidR="00CC4159" w:rsidRPr="008F328C" w:rsidRDefault="00CC4159">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D1583F6" w14:textId="77777777">
        <w:trPr>
          <w:trHeight w:val="317"/>
        </w:trPr>
        <w:tc>
          <w:tcPr>
            <w:tcW w:w="9666" w:type="dxa"/>
            <w:vAlign w:val="center"/>
          </w:tcPr>
          <w:p w14:paraId="6E50CEAC"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2D74485D" w14:textId="77777777" w:rsidR="002E5800" w:rsidRPr="008F328C" w:rsidRDefault="002E5800">
      <w:pPr>
        <w:pStyle w:val="a3"/>
        <w:rPr>
          <w:lang w:val="pl-PL"/>
        </w:rPr>
      </w:pPr>
    </w:p>
    <w:p w14:paraId="6108E303" w14:textId="77777777" w:rsidR="002E5800" w:rsidRPr="008F328C" w:rsidRDefault="000E0B7C">
      <w:pPr>
        <w:pStyle w:val="a3"/>
        <w:rPr>
          <w:lang w:val="pl-PL"/>
        </w:rPr>
      </w:pPr>
      <w:r w:rsidRPr="008F328C">
        <w:rPr>
          <w:rFonts w:eastAsia="Times New Roman"/>
          <w:lang w:val="pl-PL"/>
        </w:rPr>
        <w:t>EXP</w:t>
      </w:r>
    </w:p>
    <w:p w14:paraId="06FABAD3"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6954E55E" w14:textId="77777777">
        <w:trPr>
          <w:trHeight w:val="317"/>
        </w:trPr>
        <w:tc>
          <w:tcPr>
            <w:tcW w:w="9666" w:type="dxa"/>
            <w:vAlign w:val="center"/>
          </w:tcPr>
          <w:p w14:paraId="5BDDDC2F"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78F02F5F" w14:textId="77777777" w:rsidR="002E5800" w:rsidRPr="008F328C" w:rsidRDefault="002E5800">
      <w:pPr>
        <w:pStyle w:val="a3"/>
        <w:rPr>
          <w:lang w:val="pl-PL"/>
        </w:rPr>
      </w:pPr>
    </w:p>
    <w:p w14:paraId="315642C1" w14:textId="77777777" w:rsidR="002E5800" w:rsidRPr="008F328C" w:rsidRDefault="000E0B7C">
      <w:pPr>
        <w:pStyle w:val="a3"/>
        <w:rPr>
          <w:lang w:val="pl-PL"/>
        </w:rPr>
      </w:pPr>
      <w:r w:rsidRPr="008F328C">
        <w:rPr>
          <w:rFonts w:eastAsia="Times New Roman"/>
          <w:lang w:val="pl-PL"/>
        </w:rPr>
        <w:t>Lot</w:t>
      </w:r>
    </w:p>
    <w:p w14:paraId="526C6F37"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282519AC" w14:textId="77777777">
        <w:trPr>
          <w:trHeight w:val="317"/>
        </w:trPr>
        <w:tc>
          <w:tcPr>
            <w:tcW w:w="9666" w:type="dxa"/>
            <w:vAlign w:val="center"/>
          </w:tcPr>
          <w:p w14:paraId="24F362E1"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OPAKOWANIA Z PODANIEM MASY, OBJĘTOŚCI LUB LICZBY JEDNOSTEK</w:t>
            </w:r>
          </w:p>
        </w:tc>
      </w:tr>
    </w:tbl>
    <w:p w14:paraId="32569D59" w14:textId="77777777" w:rsidR="002E5800" w:rsidRPr="008F328C" w:rsidRDefault="002E5800">
      <w:pPr>
        <w:spacing w:before="13" w:line="280" w:lineRule="exact"/>
        <w:rPr>
          <w:rFonts w:ascii="Times New Roman" w:hAnsi="Times New Roman" w:cs="Times New Roman"/>
          <w:lang w:val="pl-PL"/>
        </w:rPr>
      </w:pPr>
    </w:p>
    <w:p w14:paraId="6FAFD507" w14:textId="4DF81A7E" w:rsidR="002E5800" w:rsidRPr="008F328C" w:rsidRDefault="000E0B7C" w:rsidP="00D22235">
      <w:pPr>
        <w:pStyle w:val="a3"/>
        <w:rPr>
          <w:lang w:val="pl-PL"/>
        </w:rPr>
      </w:pPr>
      <w:r w:rsidRPr="008F328C">
        <w:rPr>
          <w:rFonts w:eastAsia="Times New Roman"/>
          <w:spacing w:val="-4"/>
          <w:lang w:val="pl-PL"/>
        </w:rPr>
        <w:t>40 mg/0,4 ml</w:t>
      </w:r>
    </w:p>
    <w:p w14:paraId="478C5D56" w14:textId="77777777" w:rsidR="002E5800" w:rsidRPr="008F328C" w:rsidRDefault="002E5800">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766124C8" w14:textId="77777777">
        <w:trPr>
          <w:trHeight w:val="317"/>
        </w:trPr>
        <w:tc>
          <w:tcPr>
            <w:tcW w:w="9666" w:type="dxa"/>
            <w:vAlign w:val="center"/>
          </w:tcPr>
          <w:p w14:paraId="6EE58661" w14:textId="77777777" w:rsidR="002E5800" w:rsidRPr="008F328C" w:rsidRDefault="000E0B7C">
            <w:pPr>
              <w:numPr>
                <w:ilvl w:val="0"/>
                <w:numId w:val="27"/>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INNE</w:t>
            </w:r>
          </w:p>
        </w:tc>
      </w:tr>
    </w:tbl>
    <w:p w14:paraId="5DEF42A3" w14:textId="77777777" w:rsidR="002E5800" w:rsidRPr="008F328C" w:rsidRDefault="002E5800">
      <w:pPr>
        <w:rPr>
          <w:rFonts w:ascii="Times New Roman" w:hAnsi="Times New Roman" w:cs="Times New Roman"/>
          <w:lang w:val="pl-PL"/>
        </w:rPr>
      </w:pPr>
    </w:p>
    <w:p w14:paraId="3EDC49F9" w14:textId="77777777" w:rsidR="002E5800" w:rsidRPr="008F328C" w:rsidRDefault="002E5800">
      <w:pPr>
        <w:rPr>
          <w:rFonts w:ascii="Times New Roman" w:hAnsi="Times New Roman" w:cs="Times New Roman"/>
          <w:lang w:val="pl-PL"/>
        </w:rPr>
      </w:pPr>
    </w:p>
    <w:p w14:paraId="240E985F"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p w14:paraId="5EF82FDA" w14:textId="77777777" w:rsidR="002E5800" w:rsidRPr="008F328C" w:rsidRDefault="002E5800">
      <w:pPr>
        <w:rPr>
          <w:rFonts w:ascii="Times New Roman" w:eastAsia="Times New Roman" w:hAnsi="Times New Roman" w:cs="Times New Roman"/>
          <w:b/>
          <w:bCs/>
          <w:spacing w:val="-1"/>
          <w:lang w:val="pl-PL"/>
        </w:rPr>
      </w:pPr>
    </w:p>
    <w:tbl>
      <w:tblPr>
        <w:tblStyle w:val="ac"/>
        <w:tblW w:w="9666" w:type="dxa"/>
        <w:tblLook w:val="04A0" w:firstRow="1" w:lastRow="0" w:firstColumn="1" w:lastColumn="0" w:noHBand="0" w:noVBand="1"/>
      </w:tblPr>
      <w:tblGrid>
        <w:gridCol w:w="9666"/>
      </w:tblGrid>
      <w:tr w:rsidR="002E5800" w:rsidRPr="00A5286D" w14:paraId="6F21D4BB" w14:textId="77777777">
        <w:trPr>
          <w:trHeight w:val="822"/>
        </w:trPr>
        <w:tc>
          <w:tcPr>
            <w:tcW w:w="9666" w:type="dxa"/>
            <w:vAlign w:val="center"/>
          </w:tcPr>
          <w:p w14:paraId="7250B900" w14:textId="77777777" w:rsidR="002E5800" w:rsidRPr="008F328C" w:rsidRDefault="000E0B7C">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INFORMACJE ZAMIESZCZANE NA OPAKOWANIACH ZEWNĘTRZNYCH</w:t>
            </w:r>
          </w:p>
          <w:p w14:paraId="1DD62A0A" w14:textId="77777777" w:rsidR="002E5800" w:rsidRPr="008F328C" w:rsidRDefault="002E5800">
            <w:pPr>
              <w:spacing w:line="180" w:lineRule="exact"/>
              <w:jc w:val="both"/>
              <w:rPr>
                <w:rFonts w:ascii="Times New Roman" w:hAnsi="Times New Roman" w:cs="Times New Roman"/>
                <w:sz w:val="18"/>
                <w:szCs w:val="18"/>
                <w:lang w:val="pl-PL"/>
              </w:rPr>
            </w:pPr>
          </w:p>
          <w:p w14:paraId="3C1790FC" w14:textId="681E5B0C" w:rsidR="002E5800" w:rsidRPr="008F328C" w:rsidRDefault="000E0B7C" w:rsidP="00096EAD">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ZEWNĘTRZNE OPAKOWANIE KARTONOWE WSTRZYKIWACZA</w:t>
            </w:r>
          </w:p>
        </w:tc>
      </w:tr>
    </w:tbl>
    <w:p w14:paraId="7718F0A6" w14:textId="77777777" w:rsidR="002E5800" w:rsidRPr="008F328C" w:rsidRDefault="002E5800">
      <w:pPr>
        <w:spacing w:line="200" w:lineRule="exact"/>
        <w:rPr>
          <w:rFonts w:ascii="Times New Roman" w:hAnsi="Times New Roman" w:cs="Times New Roman"/>
          <w:sz w:val="20"/>
          <w:szCs w:val="20"/>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2E5800" w:rsidRPr="008F328C" w14:paraId="10FE72F6" w14:textId="77777777">
        <w:trPr>
          <w:trHeight w:val="317"/>
        </w:trPr>
        <w:tc>
          <w:tcPr>
            <w:tcW w:w="9666" w:type="dxa"/>
            <w:vAlign w:val="center"/>
          </w:tcPr>
          <w:p w14:paraId="12D503C6" w14:textId="77777777" w:rsidR="002E5800" w:rsidRPr="008F328C" w:rsidRDefault="000E0B7C">
            <w:pPr>
              <w:numPr>
                <w:ilvl w:val="0"/>
                <w:numId w:val="28"/>
              </w:numPr>
              <w:tabs>
                <w:tab w:val="left" w:pos="672"/>
              </w:tabs>
              <w:ind w:left="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NAZWA PRODUKTU LECZNICZEGO</w:t>
            </w:r>
          </w:p>
        </w:tc>
      </w:tr>
    </w:tbl>
    <w:p w14:paraId="0C8D0B68" w14:textId="77777777" w:rsidR="002E5800" w:rsidRPr="008F328C" w:rsidRDefault="002E5800">
      <w:pPr>
        <w:spacing w:line="200" w:lineRule="exact"/>
        <w:rPr>
          <w:rFonts w:ascii="Times New Roman" w:hAnsi="Times New Roman" w:cs="Times New Roman"/>
          <w:sz w:val="20"/>
          <w:szCs w:val="20"/>
          <w:lang w:val="pl-PL"/>
        </w:rPr>
      </w:pPr>
    </w:p>
    <w:p w14:paraId="19FB4590" w14:textId="6F97CB00" w:rsidR="002E5800" w:rsidRPr="008F328C" w:rsidRDefault="000E0B7C">
      <w:pPr>
        <w:pStyle w:val="a3"/>
        <w:rPr>
          <w:lang w:val="pl-PL"/>
        </w:rPr>
      </w:pPr>
      <w:r w:rsidRPr="008F328C">
        <w:rPr>
          <w:rFonts w:eastAsia="Times New Roman"/>
          <w:lang w:val="pl-PL"/>
        </w:rPr>
        <w:t>Yuflyma 40 mg w postaci roztworu do wstrzykiwań w</w:t>
      </w:r>
      <w:r w:rsidR="0060099E" w:rsidRPr="008F328C">
        <w:rPr>
          <w:rFonts w:eastAsia="Times New Roman"/>
          <w:lang w:val="pl-PL"/>
        </w:rPr>
        <w:t>e</w:t>
      </w:r>
      <w:r w:rsidRPr="008F328C">
        <w:rPr>
          <w:rFonts w:eastAsia="Times New Roman"/>
          <w:lang w:val="pl-PL"/>
        </w:rPr>
        <w:t xml:space="preserve"> wstrzykiwaczu</w:t>
      </w:r>
    </w:p>
    <w:p w14:paraId="57A8624E" w14:textId="3CA3395E" w:rsidR="002E5800" w:rsidRPr="008F328C" w:rsidRDefault="00120AE9">
      <w:pPr>
        <w:pStyle w:val="a3"/>
        <w:rPr>
          <w:lang w:val="pl-PL"/>
        </w:rPr>
      </w:pPr>
      <w:r w:rsidRPr="008F328C">
        <w:rPr>
          <w:rFonts w:eastAsia="Times New Roman"/>
          <w:lang w:val="pl-PL"/>
        </w:rPr>
        <w:t>a</w:t>
      </w:r>
      <w:r w:rsidR="000E0B7C" w:rsidRPr="008F328C">
        <w:rPr>
          <w:rFonts w:eastAsia="Times New Roman"/>
          <w:lang w:val="pl-PL"/>
        </w:rPr>
        <w:t>dalimumab</w:t>
      </w:r>
    </w:p>
    <w:p w14:paraId="5833ED97"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488E97A" w14:textId="77777777">
        <w:trPr>
          <w:trHeight w:val="317"/>
        </w:trPr>
        <w:tc>
          <w:tcPr>
            <w:tcW w:w="9666" w:type="dxa"/>
            <w:vAlign w:val="center"/>
          </w:tcPr>
          <w:p w14:paraId="5B2E914C"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SUBSTANCJI CZYNNEJ</w:t>
            </w:r>
          </w:p>
        </w:tc>
      </w:tr>
    </w:tbl>
    <w:p w14:paraId="3371B122" w14:textId="77777777" w:rsidR="002E5800" w:rsidRPr="008F328C" w:rsidRDefault="002E5800">
      <w:pPr>
        <w:spacing w:before="13" w:line="280" w:lineRule="exact"/>
        <w:rPr>
          <w:rFonts w:ascii="Times New Roman" w:hAnsi="Times New Roman" w:cs="Times New Roman"/>
          <w:sz w:val="28"/>
          <w:szCs w:val="28"/>
          <w:lang w:val="pl-PL"/>
        </w:rPr>
      </w:pPr>
    </w:p>
    <w:p w14:paraId="2BA52797" w14:textId="2D53B191" w:rsidR="002E5800" w:rsidRPr="008F328C" w:rsidRDefault="000E0B7C">
      <w:pPr>
        <w:pStyle w:val="a3"/>
        <w:rPr>
          <w:lang w:val="pl-PL"/>
        </w:rPr>
      </w:pPr>
      <w:r w:rsidRPr="008F328C">
        <w:rPr>
          <w:rFonts w:eastAsia="Times New Roman"/>
          <w:lang w:val="pl-PL"/>
        </w:rPr>
        <w:t>Jeden wstrzykiwacz 0,4 ml zawiera 40 mg adalimumabu.</w:t>
      </w:r>
    </w:p>
    <w:p w14:paraId="04250BCB" w14:textId="77777777" w:rsidR="002E5800" w:rsidRPr="008F328C" w:rsidRDefault="002E5800">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D665B36" w14:textId="77777777">
        <w:trPr>
          <w:trHeight w:val="317"/>
        </w:trPr>
        <w:tc>
          <w:tcPr>
            <w:tcW w:w="9666" w:type="dxa"/>
            <w:vAlign w:val="center"/>
          </w:tcPr>
          <w:p w14:paraId="1C420FD7"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WYKAZ SUBSTANCJI POMOCNICZYCH</w:t>
            </w:r>
          </w:p>
        </w:tc>
      </w:tr>
    </w:tbl>
    <w:p w14:paraId="4AC5F19F" w14:textId="77777777" w:rsidR="002E5800" w:rsidRPr="008F328C" w:rsidRDefault="002E5800">
      <w:pPr>
        <w:pStyle w:val="a3"/>
        <w:rPr>
          <w:lang w:val="pl-PL"/>
        </w:rPr>
      </w:pPr>
    </w:p>
    <w:p w14:paraId="26D333C9" w14:textId="7ECFD72C" w:rsidR="002E5800" w:rsidRPr="008F328C" w:rsidRDefault="000E0B7C">
      <w:pPr>
        <w:pStyle w:val="a3"/>
        <w:rPr>
          <w:lang w:val="pl-PL" w:eastAsia="ko-KR"/>
        </w:rPr>
      </w:pPr>
      <w:r w:rsidRPr="008F328C">
        <w:rPr>
          <w:rFonts w:eastAsia="Times New Roman"/>
          <w:lang w:val="pl-PL"/>
        </w:rPr>
        <w:t>Substancje pomocnicze: kwas octowy, sodu octan</w:t>
      </w:r>
      <w:r w:rsidR="0060099E" w:rsidRPr="008F328C">
        <w:rPr>
          <w:rFonts w:eastAsia="Times New Roman"/>
          <w:lang w:val="pl-PL"/>
        </w:rPr>
        <w:t xml:space="preserve"> trójwodny</w:t>
      </w:r>
      <w:r w:rsidRPr="008F328C">
        <w:rPr>
          <w:rFonts w:eastAsia="Times New Roman"/>
          <w:lang w:val="pl-PL"/>
        </w:rPr>
        <w:t xml:space="preserve">, glicyna, polisorbat 80, woda do wstrzykiwań. </w:t>
      </w:r>
      <w:r w:rsidRPr="008F328C">
        <w:rPr>
          <w:rFonts w:eastAsia="Times New Roman"/>
          <w:highlight w:val="lightGray"/>
          <w:lang w:val="pl-PL"/>
        </w:rPr>
        <w:t>W celu uzyskania dalszych informacji patrz ulotka załączona do opakowania.</w:t>
      </w:r>
    </w:p>
    <w:p w14:paraId="4BCF9DBD"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D54497" w14:paraId="046E8DDA" w14:textId="77777777">
        <w:trPr>
          <w:trHeight w:val="317"/>
        </w:trPr>
        <w:tc>
          <w:tcPr>
            <w:tcW w:w="9666" w:type="dxa"/>
            <w:vAlign w:val="center"/>
          </w:tcPr>
          <w:p w14:paraId="76E32E27"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POSTAĆ FARMACEUTYCZNA I ZAWARTOŚĆ OPAKOWANIA</w:t>
            </w:r>
          </w:p>
        </w:tc>
      </w:tr>
    </w:tbl>
    <w:p w14:paraId="20448517" w14:textId="77777777" w:rsidR="002E5800" w:rsidRPr="008F328C" w:rsidRDefault="002E5800">
      <w:pPr>
        <w:pStyle w:val="a3"/>
        <w:rPr>
          <w:lang w:val="pl-PL"/>
        </w:rPr>
      </w:pPr>
    </w:p>
    <w:p w14:paraId="7FB2933A" w14:textId="77777777" w:rsidR="002E5800" w:rsidRPr="008F328C" w:rsidRDefault="000E0B7C">
      <w:pPr>
        <w:pStyle w:val="a3"/>
        <w:rPr>
          <w:lang w:val="pl-PL"/>
        </w:rPr>
      </w:pPr>
      <w:r w:rsidRPr="008F328C">
        <w:rPr>
          <w:rFonts w:eastAsia="Times New Roman"/>
          <w:highlight w:val="lightGray"/>
          <w:lang w:val="pl-PL"/>
        </w:rPr>
        <w:t>Roztwór do wstrzykiwań</w:t>
      </w:r>
    </w:p>
    <w:p w14:paraId="00C70A0A" w14:textId="067EA87A" w:rsidR="002E5800" w:rsidRPr="008F328C" w:rsidRDefault="000E0B7C">
      <w:pPr>
        <w:pStyle w:val="a3"/>
        <w:rPr>
          <w:lang w:val="pl-PL"/>
        </w:rPr>
      </w:pPr>
      <w:r w:rsidRPr="008F328C">
        <w:rPr>
          <w:rFonts w:eastAsia="Times New Roman"/>
          <w:lang w:val="pl-PL"/>
        </w:rPr>
        <w:t>1 wstrzykiwacz</w:t>
      </w:r>
    </w:p>
    <w:p w14:paraId="6ED8DFBF" w14:textId="77777777" w:rsidR="002E5800" w:rsidRPr="008F328C" w:rsidRDefault="000E0B7C">
      <w:pPr>
        <w:pStyle w:val="a3"/>
        <w:rPr>
          <w:lang w:val="pl-PL"/>
        </w:rPr>
      </w:pPr>
      <w:r w:rsidRPr="008F328C">
        <w:rPr>
          <w:rFonts w:eastAsia="Times New Roman"/>
          <w:lang w:val="pl-PL"/>
        </w:rPr>
        <w:t>2 gaziki nasączone alkoholem</w:t>
      </w:r>
    </w:p>
    <w:p w14:paraId="110C927C" w14:textId="77777777" w:rsidR="002E5800" w:rsidRPr="008F328C" w:rsidRDefault="002E5800">
      <w:pPr>
        <w:spacing w:line="180" w:lineRule="exact"/>
        <w:rPr>
          <w:rFonts w:ascii="Times New Roman" w:hAnsi="Times New Roman" w:cs="Times New Roman"/>
          <w:sz w:val="18"/>
          <w:szCs w:val="18"/>
          <w:lang w:val="pl-PL"/>
        </w:rPr>
      </w:pPr>
    </w:p>
    <w:p w14:paraId="2A5C53DF" w14:textId="4411FC9A" w:rsidR="002E5800" w:rsidRPr="008F328C" w:rsidRDefault="000E0B7C">
      <w:pPr>
        <w:pStyle w:val="a3"/>
        <w:rPr>
          <w:highlight w:val="lightGray"/>
          <w:lang w:val="pl-PL"/>
        </w:rPr>
      </w:pPr>
      <w:r w:rsidRPr="008F328C">
        <w:rPr>
          <w:rFonts w:eastAsia="Times New Roman"/>
          <w:highlight w:val="lightGray"/>
          <w:lang w:val="pl-PL"/>
        </w:rPr>
        <w:t>2 wstrzykiwacze</w:t>
      </w:r>
    </w:p>
    <w:p w14:paraId="330A6E06" w14:textId="77777777" w:rsidR="002E5800" w:rsidRPr="008F328C" w:rsidRDefault="000E0B7C">
      <w:pPr>
        <w:pStyle w:val="a3"/>
        <w:rPr>
          <w:highlight w:val="lightGray"/>
          <w:lang w:val="pl-PL"/>
        </w:rPr>
      </w:pPr>
      <w:r w:rsidRPr="008F328C">
        <w:rPr>
          <w:rFonts w:eastAsia="Times New Roman"/>
          <w:highlight w:val="lightGray"/>
          <w:lang w:val="pl-PL"/>
        </w:rPr>
        <w:t>2 gaziki nasączone alkoholem</w:t>
      </w:r>
    </w:p>
    <w:p w14:paraId="322BB81E" w14:textId="77777777" w:rsidR="002E5800" w:rsidRPr="008F328C" w:rsidRDefault="002E5800">
      <w:pPr>
        <w:spacing w:line="170" w:lineRule="exact"/>
        <w:rPr>
          <w:rFonts w:ascii="Times New Roman" w:hAnsi="Times New Roman" w:cs="Times New Roman"/>
          <w:sz w:val="17"/>
          <w:szCs w:val="17"/>
          <w:highlight w:val="lightGray"/>
          <w:lang w:val="pl-PL"/>
        </w:rPr>
      </w:pPr>
    </w:p>
    <w:p w14:paraId="52432BDE" w14:textId="01148733" w:rsidR="002E5800" w:rsidRPr="008F328C" w:rsidRDefault="000E0B7C">
      <w:pPr>
        <w:pStyle w:val="a3"/>
        <w:rPr>
          <w:highlight w:val="lightGray"/>
          <w:lang w:val="pl-PL"/>
        </w:rPr>
      </w:pPr>
      <w:r w:rsidRPr="008F328C">
        <w:rPr>
          <w:rFonts w:eastAsia="Times New Roman"/>
          <w:highlight w:val="lightGray"/>
          <w:lang w:val="pl-PL"/>
        </w:rPr>
        <w:t>4 wstrzykiwacze</w:t>
      </w:r>
    </w:p>
    <w:p w14:paraId="75F6BCBC" w14:textId="77777777" w:rsidR="002E5800" w:rsidRPr="008F328C" w:rsidRDefault="000E0B7C">
      <w:pPr>
        <w:pStyle w:val="a3"/>
        <w:rPr>
          <w:highlight w:val="lightGray"/>
          <w:lang w:val="pl-PL"/>
        </w:rPr>
      </w:pPr>
      <w:r w:rsidRPr="008F328C">
        <w:rPr>
          <w:rFonts w:eastAsia="Times New Roman"/>
          <w:highlight w:val="lightGray"/>
          <w:lang w:val="pl-PL"/>
        </w:rPr>
        <w:t>4 gaziki nasączone alkoholem</w:t>
      </w:r>
    </w:p>
    <w:p w14:paraId="15B37761" w14:textId="77777777" w:rsidR="002E5800" w:rsidRPr="008F328C" w:rsidRDefault="002E5800">
      <w:pPr>
        <w:pStyle w:val="a3"/>
        <w:rPr>
          <w:highlight w:val="lightGray"/>
          <w:lang w:val="pl-PL"/>
        </w:rPr>
      </w:pPr>
    </w:p>
    <w:p w14:paraId="20F77A1D" w14:textId="0B936E8C" w:rsidR="002E5800" w:rsidRPr="008F328C" w:rsidRDefault="000E0B7C">
      <w:pPr>
        <w:pStyle w:val="a3"/>
        <w:rPr>
          <w:highlight w:val="lightGray"/>
          <w:lang w:val="pl-PL"/>
        </w:rPr>
      </w:pPr>
      <w:r w:rsidRPr="008F328C">
        <w:rPr>
          <w:rFonts w:eastAsia="Times New Roman"/>
          <w:highlight w:val="lightGray"/>
          <w:lang w:val="pl-PL"/>
        </w:rPr>
        <w:t>6 wstrzykiwaczy</w:t>
      </w:r>
    </w:p>
    <w:p w14:paraId="51147503" w14:textId="77777777" w:rsidR="002E5800" w:rsidRPr="008F328C" w:rsidRDefault="000E0B7C">
      <w:pPr>
        <w:pStyle w:val="a3"/>
        <w:rPr>
          <w:lang w:val="pl-PL"/>
        </w:rPr>
      </w:pPr>
      <w:r w:rsidRPr="008F328C">
        <w:rPr>
          <w:rFonts w:eastAsia="Times New Roman"/>
          <w:highlight w:val="lightGray"/>
          <w:lang w:val="pl-PL"/>
        </w:rPr>
        <w:t>6 gazików nasączonych alkoholem</w:t>
      </w:r>
    </w:p>
    <w:p w14:paraId="79E890A9" w14:textId="77777777" w:rsidR="002E5800" w:rsidRPr="008F328C" w:rsidRDefault="002E5800">
      <w:pPr>
        <w:spacing w:line="200" w:lineRule="exact"/>
        <w:rPr>
          <w:rFonts w:ascii="Times New Roman" w:hAnsi="Times New Roman" w:cs="Times New Roman"/>
          <w:sz w:val="20"/>
          <w:szCs w:val="20"/>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008A8A82" w14:textId="77777777">
        <w:trPr>
          <w:trHeight w:val="317"/>
        </w:trPr>
        <w:tc>
          <w:tcPr>
            <w:tcW w:w="9666" w:type="dxa"/>
            <w:vAlign w:val="center"/>
          </w:tcPr>
          <w:p w14:paraId="6A0297E8"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I DROGA PODANIA</w:t>
            </w:r>
          </w:p>
        </w:tc>
      </w:tr>
    </w:tbl>
    <w:p w14:paraId="5DF04DEE" w14:textId="77777777" w:rsidR="002E5800" w:rsidRPr="008F328C" w:rsidRDefault="002E5800">
      <w:pPr>
        <w:spacing w:line="200" w:lineRule="exact"/>
        <w:rPr>
          <w:rFonts w:ascii="Times New Roman" w:hAnsi="Times New Roman" w:cs="Times New Roman"/>
          <w:sz w:val="20"/>
          <w:szCs w:val="20"/>
          <w:lang w:val="pl-PL"/>
        </w:rPr>
      </w:pPr>
    </w:p>
    <w:p w14:paraId="66EA7FD9" w14:textId="77777777" w:rsidR="002E5800" w:rsidRPr="008F328C" w:rsidRDefault="000E0B7C">
      <w:pPr>
        <w:pStyle w:val="a3"/>
        <w:rPr>
          <w:lang w:val="pl-PL"/>
        </w:rPr>
      </w:pPr>
      <w:r w:rsidRPr="008F328C">
        <w:rPr>
          <w:rFonts w:eastAsia="Times New Roman"/>
          <w:lang w:val="pl-PL"/>
        </w:rPr>
        <w:t>Podanie podskórne</w:t>
      </w:r>
    </w:p>
    <w:p w14:paraId="4D378BB6" w14:textId="77777777" w:rsidR="002E5800" w:rsidRPr="008F328C" w:rsidRDefault="002E5800">
      <w:pPr>
        <w:pStyle w:val="a3"/>
        <w:rPr>
          <w:lang w:val="pl-PL"/>
        </w:rPr>
      </w:pPr>
    </w:p>
    <w:p w14:paraId="66F7A3D3" w14:textId="77777777" w:rsidR="002E5800" w:rsidRPr="008F328C" w:rsidRDefault="000E0B7C">
      <w:pPr>
        <w:pStyle w:val="a3"/>
        <w:rPr>
          <w:lang w:val="pl-PL"/>
        </w:rPr>
      </w:pPr>
      <w:r w:rsidRPr="008F328C">
        <w:rPr>
          <w:rFonts w:eastAsia="Times New Roman"/>
          <w:lang w:val="pl-PL"/>
        </w:rPr>
        <w:t>Należy zapoznać się z treścią ulotki przed zastosowaniem leku.</w:t>
      </w:r>
    </w:p>
    <w:p w14:paraId="4554C645" w14:textId="77777777" w:rsidR="002E5800" w:rsidRPr="008F328C" w:rsidRDefault="002E5800">
      <w:pPr>
        <w:pStyle w:val="a3"/>
        <w:rPr>
          <w:lang w:val="pl-PL"/>
        </w:rPr>
      </w:pPr>
    </w:p>
    <w:p w14:paraId="60471F21" w14:textId="77777777" w:rsidR="002E5800" w:rsidRPr="008F328C" w:rsidRDefault="000E0B7C">
      <w:pPr>
        <w:pStyle w:val="a3"/>
        <w:rPr>
          <w:lang w:val="pl-PL"/>
        </w:rPr>
      </w:pPr>
      <w:r w:rsidRPr="008F328C">
        <w:rPr>
          <w:rFonts w:eastAsia="Times New Roman"/>
          <w:lang w:val="pl-PL"/>
        </w:rPr>
        <w:t>Produkt wyłącznie do jednorazowego użytku.</w:t>
      </w:r>
    </w:p>
    <w:p w14:paraId="516856B4"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7CB66835" w14:textId="77777777">
        <w:trPr>
          <w:trHeight w:val="317"/>
        </w:trPr>
        <w:tc>
          <w:tcPr>
            <w:tcW w:w="9666" w:type="dxa"/>
            <w:vAlign w:val="center"/>
          </w:tcPr>
          <w:p w14:paraId="2AD306BE"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OSTRZEŻENIE DOTYCZĄCE PRZECHOWYWANIA PRODUKTU LECZNICZEGO W MIEJSCU NIEWIDOCZNYM I NIEDOSTĘPNYM DLA DZIECI</w:t>
            </w:r>
          </w:p>
        </w:tc>
      </w:tr>
    </w:tbl>
    <w:p w14:paraId="7CC8BA80" w14:textId="77777777" w:rsidR="002E5800" w:rsidRPr="008F328C" w:rsidRDefault="002E5800">
      <w:pPr>
        <w:spacing w:before="1" w:line="200" w:lineRule="exact"/>
        <w:rPr>
          <w:rFonts w:ascii="Times New Roman" w:hAnsi="Times New Roman" w:cs="Times New Roman"/>
          <w:sz w:val="20"/>
          <w:szCs w:val="20"/>
          <w:lang w:val="pl-PL"/>
        </w:rPr>
      </w:pPr>
    </w:p>
    <w:p w14:paraId="3BA7CD71" w14:textId="77777777" w:rsidR="002E5800" w:rsidRPr="008F328C" w:rsidRDefault="000E0B7C">
      <w:pPr>
        <w:pStyle w:val="a3"/>
        <w:rPr>
          <w:lang w:val="pl-PL"/>
        </w:rPr>
      </w:pPr>
      <w:r w:rsidRPr="008F328C">
        <w:rPr>
          <w:rFonts w:eastAsia="Times New Roman"/>
          <w:lang w:val="pl-PL"/>
        </w:rPr>
        <w:t>Lek przechowywać w miejscu niewidocznym i niedostępnym dla dzieci.</w:t>
      </w:r>
    </w:p>
    <w:p w14:paraId="0AE0EF7D"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0D6C6296" w14:textId="77777777">
        <w:trPr>
          <w:trHeight w:val="317"/>
        </w:trPr>
        <w:tc>
          <w:tcPr>
            <w:tcW w:w="9666" w:type="dxa"/>
            <w:vAlign w:val="center"/>
          </w:tcPr>
          <w:p w14:paraId="72504B79"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lastRenderedPageBreak/>
              <w:t>INNE OSTRZEŻENIA SPECJALNE, JEŚLI KONIECZNE</w:t>
            </w:r>
          </w:p>
        </w:tc>
      </w:tr>
    </w:tbl>
    <w:p w14:paraId="6134F108" w14:textId="6BE21480" w:rsidR="002E5800" w:rsidRPr="008F328C" w:rsidRDefault="002E5800">
      <w:pPr>
        <w:rPr>
          <w:rFonts w:ascii="Times New Roman" w:hAnsi="Times New Roman" w:cs="Times New Roman"/>
          <w:lang w:val="pl-PL"/>
        </w:rPr>
      </w:pPr>
    </w:p>
    <w:p w14:paraId="5B3975B3" w14:textId="77777777" w:rsidR="00CC4159" w:rsidRPr="008F328C" w:rsidRDefault="00CC4159">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41C2A9EC" w14:textId="77777777">
        <w:trPr>
          <w:trHeight w:val="317"/>
        </w:trPr>
        <w:tc>
          <w:tcPr>
            <w:tcW w:w="9666" w:type="dxa"/>
            <w:vAlign w:val="center"/>
          </w:tcPr>
          <w:p w14:paraId="470FBC96"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63FD9DFF" w14:textId="77777777" w:rsidR="002E5800" w:rsidRPr="008F328C" w:rsidRDefault="002E5800">
      <w:pPr>
        <w:rPr>
          <w:rFonts w:ascii="Times New Roman" w:hAnsi="Times New Roman" w:cs="Times New Roman"/>
          <w:lang w:val="pl-PL"/>
        </w:rPr>
      </w:pPr>
    </w:p>
    <w:p w14:paraId="1C471654" w14:textId="725509C2" w:rsidR="002E5800" w:rsidRPr="008F328C" w:rsidRDefault="00120AE9">
      <w:pPr>
        <w:rPr>
          <w:rFonts w:ascii="Times New Roman" w:hAnsi="Times New Roman" w:cs="Times New Roman"/>
          <w:lang w:val="pl-PL"/>
        </w:rPr>
      </w:pPr>
      <w:r w:rsidRPr="008F328C">
        <w:rPr>
          <w:rFonts w:ascii="Times New Roman" w:eastAsia="Times New Roman" w:hAnsi="Times New Roman" w:cs="Times New Roman"/>
          <w:lang w:val="pl-PL"/>
        </w:rPr>
        <w:t>Termin ważności (EXP)</w:t>
      </w: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4CA5B430" w14:textId="77777777">
        <w:trPr>
          <w:trHeight w:val="317"/>
        </w:trPr>
        <w:tc>
          <w:tcPr>
            <w:tcW w:w="9666" w:type="dxa"/>
            <w:vAlign w:val="center"/>
          </w:tcPr>
          <w:p w14:paraId="6E3043CB"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WARUNKI PRZECHOWYWANIA</w:t>
            </w:r>
          </w:p>
        </w:tc>
      </w:tr>
    </w:tbl>
    <w:p w14:paraId="0BFE6F94" w14:textId="77777777" w:rsidR="002E5800" w:rsidRPr="008F328C" w:rsidRDefault="002E5800">
      <w:pPr>
        <w:rPr>
          <w:rFonts w:ascii="Times New Roman" w:hAnsi="Times New Roman" w:cs="Times New Roman"/>
          <w:lang w:val="pl-PL"/>
        </w:rPr>
      </w:pPr>
    </w:p>
    <w:p w14:paraId="3B0B47F3" w14:textId="77777777" w:rsidR="002E5800" w:rsidRPr="008F328C" w:rsidRDefault="000E0B7C">
      <w:pPr>
        <w:pStyle w:val="a3"/>
        <w:rPr>
          <w:lang w:val="pl-PL"/>
        </w:rPr>
      </w:pPr>
      <w:r w:rsidRPr="008F328C">
        <w:rPr>
          <w:rFonts w:eastAsia="Times New Roman"/>
          <w:lang w:val="pl-PL"/>
        </w:rPr>
        <w:t>Przechowywać w lodówce. Nie zamrażać.</w:t>
      </w:r>
    </w:p>
    <w:p w14:paraId="3AD3FE2F" w14:textId="77777777" w:rsidR="002E5800" w:rsidRPr="008F328C" w:rsidRDefault="000E0B7C">
      <w:pPr>
        <w:pStyle w:val="a3"/>
        <w:rPr>
          <w:lang w:val="pl-PL"/>
        </w:rPr>
      </w:pPr>
      <w:r w:rsidRPr="008F328C">
        <w:rPr>
          <w:rFonts w:eastAsia="Times New Roman"/>
          <w:lang w:val="pl-PL"/>
        </w:rPr>
        <w:t>Dodatkowe informacje dotyczące przechowywania znajdują się w ulotce dołączonej do opakowania.</w:t>
      </w:r>
    </w:p>
    <w:p w14:paraId="71CB20CC" w14:textId="77777777" w:rsidR="002E5800" w:rsidRPr="008F328C" w:rsidRDefault="000E0B7C">
      <w:pPr>
        <w:pStyle w:val="a3"/>
        <w:rPr>
          <w:lang w:val="pl-PL"/>
        </w:rPr>
      </w:pPr>
      <w:r w:rsidRPr="008F328C">
        <w:rPr>
          <w:rFonts w:eastAsia="Times New Roman"/>
          <w:lang w:val="pl-PL"/>
        </w:rPr>
        <w:t>Przechowywać półautomatyczny wstrzykiwacz w opakowaniu zewnętrznym w celu ochrony przed światłem.</w:t>
      </w:r>
    </w:p>
    <w:p w14:paraId="18B61624" w14:textId="61C12EE2" w:rsidR="002E5800" w:rsidRPr="008F328C" w:rsidRDefault="008E48C5">
      <w:pPr>
        <w:rPr>
          <w:rFonts w:ascii="Times New Roman" w:hAnsi="Times New Roman" w:cs="Times New Roman"/>
          <w:lang w:val="pl-PL"/>
        </w:rPr>
      </w:pPr>
      <w:r w:rsidRPr="008F328C">
        <w:rPr>
          <w:rFonts w:ascii="Times New Roman" w:hAnsi="Times New Roman" w:cs="Times New Roman"/>
          <w:highlight w:val="lightGray"/>
          <w:lang w:val="pl-PL"/>
        </w:rPr>
        <w:t>Przechowywać półautomatyczny wstrzykiwacze w opakowaniu zewnętrznym w celu ochrony przed światłem.</w:t>
      </w:r>
    </w:p>
    <w:p w14:paraId="1C7C2970"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772B54CF" w14:textId="77777777">
        <w:trPr>
          <w:trHeight w:val="317"/>
        </w:trPr>
        <w:tc>
          <w:tcPr>
            <w:tcW w:w="9666" w:type="dxa"/>
            <w:vAlign w:val="center"/>
          </w:tcPr>
          <w:p w14:paraId="624E76AA"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SPECJALNE ŚRODKI OSTROŻNOŚCI DOTYCZĄCE USUWANIA NIEZUŻYTEGO PRODUKTU LECZNICZEGO LUB POCHODZĄCYCH Z NIEGO ODPADÓW, JEŚLI WŁAŚCIWE</w:t>
            </w:r>
          </w:p>
        </w:tc>
      </w:tr>
    </w:tbl>
    <w:p w14:paraId="03FAFAE5"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638211AD" w14:textId="77777777">
        <w:trPr>
          <w:trHeight w:val="317"/>
        </w:trPr>
        <w:tc>
          <w:tcPr>
            <w:tcW w:w="9666" w:type="dxa"/>
            <w:vAlign w:val="center"/>
          </w:tcPr>
          <w:p w14:paraId="4E77C309"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I ADRES PODMIOTU ODPOWIEDZIALNEGO</w:t>
            </w:r>
          </w:p>
        </w:tc>
      </w:tr>
    </w:tbl>
    <w:p w14:paraId="0FECF8C9" w14:textId="77777777" w:rsidR="002E5800" w:rsidRPr="008F328C" w:rsidRDefault="002E5800">
      <w:pPr>
        <w:spacing w:before="5" w:line="200" w:lineRule="exact"/>
        <w:rPr>
          <w:rFonts w:ascii="Times New Roman" w:hAnsi="Times New Roman" w:cs="Times New Roman"/>
          <w:sz w:val="20"/>
          <w:szCs w:val="20"/>
          <w:lang w:val="pl-PL"/>
        </w:rPr>
      </w:pPr>
    </w:p>
    <w:p w14:paraId="1110EFD2" w14:textId="77777777" w:rsidR="002E5800" w:rsidRPr="008F328C" w:rsidRDefault="000E0B7C">
      <w:pPr>
        <w:pStyle w:val="a3"/>
        <w:rPr>
          <w:lang w:val="en-GB"/>
        </w:rPr>
      </w:pPr>
      <w:r w:rsidRPr="008F328C">
        <w:rPr>
          <w:lang w:val="en-GB"/>
        </w:rPr>
        <w:t xml:space="preserve">Celltrion Healthcare Hungary Kft. </w:t>
      </w:r>
    </w:p>
    <w:p w14:paraId="51CCF2A0" w14:textId="77777777" w:rsidR="002E5800" w:rsidRPr="008F328C" w:rsidRDefault="000E0B7C">
      <w:pPr>
        <w:pStyle w:val="a3"/>
        <w:rPr>
          <w:lang w:val="en-GB"/>
        </w:rPr>
      </w:pPr>
      <w:r w:rsidRPr="008F328C">
        <w:rPr>
          <w:lang w:val="en-GB"/>
        </w:rPr>
        <w:t>1062 Budapest</w:t>
      </w:r>
    </w:p>
    <w:p w14:paraId="3E84CBD3" w14:textId="77777777" w:rsidR="002E5800" w:rsidRPr="008F328C" w:rsidRDefault="000E0B7C">
      <w:pPr>
        <w:pStyle w:val="a3"/>
      </w:pPr>
      <w:r w:rsidRPr="008F328C">
        <w:rPr>
          <w:lang w:val="en-GB"/>
        </w:rPr>
        <w:t xml:space="preserve">Váci út 1-3. </w:t>
      </w:r>
      <w:r w:rsidRPr="008F328C">
        <w:t>WestEnd Office Building B torony</w:t>
      </w:r>
    </w:p>
    <w:p w14:paraId="078C467B" w14:textId="77777777" w:rsidR="002E5800" w:rsidRPr="008F328C" w:rsidRDefault="000E0B7C">
      <w:pPr>
        <w:pStyle w:val="a3"/>
      </w:pPr>
      <w:r w:rsidRPr="008F328C">
        <w:rPr>
          <w:rFonts w:eastAsia="Times New Roman"/>
        </w:rPr>
        <w:t>Węgry</w:t>
      </w:r>
    </w:p>
    <w:p w14:paraId="4BE8DEF0" w14:textId="77777777" w:rsidR="002E5800" w:rsidRPr="008F328C" w:rsidRDefault="002E580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D54497" w14:paraId="6089905D" w14:textId="77777777">
        <w:trPr>
          <w:trHeight w:val="317"/>
        </w:trPr>
        <w:tc>
          <w:tcPr>
            <w:tcW w:w="9666" w:type="dxa"/>
            <w:vAlign w:val="center"/>
          </w:tcPr>
          <w:p w14:paraId="3FBD699D"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POZWOLENIA NA DOPUSZCZENIE DO OBROTU</w:t>
            </w:r>
          </w:p>
        </w:tc>
      </w:tr>
    </w:tbl>
    <w:p w14:paraId="187421F2" w14:textId="77777777" w:rsidR="002E5800" w:rsidRPr="008F328C" w:rsidRDefault="002E5800">
      <w:pPr>
        <w:rPr>
          <w:rFonts w:ascii="Times New Roman" w:hAnsi="Times New Roman" w:cs="Times New Roman"/>
          <w:lang w:val="pl-PL"/>
        </w:rPr>
      </w:pPr>
    </w:p>
    <w:p w14:paraId="3A46F271" w14:textId="32049B1F" w:rsidR="002E5800" w:rsidRPr="008F328C" w:rsidRDefault="000E0B7C">
      <w:pPr>
        <w:pStyle w:val="a3"/>
        <w:rPr>
          <w:highlight w:val="lightGray"/>
          <w:lang w:val="pl-PL"/>
        </w:rPr>
      </w:pPr>
      <w:r w:rsidRPr="008F328C">
        <w:rPr>
          <w:rFonts w:eastAsia="Times New Roman"/>
          <w:lang w:val="pl-PL"/>
        </w:rPr>
        <w:t>EU/</w:t>
      </w:r>
      <w:r w:rsidRPr="008F328C">
        <w:rPr>
          <w:rFonts w:eastAsia="Times New Roman"/>
          <w:color w:val="000000"/>
          <w:lang w:val="pl-PL"/>
        </w:rPr>
        <w:t xml:space="preserve">1/20/1513/009 </w:t>
      </w:r>
      <w:r w:rsidRPr="008F328C">
        <w:rPr>
          <w:rFonts w:eastAsia="Times New Roman"/>
          <w:color w:val="000000"/>
          <w:highlight w:val="lightGray"/>
          <w:lang w:val="pl-PL"/>
        </w:rPr>
        <w:t>1 wstrzykiwacz</w:t>
      </w:r>
    </w:p>
    <w:p w14:paraId="4ECFB55D" w14:textId="75BFC452" w:rsidR="002E5800" w:rsidRPr="008F328C" w:rsidRDefault="000E0B7C">
      <w:pPr>
        <w:pStyle w:val="a3"/>
        <w:rPr>
          <w:highlight w:val="lightGray"/>
          <w:lang w:val="pl-PL" w:eastAsia="ko-KR"/>
        </w:rPr>
      </w:pPr>
      <w:r w:rsidRPr="008F328C">
        <w:rPr>
          <w:rFonts w:eastAsia="Times New Roman"/>
          <w:highlight w:val="lightGray"/>
          <w:lang w:val="pl-PL"/>
        </w:rPr>
        <w:t>EU/</w:t>
      </w:r>
      <w:r w:rsidRPr="008F328C">
        <w:rPr>
          <w:rFonts w:eastAsia="Times New Roman"/>
          <w:color w:val="000000"/>
          <w:highlight w:val="lightGray"/>
          <w:lang w:val="pl-PL"/>
        </w:rPr>
        <w:t>1/20/1513/010 2 wstrzykiwacze</w:t>
      </w:r>
    </w:p>
    <w:p w14:paraId="116D823C" w14:textId="58DB6DFE" w:rsidR="002E5800" w:rsidRPr="008F328C" w:rsidRDefault="000E0B7C">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 xml:space="preserve">1/20/1513/011 4 wstrzykiwacze </w:t>
      </w:r>
    </w:p>
    <w:p w14:paraId="3129FC48" w14:textId="75179697" w:rsidR="002E5800" w:rsidRPr="008F328C" w:rsidRDefault="000E0B7C">
      <w:pPr>
        <w:pStyle w:val="a3"/>
        <w:rPr>
          <w:lang w:val="pl-PL"/>
        </w:rPr>
      </w:pPr>
      <w:r w:rsidRPr="008F328C">
        <w:rPr>
          <w:rFonts w:eastAsia="Times New Roman"/>
          <w:highlight w:val="lightGray"/>
          <w:lang w:val="pl-PL"/>
        </w:rPr>
        <w:t>EU/</w:t>
      </w:r>
      <w:r w:rsidRPr="008F328C">
        <w:rPr>
          <w:rFonts w:eastAsia="Times New Roman"/>
          <w:color w:val="000000"/>
          <w:highlight w:val="lightGray"/>
          <w:lang w:val="pl-PL"/>
        </w:rPr>
        <w:t>1/20/1513/012 6 wstrzykiwaczy</w:t>
      </w:r>
      <w:r w:rsidRPr="008F328C">
        <w:rPr>
          <w:rFonts w:eastAsia="Times New Roman"/>
          <w:color w:val="000000"/>
          <w:lang w:val="pl-PL"/>
        </w:rPr>
        <w:t xml:space="preserve"> </w:t>
      </w:r>
    </w:p>
    <w:p w14:paraId="121ADA05" w14:textId="77777777" w:rsidR="002E5800" w:rsidRPr="008F328C" w:rsidRDefault="002E5800">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1D95859C" w14:textId="77777777">
        <w:trPr>
          <w:trHeight w:val="317"/>
        </w:trPr>
        <w:tc>
          <w:tcPr>
            <w:tcW w:w="9666" w:type="dxa"/>
            <w:vAlign w:val="center"/>
          </w:tcPr>
          <w:p w14:paraId="2B2AA1FF"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0C338093" w14:textId="77777777" w:rsidR="002E5800" w:rsidRPr="008F328C" w:rsidRDefault="002E5800">
      <w:pPr>
        <w:rPr>
          <w:rFonts w:ascii="Times New Roman" w:hAnsi="Times New Roman" w:cs="Times New Roman"/>
          <w:lang w:val="pl-PL"/>
        </w:rPr>
      </w:pPr>
    </w:p>
    <w:p w14:paraId="17A08F8F" w14:textId="03C7AC9D" w:rsidR="002E5800" w:rsidRPr="008F328C" w:rsidRDefault="00120AE9">
      <w:pPr>
        <w:pStyle w:val="a3"/>
      </w:pPr>
      <w:r w:rsidRPr="008F328C">
        <w:t>Nr serii (Lot)</w:t>
      </w:r>
    </w:p>
    <w:p w14:paraId="1E35A80D" w14:textId="77777777" w:rsidR="00CC4159" w:rsidRPr="008F328C" w:rsidRDefault="00CC4159">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4F4028F1" w14:textId="77777777">
        <w:trPr>
          <w:trHeight w:val="317"/>
        </w:trPr>
        <w:tc>
          <w:tcPr>
            <w:tcW w:w="9666" w:type="dxa"/>
            <w:vAlign w:val="center"/>
          </w:tcPr>
          <w:p w14:paraId="05B015C7"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OGÓLNA KATEGORIA DOSTĘPNOŚCI</w:t>
            </w:r>
          </w:p>
        </w:tc>
      </w:tr>
    </w:tbl>
    <w:p w14:paraId="10BBFB7B" w14:textId="10F4CC35" w:rsidR="002E5800" w:rsidRPr="008F328C" w:rsidRDefault="002E5800">
      <w:pPr>
        <w:jc w:val="both"/>
        <w:rPr>
          <w:rFonts w:ascii="Times New Roman" w:hAnsi="Times New Roman" w:cs="Times New Roman"/>
          <w:lang w:val="pl-PL"/>
        </w:rPr>
      </w:pPr>
    </w:p>
    <w:p w14:paraId="1A4AD9D5" w14:textId="77777777" w:rsidR="00CC4159" w:rsidRPr="008F328C" w:rsidRDefault="00CC4159">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4740ED74" w14:textId="77777777">
        <w:trPr>
          <w:trHeight w:val="317"/>
        </w:trPr>
        <w:tc>
          <w:tcPr>
            <w:tcW w:w="9666" w:type="dxa"/>
            <w:vAlign w:val="center"/>
          </w:tcPr>
          <w:p w14:paraId="16AB5DFA"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INSTRUKCJA UŻYCIA</w:t>
            </w:r>
          </w:p>
        </w:tc>
      </w:tr>
    </w:tbl>
    <w:p w14:paraId="0EE8EC46" w14:textId="1373A995" w:rsidR="002E5800" w:rsidRPr="008F328C" w:rsidRDefault="002E5800">
      <w:pPr>
        <w:jc w:val="both"/>
        <w:rPr>
          <w:rFonts w:ascii="Times New Roman" w:hAnsi="Times New Roman" w:cs="Times New Roman"/>
          <w:lang w:val="pl-PL"/>
        </w:rPr>
      </w:pPr>
    </w:p>
    <w:p w14:paraId="573D7080" w14:textId="77777777" w:rsidR="00CC4159" w:rsidRPr="008F328C" w:rsidRDefault="00CC4159">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1A89FAA" w14:textId="77777777">
        <w:trPr>
          <w:trHeight w:val="317"/>
        </w:trPr>
        <w:tc>
          <w:tcPr>
            <w:tcW w:w="9666" w:type="dxa"/>
            <w:vAlign w:val="center"/>
          </w:tcPr>
          <w:p w14:paraId="18BCE4F7"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INFORMACJA PODANA SYSTEMEM BRAILLE’A</w:t>
            </w:r>
          </w:p>
        </w:tc>
      </w:tr>
    </w:tbl>
    <w:p w14:paraId="5D01FE9E" w14:textId="77777777" w:rsidR="002E5800" w:rsidRPr="008F328C" w:rsidRDefault="002E5800">
      <w:pPr>
        <w:jc w:val="both"/>
        <w:rPr>
          <w:rFonts w:ascii="Times New Roman" w:hAnsi="Times New Roman" w:cs="Times New Roman"/>
          <w:lang w:val="pl-PL"/>
        </w:rPr>
      </w:pPr>
    </w:p>
    <w:p w14:paraId="3091E6A4" w14:textId="77777777" w:rsidR="002E5800" w:rsidRPr="008F328C" w:rsidRDefault="000E0B7C">
      <w:pPr>
        <w:pStyle w:val="a3"/>
        <w:rPr>
          <w:lang w:val="pl-PL"/>
        </w:rPr>
      </w:pPr>
      <w:r w:rsidRPr="008F328C">
        <w:rPr>
          <w:rFonts w:eastAsia="Times New Roman"/>
          <w:lang w:val="pl-PL"/>
        </w:rPr>
        <w:t>Yuflyma 40 mg</w:t>
      </w:r>
    </w:p>
    <w:p w14:paraId="7595F3B3" w14:textId="77777777" w:rsidR="002E5800" w:rsidRPr="008F328C" w:rsidRDefault="002E5800">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360D9AAA" w14:textId="77777777">
        <w:trPr>
          <w:trHeight w:val="317"/>
        </w:trPr>
        <w:tc>
          <w:tcPr>
            <w:tcW w:w="9666" w:type="dxa"/>
            <w:vAlign w:val="center"/>
          </w:tcPr>
          <w:p w14:paraId="14B31A88"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KOD 2D</w:t>
            </w:r>
          </w:p>
        </w:tc>
      </w:tr>
    </w:tbl>
    <w:p w14:paraId="42F33BA2" w14:textId="77777777" w:rsidR="002E5800" w:rsidRPr="008F328C" w:rsidRDefault="002E5800">
      <w:pPr>
        <w:jc w:val="both"/>
        <w:rPr>
          <w:rFonts w:ascii="Times New Roman" w:hAnsi="Times New Roman" w:cs="Times New Roman"/>
          <w:lang w:val="pl-PL"/>
        </w:rPr>
      </w:pPr>
    </w:p>
    <w:p w14:paraId="08438175" w14:textId="77777777" w:rsidR="002E5800" w:rsidRPr="008F328C" w:rsidRDefault="000E0B7C">
      <w:pPr>
        <w:pStyle w:val="a3"/>
        <w:rPr>
          <w:lang w:val="pl-PL"/>
        </w:rPr>
      </w:pPr>
      <w:r w:rsidRPr="008F328C">
        <w:rPr>
          <w:rFonts w:eastAsia="Times New Roman"/>
          <w:highlight w:val="lightGray"/>
          <w:lang w:val="pl-PL"/>
        </w:rPr>
        <w:t>Obejmuje kod 2D będący nośnikiem niepowtarzalnego identyfikatora.</w:t>
      </w:r>
    </w:p>
    <w:p w14:paraId="05C274A0" w14:textId="77777777" w:rsidR="002E5800" w:rsidRPr="008F328C" w:rsidRDefault="002E5800">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A5286D" w14:paraId="098CFD19" w14:textId="77777777">
        <w:trPr>
          <w:trHeight w:val="317"/>
        </w:trPr>
        <w:tc>
          <w:tcPr>
            <w:tcW w:w="9666" w:type="dxa"/>
            <w:vAlign w:val="center"/>
          </w:tcPr>
          <w:p w14:paraId="1000CB89" w14:textId="77777777" w:rsidR="002E5800" w:rsidRPr="008F328C" w:rsidRDefault="000E0B7C">
            <w:pPr>
              <w:numPr>
                <w:ilvl w:val="0"/>
                <w:numId w:val="28"/>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DANE CZYTELNE DLA CZŁOWIEKA</w:t>
            </w:r>
          </w:p>
        </w:tc>
      </w:tr>
    </w:tbl>
    <w:p w14:paraId="00D64FA6" w14:textId="77777777" w:rsidR="002E5800" w:rsidRPr="008F328C" w:rsidRDefault="002E5800">
      <w:pPr>
        <w:jc w:val="both"/>
        <w:rPr>
          <w:rFonts w:ascii="Times New Roman" w:hAnsi="Times New Roman" w:cs="Times New Roman"/>
          <w:lang w:val="pl-PL"/>
        </w:rPr>
      </w:pPr>
    </w:p>
    <w:p w14:paraId="38BA432F" w14:textId="77777777" w:rsidR="002E5800" w:rsidRPr="008F328C" w:rsidRDefault="000E0B7C">
      <w:pPr>
        <w:pStyle w:val="a3"/>
        <w:rPr>
          <w:lang w:val="pl-PL"/>
        </w:rPr>
      </w:pPr>
      <w:r w:rsidRPr="008F328C">
        <w:rPr>
          <w:rFonts w:eastAsia="Times New Roman"/>
          <w:lang w:val="pl-PL"/>
        </w:rPr>
        <w:t xml:space="preserve">PC </w:t>
      </w:r>
    </w:p>
    <w:p w14:paraId="5CB03E89" w14:textId="77777777" w:rsidR="002E5800" w:rsidRPr="008F328C" w:rsidRDefault="000E0B7C">
      <w:pPr>
        <w:pStyle w:val="a3"/>
        <w:rPr>
          <w:lang w:val="pl-PL"/>
        </w:rPr>
      </w:pPr>
      <w:r w:rsidRPr="008F328C">
        <w:rPr>
          <w:rFonts w:eastAsia="Times New Roman"/>
          <w:lang w:val="pl-PL"/>
        </w:rPr>
        <w:t>SN</w:t>
      </w:r>
    </w:p>
    <w:p w14:paraId="705BF89D" w14:textId="77777777" w:rsidR="002E5800" w:rsidRPr="008F328C" w:rsidRDefault="000E0B7C">
      <w:pPr>
        <w:pStyle w:val="a3"/>
        <w:rPr>
          <w:spacing w:val="-2"/>
          <w:lang w:val="pl-PL"/>
        </w:rPr>
      </w:pPr>
      <w:r w:rsidRPr="008F328C">
        <w:rPr>
          <w:rFonts w:eastAsia="Times New Roman"/>
          <w:spacing w:val="-2"/>
          <w:lang w:val="pl-PL"/>
        </w:rPr>
        <w:t>NN</w:t>
      </w:r>
    </w:p>
    <w:p w14:paraId="135D9FFD" w14:textId="77777777" w:rsidR="002E5800" w:rsidRPr="008F328C" w:rsidRDefault="002E5800">
      <w:pPr>
        <w:pStyle w:val="a3"/>
        <w:rPr>
          <w:spacing w:val="-2"/>
          <w:lang w:val="pl-PL"/>
        </w:rPr>
      </w:pPr>
    </w:p>
    <w:p w14:paraId="09CF779E" w14:textId="77777777" w:rsidR="002E5800" w:rsidRPr="008F328C" w:rsidRDefault="000E0B7C">
      <w:pPr>
        <w:rPr>
          <w:rFonts w:ascii="Times New Roman" w:eastAsia="Times New Roman" w:hAnsi="Times New Roman" w:cs="Times New Roman"/>
          <w:spacing w:val="-2"/>
          <w:lang w:val="pl-PL"/>
        </w:rPr>
      </w:pPr>
      <w:r w:rsidRPr="008F328C">
        <w:rPr>
          <w:rFonts w:ascii="Times New Roman" w:hAnsi="Times New Roman" w:cs="Times New Roman"/>
          <w:spacing w:val="-2"/>
          <w:lang w:val="pl-PL"/>
        </w:rPr>
        <w:br w:type="page"/>
      </w:r>
    </w:p>
    <w:tbl>
      <w:tblPr>
        <w:tblStyle w:val="ac"/>
        <w:tblW w:w="9666" w:type="dxa"/>
        <w:tblLook w:val="04A0" w:firstRow="1" w:lastRow="0" w:firstColumn="1" w:lastColumn="0" w:noHBand="0" w:noVBand="1"/>
      </w:tblPr>
      <w:tblGrid>
        <w:gridCol w:w="9666"/>
      </w:tblGrid>
      <w:tr w:rsidR="002E5800" w:rsidRPr="00494296" w14:paraId="1F1180C9" w14:textId="77777777">
        <w:trPr>
          <w:trHeight w:val="822"/>
        </w:trPr>
        <w:tc>
          <w:tcPr>
            <w:tcW w:w="9666" w:type="dxa"/>
            <w:vAlign w:val="center"/>
          </w:tcPr>
          <w:p w14:paraId="772C9F8B" w14:textId="77777777" w:rsidR="002E5800" w:rsidRPr="008F328C" w:rsidRDefault="000E0B7C">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Cs/>
                <w:spacing w:val="-1"/>
                <w:lang w:val="pl-PL"/>
              </w:rPr>
              <w:lastRenderedPageBreak/>
              <w:br w:type="page"/>
            </w:r>
            <w:r w:rsidRPr="008F328C">
              <w:rPr>
                <w:rFonts w:ascii="Times New Roman" w:eastAsia="Times New Roman" w:hAnsi="Times New Roman" w:cs="Times New Roman"/>
                <w:b/>
                <w:bCs/>
                <w:spacing w:val="-1"/>
                <w:lang w:val="pl-PL"/>
              </w:rPr>
              <w:t xml:space="preserve">MINIMUM INFORMACJI ZAMIESZCZANYCH NA MAŁYCH OPAKOWANIACH BEZPOŚREDNICH </w:t>
            </w:r>
          </w:p>
          <w:p w14:paraId="05F18BB7" w14:textId="77777777" w:rsidR="002E5800" w:rsidRPr="008F328C" w:rsidRDefault="002E5800">
            <w:pPr>
              <w:tabs>
                <w:tab w:val="left" w:pos="672"/>
              </w:tabs>
              <w:jc w:val="both"/>
              <w:rPr>
                <w:rFonts w:ascii="Times New Roman" w:eastAsia="Times New Roman" w:hAnsi="Times New Roman" w:cs="Times New Roman"/>
                <w:b/>
                <w:bCs/>
                <w:spacing w:val="-1"/>
                <w:lang w:val="pl-PL"/>
              </w:rPr>
            </w:pPr>
          </w:p>
          <w:p w14:paraId="1E899478" w14:textId="24F91F96" w:rsidR="002E5800" w:rsidRPr="008F328C" w:rsidRDefault="000E0B7C" w:rsidP="00096EAD">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ETYKIETA WSTRZYKIWACZA</w:t>
            </w:r>
          </w:p>
        </w:tc>
      </w:tr>
    </w:tbl>
    <w:p w14:paraId="7D86538A" w14:textId="77777777" w:rsidR="002E5800" w:rsidRPr="008F328C" w:rsidRDefault="002E5800">
      <w:pPr>
        <w:spacing w:line="200" w:lineRule="exact"/>
        <w:rPr>
          <w:rFonts w:ascii="Times New Roman" w:hAnsi="Times New Roman" w:cs="Times New Roman"/>
          <w:sz w:val="20"/>
          <w:szCs w:val="20"/>
          <w:lang w:val="pl-PL"/>
        </w:rPr>
      </w:pPr>
    </w:p>
    <w:p w14:paraId="253FE200" w14:textId="77777777" w:rsidR="002E5800" w:rsidRPr="008F328C" w:rsidRDefault="002E5800">
      <w:pPr>
        <w:spacing w:line="200" w:lineRule="exact"/>
        <w:rPr>
          <w:rFonts w:ascii="Times New Roman" w:hAnsi="Times New Roman" w:cs="Times New Roman"/>
          <w:sz w:val="20"/>
          <w:szCs w:val="20"/>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2E5800" w:rsidRPr="00D54497" w14:paraId="5B1972EB" w14:textId="77777777">
        <w:trPr>
          <w:trHeight w:val="317"/>
        </w:trPr>
        <w:tc>
          <w:tcPr>
            <w:tcW w:w="9666" w:type="dxa"/>
            <w:vAlign w:val="center"/>
          </w:tcPr>
          <w:p w14:paraId="1ECDE00F" w14:textId="77777777" w:rsidR="002E5800" w:rsidRPr="008F328C" w:rsidRDefault="000E0B7C">
            <w:pPr>
              <w:numPr>
                <w:ilvl w:val="0"/>
                <w:numId w:val="29"/>
              </w:numPr>
              <w:tabs>
                <w:tab w:val="left" w:pos="672"/>
              </w:tabs>
              <w:ind w:left="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PRODUKTU LECZNICZEGO I DROGA PODANIA</w:t>
            </w:r>
          </w:p>
        </w:tc>
      </w:tr>
    </w:tbl>
    <w:p w14:paraId="7A5A888B" w14:textId="77777777" w:rsidR="002E5800" w:rsidRPr="008F328C" w:rsidRDefault="002E5800">
      <w:pPr>
        <w:spacing w:line="200" w:lineRule="exact"/>
        <w:rPr>
          <w:rFonts w:ascii="Times New Roman" w:hAnsi="Times New Roman" w:cs="Times New Roman"/>
          <w:sz w:val="20"/>
          <w:szCs w:val="20"/>
          <w:lang w:val="pl-PL"/>
        </w:rPr>
      </w:pPr>
    </w:p>
    <w:p w14:paraId="7E354144" w14:textId="7D3FC3B3" w:rsidR="002E5800" w:rsidRPr="008F328C" w:rsidRDefault="000E0B7C">
      <w:pPr>
        <w:pStyle w:val="a3"/>
        <w:rPr>
          <w:lang w:val="pl-PL"/>
        </w:rPr>
      </w:pPr>
      <w:r w:rsidRPr="008F328C">
        <w:rPr>
          <w:rFonts w:eastAsia="Times New Roman"/>
          <w:lang w:val="pl-PL"/>
        </w:rPr>
        <w:t>Yuflyma 40 mg do wstrzykiwań</w:t>
      </w:r>
    </w:p>
    <w:p w14:paraId="5C15C8CF" w14:textId="62B1EDE9" w:rsidR="002E5800" w:rsidRPr="008F328C" w:rsidRDefault="00120AE9">
      <w:pPr>
        <w:pStyle w:val="a3"/>
        <w:rPr>
          <w:lang w:val="pl-PL"/>
        </w:rPr>
      </w:pPr>
      <w:r w:rsidRPr="008F328C">
        <w:rPr>
          <w:rFonts w:eastAsia="Times New Roman"/>
          <w:lang w:val="pl-PL"/>
        </w:rPr>
        <w:t>a</w:t>
      </w:r>
      <w:r w:rsidR="000E0B7C" w:rsidRPr="008F328C">
        <w:rPr>
          <w:rFonts w:eastAsia="Times New Roman"/>
          <w:lang w:val="pl-PL"/>
        </w:rPr>
        <w:t>dalimumab</w:t>
      </w:r>
    </w:p>
    <w:p w14:paraId="4AC597D2" w14:textId="77777777" w:rsidR="002E5800" w:rsidRPr="008F328C" w:rsidRDefault="000E0B7C">
      <w:pPr>
        <w:pStyle w:val="a3"/>
        <w:rPr>
          <w:lang w:val="pl-PL"/>
        </w:rPr>
      </w:pPr>
      <w:r w:rsidRPr="008F328C">
        <w:rPr>
          <w:rFonts w:eastAsia="Times New Roman"/>
          <w:lang w:val="pl-PL"/>
        </w:rPr>
        <w:t>Podanie podskórne</w:t>
      </w:r>
    </w:p>
    <w:p w14:paraId="4FB09D3C"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47E90684" w14:textId="77777777">
        <w:trPr>
          <w:trHeight w:val="317"/>
        </w:trPr>
        <w:tc>
          <w:tcPr>
            <w:tcW w:w="9666" w:type="dxa"/>
            <w:vAlign w:val="center"/>
          </w:tcPr>
          <w:p w14:paraId="458CDC37" w14:textId="77777777" w:rsidR="002E5800" w:rsidRPr="008F328C" w:rsidRDefault="000E0B7C">
            <w:pPr>
              <w:numPr>
                <w:ilvl w:val="0"/>
                <w:numId w:val="29"/>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PODAWANIA</w:t>
            </w:r>
          </w:p>
        </w:tc>
      </w:tr>
    </w:tbl>
    <w:p w14:paraId="3D87A600" w14:textId="0FC13D6E" w:rsidR="002E5800" w:rsidRPr="008F328C" w:rsidRDefault="002E5800">
      <w:pPr>
        <w:spacing w:before="13" w:line="280" w:lineRule="exact"/>
        <w:rPr>
          <w:rFonts w:ascii="Times New Roman" w:hAnsi="Times New Roman" w:cs="Times New Roman"/>
          <w:sz w:val="28"/>
          <w:szCs w:val="28"/>
          <w:lang w:val="pl-PL"/>
        </w:rPr>
      </w:pPr>
    </w:p>
    <w:p w14:paraId="035E67CD" w14:textId="77777777" w:rsidR="00CC4159" w:rsidRPr="008F328C" w:rsidRDefault="00CC4159">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28001F0D" w14:textId="77777777">
        <w:trPr>
          <w:trHeight w:val="317"/>
        </w:trPr>
        <w:tc>
          <w:tcPr>
            <w:tcW w:w="9666" w:type="dxa"/>
            <w:vAlign w:val="center"/>
          </w:tcPr>
          <w:p w14:paraId="17F8346E" w14:textId="77777777" w:rsidR="002E5800" w:rsidRPr="008F328C" w:rsidRDefault="000E0B7C">
            <w:pPr>
              <w:numPr>
                <w:ilvl w:val="0"/>
                <w:numId w:val="29"/>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27B40D51" w14:textId="77777777" w:rsidR="002E5800" w:rsidRPr="008F328C" w:rsidRDefault="002E5800">
      <w:pPr>
        <w:pStyle w:val="a3"/>
        <w:rPr>
          <w:lang w:val="pl-PL"/>
        </w:rPr>
      </w:pPr>
    </w:p>
    <w:p w14:paraId="416F9CDD" w14:textId="77777777" w:rsidR="002E5800" w:rsidRPr="008F328C" w:rsidRDefault="000E0B7C">
      <w:pPr>
        <w:pStyle w:val="a3"/>
        <w:rPr>
          <w:lang w:val="pl-PL"/>
        </w:rPr>
      </w:pPr>
      <w:r w:rsidRPr="008F328C">
        <w:rPr>
          <w:rFonts w:eastAsia="Times New Roman"/>
          <w:lang w:val="pl-PL"/>
        </w:rPr>
        <w:t>EXP</w:t>
      </w:r>
    </w:p>
    <w:p w14:paraId="7998A354" w14:textId="77777777" w:rsidR="002E5800" w:rsidRPr="008F328C" w:rsidRDefault="002E5800">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026605F2" w14:textId="77777777">
        <w:trPr>
          <w:trHeight w:val="317"/>
        </w:trPr>
        <w:tc>
          <w:tcPr>
            <w:tcW w:w="9666" w:type="dxa"/>
            <w:vAlign w:val="center"/>
          </w:tcPr>
          <w:p w14:paraId="6FBEB656" w14:textId="77777777" w:rsidR="002E5800" w:rsidRPr="008F328C" w:rsidRDefault="000E0B7C">
            <w:pPr>
              <w:numPr>
                <w:ilvl w:val="0"/>
                <w:numId w:val="29"/>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1EFEBC67" w14:textId="77777777" w:rsidR="002E5800" w:rsidRPr="008F328C" w:rsidRDefault="002E5800">
      <w:pPr>
        <w:pStyle w:val="a3"/>
        <w:rPr>
          <w:lang w:val="pl-PL"/>
        </w:rPr>
      </w:pPr>
    </w:p>
    <w:p w14:paraId="4BE19D68" w14:textId="318E48CC" w:rsidR="002E5800" w:rsidRPr="008F328C" w:rsidRDefault="000E0B7C">
      <w:pPr>
        <w:pStyle w:val="a3"/>
        <w:rPr>
          <w:lang w:val="pl-PL"/>
        </w:rPr>
      </w:pPr>
      <w:r w:rsidRPr="008F328C">
        <w:rPr>
          <w:rFonts w:eastAsia="Times New Roman"/>
          <w:lang w:val="pl-PL"/>
        </w:rPr>
        <w:t>Lot</w:t>
      </w: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494296" w14:paraId="76F746CC" w14:textId="77777777">
        <w:trPr>
          <w:trHeight w:val="317"/>
        </w:trPr>
        <w:tc>
          <w:tcPr>
            <w:tcW w:w="9666" w:type="dxa"/>
            <w:vAlign w:val="center"/>
          </w:tcPr>
          <w:p w14:paraId="296085BC" w14:textId="77777777" w:rsidR="002E5800" w:rsidRPr="008F328C" w:rsidRDefault="000E0B7C">
            <w:pPr>
              <w:numPr>
                <w:ilvl w:val="0"/>
                <w:numId w:val="29"/>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OPAKOWANIA Z PODANIEM MASY, OBJĘTOŚCI LUB LICZBY JEDNOSTEK</w:t>
            </w:r>
          </w:p>
        </w:tc>
      </w:tr>
    </w:tbl>
    <w:p w14:paraId="07640795" w14:textId="77777777" w:rsidR="002E5800" w:rsidRPr="008F328C" w:rsidRDefault="002E5800">
      <w:pPr>
        <w:spacing w:before="13" w:line="280" w:lineRule="exact"/>
        <w:rPr>
          <w:rFonts w:ascii="Times New Roman" w:hAnsi="Times New Roman" w:cs="Times New Roman"/>
          <w:sz w:val="28"/>
          <w:szCs w:val="28"/>
          <w:lang w:val="pl-PL"/>
        </w:rPr>
      </w:pPr>
    </w:p>
    <w:p w14:paraId="2383A231" w14:textId="77777777" w:rsidR="002E5800" w:rsidRPr="008F328C" w:rsidRDefault="000E0B7C">
      <w:pPr>
        <w:pStyle w:val="a3"/>
        <w:rPr>
          <w:lang w:val="pl-PL"/>
        </w:rPr>
      </w:pPr>
      <w:r w:rsidRPr="008F328C">
        <w:rPr>
          <w:rFonts w:eastAsia="Times New Roman"/>
          <w:lang w:val="pl-PL"/>
        </w:rPr>
        <w:t>40 mg/0,4 ml</w:t>
      </w:r>
    </w:p>
    <w:p w14:paraId="5D3A20D4" w14:textId="77777777" w:rsidR="002E5800" w:rsidRPr="008F328C" w:rsidRDefault="002E5800">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2E5800" w:rsidRPr="008F328C" w14:paraId="1A4A58FF" w14:textId="77777777">
        <w:trPr>
          <w:trHeight w:val="317"/>
        </w:trPr>
        <w:tc>
          <w:tcPr>
            <w:tcW w:w="9666" w:type="dxa"/>
            <w:vAlign w:val="center"/>
          </w:tcPr>
          <w:p w14:paraId="1A0A5ACE" w14:textId="77777777" w:rsidR="002E5800" w:rsidRPr="008F328C" w:rsidRDefault="002E5800">
            <w:pPr>
              <w:numPr>
                <w:ilvl w:val="0"/>
                <w:numId w:val="29"/>
              </w:numPr>
              <w:tabs>
                <w:tab w:val="left" w:pos="672"/>
              </w:tabs>
              <w:ind w:left="561" w:hanging="561"/>
              <w:jc w:val="both"/>
              <w:rPr>
                <w:rFonts w:ascii="Times New Roman" w:eastAsia="Times New Roman" w:hAnsi="Times New Roman" w:cs="Times New Roman"/>
                <w:b/>
                <w:bCs/>
                <w:spacing w:val="-1"/>
                <w:lang w:val="pl-PL"/>
              </w:rPr>
            </w:pPr>
          </w:p>
        </w:tc>
      </w:tr>
    </w:tbl>
    <w:p w14:paraId="3A2D6983" w14:textId="77777777" w:rsidR="002E5800" w:rsidRPr="008F328C" w:rsidRDefault="002E5800">
      <w:pPr>
        <w:rPr>
          <w:rFonts w:ascii="Times New Roman" w:hAnsi="Times New Roman" w:cs="Times New Roman"/>
          <w:lang w:val="pl-PL"/>
        </w:rPr>
      </w:pPr>
    </w:p>
    <w:p w14:paraId="7B35891F" w14:textId="3471CE71"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p w14:paraId="35BA184D" w14:textId="77777777" w:rsidR="003C02D5" w:rsidRPr="008F328C" w:rsidRDefault="003C02D5" w:rsidP="003C02D5">
      <w:pPr>
        <w:rPr>
          <w:rFonts w:ascii="Times New Roman" w:hAnsi="Times New Roman" w:cs="Times New Roman"/>
          <w:lang w:val="pl-PL"/>
        </w:rPr>
      </w:pPr>
    </w:p>
    <w:tbl>
      <w:tblPr>
        <w:tblStyle w:val="ac"/>
        <w:tblW w:w="9666" w:type="dxa"/>
        <w:tblLook w:val="04A0" w:firstRow="1" w:lastRow="0" w:firstColumn="1" w:lastColumn="0" w:noHBand="0" w:noVBand="1"/>
      </w:tblPr>
      <w:tblGrid>
        <w:gridCol w:w="9666"/>
      </w:tblGrid>
      <w:tr w:rsidR="003C02D5" w:rsidRPr="00494296" w14:paraId="36173807" w14:textId="77777777" w:rsidTr="008871F4">
        <w:trPr>
          <w:trHeight w:val="822"/>
        </w:trPr>
        <w:tc>
          <w:tcPr>
            <w:tcW w:w="9666" w:type="dxa"/>
            <w:vAlign w:val="center"/>
          </w:tcPr>
          <w:p w14:paraId="3F430A94" w14:textId="77777777" w:rsidR="003C02D5" w:rsidRPr="008F328C" w:rsidRDefault="003C02D5" w:rsidP="008871F4">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INFORMACJE ZAMIESZCZANE NA OPAKOWANIACH ZEWNĘTRZNYCH</w:t>
            </w:r>
          </w:p>
          <w:p w14:paraId="09F9A9FC" w14:textId="77777777" w:rsidR="003C02D5" w:rsidRPr="008F328C" w:rsidRDefault="003C02D5" w:rsidP="008871F4">
            <w:pPr>
              <w:spacing w:line="180" w:lineRule="exact"/>
              <w:jc w:val="both"/>
              <w:rPr>
                <w:rFonts w:ascii="Times New Roman" w:hAnsi="Times New Roman" w:cs="Times New Roman"/>
                <w:lang w:val="pl-PL"/>
              </w:rPr>
            </w:pPr>
          </w:p>
          <w:p w14:paraId="49FAD055" w14:textId="77777777" w:rsidR="003C02D5" w:rsidRPr="008F328C" w:rsidRDefault="003C02D5" w:rsidP="008871F4">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ZEWNĘTRZNE OPAKOWANIE KARTONOWE AMPUŁKO-STRZYKAWKI </w:t>
            </w:r>
          </w:p>
        </w:tc>
      </w:tr>
    </w:tbl>
    <w:p w14:paraId="62695816" w14:textId="77777777" w:rsidR="003C02D5" w:rsidRPr="008F328C" w:rsidRDefault="003C02D5" w:rsidP="003C02D5">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3C02D5" w:rsidRPr="008F328C" w14:paraId="07F14929" w14:textId="77777777" w:rsidTr="008871F4">
        <w:trPr>
          <w:trHeight w:val="317"/>
        </w:trPr>
        <w:tc>
          <w:tcPr>
            <w:tcW w:w="9666" w:type="dxa"/>
            <w:vAlign w:val="center"/>
          </w:tcPr>
          <w:p w14:paraId="7E651C08" w14:textId="77777777" w:rsidR="003C02D5" w:rsidRPr="008F328C" w:rsidRDefault="003C02D5" w:rsidP="008E70FE">
            <w:pPr>
              <w:numPr>
                <w:ilvl w:val="0"/>
                <w:numId w:val="119"/>
              </w:numPr>
              <w:tabs>
                <w:tab w:val="left" w:pos="672"/>
              </w:tabs>
              <w:ind w:left="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NAZWA PRODUKTU LECZNICZEGO</w:t>
            </w:r>
          </w:p>
        </w:tc>
      </w:tr>
    </w:tbl>
    <w:p w14:paraId="4E904CE3" w14:textId="77777777" w:rsidR="003C02D5" w:rsidRPr="008F328C" w:rsidRDefault="003C02D5" w:rsidP="003C02D5">
      <w:pPr>
        <w:spacing w:line="200" w:lineRule="exact"/>
        <w:rPr>
          <w:rFonts w:ascii="Times New Roman" w:hAnsi="Times New Roman" w:cs="Times New Roman"/>
          <w:lang w:val="pl-PL"/>
        </w:rPr>
      </w:pPr>
    </w:p>
    <w:p w14:paraId="10E273A3" w14:textId="1A756B51" w:rsidR="003C02D5" w:rsidRPr="008F328C" w:rsidRDefault="003C02D5" w:rsidP="003C02D5">
      <w:pPr>
        <w:pStyle w:val="a3"/>
        <w:rPr>
          <w:lang w:val="pl-PL"/>
        </w:rPr>
      </w:pPr>
      <w:r w:rsidRPr="008F328C">
        <w:rPr>
          <w:rFonts w:eastAsia="Times New Roman"/>
          <w:lang w:val="pl-PL"/>
        </w:rPr>
        <w:t>Yuflyma 80 mg roztwór do wstrzykiwań w ampułko-strzykawce</w:t>
      </w:r>
    </w:p>
    <w:p w14:paraId="5A7AFF84" w14:textId="77777777" w:rsidR="003C02D5" w:rsidRPr="008F328C" w:rsidRDefault="003C02D5" w:rsidP="003C02D5">
      <w:pPr>
        <w:pStyle w:val="a3"/>
        <w:rPr>
          <w:lang w:val="pl-PL"/>
        </w:rPr>
      </w:pPr>
      <w:r w:rsidRPr="008F328C">
        <w:rPr>
          <w:rFonts w:eastAsia="Times New Roman"/>
          <w:lang w:val="pl-PL"/>
        </w:rPr>
        <w:t>adalimumab</w:t>
      </w:r>
    </w:p>
    <w:p w14:paraId="6AE8AD13"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144F34B2" w14:textId="77777777" w:rsidTr="008871F4">
        <w:trPr>
          <w:trHeight w:val="317"/>
        </w:trPr>
        <w:tc>
          <w:tcPr>
            <w:tcW w:w="9666" w:type="dxa"/>
            <w:vAlign w:val="center"/>
          </w:tcPr>
          <w:p w14:paraId="7B44AA89"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SUBSTANCJI CZYNNEJ</w:t>
            </w:r>
          </w:p>
        </w:tc>
      </w:tr>
    </w:tbl>
    <w:p w14:paraId="3DA54BEF" w14:textId="77777777" w:rsidR="003C02D5" w:rsidRPr="008F328C" w:rsidRDefault="003C02D5" w:rsidP="003C02D5">
      <w:pPr>
        <w:spacing w:before="13" w:line="280" w:lineRule="exact"/>
        <w:rPr>
          <w:rFonts w:ascii="Times New Roman" w:hAnsi="Times New Roman" w:cs="Times New Roman"/>
          <w:lang w:val="pl-PL"/>
        </w:rPr>
      </w:pPr>
    </w:p>
    <w:p w14:paraId="095EDD4E" w14:textId="686C4FD2" w:rsidR="003C02D5" w:rsidRPr="008F328C" w:rsidRDefault="003C02D5" w:rsidP="003C02D5">
      <w:pPr>
        <w:pStyle w:val="a3"/>
        <w:rPr>
          <w:lang w:val="pl-PL"/>
        </w:rPr>
      </w:pPr>
      <w:r w:rsidRPr="008F328C">
        <w:rPr>
          <w:rFonts w:eastAsia="Times New Roman"/>
          <w:lang w:val="pl-PL"/>
        </w:rPr>
        <w:t>Jedna ampułko-strzykawka 0,8 ml zawiera 80 mg adalimumabu.</w:t>
      </w:r>
    </w:p>
    <w:p w14:paraId="58504564" w14:textId="77777777" w:rsidR="003C02D5" w:rsidRPr="008F328C" w:rsidRDefault="003C02D5" w:rsidP="003C02D5">
      <w:pPr>
        <w:spacing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B69A89B" w14:textId="77777777" w:rsidTr="008871F4">
        <w:trPr>
          <w:trHeight w:val="317"/>
        </w:trPr>
        <w:tc>
          <w:tcPr>
            <w:tcW w:w="9666" w:type="dxa"/>
            <w:vAlign w:val="center"/>
          </w:tcPr>
          <w:p w14:paraId="1A82EA77"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WYKAZ SUBSTANCJI POMOCNICZYCH</w:t>
            </w:r>
          </w:p>
        </w:tc>
      </w:tr>
    </w:tbl>
    <w:p w14:paraId="0F75FFD4" w14:textId="77777777" w:rsidR="003C02D5" w:rsidRPr="008F328C" w:rsidRDefault="003C02D5" w:rsidP="003C02D5">
      <w:pPr>
        <w:pStyle w:val="a3"/>
        <w:rPr>
          <w:lang w:val="pl-PL"/>
        </w:rPr>
      </w:pPr>
    </w:p>
    <w:p w14:paraId="3CE4205D" w14:textId="77777777" w:rsidR="003C02D5" w:rsidRPr="008F328C" w:rsidRDefault="003C02D5" w:rsidP="003C02D5">
      <w:pPr>
        <w:pStyle w:val="a3"/>
        <w:rPr>
          <w:lang w:val="pl-PL"/>
        </w:rPr>
      </w:pPr>
      <w:r w:rsidRPr="008F328C">
        <w:rPr>
          <w:rFonts w:eastAsia="Times New Roman"/>
          <w:lang w:val="pl-PL"/>
        </w:rPr>
        <w:t xml:space="preserve">Substancje pomocnicze: kwas octowy, sodu octan trójwodny, glicyna, polisorbat 80, woda do wstrzykiwań. </w:t>
      </w:r>
    </w:p>
    <w:p w14:paraId="16BA5A0B" w14:textId="77777777" w:rsidR="003C02D5" w:rsidRPr="008F328C" w:rsidRDefault="003C02D5" w:rsidP="003C02D5">
      <w:pPr>
        <w:pStyle w:val="a3"/>
        <w:rPr>
          <w:lang w:val="pl-PL"/>
        </w:rPr>
      </w:pPr>
      <w:r w:rsidRPr="008F328C">
        <w:rPr>
          <w:rFonts w:eastAsia="Times New Roman"/>
          <w:highlight w:val="lightGray"/>
          <w:lang w:val="pl-PL"/>
        </w:rPr>
        <w:t>W celu uzyskania dalszych informacji patrz ulotka załączona do opakowania.</w:t>
      </w:r>
    </w:p>
    <w:p w14:paraId="2356923E" w14:textId="081B9391" w:rsidR="003C02D5" w:rsidRPr="008F328C" w:rsidRDefault="003C02D5" w:rsidP="00D22235">
      <w:pPr>
        <w:pStyle w:val="a3"/>
        <w:tabs>
          <w:tab w:val="left" w:pos="1386"/>
        </w:tabs>
        <w:rPr>
          <w:lang w:val="pl-PL"/>
        </w:rPr>
      </w:pPr>
      <w:r w:rsidRPr="008F328C">
        <w:rPr>
          <w:lang w:val="pl-PL"/>
        </w:rPr>
        <w:tab/>
      </w: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D54497" w14:paraId="5054ED92" w14:textId="77777777" w:rsidTr="008871F4">
        <w:trPr>
          <w:trHeight w:val="317"/>
        </w:trPr>
        <w:tc>
          <w:tcPr>
            <w:tcW w:w="9666" w:type="dxa"/>
            <w:vAlign w:val="center"/>
          </w:tcPr>
          <w:p w14:paraId="4B35218D"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POSTAĆ FARMACEUTYCZNA I ZAWARTOŚĆ OPAKOWANIA</w:t>
            </w:r>
          </w:p>
        </w:tc>
      </w:tr>
    </w:tbl>
    <w:p w14:paraId="652AE197" w14:textId="77777777" w:rsidR="003C02D5" w:rsidRPr="008F328C" w:rsidRDefault="003C02D5" w:rsidP="003C02D5">
      <w:pPr>
        <w:pStyle w:val="a3"/>
        <w:rPr>
          <w:lang w:val="pl-PL"/>
        </w:rPr>
      </w:pPr>
    </w:p>
    <w:p w14:paraId="391D38BF" w14:textId="77777777" w:rsidR="003C02D5" w:rsidRPr="008F328C" w:rsidRDefault="003C02D5" w:rsidP="003C02D5">
      <w:pPr>
        <w:pStyle w:val="a3"/>
        <w:rPr>
          <w:lang w:val="pl-PL"/>
        </w:rPr>
      </w:pPr>
      <w:r w:rsidRPr="008F328C">
        <w:rPr>
          <w:rFonts w:eastAsia="Times New Roman"/>
          <w:highlight w:val="lightGray"/>
          <w:lang w:val="pl-PL"/>
        </w:rPr>
        <w:t>Roztwór do wstrzykiwań</w:t>
      </w:r>
    </w:p>
    <w:p w14:paraId="3116B787" w14:textId="77777777" w:rsidR="003C02D5" w:rsidRPr="008F328C" w:rsidRDefault="003C02D5" w:rsidP="003C02D5">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1 ampułko-strzykawka</w:t>
      </w:r>
    </w:p>
    <w:p w14:paraId="4F8B7C1A" w14:textId="77777777" w:rsidR="003C02D5" w:rsidRPr="008F328C" w:rsidRDefault="003C02D5" w:rsidP="003C02D5">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2 gaziki nasączone alkoholem</w:t>
      </w:r>
    </w:p>
    <w:p w14:paraId="12F2B9A7" w14:textId="1D7DAFAA" w:rsidR="003C02D5" w:rsidRPr="008F328C" w:rsidRDefault="003C02D5" w:rsidP="003C02D5">
      <w:pPr>
        <w:autoSpaceDE w:val="0"/>
        <w:autoSpaceDN w:val="0"/>
        <w:adjustRightInd w:val="0"/>
        <w:rPr>
          <w:rFonts w:ascii="Times New Roman" w:hAnsi="Times New Roman" w:cs="Times New Roman"/>
          <w:highlight w:val="lightGray"/>
          <w:lang w:val="pl-PL"/>
        </w:rPr>
      </w:pPr>
    </w:p>
    <w:p w14:paraId="04C8EF13" w14:textId="77777777" w:rsidR="003C02D5" w:rsidRPr="008F328C" w:rsidRDefault="003C02D5" w:rsidP="003C02D5">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1 ampułkostrzykawka z osłoną igły</w:t>
      </w:r>
    </w:p>
    <w:p w14:paraId="2B88503F" w14:textId="77777777" w:rsidR="003C02D5" w:rsidRPr="008F328C" w:rsidRDefault="003C02D5" w:rsidP="003C02D5">
      <w:pPr>
        <w:autoSpaceDE w:val="0"/>
        <w:autoSpaceDN w:val="0"/>
        <w:adjustRightInd w:val="0"/>
        <w:rPr>
          <w:rFonts w:ascii="Times New Roman" w:hAnsi="Times New Roman" w:cs="Times New Roman"/>
          <w:highlight w:val="lightGray"/>
          <w:lang w:val="pl-PL"/>
        </w:rPr>
      </w:pPr>
      <w:r w:rsidRPr="008F328C">
        <w:rPr>
          <w:rFonts w:ascii="Times New Roman" w:eastAsia="Times New Roman" w:hAnsi="Times New Roman" w:cs="Times New Roman"/>
          <w:highlight w:val="lightGray"/>
          <w:lang w:val="pl-PL"/>
        </w:rPr>
        <w:t>2 gaziki nasączone alkoholem</w:t>
      </w:r>
    </w:p>
    <w:p w14:paraId="0BD3E7EB" w14:textId="77777777" w:rsidR="003C02D5" w:rsidRPr="008F328C" w:rsidRDefault="003C02D5" w:rsidP="003C02D5">
      <w:pPr>
        <w:spacing w:line="20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D7D3916" w14:textId="77777777" w:rsidTr="008871F4">
        <w:trPr>
          <w:trHeight w:val="317"/>
        </w:trPr>
        <w:tc>
          <w:tcPr>
            <w:tcW w:w="9666" w:type="dxa"/>
            <w:vAlign w:val="center"/>
          </w:tcPr>
          <w:p w14:paraId="5B74DE33"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I DROGA PODANIA</w:t>
            </w:r>
          </w:p>
        </w:tc>
      </w:tr>
    </w:tbl>
    <w:p w14:paraId="3803C806" w14:textId="77777777" w:rsidR="003C02D5" w:rsidRPr="008F328C" w:rsidRDefault="003C02D5" w:rsidP="003C02D5">
      <w:pPr>
        <w:spacing w:line="200" w:lineRule="exact"/>
        <w:rPr>
          <w:rFonts w:ascii="Times New Roman" w:hAnsi="Times New Roman" w:cs="Times New Roman"/>
          <w:lang w:val="pl-PL"/>
        </w:rPr>
      </w:pPr>
    </w:p>
    <w:p w14:paraId="041D6F84" w14:textId="77777777" w:rsidR="003C02D5" w:rsidRPr="008F328C" w:rsidRDefault="003C02D5" w:rsidP="003C02D5">
      <w:pPr>
        <w:pStyle w:val="a3"/>
        <w:rPr>
          <w:lang w:val="pl-PL"/>
        </w:rPr>
      </w:pPr>
      <w:r w:rsidRPr="008F328C">
        <w:rPr>
          <w:rFonts w:eastAsia="Times New Roman"/>
          <w:lang w:val="pl-PL"/>
        </w:rPr>
        <w:t>Podanie podskórne</w:t>
      </w:r>
    </w:p>
    <w:p w14:paraId="784BCC8D" w14:textId="77777777" w:rsidR="003C02D5" w:rsidRPr="008F328C" w:rsidRDefault="003C02D5" w:rsidP="003C02D5">
      <w:pPr>
        <w:pStyle w:val="a3"/>
        <w:rPr>
          <w:lang w:val="pl-PL"/>
        </w:rPr>
      </w:pPr>
    </w:p>
    <w:p w14:paraId="0EF346DF" w14:textId="77777777" w:rsidR="003C02D5" w:rsidRPr="008F328C" w:rsidRDefault="003C02D5" w:rsidP="003C02D5">
      <w:pPr>
        <w:pStyle w:val="a3"/>
        <w:rPr>
          <w:lang w:val="pl-PL"/>
        </w:rPr>
      </w:pPr>
      <w:r w:rsidRPr="008F328C">
        <w:rPr>
          <w:rFonts w:eastAsia="Times New Roman"/>
          <w:lang w:val="pl-PL"/>
        </w:rPr>
        <w:t>Należy zapoznać się z treścią ulotki przed zastosowaniem leku.</w:t>
      </w:r>
    </w:p>
    <w:p w14:paraId="25F2800D" w14:textId="77777777" w:rsidR="003C02D5" w:rsidRPr="008F328C" w:rsidRDefault="003C02D5" w:rsidP="003C02D5">
      <w:pPr>
        <w:pStyle w:val="a3"/>
        <w:rPr>
          <w:lang w:val="pl-PL"/>
        </w:rPr>
      </w:pPr>
    </w:p>
    <w:p w14:paraId="63273E8C" w14:textId="77777777" w:rsidR="003C02D5" w:rsidRPr="008F328C" w:rsidRDefault="003C02D5" w:rsidP="003C02D5">
      <w:pPr>
        <w:pStyle w:val="a3"/>
        <w:rPr>
          <w:lang w:val="pl-PL"/>
        </w:rPr>
      </w:pPr>
      <w:r w:rsidRPr="008F328C">
        <w:rPr>
          <w:rFonts w:eastAsia="Times New Roman"/>
          <w:lang w:val="pl-PL"/>
        </w:rPr>
        <w:t>Produkt wyłącznie do jednorazowego użytku.</w:t>
      </w:r>
    </w:p>
    <w:p w14:paraId="1536A063"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65C02DFF" w14:textId="77777777" w:rsidTr="008871F4">
        <w:trPr>
          <w:trHeight w:val="317"/>
        </w:trPr>
        <w:tc>
          <w:tcPr>
            <w:tcW w:w="9666" w:type="dxa"/>
            <w:vAlign w:val="center"/>
          </w:tcPr>
          <w:p w14:paraId="6BB3A4A5"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OSTRZEŻENIE DOTYCZĄCE PRZECHOWYWANIA PRODUKTU LECZNICZEGO W MIEJSCU NIEWIDOCZNYM I NIEDOSTĘPNYM DLA DZIECI</w:t>
            </w:r>
          </w:p>
        </w:tc>
      </w:tr>
    </w:tbl>
    <w:p w14:paraId="18B18ABF" w14:textId="77777777" w:rsidR="003C02D5" w:rsidRPr="008F328C" w:rsidRDefault="003C02D5" w:rsidP="003C02D5">
      <w:pPr>
        <w:spacing w:before="1" w:line="200" w:lineRule="exact"/>
        <w:rPr>
          <w:rFonts w:ascii="Times New Roman" w:hAnsi="Times New Roman" w:cs="Times New Roman"/>
          <w:lang w:val="pl-PL"/>
        </w:rPr>
      </w:pPr>
    </w:p>
    <w:p w14:paraId="6E248592" w14:textId="77777777" w:rsidR="003C02D5" w:rsidRPr="008F328C" w:rsidRDefault="003C02D5" w:rsidP="003C02D5">
      <w:pPr>
        <w:pStyle w:val="a3"/>
        <w:rPr>
          <w:lang w:val="pl-PL"/>
        </w:rPr>
      </w:pPr>
      <w:r w:rsidRPr="008F328C">
        <w:rPr>
          <w:rFonts w:eastAsia="Times New Roman"/>
          <w:lang w:val="pl-PL"/>
        </w:rPr>
        <w:t>Lek przechowywać w miejscu niewidocznym i niedostępnym dla dzieci.</w:t>
      </w:r>
    </w:p>
    <w:p w14:paraId="4BF4B516"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2D9EA74D" w14:textId="77777777" w:rsidTr="008871F4">
        <w:trPr>
          <w:trHeight w:val="317"/>
        </w:trPr>
        <w:tc>
          <w:tcPr>
            <w:tcW w:w="9666" w:type="dxa"/>
            <w:vAlign w:val="center"/>
          </w:tcPr>
          <w:p w14:paraId="05D3E902"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INNE OSTRZEŻENIA SPECJALNE, JEŚLI KONIECZNE</w:t>
            </w:r>
          </w:p>
        </w:tc>
      </w:tr>
    </w:tbl>
    <w:p w14:paraId="3A8509F1" w14:textId="77777777" w:rsidR="003C02D5" w:rsidRPr="008F328C" w:rsidRDefault="003C02D5" w:rsidP="003C02D5">
      <w:pPr>
        <w:rPr>
          <w:rFonts w:ascii="Times New Roman" w:hAnsi="Times New Roman" w:cs="Times New Roman"/>
          <w:lang w:val="pl-PL"/>
        </w:rPr>
      </w:pPr>
    </w:p>
    <w:p w14:paraId="1CDB3BA5"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0D68A87C" w14:textId="77777777" w:rsidTr="008871F4">
        <w:trPr>
          <w:trHeight w:val="317"/>
        </w:trPr>
        <w:tc>
          <w:tcPr>
            <w:tcW w:w="9666" w:type="dxa"/>
            <w:vAlign w:val="center"/>
          </w:tcPr>
          <w:p w14:paraId="218BDB4C"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03146788" w14:textId="77777777" w:rsidR="003C02D5" w:rsidRPr="008F328C" w:rsidRDefault="003C02D5" w:rsidP="003C02D5">
      <w:pPr>
        <w:rPr>
          <w:rFonts w:ascii="Times New Roman" w:hAnsi="Times New Roman" w:cs="Times New Roman"/>
          <w:lang w:val="pl-PL"/>
        </w:rPr>
      </w:pPr>
    </w:p>
    <w:p w14:paraId="40D46EA6" w14:textId="77777777" w:rsidR="003C02D5" w:rsidRPr="008F328C" w:rsidRDefault="003C02D5" w:rsidP="003C02D5">
      <w:pPr>
        <w:pStyle w:val="a3"/>
        <w:rPr>
          <w:rFonts w:eastAsia="Times New Roman"/>
          <w:lang w:val="pl-PL"/>
        </w:rPr>
      </w:pPr>
      <w:r w:rsidRPr="008F328C">
        <w:rPr>
          <w:rFonts w:eastAsia="Times New Roman"/>
          <w:lang w:val="pl-PL"/>
        </w:rPr>
        <w:t>Termin ważności (EXP)</w:t>
      </w:r>
    </w:p>
    <w:p w14:paraId="5F71C378"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747421C4" w14:textId="77777777" w:rsidTr="008871F4">
        <w:trPr>
          <w:trHeight w:val="317"/>
        </w:trPr>
        <w:tc>
          <w:tcPr>
            <w:tcW w:w="9666" w:type="dxa"/>
            <w:vAlign w:val="center"/>
          </w:tcPr>
          <w:p w14:paraId="2A64B4AD"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WARUNKI PRZECHOWYWANIA</w:t>
            </w:r>
          </w:p>
        </w:tc>
      </w:tr>
    </w:tbl>
    <w:p w14:paraId="26406300" w14:textId="77777777" w:rsidR="003C02D5" w:rsidRPr="008F328C" w:rsidRDefault="003C02D5" w:rsidP="003C02D5">
      <w:pPr>
        <w:rPr>
          <w:rFonts w:ascii="Times New Roman" w:hAnsi="Times New Roman" w:cs="Times New Roman"/>
          <w:lang w:val="pl-PL"/>
        </w:rPr>
      </w:pPr>
    </w:p>
    <w:p w14:paraId="0F22C827" w14:textId="77777777" w:rsidR="003C02D5" w:rsidRPr="008F328C" w:rsidRDefault="003C02D5" w:rsidP="003C02D5">
      <w:pPr>
        <w:pStyle w:val="a3"/>
        <w:rPr>
          <w:lang w:val="pl-PL"/>
        </w:rPr>
      </w:pPr>
      <w:r w:rsidRPr="008F328C">
        <w:rPr>
          <w:rFonts w:eastAsia="Times New Roman"/>
          <w:lang w:val="pl-PL"/>
        </w:rPr>
        <w:t>Przechowywać w lodówce. Nie zamrażać.</w:t>
      </w:r>
    </w:p>
    <w:p w14:paraId="446528C7" w14:textId="77777777" w:rsidR="003C02D5" w:rsidRPr="008F328C" w:rsidRDefault="003C02D5" w:rsidP="003C02D5">
      <w:pPr>
        <w:pStyle w:val="a3"/>
        <w:rPr>
          <w:lang w:val="pl-PL"/>
        </w:rPr>
      </w:pPr>
      <w:r w:rsidRPr="008F328C">
        <w:rPr>
          <w:rFonts w:eastAsia="Times New Roman"/>
          <w:lang w:val="pl-PL"/>
        </w:rPr>
        <w:t>Przechowywać ampułko-strzykawkę w opakowaniu zewnętrznym w celu ochrony przed światłem.</w:t>
      </w:r>
    </w:p>
    <w:p w14:paraId="0BA3F048" w14:textId="77777777" w:rsidR="003C02D5" w:rsidRPr="008F328C" w:rsidRDefault="003C02D5" w:rsidP="003C02D5">
      <w:pPr>
        <w:pStyle w:val="a3"/>
        <w:rPr>
          <w:lang w:val="pl-PL"/>
        </w:rPr>
      </w:pPr>
      <w:r w:rsidRPr="008F328C">
        <w:rPr>
          <w:rFonts w:eastAsia="Times New Roman"/>
          <w:lang w:val="pl-PL"/>
        </w:rPr>
        <w:t>Dodatkowe informacje dotyczące przechowywania znajdują się w ulotce dołączonej do opakowania.</w:t>
      </w:r>
    </w:p>
    <w:p w14:paraId="2CC0DEE7"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2DA34CF7" w14:textId="77777777" w:rsidTr="008871F4">
        <w:trPr>
          <w:trHeight w:val="317"/>
        </w:trPr>
        <w:tc>
          <w:tcPr>
            <w:tcW w:w="9666" w:type="dxa"/>
            <w:vAlign w:val="center"/>
          </w:tcPr>
          <w:p w14:paraId="7E340B52"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SPECJALNE ŚRODKI OSTROŻNOŚCI DOTYCZĄCE USUWANIA NIEZUŻYTEGO PRODUKTU LECZNICZEGO LUB POCHODZĄCYCH Z NIEGO ODPADÓW, JEŚLI WŁAŚCIWE</w:t>
            </w:r>
          </w:p>
        </w:tc>
      </w:tr>
    </w:tbl>
    <w:p w14:paraId="78024E81"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63136E70" w14:textId="77777777" w:rsidTr="008871F4">
        <w:trPr>
          <w:trHeight w:val="317"/>
        </w:trPr>
        <w:tc>
          <w:tcPr>
            <w:tcW w:w="9666" w:type="dxa"/>
            <w:vAlign w:val="center"/>
          </w:tcPr>
          <w:p w14:paraId="0B8AB376"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I ADRES PODMIOTU ODPOWIEDZIALNEGO</w:t>
            </w:r>
          </w:p>
        </w:tc>
      </w:tr>
    </w:tbl>
    <w:p w14:paraId="7B809DD8" w14:textId="77777777" w:rsidR="003C02D5" w:rsidRPr="008F328C" w:rsidRDefault="003C02D5" w:rsidP="003C02D5">
      <w:pPr>
        <w:spacing w:before="5" w:line="200" w:lineRule="exact"/>
        <w:rPr>
          <w:rFonts w:ascii="Times New Roman" w:hAnsi="Times New Roman" w:cs="Times New Roman"/>
          <w:lang w:val="pl-PL"/>
        </w:rPr>
      </w:pPr>
    </w:p>
    <w:p w14:paraId="10345B89" w14:textId="77777777" w:rsidR="003C02D5" w:rsidRPr="008F328C" w:rsidRDefault="003C02D5" w:rsidP="003C02D5">
      <w:pPr>
        <w:pStyle w:val="a3"/>
        <w:rPr>
          <w:lang w:val="en-GB"/>
        </w:rPr>
      </w:pPr>
      <w:r w:rsidRPr="008F328C">
        <w:rPr>
          <w:lang w:val="en-GB"/>
        </w:rPr>
        <w:t xml:space="preserve">Celltrion Healthcare Hungary Kft. </w:t>
      </w:r>
    </w:p>
    <w:p w14:paraId="43A8582F" w14:textId="77777777" w:rsidR="003C02D5" w:rsidRPr="008F328C" w:rsidRDefault="003C02D5" w:rsidP="003C02D5">
      <w:pPr>
        <w:pStyle w:val="a3"/>
        <w:rPr>
          <w:lang w:val="en-GB"/>
        </w:rPr>
      </w:pPr>
      <w:r w:rsidRPr="008F328C">
        <w:rPr>
          <w:lang w:val="en-GB"/>
        </w:rPr>
        <w:t>1062 Budapest</w:t>
      </w:r>
    </w:p>
    <w:p w14:paraId="2C4BCC81" w14:textId="77777777" w:rsidR="003C02D5" w:rsidRPr="008F328C" w:rsidRDefault="003C02D5" w:rsidP="003C02D5">
      <w:pPr>
        <w:pStyle w:val="a3"/>
      </w:pPr>
      <w:r w:rsidRPr="008F328C">
        <w:rPr>
          <w:lang w:val="en-GB"/>
        </w:rPr>
        <w:t xml:space="preserve">Váci út 1-3. </w:t>
      </w:r>
      <w:r w:rsidRPr="008F328C">
        <w:t>WestEnd Office Building B torony</w:t>
      </w:r>
    </w:p>
    <w:p w14:paraId="72F14B00" w14:textId="77777777" w:rsidR="003C02D5" w:rsidRPr="008F328C" w:rsidRDefault="003C02D5" w:rsidP="003C02D5">
      <w:pPr>
        <w:pStyle w:val="a3"/>
      </w:pPr>
      <w:r w:rsidRPr="008F328C">
        <w:rPr>
          <w:rFonts w:eastAsia="Times New Roman"/>
        </w:rPr>
        <w:t>Węgry</w:t>
      </w:r>
    </w:p>
    <w:p w14:paraId="32D4BFEA" w14:textId="77777777" w:rsidR="003C02D5" w:rsidRPr="008F328C" w:rsidRDefault="003C02D5" w:rsidP="003C02D5">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D54497" w14:paraId="13F0E8E9" w14:textId="77777777" w:rsidTr="008871F4">
        <w:trPr>
          <w:trHeight w:val="317"/>
        </w:trPr>
        <w:tc>
          <w:tcPr>
            <w:tcW w:w="9666" w:type="dxa"/>
            <w:vAlign w:val="center"/>
          </w:tcPr>
          <w:p w14:paraId="26D351AC"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POZWOLENIA NA DOPUSZCZENIE DO OBROTU</w:t>
            </w:r>
          </w:p>
        </w:tc>
      </w:tr>
    </w:tbl>
    <w:p w14:paraId="1C23F9AE" w14:textId="77777777" w:rsidR="003C02D5" w:rsidRPr="008F328C" w:rsidRDefault="003C02D5" w:rsidP="003C02D5">
      <w:pPr>
        <w:rPr>
          <w:rFonts w:ascii="Times New Roman" w:hAnsi="Times New Roman" w:cs="Times New Roman"/>
          <w:lang w:val="pl-PL"/>
        </w:rPr>
      </w:pPr>
    </w:p>
    <w:p w14:paraId="2B2E432E" w14:textId="61DE9577" w:rsidR="003C02D5" w:rsidRPr="008F328C" w:rsidRDefault="003C02D5" w:rsidP="003C02D5">
      <w:pPr>
        <w:pStyle w:val="a3"/>
        <w:rPr>
          <w:highlight w:val="lightGray"/>
          <w:lang w:val="pl-PL"/>
        </w:rPr>
      </w:pPr>
      <w:r w:rsidRPr="008F328C">
        <w:rPr>
          <w:rFonts w:eastAsia="Times New Roman"/>
          <w:lang w:val="pl-PL"/>
        </w:rPr>
        <w:t>EU/</w:t>
      </w:r>
      <w:r w:rsidRPr="008F328C">
        <w:rPr>
          <w:rFonts w:eastAsia="Times New Roman"/>
          <w:color w:val="000000"/>
          <w:lang w:val="pl-PL"/>
        </w:rPr>
        <w:t>1/20/1513/0</w:t>
      </w:r>
      <w:r w:rsidR="00D44E6D" w:rsidRPr="008F328C">
        <w:rPr>
          <w:rFonts w:eastAsia="Times New Roman"/>
          <w:color w:val="000000"/>
          <w:lang w:val="pl-PL"/>
        </w:rPr>
        <w:t>13</w:t>
      </w:r>
      <w:r w:rsidRPr="008F328C">
        <w:rPr>
          <w:rFonts w:eastAsia="Times New Roman"/>
          <w:lang w:val="pl-PL"/>
        </w:rPr>
        <w:t xml:space="preserve"> </w:t>
      </w:r>
      <w:r w:rsidRPr="008F328C">
        <w:rPr>
          <w:rFonts w:eastAsia="Times New Roman"/>
          <w:highlight w:val="lightGray"/>
          <w:lang w:val="pl-PL"/>
        </w:rPr>
        <w:t>1 ampułko-strzykawka</w:t>
      </w:r>
    </w:p>
    <w:p w14:paraId="5FEAFA49" w14:textId="79D0B0E2" w:rsidR="003C02D5" w:rsidRPr="008F328C" w:rsidRDefault="003C02D5" w:rsidP="003C02D5">
      <w:pPr>
        <w:pStyle w:val="a3"/>
        <w:rPr>
          <w:highlight w:val="lightGray"/>
          <w:lang w:val="pl-PL"/>
        </w:rPr>
      </w:pPr>
      <w:r w:rsidRPr="008F328C">
        <w:rPr>
          <w:rFonts w:eastAsia="Times New Roman"/>
          <w:highlight w:val="lightGray"/>
          <w:lang w:val="pl-PL"/>
        </w:rPr>
        <w:t>EU/</w:t>
      </w:r>
      <w:r w:rsidRPr="008F328C">
        <w:rPr>
          <w:rFonts w:eastAsia="Times New Roman"/>
          <w:color w:val="000000"/>
          <w:highlight w:val="lightGray"/>
          <w:lang w:val="pl-PL"/>
        </w:rPr>
        <w:t>1/20/1513/0</w:t>
      </w:r>
      <w:r w:rsidR="00D44E6D" w:rsidRPr="008F328C">
        <w:rPr>
          <w:rFonts w:eastAsia="Times New Roman"/>
          <w:color w:val="000000"/>
          <w:highlight w:val="lightGray"/>
          <w:lang w:val="pl-PL"/>
        </w:rPr>
        <w:t>14</w:t>
      </w:r>
      <w:r w:rsidRPr="008F328C">
        <w:rPr>
          <w:rFonts w:eastAsia="Times New Roman"/>
          <w:highlight w:val="lightGray"/>
          <w:lang w:val="pl-PL"/>
        </w:rPr>
        <w:t xml:space="preserve"> 1 ampułko-strzykawka z osłoną igły</w:t>
      </w:r>
    </w:p>
    <w:p w14:paraId="3D8DD928"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323BBFD0" w14:textId="77777777" w:rsidTr="008871F4">
        <w:trPr>
          <w:trHeight w:val="317"/>
        </w:trPr>
        <w:tc>
          <w:tcPr>
            <w:tcW w:w="9666" w:type="dxa"/>
            <w:vAlign w:val="center"/>
          </w:tcPr>
          <w:p w14:paraId="05D0B1A5"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393A633B" w14:textId="77777777" w:rsidR="003C02D5" w:rsidRPr="008F328C" w:rsidRDefault="003C02D5" w:rsidP="003C02D5">
      <w:pPr>
        <w:rPr>
          <w:rFonts w:ascii="Times New Roman" w:hAnsi="Times New Roman" w:cs="Times New Roman"/>
          <w:lang w:val="pl-PL"/>
        </w:rPr>
      </w:pPr>
    </w:p>
    <w:p w14:paraId="0FFDB204" w14:textId="77777777" w:rsidR="003C02D5" w:rsidRPr="008F328C" w:rsidRDefault="003C02D5" w:rsidP="003C02D5">
      <w:pPr>
        <w:pStyle w:val="a3"/>
        <w:rPr>
          <w:rFonts w:eastAsia="Times New Roman"/>
          <w:lang w:val="pl-PL"/>
        </w:rPr>
      </w:pPr>
      <w:r w:rsidRPr="008F328C">
        <w:rPr>
          <w:rFonts w:eastAsia="Times New Roman"/>
          <w:lang w:val="pl-PL"/>
        </w:rPr>
        <w:t>Nr serii (Lot)</w:t>
      </w:r>
    </w:p>
    <w:p w14:paraId="13351FA0"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568C37D1" w14:textId="77777777" w:rsidTr="008871F4">
        <w:trPr>
          <w:trHeight w:val="317"/>
        </w:trPr>
        <w:tc>
          <w:tcPr>
            <w:tcW w:w="9666" w:type="dxa"/>
            <w:vAlign w:val="center"/>
          </w:tcPr>
          <w:p w14:paraId="780AEF53"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OGÓLNA KATEGORIA DOSTĘPNOŚCI</w:t>
            </w:r>
          </w:p>
        </w:tc>
      </w:tr>
    </w:tbl>
    <w:p w14:paraId="55E8CF0B" w14:textId="00E14186" w:rsidR="003C02D5" w:rsidRPr="008F328C" w:rsidRDefault="003C02D5" w:rsidP="003C02D5">
      <w:pPr>
        <w:jc w:val="both"/>
        <w:rPr>
          <w:rFonts w:ascii="Times New Roman" w:hAnsi="Times New Roman" w:cs="Times New Roman"/>
          <w:lang w:val="pl-PL"/>
        </w:rPr>
      </w:pPr>
    </w:p>
    <w:p w14:paraId="5C9B6E12" w14:textId="77777777" w:rsidR="00CC4159" w:rsidRPr="008F328C" w:rsidRDefault="00CC4159"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5AA3BC07" w14:textId="77777777" w:rsidTr="008871F4">
        <w:trPr>
          <w:trHeight w:val="317"/>
        </w:trPr>
        <w:tc>
          <w:tcPr>
            <w:tcW w:w="9666" w:type="dxa"/>
            <w:vAlign w:val="center"/>
          </w:tcPr>
          <w:p w14:paraId="5F5BAA5E"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INSTRUKCJA UŻYCIA</w:t>
            </w:r>
          </w:p>
        </w:tc>
      </w:tr>
    </w:tbl>
    <w:p w14:paraId="47E658B6" w14:textId="1DF949C6" w:rsidR="003C02D5" w:rsidRPr="008F328C" w:rsidRDefault="003C02D5" w:rsidP="003C02D5">
      <w:pPr>
        <w:jc w:val="both"/>
        <w:rPr>
          <w:rFonts w:ascii="Times New Roman" w:hAnsi="Times New Roman" w:cs="Times New Roman"/>
          <w:lang w:val="pl-PL"/>
        </w:rPr>
      </w:pPr>
    </w:p>
    <w:p w14:paraId="7F8FF676" w14:textId="77777777" w:rsidR="00CC4159" w:rsidRPr="008F328C" w:rsidRDefault="00CC4159"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1A1A8DB1" w14:textId="77777777" w:rsidTr="008871F4">
        <w:trPr>
          <w:trHeight w:val="317"/>
        </w:trPr>
        <w:tc>
          <w:tcPr>
            <w:tcW w:w="9666" w:type="dxa"/>
            <w:vAlign w:val="center"/>
          </w:tcPr>
          <w:p w14:paraId="6AE624B1"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INFORMACJA PODANA SYSTEMEM BRAILLE’A</w:t>
            </w:r>
          </w:p>
        </w:tc>
      </w:tr>
    </w:tbl>
    <w:p w14:paraId="07BA8EA7" w14:textId="77777777" w:rsidR="003C02D5" w:rsidRPr="008F328C" w:rsidRDefault="003C02D5" w:rsidP="003C02D5">
      <w:pPr>
        <w:jc w:val="both"/>
        <w:rPr>
          <w:rFonts w:ascii="Times New Roman" w:hAnsi="Times New Roman" w:cs="Times New Roman"/>
          <w:lang w:val="pl-PL"/>
        </w:rPr>
      </w:pPr>
    </w:p>
    <w:p w14:paraId="1AFF5DDC" w14:textId="551200E7" w:rsidR="003C02D5" w:rsidRPr="008F328C" w:rsidRDefault="003C02D5" w:rsidP="003C02D5">
      <w:pPr>
        <w:pStyle w:val="a3"/>
        <w:rPr>
          <w:lang w:val="pl-PL"/>
        </w:rPr>
      </w:pPr>
      <w:r w:rsidRPr="008F328C">
        <w:rPr>
          <w:rFonts w:eastAsia="Times New Roman"/>
          <w:lang w:val="pl-PL"/>
        </w:rPr>
        <w:t xml:space="preserve">Yuflyma </w:t>
      </w:r>
      <w:r w:rsidR="00D44E6D" w:rsidRPr="008F328C">
        <w:rPr>
          <w:rFonts w:eastAsia="Times New Roman"/>
          <w:lang w:val="pl-PL"/>
        </w:rPr>
        <w:t>8</w:t>
      </w:r>
      <w:r w:rsidRPr="008F328C">
        <w:rPr>
          <w:rFonts w:eastAsia="Times New Roman"/>
          <w:lang w:val="pl-PL"/>
        </w:rPr>
        <w:t>0 mg</w:t>
      </w:r>
    </w:p>
    <w:p w14:paraId="5F667CEA" w14:textId="77777777" w:rsidR="003C02D5" w:rsidRPr="008F328C" w:rsidRDefault="003C02D5"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301D946F" w14:textId="77777777" w:rsidTr="008871F4">
        <w:trPr>
          <w:trHeight w:val="317"/>
        </w:trPr>
        <w:tc>
          <w:tcPr>
            <w:tcW w:w="9666" w:type="dxa"/>
            <w:vAlign w:val="center"/>
          </w:tcPr>
          <w:p w14:paraId="79D3096D"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KOD 2D</w:t>
            </w:r>
          </w:p>
        </w:tc>
      </w:tr>
    </w:tbl>
    <w:p w14:paraId="79D42749" w14:textId="77777777" w:rsidR="003C02D5" w:rsidRPr="008F328C" w:rsidRDefault="003C02D5" w:rsidP="003C02D5">
      <w:pPr>
        <w:jc w:val="both"/>
        <w:rPr>
          <w:rFonts w:ascii="Times New Roman" w:hAnsi="Times New Roman" w:cs="Times New Roman"/>
          <w:lang w:val="pl-PL"/>
        </w:rPr>
      </w:pPr>
    </w:p>
    <w:p w14:paraId="5AF407DD" w14:textId="77777777" w:rsidR="003C02D5" w:rsidRPr="008F328C" w:rsidRDefault="003C02D5" w:rsidP="003C02D5">
      <w:pPr>
        <w:pStyle w:val="a3"/>
        <w:rPr>
          <w:lang w:val="pl-PL"/>
        </w:rPr>
      </w:pPr>
      <w:r w:rsidRPr="008F328C">
        <w:rPr>
          <w:rFonts w:eastAsia="Times New Roman"/>
          <w:highlight w:val="lightGray"/>
          <w:lang w:val="pl-PL"/>
        </w:rPr>
        <w:t>Obejmuje kod 2D będący nośnikiem niepowtarzalnego identyfikatora.</w:t>
      </w:r>
    </w:p>
    <w:p w14:paraId="5EDE9C4C" w14:textId="77777777" w:rsidR="003C02D5" w:rsidRPr="008F328C" w:rsidRDefault="003C02D5" w:rsidP="003C02D5">
      <w:pPr>
        <w:jc w:val="both"/>
        <w:rPr>
          <w:rFonts w:ascii="Times New Roman" w:hAnsi="Times New Roman" w:cs="Times New Roman"/>
          <w:lang w:val="pl-PL"/>
        </w:rPr>
      </w:pPr>
    </w:p>
    <w:p w14:paraId="1D1F08D9" w14:textId="77777777" w:rsidR="003C02D5" w:rsidRPr="008F328C" w:rsidRDefault="003C02D5"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6E800F5A" w14:textId="77777777" w:rsidTr="008871F4">
        <w:trPr>
          <w:trHeight w:val="317"/>
        </w:trPr>
        <w:tc>
          <w:tcPr>
            <w:tcW w:w="9666" w:type="dxa"/>
            <w:vAlign w:val="center"/>
          </w:tcPr>
          <w:p w14:paraId="4AA31C43" w14:textId="77777777" w:rsidR="003C02D5" w:rsidRPr="008F328C" w:rsidRDefault="003C02D5" w:rsidP="008E70FE">
            <w:pPr>
              <w:numPr>
                <w:ilvl w:val="0"/>
                <w:numId w:val="119"/>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NIEPOWTARZALNY IDENTYFIKATOR – DANE CZYTELNE DLA CZŁOWIEKA</w:t>
            </w:r>
          </w:p>
        </w:tc>
      </w:tr>
    </w:tbl>
    <w:p w14:paraId="41D9E7CE" w14:textId="77777777" w:rsidR="003C02D5" w:rsidRPr="008F328C" w:rsidRDefault="003C02D5" w:rsidP="003C02D5">
      <w:pPr>
        <w:jc w:val="both"/>
        <w:rPr>
          <w:rFonts w:ascii="Times New Roman" w:hAnsi="Times New Roman" w:cs="Times New Roman"/>
          <w:lang w:val="pl-PL"/>
        </w:rPr>
      </w:pPr>
    </w:p>
    <w:p w14:paraId="5F9EAA44" w14:textId="77777777" w:rsidR="003C02D5" w:rsidRPr="008F328C" w:rsidRDefault="003C02D5" w:rsidP="003C02D5">
      <w:pPr>
        <w:pStyle w:val="a3"/>
        <w:rPr>
          <w:lang w:val="pl-PL"/>
        </w:rPr>
      </w:pPr>
      <w:r w:rsidRPr="008F328C">
        <w:rPr>
          <w:rFonts w:eastAsia="Times New Roman"/>
          <w:lang w:val="pl-PL"/>
        </w:rPr>
        <w:t>PC</w:t>
      </w:r>
    </w:p>
    <w:p w14:paraId="64F6EA23" w14:textId="77777777" w:rsidR="003C02D5" w:rsidRPr="008F328C" w:rsidRDefault="003C02D5" w:rsidP="003C02D5">
      <w:pPr>
        <w:pStyle w:val="a3"/>
        <w:rPr>
          <w:lang w:val="pl-PL"/>
        </w:rPr>
      </w:pPr>
      <w:r w:rsidRPr="008F328C">
        <w:rPr>
          <w:rFonts w:eastAsia="Times New Roman"/>
          <w:lang w:val="pl-PL"/>
        </w:rPr>
        <w:t>SN</w:t>
      </w:r>
    </w:p>
    <w:p w14:paraId="6F812F15" w14:textId="77777777" w:rsidR="003C02D5" w:rsidRPr="008F328C" w:rsidRDefault="003C02D5" w:rsidP="003C02D5">
      <w:pPr>
        <w:pStyle w:val="a3"/>
        <w:rPr>
          <w:lang w:val="pl-PL"/>
        </w:rPr>
      </w:pPr>
      <w:r w:rsidRPr="008F328C">
        <w:rPr>
          <w:rFonts w:eastAsia="Times New Roman"/>
          <w:spacing w:val="-2"/>
          <w:lang w:val="pl-PL"/>
        </w:rPr>
        <w:t>NN</w:t>
      </w:r>
    </w:p>
    <w:p w14:paraId="49F827D2" w14:textId="77777777" w:rsidR="003C02D5" w:rsidRPr="008F328C" w:rsidRDefault="003C02D5" w:rsidP="003C02D5">
      <w:pPr>
        <w:rPr>
          <w:rFonts w:ascii="Times New Roman" w:hAnsi="Times New Roman" w:cs="Times New Roman"/>
          <w:lang w:val="pl-PL"/>
        </w:rPr>
      </w:pPr>
      <w:r w:rsidRPr="008F328C">
        <w:rPr>
          <w:rFonts w:ascii="Times New Roman" w:hAnsi="Times New Roman" w:cs="Times New Roman"/>
          <w:lang w:val="pl-PL"/>
        </w:rPr>
        <w:br w:type="page"/>
      </w:r>
    </w:p>
    <w:tbl>
      <w:tblPr>
        <w:tblStyle w:val="ac"/>
        <w:tblW w:w="9666" w:type="dxa"/>
        <w:tblLook w:val="04A0" w:firstRow="1" w:lastRow="0" w:firstColumn="1" w:lastColumn="0" w:noHBand="0" w:noVBand="1"/>
      </w:tblPr>
      <w:tblGrid>
        <w:gridCol w:w="9666"/>
      </w:tblGrid>
      <w:tr w:rsidR="003C02D5" w:rsidRPr="00494296" w14:paraId="7F596EE7" w14:textId="77777777" w:rsidTr="008871F4">
        <w:trPr>
          <w:trHeight w:val="822"/>
        </w:trPr>
        <w:tc>
          <w:tcPr>
            <w:tcW w:w="9666" w:type="dxa"/>
            <w:vAlign w:val="center"/>
          </w:tcPr>
          <w:p w14:paraId="501C9268"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 xml:space="preserve">MINIMUM INFORMACJI ZAMIESZCZANYCH NA MAŁYCH OPAKOWANIACH BEZPOŚREDNICH </w:t>
            </w:r>
          </w:p>
          <w:p w14:paraId="732987EE"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p>
          <w:p w14:paraId="1B50A1BC"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ETYKIETA AMPUŁKO-STRZYKAWKI</w:t>
            </w:r>
          </w:p>
        </w:tc>
      </w:tr>
    </w:tbl>
    <w:p w14:paraId="20C6ABE1" w14:textId="77777777" w:rsidR="003C02D5" w:rsidRPr="008F328C" w:rsidRDefault="003C02D5" w:rsidP="003C02D5">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3C02D5" w:rsidRPr="00D54497" w14:paraId="5C684DA4" w14:textId="77777777" w:rsidTr="008871F4">
        <w:trPr>
          <w:trHeight w:val="317"/>
        </w:trPr>
        <w:tc>
          <w:tcPr>
            <w:tcW w:w="9666" w:type="dxa"/>
            <w:vAlign w:val="center"/>
          </w:tcPr>
          <w:p w14:paraId="00BC8C8A" w14:textId="77777777" w:rsidR="003C02D5" w:rsidRPr="008F328C" w:rsidRDefault="003C02D5" w:rsidP="008E70FE">
            <w:pPr>
              <w:numPr>
                <w:ilvl w:val="0"/>
                <w:numId w:val="120"/>
              </w:numPr>
              <w:tabs>
                <w:tab w:val="left" w:pos="672"/>
              </w:tabs>
              <w:ind w:left="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PRODUKTU LECZNICZEGO I DROGA PODANIA</w:t>
            </w:r>
          </w:p>
        </w:tc>
      </w:tr>
    </w:tbl>
    <w:p w14:paraId="28777FAC" w14:textId="77777777" w:rsidR="003C02D5" w:rsidRPr="008F328C" w:rsidRDefault="003C02D5" w:rsidP="003C02D5">
      <w:pPr>
        <w:spacing w:line="200" w:lineRule="exact"/>
        <w:rPr>
          <w:rFonts w:ascii="Times New Roman" w:hAnsi="Times New Roman" w:cs="Times New Roman"/>
          <w:lang w:val="pl-PL"/>
        </w:rPr>
      </w:pPr>
    </w:p>
    <w:p w14:paraId="0B69A86D" w14:textId="1F4A9B96" w:rsidR="003C02D5" w:rsidRPr="008F328C" w:rsidRDefault="003C02D5" w:rsidP="003C02D5">
      <w:pPr>
        <w:pStyle w:val="a3"/>
        <w:rPr>
          <w:lang w:val="pl-PL"/>
        </w:rPr>
      </w:pPr>
      <w:r w:rsidRPr="008F328C">
        <w:rPr>
          <w:rFonts w:eastAsia="Times New Roman"/>
          <w:lang w:val="pl-PL"/>
        </w:rPr>
        <w:t xml:space="preserve">Yuflyma </w:t>
      </w:r>
      <w:r w:rsidR="00D44E6D" w:rsidRPr="008F328C">
        <w:rPr>
          <w:rFonts w:eastAsia="Times New Roman"/>
          <w:lang w:val="pl-PL"/>
        </w:rPr>
        <w:t>8</w:t>
      </w:r>
      <w:r w:rsidRPr="008F328C">
        <w:rPr>
          <w:rFonts w:eastAsia="Times New Roman"/>
          <w:lang w:val="pl-PL"/>
        </w:rPr>
        <w:t>0 mg do wstrzykiwań</w:t>
      </w:r>
    </w:p>
    <w:p w14:paraId="6F6F2740" w14:textId="77777777" w:rsidR="003C02D5" w:rsidRPr="008F328C" w:rsidRDefault="003C02D5" w:rsidP="003C02D5">
      <w:pPr>
        <w:pStyle w:val="a3"/>
        <w:rPr>
          <w:lang w:val="pl-PL"/>
        </w:rPr>
      </w:pPr>
      <w:r w:rsidRPr="008F328C">
        <w:rPr>
          <w:rFonts w:eastAsia="Times New Roman"/>
          <w:lang w:val="pl-PL"/>
        </w:rPr>
        <w:t>adalimumab</w:t>
      </w:r>
    </w:p>
    <w:p w14:paraId="713B6B93" w14:textId="45918816" w:rsidR="003C02D5" w:rsidRPr="008F328C" w:rsidRDefault="003C02D5" w:rsidP="003C02D5">
      <w:pPr>
        <w:pStyle w:val="a3"/>
        <w:rPr>
          <w:lang w:val="pl-PL"/>
        </w:rPr>
      </w:pPr>
      <w:r w:rsidRPr="008F328C">
        <w:rPr>
          <w:rFonts w:eastAsia="Times New Roman"/>
          <w:lang w:val="pl-PL"/>
        </w:rPr>
        <w:t xml:space="preserve">sc. </w:t>
      </w:r>
    </w:p>
    <w:p w14:paraId="0F9AE4BC"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427E740C" w14:textId="77777777" w:rsidTr="008871F4">
        <w:trPr>
          <w:trHeight w:val="317"/>
        </w:trPr>
        <w:tc>
          <w:tcPr>
            <w:tcW w:w="9666" w:type="dxa"/>
            <w:vAlign w:val="center"/>
          </w:tcPr>
          <w:p w14:paraId="4445BD5D" w14:textId="77777777" w:rsidR="003C02D5" w:rsidRPr="008F328C" w:rsidRDefault="003C02D5" w:rsidP="008E70FE">
            <w:pPr>
              <w:numPr>
                <w:ilvl w:val="0"/>
                <w:numId w:val="120"/>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PODAWANIA</w:t>
            </w:r>
          </w:p>
        </w:tc>
      </w:tr>
    </w:tbl>
    <w:p w14:paraId="24BC6C94" w14:textId="41A47F0C" w:rsidR="003C02D5" w:rsidRPr="008F328C" w:rsidRDefault="003C02D5" w:rsidP="003C02D5">
      <w:pPr>
        <w:spacing w:before="13" w:line="280" w:lineRule="exact"/>
        <w:rPr>
          <w:rFonts w:ascii="Times New Roman" w:hAnsi="Times New Roman" w:cs="Times New Roman"/>
          <w:lang w:val="pl-PL"/>
        </w:rPr>
      </w:pPr>
    </w:p>
    <w:p w14:paraId="5EAACAEC" w14:textId="77777777" w:rsidR="00CC4159" w:rsidRPr="008F328C" w:rsidRDefault="00CC4159" w:rsidP="003C02D5">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30F08A5A" w14:textId="77777777" w:rsidTr="008871F4">
        <w:trPr>
          <w:trHeight w:val="317"/>
        </w:trPr>
        <w:tc>
          <w:tcPr>
            <w:tcW w:w="9666" w:type="dxa"/>
            <w:vAlign w:val="center"/>
          </w:tcPr>
          <w:p w14:paraId="6B9E3F55" w14:textId="77777777" w:rsidR="003C02D5" w:rsidRPr="008F328C" w:rsidRDefault="003C02D5" w:rsidP="008E70FE">
            <w:pPr>
              <w:numPr>
                <w:ilvl w:val="0"/>
                <w:numId w:val="120"/>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16F87CE2" w14:textId="77777777" w:rsidR="003C02D5" w:rsidRPr="008F328C" w:rsidRDefault="003C02D5" w:rsidP="003C02D5">
      <w:pPr>
        <w:pStyle w:val="a3"/>
        <w:rPr>
          <w:lang w:val="pl-PL"/>
        </w:rPr>
      </w:pPr>
    </w:p>
    <w:p w14:paraId="67135319" w14:textId="69F21051" w:rsidR="003C02D5" w:rsidRPr="008F328C" w:rsidRDefault="003C02D5" w:rsidP="003C02D5">
      <w:pPr>
        <w:pStyle w:val="a3"/>
        <w:rPr>
          <w:lang w:val="pl-PL"/>
        </w:rPr>
      </w:pPr>
      <w:r w:rsidRPr="008F328C">
        <w:rPr>
          <w:rFonts w:eastAsia="Times New Roman"/>
          <w:lang w:val="pl-PL"/>
        </w:rPr>
        <w:t>EXP</w:t>
      </w:r>
    </w:p>
    <w:p w14:paraId="6B67CA09"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3731507C" w14:textId="77777777" w:rsidTr="008871F4">
        <w:trPr>
          <w:trHeight w:val="317"/>
        </w:trPr>
        <w:tc>
          <w:tcPr>
            <w:tcW w:w="9666" w:type="dxa"/>
            <w:vAlign w:val="center"/>
          </w:tcPr>
          <w:p w14:paraId="07BEA0F3" w14:textId="77777777" w:rsidR="003C02D5" w:rsidRPr="008F328C" w:rsidRDefault="003C02D5" w:rsidP="008E70FE">
            <w:pPr>
              <w:numPr>
                <w:ilvl w:val="0"/>
                <w:numId w:val="120"/>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79E98673" w14:textId="77777777" w:rsidR="003C02D5" w:rsidRPr="008F328C" w:rsidRDefault="003C02D5" w:rsidP="003C02D5">
      <w:pPr>
        <w:pStyle w:val="a3"/>
        <w:rPr>
          <w:lang w:val="pl-PL"/>
        </w:rPr>
      </w:pPr>
    </w:p>
    <w:p w14:paraId="0CFB8B24" w14:textId="0254F4AA" w:rsidR="003C02D5" w:rsidRPr="008F328C" w:rsidRDefault="003C02D5" w:rsidP="003C02D5">
      <w:pPr>
        <w:pStyle w:val="a3"/>
        <w:rPr>
          <w:lang w:val="pl-PL"/>
        </w:rPr>
      </w:pPr>
      <w:r w:rsidRPr="008F328C">
        <w:rPr>
          <w:rFonts w:eastAsia="Times New Roman"/>
          <w:lang w:val="pl-PL"/>
        </w:rPr>
        <w:t>Lot</w:t>
      </w:r>
    </w:p>
    <w:p w14:paraId="29159263"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28A3D6E9" w14:textId="77777777" w:rsidTr="008871F4">
        <w:trPr>
          <w:trHeight w:val="317"/>
        </w:trPr>
        <w:tc>
          <w:tcPr>
            <w:tcW w:w="9666" w:type="dxa"/>
            <w:vAlign w:val="center"/>
          </w:tcPr>
          <w:p w14:paraId="3B9D9D2F" w14:textId="77777777" w:rsidR="003C02D5" w:rsidRPr="008F328C" w:rsidRDefault="003C02D5" w:rsidP="008E70FE">
            <w:pPr>
              <w:numPr>
                <w:ilvl w:val="0"/>
                <w:numId w:val="120"/>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OPAKOWANIA Z PODANIEM MASY, OBJĘTOŚCI LUB LICZBY JEDNOSTEK</w:t>
            </w:r>
          </w:p>
        </w:tc>
      </w:tr>
    </w:tbl>
    <w:p w14:paraId="30788362" w14:textId="77777777" w:rsidR="003C02D5" w:rsidRPr="008F328C" w:rsidRDefault="003C02D5" w:rsidP="003C02D5">
      <w:pPr>
        <w:spacing w:before="13" w:line="280" w:lineRule="exact"/>
        <w:rPr>
          <w:rFonts w:ascii="Times New Roman" w:hAnsi="Times New Roman" w:cs="Times New Roman"/>
          <w:lang w:val="pl-PL"/>
        </w:rPr>
      </w:pPr>
    </w:p>
    <w:p w14:paraId="1A551F2B" w14:textId="5C7F73F4" w:rsidR="003C02D5" w:rsidRPr="008F328C" w:rsidRDefault="00D44E6D" w:rsidP="003C02D5">
      <w:pPr>
        <w:pStyle w:val="a3"/>
        <w:rPr>
          <w:lang w:val="pl-PL"/>
        </w:rPr>
      </w:pPr>
      <w:r w:rsidRPr="008F328C">
        <w:rPr>
          <w:rFonts w:eastAsia="Times New Roman"/>
          <w:spacing w:val="-4"/>
          <w:lang w:val="pl-PL"/>
        </w:rPr>
        <w:t>8</w:t>
      </w:r>
      <w:r w:rsidR="003C02D5" w:rsidRPr="008F328C">
        <w:rPr>
          <w:rFonts w:eastAsia="Times New Roman"/>
          <w:spacing w:val="-4"/>
          <w:lang w:val="pl-PL"/>
        </w:rPr>
        <w:t>0 mg/0,</w:t>
      </w:r>
      <w:r w:rsidRPr="008F328C">
        <w:rPr>
          <w:rFonts w:eastAsia="Times New Roman"/>
          <w:spacing w:val="-4"/>
          <w:lang w:val="pl-PL"/>
        </w:rPr>
        <w:t>8</w:t>
      </w:r>
      <w:r w:rsidR="003C02D5" w:rsidRPr="008F328C">
        <w:rPr>
          <w:rFonts w:eastAsia="Times New Roman"/>
          <w:spacing w:val="-4"/>
          <w:lang w:val="pl-PL"/>
        </w:rPr>
        <w:t> ml</w:t>
      </w:r>
    </w:p>
    <w:p w14:paraId="72406A74" w14:textId="77777777" w:rsidR="003C02D5" w:rsidRPr="008F328C" w:rsidRDefault="003C02D5" w:rsidP="003C02D5">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4DD2F4C1" w14:textId="77777777" w:rsidTr="008871F4">
        <w:trPr>
          <w:trHeight w:val="317"/>
        </w:trPr>
        <w:tc>
          <w:tcPr>
            <w:tcW w:w="9666" w:type="dxa"/>
            <w:vAlign w:val="center"/>
          </w:tcPr>
          <w:p w14:paraId="2C40D25D" w14:textId="77777777" w:rsidR="003C02D5" w:rsidRPr="008F328C" w:rsidRDefault="003C02D5" w:rsidP="008E70FE">
            <w:pPr>
              <w:numPr>
                <w:ilvl w:val="0"/>
                <w:numId w:val="120"/>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INNE</w:t>
            </w:r>
          </w:p>
        </w:tc>
      </w:tr>
    </w:tbl>
    <w:p w14:paraId="2FB2184C" w14:textId="77777777" w:rsidR="003C02D5" w:rsidRPr="008F328C" w:rsidRDefault="003C02D5" w:rsidP="003C02D5">
      <w:pPr>
        <w:rPr>
          <w:rFonts w:ascii="Times New Roman" w:hAnsi="Times New Roman" w:cs="Times New Roman"/>
          <w:lang w:val="pl-PL"/>
        </w:rPr>
      </w:pPr>
      <w:r w:rsidRPr="008F328C">
        <w:rPr>
          <w:rFonts w:ascii="Times New Roman" w:hAnsi="Times New Roman" w:cs="Times New Roman"/>
          <w:lang w:val="pl-PL"/>
        </w:rPr>
        <w:br w:type="page"/>
      </w:r>
    </w:p>
    <w:p w14:paraId="5E5AF2AD" w14:textId="77777777" w:rsidR="003C02D5" w:rsidRPr="008F328C" w:rsidRDefault="003C02D5" w:rsidP="003C02D5">
      <w:pPr>
        <w:rPr>
          <w:rFonts w:ascii="Times New Roman" w:eastAsia="Times New Roman" w:hAnsi="Times New Roman" w:cs="Times New Roman"/>
          <w:b/>
          <w:bCs/>
          <w:spacing w:val="-1"/>
          <w:lang w:val="pl-PL"/>
        </w:rPr>
      </w:pPr>
    </w:p>
    <w:tbl>
      <w:tblPr>
        <w:tblStyle w:val="ac"/>
        <w:tblW w:w="9666" w:type="dxa"/>
        <w:tblLook w:val="04A0" w:firstRow="1" w:lastRow="0" w:firstColumn="1" w:lastColumn="0" w:noHBand="0" w:noVBand="1"/>
      </w:tblPr>
      <w:tblGrid>
        <w:gridCol w:w="9666"/>
      </w:tblGrid>
      <w:tr w:rsidR="003C02D5" w:rsidRPr="00494296" w14:paraId="7BF8D5EE" w14:textId="77777777" w:rsidTr="008871F4">
        <w:trPr>
          <w:trHeight w:val="822"/>
        </w:trPr>
        <w:tc>
          <w:tcPr>
            <w:tcW w:w="9666" w:type="dxa"/>
            <w:vAlign w:val="center"/>
          </w:tcPr>
          <w:p w14:paraId="621CB33C" w14:textId="77777777" w:rsidR="003C02D5" w:rsidRPr="008F328C" w:rsidRDefault="003C02D5" w:rsidP="008871F4">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INFORMACJE ZAMIESZCZANE NA OPAKOWANIACH ZEWNĘTRZNYCH</w:t>
            </w:r>
          </w:p>
          <w:p w14:paraId="0214DD37" w14:textId="77777777" w:rsidR="003C02D5" w:rsidRPr="008F328C" w:rsidRDefault="003C02D5" w:rsidP="008871F4">
            <w:pPr>
              <w:spacing w:line="180" w:lineRule="exact"/>
              <w:jc w:val="both"/>
              <w:rPr>
                <w:rFonts w:ascii="Times New Roman" w:hAnsi="Times New Roman" w:cs="Times New Roman"/>
                <w:sz w:val="18"/>
                <w:szCs w:val="18"/>
                <w:lang w:val="pl-PL"/>
              </w:rPr>
            </w:pPr>
          </w:p>
          <w:p w14:paraId="75774757" w14:textId="77777777" w:rsidR="003C02D5" w:rsidRPr="008F328C" w:rsidRDefault="003C02D5" w:rsidP="008871F4">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ZEWNĘTRZNE OPAKOWANIE KARTONOWE WSTRZYKIWACZA</w:t>
            </w:r>
          </w:p>
        </w:tc>
      </w:tr>
    </w:tbl>
    <w:p w14:paraId="2C570301" w14:textId="77777777" w:rsidR="003C02D5" w:rsidRPr="008F328C" w:rsidRDefault="003C02D5" w:rsidP="003C02D5">
      <w:pPr>
        <w:spacing w:line="200" w:lineRule="exact"/>
        <w:rPr>
          <w:rFonts w:ascii="Times New Roman" w:hAnsi="Times New Roman" w:cs="Times New Roman"/>
          <w:sz w:val="20"/>
          <w:szCs w:val="20"/>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3C02D5" w:rsidRPr="008F328C" w14:paraId="26FCDB93" w14:textId="77777777" w:rsidTr="008871F4">
        <w:trPr>
          <w:trHeight w:val="317"/>
        </w:trPr>
        <w:tc>
          <w:tcPr>
            <w:tcW w:w="9666" w:type="dxa"/>
            <w:vAlign w:val="center"/>
          </w:tcPr>
          <w:p w14:paraId="211B14E2" w14:textId="77777777" w:rsidR="003C02D5" w:rsidRPr="008F328C" w:rsidRDefault="003C02D5" w:rsidP="008E70FE">
            <w:pPr>
              <w:numPr>
                <w:ilvl w:val="0"/>
                <w:numId w:val="121"/>
              </w:numPr>
              <w:tabs>
                <w:tab w:val="left" w:pos="672"/>
              </w:tabs>
              <w:ind w:left="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NAZWA PRODUKTU LECZNICZEGO</w:t>
            </w:r>
          </w:p>
        </w:tc>
      </w:tr>
    </w:tbl>
    <w:p w14:paraId="4D805617" w14:textId="77777777" w:rsidR="003C02D5" w:rsidRPr="008F328C" w:rsidRDefault="003C02D5" w:rsidP="003C02D5">
      <w:pPr>
        <w:spacing w:line="200" w:lineRule="exact"/>
        <w:rPr>
          <w:rFonts w:ascii="Times New Roman" w:hAnsi="Times New Roman" w:cs="Times New Roman"/>
          <w:sz w:val="20"/>
          <w:szCs w:val="20"/>
          <w:lang w:val="pl-PL"/>
        </w:rPr>
      </w:pPr>
    </w:p>
    <w:p w14:paraId="4F739954" w14:textId="390D5327" w:rsidR="003C02D5" w:rsidRPr="008F328C" w:rsidRDefault="003C02D5" w:rsidP="003C02D5">
      <w:pPr>
        <w:pStyle w:val="a3"/>
        <w:rPr>
          <w:lang w:val="pl-PL"/>
        </w:rPr>
      </w:pPr>
      <w:r w:rsidRPr="008F328C">
        <w:rPr>
          <w:rFonts w:eastAsia="Times New Roman"/>
          <w:lang w:val="pl-PL"/>
        </w:rPr>
        <w:t xml:space="preserve">Yuflyma </w:t>
      </w:r>
      <w:r w:rsidR="00D44E6D" w:rsidRPr="008F328C">
        <w:rPr>
          <w:rFonts w:eastAsia="Times New Roman"/>
          <w:lang w:val="pl-PL"/>
        </w:rPr>
        <w:t>8</w:t>
      </w:r>
      <w:r w:rsidRPr="008F328C">
        <w:rPr>
          <w:rFonts w:eastAsia="Times New Roman"/>
          <w:lang w:val="pl-PL"/>
        </w:rPr>
        <w:t>0 mg w postaci roztworu do wstrzykiwań we wstrzykiwaczu</w:t>
      </w:r>
    </w:p>
    <w:p w14:paraId="20CE17B7" w14:textId="77777777" w:rsidR="003C02D5" w:rsidRPr="008F328C" w:rsidRDefault="003C02D5" w:rsidP="003C02D5">
      <w:pPr>
        <w:pStyle w:val="a3"/>
        <w:rPr>
          <w:lang w:val="pl-PL"/>
        </w:rPr>
      </w:pPr>
      <w:r w:rsidRPr="008F328C">
        <w:rPr>
          <w:rFonts w:eastAsia="Times New Roman"/>
          <w:lang w:val="pl-PL"/>
        </w:rPr>
        <w:t>adalimumab</w:t>
      </w:r>
    </w:p>
    <w:p w14:paraId="00D3478A"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057C6866" w14:textId="77777777" w:rsidTr="008871F4">
        <w:trPr>
          <w:trHeight w:val="317"/>
        </w:trPr>
        <w:tc>
          <w:tcPr>
            <w:tcW w:w="9666" w:type="dxa"/>
            <w:vAlign w:val="center"/>
          </w:tcPr>
          <w:p w14:paraId="446C300E"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SUBSTANCJI CZYNNEJ</w:t>
            </w:r>
          </w:p>
        </w:tc>
      </w:tr>
    </w:tbl>
    <w:p w14:paraId="10BDD1CC" w14:textId="77777777" w:rsidR="003C02D5" w:rsidRPr="008F328C" w:rsidRDefault="003C02D5" w:rsidP="003C02D5">
      <w:pPr>
        <w:spacing w:before="13" w:line="280" w:lineRule="exact"/>
        <w:rPr>
          <w:rFonts w:ascii="Times New Roman" w:hAnsi="Times New Roman" w:cs="Times New Roman"/>
          <w:sz w:val="28"/>
          <w:szCs w:val="28"/>
          <w:lang w:val="pl-PL"/>
        </w:rPr>
      </w:pPr>
    </w:p>
    <w:p w14:paraId="5D263030" w14:textId="0A4190AE" w:rsidR="003C02D5" w:rsidRPr="008F328C" w:rsidRDefault="003C02D5" w:rsidP="003C02D5">
      <w:pPr>
        <w:pStyle w:val="a3"/>
        <w:rPr>
          <w:lang w:val="pl-PL"/>
        </w:rPr>
      </w:pPr>
      <w:r w:rsidRPr="008F328C">
        <w:rPr>
          <w:rFonts w:eastAsia="Times New Roman"/>
          <w:lang w:val="pl-PL"/>
        </w:rPr>
        <w:t>Jeden wstrzykiwacz 0,</w:t>
      </w:r>
      <w:r w:rsidR="00D44E6D" w:rsidRPr="008F328C">
        <w:rPr>
          <w:rFonts w:eastAsia="Times New Roman"/>
          <w:lang w:val="pl-PL"/>
        </w:rPr>
        <w:t>8</w:t>
      </w:r>
      <w:r w:rsidRPr="008F328C">
        <w:rPr>
          <w:rFonts w:eastAsia="Times New Roman"/>
          <w:lang w:val="pl-PL"/>
        </w:rPr>
        <w:t xml:space="preserve"> ml zawiera </w:t>
      </w:r>
      <w:r w:rsidR="00D44E6D" w:rsidRPr="008F328C">
        <w:rPr>
          <w:rFonts w:eastAsia="Times New Roman"/>
          <w:lang w:val="pl-PL"/>
        </w:rPr>
        <w:t>8</w:t>
      </w:r>
      <w:r w:rsidRPr="008F328C">
        <w:rPr>
          <w:rFonts w:eastAsia="Times New Roman"/>
          <w:lang w:val="pl-PL"/>
        </w:rPr>
        <w:t>0 mg adalimumabu.</w:t>
      </w:r>
    </w:p>
    <w:p w14:paraId="0F47C626" w14:textId="77777777" w:rsidR="003C02D5" w:rsidRPr="008F328C" w:rsidRDefault="003C02D5" w:rsidP="003C02D5">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64830959" w14:textId="77777777" w:rsidTr="008871F4">
        <w:trPr>
          <w:trHeight w:val="317"/>
        </w:trPr>
        <w:tc>
          <w:tcPr>
            <w:tcW w:w="9666" w:type="dxa"/>
            <w:vAlign w:val="center"/>
          </w:tcPr>
          <w:p w14:paraId="4F89620A"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WYKAZ SUBSTANCJI POMOCNICZYCH</w:t>
            </w:r>
          </w:p>
        </w:tc>
      </w:tr>
    </w:tbl>
    <w:p w14:paraId="120A94DE" w14:textId="77777777" w:rsidR="003C02D5" w:rsidRPr="008F328C" w:rsidRDefault="003C02D5" w:rsidP="003C02D5">
      <w:pPr>
        <w:pStyle w:val="a3"/>
        <w:rPr>
          <w:lang w:val="pl-PL"/>
        </w:rPr>
      </w:pPr>
    </w:p>
    <w:p w14:paraId="3AFDD3F4" w14:textId="77777777" w:rsidR="003C02D5" w:rsidRPr="008F328C" w:rsidRDefault="003C02D5" w:rsidP="003C02D5">
      <w:pPr>
        <w:pStyle w:val="a3"/>
        <w:rPr>
          <w:lang w:val="pl-PL" w:eastAsia="ko-KR"/>
        </w:rPr>
      </w:pPr>
      <w:r w:rsidRPr="008F328C">
        <w:rPr>
          <w:rFonts w:eastAsia="Times New Roman"/>
          <w:lang w:val="pl-PL"/>
        </w:rPr>
        <w:t xml:space="preserve">Substancje pomocnicze: kwas octowy, sodu octan trójwodny, glicyna, polisorbat 80, woda do wstrzykiwań. </w:t>
      </w:r>
      <w:r w:rsidRPr="008F328C">
        <w:rPr>
          <w:rFonts w:eastAsia="Times New Roman"/>
          <w:highlight w:val="lightGray"/>
          <w:lang w:val="pl-PL"/>
        </w:rPr>
        <w:t>W celu uzyskania dalszych informacji patrz ulotka załączona do opakowania.</w:t>
      </w:r>
    </w:p>
    <w:p w14:paraId="72486B3A"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D54497" w14:paraId="2FF74C51" w14:textId="77777777" w:rsidTr="008871F4">
        <w:trPr>
          <w:trHeight w:val="317"/>
        </w:trPr>
        <w:tc>
          <w:tcPr>
            <w:tcW w:w="9666" w:type="dxa"/>
            <w:vAlign w:val="center"/>
          </w:tcPr>
          <w:p w14:paraId="5F4688B4"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POSTAĆ FARMACEUTYCZNA I ZAWARTOŚĆ OPAKOWANIA</w:t>
            </w:r>
          </w:p>
        </w:tc>
      </w:tr>
    </w:tbl>
    <w:p w14:paraId="3D377A9F" w14:textId="77777777" w:rsidR="003C02D5" w:rsidRPr="008F328C" w:rsidRDefault="003C02D5" w:rsidP="003C02D5">
      <w:pPr>
        <w:pStyle w:val="a3"/>
        <w:rPr>
          <w:lang w:val="pl-PL"/>
        </w:rPr>
      </w:pPr>
    </w:p>
    <w:p w14:paraId="1467EC46" w14:textId="77777777" w:rsidR="003C02D5" w:rsidRPr="008F328C" w:rsidRDefault="003C02D5" w:rsidP="003C02D5">
      <w:pPr>
        <w:pStyle w:val="a3"/>
        <w:rPr>
          <w:lang w:val="pl-PL"/>
        </w:rPr>
      </w:pPr>
      <w:r w:rsidRPr="008F328C">
        <w:rPr>
          <w:rFonts w:eastAsia="Times New Roman"/>
          <w:highlight w:val="lightGray"/>
          <w:lang w:val="pl-PL"/>
        </w:rPr>
        <w:t>Roztwór do wstrzykiwań</w:t>
      </w:r>
    </w:p>
    <w:p w14:paraId="71DFE9FB" w14:textId="77777777" w:rsidR="003C02D5" w:rsidRPr="008F328C" w:rsidRDefault="003C02D5" w:rsidP="003C02D5">
      <w:pPr>
        <w:pStyle w:val="a3"/>
        <w:rPr>
          <w:lang w:val="pl-PL"/>
        </w:rPr>
      </w:pPr>
      <w:r w:rsidRPr="008F328C">
        <w:rPr>
          <w:rFonts w:eastAsia="Times New Roman"/>
          <w:lang w:val="pl-PL"/>
        </w:rPr>
        <w:t>1 wstrzykiwacz</w:t>
      </w:r>
    </w:p>
    <w:p w14:paraId="362036FF" w14:textId="77777777" w:rsidR="003C02D5" w:rsidRPr="008F328C" w:rsidRDefault="003C02D5" w:rsidP="003C02D5">
      <w:pPr>
        <w:pStyle w:val="a3"/>
        <w:rPr>
          <w:lang w:val="pl-PL"/>
        </w:rPr>
      </w:pPr>
      <w:r w:rsidRPr="008F328C">
        <w:rPr>
          <w:rFonts w:eastAsia="Times New Roman"/>
          <w:lang w:val="pl-PL"/>
        </w:rPr>
        <w:t>2 gaziki nasączone alkoholem</w:t>
      </w:r>
    </w:p>
    <w:p w14:paraId="0CEAB55F" w14:textId="77777777" w:rsidR="003C02D5" w:rsidRPr="008F328C" w:rsidRDefault="003C02D5" w:rsidP="003C02D5">
      <w:pPr>
        <w:spacing w:line="180" w:lineRule="exact"/>
        <w:rPr>
          <w:rFonts w:ascii="Times New Roman" w:hAnsi="Times New Roman" w:cs="Times New Roman"/>
          <w:sz w:val="18"/>
          <w:szCs w:val="18"/>
          <w:lang w:val="pl-PL"/>
        </w:rPr>
      </w:pPr>
    </w:p>
    <w:p w14:paraId="233CC419" w14:textId="1E3D31AE" w:rsidR="003C02D5" w:rsidRPr="008F328C" w:rsidRDefault="00D44E6D" w:rsidP="003C02D5">
      <w:pPr>
        <w:pStyle w:val="a3"/>
        <w:rPr>
          <w:highlight w:val="lightGray"/>
          <w:lang w:val="pl-PL"/>
        </w:rPr>
      </w:pPr>
      <w:r w:rsidRPr="008F328C">
        <w:rPr>
          <w:rFonts w:eastAsia="Times New Roman"/>
          <w:highlight w:val="lightGray"/>
          <w:lang w:val="pl-PL"/>
        </w:rPr>
        <w:t>3</w:t>
      </w:r>
      <w:r w:rsidR="003C02D5" w:rsidRPr="008F328C">
        <w:rPr>
          <w:rFonts w:eastAsia="Times New Roman"/>
          <w:highlight w:val="lightGray"/>
          <w:lang w:val="pl-PL"/>
        </w:rPr>
        <w:t xml:space="preserve"> wstrzykiwacze</w:t>
      </w:r>
    </w:p>
    <w:p w14:paraId="6D3BAA9A" w14:textId="37EA29CB" w:rsidR="003C02D5" w:rsidRPr="008F328C" w:rsidRDefault="00D44E6D" w:rsidP="003C02D5">
      <w:pPr>
        <w:pStyle w:val="a3"/>
        <w:rPr>
          <w:highlight w:val="lightGray"/>
          <w:lang w:val="pl-PL"/>
        </w:rPr>
      </w:pPr>
      <w:r w:rsidRPr="008F328C">
        <w:rPr>
          <w:rFonts w:eastAsia="Times New Roman"/>
          <w:highlight w:val="lightGray"/>
          <w:lang w:val="pl-PL"/>
        </w:rPr>
        <w:t>4</w:t>
      </w:r>
      <w:r w:rsidR="003C02D5" w:rsidRPr="008F328C">
        <w:rPr>
          <w:rFonts w:eastAsia="Times New Roman"/>
          <w:highlight w:val="lightGray"/>
          <w:lang w:val="pl-PL"/>
        </w:rPr>
        <w:t xml:space="preserve"> gaziki nasączone alkoholem</w:t>
      </w:r>
    </w:p>
    <w:p w14:paraId="5EA8542D" w14:textId="77777777" w:rsidR="003C02D5" w:rsidRPr="008F328C" w:rsidRDefault="003C02D5" w:rsidP="003C02D5">
      <w:pPr>
        <w:spacing w:line="200" w:lineRule="exact"/>
        <w:rPr>
          <w:rFonts w:ascii="Times New Roman" w:hAnsi="Times New Roman" w:cs="Times New Roman"/>
          <w:sz w:val="20"/>
          <w:szCs w:val="20"/>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21A9F22" w14:textId="77777777" w:rsidTr="008871F4">
        <w:trPr>
          <w:trHeight w:val="317"/>
        </w:trPr>
        <w:tc>
          <w:tcPr>
            <w:tcW w:w="9666" w:type="dxa"/>
            <w:vAlign w:val="center"/>
          </w:tcPr>
          <w:p w14:paraId="7AB237FB"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I DROGA PODANIA</w:t>
            </w:r>
          </w:p>
        </w:tc>
      </w:tr>
    </w:tbl>
    <w:p w14:paraId="72579412" w14:textId="77777777" w:rsidR="003C02D5" w:rsidRPr="008F328C" w:rsidRDefault="003C02D5" w:rsidP="003C02D5">
      <w:pPr>
        <w:spacing w:line="200" w:lineRule="exact"/>
        <w:rPr>
          <w:rFonts w:ascii="Times New Roman" w:hAnsi="Times New Roman" w:cs="Times New Roman"/>
          <w:sz w:val="20"/>
          <w:szCs w:val="20"/>
          <w:lang w:val="pl-PL"/>
        </w:rPr>
      </w:pPr>
    </w:p>
    <w:p w14:paraId="24D863A3" w14:textId="77777777" w:rsidR="003C02D5" w:rsidRPr="008F328C" w:rsidRDefault="003C02D5" w:rsidP="003C02D5">
      <w:pPr>
        <w:pStyle w:val="a3"/>
        <w:rPr>
          <w:lang w:val="pl-PL"/>
        </w:rPr>
      </w:pPr>
      <w:r w:rsidRPr="008F328C">
        <w:rPr>
          <w:rFonts w:eastAsia="Times New Roman"/>
          <w:lang w:val="pl-PL"/>
        </w:rPr>
        <w:t>Podanie podskórne</w:t>
      </w:r>
    </w:p>
    <w:p w14:paraId="1C7329AD" w14:textId="77777777" w:rsidR="003C02D5" w:rsidRPr="008F328C" w:rsidRDefault="003C02D5" w:rsidP="003C02D5">
      <w:pPr>
        <w:pStyle w:val="a3"/>
        <w:rPr>
          <w:lang w:val="pl-PL"/>
        </w:rPr>
      </w:pPr>
    </w:p>
    <w:p w14:paraId="091293F0" w14:textId="77777777" w:rsidR="003C02D5" w:rsidRPr="008F328C" w:rsidRDefault="003C02D5" w:rsidP="003C02D5">
      <w:pPr>
        <w:pStyle w:val="a3"/>
        <w:rPr>
          <w:lang w:val="pl-PL"/>
        </w:rPr>
      </w:pPr>
      <w:r w:rsidRPr="008F328C">
        <w:rPr>
          <w:rFonts w:eastAsia="Times New Roman"/>
          <w:lang w:val="pl-PL"/>
        </w:rPr>
        <w:t>Należy zapoznać się z treścią ulotki przed zastosowaniem leku.</w:t>
      </w:r>
    </w:p>
    <w:p w14:paraId="28C2199B" w14:textId="77777777" w:rsidR="003C02D5" w:rsidRPr="008F328C" w:rsidRDefault="003C02D5" w:rsidP="003C02D5">
      <w:pPr>
        <w:pStyle w:val="a3"/>
        <w:rPr>
          <w:lang w:val="pl-PL"/>
        </w:rPr>
      </w:pPr>
    </w:p>
    <w:p w14:paraId="395D2AB9" w14:textId="77777777" w:rsidR="003C02D5" w:rsidRPr="008F328C" w:rsidRDefault="003C02D5" w:rsidP="003C02D5">
      <w:pPr>
        <w:pStyle w:val="a3"/>
        <w:rPr>
          <w:lang w:val="pl-PL"/>
        </w:rPr>
      </w:pPr>
      <w:r w:rsidRPr="008F328C">
        <w:rPr>
          <w:rFonts w:eastAsia="Times New Roman"/>
          <w:lang w:val="pl-PL"/>
        </w:rPr>
        <w:t>Produkt wyłącznie do jednorazowego użytku.</w:t>
      </w:r>
    </w:p>
    <w:p w14:paraId="247B996A"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43E2DB78" w14:textId="77777777" w:rsidTr="008871F4">
        <w:trPr>
          <w:trHeight w:val="317"/>
        </w:trPr>
        <w:tc>
          <w:tcPr>
            <w:tcW w:w="9666" w:type="dxa"/>
            <w:vAlign w:val="center"/>
          </w:tcPr>
          <w:p w14:paraId="34B94D9A"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OSTRZEŻENIE DOTYCZĄCE PRZECHOWYWANIA PRODUKTU LECZNICZEGO W MIEJSCU NIEWIDOCZNYM I NIEDOSTĘPNYM DLA DZIECI</w:t>
            </w:r>
          </w:p>
        </w:tc>
      </w:tr>
    </w:tbl>
    <w:p w14:paraId="710A7238" w14:textId="77777777" w:rsidR="003C02D5" w:rsidRPr="008F328C" w:rsidRDefault="003C02D5" w:rsidP="003C02D5">
      <w:pPr>
        <w:spacing w:before="1" w:line="200" w:lineRule="exact"/>
        <w:rPr>
          <w:rFonts w:ascii="Times New Roman" w:hAnsi="Times New Roman" w:cs="Times New Roman"/>
          <w:sz w:val="20"/>
          <w:szCs w:val="20"/>
          <w:lang w:val="pl-PL"/>
        </w:rPr>
      </w:pPr>
    </w:p>
    <w:p w14:paraId="38CCB033" w14:textId="77777777" w:rsidR="003C02D5" w:rsidRPr="008F328C" w:rsidRDefault="003C02D5" w:rsidP="003C02D5">
      <w:pPr>
        <w:pStyle w:val="a3"/>
        <w:rPr>
          <w:lang w:val="pl-PL"/>
        </w:rPr>
      </w:pPr>
      <w:r w:rsidRPr="008F328C">
        <w:rPr>
          <w:rFonts w:eastAsia="Times New Roman"/>
          <w:lang w:val="pl-PL"/>
        </w:rPr>
        <w:t>Lek przechowywać w miejscu niewidocznym i niedostępnym dla dzieci.</w:t>
      </w:r>
    </w:p>
    <w:p w14:paraId="04344ED3"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28472AF5" w14:textId="77777777" w:rsidTr="008871F4">
        <w:trPr>
          <w:trHeight w:val="317"/>
        </w:trPr>
        <w:tc>
          <w:tcPr>
            <w:tcW w:w="9666" w:type="dxa"/>
            <w:vAlign w:val="center"/>
          </w:tcPr>
          <w:p w14:paraId="65C095FE"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INNE OSTRZEŻENIA SPECJALNE, JEŚLI KONIECZNE</w:t>
            </w:r>
          </w:p>
        </w:tc>
      </w:tr>
    </w:tbl>
    <w:p w14:paraId="1ED74158" w14:textId="0EBE0EBE" w:rsidR="003C02D5" w:rsidRPr="008F328C" w:rsidRDefault="003C02D5" w:rsidP="003C02D5">
      <w:pPr>
        <w:rPr>
          <w:rFonts w:ascii="Times New Roman" w:hAnsi="Times New Roman" w:cs="Times New Roman"/>
          <w:lang w:val="pl-PL"/>
        </w:rPr>
      </w:pPr>
    </w:p>
    <w:p w14:paraId="2C484DE4" w14:textId="77777777" w:rsidR="00CC4159" w:rsidRPr="008F328C" w:rsidRDefault="00CC4159"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6FC59E16" w14:textId="77777777" w:rsidTr="008871F4">
        <w:trPr>
          <w:trHeight w:val="317"/>
        </w:trPr>
        <w:tc>
          <w:tcPr>
            <w:tcW w:w="9666" w:type="dxa"/>
            <w:vAlign w:val="center"/>
          </w:tcPr>
          <w:p w14:paraId="42F29832"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0B4EAFBA" w14:textId="77777777" w:rsidR="003C02D5" w:rsidRPr="008F328C" w:rsidRDefault="003C02D5" w:rsidP="003C02D5">
      <w:pPr>
        <w:rPr>
          <w:rFonts w:ascii="Times New Roman" w:hAnsi="Times New Roman" w:cs="Times New Roman"/>
          <w:lang w:val="pl-PL"/>
        </w:rPr>
      </w:pPr>
    </w:p>
    <w:p w14:paraId="64B81E40" w14:textId="77777777" w:rsidR="003C02D5" w:rsidRPr="008F328C" w:rsidRDefault="003C02D5" w:rsidP="003C02D5">
      <w:pPr>
        <w:pStyle w:val="a3"/>
        <w:rPr>
          <w:rFonts w:eastAsia="Times New Roman"/>
          <w:lang w:val="pl-PL"/>
        </w:rPr>
      </w:pPr>
      <w:r w:rsidRPr="008F328C">
        <w:rPr>
          <w:rFonts w:eastAsia="Times New Roman"/>
          <w:lang w:val="pl-PL"/>
        </w:rPr>
        <w:lastRenderedPageBreak/>
        <w:t>Termin ważności (EXP)</w:t>
      </w:r>
    </w:p>
    <w:p w14:paraId="30DA43AB"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822B41F" w14:textId="77777777" w:rsidTr="008871F4">
        <w:trPr>
          <w:trHeight w:val="317"/>
        </w:trPr>
        <w:tc>
          <w:tcPr>
            <w:tcW w:w="9666" w:type="dxa"/>
            <w:vAlign w:val="center"/>
          </w:tcPr>
          <w:p w14:paraId="4062C4BF"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WARUNKI PRZECHOWYWANIA</w:t>
            </w:r>
          </w:p>
        </w:tc>
      </w:tr>
    </w:tbl>
    <w:p w14:paraId="5664CFD8" w14:textId="77777777" w:rsidR="003C02D5" w:rsidRPr="008F328C" w:rsidRDefault="003C02D5" w:rsidP="003C02D5">
      <w:pPr>
        <w:rPr>
          <w:rFonts w:ascii="Times New Roman" w:hAnsi="Times New Roman" w:cs="Times New Roman"/>
          <w:lang w:val="pl-PL"/>
        </w:rPr>
      </w:pPr>
    </w:p>
    <w:p w14:paraId="74866F5A" w14:textId="77777777" w:rsidR="003C02D5" w:rsidRPr="008F328C" w:rsidRDefault="003C02D5" w:rsidP="003C02D5">
      <w:pPr>
        <w:pStyle w:val="a3"/>
        <w:rPr>
          <w:lang w:val="pl-PL"/>
        </w:rPr>
      </w:pPr>
      <w:r w:rsidRPr="008F328C">
        <w:rPr>
          <w:rFonts w:eastAsia="Times New Roman"/>
          <w:lang w:val="pl-PL"/>
        </w:rPr>
        <w:t>Przechowywać w lodówce. Nie zamrażać.</w:t>
      </w:r>
    </w:p>
    <w:p w14:paraId="646AC063" w14:textId="77777777" w:rsidR="003C02D5" w:rsidRPr="008F328C" w:rsidRDefault="003C02D5" w:rsidP="003C02D5">
      <w:pPr>
        <w:pStyle w:val="a3"/>
        <w:rPr>
          <w:lang w:val="pl-PL"/>
        </w:rPr>
      </w:pPr>
      <w:r w:rsidRPr="008F328C">
        <w:rPr>
          <w:rFonts w:eastAsia="Times New Roman"/>
          <w:lang w:val="pl-PL"/>
        </w:rPr>
        <w:t>Dodatkowe informacje dotyczące przechowywania znajdują się w ulotce dołączonej do opakowania.</w:t>
      </w:r>
    </w:p>
    <w:p w14:paraId="6E6376FF" w14:textId="77777777" w:rsidR="003C02D5" w:rsidRPr="008F328C" w:rsidRDefault="003C02D5" w:rsidP="003C02D5">
      <w:pPr>
        <w:pStyle w:val="a3"/>
        <w:rPr>
          <w:lang w:val="pl-PL"/>
        </w:rPr>
      </w:pPr>
      <w:r w:rsidRPr="008F328C">
        <w:rPr>
          <w:rFonts w:eastAsia="Times New Roman"/>
          <w:lang w:val="pl-PL"/>
        </w:rPr>
        <w:t>Przechowywać półautomatyczny wstrzykiwacz w opakowaniu zewnętrznym w celu ochrony przed światłem.</w:t>
      </w:r>
    </w:p>
    <w:p w14:paraId="78D8F717" w14:textId="77777777" w:rsidR="003C02D5" w:rsidRPr="008F328C" w:rsidRDefault="003C02D5" w:rsidP="003C02D5">
      <w:pPr>
        <w:rPr>
          <w:rFonts w:ascii="Times New Roman" w:hAnsi="Times New Roman" w:cs="Times New Roman"/>
          <w:lang w:val="pl-PL"/>
        </w:rPr>
      </w:pPr>
      <w:r w:rsidRPr="008F328C">
        <w:rPr>
          <w:rFonts w:ascii="Times New Roman" w:hAnsi="Times New Roman" w:cs="Times New Roman"/>
          <w:highlight w:val="lightGray"/>
          <w:lang w:val="pl-PL"/>
        </w:rPr>
        <w:t>Przechowywać półautomatyczny wstrzykiwacze w opakowaniu zewnętrznym w celu ochrony przed światłem.</w:t>
      </w:r>
    </w:p>
    <w:p w14:paraId="368C2145"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4B1EEEF4" w14:textId="77777777" w:rsidTr="008871F4">
        <w:trPr>
          <w:trHeight w:val="317"/>
        </w:trPr>
        <w:tc>
          <w:tcPr>
            <w:tcW w:w="9666" w:type="dxa"/>
            <w:vAlign w:val="center"/>
          </w:tcPr>
          <w:p w14:paraId="38E52DE8"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SPECJALNE ŚRODKI OSTROŻNOŚCI DOTYCZĄCE USUWANIA NIEZUŻYTEGO PRODUKTU LECZNICZEGO LUB POCHODZĄCYCH Z NIEGO ODPADÓW, JEŚLI WŁAŚCIWE</w:t>
            </w:r>
          </w:p>
        </w:tc>
      </w:tr>
    </w:tbl>
    <w:p w14:paraId="39E7211B" w14:textId="198EC576" w:rsidR="003C02D5" w:rsidRPr="008F328C" w:rsidRDefault="003C02D5" w:rsidP="003C02D5">
      <w:pPr>
        <w:rPr>
          <w:rFonts w:ascii="Times New Roman" w:hAnsi="Times New Roman" w:cs="Times New Roman"/>
          <w:lang w:val="pl-PL"/>
        </w:rPr>
      </w:pPr>
    </w:p>
    <w:p w14:paraId="153A0FD2" w14:textId="77777777" w:rsidR="00CC4159" w:rsidRPr="008F328C" w:rsidRDefault="00CC4159"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290903E7" w14:textId="77777777" w:rsidTr="008871F4">
        <w:trPr>
          <w:trHeight w:val="317"/>
        </w:trPr>
        <w:tc>
          <w:tcPr>
            <w:tcW w:w="9666" w:type="dxa"/>
            <w:vAlign w:val="center"/>
          </w:tcPr>
          <w:p w14:paraId="72EDD4C8"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I ADRES PODMIOTU ODPOWIEDZIALNEGO</w:t>
            </w:r>
          </w:p>
        </w:tc>
      </w:tr>
    </w:tbl>
    <w:p w14:paraId="59E78983" w14:textId="77777777" w:rsidR="003C02D5" w:rsidRPr="008F328C" w:rsidRDefault="003C02D5" w:rsidP="003C02D5">
      <w:pPr>
        <w:spacing w:before="5" w:line="200" w:lineRule="exact"/>
        <w:rPr>
          <w:rFonts w:ascii="Times New Roman" w:hAnsi="Times New Roman" w:cs="Times New Roman"/>
          <w:sz w:val="20"/>
          <w:szCs w:val="20"/>
          <w:lang w:val="pl-PL"/>
        </w:rPr>
      </w:pPr>
    </w:p>
    <w:p w14:paraId="22934334" w14:textId="77777777" w:rsidR="003C02D5" w:rsidRPr="008F328C" w:rsidRDefault="003C02D5" w:rsidP="003C02D5">
      <w:pPr>
        <w:pStyle w:val="a3"/>
        <w:rPr>
          <w:lang w:val="en-GB"/>
        </w:rPr>
      </w:pPr>
      <w:r w:rsidRPr="008F328C">
        <w:rPr>
          <w:lang w:val="en-GB"/>
        </w:rPr>
        <w:t xml:space="preserve">Celltrion Healthcare Hungary Kft. </w:t>
      </w:r>
    </w:p>
    <w:p w14:paraId="0685E8DA" w14:textId="77777777" w:rsidR="003C02D5" w:rsidRPr="008F328C" w:rsidRDefault="003C02D5" w:rsidP="003C02D5">
      <w:pPr>
        <w:pStyle w:val="a3"/>
        <w:rPr>
          <w:lang w:val="en-GB"/>
        </w:rPr>
      </w:pPr>
      <w:r w:rsidRPr="008F328C">
        <w:rPr>
          <w:lang w:val="en-GB"/>
        </w:rPr>
        <w:t>1062 Budapest</w:t>
      </w:r>
    </w:p>
    <w:p w14:paraId="5A42A732" w14:textId="77777777" w:rsidR="003C02D5" w:rsidRPr="008F328C" w:rsidRDefault="003C02D5" w:rsidP="003C02D5">
      <w:pPr>
        <w:pStyle w:val="a3"/>
      </w:pPr>
      <w:r w:rsidRPr="008F328C">
        <w:rPr>
          <w:lang w:val="en-GB"/>
        </w:rPr>
        <w:t xml:space="preserve">Váci út 1-3. </w:t>
      </w:r>
      <w:r w:rsidRPr="008F328C">
        <w:t>WestEnd Office Building B torony</w:t>
      </w:r>
    </w:p>
    <w:p w14:paraId="4A150540" w14:textId="77777777" w:rsidR="003C02D5" w:rsidRPr="008F328C" w:rsidRDefault="003C02D5" w:rsidP="003C02D5">
      <w:pPr>
        <w:pStyle w:val="a3"/>
      </w:pPr>
      <w:r w:rsidRPr="008F328C">
        <w:rPr>
          <w:rFonts w:eastAsia="Times New Roman"/>
        </w:rPr>
        <w:t>Węgry</w:t>
      </w:r>
    </w:p>
    <w:p w14:paraId="328B0E61" w14:textId="77777777" w:rsidR="003C02D5" w:rsidRPr="008F328C" w:rsidRDefault="003C02D5" w:rsidP="003C02D5">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D54497" w14:paraId="4F2A6695" w14:textId="77777777" w:rsidTr="008871F4">
        <w:trPr>
          <w:trHeight w:val="317"/>
        </w:trPr>
        <w:tc>
          <w:tcPr>
            <w:tcW w:w="9666" w:type="dxa"/>
            <w:vAlign w:val="center"/>
          </w:tcPr>
          <w:p w14:paraId="1BB378B5"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POZWOLENIA NA DOPUSZCZENIE DO OBROTU</w:t>
            </w:r>
          </w:p>
        </w:tc>
      </w:tr>
    </w:tbl>
    <w:p w14:paraId="28AE5020" w14:textId="77777777" w:rsidR="003C02D5" w:rsidRPr="008F328C" w:rsidRDefault="003C02D5" w:rsidP="003C02D5">
      <w:pPr>
        <w:rPr>
          <w:rFonts w:ascii="Times New Roman" w:hAnsi="Times New Roman" w:cs="Times New Roman"/>
          <w:lang w:val="pl-PL"/>
        </w:rPr>
      </w:pPr>
    </w:p>
    <w:p w14:paraId="4244A7FA" w14:textId="7D0115B5" w:rsidR="003C02D5" w:rsidRPr="008F328C" w:rsidRDefault="003C02D5" w:rsidP="003C02D5">
      <w:pPr>
        <w:pStyle w:val="a3"/>
        <w:rPr>
          <w:highlight w:val="lightGray"/>
          <w:lang w:val="pl-PL"/>
        </w:rPr>
      </w:pPr>
      <w:r w:rsidRPr="008F328C">
        <w:rPr>
          <w:rFonts w:eastAsia="Times New Roman"/>
          <w:lang w:val="pl-PL"/>
        </w:rPr>
        <w:t>EU/</w:t>
      </w:r>
      <w:r w:rsidRPr="008F328C">
        <w:rPr>
          <w:rFonts w:eastAsia="Times New Roman"/>
          <w:color w:val="000000"/>
          <w:lang w:val="pl-PL"/>
        </w:rPr>
        <w:t>1/20/1513/0</w:t>
      </w:r>
      <w:r w:rsidR="00D44E6D" w:rsidRPr="008F328C">
        <w:rPr>
          <w:rFonts w:eastAsia="Times New Roman"/>
          <w:color w:val="000000"/>
          <w:lang w:val="pl-PL"/>
        </w:rPr>
        <w:t>15</w:t>
      </w:r>
      <w:r w:rsidRPr="008F328C">
        <w:rPr>
          <w:rFonts w:eastAsia="Times New Roman"/>
          <w:color w:val="000000"/>
          <w:lang w:val="pl-PL"/>
        </w:rPr>
        <w:t xml:space="preserve"> </w:t>
      </w:r>
      <w:r w:rsidRPr="008F328C">
        <w:rPr>
          <w:rFonts w:eastAsia="Times New Roman"/>
          <w:color w:val="000000"/>
          <w:highlight w:val="lightGray"/>
          <w:lang w:val="pl-PL"/>
        </w:rPr>
        <w:t>1 wstrzykiwacz</w:t>
      </w:r>
    </w:p>
    <w:p w14:paraId="5EECFF2E" w14:textId="66B30BC0" w:rsidR="003C02D5" w:rsidRPr="008F328C" w:rsidRDefault="003C02D5" w:rsidP="003C02D5">
      <w:pPr>
        <w:pStyle w:val="a3"/>
        <w:rPr>
          <w:highlight w:val="lightGray"/>
          <w:lang w:val="pl-PL" w:eastAsia="ko-KR"/>
        </w:rPr>
      </w:pPr>
      <w:r w:rsidRPr="008F328C">
        <w:rPr>
          <w:rFonts w:eastAsia="Times New Roman"/>
          <w:highlight w:val="lightGray"/>
          <w:lang w:val="pl-PL"/>
        </w:rPr>
        <w:t>EU/</w:t>
      </w:r>
      <w:r w:rsidRPr="008F328C">
        <w:rPr>
          <w:rFonts w:eastAsia="Times New Roman"/>
          <w:color w:val="000000"/>
          <w:highlight w:val="lightGray"/>
          <w:lang w:val="pl-PL"/>
        </w:rPr>
        <w:t>1/20/1513/01</w:t>
      </w:r>
      <w:r w:rsidR="00D44E6D" w:rsidRPr="008F328C">
        <w:rPr>
          <w:rFonts w:eastAsia="Times New Roman"/>
          <w:color w:val="000000"/>
          <w:highlight w:val="lightGray"/>
          <w:lang w:val="pl-PL"/>
        </w:rPr>
        <w:t>6 3</w:t>
      </w:r>
      <w:r w:rsidRPr="008F328C">
        <w:rPr>
          <w:rFonts w:eastAsia="Times New Roman"/>
          <w:color w:val="000000"/>
          <w:highlight w:val="lightGray"/>
          <w:lang w:val="pl-PL"/>
        </w:rPr>
        <w:t xml:space="preserve"> wstrzykiwacze</w:t>
      </w:r>
    </w:p>
    <w:p w14:paraId="52364D03" w14:textId="77777777" w:rsidR="003C02D5" w:rsidRPr="008F328C" w:rsidRDefault="003C02D5" w:rsidP="003C02D5">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010D3303" w14:textId="77777777" w:rsidTr="008871F4">
        <w:trPr>
          <w:trHeight w:val="317"/>
        </w:trPr>
        <w:tc>
          <w:tcPr>
            <w:tcW w:w="9666" w:type="dxa"/>
            <w:vAlign w:val="center"/>
          </w:tcPr>
          <w:p w14:paraId="08355511"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726AB8A7" w14:textId="77777777" w:rsidR="003C02D5" w:rsidRPr="008F328C" w:rsidRDefault="003C02D5" w:rsidP="003C02D5">
      <w:pPr>
        <w:rPr>
          <w:rFonts w:ascii="Times New Roman" w:hAnsi="Times New Roman" w:cs="Times New Roman"/>
          <w:lang w:val="pl-PL"/>
        </w:rPr>
      </w:pPr>
    </w:p>
    <w:p w14:paraId="033AD236" w14:textId="77777777" w:rsidR="003C02D5" w:rsidRPr="008F328C" w:rsidRDefault="003C02D5" w:rsidP="003C02D5">
      <w:pPr>
        <w:pStyle w:val="a3"/>
      </w:pPr>
      <w:r w:rsidRPr="008F328C">
        <w:t>Nr serii (Lot)</w:t>
      </w:r>
    </w:p>
    <w:p w14:paraId="2E37F187"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459C57EA" w14:textId="77777777" w:rsidTr="008871F4">
        <w:trPr>
          <w:trHeight w:val="317"/>
        </w:trPr>
        <w:tc>
          <w:tcPr>
            <w:tcW w:w="9666" w:type="dxa"/>
            <w:vAlign w:val="center"/>
          </w:tcPr>
          <w:p w14:paraId="3339A5DA"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OGÓLNA KATEGORIA DOSTĘPNOŚCI</w:t>
            </w:r>
          </w:p>
        </w:tc>
      </w:tr>
    </w:tbl>
    <w:p w14:paraId="7607A043" w14:textId="6264C890" w:rsidR="003C02D5" w:rsidRPr="008F328C" w:rsidRDefault="003C02D5" w:rsidP="003C02D5">
      <w:pPr>
        <w:jc w:val="both"/>
        <w:rPr>
          <w:rFonts w:ascii="Times New Roman" w:hAnsi="Times New Roman" w:cs="Times New Roman"/>
          <w:lang w:val="pl-PL"/>
        </w:rPr>
      </w:pPr>
    </w:p>
    <w:p w14:paraId="4F6F1900" w14:textId="77777777" w:rsidR="00CC4159" w:rsidRPr="008F328C" w:rsidRDefault="00CC4159"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086CC707" w14:textId="77777777" w:rsidTr="008871F4">
        <w:trPr>
          <w:trHeight w:val="317"/>
        </w:trPr>
        <w:tc>
          <w:tcPr>
            <w:tcW w:w="9666" w:type="dxa"/>
            <w:vAlign w:val="center"/>
          </w:tcPr>
          <w:p w14:paraId="1D9C18B6"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INSTRUKCJA UŻYCIA</w:t>
            </w:r>
          </w:p>
        </w:tc>
      </w:tr>
    </w:tbl>
    <w:p w14:paraId="1A950D90" w14:textId="421A6C7D" w:rsidR="003C02D5" w:rsidRPr="008F328C" w:rsidRDefault="003C02D5" w:rsidP="003C02D5">
      <w:pPr>
        <w:jc w:val="both"/>
        <w:rPr>
          <w:rFonts w:ascii="Times New Roman" w:hAnsi="Times New Roman" w:cs="Times New Roman"/>
          <w:lang w:val="pl-PL"/>
        </w:rPr>
      </w:pPr>
    </w:p>
    <w:p w14:paraId="0AC0C4AA" w14:textId="77777777" w:rsidR="00CC4159" w:rsidRPr="008F328C" w:rsidRDefault="00CC4159"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BF6BDF8" w14:textId="77777777" w:rsidTr="008871F4">
        <w:trPr>
          <w:trHeight w:val="317"/>
        </w:trPr>
        <w:tc>
          <w:tcPr>
            <w:tcW w:w="9666" w:type="dxa"/>
            <w:vAlign w:val="center"/>
          </w:tcPr>
          <w:p w14:paraId="63360F53"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INFORMACJA PODANA SYSTEMEM BRAILLE’A</w:t>
            </w:r>
          </w:p>
        </w:tc>
      </w:tr>
    </w:tbl>
    <w:p w14:paraId="33E28C44" w14:textId="77777777" w:rsidR="003C02D5" w:rsidRPr="008F328C" w:rsidRDefault="003C02D5" w:rsidP="003C02D5">
      <w:pPr>
        <w:jc w:val="both"/>
        <w:rPr>
          <w:rFonts w:ascii="Times New Roman" w:hAnsi="Times New Roman" w:cs="Times New Roman"/>
          <w:lang w:val="pl-PL"/>
        </w:rPr>
      </w:pPr>
    </w:p>
    <w:p w14:paraId="152BD6E3" w14:textId="395CF3B4" w:rsidR="003C02D5" w:rsidRPr="008F328C" w:rsidRDefault="003C02D5" w:rsidP="003C02D5">
      <w:pPr>
        <w:pStyle w:val="a3"/>
        <w:rPr>
          <w:lang w:val="pl-PL"/>
        </w:rPr>
      </w:pPr>
      <w:r w:rsidRPr="008F328C">
        <w:rPr>
          <w:rFonts w:eastAsia="Times New Roman"/>
          <w:lang w:val="pl-PL"/>
        </w:rPr>
        <w:t xml:space="preserve">Yuflyma </w:t>
      </w:r>
      <w:r w:rsidR="00D44E6D" w:rsidRPr="008F328C">
        <w:rPr>
          <w:rFonts w:eastAsia="Times New Roman"/>
          <w:lang w:val="pl-PL"/>
        </w:rPr>
        <w:t>8</w:t>
      </w:r>
      <w:r w:rsidRPr="008F328C">
        <w:rPr>
          <w:rFonts w:eastAsia="Times New Roman"/>
          <w:lang w:val="pl-PL"/>
        </w:rPr>
        <w:t>0 mg</w:t>
      </w:r>
    </w:p>
    <w:p w14:paraId="0FB9BBDD" w14:textId="77777777" w:rsidR="003C02D5" w:rsidRPr="008F328C" w:rsidRDefault="003C02D5"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487D9F0F" w14:textId="77777777" w:rsidTr="008871F4">
        <w:trPr>
          <w:trHeight w:val="317"/>
        </w:trPr>
        <w:tc>
          <w:tcPr>
            <w:tcW w:w="9666" w:type="dxa"/>
            <w:vAlign w:val="center"/>
          </w:tcPr>
          <w:p w14:paraId="6368D9EF"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KOD 2D</w:t>
            </w:r>
          </w:p>
        </w:tc>
      </w:tr>
    </w:tbl>
    <w:p w14:paraId="164BD83F" w14:textId="77777777" w:rsidR="003C02D5" w:rsidRPr="008F328C" w:rsidRDefault="003C02D5" w:rsidP="003C02D5">
      <w:pPr>
        <w:jc w:val="both"/>
        <w:rPr>
          <w:rFonts w:ascii="Times New Roman" w:hAnsi="Times New Roman" w:cs="Times New Roman"/>
          <w:lang w:val="pl-PL"/>
        </w:rPr>
      </w:pPr>
    </w:p>
    <w:p w14:paraId="76B39B89" w14:textId="77777777" w:rsidR="003C02D5" w:rsidRPr="008F328C" w:rsidRDefault="003C02D5" w:rsidP="003C02D5">
      <w:pPr>
        <w:pStyle w:val="a3"/>
        <w:rPr>
          <w:lang w:val="pl-PL"/>
        </w:rPr>
      </w:pPr>
      <w:r w:rsidRPr="008F328C">
        <w:rPr>
          <w:rFonts w:eastAsia="Times New Roman"/>
          <w:highlight w:val="lightGray"/>
          <w:lang w:val="pl-PL"/>
        </w:rPr>
        <w:lastRenderedPageBreak/>
        <w:t>Obejmuje kod 2D będący nośnikiem niepowtarzalnego identyfikatora.</w:t>
      </w:r>
    </w:p>
    <w:p w14:paraId="60A76E2B" w14:textId="77777777" w:rsidR="003C02D5" w:rsidRPr="008F328C" w:rsidRDefault="003C02D5" w:rsidP="003C02D5">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645D8A74" w14:textId="77777777" w:rsidTr="008871F4">
        <w:trPr>
          <w:trHeight w:val="317"/>
        </w:trPr>
        <w:tc>
          <w:tcPr>
            <w:tcW w:w="9666" w:type="dxa"/>
            <w:vAlign w:val="center"/>
          </w:tcPr>
          <w:p w14:paraId="123A5F0F" w14:textId="77777777" w:rsidR="003C02D5" w:rsidRPr="008F328C" w:rsidRDefault="003C02D5" w:rsidP="008E70FE">
            <w:pPr>
              <w:numPr>
                <w:ilvl w:val="0"/>
                <w:numId w:val="121"/>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DANE CZYTELNE DLA CZŁOWIEKA</w:t>
            </w:r>
          </w:p>
        </w:tc>
      </w:tr>
    </w:tbl>
    <w:p w14:paraId="73957355" w14:textId="77777777" w:rsidR="003C02D5" w:rsidRPr="008F328C" w:rsidRDefault="003C02D5" w:rsidP="003C02D5">
      <w:pPr>
        <w:jc w:val="both"/>
        <w:rPr>
          <w:rFonts w:ascii="Times New Roman" w:hAnsi="Times New Roman" w:cs="Times New Roman"/>
          <w:lang w:val="pl-PL"/>
        </w:rPr>
      </w:pPr>
    </w:p>
    <w:p w14:paraId="477672FF" w14:textId="77777777" w:rsidR="003C02D5" w:rsidRPr="008F328C" w:rsidRDefault="003C02D5" w:rsidP="003C02D5">
      <w:pPr>
        <w:pStyle w:val="a3"/>
        <w:rPr>
          <w:lang w:val="pl-PL"/>
        </w:rPr>
      </w:pPr>
      <w:r w:rsidRPr="008F328C">
        <w:rPr>
          <w:rFonts w:eastAsia="Times New Roman"/>
          <w:lang w:val="pl-PL"/>
        </w:rPr>
        <w:t xml:space="preserve">PC </w:t>
      </w:r>
    </w:p>
    <w:p w14:paraId="262688DD" w14:textId="77777777" w:rsidR="003C02D5" w:rsidRPr="008F328C" w:rsidRDefault="003C02D5" w:rsidP="003C02D5">
      <w:pPr>
        <w:pStyle w:val="a3"/>
        <w:rPr>
          <w:lang w:val="pl-PL"/>
        </w:rPr>
      </w:pPr>
      <w:r w:rsidRPr="008F328C">
        <w:rPr>
          <w:rFonts w:eastAsia="Times New Roman"/>
          <w:lang w:val="pl-PL"/>
        </w:rPr>
        <w:t>SN</w:t>
      </w:r>
    </w:p>
    <w:p w14:paraId="2F5D532A" w14:textId="77777777" w:rsidR="003C02D5" w:rsidRPr="008F328C" w:rsidRDefault="003C02D5" w:rsidP="003C02D5">
      <w:pPr>
        <w:pStyle w:val="a3"/>
        <w:rPr>
          <w:spacing w:val="-2"/>
          <w:lang w:val="pl-PL"/>
        </w:rPr>
      </w:pPr>
      <w:r w:rsidRPr="008F328C">
        <w:rPr>
          <w:rFonts w:eastAsia="Times New Roman"/>
          <w:spacing w:val="-2"/>
          <w:lang w:val="pl-PL"/>
        </w:rPr>
        <w:t>NN</w:t>
      </w:r>
    </w:p>
    <w:p w14:paraId="2A4C33AC" w14:textId="77777777" w:rsidR="003C02D5" w:rsidRPr="008F328C" w:rsidRDefault="003C02D5" w:rsidP="003C02D5">
      <w:pPr>
        <w:pStyle w:val="a3"/>
        <w:rPr>
          <w:spacing w:val="-2"/>
          <w:lang w:val="pl-PL"/>
        </w:rPr>
      </w:pPr>
    </w:p>
    <w:p w14:paraId="486716EA" w14:textId="77777777" w:rsidR="003C02D5" w:rsidRPr="008F328C" w:rsidRDefault="003C02D5" w:rsidP="003C02D5">
      <w:pPr>
        <w:rPr>
          <w:rFonts w:ascii="Times New Roman" w:eastAsia="Times New Roman" w:hAnsi="Times New Roman" w:cs="Times New Roman"/>
          <w:spacing w:val="-2"/>
          <w:lang w:val="pl-PL"/>
        </w:rPr>
      </w:pPr>
      <w:r w:rsidRPr="008F328C">
        <w:rPr>
          <w:rFonts w:ascii="Times New Roman" w:hAnsi="Times New Roman" w:cs="Times New Roman"/>
          <w:spacing w:val="-2"/>
          <w:lang w:val="pl-PL"/>
        </w:rPr>
        <w:br w:type="page"/>
      </w:r>
    </w:p>
    <w:tbl>
      <w:tblPr>
        <w:tblStyle w:val="ac"/>
        <w:tblW w:w="9666" w:type="dxa"/>
        <w:tblLook w:val="04A0" w:firstRow="1" w:lastRow="0" w:firstColumn="1" w:lastColumn="0" w:noHBand="0" w:noVBand="1"/>
      </w:tblPr>
      <w:tblGrid>
        <w:gridCol w:w="9666"/>
      </w:tblGrid>
      <w:tr w:rsidR="003C02D5" w:rsidRPr="00494296" w14:paraId="6DA590B9" w14:textId="77777777" w:rsidTr="008871F4">
        <w:trPr>
          <w:trHeight w:val="822"/>
        </w:trPr>
        <w:tc>
          <w:tcPr>
            <w:tcW w:w="9666" w:type="dxa"/>
            <w:vAlign w:val="center"/>
          </w:tcPr>
          <w:p w14:paraId="35E6E926"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Cs/>
                <w:spacing w:val="-1"/>
                <w:lang w:val="pl-PL"/>
              </w:rPr>
              <w:lastRenderedPageBreak/>
              <w:br w:type="page"/>
            </w:r>
            <w:r w:rsidRPr="008F328C">
              <w:rPr>
                <w:rFonts w:ascii="Times New Roman" w:eastAsia="Times New Roman" w:hAnsi="Times New Roman" w:cs="Times New Roman"/>
                <w:b/>
                <w:bCs/>
                <w:spacing w:val="-1"/>
                <w:lang w:val="pl-PL"/>
              </w:rPr>
              <w:t xml:space="preserve">MINIMUM INFORMACJI ZAMIESZCZANYCH NA MAŁYCH OPAKOWANIACH BEZPOŚREDNICH </w:t>
            </w:r>
          </w:p>
          <w:p w14:paraId="768B1DFC"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p>
          <w:p w14:paraId="520A3BD1" w14:textId="77777777" w:rsidR="003C02D5" w:rsidRPr="008F328C" w:rsidRDefault="003C02D5" w:rsidP="008871F4">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ETYKIETA WSTRZYKIWACZA</w:t>
            </w:r>
          </w:p>
        </w:tc>
      </w:tr>
    </w:tbl>
    <w:p w14:paraId="437E576A" w14:textId="77777777" w:rsidR="003C02D5" w:rsidRPr="008F328C" w:rsidRDefault="003C02D5" w:rsidP="003C02D5">
      <w:pPr>
        <w:spacing w:line="200" w:lineRule="exact"/>
        <w:rPr>
          <w:rFonts w:ascii="Times New Roman" w:hAnsi="Times New Roman" w:cs="Times New Roman"/>
          <w:sz w:val="20"/>
          <w:szCs w:val="20"/>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3C02D5" w:rsidRPr="00D54497" w14:paraId="681BC944" w14:textId="77777777" w:rsidTr="008871F4">
        <w:trPr>
          <w:trHeight w:val="317"/>
        </w:trPr>
        <w:tc>
          <w:tcPr>
            <w:tcW w:w="9666" w:type="dxa"/>
            <w:vAlign w:val="center"/>
          </w:tcPr>
          <w:p w14:paraId="60EC6642" w14:textId="77777777" w:rsidR="003C02D5" w:rsidRPr="008F328C" w:rsidRDefault="003C02D5" w:rsidP="008E70FE">
            <w:pPr>
              <w:numPr>
                <w:ilvl w:val="0"/>
                <w:numId w:val="122"/>
              </w:numPr>
              <w:tabs>
                <w:tab w:val="left" w:pos="672"/>
              </w:tabs>
              <w:ind w:left="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PRODUKTU LECZNICZEGO I DROGA PODANIA</w:t>
            </w:r>
          </w:p>
        </w:tc>
      </w:tr>
    </w:tbl>
    <w:p w14:paraId="0D052700" w14:textId="77777777" w:rsidR="003C02D5" w:rsidRPr="008F328C" w:rsidRDefault="003C02D5" w:rsidP="003C02D5">
      <w:pPr>
        <w:spacing w:line="200" w:lineRule="exact"/>
        <w:rPr>
          <w:rFonts w:ascii="Times New Roman" w:hAnsi="Times New Roman" w:cs="Times New Roman"/>
          <w:sz w:val="20"/>
          <w:szCs w:val="20"/>
          <w:lang w:val="pl-PL"/>
        </w:rPr>
      </w:pPr>
    </w:p>
    <w:p w14:paraId="19B5D0B1" w14:textId="53B35D34" w:rsidR="003C02D5" w:rsidRPr="008F328C" w:rsidRDefault="003C02D5" w:rsidP="003C02D5">
      <w:pPr>
        <w:pStyle w:val="a3"/>
        <w:rPr>
          <w:lang w:val="pl-PL"/>
        </w:rPr>
      </w:pPr>
      <w:r w:rsidRPr="008F328C">
        <w:rPr>
          <w:rFonts w:eastAsia="Times New Roman"/>
          <w:lang w:val="pl-PL"/>
        </w:rPr>
        <w:t xml:space="preserve">Yuflyma </w:t>
      </w:r>
      <w:r w:rsidR="00D44E6D" w:rsidRPr="008F328C">
        <w:rPr>
          <w:rFonts w:eastAsia="Times New Roman"/>
          <w:lang w:val="pl-PL"/>
        </w:rPr>
        <w:t>8</w:t>
      </w:r>
      <w:r w:rsidRPr="008F328C">
        <w:rPr>
          <w:rFonts w:eastAsia="Times New Roman"/>
          <w:lang w:val="pl-PL"/>
        </w:rPr>
        <w:t>0 mg do wstrzykiwań</w:t>
      </w:r>
    </w:p>
    <w:p w14:paraId="6F13D7C9" w14:textId="77777777" w:rsidR="003C02D5" w:rsidRPr="008F328C" w:rsidRDefault="003C02D5" w:rsidP="003C02D5">
      <w:pPr>
        <w:pStyle w:val="a3"/>
        <w:rPr>
          <w:lang w:val="pl-PL"/>
        </w:rPr>
      </w:pPr>
      <w:r w:rsidRPr="008F328C">
        <w:rPr>
          <w:rFonts w:eastAsia="Times New Roman"/>
          <w:lang w:val="pl-PL"/>
        </w:rPr>
        <w:t>adalimumab</w:t>
      </w:r>
    </w:p>
    <w:p w14:paraId="674A30C7" w14:textId="77777777" w:rsidR="003C02D5" w:rsidRPr="008F328C" w:rsidRDefault="003C02D5" w:rsidP="003C02D5">
      <w:pPr>
        <w:pStyle w:val="a3"/>
        <w:rPr>
          <w:lang w:val="pl-PL"/>
        </w:rPr>
      </w:pPr>
      <w:r w:rsidRPr="008F328C">
        <w:rPr>
          <w:rFonts w:eastAsia="Times New Roman"/>
          <w:lang w:val="pl-PL"/>
        </w:rPr>
        <w:t>Podanie podskórne</w:t>
      </w:r>
    </w:p>
    <w:p w14:paraId="02FA1A47"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4D1D15F2" w14:textId="77777777" w:rsidTr="008871F4">
        <w:trPr>
          <w:trHeight w:val="317"/>
        </w:trPr>
        <w:tc>
          <w:tcPr>
            <w:tcW w:w="9666" w:type="dxa"/>
            <w:vAlign w:val="center"/>
          </w:tcPr>
          <w:p w14:paraId="4FCED70E" w14:textId="77777777" w:rsidR="003C02D5" w:rsidRPr="008F328C" w:rsidRDefault="003C02D5" w:rsidP="008E70FE">
            <w:pPr>
              <w:numPr>
                <w:ilvl w:val="0"/>
                <w:numId w:val="122"/>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PODAWANIA</w:t>
            </w:r>
          </w:p>
        </w:tc>
      </w:tr>
    </w:tbl>
    <w:p w14:paraId="404D2B6F" w14:textId="0152917A" w:rsidR="003C02D5" w:rsidRPr="008F328C" w:rsidRDefault="003C02D5" w:rsidP="003C02D5">
      <w:pPr>
        <w:spacing w:before="13" w:line="280" w:lineRule="exact"/>
        <w:rPr>
          <w:rFonts w:ascii="Times New Roman" w:hAnsi="Times New Roman" w:cs="Times New Roman"/>
          <w:sz w:val="28"/>
          <w:szCs w:val="28"/>
          <w:lang w:val="pl-PL"/>
        </w:rPr>
      </w:pPr>
    </w:p>
    <w:p w14:paraId="57A3B4C9" w14:textId="77777777" w:rsidR="00CC4159" w:rsidRPr="008F328C" w:rsidRDefault="00CC4159" w:rsidP="003C02D5">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5F7B6C72" w14:textId="77777777" w:rsidTr="008871F4">
        <w:trPr>
          <w:trHeight w:val="317"/>
        </w:trPr>
        <w:tc>
          <w:tcPr>
            <w:tcW w:w="9666" w:type="dxa"/>
            <w:vAlign w:val="center"/>
          </w:tcPr>
          <w:p w14:paraId="6B881ADC" w14:textId="77777777" w:rsidR="003C02D5" w:rsidRPr="008F328C" w:rsidRDefault="003C02D5" w:rsidP="008E70FE">
            <w:pPr>
              <w:numPr>
                <w:ilvl w:val="0"/>
                <w:numId w:val="122"/>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1CFC3B71" w14:textId="77777777" w:rsidR="003C02D5" w:rsidRPr="008F328C" w:rsidRDefault="003C02D5" w:rsidP="003C02D5">
      <w:pPr>
        <w:pStyle w:val="a3"/>
        <w:rPr>
          <w:lang w:val="pl-PL"/>
        </w:rPr>
      </w:pPr>
    </w:p>
    <w:p w14:paraId="59A9D84A" w14:textId="56660B73" w:rsidR="003C02D5" w:rsidRPr="008F328C" w:rsidRDefault="003C02D5" w:rsidP="003C02D5">
      <w:pPr>
        <w:pStyle w:val="a3"/>
        <w:rPr>
          <w:lang w:val="pl-PL"/>
        </w:rPr>
      </w:pPr>
      <w:r w:rsidRPr="008F328C">
        <w:rPr>
          <w:rFonts w:eastAsia="Times New Roman"/>
          <w:lang w:val="pl-PL"/>
        </w:rPr>
        <w:t>EXP</w:t>
      </w:r>
    </w:p>
    <w:p w14:paraId="63DB87AA"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600A2FF8" w14:textId="77777777" w:rsidTr="008871F4">
        <w:trPr>
          <w:trHeight w:val="317"/>
        </w:trPr>
        <w:tc>
          <w:tcPr>
            <w:tcW w:w="9666" w:type="dxa"/>
            <w:vAlign w:val="center"/>
          </w:tcPr>
          <w:p w14:paraId="77F07D77" w14:textId="77777777" w:rsidR="003C02D5" w:rsidRPr="008F328C" w:rsidRDefault="003C02D5" w:rsidP="008E70FE">
            <w:pPr>
              <w:numPr>
                <w:ilvl w:val="0"/>
                <w:numId w:val="122"/>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01DF331C" w14:textId="77777777" w:rsidR="003C02D5" w:rsidRPr="008F328C" w:rsidRDefault="003C02D5" w:rsidP="003C02D5">
      <w:pPr>
        <w:pStyle w:val="a3"/>
        <w:rPr>
          <w:lang w:val="pl-PL"/>
        </w:rPr>
      </w:pPr>
    </w:p>
    <w:p w14:paraId="6AB86FDE" w14:textId="77777777" w:rsidR="003C02D5" w:rsidRPr="008F328C" w:rsidRDefault="003C02D5" w:rsidP="003C02D5">
      <w:pPr>
        <w:pStyle w:val="a3"/>
        <w:rPr>
          <w:lang w:val="pl-PL"/>
        </w:rPr>
      </w:pPr>
      <w:r w:rsidRPr="008F328C">
        <w:rPr>
          <w:rFonts w:eastAsia="Times New Roman"/>
          <w:lang w:val="pl-PL"/>
        </w:rPr>
        <w:t>Lot</w:t>
      </w:r>
    </w:p>
    <w:p w14:paraId="1C864984" w14:textId="77777777" w:rsidR="003C02D5" w:rsidRPr="008F328C" w:rsidRDefault="003C02D5" w:rsidP="003C02D5">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494296" w14:paraId="47D0F586" w14:textId="77777777" w:rsidTr="008871F4">
        <w:trPr>
          <w:trHeight w:val="317"/>
        </w:trPr>
        <w:tc>
          <w:tcPr>
            <w:tcW w:w="9666" w:type="dxa"/>
            <w:vAlign w:val="center"/>
          </w:tcPr>
          <w:p w14:paraId="66BEFBDB" w14:textId="77777777" w:rsidR="003C02D5" w:rsidRPr="008F328C" w:rsidRDefault="003C02D5" w:rsidP="008E70FE">
            <w:pPr>
              <w:numPr>
                <w:ilvl w:val="0"/>
                <w:numId w:val="122"/>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OPAKOWANIA Z PODANIEM MASY, OBJĘTOŚCI LUB LICZBY JEDNOSTEK</w:t>
            </w:r>
          </w:p>
        </w:tc>
      </w:tr>
    </w:tbl>
    <w:p w14:paraId="3667DDE9" w14:textId="77777777" w:rsidR="003C02D5" w:rsidRPr="008F328C" w:rsidRDefault="003C02D5" w:rsidP="003C02D5">
      <w:pPr>
        <w:spacing w:before="13" w:line="280" w:lineRule="exact"/>
        <w:rPr>
          <w:rFonts w:ascii="Times New Roman" w:hAnsi="Times New Roman" w:cs="Times New Roman"/>
          <w:sz w:val="28"/>
          <w:szCs w:val="28"/>
          <w:lang w:val="pl-PL"/>
        </w:rPr>
      </w:pPr>
    </w:p>
    <w:p w14:paraId="49B91161" w14:textId="78A96CEE" w:rsidR="003C02D5" w:rsidRPr="008F328C" w:rsidRDefault="00D44E6D" w:rsidP="003C02D5">
      <w:pPr>
        <w:pStyle w:val="a3"/>
        <w:rPr>
          <w:lang w:val="pl-PL"/>
        </w:rPr>
      </w:pPr>
      <w:r w:rsidRPr="008F328C">
        <w:rPr>
          <w:rFonts w:eastAsia="Times New Roman"/>
          <w:lang w:val="pl-PL"/>
        </w:rPr>
        <w:t>8</w:t>
      </w:r>
      <w:r w:rsidR="003C02D5" w:rsidRPr="008F328C">
        <w:rPr>
          <w:rFonts w:eastAsia="Times New Roman"/>
          <w:lang w:val="pl-PL"/>
        </w:rPr>
        <w:t>0 mg/0,</w:t>
      </w:r>
      <w:r w:rsidRPr="008F328C">
        <w:rPr>
          <w:rFonts w:eastAsia="Times New Roman"/>
          <w:lang w:val="pl-PL"/>
        </w:rPr>
        <w:t>8</w:t>
      </w:r>
      <w:r w:rsidR="003C02D5" w:rsidRPr="008F328C">
        <w:rPr>
          <w:rFonts w:eastAsia="Times New Roman"/>
          <w:lang w:val="pl-PL"/>
        </w:rPr>
        <w:t xml:space="preserve"> ml</w:t>
      </w:r>
    </w:p>
    <w:p w14:paraId="38E6318C" w14:textId="77777777" w:rsidR="003C02D5" w:rsidRPr="008F328C" w:rsidRDefault="003C02D5" w:rsidP="003C02D5">
      <w:pPr>
        <w:spacing w:before="13" w:line="280" w:lineRule="exact"/>
        <w:rPr>
          <w:rFonts w:ascii="Times New Roman" w:hAnsi="Times New Roman" w:cs="Times New Roman"/>
          <w:sz w:val="28"/>
          <w:szCs w:val="28"/>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3C02D5" w:rsidRPr="008F328C" w14:paraId="2B00F41F" w14:textId="77777777" w:rsidTr="008871F4">
        <w:trPr>
          <w:trHeight w:val="317"/>
        </w:trPr>
        <w:tc>
          <w:tcPr>
            <w:tcW w:w="9666" w:type="dxa"/>
            <w:vAlign w:val="center"/>
          </w:tcPr>
          <w:p w14:paraId="7207A990" w14:textId="6AD13390" w:rsidR="003C02D5" w:rsidRPr="008F328C" w:rsidRDefault="007A37BE" w:rsidP="008E70FE">
            <w:pPr>
              <w:numPr>
                <w:ilvl w:val="0"/>
                <w:numId w:val="122"/>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INNE</w:t>
            </w:r>
          </w:p>
        </w:tc>
      </w:tr>
    </w:tbl>
    <w:p w14:paraId="5EA21803" w14:textId="45EA146D" w:rsidR="00CC4159" w:rsidRPr="008F328C" w:rsidRDefault="00CC4159" w:rsidP="003C02D5">
      <w:pPr>
        <w:pStyle w:val="a3"/>
        <w:rPr>
          <w:lang w:val="pl-PL"/>
        </w:rPr>
      </w:pPr>
    </w:p>
    <w:p w14:paraId="401E7FBA" w14:textId="77777777" w:rsidR="00CC4159" w:rsidRPr="008F328C" w:rsidRDefault="00CC4159">
      <w:pPr>
        <w:rPr>
          <w:rFonts w:ascii="Times New Roman" w:hAnsi="Times New Roman" w:cs="Times New Roman"/>
          <w:lang w:val="pl-PL"/>
        </w:rPr>
      </w:pPr>
      <w:r w:rsidRPr="008F328C">
        <w:rPr>
          <w:rFonts w:ascii="Times New Roman" w:hAnsi="Times New Roman" w:cs="Times New Roman"/>
          <w:lang w:val="pl-PL"/>
        </w:rPr>
        <w:br w:type="page"/>
      </w:r>
    </w:p>
    <w:tbl>
      <w:tblPr>
        <w:tblStyle w:val="ac"/>
        <w:tblW w:w="9666" w:type="dxa"/>
        <w:tblLook w:val="04A0" w:firstRow="1" w:lastRow="0" w:firstColumn="1" w:lastColumn="0" w:noHBand="0" w:noVBand="1"/>
      </w:tblPr>
      <w:tblGrid>
        <w:gridCol w:w="9666"/>
      </w:tblGrid>
      <w:tr w:rsidR="0059538A" w:rsidRPr="00494296" w14:paraId="00414752" w14:textId="77777777" w:rsidTr="00ED6A7B">
        <w:trPr>
          <w:trHeight w:val="822"/>
        </w:trPr>
        <w:tc>
          <w:tcPr>
            <w:tcW w:w="9666" w:type="dxa"/>
            <w:vAlign w:val="center"/>
          </w:tcPr>
          <w:p w14:paraId="13386491" w14:textId="77777777" w:rsidR="0059538A" w:rsidRPr="008F328C" w:rsidRDefault="0059538A" w:rsidP="00ED6A7B">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lastRenderedPageBreak/>
              <w:t>INFORMACJE ZAMIESZCZANE NA OPAKOWANIACH ZEWNĘTRZNYCH</w:t>
            </w:r>
          </w:p>
          <w:p w14:paraId="7576DD0C" w14:textId="77777777" w:rsidR="0059538A" w:rsidRPr="008F328C" w:rsidRDefault="0059538A" w:rsidP="00ED6A7B">
            <w:pPr>
              <w:spacing w:line="180" w:lineRule="exact"/>
              <w:jc w:val="both"/>
              <w:rPr>
                <w:rFonts w:ascii="Times New Roman" w:hAnsi="Times New Roman" w:cs="Times New Roman"/>
                <w:lang w:val="pl-PL"/>
              </w:rPr>
            </w:pPr>
          </w:p>
          <w:p w14:paraId="6C0B1569" w14:textId="77777777" w:rsidR="0059538A" w:rsidRPr="008F328C" w:rsidRDefault="0059538A" w:rsidP="00ED6A7B">
            <w:pPr>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ZEWNĘTRZNE OPAKOWANIE KARTONOWE AMPUŁKO-STRZYKAWKI </w:t>
            </w:r>
          </w:p>
        </w:tc>
      </w:tr>
    </w:tbl>
    <w:p w14:paraId="6359D719" w14:textId="77777777" w:rsidR="0059538A" w:rsidRPr="008F328C" w:rsidRDefault="0059538A" w:rsidP="0059538A">
      <w:pPr>
        <w:spacing w:line="200" w:lineRule="exact"/>
        <w:rPr>
          <w:rFonts w:ascii="Times New Roman" w:hAnsi="Times New Roman" w:cs="Times New Roman"/>
          <w:lang w:val="pl-PL"/>
        </w:rPr>
      </w:pPr>
    </w:p>
    <w:p w14:paraId="089DD0C6" w14:textId="77777777" w:rsidR="0059538A" w:rsidRPr="008F328C" w:rsidRDefault="0059538A" w:rsidP="0059538A">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59538A" w:rsidRPr="008F328C" w14:paraId="3A9D343F" w14:textId="77777777" w:rsidTr="00ED6A7B">
        <w:trPr>
          <w:trHeight w:val="317"/>
        </w:trPr>
        <w:tc>
          <w:tcPr>
            <w:tcW w:w="9666" w:type="dxa"/>
            <w:vAlign w:val="center"/>
          </w:tcPr>
          <w:p w14:paraId="295EF301" w14:textId="77777777" w:rsidR="0059538A" w:rsidRPr="008F328C" w:rsidRDefault="0059538A" w:rsidP="008F328C">
            <w:pPr>
              <w:numPr>
                <w:ilvl w:val="0"/>
                <w:numId w:val="132"/>
              </w:numPr>
              <w:tabs>
                <w:tab w:val="left" w:pos="672"/>
              </w:tabs>
              <w:ind w:left="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NAZWA PRODUKTU LECZNICZEGO</w:t>
            </w:r>
          </w:p>
        </w:tc>
      </w:tr>
    </w:tbl>
    <w:p w14:paraId="3BEA2848" w14:textId="77777777" w:rsidR="0059538A" w:rsidRPr="008F328C" w:rsidRDefault="0059538A" w:rsidP="0059538A">
      <w:pPr>
        <w:spacing w:line="200" w:lineRule="exact"/>
        <w:rPr>
          <w:rFonts w:ascii="Times New Roman" w:hAnsi="Times New Roman" w:cs="Times New Roman"/>
          <w:lang w:val="pl-PL"/>
        </w:rPr>
      </w:pPr>
    </w:p>
    <w:p w14:paraId="2118325E" w14:textId="087C09F2" w:rsidR="0059538A" w:rsidRPr="008F328C" w:rsidRDefault="0059538A" w:rsidP="0059538A">
      <w:pPr>
        <w:pStyle w:val="a3"/>
        <w:rPr>
          <w:lang w:val="pl-PL"/>
        </w:rPr>
      </w:pPr>
      <w:r w:rsidRPr="008F328C">
        <w:rPr>
          <w:rFonts w:eastAsia="Times New Roman"/>
          <w:lang w:val="pl-PL"/>
        </w:rPr>
        <w:t xml:space="preserve">Yuflyma </w:t>
      </w:r>
      <w:r w:rsidR="002525CB" w:rsidRPr="008F328C">
        <w:rPr>
          <w:rFonts w:eastAsia="Times New Roman"/>
          <w:lang w:val="pl-PL"/>
        </w:rPr>
        <w:t>20</w:t>
      </w:r>
      <w:r w:rsidRPr="008F328C">
        <w:rPr>
          <w:rFonts w:eastAsia="Times New Roman"/>
          <w:lang w:val="pl-PL"/>
        </w:rPr>
        <w:t> mg roztwór do wstrzykiwań w ampułko-strzykawce</w:t>
      </w:r>
    </w:p>
    <w:p w14:paraId="3850FC51" w14:textId="77777777" w:rsidR="0059538A" w:rsidRPr="008F328C" w:rsidRDefault="0059538A" w:rsidP="0059538A">
      <w:pPr>
        <w:pStyle w:val="a3"/>
        <w:rPr>
          <w:lang w:val="pl-PL"/>
        </w:rPr>
      </w:pPr>
      <w:r w:rsidRPr="008F328C">
        <w:rPr>
          <w:rFonts w:eastAsia="Times New Roman"/>
          <w:lang w:val="pl-PL"/>
        </w:rPr>
        <w:t>adalimumab</w:t>
      </w:r>
    </w:p>
    <w:p w14:paraId="15EC83CC"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798B553E" w14:textId="77777777" w:rsidTr="00ED6A7B">
        <w:trPr>
          <w:trHeight w:val="317"/>
        </w:trPr>
        <w:tc>
          <w:tcPr>
            <w:tcW w:w="9666" w:type="dxa"/>
            <w:vAlign w:val="center"/>
          </w:tcPr>
          <w:p w14:paraId="2D88F0D1"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SUBSTANCJI CZYNNEJ</w:t>
            </w:r>
          </w:p>
        </w:tc>
      </w:tr>
    </w:tbl>
    <w:p w14:paraId="71522B20" w14:textId="77777777" w:rsidR="0059538A" w:rsidRPr="008F328C" w:rsidRDefault="0059538A" w:rsidP="0059538A">
      <w:pPr>
        <w:spacing w:before="13" w:line="280" w:lineRule="exact"/>
        <w:rPr>
          <w:rFonts w:ascii="Times New Roman" w:hAnsi="Times New Roman" w:cs="Times New Roman"/>
          <w:lang w:val="pl-PL"/>
        </w:rPr>
      </w:pPr>
    </w:p>
    <w:p w14:paraId="784D5159" w14:textId="718D5053" w:rsidR="0059538A" w:rsidRPr="008F328C" w:rsidRDefault="0059538A" w:rsidP="0059538A">
      <w:pPr>
        <w:pStyle w:val="a3"/>
        <w:rPr>
          <w:lang w:val="pl-PL"/>
        </w:rPr>
      </w:pPr>
      <w:r w:rsidRPr="008F328C">
        <w:rPr>
          <w:rFonts w:eastAsia="Times New Roman"/>
          <w:lang w:val="pl-PL"/>
        </w:rPr>
        <w:t>Jedna ampułko-strzykawka 0,</w:t>
      </w:r>
      <w:r w:rsidR="002525CB" w:rsidRPr="008F328C">
        <w:rPr>
          <w:rFonts w:eastAsia="Times New Roman"/>
          <w:lang w:val="pl-PL"/>
        </w:rPr>
        <w:t>2</w:t>
      </w:r>
      <w:r w:rsidRPr="008F328C">
        <w:rPr>
          <w:rFonts w:eastAsia="Times New Roman"/>
          <w:lang w:val="pl-PL"/>
        </w:rPr>
        <w:t> ml zawie</w:t>
      </w:r>
      <w:r w:rsidR="002525CB" w:rsidRPr="008F328C">
        <w:rPr>
          <w:rFonts w:eastAsia="Times New Roman"/>
          <w:lang w:val="pl-PL"/>
        </w:rPr>
        <w:t>ra 2</w:t>
      </w:r>
      <w:r w:rsidRPr="008F328C">
        <w:rPr>
          <w:rFonts w:eastAsia="Times New Roman"/>
          <w:lang w:val="pl-PL"/>
        </w:rPr>
        <w:t>0 mg adalimumabu.</w:t>
      </w:r>
    </w:p>
    <w:p w14:paraId="4936C4BC" w14:textId="77777777" w:rsidR="0059538A" w:rsidRPr="008F328C" w:rsidRDefault="0059538A" w:rsidP="0059538A">
      <w:pPr>
        <w:spacing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34D0B690" w14:textId="77777777" w:rsidTr="00ED6A7B">
        <w:trPr>
          <w:trHeight w:val="317"/>
        </w:trPr>
        <w:tc>
          <w:tcPr>
            <w:tcW w:w="9666" w:type="dxa"/>
            <w:vAlign w:val="center"/>
          </w:tcPr>
          <w:p w14:paraId="55262E72"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WYKAZ SUBSTANCJI POMOCNICZYCH</w:t>
            </w:r>
          </w:p>
        </w:tc>
      </w:tr>
    </w:tbl>
    <w:p w14:paraId="45F88269" w14:textId="77777777" w:rsidR="0059538A" w:rsidRPr="008F328C" w:rsidRDefault="0059538A" w:rsidP="0059538A">
      <w:pPr>
        <w:pStyle w:val="a3"/>
        <w:rPr>
          <w:lang w:val="pl-PL"/>
        </w:rPr>
      </w:pPr>
    </w:p>
    <w:p w14:paraId="69AFD6A6" w14:textId="77777777" w:rsidR="0059538A" w:rsidRPr="008F328C" w:rsidRDefault="0059538A" w:rsidP="0059538A">
      <w:pPr>
        <w:pStyle w:val="a3"/>
        <w:rPr>
          <w:lang w:val="pl-PL"/>
        </w:rPr>
      </w:pPr>
      <w:r w:rsidRPr="008F328C">
        <w:rPr>
          <w:rFonts w:eastAsia="Times New Roman"/>
          <w:lang w:val="pl-PL"/>
        </w:rPr>
        <w:t xml:space="preserve">Substancje pomocnicze: kwas octowy, sodu octan trójwodny, glicyna, polisorbat 80, woda do wstrzykiwań. </w:t>
      </w:r>
    </w:p>
    <w:p w14:paraId="19CA9CB6" w14:textId="77777777" w:rsidR="0059538A" w:rsidRPr="008F328C" w:rsidRDefault="0059538A" w:rsidP="0059538A">
      <w:pPr>
        <w:pStyle w:val="a3"/>
        <w:rPr>
          <w:lang w:val="pl-PL"/>
        </w:rPr>
      </w:pPr>
      <w:r w:rsidRPr="008F328C">
        <w:rPr>
          <w:rFonts w:eastAsia="Times New Roman"/>
          <w:highlight w:val="lightGray"/>
          <w:lang w:val="pl-PL"/>
        </w:rPr>
        <w:t>W celu uzyskania dalszych informacji patrz ulotka załączona do opakowania.</w:t>
      </w:r>
    </w:p>
    <w:p w14:paraId="0CEAB601" w14:textId="77777777" w:rsidR="0059538A" w:rsidRPr="008F328C" w:rsidRDefault="0059538A" w:rsidP="0059538A">
      <w:pPr>
        <w:pStyle w:val="a3"/>
        <w:tabs>
          <w:tab w:val="left" w:pos="1386"/>
        </w:tabs>
        <w:rPr>
          <w:lang w:val="pl-PL"/>
        </w:rPr>
      </w:pPr>
      <w:r w:rsidRPr="008F328C">
        <w:rPr>
          <w:lang w:val="pl-PL"/>
        </w:rPr>
        <w:tab/>
      </w: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D54497" w14:paraId="10F65F47" w14:textId="77777777" w:rsidTr="00ED6A7B">
        <w:trPr>
          <w:trHeight w:val="317"/>
        </w:trPr>
        <w:tc>
          <w:tcPr>
            <w:tcW w:w="9666" w:type="dxa"/>
            <w:vAlign w:val="center"/>
          </w:tcPr>
          <w:p w14:paraId="23550D92"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POSTAĆ FARMACEUTYCZNA I ZAWARTOŚĆ OPAKOWANIA</w:t>
            </w:r>
          </w:p>
        </w:tc>
      </w:tr>
    </w:tbl>
    <w:p w14:paraId="56B1D3F9" w14:textId="77777777" w:rsidR="0059538A" w:rsidRPr="008F328C" w:rsidRDefault="0059538A" w:rsidP="0059538A">
      <w:pPr>
        <w:pStyle w:val="a3"/>
        <w:rPr>
          <w:lang w:val="pl-PL"/>
        </w:rPr>
      </w:pPr>
    </w:p>
    <w:p w14:paraId="7F1DE599" w14:textId="77777777" w:rsidR="0059538A" w:rsidRPr="008F328C" w:rsidRDefault="0059538A" w:rsidP="0059538A">
      <w:pPr>
        <w:pStyle w:val="a3"/>
        <w:rPr>
          <w:lang w:val="pl-PL"/>
        </w:rPr>
      </w:pPr>
      <w:r w:rsidRPr="008F328C">
        <w:rPr>
          <w:rFonts w:eastAsia="Times New Roman"/>
          <w:highlight w:val="lightGray"/>
          <w:lang w:val="pl-PL"/>
        </w:rPr>
        <w:t>Roztwór do wstrzykiwań</w:t>
      </w:r>
    </w:p>
    <w:p w14:paraId="07DD90E1" w14:textId="77777777" w:rsidR="00474BAE" w:rsidRPr="008F328C" w:rsidRDefault="00474BAE" w:rsidP="00474BAE">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1 ampułko-strzykawka</w:t>
      </w:r>
    </w:p>
    <w:p w14:paraId="5A0BBB83" w14:textId="77777777" w:rsidR="00474BAE" w:rsidRPr="008F328C" w:rsidRDefault="00474BAE" w:rsidP="00AC35E3">
      <w:pPr>
        <w:autoSpaceDE w:val="0"/>
        <w:autoSpaceDN w:val="0"/>
        <w:adjustRightInd w:val="0"/>
        <w:rPr>
          <w:rFonts w:ascii="Times New Roman" w:hAnsi="Times New Roman" w:cs="Times New Roman"/>
          <w:lang w:val="pl-PL"/>
        </w:rPr>
      </w:pPr>
      <w:r w:rsidRPr="008F328C">
        <w:rPr>
          <w:rFonts w:ascii="Times New Roman" w:eastAsia="Times New Roman" w:hAnsi="Times New Roman" w:cs="Times New Roman"/>
          <w:lang w:val="pl-PL"/>
        </w:rPr>
        <w:t>2 gaziki nasączone alkoholem</w:t>
      </w:r>
    </w:p>
    <w:p w14:paraId="7B3DFC09" w14:textId="77777777" w:rsidR="00474BAE" w:rsidRDefault="00474BAE" w:rsidP="002525CB">
      <w:pPr>
        <w:autoSpaceDE w:val="0"/>
        <w:autoSpaceDN w:val="0"/>
        <w:adjustRightInd w:val="0"/>
        <w:ind w:leftChars="164" w:left="361"/>
        <w:rPr>
          <w:rFonts w:ascii="Times New Roman" w:hAnsi="Times New Roman" w:cs="Times New Roman"/>
          <w:lang w:val="pl-PL" w:eastAsia="ko-KR"/>
        </w:rPr>
      </w:pPr>
    </w:p>
    <w:p w14:paraId="1B44B784" w14:textId="77777777" w:rsidR="002525CB" w:rsidRPr="00AC35E3" w:rsidRDefault="002525CB" w:rsidP="002525CB">
      <w:pPr>
        <w:autoSpaceDE w:val="0"/>
        <w:autoSpaceDN w:val="0"/>
        <w:adjustRightInd w:val="0"/>
        <w:rPr>
          <w:rFonts w:ascii="Times New Roman" w:hAnsi="Times New Roman"/>
          <w:highlight w:val="lightGray"/>
          <w:lang w:val="pl-PL"/>
        </w:rPr>
      </w:pPr>
      <w:r w:rsidRPr="00AC35E3">
        <w:rPr>
          <w:rFonts w:ascii="Times New Roman" w:hAnsi="Times New Roman"/>
          <w:highlight w:val="lightGray"/>
          <w:lang w:val="pl-PL"/>
        </w:rPr>
        <w:t>2 ampułko-strzykawki</w:t>
      </w:r>
    </w:p>
    <w:p w14:paraId="080115FE" w14:textId="77777777" w:rsidR="0059538A" w:rsidRPr="008F328C" w:rsidRDefault="0059538A" w:rsidP="0059538A">
      <w:pPr>
        <w:autoSpaceDE w:val="0"/>
        <w:autoSpaceDN w:val="0"/>
        <w:adjustRightInd w:val="0"/>
        <w:rPr>
          <w:rFonts w:ascii="Times New Roman" w:hAnsi="Times New Roman" w:cs="Times New Roman"/>
          <w:lang w:val="pl-PL"/>
        </w:rPr>
      </w:pPr>
      <w:r w:rsidRPr="00AC35E3">
        <w:rPr>
          <w:rFonts w:ascii="Times New Roman" w:hAnsi="Times New Roman"/>
          <w:highlight w:val="lightGray"/>
          <w:lang w:val="pl-PL"/>
        </w:rPr>
        <w:t>2 gaziki nasączone alkoholem</w:t>
      </w:r>
    </w:p>
    <w:p w14:paraId="5CA4B97D" w14:textId="77777777" w:rsidR="0059538A" w:rsidRPr="008F328C" w:rsidRDefault="0059538A" w:rsidP="0059538A">
      <w:pPr>
        <w:spacing w:line="200" w:lineRule="exact"/>
        <w:rPr>
          <w:rFonts w:ascii="Times New Roman" w:hAnsi="Times New Roman" w:cs="Times New Roman"/>
          <w:lang w:val="pl-PL"/>
        </w:rPr>
      </w:pPr>
    </w:p>
    <w:p w14:paraId="366CCFF2" w14:textId="77777777" w:rsidR="0059538A" w:rsidRPr="008F328C" w:rsidRDefault="0059538A" w:rsidP="0059538A">
      <w:pPr>
        <w:spacing w:line="20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453808D0" w14:textId="77777777" w:rsidTr="00ED6A7B">
        <w:trPr>
          <w:trHeight w:val="317"/>
        </w:trPr>
        <w:tc>
          <w:tcPr>
            <w:tcW w:w="9666" w:type="dxa"/>
            <w:vAlign w:val="center"/>
          </w:tcPr>
          <w:p w14:paraId="07724119"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I DROGA PODANIA</w:t>
            </w:r>
          </w:p>
        </w:tc>
      </w:tr>
    </w:tbl>
    <w:p w14:paraId="11B6FE43" w14:textId="77777777" w:rsidR="0059538A" w:rsidRPr="008F328C" w:rsidRDefault="0059538A" w:rsidP="0059538A">
      <w:pPr>
        <w:spacing w:line="200" w:lineRule="exact"/>
        <w:rPr>
          <w:rFonts w:ascii="Times New Roman" w:hAnsi="Times New Roman" w:cs="Times New Roman"/>
          <w:lang w:val="pl-PL"/>
        </w:rPr>
      </w:pPr>
    </w:p>
    <w:p w14:paraId="34451CFE" w14:textId="77777777" w:rsidR="0059538A" w:rsidRPr="008F328C" w:rsidRDefault="0059538A" w:rsidP="0059538A">
      <w:pPr>
        <w:pStyle w:val="a3"/>
        <w:rPr>
          <w:lang w:val="pl-PL"/>
        </w:rPr>
      </w:pPr>
      <w:r w:rsidRPr="008F328C">
        <w:rPr>
          <w:rFonts w:eastAsia="Times New Roman"/>
          <w:lang w:val="pl-PL"/>
        </w:rPr>
        <w:t>Podanie podskórne</w:t>
      </w:r>
    </w:p>
    <w:p w14:paraId="5A760F25" w14:textId="77777777" w:rsidR="0059538A" w:rsidRPr="008F328C" w:rsidRDefault="0059538A" w:rsidP="0059538A">
      <w:pPr>
        <w:pStyle w:val="a3"/>
        <w:rPr>
          <w:lang w:val="pl-PL"/>
        </w:rPr>
      </w:pPr>
    </w:p>
    <w:p w14:paraId="7E2FD43B" w14:textId="77777777" w:rsidR="0059538A" w:rsidRPr="008F328C" w:rsidRDefault="0059538A" w:rsidP="0059538A">
      <w:pPr>
        <w:pStyle w:val="a3"/>
        <w:rPr>
          <w:lang w:val="pl-PL"/>
        </w:rPr>
      </w:pPr>
      <w:r w:rsidRPr="008F328C">
        <w:rPr>
          <w:rFonts w:eastAsia="Times New Roman"/>
          <w:lang w:val="pl-PL"/>
        </w:rPr>
        <w:t>Należy zapoznać się z treścią ulotki przed zastosowaniem leku.</w:t>
      </w:r>
    </w:p>
    <w:p w14:paraId="0BEDDAD1" w14:textId="77777777" w:rsidR="0059538A" w:rsidRPr="008F328C" w:rsidRDefault="0059538A" w:rsidP="0059538A">
      <w:pPr>
        <w:pStyle w:val="a3"/>
        <w:rPr>
          <w:lang w:val="pl-PL"/>
        </w:rPr>
      </w:pPr>
    </w:p>
    <w:p w14:paraId="3EF02F4F" w14:textId="6537B1B3" w:rsidR="0059538A" w:rsidRPr="008F328C" w:rsidRDefault="0059538A" w:rsidP="0059538A">
      <w:pPr>
        <w:pStyle w:val="a3"/>
        <w:rPr>
          <w:rFonts w:eastAsia="Times New Roman"/>
          <w:lang w:val="pl-PL"/>
        </w:rPr>
      </w:pPr>
      <w:r w:rsidRPr="008F328C">
        <w:rPr>
          <w:rFonts w:eastAsia="Times New Roman"/>
          <w:lang w:val="pl-PL"/>
        </w:rPr>
        <w:t>Produkt wyłącznie do jednorazowego użytku.</w:t>
      </w:r>
    </w:p>
    <w:p w14:paraId="24A9009D" w14:textId="20E20063" w:rsidR="002525CB" w:rsidRPr="008F328C" w:rsidRDefault="002525CB" w:rsidP="0059538A">
      <w:pPr>
        <w:pStyle w:val="a3"/>
        <w:rPr>
          <w:rFonts w:eastAsia="Times New Roman"/>
          <w:lang w:val="pl-PL"/>
        </w:rPr>
      </w:pPr>
    </w:p>
    <w:p w14:paraId="1935901D" w14:textId="65B974B4" w:rsidR="002525CB" w:rsidRPr="008F328C" w:rsidRDefault="002525CB" w:rsidP="0059538A">
      <w:pPr>
        <w:pStyle w:val="a3"/>
        <w:rPr>
          <w:rFonts w:eastAsia="Times New Roman"/>
          <w:lang w:val="pl-PL"/>
        </w:rPr>
      </w:pPr>
      <w:r w:rsidRPr="008F328C">
        <w:rPr>
          <w:rFonts w:eastAsia="Times New Roman"/>
          <w:lang w:val="pl-PL"/>
        </w:rPr>
        <w:t>Do stosowania u dzieci i młodzieży</w:t>
      </w:r>
    </w:p>
    <w:p w14:paraId="1F53CA0F"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55D9F2B6" w14:textId="77777777" w:rsidTr="00ED6A7B">
        <w:trPr>
          <w:trHeight w:val="317"/>
        </w:trPr>
        <w:tc>
          <w:tcPr>
            <w:tcW w:w="9666" w:type="dxa"/>
            <w:vAlign w:val="center"/>
          </w:tcPr>
          <w:p w14:paraId="6C7B6B8D"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OSTRZEŻENIE DOTYCZĄCE PRZECHOWYWANIA PRODUKTU LECZNICZEGO W MIEJSCU NIEWIDOCZNYM I NIEDOSTĘPNYM DLA DZIECI</w:t>
            </w:r>
          </w:p>
        </w:tc>
      </w:tr>
    </w:tbl>
    <w:p w14:paraId="25411EF0" w14:textId="77777777" w:rsidR="0059538A" w:rsidRPr="008F328C" w:rsidRDefault="0059538A" w:rsidP="0059538A">
      <w:pPr>
        <w:spacing w:before="1" w:line="200" w:lineRule="exact"/>
        <w:rPr>
          <w:rFonts w:ascii="Times New Roman" w:hAnsi="Times New Roman" w:cs="Times New Roman"/>
          <w:lang w:val="pl-PL"/>
        </w:rPr>
      </w:pPr>
    </w:p>
    <w:p w14:paraId="4E4CA977" w14:textId="77777777" w:rsidR="0059538A" w:rsidRPr="008F328C" w:rsidRDefault="0059538A" w:rsidP="0059538A">
      <w:pPr>
        <w:pStyle w:val="a3"/>
        <w:rPr>
          <w:lang w:val="pl-PL"/>
        </w:rPr>
      </w:pPr>
      <w:r w:rsidRPr="008F328C">
        <w:rPr>
          <w:rFonts w:eastAsia="Times New Roman"/>
          <w:lang w:val="pl-PL"/>
        </w:rPr>
        <w:t>Lek przechowywać w miejscu niewidocznym i niedostępnym dla dzieci.</w:t>
      </w:r>
    </w:p>
    <w:p w14:paraId="6E0E109F"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267A920A" w14:textId="77777777" w:rsidTr="00ED6A7B">
        <w:trPr>
          <w:trHeight w:val="317"/>
        </w:trPr>
        <w:tc>
          <w:tcPr>
            <w:tcW w:w="9666" w:type="dxa"/>
            <w:vAlign w:val="center"/>
          </w:tcPr>
          <w:p w14:paraId="2CA08E29"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INNE OSTRZEŻENIA SPECJALNE, JEŚLI KONIECZNE</w:t>
            </w:r>
          </w:p>
        </w:tc>
      </w:tr>
    </w:tbl>
    <w:p w14:paraId="474146A0" w14:textId="77777777" w:rsidR="0059538A" w:rsidRPr="008F328C" w:rsidRDefault="0059538A" w:rsidP="0059538A">
      <w:pPr>
        <w:rPr>
          <w:rFonts w:ascii="Times New Roman" w:hAnsi="Times New Roman" w:cs="Times New Roman"/>
          <w:lang w:val="pl-PL"/>
        </w:rPr>
      </w:pPr>
    </w:p>
    <w:p w14:paraId="2E3F3C6C" w14:textId="77777777" w:rsidR="0059538A" w:rsidRPr="008F328C" w:rsidRDefault="0059538A" w:rsidP="0059538A">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032116E7" w14:textId="77777777" w:rsidTr="00ED6A7B">
        <w:trPr>
          <w:trHeight w:val="317"/>
        </w:trPr>
        <w:tc>
          <w:tcPr>
            <w:tcW w:w="9666" w:type="dxa"/>
            <w:vAlign w:val="center"/>
          </w:tcPr>
          <w:p w14:paraId="4AFDBBF9"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27784E6C" w14:textId="77777777" w:rsidR="0059538A" w:rsidRPr="008F328C" w:rsidRDefault="0059538A" w:rsidP="0059538A">
      <w:pPr>
        <w:rPr>
          <w:rFonts w:ascii="Times New Roman" w:hAnsi="Times New Roman" w:cs="Times New Roman"/>
          <w:lang w:val="pl-PL"/>
        </w:rPr>
      </w:pPr>
    </w:p>
    <w:p w14:paraId="4D65490C" w14:textId="77777777" w:rsidR="0059538A" w:rsidRPr="008F328C" w:rsidRDefault="0059538A" w:rsidP="0059538A">
      <w:pPr>
        <w:pStyle w:val="a3"/>
        <w:rPr>
          <w:rFonts w:eastAsia="Times New Roman"/>
          <w:lang w:val="pl-PL"/>
        </w:rPr>
      </w:pPr>
      <w:r w:rsidRPr="008F328C">
        <w:rPr>
          <w:rFonts w:eastAsia="Times New Roman"/>
          <w:lang w:val="pl-PL"/>
        </w:rPr>
        <w:t>Termin ważności (EXP)</w:t>
      </w:r>
    </w:p>
    <w:p w14:paraId="41B02A99" w14:textId="77777777" w:rsidR="0059538A" w:rsidRPr="008F328C" w:rsidRDefault="0059538A" w:rsidP="0059538A">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40E4CFCB" w14:textId="77777777" w:rsidTr="00ED6A7B">
        <w:trPr>
          <w:trHeight w:val="317"/>
        </w:trPr>
        <w:tc>
          <w:tcPr>
            <w:tcW w:w="9666" w:type="dxa"/>
            <w:vAlign w:val="center"/>
          </w:tcPr>
          <w:p w14:paraId="1E5F163C"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WARUNKI PRZECHOWYWANIA</w:t>
            </w:r>
          </w:p>
        </w:tc>
      </w:tr>
    </w:tbl>
    <w:p w14:paraId="250469FA" w14:textId="77777777" w:rsidR="0059538A" w:rsidRPr="008F328C" w:rsidRDefault="0059538A" w:rsidP="0059538A">
      <w:pPr>
        <w:rPr>
          <w:rFonts w:ascii="Times New Roman" w:hAnsi="Times New Roman" w:cs="Times New Roman"/>
          <w:lang w:val="pl-PL"/>
        </w:rPr>
      </w:pPr>
    </w:p>
    <w:p w14:paraId="35625D62" w14:textId="77777777" w:rsidR="0059538A" w:rsidRPr="008F328C" w:rsidRDefault="0059538A" w:rsidP="0059538A">
      <w:pPr>
        <w:pStyle w:val="a3"/>
        <w:rPr>
          <w:lang w:val="pl-PL"/>
        </w:rPr>
      </w:pPr>
      <w:r w:rsidRPr="008F328C">
        <w:rPr>
          <w:rFonts w:eastAsia="Times New Roman"/>
          <w:lang w:val="pl-PL"/>
        </w:rPr>
        <w:t>Przechowywać w lodówce. Nie zamrażać.</w:t>
      </w:r>
    </w:p>
    <w:p w14:paraId="19A54FF8" w14:textId="77777777" w:rsidR="0059538A" w:rsidRPr="008F328C" w:rsidRDefault="0059538A" w:rsidP="0059538A">
      <w:pPr>
        <w:pStyle w:val="a3"/>
        <w:rPr>
          <w:lang w:val="pl-PL"/>
        </w:rPr>
      </w:pPr>
      <w:r w:rsidRPr="008F328C">
        <w:rPr>
          <w:rFonts w:eastAsia="Times New Roman"/>
          <w:lang w:val="pl-PL"/>
        </w:rPr>
        <w:t>Przechowywać ampułko-strzykawkę w opakowaniu zewnętrznym w celu ochrony przed światłem.</w:t>
      </w:r>
    </w:p>
    <w:p w14:paraId="06BB0E35" w14:textId="77777777" w:rsidR="0059538A" w:rsidRPr="008F328C" w:rsidRDefault="0059538A" w:rsidP="0059538A">
      <w:pPr>
        <w:pStyle w:val="a3"/>
        <w:rPr>
          <w:lang w:val="pl-PL"/>
        </w:rPr>
      </w:pPr>
      <w:r w:rsidRPr="008F328C">
        <w:rPr>
          <w:rFonts w:eastAsia="Times New Roman"/>
          <w:lang w:val="pl-PL"/>
        </w:rPr>
        <w:t>Dodatkowe informacje dotyczące przechowywania znajdują się w ulotce dołączonej do opakowania.</w:t>
      </w:r>
    </w:p>
    <w:p w14:paraId="511CC91D" w14:textId="77777777" w:rsidR="0059538A" w:rsidRPr="008F328C" w:rsidRDefault="0059538A" w:rsidP="0059538A">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6893A3B4" w14:textId="77777777" w:rsidTr="00ED6A7B">
        <w:trPr>
          <w:trHeight w:val="317"/>
        </w:trPr>
        <w:tc>
          <w:tcPr>
            <w:tcW w:w="9666" w:type="dxa"/>
            <w:vAlign w:val="center"/>
          </w:tcPr>
          <w:p w14:paraId="585C50C6"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SPECJALNE ŚRODKI OSTROŻNOŚCI DOTYCZĄCE USUWANIA NIEZUŻYTEGO PRODUKTU LECZNICZEGO LUB POCHODZĄCYCH Z NIEGO ODPADÓW, JEŚLI WŁAŚCIWE</w:t>
            </w:r>
          </w:p>
        </w:tc>
      </w:tr>
    </w:tbl>
    <w:p w14:paraId="02FC2030" w14:textId="77777777" w:rsidR="0059538A" w:rsidRPr="008F328C" w:rsidRDefault="0059538A" w:rsidP="0059538A">
      <w:pPr>
        <w:rPr>
          <w:rFonts w:ascii="Times New Roman" w:hAnsi="Times New Roman" w:cs="Times New Roman"/>
          <w:lang w:val="pl-PL"/>
        </w:rPr>
      </w:pPr>
    </w:p>
    <w:p w14:paraId="1D6B8537" w14:textId="77777777" w:rsidR="0059538A" w:rsidRPr="008F328C" w:rsidRDefault="0059538A" w:rsidP="0059538A">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4610692A" w14:textId="77777777" w:rsidTr="00ED6A7B">
        <w:trPr>
          <w:trHeight w:val="317"/>
        </w:trPr>
        <w:tc>
          <w:tcPr>
            <w:tcW w:w="9666" w:type="dxa"/>
            <w:vAlign w:val="center"/>
          </w:tcPr>
          <w:p w14:paraId="40E2562A"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I ADRES PODMIOTU ODPOWIEDZIALNEGO</w:t>
            </w:r>
          </w:p>
        </w:tc>
      </w:tr>
    </w:tbl>
    <w:p w14:paraId="7E9F5D46" w14:textId="77777777" w:rsidR="0059538A" w:rsidRPr="008F328C" w:rsidRDefault="0059538A" w:rsidP="0059538A">
      <w:pPr>
        <w:spacing w:before="5" w:line="200" w:lineRule="exact"/>
        <w:rPr>
          <w:rFonts w:ascii="Times New Roman" w:hAnsi="Times New Roman" w:cs="Times New Roman"/>
          <w:lang w:val="pl-PL"/>
        </w:rPr>
      </w:pPr>
    </w:p>
    <w:p w14:paraId="42CA51A6" w14:textId="77777777" w:rsidR="0059538A" w:rsidRPr="008F328C" w:rsidRDefault="0059538A" w:rsidP="0059538A">
      <w:pPr>
        <w:pStyle w:val="a3"/>
        <w:rPr>
          <w:lang w:val="en-GB"/>
        </w:rPr>
      </w:pPr>
      <w:r w:rsidRPr="008F328C">
        <w:rPr>
          <w:lang w:val="en-GB"/>
        </w:rPr>
        <w:t xml:space="preserve">Celltrion Healthcare Hungary Kft. </w:t>
      </w:r>
    </w:p>
    <w:p w14:paraId="66AB13A9" w14:textId="77777777" w:rsidR="0059538A" w:rsidRPr="008F328C" w:rsidRDefault="0059538A" w:rsidP="0059538A">
      <w:pPr>
        <w:pStyle w:val="a3"/>
        <w:rPr>
          <w:lang w:val="en-GB"/>
        </w:rPr>
      </w:pPr>
      <w:r w:rsidRPr="008F328C">
        <w:rPr>
          <w:lang w:val="en-GB"/>
        </w:rPr>
        <w:t>1062 Budapest</w:t>
      </w:r>
    </w:p>
    <w:p w14:paraId="4C1E29BD" w14:textId="77777777" w:rsidR="0059538A" w:rsidRPr="008F328C" w:rsidRDefault="0059538A" w:rsidP="0059538A">
      <w:pPr>
        <w:pStyle w:val="a3"/>
      </w:pPr>
      <w:r w:rsidRPr="008F328C">
        <w:rPr>
          <w:lang w:val="en-GB"/>
        </w:rPr>
        <w:t xml:space="preserve">Váci út 1-3. </w:t>
      </w:r>
      <w:r w:rsidRPr="008F328C">
        <w:t>WestEnd Office Building B torony</w:t>
      </w:r>
    </w:p>
    <w:p w14:paraId="3C340E5A" w14:textId="77777777" w:rsidR="0059538A" w:rsidRPr="008F328C" w:rsidRDefault="0059538A" w:rsidP="0059538A">
      <w:pPr>
        <w:pStyle w:val="a3"/>
      </w:pPr>
      <w:r w:rsidRPr="008F328C">
        <w:rPr>
          <w:rFonts w:eastAsia="Times New Roman"/>
        </w:rPr>
        <w:t>Węgry</w:t>
      </w:r>
    </w:p>
    <w:p w14:paraId="3417729B" w14:textId="77777777" w:rsidR="0059538A" w:rsidRPr="008F328C" w:rsidRDefault="0059538A" w:rsidP="0059538A">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D54497" w14:paraId="12D86A96" w14:textId="77777777" w:rsidTr="00ED6A7B">
        <w:trPr>
          <w:trHeight w:val="317"/>
        </w:trPr>
        <w:tc>
          <w:tcPr>
            <w:tcW w:w="9666" w:type="dxa"/>
            <w:vAlign w:val="center"/>
          </w:tcPr>
          <w:p w14:paraId="02946AF8"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POZWOLENIA NA DOPUSZCZENIE DO OBROTU</w:t>
            </w:r>
          </w:p>
        </w:tc>
      </w:tr>
    </w:tbl>
    <w:p w14:paraId="137DC2B5" w14:textId="77777777" w:rsidR="0059538A" w:rsidRPr="008F328C" w:rsidRDefault="0059538A" w:rsidP="0059538A">
      <w:pPr>
        <w:rPr>
          <w:rFonts w:ascii="Times New Roman" w:hAnsi="Times New Roman" w:cs="Times New Roman"/>
          <w:lang w:val="pl-PL"/>
        </w:rPr>
      </w:pPr>
    </w:p>
    <w:p w14:paraId="5AA34570" w14:textId="4CD1E8D5" w:rsidR="0059538A" w:rsidRPr="00AC35E3" w:rsidRDefault="0059538A" w:rsidP="00AC35E3">
      <w:pPr>
        <w:autoSpaceDE w:val="0"/>
        <w:autoSpaceDN w:val="0"/>
        <w:adjustRightInd w:val="0"/>
        <w:rPr>
          <w:highlight w:val="lightGray"/>
          <w:lang w:val="pl-PL"/>
        </w:rPr>
      </w:pPr>
      <w:r w:rsidRPr="00AC35E3">
        <w:rPr>
          <w:rFonts w:ascii="Times New Roman" w:hAnsi="Times New Roman"/>
          <w:lang w:val="pl-PL"/>
        </w:rPr>
        <w:t>EU/</w:t>
      </w:r>
      <w:r w:rsidR="002525CB" w:rsidRPr="00AC35E3">
        <w:rPr>
          <w:rFonts w:ascii="Times New Roman" w:hAnsi="Times New Roman"/>
          <w:color w:val="000000"/>
          <w:lang w:val="pl-PL"/>
        </w:rPr>
        <w:t>1/20/1513/017</w:t>
      </w:r>
      <w:r w:rsidR="006053C4" w:rsidRPr="006053C4">
        <w:rPr>
          <w:rFonts w:ascii="Times New Roman" w:hAnsi="Times New Roman" w:cs="Times New Roman"/>
          <w:color w:val="000000"/>
          <w:lang w:val="pl-PL" w:eastAsia="ko-KR"/>
        </w:rPr>
        <w:t xml:space="preserve"> </w:t>
      </w:r>
      <w:r w:rsidR="006053C4" w:rsidRPr="006053C4">
        <w:rPr>
          <w:rFonts w:ascii="Times New Roman" w:eastAsia="Times New Roman" w:hAnsi="Times New Roman" w:cs="Times New Roman"/>
          <w:highlight w:val="lightGray"/>
          <w:lang w:val="pl-PL"/>
        </w:rPr>
        <w:t>2 ampułko-strzykawki</w:t>
      </w:r>
    </w:p>
    <w:p w14:paraId="3C4B2FA3" w14:textId="77777777" w:rsidR="006053C4" w:rsidRPr="006053C4" w:rsidRDefault="006053C4" w:rsidP="00AC35E3">
      <w:pPr>
        <w:autoSpaceDE w:val="0"/>
        <w:autoSpaceDN w:val="0"/>
        <w:adjustRightInd w:val="0"/>
        <w:rPr>
          <w:rFonts w:ascii="Times New Roman" w:hAnsi="Times New Roman" w:cs="Times New Roman"/>
          <w:lang w:val="pl-PL"/>
        </w:rPr>
      </w:pPr>
      <w:r w:rsidRPr="002E7C6E">
        <w:rPr>
          <w:rFonts w:ascii="Times New Roman" w:hAnsi="Times New Roman" w:cs="Times New Roman"/>
          <w:color w:val="000000"/>
          <w:highlight w:val="lightGray"/>
          <w:lang w:val="pl-PL" w:eastAsia="ko-KR"/>
        </w:rPr>
        <w:t xml:space="preserve">EU/1/20/1513/018 </w:t>
      </w:r>
      <w:r w:rsidRPr="002E7C6E">
        <w:rPr>
          <w:rFonts w:ascii="Times New Roman" w:eastAsia="Times New Roman" w:hAnsi="Times New Roman" w:cs="Times New Roman"/>
          <w:highlight w:val="lightGray"/>
          <w:lang w:val="pl-PL"/>
        </w:rPr>
        <w:t>1 ampułko-strzykawka</w:t>
      </w:r>
    </w:p>
    <w:p w14:paraId="4C6476C4" w14:textId="77777777" w:rsidR="006053C4" w:rsidRPr="006053C4" w:rsidRDefault="006053C4" w:rsidP="0059538A">
      <w:pPr>
        <w:pStyle w:val="a3"/>
        <w:rPr>
          <w:highlight w:val="lightGray"/>
          <w:lang w:val="pl-PL" w:eastAsia="ko-KR"/>
        </w:rPr>
      </w:pPr>
    </w:p>
    <w:p w14:paraId="2D3A9757" w14:textId="77777777" w:rsidR="0059538A" w:rsidRPr="008F328C" w:rsidRDefault="0059538A" w:rsidP="0059538A">
      <w:pPr>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345A7F23" w14:textId="77777777" w:rsidTr="00ED6A7B">
        <w:trPr>
          <w:trHeight w:val="317"/>
        </w:trPr>
        <w:tc>
          <w:tcPr>
            <w:tcW w:w="9666" w:type="dxa"/>
            <w:vAlign w:val="center"/>
          </w:tcPr>
          <w:p w14:paraId="3BCCA173"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0ECC2AB3" w14:textId="77777777" w:rsidR="0059538A" w:rsidRPr="008F328C" w:rsidRDefault="0059538A" w:rsidP="0059538A">
      <w:pPr>
        <w:rPr>
          <w:rFonts w:ascii="Times New Roman" w:hAnsi="Times New Roman" w:cs="Times New Roman"/>
          <w:lang w:val="pl-PL"/>
        </w:rPr>
      </w:pPr>
    </w:p>
    <w:p w14:paraId="498EC55B" w14:textId="77777777" w:rsidR="0059538A" w:rsidRPr="008F328C" w:rsidRDefault="0059538A" w:rsidP="0059538A">
      <w:pPr>
        <w:pStyle w:val="a3"/>
        <w:rPr>
          <w:lang w:val="pl-PL"/>
        </w:rPr>
      </w:pPr>
      <w:r w:rsidRPr="008F328C">
        <w:rPr>
          <w:rFonts w:eastAsia="Times New Roman"/>
          <w:lang w:val="pl-PL"/>
        </w:rPr>
        <w:t>Nr serii (Lot)</w:t>
      </w:r>
    </w:p>
    <w:p w14:paraId="053613F9"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1669C59B" w14:textId="77777777" w:rsidTr="00ED6A7B">
        <w:trPr>
          <w:trHeight w:val="317"/>
        </w:trPr>
        <w:tc>
          <w:tcPr>
            <w:tcW w:w="9666" w:type="dxa"/>
            <w:vAlign w:val="center"/>
          </w:tcPr>
          <w:p w14:paraId="06A8D7C1"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OGÓLNA KATEGORIA DOSTĘPNOŚCI</w:t>
            </w:r>
          </w:p>
        </w:tc>
      </w:tr>
    </w:tbl>
    <w:p w14:paraId="72CE9183" w14:textId="77777777" w:rsidR="0059538A" w:rsidRPr="008F328C" w:rsidRDefault="0059538A" w:rsidP="0059538A">
      <w:pPr>
        <w:jc w:val="both"/>
        <w:rPr>
          <w:rFonts w:ascii="Times New Roman" w:hAnsi="Times New Roman" w:cs="Times New Roman"/>
          <w:lang w:val="pl-PL"/>
        </w:rPr>
      </w:pPr>
    </w:p>
    <w:p w14:paraId="79B1565B" w14:textId="77777777" w:rsidR="0059538A" w:rsidRPr="008F328C" w:rsidRDefault="0059538A" w:rsidP="0059538A">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0B74104C" w14:textId="77777777" w:rsidTr="00ED6A7B">
        <w:trPr>
          <w:trHeight w:val="317"/>
        </w:trPr>
        <w:tc>
          <w:tcPr>
            <w:tcW w:w="9666" w:type="dxa"/>
            <w:vAlign w:val="center"/>
          </w:tcPr>
          <w:p w14:paraId="234AE65C"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INSTRUKCJA UŻYCIA</w:t>
            </w:r>
          </w:p>
        </w:tc>
      </w:tr>
    </w:tbl>
    <w:p w14:paraId="7EA1E1E9" w14:textId="77777777" w:rsidR="0059538A" w:rsidRPr="008F328C" w:rsidRDefault="0059538A" w:rsidP="0059538A">
      <w:pPr>
        <w:jc w:val="both"/>
        <w:rPr>
          <w:rFonts w:ascii="Times New Roman" w:hAnsi="Times New Roman" w:cs="Times New Roman"/>
          <w:lang w:val="pl-PL"/>
        </w:rPr>
      </w:pPr>
    </w:p>
    <w:p w14:paraId="2364B197" w14:textId="77777777" w:rsidR="0059538A" w:rsidRPr="008F328C" w:rsidRDefault="0059538A" w:rsidP="0059538A">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677330E8" w14:textId="77777777" w:rsidTr="00ED6A7B">
        <w:trPr>
          <w:trHeight w:val="317"/>
        </w:trPr>
        <w:tc>
          <w:tcPr>
            <w:tcW w:w="9666" w:type="dxa"/>
            <w:vAlign w:val="center"/>
          </w:tcPr>
          <w:p w14:paraId="68FDB0C4"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INFORMACJA PODANA SYSTEMEM BRAILLE’A</w:t>
            </w:r>
          </w:p>
        </w:tc>
      </w:tr>
    </w:tbl>
    <w:p w14:paraId="49282F17" w14:textId="77777777" w:rsidR="0059538A" w:rsidRPr="008F328C" w:rsidRDefault="0059538A" w:rsidP="0059538A">
      <w:pPr>
        <w:jc w:val="both"/>
        <w:rPr>
          <w:rFonts w:ascii="Times New Roman" w:hAnsi="Times New Roman" w:cs="Times New Roman"/>
          <w:lang w:val="pl-PL"/>
        </w:rPr>
      </w:pPr>
    </w:p>
    <w:p w14:paraId="25A35408" w14:textId="0F1656B0" w:rsidR="0059538A" w:rsidRPr="008F328C" w:rsidRDefault="0059538A" w:rsidP="0059538A">
      <w:pPr>
        <w:pStyle w:val="a3"/>
        <w:rPr>
          <w:lang w:val="pl-PL"/>
        </w:rPr>
      </w:pPr>
      <w:r w:rsidRPr="008F328C">
        <w:rPr>
          <w:rFonts w:eastAsia="Times New Roman"/>
          <w:lang w:val="pl-PL"/>
        </w:rPr>
        <w:t xml:space="preserve">Yuflyma </w:t>
      </w:r>
      <w:r w:rsidR="002525CB" w:rsidRPr="008F328C">
        <w:rPr>
          <w:rFonts w:eastAsia="Times New Roman"/>
          <w:lang w:val="pl-PL"/>
        </w:rPr>
        <w:t>20</w:t>
      </w:r>
      <w:r w:rsidRPr="008F328C">
        <w:rPr>
          <w:rFonts w:eastAsia="Times New Roman"/>
          <w:lang w:val="pl-PL"/>
        </w:rPr>
        <w:t> mg</w:t>
      </w:r>
    </w:p>
    <w:p w14:paraId="05DB861C" w14:textId="77777777" w:rsidR="0059538A" w:rsidRPr="008F328C" w:rsidRDefault="0059538A" w:rsidP="0059538A">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1788795E" w14:textId="77777777" w:rsidTr="00ED6A7B">
        <w:trPr>
          <w:trHeight w:val="317"/>
        </w:trPr>
        <w:tc>
          <w:tcPr>
            <w:tcW w:w="9666" w:type="dxa"/>
            <w:vAlign w:val="center"/>
          </w:tcPr>
          <w:p w14:paraId="51B4936C"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NIEPOWTARZALNY IDENTYFIKATOR – KOD 2D</w:t>
            </w:r>
          </w:p>
        </w:tc>
      </w:tr>
    </w:tbl>
    <w:p w14:paraId="69A4CA89" w14:textId="77777777" w:rsidR="0059538A" w:rsidRPr="008F328C" w:rsidRDefault="0059538A" w:rsidP="0059538A">
      <w:pPr>
        <w:jc w:val="both"/>
        <w:rPr>
          <w:rFonts w:ascii="Times New Roman" w:hAnsi="Times New Roman" w:cs="Times New Roman"/>
          <w:lang w:val="pl-PL"/>
        </w:rPr>
      </w:pPr>
    </w:p>
    <w:p w14:paraId="71FADD3B" w14:textId="77777777" w:rsidR="0059538A" w:rsidRPr="008F328C" w:rsidRDefault="0059538A" w:rsidP="0059538A">
      <w:pPr>
        <w:pStyle w:val="a3"/>
        <w:rPr>
          <w:lang w:val="pl-PL"/>
        </w:rPr>
      </w:pPr>
      <w:r w:rsidRPr="008F328C">
        <w:rPr>
          <w:rFonts w:eastAsia="Times New Roman"/>
          <w:highlight w:val="lightGray"/>
          <w:lang w:val="pl-PL"/>
        </w:rPr>
        <w:t>Obejmuje kod 2D będący nośnikiem niepowtarzalnego identyfikatora.</w:t>
      </w:r>
    </w:p>
    <w:p w14:paraId="40061D1D" w14:textId="77777777" w:rsidR="0059538A" w:rsidRPr="008F328C" w:rsidRDefault="0059538A" w:rsidP="0059538A">
      <w:pPr>
        <w:jc w:val="both"/>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6A6C12FE" w14:textId="77777777" w:rsidTr="00ED6A7B">
        <w:trPr>
          <w:trHeight w:val="317"/>
        </w:trPr>
        <w:tc>
          <w:tcPr>
            <w:tcW w:w="9666" w:type="dxa"/>
            <w:vAlign w:val="center"/>
          </w:tcPr>
          <w:p w14:paraId="4597C4F7" w14:textId="77777777" w:rsidR="0059538A" w:rsidRPr="008F328C" w:rsidRDefault="0059538A" w:rsidP="008F328C">
            <w:pPr>
              <w:numPr>
                <w:ilvl w:val="0"/>
                <w:numId w:val="132"/>
              </w:numPr>
              <w:tabs>
                <w:tab w:val="left" w:pos="672"/>
              </w:tabs>
              <w:ind w:left="550" w:hanging="550"/>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NIEPOWTARZALNY IDENTYFIKATOR – DANE CZYTELNE DLA CZŁOWIEKA</w:t>
            </w:r>
          </w:p>
        </w:tc>
      </w:tr>
    </w:tbl>
    <w:p w14:paraId="4F217D41" w14:textId="77777777" w:rsidR="0059538A" w:rsidRPr="008F328C" w:rsidRDefault="0059538A" w:rsidP="0059538A">
      <w:pPr>
        <w:jc w:val="both"/>
        <w:rPr>
          <w:rFonts w:ascii="Times New Roman" w:hAnsi="Times New Roman" w:cs="Times New Roman"/>
          <w:lang w:val="pl-PL"/>
        </w:rPr>
      </w:pPr>
    </w:p>
    <w:p w14:paraId="52CEFE6E" w14:textId="77777777" w:rsidR="0059538A" w:rsidRPr="008F328C" w:rsidRDefault="0059538A" w:rsidP="0059538A">
      <w:pPr>
        <w:pStyle w:val="a3"/>
        <w:rPr>
          <w:lang w:val="pl-PL"/>
        </w:rPr>
      </w:pPr>
      <w:r w:rsidRPr="008F328C">
        <w:rPr>
          <w:rFonts w:eastAsia="Times New Roman"/>
          <w:lang w:val="pl-PL"/>
        </w:rPr>
        <w:t>PC</w:t>
      </w:r>
    </w:p>
    <w:p w14:paraId="6A03974D" w14:textId="77777777" w:rsidR="0059538A" w:rsidRPr="008F328C" w:rsidRDefault="0059538A" w:rsidP="0059538A">
      <w:pPr>
        <w:pStyle w:val="a3"/>
        <w:rPr>
          <w:lang w:val="pl-PL"/>
        </w:rPr>
      </w:pPr>
      <w:r w:rsidRPr="008F328C">
        <w:rPr>
          <w:rFonts w:eastAsia="Times New Roman"/>
          <w:lang w:val="pl-PL"/>
        </w:rPr>
        <w:t>SN</w:t>
      </w:r>
    </w:p>
    <w:p w14:paraId="26D060E8" w14:textId="77777777" w:rsidR="0059538A" w:rsidRPr="008F328C" w:rsidRDefault="0059538A" w:rsidP="0059538A">
      <w:pPr>
        <w:pStyle w:val="a3"/>
        <w:rPr>
          <w:lang w:val="pl-PL"/>
        </w:rPr>
      </w:pPr>
      <w:r w:rsidRPr="008F328C">
        <w:rPr>
          <w:rFonts w:eastAsia="Times New Roman"/>
          <w:spacing w:val="-2"/>
          <w:lang w:val="pl-PL"/>
        </w:rPr>
        <w:t>NN</w:t>
      </w:r>
    </w:p>
    <w:p w14:paraId="23226865" w14:textId="77777777" w:rsidR="0059538A" w:rsidRPr="008F328C" w:rsidRDefault="0059538A" w:rsidP="0059538A">
      <w:pPr>
        <w:rPr>
          <w:rFonts w:ascii="Times New Roman" w:hAnsi="Times New Roman" w:cs="Times New Roman"/>
          <w:lang w:val="pl-PL"/>
        </w:rPr>
      </w:pPr>
      <w:r w:rsidRPr="008F328C">
        <w:rPr>
          <w:rFonts w:ascii="Times New Roman" w:hAnsi="Times New Roman" w:cs="Times New Roman"/>
          <w:lang w:val="pl-PL"/>
        </w:rPr>
        <w:br w:type="page"/>
      </w:r>
    </w:p>
    <w:tbl>
      <w:tblPr>
        <w:tblStyle w:val="ac"/>
        <w:tblW w:w="9666" w:type="dxa"/>
        <w:tblLook w:val="04A0" w:firstRow="1" w:lastRow="0" w:firstColumn="1" w:lastColumn="0" w:noHBand="0" w:noVBand="1"/>
      </w:tblPr>
      <w:tblGrid>
        <w:gridCol w:w="9666"/>
      </w:tblGrid>
      <w:tr w:rsidR="0059538A" w:rsidRPr="00494296" w14:paraId="696AA5DE" w14:textId="77777777" w:rsidTr="00ED6A7B">
        <w:trPr>
          <w:trHeight w:val="822"/>
        </w:trPr>
        <w:tc>
          <w:tcPr>
            <w:tcW w:w="9666" w:type="dxa"/>
            <w:vAlign w:val="center"/>
          </w:tcPr>
          <w:p w14:paraId="7A0BA26F" w14:textId="77777777" w:rsidR="0059538A" w:rsidRPr="008F328C" w:rsidRDefault="0059538A" w:rsidP="00ED6A7B">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lastRenderedPageBreak/>
              <w:t xml:space="preserve">MINIMUM INFORMACJI ZAMIESZCZANYCH NA MAŁYCH OPAKOWANIACH BEZPOŚREDNICH </w:t>
            </w:r>
          </w:p>
          <w:p w14:paraId="2B6381EC" w14:textId="77777777" w:rsidR="0059538A" w:rsidRPr="008F328C" w:rsidRDefault="0059538A" w:rsidP="00ED6A7B">
            <w:pPr>
              <w:tabs>
                <w:tab w:val="left" w:pos="672"/>
              </w:tabs>
              <w:jc w:val="both"/>
              <w:rPr>
                <w:rFonts w:ascii="Times New Roman" w:eastAsia="Times New Roman" w:hAnsi="Times New Roman" w:cs="Times New Roman"/>
                <w:b/>
                <w:bCs/>
                <w:spacing w:val="-1"/>
                <w:lang w:val="pl-PL"/>
              </w:rPr>
            </w:pPr>
          </w:p>
          <w:p w14:paraId="237C0F7B" w14:textId="77777777" w:rsidR="0059538A" w:rsidRPr="008F328C" w:rsidRDefault="0059538A" w:rsidP="00ED6A7B">
            <w:pPr>
              <w:tabs>
                <w:tab w:val="left" w:pos="672"/>
              </w:tabs>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ETYKIETA AMPUŁKO-STRZYKAWKI</w:t>
            </w:r>
          </w:p>
        </w:tc>
      </w:tr>
    </w:tbl>
    <w:p w14:paraId="3B6A1ABA" w14:textId="77777777" w:rsidR="0059538A" w:rsidRPr="008F328C" w:rsidRDefault="0059538A" w:rsidP="0059538A">
      <w:pPr>
        <w:spacing w:line="200" w:lineRule="exact"/>
        <w:rPr>
          <w:rFonts w:ascii="Times New Roman" w:hAnsi="Times New Roman" w:cs="Times New Roman"/>
          <w:lang w:val="pl-PL"/>
        </w:rPr>
      </w:pPr>
    </w:p>
    <w:tbl>
      <w:tblPr>
        <w:tblStyle w:val="ac"/>
        <w:tblpPr w:leftFromText="142" w:rightFromText="142" w:vertAnchor="text" w:tblpY="55"/>
        <w:tblW w:w="9666" w:type="dxa"/>
        <w:tblLook w:val="04A0" w:firstRow="1" w:lastRow="0" w:firstColumn="1" w:lastColumn="0" w:noHBand="0" w:noVBand="1"/>
      </w:tblPr>
      <w:tblGrid>
        <w:gridCol w:w="9666"/>
      </w:tblGrid>
      <w:tr w:rsidR="0059538A" w:rsidRPr="00D54497" w14:paraId="660F0A9E" w14:textId="77777777" w:rsidTr="00ED6A7B">
        <w:trPr>
          <w:trHeight w:val="317"/>
        </w:trPr>
        <w:tc>
          <w:tcPr>
            <w:tcW w:w="9666" w:type="dxa"/>
            <w:vAlign w:val="center"/>
          </w:tcPr>
          <w:p w14:paraId="70902CAE" w14:textId="77777777" w:rsidR="0059538A" w:rsidRPr="008F328C" w:rsidRDefault="0059538A" w:rsidP="008F328C">
            <w:pPr>
              <w:numPr>
                <w:ilvl w:val="0"/>
                <w:numId w:val="133"/>
              </w:numPr>
              <w:tabs>
                <w:tab w:val="left" w:pos="672"/>
              </w:tabs>
              <w:ind w:left="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NAZWA PRODUKTU LECZNICZEGO I DROGA PODANIA</w:t>
            </w:r>
          </w:p>
        </w:tc>
      </w:tr>
    </w:tbl>
    <w:p w14:paraId="6A172F87" w14:textId="77777777" w:rsidR="0059538A" w:rsidRPr="008F328C" w:rsidRDefault="0059538A" w:rsidP="0059538A">
      <w:pPr>
        <w:spacing w:line="200" w:lineRule="exact"/>
        <w:rPr>
          <w:rFonts w:ascii="Times New Roman" w:hAnsi="Times New Roman" w:cs="Times New Roman"/>
          <w:lang w:val="pl-PL"/>
        </w:rPr>
      </w:pPr>
    </w:p>
    <w:p w14:paraId="16874FF9" w14:textId="07351937" w:rsidR="0059538A" w:rsidRPr="008F328C" w:rsidRDefault="0059538A" w:rsidP="0059538A">
      <w:pPr>
        <w:pStyle w:val="a3"/>
        <w:rPr>
          <w:lang w:val="pl-PL"/>
        </w:rPr>
      </w:pPr>
      <w:r w:rsidRPr="008F328C">
        <w:rPr>
          <w:rFonts w:eastAsia="Times New Roman"/>
          <w:lang w:val="pl-PL"/>
        </w:rPr>
        <w:t xml:space="preserve">Yuflyma </w:t>
      </w:r>
      <w:r w:rsidR="002525CB" w:rsidRPr="008F328C">
        <w:rPr>
          <w:rFonts w:eastAsia="Times New Roman"/>
          <w:lang w:val="pl-PL"/>
        </w:rPr>
        <w:t>20</w:t>
      </w:r>
      <w:r w:rsidRPr="008F328C">
        <w:rPr>
          <w:rFonts w:eastAsia="Times New Roman"/>
          <w:lang w:val="pl-PL"/>
        </w:rPr>
        <w:t> mg do wstrzykiwań</w:t>
      </w:r>
    </w:p>
    <w:p w14:paraId="6013B595" w14:textId="77777777" w:rsidR="0059538A" w:rsidRPr="008F328C" w:rsidRDefault="0059538A" w:rsidP="0059538A">
      <w:pPr>
        <w:pStyle w:val="a3"/>
        <w:rPr>
          <w:lang w:val="pl-PL"/>
        </w:rPr>
      </w:pPr>
      <w:r w:rsidRPr="008F328C">
        <w:rPr>
          <w:rFonts w:eastAsia="Times New Roman"/>
          <w:lang w:val="pl-PL"/>
        </w:rPr>
        <w:t>adalimumab</w:t>
      </w:r>
    </w:p>
    <w:p w14:paraId="6F2A02D2" w14:textId="77777777" w:rsidR="0059538A" w:rsidRPr="008F328C" w:rsidRDefault="0059538A" w:rsidP="0059538A">
      <w:pPr>
        <w:pStyle w:val="a3"/>
        <w:rPr>
          <w:lang w:val="pl-PL"/>
        </w:rPr>
      </w:pPr>
      <w:r w:rsidRPr="008F328C">
        <w:rPr>
          <w:rFonts w:eastAsia="Times New Roman"/>
          <w:lang w:val="pl-PL"/>
        </w:rPr>
        <w:t xml:space="preserve">sc. </w:t>
      </w:r>
    </w:p>
    <w:p w14:paraId="39BB2F7F"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451A8C0C" w14:textId="77777777" w:rsidTr="00ED6A7B">
        <w:trPr>
          <w:trHeight w:val="317"/>
        </w:trPr>
        <w:tc>
          <w:tcPr>
            <w:tcW w:w="9666" w:type="dxa"/>
            <w:vAlign w:val="center"/>
          </w:tcPr>
          <w:p w14:paraId="5D19E2B1" w14:textId="77777777" w:rsidR="0059538A" w:rsidRPr="008F328C" w:rsidRDefault="0059538A" w:rsidP="008F328C">
            <w:pPr>
              <w:numPr>
                <w:ilvl w:val="0"/>
                <w:numId w:val="133"/>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SPOSÓB PODAWANIA</w:t>
            </w:r>
          </w:p>
        </w:tc>
      </w:tr>
    </w:tbl>
    <w:p w14:paraId="267B89D8" w14:textId="77777777" w:rsidR="0059538A" w:rsidRPr="008F328C" w:rsidRDefault="0059538A" w:rsidP="0059538A">
      <w:pPr>
        <w:spacing w:before="13" w:line="280" w:lineRule="exact"/>
        <w:rPr>
          <w:rFonts w:ascii="Times New Roman" w:hAnsi="Times New Roman" w:cs="Times New Roman"/>
          <w:lang w:val="pl-PL"/>
        </w:rPr>
      </w:pPr>
    </w:p>
    <w:p w14:paraId="6C63E301" w14:textId="77777777" w:rsidR="0059538A" w:rsidRPr="008F328C" w:rsidRDefault="0059538A" w:rsidP="0059538A">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18BF935B" w14:textId="77777777" w:rsidTr="00ED6A7B">
        <w:trPr>
          <w:trHeight w:val="317"/>
        </w:trPr>
        <w:tc>
          <w:tcPr>
            <w:tcW w:w="9666" w:type="dxa"/>
            <w:vAlign w:val="center"/>
          </w:tcPr>
          <w:p w14:paraId="4F089EC4" w14:textId="77777777" w:rsidR="0059538A" w:rsidRPr="008F328C" w:rsidRDefault="0059538A" w:rsidP="008F328C">
            <w:pPr>
              <w:numPr>
                <w:ilvl w:val="0"/>
                <w:numId w:val="133"/>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TERMIN WAŻNOŚCI</w:t>
            </w:r>
          </w:p>
        </w:tc>
      </w:tr>
    </w:tbl>
    <w:p w14:paraId="0884CED9" w14:textId="77777777" w:rsidR="0059538A" w:rsidRPr="008F328C" w:rsidRDefault="0059538A" w:rsidP="0059538A">
      <w:pPr>
        <w:pStyle w:val="a3"/>
        <w:rPr>
          <w:lang w:val="pl-PL"/>
        </w:rPr>
      </w:pPr>
    </w:p>
    <w:p w14:paraId="6A000491" w14:textId="77777777" w:rsidR="0059538A" w:rsidRPr="008F328C" w:rsidRDefault="0059538A" w:rsidP="0059538A">
      <w:pPr>
        <w:pStyle w:val="a3"/>
        <w:rPr>
          <w:lang w:val="pl-PL"/>
        </w:rPr>
      </w:pPr>
      <w:r w:rsidRPr="008F328C">
        <w:rPr>
          <w:rFonts w:eastAsia="Times New Roman"/>
          <w:lang w:val="pl-PL"/>
        </w:rPr>
        <w:t>EXP</w:t>
      </w:r>
    </w:p>
    <w:p w14:paraId="1DBC0F30"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45B780C9" w14:textId="77777777" w:rsidTr="00ED6A7B">
        <w:trPr>
          <w:trHeight w:val="317"/>
        </w:trPr>
        <w:tc>
          <w:tcPr>
            <w:tcW w:w="9666" w:type="dxa"/>
            <w:vAlign w:val="center"/>
          </w:tcPr>
          <w:p w14:paraId="529F561D" w14:textId="77777777" w:rsidR="0059538A" w:rsidRPr="008F328C" w:rsidRDefault="0059538A" w:rsidP="008F328C">
            <w:pPr>
              <w:numPr>
                <w:ilvl w:val="0"/>
                <w:numId w:val="133"/>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NUMER SERII</w:t>
            </w:r>
          </w:p>
        </w:tc>
      </w:tr>
    </w:tbl>
    <w:p w14:paraId="2BD4683A" w14:textId="77777777" w:rsidR="0059538A" w:rsidRPr="008F328C" w:rsidRDefault="0059538A" w:rsidP="0059538A">
      <w:pPr>
        <w:pStyle w:val="a3"/>
        <w:rPr>
          <w:lang w:val="pl-PL"/>
        </w:rPr>
      </w:pPr>
    </w:p>
    <w:p w14:paraId="0EAF3E4F" w14:textId="77777777" w:rsidR="0059538A" w:rsidRPr="008F328C" w:rsidRDefault="0059538A" w:rsidP="0059538A">
      <w:pPr>
        <w:pStyle w:val="a3"/>
        <w:rPr>
          <w:lang w:val="pl-PL"/>
        </w:rPr>
      </w:pPr>
      <w:r w:rsidRPr="008F328C">
        <w:rPr>
          <w:rFonts w:eastAsia="Times New Roman"/>
          <w:lang w:val="pl-PL"/>
        </w:rPr>
        <w:t>Lot</w:t>
      </w:r>
    </w:p>
    <w:p w14:paraId="73F609E1" w14:textId="77777777" w:rsidR="0059538A" w:rsidRPr="008F328C" w:rsidRDefault="0059538A" w:rsidP="0059538A">
      <w:pPr>
        <w:pStyle w:val="a3"/>
        <w:rPr>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494296" w14:paraId="4F70BA8A" w14:textId="77777777" w:rsidTr="00ED6A7B">
        <w:trPr>
          <w:trHeight w:val="317"/>
        </w:trPr>
        <w:tc>
          <w:tcPr>
            <w:tcW w:w="9666" w:type="dxa"/>
            <w:vAlign w:val="center"/>
          </w:tcPr>
          <w:p w14:paraId="40E5EAE2" w14:textId="77777777" w:rsidR="0059538A" w:rsidRPr="008F328C" w:rsidRDefault="0059538A" w:rsidP="008F328C">
            <w:pPr>
              <w:numPr>
                <w:ilvl w:val="0"/>
                <w:numId w:val="133"/>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ZAWARTOŚĆ OPAKOWANIA Z PODANIEM MASY, OBJĘTOŚCI LUB LICZBY JEDNOSTEK</w:t>
            </w:r>
          </w:p>
        </w:tc>
      </w:tr>
    </w:tbl>
    <w:p w14:paraId="32B12330" w14:textId="77777777" w:rsidR="0059538A" w:rsidRPr="008F328C" w:rsidRDefault="0059538A" w:rsidP="0059538A">
      <w:pPr>
        <w:spacing w:before="13" w:line="280" w:lineRule="exact"/>
        <w:rPr>
          <w:rFonts w:ascii="Times New Roman" w:hAnsi="Times New Roman" w:cs="Times New Roman"/>
          <w:lang w:val="pl-PL"/>
        </w:rPr>
      </w:pPr>
    </w:p>
    <w:p w14:paraId="509FC739" w14:textId="70F06BDC" w:rsidR="0059538A" w:rsidRPr="008F328C" w:rsidRDefault="002525CB" w:rsidP="0059538A">
      <w:pPr>
        <w:pStyle w:val="a3"/>
        <w:rPr>
          <w:lang w:val="pl-PL"/>
        </w:rPr>
      </w:pPr>
      <w:r w:rsidRPr="008F328C">
        <w:rPr>
          <w:rFonts w:eastAsia="Times New Roman"/>
          <w:spacing w:val="-4"/>
          <w:lang w:val="pl-PL"/>
        </w:rPr>
        <w:t>20</w:t>
      </w:r>
      <w:r w:rsidR="0059538A" w:rsidRPr="008F328C">
        <w:rPr>
          <w:rFonts w:eastAsia="Times New Roman"/>
          <w:spacing w:val="-4"/>
          <w:lang w:val="pl-PL"/>
        </w:rPr>
        <w:t> mg</w:t>
      </w:r>
      <w:r w:rsidRPr="008F328C">
        <w:rPr>
          <w:rFonts w:eastAsia="Times New Roman"/>
          <w:spacing w:val="-4"/>
          <w:lang w:val="pl-PL"/>
        </w:rPr>
        <w:t>/0,2</w:t>
      </w:r>
      <w:r w:rsidR="0059538A" w:rsidRPr="008F328C">
        <w:rPr>
          <w:rFonts w:eastAsia="Times New Roman"/>
          <w:spacing w:val="-4"/>
          <w:lang w:val="pl-PL"/>
        </w:rPr>
        <w:t> ml</w:t>
      </w:r>
    </w:p>
    <w:p w14:paraId="1CAAA6EF" w14:textId="77777777" w:rsidR="0059538A" w:rsidRPr="008F328C" w:rsidRDefault="0059538A" w:rsidP="0059538A">
      <w:pPr>
        <w:spacing w:before="13" w:line="280" w:lineRule="exact"/>
        <w:rPr>
          <w:rFonts w:ascii="Times New Roman" w:hAnsi="Times New Roman" w:cs="Times New Roman"/>
          <w:lang w:val="pl-PL"/>
        </w:rPr>
      </w:pPr>
    </w:p>
    <w:tbl>
      <w:tblPr>
        <w:tblStyle w:val="ac"/>
        <w:tblpPr w:leftFromText="142" w:rightFromText="142" w:vertAnchor="text" w:tblpY="194"/>
        <w:tblW w:w="9666" w:type="dxa"/>
        <w:tblLook w:val="04A0" w:firstRow="1" w:lastRow="0" w:firstColumn="1" w:lastColumn="0" w:noHBand="0" w:noVBand="1"/>
      </w:tblPr>
      <w:tblGrid>
        <w:gridCol w:w="9666"/>
      </w:tblGrid>
      <w:tr w:rsidR="0059538A" w:rsidRPr="008F328C" w14:paraId="07452C60" w14:textId="77777777" w:rsidTr="00ED6A7B">
        <w:trPr>
          <w:trHeight w:val="317"/>
        </w:trPr>
        <w:tc>
          <w:tcPr>
            <w:tcW w:w="9666" w:type="dxa"/>
            <w:vAlign w:val="center"/>
          </w:tcPr>
          <w:p w14:paraId="59D2CE67" w14:textId="77777777" w:rsidR="0059538A" w:rsidRPr="008F328C" w:rsidRDefault="0059538A" w:rsidP="008F328C">
            <w:pPr>
              <w:numPr>
                <w:ilvl w:val="0"/>
                <w:numId w:val="133"/>
              </w:numPr>
              <w:tabs>
                <w:tab w:val="left" w:pos="672"/>
              </w:tabs>
              <w:ind w:left="561" w:hanging="561"/>
              <w:jc w:val="both"/>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t>INNE</w:t>
            </w:r>
          </w:p>
        </w:tc>
      </w:tr>
    </w:tbl>
    <w:p w14:paraId="03C40205" w14:textId="77777777" w:rsidR="0059538A" w:rsidRPr="008F328C" w:rsidRDefault="0059538A" w:rsidP="0059538A">
      <w:pPr>
        <w:rPr>
          <w:rFonts w:ascii="Times New Roman" w:hAnsi="Times New Roman" w:cs="Times New Roman"/>
          <w:lang w:val="pl-PL"/>
        </w:rPr>
      </w:pPr>
    </w:p>
    <w:p w14:paraId="118E3490" w14:textId="77777777" w:rsidR="0059538A" w:rsidRPr="008F328C" w:rsidRDefault="0059538A" w:rsidP="0059538A">
      <w:pPr>
        <w:rPr>
          <w:rFonts w:ascii="Times New Roman" w:hAnsi="Times New Roman" w:cs="Times New Roman"/>
          <w:lang w:val="pl-PL"/>
        </w:rPr>
      </w:pPr>
    </w:p>
    <w:p w14:paraId="20DC7E68" w14:textId="6E3FE0CB" w:rsidR="002525CB" w:rsidRPr="008F328C" w:rsidRDefault="002525CB">
      <w:pPr>
        <w:rPr>
          <w:rFonts w:ascii="Times New Roman" w:hAnsi="Times New Roman" w:cs="Times New Roman"/>
          <w:lang w:val="pl-PL"/>
        </w:rPr>
      </w:pPr>
      <w:r w:rsidRPr="008F328C">
        <w:rPr>
          <w:rFonts w:ascii="Times New Roman" w:hAnsi="Times New Roman" w:cs="Times New Roman"/>
          <w:lang w:val="pl-PL"/>
        </w:rPr>
        <w:br w:type="page"/>
      </w:r>
    </w:p>
    <w:p w14:paraId="239FBD31" w14:textId="77777777" w:rsidR="003C02D5" w:rsidRPr="008F328C" w:rsidRDefault="003C02D5" w:rsidP="003C02D5">
      <w:pPr>
        <w:pStyle w:val="a3"/>
        <w:rPr>
          <w:lang w:val="pl-PL"/>
        </w:rPr>
      </w:pPr>
    </w:p>
    <w:p w14:paraId="0BB8DEC2" w14:textId="457FF836" w:rsidR="00CC4159" w:rsidRPr="008F328C" w:rsidRDefault="00CC4159" w:rsidP="003C02D5">
      <w:pPr>
        <w:pStyle w:val="a3"/>
        <w:rPr>
          <w:lang w:val="pl-PL"/>
        </w:rPr>
      </w:pPr>
    </w:p>
    <w:p w14:paraId="5962099B" w14:textId="52D84FDD" w:rsidR="00CC4159" w:rsidRPr="008F328C" w:rsidRDefault="00CC4159" w:rsidP="003C02D5">
      <w:pPr>
        <w:pStyle w:val="a3"/>
        <w:rPr>
          <w:lang w:val="pl-PL"/>
        </w:rPr>
      </w:pPr>
    </w:p>
    <w:p w14:paraId="4F7CA97A" w14:textId="648DCF5C" w:rsidR="00CC4159" w:rsidRPr="008F328C" w:rsidRDefault="00CC4159" w:rsidP="003C02D5">
      <w:pPr>
        <w:pStyle w:val="a3"/>
        <w:rPr>
          <w:lang w:val="pl-PL"/>
        </w:rPr>
      </w:pPr>
    </w:p>
    <w:p w14:paraId="2F58D6C9" w14:textId="7BE7F3D5" w:rsidR="00CC4159" w:rsidRPr="008F328C" w:rsidRDefault="00CC4159" w:rsidP="003C02D5">
      <w:pPr>
        <w:pStyle w:val="a3"/>
        <w:rPr>
          <w:lang w:val="pl-PL"/>
        </w:rPr>
      </w:pPr>
    </w:p>
    <w:p w14:paraId="0C822D57" w14:textId="333F8FD0" w:rsidR="00CC4159" w:rsidRPr="008F328C" w:rsidRDefault="00CC4159" w:rsidP="003C02D5">
      <w:pPr>
        <w:pStyle w:val="a3"/>
        <w:rPr>
          <w:lang w:val="pl-PL"/>
        </w:rPr>
      </w:pPr>
    </w:p>
    <w:p w14:paraId="287CF8B4" w14:textId="5DA61632" w:rsidR="00CC4159" w:rsidRPr="008F328C" w:rsidRDefault="00CC4159" w:rsidP="003C02D5">
      <w:pPr>
        <w:pStyle w:val="a3"/>
        <w:rPr>
          <w:lang w:val="pl-PL"/>
        </w:rPr>
      </w:pPr>
    </w:p>
    <w:p w14:paraId="47AE5DA5" w14:textId="0D703B79" w:rsidR="00CC4159" w:rsidRPr="008F328C" w:rsidRDefault="00CC4159" w:rsidP="003C02D5">
      <w:pPr>
        <w:pStyle w:val="a3"/>
        <w:rPr>
          <w:lang w:val="pl-PL"/>
        </w:rPr>
      </w:pPr>
    </w:p>
    <w:p w14:paraId="25A641BD" w14:textId="77777777" w:rsidR="00CC4159" w:rsidRPr="008F328C" w:rsidRDefault="00CC4159" w:rsidP="003C02D5">
      <w:pPr>
        <w:pStyle w:val="a3"/>
        <w:rPr>
          <w:lang w:val="pl-PL"/>
        </w:rPr>
      </w:pPr>
    </w:p>
    <w:p w14:paraId="7C71D30A" w14:textId="77777777" w:rsidR="003C02D5" w:rsidRPr="008F328C" w:rsidRDefault="003C02D5">
      <w:pPr>
        <w:rPr>
          <w:rFonts w:ascii="Times New Roman" w:hAnsi="Times New Roman" w:cs="Times New Roman"/>
          <w:lang w:val="pl-PL"/>
        </w:rPr>
      </w:pPr>
    </w:p>
    <w:p w14:paraId="58AFDF1A" w14:textId="6E0EC49B" w:rsidR="003C02D5" w:rsidRPr="008F328C" w:rsidRDefault="003C02D5">
      <w:pPr>
        <w:spacing w:line="200" w:lineRule="exact"/>
        <w:rPr>
          <w:rFonts w:ascii="Times New Roman" w:hAnsi="Times New Roman" w:cs="Times New Roman"/>
          <w:sz w:val="20"/>
          <w:szCs w:val="20"/>
          <w:lang w:val="pl-PL"/>
        </w:rPr>
      </w:pPr>
    </w:p>
    <w:p w14:paraId="4799582F" w14:textId="60D8CFE0" w:rsidR="003C02D5" w:rsidRPr="008F328C" w:rsidRDefault="003C02D5">
      <w:pPr>
        <w:spacing w:line="200" w:lineRule="exact"/>
        <w:rPr>
          <w:rFonts w:ascii="Times New Roman" w:hAnsi="Times New Roman" w:cs="Times New Roman"/>
          <w:sz w:val="20"/>
          <w:szCs w:val="20"/>
          <w:lang w:val="pl-PL"/>
        </w:rPr>
      </w:pPr>
    </w:p>
    <w:p w14:paraId="78ABA52E" w14:textId="6BECC99F" w:rsidR="003C02D5" w:rsidRPr="008F328C" w:rsidRDefault="003C02D5">
      <w:pPr>
        <w:spacing w:line="200" w:lineRule="exact"/>
        <w:rPr>
          <w:rFonts w:ascii="Times New Roman" w:hAnsi="Times New Roman" w:cs="Times New Roman"/>
          <w:sz w:val="20"/>
          <w:szCs w:val="20"/>
          <w:lang w:val="pl-PL"/>
        </w:rPr>
      </w:pPr>
    </w:p>
    <w:p w14:paraId="75FFD8F6" w14:textId="77777777" w:rsidR="003C02D5" w:rsidRPr="008F328C" w:rsidRDefault="003C02D5">
      <w:pPr>
        <w:spacing w:line="200" w:lineRule="exact"/>
        <w:rPr>
          <w:rFonts w:ascii="Times New Roman" w:hAnsi="Times New Roman" w:cs="Times New Roman"/>
          <w:sz w:val="20"/>
          <w:szCs w:val="20"/>
          <w:lang w:val="pl-PL" w:eastAsia="ko-KR"/>
        </w:rPr>
      </w:pPr>
    </w:p>
    <w:p w14:paraId="12B07D71" w14:textId="578D8E92" w:rsidR="002E5800" w:rsidRPr="008F328C" w:rsidRDefault="002E5800">
      <w:pPr>
        <w:spacing w:line="200" w:lineRule="exact"/>
        <w:rPr>
          <w:rFonts w:ascii="Times New Roman" w:hAnsi="Times New Roman" w:cs="Times New Roman"/>
          <w:sz w:val="20"/>
          <w:szCs w:val="20"/>
          <w:lang w:val="pl-PL" w:eastAsia="ko-KR"/>
        </w:rPr>
      </w:pPr>
    </w:p>
    <w:p w14:paraId="17C92588" w14:textId="77777777" w:rsidR="002E5800" w:rsidRPr="008F328C" w:rsidRDefault="002E5800">
      <w:pPr>
        <w:spacing w:line="200" w:lineRule="exact"/>
        <w:rPr>
          <w:rFonts w:ascii="Times New Roman" w:hAnsi="Times New Roman" w:cs="Times New Roman"/>
          <w:sz w:val="20"/>
          <w:szCs w:val="20"/>
          <w:lang w:val="pl-PL"/>
        </w:rPr>
      </w:pPr>
    </w:p>
    <w:p w14:paraId="1AB17ED7" w14:textId="77777777" w:rsidR="002E5800" w:rsidRPr="008F328C" w:rsidRDefault="002E5800">
      <w:pPr>
        <w:spacing w:line="200" w:lineRule="exact"/>
        <w:rPr>
          <w:rFonts w:ascii="Times New Roman" w:hAnsi="Times New Roman" w:cs="Times New Roman"/>
          <w:sz w:val="20"/>
          <w:szCs w:val="20"/>
          <w:lang w:val="pl-PL"/>
        </w:rPr>
      </w:pPr>
    </w:p>
    <w:p w14:paraId="265BCCEF" w14:textId="77777777" w:rsidR="002E5800" w:rsidRPr="008F328C" w:rsidRDefault="002E5800">
      <w:pPr>
        <w:spacing w:before="4" w:line="200" w:lineRule="exact"/>
        <w:rPr>
          <w:rFonts w:ascii="Times New Roman" w:hAnsi="Times New Roman" w:cs="Times New Roman"/>
          <w:sz w:val="20"/>
          <w:szCs w:val="20"/>
          <w:lang w:val="pl-PL"/>
        </w:rPr>
      </w:pPr>
    </w:p>
    <w:p w14:paraId="2AD1A399" w14:textId="77777777" w:rsidR="002E5800" w:rsidRPr="008F328C" w:rsidRDefault="000E0B7C">
      <w:pPr>
        <w:pStyle w:val="1"/>
        <w:numPr>
          <w:ilvl w:val="0"/>
          <w:numId w:val="35"/>
        </w:numPr>
        <w:jc w:val="center"/>
        <w:rPr>
          <w:rFonts w:cs="Times New Roman"/>
          <w:lang w:val="pl-PL"/>
        </w:rPr>
      </w:pPr>
      <w:bookmarkStart w:id="47" w:name="B._PACKAGE_LEAFLET"/>
      <w:bookmarkEnd w:id="47"/>
      <w:r w:rsidRPr="008F328C">
        <w:rPr>
          <w:rFonts w:cs="Times New Roman"/>
          <w:lang w:val="pl-PL"/>
        </w:rPr>
        <w:t>ULOTKA DLA PACJENTA</w:t>
      </w:r>
    </w:p>
    <w:p w14:paraId="477DF5F4"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p w14:paraId="46517585" w14:textId="77777777" w:rsidR="002E5800" w:rsidRPr="008F328C" w:rsidRDefault="000E0B7C">
      <w:pPr>
        <w:spacing w:before="76"/>
        <w:ind w:left="39"/>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lastRenderedPageBreak/>
        <w:t>Ulotka dołączona do opakowania: informacja dla pacjenta</w:t>
      </w:r>
    </w:p>
    <w:p w14:paraId="3E164E07" w14:textId="77777777" w:rsidR="002E5800" w:rsidRPr="008F328C" w:rsidRDefault="002E5800">
      <w:pPr>
        <w:spacing w:before="13" w:line="240" w:lineRule="exact"/>
        <w:rPr>
          <w:rFonts w:ascii="Times New Roman" w:hAnsi="Times New Roman" w:cs="Times New Roman"/>
          <w:sz w:val="24"/>
          <w:szCs w:val="24"/>
          <w:lang w:val="pl-PL"/>
        </w:rPr>
      </w:pPr>
    </w:p>
    <w:p w14:paraId="78BC2CCB" w14:textId="77777777" w:rsidR="002E5800" w:rsidRPr="008F328C" w:rsidRDefault="000E0B7C">
      <w:pPr>
        <w:ind w:left="818" w:right="77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Yuflyma 40 mg roztwór do wstrzykiwań w ampułko-strzykawce</w:t>
      </w:r>
    </w:p>
    <w:p w14:paraId="660F682C" w14:textId="6F5A84E1" w:rsidR="002E5800" w:rsidRPr="008F328C" w:rsidRDefault="00E04E76">
      <w:pPr>
        <w:pStyle w:val="a3"/>
        <w:jc w:val="center"/>
        <w:rPr>
          <w:lang w:val="pl-PL"/>
        </w:rPr>
      </w:pPr>
      <w:r w:rsidRPr="008F328C">
        <w:rPr>
          <w:rFonts w:eastAsia="Times New Roman"/>
          <w:lang w:val="pl-PL"/>
        </w:rPr>
        <w:t>a</w:t>
      </w:r>
      <w:r w:rsidR="000E0B7C" w:rsidRPr="008F328C">
        <w:rPr>
          <w:rFonts w:eastAsia="Times New Roman"/>
          <w:lang w:val="pl-PL"/>
        </w:rPr>
        <w:t>dalimumab</w:t>
      </w:r>
    </w:p>
    <w:p w14:paraId="781C46B5" w14:textId="77777777" w:rsidR="002E5800" w:rsidRPr="008F328C" w:rsidRDefault="002E5800">
      <w:pPr>
        <w:spacing w:before="18" w:line="240" w:lineRule="exact"/>
        <w:rPr>
          <w:rFonts w:ascii="Times New Roman" w:hAnsi="Times New Roman" w:cs="Times New Roman"/>
          <w:sz w:val="24"/>
          <w:szCs w:val="24"/>
          <w:lang w:val="pl-PL"/>
        </w:rPr>
      </w:pPr>
    </w:p>
    <w:p w14:paraId="6FD18F14" w14:textId="77777777" w:rsidR="002E5800" w:rsidRPr="008F328C" w:rsidRDefault="000E0B7C">
      <w:pPr>
        <w:spacing w:before="18" w:line="240" w:lineRule="exact"/>
        <w:ind w:left="108"/>
        <w:rPr>
          <w:rFonts w:ascii="Times New Roman" w:hAnsi="Times New Roman" w:cs="Times New Roman"/>
          <w:sz w:val="24"/>
          <w:szCs w:val="24"/>
          <w:lang w:val="pl-PL"/>
        </w:rPr>
      </w:pPr>
      <w:r w:rsidRPr="008F328C">
        <w:rPr>
          <w:rFonts w:ascii="Times New Roman" w:hAnsi="Times New Roman" w:cs="Times New Roman"/>
          <w:noProof/>
          <w:lang w:eastAsia="ko-KR"/>
        </w:rPr>
        <w:drawing>
          <wp:inline distT="0" distB="0" distL="0" distR="0" wp14:anchorId="46ADED85" wp14:editId="34A3989C">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Użytkownik leku też może w tym pomóc, zgłaszając wszelkie działania niepożądane, które wystąpiły po zastosowaniu leku. Aby dowiedzieć się, jak zgłaszać działania niepożądane – patrz punkt 4.</w:t>
      </w:r>
    </w:p>
    <w:p w14:paraId="556ADFE2" w14:textId="77777777" w:rsidR="002E5800" w:rsidRPr="008F328C" w:rsidRDefault="002E5800">
      <w:pPr>
        <w:spacing w:before="18" w:line="240" w:lineRule="exact"/>
        <w:rPr>
          <w:rFonts w:ascii="Times New Roman" w:hAnsi="Times New Roman" w:cs="Times New Roman"/>
          <w:sz w:val="24"/>
          <w:szCs w:val="24"/>
          <w:lang w:val="pl-PL"/>
        </w:rPr>
      </w:pPr>
    </w:p>
    <w:p w14:paraId="001BD76B" w14:textId="77777777" w:rsidR="002E5800" w:rsidRPr="008F328C" w:rsidRDefault="000E0B7C">
      <w:pPr>
        <w:spacing w:before="18" w:line="240" w:lineRule="exact"/>
        <w:ind w:left="108"/>
        <w:rPr>
          <w:rFonts w:ascii="Times New Roman" w:hAnsi="Times New Roman" w:cs="Times New Roman"/>
          <w:b/>
          <w:lang w:val="pl-PL"/>
        </w:rPr>
      </w:pPr>
      <w:r w:rsidRPr="008F328C">
        <w:rPr>
          <w:rFonts w:ascii="Times New Roman" w:eastAsia="Times New Roman" w:hAnsi="Times New Roman" w:cs="Times New Roman"/>
          <w:b/>
          <w:bCs/>
          <w:lang w:val="pl-PL"/>
        </w:rPr>
        <w:t>Należy uważnie zapoznać się z treścią ulotki przed zastosowaniem leku, ponieważ zawiera ona informacje ważne dla pacjenta.</w:t>
      </w:r>
    </w:p>
    <w:p w14:paraId="4723D014" w14:textId="77777777" w:rsidR="002E5800" w:rsidRPr="008F328C" w:rsidRDefault="000E0B7C">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Należy zachować tę ulotkę, aby w razie potrzeby móc ją ponownie przeczytać.</w:t>
      </w:r>
    </w:p>
    <w:p w14:paraId="43F26F8D" w14:textId="77777777" w:rsidR="002E5800" w:rsidRPr="008F328C" w:rsidRDefault="000E0B7C">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Lekarz także przekaże pacjentowi „Kartę przypominającą dla pacjenta” zawierającą ważne informacje o bezpieczeństwie stosowania leku, o których należy pamiętać przed rozpoczęciem i w trakcie leczenia lekiem Yuflyma. Kartę przypominającą dla pacjenta należy zachować podczas leczenia i przez 4 miesiące po przyjęciu ostatniego wstrzyknięcia leku Yuflyma.</w:t>
      </w:r>
    </w:p>
    <w:p w14:paraId="46AE45BF" w14:textId="77777777" w:rsidR="002E5800" w:rsidRPr="008F328C" w:rsidRDefault="000E0B7C">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W razie jakichkolwiek wątpliwości należy zwrócić się do lekarza lub farmaceuty.</w:t>
      </w:r>
    </w:p>
    <w:p w14:paraId="26B67BD7" w14:textId="77777777" w:rsidR="002E5800" w:rsidRPr="008F328C" w:rsidRDefault="000E0B7C">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Lek ten przepisano ściśle określonej osobie. Nie należy go przekazywać innym. Lek może zaszkodzić innej osobie, nawet jeśli objawy jej choroby są takie same.</w:t>
      </w:r>
    </w:p>
    <w:p w14:paraId="41B9BD93" w14:textId="77777777" w:rsidR="002E5800" w:rsidRPr="008F328C" w:rsidRDefault="000E0B7C">
      <w:pPr>
        <w:widowControl/>
        <w:numPr>
          <w:ilvl w:val="0"/>
          <w:numId w:val="5"/>
        </w:numPr>
        <w:ind w:left="567" w:right="-2"/>
        <w:rPr>
          <w:rFonts w:ascii="Times New Roman" w:hAnsi="Times New Roman" w:cs="Times New Roman"/>
          <w:lang w:val="pl-PL"/>
        </w:rPr>
      </w:pPr>
      <w:r w:rsidRPr="008F328C">
        <w:rPr>
          <w:rFonts w:ascii="Times New Roman" w:eastAsia="Times New Roman" w:hAnsi="Times New Roman" w:cs="Times New Roman"/>
          <w:szCs w:val="20"/>
          <w:lang w:val="pl-PL" w:eastAsia="pl-PL" w:bidi="pl-PL"/>
        </w:rPr>
        <w:t>Jeśli wystąpią jakiekolwiek objawy niepożądane, w tym wszelkie objawy niepożądane niewymienione w tej ulotce, należy powiedzieć o tym lekarzowi lub pielęgniarce. Patrz punkt 4.</w:t>
      </w:r>
    </w:p>
    <w:p w14:paraId="0DAA7B69" w14:textId="77777777" w:rsidR="002E5800" w:rsidRPr="008F328C" w:rsidRDefault="002E5800">
      <w:pPr>
        <w:pStyle w:val="a3"/>
        <w:rPr>
          <w:lang w:val="pl-PL"/>
        </w:rPr>
      </w:pPr>
    </w:p>
    <w:p w14:paraId="604D17CD" w14:textId="77777777" w:rsidR="002E5800" w:rsidRPr="008F328C" w:rsidRDefault="000E0B7C">
      <w:pPr>
        <w:pStyle w:val="a3"/>
        <w:rPr>
          <w:rFonts w:eastAsia="Times New Roman"/>
          <w:b/>
          <w:bCs/>
          <w:lang w:val="pl-PL"/>
        </w:rPr>
      </w:pPr>
      <w:r w:rsidRPr="008F328C">
        <w:rPr>
          <w:rFonts w:eastAsia="Times New Roman"/>
          <w:b/>
          <w:bCs/>
          <w:lang w:val="pl-PL"/>
        </w:rPr>
        <w:t>Spis treści ulotki</w:t>
      </w:r>
    </w:p>
    <w:p w14:paraId="0896F735" w14:textId="77777777" w:rsidR="002E5800" w:rsidRPr="008F328C" w:rsidRDefault="002E5800">
      <w:pPr>
        <w:pStyle w:val="a3"/>
        <w:rPr>
          <w:b/>
          <w:lang w:val="pl-PL"/>
        </w:rPr>
      </w:pPr>
    </w:p>
    <w:p w14:paraId="229656AA" w14:textId="77777777" w:rsidR="002E5800" w:rsidRPr="008F328C" w:rsidRDefault="000E0B7C">
      <w:pPr>
        <w:pStyle w:val="a3"/>
        <w:numPr>
          <w:ilvl w:val="0"/>
          <w:numId w:val="36"/>
        </w:numPr>
        <w:ind w:hanging="760"/>
        <w:rPr>
          <w:lang w:val="pl-PL"/>
        </w:rPr>
      </w:pPr>
      <w:r w:rsidRPr="008F328C">
        <w:rPr>
          <w:rFonts w:eastAsia="Times New Roman"/>
          <w:lang w:val="pl-PL"/>
        </w:rPr>
        <w:t>Co to jest lek Yuflyma i w jakim celu się go stosuje</w:t>
      </w:r>
    </w:p>
    <w:p w14:paraId="7C878A40" w14:textId="77777777" w:rsidR="002E5800" w:rsidRPr="008F328C" w:rsidRDefault="000E0B7C">
      <w:pPr>
        <w:pStyle w:val="a3"/>
        <w:numPr>
          <w:ilvl w:val="0"/>
          <w:numId w:val="36"/>
        </w:numPr>
        <w:ind w:hanging="760"/>
        <w:rPr>
          <w:lang w:val="pl-PL"/>
        </w:rPr>
      </w:pPr>
      <w:r w:rsidRPr="008F328C">
        <w:rPr>
          <w:rFonts w:eastAsia="Times New Roman"/>
          <w:lang w:val="pl-PL"/>
        </w:rPr>
        <w:t>Informacje ważne przed przyjęciem leku Yuflyma</w:t>
      </w:r>
    </w:p>
    <w:p w14:paraId="76CFB8ED" w14:textId="77777777" w:rsidR="002E5800" w:rsidRPr="008F328C" w:rsidRDefault="000E0B7C">
      <w:pPr>
        <w:pStyle w:val="a3"/>
        <w:numPr>
          <w:ilvl w:val="0"/>
          <w:numId w:val="36"/>
        </w:numPr>
        <w:ind w:hanging="760"/>
        <w:rPr>
          <w:lang w:val="pl-PL"/>
        </w:rPr>
      </w:pPr>
      <w:r w:rsidRPr="008F328C">
        <w:rPr>
          <w:rFonts w:eastAsia="Times New Roman"/>
          <w:lang w:val="pl-PL"/>
        </w:rPr>
        <w:t>Jak stosować lek Yuflyma</w:t>
      </w:r>
    </w:p>
    <w:p w14:paraId="19F649B8" w14:textId="77777777" w:rsidR="002E5800" w:rsidRPr="008F328C" w:rsidRDefault="000E0B7C">
      <w:pPr>
        <w:pStyle w:val="a3"/>
        <w:numPr>
          <w:ilvl w:val="0"/>
          <w:numId w:val="36"/>
        </w:numPr>
        <w:ind w:hanging="760"/>
        <w:rPr>
          <w:lang w:val="pl-PL"/>
        </w:rPr>
      </w:pPr>
      <w:r w:rsidRPr="008F328C">
        <w:rPr>
          <w:rFonts w:eastAsia="Times New Roman"/>
          <w:lang w:val="pl-PL"/>
        </w:rPr>
        <w:t>Możliwe działania niepożądane</w:t>
      </w:r>
    </w:p>
    <w:p w14:paraId="1876E7CC" w14:textId="77777777" w:rsidR="002E5800" w:rsidRPr="008F328C" w:rsidRDefault="000E0B7C">
      <w:pPr>
        <w:pStyle w:val="a3"/>
        <w:numPr>
          <w:ilvl w:val="0"/>
          <w:numId w:val="36"/>
        </w:numPr>
        <w:ind w:hanging="760"/>
        <w:rPr>
          <w:lang w:val="pl-PL"/>
        </w:rPr>
      </w:pPr>
      <w:r w:rsidRPr="008F328C">
        <w:rPr>
          <w:rFonts w:eastAsia="Times New Roman"/>
          <w:lang w:val="pl-PL"/>
        </w:rPr>
        <w:t>Jak przechowywać lek Yuflyma</w:t>
      </w:r>
    </w:p>
    <w:p w14:paraId="24A72952" w14:textId="77777777" w:rsidR="002E5800" w:rsidRPr="008F328C" w:rsidRDefault="000E0B7C">
      <w:pPr>
        <w:pStyle w:val="a3"/>
        <w:numPr>
          <w:ilvl w:val="0"/>
          <w:numId w:val="36"/>
        </w:numPr>
        <w:ind w:hanging="760"/>
        <w:rPr>
          <w:lang w:val="pl-PL"/>
        </w:rPr>
      </w:pPr>
      <w:r w:rsidRPr="008F328C">
        <w:rPr>
          <w:rFonts w:eastAsia="Times New Roman"/>
          <w:lang w:val="pl-PL"/>
        </w:rPr>
        <w:t>Zawartość opakowania i inne informacje</w:t>
      </w:r>
    </w:p>
    <w:p w14:paraId="3BE8E8B6" w14:textId="77777777" w:rsidR="002E5800" w:rsidRPr="008F328C" w:rsidRDefault="000E0B7C">
      <w:pPr>
        <w:pStyle w:val="a3"/>
        <w:numPr>
          <w:ilvl w:val="0"/>
          <w:numId w:val="36"/>
        </w:numPr>
        <w:ind w:hanging="760"/>
        <w:rPr>
          <w:lang w:val="pl-PL"/>
        </w:rPr>
      </w:pPr>
      <w:r w:rsidRPr="008F328C">
        <w:rPr>
          <w:rFonts w:eastAsia="Times New Roman"/>
          <w:lang w:val="pl-PL"/>
        </w:rPr>
        <w:t>Instrukcja stosowania</w:t>
      </w:r>
    </w:p>
    <w:p w14:paraId="7F1DFADC" w14:textId="3DE76202" w:rsidR="002E5800" w:rsidRPr="008F328C" w:rsidRDefault="002E5800">
      <w:pPr>
        <w:spacing w:line="200" w:lineRule="exact"/>
        <w:rPr>
          <w:rFonts w:ascii="Times New Roman" w:hAnsi="Times New Roman" w:cs="Times New Roman"/>
          <w:sz w:val="20"/>
          <w:szCs w:val="20"/>
          <w:lang w:val="pl-PL"/>
        </w:rPr>
      </w:pPr>
    </w:p>
    <w:p w14:paraId="70A7BEFD" w14:textId="77777777" w:rsidR="00CC4159" w:rsidRPr="008F328C" w:rsidRDefault="00CC4159">
      <w:pPr>
        <w:spacing w:line="200" w:lineRule="exact"/>
        <w:rPr>
          <w:rFonts w:ascii="Times New Roman" w:hAnsi="Times New Roman" w:cs="Times New Roman"/>
          <w:sz w:val="20"/>
          <w:szCs w:val="20"/>
          <w:lang w:val="pl-PL"/>
        </w:rPr>
      </w:pPr>
    </w:p>
    <w:p w14:paraId="3C2DB871" w14:textId="77777777" w:rsidR="002E5800" w:rsidRPr="008F328C" w:rsidRDefault="000E0B7C">
      <w:pPr>
        <w:pStyle w:val="a4"/>
        <w:numPr>
          <w:ilvl w:val="0"/>
          <w:numId w:val="33"/>
        </w:numPr>
        <w:spacing w:line="240" w:lineRule="exact"/>
        <w:ind w:left="360"/>
        <w:rPr>
          <w:rFonts w:ascii="Times New Roman" w:hAnsi="Times New Roman" w:cs="Times New Roman"/>
          <w:b/>
          <w:lang w:val="pl-PL"/>
        </w:rPr>
      </w:pPr>
      <w:r w:rsidRPr="008F328C">
        <w:rPr>
          <w:rFonts w:ascii="Times New Roman" w:eastAsia="Times New Roman" w:hAnsi="Times New Roman" w:cs="Times New Roman"/>
          <w:b/>
          <w:bCs/>
          <w:lang w:val="pl-PL"/>
        </w:rPr>
        <w:t>Co to jest lek Yuflyma i w jakim celu się go stosuje</w:t>
      </w:r>
    </w:p>
    <w:p w14:paraId="41099DE5" w14:textId="77777777" w:rsidR="002E5800" w:rsidRPr="008F328C" w:rsidRDefault="002E5800">
      <w:pPr>
        <w:spacing w:line="240" w:lineRule="exact"/>
        <w:rPr>
          <w:rFonts w:ascii="Times New Roman" w:hAnsi="Times New Roman" w:cs="Times New Roman"/>
          <w:b/>
          <w:lang w:val="pl-PL"/>
        </w:rPr>
      </w:pPr>
    </w:p>
    <w:p w14:paraId="28FB21AD" w14:textId="77777777" w:rsidR="002E5800" w:rsidRPr="008F328C" w:rsidRDefault="000E0B7C">
      <w:pPr>
        <w:pStyle w:val="a3"/>
        <w:rPr>
          <w:lang w:val="pl-PL"/>
        </w:rPr>
      </w:pPr>
      <w:r w:rsidRPr="008F328C">
        <w:rPr>
          <w:rFonts w:eastAsia="Times New Roman"/>
          <w:lang w:val="pl-PL"/>
        </w:rPr>
        <w:t>Lek Yuflyma zawiera substancję czynną adalimumab, lek działający na układ odpornościowy (obronny) organizmu.</w:t>
      </w:r>
    </w:p>
    <w:p w14:paraId="4547A843" w14:textId="77777777" w:rsidR="002E5800" w:rsidRPr="008F328C" w:rsidRDefault="002E5800">
      <w:pPr>
        <w:pStyle w:val="a3"/>
        <w:rPr>
          <w:lang w:val="pl-PL"/>
        </w:rPr>
      </w:pPr>
    </w:p>
    <w:p w14:paraId="690EF7F1" w14:textId="77777777" w:rsidR="002E5800" w:rsidRPr="008F328C" w:rsidRDefault="000E0B7C">
      <w:pPr>
        <w:pStyle w:val="a3"/>
        <w:rPr>
          <w:lang w:val="pl-PL"/>
        </w:rPr>
      </w:pPr>
      <w:r w:rsidRPr="008F328C">
        <w:rPr>
          <w:rFonts w:eastAsia="Times New Roman"/>
          <w:lang w:val="pl-PL"/>
        </w:rPr>
        <w:t>Lek Yuflyma jest wskazany w leczeniu następujących chorób zapalnych:</w:t>
      </w:r>
    </w:p>
    <w:p w14:paraId="7E4ABE13" w14:textId="77777777" w:rsidR="002E5800" w:rsidRPr="008F328C" w:rsidRDefault="000E0B7C">
      <w:pPr>
        <w:pStyle w:val="a3"/>
        <w:numPr>
          <w:ilvl w:val="0"/>
          <w:numId w:val="5"/>
        </w:numPr>
        <w:ind w:left="660" w:hanging="660"/>
        <w:rPr>
          <w:lang w:val="pl-PL"/>
        </w:rPr>
      </w:pPr>
      <w:r w:rsidRPr="008F328C">
        <w:rPr>
          <w:rFonts w:eastAsia="Times New Roman"/>
          <w:lang w:val="pl-PL"/>
        </w:rPr>
        <w:t>reumatoidalnego zapalenia stawów</w:t>
      </w:r>
    </w:p>
    <w:p w14:paraId="146AE3D4" w14:textId="77777777" w:rsidR="002E5800" w:rsidRPr="008F328C" w:rsidRDefault="000E0B7C">
      <w:pPr>
        <w:pStyle w:val="a3"/>
        <w:numPr>
          <w:ilvl w:val="0"/>
          <w:numId w:val="5"/>
        </w:numPr>
        <w:ind w:left="660" w:hanging="660"/>
        <w:rPr>
          <w:lang w:val="pl-PL"/>
        </w:rPr>
      </w:pPr>
      <w:r w:rsidRPr="008F328C">
        <w:rPr>
          <w:rFonts w:eastAsia="Times New Roman"/>
          <w:lang w:val="pl-PL"/>
        </w:rPr>
        <w:t>wielostawowego młodzieńczego idiopatycznego zapalenia stawów</w:t>
      </w:r>
    </w:p>
    <w:p w14:paraId="63B2F87B" w14:textId="77777777" w:rsidR="002E5800" w:rsidRPr="008F328C" w:rsidRDefault="000E0B7C">
      <w:pPr>
        <w:pStyle w:val="a3"/>
        <w:numPr>
          <w:ilvl w:val="0"/>
          <w:numId w:val="5"/>
        </w:numPr>
        <w:ind w:left="660" w:hanging="660"/>
        <w:rPr>
          <w:lang w:val="pl-PL"/>
        </w:rPr>
      </w:pPr>
      <w:r w:rsidRPr="008F328C">
        <w:rPr>
          <w:rFonts w:eastAsia="Times New Roman"/>
          <w:lang w:val="pl-PL"/>
        </w:rPr>
        <w:t>zapalenia stawów z towarzyszącym zapaleniem przyczepów ścięgnistych</w:t>
      </w:r>
    </w:p>
    <w:p w14:paraId="63F376ED" w14:textId="77777777" w:rsidR="002E5800" w:rsidRPr="008F328C" w:rsidRDefault="000E0B7C">
      <w:pPr>
        <w:pStyle w:val="a3"/>
        <w:numPr>
          <w:ilvl w:val="0"/>
          <w:numId w:val="5"/>
        </w:numPr>
        <w:ind w:left="660" w:hanging="660"/>
        <w:rPr>
          <w:lang w:val="pl-PL"/>
        </w:rPr>
      </w:pPr>
      <w:r w:rsidRPr="008F328C">
        <w:rPr>
          <w:rFonts w:eastAsia="Times New Roman"/>
          <w:lang w:val="pl-PL"/>
        </w:rPr>
        <w:t>zesztywniającego zapalenia stawów kręgosłupa</w:t>
      </w:r>
    </w:p>
    <w:p w14:paraId="0E263FB0" w14:textId="77777777" w:rsidR="002E5800" w:rsidRPr="008F328C" w:rsidRDefault="000E0B7C">
      <w:pPr>
        <w:pStyle w:val="a3"/>
        <w:numPr>
          <w:ilvl w:val="0"/>
          <w:numId w:val="5"/>
        </w:numPr>
        <w:ind w:left="660" w:hanging="660"/>
        <w:rPr>
          <w:lang w:val="pl-PL"/>
        </w:rPr>
      </w:pPr>
      <w:r w:rsidRPr="008F328C">
        <w:rPr>
          <w:rFonts w:eastAsia="Times New Roman"/>
          <w:lang w:val="pl-PL"/>
        </w:rPr>
        <w:t>osiowej spondyloartropatii bez zmian radiograficznych charakterystycznych dla zesztywniającego zapalenia stawów kręgosłupa</w:t>
      </w:r>
    </w:p>
    <w:p w14:paraId="6C65F164" w14:textId="77777777" w:rsidR="002E5800" w:rsidRPr="008F328C" w:rsidRDefault="000E0B7C">
      <w:pPr>
        <w:pStyle w:val="a3"/>
        <w:numPr>
          <w:ilvl w:val="0"/>
          <w:numId w:val="5"/>
        </w:numPr>
        <w:ind w:left="660" w:hanging="660"/>
        <w:rPr>
          <w:lang w:val="pl-PL"/>
        </w:rPr>
      </w:pPr>
      <w:r w:rsidRPr="008F328C">
        <w:rPr>
          <w:rFonts w:eastAsia="Times New Roman"/>
          <w:lang w:val="pl-PL"/>
        </w:rPr>
        <w:t>łuszczycowego zapalenia stawów</w:t>
      </w:r>
    </w:p>
    <w:p w14:paraId="1DEA7AD9" w14:textId="77777777" w:rsidR="002E5800" w:rsidRPr="008F328C" w:rsidRDefault="000E0B7C">
      <w:pPr>
        <w:pStyle w:val="a3"/>
        <w:numPr>
          <w:ilvl w:val="0"/>
          <w:numId w:val="5"/>
        </w:numPr>
        <w:ind w:left="660" w:hanging="660"/>
        <w:rPr>
          <w:lang w:val="pl-PL"/>
        </w:rPr>
      </w:pPr>
      <w:r w:rsidRPr="008F328C">
        <w:rPr>
          <w:rFonts w:eastAsia="Times New Roman"/>
          <w:lang w:val="pl-PL"/>
        </w:rPr>
        <w:t>łuszczycy zwyczajnej (plackowatej)</w:t>
      </w:r>
    </w:p>
    <w:p w14:paraId="47779180" w14:textId="77777777" w:rsidR="002E5800" w:rsidRPr="008F328C" w:rsidRDefault="000E0B7C">
      <w:pPr>
        <w:pStyle w:val="a3"/>
        <w:numPr>
          <w:ilvl w:val="0"/>
          <w:numId w:val="5"/>
        </w:numPr>
        <w:ind w:left="660" w:hanging="660"/>
        <w:rPr>
          <w:lang w:val="pl-PL"/>
        </w:rPr>
      </w:pPr>
      <w:r w:rsidRPr="008F328C">
        <w:rPr>
          <w:rFonts w:eastAsia="Times New Roman"/>
          <w:lang w:val="pl-PL"/>
        </w:rPr>
        <w:t>ropnego zapalenia apokrynowych gruczołów potowych</w:t>
      </w:r>
    </w:p>
    <w:p w14:paraId="5115BDF4" w14:textId="77777777" w:rsidR="002E5800" w:rsidRPr="008F328C" w:rsidRDefault="000E0B7C">
      <w:pPr>
        <w:pStyle w:val="a3"/>
        <w:numPr>
          <w:ilvl w:val="0"/>
          <w:numId w:val="5"/>
        </w:numPr>
        <w:ind w:left="660" w:hanging="660"/>
        <w:rPr>
          <w:lang w:val="pl-PL"/>
        </w:rPr>
      </w:pPr>
      <w:r w:rsidRPr="008F328C">
        <w:rPr>
          <w:rFonts w:eastAsia="Times New Roman"/>
          <w:lang w:val="pl-PL"/>
        </w:rPr>
        <w:t>choroby Leśniowskiego-Crohna</w:t>
      </w:r>
    </w:p>
    <w:p w14:paraId="4A252D68" w14:textId="77777777" w:rsidR="002E5800" w:rsidRPr="008F328C" w:rsidRDefault="000E0B7C">
      <w:pPr>
        <w:pStyle w:val="a3"/>
        <w:numPr>
          <w:ilvl w:val="0"/>
          <w:numId w:val="5"/>
        </w:numPr>
        <w:ind w:left="660" w:hanging="660"/>
        <w:rPr>
          <w:lang w:val="pl-PL"/>
        </w:rPr>
      </w:pPr>
      <w:r w:rsidRPr="008F328C">
        <w:rPr>
          <w:rFonts w:eastAsia="Times New Roman"/>
          <w:lang w:val="pl-PL"/>
        </w:rPr>
        <w:t>wrzodziejącego zapalenia jelita grubego</w:t>
      </w:r>
    </w:p>
    <w:p w14:paraId="0F4BBA9D" w14:textId="77777777" w:rsidR="002E5800" w:rsidRPr="008F328C" w:rsidRDefault="000E0B7C">
      <w:pPr>
        <w:pStyle w:val="a3"/>
        <w:numPr>
          <w:ilvl w:val="0"/>
          <w:numId w:val="5"/>
        </w:numPr>
        <w:ind w:left="660" w:hanging="660"/>
        <w:rPr>
          <w:lang w:val="pl-PL"/>
        </w:rPr>
      </w:pPr>
      <w:r w:rsidRPr="008F328C">
        <w:rPr>
          <w:rFonts w:eastAsia="Times New Roman"/>
          <w:lang w:val="pl-PL"/>
        </w:rPr>
        <w:t>nieinfekcyjnego zapalenia błony naczyniowej oka</w:t>
      </w:r>
    </w:p>
    <w:p w14:paraId="6742C59E" w14:textId="77777777" w:rsidR="002E5800" w:rsidRPr="008F328C" w:rsidRDefault="002E5800">
      <w:pPr>
        <w:spacing w:before="10" w:line="240" w:lineRule="exact"/>
        <w:rPr>
          <w:rFonts w:ascii="Times New Roman" w:hAnsi="Times New Roman" w:cs="Times New Roman"/>
          <w:sz w:val="24"/>
          <w:szCs w:val="24"/>
          <w:lang w:val="pl-PL"/>
        </w:rPr>
      </w:pPr>
    </w:p>
    <w:p w14:paraId="07A41B2A" w14:textId="77777777" w:rsidR="002E5800" w:rsidRPr="008F328C" w:rsidRDefault="000E0B7C">
      <w:pPr>
        <w:pStyle w:val="a3"/>
        <w:rPr>
          <w:lang w:val="pl-PL"/>
        </w:rPr>
      </w:pPr>
      <w:r w:rsidRPr="008F328C">
        <w:rPr>
          <w:rFonts w:eastAsia="Times New Roman"/>
          <w:lang w:val="pl-PL"/>
        </w:rPr>
        <w:lastRenderedPageBreak/>
        <w:t>Substancja czynna leku Yuflyma, adalimumab, jest ludzkim przeciwciałem monoklonalnym. Przeciwciała monoklonalne są białkami, które wiążą się ze swoistym celem.</w:t>
      </w:r>
    </w:p>
    <w:p w14:paraId="3DB2C8CA" w14:textId="77777777" w:rsidR="002E5800" w:rsidRPr="008F328C" w:rsidRDefault="002E5800">
      <w:pPr>
        <w:spacing w:before="16" w:line="240" w:lineRule="exact"/>
        <w:rPr>
          <w:rFonts w:ascii="Times New Roman" w:hAnsi="Times New Roman" w:cs="Times New Roman"/>
          <w:sz w:val="24"/>
          <w:szCs w:val="24"/>
          <w:lang w:val="pl-PL"/>
        </w:rPr>
      </w:pPr>
    </w:p>
    <w:p w14:paraId="0ECDBF82" w14:textId="77777777" w:rsidR="002E5800" w:rsidRPr="008F328C" w:rsidRDefault="000E0B7C">
      <w:pPr>
        <w:pStyle w:val="a3"/>
        <w:rPr>
          <w:lang w:val="pl-PL"/>
        </w:rPr>
      </w:pPr>
      <w:r w:rsidRPr="008F328C">
        <w:rPr>
          <w:rFonts w:eastAsia="Times New Roman"/>
          <w:lang w:val="pl-PL"/>
        </w:rPr>
        <w:t>Celem adalimumabu jest białko nazywane czynnikiem martwicy nowotworów (TNFα), które uczestniczy w układzie immunologicznym (obronnym) i występuje na zwiększonym poziomie w chorobach zapalnych wymienionych powyżej. Dzięki połączeniu z TNFα, Yuflyma zmniejsza proces zapalny w tych chorobach.</w:t>
      </w:r>
    </w:p>
    <w:p w14:paraId="063894B4" w14:textId="77777777" w:rsidR="002E5800" w:rsidRPr="008F328C" w:rsidRDefault="002E5800">
      <w:pPr>
        <w:pStyle w:val="a3"/>
        <w:rPr>
          <w:lang w:val="pl-PL"/>
        </w:rPr>
      </w:pPr>
    </w:p>
    <w:p w14:paraId="43AD72E4" w14:textId="77777777" w:rsidR="002E5800" w:rsidRPr="008F328C" w:rsidRDefault="000E0B7C">
      <w:pPr>
        <w:pStyle w:val="a3"/>
        <w:rPr>
          <w:b/>
          <w:lang w:val="pl-PL"/>
        </w:rPr>
      </w:pPr>
      <w:r w:rsidRPr="008F328C">
        <w:rPr>
          <w:rFonts w:eastAsia="Times New Roman"/>
          <w:b/>
          <w:bCs/>
          <w:lang w:val="pl-PL"/>
        </w:rPr>
        <w:t>Reumatoidalne zapalenie stawów (RZS)</w:t>
      </w:r>
    </w:p>
    <w:p w14:paraId="701D62D3" w14:textId="77777777" w:rsidR="002E5800" w:rsidRPr="008F328C" w:rsidRDefault="002E5800">
      <w:pPr>
        <w:pStyle w:val="a3"/>
        <w:rPr>
          <w:u w:val="single"/>
          <w:lang w:val="pl-PL"/>
        </w:rPr>
      </w:pPr>
    </w:p>
    <w:p w14:paraId="32653C3A" w14:textId="77777777" w:rsidR="002E5800" w:rsidRPr="008F328C" w:rsidRDefault="000E0B7C">
      <w:pPr>
        <w:pStyle w:val="a3"/>
        <w:rPr>
          <w:lang w:val="pl-PL"/>
        </w:rPr>
      </w:pPr>
      <w:r w:rsidRPr="008F328C">
        <w:rPr>
          <w:rFonts w:eastAsia="Times New Roman"/>
          <w:lang w:val="pl-PL"/>
        </w:rPr>
        <w:t>Reumatoidalne zapalenie stawów jest chorobą zapalną stawów.</w:t>
      </w:r>
    </w:p>
    <w:p w14:paraId="70C45568" w14:textId="77777777" w:rsidR="002E5800" w:rsidRPr="008F328C" w:rsidRDefault="002E5800">
      <w:pPr>
        <w:spacing w:before="11" w:line="240" w:lineRule="exact"/>
        <w:rPr>
          <w:rFonts w:ascii="Times New Roman" w:hAnsi="Times New Roman" w:cs="Times New Roman"/>
          <w:sz w:val="24"/>
          <w:szCs w:val="24"/>
          <w:lang w:val="pl-PL"/>
        </w:rPr>
      </w:pPr>
    </w:p>
    <w:p w14:paraId="370D7CE7" w14:textId="77777777" w:rsidR="002E5800" w:rsidRPr="008F328C" w:rsidRDefault="000E0B7C">
      <w:pPr>
        <w:pStyle w:val="a3"/>
        <w:rPr>
          <w:lang w:val="pl-PL"/>
        </w:rPr>
      </w:pPr>
      <w:r w:rsidRPr="008F328C">
        <w:rPr>
          <w:rFonts w:eastAsia="Times New Roman"/>
          <w:lang w:val="pl-PL"/>
        </w:rPr>
        <w:t>Lek Yuflyma jest stosowany w leczeniu reumatoidalnego zapalenia stawów o nasileniu umiarkowanym do ciężkiego u dorosłych. Pacjent może najpierw otrzymywać inne leki modyfikujące przebieg choroby, takie jak metotreksat. W razie braku zadowalającej odpowiedzi na te leki, pacjent otrzyma lek Yuflyma.</w:t>
      </w:r>
    </w:p>
    <w:p w14:paraId="1B7D8928" w14:textId="77777777" w:rsidR="002E5800" w:rsidRPr="008F328C" w:rsidRDefault="002E5800">
      <w:pPr>
        <w:spacing w:before="17" w:line="240" w:lineRule="exact"/>
        <w:rPr>
          <w:rFonts w:ascii="Times New Roman" w:hAnsi="Times New Roman" w:cs="Times New Roman"/>
          <w:sz w:val="24"/>
          <w:szCs w:val="24"/>
          <w:lang w:val="pl-PL"/>
        </w:rPr>
      </w:pPr>
    </w:p>
    <w:p w14:paraId="3A0371D6" w14:textId="77777777" w:rsidR="002E5800" w:rsidRPr="008F328C" w:rsidRDefault="000E0B7C">
      <w:pPr>
        <w:pStyle w:val="a3"/>
        <w:rPr>
          <w:lang w:val="pl-PL"/>
        </w:rPr>
      </w:pPr>
      <w:r w:rsidRPr="008F328C">
        <w:rPr>
          <w:rFonts w:eastAsia="Times New Roman"/>
          <w:lang w:val="pl-PL"/>
        </w:rPr>
        <w:t>Lek Yuflyma można również stosować w leczeniu ciężkiego, czynnego i postępującego reumatoidalnego zapalenia stawów bez uprzedniego leczenia metotreksatem.</w:t>
      </w:r>
    </w:p>
    <w:p w14:paraId="31330253" w14:textId="77777777" w:rsidR="002E5800" w:rsidRPr="008F328C" w:rsidRDefault="002E5800">
      <w:pPr>
        <w:spacing w:before="11" w:line="240" w:lineRule="exact"/>
        <w:rPr>
          <w:rFonts w:ascii="Times New Roman" w:hAnsi="Times New Roman" w:cs="Times New Roman"/>
          <w:sz w:val="24"/>
          <w:szCs w:val="24"/>
          <w:lang w:val="pl-PL"/>
        </w:rPr>
      </w:pPr>
    </w:p>
    <w:p w14:paraId="0CECECFE" w14:textId="77777777" w:rsidR="002E5800" w:rsidRPr="008F328C" w:rsidRDefault="000E0B7C">
      <w:pPr>
        <w:pStyle w:val="a3"/>
        <w:rPr>
          <w:lang w:val="pl-PL"/>
        </w:rPr>
      </w:pPr>
      <w:r w:rsidRPr="008F328C">
        <w:rPr>
          <w:rFonts w:eastAsia="Times New Roman"/>
          <w:lang w:val="pl-PL"/>
        </w:rPr>
        <w:t>Lek Yuflyma może spowalniać postęp uszkodzenia stawów spowodowany przez chorobę zapalną i pomóc zwiększyć ruchomość stawów.</w:t>
      </w:r>
    </w:p>
    <w:p w14:paraId="784C80A5" w14:textId="77777777" w:rsidR="002E5800" w:rsidRPr="008F328C" w:rsidRDefault="002E5800">
      <w:pPr>
        <w:spacing w:before="10" w:line="240" w:lineRule="exact"/>
        <w:rPr>
          <w:rFonts w:ascii="Times New Roman" w:hAnsi="Times New Roman" w:cs="Times New Roman"/>
          <w:sz w:val="24"/>
          <w:szCs w:val="24"/>
          <w:lang w:val="pl-PL"/>
        </w:rPr>
      </w:pPr>
    </w:p>
    <w:p w14:paraId="29F038DF" w14:textId="77777777" w:rsidR="002E5800" w:rsidRPr="008F328C" w:rsidRDefault="000E0B7C">
      <w:pPr>
        <w:pStyle w:val="a3"/>
        <w:rPr>
          <w:lang w:val="pl-PL"/>
        </w:rPr>
      </w:pPr>
      <w:r w:rsidRPr="008F328C">
        <w:rPr>
          <w:rFonts w:eastAsia="Times New Roman"/>
          <w:lang w:val="pl-PL"/>
        </w:rPr>
        <w:t>Lekarz zdecyduje, czy lek Yuflyma należy stosować z metotreksatem czy bez metotreksatu.</w:t>
      </w:r>
    </w:p>
    <w:p w14:paraId="7FC29175" w14:textId="77777777" w:rsidR="002E5800" w:rsidRPr="008F328C" w:rsidRDefault="002E5800">
      <w:pPr>
        <w:spacing w:before="18" w:line="240" w:lineRule="exact"/>
        <w:rPr>
          <w:rFonts w:ascii="Times New Roman" w:hAnsi="Times New Roman" w:cs="Times New Roman"/>
          <w:sz w:val="24"/>
          <w:szCs w:val="24"/>
          <w:lang w:val="pl-PL"/>
        </w:rPr>
      </w:pPr>
    </w:p>
    <w:p w14:paraId="66533C86" w14:textId="77777777" w:rsidR="002E5800" w:rsidRPr="008F328C" w:rsidRDefault="000E0B7C">
      <w:pPr>
        <w:pStyle w:val="a3"/>
        <w:rPr>
          <w:b/>
          <w:lang w:val="pl-PL"/>
        </w:rPr>
      </w:pPr>
      <w:r w:rsidRPr="008F328C">
        <w:rPr>
          <w:rFonts w:eastAsia="Times New Roman"/>
          <w:b/>
          <w:bCs/>
          <w:lang w:val="pl-PL"/>
        </w:rPr>
        <w:t>Wielostawowe młodzieńcze idiopatyczne zapalenie stawów</w:t>
      </w:r>
    </w:p>
    <w:p w14:paraId="2245C6CF" w14:textId="77777777" w:rsidR="002E5800" w:rsidRPr="008F328C" w:rsidRDefault="002E5800">
      <w:pPr>
        <w:spacing w:before="9" w:line="240" w:lineRule="exact"/>
        <w:rPr>
          <w:rFonts w:ascii="Times New Roman" w:hAnsi="Times New Roman" w:cs="Times New Roman"/>
          <w:sz w:val="24"/>
          <w:szCs w:val="24"/>
          <w:lang w:val="pl-PL"/>
        </w:rPr>
      </w:pPr>
    </w:p>
    <w:p w14:paraId="69E8BCC7" w14:textId="77777777" w:rsidR="002E5800" w:rsidRPr="008F328C" w:rsidRDefault="000E0B7C">
      <w:pPr>
        <w:pStyle w:val="a3"/>
        <w:rPr>
          <w:lang w:val="pl-PL"/>
        </w:rPr>
      </w:pPr>
      <w:r w:rsidRPr="008F328C">
        <w:rPr>
          <w:rFonts w:eastAsia="Times New Roman"/>
          <w:lang w:val="pl-PL"/>
        </w:rPr>
        <w:t>Wielostawowe młodzieńcze idiopatyczne zapalenie stawów jest chorobą zapalną stawów.</w:t>
      </w:r>
    </w:p>
    <w:p w14:paraId="209F065F" w14:textId="77777777" w:rsidR="002E5800" w:rsidRPr="008F328C" w:rsidRDefault="002E5800">
      <w:pPr>
        <w:spacing w:before="13" w:line="240" w:lineRule="exact"/>
        <w:rPr>
          <w:rFonts w:ascii="Times New Roman" w:hAnsi="Times New Roman" w:cs="Times New Roman"/>
          <w:sz w:val="24"/>
          <w:szCs w:val="24"/>
          <w:lang w:val="pl-PL"/>
        </w:rPr>
      </w:pPr>
    </w:p>
    <w:p w14:paraId="0FC42974" w14:textId="77777777" w:rsidR="002E5800" w:rsidRPr="008F328C" w:rsidRDefault="000E0B7C">
      <w:pPr>
        <w:pStyle w:val="a3"/>
        <w:rPr>
          <w:lang w:val="pl-PL"/>
        </w:rPr>
      </w:pPr>
      <w:r w:rsidRPr="008F328C">
        <w:rPr>
          <w:rFonts w:eastAsia="Times New Roman"/>
          <w:lang w:val="pl-PL"/>
        </w:rPr>
        <w:t>Lek Yuflyma jest stosowany w leczeniu wielostawowego młodzieńczego idiopatycznego zapalenia stawów u pacjentów w wieku od 2 lat. Pacjent może najpierw otrzymywać inne leki modyfikujące przebieg choroby, takie jak metotreksat. W razie braku zadowalającej odpowiedzi na te leki, pacjent otrzyma lek Yuflyma.</w:t>
      </w:r>
    </w:p>
    <w:p w14:paraId="737710CB" w14:textId="77777777" w:rsidR="002E5800" w:rsidRPr="008F328C" w:rsidRDefault="002E5800">
      <w:pPr>
        <w:spacing w:before="13" w:line="240" w:lineRule="exact"/>
        <w:rPr>
          <w:rFonts w:ascii="Times New Roman" w:hAnsi="Times New Roman" w:cs="Times New Roman"/>
          <w:sz w:val="24"/>
          <w:szCs w:val="24"/>
          <w:lang w:val="pl-PL"/>
        </w:rPr>
      </w:pPr>
    </w:p>
    <w:p w14:paraId="39CC2ACA" w14:textId="77777777" w:rsidR="002E5800" w:rsidRPr="008F328C" w:rsidRDefault="000E0B7C">
      <w:pPr>
        <w:pStyle w:val="a3"/>
        <w:rPr>
          <w:lang w:val="pl-PL"/>
        </w:rPr>
      </w:pPr>
      <w:r w:rsidRPr="008F328C">
        <w:rPr>
          <w:rFonts w:eastAsia="Times New Roman"/>
          <w:lang w:val="pl-PL"/>
        </w:rPr>
        <w:t>Lekarz zdecyduje, czy lek Yuflyma należy stosować z metotreksatem czy bez metotreksatu.</w:t>
      </w:r>
    </w:p>
    <w:p w14:paraId="689268B6" w14:textId="77777777" w:rsidR="002E5800" w:rsidRPr="008F328C" w:rsidRDefault="002E5800">
      <w:pPr>
        <w:spacing w:before="16" w:line="240" w:lineRule="exact"/>
        <w:rPr>
          <w:rFonts w:ascii="Times New Roman" w:hAnsi="Times New Roman" w:cs="Times New Roman"/>
          <w:sz w:val="24"/>
          <w:szCs w:val="24"/>
          <w:lang w:val="pl-PL"/>
        </w:rPr>
      </w:pPr>
    </w:p>
    <w:p w14:paraId="53C80C72" w14:textId="77777777" w:rsidR="002E5800" w:rsidRPr="008F328C" w:rsidRDefault="000E0B7C">
      <w:pPr>
        <w:pStyle w:val="a3"/>
        <w:rPr>
          <w:b/>
          <w:lang w:val="pl-PL"/>
        </w:rPr>
      </w:pPr>
      <w:r w:rsidRPr="008F328C">
        <w:rPr>
          <w:rFonts w:eastAsia="Times New Roman"/>
          <w:b/>
          <w:bCs/>
          <w:i/>
          <w:iCs/>
          <w:lang w:val="pl-PL"/>
        </w:rPr>
        <w:t>Zapalenie stawów z towarzyszącym zapaleniem przyczepów ścięgnistych</w:t>
      </w:r>
    </w:p>
    <w:p w14:paraId="3C9254B2" w14:textId="77777777" w:rsidR="002E5800" w:rsidRPr="008F328C" w:rsidRDefault="002E5800">
      <w:pPr>
        <w:spacing w:before="9" w:line="240" w:lineRule="exact"/>
        <w:rPr>
          <w:rFonts w:ascii="Times New Roman" w:hAnsi="Times New Roman" w:cs="Times New Roman"/>
          <w:sz w:val="24"/>
          <w:szCs w:val="24"/>
          <w:lang w:val="pl-PL"/>
        </w:rPr>
      </w:pPr>
    </w:p>
    <w:p w14:paraId="54C7FDFD" w14:textId="77777777" w:rsidR="002E5800" w:rsidRPr="008F328C" w:rsidRDefault="000E0B7C">
      <w:pPr>
        <w:pStyle w:val="a3"/>
        <w:rPr>
          <w:lang w:val="pl-PL"/>
        </w:rPr>
      </w:pPr>
      <w:r w:rsidRPr="008F328C">
        <w:rPr>
          <w:rFonts w:eastAsia="Times New Roman"/>
          <w:lang w:val="pl-PL"/>
        </w:rPr>
        <w:t>Zapalenie stawów z towarzyszącym zapaleniem przyczepów ścięgnistych jest chorobą zapalną stawów oraz miejsc przyczepu ścięgien do kości.</w:t>
      </w:r>
    </w:p>
    <w:p w14:paraId="1767BE23" w14:textId="77777777" w:rsidR="002E5800" w:rsidRPr="008F328C" w:rsidRDefault="002E5800">
      <w:pPr>
        <w:spacing w:before="10" w:line="240" w:lineRule="exact"/>
        <w:rPr>
          <w:rFonts w:ascii="Times New Roman" w:hAnsi="Times New Roman" w:cs="Times New Roman"/>
          <w:sz w:val="24"/>
          <w:szCs w:val="24"/>
          <w:lang w:val="pl-PL"/>
        </w:rPr>
      </w:pPr>
    </w:p>
    <w:p w14:paraId="01F5F56C" w14:textId="77777777" w:rsidR="002E5800" w:rsidRPr="008F328C" w:rsidRDefault="000E0B7C">
      <w:pPr>
        <w:pStyle w:val="a3"/>
        <w:rPr>
          <w:lang w:val="pl-PL"/>
        </w:rPr>
      </w:pPr>
      <w:r w:rsidRPr="008F328C">
        <w:rPr>
          <w:rFonts w:eastAsia="Times New Roman"/>
          <w:lang w:val="pl-PL"/>
        </w:rPr>
        <w:t>Lek Yuflyma jest stosowany w leczeniu zapalenia stawów z towarzyszącym zapaleniem przyczepów ścięgnistych u pacjentów w wieku od 6 lat. Pacjent może najpierw otrzymywać inne leki modyfikujące przebieg choroby, takie jak metotreksat. W razie braku zadowalającej odpowiedzi na te leki, pacjent otrzyma lek Yuflyma.</w:t>
      </w:r>
    </w:p>
    <w:p w14:paraId="53D4E642" w14:textId="77777777" w:rsidR="002E5800" w:rsidRPr="008F328C" w:rsidRDefault="002E5800">
      <w:pPr>
        <w:spacing w:before="2" w:line="260" w:lineRule="exact"/>
        <w:rPr>
          <w:rFonts w:ascii="Times New Roman" w:hAnsi="Times New Roman" w:cs="Times New Roman"/>
          <w:sz w:val="26"/>
          <w:szCs w:val="26"/>
          <w:lang w:val="pl-PL"/>
        </w:rPr>
      </w:pPr>
    </w:p>
    <w:p w14:paraId="29924A65" w14:textId="77777777" w:rsidR="002E5800" w:rsidRPr="008F328C" w:rsidRDefault="000E0B7C">
      <w:pPr>
        <w:pStyle w:val="a3"/>
        <w:rPr>
          <w:b/>
          <w:lang w:val="pl-PL"/>
        </w:rPr>
      </w:pPr>
      <w:r w:rsidRPr="008F328C">
        <w:rPr>
          <w:rFonts w:eastAsia="Times New Roman"/>
          <w:b/>
          <w:bCs/>
          <w:lang w:val="pl-PL"/>
        </w:rPr>
        <w:t>Zesztywniające zapalenie stawów kręgosłupa i osiowa spondyloartropatia bez zmian radiograficznych charakterystycznych dla zesztywniającego zapalenia stawów kręgosłupa</w:t>
      </w:r>
    </w:p>
    <w:p w14:paraId="6C3CDC0E" w14:textId="77777777" w:rsidR="002E5800" w:rsidRPr="008F328C" w:rsidRDefault="002E5800">
      <w:pPr>
        <w:spacing w:before="6" w:line="240" w:lineRule="exact"/>
        <w:rPr>
          <w:rFonts w:ascii="Times New Roman" w:hAnsi="Times New Roman" w:cs="Times New Roman"/>
          <w:sz w:val="24"/>
          <w:szCs w:val="24"/>
          <w:lang w:val="pl-PL"/>
        </w:rPr>
      </w:pPr>
    </w:p>
    <w:p w14:paraId="75D2FD58" w14:textId="77777777" w:rsidR="002E5800" w:rsidRPr="008F328C" w:rsidRDefault="000E0B7C">
      <w:pPr>
        <w:pStyle w:val="a3"/>
        <w:rPr>
          <w:lang w:val="pl-PL"/>
        </w:rPr>
      </w:pPr>
      <w:r w:rsidRPr="008F328C">
        <w:rPr>
          <w:rFonts w:eastAsia="Times New Roman"/>
          <w:lang w:val="pl-PL"/>
        </w:rPr>
        <w:t>Zesztywniające zapalenie stawów kręgosłupa i osiowa spondyloartropatia bez zmian radiograficznych charakterystycznych dla zesztywniającego zapalenia stawów kręgosłupa to choroby zapalne kręgosłupa.</w:t>
      </w:r>
    </w:p>
    <w:p w14:paraId="3A4E0757" w14:textId="77777777" w:rsidR="002E5800" w:rsidRPr="008F328C" w:rsidRDefault="002E5800">
      <w:pPr>
        <w:spacing w:before="10" w:line="240" w:lineRule="exact"/>
        <w:rPr>
          <w:rFonts w:ascii="Times New Roman" w:hAnsi="Times New Roman" w:cs="Times New Roman"/>
          <w:sz w:val="24"/>
          <w:szCs w:val="24"/>
          <w:lang w:val="pl-PL"/>
        </w:rPr>
      </w:pPr>
    </w:p>
    <w:p w14:paraId="5E7C5D82" w14:textId="77777777" w:rsidR="002E5800" w:rsidRPr="008F328C" w:rsidRDefault="000E0B7C">
      <w:pPr>
        <w:pStyle w:val="a3"/>
        <w:rPr>
          <w:lang w:val="pl-PL"/>
        </w:rPr>
      </w:pPr>
      <w:r w:rsidRPr="008F328C">
        <w:rPr>
          <w:rFonts w:eastAsia="Times New Roman"/>
          <w:lang w:val="pl-PL"/>
        </w:rPr>
        <w:t xml:space="preserve">Lek Yuflyma jest stosowany w leczeniu ciężkiego zesztywniającego zapalenia stawów kręgosłupa i osiowej spondyloartropatii bez zmian radiograficznych charakterystycznych dla zesztywniającego </w:t>
      </w:r>
      <w:r w:rsidRPr="008F328C">
        <w:rPr>
          <w:rFonts w:eastAsia="Times New Roman"/>
          <w:lang w:val="pl-PL"/>
        </w:rPr>
        <w:lastRenderedPageBreak/>
        <w:t>zapalenia stawów kręgosłupa u dorosłych. Pacjent może najpierw otrzymywać inne leki. W razie braku zadowalającej odpowiedzi na te leki, pacjent otrzyma lek Yuflyma.</w:t>
      </w:r>
    </w:p>
    <w:p w14:paraId="641C3A50" w14:textId="77777777" w:rsidR="002E5800" w:rsidRPr="008F328C" w:rsidRDefault="002E5800">
      <w:pPr>
        <w:spacing w:before="18" w:line="240" w:lineRule="exact"/>
        <w:rPr>
          <w:rFonts w:ascii="Times New Roman" w:hAnsi="Times New Roman" w:cs="Times New Roman"/>
          <w:sz w:val="24"/>
          <w:szCs w:val="24"/>
          <w:lang w:val="pl-PL"/>
        </w:rPr>
      </w:pPr>
    </w:p>
    <w:p w14:paraId="29F5F318" w14:textId="77777777" w:rsidR="002E5800" w:rsidRPr="008F328C" w:rsidRDefault="000E0B7C">
      <w:pPr>
        <w:pStyle w:val="a3"/>
        <w:rPr>
          <w:b/>
          <w:lang w:val="pl-PL"/>
        </w:rPr>
      </w:pPr>
      <w:r w:rsidRPr="008F328C">
        <w:rPr>
          <w:rFonts w:eastAsia="Times New Roman"/>
          <w:b/>
          <w:bCs/>
          <w:lang w:val="pl-PL"/>
        </w:rPr>
        <w:t>Łuszczycowe zapalenie stawów</w:t>
      </w:r>
    </w:p>
    <w:p w14:paraId="5B7BA600" w14:textId="77777777" w:rsidR="002E5800" w:rsidRPr="008F328C" w:rsidRDefault="002E5800">
      <w:pPr>
        <w:pStyle w:val="a3"/>
        <w:rPr>
          <w:lang w:val="pl-PL"/>
        </w:rPr>
      </w:pPr>
    </w:p>
    <w:p w14:paraId="319C3660" w14:textId="77777777" w:rsidR="002E5800" w:rsidRPr="008F328C" w:rsidRDefault="000E0B7C">
      <w:pPr>
        <w:pStyle w:val="a3"/>
        <w:rPr>
          <w:lang w:val="pl-PL"/>
        </w:rPr>
      </w:pPr>
      <w:r w:rsidRPr="008F328C">
        <w:rPr>
          <w:rFonts w:eastAsia="Times New Roman"/>
          <w:lang w:val="pl-PL"/>
        </w:rPr>
        <w:t>Łuszczycowe zapalenie stawów jest chorobą zapalną stawów, zazwyczaj związaną z łuszczycą.</w:t>
      </w:r>
    </w:p>
    <w:p w14:paraId="50DEDBB0" w14:textId="77777777" w:rsidR="002E5800" w:rsidRPr="008F328C" w:rsidRDefault="002E5800">
      <w:pPr>
        <w:spacing w:before="11" w:line="240" w:lineRule="exact"/>
        <w:rPr>
          <w:rFonts w:ascii="Times New Roman" w:hAnsi="Times New Roman" w:cs="Times New Roman"/>
          <w:sz w:val="24"/>
          <w:szCs w:val="24"/>
          <w:lang w:val="pl-PL"/>
        </w:rPr>
      </w:pPr>
    </w:p>
    <w:p w14:paraId="109ECE79" w14:textId="77777777" w:rsidR="002E5800" w:rsidRPr="008F328C" w:rsidRDefault="000E0B7C">
      <w:pPr>
        <w:pStyle w:val="a3"/>
        <w:rPr>
          <w:lang w:val="pl-PL"/>
        </w:rPr>
      </w:pPr>
      <w:r w:rsidRPr="008F328C">
        <w:rPr>
          <w:rFonts w:eastAsia="Times New Roman"/>
          <w:lang w:val="pl-PL"/>
        </w:rPr>
        <w:t>Lek Yuflyma jest stosowany w leczeniu łuszczycowego zapalenia stawów u dorosłych. Lek Yuflyma może spowalniać postęp uszkodzenia stawów spowodowany przez chorobę i pomóc zwiększyć ruchomość stawów. Pacjent może najpierw otrzymywać inne leki. W razie braku zadowalającej odpowiedzi na te leki, pacjent otrzyma lek Yuflyma.</w:t>
      </w:r>
    </w:p>
    <w:p w14:paraId="3763C223" w14:textId="77777777" w:rsidR="002E5800" w:rsidRPr="008F328C" w:rsidRDefault="002E5800">
      <w:pPr>
        <w:pStyle w:val="a3"/>
        <w:rPr>
          <w:lang w:val="pl-PL"/>
        </w:rPr>
      </w:pPr>
    </w:p>
    <w:p w14:paraId="091B8BD0" w14:textId="77777777" w:rsidR="002E5800" w:rsidRPr="008F328C" w:rsidRDefault="000E0B7C">
      <w:pPr>
        <w:pStyle w:val="a3"/>
        <w:rPr>
          <w:b/>
          <w:lang w:val="pl-PL"/>
        </w:rPr>
      </w:pPr>
      <w:r w:rsidRPr="008F328C">
        <w:rPr>
          <w:rFonts w:eastAsia="Times New Roman"/>
          <w:b/>
          <w:bCs/>
          <w:lang w:val="pl-PL"/>
        </w:rPr>
        <w:t>Łuszczyca zwyczajna (plackowata)</w:t>
      </w:r>
    </w:p>
    <w:p w14:paraId="00CF6EE7" w14:textId="77777777" w:rsidR="002E5800" w:rsidRPr="008F328C" w:rsidRDefault="002E5800">
      <w:pPr>
        <w:spacing w:before="9" w:line="240" w:lineRule="exact"/>
        <w:rPr>
          <w:rFonts w:ascii="Times New Roman" w:hAnsi="Times New Roman" w:cs="Times New Roman"/>
          <w:sz w:val="24"/>
          <w:szCs w:val="24"/>
          <w:lang w:val="pl-PL"/>
        </w:rPr>
      </w:pPr>
    </w:p>
    <w:p w14:paraId="30DE3A35" w14:textId="77777777" w:rsidR="002E5800" w:rsidRPr="008F328C" w:rsidRDefault="000E0B7C">
      <w:pPr>
        <w:pStyle w:val="a3"/>
        <w:rPr>
          <w:lang w:val="pl-PL"/>
        </w:rPr>
      </w:pPr>
      <w:r w:rsidRPr="008F328C">
        <w:rPr>
          <w:rFonts w:eastAsia="Times New Roman"/>
          <w:lang w:val="pl-PL"/>
        </w:rPr>
        <w:t>Łuszczyca zwyczajna (plackowata) jest chorobą skóry, która powoduje czerwone, złuszczające się zmiany skórne z tworzeniem strupów, pokryte srebrzystą łuską. Zmiany łuszczycowe mogą również występować na paznokciach, powodując ich kruszenie, zgrubienie i oddzielanie się płytki paznokciowej od łożyska paznokcia, co może być bolesne.</w:t>
      </w:r>
    </w:p>
    <w:p w14:paraId="586BD620" w14:textId="77777777" w:rsidR="002E5800" w:rsidRPr="008F328C" w:rsidRDefault="002E5800">
      <w:pPr>
        <w:spacing w:before="13" w:line="240" w:lineRule="exact"/>
        <w:rPr>
          <w:rFonts w:ascii="Times New Roman" w:hAnsi="Times New Roman" w:cs="Times New Roman"/>
          <w:sz w:val="24"/>
          <w:szCs w:val="24"/>
          <w:lang w:val="pl-PL"/>
        </w:rPr>
      </w:pPr>
    </w:p>
    <w:p w14:paraId="3C026AEC" w14:textId="77777777" w:rsidR="002E5800" w:rsidRPr="008F328C" w:rsidRDefault="000E0B7C">
      <w:pPr>
        <w:pStyle w:val="a3"/>
        <w:rPr>
          <w:lang w:val="pl-PL"/>
        </w:rPr>
      </w:pPr>
      <w:r w:rsidRPr="008F328C">
        <w:rPr>
          <w:rFonts w:eastAsia="Times New Roman"/>
          <w:lang w:val="pl-PL"/>
        </w:rPr>
        <w:t xml:space="preserve">Lek Yuflyma jest stosowany w leczeniu </w:t>
      </w:r>
    </w:p>
    <w:p w14:paraId="43CCA112" w14:textId="77777777" w:rsidR="002E5800" w:rsidRPr="008F328C" w:rsidRDefault="000E0B7C">
      <w:pPr>
        <w:pStyle w:val="a3"/>
        <w:numPr>
          <w:ilvl w:val="1"/>
          <w:numId w:val="4"/>
        </w:numPr>
        <w:ind w:left="660" w:hanging="660"/>
        <w:rPr>
          <w:lang w:val="pl-PL"/>
        </w:rPr>
      </w:pPr>
      <w:r w:rsidRPr="008F328C">
        <w:rPr>
          <w:rFonts w:eastAsia="Times New Roman"/>
          <w:lang w:val="pl-PL"/>
        </w:rPr>
        <w:t>przewlekłej łuszczycy zwyczajnej (plackowatej) o nasileniu umiarkowanym do ciężkiego u dorosłych oraz·</w:t>
      </w:r>
    </w:p>
    <w:p w14:paraId="1C4C185E" w14:textId="77777777" w:rsidR="002E5800" w:rsidRPr="008F328C" w:rsidRDefault="000E0B7C">
      <w:pPr>
        <w:pStyle w:val="a3"/>
        <w:numPr>
          <w:ilvl w:val="1"/>
          <w:numId w:val="4"/>
        </w:numPr>
        <w:ind w:left="660" w:hanging="660"/>
        <w:rPr>
          <w:lang w:val="pl-PL"/>
        </w:rPr>
      </w:pPr>
      <w:r w:rsidRPr="008F328C">
        <w:rPr>
          <w:rFonts w:eastAsia="Times New Roman"/>
          <w:lang w:val="pl-PL"/>
        </w:rPr>
        <w:t>przewlekłej, ciężkiej łuszczycy zwyczajnej (plackowatej) u dzieci i młodzieży w wieku od 4 do 17 lat, u których leczenie miejscowe i fototerapie były nieskuteczne lub są niewłaściwe.</w:t>
      </w:r>
    </w:p>
    <w:p w14:paraId="2E4F860C" w14:textId="77777777" w:rsidR="002E5800" w:rsidRPr="008F328C" w:rsidRDefault="002E5800">
      <w:pPr>
        <w:spacing w:before="15" w:line="240" w:lineRule="exact"/>
        <w:rPr>
          <w:rFonts w:ascii="Times New Roman" w:hAnsi="Times New Roman" w:cs="Times New Roman"/>
          <w:sz w:val="24"/>
          <w:szCs w:val="24"/>
          <w:lang w:val="pl-PL"/>
        </w:rPr>
      </w:pPr>
    </w:p>
    <w:p w14:paraId="3BD6412B" w14:textId="77777777" w:rsidR="002E5800" w:rsidRPr="008F328C" w:rsidRDefault="000E0B7C">
      <w:pPr>
        <w:pStyle w:val="a3"/>
        <w:rPr>
          <w:b/>
          <w:lang w:val="pl-PL"/>
        </w:rPr>
      </w:pPr>
      <w:r w:rsidRPr="008F328C">
        <w:rPr>
          <w:rFonts w:eastAsia="Times New Roman"/>
          <w:b/>
          <w:bCs/>
          <w:i/>
          <w:iCs/>
          <w:lang w:val="pl-PL"/>
        </w:rPr>
        <w:t>Ropne zapalenie apokrynowych gruczołów potowych</w:t>
      </w:r>
    </w:p>
    <w:p w14:paraId="258EDB0D" w14:textId="77777777" w:rsidR="002E5800" w:rsidRPr="008F328C" w:rsidRDefault="002E5800">
      <w:pPr>
        <w:spacing w:before="9" w:line="240" w:lineRule="exact"/>
        <w:rPr>
          <w:rFonts w:ascii="Times New Roman" w:hAnsi="Times New Roman" w:cs="Times New Roman"/>
          <w:sz w:val="24"/>
          <w:szCs w:val="24"/>
          <w:lang w:val="pl-PL"/>
        </w:rPr>
      </w:pPr>
    </w:p>
    <w:p w14:paraId="74763FAF" w14:textId="77777777" w:rsidR="002E5800" w:rsidRPr="008F328C" w:rsidRDefault="000E0B7C">
      <w:pPr>
        <w:pStyle w:val="a3"/>
        <w:rPr>
          <w:lang w:val="pl-PL"/>
        </w:rPr>
      </w:pPr>
      <w:r w:rsidRPr="008F328C">
        <w:rPr>
          <w:rFonts w:eastAsia="Times New Roman"/>
          <w:lang w:val="pl-PL"/>
        </w:rPr>
        <w:t>Ropne zapalenie apokrynowych gruczołów potowych (niekiedy nazywane trądzikiem odwróconym) jest przewlekłą i często bolesną zapalną chorobą skóry. Objawami mogą być tkliwe guzki i ropnie, z których może wyciekać ropa. Zmiany najczęściej występują na określonych obszarach skóry, takich jak w fałdach podpiersiowych, w pachach, na wewnętrznych powierzchniach ud, w pachwinach i na pośladkach. W zmienionych chorobowo obszarach skóry może również dojść do powstawania blizn.</w:t>
      </w:r>
    </w:p>
    <w:p w14:paraId="77762517" w14:textId="77777777" w:rsidR="002E5800" w:rsidRPr="008F328C" w:rsidRDefault="002E5800">
      <w:pPr>
        <w:spacing w:before="13" w:line="240" w:lineRule="exact"/>
        <w:rPr>
          <w:rFonts w:ascii="Times New Roman" w:hAnsi="Times New Roman" w:cs="Times New Roman"/>
          <w:sz w:val="24"/>
          <w:szCs w:val="24"/>
          <w:lang w:val="pl-PL"/>
        </w:rPr>
      </w:pPr>
    </w:p>
    <w:p w14:paraId="0A79E1C3" w14:textId="77777777" w:rsidR="002E5800" w:rsidRPr="008F328C" w:rsidRDefault="000E0B7C">
      <w:pPr>
        <w:pStyle w:val="a3"/>
        <w:rPr>
          <w:lang w:val="pl-PL"/>
        </w:rPr>
      </w:pPr>
      <w:r w:rsidRPr="008F328C">
        <w:rPr>
          <w:rFonts w:eastAsia="Times New Roman"/>
          <w:lang w:val="pl-PL"/>
        </w:rPr>
        <w:t xml:space="preserve">Lek Yuflyma jest stosowany w leczeniu </w:t>
      </w:r>
    </w:p>
    <w:p w14:paraId="00D6B9CE" w14:textId="77777777" w:rsidR="002E5800" w:rsidRPr="008F328C" w:rsidRDefault="000E0B7C">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dorosłych oraz</w:t>
      </w:r>
    </w:p>
    <w:p w14:paraId="48A2BDA5" w14:textId="77777777" w:rsidR="002E5800" w:rsidRPr="008F328C" w:rsidRDefault="000E0B7C">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młodzieży w wieku od 12 do 17 lat.</w:t>
      </w:r>
    </w:p>
    <w:p w14:paraId="26524A6C" w14:textId="77777777" w:rsidR="002E5800" w:rsidRPr="008F328C" w:rsidRDefault="002E5800">
      <w:pPr>
        <w:spacing w:before="10" w:line="240" w:lineRule="exact"/>
        <w:rPr>
          <w:rFonts w:ascii="Times New Roman" w:hAnsi="Times New Roman" w:cs="Times New Roman"/>
          <w:sz w:val="24"/>
          <w:szCs w:val="24"/>
          <w:lang w:val="pl-PL"/>
        </w:rPr>
      </w:pPr>
    </w:p>
    <w:p w14:paraId="3DFDCA41" w14:textId="77777777" w:rsidR="002E5800" w:rsidRPr="008F328C" w:rsidRDefault="000E0B7C">
      <w:pPr>
        <w:pStyle w:val="a3"/>
        <w:rPr>
          <w:lang w:val="pl-PL"/>
        </w:rPr>
      </w:pPr>
      <w:r w:rsidRPr="008F328C">
        <w:rPr>
          <w:rFonts w:eastAsia="Times New Roman"/>
          <w:lang w:val="pl-PL"/>
        </w:rPr>
        <w:t>Yuflyma może zmniejszyć liczbę guzków i ropni spowodowanych przez chorobę oraz ból, który często jest związany z chorobą. Pacjent może najpierw otrzymywać inne leki. W razie braku zadowalającej odpowiedzi na te leki, pacjent otrzyma lek Yuflyma.</w:t>
      </w:r>
    </w:p>
    <w:p w14:paraId="4C450238" w14:textId="77777777" w:rsidR="002E5800" w:rsidRPr="008F328C" w:rsidRDefault="002E5800">
      <w:pPr>
        <w:spacing w:before="18" w:line="240" w:lineRule="exact"/>
        <w:rPr>
          <w:rFonts w:ascii="Times New Roman" w:hAnsi="Times New Roman" w:cs="Times New Roman"/>
          <w:sz w:val="24"/>
          <w:szCs w:val="24"/>
          <w:lang w:val="pl-PL"/>
        </w:rPr>
      </w:pPr>
    </w:p>
    <w:p w14:paraId="0E72F9AF" w14:textId="77777777" w:rsidR="002E5800" w:rsidRPr="008F328C" w:rsidRDefault="000E0B7C">
      <w:pPr>
        <w:pStyle w:val="a3"/>
        <w:rPr>
          <w:b/>
          <w:lang w:val="pl-PL"/>
        </w:rPr>
      </w:pPr>
      <w:r w:rsidRPr="008F328C">
        <w:rPr>
          <w:rFonts w:eastAsia="Times New Roman"/>
          <w:b/>
          <w:bCs/>
          <w:lang w:val="pl-PL"/>
        </w:rPr>
        <w:t>Choroba Leśniowskiego-Crohna</w:t>
      </w:r>
    </w:p>
    <w:p w14:paraId="6BE17228" w14:textId="77777777" w:rsidR="002E5800" w:rsidRPr="008F328C" w:rsidRDefault="002E5800">
      <w:pPr>
        <w:pStyle w:val="a3"/>
        <w:rPr>
          <w:u w:val="single"/>
          <w:lang w:val="pl-PL"/>
        </w:rPr>
      </w:pPr>
    </w:p>
    <w:p w14:paraId="42E56297" w14:textId="77777777" w:rsidR="002E5800" w:rsidRPr="008F328C" w:rsidRDefault="000E0B7C">
      <w:pPr>
        <w:pStyle w:val="a3"/>
        <w:rPr>
          <w:lang w:val="pl-PL"/>
        </w:rPr>
      </w:pPr>
      <w:r w:rsidRPr="008F328C">
        <w:rPr>
          <w:rFonts w:eastAsia="Times New Roman"/>
          <w:lang w:val="pl-PL"/>
        </w:rPr>
        <w:t xml:space="preserve">Choroba Leśniowskiego-Crohna jest chorobą zapalną przewodu pokarmowego. Lek Yuflyma jest stosowany w leczeniu </w:t>
      </w:r>
    </w:p>
    <w:p w14:paraId="750410A5" w14:textId="77777777" w:rsidR="002E5800" w:rsidRPr="008F328C" w:rsidRDefault="000E0B7C">
      <w:pPr>
        <w:pStyle w:val="a3"/>
        <w:numPr>
          <w:ilvl w:val="1"/>
          <w:numId w:val="4"/>
        </w:numPr>
        <w:ind w:left="660" w:hanging="660"/>
        <w:rPr>
          <w:lang w:val="pl-PL"/>
        </w:rPr>
      </w:pPr>
      <w:r w:rsidRPr="008F328C">
        <w:rPr>
          <w:rFonts w:eastAsia="Times New Roman"/>
          <w:lang w:val="pl-PL"/>
        </w:rPr>
        <w:t>choroby Leśniowskiego-Crohna o nasileniu umiarkowanym do ciężkiego u dorosłych oraz</w:t>
      </w:r>
    </w:p>
    <w:p w14:paraId="37FF8952" w14:textId="77777777" w:rsidR="002E5800" w:rsidRPr="008F328C" w:rsidRDefault="000E0B7C">
      <w:pPr>
        <w:pStyle w:val="a3"/>
        <w:numPr>
          <w:ilvl w:val="1"/>
          <w:numId w:val="4"/>
        </w:numPr>
        <w:ind w:left="660" w:hanging="660"/>
        <w:rPr>
          <w:lang w:val="pl-PL"/>
        </w:rPr>
      </w:pPr>
      <w:r w:rsidRPr="008F328C">
        <w:rPr>
          <w:rFonts w:eastAsia="Times New Roman"/>
          <w:lang w:val="pl-PL"/>
        </w:rPr>
        <w:t>choroby Leśniowskiego-Crohna o nasileniu umiarkowanym do ciężkiego u dzieci i młodzieży w wieku od 6 do 17 lat.</w:t>
      </w:r>
    </w:p>
    <w:p w14:paraId="6143E089" w14:textId="77777777" w:rsidR="002E5800" w:rsidRPr="008F328C" w:rsidRDefault="002E5800">
      <w:pPr>
        <w:spacing w:before="16" w:line="240" w:lineRule="exact"/>
        <w:rPr>
          <w:rFonts w:ascii="Times New Roman" w:hAnsi="Times New Roman" w:cs="Times New Roman"/>
          <w:sz w:val="24"/>
          <w:szCs w:val="24"/>
          <w:lang w:val="pl-PL"/>
        </w:rPr>
      </w:pPr>
    </w:p>
    <w:p w14:paraId="0409C822" w14:textId="77777777" w:rsidR="002E5800" w:rsidRPr="008F328C" w:rsidRDefault="000E0B7C">
      <w:pPr>
        <w:pStyle w:val="a3"/>
        <w:rPr>
          <w:lang w:val="pl-PL"/>
        </w:rPr>
      </w:pPr>
      <w:r w:rsidRPr="008F328C">
        <w:rPr>
          <w:rFonts w:eastAsia="Times New Roman"/>
          <w:lang w:val="pl-PL"/>
        </w:rPr>
        <w:t>Pacjent może najpierw otrzymywać inne leki. W razie braku zadowalającej odpowiedzi na te leki, pacjent otrzyma lek Yuflyma.</w:t>
      </w:r>
    </w:p>
    <w:p w14:paraId="064F6419" w14:textId="77777777" w:rsidR="002E5800" w:rsidRPr="008F328C" w:rsidRDefault="002E5800">
      <w:pPr>
        <w:spacing w:before="15" w:line="240" w:lineRule="exact"/>
        <w:rPr>
          <w:rFonts w:ascii="Times New Roman" w:hAnsi="Times New Roman" w:cs="Times New Roman"/>
          <w:sz w:val="24"/>
          <w:szCs w:val="24"/>
          <w:lang w:val="pl-PL"/>
        </w:rPr>
      </w:pPr>
    </w:p>
    <w:p w14:paraId="2EBFB8D9" w14:textId="77777777" w:rsidR="002E5800" w:rsidRPr="008F328C" w:rsidRDefault="000E0B7C">
      <w:pPr>
        <w:pStyle w:val="a3"/>
        <w:rPr>
          <w:b/>
          <w:lang w:val="pl-PL"/>
        </w:rPr>
      </w:pPr>
      <w:r w:rsidRPr="008F328C">
        <w:rPr>
          <w:rFonts w:eastAsia="Times New Roman"/>
          <w:b/>
          <w:bCs/>
          <w:lang w:val="pl-PL"/>
        </w:rPr>
        <w:t>Wrzodziejące zapalenie jelita grubego (WZJG)</w:t>
      </w:r>
    </w:p>
    <w:p w14:paraId="0C23254B" w14:textId="77777777" w:rsidR="002E5800" w:rsidRPr="008F328C" w:rsidRDefault="002E5800">
      <w:pPr>
        <w:pStyle w:val="a3"/>
        <w:rPr>
          <w:b/>
          <w:lang w:val="pl-PL"/>
        </w:rPr>
      </w:pPr>
    </w:p>
    <w:p w14:paraId="3B5A5429" w14:textId="77777777" w:rsidR="002E5800" w:rsidRPr="008F328C" w:rsidRDefault="000E0B7C">
      <w:pPr>
        <w:pStyle w:val="a3"/>
        <w:rPr>
          <w:lang w:val="pl-PL"/>
        </w:rPr>
      </w:pPr>
      <w:r w:rsidRPr="008F328C">
        <w:rPr>
          <w:rFonts w:eastAsia="Times New Roman"/>
          <w:lang w:val="pl-PL"/>
        </w:rPr>
        <w:t>Wrzodziejące zapalenie jelita grubego jest chorobą zapalną jelita grubego.</w:t>
      </w:r>
    </w:p>
    <w:p w14:paraId="135B7F4A" w14:textId="77777777" w:rsidR="002E5800" w:rsidRPr="008F328C" w:rsidRDefault="002E5800">
      <w:pPr>
        <w:spacing w:before="17" w:line="240" w:lineRule="exact"/>
        <w:rPr>
          <w:rFonts w:ascii="Times New Roman" w:hAnsi="Times New Roman" w:cs="Times New Roman"/>
          <w:sz w:val="24"/>
          <w:szCs w:val="24"/>
          <w:lang w:val="pl-PL"/>
        </w:rPr>
      </w:pPr>
    </w:p>
    <w:p w14:paraId="72CAA7C3" w14:textId="77777777" w:rsidR="008E48C5" w:rsidRPr="008F328C" w:rsidRDefault="000E0B7C">
      <w:pPr>
        <w:pStyle w:val="a3"/>
        <w:rPr>
          <w:rFonts w:eastAsia="Times New Roman"/>
          <w:lang w:val="pl-PL"/>
        </w:rPr>
      </w:pPr>
      <w:r w:rsidRPr="008F328C">
        <w:rPr>
          <w:rFonts w:eastAsia="Times New Roman"/>
          <w:lang w:val="pl-PL"/>
        </w:rPr>
        <w:t xml:space="preserve">Lek Yuflyma jest stosowany w leczeniu </w:t>
      </w:r>
    </w:p>
    <w:p w14:paraId="71C39054" w14:textId="124397F3" w:rsidR="008E48C5" w:rsidRPr="008F328C" w:rsidRDefault="000E0B7C" w:rsidP="008E48C5">
      <w:pPr>
        <w:widowControl/>
        <w:numPr>
          <w:ilvl w:val="0"/>
          <w:numId w:val="114"/>
        </w:numPr>
        <w:tabs>
          <w:tab w:val="left" w:pos="562"/>
        </w:tabs>
        <w:suppressAutoHyphens/>
        <w:ind w:left="567" w:hanging="567"/>
        <w:rPr>
          <w:rFonts w:ascii="Times New Roman" w:hAnsi="Times New Roman" w:cs="Times New Roman"/>
          <w:lang w:val="pl-PL"/>
        </w:rPr>
      </w:pPr>
      <w:r w:rsidRPr="008F328C">
        <w:rPr>
          <w:rFonts w:ascii="Times New Roman" w:eastAsia="Times New Roman" w:hAnsi="Times New Roman" w:cs="Times New Roman"/>
          <w:lang w:val="pl-PL"/>
        </w:rPr>
        <w:t>wrzodziejącego zapalenia jelita grubego o nasileniu umiarkowanym do ciężkiego u dorosłych</w:t>
      </w:r>
      <w:r w:rsidR="008E48C5" w:rsidRPr="008F328C">
        <w:rPr>
          <w:rFonts w:ascii="Times New Roman" w:hAnsi="Times New Roman" w:cs="Times New Roman"/>
          <w:lang w:val="pl-PL"/>
        </w:rPr>
        <w:t xml:space="preserve"> oraz</w:t>
      </w:r>
    </w:p>
    <w:p w14:paraId="5837F783" w14:textId="1B8F9B38" w:rsidR="008E48C5" w:rsidRPr="008F328C" w:rsidRDefault="008E48C5" w:rsidP="008E48C5">
      <w:pPr>
        <w:pStyle w:val="a4"/>
        <w:widowControl/>
        <w:numPr>
          <w:ilvl w:val="0"/>
          <w:numId w:val="114"/>
        </w:numPr>
        <w:tabs>
          <w:tab w:val="left" w:pos="562"/>
        </w:tabs>
        <w:suppressAutoHyphens/>
        <w:ind w:left="567" w:hanging="567"/>
        <w:rPr>
          <w:rFonts w:ascii="Times New Roman" w:eastAsia="Times New Roman" w:hAnsi="Times New Roman" w:cs="Times New Roman"/>
          <w:lang w:val="pl-PL"/>
        </w:rPr>
      </w:pPr>
      <w:r w:rsidRPr="008F328C">
        <w:rPr>
          <w:rFonts w:ascii="Times New Roman" w:hAnsi="Times New Roman" w:cs="Times New Roman"/>
          <w:lang w:val="pl-PL"/>
        </w:rPr>
        <w:t>wrzodziejącego zapalenia jelita grubego o nasileniu umiarkowanym do ciężkiego u dzieci i młodzieży w wieku od 6 do 17 lat.</w:t>
      </w:r>
      <w:r w:rsidR="000E0B7C" w:rsidRPr="008F328C">
        <w:rPr>
          <w:rFonts w:ascii="Times New Roman" w:eastAsia="Times New Roman" w:hAnsi="Times New Roman" w:cs="Times New Roman"/>
          <w:lang w:val="pl-PL"/>
        </w:rPr>
        <w:t xml:space="preserve"> </w:t>
      </w:r>
    </w:p>
    <w:p w14:paraId="09A5A2B7" w14:textId="77777777" w:rsidR="008E48C5" w:rsidRPr="008F328C" w:rsidRDefault="008E48C5">
      <w:pPr>
        <w:pStyle w:val="a3"/>
        <w:rPr>
          <w:rFonts w:eastAsia="Times New Roman"/>
          <w:lang w:val="pl-PL"/>
        </w:rPr>
      </w:pPr>
    </w:p>
    <w:p w14:paraId="382EFDEB" w14:textId="5474386D" w:rsidR="002E5800" w:rsidRPr="008F328C" w:rsidRDefault="000E0B7C">
      <w:pPr>
        <w:pStyle w:val="a3"/>
        <w:rPr>
          <w:lang w:val="pl-PL"/>
        </w:rPr>
      </w:pPr>
      <w:r w:rsidRPr="008F328C">
        <w:rPr>
          <w:rFonts w:eastAsia="Times New Roman"/>
          <w:lang w:val="pl-PL"/>
        </w:rPr>
        <w:t>Pacjent może najpierw otrzymywać inne leki. W razie braku zadowalającej odpowiedzi na te leki, pacjent otrzyma lek Yuflyma.</w:t>
      </w:r>
    </w:p>
    <w:p w14:paraId="7DCFF782" w14:textId="77777777" w:rsidR="002E5800" w:rsidRPr="008F328C" w:rsidRDefault="002E5800">
      <w:pPr>
        <w:spacing w:before="15" w:line="240" w:lineRule="exact"/>
        <w:rPr>
          <w:rFonts w:ascii="Times New Roman" w:hAnsi="Times New Roman" w:cs="Times New Roman"/>
          <w:sz w:val="24"/>
          <w:szCs w:val="24"/>
          <w:lang w:val="pl-PL"/>
        </w:rPr>
      </w:pPr>
    </w:p>
    <w:p w14:paraId="2E573FF2" w14:textId="77777777" w:rsidR="002E5800" w:rsidRPr="008F328C" w:rsidRDefault="000E0B7C">
      <w:pPr>
        <w:pStyle w:val="a3"/>
        <w:rPr>
          <w:b/>
          <w:lang w:val="pl-PL"/>
        </w:rPr>
      </w:pPr>
      <w:r w:rsidRPr="008F328C">
        <w:rPr>
          <w:rFonts w:eastAsia="Times New Roman"/>
          <w:b/>
          <w:bCs/>
          <w:lang w:val="pl-PL"/>
        </w:rPr>
        <w:t>Nieinfekcyjne zapalenie błony naczyniowej oka</w:t>
      </w:r>
    </w:p>
    <w:p w14:paraId="643CFB5B" w14:textId="77777777" w:rsidR="002E5800" w:rsidRPr="008F328C" w:rsidRDefault="002E5800">
      <w:pPr>
        <w:pStyle w:val="a3"/>
        <w:rPr>
          <w:lang w:val="pl-PL"/>
        </w:rPr>
      </w:pPr>
    </w:p>
    <w:p w14:paraId="1283C71A" w14:textId="77777777" w:rsidR="002E5800" w:rsidRPr="008F328C" w:rsidRDefault="000E0B7C">
      <w:pPr>
        <w:pStyle w:val="a3"/>
        <w:rPr>
          <w:lang w:val="pl-PL"/>
        </w:rPr>
      </w:pPr>
      <w:r w:rsidRPr="008F328C">
        <w:rPr>
          <w:rFonts w:eastAsia="Times New Roman"/>
          <w:lang w:val="pl-PL"/>
        </w:rPr>
        <w:t xml:space="preserve">Nieinfekcyjne zapalenie błony naczyniowej oka jest chorobą zapalną pewnych części gałki ocznej. Lek Yuflyma jest stosowany w leczeniu </w:t>
      </w:r>
    </w:p>
    <w:p w14:paraId="6479D948" w14:textId="77777777" w:rsidR="002E5800" w:rsidRPr="008F328C" w:rsidRDefault="000E0B7C">
      <w:pPr>
        <w:pStyle w:val="a3"/>
        <w:numPr>
          <w:ilvl w:val="1"/>
          <w:numId w:val="4"/>
        </w:numPr>
        <w:ind w:left="660" w:hanging="660"/>
        <w:rPr>
          <w:lang w:val="pl-PL"/>
        </w:rPr>
      </w:pPr>
      <w:r w:rsidRPr="008F328C">
        <w:rPr>
          <w:rFonts w:eastAsia="Times New Roman"/>
          <w:lang w:val="pl-PL"/>
        </w:rPr>
        <w:t>dorosłych z nieinfekcyjnym zapaleniem błony naczyniowej oka – zapaleniem w tylnej części gałki ocznej.</w:t>
      </w:r>
    </w:p>
    <w:p w14:paraId="319178C6" w14:textId="77777777" w:rsidR="002E5800" w:rsidRPr="008F328C" w:rsidRDefault="000E0B7C">
      <w:pPr>
        <w:pStyle w:val="a3"/>
        <w:numPr>
          <w:ilvl w:val="1"/>
          <w:numId w:val="4"/>
        </w:numPr>
        <w:ind w:left="660" w:hanging="660"/>
        <w:rPr>
          <w:lang w:val="pl-PL"/>
        </w:rPr>
      </w:pPr>
      <w:r w:rsidRPr="008F328C">
        <w:rPr>
          <w:rFonts w:eastAsia="Times New Roman"/>
          <w:lang w:val="pl-PL"/>
        </w:rPr>
        <w:t>dzieci i młodzieży w wieku od 2 lat z przewlekłym nieinfekcyjnym zapaleniem błony naczyniowej oka – zapaleniem w przedniej części gałki ocznej.</w:t>
      </w:r>
    </w:p>
    <w:p w14:paraId="34D300B3" w14:textId="77777777" w:rsidR="002E5800" w:rsidRPr="008F328C" w:rsidRDefault="002E5800">
      <w:pPr>
        <w:pStyle w:val="a3"/>
        <w:rPr>
          <w:lang w:val="pl-PL"/>
        </w:rPr>
      </w:pPr>
    </w:p>
    <w:p w14:paraId="1DCE926B" w14:textId="77777777" w:rsidR="002E5800" w:rsidRPr="008F328C" w:rsidRDefault="000E0B7C">
      <w:pPr>
        <w:pStyle w:val="a3"/>
        <w:rPr>
          <w:lang w:val="pl-PL"/>
        </w:rPr>
      </w:pPr>
      <w:r w:rsidRPr="008F328C">
        <w:rPr>
          <w:rFonts w:eastAsia="Times New Roman"/>
          <w:lang w:val="pl-PL"/>
        </w:rPr>
        <w:t>To zapalenie może prowadzić do zmniejszenia ostrości widzenia i (lub) obecności zmętnień (mroczków) w oku (czarne punkciki lub nieregularne linie czy fragmenty pajęczyn przemieszczające się w polu widzenia). Lek Yuflyma działa zmniejszając ten stan zapalny.</w:t>
      </w:r>
    </w:p>
    <w:p w14:paraId="18D3DFFA" w14:textId="77777777" w:rsidR="002E5800" w:rsidRPr="008F328C" w:rsidRDefault="002E5800">
      <w:pPr>
        <w:spacing w:before="10" w:line="240" w:lineRule="exact"/>
        <w:rPr>
          <w:rFonts w:ascii="Times New Roman" w:hAnsi="Times New Roman" w:cs="Times New Roman"/>
          <w:sz w:val="24"/>
          <w:szCs w:val="24"/>
          <w:lang w:val="pl-PL"/>
        </w:rPr>
      </w:pPr>
    </w:p>
    <w:p w14:paraId="134429C7" w14:textId="77777777" w:rsidR="002E5800" w:rsidRPr="008F328C" w:rsidRDefault="000E0B7C">
      <w:pPr>
        <w:pStyle w:val="a3"/>
        <w:rPr>
          <w:lang w:val="pl-PL"/>
        </w:rPr>
      </w:pPr>
      <w:r w:rsidRPr="008F328C">
        <w:rPr>
          <w:rFonts w:eastAsia="Times New Roman"/>
          <w:lang w:val="pl-PL"/>
        </w:rPr>
        <w:t>Pacjent może najpierw otrzymywać inne leki. W razie braku zadowalającej odpowiedzi na te leki, pacjent otrzyma lek Yuflyma.</w:t>
      </w:r>
    </w:p>
    <w:p w14:paraId="3903745C" w14:textId="77777777" w:rsidR="002E5800" w:rsidRPr="008F328C" w:rsidRDefault="002E5800">
      <w:pPr>
        <w:spacing w:before="18" w:line="240" w:lineRule="exact"/>
        <w:rPr>
          <w:rFonts w:ascii="Times New Roman" w:hAnsi="Times New Roman" w:cs="Times New Roman"/>
          <w:b/>
          <w:lang w:val="pl-PL"/>
        </w:rPr>
      </w:pPr>
    </w:p>
    <w:p w14:paraId="5493C8AF" w14:textId="77777777" w:rsidR="002E5800" w:rsidRPr="008F328C" w:rsidRDefault="002E5800" w:rsidP="00D22235">
      <w:pPr>
        <w:spacing w:before="18" w:line="240" w:lineRule="exact"/>
        <w:rPr>
          <w:rFonts w:ascii="Times New Roman" w:hAnsi="Times New Roman" w:cs="Times New Roman"/>
          <w:b/>
          <w:lang w:val="pl-PL"/>
        </w:rPr>
      </w:pPr>
    </w:p>
    <w:p w14:paraId="4486C48E" w14:textId="77777777" w:rsidR="002E5800" w:rsidRPr="008F328C" w:rsidRDefault="000E0B7C">
      <w:pPr>
        <w:pStyle w:val="a4"/>
        <w:numPr>
          <w:ilvl w:val="0"/>
          <w:numId w:val="33"/>
        </w:numPr>
        <w:spacing w:before="18" w:line="240" w:lineRule="exact"/>
        <w:ind w:left="357" w:hanging="357"/>
        <w:rPr>
          <w:rFonts w:ascii="Times New Roman" w:hAnsi="Times New Roman" w:cs="Times New Roman"/>
          <w:lang w:val="pl-PL"/>
        </w:rPr>
      </w:pPr>
      <w:r w:rsidRPr="008F328C">
        <w:rPr>
          <w:rFonts w:ascii="Times New Roman" w:eastAsia="Times New Roman" w:hAnsi="Times New Roman" w:cs="Times New Roman"/>
          <w:b/>
          <w:bCs/>
          <w:lang w:val="pl-PL"/>
        </w:rPr>
        <w:t>Informacje ważne przed przyjęciem leku Yuflyma</w:t>
      </w:r>
      <w:r w:rsidRPr="008F328C">
        <w:rPr>
          <w:rFonts w:ascii="Times New Roman" w:eastAsia="Calibri" w:hAnsi="Times New Roman" w:cs="Times New Roman"/>
          <w:lang w:val="pl-PL"/>
        </w:rPr>
        <w:t xml:space="preserve"> </w:t>
      </w:r>
    </w:p>
    <w:p w14:paraId="012F5368" w14:textId="77777777" w:rsidR="002E5800" w:rsidRPr="008F328C" w:rsidRDefault="002E5800">
      <w:pPr>
        <w:spacing w:before="18" w:line="240" w:lineRule="exact"/>
        <w:ind w:left="108"/>
        <w:rPr>
          <w:rFonts w:ascii="Times New Roman" w:hAnsi="Times New Roman" w:cs="Times New Roman"/>
          <w:b/>
          <w:bCs/>
          <w:lang w:val="pl-PL"/>
        </w:rPr>
      </w:pPr>
    </w:p>
    <w:p w14:paraId="0F9F6BC4" w14:textId="77777777" w:rsidR="002E5800" w:rsidRPr="008F328C" w:rsidRDefault="000E0B7C">
      <w:pPr>
        <w:pStyle w:val="a3"/>
        <w:rPr>
          <w:b/>
          <w:lang w:val="pl-PL"/>
        </w:rPr>
      </w:pPr>
      <w:r w:rsidRPr="008F328C">
        <w:rPr>
          <w:rFonts w:eastAsia="Times New Roman"/>
          <w:b/>
          <w:bCs/>
          <w:lang w:val="pl-PL"/>
        </w:rPr>
        <w:t>Kiedy nie stosować leku Yuflyma:</w:t>
      </w:r>
    </w:p>
    <w:p w14:paraId="71F5ED68" w14:textId="77777777" w:rsidR="002E5800" w:rsidRPr="008F328C" w:rsidRDefault="002E5800">
      <w:pPr>
        <w:pStyle w:val="a3"/>
        <w:rPr>
          <w:b/>
          <w:lang w:val="pl-PL"/>
        </w:rPr>
      </w:pPr>
    </w:p>
    <w:p w14:paraId="02A1A4C3"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 ma uczulenie na adalimumab lub którykolwiek z pozostałych składników tego leku (wymienionych w punkcie 6).</w:t>
      </w:r>
    </w:p>
    <w:p w14:paraId="0E3A6CFD" w14:textId="77777777" w:rsidR="002E5800" w:rsidRPr="008F328C" w:rsidRDefault="002E5800">
      <w:pPr>
        <w:pStyle w:val="a3"/>
        <w:numPr>
          <w:ilvl w:val="0"/>
          <w:numId w:val="0"/>
        </w:numPr>
        <w:ind w:left="660"/>
        <w:rPr>
          <w:lang w:val="pl-PL"/>
        </w:rPr>
      </w:pPr>
    </w:p>
    <w:p w14:paraId="7273D677"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czynna gruźlica lub inne ciężkie zakażenia (patrz „Ostrzeżenia i środki ostrożności”). Należy bezwzględnie poinformować lekarza, gdy u pacjenta występują objawy zakażenia, na przykład gorączka, zranienia, uczucie zmęczenia, kłopoty z zębami.</w:t>
      </w:r>
    </w:p>
    <w:p w14:paraId="60F778AF" w14:textId="77777777" w:rsidR="002E5800" w:rsidRPr="008F328C" w:rsidRDefault="002E5800">
      <w:pPr>
        <w:pStyle w:val="a3"/>
        <w:numPr>
          <w:ilvl w:val="0"/>
          <w:numId w:val="0"/>
        </w:numPr>
        <w:ind w:left="660"/>
        <w:rPr>
          <w:lang w:val="pl-PL"/>
        </w:rPr>
      </w:pPr>
    </w:p>
    <w:p w14:paraId="10DDA952"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umiarkowana lub ciężka niewydolność serca. Należy bezwzględnie poinformować lekarza o poważnej chorobie serca w przeszłości lub obecnie (patrz „Ostrzeżenia i środki ostrożności”).</w:t>
      </w:r>
    </w:p>
    <w:p w14:paraId="22B556CE" w14:textId="77777777" w:rsidR="002E5800" w:rsidRPr="008F328C" w:rsidRDefault="002E5800">
      <w:pPr>
        <w:spacing w:before="13" w:line="240" w:lineRule="exact"/>
        <w:rPr>
          <w:rFonts w:ascii="Times New Roman" w:hAnsi="Times New Roman" w:cs="Times New Roman"/>
          <w:sz w:val="24"/>
          <w:szCs w:val="24"/>
          <w:lang w:val="pl-PL"/>
        </w:rPr>
      </w:pPr>
    </w:p>
    <w:p w14:paraId="21CFD02A" w14:textId="77777777" w:rsidR="002E5800" w:rsidRPr="008F328C" w:rsidRDefault="000E0B7C">
      <w:pPr>
        <w:pStyle w:val="a3"/>
        <w:rPr>
          <w:b/>
          <w:lang w:val="pl-PL"/>
        </w:rPr>
      </w:pPr>
      <w:r w:rsidRPr="008F328C">
        <w:rPr>
          <w:rFonts w:eastAsia="Times New Roman"/>
          <w:b/>
          <w:bCs/>
          <w:lang w:val="pl-PL"/>
        </w:rPr>
        <w:t>Ostrzeżenia i środki ostrożności</w:t>
      </w:r>
    </w:p>
    <w:p w14:paraId="3C719EFE" w14:textId="77777777" w:rsidR="002E5800" w:rsidRPr="008F328C" w:rsidRDefault="002E5800">
      <w:pPr>
        <w:spacing w:before="9" w:line="240" w:lineRule="exact"/>
        <w:rPr>
          <w:rFonts w:ascii="Times New Roman" w:hAnsi="Times New Roman" w:cs="Times New Roman"/>
          <w:sz w:val="24"/>
          <w:szCs w:val="24"/>
          <w:lang w:val="pl-PL"/>
        </w:rPr>
      </w:pPr>
    </w:p>
    <w:p w14:paraId="6DED57E7" w14:textId="77777777" w:rsidR="002E5800" w:rsidRPr="008F328C" w:rsidRDefault="000E0B7C">
      <w:pPr>
        <w:pStyle w:val="a3"/>
        <w:rPr>
          <w:lang w:val="pl-PL"/>
        </w:rPr>
      </w:pPr>
      <w:r w:rsidRPr="008F328C">
        <w:rPr>
          <w:rFonts w:eastAsia="Times New Roman"/>
          <w:lang w:val="pl-PL"/>
        </w:rPr>
        <w:t>Przed rozpoczęciem stosowania leku Yuflyma należy omówić to z lekarzem lub farmaceutą.</w:t>
      </w:r>
    </w:p>
    <w:p w14:paraId="45522CC2" w14:textId="77777777" w:rsidR="002E5800" w:rsidRPr="008F328C" w:rsidRDefault="002E5800">
      <w:pPr>
        <w:pStyle w:val="a3"/>
        <w:rPr>
          <w:lang w:val="pl-PL"/>
        </w:rPr>
      </w:pPr>
    </w:p>
    <w:p w14:paraId="7C8BE16B" w14:textId="77777777" w:rsidR="002E5800" w:rsidRPr="008F328C" w:rsidRDefault="000E0B7C">
      <w:pPr>
        <w:pStyle w:val="a3"/>
        <w:rPr>
          <w:u w:val="single" w:color="000000"/>
          <w:lang w:val="pl-PL"/>
        </w:rPr>
      </w:pPr>
      <w:r w:rsidRPr="008F328C">
        <w:rPr>
          <w:rFonts w:eastAsia="Times New Roman"/>
          <w:u w:val="single" w:color="000000"/>
          <w:lang w:val="pl-PL"/>
        </w:rPr>
        <w:t>Reakcje alergiczne</w:t>
      </w:r>
    </w:p>
    <w:p w14:paraId="1D53C900" w14:textId="77777777" w:rsidR="002E5800" w:rsidRPr="008F328C" w:rsidRDefault="002E5800">
      <w:pPr>
        <w:pStyle w:val="a3"/>
        <w:rPr>
          <w:u w:val="single"/>
          <w:lang w:val="pl-PL"/>
        </w:rPr>
      </w:pPr>
    </w:p>
    <w:p w14:paraId="3252B3AE" w14:textId="77777777" w:rsidR="002E5800" w:rsidRPr="008F328C" w:rsidRDefault="000E0B7C">
      <w:pPr>
        <w:pStyle w:val="a3"/>
        <w:numPr>
          <w:ilvl w:val="1"/>
          <w:numId w:val="4"/>
        </w:numPr>
        <w:ind w:left="660" w:hanging="660"/>
        <w:rPr>
          <w:lang w:val="pl-PL"/>
        </w:rPr>
      </w:pPr>
      <w:r w:rsidRPr="008F328C">
        <w:rPr>
          <w:rFonts w:eastAsia="Times New Roman"/>
          <w:lang w:val="pl-PL"/>
        </w:rPr>
        <w:t xml:space="preserve">Jeśli u pacjenta wystąpią reakcje alergiczne z takimi objawami, jak uczucie ucisku w klatce piersiowej, świszczący oddech, zawroty głowy, obrzęk lub wysypka należy przerwać </w:t>
      </w:r>
      <w:r w:rsidRPr="008F328C">
        <w:rPr>
          <w:rFonts w:eastAsia="Times New Roman"/>
          <w:lang w:val="pl-PL"/>
        </w:rPr>
        <w:lastRenderedPageBreak/>
        <w:t>wstrzykiwanie leku Yuflyma i natychmiast skontaktować się z lekarzem, ponieważ w rzadkich przypadkach takie reakcje mogą zagrażać życiu.</w:t>
      </w:r>
    </w:p>
    <w:p w14:paraId="29C3FA45" w14:textId="77777777" w:rsidR="002E5800" w:rsidRPr="008F328C" w:rsidRDefault="002E5800">
      <w:pPr>
        <w:pStyle w:val="a3"/>
        <w:rPr>
          <w:b/>
          <w:lang w:val="pl-PL"/>
        </w:rPr>
      </w:pPr>
    </w:p>
    <w:p w14:paraId="5E64FDA9" w14:textId="77777777" w:rsidR="002E5800" w:rsidRPr="008F328C" w:rsidRDefault="000E0B7C">
      <w:pPr>
        <w:pStyle w:val="a3"/>
        <w:rPr>
          <w:u w:val="single"/>
          <w:lang w:val="pl-PL"/>
        </w:rPr>
      </w:pPr>
      <w:r w:rsidRPr="008F328C">
        <w:rPr>
          <w:rFonts w:eastAsia="Times New Roman"/>
          <w:u w:val="single"/>
          <w:lang w:val="pl-PL"/>
        </w:rPr>
        <w:t>Zakażenia</w:t>
      </w:r>
    </w:p>
    <w:p w14:paraId="63641901" w14:textId="77777777" w:rsidR="002E5800" w:rsidRPr="008F328C" w:rsidRDefault="002E5800">
      <w:pPr>
        <w:pStyle w:val="a3"/>
        <w:rPr>
          <w:b/>
          <w:lang w:val="pl-PL"/>
        </w:rPr>
      </w:pPr>
    </w:p>
    <w:p w14:paraId="122028B0"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zakażenie, w tym długotrwałe lub miejscowe zakażenie (na przykład owrzodzenie podudzia), przed rozpoczęciem stosowania leku Yuflyma należy poradzić się lekarza. W przypadku wątpliwości należy skontaktować się z lekarzem.</w:t>
      </w:r>
    </w:p>
    <w:p w14:paraId="76C59BEF" w14:textId="77777777" w:rsidR="002E5800" w:rsidRPr="008F328C" w:rsidRDefault="002E5800">
      <w:pPr>
        <w:pStyle w:val="a3"/>
        <w:rPr>
          <w:lang w:val="pl-PL"/>
        </w:rPr>
      </w:pPr>
    </w:p>
    <w:p w14:paraId="15FC2247" w14:textId="77777777" w:rsidR="002E5800" w:rsidRPr="008F328C" w:rsidRDefault="000E0B7C">
      <w:pPr>
        <w:pStyle w:val="a3"/>
        <w:numPr>
          <w:ilvl w:val="1"/>
          <w:numId w:val="4"/>
        </w:numPr>
        <w:ind w:left="660" w:hanging="660"/>
        <w:rPr>
          <w:lang w:val="pl-PL"/>
        </w:rPr>
      </w:pPr>
      <w:r w:rsidRPr="008F328C">
        <w:rPr>
          <w:rFonts w:eastAsia="Times New Roman"/>
          <w:lang w:val="pl-PL"/>
        </w:rPr>
        <w:t>Podczas stosowania leku Yuflyma może się zwiększyć podatność na zakażenia. Ryzyko zakażenia zwiększa się, jeśli pacjent ma problemy z płucami. Mogą to być poważne zakażenia, takie jak:</w:t>
      </w:r>
    </w:p>
    <w:p w14:paraId="04BBBA6A" w14:textId="77777777" w:rsidR="002E5800" w:rsidRPr="008F328C" w:rsidRDefault="000E0B7C">
      <w:pPr>
        <w:pStyle w:val="a3"/>
        <w:numPr>
          <w:ilvl w:val="1"/>
          <w:numId w:val="4"/>
        </w:numPr>
        <w:ind w:left="660" w:firstLine="49"/>
        <w:rPr>
          <w:lang w:val="pl-PL"/>
        </w:rPr>
      </w:pPr>
      <w:r w:rsidRPr="008F328C">
        <w:rPr>
          <w:rFonts w:eastAsia="Times New Roman"/>
          <w:lang w:val="pl-PL"/>
        </w:rPr>
        <w:t>gruźlica</w:t>
      </w:r>
    </w:p>
    <w:p w14:paraId="30EB25F6" w14:textId="77777777" w:rsidR="002E5800" w:rsidRPr="008F328C" w:rsidRDefault="000E0B7C">
      <w:pPr>
        <w:pStyle w:val="a3"/>
        <w:numPr>
          <w:ilvl w:val="1"/>
          <w:numId w:val="4"/>
        </w:numPr>
        <w:ind w:left="660" w:firstLine="49"/>
        <w:rPr>
          <w:lang w:val="pl-PL"/>
        </w:rPr>
      </w:pPr>
      <w:r w:rsidRPr="008F328C">
        <w:rPr>
          <w:rFonts w:eastAsia="Times New Roman"/>
          <w:lang w:val="pl-PL"/>
        </w:rPr>
        <w:t>zakażenia spowodowane przez wirusy, grzyby, pasożyty lub bakterie</w:t>
      </w:r>
    </w:p>
    <w:p w14:paraId="481C23B6" w14:textId="77777777" w:rsidR="002E5800" w:rsidRPr="008F328C" w:rsidRDefault="000E0B7C">
      <w:pPr>
        <w:pStyle w:val="a3"/>
        <w:numPr>
          <w:ilvl w:val="1"/>
          <w:numId w:val="4"/>
        </w:numPr>
        <w:ind w:left="660" w:firstLine="49"/>
        <w:rPr>
          <w:lang w:val="pl-PL"/>
        </w:rPr>
      </w:pPr>
      <w:r w:rsidRPr="008F328C">
        <w:rPr>
          <w:rFonts w:eastAsia="Times New Roman"/>
          <w:lang w:val="pl-PL"/>
        </w:rPr>
        <w:t>ciężkie zakażenia krwi (posocznica)</w:t>
      </w:r>
    </w:p>
    <w:p w14:paraId="7A92D2AF" w14:textId="77777777" w:rsidR="002E5800" w:rsidRPr="008F328C" w:rsidRDefault="002E5800">
      <w:pPr>
        <w:pStyle w:val="a3"/>
        <w:rPr>
          <w:lang w:val="pl-PL"/>
        </w:rPr>
      </w:pPr>
    </w:p>
    <w:p w14:paraId="6DA96E0B" w14:textId="77777777" w:rsidR="002E5800" w:rsidRPr="008F328C" w:rsidRDefault="000E0B7C">
      <w:pPr>
        <w:pStyle w:val="a3"/>
        <w:numPr>
          <w:ilvl w:val="1"/>
          <w:numId w:val="4"/>
        </w:numPr>
        <w:ind w:left="660" w:hanging="660"/>
        <w:rPr>
          <w:lang w:val="pl-PL"/>
        </w:rPr>
      </w:pPr>
      <w:r w:rsidRPr="008F328C">
        <w:rPr>
          <w:rFonts w:eastAsia="Times New Roman"/>
          <w:lang w:val="pl-PL"/>
        </w:rPr>
        <w:t>W rzadkich przypadkach takie zakażenia mogą zagrażać życiu. Należy koniecznie powiedzieć lekarzowi, jeśli u pacjenta wystąpią takie objawy jak gorączka, zranienia, uczucie zmęczenia lub kłopoty z zębami. Lekarz może zalecić czasowe przerwanie stosowania leku Yuflyma.</w:t>
      </w:r>
    </w:p>
    <w:p w14:paraId="17EFA08C" w14:textId="77777777" w:rsidR="002E5800" w:rsidRPr="008F328C" w:rsidRDefault="002E5800">
      <w:pPr>
        <w:pStyle w:val="a3"/>
        <w:rPr>
          <w:lang w:val="pl-PL"/>
        </w:rPr>
      </w:pPr>
    </w:p>
    <w:p w14:paraId="5EEEDAC6" w14:textId="77777777" w:rsidR="002E5800" w:rsidRPr="008F328C" w:rsidRDefault="000E0B7C">
      <w:pPr>
        <w:pStyle w:val="a3"/>
        <w:numPr>
          <w:ilvl w:val="1"/>
          <w:numId w:val="4"/>
        </w:numPr>
        <w:ind w:left="660" w:hanging="660"/>
        <w:rPr>
          <w:lang w:val="pl-PL"/>
        </w:rPr>
      </w:pPr>
      <w:r w:rsidRPr="008F328C">
        <w:rPr>
          <w:rFonts w:eastAsia="Times New Roman"/>
          <w:lang w:val="pl-PL"/>
        </w:rPr>
        <w:t>Należy poinformować lekarza, jeśli pacjent mieszka lub podróżuje w regionach, gdzie bardzo często występują zakażenia grzybicze (na przykład histoplazmoza, kokcydioidomykoza lub blastomykoza).</w:t>
      </w:r>
    </w:p>
    <w:p w14:paraId="0C4BB573" w14:textId="77777777" w:rsidR="002E5800" w:rsidRPr="008F328C" w:rsidRDefault="002E5800">
      <w:pPr>
        <w:pStyle w:val="a3"/>
        <w:rPr>
          <w:lang w:val="pl-PL"/>
        </w:rPr>
      </w:pPr>
    </w:p>
    <w:p w14:paraId="4F7CB63F" w14:textId="77777777" w:rsidR="002E5800" w:rsidRPr="008F328C" w:rsidRDefault="000E0B7C">
      <w:pPr>
        <w:pStyle w:val="a3"/>
        <w:numPr>
          <w:ilvl w:val="1"/>
          <w:numId w:val="4"/>
        </w:numPr>
        <w:ind w:left="660" w:hanging="660"/>
        <w:rPr>
          <w:lang w:val="pl-PL"/>
        </w:rPr>
      </w:pPr>
      <w:r w:rsidRPr="008F328C">
        <w:rPr>
          <w:rFonts w:eastAsia="Times New Roman"/>
          <w:lang w:val="pl-PL"/>
        </w:rPr>
        <w:t>Należy poinformować lekarza, jeśli u pacjenta występowały nawracające zakażenia lub inne choroby zwiększające ryzyko wystąpienia zakażeń.</w:t>
      </w:r>
    </w:p>
    <w:p w14:paraId="7E6874F0" w14:textId="77777777" w:rsidR="002E5800" w:rsidRPr="008F328C" w:rsidRDefault="002E5800">
      <w:pPr>
        <w:pStyle w:val="a3"/>
        <w:numPr>
          <w:ilvl w:val="0"/>
          <w:numId w:val="0"/>
        </w:numPr>
        <w:rPr>
          <w:lang w:val="pl-PL"/>
        </w:rPr>
      </w:pPr>
    </w:p>
    <w:p w14:paraId="085B042A" w14:textId="77777777" w:rsidR="002E5800" w:rsidRPr="008F328C" w:rsidRDefault="000E0B7C">
      <w:pPr>
        <w:pStyle w:val="a3"/>
        <w:numPr>
          <w:ilvl w:val="1"/>
          <w:numId w:val="4"/>
        </w:numPr>
        <w:ind w:left="660" w:hanging="660"/>
        <w:rPr>
          <w:lang w:val="pl-PL"/>
        </w:rPr>
      </w:pPr>
      <w:r w:rsidRPr="008F328C">
        <w:rPr>
          <w:rFonts w:eastAsia="Times New Roman"/>
          <w:lang w:val="pl-PL"/>
        </w:rPr>
        <w:t>Pacjenci w wieku powyżej 65 lat mogą być bardziej podatni na zakażenia podczas stosowania leku Yuflyma. Pacjent i lekarz prowadzący powinni zwracać szczególną uwagę na objawy zakażenia w okresie stosowania leku Yuflyma. Należy koniecznie poinformować lekarza w przypadku wystąpienia objawów zakażenia, takich jak gorączka, zranienia, uczucie zmęczenia lub kłopoty z zębami.</w:t>
      </w:r>
    </w:p>
    <w:p w14:paraId="26BB852B" w14:textId="77777777" w:rsidR="002E5800" w:rsidRPr="008F328C" w:rsidRDefault="002E5800">
      <w:pPr>
        <w:spacing w:before="11" w:line="240" w:lineRule="exact"/>
        <w:rPr>
          <w:rFonts w:ascii="Times New Roman" w:hAnsi="Times New Roman" w:cs="Times New Roman"/>
          <w:sz w:val="24"/>
          <w:szCs w:val="24"/>
          <w:lang w:val="pl-PL"/>
        </w:rPr>
      </w:pPr>
    </w:p>
    <w:p w14:paraId="02F08829" w14:textId="77777777" w:rsidR="002E5800" w:rsidRPr="008F328C" w:rsidRDefault="000E0B7C">
      <w:pPr>
        <w:pStyle w:val="a3"/>
        <w:rPr>
          <w:u w:val="single"/>
          <w:lang w:val="pl-PL"/>
        </w:rPr>
      </w:pPr>
      <w:r w:rsidRPr="008F328C">
        <w:rPr>
          <w:rFonts w:eastAsia="Times New Roman"/>
          <w:u w:val="single" w:color="000000"/>
          <w:lang w:val="pl-PL"/>
        </w:rPr>
        <w:t>Gruźlica</w:t>
      </w:r>
    </w:p>
    <w:p w14:paraId="60A42F96" w14:textId="77777777" w:rsidR="002E5800" w:rsidRPr="008F328C" w:rsidRDefault="002E5800">
      <w:pPr>
        <w:spacing w:before="4" w:line="190" w:lineRule="exact"/>
        <w:rPr>
          <w:rFonts w:ascii="Times New Roman" w:hAnsi="Times New Roman" w:cs="Times New Roman"/>
          <w:sz w:val="19"/>
          <w:szCs w:val="19"/>
          <w:lang w:val="pl-PL"/>
        </w:rPr>
      </w:pPr>
    </w:p>
    <w:p w14:paraId="5E95A9F5" w14:textId="26619DB5" w:rsidR="002E5800" w:rsidRPr="008F328C" w:rsidRDefault="006E24D0">
      <w:pPr>
        <w:pStyle w:val="a3"/>
        <w:numPr>
          <w:ilvl w:val="1"/>
          <w:numId w:val="4"/>
        </w:numPr>
        <w:ind w:left="660" w:hanging="660"/>
        <w:rPr>
          <w:lang w:val="pl-PL"/>
        </w:rPr>
      </w:pPr>
      <w:r w:rsidRPr="008F328C">
        <w:rPr>
          <w:rFonts w:eastAsia="Times New Roman"/>
          <w:lang w:val="pl-PL"/>
        </w:rPr>
        <w:t>Należy koniecznie powiedzieć lekarzowi o przebytej gruźlicy lub o bliskich kontaktach z chorym na gruźlicę w przeszłości. Leku Yuflyma nie należy stosować u pacjentów z czynną gruźlicą.</w:t>
      </w:r>
    </w:p>
    <w:p w14:paraId="31679F09" w14:textId="043D735F" w:rsidR="002E5800" w:rsidRPr="008F328C" w:rsidRDefault="006E24D0">
      <w:pPr>
        <w:pStyle w:val="a3"/>
        <w:numPr>
          <w:ilvl w:val="1"/>
          <w:numId w:val="4"/>
        </w:numPr>
        <w:ind w:left="998" w:hanging="340"/>
        <w:rPr>
          <w:lang w:val="pl-PL"/>
        </w:rPr>
      </w:pPr>
      <w:r w:rsidRPr="008F328C">
        <w:rPr>
          <w:rFonts w:eastAsia="Times New Roman"/>
          <w:lang w:val="pl-PL"/>
        </w:rPr>
        <w:t>U pacjentów otrzymujących lek Yuflyma obserwowano przypadki gruźlicy. Dlatego przed rozpoczęciem podawania leku Yuflym lekarz sprawdzi, czy u pacjenta nie występują zdiagnozowane przez lekarza i odczuwane przez pacjenta objawy gruźlicy. Będzie to dokładna ocena dokonana przez lekarza obejmująca wywiad dotyczący przebytych chorób oraz odpowiednie badania przesiewowe (na przykład zdjęcie rentgenowskie klatki piersiowej i próba tuberkulinowa). Informacje o wykonaniu tych badań i ich wynikach należy wpisać do „</w:t>
      </w:r>
      <w:r w:rsidRPr="008F328C">
        <w:rPr>
          <w:rFonts w:eastAsia="Times New Roman"/>
          <w:b/>
          <w:bCs/>
          <w:lang w:val="pl-PL"/>
        </w:rPr>
        <w:t>Karty Przypominającej dla Pacjenta</w:t>
      </w:r>
      <w:r w:rsidRPr="008F328C">
        <w:rPr>
          <w:rFonts w:eastAsia="Times New Roman"/>
          <w:lang w:val="pl-PL"/>
        </w:rPr>
        <w:t>”.</w:t>
      </w:r>
    </w:p>
    <w:p w14:paraId="6F4CF428" w14:textId="77777777" w:rsidR="002E5800" w:rsidRPr="008F328C" w:rsidRDefault="000E0B7C">
      <w:pPr>
        <w:pStyle w:val="a3"/>
        <w:numPr>
          <w:ilvl w:val="1"/>
          <w:numId w:val="4"/>
        </w:numPr>
        <w:ind w:left="998" w:hanging="340"/>
        <w:rPr>
          <w:lang w:val="pl-PL"/>
        </w:rPr>
      </w:pPr>
      <w:r w:rsidRPr="008F328C">
        <w:rPr>
          <w:rFonts w:eastAsia="Times New Roman"/>
          <w:lang w:val="pl-PL"/>
        </w:rPr>
        <w:t>Gruźlica może się rozwinąć podczas terapii, nawet jeśli pacjent otrzymał profilaktyczne leczenie przeciwgruźlicze.</w:t>
      </w:r>
    </w:p>
    <w:p w14:paraId="763FA534" w14:textId="77777777" w:rsidR="002E5800" w:rsidRPr="008F328C" w:rsidRDefault="000E0B7C">
      <w:pPr>
        <w:pStyle w:val="a3"/>
        <w:numPr>
          <w:ilvl w:val="1"/>
          <w:numId w:val="4"/>
        </w:numPr>
        <w:ind w:left="998" w:hanging="340"/>
        <w:rPr>
          <w:lang w:val="pl-PL"/>
        </w:rPr>
      </w:pPr>
      <w:r w:rsidRPr="008F328C">
        <w:rPr>
          <w:rFonts w:eastAsia="Times New Roman"/>
          <w:lang w:val="pl-PL"/>
        </w:rPr>
        <w:t>Należy natychmiast poinformować lekarza, jeśli w trakcie leczenia lub po jego zakończeniu wystąpią objawy gruźlicy (na przykład kaszel, który nie ustępuje, utrata masy ciała, obniżenie aktywności, niewielka gorączka) lub innego zakażenia.</w:t>
      </w:r>
    </w:p>
    <w:p w14:paraId="02B1B3B4" w14:textId="77777777" w:rsidR="002E5800" w:rsidRPr="008F328C" w:rsidRDefault="002E5800">
      <w:pPr>
        <w:spacing w:before="11" w:line="240" w:lineRule="exact"/>
        <w:rPr>
          <w:rFonts w:ascii="Times New Roman" w:hAnsi="Times New Roman" w:cs="Times New Roman"/>
          <w:sz w:val="24"/>
          <w:szCs w:val="24"/>
          <w:lang w:val="pl-PL"/>
        </w:rPr>
      </w:pPr>
    </w:p>
    <w:p w14:paraId="7647C4F2" w14:textId="77777777" w:rsidR="002E5800" w:rsidRPr="008F328C" w:rsidRDefault="000E0B7C">
      <w:pPr>
        <w:pStyle w:val="a3"/>
        <w:rPr>
          <w:u w:val="single"/>
          <w:lang w:val="pl-PL"/>
        </w:rPr>
      </w:pPr>
      <w:r w:rsidRPr="008F328C">
        <w:rPr>
          <w:rFonts w:eastAsia="Times New Roman"/>
          <w:u w:val="single" w:color="000000"/>
          <w:lang w:val="pl-PL"/>
        </w:rPr>
        <w:t>Zapalenie wątroby typu B</w:t>
      </w:r>
    </w:p>
    <w:p w14:paraId="3A5B7FD6" w14:textId="77777777" w:rsidR="002E5800" w:rsidRPr="008F328C" w:rsidRDefault="002E5800">
      <w:pPr>
        <w:spacing w:before="4" w:line="190" w:lineRule="exact"/>
        <w:rPr>
          <w:rFonts w:ascii="Times New Roman" w:hAnsi="Times New Roman" w:cs="Times New Roman"/>
          <w:sz w:val="19"/>
          <w:szCs w:val="19"/>
          <w:lang w:val="pl-PL"/>
        </w:rPr>
      </w:pPr>
    </w:p>
    <w:p w14:paraId="63441253" w14:textId="77777777" w:rsidR="002E5800" w:rsidRPr="008F328C" w:rsidRDefault="000E0B7C">
      <w:pPr>
        <w:pStyle w:val="a3"/>
        <w:numPr>
          <w:ilvl w:val="1"/>
          <w:numId w:val="4"/>
        </w:numPr>
        <w:ind w:left="660" w:hanging="660"/>
        <w:rPr>
          <w:lang w:val="pl-PL"/>
        </w:rPr>
      </w:pPr>
      <w:r w:rsidRPr="008F328C">
        <w:rPr>
          <w:rFonts w:eastAsia="Times New Roman"/>
          <w:lang w:val="pl-PL"/>
        </w:rPr>
        <w:t xml:space="preserve">Należy powiedzieć lekarzowi prowadzącemu, jeśli pacjent jest nosicielem wirusa zapalenia wątroby typu B (HBV), jeśli choruje na zapalenie wątroby typu B lub jeśli sądzi, że należy do </w:t>
      </w:r>
      <w:r w:rsidRPr="008F328C">
        <w:rPr>
          <w:rFonts w:eastAsia="Times New Roman"/>
          <w:lang w:val="pl-PL"/>
        </w:rPr>
        <w:lastRenderedPageBreak/>
        <w:t>grupy zwiększonego ryzyka zakażenia HBV.</w:t>
      </w:r>
    </w:p>
    <w:p w14:paraId="457FF556" w14:textId="77777777" w:rsidR="002E5800" w:rsidRPr="008F328C" w:rsidRDefault="000E0B7C">
      <w:pPr>
        <w:pStyle w:val="a3"/>
        <w:numPr>
          <w:ilvl w:val="1"/>
          <w:numId w:val="4"/>
        </w:numPr>
        <w:ind w:left="998" w:hanging="340"/>
        <w:rPr>
          <w:lang w:val="pl-PL"/>
        </w:rPr>
      </w:pPr>
      <w:r w:rsidRPr="008F328C">
        <w:rPr>
          <w:rFonts w:eastAsia="Times New Roman"/>
          <w:lang w:val="pl-PL"/>
        </w:rPr>
        <w:t>Lekarz powinien zlecić wykonanie badań w kierunku zakażenia HBV. U osób będących nosicielami HBV, lek Yuflyma może powodować uaktywnienie się wirusa.</w:t>
      </w:r>
    </w:p>
    <w:p w14:paraId="58F3AF65" w14:textId="77777777" w:rsidR="002E5800" w:rsidRPr="008F328C" w:rsidRDefault="000E0B7C">
      <w:pPr>
        <w:pStyle w:val="a3"/>
        <w:numPr>
          <w:ilvl w:val="1"/>
          <w:numId w:val="4"/>
        </w:numPr>
        <w:ind w:left="998" w:hanging="340"/>
        <w:rPr>
          <w:lang w:val="pl-PL"/>
        </w:rPr>
      </w:pPr>
      <w:r w:rsidRPr="008F328C">
        <w:rPr>
          <w:rFonts w:eastAsia="Times New Roman"/>
          <w:lang w:val="pl-PL"/>
        </w:rPr>
        <w:t>W niektórych, rzadkich przypadkach, zwłaszcza u pacjentów przyjmujących inne leki hamujące aktywność układu immunologicznego, reaktywacja HBV może zagrażać życiu.</w:t>
      </w:r>
    </w:p>
    <w:p w14:paraId="179C96A7" w14:textId="77777777" w:rsidR="002E5800" w:rsidRPr="008F328C" w:rsidRDefault="002E5800">
      <w:pPr>
        <w:spacing w:before="11" w:line="240" w:lineRule="exact"/>
        <w:rPr>
          <w:rFonts w:ascii="Times New Roman" w:hAnsi="Times New Roman" w:cs="Times New Roman"/>
          <w:sz w:val="24"/>
          <w:szCs w:val="24"/>
          <w:lang w:val="pl-PL"/>
        </w:rPr>
      </w:pPr>
    </w:p>
    <w:p w14:paraId="6D4C39CA" w14:textId="77777777" w:rsidR="002E5800" w:rsidRPr="008F328C" w:rsidRDefault="000E0B7C">
      <w:pPr>
        <w:pStyle w:val="a3"/>
        <w:rPr>
          <w:u w:val="single"/>
          <w:lang w:val="pl-PL"/>
        </w:rPr>
      </w:pPr>
      <w:r w:rsidRPr="008F328C">
        <w:rPr>
          <w:rFonts w:eastAsia="Times New Roman"/>
          <w:u w:val="single" w:color="000000"/>
          <w:lang w:val="pl-PL"/>
        </w:rPr>
        <w:t>Zabiegi chirurgiczne lub stomatologiczne</w:t>
      </w:r>
    </w:p>
    <w:p w14:paraId="2051F245" w14:textId="77777777" w:rsidR="002E5800" w:rsidRPr="008F328C" w:rsidRDefault="002E5800">
      <w:pPr>
        <w:spacing w:before="4" w:line="190" w:lineRule="exact"/>
        <w:rPr>
          <w:rFonts w:ascii="Times New Roman" w:hAnsi="Times New Roman" w:cs="Times New Roman"/>
          <w:sz w:val="19"/>
          <w:szCs w:val="19"/>
          <w:lang w:val="pl-PL"/>
        </w:rPr>
      </w:pPr>
    </w:p>
    <w:p w14:paraId="02C80C86" w14:textId="77777777" w:rsidR="002E5800" w:rsidRPr="008F328C" w:rsidRDefault="000E0B7C">
      <w:pPr>
        <w:pStyle w:val="a3"/>
        <w:numPr>
          <w:ilvl w:val="1"/>
          <w:numId w:val="4"/>
        </w:numPr>
        <w:ind w:left="660" w:hanging="660"/>
        <w:rPr>
          <w:lang w:val="pl-PL"/>
        </w:rPr>
      </w:pPr>
      <w:r w:rsidRPr="008F328C">
        <w:rPr>
          <w:rFonts w:eastAsia="Times New Roman"/>
          <w:lang w:val="pl-PL"/>
        </w:rPr>
        <w:t>W przypadku planowanego zabiegu chirurgicznego lub stomatologicznego należy poinformować lekarza o przyjmowaniu leku Yuflyma. Lekarz może zalecić czasowe przerwanie stosowania leku Yuflyma.</w:t>
      </w:r>
    </w:p>
    <w:p w14:paraId="4F9520C8" w14:textId="77777777" w:rsidR="002E5800" w:rsidRPr="008F328C" w:rsidRDefault="002E5800">
      <w:pPr>
        <w:spacing w:before="8" w:line="240" w:lineRule="exact"/>
        <w:rPr>
          <w:rFonts w:ascii="Times New Roman" w:hAnsi="Times New Roman" w:cs="Times New Roman"/>
          <w:sz w:val="24"/>
          <w:szCs w:val="24"/>
          <w:lang w:val="pl-PL"/>
        </w:rPr>
      </w:pPr>
    </w:p>
    <w:p w14:paraId="27178A07" w14:textId="77777777" w:rsidR="002E5800" w:rsidRPr="008F328C" w:rsidRDefault="000E0B7C">
      <w:pPr>
        <w:pStyle w:val="a3"/>
        <w:rPr>
          <w:u w:val="single"/>
          <w:lang w:val="pl-PL"/>
        </w:rPr>
      </w:pPr>
      <w:r w:rsidRPr="008F328C">
        <w:rPr>
          <w:rFonts w:eastAsia="Times New Roman"/>
          <w:u w:val="single" w:color="000000"/>
          <w:lang w:val="pl-PL"/>
        </w:rPr>
        <w:t>Choroby demielinizacyjne</w:t>
      </w:r>
    </w:p>
    <w:p w14:paraId="4D16F234" w14:textId="77777777" w:rsidR="002E5800" w:rsidRPr="008F328C" w:rsidRDefault="002E5800">
      <w:pPr>
        <w:spacing w:before="4" w:line="190" w:lineRule="exact"/>
        <w:rPr>
          <w:rFonts w:ascii="Times New Roman" w:hAnsi="Times New Roman" w:cs="Times New Roman"/>
          <w:sz w:val="19"/>
          <w:szCs w:val="19"/>
          <w:lang w:val="pl-PL"/>
        </w:rPr>
      </w:pPr>
    </w:p>
    <w:p w14:paraId="04568F8F"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lub rozwija się choroba demielinizacyjna (choroba, która wpływa na otoczkę mielinową nerwów, taka jak stwardnienie rozsiane), lekarz zdecyduje, czy można u niego zastosować lek Yuflyma lub kontynuować podawanie leku. Należy natychmiast powiedzieć lekarzowi, jeśli u pacjenta wystąpią takie objawy, jak zmiany widzenia, osłabienie kończyn górnych lub dolnych, lub drętwienie, lub mrowienie w którejkolwiek części ciała.</w:t>
      </w:r>
    </w:p>
    <w:p w14:paraId="07CE0C30" w14:textId="77777777" w:rsidR="002E5800" w:rsidRPr="008F328C" w:rsidRDefault="002E5800">
      <w:pPr>
        <w:spacing w:before="14" w:line="240" w:lineRule="exact"/>
        <w:rPr>
          <w:rFonts w:ascii="Times New Roman" w:hAnsi="Times New Roman" w:cs="Times New Roman"/>
          <w:sz w:val="24"/>
          <w:szCs w:val="24"/>
          <w:lang w:val="pl-PL"/>
        </w:rPr>
      </w:pPr>
    </w:p>
    <w:p w14:paraId="06B63980" w14:textId="77777777" w:rsidR="002E5800" w:rsidRPr="008F328C" w:rsidRDefault="000E0B7C">
      <w:pPr>
        <w:pStyle w:val="a3"/>
        <w:rPr>
          <w:u w:val="single"/>
          <w:lang w:val="pl-PL"/>
        </w:rPr>
      </w:pPr>
      <w:r w:rsidRPr="008F328C">
        <w:rPr>
          <w:rFonts w:eastAsia="Times New Roman"/>
          <w:u w:val="single" w:color="000000"/>
          <w:lang w:val="pl-PL"/>
        </w:rPr>
        <w:t>Szczepienia</w:t>
      </w:r>
    </w:p>
    <w:p w14:paraId="17C88F7C" w14:textId="77777777" w:rsidR="002E5800" w:rsidRPr="008F328C" w:rsidRDefault="002E5800">
      <w:pPr>
        <w:spacing w:before="4" w:line="190" w:lineRule="exact"/>
        <w:rPr>
          <w:rFonts w:ascii="Times New Roman" w:hAnsi="Times New Roman" w:cs="Times New Roman"/>
          <w:sz w:val="19"/>
          <w:szCs w:val="19"/>
          <w:lang w:val="pl-PL"/>
        </w:rPr>
      </w:pPr>
    </w:p>
    <w:p w14:paraId="0435536E" w14:textId="77777777" w:rsidR="002E5800" w:rsidRPr="008F328C" w:rsidRDefault="000E0B7C">
      <w:pPr>
        <w:pStyle w:val="a3"/>
        <w:numPr>
          <w:ilvl w:val="1"/>
          <w:numId w:val="4"/>
        </w:numPr>
        <w:ind w:left="660" w:hanging="660"/>
        <w:rPr>
          <w:lang w:val="pl-PL"/>
        </w:rPr>
      </w:pPr>
      <w:r w:rsidRPr="008F328C">
        <w:rPr>
          <w:rFonts w:eastAsia="Times New Roman"/>
          <w:lang w:val="pl-PL"/>
        </w:rPr>
        <w:t>Pewne szczepionki mogą powodować zakażenia i nie należy ich stosować w czasie przyjmowania leku Yuflyma.</w:t>
      </w:r>
    </w:p>
    <w:p w14:paraId="0CCE4C1A" w14:textId="77777777" w:rsidR="002E5800" w:rsidRPr="008F328C" w:rsidRDefault="002E5800">
      <w:pPr>
        <w:spacing w:before="11" w:line="240" w:lineRule="exact"/>
        <w:rPr>
          <w:rFonts w:ascii="Times New Roman" w:hAnsi="Times New Roman" w:cs="Times New Roman"/>
          <w:sz w:val="24"/>
          <w:szCs w:val="24"/>
          <w:lang w:val="pl-PL"/>
        </w:rPr>
      </w:pPr>
    </w:p>
    <w:p w14:paraId="614A2A34" w14:textId="77777777" w:rsidR="002E5800" w:rsidRPr="008F328C" w:rsidRDefault="000E0B7C">
      <w:pPr>
        <w:pStyle w:val="a3"/>
        <w:numPr>
          <w:ilvl w:val="1"/>
          <w:numId w:val="4"/>
        </w:numPr>
        <w:ind w:left="998" w:hanging="340"/>
        <w:rPr>
          <w:lang w:val="pl-PL"/>
        </w:rPr>
      </w:pPr>
      <w:r w:rsidRPr="008F328C">
        <w:rPr>
          <w:rFonts w:eastAsia="Times New Roman"/>
          <w:lang w:val="pl-PL"/>
        </w:rPr>
        <w:t>Przed zastosowaniem każdej szczepionki należy poradzić się lekarza.</w:t>
      </w:r>
    </w:p>
    <w:p w14:paraId="754205E6" w14:textId="77777777" w:rsidR="002E5800" w:rsidRPr="008F328C" w:rsidRDefault="000E0B7C">
      <w:pPr>
        <w:pStyle w:val="a3"/>
        <w:numPr>
          <w:ilvl w:val="1"/>
          <w:numId w:val="4"/>
        </w:numPr>
        <w:ind w:left="998" w:hanging="340"/>
        <w:rPr>
          <w:lang w:val="pl-PL"/>
        </w:rPr>
      </w:pPr>
      <w:r w:rsidRPr="008F328C">
        <w:rPr>
          <w:rFonts w:eastAsia="Times New Roman"/>
          <w:lang w:val="pl-PL"/>
        </w:rPr>
        <w:t>Zaleca się, jeśli to możliwe, aby u dzieci, przed rozpoczęciem leczenia lekiem Yuflyma przeprowadzono wszystkie szczepienia zgodnie z obowiązującym kalendarzem szczepień.</w:t>
      </w:r>
    </w:p>
    <w:p w14:paraId="00E92FCF" w14:textId="77777777" w:rsidR="002E5800" w:rsidRPr="008F328C" w:rsidRDefault="000E0B7C">
      <w:pPr>
        <w:pStyle w:val="a3"/>
        <w:numPr>
          <w:ilvl w:val="1"/>
          <w:numId w:val="4"/>
        </w:numPr>
        <w:ind w:left="998" w:hanging="340"/>
        <w:rPr>
          <w:lang w:val="pl-PL"/>
        </w:rPr>
      </w:pPr>
      <w:r w:rsidRPr="008F328C">
        <w:rPr>
          <w:rFonts w:eastAsia="Times New Roman"/>
          <w:lang w:val="pl-PL"/>
        </w:rPr>
        <w:t>Jeśli kobieta otrzymywała lek Yuflyma w okresie ciąży, u dziecka może występować zwiększone ryzyko zakażenia w okresie do około pięciu miesięcy po przyjęciu przez matkę ostatniej dawki leku w okresie ciąży. Należy koniecznie poinformować lekarzy dziecka i innych pracowników opieki zdrowotnej o przyjmowaniu leku Yuflyma w okresie ciąży, aby mogli zdecydować czy dziecko może otrzymać jakąkolwiek szczepionkę.</w:t>
      </w:r>
    </w:p>
    <w:p w14:paraId="0CDBD75E" w14:textId="77777777" w:rsidR="002E5800" w:rsidRPr="008F328C" w:rsidRDefault="002E5800">
      <w:pPr>
        <w:spacing w:before="14" w:line="240" w:lineRule="exact"/>
        <w:rPr>
          <w:rFonts w:ascii="Times New Roman" w:hAnsi="Times New Roman" w:cs="Times New Roman"/>
          <w:sz w:val="24"/>
          <w:szCs w:val="24"/>
          <w:lang w:val="pl-PL"/>
        </w:rPr>
      </w:pPr>
    </w:p>
    <w:p w14:paraId="68E1E958" w14:textId="77777777" w:rsidR="002E5800" w:rsidRPr="008F328C" w:rsidRDefault="000E0B7C">
      <w:pPr>
        <w:pStyle w:val="a3"/>
        <w:rPr>
          <w:u w:val="single"/>
          <w:lang w:val="pl-PL"/>
        </w:rPr>
      </w:pPr>
      <w:r w:rsidRPr="008F328C">
        <w:rPr>
          <w:rFonts w:eastAsia="Times New Roman"/>
          <w:u w:val="single" w:color="000000"/>
          <w:lang w:val="pl-PL"/>
        </w:rPr>
        <w:t>Niewydolność serca</w:t>
      </w:r>
    </w:p>
    <w:p w14:paraId="3DC1C327" w14:textId="77777777" w:rsidR="002E5800" w:rsidRPr="008F328C" w:rsidRDefault="002E5800">
      <w:pPr>
        <w:spacing w:before="4" w:line="190" w:lineRule="exact"/>
        <w:rPr>
          <w:rFonts w:ascii="Times New Roman" w:hAnsi="Times New Roman" w:cs="Times New Roman"/>
          <w:sz w:val="19"/>
          <w:szCs w:val="19"/>
          <w:lang w:val="pl-PL"/>
        </w:rPr>
      </w:pPr>
    </w:p>
    <w:p w14:paraId="4D6879CC"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otrzymującego lek Yuflyma występuje łagodna niewydolność serca, lekarz będzie kontrolował stan zdrowia pacjenta. Należy bezwzględnie poinformować lekarza o poważnej chorobie serca w przeszłości lub obecnie. W przypadku wystąpienia nowych objawów niewydolności serca lub nasilenia istniejących objawów (np. duszność lub obrzęki stóp) należy natychmiast skontaktować się z lekarzem. Lekarz prowadzący zdecyduje, czy pacjent powinien otrzymywać lek Yuflyma.</w:t>
      </w:r>
    </w:p>
    <w:p w14:paraId="3C155DA7" w14:textId="77777777" w:rsidR="002E5800" w:rsidRPr="008F328C" w:rsidRDefault="002E5800">
      <w:pPr>
        <w:spacing w:before="14" w:line="240" w:lineRule="exact"/>
        <w:rPr>
          <w:rFonts w:ascii="Times New Roman" w:hAnsi="Times New Roman" w:cs="Times New Roman"/>
          <w:sz w:val="24"/>
          <w:szCs w:val="24"/>
          <w:lang w:val="pl-PL"/>
        </w:rPr>
      </w:pPr>
    </w:p>
    <w:p w14:paraId="1AB6A1A4" w14:textId="77777777" w:rsidR="002E5800" w:rsidRPr="008F328C" w:rsidRDefault="000E0B7C">
      <w:pPr>
        <w:pStyle w:val="a3"/>
        <w:rPr>
          <w:u w:val="single"/>
          <w:lang w:val="pl-PL"/>
        </w:rPr>
      </w:pPr>
      <w:r w:rsidRPr="008F328C">
        <w:rPr>
          <w:rFonts w:eastAsia="Times New Roman"/>
          <w:u w:val="single" w:color="000000"/>
          <w:lang w:val="pl-PL"/>
        </w:rPr>
        <w:t>Gorączka, siniaki, krwawienia lub bladość</w:t>
      </w:r>
    </w:p>
    <w:p w14:paraId="6B63DF7A" w14:textId="77777777" w:rsidR="002E5800" w:rsidRPr="008F328C" w:rsidRDefault="002E5800">
      <w:pPr>
        <w:spacing w:before="4" w:line="190" w:lineRule="exact"/>
        <w:rPr>
          <w:rFonts w:ascii="Times New Roman" w:hAnsi="Times New Roman" w:cs="Times New Roman"/>
          <w:sz w:val="19"/>
          <w:szCs w:val="19"/>
          <w:lang w:val="pl-PL"/>
        </w:rPr>
      </w:pPr>
    </w:p>
    <w:p w14:paraId="71812F6C" w14:textId="77777777" w:rsidR="002E5800" w:rsidRPr="008F328C" w:rsidRDefault="000E0B7C">
      <w:pPr>
        <w:pStyle w:val="a3"/>
        <w:numPr>
          <w:ilvl w:val="1"/>
          <w:numId w:val="4"/>
        </w:numPr>
        <w:ind w:left="660" w:hanging="660"/>
        <w:rPr>
          <w:lang w:val="pl-PL"/>
        </w:rPr>
      </w:pPr>
      <w:r w:rsidRPr="008F328C">
        <w:rPr>
          <w:rFonts w:eastAsia="Times New Roman"/>
          <w:lang w:val="pl-PL"/>
        </w:rPr>
        <w:t>U niektórych pacjentów dojść może do zmniejszenia wytwarzania komórek krwi pomocnych w zwalczaniu zakażeń lub hamowaniu krwawienia. Lekarz może podjąć decyzję o przerwaniu leczenia. Jeśli u pacjenta wystąpi nieustępująca gorączka, siniaki, skłonność do krwawień lub bladość należy natychmiast skontaktować się z lekarzem.</w:t>
      </w:r>
    </w:p>
    <w:p w14:paraId="040535DA" w14:textId="77777777" w:rsidR="002E5800" w:rsidRPr="008F328C" w:rsidRDefault="002E5800">
      <w:pPr>
        <w:pStyle w:val="a3"/>
        <w:rPr>
          <w:u w:val="single"/>
          <w:lang w:val="pl-PL"/>
        </w:rPr>
      </w:pPr>
    </w:p>
    <w:p w14:paraId="56EFAA29" w14:textId="77777777" w:rsidR="002E5800" w:rsidRPr="008F328C" w:rsidRDefault="000E0B7C">
      <w:pPr>
        <w:pStyle w:val="a3"/>
        <w:rPr>
          <w:u w:val="single"/>
          <w:lang w:val="pl-PL"/>
        </w:rPr>
      </w:pPr>
      <w:r w:rsidRPr="008F328C">
        <w:rPr>
          <w:rFonts w:eastAsia="Times New Roman"/>
          <w:u w:val="single"/>
          <w:lang w:val="pl-PL"/>
        </w:rPr>
        <w:t>Nowotwory</w:t>
      </w:r>
    </w:p>
    <w:p w14:paraId="435FC90D" w14:textId="77777777" w:rsidR="002E5800" w:rsidRPr="008F328C" w:rsidRDefault="002E5800">
      <w:pPr>
        <w:pStyle w:val="a3"/>
        <w:rPr>
          <w:u w:val="single"/>
          <w:lang w:val="pl-PL"/>
        </w:rPr>
      </w:pPr>
    </w:p>
    <w:p w14:paraId="4CB0CF9D" w14:textId="77777777" w:rsidR="002E5800" w:rsidRPr="008F328C" w:rsidRDefault="000E0B7C">
      <w:pPr>
        <w:pStyle w:val="a3"/>
        <w:numPr>
          <w:ilvl w:val="1"/>
          <w:numId w:val="4"/>
        </w:numPr>
        <w:ind w:left="660" w:hanging="660"/>
        <w:rPr>
          <w:lang w:val="pl-PL"/>
        </w:rPr>
      </w:pPr>
      <w:r w:rsidRPr="008F328C">
        <w:rPr>
          <w:rFonts w:eastAsia="Times New Roman"/>
          <w:lang w:val="pl-PL"/>
        </w:rPr>
        <w:t>U pacjentów przyjmujących lek Yuflyma lub inne leki blokujące TNF w bardzo rzadkich przypadkach występowały pewne rodzaje nowotworów u dzieci i dorosłych.</w:t>
      </w:r>
    </w:p>
    <w:p w14:paraId="36199659" w14:textId="77777777" w:rsidR="002E5800" w:rsidRPr="008F328C" w:rsidRDefault="002E5800">
      <w:pPr>
        <w:pStyle w:val="a3"/>
        <w:rPr>
          <w:lang w:val="pl-PL"/>
        </w:rPr>
      </w:pPr>
    </w:p>
    <w:p w14:paraId="0EA9A5C8" w14:textId="77777777" w:rsidR="002E5800" w:rsidRPr="008F328C" w:rsidRDefault="000E0B7C">
      <w:pPr>
        <w:pStyle w:val="a3"/>
        <w:numPr>
          <w:ilvl w:val="1"/>
          <w:numId w:val="4"/>
        </w:numPr>
        <w:ind w:left="998" w:hanging="340"/>
        <w:rPr>
          <w:lang w:val="pl-PL"/>
        </w:rPr>
      </w:pPr>
      <w:r w:rsidRPr="008F328C">
        <w:rPr>
          <w:rFonts w:eastAsia="Times New Roman"/>
          <w:lang w:val="pl-PL"/>
        </w:rPr>
        <w:t>U osób z cięższą postacią reumatoidalnego zapalenia stawów, chorujących od dłuższego czasu, ryzyko wystąpienia chłoniaka (nowotwór złośliwy układu limfatycznego) oraz białaczki (nowotwór złośliwy krwi i szpiku kostnego) może być większe od przeciętnego.</w:t>
      </w:r>
    </w:p>
    <w:p w14:paraId="1D49AE25" w14:textId="77777777" w:rsidR="002E5800" w:rsidRPr="008F328C" w:rsidRDefault="000E0B7C">
      <w:pPr>
        <w:pStyle w:val="a3"/>
        <w:numPr>
          <w:ilvl w:val="1"/>
          <w:numId w:val="4"/>
        </w:numPr>
        <w:ind w:left="998" w:hanging="340"/>
        <w:rPr>
          <w:lang w:val="pl-PL"/>
        </w:rPr>
      </w:pPr>
      <w:r w:rsidRPr="008F328C">
        <w:rPr>
          <w:rFonts w:eastAsia="Times New Roman"/>
          <w:lang w:val="pl-PL"/>
        </w:rPr>
        <w:t>U pacjentów przyjmujących lek Yuflyma, ryzyko wystąpienia chłoniaka, białaczki lub innych nowotworów złośliwych może być większe. W rzadkich przypadkach u pacjentów przyjmujących lek Yuflyma stwierdzono rzadko występujący, poważny typ chłoniaka. Niektórych z tych pacjentów leczono również azatiopryną lub 6-merkaptopuryną.</w:t>
      </w:r>
    </w:p>
    <w:p w14:paraId="2EAA75AB" w14:textId="77777777" w:rsidR="002E5800" w:rsidRPr="008F328C" w:rsidRDefault="000E0B7C">
      <w:pPr>
        <w:pStyle w:val="a3"/>
        <w:numPr>
          <w:ilvl w:val="1"/>
          <w:numId w:val="4"/>
        </w:numPr>
        <w:ind w:left="998" w:hanging="340"/>
        <w:rPr>
          <w:lang w:val="pl-PL"/>
        </w:rPr>
      </w:pPr>
      <w:r w:rsidRPr="008F328C">
        <w:rPr>
          <w:rFonts w:eastAsia="Times New Roman"/>
          <w:lang w:val="pl-PL"/>
        </w:rPr>
        <w:t>Należy poinformować lekarza, jeśli pacjent przyjmuje azatioprynę lub 6-merkaptopurynę z lekiem Yuflyma.</w:t>
      </w:r>
    </w:p>
    <w:p w14:paraId="5C70EBC0" w14:textId="77777777" w:rsidR="002E5800" w:rsidRPr="008F328C" w:rsidRDefault="000E0B7C">
      <w:pPr>
        <w:pStyle w:val="a3"/>
        <w:numPr>
          <w:ilvl w:val="1"/>
          <w:numId w:val="4"/>
        </w:numPr>
        <w:ind w:left="998" w:hanging="340"/>
        <w:rPr>
          <w:lang w:val="pl-PL"/>
        </w:rPr>
      </w:pPr>
      <w:r w:rsidRPr="008F328C">
        <w:rPr>
          <w:rFonts w:eastAsia="Times New Roman"/>
          <w:lang w:val="pl-PL"/>
        </w:rPr>
        <w:t>U pacjentów przyjmujących lek Yuflyma obserwowano przypadki raka skóry niebędącego czerniakiem.</w:t>
      </w:r>
    </w:p>
    <w:p w14:paraId="7310FB4A" w14:textId="77777777" w:rsidR="002E5800" w:rsidRPr="008F328C" w:rsidRDefault="000E0B7C">
      <w:pPr>
        <w:pStyle w:val="a3"/>
        <w:numPr>
          <w:ilvl w:val="1"/>
          <w:numId w:val="4"/>
        </w:numPr>
        <w:ind w:left="998" w:hanging="340"/>
        <w:rPr>
          <w:lang w:val="pl-PL"/>
        </w:rPr>
      </w:pPr>
      <w:r w:rsidRPr="008F328C">
        <w:rPr>
          <w:rFonts w:eastAsia="Times New Roman"/>
          <w:lang w:val="pl-PL"/>
        </w:rPr>
        <w:t>Należy poinformować lekarza, jeśli podczas leczenia lub po leczeniu pojawią się nowe zmiany skórne, lub jeśli istniejące zmiany zmienią wygląd.</w:t>
      </w:r>
    </w:p>
    <w:p w14:paraId="6D853E37" w14:textId="77777777" w:rsidR="002E5800" w:rsidRPr="008F328C" w:rsidRDefault="002E5800">
      <w:pPr>
        <w:pStyle w:val="a3"/>
        <w:rPr>
          <w:lang w:val="pl-PL"/>
        </w:rPr>
      </w:pPr>
    </w:p>
    <w:p w14:paraId="2BB0B965" w14:textId="77777777" w:rsidR="002E5800" w:rsidRPr="008F328C" w:rsidRDefault="000E0B7C">
      <w:pPr>
        <w:pStyle w:val="a3"/>
        <w:numPr>
          <w:ilvl w:val="1"/>
          <w:numId w:val="4"/>
        </w:numPr>
        <w:ind w:left="660" w:hanging="660"/>
        <w:rPr>
          <w:lang w:val="pl-PL"/>
        </w:rPr>
      </w:pPr>
      <w:r w:rsidRPr="008F328C">
        <w:rPr>
          <w:rFonts w:eastAsia="Times New Roman"/>
          <w:lang w:val="pl-PL"/>
        </w:rPr>
        <w:t>Przypadki nowotworów złośliwych, innych niż chłoniak, występowały u pacjentów ze szczególnym rodzajem choroby płuc zwanej przewlekłą obturacyjną chorobą płuc (POChP) leczonych innym lekiem blokującym TNF. Jeśli pacjent choruje na POChP lub jest nałogowym palaczem, powinien omówić z lekarzem, czy stosowanie leku blokującego TNF jest dla niego odpowiednie.</w:t>
      </w:r>
    </w:p>
    <w:p w14:paraId="35C52372" w14:textId="77777777" w:rsidR="002E5800" w:rsidRPr="008F328C" w:rsidRDefault="002E5800">
      <w:pPr>
        <w:spacing w:before="11" w:line="240" w:lineRule="exact"/>
        <w:rPr>
          <w:rFonts w:ascii="Times New Roman" w:hAnsi="Times New Roman" w:cs="Times New Roman"/>
          <w:sz w:val="24"/>
          <w:szCs w:val="24"/>
          <w:lang w:val="pl-PL"/>
        </w:rPr>
      </w:pPr>
    </w:p>
    <w:p w14:paraId="66ED9864" w14:textId="77777777" w:rsidR="002E5800" w:rsidRPr="008F328C" w:rsidRDefault="000E0B7C">
      <w:pPr>
        <w:pStyle w:val="a3"/>
        <w:rPr>
          <w:u w:val="single"/>
          <w:lang w:val="pl-PL"/>
        </w:rPr>
      </w:pPr>
      <w:r w:rsidRPr="008F328C">
        <w:rPr>
          <w:rFonts w:eastAsia="Times New Roman"/>
          <w:u w:val="single" w:color="000000"/>
          <w:lang w:val="pl-PL"/>
        </w:rPr>
        <w:t>Choroby autoimmunizacyjne</w:t>
      </w:r>
    </w:p>
    <w:p w14:paraId="43FC1536" w14:textId="77777777" w:rsidR="002E5800" w:rsidRPr="008F328C" w:rsidRDefault="002E5800">
      <w:pPr>
        <w:spacing w:before="4" w:line="190" w:lineRule="exact"/>
        <w:rPr>
          <w:rFonts w:ascii="Times New Roman" w:hAnsi="Times New Roman" w:cs="Times New Roman"/>
          <w:sz w:val="19"/>
          <w:szCs w:val="19"/>
          <w:lang w:val="pl-PL"/>
        </w:rPr>
      </w:pPr>
    </w:p>
    <w:p w14:paraId="38C68D23" w14:textId="77777777" w:rsidR="002E5800" w:rsidRPr="008F328C" w:rsidRDefault="000E0B7C">
      <w:pPr>
        <w:pStyle w:val="a3"/>
        <w:numPr>
          <w:ilvl w:val="1"/>
          <w:numId w:val="4"/>
        </w:numPr>
        <w:ind w:left="660" w:hanging="660"/>
        <w:rPr>
          <w:lang w:val="pl-PL"/>
        </w:rPr>
      </w:pPr>
      <w:r w:rsidRPr="008F328C">
        <w:rPr>
          <w:rFonts w:eastAsia="Times New Roman"/>
          <w:lang w:val="pl-PL"/>
        </w:rPr>
        <w:t>W rzadkich przypadkach, leczenie lekiem Yuflyma może powodować zespół toczniopodobny. Należy skontaktować się z lekarzem jeśli wystąpią takie objawy, jak uporczywa niewyjaśniona wysypka, gorączka, bóle stawów lub zmęczenie.</w:t>
      </w:r>
    </w:p>
    <w:p w14:paraId="34214D5C" w14:textId="77777777" w:rsidR="002E5800" w:rsidRPr="008F328C" w:rsidRDefault="002E5800">
      <w:pPr>
        <w:spacing w:before="15" w:line="240" w:lineRule="exact"/>
        <w:rPr>
          <w:rFonts w:ascii="Times New Roman" w:hAnsi="Times New Roman" w:cs="Times New Roman"/>
          <w:sz w:val="24"/>
          <w:szCs w:val="24"/>
          <w:lang w:val="pl-PL"/>
        </w:rPr>
      </w:pPr>
    </w:p>
    <w:p w14:paraId="7CA18D7F" w14:textId="77777777" w:rsidR="002E5800" w:rsidRPr="008F328C" w:rsidRDefault="000E0B7C">
      <w:pPr>
        <w:pStyle w:val="a3"/>
        <w:rPr>
          <w:u w:val="single"/>
          <w:lang w:val="pl-PL"/>
        </w:rPr>
      </w:pPr>
      <w:r w:rsidRPr="008F328C">
        <w:rPr>
          <w:rFonts w:eastAsia="Times New Roman"/>
          <w:u w:val="single"/>
          <w:lang w:val="pl-PL"/>
        </w:rPr>
        <w:t>Dzieci i młodzież</w:t>
      </w:r>
    </w:p>
    <w:p w14:paraId="5CBE417D" w14:textId="77777777" w:rsidR="002E5800" w:rsidRPr="008F328C" w:rsidRDefault="002E5800">
      <w:pPr>
        <w:spacing w:before="10" w:line="240" w:lineRule="exact"/>
        <w:rPr>
          <w:rFonts w:ascii="Times New Roman" w:hAnsi="Times New Roman" w:cs="Times New Roman"/>
          <w:sz w:val="24"/>
          <w:szCs w:val="24"/>
          <w:lang w:val="pl-PL"/>
        </w:rPr>
      </w:pPr>
    </w:p>
    <w:p w14:paraId="09E33819" w14:textId="77777777" w:rsidR="002E5800" w:rsidRPr="008F328C" w:rsidRDefault="000E0B7C">
      <w:pPr>
        <w:pStyle w:val="a3"/>
        <w:numPr>
          <w:ilvl w:val="1"/>
          <w:numId w:val="4"/>
        </w:numPr>
        <w:ind w:left="660" w:hanging="660"/>
        <w:rPr>
          <w:lang w:val="pl-PL"/>
        </w:rPr>
      </w:pPr>
      <w:r w:rsidRPr="008F328C">
        <w:rPr>
          <w:rFonts w:eastAsia="Times New Roman"/>
          <w:lang w:val="pl-PL"/>
        </w:rPr>
        <w:t>Szczepienia: Jeśli to możliwe, przed rozpoczęciem stosowania leku Yuflyma u dziecka należy przeprowadzić wszystkie szczepienia zgodnie z obowiązującym kalendarzem szczepień.</w:t>
      </w:r>
    </w:p>
    <w:p w14:paraId="6CEBC8D5" w14:textId="77777777" w:rsidR="002E5800" w:rsidRPr="008F328C" w:rsidRDefault="002E5800">
      <w:pPr>
        <w:pStyle w:val="a3"/>
        <w:numPr>
          <w:ilvl w:val="0"/>
          <w:numId w:val="0"/>
        </w:numPr>
        <w:rPr>
          <w:lang w:val="pl-PL"/>
        </w:rPr>
      </w:pPr>
    </w:p>
    <w:p w14:paraId="2C848499" w14:textId="77777777" w:rsidR="002E5800" w:rsidRPr="008F328C" w:rsidRDefault="000E0B7C">
      <w:pPr>
        <w:pStyle w:val="a3"/>
        <w:rPr>
          <w:b/>
          <w:lang w:val="pl-PL"/>
        </w:rPr>
      </w:pPr>
      <w:r w:rsidRPr="008F328C">
        <w:rPr>
          <w:rFonts w:eastAsia="Times New Roman"/>
          <w:b/>
          <w:bCs/>
          <w:lang w:val="pl-PL"/>
        </w:rPr>
        <w:t>Yuflyma a inne leki</w:t>
      </w:r>
    </w:p>
    <w:p w14:paraId="72DFA6BD" w14:textId="77777777" w:rsidR="002E5800" w:rsidRPr="008F328C" w:rsidRDefault="002E5800">
      <w:pPr>
        <w:pStyle w:val="a3"/>
        <w:rPr>
          <w:b/>
          <w:lang w:val="pl-PL"/>
        </w:rPr>
      </w:pPr>
    </w:p>
    <w:p w14:paraId="090C939B" w14:textId="77777777" w:rsidR="002E5800" w:rsidRPr="008F328C" w:rsidRDefault="000E0B7C">
      <w:pPr>
        <w:pStyle w:val="a3"/>
        <w:rPr>
          <w:lang w:val="pl-PL"/>
        </w:rPr>
      </w:pPr>
      <w:r w:rsidRPr="008F328C">
        <w:rPr>
          <w:rFonts w:eastAsia="Times New Roman"/>
          <w:lang w:val="pl-PL"/>
        </w:rPr>
        <w:t>Należy powiedzieć lekarzowi lub farmaceucie o wszystkich lekach przyjmowanych przez pacjenta obecnie lub ostatnio, a także o lekach, które pacjent planuje przyjmować. Nie należy stosować leku Yuflyma z lekami zawierającymi substancje czynne wymienione poniżej, ponieważ zwiększają ryzyko wystąpienia poważnych zakażeń:</w:t>
      </w:r>
    </w:p>
    <w:p w14:paraId="428746FF" w14:textId="77777777" w:rsidR="002E5800" w:rsidRPr="008F328C" w:rsidRDefault="002E5800">
      <w:pPr>
        <w:pStyle w:val="a3"/>
        <w:rPr>
          <w:lang w:val="pl-PL"/>
        </w:rPr>
      </w:pPr>
    </w:p>
    <w:p w14:paraId="5ABB8C7C" w14:textId="77777777" w:rsidR="002E5800" w:rsidRPr="008F328C" w:rsidRDefault="000E0B7C">
      <w:pPr>
        <w:pStyle w:val="a3"/>
        <w:numPr>
          <w:ilvl w:val="1"/>
          <w:numId w:val="4"/>
        </w:numPr>
        <w:ind w:left="660" w:hanging="660"/>
        <w:rPr>
          <w:lang w:val="pl-PL"/>
        </w:rPr>
      </w:pPr>
      <w:r w:rsidRPr="008F328C">
        <w:rPr>
          <w:rFonts w:eastAsia="Times New Roman"/>
          <w:lang w:val="pl-PL"/>
        </w:rPr>
        <w:t>anakinra</w:t>
      </w:r>
    </w:p>
    <w:p w14:paraId="680967CE" w14:textId="77777777" w:rsidR="002E5800" w:rsidRPr="008F328C" w:rsidRDefault="000E0B7C">
      <w:pPr>
        <w:pStyle w:val="a3"/>
        <w:numPr>
          <w:ilvl w:val="1"/>
          <w:numId w:val="4"/>
        </w:numPr>
        <w:ind w:left="660" w:hanging="660"/>
        <w:rPr>
          <w:lang w:val="pl-PL"/>
        </w:rPr>
      </w:pPr>
      <w:r w:rsidRPr="008F328C">
        <w:rPr>
          <w:rFonts w:eastAsia="Times New Roman"/>
          <w:lang w:val="pl-PL"/>
        </w:rPr>
        <w:t>abatacept.</w:t>
      </w:r>
    </w:p>
    <w:p w14:paraId="4BE04637" w14:textId="77777777" w:rsidR="002E5800" w:rsidRPr="008F328C" w:rsidRDefault="002E5800">
      <w:pPr>
        <w:pStyle w:val="a3"/>
        <w:rPr>
          <w:lang w:val="pl-PL"/>
        </w:rPr>
      </w:pPr>
    </w:p>
    <w:p w14:paraId="75F299E6" w14:textId="77777777" w:rsidR="002E5800" w:rsidRPr="008F328C" w:rsidRDefault="000E0B7C">
      <w:pPr>
        <w:pStyle w:val="a3"/>
        <w:rPr>
          <w:lang w:val="pl-PL"/>
        </w:rPr>
      </w:pPr>
      <w:r w:rsidRPr="008F328C">
        <w:rPr>
          <w:rFonts w:eastAsia="Times New Roman"/>
          <w:lang w:val="pl-PL"/>
        </w:rPr>
        <w:t>Lek Yuflyma można przyjmować łącznie z:</w:t>
      </w:r>
    </w:p>
    <w:p w14:paraId="7706F84C" w14:textId="77777777" w:rsidR="002E5800" w:rsidRPr="008F328C" w:rsidRDefault="000E0B7C">
      <w:pPr>
        <w:pStyle w:val="a3"/>
        <w:numPr>
          <w:ilvl w:val="1"/>
          <w:numId w:val="4"/>
        </w:numPr>
        <w:ind w:left="660" w:hanging="660"/>
        <w:rPr>
          <w:lang w:val="pl-PL"/>
        </w:rPr>
      </w:pPr>
      <w:r w:rsidRPr="008F328C">
        <w:rPr>
          <w:rFonts w:eastAsia="Times New Roman"/>
          <w:lang w:val="pl-PL"/>
        </w:rPr>
        <w:t>metotreksatem</w:t>
      </w:r>
    </w:p>
    <w:p w14:paraId="6170839A" w14:textId="77777777" w:rsidR="002E5800" w:rsidRPr="008F328C" w:rsidRDefault="000E0B7C">
      <w:pPr>
        <w:pStyle w:val="a3"/>
        <w:numPr>
          <w:ilvl w:val="1"/>
          <w:numId w:val="4"/>
        </w:numPr>
        <w:ind w:left="660" w:hanging="660"/>
        <w:rPr>
          <w:lang w:val="pl-PL"/>
        </w:rPr>
      </w:pPr>
      <w:r w:rsidRPr="008F328C">
        <w:rPr>
          <w:rFonts w:eastAsia="Times New Roman"/>
          <w:lang w:val="pl-PL"/>
        </w:rPr>
        <w:t>niektórymi innymi lekami modyfikującymi przebieg choroby (na przykład sulfasalazyna, hydroksychlorochina, leflunomid lub preparaty złota do wstrzykiwań)</w:t>
      </w:r>
    </w:p>
    <w:p w14:paraId="34759EDC" w14:textId="77777777" w:rsidR="002E5800" w:rsidRPr="008F328C" w:rsidRDefault="000E0B7C">
      <w:pPr>
        <w:pStyle w:val="a3"/>
        <w:numPr>
          <w:ilvl w:val="1"/>
          <w:numId w:val="4"/>
        </w:numPr>
        <w:ind w:left="660" w:hanging="660"/>
        <w:rPr>
          <w:lang w:val="pl-PL"/>
        </w:rPr>
      </w:pPr>
      <w:r w:rsidRPr="008F328C">
        <w:rPr>
          <w:rFonts w:eastAsia="Times New Roman"/>
          <w:lang w:val="pl-PL"/>
        </w:rPr>
        <w:t>steroidami lub lekami przeciwbólowymi, w tym z niesteroidowymi lekami przeciwzapalnymi (NLPZ).</w:t>
      </w:r>
    </w:p>
    <w:p w14:paraId="1F5C37B0" w14:textId="77777777" w:rsidR="002E5800" w:rsidRPr="008F328C" w:rsidRDefault="002E5800">
      <w:pPr>
        <w:pStyle w:val="a3"/>
        <w:rPr>
          <w:lang w:val="pl-PL"/>
        </w:rPr>
      </w:pPr>
    </w:p>
    <w:p w14:paraId="2FD125A4" w14:textId="77777777" w:rsidR="002E5800" w:rsidRPr="008F328C" w:rsidRDefault="000E0B7C">
      <w:pPr>
        <w:pStyle w:val="a3"/>
        <w:rPr>
          <w:lang w:val="pl-PL"/>
        </w:rPr>
      </w:pPr>
      <w:r w:rsidRPr="008F328C">
        <w:rPr>
          <w:rFonts w:eastAsia="Times New Roman"/>
          <w:lang w:val="pl-PL"/>
        </w:rPr>
        <w:t>W razie wątpliwości należy zapytać lekarza.</w:t>
      </w:r>
    </w:p>
    <w:p w14:paraId="059DE218" w14:textId="77777777" w:rsidR="002E5800" w:rsidRPr="008F328C" w:rsidRDefault="002E5800">
      <w:pPr>
        <w:spacing w:before="18" w:line="240" w:lineRule="exact"/>
        <w:rPr>
          <w:rFonts w:ascii="Times New Roman" w:hAnsi="Times New Roman" w:cs="Times New Roman"/>
          <w:sz w:val="24"/>
          <w:szCs w:val="24"/>
          <w:lang w:val="pl-PL"/>
        </w:rPr>
      </w:pPr>
    </w:p>
    <w:p w14:paraId="14F75A35" w14:textId="77777777" w:rsidR="002E5800" w:rsidRPr="008F328C" w:rsidRDefault="000E0B7C">
      <w:pPr>
        <w:pStyle w:val="a3"/>
        <w:rPr>
          <w:b/>
          <w:lang w:val="pl-PL"/>
        </w:rPr>
      </w:pPr>
      <w:r w:rsidRPr="008F328C">
        <w:rPr>
          <w:rFonts w:eastAsia="Times New Roman"/>
          <w:b/>
          <w:bCs/>
          <w:lang w:val="pl-PL"/>
        </w:rPr>
        <w:t>Ciąża i karmienie piersią</w:t>
      </w:r>
    </w:p>
    <w:p w14:paraId="704C7287" w14:textId="77777777" w:rsidR="002E5800" w:rsidRPr="008F328C" w:rsidRDefault="002E5800">
      <w:pPr>
        <w:spacing w:before="9" w:line="260" w:lineRule="exact"/>
        <w:rPr>
          <w:rFonts w:ascii="Times New Roman" w:hAnsi="Times New Roman" w:cs="Times New Roman"/>
          <w:sz w:val="26"/>
          <w:szCs w:val="26"/>
          <w:lang w:val="pl-PL"/>
        </w:rPr>
      </w:pPr>
    </w:p>
    <w:p w14:paraId="3FD285A0" w14:textId="77777777" w:rsidR="002E5800" w:rsidRPr="008F328C" w:rsidRDefault="000E0B7C">
      <w:pPr>
        <w:pStyle w:val="a3"/>
        <w:numPr>
          <w:ilvl w:val="1"/>
          <w:numId w:val="4"/>
        </w:numPr>
        <w:ind w:left="660" w:hanging="660"/>
        <w:rPr>
          <w:lang w:val="pl-PL"/>
        </w:rPr>
      </w:pPr>
      <w:r w:rsidRPr="008F328C">
        <w:rPr>
          <w:rFonts w:eastAsia="Times New Roman"/>
          <w:lang w:val="pl-PL"/>
        </w:rPr>
        <w:t>Pacjentki powinny rozważyć stosowanie odpowiedniej metody zapobiegania ciąży i jej kontynuowanie przez co najmniej 5 miesięcy po przyjęciu ostatniej dawki leku Yuflyma.</w:t>
      </w:r>
    </w:p>
    <w:p w14:paraId="0A5D2A36"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pacjentka jest w ciąży, przypuszcza że może być w ciąży lub gdy planuje mieć dziecko, powinna poradzić się lekarza przed zastosowaniem tego leku.</w:t>
      </w:r>
    </w:p>
    <w:p w14:paraId="3329205A" w14:textId="77777777" w:rsidR="002E5800" w:rsidRPr="008F328C" w:rsidRDefault="000E0B7C">
      <w:pPr>
        <w:pStyle w:val="a3"/>
        <w:numPr>
          <w:ilvl w:val="1"/>
          <w:numId w:val="4"/>
        </w:numPr>
        <w:ind w:left="660" w:hanging="660"/>
        <w:rPr>
          <w:lang w:val="pl-PL"/>
        </w:rPr>
      </w:pPr>
      <w:r w:rsidRPr="008F328C">
        <w:rPr>
          <w:rFonts w:eastAsia="Times New Roman"/>
          <w:lang w:val="pl-PL"/>
        </w:rPr>
        <w:t>Lek Yuflyma należy stosować w czasie ciąży, tylko jeśli jest to bezwzględnie konieczne.</w:t>
      </w:r>
    </w:p>
    <w:p w14:paraId="4BCAE227" w14:textId="77777777" w:rsidR="002E5800" w:rsidRPr="008F328C" w:rsidRDefault="000E0B7C">
      <w:pPr>
        <w:pStyle w:val="a3"/>
        <w:numPr>
          <w:ilvl w:val="1"/>
          <w:numId w:val="4"/>
        </w:numPr>
        <w:ind w:left="660" w:hanging="660"/>
        <w:rPr>
          <w:lang w:val="pl-PL"/>
        </w:rPr>
      </w:pPr>
      <w:r w:rsidRPr="008F328C">
        <w:rPr>
          <w:rFonts w:eastAsia="Times New Roman"/>
          <w:lang w:val="pl-PL"/>
        </w:rPr>
        <w:t>Zgodnie z badaniami dotyczącymi ciąży, nie występowało wyższe ryzyko wad rozwojowych, kiedy matka przyjmowała lek Yuflyma w okresie ciąży, w porównaniu do matek chorujących na tą samą chorobę, które nie otrzymywały leku Yuflyma.</w:t>
      </w:r>
    </w:p>
    <w:p w14:paraId="4152DA9E" w14:textId="77777777" w:rsidR="002E5800" w:rsidRPr="008F328C" w:rsidRDefault="000E0B7C">
      <w:pPr>
        <w:pStyle w:val="a3"/>
        <w:numPr>
          <w:ilvl w:val="1"/>
          <w:numId w:val="4"/>
        </w:numPr>
        <w:ind w:left="660" w:hanging="660"/>
        <w:rPr>
          <w:lang w:val="pl-PL"/>
        </w:rPr>
      </w:pPr>
      <w:r w:rsidRPr="008F328C">
        <w:rPr>
          <w:rFonts w:eastAsia="Times New Roman"/>
          <w:lang w:val="pl-PL"/>
        </w:rPr>
        <w:t>Lek Yuflyma może być stosowany podczas karmienia piersią.</w:t>
      </w:r>
    </w:p>
    <w:p w14:paraId="2299C12F"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pacjentka otrzymywała lek Yuflyma w okresie ciąży, u dziecka może występować zwiększone ryzyko zakażenia.</w:t>
      </w:r>
    </w:p>
    <w:p w14:paraId="7F94DD1F" w14:textId="77777777" w:rsidR="002E5800" w:rsidRPr="008F328C" w:rsidRDefault="000E0B7C">
      <w:pPr>
        <w:pStyle w:val="a3"/>
        <w:numPr>
          <w:ilvl w:val="1"/>
          <w:numId w:val="4"/>
        </w:numPr>
        <w:ind w:left="660" w:hanging="660"/>
        <w:rPr>
          <w:lang w:val="pl-PL"/>
        </w:rPr>
      </w:pPr>
      <w:r w:rsidRPr="008F328C">
        <w:rPr>
          <w:rFonts w:eastAsia="Times New Roman"/>
          <w:lang w:val="pl-PL"/>
        </w:rPr>
        <w:t>Należy koniecznie poinformować lekarzy dziecka i innych pracowników opieki zdrowotnej o przyjmowaniu leku Yuflyma w okresie ciąży, zanim dziecko otrzyma jakąkolwiek szczepionkę. Więcej informacji o szczepionkach, patrz punkt „Ostrzeżenia i środki ostrożności”.</w:t>
      </w:r>
    </w:p>
    <w:p w14:paraId="0CF3DF2F" w14:textId="77777777" w:rsidR="002E5800" w:rsidRPr="008F328C" w:rsidRDefault="002E5800">
      <w:pPr>
        <w:spacing w:before="15" w:line="240" w:lineRule="exact"/>
        <w:rPr>
          <w:rFonts w:ascii="Times New Roman" w:hAnsi="Times New Roman" w:cs="Times New Roman"/>
          <w:b/>
          <w:sz w:val="24"/>
          <w:szCs w:val="24"/>
          <w:lang w:val="pl-PL"/>
        </w:rPr>
      </w:pPr>
    </w:p>
    <w:p w14:paraId="02C5B75D" w14:textId="77777777" w:rsidR="002E5800" w:rsidRPr="008F328C" w:rsidRDefault="000E0B7C">
      <w:pPr>
        <w:pStyle w:val="a3"/>
        <w:rPr>
          <w:b/>
          <w:lang w:val="pl-PL"/>
        </w:rPr>
      </w:pPr>
      <w:r w:rsidRPr="008F328C">
        <w:rPr>
          <w:rFonts w:eastAsia="Times New Roman"/>
          <w:b/>
          <w:bCs/>
          <w:lang w:val="pl-PL"/>
        </w:rPr>
        <w:t>Prowadzenie pojazdów i obsługiwanie maszyn</w:t>
      </w:r>
    </w:p>
    <w:p w14:paraId="7618217B" w14:textId="77777777" w:rsidR="002E5800" w:rsidRPr="008F328C" w:rsidRDefault="002E5800">
      <w:pPr>
        <w:spacing w:before="12" w:line="240" w:lineRule="exact"/>
        <w:rPr>
          <w:rFonts w:ascii="Times New Roman" w:hAnsi="Times New Roman" w:cs="Times New Roman"/>
          <w:sz w:val="24"/>
          <w:szCs w:val="24"/>
          <w:lang w:val="pl-PL"/>
        </w:rPr>
      </w:pPr>
    </w:p>
    <w:p w14:paraId="16C95C75" w14:textId="77777777" w:rsidR="002E5800" w:rsidRPr="008F328C" w:rsidRDefault="000E0B7C">
      <w:pPr>
        <w:pStyle w:val="a3"/>
        <w:rPr>
          <w:lang w:val="pl-PL"/>
        </w:rPr>
      </w:pPr>
      <w:r w:rsidRPr="008F328C">
        <w:rPr>
          <w:rFonts w:eastAsia="Times New Roman"/>
          <w:lang w:val="pl-PL"/>
        </w:rPr>
        <w:t>Lek Yuflyma może mieć niewielki wpływ na zdolność prowadzenia pojazdów, jazdę na rowerze i obsługę maszyn. Po przyjęciu leku Yuflyma wystąpić może wrażenie wirowania pomieszczenia i zaburzenia widzenia.</w:t>
      </w:r>
    </w:p>
    <w:p w14:paraId="45ECA6C8" w14:textId="77777777" w:rsidR="002E5800" w:rsidRPr="008F328C" w:rsidRDefault="002E5800">
      <w:pPr>
        <w:pStyle w:val="a3"/>
        <w:rPr>
          <w:lang w:val="pl-PL"/>
        </w:rPr>
      </w:pPr>
    </w:p>
    <w:p w14:paraId="22C71BED" w14:textId="4660D86A" w:rsidR="002E5800" w:rsidRPr="008F328C" w:rsidRDefault="004B620B">
      <w:pPr>
        <w:pStyle w:val="a3"/>
        <w:rPr>
          <w:b/>
          <w:lang w:val="pl-PL"/>
        </w:rPr>
      </w:pPr>
      <w:r>
        <w:rPr>
          <w:rFonts w:hint="eastAsia"/>
          <w:b/>
          <w:bCs/>
          <w:lang w:val="pl-PL" w:eastAsia="ko-KR"/>
        </w:rPr>
        <w:t>Yuflyma</w:t>
      </w:r>
      <w:r w:rsidR="000E0B7C" w:rsidRPr="008F328C">
        <w:rPr>
          <w:rFonts w:eastAsia="Times New Roman"/>
          <w:b/>
          <w:bCs/>
          <w:lang w:val="pl-PL"/>
        </w:rPr>
        <w:t xml:space="preserve"> zawiera sód</w:t>
      </w:r>
    </w:p>
    <w:p w14:paraId="4B8721B2" w14:textId="77777777" w:rsidR="002E5800" w:rsidRPr="008F328C" w:rsidRDefault="002E5800">
      <w:pPr>
        <w:spacing w:before="12" w:line="240" w:lineRule="exact"/>
        <w:rPr>
          <w:rFonts w:ascii="Times New Roman" w:hAnsi="Times New Roman" w:cs="Times New Roman"/>
          <w:sz w:val="24"/>
          <w:szCs w:val="24"/>
          <w:lang w:val="pl-PL"/>
        </w:rPr>
      </w:pPr>
    </w:p>
    <w:p w14:paraId="1A249843" w14:textId="77777777" w:rsidR="002E5800" w:rsidRPr="008F328C" w:rsidRDefault="000E0B7C">
      <w:pPr>
        <w:spacing w:line="200" w:lineRule="exact"/>
        <w:rPr>
          <w:rFonts w:ascii="Times New Roman" w:hAnsi="Times New Roman" w:cs="Times New Roman"/>
          <w:sz w:val="20"/>
          <w:szCs w:val="20"/>
          <w:lang w:val="pl-PL"/>
        </w:rPr>
      </w:pPr>
      <w:r w:rsidRPr="008F328C">
        <w:rPr>
          <w:rFonts w:ascii="Times New Roman" w:eastAsia="Times New Roman" w:hAnsi="Times New Roman" w:cs="Times New Roman"/>
          <w:lang w:val="pl-PL"/>
        </w:rPr>
        <w:t>Lek zawiera mniej niż 1 mmol (23</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mg) sodu na dawkę 0,4</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ml, to znaczy lek uznaje się za „wolny od sodu”.</w:t>
      </w:r>
    </w:p>
    <w:p w14:paraId="46059DDF" w14:textId="2357FA66" w:rsidR="002E5800" w:rsidRPr="008F328C" w:rsidRDefault="002E5800">
      <w:pPr>
        <w:spacing w:line="200" w:lineRule="exact"/>
        <w:rPr>
          <w:rFonts w:ascii="Times New Roman" w:hAnsi="Times New Roman" w:cs="Times New Roman"/>
          <w:sz w:val="20"/>
          <w:szCs w:val="20"/>
          <w:lang w:val="pl-PL"/>
        </w:rPr>
      </w:pPr>
    </w:p>
    <w:p w14:paraId="012DE670" w14:textId="77777777" w:rsidR="00CC4159" w:rsidRPr="008F328C" w:rsidRDefault="00CC4159">
      <w:pPr>
        <w:spacing w:line="200" w:lineRule="exact"/>
        <w:rPr>
          <w:rFonts w:ascii="Times New Roman" w:hAnsi="Times New Roman" w:cs="Times New Roman"/>
          <w:sz w:val="20"/>
          <w:szCs w:val="20"/>
          <w:lang w:val="pl-PL"/>
        </w:rPr>
      </w:pPr>
    </w:p>
    <w:p w14:paraId="60865D49" w14:textId="77777777" w:rsidR="002E5800" w:rsidRPr="008F328C" w:rsidRDefault="000E0B7C">
      <w:pPr>
        <w:pStyle w:val="a4"/>
        <w:numPr>
          <w:ilvl w:val="0"/>
          <w:numId w:val="33"/>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Jak stosować lek Yuflyma</w:t>
      </w:r>
    </w:p>
    <w:p w14:paraId="1DB59B3A" w14:textId="77777777" w:rsidR="002E5800" w:rsidRPr="008F328C" w:rsidRDefault="002E5800">
      <w:pPr>
        <w:spacing w:before="9" w:line="240" w:lineRule="exact"/>
        <w:rPr>
          <w:rFonts w:ascii="Times New Roman" w:hAnsi="Times New Roman" w:cs="Times New Roman"/>
          <w:sz w:val="24"/>
          <w:szCs w:val="24"/>
          <w:lang w:val="pl-PL"/>
        </w:rPr>
      </w:pPr>
    </w:p>
    <w:p w14:paraId="5B10D483" w14:textId="77777777" w:rsidR="002E5800" w:rsidRPr="008F328C" w:rsidRDefault="000E0B7C">
      <w:pPr>
        <w:pStyle w:val="a3"/>
        <w:rPr>
          <w:lang w:val="pl-PL"/>
        </w:rPr>
      </w:pPr>
      <w:r w:rsidRPr="008F328C">
        <w:rPr>
          <w:rFonts w:eastAsia="Times New Roman"/>
          <w:lang w:val="pl-PL"/>
        </w:rPr>
        <w:t>Ten lek należy zawsze przyjmować zgodnie z zaleceniami lekarza lub farmaceuty. W razie wątpliwości należy zwrócić się do lekarza lub farmaceuty.</w:t>
      </w:r>
    </w:p>
    <w:p w14:paraId="2FB59AA1" w14:textId="77777777" w:rsidR="002E5800" w:rsidRPr="008F328C" w:rsidRDefault="002E5800">
      <w:pPr>
        <w:spacing w:before="10" w:line="240" w:lineRule="exact"/>
        <w:rPr>
          <w:rFonts w:ascii="Times New Roman" w:hAnsi="Times New Roman" w:cs="Times New Roman"/>
          <w:sz w:val="24"/>
          <w:szCs w:val="24"/>
          <w:lang w:val="pl-PL"/>
        </w:rPr>
      </w:pPr>
    </w:p>
    <w:p w14:paraId="64F9E1B0" w14:textId="19CC7F60" w:rsidR="002E5800" w:rsidRPr="008F328C" w:rsidRDefault="00B2198A">
      <w:pPr>
        <w:pStyle w:val="a3"/>
        <w:rPr>
          <w:rFonts w:eastAsia="Times New Roman"/>
          <w:lang w:val="pl-PL"/>
        </w:rPr>
      </w:pPr>
      <w:r w:rsidRPr="00D97EE5">
        <w:rPr>
          <w:lang w:val="pl-PL"/>
        </w:rPr>
        <w:t xml:space="preserve">Zalecane dawki leku </w:t>
      </w:r>
      <w:r w:rsidR="00407CE8">
        <w:rPr>
          <w:lang w:val="pl-PL"/>
        </w:rPr>
        <w:t>Yuflyma</w:t>
      </w:r>
      <w:r w:rsidRPr="00D97EE5">
        <w:rPr>
          <w:lang w:val="pl-PL"/>
        </w:rPr>
        <w:t xml:space="preserve"> w każdym z zarejestrowanych wskazań przedstawiono w tabeli poniżej. Lekarz może przepisać inną dawkę leku </w:t>
      </w:r>
      <w:r w:rsidR="00407CE8">
        <w:rPr>
          <w:lang w:val="pl-PL"/>
        </w:rPr>
        <w:t>Yuflyma</w:t>
      </w:r>
      <w:r w:rsidRPr="00D97EE5">
        <w:rPr>
          <w:lang w:val="pl-PL"/>
        </w:rPr>
        <w:t xml:space="preserve">, jeśli inna dawka leku będzie </w:t>
      </w:r>
      <w:r w:rsidR="006D7011">
        <w:rPr>
          <w:lang w:val="pl-PL"/>
        </w:rPr>
        <w:t>konieczna</w:t>
      </w:r>
      <w:r w:rsidRPr="00D97EE5">
        <w:rPr>
          <w:lang w:val="pl-PL"/>
        </w:rPr>
        <w:t>.</w:t>
      </w:r>
    </w:p>
    <w:p w14:paraId="220B733D" w14:textId="77777777" w:rsidR="006E749C" w:rsidRPr="008F328C" w:rsidRDefault="006E749C">
      <w:pPr>
        <w:pStyle w:val="a3"/>
        <w:rPr>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2EAE11E0"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7497FC72" w14:textId="77777777" w:rsidR="002E5800" w:rsidRPr="008F328C" w:rsidRDefault="000E0B7C">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Reumatoidalne zapalenie stawów, łuszczycowe zapalenie stawów, zesztywniające zapalenie stawów kręgosłupa lub osiowa spondyloartropatia</w:t>
            </w:r>
          </w:p>
          <w:p w14:paraId="05BC9508"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bez zmian radiograficznych charakterystycznych dla zesztywniającego zapalenia stawów kręgosłupa</w:t>
            </w:r>
          </w:p>
        </w:tc>
      </w:tr>
      <w:tr w:rsidR="002E5800" w:rsidRPr="008F328C" w14:paraId="606D59A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6F07A2A"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28B9B8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30D9CCE7"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2E968B5E"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7B36D81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E147670"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521097AE"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663F216" w14:textId="188362A0"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reumatoidalnym zapaleniu stawów</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podczas stosowania leku Yuflyma nadal podaje się metotreksat. Jeśli lekarz stwierdzi, że stosowanie metotreksatu jest niewskazane, można podawać sam lek Yuflyma.</w:t>
            </w:r>
          </w:p>
          <w:p w14:paraId="134B04E5" w14:textId="77777777" w:rsidR="002E5800" w:rsidRPr="008F328C" w:rsidRDefault="002E5800">
            <w:pPr>
              <w:pStyle w:val="TableParagraph"/>
              <w:spacing w:before="13" w:line="240" w:lineRule="exact"/>
              <w:rPr>
                <w:rFonts w:ascii="Times New Roman" w:hAnsi="Times New Roman" w:cs="Times New Roman"/>
                <w:sz w:val="24"/>
                <w:szCs w:val="24"/>
                <w:lang w:val="pl-PL"/>
              </w:rPr>
            </w:pPr>
          </w:p>
          <w:p w14:paraId="400782EF" w14:textId="77777777" w:rsidR="002E5800" w:rsidRPr="008F328C" w:rsidRDefault="000E0B7C">
            <w:pPr>
              <w:pStyle w:val="TableParagraph"/>
              <w:ind w:left="102" w:right="12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pacjent z reumatoidalnym zapaleniem stawów nie stosuje metotreksatu z lekiem Yuflyma, </w:t>
            </w:r>
            <w:r w:rsidRPr="008F328C">
              <w:rPr>
                <w:rFonts w:ascii="Times New Roman" w:eastAsia="Times New Roman" w:hAnsi="Times New Roman" w:cs="Times New Roman"/>
                <w:spacing w:val="-1"/>
                <w:lang w:val="pl-PL"/>
              </w:rPr>
              <w:lastRenderedPageBreak/>
              <w:t>lekarz może zalecić podawanie leku Yuflyma 40 mg co tydzień lub 80 mg co drugi tydzień.</w:t>
            </w:r>
          </w:p>
        </w:tc>
      </w:tr>
    </w:tbl>
    <w:p w14:paraId="020C3529" w14:textId="77777777" w:rsidR="002E5800" w:rsidRPr="008F328C" w:rsidRDefault="002E5800">
      <w:pPr>
        <w:spacing w:before="12"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66F3A099"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29601ADF" w14:textId="77777777" w:rsidR="002E5800" w:rsidRPr="008F328C" w:rsidRDefault="000E0B7C">
            <w:pPr>
              <w:pStyle w:val="TableParagraph"/>
              <w:spacing w:line="25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Wielostawowe młodzieńcze idiopatyczne zapalenie stawów</w:t>
            </w:r>
          </w:p>
        </w:tc>
      </w:tr>
      <w:tr w:rsidR="002E5800" w:rsidRPr="008F328C" w14:paraId="3DAEFBE5"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B64F848"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5B95AECE"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18600E13"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38089E55"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8F328C" w14:paraId="372AFF29"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D0251EF"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p>
          <w:p w14:paraId="5D0E448B" w14:textId="77777777" w:rsidR="002E5800" w:rsidRPr="008F328C" w:rsidRDefault="000E0B7C">
            <w:pPr>
              <w:pStyle w:val="TableParagraph"/>
              <w:spacing w:before="5"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wieku od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0768791E"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4DFB2799"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48E56689"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F337E48" w14:textId="07370255"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Dzieci i młodzież w wieku od 2 lat o masie ciała 10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25808712" w14:textId="42B6B331"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8F328C">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4ECA7B34" w14:textId="2345C581"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078B94ED"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07199A2F"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10DCF116" w14:textId="77777777" w:rsidR="002E5800" w:rsidRPr="00B2198A" w:rsidRDefault="000E0B7C">
            <w:pPr>
              <w:pStyle w:val="TableParagraph"/>
              <w:spacing w:line="252"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Zapalenie stawów z towarzyszącym zapaleniem przyczepów ścięgnistych</w:t>
            </w:r>
          </w:p>
        </w:tc>
      </w:tr>
      <w:tr w:rsidR="002E5800" w:rsidRPr="008F328C" w14:paraId="65D4F3FA"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C3CB198"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F762116"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31E00F0D"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7BAE3931"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8F328C" w14:paraId="420C276B"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5A09C4E"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p>
          <w:p w14:paraId="6D99380C" w14:textId="77777777" w:rsidR="002E5800" w:rsidRPr="008F328C" w:rsidRDefault="000E0B7C">
            <w:pPr>
              <w:pStyle w:val="TableParagraph"/>
              <w:spacing w:before="5"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wieku od 6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2A080ACA"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192A68D"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26039F6E"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71BB343" w14:textId="1CC30E49"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Dzieci i młodzież w wieku od 6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2CB906FB" w14:textId="6E896A46"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8F328C">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514D8567" w14:textId="107E2860"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6751168D"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68D67DDE"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2CDB0188"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Łuszczyca zwyczajna (plackowata)</w:t>
            </w:r>
          </w:p>
        </w:tc>
      </w:tr>
      <w:tr w:rsidR="002E5800" w:rsidRPr="008F328C" w14:paraId="710B2C55"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07A7A816"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45E7FFD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704E2574"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00FFD140"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67441C4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4B0BFE6"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01A7AF80" w14:textId="28C522A3"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tej samej doby), a następnie po upływie jednego tygodnia od podania pierwszej dawki,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5B47A9A6" w14:textId="2DCE9D3C"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jest niewystarczająca, lekarz może zwiększyć dawkowanie do 40 mg co tydzień lub 80 mg co drugi tydzień.</w:t>
            </w:r>
          </w:p>
        </w:tc>
      </w:tr>
      <w:tr w:rsidR="002E5800" w:rsidRPr="008F328C" w14:paraId="67E22A24"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AFCF521"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 4</w:t>
            </w:r>
          </w:p>
          <w:p w14:paraId="1554D513" w14:textId="77777777" w:rsidR="002E5800" w:rsidRPr="008F328C" w:rsidRDefault="000E0B7C">
            <w:pPr>
              <w:pStyle w:val="TableParagraph"/>
              <w:spacing w:before="1" w:line="254" w:lineRule="exact"/>
              <w:ind w:left="102" w:right="5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 17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1654100C" w14:textId="77777777" w:rsidR="00B2198A" w:rsidRDefault="000E0B7C" w:rsidP="00404101">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40 mg, a następnie</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 upływie jednego tygodnia dawka 40 mg.</w:t>
            </w:r>
          </w:p>
          <w:p w14:paraId="046E01BB" w14:textId="77777777" w:rsidR="00B2198A" w:rsidRDefault="00B2198A" w:rsidP="00404101">
            <w:pPr>
              <w:pStyle w:val="TableParagraph"/>
              <w:spacing w:line="246" w:lineRule="exact"/>
              <w:ind w:left="102" w:right="57"/>
              <w:rPr>
                <w:rFonts w:ascii="Times New Roman" w:eastAsia="Times New Roman" w:hAnsi="Times New Roman" w:cs="Times New Roman"/>
                <w:spacing w:val="-1"/>
                <w:lang w:val="pl-PL"/>
              </w:rPr>
            </w:pPr>
          </w:p>
          <w:p w14:paraId="66983E3C" w14:textId="57349D4C"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Następnie zwykle stosowana dawka wynosi 40</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mg co drugi tydzień</w:t>
            </w:r>
          </w:p>
        </w:tc>
        <w:tc>
          <w:tcPr>
            <w:tcW w:w="3096" w:type="dxa"/>
            <w:tcBorders>
              <w:top w:val="single" w:sz="5" w:space="0" w:color="000000"/>
              <w:left w:val="single" w:sz="5" w:space="0" w:color="000000"/>
              <w:bottom w:val="single" w:sz="5" w:space="0" w:color="000000"/>
              <w:right w:val="single" w:sz="5" w:space="0" w:color="000000"/>
            </w:tcBorders>
          </w:tcPr>
          <w:p w14:paraId="79986EDE"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06E8559F"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1D5B13A" w14:textId="2868164E"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Dzieci i młodzież w wieku od 4 do 17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1A8E076F" w14:textId="77777777" w:rsidR="00B2198A"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Pierwsza dawka 20 mg, a następnie po upływi</w:t>
            </w:r>
            <w:r>
              <w:rPr>
                <w:rFonts w:ascii="Times New Roman" w:eastAsia="Times New Roman" w:hAnsi="Times New Roman" w:cs="Times New Roman"/>
                <w:spacing w:val="-1"/>
                <w:lang w:val="pl-PL"/>
              </w:rPr>
              <w:t>e jednego tygodnia dawka 20 mg.</w:t>
            </w:r>
          </w:p>
          <w:p w14:paraId="270C4DD0" w14:textId="77777777" w:rsidR="00B2198A" w:rsidRDefault="00B2198A" w:rsidP="00B2198A">
            <w:pPr>
              <w:pStyle w:val="TableParagraph"/>
              <w:spacing w:line="246" w:lineRule="exact"/>
              <w:ind w:left="102" w:right="57"/>
              <w:rPr>
                <w:rFonts w:ascii="Times New Roman" w:eastAsia="Times New Roman" w:hAnsi="Times New Roman" w:cs="Times New Roman"/>
                <w:spacing w:val="-1"/>
                <w:lang w:val="pl-PL"/>
              </w:rPr>
            </w:pPr>
          </w:p>
          <w:p w14:paraId="6DFCC7A6" w14:textId="12677BFD"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5841362" w14:textId="75C838B3"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6A778BB4" w14:textId="77777777" w:rsidR="002E5800" w:rsidRPr="008F328C" w:rsidRDefault="002E5800">
      <w:pPr>
        <w:spacing w:before="7" w:line="90" w:lineRule="exact"/>
        <w:rPr>
          <w:rFonts w:ascii="Times New Roman" w:hAnsi="Times New Roman" w:cs="Times New Roman"/>
          <w:sz w:val="9"/>
          <w:szCs w:val="9"/>
          <w:lang w:val="pl-PL"/>
        </w:rPr>
      </w:pPr>
    </w:p>
    <w:p w14:paraId="0737766C"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67D87563"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75C6D4A3" w14:textId="77777777" w:rsidR="002E5800" w:rsidRPr="00B2198A" w:rsidRDefault="000E0B7C">
            <w:pPr>
              <w:pStyle w:val="TableParagraph"/>
              <w:spacing w:line="251"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Ropne zapalenie apokrynowych gruczołów potowych</w:t>
            </w:r>
          </w:p>
        </w:tc>
      </w:tr>
      <w:tr w:rsidR="002E5800" w:rsidRPr="008F328C" w14:paraId="47DD4A5A"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61C40B0"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4EA8517"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2400A597"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7D65FEDF"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0F7A36E4" w14:textId="77777777" w:rsidR="002E5800" w:rsidRPr="008F328C" w:rsidRDefault="000E0B7C">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74165A39" w14:textId="6A3E168A"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(cztery</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wstrzyknięcia dawki 40 mg w ciągu jednej doby lub dwa </w:t>
            </w:r>
            <w:r w:rsidRPr="008F328C">
              <w:rPr>
                <w:rFonts w:ascii="Times New Roman" w:eastAsia="Times New Roman" w:hAnsi="Times New Roman" w:cs="Times New Roman"/>
                <w:spacing w:val="-1"/>
                <w:lang w:val="pl-PL"/>
              </w:rPr>
              <w:lastRenderedPageBreak/>
              <w:t>wstrzyknięcia dawki 40 mg na dobę przez dwa</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kolejne dni), a po dwóch tygodniach dawka 80 mg (dwa</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Po kolejnych dwóch</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tygodniach należy kontynuować leczenie stosując dawkę 40 mg raz w tygodniu lub 80 mg co drugi tydzień, zgodnie z zaleceniami</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lekarza.</w:t>
            </w:r>
          </w:p>
        </w:tc>
        <w:tc>
          <w:tcPr>
            <w:tcW w:w="3096" w:type="dxa"/>
            <w:tcBorders>
              <w:top w:val="single" w:sz="5" w:space="0" w:color="000000"/>
              <w:left w:val="single" w:sz="5" w:space="0" w:color="000000"/>
              <w:bottom w:val="single" w:sz="5" w:space="0" w:color="000000"/>
              <w:right w:val="single" w:sz="5" w:space="0" w:color="000000"/>
            </w:tcBorders>
          </w:tcPr>
          <w:p w14:paraId="70440AFA" w14:textId="6AF38C43" w:rsidR="002E5800" w:rsidRPr="008F328C" w:rsidRDefault="000E0B7C" w:rsidP="00404101">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lastRenderedPageBreak/>
              <w:t>Zaleca się codzienne</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przemywanie zmienionej chorobowo powierzchni skóry </w:t>
            </w:r>
            <w:r w:rsidRPr="008F328C">
              <w:rPr>
                <w:rFonts w:ascii="Times New Roman" w:eastAsia="Times New Roman" w:hAnsi="Times New Roman" w:cs="Times New Roman"/>
                <w:spacing w:val="-1"/>
                <w:lang w:val="pl-PL"/>
              </w:rPr>
              <w:lastRenderedPageBreak/>
              <w:t>środkiem antyseptycznym.</w:t>
            </w:r>
          </w:p>
        </w:tc>
      </w:tr>
      <w:tr w:rsidR="002E5800" w:rsidRPr="00494296" w14:paraId="4EBF92F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1EF90490" w14:textId="036B4AD4"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Młodzież w wieku od 12 do 17 lat,</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3419951D" w14:textId="1C58E845"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0D6EB5"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tej samej doby), a następnie po upływie jednego tygodnia dawka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80263E8" w14:textId="08FF5CC3"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000D6EB5"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lang w:val="pl-PL"/>
              </w:rPr>
              <w:t xml:space="preserve">na leczenie lekiem Yuflyma 40 mg co drugi tydzień jest niewystarczająca, lekarz może zwiększyć dawkowanie do 40 mg raz w tygodniu lub 80 mg co </w:t>
            </w:r>
            <w:r w:rsidRPr="008F328C">
              <w:rPr>
                <w:rFonts w:ascii="Times New Roman" w:eastAsia="Times New Roman" w:hAnsi="Times New Roman" w:cs="Times New Roman"/>
                <w:spacing w:val="-1"/>
                <w:lang w:val="pl-PL"/>
              </w:rPr>
              <w:t>drugi tydzień.</w:t>
            </w:r>
            <w:r w:rsidR="000D6EB5" w:rsidRPr="008F328C">
              <w:rPr>
                <w:rFonts w:ascii="Times New Roman" w:eastAsia="Times New Roman" w:hAnsi="Times New Roman" w:cs="Times New Roman"/>
                <w:spacing w:val="-4"/>
                <w:lang w:val="pl-PL"/>
              </w:rPr>
              <w:t xml:space="preserve"> </w:t>
            </w:r>
            <w:r w:rsidRPr="008F328C">
              <w:rPr>
                <w:rFonts w:ascii="Times New Roman" w:eastAsia="Times New Roman" w:hAnsi="Times New Roman" w:cs="Times New Roman"/>
                <w:spacing w:val="-4"/>
                <w:lang w:val="pl-PL"/>
              </w:rPr>
              <w:t>Zaleca się codzienne przemywanie zmienionej chorobowo powierzchni skóry środkiem antyseptycznym</w:t>
            </w:r>
          </w:p>
        </w:tc>
      </w:tr>
    </w:tbl>
    <w:p w14:paraId="26753BB0"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8F328C" w14:paraId="09534754"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7A7F8662" w14:textId="77777777" w:rsidR="002E5800" w:rsidRPr="008F328C" w:rsidRDefault="000E0B7C">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Choroba Leśniowskiego-Crohna</w:t>
            </w:r>
          </w:p>
        </w:tc>
      </w:tr>
      <w:tr w:rsidR="002E5800" w:rsidRPr="008F328C" w14:paraId="77B1B374"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AE42061"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7CBB1249"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2FB96DB0"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7900813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F900FD3" w14:textId="46224B0E"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Dorośli, młodzież i dzieci</w:t>
            </w:r>
            <w:r w:rsidR="00B2198A">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 xml:space="preserve">w wieku od 6 lat o masie ciała </w:t>
            </w:r>
            <w:r w:rsidR="004C2FB1" w:rsidRPr="008F328C">
              <w:rPr>
                <w:rFonts w:ascii="Times New Roman" w:eastAsia="Times New Roman" w:hAnsi="Times New Roman" w:cs="Times New Roman"/>
                <w:spacing w:val="-1"/>
                <w:lang w:val="pl-PL"/>
              </w:rPr>
              <w:t>40 </w:t>
            </w:r>
            <w:r w:rsidRPr="008F328C">
              <w:rPr>
                <w:rFonts w:ascii="Times New Roman" w:eastAsia="Times New Roman" w:hAnsi="Times New Roman" w:cs="Times New Roman"/>
                <w:spacing w:val="-1"/>
                <w:lang w:val="pl-PL"/>
              </w:rPr>
              <w:t>kg i powyżej</w:t>
            </w:r>
          </w:p>
        </w:tc>
        <w:tc>
          <w:tcPr>
            <w:tcW w:w="3096" w:type="dxa"/>
            <w:tcBorders>
              <w:top w:val="single" w:sz="5" w:space="0" w:color="000000"/>
              <w:left w:val="single" w:sz="5" w:space="0" w:color="000000"/>
              <w:bottom w:val="single" w:sz="5" w:space="0" w:color="000000"/>
              <w:right w:val="single" w:sz="5" w:space="0" w:color="000000"/>
            </w:tcBorders>
          </w:tcPr>
          <w:p w14:paraId="7612ABCA" w14:textId="70E32946"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a po dwóch tygodniach dawka 40 mg.</w:t>
            </w:r>
          </w:p>
          <w:p w14:paraId="4555663C" w14:textId="77777777" w:rsidR="002E5800" w:rsidRPr="008F328C" w:rsidRDefault="002E5800">
            <w:pPr>
              <w:pStyle w:val="TableParagraph"/>
              <w:spacing w:before="11" w:line="240" w:lineRule="exact"/>
              <w:rPr>
                <w:rFonts w:ascii="Times New Roman" w:hAnsi="Times New Roman" w:cs="Times New Roman"/>
                <w:sz w:val="24"/>
                <w:szCs w:val="24"/>
                <w:lang w:val="pl-PL"/>
              </w:rPr>
            </w:pPr>
          </w:p>
          <w:p w14:paraId="783FDD64" w14:textId="77777777" w:rsidR="002E5800" w:rsidRPr="008F328C" w:rsidRDefault="000E0B7C">
            <w:pPr>
              <w:pStyle w:val="TableParagraph"/>
              <w:ind w:left="102" w:right="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jest konieczne uzyskanie szybszej odpowiedzi na leczenie, lekarz może przepisać pierwszą dawkę 160 mg (cztery wstrzyknięcia dawki 40 mg w ciągu jednej doby lub dwa wstrzyknięcia dawki 40 mg na dobę przez dwa kolejne dni), a po dwóch tygodniach 80 mg (dwa wstrzyknięcia dawki 40 mg w ciągu jednej doby).</w:t>
            </w:r>
          </w:p>
          <w:p w14:paraId="451D3E1D" w14:textId="77777777" w:rsidR="002E5800" w:rsidRPr="008F328C" w:rsidRDefault="002E5800">
            <w:pPr>
              <w:pStyle w:val="TableParagraph"/>
              <w:spacing w:before="17" w:line="240" w:lineRule="exact"/>
              <w:rPr>
                <w:rFonts w:ascii="Times New Roman" w:hAnsi="Times New Roman" w:cs="Times New Roman"/>
                <w:sz w:val="24"/>
                <w:szCs w:val="24"/>
                <w:lang w:val="pl-PL"/>
              </w:rPr>
            </w:pPr>
          </w:p>
          <w:p w14:paraId="38917434" w14:textId="77777777" w:rsidR="002E5800" w:rsidRPr="008F328C" w:rsidRDefault="000E0B7C">
            <w:pPr>
              <w:pStyle w:val="TableParagraph"/>
              <w:spacing w:line="252"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0DE4B0E2" w14:textId="34C30487" w:rsidR="006E749C" w:rsidRPr="008F328C" w:rsidRDefault="006E749C">
            <w:pPr>
              <w:pStyle w:val="TableParagraph"/>
              <w:spacing w:line="252" w:lineRule="exact"/>
              <w:ind w:left="102"/>
              <w:rPr>
                <w:rFonts w:ascii="Times New Roman" w:eastAsia="Times New Roman" w:hAnsi="Times New Roman" w:cs="Times New Roman"/>
                <w:lang w:val="pl-PL"/>
              </w:rPr>
            </w:pPr>
          </w:p>
        </w:tc>
        <w:tc>
          <w:tcPr>
            <w:tcW w:w="3096" w:type="dxa"/>
            <w:tcBorders>
              <w:top w:val="single" w:sz="5" w:space="0" w:color="000000"/>
              <w:left w:val="single" w:sz="5" w:space="0" w:color="000000"/>
              <w:bottom w:val="single" w:sz="5" w:space="0" w:color="000000"/>
              <w:right w:val="single" w:sz="5" w:space="0" w:color="000000"/>
            </w:tcBorders>
          </w:tcPr>
          <w:p w14:paraId="76A6D32E" w14:textId="55B3452F"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dawkowanie do 40 mg co tydzień lub 80 mg co drugi tydzień.</w:t>
            </w:r>
          </w:p>
        </w:tc>
      </w:tr>
      <w:tr w:rsidR="00B2198A" w:rsidRPr="00494296" w14:paraId="245018FE"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196AE4BD" w14:textId="3BB78520"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Dzieci i młodzież w wieku od 6 do 17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1391D5EF" w14:textId="77777777" w:rsidR="00B2198A" w:rsidRDefault="00B2198A" w:rsidP="00404101">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Pierwsza dawka 40 mg, a następnie 20 mg dwa ty</w:t>
            </w:r>
            <w:r>
              <w:rPr>
                <w:rFonts w:ascii="Times New Roman" w:eastAsia="Times New Roman" w:hAnsi="Times New Roman" w:cs="Times New Roman"/>
                <w:lang w:val="pl-PL"/>
              </w:rPr>
              <w:t>godnie później.</w:t>
            </w:r>
          </w:p>
          <w:p w14:paraId="7E23FF01" w14:textId="77777777" w:rsidR="00B2198A" w:rsidRDefault="00B2198A" w:rsidP="00404101">
            <w:pPr>
              <w:pStyle w:val="TableParagraph"/>
              <w:spacing w:line="246" w:lineRule="exact"/>
              <w:ind w:left="102" w:right="57"/>
              <w:rPr>
                <w:rFonts w:ascii="Times New Roman" w:eastAsia="Times New Roman" w:hAnsi="Times New Roman" w:cs="Times New Roman"/>
                <w:lang w:val="pl-PL"/>
              </w:rPr>
            </w:pPr>
          </w:p>
          <w:p w14:paraId="667077A2" w14:textId="77777777" w:rsidR="00B2198A" w:rsidRDefault="00B2198A" w:rsidP="00404101">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 xml:space="preserve">Jeśli jest konieczne uzyskanie szybszej odpowiedzi na leczenie, lekarz może przepisać pierwszą dawkę 80 mg (dwa wstrzyknięcia dawki 40 mg w </w:t>
            </w:r>
            <w:r w:rsidRPr="00D97EE5">
              <w:rPr>
                <w:rFonts w:ascii="Times New Roman" w:eastAsia="Times New Roman" w:hAnsi="Times New Roman" w:cs="Times New Roman"/>
                <w:lang w:val="pl-PL"/>
              </w:rPr>
              <w:lastRenderedPageBreak/>
              <w:t>ciągu jednej doby), a p</w:t>
            </w:r>
            <w:r>
              <w:rPr>
                <w:rFonts w:ascii="Times New Roman" w:eastAsia="Times New Roman" w:hAnsi="Times New Roman" w:cs="Times New Roman"/>
                <w:lang w:val="pl-PL"/>
              </w:rPr>
              <w:t>o dwóch tygodniach dawkę 40 mg.</w:t>
            </w:r>
          </w:p>
          <w:p w14:paraId="267A4A8A" w14:textId="77777777" w:rsidR="00B2198A" w:rsidRDefault="00B2198A" w:rsidP="00404101">
            <w:pPr>
              <w:pStyle w:val="TableParagraph"/>
              <w:spacing w:line="246" w:lineRule="exact"/>
              <w:ind w:left="102" w:right="57"/>
              <w:rPr>
                <w:rFonts w:ascii="Times New Roman" w:eastAsia="Times New Roman" w:hAnsi="Times New Roman" w:cs="Times New Roman"/>
                <w:lang w:val="pl-PL"/>
              </w:rPr>
            </w:pPr>
          </w:p>
          <w:p w14:paraId="34D5F051" w14:textId="4837F9E3" w:rsidR="00B2198A" w:rsidRPr="00D97EE5" w:rsidRDefault="00B2198A" w:rsidP="00404101">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E711C1C" w14:textId="04072081" w:rsidR="00B2198A" w:rsidRPr="00D97EE5" w:rsidRDefault="00B2198A" w:rsidP="00404101">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lastRenderedPageBreak/>
              <w:t>Lekarz może zwiększyć częstość podawania dawki do 20 mg co tydzień.</w:t>
            </w:r>
          </w:p>
        </w:tc>
      </w:tr>
    </w:tbl>
    <w:p w14:paraId="2369542D" w14:textId="77777777" w:rsidR="002E5800" w:rsidRPr="008F328C" w:rsidRDefault="002E5800">
      <w:pPr>
        <w:spacing w:before="7" w:line="90" w:lineRule="exact"/>
        <w:rPr>
          <w:rFonts w:ascii="Times New Roman" w:hAnsi="Times New Roman" w:cs="Times New Roman"/>
          <w:sz w:val="9"/>
          <w:szCs w:val="9"/>
          <w:lang w:val="pl-PL"/>
        </w:rPr>
      </w:pPr>
    </w:p>
    <w:p w14:paraId="1ACF0350"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3EBFCADD"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12BEDA0C"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Wrzodziejące zapalenie jelita grubego (WZJG)</w:t>
            </w:r>
          </w:p>
        </w:tc>
      </w:tr>
      <w:tr w:rsidR="002E5800" w:rsidRPr="008F328C" w14:paraId="664C0ADF"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ED64538"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5D2A5361"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3BCD8881"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56FA95A7"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6C4ADA75"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0E49F9BC"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293FFC7D" w14:textId="5972057F"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(cztery</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lub dwa wstrzyknięcia dawki 40 mg na dobę przez dwa kolejne dni), a po dwóch tygodniach 80 mg (dwa wstrzyknięcia dawki 40 mg w ciągu jednej doby).</w:t>
            </w:r>
          </w:p>
          <w:p w14:paraId="16C600F5" w14:textId="77777777" w:rsidR="002E5800" w:rsidRPr="008F328C" w:rsidRDefault="002E5800">
            <w:pPr>
              <w:pStyle w:val="TableParagraph"/>
              <w:spacing w:before="17" w:line="240" w:lineRule="exact"/>
              <w:rPr>
                <w:rFonts w:ascii="Times New Roman" w:hAnsi="Times New Roman" w:cs="Times New Roman"/>
                <w:sz w:val="24"/>
                <w:szCs w:val="24"/>
                <w:lang w:val="pl-PL"/>
              </w:rPr>
            </w:pPr>
          </w:p>
          <w:p w14:paraId="05408A69" w14:textId="77777777" w:rsidR="002E5800" w:rsidRPr="008F328C" w:rsidRDefault="000E0B7C">
            <w:pPr>
              <w:pStyle w:val="TableParagraph"/>
              <w:spacing w:line="252"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451F7DA9" w14:textId="79AD37BF" w:rsidR="006E749C" w:rsidRPr="008F328C" w:rsidRDefault="006E749C">
            <w:pPr>
              <w:pStyle w:val="TableParagraph"/>
              <w:spacing w:line="252" w:lineRule="exact"/>
              <w:ind w:left="102"/>
              <w:rPr>
                <w:rFonts w:ascii="Times New Roman" w:eastAsia="Times New Roman" w:hAnsi="Times New Roman" w:cs="Times New Roman"/>
                <w:lang w:val="pl-PL"/>
              </w:rPr>
            </w:pPr>
          </w:p>
        </w:tc>
        <w:tc>
          <w:tcPr>
            <w:tcW w:w="3096" w:type="dxa"/>
            <w:tcBorders>
              <w:top w:val="single" w:sz="5" w:space="0" w:color="000000"/>
              <w:left w:val="single" w:sz="5" w:space="0" w:color="000000"/>
              <w:bottom w:val="single" w:sz="5" w:space="0" w:color="000000"/>
              <w:right w:val="single" w:sz="5" w:space="0" w:color="000000"/>
            </w:tcBorders>
          </w:tcPr>
          <w:p w14:paraId="6424A13F"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 dawkowanie do 40 mg co tydzień lub 80 mg co drugi tydzień.</w:t>
            </w:r>
          </w:p>
        </w:tc>
      </w:tr>
      <w:tr w:rsidR="008E48C5" w:rsidRPr="00494296" w14:paraId="2CF27311"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EC4AA95" w14:textId="7051B91F"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0A37C916"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(dwa wstrzyknięcia dawki 40 mg w ciągu jednej doby), a po dwóch tygodniach dawka 40 mg (jedno wstrzyknięcie dawki 40 mg).</w:t>
            </w:r>
          </w:p>
          <w:p w14:paraId="1929F6FC"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p>
          <w:p w14:paraId="105D8623" w14:textId="77777777"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59D10000" w14:textId="76E027A3" w:rsidR="006E749C" w:rsidRPr="008F328C" w:rsidRDefault="006E749C" w:rsidP="008E48C5">
            <w:pPr>
              <w:pStyle w:val="TableParagraph"/>
              <w:spacing w:line="246" w:lineRule="exact"/>
              <w:ind w:left="102" w:right="57"/>
              <w:rPr>
                <w:rFonts w:ascii="Times New Roman" w:eastAsia="Times New Roman" w:hAnsi="Times New Roman" w:cs="Times New Roman"/>
                <w:spacing w:val="-1"/>
                <w:lang w:val="pl-PL"/>
              </w:rPr>
            </w:pPr>
          </w:p>
        </w:tc>
        <w:tc>
          <w:tcPr>
            <w:tcW w:w="3096" w:type="dxa"/>
            <w:tcBorders>
              <w:top w:val="single" w:sz="5" w:space="0" w:color="000000"/>
              <w:left w:val="single" w:sz="5" w:space="0" w:color="000000"/>
              <w:bottom w:val="single" w:sz="5" w:space="0" w:color="000000"/>
              <w:right w:val="single" w:sz="5" w:space="0" w:color="000000"/>
            </w:tcBorders>
          </w:tcPr>
          <w:p w14:paraId="41F9F32A" w14:textId="6C589346" w:rsidR="008E48C5" w:rsidRPr="008F328C" w:rsidRDefault="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r w:rsidR="008E48C5" w:rsidRPr="00494296" w14:paraId="335A5E81"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4E18A057" w14:textId="24BCAD86"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7559AE1D"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160 mg (cztery wstrzyknięcia dawki 40 mg w ciągu jednej doby lub dwa wstrzyknięcia dawki 40 mg na dobę przez dwa kolejne dni), a po dwóch tygodniach dawka 80 mg (dwa wstrzyknięcia dawki 40 mg w ciągu jednej doby).</w:t>
            </w:r>
          </w:p>
          <w:p w14:paraId="0C7996D5"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p>
          <w:p w14:paraId="3F9980E3" w14:textId="77777777"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80 mg co drugi tydzień.</w:t>
            </w:r>
          </w:p>
          <w:p w14:paraId="21CC1B59" w14:textId="69D58699" w:rsidR="006E749C" w:rsidRPr="008F328C" w:rsidRDefault="006E749C" w:rsidP="008E48C5">
            <w:pPr>
              <w:pStyle w:val="TableParagraph"/>
              <w:spacing w:line="246" w:lineRule="exact"/>
              <w:ind w:left="102" w:right="57"/>
              <w:rPr>
                <w:rFonts w:ascii="Times New Roman" w:eastAsia="Times New Roman" w:hAnsi="Times New Roman" w:cs="Times New Roman"/>
                <w:spacing w:val="-1"/>
                <w:lang w:val="pl-PL"/>
              </w:rPr>
            </w:pPr>
          </w:p>
        </w:tc>
        <w:tc>
          <w:tcPr>
            <w:tcW w:w="3096" w:type="dxa"/>
            <w:tcBorders>
              <w:top w:val="single" w:sz="5" w:space="0" w:color="000000"/>
              <w:left w:val="single" w:sz="5" w:space="0" w:color="000000"/>
              <w:bottom w:val="single" w:sz="5" w:space="0" w:color="000000"/>
              <w:right w:val="single" w:sz="5" w:space="0" w:color="000000"/>
            </w:tcBorders>
          </w:tcPr>
          <w:p w14:paraId="2E41F4D5" w14:textId="2A8BEEBE" w:rsidR="008E48C5" w:rsidRPr="008F328C" w:rsidRDefault="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bl>
    <w:p w14:paraId="0EAB9BEA"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6E80C4EC"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68891894"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Nieinfekcyjne zapalenie błony naczyniowej oka</w:t>
            </w:r>
          </w:p>
        </w:tc>
      </w:tr>
      <w:tr w:rsidR="002E5800" w:rsidRPr="008F328C" w14:paraId="65460A0F"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D0F85CC"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78CCAE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2F502FE5"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324A3E55"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58FA907C"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4AFCD0B8"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44AE4E09" w14:textId="57A86CDB"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wstrzyknięcia dawki 40 mg w ciągu tej samej doby), a </w:t>
            </w:r>
            <w:r w:rsidRPr="008F328C">
              <w:rPr>
                <w:rFonts w:ascii="Times New Roman" w:eastAsia="Times New Roman" w:hAnsi="Times New Roman" w:cs="Times New Roman"/>
                <w:spacing w:val="-1"/>
                <w:lang w:val="pl-PL"/>
              </w:rPr>
              <w:lastRenderedPageBreak/>
              <w:t>następnie po upływie jednego tygodnia dawka 40 mg</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co drugi</w:t>
            </w:r>
          </w:p>
          <w:p w14:paraId="6DF497A4" w14:textId="77777777" w:rsidR="002E5800" w:rsidRPr="008F328C" w:rsidRDefault="000E0B7C">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tydzień.</w:t>
            </w:r>
          </w:p>
        </w:tc>
        <w:tc>
          <w:tcPr>
            <w:tcW w:w="3096" w:type="dxa"/>
            <w:tcBorders>
              <w:top w:val="single" w:sz="5" w:space="0" w:color="000000"/>
              <w:left w:val="single" w:sz="5" w:space="0" w:color="000000"/>
              <w:bottom w:val="single" w:sz="5" w:space="0" w:color="000000"/>
              <w:right w:val="single" w:sz="5" w:space="0" w:color="000000"/>
            </w:tcBorders>
          </w:tcPr>
          <w:p w14:paraId="5B6A6FC1"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 xml:space="preserve">Podczas stosowania leku Yuflyma można nadal przyjmować kortykosteroidy lub </w:t>
            </w:r>
            <w:r w:rsidRPr="008F328C">
              <w:rPr>
                <w:rFonts w:ascii="Times New Roman" w:eastAsia="Times New Roman" w:hAnsi="Times New Roman" w:cs="Times New Roman"/>
                <w:spacing w:val="-1"/>
                <w:lang w:val="pl-PL"/>
              </w:rPr>
              <w:lastRenderedPageBreak/>
              <w:t>inne leki, które wpływają na układ immunologiczny.</w:t>
            </w:r>
          </w:p>
          <w:p w14:paraId="1D4E1EA6" w14:textId="77777777" w:rsidR="002E5800" w:rsidRPr="008F328C" w:rsidRDefault="000E0B7C">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 Yuflyma można również stosować jako jedyny lek</w:t>
            </w:r>
          </w:p>
        </w:tc>
      </w:tr>
      <w:tr w:rsidR="00B2198A" w:rsidRPr="00494296" w14:paraId="7FB61DF0"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6F78CA7" w14:textId="7362C196" w:rsidR="00B2198A" w:rsidRPr="008F328C" w:rsidRDefault="00B2198A" w:rsidP="00404101">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lastRenderedPageBreak/>
              <w:t>Dzieci i młodzież w wieku od 2 lat o masie ciała poniżej 30 kg</w:t>
            </w:r>
          </w:p>
        </w:tc>
        <w:tc>
          <w:tcPr>
            <w:tcW w:w="3096" w:type="dxa"/>
            <w:tcBorders>
              <w:top w:val="single" w:sz="5" w:space="0" w:color="000000"/>
              <w:left w:val="single" w:sz="5" w:space="0" w:color="000000"/>
              <w:bottom w:val="single" w:sz="5" w:space="0" w:color="000000"/>
              <w:right w:val="single" w:sz="5" w:space="0" w:color="000000"/>
            </w:tcBorders>
          </w:tcPr>
          <w:p w14:paraId="01DBAE20" w14:textId="57C1D019" w:rsidR="00B2198A" w:rsidRPr="00D97EE5" w:rsidRDefault="00B2198A">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63B3B1BA" w14:textId="553F4A22" w:rsidR="00B2198A" w:rsidRPr="00B2198A" w:rsidRDefault="00B2198A" w:rsidP="00404101">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 xml:space="preserve">Lekarz może przepisać dawkę początkową 40 mg do podania jeden tydzień przed rozpoczęciem stosowania </w:t>
            </w:r>
            <w:r w:rsidR="00A92FC5">
              <w:rPr>
                <w:rFonts w:ascii="Times New Roman" w:eastAsia="Times New Roman" w:hAnsi="Times New Roman" w:cs="Times New Roman"/>
                <w:spacing w:val="-1"/>
                <w:lang w:val="pl-PL"/>
              </w:rPr>
              <w:t>zazwyczaj stosowanej</w:t>
            </w:r>
            <w:r w:rsidRPr="00D97EE5">
              <w:rPr>
                <w:rFonts w:ascii="Times New Roman" w:eastAsia="Times New Roman" w:hAnsi="Times New Roman" w:cs="Times New Roman"/>
                <w:spacing w:val="-1"/>
                <w:lang w:val="pl-PL"/>
              </w:rPr>
              <w:t xml:space="preserve"> dawki 20 mg co drugi tydzień. Zaleca się stosowanie leku </w:t>
            </w:r>
            <w:r w:rsidR="00407CE8">
              <w:rPr>
                <w:rFonts w:ascii="Times New Roman" w:eastAsia="Times New Roman" w:hAnsi="Times New Roman" w:cs="Times New Roman"/>
                <w:spacing w:val="-1"/>
                <w:lang w:val="pl-PL"/>
              </w:rPr>
              <w:t>Yuflyma</w:t>
            </w:r>
            <w:r w:rsidRPr="00D97EE5">
              <w:rPr>
                <w:rFonts w:ascii="Times New Roman" w:eastAsia="Times New Roman" w:hAnsi="Times New Roman" w:cs="Times New Roman"/>
                <w:spacing w:val="-1"/>
                <w:lang w:val="pl-PL"/>
              </w:rPr>
              <w:t xml:space="preserve"> w połączeniu z metotreksatem.</w:t>
            </w:r>
          </w:p>
        </w:tc>
      </w:tr>
      <w:tr w:rsidR="002E5800" w:rsidRPr="00494296" w14:paraId="1ECE17F3"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7F627C6" w14:textId="73650358"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w:t>
            </w:r>
            <w:r w:rsidR="004C2FB1"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lang w:val="pl-PL"/>
              </w:rPr>
              <w:t>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6960C9F1"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59E8E83" w14:textId="3B332C18"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przepisać</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dawkę początkową 80 mg do podania jeden tydzień przed</w:t>
            </w:r>
            <w:r w:rsidR="004C2FB1"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rozpoczęciem stosowania zwykłej dawki</w:t>
            </w:r>
            <w:r w:rsidR="004C2FB1" w:rsidRPr="008F328C">
              <w:rPr>
                <w:rFonts w:ascii="Times New Roman" w:eastAsia="Times New Roman" w:hAnsi="Times New Roman" w:cs="Times New Roman"/>
                <w:lang w:val="pl-PL"/>
              </w:rPr>
              <w:t xml:space="preserve"> </w:t>
            </w:r>
            <w:r w:rsidRPr="008F328C">
              <w:rPr>
                <w:rFonts w:ascii="Times New Roman" w:eastAsia="Times New Roman" w:hAnsi="Times New Roman" w:cs="Times New Roman"/>
                <w:lang w:val="pl-PL"/>
              </w:rPr>
              <w:t>40 mg co drugi tydzień. Zaleca się stosowanie leku Yuflyma w połączeniu z metotreksatem.</w:t>
            </w:r>
          </w:p>
        </w:tc>
      </w:tr>
    </w:tbl>
    <w:p w14:paraId="63798F61" w14:textId="77777777" w:rsidR="002E5800" w:rsidRPr="008F328C" w:rsidRDefault="002E5800">
      <w:pPr>
        <w:pStyle w:val="a3"/>
        <w:rPr>
          <w:lang w:val="pl-PL"/>
        </w:rPr>
      </w:pPr>
    </w:p>
    <w:p w14:paraId="497E6EBA" w14:textId="77777777" w:rsidR="002E5800" w:rsidRPr="008F328C" w:rsidRDefault="000E0B7C">
      <w:pPr>
        <w:pStyle w:val="a3"/>
        <w:rPr>
          <w:b/>
          <w:lang w:val="pl-PL"/>
        </w:rPr>
      </w:pPr>
      <w:r w:rsidRPr="008F328C">
        <w:rPr>
          <w:rFonts w:eastAsia="Times New Roman"/>
          <w:b/>
          <w:bCs/>
          <w:lang w:val="pl-PL"/>
        </w:rPr>
        <w:t>Sposób i droga podania</w:t>
      </w:r>
    </w:p>
    <w:p w14:paraId="126AC464" w14:textId="77777777" w:rsidR="002E5800" w:rsidRPr="008F328C" w:rsidRDefault="002E5800">
      <w:pPr>
        <w:spacing w:before="9" w:line="240" w:lineRule="exact"/>
        <w:rPr>
          <w:rFonts w:ascii="Times New Roman" w:hAnsi="Times New Roman" w:cs="Times New Roman"/>
          <w:sz w:val="24"/>
          <w:szCs w:val="24"/>
          <w:lang w:val="pl-PL"/>
        </w:rPr>
      </w:pPr>
    </w:p>
    <w:p w14:paraId="24FCFC9B" w14:textId="77777777" w:rsidR="002E5800" w:rsidRPr="008F328C" w:rsidRDefault="000E0B7C">
      <w:pPr>
        <w:pStyle w:val="a3"/>
        <w:rPr>
          <w:lang w:val="pl-PL"/>
        </w:rPr>
      </w:pPr>
      <w:r w:rsidRPr="008F328C">
        <w:rPr>
          <w:rFonts w:eastAsia="Times New Roman"/>
          <w:lang w:val="pl-PL"/>
        </w:rPr>
        <w:t>Lek Yuflyma podaje się we wstrzyknięciu podskórnym.</w:t>
      </w:r>
    </w:p>
    <w:p w14:paraId="18739CB4" w14:textId="77777777" w:rsidR="002E5800" w:rsidRPr="008F328C" w:rsidRDefault="002E5800">
      <w:pPr>
        <w:spacing w:before="18" w:line="240" w:lineRule="exact"/>
        <w:rPr>
          <w:rFonts w:ascii="Times New Roman" w:hAnsi="Times New Roman" w:cs="Times New Roman"/>
          <w:sz w:val="24"/>
          <w:szCs w:val="24"/>
          <w:lang w:val="pl-PL"/>
        </w:rPr>
      </w:pPr>
    </w:p>
    <w:p w14:paraId="264F696D" w14:textId="352F7980" w:rsidR="002E5800" w:rsidRPr="008F328C" w:rsidRDefault="000E0B7C">
      <w:pPr>
        <w:pStyle w:val="a3"/>
        <w:rPr>
          <w:b/>
          <w:lang w:val="pl-PL"/>
        </w:rPr>
      </w:pPr>
      <w:r w:rsidRPr="008F328C">
        <w:rPr>
          <w:rFonts w:eastAsia="Times New Roman"/>
          <w:b/>
          <w:bCs/>
          <w:lang w:val="pl-PL"/>
        </w:rPr>
        <w:t>Szczegółowe instrukcje jak wstrzykiwać lek Yuflyma podano w punkcie 7. „</w:t>
      </w:r>
      <w:r w:rsidR="002C2858" w:rsidRPr="008F328C">
        <w:rPr>
          <w:rFonts w:eastAsia="Times New Roman"/>
          <w:b/>
          <w:bCs/>
          <w:lang w:val="pl-PL"/>
        </w:rPr>
        <w:t>Instrukcja stosowania</w:t>
      </w:r>
      <w:r w:rsidR="002C2858" w:rsidRPr="008F328C" w:rsidDel="002C2858">
        <w:rPr>
          <w:rFonts w:eastAsia="Times New Roman"/>
          <w:b/>
          <w:bCs/>
          <w:lang w:val="pl-PL"/>
        </w:rPr>
        <w:t xml:space="preserve"> </w:t>
      </w:r>
      <w:r w:rsidRPr="008F328C">
        <w:rPr>
          <w:rFonts w:eastAsia="Times New Roman"/>
          <w:b/>
          <w:bCs/>
          <w:lang w:val="pl-PL"/>
        </w:rPr>
        <w:t>”.</w:t>
      </w:r>
    </w:p>
    <w:p w14:paraId="4F8C51BD" w14:textId="77777777" w:rsidR="002E5800" w:rsidRPr="008F328C" w:rsidRDefault="002E5800">
      <w:pPr>
        <w:pStyle w:val="a3"/>
        <w:rPr>
          <w:b/>
          <w:lang w:val="pl-PL"/>
        </w:rPr>
      </w:pPr>
    </w:p>
    <w:p w14:paraId="5528A304" w14:textId="77777777" w:rsidR="002E5800" w:rsidRPr="008F328C" w:rsidRDefault="000E0B7C">
      <w:pPr>
        <w:pStyle w:val="a3"/>
        <w:rPr>
          <w:b/>
          <w:lang w:val="pl-PL"/>
        </w:rPr>
      </w:pPr>
      <w:r w:rsidRPr="008F328C">
        <w:rPr>
          <w:rFonts w:eastAsia="Times New Roman"/>
          <w:b/>
          <w:bCs/>
          <w:lang w:val="pl-PL"/>
        </w:rPr>
        <w:t>Przyjęcie większej niż zalecana dawki leku Yuflyma</w:t>
      </w:r>
    </w:p>
    <w:p w14:paraId="1302A4C0" w14:textId="77777777" w:rsidR="002E5800" w:rsidRPr="008F328C" w:rsidRDefault="002E5800">
      <w:pPr>
        <w:pStyle w:val="a3"/>
        <w:rPr>
          <w:lang w:val="pl-PL"/>
        </w:rPr>
      </w:pPr>
    </w:p>
    <w:p w14:paraId="67771A7C" w14:textId="77777777" w:rsidR="002E5800" w:rsidRPr="008F328C" w:rsidRDefault="000E0B7C">
      <w:pPr>
        <w:pStyle w:val="a3"/>
        <w:rPr>
          <w:lang w:val="pl-PL"/>
        </w:rPr>
      </w:pPr>
      <w:r w:rsidRPr="008F328C">
        <w:rPr>
          <w:rFonts w:eastAsia="Times New Roman"/>
          <w:lang w:val="pl-PL"/>
        </w:rPr>
        <w:t>W razie przypadkowego wstrzyknięcia leku Yuflyma częściej niż to zalecił lekarz lub farmaceuta, należy zgłosić się do lekarza lub farmaceuty i powiedzieć o przyjęciu dodatkowej dawki. Zawsze należy ze sobą zabrać opakowanie zewnętrzne leku, nawet jeśli jest ono puste.</w:t>
      </w:r>
    </w:p>
    <w:p w14:paraId="5F4004DA" w14:textId="77777777" w:rsidR="002E5800" w:rsidRPr="008F328C" w:rsidRDefault="002E5800">
      <w:pPr>
        <w:spacing w:before="18" w:line="240" w:lineRule="exact"/>
        <w:rPr>
          <w:rFonts w:ascii="Times New Roman" w:hAnsi="Times New Roman" w:cs="Times New Roman"/>
          <w:b/>
          <w:sz w:val="24"/>
          <w:szCs w:val="24"/>
          <w:lang w:val="pl-PL"/>
        </w:rPr>
      </w:pPr>
    </w:p>
    <w:p w14:paraId="3606F810" w14:textId="77777777" w:rsidR="002E5800" w:rsidRPr="008F328C" w:rsidRDefault="000E0B7C">
      <w:pPr>
        <w:pStyle w:val="a3"/>
        <w:rPr>
          <w:b/>
          <w:lang w:val="pl-PL"/>
        </w:rPr>
      </w:pPr>
      <w:r w:rsidRPr="008F328C">
        <w:rPr>
          <w:rFonts w:eastAsia="Times New Roman"/>
          <w:b/>
          <w:bCs/>
          <w:lang w:val="pl-PL"/>
        </w:rPr>
        <w:t>Pominięcie przyjęcia leku Yuflyma</w:t>
      </w:r>
    </w:p>
    <w:p w14:paraId="4467419F" w14:textId="77777777" w:rsidR="002E5800" w:rsidRPr="008F328C" w:rsidRDefault="002E5800">
      <w:pPr>
        <w:spacing w:before="9" w:line="240" w:lineRule="exact"/>
        <w:rPr>
          <w:rFonts w:ascii="Times New Roman" w:hAnsi="Times New Roman" w:cs="Times New Roman"/>
          <w:sz w:val="24"/>
          <w:szCs w:val="24"/>
          <w:lang w:val="pl-PL"/>
        </w:rPr>
      </w:pPr>
    </w:p>
    <w:p w14:paraId="484D595D" w14:textId="77777777" w:rsidR="002E5800" w:rsidRPr="008F328C" w:rsidRDefault="000E0B7C">
      <w:pPr>
        <w:pStyle w:val="a3"/>
        <w:rPr>
          <w:lang w:val="pl-PL"/>
        </w:rPr>
      </w:pPr>
      <w:r w:rsidRPr="008F328C">
        <w:rPr>
          <w:rFonts w:eastAsia="Times New Roman"/>
          <w:lang w:val="pl-PL"/>
        </w:rPr>
        <w:t>Jeśli pacjent zapomni wykonać wstrzyknięcie, powinien wstrzyknąć następną dawkę leku Yuflyma, gdy tylko sobie o tym przypomni. Kolejną dawkę należy wstrzyknąć w ustalonym pierwotnie dniu.</w:t>
      </w:r>
    </w:p>
    <w:p w14:paraId="5A6A0E23" w14:textId="77777777" w:rsidR="002E5800" w:rsidRPr="008F328C" w:rsidRDefault="002E5800">
      <w:pPr>
        <w:spacing w:before="18" w:line="240" w:lineRule="exact"/>
        <w:rPr>
          <w:rFonts w:ascii="Times New Roman" w:hAnsi="Times New Roman" w:cs="Times New Roman"/>
          <w:sz w:val="24"/>
          <w:szCs w:val="24"/>
          <w:lang w:val="pl-PL"/>
        </w:rPr>
      </w:pPr>
    </w:p>
    <w:p w14:paraId="31AD4E40" w14:textId="77777777" w:rsidR="002E5800" w:rsidRPr="008F328C" w:rsidRDefault="000E0B7C">
      <w:pPr>
        <w:pStyle w:val="a3"/>
        <w:rPr>
          <w:b/>
          <w:lang w:val="pl-PL"/>
        </w:rPr>
      </w:pPr>
      <w:r w:rsidRPr="008F328C">
        <w:rPr>
          <w:rFonts w:eastAsia="Times New Roman"/>
          <w:b/>
          <w:bCs/>
          <w:lang w:val="pl-PL"/>
        </w:rPr>
        <w:t>Przerwanie przyjmowania leku Yuflyma</w:t>
      </w:r>
    </w:p>
    <w:p w14:paraId="609FB88D" w14:textId="77777777" w:rsidR="002E5800" w:rsidRPr="008F328C" w:rsidRDefault="002E5800">
      <w:pPr>
        <w:spacing w:before="6" w:line="240" w:lineRule="exact"/>
        <w:rPr>
          <w:rFonts w:ascii="Times New Roman" w:hAnsi="Times New Roman" w:cs="Times New Roman"/>
          <w:sz w:val="24"/>
          <w:szCs w:val="24"/>
          <w:lang w:val="pl-PL"/>
        </w:rPr>
      </w:pPr>
    </w:p>
    <w:p w14:paraId="6A77E81D" w14:textId="77777777" w:rsidR="002E5800" w:rsidRPr="008F328C" w:rsidRDefault="000E0B7C">
      <w:pPr>
        <w:pStyle w:val="a3"/>
        <w:rPr>
          <w:lang w:val="pl-PL"/>
        </w:rPr>
      </w:pPr>
      <w:r w:rsidRPr="008F328C">
        <w:rPr>
          <w:rFonts w:eastAsia="Times New Roman"/>
          <w:lang w:val="pl-PL"/>
        </w:rPr>
        <w:t>Decyzję o zaprzestaniu stosowania leku Yuflyma należy omówić z lekarzem. Po zaprzestaniu przyjmowania leku Yuflyma mogą powrócić objawy choroby.</w:t>
      </w:r>
    </w:p>
    <w:p w14:paraId="15109A26" w14:textId="77777777" w:rsidR="002E5800" w:rsidRPr="008F328C" w:rsidRDefault="002E5800">
      <w:pPr>
        <w:spacing w:before="12" w:line="240" w:lineRule="exact"/>
        <w:rPr>
          <w:rFonts w:ascii="Times New Roman" w:hAnsi="Times New Roman" w:cs="Times New Roman"/>
          <w:sz w:val="24"/>
          <w:szCs w:val="24"/>
          <w:lang w:val="pl-PL"/>
        </w:rPr>
      </w:pPr>
    </w:p>
    <w:p w14:paraId="38F64FB7" w14:textId="77777777" w:rsidR="002E5800" w:rsidRPr="008F328C" w:rsidRDefault="000E0B7C">
      <w:pPr>
        <w:pStyle w:val="a3"/>
        <w:rPr>
          <w:lang w:val="pl-PL"/>
        </w:rPr>
      </w:pPr>
      <w:r w:rsidRPr="008F328C">
        <w:rPr>
          <w:rFonts w:eastAsia="Times New Roman"/>
          <w:lang w:val="pl-PL"/>
        </w:rPr>
        <w:t>W razie jakichkolwiek dalszych wątpliwości związanych ze stosowaniem tego leku, należy zwrócić się do lekarza lub farmaceuty.</w:t>
      </w:r>
    </w:p>
    <w:p w14:paraId="5C5CE3E3" w14:textId="77777777" w:rsidR="002E5800" w:rsidRPr="008F328C" w:rsidRDefault="002E5800">
      <w:pPr>
        <w:spacing w:line="110" w:lineRule="exact"/>
        <w:rPr>
          <w:rFonts w:ascii="Times New Roman" w:hAnsi="Times New Roman" w:cs="Times New Roman"/>
          <w:sz w:val="11"/>
          <w:szCs w:val="11"/>
          <w:lang w:val="pl-PL"/>
        </w:rPr>
      </w:pPr>
    </w:p>
    <w:p w14:paraId="729F7572" w14:textId="62D62730" w:rsidR="002E5800" w:rsidRPr="008F328C" w:rsidRDefault="002E5800">
      <w:pPr>
        <w:spacing w:line="200" w:lineRule="exact"/>
        <w:rPr>
          <w:rFonts w:ascii="Times New Roman" w:hAnsi="Times New Roman" w:cs="Times New Roman"/>
          <w:sz w:val="20"/>
          <w:szCs w:val="20"/>
          <w:lang w:val="pl-PL"/>
        </w:rPr>
      </w:pPr>
    </w:p>
    <w:p w14:paraId="4CAA5958" w14:textId="77777777" w:rsidR="00CC4159" w:rsidRPr="008F328C" w:rsidRDefault="00CC4159">
      <w:pPr>
        <w:spacing w:line="200" w:lineRule="exact"/>
        <w:rPr>
          <w:rFonts w:ascii="Times New Roman" w:hAnsi="Times New Roman" w:cs="Times New Roman"/>
          <w:sz w:val="20"/>
          <w:szCs w:val="20"/>
          <w:lang w:val="pl-PL"/>
        </w:rPr>
      </w:pPr>
    </w:p>
    <w:p w14:paraId="6A698B86" w14:textId="77777777" w:rsidR="002E5800" w:rsidRPr="008F328C" w:rsidRDefault="000E0B7C">
      <w:pPr>
        <w:pStyle w:val="a4"/>
        <w:numPr>
          <w:ilvl w:val="0"/>
          <w:numId w:val="33"/>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Możliwe działania niepożądane</w:t>
      </w:r>
    </w:p>
    <w:p w14:paraId="6E1A9048" w14:textId="77777777" w:rsidR="002E5800" w:rsidRPr="008F328C" w:rsidRDefault="002E5800">
      <w:pPr>
        <w:spacing w:before="12" w:line="240" w:lineRule="exact"/>
        <w:rPr>
          <w:rFonts w:ascii="Times New Roman" w:hAnsi="Times New Roman" w:cs="Times New Roman"/>
          <w:sz w:val="24"/>
          <w:szCs w:val="24"/>
          <w:lang w:val="pl-PL"/>
        </w:rPr>
      </w:pPr>
    </w:p>
    <w:p w14:paraId="0C1E1CFC" w14:textId="1C40E5A0" w:rsidR="002E5800" w:rsidRPr="008F328C" w:rsidRDefault="000E0B7C">
      <w:pPr>
        <w:pStyle w:val="a3"/>
        <w:rPr>
          <w:lang w:val="pl-PL"/>
        </w:rPr>
      </w:pPr>
      <w:r w:rsidRPr="008F328C">
        <w:rPr>
          <w:rFonts w:eastAsia="Times New Roman"/>
          <w:lang w:val="pl-PL"/>
        </w:rPr>
        <w:t xml:space="preserve">Jak każdy lek, lek ten może powodować działania niepożądane, chociaż nie u każdego one wystąpią. Większość działań niepożądanych </w:t>
      </w:r>
      <w:r w:rsidR="006210A5" w:rsidRPr="008F328C">
        <w:rPr>
          <w:rFonts w:eastAsia="Times New Roman"/>
          <w:lang w:val="pl-PL"/>
        </w:rPr>
        <w:t xml:space="preserve">jest łagodna </w:t>
      </w:r>
      <w:r w:rsidRPr="008F328C">
        <w:rPr>
          <w:rFonts w:eastAsia="Times New Roman"/>
          <w:lang w:val="pl-PL"/>
        </w:rPr>
        <w:t xml:space="preserve">lub </w:t>
      </w:r>
      <w:r w:rsidR="006210A5" w:rsidRPr="008F328C">
        <w:rPr>
          <w:rFonts w:eastAsia="Times New Roman"/>
          <w:lang w:val="pl-PL"/>
        </w:rPr>
        <w:t>umiarkowana</w:t>
      </w:r>
      <w:r w:rsidRPr="008F328C">
        <w:rPr>
          <w:rFonts w:eastAsia="Times New Roman"/>
          <w:lang w:val="pl-PL"/>
        </w:rPr>
        <w:t xml:space="preserve">. Niektóre jednak mogą być poważne i </w:t>
      </w:r>
      <w:r w:rsidR="006210A5" w:rsidRPr="008F328C">
        <w:rPr>
          <w:rFonts w:eastAsia="Times New Roman"/>
          <w:lang w:val="pl-PL"/>
        </w:rPr>
        <w:t xml:space="preserve">mogą powodować konieczność </w:t>
      </w:r>
      <w:r w:rsidRPr="008F328C">
        <w:rPr>
          <w:rFonts w:eastAsia="Times New Roman"/>
          <w:lang w:val="pl-PL"/>
        </w:rPr>
        <w:t xml:space="preserve">leczenia. Działania niepożądane mogą występować co najmniej przez 4 </w:t>
      </w:r>
      <w:r w:rsidRPr="008F328C">
        <w:rPr>
          <w:rFonts w:eastAsia="Times New Roman"/>
          <w:lang w:val="pl-PL"/>
        </w:rPr>
        <w:lastRenderedPageBreak/>
        <w:t>miesiące po ostatnim wstrzyknięciu leku Yuflyma.</w:t>
      </w:r>
    </w:p>
    <w:p w14:paraId="7A4AA8B7" w14:textId="77777777" w:rsidR="002E5800" w:rsidRPr="008F328C" w:rsidRDefault="002E5800">
      <w:pPr>
        <w:spacing w:before="15" w:line="240" w:lineRule="exact"/>
        <w:rPr>
          <w:rFonts w:ascii="Times New Roman" w:hAnsi="Times New Roman" w:cs="Times New Roman"/>
          <w:sz w:val="24"/>
          <w:szCs w:val="24"/>
          <w:lang w:val="pl-PL"/>
        </w:rPr>
      </w:pPr>
    </w:p>
    <w:p w14:paraId="1D376506" w14:textId="77777777" w:rsidR="002E5800" w:rsidRPr="008F328C" w:rsidRDefault="000E0B7C">
      <w:pPr>
        <w:pStyle w:val="a3"/>
        <w:rPr>
          <w:b/>
          <w:lang w:val="pl-PL"/>
        </w:rPr>
      </w:pPr>
      <w:r w:rsidRPr="008F328C">
        <w:rPr>
          <w:rFonts w:eastAsia="Times New Roman"/>
          <w:b/>
          <w:bCs/>
          <w:lang w:val="pl-PL"/>
        </w:rPr>
        <w:t>W razie pojawienia się któregokolwiek z poniższych objawów należy natychmiast powiadomić lekarza</w:t>
      </w:r>
    </w:p>
    <w:p w14:paraId="712B6A6C" w14:textId="77777777" w:rsidR="002E5800" w:rsidRPr="008F328C" w:rsidRDefault="002E5800">
      <w:pPr>
        <w:spacing w:before="10" w:line="240" w:lineRule="exact"/>
        <w:rPr>
          <w:rFonts w:ascii="Times New Roman" w:hAnsi="Times New Roman" w:cs="Times New Roman"/>
          <w:sz w:val="24"/>
          <w:szCs w:val="24"/>
          <w:lang w:val="pl-PL"/>
        </w:rPr>
      </w:pPr>
    </w:p>
    <w:p w14:paraId="299EA9DF" w14:textId="77777777" w:rsidR="002E5800" w:rsidRPr="008F328C" w:rsidRDefault="000E0B7C">
      <w:pPr>
        <w:pStyle w:val="a3"/>
        <w:numPr>
          <w:ilvl w:val="0"/>
          <w:numId w:val="16"/>
        </w:numPr>
        <w:ind w:left="660" w:hanging="660"/>
        <w:rPr>
          <w:lang w:val="pl-PL"/>
        </w:rPr>
      </w:pPr>
      <w:r w:rsidRPr="008F328C">
        <w:rPr>
          <w:rFonts w:eastAsia="Times New Roman"/>
          <w:lang w:val="pl-PL"/>
        </w:rPr>
        <w:t>ciężka wysypka, pokrzywka lub inne objawy reakcji alergicznej</w:t>
      </w:r>
    </w:p>
    <w:p w14:paraId="46E79492"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 dłoni, stóp</w:t>
      </w:r>
    </w:p>
    <w:p w14:paraId="3D3B8699"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w oddychaniu, trudności w połykaniu</w:t>
      </w:r>
    </w:p>
    <w:p w14:paraId="2FA76217" w14:textId="77777777" w:rsidR="002E5800" w:rsidRPr="008F328C" w:rsidRDefault="000E0B7C">
      <w:pPr>
        <w:pStyle w:val="a3"/>
        <w:numPr>
          <w:ilvl w:val="0"/>
          <w:numId w:val="16"/>
        </w:numPr>
        <w:ind w:left="660" w:hanging="660"/>
        <w:rPr>
          <w:lang w:val="pl-PL"/>
        </w:rPr>
      </w:pPr>
      <w:r w:rsidRPr="008F328C">
        <w:rPr>
          <w:rFonts w:eastAsia="Times New Roman"/>
          <w:lang w:val="pl-PL"/>
        </w:rPr>
        <w:t>duszność podczas aktywności fizycznej lub po położeniu się, lub obrzęk stóp</w:t>
      </w:r>
    </w:p>
    <w:p w14:paraId="436AE346" w14:textId="77777777" w:rsidR="002E5800" w:rsidRPr="008F328C" w:rsidRDefault="002E5800">
      <w:pPr>
        <w:spacing w:before="15" w:line="240" w:lineRule="exact"/>
        <w:rPr>
          <w:rFonts w:ascii="Times New Roman" w:hAnsi="Times New Roman" w:cs="Times New Roman"/>
          <w:sz w:val="24"/>
          <w:szCs w:val="24"/>
          <w:lang w:val="pl-PL"/>
        </w:rPr>
      </w:pPr>
    </w:p>
    <w:p w14:paraId="769DC2E0" w14:textId="77777777" w:rsidR="002E5800" w:rsidRPr="008F328C" w:rsidRDefault="000E0B7C">
      <w:pPr>
        <w:pStyle w:val="a3"/>
        <w:rPr>
          <w:b/>
          <w:lang w:val="pl-PL"/>
        </w:rPr>
      </w:pPr>
      <w:r w:rsidRPr="008F328C">
        <w:rPr>
          <w:rFonts w:eastAsia="Times New Roman"/>
          <w:b/>
          <w:bCs/>
          <w:lang w:val="pl-PL"/>
        </w:rPr>
        <w:t>W razie stwierdzenia któregokolwiek z poniższych objawów należy tak szybko jak to możliwe powiadomić lekarza</w:t>
      </w:r>
    </w:p>
    <w:p w14:paraId="1D4A1266" w14:textId="77777777" w:rsidR="002E5800" w:rsidRPr="008F328C" w:rsidRDefault="002E5800">
      <w:pPr>
        <w:spacing w:before="10" w:line="240" w:lineRule="exact"/>
        <w:rPr>
          <w:rFonts w:ascii="Times New Roman" w:hAnsi="Times New Roman" w:cs="Times New Roman"/>
          <w:sz w:val="24"/>
          <w:szCs w:val="24"/>
          <w:lang w:val="pl-PL"/>
        </w:rPr>
      </w:pPr>
    </w:p>
    <w:p w14:paraId="3DB092D2" w14:textId="77777777" w:rsidR="002E5800" w:rsidRPr="008F328C" w:rsidRDefault="000E0B7C">
      <w:pPr>
        <w:pStyle w:val="a3"/>
        <w:numPr>
          <w:ilvl w:val="0"/>
          <w:numId w:val="16"/>
        </w:numPr>
        <w:ind w:left="660" w:hanging="660"/>
        <w:rPr>
          <w:lang w:val="pl-PL"/>
        </w:rPr>
      </w:pPr>
      <w:r w:rsidRPr="008F328C">
        <w:rPr>
          <w:rFonts w:eastAsia="Times New Roman"/>
          <w:lang w:val="pl-PL"/>
        </w:rPr>
        <w:t>objawy zakażenia takie, jak gorączka, złe samopoczucie, zranienia, kłopoty z zębami, uczucie pieczenia podczas oddawania moczu</w:t>
      </w:r>
    </w:p>
    <w:p w14:paraId="39FD4BDF" w14:textId="77777777" w:rsidR="002E5800" w:rsidRPr="008F328C" w:rsidRDefault="000E0B7C">
      <w:pPr>
        <w:pStyle w:val="a3"/>
        <w:numPr>
          <w:ilvl w:val="0"/>
          <w:numId w:val="16"/>
        </w:numPr>
        <w:ind w:left="660" w:hanging="660"/>
        <w:rPr>
          <w:lang w:val="pl-PL"/>
        </w:rPr>
      </w:pPr>
      <w:r w:rsidRPr="008F328C">
        <w:rPr>
          <w:rFonts w:eastAsia="Times New Roman"/>
          <w:lang w:val="pl-PL"/>
        </w:rPr>
        <w:t>uczucie osłabienia lub zmęczenia</w:t>
      </w:r>
    </w:p>
    <w:p w14:paraId="45546BB9" w14:textId="77777777" w:rsidR="002E5800" w:rsidRPr="008F328C" w:rsidRDefault="000E0B7C">
      <w:pPr>
        <w:pStyle w:val="a3"/>
        <w:numPr>
          <w:ilvl w:val="0"/>
          <w:numId w:val="16"/>
        </w:numPr>
        <w:ind w:left="660" w:hanging="660"/>
        <w:rPr>
          <w:lang w:val="pl-PL"/>
        </w:rPr>
      </w:pPr>
      <w:r w:rsidRPr="008F328C">
        <w:rPr>
          <w:rFonts w:eastAsia="Times New Roman"/>
          <w:lang w:val="pl-PL"/>
        </w:rPr>
        <w:t>kaszel</w:t>
      </w:r>
    </w:p>
    <w:p w14:paraId="52B57D82" w14:textId="77777777" w:rsidR="002E5800" w:rsidRPr="008F328C" w:rsidRDefault="000E0B7C">
      <w:pPr>
        <w:pStyle w:val="a3"/>
        <w:numPr>
          <w:ilvl w:val="0"/>
          <w:numId w:val="16"/>
        </w:numPr>
        <w:ind w:left="660" w:hanging="660"/>
        <w:rPr>
          <w:lang w:val="pl-PL"/>
        </w:rPr>
      </w:pPr>
      <w:r w:rsidRPr="008F328C">
        <w:rPr>
          <w:rFonts w:eastAsia="Times New Roman"/>
          <w:lang w:val="pl-PL"/>
        </w:rPr>
        <w:t>wrażenie mrowienia</w:t>
      </w:r>
    </w:p>
    <w:p w14:paraId="179CD43F" w14:textId="77777777" w:rsidR="002E5800" w:rsidRPr="008F328C" w:rsidRDefault="000E0B7C">
      <w:pPr>
        <w:pStyle w:val="a3"/>
        <w:numPr>
          <w:ilvl w:val="0"/>
          <w:numId w:val="16"/>
        </w:numPr>
        <w:ind w:left="660" w:hanging="660"/>
        <w:rPr>
          <w:lang w:val="pl-PL"/>
        </w:rPr>
      </w:pPr>
      <w:r w:rsidRPr="008F328C">
        <w:rPr>
          <w:rFonts w:eastAsia="Times New Roman"/>
          <w:lang w:val="pl-PL"/>
        </w:rPr>
        <w:t>wrażenie drętwienia</w:t>
      </w:r>
    </w:p>
    <w:p w14:paraId="76873D90" w14:textId="77777777" w:rsidR="002E5800" w:rsidRPr="008F328C" w:rsidRDefault="000E0B7C">
      <w:pPr>
        <w:pStyle w:val="a3"/>
        <w:numPr>
          <w:ilvl w:val="0"/>
          <w:numId w:val="16"/>
        </w:numPr>
        <w:ind w:left="660" w:hanging="660"/>
        <w:rPr>
          <w:lang w:val="pl-PL"/>
        </w:rPr>
      </w:pPr>
      <w:r w:rsidRPr="008F328C">
        <w:rPr>
          <w:rFonts w:eastAsia="Times New Roman"/>
          <w:lang w:val="pl-PL"/>
        </w:rPr>
        <w:t>podwójne widzenie</w:t>
      </w:r>
    </w:p>
    <w:p w14:paraId="3D51C4DC" w14:textId="77777777" w:rsidR="002E5800" w:rsidRPr="008F328C" w:rsidRDefault="000E0B7C">
      <w:pPr>
        <w:pStyle w:val="a3"/>
        <w:numPr>
          <w:ilvl w:val="0"/>
          <w:numId w:val="16"/>
        </w:numPr>
        <w:ind w:left="660" w:hanging="660"/>
        <w:rPr>
          <w:lang w:val="pl-PL"/>
        </w:rPr>
      </w:pPr>
      <w:r w:rsidRPr="008F328C">
        <w:rPr>
          <w:rFonts w:eastAsia="Times New Roman"/>
          <w:lang w:val="pl-PL"/>
        </w:rPr>
        <w:t>osłabienie siły mięśni w kończynach górnych lub dolnych</w:t>
      </w:r>
    </w:p>
    <w:p w14:paraId="04F9F608" w14:textId="77777777" w:rsidR="002E5800" w:rsidRPr="008F328C" w:rsidRDefault="000E0B7C">
      <w:pPr>
        <w:pStyle w:val="a3"/>
        <w:numPr>
          <w:ilvl w:val="0"/>
          <w:numId w:val="16"/>
        </w:numPr>
        <w:ind w:left="660" w:hanging="660"/>
        <w:rPr>
          <w:lang w:val="pl-PL"/>
        </w:rPr>
      </w:pPr>
      <w:r w:rsidRPr="008F328C">
        <w:rPr>
          <w:rFonts w:eastAsia="Times New Roman"/>
          <w:lang w:val="pl-PL"/>
        </w:rPr>
        <w:t>guzek lub otwarte owrzodzenie, które się nie goi</w:t>
      </w:r>
    </w:p>
    <w:p w14:paraId="046036AD" w14:textId="77777777" w:rsidR="002E5800" w:rsidRPr="008F328C" w:rsidRDefault="000E0B7C">
      <w:pPr>
        <w:pStyle w:val="a3"/>
        <w:numPr>
          <w:ilvl w:val="0"/>
          <w:numId w:val="16"/>
        </w:numPr>
        <w:ind w:left="660" w:hanging="660"/>
        <w:rPr>
          <w:lang w:val="pl-PL"/>
        </w:rPr>
      </w:pPr>
      <w:r w:rsidRPr="008F328C">
        <w:rPr>
          <w:rFonts w:eastAsia="Times New Roman"/>
          <w:lang w:val="pl-PL"/>
        </w:rPr>
        <w:t>objawy i oznaki wskazujące na zaburzenia krwi takie, jak utrzymująca się gorączka, siniaczenie, krwawienie, bladość</w:t>
      </w:r>
    </w:p>
    <w:p w14:paraId="7A1E2CF0" w14:textId="77777777" w:rsidR="002E5800" w:rsidRPr="008F328C" w:rsidRDefault="002E5800">
      <w:pPr>
        <w:pStyle w:val="a3"/>
        <w:numPr>
          <w:ilvl w:val="0"/>
          <w:numId w:val="0"/>
        </w:numPr>
        <w:ind w:left="660"/>
        <w:rPr>
          <w:lang w:val="pl-PL"/>
        </w:rPr>
      </w:pPr>
    </w:p>
    <w:p w14:paraId="72AEE5D3" w14:textId="77777777" w:rsidR="002E5800" w:rsidRPr="008F328C" w:rsidRDefault="000E0B7C">
      <w:pPr>
        <w:pStyle w:val="a3"/>
        <w:rPr>
          <w:lang w:val="pl-PL"/>
        </w:rPr>
      </w:pPr>
      <w:r w:rsidRPr="008F328C">
        <w:rPr>
          <w:rFonts w:eastAsia="Times New Roman"/>
          <w:lang w:val="pl-PL"/>
        </w:rPr>
        <w:t>Opisane powyżej objawy mogą być oznakami wymienionych poniżej działań niepożądanych, które obserwowano podczas stosowania leku Yuflyma.</w:t>
      </w:r>
    </w:p>
    <w:p w14:paraId="3AB3CC8F" w14:textId="77777777" w:rsidR="002E5800" w:rsidRPr="008F328C" w:rsidRDefault="002E5800">
      <w:pPr>
        <w:spacing w:before="10" w:line="240" w:lineRule="exact"/>
        <w:rPr>
          <w:rFonts w:ascii="Times New Roman" w:hAnsi="Times New Roman" w:cs="Times New Roman"/>
          <w:sz w:val="24"/>
          <w:szCs w:val="24"/>
          <w:lang w:val="pl-PL"/>
        </w:rPr>
      </w:pPr>
    </w:p>
    <w:p w14:paraId="1EBB5C00" w14:textId="77777777" w:rsidR="002E5800" w:rsidRPr="008F328C" w:rsidRDefault="000E0B7C">
      <w:pPr>
        <w:pStyle w:val="a3"/>
        <w:rPr>
          <w:lang w:val="pl-PL"/>
        </w:rPr>
      </w:pPr>
      <w:r w:rsidRPr="008F328C">
        <w:rPr>
          <w:rFonts w:eastAsia="Times New Roman"/>
          <w:b/>
          <w:bCs/>
          <w:lang w:val="pl-PL"/>
        </w:rPr>
        <w:t xml:space="preserve">Bardzo często </w:t>
      </w:r>
      <w:r w:rsidRPr="008F328C">
        <w:rPr>
          <w:rFonts w:eastAsia="Times New Roman"/>
          <w:lang w:val="pl-PL"/>
        </w:rPr>
        <w:t>(może wystąpić u więcej niż 1 na 10 osób):</w:t>
      </w:r>
    </w:p>
    <w:p w14:paraId="14C51B82" w14:textId="77777777" w:rsidR="002E5800" w:rsidRPr="008F328C" w:rsidRDefault="002E5800">
      <w:pPr>
        <w:spacing w:before="14" w:line="240" w:lineRule="exact"/>
        <w:rPr>
          <w:rFonts w:ascii="Times New Roman" w:hAnsi="Times New Roman" w:cs="Times New Roman"/>
          <w:sz w:val="24"/>
          <w:szCs w:val="24"/>
          <w:lang w:val="pl-PL"/>
        </w:rPr>
      </w:pPr>
    </w:p>
    <w:p w14:paraId="68BD03D8" w14:textId="77777777" w:rsidR="002E5800" w:rsidRPr="008F328C" w:rsidRDefault="000E0B7C">
      <w:pPr>
        <w:pStyle w:val="a3"/>
        <w:numPr>
          <w:ilvl w:val="0"/>
          <w:numId w:val="16"/>
        </w:numPr>
        <w:ind w:left="660" w:hanging="660"/>
        <w:rPr>
          <w:lang w:val="pl-PL"/>
        </w:rPr>
      </w:pPr>
      <w:r w:rsidRPr="008F328C">
        <w:rPr>
          <w:rFonts w:eastAsia="Times New Roman"/>
          <w:lang w:val="pl-PL"/>
        </w:rPr>
        <w:t>odczyny w miejscu wstrzyknięcia (w tym ból, obrzęk, zaczerwienienie lub świąd)</w:t>
      </w:r>
    </w:p>
    <w:p w14:paraId="36496975"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dróg oddechowych (w tym przeziębienie, katar, zapalenie zatok, zapalenie płuc)</w:t>
      </w:r>
    </w:p>
    <w:p w14:paraId="395F8E3D" w14:textId="77777777" w:rsidR="002E5800" w:rsidRPr="008F328C" w:rsidRDefault="000E0B7C">
      <w:pPr>
        <w:pStyle w:val="a3"/>
        <w:numPr>
          <w:ilvl w:val="0"/>
          <w:numId w:val="16"/>
        </w:numPr>
        <w:ind w:left="660" w:hanging="660"/>
        <w:rPr>
          <w:lang w:val="pl-PL"/>
        </w:rPr>
      </w:pPr>
      <w:r w:rsidRPr="008F328C">
        <w:rPr>
          <w:rFonts w:eastAsia="Times New Roman"/>
          <w:lang w:val="pl-PL"/>
        </w:rPr>
        <w:t>bóle głowy</w:t>
      </w:r>
    </w:p>
    <w:p w14:paraId="21E080BF" w14:textId="77777777" w:rsidR="002E5800" w:rsidRPr="008F328C" w:rsidRDefault="000E0B7C">
      <w:pPr>
        <w:pStyle w:val="a3"/>
        <w:numPr>
          <w:ilvl w:val="0"/>
          <w:numId w:val="16"/>
        </w:numPr>
        <w:ind w:left="660" w:hanging="660"/>
        <w:rPr>
          <w:lang w:val="pl-PL"/>
        </w:rPr>
      </w:pPr>
      <w:r w:rsidRPr="008F328C">
        <w:rPr>
          <w:rFonts w:eastAsia="Times New Roman"/>
          <w:lang w:val="pl-PL"/>
        </w:rPr>
        <w:t>bóle brzucha</w:t>
      </w:r>
    </w:p>
    <w:p w14:paraId="3CB7D6E9" w14:textId="77777777" w:rsidR="002E5800" w:rsidRPr="008F328C" w:rsidRDefault="000E0B7C">
      <w:pPr>
        <w:pStyle w:val="a3"/>
        <w:numPr>
          <w:ilvl w:val="0"/>
          <w:numId w:val="16"/>
        </w:numPr>
        <w:ind w:left="660" w:hanging="660"/>
        <w:rPr>
          <w:lang w:val="pl-PL"/>
        </w:rPr>
      </w:pPr>
      <w:r w:rsidRPr="008F328C">
        <w:rPr>
          <w:rFonts w:eastAsia="Times New Roman"/>
          <w:lang w:val="pl-PL"/>
        </w:rPr>
        <w:t>nudności i wymioty</w:t>
      </w:r>
    </w:p>
    <w:p w14:paraId="73BC72F8" w14:textId="77777777" w:rsidR="002E5800" w:rsidRPr="008F328C" w:rsidRDefault="000E0B7C">
      <w:pPr>
        <w:pStyle w:val="a3"/>
        <w:numPr>
          <w:ilvl w:val="0"/>
          <w:numId w:val="16"/>
        </w:numPr>
        <w:ind w:left="660" w:hanging="660"/>
        <w:rPr>
          <w:lang w:val="pl-PL"/>
        </w:rPr>
      </w:pPr>
      <w:r w:rsidRPr="008F328C">
        <w:rPr>
          <w:rFonts w:eastAsia="Times New Roman"/>
          <w:lang w:val="pl-PL"/>
        </w:rPr>
        <w:t>wysypka</w:t>
      </w:r>
    </w:p>
    <w:p w14:paraId="1F939B7E" w14:textId="77777777" w:rsidR="002E5800" w:rsidRPr="008F328C" w:rsidRDefault="000E0B7C">
      <w:pPr>
        <w:pStyle w:val="a3"/>
        <w:numPr>
          <w:ilvl w:val="0"/>
          <w:numId w:val="16"/>
        </w:numPr>
        <w:ind w:left="660" w:hanging="660"/>
        <w:rPr>
          <w:lang w:val="pl-PL"/>
        </w:rPr>
      </w:pPr>
      <w:r w:rsidRPr="008F328C">
        <w:rPr>
          <w:rFonts w:eastAsia="Times New Roman"/>
          <w:lang w:val="pl-PL"/>
        </w:rPr>
        <w:t>ból mięśniowo-szkieletowy</w:t>
      </w:r>
    </w:p>
    <w:p w14:paraId="7CC0ECF0" w14:textId="77777777" w:rsidR="002E5800" w:rsidRPr="008F328C" w:rsidRDefault="002E5800">
      <w:pPr>
        <w:spacing w:before="9" w:line="220" w:lineRule="exact"/>
        <w:rPr>
          <w:rFonts w:ascii="Times New Roman" w:hAnsi="Times New Roman" w:cs="Times New Roman"/>
          <w:lang w:val="pl-PL"/>
        </w:rPr>
      </w:pPr>
    </w:p>
    <w:p w14:paraId="104EADEC" w14:textId="77777777" w:rsidR="002E5800" w:rsidRPr="008F328C" w:rsidRDefault="000E0B7C">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osoby na 10:</w:t>
      </w:r>
    </w:p>
    <w:p w14:paraId="3572FE97" w14:textId="77777777" w:rsidR="002E5800" w:rsidRPr="008F328C" w:rsidRDefault="002E5800">
      <w:pPr>
        <w:spacing w:before="14" w:line="240" w:lineRule="exact"/>
        <w:rPr>
          <w:rFonts w:ascii="Times New Roman" w:hAnsi="Times New Roman" w:cs="Times New Roman"/>
          <w:sz w:val="24"/>
          <w:szCs w:val="24"/>
          <w:lang w:val="pl-PL"/>
        </w:rPr>
      </w:pPr>
    </w:p>
    <w:p w14:paraId="179DC81D" w14:textId="77777777" w:rsidR="002E5800" w:rsidRPr="008F328C" w:rsidRDefault="000E0B7C">
      <w:pPr>
        <w:pStyle w:val="a3"/>
        <w:numPr>
          <w:ilvl w:val="0"/>
          <w:numId w:val="16"/>
        </w:numPr>
        <w:ind w:left="660" w:hanging="660"/>
        <w:rPr>
          <w:lang w:val="pl-PL"/>
        </w:rPr>
      </w:pPr>
      <w:r w:rsidRPr="008F328C">
        <w:rPr>
          <w:rFonts w:eastAsia="Times New Roman"/>
          <w:lang w:val="pl-PL"/>
        </w:rPr>
        <w:t>poważne zakażenia (w tym posocznica [zakażenie krwi] i grypa)</w:t>
      </w:r>
    </w:p>
    <w:p w14:paraId="1B12D189"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jelitowe (w tym zakażenie żołądka i jelit)</w:t>
      </w:r>
    </w:p>
    <w:p w14:paraId="3BFD35CF"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skóry (w tym zapalenie tkanki łącznej i półpasiec)</w:t>
      </w:r>
    </w:p>
    <w:p w14:paraId="7C061326"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ucha</w:t>
      </w:r>
    </w:p>
    <w:p w14:paraId="1019878D"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w obrębie jamy ustnej (w tym zakażenia zębów i opryszczka wargowa)</w:t>
      </w:r>
    </w:p>
    <w:p w14:paraId="3E71F1AE"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dróg rodnych</w:t>
      </w:r>
    </w:p>
    <w:p w14:paraId="345188A9" w14:textId="77777777" w:rsidR="002E5800" w:rsidRPr="008F328C" w:rsidRDefault="000E0B7C">
      <w:pPr>
        <w:pStyle w:val="a3"/>
        <w:numPr>
          <w:ilvl w:val="0"/>
          <w:numId w:val="16"/>
        </w:numPr>
        <w:ind w:left="660" w:hanging="660"/>
        <w:rPr>
          <w:lang w:val="pl-PL"/>
        </w:rPr>
      </w:pPr>
      <w:r w:rsidRPr="008F328C">
        <w:rPr>
          <w:rFonts w:eastAsia="Times New Roman"/>
          <w:lang w:val="pl-PL"/>
        </w:rPr>
        <w:t>zakażenie dróg moczowych</w:t>
      </w:r>
    </w:p>
    <w:p w14:paraId="36F49D2D"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grzybicze</w:t>
      </w:r>
    </w:p>
    <w:p w14:paraId="613EA2C2"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stawów</w:t>
      </w:r>
    </w:p>
    <w:p w14:paraId="3AF6DD65" w14:textId="77777777" w:rsidR="002E5800" w:rsidRPr="008F328C" w:rsidRDefault="000E0B7C">
      <w:pPr>
        <w:pStyle w:val="a3"/>
        <w:numPr>
          <w:ilvl w:val="0"/>
          <w:numId w:val="16"/>
        </w:numPr>
        <w:ind w:left="660" w:hanging="660"/>
        <w:rPr>
          <w:lang w:val="pl-PL"/>
        </w:rPr>
      </w:pPr>
      <w:r w:rsidRPr="008F328C">
        <w:rPr>
          <w:rFonts w:eastAsia="Times New Roman"/>
          <w:lang w:val="pl-PL"/>
        </w:rPr>
        <w:t>nowotwory łagodne</w:t>
      </w:r>
    </w:p>
    <w:p w14:paraId="2B983B44" w14:textId="77777777" w:rsidR="002E5800" w:rsidRPr="008F328C" w:rsidRDefault="000E0B7C">
      <w:pPr>
        <w:pStyle w:val="a3"/>
        <w:numPr>
          <w:ilvl w:val="0"/>
          <w:numId w:val="16"/>
        </w:numPr>
        <w:ind w:left="660" w:hanging="660"/>
        <w:rPr>
          <w:lang w:val="pl-PL"/>
        </w:rPr>
      </w:pPr>
      <w:r w:rsidRPr="008F328C">
        <w:rPr>
          <w:rFonts w:eastAsia="Times New Roman"/>
          <w:lang w:val="pl-PL"/>
        </w:rPr>
        <w:t>rak skóry</w:t>
      </w:r>
    </w:p>
    <w:p w14:paraId="0A2675CD"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reakcje alergiczne (w tym alergia sezonowa)</w:t>
      </w:r>
    </w:p>
    <w:p w14:paraId="0081E1A3" w14:textId="77777777" w:rsidR="002E5800" w:rsidRPr="008F328C" w:rsidRDefault="000E0B7C">
      <w:pPr>
        <w:pStyle w:val="a3"/>
        <w:numPr>
          <w:ilvl w:val="0"/>
          <w:numId w:val="16"/>
        </w:numPr>
        <w:ind w:left="660" w:hanging="660"/>
        <w:rPr>
          <w:lang w:val="pl-PL"/>
        </w:rPr>
      </w:pPr>
      <w:r w:rsidRPr="008F328C">
        <w:rPr>
          <w:rFonts w:eastAsia="Times New Roman"/>
          <w:lang w:val="pl-PL"/>
        </w:rPr>
        <w:t>odwodnienie</w:t>
      </w:r>
    </w:p>
    <w:p w14:paraId="11B9EB7B" w14:textId="77777777" w:rsidR="002E5800" w:rsidRPr="008F328C" w:rsidRDefault="000E0B7C">
      <w:pPr>
        <w:pStyle w:val="a3"/>
        <w:numPr>
          <w:ilvl w:val="0"/>
          <w:numId w:val="16"/>
        </w:numPr>
        <w:ind w:left="660" w:hanging="660"/>
        <w:rPr>
          <w:lang w:val="pl-PL"/>
        </w:rPr>
      </w:pPr>
      <w:r w:rsidRPr="008F328C">
        <w:rPr>
          <w:rFonts w:eastAsia="Times New Roman"/>
          <w:lang w:val="pl-PL"/>
        </w:rPr>
        <w:t>wahania nastroju (w tym depresja)</w:t>
      </w:r>
    </w:p>
    <w:p w14:paraId="248B892E" w14:textId="77777777" w:rsidR="002E5800" w:rsidRPr="008F328C" w:rsidRDefault="000E0B7C">
      <w:pPr>
        <w:pStyle w:val="a3"/>
        <w:numPr>
          <w:ilvl w:val="0"/>
          <w:numId w:val="16"/>
        </w:numPr>
        <w:ind w:left="660" w:hanging="660"/>
        <w:rPr>
          <w:lang w:val="pl-PL"/>
        </w:rPr>
      </w:pPr>
      <w:r w:rsidRPr="008F328C">
        <w:rPr>
          <w:rFonts w:eastAsia="Times New Roman"/>
          <w:lang w:val="pl-PL"/>
        </w:rPr>
        <w:t>niepokój</w:t>
      </w:r>
    </w:p>
    <w:p w14:paraId="181A713C"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z zasypianiem</w:t>
      </w:r>
    </w:p>
    <w:p w14:paraId="4976B984"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czucia, takie jak mrowienie, szczypanie lub drętwienie</w:t>
      </w:r>
    </w:p>
    <w:p w14:paraId="6AB7CD50" w14:textId="77777777" w:rsidR="002E5800" w:rsidRPr="008F328C" w:rsidRDefault="000E0B7C">
      <w:pPr>
        <w:pStyle w:val="a3"/>
        <w:numPr>
          <w:ilvl w:val="0"/>
          <w:numId w:val="16"/>
        </w:numPr>
        <w:ind w:left="660" w:hanging="660"/>
        <w:rPr>
          <w:lang w:val="pl-PL"/>
        </w:rPr>
      </w:pPr>
      <w:r w:rsidRPr="008F328C">
        <w:rPr>
          <w:rFonts w:eastAsia="Times New Roman"/>
          <w:lang w:val="pl-PL"/>
        </w:rPr>
        <w:t>migrena</w:t>
      </w:r>
    </w:p>
    <w:p w14:paraId="284C5BD1" w14:textId="77777777" w:rsidR="002E5800" w:rsidRPr="008F328C" w:rsidRDefault="000E0B7C">
      <w:pPr>
        <w:pStyle w:val="a3"/>
        <w:numPr>
          <w:ilvl w:val="0"/>
          <w:numId w:val="16"/>
        </w:numPr>
        <w:ind w:left="660" w:hanging="660"/>
        <w:rPr>
          <w:lang w:val="pl-PL"/>
        </w:rPr>
      </w:pPr>
      <w:r w:rsidRPr="008F328C">
        <w:rPr>
          <w:rFonts w:eastAsia="Times New Roman"/>
          <w:lang w:val="pl-PL"/>
        </w:rPr>
        <w:t>ucisk korzenia nerwowego (w tym bóle krzyża i ból nóg)</w:t>
      </w:r>
    </w:p>
    <w:p w14:paraId="146B2E08"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widzenia</w:t>
      </w:r>
    </w:p>
    <w:p w14:paraId="6ED198DC" w14:textId="77777777" w:rsidR="002E5800" w:rsidRPr="008F328C" w:rsidRDefault="000E0B7C">
      <w:pPr>
        <w:pStyle w:val="a3"/>
        <w:numPr>
          <w:ilvl w:val="0"/>
          <w:numId w:val="16"/>
        </w:numPr>
        <w:ind w:left="660" w:hanging="660"/>
        <w:rPr>
          <w:lang w:val="pl-PL"/>
        </w:rPr>
      </w:pPr>
      <w:r w:rsidRPr="008F328C">
        <w:rPr>
          <w:rFonts w:eastAsia="Times New Roman"/>
          <w:lang w:val="pl-PL"/>
        </w:rPr>
        <w:t>stan zapalny oka</w:t>
      </w:r>
    </w:p>
    <w:p w14:paraId="79E21359" w14:textId="77777777" w:rsidR="002E5800" w:rsidRPr="008F328C" w:rsidRDefault="000E0B7C">
      <w:pPr>
        <w:pStyle w:val="a3"/>
        <w:numPr>
          <w:ilvl w:val="0"/>
          <w:numId w:val="16"/>
        </w:numPr>
        <w:ind w:left="660" w:hanging="660"/>
        <w:rPr>
          <w:lang w:val="pl-PL"/>
        </w:rPr>
      </w:pPr>
      <w:r w:rsidRPr="008F328C">
        <w:rPr>
          <w:rFonts w:eastAsia="Times New Roman"/>
          <w:lang w:val="pl-PL"/>
        </w:rPr>
        <w:t>zapalenie powiek i obrzęk oka</w:t>
      </w:r>
    </w:p>
    <w:p w14:paraId="710D3F08" w14:textId="77777777" w:rsidR="002E5800" w:rsidRPr="008F328C" w:rsidRDefault="000E0B7C">
      <w:pPr>
        <w:pStyle w:val="a3"/>
        <w:numPr>
          <w:ilvl w:val="0"/>
          <w:numId w:val="16"/>
        </w:numPr>
        <w:ind w:left="660" w:hanging="660"/>
        <w:rPr>
          <w:lang w:val="pl-PL"/>
        </w:rPr>
      </w:pPr>
      <w:r w:rsidRPr="008F328C">
        <w:rPr>
          <w:rFonts w:eastAsia="Times New Roman"/>
          <w:lang w:val="pl-PL"/>
        </w:rPr>
        <w:t>zawroty głowy (wrażenie wirowania z zaburzeniami równowagi)</w:t>
      </w:r>
    </w:p>
    <w:p w14:paraId="2437FFEF" w14:textId="77777777" w:rsidR="002E5800" w:rsidRPr="008F328C" w:rsidRDefault="000E0B7C">
      <w:pPr>
        <w:pStyle w:val="a3"/>
        <w:numPr>
          <w:ilvl w:val="0"/>
          <w:numId w:val="16"/>
        </w:numPr>
        <w:ind w:left="660" w:hanging="660"/>
        <w:rPr>
          <w:lang w:val="pl-PL"/>
        </w:rPr>
      </w:pPr>
      <w:r w:rsidRPr="008F328C">
        <w:rPr>
          <w:rFonts w:eastAsia="Times New Roman"/>
          <w:lang w:val="pl-PL"/>
        </w:rPr>
        <w:t>wrażenie szybkiego bicia serca</w:t>
      </w:r>
    </w:p>
    <w:p w14:paraId="13622834" w14:textId="77777777" w:rsidR="002E5800" w:rsidRPr="008F328C" w:rsidRDefault="000E0B7C">
      <w:pPr>
        <w:pStyle w:val="a3"/>
        <w:numPr>
          <w:ilvl w:val="0"/>
          <w:numId w:val="16"/>
        </w:numPr>
        <w:ind w:left="660" w:hanging="660"/>
        <w:rPr>
          <w:lang w:val="pl-PL"/>
        </w:rPr>
      </w:pPr>
      <w:r w:rsidRPr="008F328C">
        <w:rPr>
          <w:rFonts w:eastAsia="Times New Roman"/>
          <w:lang w:val="pl-PL"/>
        </w:rPr>
        <w:t>wysokie ciśnienie tętnicze</w:t>
      </w:r>
    </w:p>
    <w:p w14:paraId="37AD0518" w14:textId="77777777" w:rsidR="002E5800" w:rsidRPr="008F328C" w:rsidRDefault="000E0B7C">
      <w:pPr>
        <w:pStyle w:val="a3"/>
        <w:numPr>
          <w:ilvl w:val="0"/>
          <w:numId w:val="16"/>
        </w:numPr>
        <w:ind w:left="660" w:hanging="660"/>
        <w:rPr>
          <w:lang w:val="pl-PL"/>
        </w:rPr>
      </w:pPr>
      <w:r w:rsidRPr="008F328C">
        <w:rPr>
          <w:rFonts w:eastAsia="Times New Roman"/>
          <w:lang w:val="pl-PL"/>
        </w:rPr>
        <w:t>zaczerwienienie skóry z uczuciem gorąca</w:t>
      </w:r>
    </w:p>
    <w:p w14:paraId="03A93806" w14:textId="77777777" w:rsidR="002E5800" w:rsidRPr="008F328C" w:rsidRDefault="000E0B7C">
      <w:pPr>
        <w:pStyle w:val="a3"/>
        <w:numPr>
          <w:ilvl w:val="0"/>
          <w:numId w:val="16"/>
        </w:numPr>
        <w:ind w:left="660" w:hanging="660"/>
        <w:rPr>
          <w:lang w:val="pl-PL"/>
        </w:rPr>
      </w:pPr>
      <w:r w:rsidRPr="008F328C">
        <w:rPr>
          <w:rFonts w:eastAsia="Times New Roman"/>
          <w:lang w:val="pl-PL"/>
        </w:rPr>
        <w:t>krwiak (gromadzenie się krwi poza naczyniami krwionośnymi)</w:t>
      </w:r>
    </w:p>
    <w:p w14:paraId="0DD6EA8A" w14:textId="77777777" w:rsidR="002E5800" w:rsidRPr="008F328C" w:rsidRDefault="000E0B7C">
      <w:pPr>
        <w:pStyle w:val="a3"/>
        <w:numPr>
          <w:ilvl w:val="0"/>
          <w:numId w:val="16"/>
        </w:numPr>
        <w:ind w:left="660" w:hanging="660"/>
        <w:rPr>
          <w:lang w:val="pl-PL"/>
        </w:rPr>
      </w:pPr>
      <w:r w:rsidRPr="008F328C">
        <w:rPr>
          <w:rFonts w:eastAsia="Times New Roman"/>
          <w:lang w:val="pl-PL"/>
        </w:rPr>
        <w:t>kaszel</w:t>
      </w:r>
    </w:p>
    <w:p w14:paraId="08F077FE" w14:textId="77777777" w:rsidR="002E5800" w:rsidRPr="008F328C" w:rsidRDefault="000E0B7C">
      <w:pPr>
        <w:pStyle w:val="a3"/>
        <w:numPr>
          <w:ilvl w:val="0"/>
          <w:numId w:val="16"/>
        </w:numPr>
        <w:ind w:left="660" w:hanging="660"/>
        <w:rPr>
          <w:lang w:val="pl-PL"/>
        </w:rPr>
      </w:pPr>
      <w:r w:rsidRPr="008F328C">
        <w:rPr>
          <w:rFonts w:eastAsia="Times New Roman"/>
          <w:lang w:val="pl-PL"/>
        </w:rPr>
        <w:t>astma</w:t>
      </w:r>
    </w:p>
    <w:p w14:paraId="0C38062C" w14:textId="77777777" w:rsidR="002E5800" w:rsidRPr="008F328C" w:rsidRDefault="000E0B7C">
      <w:pPr>
        <w:pStyle w:val="a3"/>
        <w:numPr>
          <w:ilvl w:val="0"/>
          <w:numId w:val="16"/>
        </w:numPr>
        <w:ind w:left="660" w:hanging="660"/>
        <w:rPr>
          <w:lang w:val="pl-PL"/>
        </w:rPr>
      </w:pPr>
      <w:r w:rsidRPr="008F328C">
        <w:rPr>
          <w:rFonts w:eastAsia="Times New Roman"/>
          <w:lang w:val="pl-PL"/>
        </w:rPr>
        <w:t>duszność</w:t>
      </w:r>
    </w:p>
    <w:p w14:paraId="5C51709E" w14:textId="77777777" w:rsidR="002E5800" w:rsidRPr="008F328C" w:rsidRDefault="000E0B7C">
      <w:pPr>
        <w:pStyle w:val="a3"/>
        <w:numPr>
          <w:ilvl w:val="0"/>
          <w:numId w:val="16"/>
        </w:numPr>
        <w:ind w:left="660" w:hanging="660"/>
        <w:rPr>
          <w:lang w:val="pl-PL"/>
        </w:rPr>
      </w:pPr>
      <w:r w:rsidRPr="008F328C">
        <w:rPr>
          <w:rFonts w:eastAsia="Times New Roman"/>
          <w:lang w:val="pl-PL"/>
        </w:rPr>
        <w:t>krwawienie z przewodu pokarmowego</w:t>
      </w:r>
    </w:p>
    <w:p w14:paraId="3B5A44CD" w14:textId="77777777" w:rsidR="002E5800" w:rsidRPr="008F328C" w:rsidRDefault="000E0B7C">
      <w:pPr>
        <w:pStyle w:val="a3"/>
        <w:numPr>
          <w:ilvl w:val="0"/>
          <w:numId w:val="16"/>
        </w:numPr>
        <w:ind w:left="660" w:hanging="660"/>
        <w:rPr>
          <w:lang w:val="pl-PL"/>
        </w:rPr>
      </w:pPr>
      <w:r w:rsidRPr="008F328C">
        <w:rPr>
          <w:rFonts w:eastAsia="Times New Roman"/>
          <w:lang w:val="pl-PL"/>
        </w:rPr>
        <w:t>objawy dyspeptyczne (niestrawność, wzdęcie, zgaga)</w:t>
      </w:r>
    </w:p>
    <w:p w14:paraId="110E396D" w14:textId="77777777" w:rsidR="002E5800" w:rsidRPr="008F328C" w:rsidRDefault="000E0B7C">
      <w:pPr>
        <w:pStyle w:val="a3"/>
        <w:numPr>
          <w:ilvl w:val="0"/>
          <w:numId w:val="16"/>
        </w:numPr>
        <w:ind w:left="660" w:hanging="660"/>
        <w:rPr>
          <w:lang w:val="pl-PL"/>
        </w:rPr>
      </w:pPr>
      <w:r w:rsidRPr="008F328C">
        <w:rPr>
          <w:rFonts w:eastAsia="Times New Roman"/>
          <w:lang w:val="pl-PL"/>
        </w:rPr>
        <w:t>choroba refluksowa przełyku</w:t>
      </w:r>
    </w:p>
    <w:p w14:paraId="69BDD2FA" w14:textId="77777777" w:rsidR="002E5800" w:rsidRPr="008F328C" w:rsidRDefault="000E0B7C">
      <w:pPr>
        <w:pStyle w:val="a3"/>
        <w:numPr>
          <w:ilvl w:val="0"/>
          <w:numId w:val="16"/>
        </w:numPr>
        <w:ind w:left="660" w:hanging="660"/>
        <w:rPr>
          <w:lang w:val="pl-PL"/>
        </w:rPr>
      </w:pPr>
      <w:r w:rsidRPr="008F328C">
        <w:rPr>
          <w:rFonts w:eastAsia="Times New Roman"/>
          <w:lang w:val="pl-PL"/>
        </w:rPr>
        <w:t>zespół suchości (w tym suchość oczu i jamy ustnej)</w:t>
      </w:r>
    </w:p>
    <w:p w14:paraId="3253AC7E" w14:textId="77777777" w:rsidR="002E5800" w:rsidRPr="008F328C" w:rsidRDefault="000E0B7C">
      <w:pPr>
        <w:pStyle w:val="a3"/>
        <w:numPr>
          <w:ilvl w:val="0"/>
          <w:numId w:val="16"/>
        </w:numPr>
        <w:ind w:left="660" w:hanging="660"/>
        <w:rPr>
          <w:lang w:val="pl-PL"/>
        </w:rPr>
      </w:pPr>
      <w:r w:rsidRPr="008F328C">
        <w:rPr>
          <w:rFonts w:eastAsia="Times New Roman"/>
          <w:lang w:val="pl-PL"/>
        </w:rPr>
        <w:t>świąd</w:t>
      </w:r>
    </w:p>
    <w:p w14:paraId="4F0D3849" w14:textId="77777777" w:rsidR="002E5800" w:rsidRPr="008F328C" w:rsidRDefault="000E0B7C">
      <w:pPr>
        <w:pStyle w:val="a3"/>
        <w:numPr>
          <w:ilvl w:val="0"/>
          <w:numId w:val="16"/>
        </w:numPr>
        <w:ind w:left="660" w:hanging="660"/>
        <w:rPr>
          <w:rFonts w:eastAsia="Times New Roman"/>
          <w:spacing w:val="-1"/>
          <w:lang w:val="pl-PL"/>
        </w:rPr>
      </w:pPr>
      <w:r w:rsidRPr="008F328C">
        <w:rPr>
          <w:rFonts w:eastAsia="Times New Roman"/>
          <w:lang w:val="pl-PL"/>
        </w:rPr>
        <w:t>swędząca wysypka</w:t>
      </w:r>
    </w:p>
    <w:p w14:paraId="4935328B" w14:textId="77777777" w:rsidR="002E5800" w:rsidRPr="008F328C" w:rsidRDefault="000E0B7C">
      <w:pPr>
        <w:pStyle w:val="a3"/>
        <w:numPr>
          <w:ilvl w:val="0"/>
          <w:numId w:val="16"/>
        </w:numPr>
        <w:ind w:left="660" w:hanging="660"/>
        <w:rPr>
          <w:lang w:val="pl-PL"/>
        </w:rPr>
      </w:pPr>
      <w:r w:rsidRPr="008F328C">
        <w:rPr>
          <w:rFonts w:eastAsia="Times New Roman"/>
          <w:lang w:val="pl-PL"/>
        </w:rPr>
        <w:t>siniaczenie</w:t>
      </w:r>
    </w:p>
    <w:p w14:paraId="18E0D929" w14:textId="77777777" w:rsidR="002E5800" w:rsidRPr="008F328C" w:rsidRDefault="000E0B7C">
      <w:pPr>
        <w:pStyle w:val="a3"/>
        <w:numPr>
          <w:ilvl w:val="0"/>
          <w:numId w:val="16"/>
        </w:numPr>
        <w:ind w:left="660" w:hanging="660"/>
        <w:rPr>
          <w:lang w:val="pl-PL"/>
        </w:rPr>
      </w:pPr>
      <w:r w:rsidRPr="008F328C">
        <w:rPr>
          <w:rFonts w:eastAsia="Times New Roman"/>
          <w:lang w:val="pl-PL"/>
        </w:rPr>
        <w:t>zapalenie skóry (takie jak wyprysk)</w:t>
      </w:r>
    </w:p>
    <w:p w14:paraId="04F7CB7F" w14:textId="77777777" w:rsidR="002E5800" w:rsidRPr="008F328C" w:rsidRDefault="000E0B7C">
      <w:pPr>
        <w:pStyle w:val="a3"/>
        <w:numPr>
          <w:ilvl w:val="0"/>
          <w:numId w:val="16"/>
        </w:numPr>
        <w:ind w:left="660" w:hanging="660"/>
        <w:rPr>
          <w:lang w:val="pl-PL"/>
        </w:rPr>
      </w:pPr>
      <w:r w:rsidRPr="008F328C">
        <w:rPr>
          <w:rFonts w:eastAsia="Times New Roman"/>
          <w:lang w:val="pl-PL"/>
        </w:rPr>
        <w:t>łamliwość paznokci</w:t>
      </w:r>
    </w:p>
    <w:p w14:paraId="31467332"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potliwość</w:t>
      </w:r>
    </w:p>
    <w:p w14:paraId="76BE1782" w14:textId="77777777" w:rsidR="002E5800" w:rsidRPr="008F328C" w:rsidRDefault="000E0B7C">
      <w:pPr>
        <w:pStyle w:val="a3"/>
        <w:numPr>
          <w:ilvl w:val="0"/>
          <w:numId w:val="16"/>
        </w:numPr>
        <w:ind w:left="660" w:hanging="660"/>
        <w:rPr>
          <w:lang w:val="pl-PL"/>
        </w:rPr>
      </w:pPr>
      <w:r w:rsidRPr="008F328C">
        <w:rPr>
          <w:rFonts w:eastAsia="Times New Roman"/>
          <w:lang w:val="pl-PL"/>
        </w:rPr>
        <w:t>wypadanie włosów</w:t>
      </w:r>
    </w:p>
    <w:p w14:paraId="7598C7F7" w14:textId="77777777" w:rsidR="002E5800" w:rsidRPr="008F328C" w:rsidRDefault="000E0B7C">
      <w:pPr>
        <w:pStyle w:val="a3"/>
        <w:numPr>
          <w:ilvl w:val="0"/>
          <w:numId w:val="16"/>
        </w:numPr>
        <w:ind w:left="660" w:hanging="660"/>
        <w:rPr>
          <w:lang w:val="pl-PL"/>
        </w:rPr>
      </w:pPr>
      <w:r w:rsidRPr="008F328C">
        <w:rPr>
          <w:rFonts w:eastAsia="Times New Roman"/>
          <w:lang w:val="pl-PL"/>
        </w:rPr>
        <w:t>wystąpienie lub pogorszenie się łuszczycy</w:t>
      </w:r>
    </w:p>
    <w:p w14:paraId="013C44BF" w14:textId="77777777" w:rsidR="002E5800" w:rsidRPr="008F328C" w:rsidRDefault="000E0B7C">
      <w:pPr>
        <w:pStyle w:val="a3"/>
        <w:numPr>
          <w:ilvl w:val="0"/>
          <w:numId w:val="16"/>
        </w:numPr>
        <w:ind w:left="660" w:hanging="660"/>
        <w:rPr>
          <w:lang w:val="pl-PL"/>
        </w:rPr>
      </w:pPr>
      <w:r w:rsidRPr="008F328C">
        <w:rPr>
          <w:rFonts w:eastAsia="Times New Roman"/>
          <w:lang w:val="pl-PL"/>
        </w:rPr>
        <w:t>skurcze mięśni</w:t>
      </w:r>
    </w:p>
    <w:p w14:paraId="00260A2A" w14:textId="77777777" w:rsidR="002E5800" w:rsidRPr="008F328C" w:rsidRDefault="000E0B7C">
      <w:pPr>
        <w:pStyle w:val="a3"/>
        <w:numPr>
          <w:ilvl w:val="0"/>
          <w:numId w:val="16"/>
        </w:numPr>
        <w:ind w:left="660" w:hanging="660"/>
        <w:rPr>
          <w:lang w:val="pl-PL"/>
        </w:rPr>
      </w:pPr>
      <w:r w:rsidRPr="008F328C">
        <w:rPr>
          <w:rFonts w:eastAsia="Times New Roman"/>
          <w:lang w:val="pl-PL"/>
        </w:rPr>
        <w:t>krew w moczu</w:t>
      </w:r>
    </w:p>
    <w:p w14:paraId="4E609844" w14:textId="77777777" w:rsidR="002E5800" w:rsidRPr="008F328C" w:rsidRDefault="000E0B7C">
      <w:pPr>
        <w:pStyle w:val="a3"/>
        <w:numPr>
          <w:ilvl w:val="0"/>
          <w:numId w:val="16"/>
        </w:numPr>
        <w:ind w:left="660" w:hanging="660"/>
        <w:rPr>
          <w:lang w:val="pl-PL"/>
        </w:rPr>
      </w:pPr>
      <w:r w:rsidRPr="008F328C">
        <w:rPr>
          <w:rFonts w:eastAsia="Times New Roman"/>
          <w:lang w:val="pl-PL"/>
        </w:rPr>
        <w:t>dolegliwości ze strony nerek</w:t>
      </w:r>
    </w:p>
    <w:p w14:paraId="6ABE5814" w14:textId="77777777" w:rsidR="002E5800" w:rsidRPr="008F328C" w:rsidRDefault="000E0B7C">
      <w:pPr>
        <w:pStyle w:val="a3"/>
        <w:numPr>
          <w:ilvl w:val="0"/>
          <w:numId w:val="16"/>
        </w:numPr>
        <w:ind w:left="660" w:hanging="660"/>
        <w:rPr>
          <w:lang w:val="pl-PL"/>
        </w:rPr>
      </w:pPr>
      <w:r w:rsidRPr="008F328C">
        <w:rPr>
          <w:rFonts w:eastAsia="Times New Roman"/>
          <w:lang w:val="pl-PL"/>
        </w:rPr>
        <w:t>bóle w klatce piersiowej</w:t>
      </w:r>
    </w:p>
    <w:p w14:paraId="2345F6DF" w14:textId="77777777" w:rsidR="002E5800" w:rsidRPr="008F328C" w:rsidRDefault="000E0B7C">
      <w:pPr>
        <w:pStyle w:val="a3"/>
        <w:numPr>
          <w:ilvl w:val="0"/>
          <w:numId w:val="16"/>
        </w:numPr>
        <w:ind w:left="660" w:hanging="660"/>
        <w:rPr>
          <w:lang w:val="pl-PL"/>
        </w:rPr>
      </w:pPr>
      <w:r w:rsidRPr="008F328C">
        <w:rPr>
          <w:rFonts w:eastAsia="Times New Roman"/>
          <w:lang w:val="pl-PL"/>
        </w:rPr>
        <w:t>obrzęki</w:t>
      </w:r>
    </w:p>
    <w:p w14:paraId="4E1C894D" w14:textId="77777777" w:rsidR="002E5800" w:rsidRPr="008F328C" w:rsidRDefault="000E0B7C">
      <w:pPr>
        <w:pStyle w:val="a3"/>
        <w:numPr>
          <w:ilvl w:val="0"/>
          <w:numId w:val="16"/>
        </w:numPr>
        <w:ind w:left="660" w:hanging="660"/>
        <w:rPr>
          <w:lang w:val="pl-PL"/>
        </w:rPr>
      </w:pPr>
      <w:r w:rsidRPr="008F328C">
        <w:rPr>
          <w:rFonts w:eastAsia="Times New Roman"/>
          <w:lang w:val="pl-PL"/>
        </w:rPr>
        <w:t>gorączka</w:t>
      </w:r>
    </w:p>
    <w:p w14:paraId="37CC22F8" w14:textId="77777777" w:rsidR="002E5800" w:rsidRPr="008F328C" w:rsidRDefault="000E0B7C">
      <w:pPr>
        <w:pStyle w:val="a3"/>
        <w:numPr>
          <w:ilvl w:val="0"/>
          <w:numId w:val="16"/>
        </w:numPr>
        <w:ind w:left="660" w:hanging="660"/>
        <w:rPr>
          <w:lang w:val="pl-PL"/>
        </w:rPr>
      </w:pPr>
      <w:r w:rsidRPr="008F328C">
        <w:rPr>
          <w:rFonts w:eastAsia="Times New Roman"/>
          <w:lang w:val="pl-PL"/>
        </w:rPr>
        <w:t>zmniejszenie liczby płytek krwi, co zwiększa ryzyko krwawienia lub siniaczenia</w:t>
      </w:r>
    </w:p>
    <w:p w14:paraId="2D664F53" w14:textId="77777777" w:rsidR="002E5800" w:rsidRPr="008F328C" w:rsidRDefault="000E0B7C">
      <w:pPr>
        <w:pStyle w:val="a3"/>
        <w:numPr>
          <w:ilvl w:val="0"/>
          <w:numId w:val="16"/>
        </w:numPr>
        <w:ind w:left="660" w:hanging="660"/>
        <w:rPr>
          <w:lang w:val="pl-PL"/>
        </w:rPr>
      </w:pPr>
      <w:r w:rsidRPr="008F328C">
        <w:rPr>
          <w:rFonts w:eastAsia="Times New Roman"/>
          <w:lang w:val="pl-PL"/>
        </w:rPr>
        <w:t>zaburzenie gojenia ran</w:t>
      </w:r>
    </w:p>
    <w:p w14:paraId="48FDE4B7" w14:textId="77777777" w:rsidR="002E5800" w:rsidRPr="008F328C" w:rsidRDefault="002E5800">
      <w:pPr>
        <w:spacing w:before="10" w:line="240" w:lineRule="exact"/>
        <w:rPr>
          <w:rFonts w:ascii="Times New Roman" w:hAnsi="Times New Roman" w:cs="Times New Roman"/>
          <w:sz w:val="24"/>
          <w:szCs w:val="24"/>
          <w:lang w:val="pl-PL"/>
        </w:rPr>
      </w:pPr>
    </w:p>
    <w:p w14:paraId="4F3C17D9"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4F6BB1BA" w14:textId="77777777" w:rsidR="002E5800" w:rsidRPr="008F328C" w:rsidRDefault="002E5800">
      <w:pPr>
        <w:spacing w:before="14" w:line="260" w:lineRule="exact"/>
        <w:rPr>
          <w:rFonts w:ascii="Times New Roman" w:hAnsi="Times New Roman" w:cs="Times New Roman"/>
          <w:sz w:val="26"/>
          <w:szCs w:val="26"/>
          <w:lang w:val="pl-PL"/>
        </w:rPr>
      </w:pPr>
    </w:p>
    <w:p w14:paraId="718E1ADD"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oportunistyczne (w tym gruźlica i inne zakażenia, które występują, gdy zmniejsza się odporność na zachorowanie)</w:t>
      </w:r>
    </w:p>
    <w:p w14:paraId="73A97882"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układu nerwowego (w tym wirusowe zapalenie opon mózgowych)</w:t>
      </w:r>
    </w:p>
    <w:p w14:paraId="4781068B"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oka</w:t>
      </w:r>
    </w:p>
    <w:p w14:paraId="3BE4CAF4"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bakteryjne</w:t>
      </w:r>
    </w:p>
    <w:p w14:paraId="534ABEEB" w14:textId="77777777" w:rsidR="002E5800" w:rsidRPr="008F328C" w:rsidRDefault="000E0B7C">
      <w:pPr>
        <w:pStyle w:val="a3"/>
        <w:numPr>
          <w:ilvl w:val="0"/>
          <w:numId w:val="16"/>
        </w:numPr>
        <w:ind w:left="660" w:hanging="660"/>
        <w:rPr>
          <w:lang w:val="pl-PL"/>
        </w:rPr>
      </w:pPr>
      <w:r w:rsidRPr="008F328C">
        <w:rPr>
          <w:rFonts w:eastAsia="Times New Roman"/>
          <w:lang w:val="pl-PL"/>
        </w:rPr>
        <w:t>zapalenie uchyłka (zapalenie i zakażenie jelita grubego)</w:t>
      </w:r>
    </w:p>
    <w:p w14:paraId="758B13C3" w14:textId="77777777" w:rsidR="002E5800" w:rsidRPr="008F328C" w:rsidRDefault="000E0B7C">
      <w:pPr>
        <w:pStyle w:val="a3"/>
        <w:numPr>
          <w:ilvl w:val="0"/>
          <w:numId w:val="16"/>
        </w:numPr>
        <w:ind w:left="660" w:hanging="660"/>
        <w:rPr>
          <w:lang w:val="pl-PL"/>
        </w:rPr>
      </w:pPr>
      <w:r w:rsidRPr="008F328C">
        <w:rPr>
          <w:rFonts w:eastAsia="Times New Roman"/>
          <w:lang w:val="pl-PL"/>
        </w:rPr>
        <w:t>rak</w:t>
      </w:r>
    </w:p>
    <w:p w14:paraId="73820A3C" w14:textId="77777777" w:rsidR="002E5800" w:rsidRPr="008F328C" w:rsidRDefault="000E0B7C">
      <w:pPr>
        <w:pStyle w:val="a3"/>
        <w:numPr>
          <w:ilvl w:val="0"/>
          <w:numId w:val="16"/>
        </w:numPr>
        <w:ind w:left="660" w:hanging="660"/>
        <w:rPr>
          <w:lang w:val="pl-PL"/>
        </w:rPr>
      </w:pPr>
      <w:r w:rsidRPr="008F328C">
        <w:rPr>
          <w:rFonts w:eastAsia="Times New Roman"/>
          <w:lang w:val="pl-PL"/>
        </w:rPr>
        <w:t>nowotwór złośliwy układu limfatycznego</w:t>
      </w:r>
    </w:p>
    <w:p w14:paraId="5ECF9D4D"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czerniak</w:t>
      </w:r>
    </w:p>
    <w:p w14:paraId="5DD27667"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układu immunologicznego, które mogą powodować zmiany w płucach, skórze i węzłach chłonnych (najczęściej objawiające się jako sarkoidoza)</w:t>
      </w:r>
    </w:p>
    <w:p w14:paraId="6E1528AE" w14:textId="77777777" w:rsidR="002E5800" w:rsidRPr="008F328C" w:rsidRDefault="000E0B7C">
      <w:pPr>
        <w:pStyle w:val="a3"/>
        <w:numPr>
          <w:ilvl w:val="0"/>
          <w:numId w:val="16"/>
        </w:numPr>
        <w:ind w:left="660" w:hanging="660"/>
        <w:rPr>
          <w:lang w:val="pl-PL"/>
        </w:rPr>
      </w:pPr>
      <w:r w:rsidRPr="008F328C">
        <w:rPr>
          <w:rFonts w:eastAsia="Times New Roman"/>
          <w:lang w:val="pl-PL"/>
        </w:rPr>
        <w:t>zapalenie naczyń krwionośnych</w:t>
      </w:r>
    </w:p>
    <w:p w14:paraId="3CC67E31" w14:textId="77777777" w:rsidR="002E5800" w:rsidRPr="008F328C" w:rsidRDefault="000E0B7C">
      <w:pPr>
        <w:pStyle w:val="a3"/>
        <w:numPr>
          <w:ilvl w:val="0"/>
          <w:numId w:val="16"/>
        </w:numPr>
        <w:ind w:left="660" w:hanging="660"/>
        <w:rPr>
          <w:lang w:val="pl-PL"/>
        </w:rPr>
      </w:pPr>
      <w:r w:rsidRPr="008F328C">
        <w:rPr>
          <w:rFonts w:eastAsia="Times New Roman"/>
          <w:lang w:val="pl-PL"/>
        </w:rPr>
        <w:t>drżenie</w:t>
      </w:r>
    </w:p>
    <w:p w14:paraId="25E3F5B2" w14:textId="77777777" w:rsidR="002E5800" w:rsidRPr="008F328C" w:rsidRDefault="000E0B7C">
      <w:pPr>
        <w:pStyle w:val="a3"/>
        <w:numPr>
          <w:ilvl w:val="0"/>
          <w:numId w:val="16"/>
        </w:numPr>
        <w:ind w:left="660" w:hanging="660"/>
        <w:rPr>
          <w:lang w:val="pl-PL"/>
        </w:rPr>
      </w:pPr>
      <w:r w:rsidRPr="008F328C">
        <w:rPr>
          <w:rFonts w:eastAsia="Times New Roman"/>
          <w:lang w:val="pl-PL"/>
        </w:rPr>
        <w:t>neuropatia (choroba nerwów obwodowych)</w:t>
      </w:r>
    </w:p>
    <w:p w14:paraId="3555639D" w14:textId="77777777" w:rsidR="002E5800" w:rsidRPr="008F328C" w:rsidRDefault="000E0B7C">
      <w:pPr>
        <w:pStyle w:val="a3"/>
        <w:numPr>
          <w:ilvl w:val="0"/>
          <w:numId w:val="16"/>
        </w:numPr>
        <w:ind w:left="660" w:hanging="660"/>
        <w:rPr>
          <w:lang w:val="pl-PL"/>
        </w:rPr>
      </w:pPr>
      <w:r w:rsidRPr="008F328C">
        <w:rPr>
          <w:rFonts w:eastAsia="Times New Roman"/>
          <w:lang w:val="pl-PL"/>
        </w:rPr>
        <w:t>udar</w:t>
      </w:r>
    </w:p>
    <w:p w14:paraId="27DB4F7C" w14:textId="77777777" w:rsidR="002E5800" w:rsidRPr="008F328C" w:rsidRDefault="000E0B7C">
      <w:pPr>
        <w:pStyle w:val="a3"/>
        <w:numPr>
          <w:ilvl w:val="0"/>
          <w:numId w:val="16"/>
        </w:numPr>
        <w:ind w:left="660" w:hanging="660"/>
        <w:rPr>
          <w:lang w:val="pl-PL"/>
        </w:rPr>
      </w:pPr>
      <w:r w:rsidRPr="008F328C">
        <w:rPr>
          <w:rFonts w:eastAsia="Times New Roman"/>
          <w:lang w:val="pl-PL"/>
        </w:rPr>
        <w:t>utrata słuchu, szumy w uszach</w:t>
      </w:r>
    </w:p>
    <w:p w14:paraId="23850C89" w14:textId="77777777" w:rsidR="002E5800" w:rsidRPr="008F328C" w:rsidRDefault="000E0B7C">
      <w:pPr>
        <w:pStyle w:val="a3"/>
        <w:numPr>
          <w:ilvl w:val="0"/>
          <w:numId w:val="16"/>
        </w:numPr>
        <w:ind w:left="660" w:hanging="660"/>
        <w:rPr>
          <w:lang w:val="pl-PL"/>
        </w:rPr>
      </w:pPr>
      <w:r w:rsidRPr="008F328C">
        <w:rPr>
          <w:rFonts w:eastAsia="Times New Roman"/>
          <w:lang w:val="pl-PL"/>
        </w:rPr>
        <w:t>wrażenie nieregularnego bicia serca, takie jak wrażenie wypadania kolejnych uderzeń serca</w:t>
      </w:r>
    </w:p>
    <w:p w14:paraId="423E97FF"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serca, które mogą powodować duszność lub obrzęki kostek</w:t>
      </w:r>
    </w:p>
    <w:p w14:paraId="7659DC43" w14:textId="77777777" w:rsidR="002E5800" w:rsidRPr="008F328C" w:rsidRDefault="000E0B7C">
      <w:pPr>
        <w:pStyle w:val="a3"/>
        <w:numPr>
          <w:ilvl w:val="0"/>
          <w:numId w:val="16"/>
        </w:numPr>
        <w:ind w:left="660" w:hanging="660"/>
        <w:rPr>
          <w:lang w:val="pl-PL"/>
        </w:rPr>
      </w:pPr>
      <w:r w:rsidRPr="008F328C">
        <w:rPr>
          <w:rFonts w:eastAsia="Times New Roman"/>
          <w:lang w:val="pl-PL"/>
        </w:rPr>
        <w:t>zawał serca</w:t>
      </w:r>
    </w:p>
    <w:p w14:paraId="7063F33E" w14:textId="77777777" w:rsidR="002E5800" w:rsidRPr="008F328C" w:rsidRDefault="000E0B7C">
      <w:pPr>
        <w:pStyle w:val="a3"/>
        <w:numPr>
          <w:ilvl w:val="0"/>
          <w:numId w:val="16"/>
        </w:numPr>
        <w:ind w:left="660" w:hanging="660"/>
        <w:rPr>
          <w:lang w:val="pl-PL"/>
        </w:rPr>
      </w:pPr>
      <w:r w:rsidRPr="008F328C">
        <w:rPr>
          <w:rFonts w:eastAsia="Times New Roman"/>
          <w:lang w:val="pl-PL"/>
        </w:rPr>
        <w:t>zawał serca·„kieszonka” w ścianie głównej tętnicy (tętniak aorty)</w:t>
      </w:r>
    </w:p>
    <w:p w14:paraId="457789EF" w14:textId="77777777" w:rsidR="002E5800" w:rsidRPr="008F328C" w:rsidRDefault="000E0B7C">
      <w:pPr>
        <w:pStyle w:val="a3"/>
        <w:numPr>
          <w:ilvl w:val="0"/>
          <w:numId w:val="16"/>
        </w:numPr>
        <w:ind w:left="660" w:hanging="660"/>
        <w:rPr>
          <w:lang w:val="pl-PL"/>
        </w:rPr>
      </w:pPr>
      <w:r w:rsidRPr="008F328C">
        <w:rPr>
          <w:rFonts w:eastAsia="Times New Roman"/>
          <w:lang w:val="pl-PL"/>
        </w:rPr>
        <w:t>zapalenie i zakrzep krwi w żyle, niedrożność naczynia krwionośnego choroby płuc powodujące duszność (w tym zapalenie płuc)</w:t>
      </w:r>
    </w:p>
    <w:p w14:paraId="15F36BC5" w14:textId="77777777" w:rsidR="002E5800" w:rsidRPr="008F328C" w:rsidRDefault="000E0B7C">
      <w:pPr>
        <w:pStyle w:val="a3"/>
        <w:numPr>
          <w:ilvl w:val="0"/>
          <w:numId w:val="16"/>
        </w:numPr>
        <w:ind w:left="660" w:hanging="660"/>
        <w:rPr>
          <w:lang w:val="pl-PL"/>
        </w:rPr>
      </w:pPr>
      <w:r w:rsidRPr="008F328C">
        <w:rPr>
          <w:rFonts w:eastAsia="Times New Roman"/>
          <w:lang w:val="pl-PL"/>
        </w:rPr>
        <w:t>zator płucny (zablokowanie tętnicy płuca)</w:t>
      </w:r>
    </w:p>
    <w:p w14:paraId="367A2528" w14:textId="77777777" w:rsidR="002E5800" w:rsidRPr="008F328C" w:rsidRDefault="000E0B7C">
      <w:pPr>
        <w:pStyle w:val="a3"/>
        <w:numPr>
          <w:ilvl w:val="0"/>
          <w:numId w:val="16"/>
        </w:numPr>
        <w:ind w:left="660" w:hanging="660"/>
        <w:rPr>
          <w:lang w:val="pl-PL"/>
        </w:rPr>
      </w:pPr>
      <w:r w:rsidRPr="008F328C">
        <w:rPr>
          <w:rFonts w:eastAsia="Times New Roman"/>
          <w:lang w:val="pl-PL"/>
        </w:rPr>
        <w:t>wysięk opłucnowy (nieprawidłowe gromadzenie się płynu w jamie opłucnej)</w:t>
      </w:r>
    </w:p>
    <w:p w14:paraId="06F0390A" w14:textId="77777777" w:rsidR="002E5800" w:rsidRPr="008F328C" w:rsidRDefault="000E0B7C">
      <w:pPr>
        <w:pStyle w:val="a3"/>
        <w:numPr>
          <w:ilvl w:val="0"/>
          <w:numId w:val="16"/>
        </w:numPr>
        <w:ind w:left="660" w:hanging="660"/>
        <w:rPr>
          <w:lang w:val="pl-PL"/>
        </w:rPr>
      </w:pPr>
      <w:r w:rsidRPr="008F328C">
        <w:rPr>
          <w:rFonts w:eastAsia="Times New Roman"/>
          <w:lang w:val="pl-PL"/>
        </w:rPr>
        <w:t>zapalenie trzustki, które powoduje ostry ból brzucha i pleców</w:t>
      </w:r>
    </w:p>
    <w:p w14:paraId="48C8EF60"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w połykaniu</w:t>
      </w:r>
    </w:p>
    <w:p w14:paraId="5F941F4C"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w:t>
      </w:r>
    </w:p>
    <w:p w14:paraId="50819640" w14:textId="77777777" w:rsidR="002E5800" w:rsidRPr="008F328C" w:rsidRDefault="000E0B7C">
      <w:pPr>
        <w:pStyle w:val="a3"/>
        <w:numPr>
          <w:ilvl w:val="0"/>
          <w:numId w:val="16"/>
        </w:numPr>
        <w:ind w:left="660" w:hanging="660"/>
        <w:rPr>
          <w:lang w:val="pl-PL"/>
        </w:rPr>
      </w:pPr>
      <w:r w:rsidRPr="008F328C">
        <w:rPr>
          <w:rFonts w:eastAsia="Times New Roman"/>
          <w:lang w:val="pl-PL"/>
        </w:rPr>
        <w:t>zapalenie pęcherzyka żółciowego, kamienie w pęcherzyku żółciowym</w:t>
      </w:r>
    </w:p>
    <w:p w14:paraId="166E07D1" w14:textId="77777777" w:rsidR="002E5800" w:rsidRPr="008F328C" w:rsidRDefault="000E0B7C">
      <w:pPr>
        <w:pStyle w:val="a3"/>
        <w:numPr>
          <w:ilvl w:val="0"/>
          <w:numId w:val="16"/>
        </w:numPr>
        <w:ind w:left="660" w:hanging="660"/>
        <w:rPr>
          <w:lang w:val="pl-PL"/>
        </w:rPr>
      </w:pPr>
      <w:r w:rsidRPr="008F328C">
        <w:rPr>
          <w:rFonts w:eastAsia="Times New Roman"/>
          <w:lang w:val="pl-PL"/>
        </w:rPr>
        <w:t>stłuszczenie wątroby</w:t>
      </w:r>
    </w:p>
    <w:p w14:paraId="162EAC5A" w14:textId="77777777" w:rsidR="002E5800" w:rsidRPr="008F328C" w:rsidRDefault="000E0B7C">
      <w:pPr>
        <w:pStyle w:val="a3"/>
        <w:numPr>
          <w:ilvl w:val="0"/>
          <w:numId w:val="16"/>
        </w:numPr>
        <w:ind w:left="660" w:hanging="660"/>
        <w:rPr>
          <w:lang w:val="pl-PL"/>
        </w:rPr>
      </w:pPr>
      <w:r w:rsidRPr="008F328C">
        <w:rPr>
          <w:rFonts w:eastAsia="Times New Roman"/>
          <w:lang w:val="pl-PL"/>
        </w:rPr>
        <w:t>nocne poty</w:t>
      </w:r>
    </w:p>
    <w:p w14:paraId="1796C0DB" w14:textId="77777777" w:rsidR="002E5800" w:rsidRPr="008F328C" w:rsidRDefault="000E0B7C">
      <w:pPr>
        <w:pStyle w:val="a3"/>
        <w:numPr>
          <w:ilvl w:val="0"/>
          <w:numId w:val="16"/>
        </w:numPr>
        <w:ind w:left="660" w:hanging="660"/>
        <w:rPr>
          <w:lang w:val="pl-PL"/>
        </w:rPr>
      </w:pPr>
      <w:r w:rsidRPr="008F328C">
        <w:rPr>
          <w:rFonts w:eastAsia="Times New Roman"/>
          <w:lang w:val="pl-PL"/>
        </w:rPr>
        <w:t>blizna</w:t>
      </w:r>
    </w:p>
    <w:p w14:paraId="0D7141F7" w14:textId="77777777" w:rsidR="002E5800" w:rsidRPr="008F328C" w:rsidRDefault="000E0B7C">
      <w:pPr>
        <w:pStyle w:val="a3"/>
        <w:numPr>
          <w:ilvl w:val="0"/>
          <w:numId w:val="16"/>
        </w:numPr>
        <w:ind w:left="660" w:hanging="660"/>
        <w:rPr>
          <w:lang w:val="pl-PL"/>
        </w:rPr>
      </w:pPr>
      <w:r w:rsidRPr="008F328C">
        <w:rPr>
          <w:rFonts w:eastAsia="Times New Roman"/>
          <w:lang w:val="pl-PL"/>
        </w:rPr>
        <w:t>nieprawidłowy rozpad mięśni</w:t>
      </w:r>
    </w:p>
    <w:p w14:paraId="4CFC613E" w14:textId="77777777" w:rsidR="002E5800" w:rsidRPr="008F328C" w:rsidRDefault="000E0B7C">
      <w:pPr>
        <w:pStyle w:val="a3"/>
        <w:numPr>
          <w:ilvl w:val="0"/>
          <w:numId w:val="16"/>
        </w:numPr>
        <w:ind w:left="660" w:hanging="660"/>
        <w:rPr>
          <w:rFonts w:eastAsia="Times New Roman"/>
          <w:spacing w:val="-1"/>
          <w:lang w:val="pl-PL"/>
        </w:rPr>
      </w:pPr>
      <w:r w:rsidRPr="008F328C">
        <w:rPr>
          <w:rFonts w:eastAsia="Times New Roman"/>
          <w:lang w:val="pl-PL"/>
        </w:rPr>
        <w:t>toczeń rumieniowaty układowy (w tym zapalenie skóry, serca, płuc, stawów i innych układów narządów)</w:t>
      </w:r>
    </w:p>
    <w:p w14:paraId="092B706D"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snu (częste budzenie się)</w:t>
      </w:r>
    </w:p>
    <w:p w14:paraId="6284C476" w14:textId="77777777" w:rsidR="002E5800" w:rsidRPr="008F328C" w:rsidRDefault="000E0B7C">
      <w:pPr>
        <w:pStyle w:val="a3"/>
        <w:numPr>
          <w:ilvl w:val="0"/>
          <w:numId w:val="16"/>
        </w:numPr>
        <w:ind w:left="660" w:hanging="660"/>
        <w:rPr>
          <w:lang w:val="pl-PL"/>
        </w:rPr>
      </w:pPr>
      <w:r w:rsidRPr="008F328C">
        <w:rPr>
          <w:rFonts w:eastAsia="Times New Roman"/>
          <w:lang w:val="pl-PL"/>
        </w:rPr>
        <w:t>impotencja</w:t>
      </w:r>
    </w:p>
    <w:p w14:paraId="1A71CBEB" w14:textId="77777777" w:rsidR="002E5800" w:rsidRPr="008F328C" w:rsidRDefault="000E0B7C">
      <w:pPr>
        <w:pStyle w:val="a3"/>
        <w:numPr>
          <w:ilvl w:val="0"/>
          <w:numId w:val="16"/>
        </w:numPr>
        <w:ind w:left="660" w:hanging="660"/>
        <w:rPr>
          <w:lang w:val="pl-PL"/>
        </w:rPr>
      </w:pPr>
      <w:r w:rsidRPr="008F328C">
        <w:rPr>
          <w:rFonts w:eastAsia="Times New Roman"/>
          <w:lang w:val="pl-PL"/>
        </w:rPr>
        <w:t>stany zapalne</w:t>
      </w:r>
    </w:p>
    <w:p w14:paraId="1AA8C32D" w14:textId="77777777" w:rsidR="002E5800" w:rsidRPr="008F328C" w:rsidRDefault="002E5800">
      <w:pPr>
        <w:spacing w:before="13" w:line="240" w:lineRule="exact"/>
        <w:rPr>
          <w:rFonts w:ascii="Times New Roman" w:hAnsi="Times New Roman" w:cs="Times New Roman"/>
          <w:sz w:val="24"/>
          <w:szCs w:val="24"/>
          <w:lang w:val="pl-PL"/>
        </w:rPr>
      </w:pPr>
    </w:p>
    <w:p w14:paraId="57544FCA" w14:textId="77777777" w:rsidR="002E5800" w:rsidRPr="008F328C" w:rsidRDefault="000E0B7C">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5885EC4C" w14:textId="77777777" w:rsidR="002E5800" w:rsidRPr="008F328C" w:rsidRDefault="002E5800">
      <w:pPr>
        <w:spacing w:before="12" w:line="240" w:lineRule="exact"/>
        <w:rPr>
          <w:rFonts w:ascii="Times New Roman" w:hAnsi="Times New Roman" w:cs="Times New Roman"/>
          <w:sz w:val="24"/>
          <w:szCs w:val="24"/>
          <w:lang w:val="pl-PL"/>
        </w:rPr>
      </w:pPr>
    </w:p>
    <w:p w14:paraId="24C6F960" w14:textId="77777777" w:rsidR="002E5800" w:rsidRPr="008F328C" w:rsidRDefault="000E0B7C">
      <w:pPr>
        <w:pStyle w:val="a3"/>
        <w:numPr>
          <w:ilvl w:val="0"/>
          <w:numId w:val="16"/>
        </w:numPr>
        <w:ind w:left="660" w:hanging="660"/>
        <w:rPr>
          <w:lang w:val="pl-PL"/>
        </w:rPr>
      </w:pPr>
      <w:r w:rsidRPr="008F328C">
        <w:rPr>
          <w:rFonts w:eastAsia="Times New Roman"/>
          <w:lang w:val="pl-PL"/>
        </w:rPr>
        <w:t>białaczka (nowotwór złośliwy krwi i szpiku kostnego)</w:t>
      </w:r>
    </w:p>
    <w:p w14:paraId="0059A295" w14:textId="77777777" w:rsidR="002E5800" w:rsidRPr="008F328C" w:rsidRDefault="000E0B7C">
      <w:pPr>
        <w:pStyle w:val="a3"/>
        <w:numPr>
          <w:ilvl w:val="0"/>
          <w:numId w:val="16"/>
        </w:numPr>
        <w:ind w:left="660" w:hanging="660"/>
        <w:rPr>
          <w:lang w:val="pl-PL"/>
        </w:rPr>
      </w:pPr>
      <w:r w:rsidRPr="008F328C">
        <w:rPr>
          <w:rFonts w:eastAsia="Times New Roman"/>
          <w:lang w:val="pl-PL"/>
        </w:rPr>
        <w:t>ciężka reakcja alergiczna ze wstrząsem</w:t>
      </w:r>
    </w:p>
    <w:p w14:paraId="09BEE548" w14:textId="77777777" w:rsidR="002E5800" w:rsidRPr="008F328C" w:rsidRDefault="000E0B7C">
      <w:pPr>
        <w:pStyle w:val="a3"/>
        <w:numPr>
          <w:ilvl w:val="0"/>
          <w:numId w:val="16"/>
        </w:numPr>
        <w:ind w:left="660" w:hanging="660"/>
        <w:rPr>
          <w:lang w:val="pl-PL"/>
        </w:rPr>
      </w:pPr>
      <w:r w:rsidRPr="008F328C">
        <w:rPr>
          <w:rFonts w:eastAsia="Times New Roman"/>
          <w:lang w:val="pl-PL"/>
        </w:rPr>
        <w:t>stwardnienie rozsiane</w:t>
      </w:r>
    </w:p>
    <w:p w14:paraId="7B6EA2A4"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dotyczące nerwów (takie jak zapalenie nerwu wzrokowego i zespół Guillaina-Barrégo, który może spowodować osłabienie mięśni, nieprawidłowe czucie, mrowienie w kończynach górnych i górnej części tułowia)</w:t>
      </w:r>
    </w:p>
    <w:p w14:paraId="5E627197" w14:textId="77777777" w:rsidR="002E5800" w:rsidRPr="008F328C" w:rsidRDefault="000E0B7C">
      <w:pPr>
        <w:pStyle w:val="a3"/>
        <w:numPr>
          <w:ilvl w:val="0"/>
          <w:numId w:val="16"/>
        </w:numPr>
        <w:ind w:left="660" w:hanging="660"/>
        <w:rPr>
          <w:lang w:val="pl-PL"/>
        </w:rPr>
      </w:pPr>
      <w:r w:rsidRPr="008F328C">
        <w:rPr>
          <w:rFonts w:eastAsia="Times New Roman"/>
          <w:lang w:val="pl-PL"/>
        </w:rPr>
        <w:t>zatrzymanie akcji serca</w:t>
      </w:r>
    </w:p>
    <w:p w14:paraId="01ACA0E0" w14:textId="77777777" w:rsidR="002E5800" w:rsidRPr="008F328C" w:rsidRDefault="000E0B7C">
      <w:pPr>
        <w:pStyle w:val="a3"/>
        <w:numPr>
          <w:ilvl w:val="0"/>
          <w:numId w:val="16"/>
        </w:numPr>
        <w:ind w:left="660" w:hanging="660"/>
        <w:rPr>
          <w:lang w:val="pl-PL"/>
        </w:rPr>
      </w:pPr>
      <w:r w:rsidRPr="008F328C">
        <w:rPr>
          <w:rFonts w:eastAsia="Times New Roman"/>
          <w:lang w:val="pl-PL"/>
        </w:rPr>
        <w:t>zwłóknienie płuc (bliznowacenie płuc)</w:t>
      </w:r>
    </w:p>
    <w:p w14:paraId="56A45DE2" w14:textId="77777777" w:rsidR="002E5800" w:rsidRPr="008F328C" w:rsidRDefault="000E0B7C">
      <w:pPr>
        <w:pStyle w:val="a3"/>
        <w:numPr>
          <w:ilvl w:val="0"/>
          <w:numId w:val="16"/>
        </w:numPr>
        <w:ind w:left="660" w:hanging="660"/>
        <w:rPr>
          <w:lang w:val="pl-PL"/>
        </w:rPr>
      </w:pPr>
      <w:r w:rsidRPr="008F328C">
        <w:rPr>
          <w:rFonts w:eastAsia="Times New Roman"/>
          <w:lang w:val="pl-PL"/>
        </w:rPr>
        <w:t>perforacja jelita (przedziurawienie jelita)</w:t>
      </w:r>
    </w:p>
    <w:p w14:paraId="7AB27CE5" w14:textId="77777777" w:rsidR="002E5800" w:rsidRPr="008F328C" w:rsidRDefault="000E0B7C">
      <w:pPr>
        <w:pStyle w:val="a3"/>
        <w:numPr>
          <w:ilvl w:val="0"/>
          <w:numId w:val="16"/>
        </w:numPr>
        <w:ind w:left="660" w:hanging="660"/>
        <w:rPr>
          <w:lang w:val="pl-PL"/>
        </w:rPr>
      </w:pPr>
      <w:r w:rsidRPr="008F328C">
        <w:rPr>
          <w:rFonts w:eastAsia="Times New Roman"/>
          <w:lang w:val="pl-PL"/>
        </w:rPr>
        <w:t>zapalenie wątroby</w:t>
      </w:r>
    </w:p>
    <w:p w14:paraId="2C6E4D36" w14:textId="77777777" w:rsidR="002E5800" w:rsidRPr="008F328C" w:rsidRDefault="000E0B7C">
      <w:pPr>
        <w:pStyle w:val="a3"/>
        <w:numPr>
          <w:ilvl w:val="0"/>
          <w:numId w:val="16"/>
        </w:numPr>
        <w:ind w:left="660" w:hanging="660"/>
        <w:rPr>
          <w:lang w:val="pl-PL"/>
        </w:rPr>
      </w:pPr>
      <w:r w:rsidRPr="008F328C">
        <w:rPr>
          <w:rFonts w:eastAsia="Times New Roman"/>
          <w:lang w:val="pl-PL"/>
        </w:rPr>
        <w:t>reaktywacja żółtaczki typu B</w:t>
      </w:r>
    </w:p>
    <w:p w14:paraId="1E94D960" w14:textId="77777777" w:rsidR="002E5800" w:rsidRPr="008F328C" w:rsidRDefault="000E0B7C">
      <w:pPr>
        <w:pStyle w:val="a3"/>
        <w:numPr>
          <w:ilvl w:val="0"/>
          <w:numId w:val="16"/>
        </w:numPr>
        <w:ind w:left="660" w:hanging="660"/>
        <w:rPr>
          <w:lang w:val="pl-PL"/>
        </w:rPr>
      </w:pPr>
      <w:r w:rsidRPr="008F328C">
        <w:rPr>
          <w:rFonts w:eastAsia="Times New Roman"/>
          <w:lang w:val="pl-PL"/>
        </w:rPr>
        <w:t>autoimmunologiczne zapalenie wątroby (zapalenie wątroby spowodowane reakcją układu odpornościowego pacjenta)</w:t>
      </w:r>
    </w:p>
    <w:p w14:paraId="4F63F9A9" w14:textId="77777777" w:rsidR="002E5800" w:rsidRPr="008F328C" w:rsidRDefault="000E0B7C">
      <w:pPr>
        <w:pStyle w:val="a3"/>
        <w:numPr>
          <w:ilvl w:val="0"/>
          <w:numId w:val="16"/>
        </w:numPr>
        <w:ind w:left="660" w:hanging="660"/>
        <w:rPr>
          <w:lang w:val="pl-PL"/>
        </w:rPr>
      </w:pPr>
      <w:r w:rsidRPr="008F328C">
        <w:rPr>
          <w:rFonts w:eastAsia="Times New Roman"/>
          <w:lang w:val="pl-PL"/>
        </w:rPr>
        <w:t>zapalenie naczyń skóry</w:t>
      </w:r>
    </w:p>
    <w:p w14:paraId="496DB4AA" w14:textId="77777777" w:rsidR="002E5800" w:rsidRPr="008F328C" w:rsidRDefault="000E0B7C">
      <w:pPr>
        <w:pStyle w:val="a3"/>
        <w:numPr>
          <w:ilvl w:val="0"/>
          <w:numId w:val="16"/>
        </w:numPr>
        <w:ind w:left="660" w:hanging="660"/>
        <w:rPr>
          <w:lang w:val="pl-PL"/>
        </w:rPr>
      </w:pPr>
      <w:r w:rsidRPr="008F328C">
        <w:rPr>
          <w:rFonts w:eastAsia="Times New Roman"/>
          <w:lang w:val="pl-PL"/>
        </w:rPr>
        <w:t>zespół Stevensa-Johnsona (do wczesnych objawów zalicza się złe samopoczucie, gorączkę, bóle głowy i wysypkę)</w:t>
      </w:r>
    </w:p>
    <w:p w14:paraId="10B8C9A8"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 związany z reakcjami alergicznymi</w:t>
      </w:r>
    </w:p>
    <w:p w14:paraId="1C1CFB17" w14:textId="77777777" w:rsidR="002E5800" w:rsidRPr="008F328C" w:rsidRDefault="000E0B7C">
      <w:pPr>
        <w:pStyle w:val="a3"/>
        <w:numPr>
          <w:ilvl w:val="0"/>
          <w:numId w:val="16"/>
        </w:numPr>
        <w:ind w:left="660" w:hanging="660"/>
        <w:rPr>
          <w:lang w:val="pl-PL"/>
        </w:rPr>
      </w:pPr>
      <w:r w:rsidRPr="008F328C">
        <w:rPr>
          <w:rFonts w:eastAsia="Times New Roman"/>
          <w:lang w:val="pl-PL"/>
        </w:rPr>
        <w:t>rumień wielopostaciowy (zapalenie skóry z wysypką)</w:t>
      </w:r>
    </w:p>
    <w:p w14:paraId="1ED958A8" w14:textId="77777777" w:rsidR="002E5800" w:rsidRPr="008F328C" w:rsidRDefault="000E0B7C">
      <w:pPr>
        <w:pStyle w:val="a3"/>
        <w:numPr>
          <w:ilvl w:val="0"/>
          <w:numId w:val="16"/>
        </w:numPr>
        <w:ind w:left="660" w:hanging="660"/>
        <w:rPr>
          <w:lang w:val="pl-PL"/>
        </w:rPr>
      </w:pPr>
      <w:r w:rsidRPr="008F328C">
        <w:rPr>
          <w:rFonts w:eastAsia="Times New Roman"/>
          <w:lang w:val="pl-PL"/>
        </w:rPr>
        <w:t>zespół toczniopodobny</w:t>
      </w:r>
    </w:p>
    <w:p w14:paraId="132ADA75"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obrzęk naczynioruchowy (miejscowy obrzęk skóry)</w:t>
      </w:r>
    </w:p>
    <w:p w14:paraId="6E0B8189" w14:textId="77777777" w:rsidR="002E5800" w:rsidRPr="008F328C" w:rsidRDefault="000E0B7C">
      <w:pPr>
        <w:pStyle w:val="a3"/>
        <w:numPr>
          <w:ilvl w:val="0"/>
          <w:numId w:val="16"/>
        </w:numPr>
        <w:ind w:left="660" w:hanging="660"/>
        <w:rPr>
          <w:lang w:val="pl-PL"/>
        </w:rPr>
      </w:pPr>
      <w:r w:rsidRPr="008F328C">
        <w:rPr>
          <w:rFonts w:eastAsia="Times New Roman"/>
          <w:lang w:val="pl-PL"/>
        </w:rPr>
        <w:t>liszajowate zmiany skórne (swędząca czerwono-purpurowa wysypka skórna)</w:t>
      </w:r>
    </w:p>
    <w:p w14:paraId="4A75461A" w14:textId="77777777" w:rsidR="002E5800" w:rsidRPr="008F328C" w:rsidRDefault="002E5800">
      <w:pPr>
        <w:spacing w:before="10" w:line="240" w:lineRule="exact"/>
        <w:rPr>
          <w:rFonts w:ascii="Times New Roman" w:hAnsi="Times New Roman" w:cs="Times New Roman"/>
          <w:sz w:val="24"/>
          <w:szCs w:val="24"/>
          <w:lang w:val="pl-PL"/>
        </w:rPr>
      </w:pPr>
    </w:p>
    <w:p w14:paraId="100F2B7D" w14:textId="5E03D647" w:rsidR="002E5800" w:rsidRPr="008F328C" w:rsidRDefault="006210A5">
      <w:pPr>
        <w:pStyle w:val="a3"/>
        <w:rPr>
          <w:lang w:val="pl-PL"/>
        </w:rPr>
      </w:pPr>
      <w:r w:rsidRPr="008F328C">
        <w:rPr>
          <w:rFonts w:eastAsia="Times New Roman"/>
          <w:b/>
          <w:lang w:val="pl-PL"/>
        </w:rPr>
        <w:t>Częstość</w:t>
      </w:r>
      <w:r w:rsidRPr="008F328C">
        <w:rPr>
          <w:rFonts w:eastAsia="Times New Roman"/>
          <w:lang w:val="pl-PL"/>
        </w:rPr>
        <w:t xml:space="preserve"> </w:t>
      </w:r>
      <w:r w:rsidRPr="008F328C">
        <w:rPr>
          <w:rFonts w:eastAsia="Times New Roman"/>
          <w:b/>
          <w:bCs/>
          <w:lang w:val="pl-PL"/>
        </w:rPr>
        <w:t>n</w:t>
      </w:r>
      <w:r w:rsidR="000E0B7C" w:rsidRPr="008F328C">
        <w:rPr>
          <w:rFonts w:eastAsia="Times New Roman"/>
          <w:b/>
          <w:bCs/>
          <w:lang w:val="pl-PL"/>
        </w:rPr>
        <w:t xml:space="preserve">ieznana </w:t>
      </w:r>
      <w:r w:rsidR="000E0B7C" w:rsidRPr="008F328C">
        <w:rPr>
          <w:rFonts w:eastAsia="Times New Roman"/>
          <w:lang w:val="pl-PL"/>
        </w:rPr>
        <w:t>(nie może być określona na podstawie dostępnych danych)</w:t>
      </w:r>
    </w:p>
    <w:p w14:paraId="31041E4C" w14:textId="77777777" w:rsidR="002E5800" w:rsidRPr="008F328C" w:rsidRDefault="002E5800">
      <w:pPr>
        <w:spacing w:before="14" w:line="240" w:lineRule="exact"/>
        <w:rPr>
          <w:rFonts w:ascii="Times New Roman" w:hAnsi="Times New Roman" w:cs="Times New Roman"/>
          <w:sz w:val="24"/>
          <w:szCs w:val="24"/>
          <w:lang w:val="pl-PL"/>
        </w:rPr>
      </w:pPr>
    </w:p>
    <w:p w14:paraId="060B12D1" w14:textId="77777777" w:rsidR="002E5800" w:rsidRPr="008F328C" w:rsidRDefault="000E0B7C">
      <w:pPr>
        <w:pStyle w:val="a3"/>
        <w:numPr>
          <w:ilvl w:val="0"/>
          <w:numId w:val="16"/>
        </w:numPr>
        <w:ind w:left="660" w:hanging="660"/>
        <w:rPr>
          <w:lang w:val="pl-PL"/>
        </w:rPr>
      </w:pPr>
      <w:r w:rsidRPr="008F328C">
        <w:rPr>
          <w:rFonts w:eastAsia="Times New Roman"/>
          <w:lang w:val="pl-PL"/>
        </w:rPr>
        <w:t>chłoniak T-komórkowy wątrobowo-śledzionowy (rzadki nowotwór krwi, który często powoduje zgon)</w:t>
      </w:r>
    </w:p>
    <w:p w14:paraId="71DDA128" w14:textId="77777777" w:rsidR="002E5800" w:rsidRPr="008F328C" w:rsidRDefault="000E0B7C">
      <w:pPr>
        <w:pStyle w:val="a3"/>
        <w:numPr>
          <w:ilvl w:val="0"/>
          <w:numId w:val="16"/>
        </w:numPr>
        <w:ind w:left="660" w:hanging="660"/>
        <w:rPr>
          <w:lang w:val="pl-PL"/>
        </w:rPr>
      </w:pPr>
      <w:r w:rsidRPr="008F328C">
        <w:rPr>
          <w:rFonts w:eastAsia="Times New Roman"/>
          <w:lang w:val="pl-PL"/>
        </w:rPr>
        <w:t>rak z komórek Merkla (typ raka skóry)</w:t>
      </w:r>
    </w:p>
    <w:p w14:paraId="5E7C7570" w14:textId="77777777" w:rsidR="002E5800" w:rsidRPr="008F328C" w:rsidRDefault="000E0B7C">
      <w:pPr>
        <w:pStyle w:val="a3"/>
        <w:numPr>
          <w:ilvl w:val="0"/>
          <w:numId w:val="16"/>
        </w:numPr>
        <w:ind w:left="660" w:hanging="660"/>
        <w:rPr>
          <w:lang w:val="pl-PL"/>
        </w:rPr>
      </w:pPr>
      <w:r w:rsidRPr="008F328C">
        <w:rPr>
          <w:rFonts w:eastAsia="Times New Roman"/>
          <w:lang w:val="pl-PL"/>
        </w:rPr>
        <w:t>mięsak Kaposiego, rzadki nowotwór związany z zakażeniem ludzkim wirusem opryszczki 8. mięsak Kaposiego najczęściej pojawia się jako fioletowe zmiany skórne na skórze.</w:t>
      </w:r>
    </w:p>
    <w:p w14:paraId="67B237E8" w14:textId="77777777" w:rsidR="002E5800" w:rsidRPr="008F328C" w:rsidRDefault="000E0B7C">
      <w:pPr>
        <w:pStyle w:val="a3"/>
        <w:numPr>
          <w:ilvl w:val="0"/>
          <w:numId w:val="16"/>
        </w:numPr>
        <w:ind w:left="660" w:hanging="660"/>
        <w:rPr>
          <w:lang w:val="pl-PL"/>
        </w:rPr>
      </w:pPr>
      <w:r w:rsidRPr="008F328C">
        <w:rPr>
          <w:rFonts w:eastAsia="Times New Roman"/>
          <w:lang w:val="pl-PL"/>
        </w:rPr>
        <w:t>niewydolność wątroby</w:t>
      </w:r>
    </w:p>
    <w:p w14:paraId="3B17A08A" w14:textId="349181C8" w:rsidR="002E5800" w:rsidRPr="008F328C" w:rsidRDefault="000E0B7C">
      <w:pPr>
        <w:pStyle w:val="a3"/>
        <w:numPr>
          <w:ilvl w:val="0"/>
          <w:numId w:val="16"/>
        </w:numPr>
        <w:ind w:left="660" w:hanging="660"/>
        <w:rPr>
          <w:rFonts w:eastAsia="Times New Roman"/>
          <w:lang w:val="pl-PL"/>
        </w:rPr>
      </w:pPr>
      <w:r w:rsidRPr="008F328C">
        <w:rPr>
          <w:rFonts w:eastAsia="Times New Roman"/>
          <w:lang w:val="pl-PL"/>
        </w:rPr>
        <w:t>nasilenie objawów zapalenia skórno-mięśniowego (objawiające się wysypką skórną, której towarzyszy osłabienie mięśni)</w:t>
      </w:r>
    </w:p>
    <w:p w14:paraId="4D2CAD52" w14:textId="3510DC11" w:rsidR="00C90BC8" w:rsidRPr="008F328C" w:rsidRDefault="00C90BC8" w:rsidP="00C90BC8">
      <w:pPr>
        <w:pStyle w:val="a3"/>
        <w:numPr>
          <w:ilvl w:val="0"/>
          <w:numId w:val="16"/>
        </w:numPr>
        <w:ind w:left="660" w:hanging="660"/>
        <w:rPr>
          <w:rFonts w:eastAsia="Times New Roman"/>
          <w:lang w:val="pl-PL"/>
        </w:rPr>
      </w:pPr>
      <w:r w:rsidRPr="008F328C">
        <w:rPr>
          <w:rFonts w:eastAsia="Times New Roman"/>
          <w:lang w:val="pl-PL"/>
        </w:rPr>
        <w:t>zwiększenie masy ciała (niewielkie u większości pacjentów)</w:t>
      </w:r>
    </w:p>
    <w:p w14:paraId="14769F22" w14:textId="77777777" w:rsidR="002E5800" w:rsidRPr="008F328C" w:rsidRDefault="002E5800">
      <w:pPr>
        <w:pStyle w:val="a3"/>
        <w:numPr>
          <w:ilvl w:val="0"/>
          <w:numId w:val="0"/>
        </w:numPr>
        <w:rPr>
          <w:lang w:val="pl-PL"/>
        </w:rPr>
      </w:pPr>
    </w:p>
    <w:p w14:paraId="25C39C64" w14:textId="77777777" w:rsidR="002E5800" w:rsidRPr="008F328C" w:rsidRDefault="000E0B7C">
      <w:pPr>
        <w:pStyle w:val="a3"/>
        <w:rPr>
          <w:lang w:val="pl-PL"/>
        </w:rPr>
      </w:pPr>
      <w:r w:rsidRPr="008F328C">
        <w:rPr>
          <w:rFonts w:eastAsia="Times New Roman"/>
          <w:lang w:val="pl-PL"/>
        </w:rPr>
        <w:t>Niektóre działania niepożądane obserwowane podczas stosowania leku Yuflyma nie dają objawów odczuwanych przez pacjenta i można je wykryć wyłącznie przeprowadzając badania krwi. Zalicza się do nich:</w:t>
      </w:r>
    </w:p>
    <w:p w14:paraId="5C537547" w14:textId="77777777" w:rsidR="002E5800" w:rsidRPr="008F328C" w:rsidRDefault="002E5800">
      <w:pPr>
        <w:pStyle w:val="a3"/>
        <w:rPr>
          <w:lang w:val="pl-PL"/>
        </w:rPr>
      </w:pPr>
    </w:p>
    <w:p w14:paraId="08C7138A" w14:textId="77777777" w:rsidR="002E5800" w:rsidRPr="008F328C" w:rsidRDefault="000E0B7C">
      <w:pPr>
        <w:pStyle w:val="a3"/>
        <w:rPr>
          <w:rFonts w:eastAsia="Times New Roman"/>
          <w:lang w:val="pl-PL"/>
        </w:rPr>
      </w:pPr>
      <w:r w:rsidRPr="008F328C">
        <w:rPr>
          <w:rFonts w:eastAsia="Times New Roman"/>
          <w:b/>
          <w:bCs/>
          <w:spacing w:val="-1"/>
          <w:lang w:val="pl-PL"/>
        </w:rPr>
        <w:t xml:space="preserve">Bardzo często </w:t>
      </w:r>
      <w:r w:rsidRPr="008F328C">
        <w:rPr>
          <w:rFonts w:eastAsia="Times New Roman"/>
          <w:spacing w:val="-1"/>
          <w:lang w:val="pl-PL"/>
        </w:rPr>
        <w:t>(może wystąpić u więcej niż 1 na 10 osób):</w:t>
      </w:r>
    </w:p>
    <w:p w14:paraId="58455A71" w14:textId="77777777" w:rsidR="002E5800" w:rsidRPr="008F328C" w:rsidRDefault="002E5800">
      <w:pPr>
        <w:pStyle w:val="a3"/>
        <w:rPr>
          <w:lang w:val="pl-PL"/>
        </w:rPr>
      </w:pPr>
    </w:p>
    <w:p w14:paraId="77AB7B90"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krwinek białych we krwi</w:t>
      </w:r>
    </w:p>
    <w:p w14:paraId="08B02D57"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krwinek czerwonych we krwi</w:t>
      </w:r>
    </w:p>
    <w:p w14:paraId="69C816FA"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stężenia lipidów we krwi</w:t>
      </w:r>
    </w:p>
    <w:p w14:paraId="3C2673C0"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aktywności enzymów wątrobowych</w:t>
      </w:r>
    </w:p>
    <w:p w14:paraId="2A335B0D" w14:textId="77777777" w:rsidR="002E5800" w:rsidRPr="008F328C" w:rsidRDefault="002E5800">
      <w:pPr>
        <w:spacing w:before="10" w:line="240" w:lineRule="exact"/>
        <w:rPr>
          <w:rFonts w:ascii="Times New Roman" w:hAnsi="Times New Roman" w:cs="Times New Roman"/>
          <w:sz w:val="24"/>
          <w:szCs w:val="24"/>
          <w:lang w:val="pl-PL"/>
        </w:rPr>
      </w:pPr>
    </w:p>
    <w:p w14:paraId="0F38D472" w14:textId="77777777" w:rsidR="002E5800" w:rsidRPr="008F328C" w:rsidRDefault="000E0B7C">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123AE146" w14:textId="77777777" w:rsidR="002E5800" w:rsidRPr="008F328C" w:rsidRDefault="002E5800">
      <w:pPr>
        <w:spacing w:before="14" w:line="240" w:lineRule="exact"/>
        <w:rPr>
          <w:rFonts w:ascii="Times New Roman" w:hAnsi="Times New Roman" w:cs="Times New Roman"/>
          <w:sz w:val="24"/>
          <w:szCs w:val="24"/>
          <w:lang w:val="pl-PL"/>
        </w:rPr>
      </w:pPr>
    </w:p>
    <w:p w14:paraId="77E0F552"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liczba krwinek białych we krwi</w:t>
      </w:r>
    </w:p>
    <w:p w14:paraId="0C304227"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płytek krwi</w:t>
      </w:r>
    </w:p>
    <w:p w14:paraId="32669348" w14:textId="77777777" w:rsidR="002E5800" w:rsidRPr="008F328C" w:rsidRDefault="000E0B7C">
      <w:pPr>
        <w:pStyle w:val="a3"/>
        <w:numPr>
          <w:ilvl w:val="0"/>
          <w:numId w:val="16"/>
        </w:numPr>
        <w:ind w:left="660" w:hanging="660"/>
        <w:rPr>
          <w:lang w:val="pl-PL"/>
        </w:rPr>
      </w:pPr>
      <w:r w:rsidRPr="008F328C">
        <w:rPr>
          <w:rFonts w:eastAsia="Times New Roman"/>
          <w:lang w:val="pl-PL"/>
        </w:rPr>
        <w:t>zwiększone stężenie kwasu moczowego we krwi</w:t>
      </w:r>
    </w:p>
    <w:p w14:paraId="242D0514" w14:textId="77777777" w:rsidR="002E5800" w:rsidRPr="008F328C" w:rsidRDefault="000E0B7C">
      <w:pPr>
        <w:pStyle w:val="a3"/>
        <w:numPr>
          <w:ilvl w:val="0"/>
          <w:numId w:val="16"/>
        </w:numPr>
        <w:ind w:left="660" w:hanging="660"/>
        <w:rPr>
          <w:lang w:val="pl-PL"/>
        </w:rPr>
      </w:pPr>
      <w:r w:rsidRPr="008F328C">
        <w:rPr>
          <w:rFonts w:eastAsia="Times New Roman"/>
          <w:lang w:val="pl-PL"/>
        </w:rPr>
        <w:t>nieprawidłowe stężenie sodu we krwi</w:t>
      </w:r>
    </w:p>
    <w:p w14:paraId="6E289486"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wapnia we krwi</w:t>
      </w:r>
    </w:p>
    <w:p w14:paraId="25D6C4BA"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fosforanów we krwi</w:t>
      </w:r>
    </w:p>
    <w:p w14:paraId="3B45EAB6" w14:textId="77777777" w:rsidR="002E5800" w:rsidRPr="008F328C" w:rsidRDefault="000E0B7C">
      <w:pPr>
        <w:pStyle w:val="a3"/>
        <w:numPr>
          <w:ilvl w:val="0"/>
          <w:numId w:val="16"/>
        </w:numPr>
        <w:ind w:left="660" w:hanging="660"/>
        <w:rPr>
          <w:lang w:val="pl-PL"/>
        </w:rPr>
      </w:pPr>
      <w:r w:rsidRPr="008F328C">
        <w:rPr>
          <w:rFonts w:eastAsia="Times New Roman"/>
          <w:lang w:val="pl-PL"/>
        </w:rPr>
        <w:t>wysokie stężenie cukru we krwi</w:t>
      </w:r>
    </w:p>
    <w:p w14:paraId="044A2B7A"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aktywność dehydrogenazy mleczanowej we krwi</w:t>
      </w:r>
    </w:p>
    <w:p w14:paraId="2C729541" w14:textId="77777777" w:rsidR="002E5800" w:rsidRPr="008F328C" w:rsidRDefault="000E0B7C">
      <w:pPr>
        <w:pStyle w:val="a3"/>
        <w:numPr>
          <w:ilvl w:val="0"/>
          <w:numId w:val="16"/>
        </w:numPr>
        <w:ind w:left="660" w:hanging="660"/>
        <w:rPr>
          <w:lang w:val="pl-PL"/>
        </w:rPr>
      </w:pPr>
      <w:r w:rsidRPr="008F328C">
        <w:rPr>
          <w:rFonts w:eastAsia="Times New Roman"/>
          <w:lang w:val="pl-PL"/>
        </w:rPr>
        <w:t>obecność autoprzeciwciał we krwi</w:t>
      </w:r>
    </w:p>
    <w:p w14:paraId="42D49F5A"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potasu we krwi</w:t>
      </w:r>
    </w:p>
    <w:p w14:paraId="71F21722" w14:textId="77777777" w:rsidR="002E5800" w:rsidRPr="008F328C" w:rsidRDefault="002E5800">
      <w:pPr>
        <w:spacing w:before="13" w:line="240" w:lineRule="exact"/>
        <w:rPr>
          <w:rFonts w:ascii="Times New Roman" w:hAnsi="Times New Roman" w:cs="Times New Roman"/>
          <w:sz w:val="24"/>
          <w:szCs w:val="24"/>
          <w:lang w:val="pl-PL"/>
        </w:rPr>
      </w:pPr>
    </w:p>
    <w:p w14:paraId="6F6E7294" w14:textId="77777777" w:rsidR="002E5800" w:rsidRPr="008F328C" w:rsidRDefault="000E0B7C">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7B2E8216" w14:textId="77777777" w:rsidR="002E5800" w:rsidRPr="008F328C" w:rsidRDefault="002E5800">
      <w:pPr>
        <w:spacing w:before="12" w:line="240" w:lineRule="exact"/>
        <w:rPr>
          <w:rFonts w:ascii="Times New Roman" w:hAnsi="Times New Roman" w:cs="Times New Roman"/>
          <w:sz w:val="24"/>
          <w:szCs w:val="24"/>
          <w:lang w:val="pl-PL"/>
        </w:rPr>
      </w:pPr>
    </w:p>
    <w:p w14:paraId="42417C9B"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stężenia bilirubiny (próba wątrobowa)</w:t>
      </w:r>
    </w:p>
    <w:p w14:paraId="65560E76" w14:textId="77777777" w:rsidR="002E5800" w:rsidRPr="008F328C" w:rsidRDefault="002E5800">
      <w:pPr>
        <w:spacing w:before="13" w:line="240" w:lineRule="exact"/>
        <w:rPr>
          <w:rFonts w:ascii="Times New Roman" w:hAnsi="Times New Roman" w:cs="Times New Roman"/>
          <w:sz w:val="24"/>
          <w:szCs w:val="24"/>
          <w:lang w:val="pl-PL"/>
        </w:rPr>
      </w:pPr>
    </w:p>
    <w:p w14:paraId="3175C200" w14:textId="77777777" w:rsidR="002E5800" w:rsidRPr="008F328C" w:rsidRDefault="000E0B7C">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0DA03A84" w14:textId="77777777" w:rsidR="002E5800" w:rsidRPr="008F328C" w:rsidRDefault="002E5800">
      <w:pPr>
        <w:spacing w:before="14" w:line="240" w:lineRule="exact"/>
        <w:rPr>
          <w:rFonts w:ascii="Times New Roman" w:hAnsi="Times New Roman" w:cs="Times New Roman"/>
          <w:sz w:val="24"/>
          <w:szCs w:val="24"/>
          <w:lang w:val="pl-PL"/>
        </w:rPr>
      </w:pPr>
    </w:p>
    <w:p w14:paraId="56F19C7D"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białych krwinek, czerwonych krwinek i płytek we krwi</w:t>
      </w:r>
    </w:p>
    <w:p w14:paraId="0E0D4CA4" w14:textId="77777777" w:rsidR="002E5800" w:rsidRPr="008F328C" w:rsidRDefault="002E5800">
      <w:pPr>
        <w:spacing w:before="15" w:line="240" w:lineRule="exact"/>
        <w:rPr>
          <w:rFonts w:ascii="Times New Roman" w:hAnsi="Times New Roman" w:cs="Times New Roman"/>
          <w:sz w:val="24"/>
          <w:szCs w:val="24"/>
          <w:lang w:val="pl-PL"/>
        </w:rPr>
      </w:pPr>
    </w:p>
    <w:p w14:paraId="2F41F244" w14:textId="77777777" w:rsidR="002E5800" w:rsidRPr="008F328C" w:rsidRDefault="000E0B7C">
      <w:pPr>
        <w:pStyle w:val="a3"/>
        <w:rPr>
          <w:b/>
          <w:lang w:val="pl-PL"/>
        </w:rPr>
      </w:pPr>
      <w:r w:rsidRPr="008F328C">
        <w:rPr>
          <w:rFonts w:eastAsia="Times New Roman"/>
          <w:b/>
          <w:bCs/>
          <w:lang w:val="pl-PL"/>
        </w:rPr>
        <w:t>Zgłaszanie działań niepożądanych</w:t>
      </w:r>
    </w:p>
    <w:p w14:paraId="0FF7E782" w14:textId="77777777" w:rsidR="002E5800" w:rsidRPr="008F328C" w:rsidRDefault="002E5800">
      <w:pPr>
        <w:pStyle w:val="a3"/>
        <w:rPr>
          <w:sz w:val="10"/>
          <w:szCs w:val="10"/>
          <w:lang w:val="pl-PL"/>
        </w:rPr>
      </w:pPr>
    </w:p>
    <w:p w14:paraId="347920AC" w14:textId="77777777" w:rsidR="002E5800" w:rsidRPr="008F328C" w:rsidRDefault="000E0B7C">
      <w:pPr>
        <w:pStyle w:val="a3"/>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Działania niepożądane można zgłaszać bezpośrednio do „</w:t>
      </w:r>
      <w:r w:rsidRPr="008F328C">
        <w:rPr>
          <w:rFonts w:eastAsia="Times New Roman"/>
          <w:highlight w:val="lightGray"/>
          <w:lang w:val="pl-PL"/>
        </w:rPr>
        <w:t xml:space="preserve">krajowego systemu zgłaszania” wymienionego w </w:t>
      </w:r>
      <w:hyperlink r:id="rId29" w:history="1">
        <w:r w:rsidRPr="008F328C">
          <w:rPr>
            <w:rFonts w:eastAsia="Times New Roman"/>
            <w:color w:val="0000FF"/>
            <w:highlight w:val="lightGray"/>
            <w:u w:val="single"/>
            <w:lang w:val="pl-PL"/>
          </w:rPr>
          <w:t>załączniku V</w:t>
        </w:r>
      </w:hyperlink>
      <w:r w:rsidRPr="008F328C">
        <w:rPr>
          <w:rFonts w:eastAsia="Times New Roman"/>
          <w:lang w:val="pl-PL"/>
        </w:rPr>
        <w:t xml:space="preserve">. Dzięki zgłaszaniu </w:t>
      </w:r>
      <w:r w:rsidRPr="008F328C">
        <w:rPr>
          <w:rFonts w:eastAsia="Times New Roman"/>
          <w:lang w:val="pl-PL"/>
        </w:rPr>
        <w:lastRenderedPageBreak/>
        <w:t>działań niepożądanych można będzie zgromadzić więcej informacji na temat bezpieczeństwa stosowania leku.</w:t>
      </w:r>
    </w:p>
    <w:p w14:paraId="31C41709" w14:textId="175684F2" w:rsidR="002E5800" w:rsidRPr="008F328C" w:rsidRDefault="002E5800">
      <w:pPr>
        <w:spacing w:line="200" w:lineRule="exact"/>
        <w:rPr>
          <w:rFonts w:ascii="Times New Roman" w:hAnsi="Times New Roman" w:cs="Times New Roman"/>
          <w:sz w:val="20"/>
          <w:szCs w:val="20"/>
          <w:lang w:val="pl-PL"/>
        </w:rPr>
      </w:pPr>
    </w:p>
    <w:p w14:paraId="6D36E671" w14:textId="77777777" w:rsidR="00CC4159" w:rsidRPr="008F328C" w:rsidRDefault="00CC4159">
      <w:pPr>
        <w:spacing w:line="200" w:lineRule="exact"/>
        <w:rPr>
          <w:rFonts w:ascii="Times New Roman" w:hAnsi="Times New Roman" w:cs="Times New Roman"/>
          <w:sz w:val="20"/>
          <w:szCs w:val="20"/>
          <w:lang w:val="pl-PL"/>
        </w:rPr>
      </w:pPr>
    </w:p>
    <w:p w14:paraId="4AB47EF9" w14:textId="77777777" w:rsidR="002E5800" w:rsidRPr="008F328C" w:rsidRDefault="000E0B7C">
      <w:pPr>
        <w:pStyle w:val="a4"/>
        <w:numPr>
          <w:ilvl w:val="0"/>
          <w:numId w:val="33"/>
        </w:numPr>
        <w:spacing w:before="18" w:line="240" w:lineRule="exact"/>
        <w:ind w:hanging="468"/>
        <w:rPr>
          <w:rFonts w:ascii="Times New Roman" w:hAnsi="Times New Roman" w:cs="Times New Roman"/>
          <w:b/>
          <w:lang w:val="pl-PL"/>
        </w:rPr>
      </w:pPr>
      <w:r w:rsidRPr="008F328C">
        <w:rPr>
          <w:rFonts w:ascii="Times New Roman" w:eastAsia="Times New Roman" w:hAnsi="Times New Roman" w:cs="Times New Roman"/>
          <w:b/>
          <w:bCs/>
          <w:lang w:val="pl-PL"/>
        </w:rPr>
        <w:t>Jak przechowywać lek Yuflyma</w:t>
      </w:r>
    </w:p>
    <w:p w14:paraId="0977F3F9" w14:textId="77777777" w:rsidR="002E5800" w:rsidRPr="008F328C" w:rsidRDefault="002E5800">
      <w:pPr>
        <w:pStyle w:val="a3"/>
        <w:rPr>
          <w:lang w:val="pl-PL"/>
        </w:rPr>
      </w:pPr>
    </w:p>
    <w:p w14:paraId="59D73EF1" w14:textId="77777777" w:rsidR="002E5800" w:rsidRPr="008F328C" w:rsidRDefault="000E0B7C">
      <w:pPr>
        <w:pStyle w:val="a3"/>
        <w:rPr>
          <w:lang w:val="pl-PL"/>
        </w:rPr>
      </w:pPr>
      <w:r w:rsidRPr="008F328C">
        <w:rPr>
          <w:rFonts w:eastAsia="Times New Roman"/>
          <w:lang w:val="pl-PL"/>
        </w:rPr>
        <w:t>Lek należy przechowywać w miejscu niewidocznym i niedostępnym dla dzieci.</w:t>
      </w:r>
    </w:p>
    <w:p w14:paraId="31969930" w14:textId="77777777" w:rsidR="002E5800" w:rsidRPr="008F328C" w:rsidRDefault="002E5800">
      <w:pPr>
        <w:pStyle w:val="a3"/>
        <w:rPr>
          <w:lang w:val="pl-PL"/>
        </w:rPr>
      </w:pPr>
    </w:p>
    <w:p w14:paraId="797FA704" w14:textId="77777777" w:rsidR="002E5800" w:rsidRPr="008F328C" w:rsidRDefault="000E0B7C">
      <w:pPr>
        <w:pStyle w:val="a3"/>
        <w:rPr>
          <w:lang w:val="pl-PL"/>
        </w:rPr>
      </w:pPr>
      <w:r w:rsidRPr="008F328C">
        <w:rPr>
          <w:rFonts w:eastAsia="Times New Roman"/>
          <w:lang w:val="pl-PL"/>
        </w:rPr>
        <w:t>Nie stosować tego leku po upływie terminu ważności zamieszczonego na etykiecie/pudełku tekturowym po skrócie EXP.</w:t>
      </w:r>
    </w:p>
    <w:p w14:paraId="313749D4" w14:textId="77777777" w:rsidR="002E5800" w:rsidRPr="008F328C" w:rsidRDefault="002E5800">
      <w:pPr>
        <w:pStyle w:val="a3"/>
        <w:rPr>
          <w:lang w:val="pl-PL"/>
        </w:rPr>
      </w:pPr>
    </w:p>
    <w:p w14:paraId="311809C8" w14:textId="77777777" w:rsidR="002E5800" w:rsidRPr="008F328C" w:rsidRDefault="000E0B7C">
      <w:pPr>
        <w:pStyle w:val="a3"/>
        <w:rPr>
          <w:lang w:val="pl-PL"/>
        </w:rPr>
      </w:pPr>
      <w:r w:rsidRPr="008F328C">
        <w:rPr>
          <w:rFonts w:eastAsia="Times New Roman"/>
          <w:lang w:val="pl-PL"/>
        </w:rPr>
        <w:t>Przechowywać w lodówce (2°C–8°C). Nie zamrażać.</w:t>
      </w:r>
    </w:p>
    <w:p w14:paraId="023C073D" w14:textId="77777777" w:rsidR="002E5800" w:rsidRPr="008F328C" w:rsidRDefault="002E5800">
      <w:pPr>
        <w:pStyle w:val="a3"/>
        <w:rPr>
          <w:lang w:val="pl-PL"/>
        </w:rPr>
      </w:pPr>
    </w:p>
    <w:p w14:paraId="53EE70DF" w14:textId="77777777" w:rsidR="002E5800" w:rsidRPr="008F328C" w:rsidRDefault="000E0B7C">
      <w:pPr>
        <w:pStyle w:val="a3"/>
        <w:rPr>
          <w:lang w:val="pl-PL"/>
        </w:rPr>
      </w:pPr>
      <w:r w:rsidRPr="008F328C">
        <w:rPr>
          <w:rFonts w:eastAsia="Times New Roman"/>
          <w:lang w:val="pl-PL"/>
        </w:rPr>
        <w:t xml:space="preserve">Przechowywać ampułko-strzykawkę </w:t>
      </w:r>
      <w:r w:rsidRPr="008F328C">
        <w:rPr>
          <w:rFonts w:eastAsia="Times New Roman"/>
          <w:highlight w:val="lightGray"/>
          <w:lang w:val="pl-PL"/>
        </w:rPr>
        <w:t>z osłoną igły</w:t>
      </w:r>
      <w:r w:rsidRPr="008F328C">
        <w:rPr>
          <w:rFonts w:eastAsia="Times New Roman"/>
          <w:lang w:val="pl-PL"/>
        </w:rPr>
        <w:t xml:space="preserve"> w opakowaniu zewnętrznym w celu ochrony przed światłem.</w:t>
      </w:r>
    </w:p>
    <w:p w14:paraId="7D6D0050" w14:textId="77777777" w:rsidR="002E5800" w:rsidRPr="008F328C" w:rsidRDefault="002E5800">
      <w:pPr>
        <w:spacing w:before="13" w:line="240" w:lineRule="exact"/>
        <w:rPr>
          <w:rFonts w:ascii="Times New Roman" w:hAnsi="Times New Roman" w:cs="Times New Roman"/>
          <w:sz w:val="24"/>
          <w:szCs w:val="24"/>
          <w:lang w:val="pl-PL"/>
        </w:rPr>
      </w:pPr>
    </w:p>
    <w:p w14:paraId="59B20415" w14:textId="77777777" w:rsidR="002E5800" w:rsidRPr="008F328C" w:rsidRDefault="000E0B7C">
      <w:pPr>
        <w:pStyle w:val="a3"/>
        <w:rPr>
          <w:lang w:val="pl-PL"/>
        </w:rPr>
      </w:pPr>
      <w:r w:rsidRPr="008F328C">
        <w:rPr>
          <w:rFonts w:eastAsia="Times New Roman"/>
          <w:lang w:val="pl-PL"/>
        </w:rPr>
        <w:t>Alternatywne metoda przechowywania:</w:t>
      </w:r>
    </w:p>
    <w:p w14:paraId="1D537FC2" w14:textId="77777777" w:rsidR="002E5800" w:rsidRPr="008F328C" w:rsidRDefault="002E5800">
      <w:pPr>
        <w:spacing w:before="14" w:line="240" w:lineRule="exact"/>
        <w:rPr>
          <w:rFonts w:ascii="Times New Roman" w:hAnsi="Times New Roman" w:cs="Times New Roman"/>
          <w:sz w:val="24"/>
          <w:szCs w:val="24"/>
          <w:lang w:val="pl-PL"/>
        </w:rPr>
      </w:pPr>
    </w:p>
    <w:p w14:paraId="2758FF0F" w14:textId="7036A027" w:rsidR="002E5800" w:rsidRPr="008F328C" w:rsidRDefault="000E0B7C">
      <w:pPr>
        <w:pStyle w:val="a3"/>
        <w:rPr>
          <w:lang w:val="pl-PL"/>
        </w:rPr>
      </w:pPr>
      <w:r w:rsidRPr="008F328C">
        <w:rPr>
          <w:rFonts w:eastAsia="Times New Roman"/>
          <w:lang w:val="pl-PL"/>
        </w:rPr>
        <w:t xml:space="preserve">W razie potrzeby (na przykład podczas podróży), pojedynczą ampułko-strzykawkę </w:t>
      </w:r>
      <w:r w:rsidRPr="008F328C">
        <w:rPr>
          <w:rFonts w:eastAsia="Times New Roman"/>
          <w:highlight w:val="lightGray"/>
          <w:lang w:val="pl-PL"/>
        </w:rPr>
        <w:t>z osłoną igły</w:t>
      </w:r>
      <w:r w:rsidRPr="008F328C">
        <w:rPr>
          <w:rFonts w:eastAsia="Times New Roman"/>
          <w:lang w:val="pl-PL"/>
        </w:rPr>
        <w:t xml:space="preserve"> z lekiem Yuflyma można przechowywać w temperaturze pokojowej (do 25°C) nie dłużej niż </w:t>
      </w:r>
      <w:r w:rsidR="00091741" w:rsidRPr="008F328C">
        <w:rPr>
          <w:rFonts w:eastAsia="Times New Roman"/>
          <w:lang w:val="pl-PL"/>
        </w:rPr>
        <w:t xml:space="preserve">31 </w:t>
      </w:r>
      <w:r w:rsidRPr="008F328C">
        <w:rPr>
          <w:rFonts w:eastAsia="Times New Roman"/>
          <w:lang w:val="pl-PL"/>
        </w:rPr>
        <w:t xml:space="preserve">dni (ampułko-strzykawkę należy chronić przed światłem). Po wyjęciu z lodówki, przechowywaną w temperaturze pokojowej ampułko-strzykawkę </w:t>
      </w:r>
      <w:r w:rsidRPr="008F328C">
        <w:rPr>
          <w:rFonts w:eastAsia="Times New Roman"/>
          <w:b/>
          <w:bCs/>
          <w:lang w:val="pl-PL"/>
        </w:rPr>
        <w:t xml:space="preserve">należy bezwzględnie zużyć w ciągu </w:t>
      </w:r>
      <w:r w:rsidR="00091741" w:rsidRPr="008F328C">
        <w:rPr>
          <w:rFonts w:eastAsia="Times New Roman"/>
          <w:b/>
          <w:bCs/>
          <w:lang w:val="pl-PL"/>
        </w:rPr>
        <w:t xml:space="preserve">31 </w:t>
      </w:r>
      <w:r w:rsidRPr="008F328C">
        <w:rPr>
          <w:rFonts w:eastAsia="Times New Roman"/>
          <w:b/>
          <w:bCs/>
          <w:lang w:val="pl-PL"/>
        </w:rPr>
        <w:t>dni lub wyrzucić</w:t>
      </w:r>
      <w:r w:rsidRPr="008F328C">
        <w:rPr>
          <w:rFonts w:eastAsia="Times New Roman"/>
          <w:lang w:val="pl-PL"/>
        </w:rPr>
        <w:t>, nawet wtedy, gdy zostanie na powrót umieszczona w lodówce.</w:t>
      </w:r>
    </w:p>
    <w:p w14:paraId="1C3DA42A" w14:textId="77777777" w:rsidR="002E5800" w:rsidRPr="008F328C" w:rsidRDefault="002E5800">
      <w:pPr>
        <w:spacing w:before="17" w:line="240" w:lineRule="exact"/>
        <w:rPr>
          <w:rFonts w:ascii="Times New Roman" w:hAnsi="Times New Roman" w:cs="Times New Roman"/>
          <w:sz w:val="24"/>
          <w:szCs w:val="24"/>
          <w:lang w:val="pl-PL"/>
        </w:rPr>
      </w:pPr>
    </w:p>
    <w:p w14:paraId="03CF9E34" w14:textId="77777777" w:rsidR="002E5800" w:rsidRPr="008F328C" w:rsidRDefault="000E0B7C">
      <w:pPr>
        <w:pStyle w:val="a3"/>
        <w:rPr>
          <w:lang w:val="pl-PL"/>
        </w:rPr>
      </w:pPr>
      <w:r w:rsidRPr="008F328C">
        <w:rPr>
          <w:rFonts w:eastAsia="Times New Roman"/>
          <w:lang w:val="pl-PL"/>
        </w:rPr>
        <w:t>Należy zapisać datę pierwszego wyjęcia ampułko-strzykawki z lodówki oraz datę, po której należy ją wyrzucić.</w:t>
      </w:r>
    </w:p>
    <w:p w14:paraId="4EF4D42E" w14:textId="77777777" w:rsidR="002E5800" w:rsidRPr="008F328C" w:rsidRDefault="002E5800">
      <w:pPr>
        <w:spacing w:before="14" w:line="240" w:lineRule="exact"/>
        <w:rPr>
          <w:rFonts w:ascii="Times New Roman" w:hAnsi="Times New Roman" w:cs="Times New Roman"/>
          <w:sz w:val="24"/>
          <w:szCs w:val="24"/>
          <w:lang w:val="pl-PL"/>
        </w:rPr>
      </w:pPr>
    </w:p>
    <w:p w14:paraId="4D6DE84B" w14:textId="781B016D" w:rsidR="002E5800" w:rsidRPr="008F328C" w:rsidRDefault="000E0B7C" w:rsidP="004142DA">
      <w:pPr>
        <w:pStyle w:val="a3"/>
        <w:rPr>
          <w:lang w:val="pl-PL"/>
        </w:rPr>
      </w:pPr>
      <w:r w:rsidRPr="008F328C">
        <w:rPr>
          <w:rFonts w:eastAsia="Times New Roman"/>
          <w:lang w:val="pl-PL"/>
        </w:rPr>
        <w:t>Leków nie należy wyrzucać do kanalizacji ani domowych pojemników na odpadki. Należy zapytać lekarza lub farmaceutę, jak usunąć leki, których się już nie używa. Takie postępowanie pomoże chronić środowisko.</w:t>
      </w:r>
    </w:p>
    <w:p w14:paraId="0C7575A4" w14:textId="3463F92E" w:rsidR="002E5800" w:rsidRPr="008F328C" w:rsidRDefault="002E5800">
      <w:pPr>
        <w:spacing w:before="18" w:line="240" w:lineRule="exact"/>
        <w:rPr>
          <w:rFonts w:ascii="Times New Roman" w:hAnsi="Times New Roman" w:cs="Times New Roman"/>
          <w:b/>
          <w:lang w:val="pl-PL"/>
        </w:rPr>
      </w:pPr>
    </w:p>
    <w:p w14:paraId="7A5B2C81" w14:textId="77777777" w:rsidR="00CC4159" w:rsidRPr="008F328C" w:rsidRDefault="00CC4159">
      <w:pPr>
        <w:spacing w:before="18" w:line="240" w:lineRule="exact"/>
        <w:rPr>
          <w:rFonts w:ascii="Times New Roman" w:hAnsi="Times New Roman" w:cs="Times New Roman"/>
          <w:b/>
          <w:lang w:val="pl-PL"/>
        </w:rPr>
      </w:pPr>
    </w:p>
    <w:p w14:paraId="112ED9BD" w14:textId="77777777" w:rsidR="002E5800" w:rsidRPr="008F328C" w:rsidRDefault="000E0B7C">
      <w:pPr>
        <w:pStyle w:val="a4"/>
        <w:numPr>
          <w:ilvl w:val="0"/>
          <w:numId w:val="33"/>
        </w:numPr>
        <w:spacing w:before="18" w:line="240" w:lineRule="exact"/>
        <w:ind w:hanging="468"/>
        <w:rPr>
          <w:rFonts w:ascii="Times New Roman" w:hAnsi="Times New Roman" w:cs="Times New Roman"/>
          <w:b/>
          <w:lang w:val="pl-PL"/>
        </w:rPr>
      </w:pPr>
      <w:r w:rsidRPr="008F328C">
        <w:rPr>
          <w:rFonts w:ascii="Times New Roman" w:eastAsia="Times New Roman" w:hAnsi="Times New Roman" w:cs="Times New Roman"/>
          <w:b/>
          <w:bCs/>
          <w:lang w:val="pl-PL"/>
        </w:rPr>
        <w:t>Zawartość opakowania i inne informacje</w:t>
      </w:r>
    </w:p>
    <w:p w14:paraId="4D63F43D" w14:textId="77777777" w:rsidR="002E5800" w:rsidRPr="008F328C" w:rsidRDefault="002E5800">
      <w:pPr>
        <w:pStyle w:val="a4"/>
        <w:spacing w:before="18" w:line="240" w:lineRule="exact"/>
        <w:ind w:left="468"/>
        <w:rPr>
          <w:rFonts w:ascii="Times New Roman" w:hAnsi="Times New Roman" w:cs="Times New Roman"/>
          <w:b/>
          <w:lang w:val="pl-PL"/>
        </w:rPr>
      </w:pPr>
    </w:p>
    <w:p w14:paraId="0E9D9411" w14:textId="77777777" w:rsidR="002E5800" w:rsidRPr="008F328C" w:rsidRDefault="000E0B7C">
      <w:pPr>
        <w:spacing w:before="18"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Co zawiera lek Yuflyma</w:t>
      </w:r>
    </w:p>
    <w:p w14:paraId="4E4603BA" w14:textId="77777777" w:rsidR="002E5800" w:rsidRPr="008F328C" w:rsidRDefault="002E5800">
      <w:pPr>
        <w:spacing w:before="18" w:line="240" w:lineRule="exact"/>
        <w:rPr>
          <w:rFonts w:ascii="Times New Roman" w:hAnsi="Times New Roman" w:cs="Times New Roman"/>
          <w:b/>
          <w:lang w:val="pl-PL"/>
        </w:rPr>
      </w:pPr>
    </w:p>
    <w:p w14:paraId="6F09CF35" w14:textId="77777777" w:rsidR="002E5800" w:rsidRPr="008F328C" w:rsidRDefault="000E0B7C">
      <w:pPr>
        <w:pStyle w:val="a3"/>
        <w:rPr>
          <w:lang w:val="pl-PL"/>
        </w:rPr>
      </w:pPr>
      <w:r w:rsidRPr="008F328C">
        <w:rPr>
          <w:rFonts w:eastAsia="Times New Roman"/>
          <w:lang w:val="pl-PL"/>
        </w:rPr>
        <w:t>Substancją czynną leku jest adalimumab.</w:t>
      </w:r>
    </w:p>
    <w:p w14:paraId="665F1FE2" w14:textId="544045BF" w:rsidR="002E5800" w:rsidRPr="008F328C" w:rsidRDefault="000E0B7C">
      <w:pPr>
        <w:pStyle w:val="a3"/>
        <w:rPr>
          <w:lang w:val="pl-PL"/>
        </w:rPr>
      </w:pPr>
      <w:r w:rsidRPr="008F328C">
        <w:rPr>
          <w:rFonts w:eastAsia="Times New Roman"/>
          <w:lang w:val="pl-PL"/>
        </w:rPr>
        <w:t>Inne składniki leku to: kwas octowy,sodu octan</w:t>
      </w:r>
      <w:r w:rsidR="008513B0" w:rsidRPr="008F328C">
        <w:rPr>
          <w:rFonts w:eastAsia="Times New Roman"/>
          <w:lang w:val="pl-PL"/>
        </w:rPr>
        <w:t xml:space="preserve"> trójwodny</w:t>
      </w:r>
      <w:r w:rsidRPr="008F328C">
        <w:rPr>
          <w:rFonts w:eastAsia="Times New Roman"/>
          <w:lang w:val="pl-PL"/>
        </w:rPr>
        <w:t>, glicyna, polisorbat 80 i woda dowstrzykiwań.</w:t>
      </w:r>
    </w:p>
    <w:p w14:paraId="6A571636" w14:textId="77777777" w:rsidR="002E5800" w:rsidRPr="008F328C" w:rsidRDefault="002E5800">
      <w:pPr>
        <w:pStyle w:val="a3"/>
        <w:rPr>
          <w:lang w:val="pl-PL"/>
        </w:rPr>
      </w:pPr>
    </w:p>
    <w:p w14:paraId="29FC1226" w14:textId="77777777" w:rsidR="002E5800" w:rsidRPr="008F328C" w:rsidRDefault="000E0B7C">
      <w:pPr>
        <w:pStyle w:val="a3"/>
        <w:rPr>
          <w:b/>
          <w:lang w:val="pl-PL"/>
        </w:rPr>
      </w:pPr>
      <w:r w:rsidRPr="008F328C">
        <w:rPr>
          <w:rFonts w:eastAsia="Times New Roman"/>
          <w:b/>
          <w:bCs/>
          <w:lang w:val="pl-PL"/>
        </w:rPr>
        <w:t xml:space="preserve">Jak wygląda lek Yuflyma w ampułko-strzykawce </w:t>
      </w:r>
      <w:r w:rsidRPr="008F328C">
        <w:rPr>
          <w:rFonts w:eastAsia="Times New Roman"/>
          <w:b/>
          <w:bCs/>
          <w:highlight w:val="lightGray"/>
          <w:lang w:val="pl-PL"/>
        </w:rPr>
        <w:t>z osłoną igły</w:t>
      </w:r>
      <w:r w:rsidRPr="008F328C">
        <w:rPr>
          <w:rFonts w:eastAsia="Times New Roman"/>
          <w:b/>
          <w:bCs/>
          <w:lang w:val="pl-PL"/>
        </w:rPr>
        <w:t xml:space="preserve"> i co zawiera opakowanie</w:t>
      </w:r>
    </w:p>
    <w:p w14:paraId="4651114C" w14:textId="77777777" w:rsidR="002E5800" w:rsidRPr="008F328C" w:rsidRDefault="002E5800">
      <w:pPr>
        <w:spacing w:before="12" w:line="240" w:lineRule="exact"/>
        <w:rPr>
          <w:rFonts w:ascii="Times New Roman" w:hAnsi="Times New Roman" w:cs="Times New Roman"/>
          <w:sz w:val="24"/>
          <w:szCs w:val="24"/>
          <w:lang w:val="pl-PL"/>
        </w:rPr>
      </w:pPr>
    </w:p>
    <w:p w14:paraId="2F11741E" w14:textId="77777777" w:rsidR="002E5800" w:rsidRPr="008F328C" w:rsidRDefault="000E0B7C">
      <w:pPr>
        <w:pStyle w:val="a3"/>
        <w:rPr>
          <w:lang w:val="pl-PL"/>
        </w:rPr>
      </w:pPr>
      <w:r w:rsidRPr="008F328C">
        <w:rPr>
          <w:rFonts w:eastAsia="Times New Roman"/>
          <w:lang w:val="pl-PL"/>
        </w:rPr>
        <w:t xml:space="preserve">Lek Yuflyma 40 mg roztwór do wstrzykiwań w ampułko-strzykawce </w:t>
      </w:r>
      <w:r w:rsidRPr="008F328C">
        <w:rPr>
          <w:rFonts w:eastAsia="Times New Roman"/>
          <w:highlight w:val="lightGray"/>
          <w:lang w:val="pl-PL"/>
        </w:rPr>
        <w:t>z osłoną igły</w:t>
      </w:r>
      <w:r w:rsidRPr="008F328C">
        <w:rPr>
          <w:rFonts w:eastAsia="Times New Roman"/>
          <w:lang w:val="pl-PL"/>
        </w:rPr>
        <w:t xml:space="preserve"> jest dostarczany w postaci jałowego roztworu 40 mg adalimumabu rozpuszczonego w 0,4 ml roztworu.</w:t>
      </w:r>
    </w:p>
    <w:p w14:paraId="4BA05EC4" w14:textId="77777777" w:rsidR="002E5800" w:rsidRPr="008F328C" w:rsidRDefault="002E5800">
      <w:pPr>
        <w:spacing w:before="11" w:line="240" w:lineRule="exact"/>
        <w:rPr>
          <w:rFonts w:ascii="Times New Roman" w:hAnsi="Times New Roman" w:cs="Times New Roman"/>
          <w:sz w:val="24"/>
          <w:szCs w:val="24"/>
          <w:lang w:val="pl-PL"/>
        </w:rPr>
      </w:pPr>
    </w:p>
    <w:p w14:paraId="62606410" w14:textId="77777777" w:rsidR="002E5800" w:rsidRPr="008F328C" w:rsidRDefault="000E0B7C">
      <w:pPr>
        <w:pStyle w:val="a3"/>
        <w:rPr>
          <w:lang w:val="pl-PL"/>
        </w:rPr>
      </w:pPr>
      <w:r w:rsidRPr="008F328C">
        <w:rPr>
          <w:rFonts w:eastAsia="Times New Roman"/>
          <w:lang w:val="pl-PL"/>
        </w:rPr>
        <w:t>Ampułko-strzykawka z lekiem Yuflyma jest szklaną strzykawką zawierającą roztwór adalimumabu. 1 opakowanie z ampułko-strzykawką zawiera 2 gaziki nasączone alkoholem (1 zapasowy). W przypadku opakowań zawierających 2, 4 i 6 ampułko-strzykawek, każde opakowanie z ampułko-strzykawką zawiera 1 gazik nasączony alkoholem.</w:t>
      </w:r>
    </w:p>
    <w:p w14:paraId="26EB9201" w14:textId="77777777" w:rsidR="002E5800" w:rsidRPr="008F328C" w:rsidRDefault="002E5800">
      <w:pPr>
        <w:pStyle w:val="a3"/>
        <w:rPr>
          <w:lang w:val="pl-PL"/>
        </w:rPr>
      </w:pPr>
    </w:p>
    <w:p w14:paraId="364D0230" w14:textId="77777777" w:rsidR="002E5800" w:rsidRPr="008F328C" w:rsidRDefault="000E0B7C">
      <w:pPr>
        <w:pStyle w:val="a3"/>
        <w:rPr>
          <w:lang w:val="pl-PL"/>
        </w:rPr>
      </w:pPr>
      <w:r w:rsidRPr="008F328C">
        <w:rPr>
          <w:rFonts w:eastAsia="Times New Roman"/>
          <w:highlight w:val="lightGray"/>
          <w:lang w:val="pl-PL"/>
        </w:rPr>
        <w:t>Ampułko-strzykawka z lekiem Yuflyma jest szklaną strzykawką z osłoną igły zawierającą roztwór adalimumabu. 1 opakowanie z ampułko-strzykawką z osłoną igły zawiera 2 gaziki nasączone alkoholem (1 zapasowy). W przypadku opakowań zawierających 2, 4 i 6 ampułko-strzykawek z osłoną igły, każde opakowanie z ampułko-strzykawką zawiera 1 gazik nasączony alkoholem.</w:t>
      </w:r>
    </w:p>
    <w:p w14:paraId="6237B166" w14:textId="77777777" w:rsidR="002E5800" w:rsidRPr="008F328C" w:rsidRDefault="000E0B7C">
      <w:pPr>
        <w:pStyle w:val="a3"/>
        <w:rPr>
          <w:lang w:val="pl-PL"/>
        </w:rPr>
      </w:pPr>
      <w:r w:rsidRPr="008F328C">
        <w:rPr>
          <w:rFonts w:eastAsia="Times New Roman"/>
          <w:lang w:val="pl-PL"/>
        </w:rPr>
        <w:lastRenderedPageBreak/>
        <w:t>Nie wszystkie wielkości opakowań muszą znajdować się w obrocie.</w:t>
      </w:r>
    </w:p>
    <w:p w14:paraId="0D9D88EC" w14:textId="77777777" w:rsidR="002E5800" w:rsidRPr="008F328C" w:rsidRDefault="002E5800">
      <w:pPr>
        <w:spacing w:before="13" w:line="240" w:lineRule="exact"/>
        <w:rPr>
          <w:rFonts w:ascii="Times New Roman" w:hAnsi="Times New Roman" w:cs="Times New Roman"/>
          <w:sz w:val="24"/>
          <w:szCs w:val="24"/>
          <w:lang w:val="pl-PL"/>
        </w:rPr>
      </w:pPr>
    </w:p>
    <w:p w14:paraId="6F9A8AAA" w14:textId="77777777" w:rsidR="002E5800" w:rsidRPr="008F328C" w:rsidRDefault="000E0B7C">
      <w:pPr>
        <w:pStyle w:val="a3"/>
        <w:rPr>
          <w:lang w:val="pl-PL"/>
        </w:rPr>
      </w:pPr>
      <w:r w:rsidRPr="008F328C">
        <w:rPr>
          <w:rFonts w:eastAsia="Times New Roman"/>
          <w:lang w:val="pl-PL"/>
        </w:rPr>
        <w:t>Produkt Yuflyma może być dostępny w ampułko-strzykawce i (lub) półautomatycznym wstrzykiwaczu.</w:t>
      </w:r>
    </w:p>
    <w:p w14:paraId="16C6A029" w14:textId="77777777" w:rsidR="002E5800" w:rsidRPr="008F328C" w:rsidRDefault="002E5800">
      <w:pPr>
        <w:spacing w:before="18" w:line="240" w:lineRule="exact"/>
        <w:rPr>
          <w:rFonts w:ascii="Times New Roman" w:hAnsi="Times New Roman" w:cs="Times New Roman"/>
          <w:sz w:val="24"/>
          <w:szCs w:val="24"/>
          <w:lang w:val="pl-PL"/>
        </w:rPr>
      </w:pPr>
    </w:p>
    <w:p w14:paraId="5CFAF6DF" w14:textId="77777777" w:rsidR="002E5800" w:rsidRPr="008F328C" w:rsidRDefault="000E0B7C">
      <w:pPr>
        <w:pStyle w:val="a3"/>
        <w:rPr>
          <w:b/>
          <w:lang w:val="pl-PL"/>
        </w:rPr>
      </w:pPr>
      <w:r w:rsidRPr="008F328C">
        <w:rPr>
          <w:rFonts w:eastAsia="Times New Roman"/>
          <w:b/>
          <w:bCs/>
          <w:lang w:val="pl-PL"/>
        </w:rPr>
        <w:t>Podmiot odpowiedzialny</w:t>
      </w:r>
    </w:p>
    <w:p w14:paraId="22DDA8C6" w14:textId="77777777" w:rsidR="002E5800" w:rsidRPr="008F328C" w:rsidRDefault="002E5800">
      <w:pPr>
        <w:spacing w:before="12" w:line="240" w:lineRule="exact"/>
        <w:rPr>
          <w:rFonts w:ascii="Times New Roman" w:hAnsi="Times New Roman" w:cs="Times New Roman"/>
          <w:sz w:val="24"/>
          <w:szCs w:val="24"/>
          <w:lang w:val="pl-PL"/>
        </w:rPr>
      </w:pPr>
    </w:p>
    <w:p w14:paraId="2CA06CA7" w14:textId="77777777" w:rsidR="002E5800" w:rsidRPr="008F328C" w:rsidRDefault="000E0B7C">
      <w:pPr>
        <w:pStyle w:val="a3"/>
        <w:rPr>
          <w:lang w:val="pl-PL"/>
        </w:rPr>
      </w:pPr>
      <w:r w:rsidRPr="008F328C">
        <w:rPr>
          <w:lang w:val="pl-PL"/>
        </w:rPr>
        <w:t xml:space="preserve">Celltrion Healthcare Hungary Kft. </w:t>
      </w:r>
    </w:p>
    <w:p w14:paraId="21750967" w14:textId="77777777" w:rsidR="002E5800" w:rsidRPr="008F328C" w:rsidRDefault="000E0B7C">
      <w:pPr>
        <w:pStyle w:val="a3"/>
      </w:pPr>
      <w:r w:rsidRPr="008F328C">
        <w:t>1062 Budapest</w:t>
      </w:r>
    </w:p>
    <w:p w14:paraId="21F679E1" w14:textId="77777777" w:rsidR="002E5800" w:rsidRPr="008F328C" w:rsidRDefault="000E0B7C">
      <w:pPr>
        <w:pStyle w:val="a3"/>
      </w:pPr>
      <w:r w:rsidRPr="008F328C">
        <w:t>Váci út 1-3. WestEnd Office Building B torony</w:t>
      </w:r>
    </w:p>
    <w:p w14:paraId="07AE6ED4" w14:textId="77777777" w:rsidR="002E5800" w:rsidRPr="008F328C" w:rsidRDefault="000E0B7C">
      <w:pPr>
        <w:pStyle w:val="a3"/>
      </w:pPr>
      <w:r w:rsidRPr="008F328C">
        <w:rPr>
          <w:rFonts w:eastAsia="Times New Roman"/>
        </w:rPr>
        <w:t>Węgry</w:t>
      </w:r>
    </w:p>
    <w:p w14:paraId="49DE766F" w14:textId="77777777" w:rsidR="002E5800" w:rsidRPr="008F328C" w:rsidRDefault="002E5800">
      <w:pPr>
        <w:spacing w:before="15" w:line="240" w:lineRule="exact"/>
        <w:rPr>
          <w:rFonts w:ascii="Times New Roman" w:hAnsi="Times New Roman" w:cs="Times New Roman"/>
          <w:b/>
          <w:sz w:val="24"/>
          <w:szCs w:val="24"/>
        </w:rPr>
      </w:pPr>
    </w:p>
    <w:p w14:paraId="76725BBC" w14:textId="77777777" w:rsidR="002E5800" w:rsidRPr="008F328C" w:rsidRDefault="000E0B7C">
      <w:pPr>
        <w:pStyle w:val="a3"/>
        <w:rPr>
          <w:b/>
        </w:rPr>
      </w:pPr>
      <w:r w:rsidRPr="008F328C">
        <w:rPr>
          <w:rFonts w:eastAsia="Times New Roman"/>
          <w:b/>
          <w:bCs/>
        </w:rPr>
        <w:t>Wytwórca</w:t>
      </w:r>
    </w:p>
    <w:p w14:paraId="1C362C37" w14:textId="77777777" w:rsidR="002E5800" w:rsidRPr="008F328C" w:rsidRDefault="002E5800">
      <w:pPr>
        <w:spacing w:before="12" w:line="240" w:lineRule="exact"/>
        <w:rPr>
          <w:rFonts w:ascii="Times New Roman" w:hAnsi="Times New Roman" w:cs="Times New Roman"/>
          <w:b/>
          <w:sz w:val="24"/>
          <w:szCs w:val="24"/>
        </w:rPr>
      </w:pPr>
    </w:p>
    <w:p w14:paraId="654B09A1" w14:textId="07EF5793" w:rsidR="002E5800" w:rsidRPr="008F328C" w:rsidDel="009E0A16" w:rsidRDefault="000E0B7C">
      <w:pPr>
        <w:pStyle w:val="a3"/>
        <w:rPr>
          <w:del w:id="48" w:author="만든 이"/>
        </w:rPr>
      </w:pPr>
      <w:del w:id="49" w:author="만든 이">
        <w:r w:rsidRPr="008F328C" w:rsidDel="009E0A16">
          <w:delText>Millmount Healthcare Ltd.</w:delText>
        </w:r>
      </w:del>
    </w:p>
    <w:p w14:paraId="0ABD428E" w14:textId="775775D8" w:rsidR="002E5800" w:rsidRPr="008F328C" w:rsidDel="009E0A16" w:rsidRDefault="000E0B7C">
      <w:pPr>
        <w:pStyle w:val="a3"/>
        <w:rPr>
          <w:del w:id="50" w:author="만든 이"/>
        </w:rPr>
      </w:pPr>
      <w:del w:id="51" w:author="만든 이">
        <w:r w:rsidRPr="008F328C" w:rsidDel="009E0A16">
          <w:delText>Block 7</w:delText>
        </w:r>
      </w:del>
    </w:p>
    <w:p w14:paraId="19AEE5A1" w14:textId="461A813C" w:rsidR="002E5800" w:rsidRPr="008F328C" w:rsidDel="009E0A16" w:rsidRDefault="000E0B7C">
      <w:pPr>
        <w:pStyle w:val="a3"/>
        <w:rPr>
          <w:del w:id="52" w:author="만든 이"/>
        </w:rPr>
      </w:pPr>
      <w:del w:id="53" w:author="만든 이">
        <w:r w:rsidRPr="008F328C" w:rsidDel="009E0A16">
          <w:delText xml:space="preserve">City North Business Campus </w:delText>
        </w:r>
      </w:del>
    </w:p>
    <w:p w14:paraId="65AC1320" w14:textId="4F97FDAB" w:rsidR="002E5800" w:rsidRPr="008F328C" w:rsidDel="009E0A16" w:rsidRDefault="000E0B7C">
      <w:pPr>
        <w:pStyle w:val="a3"/>
        <w:rPr>
          <w:del w:id="54" w:author="만든 이"/>
          <w:lang w:val="en-GB"/>
        </w:rPr>
      </w:pPr>
      <w:del w:id="55" w:author="만든 이">
        <w:r w:rsidRPr="008F328C" w:rsidDel="009E0A16">
          <w:delText xml:space="preserve">Stamullen, Co. </w:delText>
        </w:r>
        <w:r w:rsidRPr="008F328C" w:rsidDel="009E0A16">
          <w:rPr>
            <w:lang w:val="en-GB"/>
          </w:rPr>
          <w:delText>Meath K32 YD60</w:delText>
        </w:r>
      </w:del>
    </w:p>
    <w:p w14:paraId="156690F6" w14:textId="28144C70" w:rsidR="002E5800" w:rsidRPr="00DA01FB" w:rsidDel="009E0A16" w:rsidRDefault="000E0B7C">
      <w:pPr>
        <w:pStyle w:val="a3"/>
        <w:rPr>
          <w:del w:id="56" w:author="만든 이"/>
          <w:rFonts w:eastAsia="Times New Roman"/>
          <w:lang w:val="es-ES"/>
        </w:rPr>
      </w:pPr>
      <w:del w:id="57" w:author="만든 이">
        <w:r w:rsidRPr="00DA01FB" w:rsidDel="009E0A16">
          <w:rPr>
            <w:rFonts w:eastAsia="Times New Roman"/>
            <w:lang w:val="es-ES"/>
          </w:rPr>
          <w:delText>Irlandia</w:delText>
        </w:r>
      </w:del>
    </w:p>
    <w:p w14:paraId="513AB54C" w14:textId="2DC53948" w:rsidR="00255576" w:rsidRPr="00DA01FB" w:rsidDel="009E0A16" w:rsidRDefault="00255576">
      <w:pPr>
        <w:pStyle w:val="a3"/>
        <w:rPr>
          <w:del w:id="58" w:author="만든 이"/>
          <w:rFonts w:eastAsia="Times New Roman"/>
          <w:lang w:val="es-ES"/>
        </w:rPr>
      </w:pPr>
    </w:p>
    <w:p w14:paraId="11B8C30B" w14:textId="77777777" w:rsidR="009E0A16" w:rsidRPr="007E66D4" w:rsidRDefault="009E0A16" w:rsidP="009E0A16">
      <w:pPr>
        <w:pStyle w:val="a3"/>
        <w:rPr>
          <w:moveTo w:id="59" w:author="만든 이" w16du:dateUtc="2025-09-09T06:15:00Z"/>
          <w:lang w:val="fr-CA"/>
        </w:rPr>
      </w:pPr>
      <w:moveToRangeStart w:id="60" w:author="만든 이" w:name="move208323361"/>
      <w:moveTo w:id="61" w:author="만든 이" w16du:dateUtc="2025-09-09T06:15:00Z">
        <w:r w:rsidRPr="007E66D4">
          <w:rPr>
            <w:lang w:val="fr-CA"/>
          </w:rPr>
          <w:t>Nuvisan France SARL</w:t>
        </w:r>
      </w:moveTo>
    </w:p>
    <w:p w14:paraId="781F417A" w14:textId="77777777" w:rsidR="009E0A16" w:rsidRPr="007E66D4" w:rsidRDefault="009E0A16" w:rsidP="009E0A16">
      <w:pPr>
        <w:pStyle w:val="a3"/>
        <w:rPr>
          <w:moveTo w:id="62" w:author="만든 이" w16du:dateUtc="2025-09-09T06:15:00Z"/>
          <w:lang w:val="fr-CA"/>
        </w:rPr>
      </w:pPr>
      <w:moveTo w:id="63" w:author="만든 이" w16du:dateUtc="2025-09-09T06:15:00Z">
        <w:r w:rsidRPr="007E66D4">
          <w:rPr>
            <w:lang w:val="fr-CA"/>
          </w:rPr>
          <w:t>2400, Route des Colles</w:t>
        </w:r>
      </w:moveTo>
    </w:p>
    <w:p w14:paraId="621FE645" w14:textId="77777777" w:rsidR="009E0A16" w:rsidRPr="008F328C" w:rsidRDefault="009E0A16" w:rsidP="009E0A16">
      <w:pPr>
        <w:pStyle w:val="a3"/>
        <w:rPr>
          <w:moveTo w:id="64" w:author="만든 이" w16du:dateUtc="2025-09-09T06:15:00Z"/>
          <w:lang w:val="pl-PL"/>
        </w:rPr>
      </w:pPr>
      <w:moveTo w:id="65" w:author="만든 이" w16du:dateUtc="2025-09-09T06:15:00Z">
        <w:r w:rsidRPr="008F328C">
          <w:rPr>
            <w:lang w:val="pl-PL"/>
          </w:rPr>
          <w:t>06410, Biot</w:t>
        </w:r>
      </w:moveTo>
    </w:p>
    <w:p w14:paraId="7CD1D621" w14:textId="77777777" w:rsidR="009E0A16" w:rsidRPr="008F328C" w:rsidRDefault="009E0A16" w:rsidP="009E0A16">
      <w:pPr>
        <w:pStyle w:val="a3"/>
        <w:rPr>
          <w:moveTo w:id="66" w:author="만든 이" w16du:dateUtc="2025-09-09T06:15:00Z"/>
          <w:lang w:val="pl-PL"/>
        </w:rPr>
      </w:pPr>
      <w:moveTo w:id="67" w:author="만든 이" w16du:dateUtc="2025-09-09T06:15:00Z">
        <w:r w:rsidRPr="008F328C">
          <w:rPr>
            <w:lang w:val="pl-PL"/>
          </w:rPr>
          <w:t>Francja</w:t>
        </w:r>
      </w:moveTo>
    </w:p>
    <w:p w14:paraId="1910B3DD" w14:textId="77777777" w:rsidR="009E0A16" w:rsidRPr="008F328C" w:rsidRDefault="009E0A16" w:rsidP="009E0A16">
      <w:pPr>
        <w:pStyle w:val="a3"/>
        <w:rPr>
          <w:moveTo w:id="68" w:author="만든 이" w16du:dateUtc="2025-09-09T06:15:00Z"/>
          <w:lang w:val="es-ES_tradnl"/>
        </w:rPr>
      </w:pPr>
    </w:p>
    <w:moveToRangeEnd w:id="60"/>
    <w:p w14:paraId="5158466F" w14:textId="77777777" w:rsidR="00255576" w:rsidRPr="009958EA" w:rsidRDefault="00255576" w:rsidP="00255576">
      <w:pPr>
        <w:pStyle w:val="a3"/>
        <w:rPr>
          <w:shd w:val="pct15" w:color="auto" w:fill="FFFFFF"/>
          <w:lang w:val="es-ES"/>
        </w:rPr>
      </w:pPr>
      <w:r w:rsidRPr="009958EA">
        <w:rPr>
          <w:shd w:val="pct15" w:color="auto" w:fill="FFFFFF"/>
          <w:lang w:val="es-ES"/>
        </w:rPr>
        <w:t>Nuvisan GmbH</w:t>
      </w:r>
    </w:p>
    <w:p w14:paraId="42930297" w14:textId="33638EF7" w:rsidR="00255576" w:rsidRPr="009958EA" w:rsidRDefault="00255576" w:rsidP="00255576">
      <w:pPr>
        <w:pStyle w:val="a3"/>
        <w:rPr>
          <w:shd w:val="pct15" w:color="auto" w:fill="FFFFFF"/>
          <w:lang w:val="de-CH"/>
        </w:rPr>
      </w:pPr>
      <w:r w:rsidRPr="009958EA">
        <w:rPr>
          <w:shd w:val="pct15" w:color="auto" w:fill="FFFFFF"/>
          <w:lang w:val="de-CH"/>
        </w:rPr>
        <w:t>Wegenerstraße 13</w:t>
      </w:r>
    </w:p>
    <w:p w14:paraId="1CD734C6" w14:textId="605C78CB" w:rsidR="00255576" w:rsidRPr="009958EA" w:rsidRDefault="00255576" w:rsidP="00255576">
      <w:pPr>
        <w:pStyle w:val="a3"/>
        <w:rPr>
          <w:shd w:val="pct15" w:color="auto" w:fill="FFFFFF"/>
          <w:lang w:val="de-CH"/>
        </w:rPr>
      </w:pPr>
      <w:r w:rsidRPr="009958EA">
        <w:rPr>
          <w:shd w:val="pct15" w:color="auto" w:fill="FFFFFF"/>
          <w:lang w:val="de-CH"/>
        </w:rPr>
        <w:t>89231 Neu</w:t>
      </w:r>
      <w:r w:rsidR="00190E6B" w:rsidRPr="009958EA">
        <w:rPr>
          <w:rFonts w:hint="eastAsia"/>
          <w:shd w:val="pct15" w:color="auto" w:fill="FFFFFF"/>
          <w:lang w:val="de-CH" w:eastAsia="ko-KR"/>
        </w:rPr>
        <w:t>-</w:t>
      </w:r>
      <w:r w:rsidRPr="009958EA">
        <w:rPr>
          <w:shd w:val="pct15" w:color="auto" w:fill="FFFFFF"/>
          <w:lang w:val="de-CH"/>
        </w:rPr>
        <w:t>Ulm</w:t>
      </w:r>
    </w:p>
    <w:p w14:paraId="07104236" w14:textId="77777777" w:rsidR="00255576" w:rsidRPr="009958EA" w:rsidRDefault="00255576" w:rsidP="00255576">
      <w:pPr>
        <w:pStyle w:val="a3"/>
        <w:rPr>
          <w:shd w:val="pct15" w:color="auto" w:fill="FFFFFF"/>
          <w:lang w:val="de-CH"/>
        </w:rPr>
      </w:pPr>
      <w:r w:rsidRPr="009958EA">
        <w:rPr>
          <w:shd w:val="pct15" w:color="auto" w:fill="FFFFFF"/>
          <w:lang w:val="de-CH"/>
        </w:rPr>
        <w:t>Niemcy</w:t>
      </w:r>
    </w:p>
    <w:p w14:paraId="15C8C086" w14:textId="77777777" w:rsidR="00255576" w:rsidRPr="009958EA" w:rsidRDefault="00255576" w:rsidP="00255576">
      <w:pPr>
        <w:pStyle w:val="a3"/>
        <w:rPr>
          <w:shd w:val="pct15" w:color="auto" w:fill="FFFFFF"/>
          <w:lang w:val="de-CH"/>
        </w:rPr>
      </w:pPr>
    </w:p>
    <w:p w14:paraId="518EA347" w14:textId="7CC2D162" w:rsidR="00255576" w:rsidRPr="00494296" w:rsidDel="009E0A16" w:rsidRDefault="00255576" w:rsidP="00255576">
      <w:pPr>
        <w:pStyle w:val="a3"/>
        <w:rPr>
          <w:moveFrom w:id="69" w:author="만든 이" w16du:dateUtc="2025-09-09T06:15:00Z"/>
          <w:shd w:val="pct15" w:color="auto" w:fill="FFFFFF"/>
          <w:lang w:val="fr-CA"/>
        </w:rPr>
      </w:pPr>
      <w:moveFromRangeStart w:id="70" w:author="만든 이" w:name="move208323361"/>
      <w:moveFrom w:id="71" w:author="만든 이" w16du:dateUtc="2025-09-09T06:15:00Z">
        <w:r w:rsidRPr="00494296" w:rsidDel="009E0A16">
          <w:rPr>
            <w:shd w:val="pct15" w:color="auto" w:fill="FFFFFF"/>
            <w:lang w:val="fr-CA"/>
          </w:rPr>
          <w:t>Nuvisan France SARL</w:t>
        </w:r>
      </w:moveFrom>
    </w:p>
    <w:p w14:paraId="681AC963" w14:textId="45669FF7" w:rsidR="00255576" w:rsidRPr="00494296" w:rsidDel="009E0A16" w:rsidRDefault="00255576" w:rsidP="00255576">
      <w:pPr>
        <w:pStyle w:val="a3"/>
        <w:rPr>
          <w:moveFrom w:id="72" w:author="만든 이" w16du:dateUtc="2025-09-09T06:15:00Z"/>
          <w:shd w:val="pct15" w:color="auto" w:fill="FFFFFF"/>
          <w:lang w:val="fr-CA"/>
        </w:rPr>
      </w:pPr>
      <w:moveFrom w:id="73" w:author="만든 이" w16du:dateUtc="2025-09-09T06:15:00Z">
        <w:r w:rsidRPr="00494296" w:rsidDel="009E0A16">
          <w:rPr>
            <w:shd w:val="pct15" w:color="auto" w:fill="FFFFFF"/>
            <w:lang w:val="fr-CA"/>
          </w:rPr>
          <w:t>2400, Route des Colles</w:t>
        </w:r>
      </w:moveFrom>
    </w:p>
    <w:p w14:paraId="66ACB8B3" w14:textId="4329880D" w:rsidR="00255576" w:rsidRPr="009958EA" w:rsidDel="009E0A16" w:rsidRDefault="00255576" w:rsidP="00255576">
      <w:pPr>
        <w:pStyle w:val="a3"/>
        <w:rPr>
          <w:moveFrom w:id="74" w:author="만든 이" w16du:dateUtc="2025-09-09T06:15:00Z"/>
          <w:shd w:val="pct15" w:color="auto" w:fill="FFFFFF"/>
          <w:lang w:val="pl-PL"/>
        </w:rPr>
      </w:pPr>
      <w:moveFrom w:id="75" w:author="만든 이" w16du:dateUtc="2025-09-09T06:15:00Z">
        <w:r w:rsidRPr="009958EA" w:rsidDel="009E0A16">
          <w:rPr>
            <w:shd w:val="pct15" w:color="auto" w:fill="FFFFFF"/>
            <w:lang w:val="pl-PL"/>
          </w:rPr>
          <w:t>06410, Biot</w:t>
        </w:r>
      </w:moveFrom>
    </w:p>
    <w:p w14:paraId="2B1357EC" w14:textId="7D27BCFE" w:rsidR="00255576" w:rsidRPr="009958EA" w:rsidDel="009E0A16" w:rsidRDefault="00255576">
      <w:pPr>
        <w:pStyle w:val="a3"/>
        <w:rPr>
          <w:moveFrom w:id="76" w:author="만든 이" w16du:dateUtc="2025-09-09T06:15:00Z"/>
          <w:shd w:val="pct15" w:color="auto" w:fill="FFFFFF"/>
          <w:lang w:val="pl-PL"/>
        </w:rPr>
      </w:pPr>
      <w:moveFrom w:id="77" w:author="만든 이" w16du:dateUtc="2025-09-09T06:15:00Z">
        <w:r w:rsidRPr="009958EA" w:rsidDel="009E0A16">
          <w:rPr>
            <w:shd w:val="pct15" w:color="auto" w:fill="FFFFFF"/>
            <w:lang w:val="pl-PL"/>
          </w:rPr>
          <w:t>Francja</w:t>
        </w:r>
      </w:moveFrom>
    </w:p>
    <w:p w14:paraId="04A6C012" w14:textId="788A5401" w:rsidR="008D1574" w:rsidRPr="009958EA" w:rsidDel="009E0A16" w:rsidRDefault="008D1574" w:rsidP="008D1574">
      <w:pPr>
        <w:pStyle w:val="a3"/>
        <w:rPr>
          <w:moveFrom w:id="78" w:author="만든 이" w16du:dateUtc="2025-09-09T06:15:00Z"/>
          <w:shd w:val="pct15" w:color="auto" w:fill="FFFFFF"/>
          <w:lang w:val="es-ES_tradnl"/>
        </w:rPr>
      </w:pPr>
    </w:p>
    <w:moveFromRangeEnd w:id="70"/>
    <w:p w14:paraId="0C232ABD" w14:textId="77777777" w:rsidR="008D1574" w:rsidRPr="00494296" w:rsidRDefault="008D1574" w:rsidP="008D1574">
      <w:pPr>
        <w:pStyle w:val="a3"/>
        <w:rPr>
          <w:shd w:val="pct15" w:color="auto" w:fill="FFFFFF"/>
          <w:lang w:val="es-ES_tradnl"/>
        </w:rPr>
      </w:pPr>
      <w:r w:rsidRPr="00494296">
        <w:rPr>
          <w:shd w:val="pct15" w:color="auto" w:fill="FFFFFF"/>
          <w:lang w:val="es-ES_tradnl"/>
        </w:rPr>
        <w:t>Midas Pharma GmbH</w:t>
      </w:r>
    </w:p>
    <w:p w14:paraId="3C2B50FA" w14:textId="626802BA" w:rsidR="008D1574" w:rsidRPr="00494296" w:rsidRDefault="008D1574" w:rsidP="008D1574">
      <w:pPr>
        <w:pStyle w:val="a3"/>
        <w:rPr>
          <w:shd w:val="pct15" w:color="auto" w:fill="FFFFFF"/>
          <w:lang w:val="es-ES_tradnl"/>
        </w:rPr>
      </w:pPr>
      <w:r w:rsidRPr="00494296">
        <w:rPr>
          <w:shd w:val="pct15" w:color="auto" w:fill="FFFFFF"/>
          <w:lang w:val="es-ES_tradnl"/>
        </w:rPr>
        <w:t>Rheinstr. 49</w:t>
      </w:r>
    </w:p>
    <w:p w14:paraId="64CE6920" w14:textId="4B3D83F8" w:rsidR="008D1574" w:rsidRPr="00494296" w:rsidRDefault="008D1574" w:rsidP="008D1574">
      <w:pPr>
        <w:pStyle w:val="a3"/>
        <w:rPr>
          <w:shd w:val="pct15" w:color="auto" w:fill="FFFFFF"/>
          <w:lang w:val="es-ES_tradnl"/>
        </w:rPr>
      </w:pPr>
      <w:r w:rsidRPr="00494296">
        <w:rPr>
          <w:shd w:val="pct15" w:color="auto" w:fill="FFFFFF"/>
          <w:lang w:val="es-ES_tradnl"/>
        </w:rPr>
        <w:t>55218 Ingelheim</w:t>
      </w:r>
    </w:p>
    <w:p w14:paraId="5DA3D673" w14:textId="77777777" w:rsidR="008D1574" w:rsidRPr="009958EA" w:rsidRDefault="008D1574" w:rsidP="008D1574">
      <w:pPr>
        <w:pStyle w:val="a3"/>
        <w:rPr>
          <w:shd w:val="pct15" w:color="auto" w:fill="FFFFFF"/>
          <w:lang w:val="de-CH"/>
        </w:rPr>
      </w:pPr>
      <w:r w:rsidRPr="009958EA">
        <w:rPr>
          <w:shd w:val="pct15" w:color="auto" w:fill="FFFFFF"/>
          <w:lang w:val="de-CH"/>
        </w:rPr>
        <w:t>Niemcy</w:t>
      </w:r>
    </w:p>
    <w:p w14:paraId="7166F435" w14:textId="77777777" w:rsidR="008D1574" w:rsidRPr="00494296" w:rsidRDefault="008D1574" w:rsidP="008D1574">
      <w:pPr>
        <w:pStyle w:val="a3"/>
        <w:rPr>
          <w:shd w:val="pct15" w:color="auto" w:fill="FFFFFF"/>
          <w:lang w:val="es-ES_tradnl"/>
        </w:rPr>
      </w:pPr>
    </w:p>
    <w:p w14:paraId="15B38DD1" w14:textId="11FC983D" w:rsidR="008D1574" w:rsidRPr="009958EA" w:rsidRDefault="008D1574" w:rsidP="008D1574">
      <w:pPr>
        <w:pStyle w:val="a3"/>
        <w:rPr>
          <w:shd w:val="pct15" w:color="auto" w:fill="FFFFFF"/>
          <w:lang w:val="fr-FR"/>
        </w:rPr>
      </w:pPr>
      <w:r w:rsidRPr="009958EA">
        <w:rPr>
          <w:shd w:val="pct15" w:color="auto" w:fill="FFFFFF"/>
          <w:lang w:val="fr-FR"/>
        </w:rPr>
        <w:t>KYMOS S.L.</w:t>
      </w:r>
    </w:p>
    <w:p w14:paraId="24544872" w14:textId="22691927" w:rsidR="008D1574" w:rsidRPr="009958EA" w:rsidRDefault="008D1574" w:rsidP="008D1574">
      <w:pPr>
        <w:pStyle w:val="a3"/>
        <w:rPr>
          <w:shd w:val="pct15" w:color="auto" w:fill="FFFFFF"/>
          <w:lang w:val="fr-FR"/>
        </w:rPr>
      </w:pPr>
      <w:r w:rsidRPr="009958EA">
        <w:rPr>
          <w:shd w:val="pct15" w:color="auto" w:fill="FFFFFF"/>
          <w:lang w:val="fr-FR"/>
        </w:rPr>
        <w:t>Ronda Can Fatjó, 7B.</w:t>
      </w:r>
    </w:p>
    <w:p w14:paraId="506BF5C2" w14:textId="7968B2F7" w:rsidR="008D1574" w:rsidRPr="009958EA" w:rsidRDefault="008D1574" w:rsidP="008D1574">
      <w:pPr>
        <w:pStyle w:val="a3"/>
        <w:rPr>
          <w:shd w:val="pct15" w:color="auto" w:fill="FFFFFF"/>
          <w:lang w:val="fr-FR"/>
        </w:rPr>
      </w:pPr>
      <w:r w:rsidRPr="009958EA">
        <w:rPr>
          <w:shd w:val="pct15" w:color="auto" w:fill="FFFFFF"/>
          <w:lang w:val="fr-FR"/>
        </w:rPr>
        <w:t>08290 Cerdanyola del Vallès</w:t>
      </w:r>
    </w:p>
    <w:p w14:paraId="58C00418" w14:textId="550F7FB5" w:rsidR="008D1574" w:rsidRPr="009958EA" w:rsidRDefault="008D1574" w:rsidP="008D1574">
      <w:pPr>
        <w:pStyle w:val="a3"/>
        <w:rPr>
          <w:shd w:val="pct15" w:color="auto" w:fill="FFFFFF"/>
          <w:lang w:val="fr-FR"/>
        </w:rPr>
      </w:pPr>
      <w:r w:rsidRPr="009958EA">
        <w:rPr>
          <w:shd w:val="pct15" w:color="auto" w:fill="FFFFFF"/>
          <w:lang w:val="fr-FR"/>
        </w:rPr>
        <w:t>Barcelona</w:t>
      </w:r>
    </w:p>
    <w:p w14:paraId="5969E6C8" w14:textId="77777777" w:rsidR="008D1574" w:rsidRPr="009958EA" w:rsidRDefault="008D1574" w:rsidP="008D1574">
      <w:pPr>
        <w:pStyle w:val="a3"/>
        <w:rPr>
          <w:shd w:val="pct15" w:color="auto" w:fill="FFFFFF"/>
          <w:lang w:val="fr-FR"/>
        </w:rPr>
      </w:pPr>
      <w:r w:rsidRPr="009958EA">
        <w:rPr>
          <w:shd w:val="pct15" w:color="auto" w:fill="FFFFFF"/>
          <w:lang w:val="fr-FR"/>
        </w:rPr>
        <w:t>Hiszpania</w:t>
      </w:r>
    </w:p>
    <w:p w14:paraId="1AD3FB25" w14:textId="77777777" w:rsidR="002E5800" w:rsidRPr="008F328C" w:rsidRDefault="002E5800">
      <w:pPr>
        <w:spacing w:before="14" w:line="240" w:lineRule="exact"/>
        <w:rPr>
          <w:rFonts w:ascii="Times New Roman" w:hAnsi="Times New Roman" w:cs="Times New Roman"/>
          <w:sz w:val="24"/>
          <w:szCs w:val="24"/>
          <w:lang w:val="fr-FR"/>
        </w:rPr>
      </w:pPr>
    </w:p>
    <w:p w14:paraId="515682BF" w14:textId="77777777" w:rsidR="002E5800" w:rsidRPr="008F328C" w:rsidRDefault="000E0B7C">
      <w:pPr>
        <w:pStyle w:val="a3"/>
        <w:rPr>
          <w:lang w:val="pl-PL"/>
        </w:rPr>
      </w:pPr>
      <w:r w:rsidRPr="008F328C">
        <w:rPr>
          <w:rFonts w:eastAsia="Times New Roman"/>
          <w:lang w:val="pl-PL"/>
        </w:rPr>
        <w:t>W celu uzyskania bardziej szczegółowych informacji dotyczących tego leku należy zwrócić się do miejscowego przedstawiciela podmiotu odpowiedzialnego:</w:t>
      </w:r>
    </w:p>
    <w:p w14:paraId="7EE2BE16" w14:textId="77777777" w:rsidR="002E5800" w:rsidRPr="008F328C" w:rsidRDefault="002E5800">
      <w:pPr>
        <w:numPr>
          <w:ilvl w:val="12"/>
          <w:numId w:val="0"/>
        </w:numPr>
        <w:ind w:right="-2"/>
        <w:rPr>
          <w:rFonts w:ascii="Times New Roman" w:hAnsi="Times New Roman" w:cs="Times New Roman"/>
          <w:b/>
          <w:lang w:val="pl-PL"/>
        </w:rPr>
      </w:pPr>
    </w:p>
    <w:tbl>
      <w:tblPr>
        <w:tblW w:w="5000" w:type="pct"/>
        <w:tblLook w:val="04A0" w:firstRow="1" w:lastRow="0" w:firstColumn="1" w:lastColumn="0" w:noHBand="0" w:noVBand="1"/>
      </w:tblPr>
      <w:tblGrid>
        <w:gridCol w:w="4702"/>
        <w:gridCol w:w="4702"/>
      </w:tblGrid>
      <w:tr w:rsidR="002E5800" w:rsidRPr="008F328C" w14:paraId="1EB354BE" w14:textId="77777777">
        <w:tc>
          <w:tcPr>
            <w:tcW w:w="2500" w:type="pct"/>
            <w:hideMark/>
          </w:tcPr>
          <w:p w14:paraId="5BA356FD" w14:textId="77777777" w:rsidR="002E5800" w:rsidRPr="008F328C" w:rsidRDefault="000E0B7C" w:rsidP="00D930EA">
            <w:pPr>
              <w:rPr>
                <w:rFonts w:ascii="Times New Roman" w:hAnsi="Times New Roman" w:cs="Times New Roman"/>
                <w:b/>
                <w:lang w:val="en-GB" w:eastAsia="fr-FR"/>
              </w:rPr>
            </w:pPr>
            <w:r w:rsidRPr="008F328C">
              <w:rPr>
                <w:rFonts w:ascii="Times New Roman" w:eastAsia="맑은 고딕" w:hAnsi="Times New Roman" w:cs="Times New Roman"/>
                <w:b/>
                <w:lang w:val="en-GB" w:eastAsia="fr-FR"/>
              </w:rPr>
              <w:t>België/Belgique/Belgien</w:t>
            </w:r>
          </w:p>
          <w:p w14:paraId="244D11A3" w14:textId="77777777" w:rsidR="002E5800" w:rsidRPr="008F328C" w:rsidRDefault="000E0B7C">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Belgium BVBA</w:t>
            </w:r>
          </w:p>
          <w:p w14:paraId="3BAA5901" w14:textId="77777777" w:rsidR="002E5800" w:rsidRPr="008F328C" w:rsidRDefault="000E0B7C">
            <w:pPr>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Tél/Tel: + 32 1528 7418</w:t>
            </w:r>
          </w:p>
        </w:tc>
        <w:tc>
          <w:tcPr>
            <w:tcW w:w="2500" w:type="pct"/>
          </w:tcPr>
          <w:p w14:paraId="11255D73" w14:textId="77777777" w:rsidR="002E5800" w:rsidRPr="008F328C" w:rsidRDefault="000E0B7C">
            <w:pPr>
              <w:tabs>
                <w:tab w:val="left" w:pos="-720"/>
              </w:tabs>
              <w:suppressAutoHyphens/>
              <w:rPr>
                <w:rFonts w:ascii="Times New Roman" w:hAnsi="Times New Roman" w:cs="Times New Roman"/>
                <w:b/>
                <w:lang w:val="en-GB" w:eastAsia="fr-FR"/>
              </w:rPr>
            </w:pPr>
            <w:r w:rsidRPr="008F328C">
              <w:rPr>
                <w:rFonts w:ascii="Times New Roman" w:hAnsi="Times New Roman" w:cs="Times New Roman"/>
                <w:b/>
                <w:lang w:val="en-GB" w:eastAsia="fr-FR"/>
              </w:rPr>
              <w:t>Lietuva</w:t>
            </w:r>
          </w:p>
          <w:p w14:paraId="1A9A5BBF"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2EBE7A11" w14:textId="2130698A" w:rsidR="00366531" w:rsidRPr="008F328C" w:rsidRDefault="00366531" w:rsidP="00366531">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B1EFBEB" w14:textId="77777777" w:rsidR="002E5800" w:rsidRPr="008F328C" w:rsidRDefault="002E5800">
            <w:pPr>
              <w:autoSpaceDE w:val="0"/>
              <w:autoSpaceDN w:val="0"/>
              <w:adjustRightInd w:val="0"/>
              <w:rPr>
                <w:rFonts w:ascii="Times New Roman" w:hAnsi="Times New Roman" w:cs="Times New Roman"/>
                <w:lang w:val="en-GB" w:eastAsia="fr-FR"/>
              </w:rPr>
            </w:pPr>
          </w:p>
        </w:tc>
      </w:tr>
      <w:tr w:rsidR="002E5800" w:rsidRPr="008F328C" w14:paraId="363757EA" w14:textId="77777777">
        <w:trPr>
          <w:trHeight w:val="619"/>
        </w:trPr>
        <w:tc>
          <w:tcPr>
            <w:tcW w:w="2500" w:type="pct"/>
          </w:tcPr>
          <w:p w14:paraId="60C6C5ED" w14:textId="77777777" w:rsidR="002E5800" w:rsidRPr="008F328C" w:rsidRDefault="000E0B7C">
            <w:pPr>
              <w:rPr>
                <w:rFonts w:ascii="Times New Roman" w:eastAsia="맑은 고딕" w:hAnsi="Times New Roman" w:cs="Times New Roman"/>
                <w:b/>
                <w:lang w:val="en-GB" w:eastAsia="fr-FR"/>
              </w:rPr>
            </w:pPr>
            <w:r w:rsidRPr="008F328C">
              <w:rPr>
                <w:rFonts w:ascii="Times New Roman" w:hAnsi="Times New Roman" w:cs="Times New Roman"/>
                <w:b/>
                <w:bCs/>
                <w:lang w:val="pl-PL"/>
              </w:rPr>
              <w:lastRenderedPageBreak/>
              <w:t>България</w:t>
            </w:r>
          </w:p>
          <w:p w14:paraId="7C63B91C"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8C1534C" w14:textId="330F46F6" w:rsidR="00366531" w:rsidRPr="008F328C" w:rsidRDefault="00151D64" w:rsidP="00366531">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Teл.: </w:t>
            </w:r>
            <w:r w:rsidR="00366531" w:rsidRPr="008F328C">
              <w:rPr>
                <w:rFonts w:ascii="Times New Roman" w:eastAsia="맑은 고딕" w:hAnsi="Times New Roman" w:cs="Times New Roman"/>
                <w:lang w:val="pl-PL" w:eastAsia="fr-FR"/>
              </w:rPr>
              <w:t>+36 1 231 0493</w:t>
            </w:r>
          </w:p>
          <w:p w14:paraId="1CB44818" w14:textId="77777777" w:rsidR="002E5800" w:rsidRPr="008F328C" w:rsidRDefault="002E5800">
            <w:pPr>
              <w:rPr>
                <w:rFonts w:ascii="Times New Roman" w:hAnsi="Times New Roman" w:cs="Times New Roman"/>
                <w:lang w:val="en-GB" w:eastAsia="fr-FR"/>
              </w:rPr>
            </w:pPr>
          </w:p>
        </w:tc>
        <w:tc>
          <w:tcPr>
            <w:tcW w:w="2500" w:type="pct"/>
            <w:hideMark/>
          </w:tcPr>
          <w:p w14:paraId="4B3E82BB" w14:textId="77777777" w:rsidR="002E5800" w:rsidRPr="008F328C" w:rsidRDefault="000E0B7C">
            <w:pPr>
              <w:tabs>
                <w:tab w:val="left" w:pos="-720"/>
              </w:tabs>
              <w:suppressAutoHyphens/>
              <w:rPr>
                <w:rFonts w:ascii="Times New Roman" w:hAnsi="Times New Roman" w:cs="Times New Roman"/>
                <w:lang w:val="de-CH" w:eastAsia="fr-FR"/>
              </w:rPr>
            </w:pPr>
            <w:r w:rsidRPr="008F328C">
              <w:rPr>
                <w:rFonts w:ascii="Times New Roman" w:eastAsia="맑은 고딕" w:hAnsi="Times New Roman" w:cs="Times New Roman"/>
                <w:b/>
                <w:lang w:val="de-CH" w:eastAsia="fr-FR"/>
              </w:rPr>
              <w:t>Luxembourg/Luxemburg</w:t>
            </w:r>
          </w:p>
          <w:p w14:paraId="382A1ABF" w14:textId="77777777" w:rsidR="002E5800" w:rsidRPr="008F328C" w:rsidRDefault="000E0B7C">
            <w:pPr>
              <w:tabs>
                <w:tab w:val="left" w:pos="-720"/>
              </w:tabs>
              <w:suppressAutoHyphens/>
              <w:rPr>
                <w:rFonts w:ascii="Times New Roman" w:eastAsia="맑은 고딕" w:hAnsi="Times New Roman" w:cs="Times New Roman"/>
                <w:iCs/>
                <w:lang w:val="de-CH" w:eastAsia="fr-FR"/>
              </w:rPr>
            </w:pPr>
            <w:r w:rsidRPr="008F328C">
              <w:rPr>
                <w:rFonts w:ascii="Times New Roman" w:eastAsia="맑은 고딕" w:hAnsi="Times New Roman" w:cs="Times New Roman"/>
                <w:iCs/>
                <w:lang w:val="de-CH" w:eastAsia="fr-FR"/>
              </w:rPr>
              <w:t>Celltrion Healthcare Belgium BVBA</w:t>
            </w:r>
          </w:p>
          <w:p w14:paraId="4250F0EC" w14:textId="77777777" w:rsidR="002E5800" w:rsidRPr="008F328C" w:rsidRDefault="000E0B7C">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 xml:space="preserve">Tél/Tel: </w:t>
            </w:r>
            <w:r w:rsidRPr="008F328C">
              <w:rPr>
                <w:rFonts w:ascii="Times New Roman" w:eastAsia="맑은 고딕" w:hAnsi="Times New Roman" w:cs="Times New Roman"/>
                <w:iCs/>
                <w:lang w:val="pl-PL" w:eastAsia="fr-FR"/>
              </w:rPr>
              <w:t>+ 32 1528 7418</w:t>
            </w:r>
          </w:p>
        </w:tc>
      </w:tr>
      <w:tr w:rsidR="002E5800" w:rsidRPr="008F328C" w14:paraId="6B308312" w14:textId="77777777">
        <w:tc>
          <w:tcPr>
            <w:tcW w:w="2500" w:type="pct"/>
            <w:hideMark/>
          </w:tcPr>
          <w:p w14:paraId="04347F1B" w14:textId="77777777" w:rsidR="002E5800" w:rsidRPr="008F328C" w:rsidRDefault="000E0B7C" w:rsidP="003C52D4">
            <w:pPr>
              <w:keepNext/>
              <w:keepLines/>
              <w:tabs>
                <w:tab w:val="left" w:pos="-720"/>
              </w:tabs>
              <w:suppressAutoHyphens/>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Česká republika</w:t>
            </w:r>
          </w:p>
          <w:p w14:paraId="2F25F553" w14:textId="77777777" w:rsidR="00366531" w:rsidRPr="008F328C" w:rsidRDefault="00366531" w:rsidP="003C52D4">
            <w:pPr>
              <w:keepNext/>
              <w:keepLine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E413A22" w14:textId="77777777" w:rsidR="00366531" w:rsidRPr="008F328C" w:rsidRDefault="00366531" w:rsidP="003C52D4">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8CC2EAA" w14:textId="77777777" w:rsidR="002E5800" w:rsidRPr="008F328C" w:rsidRDefault="002E5800" w:rsidP="003C52D4">
            <w:pPr>
              <w:keepNext/>
              <w:keepLines/>
              <w:tabs>
                <w:tab w:val="left" w:pos="-720"/>
              </w:tabs>
              <w:suppressAutoHyphens/>
              <w:rPr>
                <w:rFonts w:ascii="Times New Roman" w:hAnsi="Times New Roman" w:cs="Times New Roman"/>
                <w:lang w:val="pl-PL" w:eastAsia="fr-FR"/>
              </w:rPr>
            </w:pPr>
          </w:p>
        </w:tc>
        <w:tc>
          <w:tcPr>
            <w:tcW w:w="2500" w:type="pct"/>
          </w:tcPr>
          <w:p w14:paraId="5C270C85" w14:textId="77777777" w:rsidR="002E5800" w:rsidRPr="008F328C" w:rsidRDefault="000E0B7C" w:rsidP="003C52D4">
            <w:pPr>
              <w:keepNext/>
              <w:keepLines/>
              <w:rPr>
                <w:rFonts w:ascii="Times New Roman" w:eastAsia="맑은 고딕" w:hAnsi="Times New Roman" w:cs="Times New Roman"/>
                <w:b/>
                <w:lang w:val="en-GB" w:eastAsia="fr-FR"/>
              </w:rPr>
            </w:pPr>
            <w:r w:rsidRPr="008F328C">
              <w:rPr>
                <w:rFonts w:ascii="Times New Roman" w:hAnsi="Times New Roman" w:cs="Times New Roman"/>
                <w:b/>
                <w:lang w:val="en-GB"/>
              </w:rPr>
              <w:t>Magyarország</w:t>
            </w:r>
          </w:p>
          <w:p w14:paraId="67A41C34" w14:textId="77777777" w:rsidR="00366531" w:rsidRPr="008F328C" w:rsidRDefault="00366531" w:rsidP="003C52D4">
            <w:pPr>
              <w:keepNext/>
              <w:keepLine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DDAE3CD" w14:textId="594D9C43" w:rsidR="00366531" w:rsidRPr="008F328C" w:rsidRDefault="00366531" w:rsidP="003C52D4">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382B2B7F" w14:textId="77777777" w:rsidR="002E5800" w:rsidRPr="008F328C" w:rsidRDefault="002E5800" w:rsidP="003C52D4">
            <w:pPr>
              <w:keepNext/>
              <w:keepLines/>
              <w:rPr>
                <w:rFonts w:ascii="Times New Roman" w:eastAsia="맑은 고딕" w:hAnsi="Times New Roman" w:cs="Times New Roman"/>
                <w:lang w:val="pl-PL" w:eastAsia="ko-KR"/>
              </w:rPr>
            </w:pPr>
          </w:p>
        </w:tc>
      </w:tr>
      <w:tr w:rsidR="002E5800" w:rsidRPr="008F328C" w14:paraId="0EDD230A" w14:textId="77777777">
        <w:tc>
          <w:tcPr>
            <w:tcW w:w="2500" w:type="pct"/>
            <w:hideMark/>
          </w:tcPr>
          <w:p w14:paraId="3F2144DF" w14:textId="77777777" w:rsidR="002E5800" w:rsidRPr="008F328C" w:rsidRDefault="000E0B7C">
            <w:pPr>
              <w:tabs>
                <w:tab w:val="left" w:pos="-720"/>
              </w:tabs>
              <w:suppressAutoHyphens/>
              <w:rPr>
                <w:rFonts w:ascii="Times New Roman" w:hAnsi="Times New Roman" w:cs="Times New Roman"/>
                <w:b/>
                <w:bCs/>
                <w:i/>
                <w:iCs/>
                <w:lang w:val="en-GB" w:eastAsia="fr-FR"/>
              </w:rPr>
            </w:pPr>
            <w:r w:rsidRPr="008F328C">
              <w:rPr>
                <w:rFonts w:ascii="Times New Roman" w:hAnsi="Times New Roman" w:cs="Times New Roman"/>
                <w:b/>
                <w:lang w:val="en-GB"/>
              </w:rPr>
              <w:t>Danmark</w:t>
            </w:r>
          </w:p>
          <w:p w14:paraId="7A5BF840" w14:textId="77777777" w:rsidR="002E5800" w:rsidRPr="008F328C" w:rsidRDefault="000E0B7C">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Hungary Kft.</w:t>
            </w:r>
          </w:p>
          <w:p w14:paraId="354F95E7" w14:textId="77777777" w:rsidR="002E5800" w:rsidRPr="008F328C" w:rsidRDefault="000E0B7C">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tc>
        <w:tc>
          <w:tcPr>
            <w:tcW w:w="2500" w:type="pct"/>
          </w:tcPr>
          <w:p w14:paraId="49369310" w14:textId="77777777" w:rsidR="002E5800" w:rsidRPr="008F328C" w:rsidRDefault="000E0B7C">
            <w:pPr>
              <w:rPr>
                <w:rFonts w:ascii="Times New Roman" w:hAnsi="Times New Roman" w:cs="Times New Roman"/>
                <w:lang w:val="en-GB" w:eastAsia="fr-FR"/>
              </w:rPr>
            </w:pPr>
            <w:r w:rsidRPr="008F328C">
              <w:rPr>
                <w:rFonts w:ascii="Times New Roman" w:eastAsia="맑은 고딕" w:hAnsi="Times New Roman" w:cs="Times New Roman"/>
                <w:b/>
                <w:lang w:val="en-GB" w:eastAsia="fr-FR"/>
              </w:rPr>
              <w:t>Malta</w:t>
            </w:r>
          </w:p>
          <w:p w14:paraId="4DB4A5FA" w14:textId="0ACD0946" w:rsidR="002E5800" w:rsidRPr="008F328C" w:rsidRDefault="007F4EDB">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Mint Health Ltd.</w:t>
            </w:r>
          </w:p>
          <w:p w14:paraId="26504781" w14:textId="76E9712F" w:rsidR="002E5800" w:rsidRPr="008F328C" w:rsidRDefault="000E0B7C">
            <w:pPr>
              <w:rPr>
                <w:rFonts w:ascii="Times New Roman" w:eastAsia="맑은 고딕" w:hAnsi="Times New Roman" w:cs="Times New Roman"/>
                <w:lang w:val="en-GB" w:eastAsia="ko-KR"/>
              </w:rPr>
            </w:pPr>
            <w:r w:rsidRPr="008F328C">
              <w:rPr>
                <w:rFonts w:ascii="Times New Roman" w:eastAsia="맑은 고딕" w:hAnsi="Times New Roman" w:cs="Times New Roman"/>
                <w:lang w:val="en-GB" w:eastAsia="fr-FR"/>
              </w:rPr>
              <w:t xml:space="preserve">Tel: +356 </w:t>
            </w:r>
            <w:r w:rsidR="007F4EDB" w:rsidRPr="008F328C">
              <w:rPr>
                <w:rFonts w:ascii="Times New Roman" w:eastAsia="맑은 고딕" w:hAnsi="Times New Roman" w:cs="Times New Roman"/>
                <w:lang w:val="en-GB" w:eastAsia="fr-FR"/>
              </w:rPr>
              <w:t>2093 9800</w:t>
            </w:r>
          </w:p>
          <w:p w14:paraId="70D3F7FA" w14:textId="77777777" w:rsidR="002E5800" w:rsidRPr="008F328C" w:rsidRDefault="002E5800">
            <w:pPr>
              <w:rPr>
                <w:rFonts w:ascii="Times New Roman" w:eastAsia="맑은 고딕" w:hAnsi="Times New Roman" w:cs="Times New Roman"/>
                <w:lang w:val="en-GB" w:eastAsia="ko-KR"/>
              </w:rPr>
            </w:pPr>
          </w:p>
        </w:tc>
      </w:tr>
      <w:tr w:rsidR="002E5800" w:rsidRPr="008F328C" w14:paraId="5E86C886" w14:textId="77777777">
        <w:tc>
          <w:tcPr>
            <w:tcW w:w="2500" w:type="pct"/>
            <w:hideMark/>
          </w:tcPr>
          <w:p w14:paraId="5495FBCA" w14:textId="77777777" w:rsidR="002E5800" w:rsidRPr="008F328C" w:rsidRDefault="000E0B7C">
            <w:pPr>
              <w:rPr>
                <w:rFonts w:ascii="Times New Roman" w:hAnsi="Times New Roman" w:cs="Times New Roman"/>
                <w:b/>
                <w:lang w:eastAsia="fr-FR"/>
              </w:rPr>
            </w:pPr>
            <w:r w:rsidRPr="008F328C">
              <w:rPr>
                <w:rFonts w:ascii="Times New Roman" w:eastAsia="맑은 고딕" w:hAnsi="Times New Roman" w:cs="Times New Roman"/>
                <w:b/>
                <w:lang w:eastAsia="fr-FR"/>
              </w:rPr>
              <w:t>Deutschland</w:t>
            </w:r>
          </w:p>
          <w:p w14:paraId="01AC33DB" w14:textId="77777777" w:rsidR="00171E41" w:rsidRPr="00171E41" w:rsidRDefault="00171E41" w:rsidP="00171E41">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Celltrion Healthcare Deutschland GmbH</w:t>
            </w:r>
          </w:p>
          <w:p w14:paraId="6DEB4654" w14:textId="4A37911B" w:rsidR="006A381F" w:rsidRDefault="00171E41" w:rsidP="00171E41">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Tel. +49 (0)</w:t>
            </w:r>
            <w:r w:rsidR="0023510F">
              <w:rPr>
                <w:rFonts w:ascii="Times New Roman" w:eastAsia="맑은 고딕" w:hAnsi="Times New Roman" w:cs="Times New Roman"/>
                <w:lang w:eastAsia="fr-FR"/>
              </w:rPr>
              <w:t>30 346494150</w:t>
            </w:r>
            <w:r w:rsidRPr="00171E41">
              <w:rPr>
                <w:rFonts w:ascii="Times New Roman" w:eastAsia="맑은 고딕" w:hAnsi="Times New Roman" w:cs="Times New Roman"/>
                <w:lang w:eastAsia="fr-FR"/>
              </w:rPr>
              <w:t xml:space="preserve"> </w:t>
            </w:r>
          </w:p>
          <w:p w14:paraId="52A40FA3" w14:textId="21DE75F7" w:rsidR="006A381F" w:rsidRDefault="006A381F" w:rsidP="00171E41">
            <w:pPr>
              <w:rPr>
                <w:rFonts w:ascii="Times New Roman" w:eastAsia="맑은 고딕" w:hAnsi="Times New Roman" w:cs="Times New Roman"/>
                <w:lang w:eastAsia="fr-FR"/>
              </w:rPr>
            </w:pPr>
            <w:hyperlink r:id="rId30" w:history="1">
              <w:r w:rsidRPr="009F265B">
                <w:rPr>
                  <w:rStyle w:val="ad"/>
                  <w:rFonts w:ascii="Times New Roman" w:eastAsia="맑은 고딕" w:hAnsi="Times New Roman" w:cs="Times New Roman"/>
                  <w:lang w:eastAsia="fr-FR"/>
                </w:rPr>
                <w:t>infoDE@celltrionhc.com</w:t>
              </w:r>
            </w:hyperlink>
          </w:p>
          <w:p w14:paraId="6744EF74" w14:textId="77777777" w:rsidR="006A381F" w:rsidRPr="008F328C" w:rsidRDefault="006A381F" w:rsidP="00171E41">
            <w:pPr>
              <w:rPr>
                <w:rFonts w:ascii="Times New Roman" w:eastAsia="맑은 고딕" w:hAnsi="Times New Roman" w:cs="Times New Roman"/>
                <w:lang w:eastAsia="fr-FR"/>
              </w:rPr>
            </w:pPr>
          </w:p>
          <w:p w14:paraId="6B6E9DFF" w14:textId="77777777" w:rsidR="002E5800" w:rsidRPr="008F328C" w:rsidRDefault="002E5800">
            <w:pPr>
              <w:tabs>
                <w:tab w:val="left" w:pos="-720"/>
              </w:tabs>
              <w:suppressAutoHyphens/>
              <w:rPr>
                <w:rFonts w:ascii="Times New Roman" w:eastAsia="맑은 고딕" w:hAnsi="Times New Roman" w:cs="Times New Roman"/>
                <w:lang w:val="pl-PL" w:eastAsia="fr-FR"/>
              </w:rPr>
            </w:pPr>
          </w:p>
        </w:tc>
        <w:tc>
          <w:tcPr>
            <w:tcW w:w="2500" w:type="pct"/>
          </w:tcPr>
          <w:p w14:paraId="0DB03EA5" w14:textId="77777777" w:rsidR="002E5800" w:rsidRPr="008F328C" w:rsidRDefault="000E0B7C">
            <w:pPr>
              <w:rPr>
                <w:rFonts w:ascii="Times New Roman" w:hAnsi="Times New Roman" w:cs="Times New Roman"/>
                <w:lang w:eastAsia="fr-FR"/>
              </w:rPr>
            </w:pPr>
            <w:r w:rsidRPr="008F328C">
              <w:rPr>
                <w:rFonts w:ascii="Times New Roman" w:eastAsia="맑은 고딕" w:hAnsi="Times New Roman" w:cs="Times New Roman"/>
                <w:b/>
                <w:lang w:eastAsia="fr-FR"/>
              </w:rPr>
              <w:t>Nederland</w:t>
            </w:r>
          </w:p>
          <w:p w14:paraId="3D5FEEEC"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Netherlands B.V.</w:t>
            </w:r>
          </w:p>
          <w:p w14:paraId="245DA94E"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+ 31 20 888 7300</w:t>
            </w:r>
          </w:p>
          <w:p w14:paraId="3834D972" w14:textId="77777777" w:rsidR="002E5800" w:rsidRPr="008F328C" w:rsidRDefault="002E5800">
            <w:pPr>
              <w:rPr>
                <w:rFonts w:ascii="Times New Roman" w:eastAsia="맑은 고딕" w:hAnsi="Times New Roman" w:cs="Times New Roman"/>
                <w:lang w:val="pl-PL" w:eastAsia="fr-FR"/>
              </w:rPr>
            </w:pPr>
          </w:p>
        </w:tc>
      </w:tr>
      <w:tr w:rsidR="002E5800" w:rsidRPr="008F328C" w14:paraId="599BF612" w14:textId="77777777">
        <w:tc>
          <w:tcPr>
            <w:tcW w:w="2500" w:type="pct"/>
            <w:hideMark/>
          </w:tcPr>
          <w:p w14:paraId="73C79BE9" w14:textId="77777777" w:rsidR="002E5800" w:rsidRPr="008F328C" w:rsidRDefault="000E0B7C">
            <w:pPr>
              <w:tabs>
                <w:tab w:val="left" w:pos="-720"/>
                <w:tab w:val="left" w:pos="4536"/>
              </w:tabs>
              <w:suppressAutoHyphens/>
              <w:rPr>
                <w:rFonts w:ascii="Times New Roman" w:hAnsi="Times New Roman" w:cs="Times New Roman"/>
                <w:b/>
                <w:lang w:eastAsia="fr-FR"/>
              </w:rPr>
            </w:pPr>
            <w:r w:rsidRPr="008F328C">
              <w:rPr>
                <w:rFonts w:ascii="Times New Roman" w:eastAsia="맑은 고딕" w:hAnsi="Times New Roman" w:cs="Times New Roman"/>
                <w:b/>
                <w:lang w:eastAsia="fr-FR"/>
              </w:rPr>
              <w:t>Eesti</w:t>
            </w:r>
          </w:p>
          <w:p w14:paraId="4BB534AD"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1B2B495" w14:textId="77777777" w:rsidR="002E5800" w:rsidRPr="008F328C" w:rsidRDefault="000E0B7C">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3FC6628A" w14:textId="77777777" w:rsidR="002E5800" w:rsidRPr="008F328C" w:rsidRDefault="002E5800">
            <w:pPr>
              <w:tabs>
                <w:tab w:val="left" w:pos="-720"/>
              </w:tabs>
              <w:suppressAutoHyphens/>
              <w:rPr>
                <w:rFonts w:ascii="Times New Roman" w:eastAsia="맑은 고딕" w:hAnsi="Times New Roman" w:cs="Times New Roman"/>
                <w:lang w:val="pl-PL" w:eastAsia="ko-KR"/>
              </w:rPr>
            </w:pPr>
          </w:p>
        </w:tc>
        <w:tc>
          <w:tcPr>
            <w:tcW w:w="2500" w:type="pct"/>
          </w:tcPr>
          <w:p w14:paraId="38BF1AA2" w14:textId="77777777" w:rsidR="002E5800" w:rsidRPr="008F328C" w:rsidRDefault="000E0B7C">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Norge</w:t>
            </w:r>
          </w:p>
          <w:p w14:paraId="166D82CF"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23FFD65" w14:textId="77777777" w:rsidR="002E5800" w:rsidRPr="008F328C" w:rsidRDefault="000E0B7C">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p w14:paraId="6BE8B606" w14:textId="77777777" w:rsidR="002E5800" w:rsidRPr="008F328C" w:rsidRDefault="002E5800">
            <w:pPr>
              <w:tabs>
                <w:tab w:val="left" w:pos="-720"/>
              </w:tabs>
              <w:suppressAutoHyphens/>
              <w:rPr>
                <w:rFonts w:ascii="Times New Roman" w:eastAsia="맑은 고딕" w:hAnsi="Times New Roman" w:cs="Times New Roman"/>
                <w:lang w:val="pl-PL" w:eastAsia="ko-KR"/>
              </w:rPr>
            </w:pPr>
          </w:p>
        </w:tc>
      </w:tr>
      <w:tr w:rsidR="002E5800" w:rsidRPr="008F328C" w14:paraId="5478DCBA" w14:textId="77777777">
        <w:tc>
          <w:tcPr>
            <w:tcW w:w="2500" w:type="pct"/>
            <w:hideMark/>
          </w:tcPr>
          <w:p w14:paraId="4F3C050D" w14:textId="77777777" w:rsidR="002E5800" w:rsidRPr="008F328C" w:rsidRDefault="000E0B7C">
            <w:pPr>
              <w:rPr>
                <w:rFonts w:ascii="Times New Roman" w:hAnsi="Times New Roman" w:cs="Times New Roman"/>
                <w:lang w:val="es-ES" w:eastAsia="fr-FR"/>
              </w:rPr>
            </w:pPr>
            <w:r w:rsidRPr="008F328C">
              <w:rPr>
                <w:rFonts w:ascii="Times New Roman" w:hAnsi="Times New Roman" w:cs="Times New Roman"/>
                <w:b/>
                <w:lang w:val="es-ES"/>
              </w:rPr>
              <w:t>España</w:t>
            </w:r>
          </w:p>
          <w:p w14:paraId="4C9AAEDF" w14:textId="77777777" w:rsidR="002E5800" w:rsidRPr="008F328C" w:rsidRDefault="000E0B7C">
            <w:pPr>
              <w:rPr>
                <w:rFonts w:ascii="Times New Roman" w:eastAsia="맑은 고딕" w:hAnsi="Times New Roman" w:cs="Times New Roman"/>
                <w:lang w:val="es-ES" w:eastAsia="fr-FR"/>
              </w:rPr>
            </w:pPr>
            <w:r w:rsidRPr="008F328C">
              <w:rPr>
                <w:rFonts w:ascii="Times New Roman" w:eastAsia="맑은 고딕" w:hAnsi="Times New Roman" w:cs="Times New Roman"/>
                <w:lang w:val="es-ES" w:eastAsia="fr-FR"/>
              </w:rPr>
              <w:t>Kern Pharma, S.L.</w:t>
            </w:r>
          </w:p>
          <w:p w14:paraId="6533711C"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+34 93 700 2525</w:t>
            </w:r>
          </w:p>
          <w:p w14:paraId="01871FAF" w14:textId="77777777" w:rsidR="002E5800" w:rsidRPr="008F328C" w:rsidRDefault="002E5800">
            <w:pPr>
              <w:rPr>
                <w:rFonts w:ascii="Times New Roman" w:hAnsi="Times New Roman" w:cs="Times New Roman"/>
                <w:b/>
                <w:lang w:val="pl-PL" w:eastAsia="fr-FR"/>
              </w:rPr>
            </w:pPr>
          </w:p>
        </w:tc>
        <w:tc>
          <w:tcPr>
            <w:tcW w:w="2500" w:type="pct"/>
          </w:tcPr>
          <w:p w14:paraId="37D72E41" w14:textId="77777777" w:rsidR="002E5800" w:rsidRPr="008F328C" w:rsidRDefault="000E0B7C">
            <w:pPr>
              <w:rPr>
                <w:rFonts w:ascii="Times New Roman" w:hAnsi="Times New Roman" w:cs="Times New Roman"/>
                <w:lang w:val="de-DE" w:eastAsia="fr-FR"/>
              </w:rPr>
            </w:pPr>
            <w:r w:rsidRPr="008F328C">
              <w:rPr>
                <w:rFonts w:ascii="Times New Roman" w:hAnsi="Times New Roman" w:cs="Times New Roman"/>
                <w:b/>
                <w:lang w:val="de-DE"/>
              </w:rPr>
              <w:t>Österreich</w:t>
            </w:r>
          </w:p>
          <w:p w14:paraId="55163780" w14:textId="77777777" w:rsidR="002E5800" w:rsidRPr="008F328C" w:rsidRDefault="000E0B7C">
            <w:pPr>
              <w:rPr>
                <w:rFonts w:ascii="Times New Roman" w:eastAsia="맑은 고딕" w:hAnsi="Times New Roman" w:cs="Times New Roman"/>
                <w:lang w:val="de-DE" w:eastAsia="ko-KR"/>
              </w:rPr>
            </w:pPr>
            <w:r w:rsidRPr="008F328C">
              <w:rPr>
                <w:rFonts w:ascii="Times New Roman" w:eastAsia="맑은 고딕" w:hAnsi="Times New Roman" w:cs="Times New Roman"/>
                <w:lang w:val="de-DE" w:eastAsia="fr-FR"/>
              </w:rPr>
              <w:t>Astro-Pharma GmbH</w:t>
            </w:r>
          </w:p>
          <w:p w14:paraId="505BFE2B" w14:textId="77777777" w:rsidR="002E5800" w:rsidRPr="008F328C" w:rsidRDefault="000E0B7C">
            <w:pPr>
              <w:tabs>
                <w:tab w:val="left" w:pos="-720"/>
              </w:tabs>
              <w:suppressAutoHyphens/>
              <w:rPr>
                <w:rFonts w:ascii="Times New Roman" w:eastAsia="맑은 고딕" w:hAnsi="Times New Roman" w:cs="Times New Roman"/>
                <w:lang w:val="de-DE" w:eastAsia="fr-FR"/>
              </w:rPr>
            </w:pPr>
            <w:r w:rsidRPr="008F328C">
              <w:rPr>
                <w:rFonts w:ascii="Times New Roman" w:eastAsia="맑은 고딕" w:hAnsi="Times New Roman" w:cs="Times New Roman"/>
                <w:lang w:val="de-DE" w:eastAsia="fr-FR"/>
              </w:rPr>
              <w:t>Tel: +43 1 97 99 860</w:t>
            </w:r>
          </w:p>
          <w:p w14:paraId="74329B33" w14:textId="77777777" w:rsidR="002E5800" w:rsidRPr="008F328C" w:rsidRDefault="002E5800">
            <w:pPr>
              <w:tabs>
                <w:tab w:val="left" w:pos="-720"/>
              </w:tabs>
              <w:suppressAutoHyphens/>
              <w:rPr>
                <w:rFonts w:ascii="Times New Roman" w:hAnsi="Times New Roman" w:cs="Times New Roman"/>
                <w:lang w:val="de-DE" w:eastAsia="fr-FR"/>
              </w:rPr>
            </w:pPr>
          </w:p>
        </w:tc>
      </w:tr>
      <w:tr w:rsidR="002E5800" w:rsidRPr="008F328C" w14:paraId="25972909" w14:textId="77777777">
        <w:tc>
          <w:tcPr>
            <w:tcW w:w="2500" w:type="pct"/>
          </w:tcPr>
          <w:p w14:paraId="3BB8A64F" w14:textId="77777777" w:rsidR="002E5800" w:rsidRPr="008F328C" w:rsidRDefault="000E0B7C">
            <w:pPr>
              <w:rPr>
                <w:rFonts w:ascii="Times New Roman" w:hAnsi="Times New Roman" w:cs="Times New Roman"/>
                <w:b/>
                <w:lang w:val="el-GR" w:eastAsia="fr-FR"/>
              </w:rPr>
            </w:pPr>
            <w:r w:rsidRPr="008F328C">
              <w:rPr>
                <w:rFonts w:ascii="Times New Roman" w:hAnsi="Times New Roman" w:cs="Times New Roman"/>
                <w:b/>
                <w:lang w:val="el-GR" w:eastAsia="fr-FR"/>
              </w:rPr>
              <w:t>Ελλάδα</w:t>
            </w:r>
          </w:p>
          <w:p w14:paraId="35D0FD44" w14:textId="77777777" w:rsidR="002E5800" w:rsidRPr="008F328C" w:rsidRDefault="000E0B7C">
            <w:pPr>
              <w:rPr>
                <w:rFonts w:ascii="Times New Roman" w:hAnsi="Times New Roman" w:cs="Times New Roman"/>
                <w:lang w:val="el-GR" w:eastAsia="fr-FR"/>
              </w:rPr>
            </w:pPr>
            <w:r w:rsidRPr="008F328C">
              <w:rPr>
                <w:rFonts w:ascii="Times New Roman" w:hAnsi="Times New Roman" w:cs="Times New Roman"/>
                <w:lang w:val="el-GR" w:eastAsia="fr-FR"/>
              </w:rPr>
              <w:t>ΒΙΑΝΕΞ Α.Ε.</w:t>
            </w:r>
          </w:p>
          <w:p w14:paraId="2D90E801" w14:textId="6B11D1B3" w:rsidR="002E5800" w:rsidRPr="008F328C" w:rsidRDefault="000E0B7C">
            <w:pPr>
              <w:rPr>
                <w:rFonts w:ascii="Times New Roman" w:hAnsi="Times New Roman" w:cs="Times New Roman"/>
                <w:lang w:val="el-GR" w:eastAsia="fr-FR"/>
              </w:rPr>
            </w:pPr>
            <w:r w:rsidRPr="008F328C">
              <w:rPr>
                <w:rFonts w:ascii="Times New Roman" w:hAnsi="Times New Roman" w:cs="Times New Roman"/>
                <w:lang w:val="el-GR" w:eastAsia="fr-FR"/>
              </w:rPr>
              <w:t>Τηλ: +30 210 8009111</w:t>
            </w:r>
          </w:p>
          <w:p w14:paraId="2B214116" w14:textId="77777777" w:rsidR="002E5800" w:rsidRPr="008F328C" w:rsidRDefault="002E5800">
            <w:pPr>
              <w:rPr>
                <w:rFonts w:ascii="Times New Roman" w:eastAsia="맑은 고딕" w:hAnsi="Times New Roman" w:cs="Times New Roman"/>
                <w:lang w:val="el-GR" w:eastAsia="fr-FR"/>
              </w:rPr>
            </w:pPr>
          </w:p>
        </w:tc>
        <w:tc>
          <w:tcPr>
            <w:tcW w:w="2500" w:type="pct"/>
          </w:tcPr>
          <w:p w14:paraId="35CAB0D9" w14:textId="77777777" w:rsidR="002E5800" w:rsidRPr="008F328C" w:rsidRDefault="000E0B7C">
            <w:pPr>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Polska</w:t>
            </w:r>
          </w:p>
          <w:p w14:paraId="102A9092"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BF8E21E" w14:textId="6C22122C" w:rsidR="00366531" w:rsidRPr="008F328C" w:rsidRDefault="00366531" w:rsidP="00366531">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w:t>
            </w:r>
            <w:r w:rsidR="00151D64" w:rsidRPr="008F328C">
              <w:rPr>
                <w:rFonts w:ascii="Times New Roman" w:eastAsia="맑은 고딕" w:hAnsi="Times New Roman" w:cs="Times New Roman"/>
                <w:lang w:val="pl-PL" w:eastAsia="fr-FR"/>
              </w:rPr>
              <w:t>.</w:t>
            </w:r>
            <w:r w:rsidRPr="008F328C">
              <w:rPr>
                <w:rFonts w:ascii="Times New Roman" w:eastAsia="맑은 고딕" w:hAnsi="Times New Roman" w:cs="Times New Roman"/>
                <w:lang w:val="pl-PL" w:eastAsia="fr-FR"/>
              </w:rPr>
              <w:t>: +36 1 231 0493</w:t>
            </w:r>
          </w:p>
          <w:p w14:paraId="455D4119" w14:textId="77777777" w:rsidR="002E5800" w:rsidRPr="008F328C" w:rsidRDefault="002E5800">
            <w:pPr>
              <w:rPr>
                <w:rFonts w:ascii="Times New Roman" w:hAnsi="Times New Roman" w:cs="Times New Roman"/>
                <w:b/>
                <w:lang w:val="pl-PL"/>
              </w:rPr>
            </w:pPr>
          </w:p>
        </w:tc>
      </w:tr>
      <w:tr w:rsidR="002E5800" w:rsidRPr="00A5286D" w14:paraId="0E0F3E83" w14:textId="77777777">
        <w:tc>
          <w:tcPr>
            <w:tcW w:w="2500" w:type="pct"/>
          </w:tcPr>
          <w:p w14:paraId="330E06A7" w14:textId="77777777" w:rsidR="002E5800" w:rsidRPr="008F328C" w:rsidRDefault="000E0B7C">
            <w:pPr>
              <w:rPr>
                <w:rFonts w:ascii="Times New Roman" w:hAnsi="Times New Roman" w:cs="Times New Roman"/>
                <w:b/>
                <w:lang w:val="en-GB" w:eastAsia="ko-KR"/>
              </w:rPr>
            </w:pPr>
            <w:r w:rsidRPr="008F328C">
              <w:rPr>
                <w:rFonts w:ascii="Times New Roman" w:hAnsi="Times New Roman" w:cs="Times New Roman"/>
                <w:b/>
                <w:lang w:val="en-GB" w:eastAsia="ko-KR"/>
              </w:rPr>
              <w:t>France</w:t>
            </w:r>
          </w:p>
          <w:p w14:paraId="3C21F9FA" w14:textId="74A7FF19" w:rsidR="002E5800" w:rsidRPr="008F328C" w:rsidRDefault="007F4EDB">
            <w:pPr>
              <w:rPr>
                <w:rFonts w:ascii="Times New Roman" w:hAnsi="Times New Roman" w:cs="Times New Roman"/>
                <w:lang w:val="en-GB" w:eastAsia="ko-KR"/>
              </w:rPr>
            </w:pPr>
            <w:r w:rsidRPr="008F328C">
              <w:rPr>
                <w:rFonts w:ascii="Times New Roman" w:hAnsi="Times New Roman" w:cs="Times New Roman"/>
                <w:lang w:val="en-GB" w:eastAsia="ko-KR"/>
              </w:rPr>
              <w:t>Celltrion Healthcare France SAS</w:t>
            </w:r>
          </w:p>
          <w:p w14:paraId="7E7FC655" w14:textId="77777777" w:rsidR="002E5800" w:rsidRPr="008F328C" w:rsidRDefault="000E0B7C">
            <w:pPr>
              <w:rPr>
                <w:rFonts w:ascii="Times New Roman" w:eastAsia="맑은 고딕" w:hAnsi="Times New Roman" w:cs="Times New Roman"/>
                <w:lang w:val="en-GB" w:eastAsia="ko-KR"/>
              </w:rPr>
            </w:pPr>
            <w:r w:rsidRPr="008F328C">
              <w:rPr>
                <w:rFonts w:ascii="Times New Roman" w:hAnsi="Times New Roman" w:cs="Times New Roman"/>
                <w:lang w:val="en-GB" w:eastAsia="ko-KR"/>
              </w:rPr>
              <w:t>T</w:t>
            </w:r>
            <w:r w:rsidRPr="008F328C">
              <w:rPr>
                <w:rFonts w:ascii="Times New Roman" w:hAnsi="Times New Roman" w:cs="Times New Roman"/>
                <w:lang w:val="en-GB"/>
              </w:rPr>
              <w:t>é</w:t>
            </w:r>
            <w:r w:rsidRPr="008F328C">
              <w:rPr>
                <w:rFonts w:ascii="Times New Roman" w:hAnsi="Times New Roman" w:cs="Times New Roman"/>
                <w:lang w:val="en-GB" w:eastAsia="ko-KR"/>
              </w:rPr>
              <w:t>l.: +33 (0)1 71 25 27 00</w:t>
            </w:r>
          </w:p>
          <w:p w14:paraId="06E894E8" w14:textId="77777777" w:rsidR="002E5800" w:rsidRPr="008F328C" w:rsidRDefault="002E5800">
            <w:pPr>
              <w:rPr>
                <w:rFonts w:ascii="Times New Roman" w:eastAsia="맑은 고딕" w:hAnsi="Times New Roman" w:cs="Times New Roman"/>
                <w:lang w:val="en-GB" w:eastAsia="fr-FR"/>
              </w:rPr>
            </w:pPr>
          </w:p>
        </w:tc>
        <w:tc>
          <w:tcPr>
            <w:tcW w:w="2500" w:type="pct"/>
          </w:tcPr>
          <w:p w14:paraId="64461795" w14:textId="77777777" w:rsidR="00FA20FC" w:rsidRPr="002F72A3" w:rsidRDefault="00FA20FC" w:rsidP="00FA20F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003982D" w14:textId="014E091D" w:rsidR="00FA20FC" w:rsidRDefault="00FA20FC" w:rsidP="00FA20F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4F1E983" w14:textId="29C04ADE" w:rsidR="00FA20FC" w:rsidRPr="00494296" w:rsidRDefault="00FA20FC" w:rsidP="00FA20FC">
            <w:pPr>
              <w:rPr>
                <w:rFonts w:ascii="Times New Roman" w:eastAsia="맑은 고딕" w:hAnsi="Times New Roman" w:cs="Times New Roman"/>
                <w:noProof/>
                <w:lang w:val="fr-CA" w:eastAsia="fr-FR"/>
              </w:rPr>
            </w:pPr>
            <w:r w:rsidRPr="00494296">
              <w:rPr>
                <w:rFonts w:ascii="Times New Roman" w:eastAsia="맑은 고딕" w:hAnsi="Times New Roman" w:cs="Times New Roman"/>
                <w:noProof/>
                <w:lang w:val="fr-CA" w:eastAsia="fr-FR"/>
              </w:rPr>
              <w:t>Tel: +351 21 936 8542</w:t>
            </w:r>
          </w:p>
          <w:p w14:paraId="1F90B8D3" w14:textId="77777777" w:rsidR="002E5800" w:rsidRPr="008F328C" w:rsidRDefault="002E5800">
            <w:pPr>
              <w:rPr>
                <w:rFonts w:ascii="Times New Roman" w:hAnsi="Times New Roman" w:cs="Times New Roman"/>
                <w:b/>
                <w:lang w:val="pl-PL"/>
              </w:rPr>
            </w:pPr>
          </w:p>
        </w:tc>
      </w:tr>
      <w:tr w:rsidR="002E5800" w:rsidRPr="008F328C" w14:paraId="62528041" w14:textId="77777777">
        <w:tc>
          <w:tcPr>
            <w:tcW w:w="2500" w:type="pct"/>
          </w:tcPr>
          <w:p w14:paraId="79DDE27B" w14:textId="77777777" w:rsidR="002E5800" w:rsidRPr="008F328C" w:rsidRDefault="000E0B7C">
            <w:pPr>
              <w:rPr>
                <w:rFonts w:ascii="Times New Roman" w:hAnsi="Times New Roman" w:cs="Times New Roman"/>
                <w:b/>
                <w:lang w:val="pl-PL" w:eastAsia="ko-KR"/>
              </w:rPr>
            </w:pPr>
            <w:r w:rsidRPr="008F328C">
              <w:rPr>
                <w:rFonts w:ascii="Times New Roman" w:hAnsi="Times New Roman" w:cs="Times New Roman"/>
                <w:b/>
                <w:lang w:val="pl-PL" w:eastAsia="ko-KR"/>
              </w:rPr>
              <w:t>Hrvatska</w:t>
            </w:r>
          </w:p>
          <w:p w14:paraId="5046800B" w14:textId="77777777" w:rsidR="002E5800" w:rsidRPr="008F328C" w:rsidRDefault="000E0B7C">
            <w:pPr>
              <w:rPr>
                <w:rFonts w:ascii="Times New Roman" w:hAnsi="Times New Roman" w:cs="Times New Roman"/>
                <w:lang w:val="pl-PL" w:eastAsia="ko-KR"/>
              </w:rPr>
            </w:pPr>
            <w:r w:rsidRPr="008F328C">
              <w:rPr>
                <w:rFonts w:ascii="Times New Roman" w:hAnsi="Times New Roman" w:cs="Times New Roman"/>
                <w:lang w:val="pl-PL" w:eastAsia="ko-KR"/>
              </w:rPr>
              <w:t>Oktal Pharma d.o.o.</w:t>
            </w:r>
          </w:p>
          <w:p w14:paraId="3BAB0D79" w14:textId="77777777" w:rsidR="002E5800" w:rsidRPr="008F328C" w:rsidRDefault="000E0B7C">
            <w:pPr>
              <w:rPr>
                <w:rFonts w:ascii="Times New Roman" w:hAnsi="Times New Roman" w:cs="Times New Roman"/>
                <w:lang w:val="pl-PL" w:eastAsia="ko-KR"/>
              </w:rPr>
            </w:pPr>
            <w:r w:rsidRPr="008F328C">
              <w:rPr>
                <w:rFonts w:ascii="Times New Roman" w:hAnsi="Times New Roman" w:cs="Times New Roman"/>
                <w:lang w:val="pl-PL" w:eastAsia="ko-KR"/>
              </w:rPr>
              <w:t>Tel: +385 1 6595 777</w:t>
            </w:r>
          </w:p>
          <w:p w14:paraId="2C30AEE1" w14:textId="77777777" w:rsidR="002E5800" w:rsidRPr="008F328C" w:rsidRDefault="002E5800">
            <w:pPr>
              <w:rPr>
                <w:rFonts w:ascii="Times New Roman" w:eastAsia="맑은 고딕" w:hAnsi="Times New Roman" w:cs="Times New Roman"/>
                <w:lang w:val="pl-PL" w:eastAsia="fr-FR"/>
              </w:rPr>
            </w:pPr>
          </w:p>
        </w:tc>
        <w:tc>
          <w:tcPr>
            <w:tcW w:w="2500" w:type="pct"/>
          </w:tcPr>
          <w:p w14:paraId="62B1B1FF" w14:textId="77777777" w:rsidR="002E5800" w:rsidRPr="008F328C" w:rsidRDefault="000E0B7C">
            <w:pPr>
              <w:tabs>
                <w:tab w:val="left" w:pos="-720"/>
              </w:tabs>
              <w:suppressAutoHyphens/>
              <w:rPr>
                <w:rFonts w:ascii="Times New Roman" w:eastAsia="맑은 고딕" w:hAnsi="Times New Roman" w:cs="Times New Roman"/>
                <w:b/>
                <w:lang w:val="en-GB" w:eastAsia="fr-FR"/>
              </w:rPr>
            </w:pPr>
            <w:r w:rsidRPr="008F328C">
              <w:rPr>
                <w:rFonts w:ascii="Times New Roman" w:hAnsi="Times New Roman" w:cs="Times New Roman"/>
                <w:b/>
                <w:lang w:val="en-GB"/>
              </w:rPr>
              <w:t>România</w:t>
            </w:r>
          </w:p>
          <w:p w14:paraId="43881634"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6C89431" w14:textId="77777777" w:rsidR="00366531" w:rsidRPr="008F328C" w:rsidRDefault="00366531" w:rsidP="00366531">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0B38718" w14:textId="77777777" w:rsidR="002E5800" w:rsidRPr="008F328C" w:rsidRDefault="002E5800">
            <w:pPr>
              <w:rPr>
                <w:rFonts w:ascii="Times New Roman" w:hAnsi="Times New Roman" w:cs="Times New Roman"/>
                <w:b/>
                <w:lang w:val="en-GB"/>
              </w:rPr>
            </w:pPr>
          </w:p>
        </w:tc>
      </w:tr>
      <w:tr w:rsidR="002E5800" w:rsidRPr="008F328C" w14:paraId="1D404C9E" w14:textId="77777777">
        <w:tc>
          <w:tcPr>
            <w:tcW w:w="2500" w:type="pct"/>
          </w:tcPr>
          <w:p w14:paraId="120F23F8" w14:textId="77777777" w:rsidR="002E5800" w:rsidRPr="008F328C" w:rsidRDefault="000E0B7C">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Ireland</w:t>
            </w:r>
          </w:p>
          <w:p w14:paraId="69E39936"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Ireland Limited</w:t>
            </w:r>
          </w:p>
          <w:p w14:paraId="5B79AEB1"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Tel: +353 1 223 4026</w:t>
            </w:r>
          </w:p>
          <w:p w14:paraId="662FA2BA" w14:textId="77777777" w:rsidR="002E5800" w:rsidRPr="008F328C" w:rsidRDefault="002E5800">
            <w:pPr>
              <w:rPr>
                <w:rFonts w:ascii="Times New Roman" w:eastAsia="맑은 고딕" w:hAnsi="Times New Roman" w:cs="Times New Roman"/>
                <w:lang w:eastAsia="fr-FR"/>
              </w:rPr>
            </w:pPr>
          </w:p>
        </w:tc>
        <w:tc>
          <w:tcPr>
            <w:tcW w:w="2500" w:type="pct"/>
          </w:tcPr>
          <w:p w14:paraId="4C829F06" w14:textId="77777777" w:rsidR="002E5800" w:rsidRPr="008F328C" w:rsidRDefault="000E0B7C">
            <w:pPr>
              <w:rPr>
                <w:rFonts w:ascii="Times New Roman" w:eastAsia="맑은 고딕" w:hAnsi="Times New Roman" w:cs="Times New Roman"/>
                <w:b/>
                <w:lang w:val="pt-PT" w:eastAsia="fr-FR"/>
              </w:rPr>
            </w:pPr>
            <w:r w:rsidRPr="008F328C">
              <w:rPr>
                <w:rFonts w:ascii="Times New Roman" w:eastAsia="맑은 고딕" w:hAnsi="Times New Roman" w:cs="Times New Roman"/>
                <w:b/>
                <w:lang w:val="pt-PT" w:eastAsia="fr-FR"/>
              </w:rPr>
              <w:t>Slovenija</w:t>
            </w:r>
          </w:p>
          <w:p w14:paraId="4A1B80C5" w14:textId="77777777" w:rsidR="002E5800" w:rsidRPr="008F328C" w:rsidRDefault="000E0B7C">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OPH Oktal Pharma d.o.o.</w:t>
            </w:r>
          </w:p>
          <w:p w14:paraId="1C27EC5F" w14:textId="77777777" w:rsidR="002E5800" w:rsidRPr="008F328C" w:rsidRDefault="000E0B7C">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Tel.: +386 1 519 29 22</w:t>
            </w:r>
          </w:p>
          <w:p w14:paraId="42A3B414" w14:textId="77777777" w:rsidR="002E5800" w:rsidRPr="008F328C" w:rsidRDefault="002E5800">
            <w:pPr>
              <w:rPr>
                <w:rFonts w:ascii="Times New Roman" w:hAnsi="Times New Roman" w:cs="Times New Roman"/>
                <w:b/>
                <w:lang w:val="pt-PT"/>
              </w:rPr>
            </w:pPr>
          </w:p>
        </w:tc>
      </w:tr>
      <w:tr w:rsidR="002E5800" w:rsidRPr="008F328C" w14:paraId="2BC73473" w14:textId="77777777">
        <w:tc>
          <w:tcPr>
            <w:tcW w:w="2500" w:type="pct"/>
          </w:tcPr>
          <w:p w14:paraId="46C80BB6"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b/>
                <w:lang w:eastAsia="fr-FR"/>
              </w:rPr>
              <w:t>Ísland</w:t>
            </w:r>
          </w:p>
          <w:p w14:paraId="03761572"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4215F19"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Sími: +36 1 231 0493</w:t>
            </w:r>
          </w:p>
        </w:tc>
        <w:tc>
          <w:tcPr>
            <w:tcW w:w="2500" w:type="pct"/>
          </w:tcPr>
          <w:p w14:paraId="6F4A341F" w14:textId="77777777" w:rsidR="002E5800" w:rsidRPr="008F328C" w:rsidRDefault="000E0B7C">
            <w:pPr>
              <w:rPr>
                <w:rFonts w:ascii="Times New Roman" w:eastAsia="맑은 고딕" w:hAnsi="Times New Roman" w:cs="Times New Roman"/>
                <w:b/>
                <w:lang w:val="en-GB" w:eastAsia="fr-FR"/>
              </w:rPr>
            </w:pPr>
            <w:r w:rsidRPr="008F328C">
              <w:rPr>
                <w:rFonts w:ascii="Times New Roman" w:hAnsi="Times New Roman" w:cs="Times New Roman"/>
                <w:b/>
                <w:lang w:val="en-GB"/>
              </w:rPr>
              <w:t>Slovenská republika</w:t>
            </w:r>
          </w:p>
          <w:p w14:paraId="45373C47"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73103E8A" w14:textId="77777777" w:rsidR="00366531" w:rsidRPr="008F328C" w:rsidRDefault="00366531" w:rsidP="00366531">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25403893" w14:textId="77777777" w:rsidR="002E5800" w:rsidRPr="008F328C" w:rsidRDefault="002E5800">
            <w:pPr>
              <w:rPr>
                <w:rFonts w:ascii="Times New Roman" w:eastAsia="맑은 고딕" w:hAnsi="Times New Roman" w:cs="Times New Roman"/>
                <w:b/>
                <w:lang w:val="pl-PL" w:eastAsia="fr-FR"/>
              </w:rPr>
            </w:pPr>
          </w:p>
        </w:tc>
      </w:tr>
      <w:tr w:rsidR="002E5800" w:rsidRPr="008F328C" w14:paraId="329D2F2D" w14:textId="77777777">
        <w:tc>
          <w:tcPr>
            <w:tcW w:w="2500" w:type="pct"/>
          </w:tcPr>
          <w:p w14:paraId="1433E4FA" w14:textId="77777777" w:rsidR="002E5800" w:rsidRPr="008F328C" w:rsidRDefault="000E0B7C">
            <w:pPr>
              <w:rPr>
                <w:rFonts w:ascii="Times New Roman" w:hAnsi="Times New Roman" w:cs="Times New Roman"/>
                <w:lang w:val="en-GB" w:eastAsia="fr-FR"/>
              </w:rPr>
            </w:pPr>
            <w:r w:rsidRPr="008F328C">
              <w:rPr>
                <w:rFonts w:ascii="Times New Roman" w:eastAsia="맑은 고딕" w:hAnsi="Times New Roman" w:cs="Times New Roman"/>
                <w:b/>
                <w:lang w:val="en-GB" w:eastAsia="fr-FR"/>
              </w:rPr>
              <w:t>Italia</w:t>
            </w:r>
          </w:p>
          <w:p w14:paraId="25E407B4" w14:textId="4B4CEC4D" w:rsidR="002E5800" w:rsidRPr="008F328C" w:rsidRDefault="000E0B7C">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Italy S.</w:t>
            </w:r>
            <w:r w:rsidR="007F4EDB" w:rsidRPr="008F328C">
              <w:rPr>
                <w:rFonts w:ascii="Times New Roman" w:eastAsia="맑은 고딕" w:hAnsi="Times New Roman" w:cs="Times New Roman"/>
                <w:lang w:val="en-GB" w:eastAsia="fr-FR"/>
              </w:rPr>
              <w:t>r</w:t>
            </w:r>
            <w:r w:rsidRPr="008F328C">
              <w:rPr>
                <w:rFonts w:ascii="Times New Roman" w:eastAsia="맑은 고딕" w:hAnsi="Times New Roman" w:cs="Times New Roman"/>
                <w:lang w:val="en-GB" w:eastAsia="fr-FR"/>
              </w:rPr>
              <w:t>.</w:t>
            </w:r>
            <w:r w:rsidR="007F4EDB" w:rsidRPr="008F328C">
              <w:rPr>
                <w:rFonts w:ascii="Times New Roman" w:eastAsia="맑은 고딕" w:hAnsi="Times New Roman" w:cs="Times New Roman"/>
                <w:lang w:val="en-GB" w:eastAsia="fr-FR"/>
              </w:rPr>
              <w:t>l</w:t>
            </w:r>
            <w:r w:rsidRPr="008F328C">
              <w:rPr>
                <w:rFonts w:ascii="Times New Roman" w:eastAsia="맑은 고딕" w:hAnsi="Times New Roman" w:cs="Times New Roman"/>
                <w:lang w:val="en-GB" w:eastAsia="fr-FR"/>
              </w:rPr>
              <w:t>.</w:t>
            </w:r>
          </w:p>
          <w:p w14:paraId="38083B0D" w14:textId="5204CEA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Tel: +39 </w:t>
            </w:r>
            <w:r w:rsidR="007F4EDB" w:rsidRPr="008F328C">
              <w:rPr>
                <w:rFonts w:ascii="Times New Roman" w:eastAsia="맑은 고딕" w:hAnsi="Times New Roman" w:cs="Times New Roman"/>
                <w:lang w:val="pl-PL" w:eastAsia="fr-FR"/>
              </w:rPr>
              <w:t>02</w:t>
            </w:r>
            <w:r w:rsidR="0032285D">
              <w:rPr>
                <w:rFonts w:ascii="Times New Roman" w:eastAsia="맑은 고딕" w:hAnsi="Times New Roman" w:cs="Times New Roman"/>
                <w:lang w:val="pl-PL" w:eastAsia="fr-FR"/>
              </w:rPr>
              <w:t xml:space="preserve"> </w:t>
            </w:r>
            <w:r w:rsidR="007F4EDB" w:rsidRPr="008F328C">
              <w:rPr>
                <w:rFonts w:ascii="Times New Roman" w:eastAsia="맑은 고딕" w:hAnsi="Times New Roman" w:cs="Times New Roman"/>
                <w:lang w:val="pl-PL" w:eastAsia="fr-FR"/>
              </w:rPr>
              <w:t>47927040</w:t>
            </w:r>
          </w:p>
          <w:p w14:paraId="2ECE3BD3" w14:textId="77777777" w:rsidR="002E5800" w:rsidRPr="008F328C" w:rsidRDefault="002E5800">
            <w:pPr>
              <w:rPr>
                <w:rFonts w:ascii="Times New Roman" w:eastAsia="맑은 고딕" w:hAnsi="Times New Roman" w:cs="Times New Roman"/>
                <w:lang w:val="pl-PL" w:eastAsia="fr-FR"/>
              </w:rPr>
            </w:pPr>
          </w:p>
        </w:tc>
        <w:tc>
          <w:tcPr>
            <w:tcW w:w="2500" w:type="pct"/>
          </w:tcPr>
          <w:p w14:paraId="38D9E492" w14:textId="77777777" w:rsidR="002E5800" w:rsidRPr="008F328C" w:rsidRDefault="000E0B7C">
            <w:pPr>
              <w:rPr>
                <w:rFonts w:ascii="Times New Roman" w:hAnsi="Times New Roman" w:cs="Times New Roman"/>
                <w:lang w:val="en-GB" w:eastAsia="fr-FR"/>
              </w:rPr>
            </w:pPr>
            <w:r w:rsidRPr="008F328C">
              <w:rPr>
                <w:rFonts w:ascii="Times New Roman" w:eastAsia="맑은 고딕" w:hAnsi="Times New Roman" w:cs="Times New Roman"/>
                <w:b/>
                <w:lang w:val="en-GB" w:eastAsia="fr-FR"/>
              </w:rPr>
              <w:t>Suomi/Finland</w:t>
            </w:r>
          </w:p>
          <w:p w14:paraId="44C6EEE6" w14:textId="77777777" w:rsidR="0032285D" w:rsidRPr="00F47393" w:rsidRDefault="0032285D" w:rsidP="0032285D">
            <w:pPr>
              <w:tabs>
                <w:tab w:val="left" w:pos="-720"/>
              </w:tabs>
              <w:suppressAutoHyphens/>
              <w:rPr>
                <w:rFonts w:ascii="Times New Roman" w:eastAsia="맑은 고딕" w:hAnsi="Times New Roman" w:cs="Times New Roman"/>
                <w:lang w:val="en-GB" w:eastAsia="fr-FR"/>
              </w:rPr>
            </w:pPr>
            <w:r w:rsidRPr="00F47393">
              <w:rPr>
                <w:rFonts w:ascii="Times New Roman" w:eastAsia="맑은 고딕" w:hAnsi="Times New Roman" w:cs="Times New Roman"/>
                <w:lang w:val="en-GB" w:eastAsia="fr-FR"/>
              </w:rPr>
              <w:t xml:space="preserve">Celltrion Healthcare Finland Oy. </w:t>
            </w:r>
          </w:p>
          <w:p w14:paraId="391B3312" w14:textId="36E2224B" w:rsidR="002E5800" w:rsidRPr="008F328C" w:rsidRDefault="0032285D">
            <w:pPr>
              <w:autoSpaceDE w:val="0"/>
              <w:autoSpaceDN w:val="0"/>
              <w:adjustRightInd w:val="0"/>
              <w:rPr>
                <w:rFonts w:ascii="Times New Roman" w:eastAsia="맑은 고딕" w:hAnsi="Times New Roman" w:cs="Times New Roman"/>
                <w:lang w:val="pl-PL" w:eastAsia="fr-FR"/>
              </w:rPr>
            </w:pPr>
            <w:r w:rsidRPr="00F47393">
              <w:rPr>
                <w:rFonts w:ascii="Times New Roman" w:eastAsia="맑은 고딕" w:hAnsi="Times New Roman" w:cs="Times New Roman"/>
                <w:lang w:val="en-GB" w:eastAsia="fr-FR"/>
              </w:rPr>
              <w:t>Puh/Tel: +358 29 170 7755</w:t>
            </w:r>
          </w:p>
          <w:p w14:paraId="6382F927" w14:textId="77777777" w:rsidR="002E5800" w:rsidRPr="008F328C" w:rsidRDefault="002E5800">
            <w:pPr>
              <w:autoSpaceDE w:val="0"/>
              <w:autoSpaceDN w:val="0"/>
              <w:adjustRightInd w:val="0"/>
              <w:rPr>
                <w:rFonts w:ascii="Times New Roman" w:eastAsia="맑은 고딕" w:hAnsi="Times New Roman" w:cs="Times New Roman"/>
                <w:lang w:val="pl-PL" w:eastAsia="ko-KR"/>
              </w:rPr>
            </w:pPr>
          </w:p>
        </w:tc>
      </w:tr>
      <w:tr w:rsidR="002E5800" w:rsidRPr="008F328C" w14:paraId="090F9464" w14:textId="77777777">
        <w:tc>
          <w:tcPr>
            <w:tcW w:w="2500" w:type="pct"/>
          </w:tcPr>
          <w:p w14:paraId="53279B4D" w14:textId="77777777" w:rsidR="002E5800" w:rsidRPr="00DA01FB" w:rsidRDefault="000E0B7C">
            <w:pPr>
              <w:tabs>
                <w:tab w:val="left" w:pos="-720"/>
              </w:tabs>
              <w:suppressAutoHyphens/>
              <w:rPr>
                <w:rFonts w:ascii="Times New Roman" w:hAnsi="Times New Roman" w:cs="Times New Roman"/>
                <w:b/>
                <w:bCs/>
                <w:lang w:val="es-ES" w:eastAsia="fr-FR"/>
              </w:rPr>
            </w:pPr>
            <w:r w:rsidRPr="008F328C">
              <w:rPr>
                <w:rFonts w:ascii="Times New Roman" w:hAnsi="Times New Roman" w:cs="Times New Roman"/>
                <w:b/>
                <w:lang w:val="pl-PL"/>
              </w:rPr>
              <w:t>Κύπρος</w:t>
            </w:r>
          </w:p>
          <w:p w14:paraId="317DBD87" w14:textId="77777777" w:rsidR="002E5800" w:rsidRPr="00DA01FB" w:rsidRDefault="000E0B7C">
            <w:pPr>
              <w:tabs>
                <w:tab w:val="left" w:pos="-720"/>
              </w:tabs>
              <w:suppressAutoHyphens/>
              <w:rPr>
                <w:rFonts w:ascii="Times New Roman" w:eastAsia="맑은 고딕" w:hAnsi="Times New Roman" w:cs="Times New Roman"/>
                <w:lang w:val="es-ES" w:eastAsia="ko-KR"/>
              </w:rPr>
            </w:pPr>
            <w:r w:rsidRPr="00DA01FB">
              <w:rPr>
                <w:rFonts w:ascii="Times New Roman" w:eastAsia="맑은 고딕" w:hAnsi="Times New Roman" w:cs="Times New Roman"/>
                <w:lang w:val="es-ES" w:eastAsia="fr-FR"/>
              </w:rPr>
              <w:t>C.A. Papaellinas Ltd</w:t>
            </w:r>
          </w:p>
          <w:p w14:paraId="3FDCB4BE" w14:textId="77777777" w:rsidR="002E5800" w:rsidRPr="008F328C" w:rsidRDefault="000E0B7C">
            <w:pPr>
              <w:autoSpaceDE w:val="0"/>
              <w:autoSpaceDN w:val="0"/>
              <w:adjustRightInd w:val="0"/>
              <w:rPr>
                <w:rFonts w:ascii="Times New Roman" w:eastAsia="맑은 고딕" w:hAnsi="Times New Roman" w:cs="Times New Roman"/>
                <w:b/>
                <w:bCs/>
                <w:lang w:eastAsia="fr-FR"/>
              </w:rPr>
            </w:pPr>
            <w:r w:rsidRPr="008F328C">
              <w:rPr>
                <w:rFonts w:ascii="Times New Roman" w:hAnsi="Times New Roman" w:cs="Times New Roman"/>
                <w:lang w:val="pl-PL"/>
              </w:rPr>
              <w:t>Τηλ</w:t>
            </w:r>
            <w:r w:rsidRPr="008F328C">
              <w:rPr>
                <w:rFonts w:ascii="Times New Roman" w:hAnsi="Times New Roman" w:cs="Times New Roman"/>
              </w:rPr>
              <w:t xml:space="preserve">: </w:t>
            </w:r>
            <w:r w:rsidRPr="008F328C">
              <w:rPr>
                <w:rFonts w:ascii="Times New Roman" w:eastAsia="맑은 고딕" w:hAnsi="Times New Roman" w:cs="Times New Roman"/>
                <w:lang w:eastAsia="fr-FR"/>
              </w:rPr>
              <w:t>+357 22741741</w:t>
            </w:r>
          </w:p>
          <w:p w14:paraId="110EA88E" w14:textId="77777777" w:rsidR="002E5800" w:rsidRPr="008F328C" w:rsidRDefault="002E5800">
            <w:pPr>
              <w:autoSpaceDE w:val="0"/>
              <w:autoSpaceDN w:val="0"/>
              <w:adjustRightInd w:val="0"/>
              <w:rPr>
                <w:rFonts w:ascii="Times New Roman" w:eastAsia="맑은 고딕" w:hAnsi="Times New Roman" w:cs="Times New Roman"/>
                <w:b/>
                <w:lang w:eastAsia="fr-FR"/>
              </w:rPr>
            </w:pPr>
          </w:p>
        </w:tc>
        <w:tc>
          <w:tcPr>
            <w:tcW w:w="2500" w:type="pct"/>
          </w:tcPr>
          <w:p w14:paraId="3996FE9E" w14:textId="77777777" w:rsidR="00FA20FC" w:rsidRPr="003C52D4" w:rsidRDefault="00FA20FC" w:rsidP="00FA20FC">
            <w:pPr>
              <w:tabs>
                <w:tab w:val="left" w:pos="-720"/>
              </w:tabs>
              <w:suppressAutoHyphens/>
              <w:rPr>
                <w:rFonts w:ascii="Times New Roman" w:hAnsi="Times New Roman" w:cs="Times New Roman"/>
                <w:b/>
                <w:noProof/>
                <w:lang w:eastAsia="fr-FR"/>
              </w:rPr>
            </w:pPr>
            <w:r w:rsidRPr="003C52D4">
              <w:rPr>
                <w:rFonts w:ascii="Times New Roman" w:hAnsi="Times New Roman" w:cs="Times New Roman"/>
                <w:b/>
                <w:noProof/>
              </w:rPr>
              <w:t>Sverige</w:t>
            </w:r>
          </w:p>
          <w:p w14:paraId="148CE4F3" w14:textId="47527FB2" w:rsidR="00FA20FC" w:rsidRPr="003C52D4" w:rsidRDefault="00FA20FC" w:rsidP="00FA20FC">
            <w:pPr>
              <w:tabs>
                <w:tab w:val="left" w:pos="-720"/>
              </w:tabs>
              <w:suppressAutoHyphens/>
              <w:rPr>
                <w:rFonts w:ascii="Times New Roman" w:eastAsia="맑은 고딕" w:hAnsi="Times New Roman" w:cs="Times New Roman"/>
                <w:noProof/>
                <w:lang w:eastAsia="ko-KR"/>
              </w:rPr>
            </w:pPr>
            <w:r w:rsidRPr="003C52D4">
              <w:rPr>
                <w:rFonts w:ascii="Times New Roman" w:eastAsia="맑은 고딕" w:hAnsi="Times New Roman" w:cs="Times New Roman"/>
                <w:noProof/>
                <w:lang w:eastAsia="ko-KR"/>
              </w:rPr>
              <w:t>Celltrion Sweden AB</w:t>
            </w:r>
          </w:p>
          <w:p w14:paraId="7C37FF89" w14:textId="77777777" w:rsidR="00FA20FC" w:rsidRPr="001B10F7" w:rsidRDefault="00FA20FC" w:rsidP="00FA20FC">
            <w:pPr>
              <w:tabs>
                <w:tab w:val="left" w:pos="-720"/>
              </w:tabs>
              <w:suppressAutoHyphens/>
              <w:rPr>
                <w:rFonts w:ascii="Times New Roman" w:eastAsia="맑은 고딕" w:hAnsi="Times New Roman" w:cs="Times New Roman"/>
                <w:bCs/>
                <w:noProof/>
                <w:u w:val="single"/>
                <w:lang w:eastAsia="ko-KR"/>
              </w:rPr>
            </w:pPr>
            <w:hyperlink r:id="rId31" w:history="1">
              <w:r w:rsidRPr="003C52D4">
                <w:rPr>
                  <w:rStyle w:val="ad"/>
                  <w:rFonts w:ascii="Times New Roman" w:eastAsia="맑은 고딕" w:hAnsi="Times New Roman" w:cs="Times New Roman"/>
                  <w:noProof/>
                  <w:lang w:eastAsia="ko-KR"/>
                </w:rPr>
                <w:t>contact_se@celltrionhc.com</w:t>
              </w:r>
            </w:hyperlink>
          </w:p>
          <w:p w14:paraId="488A9F56" w14:textId="4FB3A392" w:rsidR="002E5800" w:rsidRPr="00FA20FC" w:rsidRDefault="002E5800">
            <w:pPr>
              <w:tabs>
                <w:tab w:val="left" w:pos="-720"/>
              </w:tabs>
              <w:suppressAutoHyphens/>
              <w:rPr>
                <w:rFonts w:ascii="Times New Roman" w:eastAsia="맑은 고딕" w:hAnsi="Times New Roman" w:cs="Times New Roman"/>
                <w:b/>
                <w:lang w:eastAsia="fr-FR"/>
              </w:rPr>
            </w:pPr>
          </w:p>
        </w:tc>
      </w:tr>
      <w:tr w:rsidR="002E5800" w:rsidRPr="008F328C" w14:paraId="0210CBC5" w14:textId="77777777">
        <w:tc>
          <w:tcPr>
            <w:tcW w:w="2500" w:type="pct"/>
          </w:tcPr>
          <w:p w14:paraId="35BC7441" w14:textId="77777777" w:rsidR="002E5800" w:rsidRPr="008F328C" w:rsidRDefault="000E0B7C">
            <w:pPr>
              <w:rPr>
                <w:rFonts w:ascii="Times New Roman" w:eastAsia="맑은 고딕" w:hAnsi="Times New Roman" w:cs="Times New Roman"/>
                <w:b/>
                <w:lang w:eastAsia="fr-FR"/>
              </w:rPr>
            </w:pPr>
            <w:r w:rsidRPr="008F328C">
              <w:rPr>
                <w:rFonts w:ascii="Times New Roman" w:eastAsia="맑은 고딕" w:hAnsi="Times New Roman" w:cs="Times New Roman"/>
                <w:b/>
                <w:lang w:eastAsia="fr-FR"/>
              </w:rPr>
              <w:lastRenderedPageBreak/>
              <w:t>Latvija</w:t>
            </w:r>
          </w:p>
          <w:p w14:paraId="62AA70F1" w14:textId="77777777" w:rsidR="00366531" w:rsidRPr="008F328C" w:rsidRDefault="00366531" w:rsidP="00366531">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BE84FD7" w14:textId="3F129906" w:rsidR="002E5800" w:rsidRPr="008F328C" w:rsidRDefault="00943ADB" w:rsidP="004142DA">
            <w:pPr>
              <w:tabs>
                <w:tab w:val="left" w:pos="-720"/>
              </w:tabs>
              <w:suppressAutoHyphens/>
              <w:rPr>
                <w:rFonts w:ascii="Times New Roman" w:eastAsia="맑은 고딕" w:hAnsi="Times New Roman" w:cs="Times New Roman"/>
                <w:b/>
                <w:bCs/>
                <w:lang w:val="pl-PL" w:eastAsia="fr-FR"/>
              </w:rPr>
            </w:pPr>
            <w:r w:rsidRPr="008F328C">
              <w:rPr>
                <w:rFonts w:ascii="Times New Roman" w:eastAsia="맑은 고딕" w:hAnsi="Times New Roman" w:cs="Times New Roman"/>
                <w:lang w:val="pl-PL" w:eastAsia="fr-FR"/>
              </w:rPr>
              <w:t xml:space="preserve">Tālr.: </w:t>
            </w:r>
            <w:r w:rsidR="00366531" w:rsidRPr="008F328C">
              <w:rPr>
                <w:rFonts w:ascii="Times New Roman" w:eastAsia="맑은 고딕" w:hAnsi="Times New Roman" w:cs="Times New Roman"/>
                <w:lang w:val="pl-PL" w:eastAsia="fr-FR"/>
              </w:rPr>
              <w:t>+36 1 231 0493</w:t>
            </w:r>
          </w:p>
        </w:tc>
        <w:tc>
          <w:tcPr>
            <w:tcW w:w="2500" w:type="pct"/>
          </w:tcPr>
          <w:p w14:paraId="11804CD9" w14:textId="7E741449" w:rsidR="002E5800" w:rsidRPr="008F328C" w:rsidRDefault="00F84413">
            <w:pPr>
              <w:tabs>
                <w:tab w:val="left" w:pos="-720"/>
              </w:tabs>
              <w:suppressAutoHyphens/>
              <w:rPr>
                <w:rFonts w:ascii="Times New Roman" w:eastAsia="맑은 고딕" w:hAnsi="Times New Roman" w:cs="Times New Roman"/>
                <w:b/>
                <w:lang w:val="pl-PL" w:eastAsia="fr-FR"/>
              </w:rPr>
            </w:pPr>
            <w:r w:rsidRPr="008F328C" w:rsidDel="008B7230">
              <w:rPr>
                <w:rFonts w:ascii="Times New Roman" w:hAnsi="Times New Roman" w:cs="Times New Roman"/>
                <w:noProof/>
                <w:lang w:eastAsia="fr-FR"/>
              </w:rPr>
              <w:t xml:space="preserve"> </w:t>
            </w:r>
          </w:p>
        </w:tc>
      </w:tr>
    </w:tbl>
    <w:p w14:paraId="385F6A5E" w14:textId="77777777" w:rsidR="002E5800" w:rsidRPr="008F328C" w:rsidRDefault="002E5800">
      <w:pPr>
        <w:numPr>
          <w:ilvl w:val="12"/>
          <w:numId w:val="0"/>
        </w:numPr>
        <w:rPr>
          <w:rFonts w:ascii="Times New Roman" w:hAnsi="Times New Roman" w:cs="Times New Roman"/>
          <w:b/>
          <w:lang w:val="pl-PL"/>
        </w:rPr>
      </w:pPr>
    </w:p>
    <w:p w14:paraId="3F807908" w14:textId="77777777" w:rsidR="002E5800" w:rsidRPr="008F328C" w:rsidRDefault="000E0B7C">
      <w:pPr>
        <w:numPr>
          <w:ilvl w:val="12"/>
          <w:numId w:val="0"/>
        </w:numPr>
        <w:rPr>
          <w:rFonts w:ascii="Times New Roman" w:eastAsia="맑은 고딕" w:hAnsi="Times New Roman" w:cs="Times New Roman"/>
          <w:lang w:val="pl-PL" w:eastAsia="ko-KR"/>
        </w:rPr>
      </w:pPr>
      <w:r w:rsidRPr="008F328C">
        <w:rPr>
          <w:rFonts w:ascii="Times New Roman" w:eastAsia="Times New Roman" w:hAnsi="Times New Roman" w:cs="Times New Roman"/>
          <w:b/>
          <w:bCs/>
          <w:lang w:val="pl-PL"/>
        </w:rPr>
        <w:t xml:space="preserve">Data ostatniej aktualizacji ulotki: </w:t>
      </w:r>
      <w:r w:rsidRPr="008F328C">
        <w:rPr>
          <w:rFonts w:ascii="Times New Roman" w:eastAsia="Times New Roman" w:hAnsi="Times New Roman" w:cs="Times New Roman"/>
          <w:lang w:val="pl-PL"/>
        </w:rPr>
        <w:t>.</w:t>
      </w:r>
    </w:p>
    <w:p w14:paraId="3EAFFC6D" w14:textId="77777777" w:rsidR="002E5800" w:rsidRPr="008F328C" w:rsidRDefault="002E5800">
      <w:pPr>
        <w:numPr>
          <w:ilvl w:val="12"/>
          <w:numId w:val="0"/>
        </w:numPr>
        <w:rPr>
          <w:rFonts w:ascii="Times New Roman" w:hAnsi="Times New Roman" w:cs="Times New Roman"/>
          <w:lang w:val="pl-PL"/>
        </w:rPr>
      </w:pPr>
    </w:p>
    <w:p w14:paraId="0073B73F" w14:textId="77777777" w:rsidR="002E5800" w:rsidRPr="008F328C" w:rsidRDefault="000E0B7C">
      <w:pPr>
        <w:numPr>
          <w:ilvl w:val="12"/>
          <w:numId w:val="0"/>
        </w:numPr>
        <w:rPr>
          <w:rFonts w:ascii="Times New Roman" w:hAnsi="Times New Roman" w:cs="Times New Roman"/>
          <w:b/>
          <w:lang w:val="pl-PL"/>
        </w:rPr>
      </w:pPr>
      <w:r w:rsidRPr="008F328C">
        <w:rPr>
          <w:rFonts w:ascii="Times New Roman" w:eastAsia="Times New Roman" w:hAnsi="Times New Roman" w:cs="Times New Roman"/>
          <w:b/>
          <w:bCs/>
          <w:lang w:val="pl-PL"/>
        </w:rPr>
        <w:t>Inne źródła informacji</w:t>
      </w:r>
    </w:p>
    <w:p w14:paraId="72499099" w14:textId="77777777" w:rsidR="002E5800" w:rsidRPr="008F328C" w:rsidRDefault="002E5800">
      <w:pPr>
        <w:pStyle w:val="a3"/>
        <w:rPr>
          <w:lang w:val="pl-PL"/>
        </w:rPr>
      </w:pPr>
    </w:p>
    <w:p w14:paraId="0B3D3DF0" w14:textId="77777777" w:rsidR="002E5800" w:rsidRPr="008F328C" w:rsidRDefault="000E0B7C">
      <w:pPr>
        <w:numPr>
          <w:ilvl w:val="12"/>
          <w:numId w:val="0"/>
        </w:numPr>
        <w:rPr>
          <w:rFonts w:ascii="Times New Roman" w:eastAsia="맑은 고딕" w:hAnsi="Times New Roman" w:cs="Times New Roman"/>
          <w:color w:val="0000FF"/>
          <w:lang w:val="pl-PL" w:eastAsia="ko-KR"/>
        </w:rPr>
      </w:pPr>
      <w:r w:rsidRPr="008F328C">
        <w:rPr>
          <w:rFonts w:ascii="Times New Roman" w:eastAsia="Times New Roman" w:hAnsi="Times New Roman" w:cs="Times New Roman"/>
          <w:lang w:val="pl-PL"/>
        </w:rPr>
        <w:t xml:space="preserve">Szczegółowe informacje o tym leku znajdują się na stronie internetowej Europejskiej Agencji Leków </w:t>
      </w:r>
      <w:hyperlink r:id="rId32" w:history="1">
        <w:r w:rsidRPr="008F328C">
          <w:rPr>
            <w:rStyle w:val="ad"/>
            <w:rFonts w:ascii="Times New Roman" w:eastAsia="Times New Roman" w:hAnsi="Times New Roman" w:cs="Times New Roman"/>
            <w:lang w:val="pl-PL"/>
          </w:rPr>
          <w:t>http://www.ema.europa.eu</w:t>
        </w:r>
      </w:hyperlink>
    </w:p>
    <w:p w14:paraId="0A8A35FD" w14:textId="37C364AD" w:rsidR="002E5800" w:rsidRPr="008F328C" w:rsidRDefault="002E5800">
      <w:pPr>
        <w:spacing w:line="200" w:lineRule="exact"/>
        <w:rPr>
          <w:rFonts w:ascii="Times New Roman" w:hAnsi="Times New Roman" w:cs="Times New Roman"/>
          <w:b/>
          <w:sz w:val="20"/>
          <w:szCs w:val="20"/>
          <w:lang w:val="pl-PL"/>
        </w:rPr>
      </w:pPr>
    </w:p>
    <w:p w14:paraId="5DFA17C3" w14:textId="77777777" w:rsidR="00CC4159" w:rsidRPr="008F328C" w:rsidRDefault="00CC4159">
      <w:pPr>
        <w:spacing w:line="200" w:lineRule="exact"/>
        <w:rPr>
          <w:rFonts w:ascii="Times New Roman" w:hAnsi="Times New Roman" w:cs="Times New Roman"/>
          <w:b/>
          <w:sz w:val="20"/>
          <w:szCs w:val="20"/>
          <w:lang w:val="pl-PL"/>
        </w:rPr>
      </w:pPr>
    </w:p>
    <w:p w14:paraId="7345DCF6" w14:textId="77777777" w:rsidR="002E5800" w:rsidRPr="008F328C" w:rsidRDefault="000E0B7C">
      <w:pPr>
        <w:pStyle w:val="a4"/>
        <w:numPr>
          <w:ilvl w:val="0"/>
          <w:numId w:val="33"/>
        </w:numPr>
        <w:spacing w:before="18" w:line="240" w:lineRule="exact"/>
        <w:ind w:hanging="468"/>
        <w:rPr>
          <w:rFonts w:ascii="Times New Roman" w:eastAsia="Times New Roman" w:hAnsi="Times New Roman" w:cs="Times New Roman"/>
          <w:b/>
          <w:lang w:val="pl-PL"/>
        </w:rPr>
      </w:pPr>
      <w:r w:rsidRPr="008F328C">
        <w:rPr>
          <w:rFonts w:ascii="Times New Roman" w:eastAsia="Times New Roman" w:hAnsi="Times New Roman" w:cs="Times New Roman"/>
          <w:b/>
          <w:bCs/>
          <w:spacing w:val="-1"/>
          <w:lang w:val="pl-PL"/>
        </w:rPr>
        <w:t>Instrukcja stosowania</w:t>
      </w:r>
    </w:p>
    <w:p w14:paraId="5A3AB018" w14:textId="77777777" w:rsidR="002E5800" w:rsidRPr="008F328C" w:rsidRDefault="002E5800">
      <w:pPr>
        <w:spacing w:before="9" w:line="260" w:lineRule="exact"/>
        <w:rPr>
          <w:rFonts w:ascii="Times New Roman" w:hAnsi="Times New Roman" w:cs="Times New Roman"/>
          <w:b/>
          <w:sz w:val="26"/>
          <w:szCs w:val="26"/>
          <w:lang w:val="pl-PL"/>
        </w:rPr>
      </w:pPr>
    </w:p>
    <w:p w14:paraId="188263C2" w14:textId="77777777" w:rsidR="002E5800" w:rsidRPr="008F328C" w:rsidRDefault="000E0B7C">
      <w:pPr>
        <w:pStyle w:val="a3"/>
        <w:numPr>
          <w:ilvl w:val="1"/>
          <w:numId w:val="4"/>
        </w:numPr>
        <w:ind w:left="660" w:hanging="660"/>
        <w:rPr>
          <w:lang w:val="pl-PL"/>
        </w:rPr>
      </w:pPr>
      <w:r w:rsidRPr="008F328C">
        <w:rPr>
          <w:rFonts w:eastAsia="Times New Roman"/>
          <w:lang w:val="pl-PL"/>
        </w:rPr>
        <w:t>Poniższe instrukcje wyjaśniają jak wstrzykiwać podskórnie sobie samemu lek Yuflyma, stosując ampułko-strzykawkę. Prosimy o dokładne przeczytanie instrukcji i wykonywanie zawartych w nich zaleceń w podanej kolejności.</w:t>
      </w:r>
    </w:p>
    <w:p w14:paraId="5D39D78D" w14:textId="77777777" w:rsidR="002E5800" w:rsidRPr="008F328C" w:rsidRDefault="002E5800">
      <w:pPr>
        <w:pStyle w:val="a3"/>
        <w:rPr>
          <w:lang w:val="pl-PL"/>
        </w:rPr>
      </w:pPr>
    </w:p>
    <w:p w14:paraId="0F0F2068" w14:textId="77777777" w:rsidR="002E5800" w:rsidRPr="008F328C" w:rsidRDefault="000E0B7C">
      <w:pPr>
        <w:pStyle w:val="a3"/>
        <w:numPr>
          <w:ilvl w:val="1"/>
          <w:numId w:val="4"/>
        </w:numPr>
        <w:ind w:left="660" w:hanging="660"/>
        <w:rPr>
          <w:lang w:val="pl-PL"/>
        </w:rPr>
      </w:pPr>
      <w:r w:rsidRPr="008F328C">
        <w:rPr>
          <w:rFonts w:eastAsia="Times New Roman"/>
          <w:lang w:val="pl-PL"/>
        </w:rPr>
        <w:t>Lekarz, pielęgniarka lub farmaceuta nauczą pacjenta, jak samemu sobie wykonać wstrzyknięcie.</w:t>
      </w:r>
    </w:p>
    <w:p w14:paraId="525AE3A3" w14:textId="77777777" w:rsidR="002E5800" w:rsidRPr="008F328C" w:rsidRDefault="002E5800">
      <w:pPr>
        <w:pStyle w:val="a3"/>
        <w:rPr>
          <w:lang w:val="pl-PL"/>
        </w:rPr>
      </w:pPr>
    </w:p>
    <w:p w14:paraId="03DBC45A" w14:textId="77777777" w:rsidR="002E5800" w:rsidRPr="008F328C" w:rsidRDefault="000E0B7C">
      <w:pPr>
        <w:pStyle w:val="a3"/>
        <w:numPr>
          <w:ilvl w:val="1"/>
          <w:numId w:val="4"/>
        </w:numPr>
        <w:ind w:left="660" w:hanging="660"/>
        <w:rPr>
          <w:lang w:val="pl-PL"/>
        </w:rPr>
      </w:pPr>
      <w:r w:rsidRPr="008F328C">
        <w:rPr>
          <w:rFonts w:eastAsia="Times New Roman"/>
          <w:b/>
          <w:bCs/>
          <w:lang w:val="pl-PL"/>
        </w:rPr>
        <w:t>Nie należy</w:t>
      </w:r>
      <w:r w:rsidRPr="008F328C">
        <w:rPr>
          <w:rFonts w:eastAsia="Times New Roman"/>
          <w:lang w:val="pl-PL"/>
        </w:rPr>
        <w:t xml:space="preserve"> podejmować próby wykonania wstrzyknięcia zanim nie zrozumiemy, jak je przygotować i wykonać.</w:t>
      </w:r>
    </w:p>
    <w:p w14:paraId="210865E6" w14:textId="77777777" w:rsidR="002E5800" w:rsidRPr="008F328C" w:rsidRDefault="002E5800">
      <w:pPr>
        <w:pStyle w:val="a3"/>
        <w:rPr>
          <w:lang w:val="pl-PL"/>
        </w:rPr>
      </w:pPr>
    </w:p>
    <w:p w14:paraId="5A39DAAE" w14:textId="77777777" w:rsidR="002E5800" w:rsidRPr="008F328C" w:rsidRDefault="000E0B7C">
      <w:pPr>
        <w:pStyle w:val="a3"/>
        <w:numPr>
          <w:ilvl w:val="1"/>
          <w:numId w:val="4"/>
        </w:numPr>
        <w:ind w:left="660" w:hanging="660"/>
        <w:rPr>
          <w:lang w:val="pl-PL"/>
        </w:rPr>
      </w:pPr>
      <w:r w:rsidRPr="008F328C">
        <w:rPr>
          <w:rFonts w:eastAsia="Times New Roman"/>
          <w:lang w:val="pl-PL"/>
        </w:rPr>
        <w:t>Po odpowiednim przeszkoleniu wstrzyknięcie może wykonać sam pacjent lub inna osoba, na przykład członek rodziny lub ktoś znajomy.</w:t>
      </w:r>
    </w:p>
    <w:p w14:paraId="788732E7" w14:textId="77777777" w:rsidR="002E5800" w:rsidRPr="008F328C" w:rsidRDefault="002E5800">
      <w:pPr>
        <w:pStyle w:val="a3"/>
        <w:rPr>
          <w:lang w:val="pl-PL"/>
        </w:rPr>
      </w:pPr>
    </w:p>
    <w:p w14:paraId="75B8C51F" w14:textId="77777777" w:rsidR="002E5800" w:rsidRPr="008F328C" w:rsidRDefault="000E0B7C">
      <w:pPr>
        <w:pStyle w:val="a3"/>
        <w:numPr>
          <w:ilvl w:val="1"/>
          <w:numId w:val="4"/>
        </w:numPr>
        <w:ind w:left="660" w:hanging="660"/>
        <w:rPr>
          <w:lang w:val="pl-PL"/>
        </w:rPr>
      </w:pPr>
      <w:r w:rsidRPr="008F328C">
        <w:rPr>
          <w:rFonts w:eastAsia="Times New Roman"/>
          <w:lang w:val="pl-PL"/>
        </w:rPr>
        <w:t>Każdą ampułko-strzykawkę stosować wyłącznie do jednego wstrzyknięcia.</w:t>
      </w:r>
    </w:p>
    <w:p w14:paraId="4C6F242E" w14:textId="77777777" w:rsidR="002E5800" w:rsidRPr="008F328C" w:rsidRDefault="002E5800">
      <w:pPr>
        <w:rPr>
          <w:rFonts w:ascii="Times New Roman" w:hAnsi="Times New Roman" w:cs="Times New Roman"/>
          <w:lang w:val="pl-PL"/>
        </w:rPr>
      </w:pPr>
    </w:p>
    <w:p w14:paraId="5ECBE488" w14:textId="6D6C17FC"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p w14:paraId="78853C56" w14:textId="77777777" w:rsidR="002E5800" w:rsidRPr="008F328C" w:rsidRDefault="000E0B7C">
      <w:pPr>
        <w:pStyle w:val="a3"/>
        <w:rPr>
          <w:b/>
          <w:lang w:val="pl-PL"/>
        </w:rPr>
      </w:pPr>
      <w:r w:rsidRPr="008F328C">
        <w:rPr>
          <w:rFonts w:eastAsia="Times New Roman"/>
          <w:b/>
          <w:bCs/>
          <w:lang w:val="pl-PL"/>
        </w:rPr>
        <w:lastRenderedPageBreak/>
        <w:t>Ampułko-strzykawka leku Yuflyma</w:t>
      </w:r>
    </w:p>
    <w:p w14:paraId="2A68B105" w14:textId="77777777" w:rsidR="002E5800" w:rsidRPr="008F328C" w:rsidRDefault="002E5800">
      <w:pPr>
        <w:spacing w:before="13" w:line="240" w:lineRule="exact"/>
        <w:rPr>
          <w:rFonts w:ascii="Times New Roman" w:hAnsi="Times New Roman" w:cs="Times New Roman"/>
          <w:sz w:val="24"/>
          <w:szCs w:val="24"/>
          <w:lang w:val="pl-PL"/>
        </w:rPr>
      </w:pPr>
    </w:p>
    <w:p w14:paraId="0D5BD760" w14:textId="097A68D2" w:rsidR="002E5800" w:rsidRPr="008F328C" w:rsidRDefault="00BF55BB">
      <w:pPr>
        <w:spacing w:before="3"/>
        <w:ind w:left="1786" w:right="10920"/>
        <w:rPr>
          <w:rFonts w:ascii="Times New Roman" w:eastAsia="Times New Roman" w:hAnsi="Times New Roman" w:cs="Times New Roman"/>
          <w:sz w:val="20"/>
          <w:szCs w:val="20"/>
          <w:lang w:val="pl-PL"/>
        </w:rPr>
      </w:pPr>
      <w:r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6" behindDoc="0" locked="0" layoutInCell="1" allowOverlap="1" wp14:anchorId="6E4FB73E" wp14:editId="08CA1CD4">
                <wp:simplePos x="0" y="0"/>
                <wp:positionH relativeFrom="column">
                  <wp:posOffset>2763520</wp:posOffset>
                </wp:positionH>
                <wp:positionV relativeFrom="paragraph">
                  <wp:posOffset>917575</wp:posOffset>
                </wp:positionV>
                <wp:extent cx="533400" cy="467995"/>
                <wp:effectExtent l="0" t="0" r="0" b="8255"/>
                <wp:wrapNone/>
                <wp:docPr id="104" name="Text Box 104"/>
                <wp:cNvGraphicFramePr/>
                <a:graphic xmlns:a="http://schemas.openxmlformats.org/drawingml/2006/main">
                  <a:graphicData uri="http://schemas.microsoft.com/office/word/2010/wordprocessingShape">
                    <wps:wsp>
                      <wps:cNvSpPr txBox="1"/>
                      <wps:spPr>
                        <a:xfrm>
                          <a:off x="0" y="0"/>
                          <a:ext cx="5334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70F5B8"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E4FB73E" id="Text Box 104" o:spid="_x0000_s1036" type="#_x0000_t202" style="position:absolute;left:0;text-align:left;margin-left:217.6pt;margin-top:72.25pt;width:42pt;height:36.8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XaBaAIAAE4FAAAOAAAAZHJzL2Uyb0RvYy54bWysVN9P2zAQfp+0/8Hy+5oWaDciUsRAnSYh&#10;QCsTz65jt9Ecn3d2m3R//c5O0jLGC9NekrPv7rufny8u29qwnUJfgS34ZDTmTFkJZWXXBf/+uPjw&#10;iTMfhC2FAasKvleeX87fv7toXK5OYAOmVMgIxPq8cQXfhODyLPNyo2rhR+CUJaUGrEWgI66zEkVD&#10;6LXJTsbjWdYAlg5BKu/p9qZT8nnC11rJcK+1V4GZglNuIX0xfVfxm80vRL5G4TaV7NMQ/5BFLSpL&#10;QQ9QNyIItsXqL6i6kggedBhJqDPQupIq1UDVTMYvqlluhFOpFmqOd4c2+f8HK+92S/eALLSfoaUB&#10;xoY0zueeLmM9rcY6/ilTRnpq4f7QNtUGJulyenp6NiaNJNXZ7OP5+TSiZEdnhz58UVCzKBQcaSqp&#10;WWJ360NnOpjEWB5MVS4qY9IhboK6Nsh2gma4WqcUCfwPK2NZU/DZ6XScgC1E9w7Z2Aij0i704Y4F&#10;JinsjYo2xn5TmlVlqvOV2EJKZcMQP1lHK02h3uLY2x+zeotzVwd5pMhgw8G5rixgqj6R59iy8seQ&#10;su7saTbP6o5iaFctFU7zT4yIVyso97QXCB1lvJOLiqZ3K3x4EEgcoYET78M9fbQB6j70EmcbwF+v&#10;3Ud7Wl3SctYQ5wruf24FKs7MV0tLHQk6CDgIq0Gw2/oaaAUm9KI4mURywGAGUSPUT/QcXMUopBJW&#10;UqyCh0G8Dh3z6TmR6uoqGRENnQi3dulkhI5tjbv42D4JdP3CBtr0OxjYKPIXe9vZ9l3t+tYfiLSJ&#10;CP0DE1+F5+dkdXwG578BAAD//wMAUEsDBBQABgAIAAAAIQCD1DsO4AAAAAsBAAAPAAAAZHJzL2Rv&#10;d25yZXYueG1sTI/LTsMwEEX3SPyDNUhsEHUSEhpCnAoqIWDBoikf4MRDHPAjit02/D3DCpYz9+jO&#10;mXqzWMOOOIfROwHpKgGGrvdqdIOA9/3TdQksROmUNN6hgG8MsGnOz2pZKX9yOzy2cWBU4kIlBegY&#10;p4rz0Gu0Mqz8hI6yDz9bGWmcB65meaJya3iWJLfcytHRBS0n3Grsv9qDFVCWYbvG0Hnz+dy+XL3i&#10;Y7p700JcXiwP98AiLvEPhl99UoeGnDp/cCowIyC/KTJCKcjzAhgRRXpHm05AlpYZ8Kbm/39ofgAA&#10;AP//AwBQSwECLQAUAAYACAAAACEAtoM4kv4AAADhAQAAEwAAAAAAAAAAAAAAAAAAAAAAW0NvbnRl&#10;bnRfVHlwZXNdLnhtbFBLAQItABQABgAIAAAAIQA4/SH/1gAAAJQBAAALAAAAAAAAAAAAAAAAAC8B&#10;AABfcmVscy8ucmVsc1BLAQItABQABgAIAAAAIQC5yXaBaAIAAE4FAAAOAAAAAAAAAAAAAAAAAC4C&#10;AABkcnMvZTJvRG9jLnhtbFBLAQItABQABgAIAAAAIQCD1DsO4AAAAAsBAAAPAAAAAAAAAAAAAAAA&#10;AMIEAABkcnMvZG93bnJldi54bWxQSwUGAAAAAAQABADzAAAAzwUAAAAA&#10;" fillcolor="white [3212]" stroked="f" strokeweight=".5pt">
                <v:textbox inset="0,0,0,0">
                  <w:txbxContent>
                    <w:p w14:paraId="2470F5B8"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71" behindDoc="0" locked="0" layoutInCell="1" allowOverlap="1" wp14:anchorId="0E923D6E" wp14:editId="0322567E">
                <wp:simplePos x="0" y="0"/>
                <wp:positionH relativeFrom="column">
                  <wp:posOffset>3335752</wp:posOffset>
                </wp:positionH>
                <wp:positionV relativeFrom="paragraph">
                  <wp:posOffset>3079579</wp:posOffset>
                </wp:positionV>
                <wp:extent cx="665979" cy="375858"/>
                <wp:effectExtent l="0" t="0" r="1270" b="5715"/>
                <wp:wrapNone/>
                <wp:docPr id="109" name="Text Box 109"/>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C2DAC"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E923D6E" id="Text Box 109" o:spid="_x0000_s1037" type="#_x0000_t202" style="position:absolute;left:0;text-align:left;margin-left:262.65pt;margin-top:242.5pt;width:52.45pt;height:29.6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OpZwIAAE4FAAAOAAAAZHJzL2Uyb0RvYy54bWysVEtv2zAMvg/YfxB0X520SB9BnSJLkWFA&#10;0RZrh54VWUqMSaJGqbGzXz9KtpOu66XDLjYlkh8f+sjLq9YatlUYanAlHx+NOFNOQlW7dcm/Py4/&#10;nXMWonCVMOBUyXcq8KvZxw+XjZ+qY9iAqRQyAnFh2viSb2L006IIcqOsCEfglSOlBrQi0hHXRYWi&#10;IXRriuPR6LRoACuPIFUIdHvdKfks42utZLzTOqjITMkpt5i/mL+r9C1ml2K6RuE3tezTEP+QhRW1&#10;o6B7qGsRBXvG+i8oW0uEADoeSbAFaF1LlWugasajV9U8bIRXuRZqTvD7NoX/Bytvtw/+HllsP0NL&#10;D5ga0vgwDXSZ6mk12vSnTBnpqYW7fdtUG5mky9PTycXZBWeSVCdnk/PJeUIpDs4eQ/yiwLIklBzp&#10;VXKzxPYmxM50MEmxApi6WtbG5ENigloYZFtBb7ha5xQJ/A8r41hDiZxMRhnYQXLvkI1LMCpzoQ93&#10;KDBLcWdUsjHum9KsrnKdb8QWUioXh/jZOllpCvUex97+kNV7nLs6yCNHBhf3zrZ2gLn6PDyHllU/&#10;hpR1Z09v86LuJMZ21VLh9P57Aqyg2hEvELqRCV4ua3q9GxHivUCaEaICzX28o482QN2HXuJsA/jr&#10;rftkT9QlLWcNzVzJw89ngYoz89URqdOADgIOwmoQ3LNdAFFgTBvFyyySA0YziBrBPtE6mKcopBJO&#10;UqySx0FcxG7yaZ1INZ9nIxpDL+KNe/AyQae2Ji4+tk8CfU/YSEy/hWEaxfQVbzvbvqtd3/oDDW0e&#10;hH7BpK3w8pytDmtw9hsAAP//AwBQSwMEFAAGAAgAAAAhAAD5hbrgAAAACwEAAA8AAABkcnMvZG93&#10;bnJldi54bWxMj8tOwzAQRfdI/IM1SGwQdZombRTiVFAJQRcsGvoBTjzEAT+i2G3D3zOsYDm6R3fO&#10;rbazNeyMUxi8E7BcJMDQdV4NrhdwfH++L4CFKJ2SxjsU8I0BtvX1VSVL5S/ugOcm9oxKXCilAB3j&#10;WHIeOo1WhoUf0VH24ScrI51Tz9UkL1RuDU+TZM2tHBx90HLEncbuqzlZAUURdhsMrTefL83r3R6f&#10;loc3LcTtzfz4ACziHP9g+NUndajJqfUnpwIzAvI0XxEqICtyGkXEepWkwFqKsiwFXlf8/4b6BwAA&#10;//8DAFBLAQItABQABgAIAAAAIQC2gziS/gAAAOEBAAATAAAAAAAAAAAAAAAAAAAAAABbQ29udGVu&#10;dF9UeXBlc10ueG1sUEsBAi0AFAAGAAgAAAAhADj9If/WAAAAlAEAAAsAAAAAAAAAAAAAAAAALwEA&#10;AF9yZWxzLy5yZWxzUEsBAi0AFAAGAAgAAAAhACG6o6lnAgAATgUAAA4AAAAAAAAAAAAAAAAALgIA&#10;AGRycy9lMm9Eb2MueG1sUEsBAi0AFAAGAAgAAAAhAAD5hbrgAAAACwEAAA8AAAAAAAAAAAAAAAAA&#10;wQQAAGRycy9kb3ducmV2LnhtbFBLBQYAAAAABAAEAPMAAADOBQAAAAA=&#10;" fillcolor="white [3212]" stroked="f" strokeweight=".5pt">
                <v:textbox inset="0,0,0,0">
                  <w:txbxContent>
                    <w:p w14:paraId="3C6C2DAC"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70" behindDoc="0" locked="0" layoutInCell="1" allowOverlap="1" wp14:anchorId="33E01A1F" wp14:editId="575CCDA1">
                <wp:simplePos x="0" y="0"/>
                <wp:positionH relativeFrom="column">
                  <wp:posOffset>2004792</wp:posOffset>
                </wp:positionH>
                <wp:positionV relativeFrom="paragraph">
                  <wp:posOffset>3082123</wp:posOffset>
                </wp:positionV>
                <wp:extent cx="665979" cy="375858"/>
                <wp:effectExtent l="0" t="0" r="1270" b="5715"/>
                <wp:wrapNone/>
                <wp:docPr id="108" name="Text Box 108"/>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C7854B"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3E01A1F" id="Text Box 108" o:spid="_x0000_s1038" type="#_x0000_t202" style="position:absolute;left:0;text-align:left;margin-left:157.85pt;margin-top:242.7pt;width:52.45pt;height:29.6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3JJaAIAAE4FAAAOAAAAZHJzL2Uyb0RvYy54bWysVE1v2zAMvQ/YfxB0X5y2SJoGcYquRYYB&#10;QVssHXpWZCkxJosapcTOfv0o2U66rpcOu9iUSD5+6JGz66YybK/Ql2BzfjYYcqashKK0m5x/f1p8&#10;mnDmg7CFMGBVzg/K8+v5xw+z2k3VOWzBFAoZgVg/rV3OtyG4aZZ5uVWV8ANwypJSA1Yi0BE3WYGi&#10;JvTKZOfD4TirAQuHIJX3dHvXKvk84WutZHjQ2qvATM4pt5C+mL7r+M3mMzHdoHDbUnZpiH/IohKl&#10;paBHqDsRBNth+RdUVUoEDzoMJFQZaF1KlWqgas6Gr6pZbYVTqRZqjnfHNvn/Byvv9yv3iCw0n6Gh&#10;B4wNqZ2ferqM9TQaq/inTBnpqYWHY9tUE5iky/F4dHV5xZkk1cXlaDKaRJTs5OzQhy8KKhaFnCO9&#10;SmqW2C99aE17kxjLgymLRWlMOkQmqFuDbC/oDdeblCKB/2FlLKspkYvRMAFbiO4tsrERRiUudOFO&#10;BSYpHIyKNsZ+U5qVRarzjdhCSmVDHz9ZRytNod7j2NmfsnqPc1sHeaTIYMPRuSotYKo+Dc+pZcWP&#10;PmXd2tPbvKg7iqFZN1Q4vf95T4A1FAfiBUI7Mt7JRUmvtxQ+PAqkGSEq0NyHB/poA9R96CTOtoC/&#10;3rqP9kRd0nJW08zl3P/cCVScma+WSB0HtBewF9a9YHfVLRAFzmijOJlEcsBgelEjVM+0Dm5iFFIJ&#10;KylWzkMv3oZ28mmdSHVzk4xoDJ0IS7tyMkLHtkYuPjXPAl1H2EBMv4d+GsX0FW9b266rbd+6Aw1t&#10;GoRuwcSt8PKcrE5rcP4bAAD//wMAUEsDBBQABgAIAAAAIQAC13Ht4QAAAAsBAAAPAAAAZHJzL2Rv&#10;d25yZXYueG1sTI9BTsMwEEX3SNzBGiQ2iDopSRqFOBVUQtAFiwYO4MRDHLDHUey24faYFSxH/+n/&#10;N/V2sYadcPajIwHpKgGG1Ds10iDg/e3ptgTmgyQljSMU8I0ets3lRS0r5c50wFMbBhZLyFdSgA5h&#10;qjj3vUYr/cpNSDH7cLOVIZ7zwNUsz7HcGr5OkoJbOVJc0HLCncb+qz1aAWXpdxv0nTOfz+3LzR4f&#10;08OrFuL6anm4BxZwCX8w/OpHdWiiU+eOpDwzAu7SfBNRAVmZZ8Aika2TAlgnIM+yAnhT8/8/ND8A&#10;AAD//wMAUEsBAi0AFAAGAAgAAAAhALaDOJL+AAAA4QEAABMAAAAAAAAAAAAAAAAAAAAAAFtDb250&#10;ZW50X1R5cGVzXS54bWxQSwECLQAUAAYACAAAACEAOP0h/9YAAACUAQAACwAAAAAAAAAAAAAAAAAv&#10;AQAAX3JlbHMvLnJlbHNQSwECLQAUAAYACAAAACEAyV9ySWgCAABOBQAADgAAAAAAAAAAAAAAAAAu&#10;AgAAZHJzL2Uyb0RvYy54bWxQSwECLQAUAAYACAAAACEAAtdx7eEAAAALAQAADwAAAAAAAAAAAAAA&#10;AADCBAAAZHJzL2Rvd25yZXYueG1sUEsFBgAAAAAEAAQA8wAAANAFAAAAAA==&#10;" fillcolor="white [3212]" stroked="f" strokeweight=".5pt">
                <v:textbox inset="0,0,0,0">
                  <w:txbxContent>
                    <w:p w14:paraId="15C7854B"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9" behindDoc="0" locked="0" layoutInCell="1" allowOverlap="1" wp14:anchorId="1A2AA9A0" wp14:editId="1E4979A0">
                <wp:simplePos x="0" y="0"/>
                <wp:positionH relativeFrom="column">
                  <wp:posOffset>2697464</wp:posOffset>
                </wp:positionH>
                <wp:positionV relativeFrom="paragraph">
                  <wp:posOffset>2777417</wp:posOffset>
                </wp:positionV>
                <wp:extent cx="665979" cy="375858"/>
                <wp:effectExtent l="0" t="0" r="1270" b="5715"/>
                <wp:wrapNone/>
                <wp:docPr id="107" name="Text Box 107"/>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19C0A"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A2AA9A0" id="Text Box 107" o:spid="_x0000_s1039" type="#_x0000_t202" style="position:absolute;left:0;text-align:left;margin-left:212.4pt;margin-top:218.7pt;width:52.45pt;height:29.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IWaAIAAE4FAAAOAAAAZHJzL2Uyb0RvYy54bWysVE1v2zAMvQ/YfxB0X5y2SJoGcYquRYYB&#10;QVssHXpWZCkxJosapcTOfv0o2U66rpcOu9iUSD5+6JGz66YybK/Ql2BzfjYYcqashKK0m5x/f1p8&#10;mnDmg7CFMGBVzg/K8+v5xw+z2k3VOWzBFAoZgVg/rV3OtyG4aZZ5uVWV8ANwypJSA1Yi0BE3WYGi&#10;JvTKZOfD4TirAQuHIJX3dHvXKvk84WutZHjQ2qvATM4pt5C+mL7r+M3mMzHdoHDbUnZpiH/IohKl&#10;paBHqDsRBNth+RdUVUoEDzoMJFQZaF1KlWqgas6Gr6pZbYVTqRZqjnfHNvn/Byvv9yv3iCw0n6Gh&#10;B4wNqZ2ferqM9TQaq/inTBnpqYWHY9tUE5iky/F4dHV5xZkk1cXlaDKaRJTs5OzQhy8KKhaFnCO9&#10;SmqW2C99aE17kxjLgymLRWlMOkQmqFuDbC/oDdeblCKB/2FlLKspkYvRMAFbiO4tsrERRiUudOFO&#10;BSYpHIyKNsZ+U5qVRarzjdhCSmVDHz9ZRytNod7j2NmfsnqPc1sHeaTIYMPRuSotYKo+Dc+pZcWP&#10;PmXd2tPbvKg7iqFZN1Q4vf9FT4A1FAfiBUI7Mt7JRUmvtxQ+PAqkGSEq0NyHB/poA9R96CTOtoC/&#10;3rqP9kRd0nJW08zl3P/cCVScma+WSB0HtBewF9a9YHfVLRAFzmijOJlEcsBgelEjVM+0Dm5iFFIJ&#10;KylWzkMv3oZ28mmdSHVzk4xoDJ0IS7tyMkLHtkYuPjXPAl1H2EBMv4d+GsX0FW9b266rbd+6Aw1t&#10;GoRuwcSt8PKcrE5rcP4bAAD//wMAUEsDBBQABgAIAAAAIQD6H42J4QAAAAsBAAAPAAAAZHJzL2Rv&#10;d25yZXYueG1sTI/NTsMwEITvSLyDtUhcEHUaQpKGOBVUQsCBQwMP4MRLHPBPFLtteHuWE9x2Z0cz&#10;39bbxRp2xDmM3glYrxJg6HqvRjcIeH97vC6BhSidksY7FPCNAbbN+VktK+VPbo/HNg6MQlyopAAd&#10;41RxHnqNVoaVn9DR7cPPVkZa54GrWZ4o3BqeJknOrRwdNWg54U5j/9UerICyDLsCQ+fN51P7fPWC&#10;D+v9qxbi8mK5vwMWcYl/ZvjFJ3RoiKnzB6cCMwKyNCP0SMNNkQEjx226KYB1pGzyHHhT8/8/ND8A&#10;AAD//wMAUEsBAi0AFAAGAAgAAAAhALaDOJL+AAAA4QEAABMAAAAAAAAAAAAAAAAAAAAAAFtDb250&#10;ZW50X1R5cGVzXS54bWxQSwECLQAUAAYACAAAACEAOP0h/9YAAACUAQAACwAAAAAAAAAAAAAAAAAv&#10;AQAAX3JlbHMvLnJlbHNQSwECLQAUAAYACAAAACEAkfzCFmgCAABOBQAADgAAAAAAAAAAAAAAAAAu&#10;AgAAZHJzL2Uyb0RvYy54bWxQSwECLQAUAAYACAAAACEA+h+NieEAAAALAQAADwAAAAAAAAAAAAAA&#10;AADCBAAAZHJzL2Rvd25yZXYueG1sUEsFBgAAAAAEAAQA8wAAANAFAAAAAA==&#10;" fillcolor="white [3212]" stroked="f" strokeweight=".5pt">
                <v:textbox inset="0,0,0,0">
                  <w:txbxContent>
                    <w:p w14:paraId="26219C0A"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8" behindDoc="0" locked="0" layoutInCell="1" allowOverlap="1" wp14:anchorId="0B37664F" wp14:editId="03CBBB55">
                <wp:simplePos x="0" y="0"/>
                <wp:positionH relativeFrom="column">
                  <wp:posOffset>2697024</wp:posOffset>
                </wp:positionH>
                <wp:positionV relativeFrom="paragraph">
                  <wp:posOffset>2188144</wp:posOffset>
                </wp:positionV>
                <wp:extent cx="665979" cy="468172"/>
                <wp:effectExtent l="0" t="0" r="1270" b="8255"/>
                <wp:wrapNone/>
                <wp:docPr id="106" name="Text Box 106"/>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540F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B37664F" id="Text Box 106" o:spid="_x0000_s1040" type="#_x0000_t202" style="position:absolute;left:0;text-align:left;margin-left:212.35pt;margin-top:172.3pt;width:52.45pt;height:36.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RgGaQIAAE4FAAAOAAAAZHJzL2Uyb0RvYy54bWysVE1v2zAMvQ/YfxB0X5xkbdoGdYosRYYB&#10;RVusHXpWZCkxJosapcTOfn0p2U66rpcOu9iUSD5+6JGXV01l2E6hL8HmfDQYcqashKK065z/eFx+&#10;OufMB2ELYcCqnO+V51ezjx8uazdVY9iAKRQyArF+Wrucb0Jw0yzzcqMq4QfglCWlBqxEoCOuswJF&#10;TeiVycbD4SSrAQuHIJX3dHvdKvks4WutZLjT2qvATM4pt5C+mL6r+M1ml2K6RuE2pezSEP+QRSVK&#10;S0EPUNciCLbF8i+oqpQIHnQYSKgy0LqUKtVA1YyGr6p52AinUi3UHO8ObfL/D1be7h7cPbLQfIGG&#10;HjA2pHZ+6uky1tNorOKfMmWkpxbuD21TTWCSLieT04uzC84kqU4m56OzcUTJjs4OffiqoGJRyDnS&#10;q6Rmid2ND61pbxJjeTBlsSyNSYfIBLUwyHaC3nC1TikS+B9WxrKaEvl8OkzAFqJ7i2xshFGJC124&#10;Y4FJCnujoo2x35VmZZHqfCO2kFLZ0MdP1tFKU6j3OHb2x6ze49zWQR4pMthwcK5KC5iqT8NzbFnx&#10;s09Zt/b0Ni/qjmJoVg0VTu9/0hNgBcWeeIHQjox3clnS690IH+4F0owQFWjuwx19tAHqPnQSZxvA&#10;32/dR3uiLmk5q2nmcu5/bQUqzsw3S6SOA9oL2AurXrDbagFEgRFtFCeTSA4YTC9qhOqJ1sE8RiGV&#10;sJJi5Tz04iK0k0/rRKr5PBnRGDoRbuyDkxE6tjVy8bF5Eug6wgZi+i300yimr3jb2nZdbfvWHWho&#10;0yB0CyZuhZfnZHVcg7NnAAAA//8DAFBLAwQUAAYACAAAACEAv9aROeEAAAALAQAADwAAAGRycy9k&#10;b3ducmV2LnhtbEyPy07DMBBF90j8gzVIbBB1koY2DXEqqISABYuGfoATD3HAjyh22/D3DCvYzege&#10;3TlTbWdr2AmnMHgnIF0kwNB1Xg2uF3B4f7otgIUonZLGOxTwjQG29eVFJUvlz26Ppyb2jEpcKKUA&#10;HeNYch46jVaGhR/RUfbhJysjrVPP1STPVG4Nz5Jkxa0cHF3QcsSdxu6rOVoBRRF2awytN5/PzcvN&#10;Kz6m+zctxPXV/HAPLOIc/2D41Sd1qMmp9UenAjMC8ixfEypgmecrYETcZRsaWorSYgm8rvj/H+of&#10;AAAA//8DAFBLAQItABQABgAIAAAAIQC2gziS/gAAAOEBAAATAAAAAAAAAAAAAAAAAAAAAABbQ29u&#10;dGVudF9UeXBlc10ueG1sUEsBAi0AFAAGAAgAAAAhADj9If/WAAAAlAEAAAsAAAAAAAAAAAAAAAAA&#10;LwEAAF9yZWxzLy5yZWxzUEsBAi0AFAAGAAgAAAAhAPztGAZpAgAATgUAAA4AAAAAAAAAAAAAAAAA&#10;LgIAAGRycy9lMm9Eb2MueG1sUEsBAi0AFAAGAAgAAAAhAL/WkTnhAAAACwEAAA8AAAAAAAAAAAAA&#10;AAAAwwQAAGRycy9kb3ducmV2LnhtbFBLBQYAAAAABAAEAPMAAADRBQAAAAA=&#10;" fillcolor="white [3212]" stroked="f" strokeweight=".5pt">
                <v:textbox inset="0,0,0,0">
                  <w:txbxContent>
                    <w:p w14:paraId="32A540F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7" behindDoc="0" locked="0" layoutInCell="1" allowOverlap="1" wp14:anchorId="67C236F2" wp14:editId="3813E3BB">
                <wp:simplePos x="0" y="0"/>
                <wp:positionH relativeFrom="column">
                  <wp:posOffset>2697024</wp:posOffset>
                </wp:positionH>
                <wp:positionV relativeFrom="paragraph">
                  <wp:posOffset>1430819</wp:posOffset>
                </wp:positionV>
                <wp:extent cx="665979" cy="468172"/>
                <wp:effectExtent l="0" t="0" r="1270" b="8255"/>
                <wp:wrapNone/>
                <wp:docPr id="105" name="Text Box 105"/>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5226D"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Korpus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7C236F2" id="Text Box 105" o:spid="_x0000_s1041" type="#_x0000_t202" style="position:absolute;left:0;text-align:left;margin-left:212.35pt;margin-top:112.65pt;width:52.45pt;height:36.8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hZaQIAAE4FAAAOAAAAZHJzL2Uyb0RvYy54bWysVE1v2zAMvQ/YfxB0X51kS9oGcYosRYcB&#10;RVssHXpWZCkxJosapcTOfv0o2U66rpcOu9iUSD5+6JGzq6YybK/Ql2BzPjwbcKashKK0m5x/f7z5&#10;cMGZD8IWwoBVOT8oz6/m79/NajdVI9iCKRQyArF+Wrucb0Nw0yzzcqsq4c/AKUtKDViJQEfcZAWK&#10;mtArk40Gg0lWAxYOQSrv6fa6VfJ5wtdayXCvtVeBmZxTbiF9MX3X8ZvNZ2K6QeG2pezSEP+QRSVK&#10;S0GPUNciCLbD8i+oqpQIHnQ4k1BloHUpVaqBqhkOXlSz2gqnUi3UHO+ObfL/D1be7VfuAVloPkND&#10;DxgbUjs/9XQZ62k0VvFPmTLSUwsPx7apJjBJl5PJ+PL8kjNJqk+Ti+H5KKJkJ2eHPnxRULEo5Bzp&#10;VVKzxP7Wh9a0N4mxPJiyuCmNSYfIBLU0yPaC3nC9SSkS+B9WxrKaEvk4HiRgC9G9RTY2wqjEhS7c&#10;qcAkhYNR0cbYb0qzskh1vhJbSKls6OMn62ilKdRbHDv7U1ZvcW7rII8UGWw4OlelBUzVp+E5taz4&#10;0aesW3t6m2d1RzE064YKp/cf9wRYQ3EgXiC0I+OdvCnp9W6FDw8CaUaICjT34Z4+2gB1HzqJsy3g&#10;r9fuoz1Rl7Sc1TRzOfc/dwIVZ+arJVLHAe0F7IV1L9hdtQSiwJA2ipNJJAcMphc1QvVE62ARo5BK&#10;WEmxch56cRnayad1ItVikYxoDJ0It3blZISObY1cfGyeBLqOsIGYfgf9NIrpC962tl1X2751Bxra&#10;NAjdgolb4fk5WZ3W4Pw3AAAA//8DAFBLAwQUAAYACAAAACEAFCmLGOEAAAALAQAADwAAAGRycy9k&#10;b3ducmV2LnhtbEyPy07DMBBF90j8gzVIbBB1GvpIQpwKKiHKgkXTfoATD3HAHkex24a/x6xgOTNH&#10;d84tN5M17Iyj7x0JmM8SYEitUz11Ao6Hl/sMmA+SlDSOUMA3ethU11elLJS70B7PdehYDCFfSAE6&#10;hKHg3LcarfQzNyDF24cbrQxxHDuuRnmJ4dbwNElW3Mqe4gctB9xqbL/qkxWQZX67Rt848/la7+7e&#10;8Hm+f9dC3N5MT4/AAk7hD4Zf/agOVXRq3ImUZ0bAIl2sIyogTZcPwCKxTPMVsCZu8jwBXpX8f4fq&#10;BwAA//8DAFBLAQItABQABgAIAAAAIQC2gziS/gAAAOEBAAATAAAAAAAAAAAAAAAAAAAAAABbQ29u&#10;dGVudF9UeXBlc10ueG1sUEsBAi0AFAAGAAgAAAAhADj9If/WAAAAlAEAAAsAAAAAAAAAAAAAAAAA&#10;LwEAAF9yZWxzLy5yZWxzUEsBAi0AFAAGAAgAAAAhAKROqFlpAgAATgUAAA4AAAAAAAAAAAAAAAAA&#10;LgIAAGRycy9lMm9Eb2MueG1sUEsBAi0AFAAGAAgAAAAhABQpixjhAAAACwEAAA8AAAAAAAAAAAAA&#10;AAAAwwQAAGRycy9kb3ducmV2LnhtbFBLBQYAAAAABAAEAPMAAADRBQAAAAA=&#10;" fillcolor="white [3212]" stroked="f" strokeweight=".5pt">
                <v:textbox inset="0,0,0,0">
                  <w:txbxContent>
                    <w:p w14:paraId="5305226D"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Korpus</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5" behindDoc="0" locked="0" layoutInCell="1" allowOverlap="1" wp14:anchorId="3E266264" wp14:editId="7D7D1B84">
                <wp:simplePos x="0" y="0"/>
                <wp:positionH relativeFrom="column">
                  <wp:posOffset>2699842</wp:posOffset>
                </wp:positionH>
                <wp:positionV relativeFrom="paragraph">
                  <wp:posOffset>424561</wp:posOffset>
                </wp:positionV>
                <wp:extent cx="665979" cy="365760"/>
                <wp:effectExtent l="0" t="0" r="1270" b="0"/>
                <wp:wrapNone/>
                <wp:docPr id="103" name="Text Box 103"/>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A4C1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E266264" id="Text Box 103" o:spid="_x0000_s1042" type="#_x0000_t202" style="position:absolute;left:0;text-align:left;margin-left:212.6pt;margin-top:33.45pt;width:52.45pt;height:28.8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czZgIAAE4FAAAOAAAAZHJzL2Uyb0RvYy54bWysVN9P2zAQfp+0/8Hy+0gBNYyoKeqKmCYh&#10;QMDEs+vYbTTH551Nk+6v39lJWsZ4YdpLcvb9/vzdzS66xrCtQl+DLfnx0YQzZSVUtV2X/Pvj1afP&#10;nPkgbCUMWFXynfL8Yv7xw6x1hTqBDZhKIaMg1hetK/kmBFdkmZcb1Qh/BE5ZUmrARgQ64jqrULQU&#10;vTHZyWSSZy1g5RCk8p5uL3sln6f4WisZbrX2KjBTcqotpC+m7yp+s/lMFGsUblPLoQzxD1U0oraU&#10;dB/qUgTBnrH+K1RTSwQPOhxJaDLQupYq9UDdHE9edfOwEU6lXggc7/Yw+f8XVt5sH9wdstB9gY4e&#10;MALSOl94uoz9dBqb+KdKGekJwt0eNtUFJukyz6fnZ+ecSVKd5tOzPMGaHZwd+vBVQcOiUHKkV0lg&#10;ie21D5SQTEeTmMuDqaur2ph0iExQS4NsK+gNV+tUInn8YWUsa6mQ0+kkBbYQ3fvIxsYwKnFhSHdo&#10;MElhZ1S0MfZeaVZXqc83cgsplQ1j/mQdrTSleo/jYH+o6j3OfR/kkTKDDXvnpraAqfs0PAfIqh9j&#10;ybq3J8Bf9B3F0K06apzePx8JsIJqR7xA6EfGO3lV0+tdCx/uBNKMEBVo7sMtfbQBQh8GibMN4K+3&#10;7qM9UZe0nLU0cyX3P58FKs7MN0ukjgM6CjgKq1Gwz80SiALHtFGcTCI5YDCjqBGaJ1oHi5iFVMJK&#10;ykWcGcVl6Cef1olUi0UyojF0IlzbBydj6Ahr5OJj9yTQDYQNxPQbGKdRFK9429sOqPa4DQca2sTu&#10;YcHErfDynKwOa3D+GwAA//8DAFBLAwQUAAYACAAAACEA/WKc6uAAAAAKAQAADwAAAGRycy9kb3du&#10;cmV2LnhtbEyPwU7DMBBE70j8g7VI3KjTpIloiFMhROiBU0tEObrxkkS111HspunfY05wXM3TzNti&#10;MxvNJhxdb0nAchEBQ2qs6qkVUH9UD4/AnJekpLaEAq7oYFPe3hQyV/ZCO5z2vmWhhFwuBXTeDznn&#10;runQSLewA1LIvu1opA/n2HI1yksoN5rHUZRxI3sKC50c8KXD5rQ/GwH6mgz1V/Je6c+D2W5P9VS9&#10;vXIh7u/m5ydgHmf/B8OvflCHMjgd7ZmUY1rAKk7jgArIsjWwAKRJtAR2DGS8SoGXBf//QvkDAAD/&#10;/wMAUEsBAi0AFAAGAAgAAAAhALaDOJL+AAAA4QEAABMAAAAAAAAAAAAAAAAAAAAAAFtDb250ZW50&#10;X1R5cGVzXS54bWxQSwECLQAUAAYACAAAACEAOP0h/9YAAACUAQAACwAAAAAAAAAAAAAAAAAvAQAA&#10;X3JlbHMvLnJlbHNQSwECLQAUAAYACAAAACEAaGhHM2YCAABOBQAADgAAAAAAAAAAAAAAAAAuAgAA&#10;ZHJzL2Uyb0RvYy54bWxQSwECLQAUAAYACAAAACEA/WKc6uAAAAAKAQAADwAAAAAAAAAAAAAAAADA&#10;BAAAZHJzL2Rvd25yZXYueG1sUEsFBgAAAAAEAAQA8wAAAM0FAAAAAA==&#10;" fillcolor="white [3212]" stroked="f" strokeweight=".5pt">
                <v:textbox inset="0,0,0,0">
                  <w:txbxContent>
                    <w:p w14:paraId="41FA4C1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v:textbox>
              </v:shape>
            </w:pict>
          </mc:Fallback>
        </mc:AlternateContent>
      </w:r>
      <w:r w:rsidR="000E0B7C"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4" behindDoc="0" locked="0" layoutInCell="1" allowOverlap="1" wp14:anchorId="555A36D7" wp14:editId="4395A431">
                <wp:simplePos x="0" y="0"/>
                <wp:positionH relativeFrom="column">
                  <wp:posOffset>1295908</wp:posOffset>
                </wp:positionH>
                <wp:positionV relativeFrom="paragraph">
                  <wp:posOffset>1727124</wp:posOffset>
                </wp:positionV>
                <wp:extent cx="665979" cy="365760"/>
                <wp:effectExtent l="0" t="0" r="1270" b="0"/>
                <wp:wrapNone/>
                <wp:docPr id="98" name="Text Box 98"/>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79992"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55A36D7" id="Text Box 98" o:spid="_x0000_s1043" type="#_x0000_t202" style="position:absolute;left:0;text-align:left;margin-left:102.05pt;margin-top:136pt;width:52.45pt;height:28.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c1aAIAAFAFAAAOAAAAZHJzL2Uyb0RvYy54bWysVN9P2zAQfp+0/8Hy+5oWRDsqUsRAnSYh&#10;QJSJZ9exm2iOzzu7Tbq/fmcnaRnjhWkvydn3+/N3d3HZ1obtFPoKbM4nozFnykooKrvJ+fen5afP&#10;nPkgbCEMWJXzvfL8cvHxw0Xj5uoESjCFQkZBrJ83LudlCG6eZV6WqhZ+BE5ZUmrAWgQ64iYrUDQU&#10;vTbZyXg8zRrAwiFI5T3d3nRKvkjxtVYy3GvtVWAm51RbSF9M33X8ZosLMd+gcGUl+zLEP1RRi8pS&#10;0kOoGxEE22L1V6i6kggedBhJqDPQupIq9UDdTMavulmVwqnUC4Hj3QEm///Cyrvdyj0gC+0XaOkB&#10;IyCN83NPl7GfVmMd/1QpIz1BuD/AptrAJF1Op2fns3POJKlOp2ezaYI1Ozo79OGrgppFIedIr5LA&#10;ErtbHyghmQ4mMZcHUxXLyph0iExQ1wbZTtAbrjepRPL4w8pY1lAhp2fjFNhCdO8iGxvDqMSFPt2x&#10;wSSFvVHRxthHpVlVpD7fyC2kVDYM+ZN1tNKU6j2Ovf2xqvc4d32QR8oMNhyc68oCpu7T8BwhK34M&#10;JevOngB/0XcUQ7tuqXF6/9lAgDUUe+IFQjcy3sllRa93K3x4EEgzQlSguQ/39NEGCH3oJc5KwF9v&#10;3Ud7oi5pOWto5nLuf24FKs7MN0ukjgM6CDgI60Gw2/oaiAIT2ihOJpEcMJhB1Aj1M62Dq5iFVMJK&#10;ypVzGXA4XIdu9mmhSHV1lcxoEJ0It3blZAwegY1sfGqfBbqesoG4fgfDPIr5K+Z2tj2uHXL9gcY2&#10;8btfMXEvvDwnq+MiXPwGAAD//wMAUEsDBBQABgAIAAAAIQCChB8b3AAAAAsBAAAPAAAAZHJzL2Rv&#10;d25yZXYueG1sTI9BT4QwEIXvJv6HZky8ue12FQUpm9Vo4pXVH1BgBJROkXYB/73jSW/vZV7efC/f&#10;r24QM06h92Rgu1EgkGrf9NQaeHt9vroDEaKlxg6e0MA3BtgX52e5zRq/UInzMbaCSyhk1kAX45hJ&#10;GeoOnQ0bPyLx7d1Pzka2UyubyS5c7gaplUqksz3xh86O+Nhh/Xk8OQMzll158/HwlOpFHir7QvSV&#10;7Iy5vFgP9yAirvEvDL/4jA4FM1X+RE0QgwGtrrccZXGreRQndiplUbHQaQKyyOX/DcUPAAAA//8D&#10;AFBLAQItABQABgAIAAAAIQC2gziS/gAAAOEBAAATAAAAAAAAAAAAAAAAAAAAAABbQ29udGVudF9U&#10;eXBlc10ueG1sUEsBAi0AFAAGAAgAAAAhADj9If/WAAAAlAEAAAsAAAAAAAAAAAAAAAAALwEAAF9y&#10;ZWxzLy5yZWxzUEsBAi0AFAAGAAgAAAAhAISsVzVoAgAAUAUAAA4AAAAAAAAAAAAAAAAALgIAAGRy&#10;cy9lMm9Eb2MueG1sUEsBAi0AFAAGAAgAAAAhAIKEHxvcAAAACwEAAA8AAAAAAAAAAAAAAAAAwgQA&#10;AGRycy9kb3ducmV2LnhtbFBLBQYAAAAABAAEAPMAAADLBQAAAAA=&#10;" fillcolor="white [3212]" stroked="f" strokeweight=".5pt">
                <v:textbox inset="0,0,0,0">
                  <w:txbxContent>
                    <w:p w14:paraId="16179992"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v:textbox>
              </v:shape>
            </w:pict>
          </mc:Fallback>
        </mc:AlternateContent>
      </w:r>
      <w:r w:rsidR="000E0B7C" w:rsidRPr="008F328C">
        <w:rPr>
          <w:rFonts w:ascii="Times New Roman" w:hAnsi="Times New Roman" w:cs="Times New Roman"/>
          <w:noProof/>
          <w:lang w:eastAsia="ko-KR"/>
        </w:rPr>
        <w:drawing>
          <wp:inline distT="0" distB="0" distL="0" distR="0" wp14:anchorId="13C59D35" wp14:editId="5EC8D4C6">
            <wp:extent cx="3131820" cy="3451860"/>
            <wp:effectExtent l="19050" t="19050" r="11430" b="1524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2744" name="Picture 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131820" cy="3451860"/>
                    </a:xfrm>
                    <a:prstGeom prst="rect">
                      <a:avLst/>
                    </a:prstGeom>
                    <a:noFill/>
                    <a:ln w="12700">
                      <a:solidFill>
                        <a:schemeClr val="tx1"/>
                      </a:solidFill>
                    </a:ln>
                  </pic:spPr>
                </pic:pic>
              </a:graphicData>
            </a:graphic>
          </wp:inline>
        </w:drawing>
      </w:r>
    </w:p>
    <w:p w14:paraId="17622717" w14:textId="77777777" w:rsidR="002E5800" w:rsidRPr="008F328C" w:rsidRDefault="000E0B7C">
      <w:pPr>
        <w:spacing w:before="10" w:line="240" w:lineRule="exact"/>
        <w:ind w:left="5040" w:firstLineChars="450" w:firstLine="901"/>
        <w:rPr>
          <w:rFonts w:ascii="Times New Roman" w:hAnsi="Times New Roman" w:cs="Times New Roman"/>
          <w:b/>
          <w:sz w:val="20"/>
          <w:szCs w:val="24"/>
          <w:lang w:val="pl-PL" w:eastAsia="ko-KR"/>
        </w:rPr>
      </w:pPr>
      <w:r w:rsidRPr="008F328C">
        <w:rPr>
          <w:rFonts w:ascii="Times New Roman" w:eastAsia="Times New Roman" w:hAnsi="Times New Roman" w:cs="Times New Roman"/>
          <w:b/>
          <w:bCs/>
          <w:sz w:val="20"/>
          <w:szCs w:val="20"/>
          <w:lang w:val="pl-PL" w:eastAsia="ko-KR"/>
        </w:rPr>
        <w:t>Rysunek A</w:t>
      </w:r>
    </w:p>
    <w:p w14:paraId="2B824D16" w14:textId="77777777" w:rsidR="002E5800" w:rsidRPr="008F328C" w:rsidRDefault="002E5800">
      <w:pPr>
        <w:spacing w:before="10" w:line="240" w:lineRule="exact"/>
        <w:rPr>
          <w:rFonts w:ascii="Times New Roman" w:hAnsi="Times New Roman" w:cs="Times New Roman"/>
          <w:sz w:val="24"/>
          <w:szCs w:val="24"/>
          <w:lang w:val="pl-PL"/>
        </w:rPr>
      </w:pPr>
    </w:p>
    <w:p w14:paraId="40D41384" w14:textId="77777777" w:rsidR="002E5800" w:rsidRPr="008F328C" w:rsidRDefault="000E0B7C">
      <w:pPr>
        <w:pStyle w:val="a3"/>
        <w:rPr>
          <w:b/>
          <w:lang w:val="pl-PL"/>
        </w:rPr>
      </w:pPr>
      <w:r w:rsidRPr="008F328C">
        <w:rPr>
          <w:rFonts w:eastAsia="Times New Roman"/>
          <w:b/>
          <w:bCs/>
          <w:lang w:val="pl-PL"/>
        </w:rPr>
        <w:t>Nie używać ampułko-strzykawki, jeżeli:</w:t>
      </w:r>
    </w:p>
    <w:p w14:paraId="22FD9695" w14:textId="77777777" w:rsidR="002E5800" w:rsidRPr="008F328C" w:rsidRDefault="000E0B7C">
      <w:pPr>
        <w:pStyle w:val="a3"/>
        <w:numPr>
          <w:ilvl w:val="1"/>
          <w:numId w:val="3"/>
        </w:numPr>
        <w:ind w:left="660" w:hanging="660"/>
        <w:rPr>
          <w:lang w:val="pl-PL"/>
        </w:rPr>
      </w:pPr>
      <w:r w:rsidRPr="008F328C">
        <w:rPr>
          <w:rFonts w:eastAsia="Times New Roman"/>
          <w:lang w:val="pl-PL"/>
        </w:rPr>
        <w:t xml:space="preserve">jest pęknięta lub uszkodzona. </w:t>
      </w:r>
    </w:p>
    <w:p w14:paraId="75868D9E" w14:textId="77777777" w:rsidR="002E5800" w:rsidRPr="008F328C" w:rsidRDefault="000E0B7C">
      <w:pPr>
        <w:pStyle w:val="a3"/>
        <w:numPr>
          <w:ilvl w:val="1"/>
          <w:numId w:val="3"/>
        </w:numPr>
        <w:ind w:left="660" w:hanging="660"/>
        <w:rPr>
          <w:lang w:val="pl-PL"/>
        </w:rPr>
      </w:pPr>
      <w:r w:rsidRPr="008F328C">
        <w:rPr>
          <w:rFonts w:eastAsia="Times New Roman"/>
          <w:lang w:val="pl-PL"/>
        </w:rPr>
        <w:t xml:space="preserve">upłynął termin ważności. </w:t>
      </w:r>
    </w:p>
    <w:p w14:paraId="33FBBDA9" w14:textId="4D715465" w:rsidR="00025ED4" w:rsidRPr="008F328C" w:rsidRDefault="00025ED4">
      <w:pPr>
        <w:pStyle w:val="a3"/>
        <w:numPr>
          <w:ilvl w:val="1"/>
          <w:numId w:val="3"/>
        </w:numPr>
        <w:ind w:left="660" w:hanging="660"/>
        <w:rPr>
          <w:lang w:val="pl-PL"/>
        </w:rPr>
      </w:pPr>
      <w:r w:rsidRPr="008F328C">
        <w:rPr>
          <w:lang w:val="pl-PL"/>
        </w:rPr>
        <w:t>została upuszczona na twardą powierzchnię.</w:t>
      </w:r>
    </w:p>
    <w:p w14:paraId="45F3EF24" w14:textId="77777777" w:rsidR="002E5800" w:rsidRPr="008F328C" w:rsidRDefault="002E5800">
      <w:pPr>
        <w:pStyle w:val="Default"/>
        <w:numPr>
          <w:ilvl w:val="2"/>
          <w:numId w:val="21"/>
        </w:numPr>
        <w:ind w:left="360"/>
        <w:rPr>
          <w:rFonts w:ascii="Times New Roman" w:hAnsi="Times New Roman" w:cs="Times New Roman"/>
          <w:color w:val="211D1E"/>
          <w:sz w:val="20"/>
          <w:szCs w:val="20"/>
          <w:lang w:val="pl-PL"/>
        </w:rPr>
      </w:pPr>
    </w:p>
    <w:p w14:paraId="3A2A24F3" w14:textId="77777777" w:rsidR="002E5800" w:rsidRPr="008F328C" w:rsidRDefault="000E0B7C">
      <w:pPr>
        <w:pStyle w:val="a3"/>
        <w:rPr>
          <w:b/>
          <w:lang w:val="pl-PL"/>
        </w:rPr>
      </w:pPr>
      <w:r w:rsidRPr="008F328C">
        <w:rPr>
          <w:rFonts w:eastAsia="Times New Roman"/>
          <w:b/>
          <w:bCs/>
          <w:lang w:val="pl-PL"/>
        </w:rPr>
        <w:t>Osłonę zabezpieczającą igłę usunąć bezpośrednio przed wstrzyknięciem. Lek Yuflyma przechowywać w miejscu niewidocznym i niedostępnym dla dzieci.</w:t>
      </w:r>
    </w:p>
    <w:p w14:paraId="7DD85531" w14:textId="77777777" w:rsidR="002E5800" w:rsidRPr="008F328C" w:rsidRDefault="000E0B7C">
      <w:pPr>
        <w:rPr>
          <w:rFonts w:ascii="Times New Roman" w:hAnsi="Times New Roman" w:cs="Times New Roman"/>
          <w:lang w:val="pl-PL"/>
        </w:rPr>
      </w:pPr>
      <w:r w:rsidRPr="008F328C">
        <w:rPr>
          <w:rFonts w:ascii="Times New Roman" w:hAnsi="Times New Roman" w:cs="Times New Roman"/>
          <w:lang w:val="pl-PL"/>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2E5800" w:rsidRPr="008F328C" w14:paraId="3321D780" w14:textId="77777777">
        <w:trPr>
          <w:trHeight w:val="2684"/>
        </w:trPr>
        <w:tc>
          <w:tcPr>
            <w:tcW w:w="9634" w:type="dxa"/>
          </w:tcPr>
          <w:p w14:paraId="6F492D9D" w14:textId="77777777" w:rsidR="002E5800" w:rsidRPr="008F328C" w:rsidRDefault="002E5800">
            <w:pPr>
              <w:pStyle w:val="a3"/>
              <w:numPr>
                <w:ilvl w:val="0"/>
                <w:numId w:val="0"/>
              </w:numPr>
              <w:ind w:left="580"/>
              <w:rPr>
                <w:lang w:val="pl-PL"/>
              </w:rPr>
            </w:pPr>
          </w:p>
          <w:p w14:paraId="6567C0C4" w14:textId="77777777" w:rsidR="002E5800" w:rsidRPr="008F328C" w:rsidRDefault="000E0B7C">
            <w:pPr>
              <w:pStyle w:val="a3"/>
              <w:numPr>
                <w:ilvl w:val="0"/>
                <w:numId w:val="22"/>
              </w:numPr>
              <w:ind w:leftChars="100" w:left="580"/>
              <w:rPr>
                <w:lang w:val="pl-PL"/>
              </w:rPr>
            </w:pPr>
            <w:r w:rsidRPr="008F328C">
              <w:rPr>
                <w:rFonts w:eastAsia="Times New Roman"/>
                <w:b/>
                <w:bCs/>
                <w:lang w:val="pl-PL"/>
              </w:rPr>
              <w:t>Przygotować materiały potrzebne do wykonania wstrzyknięcie</w:t>
            </w:r>
          </w:p>
          <w:p w14:paraId="585B0C39" w14:textId="77777777" w:rsidR="002E5800" w:rsidRPr="008F328C" w:rsidRDefault="002E5800">
            <w:pPr>
              <w:pStyle w:val="a3"/>
              <w:numPr>
                <w:ilvl w:val="0"/>
                <w:numId w:val="0"/>
              </w:numPr>
              <w:ind w:left="580"/>
              <w:rPr>
                <w:lang w:val="pl-PL"/>
              </w:rPr>
            </w:pPr>
          </w:p>
          <w:p w14:paraId="37F0CB90" w14:textId="77777777" w:rsidR="002E5800" w:rsidRPr="008F328C" w:rsidRDefault="000E0B7C">
            <w:pPr>
              <w:pStyle w:val="a3"/>
              <w:ind w:leftChars="100" w:left="220"/>
              <w:rPr>
                <w:lang w:val="pl-PL" w:eastAsia="ko-KR"/>
              </w:rPr>
            </w:pPr>
            <w:r w:rsidRPr="008F328C">
              <w:rPr>
                <w:rFonts w:eastAsia="Times New Roman"/>
                <w:b/>
                <w:bCs/>
                <w:lang w:val="pl-PL" w:eastAsia="ko-KR"/>
              </w:rPr>
              <w:t>a.</w:t>
            </w:r>
            <w:r w:rsidRPr="008F328C">
              <w:rPr>
                <w:rFonts w:eastAsia="Times New Roman"/>
                <w:lang w:val="pl-PL" w:eastAsia="ko-KR"/>
              </w:rPr>
              <w:t xml:space="preserve"> Przygotować czystą, płaską powierzchnię, taką jak stół lub blat, w dobrze oświetlonym miejscu.</w:t>
            </w:r>
          </w:p>
          <w:p w14:paraId="2BBE1986" w14:textId="77777777" w:rsidR="002E5800" w:rsidRPr="008F328C" w:rsidRDefault="000E0B7C">
            <w:pPr>
              <w:pStyle w:val="a3"/>
              <w:ind w:leftChars="100" w:left="220"/>
              <w:rPr>
                <w:lang w:val="pl-PL" w:eastAsia="ko-KR"/>
              </w:rPr>
            </w:pPr>
            <w:r w:rsidRPr="008F328C">
              <w:rPr>
                <w:rFonts w:eastAsia="Times New Roman"/>
                <w:b/>
                <w:bCs/>
                <w:lang w:val="pl-PL" w:eastAsia="ko-KR"/>
              </w:rPr>
              <w:t>b.</w:t>
            </w:r>
            <w:r w:rsidRPr="008F328C">
              <w:rPr>
                <w:rFonts w:eastAsia="Times New Roman"/>
                <w:lang w:val="pl-PL" w:eastAsia="ko-KR"/>
              </w:rPr>
              <w:t xml:space="preserve"> Wyjąć 1 ampułko-strzykawkę z kartonika przechowywanego w lodówce.</w:t>
            </w:r>
          </w:p>
          <w:p w14:paraId="36E5E4B9" w14:textId="77777777" w:rsidR="002E5800" w:rsidRPr="008F328C" w:rsidRDefault="000E0B7C">
            <w:pPr>
              <w:pStyle w:val="a3"/>
              <w:ind w:leftChars="300" w:left="660" w:rightChars="100" w:right="220"/>
              <w:rPr>
                <w:lang w:val="pl-PL" w:eastAsia="ko-KR"/>
              </w:rPr>
            </w:pPr>
            <w:r w:rsidRPr="008F328C">
              <w:rPr>
                <w:rFonts w:eastAsia="맑은 고딕"/>
                <w:lang w:val="pl-PL" w:eastAsia="ko-KR"/>
              </w:rPr>
              <w:t>•</w:t>
            </w:r>
            <w:r w:rsidRPr="008F328C">
              <w:rPr>
                <w:rFonts w:eastAsia="Times New Roman"/>
                <w:lang w:val="pl-PL" w:eastAsia="ko-KR"/>
              </w:rPr>
              <w:t xml:space="preserve"> Przytrzymać korpus ampułko-strzykawki podczas wyjmowania go z kartonika.</w:t>
            </w:r>
            <w:r w:rsidRPr="008F328C">
              <w:rPr>
                <w:rFonts w:eastAsia="Times New Roman"/>
                <w:b/>
                <w:bCs/>
                <w:lang w:val="pl-PL" w:eastAsia="ko-KR"/>
              </w:rPr>
              <w:t xml:space="preserve"> Nie </w:t>
            </w:r>
            <w:r w:rsidRPr="008F328C">
              <w:rPr>
                <w:rFonts w:eastAsia="Times New Roman"/>
                <w:lang w:val="pl-PL" w:eastAsia="ko-KR"/>
              </w:rPr>
              <w:t>dotykać tłoka.</w:t>
            </w:r>
          </w:p>
          <w:p w14:paraId="2C846C25" w14:textId="252A7DD5" w:rsidR="002E5800" w:rsidRPr="008F328C" w:rsidRDefault="000E0B7C">
            <w:pPr>
              <w:pStyle w:val="a3"/>
              <w:ind w:leftChars="100" w:left="220"/>
              <w:rPr>
                <w:lang w:val="pl-PL" w:eastAsia="ko-KR"/>
              </w:rPr>
            </w:pPr>
            <w:r w:rsidRPr="008F328C">
              <w:rPr>
                <w:rFonts w:eastAsia="Times New Roman"/>
                <w:b/>
                <w:bCs/>
                <w:lang w:val="pl-PL" w:eastAsia="ko-KR"/>
              </w:rPr>
              <w:t>c</w:t>
            </w:r>
            <w:r w:rsidR="002E54BA" w:rsidRPr="008F328C">
              <w:rPr>
                <w:rFonts w:eastAsia="Times New Roman"/>
                <w:b/>
                <w:bCs/>
                <w:lang w:val="pl-PL" w:eastAsia="ko-KR"/>
              </w:rPr>
              <w:t>.</w:t>
            </w:r>
            <w:r w:rsidRPr="008F328C">
              <w:rPr>
                <w:rFonts w:eastAsia="Times New Roman"/>
                <w:lang w:val="pl-PL" w:eastAsia="ko-KR"/>
              </w:rPr>
              <w:t xml:space="preserve"> Należy upewnić się, że są dostępne następujące materiały:</w:t>
            </w:r>
          </w:p>
          <w:p w14:paraId="6F35803C" w14:textId="77777777" w:rsidR="002E5800" w:rsidRPr="008F328C" w:rsidRDefault="000E0B7C">
            <w:pPr>
              <w:pStyle w:val="a3"/>
              <w:ind w:left="720"/>
              <w:rPr>
                <w:lang w:val="pl-PL" w:eastAsia="ko-KR"/>
              </w:rPr>
            </w:pPr>
            <w:r w:rsidRPr="008F328C">
              <w:rPr>
                <w:rFonts w:eastAsia="Times New Roman"/>
                <w:lang w:val="pl-PL" w:eastAsia="ko-KR"/>
              </w:rPr>
              <w:t>- ampułko-strzykawka</w:t>
            </w:r>
          </w:p>
          <w:p w14:paraId="728571DC" w14:textId="77777777" w:rsidR="002E5800" w:rsidRPr="008F328C" w:rsidRDefault="000E0B7C">
            <w:pPr>
              <w:pStyle w:val="a3"/>
              <w:spacing w:after="120"/>
              <w:ind w:left="720"/>
              <w:rPr>
                <w:lang w:val="pl-PL" w:eastAsia="ko-KR"/>
              </w:rPr>
            </w:pPr>
            <w:r w:rsidRPr="008F328C">
              <w:rPr>
                <w:rFonts w:eastAsia="Times New Roman"/>
                <w:lang w:val="pl-PL" w:eastAsia="ko-KR"/>
              </w:rPr>
              <w:t>- gazik nasączony alkoholem</w:t>
            </w:r>
          </w:p>
          <w:p w14:paraId="046DECB4" w14:textId="77777777" w:rsidR="002E5800" w:rsidRPr="008F328C" w:rsidRDefault="000E0B7C">
            <w:pPr>
              <w:pStyle w:val="a3"/>
              <w:ind w:left="720"/>
              <w:rPr>
                <w:b/>
                <w:lang w:val="pl-PL" w:eastAsia="ko-KR"/>
              </w:rPr>
            </w:pPr>
            <w:r w:rsidRPr="008F328C">
              <w:rPr>
                <w:rFonts w:eastAsia="Times New Roman"/>
                <w:b/>
                <w:bCs/>
                <w:lang w:val="pl-PL" w:eastAsia="ko-KR"/>
              </w:rPr>
              <w:t>Niedołączone do opakowania:</w:t>
            </w:r>
          </w:p>
          <w:p w14:paraId="081E5889" w14:textId="77777777" w:rsidR="002E5800" w:rsidRPr="008F328C" w:rsidRDefault="000E0B7C">
            <w:pPr>
              <w:pStyle w:val="a3"/>
              <w:ind w:left="720"/>
              <w:rPr>
                <w:lang w:val="pl-PL" w:eastAsia="ko-KR"/>
              </w:rPr>
            </w:pPr>
            <w:r w:rsidRPr="008F328C">
              <w:rPr>
                <w:rFonts w:eastAsia="Times New Roman"/>
                <w:lang w:val="pl-PL" w:eastAsia="ko-KR"/>
              </w:rPr>
              <w:t>- wacik lub gazik bawełniany</w:t>
            </w:r>
          </w:p>
          <w:p w14:paraId="0F373A84" w14:textId="77777777" w:rsidR="002E5800" w:rsidRPr="008F328C" w:rsidRDefault="000E0B7C">
            <w:pPr>
              <w:pStyle w:val="a3"/>
              <w:ind w:left="720"/>
              <w:rPr>
                <w:lang w:val="pl-PL" w:eastAsia="ko-KR"/>
              </w:rPr>
            </w:pPr>
            <w:r w:rsidRPr="008F328C">
              <w:rPr>
                <w:rFonts w:eastAsia="Times New Roman"/>
                <w:lang w:val="pl-PL" w:eastAsia="ko-KR"/>
              </w:rPr>
              <w:t>- plaster samoprzylepny</w:t>
            </w:r>
          </w:p>
          <w:p w14:paraId="54CC9D03" w14:textId="77777777" w:rsidR="002E5800" w:rsidRPr="008F328C" w:rsidRDefault="000E0B7C">
            <w:pPr>
              <w:pStyle w:val="a3"/>
              <w:ind w:left="720"/>
              <w:rPr>
                <w:lang w:val="pl-PL" w:eastAsia="ko-KR"/>
              </w:rPr>
            </w:pPr>
            <w:r w:rsidRPr="008F328C">
              <w:rPr>
                <w:rFonts w:eastAsia="Times New Roman"/>
                <w:lang w:val="pl-PL" w:eastAsia="ko-KR"/>
              </w:rPr>
              <w:t>- pojemnik na odpady ostre</w:t>
            </w:r>
          </w:p>
          <w:p w14:paraId="48B06BBC" w14:textId="77777777" w:rsidR="002E5800" w:rsidRPr="008F328C" w:rsidRDefault="002E5800">
            <w:pPr>
              <w:ind w:left="224" w:right="1248"/>
              <w:rPr>
                <w:rFonts w:ascii="Times New Roman" w:eastAsia="Times New Roman" w:hAnsi="Times New Roman" w:cs="Times New Roman"/>
                <w:b/>
                <w:bCs/>
                <w:spacing w:val="-1"/>
                <w:lang w:val="pl-PL"/>
              </w:rPr>
            </w:pPr>
          </w:p>
        </w:tc>
      </w:tr>
      <w:tr w:rsidR="002E5800" w:rsidRPr="00A5286D" w14:paraId="4871CFF4" w14:textId="77777777">
        <w:trPr>
          <w:trHeight w:val="3969"/>
        </w:trPr>
        <w:tc>
          <w:tcPr>
            <w:tcW w:w="9634" w:type="dxa"/>
          </w:tcPr>
          <w:p w14:paraId="345518ED" w14:textId="77777777" w:rsidR="002E5800" w:rsidRPr="008F328C" w:rsidRDefault="002E5800">
            <w:pPr>
              <w:ind w:left="224" w:right="1248"/>
              <w:rPr>
                <w:rFonts w:ascii="Times New Roman" w:hAnsi="Times New Roman" w:cs="Times New Roman"/>
                <w:lang w:val="pl-PL"/>
              </w:rPr>
            </w:pPr>
          </w:p>
          <w:p w14:paraId="3FAA0441" w14:textId="77777777" w:rsidR="002E5800" w:rsidRPr="008F328C" w:rsidRDefault="000E0B7C">
            <w:pPr>
              <w:pStyle w:val="a3"/>
              <w:rPr>
                <w:lang w:val="pl-PL"/>
              </w:rPr>
            </w:pPr>
            <w:r w:rsidRPr="008F328C">
              <w:rPr>
                <w:noProof/>
                <w:lang w:eastAsia="ko-KR"/>
              </w:rPr>
              <mc:AlternateContent>
                <mc:Choice Requires="wpg">
                  <w:drawing>
                    <wp:anchor distT="0" distB="0" distL="114300" distR="114300" simplePos="0" relativeHeight="251658246" behindDoc="0" locked="0" layoutInCell="1" allowOverlap="1" wp14:anchorId="132558AD" wp14:editId="59979C20">
                      <wp:simplePos x="0" y="0"/>
                      <wp:positionH relativeFrom="column">
                        <wp:posOffset>-1905</wp:posOffset>
                      </wp:positionH>
                      <wp:positionV relativeFrom="paragraph">
                        <wp:posOffset>635</wp:posOffset>
                      </wp:positionV>
                      <wp:extent cx="1659255" cy="2203450"/>
                      <wp:effectExtent l="0" t="0" r="0" b="6350"/>
                      <wp:wrapSquare wrapText="bothSides"/>
                      <wp:docPr id="39" name="그룹 39"/>
                      <wp:cNvGraphicFramePr/>
                      <a:graphic xmlns:a="http://schemas.openxmlformats.org/drawingml/2006/main">
                        <a:graphicData uri="http://schemas.microsoft.com/office/word/2010/wordprocessingGroup">
                          <wpg:wgp>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039A84D6"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2558AD" id="그룹 39" o:spid="_x0000_s1044" style="position:absolute;margin-left:-.15pt;margin-top:.05pt;width:130.65pt;height:173.5pt;z-index:251658246" coordsize="16597,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Aceh3AwAAAQgAAA4AAABkcnMvZTJvRG9jLnhtbJxVwW7jNhC9F+g/&#10;ELxvJDu2EwtxFm7SBAuku0aTYs80RVnESiRL0pbSD+ovtId+UfsTfaQkO3a26O4eLA+Hw+Gbxzfk&#10;1du2rshOWCe1WtDRWUqJUFznUm0W9JenuzeXlDjPVM4qrcSCPgtH315//91VYzIx1qWucmEJkiiX&#10;NWZBS+9NliSOl6Jm7kwboTBZaFszj6HdJLllDbLXVTJO01nSaJsbq7lwDt7bbpJex/xFIbj/UBRO&#10;eFItKLD5+LXxuw7f5PqKZRvLTCl5D4N9A4qaSYVN96lumWdka+WrVLXkVjtd+DOu60QXheQi1oBq&#10;RulJNfdWb02sZZM1G7OnCdSe8PTNafn73b01j2ZlwURjNuAijkItbWHr8A+UpI2UPe8pE60nHM7R&#10;bDofT6eUcMyNx+n5ZNqTyksw/2odL398sfJijjM5WZkMGydHcIzkGX49B7BecfD/WsEqv7WC9knq&#10;L8pRM/tpa97guAzzci0r6Z+j9HAwAZTarSRf2W4AOleWyBzEoDLFakj+7z/+/Of3vwgcoDisCEHd&#10;EhZKetD8kyNK35RMbcTSGYgW60N0chweh0f7rStp7mRVhWMKdl8ZBH4ikM+Q04nvVvNtLZTvusmK&#10;CkVq5UppHCU2E/VaoBr7Lo+AWOa8FZ6XYcMCG/8MsAHoi4mI8gAslOCgL7JuftI5+GBbr2OvfKG+&#10;LmfjQSXpZJLOppGZQSWg0Dp/L3RNggGoQBTTs92D67ENIQG10oEwYGZZpY4cKCJ4Iv6AuDdRQGgN&#10;3E9u4BejVwx/VQs+lswIoAxpD5o5x2XZaeYp9NcPuiVwAWofFtqU+Bb+Xh/B3yE90NF36/x8fpmC&#10;t9CW6fRiAjvWPDTuxWg+H7pvNJmlXdvum++raXW6kvkgxcD3TWXJjuHabUrpRX9mR1H/Qf+hqGD5&#10;dt12DbVnYq3zZxBhNU4bFTrD7yQ2fGDOr5jF9Q0nniT/AZ+i0s2C6t6ipNT2t8/5QzyOFLOUNHgO&#10;FtT9umXhrqjeKRw2UvrBsIOxHgy1rW80Sh1FNNHEAuurwSysrj/ipVqGXTDFFMdeC+oH88Z3jxJe&#10;Oi6WyxjUXTkP6tHgohpFTQdin9qPzJpe7R7n+V4PcmLZiei72KByZ5bouzsZOyIQ27EIjYcBpB2t&#10;+M7AOnrIXo5j1OHlvv4XAAD//wMAUEsDBBQABgAIAAAAIQDcI97fOFoAAKDsCQAUAAAAZHJzL21l&#10;ZGlhL2ltYWdlMS5lbWbsnQu8VlP+/9f8/zMk4xp/w185TaXCuBVNoZrqFBoqCeVON+aELlTH6XLq&#10;dLqokOnoQi7T3UgiHOaoyCQqQojCkMOkVBJpzM9vf/Zp7fazz/7uZz/7fvn2ej3t53yfvdfl+/2s&#10;97Oetdde61dCiALlJf/95VdCLFde8l/f44W4/SQh8vIvaS/Er8Sj2w4R/1f5UHeKeurIg4X446+F&#10;uEr54BV58f7j8la/EW/v+T+ii/J3nnK9/GfMS9oLlDRWKK/OiqGR8hqivOZ/U3Vdnlgj5Of47Nb9&#10;5/5K5Cl/HThP/WP/f7/88ovgF/uANcAaYA2wBlgDrAHWAGuANcAaYA2wBlgDrIGkayDvpHqCX+wD&#10;1gBrgDUQHQ0Yv3c4NtGJDceCY8EaYA1AAxSnjXb+m39LsgZYA6yBYDUgv6eNfqfsxvP472Djxf5m&#10;f7MG0qcBiseUnTWSPo1wzDnmrIFwNUDxmLJzvMKNF/uf/c8aSJ8GKB5TdtZI+jTCMeeYswbC1QDF&#10;Y8rO8Qo3Xux/9j9rIH0aoHhM2Vkj6dMIx5xjzhoIVwMUjyk7xyvceLH/2f+sgfRpgOIxZWeNpE8j&#10;HHOOOWsgXA1QPKbsHK9w48X+Z/+zBtKnAYrHlJ01kj6NcMw55qyBcDVA8Ziyc7zCjRf7n/3PGkif&#10;BigeU3bWSPo0wjHnmLMGwtUAxWPKzvEKN17sf/Y/ayB9GqB4TNlZI+nTCMecY84aCFcDFI8pO8cr&#10;3Hix/9n/rIH0aYDiMWVnjaRPIxxzjjlrIFwNUDym7ByvcOPF/mf/swbSpwGKx5SdNZI+jXDMOeas&#10;gXA1QPGYsnO8wo0X+5/9zxpInwYoHlN21kj6NMIx55izBsLVAMVjys7xCjde7H/2P2sgfRqgeEzZ&#10;WSPp0wjHnGPOGghXAxSPKTvHK9x4sf/Z/6yB9GmA4jFlZ42kTyMcc445ayBcDVA8puwcr3Djxf5n&#10;/7MG0qcBiseUnTWSPo1wzDnmrIFwNUDxmLJzvMKNF/uf/c8aSJ8GKB5TdtZI+jTCMeeYswbC1QDF&#10;Y8rO8aoerz179oiKimVi6dLnc35t3bpVsE+r+5R9wj5hDRzQAMVjys6+O+A7+KKy8ivRuPEp4uCD&#10;f+3odcSRR4jXXlvFrFZ8ydpiH7AGzDVA8Ziysx8z/Vi/fgOVz4cccrA47rjjcnrVrHnI/mtrMKOY&#10;06wB1gCpAYrHlJ05fYDTEyfdr3K2xsEHiYdmPiQ+2fxJTq+pU6dpffB58xaQMWKfH/A5+4J9kUYN&#10;UDym7Gn0EVXnpuc0Uzn7xz+e64ixP/20VxxzTC01jSOV8Q+MoVB5sZ35xBpIrwYoHlN21kqVVp58&#10;crHWF16y5FnHfH3g/gfEYYf9Vk3r2mtvcJwOxyW9bZhjn/zYUzym7KyJKk307NlHZWutWrXErX1v&#10;EQPu6K+9bunTV3Tu1En7+7aCfqL/HQNF2z+1EWNLx1d7nX12UzWtJk2d9cs5JslvpxzjdMeY4jFl&#10;Z71kcrp9fodqfeDNH28SGMfQ+2rdureE2bk4Z8CAu1RO4z6k/hp+n+62yfHn+EsNUDym7PK6tB9l&#10;f5piL+bp6X1kxemyqTNUThuv0V/P77nNsgbSqwGKx5SdtVKllSuu7K6yVXL6vfc2iDFjxmgvMFf/&#10;d1FhoejSubNmm1o2XXz//fcqy5nT6W1/3J449nY0QPGYsttJMw3nYCwZLMZ48+7du8WMGTM1BoPP&#10;2TiNc15e9gpzmufMZvzuSkPb4Trm/t1E8Ziys4+rfKzn9M6dO8WkSffmzOl58+Yzp5nTzGnWQFYN&#10;UDym7Mzp6pze8e23jjg9a9YjzGluo1nbKLe53PufSfMZxWPKnrT6O62Pvj/NnOZ25FRHfB1rx44G&#10;KB5TdjtppuEcO5weXVKijYUY7yNifFr2px99ZLY23+OHH37g/hX3sVkDrIEMDVA8puxpYLCdOmbj&#10;NOZ2jBwxXOP0rbf0Fb163qT9ref0hvfe1zi9YcMHGfGxUxY+h/tkrIFka4DiMWVnPVTpwQmnwWrw&#10;Wb5kf5o5new2xm2G4+tWAxSPKbvb/JJyvVxzGvPyzManzfrTzGlur0nRP9cjWC1TPKbsHJ+q+GB+&#10;NF4rX1npmNMzZz6sjnFwfzpYzbOG2d9x0wDFY8oet/r5VV4vOH2fslYeysecZm74pVNONxnaonhM&#10;2TnuVXH3hNP3MadZT8ngCMfR3zhSPKbsHA9/OI19u8D+1avf5PkePCeLNcAayNAAxWPKzpy2x+mr&#10;e3QXRXffrc3twD1E433E+/b3pzd9/LG6ryI4jT3L2cf+9k3Yv+zfuGmA4jFlj1v9/CpvtnEPMHnw&#10;nYNtcRr7KmLtaeY088MvvXK68dYWxWPKzvGuineunMYzLlR/mjkd7zbEbYLj57cGKB5Tdr/LE4f0&#10;9+3bpz0/SM3LM/anMZ8az47LZ1xwxBp7qC9zmtt5HHTPZQxPpxSPKTvH6hexds06jdPwh9lzLnY4&#10;DVbjeuZ0ePpnPbPv46ABiseUPQ518ruMzGlu235rjNNnjek1QPGYsuuvTet75jS3obRqn+sdjvYp&#10;HlN2jpP34x5fbtkiGjZspI6lTJ82g+fl8dxZ1gBrIEMDFI8pO3PaHqcH33WXKCgo0O4bmt1HlOPT&#10;lZWVQq7rxJwOp7/Cuma/R1kDFI8pe5TrElTZ7Ix7YG7HrbfewpzmflFGvygojXI+yfreoXhM2Tn+&#10;9vrTdjmNvcq5P52sNsVthOPptQYoHlN2r/OPY3pO+tP57dqKYUUHniOX86g//GAjc5r73NznZg1Y&#10;aoDiMWWPI1e9LvPs2fPUe355J52k+tZs/rSxP43nFyWb9UfmNPe9vNYnp5c8TVE8puysgV+E5HTD&#10;k0+25HTvXr3UPRKxT6JdTpdNLbP8XmX/J68Nckw5ptk0QPGYsmdLLw2f2+H06NGjxeVduwjM88DL&#10;uIet7FOjP43+ePMW56ssLy4ewZzm38CsAdZAhgYoHlP2NHA4Wx3tcFpyONuROc19qWx6489ZIxSP&#10;KTtrxt64RzY+y8//uep17k9z3ymj78RtjLls1ADFY8puvD6Nf3vZn37hhReZ08xp5jRrwFIDFI8p&#10;exq5bKwzc5r7O0ZN8N+sCT81QPGYsvtZlrikzZzmNhkXrXI5k6FViseUneP+iyguLlHnZrS8oJX6&#10;W8Vs/rQcf8525HGPZLQjbhccRz81QPGYsvtZlrikLTmdn9/eE07v2rVLtFPSknt5xcUPXE5mE2sg&#10;GA1QPKbsHJdfROHQYSpTveD0vPkLVNZ37HgJc5rvJVneS+K2FwwTo+hniseUPYp1CLJM2BsxL6+u&#10;ytSiwuFqu9q+fbsYO3as6XPh2cY9HnpolprGLX0LmNPMaeY0a8BUAxSPKXuQTIxiXnLMA2MUS595&#10;Tmz54nPx9ttva8+H4xnxXF733/eAmsaiJ58Shx9+uMrqM848yzRWUfQHlym9fTyOfXCxp3hM2dMe&#10;m549+6gsPfbYY0T7/A7qq1u3K7Xnw+Vz4naPXbtcpqXz+3r11LRr16nDnOZ+FWuANaBpgOIxZWdO&#10;V3EajJa+2PbNN47GPDAmIsc9kNbY0vEqp0844QQtbZkHH4Pru7Cv2ddR0wDFY8oetfIHXZ4rruyu&#10;slTP6fXr3/WE00ufWaqmjTGVoOvF+TGbWAPR1QDFY8qe9lg2aXquylL0faUv1qxZ55jT6FPLdFa+&#10;spI5zb91NT1IXfAxuvwMKjYUjyl7UOWKaj5mnH7jjTXMaeYr85U14JsGKB5T9qjyM6hymXF68eIl&#10;zGluo7610aC0zflEt99O8Ziypz2WZpyePXsuc5o5zZxmDfimAYrHlJ05XX18mjkd3X5I2vXK9U+G&#10;NikeU/a0x92P/vS3325Xv4f5PmIy2lTa2wjX33sdUzym7GmPgRmnH3igzNW4B3Pae12nXadc/2Rp&#10;iuIxZU97/OWadgvmLdTGopjTyWoTadc41z96eqZ4TNnTHkPJaYxRSF94xenPP/tUmz/93HPlWvoy&#10;Hz5Gr/1wTDgmQWiA4jFlD6JMUc7DjNOlpaWuxj22bdumMVmmjz1jouwHLhvziTUQnAYoHlP2tMdG&#10;clTfn862dmm2zz/79DONyTJ95nRwbSDtmub6R19rFI8pe9pjKjnqJac3bdrEnOa5t5oG0t7GuP7V&#10;vzcoHlP2tPvQyOnNmza7GvNAX5s5XV2XadcZ1581odcAxWPKrr82je+NnP7wg43Mae4Lc1+YNeCr&#10;BigeU/Y0sllfZ8np1a+vVuPyzjvvueb0e+9t0GIs0+fxae5P6XXH79OtB4rHlD3NegE7JUd/2LNH&#10;ZeuL5S+55vTateuY09wf0zSQ5jbGdTf/PqJ4TNnT7Ec9p6UfXnjhReY0MzZyjK2s/EpAr9lePE/f&#10;nIuyfUflSPGYskel3GGUQ8/pxYsWCbzuv/c+UVRY6Oo1eeJENS2kV6PGwWqfvXDosMi1/TB8znma&#10;c+RyZU/O/PYXiqbnNBONTzlVYE/N4447Tvu9J3/35XI88sgj1HSwjzLSRfpXXtWDdRiBfgjFY8qe&#10;5naj5/Qnmz8ReI0cXixuvfUWV68xJSVqWkjvzLPOVtsa9stNs6/TXvdNH28SixYtFtOnzRDFxSNc&#10;8TcXVts5t1Xr1mLKlL+Kp59+Rujn/qc9Zn7Wn+IxZfezLFFPW89pWVbsQ5vtOZZsn69YsUJjctMm&#10;VeumMqfN+5HS70k8YgwC+2+eWLt2pLicjd3oy0OvaB9JjEsU6kTxmLJHocxhlcGM0/feO4U5HYHf&#10;hWFpwm2+S55+Vh1jOOSQGrFiM8VujJ20OO8C0eWyy5nZHrYLiseU3a0u43y9Gaez9ZXtfM796fT0&#10;nV97bZW4556JiWAyxWqjvbR0jChX5kXFue2HXXaKx5Q97PKGmX9BwW1q+/p93bqa5uxwONs5M2Y8&#10;pKXH4x7JZDbuy6GvaWSY27+RZl5eXbVPLu/9dfzzpQKvXr36ZH2h3yvPx/Vnnd3Uk3uSZvXCb4Zm&#10;zZqLioplmt7DbM9xypviMWWPU928LivG4KC/Fs1bqDrb/d13rsc8wHDmdPLYjH4z+pFmvHJqO0Jh&#10;crv8DmLggDtFEPPp9u3bp445Iz/sj+H1uDnGteEnr9tpEtOjeEzZk+gDu3UycnrXrl3MaQ/H4OzG&#10;IcrnFReXqExzymL9deAy+Ig5mmvXHHgWKuz6g9sdO17i2e8D8H/mzFnMa4u2RPGYsoetkTDzl5xu&#10;UL+BeOrJRWLu7Nmu5k3LedcjhheJeXNmq2liTAVtFXmFWVfO234f/6uvvlbj1bBhI8f95/qKpnD/&#10;DWMVU6ZMFatWvR6L+K9Y8aqYMGGSuO66G9X51ugj679rcnmPeeCDBt0Vi3oH3T4oHlP2oMsXpfzQ&#10;fqp09xtRq1YtMbZ0vKt503Ledb9+/cSwohEi76STlPR/o+aBflmU6s5lqc7tPcraAfg+dTpXA/1I&#10;9EvBuiT59/XX31DHZtw8d4N541u3bk2UX9zEmOIxZXeTVxKulfvYgtcnHH+8GHznYNd96h7du4ua&#10;NQ/R+iHQdxJ8leQ64Hc6xiVy6S/Kc8HntHwPY4ykceNTHPkJfXOek13VP6B4TNmT3Pbs1G337t3q&#10;bzM/7t0fdthv1XvvL71UwZy2GKuzEye/zsGcH8yLqFHjINvsQVxbtW6j9r0XzH8ilbHFbwYwG2M7&#10;8vvK7hHjIcuXHXgWzK/YRjldiseUPcp1Caps6AvZ1Viu5y1d+nwq23FQsXOaz4YNH+S8fgb62xjX&#10;2LjxI46p7nt327btKrNz7evAn3ie3mkM43wdxWPKHue6elH2SmUdMv2428kNGojy552x9dvt20TR&#10;3cOVse6jM7jvRTk5jerjyU59gvtkuX7fYv4ctOI0z7Rcpx9HtONjsD2NYyEUjyl7WvRjVk+sOSPv&#10;Z+fVzVN+iy33pB1+u327GDtmnDj88MNUHiCPnTt2eJK2WT3Ylp3hP/64V0yb9rD6O93uGAfGQyoq&#10;lnHcdH1nO1qD1qc88KC67p8dVuMczI8pVe7j20k/CedQPKbsSaiz0zrIef51lPtA3ylzp52mQ133&#10;zvr1Wr+tVas/eZ4+lS/bq3MbzLXLDHyvsg+r+9CJT3IdU0R/PEpzy53U2c41FI8pu500k3gOnv+S&#10;7XZ62YO+tcshQ4q0fCq/rPQtnyTGyIs64Tlq/biWjLnxiLl4uDeIe2Ne5MtpHOA85jtiDiyeMTf6&#10;3exvxGLx4mcSHQeKx5Q9rXrCmBg0cowyluynD/B8g9Qi7l35mRenfYANmKtrh8+IDe5n8fNzB3zn&#10;p47KyytsP6+OuKxd+1Yi2wzFY8ruZ0yinLbk9Am/+52vOli37sDYB3M6GBZgzhjauPx+tDryeFQw&#10;MTGyoHmL823FB7HDfV/j9XH/m+IxZY97fZ2WnzkdTvt0Gi+712HtDDv9aIxXl5VNT1z7t+unsM/D&#10;mlDg72l/OD0rrzFfHfsthF1mL/OneEzZvcw7Tmkxp5PFaYxz2O1Dl469J1FtPk7tzlhW8BoMtvrN&#10;Iz/DPo/G6+P6N8Vjyh7XerotN3M6WZy2+1ycW93w9f7oBu3RznMymA9SmYB57BSPKXtadcec9qe9&#10;BaknzImecM+9tubpXnhRR7F3797E9MeC9HNQeeF5hn79+mddB0t9NmbOgljHkuIxZQ8qBlHLhzkd&#10;f06fe+4fs/5exlhI1LTH5bHWHuZP27nHEOe1rygeU/a0aoY5bd1WoqyLv9zaT9SrVz8ro7H/FObu&#10;RrkuXDZzHWINcMxnz7bGbFzHrCkeU/a06oQ5bd4+oq4Hu+PQvP9TPONr1B+eR8s2bn3FFfGbC0Lx&#10;mLIb/ZKWv5nT8WrHWH8Wc53lvX+r48KFf+c+dI5rckS53WOupVW88RnWxIZGolwPfdkoHlN2/bVp&#10;es+cjg+nESs782yxN8M111wfm7aapvbmtq547hz7sFvxuk3bfIF5fm7zCuJ6iseUPYgyRTEP5nT0&#10;OY2x5W7Kb1qrtik/q1PnpFi0zyi2hbiUCfNBZLypI/rVcbgnQfGYssclRl6XkzkdfU5jTX6qPRrt&#10;XuuD04umPsDqbM8zgdVR71dTPKbsadUjczqa7RB6xJp1uI9vZLHZ35gTkFYNp7Xe2E/nrLObWuoj&#10;6vcoKB5T9rTGmjkdTU7bvVcIZjOjoxnDIJiy5Ysvs+6nO3fu/Mh+h1M8puxB+DSKeTCno9XGc5nP&#10;IfvVUdQVlyk4XVUqz49n2/u8Z88+kWQ1xWPKnlZdMaeDa0/ZNIZY2B3nAKP79u0XybaXrZ78ufea&#10;wzh0tr16pk1/OHJ6oXhM2dOqHea0920mVy2hD53rvqc81hF+3HKNs9/nYz9Gq3uLeKYRz8v4XY5c&#10;0qd4TNlzSTtJ5zKnw23v2D+l8SmnWt4LkuMb8ojzk6RBrot3GsS9RavfZFgvZMmSZyOjH4rHlD2t&#10;WmFOe9dGctEQ+j5250RLPuOI/ahzyYfPDSe+Yfo92/xqjI+EWT593hSPKbv+2jS9Z06H047b5XfI&#10;qQ8tWc37y4YTr7gxoaJimaW+8FxjFOpE8ZiyR6HMYZSBOR1su8c4B/rEkrt2jxhbTNqeS2HoPU15&#10;gsXYq8tMY9BTQcFtobOa4jFlT1P89HVlTgfHacyNMmszdmwPz3o89Dal1w2/D043bnwNFlvp65tv&#10;vglVVxSPKbsbX8T5Wua0/+3NyXwOfduK69rCcW4XSSl7tjkgWJs8zLpSPKbsYZY1zLyZ0/5yGuMc&#10;dta403NZ/x6/T8PUB+ftrz6C8C/uK1JzimrUOEiEuR8MxWPKHoS/opgHc9qfdlhp4xkxyeMaB/+G&#10;/G0aRc1wmfzRjJ9+hR6t9vAK674ixWPK7qePopw2c9r7Nrd27VuiYcNGJHsln3HOoYfWND0Pe3ds&#10;2PAB96UTtM5/2BwYPrzYVGvQI363od8ddBkpHlP2oMsXlfwkp4895hhfY7Ru3XpNI0nmz7XX3qDV&#10;U/LY7HhZ126Wz44hnahohMvh/Xd5WD61Wt8Le5wHXS6Kx5Q96PJFJT/saSw54meZ0sBpzG2WvrQ6&#10;oq3gd6bVOX7GgtNODndzjSXGP9B3NtMe7Pg81zTdnE/xmLK7ySvO1zKn3bdZMNfOnGiMD+K3J/RC&#10;rRuM+zq896z7mMS5Tfpd9l696PmhQc8tonhM2f32TVTTZ067Y4LdOdF4RkXugzRlyoOm/Rn0cXh9&#10;JXfxiGo7i1q5rNZrwppgQZWX4jFlD6pcUcuHOe2MC/h9mG3NX/nbEvtmybhjLrVVG5Hn8dFZXNhv&#10;9vyG32xSn2bHoO4pUjym7GmNL3Panq71+sB8Dmo+ql7zWO+mcOgwjdFIY/BdhWT7iNL6OPr68vvc&#10;NRIHn1ndT7m0U5cM3fpVH4rHlN2vckQ9Xea0/TaIZ7vs9qE7d+lqqnNqHPvE2rVNz4+6frh89vUT&#10;RV9RewvgnqIcp/Oz3BSPKbufZYly2sxp++3Mak6Tvh+N88xiLudA6s+V79FHN7uGbfbjw77K3VdW&#10;91f043V++ZbiMWX3qxxRT5c5nV3bZWXTbc/neGXFq6a8/eijj0XtOnVMxzyaNWtuek3UtcPly66d&#10;qPto7969ls8p+j1OTfGYskfdn36Vjzlt3das+huyL4xjtr6H1b5afsWW07WOLfunyj9Wv/OuvKqH&#10;r30IiseUPa0xY06bt+UJEyaR/V89nzEnurR0vKWWrdpB0PNV06pzrre5zqVfqP4I9C3P8eNI8Ziy&#10;+1GGOKQZFKdXrnxN+80f9efGi4pGamXVM9n4HufZiTHWjjRei78xP8/O9XyONWPYP974hxqXy/Zb&#10;0Y3/KR5Tdjd5xfnaoDg9ZUqZxqqo+gt7gLqdz2FWN2qOx9KlzzOneZ2lyGgAYxxm/QnY8LyAmbbd&#10;2igeU3a3+cX1euZ0VV9k9eo3ba1x1+K8C3Jarxdr+5ppH78n9+3b54v246pFLrc3/WKnfsTvXDOt&#10;wta8xfm+aJXiMWV3Wre4X8ec/kXYXeMu1zXstm3bTj576Pf9mbjrkssfDrOt7nfv2vWd56ymeEzZ&#10;06qLtHOaun9i7Fc4GaOzet4rrXrjeofDX7t+t7rnvYKYc2o3bbPzKB5TdrM00mBLK6cnT77P9nwO&#10;J+vX4VkurPVv5D3+DuqZ3DTol+voPffRJzHT7QUtW3N/OqT7KWnkNNauM9Oh0bZo0WLHurRaX9oJ&#10;95lH3vOIfWruU9wzNFuj2o/1qal+M2VPa8zSxGnMc8b9OyOPjX9jfhL62240gT6zMV38jbkfbtLl&#10;a83Zwn7x1i9t2uab6pdat8ap/ykeU3an+cT9ujRwGvMq+ve/y1R3RpZivNqLmFLfB3z/0FueeBEr&#10;TqN6TB6e9TjZXrZu3epJG4HfKR5T9rTGKg2c9ms+B6UZvU+N3wPUNWyvzgr2SXg+wboeRu3Kv73q&#10;yyC+FI8pe1o1oWeKnz4I4zkXjANjvrPUF3XEWASeE/eq/u3yO5jmifE9r/LgdMJjWFp8f/oZZ5rq&#10;GPfHvfIBxWPK7lW+cUsnqZzGOBrFZb0dzx9iXWmv4oa09Onr33uVB6fDjA5CA1Zz9Navf8eTNkPx&#10;mLIHUe8o5pFETtudE415H17H5MknFzOnQ5q75HUsOb1fyLmlFRXLPGk7FI8pe1pjkiROY+yCun+n&#10;79diPgeeE/cj5rfc8hdTTpdNLfMlPz/qwGlyf11qAPsq69uOfJ/f/kJP9EzxmLLLcqXtmAROY74n&#10;NTdf6koevbwHYqYVSte8Xwuzz0wvUbeVl79kymn0h7woO8Vjyu5FnnFMI+6c9muNO6exNFsbj+8f&#10;MqOd6ins69C/kH0c4xH9I7flo3hM2d3mF9fr48rpn3/+r5g9Z4HIy6tL6kjqCuf4Nc6hjzt8WaPG&#10;QdXKc9bZTV3rWZ8Pv2fuB6WBfT/9VE3Psl0VFNzmWtcUjyl7UPWOWj5x5bTdZ78xnyMon1P3L/nZ&#10;FuZqUBr0Ix9q/+YTa9d23bYoHlN2P+oXhzTjyGlqL3v5PY9j41NOFVhjI8gYUPthBFkGzou/E7zW&#10;gNVaNW6fTaR4TNm9rltc0osTp+3eK0QfGuvVBRmD8vIK8vdhkOXgvJjTfmgAe8Tp+0Hyvdv74xSP&#10;KbsfdYtDmnHgNO5X2B3n8GNOtJ04UmMe0LOd6/kc5muUNUCNfbhdk5riMWWPso/8LFvUOY19q+zO&#10;iQ56nEMfF2pfxaOOPkpgH1urlz4dfs+8jqIG8GyC7EPrj5d3u9JVP4TiMWWPom+CKFOUOT1lyoOm&#10;2tDrBO+xb0oQvqLywBiLsUy5/F2hPNuFtUjmzp0vpk+b4er19NPPCOyPy6/4+ACxx96EUX5Rz5Dj&#10;XhHVLuzYKR5TdjtpJvGcKHMa4x3UniiSg7nuWehHDPHbT5bHyfGww37r6nonefI1v2afK30ctzpw&#10;u546xWPK7kf7jUOaUeY0/DdixChLLb366muuvs+9iFFZ2XTLMrptC3y9e56wD/3xodtnuCgeU3Yv&#10;2msc04g6p+FTq3ke6G978VyUm9hR+9W2atlSXHzRRRmvdm3aMtM96Mcxd/3hrhO/YkzEafuheEzZ&#10;neYT9+viwOndu3cLzKcwe9YPunL728ttDPEci5m+e/a8SfTt2zvj1atXL9NzcX2dOieJs5ucI85t&#10;1tzxq1GjxoJf8fLBsf/vGBHlF9XupObd3B+ieEzZ3bbVuF4fB05L32KNLqkN47FVa+/3Qpb5ZjtS&#10;5erTp2cGo8FsM07n1c0Tr638p/j666/Ft9u3OX5t+eILwa/4+eCjjR+JqL7eemu96NKpk+japbP4&#10;80Xm7a9J03O5P6387s/GCTefx4nTM2fOIjkNbvu9Fh7lZ7PnI89p2qQao804XatWLV/jS5WZ7f62&#10;q6T4t/LLLWLA7f3EsLsLxaCBA0zbn5u1Gah+M2VPil9zrUecOI26FQ4dZrpnPTiNeRO51t+L883W&#10;yMO4tHHMw4zT4LkXZeA0mLt+aODdd98VQ++6UwwrGiqGDhliymm0Pad5Uzym7E7zift1ceM0/P3c&#10;c+WkXqCZLVu+dKwbJ/E0mzt4dY8ezGmffws6iRVfk9v32d8XLhSlY8aonB45YjjZ7pzeS6R4TNnT&#10;Gr84chqxstqfFmsRBBlPfDcYXzffXP0eIvenc2NEkDHkvMxjU1pSIsZPuEfl9OhR9BxZp88CUzym&#10;7GmNU1w5/dJLFZbPk194UcdAWK33n57VvXtXv4fInDZnQVrbXtTrvX3bN+q4tJ7THfLzq/VJoHun&#10;94YoHlP2qPvMr/LpOeNXHkh3ypQyLb5e5YPxD8yz1/NR/76iYpnvrMbvPX2e8r3Z2DRzmjntlfaD&#10;SGf+3Lli+LC7M/rTmPchNa4/4hkHJ2WieEzZneSRhGvizGn4n9o3VmrI7xjhvqbMS39kTjOT/dae&#10;3+kXDR0iMNah70/3Kygw1bvTuXkUjym733WOavpOOI29ePCbaNfOHba/Q/3oT0ufUmvVSW7K8/w4&#10;mq1nWqdObdN7iNyfZnb7oUE/0sQ8fszHGz9+gi1OO52bR/GYsvtR1zikaZfTPyhrwlW89A/l3m+J&#10;GDl8mHocPWqkGDGsSEy+5x6x4uWXLZntJ6fx3Di1jjlYfcaZZ1mWzU2czDhdr3595rTyW8eNX/na&#10;cP330Ycb1fl46Evr+9OFQwtN+9NoZ05iRvGYsjvJIwnXWHF6794fxYsvPC8mKRwervB43NixSsyq&#10;vl9l/KqOE0TJ6NHKPeFC9dx1a9dUi5mfnEYcUA+rPW2xZqgf8TJbe4Q5HS5j/Ihz2tJ8c/Ubonjk&#10;CJXRek6PGGY+zsec9lfzek7v/eEH8cnmTUq/+UVx/32T1bGpMWNKtVhlsrnqe9bMNkaZy4NxrRnT&#10;p4mXK14Wb61bp3C+WPse9kvz1Frmcvyjwof7ihiXk+nL46mnnuJpf7p9h4uq5SHzkscXnntezJkz&#10;XzQ4+WRxlDIvsVz5ftX7+Y3Vb6rPAeH8vr37qJ+NGTNeTbfnjT0zzpXXff3VV+Lyy69Uz5k6tSzj&#10;nCZnn61+L/7rs39l2OW1OHa/srvo3ftW7fO1a9aoaRUU3CGgNZyz8tWVqu3hhx7VzoN9zpw54vQ/&#10;nCYOPbSm+jnK3ajhyeLRRx4Ru7/7TjsXf+Oz9zds0GyyDM8886x6/aiRJdU+++jDDwX2cPjg/Q+r&#10;ffb80qXitNP+UM0u08V8+Zdtaqltm3bCLH+k1adXX61uMo7G44vlL6nnlI6uXgek8aPiRzzTiuuw&#10;ZsCxxx4j2ih5/vTT3mrlX7d2rXoeYqr3oayX/jhj2oNi/LhxWtvHcy5o08xpf3msj4H+vZ7TQwYN&#10;VHhaqMYD4xtevBDbkco943PPaappUp+/l++xXhP2QDZqXf6NvW29zA9pmXEafPHyPqIdTr/55hql&#10;7e0S3bpdpdYffNO3xfz8CzW/fP7Zp6ofguY0WA/GNW9xvpB8N+P0qBFVfbY+CuO3/vvfWsw6duyo&#10;1gF1lByiOI06yribcTIqnL72muu1+plpE/eBUA/w96e9Juxd95b6edfLuqnpWHG648WXqOe++cYb&#10;lnmiHCWjizVGc386HDbr9aDndNWYBsY1vH+1bHmB1m70+Xv9fueOHaJdfgctL9lW5RHPx+w10bvT&#10;cgTJ6ReffzZr+6rcskU0atxYrf+I4cOVuv4oJk28V/370JqHiCcWLNTSyMZppz6R1xn70y1aNBdD&#10;BheKPyu8Xbx4iVoOI6efXfKMqFevnpg3b4FWTpkejs8o+9Ucf/zvxKuvVK07TnG6b58+omHDRuLE&#10;E/+/aX82LpxGnQuHFqnx++c/V1XzyYD+g9TnCD7/7DP1M4rTM5R9gmodfbRY/vLyamno/Yv3O3d8&#10;K4oKhzKnFV8YfRPW35mcpscyzMY3crG1atVSY2cQdUXfWbLZeESf26syRI3TqNfTTz2tjnEcfthh&#10;4rprrtXG7dFP1dc7aE7XVvy+c8d2ge+bTp26qGUxcrpu3brKb5FbxfZvvskoq77ctxXcro2nmHF6&#10;/pzZauxffKFcYHwmzv1pWW/w16hj+feU+6dovjLj9CBlXzqcC97L9KyOL5WXK7+rq+ZNyzbO4x7h&#10;MjupnKbmNUttW+k0l8+iyOmvdePKsr4NlDkoxnpJTstz5LFxo0Zi4Tzna7/LfPT9abCzefPztDLU&#10;zctT3+s5/ZPS9z/kkIPFtGkztfNkWvrj9LIyLS0zTp95xpna90BSOC1ZK2Mkj0cccbgyP/ZbzV9G&#10;Tr+h3A/EuS0U32MMRe9H6r3++RbmdLh8ljFKKqf37dsnOnfpSvZBatepI77//ntbupW+MjsGyWnZ&#10;No1H/EY1lm3NmrXqvTB57iOzZlU7h+K0vGZsaWm1a4z5WP2t5/Sll3YSEydM1tK7qEMHsXDB3zPu&#10;I36rcMQOp/X3+fSc3vP9boH7dpj38+EHVfcHnXJa+oA62rmPOOdvcwQ4etxxx4nXV63W6i59lu0+&#10;op6/X1VWquls/vhjLZ127dqLSy7ppP2NdK363RdeeLHilw8yzpdl0R/vmzRJvUclGY0j96fD5XVS&#10;OS11Zza/WbY9L9Zriiqn0a4vaNla+57CfUbpE3mUnDbO9xgy+G513MSsDy6vzWW+x9vKvS6watPH&#10;m7QygK+Xdrosg9N2+9PjSsea9qcls//6wIG5KU457Xa+B/wNnd1x2x2isbLHzumnnyHwO0f6D0dw&#10;Ott9RP35uA8o7xe++847avpLnlmakaaxPy2v/+yTT8Q5++cmmc2NkefhyP3pcJmsj4V8n3ROo55t&#10;2pqvHYN2BH5IXzg5BslpO/cRZR2GDRspair3DeV3Uk9l/T75mTxSnAZPsI87xrflucZjLpwuHjFS&#10;nRfzpXKPU6bznrKuMeYQTpwwUS2jnJd3inJfAXPSrcanr7n6GuV+5N1qWpLNL5W/qM7jy29/kTrv&#10;ReYTFqfhb8z7+2TzJ2Lps0vV93MM+wjmyulHZj2m+uqTTR+r8xbx22Pzps2aT1FnitP4bPmy5er1&#10;87I8S7BCOY/Hp6PF6jRweqOyr5HkldnxsUcfy9C6bON2jlcoc4SNaTZq1NCXeXl2Of3666vV/jDm&#10;5rVu9SdyTjXFacyFwxxbK05jn6h169ZnMNHoL4x7XN71CjWdHldfJ7DegDwH7xs0aCD69btD9Z/k&#10;NOaBY17Kg2XTtHPlNTjOnD5dnQ+yRnmuCX9LTv/pT63V72P9PD58Hganl7+8TJ23vXDBE1odHp75&#10;kDha4Tb6wbI+uXIaPofWBipzPDBu1E2J0c8//1dLD+lacXqd8hwDrp8ze27GNbI88vi9Mr+1UNkT&#10;gMc9osPqNHAa+isuLqnGU8lXrLn32adV85qkVu0ezcZV6nn83LicP22X03Ku9GWdO6ntsXv3a9W6&#10;g9tbPj/wXArFaTvjHnb8A05j/gb8vGD+AWbJazGuLj+XnMZnA/tXsfvmm3pnjBVYzZ/GXj4rlT0m&#10;ZdryGDSnMcaD+uqf79GXBRyVMciV00gHYyjHn3C8+t2HvGTa8khxGmPddsc9kNYo3bOIPD4dPq/T&#10;wmlor+OfLyVZjecvpNZzOQbJafm9YnaUa2I9u+RZrY4rllfNlX37rbe1uXlXd++h1VNy2iw92Dpd&#10;eql2bi4+keeC00gHDMV6EdIuj2+vW6uVVc9pfI5nFo8//njtc6SBuZa9e90iKrd8oaUl+9MXXtQx&#10;45kYmYee03j+iKqrtINn+vuUMh390ep5RMw1wX7vZs85LlPmLmOsolfPvmr5wWmZr9kRn+vzxfuy&#10;qdPVa9q0bV/tM3wOTpulBRvurxr9bExf/o05Nfo1IuR9RGq9PF6HyV+W6zmN573HKvdosI7HuHFy&#10;LQ+zZ17086zNPq+yIQ2khWfPW14Q7PxpqTf9Mdt6TTOU39T68+28N+un4zneoJ9HBKcxx6FR41PU&#10;dnpJx4uV38Q/a/V54olFKi/RXufOnaPaKU6j393x4ovFNos5zHZ88+knn6pjI+++t0Erh/G6DRs+&#10;UM/5/PPPM87B73nY1q9/V/0cYyxmv3m+3b5d/Vw+32hMH2MFMu2NGzdqaSE9sxeec9y5c6d49126&#10;zChTZWVlRnmRL8YLZJp4vshYFoz1yPrgXOkfeY3xiM+NaezZn4f+nqz+HJm+MS38beY//bX69ytf&#10;eVWUjDrwTGI2TuM+jf56u++p9ZYou910k3aentOoG+4Ll7/wgsLrMeRz4yOGF6nzdBA7rNVCPV8+&#10;ccI4sf6tt8T7773ryz4BTmKB/YGo/gbsue7zxvsE+NuPcBJjvsZ9TPCddueA/toYteR0j+5V6xIY&#10;21Ar5T6IE79TPKbsTvJIwjVGTqNOYLX+N4/+fkIu72cq6zBJH/m9Xp7Mx85xyZKl6joTRq3hb4xV&#10;lytr39hJB+esWPGqKfd79+5l2qfu1atXxvm837h7ptiNFZ9n39fo72P96XFjq9Zikpy+ZP8aK8a2&#10;g/E/J/6leEzZneSRhGvSyGnEzWxcWa+9XGKrv06+B4/Nxj6Y0/ZZkUsM+Fzv/TpWGQeVa5tKTkt9&#10;G48Y/3MSA4rHlN1JHkm4Rs/pEcoz/cUjipS1CwuV/SuHamMbiJGT13DlupHKGAnSbNbswPqfUfDb&#10;tm3bLPcsxxo+dstZ65iqdSX12r1WmePLnPaeHXZjwue59/0/V76mzaPOxuknn1xsu73oY0PxmLLr&#10;r03Tez2nn35qsVi96nUx/cHpYsz+8WmsS+rkhXuHGON+9JFHxcv/qBD9+1etBQOWRcm/Zuv8S952&#10;u6K7rbLWr98gYywD13ft0oU5rfxuiVKsuSy5xQP3QofdXaiOUVf10+6upnPZVpz6luIxZXeaT9yv&#10;03Na1iXp49OynjhiDgieSZR6Mx7151Lvm57TrNr17dq0ZU4zp2P/PTV5wnj1XhU4PWjggGo6R3tx&#10;s/4kxWPKTrXBpNv1nP7r/feJGQ+WiXsnTVT60MXkPA5qfofRXjJqhJhWNlVNs72yZoxkYNR8aja3&#10;TpYVx2zlzW9/YA1+/XU87pFb/y2bn/nz4P25VNkTB7+LwenbbyvQ2rBe51jv3WlsKB5Tdqf5xP06&#10;Paer5k+XChzVOdSYR73/VbXvMD1XWp0fouxNLM/HEfGVaZ53/nlajKPoM7Pnv6UWMQfkP//5D6nF&#10;6667UaubvAbH3r17VutT833E4FkTRb3FpUyYp33XoAEqp7t26Wyqc6dzPeADiseUPS5+87qcek7L&#10;tLF2Ihir39eldAw9n1rfj9Zfc+/kiRrbojQvT9bTeLQa/5iu7IdhPF/+XVBwm6l+b7rx+qycxjMx&#10;Mh0+MsOjpgE5P2/o4DsF9uPR90Pk+1yfOdDXkeIxZddfm6b3ek5jn0uMTS9Xnjeu/jyi/hlE6n1m&#10;f/v+e+8Vm5XvY6R5xx0DtRhH1b/ZnoF5sfwfpkydPPk+rW5Suzh263ZZVk7jPKyZ//hjjwvs6Ye1&#10;6uL8wr5fG5TnD/kVLx+8rswfWL5shenr6h49RGdlDYG8vJOq6bxGjYPEnj17TNuFnXZO8Ziy20kz&#10;iefoOY1+sTpuoTzvre8jjyoeZXtenv469MFl/7rFedEe95CxHbh/jyI9b+V7jH8891x5NU3CJs/R&#10;H5s0bWKL0/pr+P2vTX3JfommX7Dfhmw7To4Ujym7kzyScI2e07iHOPmee9S1soqGDNbYjP3CM/lr&#10;vRe5fK787sIhYnTxSFFaMlrk6/aWjbrf8AwsxQWsN2PsP1DrpmJ9U8yj1r+u6EbvMUPlyfZoMorj&#10;8muBuU5u2jPFY8ruJq84X6vntKzHv7/+Wp3vYRyjln3jrMdxE9Q513Nn/02LYRzGp2X99/zwg/Jc&#10;jvlYHNrmFSbzqtGv4HbLPE2bBi7dvx+xbDu5HikeU/Zc00/K+WacRt1mKeuajx0wSBT3HyiKC5Xn&#10;Cu8eIobhqPSt1WcMhw9TjyOHFam24UrfeaTyDOOowUPEqH63iWJlnfEv/nVgTec4cRr1p8YyZDvs&#10;ctnl2ncQzreaLyKvoY4YT6E+YzuzP8oayGUtHDNmUjym7GZppMFmxmmsvzhq+HAxRlkby+mr5Prr&#10;xfKKCo1lceM0Yo/7itQcELAVazBJjWTjulVbw97oeO4W87jj/sI9Vdz/51e8fAD9ggVmL3yG9b/N&#10;NLx+/YH9aWRbyOVI8Ziy55J2ks414/T2b7aKv82YKUpuv0OMVNYTGtGrpxjZ82b1OOrmnmL0TVWv&#10;UTfdrL3HOfI1rHdvMWHgnaL8uec0jsWR04gz/EP1d1u1bq3VD+di7NpMyxjvxhxT6pUkPXFdkje3&#10;0Oo5sJ07dmS0gVzjT/GYsueaflLON+O0rNuix2eLe264Se1Tg8HoW5fceLMo6dlbfQ275S/a+zFX&#10;X631vXGuTEMe48pplN9qHxhwWdaRGvuQn/MxeQxLQ0ypNXCOcLgHkt5nFI8pu/7aNL3PldP6cRDJ&#10;br0N75PGafjIbK0l2Xducd4FYt++feSYNj5Pk6a4rsn6PqJ+T6Jf4jbWFI8pu9v84no9c9pem8J6&#10;TdgXT7LZeOzf/y5Vs2bj2U73Xoyrprjc9jQVBz9h/Nmodfk32OG2DhSPKbvb/OJ6PXPafpvCHA+p&#10;UbMjxvHM1s7DubnsTRdXLXG57WspLr6i9ivyqu9B8Ziyx8VvXpeTOW2/beGeCfa8NmO0tJ1x5tmm&#10;nz/80MOu+x5ex57Tsx/7tPoK+7hLbeuPF7TMvIfu1D8Ujym703zifh1zOre2ivEPal4HdHzUUUea&#10;6hqfxV0rXP7ctJIEf5mN40HLbudNS99QPKbs8rq0HZnTubc9ldVZ+tX6vod8nzZtcX1z11aUfDZh&#10;wiSyz/Hhhxs96XdQPKbsUfJPkGVhTjtrS3iOQ/LX7rG4eIQn2g5SH5yXM30kwW/Yp8VM217Mx5P+&#10;oXhM2eV1aTsyp523wyZND+zNa6ZnM1va9MX1da6vMH23detWU0ZD05hP7VXZKB5Tdq/yjVs6zGnn&#10;7Wj37t05r+thXBckbnrh8jrXS5x8h7WozfoZmOcBZnhVF4rHlN2rfOOWDnPafbvDcyxmmjaz4b5M&#10;3DTC5XWvkbj5kNK0mz22zHxA8Ziym6WRBhtz2n0bzLYPjJHXPJfavc/T0DbDrCP1TJeXfWnUj+Ix&#10;ZQ/TJ2HmzZx2z4yff/6vusYS9XytkdNm61eHqQHO270GkuRD9JmNmsXfZ5x5lue/BSkeU/Yk+TmX&#10;ujCnvWujufSrc4kRn+tdjNiX1r7U88DI6oqKZcxp5TdAGBrSx8WYv9l6efo1l9KyDpPRL1Z/o89h&#10;1LfZ316P81mViT8Lp23F0e/U2njQ8IYNH3jOKKrfTNnj6FMvysyc9rYNY71/O+MfDRs28lzzXuiB&#10;0/BWD3Hy5xdffEH2MbBewv/8z/94rlmKx5Q9Tv70sqzMae/bpd1nYF57bZXnuvdSG5yW99qIsk+p&#10;cWn0pcEJP8pO8Ziy+1GGOKTJnPanLV533Y1k30SOg5SWjvFF+3HQHZfRH9258WteXl1Tzfo5Rkfx&#10;mLK7qV+cr2VO+9Ne8AyM1XpNzGp//B7nthhm2alx6dp16vjal6B4TNnD9FGYeTOn/eMF9v/EWgiS&#10;ydQxzPhz3v7FPy6+1TPAqFHsOednPSgeU3Y/yxLltPUxMpaT53u4b8NgNbU2pGwT+e0v9LUtGOPK&#10;f7uPa1J8+J///MdyTXU/5njofUfxmLLrr03Te+a0/222cOiwrH1qrHuTJt1xXf3XnR0f41627C8Y&#10;j1hnzE4abs6heEzZ3eQV52uZ0/63F6xXnW38Y/q0Gb63iTjrlMvuj05btW5Dchrzlvz2O8Vjyu53&#10;eaKaPnPaH/0b4/3RRx+TeyfKfszCBX/3vV0Yy8V/BxP/KPoZz8/WqHGQKafB7yDKTPGYsgdRpijm&#10;wZwOtp3Wr9/AtF1IVkdRI1ymYDUShL+xFpjUnNnR73FpWUeKx5RdXpe2I3M62DY4c+Ysy+cVzzqr&#10;SSD9mLTpnOubqfPx4yeQnG6X30FgbbEgfEbxmLIHUaYo5sGcztRvEDEqLi4h2wj6Nhvefz+QNhJE&#10;XTmP4PWVzecLF/6d1F8Q9w715aN4TNn116bpPXM6nHaE9RLMfm9KW5o0yHUNVoNW80TBgyDjQfGY&#10;sgdZtijlxZwOto3I2D/+2GzyHg5Y3bJV60DbiywXH8PRQ1B+b3pOM7J/EMaecBSPKXtQfopaPszp&#10;8NpltvWqN2/azKwOab3fqLVTL8ozcdL9JKPRNwhjDj/FY8ruhR/imAZzOjxOQy+du3Ql206Ng3/D&#10;nGZOe6YBq7lGV1zZ3bN8cuEgxWPKnkvaSTqXOR0up6GlZn9sQbJ69KjiUNpPkjSe9rrs3LFDWD3P&#10;gvXw9u3bF4rOKB5T9rTGkjkdPqcr/rGM5DR+j55+xpmhtKG0tokk1Rv8PbF2bVJfGK8Os74Ujyl7&#10;mGUNM2/mdPicRvyt+jt4Zoz3KI9GnMJsq07ytlq/A32AsPeqoHhM2Z34IAnXYD474oXXE/PnZ3y3&#10;8np5wbIBvz8xJi3joT9iLlUS9MZ1CE5T+G4/4YQTTPUEbWHNaT/20solxhSPKXsuaSftXMkD5nRw&#10;bYjSUNt27cl2hThR17E9/NhFKQZ47lu2a7Ojn3u05OIHiseUPZe0k3aujCNzOvy2vmrV66LBySeT&#10;bQx7IyVNf1wf73VntZdym7b5kdEQxWPKnmatMKe9bydu9WT1zFir1vwMjFv/JvX6PXv2WO5LgfV1&#10;N278iDkdw/mezOnocbqg4DayT414hTXfNal8S0K9MLcj256cWFsmSnWl+s2UPUplD7IsP/64V+NB&#10;UOMe2OsnyDrGMS/ExfIZGGUOSFHRSPZjDPtFfulx0KChWluWfS/9sWTM+MjpheIxZffLd1FMF/Pe&#10;0R8zfvcGxWloB/sYDxxwZ+R0E7V4ZVtbD79jo1ZmLk/wv8+o/cIlp4NeB8+uBigeU3a76cb9PLT7&#10;I4k9sIPktNQPeB3E/j5xjpvV2jnwI4+BBM/FKOkpG6PRH8Peb1EqsywLxWPKLq9L6rG8vEKcceZZ&#10;2u+io486SpzX6lTRoUs9ccnVh4lDD60p5s5+TPz0014tnl7Nn/5+924xelSJOO30k9W82l50ijir&#10;SWOtLLJ/vWrVai3vpMbBSb0qv6y03BMaz8HwGEj6WI3x6Asv6pjRjmT/Rx5bnHdBaM+E29E6xWPK&#10;bifNOJ6D79Hmzc/PiOUtt3cW05fWzHjJuOLY9bLOYsL4UnF/6Tgx4fobxJjuV4kRvXqqR7yXLzMb&#10;Piu64Qbx1OL5orBwkKhXr56Wd/drLsnIc+KsFqJt2wu0z5E3+oa4Zx1HX/td5mz9Jh4DSQ+r0UaM&#10;45b6Noz30APGOP3WpZv0KR5Tdjd5RfXaXj37ilN069HXVebeDh/XI4OVkteTH28m+g/uLsBSGe/6&#10;deuKsT165MzpNqedpqWBPJHmqMmXm+Y79anfqfnKPHGsWfMQEcZauFGNo75cV17VQ/Ot3mfyPdZE&#10;05/P75PJbqt5m/h9hf5OlObfUTqkeEzZqXTiZMczSIsWLRYdL67+W6hrj9PE1Cd+b8pKyWp5fPDp&#10;o8V9c04X9X5/khjlgNMt//AH0ePai8Vfn6hrKz/kO2j0Keq4iOSNPGIft4qKZWLXru+YP/vnNmTr&#10;V/P86mSyGSzCehz/y965B8lRnVf8/pEgCQnQE6Hn6oVW0j6l1a60eiNp9X4g9Bal1ROcGIKNHccB&#10;JBMBEraMwBEIgzG2wbhwjPErsQjlyIRKuVIEZIr8Z+yqkCImBVWU41DoD0RV0qfFHfUdzdmZvXN3&#10;Z7vnqGqqZz5td98+36/P3Pn69u2u7mHBeZOm6xXMj1k8TX6cbCu+MzFuomVWS8F+1qc/u908/P22&#10;kv3SejWW8xfXm3Url5tbd99oDt98U67eweoed+/dYz7/Z3sMat8PPLnRa59YD3Vs69N2efmAAWZW&#10;S6vBddBKzGee1LwvvC/23C7odib6fusLbVUbwnxvFLsXHDnva/exFMs982MWL7a9Sv0/6ku/++3v&#10;zOuvv2Fwne306X+Mrx20zG41NTXjL/EzeOTCJdNN5y3DzYmnp3l5pfXqB56aYNbuGGxa59SZ+rpp&#10;Zt+a1eazW7eYL27fZg7vutHcvrvT/PWunebWrTeYjjltsT/D228/UlPWfk/9ZIS55+EGs2LDuEuu&#10;N4LF/v0uM0OHDTUYB7Fh46ZYE/QzoBHmnqkGHy92bRE6od+F31eVYlf7DePPqEWjL9ZVrQP5xpyL&#10;fb0enc8E82MWz1+/Nz/jWh/GpiEXmB9l8eLrzMSoNgztS3mhBnzL7ZvNQ08vp/74t8+2xX3cYn1r&#10;/P/Rk1vNF++O/PdzW+PaMurLzc318ZgQ1p7x48aarVvXxn+/76ZN8fqHj+2M94katPX+Qkvss1j/&#10;G/XtZO2ctSMZx3UWjBvdvXtv3A+Hxr2Z197YF5hJHnOh9xjn0xtt0T7C+HJSR3wfo49cKK/JGFiv&#10;1Fz/yfZ29z3zYxbv7va7+/f4ToRP4Hc7fAP+gVexWlMyF8n38Kw779vZpTcfvn9HQW9bsWqBsx78&#10;/TN/tdXA75P7CPl+287V5t4Hdzo1mDvu2XrJ/tCGP/+LLU778r0d3yOo50ytnXTJ+qW22Xo4vhfv&#10;vONwqsdwdzV3tdUDx9tdZvX34X23u5omx9LaXOYvcb0Cfb3ubrsv/D3zYxbviTa/9dZ/mrXrNsRj&#10;X3ENNl/f/M+oWaA2O7ttelwbXrGhNh5vjBrGlx6sM8efaDYP/2Ca+fpPhxTsn554qsHcdqjGLFo2&#10;PfZc1D9Qt/jLeyabIyfr4m3gva0nYF94YSzz8jW1ca3krq9MNV/9ZmO8n+5cB0x6Ka5Dop0PfvdC&#10;m7HNG3aPjY/J7hNLjN/G2G38/9FTDfES7V+xfnLcpvrGKWbNllFx/JHnRxU8ZlwbxTXPex+eEf8d&#10;trd682izfO0FDe3+Bg0aWFR/fGfivDh0KF3PusI95rh2VOx3MY7vhRdeNJhzvCd41zbD+frfHDla&#10;NJ/wj+NffSjVuWR+zOKhGcP32zjyvBv0hTEG7q57d8W/9/Gb/7GfXVnQh5L+x96jP7xm/aKcD932&#10;hU3e22L7qEQc46s3brwwH/PEiePjMYXF6jZdtdPWV1BDQV0H9Rm7/fzvTFynC81ET28vZi66vzP/&#10;WPI/4zlMPd0Wbd/Ps5HDrp43a3OJWsjp0y+mPo/Mj1k8NFfJOYTxW/7Q/VtMsTptVx5T6P+OnNjk&#10;3CdSztiOQtvvKzF8jyXvX7zpluu7rIv4tBvjx6GfPQ+wfPTUo6k7DzB/NeogpdTTnn3271J3fKHP&#10;0760vWe++72S8obf6Gmtc+TrzfyYxfPXL+fzL3/5z/H5PvDyy+Pf4uX0leE5qCF8+fELNQ3UAVAv&#10;gPdjiboGaiIP/6C8MRY+3tab66DW88C3m+IazrK1k2LfnlE/Ja5vQIO7jtca1H1KHSPO2o712xdN&#10;yfl1ORxUcl30tYrVQfBddOTI3eaVV16VX38yNr0SOTsTjZ8s5XsVf4PrW5VoY0/tk/kxi4dsB+6l&#10;s/0y/K6+/1The/GYVzz09OL4d/mNezbktmO3h5rJfV+79L5vtq0sx/H9lX8PJXRCTRpxXG/s7m8Y&#10;XOvEdQKrd0guentbx4+fyB2HPZ5CS5z/ZzTWuiL+V2ye8WS++sqzskJyzPyYxUPu215/h19YnTHe&#10;ATVR/IZPvhDD6+ZPby5YK4XP4/f4/Y9ko+bcU98b8GzoeODmG6IxjZfWaPH9ZrWGfydzgO9RjEG0&#10;411aZrtzRIVko7e39fLL/2IWLlqS49DyWGiJ/ndvt69a9/fzn7/Q5dxaNj8Yf9CxYpU5efJUJq//&#10;Mj9m8ZC8oH4EnTH2AP6BugTGOyxdWR+PecC9IPaFcQkY17Fmy7Dc2AeMzYh/w/9kRCauB/aUN9Pt&#10;/v2gWHeMW8FYEoxxWbfzqlhnaL142UX9bR461k+Nx7vg/ppTP7rG8bWQbFRqW6WMs7begPvOdX+M&#10;33XAYvnF/VjHjh11+LK6F1pmrc6Rrw/zYxbPX7+cz0mfpl6SN1+d/s6dv6/SeiTPmXJY6Evrllqz&#10;tsfePm+B+tcB69YYZ2O1LbbEeI6sezTODebHLB7yfJJP9y3P9fH85HkUko1Kb+v999+P77PC8xmS&#10;x8jeo3YNnjG3RKXbnsb9nz37esnjb5ADPMPjpps+lcp7C33yw/yYxX32wdaRT8unGRt9Kd7V8xeZ&#10;b1dDHy9EjnDNrzv9Z+iNdbIy3q5UDZkfs3ip2y3l7+TT8ulSOKn033wQPWcH3lDKmLCkb2O+A1zX&#10;qnT7++L+z772a9PY1FzSb5Wkprh+0BePp6fbxPyYxUO2Rz6dbp9+5PnRufMM44tDstEXt4U5BsFs&#10;qbUQ6y+4bw7PLcD4a9RT+uKx9XSbPv74Y4Paxg9/+KNu64fvR8xRUA3zO7I8MD9mcbYdn7h95gbG&#10;d/jURrVOZX0eYz6sF/nkP83roH9tj707y7iOHc0HhHGAaT7+UtuO7zbMqcKeCd2VdtCqGmschbRl&#10;fszihbbhG3vjjX+PWcf9El3NNSo/rqwfM/0xds+eZ74MpHk9jAvB7/Bizzm3GiWXGO+LuVEw5jfN&#10;GrC24x62CdG9wMljLuU9dIGe8Gfc28+2X21x5scsHlqfNVHfAvmDV+O8/8zhmgtjoqOxucwfFK+M&#10;b+Ne8aOP1sfjpxctbzB2br2TJ79e9efTM9FcvN2thxTyrccf+0b8zKg0PaMYY51Pnnyk256cf/y4&#10;nvj883peQyGPZX7M4oW2UU4M120Z33Yu5nLnopCv+/s67kfsas5tza1/8T4PsIw5jkuZrz7fo/I/&#10;o06A52Cgv45rbuWcY6HXRS0D41nQvvx2+35O07MKQ+tZyvaYH7N4Kdvs7t+cO3fOvPjiL3JzUOfn&#10;etDAgaahsTa+N3Hlxkm5+xHtPNOPR/fVyYv9vBj3FJ54qi5+fhfuR1y7bVh8P+jcBfVmxIhhBc9D&#10;eDN+157RXBcF/RPPC3n1314zmGevlOcz5vNe6DPuVcf1SMy1AO3/6Rdn4n43aod43hyusZV7nQ3P&#10;osI2MAYcL/ST8fy6LVu3m3nzF8ZzjvvUmdnx4Diee+7HqXsGVnf9LcTfMz9m8RD7LLYN9EvwO7LY&#10;86Jt/ocMHmJ2RfNSYH4PzJmsWjf37OOPX3jWF7RKzqtitSy0RP8QfSeNCb7Ydy7GcPL/8Vsez4kp&#10;pG1PxVBDsM9C6mrZ2+3CvZtZmA86md/eeM/8mMV7o035+0Be8Qyu7jK1cPGceL4h+5yBavJv1Cvs&#10;8xt379vYbY/AuY3fok888a2Cfcb8HOlzcQ9H/aLUvkdP+Xeltoux0uh7iZPinBTSiPkxixfaRm/G&#10;zp8/Hz8rG7/3XnrpZdPZuS+ul8yZ0x7XuUu5F8E+Y2rugrq4ltKxflp8DRPzQeGF3/+Yl8g+w+uh&#10;75U/X7NPXQZzU2EuafusLLRp720j4jZiLmlcd7XPzcLzAXBcw4ddnGuUnZNXXDEo1grX1THeAL9t&#10;z0Q1DIxvRe2xN/NZjfsCw9D6Zz/9h7iOMXr0xXHoLGdpiuN6E+ok+/cfNDhPy63HVCMj+cfM/JjF&#10;89fvi5/R/8Z3N+asxe919A1L8e9SzgU8ExZzfybn/7z/1OZ4/s/uejH6vF/68q54HlE7P/SGDR3d&#10;7vt21W78BrHXo6CJzhm//kxPc47vR1wz7O5vxq5y35v/h3bj91e1jAvvaR7yt8/8mMXz10/T59/8&#10;5s14TCb8Ci/UW/EMbcznYvvluN8M8xCjr4lrQGwsSinnAPq38PMt21Z7ey/Gk6IN9Q2NcZvQLrQR&#10;L7QZbcdxHDv2lfiYcFwYd/rOO/+tfnHAOdx6k3Ncz0MeLZtLl3XE1/DAAXgohb2e+BtcywSHYA/3&#10;qNnnz4u1nv/uZ37M4r3Ja1/aFzwe5w7ma8AYfPQd0E9P9n+2tTaaSWPGmOvntRu8XzplnJk1crC5&#10;Zsgws7J9ntnZPsvsmDsz/j/8vz2XsA1sC9vFC76Lfb355m/ltSn12p5iF2NJwAb63qh1g5tSnhtm&#10;WStlaa9BYv4p7EfX/Xreh4vxwvyYxYttr9r+H+eMZf9g42RTX1Nj9s5vN3hvX83jxpgd1y3LfbZx&#10;u57mwqz8eZAFbnGdEjziZb/zS1niWrFdLws6ZPEYmB+zeBY1KOeY5NPy2HL40bripxQGmB+zeCnb&#10;rKa/kU/rPKsm3nWsleGd+TGLK09unuTTrh7iQ3qIgfAMMD9mceXAzYF82tVDfEgPMRCeAebHLK4c&#10;uDmQT7t6iA/pIQbCM8D8mMWVAzcH8mlXD/EhPcRAeAaYH7O4cuDmQD7t6iE+pIcYCM8A82MWVw7c&#10;HMinXT3Eh/QQA+EZYH7M4sqBmwP5tKuH+JAeYiA8A8yPWVw5cHMgn3b1EB/SQwyEZ4D5MYsrB24O&#10;5NOuHuJDeoiB8AwwP2Zx5cDNgXza1UN8SA8xEJ4B5scsrhy4OZBPu3qID+khBsIzwPyYxZUDNwfy&#10;aVcP8SE9xEB4Bpgfs7hy4OZAPu3qIT6khxgIzwDzYxZXDtwcyKddPcSH9BAD4RlgfsziyoGbA/m0&#10;q4f4kB5iIDwDzI9ZXDlwcyCfdvUQH9JDDIRngPkxiysHbg7k064e4kN6iIHwDDA/ZnHlwM2BfNrV&#10;Q3xIDzEQngHmxyyuHLg5kE+7eogP6SEGwjPA/JjFlQM3B/JpVw/xIT3EQHgGmB+zuHLg5kA+7eoh&#10;PqSHGAjPAPNjFlcO3BzIp109xIf0EAPhGWB+zOLKgZsD+bSrh/iQHmIgPAPMj1lcOXBzIJ929RAf&#10;0kMMhGeA+TGLKwduDuTTrh7iQ3qIgfAMMD9mceXAzYF82tVDfEgPMRCeAebHLK4cuDmQT7t6iA/p&#10;IQbCM8D8mMWVAzcH8mlXD/EhPcRAeAaYH7O4cuDmQD7t6iE+pIcYCM8A82MWVw7cHMinXT3Eh/QQ&#10;A+EZYH7M4sqBmwP5tKuH+JAeYiA8A8yPWVw5cHMgn3b1EB/SQwyEZ4D5MYsrB24O5NOuHuJDeoiB&#10;8AwwP2Zx5cDNgXza1UN8SA8xEJ4B5scsrhy4OZBPu3qID+khBsIzwPyYxZUDNwfyaVcP8SE9xEB4&#10;Bpgfs7hy4OZAPu3qIT6khxgIzwDzYxZXDtwcyKddPcSH9BAD4RlgfsziyoGbA/m0q4f4kB5iIDwD&#10;zI9ZXDlwcyCfdvUQH9JDDIRngPkxiysHbg7k064e4kN6iIHwDDA/ZnHlwM2BfNrVQ3xIDzEQngHm&#10;xyyuHLg5kE+7eogP6SEGwjPA/JjFlQM3B/JpVw/xIT3EQHgGmB+zuHLg5kA+7eohPqSHGAjPAPNj&#10;FlcO3BzIp109xIf0EAPhGWB+zOLKgZsD+bSrh/iQHmIgPAPMj1lcOXBzIJ929RAf0kMMhGeA+TGL&#10;KwduDuTTrh7iQ3qIgfAMMD9mceXAzYF82tVDfEgPMRCeAebHLK4cuDmQT7t6iA/pIQbCM8D8mMWV&#10;AzcH8mlXD/EhPcRAeAaYH7O4cuDmQD7t6iE+pIcYCM8A82MWVw7cHMinXT3Eh/QQA+EZYH7M4sqB&#10;mwP5tKuH+JAeYiA8A8yPWVw5cHMgn3b1EB/SQwyEZ4D5MYsrB24O5NOuHuJDeoiB8AwwP2Zx5cDN&#10;gXza1UN8SA8xEJ4B5scsrhy4OZBPu3qID+khBsIzwPyYxZUDNwfyaVcP8SE9xEB4Bpgfs7hy4OZA&#10;Pu3qIT6khxgIzwDzYxZXDtwcyKddPcSH9BAD4RlgfsziyoGbA/m0q4f4kB5iIDwDzI9ZXDlwcyCf&#10;dvUQH9JDDIRngPkxiysHbg7k064e4kN6iIHwDDA/ZnHlwM2BfNrVQ3xIDzEQngHmxyyuHLg5kE+7&#10;eogP6SEGwjPA/JjFlQM3B/JpVw/xIT3EQHgGmB+zuHLg5kA+7eohPqSHGAjPAPNjFlcO3BzIp109&#10;xIf0EAPhGWB+zOLKgZsD+bSrh/iQHmIgPAPMj1lcOXBzIJ929RAf0kMMhGeA+TGLKwduDuTTrh7i&#10;Q3qIgfAMMD9mceXAzYF82tVDfEgPMRCeAebHLK4cuDmQT7t6iA/pIQbCM8D8mMWVAzcH8mlXD/Eh&#10;PcRAeAaYH7O4cuDmQD7t6iE+pIcYCM8A82MWVw7cHMinXT3Eh/QQA+EZYH7M4sqBmwP5tKuH+JAe&#10;YiA8A8yPWVw5uJiDTTdsMdNn1Jl+/f4kfh1snGzqa2rM3vntBu/tq3ncGLPjumW5zzZu17t26lSz&#10;eMlSs33HLiN9L+orLaSFGLjAAPNjFq9G3c6efd1859vfyfmx9df8pa9P52/Hfl68ZIl58ptPmnff&#10;fVf+/X/yrGo893TM8uliDNx6623myquuLOrP1ldD+7TdLpaNTc3m5MlT8mv5tRioQgZYv5nFi3lb&#10;mv//ww8/NM8992OzavVax5/797vMTBg7Lq5ptI652mxomm52zpll9rXUxTUO66e+Pr2/tcHsb6k3&#10;u6NtXt883cwaOdigVjIx2qfdtl3ie6NjxSqDPv758+d1zlbhOZvmc0xt9/tdyPyYxbOq8/HjJy7x&#10;xEGDBpo1ixabA7PrL6kt2xozatHWQ719OvJou71Cy/ULFhp8V9j9JJdHjtwnr5ZXi4GMM8D8mMWz&#10;6NOf/9wXTP/+/RwfXNI+z+xva+rSP+GpveHT1rtxLXLokCFOO9HuM2de0nma8fM0i+edjqn0vjXz&#10;YxbPkrbPfv85M3r06JzvTR4/3iyfFo3TmDmtqD9b7+xNn4732Vwb111QF7nyiitybZ8zd5555/fv&#10;yK/l12IggwwwP2bxrPg06gW2fjBk8FWXjKWzPlxsmfRpvJ9eM8HcmDcGr9i4PNSmi+2n0P/vmTPT&#10;DBo4MHccOJ5f/epfdZ5m8DzNynmn4yi9D53UivkxiyfXTev7pEfD23a0t3r5JLwz6dPW97FM+mpP&#10;+TT2caCt0YwZeY3j1WnNi9rtdw5Lt+zrxvyYxdPOBMZzWD8dOXSY2TN3puOpSX8t5X2lfRpt7Izq&#10;NFOj+2vsceHem48++kj9avWrxUBGGGB+zOJp9+nk/YPlenS+jyc9O/l/TePGmRvyaiH4f+urvnWP&#10;5D7wfkHbnNw2165dr3M0I+do2s85tb/8/j7zYxZPs+bJsXeb5/rXOvL90X7O9+ndLTNM4/gac/mA&#10;ATn/HDl8uJkxcUI8Fju0T+P654ihQ3P7Uq26/PMjzbyr7dnJP/NjFk9z7idOnBR7WNOMGWXVOqwv&#10;5y+TPo0xdNaHiy1D9afRHnwv2P0dO3ZUfWr1qcVABhhgfsziafXpDz74IOdf1xeoQeR7rs/npE9b&#10;r8Ry1ezW+Hof/n/H0qVm9aJFpqWhPteekD6Na5bJfac1X2p3dvqCymX5uWR+zOJp1fzsa7/O+deC&#10;lpYe70/DK6eNHR3fC36w6eLceY7/N081+1obzcHma4O1pz4aAy6fLv+8SCvnanc2c8/8mMXTykHS&#10;p+FjnQsXBfNGx3uj2kOlPh+I6tNDh7r3K6Y1X2p3Nv1GefXLK/NjFk+rzsm6B3x68qRJQfuxlfLm&#10;5H63LV3mXLPEcaY1X2q33/ks3bKpG/NjFk8zB/PmL4xrAldHYy6GDxtmFteVfn940g/72vv9M2tz&#10;1w8bptbm6h6PP/YN+XQGriGl+ZxT28N8bzA/ZvE0656sfXQsWGAwH97yaBmyPlwJD2+I7lVH33l9&#10;9EyY5P0u7733nnxaPi0GMsAA82MWT7NPo+3LO1bm+psd0Zx48Lf506dXrKZclq9H9ei1i5dEx/Cn&#10;0TiSZfG8Ijie/v0vMxgrnvZcqf1h+mLSMf06Mj9m8bTn/L/e/n3Op3Hf+Kbo2VZjh48wk6NxxzNH&#10;jzSd0dz/ZXlnL1xH3NvWbJbVTjCjo3bXRn3pdU11uboHfHrtug3y6Az0odJ+rqn94b4fmB+zeBa0&#10;v2QeJoxrjsZU27mdr4v62Z3R8wH6ml9jzqVZtdNy3zNb2+cYjPHAHH3wZ/vKQo50DOHOcWmZfi2Z&#10;H7N4VnL+1n+8ZZqaZ8bedkVUp8YcHFvntJh1DdPivum1kfddHV1rxH0jK6dNMJhDtLfr2Hui5xSs&#10;mjEpatsYg2ufmH+1Ycwos6O1Ob5vZvn0qWbU1SPiY0CtA/3oP/7xf9WXVl9aDGSMAebHLJ4Vn8Zx&#10;YE65ltltuX4o+qPom6Lfir70nrmzP6n/Xuyr1kXjKbZEfe+4vx3w/hTsD/crbomuBSbvVUSblrW2&#10;mf3tsy/076P+M+Z0sn1nu8QzabKUGx1L+vuAymG4HDI/ZvEsag+PGzCgv+N9uLc7vlcw8k8sURfp&#10;+GRcn/XG/v36mYkTJpjl7Qti78TzAfZG40dQi2A1E9wjDj/eE91nA7/Hfibk3UOI7WMOkm2RZ9vv&#10;DGwP9+Ykx3Pg79DuM2dekkdnrP+UxfNMx+Tv28yPWTyrWuOZVdt37DKY9xQ1BHjgwIGXx3PbtdWM&#10;MjfOnWVw/e7AzOnxsjOat3pD47T42eBN0bO7UDepj+aAxgteOmVcTfS88PHxc8rxrHK8EKuNrlfa&#10;v8M6TVEdo230ULN5dkO0j5lmH/ry6KdHr87o+ePrGqaahnFjc/UN+x2Bdh46dMS8/fbb8mh5tBjI&#10;OAPMj1k8qz6dPK5nnnnWjI081Hpicol6MOoO6DuHnD/J1j22X3dp3SO5f7TriSe+pfMy4+dlkke9&#10;9++HZkU75scsnpXjLuU47rzjsLkqunaX9Mn896NGXWPWR2OYUReJ6x5RTQN1DVb3ONAS9cc/+Ztd&#10;UV0Dnr+wrbXLfWCfjU3NBt8fpbRbf6PzWgxkiwHmxyxejfn/nz/8wbzyyqums3Of6VixKq6N5Nez&#10;8/3b9zO2i5oG9nPknmPxfs+dOyd/Vv9ZDFQxA8yPWbwafZod8+nTLxpcgzx48FPxuJFife987548&#10;eUq8HtbH/YO4r53tS/Fs9Y+UT+WzOwwwP2bx7my7Wv8W4/0wtwZ7VasuOm55kxjwY4D5MYtLZz+d&#10;pZt0EwNiwJcB5scs7rsfrSdGxYAYEAN+DDA/ZnHp7KezdJNuYkAM+DLA/JjFffej9cSoGBADYsCP&#10;AebHLC6d/XSWbtJNDIgBXwaYH7O47360nhgVA2JADPgxwPyYxaWzn87STbqJATHgywDzYxb33Y/W&#10;E6NiQAyIAT8GmB+zuHT201m6STcxIAZ8GWB+zOK++9F6YlQMiAEx4McA82MWl85+Oks36SYGxIAv&#10;A8yPWdx3P1pPjIoBMSAG/Bhgfszi0tlPZ+km3cSAGPBlgPkxi/vuR+uJUTEgBsSAHwPMj1lcOvvp&#10;LN2kmxgQA74MMD9mcd/9aD0xKgbEgBjwY4D5MYtLZz+dpZt0EwNiwJcB5scs7rsfrSdGxYAYEAN+&#10;DDA/ZnHp7KezdJNuYkAM+DLA/JjFffej9cSoGBADYsCPAebHLC6d/XSWbtJNDIgBXwaYH7O47360&#10;nhgVA2JADPgxwPyYxaWzn87STbqJATHgywDzYxb33Y/WE6NiQAyIAT8GmB+zuHT201m6STcxIAZ8&#10;GWB+zOK++9F6YlQMiAEx4McA82MWl85+Oks36SYGxIAvA8yPWdx3P1pPjIoBMSAG/Bhgfszi0tlP&#10;Z+km3cSAGPBlgPkxi/vuR+uJUTEgBsSAHwPMj1lcOvvpLN2kmxgQA74MMD9mcd/9aD0xKgbEgBjw&#10;Y4D5MYtLZz+dpZt0EwNiwJcB5scs7rsfrSdGxYAYEAN+DDA/tnEtJxtpIA3EgBjoCwzkf8/1hTap&#10;DTo3xIAYEAMXGcj3aX32+30i3aSbGBADYkAMiAExIAbEgBgQA2JADIgBMSAGxIAYEANiQAyIATEg&#10;BsRA1hi40hgzPHrh3+Dohff/DwAA//8DAFBLAwQUAAYACAAAACEANwfmMN0AAAAGAQAADwAAAGRy&#10;cy9kb3ducmV2LnhtbEyPwU7DMBBE70j8g7VI3FrHDRQU4lRVBZwqJFokxM2Nt0nUeB3FbpL+PdsT&#10;HGdnNPM2X02uFQP2ofGkQc0TEEiltw1VGr72b7NnECEasqb1hBouGGBV3N7kJrN+pE8cdrESXEIh&#10;MxrqGLtMylDW6EyY+w6JvaPvnYks+0ra3oxc7lq5SJKldKYhXqhNh5say9Pu7DS8j2Zcp+p12J6O&#10;m8vP/vHje6tQ6/u7af0CIuIU/8JwxWd0KJjp4M9kg2g1zFIOXs+CzcVS8WMHDenDkwJZ5PI/fvEL&#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LyAceh3AwAAAQgAAA4A&#10;AAAAAAAAAAAAAAAAPAIAAGRycy9lMm9Eb2MueG1sUEsBAi0AFAAGAAgAAAAhANwj3t84WgAAoOwJ&#10;ABQAAAAAAAAAAAAAAAAA3wUAAGRycy9tZWRpYS9pbWFnZTEuZW1mUEsBAi0AFAAGAAgAAAAhADcH&#10;5jDdAAAABgEAAA8AAAAAAAAAAAAAAAAASWAAAGRycy9kb3ducmV2LnhtbFBLAQItABQABgAIAAAA&#10;IQCOIglCugAAACEBAAAZAAAAAAAAAAAAAAAAAFNhAABkcnMvX3JlbHMvZTJvRG9jLnhtbC5yZWxz&#10;UEsFBgAAAAAGAAYAfAEAAER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10" o:spid="_x0000_s1045"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5" o:title=""/>
                      </v:shape>
                      <v:shape id="Text Box 38" o:spid="_x0000_s1046"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14:paraId="039A84D6"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v:textbox>
                      </v:shape>
                      <w10:wrap type="square"/>
                    </v:group>
                  </w:pict>
                </mc:Fallback>
              </mc:AlternateContent>
            </w:r>
          </w:p>
          <w:p w14:paraId="78720861" w14:textId="77777777" w:rsidR="002E5800" w:rsidRPr="008F328C" w:rsidRDefault="000E0B7C">
            <w:pPr>
              <w:pStyle w:val="a3"/>
              <w:numPr>
                <w:ilvl w:val="0"/>
                <w:numId w:val="22"/>
              </w:numPr>
              <w:ind w:leftChars="100" w:left="580"/>
              <w:rPr>
                <w:b/>
                <w:lang w:val="pl-PL"/>
              </w:rPr>
            </w:pPr>
            <w:r w:rsidRPr="008F328C">
              <w:rPr>
                <w:rFonts w:eastAsia="Times New Roman"/>
                <w:b/>
                <w:bCs/>
                <w:lang w:val="pl-PL"/>
              </w:rPr>
              <w:t>Sprawdzić ampułko-strzykawkę</w:t>
            </w:r>
          </w:p>
          <w:p w14:paraId="49B8581D" w14:textId="77777777" w:rsidR="002E5800" w:rsidRPr="008F328C" w:rsidRDefault="002E5800">
            <w:pPr>
              <w:pStyle w:val="a3"/>
              <w:numPr>
                <w:ilvl w:val="0"/>
                <w:numId w:val="0"/>
              </w:numPr>
              <w:ind w:left="580"/>
              <w:rPr>
                <w:lang w:val="pl-PL"/>
              </w:rPr>
            </w:pPr>
          </w:p>
          <w:p w14:paraId="40193983" w14:textId="77777777" w:rsidR="002E5800" w:rsidRPr="008F328C" w:rsidRDefault="000E0B7C">
            <w:pPr>
              <w:pStyle w:val="a3"/>
              <w:ind w:left="3577" w:hanging="337"/>
              <w:rPr>
                <w:lang w:val="pl-PL" w:eastAsia="ko-KR"/>
              </w:rPr>
            </w:pPr>
            <w:r w:rsidRPr="008F328C">
              <w:rPr>
                <w:rFonts w:eastAsia="Times New Roman"/>
                <w:b/>
                <w:bCs/>
                <w:lang w:val="pl-PL" w:eastAsia="ko-KR"/>
              </w:rPr>
              <w:t>a</w:t>
            </w:r>
            <w:r w:rsidRPr="008F328C">
              <w:rPr>
                <w:rFonts w:eastAsia="Times New Roman"/>
                <w:lang w:val="pl-PL" w:eastAsia="ko-KR"/>
              </w:rPr>
              <w:t xml:space="preserve">. Upewnić się, że zawiera ona odpowiedni lek (Yuflyma) i dawkę. </w:t>
            </w:r>
          </w:p>
          <w:p w14:paraId="22C01C6D" w14:textId="77777777" w:rsidR="002E5800" w:rsidRPr="008F328C" w:rsidRDefault="000E0B7C" w:rsidP="00F2584C">
            <w:pPr>
              <w:pStyle w:val="a3"/>
              <w:ind w:left="3490" w:hanging="250"/>
              <w:rPr>
                <w:lang w:val="pl-PL" w:eastAsia="ko-KR"/>
              </w:rPr>
            </w:pPr>
            <w:r w:rsidRPr="008F328C">
              <w:rPr>
                <w:rFonts w:eastAsia="Times New Roman"/>
                <w:b/>
                <w:bCs/>
                <w:lang w:val="pl-PL" w:eastAsia="ko-KR"/>
              </w:rPr>
              <w:t>b</w:t>
            </w:r>
            <w:r w:rsidRPr="008F328C">
              <w:rPr>
                <w:rFonts w:eastAsia="Times New Roman"/>
                <w:lang w:val="pl-PL" w:eastAsia="ko-KR"/>
              </w:rPr>
              <w:t xml:space="preserve">. Obejrzeć ampułko-strzykawkę i upewnić się, że nie jest pęknięta lub uszkodzona. </w:t>
            </w:r>
          </w:p>
          <w:p w14:paraId="3F0F402A" w14:textId="77777777" w:rsidR="002E5800" w:rsidRPr="008F328C" w:rsidRDefault="000E0B7C">
            <w:pPr>
              <w:pStyle w:val="a3"/>
              <w:ind w:left="3577" w:hanging="337"/>
              <w:rPr>
                <w:lang w:val="pl-PL" w:eastAsia="ko-KR"/>
              </w:rPr>
            </w:pPr>
            <w:r w:rsidRPr="008F328C">
              <w:rPr>
                <w:rFonts w:eastAsia="Times New Roman"/>
                <w:noProof/>
                <w:sz w:val="20"/>
                <w:szCs w:val="20"/>
                <w:lang w:eastAsia="ko-KR"/>
              </w:rPr>
              <mc:AlternateContent>
                <mc:Choice Requires="wps">
                  <w:drawing>
                    <wp:anchor distT="0" distB="0" distL="114300" distR="114300" simplePos="0" relativeHeight="251658272" behindDoc="0" locked="0" layoutInCell="1" allowOverlap="1" wp14:anchorId="75CE0E06" wp14:editId="1B5D5074">
                      <wp:simplePos x="0" y="0"/>
                      <wp:positionH relativeFrom="column">
                        <wp:posOffset>748665</wp:posOffset>
                      </wp:positionH>
                      <wp:positionV relativeFrom="paragraph">
                        <wp:posOffset>104775</wp:posOffset>
                      </wp:positionV>
                      <wp:extent cx="763905" cy="13716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763905"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12173" w14:textId="61C0C733" w:rsidR="006D7011" w:rsidRPr="00120AE9" w:rsidRDefault="006D7011">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E0E06" id="Text Box 110" o:spid="_x0000_s1047" type="#_x0000_t202" style="position:absolute;left:0;text-align:left;margin-left:58.95pt;margin-top:8.25pt;width:60.15pt;height:10.8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DiZcQIAAF4FAAAOAAAAZHJzL2Uyb0RvYy54bWysVN9P2zAQfp+0/8Hy+0gLooyKFHUgpkkI&#10;EGXi2XXs1prj885uk+6v39lJWsZ4YdpLcvb9/vzdXVy2tWVbhcGAK/n4aMSZchIq41Yl//508+kz&#10;ZyEKVwkLTpV8pwK/nH38cNH4qTqGNdhKIaMgLkwbX/J1jH5aFEGuVS3CEXjlSKkBaxHpiKuiQtFQ&#10;9NoWx6PRpGgAK48gVQh0e90p+SzH11rJeK91UJHZklNtMX8xf5fpW8wuxHSFwq+N7MsQ/1BFLYyj&#10;pPtQ1yIKtkHzV6jaSIQAOh5JqAvQ2kiVe6BuxqNX3SzWwqvcC4ET/B6m8P/Cyrvtwj8gi+0XaOkB&#10;EyCND9NAl6mfVmOd/lQpIz1BuNvDptrIJF2eTU7OR6ecSVKNT87GkwxrcXD2GOJXBTVLQsmRXiWD&#10;Jba3IVJCMh1MUq4A1lQ3xtp8SExQVxbZVtAbLle5RPL4w8o61pR8cnI6yoEdJPcusnUpjMpc6NMd&#10;GsxS3FmVbKx7VJqZKvf5Rm4hpXJxyJ+tk5WmVO9x7O0PVb3HueuDPHJmcHHvXBsHmLvPw3OArPox&#10;lKw7ewL8Rd9JjO2ypcbp+c4HAiyh2hEvELqRCV7eGHq9WxHig0CaEaICzX28p4+2QOhDL3G2Bvz1&#10;1n2yJ+qSlrOGZq7k4edGoOLMfnNE6jSgg4CDsBwEt6mvgCgwpo3iZRbJAaMdRI1QP9M6mKcspBJO&#10;Uq6Sy4jD4Sp2s08LRar5PJvRIHoRb93CyxQ8AZvY+NQ+C/Q9ZSNx/Q6GeRTTV8ztbJOng/kmgjaZ&#10;1gnaDscechrizPZ+4aQt8fKcrQ5rcfYbAAD//wMAUEsDBBQABgAIAAAAIQApHPtc3AAAAAkBAAAP&#10;AAAAZHJzL2Rvd25yZXYueG1sTI/dToNAEEbvTXyHzZh4Z5efFCllaarRxFuqD7DACFR2Ftkt4Ns7&#10;Xtm7+TIn35zJD6sZxIyT6y0pCDcBCKTaNj21Cj7eXx9SEM5ravRgCRX8oINDcXuT66yxC5U4n3wr&#10;uIRcphV03o+ZlK7u0Gi3sSMS7z7tZLTnOLWymfTC5WaQURAk0uie+EKnR3zusP46XYyCGcuu3J6f&#10;XnbRIo+VfiP6TmKl7u/W4x6Ex9X/w/Cnz+pQsFNlL9Q4MXAOH3eM8pBsQTAQxWkEolIQpyHIIpfX&#10;HxS/AAAA//8DAFBLAQItABQABgAIAAAAIQC2gziS/gAAAOEBAAATAAAAAAAAAAAAAAAAAAAAAABb&#10;Q29udGVudF9UeXBlc10ueG1sUEsBAi0AFAAGAAgAAAAhADj9If/WAAAAlAEAAAsAAAAAAAAAAAAA&#10;AAAALwEAAF9yZWxzLy5yZWxzUEsBAi0AFAAGAAgAAAAhALXoOJlxAgAAXgUAAA4AAAAAAAAAAAAA&#10;AAAALgIAAGRycy9lMm9Eb2MueG1sUEsBAi0AFAAGAAgAAAAhACkc+1zcAAAACQEAAA8AAAAAAAAA&#10;AAAAAAAAywQAAGRycy9kb3ducmV2LnhtbFBLBQYAAAAABAAEAPMAAADUBQAAAAA=&#10;" fillcolor="white [3212]" stroked="f" strokeweight=".5pt">
                      <v:textbox inset="0,0,0,0">
                        <w:txbxContent>
                          <w:p w14:paraId="04312173" w14:textId="61C0C733" w:rsidR="006D7011" w:rsidRPr="00120AE9" w:rsidRDefault="006D7011">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v:textbox>
                    </v:shape>
                  </w:pict>
                </mc:Fallback>
              </mc:AlternateContent>
            </w:r>
            <w:r w:rsidRPr="008F328C">
              <w:rPr>
                <w:rFonts w:eastAsia="Times New Roman"/>
                <w:b/>
                <w:bCs/>
                <w:lang w:val="pl-PL" w:eastAsia="ko-KR"/>
              </w:rPr>
              <w:t>c</w:t>
            </w:r>
            <w:r w:rsidRPr="008F328C">
              <w:rPr>
                <w:rFonts w:eastAsia="Times New Roman"/>
                <w:lang w:val="pl-PL" w:eastAsia="ko-KR"/>
              </w:rPr>
              <w:t xml:space="preserve">. Sprawdzić termin ważności na etykiecie ampułko-strzykawki. </w:t>
            </w:r>
          </w:p>
          <w:p w14:paraId="471D586F" w14:textId="77777777" w:rsidR="002E5800" w:rsidRPr="008F328C" w:rsidRDefault="002E5800">
            <w:pPr>
              <w:pStyle w:val="Default"/>
              <w:rPr>
                <w:rFonts w:ascii="Times New Roman" w:hAnsi="Times New Roman" w:cs="Times New Roman"/>
                <w:lang w:val="pl-PL"/>
              </w:rPr>
            </w:pPr>
          </w:p>
          <w:p w14:paraId="4BD6779C" w14:textId="77777777" w:rsidR="002E5800" w:rsidRPr="008F328C" w:rsidRDefault="002E5800">
            <w:pPr>
              <w:pStyle w:val="a3"/>
              <w:numPr>
                <w:ilvl w:val="0"/>
                <w:numId w:val="0"/>
              </w:numPr>
              <w:rPr>
                <w:b/>
                <w:lang w:val="pl-PL" w:eastAsia="ko-KR"/>
              </w:rPr>
            </w:pPr>
          </w:p>
          <w:p w14:paraId="7DB77AFA" w14:textId="77777777" w:rsidR="002E5800" w:rsidRPr="008F328C" w:rsidRDefault="000E0B7C">
            <w:pPr>
              <w:pStyle w:val="a3"/>
              <w:numPr>
                <w:ilvl w:val="0"/>
                <w:numId w:val="0"/>
              </w:numPr>
              <w:rPr>
                <w:lang w:val="pl-PL" w:eastAsia="ko-KR"/>
              </w:rPr>
            </w:pPr>
            <w:r w:rsidRPr="008F328C">
              <w:rPr>
                <w:rFonts w:eastAsia="Times New Roman"/>
                <w:b/>
                <w:bCs/>
                <w:lang w:val="pl-PL" w:eastAsia="ko-KR"/>
              </w:rPr>
              <w:t>Nie używać</w:t>
            </w:r>
            <w:r w:rsidRPr="008F328C">
              <w:rPr>
                <w:rFonts w:eastAsia="Times New Roman"/>
                <w:lang w:val="pl-PL" w:eastAsia="ko-KR"/>
              </w:rPr>
              <w:t xml:space="preserve"> ampułko-strzykawki, jeżeli:</w:t>
            </w:r>
          </w:p>
          <w:p w14:paraId="02F5CAD3" w14:textId="77777777" w:rsidR="002E5800" w:rsidRPr="008F328C" w:rsidRDefault="000E0B7C">
            <w:pPr>
              <w:pStyle w:val="a3"/>
              <w:numPr>
                <w:ilvl w:val="2"/>
                <w:numId w:val="39"/>
              </w:numPr>
              <w:rPr>
                <w:lang w:val="pl-PL" w:eastAsia="ko-KR"/>
              </w:rPr>
            </w:pPr>
            <w:r w:rsidRPr="008F328C">
              <w:rPr>
                <w:rFonts w:eastAsia="Times New Roman"/>
                <w:lang w:val="pl-PL" w:eastAsia="ko-KR"/>
              </w:rPr>
              <w:t xml:space="preserve">jest pęknięta lub uszkodzona. </w:t>
            </w:r>
          </w:p>
          <w:p w14:paraId="2A72B9D3" w14:textId="77777777" w:rsidR="002E5800" w:rsidRPr="008F328C" w:rsidRDefault="000E0B7C">
            <w:pPr>
              <w:pStyle w:val="a3"/>
              <w:numPr>
                <w:ilvl w:val="2"/>
                <w:numId w:val="39"/>
              </w:numPr>
              <w:ind w:hanging="567"/>
              <w:rPr>
                <w:lang w:val="pl-PL" w:eastAsia="ko-KR"/>
              </w:rPr>
            </w:pPr>
            <w:r w:rsidRPr="008F328C">
              <w:rPr>
                <w:rFonts w:eastAsia="Times New Roman"/>
                <w:lang w:val="pl-PL" w:eastAsia="ko-KR"/>
              </w:rPr>
              <w:t xml:space="preserve">upłynął termin ważności. </w:t>
            </w:r>
          </w:p>
          <w:p w14:paraId="31037C40" w14:textId="2FCBE1D7" w:rsidR="006305C5" w:rsidRPr="008F328C" w:rsidRDefault="006305C5">
            <w:pPr>
              <w:pStyle w:val="a3"/>
              <w:numPr>
                <w:ilvl w:val="2"/>
                <w:numId w:val="39"/>
              </w:numPr>
              <w:ind w:hanging="567"/>
              <w:rPr>
                <w:lang w:val="pl-PL" w:eastAsia="ko-KR"/>
              </w:rPr>
            </w:pPr>
            <w:r w:rsidRPr="008F328C">
              <w:rPr>
                <w:lang w:val="pl-PL" w:eastAsia="ko-KR"/>
              </w:rPr>
              <w:t>została upuszczona na twardą powierzchnię.</w:t>
            </w:r>
          </w:p>
          <w:p w14:paraId="0E4F9DD6" w14:textId="77777777" w:rsidR="002E5800" w:rsidRPr="008F328C" w:rsidRDefault="002E5800">
            <w:pPr>
              <w:pStyle w:val="Default"/>
              <w:rPr>
                <w:rFonts w:ascii="Times New Roman" w:hAnsi="Times New Roman" w:cs="Times New Roman"/>
                <w:color w:val="211D1E"/>
                <w:sz w:val="20"/>
                <w:szCs w:val="20"/>
                <w:lang w:val="pl-PL"/>
              </w:rPr>
            </w:pPr>
          </w:p>
          <w:p w14:paraId="1F66DE7B" w14:textId="77777777" w:rsidR="002E5800" w:rsidRPr="008F328C" w:rsidRDefault="002E5800">
            <w:pPr>
              <w:ind w:right="1248"/>
              <w:rPr>
                <w:rFonts w:ascii="Times New Roman" w:eastAsia="Times New Roman" w:hAnsi="Times New Roman" w:cs="Times New Roman"/>
                <w:b/>
                <w:bCs/>
                <w:lang w:val="pl-PL"/>
              </w:rPr>
            </w:pPr>
          </w:p>
        </w:tc>
      </w:tr>
      <w:tr w:rsidR="002E5800" w:rsidRPr="008F328C" w14:paraId="28817771" w14:textId="77777777">
        <w:trPr>
          <w:trHeight w:val="5669"/>
        </w:trPr>
        <w:tc>
          <w:tcPr>
            <w:tcW w:w="9634" w:type="dxa"/>
          </w:tcPr>
          <w:p w14:paraId="5143911E" w14:textId="77777777" w:rsidR="002E5800" w:rsidRPr="008F328C" w:rsidRDefault="002E5800">
            <w:pPr>
              <w:pStyle w:val="a3"/>
              <w:rPr>
                <w:lang w:val="pl-PL" w:eastAsia="ko-KR"/>
              </w:rPr>
            </w:pPr>
          </w:p>
          <w:p w14:paraId="2822FEB2" w14:textId="77777777" w:rsidR="002E5800" w:rsidRPr="008F328C" w:rsidRDefault="002E5800">
            <w:pPr>
              <w:pStyle w:val="a3"/>
              <w:rPr>
                <w:lang w:val="pl-PL"/>
              </w:rPr>
            </w:pPr>
          </w:p>
          <w:p w14:paraId="6191C17D" w14:textId="0A5635E4" w:rsidR="002E5800" w:rsidRPr="008F328C" w:rsidRDefault="002E54BA">
            <w:pPr>
              <w:pStyle w:val="a3"/>
              <w:numPr>
                <w:ilvl w:val="0"/>
                <w:numId w:val="22"/>
              </w:numPr>
              <w:rPr>
                <w:b/>
                <w:lang w:val="pl-PL"/>
              </w:rPr>
            </w:pPr>
            <w:r w:rsidRPr="008F328C">
              <w:rPr>
                <w:rFonts w:eastAsia="Times New Roman"/>
                <w:b/>
                <w:bCs/>
                <w:noProof/>
                <w:lang w:eastAsia="ko-KR"/>
              </w:rPr>
              <mc:AlternateContent>
                <mc:Choice Requires="wpg">
                  <w:drawing>
                    <wp:anchor distT="0" distB="0" distL="114300" distR="114300" simplePos="0" relativeHeight="251658247" behindDoc="0" locked="0" layoutInCell="1" allowOverlap="1" wp14:anchorId="104CDEBF" wp14:editId="63C3D952">
                      <wp:simplePos x="0" y="0"/>
                      <wp:positionH relativeFrom="column">
                        <wp:posOffset>120015</wp:posOffset>
                      </wp:positionH>
                      <wp:positionV relativeFrom="paragraph">
                        <wp:posOffset>56515</wp:posOffset>
                      </wp:positionV>
                      <wp:extent cx="2171700" cy="2800350"/>
                      <wp:effectExtent l="0" t="0" r="0" b="0"/>
                      <wp:wrapSquare wrapText="bothSides"/>
                      <wp:docPr id="42" name="그룹 42"/>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3964" name="그림 3964"/>
                                <pic:cNvPicPr>
                                  <a:picLocks noChangeAspect="1"/>
                                </pic:cNvPicPr>
                              </pic:nvPicPr>
                              <pic:blipFill>
                                <a:blip r:embed="rId36"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447800" y="2654300"/>
                                  <a:ext cx="719758" cy="146050"/>
                                </a:xfrm>
                                <a:prstGeom prst="rect">
                                  <a:avLst/>
                                </a:prstGeom>
                                <a:solidFill>
                                  <a:prstClr val="white"/>
                                </a:solidFill>
                                <a:ln>
                                  <a:noFill/>
                                </a:ln>
                              </wps:spPr>
                              <wps:txbx>
                                <w:txbxContent>
                                  <w:p w14:paraId="1599C8B4"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4CDEBF" id="그룹 42" o:spid="_x0000_s1048" style="position:absolute;left:0;text-align:left;margin-left:9.45pt;margin-top:4.45pt;width:171pt;height:220.5pt;z-index:251658247"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roG2MAwAAMAgAAA4AAABkcnMvZTJvRG9jLnhtbJxVwW7jNhC9F+g/&#10;ELwnshzHzgpRFm7SBAuku0aTYs80RVnESiRL0payH9RfaA/9ovYn+khJdp1ssc0eLA+H5HDemzfk&#10;5duuqclOWCe1yml6OqFEKK4LqTY5/eXx9uSCEueZKlitlcjpk3D07dX33122JhNTXem6EJYgiHJZ&#10;a3JaeW+yJHG8Eg1zp9oIhclS24Z5DO0mKSxrEb2pk+lkMk9abQtjNRfOwXvTT9KrGL8sBfcfytIJ&#10;T+qcIjcfvzZ+1+GbXF2ybGOZqSQf0mDfkEXDpMKh+1A3zDOytfJFqEZyq50u/SnXTaLLUnIRMQBN&#10;OnmG5s7qrYlYNlm7MXuaQO0znr45LH+/u7PmwawsmGjNBlzEUcDSlbYJ/8iSdJGypz1lovOEwzlN&#10;F+liAmY55qYXk8nZ+UAqr8D8i328+vErO5Px4OQoHSN5ht/AAawXHHxdK9jlt1bQIUjzv2I0zH7a&#10;mhOUyzAv17KW/ilKD4UJSandSvKV7Qegc2WJLHJ69mY+o0SxBqL/6/c//v7tTxJdoDnsCgv7bSzA&#10;utf8kyNKX1dMbcTSGQgX7RTkmRwvj8OjM9e1NLeyrkOpgj2gg8ifieQLBPUCvNF82wjl+46yogZQ&#10;rVwljaPEZqJZCyCy74oUdUY3e2AyVirft4+z/GfkG1rsBCtw8MViEIHzVnhehdRKpBiWBUgs209E&#10;PAcIAayDGsm6/UkXOIdtvY6d9Xo1zudnF9PzyOGoKZBtnb8TuiHBAChkFMOz3b0bchuXhKyVDtQi&#10;Z5bV6sgBEMET8w8ZDyYAhEbCbebGSmD0ohavatiHihmBLEPYg8Jm4LrX12Poxh90R+BCqsOy0NTE&#10;d/APSgr+PtMDHUNvp7PZAs1LSeji+fnsDHYEPfb5In2zOMddHto8nc0nfZfve/XVvDpdy2JUbSD8&#10;urZkxyChtpJeDEU7WvUf/B9QBct36y723zQCCK61Lp7AhNUoNxA6w28lDrxnzq+YxW0PJ14w/wGf&#10;stZtTvVgUVJp+/lL/rAeNcUsJS1ej5y6X7csXC31O4VqI6QfDTsa69FQ2+ZaAyoKiGyiiQ3W16NZ&#10;Wt18xMO2DKdgiimOs3LqR/PaY4QJPIxcLJfR7m+oe/VgcK+lUdSB2MfuI7NmkLtHPd/rUU8se6b6&#10;fm2QuTNLNN6tjC1xYBEiDwNoO1rxWYJ19O79exxXHR76q38AAAD//wMAUEsDBBQABgAIAAAAIQCF&#10;lR3b0DQAAGj2AwAUAAAAZHJzL21lZGlhL2ltYWdlMS5lbWbsnQd8FNXWwM/7vudHkyIdkhBKKglJ&#10;CL1J74iogIHQO4iCit2nhDSS0EvoVRTpSBOUjj4BEaUpWAAFAd9DFBVBRP3umTjL7Gb27OzuzOxs&#10;9uT3m8zsnDvn3jnn/OfeuXPnzj8AYLRY5L/LYqPSP+RfADGlALaXAaja9oF2AP+AEb/+L/yvECuS&#10;SInHFwJo+E+AJCHYf/dwaWtv83vgkxv/Aw+JX1du4NF5f455yfuviI3KQk83sY4Sy/NiGfv3cVXh&#10;CMhylF0SC6b9B1QVW3fTST/+/vfXX38BL2wDjgGOAY4BjgGOAY4BjgGOAY4BjgGOAY4BvWOgamgN&#10;4IVtwDHgmxhwxjP6w5mM93M9wDFgXAxQ7FEy9olxPmHbsm0p9igZxw7HDseAcTFAsUfJ2CfG+YRt&#10;y7al2KNkHDscOxwDxsUAxR4lY58Y5xO2LduWYo+Scexw7HAMGBcDFHuUjH1inE/Ytmxbij1KxrHD&#10;scMxYFwMUOxRMvaJcT5h27JtKfYoGccOxw7HgHExQLFHydgnxvmEbcu2pdijZBw7HDscA8bFAMUe&#10;JWOfGOcTti3blmKPknHscOxwDBgXAxR7lIx9YpxP2LZsW4o9Ssaxw7HDMWBcDFDsUTL2iXE+Yduy&#10;bSn2KJmVY2fp0uXQuUtXcnk0qTfcunWL52PguUktGQMUe5TMqly+//4HULZMaUhJeZVcypQpA9E1&#10;YyzpE6valstlXj1OsUfJrOij3367BZGRkbBl8yaXvL377k4oXOgeyJqY4zKtFc+Vy2QeI76wNcUe&#10;JfNFWV3luXvXHihftizMnpULb7zxprQMGDDYtj140DDb9po16yAoOAgKFfonc8ltWcvFAMUeJXPF&#10;iC/k27Zth7hasXY2zkyfaPu9cP4i2zaWr1evPswlM2kXE76IW7U8KfYomZouX+/LzJwEjRs3gls3&#10;b8KhQx/Ctm07IGX8BGmN2xMzJkrbKLtz5w8YOmQEc8lcMpcGxwD2wfbs2QOuXr0KOTmTIT09HUaN&#10;HCGtcXvY0KF52xkZcO3a98ylwf7w9XXan/On6kRKZsVzlrk8ffqMjUVVLgWjly5dYi6ZS0vWlcgW&#10;xR4lszKXJ09+auPSVkcKFgf272fb/+3FizBq1BPcjmU2LckmxR4l80cuW7VqbcdleloWc8lcMpcG&#10;xwC2Y3sl9QJn9SVzWbCf+VmxrvC0TFSdSMk8zc/I4xo0aASjRz+uicvjx08C15fMqZHx6I1uij1K&#10;5k2eRh1bt14DeGLMGE1cfvjhR5CZkc3tWIPbMEb5uqDrpdijZFa0ixqXLVu1st1TKtuxyOWihUuZ&#10;S+aS7y8NjgE1LmUWU1NToVu3bjZGkcs3V65mLg32iRWv3/5QJqpOpGRWPDfkctxTT9u1Y2Uux7/6&#10;inguMtLG5aGDh5hLZtKSdSWyRbFHyazIZdWq1SB1QpomLvfu2ctcMpfMpQkxEFKlCmSkZ9px2aVT&#10;Z0hNSwPH+hK53P72O1I79uxXZy3rHyte/7hMxvdjU3UiJbOib9S4xLbrhJQUVS5PnDgpcblv3wHm&#10;0oTrphVjxqplotijZFY8H3e43LVrN5wS4/Xw/cu9e/czl8ylpWKAYo+SWZVLnH9AOd5Hri9ffukl&#10;GCOebeJ7Jbhs3bqNuWQWLcWikimKPUqm1GGV7cKF/088k1ykyuVzzzwHuDCXxt8bWSUe/LkcFHuU&#10;zIrnjG3SpYuX2nH5qng+kiTGzOKSkjLBjsuzX30FRYsWgXff2WnZ66YV7cxlMv7aRrFHyazoGzUu&#10;5frRcb1p02bAftgKFSqIOQy2M5fcprVUDFDsUTJ/53LdunXMJbNoKRaVTFHsUTKlDqtsY3352vLX&#10;7NqxjvWk/Ju5NL4tZpW48MdyUOxRMqud648//CA98zhw4D3NXH7zzTdSO3bz5q2WvW5azc5cHnOu&#10;ZxR7lMxq/jl//muJy6MffQTHT5yy9e/I9aPjevbsOfDdlSsQHV0Thg9/jLnkNq2lYoBij5JZjcuO&#10;nbpAiRL3wvbt78D8BUsAx6tTS6dOnaS5LNu17yjmaI+ylE+sZlsujzl1pNLOFHuUTKnDCtt4b/lo&#10;j0clvt58c5XL+nLmzFlSWpyXHY/9z3/+w2xynWmZGKDYo2RWYFFZBmTrqbFPS3bdtWuvSy6nTp0m&#10;pf3qy6+gSJFCcP7cecv4RHlevG1+XWUFm1PsUTIrlF0uw8+//CLVeStWvC6xhc8jHe8nHX9nZ+d9&#10;LwifYZYqVRJOnfqMueT60jIxQLFHyWQmrLC+fv26xCW2SbE869ZvYi6ZMcsw5gkjFHuUzJO8jDrG&#10;kctVq9e55DIrO1vyG9eXgdlONCoW9dJLsUfJ9MpfDz1KLm//9hu8LupNx3ar4+/MzEzmkutUy9ap&#10;FHuUTA+e9NJx9er3Ujt206Yt0rfZlyxZppnLc2fP8f0l82k5Pin2KJleTOmh56L41gj2x+L7zTd/&#10;/RUWL1qimUv8flDFihWlZ5l6lIV1cLtYjxig2KNkeuStlw4ll7/+egNyc+e65BLbtZg/conzHLz/&#10;/geWu2bqZR/W43/XCoo9SmYlXyu5vHHjBkyfPpO55LapX19nKfYomRW5PLD/PUAuJ0+eqonLX37+&#10;metL5teS/FLsUTIrcfn5mc+l+8sTx0/AL2KMAfa1Ova/qv2+cOEb5pK5ZC4NigEcq4P9PkuXrYDD&#10;Hx4lx6srx7JnZU2C/fvf5/tLg/yidu2+dOkyfHTkKGzZ8jasWLHSblm3bqMku3LlO0uyonY+Ru2j&#10;6kRKZlR5PNErc7lv7144evRjTXUl1p/Hjx2H0599xnOJ6MwlsofMPffsC9BdvEvQoGFj6dqH1053&#10;FpzjpXbtOvDQw91h7NinRH/ePLh44WJAMEuxR8k84ceoY2QuT508BV+L9zDV2qxq+06cOAE/XLsG&#10;0TVjeI4fL9hEDmfMmA0PdnsY8FsU7rDnSdqqVatKrKakpEn1q1Fx5Uu9FHuUzJdldsz71Km8+Zm/&#10;+uILUf+d0czlR+IdaubS/WcI2A59+eVXoW27DlCtWnXA+UHd4atE8eJQIyws3+KODmXaSpUqQbP7&#10;W8ATT4yFAwfeF/Xpn35fp1LsUTJHNnz5+/DhI1Jc4PwDx0TbVK1uVNuH3/RiLrVxeUb0rY0ePQbC&#10;wsI1MVi69H2QkJAALVq2gD7JvWHwoAEwbNgQGDFimMsF0w0a2B+SHu0JdeokaspPyWmZsmXg0aTe&#10;cOHCBb/lk2KPkvmSQ8e8ZS63b38XZs6co7nfZ9jwEfDBB4e5HUu0YbGN2qNHkuY6MUe8P4fXxjOn&#10;T8OLL77okkEtnMr+xvvV8IgIaN6ihWZWW7dpB1+Kd2xlHf6yptijZFY6v6/Pn5f8VKNGDXj88bG2&#10;eZzl+ZydrZOTk6FN23ZQuNA98Mknx/zOd0b64IMPDkp1TpEihVUZiK4ZDT179oC1a9fArl27YN78&#10;RWIel+KiHflvmx27d+8Jbdq08XJpBW9tujsvWucuXW36cazWksVLAP2orC/Vtpu3aCXGWh6xHWuk&#10;7fTQTbFHyfTIW08deJ1Gf+DcA2p+cbYP51vHOfT0LIs/6zp79ixg7Du7Z8S66uTJE6r2Qhu3at0W&#10;Vq5cBfPnLxDt1qFSexTbpN4sc+fMhQEDh0jlwn4lZ/bFayteK5z5Gvfjt4v9YcwlxR4lc2YbX+1f&#10;s2Y9lC5TGlq2agUrXlsOu8U1fA+xzBLz+1QoX17y4b9eHu/U1746H7PzPXToQxg8eCiUK19WNa4z&#10;MvLGE1PlCg+PEP2xVWHWrLnw2WendWnDYjt37dr18OabqyUuW7Zs6dJXly9fhtWr1jp9NnPvvcWk&#10;vmMcj0Kdjy9lFHuUzJdldsz79OnPpev7yBEj4c7vdzTbGt896dunP6CfPv/8C83HOebvz7/x/rHr&#10;gw+psoj1C85/rfX8zp49B5UrV5Z0NWjQGOrVqweJiYleLbViY0X/USIUL36v+L7Mq5rLIpcZ2+P4&#10;HNRZHYr1J44Rk9NbZU2xR8msUn4sx/DhIyFI9JW7w6RcfmSzRo0wKTblfYGyxvE12HepFrNpqRM8&#10;jtUXXnjFaTtYLS8t+86cOe1xef7880+YIfoDnfGJbfY33ljlsX4j4oVij5IZURZPdeJztEGDBnts&#10;1z7J/UX7y/l9i6flsvJxU6ZMgxIlS9gxGRwcLH1b+9uL3j1fWPXmGmjQoJHof0uCZ8c949Hy9FNP&#10;wqM9e0J5ca+BbetlYoylt/ZEPt9+e4fUPnK8FiCbY8c8DZjG23z0OJ5ij5LpkbdeOrAvfNRIz+dM&#10;HzBgiHQvold5rKzn6tWrqu1W7M/xttx37twRLCZD6oTxcEu0Q7zVJx8/d+4cKFasqDR24Pfff9dF&#10;7+DBQ+yuSTKn8Qm1LXFPQ7FHyWSbWWHNXLoeG3D79m146aVXICgoKF88/lund8IfFuNYt2+9+0xD&#10;z9h4b/8BuO++UoBje/TSe/DgYUAOZSblNfY3pEzI0C0fT8pLsUfJPMnLqGOYS9dc4thVOe7ktZa+&#10;Ta0+y8jIgmVLlxoayytXrpHYxG+2aS2XlnQrXl+l2ratL9rivmrXUuxRMi3na1Ya5tI5l5cvX4Gm&#10;zZrnY9KTvk3Knw3FOyOUXA8ZznuY/Hf/uR76lDo2bd4mnn3nH0PRRTGOQZne6G2KPUpmdLnc0c9c&#10;qnO5det2CA0NtWMSx+mkp6XpyhCOnX34oW666nTm//nzF0v8OJN7sx/vvXGuJ7k9Ia/vb94C9Lqv&#10;1Vo+ij1KplW/GemYy/xcjhv3bL7rvx59O2r+xPdLcJyNmkzvfYsWLoWS4rsVeuuV9eH8wwMHDs3H&#10;JvbXm/mck2KPksnnYYU1c3mXy/Xr34LY2Fr54krPe0lHnxckLuVzmz9/icS/XGfiGr9j862YE1VO&#10;Y+SaYo+SGVkmd3Uzl3lc4nvCavdI2HZ116bupC+IXOL5b9y4Jd/1Dfn88ccfDbUn5k2xR8nc8ZvR&#10;aQOdS7wvwrEVymu7vG1U21Xp04LKJZ7jdDEPg+MY/oYNGzGXwjbKGFDbDmQu8dsPan0VyKVZ93wF&#10;mUuMt0WLluZjs23b9vDHH3+4jE21eNWyj6oTKZkW3WalCVQuZ83MzRcvZtaTsn8LOpd4nji+Vrat&#10;vB4x4nHmkqg3A41LnA/gEfHOsbN3TY3s45FZVK4DgUs837VinD/2/chc4nrUqCcMYZOqEymZ0i++&#10;3g4kLnEsnVrfjhwrRvfxqPk6ULjEc8f7Bkf7f/zxJ7qzSbFHydT846t9gcDlTz/9JOa1aWV3rZZZ&#10;VK73ijl0zfZDIHGJtk3q1SefH9A/etqdYo+S6VkGb3UVdC5/Ft9RwbmRlfypbeNcDd7a0pPjA43L&#10;77//Pt97q7mzc3W1PcUeJfPEf0Ydg1wO6D/QY7tY+T2vd9/dJc3Xp8ahcp8v2q+yPwONSzzvtWs3&#10;5LtO4pynsk28XVPsUTJv89Xz+Ae6doOOHTp7bBMrcomxju+AON7LIItx8QmA84XJXJrxjJLyVyBy&#10;ifZIT8u06w/H98MoO7kjo9ijZO7kYXRa7JtsJ56re5qP1bicN2+hnb9l/rKysmHr1h3SXADyPlwb&#10;0e/gji0DlUu00dChw23XR/TFxImZHseh0uYUe5RMqcPX2wWJy+zsyarvAu7YvgOui74FlCuZ1Pvd&#10;EE98Gchc/v777Xz3Gac+/dRrNin2KJkn/jPqmILApbP5PZDBw4c/lPyM/T/yfHMym0bZ1B29gcwl&#10;2gmfnSjH6unR/0axR8nc8ZvRaf2dy23bdqh+98Px3eWRYg4jmUdcL1iwwOvrsh6+CXQu0YaO/eW7&#10;d+/xyjcUe5RMD3/qpcOfuVy4cEm+vh21vlV8PuY41kQv+3mrh7n8C9CPymsmbntjV4o9SuZNnnof&#10;649c4jv++Hzasb/VWd8qvues9HvWxIle+V1PHzCXf8GfYgy74xxehw8d9thHFHuUTE+/eqvLWy77&#10;JPczdZ5KfE8S5w9Xcobb1LcGIiIi7dJ7azM9j2cu8955wrndlfeZvXv3Zi69eE7SQTz7xGudnrGq&#10;puuHaz84fU/yyJGPnOaP86IrGZ4yearTtGr5Gr2Pubz7LiJ+c0npK09tT9WJlMzT/Iw4ztv6sn37&#10;TtJ3nowom6wTv8uj9o3zp59+yiVj+I0s2ddq955yHr5aM5d3ucTxWbKvcI3fmfPELxR7lMyTvIw6&#10;xupcYvumqvjOldJfuL1nj+sx5idOnLRrG7333vse+dko26Ne5vIul2gP/Ka80tee2J5ij5J5kpdR&#10;x1iVS3xPEr+1rLVvR80+D4k5zL31sZpePfcxl/Zc4nMv5buxM2fMdPtaSrFHyfT0q7e6rMglviep&#10;1rfjzjit8+fO29WVnraJvLWvq+OZS3su0V7K+Zac9bFTdqXYo2SUTrNlVuMSv/unrOPkbXfHATz3&#10;7It2esy2q9b8mMv8XC5dutwr31HsUTKtPjMjnVW4xHFy3Xs8aucPZBLnv7rwzddut2VqJ9a16WrY&#10;sKHbx5the8yDuczPJdoFv18uX5PdHcdMsUfJzPK5lnyswOW+fQfyjV9Gn2jp21E7R2zDyj7F9aRJ&#10;k5lLEetGz7eu5gtP9zl+F8YdPRR7lMydPIxO60suz549C9g349i34+3zjCefHGfH5aGDh5hLP+Ny&#10;3Ljn7HzoDgcUe5TMnTyMTusrLrH9Vq1adTvbY93Wvn1H+NnL+V5ia8XZ6TXaht7o53asejv2nR07&#10;7XyYOiFF87WVYo+SeeNHvY/1BZf4HXTHceTIpLv3EWq2uHHjVzt/ol61dFbZx1yqc4nfAlb2yTu+&#10;H0T5j2KPklE6zZaZySWOpXN8pojcYN/OV198oQs/e/YesONSD9aN9Alzqc4l2rxxk2Z2vtTqB4o9&#10;SqZVvxnpzOIS4y8yMsrOzsikO9dBLfbAeWNQr7wcPfqxLrxryduTNMylcy5Hjx5j8yP688qVK5p8&#10;SbFHyTzxn1HHmMVlTEysnY3RznNy52iyszvn3rfvALt83DnWF2mZS+dcbtnytp0v9+/bryleKPYo&#10;mS/87yxPs7g8ePCwnY2RS5x3yVm5PN2vx/hKT/P25Djm0jmXaE9lP8TWrVs0xQvFHiXzxH9GHWMW&#10;l1j+fv0H2bGJNsd5fvU8N+V3ZdNSJ+iqW89yyrqYS5rLuvUa2GJGqz8p9iiZ7BMrrM3kEs+3TZu7&#10;711hnYnjcv7880/d+KlQoYLNj56MeTbbJxcvXIR69erqdv5U+f1pXIF8HsoxYFq/fUixR8nkPK2w&#10;NpvLGzd+sRtPjmw+muT5u+lKG966dcvGJOrFd1KUcqtu106IN6Wc/silcg4Y5pJuWyjj25P3oj/5&#10;5Fi+eV779fP8WwxyeXbv3mvHpbzf6mvm0nm8LVm8zOZT5tK5nRxj3BMuUcemTVtt9sa6DZfMzEle&#10;1Ru5ufPsdDqW1aq/mUvn8Yb333J84FqLD6m2KiXTotusNGa3Y5Xnhd8sUtoc513CMefKNO5s45xc&#10;Sn3uHOvLtMylcy4d7020+Ilij5Jp0W1WGiWXd+78IcamXocrly/DN19/Dfv2vQdr1qyHVavWwh7R&#10;RsR9KPtFvJMll8/T+hKPv3XrJoSGhtqxhM85ZN3urh2fQ7t7vK/SM5fOuUSfKMfjafERxR4l06Lb&#10;rDTIZZvW7UQ9dQ4++eQ47N37HqxY8TrkiHejsrKz7Rbct2jxUnhr42Y4+MEh+FKMnfOGSzzH48dP&#10;2HGJ9d2iRUs9YtPxOzRm2dDbfJhLmsuQKlVsMaLF1hR7lEyLbrPSIJdNGjeBBfMWSPOPTczMBC1L&#10;lvj20lQx/rxOYqLX8+FlZU2x2R25xPe+Vq9e7zabOB+Q3I7Ve3yfkf5gLmkuw8LCbX7V4geKPUqm&#10;RbdZaZDL+vXqiXoxx6MlOirCay7xXAcNGmKzPbKF95onT5xyi03l/KPMZf5Y98fnJBgbyrEFWrig&#10;2KNkWnSblcYqXOLYggYNGtmxWaZsGbh586ZmNpnL/Cwq44i5/AuYSzpGlPEib/9+547dvC5Yb+I7&#10;zrLc1VrJpdZnXa50miHndiwdK1xfut+W1asdK8f/2a/O2tWZyOb48ama2Oz64EN2x8o6rb5mLmku&#10;+f7S91wiQ479qtgfh/PlueLL8ThX6a0iZy5pLgO1PzY+Pk7MGZcNGelpkDphgqYF0+bkZEOVKiG6&#10;9PsoGbn9228QFRVtV/dhWwb3K9M5bo8aOdruGEe5VX8zlzSXyne9tPiQuoekZFp0m5UG+31ai2/r&#10;YH57du/W3CeLafGYxo2a6s4l6sVxHsp3Q7A9i++eUHbh8T50fPtjv0+gj/fBsTybN28VdWa6pmXe&#10;vHnS+J+OHbsYwiXyd/r0mXzvnjz22BinbC5YsJjrS2E3Z9cuf+RSOT5Wa18eVSdSMmd288V+rC8T&#10;RDv2wP79kDt7Vr42LM5bpda2XbRwHuzfuw+qhFQxjEu0x+5de+xYw3ozO1t9nmbHORHefnuH0xj1&#10;ha2d5cntWOfXkhUrVtr8H2hcNmvaDD49dQrefON1VQbVuFyyeKF47n8CGopnjnjv5yzm9Njfp4/9&#10;nD04XhKvo466b9y4YfMh8rtq1Zp8aRyPscJv5tI5lxkZWTafBhqXDerXg43r18OsGbMgMyPdJZuY&#10;JluMw1u7Zg3Uio0znEtkR3nvj8xVqlRJtY9WmW7WzNnMpaJd64/tWHxnHv2Ni9YxXFRblZJZ4Rot&#10;lwHbsW3F3B4//nAN9opvvWodj7d3z274/up/oWXLNqZweerUZ/nuNXGOCfk85LVyfh8cyyfvt/La&#10;rPpyzpz5ULRoEb+wiewv5fef1ou6Q95PrSn2KBml02wZcllPjI/dtXMXLF60SKor09ImALVguzY7&#10;K1Pc++2CODEex+h2rGyTxYvtv7+G11Ccy1CW49rf5sPDMpvFZW7uXKneUdrL6tvKd7y2bdtm52tn&#10;ZafYo2TO9PliP3LZVMxrjXnjs4+08eMFmylSnyy+V5KVlQ34PVjclvqAUsbDhFdfgW++yXt/uU7t&#10;OqZxiWUcMeJxW7sGuUS/HTt2wuavpF597OQHDljv2+2OfmYu1e8v3313l50vHe3m7DfFHiVzps8X&#10;+5HLdu06SHF9/KOjkNG7l7Sk9+0H6f36Q+rgIZA2aJC0nd6njyRLGzAAzn/5uXSMt+9fenLOVatW&#10;s/MXzuN+8+YtqTzLl79hJ1u5cpWNWU/yMuMY5lKdS0+fR1PsUTIzfK01DyWXF8QzzJQnn4a0ESPh&#10;1VGjpbW0PWKUtJ3693qWeF/6u0vf+oxLfMfEcTxQYp160nig998/ZMcl9g9ptYWv0jGX6lw2b9HK&#10;5kutfT7oQ4o9SuYr/6vlq+QS5WvE+9HpvZIkDnHtuI2/N7/+hi3WfVFfYjlxTJ7ym8LYpsV3T3A/&#10;bisXtfO20j7mMj+XeO1VfheVufQPLpGrBQuX2vGHLGZk5EB8Qm27/V+Jd1SsxKFjWZjL/Fxu27bD&#10;zoeONqN+U3UiJaN0mi3z1/pStpPjvSa+e5Cc3M/Op1OmTGcuxXXMn/pj//XyeJsPm7dwby42ij1K&#10;JseUFdb+zuX16z/ZzZeGdWZcXLzNp/i7U6cuzKWfcan8Tqo7bVhkimKPklmBR7kM/s4lngd+e8jx&#10;XrNwoXtsbBYpUoi59CMu74h5K4KCgmz+k2NV65pij5Jp1W9GuoLAJdpp5669+cYDKft+Nr2l7Rtt&#10;ZtjcMQ++v7S/v1TOm+9uGxZtS7FHyRz94svfBYVLtOGyZa/brrFKJnEb3+X0pZ2pvJlLey5bifeB&#10;Zf+tWbPabb9R7FEyykdmywoSl2g7fB9U9qnj+sPDR9z2sRn+YC7vcnnmzOe2do8ndSX6i2KPkpnh&#10;a615FDQuL1267JRLs8bxarW9nI65vMulch5hd/t7ZHtS7FEy+XgrrAsal2jTGTPn2K65jnXm0aOf&#10;WK7OZC7zuMR3akuULGG7rnrKB8UeJfM0PyOOK4hcop2mTptl86+STSveZzKXeVwqx91pfQdajQmK&#10;PUqmpstX+woql2hPx3dLZD6xf8hX9lbLl7n8CxzH9xw8+IHHPqLYo2RqvvHVvoLMJdrUcTwQsol1&#10;Jn53wVc2d8yXufwLlHWlp/09sl0p9iiZfLwV1gWdS5wPWjn+Wa4zD1uobzbQudwtvq0q+wXXe8S8&#10;Gd6wQbFHybzJU+9jCzqXaK9dO3fb+R19j/ON6G1LT/UFOpftO3Sy+cfbuhJ9QLFHyTz1nxHHBQKX&#10;aDdlO0m+Nk+ePMMSbAYyl6veXGNjEv2yd693dSVzmdeH5qv3L929RuGYS8d7zcKFC8HFixd9zmag&#10;con3GMpvAnkytkctDqg6kZKp6fLVvkCpL9G++O7JvfcWs7s+16oV7/M+IK1c/nHnD/jh2vfw3ZUr&#10;ect338FP169rvq5Y7T0v5ft4erRfZYYo9iiZfLwV1oHEJdr74oULdlxi26lPn/6aY9sIn1FcYj1/&#10;9b//gS+/+BKOfnxMzDF2Enbs2Anr1r0llo2wYcMmMb/oPjhz+rTE6m+/5c1zpFZOK3GJ7VecR1S+&#10;p1Arr6f7KPYomaf5GXFcoHGJNhwzdpwtHjAu8J2wbdve8Rmbalxe/e9/4bNPT0ssvvfeB7B+/SaY&#10;O3cBZOdMVp3jd9r0mbBq9TrYtnU7fPrpZ/AfUZfiN3eUMWMVLnGspPLbeZ6Ot1Oem3KbYo+SKXX4&#10;ehvns64t5t2Qy+Ev8/vI5fV03a59Rzs2ixUrCufPnbfZwVO9nhwnc4nzZJ8/d070fewX33DaBstf&#10;ex2mT58tvscySZVFZ3NwZ+dMgtw582D58hWwU8z1iG0ErHetwCUyifcOcj2J6y8+z5tb0RPbqR1D&#10;sUfJ1HT5ah9+yzUiPNwWj+5y2aZNe1Pnj9XLTj9cuybVk8r4aNmqrc0OeuWjRU9YeBgsEXNqL126&#10;VMyXjd8h1fZNNa3p0oW+Sdk50FbMR4rnq6VMRqXB9pnS5idP3p37V688KfYomV7566EHuaxevbrN&#10;V+5yifObW/U9DVf22bZtu12MYLyMHj3GZgtXx+slj4gId6s+dFZPutov86BXud3V43hP6e34AWf5&#10;U+xRMmf6fLEfuaxaraotFt3lsknT+/2WS7T3yJH287djX8SUKdNs9jDDJ4HA5b59B6BM2TK266BR&#10;TKK/KPYomRm+1pqHHlw2bNTE1DjWem5a0/V2mD8P2cRru9bjvU1X0LnEd50rV65sY1LPZyJqtqfY&#10;o2Rquszcd/Xq91IfwPDhI6XxaN7WlxUrVoRk8awB5xY8efJT0+JZT5sNG/6YLW6wvYdjap94Yqwp&#10;51KQuZw3b6H0TUS5DR1dM9pwm1LsUTI948ldXWPHPiXarUGQNKwMZCyoChm5DaF9x9bw738fhBMn&#10;TsLCSdPyzbGO30KQ516X5l9/7nnRf/+xdEzv5Edh0pLa8MKkitC5ZyUoU64kYB+vu+WyQnq1sXoP&#10;Pviw4edSULkcN+5Zu2sdMnnp0iXD7UmxR8l8EYP4LAu/F9mzXwLMeas0zNta1H7ZVBWmzRsID7Xv&#10;5JLLTp0aw2sbH4dFW2Nh/tZidnpmbywHbTpGAY5FxvaLL87V0zzRRsrvusnXeGxXeKpTy3EFkcvJ&#10;k6baMWl021VpZ4o9SqbUYfQ21oGjRz8BXR9uCRnzouwYcmRz7qYSUCM8BNrXrQevDhtmqyPl+nJ8&#10;cm9oFl8LegyoQOpBva9OC4fomKrQuUtX6V4Nn58Zfa566MfnJ45s4v0mfltKD/1qOgoal5s2bbH7&#10;vreZTKJ9KfYomZpv9NqHY4HXrt0AOH9Rw0YNoF3XEJi4sJpLjpCl2esqw7QVDaF77/uhknh3uJH4&#10;Dk+L2Fi4PzERGsXFQbXqodBvSAuYvrKuqHPvc6kTOX8xKxxad64O9erXhb59B8CMGbOl9rJe52uE&#10;HjU2se5EmxqRX0HiEv2rvK6ZzST6h2KPkrnr29u3b8PZs2elcZErVqwEbCO89NIrMGrkaMDntPgM&#10;sV79BtC8ZX3o0C0Y/jUpCmasirBxk7kgEto9UAMS60ZBlarBEBsXAT0HhsLLIt2gJ8tDi/bR4ls7&#10;NaFO/Who0jwWWrSNETyLY/5e2nSqadtu3jpWShNfOxKiomtAm06R8NgLwfCC4K9FhxqSbtRVV+hK&#10;GhICM1eH2soxbUWMSFsZWnesCY2aJEBt8U1bvKfDOe8HDx4KzzzzPEwS54bn+I4YA3rs2HH48Uft&#10;47Ldtaur9AMGDrFriyGb+N7mnj0HdOWzIHCJ7za3btPOzl5m9PGo+ZBij5Kp6XLchzHZoWNnqJ0Y&#10;C3F1K0HTNiXhkb6VIHl4EAwcUxmGPFMGXpxSASa/FiHVc8o26ez1FeDZrHLwSD/RF/NQPUgaWh4y&#10;F4bCnI15ddycTaXgpanlJR1PpZWGycsjAOs2pQ4t23jMpGXV4LFXisPQZ0rDxEVVRT1aUtKTu6Es&#10;vDipMjycXAEeeKQ+JA2uDK9Mr2STy/pnrKouHTcuoxwMFjoGPFFZpA2GLj0rQGKTYlArsTLE1IqE&#10;bg89AufPf60rD442V/s9b/4iu1iT7zlfFn3Pauk92YfjfXBMTqb4Jjd+mztLfF80b8nxYrzB3zrw&#10;e9/4rW+hXy67J2Wkjpk2babdGHTMB+fNwjG+1HFGySj2KJmr8ty4cUPwmADZi8M0szLltRh44uUQ&#10;aNgsHOITIyF5WKjgjb6flNkwY52zOAoeSg4R9XKE1K59PjNctIdraT6/QWPCpfYRfu/Alf30luM3&#10;FOSYVq6xHw3fHfM2P3l87KWLF+DTE8cgMyMN0jPSIXXCBI8XHKOHeg6J+avOffmFVEb8TguW39vy&#10;Ko9/7tkX883TYuSYAWXezrYp9iiZM33y/uHDRkKNsFDoM7wGIG9KbmaujoTJS+MgZWpN6DmovNSm&#10;jKoZJtYxon6sDDlLIu3SK4+1wjbWp+m5seKZShlo0CQGasWHQdsukaKeLAcpM2Jg8rIYyF1f/u45&#10;bL5XnBO2rUMAx5bju82yncxcnzl9RpVNfC8C293elEXmUtaxYcNbXtSTd+vYnJxsu3LpOW4d53rF&#10;8ZfK6xTeS/qaSbQhxR4lk+3vbB0VFQVpM1pBv8dCJO7wflBeGjaNke4HO3UvA+NSq+fj1grsuVMG&#10;bFunz4mV7nM7PlJZurfF+1z5fHGN97Tj0kKhfsNo3a/3znzgbH97h/dQ5LjEfmccr+HsOGq/I5fv&#10;vLPTslzid5xHjnwsXx3pzXyvlG08kVHsUTJXeYWGhkD2goS7dYbjs8YA/Y19Unq3w1z5Qk0+e/Y8&#10;KFGiuF1dgeUKCg6CJ58cJ96r+tYtPqPFdfjUyZO2eQi2bdnmcftV2fZNT00Rz5DP2PR6U1/+8MOP&#10;kJ6WCVFReddG+XqE61atW7t1vmo21XMfxR4lc1WG0NBQ5lLl2mMVLtF/V69eFX3I+ftrMU7xeSfW&#10;nydOnNIUr1FRETBzxgzIEe9NYt+P8v0t7Adyd0lPz5B0pKeliXvMTPHuWBZMnzZd1HHu31/i+5I4&#10;hrpUqZL5rkP4PvOnp7Sdo6uY11NOsUfJXJUBx5tyfekwHklwaoV2rKPvcExTy1at8sWszCeOG0aG&#10;HY9T/nZsx06ZLM9JIPfLurvOu8d0vL+MidHe3sCxT/jcSo1HK7VZlXaUtyn2KJl8vLM19iX0G3X3&#10;+aM792sFNe2sdeVsc2Y5s5sv92N/h7Jtp9zG2Ma+23fF3AFqZXTk0pf3l3idwXdQlfN8KM9F7zk/&#10;1Ozh7T6KPUrmKl/8hiPO24Zs4rP4gsqa1vPC/timrfK+6231uEhLneCUT4zvWDGGauLEHLu5d8LE&#10;fBFr16yHj8W8Wrhs3fK2LveXeK+JumS91P3lksXLpPEp2AZXcihvW93uSqYo9iiZUofaNj6/VM6n&#10;WK1aMLR/MEh6jjBztfZnmlrj3mrpJi2rKT03wXFI5crdfZfWF2O61PyjZd9ry1+z86Ec3/IavydX&#10;v0Ej6dtGJYoXh2bNmsHQIUMgNWU8pKWmqnKJ9404RsBxwf3K/p672yni3nKimCNoKvzrpRfEfW/e&#10;/eXyZSsAxwLgfSOOFcPvtcjlclynTkhRreO12MBXaSj2KJmW8v7yyy+wc+dOYe8UaexEcHCwzXYY&#10;q9GxwdC4VWnoMbCyNEZm2PMlIGO+eCfkzbB8Y2qsxB0+F5myIgLS54YAlrnfY3lje2o3KgGRNYOh&#10;ZKm7/Zw4jgvvZdAGu3aptwG12NJXafDbRB9//AkkJfWy+c4x7pW/ixYtIr3THxISIp5fh4kxf7HQ&#10;tm0b6NatG/Ts0QOSHk2C5ORkJ0tfSd69e3fo+kBXaNqkKWA/b/P7WwLOKREv5laLjq7pshyyzfWa&#10;Y9kXtqfYo2TelBXvY7BNgYvSp47bOA4Wx6jis78OjwRBj8Fi7F1WBKTOrCn1Kc1Ype9YIBwvMPX1&#10;WpJuHB+AeT2QXFwaV4tlwLG5yrrPsbz4Wz4vI+Zi8sbmeh175MhH0nVG7dx9vQ9tX1DsTrFHyfTy&#10;s6xHyaorXpX+x7YyPrfH5w84lhz5RZbGTaghjWnHPmHlgqyhrEvvPN6wndn4/lhJRzFxrVfqdraN&#10;12OZP1zL5xBo6wMH3nN5bXVmQz32y37A2ClotqfYo2Rm2wHbJEoWcBvbh878G1e5AtxXshQkhARJ&#10;S+lSeduJFe4DlDk7zjEP/F0Q/a63/86d/UrcU04wlFO8N5f9o3f5raaPYo+SWe085PIsX7ZcGl/V&#10;r2FtCAsJhSFxNaRFuY0y5FI+htd530/S2w6XL10C9Efu7Fzx7ttkyBDj2JEtZ9dE3C+zh+MJcsQ7&#10;KbNmzQ5IP1HsUTK9fainPunZKXMZkPGsZxz5UhfFHiXzZZld5c1cGlP/ubI7y/WzO8UeJbOyD5hL&#10;/eLDyn4uyGWj2KNkVrYJc8lcWjk+tZSNYo+SadHtqzTMJXPpq9jTK1+KPUqmV/5G6GEumUsj4spM&#10;nRR7lMzMMrqbF3PJXLobM1ZLT7FHyax2HsryMJfMpTIe/HGbYo+SWflcmUvm0srxqaVsFHuUTItu&#10;X6VhLplLX8WeXvlS7FEyvfI3Qg9zyVwaEVdm6qTYo2RmltHdvJhL5tLdmLFaeoo9Sma181CWh7lk&#10;LpXx4I/bFHuUzMrnylwyl1aOTy1lo9ijZFp0+yoNc8lc+ir29MqXYo+S6ZW/EXqYS+bSiLgyUyfF&#10;HiUzs4zu5sVcMpfuxozV0lPsUTKrnYeyPMwlc6mMB3/cptijZFY+V+aSubRyfGopG8UeJdOi21dp&#10;mEvm0lexp1e+FHuUTK/8jdDDXDKXRsSVmTop9iiZmWV0Ny/mkrl0N2aslp5ij5JZ7TyU5WEumUtl&#10;PPjjNsUeJbPyuTKXzKWV41NL2Sj2KJkW3b5Kw1wyl76KPb3ypdijZHrlb4Qe5pK5NCKuzNRJsUfJ&#10;zCyju3kxl8yluzFjtfQUe5TMauehLA9zyVwq48Eftyn2KJmVz5W5ZC6tHJ9aykaxR8m06PZVGuaS&#10;ufRV7OmVL8UeJdMrfyP0MJfMpRFxZaZOij1KZmYZ3c2LuWQu3Y0Zq6Wn2KNkVjsPZXmYS+ZSGQ/+&#10;uE2xR8msfK7MJXNp5fjUUjaKPUqmRbev0jCXzKWvYk+vfCn2KJle+Ruhh7lkLo2IKzN1UuxRMjPL&#10;6G5ezCVz6W7MWC09xR4ls9p5KMvDXDKXynjwx22KPUpm5XNlLplLK8enlrJR7FEyLbp9lYa5ZC59&#10;FXt65UuxR8n0yt8IPcwlc2lEXJmpk2KPkplZRnfzYi6ZS3djxmrpKfYomdXOQ1ke5pK5VMaDP25T&#10;7FEyK58rc8lcWjk+tZSNYo+SadHtqzTMJXPpq9jTK1+KPUqmV/5G6GEumUsj4spMnRR7lMzMMrqb&#10;F3PJXLobM1ZLT7FHyax2HsryMJfMpTIe/HGbYo+SWflcmUvm0srxqaVsFHuUTItuX6VhLplLX8We&#10;XvlS7FEyvfI3Qo9WLlNS0sCI/FknXxe8jQGKPUrmbb56HX/z5k3YuHEzPP/8S9C//2Do9kA3KFKk&#10;MPRrWBvCQkJhSFwNaVFuo6xY0aJQt1YCdO78AAwYMAhycqbAOzt2wu3bt5nVv5grveLTUz0Ue5TM&#10;0/z0OO7WrVuQmzsPujzwINSpUQ0eiIuEQbWjJP6S60RDoUL/dMllhTJlbcwOSYiApPrxkFAlGMqW&#10;KwsdOnaWWNejrKyDGfckBij2KJkneelxzLJlKyCmZgw0rl5FsBhxl62/60WPuPz7WKluFYx2jKoG&#10;4cEh0LZdB9i37wDXn1x/mh4DFHuUTA/G3NHx888/Q9++A6BVdDgMSRCLkiXFttdcKnT1iI+A0iVK&#10;Qs+eSXD9+k+m+8Yd+3DaglUvU+xRMjPj4KMjRyEuphb0r1PTKY8ypzKX2JaV27Moc7y/tGvHKliU&#10;9cjrfoLNcqVLQ3hEBFy88C2zyXWnKTFAsUfJzOJy4cIlEFSpEvSKqe6SSWRpoGiHtqwWDPVrVL/L&#10;ZXwYVCpXDvoIrgeKpW/j+qCVS9Q5SOiMDqoAtWrFw7Vr10zxi1n25XysWc9S7FEyM/yJ9RP2rT4S&#10;n9enI9dhWtY968VJXCY3awzBZctK23Idimt3uMT8BidEQdEiRaBzl67MJdeZhscAxR4lM4NLfL6I&#10;DA2Jz3vWoYVHOY3MJR5fovi90L1OHCTXT4Q24VUgvnJlaCj6juS0WtfYFi5c+P8An82Ycf6chzXr&#10;MjP8QrFHycwoW3Kf/nlt0foJbjPUp24sJIQESUu/hEi3j3dkdVDtSPHMs4hUnnPnzjGXXGcaGgMU&#10;e5TMDC4f6d5TYiGsYnkYHBfmNVuOrLnzu3Gk6Ju97z6Jy8/PfG6oT8ywLedh7bqYYo+SmeHXhYuW&#10;ShyEhgRDndAg8Xwk//NKd9jyJO3A+HCoFRwEMaFVoHSpPC5xXIMZ5895WJsdI/1DsUfJjCyTUneh&#10;QvdIbDYS94PlxBidDtGiX9aD+01PmHwkPhKqVKwEneNqSs9K8F41d3YuM8ltWMNjgGKPkinZMXL7&#10;+LETgst7oHixYtAlsbZUd5UvUwaaVgtSHe/jCX/KY7DftUPNMAitUBEigoOha1y0rZ5s2bKl4f4w&#10;0pas23/qX4o9Smamj48c+UiqM7G+ihVtyj6NG0KTaiEQLOoybGO2i6oK/T3oG5J5HFgvFh4Uz2Ji&#10;gipDBfFMJTG4AvQT+jpEVZeuB5hv8xYtmEmuJ02LAYo9SmYml5jXhW++trEp8Sn6WvvUrw296yVA&#10;QqWy4v4vFLAexWcZ8eJ+NLFCKWhcpbzEbJdaESAv91evKMnixfHh4piK5cpDZJVQoaMc9KoTCwMT&#10;a0LLyOq2divmtWfPXtP8YbZdOT9r1qEUe5TMV/7csGGDGK/aA6Jr5r03UqlsOQgvXxqahYVCy9CK&#10;4hllHejbqD70qhsDXSKCoVWVcnZLp7Ag6JUYDX0biHRi6RoZAi1qhEB9MUYouGx5G/uoPyXlVbj0&#10;7UVmkutJ02OAYo+S+YpLZb4bNqyX2ME6TW0pfm8xqf7EOlReqgVXUU2LxyPvyKIyD962Zn1S0P1C&#10;sUfJrGgXZEpe1DhV7pMZxPR793I71Yr+DOQyUexRskC2GZ8716FGxwDFHiUzulysn2M/kGOAYo+S&#10;BbLN+Nz5mmF0DFDsUTKjy8X6OfYDOQYo9ihZINuMz52vGUbHAMUeJTO6XKyfYz+QY4Bij5IFss34&#10;3PmaYXQMUOxRMqPLxfo59gM5Bij2KFkg24zPna8ZRscAxR4lM7pcrJ9jP5BjgGKPkgWyzfjc+Zph&#10;dAxQ7FEyo8vF+jn2AzkGKPYoWSDbjM+drxlGxwDFHiUzulysn2M/kGOAYo+SBbLN+Nz5mmF0DFDs&#10;UTKjy8X6OfYDOQYo9ihZINuMz52vGUbHAMUeJTO6XKyfYz+QY4Bij5IFss343PmaYXQMUOxRMqPL&#10;xfo59gM5Bij2KFkg24zPna8ZRscAxR4lM7pcrJ9jP5BjgGKPkgWyzfjc+ZphdAxQ7KGMF7YBx4Bv&#10;YsBo9lk/1y8cAxwDHAMcAxwDHAMcAxwDRsZACQAoKxb8KyUW3P5/AAAA//8DAFBLAwQUAAYACAAA&#10;ACEAr5a+At4AAAAIAQAADwAAAGRycy9kb3ducmV2LnhtbEyPQWvCQBCF74X+h2WE3uom1YqJ2YhI&#10;25MUqoXS25odk2B2NmTXJP77jqd6mnm8x5tvsvVoG9Fj52tHCuJpBAKpcKamUsH34f15CcIHTUY3&#10;jlDBFT2s88eHTKfGDfSF/T6UgkvIp1pBFUKbSumLCq32U9cisXdyndWBZVdK0+mBy20jX6JoIa2u&#10;iS9UusVthcV5f7EKPgY9bGbxW787n7bX38Pr588uRqWeJuNmBSLgGP7DcMNndMiZ6eguZLxoWC8T&#10;Tiq4DbZni4iXo4L5PElA5pm8fyD/A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Dt66BtjAMAADAIAAAOAAAAAAAAAAAAAAAAADwCAABkcnMvZTJvRG9jLnhtbFBLAQIt&#10;ABQABgAIAAAAIQCFlR3b0DQAAGj2AwAUAAAAAAAAAAAAAAAAAPQFAABkcnMvbWVkaWEvaW1hZ2Ux&#10;LmVtZlBLAQItABQABgAIAAAAIQCvlr4C3gAAAAgBAAAPAAAAAAAAAAAAAAAAAPY6AABkcnMvZG93&#10;bnJldi54bWxQSwECLQAUAAYACAAAACEAjiIJQroAAAAhAQAAGQAAAAAAAAAAAAAAAAABPAAAZHJz&#10;L19yZWxzL2Uyb0RvYy54bWwucmVsc1BLBQYAAAAABgAGAHwBAADyPAAAAAA=&#10;">
                      <v:shape id="그림 3964" o:spid="_x0000_s1049"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7" o:title="" cropleft="-1f" cropright="570f"/>
                      </v:shape>
                      <v:shape id="Text Box 41" o:spid="_x0000_s1050"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1599C8B4"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v:textbox>
                      </v:shape>
                      <w10:wrap type="square"/>
                    </v:group>
                  </w:pict>
                </mc:Fallback>
              </mc:AlternateContent>
            </w:r>
            <w:r w:rsidR="000E0B7C" w:rsidRPr="008F328C">
              <w:rPr>
                <w:rFonts w:eastAsia="Times New Roman"/>
                <w:b/>
                <w:bCs/>
                <w:lang w:val="pl-PL"/>
              </w:rPr>
              <w:t>Sprawdzić lek</w:t>
            </w:r>
          </w:p>
          <w:p w14:paraId="2FB8B58C" w14:textId="29B470C0" w:rsidR="002E5800" w:rsidRPr="008F328C" w:rsidRDefault="002E5800">
            <w:pPr>
              <w:ind w:right="1248"/>
              <w:rPr>
                <w:rFonts w:ascii="Times New Roman" w:eastAsia="Times New Roman" w:hAnsi="Times New Roman" w:cs="Times New Roman"/>
                <w:b/>
                <w:bCs/>
                <w:lang w:val="pl-PL"/>
              </w:rPr>
            </w:pPr>
          </w:p>
          <w:p w14:paraId="5C198D3B" w14:textId="77777777" w:rsidR="002E5800" w:rsidRPr="008F328C" w:rsidRDefault="000E0B7C">
            <w:pPr>
              <w:pStyle w:val="a3"/>
              <w:ind w:left="4297" w:hanging="180"/>
              <w:rPr>
                <w:lang w:val="pl-PL" w:eastAsia="ko-KR"/>
              </w:rPr>
            </w:pPr>
            <w:r w:rsidRPr="008F328C">
              <w:rPr>
                <w:rFonts w:eastAsia="Times New Roman"/>
                <w:b/>
                <w:bCs/>
                <w:lang w:val="pl-PL" w:eastAsia="ko-KR"/>
              </w:rPr>
              <w:t>a</w:t>
            </w:r>
            <w:r w:rsidRPr="008F328C">
              <w:rPr>
                <w:rFonts w:eastAsia="Times New Roman"/>
                <w:lang w:val="pl-PL" w:eastAsia="ko-KR"/>
              </w:rPr>
              <w:t>. Przyjrzeć się lekowi i potwierdzić, że płyn jest przejrzysty, bezbarwny do bladobrązowego i wolny od cząstek stałych.</w:t>
            </w:r>
          </w:p>
          <w:p w14:paraId="5B4BF450" w14:textId="77777777" w:rsidR="002E5800" w:rsidRPr="008F328C" w:rsidRDefault="002E5800">
            <w:pPr>
              <w:pStyle w:val="a3"/>
              <w:numPr>
                <w:ilvl w:val="0"/>
                <w:numId w:val="0"/>
              </w:numPr>
              <w:tabs>
                <w:tab w:val="left" w:pos="3861"/>
              </w:tabs>
              <w:rPr>
                <w:lang w:val="pl-PL"/>
              </w:rPr>
            </w:pPr>
          </w:p>
          <w:p w14:paraId="0BE87FC6" w14:textId="77777777" w:rsidR="002E5800" w:rsidRPr="008F328C" w:rsidRDefault="000E0B7C">
            <w:pPr>
              <w:pStyle w:val="a3"/>
              <w:numPr>
                <w:ilvl w:val="0"/>
                <w:numId w:val="17"/>
              </w:numPr>
              <w:ind w:left="4297"/>
              <w:rPr>
                <w:lang w:val="pl-PL"/>
              </w:rPr>
            </w:pPr>
            <w:r w:rsidRPr="008F328C">
              <w:rPr>
                <w:rFonts w:eastAsia="Times New Roman"/>
                <w:b/>
                <w:bCs/>
                <w:lang w:val="pl-PL"/>
              </w:rPr>
              <w:t xml:space="preserve">Nie używać </w:t>
            </w:r>
            <w:r w:rsidRPr="008F328C">
              <w:rPr>
                <w:rFonts w:eastAsia="Times New Roman"/>
                <w:lang w:val="pl-PL"/>
              </w:rPr>
              <w:t>ampułko-strzykawki, jeżeli płyn jest przebarwiony (żółty lub ciemnobrązowy), mętny lub zawiera</w:t>
            </w:r>
            <w:r w:rsidRPr="008F328C">
              <w:rPr>
                <w:lang w:val="pl-PL"/>
              </w:rPr>
              <w:t xml:space="preserve"> </w:t>
            </w:r>
            <w:r w:rsidRPr="008F328C">
              <w:rPr>
                <w:rFonts w:eastAsia="Times New Roman"/>
                <w:lang w:val="pl-PL"/>
              </w:rPr>
              <w:t>cząstki stałe.</w:t>
            </w:r>
          </w:p>
          <w:p w14:paraId="717A992E" w14:textId="77777777" w:rsidR="002E5800" w:rsidRPr="008F328C" w:rsidRDefault="002E5800">
            <w:pPr>
              <w:pStyle w:val="a3"/>
              <w:numPr>
                <w:ilvl w:val="0"/>
                <w:numId w:val="0"/>
              </w:numPr>
              <w:rPr>
                <w:lang w:val="pl-PL"/>
              </w:rPr>
            </w:pPr>
          </w:p>
          <w:p w14:paraId="07537A24" w14:textId="77777777" w:rsidR="002E5800" w:rsidRPr="008F328C" w:rsidRDefault="000E0B7C">
            <w:pPr>
              <w:pStyle w:val="a3"/>
              <w:numPr>
                <w:ilvl w:val="0"/>
                <w:numId w:val="17"/>
              </w:numPr>
              <w:ind w:left="4297"/>
              <w:rPr>
                <w:b/>
                <w:bCs/>
                <w:lang w:val="pl-PL"/>
              </w:rPr>
            </w:pPr>
            <w:r w:rsidRPr="008F328C">
              <w:rPr>
                <w:rFonts w:eastAsia="Times New Roman"/>
                <w:lang w:val="pl-PL"/>
              </w:rPr>
              <w:t>W płynie mogą pojawić się pęcherzyki powietrza. Jest to normalne zjawisko.</w:t>
            </w:r>
          </w:p>
        </w:tc>
      </w:tr>
      <w:tr w:rsidR="002E5800" w:rsidRPr="00A5286D" w14:paraId="077EC51A" w14:textId="77777777">
        <w:trPr>
          <w:trHeight w:val="5669"/>
        </w:trPr>
        <w:tc>
          <w:tcPr>
            <w:tcW w:w="9634" w:type="dxa"/>
          </w:tcPr>
          <w:p w14:paraId="09D00504" w14:textId="77777777" w:rsidR="002E5800" w:rsidRPr="008F328C" w:rsidRDefault="002E5800">
            <w:pPr>
              <w:ind w:right="1248"/>
              <w:rPr>
                <w:rFonts w:ascii="Times New Roman" w:eastAsia="Times New Roman" w:hAnsi="Times New Roman" w:cs="Times New Roman"/>
                <w:b/>
                <w:bCs/>
                <w:spacing w:val="-1"/>
                <w:lang w:val="pl-PL"/>
              </w:rPr>
            </w:pPr>
          </w:p>
          <w:p w14:paraId="0C5D3190" w14:textId="77777777" w:rsidR="002E5800" w:rsidRPr="008F328C" w:rsidRDefault="002E5800">
            <w:pPr>
              <w:ind w:right="1248"/>
              <w:rPr>
                <w:rFonts w:ascii="Times New Roman" w:eastAsia="Times New Roman" w:hAnsi="Times New Roman" w:cs="Times New Roman"/>
                <w:bCs/>
                <w:lang w:val="pl-PL"/>
              </w:rPr>
            </w:pPr>
          </w:p>
          <w:p w14:paraId="6E43233F" w14:textId="045A23F3" w:rsidR="002E5800" w:rsidRPr="008F328C" w:rsidRDefault="00F2584C">
            <w:pPr>
              <w:ind w:right="1248"/>
              <w:rPr>
                <w:rFonts w:ascii="Times New Roman" w:eastAsia="Times New Roman" w:hAnsi="Times New Roman" w:cs="Times New Roman"/>
                <w:bCs/>
                <w:lang w:val="pl-PL"/>
              </w:rPr>
            </w:pPr>
            <w:r w:rsidRPr="008F328C">
              <w:rPr>
                <w:rFonts w:ascii="Times New Roman" w:eastAsia="Times New Roman" w:hAnsi="Times New Roman" w:cs="Times New Roman"/>
                <w:bCs/>
                <w:noProof/>
                <w:lang w:eastAsia="ko-KR"/>
              </w:rPr>
              <mc:AlternateContent>
                <mc:Choice Requires="wpg">
                  <w:drawing>
                    <wp:anchor distT="0" distB="0" distL="114300" distR="114300" simplePos="0" relativeHeight="251658281" behindDoc="0" locked="0" layoutInCell="1" allowOverlap="1" wp14:anchorId="1121C9F7" wp14:editId="6B2C9620">
                      <wp:simplePos x="0" y="0"/>
                      <wp:positionH relativeFrom="column">
                        <wp:posOffset>118745</wp:posOffset>
                      </wp:positionH>
                      <wp:positionV relativeFrom="paragraph">
                        <wp:posOffset>104140</wp:posOffset>
                      </wp:positionV>
                      <wp:extent cx="2134235" cy="2749550"/>
                      <wp:effectExtent l="0" t="0" r="0" b="0"/>
                      <wp:wrapSquare wrapText="bothSides"/>
                      <wp:docPr id="3901" name="그룹 3901"/>
                      <wp:cNvGraphicFramePr/>
                      <a:graphic xmlns:a="http://schemas.openxmlformats.org/drawingml/2006/main">
                        <a:graphicData uri="http://schemas.microsoft.com/office/word/2010/wordprocessingGroup">
                          <wpg:wgp>
                            <wpg:cNvGrpSpPr/>
                            <wpg:grpSpPr>
                              <a:xfrm>
                                <a:off x="0" y="0"/>
                                <a:ext cx="2134235" cy="2749550"/>
                                <a:chOff x="0" y="0"/>
                                <a:chExt cx="2134235" cy="2749550"/>
                              </a:xfrm>
                            </wpg:grpSpPr>
                            <wpg:grpSp>
                              <wpg:cNvPr id="44" name="그룹 44"/>
                              <wpg:cNvGrpSpPr/>
                              <wpg:grpSpPr>
                                <a:xfrm>
                                  <a:off x="0" y="0"/>
                                  <a:ext cx="2134235" cy="2749550"/>
                                  <a:chOff x="0" y="0"/>
                                  <a:chExt cx="2134235" cy="2749550"/>
                                </a:xfrm>
                              </wpg:grpSpPr>
                              <pic:pic xmlns:pic="http://schemas.openxmlformats.org/drawingml/2006/picture">
                                <pic:nvPicPr>
                                  <pic:cNvPr id="25" name="그림 2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43" name="Text Box 43"/>
                                <wps:cNvSpPr txBox="1"/>
                                <wps:spPr>
                                  <a:xfrm>
                                    <a:off x="1371600" y="2603500"/>
                                    <a:ext cx="719758" cy="146050"/>
                                  </a:xfrm>
                                  <a:prstGeom prst="rect">
                                    <a:avLst/>
                                  </a:prstGeom>
                                  <a:solidFill>
                                    <a:prstClr val="white"/>
                                  </a:solidFill>
                                  <a:ln>
                                    <a:noFill/>
                                  </a:ln>
                                </wps:spPr>
                                <wps:txbx>
                                  <w:txbxContent>
                                    <w:p w14:paraId="119FA4AB"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0" name="Text Box 120"/>
                              <wps:cNvSpPr txBox="1"/>
                              <wps:spPr>
                                <a:xfrm>
                                  <a:off x="1162050" y="7620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643B7" w14:textId="0358AB5F" w:rsidR="006D7011" w:rsidRDefault="006D701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121C9F7" id="그룹 3901" o:spid="_x0000_s1051" style="position:absolute;margin-left:9.35pt;margin-top:8.2pt;width:168.05pt;height:216.5pt;z-index:251658281"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7cppOBAAA7gwAAA4AAABkcnMvZTJvRG9jLnhtbNxX227jNhB9L9B/&#10;IPS+sSXfskacRZo0iwXS3WCTYp9pirKISCRL0rHT3ynQX2gL9Ivan+gZSrJje4tN8rBA+xBlOBqS&#10;M4dnDuWTN+u6YvfSeWX0LEmP+gmTWphc6cUs+fH28tVxwnzgOueV0XKWPEifvDn99puTlZ3KzJSm&#10;yqVjWET76crOkjIEO+31vChlzf2RsVLjZWFczQOGbtHLHV9h9brqZf3+uLcyLrfOCOk9vBfNy+Q0&#10;rl8UUoQPReFlYNUsQW4hPl18zunZOz3h04XjtlSiTYO/IIuaK41NN0td8MDZ0qmDpWolnPGmCEfC&#10;1D1TFErIWAOqSft71bx1ZmljLYvpamE3MAHaPZxevKx4f//W2Rt77YDEyi6ARRxRLevC1fQfWbJ1&#10;hOxhA5lcBybgzNLBMBuMEibwLpsMX49GLaiiBPIH80T5/Rdm9rqNezvpbAZNmsj72jGVz5LhMGGa&#10;1+DWX7/9/vcvfzA42lr+M8VZJab4aw8Y1sEBf7kRMCssnUzaReonrVFzd7e0r8BFy4Oaq0qFh9hX&#10;YB0lpe+vlbh2zWCLeYYD32L+658MDmBOMyiomcKppCsj7jzT5rzkeiHPvEVHQicourcbHoc7+80r&#10;ZS9VVREHyW4rQ/fusf8z4DSddWHEspY6NFLhZIUijfalsj5hbirruQSD3Ls8BYEhUwEssk7pQPnx&#10;qQ9OBlGSWSCPj8id8n70Iia9zZMq8uglNl/9YHIsxpfBRF14fi+N+5NBGntp0xFA1PnwVpqakYHM&#10;kVFcnt9f+Ta3LoSy1obwi7VUeseBNckT86eMWxMFUH9Bi30HN0YHgD9Lbm5KbiWypGW3FBoOOgrd&#10;kpZ8Z9YMLqTahpEksbCGv6UL+ZtMO4HYKFM6mKTjPuSdNGjcH4xgx6I7lZqkrycj3EQkUulw3G80&#10;6uW4elOpvKMmAX5eOXbPccesShVkZDdY8jjqX/DfVkVWWM/XUdSy2CHkmpv8AUg4g+NGhd6KS4UN&#10;r7gP19zhroIT92/4gEdRmdUsMa2VsNK4nz/np3icKd4mbIW7b5b4n5actKN6p3HadFF2huuMeWfo&#10;ZX1uUCp6BtlEExNcqDqzcKb+hGv5jHbBK64F9poloTPPQ3MD41oX8uwsBjUSdKVvLIQrjaQmYG/X&#10;n7izLd0DzvO96fjEp3usb2Jj49ozNN6lii2xRREkpwG4Ha32svtKhE8zQNGI5obx5Hsh5dNxRjQm&#10;yk9g7hH+eHQ8ov0i4fvDNBtnLSk7Iepk4olKssPl+HUmN5yfLxo9P2A8AxvH6MZ4mhstaqWHT2X8&#10;PmuFiw6mae9ohYdK0klW+qMs0BLx+yMeLX0ZbvfmQkDfu/1jNEU1cv30iW08TW2yes6umxlxZ6PD&#10;ZnKttHGx+j3I8rsu5aKJb6npm7oJgq0WxKMj1/9IC0RwX0kNYss3yB30Pz6q4dv5an88jvHbnymn&#10;/wAAAP//AwBQSwMEFAAGAAgAAAAhAKw6FJaSRgAACKgFABQAAABkcnMvbWVkaWEvaW1hZ2UxLmVt&#10;ZuydB5gUx7Xvj9+1n2ShACKIuCwsOS45wxIWRM4ZLTkngch5lw3sAsuSliRYRF6SBJJQFqBg2b6W&#10;LVn2lWXL4dPzdbjWvX6+Dtef5Ge9+tdQvTXdPbMTunemdw7fN3RPh5ruqn/99lTVqVNfI6Jl4qP+&#10;Vf8a0VjxUf/6VSe68BhRcvrIwURfo/svfYP+RZzULpGX7riPqPvXiaaIE2+pm+9t7/T7Bn3w1/9F&#10;Y8X3XRe/YZw1/5Y6UUOkMU58xogDLcRng/hUvXdfMn2P1Hmce/TetV+jZPGt7Dr55d5/X331FfGH&#10;84A1wBpgDbAGWAOsAdYAa4A1wBpgDbAGWAOsAdaATwPJDVOIP5wHrAHWQCgaCMRN3PuLn/+cPvro&#10;I/5wHrAGWAMBNQBWBOPIW2+9RTdvPMcfzgPWAGsgoAaYI8xI/jvBGohWA8wR1lC0GuL7WUPMEdYA&#10;c4A1EK0GmCOsoWg1xPezhpgjrAHmAGsgWg0wR1hD0WqI72cNMUdYA8wB1kC0GmCOsIai1RDfzxpi&#10;jrAGmAOsgWg1wBxhDUWrIb6fNcQcYQ0wB1gD0WqAOcIailZDfD9riDnCGmAOsAai1QBzhDUUrYb4&#10;ftYQc4Q1wBxgDUSrAeYIayhaDfH9rCHmCGuAOcAaiFYDzBHWULQa4vtZQ8wR1gBzgDUQrQaYI6yh&#10;aDXE97OGmCOsAeYAayBaDTBHWEPRaojvZw0xR1gDzAHWQLQaYI6whqLVEN/PGmKOsAaYA6yBaDUQ&#10;DxzZv7+Ihg8fRp06dqTHatWitLR+tGjRQjpx/FjA9buifW++n+sOa8A5DcSaI/v3F9KDVapQrRo1&#10;aNDAgdStWxdKSWlM9933dflp06YVzZ83j86ceYaZwutCsgbiVAOx5kh/YXuAGVevlNKbb96madOm&#10;EtYUPnH8OA17fLDBE1yzYtkyevbZq6ylONUS/3137u+71/IylhxBuwV8qF+/Ht25c1ey49TJE5Ij&#10;b7zxBr3y8st0uuQUjRs3hmpUry6vrfPYYzR4cDpt2byRSi+XMlOYKayBONBALDkyauRIyQb0hcAG&#10;WblyheTJuXPnKCcnR3727z9ApaWXJVMOHzpEw4YNpeTkhvI+tIcGDRxAubnZdJ3tFK5PcVCfvGZH&#10;OPW8seII6n31ezYG2iqwPUaPHEFbt2ymXbvyDI4onuTk5NLh4mK6evUKwVa5eP48zZqZQXVr15ZM&#10;QVoDBvSn5UuX0oUL57hOcZ1iDVSgBmLFke3bt8j6v3H9WmmLbN2ySfZ9lJScpunTptGcObNp6pSp&#10;lJmZZcOUHCosLKRz584abZ+xY0ZRi+bNZJpoK/Xq3VMwaRO3fSpQS079beN0vNfPEiuO9O3bW47L&#10;oD2Dz7o1q+X2yNFjBje2CNtk0sSJgidTaNPGjcbxMhvF1/Y5cOCgbPu8/PJLkkXLRX9s02ZNJVOq&#10;Va1GPXv2kGM+p0+X8N8o5gprwAUNxIIjV6+Wyjo+WTACDHnt1VepX7++9PKtW7Ztmp07d9KA/mmU&#10;MX067czODsgT8OXAwcP02muvyXTz8nIIHIF9oj5LFi8UY8in6fjxo6L9c5Y15YKm2J7wnj0RbZnF&#10;giNFRftkvT52tFjW96KiIioqKqQlixfR+PHjaNWTT9ry4qlVq2nypEk0etQowr7ZLin7nkvFR47S&#10;9evX6MUXnqfi4kM0YfxY6aOieKK2Xbt0Eb+3ki5dusBMYaawBiLUQCw4ovpGjh07Jjmi2jTHj5+Q&#10;/Fjz1Brh0zpA9qPOnj1T9JFk+jEDNglYA6Y8MX0G7di+3e98GU9yKC8vT/bPnhf9si8JewdjzeDV&#10;RMEr+KrAhxZMwdgP+mkx9gN7KVo+8/2J9zc5kcs8Fhy5du2KHLvFWMvhQwdp7ZqnJE8OHy628GDr&#10;1q1GH8nSJYstdsr27dtohmjvjBs3llasWG5hjs4U7KMv5eDBA8L+KZK/iXbVFeEDh7Ef+LEoO6Vz&#10;505iHHo5j/1E+PcpketUIr57LDiCfH765HFj3BfzaeAb8tJLL9HTT5+07SMBAzasXy+ZgrGcyZMn&#10;Cztkm8Ed2CgbRV8smDJt6lQLb3SegDk7d2bLMR+MD71060XJFPjCwe8Ndgr885WdgueDDQX+JaJG&#10;+J3ZtipPA7HiCJ5r585M4+8/6myPHt1kXyv8Q06eLKGcXDs/Et8YzaZNm+R4D2wUnRHYB0fMx/Tv&#10;6K/Vv2Nf759VY0iHDu6XdpOyURo2bEi5OTu53cM2Cv89MWkglhwBSzBm8tTqJ6lDaqpkCvzfYVOg&#10;HwPjuGfPnqU9e/Za6j3qPmyQZUuXGf0k6FfB2A7sDTMn1HfwB/aM+u6/9fXPXrpUKv1S1FhSXm6O&#10;HE9SPKkp5hTCF7e4+DDryaSn8v5u8fnKadvEmiO6rlAvhw593BirxRzgjBkz6JrwYb154wb5fEty&#10;bRkAf7UnRd/rxAnjad26tbbXgBnwRwFr/Pnhs3HMx+DrduaMz9cNz7B+7VoqyM+XDHm0mm88OaVx&#10;IzHXZxPzhHmS0BqIJ44opmAMNk+MmwwZMliOo8AOgP8I+kdfFb4mGM/F2A7GYsx1P9h32C/BbJVg&#10;92Js6NSpEnr++Rfo9u079Prrr4tnzCHwpOojj8ixHthUaWlpHOeAmZJwTIlHjiieYIu5MosWLiT8&#10;3QdPMKYyfuxY2S+Luow5fJjLF4wB6hz6UtBXq76HurXyxzfX5/iJE8K+Ge/Xx6PaPmoOYVbmNh7z&#10;Ya5Ueq7EO0cUU5597joVFOTLv/uqriLe0ZPCh+zWi8/LvpTzFy4Qxo6zs+3bPjMzMsJmCFiDPpi1&#10;a6xtJbShNm3cJDnSskUz2pmVRatXPUnwbVPPiK1iCnzt8B7qnXhbOfsKErFcvcIRvWyuXr1MMzNm&#10;GHUVvu/oW1HjLOifNffNwqbol9Y/Io7MmDrN9j701y4RNg5YkZeTRe+++67xyc3OMp5PZ8oQETul&#10;tPQSs4RtlEqlAS9yRDFF9cvi7z3qaru2bWS/LOIQoA8DMQaKivZLBsD/NbgvvX1fK/gzRcwTNLeB&#10;tm3dJn1YevbsSTVqVBexDF43GKJ4cvPGs2KcOJsGDkjzYwpiHKhYTOyTwjaJ0rOXt17miMp39Msi&#10;7gjm9SqmqH5Z+JZh3t6C+XMtNoqZDXbfwR4wyHwO/vhgSdVHHqaMJ2ZYGKJYorZgCvzxVbwUZaOA&#10;KZMmTRD+dxzTWpUnb73H1srAEV135n7ZXr160WXRjti4fp1s92CsB77xZi4E+g5bBDaJfl7ZKIiP&#10;Ah6gnaJ4Ud72rbt3ZB/xmNGjLExBv8qCBfOYKdzm8Vybp7JxRDEF/ZmbNm2U9Rz9JxjzQcw11YcC&#10;X/iSkpKgNgrmB8InTmcI9pWN0rZNG+rcqWPIDDEzRjHF3O4Bm8AUxKDldo/3/jYrDSbStrJyRJUh&#10;xnOwdgXqJnw94IeKmIyKJ2j3XLt2lfbtK7LwAnN40HYxcwQ2ysYNG2Samzauj5gjOldUuwfzA1Wb&#10;B1vV7tm3bw8zhe2UuLVTKjtHFE/g16bHNFok2g+In6R4gm1JyTN+zAjkP4/5O+PGjpH1/ebNG45w&#10;RGfKqVPH/eb1KK40EzHeeG0wtk+UpuNpmygcQZ6j7wRsqFenrmQAuPK48JnFWjmKJ6q9k19QIH3s&#10;zbbIwgULpD9JqvBdbda0ieMMUTx57bVXhW/KeurY0TfvSLGEfVGYI/HED/UsicQR9c7oO8nPz5Nr&#10;WGA9HNRRxHNFHBTVhwKfd/irYo6NYglinbRq3Ur0W2yW98DnTNV7N7fnzp6R/TRmpsDHF/0+p06d&#10;ZP82bvPEtM2TiBxRPMEW618gtkiPHt0lG9CHgn7PUSNGGO2eZ597Vo7xYI4f+ktGjRwlr0U8WTf5&#10;YZc2mDJ69EjZ16NsFGwVUzg+5HNyjQDMI+c1jSrOdkt0juhMgQ8HfDkQZwR1E0xBX8ilS5dkuwcx&#10;ouFLgrgBQwYPrnCG6FwJ1u7B/MYDInaK/m6JsI+5THo/NdqAWH8E414cK9NdpjBH7PMX/ZnDhg0z&#10;+mY7pLY3/D3Qv/Ls9asx5YjOFPT12vWloP8nEZiCsfHHTWtB67Ya9sH+p55anXBsrai/H8wRe46o&#10;/H9GrFFh7pdA3Da9HsfTfqB5PcPFeqaV9W/y7FkZ0n4ELxo1SqLZCx6X37fmTJXfdabs2VPALHGh&#10;L4k5Epwj4Ana2QWiXxZjNEqT68X8X/iRxRND1LME8kXB32TEUUG8yMrQd4B3AEPUXIg2qXXo4OUG&#10;lHOkjSynXcfa0uHnatL81clUu3YNo+yePnmCWeIwS5gj5XNE2SannzlF8OFQLEEsFMytCccvXtX1&#10;itoqppjn9SimlIi41ur9vLZF35Uqi2Gjm9Ox5x+kYy8+IFjSXB5fk5Uiv+NYztGWxrXTp0/z7DvH&#10;axkxR0LnCMoQc4mXLFlk9JsoHScnN6SRw4fTyadP0Ntvvx13dkowH3yMVWHMykvtHszLVHnfum09&#10;OnLjUYMZ4AbOjZz+kN+xRo3qy+Pdu3dljrA9EhcaQN8e1szC2lnKrla6hp0yR6zfdV1cU1F2Rzi/&#10;gxgHWOcDfcfqmdVWMSWe2z2rVz9pPHfnbq1o/8VGfrwAR0aNSqchY5r6HU9Lby3vQ/9zvP5d9+pz&#10;sT0Snj1iV87w2di9J5+GDx9mrMmj6iXipGFNUKwpHE5dd/va119/jbaK8dDMHVk0ZvRoOZ6hnhnb&#10;eGz3wH8QfnfqOcdMbu3HCfBDfabOGEmDR4m2jnZs2ITqxr2lpbwOq52WIz3GHImeI3reo68EYyNK&#10;6/p22ONDRJzql+OCJ4cPHhRxIDMpv2C3/OTl7aLly5ZRg/oNLM8+feoU6TOrv2cs9lcsL2vLNGve&#10;mI7efNiPEzoz7DiCdo4qD14j3lndM0eczU9VvxCrDXOL9X5ZaBi+bePGjhb+sfvlml9u2x126V8V&#10;65BiDbKszO0GRxRPcnJyZexqxERQdQ5btN0q2hcF9gfycaOYZ9S3Ty/jeeonPUZ7zpT1oer8UPt2&#10;HMlY+qiRBtZNVGXF2+jrAHMk+jwsT4cYE8F65yrmvaqfqJuDBg0Q62nsr7Ax5CulpbRj2xbBjwK5&#10;rqnih77dlZdLV69cFvMRl8o5AlUe8PVbqudu2qSJjD/npg9+cfEhi2304INVaMJ031iu4kWgrR1H&#10;Nuc3MzhSfITXMCtPt+GcZ464zxFVHvj7Cn91rPWlfO9V3USM10kTJ9ARoW/4vNvZEdEee/PN27Qz&#10;c4e0QWB35OXmWuwR8CRrx3basXWzmEu0mY4fOyrmNII5W6lLl85U5YFvGnURHEQsS4ydOMkU5FNS&#10;kq99Va1aVereuw2Nnd6Y9l1oErAdY+aJXT8rc8Q9rTNH3MtbxY9AW8zngV+YmnOsmIL6iT4W+OY7&#10;6eu2v6hIMgGsyBSsgE2i2yFqH+tnoM2Da7aKtQJx3X6xZkammO98WKxFZueD72S7B++NvABD7MZi&#10;zMyw+477zeO+zBH3tM4ccS9vA/HDfBxjrIWFeyg9fZDFLwX+YzMznpAxUm7fvh2xnYI5OOCDYoWP&#10;I74+VnVMbXEO1+bszJJbxFBAnyzYsnP5Mnrusm88O1A8A7R7xosxqkjnCu7enS850rlry5DtD50l&#10;8GEFR9Afoh+HXxqO48PxoJzVPXPE2fw0MyKS77ABlN71LXzdECstkvbNKeELruyPXWI9U32sRvHD&#10;ty2Q59Cm2Sk5kintkhwR6xpraCzt2ZH2r11heQYn5/UsWuQb2+07qK0fB3QmBNs/eLmFzD/YH/p1&#10;PF7jntaZI+7lbSQMUfcgdhvWqVCxZXWeYOwCNkI4/SjHjhy5Z4sUiNiy64z2jT9DRN+IWG89V8Sy&#10;Rkz87aI/FrbJujWr5RY2yvz2TWjtiIF05ugRC0uc8sEfN84Xs3LImMZ+HNCZEGx/7+l2kiOZB/z9&#10;S5gj7mmdOeJe3iomRLs9drRYrkehYi0ppmAMGb74e/bsLncMGf0bYAbaJrBHzPxQ33eIPhCwI0dw&#10;Cv0hWIt966ZN4r5M2rJyFc1rl2J8lvTuTHkLZlHJvkLRj3PX4Ar6dC6cO2u7Xg+4iD4hfALN7enb&#10;t7fkwJxVtSLiCPiBPNp9yt+eYT8097TOHHEvb6Plh939p0+X0Px58yxjyKg3iONWkJ8v1hK09qPg&#10;OMZdAveLFND2rVtEDMlseY3iibx+l7hPMGXttIkGQ3SeYH9h13a0e9lCunzmGYMnaH8Fm9eDZ7bz&#10;w09q4BurwXzdYHZHoHNLN/rm0Ry64u8vD/9WxWC7vOVjkdcF5kjkeRdr3R0+dFD64pt93TCGDF83&#10;jCG/KtbsQX1GOwhsUH0kyv5QW9gp2Tt3GvYKrsUx2beatUO2dRb37BCQIzpXVgzsTQfXr6Kzoi31&#10;7jvvGFxBu0etU2peswd++FirdOWKFVSlygPS7+3QtboRcQR2B+KQmDnTq5/Pt65p06bsg8bz9FgD&#10;Nho4eeoEYX0/uzHkocIfH+0IfbxG8QNb9KGiXwTswDXoF8EH8a1hj6DPdbPoq9FZEer+0j6dqWjt&#10;U3RTrLVs7h+26095sMqDgiEPUNWqgX3ezXwwf08b0pIWLBlv4UiHTj57BH4wsf4bUNl+n+0R79oj&#10;dlpEXIMVYp6Mst/1LeYMIua9zpB80WZBewa8gK0AdmzdsknyJHMH+kp8168c0j8ijijezE9tSrki&#10;tu3dO9bYT5h/PH/uHPnMVR6oIjnSoGEdCwfMvAj0HXOA12+farkfNgryo2/fPswRm79FdnoK9Rhz&#10;pHJxRJU7+jAxLyUtrZ9sIyiewF8stX17OccXax7v27uXCkU/reoHwZgz7BLYKOhfhX2C/lVwQDEh&#10;mu3CLm1p69Rx8lOyfz/d1fpn4eMyUsTphz2S2tnaLgnEDfPxpOT6VHh6mB9HEJ9E5QHi7at84q0z&#10;+meOOJOP8axHjCHDd719e994qKpP2Hbv3o0mjh8n2y57CnZJdmCsZsumDaKtk0lbl69whB+B2LOo&#10;W3vavWIxXTt3TrZ7+vXrKzkydmZVPw6YWRHoO3zQalSvZrlXjQXjneGfEs/l5cVnY45Ufo7ouoQv&#10;PuoR1mPQeYJ5M+h/RIz8bcImkf2uwod1UY8O0hZZ2r+X9B0JxAMnji/q1ZlqiT5i2CPLtkU25oux&#10;Xjs/2HXZTYz33b+/kDnC7RrWgEMaOCPGaBEXCH7sOlOwD9tl5coVdE60j15+8QUZK/LSmTOUs2QB&#10;Le6R6oqNMqV1smQIOJJX0sBiUwSyQfTj4MWg4VZ/+iFjfH0jeLeLF8+zhhzSkPobxfZIYtkjqtzN&#10;W/SnmlmC7/DFz8vJIvSFqvGWV16+RWunT3ecJT2b+DhSrVrkYzXDJtSxzM8DZzBnGO/TX/QXmd+d&#10;v0dfB5gj0edhZdEhxnqKhN8r4hUhhqnOlVq1asrY+BfPn5c8wbrq50tO0951a2j1iMG0oEP0/bCN&#10;69SS9kiTFjUiskUQL75ZiwaUe9TfHx7H0WeC90E/cmUpr3h6D+YIc8ROj4gdj/Uszb74qIup7drR&#10;mtWrDV98xMe/fOE87XpyGS3p2y0iO2Va60ZGm2bw6OoRcWTa7FbUrbd1Tg64gueuXr26p2Li25VL&#10;vB5jjjBHytMmmFJQkE+DBg4Qdb2Kn52C9XT12PiIlXRKxKLPW7aAlg7oHTJT0lPqGhxZtDE8e6Tg&#10;VGvqmdaQWrapT4eu1LMwKH2kr28kPX0Q2yIO94so7TBHmCNKC6FsEfds1ZMr/dbjxt96fDp36ihj&#10;HClf/Dt37tIZsZ7PjrkZhPHdYGM6bWvXNDiy+0yyhQVHblSjzH2tZN/HiKmPUPrIFtS1e0sZ77Zx&#10;SgOas6KJWMPGOt4LvxHVpkGMl1Deka8Jv04wR8LPM9aZL8/gi48xZPi6KZZgC5sFayAvW7ZU1Ntn&#10;ZX8K1gebPmoUDW6ZQiNaNZafWW3L5g7XELHPME7TKMXUphF9G6u3p1LderWoT1pLGjZJzHEWcd/X&#10;5zSlghOpdPiKtR2jj98s3thQPhue6eixYuYI2yOsAZc04AQXEV/MPF9QsaVjx06GrQFWqM9jYm5e&#10;RrumNKVVWd/IgBG1/WyRbYW+vo3JM7v7HddZEWy/78C2fozDeA37jzj/t5PtEefz1Il66cU0EB9S&#10;rTGoxnvUfBnFDvO27mO1qEerlgZbFqzzt0e6925OmKdrXnczGDvUuay9jUSbpjo1rueLI6C4hi36&#10;jzGPCOsiejGv4+2ZmSPMETc0iTFkxGfFGPIjjzwsPxnLGks/1XEzHyV8qlf3tWUUW2rUeJT2Xy3z&#10;Yz14uYns2zh83d9GUZwItF27sRF1bpVCdcRY9eMtmsh+mZld21OXRg2pSQNfO0cxBbzDOohYD7H0&#10;cikzJUKblznCHHGDIyrNgvw82a5AX6i53o+fXU34qTwibZGHH3qIZs0f6XfN9n0thC1i8gXR1tk0&#10;pwc/kbT0JKpf6zHq2zSJZndqZdu3O7tLa3E+mWo+WjZ3D1xBH0p6+iAZcxtrX6h34G35dYQ5Un4e&#10;sY4izyPEfUQdHTzKyhH0lw6d9CBlHatDfQY2p9nzx/pxBGO581dbx24s/LjHlplLm1CL+nVpXqhz&#10;k9un0NTO7aitWNcdtouyUbBFHBesXXZI2FTxvGZ6vGiTORJ5HYmXMozn51BrCG7d08KPEWAB4q8O&#10;He+LeTZjUT05hov5uji3ZH0zapBcy3Ys15YjwhapXbsGzezSxtYGCTbmrM490bUDtatXhx6tWtWP&#10;KfBfwxqrvFZF4LrCHAmcN/FcP73wbFgzXf2Nx1oQ5vqfdbCtnPeC4yqWO/YxlosY1hirMd8T6HvR&#10;+XaULNY4V0yIZju3U0vq3ra98ezqHbCdmTGDfWJt+lCYI8wRt5iEdYtR92rW9B+DUSw4dK2OjKNa&#10;eK6ZaPc0pwmThspxmc7dG9GI8WLOrrAx1LXlbVdubSjsiGo0on0Lmpva3BGewD5JrVuLUurV82OK&#10;iiWLeQM83uOrP8wR5ohbHFmwYJ6sf2npge2KKXNSaPTkJOFf5uvzTEtvEzZDwJgefcrWAH9IrCfe&#10;pmFDGtAsmeZ0bOkIU2aKOG5dkpMkq3T7RI33IOa2W/nohXSZI8wRt3Q6aNAAyZFZywOP2+6/2Eja&#10;K/BdRz8EbJFw7BAwJLvYxxCMt6j+GL2ut0lKogkdW4fe/6qt0WNpH4k+3IkirdQGom+2Zi0/OwW/&#10;jXgux08cp0Qb72GOMEfc4kio69DATySlSQPZV2I3zy5YmwZ9Kc1b+vzMsA4f6i9sA6wv3CE11a+e&#10;o/+0bcNkSm+eLNo+LaK3U7TxHthAOrsw3oP4/YHW+nIrz2OVLnOEOeKG9lB/VL0qbx2a6XNbUP/B&#10;/mvxBmOHOrfnTAo1a95Y/g76LBCH1vwuiCNptx4H1shp26C+tC1CHicOYqeAS4PFszS/t4aXends&#10;u3bpQk+tfpKeOXPa8nzm5/Xqd+YIc8QN7cLnHHXIbj0qxQFsYU/guj0l7UPuU1X3q3WtcP+cObOD&#10;1lH41y5Z7Ft/HNfrn2aiL2VGv+jW1dDbP3N6dA443jN92pRKOd7DHGGOuMGRRff6WDt2to735p5I&#10;InwKTiVRxqLmNGio9RrFikDbNZll47JJSQ1C9mnHWPT27Vssc5TBFfR39G0i/GCFv6vOhUj3lT+K&#10;uc0D22nSpAkV4o+C8aTiIyIeTG62WC8xi/aJ2Annzp0JytxI9MAcYY5Eopvy7mko/sajbmJtO50F&#10;sD+qiRgB+CSn1JB+o/suNPG7Rr/ebj+7uBU9eK8/AnOMnz55PKJ6gXbQErFOINYu1+0T7LcUfbMY&#10;Q57dpV30TEltRiPbNqN2SQ2puileJeJpoy/H6fGe4uJDtnGn1Hsi/lRW5raI8s2u7JkjzBE7XURz&#10;rLT0glEvsdauzoJN2VPluhBYG2Ls9Ma0fneK33n9Wrv9/FPJRlwirL2D9ko0z6ruvXDhbMA4kpgv&#10;7NgY8r3xntaiHwV9NKpeY4vxHqwBH429gD6YEWLeoZ4u/GpaNUqWY+HmeYrgcG5eTtR5yBxhjqi6&#10;5NQWWlY6hp+qzoM27ZoR1oDARz8eyv7esykynhHSbtS4sWs+YKdPl8j6bDeG3FLU/1HCtoDPa6Tt&#10;HXUffFsGib5Z+LqY2z59+/aWMaIQKyrUclm4YL6R78gjzBvK6GpdIwS/27tZisExjJdnZ2eF/Dt2&#10;z8McYY7Y6SKaY8VHDht63pxfNg5TeNYXk2hDXlPCJxR2qGswHox2EOoH+kMQ3zGaZwz13lOnTop1&#10;fJbbxpFs2iBJjiHP6RC9/2yw8R60QTDeEyyuwdw5s4w8R9tpUkf7uc6KYdhO69xGziVAnsKfLtL2&#10;IfKSOcIcCbVOhXpdII6o2GYYmwllfGbx8gnSV37qjJEEOwZ6x2ffvtjEWd0t1i1V8ZnUs2CLmAfT&#10;+oQe01qvy3b7M8Rah0hT/w3so8+pcO9uCz/h96ZfO717x5BtpbkdWhi/NWzYUEvaoZY5c4Q5EqpW&#10;Qr0uEEfGZ9SV8+8Q26y8+GaTMjr41Q1VTyZPmhSx1kN9/mDXwSZAnOvBg9Ol/616LmwxDwftlFlo&#10;SwgfNTtGhHoM9snUbh1t5x+jT0ON98Dvrmu3LjKvEE8lHIaoZxnSqrm8H4yM1M5jjjBHgtWbSM7p&#10;HEE8ZtU26darNa1cN9H4ro6bt4gZoOpnb/G3uW/fPmKcNo1WrVoZV/7mKo6kOc41nl2OIYtYSY6M&#10;IYvxHvTJtBTjPSpf1LZxSiN5DP0rGZHOJRLMQ+wnpIl+3kjKnDnCHIlEN8HuOXv2jKF31c+Kub0Y&#10;6y0vRmJBiW9cGJrGujjBfieezmEMefnSpXJdZFXH1RY+rvB1dWIMeXan1jRCMKWNmN+jj/fAplD2&#10;RSRbPB+eF2PgkeQrc4Q5Eolugt2Dv9OqDg0c2kraH5jX339I86C2CHxLkhr54pK1a9c2rmyPYO9r&#10;PocxZPjz9hK2lMoHtcUYcn8wJYR+0PJ4IMd7xJzmzimiDRVlO2qO6CdRz3hWrB9vfqfyvjNHmCPl&#10;aSSS88qfVcVlRdz3TfllbRxzWwZ2CHzooWX4e8KmieR34+2eM6JOoq0QaAwZ/mlOjCGXx5xQzjcX&#10;cxiR/7t354ed98wR5ogbde/gwQPG37e9JQPlfrA2Td9BZevMIG6JG88U6zSRJx07+s9BVjbA4K5i&#10;XWRhE4RS3926BnOh8TxY2yzcvGKOMEfC1Uyo16t1sdoL/4o+A8r8SMy2yPpdZTY1fEOwnnCov+G1&#10;6zC+gvVB09MHWcaQ4feBWElYI8MtVgRLFzFVwBHMjw43X5kjzJFwNRPq9Vu3bTZskmXrO9n2jaA9&#10;o9bfhX/EcbEuX6jpe/06jCHDv8xuDLmxGENGTMfpDowhB2OHfq5j7UdleY0aMSLsMmCOMEfcrI/Q&#10;pLLdsY4EfNEOlraQn8yDLQw/99ZtWhPm4rr5LPGcNvqm88VaPwMG9Jfr6Kg8wxZ+IX2aNqJZUcTC&#10;13kRaD+1js9feOyYUWGXA3OEOeJm/YIdP2vmEwZL9Pqh9ivSz93Nd3UqbTWGDKaY/Wcxhpxauzoh&#10;JkEgHkR6nNs1zAKnNOxWOkfEnBus0an6TBRDBvRPi9iH0q1njad0ET8k0Bhyu6ZNHWVJ63uxHjJ3&#10;hB9PgO0RZlBF1xu0X/CpzP2pbuTpkaPFfhxGLIBIbQ+7+1RMAawhGO7zM0eYI+Fqhq+PnWZgn4y8&#10;F18E8QbseBDJMaz5o2xE9kOLXfly3eK8rygNTJ86Rdb5lsLfIxJm2N2DdTnAEfjLRfIebI+w/iPR&#10;Dd8TO90YMbTrJznGEczXAUewjnEkZcsciZ0eIikvvofL6/ixo0YbZJ6YC2xnX4RzbHanVsacv0jX&#10;QmeOsC6ZTd7TgOrLmNkt+vHfvk1985rgBxipFpgj3tNQpGXN91Wesu7SpbO0SbA2YDi2h+VaMadH&#10;xR6Bn0+kGmGOVB5tRaoBvs97GsAcYtkvWrdexBxBrAA11os51pHGQoN+mCPe0xDXey4zrE2BOO9g&#10;ycSObcJniVj/Iqmmzw8eaaxZvTpiW4Q5wnpkJnlXA1gXHQyoWe3R8NY9Fwzp0aLMX2TY0KFRMYQ5&#10;4l0Ncf3nssN84Xp16kqWNKlbOySWzO7YwrBDYM/MnpXhyDpA3K5hPTKTvKuB7du2SI7ALoGfPNaR&#10;sPSlirVqcGxOp7L1anA9GOJU2TNHvKshpzTA6XhXA5hPPX7sWIMldWrVlGtVTBPzgTEmnNG9Aw0S&#10;47pYWxjrc4If+KAtAx97p8qeOeJdDTmlAU7H2xoAS5YtW2qJMaCYoW/RDnJyfXClHeaItzWkypG3&#10;XI4YtwUjhot5fB1SU6mpiCuAdSSwBtDYMWNknCTES3JDK8wR1p8buuI0E0tXzJHEKm+u31zebmiA&#10;OcK6ckNXnGZi6Yo5kljlzfWby9sNDTBHWFdu6IrTTCxdMUcSq7y5fnN5u6EB5gjryg1dcZqJpSvm&#10;SGKVN9dvLm83NMAcYV25oStOM7F0xRxJrPLm+s3l7YYGmCOsKzd0xWkmlq6YI4lV3ly/ubzd0ABz&#10;hHXlhq44zcTSFXMkscqb6zeXtxsaYI6wrtzQFaeZWLpijiRWeXP95vJ2QwPMEdaVG7riNBNLV8yR&#10;xCpvrt9c3m5ogDnCunJDV5xmYumKOZJY5c31m8vbDQ0wR1hXbuiK00wsXTFHEqu8uX5zebuhAeYI&#10;68oNXXGaiaUr5khilTfXby5vNzTAHGFduaErTjOxdMUcSazy5vrN5e2GBpgjrCs3dMVpJpaumCOJ&#10;Vd5cv7m83dAAc4R15YauOM3E0hVzJLHKm+s3l7cbGmCOsK7c0BWnmVi6Yo4kVnlz/ebydkMDzBHW&#10;lRu64jQTS1fMkcQqb67fXN5uaIA5wrpyQ1ecZmLpijmSWOXN9ZvL2w0NMEdYV27oitNMLF0xRxKr&#10;vLl+c3m7oQHmCOvKDV1xmomlK+ZIYpU3128ubzc0wBxhXbmhK04zsXTFHEms8ub6zeXthgaYI6wr&#10;N3TFaSaWrpgjiVXeXL+5vN3QAHOEdeWGrjjNxNIVcySxypvrN5e3GxpgjrCu3NAVp5lYumKOJFZ5&#10;c/3m8nZDA8wR1pUbuuI0E0tXzJHEKm+u31zebmigPI78n89+RZ/85GP+cB6wBlgDATVQHke++uor&#10;4g/nAWuANRBMA8wR1kcwffA51kcoGmCOsE5C0QlfwzoJpgHmCOsjmD74HOsjFA0wR1gnoeiEr2Gd&#10;BNMAc4T1EUwffI71EYoGmCOsk1B0wtewToJpgDnC+gimDz7H+ghFA8wR1kkoOuFrWCfBNMAcYX0E&#10;0wefY32EogHmCOskFJ3wNayTYBpgjrA+gumDz7E+QtEAc4R1EopO+BrWSTANMEdYH8H0wedYH6Fo&#10;gDnCOglFJ3wN6ySYBpgjrI9g+uBzrI9QNMAcYZ2EohO+hnUSTAPMEdZHMH3wOdZHKBpgjrBOQtEJ&#10;X8M6CaYB5gjrI5g++BzrIxQNMEfc1cnf//53ev9736dz5y7KT2ZmNgX6nDhxiq5de44++uhHHBOX&#10;4wJ7SgPMEWc4Al7cuvUKrV+3kSZPmUZ9+qZRcnIjuu++r0f8qV6jOnXu0o0mTJxM27Zl0t27b3tK&#10;W6H8HeNrnNFfrPORORJZOX755ReSG6jf/dIG0EMPPRgxL8JhzTe/eT+1T+1A8+cvpG9/+7vMFbZb&#10;4kIDzJHwOHLz5gvSPoCtEE79d+ta2Dxz5syT7aEvvvgiLjQV67+N/PvhadqJ/GKOhJbnf/7zn2nM&#10;2PERsaNfWproE9lu+VwpvUivvvSi/Fy7UkrPlJyip1avokULF9C4MaOpS+dOYf1ekyZNZV+ME7rg&#10;NELTBeeTL5+YI8H1gj4P9Hc0SEoqt07rvAhFX//5+X/Qb379WdDPpz/9RHDmBdpfVEQzpk2npk1S&#10;gj4H2j3oT3nvvW+zbcJtngrTAHPEniPgB/o9ymuPwM64fftOROW1ds0GWr92LYEV5fFEP//23Tu0&#10;acMGSm3XLuDz3X///6bhI0bJ9k4oTONr7HXA+RJavjBH/PPpk09+Kusf6mEwhuRkZ0fEDqXL06fP&#10;GOM5e3YXhMURnSl7CnYFfU68Q5u27aj00pWonlc9N2/99cL54csP5ogvH37605/R2HETqGrVRwLW&#10;S7RbDh06HHV9hH+IzqkRw4dGzBEw5acf/xudfPo4de/WNeCzgyewT/76179G/fxcd5glZg0wR74S&#10;Ph+bgo7bgh8ffPChY/UPPmm6rTMkPT0qjuj2Cfpug/EE40zFxcccexeznvh7YjIm0Tny1Oq1fnVa&#10;r9/gx7fefc/xOucmRxRTnj5+jPqL59ffR9+fNHmq4+/FDElMhqDcE5kjy5at9Gtf6PVsZ1ama/Ws&#10;IjiiePLayy9RmzatbHnSs1cf+vzz/3TtPZkricOVROQI+lIHDEy3rVuRjr2EU2fc4shHP/yAJk+c&#10;INs1xYcOGm2lX/78U9qwdo3t+8KP7bXX3mCW8BhxVBpINI5s3ryN4GOh2x5qPzc3x5KXuB5+6C1b&#10;taasrFzL+XD4oa51iyPr1/i30d7/1+8aLIF9smdXnu17w6cf40fq+XibOHaEU2WdSBzBnBTFDH2L&#10;sZNPP/3UUo9+8++/8bse1/3ql7+yXBduWWAMVv/9uXNm+9V31SYJZ4sxmwb1G/ile6Co0C/dX3/2&#10;K9q6eaPfNeo58G6FhUVRv1u4ecHXVw5mJQpH4JOq6oy+HTJkKP3hD3+wrT+f/uxTyz2Yfxut9v/x&#10;j/9HzZu3oO7du9LMJ54gtEfCYYbdtetM7ZYHq1ShN19/xTbdjz78gMaMHml5N7AE/a//+Mc/on7H&#10;aPOI7/cWXxKBIwcOHLbUGbAEvqjl6XXgoEGWe+HrWt59oZz/j9//zrae23Ei2LGbN54jcEPnI7gS&#10;7B7YJkuXLPa7R93PYzneqsOhaM3tayo7R9CnWrduXUt9CbU/9ZOffGK5d9TosY5w5O27b5G5DyNY&#10;3bc7Bx95Vf/VFu0btHPsrjcfWyvmBar71JbbOMyRcLlTmTkChmAOrKofanv37t2wODBu3ERLGk7E&#10;/kjrP5B69uwRUn0313/1ff68OZZnO3L4UFhpBmLJ629ENm8oXA3y9d7nVmXlCMYf7MZlDh44GBZD&#10;oHH4kptjm12//lzY6ej1BW0jcK19u7Zh1XnFD7VdvmyZH0eSkhoQxnnV+VC3vXv29EsHz4Y5Auhr&#10;1p+b971f590ow8rIEcyVsYszBLsi0jy8cuVZv3r2VpQxDtXYb7Qc+dY771CL5s2MZ8vN2Rk2Q8Ca&#10;t0T7SE9H2W7oD/6f//l7xPkWaX7zfd7iVWXjCMZCML9V1QO1HTZ8RNR14c7tu3T82DH62c9+FnVa&#10;TnFE2Rt33niDvv3uOxExRKUBO+bxIYMteZc++PGo35e54C0uhFtelY0jiMWu2KFvP/vss7iqC05z&#10;RLEg2u3HP/ohpTS2xqfGPKRwtcXXV2526OVbmTjy+eefW/oxMNdOf9942Y9XjoBDt4VtYx5HRl8T&#10;97smDhfCrSeViSOIJ6jbINh/++13mCOCDeHaKbvycix5idiSaDeGqzG+vvLzp7JwBOtHwe9B50go&#10;fmax0ng82yNgDvpKMPaj5yf2MzJmM0d4Tp9FA5WFI+a+Vdjhv//97y3vGytumH833jkCltjZJGD1&#10;X/7yl7jNV3M+8/eKsYUqA0fmzbPOv7t4sTSute4FjsB3PrW9dexryxb3YrNwva+Yeu90PnudI1hf&#10;wexv1n/AgLhmCMowHjkCX/r8vFyxvsVUKjl1UvapvHLrBUvbBr45X375ZdznsdN1hdMLzDivc8Ru&#10;bYiPP/7Y0Dh84zHXFzGcnZpf54Se4okjmG+8aOFCqmaKcY1YamjfnDl9ysKSvLw9Rh5Hmx+I56A+&#10;16/f8Ev3Bz/40Di3Zct2v3P4XcS0U/f++tf/7ndeHcc8TfMzqnPY/tXUTvvd735vpIn0zffiO9JU&#10;acB3+uOPfyKvU8+zZs16y31YA3rvnn3Gffn5e+hPf/qT5brvfOdfacOGzcZ1iKeLY3bPgWNI9/z5&#10;S8b1eC74PwS7J1BakR73Mkewbra5HxBxAPS86Nath3EN2vaYYxcPPIkHjqDdgj6QWrVqGnmk5yfW&#10;91PjPOPGjPG7Bj7zTtkk+m+a69/l0qvG77Zp09avbFHO1apVNc6b641K184HUZ3DFtzQNfOjj35s&#10;pIn09XPgRbNmzY3zKp3777+PVq1aYzxPw4YN/e5DGog5oa5X21dfed24DmnjWdU58xbnsK6j/jzg&#10;Us1aNcK6R7/fqX0vcwTrKJjz+tatl/3yOdA6eOBLLOMJxgNHnlyx0pJ/en6+ffe2wZHrVy9brn3z&#10;jdt+eR2pJvXfjHeOjBg52pIPeG/9HbBv5shvf/NbyzUYT1TsQ6ybBx74pt81Kj/1tHUmPvHELL/r&#10;9fHJQPeoNJ3eepUj//ePf7T0i+BvpDl/snPy/fJaz1/YJy+++IrlHnMabnyPNUfQF1K1atnfcj1f&#10;cDxz+1aDIWoc2BxvDYx2Im/03453jtSrX8/QE5iiv7/+d83MEXP8iXfe+ZbfvRkzy+ZtP/zwQ/S7&#10;3/7OOI9YfdnZO+nEiRP0ox/92DgOH0uVdwsWLjWO45kwVgkbSZ1X7S79eZ3c9ypH7PzfA+XLubPn&#10;xBqbZXmu8hZblH2g+9w8fuKEr8/BybVrVBsklO2H33/f0JieH6NHjqDvfefbfgxR6W3dtMlyz7sO&#10;rMuh/368c0R/1uefv+WnnTffvGPkT3kcAVd0fenpRjuXXKVbu3Zt43nMz6qucWrrVY6Y472H4v8O&#10;31YzTy5fvupXnk7la3npKA7GiiNgw4J5c6XO4AO/RsQz+r4pLrTih9qiP9bsL//YY49FnX96HfIS&#10;R8x/4z/+t4+NehsNR9D/Wp5+7M6j7+Ty5Wuyv9Xcz2J3vZPHvMiR34i2pnms95133g0577N3ZoUU&#10;U9HJfDanFQ8cAR9gl2BunmJFedtRI6z9gO+9952Q896cD/juVY6Yx4d+8YtfGO8SDUf0/LDb11kL&#10;dmwR41gdOnY2flu/B383f/CDD6IqH7syMx/zIke2bcu05Jn5veL9e7xwpDxumM8/c7rEkvezZ8+P&#10;Sqe67vU6gjKsiPEa9IHqegk2XqM/q1sc0ftL1XPpv6vsFYxXY00U/Rz2cb9dGiotN7Ze5Eifvv59&#10;HRWdZ06Ug1c5gljzZt3CNowmT/T0pk17wi+tCxcuGb+H8U3z76BPUt2vxj7UNeq4PsZhPodr0BZQ&#10;x7H97ne/Z6RpHvdVaWLrFkdgX+jPg33df0E9r9kGMd9Tkd+9xhHYceY2zcmnT1ryvSLzMJLf8ipH&#10;YJ+ktmtn1DNVr9DWjCQfcI9KA9uUlCaGjwTmFut9hTivr3H+i5+XtSNw7sMPf+j3DCrd8jgyWPM5&#10;+uc//+lXZ83sUmliGw5H3hCxbvV78V3Pr9279xjnwYcvv/zCOI9r1ZgwuKnu0/v6zp27ZBzHeeQN&#10;eATm6Gmpe53eeo0jmNerlwf2nc6TikjPyxxZtHCBpQxu3ngh4nIwlyfsTZQBfEPN52AfYFwE5819&#10;iV98UVb3cF7dWx5HcB18QHGP2SfD7Pum0sQ2VI7otoR+P/bhr4vfxUfnglr7AyzQ7ykpKTGuz83N&#10;Nc7hN5SPGuwy3VYxjwmr33Ny6zWObNq41cg75C/WlHAyPyoqLS9zBOvl6NrGPvwfIs07PS34Z+j1&#10;ST83VsTXRRtWP6b2J0+Zbvl9dS4YR8Clt99+1zZN3H/16nW/dFWa2DrNEfiUBHp3/N4Am3ljwa7H&#10;PTgfabmEc5/XOPL40OF+ZR7v83oDlYWXOQIfNr0+YR9rBAd610iOY30h1V+IrT7mYD6Xv2uXI7+t&#10;/x72I3nuQPcgPT3PgqVvfg58B+sCpY11VOzuCXWNpkDphnPcaxwxr/8QLH/DyYeKvtbLHEEfCeLc&#10;6/UC+xWdh176PbM/q9kPzUvvYvesXuLI+9/7vkW7qk1o927xfMzrHBn2+GBLWcRzfsf62Zgjvj6g&#10;WJcDfh8xy/W/gdGON8bynbzOEbu+Vqf8uZ0qF6UVu/4Rp34j3HTQx4HnYnskdlzp1LmrH0ecmicW&#10;rhacuN7rHDl+tNivLFA3zp09H1dtm3jkCLSDfos//td/xVVeRatpL7VrMJdDaQPbnr36eLYsvM6R&#10;W8/f9CsLlEfx4WLPlke09SjR7/cKR7DGrs4Q7Mdqjp0TmlEc6datC2H8w+x/Hu/fsXafuTx2F+xm&#10;jtzzBXFCI15KwyscwXrVZt2aYxZ5Jd8R63H0mHHG+3Tp0imitb1jyRrMDTaXB757pQz4OZ3tn/AK&#10;R37847I52Uq/TsS+qGg9bd68zeLXj/eZPHEiIc5hLNkQzm/jWVU56NuKzk/+PWd5EGl+MkcqrhwQ&#10;F1avc+b9k08fjzlHCvfslvHiETPe/EEseZ115ufH90h1yPdVnA7dyGuvcARzBsy6ff/9Hxi6xdq+&#10;WOsN8c3sPoWFRca1buRjeWn+6b//W8QxfMTyDvo7jRszOqYc6R8gZpz+jLvzdxnPqB9X++XlA5/3&#10;Ni8ClZ9XOII2jNKq2qKto94LceDV8UDbn5hi2al7K2Jrx0Hzc8YyNhpiGZmfx+77zIwZzJEE7UsN&#10;Vk8qC0fsYvqb64F5XlWwfHH6nB0Hzc83Y9p0o46G01fh1LX7iwotcRP1Z0RMRczRU7+nn1P7Tucb&#10;p+cN+6WycOQtm7VslLaxzc8vMGyXWGgTsTH057Hbv3jhnFFHVV2t6O2rt16gmU9Mt/1cv1Lq93x2&#10;7xCLvOXfjD1rvMIR9IWYdWuOfxXvepo7d6HlHdQ7YR3dX/78U796WtEMCff31LPr23gvA34+d5jj&#10;FY5UlnHfSZOmWlhSrWo1Qiz2cOtxLK+3W7eiomJdMAvcYUE0+epljhw+fDymbZVI871d+1QLS8KJ&#10;2R5Lfqjfxlp7uh2C/WAxNSLNK74v/phhVyZe4cjf/vY3i27nzJnnSY78VqyVZq6Dev+lqqvxvL0m&#10;+krM77AzK9O18tB/K1h/Odq60IW+Bi9iIyJO4SvaWrp2dcGNY+gXw7p7epxZxECcMGGysba43e9i&#10;7W/EldTfA7HiEPcRPg5298TymFc4gjzStYR9xEaLZd5F89tmX5I8sV53PHPD/GwF+XmW8ijcu8+1&#10;8tDLPhBHFi9eankm2EjqXqxTmZOd59oz6npAvGjEfNXj2auYZep5ENPRbp07xGXuJeagquuw1d+j&#10;ZctWcccSL3EE+afnLdbu0MvOS/t6HF68E3xHzXU1nr/bxR/B+rNulYFe7nYcMccJQnx1Pbaquh/H&#10;VZxot54V6d648byfVvfuLTTyRmcC4tFj/Sz9WbCGj3pePV69HlPevD6Hfn8s9r3EEXMsb7t1wWOR&#10;h5H85uQp/5+9a4/R4qri85eh/xhasFFTik2q1IrRamphi7aFKhKwiWnRgg2xxtRHWdsuW7VtTLXh&#10;UaBbloVd7YPHUqQFxKw1EYFseXUfPJbWUB42NC78QYFIdpuYrPUf/X6fOcOZO3fOzs4338ydb88m&#10;m3tn7sy9557H77tzH+fM93UFOnN3yb+Ny7hh0maLq3fq1JV9gUl4Ir1DdoXUhiPtG9sD/ESMTF4f&#10;963O40zwZ9LM83HIxIkTA7SgHf6dQ77qqX08T/3dtavTf/dfpbhXFPsbYxmXfAEWCUfAU+IvpYMD&#10;Az6fSQ5FSE2/99de+7FC4cgNn7ohJItq8p3kjdSGI93dPb6v49XNq0M6sbs0N0J1wIarSSvqpm8Y&#10;pDjfbbbH4wRivoTKB0r6THRi7ET3KeXzJU3PVe87ktqLmxYJRxCfZMyYj/h8Br/z3Osel8e25xDP&#10;ifSF0qOHeguBJX05+AwgHiG14YiNx/wej72LOuL8liOODm+X53ndSfLNq1v9uvn3OY81bsbOQTuc&#10;Jpf8RRYJR8DHyZ8PxnJ79NGGEGYnkWse71xzzdW+LkFHt299tRA4smH9ugDdoB2/u9XkIbfhNHBk&#10;aOjfw9KLmFN8XMHzlfYV3zLUJ5zpoPp6enr9+5hrpfuUcr81+Lah+3mnRcMRc16hyL4Vp90+zdcZ&#10;6FTjooZC4Mj8efcH6Abt1T53QDaHNAmO4Leb6sjiu0aya9CP+KNEz86du3w8wBww3Z9x9zf8+1Qf&#10;fGlTOVLECqeyPNOi4UhLy5XxIPiI+EvwuZgnD5O2vfDh+oBOfHfufYXAkTxi13DbicIRWgPDPCX0&#10;BHLBs+b8PPZzJJVZ0vewrwVjEIwnKFYv+rR2zf/ppHrh44/6avtu4eV4TnHkv4lkCcww50h+/Zsl&#10;ieoi2eWVvm6sDdbVTXUeR95+q8/Xc9J3pNXmIW8rCkf4M1F5rKMODQ1VnV6TH/x7BbQBS1asDM+T&#10;8vlgG46YmKg4kgxHIJ8bb/x0SJdNuRXh+p3jwTPAOJfv+lk92/6zLM7VcFxIiiPVnsORdA57UNE+&#10;7wf2q5rv8O8azKma5diXy+swy/O6Ltp3Dfhk81n0zvETIZ7nxdO47V688H5AJ6Afmzasy2xMAh+J&#10;HX/c7mGPO/LmHhHbdd3UqSGan312Waq837LltfJecjrPfeHCxUCbUTjC7RRrIIi7HVcWWT5Hsb2x&#10;F4S+v6h99JlwQudZk481iJ9SCswgXlNaX/9YLJ3BuYWXXlpf+m1Y7CHOp9ROtcsGBy57U277SqAv&#10;c+/9dix7ttn4SO/95EcP+W1Pnnyzt7q5WYyBsa8zvH8H/E+bT4gJTnLF3orly5/zr3E/CkcQL5ze&#10;M/d2pU1jJfVh3y/RiTMzvK7BwUG/TNd9q4sj4Duff4dMEKMTPlC5TMw88IPHGcccLc7Mmc9ldQ0c&#10;mX9/eO0jq7O/Y8eO9XWW9Br74eDr2TY+sa3TVJNXfHxB9CGNwpEXX7iyJ+fOu2bkJlfw5MyZMx4w&#10;EFhgjivWrP1dgO8mD2kvLMYrvK84d4P5HeKFuZ/erCfL6yJ+14A/HR3B8wvgbdRekv0lX2lYHyb+&#10;8xTzWlnym7cFHFnU8FiIrs49uzMZk9jWXYg3D/3wByEarrb4qeb9qUbehiXctsw2iX78zmNMYvvP&#10;6twv0cLPB27btiOwJ56fn6G+/H7zFl8nsL5D/eVzrHzvGr2XZ1pUHLHF10PcTux55fx8+ulnQus7&#10;JF+kecZZBY68sil4LgQ04d5Iv1GSPN+8qkn0x7rnrzt9OrBHjvMN+aVLs1kna2lZG2ib7IrLmfIm&#10;jbbrJRmd+V2xfGWAbhstZ8+eDegr+oFzNHxt2PYeP3dDfc8zLSqOgGc232KbN78akIttbQdywe9c&#10;nnxH28CRroMHQ7oGPx5JcCHJO7093d6sb84M0QAetW9Y79NhzuOgPEv+8XFJUXAE/MFcL82rcjzA&#10;vWPHoufn8F3E+0zv4j3MQ2fJ+zhtFRlH3jvzXkj/TZ8kE66/PvCMC/hBcgGOwPa/9tXbfRpvmvQZ&#10;r/vNN337TYINSd7Z8YdtHuJeYO0ZOjt+3DgP52gwT/I9y/5Vl/hI/NS0+vOSUTwuMo6gTzNnzvJt&#10;kDAbceuovydOnizjOvS+u3QmlO67kBKOnHn37x58xWP9Ne/9IxifbC59V5G/2OZSLAriK09d4J/S&#10;kB9umLwvOo5g/Mf1G3l+7snsr0vXhCNJxg9ZvIN1I6zfmPzVsYg79uuKPhcdR8BH2xzIihVNTo09&#10;bPJ2HUd+9dSTIQwBptj6ovdGN7bUAo5cunQppO/AFtd122UcwVjkk5/4eIivmOdzna9KX/aYVgs4&#10;Ar1pbHwipPOzZ3/Lg79dV/XKZRz5ztx7Q/zEWKSry8295q7KeLTQVSs48p8PP/TGjR8X0n2XY1O4&#10;iiMrl1/ZX87nRnReJPvf+aLgUK3gCPGb6z3y8DGwceMmJ8ckLuLI7l07/bVfzkv9nlEMIRuzpbWG&#10;I+2G33DYAsYpeZ/Js/HeRRyZVlcXGtOBh6ueb3YSi2181XvZY16t4Qh0CP6u+G8p8pMm3eR98IF8&#10;jm84/QMWpXlOOA0cwT6xtrVrynvZsJ8N44kka8LYL4J9aCbfcN3W2qYYUtKr4fRjNJfXIo6cO3fO&#10;ag/wAZNU1ufPv+9RDDzbOZ4k9aaBI79tDZ49wRrLu6dOjghLsA/ui18I+s8mPNE5EcWPOLpdiziC&#10;fh85cjSEJfATsPW17YmwBOdGybaQdnVVvjc2DRxZtmxJgC7Q9kh9fWwcAYbceccdoTpQj86JKIbE&#10;wRA8U6s4gr5hPM5tH3lgyaKGxz34cojLox07Osr+TXhd/f39sd+PaicNHMH3iHn+H2dksL99uO8b&#10;vDtlym0hHimGKH5E6WzU/VrGEfS5oeEXVjuZPuPrHnyjRfGF7u/Z0xnCEJzpofJK0s7ON7zersrP&#10;5B3/29vehOsmBPo5Z/YsEUeOHD7k4Uwgx0bK6zhEcWSkel3rOAJ+ADPIRniKOAXwvyvxDD6t+DvI&#10;v9G5V3xHqo/KEM+NfCsd3L9XtPnhxhUot+1h3/2XP1vrxfxJ1LoM+kc0aqp4ElcHRgOOgBc/ffiR&#10;EB7AZrB//sTJ01bb6f9Hf+idNNY/gSH8TNCD319gtfc4+EHP4Iy/6SexaeWKUL3tGzdEjkPAj8OH&#10;Dlt5EVef9LnRiT2jBUeg36ZPV9gN/uGjxBbv9fLlywEcSWu8j/kWahsp1lsJDypJly5+xq8X53T5&#10;NxP8ETQuCvtwJDrS6pviiOKIqQMSxpjPFuX6wIGw/zHYEuIGm77U0Cf4DsTaZ5rrn2iH7DdNHAEG&#10;rXv5Re+pJ58IzLMe2L/P+9IttwTa5O0rhoxO20/TZiWskMrSpCHruvr6+iJtCr5Lqr33tZo4wscz&#10;mH/95eON1n3uhCOKIYohadifhBVSWRpt51nH+fPnvSWLF1vxBGvDjY0/j7Wek6QP1caRo4d6vQfm&#10;zbf2jfAD6d69+3QupDTmTCJDfSfINwkrpLJa4ePzTasi7Q1zoW1tL6SuZ9XEkdf/1OHZ4kNw/EA+&#10;K1/vtaIn2o8gbpj8kLBCKjPrKfL11q3bI7EENod5WOxnHRwYSAVTTByBv3b+PZIk31PyDY11H/LT&#10;bOIGXd81fXoqfSiyvJV2GROS8EfCCqksSVsuv3P61GlrfACyP6Q4X4O1lkr7gdgjvF6cs0uKHViD&#10;ufXWLwfq43XzvH7HpG8/lepCrbwvYYVUViv9N/tx7Nhb5bUZbn88D38m2NeG7x3bWrFZX9Q1vqfa&#10;2lo9HmsqDpYgxi72nNnidXM6eT7Ntaao/uj90Y1RElZIZbWuN4hRgbUMbo+2PPbEYk4WsT9HypN/&#10;XroYOQ6BPwDEyEJsvR+X4nljj4nNd7uNJtwD7Yofo9u2R6qPlTwvYYVUVkmbRXoXeAJ7jLJXfh/z&#10;KIjDtXDhz7yWltZhseXlUtxyxPcFTjwwf553z5w5Zbwwz93xNobLAz/0+0XxI2sbk7BCKsuaThfa&#10;w3rwcHZsll911ZjyHnjsS5k9557y/4IFD5bnbT978+dGXJ9ZP7/W8YfiR152ImGFVJYXvXm3C18E&#10;cccn3MarlQctih+KH3nbhYQVUlnedLvQfk9Pb9mG48yjpIkjwA39dlHscMEGiAYJK6Qyel/ToD7T&#10;+ABppdhBc6U63gjyWHXOPX5IWCGVqSyTyRLjCI41lFd+JuOn8s0NvklYIZWp/NyQn8pB5eCCDkhY&#10;IZW5QLvSoDakOuCGDkhYIZWp/NyQn8pB5eCCDkhYIZW5QLvSoDakOuCGDkhYIZWp/NyQn8pB5eCC&#10;DkhYIZW5QLvSoDakOuCGDkhYIZWp/NyQn8pB5eCCDkhYIZW5QLvSoDakOuCGDkhYIZWp/NyQn8pB&#10;5eCCDkhYIZW5QLvSoDakOuCGDkhYIZWp/NyQn8pB5eCCDkhYIZW5QLvSoDakOuCGDkhYIZWp/NyQ&#10;n8pB5eCCDkhYIZW5QLvSoDakOuCGDkhYIZWp/NyQn8pB5eCCDkhYIZW5QLvSoDakOuCGDkhYIZWp&#10;/NyQn8pB5eCCDkhYIZW5QLvSoDakOuCGDkhYIZWp/NyQn8pB5eCCDkhYgTL9Vx6oDqgOxNEBF/BM&#10;adDfVdUB1QHVAdUB1QHVAdUB1QHVAdUB1QHVAdUB1QFXdOCjnueNL/3jb2zpH/n/AQAA//8DAFBL&#10;AwQUAAYACAAAACEASuQJB+AAAAAJAQAADwAAAGRycy9kb3ducmV2LnhtbEyPQWvCQBCF74X+h2UK&#10;vdVNarQ2zUZE2p5EqBbE25gdk2B2N2TXJP77Tk/taXi8x5vvZcvRNKKnztfOKognEQiyhdO1LRV8&#10;7z+eFiB8QKuxcZYU3MjDMr+/yzDVbrBf1O9CKbjE+hQVVCG0qZS+qMign7iWLHtn1xkMLLtS6g4H&#10;LjeNfI6iuTRYW/5QYUvriorL7moUfA44rKbxe7+5nNe34362PWxiUurxYVy9gQg0hr8w/OIzOuTM&#10;dHJXq71oWC9eOMl3noBgfzpLeMpJQZK8JiDzTP5fkP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Ms7cppOBAAA7gwAAA4AAAAAAAAAAAAAAAAAPAIAAGRycy9lMm9E&#10;b2MueG1sUEsBAi0AFAAGAAgAAAAhAKw6FJaSRgAACKgFABQAAAAAAAAAAAAAAAAAtgYAAGRycy9t&#10;ZWRpYS9pbWFnZTEuZW1mUEsBAi0AFAAGAAgAAAAhAErkCQfgAAAACQEAAA8AAAAAAAAAAAAAAAAA&#10;ek0AAGRycy9kb3ducmV2LnhtbFBLAQItABQABgAIAAAAIQCOIglCugAAACEBAAAZAAAAAAAAAAAA&#10;AAAAAIdOAABkcnMvX3JlbHMvZTJvRG9jLnhtbC5yZWxzUEsFBgAAAAAGAAYAfAEAAHhPAAAAAA==&#10;">
                      <v:group id="그룹 44" o:spid="_x0000_s1052" style="position:absolute;width:21342;height:27495" coordsize="2134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053"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39" o:title=""/>
                        </v:shape>
                        <v:shape id="Text Box 43" o:spid="_x0000_s1054"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119FA4AB"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v:textbox>
                        </v:shape>
                      </v:group>
                      <v:shape id="Text Box 120" o:spid="_x0000_s1055" type="#_x0000_t202" style="position:absolute;left:11620;top:762;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3A2643B7" w14:textId="0358AB5F" w:rsidR="006D7011" w:rsidRDefault="006D701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v:textbox>
                      </v:shape>
                      <w10:wrap type="square"/>
                    </v:group>
                  </w:pict>
                </mc:Fallback>
              </mc:AlternateContent>
            </w:r>
          </w:p>
          <w:p w14:paraId="20AC2219" w14:textId="325B7DAF" w:rsidR="002E5800" w:rsidRPr="008F328C" w:rsidRDefault="000E0B7C">
            <w:pPr>
              <w:pStyle w:val="a3"/>
              <w:numPr>
                <w:ilvl w:val="0"/>
                <w:numId w:val="22"/>
              </w:numPr>
              <w:rPr>
                <w:b/>
                <w:lang w:val="pl-PL"/>
              </w:rPr>
            </w:pPr>
            <w:r w:rsidRPr="008F328C">
              <w:rPr>
                <w:rFonts w:eastAsia="Times New Roman"/>
                <w:b/>
                <w:bCs/>
                <w:lang w:val="pl-PL"/>
              </w:rPr>
              <w:t xml:space="preserve">Odczekać 15 do 30 minut </w:t>
            </w:r>
          </w:p>
          <w:p w14:paraId="06A4D674" w14:textId="77777777" w:rsidR="002E5800" w:rsidRPr="008F328C" w:rsidRDefault="002E5800">
            <w:pPr>
              <w:pStyle w:val="a3"/>
              <w:numPr>
                <w:ilvl w:val="0"/>
                <w:numId w:val="0"/>
              </w:numPr>
              <w:ind w:left="471"/>
              <w:rPr>
                <w:b/>
                <w:lang w:val="pl-PL"/>
              </w:rPr>
            </w:pPr>
          </w:p>
          <w:p w14:paraId="7CC3CA8C" w14:textId="77777777" w:rsidR="002E5800" w:rsidRPr="008F328C" w:rsidRDefault="000E0B7C" w:rsidP="00404101">
            <w:pPr>
              <w:pStyle w:val="a3"/>
              <w:ind w:left="4297" w:hanging="180"/>
              <w:rPr>
                <w:lang w:val="pl-PL"/>
              </w:rPr>
            </w:pPr>
            <w:r w:rsidRPr="008F328C">
              <w:rPr>
                <w:rFonts w:eastAsia="Times New Roman"/>
                <w:b/>
                <w:bCs/>
                <w:lang w:val="pl-PL"/>
              </w:rPr>
              <w:t>a</w:t>
            </w:r>
            <w:r w:rsidRPr="008F328C">
              <w:rPr>
                <w:rFonts w:eastAsia="Times New Roman"/>
                <w:lang w:val="pl-PL"/>
              </w:rPr>
              <w:t>. Pozostawić ampułko-strzykawkę w temperaturze pokojowej na 15 do 30 minut, aby się rozgrzała.</w:t>
            </w:r>
          </w:p>
          <w:p w14:paraId="7E3E55B7" w14:textId="77777777" w:rsidR="002E5800" w:rsidRPr="008F328C" w:rsidRDefault="002E5800">
            <w:pPr>
              <w:pStyle w:val="Default"/>
              <w:rPr>
                <w:rFonts w:ascii="Times New Roman" w:hAnsi="Times New Roman" w:cs="Times New Roman"/>
                <w:color w:val="211D1E"/>
                <w:sz w:val="20"/>
                <w:szCs w:val="20"/>
                <w:lang w:val="pl-PL"/>
              </w:rPr>
            </w:pPr>
          </w:p>
          <w:p w14:paraId="386B4D3C" w14:textId="77777777" w:rsidR="002E5800" w:rsidRPr="008F328C" w:rsidRDefault="000E0B7C">
            <w:pPr>
              <w:pStyle w:val="a3"/>
              <w:numPr>
                <w:ilvl w:val="0"/>
                <w:numId w:val="41"/>
              </w:numPr>
              <w:ind w:left="4297"/>
              <w:rPr>
                <w:rFonts w:eastAsia="Times New Roman"/>
                <w:lang w:val="pl-PL"/>
              </w:rPr>
            </w:pPr>
            <w:r w:rsidRPr="008F328C">
              <w:rPr>
                <w:rFonts w:eastAsia="Times New Roman"/>
                <w:b/>
                <w:bCs/>
                <w:lang w:val="pl-PL"/>
              </w:rPr>
              <w:t>Nie należy</w:t>
            </w:r>
            <w:r w:rsidRPr="008F328C">
              <w:rPr>
                <w:rFonts w:eastAsia="Times New Roman"/>
                <w:lang w:val="pl-PL"/>
              </w:rPr>
              <w:t xml:space="preserve"> podgrzewać ampułko-strzykawki za pomocą źródeł ciepła np. gorącej wody lub kuchenki mikrofalowej.</w:t>
            </w:r>
          </w:p>
        </w:tc>
      </w:tr>
    </w:tbl>
    <w:tbl>
      <w:tblPr>
        <w:tblStyle w:val="ac"/>
        <w:tblW w:w="9634" w:type="dxa"/>
        <w:tblLook w:val="04A0" w:firstRow="1" w:lastRow="0" w:firstColumn="1" w:lastColumn="0" w:noHBand="0" w:noVBand="1"/>
      </w:tblPr>
      <w:tblGrid>
        <w:gridCol w:w="9634"/>
      </w:tblGrid>
      <w:tr w:rsidR="002E5800" w:rsidRPr="00A5286D" w14:paraId="022FBAAD" w14:textId="77777777" w:rsidTr="003C136D">
        <w:trPr>
          <w:trHeight w:val="5933"/>
        </w:trPr>
        <w:tc>
          <w:tcPr>
            <w:tcW w:w="9634" w:type="dxa"/>
          </w:tcPr>
          <w:p w14:paraId="255C22CE" w14:textId="77777777" w:rsidR="002E5800" w:rsidRPr="008F328C" w:rsidRDefault="002E5800">
            <w:pPr>
              <w:ind w:left="224" w:right="1248"/>
              <w:rPr>
                <w:rFonts w:ascii="Times New Roman" w:eastAsia="Times New Roman" w:hAnsi="Times New Roman" w:cs="Times New Roman"/>
                <w:b/>
                <w:bCs/>
                <w:spacing w:val="-1"/>
                <w:lang w:val="pl-PL"/>
              </w:rPr>
            </w:pPr>
          </w:p>
          <w:p w14:paraId="5AB000B1" w14:textId="77777777" w:rsidR="002E5800" w:rsidRPr="008F328C" w:rsidRDefault="002E5800">
            <w:pPr>
              <w:ind w:right="1248"/>
              <w:rPr>
                <w:rFonts w:ascii="Times New Roman" w:hAnsi="Times New Roman" w:cs="Times New Roman"/>
                <w:lang w:val="pl-PL"/>
              </w:rPr>
            </w:pPr>
          </w:p>
          <w:p w14:paraId="2D17678F" w14:textId="3E96C686" w:rsidR="002E5800" w:rsidRPr="008F328C" w:rsidRDefault="00F2584C">
            <w:pPr>
              <w:ind w:right="1248"/>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286" behindDoc="0" locked="0" layoutInCell="1" allowOverlap="1" wp14:anchorId="394AE224" wp14:editId="4CEC0B42">
                      <wp:simplePos x="0" y="0"/>
                      <wp:positionH relativeFrom="column">
                        <wp:posOffset>40005</wp:posOffset>
                      </wp:positionH>
                      <wp:positionV relativeFrom="paragraph">
                        <wp:posOffset>47625</wp:posOffset>
                      </wp:positionV>
                      <wp:extent cx="1824355" cy="3219450"/>
                      <wp:effectExtent l="0" t="0" r="4445" b="0"/>
                      <wp:wrapSquare wrapText="bothSides"/>
                      <wp:docPr id="3876" name="그룹 3876"/>
                      <wp:cNvGraphicFramePr/>
                      <a:graphic xmlns:a="http://schemas.openxmlformats.org/drawingml/2006/main">
                        <a:graphicData uri="http://schemas.microsoft.com/office/word/2010/wordprocessingGroup">
                          <wpg:wgp>
                            <wpg:cNvGrpSpPr/>
                            <wpg:grpSpPr>
                              <a:xfrm>
                                <a:off x="0" y="0"/>
                                <a:ext cx="1824355" cy="321945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577DA603"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5" name="Text Box 125"/>
                              <wps:cNvSpPr txBox="1"/>
                              <wps:spPr>
                                <a:xfrm>
                                  <a:off x="520614" y="2301240"/>
                                  <a:ext cx="1233377" cy="73762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A9BC5" w14:textId="4258A2C5" w:rsidR="006D7011" w:rsidRDefault="006D701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4CD6A437" w14:textId="77777777" w:rsidR="006D7011" w:rsidRPr="003C136D" w:rsidRDefault="006D7011">
                                    <w:pPr>
                                      <w:rPr>
                                        <w:rFonts w:asciiTheme="majorBidi" w:hAnsiTheme="majorBidi" w:cstheme="majorBidi"/>
                                        <w:b/>
                                        <w:bCs/>
                                        <w:sz w:val="10"/>
                                        <w:szCs w:val="10"/>
                                        <w:lang w:val="pl-PL"/>
                                      </w:rPr>
                                    </w:pPr>
                                  </w:p>
                                  <w:p w14:paraId="6166AF0A" w14:textId="77777777" w:rsidR="006D7011" w:rsidRDefault="006D701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4AE224" id="그룹 3876" o:spid="_x0000_s1056" style="position:absolute;margin-left:3.15pt;margin-top:3.75pt;width:143.65pt;height:253.5pt;z-index:251658286"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auZxTBAAA+wwAAA4AAABkcnMvZTJvRG9jLnhtbOxX227jNhB9L9B/&#10;IPS+sSTfNkKchZs0wQLpbrBJsc80RVlEJJIl6Uv6OwX6C22BflH7Ez2kJDtyUmwSLPrUhyhDaoY8&#10;MzxzKJ+829YVWXNjhZKzKDmKI8IlU7mQy1n04+3Fm7cRsY7KnFZK8ll0z2307vTbb042OuOpKlWV&#10;c0OwiLTZRs+i0jmdDQaWlbym9khpLvGyUKamDkOzHOSGbrB6XQ3SOJ4MNsrk2ijGrcXsefMyOg3r&#10;FwVn7mNRWO5INYuAzYWnCc+Ffw5OT2i2NFSXgrUw6CtQ1FRIbLpb6pw6SlZGPFqqFswoqwp3xFQ9&#10;UEUhGA85IJskPsjm0qiVDrkss81S78qE0h7U6dXLsg/rS6Nv9LVBJTZ6iVqEkc9lW5ja/wdKsg0l&#10;u9+VjG8dYZhM3qaj4XgcEYZ3wzQ5Ho3borISlX8Ux8rvH0ROxqDHQeSg23jQg7MbNDCB+9oQkc+i&#10;0SQiktbg1l+//f73L38QTLS5fI3knoJIs6+cnBYsw197wLAeHfCXGwFRbmV41C5SP2uNmpq7lX4D&#10;LmrqxEJUwt2HvgLrPCi5vhbs2jSDfc3HvZr/+ifBBGruI7xTE0J9SleK3Vki1VlJ5ZLPrUZHgjXe&#10;e9B3D8PefotK6AtRVZ6D3m4zQ/cesP+J4jSdda7YqubSNVJheIUklbSl0DYiJuP1goNB5n2egIaQ&#10;KQcWaSOk8/hoZp3hjpXeLIDjE7B73A9eBNB7nD4ji14ii80PKsdidOVU0IXn9VJynE67XoqnkzEG&#10;zYZduDbWXXJVE28AORCF5en6yrbYOhePWipfv5BLJXsTSMLPBPwecWsiAd9f0GLblRujRwV/kdzc&#10;lFRzoPTL7ik0Qp5N2956LflObQmmALV185JE3BbzLV38fIO0E4idMiVJPDqOIe9eg+LpcAQ7JN2p&#10;1DQ5nnZSk4wmcaNRO6UBU19WV6sqkXfU9LFnlSFrijtmUwrH20Pref1L/fdZecttF9sgaumwK8VC&#10;5feohFE4bmRoNbsQ2PCKWndNDe4qTOL+dR/xKCq1mUWqtSJSKvPzU/PeH2eKtxHZ4O6bRfanFfXa&#10;Ub2XOG1/UXaG6YxFZ8hVfaaQKnoGaIKJAOOqziyMqj/jWp77XfCKSoa9ZpHrzDPX3MC41hmfz4NT&#10;I0FX8kZDuJJAal/Y2+1nanRLd4fz/KA6PtHsgPWNb2hcPUfjXYjQEr6wTRVBcj8At4PVXnb/EeGT&#10;9DHj/dzrKD9O40kyCoxPh3GSjg4Yn6TD4XA6bW7X6XA6SdOWla+Ukh6Zw+cZ35F+sWwEHcL4sDEq&#10;SUDHyRDd9pT20IyHD7RWufqdYN19xX1UJT/xAj0RPkDC2fpPw/3elDEIfLd/8PZejV4/P7D196EN&#10;qpfsuosIOyvpdsG1kMqE7A9Klt91kIvGv+Vmm3dfDEYdSf4Xg1eIgVReDIovigG+sHEIvU/4h+Nw&#10;QPvfLKf/AAAA//8DAFBLAwQUAAYACAAAACEA46fJPOrrAAC4nwcAFAAAAGRycy9tZWRpYS9pbWFn&#10;ZTEuZW1m7N1nuC5FlS/w9oZnPt773FHmfpkrQUzDgUEMKEgYxDQgIFkQCUdAQVQMoChBlKAExZxz&#10;QDCAAUFQVJQkBlAUEI6MCophBFFnJHjfXx3+PUVTO5wj7MDp/Ty1q2rVSrVq1eqq6n67H9B13YGT&#10;lL//9YCuu2SS8vfn/9N1a63edatvufWTu+4B3Zfe/3fdf580VigF9ci/67oN/0fX7TJp+HqI78rP&#10;3/R/dt/743/rtpvUN5zQ528oK/D/PeFx6SRtOwE8fJIOnaTz37ecbvXu213ataX8gG71Se2/8Erl&#10;rn9//etfuzGNNhh9YPSB0QdGHxh9YPSB0QdGHxh9YPSBxeQDqz94rW5Mow1GHxh9YDY+MIxtaIaw&#10;sT5eA0cfGH1g6AOtWNGCDenG+uhLow+MPtCKFS3Y6Cujr4w+MPrA0AdasaIFG9KN9dGXRh8YfaAV&#10;K1qw0VdGXxl9YPSBoQ+0YkULNqQb66MvjT4w+kArVrRgo6+MvjL6wOgDQx9oxYoWbEg31kdfGn1g&#10;9IFWrGjBRl8ZfWX0gdEHhj7QihUt2JBurI++NPrA6AOtWNGCjb4y+sroA6MPDH2gFStasCHdWB99&#10;afSB0QdasaIFG31l9JXRB0YfGPpAK1a0YEO6sT760ugDow+0YkULNvrK6CuL1QfuvPPOu/2eXD2w&#10;22+//R5td9xxx91gi7Xfc6F3K1a0YHOhyyhjjFH3hQ8kXiRW1PEhbXLw1O8LPe6PPFuxogW7P/Z9&#10;7NOqEa/EjcSMxIc65wd1Pbijf8zsH61Y0YKNtpzZlqONFqaNxI+sPc7/ynndSw9+cfekf9miW2P1&#10;h3Rrrbl299C1H9Fts/VW3VGHv7r7t+t/2u9txvGceTxbsaIFG205sy2nspFrW9pynUs9a+bUg1tf&#10;A2uaqcqhH+bwM3e0tfgPaYb1yExet4ffsK2G1/jD/qYt+MP6EJ72YZ+GeKnLUz7jM5/q1n7Iw7uH&#10;rPXQEjfED0k9+QaPenR3/bLrynihG+obXvSoy9Hrtttua8LTnnxIW9eHYz8VTeDzmbdiRQs2nzou&#10;dtn/+Z//UXyq9hHl+InyX/7ynz3ObX/5Sx9v9D24cgkMrRR/DVz9P/7jzwUnfNJmzkVm8tnYFk94&#10;9Zwd0kVGdKtzZTpFr7otvMFqePSTS/gHBk8dbd1H7exIT/DQhvd+z11a4oRY8dx99u5teeutt3bP&#10;22/fPo6ccPxxnTELXfod+fLwh0OPtKmnXNskvNKWsQgv7ZETX4jfhCY8WnzTNtd5K1a0YHOt1/1F&#10;nrGOX2TcA+MX8Q0+CK4ePDaIL9VtKWuvyzVteAdW1+O7tZyp7A2nxgu/Gg6GXh59Uw8embXc8EkM&#10;UA8s8kJb84otA5PXCY/g1HzI+cKZn+0u+tY3u2uuvqq3W+T++qZfdQ9/2CPLuuTZuz2r1xXv8Alu&#10;rWfkwUm78jCm1DpqSx2Nck0bWC235h/ahZC3YkULthB0Xaw68Ief/+zfuo988P3d2978pu4db31z&#10;d8Xl3y9+88MrLu/e/pZTCux9735ngf3pT38qdXjvfNtbuit/+IO7+fA3zv9qadf2gfe+u/c99iHL&#10;HP7edy7reVx26SVlPpAVnpdcdGHvw7OxqznpmnvhNy/o+b7r7W/tzvr8md2NN9xQ5OITn6/nz1fP&#10;/XLpB33JP3Oyj/jtb35d5H/4A+/r+dEZ/a9+eWOxybvf8bbSdu1PrilwfQv/6Kz+g4kt6YK39JVz&#10;z+lu/v3vi041Pp3Ub/jFz7uPf+RDBff973lXhz/eGz5uw7IGsYepY1D0Nn7o64SOLl/76nmFHz2+&#10;8LkzentEzzrH21i8551vL3ah87lnf6m79Q9/6PsXvl/83Jl9v9iR7LTVPOer3IoVLdh86bfY5Rrr&#10;z3320+XaZp+d/bfyvkv3KWd5zvCkV7z8ZcVvf/e73xY/zj7dvj3+bA6f+PrjSzuaxz32cf/VNpkf&#10;5s5WT3964Re+8hc8/3mduYqnxGdna1t9+OTHP9ptvNHGhS/6nBdExvHHvLa75eab7za3zAfXcjj6&#10;LQX/UetvUOYPPvwNz6uv+nGhN7fUweHrUz1nldnjFz//WbEhXHjRC89NNn5id8HXzu/pYj/zcZ1H&#10;Lun1IINeJxx/bPfYRz+2wNGzTWRG72dstdXd4OwCR1x6+lOf2ssXh/785+V7yKGNf3njjd0+e+1Z&#10;7Ofclqzozr5fP/8rfdzD+0UHvaDHOfrIwxdU7NC3VqxowYZ2GOt3XzdPZQ9zaMk66xbf4t/bbbNN&#10;WYO8+pWv6H2VD1k7uybi8/vf/3vxGXBjIf6EP5+yP0+b+KGNL//kmqu7dZes1/vb1v/6ryVOHHbo&#10;IT0s/ip+4BW+yQOT4wl+7GuPLrpmHtXztIY959m7F93D4y1vOrmnI1d6yYtf1L31lDd2T9lyy94m&#10;4OZ76Kwn9Btcfv555xY9tEcvZwO77rxT4W/+HTiJj/p0yMte2j3i4f9U4OwuJsU+P77yh8XO+NL7&#10;tUcdWWgOOvCAgg8u4Rdd5NHjX5/2tN5etS7iFJrYQlnMDw/ylcX+XXbasfRbv7bZeuvupDcc373+&#10;2GP6vROdremyVjr4RS/s5b/uNUf18jNe853rx1CHFmyIM9ZnFz/sHfiTtMfuuxU/il9lPaCNj579&#10;xc+X6+rKxA88rV/4sPGzBqnX8Cef8IbSljky3foj11VjfNonPtbrL8ZZ7//m1zeVueDc8aMf+kCJ&#10;j2SKKzvtsH337//+uxJ7Dnje/r3M4153dCclJunjU5/85MIb32duu20/32aKH/pqXiWOiY9gSfZ0&#10;Yqc1l+u5tYf0ykNeXuzMBqd+7CNFFzT6KUbil7EIXD5V/MBTf142uR+Mjg3Ec2NgbRl95PC+9IXP&#10;FRnWHWjIFSfwsXc1Zs5x7ZdyjvTiu9YfeI/xY3Zz7v4Um7572WXF//gMX9A3/sRvfvZv1xdf47f8&#10;w3UMfGXiB76bbbJp4YeXa3/xz8k1j386MwTPXOCjM9kZnf0HOvPDvik85YkFp5x8UnmGAp65Iw5q&#10;N38j8/RTP95J4Jl3r3rFob2+1i7son26+KHdHiDzVX8u/OY3Ck+20y6lTEfywDbfbLM+Rjhjsh4I&#10;vrUJXuEbXeSx2XD9kf6vt+76ff+NcfYl4nd0wUf8xB8/57jawMOn4E50Uo/8cf2x6sWM+KTcuT7/&#10;4jfO5exRnKXyD+eEfEkSQ/6W9ccfbrmlyCCH/372U6cV/8zcMVfsESJP/IiP1vrGn/nwVT+6svCi&#10;m7jw02XX9fMtfOGBR67rp37gc/IJry/y6CO2Sc4f0EjOTLJe2n677fp5NF38wPe7l3270GUuXnft&#10;T/qYFN76RMf08fq7dNT/nGPAhScXb+wdMhahk4OJg8P4gfab3/h6aafLs3bZpfv0aaf242AfEn3k&#10;Bx3w/D4WX3vN1UW3ul2ZvMCUx/XHqh0/+NgnPvrh4lNZZ8jt/w8/7JXF9/inNXzOOZyf8sck9yvw&#10;ia9bB2jj0zn/uP6ny3rfB/ecJT8MDV+0n0BH/nT7F7iSMxq49LMOCVxez0119x9u+tUv76anfc4O&#10;z3xmP7/IFi/wFGfs58D03dodH/rW8YNsfdGW+aWOTtLXlJNHZ7T2MWi/dcE3evvoi3gKnjioTAe0&#10;+KjTRY5PeNX42u0Z4Wu/+MJvleuF/oiZ+hgZdN/9Wc/q+aOBF11r3dkoY16fnzqvIXMhJfYf6tOC&#10;DXHG+uzGMX5ofpuzzvkyp/hc/Ef5jE+fXsbC+UH8WD68b5jzU37mrN9YWNPwWX5o/MxnsrOOh7Pj&#10;9tv3c8E949YYopH4u/sR9MLTXiPxqEVXw9LnyP/8GZ/p3njiG0oyp+r7H5lH5nl4DOOHa7o28iWx&#10;IPZhAzzk0TU5eNY1eIbGuSt+dV+Vt9ziSb196j6EX9YfabO2ZHN8PZsW+xzy0pf0uly/7Lrenvvs&#10;tVeBww9PZbobM2WJ3s5K6Ch+aAPbe8/n9PEucSx5bDfXeStWtGBzrdf9RV58Kr5qPoNZY7jGxDfk&#10;WX/k/IMvgZ9y8on93ELrrC/+Z/2Bt+upeQmfTzvnhBv5nnlwvUMHZ6r1R+YGOnwix1rJmKR9uvGB&#10;E9nyFs2VP7iiPAOqj2S4/xm8Yfxwf8I80S65bxu9zCv4kQfPuUParQ/QePZ1/fUeVeZhnu8Azzml&#10;Z1jYBT9JW/qLlzY6Zr7K2Tjz3b4MDfi553ypt504Hbjf14S/538S29G4TxdecJxX6VN9Tqz9t7/9&#10;Ta+b9ug43Xjcl23sMuTfgg1xxvrs1x/O1p+//35lfSw2ZNz5CJ9gbz5qL82u2b+APfIR65R9N//S&#10;hnbp3nv1NNYyYHzUfcjwsxavacSLyOGfU52f1vPmCRs+off3FVl/0BMfz2W9/CUHl3vWrr2S5yLS&#10;/9wPEdemOz+1xmKrxF78X3PE4f18e9NJJ/Q20OZZFXZgv6zp3O/1uzlw/Xf/BW50dX8KPHS1HRI/&#10;cm5CD+3bPuMZxaZieJ41BxeT8qzMU5/85P65ffuu8HfmnFiEJntcOvCVyHf+gSZrFGdG2XvRPbZM&#10;X+Y6b8WKFmyu9bo/yTvy1a/q5+Fuu+7aXb9s+Zp2/32fW+DszT++/93vFH9w/czeWJt1gH2Pa6j7&#10;qfFn533gbMWPrF/gS3wOf3B7GX6ZNb626c5PY3vPaqDDDy8+Hb8OTis3L8wheyq08X1lz35ov/Ti&#10;i4qOYGSQFV71+gOtdn2WW08Ez/5KX9jKs5n6+t53vaPggXsORLyKzmef9YWiT/r0nW9fWuaiGFPr&#10;iTY0crKl7F/oL57RTbLHqPGVD5vs98JTrAKjn1gY+e6RGdNvX3JxwYVvDeksHK5+ih/g4SWnHx6e&#10;baljauwylzl9hvJasCHOWJ/d+oOd3MfInj9jb/zrueE6zS8l64+0wXvzG0/qfSa+HHoxg29Kf/zj&#10;H8vzScYv7ZG3xeabF9/Vhvd0+5f4eq6JZLr3STd+LSkHT9mzLOajcx7t0SlrjFpvZXrJ6ansme/Q&#10;1M+fwjniVYf1eGKG507Y1Z5B7Kj3WeErd68LT7hyscQZQmzDFmjVxWJnMMpSdJGr00N71h55dgfc&#10;eqeWo2xc6CBt+sRN+mfT6SyugWcs8JDI+diHP1h4xcYHv/Cggqvd73fsvZT12/PvkTtf81EfhrJb&#10;sCHOWJ99/OALV/34R+Xa+bSnPKX3B/5irXrel8/ux4A/DH//Ym/uOSj3DfiOOWROiUvGIfOab7t2&#10;mTeeXzKOfNW10FrA+pvf4jFd/MCTznLPddFTzPnUJz/Ry8r409f92sQ7MvUHXKKT/Zt1kmStD4cO&#10;rueeidKPxCM0w9+/OE92/kIGGr8Hgi95vsYci3z7PesBe0G86limzj7OcsVTOugbfDzdb2WX4d4u&#10;v0/K3CZXfPBbJr/RsSfFux4LcvBCi5/3isSmdPb8WHQWw5xzXPD1r/V8wk9cDR/rUr8/yrtL7LmC&#10;l/GY67wVK1qwudbr/iQvPixPSv/SljrfDIxvJIEFJ/vfzCHwuj008a3kzv/MGTFkOEfCG09lNOa+&#10;eyfmGBp+7ponnsGx3rGfck3kM3CcMdi70Cc61foMy5E1FTx6acdPXtOkHLwaR1/CN+uG8AldXQcL&#10;fQ1PWQ4nvIIfXnVb+p4xCo/Uk4MnoU8KfnJwdpVHx5RDMx95K1a0YPOh2/1FJl/Rl+QZ/9pvwAJP&#10;WY6ursef6rbgDPmBg0Wu9bf4IbmmaYNTp/DA3zzR5jmwxBDXzKxhwKTwdB0XU9CgD69hXrdHN3n6&#10;mXZ55mp41DihTVtdD61ce+op17ly5CeHH35sJVl/BBb6Wh806Xfw5BL80CSHL6mHT93ftNW04RX8&#10;yAmvuc5bsaIFm2u9Rnl3n9f3hj2y/jDfp1p/tOTwVc9gWDeLF/yjjhtiit+vugcR/27xWWywzNvs&#10;M3L/JfDF1p/7Qt9WrGjB7gvZI897P0ZMZ1O/98x5oevpdLhpq69vyh9833vKvj33h9zXze/uzasa&#10;PzwWc65P4oeY6574/Sk+3hvj0ooVLdi9IWvkMbfxomVvZycrOgfgZ12edTPe9XU45ay/W7IXEyxn&#10;DfoVvRMbY4vAV+W8FStasFXZRve3vsf/67kxVR8TF7QHP3niipiRcnhPxW+xwPUn/dQneqdv8sSS&#10;xdKf+0rPVqxowYbyY9vAXddSno88+mSs50OHhS6TjZLouiK2ghv88IjN8arL09khtHilvCL00/G+&#10;t9voFz3De7b9DP79PW/FihasZYf4VPyqhTNXMDq4Ds6VvFHOyu3FEjPGebhy9ltofteKFS3YQtO7&#10;1qf2yXFduTD90rhIuZ4bs4Vw3an9aCyvuO+0YkUL1rJtxl+e86YW3lzA4o/yMYasuB/MxRhFhr1u&#10;fCfjlrYxX9hjNxyfVqxowYZ0xh3M84h+C+m3yX4nNp+JHp7rXnbdteM+ZjI2wzGbr3piBfn8xu/v&#10;/WbEMyh+W+a9z+DxqfnSc5S74j7TihUt2NC2d94xeafCbXd0+z93n26NNSbPN1fPIeZ5xLnKH1ye&#10;Z/JbpYdN7tOv1V160UULZu4M7aZuPkmZM/Lc96znWk0bmsBq2pSDY/0FlhyNevK6HH7T5eGbPPTh&#10;B66c/Yl6ysENrdz3azzDmudX/WbFO01aOoQ+OZzIi/wWXXBquXhIYOFXl8Ovbku7fCgn/OocTmiU&#10;2aHOw7vGgx+ayIn9Uoe/EFMrVrRgLd1vu+328t6ljSe/51r6T0u65y5ZfX7Sug+eyF2j231Tv4la&#10;q7togceP2nfie/Gflp0DC27yqfjUvgc3vHO+vKI+GXnowiuyw6tuU6ZDLTt9kHuvYWJHnmd1rfE+&#10;rxpPueahDFbrMMRPfahP6Gra8A6NHEyq91iJATVeyuEXXnJtgYc29cJ7cs4fPLmkPXThDR76wBZa&#10;3ooVLdhQ79v1eeIjS/fZp9vo0Y/p9l13EjvWWXNe0n5L1u6WLlmre/am/9KtOVkLXTx5t8RQ34VU&#10;j+/EZ1KnY+b4UN/4WGj4VcrBDR95ynCk1OWBhW6mPHLqnPz4duRFBn6RkbYhvnbv6Uoc8Yyn94dO&#10;pQt8PCIjfFv4aUseves6XtGxxQMMPpzQTYeX/tV6hn/NI7wCq/OUyVGu61PJnm94K1a0YEM97yg+&#10;eke37+S9j4/75w26fZc8tKwBrAPmOi39pzW7/Sbxa/fNFkf88Ht179bI77KcAfhOjPcP86+hrdX5&#10;kvb8xtzvxn0PIb/hj1+GHm/nC95TAYYen/weXLtziJasGhZa9NHX+wGik3bfnUhbvpUXOu/HiS70&#10;UfaeJO2+YWkfk5TvRA3lX/7975VzNrT643l58xUePjV+YLVO7OR9Ra3fBcP3LsXoVr4jeevy94uI&#10;Z4HHzrUssr3j7Zyzvlh+x29M6Oe7HIl10Y/9/D4//H40+V6ENgmud5Pon+9f+s2/b3mmL7XMhVZu&#10;xYoWrKX3nXfeUfYvG06+RTjXMaOWt691z2Tv9OzJ/oXufKWl7xCWORVfHLanXvtAYCuaW1fwU7/B&#10;cq2156erdXvW8L4d5x08kRcZ6t7f4T005ho6v2PJvPMe1dAkD2+/2Qgfeb4HQC5ZddtM5Zxn5T1c&#10;8Mnz27n0wftMaj7e3ZG26OR3rHC8NwMsyTvEQouv8fHupLTrMx3023fmxCZ46XPWbt7RDC+/eyNf&#10;8n2FvGcwY+93gelX9PRuMXqYz2kTF8HQRZ53emyz9Va9fvTCQ+49QfDjW+jy3mv98f4Q7eEVW0Re&#10;bARnISd9GerXgg1x1Bdz/IgfyKXl/Vnui/FJedqD07LDTDC03hnj3Tnxj+Txt9R9F9b3TWrZrtPe&#10;tRmc5Ggl35fxfqHobR6Bw5sufnhvHt0iK/R1HrvAw5Nv3Ffxw/qDbHPOe4Lz7r70RR4dzFFxwjlF&#10;9PUOIO8o0EbP2k7q4OIOfP2xTvDesZq/mOP9Rfpdxw8xml6x1/XLruu8C6qWgb86fq4F9mfGgjy5&#10;90Brp8sYPxZ3/OAffCGpFQPil5lDLZyZYHi4tvjtu+sn3+Ff3hfs3jcf9V5hvpfkO0ve0cdf0bsv&#10;HT895ujXlDWzM0j+iAY/3x5wPaaPPsWXp4sf9kzRP/Mi9eTkK8tzPb8v4wdZ+u15APL0Y6PHb9Tv&#10;ecw7/U08yLctxJG8Xw2d98zecMMvit5wYie0+b6s/QQ+bKvdN+i8fzF9HsYPulm/kGUtgxc6ayTv&#10;G0Nn7evdZnSwxrSWAZfG9cfd11KLef1hPBM7co3InEkOrgxvKpzgTpWjzTuP+anfvXuHcOTL0Xrn&#10;p/1J5qjvf2hz5uEaCZ7fj2eua/ccBZ91lkHH6MqvyZspfoSXOSu1+hG+5gue92X80CdnCt4XS5b5&#10;7dqf+yH0dV5k72WdFv2tv9gIjeQZoPRH7pss9PYORe9bROcsCK5+SfneZGxQxw9xC43ke5mh843O&#10;yMlYfuXccwo/+vg2L35wxvhx/4kfxvSI6r3o/Iev1gnMPATjJ/GrFc3zfk587EP4IH/ib/FJ+fHH&#10;vK73y7wb11lldPIe08S06BCfDR98lWcTP8zB4OOTb91GXnLvb8czc+ae8eO40kamPQXc6GdOZn7K&#10;8dAnONnzR06+M+e8NLaX+z5leMZu+IPFhmIy+eastV7wtEviDxrl5GJCHXPoow2tfBg/0ma9Ef28&#10;uz06yNE6C807He1Zo6dzIv2XxET8ktgpY4a375KnbSHnxm6oXws2xFFfzOsP+tffjzSm8ePkYPxL&#10;3bxo2WA2MH5lr8DXzFn+xM/iV9o9g+n7cHyHXOd64EcfecTd/Ep7cFKmo7L5gEbCQ5pu/ZH4kT5Y&#10;k6fvyfHIfZHwbMWP+L7vPISfPnqXfOiS5z3EU8UP12+46V+dJ0bos6R/7JjvwaDzncjEgNrG0Yt9&#10;lNlLP9HIEz/SXsePnJ9q84w12ehyVg8eWXizEV2l3OfK+kN/8n1iuHR1zoxfUmwUnRdqzm5D3Vqw&#10;IY76Yo8fvu9qLHOun7FLbuzZAo74Eb9q2WI6GLp63ZAyv3FOmO/Qk0seue7V4FmffdCTLtEruOjA&#10;ap+Mf88UP8jI/iTvd0//k4sfdI3cYfxwDkMXMt2PSP/Mp6w/tCe5x0luK36gsRepz4qU8db32Ci8&#10;6GJt4duwge284w79WNGb/ZPwz1itSPyAi87aor7u2MtEBt6S/rM7Xel8y803F9o3HLfcTuyYNRi9&#10;0MChP3x53R59F2JO16FeLdgQR32xx4/lfVg+fq3+Gdf4nbyFMxtY1s5w+ZprFl/a6zl7lDkZn5Gb&#10;J85T41fOTsAl33J1TZQ8JyBfuvfyb6pqzzcLyFHnv9PFD2ui9Cv9bPUndsCTbwzjR+7fmhfW7cHH&#10;07liPeeVc2/yHvHjrvsvzoLISryyr0u/PT+x5x7PLm3LbbVn6YP9C96SezB0SEp8rPXSzxWNH+jR&#10;+W4COeRblwxt6DmTx2zwmGIr92HQwGEn9tM337mqbS1+RH84zngir8ZbaOVWrGjBWnov9vhhLqdf&#10;8YHU5WA1vC7XeLMp8wU+7nss8T25OSIp8yvfkXK/NvKt//miNutyOtTzwP1Ifuxc1rmjNvMFPp7T&#10;xQ/7l7qPU/lr5GU+D+PHia8/vpdHbp6fwPv6ZdeVOUMXia5iorZW/NBv/Uif8ct9XXpIzoH4KH3y&#10;HUj3Umo7ujcbG6LxrVr7Ivd4M14rGj9ie/E//fHNUHA8YyfPoNGbPr6XB67d/iXjcuhk3Op1i2dJ&#10;tEn6FhtF14Wat2JFC9bSf7HHj3zXLGMan6hza2d+4DofP2nZYjoY//ENBHzxkiLTmsK9SuvVaydn&#10;IPjET1Our++eceR3nic75uijel75vjUa8iIj8cP9HNfw7bbZpuhBvr2R67lrKJr4ed0XuiTOmvv6&#10;gCdY/D/68Rvt9kH0cz/56CMPL31Nv+V+P0eGa646OnniBJnWZ3SUnDk7QwV3XaYHGnnOVl3zfesK&#10;HI157Ts11n76CJZxdU4rdviGE1janIta15Ej1XS+gxPbspM1EDoJnfvtaDyz6l46PdxD8pwpOm2J&#10;H6GzrhLn3BPmA7ERneyLIk++UJN+DnVrwYY46os+fkzOwYxZ/Ee/6xS48Rw+V9myx1Qwa/h6D2/+&#10;OaswxzI3+Vc9h1OXo99j9916f808oCsdxQS/PcucpkfmhbUCHp7Fit+mTd+Vne1Ej2Efoof2yLU/&#10;CB6d6/WH+CZ+xK7meOSgdz6CBr+cGVo7afP8aeTps/iY+7h4pL8Zo5wR4CdOeC4ef7zIHfbXGDj7&#10;hK/PiUPwa1x9o4d4i0a78Yre2m74xc/L8yba0r+8kx4vdHVcRpM4q91aVD/Qh0d0PuiA55c1ZGwR&#10;Wy/EXB+GerVgQxz1xRw/jM2Xv3RW/3uE7K/r3PUn9eH9tpY9poJdcfn3i3/GX11b+CIdMuetifkV&#10;X+KHrt3agpffR3hGyvjAeeELDpys308s87D2NTR48WvffKFXfjdjfvFt7dYG+qdvkTPsA74SeP0d&#10;R/XQ5Lcm2n372p7Ld+LzvO0uO+1Y5os5U//G1nc6Y2O5e1D4xibKnvHw7AZ9JbHS9f76ZdcVvWr9&#10;0KGxtthnrz17Gs9ziRc5d4Gnz77ZzY6xFb70wEPyrciMv2fLwCJP3605xMuddti+8DAuvo/tm7/2&#10;SXDhoZM7F2YjNOKPtYezZ98jpcOuO+/cWSfCpWNNH50WWt6KFS1YS+/FHj+Mk1Sfb9b9NIbawfJs&#10;Z90+27Lnoc1lPsK29uI1rfnm2THt/HnXnXfq5TrLyLyo3/EWvfhYzUtZm1hFprUCHoH7zmqul9ba&#10;tY+2eNWw4MZe0Yu86BNZkSdHVyewmlY9dDUv8KSMhXa86JByzQ9ecOEpy+HYJ9Q2tD4Qr42J3Hoo&#10;eobPUL56raty6vLYQT7UAy14rUN0C4/U07fUo8dCy1uxogVr6f2XiS32m/z+dsP1Hz35/dqak9/g&#10;zldaq3vu5Pe3z95k8+IHF03mRUvfFmwuxocMe/jED9d/Zy+ubc7/rCmyJjC37Qfoim4q/Wp48OKv&#10;aM0HSfzIHOKTro3RI9dj+PYLNc/aVvHl5NGtxokOdRv8GiflyNEenJp3zWO68pBfjRsZwWnl1ils&#10;lHhax4/gx6at/tUypiqHT00fmBw8Nkg9vJLX+Aut3IoVLdhQ7zvv1Pc7Ju//2Lvb8FGP7pau53f7&#10;8/P+IL+/XbpkjW6Pyfs/1ijvD7qw6bfDPsxFPf7h99jrr/eoMnczf3Mvhv+yOV9279ZcXhndIkuO&#10;JzmJH/jxU8+7W5tk3mTumEstfwULHD90OZNNXFoZXdHU9yzp4VxzZXmtKB1b2D+d9+Wzy9kQm3hW&#10;JXFMn8V3fZa+cOZn50y3Fe3LfOK3YkULNtTxzjsmz9LcfltZfzx+Ej+sPZaus9a8pP3XmdwfmcQP&#10;7w+i+yWTs4ShvvNVz9yTew6RT3oW3u9szUW+aW3iuU337LI3WBl9yYi8xIfca801Tu4c4ilbbllk&#10;mzfOFJxFhnYoO3Mqc0lMApPEkCH+bOvu3yZ+0SPPuc6W/m/BS5+iv/jujCk2lBurrAvH+PFfe8na&#10;7q1Y0YLVNMq3T95/esfty/cvj9/A+wsfMYkha8xL2mcid7911+h222Szbu21H9ZdNDn3Guo7X3V+&#10;WM+1lDNX46/2v/HlldE18wG/rAvwDP/k8PCv64FNJTe48tBGxlQ0s4HHFnBn0mE2/GaLk/5EZl1P&#10;uc7nWr/Z9mMh4LViRQs21JX/eAfZ0qVLy/uT1/jHfyzXfrRznR78/yYy15js9yey11rzoZPnOxfO&#10;/oXd6rgQnwXno3Ue3BoHbLapllPGZxIrIgPP+txOvcYXa2Za+wznVE0/Wx2HeDk3vDd4DXlPV49d&#10;EmPZAyx1tMEZlqfju6q1tWJFC9ayC5s7P7WuzTrUunmuU/bzWbNP9x7NVj9G2Oxj1Gir0Va1D7Ri&#10;RQtW06TsmuHepH399cuuK/ez3dOe6+Q5LM//Ru7fcq81fRvzcZ6MPjCzD7RiRQs2lS2t8YZr4alw&#10;7yt41p7iWb3mvK/kjXxn9qvRRquGjVqxogVr+UNix0KYswtJl5atRtiqMZ9WtXFuxYoWbFWzy9jf&#10;cb6PPjCzD7RiRQs22nJmW442Gm20qvlAK1a0YKuaXcb+jrFg9IGZfaAVK1qw0ZYz23K00WijVc0H&#10;WrGiBVvV7DL2d4wFow/M7AOtWNGCjbac2ZajjUYbrWo+0IoVLdiqZpexv2MsGH1gZh9oxYoWbLTl&#10;zLYcbTTaaFXzgVasaMFWNbuM/R1jwegDM/tAK1a0YKMtZ7blaKPRRquaD7RiRQu2qtll7O8YC0Yf&#10;mNkHWrGiBRttObMtRxuNNlrVfKAVK1qwVc0uY3/HWDD6wMw+0IoVLdhoy5ltuarYyPsS9DW/ec77&#10;E/L+srl+l9iqYveF2M9WrGjBFqLuo05zH9PyrgYxInGjjifjmMz9mMynzVuxogWbTx1H2QvLJ8WL&#10;vLfU2NRxRDnxZBy3hTVu98V4tGJFC3ZfyB55Lk7/8t0F35X0LRnfe0y67NJLZv2u53HsF+fYD8et&#10;FStasCFd6uecc2532idP60499bTuk5/81PykiexTP3H6RIfTu09OyjfddNOi8OPsBdhSOSm2HeZT&#10;Xddz3hB+ycN3yGdYD/4wD329vvjERz/cLVln3fLObO+r9u7svLfae6z5jm/ftmSE/7At9an6l3b5&#10;VDxquHLqyWvawCIv9VpOqxy8Vj6EtegDgzsV/kzw8JhNHl4t3OnaWvhTwVqxogUb0t9p3TrZA2+y&#10;6RbdP/zDP3QPfKD0oHlKf9+tttr/7R70oNUm6UGTGHL6Pfx3qP981zMn6aE8jAFD/Yx3aFJWr2Hg&#10;dVt4ysFbPAPPfiQ04SNPuvYn13T5Zp648bSnPKV8Y8l3lnzXXhx55CPWKTHF2iS6kYt/vo0AHjm1&#10;TpEzVXtwtSvDl6tLoQ9e+hS8wOW1/PCr21vlmn9oIrfGhxebR3bwUocfHso1vKZVhhd9QwN/uhQ8&#10;vGvayIkMeOFT92G25VasaMGG/MSPOyffkHriJpuX+LFkyfrduuvOT1rvn9fv1pnIX/uhD+8etNrC&#10;jx+1Xxu/3LcY2riuxwfQKqcOJ/TxBd+J1l77UM2rLtffhAnP5PCin9z+xPc13/fud/bfl09MgPuy&#10;g19c1h++5eEbe/yy0E90jky848OB1Xn0RifVbcq1vOiZHH7NWzny2EQ9tgdPGspo1Yd06VfksWN0&#10;Mx7gdR+Cl5zs2D6wyA1dDU+5zpWnS/j5FkFsoA4f/8hKvYalbTZ5K1a0YENeJX5MdNnENyPXWKt7&#10;44lv6E4+Yb7S8d3rjz2223nnXbsH/v1qk33Mp3r7DPVeCHVjlXGT04nPxW9aOgYvtHBq/1cOPdwk&#10;sPj+dHyDHxx0kZGyel3OfIluH/7A+0r8sA7Zcosn9WNQ00RODYtMbeCtthpHX9Wn4lXTx0bBlaOl&#10;O7zAw3+6PLQ1Ta1vXQ4fsMSTmj7jFbzkcIZ6hY7O6Xvwp8qDF12HeT12Lb2n4juEt2JFCzakEz/+&#10;+lfrj80m3597yPL48Ybju5PnKZ00+Wa9+LHaaquVM5Chvgup/t3LLute/cpXlDlmrrH3xhttXK7Z&#10;nz/jM/28q3V2Znn0kYd3j3vs48q3up7+1Kd2hx16SHfJRRd273/Pu8qewZ7i7LO+UPzvh1dcXvCc&#10;Sez+rGeVeVLzU+Y3v/vdb7tPn3Zqd/ALDyrfeqWP73wf9opDuy987oz+Gln720Xf+mZ3wPP27zZ9&#10;4iZFxjZbb1W+nyt+oLf+ePjDHtnPA7TgEn3o6XvdQ33UX/6Sg3sexx/zunvg0BmeOel7129508kd&#10;+WTiu/lmm3WvPOTl3Y+u/GGRn37qY3TYbdddVyhuRE/9UP7xhPdrjji82+GZzyxy8d1g8g1oa67j&#10;Xnd0t+y6awv/Xte7YtVHP/SBPr5mnIMTPc/6/Jm9nfC1N4Qjke/bw+B8ZrrEHpd//3t9vBE/0LMR&#10;eu30Ce/0cUXzVqxowabia/2x5poP6U56/XGT9cfr5yWJHdY+O+20a/egB/795Ay37Zt1HxKPp7Of&#10;Nnjo+GtNv6JlvH5yzdXd8/ffr4yfccx385RTN66+pX3rH/7Q+z8d7BvgZJ7IjZN8k42fWMrm7B9u&#10;uaXo+YPLv1/k8BXzhb7ps9z16be/+fVk7m1daOHFr8KXPPrm+onHl790VpHpu9I1Hj3EEzB0eMV2&#10;cvC67czPfKrvH/7sc8Mvfl7iDlq47HPN1VeVtsxdeHR3FuO732RFHprYZ51HLum+9tXz+jE7/dSP&#10;9/Z41i679PCpxpHOZMolcsWk5+23by8vciMz9mMbsRRN9MXDN8rTtzp+wtEuHm62yaZ9H/AXP7RF&#10;T99DJy+y5NFDOQkOH0gfQq+dneQf+/AHe79I+4rmeA1pWrAhTuqLPX7oR/xDXqeMf/q6MnnG3rfx&#10;rDGMdfyNL/IPcTfxQbv0khe/qMwTc+WqH11ZxptfPmaDx5SzB3tn64Cddti+52lNkv5c/r3v9r6U&#10;+MGX9AmO3JknXSQx6NuXXFz6f8Zkbie28TN+D/9Pf/pT96R/2aL31z12363z7T8x66TJuhMNHePD&#10;6bucT0nxdfEDPDZWZgs8ahudOLk21HyUXd+d49KbrNe95qju1ltvLfHQmiUytth887L/19+ViR9k&#10;Zf5d/9NlxfZ4S/ppLfC2N7+p6H3IS1/S604n/fjAe9/dzy3j2Iof+q+NrGNfe3ThHRn4uDee/uuH&#10;+MGO+n7C8ccW2ew2TOh+eeONvY3JQI8nevkYP5avd1Zm/ZE5ZPyUWynjlryFMxuYsbMuz1zle9ap&#10;aGv5Xz33y/31F06ep/jOty/t5+RLJ2eUtT6uMfjyOfsUsvh8a/0RXdFb37gPG1rr+5ovX7fP8pxH&#10;4Gd/8fNFD3ODD16/7LoiD19yd91558Iv/hk6OZhET747jB/s8Iyttirzcq/n7NHjW9PQtbbV299y&#10;Smmnh3tA1i+Z5/BO/dhHit7WM7HvysYPukv2JuTFXm895Y0FHv5wxFf3ruHoqzFkI7rRK/s7bcP1&#10;h71G4kbkyMUFvNFL4kfwfLO1bguOnF7aol/axvhxzz3SysYP5wnG0jjJhym+Luc/ieEZi9nmzsCt&#10;p+NXL3zBgYVXxj5jbB5Yk9CDzDeddELxmat+/KNSR++aGj3cU3CN4ROS+EEnfFrxI3LQXzGJO+RE&#10;J/sEfg4n/o6XdU7knXLySQWfrF122rH3zew/zCn8ok/6J49tY1PxA3/ytDuvCY7zHOsLdWNz6cUX&#10;FVx48F980AuKDO2u+xkHeqaPkZ36isYPfcIXH/sKsvRL7tyDLG3RCW7s4Iwq+utL+um8ITyG8UOf&#10;EjdiI3krftChxKbJmij9iy51Hrnpi3rky8f1x9+2/nCGaSwyXmzaStpzP9IYrGiyL8A3crIfMNbm&#10;auanujbxxR7C2SZZ4GIDHnyM//KrC795QdnbpA+uTXDRiA+RWZ+faudz9j7oMt9POP64e6yBXeet&#10;g/kZHY8+8oiCrx/2PuTQPzLN0ehCduBy8LqtPv/AO2fA9Lng618rcVRf8XnzG0/q7YCXvR443F13&#10;3ql//pVNonPKzizoOVX8iI5w6gSeufmN879a5EUmXTNmNY0ymjccd0yv34smcQFMsv5gO3YQP8iQ&#10;nIvlmbztt9uuO+JVh/X0rfhBD8meaig/9ciMTpGFjg5sK54Ff2VzfRnStmBDnNQX8/nH4Ye9svhg&#10;5pB+1yn+wt7WBenziuaf/dRpvf/h6VprfDOm8cXU5WBysuS/+fVNHX1dd3KdktNNwnerpz+94JvT&#10;ZET/Z267bQ+PDGeLodNnuJIyGaGFk7jEryPvmKOP6vXTF/qe8enTS3vsWesfu0Zm9i9w0JKhPxs9&#10;fqNyHXd/Qp0e9jDWWpHz7N2Wx9JaR3zJJUc5tJ85/ZOl73X8MEfJzRyTt8Y0Y2AO451+5Uy3RQMm&#10;3tADvn5lDLP+AE//teVMFvxbF3yjY1tl/ZgqfuA/XfyI7SM7/cU3vD/0/vcWG8CZygbapkv0GLa3&#10;YEOc1Bdr/Ij+7Ma2tb3TFpvDqdf0aZ9t7hrO1/lDGfdl1/XyIiM6FFmTtXPg6rWO1qLORVwDrQF2&#10;3H77MlfwzfkpfOsP8qRHrb9BP1eis/2NNr6E1jWTr9JVvnTvvfq56HqPzn4qPN0jAqNncrTuAemr&#10;VLeRIaHXVu9frC/A6OK8lP633Hxz2avF188564u9j7vXnNjp/Ji+daI7fuRZo9Gvjh/utYKRU6+f&#10;wJIyHnJnw/iFp3Uh2uDWOfwrf/iD3q701A4ufsTm1pd4iG+xySte/rISS90DDky/0EaGeBQ9posf&#10;wQ+t3No2fNnG+a+zpeCEZkVyfIb4LdgQJ/XFHD9cX6T0ZZgb36S/xcbveefb7zZuP122PH7gjW94&#10;J48eaaOjPbi4kXPO0NbnHzvvuEPfl5yr8jVz0HUNX3TmzJ///OfyzII2OF8595zSRiZ5fJmvSTmH&#10;yfkpfMl9kOgh32evPQs87emPnE9J8d/EDzwC13btZC1PTzpefOG3Cj86HnjX86za2DM01iJkS6E7&#10;9GUvLXT1/ew6fqBlj9BET/R1ii2yH4k9PItT46UcPu4tRz86pD3xAx/9d66VZ2g89+9eFtzXHnVk&#10;328xOXy1rWj8QKOfzlpdR9hSTKOfcp6xqWVE39nk+AzxWrAhTuqLOX5kPR5/1+86gbOx8fYcxMra&#10;2P4Fj/Azt2ufD1+wxDOwrHmUDzrg+YXeudz5553bj5lnyfGmNx3xQHflD64ouqdvzl1POfnEcp32&#10;DAe8zAs42z7jGWUfblz9diV2sJcxx8HFMPd54ZPpXIXPi0XuY4LTLzLTL7ThF1rzhw6u7bHN3ns+&#10;p/QfPLQ5T6bHL37+swJ3XyXP0eH77ne8rex56OJeLhnwjS9e5J/2iY/1crR7PtZ5r+u7Z+4iD65y&#10;6NTf9fa39n2mq+fHwIcpeotN/Iacp2y5ZcHDs44fYuCGj9uw4JjP7Bd+xxz9ml6e85xat9nGj9DI&#10;+dTBL3phz9M+NzY3Xnyl7i89Qh+dpsrZf9jWgg1xUl/s8cMY629y5SQ25gfq+z136axtGtskv+Br&#10;55fxcg8GL/M342Pc6rFLXZ74Yc/Cx6MjvaIj/ZLMBTLx5hNw4JrnwZe7TwrPfPSsafhlT0CO5Jro&#10;jBludLTXyL2F8I+NQoeflP7zX/NZggPf+p2e9l/4gNdrdTRkmmfw6ea3v3iyi/0Z/VzftUn4RBdl&#10;z81EbzExernPrJ0+cvMpeOTSy30nObh1V/jDV6/x6ZT7VGick0Zna7LYQfwIXOzAk/542hOhhSsG&#10;gg1tom228QNu/Cf34vBkA/HPdSD2OOjAA/r+8LX6fk10nyrHc9jWgg1xUl/M8cPcYEPjaKyGSZvx&#10;BndtT59XNP/1Tb8qfhLf9uxzfJMfSuqSZ4js6f0WzRyJT/EFz6sbG3zoFn+gn/sQeV6IfvX5h3sr&#10;7gOkP3LPl8E795wvlWco4tfa2MNa1/nKjTfcUK5f0c+zYmJpzUvZOvwjH3x/b0sw/NO/2JYcyfrD&#10;XgU8ccXzJpm/oU0chJNnX+BoF4ezDsEnvOkuXsR2dFCHQy/2cI8rMUHu+Qs8E7eiNx72I2jhofcs&#10;D9zYJDqrK2fNhMbvwoKb+GHcoq+y9Ubkwb034kd0w8897shzdkRHz/W4numPdPVVP+7tFVo5+ukS&#10;/YftLdgQJ/XFHD/0gY2MXfpT5+ArYsuati7jYU/LrpK58MXPLX9+DF5keM5hvclvmI21a+v1y67r&#10;/SrXEntm91OtqXPW6fkyPCIz/NQzH1xTzv/KeeUa796hPUft967Vrv8S3W761S/vZpeaP7uYU+Yk&#10;fGeAuX7WPFt2DQy/2Dd59Mcj5fQleejlkrMIaxn2sI/xeyD3qvBIGuqON3va07AhevaYSgY+fu9j&#10;niVGvfdd77ibjnjSx/oMjjG0tvPcMb7axA/wrDnkT9jwCSVGRzY+90b8SN9dj8iU3CO2x6MLOfoO&#10;Tl9rVD5iHaVNqu0W2DBvxYoWbEiX+mKOH2ycfrRsVY8pvBZO6KfL+aq1gWe/jRc/lLuvYf45l3A/&#10;I36nnQ+hi8yMeV3POlNb+qIcXDBlNDV8yDft8jqlT+GdvMYJbXDldXvgtXztgdOl1QbGl+XBRUeH&#10;8E9b9ApencOBH9xhObjagxNYLce889sU4yZZi7gP7Jk6ZxSHTM5s112yXj+GcHJ/NHzE/dCGjzWb&#10;9rpf90b80AfPz2fNRF6emdWmr55r/P/snfd/XsWx//c/uBer2nKRVd3p3cGmBhwgoWOqwZZkSCGE&#10;cm8S+r00iw4B3HAg9G7AAeOCMR1sOqbZVrENKUCoIe2b+533nGfk44d9pEdPPZLOD+d1zrPPKbuz&#10;M5+dmZ2dJX7XcNHsQ6MD9TJapDr7sMJXlur5vowfqdqU63LrB/R1bE1wwvqMfuUamlsZsYjffPON&#10;9p3xXq7rVOj30WbDR86M+YWuQ7bfIxaNeSCTffqLg9+0iT7kGt0RXSO578x+sWfoZx/2hXUGdATq&#10;zbuQa3w1RseOtvVa7mtXsm+LuX3i6+09nPk2/QDGUG/sGexevpNcd983KPNhha8s1fMxfnRvH0I3&#10;G++NV+DDC887V+ff4SX6b6cddlIfObZDuP/oR55PRf++UE4bTObgfQ6bv+0L9bc60i/0Ib4S1j4Q&#10;l4esYIfgDwVbWNP20UebuvpM+0/sAt6BrmHtP/H441L2KfoHfMG94Afv4Nu8A/yAlvxvtpHVL3xG&#10;n7X7OCfby3YvvMV6I/se7Xn91S39UHav7+zDCl+Z71nKYvzoGT/of6OfYYmdjSf533z+XIfL7dm+&#10;fIYGdlj7+lp7zDdA34T7x37TPuJkw+2izMYNysPv4L/wvcnXvJcyu4/32Lvsm8ZHyc+abUs591q9&#10;eBeH/c+1fYd77f32zeT3Jv/2YYWvLPk5+x3jR/f4Yf3M2frOzlZm/Ue59R/0pTyMKUbzvnimLdbe&#10;vlr/cL3pK2sT5danXNOH9jvcZiuz/+258HvteXvOzjybfJ/9l1xuv+17/Oaa++3a/rNy/kuFKfY+&#10;39mHFb6y5Gf//W/khvxje7nq6mrXPGO6a2luKcrR3NTsZrbMdHvvta/kD5L8p5IHPrm+xfxNH/H9&#10;5LOvLJknrM+LWf9cf9vokOv3FuJ9hu+p2hAut75DR7C6hf+3suSz7x7KfOXJzyb/Tn7G6hS+L8xz&#10;1j7ffeFn7NqHFb4yuz98/pfQBfwoK6vQvOflkv+8GAd538lbWFFRqfnf2cMhXM/4unsdKaZPTJ9M&#10;ecCHFb6y5Pf/+9/oo7LuesFt7tJLWxPHFXIu/HHZZVe6Sy5J1OGyKyQ2YV2MH6LvJPdZ/DumSa55&#10;wIcVvrLuvouuA5ZoTnb09EIfYkv9P9lLgnr861+Bn6G7+sb/xXIU80BueMCHFb6yZHqH7TGu1YYC&#10;Q4pwmN+HOibbe8n1jn/nhm9iOsZ0hAd8WOEri/kl5peYB2IeSOYBH1b4ypKfi3/HvBTzQMwDPqzw&#10;lcW8EvNKzAMxDyTzgA8rfGXJz8W/Y16KeSDmAR9W+MpiXol5JeaBmAeSecCHFb6y5Ofi3zEvxTwQ&#10;84APK3xlMa/EvBLzQMwDyTzgwwpfWfJz8e+Yl2IeiHnAhxW+sphX/Lxi8WrheLqo0crqGLV6Rak+&#10;MY38/N1TH/mwwlfW03sG4v/Gc1HFDuoVrC0I1m0Xq4+MTnyf9Z3UqVh1SfXdYO3D5vwaqe6Ly7fE&#10;GR9W+Mpium1JN+hBHnz29Hr8sUfcp5/8WXMOk2s9Kgf1sn1Wii2zrGHnYG9H8haTnzkqdKIen376&#10;iWNPz3vuvL0rd1jM89/l+WSa+LDCV5b8XPz7/xx5CMnPT55actaRY5e8k1E52KuO/Zmi1FfkbCdP&#10;elRoZPVgTypwDXoVG2uj1F891cWHFb6ynt4zEP8np/rVV8ySo9XBf+SjBEOichh+RMm+sj0fokYr&#10;+ow9hdmXIWxvDUS+7k2bfVjhK+vNOwfKvewZwn7P6CDsyc5YFhXsoB5PLHpUsY09UootE4zpHMgo&#10;R9RoBb3YS4N9cotNq74kPz6s8JX1pTYVsq7k5EfnZe+0KGEHdWHPenQj9lMqtkzwfQ72o2R/xyjq&#10;H4wDix5dGCl7r5C8nMm3fFjhK8vk3QPhGfRxbJgo4sfKFctVP+pobyuqTIT9CYzxYG7U9A/2p4/x&#10;o2d/abJM+7DCV5b8XPw7oDXzL+gf7JkRNf2DuQ6wrW39uqL6BE334Ex92O8yavhB38X4EeNHoXFt&#10;0SMPK36w72rUdHL202WvaOaJkN1C0yb8PcMQsPaBe++OHH7g/wbbFv/+saJibZhmfeHap2v4yvpC&#10;WwpdR2TiuWdWKt9xjpr+wR7ryAT7pRUbPyzWgzH+sYUPRQ4/wH58RYsfX1R0WhWaj7P5ng8rfGXZ&#10;fKM/P/vCc8+q/vHs0ysihx/oHeAH2FbsPmhvW+84wA/G+KjpathTsf0S2y+FlpOXXnhe8QNfQ9Rk&#10;gv26kYmlTz5RdPx45603HQd4tmzJ4sjpH+vXrVX9A1oVW1crNA9n8z2fruEry+Yb/flZxnhs+uVL&#10;n4yc/sGYSt3w0RS7D8DXwJ/b6p5d+XTkaGW62vPPPlN0WhW7r3rzfR9W+Mp6886BdG+H6OSMqcRa&#10;RM3/QUz9jddfq3HZ4TnUQvcP4zmxsBzoQ6tfeTly+sf7770bGVuv0P2Tzfd8WOEry+Yb/fnZqOMH&#10;a02ItygmftD/xIxxRHWuO8aP3vs+6FcfVvjK+jMGZNO2KOMH/pjbFszXNR3ZtDHbZ9E/0NE4wA/W&#10;LUdNV4vxI8aPbPk8k+ejjB/IKLFazEsWU//46ssvNQ6FWJRrr7pC52Gi5muO8SPGj0zkP5tnGFfJ&#10;acGYipwSgxSlcRX/KfEMrPH77LNPC+4XtHkMaGL6x/XXXKU0ilr8aYwfMX5kgwWZPhvo5q3qG4wS&#10;dlAXZJS4FHyWzOVm2sZsnoM+Nm8LhrD2Ft0jxo/M5DWbvsjHsz5fh68sH9/uL+9EPplbiJpOTn2I&#10;q8d+IQa1kPQO5ykkjh4diIP1hjF+9A/sgJ98WOErKyTv9bVvgR/YL1HTP5DTNe+8rfZVoeMa8LeA&#10;IfTlU0uXqA4EnRY+9EBsvwhN+hqPp6qvDyt8ZameH+jlZr/0dk2p5TsEc7jGd4JOzxH2o2zauLHr&#10;t/2fLk6BH8G6sFbNgxruK/NNhMtyfQ2G8B10M/N/LHni8aCNiXyP6bRlS3oENOK5sA1k9NvQ2dml&#10;34Sf6+k7sf8jM0zzYYWvLNe81V/eZ/iBjPTEo+H/4W2T740i550dbXps6GzX8k7J2cHcziaRk872&#10;9VrG/XaE35Xq2t5/y9zZjiNM80Lgh32DnEHXXX2lHsT7I/fULVW9w+Xk5QjfH9BCaCTl+g55DzRS&#10;uoHFQlfwmP94jtwn4feluo7xI8aPsHwU6joT/DB5MP5nzKRsY5euIfKl4+tGwRTkLJjXQReB/9Md&#10;V+2+hx+4T30g5IiHLtTZZDsfdArPFf/1r3/VbzN3y0GeR9qQLn6YnmZnaPHRpk3u448+CnBF39Wp&#10;OME7OzuEllIG9ppelwozwuUxfsT4kQ9Z6OmdmeAHfM7x0SbBjM42t/rlF909d4mOf/W17pxzLnDn&#10;ynHRhRe7W+YvcMuXLZN72hUzWL9q2BPm/VTXikkiS+xLgP3AulfDDTv31L5M/ufdZruAF/g9LO8p&#10;daVehm2p6m7l1gbTQ9av/UBssYVu9s1z3EUXXezOPVfode6F7rprb3CPPvKo++Ddt5Wm0JZn7Xl7&#10;X6oz+ME8PGtzMmnzQH3GZ6v4ygYqfXpqd6b4Qe72m2+e63bYeXdXVlbmSkoGudLSEldRXu7Ky8v0&#10;GCRlFRUVrr6+wZ3287PTHrNNRmyMJ7ci+DHnpt90xZHlEz+MZmAI9goxY6xr5VC9IGG7WT27O6OH&#10;gR3oaKf+5AxXXV0ttCpxW231n0KvQV20gnaUc+yy+2R36223K0bxbHfvt//ef3dNjB8Z+HV9WOEr&#10;M56Iz5v1PBtjGV+xEUxejSc5M/51iq6xcUNwfvKpFe7UH5/mtt1uR+H9csWLktJSV1VZ6eqGDXNj&#10;R45w42tGuNHVw9yIqiGuTP4rF3wpKyl1Y8eOd6ee+lPNlYhc8b12Oeu71c7Zcu8IG3tZm04dwRDy&#10;+NCHYRsjH31qOgj5iJk/Rg/hQJ5T6x6B3Qa9NiTo9vxzz7kTp013DY2NrqKsQmkxWOhWP3y40mqc&#10;0GvsyOGuXmhXKbhbWh7Qq7S0zG0vND77zP9yq159Ve3ADdIH9EkqTIFGcf6gzfydDl/4sMJXls67&#10;BuI9zFGi9+I/NXkN4wcy3iEy8/JLL7nJe+3nygeha2zlqocOdrs01LgDR9e5aeNr3PTxta5Fjubx&#10;I13TuJGueZxcj6tzJ8pxhFx/r7HWDa8aLPJT7mpqa0QfOct98N4a0dU7XBu+VjmHv2vXfP+Pf/jY&#10;3XrLPMWPV1e9ojaMza3mu8/wneK7hTYc1IfD6hc+d4p8d7S3i7+4zd1//4PuoIMPc8OrhwuGVriR&#10;Q4e5yaNq3ZFCm820qnHNE6ATdKtzJwmtjh9bKzStV9oOG1LpygRPGuob3cxTf+bWrFmjOLJR6hH+&#10;rl3j4yXXQSF0s3zTvVDv92GFr6xQ9elr3yE3sY5b4lswPgyf20VWXnz+BTdhwrZip5SIXlHlfiCY&#10;0TR+lGsSXm+eIHghmGFnu+Y3x4yx/F/jWrgeV+OmjG5wNUOHikyVueqRI90ZPz/DbcIe6Eb/YA4C&#10;ubju6qt0T5hCyAf6zTfffKO6x8IH71edA73D8MOHtfhFP1z3oWtqOcVVij6GTVI/bIQ7eGy9th86&#10;KH2EXjPA2QTtZlA+rlrp1DyBe+qEVrXu5HGNbsqYOtHjKt2gQVu5XXaZ6N56+y2lV7iP7Jrc8MS3&#10;9TUeLGZ9fVjhKytmHaP87Tdee7XLvjc+DJ87BF923X2SYEep22dUjfB9vfB3teoZMyaM0HOz8n+A&#10;E03oIBPAF34jE4IjiSPAkVoZf0e4iQ11Yv+UuFKxa/afcrB7//33voNfJqPMVbz4/HMa/8n+atCz&#10;EPbLB1InsJUY+rD+AY5Y3cK0WiOyveee+7oSwY0xI6rcAYKVAY2gm2Et10aTWsEQ0UGEfgGNAhxp&#10;gZ7gb4J+xwmebF87QuhV6iZN2lv90eHv2jX7kCbPc0eZ96JQNx9W+MqiUNco1gGfIPOS+O1tTrFd&#10;xvuPxT/KfOvPfnqaYEe5270h4P/pCZ4O8AGMyPw4bnyj266mWn0CO+860b395utuo4zh2ADYNcgp&#10;ugf1Yn7B9sr7+uuv844f4JNh1ttvvvEdbENm1S8kNMKX8/Zbb7idd9ldfBylbud6wcgJ9YqT2dCn&#10;69kJgtdi5+xUXyN6W7n75X//KpjvZT48YcugFxEDSF8WQj+LIi9nUicfVvjKMnn3QHiGPZexC5jj&#10;wE+JvCIP69Z+KLp6u6trGCUyUeJOGNugY+LMsaZbZI4byAV6TPOYGjdNZKNh+BBXLj6Co4850bUL&#10;dqzDT5jwNVAfsxuYf2EuhHngfPcN/pXHH3tEfUOp/B3oIO3rg7zKhx8x1VVUDnGN0ha1U8S2Oxma&#10;ZYGv9iz6yXSxA48dUy9YW+oaR411az94V/FL53akv6gjsfX4mL/84ou80yff9C/U+31Y4SsrVH36&#10;0ncYp7CZ8Z+SP9P0YHiSGKbW1ivFhi9XX15gr4ueLTxsfJ3VWXwh6OfNgh9Hin+gZliVqxIf44IF&#10;t4pcSPxUYp4DGUU2iKV6ROWjVbEu32Ms7yfv2ewbb+iii9HHzsyxrBPMPfGkZvF3DBYf6RB3lGDG&#10;DGnTTPw9YndkRSPDnnH18i5swVq3fV219EmFmz9vvuKqxdRQJ3RJ7C1o1Zf4sJh19WGFr6yYdYzq&#10;t//2t2+V39B50T10nBc+BD8629e5HXfcxQ2pLHcnyLxA4OsTu3zrwKeRrVzgJ5whcxFm/x8hes2Q&#10;ilJXX1vn7r3/AcUvi780DGEdPXMM5GpFvvOFIdguHOhl7M8HXQwzwud1ogcddfRxMidVInNLle5Y&#10;8Xeie8wU2yVb+mzxPLSS97YInhwrWFsmcSOT99xb53nQFa1OLzz3rOofzDNHleeiVi8fVvjKolbv&#10;KNTnL3/5TPEDnddiCrDpN236yJ119n+pz3Tn+pE6Lxv48wLf3xa8bWNkr8+if+icA3ZQtY7VB46t&#10;kXFcYkoqBrubZs9VvQP5AEeQEfQQbJjbb12QN+ywfvnTH/+gtMGGMfnkDJZhW3G+UvQz5mYHDy53&#10;P5S6M2eCHxQfUYvoVzqv0mu6eOxC5sN5P+8SLNmhboQrEcxasvhJt65T6pKo16qXX1L8AGetHfG5&#10;+3gQH1b4ymI6fpeO+BawXbBhumRjAzk3VrkhxGrIHOsR6B6qO3v4OheykXiH6SM719fIPEOFGz16&#10;rPvg/fe7METlVuQEf80N117t/vmPf+QVQ/CZYgswppsfF3qBHWDsG6+/7urqGkTvGOIOG4NvmXnX&#10;/NBo8/wVNlG1YFWt2DClrqmpRfpN1tptDNYUgRv4h6hzzO/f5XcfTXxY4SvzPTvQy2w/NcOPYIxv&#10;d7/65TkaI0Y86eYxNDd2S0oZE59Bk+jm08VnMEpiV8tkDrSp6RTXJnYVeofqIWJHYOMzDwOe5LP/&#10;VixfpthKXDjfglYcxHi0y5z2kUcdKzJcpvEZ6scRH4XFd6RsY6b4gp7WpasF8WfVEkMzbvx4qUub&#10;+JzXq/7IfDOxssw355M2/endPqzwlfWnNueqLTZeETfA2Mqalo2ifxww5UBZnyHxSo0Sx9TF80HM&#10;R85lI/F+vsMcQ/PWI92JEp9WVVnmRtbU6Foy5NfsmBeee0Z19Ddffy1vMoJf5dGHH1T/B3Qx3SfA&#10;1w7Jpfi+GyrYWi0+jxkyrzqDWA2JeZkekvGc0ymBIegi+EG2lbh3YnKWLl3aZXuCs+DHE4sezRtt&#10;csV7UXmPDyt8ZVGpb5TqQU5A9F32NTEZIfZ63LjxGvMxReTYYpjg25zLRPid4jtADolTZe5itwbx&#10;E4p8zJ+3QOWD+nGYXUG8Sj5jyIiXJ3Yd3wsYojpQQg+68oprNGZlstAHH3Cz+EuVTuhQ4Tbl6LrL&#10;NhIM4Ttg7X6j6lyprCuaOvWYLn9MgB+zdN45SnwW5br4sMJXFuU2FLJuNmeB7LGWBBv/zt/dqv4P&#10;ZGXZsuUit7LOq3Qrd7z4AGfmSAbSkasAo2SeQXyFU+W7rJXZe5/91MZnfQw+XnwRYB5+kFzRzXDI&#10;5nTwrTD3Qiy4+YU2CW04yHGym8S6DRYfzbHIs/g9poMhUl+Nwy0QvaaOaxAbr0zj1d6QccDw/6Yb&#10;rnMP3Ht3zmiTKxpH9T0+rPCVRbX+xaiXYQj72jP3YrlPGb/I3VEq60B3rsMfyJGfMTUZT4gDQQZn&#10;iP2CPDJ/sa3UgTW+S5Ys1fV16r8UHyr60m+uuyZvMoIsgqtLFz+hmNUpcXTqZxBfw1333CdyW+p2&#10;kBhTXeOTwI4mdA/Rm5Lbla/fzPXUDBsq9Clzl8+6UvUjsC5eA5Oe39TkzocVvjK7Pz5vXjuycsVy&#10;9UUafjC2H3LoETLul7hjxo5JzNsWBj/AqRZwg/FbMATsOkRi1ciRMe2Ek12HxKRafD1xlsg388+5&#10;7k+wlTVB4Cp518FUvtspegfHYYcdpXU6UmO6gnoG640Lhx1gEnTaUeaqhsg6vanHHN+lf7BfH3ZX&#10;runSX9/nwwpfWX9tf2/bZboHzxHbwH5I+NsY28GP7STnRIOs/WoaN0bGU7Ajf/OS4bFZdQ/W4zGe&#10;C34EtkCdqxte5RoaGt1aiadnfOXAh8q8M3MjvW1/T/f//e9/c8y9gE+suVG/h+QU5JscI0YEuU0U&#10;M6ANNFK/BNeFwRCljXxr31ENqivuvvseXfoHuhkxMj21M/4/0FN8WOEri+kV5A0N04F8gK2XXep+&#10;/+gjOi+J3j5kyBBZ05aQYZHlQtkvYSzpuhbfwu711WLjl7v5C36r80Pg3GurV+k8A/KM78JygYSx&#10;MdzOnq7tee7jfQtlvT76xyaJq2DOltxhUw46WA/yq+3RSOx9YXC1ixboZYkDW2/62Gp3uMSBbDVo&#10;kORlGhfgnOhK999zl2If7TC/Tk/tH8j/+7DCVzaQaZTcduMry631hOAI4+zTT69Un+XExnrJPYHu&#10;USjbZbNsmIxwZs37j2Q9SanYU80SC2Jr6ixnCf4Jk/1MsQPa2LMmc8xnkycAPCXe44XnXhBcrdKj&#10;QvwNh0udbF4qXN9CXeOzRV87XtYg4qsiB8LbEjtGfR+UNbjoTtbH0Mfal8wH8e//i/ePEv7vDR8Y&#10;L3FmrLr8kovdMyueUtvl6quv0zyDU8Tv0CI2xAz4VHHEL9/5lpcWtZ8aZV3aYI1HbW9b1xVHxro2&#10;bH3abnLfGzqE7w3ThHzrzL1AG2wlYrNO/8XZOtfBfEej2FPN41lXW0RsFbrM0Hj2GvGhVirm3yb5&#10;UsGPxxY+pLoTc2nWrnBb4+st5cWna/jKYroFdEPWjK9YG8Z6tGefflpkZYP76U9/LmtPymUNKXML&#10;I0RGNsd/5Bsr/O/HRqhxk8ReIEfzKaeeJvVsV18Nc6uMs/grbKy1dmXS1/ZsYBvNcsuWLE7YBG1u&#10;m223l7X5lXrsLXEXQbxY8ewX9TWTx0lwZI9GmecWm+qss34p9W3XtYX4htDRoAPtMvpkQpf+/owP&#10;K3xl/Z0O6bYPfjJZuW3BPMUPcoyzT8sPf3So5kM+WXFD4rnImRWyu/0ynj/dROdH5ftHyVwHc6aD&#10;hwxzq156QWO6lj65WH0gzI2Y/mHtSpcW4ft4Fl2ftXn4PowmT8ha34oKwQ6Jp+c4XnUP/Lv5a3dP&#10;dMb/0aTrkka6o6U+zOEePfU41ZdWLF+quEruI9qXDU3C9Omv1z6s8JX11/Zn0i7jKeb5sF9eXfWy&#10;6h877bSr5EUm/42smdM1+8RkFHucrdE1MfXDh0oO0BL361+dq3Ly8osvqpyz5hQaZDPG8iw0Ia8Z&#10;8d/gB+M38WqnnvITWQs0yE0cVa/HdIlLUewo0FyLD0v4PrlkyXN4omBr1eBKt+de+4r+0emefyaI&#10;6QH/MuGNgfaMDyt8ZQONLqnai5wYfhBrdMXll2oc6kbhvVGjx7jRI4YJdghmSHwS+nEx8SPImYO8&#10;1rqdJdf7f/7Hf7gDD/qRW/vhB+49mbtF1tmPlraaHzVVu7srhx7//Oc/1V4htpU5bY1ZF//HHpP2&#10;coPFpjtu3Gg9mLclTmXzuqDC6yHgB7nuwZaTBT9qZK309tvvKHjXKWunn9eYHuw708u6a/tA/8+H&#10;Fb6ygU4nX/uRE2Rwzdtvqu08VNZ0bl8nurmMrazrII9WM1hSLF1d9fRgvJ8yutYNltwgjY2jNd8F&#10;ugH1XyhzrYaHdva1NZ0ycrCRS4kcxOBH2/q1st/TSNmfZZjE1DfqYbI7vVg0se9Kv2DHEIc6Qfbb&#10;qauvl3xC7Tq3fVXrLHfPnbcrXaBJtnRJh3Z99R4fVvjK+mr78lFv46lAVydOao3MUT6v69Umyprb&#10;AD9Yp1Vc/FA7QeYZmiTnGT6ZygrZ105iQR584GG1YVjjhg6F7pCNjNizrHuHJrbuZe6cW3Q+inVy&#10;1EXrk5BZcgkWDVfBEGJzwFehz46S4wn/8oeyfv9NWZeMX5n5Z2uXnfPBS339nT6s8JX19Xbmov7G&#10;R5yROcZabP333n3X3XHHXcqD+7LngMzZtoAdMn9bVBmxsTZx3nPUcIkdL9c97Ngf9iHRPZCVzz77&#10;NGsfCPYPcfzgh869SOzYCcdPk9gKWeNaVB/Qd+0jxTGtE3PI1W6yYD5xbYsff7zLrgvHgNDf1ve5&#10;4KP+9A4fVvjK+lObs2mL8dHm3IWtqqtfdlmr+AlL3IHERon9YvFRYElUMIR97vBF7DpxD839+bSs&#10;32GukjiyXNj6xH2DqbruRWIptt1uB4mvIIfSd2W4mDTR+Rerk+gg+0u8DrEpc+fM05h7xgQO5rYN&#10;O6zfs+Gd/visDyt8Zf2x7Zm2CV76+quvVPbgM2JPfyExUsR+HJ6YF8T/gX9/C141ni3SmfpsI3lz&#10;Bg8e4t774APNBYK+gNyjT2VKD7CHXNL4TsEj8nitFjsAW2mnhD+omHjx3W8zf8sh+qHgx48kbxt7&#10;DF904cVq1xHTQ79+/vlfYr1DfOvd8YUPK3xl3b1jIP5HfmB47DrxQeKLbJn5E+HBUneM+POJ2bKc&#10;FkWNs0zCqZNlzcdesjcssSB33n2frKlf1yXzn376Sbd80l0fg6fEmqLzE9fa2dHmbr55ntgEZbLn&#10;nuWej5AOovqh1EfwY4bs5Xe45K6HJmee+d/Sjg3ar+R4NJqYDtIdDQbqfz6s8JUNVPr42g0/oXMw&#10;ds+bfbPKDvsQkJN3mvoFySWO/hEhmaEuMtaylyxj7TnnnK8x9+QBQVbWyZwu7fK1N50yy+WovlOx&#10;XU7/+Zka93GY5OmJEoZu1kUC3xS25lTpM+yX5uZTdSy4/tpgXo0+RrdKp/0D9R4fVvjKBip9wu0O&#10;yxfzk+jqzGEQ93zwDw9TuQzb+oGfLjoY0iL+3OPEviK38hFHHq150InBR294+cUXspIV8iFCD97T&#10;LnI3ZcpBqn9ME30MGd0st8W/7uoXsWG4niY+VGLYjzhyqtKEuEBsmI629Yqp2cTGhPmnP177sMJX&#10;1h/bnk2b2GOIcfteyQNI3o+JEye74bJ2fws5iZDvlHrNGIPs1kpOkKFum222071yyUGAz5O96bKh&#10;x0KZyzGZ6xQboLFxlGuUWDpi17agSYR0MsWRBIagkxFbR6401g9jm7Kfd3jMyIY+/fVZH1b4yvpr&#10;+zNpFzot+jo89ugjC3WN6c477+bqhyMviTiHBHbYPEwUZKglsZ5v+7pq2Weq0n344YcSt/Ks+kCy&#10;2XceGWPMRu5Yt/rqqtVqD+xSbzZCtOaxsaeCfhIfqth0XLPuYLdEHqE7brtVdSnyY8Mfsf6R2ofq&#10;wwpfWSZylu4zfQ3jqe9bsj8S+LEokXts9OgxEmcp+b9C4yvYESXdnf0R2Id+r1G1EktW6e6TXKT4&#10;PSyO5ZtvvslIB/n222AfT/IO4zOYffNc8QWVue+Lr1bbHzE9TOPG6CfBDsP1uqFVbpdddlddEh8O&#10;fcsauijzpq9uVsbZrtOVw0zu82GFryyTd6fzDNhu7bRzOs8V6x4bi8i9ztqXx3+/SPN6sfZljNgF&#10;xo9RPAfx2iPdAWNq3KCtSt2lF1/aNW+CDwTdIRO6soYXeSOPErbcr399nsTSyZ6Usq9cQIfNchpF&#10;ulCnMdXD3Zgx4yQupkNzCDEXjU8n6jxJ/ch3j07M+kXWNnFNGX1pscX5aocPK3xlmfBVus/Qtr7i&#10;57Z6Wu711atXuQ2ydp+Yiu3qiu8b7E4+Z8j8Lfu/Hi5rPipk/4TTfna65syx8fY9Wb+Sbp+F78NP&#10;AH7gOwVLTjjhJNU/jiHHRkgfi/L1eNEd0SFZg7tQfDngx4plSzOiR5g2+b422Vn9ysu6FoHcTX/+&#10;0x+76g2/5gs7aJsPK3xl+aID7Xvwvnt0HSi5q/L1nVy+l/4AP+grYi3JW0XsKXvPRllGdC2fzIVM&#10;ExsGf+Fhhx+l+oLtG7186ZMZ0f/5Z59R/FjzzttCiw73/f2niH1UITEwwf57xVyDnG5/bFtT7Vj/&#10;iA5GPmz0MXzLueSbXL4LPdh0YWxp6ssB7rF2h3g+2mLjXb4wxIcVvrJctj38rqefWqZtpu3gSPi/&#10;KF6bvfXU0iU6/8J+bq+/9rrO/+0q67DS5ddi3Kf5jDTmssYNHzzYTdxjL413IPaLPbUz3VPq4Qfu&#10;0z7cIHFj4Adx63UjhgstJMfG1oKpfDPieshOgv3E75AjFtyAH9mDM19ylwvepm4c4B1z5+RehC/R&#10;BYnjIz6JNdbohLn4nu8dPqzwlfme7W0ZbUX+WG+Brw3soI347eFdaID/zfrMsLO338nn/dSJ40nJ&#10;q0U/IXtLliyT8bzcTRK/ZJTlhNiUYN6hxo2uHurGT9hG1vJv1PU7d9y2QPeUSqa59UUyTa2cM+Md&#10;8zfEbnZIjtWaGtbEgx/Fzb/Wm77YSWxPfL7tbWvdytA6YmtncvuL+Zs62UE9yDUAL+KvQX7sN2Xg&#10;IPsj0q829mWzViG53T6s8JUlP5fOb9pIna3enPE70i6wAuzABsDuZh6RctMZo9hv1mbqxt4vxH+Q&#10;M2L5smU6XzlpVPTHWcOPrSXnRdXQYbK/drC39qKFDyqvffH55zpWpUv/f/zj76p7PHDvXWILbRJ6&#10;rFNdjL2Z0Hd0nXzEdQ9wZg+Js2dOarmM38+uXKlzUsTW0efp0sL4o5BncAG9HVlC98CWJvcb+gd+&#10;LewZ/sNHZW2hPblqkw8rfGXZ0sQwjzgBMBH84Ez+K9r8pqy3Yj6DNvMtsCbbb+bzefZwu/aqK6Xu&#10;G93DDy+UsavE7SN5Lnoz5hX8XnJecIi87CS2FjHbG2TtDmPWM7IWd9all+h+LfBWsh5itAzzHdef&#10;fvJnlTXmXtrWr3e/veVWtQMmNgb5X4njL3g7M8CrSQ3EsJe6p2UseElyO8Kb6MW+dltZsc7WB9ZP&#10;pgtjR+Lz6Ghbr3t4LX58kYzLz6hc3X3H7/IiUz6s8JVlQitrn2EHsQb0C3gJfpC7Zp3si8acHz44&#10;sBLbhueMRpl8txDPYH+B8ZvEfpkzd776T/cfE238IOcnskxekt2RF/GhviB7s3wsPLfqZWTmCtUP&#10;oV869Oce9phDb3zumafFl9Lh5s2Zr+/dU8ZzYk8D32n09bI9JQcI9FghY/jqxL7ojHXGS6nw1P4v&#10;5Nn6hjMH+4UiT3NvvlHHYjCkvW29+kO4xn7hf/Onmjzmos4+rPCVZfst6M9+I+AH+WVoE35/sAMf&#10;AvJIG7m2vjI6ZfvtXD5Pnagf/prZsu4dXXHOXMmzJbx3QMT1D5VlwRDwI9jTodStfGqF6B+dbu0H&#10;76mea/lQoVkq+hsNoAPjG/hBDkf67sc//pnYL6USOwaWkjsx+tgBpk5qEH1M8i8sX/Kk6MKvq216&#10;4/XXpqRBLnkq23cx1wLW0Q/MOdMPYAV+AfbhwcfPf9hj9Jn1X7bf5XkfVvjKMvmW1ZX60gawgxxV&#10;+E3/8PHH2k7WvqOXsA70jtt+qzoWz2XyvUI+A/7NuelGtfnnJMbc/SXHaJR1dWJB0UHAj33E11sm&#10;+QbulRhU8AMbEn2Q/V+7o79hCvdwLHrkYdUbyXUK3zY3taj9coDqYsSNsRdO9OPHvi/1ZQyYM3uu&#10;7Av8juIH/GrtLSRvZfKtL7/4QvO4IEfIE+Myfco6LeblbY4MfZE25apdPqzwlWXSJp7Bj4G+BD7S&#10;NuaYaBc2NwfXjOX0FW0LfydXbQy/M9trky3agz7VIbKn8drCe+w7F2X8CPKx12pegQOkruzbOEdi&#10;zfHhbJS+wEbGn22xi6loFe4X5l107kWeV/xontkn8QPdsUzosWD+As1niy4MTzK2p6JDVMoND9gP&#10;HV+p7f2HbDE+E1tGnBLtoa+4P1f+RR9W+MqyoRXtou7oT+i7rH1Hv2Jemnhb5jEWzJuzxbgX5tFs&#10;vp3rZ61e2Jq3LbjFbZQ2zLrsCtljttQdFHH7Bd9psKdVtWBdneLH/Hm3uI82is9N9plkH3D6iTkY&#10;a6ePfmAoYwJn7sfnjR+oL+sf+0vfVUpM7pyb5+i4hr6PLH715ZeRxw/6yDCfcY2YD2SO/kDG0PWX&#10;PvmE4orNd/r6NZMyH1b4yjJ5t2Gc+TY40ybTP7hm3Tg8CEaGv9Ed/4bvK/Q19UJuwHF0/XZZ733+&#10;OReILJa4QySPVZT1D+ZuZyT8EcgL+jr4AY+hf7CPL3KDzgtdrf+SaQwNOMAZ7ken5Hn6s0nsF+yi&#10;vma/4PsmJpccqPCn4Qd5bpPbH7Xf1h+c2T8U3Yn5QdPxORMvTXwImJhpnKCv3T6s8JX5nk0uQ644&#10;KLc2BetEWtU3jJ+YvkH3QAcxvQS9Ofxs+Dr5G8X+bTIFf+m4K+0577wLNH/3IbLvbZTxQ3N+6nr1&#10;aveDMY1qZ8yZTf4j8beJvWx+NvZe66kPGO/QHeFH9m1gDoc+bWqa6crFD7m/7DfHHi/s0xSlHAap&#10;+ge8I/4UPCUfFL5T2sbYDS8Xm+/C36c+YTnjv3AZ8WOMyeSYMD8IcocPBP8j+EKfmYzau8LfSPfa&#10;hxW+snTeZ3Q23iOPbrDH0iyNbQEHaQ98xpiHDxLbhXGL9/OcvcN+p/PdQt9DHekD5qHpF/CDWIqo&#10;44fmghcfKnMi+5EHVfSEu+68W9ecbpA+YM6PHEALZf0YOBnuCx+Nbe4F3CGOhPnb6Sc3qV4zRfSb&#10;IFYt4pgqGAem4P8AP+bKXDz8yD6+8CY08bW92GX0TXL/0GfIEPUH+xiXkTl8IMgd6xuZ+6SPiZWw&#10;9ZI2JmbSJh9W+MrSfTdtMvwg/oZ6ghPImbWDthCzTxuJNw3TwjAkXJbut/N9n/UXYy/6BzoiWHje&#10;uRcE69ESuddTjXHFLm/WWC6ZT5XzHhLfRcz98qVLNYYWnkMvxA/FkQ4tmXuhD6EBYzZ6zOmnn6ly&#10;uJ/MRZHvvej7RCXwoSfagx/so838C3yKbknbsOXgyXToUch72FsC/Y+4S/rN/FHUAT5dKGMAOgj6&#10;P7IHjjBmMxeDn4ucL9jg2caC+LDCV5YObYzO1D/Ir9Oqcy60kz4xHsXXwfgNtnzy5z914Qc4yIHP&#10;22TV3pnO9wtxD/UK7P5WjWGnb84/78KE/yPaY+3MCbIeVnL5kAd1N8EPxttXX3lJ5D+YB0N/sD2g&#10;6INUvGV9As7gr6Nf8Z8yj3PTb36j8evE8pu/hXNP8lvs/w+SvNLEn7a2XuXQxRjX0D/IQWa8WAj+&#10;SvcbxDqg2yNHjGX4EVm/Tt8gQ2AK/3HgJzD5I3YCvSNYXzdL4ze5P9M2+rDCV5ZOu8J1YA6JdoGP&#10;8BcHGMix6NGFGlOL/m9+Y9qNXKKr4CPmYK1MOt8t9D3EbMNbxA2r/ZLQPw6NuP7RtPUINx0fr2AI&#10;ezayF92mje1u/bq1ym/ohei39Bv8Bl0NK4zG4T7mPnRk7Vv6WHSQhQ89JPaL7FEl79e869CkD8R/&#10;0Hf4T9ElaQ88iuzhswu32ehQzDOxHugPxEMwp4mehLzgOzX8APvBd/jU1sUge4zlrDWjjHdwzqZ9&#10;PqzwlaVLL7AMTGA9OPMT8KHpT2Aibbjphuu0zYYPPMP70Rktlx5n9C9kNd1vF+o+9nukboxRfQk/&#10;mmUf3BkiJ/gzt5H1c9Uja2TutkNtfMN4eAu9EJ8GfOXjLcrQG1mvpHMvIm/QoVPW73/43juyj1al&#10;27FO8ENxQ77XB/HDfDv4DOArHx0KxW/J3/njHz5WjAfrobvZWozZ4bpiq9CXYAxyiOwxRjCXy3PI&#10;Ifpj8vt789uHFb6ydN5pehD6EpiIrgRmUFfqjZ2M7cJ/6E9h3YPYMfAeHCXWhdyTyCgx7ul8u5D3&#10;0CbaQP/QNvN/RF7/EDtC18CI/VI/rErydOyo62WNr+CxoO9madtS0ZQxjjh3+melrLvrFL7kUAzq&#10;bHOjRkkuR8kHSPx6EMMe/fjTZP0DvQP9inmKVHQoVnlH23qlPXWD/+gzcIL6ImPIIX3EHmetl12i&#10;/7HODP8H/+MTYT0u+U2QN/o9Wc9Mt20+rPCVpfs+cJq17cgXdhZtha8MR8BIcILfvJN688ytso8K&#10;fuE3xd6hne/Ks9zHnHW63y7Ufax5Ud6SuvUt/Ah8EidJHnb2i97/gAO1f7D3yZuzcUPgq0cvZkxL&#10;RU/4k1h3aIB/QMcG8EPesUneMXny3m7oYPayqJU5XPKbgyPR9oEk4we8Cw+j32cqW6nol205GIBd&#10;Ag4g+8gX4zJ4vlD8prwfmeLAnwW2rFguY7mM4dzL89gG+CiRMdpoNkBv6+bDCl9ZOu813AMHqB/1&#10;BScY36g3bYU38XGE28j/9BX+fOSR+4J1na26LjedbxfqHtoYzHNepfpV38KPOskHVu2OHtegvtPm&#10;5lO0j6A3R+AD3aD9Q/xDKv8ptgv8C19CC/oZDOLgPUdPlb34JBZ8muY/DdbARB4/xC/EHlLnyr58&#10;tAO+RR4ZC22MKxSP9fQd7Bfqhv+NenJAd+QKOSInC++g3tjaYAQ4YrIIz2KfsuYd+wVbIFOM9GGF&#10;r6ynNvE/eIeehE6EfgtmhA/qbLhp+MiZNfuUkz/TMDLAD9aFr0w5DqZTp3zcg75I/+Er6Ev4QS4O&#10;cpDt19gguXLK3bXX3LBF/9BXtAccpw/xtfnox9gMT9rcS7iPub7wwv/VueGDyL8u8SaBHRNt/YPY&#10;Yfy+5I43OaOP8e/4aFDMMubG0P2IH1DcR++TAz2CORnqb5iHfLHWgvka7rE+5ozcmezxHmsTz9h1&#10;T2cfVvjKenoP/zM2m/8NX3AyX4F34IStk6OetJO2oQ9zP7YLZ/RiaIQvJJ1vF+Ie6ssR1K1V54f6&#10;En60aOxYrdutvs4NGrSVrPV+6jt9BO3xaUB7/Fe+ccnyJeOXg1eT+/nuu+91JYNK3GRygGyNzyXa&#10;89roRgfJesJyWf8y6/JWt0n0KfoVnmR+qTfyVAg+5BvMTxDjhu7OQT9g6+PTZnwzXqX/uI8ckx1t&#10;67Vd3Ev7iDPmGcYC+jRc93Tb7MMKX1n43d1dEyOL/cKcYDJf4S8G09G/8J1SR9pH28zewTbjOXAD&#10;HkZn6e57hfzP6gt+oLtjc/Yt/AjmX9jnqqZmpIxdCZ+n0DvcV5Zjkvm/ZD7iN2MW/UjMAbwbfpZr&#10;4o6rqoa58SPFdhF7qakP4McBEu9G/sK5Ej+mtpi0C/xgrUimvoF88ia4hi8A+qM7cMZ3iMzg6wj3&#10;G/cZ1sCv9BH3gzPgB7xMLEX4mXTr7sMKX1k678PuQu+lrqZHhHmLfGq0D78w76O+X3/1lfIi/USb&#10;rH1BfOosfU863y7kPa+/ulrbgY7Vl/CD+I+TxjdqnOWUKT9wHR78oD34NBiTsKWxn5NpS//Sj4xZ&#10;8G64j7nmHd/73iQ3ROTx5PEjxH6Jdl4D9I/9xdYqLSnT/GkbJQ4OXgQ/8etnIlfJNMv1bzAeXZ5x&#10;Fnoz7qJXEFMKHuCj4pvMI/GbeBb+p13WRzzHWGCxaPi7fPpmd3X3YYWvrLt32H8dwnfwFb4P82OE&#10;eYu5dHjytdWrtU/oF3RknjFfgrUN2xr8t3dH4Wx8RF2RL/wA9ME5556fWP8StfW35DA2v0Owz+t+&#10;o2vUN3HhhRdJvFcwFoX7iPZwoBOiCzMPZrSn/fAX4xl9xnhn/Bh+R2dHpzvjjLNcmfgjDxS5JN6k&#10;RerBoXvPyvxx1OZkNP9HYv0tc9HwLzoxvgNrf5TO7BGluCC+Kupq8sbYBm9iW7IfHTIEzjDXEu4j&#10;kzP60GLQwCD61/g8nfb6sMJXls67iLmh7uj3Pr4yfDGbEoxEDwbnTQfjOfIn8Z5wLr10vl+Ie6At&#10;Oh/yg57OnOV5ifVzh0Zs/b7uPavrbcUHgeyKHdE4YqgbPmyYe/2NNxQnfDwFL6LPwnemC9NuDtaj&#10;0mcc9CdYk/yOTtFBVr2ySvUc8rzrt/Gjqi9V6pI4R2lOJhk/aBfjMuOYtb0Q/NWbb+AnYM4FmUF+&#10;6DfqTVwH/RPMx8xSDEzuI34b7tj9jO+mf9i5p/r4sMJX1tN7+J/8HtSbevnwgzrDl+gg2F6Ge9gB&#10;2Du0nWdtLhvdi75L59uFuMf4iLgd8IO1VbQTnz2xz5GLH5P5FsZ+cn60CHZMGiXzLjLHcPiRR7sN&#10;oqMTb57MV2aPmK+K/sL+t7ajc4ErlKvOLP2V/I5NG0RHlvfv/4MDxadQ5o4e2+CaxkoMCIfsfRes&#10;yzW9KBrnZPyADy1vTSF4q7ffoE/Qj9ATkRt8ivAi18yBMifLGIysMS9De5L7ifspZxzkXvwL4Tn7&#10;dGTPhxW+snTaB1Zz0AYOX33R/ZE96gsfgvGMY+YTpk3M2XIPdEinDenULVf3UB9bI0K9WTN2/gUX&#10;6Zr1g7v2i46GTAR5NwQ/RGaPlViu8rIKydE3yM2Zc4tb3x743JL7iN/0AfY1Y4GNv0Y/dC98XGAo&#10;vMe9ye+gbK3owpfPulrsuhK3q+R6P2VcvR6WA17XxnTZVsWnlw8/wEjWUdD2qPEh+IHPEPsEepv+&#10;wTWyhF/DZIy5DF8/Wb/Rj/Q1Pkf0jt74i31Y4Ssz/unuDF8Rt8i45MMP2oVvDvuZ+oKN2Gvca+Me&#10;17Qd/EAn6e57xfoviK+VvefASOmvG2+4UdZ8VLgpRcyfbDZBgBmBPDaz3lZltMZNbCBfYZkbM3ac&#10;a1u3TmnuG5PgKfrC4m/op2+//bbLLra9EonBNawxPrQz7+0Qurz/7ruuoaHBDa8a4o4ZP0oPbCjW&#10;9WNb2REFO0bzwUo+FJ1/kbrDhwsllpP2s1Y+aviBnDP/hcxZn1FnO+gf1rcQD0KcGWOd9Y+d6Sft&#10;K/kPWUTueC9Huu31YYWvLB1ZBe+YvwXraIfV087wJf8R90JcPvohWMP/dj//2zxNFHPHQVv6g7Zi&#10;57PnKznvir1/A/5I9U/iW5CYC34Hx0jNq1gpuS2Ij7ru2uuF1uiyQU4I6xs7g/Fcc7YcXPAi/U/b&#10;yekyR/atgO/M5rRn7aw8KfoNvy+8QHQz8aOOkHh2jqNk/d70CSNcs+AIuQSCtf3M8RZXB9F8jrJ+&#10;f/68+cqL8CrjBPjx+ed/idw4hnzbHKXRPXymD5inoO+IPcW3Ef7frpE7fOTgB/NppnsUAz9M/6Du&#10;hgdWT87oUbQZnzZ8aPMX4Xu4NvyIar+Bf+D6BqF9VPCDNfnqL5X9GTTPmMpjjYz5Da5aYjGGDRvq&#10;rrriKumXji6/ha+PDPuRH+LIsDHhK/iJ/BLwGbhvz3J/cv/xH+X6n6yn23uffSWebJAeI2XPzGPF&#10;lmmSORj0DnIagXvqEyniOl3sF9YEkY+eeuNPCOQzmMMGO9MZQwt1T0/4QR+YHUBfWn+F+4oyDuLI&#10;0PfJd2i4kW57fbqGrywdujCPwvwz+BGup10zh0SfgCPWpvC9ds34TnuiiB/QgfyS+KeihB/IH/sz&#10;YK+QHwj5PGRMg6xjq5Txv1Lz4qB3sEetxUdZv4TP1gfoH8gRtiYHfWe5hfBP8b8vxod38VygVwY6&#10;6Htr3nZHHDVVj4rKKlc9tModLhgyAz1J9KUZYwP9I9hfojh6yL7s/yL6x+9uv0N5E/60fNK0JR3+&#10;L+Q9PeEH/Qg2mI6oWC59E+5rww+TNzDT8IOzXXfXLh9W+Mq6e4f9h78JHcTqFa6rXdt/nK2N/Ge/&#10;aWfQHn/skn2rWGdwmTXE+K2YY2DfA92zUfKfBjnHC8D/omsEa1sTNorOh4pfgbkNGc+nTWgQf0e1&#10;zn0MG1EtNj17EohfI2FT6DpZob/1SfgM/ekLypAb8ieE/VX0MfcgX+HnwtfhPqZ8g8SDwMccV8ya&#10;JbGpVbJXQpnbU/Z8a5a1wOCHYl5if81gvlfaIzZOYN8ENGXfq3z5StiPjz2Mly5dpn4t2hDgR6va&#10;AMXit1TfhQ/R07Gjw7S3a/oIjO+pn7ifccHn5yk0fiD31IP4DeNBa0+6ZzDF9Mao+j/we6v+ITKJ&#10;P3i25DCvFP9pPvef2yIHD7aK4MTJ6P4iUy0yL4rf9GQpP1TWcQwROSC3aTnx2HPQx9sT+sCW4086&#10;fQIfsoYAe5P+TeeZ5HtU55H38C78zf/7P7K+TtaaVFZWum1rJE+I4B2YMR19BP+qtAtMaZZ4WcUP&#10;xctAV8kXfrBWp0L23XxyseSDlTrCv8Fc4Xf3NUsl04UsBz+C/B3s4e4fC5L7Ifk32MJBPHGmcXI+&#10;XcNXlg5tgjUrm+dUkuubzm/ikww/iJ1OBwPTqVsu72HfOY15Ex/kR7L30mzxn1aIPOCDyxd/q68g&#10;4Sewb6jPQNaXkGPjJJlrmSR7UlYNGayxsA2No9w1V18vOkeQ6z4d2vvuAc+Re3gUXsuUV9vWr5dx&#10;PFjrv2ljp7vs0lZXUxvs4V07vEr2n62RWHehn7SnhZi3rcW/Ohb9JKHPJTDE2p7r8ySZn6qQWJXl&#10;y57SuH7aabmusN1yyT+5eBdyYXY0eoav73oq4zn6F/3Scmr0tm4+rPCVpfNe9A5iavG7Zcpn8Cp7&#10;AOOno23pfLfQ9xATQeyOzWE88cRi0X3L3PckziHXfB1+n8mS+gmY/5Q5luMk7+9k2WulqrLClUsd&#10;ttthR/eLX5wt6x6ILUfmA1sj0/6w5+A1rsGQnvgy+X/DIPqW5+0d7FN9yGFHusFiz5B7Y6T4RSaL&#10;HJ8obSJWFb/qFj6R/8/emb/ZVVV5f/8D/b6SmlPzmKGqkjAlhEzMUzcBMjAKhKRSiYqIiqJMgiJC&#10;gv2qOHW3U6uA2u3ziKCNtnYzCYIgEPF1gAxVSbTfVhQRfbt5f3m/n33uKk4O+9577qlzb1Vi/XCe&#10;c8++5+y9195rfffaa629dxUxZKnWJNcpNuapJ5/y9FHXaB3hdh+nX2seS1MesRKRHvx6G3ayD0LP&#10;zE+xRXrfrfY0TFNm8p0QVoTSkt+Fnm0tHH7pUH3TpmHvhybzG4bKmqo0cB8bMTqf0bPz+V/49abE&#10;asflPdffBdlBnjiX6bR5c9xQV5traY78skODw+56xdHvekF7IXMepeYsrEO3sSmyZ1Y+fwEzuJAn&#10;6AULjO60d76lfC6fj57Zq2iX5n7U9XnFP7KGaP78IdHTLB2qyR0rLF4tGpnXQLPXtUwXqcJ9sLvD&#10;dXV1qT77hG9RTAH70WDHxz8xVfxWqlzit4k/TdsPyffgDXQsfGxgZamyiv0XwopQWrHvk+nYFVmz&#10;mKxr2mf4y/Y+tX1CkmVM5TP+ceIf0PcYR718SlaXrzjOzW5p0vrWwp45kvfRwln3r8ORgp/Sx0/5&#10;OA3p6h4XsItG+jq2UPY6jvbe0V3j8Tqdb3d0X7d8Kk3e18iZVUuWLHO33rrd7ZGfP20bT9f3dine&#10;+Mb33ez3ZeVsCfypHZqPLdHc5lzZRXxb4J9Wm40w1ym01ajayvZ457w7zvjdTNvrvVCc6xZvp418&#10;VNhaLlY+lHXKqWcc4JsivoBxjJjbqeS5ZNmMYVxgB/HbHpOFx1n6lb2UwUi+TZaT5jmEFaG0NHlh&#10;0zEfTBZa+AZ5tLXJrA1MU26t37H1H9QVHYm7raE7TuOmP7NR8/gDbJ7xMRNZ8PKATOBjiPwMPi4T&#10;3me9u/7fIBlZLV1+meSnu63D21gadObC0YuPce9+93vdY488JPvGrknxT9Z+qsZ36DljwuSx3Tvd&#10;Fz7/BXfu+Re5BYsOlz2n0dUdVuf6OrrdCp1bcy6+X7UPttbNaqOo/YQXwlib94AbB8x9Yu3P+1G8&#10;bpfbqrhYdB32O/qw4mO8LKoe6FnMx8EP1o/UmsdKlQd28D92C3QQ2i1Lf0ArsTzYHIixLVVmsf9C&#10;WBFKK/Z9Mp0YWHwwfm1qBkykLdgbGr8U63mT+U/1MxgJT4GT9Bk6Ofjxs5/ucG2S8WZ0EJ0tu1W+&#10;hBHFWbJnoI2Tdh/Rnhj4S7iiWC/tMyx/QzRmajwc7HCr5ve4uvrD3Bu0TxhrSBoa6lyP9Ov33Xiz&#10;2/1CFItM2cR0RHaYbONPFr6r5jf4mLGh49ciHmH/3n3uqqve4+PfGhVfjo0C3aRHNtfj58pXPdwh&#10;nFAb0874bHTHbhLttcbv13S619qf99FTety6uXN823Z19agtx6PxQDEyHsvUvozN+J2mmu+S5YMh&#10;yAjyn2VOSR/yHXMF9Gn4OllGmucQVoTS0uTFO6ylBT+IG8jCZ2Aia3PpN/RGw9q05Vf7PeYv4LXh&#10;h8ViwW+XbRz1ceyH93a7CwfnuY3SHeBn41u7s6ef1609D/e7C3Q/S3hxgnyIw9obrEW6NP7XJsVI&#10;dAozTjjhZPee91zjnt7xjF9Xstevb9UYKdyivahD1jEoSx9V6xv42eggVgR8HBet4/JzPS5+uuba&#10;6/y+RC34mORrnaWY1lbZS4ZldzpRvqf1asdL/LxPdhPtpcD80fYMsLa3+8jQgDtd2IHPhbnLO995&#10;tT/D169pUnvSrtAJHxLHXm2+qjT/P778sh/H2Ks2a3/Q3uyDaPtpVFoH3g9hRSgtTd6s/aXfwUXO&#10;RoGuCR5XfxhvpKEXDMK/nabcWr6Dngd97KuL/QMehx5o2/XCL92aNeu8L4azVOd3t7sTtV/PavEy&#10;e4OcKfvFqeCEdHB05uHeTtc+u1lYUe9jl1iD16l4r+OOP8ld/pYr3H33fsvnT97Ef8HT9Dm/KZPy&#10;rU3tnqZtp/M73jcjev3d0xjxjcfJAt0//clP3Oc+83m3ZfTNbuWqE9zs2a3C7XrfjuwL3S776wLF&#10;lSxTOx8vXCEu5xxh+VrtI8A5lcfrbM05nXzToLid2e6NF186sZcBWBy1cVQuY8V05EPqCLaZnGXp&#10;U/afYC5OHtNF/0C+0O+JsYIHwA9o5UrD44Y32GHxb9cSG9KUZWffEvtnY1S87ziH/n/97UfcSaec&#10;7rGAuDLOMiA+BHtnSzPxGY3+6u3rd6vE/xddeKnsJ+93X/7SXdrz/BfCBnAi8ulbG8bL+Ev+bfwR&#10;yXmkf+G/+eI/fsm9/cqr3Jmr17oVK493tG3UzsIItb21P31B7Fp3j2yy510k2WFvjNfbD6xv8Y/C&#10;y9NND2Z+Z7bdrPxgfgr2+0rD+6F3QrpGKC30bTLN2hjfpq3RpB/S4Ia1AfzB+8zLsC8ny5jKZ+gj&#10;JhbdqFgsJvoIOhj+Sez38PX119+kc0VuVNzlLdp74zPuq1/9Z+1b8LR0i8iOYXMg7BgTertwyPOw&#10;2qKS9rN2PFTvvi0K+gnYOi6dhLGJOBfaK5J7zT3kE2Mu/bWvfs3dcccn1Ac3uuu0zxNnS9x111e0&#10;h8HzPhaWtg+11Zjkk7LAj1JnaU0VP+aBH4yB8DI8l5WOEFaE0tLkbzpQtH42it+I+rb4XjWhvqPf&#10;8EsRp5Wm3Fq+A36YTS1Ud9Lga3AEXmYfDGIxsFn4q4AHNn7yLjHdjIFgDrpH9Bzpa/xfjMeLlX8o&#10;pxvWwldcE7H5akP4hjanzbAr85v3saH4NpR9dJ8uy4P/iYn1/yVwxPJiDGM8rCWPpSkL2zJ8iL8i&#10;a3+j37NeDZueyW6asuPvhLAilBb/pthv6oANhHgbcA29CGyzvqZPytFKn/IO+EGcluk0xcqsdTrz&#10;F+aMYGSIFupvmOnnIPC06IF2xgx8C+gdnm/1LumMnXt2a64nefD+YN3Jm/e5p2m3UF0OxbSovfZM&#10;tA1tC17AZ1GbRvqItZ1hCc/ehqS1fPQL6fQFZwEYz8Xbi3TGAPyj6NLTjQ8Zx7DDYdsN1T9OS7Hf&#10;2AhYiwFtWekLYUUoLY2cGoZF/hPF3Tz4wAT/IxvF6Iine/nTHMZixNOUW8t34Clwn7WZ8XrP/A7P&#10;Aw7WdrFxwObiteSxtGWhO6BDpMEPcNdkizsX+y+z31dW7KCeIawIpaWhyeqBbwn949v3ftOPqcZD&#10;acZRewfb0HS0ext+GDYabTP3Qws/6GdscaxzwgaShv9r+Q5jNboRMWQmM2l4kHEc7GCtK/qL7Q1l&#10;+45VSkMIK0JpafI1PYg7e9+hG8Vpi/8uRiu0ResOtvt1eGnKreU7Y9KDvd1bulUaeorROZM+vfHG&#10;+pbxmf62sbGWvFauLPbxBgPYfzAtP0EXczewhzGeOE+bN5QrL/R/CCtCaaFvQ2nWzuxJ4vf4Ex5Q&#10;Z7vS0Gn7Pk3H9S8RfkSxbcZjaWiaeWd640WyfxjHSIv2XNs2rfQPkzHi68EA1qsn6x96Nn6NdOjo&#10;DJ8Xf/sbT1tWDAlhRSgthBXJNOgy2ogdxU6Ajxk9EHqsT0K0WRo2LWI7wfyX//CHifySZU3V8wR+&#10;FGw7Vu+Z+8GFD+X6y/T8e7QHO3xsfD1VfJcsF3lnX3zGaFsDgw25HF1gCGcegDvMfch3MrSFsCKU&#10;lqx/sWfDEPZcoY7E3oAbae2n0IffBdvwZOgqVr/Jps/gx6GFE8XkDR0fvkX/IAZ1snyT9/fIBhiC&#10;fZcYdLADvcJ0jCRd8XQ7JxLbDvWaLv5b6mJ6EHjB3AwcgC7oidOQpM+emY+BqfRb/CysvNs/a34z&#10;+PGXgR/ozGBIZP+YXvMXeNfGac54RVdnvRl4R51N3zeZ4h4fv4k9IAbB/BMms1lkIqRrhNLS5m06&#10;w6uv/rePTUEHwR4KbWnwA32Rb4gdpMzJ0Ja2zpW8N4Mffxn4gRwid8yl0T+MryvhlWq/i95AvBDj&#10;tO1DFseJOH4ge3Yx32FOZuvbJ0NbCCtCaVnaghh0sJF6QhcYEqeJ39Bk6diDwEVoIz7GMDZL2dX4&#10;hvpQX2jiXOkkLTPPhw62mKzhQyR+rBr8lDVPk3fu6OjMX8AQ7BrF5MxkDd2EmFrexz9hMpZ1nA5h&#10;RSgtC63fuvcejwXEyFl/JGWMdOZu3ImpQDbZ6zurPzpLPdN+Q1tj06Xtv/Pt+2bwQ/if7M9D5dnm&#10;3OyTbXaCtHxSi/dM3rkzD+GcXuQNOQr1gaXbHsWM0y+++FuPi4ZHWeodwopQWpa8LUaFvf6s/kna&#10;/HytoJtwrgp0Pfjv3580XVnqm+YbcA39CL22GE1JGmeeDz6coW8Zq7HF0deTkbE0fFXpO3H8sLPO&#10;0fepd4gvTS/BrwH/cjau5WE6SKV14P0QVoTSsuSNLRR9Av0PmmxOGZcn0szuA9aDo9hLoGk66iC0&#10;A7Fx2L1D/RSnbeb3wYcb1mfI29juXd4Wh65pspZFDvL+xrDM5H6n9o0F5/BVGE4YHXYnHX5lTMee&#10;AyZavSw/e67kHsKKUFoledq70RrB7R5DitEFffzHhd0U2ogBsTym0936C5zjos7WPzP3gxcrQn0H&#10;dlh8FnGe04kPqUtc5uFD9HbsIMV40uv50qegBf0DnQVM5IrnVSmdIawIpVWaL+9TN9booIMQY2t2&#10;0nh/WdoLhb1qb7/tQ54eo8nuWcqvxjfQREwLWB+nY+b3oYUfjNWm6+MbrQYvZc0zLvP8xo6x/dZb&#10;/NhbSicGW1iTBtYwtmctP/5dCCtCafFvKvnNWfXYG1nTb1iRlDXoYq8d6AJryH+64YbViXqB4dTV&#10;1ogn6Zl5PvixBF597AePeH5kPXklPF+rdw1HGHuJJcWHC36EMIQ0aMJ3y1wnrzqGsCKUlqU8ZA29&#10;A/xgn5OQbgVdpNMGzF+4OIcqS3m1+Aaa4CvmWTt0vsQMVhz8WBHqQ2SNcxvQn9H9a8FbWctgDS12&#10;Q7ABWkJy5tM1fyG2O899/UJYEUrLStsrr7zi51v3KC4spH9AK+ncsUuCNdiDrLzppIdQFy7GI/CD&#10;fgvx3kzawY8p7B8Ez2IrmM7jGXICbiA34F0x7IAnGauxkeTpTwphRSjN5LnSOzpWqXNuzP+Crww/&#10;L/1FvJnFrvN9pWVW8318QvQR8xfmMfw2fdHuM/hxaOCHxRPYPKGafFVp3iYX/+/VVyUzkd+BmG14&#10;rxiGwJ/IF3v32veVlpt8P4QVobTkd2merY7mrwjJF7Tauh/izMy3ZGN9mnJq+Q71IoYM/ODsjXhf&#10;heibwZKDE0vgSXz003UdJ7LFxfjL3AXbB7zGczGew5+EnsL59nnFRoSwIpSWRUYNP1gLx15rcVkz&#10;GkmzeU1k797u55ycA5EXjVnqXuobMAR60BtnMOPgxAfjv2J3+pUYK/YHND4uxRNT8R98SKwlY5nt&#10;pxmSMWiEnucUO8a7+DL4No86h7AilJalLOrIZT5n1voU6y/oBvPRVdCxoHU69xuxfuzRavhh92L0&#10;zaQfXDiDb415ATqx8XEWGajWN1Yn1npYLEF8LE7yG/xJ7Bg0/fQnO3KTrRBWhNKytgMYAN5Rb861&#10;NV0jKW88c+HHZQ7D+W7WRlnLzvs76kOe0IRfGj+YrZNI0pPsv5nn6Y0f1n/Y4ZgDsO8V49gPHn4o&#10;l3E6b16EB3/3uxf9fIT1L8ZfJkf2HL8zb0G2wMa86hPCilBalvJM/nfoHAfmXU/96IkJOkth5Z1f&#10;/IK3uWIbylJuNb8xmtAbwcQd8uGa/yjeVzO/pzdehPoH2YMvuX9T4wP4Qf9Wk58mk7edkxKXqxBd&#10;lkYcPjQRb2Zj4WTK59sQVoTSspRjdQTvmHexp2G8j0wXMfq4j+nd+791r5dNxvYs5VbzG6OJ+F/6&#10;ws7vga44HTO/Dy78sDGAO+vBbY07c27r82ryVaV5Uyd0YOKldu18oSzvgYsWy/nnP//5oJi/QCN6&#10;Fr508IO9kpAraCkmX/z3xA8f8/iBDllpu1b7feMlzh4GP1jbDc/N4MfBhRdJ/ovjB/MX5NLG6mrz&#10;VJb84UPsHuBckpbQM/Sx7gK7PzKZpczQNyFdI5QW+jZNGj6UP/3pTx4P8HeiXyBrxWTO/iNm5Ct3&#10;fik3OtPUNc079BvXb/7z/3iawEX6awY/Dm78oP/sImYanyi2AvbRsz5Pwx+1egf5Yf6Mrh7Ci2Qa&#10;tOGP/odPfzJXekJYEUrL2i5gHRdxb3ZWVjlZ4/+vf+0rvn1eeun3E/TSj1nrkdd38TpgP/X7Dcgu&#10;TH/Rp8l+m3k+OHDFdGL6ED8F4wK+QPgm3ud58VEl+Vj5jMX2mxgwdCR8EuXkCR6EPvyFxBzE86mk&#10;HqF3Q1gRSgt9myYNermIu8fnWU6exnbv8rQ+/dRT3uZqezSCQdMhHsT6D9ojX/N2b6u3PipH38z/&#10;0xtPkDPOU2FsR9/PU9dPIy+hd2wM5j/4j9hs5i7wn+FeOb7iPcY7YrHIJy9ZCmFFKC1EV5o0kzfm&#10;IuanhlYwM4Sb4AfprIFBf/za3XceQK/ll6bsar9je/unseuU69+Z/6cWV0x3RM6YZ+MvZJ9y+G06&#10;8Rw+yWjuss3XE3mxupfjIXQqaMpTLkJYEUqbbJnYflnLaLTSTyH8sDNw+B8/LhiC/cTwcjqMB9YW&#10;3/vu/V6HvEfrrEK0lOvPmf+nFjOS7W99iN4BfmC/BzumA8/F68A+wcxdmGchJ0k6Qs+Mx9iDWWOX&#10;Jx6GsCKUZjJTyT1eT2JQ6RP8YWAIfWX9FaeX9uB/4niI3UGPxL9NXuht8TwrqUs13mVfGeo3HeLY&#10;D8Bl9Dtd+wrtHMdq2tzamHbnN9eYfA5jen9cl/UH71q+pEX9tde/x7v8t7eQzn92Rd9Hz3vHWZMR&#10;nUuCX8PGB9L37WVPS5W37zUZIA/e44rKqw3GWBtRrsVAE6cJ38Rltxp8lCZP+J4xlLoQc4p/gfan&#10;jeJ9ZH2XvLM2hLE4b59mCCtCaWloTL4Tl3ViXcCPeAxqksb4M21C/Ad2V+STvOxKljNVz7ZnCfsO&#10;UPda8nu8rfgN3yMD3Im3sbrsl2ySxjUmmd0jeTXZRX6N//aOR9/vU+wD8gw+0P7gOBixz/i0cN+9&#10;6wXlqfPOKJPyYxfvc+3R92PK99e/Jk/FxxS+5Zu9KsPwh7JNFqgndTJ5TtJZrWfKtLaA57CL8wxv&#10;xfl4KngNzLA6UCfkiL3Wfd+on9K0iY11xMNZXnnQEsKKUFrWsgy7wQ30J2I7jFdoiyTt8A1pnrfU&#10;NvcU9mCYjnui/vHll8VnH/I6CDKbpKWmz2pL0x3ADLCBNoTHnv/5z91X7v4n98H33+ze+tYr3dlr&#10;1rtjl610g4NDrqOj3TXU17vGhgZXX1/nGurq3Szd+/v73BFHHuVOPuV0nSvyY48H6A7I9w033uyW&#10;rTjeDS9Y5FpaWvW9votdjQ2Nbs6cOe6ooxa7k08+zV18yWXu6quv8deHP/wR97D0771gj+rMBZ5F&#10;/S19SPX1WFPAoJq2ocpEz8dOQL+yhnM64Ad1MDnC74Iewfow+oI+oe3KtVN0HnUUa3Yw4Yft4wGN&#10;zNn+7Xvf9bQa7yTppk0MQ7g/+/SPvXzSbtOlL+NYiq5Lf3J2T5KWWj8z5u8S/3/7vvvczR+4xZ1/&#10;wcXu8COOds3Ns4UPja6poUly3uAaGxtdt3BjXleHW9jT5Y7q63XH9Pe7xbov7tfvgR431N3peme3&#10;C1Ma3VVXXe327de6EPXhmOR+zpz57rA3/E83p6PFHdnX4Y7u6z7gOlLPw12drr+9081uanF1deBL&#10;/cTVqHr09Q+4E086zV1++ZXuox+5wz326KN+vkWbQUeEK+XlIs82ht9sjRk6b7yfp/o3Mk/caDxm&#10;zNqIe7l2wFbH+E3ckmFRHjSFdI1QWtaybA0L+gP4gf3XaA3RDZ6a3kx/Mq4zP8D3S1550p6Vpvh3&#10;xO8wVmGrMbqm4k5b3b79I27e/GH3P/7qDR4n6iWzzU3CjLpZrr2txR3R1+5OntfjLp7f7zYP9rmR&#10;4R43yjXU7TYPd7lNukYXdCm9y21R+rrBOa6psc6tWXuu2yPsGJee8PgPH5d+0uBapG9cMjzPjQz1&#10;6lu+f+3auqBHeeh5YbfbpGvd0By3amDAX+BSQ0O98m1U3Rp0Nbp6PTfoee36C9wDDzzkxw/6nbjl&#10;WrYlug/rmojRjPsppgPPUQfGKHiNdSxjah/kx65y7WRrX4inMl9EnI+z/g5hRSgtS/7xeuJDQS9k&#10;XW05WuP/0z74SfmW82Ty1L2y0BT/hrpwVg24Dr4jw/G65/Hb+AP9jfz9HMXbJyL74/33f8dt2LDR&#10;DQ0NSy4b/FjPXKS3vUP6RI87df6AO89jxevlPC7zE7+HwBBhygLJv+S+s3W2W7Hy+MJce9zdfedX&#10;pJM0uJ7WlggzPPa8hh0T+cTwBGyyC1zaMNznzprf41bN7XNDXW2uraXZz58alW9ra6s78eRT3e3b&#10;PuyeeuYZjR86e108sFt6z/jewjoB2Uv26zfzHj/fkb4y2bambWlrcAObODGo9DV9PB3w47/+6/96&#10;PRdeIzYqDb3Q4/V54SJ7FmI3gZY86QlhRSgtLjeV/rY6g+vsCZeG9vg77MuG7sIeS+BQpeVX833q&#10;Q92Il6Wv4vXO9bcwgzEZPeDhhx+RTWGjGx5e5OcELZK/ztmtbvFArztraMDLJxiArG6WPjG6UNdw&#10;5wE6QljOu/Vet9dL0EFGh/rcvO4Ot2DhEd6fA323fmiba5LOcEQvOAMupMEl9JHewhXpJl7vUdqo&#10;9JfR4X53oTDlpHm9blBzKvAPHQV7zKpVJ7jtt/+t5jTIQuTLwb5DW+Td3sgbckZ/suepjVV2ryYf&#10;lcsb3YN6xWOoyvHXBH4IG4m/wmcDLXnSE8KKUFo5+kr9b3hHDCq+J+gqR3v8f94n9va2Wz7oz70p&#10;VVYt/7N+wAZSSSxgnLbQb+i1NkLv4MIf++gPHnHnn3+Ra23DLlHn2pqb3ZH9PW71IDJpOoMwQDrE&#10;iPSCET8X4Rk57UuFH1u83tHndZAtwqDhrnbX3dMzYZt411XvkWzXuRPn9Hv8GE2BH6NDwjLVgYu5&#10;DboI2DOqOzi12esw1I9L8yvpS8fPGRCWdAlLwJF6d6TsOLdv3+71DnDD2w0LdpJQG2ZJo81Zjwaf&#10;wkfWv8nfteQxykJ+sMcwd8EOaLxRikbjIdqK3/Anspd33UNYEUqbTLnWD8SSgp/Qg0yUot/+s7Yi&#10;7gX9CzvIZOqS97fM0YiNw4Y6pjHR6j2Zu/U9edD/xMy85fK3uc6OLlfXWO/myfa5erDfXQYmFK4t&#10;CzS+S05Nr/DzD8niCPMRr4e89p+9E7pH8iz7CHgkXeTovm7hRZPoUn+p30Y3v0k6zyy3ZnBQGCCM&#10;ipUZys+neT0lmsOQP9i22X9XqJPyIS/wZDNzJ+EIZaM7XSJ9aml/t5stHQtb7jFLl7v77tX8X+2C&#10;ncz4YzLtzbfW5sR4f+Pr/zSh48O7duXNO2nzY78O+AufMvOqNDQbPYYf6O7oICaLdk9bh2LvhbAi&#10;lFbs+1Lp1u5WV3zWzC2hyc/ldS/X72ZTwPZB3/I9bWN5liq/Fv8xNhAPSP/ioy5HT+h/5AD7MnQZ&#10;vfv271Wsxh73sY990h29eKlkRzYN4caZsn2OoCMcYF/I79nPX7wsC3sW9bilA92ydTYL79VXqt/I&#10;yBZvm13rMUBY4LEhv/KTdKFXgSkXCyfxCzU3Nbtm2VrPOuts9y/33z9RLz8eeV1N9hLhQaUXbf+L&#10;n//M85ed314L/gmVAW/HbYfwF2MneymmpQt64mM0/MmeSKHyJpMWwopQWtYykC/DEWJQiWHn/JQD&#10;ZKVEf9MGvIu+yj5t4AfnrpCn5Z21bnl9Z/s+E9uXtn8PeE/0ganM6aF3t2yGO3VdccWVrkV+k7pZ&#10;wo7WZrdxwVy3cajTbRlMY3PIKNPggjABnww6wdJ+6Tyz6t2//9v3fR3Xrj3P48cF3m6BvoBekbGs&#10;FN8x99qsenhbjuy5J8zt8XOaBvmF+/rnuqefftLXC5uI992pDQ9o2xK8lXwPu6TFKOXFG5XmY+Mi&#10;vG3fsseM1281ziTrXOw5jh/wFXJjPiUrw/KfzD2EFaG0rGVYO3DHxwl+EBeM3TyOj8XawcZj2gMd&#10;hNhAzomJ43PWuuX13Zj6h/GBdZvF6CiVDo3MUbj7uHPNFW684f2uRXEbdYe9wcdoXDrEnALcQOev&#10;osyCH5JrbChbdF81t1d40ai4ne95389ZZ631+HGZ5hheplNgwOTwBfsq9hLRrTkP91PnDXh7MfU6&#10;5phlsgs96ucy+GPAkVJtXew/+Av8Z46AHpIXb2TJx8ZGvsXfCnbY3hfIjMlEMVri6bxvehV7tJMn&#10;+eeFISGsCKVlaQerq30LboCDxOjEaSz1G/rpW9oMPf8exaPiy0Xfny4YQlwP4xZ1K0VLsf+gzcd8&#10;a45ATPjb336VZLTe9Wm+8jfz5nrb6MgC/CfYQRmPC3aDKspuJK9d7jiPHw3u+7I/0RerV6/xc6mt&#10;Hs8KNosq1mNkED2ox20SnkV6EXbbbrdBeg/+X+JbhoYXetsy46zFrhZr62Lp8BixPPg48jpb2vg+&#10;650xF0xDZojbZsytxOYDTdBrMZisI7O6HCz4QX2trpEetc3bC9DXi/VlPN3LVgFDSCdulz6uhi5m&#10;bVvpHfqwC3/x85/1NJlulXac2Ku2GN+jdYXq72uvvd7HcfR1tMoPIX+F4q+8/RObInYJXZGfojpz&#10;Bm+3FB4gs9heV87p9fGq3/vXf/U4fqbwgziTLbJHeFur14eqUxevB/n8zRdNOdiDC22iOpw0Vz4a&#10;2UMWyseMnKC/xdt9bE96Oz0+DvTjSvs/7/fhJxsb8Rfgd0VeuMAEw4W4nIR+27vRfqDbJmJa8qxv&#10;SNcIpeVR5ou//Y0fp22/jBDNoTRrB8Y/8Jc2JSaV2Hhr5zzqN5k8iBvAvksdjX/T9jNj5q7de9zH&#10;P/5JP572d7a5SzXXHyF+cxDdvYr2jjK6wyrhB3iB/kHfrD5rjY/P2Iwe5OdR1deFSs1/8EufOE82&#10;Xukhy5avcj/7xS99PekHrkrmM7bHlc25J8MPk/nWxlv4h3mx7ftp41IavuIda4PorIBtXnYmU6/Q&#10;tyGsCKWFvq00DXlHzyeeFBlL0w5JPOEbfLnkQ0xNpXWo1vtWJ9bkMk7Q18m6F3vGF/mNe7/t+gcG&#10;fCzmRfLNjhTGf2wQ3gdRRs5Lydhk/pvu+LFJ7YQ+cmx/p7cXLVp0hHviiSf8/JZ23bO7/N7k9At9&#10;xjwBG321eCRNvmCH4QexHtQJnRt5QX9Py1eGH4y3xK6js3NeDHWw/NPUp9w7IawIpZXLJ+3/2D/x&#10;Q1fSDnGcoR2xoxoO2fq8tOXn+V58nCJGljpxrkOleubzoqdDMVr1WqeyUnFTyDtzBz/f1+9ofUr1&#10;5gil8GW64we21U2a4xCH0j57tptVd5gb3fJmt3vnCwWfeLr5CzZGbKdmY8yTT7LkhYwTy2Y6LTzF&#10;eiDDhWJjkaWbzKCD2Fk21VhPHMKKUFqWNgh98/ef+oTfV8zHD4o2o7fYHbzgsv+tXdA1sTnY+rxQ&#10;WdVOMxxnDsW6bzAeXdHqGq+3pYXul19+hZv1hlmuu63VXer1jGi+P8K8BfthlW0MBzd+MH/i6pU9&#10;FQxudL19/YU1IrIfpuAx+gT8x89he1VVm3dK5Q9fsU6WuQuxbPAROFDJ/AWakBW+ZW6Nz8H41e6l&#10;6pD2vxBWhNLS5lfqPerN3nDsIY+/0rAgJFPl0myPW9avka/pAnm2TSla7D/K42IdDPoHWE9f+zmM&#10;+i5EI2lc6JY7nt3hOrXWnfn76fInbJSfxWyYpeS6ev8pjtXbaCMfMfZT1t8/+MCDomm3W7vuAm8P&#10;uVRrc72PRvOH6tUlhc5FXeWLYZ63ST6hw/vYj6TBXbJhkxsr7IFSjpf4/wHFtyCvzBGsb6fqzpiI&#10;HsR4lHatXJJG4zvwA7s+6z+gx/g1L9pCWBFKy6u8b9/7TS9n+F+RsyTdaZ5pE/CH8cL2V2YeYxiS&#10;V13L5RPvC8o2Hwz+v3K0QcM++Ws3j7zJy+dirUfbskAxHsznvW0yhex4XSXf91jPwpwAedyocX1x&#10;X7f3b0Q+ot2KX9/qfcvrFVfOev+tHmvyrUMleIRu5tf+KG7F3+WnmiO/d2d7u3vyqR/7fdHS8JSd&#10;5fbKK69MuU0e/ICXGGfT1D30jo1R8CHYwdkv8DM8W46vK/k/hBWhtEryLPUuZ/hiE8JO4GVI2B+i&#10;v1wa7YIug17G3DUuy3m3UTF64mXyDmtwse9Qd/QP7jYOxOmh7qQ//4ufud6+PsV5tCo2ak5hHNd4&#10;PqVjuuSxgAn4aJdoTS/jOfVF/9g0slX7EDW6czTWsy4ODKlE3vN/F/spvqCCj0q6yGrpRqzxu+KK&#10;d2idTLoxihhPZHY6+POI04av8VOmtRPG+ct+2zgLT96j2KS4XOQ11oawIpRWTIYqSaf+4AZ6Im0U&#10;ki2jvdTdvkO3QwehfRg3yD+vdklLF+VZuejAYCPx+cxN6L8QRpLG/x/4wC2ar9e5kzVvtzl8JAdT&#10;J5OM58SeemyQjrGot9N1dnZ67EAHufLKd8p/2+j3IYp0lSmevwi/ojqjN0V1x57apX1EhoYXKB7k&#10;NdtZKZ4ixgJdlr7kStv/eb/329/8p+ch+IgzUsvpscVo4juwB7sc8ka8VJyuvHAyhBWhtDzaifqz&#10;fhCZx6ZjY3SxNiiWbnYk7vT79ltv8fkiy7XGD2sXaLP1E3EfTKj/9+/TPoOKa1q7Zp23JVw4qDUt&#10;C/EhRLFR+Y/R4fkFdhb2B9so3X+TfvM8Iv1/k+qzWXtybJo/5IZ7ut183dE99mjOeP211/r9wlZK&#10;L4nsH1EciP+tbzfK3rtpiuc06ERLtBdjo2J4H3zowdfptzb+wD/gOD73bR+6xZ+FPlUxRfAPl519&#10;x1p701OLyUGpdJMteBF5Y/9T49U87yGsCKXlUSbtg90CO2OWfUCS7UX/M2agf7C21+pIOfa7lved&#10;4kPGDXww8KgfA7BzJOZorGUdF34s1P7D7O9FnBh7bXifrZ/H10j/UFlbNVbbmhrsHuxHyB4gW7BJ&#10;an4yp6vFLVp0pGhhzfR+d9tt2/0+qodLL/Hx9P4b+Zyx23hdoLYYGMJa9ks6VXH/dfKH33zzh17X&#10;/hP4ob5BzrDBY6t8TPurwC+15B/KsjGP3/Az+2wRMwb/hMafJD+FnqGRC15E/wCXqiELIawIpeVR&#10;Nu3z+9//zs/toClEd5o0a1Pu+N3QP9BD8IFMRTyI8Zv5YLDFQQe8abwap4uzDh579Id+X5yjZDf1&#10;MiBZxmaJDhDt6xXWGULykjWNPUrBLS/3wosoprTHnStbwulz+93yvgHXIr/QylUneDqIBb/7LvYv&#10;rHddbc3aL6zfrdZ+ApcW7L2+7rKLjBTWxmStVx7fXaR9G9lflfXC8bbnN30C71jfPPaDh6N5p+xo&#10;Jst58HvaPKzMl//wBy/ryAYxY9SPMTJZ/zTPNne+R3YPxmvyS1ufSt4LYUUorZI8S72LbRmst3WO&#10;adoi+Q5tYxiCjBLPHvm6nqx5/9P34IdhCDZz6kOdjT+T9d+nNaK33Xa7/BoN7q/F56Z3IH/RXlzV&#10;xw4vo8wzfJxaj3wtA4pd69O61jYfn07MenNzi+vu7nEfeP8H/fo+dH32OFmx4jjXJJtqs9bQsy9J&#10;c7PWsGlf5HWyl/h9k6d4/oI/d6swsKdttlsgHS/Z/oYdhiP4BJFZ1ldgF6jlGGTYAf/YGQvEwFI3&#10;fJTwd7L+lTzje2H+Qt+Vksus/4WwIpSWNf/kd7TTpz7+MY/3rHeqpC3sXZNLs00yf2UOgw2d8kyW&#10;k2VX4zne/+Rv+2cybnAZzlndo/ted+FFl2hfjTp3AX4MyVt01WjeAk75S7qHyl4v7Bhony0caHSD&#10;QwvciHy0H/3ox3UOxLfcLzUmR3IW+cn8b+0v8KNnn3Zf/vJd7rprb3Cnn/7X2h+sVXhY7xb1dLgN&#10;+JIKNDE38rg4UaaVXb17FO/fpbMl2Cuk0f30uec8n1lfIJM2PiNXrI0nztP6shp8UipP+JWyLSaS&#10;OT51pL7G4wfyTzqf5djuXX5cZU6N3l+qDln/C2FFKC1r/snvaKs7vxida4vemKVdkt8gp+zrjp5G&#10;eyfLrOUze0VRD+bSRftefHHiiadorcts2Rqn0H+hOdN6zT2amnRmVF29u/zNb5V96nnxbTTmRXsK&#10;pPB/aqxkrcawsAe9ZZF0EeLJI5tqFE+Sx5wkbR5+XiYbyHHaoxX8uPuugq3e5gMFuQQLuYiJZk8Z&#10;ZNhkuZY8Q1ngGGt/iT/0+yDpGT7PPH+RTOAHhBfBD4tdz5uuEFaE0vIoF92Q/rExGp5LYkGWZ3iA&#10;Ncq0P/KbR12z5sE8E13YbCA25sXpQi4XLz5G+nX7RKxFWtnI8z32IV2qPQFnt7a5JUuOlU9IY578&#10;LOAebcoYyD1e99BvzoXhPMqP3/EJ+aN1hoRiL95YsIGk2h81Z93E+3Gl/5wu2wx7ud/xsU9IPiOd&#10;w86mMroYo5Ev7JXwJldevs20PESZxEUxp9+h8yXBDOpHP4T4J9QHyTS+j/bF2+blIm1dKn0vhBWh&#10;tErzLfY+bRWdZaM+k88kSXeWZ7CbuGN00Kk+N4y6wI+MafRhqP9Jmz9/0M1XXMXUxorJRtDe5teM&#10;3HDNDaprpBeDG8y94V9+l+sTsAP53LV7p1t+7Aqvg5w2P4rH8DGhkuU8ca9cXuDHJmHj2do/Bfy4&#10;/vobRUd03gNtHx/TWe+C3OKnKMaztUhn7s0cHDyjvY13QvxTrj/4n37Dd4tdEJtctWgIYUUoLc/y&#10;2b+UMZr40TRtUe4d2pqLtUa011TuH4WeCG3oQsX2ykZOOZfgCMUoTMRN5jwGl5Mx/j9X5yRwDkS3&#10;1t88+5PnxHORzmzzFniXdi3X/pxpuV++3bE9u9zjjz7kZssGe4T375rto7Z2HWLfOG/mQulA9dor&#10;nj2f9++LbAmmU5lcch4RPINdGB6vte5BmbQx/ILOarxMPYvOf4UP5foEjGQNDXEt2HfylN94XiGs&#10;CKXFv5nMb/oHvQoZY10P4zXzPdojDa+G2o3v4Afbp40zdqkjuk6tbWKUx1gCfcX2U2a8bpCev7if&#10;cTmKvxjRGS7+TAPxfpRWZszGbwLmyNcQxV2UeV/v4pPwur3Hql75X/t8LDrnW+9VTBv7nyXb1+TM&#10;+DrUR3E+5/0lx6zUWnrOp+McBmQ5rY2HdwttIv0hsp+UpgvbrN8HTWuVwQ3bb5l2uUj+IM6h2jQy&#10;6n4l+gw77E5dwQ4u1sbDL1yT4e9y35qNJV6OrQX1+6cF+iDZJ2meoQ37AL6Xau5pEsKKUFq5dkn7&#10;P+2HfRm8JWbDsCPOg2naJ/4OWGvfs2cC/p1XX/3vKcEP+ML2iWe//biubHUGP1lTcrT8A1sU5+kx&#10;ABzQxW98F4Yrxe6RbHH+UhQvAoZE+4EVv28oyKYfn2U3Xay91RtkX2RvMWJLrX7xO3gRb9/4f/Yb&#10;XuWKxsz9OuPqYuU7S/IrmcY+7LGueL2S9fZxJNDjvzM8LXIHZzxd1haUB072ygYzV/hY59afe6Ff&#10;q0gd47TQD8x54UWzzdVC/0AGkBfKwlcMv+JntfbM406/YYtlHGOtSFr5rPS9EFaE0irNN/S+4fsf&#10;XnrJ4yK0wXO+XydhKxrbHZ0lTD4Rlm/zMYXUwcoM1adaaY8/9qjvN/ZJok5Jfnj2mWdce0eH/C8t&#10;iptod8PdXf4a0jyCc+sPV8w42FL60ju93YrT7nHLBvrdKvkayl/skdGntSsD7rT5OttWOsLceYPu&#10;1zprZr90omQ97RkauEwHsXS785/JJXaoG2+8OVpT3NflbZgr5+is2xT1w1/CtVxxKEtk1z1S35du&#10;g6iNOLdzgc7ZHJbv2Ldnr353t2odrtbyy6e8cSPzl2jNkcfDgn0Ymwf+CfTFWvOJ6SHELKP/oCsU&#10;a19r50ru5IUtEBl78onHDxn8MJmFLuyMrJ2dbLsZf6OD/FzraxhPTGerNV9QXrQ/WnReL3VL9vue&#10;8XH3ljdd7vr7pF9LD2GvddbRRdcs3eu93Q/bX9FLdosmyUaTYtAa9Ju9yxqUR6mrWbp8vfbn4hvW&#10;htTpuzVrz3X7sF+I37B7JOtqvkTo4Dd4n3yHZ48hBXvrd3XWAzYQ9jRBfptER6l6TfwHHbqgh4s6&#10;FqW/0DacbcX5eI26NzXojDqdldOo52Zhc710q+GhRW6n1qH9XL5M9pllvkx9odf2W8f3YmON8We1&#10;7oYbpudw7jpygC6EzTrUtlnS6A9wEWza8ewzhwR+WB8hY5ynB20WQ2bzjyxtZXMgk1V0Qb83mXRD&#10;00urxQ/JfOEP9o4yv7vpRsazXk61ppy1+5/73Be03/oN8g/cVLhudNdd9z73tre9Qza/0QOuzZu3&#10;uIlL/21WjNfo6Jv8/dzzLtR5bGv93sbsb/zaRdpad6b/T/dz1vnnk0453R2zbKU/i+F/P7fD8yx7&#10;hYbsH9SXMZL9XbErGR3xO7+RS/qQ97HD4jNdpjKOXb7Snbn6HF9uVJc1qg91fH19zzo7SuO+YcMm&#10;t3XrW3wbQCsXdtDXtQttoeua916rtrvB3XD9+9y1193k3vve690NOkPncY29e4XX6B/szW56FvVk&#10;H17WyZvvBb5M9mfez1YGd3gTGyDzeHA5arswPtPGlVzIAj5AZAx7gZWbNz2huUooLa9yjQ4wHxlD&#10;14dW2o6rkjayd83GQB/Aw+iCYDpxyXnVu5J8wBD6Dvo488ZwzeiDn8dE817V1Y/50F3u0l5axL3v&#10;4xx62kv8RJwX8RpgFGWM6zl+7SmMtX7vH/lW8Y9QznghfZ/sRsw3dvOs9JD+QRszJ6Tu6IrE1xjW&#10;Gz3WD3ZHRsf1PpjE+nnopUy7qPd+xbDG68pvT884+oF0Nj1z4duB3qhuKdrJ07dTY3kU++vronrA&#10;G+Qf3aP5GGdKs3YKnbWS/p3Mu6Z/kAe+Y/Rw4hjgYeMTa8fJ3KET2yn4gW14MnUu9W0IK0JppfKo&#10;5D/DD+KskPHvfYczTKP+NL6stN2QH76xPti18wXfbuQPj1uZldRzMu9SnsUDMbbRlyZrEf+Oe1n8&#10;u0//vXvnO97lRrQnT7lrk8ZexuCL33ipO1tnsKz2Y3qka9i4zdlO8eucs9e5U6RrLF9+nD/bwOsD&#10;0gk45+BY3c8440zpf0/59rdxOdT2+AFJhwZ+Wz/xbHTFv0Pet916u/SPFSpnhVvqr5W6o4+sUvnH&#10;ueUrjj+grtT7LOklnhb9Pls6CDoV99VnnuPOWbPeXbYJnSxFW23aIt3szdJHbnJP/uhHkVyCKx5D&#10;ovkkv+EP5rrVlK8QH4Ehf3z5ZT++IOPIAvVBj84LQ1jTgW7FGIYvIVSPPNJCWBFKy6Ms5MpkmbWq&#10;YCOxqMX4MM6TpX4bD9MH/AZPiC1hHbSdM5VH/dPkAX3opeyVD2+wJ5nRZ7yxU/rkquNOcm3a46ah&#10;/jBd2DBKX9gBsFdw4ZPkzCRixVm/xp1nYrUPvBpcm/Yk72prc72Kde3V/sw97VxtrrtVcWOyLyDP&#10;6Am0r9Uv3tZgBRjo21U6BPjBb941uuLv8/uzn/msr0drc7NibFV2e4ePtSXeNv77wLo2+vpAj9EC&#10;Xf6CRtmEsAuVayf+50w62ovfraL/05/6O+kjkWxSZ2jCJgB+MHcwW0Sa/s3jHXgEvRv+wF9Im8Xb&#10;NNmeWZ6j8wC2+zU1edS5WB4hrAilFfu+0nTDD77Db8VaGHiRPg3xb5q2o+15jzysH+gf4grhD/Pl&#10;Uma8/ErrnuZ9y587+jGX2Wd8HaWnPqbzWpGThT2dbq1iFC5SfES5643eH9mjtWlRzBlxFbZW97X1&#10;aQf6SP26XvbkwCfsfZzyC8vfGcW89jn28GhuaVb99muOoPm1+iHZ3vQJskbMH/MYbMO8Y/hh7/t2&#10;VzoY/ta3XinZrdceh32+XIs5mfDLTvhmD6yvxbFE75lfFv+01gfreqO+K9dO/H+h2ojYsTOIX5f9&#10;9mzpLrt3SUct0EfdwUHmDtgv0/Rrnu/AG+x/g26ATcnGPdrQeNnaNeud/iJ/bMR51j2ZVwgrQmnJ&#10;77I+03YmY9iHwV/DjbzazvKDP9BxmONTX8qt9tpso407uhVjDPxhNhrsjNizmjU2L+kXBtRw/VwU&#10;mwWGKFZCMSbL+ok/neU+85nPy/6hfSYC+AEmU3/4kP04Q30EbewthI3i+V/+0p19znofl7ZB8WMe&#10;tyzWzTCs6nfiTrrcxcIvcOwSxcftEX5E9pXIDklsDvoHewRan2Xl6Uq+Q9dhr03mFoxtzF2yYkSp&#10;77B3w/vVPo8ihBWhtEraqNy7zP94B/miDSejexRrQ3iauBnaEIyHR+yqtr5q9NGH8An2ORtjqC8y&#10;iC4Ofmwi7rTq8kQ8GnGa0Zhu4/tJigWpV3zVeedf5OtHHUPtSbr9F8IP8JrL9L8lS5drzqQ9oT1+&#10;QF9M/6kBrdF+yl3SV/r8PGbz5jdpjmZjezT3IjaC2DHGE+uvcnybx//w4A6tkQO70E1trAu1+2TS&#10;8E/A+6zlML7Po/7JPEJYEUpLfpf1OU6LnbmBvTPPdozzeNyXC59Qfta6p/nO8ufOmgr6kLkUcxjq&#10;hf4xLv9tc1OzO9LHrzMfieS72nfW27LfGPoHGHK+9v0g5qRddonnnv1xwb9zoJ+QOhsuGE4k+dr+&#10;x7/zw0ce9HuBHN4TlTEV+0FH5190ufOEH9hA8HPvHWN+C3ZE+IF/nzMNasETcb6hPPYohC/QfWi7&#10;ZHvm8UwZ6L7xsqvxO4QVobQ8yjbZsrzQrZijgce0WVzuJ9OG9ImNh+gglIHvkXKpQ7IeVp887nF+&#10;fPHF33o+IY7Y6EEvwtcxd+58N9jVqnlE7fADzMD+wZ5BrBlhnGaf8ibZXq+++r1uj9bQWj3tbu1I&#10;38R1KPufu193J5rwJePXQWZPVYwrsfhbvA5SW/2D+HX2g2b9LfbX6xVTs2+ceRhxcvv8nuTohczH&#10;4IVq66Nxvnrppd97fsSuTtvlOW7G+4RxExsLZcOT8Trk+TuEFaG0vMqMy5ed+Yivk3bMCz9oR/Li&#10;wo8FDt+jfSANO6qJH5a33T95x0cddh7DNOoErccsPdZ1SHY5J7vaekex/Nkr+USdHcFalZ7ePvfA&#10;I4rFAQc8X++ZsDkSP/KrX2mcLGCI53n99jEsikcZk+2VbzZt3Ky86kVXk87hHIjOgfC22xrT6G3M&#10;3e6U+ZqfSb/61Kf/Qdjx2hoH9hJmTKm2bQCZMT4wvmdNJWUTUx6X98n8Np4yHqN/mJvB81ZuXvKb&#10;zCeEFaG05HeTfaZdwWJ8JMR55anHkRdtavN21qEw33zlj3/0Y021xxvjGdqIGEfwC/6gPn5PS43z&#10;69af5+fmGwo+imIyXs10bIyXST9YMtDnmhubXE9Pr3v3u65xzz77rNsDZhBPLTwZV319DJjSjI5f&#10;/8d/6Gy3MR/f9Y9f+KI79bQztG8Qser17nTtfR6tYZOew3piv6a4NnM0316sw5UfZqnmh/hxH3ro&#10;Yd/2UQzauI85gh+YU9JH8f6aLF/Hv4/ny28u9sbF5oeMWyz9ZLDDviU/43vmRehXxPpRZjX5PYQV&#10;obR4u+TxG1zkYh7IHgzFdGNrn0ruYAcX39BH7EuLL4ZYUOpe7TO3DfPpu+hMqW3e72k04g8iDqpJ&#10;+w6vH9T62xrZP15XjuYx7LMzukAYorW4+DrrGw5zbbJ9nnLqGe7t73i3fM0/8L4jbDboi/uFzazV&#10;/cY/f929WfHlQ1pfwhreOtmDZ2tdzZnSZ0b9nCU6AyI6U7K2+gf+XuZqw1pT16x1MfAA8sUFTzAu&#10;owOwVwt9lAc/h/KADyydchgv4XdsE9SFuLVK+LrYu0YXPA+GPPPjp/x4iY5jcmb1yPsewopQWl7l&#10;JvsL/y3zNJOtYm1USTrtafoMbco+PvRb/IyYvOgJ5QONdrEuirLZXxEaoPNXGtNv+eBtktcGrYMt&#10;+DinAEMYo7cKP7CnctbtifLH9Cq2rFn1Qu/n7Abir2666WbVW7KntsTfuOSYFW7WYaxtI16t3p+T&#10;sKinx60bHHBbFun8b+09ClYhw35vjprTpjPARU+3aFm48HA/lsATNqbAb6wvoI/iMh7qyzzTaDt4&#10;gTHFZL0Svi72bpw28kXvoBzm7nnWP5RXCCtCaaFvs6SZXNm36PfEiWJXpB3+P3vn/edFdf3/+x98&#10;P7IsyyILLB2kCIJYQayoGAvECooGpOQT/MTEAlhRYdm1t9hTLIkmFmwRkURFQ5qoxF6ApcSaRPNI&#10;VGLJ9zzPvM/u7Jv73n2XmXdh54d5zLzve+bOnXvOfd3T7rmZ+ijfcutbbO28h7jXYvAM38k3sicA&#10;so/qaPKN6n8Rm8GaNb9XOyPr7zV3BzESok8EeT2KM18HNlTBD5mvW+wwYjsgJ/xhgmsTZQ+YnrLG&#10;f/yEiS34fveddwvudXd1tTWy72Y/d4zIT6fKWFU9ReSY72B7QCcDl6QcDEFP2k72iRFTwI7posOw&#10;LnfKVFlfnMJtxhayH2MLvoMP4pTtoT/vsJgj02WJ/7G25MvXvuds/DBPor8QA00bjBdtzEV59mGF&#10;ryzKd4brMt0CXyd96uuXKMqIncQOgQ5j9Ay3I65r+BNfITZUvgP5g3hx1oWNGjVGbI2y/5z4QRQ7&#10;mK+xFYheUczx1uZdMu6DfGHsPyd72ffp5UaM3FXaHuiES5c0iL+m1o0ZKHJGKdvZLv5IjpOhfSXW&#10;v1rW4TTpvGT+c2Jp4QPsmEbzOMeXvYOYMd5LnnfjZ5vb7He+Z5VpRW8JfHub9R3YT3l3+nxt7Ynq&#10;7MMKX1lU70uv57VXX1FdFHrSD/n2YUfPEWOC/IHumd6GuH+bjMXcF5azZmEDqekmc7jsuyR7WOpc&#10;zZxdwnEZxJBL3kGNE+nrRkiM/YCBAxU/iE9dsPA8jX0bPxBZiTYXR1Zqg3HtYofYXQT3dhHbx87i&#10;33pl3bpAV0jJt7auMbymPS551OrlTC5j1uqxZwnzJEd4XUNH/Nve/+CQYQdjCPssPFeMedKHFb6y&#10;uMZYsA6xSW1a7fVRof9hD7G4Hfq7GHMOfcZ71jz/nNqzsIUofqgc0uxWrFjhqrtIHmXJI8b4QJ/A&#10;p1rseM3w2NQ2SF5l1T1EFhkr+hX2UeQP8GOWxGLVyO+jwDxpcznix/Gif2GXOWzykWprgvZmQyVH&#10;Mfok8kAxeIB3gB/EWuPzURu0YAdtikreph7TXdjDne9jPubdcetnPqzwlcWFH/St7R1XKEa09zx9&#10;TBw7Mgi0jOt7fPUiY0FT5h7oTNzEVvF/bpR4zZGjdnOsU2XP+Jkjemu8VUnlD2wVYBg2kWG9ND8i&#10;vhX8t6wf+Y7kMWJNCXtVBjlXy0/+GD+oXnOfLVvaqLEpxhf0Pb585uewbOCjWRRlhk+csbnguwU3&#10;bKxzjgpDkDuQZ2zdCzhl3xinHOLDCl9ZFP2ZqQ7W2qMbMkcYreM4M46hI7Yl7JpGX+vnTO0rtBye&#10;Ye6x9Wc2H5JD5zTRYYiR3LW+nztN5v3A91i6Mak+k5ReMnNXiaEYKGNR7KVgB/4X8pDgd5kqsgl2&#10;UbXddKBPhOWbqK9ni/50mmAvca4zOUb2dv0lZ0Af2beXOBb8RoxReIuzrYk2mhoP2O+oz/AWvjf8&#10;xdjQ4+Br6oSnwBDbjwJfMd9i2BHXd/qwwlcWdb9afXwXcYCM6Shj8tLpRP/CP+SLg5boFMh2cfWr&#10;fZ/REPwAJ2mH0ZtY6rUv/Nn17t1HYkG6uoNTMd/FXJO73XhWXBBs4Cy4sI/gR1VVtaxFXKnzJmtr&#10;u4ld8mSJu5+tskrpsC5ou9hhRF5iXc+poreMFHtvlfieTxdc3izYga3a8Jp+Z/5gPYHJ9dA/Th4g&#10;ZhFbJvxNHEE6X0bxm+9DluEgJ4btocZ3gR9xfp8PK3xl4fEQ9TX5QpE/wutEoujXcB30Lf2MfMdY&#10;xh9CvzI/xNm/Vjd7gIFdhh+0p3mD5KQQTPuBxGkhg+wsuTimyZoNy+ux3dguxjyfWmuvtlzBkImy&#10;RwzrWYhZIH6TvKXgx2z2WxH8YC+IkrQz1RfYX5CByEcwQfK2d+1ao2uLXhY/28YNkttR2gwf0N+W&#10;65xvCdPdaBQ1X1Mf/h50ZuJNaEOYJ6O6Zl5E9iCXMDhlto84v8v6yocVvjK7P+oz38hBTA9+zqj6&#10;1FcP/cw6Ouwt2CPwj9v7o/6ucH28w3IVWLsUz1I+gbffeUv3TGHv2F379dO1X6Uak+AG70aPIv8Q&#10;ey90k9j2p1ZK7mTpP/IMEhM+W/yj2GxUBikGrmV6R0qPmiKyBznoyaty1VXXquyxSewB2G2gO7gd&#10;xGU2OnJzQZ+49VbeQSwG8i5zo80dxgNRne37eAc+Hmz08FwxvtGHFb6y8HiI+ppvxa/GmCYfFP1B&#10;30bZ39RpR5C7OcitwrdYX0f9XVY39ZPTGdmZmMB0voHe+BOnTD3e1cjcvq/M+TMlLmu2rEFjjJYy&#10;HmTCoGANK3tM0W5yu4MfamOlbUX23yJvBNgW+Kv4zV7dfXrWul49e7vrrr9+u/41XjI7BPvSx0Fr&#10;X53MieAHa/bS6Z7vb+Njex7ZgzL2NCCeO05+Tv9GH1b4ytKfi+q3fSv2YnQYbOOMJaN5VDIf/Qse&#10;YUcjnw80xZfH+60NUX2Trx5iilkriK3H6G7n5g3B2tA3Xn/V1db2COyT2FIlFnw2tswi5hhKl3vK&#10;Ez9ERtpFDpGP8CGP7l8v+8x0c7Nmz9mub+ljaA8fEasI3eEvH42iLvv8889bcmiS95F2GM0LPVOX&#10;HfA0vj2+jfm3GPxsfeXDCl+Z3R/12cYvOUrRK7BNEGsDpqqML2O+0L4OP0+fgyPoo9gjWEtXjP5m&#10;/kG+Qs4Kt4drvhNbKnsyLF58qcjh1W5g755uOnq9YEeQTyvQK9LHd9y/yw0/LIea2l+kfw4SWa2q&#10;y05utzF7uJckVgybaXr/QnP6ONirqbFo+dZZH8ecCN2tDelty/e38TG8zLeR7wPdhbnRbMNRj1Vf&#10;fT6s8JX5no2qDD2UAxnfYkTxZZtclm8fpz+neJSyOWCPQJ/gGwzDovqe9Hqgp63h89mIwQ70dIsR&#10;n/9/Z4rNodbVsw5W7AwzRY+JGycy1V9u+EE7T5dY3dMk/mSPAX017wDx9WtWPyf5BDa79exxIzgc&#10;PhhrHORwZTzbupB0OkX9m3hjsIMc4fByuE2FXht+UC+yBz4eZPdiYgf95cMKX1nUfRuuz76ZGHNk&#10;fHAUWzl9VGg/h5+nPsMQ7FrQFj95nPKHYRMyJvIldmLa5Ps2eCGw+Wx2DbLOBL8u+UmH9amTXJ74&#10;OYJjttodTB4RH4jaSKJaoybvwK8idWJLxafBfgpPrXxK243/hXxlxKqon1nsl5mwJ/dyvqH1wH4b&#10;rOWVNpHTg5h6kTkOHiLr+mT9Hjkg99l7gu79yF5cQZ9uL69Cc+YjsBv5lnX7Yf6L6tr4yM6st4Xm&#10;7KWqfBeRLG28Y7IH/lrGDHsphf1KUX1Xe/X4sMJX1l4dhf4HftDnfLutUcTPajH9YQyI6hofHvgB&#10;XY3ehX6H73mrG1kW3mWOMLpnwhH4g+O+e+9z+x9wsObWqJV1MgdKbo0gn0awv7yOKRlXWhaRHxV/&#10;bLDmHtsCOXhkjpdx+tKLL4pusNFNP/k0jT89UeLXsetin8kdJ/zPoKehr2nOVInpmKO/iecP8ray&#10;Lpj1ON1rZB8YiWE77oTp7i2ZZ6Ah/cWZI51HrL+ROfFv+ugURxkxRsi45L9Nb1Mhv+07+a5gr+VG&#10;5eWPP/qwKD6lcF/5sMJXFn4mjmuwg3pZD4OMSXyGjxcK6ffws/jIoS16hb07ju+yOv/xj78rjZmP&#10;wEXkEehvc0m4bZRvkX0fyUf8zhuvyr5zsuZEYkBrZRyPqO/pZgwfoL5VcnwG/tZAVohiHBM3hgxA&#10;vazFH9tPZCCJV7f9MtkDj9zxx8j6frNFRPFe6iC/85yRkk9JMIS6Z47s62ZrLpE+Eu86JNiDW3w/&#10;xJbe9/N7JB4lsBvhV6Y/M/EL5c2iS2Avp/8N0402cZzhKdZLMEex7on3h2lcyDX8YbIqMc3IHsTl&#10;F+O70vvKhxW+svTnovrNN9PXnC3W9t577mrRYQrp5/aeJRYA/LBYgLj7/p+ffprSza5s4XWwI8CK&#10;tvq6zS/h/88661zXV2LciTMb1LuXmzREcv6kch+qjE8sqIy5gg/qScWFnS7z/e4D+rXgB+vnyJuG&#10;PnOE6C+BLIS8EMF7pQ7i0YIcKMG3zBb54wTByj0lv2IP9pSTvEYTJh7gVj65ym2QPOpg2lbNqS74&#10;IPixVexIYLOP7vxP/C82+qh411eP8RFn4tXBK/w9YVr62pdLmdaV+k7y2jDfIt8WYx5M/2YfVvjK&#10;0p+L6jf9bH1udeKfB7exp+bSr7nca3IfeUHsvXGd+T50NPDq8mVL1UYOn4MT8EJ6u8EUlU9S9+j8&#10;KbrDyxLLeOKJ010PyQlGbpzuMo5HiHwwWWQBzdsT1ThW+UPi2ERHYY+8AQMGSA5U9l9qdmefvUBk&#10;oRq3/2AwI2rfkMg9Etd6osS+7Ctxa4N71epaX9brjRo9RvahvEn7ayM+FrE3s88ufUW79Cx4gs0y&#10;vT/5zf/424gDjovO1BvmZ3J94Ofj3T46+9qZTRnfy33INWAHe2GZDdFsAXF+Y7huH1b4ysLPxH1N&#10;H9xx681qK6Cfwn0fvs6mrzPdQz34epZLLsx0/Irj+3gH+MFBDKzyfAofMrUxXG7fjR1w7Qtr3Xfn&#10;/a8bPXqsxltWy5645APbrX8fd7hgyXTJA2a2VovvCuKumONTuoHM7ba/E3YHXfMrtgzyB3APssDM&#10;EYPdwF51bvgIyR8k/cVatGUNjRqfMk4wRfUXtWkig6QOjX9P2WcUX8AY8pERl8875T6e0YN1b6In&#10;yfu/Lcd+A/uJbNVT1s5WK0Z1797D7bf/Qe62W2/X3AHWB+F+yeUanRg/Zxz0DddpYxmfCLI0c4Hq&#10;GymZIZc2t3cv+SiwqcET4fcX89qHFb6yYrXJ5mryGDBXY0elDwvlnXQ6UB8YxfwQp9wXno/4HvAj&#10;HIPK3JTetky/4UEO+IV72A9p9TPPuPnzz5T4h3GyLkVkfLErssd2z9paN0rsBAcNHSQ5mkU+EWzQ&#10;OJKQv6Ql/4+UYTfF5mH2Br0eNkjW5NS4iTKGwTuOu++5V+0fdXW1kqcHDAE3ArwI4lQEn1K23CAP&#10;Qd8gHh87q7aBeNG+bvKQvrI2b5AbUt/H1UoeaWwq5BWpk7Wzk484yl1zzfVi+3lD3hnoduxfWygP&#10;xI0fhhvQnDz7+BKxTyBrmryZiba5lMMzzEFgB/vIFGts+t7jwwpfme/ZuMrof2whxOMS/9ssMim8&#10;w7hh/OTS15nupZ5Hlz+o8h+2zTi/xeoGO6A5+hnfQxuyxQ/uhyeZyxjHms9YMMR+s7btmdWr3YIF&#10;i9zUKd92e+yxp+yNjc1A8hyL3YB9WfpJPMmw+t4SN9FPfDkDVe85Rmwox4p8cIKcT5LjRDnI7XHk&#10;0H66dp/nTjnlNGmv2Ba2bnWvvvKK+mNqpN79xY96tOg4+JZPEuzRQ7DoOJEzjhIdZJLsX72P6CG7&#10;iY41VGw2HHWCa9Wi/3Sr7q7r8Pr37+/Gj99P3nGqu+mW29z6d95RvaSZ/hGdie/kvdDR9l/IRNOO&#10;yuPGD/gWWnNe83yQM4o15dAYmhWKf/Z98M1D9/9SfUnoa8ZfpTj7sMJXVqy2mSxAXCi2CTCcdQuM&#10;E/o/KhpAC9ujHD99XN9nPEX9YCH+Q9Zk8h258hTjx56BhxjTNqa2yu93ZR3e+o3BHjPsF/0H2Xth&#10;1szTXf8BA2W8giO1elR3FRmlS5Xr0qWL+mK7i28Y/3A168/kPjCjpqZK7vl/mmf96iuv0XFs9obR&#10;kvOoWuyZVRKbUpvypRI/jk+1q6zfQQYifzvXtTW1gje16oMmDxH7KbDXzPh9J7jrrrtBseJdGQOb&#10;ZX84dKTNWzbpN2yVuWLj+sAmiv2RfVxt/OR7jhs/TP6A1ugW6C+sywA/4N9s54qOvg8eYB4il0nc&#10;e5F0NC58WOEr66ieqP4PjzfkDcab5c2IkgaMX/IJYR/HTmu4xTnchii/i7VNfA8+H8NBeKEjfuF/&#10;u4/n7KDM5GKuGXPkJFJbp+KTyCdSzrh/6IHl7tprrnE//MFZ7oQTprkDDpqkNslBgwa7uro6tTfg&#10;V+kqY7/nznVul2HD3b4yxllv+6asywGraAfvXnJZgzvwkMPdGNGZAmwCM+SQ58GO+r71btDgoW7v&#10;fSa4wycf5U6fPc+df/5FetwiMsbatWtbvoE6oTO+FDCRGFyTrfQ7U+8M8HJ7W3M2fWfzf9z4Ybzy&#10;6SefqG2NuC7aZ7jB92TTXt899ix1PfPbVcq3zH/Gt/buYp99WOErK2a7DFMZx0Hu4StkzL3Qosf4&#10;+jefMmhCTjnsqNDc5g/eGyVdDI+w3eFXAj9or/FEPm3P5xl4T3O/p+x5NmaJMwFz+L1F8oypX1Sv&#10;m9WfodikeCQ2kNR4CO5BtwjGO3YKOwIMkzWQIkvYs/m0N8pnaAf4gc0rTl6G1kGezCBXsuGeYUg+&#10;3wSf2PPo8uyJiiz72WefxTLX5dI/PqzwleVSZ6H32tjlTJ5BZDX83Pi4oxpz1IM8QxwZMgg0t/gT&#10;2m9tKPRbws+TGwr8WCf7hdu4Mr7Ih6/yfQYM4Ptb2yD2PbMxpOyVYEHzxsAvan3F+6z/eZYDWQG8&#10;aHsENk/GDv9zX75tjeI5+1Z0CuJ/wzSJ8hr+Ic6HeC5bpwB97cj3W3ge3KAfkZXhV+bTOHg01/7w&#10;YYWvLNd6873f5mqTBajH+gz6M+bzpUP4OeNp5H/0SGQQdGzez7utHfl+h+85fPXQnphXG4d2Drct&#10;tmvBDBtL+v06romlCA5ynPI/WMA1+9Xzn/UVugXXHHqfYlCgd1h5+D/svXZfbN+EnNTBAY3BsuXi&#10;q487fp15CDu5xazb99u5o7Zm+p/nWcNN3chR8KfxaClxxIcVvjLfeIijzNcXyGnMG9AeLKEvM/Vz&#10;tuVgusmW5ORgXCMf/O1vH7eRQ6L4RqO1+V+IXQu/P9s2F3of72zbd0E/BmM/0NO5DmSG4DfP8F57&#10;zvCBcq0v9R//22HtpH/tupRnm3PQhZFlo6Cp1QG/Gn3BKeJbmY+CPm0rd1kf5toXPBfIyUH8EM/z&#10;fnu3taUUZx9W+MpK0TbrI86sUUYuhP7kODBfbr40sXHAGfs+tk3kA+gUNV2Mv2g7B757xh7jy8Zn&#10;rjyV3N+x3GF9ZH1t+OGbo/Lhb5v/7Qxu4C9EBgFL8uVNa7edaT92OuY4YuLDsnk+7Y7yGR9W+Mqi&#10;fGeudUEf9q2FPoy/Fb9+rIU2+dKIsQsGGY1WPP6o2ibAEfgrDhohP4FR6C8JbmQ//o1G+Z6hMzJI&#10;sB6lyZETPVce9N0PnxgWYdOCvsjJ5KHwyR/5tp/5jbkTbILfDa98bSp2mQ8rfGXFblf4fdAI2xRj&#10;Gt0PPaA5ZU/KlyY8By0Yx9AaPAGfsG+iZxpfhNtRyDVth79o+9tvvdnm3YV8Q/JsxzgEnaGvzRH4&#10;2gqhZfhZxjK581rmNpmH4Cnjqyjo8/zqZ1X2wP5XTthBP/iwwlcW7rNiXjOO6TMbz9idkUHoU/iC&#10;sZ8PjWz+h694nt/MG8S84h/D5hLld8KzYAf4ZO+k/Rz5tD95pmPcsD6yPiYeEQxHHomCtsaX8CS0&#10;xT9vea/gS+Mxa0e+5yCHe5P60hP8+G9etDN9gtxzjEFyOtk4zJcu4ecMh8AleGz107/Vdhp+wW+F&#10;0I52g3u0Pfze5Dp7HMi3rww/yD0LDZBdo8IPZA/WUDHnwI/Gk4XODdhP+F74ktgF9CLDqyjaHlUd&#10;PlnDVxbV+/Ktx/qOM2uwiQOK2kZl9EIWxZ/LuhjeZ9jFdb7tx5dpPp58x0HyXH5Yg+0DWYC1KOAH&#10;9qd86Rh+jrkFPy11rlq5oo3NI1/8MLmF5+0an47t2Ryez8JtKdW1Dyt8ZaVqn41ZzhzEprLHJ3ZI&#10;xpPNLVGMLeYOaMZeC4x1ZBDTm6wdufaDPYcNDLmGuSSKtiZ1ZI8lYAcYYn56bJ250tF3P/OK2T1M&#10;7iiULoYZ1EOdyErIrPgMrA3Gk/a7lGcfVvjKStVGxh/9FZYB8I8xvrFDFkovex5accBrrK9HXkSf&#10;tVj6QmjGN2BbYZ66W3Jx2zuTc/YYUEhfIaeCH+TbgW+wj0fBz8wJjG1kA/gmX5kj/duoizKwBFkJ&#10;viF+gTFg81EU7Y+iDh9W+MqieFdUdZi9ytaRpPd/Pr+N/hYzyV4h8AbyqdEtX9rxnPEutrB82pc8&#10;UxjWMLaZb0yuNF7MhaZ2r51t7RTxgMw9UeAHddg8Bs3BOvDD1ojbu639pT77sMJXVup2ht/PXI69&#10;m3WI9HdUY8t4gDNyI7Eg6J7/+te/8p6voDeH5VvFhxhVe5N6ssMUeIS5nFwZjEVbbw1dspUrbdza&#10;mbXbxGSQkzkcR1QoTayt1MM1OjTzGPIT77b3h8dDKa99WOErK2Ub099Njnb6lLyP8EWhNLPnkUGQ&#10;dU1+ZH00dhZySBVCO541Hz42PHtfcs5u/BfaT4xDs6EyH5CzC9zIdSwaDxCLhG6LjgsmRcmDtBX+&#10;Yw7ju+FxeN1iVmhDtpiXPm7i+O3DCl9ZHO/Ot076D9oRTxMV7aCbyh0pWz20o4x4NeYZZNRC2ms2&#10;G2LXCx0PyfO54Q50NHrit2NtbK74YeOW58yPw7xi9do7oqCNzV/UCY/jCzTsypcH43rOhxW+srje&#10;n0+90BDdAj4wP3mhdEMGBT9MFgWXoGOw7/VSlXvz3bcM+0mwhjiIASq0rcnzueEH/QWfQF/mA2SH&#10;fPmO57CBE0tObjHGOLyCfBMVXYz3qJsc7uT6CONXPm2P6xkfVvjK4np/PvWCH+R2IlbUsDoq2qXX&#10;g3yKrIMeQ05L6EibaUO2becZ9GTqiLu96e1PfgdYQ78zLoO9hdrO50bT9ujJPRysrwQ7iCGIo29N&#10;jlF9SzAP/zB2WmujndtrazH/82GFr6yYberoXfQhe5miV8ATcdCROqkbeeS5Z59Ruz26M7YXo2E2&#10;GGK+G/YHY95L8CN32SEK+kJLxiZxy9hQWY9pfGb0tN+ZzsSm47+B7/CrRtEuXx3ISrSVMzxH/s5M&#10;bSp1uQ8rfGWlbmf4/dDb7NJx2hOQd6Fj84b1jrXf2LEsjidbnqPd3Iu+xTzi45ekLF5MgYZGS/YD&#10;gY7MC0abbGjJXGFrN5dLHqI45wFwg/oDf1FjC8+Fx0C5XPuwwldWLu01mq/98590LuAc1/iD72ze&#10;gv+IHSWnNvSF57LhO7uHOY84o7jamtSbGYMYizbeLec+MYJgAvJhR7wNDV/9yzqVW9CZw/v3RN3v&#10;tNP4DhmHOAVscMb3xk8dtblY//uwwldWrPZk+55AlpS+Fd0iahpmqo8YHnAAeRLeg5bZ0JN8E8x5&#10;jz38UNHamukbOmM5cwBxgZzXSew6NGTe6Yh2hi3YzW1dtsm7jPE4+5L6iY+Eb15+cW0LxmWjM2c7&#10;hqK4z4cVvrIo3hVlHdAOXbSY8VjMDcF6h0bNc5gNLbnnow8/UNspuk+cPJfU7ZdBbKwjQzL+mxqW&#10;tKxtMoxI502bG1hfy35fYA42cGRPcIgjjv422YO6LWch+fasfdnwnN1bjLMPK3xlxWhLLu8gJhTZ&#10;DntYHHT01Qn/2b5iT614IivZl2/Cz4fvBZtNlH4+XxuTsu0xBNxv3hDEedH/YTsWsWCZ5BDGKv/h&#10;swE/GMfWv6YP2e+oztRr+ES+Et7Lbxsbmdpq/xf77MMKX1mx25XN+7BNE18TFe06qoe5AfpiBwW7&#10;kInD81cm2gYyc7Buq6N3JP9vP/4L7ROTP+yMLgLfwGPQzEc3K0f20Dh1sZkyf1h8UFz4QRvtQN9F&#10;xg77/LIZF8W8x4cVvrJitimbd0FfdAkO8Nl4g7P95gyd7b8o+JC6wAPwgxgA5i+bpzK1G5sd97/2&#10;yl8ia0uh39KZnodmHDbm4Rl86fAQ+G/4AS2hoWEHdOU+4j9Ze6f8JPpLIX2XDT+q/0Xeg50N+SM8&#10;R2XisVKV+7DCV1aq9mV6LzRmD2H8IeytqPwhfc4cEfBJ4D9HXm3esL4gmhu/UC/18S58KfBVWI/J&#10;ROdw7Cm8YfUl5+hlDV+fQi/4gjMYAO4jUxhehPGfa3gO/mKdN7FicdjYFCNSukrQriD3zCb23JF9&#10;duBZw7lMY6Acyn1Y4Ssrh7ZaG2x+QD9El0UvVbuC8Ifyioxx+GSD7CGt+8ZHNGap2+xnvBP8gA9Z&#10;m0+brH3hM+VgDbqW8a+Px5OyeLEEfqD/4RPwHFxgb0PjJTtDO+aBTz75h8aNk5cQ2vB8VDRi/z/a&#10;YXuBstcf+//pO1IYx17i8MwDv7zPy1dhHivltQ8rfGWlbGP6u22OCHIjNLqnnlyR2kNtgzvvvAvc&#10;6afPdXf+9GfuvS0bJQbnHTmiWZsA/xmGgCPgwpJLLtb1ELQpk/xB3BE5F+EPcg9ExYdJPdljjtEO&#10;OYR4CuzZlMFbJn+EMQT7CPninnjsEY3jMt2n0D5X+Vh4B/wg/xD1EidGvc3Cp7QJfqUMnfeJxx5N&#10;8ENolI4Bhf6G5sgA2JegdVPTVW6XXUboPvBVVTvpfvJDhg5zxx0/XfznL0U2ZsEADuhsMUW0AX6A&#10;/3zfRX7dn/34dpVdeK5QHkyezx43rK/CeiM5ocAGy8kTphk0JG6L/8Nx6lHRDZnD+Oe++x5w06af&#10;6kaMHOXqevV2I3cd7WbPnudeeullR34R2mCxY+E2ltO1T9bwlZVTm3We+Pob9/7777vLFl/sxo3d&#10;3VV3rXY796xzhxxyqPv2t4914/fdz+28c08p7+YGDxri7rrzHqUbciL7zW+VveGNt/I9w5PIQMwT&#10;rOdD/gDXbD6jz4gfQMfCVmNzT77vS54rnGb0IbgPTcgJCI1M7oBu0JA1/mAHsQHgRr6yB3oJ+jN4&#10;wfxCPZuaN7k1gl977r2vzHHd9Ojbt78bM2as6927Xvi1xvUUPj51xmnKV6++ss47J5XLePRhha+s&#10;XNpLO4zOX365ze255z6uqkuVGzBwsFu04FyNDbqyqVH4o0nwu8FNnTrV1faodbW1tW7pkqVuM/bV&#10;iOwh8CJ8gYwLPxIvSNuMJ+HFjz/6UHVtckVENYclOFIYjoDj+DXIJWkyo2H+H3+/Rud9bJfoENAs&#10;X7phC1Vekzrw+8Irjz7yqBswYIDgRFeRl0e6U06e4a4S3rn6ikbl3cmTv+W6dOniqqur3UknTpd9&#10;iP6d4EfE+ovNF998/aU76OBJrnv37m7ChImuadlSd7XotcwdjGf0CmTA733vDMH23oojN990U0rf&#10;LFyP0LlJsAg9lhwN2NrC6zrBEWLHkE+IHYNvk7Ff2NiPqv/IyYDMGJ4XiUmEhvhssVMF8kIB801K&#10;7gCHqOvRhx+WeW6Q6yrYcdKJJ6p9FByDT7HHGM/OmzPbVXfr6nYft1cLvoXbWU7XPlnDV1ZObQY/&#10;bL648MJLBMu7uD59+uo4hQZXCmYYLRi70OesH/zA1dXVqU6z9LKGvGXSdP41TEAW5j34c8nZbrpM&#10;sM4vWG+heCN8lF5H8rv4mII9CruUzUXQi/UFjGNijNE5oAtnxr79zoVW0BsdZlNzsO5m2PCRrntN&#10;Nzd9+inuSsEN5jt4xjAk4NUmd+hhR4j80dV9d9584XO/Ta1cxqMPK3xl5dJea4dhyLPPrna1In90&#10;E3nvgkULFDsCmkCX8NHkjjzyaNe1qqurqalxd995p8qTW7c0u4/FjweNc+ENu5e1mMimHMxd+NzC&#10;Mgi4gq8QWy/8hDxizybn4uMGfa56xPIHlT9MF2a/UsYvsan5YIWPlps34U/Z4t59620345QZInd0&#10;cXvuNUF1lVbcQM8OZGVw5MqmBtdT5rlu3ardddfe6L6JWHa38RPV2YcVvrKo3hdFPYYdzBnbvvjC&#10;jR41RmhTLXbT46T/W/G8DX6IXMK6qaHio6npVuNG77a7xuggP8BPW4WvfDzQXhnzUjDHBPtvE49y&#10;ucwprHuibcQnUQZfouNQV5S2l/balvyXmZ7QDXs2dCEGBJ4kvzV6L/t28H8U/ae8ITS//robxb9S&#10;JzJyvbvg/EUyxzW0zG1gB+1AXkb2mTt7js5x6ORbRHYxe1oU4yaOOnxY4SuL49351gl+hOPGn3js&#10;MbFt9HAjxQ92leAH9GiDHSKHXHtVgPMXnLdIba3dxPY9bfoMsaeKjVxonK8/xvaLgd/AIWz3yCDI&#10;G7QT2yrziuFMVLwZBX931jqgAboKPII8CLZDI+we0DC6ftnsrrziKtVF4LeZ35mptlLeBVYE8gb4&#10;Edg+sKFOnHiAqxIZeb+JB7pvvhZ/3lfZ58nMdzwV8pwPK3xlhbwj6mfN9sEcT91ff/VfN2G//dWm&#10;vejcc7z4cXnDUqVZk5xVDhk6XGTE7u6nP/6p2jXzkT/ABPgNGQb9Bbl3neaXwP+zzLFfM2sYLPbU&#10;MCY6/sw8xybvaL9vsGczfrGBMN9gTwXzm7F1RuSfe+nFF93AQYNFv65xBxxwcIovmxQv4EHwy+x0&#10;tGXZkktd3779xP9S5S65ZJngh6ytSvCjjY07Ciwx/cXqwsZ0edMVYtfo5iZPPkLpAr4jGwb0gWbI&#10;JMHB9Q/P/L74dEVmGTHSrX+HtVHBfqOMO+YnsCHbMQi/gR08wzU+QJNHsX1g5zeezKXebN+f3Nc+&#10;VqT3D7TiICYYewf0ATu4D9rzX/oz2fzmWXy2PM+cMmXqcYGuPHqsa7jsEvUNBnJxIB+jL8GLyisi&#10;g3zntO+o37Ze4kE+/OB90YElt0AqHsB4vdzOPlnDV1ZO7U7wI7fxkg3vd6Z7EvyILh7chxW+snLC&#10;j/S2fCkYjR0M+xT+dZM7wHY7treHXOEmTTpU/Gk1GjO8WdY8WqygnfMdU8gY6NTYTln7Yvt8I4NE&#10;q18nOJIPjcAPaMS6WovzyKee9GeI89Ay8bn84p57JVaghxsiejI8iBza6mdp9Qti78fmzn977rmv&#10;2k5vvfkWsZumdPPUOZ3ny+W3Dyt8ZeXSXl87vlIbyNfuwAMPFptGN/fDH5yp9DIbVTp2BHpno6x9&#10;u0jjQer79hN+alZbGuObNQotvCDX6XzS0W/kWPCM+7DT8dueyVc2tueTc+70SO8zww/8ZOQkLITW&#10;4bo3bUrldxC6H/Gto0Wf7q5+28alSwRDAn16e14M5jh0mNoeO7shQ3ZxX335hej8QV4jwxEf35dD&#10;mQ8rfGXl0NZMbfhi2zaNs7ns0qViu65yRxxxpOqUYLoP86EhcwLnCRP2V9/v+bJuFx8M8xK6K+un&#10;w7yR7TXPghfgELEhxJNpfSkcSuwfhY//bGmR6T6jATIi9lNycWe6N5fywIYu61uef17WYvV0/QcM&#10;Fv4LZItMfGjl3533XeHdajdt2ikqe5R73IeNRR9W+Mrs/rI8f/OV2Jq+cX/76H1XX48OM0SxAdpk&#10;kkGMbsggdXW9ZE3CIPfi2j+3YIjxWC78w73oKMxv8BJ7jbCWM9+6cn13cn922GT0ANfJTxhVDt1N&#10;G4PcDEcdNVXtprq2ReaoK0S2uErmq8CW36q72DyGDrOX6C7EQK5auVJjPvAxqp8xiT+N3P+SjmFq&#10;TxU/1zff/Ncdf/w00SGrxJY9U/y0SyVOuC29TH40WkK7Y46ZovF+Q3cZLhjyoo7/QvQM+JO4As3X&#10;HdJdkvGd3fiOu58MP3gP1+gx2EJYl0tZtrQPZM1U3h95bpP48J58YoWsx6pxw8WvF/j7/PxnfMg9&#10;l1x8kcZE77HHXu5L4eF0/i7n3z5Zw1dWzt9A28DqrwRDVq18UnC8m649gjbBGoNAV2mlWVuaXr5s&#10;ievXf4Cu4501a25Kd2m1WeTCz+zV8fRvVmlOIea2MK/mUk9yb7xYA0aYnklf479lrQHxH9nSzJ7H&#10;XhboLhvdt46colgwa+bMdtZStOU/1lWQf+KyS5e4ryXmsNzHWrh9PqzwlYWfKbdri7EhJhV/+bhx&#10;e4sfvZs7Y/731G6VaR4w3wyyyIknnKS277pevdxLggGbNua3VvaFP/3RrXv5JbV/ZMuHCVbEixXp&#10;/cu4R89U+UHO/OYamxXX6fdn/C2yCzhkNvcbr7tW5NgaN2z4rqo/Z5qvwuXo1wMl90Tv3n1aYunL&#10;bXy11x4fVvjK2qujHP5D9rC4kPPPu1Bi+HYS+9VA1TmDNTFtMV/9ZroOIfCtEctT16teYsq6u0WL&#10;LmiJ98rIOzLnZPoPXmQ+Aj+4znRfUp65D+Psm0w4YXvUZau/gEHY2bn/jTfecDuL/4Q8M8cee7zq&#10;LuSfCWOF73r+/DPUZ3jggYfImowg/1Q5jKds2+DDCl9ZtvWV4j7Wy6O/8G4wZM1zz7sa0UFZwzh3&#10;zhz15W5PO1v3GOg2yCD/d8Z8iTWudXvvM17Gfuv6bXDAjo742mQOm8fsd0fPJf8XD0ugiWGE0dXo&#10;Zeds6EEdmzfhb9vqFi28QGym3cTvsrPEBSxW/57Z6NvyXqsdlbiPww6brHIv8dPGw6UYQ/m+04cV&#10;vrJ86y/Vc+PH7yc6TJXbffc9QnHDbWWQMF3Nnrr33uN1vdPNN93aogej3+aiF2fDe8k9xcOLuPra&#10;1kzBG7vtNlbliEMknxWxYgE/+exulAXlDZcudv37D5S4x77us3//S+c+5r9SjZl83uvDCl9ZPnWX&#10;8pk7br9DbSA1NbXuvIXndihHMlewhmrBOWcrH0yU9U5bZH5BD8llToqLV5N6yw9v0E3hjRuuv0Fj&#10;iOrq+rgLz1+Y4jUfdgTzVxB7tEzsdHvJc93crFlzRPZo3ceqlOMm13f7sMJXlmu9pbyfeFTyghx2&#10;6GSVKfff/8AO8YP5wtbcjRu3h/pw7r9f9tYV+ZT5BRkksWWU3xguPa5uduP3m6j8Mm/uPOWzy8Xu&#10;QbxpWL4NX4MfrOXfaacurofYTIg7snwxlabD+LDCV1ZKPMj13fjAsKe+t3WTGyTrp3tIbpCGyy5N&#10;88WkzQ+CH9hUOc743vfUdsL6SXK1f/Th+wl2tGMvLv0YLg2uYTt54IGHNOZ5L8njHdjpW+0bpqeE&#10;scNiGtF3yJF8+OHfEl4N7HeVprswLn1Y4SvLdQyX+n7D8RPEL4tda4bkw4eOzA3Q1WcbRwZRDJF7&#10;8KeRJ3vrFvx8wZqYRP4ozTgtV3xi3cz8+WdqvOI0yWkaxonM103uUokXI78YeZQbljaqvYPYA2SQ&#10;SsMQH1b4ykqNB7m837CD81133iWyRI3u82B545gDzF66PZ0FW8T+ta/sH0NMz0MPPKg+Onx+5crH&#10;SbtKg2v4X8aKDQMdBEzYnpd89vomd9JJ09XuwZqJjz54T/0ulYYbNh59WOErs/sr4QwtOMCPbds+&#10;d7uNGadrIc+X/MronmBHYMNqS1+TTfh/ruiyyC2nnHKq+vo+/OCDBD8SHaYNDyx/aLnaPfbZZ0KW&#10;2MFa/SVul2EjRP7YWWLdnxDZA107WKuPDFIJ4yvcRh9W+MrCz5T7NbgBfvxH8jdx3bjscs1teIDY&#10;UQO5I832IXoNekvgrw/iQtgDol7yiYyQdQzYTte/G+Q/Tub60sz15djv06afJvjR1c2bOzdr/MDG&#10;yt4MRx99rOxNKHYPsSHYeKpEGcSHFb4y+8ZKOUML4spo7z8//dQNHryL5Pqolf0uLxKsAD+2x5B0&#10;+XPCeNb2d5EcHitl3glinMuRj5M2xY9pFnPWLDrLJo0ba5Z9UQdLjPMAxY5g7mkrzzJXEQvCnmaB&#10;3NvoxqjdtJvw1JM6tyF/VMqY8rXThxW+Mt+z5V6GXIj8QTunnXSyYAF7Ak5TOUPXVGdYm2s4wn4Q&#10;5FRdfPGSwIcrfJOM1fjHajn2MbZzMGSL5BYj5uOxRx/X9Zbsexj4VK7ILIOIztwo+ZKXLblM7R7s&#10;8/7ll/9J2UoT/ChnHAE/OB5ZLrqq2FHH7j5O4zwCPabtfGG4YWfymOFjO/nk09QGgh5TjrydtKl4&#10;dEH2YN3LBRcs1vhE1rqYnGF8Ez6bvY3YouOPO0H0aOLF5la0zBEe7z5Zw1cWfqYSrtFdTJ9UXUZs&#10;U8SmV1V1cSdPP9lrPw3TnWv4gvW45GX4q+Qmg3eSsVq8sVpWfS20xwfHPoV/3brZTTr0cMWPxRdd&#10;mFnuEB0Zuxp5aNgje+CgIRqL9Pprr+s6fZONK2E8ZWqjDyt8ZZmer5RycgvdfpvEtMu+xN1ljdy5&#10;Z5+lNhCfH8Zw5Aqh/Vjx3fSQNZVvvSF7g+S5x2VZjYNEhsprDmCtC3IHa+W2yL6U5OoeJn4U4xXf&#10;Gd7StTBii581c5bGmU2ZcpzGNgYxjq36daWMo/R2+rDCV5b+XKX9RgbZ9sXnbtToMbq+ZcL4QG+F&#10;vqzdx9/i44FJhxyqNvZlDU3qh0mwoHPKH8R6YPcgX/v9v/yV+m0PlDVSQRyi3xaP/IqtHv4iHxn7&#10;Lj/7zGrVp002rrRxlN5eH1b4ytKfq7Tf0At5saGhUeIFq3XvqIsuWKQ6SoAbfh6YdtI0jSObJGtp&#10;Ev2lc2IHcwb2U/CD9ZQLF56va+5nzDhVbae2/+R284/gxzWyDuY4sZGQz+qQQw5THoQPDT/sXGnj&#10;ydrrwwpfmd1fqWdoxpqYv//9b65vv4E6Fxx99DEqc1jcWDr9saurv178Nv0lVtByRiQySOfDEfW9&#10;CI5wnjFjpvhRuroF557rAj+ef+5BNlkia/SrulTr/Q0iw1qMuuGGxY5V6rjyYYWvrFK/z9ptvlww&#10;5Jqrr1a/7PDh5LjFB5OJ/svcogXnqvzBOustmxP7aWfFTmQPZJBNsp7ykEmH6/oVje0QG4cv9gO+&#10;AlumTj1W7B5dXe8+vXX+gR9N/jAMMR6txLMPK3xllfht4TYbzUwOOVT0ka5dq9wcyU8G/YnxSZc/&#10;wBVs5/hwmW9+s2pVXra3zjrmdqTvJs8YsR+cx44dJ/tc9/fySyuWBGs0uY+cmDNnznFflflecuHx&#10;ku21Dyt8ZdnWV873gR2GIysef1zjQUaMGB2ygaTHgwgPyBzCOjrmkAQ/Op/e0oKB+O5FdyGfA3vE&#10;jRjpz5GMzZRYD84nnHCi6sn19f10b4hK11V8Y9uHFb4y37OVVGZ6p8kf7G0+cf+DFEPmzpmdwf8S&#10;4Af7+iB/rErkj04rf+G/ZX+XjRvedXU960QG2X07+ePqK4KYIfy2V19OvMdgyYfayz3wq1/pvgBf&#10;f9261qWSxk57bfVhha+svToq4T90TQ5b48i6pUeWP6xrbJFH/TaQIO4Y+SPBj04sewh2kMtys8gf&#10;5KPrKrLobruN2Q4/2Ksy8MU0uukSo2jr5LZ9IeuwvsF+X3nrazsa2z6s8JV1VE+l/f+10vMrN1z2&#10;6mDP7UsljpD8p+ivduCXWXDOOcIHVYofb735Rqedf1vkeMZSJzyIHVMZZMPbbjD6i8RzYD/FZkYe&#10;dXSWa64k3pSjQeIOyafc3d111z2KHTuCrdQ3xn1Y4SvzPVvJZdATX8wZ87+vvpijjjrGsU86eiuy&#10;CDIo1/Pmflf4oKvyjPnwOuP46ezfDO11n6jmdwU7Rsna2yGBzCo8YjzDmXj1C85bqHHqQ4YOd5/8&#10;/eMdJtbDN959WOEr8z1byWXEs38jexMjl5KrsK5Xb7fsssViB2nQucT8b+Rgxv4xe/a8JP6jE8od&#10;hpsafyoyyGZZA3PgQcQkV7ull16Swo5Wuzv4MWnSoeqzW3zxJaovk+cjkT92LNtP4IcJ4gDnzZsv&#10;Mka1GzR4qMggl7botcgj7M/RX/bGfe3VVzT+0PgpOXcuPQb9xdbwn7foQsWPKVO+reviAttZIK8u&#10;ueRizWc4ZOgwyTvzT/X32b5yOyKG+GQNX1klyxqZ2v612LPwy3zw3l91D1LiQQ4/fHIgl4oOc7js&#10;DcaahZkzT9e4ZdZeJrjRuXDD6I38EegwG92LL7zg6uv7yrwySGSQxSl+wffS4A6V2DLihRacs7Bl&#10;jb75/jLxYSWX+7DCV1bJ39he2wM7yFfuzO//UNdEsf/gD8/8vmNtVI3kCxk9enf3zluvuw3r1wt2&#10;iP29E8vwnfnbsZ3qHkCyrzprcM8+e4H6V8hlir2D9ZcLzzlLctzVqbz6948/cLave3v8V+n/+bDC&#10;V1bp3+lrP9ixbds2nSfeev11kTvrZE+fnQQ3usv5f+Socvffd39q3nlX7O+J/NFZMYS4U/QX1s/p&#10;Oqjm9W7UqGAtd8+6npLfbrrbdeRojTOcNu1ksXeIv3YHjPdIH0c+rPCVpT+3I/w2uRIcId/QwgWL&#10;dF1DdXWN+vevu/b6YM2D8E3zhvWCI51Tdu+smBH+brWfyhqYZpE/0GM2C0+sWrnK7T5ub83rgc6y&#10;0//sJPJHT/fEr3+ttnls9DvCOGnvG3xY4Strr45K/c90F874YojvOW/RQnf+okXu7bffUn0FmQPc&#10;gG9YQxXmqeS6c+EpeouuoRPs2CprYTaJDML5tlt/rHuljhkz1h0nOQrhI+zzlToucmm3Dyt8ZbnU&#10;Wan3giNvv/Wmxn4sf/D+FrxgvtH4IeIPE/tH0gcpHrCYkHdkriFHEHGHb77+Wgt2wE+VOhaybbcP&#10;K3xl2dZXqfehy1jbf3H3nWpTJ94UvQXMsPXbCX50LpmjPXqbT+aBX96rc85zzzytPGS4YWfjqx3x&#10;7MMKX9mO+O3hb4LWtjaGeYVYwp/f9TPFDbCDsvZ4Kfmv8+EKfEFcELGG995zl2KHzUOJ/rLj237S&#10;8YPfRv+7f/YTlUffeO3VFtkjsX90PozoaF546P5fiu5ypXtd+OQ//9nWEmfaGWQPxotP1vCVhcfa&#10;jnzNvIEc8vKLa1WHeeyR5eqvM1m1I35K/t8xMcb8L5yxoULnDevfdTfdcJ277eYfKXakj4vOgCE+&#10;rPCVpffNjvjbZE5kEGiPDMKaXGQQtaEm/pdOq8NBfw6wA1s6OPLIQw+onosOsyOOh2y+yYcVvrJs&#10;6qrke2yuCGMI/MIabewgiVyxY8oV2dLVdFc7B/Jpo7vv53e32M0qmf/zbbsPK3xl+dZfSc+Z7YM2&#10;gyMcTz35hNpBwBCTW7PlueS+HQtzdP2+yB2cb/nRDe76a65yH334QRufSyXxexRt9WGFryyKd5V7&#10;HSaD0E67/vzzz92Prr9WbSHYykyPAUtMpgUnwtcJblQ+bhCnDh2RN8K2r43iz//VvT9Xfvj9755X&#10;PjFeKXf+jqN9PqzwlcXx7nKv0+wgL/zpjyqDkGNq3csvKV99/NGHLb5d+Ax+S+STyseNdOw3uynl&#10;xBZiK4UPOMMf5vM3vbfceTrq9vmwwlcW9XsroT6bV1gb8+SvH1cMQW7FV4cMi8zBGd5K5I8dCzug&#10;J3Q1OZNYwp/ecZvGmWJTp9zmF/jEeKUS+DrKNvqwwlcW5Tsrpa4wfzC/vPqXdco/6DPEGsJfyLeG&#10;HYn8seNgiOks0Pa3T61siU9/7OGH1OYRljcS/GgbK5bgR9Af8AUYAt7BL/wGI26+8XqNObzrpz92&#10;f/rD71vkD7PNgyvJUdl9AG5A29tvuUnlzh/fdovGexgf2NmwI4wnlTI/RtFOH1b4yqJ4145QB3zy&#10;73//2z214gm1oRHnfutNN7pnn/5Ni6xrMi8YwjzG2eRh+53gS3HxxWRE+h/6WAwH5diuOPMfa+GQ&#10;MYI5oknlDmRNs3PsCDwc5Tf4sMJXFuU7K7ku5hswhAOee+KxRzTGjByY2NTw94Z5Fd40/qQcvk2w&#10;o7jYYX0OPpi+GcZ2rrGL41ch7z60xMaxauUKyWH6aYvsWcl8G1fbfVjhK4vr/ZVUr+kydra2f/LJ&#10;P3S+wi4P77GWG3nEeJQ4Z67h4+YNwXpefidHcfoAzKDvwXGlQyqOGNs3tnDWWyNHBnvXNrlfP/pw&#10;i85qNGbesOvk3Grv8GGFryzps1abiOm8xlPgybZtX7g/rPmdyiDwIfx443XXqCxsPl/kD+PhBDuK&#10;gx30M3KHyn6CG+gu5Oh4+jer3E9uv7Vlnx/kjkeXPyj7U65v8aWYrGn0TsZAK25YX/iwwldm93f2&#10;s2GGndP7AyzB14ceg78PmYQY+Dtuvdk9LDmJ1jy/WvkXfjZ5mvmRazvMDmt8n2BNK9bQb9Yfhgnh&#10;33ZtfclvZIzfPbfasRYSzGC9PQd+NHJ3rP3zn9SmlU5Lfmeis+/ezljmwwpfWWfsm3y+GX4z+whn&#10;5jv8f9hG0G1MRsbmev99v9D/4F90HB0P6Dip2BLGwPvvvaflNi46+9lw1/qK/qVPDIPpL2ygz/x2&#10;lcM/hh0DrLD9BFkvu+LxRxXjP/vsM9VJ0vXRfOjeWZ/xYYWvrLP2T67fDX4YPxqWUAdY8rePP3Lr&#10;XnqxRTbBThLMhdjsGlVeAWvAEhsPjA/GSmfHjfD3G4ZgSwJj+Y8zfpI7f3JHS6wG+iMYTfkr6152&#10;xAyn0zORL7bXSdL7qL3fPqzwlbVXR/JfKw3AiXB/wJ92UA62cA9lrK1hDPzx92vcg7+6L7XOptFd&#10;d/WVKmujB5nvJjx+OvM1dlDTTT54/z29Xv30bzVOA5sT+iJrHd9843XtZ/yu1v+coYH1f5hOyXUr&#10;D+fSFz6s8JXlUmdnvxeMgFd9fGpxBHamr7iPAzxhPXjgx2lU2dviSjozZqR/u60ZwNYZ5KptFBvT&#10;UpXf3hXdxfrU+JC+tf422ZD/wtd2b3LODUd8WOErS/o1t37Npb/gb+6Hn+Fz8tH8f/bOZ0VqIAjj&#10;eQLx4DOL7DyDiAqeRPCkqHhSRHHxsIsXd2fZu3tZX8D8OvtBO5RJetl0Z4ZvoOlMJSTp+vOlqrrS&#10;wQ8fahGOOmofv3/7muKYKJZRvnXXzg7hP+MlhmOMilvAiDynRJxCfpT3lORjlPDfx95etyOsiGjm&#10;8e15PMW7XOdz34X4hfkB8iT45mAKuVbFNNiV4v9DwIpoDDle4m+8f/smrbsBT1h3FNzAbxOP5Wfo&#10;v/vl9BbeRlgR0SyHZeWwy198EuHKn+vrlHPFZpgLJsb5eXqSnsnyPXI7i+xwn2mM8cvnT6lGD5+M&#10;uXDeTVFtKLwDd+XH7fLS/5fT3QgrIpplsJwMct4qbwJNcTs02tXV77TmJvPANOYnyb3ih+wzPozd&#10;+0k/b0LNhurxGK/iFOUvhBvC25yf3l5WbyOsiGiWw7JymOKvbANbIX9I3nDIs25SXMPaAqobwR55&#10;ZhPbqB+z0Vb7dG/4Tmxz/7pnanmJ1xgjPgfvouCHTfHJ++vqaYQVEc1yqSuXXX6DG2AIz17t+3F8&#10;nHIB+CKbRw871knDDsmPkCvQe2P815xFK6yIrpuwop+P5T6VG6Unx0E9DLV2NGo3hJ8au/u2+ij+&#10;R1gR0XS8+zZyw37kr7Mtn52aNN43B0N4TvNNAXx+cET5Vfo15kfADxrYAr6dn/1K78ASq4AffIP4&#10;ssdBdI4xG0Pa6N6YzUdYEdHGzuF9y8tVtpNjh3wSemyQuqkhN3KUtpkHhq7ne+QDtKSBHfhG1Nvi&#10;c1A3R46YdapVKyqcVG9dW17XSngcYUVEKzmnj717Gct+chzJ+QydRh6E+ZmhdmTTvX71stuen6Xn&#10;Oz5JwpObvqZPgn+hGArc4Nr4RcP3H6njH+ZVmLPWXIrGpHGKB/rv/u71rJSnEVZEtNLz+vj6ssXe&#10;VP8ATqiWVd/Qk/2yryZ2cC3FKmynXOnFNtWLEquwRiDvJf8PN6xL9XVpLs8jrIhoc8/n49rIWs9q&#10;YQg9siD3SEzw7MnjfzBDudVa8Qu4Iezgmh8/vEs+EutwcJ9gB9incUCzv9FGl0psOMKKiFZyTh/b&#10;Ru7CDPEfm4TGd3yJD5ivwQ/g+S97roEfXIv5IBrbXJOac3Atn0/ivo0ZbXRHOlPaR1gR0UrP6+Pr&#10;6oGwA/uj8V+2yHwM+RDiBOUe1NfAjxSv3OQ/2OZ75OAZ6/koZkFfuGc1jcF6VFePSvkdYUVEKz2v&#10;j28vd2EIz3jmNsg1gCVgBnZcAzt0LeIlxUys38P8LPMuuZ4I73Kat9vr0ZgMIqyIaGPn8L51yhj8&#10;UD6VtcV5d4bvTqguRLHE0jiSxy9c+8XzpwnPdG/cp3VonTo0JZcIKyLa1Hm8f33yVyxAT56SWnBw&#10;RPkPxTDY95INfLq82KbG+oK8N8u6YPI3iGGsP+vTnzkyibACmpt5YB2wDszRgTk442P28/lguVlu&#10;1gHrgHXAOmAdsA5YB6wDh6oD97que9A3fvf7xvZfAAAA//8DAFBLAwQUAAYACAAAACEAZoMmk94A&#10;AAAHAQAADwAAAGRycy9kb3ducmV2LnhtbEyOwUrDQBRF94L/MDzBnZ2kMVFjXkop6qoItoK4m2Ze&#10;k9DMm5CZJunfO650ebmXc0+xmk0nRhpcaxkhXkQgiCurW64RPvevd48gnFesVWeZEC7kYFVeXxUq&#10;13biDxp3vhYBwi5XCI33fS6lqxoyyi1sTxy6ox2M8iEOtdSDmgLcdHIZRZk0quXw0KieNg1Vp93Z&#10;ILxNalon8cu4PR03l+99+v61jQnx9mZeP4PwNPu/MfzqB3Uog9PBnlk70SFkSRgiPKQgQrt8SjIQ&#10;B4Q0vk9BloX871/+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AG&#10;mrmcUwQAAPsMAAAOAAAAAAAAAAAAAAAAADwCAABkcnMvZTJvRG9jLnhtbFBLAQItABQABgAIAAAA&#10;IQDjp8k86usAALifBwAUAAAAAAAAAAAAAAAAALsGAABkcnMvbWVkaWEvaW1hZ2UxLmVtZlBLAQIt&#10;ABQABgAIAAAAIQBmgyaT3gAAAAcBAAAPAAAAAAAAAAAAAAAAANfyAABkcnMvZG93bnJldi54bWxQ&#10;SwECLQAUAAYACAAAACEAjiIJQroAAAAhAQAAGQAAAAAAAAAAAAAAAADi8wAAZHJzL19yZWxzL2Uy&#10;b0RvYy54bWwucmVsc1BLBQYAAAAABgAGAHwBAADT9AAAAAA=&#10;">
                      <v:group id="그룹 46" o:spid="_x0000_s1057"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58"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41" o:title=""/>
                        </v:shape>
                        <v:shape id="Text Box 45" o:spid="_x0000_s1059"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577DA603"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v:textbox>
                        </v:shape>
                      </v:group>
                      <v:shape id="Text Box 125" o:spid="_x0000_s1060" type="#_x0000_t202" style="position:absolute;left:5206;top:23012;width:12333;height:7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391A9BC5" w14:textId="4258A2C5" w:rsidR="006D7011" w:rsidRDefault="006D701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4CD6A437" w14:textId="77777777" w:rsidR="006D7011" w:rsidRPr="003C136D" w:rsidRDefault="006D7011">
                              <w:pPr>
                                <w:rPr>
                                  <w:rFonts w:asciiTheme="majorBidi" w:hAnsiTheme="majorBidi" w:cstheme="majorBidi"/>
                                  <w:b/>
                                  <w:bCs/>
                                  <w:sz w:val="10"/>
                                  <w:szCs w:val="10"/>
                                  <w:lang w:val="pl-PL"/>
                                </w:rPr>
                              </w:pPr>
                            </w:p>
                            <w:p w14:paraId="6166AF0A" w14:textId="77777777" w:rsidR="006D7011" w:rsidRDefault="006D701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v:textbox>
                      </v:shape>
                      <w10:wrap type="square"/>
                    </v:group>
                  </w:pict>
                </mc:Fallback>
              </mc:AlternateContent>
            </w:r>
          </w:p>
          <w:p w14:paraId="75ECA9F2" w14:textId="77777777" w:rsidR="002E5800" w:rsidRPr="008F328C" w:rsidRDefault="000E0B7C">
            <w:pPr>
              <w:pStyle w:val="a3"/>
              <w:numPr>
                <w:ilvl w:val="0"/>
                <w:numId w:val="22"/>
              </w:numPr>
              <w:rPr>
                <w:b/>
                <w:lang w:val="pl-PL"/>
              </w:rPr>
            </w:pPr>
            <w:r w:rsidRPr="008F328C">
              <w:rPr>
                <w:rFonts w:eastAsia="Times New Roman"/>
                <w:b/>
                <w:bCs/>
                <w:lang w:val="pl-PL"/>
              </w:rPr>
              <w:t>Wybrać odpowiednie miejsce wstrzyknięcia</w:t>
            </w:r>
          </w:p>
          <w:p w14:paraId="13409051" w14:textId="77777777" w:rsidR="002E5800" w:rsidRPr="008F328C" w:rsidRDefault="002E5800">
            <w:pPr>
              <w:pStyle w:val="a3"/>
              <w:rPr>
                <w:lang w:val="pl-PL"/>
              </w:rPr>
            </w:pPr>
          </w:p>
          <w:p w14:paraId="2EED4061" w14:textId="77777777" w:rsidR="002E5800" w:rsidRPr="008F328C" w:rsidRDefault="000E0B7C">
            <w:pPr>
              <w:pStyle w:val="a3"/>
              <w:ind w:left="3397"/>
              <w:rPr>
                <w:lang w:val="pl-PL"/>
              </w:rPr>
            </w:pPr>
            <w:r w:rsidRPr="008F328C">
              <w:rPr>
                <w:rFonts w:eastAsia="Times New Roman"/>
                <w:b/>
                <w:bCs/>
                <w:lang w:val="pl-PL"/>
              </w:rPr>
              <w:t>a.</w:t>
            </w:r>
            <w:r w:rsidRPr="008F328C">
              <w:rPr>
                <w:rFonts w:eastAsia="Times New Roman"/>
                <w:lang w:val="pl-PL"/>
              </w:rPr>
              <w:t xml:space="preserve"> Wstrzyknięcie można wykonać w:</w:t>
            </w:r>
          </w:p>
          <w:p w14:paraId="5ECB919E" w14:textId="77777777" w:rsidR="002E5800" w:rsidRPr="008F328C" w:rsidRDefault="000E0B7C">
            <w:pPr>
              <w:pStyle w:val="a3"/>
              <w:ind w:left="3757"/>
              <w:rPr>
                <w:rFonts w:eastAsia="Times New Roman"/>
                <w:lang w:val="pl-PL"/>
              </w:rPr>
            </w:pPr>
            <w:r w:rsidRPr="008F328C">
              <w:rPr>
                <w:rFonts w:eastAsia="Times New Roman"/>
                <w:lang w:val="pl-PL"/>
              </w:rPr>
              <w:t xml:space="preserve">- przednią powierzchnię ud </w:t>
            </w:r>
          </w:p>
          <w:p w14:paraId="429E4612" w14:textId="77777777" w:rsidR="002E5800" w:rsidRPr="008F328C" w:rsidRDefault="000E0B7C">
            <w:pPr>
              <w:pStyle w:val="a3"/>
              <w:ind w:left="3757"/>
              <w:rPr>
                <w:lang w:val="pl-PL"/>
              </w:rPr>
            </w:pPr>
            <w:r w:rsidRPr="008F328C">
              <w:rPr>
                <w:rFonts w:eastAsia="Times New Roman"/>
                <w:lang w:val="pl-PL"/>
              </w:rPr>
              <w:t xml:space="preserve">- brzuch w odległości co najmniej 5 cm od pępka. </w:t>
            </w:r>
          </w:p>
          <w:p w14:paraId="4CF2FB0D" w14:textId="77777777" w:rsidR="002E5800" w:rsidRPr="008F328C" w:rsidRDefault="000E0B7C">
            <w:pPr>
              <w:pStyle w:val="a3"/>
              <w:ind w:left="3757"/>
              <w:rPr>
                <w:lang w:val="pl-PL"/>
              </w:rPr>
            </w:pPr>
            <w:r w:rsidRPr="008F328C">
              <w:rPr>
                <w:rFonts w:eastAsia="Times New Roman"/>
                <w:lang w:val="pl-PL"/>
              </w:rPr>
              <w:t xml:space="preserve">- zewnętrzną powierzchnię górnego ramienia (TYLKO opiekun). </w:t>
            </w:r>
          </w:p>
          <w:p w14:paraId="20960BC0" w14:textId="77777777" w:rsidR="002E5800" w:rsidRPr="008F328C" w:rsidRDefault="002E5800">
            <w:pPr>
              <w:pStyle w:val="a3"/>
              <w:rPr>
                <w:lang w:val="pl-PL"/>
              </w:rPr>
            </w:pPr>
          </w:p>
          <w:p w14:paraId="374D790D" w14:textId="77777777" w:rsidR="002E5800" w:rsidRPr="008F328C" w:rsidRDefault="000E0B7C">
            <w:pPr>
              <w:pStyle w:val="a3"/>
              <w:numPr>
                <w:ilvl w:val="0"/>
                <w:numId w:val="18"/>
              </w:numPr>
              <w:ind w:left="3577"/>
              <w:rPr>
                <w:lang w:val="pl-PL"/>
              </w:rPr>
            </w:pPr>
            <w:r w:rsidRPr="008F328C">
              <w:rPr>
                <w:rFonts w:eastAsia="Times New Roman"/>
                <w:b/>
                <w:bCs/>
                <w:lang w:val="pl-PL"/>
              </w:rPr>
              <w:t>Nie należy</w:t>
            </w:r>
            <w:r w:rsidRPr="008F328C">
              <w:rPr>
                <w:rFonts w:eastAsia="Times New Roman"/>
                <w:lang w:val="pl-PL"/>
              </w:rPr>
              <w:t xml:space="preserve"> wykonywać wstrzyknięcia w skórę, która znajduje się w odległości 5 cm od pępka lub jeżeli skóra jest zaczerwieniona, twarda, tkliwa, uszkodzona, zasiniona lub jeżeli znajdują się na niej blizny. </w:t>
            </w:r>
          </w:p>
          <w:p w14:paraId="3229B952" w14:textId="74D7F956" w:rsidR="002E5800" w:rsidRPr="008F328C" w:rsidRDefault="000E0B7C">
            <w:pPr>
              <w:pStyle w:val="a3"/>
              <w:numPr>
                <w:ilvl w:val="0"/>
                <w:numId w:val="18"/>
              </w:numPr>
              <w:ind w:left="3577"/>
              <w:rPr>
                <w:lang w:val="pl-PL"/>
              </w:rPr>
            </w:pPr>
            <w:r w:rsidRPr="008F328C">
              <w:rPr>
                <w:rFonts w:eastAsia="Times New Roman"/>
                <w:lang w:val="pl-PL"/>
              </w:rPr>
              <w:t xml:space="preserve">Jeśli pacjent choruje na łuszczycę, </w:t>
            </w:r>
            <w:r w:rsidRPr="008F328C">
              <w:rPr>
                <w:rFonts w:eastAsia="Times New Roman"/>
                <w:b/>
                <w:bCs/>
                <w:lang w:val="pl-PL"/>
              </w:rPr>
              <w:t>nie</w:t>
            </w:r>
            <w:r w:rsidRPr="008F328C">
              <w:rPr>
                <w:rFonts w:eastAsia="Times New Roman"/>
                <w:lang w:val="pl-PL"/>
              </w:rPr>
              <w:t xml:space="preserve"> należy wykonywać wstrzyknięcia bezpośrednio w uniesione, zgrubiałe, zaczerwienione lub łuszczące się miejsca na skórze lub zmiany skórne. </w:t>
            </w:r>
          </w:p>
          <w:p w14:paraId="05B75137" w14:textId="77777777" w:rsidR="002E5800" w:rsidRPr="008F328C" w:rsidRDefault="000E0B7C">
            <w:pPr>
              <w:pStyle w:val="a3"/>
              <w:numPr>
                <w:ilvl w:val="0"/>
                <w:numId w:val="18"/>
              </w:numPr>
              <w:ind w:left="3577"/>
              <w:rPr>
                <w:lang w:val="pl-PL"/>
              </w:rPr>
            </w:pPr>
            <w:r w:rsidRPr="008F328C">
              <w:rPr>
                <w:rFonts w:eastAsia="Times New Roman"/>
                <w:b/>
                <w:bCs/>
                <w:lang w:val="pl-PL"/>
              </w:rPr>
              <w:t xml:space="preserve">Nie </w:t>
            </w:r>
            <w:r w:rsidRPr="008F328C">
              <w:rPr>
                <w:rFonts w:eastAsia="Times New Roman"/>
                <w:lang w:val="pl-PL"/>
              </w:rPr>
              <w:t>wykonywać wstrzyknięcia przez ubranie.</w:t>
            </w:r>
          </w:p>
          <w:p w14:paraId="64B356F6" w14:textId="77777777" w:rsidR="002E5800" w:rsidRPr="008F328C" w:rsidRDefault="002E5800">
            <w:pPr>
              <w:pStyle w:val="a3"/>
              <w:rPr>
                <w:lang w:val="pl-PL"/>
              </w:rPr>
            </w:pPr>
          </w:p>
          <w:p w14:paraId="4F1C0D1C" w14:textId="77777777" w:rsidR="002E5800" w:rsidRPr="008F328C" w:rsidRDefault="000E0B7C">
            <w:pPr>
              <w:pStyle w:val="a3"/>
              <w:ind w:left="3577" w:hanging="180"/>
              <w:rPr>
                <w:lang w:val="pl-PL"/>
              </w:rPr>
            </w:pPr>
            <w:r w:rsidRPr="008F328C">
              <w:rPr>
                <w:rFonts w:eastAsia="Times New Roman"/>
                <w:b/>
                <w:bCs/>
                <w:lang w:val="pl-PL"/>
              </w:rPr>
              <w:t>b.</w:t>
            </w:r>
            <w:r w:rsidRPr="008F328C">
              <w:rPr>
                <w:rFonts w:eastAsia="Times New Roman"/>
                <w:lang w:val="pl-PL"/>
              </w:rPr>
              <w:t xml:space="preserve"> Miejsce wstrzyknięcia należy za każdym razem zmieniać. Każde nowe miejsce wstrzyknięcia powinno znajdować się co najmniej 3 cm od wcześniejszego miejsca wstrzyknięcia.</w:t>
            </w:r>
          </w:p>
        </w:tc>
      </w:tr>
      <w:tr w:rsidR="002E5800" w:rsidRPr="00A5286D" w14:paraId="302BEC83" w14:textId="77777777" w:rsidTr="003C136D">
        <w:trPr>
          <w:trHeight w:val="5945"/>
        </w:trPr>
        <w:tc>
          <w:tcPr>
            <w:tcW w:w="9634" w:type="dxa"/>
          </w:tcPr>
          <w:p w14:paraId="7C19279B" w14:textId="77777777" w:rsidR="002E5800" w:rsidRPr="008F328C" w:rsidRDefault="002E5800">
            <w:pPr>
              <w:pStyle w:val="1"/>
              <w:spacing w:before="76"/>
              <w:ind w:left="0" w:right="2736"/>
              <w:rPr>
                <w:rFonts w:eastAsiaTheme="minorEastAsia" w:cs="Times New Roman"/>
                <w:lang w:val="pl-PL" w:eastAsia="ko-KR"/>
              </w:rPr>
            </w:pPr>
          </w:p>
          <w:p w14:paraId="6C115E51" w14:textId="77777777" w:rsidR="002E5800" w:rsidRPr="008F328C" w:rsidRDefault="000E0B7C">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248" behindDoc="0" locked="0" layoutInCell="1" allowOverlap="1" wp14:anchorId="74D62983" wp14:editId="0A973477">
                      <wp:simplePos x="0" y="0"/>
                      <wp:positionH relativeFrom="column">
                        <wp:posOffset>-20955</wp:posOffset>
                      </wp:positionH>
                      <wp:positionV relativeFrom="paragraph">
                        <wp:posOffset>100330</wp:posOffset>
                      </wp:positionV>
                      <wp:extent cx="2407920" cy="3092450"/>
                      <wp:effectExtent l="0" t="0" r="0" b="0"/>
                      <wp:wrapSquare wrapText="bothSides"/>
                      <wp:docPr id="48" name="그룹 48"/>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59" name="그림 5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6DCD480D"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D62983" id="그룹 48" o:spid="_x0000_s1061" style="position:absolute;margin-left:-1.65pt;margin-top:7.9pt;width:189.6pt;height:243.5pt;z-index:251658248"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IR+V2AwAAAggAAA4AAABkcnMvZTJvRG9jLnhtbJxV3W7bNhS+H7B3&#10;IHjfSPbsuBaiFF6yBAWy1mhS9JqmKIuoRHIkbSl7oL3CdrEnal+iHynJqZMW/bmwfHh4ePidj98h&#10;z150TU32wjqpVU4nJyklQnFdSLXN6du7q2fPKXGeqYLVWomc3gtHX5z/+stZazIx1ZWuC2EJkiiX&#10;tSanlfcmSxLHK9Ewd6KNUJgstW2Yx9Buk8KyFtmbOpmm6WnSalsYq7lwDt7LfpKex/xlKbh/XZZO&#10;eFLnFNh8/Nr43YRvcn7Gsq1lppJ8gMF+AkXDpMKmh1SXzDOys/JJqkZyq50u/QnXTaLLUnIRa0A1&#10;k/RRNddW70ysZZu1W3OgCdQ+4umn0/JX+2trbs3agonWbMFFHIVautI24R8oSRcpuz9QJjpPOJzT&#10;WbpYTsEsx9xv6XI6mw+k8grMP1nHqz++sTIZN06O4BjJM/wGDmA94eDbWsEqv7OCDkma78rRMPt+&#10;Z57huAzzciNr6e+j9HAwAZTaryVf234AOteWyCKn8yUlijWQ/Id///v4z/8EDlAcVoSgfgkLJd1o&#10;/t4RpS8qprZi5QxEi1YK0clxeBwe7beppbmSdR2OKdhDZRD4I4F8gZxefJea7xqhfN9NVtQoUitX&#10;SeMosZloNgLV2JdFBMQy563wvAobltj4DcAGoJ9NRJQPwEIJDvoim/ZPXYAPtvM69soP62u6nE9m&#10;z6O+DioBhdb5a6EbEgxABaKYnu1v3IBtDAmolQ6EATPLanXkQM7gifgD4sFEAaE1cD+5kV+MnjD8&#10;Qy14WzEjgDKkfdDMbDFq5i701++6I3AB6hAW2pT4Dv5BH8HfIx2b5tCtk9NFmqIXCfpyupydztKh&#10;L8fOXUyWizlu59C4k9lpiO0PcjyWkbTv5NXpWhajFsPai9qSPcO921bSiyH5UdRX+H+oKli+23Sx&#10;o6bzkYqNLu7BhNU4blToDL+S2PCGOb9mFvc3nHiT/Gt8ylq3OdWDRUml7d9f8od4nClmKWnxHuTU&#10;/bVj4bKoXyqcNlL60bCjsRkNtWsuNEqdRDTRxALr69EsrW7e4alahV0wxRTHXjn1o3nh+1cJTx0X&#10;q1UM6u+cG3VrcFNNoqgDsXfdO2bNcCwe5/lKj3pi2SPV97FB5s6s0HhXMrZEILZnESIPA2g7WvGh&#10;gXX0kn0+jlEPT/f5JwAAAP//AwBQSwMEFAAGAAgAAAAhAJ3ceDhFiAAAmOkJABQAAABkcnMvbWVk&#10;aWEvaW1hZ2UxLmVtZuyd2Y9cR5afb3uB4f/Afpo27IcxvMG9zNIzwGA8cLsb9thjTC+GbcDzZA/g&#10;eZ1G2x6j+2VgtCiJEkVJlCiKEklR3PedFMnivu9aKZIqihI3SSQltdQiW92OL7J+t05F3cibWZVZ&#10;lZl1CBQjbkTcuHEjTnz35IntK0VR/EX407//+ZWieCX86d+f//2i+NZvFMVX//Uff7sovlLMu/l3&#10;i78ZIk2SmPSnf6cofudvFcV/ChH7dPOIu/cP/nZx5ud/o/iP4frvhfv1L32Wwv8i5LE7/P1JCPjN&#10;8Pfj8PfCjcZ9Xy1OFIonTv6vFF8NV6Pp4sXIf7/+9a8L//M6cBlwGXAZcBlwGXAZcBlwGXAZ6I4M&#10;fPU3/mHhf14HLgMuAy4DvSMDue+dt1HvtJG3hbeFy4DLADJQx+tcvId353eN12t1vf7qV78qrg6/&#10;UxzYN1TKLGH8qc6sX2GHDx4o4xXmbnUde730br3oe51ro7r43H0e3rtt3s9tA4svX3q7OHLoYCV/&#10;xW7LbPzwXWFy+7kevOwzs3/V8bgu3uVmZsrNdLb7+XNni+F3rpT8pSw3rl+v5LfKeXD/qD6uMHdd&#10;dvtNBup4XBffb+/r5e3/Pnoh8PqdK5dLPqMvXx0eHnOtdpYuPbT7lTJece72vyzMtDas43Fd/Eyr&#10;L3/f6e/j8Hp4hNfiMfq2bRuFK8zauxXm7vS3pbdBe21Qx+O6eK/v9urb62vy9XXh/LmS16pP8Ztr&#10;WJ3yet/e3ePCdK+7k28Tr8OpqcM6HtfFeztNTTt5PY/W89Ejh4u7d+9EfVpcln0kZbXipV+n8V6v&#10;o/XqddH7dVHH47p4b+Peb+NBayPm5onDcq9cHmvP1jsr/mAy/0/x7rr89pMM1PG4Lr6f3tXLOhh9&#10;s2ouNXP81L5itK5xfX7IYLS9bdOZ6K/jcV38TKwzf+fp7fuHRta+wGWxWfaQqrYhzYF9e0ueV6Xx&#10;sOltU6//1uq/jsd18V7PrdWz11Pn6km8Vp0y9/rGjebzrw8d2O+89r03+14G6nhcF68+427neOR1&#10;2bwuxWvp1m++8Xpx986dpn2xyobi9dy8nr1+eq9+6nhcF+9t2nttOuhtAq/Fat51aM8r8Vphcm09&#10;OK9dTq089Ku/jsd18f363l7u/u2/KXsP7t9X6tZVrKat03u8/fu3/Wdy29XxuC5+Jtedv/v09PnU&#10;Fr17144x+jbtknLbeT09beV9pLP1Xsfjunhvj862h9dnfX3Kfk1dffnll2Gu3qh+TRisdl7X16PL&#10;Wv/VUR2P6+K9zfuvzfu9zayufPfOR+PWple9n72nKt7DXI77QQbqeFwX3w/v6GUcrL544tjRMB/k&#10;o6hDt8JrdG2tR3dZGCxZmGntWcfjuviZVl/+vtPf3+N+TyP7X7937d3iTmB3Xbv4+sbpb7e6NvL4&#10;+jaq43FdvNdxfR17HXW2juz+fJwN1kr9Oq872wat1Lmn6Xyd1/G4Lt7bpPNt4nXavE51XgF2juF3&#10;WuS12e/J67d5/Xr99G791PG4Lt7btnfbdlDbxvK6Vf3a7dcup4PQH+p4XBc/CHXg79BffRleswad&#10;dnNe91fbeV+bXHvV8bgu3ut/cvXv9dd+/cFozbluldf7h/aOm5Ptdd9+3XudTW+d1fG4Lt7bb3rb&#10;b6bVPzZr8brhHx7HYcJVL/j5E98V7q7LbT/KQB2P6+L78Z29zP3dVzlbV/y1440pp2lnhSm9t31/&#10;t/1Mb786HtfFz/T68/ef+v5/+9bNYu2qlZHF6NrSodUWN66/X+rXCsMeIr+7U99mXuedqfM6HtfF&#10;ezt0ph28HluvR9Y0rnj5pex446W3L5ZsHtWvh0pd2+u69br2uuqtuqrjcV28t2dvtedMaI979+4W&#10;ixYuKHmd6tf2LEfVh+vXLqeShX5263hs46Wr9PP7etkHo9/Ofvih0h6Stqls2lZefb+nwWj3tK1n&#10;2rXlcdW723gr/1VpPcz7xFTJALzmWdivP//88zG2jrfefGOcPSQ9k2aqyunP8T7RSRmwPK7Kty6+&#10;6h4PcxntlgxIZ3jmqblxjz7tz0e44t67dq345JNPymvKcuzI4eLTJKxbZfR8Xf67JQN1PK6L71a5&#10;PF+X+WYywHjj8JXLcW8+XNKK15HhYc6fDWOPqHeSdM3y9ziXv16UgToeK159oRffwcs0s/oWsrh8&#10;6ZLiyuVLUcfW2nTJwSeffFycO3N6jE3kfFjDLq4rnbszS24Gob3F49y7KH7dmtXFyePHCn5rfv75&#10;Z2Vf4D6xXK4Ny+Xr4d5XJiMDnInOGhhkLl0LY8Mkk29ffKs4fvRIKauTebbf67I7XTIgHueer3jG&#10;dx6d9bNCLvrNubNnio8++rCyD6if5PL1cJf5ycgA++2J0/a8XckdYeSva8YlOadX15N5tt/rsjtd&#10;MiAe556v+E3r1xUvPv9cyWxxG3fek3ML6d/YDpWX+oZchbvr8j5RGZAssSYGnYHroT27x3GYMJ5B&#10;PH83b1wvNq5bU8rmRJ/v97nsTqcMiMe5Mij+2rtXC/7evTpcHD18KPYVWG25Lf2bflTF7dwzPNz7&#10;QDsyAH+Hr1wuFr/wfOSv7CKEkw8uurTNkzPDtCbShrvfZa+fZEA8zpVZ8WK1uC331InjxcrlLxtu&#10;z4r+hc89W86LVT/KPcPDvc+0IwOSJ3QF7oPXDx48GMNn2UqUFv1BfG/nWZ7WZbOXZEA8zpVJ8eIz&#10;+rX8uLpmDfChA/uKpYtfLB575OFgN3moePzRR4ptmzfFubC5/D3c+8NEZAAOz5n9SHH//v0ojx/c&#10;vh31auV16uSJ8gx1MVt8Vxp3Xfb6TQbE41y5FW8ZXeeH3fPnPRX1bPoItm3yp9+o7+Se5+Heh1qV&#10;AewbsrtpDbruHb5yedz8Pex16VpIpXfX5a4fZEA8zpVV8XWMTuPPnj5V8hpmM0fWWe19Iidn7YYj&#10;S/AauzT3pvp15PXImhnlrTU2unbX5bHfZEA8zpVb8SmPc9eyjxDPOXvLl74UbSP8dtW+ac5t7yc5&#10;eWslXPLDHGzm6XGPwnQ/e2C/duF8GU484+B2r1WlddflsV9kQDzOlVfxOT5XhYvZuPw9P/+ZcgxS&#10;z0n7l8Ld9b5TJwOSnRPHjhYXzd5O6X2aN6JwrjUOqTB3Xd76SQbE41yZFV/F5VbDsI08/ujDkdlL&#10;lywKc2FvlHpP7rke7v2oSgZgtXg9HGzU/IbTtXXxi9f4dY1OXpWvh7m89YMMiMe5siq+VTbn0rF/&#10;A3Zs/d0I6xdyz/Rw7zutyMBnn31WNNvXmjWQYjj5wXdsIq3k7WlcBntRBsTjXNkUn+NwO+HYssVr&#10;5mdrrKjq2bafVcU3C5vMvTZf5SOXOOu3ad0/Pf2bfa1zdZ/aPpzX09NGufbx8PbbQzzO1Z3i2+Fy&#10;VVrs2G+/9WaxZtWK0jYCu1nDsH3rlqgn8dtWf9hQ6Iuc48Qc7hUvLy2Wh/kAuOnf6hXLYxrSsQ4Z&#10;nYv9MxmLYp4X50eJs3J5X/lx5a+qh2ZxVek9rH05bLfO1Cb7h/Zk2y7l9Qe3bxXPPfN0Nn27ZfD0&#10;3W9nr+OxdSwe5+pF8VUMbidMY5DvXXs3jtFrDBJms7ZGa9lnP9xYHyk9XO5o/KhNRXGNPNiLapbJ&#10;R+kIwz8rfht2bNsS5xZqj8FmrBYT5FJH1p+rMw8fK2Odrg/bBtij7bV9Vspr4pAVm8b93W0rr9/O&#10;1q94nKtXxbfD5lbSXg779WzfsinOHbEstn7xGN7Oe/KJyFv08fTPrs1psHmU/+SnMOUnl/m47OPG&#10;HC/b563f1gvhuTibzv2dldG0Pm0bVDFZ6avinNfdbRvVvbvdqWfxOFe/im+Fwa2m0Tw/pYeXZ8+c&#10;KtiL5HRYR4x76uTx4s3XX4u6MHYN6ee6J+dydt9rr14oThw/GmwpewKPdxabN64vVi1fVix5cWHk&#10;vngtVzzntzK2lT2v7CpOhjIwX5xzpWzdiBVybZz7uyOjVfWq+qeNq+IJg9dKh8sf4yacZ5C7x8On&#10;rg29rtuva/E4V3eKz/Gxm+HYTiaSv72vivPEs8cg+2uiq4vbuFX6PX2c/d44T0r9P1dfHt6+DE6k&#10;ztQOB/cPZdkr/VppeY5dwz6R5/o9U9O+Xs/V9Swe5+pH8RPhZr/cczGMgx4I45prVi4vnnri8ZLf&#10;0rstz9HB4cBwYLfqzPLA+hWfc9tJm8tjpoczHp2rA/Fa8dR3utev4tyt5oPXS2/Vi3icaxfF9wt7&#10;Wy2n9G65ug/bC3udYJPBLsJeVZzTwJ6Dltv4Oadh9coVxb69e+I6O+aUP3hwv9TBxWNc61ddK8xe&#10;p2GKc7e633Du+ScfV9s3mH+d1tu61SuLWzdvjgtP0/l1dX17vUxvvYjHuXZQvHg2CK5ltPXr3RQm&#10;V+Gcf7Zx/driiccejexG/x61nzTmpjzz1Nw4hpmeAav6reKxDbN+3eNuvo8w/9P+1rF1ldqviSOM&#10;b7JN5/58/Xrd9FbdiMe5dlG8mDUIbsrhqndqloY4bCjHjx2Jc8dZByQ7yii/Hyqenjsnjl9i+2bs&#10;UnvIicnWlT/XDh4+2m9UV7jU65FDB8fwV/Gyh3Btw5zXo3XpctVfdSEe59pN8VVMG4QwOzbJ+8Di&#10;NCx9T5tGXOce2LFz+9Zxc1BGGT4rzF98tmCfIru2UyyRm2sLDx/tW6qr99+7VmzdtGEMr1VPVfYQ&#10;wpzXo/WounK3P+pEPM61l+JTZg3itdhb926W5/Ye+Yl/47VXo+0ktXnrGoavW7MqrL+8UsmaXHt4&#10;+Nh+xXkFzPlI6wWe64x0G+f2kLH1Z+vG/b1fN+Jxrq0UX8cwj2+cR2zrQfw+c/pk8crOHYXOmB9l&#10;dmMN5rNPPxnHNfcPDUU7i+Z8S4e0bWPDqvyE2XB776D47fsx1sh8y6p3q9Kvnde9z6SqtvSwRruJ&#10;x7n6ULzlkPvHszlXJ2K21clZH8T873TuNxxv2E5mxX0usI+rXSyjWgmrSq/7BsG170ed2XdSnOzX&#10;xCmMsQS3hzizrbz0k188zpVZ8TkeeXie3WI1dWT9qjPC2Gd25bKlYb5J1d4nDf17fZt2E7Ep16b9&#10;Hm7fDz/fuap3gtecm/7ll1+W8W6/dlZXyUq/hInHufIqXoxxN8/nVuoGRovdcrkPOzZz09i/iLXz&#10;zPnmjIfGnEH07ocK5gquDfsbMueYc1Xu3btX6o1qP8syhQ2Sm74f1+jXuDYO//CVy+POSIfh6dm8&#10;g1Q//i6D/T0Sj3PtrPhWWORpRlluWUy9yB6icFz9EW/DVY/MGdwT9j/BbqK1lrKXyAbO+g/mhbey&#10;32CujfstPOXyooULynPS7buI1zYM/frKpUulvm3j3D/YrBuE9hWPc++ieDHE3VEm19WFGGzTVYXZ&#10;ePnTdOwdfvTwwWJLmLvGvlXM9xbDYffcx2fHud7Hjx6J561hB7BtmuqfirPsaxamuF5w0zLbPUFs&#10;HHUgW7XeH4bzO6YX3sPL4N+HdmVAPM7dp3hxxN3Wed2NurIcP370cDJm2dg7vKGDPxRtK7l2Jdyy&#10;zfqb3dOLcZbXafksr4mLvA5nWaTp/NrZ2Q8yIB7nyqr4brDH8+wM+1mns2XjhmjHlZ1E7pNzHotx&#10;2mNDeqZt76owG9/r/ma8pm5s+dljkbOHbJj7ndX9IgPica68ine2doatk61H6de48itPxiyxmTDP&#10;m3PodSY97J4z+5HSXsK6eNrbcnpQ9Wv4LNnmHW+HM8HY21xh7jqr+0kGxONcmRUvJrjbG9ymHarG&#10;MNU+xDFeyR7f7E+VjlOyL2wre1L1A8eb6ddVc0Ganame6wce7lzvBRkQj3NlUbw44G7v8Lqdtti+&#10;dXOcp4yuLfs245XMLxG3+4HNVXJax2vey76b89rZWyVH/RAmHufKqvh22OBpO8P01N7RrF5bSYst&#10;F1atXbUynpspGzf8fvH5BcX+fXsLzlP74osvJmQvsEzMyVM3wpvx+kpiv6aMVevUu1Euz9O/C52W&#10;AfE4l6/im7HC4zrDZ1uP1taBvxUe2/tb8TP3j3OM07WV0VYSzs6UTKT6qbicuko/1a7ltcqkMlx6&#10;uzHeaN8hPUMsvUf3uuu87TUZEI9z5VJ8K/3f03SO25bP+O11p+qZPPkWsH80ayetrQSGb928sWQ2&#10;8iGuybUyUxVm47vpt7xOn1Nlvz5ozp2ZznKnZfVr/z7UyYB4nEun+E4xwvNpj+lWz+5k3ekboO8A&#10;c0vg9rYtm4sFz84r1+Iwr2RF2N+EfU60BqeKcQqTm5OnboQ347U9I1lla3bmYzfK53k6hzslA+Jx&#10;Lj/Fd5IVnld7zIaVjAl2qt6kV6f52W8D5w9L50bXRvdmLjdnA9i176nciIlpeKeuq/JvxmutPbf3&#10;ad8+wmx4p8ro+TifuyUD4nEuf8Wnfduv22PuZOrrtVcvFGvCGKH2Ap1MXrpX+rWucaVrK4zxyQNh&#10;DHL92tXleWdwm/26KctHH35YaS/JyVI3wuHt0sUvFvfu3h1TFj0L/ZrfBZbL+8P5yIqX6+x2xkoW&#10;etkVj3NlVLz6sLtTx2lb19grli9dEs+sseH4pRfLTeM7cc08izUrl4+ZE8h6nHNnTo9jn2RJjJSr&#10;8E67fENyed69c6ewa2ZIt2/P7nHpu13GXPk83L8T7ciAeJy7R/Gd6POeR/usT3XeZTA7rIFB97X1&#10;afXl9B6bbqJ+5flmmDfC/BEYqT/2D9SZOKkcdYODNk/82GvS5+qaczKZo6hrXDv/2uZl07jfOdqL&#10;MiAe58qm+In2c7+vfUY3qzP07P1De4KuuyKezc4axmbpOxUnXpMf3wrG7BYumB+Zzfzt556ZF/e9&#10;u3//frQ9dJuD5M/fgwf347r7nPwSPhT0aVse9g+33xfFyW2Wl8c5x6dTBsTjXBkU36l+7/m0x2/L&#10;ydTP/GnWmmOnkL5t03SyrslXecvl27F9y6ZSz4bb68NZOFaWus3A3Hm7tgwaX1QY+z0NB7u2rnG7&#10;XU77LPc78ycqA+Jx7n7Fd7Lve17tMZv6EiPxY6fmjzA4DTNfCLru6ZMnplzXpgzMX3nisdnlOvf3&#10;rl2LLJwKBtbxmjKk56Sz/3W/r8HP9VcPH+xvgXica2fFO2PbZ2w368zym+e8/tqrce70hjCXY9eO&#10;bQW695XLl6aM39gYZM/evnXLGN01J1uTDYfF7169WuwOZ8/n8iKN9sBWGq7tmKO+K3KVzt3BZl8/&#10;tq94nCu74rvJHs+7M98CzQ9Bf2RMkvnS6N7ovynfqfM0TPfb9rBh1m/TyK/z3pm3LXnqJgPJ+43w&#10;neI8tPQ56bXKg8t+ssy1UViztErjrrO7F2RAPM6VRfHqk+52hq1TUY+X3r4Y9sM+FPVt+L1x/dp4&#10;5szZ06eKty++NU73Fr/l5sqYiydfdGzs2NwLB+1fTsYmEi7Gspe19vMmH4WnfvuMn//80zjHxZbN&#10;3mfTut853UsyIB7nyqT4XN/18N7id8pSrqUX454KfGN8kn2enp//TNS/q+zepLV5Wb9tc5s/4axl&#10;h9npGF9OviYSLrbi7susfanLlzLWpfF4Z3WvyYB4nCuX4m0fdX9vMbpZe6TcJa0Ye+r4sWg3gduc&#10;3wvHGZurWvue8prrNIy8sTPYeSKWrTkZayc8zY+5etyv8FbzwnZj19G0e3+rz/F0zvxOyoB4nMtT&#10;8c2Y4HG9y28xVW6urZhngj2D88Re2bk92k62bFwfxjA3xTPZd+/aGccwSYOdJZfPtrCnH7ore3rA&#10;wG5w0OY7tOeVkteE37xxo6Xnbgq2IezeyH03ypjrTx7u/J6MDIjHuTwUn+ufHt4brM7xWLaQtJ1y&#10;4Wk6XTOGydglOjjjiZr3zb5QsqdQBp1jI17n5Goy4Zav+8LzbV7sR2Wvc37sNd202eSe6+HO68nI&#10;gHicy0Px6rfu9gafq9ohx2ybtl1O23vx8wz+mHMytPuVYtlLi6MdHHsKfuwM2EOYm3L61Mmwl9/n&#10;JT8tZ60f2au7tvKptNht0PdtHOvlmZNtw6r83GvniFSl8TBna6/JgHicK5fi037r173Fbc64On3y&#10;eGlTboXd7bah8hSz7f3sB4UOvnrFsnLdDHYR/hjbXL1ieYEuDF/5ZiBv4q5cG5bKI2nsH/EvLXoh&#10;2D+uj8mL9fDWLp3mo2v2FaFcXNvnK95dZ3UvyoB4nCub4m3fdH9vsZr2YB+RuY/PLth7lWurR1fx&#10;dbJtKHbzHP50Tb7Hjx2NdhNsJmI2Z/um545x1i+2cGSviplVYUqL7RldXnIrlnN9MdnfSWmsS3p+&#10;A2gvbxvnfmd1r8qAeJwrn+In27/9/u4zPu6THfaBQs+lvi2n8VuGT6Q9LJOVv9w0jnDWEVKm40cP&#10;Fzu3bytWLV8WbSfswwq/GwxH/55brAv7jhw6eCDunYfLHh/8Ybe4Ojxc3Lp5s7RzfHzvXpw/fWNE&#10;t0Z2xXZc1nXm5NmG870gXxvmfmd1L8uAeJwro+In0r/9nu4zOq1j+IaezfoYMbqKpel9za5T/Zm0&#10;Yr/ylqt80muF4zIXhXmD2I+lf4+6s0Y43jjTBlu4zrdRGs4oY9wTG9AHt2+N0c/h9fCVyy0xmPv5&#10;poj1uT7g4c7wXpEB8ThXHsXb/ub+qedwXZ1bPjLmxpxqzmJUuNy6fKrixeY0jjyrWE669B77fOtn&#10;3BL2onOP5XKD12J06lqOsx837P3oo8Z5N7Kx5GRa4Xzb0OG5dmY7kyUXveyKx7kyKj7tq37dW8y2&#10;DFTbMDd5ZTgrF26zz4bCrZty1cZNpf+dYMOAn/yxdxXrMPnjDGD22mYPq43r1xVrw7lojDMyp7DB&#10;+MaYJvzGvvLknMY8FXT427duFb/85S9LXTtl8p2PPirYp4rwNC7XHzzcuT6dMiAe58qg+Knsu/6s&#10;iX8LqrgN9+bPeyrOn2bPalu/VeltfOpvN316f+66Kt9WviXo58wLZ66HxjOfnjun2LxhXfxjH75P&#10;P/10jA5t2Vy1nj3XFzzcWT3dMiAe58qh+Fw/8/CJs7VbdQf7UtZhI8FejJ0EfiseV6yUmyuX7qlL&#10;l7u/KlxlrcpTcdxn463f5sneVthW5j7+WMlruM1axuvvv1fq2ZJ1uG3XRyrcXedyr8qAeJwrn+Jt&#10;v3B/7zE6bRMxTa7iX7twPo71MR+Dc88Z92Ov7GZrzHVvmpfCO+HavK2fvNPruudtCWscsaucDPuj&#10;7Ah7cW8O6+oJu3D+bPHxx/dK20eD17tLjlu9O9cfPNxZPp0yIB7nyqD4uj7i8b3D8Dqd2erJrCXn&#10;jAPWJzKfmfXkzMGzjLT+qWxn+x6tPpeycl7Chx/cLj788IOoV+/buzvq2+jZ6NusuRSbpV/n5N/D&#10;nc+9JAPica5Mim+1v3i66ee2+CqXNrH+tI3gInZt7Amwm7E87MHrgw5OGExP7xfz07zavSbfqryq&#10;wprlbcsHr5krAq/1t3f3rqhnw+y3gu4teWcsU353nc29LgPica6cim/WVzxu+hndyTaAfayXZO04&#10;PDuwb2/UWbEpbA9zTRp/m+I4H2N97MkX9/HbuCG6Df/6YuvmTaW9pe5sMsvbib6L8oDNzIeRji09&#10;e+f2rVG/tueHnQrfoneuXHFmhzmNOQZ4eO/UjXicaxPFT7QP+X39y3LxT65tS4WlLmkIQz/GRTdn&#10;7Q76Onv5Mc9O+dh06X1K046rsvB9eTXMq5ZuLZdna97I3bt3Ip9YL+P79PUOj3Ic8vBGG4nHufpQ&#10;fDv9xtP2J6PFO7m0o/xy1bZc669ZOqVHX0dXX79mddxb+8SxI5Hdyleu0k/GZf37/qE9DV6P2LHF&#10;bPH69q2b0Yb94YcfFosWLnDd0vXrvpAB8dh53Z+MnQzX0ntzNmOxlHj00fQ+XSudXMKtX+kuhz2e&#10;mHfHmsUtwYai8JybK1eaXs9iviJnLojRcrHJaMyR/fk05kg5fvGL0X1fc33Bw10Pn24ZcF47p8U9&#10;8Q43ZaTi0nDdm3Nz6QnHPtGYLz072sSrbCW5fNNwlY9weM25BeI0LvOvsbMztw/7uvodzOZsBeb/&#10;Kcxd53KvyoDz2nmdsq/Va8vIqnuaxds4OM268C2bNgb9d13QuRmr3Bh05B3xfDL2G2R/bT3D3mv9&#10;imc9O2vW4TTzXs6dPR31bdlCGIu0/ZE17zxP+rbi0muFu+s8ny4ZcF47r8W5XnAtf1lrzlwP9F/m&#10;h2O3YI44OjnzUmA8639Ubu5Fb2fPFOYkis/WPX3yZMll8fjG9etxL+zp6oP+XOd/qzLgvHZei3e9&#10;4lpmUyZdo4cz3wSGY9uA3XAZjr+wYH6chwLH2feJsxLg9Cb2EQn6Ov7337tWslr9Q8wmD51doDC5&#10;Suuuc3W6ZcB57bzuFU6n5RCn03Bd23jsz6fCeWhHg22Dc2PgL6zW+GJkd1grA8+Z74eN5O0wZ+XW&#10;zRvFl7/8ZbnHiBgtd7r7pz/fvxFWBpzXzmvxrx9cjV/iyk+5YbflN7xmTxRsKqxH3xps49YuYv0w&#10;HX2d84HpG85qZ6RlZC/5ndfO617gtGWtLU8aXnWtMLncz37YN4PurDkinEPzXrCHYFNhLQ22b/ZS&#10;FcdZ08O5NSteXlq8+brPFeklRnlZRr+fzuvB5rXVQS0Hrb+VNDZ9P/iXvLiwco1j5LdZQwPTGYNE&#10;v7bnA3O2I/tCVbEC/dt18FGGVNWRh3WnfpzXg81r2Mo6ETuPgjAxWm4/MLidMjblNftAjTD7rXCW&#10;OuORhw7sj3uDY0fhD/2c8cwHDx5UMtt51B0eeb02r1fn9WDzGhsBa8FXhzlw7LUnm0HqtsPCfkhb&#10;y+vAbFh94tjR4lZYm47ezRxs5nq/vGRxyew9r+wcx2vXrZszxZnbvfpxXg82r6U/v3PlcrHg2Xlx&#10;boTlLfFitw3vd39TXgfd+v2w3pExR+wh2nt1966d0b7NGhvO4UHP5ozIzz77rByHdFZ3j0XO+fq6&#10;dV4PLq9TDjPWxm98zgZTHK6Y3u+MtuVvyuugS6NHM+ao8Uhc7fVNPszzlm2EOSbO6XqWOG+7X0fO&#10;68HlteUXftjMWu2Vy16O++S9+cZr5drANG2/X9fxmr2w+X5ZXjNvhDPS9O6sk4TZjD3CIsts63dO&#10;dZ9TXseNOnZezxxei0O46Izo2jDLhg+Krl3Ha2whltX4sYMsfO7Zsj5YWwOvOafY8tpZ7Xyeru9H&#10;q7zmt6N+Q9v+7f7+5T3MRodkT2rNHxmUNm7G6xvX3y92bgtnPAZGxz8zv2/u47PLbxh6NWvbV69Y&#10;Nm7Mcbr6qz93Zn8rWuX17IdnRZuf+Dwo/VrvM9NctR/6NPZsxiKx2aoeFK/rfnOb8Zp33hPGFlNW&#10;c833C9s279uYjz3Lz5/xswx65nvdKq+Zj7pq+bI4NtXvfbnf2NON8sIs246c1Qif2PsOu0Aa340y&#10;dDPPZrzmbBnmXLPmsdSxR3RtzjlgHxLOLsMWgtyzf5/rtTNbr+2V9m+V18juY4/MiueBMDesm33N&#10;854eGwt7TLNuZO2qleGc3J1xPyTawnK9X9qmGa9h9O5dO4pLF98ax+s4//qlxUHWH468Xrp40Rjb&#10;Nf3W7dfO7unid6u81vlN6BuMv/RLv/Vyts9++MzcNs7IxW7A+sh+Y3Ydrxln3blta4GuLbsI+4uw&#10;NxQyjn7C39Vw/tl09U1/rn8XUhlolddwT3sNI8f8fnYWts/CXq4zy2T87FHKHJI5sx+N3E7Lnqa3&#10;8dhTuJZr4/Dbe9uJs2mr8lYY44asX0ztHfaa3xLMb7x543p0d2zdHNfQsEYGZttz012ndnam7JyO&#10;63Z4jc4lvWPRwuejnZN+16zv2f7l/v7kO7rogX1Dwea7IZ4JwL7SO7dvi2GclTj6d8z4j8dxuzfC&#10;WCbcR09V+yMvcNXKTSt+7rfpdJ2GEQ5vLZvxXw/zQoi7+NYbcf9r5JmzHNM9sjnLZln4Dcl72z4J&#10;s53bzm0rE1Ptb4fXyDr7mInZ7EFJmP8NZh2Ig9YVZ5lTAu+Yo7w96KXIRfRzPfLHXAv0c/6QGcYz&#10;8RNOeu5/7dULWfnRc6Uz6xpXYZI9xWG7OXWisTbxTNjP+uTxY8V+s29que/1yJkzkdUjfr5JO7Zu&#10;KZ575ulQ3lmxzBeDjp72SWe2MzuViam6bpfX9BPmfonZ7EWpPuPuYHBb7Ot0e3LOLfLC3AsYD7tl&#10;Y3vx+ediGPMzNJ9OnJesybX25UZYg602nr2sSzZzzgx/4VwCG4af/ZxY14hcR308zMVevvSlUr7Z&#10;J6uqLzqzndlVctHtsHZ5TV9+O4yr08/oN088Njv83m2sa+5WP+80Nzy/9r8rE2nbuntsPHbkUyeO&#10;BZ37YGDornhWekPPZdyvwWNxWi58Zj2L5bSun547p2RzPMMxsHnrpg3RDn8h8Jk5TtfDnk9itLWd&#10;7NyxrdgY2K68+B3Q7X7o+Tv/W5GBdnhN/9Lv0KE9u2M/ou9sXL+uDHcWts/CXqkztW075eEey93c&#10;vWkaK0u556Jny7YiuwtuaXsJOjrX8HT3zh3Rj40OzrOuHP3Z6tTybwn2D2wljDNqH2zL6/1B/2ft&#10;J3nr2zAc+E5/cr3audoKV7uVph1e277IWAx7TqKDoGOznjntkza9+/uX4/3Qdlb24Pf+oT2Rx1fD&#10;OGc8izeMi2L7QMcWx+E29u1yTl8Yk4TbR48civtis25o/ryno4zD/wcP7rue7Wsdp00Gbt+6VUyU&#10;1/RhmK0zlJirS5h0Jdt/+qG/exkH43uC3HH+OTZpqzOjT8Nqxh45t5H1jeI24bCZ9OyF/eqFc1GH&#10;RyY2hd+Osrf4OkfXrbulN+fy1e+5X4Sz6X7wvT+dFK/pG6wTa/xmnBXnclnuEe/cHgwO2nbtdf/2&#10;MMeD8wjEa3QI5lLHcwlG9nZC12AuCMzmD2ZLz341/FYkDtkd2vNKyWvO6VH/kZvrZx7ubJ+sDCBj&#10;krP169YV/+Cr/2hSvFa/ZWwfu8ialSt8rojPb5wWGbB6wZbAXrH6dtgjBDsIspraquEz54GJ2WdO&#10;n4z3YT9Zs6ohy+fOnB7RRx6K5xvQB9WHJtsf/X5nejMZkJyxNvG3f+t3S1ZjE8ndJ3uJ2Fzl8vsT&#10;HZs/5uUqje1DCnPX9e1uywDjhOI1dg50a12XzA56Nvo2zGb8EmbvDnMJSTccxhZZz045YbfsIYxD&#10;5vqJhzt7uyED7OkrBn/9a98o/blnKW2zPsbvRMk0+4w0S+txzutuyAC6gcZOtoR1mOIzvGWuoK7l&#10;6sxGrpmHIh2bOSMwHl5L35Bscx5vrp94uPO60zLAOdDf/Po3SzsIZxCIx7lnKb5ZH0OuGY+XXONv&#10;lt7jnNndkgHs0syfFpfPnjnVmLcXuKywUsceCYPR4jVrC8Rrysh6Sck1dnFrU8z1GQ93drcrA5Ir&#10;2UAYX/yz//ZnJZ+fnTcv6gricS5/xbfSv5jzJNmm36DvSEdp5X5P4xyfrAywdpL5eGIy80I0zogr&#10;vVouDMeveX7o2vCatZXIL9eS6cMHD7h+7fP5uiID4jUcvnf3bvHD73+vZPVP/ur/lM8UjyfLa2R7&#10;aPfoWDrriifb9/x+53e7MgBn0ZGlS8PryO6ReSEKF8+5xoaNfs16GvSMy29fLJYufjHK79bNrJlp&#10;rKNkv79cP/Fw16knIwPi9ZXLl4vvfue7kdX/7J/+i2JFOCPG5tsJXkuHRi9hH0vGHVmvrvB2+5yn&#10;d05PRAZYk4j8lUwOLC716xE9Wnp1dEcYfinwWfaQ98Me2MzdZm9s8tO5BU/OeSysl3ng9hDXr8fw&#10;07K0E/4ffO/7pV793Pz5Y54F0zvBa9u3GGvn9yPMZm8fZ7az18pHN/3oxxvWrh7H68jvVL8e4Tdx&#10;zOnjXmSXa+ZfM26utWDIM+OW6o/ShXTtruvWk5EBydP6Nasij5ln/bV/+fXi1s2bUeaIV/6T4XUV&#10;i9Gx+S2JjKNjI+ekq0rbzb7rec+s78SVS5fieTjYM6x+zRnC5bWYLTewmT2xy/l8Ye0X+ypsXLe2&#10;tFkjw1V7qqr/uOus7oQMvPD886Xu/OMf/ahgbkhVvpPhdY6J9BnO6IDZ2BNz6Tx8ZjG10+1tx7PZ&#10;14+1tiWbA4uxeZw7e7qx1twwukwTws6fPVPaQqJNJKxTX7RwQfx9iA3kvWvXKvtNVV/yMGd3nQxI&#10;V5ZLevaA/8e/+U8ir//8v/+PpvLWDV7Tj+A0vI6/Jc0aGvqs69rO6YmyG9nSvVaO2P+UdS5isezT&#10;rA2IY46B34qzY407to2uSZcNm33MmC/yeZhTVdf/PN4ZPRkZgNVaB4MdhD3iyc/y3ObfDV7Tn1gL&#10;Jl6zN73bRJzR4mynXc51x/4ceSw9esS9efNGnLdEP+B3H/a5s2F9L+fqsj8fe2Mjn6w7Z50uzGbv&#10;MtbGfPLJx9l+Y/uQ+53ZrcqA5fDWLVtKvZr15sePHinlzaazeXeL19ixGa/RXBH1UasTKcxdZ/lk&#10;ZGDFyy+Fse2GnVp6dXSNTs1cD8a/2WuVc3XhO2zevmXzmH2w0cWlZ/Ab0fYV9zuXJysD4vDdu3ci&#10;q7WH054wF5q8iVeaqmd1g9diMvs46GwQ+pP6pLU7KsxdZ/ZEZAB9Gb3gVtCj0a9TTisMOzXyCKd1&#10;3gy8fvX8+VE7Sbgfntt5ITfC2seqfuNhzu6JykC6Huan//evxnB6uniNjv3SotG5IvwenUif7Od7&#10;9O2qeoequKqwVu+tStcsrNVn2Txy9+TCW7nXpqnzp89ZH+bvIVec7cUZX6yVYf70yXC2GOsR94Qx&#10;SNmlceE1Z9GgR3OWAc+TPZu9/DibdOf2raWOjU4+0X7p981spqfc5fpU0Ft//1u/H8cW/3lYDyO9&#10;WrKS3qNwud3QrzUmJFf6yu5djX0tpV8rvq6P9lM8PNH7UW77jgqXq/dKGWSvm6W16aryqopXupyr&#10;e+Qqna5teWyY0jVzq+616ZWfDavyswfkkUMH45lfq5a/HHks+4bYHK9HziQgbFtYp8g8axitcUf0&#10;CbsXFGOT7POEzo5NBFvezu3bnNe+RmZCMmDZix+9+ve+9Xtx/ybsIIuDLisOt+p2mte2z8m/ecP6&#10;KPvoLvQRhVf1xUEL07vK5f2sv+59lRZX/lwe6Jaw5s3XG/s3r121Mu7jzBwIxtTYr2hvsJMxFszf&#10;oQP74hkTnHPb+Dse5xbFPMgn/L0V/miz3DPT8tsy2rhcOGkaZX4tuowFUhaVcUdYZ8h7LF28KM7n&#10;5+w5WIoOgH1ZnMbGwfghuvG+cLYodg3yeiOwHUajO0uPFq+1V4iuD4dvAPdRJljNc3xPvpmtI7fK&#10;UZsONovVctGrYTW8xV0S5Jn1sva+Vvyd5nXaR9Gp6I8aw9kQfr8SZtMNoh8+HQlzgnm3Zqxq9u7Y&#10;/E+FcwfZR5E1Hdhfl720OHIKVj31xONlvVK/zGsgnD+NG6jex7pjzxtXnBjV2C+jwavRuNFzyBWG&#10;a5+pZ+dcux8Y9+p5Df9o/jZczxoNmxWfic68N5yjzpg6OvJ7YR25uNvU1fyRYKtmb6h4Ds1IGGym&#10;PdDf9dzd4ayDVvqRp3GupzIgVkuvhrXYQj6+d6/keXpP3XWneS02yRWPGMNXn7Njj4ofFFfvzTdq&#10;wbPPRG5y/g4M4+xumCv2rl+zquQrv8OZ99vgRIOnLyyYX8brnkMH9se5ENQhenSu3sQbXNW7whrX&#10;jWc0uC5/g5nwujnvx8Yrf7l6Tura59al5fk2Dfo0a7CoI2vDGMdm8Ti4misS0yg8cJpr4tiTDJ1b&#10;6fgNQn1qTz6ef/jgQee120MmLAPp2OKSRYvKvMTzOkbb+E7z2vIDdumPMaFnn34y8uipJ+bEMSGb&#10;dlD84rXeB1tC/L0f+I2uLLvDqZPHw+/1k2UcOh3pVF+6HzfN08Y1ix8O42/ki13g4P6hYsumjWH8&#10;94VgS2BPLjguPv+smDP70WL50iXBvsB8ZOwnjT/O1uJsLGwS+tP1mhD28pJF4ZuyMH5X+ObU/XGv&#10;7ld+9pmsUcQWgl2C+mLMkHi+XYfCOTHMpx7H6BEGjwtPGJ3GM6/PhnHOAfUJx/WtuXTxYtm/bL9x&#10;v+vTzWQAFlsbCGOLsDq1gbTL7G7yOuWKPbuUfp7G+/XUzeljPjI6Pzqk1WPh1K4wxqa24FsxXfYr&#10;PZcy8N3DVs0aca6lE1velv4aTisdaxjlx+V7xnvze6jB61lhjeNnzmvXrytlwLLW+uG4XbcIYycy&#10;tlj1PZhKXqNja64I/QH7obhA3xQbcBXubncYLhaix6ITN5jdsEGgd2O/Yh9oW/9qF7WTjeu0X/JA&#10;vior/gP7hsIYYON8xshsq1tbTlu/TTPiZ9/UaA/hOqRlb2vO5T139kypW8Pzqj7jYa5bSwZSThOe&#10;svoH3/vTgvNidM9k3KnkNf2NOVOrwznqjd/jP4u6DPNl1d/FBF272x1ep/V6/tyZoF9uiOyW7Zjx&#10;zG1h/R/2FKWf6vbheekzWZPIWK7VjaM/cPdCkKV3gi4+Li5hNvZ/7NRKxxl2jDfyzny7Vry8tPjs&#10;M9etJ8OWQb+3itXpGnPNr65KO5H6mUpe0++kK20we1bSR/h9DhOsXiVGuNtdZouJqnvmNst+K1e2&#10;3alqC8qi8uiZXOPHNsK5BNi3Sx3b6NOnT46EmzBxWS66s7Wp8BsDWwvvyx6q6l9yJ9K3/J7B1sNT&#10;2WDsRfvsMb96zyuja8w7JQtTzWvpSpxjiu4mfYaxf/Q7zfVVH3W3u6ymftUmtq6xXTFvG/uVxibh&#10;GPvgMYZp006V35YT3Zjy8GwxWPOrWbtYhiV6tcI11sj4Jbr2nNmPlKy+GuZr07/S/tipPuf5DBbH&#10;kRO7f/V//c//pWR1p+Voqnld1bc1vsPvUPjAd6oqnYd1lt2Wf83qljmIfE+la9vfQ83u63Yc4x/M&#10;b4wMDrq0dG324mNujNicuqxd3793T4xn/dDaMGcFGxD89z1UB4ulU/FtZA0CHEWntvtXw/FOf/On&#10;kte5/ot93o5DwgXWqeXSe3hnud1KfaY2EtoLHVf3tsp+pe+Ey7mL2JxLHo/YP94NOjfjqGV4omPz&#10;24G16XvC/gisu1m5bGmcz3jh/NmO96+p4IU/Y/q+MT8JezWJobjav7pbbaJn5fJXfCf6V7M8sIOw&#10;XsFy+/n5z0abCesjcvfCielgRa48/Rxu65H20Jxw2ajeDmPFzMlEv+ab+twzT0dm2/um6v31zPVr&#10;Rs5rNPo1dhHm/o3jdQjH1sFZuqxfJw3rkDaENbcb1q4pWW11IuvP9REPnz5eTlXdS1eWPPA77H//&#10;+H+VrP7hD35YoD90uzzice45ip+qfohdm9/f8EBzzGA4v3013qSyaExK1+52Tu9GB8U+wBxt2oJ1&#10;8OfCXDfqGL260TaN9TbMsSMchqZt1O022bVjW1xnFNk8ol/jJ1y8xk5CuaRPM1dR+0LdDufkHQzr&#10;cPjL9QEPH3wet9LGYjVy/sPvf69k9Xe+/e3Ks3FbybPdNOJx7j7Fd7vfSV/Sc7Bhwwn7h52IfYyV&#10;Bje9z8a5v31+wzVxl9874u9QsPPy3WQeBesw+X7atmGepu7tZr2rPHoG5zZqXbn4jMsYIvNE8fPt&#10;wb4mRrOOE7v3p59+GnVq5opgH8n1AQ93XiMD8Jozy7/59W+WrIbbnD0gGRHTdd1pVzzO5at49Y9u&#10;uGKuXD0jciGc0cSeEVo7zbjX8qUvxb3l9Ds9vU/3u9s+r22dsSada9Uv9Y1uzRwR1ohjQxCz165e&#10;WaazeXTTT7mw2bDPQZwbYvRr9ircFn6nce4XnMb2AZePHz0c5wFaeYffw2F8stt9zT7T/f33DcAu&#10;++/+7R+XrP7pT346Znwa+em2DInHOflRfLf6nfQlMaHqOcShz6Ffiw+46HvsoYT+VHWfh02c13CQ&#10;vZ+pQ+pf7SMX2wj74/JHW/Adnap2UBnUvszF5lsi/ZqxRhiNfV2sPnLoQHH//hdRD9J8Pck89hHO&#10;OtB1t/ucnuNu/zA7HVeERWn7TYXciMfps3WtePWN6XbZW5R9guijYjfrHAjDhoJO3k4Z077fzr2D&#10;mFb1gb2A/bGbvSO6NvvA0A78/sHG3Sx9XZye3Wo60vO3IszvGAp7XqNLM36ILg2n2SOKtZkfhL2v&#10;f/Xll1H3uXvnTrTbSL5xKT/78ExFf7PPdX/v8Lqq7QnD1vGjv/zLUqf+D//+T7o+B6SZXIjHuTSK&#10;r+tDUxWvPo0ut2bl8hFW/GyE3Y19QQlnn/qpKtOgPYc6xkYA61p5N9Y+6tupMclW7rNp1K4K0zUu&#10;e33oWvFy161eFZ49K5xn8GKpS2MHGQ76Mt8c+pzti4yNpnukUXabJtcXPLx3+Nqptqhqd4XdCmPR&#10;X//aN0pWY6u+fSt8+4NMder57eYjHufuU7z6Ry+52FKYQ4Ne19DxxG1sJbPjPJOqtXj0ff5ki+ml&#10;d5rusoiL2JoYQ2y1PI898nCcM8LcnlbvqUqn51fFKQzbNHYw9oDVd4J5LOjUnF/w808/jf0Jf7q/&#10;nt3DiX736SefRLtJTv49fPAYrTa13LV+4rlm7Yv4B6vZyzpNp7ymylV5cs9TvPpKL7nq27isueH3&#10;O+f5wRrL74XPzY97ZR4+uD+eb6V3sPcrzN2rxelTJ4plQb+mLlRHdfWC7QGbCHpuXdo0nmfY51i/&#10;0rLGnP1OGWvW2nHaGLvYujAHm7gvvmjYp9Wnhq9cLu7c+ajsY7CZdT/EK83dEM9viZz8e/jg8rqq&#10;bfnttSGMpf/ge98vWf3Y7NlRPiQzVn6q8uhmmHice4bi1W962bW/m+0Z1425JQ1bCfOG9Vsf/bqK&#10;Db38jlNRtlb3CKHu9BuFeX7wEz13MmVM24N989JxZp7DmAW6MgxGdpk/bfsTYTeuXy9u3Lhe9jX0&#10;bfhNnNK+d+1aOPfR903N9f9BDVf7p+7sRx6JnGZtOXs3MVc0rQPdk4ZPxbV4nHuW4ifTB7t1r1ih&#10;/Onrtr9j42ZeCes+6OP8aV4g3IYtjFGm+zwrv5nqYv9v591pB86YmSyvxX/ajXYZPR9t7Dx8zuBN&#10;9/k4GOzSVTI8/E5j7ybiyNOmod8R72tlZpYObWXA+tevWVXurwf3nn5y7hh5Ie10sprni8e23Nav&#10;+Hb6by+lhQHM9WLsjLXUq1csL9dTi+HMRWPPKeaY7N29K6Zt1XZrvw/402vqwoY1qxulk6u0XKdh&#10;ipusa/NlThu6NedxtZsv9hDqU/YQlVlus/xon5PHj8W9QLB32Lk/jz0yK35X94a2g+PYo22fkZ/5&#10;IZJbhXF9Naw/5/qLX/wi7pmtNLiEX3zzzWD/OTkmT5vG/f3NcisL+HUtP+6FC+fH2D+whWwPOsGD&#10;B/dLmeoVORCPc+VRfLP+1qtxsEI2D7niE3snYxcRs5ljMOpv6HPod/weErvFHuXV7L1J0yy+Ks7m&#10;r3iVV67CO+XacqJXY9fQs+TmnmXjNWZQNd6oZ9j05Al/sWmo3u0ad8LWB33nWqjHVDZtn1NcTke+&#10;Ojwc+2i0jQT7iNLL5XwD9kDQtbv9zedc+0lmbDxhjHt9w6xX/PGPfhRloSq9vXe6/OJx7vmKz/XZ&#10;Xg9PGZGWF2Zg67Y20pQb6N/YTmDR66F9q/IkTFziGeh1uFVpbRm4R2ms36bppl/PZo0J3yfm27Rb&#10;Ds6aEHNPnzxZ+96ngi7NGpXReh57Fjr7blt7B30n138Ubu3XVpbhNNe0sw3XfSdCWW6O2LhtvPsH&#10;j9tqc9oW/9kzp0v7ApxjDghz+NT2Nr3CptsVj3PlUHw3mdHtvMUkuXpees08McakWIfNGd6yn2Lz&#10;brCloYOjS7J2bnlgDuuyd4d9OZnri87OnhVas6P85eq5rbr2Putv9f5cOuUll/KuWrFsQmdF8NuD&#10;etLcEOXJs/ETT53C4KVhbY3Op9A4AnW5Ouj1zNtg7C89g0t9Btf+pfLKuCRhaRrdj61HfuseOnig&#10;p/tn+p5+PbnvCG3PHOolixcVv/1bvxt5/Yd/8K+KbVu3Vp6xKFnplXoXj3PlUXyu7/dyOLxIdUWF&#10;tVNuWIw+iA5uuT3KcewnY3VE9E3Fy7YrHTTnMp9YejxjY68Fu5otJ+9irzvhpz7ifJkzY9fGtPIs&#10;7M76pvEb5FL43uk++Mu76F1tvRFGfbLHUjo/mv7RSh9RGrlWv1aYZJrrdK9Lpdln7N5K7+7kmNjL&#10;9cceIHYNDH76US+X2ZZNPLZh1q/4TrBhOvKAR514rvKh36NHw3D212CMcmn4VqNvN+ahjLeDS5cU&#10;u9px0UfZB5x1fAfC3lec4633UZl0PVEXlmLD5X7liSu/8rXX6M3M0da7vLhwQRirXBfY/1J5DqLe&#10;m/nSK8O8+H3hTBf2c793715LTJYcwlbxVWGpm7NfK11qo1Z+nDOjNO4OLqexcyxZtKj4nRGdGq79&#10;v7/+62h3kyyo/dNrhfeCKx7nyqJ49Vl36/dQwlbKfp78wXbWR7PvCX6FKX7UPRnnHm7ZuD7qpQ1d&#10;XnYYzUVsrN9kPSf2ZvFVOq2u7Tx0216WtzaccUblZ8Ot397L3klVvyfEbvjP32psLFcadgj1Abk5&#10;eZtoeB2vU/u1nmP1coW525/czskWc8PgGHOqcdkPFRtdmj697kU5EI9zZVO87bvub85s+Gn5Zv22&#10;7my49SsN43isu2YPvIY9Yew8ZLgtW7nuwVVecm1clR+WYbNh7X6ze4inPNg+LJvTuTXbNm+KY3jI&#10;f1UfUJjcnOy1Ey5ep3nq+sqlxhwQXSvv3H2Kd7c/2a12Yw35d//Nd8pxxT/6wz+KezilcqD0ve6K&#10;x7lyKr6qn8/0sCq22TDrV121Gqb0uPCf/as4Gxa7AnujNGzjDX7Pn/dUtJewHp898+Av99lnVflt&#10;GLZyzkLcuI697dbH8UHOK2DsFZvPqO1+VOf//+yd+dtUxbXv959y7zXnJhpzEofkRDHnKAaV3BON&#10;A8Zo1Dii8TiDE05g4oSKqCjihKiJgCI44QSoOM8axTEqoqImDhhz9Ojj89z9qebb7+p6q3r3228P&#10;u7vrh35W1ap51apv1141UQ/WELELcc8TZwntPXehMSGeaEzvRsoX7pLOz/sf+RlI1jLFh8qNPUTu&#10;kZaZ4pcHy9WHtm+vuuLK6vkX9uxNnjS5Zn+oTRPSmzL2r/A4VjeFW/xI7vD82tolkBG46fNGIjuL&#10;p0onHvYLbOaa59bSyton82DW/OyP+bHD4dxGw/5EbCEKt3saa/OrrJ1qHn3NlXMcPtvzBNL9mB61&#10;m1/PrsG6KPeE+HWgztjUu113v17J3/z/AH3Jnurdd9u1Oqcev8P44F1NxO21vhcex3RE4cKLRIew&#10;Wtgpmfh+7p7iPmaFF1Fhu6iN7+dNGP8H7CMBP318Fbb6/CG7Su1+Fsv305AX++4W37zQ7Sv3dSWk&#10;8/XGQii+n+dI/dyTGkpDWWC57lD162X384XSJ17z2NkN2bGn2u7/2HSTzdy3qepidc+6FV52KjyO&#10;1VPhFjuSO47ZVjbgKWfgb8n3cmNnDmGujT8aN7Zl3jLENrEkf+8bG8ZN82905xU5s8gPGzVnvTnj&#10;PRyTh9Y0L7vkovzOu5uylTkGYl/hjOC3+X3/0hGr53KLKg60UZ5N06zbt2vYsjmrbv0qg3cMnkzv&#10;Nlb7VXIpA/X7y/dTR8tj39H0c8/NNvnRptV59RnTprl5tW2PTWP5veIWHsfqq/DRYMmgpfVxGcwD&#10;H9kf4oeFZBOKAy8077bpbTrFZc2SO6/sXmhhNXPqyrx6upujsx+a84BWp2PumL50i2/ve6LOtt7M&#10;va1fdVz91pvu/0j+RMs5lw71HX0l/pJ8zUU4BeW9cmwi/difamesbQq3uJDcQ/NrXxYWM20YmA1m&#10;srdIcURtvJA7FE88Ueby/B+sWHavm1/rLCG2DOEylHtIeT+LPRxP5/Hfyc/N2zui7Tiwbo0N6Ynv&#10;F79b9OGVFXsI9dJP9dddUKqzKGd6kJvqLL78iXYXv9WPoupPKPYtziQecfgR2Xc2+K7D68033Ty7&#10;6oor3DlFm6af+lF4HGuTwkM4knhx3JZshKf4wQbuv8Nt+X5czY1j8Wx8xdWcGVqZMw/ZN2wY5wqx&#10;eTPnZE8I79PZcRDTg7LzVyy7rwanbX21d8TiMW7kwP+V4tpw8RLtPmarD2z/HJ/fyyRsgvIeLnv3&#10;FLdfqdoca5/ChRGJNo7RPiaDrbfmtmVhrMJFQ7Ilrg3HDs68kL0d7L8O7bOrxeyQrXo4jzPp4Bo2&#10;Ars25+uFHTN+WDf9j5p7QGw92BeCzEL1ps2ffjJ834hNn9zdxWtf/swvDtx/vypWcwbG3qkX6mc/&#10;j172C49jbVB4CEsSL47dFmOtnDjrqDBwhHXCt/Oz4OIpLue9wSD2P9+Z3znKuUfm5tzvyv3Uzz5d&#10;uVuKeKQhDmuM/Bat/1XcC9bzFlTXHjk3z0/rjv58nPPj2G6W5jaT53L7DXNQ3tpiLGg8iMb0ptN8&#10;1g39t2OoA3jNf1CovuyrWbeuMiezbet03VN5xf8JnCdfsnhxNu7n2zms3mjDjbNJx07KVuRnEuye&#10;/36XpfA41k6FC0cSjWO0ZGOx17oJd3f/5Xue2afBfg1wkb1y7INmbfDJxx91c2bmzdzzqvtNlXcr&#10;KXXjPDx7uZfk+0Hs/muL4czXZ100082/hYm+voTw0I/TTj/rA+CyX8aHH3wQvS+VdhG/23X36zxo&#10;/iL5818sHBLlTsxBkxPtVftjbVd4K3Gi3/OSDQM8lO1DbWavHd/hzKvF03vfYDj33YGhCusEtXXE&#10;xs4cXvfuVWzftfYT7g8J6Ys/7vD7vFC6VvC4d+2FfO+tnxffBn4dVC/WYhUm6qdP/uK5bytkFJI/&#10;PO7dYR0RHML2wTlF5hetKLMX8xAex+qu8E7gRj+Xgd2C/dCsi6md/tybO5r5xcLFHy215cbclPFa&#10;bq/Rnm69pyvbOPYU1ix1btCON+tGr3x/TNdGw+cdxgfvr7wJpvKgwmvLo5zVuZx5uwy+wkZTfkrb&#10;OlynP7B9jN9+fHU+OXabsdnU06fl8593HVbbfhuk/hMex/RN4aPFiEFK78+rwWpsHuyDlhzsnNaP&#10;bzFU8dtB/XKLysA2wzrnTO++J85wao3S6lEnxxH/G3y3UL4tl7M+qpP4UNYOFF/hibYOc5uV5btr&#10;1tScJQd/jjnqqGofKl/bl+INAhUex9qq8KKxnMLjdm3uUGJvtGQETvqYLL+o4rabFpUXCuf/h71w&#10;cy6b5c4BYevGFo9NQms/jCeNqZhutZLPuwfM+cnTlqv91ZZHHPbC8H3gx29lnVJejeM/58gvmnlR&#10;9X7qH2z8Q3c/04pllfVEyVJ6JSr+oFDhcay9Cm83bvRb/po/Y4u+6847nB1bvFBbCQtho41bFG7j&#10;NuImv3p52jDrVt7co8Q6acXGXdn3zXmczz79dNh8KKZfreRTD/89MewhlOHjNf832pfdyjqkvBrH&#10;aMnqnLPOrNo9wBvu/wC/Q/2mNINKhcex9iucMcqYjeFKaDxrXA8ilTxYt+NMYz/LgG8H7D3CbdZU&#10;Y/rUTj57bbD/qwwwWngtHhQ+tpDVJq4NT+6RY24zMmOMHHPkETVYvdOOOw3EuZdm5EUa4XEsvcKF&#10;N8Ih/HKLKk6iFdkgF+2P7neZsBeR9bvKeuS5Gdj58d//5rDRn9vKLxrTvZHyb8/3p/8lv4ebdMpb&#10;eC2/8gSvwXafr/BER4/Zki3Uupm/HD/5uCr2cJ780ImHZAvmz3f74RU39cHwPhAex2SjcO0RZn+N&#10;fesv9I2f8LvyxkC/Y3Sofdh/tB4JZsf0qh1jEvsGP5u38NqvBzZ3/94UP07yD8eLkcrE9gVpzz7z&#10;j9V3ufQ+l9YRlLefRvxEG59f61u3Mn86x31Psg8SbPbxOYThobGdePE1yl6WDecwNc9emp+79MdZ&#10;u8ZjaM8HeE15fpnUT/Xyw8RPtHm8tjLFzTzPniNnHnjMUUc67JCciWfTiZ/oUD9o/hyTicJvzteV&#10;as9QVNaXmEvdMO9at1+A+4N6GWfaVXf//6xd5XQzX9tGvr+E2ZxJmZe/nc6bXO0ej9xnzZs7VpeF&#10;15aHm/fUoAkfhrDAl9Fo/Mj1qy+/dOfFD8ltHcIRzpEfcvDE7NH8DpxQ/qk/6veH5BiSHTw//Mu8&#10;DzSPYSwOzbsrbvYL2PN5gzrXFn5B5e4mnrajbLUr1EZ4ty1ZXNUP3lFo51hU3po3y6/9fFa/2att&#10;bTWKa+Mkd33cKJIPNg77zgs4wrvkvu2jKJ8UXtsPPh778qkXvvb99928mj1c/n0Td+d72OphxKDi&#10;eD2Z9EuYcJw743X/Njri77Xzda0VfubX//j88+p/Q8h+zX5DnZUBqxNe12JCvX6oJyvCuNOU94k2&#10;/N733VxPNmruptF9p/XyqFd2Chs+f/ZlUg+vFffL//7v7LVXX8luz9/V5m43sJsfY+f2fI718qoX&#10;HXZrHPcLLqV2FNvfn37yCTd+0QfeUBCWasyKSpdGQ8mLNzP//re/Vb+1rT2EcH46Cyn/aMocpLTI&#10;S+313bzHdfqpp1VxGtzgPDlnyF/O78rx09n0Cku0+H+zCI+Lwq3O42YOxRo9uC1bCXtLeF8v4Vsx&#10;vvWDjPhftt9P7PWr6ML0jPcS2jFWlSe6Z+fUut/EYgE87g63vOSOY4VkG5PRySedOGzPx6WXXOzk&#10;a9NaN3n5/lj+iT/UN0V4HAtH1pJ3iP4933uLzfLKy2dXcZt1yScffyzjXFw/4FJqQ/z/x/+WWrRw&#10;QfW7Cyxvx3hFD7mjj/WV2Bgnzpp33smW33uP01/8+sXSJP4QXiAL1hGX5vZO1g25O+9//68NnO3j&#10;t3v+1t3TxB0gxEOuvuxCPD9O8tfK28ojhseKUxSueOoHUcu/566lVTsm9kzm29xXnPAujnf9IBth&#10;NvjMGUh9bz2e7+2SfrSKSu+YC6Bb8ofyZ/5t173qxQ2lH0QeMgKnsUP764jcncd+PSuXejJVmKhN&#10;l9xxrEY2RXhcFB6Sr98PX3/9tbORaLyC2dzNw3dyP+BSakPx/w77NNT/t9+6uGZsh3SoWR77l/y3&#10;wXx95M4+7CbNljGI6T5fty476IADqnghXDjogP3zMbym7v/jIMqrXW2W3GP5F4XH0vl8xsx7772b&#10;r0kudm90a+xee/WV2SMPrUy4nZ/vLyvua54sWlRPG8+6sRnT73Yvna8nzfrRL+HyQysr9+7F8mJ+&#10;PUh4LblYeViedds44DD349n90+DB2K3HZhdfdLFbo7Dxk7v+3LgV8inC46LwkdRBesGa5II//8nZ&#10;SITbnMXB7hjCAjvmQ+GJ1zmst+uI6hd4uOWnP6xb/cM92fS3f6ZlJDoUiyvdIvzhhNc13w6SjaiV&#10;YYhH+Mx8vwBjX/vxoNzFRF/6aXy/zT+5W4vhRXhcFN5sf3BfMXtgtfcPG4nD7Hzvjx3r1q1xn2jn&#10;8Fmyph+Ey/AsbisOtF5/3XLTgrbhtdXDhx68vwavbBjuQZtf2/aHsFW8r776yr3jucN22w2ze5x2&#10;yslu/7Ti+nmG+DZOcrcGt4vwuCi82X5Q/376ySduH4n2/3G+/fpr5zobpMWB5O48RkvmwmDus+Nu&#10;Nd46ZV89Z6L4MW/mx9szd9526xA/93P393333JV/V9+brzPPcP/PvNsuvZEeyD8aSl78eD++Xj6D&#10;hteSseSDbKz7+eeey6ZNnZZtu822VZzeKD/vwv4P3hDgrbV68rT514uXwkaP2UV4XBQ+0j6QnqiP&#10;SY+bdSLsmrKPMO9mvq2z7cIMYUiincVv9lywr4dvIvtWDv2gebftI/ZpvPSXF9w+DM6wXHrxTIfV&#10;9O+LOV/9PlL9qRdfOqW9H/L7aQYNryVrKw/cSxbdlP16wm5VjNZYZw2Rt4L8+NbvyzT5R4/FjchQ&#10;fRSLWxQeSxfih/rb8rCRMJZZk9R8m/HNW6/cBcgeg0Zx2mJHo2l6IZ7aJerXOcb34/l+7mhi/YDf&#10;M0894fbJM099YMWy7O6ld+R3W89zb7q/kb8FBnY/9cTj68PuzO64bUm28MY/u+8i9v2A6/zf6r8X&#10;in/eNVdnT+XnHb/99tsaLAjpykh5Vo9WPrCibv79gNe2vb6sYmGffPxxdne+t3bq6VOzrf996ypO&#10;c//0b/fcK5t7zTXZRx99WHcu7ZeV/J3Bacm5CI+LwpXPaKmvY8zZuHOiMtbPrY59xqLFpJA7Zlv1&#10;Mapf/VYmaiO8V/O1Ac4ryXbB+wJXzamcZ7L4yt11Fmt1B0iFN309Ftfe9VWbvnIXAXPxFbnthL0Y&#10;3J03Wh1pNP2DK5bXLQu81hycPH3da7ScbsYrqrMN594O9k1ztkXjWZT5NXPpbrYlld045qvfYjIr&#10;Co+la5SPXlndsumwkTCu7FwbzOAOwLfyuTYYJGy2GGXdwqtepbaNakOIZ8OY/2KzwJ4MZmJn0hsC&#10;FoeHMNZir4/Vw/3MoTlXvvjmhQ6L2Y/Jf8Hqt97MPli7Njj2Y31s+3s0bpu/v//azxe8ps5KI+rH&#10;6wW/6i7q13nZvXe7ezy0z0Pjmb0eFqdj6f38kr9xbG2HrNR/sbyLwmPpRsqXvoja9HyjrVh2n8Md&#10;4c2lF1/k7CaP5ffo6r0bMKuXsdrWHbf8otiDwOLHH33Yramxlrco33MxP8fOa66c484gXXi+5r8V&#10;G8QQJldwl7kzeMueuuvnzXX7KrE/3b30TrfGC9axpohdivVF1pq4W4A7N+zb5/SP31eN+G0c67b9&#10;3ayb/Pg9kreBusby+ejDD91/jW1Dq+sSK7sVfLXTUvKlzdy7tGTx4uyw3x+WbZ7fX6rxC93/d/tn&#10;1193netfK59eansr5NfLeag/Y20oCo+lGwlf+iJq04on+pcXnqt+qwuLwJ9nn366atvW+pfmnL1C&#10;9a2g+nIfKXNkvidoo/6r1G6fKlyUebXmwLwlwfxXckTGcotaudtw6yauH9/32/g2T8UTjcWzaZpx&#10;81/Demcsre7ni4X3At/KkPpyHnzPPfaowWeN3eOOPaZmLx5p/fS+vxdkMIh1VJ/G2l4UHkvXSr7V&#10;Jdyfffbp+rl27Xc8Nrrn8rmhj3vCvzJT5tDMnx/K1/iwYdAW4W6MCq8Jv3nBjc42AS7zLiHyl9yg&#10;1t1s3yiPZtPbdLZOlj8at+qnb4NYXuC1f0+g0sbSlJHPuu3SO27PQvulGbfsmQbHY22L8cvY1lSn&#10;ih2mCI+LwlspR6s/MbfK++abrx2+YYe85sorarCNfYD33HWnsx204y5A2SeaxX/eTH/m6SedjWfJ&#10;LTe7fRPsqQjhMmuu2C54j+2ufGwy/irzx9xOkd/zbL9rJZtGqOQratOEeDa8yD3a9EX5F4VjS+ee&#10;vli8f/7zn9kVsy+t/qd1o77NlOnsHXnb7sptV0cfdXS21ZitaubT47Yd5+6bXrhgfsZbIrH2U3Yz&#10;5cfyS/zO2bSL8LgovNN9FdOzF55/zr0TOBzzpmf35nuYwFbZSYS3PhX+ii9/jBbFI5wf5WJXZO5c&#10;2Y9Ra2Ou1LnyrQA+cw6QPRV/W7+nItbmTsu+V8pjPbHofhBkbttTdhkvv+8et26o8SjKe4jMowlX&#10;G0Rt+5K7c5jaTlmr32NlFIXH0rWL7+ui7+d8jfYBWuxm/ood+OXcJizctnYTYauwORRHYSEqXIba&#10;cNYHdc8R9RmyYQxhNmuFfCewvsddhlZ2ap+oDUvuoTFo5aP9H/XkQ1+QxqarF79TYX59rs51w7+/&#10;VGOS98VZG7Z1U3pRG5bcQ/rSq7JQ38fqXxQeS9cuvvRQlHJw64ef78Y3Xn8tW56fgeYNqpkXVN66&#10;ASvZP4F9gX0VzEnYa8G+Joux9dw+HhPX8vgOJ1/sHHMum2XwuYLV7MngfDZ3QGOv5t1w2wa5ofZn&#10;22f5yV2Rk+QDZf8H3yj1ZMNaLP+PxCGNpfXSjTbM1lPlquxPPvnYvSd++ezLs3333idj7qzxB/1/&#10;43/hzrosmD9/2Hqq8lVeNu/R1jmlrx2L3ZSH9CFWh6LwWLp28kO66POs/v7jH587DMVmqTk32F2Z&#10;6w6tWTKG78r3YzBHx74iLLZ47GM5cZfne1w5g6m8RTWX5lwK5wbZT+7LJVRvP07yj2y8hNYTfRmy&#10;pksfi+/3g/jtoiqPNwD4b2euzBu1/j5p9uRNP/vMjL1CSgO1br+OCvP5yT8yPSqjvIrwuCi8022S&#10;Lvq00XqwRsd6Hfu5udOVubY9z4dbOAvucu8Fe+n8H29A23hyc7YH3Oc+JPDAvv1KHVVvW1/Lwy2/&#10;T22a5I6PPeF1TEbIFfv2A+vPQUrOsfit4lMOZwmez7/BLp01q/Ke1mY/qZlDcwZx990mZDMumJE9&#10;nNvIvvjii+B/CnnVq3e9sFa1J+UT18F2yaYIj4vC21WvTuQrnebNbrAVOwZYq/lxERVGg/lLb7/V&#10;7UmQfaMT9U9lhMcL3zGsYdSTz+q33nR7+mJxpBuh8EbC/Djs6/n9xINrsFljizk158I5ixgqL/HC&#10;/TyIcpHOxNpeFB5LV3a+xpOo6ouf34cfrHX2TeZhsR9jPrTXWXkl2tlxpr6E8l9bT/70Hf+zxFE6&#10;310vfShM+Yhybwf3/tv1QmvvwP2Haae79Q+bn9JbXnJ3VpfKKu8iPC4KL2u7RlMvxot+9fLRuGok&#10;br18Utjox6L6QrIswmvicafK//zPV8NwPdSflueXhX/dus+yJ/M7C+dcPsedBR+z5Zhhc+lttt4m&#10;O+LwI7IZM2Zmjz3ySM16hs2fuvllqF2Jjl5XelmGRXhcFN6rbQ+NB5/n+0NttXGsOxQ38To31rBV&#10;FcmbM47Yum08+lD9KKpwhVk+68x77D5hGDZr3IDbnFW1dyspP1GbHzzfr3iJdk5/yipr6VWsfkXh&#10;sXSDwLfjSm7RQWh/Gdso+Tcyv+auV/ZqKw3tkVtUbbR+7MwH7r9fDUbLzgFln8fp+RkW7m7hja1Q&#10;vspPNFSOeIkmnJYOFOFxUbjy6WVqxwxu+UVjbbNxY3ESv3NjTf0FLcJr4nDXykv5L9ZH7OVg7YL9&#10;0FNOmpJNyPdt+HuieTfrVzv+ytk55lx+ubOJsKfD1iWWv+Io3PeLn2jndKjssi7C46Lwsrcv1W8w&#10;dV14LQwU9fXBvyubfc7Tzzkr+7F3F6nGAZT5M/ulb8jPPrGmGMvbL2tQ/ZIPVO5GZKG4ojZNiGfD&#10;cTcSx09Tdr/0MFbPovBYusQfTJzsdL8zJjUuLZX92vJUN+61+/CDD9wZ2DmXXZpNnjTZvYe1xU+3&#10;rLFxoPub/GgzFzb52MnZ3Llz3d5puydaedp6iDfI1MpDfYA8rFvyES+UxvJseptG+Vjqp7Nhvewu&#10;wuOi8F5ue6p7b/6naKzSfyE3PN4ws/3LPHjl/Svcnutpp52aTTnxhOpPtmfp+thtxmach+LtNH/c&#10;2/L88m15g+y2MrLuRuXlp7GyrBdm4/WrWzoaa19ReCxd4vcmFpa93xivGrOWyq36Yw/5OH8X58H7&#10;l7t7XE46/rhsygnHZ6K4+Z1x+qluTs0e6elnn1Vz7lt5NUr9OjSarp/j1ZOJwkTrycGP4/uVVnxR&#10;8fuFFuFxUXi/yCG1o3f+XxiLGo/c88y+5xuuvz6bNnWaW/fb6Zc7uvXGk9ZjsjAaeu5ZZ2bXXn1V&#10;fof00uyxRx/J7szPpbLmqPxEpQ+2LPGgiudTG2eQ3ZKLL4N316xx/YX8r5s3Lz93f2Heb2dk2Jv4&#10;HTLxEGd/2us3ezrKu+38sFkRPuXEKW7/OrYp3nrnG2jt++9Vv6Vi5fr16FV/ER4Xhfdqu1O9ewef&#10;bV+xHsieZ/bT2XOD0lMo64Fn/eEMN38+84xp2cIb/xTd//zWX//q7iGwZcTcISwI8WLpB5HPXWm8&#10;H3LQAfsPWxuwfdaI27db2TS8sXPMkUe4d037Wc5qc6yNNly6KRpLk/jlxkL1n2gZ+ou6hOrz1zde&#10;d+dNDjv0kGHjPTZ+f7fP3u5+Lt7xibVNZXEf17xrrqqJp7BY2sQfrt9WZqwVcG+3facs1lfCF9Gt&#10;ttzKYTv4zn8ydPfddhvW94ofopR7Xr7Hh/2Yfl/ZeiosxFNY2ajaG6uXDe+ldsXak/iVsaa+tNS6&#10;kZP8kpn8opYvnqW4rV/xRXmH87VXX3F7nG+44Ybs7LPOcd+8fP9uu822bp4s/bOUPRu/2nGn/L3v&#10;/dy3NO9fPXj//e7+W+4n5U4X/31GlWmp6sd7cu+9++6wsW3jJvcQRqtPJRPd233C8ScMewMHnP7B&#10;xj90dw4ecvDE7I9/ODNbuCC/ez6/HxM7FvYRcNXmqX5R/gqDrlu3zqV55qkns1vzOzCxqZx6ymnO&#10;ZsI6sdUTykVHFt18s3vzVfmJ2nJUhsLKStW+WP1suG1fLH7iD+l1WWUh3RSN1dOGyy1KGuuO5SE+&#10;45J3GjibHZorS89C87Dx22+fnTrlpGzJopuG2TVUB1HK++zTT92bxSq7iD6V4wZ5F8Ub1HDJFio3&#10;svg8x0720XAHrPpPFB5zXM6C2nvfbXrJUzxR+HL7VGksVRx4vAHC+2i+rQy9oq46b2rLsHmV3S35&#10;xuoZCrfyiaVL/HLjNn1of7a/1L8Kt2HW/c8vvnBzHe5zZr7EfIe7jE7L5ztH5vcacY/z2K3HDjsT&#10;KJ2CfmeD72bMi9yaUr6exBz7hutvcHc/k+8nH3/scNTWRfWjLr4bP3eC8B6BravvVjooeMJbFroL&#10;V2F+/n4eg+RHJvz4flmxfJlbF2SdQH0JPnOXFd869BvxJJ+QPJVfSMY2rNFwpbFlPZSfTeVc6k9/&#10;skW1nuO3H+/0lG87xQ2lVd3LRiXvWL2KwmPpEr/8eF3UR9Jn7JHc38zcmB82xXrn/6QzUH++zN1I&#10;f5w21b2pQp7UQeOlXn1Ul0bifrB2rbu7o15+Kldx2GdQ704mxRtk+tCDD2SbbrJZFfvUv9wZ68tF&#10;/WX5ft+F4tj4uBUnRv34IT/666930g7m4raMUNqy8TS2YvVSON82jFXGGLodsuXH8kj8cmM3/UN/&#10;0rd8v/Ld2Mw6j3RFdJ/f7uV0hv0c3NVh9UDjz/Jwiy9qebG4lk867nDi3g/Lt26bt/jYvFc+eH+1&#10;fPETrfQJtizf7oHdgf0fMRmF5OzHbSSOn6ZZP/pt24BtW3l1sh4qsxmqsRVLq/AYpf18z+6Ur//w&#10;TcuawqRjJ2WsPbC3ku9j9kouWbzY7XlljYEfb3Jh0+THGgLy8mUmv6jqaP3WTbj8ojaNz1NYqynl&#10;6Kc6qWyfb8tWnBDPprPhuCVH5odOvvn/KbYJZM5dRRfmfcA6D3tYDzv0MNdPWtML3dMc62vW7unr&#10;CbtOcP2svbDXX3dd3rd3uv/xV/I6YMNQfUNt8uvfSj/lNYLXqp/Kxg8m+XyFDwpV+0XRrcP/6/Dq&#10;nJr+R49efnlVFet6STavv/aa013pOLj11puVd5f9diADn9dtv+odq4fCDz7wgNweuWu138QXtd+9&#10;1h0KFw+quKK8i8Tcjh936jDXY14vyn+kfs38t7e7DxrNPxQPnFHboOxxkA2Cu/UlF6iV4Wjdkr3y&#10;IX/mTuybfTw/U0Jd0A/VWTSmM+I3Gk/xW0EpU3tOivIjrq3j0/meA96FszzrLsqv38LRPekE9LBD&#10;D63iV6/Jxa8v33uyv7POEus7P10sXqf46o9YeQq39cb93DNPu3HMe4f0K3sl651hUD4+NogvGguP&#10;8UmnMCjzfYtr1o1NR7gvHGw3ZQ+/rQNu5MT/n9osqnbI3ypq8+W9be1r5T+A9oPJnEORDti+DvFs&#10;uHUTN+T3ecqz1VTlvPjC89nqt8JzJlum4ov3Qf4GHOuU4osqfJAoa4ron3SHuZPd59FLslA/iqru&#10;fzjjD9UxyF3l4ov68cXvJhUmxOpgw6m//ZFGfuuGxx1m+k7H9oHNmz2y+k6/6sqrnK1E+wk4a4od&#10;he90/fhWYR8u32D8wBrVZxAo+0fVdqg9o8v+C53RPefsc6u2J+TLj7e1sY1gn3h3zTvZ2rXv1/SV&#10;7S/fjV88ua2f/hVf/e/zFC5qw8VrJVX+0Oeefca1udH8bdqlt9/m3u2EJ36j+fRLPNr9n7/4TzfW&#10;mIP+Kd8bT9t6UR5+P9o2gFHHHnVUtZ3Xz7u2qte2vTZNt/tYuBerRyg8Vn+fL7+oyvD9VjaKIxqK&#10;qzDmhNZ+gHvJLTdXbQiaO2tOrXmlP99th19lYVdQPXy68oH7a+pfb45bTw42TG5RySpGQ/Hghfg2&#10;Dxvux7dhNk2n3LrTupF6KI4odVx6x20147ZT9S5TOduO3dbhGDpbpnqNtC62X0nr++FhD9F3hPZR&#10;2HjWPdLyWx0/hMe2jKJwxaVNapd1K7zVVGXF8vXrUBQ/lk+z/JGU1624sXJjfMlC4aLil4XyP9hM&#10;XdQe8LpXv/2baXcoDfvmGfu9jte0Tf0aaic8vk+Fc9gEiuLH8ukEX/WMlVUUHkuX+OXfw9dvfaRx&#10;9sCKZTV4LT7txe37xZc8uPNvvnuL99OauH48xe9Hiv2tX/C6qH+wyQrnwOui+N0MVz1jdSgKj6VL&#10;/ITX3dIBznWobIvN4llqw6371Xy/2iUzZ2Rff/11w3nZfHvdnfC6nOO3CI+LwntdL1P9y6mXzfYL&#10;mPvAiuXVeTF7wVnrviNfR2QfOnMp7UVnjdv91t+tDJ8zA5dcPCtfs12SnX/uOdm8ude4dXPytXhu&#10;3c3WtczpEl6Xc1wU4XFReJl1LtWtnDrXrn4BQzmnyLkX9ply9l36K6p1JfmhIZ7PJw7vz3C2uV31&#10;L1O+Ca/LOXaktzFdKQqPpUv8cvZ3v/cLZ4w4hym9tdTisnXbOHLbcOvm3jfm6/0ux4TX5Ry/0s+Y&#10;/hWFx9Ilfjn7u9/6RXaJlQ8+mO30y51qcHr8DuOdvYM7ktn7z71xrCexnqh0osiFvVzvvbvG3QPE&#10;3nXOjHBXIHe8cdfEJj/a1OX/b/l9b9r31W/yVHtagddWtsq3jLQb640x2cT4klsRHheFK59EEz53&#10;SwfYt865Ds2DDzrggLp2i6IxEWsH5440HnRGPxa31/mtwGtk0KysOym/TuJ1PXkoTDQkA+lfKAxe&#10;UXgsXeIn/G6XDvj6zJ0z0lPOPnH3suL4dDR1Ii+Vwxn+0eRV9rStwmvaqT4oa5u7idf1ZGPDWDfh&#10;zLz0LybLovBYusRPeN0uHbB6jH1DOor9gjJtuOogHlRuhTVKSaey0vw6rt+ScbNybrQ/WhWvU3gt&#10;uVBv65ZflDDsbdx5OW3qNGeL424K6R401nbFiYUnflxvk2zaJxvpu7VRIG/49eReFB5Lq3QaDwmv&#10;i/tWMhONybbb/E7htdopeYiKD114459r3ilG32Tnk+5BbRrrVhzLS+5iXU0yaq+MpOs+Xsfkrvix&#10;8Eb5lfGzQfWO2UbT9Vq80dpDkDc/5okPr1zp3sUtqww6jdeSA3ew8U3IHfX77r1P9X5XYe5WY37m&#10;3ljjjbzHcvsbb08qTHn4tCjcj5/87cWpJN/aOXSjeN0quWk82Hva23FfWDN5cuepf6dYs369w9Lo&#10;/SFgM7YpvjtIQ12Q1fbjxrl96/Xuqm9V3zSbz0jwuuh/vyictRXupJN8pE9Q5tHInTvieOcp1B7F&#10;D4XBKwqPpUv8hNvt0gE7Jqz92pZn41i3jWPdisPeajBHv8X5u+m63xGq8VBmGvp+bra+p508xcmC&#10;9dVl99xd838ArvC/wjsmlMm+d/zcM79k0c119+hY2Xfb3Uq8pi3SJdsu3vflXTydDfD7CJyefvaZ&#10;2UcffhjEaeWlfpTfp0XhfvzkTzjdCR3QmAjNrxVGPVa//Za7C5x91IzLCy84P+N9WOaA0MtmXZJN&#10;PX1a9S523vfWHeLQe3OMAsP1zhp3kNt7yHVXexnoLr/axd0XrzvjRbFtNPXL7+g7btKx1TvrOdNv&#10;ZWH3syNryT1GO6EXzZTRKF7TLrXNlmP5coO7t992a8abeejGv3rrhWO2GJMdfdTR+XvyC5xMuYtb&#10;eSoP+S0twuOicJtXcies7rQO2Pm1xtJD+bu5fG/yhvvee+3psDl0t3hoXCgPUbXHxvXDFKcfaait&#10;VhaxNofSxeJ2m98oXlNPv12+/+or5wxbLxSGQpkjMNf22+zn44fLr7zk92lRuB8/+RNmd0oH0HHm&#10;1/q2xC7It/kuO++cf4/fNOq3u2lHo+OoU21utJxW1NvPw/f7dVG4qB9eVv9I8DrUBvAXnOauAuGl&#10;pfAvy7/n7N0zkhFUbvK27lBZyjcUBq8oPJYu8RNut1MH0Os3//pGdvBBB1d1lPfgX/He7S7Sf+ro&#10;xwn54fn8drav2bxtHa17pPkpraifXnxRhePXTzyoH8+Gdds9ErxmvRA7ELp2wvEnZOO3H1/VP7By&#10;o/ycLe/V8FbfTQsXOh312ydZiMbCfT7+IjwuCg/lmXgJq9utA8yfpZvQY/J3+CgzhBXtrkvKv7f1&#10;vRG8Zn8L64VjthxTo3fSQfiss7b7XhmVF9O5ovBYusTvbR0uc/+tff+96pj5+bbj3B7Wb775pjqH&#10;i81bytymVLfujZcQXvPtpvXCcbmOCQdFmVdPzt8HXzB/vptvM+/uRB+q/FhZReGxdInfPf3rd9lb&#10;mzVjzW9vwuuke75O1PNbvOaNik032ay6JiL8g7JOMjPfX/T5unU1OtfJbzrVJ9aeovBYusRPY6Zd&#10;OqA9fIwf3oNROQmnk85JF0ZCLV4L7yzdc4893PkV6ZeoLSPEs+GtcqtesfyKwmPpEj+NnXbpgN3D&#10;x1hjrITGS4jXrjqlfHtX3y1eb7Thxm69kDvPsYdgF1Hf+vrk+xWvnbQIj4vC21m3lHfvjoF29l2R&#10;PaSdZae8+08nLV6//uorwf9+v9+7gdXUoQiPi8L9diR//+lz2frUn1+XrX6pPr01Bixeo1tl7r8i&#10;PC4KL3PbUt16a9w02l8Jr/uzXxvt/1bHS3id9KnVOpXyG9KphNdDskh6MXpZJLwevQyTHiYZxnQg&#10;4XXSjZhuNMNPeJ30qRm9SWka05uE143JKelTY3JKeN2YnJI+JTk1owMJr5PeNKM3sTQJr5M+xXQj&#10;8UevGz5ed2tvVerL0fdlGWSY8Lo/+rEMupTqMFyXfLxOMhouoySTxmWS8LpxWSW9SrIaqQ6k8zJJ&#10;Z0aqM/XiJ7xO+lRPP1LY6PRD94dwNoCxluQ5OnkOuvwSXif9GfQx0M72W3vIOWefm/A6P6fcTnn3&#10;e94Jr5P+9LuOd7N9X331VfUehSMOPyJhVcLrUelAwuuE193Es34vm/0gRx7+Xw6zN/nRZtX3Chpt&#10;t7+fRH5R5YPf5xEW4imNDS+KZ9Mkd/cwI+F192Sf9L6/ZS8M5O3SHbbbzmE292D/fuLB2XVzr86e&#10;eOzR/A3e8J09Smt1RDyo3KHwGG8k6WweyV0ePU14XZ6+SOOif/viow8/zCaa93Z1N5no5pv9OBv3&#10;83HZb/fcKzvogAPdG6jTpk5za5S3Llmc8XvskYezl1e95DB+Xf5uiDBbVPpjcTkUpnhQG27T2TjJ&#10;XR69THhdnr5I46L/+4I59TFHHZlttunm1fk2c27h9kjp3nvtmR179FHZ7FkXZ0sW3bx+zv5OoY3U&#10;4nTSu97Ru4TXvdNXaVz1Xl8V4eKbb7zhMBa8nX72Wfncev/ou9ZgucV26/ZxfsPvfd/ldcJxk9Zj&#10;+U2uHOmQrZd1KzzRcupawuty9ksaL/3TLzE8LOJj2+aNpyefeDx7+KGVziZy+ezLnY1kyolTskn5&#10;m9fYT3j/euw2Y7MfbPzDhufp//Gz/8h22nGnbK/f7Jm/nT3Z2V/Om35+Rv7YXpYvu8+V+0puf1n7&#10;/vvD5uu27tYd0ttQuHiiSie/qPiJVsZDwuv+wYWk0/3dl2CYj2O+Hx3A5rLs3ruzyy65KGN+zZy9&#10;3lzcD7N+6x6z5RiX12mnnJxdNWe2K+fJxx/Lvvryy5p6qZ6qm6jVT8uzbsUJ8RQ2yDThdX+P8UHW&#10;7X5tu8UyuUVjbSacfSqPP/qIw3LsL9jRd99tt5o5ucVn38ZSz8/+F/4X+I8g75UPrHBro7F6ie/T&#10;WP0TP82vkw6k/6pe0QFwLYRtjfDVxlh6hWN/ef7ZZ5wd5N577nZ2kQvzM/Rnn3WOs5mwbwX7CbaX&#10;MVuMqcH5eli+yY82dWkm7DYh2/93+7m8Lp11qduLjr3lSzM/t+1RvRIdGqdpfj0ki6QXSRZl1IEQ&#10;zobqGYonHvGt209PmA2PuZVO4czZsb9cf+012fRzKuulzLOF35qvi4pv6U//bYvshnlzszXvrK7a&#10;yZW/yku0MjYTXieMSmOh/DrQCH4RR/FitF5fK43iyC8qfiOUNKteetFh+YIb/+RsJOC49jFavLbu&#10;6+dd6zC7mTIbqVevx0l4Xf6x2us6lurffh1rBN8UR7RevyiOKHHlFvXTx/iffPyxs33MuGBGbi+f&#10;kG2+fu+5cPp7/3ej6nwc3titx2YXX3SRs7f7ZQy6P+F1+8fSoOtYan/v61gMi2N89oywR4W9JBtt&#10;uHENHoPJ7A/nnM+SRTdl3ImFLYR1ShuXuTh2llgZg6hXCa97fywNot6mNndOb8FL/SR3i6G4P/v0&#10;0+zhlSvd2uShEw/JOF+v+TOUOfVBBx7k9nevWL4s++STj4O26tVvv53NnDkz++lPtqimP/KIIzLO&#10;86sOtmzVZ1BowuvO6f2g6FRqZ+/rVD1MtGHvrH47O2XKidX93VpXFGWf35Jbbg7apG0+1o3+sFdl&#10;+3HjqpjNXJu7U6Rbfnzx+50mvO79sdXvOpra110dDWHjklsWOTwVLtu5NO5TTjqxZr+H34ehPG0c&#10;wtl7or0mlANmf/RRZZ5t4w6SO+F1d8fCIOlaamvv6JrFU2wX2DDOmHZGcL1w881+kh1y8MRs7jVz&#10;3f7tdes+GzafJj/laancVjdsXPhnnXlmdZ79u332decpbfxBcie87p0xNEh6mdraGr0UHvoYWCRf&#10;1gtZC+QMJGuDdv7MXBcea4msKRbl1Yrw006eUq0D5bYiz17MI+F1a8ZFL/Z9qnP/9r1w2vZxEY9w&#10;9mmA09whBUbL3iE6fvvts/PyczHcQ2Xzbqdb9f71hKGz87xjLH47yy5b3gmv+3fMlk3XUn06p2s+&#10;lskP1Y/+eHnVqmzhggXZ1NOnZTv9csfqHFbzae544t3J6+bNc3FJo7w63Z+fffZp9X/ktFNPrdpc&#10;VB/RTterk+UlvO7cGOpkv6ayBrdfLW5Zt9UJ9mzYN8qEz6J/nDY1uF5o87Num3c73dz1Sh3ZH9jO&#10;csqad8LrwR3XZdXJVK/R66Sw9Jtvvsm4U0nrhdx5be3R//Kd77p7sI884ki3XvjKy6tq7kclH/3U&#10;L8pb/k5S3kFjzg9m876DyladRMXvN5rwevRjo990IrWn93WCO++cHXqHih1a82ZRrRdaO7SPdfKL&#10;lkUvaJfaYe+IKkv92lmPhNe9PzbbqR8p7/Lph8VP3NYPfnGGe6stt6pimrANig3kvHPOdvuYe61v&#10;1dbP8zk2bWENlHfme60do6lvwuvyjcfR9GdK2x/9KWwSFlu/ePQ1Z/5YC5xy0pRsx8B6IWuIrCUu&#10;XDA/e/21V2vW6Gw+vaQ31HunX+7kMHvXnXeptqmX2tBsXRNe98f4brb/U7py97/FVOu++so5ddcL&#10;Z15wfsZ+CpvG9nWMb+OUxe3XFT9vTuq7AdtPWera7nokvC73eG13/6f8e6f/mUtzViR2h/QuO+/s&#10;bNac41a/gm36+Tz5e5Hy5o3w+r1311Tb24ttGUmdE173zngdSb+muL3XrxZXwdwXnns2u+rKq9xZ&#10;b51fEUZtlJ8vnLDrbtmZfzzL7f346xuvB+fS5CldsPmL1ytU7RCdO3duFa+fz+Ukfq+0p9l6Jrzu&#10;vXHdbF+ndOXuazCHc3vcdydcFtX5Qs74cb6Qe48a7U/ytXhm3Y3mUaZ41F/7sJHPk0883rAsytSO&#10;ZuqS8LrcY7iZPk1putOnIRz0edaPm7mh1gvHbfvzYTg9YdcJ+XrhVLdeuPrtt6q4a/MZxP5OeL2B&#10;u3O2zH2vuUasjkXhsXSJ3x18GwS5h3CVPc/YoX/s3ekv/cX2wR5j9q2F0od4gyBL28aE1wmvrT4k&#10;d8LwkepAEY4+/+wz7r474bJPf/PrPbL77rmritE2P+seab36MX7C64TX/ajXqU3t/98RlkLlZr0Q&#10;W8elsy6trBd65wy5/4K3Z2dccEH28EMr3X13Sq88Qn1XLywUv195Ca8TXverbqd2tR+zJeNVL72Y&#10;HX3k4cPs0JpLs1648oEVTa2PJawe6seE1wmvNeYSHRoXSRaNyeKJxx7Nfj9xYvW+aOGzKO9arXzg&#10;/kKcbgSTG4nT7/2W8Drhdb/r+CC3z2JcyB3iheRFvA/Wrs1WLFvm3vred+99au67A5+3GvMzd2c0&#10;Zzoee+SR6vtVtoxQ3onX2H8jcmIPn/4L77j9NmeHQr79LuO0n69xHUnjqT9lFRrjIR7rhccefZTD&#10;Ce2HFmZAD9hvv2HvYw0ChnRjXFi8XrJ4sftuCfVZN+rWzjITXvcnBrVTZ3o976JxbcNZN7xh3tzM&#10;vkVlMZp1Q86vYLe26Xy3/KK9LsNu19/i9a1LlhTambpd31aVn/A64XWrdKnM+QgnLQ25OTd4+223&#10;5vfdnZz9ds+9sn/d+IfV725weswWY7KjjzranV8BM7744ovq3I78lKdkYf3WrfBEmxt/Fq+ZX0v2&#10;/S7jhNfN6UsaZ70rt9CYvvqKOdmmm2xWg83W5sE74dhD6PdQeqsPfrjvt3GTuzk9El7TR6w9Dooc&#10;E143py+Doh9lbGcI/0I81V1homvffz+7a+nSjPXAeuuFl8++3K1rfdXAfZ3K2y8z5hc/0ebGn/Ca&#10;bx7htd8H/SjbhNfN6Us/6kKvtskfp/h9HnZo3iI5+MADaubQskXLDs2+vF6VwyDVG7zW94/wehDa&#10;n/A64XUv6LnFX+tW3UM8wrBH8z4Wb7RqfAujnT06508/+8zofXexfFVuot0ZP5pfW3vIIPRVwuvu&#10;6Fsa543L3Y7DkBue+NwDffutlfVC7ofeaMONa+bT3KU06dhJbr2Q8+LW1qF8fEpfKf/Ub433Wztl&#10;Rd/pf/eG66+v9k+/91PC63LoXzt1u9fzDo1Bn8f7WLF3V+DPnHF+hk2EdDatdYfkVBQeSpN47R9T&#10;765ZU8VrMGxQZJ7wuv26NSi61M52hnAT/AWHNc/yKTh9Vb7vQ/VSHqLih6jiiIbiJF73xg7vOqi/&#10;Z1xwYbWP+71PEl53T+f6Xbds+0K4F+LZNNaN3eK5fD/dwgUL8jtJj8nGb79DdbwybrF7cN8d74Sz&#10;fxq7iE2f3P2l52l+XXt/yEjGUqfGgv5PY+UVhcfSJX77x7KvT77f9oHCoJwb5PzgVltuVYPP6mvW&#10;EVlPZK5t85BbecmfaPv7uhMytng99fRpNTauTpTfrTLqvQtfNl3XGI3Jqig8li7x2z+GG9El4vD2&#10;ysKFCzP0MvQ+FuuFJxx/gts/zZrTl+v3Rtv8ccsvmvq4/X3caRlrvLN+3M/9LH2GWrwue5vVPzG9&#10;KAqPpUv89o5lq1fSPWQuvrNDX3B+3fVC1hM1h1Y6m4fvtn4bH3769b4M6FONdzBsEPqUNguv2cdo&#10;dbyM7Vf/xOpWFB5Ll/jtGb8WJ3FbPzIveh+L++6W33dPU2PRLyv1cXv6uJty3X7cOIfZ3PPSzXp0&#10;suzJkyZX/6ek46KdrEcjZRXhcVF4I2WkOO0Z19yLxBmHBfPnu/uSsDurv6A/yO9V2v93+1XXCznn&#10;EusLq59yQ323eOLH8kv89vR5u+XKGxDoDuvM7S6rLPkfdMCBrs1jtx5bbbP0vCx1VD00vuX3aVG4&#10;Hz/564/T0eIc6Ve9+Be3Xsh5b/WPpdxT6tYL14XXC1Mf1e+jQZbP7FkXV7BrmyHskjxGo7ujSavy&#10;m6WUHSpfPL4lGD/8V/llKI7P75Zf4zxWflF4LF3iF2PCSHVh2b13Z7z3rT4R1Zlwe99dkn+x/JOM&#10;hsuI/3n0acPvfT+Icd9++20U06w+45affSfcIfP4o49kC278U8Z/gn7oLDjZ6O+EyZOqacmD+pLv&#10;k48/Vl2LoV9VdqyPbf2YVzOWTjvl5Jp0RXnE8m4nX2M+VkZReCxd4g8fC+p/6Yr1S17isTead6+4&#10;7+6Qgye697DUF1DG07577+vez+IdLe7HIw/lrfwSHd4PSSZhmaA77LGXnmm/vXTS6tc333yTgcPY&#10;4xbddFPGmZOLZ87MLsrPWl12yUXZJRfNzM6bPt3xL798jrvvjzu1ly+7z2Er6fi9suollw95NfJ7&#10;ZdUqlw58Jv2K5cuqeVOH86bn5c+6JJt96azskpkzsgvzNfcLZ8zIrps3z+1/ejkvz96X8Nlnn2Yb&#10;5WOJNvNforbacSReGfRGfROrS1F4LF3ix8eELxurD7wfKxsistfcWe7fTzw4Y/+0n4fvt/rmhyV/&#10;uG+SXCr/91pzPO+cs6v4hWzAOdaqTzt5SoYtDj1lHz/ffTHZWd0mjvyj0U/loTJ9v8qxfMbMkkU3&#10;ZczPGUvYDE84bnJ+Rmz76v/TfffcVZ3zKO+y0SI8LgovW3vKWh/pjqWsFz688sFsxvkXuHXB2Hrh&#10;1NOn5nODO2vuuyMf5WXbHOPbOMmd8DqkA9Id9nky7vmGY+/E7MtmZ2dMPS07P58vL1ww381r161f&#10;G1Ea8vP1UX5LbfxQHRrh+Xn4ftXFlqt8xWMuP/uyy4Z9t+6Tf7My5/fjy99tWoTHReHdrn+vlC89&#10;ob7MR7CVxdYLsekxF9DeaNLY9I34e0UuqZ7l++/w39Xcd++9h807fX0M6aT61sa1boU3S5vJK5Rm&#10;8aKbh51TqPfN0Gx9W5GuCI+LwltRh17Ig35WX/tU9Rcfv3UrPLZeiIy5R+mYI4+ovo+lNImWD8/6&#10;uU9YF9SYRyexd1h7bz+1XWMU+vm6dW4dU23H1qPwMrVZ9YvVqSg8lq7f+Oo7Udpn3X57mRs//NBK&#10;t14Y2tNRsf8dlM3O38d65umnqvMX8qyXr19O8ic8b6UOWLzG5jEIumjHnMYqeI1cy9b+IjwuCm+l&#10;rvRCXkX9x3rhHrtPqFknlAxZOwytF1p9Kcq/F2SU6ti7/yEWrwexH+vtxS6DPIQlsboUhcfS9Rtf&#10;OOpT2sm5Qb4bd9huu+q3pOS2wf/5F/duFvtE31n9dt3/a4vb/Sa/1J7ewPCE15WzMwfuv1/dsdot&#10;fRauxMovCo+l6ze+xWn2pbLv86wzz8pC72P9YodfuD3Tc6+Z6+zRuu8OmQiTRX05qRyfn/y9gXe9&#10;3k8hvO5XnVS7ROk7f35NmA3vdv8W4XFReLfr36nysUezZ2OXnXcO2jpYm2HPB1ge6t+R8EJxO9XO&#10;VM5g/y+E8HpQdIJx5+N12dpehMdF4WVrT736CAd9Wi/NmndW130fCxsI+1XJQ/nWyy+FDTYelr3/&#10;Bxmv6ZuE190dnzEMhW/D5H/t1VfdmQDe19jxlzsOs0fD430szre+8vKqKk7bvMo+JlP9uquTZZZ/&#10;wuv43U9l6Lei+fP/Z+/cejQrqjC8f4Hxwn+AidF4IUcThRDlAnEIkChEEY+gciORgDgyQBBQ48Bw&#10;EIhwZ4TBkYMOKo6AINEE9UYkokS5ATQYTEAw/AC/d8v7uaZmV61veqq7d3eeTr5U7VpVa9de66nV&#10;tY+VyedwDLU+rBpDp+4XxvfAP7j4Vtne73+ver9w1f3U+kk58XMuDBCvidebxaLnzDGe6js1et/0&#10;/sX6WBd96aLhzDPOHN5+1DuW82jlzzrjrOHCL1446H6h6qqNj8G6nKo85l2PlBi8FRkgXhOvN5Nb&#10;xVL9fL9QaxX6nCGmvl+otQ7L/lqHymuxuVZe6mKbOD5nBojXxOvN5FP3C6/c9bUxRsdrHI7Vul/4&#10;4I8fOCRG1/o8FZenymrtKSdez5kB4jXxei18xhhYy0/pfXbxfdy777prvNZRfu9OMfrMxf1C3Ut8&#10;9OGHl9+7i/qndFJGjN1IBqZ4nCpbtU+xbcxPtY/xeqquy5xah7bLMsu2UsrzIf3Gunlwag50DePq&#10;xbPP/m6v585OTzv1Q+Mc+h9/f3FbMOXjJu3H1pxtad6VOj/V35Zsqv5UWYzXlpd6s22324op8brP&#10;mCoZ0TuD+r643lHRd3odm52qzN8l9ffFog7l4/ZWZIs+92FrM+1YY1Dl5dpbrbq9jkHrtngMRZ21&#10;fbtOJne9uafE67WNKfk/MqD7hU//8anxmQ2tj3XcsScsuRJf+t6d1nTWO+JaH+vVV15Zto+6rHOq&#10;bO4s0b+1sTR3u5lFs6n+Om9ZeQxRbllZ5rZOo163KdM4v3Y7643tS5m3S31bbZt4fWRjLN4v9P/9&#10;mOrb6uX9wshX5GWq3GVOY33yR+Y77Le6/cyf09J2sVx5rW+l2PrYo48ctP6szjf1LVD/9N0i5eO9&#10;9piPY6nMl33QdtmPqTpbuYx4nTNrBjQn1jej9e6gnn+eWn/l7MUcWvcLtW6n5tw1NqyzJle56zht&#10;1UWW+xEbHZ6NxO9zi/dptW6s1nvbe/fd4/q0WmP5K5d8ZVwjTvFD63frna2j33PMQeeUZXztva01&#10;a/Vbrl/7nZuX/xu0pu4tN94wyiTXurZa71Y/jd+fPLh/HMtad2uuXMRx7/x2jte+vuZjXcUvU3X1&#10;jaR4Hbr8/69npsv1sVbZF3UOL35gr/W1l76Nrjj3hQvOH7+xu5b4Wo4N3afRHFo6NY++5OIvj/u4&#10;4/ZbD0o1fjQfz36//+2T4/rlSksepsau6pTlnvurD9pfqWcO2+pz2W/1y/FaNp1DP8s+mJmy3NuZ&#10;3PXK1LYoU9fTPUAxpHuC73rnuw+ZN4hDxfCpddSs07pI1zfOYN/Ds2/k8759PzjkeoTHVC11TNa7&#10;AYrBWqdcse/effeM8U/3BPUNBfkl7qv0k2VlWtbLtldt73pZv7L9bbQ89tvxWnbf6H6ssj8zU6vb&#10;ksfjVH7qZ70699M1DF3L0P3C44v7hXq/UNdAdC6lNcNfffWVpb28n1K/dZMeXjzBXutrrz8/88zw&#10;iY+fu7gnfvwh8xBd19A3ED5//gXDpZdcOtx26+3jtYNfHDgwrgun6wd67nTKRx4HlsVtj41VZK6z&#10;aur9OFU778+py0qdsU0p28zt2G/3Q2Xym2LedozX8TiVn/KNzo0uXqwj67iv1PMHpbpf6Dl0tOGU&#10;LpfFeu4D6frGIOy7un01HzHjugej80SdS3pOXBsrNRubd/Pvei73dkzLulGW5WPbmI/tXO40ypSP&#10;5TFf1tvsbffNaTm/dvlm99P7dxz1dplmctePx6W8ntmYWh/L+q675upBz35MtXeZU+mL+l1OunoM&#10;wVYbZyuNecfrm/bsGRmfYjgyHfPr6avWfmoylyt1vtXHqTpTZS0dmyXz94W2y/w62t35f7700rg+&#10;1rXXXDue65XXo098/0nj++Hj9+4W34zWuy5uG/2islq56tXkUQf5jYtL2Hra1vfs3XvQO1z6LsLn&#10;PvPZYfe3dy+eAzkwvkfw+uuvL+P44dpxaoxIRyyP+cPRv9Z25T6kp6eu9Ty+F55/frh+9+7xGRzP&#10;J/W8S89jKO2z1m33r9Y+yqP9fb9Q96NdJ6a6X/j1q64c30F0u5g6X9sv5dOxALtsDbvo3FHfSNA4&#10;iONCec+9P3bO2ePaRXqG4rXX/r2Mb3FsKF9ui4FYZiZc5tTltfqlPLar5WObjcjHfpT7a8nKunHb&#10;7RTD9LxO9JHyf3nmT8vz/thuDnmzVOuL5T5Gcai1vqe+paS6ugai+9m6Vufn/Wq6Kd8asQc/rd1P&#10;Tz/1h/EZu2OOPnaM247VHldOVX76h3csxs63xmdBnl3c96nZ3WOxlLtcqfNlndq265dpWT+Tl/WP&#10;ZHst+5pq47LYF/2P1H1f29/pgZ8/tObznqh/vfLuZ02/5bsuv2LYseDJ205PfN+Ji2fyLh7X0Hru&#10;b39dHqttpNR57SNux/La/ilfe6zAdptjO3Nt1r397GLtC71Hcucddw47L9s5Put7wnHvPWRMeWwp&#10;Pfmkk8fvLOiauN6hGd9JufHm4UcP3L94juo347UVPU+i50q8H48zp63yUqZtl5Vp5MmyWNY7H/eh&#10;vLedj9s+VqeWaVv2+dXjjw13LOw+vodXPLdz3rnnjX6p2bD3cR2JPrNR02F5md5y057hP29egyvb&#10;RlvV8mUbtjcntmD39bV75D/aOpbrWVc9U/3d224dnyMrvzNZm5OXY1Lbet5K98quuuLycZ6+/4H7&#10;xme2tY+4/zIf+xPzrjdVZtlGplP9iGXOy56KUaedeury/2Fpx09/8lPjMw9us5HHsdZ92ee19pZr&#10;7awf7ts3aI7g792VbXzcZRrrSWZ5LCe/vnED+87HvlNjoBwTb7zxxjgv/N2TTw4P7t+/OH+9d7jh&#10;+j3jHFtjUfNtPcudzc89fp3qOqba6dqLdOin82M9C6734P1Oufapn+6PKvbpnXl9t9hzeT0zsNFM&#10;6Rqr5sDqz6+feGJ5rvKN6745Ps+gZ6f17r6PNaY6bh2r7vlqrh3XkSptH4+rJYv1NirvY6rtL5PX&#10;2lE+n/iAL7a/L3RfSddk9R6kfnpvWPPs44tzf43ncp7pMT6VrlJX8V/78k/Pm+s+nvuSpWVdtbcu&#10;pVP9ysrU79N37Bj7oO9dzC3urnVM+rhr7TN5rR3l2z9G4OP5+jjGJ+U1J9X3SxQ7FR93XnbpMiZ6&#10;jDt1jHaq8ph3vVZ5rNMjX9t/1H3ORz8y6L2Ox3/5yPDiC88v5//RFludWR9v7Tgyea0d5fMdy/gG&#10;30QGHM/0HoWuN2g+6msguh6ie6S6NqJ3532/c+dXd47XZnQdRe/W61qDrkco1TsnmnPrd8oHTll+&#10;X9Bl1fTN7xBqPSjp8U/Xa3Svddflu4abFvdatd7fQz/76dhHPX/zr5dfXs6fdSw+nniMyrdkZd25&#10;bmfxOJPP9bjoFzEJBv7HgOOX09IutXLXy+SqVz67u0ob61fq+k6jrEdeetdLd4/+raoji8eZfNX9&#10;UI/4CQPry0ArHkWZ8zF1flUfTdV3mVPpivmabtdxWquXlZftve00a78V5Fk8zuRb4Rjp4/rGCew7&#10;D/vGuFTL21dR7jKnkpXybNttncb6MW95LZ2qqzL/au1cHtvHvOVKa+WxzlzzWTzO5HM9Lvo1jxiC&#10;H/AD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bDnpUQM2wAYw&#10;AANzYKAW0+fQN/rAGIEBGICB/zNQi9eUc34GAzAAAzAAAzAAAzAAAzAAAzAAAzCw3Rl4yzAMb1v8&#10;9PfWxU/5/wIAAP//AwBQSwMEFAAGAAgAAAAhAJcUqLzgAAAACQEAAA8AAABkcnMvZG93bnJldi54&#10;bWxMj0FLw0AQhe+C/2EZwVu7SUO0jdmUUtRTEWwF6W2anSah2d2Q3Sbpv3c86XHee7z5Xr6eTCsG&#10;6n3jrIJ4HoEgWzrd2ErB1+FttgThA1qNrbOk4EYe1sX9XY6ZdqP9pGEfKsEl1meooA6hy6T0ZU0G&#10;/dx1ZNk7u95g4LOvpO5x5HLTykUUPUmDjeUPNXa0ram87K9GwfuI4yaJX4fd5by9HQ/px/cuJqUe&#10;H6bNC4hAU/gLwy8+o0PBTCd3tdqLVsEsSTjJesoL2E+e0xWIk4I0WixBFrn8v6D4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BUyEfldgMAAAIIAAAOAAAAAAAAAAAA&#10;AAAAADwCAABkcnMvZTJvRG9jLnhtbFBLAQItABQABgAIAAAAIQCd3Hg4RYgAAJjpCQAUAAAAAAAA&#10;AAAAAAAAAN4FAABkcnMvbWVkaWEvaW1hZ2UxLmVtZlBLAQItABQABgAIAAAAIQCXFKi84AAAAAkB&#10;AAAPAAAAAAAAAAAAAAAAAFWOAABkcnMvZG93bnJldi54bWxQSwECLQAUAAYACAAAACEAjiIJQroA&#10;AAAhAQAAGQAAAAAAAAAAAAAAAABijwAAZHJzL19yZWxzL2Uyb0RvYy54bWwucmVsc1BLBQYAAAAA&#10;BgAGAHwBAABTkAAAAAA=&#10;">
                      <v:shape id="그림 59" o:spid="_x0000_s1062"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43" o:title=""/>
                      </v:shape>
                      <v:shape id="Text Box 47" o:spid="_x0000_s1063"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6DCD480D"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v:textbox>
                      </v:shape>
                      <w10:wrap type="square"/>
                    </v:group>
                  </w:pict>
                </mc:Fallback>
              </mc:AlternateContent>
            </w:r>
          </w:p>
          <w:p w14:paraId="715C47AD" w14:textId="77777777" w:rsidR="002E5800" w:rsidRPr="008F328C" w:rsidRDefault="000E0B7C">
            <w:pPr>
              <w:pStyle w:val="a3"/>
              <w:numPr>
                <w:ilvl w:val="0"/>
                <w:numId w:val="22"/>
              </w:numPr>
              <w:rPr>
                <w:lang w:val="pl-PL"/>
              </w:rPr>
            </w:pPr>
            <w:r w:rsidRPr="008F328C">
              <w:rPr>
                <w:rFonts w:eastAsia="Times New Roman"/>
                <w:b/>
                <w:bCs/>
                <w:lang w:val="pl-PL"/>
              </w:rPr>
              <w:t>Umyć ręce</w:t>
            </w:r>
          </w:p>
          <w:p w14:paraId="7C36BA98" w14:textId="77777777" w:rsidR="002E5800" w:rsidRPr="008F328C" w:rsidRDefault="002E5800">
            <w:pPr>
              <w:pStyle w:val="a3"/>
              <w:numPr>
                <w:ilvl w:val="0"/>
                <w:numId w:val="0"/>
              </w:numPr>
              <w:ind w:left="471"/>
              <w:rPr>
                <w:lang w:val="pl-PL"/>
              </w:rPr>
            </w:pPr>
          </w:p>
          <w:p w14:paraId="5AA15812" w14:textId="77777777" w:rsidR="002E5800" w:rsidRPr="008F328C" w:rsidRDefault="000E0B7C">
            <w:pPr>
              <w:pStyle w:val="a3"/>
              <w:ind w:left="4117"/>
              <w:rPr>
                <w:lang w:val="pl-PL"/>
              </w:rPr>
            </w:pPr>
            <w:r w:rsidRPr="008F328C">
              <w:rPr>
                <w:rFonts w:eastAsia="Times New Roman"/>
                <w:b/>
                <w:bCs/>
                <w:lang w:val="pl-PL"/>
              </w:rPr>
              <w:t>a.</w:t>
            </w:r>
            <w:r w:rsidRPr="008F328C">
              <w:rPr>
                <w:rFonts w:eastAsia="Times New Roman"/>
                <w:lang w:val="pl-PL"/>
              </w:rPr>
              <w:t xml:space="preserve"> Umyć ręce wodą z mydłem i dokładnie osuszyć. </w:t>
            </w:r>
          </w:p>
          <w:p w14:paraId="7ABC984E" w14:textId="77777777" w:rsidR="002E5800" w:rsidRPr="008F328C" w:rsidRDefault="002E5800">
            <w:pPr>
              <w:spacing w:line="252" w:lineRule="exact"/>
              <w:rPr>
                <w:rFonts w:ascii="Times New Roman" w:hAnsi="Times New Roman" w:cs="Times New Roman"/>
                <w:lang w:val="pl-PL"/>
              </w:rPr>
            </w:pPr>
          </w:p>
        </w:tc>
      </w:tr>
      <w:tr w:rsidR="002E5800" w:rsidRPr="00A5286D" w14:paraId="062FD513" w14:textId="77777777" w:rsidTr="003C136D">
        <w:trPr>
          <w:trHeight w:val="5945"/>
        </w:trPr>
        <w:tc>
          <w:tcPr>
            <w:tcW w:w="9634" w:type="dxa"/>
          </w:tcPr>
          <w:p w14:paraId="201D20F4" w14:textId="77777777" w:rsidR="002E5800" w:rsidRPr="008F328C" w:rsidRDefault="002E5800">
            <w:pPr>
              <w:ind w:left="104"/>
              <w:rPr>
                <w:rFonts w:ascii="Times New Roman" w:eastAsia="Times New Roman" w:hAnsi="Times New Roman" w:cs="Times New Roman"/>
                <w:b/>
                <w:bCs/>
                <w:spacing w:val="-1"/>
                <w:lang w:val="pl-PL"/>
              </w:rPr>
            </w:pPr>
          </w:p>
          <w:p w14:paraId="1885EF6F" w14:textId="77777777" w:rsidR="002E5800" w:rsidRPr="008F328C" w:rsidRDefault="002E5800">
            <w:pPr>
              <w:pStyle w:val="a3"/>
              <w:rPr>
                <w:lang w:val="pl-PL"/>
              </w:rPr>
            </w:pPr>
          </w:p>
          <w:p w14:paraId="444943EB" w14:textId="6A2A11D1" w:rsidR="002E5800" w:rsidRPr="008F328C" w:rsidRDefault="000E0B7C">
            <w:pPr>
              <w:pStyle w:val="a3"/>
              <w:rPr>
                <w:lang w:val="pl-PL"/>
              </w:rPr>
            </w:pPr>
            <w:r w:rsidRPr="008F328C">
              <w:rPr>
                <w:noProof/>
                <w:lang w:eastAsia="ko-KR"/>
              </w:rPr>
              <mc:AlternateContent>
                <mc:Choice Requires="wpg">
                  <w:drawing>
                    <wp:anchor distT="0" distB="0" distL="114300" distR="114300" simplePos="0" relativeHeight="251658249" behindDoc="0" locked="0" layoutInCell="1" allowOverlap="1" wp14:anchorId="3B5182C6" wp14:editId="65C47253">
                      <wp:simplePos x="0" y="0"/>
                      <wp:positionH relativeFrom="column">
                        <wp:posOffset>74295</wp:posOffset>
                      </wp:positionH>
                      <wp:positionV relativeFrom="paragraph">
                        <wp:posOffset>139065</wp:posOffset>
                      </wp:positionV>
                      <wp:extent cx="2256458" cy="2921000"/>
                      <wp:effectExtent l="0" t="0" r="0" b="0"/>
                      <wp:wrapSquare wrapText="bothSides"/>
                      <wp:docPr id="51" name="그룹 51"/>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3" name="그림 1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248C4016"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5182C6" id="그룹 51" o:spid="_x0000_s1064" style="position:absolute;margin-left:5.85pt;margin-top:10.95pt;width:177.65pt;height:230pt;z-index:251658249"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QO/NzAwAAAggAAA4AAABkcnMvZTJvRG9jLnhtbJxV227bOBB9X6D/&#10;QPC9ke36shbiFG7SBAWyrbFJkWeaoiyiEsklaUvpB+0vbB/6Re1P7CElOXGSom0eLA+Hw+GZwzPk&#10;8eumKslOWCe1WtDh0YASobjOpNos6Mfr85d/UuI8UxkrtRILeiscfX3y4o/j2qRipAtdZsISJFEu&#10;rc2CFt6bNEkcL0TF3JE2QmEy17ZiHkO7STLLamSvymQ0GEyTWtvMWM2Fc/CetZP0JObPc8H9hzx3&#10;wpNyQYHNx6+N33X4JifHLN1YZgrJOxjsGSgqJhU23ac6Y56RrZWPUlWSW+107o+4rhKd55KLWAOq&#10;GQ4eVHNh9dbEWjZpvTF7mkDtA56enZa/311Yc2VWFkzUZgMu4ijU0uS2Cv9ASZpI2e2eMtF4wuEc&#10;jSbT8QSHzDE3mo+Gg0FHKi/A/KN1vHj7k5VJv3FyAMdInuLXcQDrEQc/1wpW+a0VtEtS/VKOitlP&#10;W/MSx2WYl2tZSn8bpYeDCaDUbiX5yrYD0LmyRGZohVeUKFZB8t/++/L9368EDlAcVoSgdgkLJV1q&#10;/skRpU8LpjZi6QxEi/UhOjkMj8OD/dalNOeyLMMxBburDAJ/IJAnyGnFd6b5thLKt91kRYkitXKF&#10;NI4Sm4pqLVCNfZdFQCx13grPi7Bhjo3/BtgA9N5ERHkHLJTgoC+yrv/SGfhgW69jr/yiviaTETo3&#10;6ms2Hc/mUV97lYBC6/yF0BUJBqACUUzPdpeuw9aHBNRKB8KAmaWlOnAgZ/BE/AFxZ6KA0Bq4n1zP&#10;L0aPGP6tFrwqmBFAGdLeaWY87zVzHfrrjW4IXIDahYU2Jb6Bv9NH8LdI+6bZd+tw8mo6Qy+S0Jez&#10;2Xg+6fqy79zZcD7rG3c4ng7a+efz6nQps16LgfDT0pIdw71bF9KLKGeo5H7UD/i/qypYvlk3saNG&#10;056Ktc5uwYTVOG5U6Aw/l9jwkjm/Yhb3N5x4k/wHfPJS1wuqO4uSQtvPT/lDPM4Us5TUeA8W1P2z&#10;ZeGyKN8pnDZS+t6wvbHuDbWtTjVKHUY00cQC68vezK2ubvBULcMumGKKY68F9b156ttXCU8dF8tl&#10;DGrvnEt1ZXBTDaOoA7HXzQ2zppO7x3m+172eWPpA9W1skLkzSzTeuYwtEYhtWYTIwwDajlZ8aGAd&#10;vGT3xzHq7uk++R8AAP//AwBQSwMEFAAGAAgAAAAhAOw+MKDGfgAAmOkJABQAAABkcnMvbWVkaWEv&#10;aW1hZ2UxLmVtZuydebQWxfnnK7OcOb+/x8yZOfqLOkkmRKPGJTGiuAGCqFEEAUUQRbkoKoobosZ9&#10;4b5s4ob7viNyQcQVURY1EUFUFBUQk6hZfkJGRxM56PS3+n67663b/Vb3u3b3fTjnUv12VVd3Vz31&#10;qaefeqrqB0qp070//hv3A6Ve9P74b+z/Uqrn9krt0PeIQ5T6gZr1l39T/9mLNJLopJf9N6V+81+U&#10;GuZFvMKLO8PFB/xXter//Sc10Pv9P73r+c++F8+f7uWxyPs7yjvRw/ub6P3d87l/3Q7qDcV4xPH4&#10;B2oH71eYTv/o/O/7779X8idlIDIgMiAyIDIgMiAyIDIgMiAyIDIgMiAyIDIgMtAdZWCH7X+s5E/K&#10;QGRAZEBkIDsyENcXSR1lp46kLqQuRAZEBiADLl7HxXe381999ZWaddMNavqUdnXX7beqDevXqT/9&#10;8RP5y2AZ/PlPf+xSLzz3+CMPeXVYUnffcZv65ptvYuW/u8m3vG+27Ujsr+PqyRUfd11Rzz/60AO6&#10;nU8rTVZr31uj2P7/+MnGLmwQjmenH2M9oU4++vAD3d+iz3179Vvqu+++E16LP1guZMDFY1d8Ubls&#10;vxfa9KZNX2hWo50/+/RTwucM6tRRfaTdl77+6nLN65nTpwqrhdO54DR55OKxK575dIdw0QvP6XZ+&#10;x623qI0fbwh4bepuUbyQc63Ts6PqpmPObF2PCLuD3Mo7ZtvGkaZ+XDx2xae5V57TwsYJfQy6Nbht&#10;62zC5NYxOWnZg92ot5tvuF7X46o3VwivRb/OlQy4eOyKzzOD0zz7siWveG28pNv5mnffCXRrsELY&#10;nU1W27o16gn2avS5+Pv8s89y1VbTyKukLY5Obdali8eueDOvoh6vfmuVp1tP02382YULylidVLeT&#10;dNlg+v333KXr8aH771Vbt24VXot+nSsZcPHYFV9URvO9vvryy0Afg++XcDcb3K2mHpa+8nJQl6Jb&#10;F1P/ZLstaujisSu+qOXC9+L3M/z3np4/T3idE58Q8Jz2atpFqFvDf571K6FwO08y4OKxKz5P71rN&#10;sz543z1aJ7t+2hT1/pp3hdc54jWZjRA2Ld9uXVLPP7NQeC12kFzKgIvHrvhqGJjla8y5E2/8/vXg&#10;+3npy4s1q6mrVfM9Lte0zpYCf3mOM659/71cttUstxt5tuZ8p7h47Iovaj2hTdN/b/7cOcE8RlNn&#10;E/62jr9pyx5jD+A1bCHffvsv4bXo17mUARePXfFF5DV8rem7h/ZtskH06/wwGvUGH76VK1YEujXs&#10;IkWUWXmn5ui3rS5nF49d8a1+/kbcH/7V/HZ+quPJgNfC6nyxmv3snMcf1fV508wZwmrRq3MtAy4e&#10;u+IbwctW5/nIg/fr9o0xxjXvvB3wGu1fmJ0vZnOtEPS/6IdbLVty/+6hBzeqnl08dsU36rlala/p&#10;vxe1phO+r4XZ+WA26urG66frvhf261bJlNxXGF0vGXDx2BVfr+fIQj5btmxRt8+6WbfvW2++MdCr&#10;0e75bS2szgerUV/vdM49h+/8wqfmCa/FFpJ7GXDx2BWfBc7W6xneWvmmZjV0Mq4RYvKZxwzJcAmz&#10;w3Czbp5ZMN+rT3/NF/HhEx23XpxoZT4uHrviW/ns9bo3fa45/63DW2eTOrXZ/oXL2eFyVF3YdYV1&#10;b2G3xjgjvp3qJS+Sj7C/VTLg4rErvlXPXe/7+uvvtSuMMeI72m77UXyQc9njN+sN85vo4/PB2veF&#10;1WILKYQMuHjsiq83N5uZH/Xq1atWBm0bY4xo8zKumD0WJ+0fP9n4sbphBtZTLHWxW7POmylnci/R&#10;x+slAy4eu+Lr9RzNzoftdsu33yp+N8Nuve6jD/XYIvW0pIyQdK3nO/vZlSveCPpfrMPHum62jMn9&#10;hNP1lgEXj13x9X6eZufHMUboYub6e8Lr1vM3TR9o1hfmOKE+H3v4wUJ8Aze7Tcj9stvPuHjsis97&#10;3XKMEbZO7HduM8LkgB0nv7PDdLOe6HON9bryLp/y/NllZyvqxsVjV3wrnrle99y4Yb3Ww8BqzFlG&#10;m6dfiLA4OyxOUxevLV9WZgupl6xIPsLNLMiAi8eu+Cy8QzXPALsm7dbYG2r9uo/Ebu3NMUnDxqyl&#10;hY815jnBFrJg3lzRrcUnpHAy4OKxK74aVrb6GnMeI76dyWryR/TsfHGb9eXbtkp6HVyssdhqOZP7&#10;i05ebxlw8dgVX+/naUZ+oR2kpB596IFIndK0h5LjEmaX49Ct6W/NcUbxCxFeNoMnzbyHi8eu+GY+&#10;a73u1eHNX2TbXvXmioDXUYyOOifczh63X3j2maBOsWZXvWRF8hHmZ0kGXDx2xWfpXZI8y8aPNwTt&#10;GmOMYK+MMWaPv64+0e5HuX+MzD0XvibhQF7TuHjsis/Te3/15Zd6Pyjo1hhjBLtdXJD47LDcZjTr&#10;xpx7LmtcC6/zxKS0z+risSs+7f1amX7pKy9r3RpjjGj71KvjOEAeSJgdZtt1AZ9537ZVUliPT2zW&#10;wutWMqbR93bx2BXf6OerZ/7QqdG2aQchp8ltmwXyO7ucZt1gvJhjEZs2fSF2a/HhK7QMuHjsiq8n&#10;TxuZF+a6sV1jfSeyGiGPyQAJs8lp1JPZt5rrhCyY31HodtrItiF55+ebxMVjV3we6hrraZLV8+fO&#10;kTHGnM6LMVmNPpX76KJu4aOZB1mUZ8wPG7NYVy4eu+Kz+E72M3EeI9a2tufGiC6dTV26Ur3we8if&#10;yyj7EdjyLr+L2ye4eOyKz7ps+OvvlRT28MM3cyUOSFz22U37Fb6TMO985vRpeg3crMuhPF9xGdrM&#10;unXx2BXfzGdNei/6CCDEHGWwesbUUuT6e8Lo7DPariN/D3t/X0ZZg084mJQLRUjn4rErPstl8Mri&#10;RdpuDTvIq8uWiG6dU7s1eU07yNwnHtf1ir44y/InzyZ9Sb1lwMVjV3y9n6fW/Khbo237Y4wlhT2+&#10;0ObZ3tn+JcyXbo3xxg3r1+k9NlG3Mu9ceFgrL/J2vYvHrvgsvi+Yzf1zMTdGuJwvLleqr9AnpKTE&#10;31p4nUX+NPKZXDx2xTfy2arNG/PO6Tvw/DMLhdc5t4OQ3+aaTitXrBBbiMyN6XYy4OKxK75apjby&#10;OqynSX9r+O+ZdhDzmByQMFv6N+oItg/WFUKsC8I65XqpkCHavxopT5K36PFZkQEXj13xWXkPttvV&#10;b60qs1uzzQuTs8VkV33Y9Wbq1rB1sb6zIn/yHML0ZsiAi8eu+GY8Y9J7/P1vf9V7i0APu+fO2/X6&#10;e3a7d3FC4lvPdbPOcIxvJNq3MPcJ9q6kMiHphKNFkgEXj13xWSoLXwfz58ZgjU17/rKwuPUsrqYO&#10;wj3sSwr7bmZJ5uRZpD9opgy4eOyKb+azVroX2jHWqodujfZtrm1t6mvV8EKuaT7nUWfobx9/5CFd&#10;pzOnT1VYB6aSDEicsLPoMuDisSs+C+WDvVXJanw3yxohzedrLX2a2Z/ymwjnMMfJH2Msqac6nhSb&#10;tfiDdPv+2sVjV3wWeL3ohef0nHO07ddfXS7+eznz37N9Qcj+0Ne6XfuHRMmajDuKTh0lF0U95+Kx&#10;K77V5YKxJ+pgs266IWC1qbOx/UuYPb2b9URmU7/GNxLmOmFNJ3w74Ruq1bIm95e+odUy4OKxK77V&#10;z881QsDsl196UXidM92avGaIPhVzzuHfA1bDHwRxrZYzub+wOgsy4OKxK74V78BvYOhcGIfC+nvQ&#10;rTHGiLZNXU306ezp01F1YtYX6g/rvaD/Rd3KnHPhZCsYk9V7unjsim/le8FuDR0Mbfu15csCVkcx&#10;Qc5lk92mXs064v4STzz2iOjVMsYoMmDIgIvHrvhW8Ro6mW+3blfgNtu6hNnkcqV6IbM/+vCDMv89&#10;8bUW3bpVfMnqfV08dsW36r2ge4HX8LU2WSD2kPzxGvWH/RfvvuO2oA/Gb8gWbV+tkjO5r/QZWZIB&#10;F49d8a14l6+//rpz3nlJYU4jfQrQ7k1bqMlxOc4mx6lbww+T30sPP3CffAMb38CtaGNyz2z2Uy4e&#10;u+KbXa8Yf+L8ZNg54UsgLM4mi5PWC+wgd942S/MaY4yfbPxYeC28FhmIkAEXj13xzeY1x6LQrte+&#10;tyZYc5N6talrJ+WFpGsd7+HTA98ejhujTpstU3K/bOqSUi9d68XFY1d8M8vU3+u8XbfteU8+IXp1&#10;jnytafew+0buxXjLjTO1DbuZ8iT36soDKZNsl4mLx674ZtYvdWvoYmvff094nSNeg9NkNseEX3rh&#10;+cBmLfucZ5sTzWznzb6XOaZtHld6DjOdeWxfUynOTpvkt4vHrvgk96glDd8XfOZ41Py5czSrxfbR&#10;OjuGrSe7fpPVrDOsd+vXZ0nPO5f55sLrWjhR7bXkS9z1iGcaO4y7xj7P6+zz1fx28dgVX809014D&#10;VsNejfY9+9GHg3mMYAA54OKFxGeH7SGr29W9d90h+w9EjCulbSOSvv79Hdbv/f1rr6qOObNVh2d/&#10;1aF3vPSVl/X6Y//YvLnpYy0uHrviGykn6Jc2b97kcdrfgwBrpVI/E/5mh79J6wJ969ur31LXT5sS&#10;rKf42aefNl3mGymzknf9udnoMjX1X/gmXXPl5Qrc23GHn+iQDIw6N2TwIDVl8rXqr3/5vClyzGeJ&#10;KxNXfNx19TqPfbBpB8EayGSD6NX54jVZfcOMabr/RZ1ir816yYnkkz9OZqHOyOpVb65QYC+ZbLPa&#10;/k0u8vyv9vyV1r/5TsyXv+sV8r5x+bni466rx3nYNO+6/VbNa/gPwC4inK6d00nK0E5j/2a/GRVG&#10;pcXYIvRqfCthHqPMNRe+1oMRteTxsTeHFr6kY04erX76kx4Bq3fbdXd1xGGHqRNGHK/OOO1Udf45&#10;E9TE884N/s48fZw68YSRavDRR6v99t1PX0tuH9Brf/Xi8882TA9x8dgVX0t5ua597OEHO3Xrknrz&#10;jT8Iq5vsDxLFXZPPjLdDMw2O8V3EbySspZiG1Y3SU1yyV7T4tOUYld48Zx7nqaz43PAj3ennvyiz&#10;d/Tt3UedOe40bd+gvCYNBw0cGNhPkO+ad98xmP2dcez303yOtGXn4rErPu39kqZ/f827uo3PmFrS&#10;a++h3ZMLNg/kd/U6N8sUoXlslynj4urBjOe1mLeI8WHo1KhHcDsNq5PKiqQTXT2pDMDuMf6M0wO2&#10;7rnHXlpPnnTB+VpOfT77a35CbpPyGnrIhLPGa30buvbOO/1C6+MP3Hu3tpNA58bYpfmHsbi0dm8X&#10;j13xScvJlc7ub/y1f0p6vbY4RpALEqbndRRf7XKEPCFd3Bhv3Hnk469hDXn3ZR77Sth1bP+mjGDP&#10;IMx7xJpPefvjO6QJ48qhmjyYF0PkYR4zz61bt3bR+eLS8pq0YdR9o86lzbea9P/85zeap+QZwqHH&#10;DO7kcXIuJ+H3gfsfoLb/0Y5qx+3/d5n+bt6b9hOegx3llNEnqUsvuVg9eN89muv0PzHLjOnjysAV&#10;H3ddLefRRlku2HPV5oj8Ts9nu8xMDpvcJaPt9PhtpsNvk/k8ht3K3HcR9Qjdg/WZNCy/JuR+0uvz&#10;lg7vi3WuYAOs9LfwqXlq+dIlatmSV4IQx/wL+jezv/OO6+GHY3Kj2vZdjzzS3hv3nDl9Whk7jxs2&#10;rCq7RyW5osxedfll6vABA9S///v2ZfckS21W43zUOZzvf8gh2r4Of2a0OeYRVwau+Ljrqj2PMUV/&#10;r/OSevShB7SeFcUOOVc9s8lWswzha4r5/uAt+kjsrfbswgVqwfwOzV/UBdbZwt/ts25W8K3EH+wc&#10;1KFDWfb1Fcqvf97UYcxjrC8gf+VlmKx8ysvXX6eha1lXLluMt2HesPln9xvof59ZMF+hr0D4/DML&#10;g/6B/QT8NPkHWWK/ARnDGm3wy8V3U7VcqPa6Tz/9szrn7LOC8cQ9dt9T69nxMmeWvXlcuRzD/HhN&#10;SZ1y8inqpz/9mRo3dqwetzzdG7vE+CX/MGY5Yvhx2h7z28MPV7Cf/2bv36hf7LRLwGVwnH+obxeP&#10;XfHVlmPUdb6vtV8uYIHJk+5+HMVYW99NUkbIB1yGvQLzROl/E8pbuVxiz1swGrwGv9FewXP4Wa5c&#10;8YaCjRr3/cPrr+k8ka/5h3nmSJfm7x2v7fNdot6bcVkMUbb+u/rlk+a9sTawWXZRx488eL+CTZR9&#10;pxli7lF0PYYMiY4vr/Pq0/A+zM/+zfN+yO8IjP2R+/DxJOujGFHpnK274/ewIccEjDt26JCY8sHz&#10;VH7Wasukf78BatddfxlxX/f9Lrpwotat4acCG8vF3m8Xj13xlcovbVycr3Wlb/Qsttl6PVMUq2xG&#10;m2nMYzwDfmOfcZRrhzcvi2uWRskedGbNZI+3Po/f0MxEHna+fD/GRcVHneN13SFM+v5Mx9BVNknT&#10;MR+kh8xg3cOufccKrSujHzb7hofuvzfoD9A3+OsnkrUmZ8xjP97X+e3z9m8zLfOND9Enge3Q78F1&#10;6ACa6Z6dZ8u330bq7GA1bMHkF/zzwOTo54u6d/QzR7Wd+HMlddUVl6ltt91OTfJYO13bBTvzNY8j&#10;vy+73h/vzveJY6srPu66tOfxreSv51RSN99wfbf2tUYbY7tkaLY/xjPE2Bx0Uszzho6G71foWmhn&#10;sFfgWwUy/+Tsx9TT8+epxYte1DIP28eHH6wNdFncw75f1H15Li6MyyMufdz5euUTl39WztfjPePy&#10;wPmoOJ4zQx6zXOzfOI9z8FuG3ZJ/kD30BZAnhOjvIYv4g9+97gu8PgH+QZBNyKFpX4NvAe1r0ezr&#10;yq4wHeJKmh3IB1yH7A888kjNNtgS4FsNe3XbKScHtgjTpxr2ZvxNvuZqSw+udN8oxkedK6nRJ41W&#10;vz3iSDWtjMuuvP33Ct+zXY9XuHjsik/L5bj04AmfDXYwyAV1SYaUo+4csizg77hk8Uta7v1yo+7Q&#10;rmUXOhP2bIF+bZdXVDs007Ds49LZ5/mbz2bmVc0x86vm2rxfk/TdkY5/ad6Z+aOuzGPmwXP8XSk0&#10;82A6UwbMY8YjjHtu5ofQ/x5Y4dvZOvV/2n7Adso8mRHqzu3q0H79AlaTX5VCc6yPx5gHc+zQoQGT&#10;wvtEMTn+HMcY+vbpFzHu7mK2ny/zyIJ+/e23/9J9IsoDY7jon5PUrZmmyMeQbegxsA9Dd4Y/sy+v&#10;vt4MfQI6M3Qa6Dk2nyu1P8ZFhTzHsuVvhjgfd8xr6hma96pnvlnKi+/IsJZnM/Mwj+08ERcXb8Yx&#10;TVxo5mteZ5/nbzsfnkfIOPvY/M00aBuYmwJuwG8Gfs6YCz21fbK6+orLFW3Ao0aO0Dp3n4N7q94H&#10;HaTgd42xR86Z4Zgeec3w1LYxNTA71JF7H9zHyicJq5nGD7PA69BmXdI2VrNOcMw/1g9/Fz0Ed/E9&#10;aY8hYXwQvhuNeP84fSjqXpXqo1JcVF5x5+qVT1z+RT+ftj5R3lHX8Bzj09YL0zMflLt5zHpAOqbF&#10;ubhjpq82BONhu8E3KHR2zvX43UWTgjnnYDp08p/32NnibLwuHerg+Nbt1I29fgO6/+BBx6gxY8B+&#10;Mhjx5nFcvn4a6NhZ4DX0Q/89S11062rrI+vXmXJoPyu+AzvmzNZlwu8g6NOw+0F/jpJzOw/5Hfbz&#10;UhZSFklkAGNA0B0XvfCcbmtgN20oIYfjmNr1PNsurx1+3PFqyJBhAevseKarFLaa17g/nw9jEijX&#10;SixLUu5ZSIN34HswjHouxKGvh76MsRi/n2/XfT587XB+zTtvl5UL82MYla+cE0aJDLhloFIbgn5E&#10;mwgZVV3o68dtY9pU//4DOn1EwPckunV5P9BKXsMfh+9fJFYnbSewdcCXFmXAvhZ2aNqfIUvQpSvJ&#10;VNJ7STp325UykjIyZQD+I9CvYe8mp6oN0b7Hto1V/Q45VHO63E+knMmV7tFKXmPeBZ4NvntF5FIc&#10;Z2HTuOfO2wMZwPtjvwpw2mS0afew87J/m3Imx8IdkYF0MsD2xDaHtrj7bntoXmOcshJD4+Jov6Ye&#10;PXLESIW5M9TN4q6rdL5VvIYNAL4geJfFL76gOcUyy7us2e8BuxjW5MI3BO0dmO8LOxnGtBFvvjOv&#10;R8g/M16O07VFKS8pr7Qy8MRjj2hWw3fkmiuvqILXtHWE4cCBg9RZ48dXkVeof7eC1xhPYx+CuVNm&#10;WZJV5rm8HfMd0FeDx6GvaLtea5D2Dr4X0zNkH894CYU3IgPNkQG2Pcz/hi3EnxMZ8pLcShaGrIZO&#10;fdCBsKvwHPI0j5Pdo9m8xtrH/r65/nykDevXlfE6T3IJvvKPz436hr0DY4dYdwP7qcD/BfNW0E8x&#10;HUMymr8lbE67lHKWcqYM2G3wvrvvDPaLueDccwLdMhmj47l7wAEHd+aVntO8d7N5jTFX3hu+7Syz&#10;IoTQm2HnQL8JVsP+kef+qAh1Iu8gXI6TAVPXIrPBavrwUbeu2t6s1wfxfQngd33kkQM1G8i/asJG&#10;8NpeI4vzz0Pdul1hz1XbbhtXrnk4D18Pfx/Zdr1mB+bTm8/N7yycwzHlw0wjx8IWkYHWyQC+fznG&#10;iPVGwrVEqteHtc3D4/Yu3n6Q404bF8yhAaur6QcawWvy2QyxHq6/xldJz9fDeGPemYX+Bn4dGEM0&#10;7R5mm+M7MkSceWymlePWtVUp++5Z9myL0KFg++Cc9NEnjgrsANXowbxmyuTr1P77H6R69TrQ2xvh&#10;ukzq1yancfwff/9b8O7wXTPbBsvLPJeXY9g/0AdhPiuOzXfBsUuPdsXnpRzkObsn64pU72jHtINg&#10;nSefrfG2aPLYFY4ccULZ2tfT9Nz06sYaca9m6NeYo8f3wnyQotQzeAu7B1mN35XezeQ50tm/K10r&#10;ccJEkYH6ywDaINZPI6uxVgjWVSWvagnhf7333vvoNaei8smiPQRzqTH2hueF3YB7kYjs1V/2pEyl&#10;TEUG3DJg6knw3QKjweu9f723uvKySz1W1WKv9nXya6+6Uh3o+e8dcwz2s6k9P/K+kfo19vfks2JN&#10;OeihIk9ueZIykjISGWiMDIDVn2z8WHMI6/OB1Vwj5LwJZ2u9kmwku8Lf0faRcB5jOIYIX2vwWufh&#10;jTdWo0tH3bdRvN6yZUunb5uvV5PVKC/2bwxFNhsjm1KuUq4iA6EMmLzBfsH77rOvZjVC7Mdbzkfo&#10;xOn14ksvuUSB1X36HNKZX/o8yp+jvI9oBK/hz2fuFRO1/wDkyCw/katQrqQspCxEBhonA/DbA6Nh&#10;A8F+BeCjr/9Wx9apnX7W488c7+3TuK2xZqrPWuybUInBaeJq5bXpa81j7InpP0NJ71VF2aM/hGtc&#10;juklbJzMStlK2XYXGTD1QrCa+zqC12NOHh2wKg03w7Qh47EHeps3LyaMC3Xjatfjs/Oqlde27x72&#10;ouc9sDZIkebEdBf5lvcUlhdRBsyxxR4/20nvvQu9OrQth+wlw8rDrvGwf8D2sdeev1KnnXpawL7y&#10;60Ju13q+nrz++uuvy9Y2wp5qRax3eSfhmchA9mTA1KPt+sG+1PQDgV494Sysk9eVv7E87bR5IN4f&#10;XyypCydeoHbaeRdPpx4bcLpeenTcc9ST19i33r9PSWFvFLPMKpWlmU6Os9cOpE6kTvIkA7a9FazG&#10;PHP6gRx91FGaU1E2a9PXo5yZ5Wwf580t32677dQJI08w9PP66dHl9w7zrQevt27dqsjqGVNLeg9v&#10;s36F1dLeTXmQY5GHZskAWI11m6BTYz/0dHq1yWgclxTGFOn/MenCiYFeTT01jrP1Ol8PXq/76MPg&#10;ubE+nd2/Ca+lfTarfcp9RNbIG/iogdP8u/Tii8p0YVO/Dm3YoS4bMtbn9siRo7ROPeaUrmOKZXq5&#10;YTsJ84jKN/25evDa34OwpNc8emvlm1389FB+LENpT9KeRAZEBhotA9AbyWnMWwSru7LT15n98z6T&#10;u6ZpV+3XXq3XQoVe3X7dNVrPjkrXjHO18nr1qpVBOXDP3EbXheQv7V1kQGSA/sG2LJjrooLZIatL&#10;Zfp1FF/L9GRvbHGyx+oePX6ueu6zX8C5VOOUXh5R96n2XC28xhzGm2bO0M+DPa/scpPf0qZEBkQG&#10;GikDNrPxHT/y+OHB2OLgo4+2eBmvR3dhqGfXwB4DPXuWs5p2lMo2lPpyms9WC6/pa431nOC7JzYP&#10;aZuNbJuSt8hXJRnAWnLYdxF+INhv4LSxbQarTdtHMpaO9Hw/YAPpqk+T+QyT5Ufm1hJWw2vOY4T/&#10;OfoY7PGFcrT7ukplK3HS9kQGRAZqkQHbr+GOW28JbNZDjxlssBo8Tc5rMG3cuHFqxx1/7NmuYa/m&#10;9RaXGziuGMf0NLwmpzGn8Ztvvgn2zcVeWLWUu1wr7VZkQGSgVhmgbg2b9YXnn1dmq05lu/A4jP1g&#10;xp95ZqBb+9f7+nSqvDJiv14wb67ud7Avg+wpK22t1rYm14sM1SIDt9w4M9CtR40cYejE6W0WgwYd&#10;owYMOKwzD1OnTp9XnJ5c7fk0+jXXCsHei7zf668uF7u1ZwuqRdbkWik/kYH0MsDxMqxjDZ0aduuQ&#10;1SZnkx8f5Y0vajuI9ttLfh152OgwDa9pD5n7xOOa19gPnHLGsmPI8xKml0MpMykzkYF4GQBjTM5Q&#10;t+ae5kntFUznr3daUlddcbm3Hup2akzZGnut16nNPiANr6Ffb968KdCtse8Z5MosP7McRebiZU7K&#10;RspGZKB6GTA5g/VAoF8fN2xYwCaTce5jn8kDDj1MYQ5juT9IfnkN/XrlihVBmby6bEmgX4tvSPWy&#10;J+1Wyk5kIL0MgNn33X1n4Gv9u4smBWzyGZ2MtXrPcm+MsWfPXmVjlG7ON99ekla/xv7mLIsPP1gb&#10;8Jr9HUORv/TyJ2UmZSYykEwGwBnYrffbdz/N60EDB6bUi0OWY775L719ZtrG0F87jMsas9PyGnuc&#10;4x2wlgpki3xmKPKWTN6knKScRAZqkwHMh4EdBHbrOK7SRh0d73O5f/8BatddfhnoodFpm69LRz1H&#10;Wl7PnD5N92OLXngu0K1F7mqTOyk/KT+RgXQygDVCwGr89e3dJ5bXUcwzz0G3xp6Lk7y9B8zzWT1O&#10;w2vMOcd7XD9tijJtISJr6WRNykvKS2SgNhkw1987ZfRJVbN26NBj1aBB9lzIbOjSUX1GGl7Tjw/z&#10;0EXeapM3KT8pP5GB6mXgYm+vAOjW8Lm+/HeXVDVOCFvJvt4YI/xBKttNssPvNLy+fdbN+t1k3dTq&#10;5UzaqJSdyEDtMnDs0KGa19iTMUoPTXpuf2/eeV5YjXdKw2uWwbtvrxb9WuY0igyIDLREBt5e/Vaw&#10;d+7oE0+smtdYI+SkE2FLya4/CJnLMB2v/fcS/aB2/UDKUMpQZKA6Gbji0t/VrFtfesklepyRHMxL&#10;mI7X7QrrO4mcVSdnUm5SbiIDtcnA+nUfqX332Vfzuvq1Qkp6jHH4ccd36uZF1a/b1b133dFlP12R&#10;wdpkUMpPyk9kIFoG7HnT5nzGyddcHdhC0tqgYQvh3l/htdnndhr9Gu/FeTIiX9HyJeUi5SIy0DgZ&#10;OP+cCVq33nWX3QJW+7aMZKwFw6Z543b+vjGh3wfZnXW7SBpe412E142TRWnnUrYiA9EygPnTGz/e&#10;oPbw5o3Dj29A//4Wr0P2dmVuOctPHn2ywrqpTBfq15XyyEZcOl6Xyngtc9CjZUvanJSLyEDtMgC+&#10;kDEIX1u+TLMavB4x/LhO3pazmAzuGobpsN/5+DPHe9fznB1mg81d3yG9P5/o17XLobRlKUORgXQy&#10;ADv2MwvmB7xuO+XkQD8Ouevm7CRvns3/+OEPFWzfvg0kP3NlwO9q9Wv2eyJ36eROykvKS2SgOhm4&#10;9eYbA15fcN65VfC6pPdl7NPnEONaN+Oj9NxWnUvL6wfuvVv8+WSehMiAyEBTZMDcA51+17CHXHX5&#10;ZXpeYmh7pk0jmr9IN9lb2+mH2/xQ7yPTKt7Wet+0vL7r9lubUk+ig1Sng0i5SbkVSQbM7/hxp47V&#10;+nX6Oeg+y7G+NfYkqJWZrbw+Ha/bFb5JbJ/IIsmHvIvwTmQgezIAbnPfrz4H9+5kbnLbM3z4Dj/s&#10;CG+c8cxuxWuspWr2eSLb2ZNtqROpkyLIADmDEDoiOA1bSDXzGsHrAw882GN1csa3Uo+Ou3da/Rr5&#10;YB1syAPLswiyIe8gjBMZyLYMYB8Z8Hr8GadbOnJl2zWYBft13779rOuibd1xrMzC+TS8vmnmDP2+&#10;2FtGWJ1t2Rb2SP0USQZMX76rr7g8FXf9McmSntMYjk/mj9XoL9LwGvsU4HvikQfvlzFH8Q8QGRAZ&#10;aJoMkNfYn8DXc906takPjz/zDHWkntPYfewhWHcWZXDj9dMV1skqUv8t7yL6qMhAdmVgyuTr9F4y&#10;WJvPnx9DXiPkcbzOjPVCxraNrYr1JvdbfZxGv/7+++8737ddyX672ZVt4Y7UTdFkAOs8Qbc+4rDD&#10;AgalYSf21MWa193JHgJeP3jfPbo/u+PWW9QnGz8WHVu+iUUGRAYaLgMjjx9u+IZQn2YYr1eD6ZiD&#10;/tOf/J+qOJ+mT2hG2jT69Xfffaf1aj7XO559hP04xx8Z8ryEouuJDIgM1CoDu++2h+b1Gaedmpq7&#10;o08arfr3G5D6OnIuS2EaXkO/XvXmiuCb4tVlSwJeyxwaaZO1tkm5XmQoTgbgx4e/iWXrhlTWq8nZ&#10;IUOGqRNO8Pd55BpPjMtbmJbXmzdv0vYQ2PhnP/pwwGvq1Qzjyl3OS5sUGRAZSCoD4Al8G2C7xt9F&#10;Ey9IrSf39dZ3uiqlD2BWOZ6G17CHQMee+8TjuszgJ/Lpn/+kmW2uy5K0LiSdtFuRAZGBSjIAXq9c&#10;8YbWrcHrasYL+/bJ/zwZ9h9peA1W42/jhvVBuS19eXGgYwuzpe1VansSJ/KRRgb4rf7mG3/QujXs&#10;IUl898g2hrBdc78vhDxmfJ7CangNZi98al6gY6/78IOA2WnqQ9JK+xUZEBmIkwHy2tSvq2FruN51&#10;Mn+Sau7RrGuq5TWYjfnp+D4RX2xpc3FtTs6LbNQqA0sWv6TtIYnWUfV4ZLOzf/9i+IbgvWrhNTiN&#10;PO68bZbeC7PWepHrpW2LDIgM2DKAueiwXWOvXZvF0b9DPfqEkaPU0KHHJrwumb9J9D2bc20aXnO8&#10;Ebo1jv/+t7965eCXzbNPPyU2EZk3ITIgMlBXGcCYGNgC2/Wee+yVgLvm+iAl1a/foarNm4fOcco8&#10;267RT6ThNTht/3ENKOSF9UXsvlF+i74kMiAyUK0MwIbNtZ7Aa3I3TscNeexze9ddf9m5F3qo/2It&#10;7Ljrs36+Vl5/8803CnPTUY633DhTrX1vjTBbdCyRAZGBusgAeE392reHhLaOrmxlXBhu/6PtDd9r&#10;nu++vIa+/dryZbq/ArM75syuSz1V2x/LdaLLiQwUSwbA62T263IeY44M9tc1uZ5n3RrvUat+DV77&#10;cx7RZ5XUzTdcX7bWKvpH+uVIOypWO5L6lPpshgzQHpJ2vBH76+6yy25lvDbZncfjevAazN748QY1&#10;66YbdNncfcdtylwLqhl1KvcQdogMFFMG0vPat3dgf4JevQ4UXkeMO4LZmzZ9oWZOn6r1bNhGPpJ5&#10;NGIbEjuuyECNMlAtr3v27NW5p0x+7dX2N0C99GvwGn9/eP01zWvYRh5+4D6td4s9pJh6j+izUq/N&#10;kIFqeb3zzr9QsInYzMvz73rx2vTNxlx13++mpO66/VaZS1OjftGMNiH3EPZmVQbS8drz42v35zja&#10;Y4155jSfvVZem5w2j++/566gXzPXyc6qTMhzCa9EBrIpA2l4TT0R3/fbbPPfAwaRd3kPa+U17SB2&#10;uGXLFu3bh/KBX/brry4vs+OJjSSbbUOYJfWSFRkgI8Br+PMlm9/o+6ldctEk1aPHToXjNfYc4N4N&#10;NnP52xXPdHb41Vdf6TWh2KfNefzRgNmyH41wIStckOfIpixyfeby+TLusUPo2NizEb58vr7tvoaM&#10;ynqI+eQuHrvibU6bdpG/fP5Zp8+IX2aLF70YMFvaSTbbidSL1EuWZCCNPYS8xThjf2/tEP4uRlhS&#10;jeC1ze/317yrbr35Rl12M6dP0+uvwteP3ztZkg15FmGVyEC2ZIDrqfb4mdu+Qft1Wxt4PaBgvG5v&#10;Cq/Bb6wzct/dd3rl588ZvWHGNLX2/fdE1xbfEZEBkYGKMoD9ZfCNDxt2Mj25pIYcM6xzXb7i2ELw&#10;7s3Qr6lvYwzy+WcWdpZ5Sa8TZY9Dim6TLd1G6kPqo9UyQF6D2cl43a6GeGteF833utm8JrdX/OH3&#10;ZeMALzz7TGT/atpLcMzxh1bLj9xfGCYy0DwZSM1rb7zxqKOO7rKOalLWZzldM/Vr8hrjkR+sfT8Y&#10;h7x+2hTt70cek9NmaMdJe2lee5GylrJuhQygzYMB3G/XbQ/xbK0eq8Fb7AFGW3aW+Zv22VrBa3D7&#10;888+6xyDDNdAxDpRmM8eJRtkd1ScnBOeiAwUTwbQ5vH31so3A/v15GuuTmATKWlec6wsLROznL4V&#10;vAarb7x+ulfuJYVxx0cevL+sDubPnaPXZBVGF68NClelTquRAfoUTzzv3DJWRLEV89H9PdFDXTAq&#10;XR7PNZvXW779tmwOzdKXF2s2P3Dv3WU2bazNKv4j0raradtyTfHkhry+wMFr2kDoyyfzZbru4Ui7&#10;dJLw2YULOvvHklowv0PbPqhHr1zxhjLXHcE8dsxtgq07qg3yOjMu6pwZL8d+W5ZyKh7Tiibb5pgV&#10;/fmS6NfQm/v27efUw0W/DlluznEkx1e/tSooQ71u34b1kRx+6YXnvbHIaUFa7FkDllMewZoo3tjn&#10;7N+8vruFZ595hpoy+Trt/46xG/P92SZwjuWFkMdmWjkWxrdCBiCL1K8vPP+8gAtxvIVOrccbPW7H&#10;pcnr+UbbQ8ht2KxvmjlDlx9s1thLHfVg8oKygHPYtxf7+LJcUQePPvRAsNdY1HXm9TyW8BO93hb1&#10;E4S9DzpI8ztub2RhtXA5K+2G7Ry+IZBdl349tdM/xLdfC6+pK6cJv/jiP4K9wmCXXvPuO2X6m8kH&#10;83jD+nUKuvZtt9wUcBu6Nmwq0LdZl+Y1ccdZkb9mPwfKA3u1wba0q7f+DbkN+cff4QMGqKu9fUmx&#10;RgPSmeWHZ7V/N/v55X7Sd0AGKLfJ9Ot21e+Q/gEzqPMVIWyUfk29GlwHC1hWL7/kr/dE1ka1RzsO&#10;HMHafswDfiXQtx+6/95A32Y+wpf49g2bCOQ+6g/sPvmkExXWekFZohylLOPLkvImYWPLCCww58sk&#10;8+drV4d6/tfghYw3hjbqJDr2Rs9G7duiS3os8eNOm3UlFsTFrV/3kZ7P7q8dBV+dksJcG7Ac89oR&#10;z2sZSnsK2xPW2DphxPGa1z/9SQ8Fnxz8jT5xVKC//LzHzmrUyBFq3pNPBNyWMgzLUMqi+WWBNT2h&#10;Y+z0818YOlu8rWPkyFFq8OAhnWmL5dPXSP0aazxRJ8b4Yj1lHfYQrvnHeyCE/aTSfborx81vFtiv&#10;oU9j/Xf2ub9/7VV1aL9++jz17ysv+50eR0CZ4Xqz7MzjSuUtcc3nW1HKnDJ77113aF7vt+9+AU/M&#10;Nm8fw5evrW1sgXTrsM9pFK/BAYwpsixxXG85gn+27//n20f8e/l7RsKvm0xhyPvbv3m+iGHUu3I9&#10;YTC7Y87sgNloH0OPGazbBpnd5+DewdhwEctH3im7/Qlld+b0qVom+/buE/CEXLHDaaV2vU/BuRMm&#10;qBlTTS7E6+N2Hln+3Uhew58D7/7EY4/UndWsS4TveH3BUx1PanajjljeGKfEefoCmtdEtVPGR8Xl&#10;+Rzey363IYMH6TZwQK/9FfYBop6NcNWbK9RZng8gmQ29G/sQYRwhz+Ugz55dNleqG8yRgW5x3LBh&#10;QdtmG7dDjJ1vu922qv3aazrThjyw0+bxd6N4berWmP9fqT7SxoE9/D7nNxPywHncC3YSe5wBPoSY&#10;5w4bbtT9bJ5FpcnjOb4Xy4vvQJ0FTIYthLw2x4nhy4N4tBWE8DHh9RLmk315qzfI7bFDh2j5O21s&#10;W5d2bTN3yJBhas89f+Wxukic5ruUtE8z9Si2WTt0xdvp8fv2WTfrMkObb4SMkEMMeQ/8Rh2vXLFC&#10;Yf0ouz7hD7joheeCsUnyniHzKXr48AP3Bfrz3CceD3ht1yVYjnEeyMC+++yr7dlFLxt5v2z1RXvs&#10;vqeWv/PPmdClPdvtu2fP/TrXesq//cPWOfGu8ANw8dgVb7fx5xY+rcsVOhxsFTZTa20PyM/Ok78Z&#10;4h5gMPTtp+fP0+yGLwn7XejbYBbsJfQtqfW58nQ91kGE3ow/lIldh+ZvMBt2E6QFs6Fni20kW0zL&#10;k+yleVaOtYBB1151ZUVewwbyox9try695JKgnds8z/fvklq25JW68nrz5k1BmcJ+bfIzTT3VKy3u&#10;bz4D2M068/svfmu0K/iwgGNmevM5cD5OD487b16ftWP2w5MuOL8ir8Huf2zerJmNa8DtONuIWXbm&#10;cdbeXZ4nW/2N2X5MuYENBDIHPaG83fr6M3VQjDOeNX682muvX3s2k1C3ZjyvzXtYb16DdywT5I12&#10;gfI366DVbQW6IXzwwW70Kf48+ZDbWOsV57HvDXRvc2/guPfgeTts9bvG3R/POWzIMZq9Y04e7eQ1&#10;mI19gfbfr5e+BnMl7XFkvrt5T5yLOm+mkeNssTMr9fHa8mUK8wHA6/FnnB5whXzxw7DdDhw4yPPj&#10;a4tJFzK8/Pp8na83r/15iH4ZmvNXWi0D6L+juIHz4Df8/+jPElWf8BuE3TtuvNLUD1r9rknvz7kz&#10;4LU5zmjaQuxj1Om5E85WmBeMP8yFstcXYFkzjCr3pM8o6bofyyk3sFeD1WC2yWauERK2U89vz7Pt&#10;HnRgb4PV8OXz5jd658N0+T+uN6+5phNtISz7VrU78/44tp+DLGEI9qDP8W3dXeezQvdGPOzyZl64&#10;3rwX46LOMa7V4Yjhx+n2cMrokxLp1+a3k9kGUFZY04U2bZblp3/+U2A/4rlWv7PcP9v8N+Vk9932&#10;0PJ54P4HeMwN9Wju+WXbOsBr7FXAtEVjNdpcrbw29TL68KH9vuetQ4GyN8s/q23FfEYeY948+IT1&#10;TvDdH64VCLnxZQe+LxizXPjUPLV86RLNcDIrq+9qPtfI44cnsods3bpVlwP7MITwvcEf9wmCLN15&#10;2yztG2iWAcvTvK8cZ5uZWaif559ZqGUTYyVuv+uSOu+ccxT3KDB1iaId18pr83uZTIP+SV2WYRZk&#10;IIod5vNFxZvPjXjYRMDpODkAv+DnbevfZj5ZOaY9xKVfYw0Y/31L+tsCNhG+A8ok3IPC/97Ua5t7&#10;NibEmeXLayQUXrtkwJwfYPvxddWbSwp+fKNPGl3WLm1/grg2m6fztfKa+jX8Qlg+GKMrWju13wdz&#10;JmHzMfdV4PcZQ3AL7IaNxZZPV9+A9I3mHeaawz54xmmnBvYQ1qfZD0NGINOYh2S/B3+jzs25pXhv&#10;lhnew37fRr8bn0vCfPYN404dq2UT8nnNlVd48mfYQ7RN2rdZk7Xbbrtt4MdHDiGObZHp8h7Wymu2&#10;a+idKAvol/geNtuneVy09oN3W/PO23q8EnYR2EcwJ8eWC7AOY5bw98bYpql/Iw+7jPibIcrNPK61&#10;HDFuim9N/F152aUBr1mfZog5sGgv+Eat9AzwH+G7g93oz7gWgP28lfKx08rvfDI3bb1RJrCPxt6/&#10;3lvz+sgjjujSlsK25TP81LGnql96c2pCppPtDPM/zsh3rhevOc4IJpn1xDowz+Xx2NQVzec33w9p&#10;+BvzdGAX8tcQjFt3xl9jdukrLwdlxutxD96T9+NvpuFvxqcJlyx+SbMa+gvsOyaf7WPEQ0+BPZ/v&#10;aD4Dj3l/fw0utpGS7p+YppZnZv4SFo/flA+EUyZfq1kNXeKqyy+L5bU/ttiuDj/sCHXRhRM708W1&#10;NcpjvsN68Pr//uMfQVlBf2R7MuuA54oQxr0Xz5vviHPQF2AvwFqvYDjG6Th2x34TugHYbo5fwo7S&#10;KJ9I3If6Neaj2ow2f/MZTbtO3Lvy3aGT0z4CmxF83ZOsfc7rJSwek111CpmCHoF1fiGbo0880WI1&#10;9GVTZ/aPDzjg4IA/lFWERbOF4J3qwetwPKpd+xGYbdk8dtVXluOpF/J9EOLP1jf5DkzH3wx5HhyG&#10;XQT8Dn0sfPmj/Y3yhj0FkJZr0jIP5llNiLWtoVvjb51nGyGfbfs1frMNYP1a3Cvu/jjPONhbcJ2/&#10;l5v/XrCP4HqWWTXPLdcUm+PwWYJMhj7XXfVhc/7iVd56fOV7NVptyJNBym8RwnrwGhwhW7DWhLSp&#10;eKaxbMg1/I5mN+UM8ufLIOQNY5gvPv+sIjtxvZkX83eFGM+BDoO28a9//bPifBnKuXlP5l/p3s8+&#10;/ZT28TPX3cJ6NZWuYb4SFpvLUfVr7vuFNXwpd+Vh2BZw/sgjB6rhxx0fmbarHwnbVH7DevDanEex&#10;+q1VwmuPoVHyGHfO5BfGauG7/uqyJdqG8PgjD2n7SSizobxyDLPDYyD8xDG2Fzf/0rwH+geM54DX&#10;l15ycaBbU8e2Q94bvDbzwfvYv3kO53EfjGtgHBK6Ne0j8PvEGttx5SHn08lPXsoLMhElL3x+rElD&#10;HQI+S5S7uHDSxIlqxx1/rK7wxsvj0hTtfK28xvfyK4sXBeUFWy3LX8J07Y6yTNsLQ5Yj1ojt8PaD&#10;8e0n0BFCdptyibUHYWcBv8FMXs/wvrvvDGwhOGfz2f4N+zO+n1avWhk7Bsq8GYLtXHOc7wUfPzwn&#10;8oL9nvYdXiNhOnnJY3lBFkx7GI8RHn3UUYFchvsNxOvCeu3UfocG7DHbQFGPa+U12ra5/7k5ty2P&#10;8tTKZ7b5jGehPJtyjnNv/P51zeT4uTshyzG2CPv3hx+s1exmu8B+6GSzbbfGeZ7z50GVPJ1/aRf2&#10;s7zIZL4D9q7HPRmPELIBe47flkradx19ivluZno5Lh6/KR923Zq2kMFHH+1kcPu1V6ttttlGTQr8&#10;QuK5XiR214PX8Dtmmdj1IL/TtzmyL67sEG+mgQ0E3IP/yZOzH1NgZTnHwe6Stkec2jZGf3Nif3T4&#10;e5DXlULkifqFHRr3wXOZ9+fzwP8DfviwfcAGwudnWoRgNmw9+PalzMAez7QMeQ1/S5hejrJaZnbd&#10;4hsQOgRsIdhTd/I1VweyQRkpD0tq+PDjtR+f/40Z6ibl6YrH8HrwGutr4BsXjMiqjOTpuUx5No+j&#10;3sHUV+y09COEDRxyDF9W+oTQToi56LBhd8yZrf76l88j+U17F/yqUcfw1Yv6joINBmOMUc/Jc3xG&#10;2K85Ro02h2uZRsLisDmqLk2ZxTH4QbmEjIZyEc1b+If07NnLk2nP17rdX9/JdU1ROF4PXvvz39r1&#10;/D22x6h6knP1b4dJyxvtwvThA6/JbLQVHmNcHuurYpwQ83jA8A3r12new46NPgD6MfiK9cFh84D/&#10;NnRwnGcdxz2XeR5zPNFPcBxywby5wfXMR8L6y0yry9SUATwL1rGB/B31299qOXOxFTaQQw7pnyit&#10;K6+8xdeb162WBbl/fPtmO8GcBIw5YAx+1MgRinulU8exw2uuvLxzT4f2Mj0Y7IZ9xPbz432i6sLW&#10;rZCW45DQl6DDR42RRuUl5+LrOg9lg7qf/ejDgW6N9dRNfpbpzN73ux9XUrt4e2W0tY3VenhZGu8b&#10;0ry+iMf14jXKDWNJeZCT7vaM5CdC8BIhmEh5pi0CIfZf2m3X3YM2RHafHvhXlbSOzTxRluYxy5b3&#10;4m8znclsnMc4KHxJ2B7xHPb1fG4zPznOL69Zv1xzDPNjMA/dt0eTu+bcct9GjXnn2223rcJ4I+ej&#10;Q266C7frwWvfP8Qvz6i2K+0qW+0KdYSxRvIR66Gyjlh/WNsJa1piXg32/kJ78tdJ88cdObec10WF&#10;zCsqDvPzF8zv0PdFOvQftKvhuTB/3byuUl5mOjnOlqzF1QfqG2MnsIP0+NlO6tKLLzJYHT1+CB+/&#10;Hj12UieMHBXIri/D4Hv0NWE8+4B8h/XgtfiHZLeNxOml8J+iLNt+d3YbQ1rME2475eTwGmONKqZP&#10;wlTcC/N8zHVmeD38XMz1acF0xDFfhkwvYXblzlU38DHlt9uggQPL+FuuK/scxlzFkR6ne+6zX7fR&#10;pdk+zbAevIYfmZ+n963cucaEq74kvvltzeSdOScVDDXjaK9gyLirvbUaKDtcCwT1yPi4OkU88uJe&#10;D+SwnR7pMD+WthGEYDifw04vv5svQ7WWOWXh7DPPCHht70cQ6sq0h4DZJb0/Y5y/tbmmCGW0iGE9&#10;eI32R16b6zrXWrdyfePaIxhNebZ9quP4CxuIb7Pwfbnj9HL7ejC3w/MDgT8J/QDtNFh/Fn6DqHPI&#10;EP2z0S/wmlrlwb5nrfnJ9dXJJ+bXwv8f+jV0a1+f9vVoyqQdgtMHH9w3kFk7vvi//T6rHrzmvo0o&#10;szjdSWS7OtluVLmZe3jBll2JZYxjaLYv+JpUekZcA//vSnPPwXPo0ua3GXwD+V0MGwnnaJq+I8i7&#10;Ft2b78M8+LvS+0hccjlmeZr1BF9r+o4ecdhhgZ4Xy9tOvxDtEzKmrRvz2re714PXkGGWN755KdOs&#10;L/6WMLmsN7qsMJ7HOjM5GXVfux7D79V2PSZJ/dy+Fv5+0I8rzWMHf7FmH/PgvWg/Me3ZvC/YjrmW&#10;8COB7zfYjus/WPt+ZL/DPO3nk9/NlcfFi17U49bgNeYxTpl8XSCDlMWo8MRRJ+n5MUnTR+WR33Pl&#10;3x314PVXX37plbtva8K8CWkHzW0H1ZQ3WOfLcEnXF3XMJHlR78X1OAY7cZ2ZB2wY4Gqc/g2GgrFI&#10;A1s6rsc5Mw+c4z5zfFZXu0N+8OEGG9Bf2O/D/KPuZaeV3/WVY/iDcIzxLM9+zf63Yp168rX33j0N&#10;rpfzq+K1nnzmO77ru9aD11h7gvuB4bvVlHPRbeor82bZ1nLMPbswvzxNHZm2L38dKL9NYA0QOx97&#10;HNN8XrI6zgbOtNgLA3797CPgWwJ/pHvvuqNCW4Sc+/oD0mM+Du4DuwvzlbB5cgm5QL8NVkO33sPb&#10;a9H3ta7MU9T5hRMvUL16HdhZ1xx/rHxdvhltv1s5s5cvXRL0eXFr/rBPjIvHeepB3G9X2kPz2kM1&#10;Zc19cTu8ccCk16PdYV1Avz2U9Dx1XM/2gb4fednc5jno3BjfwDWwx1Tip5kHroN80TaCZ0c+OI+x&#10;SdhD4KMEH0HoC+A70/LZ+MzgN+IxbgobPjiOvgO6OHXvpOUh6ZLJOFgNRoMjfXv3qbgno1lfGGOE&#10;v/WECWcHMpZIJ8+9Xk1ml7MaZYMxexePXfHg9aZNXwRl+v/ZO/On3Yrq3u+/4Nb9wd+8VQ7ERI2a&#10;KEYJWImJXhyiqIAgzkrMdJ2ZVJwSjMb3CdORQQERReQIHuRwRECmwzwIIgiHGcS6V3CIiEOO8RSV&#10;+3y6z3fv9fS79zMPe1hv1Vu9h969u9fu/vR6Vq/u9jHH8erxstq7ZR/vhE2q97BqnHwoDdZzot7A&#10;TD2HjZpr6ZrWeoZ4d/X3YJDNGZu1vad0qkLFlU6gd11/7TV5HuyzcJdnWC+c/Oq3hMrM82X/5J+4&#10;PIPPud5r0/bj6rpdJi+usT4IDIHZqdz1uym9zvzFpzx1l2z//Q8YeKYqfvp8+8572Qff/77sYx/5&#10;8Fx4zVrJ+n2s+cSq22XfUfc8rK7/85SNdEe+BTql7AXjvkMMjGt9xL2BdY3+We3jiyd9fmD9D72X&#10;5+x6ULyXvOj+sHwoDvp0YXePzMUPsOrZtN5hJ0enhsnM3Ryn7ePbQj8B+/WeNF1dnzVUuirvrOkt&#10;63nlW6Heyzl2K/mDrN8/t+g3mVuu70F44DsP7K8T8qc769V6PVP1rd1hUe6PH/6R7JnPeFZ22CEH&#10;z4XX6NiybdIWbuvvRaLv5uFymDxKzmpP0ocJeUbXhz2vONJVCXWN52C29r1B9551vy+btj3mXXBX&#10;eygwbgJPq2wr9ll7DPvxYyQtbCnYZ5AHvwFkKypYENsNY5m8l7LT//DblHJjk+H9Sj8Ny+RKnKp4&#10;ul72XFOuId9//vjHcn8Q1t7r/dunDX8LFkU5F+dr/XislxrnZxXXR/0+Kr5X0Q806xplteVdyz7U&#10;5zM2JPo8/plbNMreMeo+rNZeJFonnzpN3WqartCU9jBpPi0DVIexK+q6wqp0dT/yOq6jp2t6ppjn&#10;Gu0lqc818dP6kKahtBTqmTQefISfKgvHVbq2fdYek5eq9LEZ8TtEa4en7Si+17avXlgbXOvKYvNJ&#10;y2rLpOOy0Oax7H7drpXllz5P3IA3+k7Dw152ZF+33nXXF8Q9dPvHUee2DLPHTeXyqHzHMrJ2pmQI&#10;q1kbi3EXXYO7Zf+j7ttnWCdI38TnOq5er6Yt2fYUbSFrYc1pO/dkXAZ89ctfCt+XUM/oHT966IcZ&#10;e//y+4o6gD2YMUDWz1YeqkKlZUOla6/ZY3S4zWa8E/0ePRlul71H12wa9njYfWR1W3+uPGuCo8/j&#10;M84+Pid//oS8vqveKyQ/p33x5MB8uI8s6NPQ6e/4wW05z0eV0+axbsdlMmNODGuEwRjCT/b3w5BM&#10;YijmKoz8+synjuj77v158AcpfK0H4wymM4p7TbpPOXvBb0Y6NdxFhvR37AvF75N585q5F9JFytb0&#10;qVt961p+4nzytfC7ftKy0zatfm2fly7J+CVxsCvIHim7i43PcVlbT+OUxUuf4536Xaf2DLfL0kqv&#10;2bTscRrP5iONxzksh+OUfb1tPLZFyUN5JCTf9HGMnZb5i5flo87X+L0OY2DNHn++R39vr08lrC4Y&#10;murOr3nN67KXv/yVO+OnvnvitsIiHSvPJh+zt478aKQjo2PbMs2b19u3b8/Tp+7WuW51KW/iqfzc&#10;pv02sJd2pjkyyFD8IoRZ2HbtGCT1Db1+kfJG/yVPtm5TRvQH8qXyLzIPSpu80IcM+qaM4sugvzhj&#10;s6Qj2ZI2ZdC5Qr2TkGu6Tqgy65ri2ni6NipM0yiLr3294PUfPu0ZlX57rLXHd0p5vevzXzDw/ey3&#10;bN5xWb9Sda0XZDWK1chg3rzGNoKuQdrs8zRsLnLZN/dri7OhsC+A6j1MnUTWaq/y58OPuex57vPP&#10;PezX0ud5L7aAsmfmdQ2+8Q44rT3GWDeK33k3Xn/dwLpRKs+83p2mY9mqe/QdjMPSd7FmPL4u2JWQ&#10;pb5LGmJTwV+cfVjQw+kPNcaJPaiMvWVl0zWF5KnqWPlNQ8Un1LHSgdXo0+iFrOXE+ntFWeDUTlb1&#10;+/r8+s7jI/p65fP7rD7wwAOLe4rfrzd5/MYel3E69lfvfff/CXPzZftAdnu96lXZRw47NCl3TGNW&#10;Xmuc0dqwOdaa2PSh2C/Tb+/ni+NylWztmtdXXH5p0L+kg1U9o+uKF3kd/fm4p3arULzWOc9ZZmtO&#10;jdKdZ2jfiY1Y/ipRj4v7LKQ2Bz2jcB75UVqS2bhpopPjc0J/ozEA5R1mpfoo1ygj3KcP4HnezXuV&#10;B73bnitfNp6uKX4a2ri6pzSlV8Mc9rXA92yQsZZX9jiy+K9e/JL+2tZvK56xTG8so6v6mVh+bPW7&#10;77Z7PnaI7LBTl+0Nj+6hejArry2nLbvt/JlF/xZW/fFweB/AWJn0HPTNaeQFj6k7qX6t9oy9BB1Q&#10;adOmGXeO7TfW1WXUB96LnsCYoDinOk8Z0E2Vx0WG5APZSD46J+S9uq48cJ3/3KbS9xdnzuYg/8SC&#10;2I5ZiwM7J+NUjPHyDeiP7Tpeep/eQ5heS/Ni49pj4tnzvV/72lyvZj6H6pjkbfOub6Fr7O/FGKNs&#10;JFyPa1mv57qeaU4Yy7BeDr3AZtn5YfU+/XVlB1ldMNo+P09eW3ZzzH5PfDvsistqH7Ye+fEgv+O+&#10;bbGtb7v9BwNtblxZRf16bR2v1fbxT4bPOle6XNN8KupE1TpQij9NaN+pY9YfwX6ATURratPeTzrx&#10;+GA7uf++e6eSw6j86f0Kbfxh19J79hwfRnxf6HdZlxC9Gpazt+Yf7PKHgZkwYNfnPT/wAAa8421v&#10;DXMs0NHwVWEPep5nfgS/NUjf/tt82mObD45pz8gTHzPeud4GQj0rY268hv8H44vP7c95POTggyr6&#10;I/VLzQzTvgmd+i1vemPuOwOn93/9vsbOXyYvW/beQuzX4vYjDz+88zv0whiU/f5+PMjSZcgD32Dp&#10;Jmn/advjsLxEXhf2kFTXoo6mNgelV+jZ1MHe0DWx9cwkYVqGNG/orPJHlBz4nUC+JnnPuHHT/PBc&#10;2TWb3qj7Nq6OmTNE27f6GudV/y/5q7/K9+JEDl/uz0Hku9KvVc07SmUJe/ROfPbW20Bkv7G8icfU&#10;EVi9++4vyuujvgeh1Sft9SYfozu/8AUvzL/Js5/1nBKZpbzWOWE8XqR+DbexI/IbDVlvPucb2Y/6&#10;PrqqZx4ul9m0S76D9e2Y5BvAEu1zIHuI+KIQPRZfOp2n6Rc6fi/MI5TthPhVz6RpTHKepsk5/Ql5&#10;lH0bmSCbdL683mPTsMe6v4rQ5oOyiM2wGJ86/HXf+IY3hN/ZL/6Lv8x1OjH9E+t8oguuMtcFeaC/&#10;8z0Zw4Xl/CbjXYwlan8YGBTHxsSWIh0xxnL2s/11QWD1nnu+PNRFe6/Zx2n54/mnj/jnoENj19fv&#10;EOZ6MvdzmvIumtcwm++uvC3DdrmK9lPXd9p2DWPRXWDutPmtsocoPVgIB3Wu91v9THVB7dna0hVf&#10;z88zJG2bD/RtxvZifqK9EP277PdB+uw88zVpWlZGlAc/HFjAP3aRaAct7J+UTzqrdLz39G0oxXew&#10;jB081nOE9AHqFwixt1SnEd8f7dLx+BMf+1h/vb1nZHv055pXPzf4/mbEK5c1+7nLR49vw3Fho075&#10;Pl65l8Fr1mmIcu+F36O2zUxaVz3+ZDq5lbW+wSy249j3FvaQsu/BHJCq39XET9ug5tOIQ+RZx2Xp&#10;T3OtKj3ZSCKXijaEr0Waj6o0psnPPJ8hX+IoXEjnWOi7U0b24CIuujfXxePim4g9hSy4d9AH3j9g&#10;I8fnrHgG1tj4OibU8VrYLxdfEOach+shHI9Tg++q1zNp3aFszH2RTq1vw3jwrOVYBq8ff/zxsJeq&#10;8kqbH9ae51mXPa3I99hnxrZj/QYmkQ9ciPpo+fohSmtz3+5183dvXKdji3eqB4U9ohd0/kXbyvR+&#10;5dOGyId6qbbHeiSUo2qPMfvsqo4pj/qUA/bfL2c2tgr8LgpWipm9XEfG5lz8Jtf9QQ4yJghjxHj6&#10;AvRz1tkr1m5KWT2YBvr1YYceEvaIef3r99vJq/L3qV40OURm/HZhzBdOY6dGXvC7vFyTyWJRvLa+&#10;fRp/ZEyaOkSbQAdLx7xWVe/b/F61Z+xQsf3G/b8mKTNcEOs0XkdYlQa66TC7l8Ysqb/WZ4SxDtIk&#10;z1Vpz/O6ymTTZN1UzW1XPS2zj9hnVnmsMsAJ+LDLU58Wwle87GV532M5wfxw9D7iElbpfNjAWb9T&#10;uiFhtH+IL9LDLZ91LcaB1Z8+4l+yZ/7xs8M+MTYfgQNrO/XsfrzBe007j+WVTi2Z0b8d3t8fp+g3&#10;Va6d8tHvjAnKvyhei9FpWNgL1wb8dFdZ57vwbtmdkf8s5WWuHW2rLB2xAxvDKBs5tnS1UfwbYOMi&#10;9v5UnmyZy67Z++RfY7O0NXRtxttsnDodUx7G/OAE88DFiyoWo/8pDqH0P2yr73vPu3N9WnHgDqxm&#10;Dy/9/tC3Wx+K52v9OTBvz574v54YwjxeYgOJvtbiWLNDxnUlM/o664uelz9nM3IqZLX+frksls3r&#10;H/+//5vPv+X3cJ3bQZ3a5Kx50ZivbMXTpAcXVK9Ibxj38AMpewfP8B/1/Vgn4xp3veBHpPqgeGVp&#10;LOMac22Ya2h9ts/ddHYt5+oiK/aJECtkv4DdB+y/f+kYF37Z8vHgOZis5xVi+4DTH+7bM/Tdi1Cs&#10;Uci3jMcHH3Rw9uK+nZq1m9rlW72+rNanWnJ75ctfnn3io4eXyKycwYVMR99fNq/Rt1kTSnZQ8mrb&#10;KG2R+res38TLaPurfIe4p981o/TeYXlF74z6VaFfk37ZM/Y9No79ttgdSI9+29YH2R9WVQfse/HN&#10;tutss16W9WcpK/sqrrGOsXiBL7TV9eD3eibEMTHGJmUfgdkwnHnRh+R7JlpG9ccng36481r/21n9&#10;mP0Fnv2cP82e+MQnZgcfdFCIG+OXjWuOZtP6PNfhGdl81kI/SJ+mvo4xATitNhLzX8SfR3mWyWtr&#10;02YujdZIwB/YtuNV1Pe2vhP2INt58Jp00M+pd/jUw+8quWF/KbtnWWh1bPZ9Rj+jrg+zjZeluehr&#10;+MvJDqQ2h40+fS/ySa8t4lwyVMg76OPEa+wg7PWnc0L8Oawv2SBT4j4m7DWl8hEWcfguYqX4ozBe&#10;/9e+nfqP+3bql+35iuxTfW7bdNpzXJRZtmqxGhkj81jW2J9Z+c1LBsvkdWrLZg9Wy2zmTvzI59Ms&#10;pM3nvK7g6LhcwbdE43GyraSc4tzq18PSjvyPaxZEm02s69pPzKZtj4eluYh7jI1TJrU77CSqr8qX&#10;wkW8P02Td+l9CtGN4Ye4ga6HPYMxSOnOzIe2vgrjMWVQx5YM0Kff1rdRv+SvX5q99KV7Zu97L7yy&#10;cTnWv3jf7BDZYe9/7p88L/SH2KmxLRW+Nost36p4LV37J48Uejb1QPPd0vrp55P5XafymhevSRf7&#10;ldosOrJ4wT0dl7Gce1Yn5By9UG1cY6KkzXqvSsumm5Zrnud6n8I0ba6zVrDsI7CO+X6UqeqZNI15&#10;n+u9hH/zilcEhkT/64KbzHORHqiQdSuYzxF5HeMW7B7OHPRn7NPYPZhTDrejT3XUyXObSW4vKfKi&#10;etPE0P5mQY7YkQb9JlO5qdyFXj5ruVfFa6tro1NLZ2NdGubAYje0dXHe9bxr6WkfQsKyskvWZffK&#10;rjG+Rd3Dz+OH/TWViGPTQD/GrqE1PtM0bFzWXiItbMNau4BrSnOZPLT5SvOsc+xArEdNP0N9pW+Z&#10;1qddac4jxE4NR9bPl+kF/Q+98M92/bPAdOKhj79ojxeF+dL4jGBHwf8uMgXW9DL2vkVv3m+/N2TM&#10;dUGPfulL9sze8Y53hnvr+SNGiV3pua7XKSzLY7yGnyTrHzKHXOOzhG864ABjXyorS5pmel72zOhr&#10;deA17P7d77YHXcV+/zIboer1OO1KcbscSk6sAaF2WCUPxa26b69bXVjjxbqvdLD7oova9ZSsfq34&#10;zFWx/n2qAzxPHNIre07PryIkT/K5UX6tjrGKPGld01S/1neXLg2bmcchXVt27qc86al9f8CnZ3/d&#10;X3OP/QPQn5/whCeE9U6xe7D2h8oawr7+PHDe73Pbdi5fG8mI9VmsPWnZ5a0Lr6Vvs16xZEAbtutd&#10;igO0hWXqXKtoe/N6p+QE+yRX5oTY9K1c7fVhx/hIxPT6cxOH2MTZIwGukZbyUsZerqGP29/k8gks&#10;iz8sb4u8pzLoHXYPMtqSrhMq38h3GhnbtMY5hteD+nWh04nV+mbo0fj6aR4ez8Hrpzz5qf1550/L&#10;9tln3+z973t/dtTOOS0ab1SoutSGcFA2sc+BydovR6wu/GzmZ9+YVH514/Vvfv3rDN8k5lBQFny9&#10;0n2kllX/x2kjTYgjVkiHLbMtjyqH0pDssYGwjhvfiLklVc8THz9m/uGXeKf07HOkiT1Y9mxsDjae&#10;PbbPLfqY91r22vexrkIcM6Wd98Lx/f1rxOG5ZeZZe90yt1EyXM8DMVzhWtAXsc1iL8EnDT6xrnVh&#10;G4llK9Iqni2uNV+3htvYhBiTfdYznx3kgO1j3733DmO4g1xfjQzqxmvp2fhoM1dZMmK8TH65ai/L&#10;bAt6Z1NDZAX/ojzXhvrilZXRylrHl158UeA1bTb9NmkafD/sJnqW+/ZY59iCYQ22bF1L01r2ufqY&#10;Ye+1vomaS5Q+J+YPS2eWe//yiY/nrBVH9b11bkN7L+rRawN+gLvvtnsYk0zZnz/XMnsINmrp0oT4&#10;fgzOEYXRltP2eDn9VV15DbfZG8TKB1so+2vYOp22eXvPj4vf5Mgi6q6xXlmbsuQ0TJaWPTpm3C22&#10;/17pbyClS0hc6fV6PuWXfEXgAX6euj8sX/Ydizrm/cqLQr3L5k16NnnHj8TeI356rjTmFTI2hl0D&#10;G6vlcvVxL/froJ2Jw/gAwivSetUrX1mS1vI5VV2GWTnZC+szyT9PvGYcFv+Z9L1RRqsrf515DbOx&#10;j8S9e6OMsI/AHTsWmbaD9Hxe7aGp6UgerKek+sf+frY8imOvjXOsPgDbyDCWkdbWSy8JdpE0Xd6N&#10;f3OxT2Ev+8qXvpjnT3lTmD5fl3NsI7Jn4+eCXT+Vic3rvMtzWH9fLXiDnqjvHEPLF3tczTr5BpIe&#10;45OD6YyXxmAeBt/1b/96xBzH7aryU3V9LWMe+d+/62+Dfwz9EuXE9kFfRXkH1x9U3qvTG1bWed6r&#10;O69lH0HXLtZyQ369wG1b52kbnA9rI7a9dOVYMoInqjv49en6tDJDzoWOvTbgB1KVJn6b8tnW+/kO&#10;2qsM/QU9lX7A3idOel6H72fzpGMxG1mn/WKaZz2TXp/m/K1vflPQid/2ljeH9qFvPU3IeJs4hk1b&#10;eyCQlvTwSdPFHv53f3tgvp4U43mTpmHfX63rRq4eWbH+Hzy2c/BhNXsJFGt+xOenLec0ZRr3mabw&#10;Gm7v+P3vw/5icSwyypR5wqy/b9dmnWcbmKbd1O0ZKw/531j/5lnzG32xe/kaqnqfQqXPOX7KvJv1&#10;sZmDDrvFanyZGZfkW8o3JE1DadU5xBaidaIIsT3J/qTyKJxnOcRr5tuN2/6HxWMMUuOP+P+98+1v&#10;C0yL45Cx/aXPcw/Wa08y8vKaV78qrJuteZbwkb4A+3DZvo9pmtXnygOhjqULFyF2IvZbYNzQcppj&#10;9m2ozkN1mtV5Kt67iDhN4rV0bcJrrrpy51z2KFPpbdR/6dnzbAttScvOTRRDZikb3GF8DV2EfhTd&#10;mDmq6PL2dw7x8PPRvCj0e/pZ2VNob4w16vthA7P5qus3FXdt/rgGszUPMrKkF66pfLZsSsNem+YY&#10;XsPCeejXYg3rZYvZ0rd5B6zDh4S1oQjRlblv4xCv7B+/uKr1pPTe0WFs92U6ttWL6XPQndN84fuI&#10;flD2nrI0y+Kt4lqTeK057ArxIy5kFmXP3MiyNjFN/W/LMykPxBE799+ydZJy81wcXxjUK3hHmPfX&#10;n2+u9GCzHXe4+sor8u9HG0H3Jj36lK2XXZrbttL8K726hFX5o6xF/VwLfZX9HTjv/MNp+Di7fm05&#10;1gs+EujCYm/K5ZSF6Tl2YZhe2MFVV+x7dG2cMD5nuWzlTP/IOt5270TyTr7IR/T50PiqwnHeu/o4&#10;TeK11a91/MtfPhr2GpO/Nt8KP2N0PsuGebeNJqUHT/RPvqXT8ludcQGuVTFnVDlh66azNoa9s9Ct&#10;GWPQnHK1Ia4z1ml10GK+Zdxjxur6HLMW2Kh31+W+ZKfQ5gv9QXKgbqa/G4hb9pxNY9xj8RRbRPHO&#10;SRkjhiqMz2NTOLi/xip9AWNy6Mjo1vaf6/vtu0+I80//8PeBi9iEy8fuJs1XGr/IH9zmPYwfki9x&#10;WozGLxGf6rh/QJpOs86bzmtxm5DfoFrvL/4GXQvrYGpec1W9H9Zeht2rSq/O12Ema/GrPWM/Hie/&#10;PGfjoSfiU834QZnOiB1a79C30DxI+tLiXjFOiazT99h3NvEY2fBbQ79p6Mvm3RepjopPgz7DdeVR&#10;qiMX/LV1Y/DYxumFMVB0du35rv5KIf1HukbsYHp1lU11vtrCa9lImL9e6Nqx3PgAwiV8GdTmVcd1&#10;TpheayM/VCZ0a/QSvr+VQdWxlQ1MxZaC3mxlmj6LP3Wc/xK/A6ziGdtm0v7CvidNr2nnKgu/Qey4&#10;wSLW92Z8VnaIIz75iZ0yXu1v/cJeYTlbsCjeL7unfBehrTOMZzKXXuVVqP4KW3pcN694l32+ycdt&#10;4bXVs3fs2BF+51/ynQt3sjvWCXjBOBdtBx2T9k+bUruyPCi7Zu837Tgtj9Vx7Roto8qF/QRWy38j&#10;jZ++h/u39fdZHlzvP/pXw3Mbv+o4fUdTz6l31EE4xXi5ymHLrWvjhnqW7yleFTyi3pfxcFkc07vT&#10;UO+vuh7vY4Nhzibr42HPYJ8t2dEto5nbgp8HY4vFngx6R7vCNvLasptj+EK9Lfr7Yl0S6Yf2d7ja&#10;gMJx207d49nyRJnEugxHxsk7v+3hLmwgPjIjTf51XJUOcZgDw3fARwT/ET3HM0qn6vkmXqdM5BvZ&#10;qH6pn9SeStOUS+naZ2EbvMZ2K17b+q5rqwzX69PiNfUwHmPLwUebcUHLZPVFhPxjAyEea29Xlalu&#10;5a/K5yTX28hr2UYstxmXxP+A8Z9o41Zd6WVnfOW0wHTGxGCSbQ/22LaPph9j61c9YfyR8owqK/Gw&#10;XwyLZ+/pGFZhF0Enx+8DGTddfpPkHzlIFsgdHRvZS+6TpKW4Sk/nH+jroHBs9912z7+rGKjvvPxQ&#10;bSzqBXo/OjB2ZXiL3swYITry0//omaEMls0wmzW7iYP/N2Opy9rLRfmtU9hGXsNpMVuhZXehc2uu&#10;VlGvmFfNOkayl6g9tDHUGNiw9fVUbnTwafmCLi+dXOkpFHcU6nrTQ1seq19TLq0djv6HbCYtq01b&#10;z2rta/w1Cr4U9bq4NsjOxV4ffD/+G6nvhvRlG+LbzVjhB9/33sS+MZiezXsbdWlbPh23ldcpn8vO&#10;H330F2GOXTo+iWwYj0OXHJfb+r2r9tOEUPMK6aNG5RcbBvsKVMWj/HBELEGHRn5wmvmPVc919Tpj&#10;4Oi/rEOY/t6QDCeRjXjHHD61bcJlcWzYe+z8b+XT2jo094Z9y+xYqS2HH8d+tsu8FsN/+9vfZvfc&#10;fVcYA9p4xumhHcX6Eftz/NbQLVkLAl+sqvak6wonaW/Ljkse7R4G2IKG5UF2fsUpKyOykS59/pbN&#10;YT4j9u5RaSvNLoXF3r29YCOi7GUyHUcmrFkpDrJPVcG2an20iDNvfTu+k7E/9mRHnxabmTfz4r/4&#10;y+x1r3lN8JXGVo2vxyDrlWeF885fs9PrOq/L7CWsvX3l1st21qOi3sR61QtjbuOM0UnnnrYdjtNW&#10;Z40T/et6wZd6WD6ryiK9Gk4zV8bOUUKvls/1rPls2/P0f7IvIzeVb9g3UJw0ZFxAvMYmvDgWD2Nd&#10;bCfo0pbRsFrr3rEmHmUe5POwNP1e+i27zmvp2GXhL37xH9lNN94Q1sgUq638sBEwjlZmJ5im3aXt&#10;cBnn2CximXrrfpdXvV/s5j7lRE/H38H658FtdOumyKGqrIu6jlysbzrysnId9V6eV3zml0qHXT/n&#10;e9HMK/QZ9qdRv6GQdaU/+uEPJX1I8Yz6LLUrZ/nw7+W8/u+sjNX22uOPP5498vDD2bbbf5DxOxY2&#10;aYyf+sa6MehI6KrM66Pt/TCZ5103bik/6HnYUGkvrJlXxQnFJ9Sx4urchud9c1Pw2SOOriu+hz8K&#10;csZurfUSWUPB9vujZMZ9xWH8RXxcxZxr7BrYOegz+McejV2mWJ8UBonRaWjvDWeVmN7l0Hk9mteW&#10;3Tr++c9+GtaCgNNp/UFHgOeMtaG/puNJdeMV9nnKQF8zLG/wQTqdWFEWnz123Q4SmZzKx8qQe4xn&#10;x7HHuB4U14bJNk2Pc/RX8Zr1TJepo6LPY+/Q++Pe7NXcTX+nLjOvaTtt4rnzejpei9uEP/3JI32d&#10;+uYwHsl4ZbqGCforTNx8zjdCHNYzEsPTtmnPdaywrK0Ou1cWv+wa9k/0H/Z3Kbs/6TW4j6/7pM91&#10;Nb5dE0rjIqO+q+4THviOtwdexrky0l+rmTkbp2L6n/zYR4PPtDiNH2Ez1i1ZlFyWk67zejZel41X&#10;wvDvf+/mwOgq/QGdCv2b9skcb7U/yyx02bLrxKm6bp8f9xj/DfJJnsZ9xuOV68+j5MJ3S78r/Tc2&#10;Nb4BNrVRaeg3DvE41trTzMmejcWjmBPzyL6Gdk1sfKVjPfexxMXKfy2s96M+0uqM9njUfRu3S8cp&#10;q9NzZIGvCes8Rx/vqJsMMryX4f/M2JN8K2x7VNsVnwl1rPaqOJOGeg92U9Uzxg6Vvu5Pmy7PKa1J&#10;0+hafO3jQD0Zt+yqC2qfGmscrF+jGDzZfeYmqn/gvej0cb+ZydJRffNwMrm5fj2bfj1J/8Tewayb&#10;wT5Y6NZqo7bOouOyftv5552bXXfNVWE/eI1dpvyblYX2ee05+I2vnxl4Ye+Ny4+yeEpHYVmcLl5L&#10;5YGOLTs285hGyUTPY2eTz9z6tY7maxth7SX4DKeZO858RdYtGRxLnO87bdvwY9evJ+HtqLipfp2e&#10;63l7nTmWrNV28udPyHXcWC+Leo89nN/J+DjDe7VltVmdzxKyNxftDt1Mtudp9WvyobzNksYs5Wni&#10;s/Kt5BvA72FlkHyZEwg/WV8j1avT81l4R1qveNnL8nFFWF2dXlF3q+NMpld6OlFerl8vT78Wr6tC&#10;2M2+K2Xz41Vf8TuB3RqXGtamh91Te1cY52/EOgG7dX1YGn5vOhu25FYm46hj90I9ULxhIf7N8LqY&#10;J7MYVjKWyHv4x1/PbSCr6W+c1/XhteU4/oL4e19/7TXBNoK9YnBdwbVwjj8h3xD/ORgu3XhYG+ee&#10;WKGQa7KJMM/FPm/j2Ot+PBuvy+QnXxG+RXo//Q7Y1MRQ5nWrT59fGNmPHzU+e9hdWIPaWb0aVvNd&#10;ndf147W1l6THrHNy7qazA6sHf+8O6lV8V/iN3kw7l12C0LZ7XYcNm/v+hmrrzFVMeeHn8+dzKlPs&#10;ILIHa/yZ76VvppDn2CMRXkc/vnkzpPD1eO1ee4X3sOZ0UeeK+6ozHs77G6xPz3ldP15bPbvq+Pe/&#10;/6/QhvHtYK0TdK3CBj7Ibs29RAe/8frr1o1hihl2v3LGOnXdw8Vz2srYznm060NabjOOgV0CnRee&#10;zo+V1J2i/rBu0y5PfVrgNeub2nvze+d6Lnna5TJxXteH11aXFqfLruleWci+DLf199/iu66v80U7&#10;xA6ObwEMlw0l6naxnvj8xOUxGg7zO0e/ddifTesd0A9blnNMPL6PbCGs2zE/jkpv7oW18/QOxjOL&#10;+lTUo+JaOV/8/nzl4ryuD6/L+Ft2zTLcHqdx8f2GxZv7do7id+z6+sM97KX4EKrds06KOGF/g+ua&#10;h/PnubiNbDWWAO80nwpO61uwxwS6NTxlf8NFcJF5MOK13XdrWF1aRD48zaLNOq+bx+uUy+Oes2YV&#10;82HwH4TNMKGYx2N1pl6wkYsNzub5s7lKpsicf+b0i1PWNqX7rBkiXi9irJExRrGavWuUFw8Ldq5C&#10;Fs7r7vA65bp0c/Q39kBjjTjpTszZsPpcFV/8+mJYbuecnr3xa/lvHclb+38VY422v52dKQfsv3/O&#10;60M++AHndf93zir4nL7Ted1dXlt+i92aY8eYl9jg4WKYXCVX/a7R/Ff6UcXlHv2o5hkuYs0Q+mzW&#10;b5J+zXohKTf8fDX8dl53l9ditOX25p0+fakPtnjh4WLZLVYT4s8nLlqbCOsowlJ8ohex3yH7j8sn&#10;ZPg8xtUwSzLpYui87i6v4XTKbPbTkU3E2bxYNo8jX/xDGANmL3uxXP7Qr3rlK3Oez5Nd2FqwjRe2&#10;FufyPOU7S1rO627z2urWHLMmlcYg2WNYjBiHLR5nNr6nsuYc/x759uHDx14Q6Nbw9PB1+2zNzlX2&#10;WNQ4Jr7Xs7DFn539e6QydF47r1Nmo2OrnqTrlGA7tVxOz+09e1wWDx6ljLLP+HHkv/b/4XfPGV85&#10;LfB01+c9f+fvoPmOM8Jo+gPWt1Yd8HD+3J1Wps5r53XKa/y2tUcOv8PvvefunNHw1bJXvFUIY7mv&#10;ePa6PbbxnMvD9XKtKUIbP+zggwJPWSsPO4lsV9O2//Q57ZnLfozzTjt9l59P3g84r53XKa85v+6a&#10;q3P96rQvnhzmsWsPs2F8tUy2x/aZqus2jh8Xa3LZ3zvvOvCdgdfsAVbwbhodO30mnr/m1a8O+vsi&#10;/E6K/E7OKX82ysx57bxOea0xyAu+dd4AE9gHBxuq1iESU+GvdG7p1rqXnuu6M3u4Ti05EdJPileH&#10;HvTBwOvCdp1ydzIWFjp01NV3e+FuIX3tVaP3ejiZXBclL+e187qK11xnb0fZRmwdxCeY3+mssa/1&#10;RyxjOHYmj8/kVHbpOWueI3/GA7Eva03TgrfT8GSQ9ewhyRpSpB/3zh28b7+/H08j79mfcV47r1Ne&#10;p+fMY2cOO3Wl2EuBtqz/tbAHJfPb4QpzI9lzHZbjN8zewzDd7mvmPJ+M5bfe8r2d8l7L3vzGN+bH&#10;8+QmftewOvYH/xz6h3mm72k5r1O2+Pni+x/2wcFvBH4Pa4Nluh/jl/g7bO7Py5F/GnOvU30y1c1l&#10;b1G81AZjr6fP6l7TQpVZ5ZGOfeTaZ3fKXfqvwkl4sP4Z9qiB1ejYw76r35tEzvON6/r14vnW9j7k&#10;V489FtaQg7vo4azHja2EuoXOfeJxG8Zo/3GfeOws8HzjGaeHNb3P37I5cP2Kyy8NaWM75/+ubXeE&#10;vSxhmXiWhvBZ1yyry67Z+3U5TvMZdey0/Yu7CtP7Vefr4zPWCK8H106tet6vr6Lfcl47r+fRn2iM&#10;0qaVXoM/+DqwPzz6dbG/wtqA71jUy8UTheV8YAyUOYDo+ynfyrg7Tpyy51Z1zeaXY/qz9ZyYj1+f&#10;1iR5x9veWvKOcvmvz4vHW6RMnNfOa8vYeRxbTttj0rbnOmavStYIZK9K7N7USfbEWV/vB9k9yPW1&#10;jDWhR+0rviruzvpe2UY0dybKxsrDHk/DzF5uu/Z5jdPIbznPOK+d1/Ng9KLSYH489nJ4zr4rrN/N&#10;Pzo6e8mjp2sdO+21gA7Kfgt2ng+8tLrqrPxc5vM234zhDvZjs3I6coZ1ozQP/fAPHZa8YzksGiyX&#10;v7NMHs5r5/WiWFuWrnRq7tnjsrijrtnnYfqmszau44zm00s/hX06XiZz5/Eu5VvjjmXtedpr+O/J&#10;N2TaNPy5xfcxzmvn9SguNuX+jh07gu6t9argB+t5Mz5pdVTLzqrrNk7djtnzXmtARUbOrmMP8nr2&#10;9Jzdi2G389p53RQej5tPuH3LzTcbG3gvY049fuBl7G0is7H3zJOJzGd0/XoxjJ3nd3JeO6/H5WAT&#10;423u27flB45Oiu07ZTZ2Btka0nt1PKd/wZ5f7isyKXOiLv32t74l8DqueV3o1+mY7jzZ42lN+q3W&#10;wli8+tWq9jjqftVzft37glXXgf/6r98FH8K43zgc6oU5mPfcfVduI2mifk0/cved24JPzHTcK5jM&#10;84O8TjkyGHe696Vp+vk0cnT92pm6aqbO+/12HNKmTV2Xvgi/66g7T5onbNnac3Oa9h+f6SW8Fp8V&#10;Olunl+18Zee8dl5bprX5mHVQinbXC/NsJuVj3eJjx4l7hk3LhcjkMv1afVshs2nf4c/NS4bOa+d1&#10;mxmdlo25Ofhty7+CefN1Y/A4+bE2HNbSYp7nLEx433veHezX7OE7Szr+7GL7Jue18zplWtvPsZdc&#10;dsl3gi0bvrDulPincBxmrjKO8qlxUsZRIys1N30cW4bi9vet6ftfa76MXXfR+btY/k4qX+e187rt&#10;fKZ8qU37N7/5TdhzXIy7auvlA3o2PBQLV8nlSd5NvzNp+9ecUPlfw+zBNMbhfr2YNpj/duXNee28&#10;7gKvy8rInMjoNxLbNGsLwkfprunxJOxcdlzlmXUNp+EV+x/Aav4/8dHDc109puXMnkami3jGee28&#10;LmNZm66lurUtG1yVfzZ+Fg8+cH+uZ4uBy2bvqPcpX4T8BtA5z7HmqsozPi8ij+W3q/WefLyxfrq5&#10;89p5bfnVxWO7TyXr343iZV3uV9lrtIbfpNx+0R4vCmOOB+y/X6Jf149b4/dF7cq789p53UVGp2Vm&#10;/vqGo48KuinrsrIWIFy2umtdOD0sH+SX/Xmtnadg2zC7Ri97y5vemPuIfOSwQ/vMHha/XRwsZFTv&#10;cjmvndcpu7p6fslFF+a2329vOa8xenbKb5jNvpmRQWKufEF0brlUXJOO/eK/+MtcFk1hWRfy6bx2&#10;XneVz2m5WWtbeqnW9UtZWPdz/R7AVjJ8Hg2MLjgt1uHXhw8244777btP9u+f/Yxzu+/zKfmsOnRe&#10;O69TbnX5fPv27fm6fth/77v3nsbq2TCb+UAwpmzscNC+XbBb++4y/vi/X/LS2rBq1aysw/ud187r&#10;rvK5ym8E+6/a5tbLLm0sr/ktUKwvUvC40Kt1TWGhR+72wt2CLRs9+9CDPpjLQ3LxsJDVMmXhvHZe&#10;d5XXw8p96cUXBUaxZqnVsWVvqKtdpCx/Kgtc+fjhHwlrO7GnLmuGEO7/+n2zfffeO9vnda/LXr7n&#10;nhk27Gc8/Y/z+Y6cf+ZTRziza2AXcV47r4dxq6v3sGVLb8I/Tn7OVT50deW38nXqyV/Iy7PHn+8R&#10;dGf5W6NDc1wVco9njlz7bJ6GZOPhcvVs57XzuqtMHlXu+/u2a3z8YBJ7JorVZTqsuFjHkPzyG0F+&#10;2Wuf+XT24UMPyT75sY+Gf+wj7FnM/9kbvxb2MP7eTd8N5WWO+58857mB5/j7OZ+Xy+dU3s5r5/Uo&#10;bnXpfmrTLubS9DL27oV94nYd2TwqTycetyEw98Lzt2SjvqtkAceli2vuY8oRP18Ox53XzutR7bbL&#10;97fdcXuuU+IfN4qHdb9//pbNoTysv/qf//mfYzH7pz95JLeXPP2PnmnWF1kOo7wvKOTsvHZed5nH&#10;o8rO3r2bztrYZ1wv7OPCuqVNs4fQhyjP7IOmfR/xNWc98FEy4D791kv/+iWB23+wyx9mh3/osLwf&#10;c54WPF20LJzXzutx2mvX45zyhRMDn7AN1F2HTvMnVovb7Puo/RqO33BMRp80zvfFNqRxyRe+4IXO&#10;6xX4izivndfjtNWux7nt1u/nfMI/TuwTG2Gi5aKu1yVM8/aNr5/ZL0/0u0Z3lq162Hf+3e+2B98/&#10;MRsfwME5N+iZ6325F61zdil957Xzelgb9XtF/aCtwAZ007u23VGqZ6dcrAuv5Y+o/Nzet+tIx2Z9&#10;K+Z1jvOtYfaGo48Mc9bhNr7ZrJ0dmemsXnTf4bwu2uM49dXjdE9e0j2xXUufvOiC80v9ROroO1LV&#10;h+DvIs7CgUnqNuuKyGfk1X/zN7lcFs2rrqfvvO4efyZplx63qB+//OWjO/m2FnyZpataRlexUXHr&#10;Fto1oW7+7o0jmU3fxT9lFq8J3/NP/5jLputMXWT5nddFe3Q2uSxG1QH2DKM9HnNkL/vuDdcP2ESa&#10;xGryyv9DDz6QYQ/B7oydg/NRMtB97N4HfeD9ObffdeA7ndkLHoN0Xjuj1P48rK4LsokgI+Y6wrfP&#10;HXNU2BugbjrzpPmh36EPwtYzqV0EeTCHRro2a5AU+qXbswtZzMfnz3ld3UadXy6bsjqAXQQ/ONoi&#10;NuBJ+Vi3+Ng2ir3Ve9m1V1+VPf7442Pr2cynYcyRdbPhNr5+rKMdWeXMniezndfOpDIm+bXh9YL5&#10;3Oij6NpNsoNU9RWUQcymXOyHNk4d0O8OQsYgtWYU7P77d/2t69pzto84r4e3y3HqrMdptwzFJPud&#10;ZUNo4vwZMRtGa6xUIfPUsfWMs76IlQfH+PqxJ41sI4TPe+6uhtnzsQnMU19tWlrO63azJm1Tfj6f&#10;7816q4zP0d4vv+TidfNnxMQ6h/Bavw0UXrn1slAmynb3XXeOpWOnderqK7Zmr91rr1zXbhoT65xf&#10;5/V82m9aZ/28/XKVrwjtmznedWZzWd7EaIXSsb/65S/lOvG0zGatVunZyEd+63VmYRPy5rxuP1e8&#10;71jMN3700V/kXMP2CxPFvjI+NuXatOuL2HqW8roJLGxCHvGXVz9o5W2PR923cf14MWxwudZTrnHt&#10;vrWwdh9jdE1h8qh8fnvLef2+CN+OXsbviEnrn/N6Xrb6+A3Ul2CvGsXjUfcn/ZYev57s8e8y+Xe5&#10;6cYbch37umuuaoV+DcvZcxj/cjiBLRsfRuqHHXu1x2ndcV7Pi9cxnWhP6mVXX3mF87pfD9P65ucu&#10;k3HqgJ2jjq49Sm9t0n3mL2odWcJfPfbY2O3EeT1fXsffOmvht84o/XnU/XHqtcdx/rW1Dmw+5xtB&#10;D0UfbRKPR+UVW/wD998XbD3o2fwWtzq1PU6/rfN63rwmPdev03rm596vTFoH8KGQfZF1skdxsCn3&#10;5S+iNaHwNR9XNs7r2Xld5lPDWMIo/XnU/XG/ocdzFra1DuBnBbNZO6kNPiK2T8EuctyxR4fyUU58&#10;z0d9R+f17LyWDmBD57UzdFTb8/uj68gjDz+c69jwDd0UbjeR3WV5Zu1vceP0006t5LVsJM5r57Vz&#10;YzQ3XEark1G6BpTsCdJV03Ndr3No8wynsaEOW1/Eeb0YTquvdP16de3b2dou2W/eOe74rc3fHLBh&#10;N1HPLtOxb7n5plzHPvOrXxm6T6/r14vhtvO6XczwPmB131O+2F865aQBXtdZf540b5dd8p2c2RxX&#10;1TfntfO6qm749dUxymVfyF42bPaewYYtFjZNvy7TrW0Z4DRl5Df6xRdeULpWtvPaee1sKNjgsqiX&#10;LGS31fwSfODgNZzDBsx/GQfF9KaF2ENkU6VvSuuj89p5ndYJP68Xs/x7/Hcme4FdF1u6qR27axqf&#10;lV/1P6yZKl5jr0+/vfPaeZ3WCT93XtetDuCbLFsBTBPn2hb+6KEfZppHQ3lvufnmAWY7r53XdWub&#10;nh/vL8rqQPR7W8ukY8se0mRmp78NZNuJew9HNnFNdiHntfO6rG34NWdmHeqAOEVesA/IVnDfvffk&#10;9usm85q8i9EqB+esIat9dq64/NJcx3ZeO6/r0C49D94/jKoDt97yvZzX+MuKb20NL734on55e2HP&#10;+IcefCAwW7xm/12tLVeEi2GZ+sg2h+5/7fwZxR+/P1kd+fnPfprzenN/Dk1bOa1ysVY2tp/I4172&#10;8I9/nInXrD0EP2XTbzNLl1E25/VkbdHZ5fIapw587fQvB06ddOLxrec1dhHWKPzCCceFMsPuQw/6&#10;YL6O3DI41pV3OK+dP+Pwx+NMVk+KNVZ7GWsl8S99tI0h45HYr8XNfffeO+F1nF+j+x5OZxNyXk/W&#10;Dp1bLq9x60Bcg7SXbTn3nPDfRk6rTOjYjK2Kw/u87nWB19F+LTY5syWfaUPntfNnXP54vMnqyg3X&#10;XRv4xb4z/MMz8a2tIWtCnfC5YzPxWvbrafnkz6mvi6HzerI26MxyeU1SB/B1Y/1R/tGzU5+4tnDb&#10;lgtb0H777pOhWzuvB3k7a//jvHb+TMIfjztZfdHcGdrpqSd/oZTXlnVt4fc//N27Suwh82XXrOxr&#10;4vPO68nan/PK5TVJHYi+yQWn7tp2R6tsIravsceHHXKw69f9PnrefYLz2vkzCX887mT1ZdvtPxho&#10;s1svu7RVvC77PQC34bX2fZ03s7qcnvN6svbnvHJ5TVIHfvXYYwO83nTWxtbzGoYfdvBBbg9x/Tpf&#10;n2CSNuNxnbGrrAPnbjo745/5f/hOlOmkbbg2YA9xXg/00/P6TeD6tbNslSxr67vt+k+33fr9jH+1&#10;2bvv3NZaZqvfkX7t/iHztWE7r53XbWVmXcq1Y8eOsDct+zrCbO09I7ZZvVTXmh46r+fLafX1zmvn&#10;dV241tZ8oGvzz5x0tbsHH7i/1Tq289p53db27OXqRp+5ffv2Pq/jnGzWXG26Dj0s/85r57VzrRtc&#10;a/N33njG6YHZ37ng2zmv3R6yGLbpt0ybQreHOAPbzMe6le3KrZcFmwj7iw/TT5t+z/XrxfRBzmvn&#10;dd2Y1ub8YLdG3zt+wzEZe7E0nctV+XdeO6/b3I69bN3oN60N++orrwh7O1Yxr8nXndfOa2daN5jW&#10;9u+sNaCwZTeZycPy7rx2Xre9HXv5utEfsad4HAPrZW31E3FeO6+dZ93gWRe+c9yfdi0768wzWqlj&#10;O6+d111ox17G9vdJzJ1hjiM6NvsYsL/4MNtCE+85r53XzrL2s6wr3/i6a67KbSLfu+m7Oa/xxW6D&#10;P7bz2nndlbbs5Wx/vwSTmeuIfv3tLecNMJq9xpuoU9s8O6+d186x9nOsK9+YNaBkw8ZfBNa1Qa8W&#10;s53XzuuutGUvZzf6pZtuvCHo19ix7fpP6NdNZ7fz2nntHOsGx9r+nbU29qOP/mKnDXstu/qKrbkN&#10;pOmsRsd2Xjuv296OvXzd648uPH9LYPaXTz0l57VsCk0OndfOa+dZ93jW9m/+8I9/nPuJ3HDdtTmz&#10;m65jO6+d121vu16+bvZHp578hQEdu+msdnvIYljNOIevz9dNRnjfUJ/vfvGFF+TjjtvuuL0Va0C5&#10;fr0YZjuv69NunaHd/Bb4iWiu443XX5fbRNx+vRjmIeum/juvu8kI7xvq890fefjhnB/f2vxN53WD&#10;ebrofsB5XZ926wzt7rc4+fMn9Jndy7BlN1mvVt7dHrIYHd553V1GeP9Qn29/+SUXBxv2hqOPdF67&#10;fp3/3kr1ded1fdqs87O73+I3v/512CMMHfuSiy5sPLNdv3b92nnWXZ514dtfdsl3gk3kc8cc5fPR&#10;Xccu1bFdv3YGdoGFTSijHXfEr0+24CaGrl+7ft2ENud59P5vljqguTPoUU3ktPLsvHZez9IO/Fnn&#10;aJ3rgNaAOv+8c8Pv4M3f3OS8dpvIOpuI20OcY3XmWNfyxv67+AScdOLxuQ27ifPTXb92/bprbdfL&#10;252+VPr1z3/201yn+sFttwYdG143bU1s57Xz2vnVHX51+Vsfv+GYPrN72ZZzz2nsWiLOa+d1l9uw&#10;l707fdX1114TdOzjjj06u+/eewbs2E2xjTivndfOrO4wq+vfesPRR4X5jujY8rloUui8dl53vQ17&#10;+bvTX7EHLzYR9uSF07JhN4XZzmvntfOqO7zq+reOcx1jm7/djDs6rxfDwXSdjrqeuz+fM7DrbKxb&#10;+fEVufuuO3M/EdaCko7tvHZeP/lJu2T8V9XbUfernvPr3hd4HZiuDvz2t7/NWKsPPe/sjV/LfbGd&#10;187rUTwedd/b5HRt0uXmciurA/LFvuBb5wVen/C5Yxs35uj268X0K24PcWaUMcOvLbdeiNFW7rfd&#10;+v3cJnL3ndsapWM7r53Xti778XJ54vJevrx37NiRfemUk/rM7mXnnP31RunYzmvntTNj+cxwma9W&#10;5sxJl68CY5Buv14MByXjuoduD1lte3QeuvyH1YHt27cH/RqOXHrxRc7rjq/Z57x2Xgzjhd9bff3Y&#10;eMbpQcc+8bgN2UM/fLARzHZ7yGJ+BzivV98enYn+DYbVgSu3Xpbr2Ky32gSbiPPaeT2sTvs9Z15b&#10;68CDD9yf27AvvvAC53WHbSKuXzvn2sq5tpRrx+9/H/Tro3qfzc786lcCr+06fXVcW8T1a9ev29L+&#10;vBzeR45TB6xP9rmbzs5t2GJ1nfcwcF47r8ep4x7HWdjGOoDNWr5mt9x8U+1tIs5r53Ub26GXyfuX&#10;qjpg9WviRB27l+EvUkcbiB0HdV47r6vqtV935nWhDtx/3725jn3vPXfXWsd2Xjuvu9AmvYze91TV&#10;AfRt9i/ALnLdNVetG3e0+u2qj53XzuuqeuzXnXFdqQObztoYeM3afYw3wmVsIxqDXDWn9X7ntfO6&#10;K23Sy+n9T1UdQK9Gv2a/sLoxWqwmdF47r6vqsF93vrW9DmjsEUbLT4R5NJaRdTp2Xjuv294mvXze&#10;74yqA6z/xLwZmH31FVtrq2M7r53Xo+qy33fedaEOXHj+lsDrU75wYvbQgw/UktnOa+d1F9qil9H7&#10;nFF14NFHf9HndS/q2FdeEWwiGnusi03Eee28HlWP/b6zrit1QH59zJ2pC6NtPpzXzuuutEUvp/c7&#10;o+rAt7fEvXixYzOPxrKyDsfOa+f1qDrs951zXakDt9x8c7CHYBe54bprndf9fkt+M20OfT1VZ1xX&#10;GNemcj7y8MM5n761+ZvOa+d1pvr95CftkvGvcw+d8V4HVl8H8A9Bl2QP9TrYQGwe3B6yGH3f9evV&#10;tztnn3+DaerA5ZdcHHi94egjndeuX+f6tOvXzpNpeOLPLLbe/ObXv86O33BMYPYlF124zg97lfPV&#10;Xb92/drb/2Lbv8u3efKVjv25Y44KOrZl9Cp9sp3XzmvnSfN44t9scd+MNUXiuGOcOyM/Ectsa1Ne&#10;5rHz2nntbX9xbd9l21zZfvGkz/dtIr3sy6eeMmATWSW3ndfOa2dKc5ni327+305r9l184QXBho2v&#10;yJ3b7qjF2KPz2nntbX7+bd5l2nyZfveG63Ne33j9dc7rFvuKuD9f89urM7fb39DOnWGeOnYQ/S/T&#10;Zm3f5fq169fOpW5zyb9/9fePc2fqY8N2Xjuvvb1Wt1eXTbdlc/211wSbyLFH/Xt23733rNwm4rx2&#10;XjuTus0k//7Dv/9xxx4d/ES2nHuO87qlNmy3Xw9vA84Il09T6oD2nWFtbNmSV+XT5/q169dNaTee&#10;T2f8KurAz376kwx7CL7Yt992a85ssXuZofPaeb2KNuDvdPY2qQ6cftqpwY592SXfCT4iq5qT7rx2&#10;Xjep3XhenfOrqAPnn3du4PXmb25y/bqFNmy3XztXVsEVf+di6t2tt3wv8PqkE48fmJu+TFsI73L9&#10;2vVrb+OLaeMu1/bI9T9+/rPsqN5ngw37Byu0YTuvndfOlfZwxb/l4r6l1sTGr8/9QxbDzVXtEen2&#10;kMW1G2eSy3YVdUBzZ/DHfuD++0rt2IvmuOvXi+knnNfOlFUwxd+52HqHTx92EfxEsCfjJyJGK1yk&#10;Tdt57bz2Nr7YNu7ybY98N55xehh3POFzx2YP/fDBpbLaxxsXw2psMK5ft6eNOm/9W6oOXLn1ssBr&#10;2jg+IzB0GXq1dHbXrxfDbOe1t3G1cQ/bUxe23XF7zusrLr80sHqZc2ec185r50l7eOLfcrHf8leP&#10;PbaT173snLO/vhL9+ilP/oPsyU/apZ+PuL/kqnwqmvve9XJz/Xqx7ca55PJdVR04d9PZgdnYsGWn&#10;WJZdRPo1zK7ipfzEq+779aijWzk5r50nq+KJv3exde+2W7+fs/LuO7ctVceG14V+XW0biCyqvu/M&#10;HpSN83qxbcaZ5PJdVR3YsWNH9qVTTgrMlk3E6tmLPD7skIODLSTaQwaZ4wyeVB6FXcR57TxZFU/8&#10;vYupe9o3HflaHfuu/t7py/IREa+jPaTgTcpq168nY/e1V1+V94NV7Yc+kv+q+359Me3O5epynbUO&#10;oGOjW5/51a8E313WyF7GP3Pi37Df67PX7rVX0PFP++LJGf/o++yncOJxG0LI+q9nnXmG/48pA9aE&#10;GcVj3fcw9lsuB5eD1wGvA6uuA1V9+arz5e/3tuF1wOuA14HBOlDFa7/uv8u9Dngd8DrgdcDrgNcB&#10;rwNeB7wOzF4H/keWZU/o//P3P/v/HP9/AAAA//8DAFBLAwQUAAYACAAAACEAFk9Vtt8AAAAJAQAA&#10;DwAAAGRycy9kb3ducmV2LnhtbEyPwU7DMBBE70j8g7VI3KjjFtoS4lRVBZyqSrRIiJsbb5Oo8TqK&#10;3ST9e5YTHGdnNPsmW42uET12ofakQU0SEEiFtzWVGj4Pbw9LECEasqbxhBquGGCV395kJrV+oA/s&#10;97EUXEIhNRqqGNtUylBU6EyY+BaJvZPvnIksu1Lazgxc7ho5TZK5dKYm/lCZFjcVFuf9xWl4H8yw&#10;nqnXfns+ba7fh6fd11ah1vd34/oFRMQx/oXhF5/RIWemo7+QDaJhrRac1DBVzyDYn80XvO2o4XHJ&#10;F5ln8v+C/Ac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F5A783MD&#10;AAACCAAADgAAAAAAAAAAAAAAAAA8AgAAZHJzL2Uyb0RvYy54bWxQSwECLQAUAAYACAAAACEA7D4w&#10;oMZ+AACY6QkAFAAAAAAAAAAAAAAAAADbBQAAZHJzL21lZGlhL2ltYWdlMS5lbWZQSwECLQAUAAYA&#10;CAAAACEAFk9Vtt8AAAAJAQAADwAAAAAAAAAAAAAAAADThAAAZHJzL2Rvd25yZXYueG1sUEsBAi0A&#10;FAAGAAgAAAAhAI4iCUK6AAAAIQEAABkAAAAAAAAAAAAAAAAA34UAAGRycy9fcmVscy9lMm9Eb2Mu&#10;eG1sLnJlbHNQSwUGAAAAAAYABgB8AQAA0IYAAAAA&#10;">
                      <v:shape id="그림 13" o:spid="_x0000_s1065"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5" o:title=""/>
                      </v:shape>
                      <v:shape id="Text Box 49" o:spid="_x0000_s1066"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248C4016"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v:textbox>
                      </v:shape>
                      <w10:wrap type="square"/>
                    </v:group>
                  </w:pict>
                </mc:Fallback>
              </mc:AlternateContent>
            </w:r>
          </w:p>
          <w:p w14:paraId="49BF6ECE" w14:textId="77777777" w:rsidR="002E5800" w:rsidRPr="008F328C" w:rsidRDefault="000E0B7C">
            <w:pPr>
              <w:pStyle w:val="a3"/>
              <w:numPr>
                <w:ilvl w:val="0"/>
                <w:numId w:val="22"/>
              </w:numPr>
              <w:rPr>
                <w:b/>
                <w:lang w:val="pl-PL"/>
              </w:rPr>
            </w:pPr>
            <w:r w:rsidRPr="008F328C">
              <w:rPr>
                <w:rFonts w:eastAsia="Times New Roman"/>
                <w:b/>
                <w:bCs/>
                <w:lang w:val="pl-PL"/>
              </w:rPr>
              <w:t>Oczyścić miejsce wstrzyknięcia</w:t>
            </w:r>
          </w:p>
          <w:p w14:paraId="500AA5E8" w14:textId="77777777" w:rsidR="002E5800" w:rsidRPr="008F328C" w:rsidRDefault="002E5800">
            <w:pPr>
              <w:pStyle w:val="a3"/>
              <w:rPr>
                <w:lang w:val="pl-PL"/>
              </w:rPr>
            </w:pPr>
          </w:p>
          <w:p w14:paraId="438BA3A7" w14:textId="77777777" w:rsidR="002E5800" w:rsidRPr="008F328C" w:rsidRDefault="000E0B7C" w:rsidP="00F2584C">
            <w:pPr>
              <w:pStyle w:val="a3"/>
              <w:ind w:left="4300" w:hanging="250"/>
              <w:rPr>
                <w:lang w:val="pl-PL"/>
              </w:rPr>
            </w:pPr>
            <w:r w:rsidRPr="008F328C">
              <w:rPr>
                <w:rFonts w:eastAsia="Times New Roman"/>
                <w:b/>
                <w:bCs/>
                <w:lang w:val="pl-PL"/>
              </w:rPr>
              <w:t>a</w:t>
            </w:r>
            <w:r w:rsidRPr="008F328C">
              <w:rPr>
                <w:rFonts w:eastAsia="Times New Roman"/>
                <w:lang w:val="pl-PL"/>
              </w:rPr>
              <w:t>. Oczyścić miejsce wstrzyknięcia gazikiem nasączonym alkoholem, okrężnym ruchem.</w:t>
            </w:r>
          </w:p>
          <w:p w14:paraId="5F12067F" w14:textId="77777777" w:rsidR="002E5800" w:rsidRPr="008F328C" w:rsidRDefault="000E0B7C">
            <w:pPr>
              <w:pStyle w:val="a3"/>
              <w:ind w:left="4387" w:hanging="337"/>
              <w:rPr>
                <w:lang w:val="pl-PL"/>
              </w:rPr>
            </w:pPr>
            <w:r w:rsidRPr="008F328C">
              <w:rPr>
                <w:rFonts w:eastAsia="Times New Roman"/>
                <w:b/>
                <w:bCs/>
                <w:lang w:val="pl-PL"/>
              </w:rPr>
              <w:t>b.</w:t>
            </w:r>
            <w:r w:rsidRPr="008F328C">
              <w:rPr>
                <w:rFonts w:eastAsia="Times New Roman"/>
                <w:lang w:val="pl-PL"/>
              </w:rPr>
              <w:t xml:space="preserve"> Pozwolić, żeby skóra wyschła przed wstrzyknięciem.</w:t>
            </w:r>
          </w:p>
          <w:p w14:paraId="51902541" w14:textId="77777777" w:rsidR="002E5800" w:rsidRPr="008F328C" w:rsidRDefault="002E5800">
            <w:pPr>
              <w:pStyle w:val="a3"/>
              <w:rPr>
                <w:lang w:val="pl-PL"/>
              </w:rPr>
            </w:pPr>
          </w:p>
          <w:p w14:paraId="21F216C4" w14:textId="77777777" w:rsidR="002E5800" w:rsidRPr="008F328C" w:rsidRDefault="002E5800">
            <w:pPr>
              <w:pStyle w:val="a3"/>
              <w:rPr>
                <w:lang w:val="pl-PL"/>
              </w:rPr>
            </w:pPr>
          </w:p>
          <w:p w14:paraId="5F60231C" w14:textId="77777777" w:rsidR="002E5800" w:rsidRPr="008F328C" w:rsidRDefault="000E0B7C">
            <w:pPr>
              <w:rPr>
                <w:rFonts w:ascii="Times New Roman" w:hAnsi="Times New Roman" w:cs="Times New Roman"/>
                <w:lang w:val="pl-PL"/>
              </w:rPr>
            </w:pPr>
            <w:r w:rsidRPr="008F328C">
              <w:rPr>
                <w:rFonts w:ascii="Times New Roman" w:eastAsia="맑은 고딕" w:hAnsi="Times New Roman" w:cs="Times New Roman"/>
                <w:lang w:val="pl-PL"/>
              </w:rPr>
              <w:t>•</w:t>
            </w:r>
            <w:r w:rsidRPr="008F328C">
              <w:rPr>
                <w:rFonts w:ascii="Times New Roman" w:eastAsia="Calibri" w:hAnsi="Times New Roman" w:cs="Times New Roman"/>
                <w:lang w:val="pl-PL"/>
              </w:rPr>
              <w:t xml:space="preserve"> </w:t>
            </w:r>
            <w:r w:rsidRPr="008F328C">
              <w:rPr>
                <w:rFonts w:ascii="Times New Roman" w:eastAsia="Times New Roman" w:hAnsi="Times New Roman" w:cs="Times New Roman"/>
                <w:b/>
                <w:bCs/>
                <w:lang w:val="pl-PL"/>
              </w:rPr>
              <w:t xml:space="preserve">Nie </w:t>
            </w:r>
            <w:r w:rsidRPr="008F328C">
              <w:rPr>
                <w:rFonts w:ascii="Times New Roman" w:eastAsia="Times New Roman" w:hAnsi="Times New Roman" w:cs="Times New Roman"/>
                <w:lang w:val="pl-PL"/>
              </w:rPr>
              <w:t xml:space="preserve"> dmuchać na miejsce wstrzyknięcia ani dotykać go ponownie przed podaniem wstrzyknięcia.</w:t>
            </w:r>
          </w:p>
        </w:tc>
      </w:tr>
    </w:tbl>
    <w:p w14:paraId="740DDC97" w14:textId="77777777" w:rsidR="002E5800" w:rsidRPr="008F328C" w:rsidRDefault="002E5800">
      <w:pPr>
        <w:spacing w:line="252" w:lineRule="exact"/>
        <w:rPr>
          <w:rFonts w:ascii="Times New Roman" w:hAnsi="Times New Roman" w:cs="Times New Roman"/>
          <w:lang w:val="pl-PL"/>
        </w:rPr>
      </w:pPr>
    </w:p>
    <w:p w14:paraId="52D490E1" w14:textId="77777777" w:rsidR="002E5800" w:rsidRPr="008F328C" w:rsidRDefault="002E5800">
      <w:pPr>
        <w:spacing w:before="9" w:line="110" w:lineRule="exact"/>
        <w:rPr>
          <w:rFonts w:ascii="Times New Roman" w:hAnsi="Times New Roman" w:cs="Times New Roman"/>
          <w:sz w:val="20"/>
          <w:szCs w:val="20"/>
          <w:lang w:val="pl-PL"/>
        </w:rPr>
      </w:pPr>
    </w:p>
    <w:tbl>
      <w:tblPr>
        <w:tblStyle w:val="ac"/>
        <w:tblW w:w="0" w:type="auto"/>
        <w:tblLook w:val="04A0" w:firstRow="1" w:lastRow="0" w:firstColumn="1" w:lastColumn="0" w:noHBand="0" w:noVBand="1"/>
      </w:tblPr>
      <w:tblGrid>
        <w:gridCol w:w="9209"/>
      </w:tblGrid>
      <w:tr w:rsidR="002E5800" w:rsidRPr="00A5286D" w14:paraId="53927D81" w14:textId="77777777">
        <w:trPr>
          <w:trHeight w:val="5669"/>
        </w:trPr>
        <w:tc>
          <w:tcPr>
            <w:tcW w:w="9209" w:type="dxa"/>
          </w:tcPr>
          <w:p w14:paraId="3FC6E3AD" w14:textId="77777777" w:rsidR="002E5800" w:rsidRPr="008F328C" w:rsidRDefault="002E5800">
            <w:pPr>
              <w:ind w:left="104"/>
              <w:rPr>
                <w:rFonts w:ascii="Times New Roman" w:eastAsia="Times New Roman" w:hAnsi="Times New Roman" w:cs="Times New Roman"/>
                <w:b/>
                <w:bCs/>
                <w:spacing w:val="-1"/>
                <w:lang w:val="pl-PL"/>
              </w:rPr>
            </w:pPr>
          </w:p>
          <w:p w14:paraId="4C1938D1" w14:textId="77777777" w:rsidR="002E5800" w:rsidRPr="008F328C" w:rsidRDefault="002E5800">
            <w:pPr>
              <w:pStyle w:val="Default"/>
              <w:rPr>
                <w:rFonts w:ascii="Times New Roman" w:hAnsi="Times New Roman" w:cs="Times New Roman"/>
                <w:lang w:val="pl-PL"/>
              </w:rPr>
            </w:pPr>
          </w:p>
          <w:p w14:paraId="7EA58303" w14:textId="77777777" w:rsidR="002E5800" w:rsidRPr="008F328C" w:rsidRDefault="000E0B7C">
            <w:pPr>
              <w:pStyle w:val="Default"/>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250" behindDoc="0" locked="0" layoutInCell="1" allowOverlap="1" wp14:anchorId="047C7AF6" wp14:editId="3C62C3BA">
                      <wp:simplePos x="0" y="0"/>
                      <wp:positionH relativeFrom="column">
                        <wp:posOffset>48895</wp:posOffset>
                      </wp:positionH>
                      <wp:positionV relativeFrom="paragraph">
                        <wp:posOffset>76835</wp:posOffset>
                      </wp:positionV>
                      <wp:extent cx="2370455" cy="3054350"/>
                      <wp:effectExtent l="0" t="0" r="0" b="0"/>
                      <wp:wrapSquare wrapText="bothSides"/>
                      <wp:docPr id="53" name="그룹 53"/>
                      <wp:cNvGraphicFramePr/>
                      <a:graphic xmlns:a="http://schemas.openxmlformats.org/drawingml/2006/main">
                        <a:graphicData uri="http://schemas.microsoft.com/office/word/2010/wordprocessingGroup">
                          <wpg:wgp>
                            <wpg:cNvGrpSpPr/>
                            <wpg:grpSpPr>
                              <a:xfrm>
                                <a:off x="0" y="0"/>
                                <a:ext cx="2370455" cy="3054350"/>
                                <a:chOff x="0" y="0"/>
                                <a:chExt cx="2370455" cy="3054350"/>
                              </a:xfrm>
                            </wpg:grpSpPr>
                            <pic:pic xmlns:pic="http://schemas.openxmlformats.org/drawingml/2006/picture">
                              <pic:nvPicPr>
                                <pic:cNvPr id="61" name="그림 6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52" name="Text Box 52"/>
                              <wps:cNvSpPr txBox="1"/>
                              <wps:spPr>
                                <a:xfrm>
                                  <a:off x="1612900" y="2908300"/>
                                  <a:ext cx="719758" cy="146050"/>
                                </a:xfrm>
                                <a:prstGeom prst="rect">
                                  <a:avLst/>
                                </a:prstGeom>
                                <a:solidFill>
                                  <a:prstClr val="white"/>
                                </a:solidFill>
                                <a:ln>
                                  <a:noFill/>
                                </a:ln>
                              </wps:spPr>
                              <wps:txbx>
                                <w:txbxContent>
                                  <w:p w14:paraId="51540028"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7C7AF6" id="그룹 53" o:spid="_x0000_s1067" style="position:absolute;margin-left:3.85pt;margin-top:6.05pt;width:186.65pt;height:240.5pt;z-index:251658250"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0AVyAwAAAggAAA4AAABkcnMvZTJvRG9jLnhtbJxV0W7bNhR9H7B/&#10;IPjeSLbjuBWiFF6yBAWy1mgy9JmmKIuoRHIkbSn7oP5C97Avan+ih5TkxEmHrnmwfHl5eXnu4bnk&#10;6euuqclOWCe1yunkKKVEKK4LqTY5/fP28sVLSpxnqmC1ViKnd8LR12e//nLamkxMdaXrQliCJMpl&#10;rclp5b3JksTxSjTMHWkjFCZLbRvmMbSbpLCsRfamTqZpepK02hbGai6cg/ein6RnMX9ZCu7flaUT&#10;ntQ5BTYfvzZ+1+GbnJ2ybGOZqSQfYLBnoGiYVNh0n+qCeUa2Vj5J1UhutdOlP+K6SXRZSi5iDahm&#10;kj6q5srqrYm1bLJ2Y/Y0gdpHPD07LX+7u7LmxqwsmGjNBlzEUailK20T/oGSdJGyuz1lovOEwzmd&#10;LdLj+ZwSjrlZOj+ezQdSeQXmn6zj1e8/WJmMGycHcIzkGX4DB7CecPBjrWCV31pBhyTN/8rRMPtx&#10;a17guAzzci1r6e+i9HAwAZTarSRf2X4AOleWyCKnJxNKFGsg+S+f//n66V8CBygOK0JQv4SFkq41&#10;/+iI0ucVUxuxdAaiRSuF6OQwPA4P9lvX0lzKug7HFOyhMgj8kUC+Q04vvgvNt41Qvu8mK2oUqZWr&#10;pHGU2Ew0a4Fq7JsiAmKZ81Z4XoUNS2z8HmAD0AcTEeU9sFCCg77Iuv1DF+CDbb2OvfLT+pq+Shfp&#10;LOprrxJQaJ2/ErohwQBUIIrp2e7aDdjGkIBa6UAYMLOsVgcO5AyeiD8gHkwUEFoD95Mb+cXoCcM/&#10;1YI3FTMCKEPae83Mp6NmbkN//aY7AhegDmGhTYnv4B/0Efw90rFp9t06OZmALlx56EsYL2ewY9Fj&#10;5y4mrxZz3M6hcSfHJ2nft8/n1elaFqMWA+HntSU7hnu3raQXUc5QycOo/+D/vqpg+W7dxY6aLkYq&#10;1rq4AxNW47hRoTP8UmLDa+b8ilnc33DiTfLv8Clr3eZUDxYllbZ/f88f4nGmmKWkxXuQU/fXloXL&#10;on6jcNrh8RgNOxrr0VDb5lyjVDQ90EQTC6yvR7O0uvmAp2oZdsEUUxx75dSP5rnvXyU8dVwslzGo&#10;v3Ou1Y3BTTWJog7E3nYfmDWD3D3O860e9cSyR6rvY4PMnVmi8S5lbIlAbM8iRB4G0Ha04kMD6+Al&#10;eziOUfdP99k3AAAA//8DAFBLAwQUAAYACAAAACEAfveJHQudAACg4gkAFAAAAGRycy9tZWRpYS9p&#10;bWFnZTEuZW1m7H0JmFXFtW7lvXuj3pgv44uRFxUjRqMx6tXo1ZtcjaImcbgxipjcqyZGTYxEkTjE&#10;iBKchZ5o6AZsaEaZuplpoIFmsIFmhgZlVAbBNiKIXh+Kgvr2v9u1KersWmfPZ5/T1d93uvbeq+Za&#10;9e+1V61a9QUhRBfrR3/3fEGIButHf388XoiLTxKi/RXXXinEF8TQ148R/9siSlHsqH8/Soh/+ych&#10;brYIL1Hiz8P5l/yzWLP/f4nrrfv2Vnr6U8ui512sPOZav19aD063fn+1fmN2tKZrL1YIooOGPBD3&#10;C6K9dXc4nn3z+b/PPvtMmJ/pA8MDhgcMDxgeMDxgeMDwgOEBwwOGBwwPGB4wPGB4wPCA4QHDA4YH&#10;DA8YHkgLD7Q/6RRhfqYPDA8YHjA8kB4ecHs/mPFJz/iYsTBjYXjA8AB4gMNqNxo9GzeuRvTq9bwY&#10;PfpF8Y+WneaXB30wc0adPWYYt71797iOPY2vCc13vuGBdPAAvavdxoOjUfx977xjz/veRb3E/Llz&#10;DFbnGVbv2/eOwWpjo2p4IA94gMNjjkZYjXD0mLGOnLao8SWD1ynH63FjD4/Xhx98YOZpHsxTeb6Z&#10;63TIuUmPA4fHHE2u58GDB0VV1SAbr0tLisSuHdsMXqcYr2WslsfRXBc2BkyYMElcfc114pJLLxPn&#10;/+hC+9ehw6nihBNPPOL35S8fK4466p+OeEZxzj7nXDvdxf/+EzuvGzt1FtOnzzTv+wTe9xweczR1&#10;Xm/ZssWRrafXTTFYbbDazN8E5i/Nw5Y3WkRd3QwxdMhQ8cwzT1t4fKmNt8DcXPxQfnl5PzF58lTx&#10;yisbDC9EwAscHnM04hEKP/3kE1FaWmrjdVFRb7Fj62aD1ynFayNXF4b8XF5eIS655KfiOyeckBM8&#10;9vsOuOjiH4uePZ8SLS1vGuwOgN0cHnM0wmg53Llzp6ioqLTxenxtjcFqg9VmTgaYk/KcUq+v/9WN&#10;AnqIY445Oi/w2Q3PUffvn3GmrYu5++57DI945BEOjzmaykN0v3fPXlFUXNSK1+NrRcvO7QazU4bZ&#10;Rq7OD7n61S2v2jqNnj175C0uu2G17lmlJeetXLnaYLcGuzk85miEzW7hjBn1ju56adNig9UGq838&#10;08w/t/kD2RlrfjpMK/Tn7dq1E1dc+TPDMwrPcHjM0dx4jJ599NEBB6urB1cbrE4ZVk+ZPMkZH2Nf&#10;nXsZ+wPLbhJrgnGsBx73rW+Jo4/6Ygbu39vlz2LKlMn2b/mypUL97Xp9e8azJZbchTRXdOwoLr/8&#10;ckv33EN069ZV3P6728S1v/i5uOiiC8XXv/a1jLLCvls63fRrsWhRkzh06JM2jd8cHnM0wmVdOHt2&#10;g4MHs2bWGbxOEV7L+xYNVucWq6+++tpIse2uO24Xxb2eE3Pn1Du49lj3v2WUAWzVzd1sz1FGl3v0&#10;eub3/+d/RH3dVNGzx2Oic6dOGWUHxe7zzr9ArFyxKnC9s7Ur7XQOjzmal3ZNq5tu4zVsrnds3WLw&#10;OiV4LWO12WOeG6weNnRY5OuDkHHd5uWm9a+44mXLzh2u8d3ykJ8Ba++68/ee07bs2ilGDh8irv75&#10;z13r4Re7L7zwIrFgQaPn8uW65/M1h8cczWubaY/MtGnG5jot/lLmWDIXfIHgt23r1jbH8155N+p4&#10;sH/+yle/EhivvvnNb4qfXXWFNv3NnW/SjuXc2bPFscd+6Yi0kHkPfHhAm8at/RvXr7Pz8IPVcj57&#10;9+wWzWtWi5Ejhtt4f9UVHcXXvx5cbzJq1Bhf9Zfrkm/XHB5zNK/tJF1ISUmxsblOiVy9YP5cg9XK&#10;uo1Xfg4Sb//+/QK2xX7lR4oPPfCUCbU2rg6s7KfN54wzvs/iFrCc8qQQ+fppE/QrSBsUq93Kgs4E&#10;cjfqT/XyE8K+HHbbbnkX0jMOjzma1z7AOqOxuU6X/8HGl+Y7WP3KKy8XPI975dWo4/XqVWzvxw5q&#10;Cw29MGE01e2qK/RyNfCN02v06dMnAwv/cr+73oTKU0Mq/5FHHomcb4DZeBdRGX7wGnFhs63Wt5Du&#10;OTzmaH76ADbX9M09Y/o0o7fOsXy9wlr3p/FoXrOmoPnbD59GFRd7qoPuJfzxjy8WI4YPF9teezVj&#10;XDauX+9g7YknnWTLtsDM//6v3zj2F93u+3NGOmrXpg2H0xMOwm7jgGWHQnG4sMHSo1C6yooKT2m4&#10;/Djayy+vE72ef17gWwC6HyrXa9jQMC/W+nF1j4vG4TFH81ufiROnOPiwztJXpUV32xbrsX5dszMW&#10;ixa2vTUav7zrNf7IkaMFfBp5xRO3eMuWNGkxBrpl0CFvY71Qrhfk6aLnn7OfQT6VafK1W5lu7wU5&#10;DV3fcP0vnbbNa2jQlkHxowqh44ZNiVvduWfwT1VSUpZYPaNqry4fDo85mi4/3XPycw15buyYUQar&#10;cyhbv7Z5k4PVOCNCN2bmuXcbkZs6/9oXlhx/3HHiFz+7MiONbq2v1vJj2/7kk1hbuc0bN1j6g452&#10;nhPG17iOa5c/3Z1RJmyrubE+ePCQqB78whFrk7vf+gebhssvKA3vFMjasDf0sx556223i927dyde&#10;36Dt1KXj8Jij6fLjng8bNtzBiDWrVxm8ziFekw4EITdmhsbjNfwQ+bWRhlwMOzbIyLJceMp3T3Yd&#10;C8iwFA+6XN2YAHMpHtbp3ORrt7XJbFgtl4/8/eq4dfUN8xzfFX702rC/wZ79MGXmOi2HxxwtSL33&#10;f7BfDLd0ccCHQYOrDFbnEKv79u3jvDeDjKVJ85m4884/+LKRBhbLOg4Vq6E7duvXSy+5xMFg4Lxb&#10;HDyTsRqYCps8da3RL1YD7+Xyka+8z0ZXl6Seoz1e90rCLzf27ydVt6jL4fCYowWtB/C6tLTMxolR&#10;o0Ya3045wmvYt5JsHXQs22q6+voGX2uH3/jGN0Rlv37inT1vH4ETKlZjDY36dPdbb9nf+/967rkO&#10;TgMngUuwT6Z4clhuvX8RR/4hPt7LpFvp+dijR9AR102u3vX6DvHkE09k2NE99mj09h9yG4JcU12x&#10;3iq3nbtuyMO1Rw6POVqQPqU0NTW1Dk7AJqEtru/lus1TJk92xoDGxYS8vgP9g/VDDgN0tJPbnywm&#10;T5qYgbGQC/EDbgNPIcfCTg8yOJcXdCjyeCEdZ5+slo894FQ21u4oL8jheO5Wvk5HQ2lzHaId+O7Q&#10;9Zv8HHaU8P+d6zr7KZ/DY47mpww17rvvvuvgxCSLf3ONW22x/GVLljhjoI6Puc/EbOxnueWW3wo6&#10;30qe936uoZcAFjavWungBOmu//54pt8OXd7QS2yw9hBirBpmzxLAYl1c+TnKx36WxgXznfKBcXhX&#10;PPLQA2weUe5/iZPH8K7zqhfJJ50Ih8ccLWxfk6+QsrISsXHDKwavE9aFwD8L6UDwnRN2PAs9Pey/&#10;ZMxzu4a+osfj3S2ZtH3WuG7pgzxDv6t6kiD5ZEsDmX17HvkjeHXzZtv+3O37QG0r1h3zwW82h8cc&#10;LezcbNVbt5751b9/pcHqhLEa3xJY3wVeY7037HgWanrYeeCcLHV+q/e/v/23Th/Cb6hKj/oeciOt&#10;M/7pj3fFWh7KUtco82W8oRsiO8ZsY5D2cyE5POZoUYzV1q3bnTNkzP6Y5Pehj7Fsq4HVfcrLHZyJ&#10;YlwLJQ/sET/OsoPONseBmcAEajf0ztA1ZEvnlw4ZEfoL0m1TeRRCBx1HufCpSmXkY6jaHOr6HWP9&#10;l24PpratHB5ztKjGjNYZa8aONrJ1wrJ1w5w5Nlb37v28wNnGUY1pIeQDX0C6OU3PgZ3V1YNd+w14&#10;XVsz1v75sU+gvOXw/PPPs338v/fuO65lqf2N90alpRPn1hrl/HXXSI+9J173oKv1SMs9zk1AGy+5&#10;9DJPfg6hEzlwwJ//wSTayuExR4uqbvB1D9muqKiX8cOXMFbjrHnSWb/Z0uIJB6Ia9zTn40U3jT3P&#10;sizNtQf7Nryu/am4CTmZ7O24MnQ08oun5pvtHnoDXZ759hxrt2jvjZ06i02bNtuyc7bvpR+c9cPU&#10;tZ/DY44W5XhNmNB6ptTAAZXmTIKE8bq8T6utO3zlRDmm+ZoXfLVxOAbdrU6W5toMXC8tLfa8DghZ&#10;HN/uwHmsk3F562iww0YeA631IK5NRMO+bfhKwvfA/3v//UBl6uqSy+fYI482Xn3NdU6blixZ5qlP&#10;tm/b7qTJZRtQNofHHC3Kest++EZb+2Paog1drtoM3IFsvXzpstTwZJS85TWv9y1s+v73z2DnL2Rc&#10;r7I0Vy5s7bLZbowcPsy2swbG4P3g1890/4p+TluA19l8H0Hu9+rDiWtbWmnoR/W83enT67PuOz37&#10;nHNTMy84POZoUY8J6a2BG8aGL7l1xnGWTyDSg0Q9pvmSH3D6sst5v9CwZ46yPRxWAzeB5yTvUog9&#10;g9neFdj/re4HobMVOf01yoyyfWnLC30C3ZZaL+xtynZmfFr8YnN4zNHUNoe9f2PXLgcz6qaa876S&#10;krNnzahz+j3sGOZj+j2Wb/Vs8jT0AtjzHWX7dFiN9Urs+X7wL90ysJowG2lv6nSDbT+M/Sn4AY9P&#10;7dBBm6aPtY8B642Uh1sYZfvSlhewmsNcL/633oqYB/z2EYfHHM1vOdniww6htLTV3rpvv75GD5KQ&#10;3rppUWObxWoveo+47NV0WI2zrDBXKisrWFx1w1rdM9KhQCbXxcFzdd96tjmbT3TsFT3hxBPZ9202&#10;3+Mc1ifRFxwec7Q46rbeOk+jqLjIxo7lS42fkCRka9i1t1UdCPSXHHZBLyD7yoiS53VYTToO2H4E&#10;teFQ2wTdN9Vd1Y/IcalsiltIIbAath9cm97dt8+265P7RL3OJV5zeMzRuDaHodFZuvAZZvTW8eut&#10;X9+21bKX7N3m8Jr75oW/O9gVx4XTmB9uWH3JJf+RgSXAz4EDBth777z614ccjTNcYM+hysrQZ6v4&#10;Q/dh5m3a02KfENrppZ7w6ZTtjMz33ju898lLnlHE4fCYo0VRtlseBw8eFP37D7Cxo2qQ8XGdhGw9&#10;bOiQNoXVkI0In9xCWQ5149EonkG/rJadzTcS3h3QkcCmo7Olr6b0wGbIy88+9cQR/rF19aR0csid&#10;YaDLJ5+ek/9Zr3XG2V8cXp922umecN9reV7icXjM0bzkHTQOydb4Nl+5fLnRXcesu25sXOBg9Ubr&#10;HKig45YP6bB3TcYo+Rp2EsBp2OPG3Zbbbv3vjHo89OADsZeLdt12y39llA2cj7vNucwf7zmMNew+&#10;vNYDNn0yf6jX2N+YpP01h8cczWt7g8SjvYzAauMzNX49CGR30oMUsh8nzp4WsmmS/on69OmTgQM9&#10;e/bwjCNB5hWlcdNZk39VilOIoV+sRh9w73bkBxuijz/+OJFx4/CYo8U5lp9++qkYXF1ty3rYy5iE&#10;HqCtl4F+xruxpKQkEb6Lk3/c8oZPHu6bNi57D7e64JmbP6FcYTXsBHX1LKTneB936XKv77Zmw+va&#10;2gm+8wzSrxwec7QgZflJI+9lXNTYaPA6Zj1Izbgxjh6k0HyDYK1I/X6V7++7797E/RPBDxMwUq7H&#10;H//wh0TmvFou7Mf9zM18jYv13DvuCNbH2c6pX7SoKfY+5PCYoyUxXuQnpLSkyGB1zFg9t6HV5x5k&#10;640b1sfOd0nwD5XB2c3mEqdgRyZjNe0vpHrHEdIam1wu/G3HUVba8sTeU/giD1ovbk0aumvY/AXN&#10;20s6Do85mpe8w8aBbI1vcuCH8W8dr956adNiR65evGhRrDwXli/8pMe5WzIuqdeLFy7MWVthjwcb&#10;bqoT1jb9tC1IXDebbdWuL0i++ZAG78Lzzr8gcB+/uuVV8VULk2m81FD1NxJ1n3B4zNGirocuvzFj&#10;Wr/N62dON7J1jLL1dutML1pfxLtRNx759BxnBajzie6Bi/Uzpue8nfCFd7x0nkH99Gmx1Qm+82T9&#10;B/S30H3l05iGqStszjH+YfLA+jRkaOIjNWxomBcqf65uHB5zNC7PKGkzZ86y5b2hw6oNVseI1Vhb&#10;pXNiCgWrdbqPpG0+ss2HJ594wpn7kLPj2j+oni3m13dftnaknQ779bBYjTZmW/8AnsfRFxwec7Q4&#10;6uKWJ9nvFVt7z3Gea1u314iz/evXNTuyNb5n3MYjX55hDUmVeegeNi9pagfWGeW9MdCrej0Dxms7&#10;sGf9wgsvcPqk2/1dU9UHXtsRJt599/3Zbv/u3btDt/2RRx53+pL4ikLsZW95oyV0GWpbOTzmaGo+&#10;cd3DpxPkPPxmzawzWB2zbE17GMvKSiPntbh4RM2Xw2nYFqvx03IPjKb5Dlk7ynrJNtVhz5qJsl5J&#10;5gWbSPSvn/0wuvrBpprThcjnGujy8Pucw2OO5recMPFJD2LOO493fREyu2wPsmzZikjxIgwPeE1b&#10;VVXt4B3hHoVx6he81o+LJ9tcQ58elS5Ezjeq8xK4dqSVRliNszSjqOPKFatsn9jEX3IIW37oSqIo&#10;h/Lg8JijUfokwv0f7Hdk61UrlhnZOmbZGn6z8B1T0a9fpLyWBK/ozko85bvtM/wYJVEfv2XgzK4u&#10;99wj4KcJeA0fUkHP0wLWw38TzgODjh5nmoY5u9FvW9IWf+KEWvs9HtTGWtce7uzGVyzfobp0fp9z&#10;eMzR/JYTNn5V1SAbP7D+FafO1uS9U4y2+pj0TlgvCDt2SaXn/DcAs5KqRxTlLFywwPk+gG7Er4wN&#10;+xKyB7zoogsT3T8fRfvjyIPWVrGvJcr8ObvQ75xwQmRlcXjM0aJsq5e8mpqW2PjR15L5DJ7GqwuZ&#10;PXOGg9WrV6+KjNe8jHPQOPChA1/y8neofB2nf9Ogdc6WDv5J6JxE4K4Xez5gOuw7yDYPeuq2Yj+d&#10;rT9x3g54IoyNtVsZe/fuZXnvpQWNkcwhDo85mlud435Gsh6+Ew1ex4fXL69tdrAafR73uIbNn1vn&#10;gS9qzNGwZeQyPbAW3wWwOetm2TL8/fG/uZ5j2/1vfxWwIYYOBefg+ZXFc9nGJMomrIa/pajLg+5a&#10;528m23k0XuvC4TFH85p/lPEqKlr9CzVZ504ZrI4Pq9G3WMcFTvfunX6s5tYTgVtR8qDJ67O87U+8&#10;8+hbK45x1K2VoMwo1hk5POZocbQ1W560h7Fhdr3B6pjXF2V7kFGjRqd6fur2vGCO5HIPeTZ+NvRk&#10;cT9urH553SvOu4DeCRRib3rY8ebwmKOFLTdIerLdw/egkavjlat37dgmqgdXOboQ2LkHGbO409TX&#10;N2jnx1NP9Ejk3IC422jyjwbTYU9D2BnFfhi3ceHOhnvm2d6h5hCHxxzNrZ5xP1tu6YTwXV5dPdhg&#10;dcxyNd6FWBegNYK1zc2h+Cwu3tDZS6V5z0tcfWHyzY7phNVx7CtE/79vvQ/gy4/KkcOwemsOjzla&#10;Lvhi69btNnaUlZUYrE4Aq4HXQ4a0nvmQxjVGnB8gzwW6hj1xPtp95GJOtbUyO17eeoZblHbPbn2o&#10;88cHudstvpdnHB5zNC95Rx1HPn/A2ILEqwMhHdOC+XPt92Ma1xh153Vg/0jUvGfyyy6z5kMf0V77&#10;uLEa/lFJdlBD2IwE6SsOjzlakLKiSFNaWmZjx7IlS4xsnYBsvXHDYT1ImmRr7uzEfLfRi2KemDzc&#10;3y1/sXxWATuXLl0eCC+99iveBSpG0z3OLPCajxyPw2OOJueR5PWwYcNtrB5fO85gdQJYDfl6ypQp&#10;jmzdvGZNID6LmkewH4x4Xw7/5ZhjxLnnnCNwXlNb/kXd34WSH53Fk8SZW9hzI/OmfL1y5Wrf84jD&#10;Y46Wq7GbPbvBxo1Blo0CfaebMH59SN++5Xa/l1jnqR08eNA3n0XJLzr/wfB50bdPicB8bIu/ol7P&#10;OdgQZX8XUl4jhw+x+6i+fnbsPAx/fjI+y9dBfJJweMzRcjV+zWvX2ZiB73GD0fFjNPXxuLFjnX7P&#10;9b5z3V5y4HOu+DIN5cZtP5yGNoatA503OX36zER4Reeft73lM8BvWzg85mh+y4kyPtmRrbF8VRCW&#10;mDBe3F5r9TX1ey711jqZ+thjvyQOHTzkm/+j5Mtc52Ww2l1HLY/LhvXrbFn3oYcfTYxXdLKFXz0M&#10;h8ccTW5/0tdF1hkxwAtz9kC8+Ky+/6ZMnuzg9cgXX0yM12X+6nzzb1y/K+H3XY7XFq8NVmfHavAF&#10;dBFxnAWg4zmUJes/6NqvXxIOjzmarl5JPO/ff4CNGePGjjFydULri4Tb48fX2n1f1LuXmD9vQeL4&#10;2KHDqa58H/e6fhJ8HbYMg9XesBo+CGHvGba/vabHOiLhsxpij4DXfDg85mhe848j3vDhrbYgZn0x&#10;Wbma8PqFqhcc+XrjhvWeeS0sL+j0H8DvsHkXQnqD1d6wGjbW8LOU5Jhz533BT6SXunB4zNG85B1X&#10;nHHjamysKLVsEgg/TJgcbst+nZLSXe/fv1/oZOpbb/2dJ16Pix/Tki/Z9N555x9Mf1i6Dt24AKuD&#10;2jjr8sz2vFevYq1s7dV+j8NjjpatbnHSJ0yY5Mh1LTu3G7xOWA8Cv07QP9FaI87Rjdu3k24/Ob4p&#10;4+S1fMqbsBr6UVwn8Vu9ullsfW2r2PX6Dvv3xs7Xhfx7c9cuQb83du60zz2A/B/1z4+vbth1hvXN&#10;EYQvdGuMXtc5OTzmaEHqGlWa7du2OjiBfXVGpk5Oppb7Gmu7hNdbtmyOFTOxDqPq+ug+Kr7K93wI&#10;q6lf2nLYudMNAvIzztWBLefcOfUCNiAYY9znAqt1PhHOPudcT3OHw2OOlku+3r59m4MRBqtzg9OE&#10;2bRHJk5dCPY/6XCnrm6GJz7PJb8mVTZhNXSx0IO0pd/1v7rRtu3ANwV+6AP8sL/1a9Y5wzL/fMs6&#10;Kwj38NmR1NignMbGRUfUg+qE82S81IPDY47mJe+44rzZ0uJg9crl5lxzws1chHOscx9Itl60MJpz&#10;5VS+0ek/vPK4ml+h3hNWG321u6561843BPYSgp8uuvjHDm52uunXAud1xs0X7+7b55RJOE2hl/N6&#10;OTzmaHG3i8tfxuoV1ll6ucAoU2arPL9j6xYHq+OSrSEzEU/LYdLrQxxPpoFmsNodo3VjA9wmHTLs&#10;NIClurhRPdf5sfFy3jmHxxwtqroHyWfPnrcdfGgyZy/m/F01ZvSL9ngUFfWKhdeByTJG0/Upp3QQ&#10;8Aec778rr/q56HjFVUf8Lruso+2zHn7r6feT/7hU4Lwy9Uff+9RPCEkX0JbCq372C4cX6PpnP79a&#10;YP8UhzOQafGNduGFF7HxuDy80nr2fMqVl8HT2WR7Do85mte6xRFv3753HKyGf2Uj4+ZWZ401g6Ki&#10;3vaYVFUNipTfN2/eouVtr7ZOUfIgfLFCHpN/sPuG3wf5h/kPP2vqj94zcYaQFdVyC+Eeegu5j3FN&#10;44Bx0Y3zkiXL7HgYE1qj/sXV1wjYk9H5MMgHY+J337euTO65TrZesIDXIXJ4zNG4usRNe++99wxW&#10;J2ynl+19SPtjiot7a+dMEL645ZbfumK1V121uuYE2YnkUDkEvqm/o4/+omvZbjirpsX9uf96fkZZ&#10;WM9SZV3Ifeo6YJcu9wrIYOqPsEkOMcfhv/7yjlcKyJM33XSzjWlynEK4xnn1cn/87ZHHnH5DH6Jf&#10;8Q0if2dd95/XCzc/TcB2pIfcjXcA0p/6ve+JKM6wzcbnKNeNh1B/Li2HxxyNyzNu2ocffOBgdf3M&#10;6UauTgFuT/3cxzV01lHa7+n2exUXl4jSklJrr/ClrnzvNhfwDHKVm4yJd4Iqs0FeVjEuCZ1m0Pkz&#10;cMALdl8gvZe1qqDl5FM67KGi7x7ozMADvXsXCfWbDGOP9z/oeB/E3UYqS+bTbPtvOTzmaHG3hctf&#10;xuqZM+oMVqcAq7FuQPYgq1aujITXN23a7BmHCYMJcwlj4zqvmuPPXNEIq7FHDu+jXNUjzeWCL/Ae&#10;gwygYvKvbuhk8xtwO+42uO3BzfatyOExR4u7LVz+Bqtzq59204esW7Paweqo7EF0/j/wnfr44z1t&#10;mTfo2XUcf+UrjbD6mWeetzEnX9uRRL337t1r7zMHdlN5ZP/8459c4jwjWtQh9B2yTE3X4HldWRwe&#10;czRdfkk8N1idPqzGXv+SkmIHr6PgA+hwiYflEGtCUeRfaHkQVkNehG5IlRsLrb1h2wO9Nr5BKJ+G&#10;hnmJydXl5f1deRv6dqqPGnJ4zNHUfJK8/+ijAw4mTJo00ehAUqADgaxNtntRydU6u2pV15gk76W5&#10;LGA1bAzwjsN1Et/yae4Prm7wbQc9iGw/Ah9gkAlkWZvLIwwNPCzLH3SNOuny5fCYo+nyS+o56UZx&#10;tpTbN7l5lrzsLfvfi4IPYEdBPEwhdHpefUhGUYd8ygP4/Mvrb7DtIWBHgrW0fKp/knWFbR7sPw4c&#10;OOD0EfjtuOOOE++//77zLK46YR2FeFoNYe/iVi6HxxzNLa8knxmsTh6Ls73/tmze5HzvRHFuDPTS&#10;Kh+bvYr6vXkkS2NfDeRF9B3sIJKcl/lSFnC6peVNp29oz2eSeiOdnbXOhofDY46W6zExWJ0+rAaW&#10;4/wHjE3YPTGYRypO4x579nLNe2ktn7AaeljUEf2VbX9FWtsSZ73AW8BquQzYzSRhWy2XCd20G4/r&#10;bHg4POZocpm5uDZYnU6snlE31cbq0tKyI+aCXx7R+WY364rZ5Wrs/4CfIuARZ1fgd0wKJT76ZXD1&#10;cIc/4asRmNm9e0/nWRJthQzvhtV4duhQ5jnPHB5ztCTawpVhsDqdWL1syRJHD7LT8i3PjSFHg2zo&#10;xsdcmrZOI7ka/QAcgD85/Np6v8jtR79g/U5e8yA+y+aPQ84nimvdtyPqQ3vf5XI4POZoch65uDZY&#10;nU6shh6ExqapaUlgnMAebZpDcpgLXsuXMsvL+wmsKaK+0FnD9vzGTp0Dj0G+tNtPPaHnUHXS4C/0&#10;l598oopLeyllHsc1zttRy+DwmKOp+SR9T3hg7EDSh9k40wvjE1RfsWfPXlecBg8nzWf5VB5sqmlv&#10;EPVVrjAojf3WYNlPky6f6oe1asjZ8joj0ZIIYVep4jTu3dYZODzmaEm0gyvDYHX6MJrsRKqrB9tY&#10;PWzYYZ0gN5YqbaS1l8yNfwl/1Pht/R62HsBk2X4AfQVbEG5vRVvrN5yhRe8ytB3X6Kdc2qFDR+XG&#10;627+pjg85mi5HOePP/rI+c42cnX6MHvEiOH2+JRY58wH4RMd/wbJK4o02FuC9TrVP57bPflNhvyW&#10;7ec1LnDYrSz52aOPPn5EX8OvFfQhSZ9TFUV/x5WH2heQqdu3PzkRe2pdm8i2UsVr7ANT03B4zNHU&#10;fJK8N3vM04fPJFMjnDih1nmXHjjwYQbPZeMVr+uKS5cut/Us0NPK/vbwTUu+9CBXQm5y+0FvCRne&#10;yy/f7JRh2wB/VtiLV1/f4HsMso1RvtHBD7LtB+0bzKVMTX2o4jTu8Q1AdAo5POZolD4XocHqdGM1&#10;fB+Sjurtt3dn8Fw2nsG8cuNffOND5iZ/8VgnQlzMN+BttnzbEp2wCG1u67YgtM9F9rmY5H7ybHyH&#10;vZIqv8O3upqOw2OOpuaT5L3B6nRj9byGBgerX3vt1Qyey8YrbrwLXj7rrLPFjBn1orl5bYZNU4u1&#10;vyFbvm2JfvDgQdsfM/Qg6r6PttQPaOt1113v2MfgHpgNOyP0y6FDn+Scb9z8o7rtz+XwmKPlcrwN&#10;Vqcbq5c2LXawunnNGt9zQZUx6D4bz6XhezZbHZOk45sDWI3+S7LctJSFby3s45b3A5F9NeSBtLzf&#10;IUMTj1OId4najxweczQ1nyTv5fMW4S9I1pWa69zjOM6WJx3I8uXLMniO4xXufAEuHdEefugRX+VR&#10;ukIMcVbU3XffY+NAtvNhC6X9dJYXfFBj7XXsmBrnfHKcLQwsBE7jeVraTPUinEb45S8fm1E/Do85&#10;Wi7bKWO1ORs399isvh83vLzWwepFC/nzPlU+IjsqmW9x3bNnjwzeVdPSfffuf/ccl9IUYoi+BF5h&#10;3RV79iFn5uKHsqEz/+tfH429fNnHKdo6eNBgZ90ZPhrT+O2FMVL5HfcqT3J4zNHUfJK8N1idPnyW&#10;8XrH1i0OVkO+9sMbUWA1ysM8TeO89NMXUcQl/0Do1yjyC5IH4SeFQfLwkgb7R6DjwBq0uu8VtkE6&#10;X6Ne8o4zTiFj9ZstLQ4W4Jw/GSfMdTpwnHQgfrEaGOsmY5QF8AXV0vKmrassKQnnRyrOeRp33oTV&#10;0NsCv5L+ffvb37Z1DtA7tGvXznf5WHeTz5uXr0FDe1TfuXgGX9SwUcZZb257AOPudz/5Q2/jxvPq&#10;u42TnTman7pEHVfGauhGDT6nA5/lcais7Oe8T/2Mvw6rf3pZpr2pn3wRF7Il7I6x9x2+5v2mz8f4&#10;JLMBK/GdkW8/nJ2ANVL1J9vNQ78Cvkk7Juv4B3sU3bAabZLTcHjM0eQ8kr7esWO7gwOrVywzWG3t&#10;P5FxMg3X5Mc6KrkavAy76qh4DTILbCSAXfhmxrdzVHmnKR+yIwZmp6lepi6HfdsWMlZv37bVweqN&#10;G15JHU6lAStzXYfxtTXOGPmZlzq5+hvf/IYte1x2+RWxYA78YQK/hw4d7qx/0TX0nKiXKuf4aRfi&#10;wi6c8uFCKpeLI9dJFw9xbryxs91vsAnxW18T/zCextkXhYzVjY0LHRx4zTo3Kte4ZMrPlOunTJ7s&#10;jJEfPgfuuH0P4hsYsi9onW76tcEdC/u99iv6rFC/G7z2QZrjFTJW19Qc9jdhcDITJ9PQJ/KZA37m&#10;iQ6r4Ucf+TzwwEM2XkP/6iffthzXYLX391ou+KSQsXr48FY/bn37lhuZOoW6arwrZKz2s888G1Zj&#10;LmEtCfgDvMZe6lzMr3wq02C1wepc8Wt1dbX9fY31qzTIkKYO7rI92e35OXPAC1aD78gXH3zs5YoP&#10;86Vcg9UGq3PFqxUVlTZWY/3K4KQ7TqahX+LEavAe2aXmig/zpVyD1Qarc8WrhAFzZs0yWO1DB/Ly&#10;2maBsxmSOp+hrKzMfqdCZ+WVV7zK1ZQfydfr1r3suQxK21ZCg9UGq3PB6/s/2O/YF0Anmgb5MV/q&#10;IOuQk6gz2VhHgdW9e+vPmIH/SOAR9kfkgifTXqbB6nRjNfZXYozUX77vW2xeu87B6h1bNxus9iFX&#10;5wqrBw8e7BlDg/gDwX61i//9J7a/Zqw3+tGPpx1no6gfMCAt9tXApQv/7WKxYP5Lnnkiij5Icx60&#10;t1TFarXO3N5Ejqbmk9T97NmtfuyNDYh/PXXSWD2+dpz9XsX6glf+CILVlHdLy5u2/3iZ5+Gfb9So&#10;MQLnpFC8Qgmxfwdnnqi/hoZ59l567KcfOmSoLa/JPpxz0X6cgXaNtXeyuKhMdOv2kLjgR+eLESNe&#10;LLgxCdK3hYrVo8eMtef/sKFDjEztQ6aGziNprKb9MH6wOqz/aswV4BL02PCBKeM2riF3Y18NnQcG&#10;/Th+QeaY3zRUFoXYn+Lmn0P1fYF7t7aobePu0a9+6xtV/B07Xhdf+9pXxe2/u0tUVA4UPR57XIwe&#10;NVYcffRRYvTocTmrV1TtC5uP21kD8Eel5svJzhxNzSepe7IBqZ8x3WC1T6zeYu3xpHXZNatXxd5/&#10;WPtFeaU+feTpMMcvj3344QHx6pZXBc7QffbZIttuBGeOYm7AFxvtW5fLwzPZF93Z55yr9fNG+cjx&#10;cS3nx13Dn7yaFvfwESf7k8M1zuCG/CX/YAeDfRTqb64lV8M3FX5ou3zOoN8+DBu/Yc5c8YMzzxJ/&#10;uruLeOrJJy3b+PvF0089bV0/I0YMGyku/WnHDEwKW2a+pQePqXwCPlDbweExR1PzSeLerCv613uo&#10;a4iE1ZCxVZrf+759+wj4qtalk+V4P/wB/50q7+LeTx5+45Ksi302sqzrJuPKzyC/y/FxDbme8qMw&#10;X33A+e1HOf65554nsO775JNPiKefflr88Y9/sK6fFLfdequYNnWGGFQ1yHr3XBvruMr1Seu12/sd&#10;+K3Wl8Njjqbmk8T9zp07HblQhw/mOY/nUWE1zk7r379Si9MYh6BYjTNLk8bqJPi3LZVx/PHHi9NP&#10;P10MGjTIxuk777hd9Hi8u43Tzz/fW4wdO05895TvWuvAkzMwqS31E9qK7yuV37FWrvYDh8ccTc0n&#10;iXusDwFryvuUsRhh8FqP11Fg9XZLlsba7ro1q9lxgD03lYezfLzyCGRTlXfjlqu91s3E4+3foPM4&#10;6aSTBHyxPv98L/HkU0+JLvfcIx55+CFxX9euli7qeTFgwEBx3X/+yjM/FHKfY83Vjdeh61LbzeEx&#10;R1PzSeK+qWmJPferqwezGGGwOl6sxlk8WDf00s9BsJr8fag8nASPmTJ4LOb6B2e8Hn3UP1u66Kcs&#10;TH7OlqNvvrmzjdHQUz/zzHNiQOUAcdZZP8zAIS7fQqZBR6byOe6xFqG2m8Njjqbmk8Q9bJAw90eP&#10;ftETTnjBkrYWh7AzjL560qSJlp7am207ledHrsYeADf+xbMk+MyU4R+vzzvvR+KMM88Uw4cMseTp&#10;IlvvAZx++MGHxT1/ultgL9MzTz8nLruso1i1ao0ZR0v3AT7TySVzLNtklQ85POZoaj5J3I988UUb&#10;q6fXTTFY7dMGhN5JhJ1BsRpribU1Yz33f3FxkT1m27ZuzeA9jmcMVvvHS64/46JNmTxNfOu4/yMG&#10;DqgSf+/xuLjv3nvFEz172lgN/UdXS+/Rp09fcd+fu4prr7veFw/EVec05Yt1ajdedztjjsNjjpaL&#10;9lZZ68bAmgXz53rGCsIoE7bqRcJiNXQffs4jhl4bZfrFah0P54LvTJnu741Ky1YaZ98uWrTEssss&#10;b8Xnz+08gNOw/SguLhVd7+0qjj32S2LPnj0Gqz+Xp4mndDZP2N9EcSjk8JijUfqkwkOHDomiz2W0&#10;5lUrDVbnQK5evLBRVL0wUOzasc1z/wfFauxVcZM3kuI3U447PlO/3Pbb34urf3GNqKjob8nN/Wxc&#10;BjbjB5y+t8ufRT+L9pvf3CLuuutu8YG1hkZpTdjat7DjdONxPHvzzX9k9BeHxxwt6f6W/YD4wQoj&#10;Tx+5zhhUrobuA2k3rfd3viWdZ75xw/oM3uN4SLfmAn8SXDpD4zE2bP+0WPv4v2LtqRtSPVzc8fvf&#10;2/bShNFyONCy9Tjte6dZ5/g8bMZLkaVpDHS6amA1xZFDDo85mpxHEtfwxwOswP4Lg79H4q+f/giK&#10;1dB7jAmwpgubHZTZvMbfetL777/vuq8ae/iS4DdThjvmY3/LmWf+wLKtH2Dj9PW//OURMjXwetiw&#10;EZZdbV9xeccrxVtv7TbjpcHqH559jqtcjf0FbvzH4TFHc8srzmeEMVOmeLMV84NfbSku9aPftcUJ&#10;1rkO3B5FXR8GxWrwUocOp2bwMvx5xMlnJm93jKZ+6d69hzjxhBNFt/u72hiNdcRuXa194xZGw556&#10;4cImcX/XbqKmZoIZJw1Goy9x9pxO/6E7x5jDY45GY5dEuHlT6/c3cCYJPxY63CmE50GwGrg+c/rU&#10;QN8zYbAae7fc+Bn7B5LgO1OGO26feur3xIUXXGDbTwOju3d/VDz4wF/EsmUrxakdOohbbvmtGR8G&#10;p8FXLW+0uPI2+F31W018yOExR6P0SYSk/ygtKQqEF4WAsVG1IQhWQ++UbY+irn4jRrSeY7x40SLf&#10;85fO6FLxuqFhnu+8kuDTtlTGd9r9XwH7aewbf/bZZ8Ujf/2buPGGG8X99z8oDhw4YMYnC1bDp5bK&#10;17g/5ZQO2r7j8JijJcWXn376qa3vBMYY/UdwPTWwFPIxYbVXfcY8y+/HjOnTAr8jcV4Yylxk2ZD4&#10;5Rl8C7rxszkP113e9du/YeLj2+Z7p50mfn3zTdaZcLWi0403+R7fMOXne9qeTzzjytvwr6BrG4fH&#10;HE2XX9TPwROEL35tEHSyXlt9LmO11z4YacnFXuO6xQuD1TpbEOB31Hxm8vOP/2PGjBNf+tK/WH6o&#10;vyj6V75gxiSLLC3zGHzzuskh4Hk5nnzN4TFHk/OI8/rNlhYbq0tKikNhhhuOtLVnfrEavvRmzawL&#10;1e9hsBr2YW78bLDaP67GOUfd9tjFWV4h5N2uXbsM3obvdK5tHB5zNC7PKGmLFzfZWD3UnAMTCjPx&#10;XvKD1fPnzhHVg6sEfOqFeafNqJvqfBcF4Qucd+uG10HyMmnShfE0HitXrrB5BOtR2DuFEN/SsPP8&#10;9JNPWPyCnxnYd1Je+RDi7DU3nnbzgyq3h8NjjibnEec1+QCZPXNGKMwIgzeFktYrVq9escy2Y/fq&#10;n4nrn5kz6kJhtd/9AnHyosk7HqwHLuNMPnmP26RJrfsp5s9b4IrDwOfKigqHt8pKS8R6l33ZaRwz&#10;3Z5cN996cv05POZoch5xXcMGsaSkxB6PZUubDFYH3FdOWIpzzzAvsumToLfYuMHf/kQqQw3DYvWe&#10;PXtdfbEbPUg8uBnXXNblO378BGtfTcUROE08hP1XOM/ijV27MvAafDx0WLVomF1v+adZZNuUlpf3&#10;EZMnT021nI31N+wRcJOrm5qWZrRT7jcOjzmanEdc1y81LnTem/I7l8bShP7sQuisWnxn6vpuvLXn&#10;BXpqHd3vc+SFeYVfUD5xO48OvG72m+c/Xg8Y8IIYP75Gy2+wJygrKxM4v4/4B3jsxsOwKyVe8+OD&#10;l/JNIuS+E2FzzdWBw2OOxuUZFa28vK/d9+bMcn+YrMPTbFgNXIWu0Ks9n64c+Tl8ItL8CcoXt99+&#10;h6sc0r79ySxvBy3PpEvuHVBq6S7w7UU8Ax7EfC8q6m3zDfixxPpVV1c7Y439FrrzRrBXDmmAHWkc&#10;R51Mjf3m2erL4TFHy5ZvWPpsy9c2zfFVlv6UxtKEwXEb/jzQpxWVFRn9uXTJYjFi+NDIdB80TlFg&#10;dVVVtStWQ7Z+6623svJ4WF406ePDbvAj+TgeN3aMLUMPHvSCqB03RsyZPVNgnWrUqJHWWQWt32bY&#10;U4UzHBGHeEwNt2zeZK+LI+80rTs2N6/V8jHOU87GZxwec7Rs+YalV3y+bjBwAH/+qjpO5l6P5YMs&#10;uw7wr5tMMmRItZb3w/RpFFi9adNmLY+PGjUmK4+H5UWTvhWr4ethr7V+EFV/kO+IpU2Lbb0bdB3L&#10;ly3V+giDXhv8i1+2NRfgNeTrmprayOobtt0N1n5bNz31Mccc7amOHB5ztLD15tK/9957zpiY87r0&#10;2OsXQ3VYDXl7Tv3MWLAa85DmFzfm2Wg62z3wfra0hh5OLh4+fLiNezSOsL+AHiJsvxJWr7DwGX4M&#10;Jlh6a07fiTWr/v37OTI2J1tjbkCf0rt3L1FXNz10XcO2FenhI9INq3FOpZf8OTzmaF7yDhpn+fJW&#10;e0vwxksL5sWCIX5xrhDiQxZBn44ceXgvInSFU6dOFS07t8fSz5iHNMeD8gPSrVyxypXPDVaHw+Fs&#10;Y1JRUWmdJVAm6qZNFosaG219BfQSeO9DLwEcz5aHjk5YPbu+3uaRieNrPengUA9gellZqf0DD+ts&#10;D2B/ivpXVVUJ+KvQ1SXu57t379byb3l5f0/14vCYo8XZNrKpxhyPcp2rEPA2TBsIM2GTh3wgd0yc&#10;WBsLRlM9o8Jq8JvuXK+rr7nOE6/HybOFmjd4BnxC4ymHixpfsuXt0WPG2j4+/fYBYTWteTfMnu1a&#10;jlwmXeN7DdeoA2QQ6DuAy0SXQ9LDvf127nxpw8+Hm0yNZ69uedUT/3J4zNH8jovX+B99dMA5qwvf&#10;RHKfm+vg+pDN1rkshNVjxoyy12uA069v2xprH69rXuOU65UHdPHgKxK+J1Sex9o6bPF16czz4LJ3&#10;Rb9+lm5inJZHIEuNGjlCjBtX47v/VayeP2++thx17i9bcni/xab1a227P9jxwf4P8oH8nYjrSZMn&#10;igHWWTUffvCB73qG5R/4HfyqdZaOyre4h4/2Q4f4vZlUPofHHI3SRx0a/6fB8VjlZ/l+/bpmBzNh&#10;D5WUH3DsqaF3RBS8orO1rqubkfgcjKI9ac8D/ZptHa9Vj1zpW4etYvXsWbM8Y7Xb+cyQqyFfg9/G&#10;W/oUmf9xDf+80JtEuT7qZfzgL8UNp/GM89Wk5s3hMUdT84nifuvW7Y5MjT0Zal+b++A4Lusikvxe&#10;iRqru1pnjrjxvde19Cj4tK3lAeyDfwJu/sEfATB99GjvdjmE1Q1zWvdLkW6OK4doC+a5r2OhHtBl&#10;o85YM5f9JNA6d79+ydpe69YUO15xlS/5gsNjjhYHvw4b1uqXvtg6rxw2NzQuJgyO0dR3WI8h+RY6&#10;PnoedwjfT1QuwrB8Y9YYg+szgvb9xIkT7H2CuvU74iHom7HeuMzyo++lrJ07d9q80bRwoYBtbo1l&#10;Uw0f9W4yM5WBOsCv2Lrm1SwPI48Xql6w99RMr5virD02zJllP5s7d56nOnppBxdHt6YI2QJ+JLm0&#10;Ko3DY46m5hP2HvpGmtP4VqGxMWF4nEYfYn2I+hcydpL9SuVGgdXgs++ccIKrbA15OywfmvSZ7wLy&#10;S8xhKPET7ENgG+C1H8ETWPvDXnLo5iAHQ5ZodLH/Ak4jfz/6O3wPlFl22/LaI9IXFxUJvCu81jNo&#10;vKuvvtaVV6HL85snh8cczW852eK/9Y9/OFgC+yAaexNGg9WyDyXorpPs16ixGmuMurWabHxm6JlY&#10;7KVP+vfvb9vtZeMb4GBvC3O9+rwjrEa+kIPJvvql+fMF7ENkHca8hgZfOE11Jf0f1h7pvBL4fYpb&#10;F6I71wgyxQMPPJS3WN3YeNhP08rl7rY31Pcm9I/fEyfUOu/CsD6p/fY/5gjhtRdc8BJHNw+A4V7S&#10;mzj+MHvmzFkCNiFexn6xdV5bqbWG58U2p295uZgzp97OF34OwCfYUw77JNiYQJaHzQd0zetfDi5j&#10;QKcK+23I7rZ/vs91IXHta0Tb3dZV6Bn87fnlQU525mh+y8kWv6pqkD1O2L/khR9MHH94Df7EPMC3&#10;YNJ9R/slUX42PvBD18nWDQ3zIi3HT53yOS7s2WCHhb0j9G4tLS0VE61n8yw/0nims7VWeQp+DODT&#10;J1t/YK+N7LsJ5xChnLj20UKuBj8Cs2trxtqh7MMvW3290jnbD+hFvOYjx+PwmKPJeYS9hv0Hvpsw&#10;Rsb+wx8Gq3NEd4/vS/Qv+FQXJ67ncWH1jZ06u8ouxibEn8xM8xc6XPAI3ucYM/rhGc1Pr7IU9Jgl&#10;lo3Avn37WFyCjKbqPGG/gW+xqPgRtoCqjht+ytAutAfvC+qDqEKd7cf3zzjT95oi1YnDY45G6aMI&#10;se8J/YY1ALNPMR6sLitrPbMB6+xRzQGv+UyS9C9R8AvlAb01fVOqYc+ePSKff1RuIYbAzMrKfvY+&#10;EnVct23ZbOsiqge3fpt5ka3XWnYamNNNTUvYccAeddVWD2uII0cMs21DvKxnqvXFPXQosBfBGuWW&#10;TRscnkfeoCPEmia+N2G7Ar8hXvekZBt/TqaGHVO29Do6h8ccTZef3+ey/UfYc1jdxsw822mvz2De&#10;4JfNTjaO/qI9xCjfL39ki29sQoLJ0Gq/Qgb2ck4e5FN8++r2c8v8A7kc7wC1LPke+mLV7yP0FLDf&#10;o30tQfBalUmwRjm+dpwr/0+z5Bfw5hTrDAO5bkGuYYen40nI1EHypDQcHnM0Sh82xB599BPkPnrn&#10;yeNtrsPL2bTXAHsVctHHOGMJYxwHVi9ZskxrExLELiosP+drevjmh89or/MN632QW7l9EOA16J2r&#10;q4cInS+OqdOmW2uWfR1ZF/YftEfcXg+0/CCUW3oKr3iNMutnThcb169z2oK9BY0vzT+C91Wf+Hj3&#10;vDBwgG1vCJu0IOMIuVyn+8B3X9WgoYHypbpweMzRKH3YEOfxYA4bm+rwmKybZ7SPi+yhdPHiei6f&#10;yQt7grA8o6aH7yZVB0L3Zu+5N7kb64DF1poR2bR54YVWWbVGZLMBBV5jjuvwGjSuXPjyQBy8G7LV&#10;CzK/nBfu3d4neCeoeSEezndEWXXT6nzzKaf7+Ipln/Txxx/7zlPmdQ6POZqcR5jr/v0H2H3j5ftL&#10;7Vtz7w3fsX4C/oMuIld9hvLxi8Lvscpv0FtjPZHwWQ7NOqM3rEaf9rHs56C38MsjOHOZSwNZFzzY&#10;t28/V6wCX3A6cKQHhrauZ23WloV4WJekugCn1TVF0IDl5KeP4lJI7x/UCfqbxsZFrnVWeRD3p512&#10;uisPwl4JPOqWxs8zDo85mp8ydHFxfiXNYWNT7Q13iae8hlhXoT6O6mxyr2XL8agOcWA1+IvzOTl4&#10;0OGz+nS8aJ5/ZtlstM5HnKUl+6mTx9Ht+rUtG8WMuqliA2P/DJl10KBWWyT40pT7G7Zz2c4NAA5P&#10;svQhsLXDWuSWja84mEx1gu6EbBNWLl/qqlOHrgN1zda+pZaOB3p0lAfeXbVypfj4o4+OqLfcBu4s&#10;jKjOcObwmKPJ9Qx6TT718M6l/jZhtJhN/mogk+Syb+PGavCgbk0HsjX8MgTl07aUbpp1hgrGCvpd&#10;v/yiruep6emc8TmK3fXLL6+zy3TTVah5kM9srL00W+eWq3S6b3wp0+cNyufkd0qrhvB1hj6Brfmy&#10;ZSsy+Ajnj8vfcup1c/PajDRBeIrDY44WpCw1TZG19ow+wLeK2j/mPhrMBm+ij2Ffncs+xbsC9Qhz&#10;jojKP+o97KHatWvnOm+KioojmS9qmYV2D7usIdZaoGpH54V3gIWyDsItDeilpWW2DE99R/YFXmxL&#10;kCd0GDjbHPw01vLF7lYOZH31OeRp9ZnXe+hS4F8KZcKv6hbLjpHqf8mll7nyHDAb+16isgXk8Jij&#10;UT2DhiRT4xvDy/s0W5/G7TM/W/lppZNMkKQfVLe+oH3mcWI1eLFLl3u188bYXHvTXe/du8f+9sde&#10;cbex5J4Br6G/hk22Lh72KfYu6nXEGeOlJSX/n70zj9OjKvP9+ePe0XG5M6j3o8MMKMIoCLI4jvcz&#10;LqAygA7KIigiXhdQccEVEEEHZQmBbB2SdALZyGa2TtKdzp50Z086oZOQhEDClgQjO6iIKCBy7/lW&#10;53lzUl11qk5tb72d+qM+tZxTp87ynF895znPonneZaHv+MtauaLTw02wk5i56EoHYQDYAi/OvmRa&#10;3wrIYdBH4T8m+oTLtY8SPx8t98hFkuJj0Hs2PLalBZUV99lrf/ubt56gn9Pye8inRM/B9PPiH9tD&#10;9V7sFZOs/bLss6KwetWqNaFzhzl05U+uznT+xKX5RsuH7w/mZ1J9fPws2egHG5SxOgai9Av2cLO1&#10;rMH2jpkGboKXE7SvavYsqSt8r6kDQn7/vVlGmmv2fuCvBZf9Z+Rurj5PpS/CzjY8tqWFlRfn+e9+&#10;91ztn2j6AkjSd4yZrK/Ze0hSRl99h/+Y7I3cs7m7rn1TFFZDf8OGNYfqXBPv6/nn/1jDiDj0eijm&#10;+eurr+q9tfFe/IAkPpOId4vNIPMzaH5t1zIFaLOra6M3Ftu23+vMt21Yt9aLy/WqrusLL7ygNmj/&#10;p5QJZq9dtSrwu0F1SfLs7vVr1HHHBut9gNv9+w/KnMZseGxLS0O/6NjyH+SIK6Oy9af4e6G8irc+&#10;IOc2+8XWf0WkFYnV0Caxkfy8jtyj65qGfg+Vd/FphB8nV9k1vGyPTsaDng5gGF5Dn6YvDuQgrrSI&#10;/Nv0EUWduQcL0D/Mi68+5zNnW+krrS51EI3Z8NiWFlRW3GcTJvT4TenB1oecx8c/nowHZXFUduoH&#10;sFpkQ/WygTHHSbB66tRpheFkmG8nMLvynRpPdr1q9RqPt3bhgaA3wWf25Gw2h+hNt7XN82gCXAjS&#10;hzbpyH/N3IeX3rz5noPoitjgxDxAToIM3f9emvsN61aH4jR2i2l8ftgw1IbHtjRbmbY00/9H1J6x&#10;S3+OGX2nh9Xo8qTdQ3D5blnzYkMr/y/WivWup9QlL/3qIJpDXggPLfy0/zxc21UHvVc9OxjHR2jZ&#10;Nfsetv1C6It5h96e344RHwNhtifIfeHd9+37jcLGFJ8drrQ6adJEj9bv1XIU/9iB1/iBci0zKP9j&#10;Oh76MF3Xtxx2WCBNIV/zfz/Lexse29KS1gH9RJm3Wa5PsHuUcm3/8aAx6IvP+A/SH8jyy9A+GZsi&#10;sRoaRXbtx2jzHrvgpLR8qLwnNjKLF9p13jq1fmgYrbG3HcbftrW1qqFNQ9SK5Ss9PjisjLDnK7SO&#10;B/w5cQv8McrF73YWMUZbZky10hL2WHnShA2PbWlJ63THHT22S/RtWN8neS5xesAExj5JGX3pHdEp&#10;Sqtnk0WfsH4WrMZXT1LaSfreRV/8knWOJS33UHqPfyw+U8PoAdkFcWfD0nkeZosObwV9tLa2e2cX&#10;OQgYLHte7CkiD5k/f9FBNIaeKPNBbBptdbSlnfqxj4TS0Yc/8jGVJNaLCw3Z8NiW5vINyWvy1Fmv&#10;y5GPia46ayrubf3el9Ow1xdsXDCvve79YPpu2qv9Cgs9FHVGRyDMplF47F07dxVer6Lan8V3iBkD&#10;TWF/HjS3kGVE2W3j+w4feH57Cpm7YCrfiCMbRZd60cL5ytQBx8Zd/FH745RPnDgpkXwFnLj/vm3q&#10;wgvOC8XptL5O446PDY9taXHLN/OZMQXywEpzj7GeforyaJtLmaxVBavD5IQu5aXNa+qjmPRQ5DW+&#10;c2yy67xljUW2Na9vYasHXaXZq2aNBRb78Z65iw33yOZm7xtRNAfmh+13iq2uaQ+Ofgg8dxI7g8su&#10;/XooTvOvL0pn34bHtjRXenjppb/U8CPMLjRqfOKkdyxb4n2Hccmad4/z/TLkwQ8OcwpZtX9O1KN+&#10;8GLy73ClmyzzYydzzDH/GjrvwOtdux6o+Gst5w/q99dee03hy4OxTKO/DE12Lutto4iOXZOWW1O+&#10;39cH8gvknPiixgYxap9z1YoVHjYvWnTAv92OHTu8Z/PmRftuYp7Ap1995Y/Vm970xkCawd7lCxdd&#10;rOiXoP7K+pkNj21prvUQm3/GIcm/zQVjkKsJNqSVUbl8twx5zbVFWfQXmYMyHq50k3X+qL1G8Dpv&#10;uWPWbSq6PGQV6GCmoXdkJn5Zh/i5hlawGTfLR47ml52Y6UHXyL3ZF0P+AV9NP4lviyjfVOD0Ue86&#10;KhCjRW52ww03F4LRMr42PLalyftxz48+urc2X/k/BvVtVs/YWxRsONR0Qkx5Q5Z6NmnGRsaCc1x6&#10;yTMf/nRkvgWdjzvufaWoZ559kLZsYhSm5QXg2Uy+bV57u14LNnlzN609s9ArchLWl9iz49sCzOba&#10;HzdM8ssZfjqINuQZ/prS9qHr+zY8tqW5fmfy5MneGKD/HORjRfooi7PE5QQbJup4xVmU2QhlwKvQ&#10;v7S7LPb21Emwep32BeRKN3nlR8b45je/KXQ+VvKQYDmIjEdHR4cnT8CWPM3c6JFrrPb0ssX/9QPa&#10;N/VKLcOAz3LlpYPqsm1rj4+8KRqD8J2Njce4ceM8H33+8qPkHmA1e4n1WHvZ8NiWJmMW91y0/1P8&#10;rApGJPU/EzTuZX4mOtXI6stST/GfzVjEpZWi8oHXwicFncHryu91OGYjW2Bc066TkUeErQHREUhb&#10;vswF9Ffh21evWevtY+JX1eSvN23sipR7sCYrij7937HhsS3NX47t3tTVc9GdlD5OcmbtIzrGh0Is&#10;A/ZrpL1l0KmWMUPuKP9MG43UI+2ll17y9vDB5CCs5lkVAywcq5EnjB492sk/ntCFeYZ2g3RDJA9+&#10;p7PADTBfaFF88iGDYe3Ht2x6edACevr1oFP5pg2PbWnyfpxzc3OPHg524NL/RZzRkYfHZHxWa59f&#10;RXyzXt9Az1ToEH0m13owX7ANhp7XaB9l0DAyw46OdGtcc+8gDq3UIw+26Da8Zp5u3bqtrvO0Hv0S&#10;55tPPP64GqxjhqThfZGJts2Z5el44JtPbFuEhtHbZn0GXUKn8jzueduWzd77XWvXquVa/2Sl9tdq&#10;ymHb5rQomy8mxr+e/LSMgw2PbWnyftQZ+ZBgSBZ2nnHHR/LhI4zv8x+VZ33xPHv2AZlPmC1vULvx&#10;GwJPg5wbfQ1kR8gKs5IbwePT/936HxBFK/VMj5KHMF/rWb8yf3uI9o/HGAt/GkRntmd+23RoLyiG&#10;C7JlaDUujw2/gS44NB72/T06fswJJ7wvdF1VFpxm/G14bEuLSzumrl5Yf+X5HFmY/Cuywp8865u0&#10;bMFE5CBRZaDHyB4++kzoN3Lt32OJKiNuOnvw9D96QHFpph75RB5i229k3n7q02eXuh316Dv22Ybe&#10;fnsivRDwNMheC94aXPbLsZFtwk/4/UP56REfUlHzHX95n7/gc1acrrfcwxxPGx7b0swybNfd3T2+&#10;mqLiFPv7Oqt71kwT7hrv4QW8Y5q1WlZ1yroccFZkPUH8CN/bsX2bwr9Vi15nIJfgHwb/HWUXnKau&#10;2CLJf5K9dxudlCUNnVkw2XacedanGqItRfbpcu13CZ3ruLz1ju1bVcfSpdb5yNwFx1nn+cvFJsa/&#10;fiR+ATFxoe0oX5uDBvQP9ZcnY1+UPWLccbLhsS0tbvnTp/fYrC2YPzeS30uDC1HvCn/n8Xiar4zK&#10;30jp7JXTriCeGhpnHYgMKO7aMau2w7dTL/x1xaWXMuSL0r+WuVyGupapDkKDYbbfQlfwylExviSv&#10;nFn7IcuWe87w5BysE+G149gpI/O47NKvWf/FjG899KejxtKGx7a0qHIlfZj2EcwY8h80+7noa/RA&#10;qQdH29w5da1L1m0XP/7i+xeeAv2LWS0zVaves2EtkSf/HNSe1SsPyJ7mzp3XUFgN7RJXxmaPznwm&#10;XsGvbujXcG2TuZn1GXmn59NDy9WibMCDaCbqGby46F3L3iB894b1a2PtOQ7WegZhvqfl/8uYYjde&#10;xnWgDY9taXHG+cEHHqrhY17y0KjxlXTWU+jugdXIC/xyMMnXaGf6Vf5B8M20Cxk0vHYUf5NXW+lr&#10;0R+kbnFopYx5HnjgQau/J5nfnDdu7G7YdmbZ9/v27fPocZ6WF+dFX9A1eiPIozkWal+S0Lt5dGpb&#10;HdKYD9i3RMmlGUN0gdAJyrI/sizLhse2tDh1EL96ZdFvZuwE11if1wvLsqRhZHbSJvZiuI6zFsyy&#10;Dv6yzDqZ8fTi0EzZ8uBPFblllE5fpYd9QA973rwFqf2F+GnKf4/cQ7A6yOcP+zOkIzu54Pxwf6by&#10;v0Xm8fhjj5cWp5kXNjy2pUXNKfF3C3aE7Xf5+7+Ie/SQ0QelXshwH3pgZ27//yLa06XXf7SFfVP2&#10;VILotoh6mN9o1fqq1IkD/dsoWmmEdHyqyry2ncHsp556qk+0Oc24EOd2svbvUK/19NYtm9S3L79c&#10;nXLyydZxQ+bB2KZpa1Hv2vDYlhZVP9NWsWz8K+szwRL0kk2cabRrsQs0bWXr2QbGWnRSxowZ2xBz&#10;IIqWJZ05zdy2YbWknXbaJ/pU26UP4p6Jn8gcY/1aND12Ll2sjn633UeejFPRvvLi9l9QPhse29KC&#10;yjKfMU8Zq7S+E/MYZ3QjBKvhR8v2L3Fps8SZJB6Gy3t55WVfXvp2mfZ1bNJEX7imTWec+SnP9lzm&#10;e9j5Xdqn5hVX/EDt3VNu3fK8xqWra4New+r1nk9/Iy/ae0TrePzwB1fE+pcSb3z27LaGok8bHtvS&#10;bOP711dfrc3XqVOnlAJD/PSBboToT7AX16iyEOzAwUbsM/1trNf9yP0+BVgH2+ikkdM2b9qijjjy&#10;yFi4AJYTo7uR25u07t06FjbrLOgT/5d50CQxtm4fOkQdf7zd/lD+qeh5vKhjkiVtU73es+GxLc1W&#10;X4l7DIbA9+UxPlmUaa7XW1tnlbaetraKv40yyXKoi/DW0IKNVho5Db7MFhdMsEHO//bBDzWMbDTL&#10;cUGXT/7f7H9nuY6d9uuJseUdyK/QxcyybUWWZcNjW5qtjr/dL6tivpbdTnDpkkUerqT1P2PD0zzT&#10;xN9JVr7Zs6gr/p4Eq5Fb2mil0dOwr0bmGaWLLXjNGZ2DlpbWuvhArmd/79q1SxFTBrljy4xpHjag&#10;3+lKc11rV6tf/ffPI/cNpc/R4Tn7M+eUXs8jamxseGxLs5UrcXKYr/XaB447/tCK2NdR36Jt++LW&#10;MyxfGbFa9jvpzz27i49bbqPNvNLQ7Ytr7ygYggylkfm8pH15/307NV73+HtCDz+ujikYfdYZZ8SW&#10;O9HP//Hhj/YZXsGGx7Y02zhNmDDB46uCbJ7DMKeez8Fn4QPrsW+dpu1lx+q+zlf758GECZM8vhnd&#10;PcHkqDNr8/M/d6Hatm17n8EVf7/474mnha1c65w2j8/GjiWMx2bP8PahgyJtDs1+PuUDH9RzerDi&#10;H+r/dqPe2/DYlmZrL/YPYB+yqTQ4VOS72GcLXq/QugxFfjvNt8qI1QsXtNf6si/Lq21zAPs3eDoT&#10;P+Jesy6tR4woW3vyTMPH4fwFC9Uobe/AmgwbgS3dG9Uovef/1a98WR155BGx+/FfjjjCk0nlWd96&#10;lW3DY1uarb6CeehvpcGhIt/t1D7Ipd5l1DMM64sy7i2iPyh9aaOTvp4GXrvKRQTP2bNE36+v95HZ&#10;vs6O5eqqK3+iLvnSxbGxWfqLM/9G+twssy9d2/DYlhbWB08+8URtnmLjGYYxZXjOfjQxVLCBJ2YN&#10;vvYFY8ped+m/MurssXdEPy5evLTPzpsw+g96Do981VU/9WKqmtgS5xpZCrFYy+RHOaiNaZ61z53v&#10;yY3e+ra3OmM0Ouzf+Mblntz/1Vf/1qfpzYbHtrSwsTH9NYXJnwRnijjjXw7bF2yxO5ctUfhmbW2d&#10;o/XgZ3nX+P8T37jUF7tYcAa8KbsOC/0nWD19+tRS/BfpV/qvqWlon543YfQf9Ry9bLA3Dk6H5UGv&#10;AX3tRozby3+rs3OFGjhwUKo+QNYBRvcleXQU7djw2JYWVq5pW14EFvu/Aa+M30T2KuCT0cPn3Kb1&#10;p+PqeIiva/ZGy/C/8bfRvBc7wTLYmJux4/FbHkYj1fP/5+GMy/5jGG6jsw1mrVq1prT9zT9l2LBm&#10;hd19WDtcniNXOhRpyIbHtrSwvsIGF74KfDQxJc01ftvgf9l34ICXRE7b3t6uz237fSG2eXwyacTB&#10;hScmzo/4uXX5Pr6maAPHqhXLM2uHSx3i5iVeKPUcfecdda0n/7SBgwbU+i2MPqrnB/zR0Rdg7E+v&#10;+bk6/PDDU+MY/DY8O/rbX/nK19WSJct0nMtN6j6tI5cnD07ZDz/0sNq8Wc/TdV16Ps737PCx486i&#10;XejJUFbT0BG5tqPstGnDY1taWLvywGp4R/FHixw5b17X9Ald9pi6/JPA6nrvh2L3OXJkT7x66hNG&#10;H9Xzg7Ha7A9sauCTXXjMJHmPO+593newtYYn5xgzZrwn80XfO+jAL6zkhT+mni42m0nqyTuH2v6q&#10;SQ/+axse29L85ch9Hlgdl8fMMp/4ggZ3yhyXwPQVnWX7XcriX4rfF+LU018ch6r/C5kHac7gJnia&#10;FN8a/T1sQPlv9WWdjiT0YcNjW1rYt1as6FmT4w/JZb6XLS86nvDU4A6xdYuOgRW3P/Y8/EANH/Gv&#10;Hve9LPKx/mib06rwMUvcMNY78Pden2l7qDAaqZ6H89Zm3xBjBRnJL35xgzrp5FP6JHa//vV/V5Pb&#10;DBs+yvNJ2Nf1Ocwxdrm24bEtLewbph5IFnhQzzJMe8Yy64RIvCxiYBTVX3yL7/r7hT1dsHqITguj&#10;kep5PKwO6qcs9+jqyX/Lnihx0oLaWT3rTSM2PLalhfXl7t17a3xeUbiR53eET0TfL8/vpClb9MKL&#10;shMlzjA66UE66Ob/DZ2gMDqpnveeiy598sorr3j+l5EVfPObl6tPnn6Gx5+6+GnNG6vRc3nve4/1&#10;9jqxob/mp9d6svBKtpFs7G14bEuz0RV8Fcem7u7S4ltcbGzfH0MGW5m47xSdr2PpUq+/0TXM69vE&#10;pYaX5n/QuWypdX93mMZxxn/MmDEVVmtdD9tcySPtD7//vacjx14g+4BF7AGiqwGvzH4lfjjQI8+j&#10;bYdymTY8tqXZ+mzQ/niGRa7J88Koezbd7eEO2FPWPUbqJf/HIF43bd9Q5qhRzSquz4DJkyfV6vPX&#10;v/61mrN1wOug+Yl+BzIUMBxMBVvliOKxjz76mFpe9JtFJ4QyKz65mP+xDY9taUG0IM/uuGO0N1eR&#10;XabFiXq/z36ZyIOx9ah3fcK+j80PeJ11nyPvoP1x/VZSP2xD5d/xyCMPV1hdEqyW+Vmdi8HWrPvZ&#10;hse2NFs98CfOXIUXC8OWRnqOzxDag9059jVlrPvoMT3/xyz6fOeObdoOf5bC9yC2QK767NgtCVZ3&#10;rV9fYXWF1RUNZEADNjy2pdmw2ow1UEZcS1In8UdU1P6dax3FNyoYmTa+A/qKaeIsmbZE1MdGK1Va&#10;Y/J41bgVO27btt+rbHhsS7ON1aZNm2t81b3btpaSD3XFQpHBImtgn831/bzzL+884NN1Y9f6utdv&#10;3NgePr/C6mLntG1eVmmNORaCpzY8tqXZxv2Jxx+vYXXXujV1x40scBKdvdq6voRtMvdA8YmSRZvT&#10;lFHZMDYmLtjmdZVW7Ji++OcXtS7V2Bru2PDYlmYbtz/84Q+18uPqDqTBhSLehVcVrC5jbHbkFlK/&#10;aSWJxyP1GTduXCUHyUBeaZtzVVqxOJp3f8Pvij4d84j9fRse29JsdUVPS+Yp/vCKwNK8v4G/PtG1&#10;QB6S9/eSlH+XtoWn35tHDC9F/fBDK3RAfD0bzVRpfQtrqvFMPp4PaRmrzBvOMzTvxR6QDY9taVFj&#10;0dTU5H2PeE5JcKeM74g/pzxtTtK025Q7xPXVneZ7Ue+aet/wCVE0U6Unn99V3zV+38HPTJx4wDYB&#10;nDb1hG14bEuLog3RBWl0H04mHiHPkf9dGj0Js8ysr8umCy5xGzZt6q6wupKDVDRgoYEJ2t+Z4Atr&#10;eL/82IbHtrQorBYfTnwTWWrWmFSP8tAzFuxB57oedYj6psRJQMdQdPc4d3YsVcSO4flaHZ8gqpys&#10;0mfo2GLQHzL0KJqp0hufN6zG0H0Mn3ryyRpGM1fwQbRxQ29dLhse29LijIn8I/z/h6xwoB7lSJyq&#10;UaNGFoZ3ru0UuTp1nTO75SA6YEyKlLeb+jNxaKbK4z7Xqz5r3D7D7+2wYcNrc9Rmd2zDY1taHPqY&#10;Nn2GV4eJmrd3xZuy5t+2dUutX7kuYz1lj3HgwB4fWuAze8rjx/fsPYLlRdlfbtPx1+SfvX7d2oq3&#10;tqyB48ypKk/j4rI5dn/6058UMUlF14P1etR614bHtjTzu2HX2NrIPHW1Uy4jBkqdkCPQLts/UPLW&#10;44xOofQ755kts5X4UGpu7omzlWU8zKg24j9V6hNGK9XzvoFB1ThGj6Ofl8Y/RNQcIt2Gx7a0OGOC&#10;LrfM0aL4uDhtTptH4sUUiXcudTZ1wQcPHnwQL7t6zdramOThky+oniI3GqRj58ahmypP9Hyv+qgx&#10;+4j5JzpyYCO6AHGx0YbHtrS4tNLcPNLDBuJtB83jRnw2ff9+GX2dJE563m2mTrIHSh3NsUIvaMqv&#10;f+2NCf+cItY77G2KDH3y5MkH1cesW3XdmPhTjVv0uP3lz39WM2ce2DvCxzv7eC56FzY8tqXFHR9k&#10;MuAFfjLzxqiiyseGmzZxYNtd1HddvmPqF86dO+8gfDTXO0X5ABA/gFVsr+h5HXduVfkaoy9NWTCY&#10;4cJLm3Pehse2tLh00tGx3MM0/MCZ323k61Ure9pEv2eFdfC3yCQ4iPOCLBzbFu6TxDhA/1t0rYcP&#10;H3EQVjN2Rf9DZxv6KI8+urdXfeLSU5WvMfCpGqeecYJPGjJkSI23Q26a1DbDhse2tLhj8cwzT3v1&#10;ZL3dyPhs1n1z9921vu9Ysti5XeAyMmX2AFvnzFLY4bPu4B/AAf4Tc1bu4eOJJYbNNseypfG+2WH4&#10;m9q37zcH4aP865tHjChEDrJ61Ypan81qmXFQXeLSUpWvwulGoYE9u3fX6B2eDplkWt1lGx7b0uL2&#10;2QsvvFCrs4l39bwGK9N8f8vm7lqbXNcL2H4TDwB79SLswCW2b7fGfnPMnnv2uVobitBnMX1LQbtm&#10;XarrCoP7Eg0sW9ZZm1vQOjZoafBG3rXhsS0tbt+yl9XUNNSre1y9g1077/NkAOCZxOimzUEHuDdx&#10;wl1qyaKFgXG1pZ3mmf8bemTEg3TFbeQSfFPqEtffCd9BHwK5hEs8LLPeSa6xF5S6+sdMaIq+SFK2&#10;6zvYD4XVxV+36r7C70ajAWR7gnVC59C82A+7zhd/fhse29Jc+lF8g8SNqfLIQ7s8GQD7duC2DU8f&#10;3Hm/ulfbW3StX+utMZAXtLbOUbNnz/LkCndv7OqFQ8gcpC8XLZxfkzWIzEHO2Nxhs93e3q5lFS1q&#10;npZDgPMP7NqhpuyP/xrHpx3tgP9es3ql076vf6yS3HetPaCjt2vXzl78rOhbky9J+S7v8I+Sfufs&#10;QkNV3gq7y0oDr7z88kF6eND2+HHjPQxzmR9ReW14bEtz6be7795Um6NR9ckynT05/g/wssQAlLLN&#10;eFeynxd2lnf8Z1PPwp9m3iN75vtZ/VvNsuNeyx4j+pP+cZOxKcrnNWsgaBmbSn9dqvsKjxuNBvB7&#10;JHrJ0DVzjfV63Lnpks+Gx7Y0lz7FZk5sKTs7OnJph63N4CT7bOD24oXztMzkgD8rG88eVSZjw7Fy&#10;xYrANsFPt8ycXjgv7a83/OxAbYdCXecvWNgLI4k9gS0maxj/u1nfswaSukydOq1XXVzoqspbYXs9&#10;aAC57q5duw6K2cL8WbigPde5bsNjW5prH0ksmnrb+sE/m3YiafBJZOlBsh2+U29+2sRZiRcJXvt9&#10;SYvcuqixMXWtxfbdlZ6q/BVO14MGWIeK3FB4tQk6xkdSPTxzjkZd2/DYlubaTyKzpn1JedmotsRN&#10;X7rkgL+MNLYsYjvt97lH+8DptDo6cdsTJ5/p765b6xya4/fUU0/X1j1JdLnjfN/MY+4X7NT7DWZd&#10;qusKg8tKA8JvCkZzhk9zsT0054HrtQ2PbWmu/bnd8ON0j9Z5c61nlvmRIUt/L03hh9rUs95r+OhG&#10;d7pz2dK6ttHfX+zXip03bfePH7IRnhdhd45vXun/yq91hc1+WizLPWu+XZqXMHWpoFvkHfPntxci&#10;MzTnsQ2PbWmu/Sk2MbS13vwm8mvBCuQhadYvgn9p+HNzPPK8Ro9a2r1gwaKD8NrUt87KFtPWFtnv&#10;pD6utFTlr/A9bxrYvPmeXrodYHQ9scuGx7Y0177Cd0kNJ0rgG0TkF9QpjS0IMcooA308GzZlmcaa&#10;C3k4+80zZ0yPTT+m3Tn+zf1jKDohRfhuMf8b2Lv761LdV3hcDxqAFk29DsEsbBDYF89yHruWZcNj&#10;W1qSfhSZ/AStt+Vazzzymz6YNnUnk8tMntQTyxL9kjzqiPyY/8C8efNU2357dPabxRYdOYyLvGxF&#10;5wGbKvwz+scRmVwRdufUWXzLDh40SLG37q9LdV/hdd40gO+FDVpmKZhsnqFP/Nhs2rghl7ntihc2&#10;PLalJelD2V9E7uBaz7zyY//J+Ljaikt9BO+zjIvF3iRrLXSR4du5dsFjqVvYWezO+Xf6x1HGKM1a&#10;I+y7/uf8h2Ru+P2V+OtV3Ve4nSUN7N69t5c+h9AiugLdd/e2ofPTb9H3Njy2pSXpN4mXS5+UJf4V&#10;cXOoT1L9Yvxy8z74l2bswGfkxOhIzJ4108Nn1lyP79ubqtygOrXPPWC36fd5J2OEHH5LAf5eRe+x&#10;pWVmr/9GEhqr3qkwPYwG/vjHPyr2aYhlN1DTt2DzCD134Z/xL1ZPm7WguWo+s+GxLS2sP6KeixwE&#10;ebFZj3peI4ti3JLoFxPTQcY8qb4b740ZfacnN09ahkv/4cNP6szZP2YTJ/bIdYrwE2LqEvrrUd1X&#10;uJsFDfz+979TQtMm3TPf67lX6DJnyWvDY1ta0j6UNbZfJ9m13lnmZ49OxtDV9x38sLybZNzFR8Ya&#10;/U/Psk22spCnSJ05+8dSeGvS8t5PkXhjlc15hct+OsziXuy8THrnGjtm2xwpY5oNj21pSfsROZH0&#10;W1nkIOAtMXWoF/ytq9xBbNbHjY0X45Ly2S9EhyNvu9Qwmpuj13wyDnv37umF16L3j7/ssDKyeG6L&#10;N5aUxqr3Dm3cRy96+/Yd6o47RtdoHJley4xpnt/4LPd+spgDccuw4bEtLc18QF8MnCiTHAR5lWCX&#10;Ky+J/py8G0eG0ablxewbptHrjju+Yfn4ttSZ+Iv+8ZQYusjxw8rI6rmsa6rYuYc2xvpp0PUeXaIg&#10;ProoG/Cs5kNYOTY8tqW59qOZX2KzFiEPDWu3/znyC8Eu9OH86VH38m6Ujy2+E9fnddQ306aLzzti&#10;DJnjw/Xzzz9f88WbRLbjUjf+b9J/VezcCq/9tBj33uSjhZ4Ga346yC+yC32WJa8Nj21pcfsvKN/i&#10;xUtrczMOH1pEX+GTWsZ3ho5T7vrN0Vp2wvvEIbC9C89eltjn1EXaHKQzJ7Yx8NbYqNvalTYNP+DU&#10;ZejQpl7/jSAaqp5VmA4NQLd+G3B0svD5g6wD32xtc1o93/NlmXdJ54oNj21paebKY489VsOIIuyZ&#10;4/aN8JlJ9O9MGUoa331x65pVPrG73LJ5UyBGit4O+hpZfTOoHNOnOHHf0tBX9W7fx3Fk0n55BzwF&#10;8sgg+mJt2Jrz3kvQd7N8ZsNjW1qa+WDGYJynY65k2Z40ZYlOBvydq27xqhUHYpujc52mHkW+O2vW&#10;jNp/M2hMn33mGc8H3x133pFrm5Z3LqvV46GHHqywWvOMQeNxqD8Do/fu2V2TzzFXb799qOeX/qEH&#10;dlppFH4DvK72Ft1oq6mpyZubZZHdCj6iS8j4B/mkljxBZ1PPGnuWoDxlfIZsnvZyhOEAPhJIz1Nu&#10;je8rqce6tWtC6xJWx+q52/xrxP5CT1pwQ2hl6NAh2oZsXez5hj5DmfSFXTDBxjvb0tKO9bTpPfxc&#10;EnmDS/tc84pPJ/zAubxr6lmX7f9ja4eJkWFj2tXVo+eS516w6fvQ9t8Iq2P1vG9j9b59+5Toj0Ef&#10;6OCxj89+F3FQbTTuTwOrsQfzPy/7vQ2PbWlp58b99+2s8VHwpGXpJ2TN8s9es8ZNlkG8Lt7lXw92&#10;l6VNtnqw3wLdS5uffPLJXjztyy+/VFtzEivYVl6aNDM+fFr6qt5vfOxGB48YRpP2+0eDRpFJs7ex&#10;Y/vWGh22ap9mLvMNvmCW9mmQhlbr8a4Nj21pWcwF2bcqk541YwCvD12w1+gyJqbu2bo1q53edflO&#10;1nmR9whWD9HrCXyN+8fX3MdxmRcudRU968qGsfFx1k8/rvdgtOCD0CZ+1oLoCTmeq68x/GKG7UMG&#10;faMMz2x4bEtz7fug/GJvkefaOkkfi+89VzkI36It0JarvDtJPbN6Bzm0zAc5+8frxT+/WPPrm1dc&#10;BdOmiHr461DdHxoYLjazQouc8d0R5leJtbArhiADaaQ5yly34bEtLat5I+PxwP3bA/+ZWeGRSzlm&#10;PEBX/e/O/biHXKFRdPfYFzflIDIm/hi6om+NH1iX/nTJi79c+X5WNFaVU36MZ9/QnHfQALSAvGNz&#10;d7Rs+de/nuQkg8bPA/qq6H650Gc989rw2JaWFf2LrRH+MerZD+a3TT4T30JmWpxrZGrQWtlkO7a6&#10;i561nAUvTbyGt+Z5nnunpjwmKxqryik3Vgf5wHO1R8Nngms8I+SUjaQTYsNjW1pW9D979hxv/rv2&#10;sx93pk6ZqG4fOkiX9Ut9XK9u7n+l+v73vqXuGueuFyy+38ClJPbmEu/EdV3mb1OR9+Av7UXuQ9wE&#10;wWrO5liPGzfO40fyqpvIrP3fNetQXZcbe+OOD/bLpm4HY86cSaobit93F7oUnzh57b+41CVOXhse&#10;29LijkdUvvt29Ohd3HXXeKd+lrYt71iiTj7pBPW2tx6mTjjxPb2ON77hDeqod71L/XryxNjl79Ly&#10;GMGq9rltsd+TOplruW11jtEmdYo6H1TnLZsPwmtibL3y8sseZuOrnb7Jy0eiqYfT0jLroP9EFC1V&#10;6Y2B4ffdd8Cfg8wz9oiwJ4uiU1s6PiFd7VxYx92zOVn8Pltd8kiz4bEtLat58dxzz3pzH3lpkvad&#10;+rGPqNe97n+oQXedpO5c8IaDjkHjzlUfPvUEjdVHqZM0nruULzSErwGX98iL3by8n7dttmvdwvKb&#10;ch/RPTWfNe337yT7wXnKd0Rmja5WVnRWlVN/HCc+dpC8gxigYXTp8hw5qitPzn52krWzS72yymvD&#10;Y1taVrT/2muveTbMYBv7ci7t2rljm3rLWw5Tv+h/4UEYLZh95qc+qvqNfJ8aPPH96k1veqNqb4vv&#10;ixk+nzqNTmBbvUfbSMteXZZxGF36xjWvKffB3lveN/ntIYMHqRUrV3v9gkzelYeRMqPO9Dl9Tzzp&#10;rOisKqd+WI1+PjqfprwDP/FgZJb77+gnRPlO89MeNLxk8cIavfvTy3Rvw2NbWpa0L7FiXOW7Y+9s&#10;Vm857LBAnB4+/UMev93c8m4vHfnIrf1ujD0m6GuCF/B4ScZL9sjAtCTvF/2OKXvw63lIW+gP0T3n&#10;2pWHidsm029alnRWlVU8Xps+NaEZ9kNcdaHj0g35wBBXvenZs+PzcC51yTqvDY9taVnS/bbt93q4&#10;yFi6xND64Q+uUKf823GBWI38A9mI8NgfOe0EddmlX4uNm+wRUx+OJH1uvu/SpiTfyuId+Atpb1BM&#10;d5FLkGfo0Hx1yE2fe6ybs6S1qqxi8BofS/MXLKzRFHSDjpGrDqwrbcNXuP4L2kvkP87WXhse29Ky&#10;pvnhw0d44xp3jxF/yke/+yh1+qffV8NjwWXOfqz++FnHqVNOOTE27pr+KTZ1J9t7GK/196FR1nu2&#10;MShLmuDxpEkTetUXv4Mi1xFMJ79rvLM4bcX3sHzD1BnMmuaq8rLHbf6t+MEbpOVlMobNI0Yo9m32&#10;an4gzvinybNp4wZnPaUKq93ogD1/Gdsw+yRzDOe1zfb45s9e8uZYWH3mOe/18ptlRF2znqJOUbFe&#10;wsqBn5Y2lcnnSVh9sQ2jvqPHBMeNpD2sYaVNnLOUN0q9kGPKN/bs3l3x1Q3gH5V4yn6bcMYQPiWv&#10;fQ2hF/8ZGo2DIfJehdVuWP34Y7+tzc849ifInpFxXHdbsAykadJ/eukir/6vC//Ju9+6ZVPgvx0d&#10;S+RcHDu29/iSEuxyXVMJDXAWu5gyxVQw62dei4wembT53Lw2ZTvMRdEZMfOkvTb1aLZt3Vphdcmx&#10;evz48Wqg4f8Luhg4iBhJPWvlPP19BdEa89aFN6qw2g2rX3yxxyaOcV4wrz0UK2RsTv/kxz3sHTj2&#10;xEC+GjkIWD5s+vFeOvw394sXtCvidbEvho4DOpltbW2K/TT4OY4OrbONn0XRR2CtnzSG1dQpU7x/&#10;ED79pe5lPXcs7YmtFrUfunHDes9n+/DhwxW66Fm3Z5vW74YOOCpf1m7zqCi5zq6d99fGSMYKumFf&#10;GHnH/VpHC7qAB1qh59rECROc43ckpSvo2IU3KitW03fE2UMvi361yaRtaXnQhPgRD1uDy9iBm+Au&#10;x/CZx4Zi9bnnnqkGjDnZS//5be/x8l97zdWePAusjoojzppfZLRJde/4DrQM3kv9y3pmTSHzLk4d&#10;6Z/Zs1syb5epk1JhdfmwWmJbC61wZk8vSu4Qdy8qDu3Z8kDHLjpKZcNqcAke0uxfrm14bEvLA6tX&#10;rFjl1Q98tK1hutau9nD3vcceE4rT8NXf+f6F6oamnr3H64cc773zgyu+6+TrtnPZMq9OAwcN8HhJ&#10;V3tU4gpJn69euTJzXGO/BjlEZ8dSby0A3bFeQJ7B4a0d5raqNatWRrbbxEiRA9nmBGmsRziy3GOk&#10;j6XPOOdBa1WZbv8A1r1r1qyt+TFnXNDrgL62b7snFl2zP81+ex57HH46vXf71lh14r16xxHEHoN1&#10;AH64/f546OfRo8eouXPnlQqrmT+yP8F/2t//ct+m2wRPfdm3gm1gRB/kpiEXq698720ensNf887X&#10;v3ZxaLlSvv8sclz6LYmvF9FPdtUf99dD7sEy+Ab8axP3GxvCzd13W9sFhvN9eGEpJ+hMGzngTYLS&#10;g55RD2zGgtKSPjP3MCtcdcPVrPuL+KhNTQf8H0IfbVpumGRsmUvIk5O8m8c76BAuW7yoLvXx1qV6&#10;7sqelsw9ztgNYSP83LPP1XgVG+9sS8uaHqQ80clkrobJKKZMmujh7jW/vNjKV6O3x54i2I3toshN&#10;koy5+b+Ls/dpfsOULbA3Z6a5XvM+deGfgX6Kyx47+elX29pA6MUFqxkn5JGubbHll31d6iO0UZ3r&#10;g9lCE5yhH/DWNnZRafAMRfDWUfUgHTpnjypO3qzyMF+EfzP7lmt4VTAa/XQ/vdvw2JbmLyere+o4&#10;RPueoN4t2ndtUP/8+Ec/9HC3f/MFVqwGoy+4+FQvz4iWo2pY/dCu+wLLDfqWPLtb622K7Jo9RxeM&#10;pIyRegxoEzhrw0r5npyxm4WHRn6FfRX7Nml8fXcuW+rtVUj5/jNyderZ2eFm78//C7yG7rOQh0wx&#10;fP1lRVtVOW5YT3wgsXuAJvBj50r3fvrift2aNd5+Y1Ba0c+QteKrIs/vMt+ZH8iLTJ6PPkUPHfn/&#10;vn2/UaxfbDRqw2Nbmq3MtGkSN5u2BO1XfPUrX/ZwV2QdtvO3vnsAz4WvRt6dZGxkn5B6ucpCGCfe&#10;44ij5yb/XsY2LS/ub+scy36g8LNJeCepc5uWj/u/6Xpvyp3S0lP1vhtG01+mngc8StY02Ch23a50&#10;a+ZnPoAZwv/I/OeM335id7jQpg2PbWku33DNK3GzaVOQ7s2FF5zn+c6zYbSkffKsE2q898Vf/qyH&#10;8YsXJZO1MQ7m2sXF19waLc+VsYryvce/nrUmcuAs+BiTfriGR/c/k/s0WC1lTNB+r1xkKPKeea6w&#10;2h1fXeeZLb/QKudWC72YY+ZyzZ6TS/5Gy9uh17/MYelH4Z+Rb+zevVcR99fW/0FpNjy2pQWVldUz&#10;5CDSxpYZ03qN6Wmnnaq++vXzahgsuBx0/vK3/1ndOKRnD/JH11zkYfWY0aN6lRmXFljPjB/X44OP&#10;OnatjRcDCH0N2UOw2ZxTPvHQbXowcesalq9j2eJQXdcssBqdSnT5pk6dopLIm6h317p1NRrIiq6q&#10;cqLxn1haMvfgp8FpYt2H0VLS50n8wif9VhHvsf5HDxrdXj8fPXduuyKmUlr6s+GxLS3td6PeFz+3&#10;QXYZp5x8soraVxTcvmXUiQo9a+7FRwg+n9KMH7FhhZ6RUcQty4x5EubDhjxBa4m434iTD/36sBjt&#10;WWC11IF9btt/SfIFnc392ChaqdKjMThOH8EjiR4WOB2lMxQ0bnGflU2nOW69/fmQc7CvJnggZ/ho&#10;9CRMPY44Y2DLY8NjW5qtzCzS8AEjekL+2Gv4ou437POx+OoRs//J85t6+9T3qTva/5c66qgj1bnn&#10;nB0bX/1jI/foM0PPjA38I/ywpIWdyQN28Q5xvoLeWahtNl31TMK+F/acvT/+/UGxXbLEar6PTi02&#10;EK77N+h3C90/rPVPs6Cpqgw7pi9adMBnVt46xzY5XBjdluU5vA5288xhwQBoFX/rxE3C39irr7rL&#10;OKLo04bHtrSocrNIl7jZ9AP9w1jhz4M9Qnhk4Z2jzt/90UXqqhuP9vJzfdLJx0fiahy6YL9F8CSu&#10;3g/8tLwTtH9XlA4R3w6St4uMLa282ew/eI8kNmvST/g3z4KeqjLsWC39zTmPfRKhCeYAe+1y3yhn&#10;bNlkfph9BUa77hMmoUUbHtvSknwryTvCWyMbYEw7ly6OrQMiGA6u42ePe+xjwPo9WqaaBY1IHFyX&#10;2N6it8O4+3lrMJK94yzqZiuD7wTZ5ggNZonV1KNjyWJvX9ZWJ3+a1KXCajvGJplXQe9If9vs0Pxj&#10;lOSe8vOW8yWpV9g77B3JelP6iDM+MaDNIF3ooP5N+8yGx7a0tN+N+3539yaPD8VPEPJ74pUfdtg/&#10;xuapBa/PveBUTwaCHIQ4ugNuvTETPNywbq1XP2zQly1ZEqtM1k8y5kF7k/64LGE0lPb5cO1Pz/RJ&#10;Rf9KvbKWVSJ3Aa9d5CFSlwqr88dq8fHB/lCQnmxaWuN99ihnzpjuHVno4GdRp7Aytt6zWS2YP1cR&#10;s9eUcwhNwku3t8/39KKJGUucsriYljSfDY9taUm/5/oefSD9Ax/YNGSAF6tcMDjuGVvz62/9kofx&#10;6PFlyVsjS5A6Cv8fRgM85z8t+YN8QmWhn2z7vqQhBzFl4/DSUi/Jk/XZRR4idamwOn+sBnvo7yC5&#10;WFY0sHjhvNQ2j1nVJawc1rTYTgjtuZzRhyDGVRY6H0E4acNjW1pQWXk96/Fj3tN/37/iO4mw+sbh&#10;79f+Qz7nYTV6fGB10+BbYvHBYeMqz8Ef0cdDrhFH1sd/BzoI0nMpao8cbDbl7KKnAh8hbcvjzJyN&#10;80+TeVJhdf5YLX2dl/yNddq4scExLPKgMdcykaFjFyD9YJ7xffLb3+xVG9Z3aV663YvFfvvtB/tH&#10;MfNzPUHb8BJrMgtMfOSRhz1Ziw2PbWlZ1MGlDP5VTdp/zOfOO1cROzEuPy35hs3o8YlK7IFBE3pi&#10;xBBXd8P6ZDaMflow4061zZ0TiXXslQq++/Vcitp3QVZu+goXO5/mkc2R9fe33+WetfCslpme/oxN&#10;d1fov8Lq4rA6630K6AJflehK7br/3lzpyoUGycsc5N80QducCa1xht/CrvLujRs1Rj+qnn7qqcDj&#10;oQcf1D7TNnn+GFpaZqhmrb9rliPXM7TcBztQm24IMm9iIHVrn5nynv9sw2NbmgvOZpUXfcVPn3VW&#10;IqwGs039EfSzuT/nM+n19xh3cE94ZfjSMP1pk56gExkP0XMhHb8LZr48r017c9njRkaX5zelbHhr&#10;eGy595+lbyqsLg6rs7QlZ72JHn8edo9+WnG5p15BPHTzyJGK2Kph2BznOfi9ZPFiFcR34zsPfRG/&#10;jARbRqF129mGx7a0rPDXpZznn3/ew9f/PDs4bpfw0GFnE6vJg805vDV6gC5jHZbXlPeG2Zr43xXe&#10;2sSsomQg1EX0BpHbCJ0ExTH31zur+4kBcXilbKlPhdX5Y/WoUXd44y/0IGOQ9Gz6SfDrOiUtM+17&#10;7JnK2lFoizO8FXy0jYeOg9NmHsoCs0fo/XvzW973tJ0M8WWRkcg+gT8PWI/8GyzYumWL9/+w4bEt&#10;zQVjs8r7yiuveFgt+ndhmBz0fOiU4z1cbp7zjpr8BJ2Q9xx7hMdbP6b1FNLSAu+vXN6hY80N8MYH&#10;Pb6NG7qs5YpOCLGeRc6dtx2C2c72/X6W7tncXaOpxYvmW+tsvp/2Gv+F8DhBMa6Ffiuszh+rxV8a&#10;NlJJ9UDQ7cAvGfHv5syemaufhLh0x39i/do1Xgws4YugK/y+t2i5Bf4kH9a8sImzWV9v37bNi8ch&#10;dnBC13IGL0aPGaPXmAs9uctOLTt/8onHetXJhse2tKzw16WczZu2eFh99hfddfaI4fXja3r7u5aY&#10;uZs22jE1Lm2Qj9hoMg6c0c0M89drxmIRXhzZSB5yw6A2oJfEc/xJSZ3xRxKUN69ntNdcV/Adc42C&#10;LZgLnVR53bF92bLO2vhDr0nGmn0X3i2Kdm11hO9Bp0XkekLb3LfovRLSssbkOOUhY5k+bWqtr6nX&#10;eu37Js67Njy2pdVjPixcuMTD6q/94H/XeOMgHjroGVgd5EPk5wN69hkn3jVObdc6lVkcG3Q8nml6&#10;LwWbl5tvvkndfNONauBAHUujtUX77e3s9Q2eCy2xFutav9azYbXRYlZpSxYv9Ph55pnUYdjwoV7d&#10;8YW2bMmiQo6hQwfrNrfXvgWv/YufX6v633JzhdMFxTHHh4XQwMoVK2LhNfss+GGCfoJsBbKi0zjl&#10;EBsJ3gM9WJOHHtI02HsGJj7+230eLrKnvvWee2JhZBwcdc1z/457Fb74XOpgw2NbWj2wesqUaR5W&#10;g7tBeGx7RrxF0dkz8xGTETl2vQ9i9so8YV3m6h87Di0H5UFnDz6ItS/fv+7aa+reF+ZYHHnEP6sv&#10;XnxJhdcF4DWxBYQGkeHa7KG67+7y9tLZTzf3xYNoLM9n7BO2a5mLn3+WdsDD7n744V6YzB4g76CL&#10;54qz9cpvw2NbWj2wetiwZg9HwF0Tb+NcD7rrpF4+r4dP/5A6+t0H4sWYGFH09cc/8fHaPEEPBFqD&#10;DvOkc8oGq4kVI7R97c9+qr552aXecdmlX1OXXPxFxVme5Xn+8pd0fMxLLvG+d9HnP69O/ehHvfH+&#10;+79/vdq7Z2+F1wXgtcTQE3pAPmXSIPpNyA9YM9ZT1rFmzapAu2+p96yWGZE4PFbrO7F3Vy/sdf2u&#10;DY9tafXA6htuuNmbu8S5jYPPZp5Rcw/z3h009pzau9fdfLHW2R6kfv/cs7kfzzz5hNq0qVstWrhA&#10;TdMxezjQt2Dd1q1l5fjEHjt2rIeZg/VadKTWcWbf0ZwneVyvXNGpmkcM977L3gf0Y/bHI3rvfLH2&#10;v8bZfJ7H9RN6fTp/3jxvv0f66Lb+t6qjjz5Ggdf1oLm+8M2nn35aPf/HP8buP/waCuZxnjJ5olqq&#10;Y9Vzbm2d4/nyKEK3A5kz+iT4DiF+LTra/CPg+c36MV/GadxdtHB+pE60iY/w1iN1bD3O5vOyXtvw&#10;2JZWDxq+8idX9+Ct5pFNHI57jY6eKbP+0v89Ty1c1Jo7Bvlxjf2F8RoXhw4erP0NjFc33XiDGnBb&#10;f3XnqFHeWehw8KBBuWP1Ui2vlu/tefih0L4Ar5996vHQdH8bk96vXrWy9i9rm9Oq/qZ9S06eNMUb&#10;d9Y6s2dXPvfizr2RI+9Ur3/962p9Z64V/+Ef/0H9yxFH1I6PfPRUdfbZn/WOCy+8SP3y+hvVYB8m&#10;Cp0gO0D3TfbAs8Jt+HR0Bil7eICum3yfM3iNTht6cWl07Yj9iMyxrPhs1suGx5J2xJFHqjIc/6jp&#10;C3obPvPYVFiN3t5V1/XYwrS1zfT0q9GxLvIYPniguvnb31M3XXed6nfzzerW/v3VbQMG6L20fgfh&#10;temvIw++GhtJaJ94vzZ8ZS+EeZQ3XrO3Ck89fdp09acX/uTxgi9onvAtb32Lxp2/q+EOtHDMMf+q&#10;Pvjv/0edceandN3mx+Yb42JdI+dbvXqtev3r/qc6/PDD1be++R31nW9foS648Au6vz6kTj/9DPXZ&#10;c86rYTMYfcoHPqje//6TvOPYY49Tb3/72z0Z1HXX/qz2Lzex0n/N/gp+uaARjiWLtP6Zxl7/gf2T&#10;5EHvCb2RKFw2vyVyiyx5YWxoTUws67XgcRBdStoJ73ynKsNx3Dvf5c3VYdOT2cKwj0is3AsvOk19&#10;/dOfVt8573w14PJvq8Hf/V7hxw0/+onqp2Wzt/z0Z+qWfgewGry+7db+tfkxduzoxPquUdhOfBvW&#10;j8yFlStWWrEaHMf3GPPsN3v3ROa14b4tDVnLtKlTPbze0LWhhr+Xfv0b6vahw3R8s9m6vkPU5Zd/&#10;z8OaE088qYbfJt8Y53rc2PG18oPov5Gf3appiD74+Cc+oemrn9q8eYu6d/sOdd0116jJEyerZ599&#10;Vv3ud8/V2o+vuCefeLJ2PLr3UXX88e9XP/7x1eoznzlX7yFcps4//3x11ZU/Ub+47lpPv8nE0Kyu&#10;4dnxqYmfg0Fa7xibEPSO0Zf47b7f5IKpyHVEP6SsOE29BI+D6FLSvviJ01UZjs/pekB/cWUe/nzI&#10;P4jn9dEPnKT66T2zeh43fO8K7/u3XH99L6yGx0YmYtJ/1nvt7PFL+dhWQQs2DJU0+Oqlet0p93mc&#10;+R/AW8+YPqOGJddcfW3tOohWVy5focaOGad+df0N6vRPnq6OPPKd6s06fhBrXP/Rv99tXjoy8Bdf&#10;TB8HL6g+9X52i16fMVeuuvIq7+in8Zrju9/5tsZavZbbfy/nsfq/xYEtHcfGuzer8877nLYLeMDa&#10;Ry+++Ce1494dek9jsZYlj1LDhw31joEDbq3Rl9AZ51v63aTlK79Qt/W/Rcu/J3t7e0u0LBq5YJAs&#10;Y7nWcUWmHKbPkQW2rlu7VstzOnP5D2RRPylD8DiItiTtC/9+oirDcd6H/yM1Vh/+jneoH1/yJXXT&#10;pd+o6/GrK37gYfWtN/XT8uobazIQ+GqwuofXvkXLRW7zaB5eA50NsW2M4plt6fh8kP0Z1q7oNLlg&#10;7v07tqtlS5cq9gJd3oubl7i4srf4zDPPeBgdhdV++p0+rUX98r+vD8T3V15+Wa/XJ6l3aFr4whcu&#10;DszjL6/R7gWrr77qKnXN1dfUsDkMqwWzzfP5551Xe898bl7fequ2AWy6Xet8Dj/oGNF8p96Luat2&#10;TJo0Rf3lpb+oM884S9vyblTv1Gv1/8/emYdJUaRpPP6aGWd2Z0QYd10fdZBBAYEVRUUOUUScUUcU&#10;8ABRQUF3HQ90RLwQEQcPjlaQo1GQbUCBFhAQFAGVSx2VU+SQAXVYEVFEH8Vr1dl4o4nq7OrMqMys&#10;rMrMirefJ5+szsjKyorvjV99+UXEF7ffdocvPsLnfe3VVQK5ghGvQHzZbRyeZlrQ/btbNotx48f7&#10;upeg147yfM1jNy3qsj7NG4gkbL3a5M9q+BqDelwWq08Nf1771Q8Mud/VrwarsYHdTr8Ez4iYx2ti&#10;salM5z3V10ReL78MdZ6HHGSILe/7xJ8/7nxvrteYy6lZvW3rlshZDa0jBt6168Xqt99N+2k/hv7q&#10;g3/za+VDF5LVTm7neo11CMFq1O3ZZ3UUrVq1CcVH+MB4FozSF8b1ouR/lIzW19I8dtOmLksCp3EP&#10;pcjqh+SzaHa8WvvVVawedqC/scq/BmMxJyt73KuJzygD/9CPoxmNPeJ0ubhpKkcs5O0N6/O6htv1&#10;d8ocDprVb2/YoNr24EGDxbRp08XixS/52uCHD+jf33juE48/oVjdu9eV4nH5esqUpyLZ0K/n1p6K&#10;eWzw4EHi8MMPj5zVQ4YMUXEU+OdBN8SnmjVrnmH1iS1PDsVqsAu6AF+x4bXmWdg9/A7MlY2yzzLs&#10;vXi9T/PYTUe67Hg5dywJW7MDfYvZcWi///cbcIlqm3f36h1r/APxF2cMJBerM/71Q9LHfqia2Wrc&#10;ksxThzW/EJOFv+3cEDNZKOdtI4eU7kMEo5988knFbjdOBjomfWr4NlH71p/J62pWPy/7laDNu++6&#10;R6x+a7XYvn27r23gXffKZ+zbjOfeI8el4TmrZcuW4u/btqn8wcghHNW2d291351b+yrksUKxGrHu&#10;q+VcqXsH3RN4Qz6fVq1a12A1+jS92OTnODiNXGfI7bt+3bq8rvWOjO1hvjxi40tkzm23+LmfeyrU&#10;OZrHbrrRZaXmVw/smZwYiB+/WvvXDz08TMZE5DwAMFsyN+gGH2SZXIs5EI9lWzKdj7F8S2XeH9M5&#10;Ycp0/+Kc2bNV244yXg2tv/G3t+R69i1KNgZSKFajXxA55BHL1ttlcr5pto8Nputt4N13qbi3MwbS&#10;RsYzT23dVnz++ed58VVzEXPFkasuqnmIGBeF9gVuJ4XZmse2sLppkyai/+XxjgFxxqsflM+U/vzq&#10;Kk5rXquxfYhlO/xsE7sXLHgucp4qBksfGPMvP9z5QaTXf14+K8C3Dsvq22+7S9zSr5/ifLa2sYZn&#10;n6uvlXMhfy4WLVrsek72e9L2P1jdpEnjWjGQvn2uUsdyxZZR7qdvEefBx9Zcxh7xcSe74YfjWtf9&#10;9w2i6XHNVH2f0KKFGnOJfgPN23z3iDeXjx+rtihiz4iHgP2PT8C42fjnNvph9VUnNhVJ2K447TTl&#10;B2G+uN+4h/M8jNnr0vVs0blT+8T0LQ69e6DnOBDtT2OcSDWjazJbz6HBWi6vyrFHzg39hptlnDqM&#10;XxvkPYiFI093kPfkOtfE6m+/+VrFKd6SMZEXF70o569NFjfddIM4549yzaA2bUTjRseKX/3yIDkX&#10;5GcCzMreOnQ4Q+kIfnXaGOz3fvGdT2p5ohgg40C3D7g9M57DL38HDx4sEMf3w3S/53y8e3emb1Gz&#10;GmtX5cvo7PdjXa0ZM2eosSNRjJvGOBHEGZ+V6y5iPEpcfrYfViOml6TtkSnNQrEaefau63eJwLoy&#10;PS/uIvpeeokYfHVfcX+fa4q+3XNTPzG05+VyLsyAkH51FbOrWD1M5V/Kxb9Clr8sxzdHeX0dr54/&#10;d77iaSc5N7H1qaeK3x5az6hFjJlGn1X79meIFi1ONJ778MMjSprVhx92mPJv4fc+IMeBlpdPFF0v&#10;7KLGUevx1F77isn/I3Mu3pEZb63HXYfdv/LK8io7ynEg6FPBb+k9sq8Rvz3ZrI3ifzAacxzhZ0fB&#10;a9wTrgM/G2OxECOJ4j6DXMMPq/v2vVYkYTvllKoxe/nOMX9kWnPR6+quqh1XlI8RL86eVfRt+L2D&#10;xP1XXikG39rfwephamw1+Hvf4PvUcfjT2r928621X71c5huOkpVBr4Ux0Zvl2qdB3+d2/p6Pd2f6&#10;FjFPAu0ZbRv+Qus27cS5550vrriit+gn534inxdy5aLfys3nxHG3ze3cUjo2c8Yzqr7an3aGen7X&#10;361tm7au9aTL9X7L5s3i5htvFg/+dajMtXhZZFudOgeLQ//tt+LWWwdk7iMIr4Kei3gz8kgGfZ/p&#10;fMTGMWYE1y5mbMQPq7X94t7rPHvDJoXzq9u1P0UMHFq9NkzPKzvLPHsPi/Xr14l9n+6JhDNu7HE7&#10;tknmaF8in6swr6Rczkd5vLxcIG8R8oFMl3Oshw2rikXj2KhHR6px1p6slnMcP5TrJ7l9TrGOIc88&#10;fGH0Cb63Pdjcmux73LJlU4bV6+X6RzfeeIviTvn4CZn2HbcW0/D5+D1DTpBf/eqX8reuakNcSL92&#10;7uvWrSsOrVcvs53VsaNo07a1OEPOUe/WtYu48YbrxV9u6afWf8AaEM4Nx1HeXc4bOEuOm+4sY9M9&#10;elwuevW6Ss1Rv/OOgfK9/TPbl19+WcOOJi5GUTYfuRslr93WxQp7fVwLsRasWYAcsYiNROW/e91T&#10;GlkdJicq1laEXzZ8YudM/OSeB3uIvn36KC5gzFs2M4r1P9ZoRB4bfN7w4SMUs8eOGaVe4xjyQVb1&#10;JdaMVYPd8KtxbrHu1etzMNZaxy3Q1/iezKvpdW6u41g7R19r9KOPCfhisF0a+JjWe8SzSUXFU3Ls&#10;27Ni5IiRgccYmfq1UYbx63PnzhPvbt1Wax1vLzZFeRzxEPA0ymvqayF+DR+7XM59hM+tj0e9TxOr&#10;keMRbTbMWgMPTmgumjavuZ7MmMqjxemnt5a5IY5QW/3f1VdrDzRudIw44YTji7Y1b9ZUNGzYUH1e&#10;gwZHy5w5jUXD3/9ebbiPpk2biGOOaSj7zI6pteG8xo0aFe1edb10PLOD6stDfx62Mzucrvr10Len&#10;NxzT5X73f/zDWaKt9OdwjeOPr8rLdOyxjcQXX/jPv5xWXsZ13z/IvLNz5swTzjW8wFesFTTh8Qnq&#10;dxN9a1jvDWP2szccR/kcueYbfqfRz404Md7vxvBhMp8p1u9GPuBZs2aLCrnm1vJly8Ta1asLNncQ&#10;PMU4bKxBgDnqhYhdYHw28laC23getpnV+azh5bXe4tBxzRX/u3W9QFz/5+vU1v8vN8ucbsMTsz1w&#10;/+DMvf2XzG3Zp8+1MlbyYOYY7vu2W28p6v1irRjnhjVdulzQWW3dunTLvMaxi7t1Fb2vuLzG+c73&#10;4vVVva8UF3W9MPO+c2UeROQ8xbNzXAyz5XOzeYr5rWtkDsZcc2H9lmOtesTGkHc3+7O8/p86dYqa&#10;Z1UIpiJPFPJBoZ+wUH7wgufm+54Hv27NGpW7CveDDXm5db+os37S5FcvW7ZCcfVPl/1rJo7hHJNn&#10;eu3FahyHrz5i2AgZu672A7COXJxrFDnbAXKvw2a4Pyc/9n66Vz1bansijlKMdb+c96Zfw9fS94E1&#10;sZ3rYuM45sUjFwnWgNLv0Xscm5Q1/x3PzM7vytfB1yb3U2eVlc9k7AY/uBiax2dgzaPsnAdaP9l7&#10;5FXCmgJRchvXAhMLOaYDcVXMP8PzBn4flsh8Z5rF4+Rzh/6eeA02I+cDyjEXGOdjc/rmaWL11q3v&#10;Kq6e061uYFYPLmsievY+p9b7Op1/hLrm2rXrVO7HuXKM2KhRVWtaoS6xNhA4tH3bllqM0awp5H7T&#10;xvWZnHgzZ1a68mvZ8hWZ51fMO1+8aFHR7xVrPGntYX4aOPHFF18oZo8bV9OfeuSRMvVsjWfl0VLL&#10;+n3Yjx79mNiw4W3X7+mHPTzHP9NXr14rEI9AvWPt721bav+OFlLb+trbtm5W4/iWLnlRxRBwL2PH&#10;jamhC60R5JucPHmyXK98voo/b8Zvv+znczItyGvERjCfHLEb7KP8PdD3gTFSiPFgj/5IzIsP8zlp&#10;YjXaIXzgTucfW4u5Jp8aZRjnh/eOmfPvmffidf36R6qxuNltfPbsZ2toBQxEf69pbWetvSj3Tx/w&#10;qaHV7Ht0/r//6/0qBqg1DZ+lmD628z6/+frrWvf6xhtviadlPmp9f2571LnzO/G1f+6GqauysjJl&#10;D6xhGKVmo7wWfHCsFQ3/100zODZm7FiVD0ezMewen4XPgY8bhqVhP9fv+9LGaqzdFIbV4DVY7RwH&#10;gnkxWOPIbWwu+lvQZ71gwfM1YiPQBtYqKgaz8Rk6z/TMylk5ObZv3z7Z1z4/c7/QHeYURtl2vK6F&#10;9o66GZ9jXB1+U1Cv2MDv9dKH/uCDf4iffvwx5/cLwyO+x533eObR7Js1q7IoGvHSjt/jWLsccT4v&#10;bk+fPj20f615ifg14i2IXUSZc1VfP5992liNOWntzmia8Y1z+dOZ8vn/Us1q+fqinq3V/+UTnvTF&#10;CLBlouy31vrGHhxFPzm0vmTJIoG1EbF+yz/e25GX9l9ftVLlxtOfhf7yIMwBD8FMvB/PjMif+r5c&#10;E9pvmwh6HtaP1veKOHWQe+W57iwtdL3slOthaZu9uOj5gmkjqJb8nr9+zWo5ZnqRantjHquOWerv&#10;NEr2N0H7iGFOlnyvrJyhcugtkt/1FTlvDGvB6HjE32XsOpuhyCeC8SJY2wDxFpybT6wl+/p+/sc9&#10;IMaDsYa4lzSyuk374KzGXEX41WA3xmfjNbagazjBD8Szevb4Jq0Rvcd6K/AB0J/gp79m/bo1KsaC&#10;Pk19Db0P02537Hi/xnXwm1KImAh+n/R9Yh/mXvme4vMaeV+13YLmQvfL02Keh++gn0H19wq6x9gQ&#10;9Deif+/VlasycRDEQxAXKXR+a8ylQX8kPh+/M9n3nzZWX3xJd/GfLYLHq+98qKHo++cLFKsv6F7V&#10;n4h5kGE5gZwz+/Z9ptbrBLunTpsmsvvQsusa/WjYsO6n7lfD/24awzgI+D7/98MPoe8R+eTe2fhO&#10;5r7wOfhczDH8X5nPP9+2BE7rPiD8dm2X8xXD1iffV1xef/LJngwLMCYjXy0k4f14dkTMDxtyjry2&#10;aoUaF4BnXoz/xvMv+lX0+G+vtpfdbuGjwz/HXBeUYY/1el+X8W34vWFyOYHLWO8X/v2cZ2erfK7O&#10;HPPOe8BzA+45bazG2OLsOS2ZOIf0mb1eI1/T6Oknq/IWJzYWp7U7vWBcQbxk+YqV6jfaOabEWf9u&#10;r8vKHlE+O9pRlOxCTCS7Xw8xP/SVhlm/EZzHM4PzO+ixH1HeN69VOH6j/1fbD/xKAmvjuodt725V&#10;z74L5Xxx6Br98m7+k64vtz3i25gDA78YayV5xTjgoyMe/qhcn93tOjiGZ+tn5zxT63k8baweNWpM&#10;JpbhxWW345f3rp5bjthHPj51UIZgHLTmtx57jGct8BP/g+soD3rdoOdnj3mGLjCmFuOegzD7qaem&#10;1tAZ+nSC3gvPLxyH/dbtGPnMDw0gPhYXJ5P8uYhdYh1pjEMJym+wGOyeN2/eAd/7fTVn0sTnefPm&#10;us4/0HWUNlbPkvkKwFrMD3djstux+8o6iUuvaqDOH/jApeKQQ+oEjlP71X/Sz4M/tWXLFhWzceoG&#10;fgTmBWO9L4zdxzOj3hY8N1fmsqtQ5U5/A/2Xq+W84KR/Z96f++/Ca6+9rlg9bPjD4s03XiOv5bqk&#10;motee8RXNr29Xvb3rVR99jq2ghiFWx+ns405X098YoLss5yrrrFRzqHw+jzn8bSxGu0OrHaOvXPj&#10;s/PYmWe2E5hLjmOdO3cSrWRuVbbff6ocOhg3p8eMOLWU6zXy8LAO3RmYpnpBXg7YeoT8rV67+k1f&#10;zHDyg69r8x1jbTGmAL64c3xh9TPsu6HqOY2srluvrhgysjq3qZPL2a/hfzv9cLw+v/OF5Iz8zdNM&#10;wVjy3R99JDa9s1msXPmqHH/4koqbo89Ub8gxj+MYB4M+S/1e7qvrMY11gTmv+nd5uPSvEa8thXEh&#10;SfoN2Sjj18iHgrh4PveVRlYfceSRAmuSZ3PZ7f9BZY1Ej8ur5pb/ddRFitsjRjxK1jhYnUbG8J6j&#10;+43AmCPwGnP/ETMFq2fJccUvLJyvxlPskrnR82EM31vb9w5TJ2lkdcuTThHde/7JF6vPvfRg8cCY&#10;bupczFOEX/2WxxoibP/RtX/WZXrqErn/nfMF4FtjrA9yaiFvGMYVF2Jsfhhe2fyeNLK6w5lnqTwe&#10;bn509rEul7QXWGcAx7EuDFi9ZctW+tX0q6kBhwb27Pk4k5sAPjbylyJnGZ7bV7/5NzFj+lPKzw4y&#10;Xshmrhbiu6eR1Zdc2kMxt6yiY07f+prruqpz9LowYPWePdGOX6YPmR4fkrbythXmd2EsqY5f672e&#10;K/PqyhWqrwxjPAvBIl7THCtJI6sXLnxBsVrHNrJ9aef/mAOD/3WePbD6+++/p0/l8KnIL29+2Vg3&#10;2fOmwGzMz0CeGow5xmusO0e2mtkadf2kkdWrVr2mWJ2rf3H4E+eLcy6uo1g9YnJVPpDfHXUUOU1O&#10;UwM5NLB376cqx6Qe06d9bIw7mzChXPVDVs6cLpa9/FIk+Qqi5lopXi+NrH5Hji2Df5yrf3HAoO4C&#10;677Ar9ZrdZ10ciu20xzt1EZfkt/Z+9ki1xh8NX4kgjFppcjXKL9TGlm968NditXgtTPekf366mu6&#10;iPtGN1Pn6LW6kPuJ7dK7XbJuWDdeGgCzMd4eeWu0n+3c67kebuu0RcksW6+VRlb/IHPPgdPYRs9o&#10;5Mlr5HhC7AMMv+rmQ9X5d94xkKymX00N5KkBrFXw8e7dam0LjM/Wa4Fpdj8u4ySLX3he5XSPIqej&#10;rXx2fu80shq/+1hzAKxGLupsf1r/r1gu1+7C/1hPF/9jLXQvv4HH6VNSA+E14NYnCXYj9yhyIDm5&#10;w9fB+yXTyurrr79RsVfHozWf9R75T8FmnePpnG6Hqf+xvi7bY/j2yLpj3Zk0gHF/yEOAteT0fEjt&#10;a0+bVsE5NT7yQ3n9jqWV1QsXLlLs7XrFf7j61cjtBFZrdmONRvxv0hnLyCFqIFoNINevzr0KZiNP&#10;I3KwLpHrbxVrLVAv9qXteFpZjTb1G7lO7mkdq/oONZP1PpvVWPerceMmZHWecUqyLFqW2VKf8LWz&#10;x/+B3chFhxyjaeNmHPebZlZjTMfRDY7I+M6a09iPnHyO8qPHza0aX31yq8ai6XFNyWqymhqISQM/&#10;/fSTwJpHM2dW1sg/Al97ypQKNVabc9i949hpZrWOg3jNNUfMA2vigt316x8pkPPJFj+G35P+b5I1&#10;gLg21kNyG/+HfFGMj9RmdppZDS0edNAvBOa8OH1q/VqPr9bxkHPPO5+sjsmnSjI3eG/x/q655SAZ&#10;OXKEys3K/H7VzE47qzt06CgOqVNH9OnXQI3fwxg+vQ0c2l2ccPJRyqf+xc9/Rk6T09RAQjWAteU2&#10;bNgoKioqaozVRnxksszRulT2RW7dtMHquHbaWf35vn2qjxHxDq+tXr26AjlE6D/F6z+x/ln/fjXg&#10;5mujL3LcuLHK37Zxfk3aWQ3bI1c61szF2uT3DRkqxwWVZbZHykaJXbs+IqcT6k/5bbs8zz7O7/96&#10;v8C89srKZ2qtCTp27GOK2TbNZy8FVrMd29eOaXP7bL5jx/vCbW5k+fix0lerFMuXvZz3moZxjMXz&#10;+5lktX2aJ+do8zRrAGs4uzFbz49Efu1VK1aUXGybrGa7TXO75b3bq9+ffvxRfPbZXvHBB++rOMno&#10;0Y/VyP+HvH8Yt/3S0sUlMQaQrLZX6+QcbV9qGsD8SORt1T62c481I9M8BpCsZnsttfbK70NNI7bt&#10;NpakbORwtTZ7GudHktXUNdlGDZSqBr766isVI5k+fXqNOZKYa/O0nB+Jcdvbtm5ORWybrGY7LdV2&#10;yu9FbTs18N133x5Y16asRowE823myTXIkj5mm6ymnp165mvqodQ1gHHbbuNIMPYvyeO1yWq2zVJv&#10;m/x+1LibBjCH7r0d213n2Ty/YL54e93aRMVGyGrq2E3HPEZd2KSBvZ/urbWODcaQYKz2mrfeSASz&#10;yWq2SZvaJL8r9W7SwL59n4nFi5fW4Paw4Q+LSZMmxr6WDVlN7Zq0G1XZN998w5wsFuVkKQV7IxeJ&#10;21o2yB8Vh69NVpPVUfHY6zoYN1VRMYWstojVy15ZIUaOGF0SNnebW4OxI1gTYd3aNUWLj5DVZLUX&#10;Y6M4/u2334qu3bqLUY+WRruNok5suAZYffTRx8jclw+UBK+xjs3u3R8JjNPO9rXHPDY6kzuqkOvZ&#10;kNVkdaHY8fHHn4i2bTuoNktW26UzzWrwulT8a2c7Wb16rZxbU3OctnM+O3zuVSuWR+p3k9V2tSGn&#10;3gr5GnEPzWm0V7LaLp05WV2qvEb7Qf6RiZMm1Zhb42Q2XiNegvXasWHOTdiNrLarDRWSz/raOu6B&#10;Nqo3stounWWzGjqYOnVGScRDtM6d+/3794uPdu0Sc+fOF1OnTZPr14w38jub537+J6vtakNOfRXi&#10;dbY/TVbbqS83VkMLpRgPMbWjnTt3CsRLMA7whRdeVPmkkFMqzEZW29mWTPoKWwZOox9R89m5p19t&#10;l868WA1NlEp/Y9h2EvZ9ZLVdbSisTnK97/PPv6gRn3ZyGq/Jart0ZmI19DB7zvySjYfkaithy8lq&#10;u9pQWJ2Y3ucV93Dymqy2S2e5WA1t2BYPMbUhP2VktV1tyI8mgpzj1o/oZLR+TVbbpTM/rIY2GA/x&#10;rwuy2n9dBWGYDec6x09rJnvtyWq7dOaX1dAL/Wt/2iCr/dWTDewN8h39xD2c3Car7dJZEFaT1/60&#10;QVb7q6cgHCv1c/3GPchqe7UVlNXQSimPv46CCWS1ve0pjH6C+tNOXs+aNU/mTUjHFqZuCv2etNQd&#10;7rPHZb1cx2469eD2mvEQbx6R1d51U+i2l7brm8ZPu7W7NB9Lom3SXJ9B7p39je5MIqvd6yWJbTXO&#10;e8o1fjpIW0zDuXHWtddnp6HeorpHjr+uzSWyunadeLUVW4/nE/eIqu0W+zpJtHWx6yDuz2M8pCab&#10;yOqa9ZHENhrnPYXpR4y7jUfx+XHWuddnR/G90nYNxkOq+URWV9eFVxux9XiQ8dNpY0Cu+02izXPd&#10;c6mW07+uYhRZTVa7ccnGuIeTdW51Evcx5/3Z9pq8/qcgq8nqbAbZGvdw8i+7TpLwv/P+bHxt+/hr&#10;spqszubQ2xveEccec1yo8bGlwpDsOknC/6VSt2G/R4cOZ1udm4+sJqvdOHTNNdeT1Qlbdzws40rl&#10;fRs3biarj2rgWgcmjru1bx4rHe5/+933Ary21b9OopZLhblBv0e7dh2E7ZyGHk08NpUlUcu8p+h/&#10;K5YuXWYlr5OopaCMK4Xzwekk2iKOezLx2FQWx73yM6NnsZ86LR8/yTpe+6mXYp9TCuwN8h3A6ddf&#10;f5OsPhCLM/HYVFZsnfLz4uG0rnf418c1aW5NDFt/7yTtg3Au7eci91OS6j4J92LisaksCffOeygu&#10;v22KhyRRW2nnr9/7Z9zDvV2beGwqS6KWeU/uNo6yXvKJh3TqdJ5IyxZlnUV1rbTUHe6zZctTQz2D&#10;gdN79uyhT+0yBsnEY1NZVPrjdQrP16jrOIx/zXVh0mfnfHQTZq0B+tNmjZh4bCrLx458r9kmaaif&#10;oOOvyer02zyILsOwmuPyzBox8dhUFsRuPNdsgzTWT9Dx12R16WnApNsgrIY/TU7n1oeJx6Yyk51Y&#10;lrveS6WO/MZDyGp7NAFt+2U14x7+dWHisamsVFjD7+FfK1515ae/kazOv5696j+Jx/2wGpzm+Gn/&#10;ujDx2FSWRH3wnvzbPeq6yjX+mqyOzzZR29rP9XKxmuOng+vBxGNTmR978Zzg9khznZniIWS1XVow&#10;sZpxj3BaMPHYVJZmpvDew2nFT715xUPI6sLVuR+7FPscL1aD0xw/HU4LJh6byopte35eOPvGUW9u&#10;/jVZnR77RaEZN1bTn85PAyYem8qisCevkZ/tklx/2eOvyerStbWbDt1YzXF5+WnAxGNTmZt9eCw/&#10;W5RS/WWPvyar7dKGk9Xwp8np/O1v4rGprJS4wu+Sv4686lDHQ8jqwtWxV93HeVyzmnGP6Oxu4rGp&#10;LE4d8LOjs38x6hLxELI6XTbLVxea1RMnVjAPk0sepjD1a+KxqSzMZ/E9drVXbW/EQ15a+jLbbERt&#10;VtdrkveIeTDuEW17N/HYVJZknfDeotUI65P1SQ3ErwETj01ltF38tqMNaANqwB4NmHhsKqNG7NEI&#10;bU1bUwPxa8DEY1MZbRe/7WgD2oAasEcDJh6byqgRezRCW9PW1ED8GjDx2FRG28VvO9qANqAG7NGA&#10;icemMmrEHo3Q1rQ1NRC/Bkw8NpXRdvHbjjagDagBezRg4rGpjBqxRyO0NW1NDcSvAROPTWW0Xfy2&#10;ow1oA2rAHg2YeGwqo0bs0QhtTVtTA/FrwMRjUxltF7/taAPagBqwRwMmHpvKqBF7NEJb09bUQPwa&#10;MPHYVEbbxW872oA2oAbs0YCJx6YyasQejdDWtDU1EL8GTDw2ldF28duONqANqAF7NGDisamMGrFH&#10;I7Q1bU0NxK8BE49NZbRd/LajDWgDasAeDZh4bCqjRuzRCG1NW1MD8WvAxGNTGW0Xv+1oA9qAGrBH&#10;AyYem8qoEXs0QlvT1tRA/Bow8dhURtvFbzvagDagBuzRgInHpjJqxB6N0Na0NTUQvwZMPDaV0Xbx&#10;2442oA2oAXs0YOKxqYwasUcjtDVtTQ3ErwETj01ltF38tqMNaANqwB4NmHhsKqNG7NEIbU1bUwPx&#10;a8DEY1MZbRe/7WgD2oAasEcDJh6byqgRezRCW9PW1ED8GjDx2FRG28VvO9qANqAG7NGAicemMmrE&#10;Ho3Q1rQ1NRC/Bkw8NpXRdvHbjjagDagBezRg4rGpjBqxRyO0NW1NDcSvAROPTWW0Xfy2ow1oA2rA&#10;Hg2YeGwqo0bs0QhtTVtTA/FrwMRjUxltF7/taAPagBqwRwMmHpvKqBF7NEJb09bUQPwaMPHYVEbb&#10;xW872oA2oAbs0YCJx6YyasQejdDWtDU1EL8GTDw2ldF28duONqANqAF7NGDisamMGrFHI7Q1bU0N&#10;xK8BE49NZbRd/LajDWgDasAeDZh4bCqjRuzRCG1NW1MD8WvAxGNTGW0Xv+1oA9qAGrBHAyYem8qo&#10;EXs0QlvT1tRA/Bow8dhURtvFbzvagDagBuzRgInHpjJqxB6N0Na0NTUQvwZMPDaV0Xbx2442oA2o&#10;AXs0YOKxqYwasUcjtDVtTQ3ErwETj01ltF38tqMNaANqwB4NmHhsKqNG7NEIbU1bUwPxa8DEY1MZ&#10;bRe/7WgD2oAasEcDJh6byqgRezRCW9PW1ED8GjDx2FRG28VvO9qANqAG7NGAicemMmrEHo3Q1rQ1&#10;NRC/Bkw81mXcNxCsA9YBNUANJEEDbr+bSbgv3gPbBzVADVAD1RpwYzWPxf/cQxvQBtQANUANUAPU&#10;ADVADaRXA78WQtSTG/4Olhte/z8AAAD//wMAUEsDBBQABgAIAAAAIQBYXcx43wAAAAgBAAAPAAAA&#10;ZHJzL2Rvd25yZXYueG1sTI/BTsMwEETvSPyDtUjcqOMGaAlxqqoCThUSLRLito23SdTYjmI3Sf+e&#10;5QTHnRnNvslXk23FQH1ovNOgZgkIcqU3jas0fO5f75YgQkRnsPWONFwowKq4vsoxM350HzTsYiW4&#10;xIUMNdQxdpmUoazJYpj5jhx7R99bjHz2lTQ9jlxuWzlPkkdpsXH8ocaONjWVp93ZangbcVyn6mXY&#10;no6by/f+4f1rq0jr25tp/Qwi0hT/wvCLz+hQMNPBn50JotWwWHCQ5bkCwXa6VDztoOH+KVUgi1z+&#10;H1D8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iTtAFcgMAAAII&#10;AAAOAAAAAAAAAAAAAAAAADwCAABkcnMvZTJvRG9jLnhtbFBLAQItABQABgAIAAAAIQB+94kdC50A&#10;AKDiCQAUAAAAAAAAAAAAAAAAANoFAABkcnMvbWVkaWEvaW1hZ2UxLmVtZlBLAQItABQABgAIAAAA&#10;IQBYXcx43wAAAAgBAAAPAAAAAAAAAAAAAAAAABejAABkcnMvZG93bnJldi54bWxQSwECLQAUAAYA&#10;CAAAACEAjiIJQroAAAAhAQAAGQAAAAAAAAAAAAAAAAAjpAAAZHJzL19yZWxzL2Uyb0RvYy54bWwu&#10;cmVsc1BLBQYAAAAABgAGAHwBAAAUpQAAAAA=&#10;">
                      <v:shape id="그림 61" o:spid="_x0000_s1068"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47" o:title=""/>
                      </v:shape>
                      <v:shape id="Text Box 52" o:spid="_x0000_s1069"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1540028"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v:textbox>
                      </v:shape>
                      <w10:wrap type="square"/>
                    </v:group>
                  </w:pict>
                </mc:Fallback>
              </mc:AlternateContent>
            </w:r>
          </w:p>
          <w:p w14:paraId="2EA0092B" w14:textId="77777777" w:rsidR="002E5800" w:rsidRPr="008F328C" w:rsidRDefault="000E0B7C">
            <w:pPr>
              <w:pStyle w:val="a3"/>
              <w:numPr>
                <w:ilvl w:val="0"/>
                <w:numId w:val="22"/>
              </w:numPr>
              <w:rPr>
                <w:lang w:val="pl-PL"/>
              </w:rPr>
            </w:pPr>
            <w:r w:rsidRPr="008F328C">
              <w:rPr>
                <w:rFonts w:eastAsia="Times New Roman"/>
                <w:b/>
                <w:bCs/>
                <w:lang w:val="pl-PL"/>
              </w:rPr>
              <w:t>Zdjąć osłonę</w:t>
            </w:r>
          </w:p>
          <w:p w14:paraId="4C8C92DB" w14:textId="77777777" w:rsidR="002E5800" w:rsidRPr="008F328C" w:rsidRDefault="002E5800">
            <w:pPr>
              <w:pStyle w:val="a3"/>
              <w:numPr>
                <w:ilvl w:val="0"/>
                <w:numId w:val="0"/>
              </w:numPr>
              <w:ind w:left="471"/>
              <w:rPr>
                <w:lang w:val="pl-PL"/>
              </w:rPr>
            </w:pPr>
          </w:p>
          <w:p w14:paraId="47EACC67" w14:textId="77777777" w:rsidR="002E5800" w:rsidRPr="008F328C" w:rsidRDefault="000E0B7C">
            <w:pPr>
              <w:pStyle w:val="a3"/>
              <w:ind w:left="4477" w:hanging="180"/>
              <w:rPr>
                <w:lang w:val="pl-PL"/>
              </w:rPr>
            </w:pPr>
            <w:r w:rsidRPr="008F328C">
              <w:rPr>
                <w:rFonts w:eastAsia="Times New Roman"/>
                <w:b/>
                <w:bCs/>
                <w:lang w:val="pl-PL"/>
              </w:rPr>
              <w:t>a</w:t>
            </w:r>
            <w:r w:rsidRPr="008F328C">
              <w:rPr>
                <w:rFonts w:eastAsia="Times New Roman"/>
                <w:lang w:val="pl-PL"/>
              </w:rPr>
              <w:t xml:space="preserve">. Zdjąć osłonę, przytrzymując korpus ampułko-strzykawki jedną ręką. Delikatnie ściągnąć osłonę prostym ruchem drugą ręką. </w:t>
            </w:r>
          </w:p>
          <w:p w14:paraId="15B05407" w14:textId="77777777" w:rsidR="002E5800" w:rsidRPr="008F328C" w:rsidRDefault="002E5800">
            <w:pPr>
              <w:pStyle w:val="a3"/>
              <w:rPr>
                <w:lang w:val="pl-PL"/>
              </w:rPr>
            </w:pPr>
          </w:p>
          <w:p w14:paraId="28944465" w14:textId="77777777" w:rsidR="002E5800" w:rsidRPr="008F328C" w:rsidRDefault="000E0B7C" w:rsidP="00F2584C">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zdejmować osłony, aż do momentu, gdy pacjent będzie gotowy do wykonania wstrzyknięcia. </w:t>
            </w:r>
          </w:p>
          <w:p w14:paraId="5B10A4D7" w14:textId="77777777" w:rsidR="002E5800" w:rsidRPr="008F328C" w:rsidRDefault="002E5800">
            <w:pPr>
              <w:pStyle w:val="a3"/>
              <w:numPr>
                <w:ilvl w:val="0"/>
                <w:numId w:val="0"/>
              </w:numPr>
              <w:ind w:left="1384"/>
              <w:rPr>
                <w:lang w:val="pl-PL"/>
              </w:rPr>
            </w:pPr>
          </w:p>
          <w:p w14:paraId="2890B741" w14:textId="77777777" w:rsidR="002E5800" w:rsidRPr="008F328C" w:rsidRDefault="000E0B7C">
            <w:pPr>
              <w:pStyle w:val="a3"/>
              <w:numPr>
                <w:ilvl w:val="0"/>
                <w:numId w:val="19"/>
              </w:numPr>
              <w:rPr>
                <w:lang w:val="pl-PL"/>
              </w:rPr>
            </w:pPr>
            <w:r w:rsidRPr="008F328C">
              <w:rPr>
                <w:rFonts w:eastAsia="Times New Roman"/>
                <w:b/>
                <w:bCs/>
                <w:lang w:val="pl-PL"/>
              </w:rPr>
              <w:t>Nie</w:t>
            </w:r>
            <w:r w:rsidRPr="008F328C">
              <w:rPr>
                <w:rFonts w:eastAsia="Times New Roman"/>
                <w:lang w:val="pl-PL"/>
              </w:rPr>
              <w:t xml:space="preserve"> dotykać igły. Może to spowodować ukłucie igłą.</w:t>
            </w:r>
            <w:r w:rsidRPr="008F328C">
              <w:rPr>
                <w:rFonts w:eastAsia="Times New Roman"/>
                <w:b/>
                <w:bCs/>
                <w:lang w:val="pl-PL"/>
              </w:rPr>
              <w:t xml:space="preserve"> </w:t>
            </w:r>
          </w:p>
          <w:p w14:paraId="52D308B6" w14:textId="77777777" w:rsidR="002E5800" w:rsidRPr="008F328C" w:rsidRDefault="002E5800">
            <w:pPr>
              <w:pStyle w:val="a4"/>
              <w:rPr>
                <w:rFonts w:ascii="Times New Roman" w:hAnsi="Times New Roman" w:cs="Times New Roman"/>
                <w:lang w:val="pl-PL"/>
              </w:rPr>
            </w:pPr>
          </w:p>
          <w:p w14:paraId="05020EA1" w14:textId="259C0296" w:rsidR="002E5800" w:rsidRPr="00F90B57" w:rsidRDefault="000E0B7C" w:rsidP="00404101">
            <w:pPr>
              <w:pStyle w:val="a3"/>
              <w:numPr>
                <w:ilvl w:val="0"/>
                <w:numId w:val="19"/>
              </w:numPr>
              <w:ind w:left="4300"/>
              <w:rPr>
                <w:lang w:val="pl-PL"/>
              </w:rPr>
            </w:pPr>
            <w:r w:rsidRPr="008F328C">
              <w:rPr>
                <w:rFonts w:eastAsia="Times New Roman"/>
                <w:lang w:val="pl-PL"/>
              </w:rPr>
              <w:t>Nie nakładać ponownie osłony na ampułko-strzykawkę. Natychmiast wyrzucić osłonę do pojemnika na odpady ostre.</w:t>
            </w:r>
          </w:p>
          <w:p w14:paraId="5926AF6F" w14:textId="77777777" w:rsidR="0032285D" w:rsidRDefault="0032285D" w:rsidP="00F90B57">
            <w:pPr>
              <w:pStyle w:val="a4"/>
              <w:rPr>
                <w:lang w:val="pl-PL"/>
              </w:rPr>
            </w:pPr>
          </w:p>
          <w:p w14:paraId="6D1BFD3F" w14:textId="55EF1AA5" w:rsidR="0032285D" w:rsidRPr="008F328C" w:rsidRDefault="0032285D" w:rsidP="00404101">
            <w:pPr>
              <w:pStyle w:val="a3"/>
              <w:numPr>
                <w:ilvl w:val="0"/>
                <w:numId w:val="19"/>
              </w:numPr>
              <w:ind w:left="4300"/>
              <w:rPr>
                <w:lang w:val="pl-PL"/>
              </w:rPr>
            </w:pPr>
            <w:r w:rsidRPr="006C0E92">
              <w:rPr>
                <w:rFonts w:eastAsia="Times New Roman"/>
                <w:lang w:val="pl-PL"/>
              </w:rPr>
              <w:t>Prawidłowe jest pojawienie się kropelki roztworu na końcówce igły.</w:t>
            </w:r>
          </w:p>
          <w:p w14:paraId="3AF7E82B" w14:textId="77777777" w:rsidR="002E5800" w:rsidRPr="008F328C" w:rsidRDefault="002E5800">
            <w:pPr>
              <w:pStyle w:val="a3"/>
              <w:numPr>
                <w:ilvl w:val="0"/>
                <w:numId w:val="0"/>
              </w:numPr>
              <w:ind w:left="1384"/>
              <w:rPr>
                <w:lang w:val="pl-PL" w:eastAsia="ko-KR"/>
              </w:rPr>
            </w:pPr>
          </w:p>
        </w:tc>
      </w:tr>
      <w:tr w:rsidR="002E5800" w:rsidRPr="00A5286D" w14:paraId="56A6C0CE" w14:textId="77777777">
        <w:trPr>
          <w:trHeight w:val="6650"/>
        </w:trPr>
        <w:tc>
          <w:tcPr>
            <w:tcW w:w="9209" w:type="dxa"/>
          </w:tcPr>
          <w:p w14:paraId="35E5AD6F" w14:textId="77777777" w:rsidR="002E5800" w:rsidRPr="008F328C" w:rsidRDefault="002E5800">
            <w:pPr>
              <w:ind w:left="104"/>
              <w:rPr>
                <w:rFonts w:ascii="Times New Roman" w:eastAsia="Times New Roman" w:hAnsi="Times New Roman" w:cs="Times New Roman"/>
                <w:b/>
                <w:bCs/>
                <w:spacing w:val="-1"/>
                <w:lang w:val="pl-PL"/>
              </w:rPr>
            </w:pPr>
          </w:p>
          <w:p w14:paraId="473B408F" w14:textId="77777777" w:rsidR="002E5800" w:rsidRPr="008F328C" w:rsidRDefault="002E5800">
            <w:pPr>
              <w:ind w:left="104"/>
              <w:rPr>
                <w:rFonts w:ascii="Times New Roman" w:eastAsia="Times New Roman" w:hAnsi="Times New Roman" w:cs="Times New Roman"/>
                <w:lang w:val="pl-PL"/>
              </w:rPr>
            </w:pPr>
          </w:p>
          <w:p w14:paraId="4728817F" w14:textId="2E0CF881" w:rsidR="002E5800" w:rsidRPr="008F328C" w:rsidRDefault="00F2584C">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288" behindDoc="0" locked="0" layoutInCell="1" allowOverlap="1" wp14:anchorId="42A62F7A" wp14:editId="5B390048">
                      <wp:simplePos x="0" y="0"/>
                      <wp:positionH relativeFrom="column">
                        <wp:posOffset>131445</wp:posOffset>
                      </wp:positionH>
                      <wp:positionV relativeFrom="paragraph">
                        <wp:posOffset>79375</wp:posOffset>
                      </wp:positionV>
                      <wp:extent cx="2181225" cy="3752850"/>
                      <wp:effectExtent l="0" t="0" r="9525" b="0"/>
                      <wp:wrapSquare wrapText="bothSides"/>
                      <wp:docPr id="3903" name="그룹 3903"/>
                      <wp:cNvGraphicFramePr/>
                      <a:graphic xmlns:a="http://schemas.openxmlformats.org/drawingml/2006/main">
                        <a:graphicData uri="http://schemas.microsoft.com/office/word/2010/wordprocessingGroup">
                          <wpg:wgp>
                            <wpg:cNvGrpSpPr/>
                            <wpg:grpSpPr>
                              <a:xfrm>
                                <a:off x="0" y="0"/>
                                <a:ext cx="2181225" cy="3752850"/>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1C1FC460"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5" name="Text Box 1025"/>
                              <wps:cNvSpPr txBox="1"/>
                              <wps:spPr>
                                <a:xfrm>
                                  <a:off x="38100" y="1714501"/>
                                  <a:ext cx="2089129" cy="2590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0B31F"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2A62F7A" id="그룹 3903" o:spid="_x0000_s1070" style="position:absolute;margin-left:10.35pt;margin-top:6.25pt;width:171.75pt;height:295.5pt;z-index:251658288"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lyThFBAAA6QwAAA4AAABkcnMvZTJvRG9jLnhtbNxX227jNhB9L9B/&#10;IPS+seSsLxHiLNKkCRZId4NNin2mKcoSIpEsScfO/k6B/kJboF/U/kTPUBfHdha7mwJ56EOUITXk&#10;zByeOZSP36zrit1L60qtZlFyEEdMKqGzUi1m0c+3F6+mEXOeq4xXWslZ9CBd9Obk+++OVyaVQ13o&#10;KpOWYRPl0pWZRYX3Jh0MnChkzd2BNlLhZa5tzT2GdjHILF9h97oaDON4PFhpmxmrhXQOs+fNy+gk&#10;7J/nUvj3ee6kZ9UsQm4+PG14zuk5ODnm6cJyU5SiTYM/I4ualwpB+63Ouedsacu9repSWO107g+E&#10;rgc6z0shQw2oJol3qrm0emlCLYt0tTA9TIB2B6dnbyve3V9ac2OuLZBYmQWwCCOqZZ3bmv4jS7YO&#10;kD30kMm1ZwKTw2SaDIejiAm8O5yMhtNRC6oogPzeOlH8+IWVgy7wYCudftCkibyvLSuzWTSaREzx&#10;Gtz6+/c//vn1T4aJtpYXKG6UTEZHEdsA8+wCTSlS/LWHDGvvkL/cDFjll1ZG7Sb1V+1Rc3u3NK/A&#10;R8N9OS+r0j+E3gLzKCl1f12Ka9sMNrhPcOgb3H/7i2ECuNMKcmqWcCrpSos7x5Q+K7hayFNn0JXQ&#10;CvIebLuH4Va8eVWai7KqiIdkt5Whg3c64Alwmu4612JZS+UbubCyQpFauaI0LmI2lfVcgkX2bRYS&#10;4qnzVnpRUMAcgT8gWUr00YuQ5SYxKsGhgdh89ZPOwEO+9DqIwU4D7XHl6SYax+NpHJqobwXAaJ2/&#10;lLpmZCBdZBVC8Psr1+bXuVDmShNoyJunldqawJ40E2qgrFsTRVBjQYRdhzFGeyh/k87cFNxIZEnb&#10;bngz6nlzS/X/oNcMU0i1dSMtYn6N+ZYjNN9k2ilDL0nJ6/GYBIf673CDG087ZCfJ0WSEK4jUCc5x&#10;I07Px9Xpqsw6PhLgZ5Vl9xyXy6oovQyUBlMee30G/01VZPn1fB3UbDjtoJjr7AFIWI3jRoXOiIsS&#10;Aa+489fc4pLCJC5e/x6PvNKrWaRbK2KFtp+emid/nCneRmyFS28WuV+WnASjeqtw2nRDdobtjHln&#10;qGV9plFqErIJJhZYX3VmbnX9EffxKUXBK64EYs0i35lnvrl6cZ8LeXoanBrduVI3BmqVBFITsLfr&#10;j9yalu4e5/lOd3zi6Q7rG1+iuTOnaL6LMrQEAdugCJLTANwOVnvLvRDhk5jux0Yqe8qHyeeR/nCa&#10;QB6I8skkeT2KW93qKD+Mp0fJEHcScX44Ooqn/1FLttgcPsxkz3q/bmR8j/MMfBwfot2eEh/0Z/g0&#10;a6VruxWcf6hkI1wfZI6mCJ8e4XDpo3ATmwsBWe/iVwre5NWI9tcvbP1paZPVt0TtV4TIWvl+cV0q&#10;bUP1O5Bld13KeePfkrOte1sNjv6HaiC8fSE9CE3/GQXA9zSA3/pgfzwOh7L5hXLyLwAAAP//AwBQ&#10;SwMEFAAGAAgAAAAhADNm2XrsaAAAYGEFABQAAABkcnMvbWVkaWEvaW1hZ2UxLmVtZuxdB5gVRbY+&#10;+97u51t1RQVMBFEk5yBJV4JgwoAiJlAQA+gaUVRYFSSDZBjCkIPAMIQhzjBDTkPOYcggGUFxlV3d&#10;ZfGdv4a69vTcrpu67+3bU3xf0z1dfSuev86pc06d+gMRvcOX/HeaH778g/yLqNyNRFvuICrW6ImH&#10;iP5ArV79E/0vJxs+ER93voao1h+JXuCElb//XDwtr/sn2nbpf+hp/utoqz/5Us1lyYQz/NCJ82nC&#10;99J8fcZX26u/K0abSKYj7RRf+PYPVIyffv9O/HH1v99++430pftA04CmAU0DmgY0DWga0DSgaSCe&#10;aaDYncVJX7oPNA3Ehgas5g6Mh1Wafu+f5/TvP5CuueaP1LtXD+rTp7e+dB+ETAOJoxIFP7TCmMal&#10;f+xZ9Rfenz59RuDy8793DHk8NI71PAYa0LgMHXcqTMq0QoUK0YsvvqBxqXllWDSgcekMLhs//iTd&#10;e2/1sMbELp7Zs0c3wtW1y1f0VecvqWPHDvRp+/biatHiJcKFueP5556j55s1o2eeaeK7Hn30EZJX&#10;hQrlSV5ly5Wl0qVL+a5SpUpQ8eLFc12FeV4qdPsdyusv118n5ArI/FZXgfz5lXmgDH/lG+tYtmwZ&#10;X/3RjocfaiTa1rjxY772ij7gfniJ+wP98t6774h+Qp+h73p07yr6snfvnlEZU41LZ3DZscMXdN11&#10;15Id49itaxf64vOO9PnfO9D7779HrVq+Qo0aNaQGDerTAw/8lWrVqkn31qhOZUqXptKlSopyrehc&#10;9b5K5cokr4cfakiPPsL0y9dLLzxHLV9pIa42b75BH3/0oe/6gmX1yRMn5LoWzp9DGYtSlVfm6pW0&#10;Y+tm5bV86WJlHulp83OVPWHcGF/9UNe2bdr46o92yHbVrfuAaG+lihUs5wV//ZUv3w2in6tWrUI1&#10;at4rxqDBgw3EHAc8Y5y6fPVlRPoFjUtncHnq5Ckx1sCTmf91Zx72FY+bwNl779CzTZ+mhg0biPGt&#10;XbuWoBXg68Yb8wVFL0WLFhG/ebBBPUFz4H2gP9AI6LJPr+6CdmfNSPLR+OYN6wUeDh3IojOnjuvr&#10;ah8cyNot+kXOBymzkkXfybkI/fps0yainzGHYS70h135DmOIsaxZo4YY30Y8n7Zt8yZ1+LQ9Yb61&#10;mrc1Lp3BJdaZt99+O5VhGapOndpUvVrVoHjZbbfdxvJvtav4airw1e7D96lv3z6CPsCHQDPgM6Ah&#10;jSl3zCl7d22nVSuWUXpqNv/u3OkLat3qFYFhYLFEiRKW+L2r2F1UrWpVqle3Lj3OsjVkogH9+2p9&#10;rEN+hw82fIgKFy5MNWvWoGbNmhJkPqz3EoYMpnFjx1BGWiqtXrmSdm7bQvv27NIY8zjfPnX8qBjn&#10;9WtXU0Z6KiWOHMbzbW9eo3QQPPSRhx+i2rVrCh7c9OkmGpcO4VLqZidOnMhjMELjzuO4s1t2Udko&#10;VWmS7vRdLQtnZq6j/v37aVxqXIZEAyrsqdI0HtV4lP1z/rvvhO7n0P59IY2L3fOvzs8da9Fgx0GF&#10;PVWapDt9D4zPvv360upVKzQuNc8MmgZU2FOlaTwGxqPso1GjRtPcOSlBj0mwc6r+Lr54YCjjpcKe&#10;Kk3SnL4HxufMmbNo4sTxGpeaXwZNAyrsqdI0HgPjUfbRipWraAjbR0KZL/W33uWFwYytCnuqNElz&#10;+h4Yn/v3HRC6nxPHjmhsap4ZFA2osKdK03gMjEfZR5cvXxa43MV+IcHMlfqbvM0rMf4q7KnSJM3p&#10;e3D4TEgYRusz12pcan4ZFA2osKdK03gMDo+yn6ZMmUpLMtKDGhPNLzW/VGFPlSbpTd+Dw+fixUtp&#10;3lxtK9FzTnBzjgp7qjSNx+DwKPtpz+69NGXKZM0vtRwbFA2osKdKk/Sm78Hh89dff6HhI4YFNSaa&#10;pwTHU7zcTyrsqdI0HoPDo7GfBg0aqHGp+WVQNKDCnirNSG/6OTiMwh/vyEHtv+5lPmdX21TYU6Vp&#10;LAaHRWM/TZ8+g9bxvli7xk7n4115V4U9VZqR3vRzcBhduDCNFnAsEI0n7+LJrrFVYU+VprEYHBaN&#10;/ZSVlUWTOH6BXWOn88mN780b19OitIVx38cq7KnSjPSmn4PD6PHj32r/dYf1PvPmzqWFC+ZqXDoc&#10;H8dLmP/hh4vCT/bbI4fjnm7cyqvHjE70hL+jiieq0ryEl2i15cqVKwKXG9Zlalw6wDcRD3cw26K8&#10;sG9HhT1VWrRo2WvlDB8+guOMLtC4dACXK5YtpQXz4l+GhSyiwp4qzWt4iVZ7pk2bRpMna92PE3Jw&#10;UtI02rPTG3vpVNhTpUWLjr1WzrLlK2nY8ATNL23ml4ibPIbjZRvxvnfXDo6DvkLoZ6dNm0JjOR0+&#10;V/JsioEDB4gz7WbOTKbFixeJdemxwwdz5GHML5rPKuyp0ryGl2i15/jx44Iujh4+4IrxjyatOVUW&#10;1pMpKbNp7JhRNG3qN5SYOJJj9valr7/uTUM5fsto1gVhz8Asxl/qgnm83y5DXKkL59PsWTPYdjWB&#10;RnDsbcT5Fb8ZOkTEY0LasqvnTkQbryrsqdKiRcdeK+c///mPwGWm9vvxOy9l7d1N0IutWL5UYAd8&#10;DM8r+fyPrZs35vBjhE9jctJUPk/ga9Gn/TgeKOzDixel0Yb1mXT8WOh676w9OwUWZyQn0UjeZyB5&#10;K+7DEhI4ruEs2sTnLjmtW1JhT5XmNbxEsz1DhgwVtOMU/4i3fEHj0NdArjTiwOoZfA1nXg0bliC+&#10;H8X8cfmSJbRj+1ay+4yyg/uzCPok4BS4lHXCXACbDOylmC/s7nMV9lRp0aRjr5WVnDyDpn7zje1j&#10;aTdtRCO/7Vs2s6/FEEHv4E+QR5cxxsCT5jNWkY5nxGBBvAfIluPHjfNhGHiRvAvrSaflEJQBHg6+&#10;jPlB4hRzCmTlpUsyCFiOtO9U2FOleQ0r0WzPqlVrtN8P6302b9wgZFDwnW18dqCZlleuWJ7rnfEb&#10;rNF37tgmZNyVLOtmLFpE6WkLCDog43dOPu/bs5vWrl5Nc+fOoSmTJ1HCsKFijYo71rpYz4Yj96qw&#10;p0qLJh17ray9WfvEPBttXYKT9BlO3sAj5EErHdjKZctCwte3vJ4ElsFT586ZTVs2bQjp9+G0wd9v&#10;9u/dI3jqBI7ljTUveOrXfIYp9MWLM9KCkrVV2FOleQ0r0WzPv3/9VYwV1kP+xjWvvAOtqvz4V4SI&#10;S2O/gWdmMh8DRqF33b4tNn0t6zFp0kQfRjEXJbHdBjYcqzlJhT1VWjTp2ItlDR48xBN+nEYsWD1j&#10;/klOSqKhbH9A3PkE1tdMZRkPfASxVfzJnXiHdaZVnqG8hz8ydLqwk+Dur7xQ8gv3W6yD161ZTZMn&#10;TRBtl2tT6LDSFs7LoT9SYU+V5kWsRLNN2CPt9biVwEPy9Gk+OW44+1NAroNfhbRtgDZBp2Y9KvQ/&#10;TpyjvYPXsZKH7suK3TndaC90yPB3wFwlMQpd0swZ07UfXoz2w0D3kzJ7hi38INz528nfwbYI/A1g&#10;+34674c8enC/aCvoEfsjoWfFtXzZEtEPo8ck0hLWZUK2W7ZkMcGO6GT9jrHOCLEjlnJZq3hNemDf&#10;XkfLC9SWrD2sS2a5G/YiXCqeqEqLJm/xYlnQ/Xj5jC/sgcT6cafFGjojPWeMa+AYay6r7wPRdSTp&#10;kC9h3wBv37F1S0zxKduhwp4qzYtYiWaboPuBLl2Og9fu8EWdMSPJsn1rVq3MlYZ1H3jF4oxFudKi&#10;1T/gn3NSZrIMvSNmdUBbVdhTpUWThr1a1lD2H4kWvUW7HOh4IJNalbtcoWuFXRO8K1Z2JOhIM9JS&#10;BT4PZO22bINV2+x4r8KeKs2rWIlmuyZNmsT2dHfITXbQkjEPyAJW9kesMf3xS+PvgcklzDed8HEz&#10;lqN6Psn8e82qVUI/t37dWsLfqu/tTFNhT5UWTfr1almzZqXQksU511l2jm0s84KOFTY7f3Uw+s75&#10;Sze+W808N2XWbJ+vnTHNiWezXliWgX2dqDd0M/Kdk3cV9lRpXsVKNNu1bt16MdZOjm+s8k7jmAyw&#10;hZjpHPaPzezvGkq9oJvFfnKnY2LDtoh6q+oGXAKfTq8/VdhTpUWTfr1a1tGjRyiR9/2p6MCtaZAv&#10;YaOXe7Dg3yr9x1Fn6DVhk4MtDn9jnQZswTYSTptgC4Vv3ZED2faWcPKw+g30TfBvhc7H6hvje7QT&#10;+IWdyzzvGL+L5FmFPVWaV7ESzXZduHBB2BLC2ScYyZiH+1usr6AvHTx4kOCFsE/igv+O9BOAjXzC&#10;+HHCX3vkiBECm/DtAZ/B78MtG78T9oyre5phf4wkL/lb8GL46YWj38G4wfYJG4vd+FRhT5UWTfr1&#10;almXL/9X0C328Eo6cfMdeyMkDzTrSmGXx75/7O+HLtW4Bwp2TOyPsqtt0JeCD+/cFpnODHwSmIy0&#10;XphvwD/Bz638XUMtQ4U9VZpXsRLtdg0cNEjsPQh13KL9PXgVsAZfOiv/0r27snUjqBtwCz6SMHSo&#10;wPJ0jolld53hNwSbSrj5Qp9kJ58Dz8V8sSWCOsm2qLCnSos2/Xq1vMm8Pxo+knI83HoH/YNXZqSn&#10;KeuKvVXwwZbtAJ6hJxnGdhOsEeV7u+7wQcCZL1ZzhVU50PEgNolVeiTv4W8/d05KRJhXYU+V5lWc&#10;RLtdS5YsE/ssIqGDaPwW+h3gctP6dQFpefWqFbSHeaexXuCf0MU64WcHGRq2zmDjZUOvC5nTWD+7&#10;n7H+he0TuiTgH3tqMEcFW44Ke6q0aNOvV8uT8fEO7Xf3uZigLeAymDgdO7dvs5Qvofd0ar8yeDrw&#10;FogvY53shF7XCnNYf0KHADkC9RMXxwXC3bxOl3mosKdK8ypOot2ueImPh33FwCX0sZJ2rO7z581R&#10;xqIDNhH/w+r3kbyX9hjVujMe9Gwq7KnSok2/Xi4P8fHi4WwExEROGDpEiSfIr8HoOIPha5HgE3tb&#10;7dpXHUk9wv2tCnuqNC/jJNptmzlzdlycjQA+B565euVyS2zCdyCYdRTWX9DR2qkPNWMA602n8W8u&#10;066/VdhTpUWbdr1c3urVa0V8frvG1Il8gB/wH9gicWGNZsQU1lDAbSjng8AuL+I2c3zWUPWpwbYR&#10;Op7s+OrpOeob7O9j9Z0Ke6o0L+Mk2m07d+6c4EO7XXLmDTAiY7FCvkbc5IED+4v9lFibwccHtkzY&#10;P2Cvw34uxDcOd88/fG7A15zCJrAFHg69i2rvWaww6K9cFfZUadGmXS+Xd+W/2X4/0Kv7G6NovYNt&#10;UsY8HzxkECGuImwb2ONkxAx8WoBNrDe3s88NdEKIoxpJPaGvSUqa4jhPg2yL+D7h+N1F0r5Qf6vC&#10;nirNyziJRdvGjh3LPCMlItoOdezN30PmQ+xT83t/f8NPHTG0cIW6P8RffngH+8Z0Xp86YeM0lol5&#10;JdtmkcJ2Cnv8bI352/Gswp4qLRa06+UyU1MXiXOn7BjTaOUBv7txfCYBdEHwubOjXPBlxGaGnwDW&#10;rHbkaZUHMAl/iaXsC79xwzrHy7Oqh7/3Kuyp0ryMkVi0bfPmrUKf4jQt+qOBSN9hbQlsItZWpHnJ&#10;32OtinMN5N9O3+GPA/nWLbYVFfZUabGgXS+X+fPPPwvadjo+o1P0Df0PsAldkHEtGkl5WAsGijcS&#10;Sf7+fot9o2gLzvCyqx3+ygn0ToU9VZqXMRKrtvXltdrGONnzZaYr6DulTIv9XsHYMM15+Psb8my0&#10;sYl6YN835phYlI3yVdhTpcWKdr1c7qhRo0WMJ3/0GQ/vwF9gj0QsZ5yZY5dOxRff48S3UZNrZX/v&#10;4jU09pTCf0jElo1SHVTYU6V5GR+xahvOxcQZGpIm4vUOGwTsLLCj7LLJDxY6Jrt0S+H26+aN68Ua&#10;dNeOnHtlws1P9TsV9lRpsaJdL5eblpbumRjsW1gOhF8Q7CgbgtgbpqJRmQafAKf2osgyAt2hl8Oe&#10;T+iIVL7xgfIJlK7CnirNy/iIVdtOnzoVF3sxA9GUTAeGgEvg0y4axhnSsVrzyXbhDpldnO/OOiIn&#10;zk5QYU+VFiva9XK5Fy9eFDQcSz2gkfbseIb8CZkWF57tyBO2DOw3c0s/bXXg/FsV9lRpXsZHrNp2&#10;5coVYWuwi7fYgQE78oD+ZyLraOXZXnboarGGhY4JZ6TbUUe35aHCniotVrTr9XLjZS9mqHQM3pZ0&#10;9SxaxMy1S1cLXQzOAcM91Dq5+XsV9lRpXsdHrNqXmpqqPNvczbQUTN3gEwT/g/EcY9ZOORRrPew9&#10;s4MXB9MOp79RYU+VFiu69Xq5WVlZNJjtC06PeyzzX8FneUEXBD8Eu+Ktoj3YDzpn9kwRL8G4NzSW&#10;bQ23bBX2VGlex0es2vfjjz/GtT9esHQIvybYN6EPEj6pNtrrISNnx6LLEHHC7JKZg22bHd+psKdK&#10;ixXder/cKwR/PPiY2DG+bs4DMelwfi3kWsQ6cKKu8H9PnT/PcXuj3XVXYU+V5n18/EaxauOYMWME&#10;Hdk91m7MD2tM+KHavR/F3FaUgzP74A8QyzM1zfWy+luFPVVarGjWrnJxNsiF8xfEdfjwUdq/74C4&#10;Nm7aQhs2bKLMzHWsh18qrvT0xYSzKgNd8+YvFN+vWrWG9uzeS5f+eSksbCOfeD3ny4rOAr2fkTxN&#10;YBPnZgaK/xooL1U6/HWw53IG+wPAr8+t++pU2FOl2YWPYPL56aef6MyZs3To0GEffr799lvxN+h/&#10;y9Zt2deWbbRmTSYtX7aCz3tdSkuWLKX09HRatCiN74uE7zH2JyAOE9Y0OGMKF9Y6sBliHoXvIy7s&#10;t0KsZXmpxlqmYR1zcF8W77ffJvLEWTLJycl8HtscUa/vf/ghKJzKvZhWMX9lefFwz0hPDep8H+AD&#10;/m0DBvQTPk84J+uMjWtOf30FGyj0uMs4JjriFrlJl6vCniotGDyF8s2//vWLwBxiwy1YkErTmZ6n&#10;TJnKsQyTaBrbvXC+BeZSrENwxjJwBZsy8JS1d7fv8tf/sX6H8c5cs0qspXB2O3CHeM5W/fPvX38V&#10;vCOY2OaxbptV+ZAb2775Os1NmRnSuhF6VMT5glyL/dZW+dv9HnMxZFyrs+ftLk+V3+mTx2Kyzwsy&#10;5MGDhwjy3syZs9guPFWc8Qm8AWtSd44zeaH3xjzqpGyj6iO70zCPwA4+ZMgQwhxkhU34F9i5/9/u&#10;dgTKD7aeMaPCO3MX81jiqMSr2Eyx1c4ZqN4YH+yLjiW9QR+m4omqNCt6snp/5vTpqzicSVOnTqHF&#10;LFtCdpAYNPYX5lrE0occ6CbZwljHSJ/BF5KmJ/G5dSPEehY+eMa+mz49OW73liAO19/ebhMRrwMu&#10;EHMPfHP4iGG0aePGiPILZbwg30JOAx2G8ju7vt3DZ4WqsKdKM9KQ+Rk0dvToMcEPZjA/HD9hnIgP&#10;uj5zbVA4S1+Uatu+Pbv6yol8MDfDf2xUYiLzz6GUuW69D5uZmetFzFYnynUyT+y3rF+vblBrSlU9&#10;tm3ZxGv8HWI/qjyLGmuYaGEF4yLWuOyvoKqnE2koW4U9VZoZi/gb6yLoMeGjnMz6NdjgMPeEWvdw&#10;4wOHWk6svzfaKDPXrGFsDqZly5YLbJ48eVLwipRZyYR5atXK5ULGRyzJWNfbqvylvA7BmjLSuJWQ&#10;fwsUyE/vvfs30VbIFohti/6BLwLw6cTeKnO7UjjWtPmd039j3sF5uyrsqdKMuISPCvb0IgZqsGcQ&#10;Ot0+N+YP3e72LZuFDghracTBSWFdA2Inw7cTsj3kJ3lN5FgcI0aOEHsYIc/JK5H1IpDx3TR/rV+7&#10;mp5p0oSOHtwfES13+ORjuuaaP4rLvD7FuQnz588VPnzoC+gBnfS3i4UvPPTDkKNU2FOlSVxu2bKV&#10;RvMaHfYGN2Ih2nXCfAc7CfzAsEcQmEuZPUPocGCfgV4W2ARGYRsItn74HvlMZd00ziQAXcLH1Hg2&#10;c7B5OfHdm6+3Dks2MtbFiEk8G9Pk8zrGP9oP3SnaDxl31szpHO99h9/v5e/i4Q5dC3wsUFcV9sxp&#10;sCPu2LGL7YEZwoYxZuxoIVNES+Z3Y98CgzizFbIVMAgdKuJd4GyAUHAXTNtmMy7xHfobsahwTgHw&#10;if1T0R6Ddh++T1UqV6Jnnn6SXm7RnMZxXYJpg9U34I2ST1phEjI8MCnjkuzkPpZ9AIwudNFeaat2&#10;Wr2H7DNlymQf/zdjT/JB3JGWlbWP5syZJ2xvE3hvDuQtxKY+uD8ronGwqp9b30MvDL+D5cuWCFs0&#10;YoIDf5A5gj07INK2zZ2T24cU607wjHHjxto+D/ir71HGRovmL1LDhg0omWXut9q+Rddffx33xbKw&#10;6QGYzJfvBrGmNMuuxjrM4nnJny4GMetS+Uwguf70xd5x2C/BWLdQnzFnA0fwaYCeAfoFyOkyn0C4&#10;hM4h0jNhZFnxdAf/gS01LXU+y0zJQiaNtV+lP1yiTzGu4JvROHfotdYt6Z57igv7VgbLTYd5Pdnk&#10;qSeoV6/uPpoKZZyl7Ao9jyp2Lmx643nuUeUNWoetG7oh9Af4jz87nCqPaKUJ3RXHeLcqLxAurX7n&#10;xffgibCpws8EMinWgrG0L5v7OCUlxe844nw+0CF0Qebf2Pl35y87Clmz1SsthD0R5Z46fowqVijP&#10;/ljqc6T91UNiEvKrik/it9BRIoarv3zM7zBmUj8EuRdYjTc7uMblcSGLYv7C5TY/SSPNLc5I860/&#10;jO+dxuVJxt5rrV+l6667lkYOH8b+3otp0IABdP7cGWrUqBEVKVqYZapdQWFG1juY9aT8FnfooHeG&#10;GIt2E8uJCUOHijkLPBT4NMqKxvzd9pwXcbmH1yNYl8EXEjob6EeD1dHgvFacZxOL+RdlprMfOPT3&#10;qAd8OtGOhGHZfjHwXYOPH/S2oEHI3ZHqg2B/fuSRh+ixRx+mTRwHFnLr4ozFzB8T6I7bbhO4hA9A&#10;KHQd7HpS5gkZFufghuPHjvZDB4A1J7CJNShsoeHY1WV9onHPK7jM1g1grci+yYzFYHHobwxgM0ue&#10;Pi0m2ER90JblPKeMHDFC+Kphb/HUb74Rds/JkycyDfcVPAKyLfATKi+Db2v+/PlZD1OAbr/1VmrV&#10;8mX64cJ52peFM7YyxHOD+vWpR7cuIeERdZeya6D1pLHfsc4fMzox5LKMeeAZGIXOFv2CC3OYk/ZP&#10;c/mh/B3vuES/zp49ixYtnC/whjHEtXb1KuEnA9sC0qEbsXOtiPl2Oe9pCaWv7fgW7cX5tVgDm212&#10;kANmsY4K78FjoDuHrhY0HSzfXMqxHwsXLkRjxySK3z76yMO0jv0nDx88SAsXLhSYnDJ5EpUtWyZk&#10;/iUxGcx60thX4PvQ/RrfRfKMM/VwfgqwOXToEEdt7+DVgeoK2RoyG/T70LNC1ol3XMo2Q8bDOkvi&#10;EvZDp3Vx0EM4XYaxfRgv+Cr4KxN+qdBVmeUAxDwHNjHeMi+rO3x2ChW6g/r06inwBx6Jq9tXnWje&#10;vHn0/flzYn8peOhw3ndnlY+/96GuJ/3lYfc7rAekbzz8quBrE+z8FUxdQJMYE/O3sDFiTzZ8CEay&#10;Tz5sr5KH44551Cu4NLc9Gn9/y/Mc5GIzFuwsG/Mt4hev5D32qjVROusrrXQakN0g26pktuSkKXTr&#10;LbfQe++8K/Q5EpO4nz5xnAbyfuXkpKlU49572ZfgqZBk+FDXk3b2X6C8Thw7KmQr2FRwZgNwgvWn&#10;HeeQprIMJ/JhOyp4/oL5c1gOGSVwmMDzmvDDnD1D6Jmxp2PH1s0s6+wW46hxGdl+AchE4GOBxj/U&#10;dPg1Yv0TrH82bJdW9lWMN+ZhrKv91SOdbbTQtfbq0S0HnzRiE8+dO31B1137ZwrFd17KrqGsJ/3V&#10;MRrvIIdgHSB5F3yJgu1/c/2wpgAuMa+OZiwiT8gtM2YkEdLM35v/1riMDJfoz1m8j9bcr+H+Dd0+&#10;9uWG6m+M9SRsfP7Khd4WdIG4NuZ08PratWvRx+0+VGISuDzEvj5YG2akBWcnlZgMdT1prmO0/0Z/&#10;QTYAjtBviJdhNedZ1Q26OCkj4/yHVJ77/K0/rH6vcRk5LuF/gHWtVR8H8x7jHun5xFZnZ8LfC/QF&#10;26y5Lm3btKEG9evRxe+/C4hL2A+DxaUb15Pmtgf6G3I/9O7oO1ywoQaK7YLfQCbG98A1bFaq9YNV&#10;HTQuI8cl9Lzh7OuAjgF8EfwROodIbaLIC3O9eazhL4G1kzn/zzt+JuRXrG3MMqv5b7SxdOmSwlfd&#10;nI+5PPjTQW4FhsEzzenx9vce1idCj4A+BN6wBoVsAnsV2oK9bdClgq8Ci9DjYEzDwaPsG7fgEmNt&#10;py5Mti9ad9gkgi1rJ69Jhb8y21nsOk9Zlg29q5EewONgk8ceM/kN+rr1q68I22Q6++6ZMWj+e8e2&#10;bYzJ0tT06SYBbaHgk8Ak/NDxLMu0up8/e1rQOeJyfn/+bI7vMRcgBle3rl2oT++eYg777szpHN9Y&#10;5evEe/QbZCPs+Ze+HJKXDhw4QPjvYk0Zqr3YX13dgkusfeDD4q+OXnkHfgZZNdS1YyjtB+1gboce&#10;HjoHYBJn9Bjz6PDpJ1S0SBERp8OMQfPf3393lurVrUvvvP1WQHtlOOtJ4LJatSpUtUoVunjhnK+e&#10;KLdK5cqC5z7YoB7VqlVD8PZRjN9z/Btje2L1jHkDsRixN9buOrgFl9uv7uO3u32xzg84wZwDu3ik&#10;a9BQ2gLbKuZyyFTQx8pYnoifW6dObXHmshmD/v5uz/qg++67j2Vg9R7uYNaT58+dFnuboDuWF+Yo&#10;+CiUYX68jnkRdCPnz56inj27C0zCh+IfHA/jX//8mV54/jmBTciVofRFPH7rFlxChsU6KB770F+d&#10;gUf40c7h+KnbGBf+vnHqHWRj+IJK3YOUtcx3xFCGLQBrowvfncslz/bs0VXYRdID6F+DXU9K3oh1&#10;p9UFX6IL350RtvWPP2qXg4dCx4nfde70JcVSnnVq3Iz5ugWXqBPWaPEcYxw2YehvEHMaPvHGdZ6x&#10;z518hg85dA/QUSA+0Ly5KcK+Cr9EyLbYPw17K+qItdD0pGkCw7BzY28ueOa5s2eobZs3hZ8B4n6p&#10;6hvKehJ4g//7X3gfdbcuncS6sUf3rlSkcBEqXKgQ4XmjT699QvDNc6d/18thHxtw2azpM/QD+x6p&#10;6hXvaW7CJfw6sZcpnvoUdkP4yWJNZ7cfV6j9gNgi0PvALmK2lUFeRB2xJjLni7kQfijgp/Bl7Nql&#10;MxW6/Q7auklt+wlnPXnk4AEqyP7wmDNQD8lDjetLYPHSzz8J/TH2kmXX9wTHEBkgcPn1133o7JkT&#10;udphblc8/+0mXKIfZdwhN/ep5IvwfcQcbvYfj3bdgTWsATAv+Csb+h/I1P7S5Dus2YBL2ADg/xoo&#10;9kEw60mZt/GOtSPmgGpVq9KPP1zwi8szp06Ic0rgg9Sxw6cidgj6Gr67t/PeshO85pF5AsPQF/2O&#10;39/5q/wmHu9uwyXOQgvGTymafQ15FHQ6l+OJgufAXxV+8dGsg1VZO7dtYX+jZGXMSsivVr83vsfe&#10;/g6MA6wrje/Nz8GuJ82/k39fZFn5gQf+Sgl8FgQw5U8fi5idkFkrVaoo7nguWrSI6Pdzp0+K+kEu&#10;BsZhv2nbtg2vgQ4o6y3Lj4e723AJ/Q/WPrHoO/h9Q3e5ZtVKoUNdybG1wIMQE1f6H8eiXv7KhP8A&#10;ZP5A/if4LdrjLw/zO+iKICta+b/j+1DWk+b8jX9DX5z/5pt4jbvALy6xxr32z38W8hPs9lg3n+d3&#10;xjywF+2VFi3EnAkfmxbNmwv+a/wmXp/dhkv0ozEOuZP9ijkA/m/Yi4F9mrhD5oMu1clyI8kbe0rA&#10;H6180P3lDR8Gf++N7yCbQ46FPGB8b3wOZz1p/L3xGevDvmzDATZxGdeX+A4+BqVLlaQPPniffvz+&#10;vOCr4K3ZMmu2/fLdd94h7OkR3zPvBEYv/fQPy/oby3f7sxtxCR9+p2zvcm0I+sOaDP4bZh2JG8cM&#10;sjT2QmPuwHwSSh2xzzCQrQb7K4FLfz60KMuISTyHUr7Vt/+4+D3Vua+OkFPNuISMiliYWE8+8dij&#10;OS6sP5EnbJwDB/Qn5IP1ZWP+7gf2R7AqL57euxGX6D8rH+xI+hb+b1hrSb/GSPKK1m8hU8r4BOHa&#10;XcD/sTa2qjPkRPgFIUaVP8yHq+OxKs/4Hvpf6HfMuMQ3rTnWF9aV5kv6OMDPpkSJ4sIXCDwX++KM&#10;ecfzs1txqaKjeO7vUOoOPS/4erh4NJYFbFvlgxgI4JWwsxh/g+dIdTzm/Mx/Qz8L/8stvH74nnmk&#10;MR3neUm/IOMde1+yvzsh9sHALnTk0EFeW57K8XtjXvH2rHHpPr06fBKh04Fu+mSIMqsV/cFGCR8D&#10;6LWQP3RBsPHAhwa+euZYReCb/ft9LXzQb8yXLygfdKuy9fvQacyNuMS5AqHoNbw07lg/wjfHiTYB&#10;a9BzId7kDN5XCDziwhrbWB6+w34TKT8ixogxXT+HjrNQ+8yNuATt4DyeUNsSz99D9wSZFW13sh3Q&#10;52LvFORWxLfwZyvGvkxgEueO9GfcOlkfnbd/jLsRl+AX/vQPXh1D2Gbg5+TkeZbQ/ci4lYhrYSWP&#10;fMNnSiKGD3D5eYdP2E8oNe6uUONMu5Gu3IhLf2c2ubHvIq0T1nkZaWmOnuUr9rVwfDf4C/RguwLO&#10;ct2ftScXD4ROqOXLzX2YlDJsPN4//ujDXO2LdKyi/XuNS/9yhJPjAFsi9n/503/aWS58leDD05v3&#10;+r/04os0juVWq/zhezB54gRPXKtXBuffZNUXbnjvRlzC/80NfWNnHSCXQw6AvIp90k76FIEPj0pM&#10;FGtIYBLx7nAWl53t0Xk5O59rXDrXv7BNYB03d84sERcNsWadpmfE/4JOp0+fnjSB44cgNgH2PDpd&#10;rs7fXjrSuIy8P4G/7byvA/qqFVfPCMMdf9sRtzsQzWNtCPsKzgjq07s37y/uRn2/7s18sibVrFlD&#10;2CwD5aHTI6cDO/vQjbgEPfvbv2tnu8PNC/In5MQli9P57IkUvmaLfV/wK1Xtwwi3vEC/w74M2CDB&#10;I3t17sR7mr+iYUMG0S23FBS4tPLxCZSvTo8tTt2IS/hfwdfFDbQB2wV8wOAzDvsi5ETY4RHHKpb1&#10;QwyfCbznH3js3akT9XjzTer09js0n+cJ7FMscU/xmO/XjmX/xHvZbsQl+hQ+yLGyYWJvozjLnfd+&#10;gS+CPzqppwmFhrD3FzH6fTyS49V1f/EF6sl7ng7x+ZQdPvtExADZHuJZsaHUQX/rPC91Ky737toe&#10;0rk5dtAKZGd51nIsZNJAbcB+LcTHkjyy67vvCUyCV+5h/yjosYsWKST4e6C8dLrz2Iqkj92KS7QJ&#10;/HL9urVi/ea0/gT7a7GHBXueIulPu38L/ohz33A2BmKO9/rsU+rGOOzS+jWByX7vvkPwJx7Pce4K&#10;FijIZ7eNc1X97e6PvJKfm3EpxwD4xN4Hqz278rtI7jijw0k/uHDqhjU2/AKETofPhu0OLPKefInJ&#10;bi1b0lb2Qe/HcSnhOzcqcbjGJM/n4fS1234TD7iUfeakjhZ2DllOrO/Y74Hzi4W82q0rdXv7berW&#10;qpXgj11ee13cu7d4mVI4pg30sdhX3KNbF9fUP9b954Xy7cQl9o/DBxu2dPi0QGeCWN14xgWeBPqH&#10;3OWFvrO7DZh3kqYnCTx+zfbHgf36Ufc3fpdZu/Jz9xYviat/t24iNki1alXps/b2xPWwuz06v/B5&#10;t124BN6wt30nx288uC9LnKWCmMerV60gxNpHzH3M//JCPPDhHKsUZ5NhDzDiLdq1Bzie6AH6Jayh&#10;cc4i9nn0+rozfdK+HS1iu8z4Xv2ox+uMRda3Cj7JMiz45DReS44ePUqcqd7mzTcCnucTT/2h65qN&#10;ZbtwaexP2BQQax/xYiQO17CvAK7ffvuNjh//Vjzjb5mOO7A6efJEEVPCmJ8XnxF/Fr6y8kzi3r27&#10;0fsftaahM4vRE080oLljJ1LPd98XmPyKsdf9ReaTjM9ZbLPcvWsn1av3ID3ycCPX2G+8OEaxbJOd&#10;uIR+JiMtVcRwknhLYR0nsKi69rP8O5X5pvwN7oj7DTkYPDeW/WNn2ZDxEU9sMPvjZLe1Jw0Y9gkN&#10;mXI/jZx3A/UdX4pebVufmj31MH3WMns92a1162zZlTHZ++OPOXbxYdbNjqX69R+k+RzPz8766bzC&#10;lzvt7js7cLkva5eI+Sh1h6A54OzUqZNKPPrDKngo9tFLjIKfIJ6kW+z6ofT/kYP7RFxo+Ehg/6Ov&#10;TYM60aCxzWj4rMI0csG1Oa6+E4pRpcrl6a3GjYXMKnDJmOzBfgOnWM4YN24SNXm6KfvbdeHzUZM0&#10;Lj2ifzXTVbi4hK+cPB9K0ht446ZNm0PGoj98Xrr0Mx3kM2aQJ/LH2gtyH3xvjG0I5Zxm4+/sfsa8&#10;Abs/7Dk4IwtrZ+huUHfMM2hHUz6H6tkWlWj4nHw5sGjGZr/Jxemhx8tSvWrV6L0mT9KzDepzzICF&#10;bKOcSC+82Jz27tnD5+5M5HI0Lu0eR7fkFyouEW95+HDet8D0JmlOrhv94cuOdz9xDO1pzHNkmfBR&#10;lf0Hn1X5HO07dDbQPU+aNNG3TpR1hLxg7pfz578T8TnqP1SS5dbrldgcMf9aatu+JL3apgF1T6hJ&#10;7T/9gNp9+DG1ePllMe8tXrxU49KjvBJ0HAwuscaDztSIR390ZwcGVXmcPHnSh83ZM2cI2Rb7m6Lp&#10;o4N47YjpiPMw+jMPlzjEHTiETkvVhlmzUgQ2m71cRolLyUPfal+Z+evN4uo3vg6VLlNG49LDeJS8&#10;JRAu4S8qdYagPchjwIeK9pxOk+tP7DfEGUOQH2V7nLgDi9BByThyoWLR3B/t2n0qsPlBp6IBsZkw&#10;8xZq8/69vu/KVbiDNm/eyr6JS4UM4UR7dZ6x1/8EwqXEItZ6P//0U0zxKOn78uXLtH179nmN2Fdh&#10;Z/x7+KMiViTkA/DEoUMG+3gi5FXMSwdYfoBsLesTzr39Jx2oQP6bqdfYu3yYkzzSfO86sgh91LkS&#10;dR5Ylh57Nj998UVnWr5ilYjJrDEUeww5MQaBcBkOzUXzN5CnMXcgZkY4NpVsfc0Gmj9vDg1L+H3d&#10;LHkiZFPzOtGO9v3yyy/0eIOG9Ey9OvRpL15vmvSy/v7uPqIEvf1RLfq//7uGFi5M1bj0sDwb77gE&#10;RuBPBBzhXFXEdVPt24SvG+yIqaw7ShyVmENGN2Ixi/cy2oE/f3kAk62av0LPVq9Ir1cuSRVKlqS3&#10;PisdFDbbdapGNe+/m8+MrE5j2efHibla5xl7HuwFXIL2Z86a6ZM3IXvC32jThvXCJxdrwyS2XQwz&#10;6JElBnF3iif6wyTevdHyNXqiVk2ByfvKlqHWVUrR/aVKUJnyhdjfp6ASn+273kP9JpRjGfgmPqug&#10;pcalR3mmV3AJer948aLP79uIO/Nz5tq1rDvZ5Bg/tMLjuXPf0eOPPE61y5ZlTJagJ6tWYEyWpubV&#10;y4k9IYihXKHqLZSQYo1N4PbdT2vTJz3KCt3RIoPNSPO52PM5u8bAS7g04uEE2ysO89lruI5/e0xg&#10;1phu5/O6zPX02cef0YfvtmPbyUA6cvioX8w3a/ocPVypPL1e6R569t4q1KJaWXq0XEneO3ktPfdc&#10;Mzp96hS1YL/0/AXzUcu/3UHDZ+f3yzs79ilBX/QrRx91LUJVq1YWPv920YPOxx3Y9iou7cSdKq8O&#10;n31Orasz/6tYXFytq5ahhqXupiZPPkP79u334bNL5270UGVeT/J3z9SpRc2rlaEnypcQPK9uvXq+&#10;71DWsIRh4n2RYrdQv2/u9IvN9/9emboNK0uv/O02EWcLZ+5qTLkDU3aMg8al2qdehcnt23ZQLdbZ&#10;SEzmuFcqTveVuofPPH6dz5EcSPVr1aLWrONpXKUiPc+yK9aUN/zlejJjUpYHTEOuLVwsPw34prhf&#10;bLb9oD4Nmlqcqte6i0qXLkX79+zS2PTIelPjMnxcjho9jhrVqeMfl8wXHylbkgrefDM99kBdalW1&#10;NDWrVJqaVMjG5K035acyrPOROLS6V6pUSeh42nWukgub8AN6q10V1hXdTsWKF6DHGz+qcalxGZCm&#10;rGjNK++x36r4nXfSixVz88wm5YozJvNT49q16ZVKJen5CiXoqfKlxL1AvhsFJr87dy5gH/77119p&#10;xPARgneWr3wHfTko5x6U3uOL0XsdalHHnrXFN144M8cOOTDe89D8Mnx+uX37DsEPa5erkItnvlqj&#10;Il1/3XXU8t4KQt/6GMuvr7D8ilg8VrJroPnqkUcfE9hr9kqJXDrbN95rINJ279DrzHjHJOqvcRk+&#10;Lq9cuUI33piPqpYsJfSqvvUlryMhp1a6uxi9VL2y0PO8zuvNkoVuE7rX/AXyB+STVhiVOqGCBfPT&#10;G+2K0Yi5N1D3kXfRTTfdSB05prMXaFK3QePSiv6Dfd+pU1e6+cabqEGNGvQq41Fi88HyZQS/BM98&#10;ldeW9cuVEbhszraRG264nhYvWR42Nnft2k0vvPA8rzvzU/F7Cgs++VabNzUmPbK21PwyfF4pcXvl&#10;v/+lho0epqK33kr1rvoLSGzCTlmtaGH6C2PzVl5rtmJfAqQ9Va4EFShYgH3fw98HkJ6ewfvEp4lz&#10;ZOFboPI91Pwn/uwnWo6NHJvwd4U8W/7OolSl+N3sy1PKxzeBw8crwb/nd16Kd9XvLMzx0/uFzTNn&#10;z54rYiNozMUf5oIZM43LyHEJ3nno4CEhTzaqXIWq3H23kF19fJNxaH5udW95uu2228LGJfZXI2ZJ&#10;MGOsv4k/7Gpc2oNLYFPaMx6oWJHqlCtHzcsz7/SDSfkOtk0pD4d617iMP6yFMj9qXNqHS2CrM/vb&#10;/fnP11CJ22+jv1aoSC9cXVNKLBrvd7JOdd68BWFhc/r0ZBHDPpSx1t/GD5Y1Lu3FJbB56dIlql69&#10;Ot18Qz4qV7QoPVy1CjVmn4KWbL+UuMTzDddfT/CvD5VX4nvEw8PZEhpr8YO1UMZK49J+XEqczZ0z&#10;R6w54edahnVClUqVpjq8/qzDe5qvueZPQfnhybzMd+AS51aHMtb62/jBsMalc7iUWOrRo7vw8QE+&#10;jRfiwMpvQr2PGJEo9n1rrMUP1kIZK41L53EZKuaC+T6B94IhHkMoY62/jR8Ma1zGJy4H8nm1WXt3&#10;a1x6yMfHOG9qXMYnLhEbRZ8jGj/8z4i5YJ41LuMPl//61y8ixlgw46u/iU/salzGHy4vnL+gcelR&#10;+VXOoxqX8YfL48eP0xCOxSnHUN/jkyeqxk3jMv5wuX/fAUocOULj0sM8U+My/nC5bOly6tjhU7HH&#10;a/LECfrusT4YnjA0YLyCr77qRvpyVx88+dTTOfwTjL4K+jmn70a89kcgfhmv7dL19gZ95tVx1LjU&#10;9JtXad/N7da41Lh0M33m1bppXGpc5lXad3O7NS41Lt1Mn3m1bhqX8YfLkiU5dvuTT1L7jz+iDp9+&#10;Is7BrF27lu+sPjMtN2zYgHBV5jMVzGn4G2ebyG/q1a3r9xt/v9PvnKMdjUvn+tYJuh05Ypjlns0T&#10;x49Rnfvq5MKV3Dc2d+7cXGmI/3761Alfnv36fp3rGyfaofNU053Gpbp/3EQ/g3lvl8SY1f3o0SNU&#10;sECBHNiS3/rDJXAo04/xGff5b74px2/d1P68VBeNy/jAZdOnn/bhBzgalZhI999fh+4pcQ998N57&#10;9P333/nSp02ZkgNbEndmXNaqXZP+85/Lvt893jj7/JO8RP9ubavGpftxCVkTvAz4usw4eq5Z0xy4&#10;A20V4bju+7P2Zn9z+b90333Z53shzR8uK1YoT2fPnvaldfmqU6483UqzeaFeGpfux+WDDX4/T3rz&#10;xk2W+GnRvLkPZwnDEnzfmXFZ7K47xZnx5vd5gd7jpY0al+7HZauWL/vwNm7cOB/ezDRWqVJF33fp&#10;aam+7yT+EBMT78+fO+v77tzZs1SiRPZ58ub89N+xow2Ny9j1fbB0/+Ybb/hwNIL3d6l+JzG4kWNy&#10;ye/kO6s7cKrtI+6iA41Ld42HxJLx3vylF324HDduvA9vxm/wXJzPLJLYy0hP930n30FXC1zLa8LE&#10;8fSPH/8hfvMrn0v91BOP+35jzlv/HV060biMbn+HQ9817q3uw9vePbstsfNa61a+7zp3+tL3ncSl&#10;WR+Lutx/332+36xcsdz3m3DqqX9jHy1pXNrXl07S5ZFDBwV+LrOuFfYNc1nQ2R4+uN+Hsbp1H/B9&#10;o8IlfifTjbKvOX/9d3TpROMyuv0dLn1//FE7H35gq4Q9U+ZVpnRpWsxyq8TXusy1vjR8I9+b+eWd&#10;d95JUyZP8qUvSluY43cyf32PPo1oXEa/z8OlcyP2gLUfL35PB/bv8+EK7y7xGdQlShTPgS+Jy0D3&#10;5557Nsfvwq2n/l3kNKVxGXkfRosOb8yXT8TB++Wfl3JgEXj7978vU+baNfTAA3/Nha1AeDx88AC9&#10;9lrrXL+LVrt0OblpUOMyd5+4nU6wJny4UUOC/QRX06eb5PKJNbahWrUqZHVpf1h3jr/GpTvHxYgr&#10;/Zz3xkjjMu+Nuca5+8dc49L9Y6RxlPfGSOMy7425xrn7x1zj0v1jpHGU98ZI4zLvjbnGufvHPBAu&#10;+/btTfrSfaBpILo0EAiXqrPAdJr3znfTY+qOMdW4dMc4aDzocTDSgMalpgcjPehnd9CDxqU7xkHj&#10;QY+DkQY0LjU9GOlBP7uDHjQu3TEOGg96HIw0oHGp6cFID/rZHfSgcemOcdB40ONgpAGNS00PRnrQ&#10;z+6gB41Ld4yDxoMeByMNaFxqejDSg352Bz1oXLpjHDQe9DgYaUDjUtODkR70szvoQePSHeOg8aDH&#10;wUgDGpeaHoz0oJ/dQQ8al+4YB40HPQ5GGtC41PRgpAf97A560Lh0xzjkBTzs37uHsvbupk18Nqfx&#10;2rtrB506fpTyQh8E20aNS41Lf7QiMQQc4Tpx7EhQuPn2yGHavHEDLc5Io6nffENjRieKsxv69OlN&#10;qqt//340aeJEPs96IW3dvDHP41TjUuNS4jJz9WqaMmUyDRjQzy+GBg7sT4mjEmlGchKtXLaMDh3I&#10;8mF1FZ+dmZg40u/vBg8ZRKMSEwVOpycl0YL5cygtdYHvmjZtCg0dOiTHb/v160tJ05Now/rMoOcE&#10;2Y54v29cv5Y0LjUujx0+IHAj+RkwAl4HDOHC+dJjx47JhR18PywhgcZwmvwtcJuSMptWr/h/9s47&#10;TIoqW+D3n/dUDGSUvIjkLIKKgGJYdXUNy4ILAiIYEF3DqgjGVckgIlkMZBgYZhiGnLMMaUiCgOiC&#10;oJLFDbr7DPvO7463rWmqu6s60TPc+b76qqa6cp1fnXDPPXeV1rN+GNkrY+6uWrFcpc9Iy6djYXTS&#10;pIkyLtLawHfAz3EL2ra9ejxvufzKcql15JDB2obc/fH2M2R/6ZJFgXX4gfCzQcbYXDBvjkqbNkWN&#10;HDVSuH5X7diaG9jOuU+0XHwi17JyxTKVmZGu9fSgwQMV9u74cR+qeXOytb38ZSHzS3duy1UlS5aw&#10;XJ7jXH669xOt69asXhlgKpijxYsWhPzNbIvOzc6erSZMHK8+WrtG/MtfWTbbxDrHbsb/xGc1+lnb&#10;u2IHr1+3RhUGRrt3e0SPd2jt2HNDXxKPQXZhjGndmjVa760RexPZDhUPJd6zzAdjbL982RL14Qfv&#10;qc0bciLyHC2rfE8WzJ+r8F0NoyOGD9M+697dOxJ23miv18t+u3dtVyVKFFeNGja0+vIc0JfLliyW&#10;2tyDAvJr5Jg5TDL/eMc2V1lesXypjo96kSvnNgc/36+WLFygJowfrxgf/sD+fa7Hd+4T7TLxX3xa&#10;Z7zq3TGjFNfuNY4c7bnjuV/v11/TuvKZp5+yXBZiLmGDGAp+GfN1a1aLD7hFrVi2VMd55ot/iG+J&#10;z4begR/jX2ITYo/Oypypjhz+IiamOCbtJgvmz1HoZ2zeeMqzORYMbtm0QevRSRMn6G8O3yNiVvij&#10;G3I+SllON0hMq0Rx0ZWNGurvpLVjC68dO02YQxcSOzGya+a5mzeqqZMn6fXwi27BDpwwfpyOxU6f&#10;PlXlJCD+uWP7VjVd/MGF8k0IZTuba4x1zn2tXLYsnz86dOjbOl61d8/HZzyTWM8Xy/6333qrYhzw&#10;N9/4q+WyEOtK5A4maeMIJf/4mbQPGnnCB0V/5kq7vlmXqDm2J3FV4kPJsDXxR7EHhg371R8dL9+g&#10;rfJ9StQ9ej0uupKxnG6+6Sb9znhvVl8WTn1JOyDvd+nS0HFRbEvy4ZzyA8MZM2eoPbt35lvv3Cae&#10;y+QywCfzeB431LEOHfxcx6WcORDwic0e6vsV6ljxWt/rhedVsWJFA7rSclk4mUReaE/g/easc5d3&#10;2hxoe3STRWQXf2zJ4oVJ0WVcL77ffDkn+tOZRxQv2Xc7Dt8enpNhdIi04WLHY0fgh7s9G7fjxLKO&#10;GGzpUqVU5wc6BnSl5bLwckk7CO8XuQuWG+QNHRVJ/vFBiZ8kKk4TfF38j705U2JUsySXAP/QbZtE&#10;rOO8tO8420bJOyTuRQ5Fomzte+7+vap6eZV8TFouCy+X5OTwfscJf8FyTBzIq91Izo2OyQozwcdJ&#10;5P/Eh/B1Q7XfJPLc5M1nZsxQcMkzZDL5CztDtCdFcz3ZWRnar2zfvl3gPOZ81r9MrrxF8/6c+/Bd&#10;p62OPNThEj+lnW7yZOmHIXngfNedOS/GPnPqReza7NmZvhjDB6WdJRl2nfNe0dMZ6dO17vzbp4lr&#10;/3SeM3iZPKiRI4arQYN+7Q8zdfLkmHMmaM9FT5YqWVL17dfHcpnk737we47lf+Klo0aPDLxDuKTt&#10;0Xxjmb/zzlDN7fZtW3UOOOtmC8fYaPhO5Mg42fV6PaavCdfgdZ94bUfeLfkJG3N+jR3H69hejsP3&#10;iDbfUaNGaEbN8yZnn+cazfN8sWcPrSs7deiQ7/2ZY1t9WTD0JbIBV/T1yJU2Bqcs8O2lPR3diT8I&#10;m7xf2iOZkwezPXdLvn28yGPwNsam9WoDB+/v9X/iTtiSwdsTM82ePUvzmWzdzbXg7/JdI19/6aKF&#10;2kcnZ4Pv4/x52fny9oOv3fn/nOwsdWGRC9Stv71FDRjQz3JZgHUl7YwwRk6d8x07lw+I3WdsVOSa&#10;eCtyw35ZPm1X53GDl5ctWRL2OoK39/o/rC1ZtEhNlG8L35lQ+61etUIzsXf32ckN4BrxJbg+fITp&#10;09MCbNFe7OxX43YPDRrUV/Xq1g3JJO/L6suCoS/5HvO+tks/ILd3bdYtkzbJnRIzMf+zTI4dfMYz&#10;x4V+zaukb7Q5T6xz5JsYFf02vRyLb9B0+e6Qn+Bl+3hvg97k+2COy3dw8qQJ+h3xrLNmzXSNd/cX&#10;X/Liiy5Ub775RoBl3mvwZLlMfS6RPfo38u4+27c3IAtGJpxzbC30jXMdfhl9GGHbuT6WZXRb9uys&#10;uBwTn5XcPL+xHdoukP8sacs4G34vz9kZU+N5Ekc27wrfH5vX+Bx8My8SJm+55eYzOLRcph6HvDd4&#10;+3jHdp0Xt2rlcq2L+B6jk/ANiYfy7vbt2R2RrfT0NNe2P3KAkJNY89CdPPPNmJWZrqid5VzvdZlv&#10;BvlFf9sf/nsT7njkB5CT4NRf4baP128w6XbdfLPwhadOnaTtlFGjR0iexmx1edUqqlq1aqpvnzct&#10;lwXAp8yR9g1YREZD6UPy6eAynN+FvBEDot0vlOwRs3HLYw+1vZf1yCFsERfysr3Zhhwf9jP/xzrf&#10;tDFH2wq0JcV6rHjtz7XQn4V3169vb9VHpmDd6Pa/tWNTT3+6ycTO7dv0+yT32u13s46YRKR+wcQD&#10;g+0vs3+0c+xn2jK89kFhe3KOYDrac7rth+5MZr6t2zUEr8Memjs3O2Qf2GAuidFaLgsGl7xrYn2j&#10;pS0klCzjY9GOECwXwf/DJO0p8fbJuC78PWIiwecM/p/2wETl8nAd+NKRvmHB15To/+mH+uEHH0bU&#10;l10e7BSRS3KXE3299vjevg3E3+nnS/4JfUGcvg025AyJ1zvXBT/XTdLWctedd6rf/KayqlSxoqpY&#10;oaJe5v94Thy3UqXwx+b8sZyzt8Qzg+8v+P9tuZvVXKk5tGzp4rjbB8Hn8vM/fV2dtRWc+vKpp55U&#10;jz/+mIqkL4n5kr/s57x2W2+cRfOcFoku4j2Offdd7UfqeL3EhogNetF/+J/XXHO1zjWhzx+1ZG66&#10;8QZ1+223xH267rrr1PXXt4z7cbnWMZJ74/X5Ydejx/G7I/nnXo8Z63bEnidInoiTySce7646d+6k&#10;10Xi8oMP39P5I359+liv2+7vzjZtA9S04n1SX3mb9EeinlYo29btOW6UeAt5mXBZs2Z1HdenPdBt&#10;21jW8Z2g7kG4PqCxHN/vvlwPdgZ+MLYF/bmIt8UzF93vNZl26YED+kpfrzwmebeRuNwpeZbozOHD&#10;h6eULeD3/gvT9viHJk8WuYrm3pZLfBdbU/eTv/lG3aafqG8vXKaar8f3jVgaOfmf7tkV1TOM5rm7&#10;7YMu13rTkZMXiUuOQ60k9kMWktkXz+0e7Lo8PQqbI8WWe3vIYN1nMZrngr9p2Hzy8ce1XZUon4U6&#10;O3OyswN6/fSJo+r0yWPq1PEjLkwcVt8cl99lm2Nfu9sN0dxvqu7jtIE0nx70pbkX+hCRz0XN+3jH&#10;2M057NyfDPIeyC3hvfB+onl+xERbtrhO680WLZqL3zpGbfhoTVTHinR+4lbk6a4Uf3ig6IYrGzXS&#10;Ofhmv+NHvtZ5Fd0efUThmza9uonq1u1RnS9w4uhXCbkmc+6zPSdXf8GCuYHxH7zoS3PN+CDoTPqL&#10;Juq7as5l594YhU3TfyRcTnu458kxatasodnE73xfWI+nTXvqF92IfmTaKXlNT/75CX2+HPGNWXfs&#10;6y8V+RXUhGOi3wz3U6tmTb0duvZc0J3ECbhvP1zybsmDpu82PucKsU3CvW/7mze2Yn1OfCPNOyEO&#10;FM3xqDNj2GzW7FrdzhYvu4iaPb//3e35pmpXXKF5I177hLQLHDv6tWp97z163YD+fbV9C4fcDz4w&#10;fH5z4lhU9xbN8zjb+/jlkuvF9sG3wRYmpnW278Ge/5C2X2ATe8ZLe4nbM3Oy2ab1HyRvZlzUx3Ie&#10;n5gsbIWaGjduJH7nQfX3b7+V9td96uhXhwMy9c3JE6rsZZfpfUPlKDrPVViWo+GSe8ceJueAnPlJ&#10;0r/lbPW3KSzvIR73ge3J9xI2o9Wb6MiWLZtrDq66qrHuWx1rrO8TyY0re+mlelwE6szR3v/Iw131&#10;ObIk5518ffK8aZvdI22N2LTmeZw+dVyVkXpxMG25/K/673//q21c83xCzU3/PnQnOUbxsn1Cnc+u&#10;D28bwyM+Broz2hhAPn+zVEmdbxrLc8ce7d+vr/SlqKpOHMuLvz7zzFOaNer2cWy2WSZ+EbxSBx4e&#10;vz11Qg0a0F9vd8P111s7Vpj0yiXPlHgQ/QJgk9hgoutMxCIj58K+jEMSK5tOm7ZhgwYx19b5Quwr&#10;7FHGXD0pbSPBXPJeZqSlaQbRjU2aNFbNm+fFidmPekVsA7+nxM+k78hhsX35vzC+02jtWLdnQRyc&#10;WkTwSXtKquQ8uV1rYV/nZDPa2KqTzTskbmPGFIrm2R09cljXhYU5+oE+9+wz+fQlx6SfKb83b95M&#10;54/edecd6pVXX1GbN20K2LZ7pP4meveaa5oqYkf8H831pPo+8eSSe8XvpEYYNSHg830ZQ5Q25VTq&#10;E5fq7yRe14dNS3sD4zlHy6bT32zapInE8KPvx0CuQD+po4G/2L5duzO4JMbDb0zffnMyYPPie1L/&#10;fVvuJp3LS20D2lZoDyC3F5s3Xs8sVY4Tby6d9wWL+ArwyUQb+Abp++vcxi4n1g6DK3yLePmbJUsU&#10;V4wTFu17g6GuXbsE7FXjX3I88nvuvedu/Rv1w/jNTPv37tH1OBrUrxeo3Yr+5n8YjvZ6/O5HfDMR&#10;ucTB15FILs25qEmUPn1aoF/oaIkXUrcpUv9ds7+dH1IZGTMDdWL8Pg9ygfguxsKm06aFzTnZs6Nm&#10;gXaQUiVLnKEvicP26vVCgFlsWjM9IXmC+KXD5RvTUPrAcP772rbV/yczF4h6JX6ffzTbR+IynjUn&#10;+M6QP++sL48/SnuLjeOG15vkWI8Se9RPvxGnPFDHwLAZrU3rZLOh1FqMNhcdXxPbiVwD+kXku06R&#10;heAcBP4fLe0/cIu+pS4HOQj0waQNxrl/IpfpmxXtPfu9rkhc8i7HSz8xYqzUQ/B7fLftkS361tA/&#10;lDiuyVGgPi796KkNxTee2mLJsBncrjEV12Ff0LcrWjZNjnOs/uYDHe/Xeoz81tGjR+l6QYcP+pMN&#10;dBxtJsG6LrCe34KmX9/JYf3b14cPqbVrVuk40q+/hf++Rbsdbbj4tQf2x78/nNs1ReJyn9Rpg02m&#10;kSNG5MszdjtetOsY54b4EH1Xg/ty8z/jLKXJc5k3V/qfS13h9TKWJ7b+nk926VhTtOctaPvBJnoz&#10;2m8kdgnfwVhsWp6ZYZN82mlTJ+ka0oXV5uE7SL/zZI0JyvONxCXtmF9Lnv80qaELm7SL0V8skfFV&#10;ZI6YOXHdLKlrPU7ywYhdmO+D25zrQt8Sf8TOYZ8Z06friTqn+LNMxPB0HUjptwjb9L8zE+eE8+Bp&#10;3yeRa0Mmk2/ikrGwGffcA2Fzhbwrxi+ifgL9lpL5PBJ9Lnwvr/Wm43UtXriETaYvv/xSvf9LX3k4&#10;QK8nu08pzKAnqRVK3RZYm5k+Q8sEPJpxroYOfTssx25sR7OO7wXnRCazJRYB99iL+IOJlE/YpI04&#10;Wjlwtm9Gqtsf6hxOf/PGVjdoHU49POrRbZZ2/1D7FaT1+L+ZUjc62dfsh0vD5zppTzIyjD3E+Ijk&#10;OCb72r2ej7xKeKb2sNGNzOnvbXQnc/rVG73qnOPvGt3rnKdJfgrfAvQ03ynzTJxzfsMGnzZliq5V&#10;yHmoE8u1RGuLmvuGzVj6DRg245XrTh03c08L5ZkxvmxBj7lTpz5af968p2jm0XBp+DxwQOrQS11E&#10;I4eMH4WNS73ecHXZornOgrAP8Tq+T+hzbOTlUosRpvluYVug34i5OHU5y3DBb/jWyAG2oPah165V&#10;tDHBcKicbcazhM0lixeowTJGI+O3zRcfPNzzQs44Hjqd6+P9xSvXHb1J/SDOj7+JL0JOADIR7ppS&#10;7TfiPHn6ZttZue5YuDR8MkeHGh/UcMq4b7SBJNIXTbX36ed6aBfH5sX2RT+ji98bOzYft+ZZmjl9&#10;oHmu6OlJEyfqfejTb9r5GOuUZeod4ldzTKPXqUWA/jbHCp6j8+PVt9qwaZ4H8fxUq7dsrs1tTq26&#10;aNuT3I7nd128uDSMnj59WjMa/M5pp0QX4H98IXXJ/F7nubY9vil6EnnGjza2NPEsdBt84UPwnGvX&#10;rqXr2r0zlHamiYr+WbDZpk3rAINsb2JiadOmBmJg2PO0RZm+1RyPb0U0z9vN33Qeh3uijzR8RuvT&#10;Oo+XqGXsiIXz50T1DOJ1TfHm0vBp5k5f1MkqckK/2wxhFb8Ou494aKrFPuP1nBN1HPwFGOzUsYPK&#10;FZt35YqV2kalRixjR60XO8bruWETfUwsK9p4npNNp7/pvAb4JM+O2vCp2D7Nt4o4gPOak72caC4N&#10;n8wPfXFQ7Zd2WXxSM5n4rpNZlvG7YBfdwDbkweOjMWVkzNC2P+NsoEeYsL/yxktdov069Ixz4lnj&#10;9wVP+IOpMvFdCr6+4P/5fjnvi7g0Ne1q1KimdeC8uXPEd1is7m/fTuvRYkUvUa+9+nLgOZnnBRP4&#10;T84pY+Z08XPzatNSZ2+xjIXCOCJ+ZRK/0vStdvqbwcdhXFl8Y52TLjn2wb+frf9Xr1oZtc0Qr2tO&#10;JpdORkMtHzr0hbaD0bPOKdh3Deb4XP7/r6+9osqUKaNzTgcNHKjaiv06YvgIabuZpB5+6CGtT29s&#10;1Ur3Tfb7nNCdOyOMhesmi7Bp6gWRexDsbwbvs2ThAjVLcoBTwcch127XzrPbvpBqXIbi1c/6UGw7&#10;OS9sy49166b5w6ZdJDK+a/duNWvWLN3u/EKPHvq3osWKSt+BtwJTuGd6UvpckV8Fx+Rb0dcqmKVI&#10;/zttWtO+GW6fjRty9JjLZ5tNfKuzfQ2Fkctw8laYf5swfoLm78orr1L/+ff36uDBg2rfvk81m6++&#10;8rI6/7z/VQ8//Kg68LcDokunqRMnTujfwj2TzZs3BWJHjFPu1+90shnK33SySl0a6nQ51yV7Odz4&#10;ocm6FstlXi5TONksSL/t/3S/Ov/8/1XPP9dTs4neO3L0qPrxx5/UM089pbpI30faTai3c6nUwhoy&#10;ZGhENr+VOnW0r6I7aUtJk5zMj6WNx6uMevU3zfEWL5ynY4Dm/2TOadu1XBYuJlKF3zff7KcuuOA8&#10;9eyzz2seT508KbHPeerE8eP5GNy/b58qXbq0ur/DA+rnn3/O95vbvZw6dTLQRg2ffnJh/fibjIPk&#10;7C+dTC6px5cK4xxZfVk4vw1t2+bV6Zg2LV3t2PGxtEd87sod6y+5+GLNphuLbuu2StzYxI8YT8or&#10;Q06bNpy/uVXaa/bu+dizPo4nt8S6ab+M5zGjOZblsnBy+d1336liEue5RNpJ1n+U48qkYS5T4kPY&#10;vtPT0sNuZ7Zn/m/xX6fPmB7gk360XvJInWx68TejkelY9iHvKpb947Wv5bJwcgk76emzdBxo546d&#10;YXn7SXzPTh07q4svvsgXm5xjs7QJG91J3zNq10WSTdgsX76cvrbHZIygSNsn83ds82SeL9S5LJeF&#10;l8u9e/dpPfjDDz+E5RK+YHPI4CGqePHiqmfPlyNuzz7OKTc3Vw0alNenhvr7kXJLl0tu4c0y7ib5&#10;9qFkM5nr0fWM+U6NjGSeN9S5LJf55cspawV9OSdno9ZJWbOy8zEU7r7WrV6jx9N68smnPe/jPN4M&#10;6duF/iR3l5pCXmzbULKZrPX0q0ibOkX85NUpwST3bbksvFwSYy1XrpyqVau2+urwYc+cjRo5SuK5&#10;5/u2aQ2fW6W+t7FtR0vfFy+2bbIYNOeh/xx5htRRpW9iquhJc32Wy8LLJZx8c+qUZqxJ02s8s4lN&#10;275dh6j8TcPm999/J22jQwJ8LlyQGn4b+b70ZyG+Qz6y4SDV5pbLws0lnBw8cECzid5cuXK1p7ZK&#10;p785YOAQz7rWcGnmxySnYdz4vNr7Y6U2JWNF05/kbHLwpfiSZ/P8Xs5tuSz8XMIIepN4a5EiF6hF&#10;i5Z45gx/8/zzzlPPPdfL8z6GSeec2lDGtqXNMxXaCL3wcba2sVyeG1w62SxRooT6fP9+z5y9+vIr&#10;On40btwkz/s4mTTL30ubJ3Xj4XOI9COjj9rZkvtUP6/l8tzh0smmn1gQ7Sw333SzzlPYvXtPTGxy&#10;Dc42T+qmpHLtgrPFr+Xy3OISLo58fSQQC9qyOTeiv0luz8EDB1XXLg+pShUrqvnzF6l//OMfUfNJ&#10;nPj48WMqW+pxGduW/rXxtG2pO+yVKfxd6pAxUS/D9JOn1jjrzoY/ark897iEzaMSj6EtpGrVK3Qs&#10;iHVu0//95z+6X9iO7Tt1rQnqRVCf5PHuj8kYCGPUvHnz9ZQ5K1P6fS5U69etC9TFhrNNGzbo/u1L&#10;Fy9Ss7OztW+7eUuufBu+Vv/617+E97+pjMyMAJ8TJo6Puc1ilYyvSR0hJ5e0o1L7gT7P1Pqldij1&#10;MELVFzXfCzNnTJ1JkybqWhjx/H44r9G5bLl0l0c3GS1s60wsKJy/SR+v1atWyzgiRxTjUzLRzoC8&#10;wuhHkudNfTBTbxsm5syZo9sE6RcSHHulng9+5RipzQfXixcvVQdEF6en5/mdHBdWGP+NPihOWfWy&#10;zPk+/OBDnc+AnqM/NxyaGmWGs1BzataYPvNu2wySWqDUL2NcBPqJcr/R1FqJdC+Wy3OXS74zhs1Q&#10;/ib26uyszACTW7fk9SWhPlA42TL6CXuSbd0YQ39lZsxQw4a9I/GgTLVw4WL1wQd5/TxhAvmnf0e4&#10;8wT/liX1vKj1tFTGzx0l47AEs2WYi+YbmyN1As3x6KP5mdQ849vDMjWK4tkHxnJ5bnOJfO7Zszfg&#10;bwbnBf3zn/+UGmlZAS4Z82Hw4EEyrtU+z7xQk4MxIoJ1p2EKhtdIrSvaN99+e6jYlyMCubZwgG71&#10;wufGDeu1XnTapvitsBgNh2774GubfIkPRbdSy5v72C7jJVDDbOrkyWrfnt2en415BsFzy6XlEvnL&#10;zd0WyD34/LPPAnKMfzlffMhjR79W+ySPFE6oQxgsR5H+p/adl/xT9CoMcg7GLzb6KY/PUdo/pLYh&#10;sRnGgcAmJo+O74XZllqLsEhOgxtbsa4jbrVK8jPI06cuWa7ofXP/hw5+Hpfx5SyXlksjp8amLV++&#10;vNi3JwMyvWL5CkVtA2PHUSvTyKHXOXFOxoPxur3ZDj2EjThSbFrDXah5PPWieSbh5vv3f6Z1J/ZD&#10;vMf7slxaLp2yRy0u+kg3lXxaYj78lvPRerVj2zYd44EJ9JXhxut8yybRcT5qArkdFzuVmCgcONnE&#10;VnXeQ6KX8bl37tylli9fqehTbsZVxpfGJne7dr/rLJeWy2A53rRxs2bzt7fertncsX2H2ijtHVs2&#10;bdY8MBaQXzlbIWMo+d0n1Pb4q9ivtHXA6IQJE/UYkMH3EY//+TbB4CrJR5w3d560uc7R45yjxw2D&#10;2OjkFvKtYNwYxhwKde1e11suLZdu8rt27UeazcaNm0iu+Sq1VGq4H5PxiWnHo/a9V/ky29GeYJbD&#10;zWnbwG71Ojbz3j27tN86W2JT6TOlfvys2bqNdMPGTcLTx+ITf6o+//yA+uqrrwLTp/v26/XwRlvq&#10;+vUy5uLqtWqFjCGxbOlSPY5T3vjFK9RmqWnLtYSKWZl7oa1kkdQ6oE494zptj7GviuXScunGJevI&#10;C8KmrVy5kmaRtkuYQS9Q59XIZKQ5bZZefVLG62Gcs0jHDPc7DNGmir1NTTDnGKe0a7Ce/pe0uRKn&#10;CXcsv7/Rx5qxFHlGsdi1lkvLZSgunWyWu+wyxfjvhw8d1LZj1qx0z/JMvIf6j5FknFgs3EfaLtV/&#10;j4dda7m0XIbjkt927/5EXXLJJXp8om1Si4AxnfDrvMZxyP8xvlg4phiv0218L+odFLRxjmnXnDB+&#10;XJ7POe4D3+MqWC4tl5G45PfMjFmqktizJaQuV5cHH1QDxE4bMuQtPU5kpHGHGfc0HI/8RqyE3FW3&#10;7Rh3e/9e/zl5bsdK5jq+ReQBmrFH8Vnxn71cg+XScumFy+NSq512/htvbKX7YjJOGD4UbevklDJ+&#10;n9tYO8gmv0WSRcajd8vVY7+CbtsypotpS2HM7lD36XxGlkvLpRcu2YY8VvLvYLN4seLqlZdfDOTL&#10;Ea/RubCSb0feKzzq/DvJvfESI2LMSadcOpcZf8/5f0Fc5lmQR8u3DDZN/l6oe7FcWi69cvnee+9r&#10;nxI269Sprftifkie+YC+ug8IdSmJhRLzRMdhl+71EO9BNmmPdJNR5HmO9A9z+60grmPsZPJ3df6e&#10;jPcQ6h4sl5ZLr1xOnZYm7XuLtSxtkFw82Cwq4yw8+ecndLvmwAED1KiRI3X9Rz957chmqNxZWPcS&#10;yw0l36m4nnxaxkFHd9JXzi3P3XJpufTK5ZIly9SkiRMD33hj0zIWbq8XntNt6gNeeknLGzFb+ia7&#10;+ZxurLjlzuKHpcp4IW7XHMs67Hxy843uDLb1LZeWS69c5m7dpmOwTnmETcZrryC57ozDNVf6Og14&#10;6kk14PXXNJ/EbOljGU2uADZfpDwb57UUxGV8ccbjhk++QfDKfVguLZdeuSSnHdsruN3SjANUq2ZN&#10;XQ9np+SO9n/4EdWnxwtq4F/z+GQ/8vewg4P3D8WTkdFQvxeW9dQdI7+RZ0QdMvL+LJeWS69c/vzT&#10;T/JdHyQ1bs7MW0+XmhrYs4bNpZIj0KdjJ/Wm8Nn3wc5qQI8eEh/qp2UP+aPdgH7EHIucuHjnwxU0&#10;ZrHZqU3Cs6HmieXScumVS7abPGWKYkx3N7mHTcbPw6YlTz1LxuLp3aWLerPrQ6rP/e1V7wceUL27&#10;d1d9u3dT/Z57Vg3s01vnkiKHum6O1MFCp85Mn67HoqZ/NDXpzhW9yTPdmLNet6NYLi2Xfrhcvz5H&#10;f9ND9WUy487CJjUec2SMrN5du+ax2e5Pqk+Hjur1Rx9VfX5ZnixteaeOH1UPd+2iWl7fQv31tZfU&#10;iy/2Uv369QnoVrgdLzlt6FYvbfJu34yCtI7vkOXScumHy+9lHGpsLeIVoWQ92N/UbIrefENyhAyP&#10;b3TpGlieKj4VebelSpXUtjD2cIsbaqk3326s3hrTXr3ySk81cFDfAKf0o6JNc+eObSGvIdS1FZT1&#10;lkvLpR8u2Zb6ktScCyfjwf7mbLFp0ZWGTexb7FrD6RqpL7taxhQqV/Yy9eeeDdW784qo0bNKqtbt&#10;rlEjMsqqMXOLqJFpV6t3xj6sBr39ZoBR6voQx/SavxDumlPpN8ul5dIvl3Pm5tVGjiTHwf7mvLQp&#10;qp/Yq290fTjP34RNmWCzv9i6C7NmqieeuU2Nyb5Ec/j0S/U0mzAaPI3OKqtGTG6p/vJsd/X6669q&#10;TqmbR54R9UYKehzJcmm59MvlP/7+d2nHHOwpHhPsb26U/hV9pT8KcVqjK40OfaFtG/WX1yurgeMu&#10;Vx26tFJvTal8Bo9OPl/oXzFg91Jzi/x5bGwm+qGRr+vWbyzS9yQVfrdcWi79csn25Mqil7zIcLC/&#10;mZ2ZrvqIfnzjkV/Z7N35QfVK5w7CY0v1xPPN1btzLgrLJL/XqVdec0n9D67ph//7j9RAn6G5JDfc&#10;8EleQ0Gzcy2XlstouKQW3MyZ0z1xCbtOf5OaOZMkPxT/0rAJlzc2baIeey7Pt3TqRbflNh1r5WPS&#10;3AO1XfF/yTvdIvVC3pNa0fBJPk20Yyt4+fbEexvLpeXSyLSfubFl/eSnO/1NcgpGD+yrnvljG9Wz&#10;ywOqza2tVK+BvwmvI4kFzS6qbrkjz3595JGHXOtTUj8eFk2NdvLeF0g/NHLFyQtMn5Gm+7yEauuJ&#10;N2PRHM9yabn0w6NzW2xZv3nlSxYt0HquyuWV1VMvNlJ9R9VVXbrdpl4ecnlEJonJtvptdb1/N2kD&#10;hT3n9TiXp0nfF+oEBOfNw+oIWW9sXHzQSPUWouEq1n0sl5ZLpzz7WWY8eOqg+5HB1vfeo7nqP7aW&#10;5rDve5XUY39pHJFJbNln3qis931Cxvgjv4B8g7nz5rqy+cMPP+qcwRnT0864vh1SP2yy1Icmt8jY&#10;uCZ3d/++1KhXYrm0XPph0bntF198oeU6XI6Bk1lYYuzMVrfW0ByOnl1cte3QzBOTo2eXUKXKFFPN&#10;ml0bGNfO9P93XpNzedeuXfr6Vkq7qLkOcsQZX8zk9m3L3XxGDfeJMgYntb7MPmdjbrm0XDpl2c/y&#10;jz/+qAaLzsIW9CK769eu1vqu85OldfvkY083U0MmV/fE5W13NVQXXlhE7XLUraX2CPpuy5bNrjqT&#10;eyGflzaT7dty8+qaSJ0Tt2ulP9kGGUePXCJiRByX+nxu2yZjneXScumHxeBts+fM0/0HvfSTfPih&#10;Lpqt/u/VV92eq6PemR6+fRLbFZ/yqV7V1X3XNFRlS5ZWN7a6QXK7P9K8UOOcvoswRKyHcUO++eZ0&#10;oK46NdaptT723bG6tib9kMPFeqg9zVjQ6HXGBOO4XmqGJYJTy6XlMpg1P/9/5yFfFrldL+3+5L3e&#10;+cfqqvMjt+icHrf2D+c6mOzyUDN139VXqj80u0Z1alhDlShWTJUqWVItX5o3Tjs1MCeI3YluIwbl&#10;rK1ulmdJe+nEieMCtmsojoLH2iVmDJtno+3Tcmm59MOh27ZjxozVNUNCyTvriZ8WL15MvTG0leT0&#10;VItou45IL6+aNa+pbm9UTz1Uv6q6v3Et1bZxfT03bKI3Fy6Ye0bM1XkdxGPTZLyv4LiscxuznDkz&#10;f51b+qoR02V/s02y5pZLy6Uba37WMf46fSZDySyxFepBP/hkNdXpkSulDbJ4WC7fmlRVVapSWuvX&#10;utWrqd83rK/ZvK1+LdX5ypoBNrFpI9WMRud5GYMI23XpLzrY3Af9tSdOmKD9zUh1Jc0+8ZpbLi2X&#10;fhh02/bIkSOSYzPKlUuYrFO3tmpy3WXqhf6V1YsD89pHnPaqWR6ZUUbd0+FSqbF3sWrSpLF69eWX&#10;1IVFLlAVLiurbm5QX3UVOxY2WzeoqW1a/M0WLZoH/M1gJqh1zribOyRWRH9j2i6p78V6/qfestmH&#10;viyMQW3+Z07/UWxjbFlqiDl/S/Sy5dJy6caan3Xkvg0bNuwM/22fjAtZ9fIqum1k4IRqqvuzN4TU&#10;k+SolytfRuvIV1/uFRgvYMqkCXr/UqJvYROb9p56NbUOdfM34YX6QdQRok0SrsjjhTEnS4x34swn&#10;CBVThmVyhGg7ce6f6GXLpeXSD4Ohtk1LS5O2iF/H3qN98J67f685696zunpWfEr6URrd6JyPzCqt&#10;c9BLlCgudTDHnSH/hs1KZcup22rXDLDZRvQmfqfxNzNmztD29EoZB4T6I37YycpybxOBS8YxC+ba&#10;z7Gj2dZyabkMxZqf9UuXLtdjTRoZfG/sGM0k+eXkBHTv6W6/Dp6Y50tSq2CFSz0vczzYxKatVfk3&#10;ATZvr1tTdWlUI8Bmy5YtAnrW7OdlTkxosejV4G3pI0abZvD6ZPxvubRc+uEv1LZbt27XtbKQ2bWr&#10;V6qSJUuodl1rqOEzy0m/rWZqlNQeyKcj5f+721XQvmTTJk3CMmk46Ne3t2a9fOkyqlXtWuqhhtUV&#10;bKI3sWnxN2+79RbxE/3VF8mRdku3nCXqoDt9UHMdyZhbLi2XoVjzs/7YsWMqTfpWIbPXX99Stbip&#10;gqKto23Ha7S+dDKJPVun/mXab+z9xqu+dNwQycWhHbR0iRI6BpTP32xUS+ctVKpUUW3y2DeU62V8&#10;zmSw5ucclkvLpR/+Qm1L7IdaO8ge3Nz0u2qSP9DyDCZfG1ZHx3ewWxdJ3ys/smq2NWxWFn+TGJBh&#10;E73J/+TrwaZXvZmK44VZLi2XoVjzu37Y8OF63IKbbrxB1a5XIV/NgdHZxVTr9nU1s5fJmPCLF57p&#10;zxnuvMwNmw2q1wiwafxNwyZxp0jHIpeP3IRI2yX7d8ul5dIvf6G2/0DG3KN+JPGbYjLO152tifkU&#10;V+9Mq6LqX5lX86Ntm9aexsP0wsEDHe/XnAfYFH+zfqXKOhYEm0UuuED16vFcWOZoQ9m9M3+7pZdz&#10;J3oby6XlMhRnftfn5GzQbfDkmU6dOknn+JAjgF1JPCZauzUUAwelDdKwqW3a+jVV1wY1VIvqV6h7&#10;a1+hbq1RWbOJ3gxl00aqtxnq3Ileb7m0XPrlL9z2mZmZms2pkyfp/BnqE6xcvjSszopVxo1N6/Q3&#10;yd27r161fP5mcCxog+TXusVhY72eeOxvubRchuMsmt8yMjM0m+TJkEezWepfffnL+HHxkFm3Yxg2&#10;Azat5AXdXq+Obksx/qYzFvSJ5ATNkr4obsdKhXWWS8tlNOxF2mf58uWaTXJLmahL56WPZixMGJv2&#10;qrp1tZ7Epr3ul3ZOwyY2LXns6PNEX08s92K5tFxGYiyW3/fv/1T3MR4rXNJvavmypWqN5B0ckPWx&#10;yK3bvvibf7jnbu1TVq9yubBZXfub6E1sWqZiF1+s7rzjdsmN3R3y/PSdXrVimZoiNYAmy9h3O6XW&#10;gdv5ErnOcmm5jIU7L/t+++23ejw9I8fkty2YP1ctmDsnIeNzEYOlDbWutKGQP0v7Jv4mOhM2+Y0x&#10;rqk3ba6JOX29HpeaXtQgYhvn9PSfH0+4Le68Fsul5dILW7FuM3LkyHwMGA5gM6+P5I4zfnfKqd9l&#10;2KSdpKXk+DnZhEty3w2bsIjv21/G9aNd9fzzzlP1KlZQ9zaspR5sWl91bFJPlSleQm8/9O3Bcb3G&#10;cPdkubRcxsqcl/3Hjx+vx4V2k0X8vCWLFqlsqYkVz7ZEfEnaaJxsmliQYfOPre/VfT3htGyp0qpN&#10;vSu0fkXHmun+pg01482bN7NcSi0zL+/bblMwntOqVau1LUu/KXJs3PhkDC7aLlaID4ofSj9Kt+28&#10;rqN/JWyiN7Fp/9ikkfStrqZuaVBX27P31rlCXVQEm/V/1J31xN5tcCaTsPlA0waqeLGiuj3W67n9&#10;brdX+mivkzF8s2bN1PmMVl8WDLku6N+fn3/6Sb0jfaeJzVIHcty4cWqxtG2uW7NG69E9n5zZXxKG&#10;qbmTs25tTHwaf7NyhQqaTVi7rXFD7W/CJrry0uIldZ6Q0ZHOebPKl6qqFSupq69uEtN1BLOKnbBW&#10;6id88P7YfLHraVJPyHJpuUwW8z/88IPUDsgbB960n3id63F/0tPU3j0fR8WGYdMZC4LNTo1qBvxN&#10;2KRtxckky9c2aKjZ/dN9baM6dzCP1DVhXCPqxZv7h0XGCjTvwnJpuTSykMz56dOntRwii2YyMhpp&#10;Pn78OF2jx9RMD5b7UP+7xYL+cE0TsV+rquY182JBDcpdlo/LP9W/QtW+vKrmMm3a5Ki5pO/16lUr&#10;AmMvmHuEx1MnTwR4NO/Acmm5NLKQ6nPqe1Fv2Yw/O0LGRsmenel5fGj82kqVKmh/8+qGjdStdWpI&#10;nKe6algjj8na5cuq+4PiPq2k7fOSiy7SNqzfPAT8W2rCk8NAzXdY5NqXie+8Z88nZ7DofP6WS8ul&#10;Ux4KyvKxo0cDNdGRd+R+/rzssDk8PZ7/iyoqjF33SzsJfmXRiy7WurBBxfL59CT26+9qVVU1pM2E&#10;9syNH63xrCsZ39OMu2n0IjbBoUNfhGXR+ewtl5ZLpzwUtGXs4RypwWPkX+fkSkwzuEZ6rtSrhK9r&#10;K5fVduu1kldAzQPD5V2iN51+ZQepS9KsYUOtK1/s2SMik+hS6ru78RjNM7VcWi6jkZtU3GfuvDkB&#10;PuGU+nimHnPXLg9qvfiA1BrR/IlP2UViPsRjb6zzyzrRkfxG7egGUl+zVuVKus5mqHYd/Fh83CUL&#10;F+halubbgK3qRze6PUvLpeXSTS4K8jrG9zKMYN8yPjQ1MGuJb+nUiW7L1I5uUKWKulpy37Fzqevn&#10;FkciT2iB1Dl4552hgXMRw4mVR/PcLZeWSyMLhW1ucuY7deygGftTY+n39YtOdJt3ql9NNZO4bNUK&#10;FXW9hbeE6a+/PBjgknw9E1M1Y/GhGzdu3OjZb/T6jC2XlkuvslJQt+vU6UFVvoLEdcR2deORdb+r&#10;XU3aKRuoUsWK5xsvDF2p8+zFRsZ3NXrY2daYiOdiubRcJkKuUu2Yd9x5lyuTXaQmULNaNdVVEgcq&#10;KUxeWqZMvtgrOUdOW5V2mmTcm+XScpkMOTvb54DLDlfVzcfm3bRdSt5sDanhji9ZWvLWZ4ovSo31&#10;xQvn54utxtN39PIsLJeWSy9yUtC3wZa9sEgRdXmpouqKsqVVlQqVxIcsqi668ELNY/v27VRf6etl&#10;7FTmJgfALR8n0c/Dcmm5TLSMpcLx//3v79WdojPRi87p9ddfS4pd6vcZWC4tl35lxm6feJmxXCb+&#10;GVs5ts/YrwxYLq3M+JUZu33iZcZymfhnbOXYPmO/MmC5tDLjV2bs9omXGctl4p+xlWP7jP3KgOXS&#10;yoxfmbHbJ15mLJeJf8ZWju0z9isDlksrM35lxm6feJmxXCb+GVs5ts/YrwxYLq3M+JUZu33iZcZy&#10;mfhnbOXYPmO/MmC5tDLjV2bs9omXGctl4p+xlWP7jP3KgOXSyoxfmbHbJ15mLJeJf8ZWju0z9isD&#10;lksrM35lxm6feJmxXCb+GVs5ts/YrwxYLq3M+JUZu33iZcZymfhnbOXYPmO/MhCJS363k30GVgaS&#10;LwN+Wbbb2++/lQErA1YGrAxYGbAyYGXAyoCVASsDVgasDFgZsDJgZaDgycAlSqlSMvFXTCaW/x8A&#10;AP//AwBQSwMEFAAGAAgAAAAhADwZV9ngAAAACQEAAA8AAABkcnMvZG93bnJldi54bWxMj8FOwzAQ&#10;RO9I/IO1SNyonYSEKsSpqgo4VUi0SKg3N94mUWM7it0k/XuWEz3OzmjmbbGaTcdGHHzrrIRoIYCh&#10;rZxubS3he//+tATmg7Jadc6ihCt6WJX3d4XKtZvsF467UDMqsT5XEpoQ+pxzXzVolF+4Hi15JzcY&#10;FUgONdeDmqjcdDwWIuNGtZYWGtXjpsHqvLsYCR+TmtZJ9DZuz6fN9bBPP3+2EUr5+DCvX4EFnMN/&#10;GP7wCR1KYjq6i9WedRJi8UJJuscpMPKT7DkGdpSQiSQFXhb89oPyF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B45ck4RQQAAOkMAAAOAAAAAAAAAAAAAAAAADwCAABk&#10;cnMvZTJvRG9jLnhtbFBLAQItABQABgAIAAAAIQAzZtl67GgAAGBhBQAUAAAAAAAAAAAAAAAAAK0G&#10;AABkcnMvbWVkaWEvaW1hZ2UxLmVtZlBLAQItABQABgAIAAAAIQA8GVfZ4AAAAAkBAAAPAAAAAAAA&#10;AAAAAAAAAMtvAABkcnMvZG93bnJldi54bWxQSwECLQAUAAYACAAAACEAjiIJQroAAAAhAQAAGQAA&#10;AAAAAAAAAAAAAADYcAAAZHJzL19yZWxzL2Uyb0RvYy54bWwucmVsc1BLBQYAAAAABgAGAHwBAADJ&#10;cQAAAAA=&#10;">
                      <v:group id="그룹 57" o:spid="_x0000_s1071"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72"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49" o:title=""/>
                        </v:shape>
                        <v:shape id="Text Box 55" o:spid="_x0000_s1073"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1C1FC460"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v:textbox>
                        </v:shape>
                      </v:group>
                      <v:shape id="Text Box 1025" o:spid="_x0000_s1074" type="#_x0000_t202" style="position:absolute;left:381;top:17145;width:20891;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6A70B31F"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77FCACEA" w14:textId="77777777" w:rsidR="002E5800" w:rsidRPr="008F328C" w:rsidRDefault="000E0B7C">
            <w:pPr>
              <w:pStyle w:val="a3"/>
              <w:numPr>
                <w:ilvl w:val="0"/>
                <w:numId w:val="22"/>
              </w:numPr>
              <w:rPr>
                <w:b/>
                <w:lang w:val="pl-PL"/>
              </w:rPr>
            </w:pPr>
            <w:r w:rsidRPr="008F328C">
              <w:rPr>
                <w:rFonts w:eastAsia="Times New Roman"/>
                <w:b/>
                <w:bCs/>
                <w:lang w:val="pl-PL"/>
              </w:rPr>
              <w:t xml:space="preserve">Wprowadzić ampułko-strzykawkę w miejsce </w:t>
            </w:r>
            <w:r w:rsidRPr="008F328C">
              <w:rPr>
                <w:b/>
                <w:lang w:val="pl-PL"/>
              </w:rPr>
              <w:t>wstrzyknięcia</w:t>
            </w:r>
          </w:p>
          <w:p w14:paraId="33828DA9" w14:textId="77777777" w:rsidR="002E5800" w:rsidRPr="008F328C" w:rsidRDefault="002E5800">
            <w:pPr>
              <w:pStyle w:val="a3"/>
              <w:numPr>
                <w:ilvl w:val="0"/>
                <w:numId w:val="0"/>
              </w:numPr>
              <w:ind w:left="111"/>
              <w:rPr>
                <w:b/>
                <w:lang w:val="pl-PL"/>
              </w:rPr>
            </w:pPr>
          </w:p>
          <w:p w14:paraId="32816197" w14:textId="77777777"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Delikatnie złapać fałd skóry w miejscu wstrzyknięcia  jedną ręką.</w:t>
            </w:r>
          </w:p>
          <w:p w14:paraId="2889A57D" w14:textId="77777777" w:rsidR="002E5800" w:rsidRPr="008F328C" w:rsidRDefault="002E5800">
            <w:pPr>
              <w:pStyle w:val="a3"/>
              <w:rPr>
                <w:lang w:val="pl-PL"/>
              </w:rPr>
            </w:pPr>
          </w:p>
          <w:p w14:paraId="439E78C3" w14:textId="0B4895AF" w:rsidR="002E5800" w:rsidRPr="008F328C" w:rsidRDefault="000E0B7C">
            <w:pPr>
              <w:pStyle w:val="a3"/>
              <w:ind w:left="4117" w:hanging="180"/>
              <w:rPr>
                <w:lang w:val="pl-PL"/>
              </w:rPr>
            </w:pPr>
            <w:r w:rsidRPr="008F328C">
              <w:rPr>
                <w:rFonts w:eastAsia="Times New Roman"/>
                <w:b/>
                <w:bCs/>
                <w:lang w:val="pl-PL"/>
              </w:rPr>
              <w:t>b</w:t>
            </w:r>
            <w:r w:rsidRPr="008F328C">
              <w:rPr>
                <w:rFonts w:eastAsia="Times New Roman"/>
                <w:lang w:val="pl-PL"/>
              </w:rPr>
              <w:t>. Trzymając ampułko-strzykawka za korpus, wprowadzić igłę całkowicie do fałdu skóry pod kątem 45 stopni, szybkim krótkim ruchem.</w:t>
            </w:r>
          </w:p>
          <w:p w14:paraId="318BAE34" w14:textId="40E56408" w:rsidR="002E5800" w:rsidRPr="008F328C" w:rsidRDefault="002E5800">
            <w:pPr>
              <w:pStyle w:val="a3"/>
              <w:rPr>
                <w:lang w:val="pl-PL"/>
              </w:rPr>
            </w:pPr>
          </w:p>
        </w:tc>
      </w:tr>
      <w:tr w:rsidR="002E5800" w:rsidRPr="00A5286D" w14:paraId="7B91AD44" w14:textId="77777777">
        <w:trPr>
          <w:trHeight w:val="6066"/>
        </w:trPr>
        <w:tc>
          <w:tcPr>
            <w:tcW w:w="9209" w:type="dxa"/>
          </w:tcPr>
          <w:p w14:paraId="563F765A" w14:textId="77777777" w:rsidR="002E5800" w:rsidRPr="008F328C" w:rsidRDefault="002E5800">
            <w:pPr>
              <w:ind w:left="104"/>
              <w:rPr>
                <w:rFonts w:ascii="Times New Roman" w:eastAsia="Times New Roman" w:hAnsi="Times New Roman" w:cs="Times New Roman"/>
                <w:b/>
                <w:bCs/>
                <w:spacing w:val="-1"/>
                <w:lang w:val="pl-PL"/>
              </w:rPr>
            </w:pPr>
          </w:p>
          <w:p w14:paraId="5BAC3A87" w14:textId="77777777" w:rsidR="002E5800" w:rsidRPr="008F328C" w:rsidRDefault="002E5800">
            <w:pPr>
              <w:ind w:left="104"/>
              <w:rPr>
                <w:rFonts w:ascii="Times New Roman" w:eastAsia="Times New Roman" w:hAnsi="Times New Roman" w:cs="Times New Roman"/>
                <w:lang w:val="pl-PL"/>
              </w:rPr>
            </w:pPr>
          </w:p>
          <w:p w14:paraId="480B08B1" w14:textId="6AFA7D07" w:rsidR="002E5800" w:rsidRPr="008F328C" w:rsidRDefault="000E0B7C" w:rsidP="004142DA">
            <w:pPr>
              <w:pStyle w:val="1"/>
              <w:spacing w:before="76"/>
              <w:ind w:left="0" w:right="2736"/>
              <w:rPr>
                <w:rFonts w:cs="Times New Roman"/>
                <w:lang w:val="pl-PL"/>
              </w:rPr>
            </w:pPr>
            <w:r w:rsidRPr="008F328C">
              <w:rPr>
                <w:rFonts w:cs="Times New Roman"/>
                <w:b w:val="0"/>
                <w:bCs w:val="0"/>
                <w:noProof/>
                <w:lang w:eastAsia="ko-KR"/>
              </w:rPr>
              <mc:AlternateContent>
                <mc:Choice Requires="wpg">
                  <w:drawing>
                    <wp:anchor distT="0" distB="0" distL="114300" distR="114300" simplePos="0" relativeHeight="251658251" behindDoc="0" locked="0" layoutInCell="1" allowOverlap="1" wp14:anchorId="2D713C8E" wp14:editId="547B4258">
                      <wp:simplePos x="0" y="0"/>
                      <wp:positionH relativeFrom="column">
                        <wp:posOffset>67945</wp:posOffset>
                      </wp:positionH>
                      <wp:positionV relativeFrom="paragraph">
                        <wp:posOffset>193040</wp:posOffset>
                      </wp:positionV>
                      <wp:extent cx="2186608"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76" name="그림 7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5E9891B7"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713C8E" id="그룹 60" o:spid="_x0000_s1075" style="position:absolute;margin-left:5.35pt;margin-top:15.2pt;width:172.15pt;height:214.5pt;z-index:251658251"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Myx0AwAAAggAAA4AAABkcnMvZTJvRG9jLnhtbJxV3W7bNhS+H7B3&#10;IHjfyHLrnwpRCi9ZggJZaywZek1TlEVUIjmStpQ90F5hu9gTbS+xj5Rkx0mHdrmwfHh4ePidj98h&#10;z991TU32wjqpVU7TswklQnFdSLXN6S/316+WlDjPVMFqrUROH4Sj7y6+/+68NZmY6krXhbAESZTL&#10;WpPTynuTJYnjlWiYO9NGKEyW2jbMY2i3SWFZi+xNnUwnk3nSalsYq7lwDt6rfpJexPxlKbj/WJZO&#10;eFLnFNh8/Nr43YRvcnHOsq1lppJ8gMFegKJhUmHTQ6or5hnZWfksVSO51U6X/ozrJtFlKbmINaCa&#10;dPKkmhurdybWss3arTnQBGqf8PTitPzD/saaO7O2YKI1W3ARR6GWrrRN+AdK0kXKHg6Uic4TDuc0&#10;Xc7nExwyx9x0MX2TzgZSeQXmn63j1Y9fWZmMGycncIzkGX4DB7CecfB1rWCV31lBhyTNN+VomP28&#10;M69wXIZ5uZG19A9RejiYAErt15KvbT8AnWtLZJHTxZwSxRpI/u8//vzn978IHKA4rAhB/RIWSrrV&#10;/LMjSl9WTG3FyhmIFq0UopPT8Dg82W9TS3Mt6zocU7CHyiDwJwL5Ajm9+K403zVC+b6brKhRpFau&#10;ksZRYjPRbASqse+LCIhlzlvheRU2LLHxzwAbgD6aiCiPwEIJDvoim/YnXYAPtvM69so36ms2eT0b&#10;9DVbpm/TqK+DSkChdf5G6IYEA1CBKKZn+1s3YBtDAmqlA2HAzLJanTiQM3gi/oB4MFFAaA3cT27k&#10;F6NnDP+vFryrmBFAGdIeNTNDH/WauQ/99YPuCFyAOoSFNiW+g3/QR/D3SMemOXRr+mY+X6IXSejL&#10;2WKZToa+HDt3kb5dhA1D4yJ40vfty3l1upbFqMVA+GVtyZ7h3m0r6UWUM1TyOOo/+D9WFSzfbbrY&#10;Ua9jAcG10cUDmLAax40KneHXEhveMufXzOL+hhNvkv+IT1nrNqd6sCiptP3tS/4QjzPFLCUt3oOc&#10;ul93LFwW9XuF0w6Px2jY0diMhto1lxqlphFNNLHA+no0S6ubT3iqVmEXTDHFsVdO/Whe+v5VwlPH&#10;xWoVg/o751bdGdxUaRR1IPa++8SsGeTucZ4f9Kgnlj1RfR8bZO7MCo13LWNLHFmEyMMA2o5WfGhg&#10;nbxkj8cx6vh0X/wLAAD//wMAUEsDBBQABgAIAAAAIQD+hDcGRFUAAOiyCQAUAAAAZHJzL21lZGlh&#10;L2ltYWdlMS5lbWbsnQl8FFW69t/5vjt3Fh0d0NFRBkRxAXQQFQR0UEHZRJTFBZAd2TfZBGQLJGEJ&#10;AYMYVgWCIIGwBtkTkE1WERQRXECGkdlkvM5cR5259/M7z4mnqHR6qequTi95+P2K6nSfqq4+5zn/&#10;eus973nPj0Skv9rMv0E/ElmvNvNv7XUi3SqJVG7UorHIj+RP+T+T/6s+tBXRRVN+IlL3P0Taqg92&#10;m4N/2L/14I/l2Nf/R1qpv3ur480/3+8y7z+vzpGvtpbqjapqG6m2/1pfdFxlOSLmc3w28IeyP5LK&#10;6q9L5fQfP/z3/fffCzfWATVADVAD1AA1QA1QA9QANUANUAPUADVADVAD1AA1QA1QA9QANUANUAPU&#10;ADVADVAD1AA1QA1QA9QANUANUAPUADWQ+BqofEMV4cY6oAaoAWogfjQQ6t7KtoqftmJbsC2oAWoA&#10;GnDK7T9dOC/cWAfUADVADcROA+a+TW7Hrg2of9Y9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cAuR37NmA/YBtQA9SAGw2Q29SLG72wLPVCDcReA+R27NuA/YBtQA1Q&#10;A240QG5TL270wrLUCzUQew2Q27FvA/YDtgE1QA240QC5Tb240QvLUi/UQOw1QG7Hvg3YD9gG1AA1&#10;4EYD5Db14kYvLEu9UAOx1wC5Hfs2YD9gG1AD1IAbDZDb1IsbvbAs9UINxF4D5Hbs24D9gG1ADVAD&#10;bjRAblMvbvTCstQLNRB7DZDbsW8D9gO2ATVADbjRALlNvbjRC8tSL9RA7DVAbse+DdgP2AbUADXg&#10;RgPkNvXiRi8sS71QA7HVwO6dBUJux7YN2AdY/9QANeBGA4MG9ie3L1AzbjTDstQLNRA7DXxw/F35&#10;yU/+g9wmt4X9MHb9kHXPunejgaVLcshtMpvMpgaogQTSQO9evcjtBGovN/dklqUNRw0kpwbq1r2X&#10;3Ca3aWtRA9RAgmjgwL7dmtn0byfnPZm2FtuVGkg+DYwZNUJzu0KFChyXTJB7Lfth8vVDtinb1KkG&#10;9u/dLeXLldPcfv75QeQ2uc3nZGqAGohzDXTv1kUzu0qVmyQjYyq5Heft5fR+zHK03aiB5NTA3t2X&#10;/NqNGzcit8ls2lnUADUQ5xqYkDLWGo8cOnQIuR3n7UX7KTntJ7Yr29WNBh5/rLnF7SlTJpHb5DZt&#10;LWqAGohjDRw5uF/Kly8aj+z5XDfNbPq3ed93c99nWeqFGihdDZjxyPvr1bGYTW6XbhtQ86xvaoAa&#10;cKqBOdkva//IZZf9XMaPG0Nux/FzkdM2ZTn2f2ogeTXw6cenLJ927XtrFWM27e3kbXf2abYtNZC4&#10;Gli3ZpXF7datWpLbtLU5DkUNUANxroE2itXIQ4ItZfxYcjvO24s2UuLaSGw7tp0XGjh29IjF7M6d&#10;OpZgNv0k1JkXOuM5qCNqwDsNmPxRsLUnpaeS27S1+XxMDVADcayBHQVbta2NGJKRLwzzy2za297d&#10;I2lvsC6pAWogUg107tRBc9tfDAl4bTau506tRao1Hk8NUQPeaKBa1aqa2/5iSAyzaW97U9fULOuR&#10;GqAGItHA+XNnZMTwIZrZlSpWkLS0iZZtbee1eU17m3qLRG88lvqhBiLXwMysTM1sjEW+OHJkUGbT&#10;3o68vqlZ1iE1QA1EooGdhQUWs2vVuicks8lt6i0SvfFY6ocaiFwD7ds+bXF71Ijh5HYcx/tQ75Hr&#10;nXXIOkx0DZxVeUiq3HSj5jbW+82YWpRf2/ixA+3p36b2E137vH5qOBE18OGJ4/JIwwaa2VVvu9Xv&#10;fHZym9pORG3zmqnbZNXAU21aW/6RQPMiyW3qP1n1z99FbSeaBrZv3WwxO9QcG3/spp+Emk80zfN6&#10;qdlE1gBitZs2aWRxe+SIFxyNRdr5TW6zDyRyH+C1U7+JpoEp6RMtZvfv19c1s8Fvcpu6TzTd83qp&#10;2UTVQO7ypZrZyBvVq0ePsJhNblP/iap/Xje1m4gauKtmTc3t++6rFzazyW1qPxG1z2umbhNRA/a5&#10;7EMGDyK3Ob+GOZWpAWogTjVw7swnMmjAAMun3aljB5k6dXLY3B47bjT923Ha1oloT/CaaQdTAyU1&#10;sPC1+Raz69atEzavdTyJmk+JeZUclyxZz9Qe64QaoAa80sAD9e+3uD106JCIuI3jseakW27/4dxZ&#10;Po/RRqcGqAFqIIQGjhzcL48/1lwz+8orr9DxI5H4R5C7pFXLJ3QOE7fczlm8iO0Vor28uk/zPLT5&#10;qIHE1AByj9xYuShfFHJqjxszOiI7Gz6Snj26ycAB/fV53HIbx7975BDZTXZTA9QANRBAAxNSxlq+&#10;kUhj/sBccB9+7SlTivIFhsPthQtfE/pLEtMOoP3GdqMGoquB+fOy5eqrrtLcvv2O6q7y/OmxR8Vp&#10;+37s2Bfl0WZNBHEk5v1wuI1j6S+Jbtuzb7F+qYHE08C6NassO7tZkyYy9Qf72PA2nH3Tpo1LnMct&#10;twsLtsm0zAzNfdjdn6q839RX4umLbcY2owa81QCYXalSRc3tevfVdbwGQkCWq3HIHs91k+7dulp2&#10;tinrltto67VrV1nnwWu2v7ftz/pkfVIDiaWBMaNGWHY2/NCTJ6VZjDSsdbtv3+5pwebvuHC4/f6x&#10;d61zZWZOk9MnPyC7A4xPsP8lVv9je7G93GrA7htBvF/qxBSLj/6Y6+S9MaNHyf316pTwj5hjw+E2&#10;fteRQwdl3tzZ+vqysrKkYOsWuXD+M/Kb/KYGqIEyowG7bwTM7tu3d8TMhq3e/NFmQW32cLlt7kmz&#10;Zr1sXSfYbd7nnnYLNUANJLMGfH0jXtjZmFsDP4s9dsTY2PZ9pNwGq835YHefO/MR2U17ixqgBpJa&#10;A9HwjYCjvXv11PPYDVMD7SPlNnwjYDeYje/A/ijn5SS1ZpPZhuJv4zNCMA18rnhnj8/2yjcCdg4d&#10;OliQKzAQq+3vR8pt8xthZ9vZTbub+jfa4J5aSBYNDFdsxbx1bIjPdrsOu5299tfIFYXzwU9ifz/Q&#10;a6+4jXaBnW1nN2IEf3/2DG1PPjNTA9RAQmtg144Cad/2abn88ss0sx97tLljxgZir3m/e/du2j/i&#10;lNk4zktug92ws2fPfsW6Z7z++pKEbq9ksRP4O2jzUgPhaWDVyuWWjQ07G/mdDHMj3cPOhk/b7Xm8&#10;5ja0sX/fnmLXkbt8GdlNe4saoAYSTgPHjh6RalWrWtz2IkeUYbRb34g5DvtocBvsRs7A5YrXZk48&#10;/Cdv792TcO1GGyU8G4X1xnpLZA0cPXxQ+0XKlyunmV2lyk0q9/XjAefB2Jka8rXyYWP8UdvZDv3Z&#10;vueMFrdNm23YsKGY7b16VR5zCdLu4v2bGohbDfja2HfeWaMYw3wZ6upvxWmMPyJ2xNVxysa2l482&#10;t5HvFX4S+3eC5Ybr3NMuowaogXjRwP69u4utd4A5MCnjxxbjl51lbl8/0eJxR/HZoc4bbW6b9kBO&#10;E+R+NdeDXIKF27fKZ2c+JsNpe1ED1EBMNYA1xbDWQYUK12u/yHW//rX2Y3iRHwrMA/sxd717ty4W&#10;Aw0Lw9mXFrcNv/PXry923chxwrxUtLeMPrinFkpbA28szbHGHREvAhvbkznrNt/GMLWer5fnLG1u&#10;o03eOXxIFucsFOQSxL0Ge9jf+/fujek9t7T1wu8jo6iB2Gjgs08+kqVLcvS6vSYmG3Mfn3nmKc/i&#10;ssOxo50eEwtuG60i1tvkFDTXO2vWTDn1IfPCmjriPni/xvPtgX27eb+nn8WxBs6qtV4eadigmI2N&#10;PNderE1jOBbtfSy5DSaB0a++tqCY7wQ5BvftYV8ks4Mz29QPfIZkt7O6MnVWVve+447wi7Rv27YY&#10;f6LNXC/OH2tuG/1g3HKdmhdvfCf4bTNmTNfvIRac6xCzXxqt+O7fe/cdad6smeSvW+vY5vI9B/8u&#10;qa+PPzqt7SrYVk63T9Ux8VaXWEsRPpHOnTpY6/Vi3d6HGjwko0YMl6lTJ5PbET6vwXeSs3hxiXp8&#10;aUam7CwsjDtNxJtGy+r14Nn33tq1BPuyWgdufvc5Fcd16MAB2VFYIIgVwDMvNns+fS/sQvRbc27E&#10;A+O7tm3ZqL+7NOIREIv9QP37i/lEsI6Ml2OEXtST23PEi73tqznoCb5u398DDTBPbEnbyLf+yuLf&#10;rVo+ocaZHpPz55jLzLf9j717VDMa7Jwzp2idKt++Fau/ca9Av8a1bdqQr5kOW9/3N7j5Gza2fV0D&#10;+EOwPfLwwyWYEqvfHcn3uuU2/Blu6i/SsgcPvC2rV+cVG7/E3HmMZ+L93bt2SqRtHOk18vj4uI+c&#10;eO+Y1FO2VN8+vUpVo/HU/mc//kgO7n9b2bSbdJ6J+Qvma39jMEaAmyiHmK4lSxbLyhUr9LZO+Z22&#10;bN7oastfv846HudB3BjOiw355vBddl9osOtCOXNtOBeup6Bgq85/dPzoO37jF7ZtflP7Q0wcNlh9&#10;zTXX6DnqWLMxEX0i/urILbdxjrdUTsNYaPXwof1+bXBcE2zzQmWjx+K6+J3xwW3TDmD30MHPlxkt&#10;wOeB51P7vDZ/fR3v5Sguw1cBH4mpr1jt8QyA6yjYts3y1dhziQb6Db7vz5w5UyamjJcHH6hfzB8C&#10;ZiN305QpznJa+543nv8Oh9u4D8Yy3qNAzbOE38xfvYLfW5WtESst8ntjz/BVebm6//qye8/O5Bof&#10;gX8YvmKT895ff4BPJD9/vYCRiaTNI4cP69+Ge8ycOdl++zp+L/zUv6v/uxK8hj/EqzUN/NVrrN8L&#10;h9vmmnFv3LtrV8z0cPL941KwfYsgxzeuxeQexPXh3oL3VuS+oefTI7dsaYyDJFLfSNZrxVpSc2bP&#10;kltuqSLNmjaSOnVqi5XX7aYbZdiQwQnpA4ddDR3DX+A77wGah0/B6B1z25ItBgsxLbvf2qH69lRp&#10;qOKvkaPP+K2xr3rbrfJ4ixaSTP4Qw1rfvVtuf//99zJ37vxi9z+MKcQDE8FxjG0gftD3d5q/YY8n&#10;ov2RrIyN5u8a2LdPsX5t7+OI+Y7md3t57gP79gYdS0T8bLKvC7hh3Wo9zmjuv/a2hL2d6PEhhk9O&#10;9+Fw+//97//KiRPvl2Aj7vVHDh2MeX/A2miI+d6l7s1r1NglxlwCPUvCRsGYCWz2tWtW6TEYxBvC&#10;rsFvOa7GYXGfh63jZV/kuaLrT0FMt+nbo18cpdZynSdn1dzmV+fPk6uvvkp/hvgw5FmOp7bAOtsY&#10;+9++ZbMe0/PVbVbWDK3VHYXbBXZKstnUaAu03Qplfw0a2F+ebNOyhF1dqWIFwfoFvXv30vmakmWs&#10;0SmzUS4cbsPmNtvatfl++R1PfcFcy/FjR/X4B1jtpo7sZWGv4/kCY0DwvWHDmBDGV7Almh/R1E2y&#10;7WdmZWo2V1F+kS8vfiErV66Uw4cO6dcjhg+3mN67V3zEnsBeho4CjctBb/g8GTmNmD3Y01PSJ8pd&#10;NWtabWPuu2aPuOthQ58Pu+/a+3Giv46U2+D3xS8uSk7OkmL1Cb5BZ/HKA/AVY6srV+RqDkerHTGm&#10;As6bzbDe7DGWbphv3yf7c2+0dQE/CPr7A+oZGtw27Mb+sMppYliANahiOUce/sW8lbnF+o5di+B1&#10;Ms5XQF6Zgf36SdfOHay2MG3iu2/frm2Z84PYNeDvtRfcNrb32TNnSugP3NqyaYOOKY13W+HsJ6f1&#10;syf8I/CxYNu2dbP2naxW/hZ7PCrGhWC3Y8MYqL+6jdZ7+D7z3aH2r7wyy4qfNXG09n2u8m2ZON3C&#10;gm36N+P34xkc/qF4b7NA/F+3Nk/zALneYF9j/vUZ5SeB3b1100apeeed1rqB8JlirW7MrQt0vkjf&#10;Rz1iw3gh8s4vXbrEr+8OukJ7wE+XjL65j06ekJnK11OpUsUSvMY4Y61a9+gxx379+hStV6DWh4lG&#10;P0IOKcxxb9OmlQwdkng2vJfcNvz+RMX+v/RSVon6hiZhU0baB+L5eBOTamxnY1djv3rVSsvuNvY3&#10;uBsNXXp5TjNX2cxT3r9vX1yMQ4fSAZ67je12Y+UbNbthb3do304+P39O2+Cwx00ZxJ14PU++sKAg&#10;5PMcfCOI54uHsf1QdRrJ57gv2v0gyHP9VJvW0vbpp0utD4wd86KO6cZzFtZlT9TxzGhw2/D7+Hvv&#10;S3Z2yTm1y5YtSfrx70j0jWMN9/3t39q50/Kt2+8L/l6vU2Ot5h7hbx8p38Ec4+sHo3C98WSj23NT&#10;tH3maRmg7LhRI17QdrevzwT8Bkc+PHE8ItvCCavxzJTMPmu7/v3NOUfMnomvRjzIuDGjo8ZurFnz&#10;4qgR0rHDszomtH+/vpKWOjFq3xdpn3JyfDS5DX7/+3/+x2/sCa4Nfd48E+K53N7WfB3deAt7/Zq8&#10;b+++c1j7s+AfMvOb7b6h7NnZfp/t/ekMsZh4lpg/b66OizDzlHFee7zOB6rdo5mnAL5sO7vhEzmp&#10;uLxzx07N7j8ouxs+lNTUCVacSe3a98h25R9Dzk/sscEfa+oM/jTEK2E+OeZdw4em5xBkl5wfYnIy&#10;4HNs+P04LtnX58O6BLAZMO5r94lcd9110rpVS0lLS7W4idd4r0eP5zRbx44bXWI+Op7Vl6sYE/jy&#10;4MdDbCTm1M+bO1dWrFyhfU+oW7yGHzAr6yXr/P70mejvRZvbxvY2+9zcXL8+FNTjAhWjFct5mKZf&#10;ch/6nmGeA5AHCP4T2PJZWSV9Y276B+7jOA+eG6ADfIdXPt7ly3KsuTc9e/TQPhK08+rVq61xyzfV&#10;vELjM/G3H6rm6wSap2v/ncaWhu8jmvekeNQpcnqhruGH8K1DJ3POx48bIylqs9fn5k1vWvdMf795&#10;odKMP27A74T3oU/ESdjPmeivS5vb4DfivzGGeVjdN/3V38uqjmGbbHwT/XdPmdO+P20mynvwkWA8&#10;EzYRtt0q7xfG4WALwS6FzQR7yIyn2ue4+tOCec+UN2Oq0AdseLPh/KG2Af36aZaUL19OsWWJvi+s&#10;WpWnY6G2bdkim9V4JRhw6223Wcyp+JuKUu6XV+q/r1LH9e7VU9uCYDOuadGihfp34buhVcRex5Of&#10;qDR0s0e18Rx1z0V+61tvudmqO6z7dffdd8mzz7Z3nSMEukDb4rkm1G9ALq0N6p67VGni0MHA42do&#10;l/ePH9PPO4h/R5vheR/fY89/Zden0Z3ZB5vTZ7RaGvtYcNvY3vZ9Xt4qv75wUwewczCux/jo0LZw&#10;KJ3H2+dmLHfr5k3aNpqvnrtMu3u9b61yvRo7cJJ6Pl++bJm2EaZnzpDFixYphufIY2oNhoH9++q8&#10;GPgc77Vs8Zh13CsvzwzJknirY6+vZ/fOAj1/EeO9pj7t+84dO0a07tfatavCquPF6j6K5xyvf6/v&#10;+WCb4HkQ3xXtWGJ/fSBeuG0Yfv78eVmeuyJov0VsIZ6l420MzLdt+Xfk9xjkF8KzLtrbPsbqT8tO&#10;3sNYGOxAMKZSxYrKvl6o2b1o0WKZO2eetHz8cZkyKV32qZiZjz48qfOYYPwS8Se3Vy969ocPwOu4&#10;k0TRSs6i1/TYrZ3R9tctH38s4hgN2Gjh+pdwHHwi8IPHok5hg0CreA5zosdwy8Qbtw2/v/nnP+WP&#10;Fy7I0XeOBP39eJ7CMwzmsr++ZIl+ZkU+QBN/jWd1PLvi/ojxpFi0Jb8zcn4Hq0P4wNG+Trf01BTL&#10;Rhw0aKD2b//1T3+UMS+OFPi4wWl/224Vx2PYjbFO3EeCXVdpfYa58YF+O/wMxmdl38OnY/qIfY+8&#10;3evW5MmSnIUyccI4Pa6ItSj8+asRbw0/SOtWT8jQoUM8idHIVv4W/JZI6g7+EPhAYAfv2f2WoH4i&#10;OV8kx+K3HFJj2vAVwicDnnvha4lXbht+++7XrFknS9Wz66xZrwTlebD7GOrNxMShbXF/xLZnd9FY&#10;GOz4SNqKx0aX017UL+L9jJ24Ji9XnnmqTVBmG47D7rbnNvLHbjwjQEOBNswjNprz3ZtnbqNP+z4a&#10;69Qg/g75brGeebMmTaw6MXXju0duEIwvIg46WB8L9zPcQ7xoX5yjaM3DRZrfXp3Tq/McUX54jJc6&#10;Gef2V5eJxm07x7/+59fyzjvvypsbN+mxJX9zffz9ZrfvoW7t/cfknvftc5iP4ttX6Y+PLsNha/vW&#10;eaC/TX5+tBv8oDfccIPm1OWXXSb9+/bWvpHdu96SzcpWC7Z16nhpbvadd9aICr/cajRYecQvg88v&#10;jhwp/VXsMnz8iJ/2ZXKgv2FXg9XDlE0dzTUI0M+iMaaLeyFi5eM1dwTWe3F7T05kbtsZbl7Dv/Ll&#10;l3+T8+d/Lx+rcebjx47JARUvu2/vHh3LEEzfsfjM+HnMeLWTfai56ybmorT3Tq49VBnEaZRWOyBe&#10;2LAK8b4Yg3SyLVHjlM+2b2/FmYDdmDMdletW87xfGDZEunXtIk0aN5YH1Jou9g158WrfW8vaat1z&#10;t2YyuAzb2Py+YHvEydx+R3V9jvpqDkyjRo/oXHyIo3YyPwXxX4jJgG8CsfnG72LiNV57tXjeZ3/1&#10;BF04iR0Jx96FnwT+EvAbOTe8ii0N51qCHYPrMvnVg60VgfpLNm4bfkey/0zlgV2/foPAJ4MNsS5L&#10;lO/cvmEeqO/mT498b2p0eKa0G07dwr9m2u3J1m001zCPbr2aw7Fhwwa9YT7q7l27A25HDh+RkydP&#10;qmPWW2Oc4OKUKRlaL6dPn7LyZUaiQ3/H1qpdR375Q1xiMBYH+qzFo49q2xl+fdjgZs5iOHWJY/Ds&#10;4sRGhq2L2ItAvl08IwVjmlefva3sN9j19nsE1l30F//t1XeGex48q69Wcar+bBly+1JOWn/9xIv3&#10;vvrqK/0MgOcAfxueDRDP7mY7pWId8CwRTxueb9z8Bn9lURf+6ijYe+G20YQJaZrbjzVrGjZn9799&#10;QC677OeWXbtv3/6wz+Xmd1y8eFHfI6ZOzbC+OxCrcX0YP6xbt4489NBD2p7u0qWTDBzQX29gONaI&#10;SRk/tljsHmxtbPgMZWF/G76/viQnrJgP5MaHTblm9UodT4Dzvabi+cNlWzjHYawwf/1aWbN2ld5j&#10;noiTe0843+XFMcgTgGcYjGvi2QZ1Rm5Hn9tu+iPLll57vPxytsW8Ic8PDZu3mDN//fXXW+faUbgz&#10;7HNF2v7Ll6+Qu+6uJddee611PYF4Huj9X/4QJ4k1GuEL79O7Z7E5jF76oWFP7ozROuOYTwm/Mp6z&#10;vOBraZwD9xc8t5DbpceJSPskj/e2rf7xj3/IlTafw3aVCz3cOt66eWsxToZ7Hq+Py8iYLk8/007u&#10;qXWv/OxnPy12jYG4bX8faxX07dNLMmz5VL0ca8e5ECNXGswL9B0Yo45HP0mg68X75La3LPC63/F8&#10;0W2fAwcOWey+6qqrJBJ2r1yxqhgXL3x+Iez7QLTa/auv/q5jsDZu3Cxme+ONXJWfab5MmDC+2PUb&#10;fsO/YvwjmLMcjCdOP0POEeNj9uqcTr/btxz8EJif+cYbSwWvfT+Px7/J7ehyIVr9j+f1rt1On/5I&#10;+xYMp44cOhw2b2F3G58J/BX/9eWXYZ8rlm2cv/5NadS4qVStWk3lvu1ncRtz2LzgmJnXiBhm2Nul&#10;MTc91HXD9ge7Q5WLh8/Jbe/6fyz7Gb87snYEu43P5P7774+ItaNGjbXsVpwz0dvG2NrYe8ksxJjA&#10;v4z1uOEz99L/Eu51Ip4xHq4j1PWT25H190Tvk7z+S+0Pn4mxucHus2c+DYu5iB969NEW1rnA7kS1&#10;u6EPw23k2wvFE7efY5xt88YNKofzfJ2rPRpraeI7EMOCuBHcI+zz5RCjsVHlIsbnWAPg41NFY5Xx&#10;7i8hty/1WzKMdbFp01a5+eZbNHPh7wiX3dDS8KEjLHbDZ4Jx0ETUmOE2eOeWy07LY1wQNvcrav6N&#10;1/MaMd8GcSuB1oGDzwZ+Gtj+GKN8e+/emI+Vhqo3cpusSkSWRPOawW673R3Jd9nt7mrVqsuFC39M&#10;OHYbbsMXHYonkXwO/wS4PWfOK57FU+OcyNXu9LqQkw73D7De6TGxKEduk9uRcClZjzVzcsDvhg0e&#10;kr/+5S9h8fZvan7MAw82sO4DYHei2d2G25iLHu3ceu8ff1fbvFj7CvkLI2Ei7GjMF//49IeuzoN5&#10;OW5YH8k1hnssuU1uJyt7I/1dw4a9YPG2evU75G8XvwiL3f/4+1dqjmJTueXmorVgGj7cKKHYbbiN&#10;vVfxJKF4tSL3DXl5Zpb2XYC/ocr7+xy+j3CfEfLz88P6Tn/XEY33yG1yO1K+JfPxkyZPs9iNnE1/&#10;/cufw2L3d999K199eVGaNS3KlZpIPhN7DnyMIUaDQ77nxHz4gq1b9LpxWFsa+aDc3jOwdjDWE8a5&#10;fM8f6m9ym1xMZq6Vhd+G+fBm3viVV14pFz7/Q1jsRl19rcYmq1erpu8FGP/ctWtP2OcqrbpHbpjM&#10;6Zk6rgS+klDM8/rz15cslnVrV2nbG3a4m/NjLBV5Cd0cg7LkNrldWv2L3xM9rdlzmbRv1zYi1v5R&#10;cd/koqpW/faIzuVVm5tc9tu3F6o8h/k6nz1yYeLv4++9r3NYGX9Jac+Rgb8ZY4XweYDbWIfMje0N&#10;X7nbfIO4T7hlfWmWp58ken3dqz7F88RHGw0eXOTv/ulP/lOGDRkq8H2E2zbz1LP/ZT//mba7mzdv&#10;EfZ5wv1+c9zOnbtUXttsK0bbsDnYHnlFg62bHg1+ITc11glanbdCCrZvEcyTx/x4xF+HGr9ELDb8&#10;LOB+gZqb6ST/Ns4bjd/h1TnJ7fhggulH3Md3e9h9JhhrjITdhdu3yRVX/EKz+5m27UuF3Yhl2bJl&#10;myxY8Krl+7AzerZa3xFrO2H9NawRg9dZWVkluP5yDPwlYB5sb9jb27cW5aJCTDZiB/EeYrRDjWFi&#10;XQf83vz8wLHoiB3cvmUzua38euQR6yBZNPCibR77tGnTItI22G3sbsQeRrOOsJ6fndHmdc7ixdqP&#10;EGy+C+bFwF41OfzzVsYuvhnXuVDdT8w6nfDbgLW4PqxbBH6D74FsWxy/bNkSy/eCeZL2sph/E8qG&#10;t5ePxWva2+RpNFmRjOf+Wq2Fh3gQxHbDTw12R2J3w14083yiwe5vv/1WlueusJiNNWcw3/ugWr/P&#10;ic/AzqXTJ9/TPocVK96IKds+U36TzZvyta1t99ngffyuLZvf1GOZ8FPDtgbjMZf9+NF3NNMRYwLb&#10;HGVX5a3UzxYY/0ReKZSNdpy6vU7DeU1uk9vJyNZo/yb4GxCHbXgbqc8kNWWCdS7EjXt1/QcPHirm&#10;D8E87nA44XsMeI+xQrfjfb7nifRv2M6L1G8K9qyA/CS4ThPPDd+Pfb20+WrcEjY6eI2ykV5TaRxP&#10;bpPbXjGirJ3nX//6l2V3g98Yq4ykDjBmVrFSRc1vL+zuQ4eOWDY21ojGWldecgkxHYjViEYuKDfs&#10;+/DEcc1uxHvHu53s5ncFK0tuk9uRsKasHwt2Dx0yXH7xi8s1bzt17BwRuw8c2G/Z3Ygz+eKL8OZo&#10;5ubmWsyO9pztHOVfCMaYSD/bt2ePHh/F2CPGSGEvFxYUlPhO+KXhC4n0+xLheHKb3C7r7PXi93fs&#10;2MXi7Xq1Nnwk55yROd06F9YYc3suxFybMUfs3cQ6h8Ms2LkYEwzn2FDHwH+BOY8YF8XYI8Yb8Rq+&#10;ERPTbXz08JXEez6oUL/X6efkNrntlgssX1IzyK9t1l2IZL2zb779Rj48eVJaNG+u2Y01IZGf0E2d&#10;L1y4UHMbMX1mLTCnPAinHHwTYDdYinG/cM7he8ypk+/La6/O1+cN5NvBuCLs6/VrV+t1xvAa8/Df&#10;3pv8Nje5XbIPuukjLMv6MxoAu2Ef//Sn/6mZi/zb5jMn+61btkj2K9mSlpoqUzOmSdcunSx2z5iR&#10;5ehcf7xwQTMb8XqB8k37MjLY37BtQ8VEm+Nh74K1sIvNe+HuEePh5vpRFjY/xl1hhwdifbjXE2/H&#10;kdvkjhOmsIxznYDdJs7kwP4DIXn75d8uyuT0NJk6dYqkY6+YbTY7u53k7j6g4trgG5m/YH7E7ASr&#10;4KfAmrlOuQX7Ht8fafxzuH6X1atXqTyCM+Sdw4ccX7PT3xZP5cht5/2R7GJdOdHAH85/bvlMEB/y&#10;wQcnArIbOV4R/z01I0NSJ06UyZPSLWYbdrdp1UrfB5zkEDR+bczr9ooz29RaAmC3UxsW9jnW/kIu&#10;Eaz56zb/9ZGDB2T7ti1hXT98NjsKt+u58F79/ng8D7lNFjlhEcu40wnWGb7ttqqW3b1k8RKV0+NI&#10;CX7PmjlTM3tCyni9N6wutp+SIdWqFp0LeQlX5OaVOI9pH8PtPbvfCot7gRgF+xfxGk7Zbc6DmGj4&#10;2ZGXL1iMtSmPPcpGaq+7eUawf3eivCa33fVH0z+4Z72F0sBnZz+zuA2/Cfwn7xw5ajF3R+EOmTrF&#10;+EYyStjZht2TJk2SnYU7pXWrJ+SKX/xC55QN5DMx3A7GPczrXr9utaxbv1bgV8DcQie8emtHgR73&#10;c1LWXgZzGBE7Dp815mkGuzYct3XzJtn/9l5H12T/HvvreM/Dar/WcF6T2+RPKP7w8/A1sm/fpXhs&#10;w27Y3fBpT1fxfkHtbOXnHjtmlLbDJyn/yfhxY6RXj+5BfSahuA17GeN29thA+FRgFzvhx+rVeRGN&#10;OyKOD/HXwfJowy7H2utOridQmQ1B8kYFOiaR3ie3w++T5BnrzokG7GvEg91PPvmMyov0qsVkY1f7&#10;7lPGjtbMTk9PF7yeP3++4nyK5TPxt+5CKG4jVs53zA8sBcud+DFgK4O7kTJu3bp1OodfoPvF0tdz&#10;wv4OxJbEez6/SOuP3CZ7nLCHZSLTCXwmEyaM17byT3/yY7nllltU7MikgL4R8xnGKiekjNNjlhPV&#10;8elpqbJt6zZrrUrfdRcMtwPNG9yQn+83rg/5pnNUXkAnPIGtvH9vZH4MfA9sfoxbYq4M9ohFwbgi&#10;Pjug/CTI8eQ2/hzPE4gFZDxJkV6d8p39O7L+zfpL7vqb9fIsy+ddoUIFmThhYnF2qzFI8x58KLCz&#10;09PS9HvwmYDnKePGqVx3awVrpsF+B7vNemeG24Hs2GDruGAeudNY7VV5Kxwx3sl9AGWQ9wl2PPKz&#10;mrhtxIHjOQB+dafnwe9G7KLT8olazimPnZYjd5KbO2zfyNsXnAVvsVWqWLGY3Q37Gv4S8BncnjJ5&#10;sua28XPDx50xdars3rFT3jt+vBi7saaD4XYg/zBiNQKxCrwLNWZojsVaM+a1l3vk1sJvMPcX+G7m&#10;zMnWufxCfQ/KYs5mqHLJ8LlTHjstx34deb9mHSZ/HT740EMWu2vUqKEZrZk9NUMxO11SlY0NdsPW&#10;1pt6DWZjLmXq4KEyvk9f+fTUKTn76adyZ43f6nMNGjhYWrVsqbn3msr/549P+SqGxN/7eO/4saNS&#10;UFC0jkygMuZ9xGe7jQk0x4ba47zwbyOWD/cHxKGA3ZhLtGb1SkGMo4kJx/MB1m1HGfjt8RtCnT8Z&#10;PnfKY6flyJzkZw7b2Js2ttvdjzzcWD768KRmM2xrMwcHPhPwe/SLI1XM4GRJe3G0pHXtLqk9esrC&#10;WbPliz/9WU6eOGHdA7COw7ChQzS7jb/Bzin4se1/+75GbKDve/7+hj8imrm37fEgyBuF+fZ4Hpit&#10;+G2eKbCHbwe2uZMxVX+/I1Hfc8pjp+XYp73p06zHslGPht0/V2sEY27NmBdHKD9IhqSMH6dtcMyj&#10;1D4SxWz4R9J695WUAQMlXa0pP6lDR1mcPVe+/eafYs8hCP9LyvixapxxUQkGB/OTgGFO454Rj224&#10;jXV3p6RPlKfatNa/YWZWppw/d6bEdycqI+Pxup3y2Gk58qZs8Ibt7F07G183cv/NnJmtOD1a29vw&#10;iYwdPUrSVAxJ2ogRmtkTevbUtnZ6u/aa3VM6dZZ39r4t//ruO71WuVl3oeJvKqpzpOiYDKzJZdiz&#10;bk1wezqUPW7Og7W/zn56Wq8fbPw05ndg37BhA8F6BqY89+c9rQunPHZajv3Zu/7MuiwbdVmo5kKa&#10;dRcQI3j/fb+TzGlTtc8EY5Spg56XCX37yzi1N3Z2iuI3XmOb3LWrvLl2vfz3P/4u9nUXEK8CdsP3&#10;a7gZyp4OZY+b82zamK/tazur23VoIfXuv9Py2dxY+UY5q2xxcwz33rHbKY+dliNrygZr2M7etjPY&#10;bWfgA/UflIMHDkqaGotM6dNHJnR/Tib26SfpyjcCVk9Uf0/o2cPG7m6yv3CX/Pffi9h97TXX6PNd&#10;eeUV0rdvb1mcs1CP52FcMth4Yih7HOzdrOYy1q59j3W9DZveILNWVpWMBTWl79CHZOKs38r1FYq+&#10;H76fQ28nfz7s0r4nOeWx03Lsz972Z9Zn2apP5I0Cv8uV+6WKXZ4p586e1XP/UvsN0IxOVf5tY2dj&#10;fNL4uvFeRucukjf/NZ3/BGvumPsA2A27G+N48+bOtfzS/lgTyh5/eWaWdV6cf/CIdjJv489lxPh2&#10;Avs6O+8m/feQ8TWtcsOGDqbNre53/uo73Pec8thpOXKmbHGG7e1te3/99dc6b5RhLtiNOn45M1P7&#10;t9O6dBVfdsP2NixP79hJVr++TB8zsP/zFjuNz2Ra5lQ1PzHwnBl7HIcvUzaoXFTly5XT58Q+dUYR&#10;s2FfP/xwfXlpySOa2eB41rIa1nf37tXLU2b5XldZ/Nspj52WYz/2th+zPstefa5fv8FiXqVKN8ie&#10;Pfs0h/ft3iWTe/eW1G7KZ2Lzb+Pv1Oe6W+zOeK6nfHLqtGV3Y9003Adgd48aMVzl+56q4+p8eYe8&#10;14UF20owNl/x+oH691vXdNc91SRtdnXN5md7VFO+kXoyN/8Ki9ng9tjpl+YWTUpPLXFO3+/m3+7s&#10;cac8dlqOnCl7nGGbe9/ma9asE8SXgLdgd87iIhv60Nv7iuK3FadTe/a2WA0b3Ixbap+J8oWvW1mU&#10;p9vuM6lS5SYVBz5Jpk8vmUcK81bs+UCOHT0igwb2t3iNa2nTtr7m85iMutovMjn7yWK8BrOx3f/g&#10;HdZx+/fuJrfpJ9F2BFnhPStYp/FVp8gjaGf3po1F6wNnqvhA+EPg24aP2/hIwG67zwR/b8/foPtL&#10;nXvrWhxt1qSJigWfpNaynGXNV8G8FeQCMflJNm9cr7ls/DXYI14ke82vtX/k4Ufuk+y1v/bLbPhL&#10;zHEd2rdT3/ExuU1uk9vK30nGlo06gN1tGNi4STO9Zs6333wjc5W/G+wGp+EnMeye+NxzAh+4+ful&#10;QUPkM7X2znfffavmy6cK5lPifI0aNdLsxjjjJjVnfcoP+b379+srj6jY68svv8z63iYtbpcpc5rJ&#10;uBm3S5eejWTgmBske92v/DN7WRW59bab9LG1762l1l1L07Y94lkQG4456cHiWegvceYvcer/cFqO&#10;PCkbPGE7l147g91mjfg7a94lb+3cpeZIfiOwuzFnEr5tX7vbl92Fb27W93qw29wHWrd8QsBp+L3N&#10;e/Y97OvM156Q50e10rY3YkZ8/djGL2L2jR+/TZ/rhkqVZO7c+cXmpNvnp29Va1aS0c4Y7a+enPLY&#10;aTn259Lrz6zrslPXOYtzLLaC3UePHpO//PnPsmDOXElXNjfm4SDOO71D0TxKzKu0szu1x3OSMT5F&#10;Fi9cJCNeeEGuvqq8dT6wGvEhtepUl0YtbpVO/a6WngOaSv8hT8kzneuqMcZbQvIa3B6ZXkvb6fDt&#10;HDhwSN8nvvrqKzlx4n2//M7KypLXX1/iSS5vf2xL5vec8thpObKk7LCEbV26bZ2l1hCuW7eO5u0V&#10;ykaePi1T5cBbLrNmzNB2t7a9Vb4p4yPBOKU9ZhDvZ06cIMuXLZP27dpZ3O7Rv1kxn0ff55+RAcOb&#10;F3vP2NOB9rDFja0+bMhwufjFRb++vE8+/kgWLlwo0zKnFWO5F2voJDOnfX+bUx47Lce+XLp9mfWd&#10;/PX973//W7MOfgbkizJ8xH6S8nu8viRHxisb2nAbe8NuPS9H+cHN36nP9ZAtas0FxPwh9zfOMXP5&#10;by1GT5pTQ554orEj+9owHHMlzTVVqlhBx6sYn8jy3BVy/L33S3D8zJnPJDv7Um6/srDWgS97I/nb&#10;KY+dliNHkp8jbOPSa2OMJ9r5NmvWLFm1crlUrVrkRwYvc9RaAR+d/lBW5y6VKSp2Gzle07p0ucRq&#10;2OA2dqf16CHr1dpgjzz8kCCez/AXsSIduj+gY0bMe6H28Hc3aHyrxe2hQwbJ7NmvKHs6o5g9DY6/&#10;puzs3Xv2qmv9WNvihw4d0WWKYhIZc+KG40557LQc+3Tp9WnWdXLXNexU+9gefAkmpm6XWrvL2Ljw&#10;TcN+/vLiF7Ihb4XmNXzdvna3feyyg4onGTKyvcVsM08d9nYoVts/h0/FXMeYUSOssUZcp1kzDH5s&#10;Y3+b/UsvZQk2/A0ftxtmldWyWLcNuXOxOeWx03JkSXKzhO1bOu17Sq2hYBiHvb88feCkYSZyg4Dd&#10;f/j9WckYrdakVPb1mMFDLHaD4fjb2N2jlX+7Q8dWmtEDRzbVsdmIHbEzOdTrcVPaW9+P3NvBcv+B&#10;NfgNsMXtvwuvA62pVlb5jPUuCguK1snEvXrGjOm6zrBGBP7G5pTHTsuxX5dOv2Y9J289X1R2s2Fb&#10;phq/27VzZ0B7dN2aVWo+ZZGfGnb3ytxc+UyN/c1W61Tq+O7efSStc+cin8mzz6q4k16SrvajO7WX&#10;Lt3a6PmPg0bXdMVr8HzYhEv5Wu+7r55g7QSnnIUtjvXWYY9v2bxRrZP5ruNjnX5HIpRDHDvWtN9R&#10;uF2wzhDW7cGGOtm3Z49e6/PUhx+IPX+6+V1Oeey0HHmSvDxh20a/bTEGuWDBq5rbmL+IZ2PTVwPt&#10;wW5jdxufyYnjxyR9xAua16m9Ls2HB7MRZ/JgzZp6XNKeCyqUfW0+n5V7r5VfCt/Leezu47CxRibu&#10;zbCdMRcpUNsGet8pj52WY9+Oft9mHSdvHe/YsUP355lqHiNssUD91vd9sNvkfrq9elXZrWx0sPv1&#10;2dkyuXs3mdCnv56fM1Gtk9OkTl25+97KVs5Vw2Mn+0kLKlnzIfF9m98MvD687zXy70t8P6ueicxY&#10;RTj14pTHTsuRKcnLFLZt9NvW+Ee2bNrgmNn2fn+XsqNhA4Pdn58/p7eO7Z6WMc92lP5dOkr1qrfK&#10;3TXvDIvZ4Drm5uD8WA8hmD/bfk18fYnXXtWFUx47Lce+Hf2+zTpOzjq2x44cOXQwLG7Pn5dt+Uya&#10;NWmk56f3HdBW7zEO2bRJw4D5oELZ21gjwfhj8D1eMYjncc91pzx2Wo5MSU6msF2j367G1kbMxYXz&#10;n4XFxe7dumq2Vqr8K3m62zVqLYOiuD7E9z3b+XFJn3ej6zHIOevLS8MmRXlZkW9quFq/5tyZT8K6&#10;PjLaPaP91ZlTHjstx/4d/f7NOk7OOjbc3rZlY9hMxLgkbOJhE6tYfMbaM4gTDGcMEjZ42661LTv7&#10;yTYtw742f/zhe+Fx3CmPnZYjU5KTKWzX6Ler4TZincPhWeG2LRZfp+dcmrveoXcFCbS+QSjfCHJs&#10;33hjJeu827duDuvawvk9PCYw053y2Gk59u/o92/WcXLWcaTczsyYrPla/8E6Mm/D5drextqPXXvf&#10;Z9neoTht/xxr+5pc2hjvRMwKWRqYpaVZN0557LQcmZKcTGG7Rr9dI+U2fCHwkWDOeuaiO7VvxKxR&#10;Y+ex09fPtGtu2dk494F9XG+sNNkc7Luc8thpOfbv6Pdv1nFy1rHhNuYRBuuz/j5bvuxSfm74sR9t&#10;8YBe88Apo33Ljc2sLvXuvUc6NmhYjN0fnjju+tr8XS/fi8xud8pjp+XIlORkCts1+u1quL1I5fdz&#10;wzWs31vlpiJbu879VQX5tIek3BWWbwT8hm/l+uuv0byuodYkblDzLovdDdUaZmR3ZMx107aByjrl&#10;sdNy7N/R79+s4+SsY8Nt7N3Mlezdq5fF1YHDW+n82b72s5O/YacPGNZMrrn6avntDZWtc9ZUObVb&#10;N3jY+hs+E7I7tux2ymOn5ciU5GQK27V02tWw+403ljqyuRHfcfVVV2mm1v3dHdJrUGOxx5I44fUr&#10;eRWkSasqUu6X5dR5fqzPVeeOO+S3ytaGvxxrCddX8yzb1/+d/Kp80fpmjzVvJufPnXF0jYFsRr4f&#10;Pvud8thpOfbv0unfrOfkrOfDKk+eYTdyDp0781FANtrj/h5+uL6eB9lnwJOu/SPgvZkHad83qHef&#10;PGnzb1933a81u02ZULlbyeXwuRyq7pzy2Gk58iQ5ecJ2LZ12RT5As54A+I2cgP58JrB1TfwIOIrc&#10;2dj6jazmmNuIzUa8ieGwvz3YfZvNZwK7u8WDDaxjwG7a3dHjcyB+O+Wx03Ls36XTv1nPyVvPZ8+c&#10;sWxusBtrfs1fMF9WrlghW7dskl1v7ZCBA/pZ7Hy2e1XJWFBTmjVrKPB5OPGN9B5e1crFWr58OT13&#10;HWvodOvayTqv4fh9NWpKtR/YrX0m1apJverVrHI4huwuXXY75bHTcuRJ8vKEbVu6bZuXt0oyp2cW&#10;Yzg4PmzoEIuZ8I/MyrvZ1Tx2+9piYLM9RxT4CxvaMNvsMS5pH5tsXae2wBY3n9NnQm6TD6XLB9Z3&#10;fNf3mjXrLN/J5ElpFivhJ0EMyOiptwpy9TmxszEH0rAW+8HPD7LuC1gHK3f5Mtm66U2dp9VeDq/B&#10;bWN3V/5NRel+b41i7O7erUtAX3yg532+Hx7vndrRTsuRAfHNALZP4rbP8tw8ueXmmzV3K1a+RseN&#10;ZOfdJM90uk+wrnowbmP+JGJGkM8PDL7r7rskLXWixWwzFmr2o9RaOZVU/J8vu+vWqCFgNt7HHnZ3&#10;vWq3WeVGvTCM7L4QHovd3MOc8thpOXIhcbnAtovvtrv22mstPmJuDMYV4ScBk4MxOyWrnnUcePtI&#10;o8Zy5MhRMe19+vQpgU2/cOFCyc6ebbE8dWKKVKhQkt2tHmposRvna1WvniDWxDDevq67GxaxrHPe&#10;O+Wx03JGC9zHNwPYPonVPtWq325x8YknGv9/9s49WKrqSuP7rymjMWrUycwkaBTkpUHBCxIFtUw5&#10;ZsoyxDhlHI0vtDI1FY3OJP4xj0zFqqk4QXwEgi/AyBV5SiIEEMUrPkAUQUBQVGZ4TEYsRx0nZWJE&#10;E2vOOjerPbfv6Xu/e7t339PdP6q6dt/Tq3efXt/vfL1ZZ599Up+2uSBWq+7Js62O4mtDma9effXf&#10;lvy6Jwa2vrgtrF7dEf79ppvCIYd8pvTZ7s2TJk4sbbNx95Wnje/i3axBpXtwf36vVD9W43pigdca&#10;yyvQqxh6bdq0ueSRZ559QloT+c73Tw1Wq65UH5nys2OD3evA1+M2vz333PMkzy7X/Zxzvlr6fPft&#10;z3328GDe7TUTq3vbdTlD/qJz3P2FZJzePufe9J7tmzc9H+ze5f3xJ96T7/+qH6tx5ZrzdzGOfXRo&#10;XB0OPfSQkm/afD8bY9u9DCqNs20ed3bN7BOT9UWq1f/Cb/5NOOCAPynth/u3rTv1mYMPLm03787W&#10;TGzui9fM77zzjnQeI16c78V9yYvqx2pctXzw/sb1F7SLo517pLWXf/sr6Tj7zqWHdfPt6YuGhwsu&#10;7nrtY3/H2HlaLlr0YMmfs/s0ZuiwknfbdfDm3YOO7FyXyuIuveRbJe92D7/7rjvCkiWLw+pVDwe7&#10;lybj8b55uerHalye3myLczyT19bIa9YjrTZSPs62Wkn2nr02Lj71tIlVj7Hz+Jpz35xc777s9DO6&#10;jLMvSs5dZvf7hhtu6HLO0/0729p4/Nl1a6mnCPNRVD9W4/K0Zltr+As6x9F53rwFJQ+0c4w2jyTr&#10;3Rdc9Mk5QvNK9dxjf/U6o8yT7TOtNmLe7TUTW0/wW5nr4S1m5cpHwu/efz9s2LAxzJw5q9sY3D18&#10;zn0/Cy9s3IB/9+Dfqh+rcf1lgffFOebJa+Pn1dYsyc4BNO++4to/C3/5tWHhhFFDS55+SFIH/9FN&#10;N0cZZ5dzdMaZZ5Y+18fV5tmnHf/JvBdbu9u8+3OHda5XaH6f7ee9994LL720PcxPrvVxz862dl/7&#10;++9vD6sfXZXWUl7Z8dKAePljqx8JHY89OiCfXanmrfqxGpfVheeN7xloWBwNs97tXmmtnbecPPnq&#10;Lp5YD93yxt3m3Rdl1uq2/fNxt9Vv7Pzmq6++VnFf5z7wQJg2bXquj5un33777ek1nU+sWRNefbk+&#10;Pm61d6vhLHlwcWG8W/VjNa4evPAZxfEStKivFiNGjOwyzv3yqRPCvn1vVPTB2Ppk55X7b4nVTE44&#10;unPtbttm4+6sl9v/C/7v3Xd73OeXX9rRYy0lOy6/5567Uy9ftnRp2PDcs1G81X4jbG3Gl7cV4z5t&#10;qh+rcbE5of/6+gT5Ll6+n3zy6bBixcOho2NN+PDDD3v0v3rol1czOWHwkNJ9F9y7L07q337fBRt3&#10;K/v27rv/G7Zv3xaeXf9MxTF41sP9uc1XsfUTbb7KhufW12S+inn2kgcXRvldqFQPqbRd9WM1TtGC&#10;mOJ5AZqgSTUM5I27bb3ASzLnMG0cbnMEzce9ZvL2229L/p23b3Zt/rx580N7e3s6VyW7brn7d7a1&#10;NbOqHS8/umpFsEclP63XdtWP1bi8/LINT4CB5mdgelKXNk/OPux6ytNGnVjaZtdTmnf7uPuaa77b&#10;b9/OY+rD/fvDG/v2ha1btuSOz6dOvTlZh2V2ep5x766dffbfPcl7ZiZ1mW1bN/f5vbX0dNWP1bi8&#10;XLKt+Y9ZNEZjY+DHP55S8mj3b/Pu88vud/bNCZ1rdx988KfD9/7hhmBzS2IxtGfP7nTNrLy1zG0M&#10;3lf/tnvHPbh4Eb6d6B1LM/oltzBQPwZ++9vfdpmz6N5tNZPsfRcmJvfMyd53wc63xvRuZ2D+goXd&#10;xuFWC+/r3BTz+1qOn/valzqOVuM8P7T1O1bINbkuEgMdyflS9+tsa2tPnX7SmPQ1u9/Z+eNPSdfv&#10;/uyhh6bbbNxdj+9h1/4sX7E8179trrYy/l6/dm1YuGDegHm36sdqXD3yzmfgUzBQbAY6Eu/Om29u&#10;3p0dd6fj8OTeC+bvVjP5p3/8QY/ePWXKLeGyy64MbWNP6db/sGHD02tF7bpMlQ9bqzZvvviajo5e&#10;PdnuD/R4x2O9xvV1LK3Eq36sxqn5Iq7Yxx36oE+1DNi88jzvNt/29V/Nr8vvVZm3FtbcufPDoKOO&#10;yh3HZ8f0/nzf6/tk77brUW1uSnbuiT236+03PFt5Prh5tl2Po/hsrWNUP1bjqtWa9+MXMNA8DNg8&#10;c/fSbJu935nVScy77b45Vj+xuMWLf5H6rtXLT24bV+rjoAM/lV7Tc9bQL4bLxo8OV44dFSaffELa&#10;Xtg2Khx+6GFpbH/WaLF5KHnX3Nt1PatW/jKsX/d0+K/du7r49L2zZ4Ytmzd12VZrj87rT/VjNY5j&#10;rnmOObREy1owYGPZT33qgJL3un/b2t3Zc5P2fOKI4WmcjdOvvfb6LmPsIw4/PFx66rhw9ajBFR8n&#10;H/WF9P0nfGmUPN7O+462z3nzT2699Zb0endfK2XL5hfSa3vyvDXmNtWP1bi8HLCN4x8GWpsBqzlX&#10;8u5szaT8vgvu8Ree9ZVw1eikft2DZ9trYz7XeY7T1mypBXO2dmFe/dvqKLOSsbatWWLrX/VUT4nh&#10;36ofq3G1yBV9tPYxjv7Nqf/ziQfmeffpyXU5vv6r33fB73dmvj02uWa+N7/218d9sbMGbp9TK44+&#10;/vjj8M47b4f/2PlaumZK3nWZs2fdU9daierHalytckU/zXnsomtr67pn955u9RLzZlt3Knt/s/Jx&#10;t60p6N7cU3vmuM5auJ3DjMma3Td5+YqVXda+sppJjLF1Xp+qH6txMXNF3619zKN/c+i/bt36XO+2&#10;NQQHf76zPm3j7otOPzNdS9BrJbau4OTRwyr6t52fPDKpgVt8Le6pqfLm81AWL1qAb3MNZdTxgsok&#10;cc3hlUXT8fEK1+bYfRey4+5LknG4+XXWuyuNt08Z01aaX/i1Sed3O37sesx33n6n26Oa3Fh/d955&#10;VzqH0OrdeWPjGNvUcbQaV00OeC8eAQOtw8CNN/5byY/dl63Onb3fmW0fn8wN8detnfzltm5j7ssn&#10;nh4+fdBB4U+POCKNvWdmMvc6qadbLeOuu+7uNjfbx8h57Zw57SH7sGvj7focf9jf9nr5e+t57bvq&#10;x2ocx13rHHdojdbVMjB23Pgunmy+bN6dve+Ce/aQQUeHSaNGdPPsK8cMD0cnNZbRf7xH2lGDPh+m&#10;3Dylm6+W+2yt/p6WXDf5y2VLpevjazX2Vv1YjatWR96PF8BAazAwbdqM9Np29+Vse9CBB4ZzkjG0&#10;b7PzlpXqI21HDwqTMut8/+u//HPJs612sSzxVJunl3fe0Nb2s9f8sX7dumD3zck+Fi1ckM75s77s&#10;YeNqe92ul6z3/D/3fdWP1TiOudY45tAZnathwO5T5p5s87eza5b4dm9tnF3Js217W6aOMnzY0GDr&#10;hjyyamXdas3upfVsVT9W46rRkvfiBTDQGgzMvre95NvnjOicn33J+DHp/RSsTuLXq5t3jxr0hVzf&#10;viyJH3bs4HD8cceV+ro1uS9CPf1zoD5L9WM1juOuNY47dEbnahjw+5qdOHJkuPqk40q+fOkpY9Lz&#10;jt8YO7rkxVeMO6n0uo+7Lz9ldHoe0q6j9HH5VZOvaAnPtt8K1Y/VuGq05L14AQw0PwO2tp95rc39&#10;yPPk1JtPHBwuaPtS7utXtR0fRh9zTLA1Yd2zb/je34df7e265tNAjYXr8bmqH6txHHfNf9yhMRr3&#10;lwG7//yQIZ11jZ7ONfq4ury9ctyodJydnRv41xd8vWXG2f6boPqxGtdfPXkfXgADzc/Apk2bS2Pk&#10;qxIPLvfl3v62+YHl5zDXr30K365wnSK+3fzHFL6JxrEZ8PW4j0muZ+/No0uvJzWT80YND6e3jQ0j&#10;jzm25Ps2zl79yMMt59nUtzlOYx+n9A9jWQbuvuue1Hdt3Fzy5V7WZh03dFg4e8KEcGayPrfXs1ux&#10;NuI1EnybYyp7TPG8PjysWPFIWLJkWd0fu3bt7rZmR70174tv23rb5tcjhwzpsmbJMV88Jrw4APeY&#10;yfrmQD9X6x9qXL054PPq4zXkuXZ5bmv7cjj22KF1fRw/clSwdZUGWkf37T8/8sgu8/9KY++kJvKt&#10;ZF72xBHDwrCkJmLX5Bx2SOe9EGysff213wk7tm9tydpI9rdC9WM1bqC54PNr5y/kMk4u6+nbxw0Z&#10;Hr797WsG3K+dpeeee75U6xg6eHCYPP7ktF5i5yhtfsngZG7fyKHHldb187rIOWefHToeXdXyfu3e&#10;rfqxGuf60MY55slr4+e1nr5dJM92ds9I7oHgfuztgcn9aY4aNCgckay77du8vfiiC8Puna/g2cn1&#10;Nvh24x//fhzQNpaW9fDtYUOPT8fZH+z/sDBjbefU5nB/9a/O7ebP7tPWTphwarjxhz9I54u8/qs9&#10;Jb9y32r1Vh1Hq3GuDW1jeQl61U+v2L5tnt3R8WTh/LqcsU0bXwhfP/+CcHLbuDDpvEnhG1+fFK67&#10;7rth7VOtNx+7r79Dqh+rceXa8Hf9/IBcN0auY/t2EWsjvbE5Y8aMdO3V++77GWPrTD2kkp+rfqzG&#10;9aYPrzeGt6BTPJ1i+bbXRhpNuzf27Sutl92x+hF8G98u/P8VG+0YY3+r9/MYvt0otZE8frZu2VLy&#10;7efWP4Nv49v4doV1C/KOH7ZV78lKDmP4diPWRjxX85P7x/g9w3a+ugPfxrfxbXy7cAzU2rdHnzQ2&#10;vPnmW4X7nu7LvbXu2dZWquey/ZM5gJYLtW6txvWmEa/XZ0xHnoub51r7tl17+cMf/gjfFsapzeL/&#10;qh+rcfhFcf0CbYqhTQzfHjHiS6l3f/DBBw3n39nx9j7makv/51D9WI3DG4rhDehQXB1i+LavdzJh&#10;wlnhN7/5TUN5d9a3t23ZLPlWtePmZ3Lu2273Zt/52qt1+fxq91/1YzUOvyiuX6BNMbSJ6duNWDN5&#10;YdPG0nnJefPmhv/eu7sm3vnKjpfC5o0bwpNrHg8rli8Ndv7zjjs754lnfyvKn0+fPi3MndseVq96&#10;OKxf93T4zwJeY6/6sRqHNxTDG9ChuDrE9m2vmTTSuHvatOkl754+/Sehv+PuJ9asCQsSfzbvLffj&#10;8r9nzLgjZB/lr2f/npNcD/R4x2M1+03p73jb/j9g+6H6sRqHXxTXL9CmGNrE9u1GrJm88/Y7Yeot&#10;U0teO3XqzcG88tFVK4LVL7I+t3fXa+m2dU8/FZYtXRrm3t+e+PRPSu/N+m32uf02/PznD4UNGzaG&#10;/fvzzwM89fTaMH/Bwi77ku3j9ttvTz+znvWUTc9vSD9z1uyZwfJi+6P6sRqHNxTDG9ChuDrUy7cb&#10;rWby+uuvp7WMrE9W+/zZ5DqeV3a8HN5663/Cx3/4g1z3/+j3vw87d74Wnt/wXO7vwc1Tp4Q77vhp&#10;uG/OveGhh36RjoGtprL1hU3J573U47h8766daczL27aGjUn/659ZG5584vFg14ouW/pQWLRwYZg9&#10;654e/8+g+rEah18U1y/Qphja1NO3G7FmYpwuWrQ4rWHc/MfxZSX/tjpHe3t7mPvAA2Hp0l+GvXv3&#10;yN7c1+PBxup3JfdZy/6/oNJ+1Xq7/V9h5sxZaV5sv1U/VuP6mgvii+El6FA/Herp241YMyln8Xfv&#10;vx9ee3Vnl0d5TL3/tlrLnDnt4bbbbssdj1fr2+bRy1esDFa3se9f/v1UP1bjyvvn7/r5AblujFwP&#10;hG83Ws2kkVj+9a9/HXbv2hW2b98Wnk9q0evWPt2rl1uMPWwuzYsvvpi+3/qwvpTvrvqxGqd8JjGN&#10;4S/oFEen3nzb7i121VV/FyZOPKum96D0msn+/fslb0D/OPrXIq+qH6txtdgn+iguL2hTvTa9+XZ2&#10;jahaezfj7ur1K8IxoPqxGleE78Q+NAebzapjJd/29bPL7y12/XXfjzLu/uijjxh3N+i6a6ofq3HN&#10;eqzxvfgtqBUDeb7d2/rZMcbdjXhNfK00aPR+VD9W4xo9H+w//hybgTzfztZGKn3+tJ9Mr+m4m5pJ&#10;47Ku+rEaV4k5tjcuI2hXW+2yvm3nIBXPdg3ub59bU+/2c5WNdE2856KVW9WP1bhWziXfvbb+1qz5&#10;zPp2Xzzb80HNBM5UP1bjnC1a2IKBfAbct48fOSq89957/To3eMnFl9Z03E3NJF+rojKs+rEaV9Tv&#10;yX41FpfNrNcp407rU22kUi5qPe72mgnzu4t/rKh+rMZVYoztxWcBjeqjUS3vKVZr72bcXR8Gqj3W&#10;VD9W46rdH97fGNygU3F0Yn53cbSo13Gh+rEaV6/95nNaj1U0r6x5jHE387sr53ugWVT9WI0b6O/D&#10;5xeXNbSJqw3zu+Pmt0j8qn6sxhXpu7EvrcMxWndqzfzu1mBe9WM1juOnNbhB5+LqTM2kuNrU6rhR&#10;/ViNq9V+0U/zs4fG8TRmfne83BaBW9WP1bgifCf2obmZRV9N31qPu5nfreW9HnyqfqzG1WOf+Yzi&#10;8IMWxdai1t7N/O5i6K36sRrHcVwMXdEBHZyBWtdMTjqxLbz55lv9uj7f94m2Oj5VP1bj0KM6Pcgf&#10;+YvBQK3H3ebddt0n18QPDK+qH6txMZijz4Fhg7w3V95r7d1WM1myZBnj7gG4Z47qx2ocx3pzHevo&#10;2Vx61uqaePsN2L59B549AJ5tx6Tqx2ocx3lzHefo2Xx6VjvutvfDxcByofqxGoeeA6sn+Sf/CgPV&#10;nKtknD3wjKl+rMYpzBAz8LqjARr0ddxt5yLx7GJwo/qxGocfFENXdEAHhYG+ePfs2e3URwaonl2u&#10;perHalx5//yNf8BAsRlQaibLl6/Eswvi2XY8qX6sxnGMFvsYRR/0yWOg0rib2kgxeVH9WI3LY4Jt&#10;xdQeXdAly0Ced1MbKSYjqh+rcVkOeF5MzdEFXSox4PO7zcM5B1lcTlQ/VuMq8cD24jKANmiTZeDi&#10;S66gll2gWnZWG3+u+rEa5/3S4gU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z2OdnAgB+QABmCgCAz09rtYhH1kHzhWYAAGYOATBnrzbV6P8/8d8kpeYQAG&#10;YAAGYAAGYAAGYAAGYAAGYAAGYAAGYAAGYAAGYAAGYAAGYAAGYAAGYAAGGomBz4QQjkge9u/Q5GHP&#10;/x8AAP//AwBQSwMEFAAGAAgAAAAhAJ6RF7jgAAAACQEAAA8AAABkcnMvZG93bnJldi54bWxMj09P&#10;g0AUxO8mfofNM/FmdxHwD7I0TaOemia2JsbbK7wCKbtL2C3Qb+/zpMfJTGZ+ky9n04mRBt86qyFa&#10;KBBkS1e1ttbwuX+7ewLhA9oKO2dJw4U8LIvrqxyzyk32g8ZdqAWXWJ+hhiaEPpPSlw0Z9AvXk2Xv&#10;6AaDgeVQy2rAictNJ++VepAGW8sLDfa0bqg87c5Gw/uE0yqOXsfN6bi+fO/T7dcmIq1vb+bVC4hA&#10;c/gLwy8+o0PBTAd3tpUXHWv1yEkNsUpAsB+nKX87aEjS5wRkkcv/D4o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APsTMsdAMAAAIIAAAOAAAAAAAAAAAAAAAAADwC&#10;AABkcnMvZTJvRG9jLnhtbFBLAQItABQABgAIAAAAIQD+hDcGRFUAAOiyCQAUAAAAAAAAAAAAAAAA&#10;ANwFAABkcnMvbWVkaWEvaW1hZ2UxLmVtZlBLAQItABQABgAIAAAAIQCekRe44AAAAAkBAAAPAAAA&#10;AAAAAAAAAAAAAFJbAABkcnMvZG93bnJldi54bWxQSwECLQAUAAYACAAAACEAjiIJQroAAAAhAQAA&#10;GQAAAAAAAAAAAAAAAABfXAAAZHJzL19yZWxzL2Uyb0RvYy54bWwucmVsc1BLBQYAAAAABgAGAHwB&#10;AABQXQAAAAA=&#10;">
                      <v:shape id="그림 76" o:spid="_x0000_s1076"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51" o:title=""/>
                      </v:shape>
                      <v:shape id="Text Box 58" o:spid="_x0000_s1077"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5E9891B7"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v:textbox>
                      </v:shape>
                      <w10:wrap type="square"/>
                    </v:group>
                  </w:pict>
                </mc:Fallback>
              </mc:AlternateContent>
            </w:r>
          </w:p>
          <w:p w14:paraId="6A595A92" w14:textId="77777777" w:rsidR="002E5800" w:rsidRPr="008F328C" w:rsidRDefault="000E0B7C">
            <w:pPr>
              <w:pStyle w:val="a3"/>
              <w:numPr>
                <w:ilvl w:val="0"/>
                <w:numId w:val="22"/>
              </w:numPr>
              <w:rPr>
                <w:lang w:val="pl-PL"/>
              </w:rPr>
            </w:pPr>
            <w:r w:rsidRPr="008F328C">
              <w:rPr>
                <w:rFonts w:eastAsia="Times New Roman"/>
                <w:b/>
                <w:bCs/>
                <w:lang w:val="pl-PL"/>
              </w:rPr>
              <w:t>Wykonać wstrzyknięcie</w:t>
            </w:r>
          </w:p>
          <w:p w14:paraId="00F47EF1" w14:textId="77777777" w:rsidR="002E5800" w:rsidRPr="008F328C" w:rsidRDefault="002E5800">
            <w:pPr>
              <w:pStyle w:val="a3"/>
              <w:rPr>
                <w:lang w:val="pl-PL"/>
              </w:rPr>
            </w:pPr>
          </w:p>
          <w:p w14:paraId="3EB6863E" w14:textId="77777777"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Po wprowadzeniu igły należy puścić ściśniętą skórę.</w:t>
            </w:r>
          </w:p>
          <w:p w14:paraId="7B48D62F" w14:textId="77777777" w:rsidR="002E5800" w:rsidRPr="008F328C" w:rsidRDefault="000E0B7C">
            <w:pPr>
              <w:pStyle w:val="a3"/>
              <w:ind w:left="4117" w:hanging="180"/>
              <w:rPr>
                <w:lang w:val="pl-PL"/>
              </w:rPr>
            </w:pPr>
            <w:r w:rsidRPr="008F328C">
              <w:rPr>
                <w:rFonts w:eastAsia="Times New Roman"/>
                <w:b/>
                <w:bCs/>
                <w:lang w:val="pl-PL"/>
              </w:rPr>
              <w:t>b.</w:t>
            </w:r>
            <w:r w:rsidRPr="008F328C">
              <w:rPr>
                <w:rFonts w:eastAsia="Times New Roman"/>
                <w:lang w:val="pl-PL"/>
              </w:rPr>
              <w:t xml:space="preserve"> Powoli naciskać tłok ampułko-strzykawki do chwili wstrzyknięcia całego roztworu i opróżnienia ampułko-strzykawki.</w:t>
            </w:r>
          </w:p>
          <w:p w14:paraId="344DB054" w14:textId="77777777" w:rsidR="002E5800" w:rsidRPr="008F328C" w:rsidRDefault="002E5800">
            <w:pPr>
              <w:pStyle w:val="a3"/>
              <w:rPr>
                <w:lang w:val="pl-PL"/>
              </w:rPr>
            </w:pPr>
          </w:p>
          <w:p w14:paraId="237245AF" w14:textId="77777777" w:rsidR="002E5800" w:rsidRPr="008F328C" w:rsidRDefault="002E5800">
            <w:pPr>
              <w:pStyle w:val="a3"/>
              <w:rPr>
                <w:lang w:val="pl-PL"/>
              </w:rPr>
            </w:pPr>
          </w:p>
          <w:p w14:paraId="71E802C5" w14:textId="39019C86" w:rsidR="002E5800" w:rsidRPr="008F328C" w:rsidRDefault="000E0B7C" w:rsidP="00404101">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zmieniać pozycji ampułko-strzykawki po rozpoczęcia wstrzyknięcia.</w:t>
            </w:r>
          </w:p>
          <w:p w14:paraId="6CBF223F" w14:textId="77777777" w:rsidR="002E5800" w:rsidRPr="008F328C" w:rsidRDefault="000E0B7C">
            <w:pPr>
              <w:pStyle w:val="a3"/>
              <w:rPr>
                <w:lang w:val="pl-PL" w:eastAsia="ko-KR"/>
              </w:rPr>
            </w:pPr>
            <w:r w:rsidRPr="008F328C">
              <w:rPr>
                <w:color w:val="211D1E"/>
                <w:sz w:val="20"/>
                <w:szCs w:val="20"/>
                <w:lang w:val="pl-PL"/>
              </w:rPr>
              <w:t xml:space="preserve"> </w:t>
            </w:r>
          </w:p>
        </w:tc>
      </w:tr>
      <w:tr w:rsidR="002E5800" w:rsidRPr="00A5286D" w14:paraId="70F307B3" w14:textId="77777777">
        <w:trPr>
          <w:trHeight w:val="5374"/>
        </w:trPr>
        <w:tc>
          <w:tcPr>
            <w:tcW w:w="9209" w:type="dxa"/>
          </w:tcPr>
          <w:p w14:paraId="1EB0F694" w14:textId="77777777" w:rsidR="002E5800" w:rsidRPr="008F328C" w:rsidRDefault="002E5800">
            <w:pPr>
              <w:ind w:left="104"/>
              <w:rPr>
                <w:rFonts w:ascii="Times New Roman" w:eastAsia="Times New Roman" w:hAnsi="Times New Roman" w:cs="Times New Roman"/>
                <w:b/>
                <w:bCs/>
                <w:spacing w:val="-1"/>
                <w:lang w:val="pl-PL"/>
              </w:rPr>
            </w:pPr>
          </w:p>
          <w:p w14:paraId="6C49C41B" w14:textId="77777777" w:rsidR="002E5800" w:rsidRPr="008F328C" w:rsidRDefault="000E0B7C">
            <w:pPr>
              <w:pStyle w:val="a3"/>
              <w:rPr>
                <w:lang w:val="pl-PL"/>
              </w:rPr>
            </w:pPr>
            <w:r w:rsidRPr="008F328C">
              <w:rPr>
                <w:noProof/>
                <w:lang w:eastAsia="ko-KR"/>
              </w:rPr>
              <w:drawing>
                <wp:anchor distT="0" distB="0" distL="114300" distR="114300" simplePos="0" relativeHeight="251658261" behindDoc="0" locked="0" layoutInCell="1" allowOverlap="1" wp14:anchorId="123E648A" wp14:editId="17ACFA25">
                  <wp:simplePos x="0" y="0"/>
                  <wp:positionH relativeFrom="column">
                    <wp:posOffset>70485</wp:posOffset>
                  </wp:positionH>
                  <wp:positionV relativeFrom="paragraph">
                    <wp:posOffset>63500</wp:posOffset>
                  </wp:positionV>
                  <wp:extent cx="2160000" cy="2666667"/>
                  <wp:effectExtent l="19050" t="19050" r="12065" b="19685"/>
                  <wp:wrapSquare wrapText="bothSides"/>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2666667"/>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64F542B5" w14:textId="77777777" w:rsidR="002E5800" w:rsidRPr="008F328C" w:rsidRDefault="000E0B7C">
            <w:pPr>
              <w:pStyle w:val="a3"/>
              <w:numPr>
                <w:ilvl w:val="0"/>
                <w:numId w:val="22"/>
              </w:numPr>
              <w:rPr>
                <w:b/>
                <w:lang w:val="pl-PL"/>
              </w:rPr>
            </w:pPr>
            <w:r w:rsidRPr="008F328C">
              <w:rPr>
                <w:rFonts w:eastAsia="Times New Roman"/>
                <w:b/>
                <w:bCs/>
                <w:lang w:val="pl-PL"/>
              </w:rPr>
              <w:t xml:space="preserve">Wyjąć ampułko-strzykawkę z </w:t>
            </w:r>
            <w:r w:rsidRPr="008F328C">
              <w:rPr>
                <w:rFonts w:eastAsia="Times New Roman"/>
                <w:lang w:val="pl-PL"/>
              </w:rPr>
              <w:t xml:space="preserve">miejsca </w:t>
            </w:r>
            <w:r w:rsidRPr="008F328C">
              <w:rPr>
                <w:rFonts w:eastAsia="Times New Roman"/>
                <w:b/>
                <w:bCs/>
                <w:lang w:val="pl-PL"/>
              </w:rPr>
              <w:t>wstrzyknięcie i zaopatrzyć miejsce wstrzyknięcia</w:t>
            </w:r>
          </w:p>
          <w:p w14:paraId="300D002F" w14:textId="77777777" w:rsidR="002E5800" w:rsidRPr="008F328C" w:rsidRDefault="002E5800">
            <w:pPr>
              <w:pStyle w:val="a3"/>
              <w:numPr>
                <w:ilvl w:val="0"/>
                <w:numId w:val="0"/>
              </w:numPr>
              <w:ind w:left="471"/>
              <w:rPr>
                <w:b/>
                <w:lang w:val="pl-PL"/>
              </w:rPr>
            </w:pPr>
          </w:p>
          <w:p w14:paraId="7DCCCA29" w14:textId="77777777"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Po opróżnieniu ampułko-strzykawki wyjąć ją ze skóry pod tym samym kątem, pod którym została wprowadzona.</w:t>
            </w:r>
          </w:p>
          <w:p w14:paraId="347484DA" w14:textId="77777777" w:rsidR="002E5800" w:rsidRPr="008F328C" w:rsidRDefault="000E0B7C">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Delikatnie przycisnąć wacik lub gazik do miejsca wstrzyknięcia, nie pocierać i w razie potrzeby nałożyć plaster samoprzylepny. Może wystąpić niewielkie krwawienie.</w:t>
            </w:r>
          </w:p>
          <w:p w14:paraId="75195FB5" w14:textId="77777777" w:rsidR="002E5800" w:rsidRPr="008F328C" w:rsidRDefault="002E5800">
            <w:pPr>
              <w:pStyle w:val="a3"/>
              <w:rPr>
                <w:lang w:val="pl-PL"/>
              </w:rPr>
            </w:pPr>
          </w:p>
          <w:p w14:paraId="69798BA7" w14:textId="77777777" w:rsidR="002E5800" w:rsidRPr="008F328C" w:rsidRDefault="000E0B7C">
            <w:pPr>
              <w:pStyle w:val="a3"/>
              <w:rPr>
                <w:lang w:val="pl-PL"/>
              </w:rPr>
            </w:pPr>
            <w:r w:rsidRPr="008F328C">
              <w:rPr>
                <w:lang w:val="pl-PL"/>
              </w:rPr>
              <w:t xml:space="preserve"> </w:t>
            </w:r>
          </w:p>
          <w:p w14:paraId="76EF6AE5" w14:textId="77777777" w:rsidR="002E5800" w:rsidRPr="008F328C" w:rsidRDefault="000E0B7C">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używać</w:t>
            </w:r>
            <w:r w:rsidRPr="008F328C">
              <w:rPr>
                <w:rFonts w:eastAsia="Times New Roman"/>
                <w:lang w:val="pl-PL"/>
              </w:rPr>
              <w:t xml:space="preserve"> ponownie ampułko-strzykawki.</w:t>
            </w:r>
          </w:p>
          <w:p w14:paraId="59E4BC3D" w14:textId="77777777" w:rsidR="002E5800" w:rsidRPr="008F328C" w:rsidRDefault="000E0B7C">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 xml:space="preserve">Nie </w:t>
            </w:r>
            <w:r w:rsidRPr="008F328C">
              <w:rPr>
                <w:rFonts w:eastAsia="Times New Roman"/>
                <w:lang w:val="pl-PL"/>
              </w:rPr>
              <w:t xml:space="preserve"> dotykać ani nie nakładać ponownie osłony na igłę. </w:t>
            </w:r>
          </w:p>
          <w:p w14:paraId="3716637A" w14:textId="77777777" w:rsidR="002E5800" w:rsidRPr="008F328C" w:rsidRDefault="000E0B7C">
            <w:pPr>
              <w:pStyle w:val="a3"/>
              <w:rPr>
                <w:lang w:val="pl-PL"/>
              </w:rPr>
            </w:pPr>
            <w:r w:rsidRPr="008F328C">
              <w:rPr>
                <w:noProof/>
                <w:lang w:eastAsia="ko-KR"/>
              </w:rPr>
              <mc:AlternateContent>
                <mc:Choice Requires="wps">
                  <w:drawing>
                    <wp:anchor distT="0" distB="0" distL="114300" distR="114300" simplePos="0" relativeHeight="251658252" behindDoc="0" locked="0" layoutInCell="1" allowOverlap="1" wp14:anchorId="6C8E8FE8" wp14:editId="62051E8D">
                      <wp:simplePos x="0" y="0"/>
                      <wp:positionH relativeFrom="column">
                        <wp:posOffset>1509395</wp:posOffset>
                      </wp:positionH>
                      <wp:positionV relativeFrom="paragraph">
                        <wp:posOffset>189230</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FFD33FD"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E8FE8" id="Text Box 62" o:spid="_x0000_s1078" type="#_x0000_t202" style="position:absolute;margin-left:118.85pt;margin-top:14.9pt;width:56.65pt;height:11.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tiuHwIAAEIEAAAOAAAAZHJzL2Uyb0RvYy54bWysU99v0zAQfkfif7D8TpMOtkHUdCqdipCq&#10;bVKH9uw6TmPJ8Zmz26T89ZydpoXBE+LFufjO9+P7vpvd9a1hB4Vegy35dJJzpqyESttdyb89r959&#10;5MwHYSthwKqSH5Xnd/O3b2adK9QVNGAqhYySWF90ruRNCK7IMi8b1Qo/AacsOWvAVgT6xV1Woego&#10;e2uyqzy/yTrAyiFI5T3d3g9OPk/561rJ8FjXXgVmSk69hXRiOrfxzOYzUexQuEbLUxviH7pohbZU&#10;9JzqXgTB9qj/SNVqieChDhMJbQZ1raVKM9A00/zVNJtGOJVmIXC8O8Pk/19a+XDYuCdkof8MPREY&#10;AemcLzxdxnn6Gtv4pU4Z+QnC4xk21Qcm6fJ2+un2mniW5Jp+uMmvE6zZ5bFDH74oaFk0So7ESgJL&#10;HNY+UEEKHUNiLQ9GVyttTPyJjqVBdhDEYNfooGKL9OK3KGNjrIX4anDHm+wySbRCv+2Zrkr+/jzm&#10;FqojTY8wCMM7udJUcC18eBJISqCBSd3hkY7aQFdyOFmcNYA//nYf44kg8nLWkbJK7r/vBSrOzFdL&#10;1EUZjgaOxnY07L5dAo06pb1xMpn0AIMZzRqhfSHRL2IVcgkrqVbJw2guw6BvWhqpFosURGJzIqzt&#10;xsmYegT2uX8R6E60BOLzAUbNieIVO0Ns4sct9oGgTtRFYAcUT3iTUBM/p6WKm/Drf4q6rP78JwAA&#10;AP//AwBQSwMEFAAGAAgAAAAhAHMkZ0XhAAAACQEAAA8AAABkcnMvZG93bnJldi54bWxMjz1PwzAQ&#10;hnck/oN1SCyIOk36GeJUVQUDLBWhSzc3vsaB2I5spw3/nmOC7U736L3nLTaj6dgFfWidFTCdJMDQ&#10;1k61thFw+Hh5XAELUVolO2dRwDcG2JS3N4XMlbvad7xUsWEUYkMuBegY+5zzUGs0Mkxcj5ZuZ+eN&#10;jLT6hisvrxRuOp4myYIb2Vr6oGWPO431VzUYAfvZca8fhvPz23aW+dfDsFt8NpUQ93fj9glYxDH+&#10;wfCrT+pQktPJDVYF1glIs+WSUBrWVIGAbD6lcicB83QFvCz4/wblDwAAAP//AwBQSwECLQAUAAYA&#10;CAAAACEAtoM4kv4AAADhAQAAEwAAAAAAAAAAAAAAAAAAAAAAW0NvbnRlbnRfVHlwZXNdLnhtbFBL&#10;AQItABQABgAIAAAAIQA4/SH/1gAAAJQBAAALAAAAAAAAAAAAAAAAAC8BAABfcmVscy8ucmVsc1BL&#10;AQItABQABgAIAAAAIQA2qtiuHwIAAEIEAAAOAAAAAAAAAAAAAAAAAC4CAABkcnMvZTJvRG9jLnht&#10;bFBLAQItABQABgAIAAAAIQBzJGdF4QAAAAkBAAAPAAAAAAAAAAAAAAAAAHkEAABkcnMvZG93bnJl&#10;di54bWxQSwUGAAAAAAQABADzAAAAhwUAAAAA&#10;" stroked="f">
                      <v:textbox style="mso-fit-shape-to-text:t" inset="0,0,0,0">
                        <w:txbxContent>
                          <w:p w14:paraId="0FFD33FD"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v:textbox>
                      <w10:wrap type="square"/>
                    </v:shape>
                  </w:pict>
                </mc:Fallback>
              </mc:AlternateContent>
            </w: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pocierać</w:t>
            </w:r>
            <w:r w:rsidRPr="008F328C">
              <w:rPr>
                <w:rFonts w:eastAsia="Times New Roman"/>
                <w:lang w:val="pl-PL"/>
              </w:rPr>
              <w:t xml:space="preserve"> miejsca wstrzyknięcia.</w:t>
            </w:r>
          </w:p>
        </w:tc>
      </w:tr>
      <w:tr w:rsidR="002E5800" w:rsidRPr="00A5286D" w14:paraId="1E9D7AD5" w14:textId="77777777">
        <w:trPr>
          <w:trHeight w:val="5380"/>
        </w:trPr>
        <w:tc>
          <w:tcPr>
            <w:tcW w:w="9209" w:type="dxa"/>
          </w:tcPr>
          <w:p w14:paraId="367B49B3" w14:textId="77777777" w:rsidR="002E5800" w:rsidRPr="008F328C" w:rsidRDefault="002E5800">
            <w:pPr>
              <w:ind w:left="104"/>
              <w:rPr>
                <w:rFonts w:ascii="Times New Roman" w:eastAsia="Times New Roman" w:hAnsi="Times New Roman" w:cs="Times New Roman"/>
                <w:b/>
                <w:bCs/>
                <w:spacing w:val="-1"/>
                <w:lang w:val="pl-PL"/>
              </w:rPr>
            </w:pPr>
          </w:p>
          <w:p w14:paraId="1EEDA208" w14:textId="269B6A48" w:rsidR="002E5800" w:rsidRPr="008F328C" w:rsidRDefault="00F2584C">
            <w:pPr>
              <w:pStyle w:val="a3"/>
              <w:rPr>
                <w:lang w:val="pl-PL"/>
              </w:rPr>
            </w:pPr>
            <w:r w:rsidRPr="008F328C">
              <w:rPr>
                <w:noProof/>
                <w:lang w:eastAsia="ko-KR"/>
              </w:rPr>
              <mc:AlternateContent>
                <mc:Choice Requires="wpg">
                  <w:drawing>
                    <wp:anchor distT="0" distB="0" distL="114300" distR="114300" simplePos="0" relativeHeight="251658260" behindDoc="0" locked="0" layoutInCell="1" allowOverlap="1" wp14:anchorId="32ACC6E9" wp14:editId="79720181">
                      <wp:simplePos x="0" y="0"/>
                      <wp:positionH relativeFrom="column">
                        <wp:posOffset>4445</wp:posOffset>
                      </wp:positionH>
                      <wp:positionV relativeFrom="paragraph">
                        <wp:posOffset>156845</wp:posOffset>
                      </wp:positionV>
                      <wp:extent cx="2123440" cy="2838450"/>
                      <wp:effectExtent l="19050" t="19050" r="10160" b="0"/>
                      <wp:wrapSquare wrapText="bothSides"/>
                      <wp:docPr id="89" name="그룹 89"/>
                      <wp:cNvGraphicFramePr/>
                      <a:graphic xmlns:a="http://schemas.openxmlformats.org/drawingml/2006/main">
                        <a:graphicData uri="http://schemas.microsoft.com/office/word/2010/wordprocessingGroup">
                          <wpg:wgp>
                            <wpg:cNvGrpSpPr/>
                            <wpg:grpSpPr>
                              <a:xfrm>
                                <a:off x="0" y="0"/>
                                <a:ext cx="2123440" cy="2838450"/>
                                <a:chOff x="0" y="0"/>
                                <a:chExt cx="2123440" cy="2838450"/>
                              </a:xfrm>
                            </wpg:grpSpPr>
                            <wps:wsp>
                              <wps:cNvPr id="64" name="Text Box 64"/>
                              <wps:cNvSpPr txBox="1"/>
                              <wps:spPr>
                                <a:xfrm>
                                  <a:off x="1358900" y="2692400"/>
                                  <a:ext cx="719758" cy="146050"/>
                                </a:xfrm>
                                <a:prstGeom prst="rect">
                                  <a:avLst/>
                                </a:prstGeom>
                                <a:solidFill>
                                  <a:prstClr val="white"/>
                                </a:solidFill>
                                <a:ln>
                                  <a:noFill/>
                                </a:ln>
                              </wps:spPr>
                              <wps:txbx>
                                <w:txbxContent>
                                  <w:p w14:paraId="0D03B051"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 name="그림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23440" cy="2606675"/>
                                </a:xfrm>
                                <a:prstGeom prst="rect">
                                  <a:avLst/>
                                </a:prstGeom>
                                <a:ln w="12700">
                                  <a:solidFill>
                                    <a:schemeClr val="tx1">
                                      <a:lumMod val="65000"/>
                                      <a:lumOff val="35000"/>
                                    </a:schemeClr>
                                  </a:solidFill>
                                </a:ln>
                              </pic:spPr>
                            </pic:pic>
                          </wpg:wgp>
                        </a:graphicData>
                      </a:graphic>
                    </wp:anchor>
                  </w:drawing>
                </mc:Choice>
                <mc:Fallback>
                  <w:pict>
                    <v:group w14:anchorId="32ACC6E9" id="그룹 89" o:spid="_x0000_s1079" style="position:absolute;margin-left:.35pt;margin-top:12.35pt;width:167.2pt;height:223.5pt;z-index:251658260" coordsize="21234,28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PNi6kAwAAYwgAAA4AAABkcnMvZTJvRG9jLnhtbKRW227cNhB9L9B/&#10;IPQea++2BWuDrV0bAdzEqF3kmUtRKyISyZLcldwP6i+0D/2i5Cd6SIm78dqFg/TB8nA4HHIOzxzu&#10;xduuqcmOGyuUzJPxySghXDJVCLnJk98ert+cJcQ6KgtaK8nz5JHb5O3yxx8uWp3xiapUXXBDkETa&#10;rNV5UjmnszS1rOINtSdKc4nJUpmGOgzNJi0MbZG9qdPJaLRIW2UKbRTj1sJ71U8my5C/LDlzH8rS&#10;ckfqPMHZXPia8F37b7q8oNnGUF0JNhyDfscpGiokNt2nuqKOkq0Rz1I1ghllVelOmGpSVZaC8VAD&#10;qhmPjqq5MWqrQy2brN3oPUyA9gin707L3u9ujL7XdwZItHoDLMLI19KVpvH/cUrSBcge95DxzhEG&#10;52Q8mc5mQJZhbnI2PZvNB1BZBeSfrWPVz6+sTOPG6ZPjtBoEsQcM7P/D4L6imgdobQYM7gwRRZ4s&#10;ZgmRtAFPH3yBP6mOwBWQCWEeJ+I6+MH16LdwvgDXeDo/Ox8BGQ/M4nwygx3YFqE7HZ+fztEeHrnx&#10;bDHqgduXTzNtrLvhqiHeyBMDMgeO0d2tdUiF0Bji97eqFsW1qGs/8BOXtSE7CuK3lXDcb44VT6Jq&#10;6WOl8qv6ae8B8Dbrq/KW69ZdQGc6iSWvVfEIJIzq+8lqdi2w4S217o4aNBDKhii4D/iUtWrzRA1W&#10;Qipl/njJ7+Nxp5hNSIuGzBP7+5YanpD6ncRt++6NhonGOhpy21wqlDqG3GgWTCwwro5maVTzEVqx&#10;8rtgikqGvfLERfPS9bIArWF8tQpB6FFN3a2818ynjsA+dB+p0cO1ONznexX5RLOj2+ljw/3o1dYB&#10;6nB1HtgexQFvcHt5oQXL8Dc0OqxnJH9dELHKbT1svag235SjoebTVr/p6xVrUQv3GPQVNftDyd2d&#10;YJ7mfnDol0lsl89//f3lz39IIEgM6ReAioLdKvbJEqkuKyo3fGU1qDx0UPo0PAyf7LauhY6s9vZQ&#10;Fy7rSANfgKbX1yvFtg2Xrn8wDK+pw2tlK6EtKJLxZs0LtNe7AuRheKwc+l8bIV3fr9YZ7ljlr7BE&#10;n/yKsw+tFCfCoQ/n9BX9hyiAeK9p6GK0WJzOh26NEhz7/BuloJYEPTeenEJzAvW+lobwtvK9OLiu&#10;J3a9bX5RRS8Yi/koqhXcXseDjkyj2+uIf6F9lmNVwVwQkQMKAR4MA9PDSxbWDK+ufyq/Hoeow2+D&#10;5b8AAAD//wMAUEsDBAoAAAAAAAAAIQAzri2PhWUAAIVlAAAVAAAAZHJzL21lZGlhL2ltYWdlMS5q&#10;cGVn/9j/4AAQSkZJRgABAgEBLQEt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AAAAAAB/9sAQwAMCAgICAgMCAgMEAsLCwwPDg0NDhQSDg4TExIXFBIUFBobFxQUGx4eJxsU&#10;JCcnJyckMjU1NTI7Ozs7Ozs7Ozs7/9sAQwENCgoMCgwODAwOEQ4ODA0RFBQPDxEUEBEYERAUFBMU&#10;FRUUExQVFRUVFRUVGhoaGhoaHh4eHh4jIyMjJycnLCws/9sAQwINCgoMCgwODAwOEQ4ODA0RFBQP&#10;DxEUEBEYERAUFBMUFRUUExQVFRUVFRUVGhoaGhoaHh4eHh4jIyMjJycnLCws/8AAEQgCVwHoAwAi&#10;AAERAQIRAv/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AABEQIRAD8A9Voo&#10;ooAKKKKACiiigAooooAKKKKACiiigAooooAKKKKACiiigAooooAKKKKACiiigAooooAKKKKACiii&#10;gAooooAKKKKACiiigAooooAKKKKACiiigAooooAKKKKACiiigAooooAKKp3+q2Omrm6kwxGVjX5n&#10;P4f1NY7+KL65+XTLJj6PJlh+QwB+dAHSUVyzQ+JLzm4u/s6n+GM7SP8AvgD+dN/4R53OZbyR29cH&#10;+rGgDq6K5T/hHF/5+pP8/jR/wjcZ4a5kI7jj/E0AdXRXJ/8ACMWv/PWT/wAd/wAKP+EYtf8AnrJ/&#10;47/hQB1RljBwXUEe4pPNi/vr+YrmB4ZsccyS5+qf/EUv/CM2H/PSb80/+IoA6Q3NsDgyoD6Fl/xo&#10;rnB4a08D70p/4Ev/AMTRQB1FFFFABRRRQAUUUUAFFFFABRRRQAUUUUAFFFFABRRRQAUUUUAFFFFA&#10;BRRRQAUUUUAFFFFABRRRQAUUUUAFFFFABRRRQAUUUUAFFFFABRRRQAUUUUAFFFFABRRRQAUUUhIA&#10;yeAKAFrF1vXfsZ+xWGJbxzjA+YJn1/2vQVX1PxBLPKdO0X95I3DTjoPXb/8AFflRpukx2I82Q+bc&#10;N96Q84z1Az/OgCGy0VQ32rUj9ouHO4hjuUH39T+laoAAwOAOgoopiCiiigAooooAKKKKACiiigAo&#10;oooA06KKKQwooooAKKKKACiiigAooooAKKKKACiiigAooooAKKKKACiiigAooooAKKKKACiiigAo&#10;oooAKKKKACiiigAooooAKKKKACiiigAooooAKKKKACiiigAoorK1XxBaadmGP9/c9BGp4B/2j2+n&#10;WgC/dXVvZQme5cRovc9/YDqTXNXN/qHiGQ29oDb2QOHc9W+uOv8Auj8aSPT77VpheawxC/wQD5cD&#10;0x/CP1rYjjSJBHGoVVGAo4AoAgsrC3sIvLgXk/ec/eY+9WKKKYgooooAKKKKACiiigAooooAKKKK&#10;ACiiigDTooopDCiiigAooooAKKKKACiiigAooooAKKKKACiiigAooooAKKKKACiiigAooooAKKKK&#10;ACiiigAooooAKKKKACiiigAooooAKKKKACiiigAooqG7u7eyga4uXCIvfuT2AHc0ATVR1DWtP00E&#10;TyZk7RJ8z/l2/GsSbVtX1pjHpym1ts4Mp4Y/j/RfzqWy0O0tj5kv+kS5yWfpn2HP60ARS6lrWtfJ&#10;aJ9jtj1fJDEf73X8hViw0e1scPjzZu8jf0Har1FMQUUUUAFFFFABRRRQAyOaOUuqH5o2KsDwQf8A&#10;A9qfVa6jdGF5AMyIMOg/5aJ3X6jqP/r1PHIk0ayxncrgEEehoAdRRRQAUUUUAFFFFABRRRQBp0UU&#10;UhhRRRQAUUUUAFFFFABRRRQAUUUUAFFFFABRRRQAUUUUAFFFFABRRRQAUUUUAFFFFABRRRQAUUUU&#10;AFFFFABRRRQAUUUUAFFFFABRRRQAhIUEk4AGSTwK5S5lbxFqm1SfsNqfoG9/xx+VXPEmpSMy6NZH&#10;M0+BKR2U/wAP49T7fWprGzjsbZYE5I5Zv7zHqaAJkRY1CIAqqMADgAUtFNM0QlEJYB2G5VPBI9vW&#10;mIdRRRQAUUVDNdpG/kxgyzEZEadfqT0Ue5oAmoqobZpQZdQcbVBPlqSsSgdyeCx9zx7VXQ2gAkki&#10;mgiYnZKJJQhHYna+VB9xigDToJAGTwBVcWds6hg0jqeR++mYH/x8igafZZyYlc/7eZP/AEImgBXv&#10;rVTsDiR/7keZG/Jc1BbSSQ3BSSMxQ3DFogxBIfGWBxkDPUDPrV1ESNdsahV9FAA/So7qEzwMinDj&#10;DRt6OvKn8xQBLRUdvMLiBJhxvUHHoe4/A1JQAUUUUAFFFFABRRRQBp0UUUhhRRRQAUUUUAFFFFAB&#10;RRRQAUUUUAFFFFABRRRQAUUUUAFFFFABRRRQAUUUUAFFFFABRRRQAUUUUAFFFFABRRRQAUUUUAFF&#10;FFABVLVtSj0uza4bBc/LEn95j0/D1q27pGjSOQqqCzE8AAck1ygd/EOpm5kB+x2xxGp6Hv8Ar1P5&#10;UATaLZSDdqV2S1xcZYFuoU85+p/lWpRRTEFMmgiuE8uUZGcg9CD2IPUGn0UAVo5ZbeRYLo7lY4im&#10;6bj/AHW7BvT1+tTTTxQLvmYKOgz1J9AOpP0qtqM0YiNqdu+UAZb7qKTje3pz096lhs4oW8wlpZcY&#10;8yQ7n/DsPwoAZm6u+mbaE9z/AK9v5hf5/SpALWwhJ4jQHJPUkn1PJJP50k12EfyIVM039xeAvux6&#10;KP19KSK1O8T3TCWYfdxxGnso/qeaAGrHLeMJLhSkAIKQn7zEdGf+i/nVqiigCs1mYiXsm8ljyYyM&#10;wt/wHjB9xij7aIuLxDAf75+aI/8AAh0/HFWaKAEVldQyEMD0I5FLWJqc8CzCz0yM/bJG2kwlkwff&#10;aQCfr0pP7Q1PSJ1s9STztygoVIaQg8D68+tAGpZcLMnZLiUD/gR3/wA2qxUNnE8cA8z/AFkjNI49&#10;Gc7iPwzipqACiiigAooooAKKKKANOiiikMKKKKACiiigAooooAKKKKACiiigAooooAKKKKACiiig&#10;AooooAKKKKACiiigAooooAKKKKACiiigAooooAKKKKACiiigAoorP1rVE0uzMo5mfKwr/tev0FAG&#10;Z4iv5LudNEsjlnI89h0A67T/ADNW7S2js7dLeLog69ye5NUtFsGgja7uMm4uPmYt94A84+p6mtKm&#10;IKKZDNHOm+M5GSCDwQR1BB5Bp9ABUVzceSoVBvlkO2NPU+p9AO5pbidLePe+SScKo5ZmPRQPWmW0&#10;DqxuLjBncYOOVReyL7evqaACC1WNG83EskvMrEcN2x/ujoBXP6hqdzBNJZWkzLDExVT/AB8dRu64&#10;B4Fb2pXYsrOSf+LG1P8AePT/ABrnrayJu7KBxl5cTyZ67SSQD/wFc/jQB0llbi2to48YbaC57liP&#10;mJ9TmiW4MLfPE5TA/eIA4H1AJb9KmooAbFLHMgkiYOp7jmnVXmtTvNxakRzd/wC4/sw/r1FPguEm&#10;iMp+QqSJFbqjL1BoAlrIvdSnu5v7N0kGSVuHkXoB0OD/ADNNuLy61ic6dpQ+T/lrNyBj69h/Otyw&#10;0+y0O0ZgQNq7ppm+8ccn8PQUhlGK1svC9i13NiW6cbc92Y/wrnoPU/8A6qp6VaTXU7avqHzSynMY&#10;PYdjj6dKYhl8RagbycEWcB2xIe/t/U/lW104FABRRRTEFFFFABRRRQAUUUUAadFFFIYUUUUAFFFF&#10;ABRRRQAUUUUAFFFFABRRRQAUUUUAFFFFABRRRQAUUUUAFFFFABRRRQAUUUUAFFFFABRRRQAUUUUA&#10;FFFFADZJEhjaWVgqIpZmPQAck1ykJfXtTbUJgRbQHbCh6HHIH9T+VWfEV7JfXKaJZnqQZ2HQdwD7&#10;Dqau21vHawJBEMKgx7n1JoAkooopiKtyjW7m9hGeB56D+JR/EP8AaH6jip5J4o4fPZh5eAdw5znp&#10;j1zninOyopdyAqgkk9AB1qjY2zMFllz5SMxtoiMbVJJVj74PHoPegCaCKSST7XcjD4IijPPlqf8A&#10;2Y9z+FWaKztZ1A2kIhh5uJvlQDkgHjP+FAFeRDrusJZpk2tsS0pHQ46/n0FOsSLzXL28A+SP92mO&#10;mB8i4/4ClaFjZjQdFmmfHnmJpJD/ALWPlX8DVLw7B5dh5p6zOzZ9h8o/UGkM1KKKKYgrDuY5tW1Z&#10;9Os38uMqv2lh0Ozgk/mBj1rU1C7FlaSXH8QGEHqx4FY2k6vDplvIYo2ub65fJ67QBnAPcnJzxSGd&#10;Ta2llpFpsjxFGgy8jEAk/wB5jWBq2qNrjrpmmqxh3gyynIBA/wDZe/PU002Gqau4m1aUpGDlYV4x&#10;+HQfU5NaKrZ6dEEUCGPOM4OM+rHn8zQBLbwR20KQRDCIMD/Gn0AhgGU5B5BHIopiCiiigAooooAK&#10;Kzr3XLS1Plxfv5c42J0z7nn9Kii0rWtYw9+/2S3PIjAwxH+7/wDFH8KANCW+s4f9bPGp9Nwz+XWi&#10;iHwppEWN6vMf9tiP/QdtFIZs0UUUAFFFFABRRRQAUUUUAFFFFABRRRQAUUUUAFFFFABRRRQAUUUU&#10;AFFFFABRRRQAUUUUAFFFFABRRRQAUUUUAFFFFABWfreprpdk0ox5z/LEp/vev0FaFcnuOvaw9w/N&#10;raHbGvY4PH5kZP5UAT6LYtbxG6uMm4uPmYt1APOPqeprSoopiChmVQWYgADJJ4AFMmmigQySsFUd&#10;/U9gPU1XEUl4RJdLshBykB6t6F//AIn86AAA37B3GLVSCingykdGP+z6Dv1q3RUdzcw2kLTTttVf&#10;zJ9B70ANvLyKxgaeU8DhV7sewFVdA06W8uDrd+OWP+joeg7bseg7fnUGn2U/iC7F9eKUsoj+7j/v&#10;YPT/ABP4fTqQAoCqAABgAcAAUhmJ4tuDHpqwL964lVcey/Mf1AqS1h+z20UH/PONVP1A5P51R1tv&#10;tmv2ln1WBQ7fU/Of0UVfluYYXVJW2FvulshT7Z6Z9s0ASVFdXUFnEZp22qOnqT6AVHf38Onw+bLy&#10;x4RB1Y/4eprMtLC41aYX+pZEXWOLoCP6D+dMRGy33iGQHHkWiMdpPOT0z2yf0Fa9lp1rYriBPmI5&#10;kblz+P8AhVlVVFCqAqgYAHAA9KKAGLKJFkEJBZGKHOcBgM8/nTbab7RAshGGIw6+jDhl/A1FKfsl&#10;z554hn2rIeyuOFY+xHB/Clkjlt5Wubdd6PzNEOpPTev+1jqO/wBaAEeB7QmazGU6vbj7p9Sno3t0&#10;NWIpEmjWWM7kYZBFJDPFcLviYMAcEdCD6EdQfrUMKmC6kiUHy5R5y+gbOHH45B/OgCzR05NR3NzD&#10;aRGadgqj8yfQeprJjTUvEblYs21iDgsf4v8A4o+3QUAWLvXrOBvLhBuJOmE+7n0z/hmoksNd1k/6&#10;QfsVsf4SCGI+nU/jgVu6fpFjpqgW8Y34wZW5kP49voKu0hmfp2iWGmgNCm+XvK/zP+HYfhWhRRQA&#10;UUUUAFFFFABRRRQAUUUUAFFFFABRRRQAUUUUAFFFFABRRRQAUUUUAFFFFABRRRQAUUUUAFFFFABR&#10;RRQAUUUUAFFFFABRRRQAVyLibw5fyrLGz2c7ZR17dSPxGcEV11NdEkUpIodT1VgCD+BoA54a9pe3&#10;PnEH02Pn/wBBxVW58RqVYWMTOQMl3GFA9cDn88V0P9j6UTn7JD/3wuP5Vj+JXRFg0WxRYzO6s6oA&#10;owDhQQAO/P4UAR6GJ7qM3t4TI24iEt/CP4iB068Vq0yCFLeFII/uxqFH4d6fTEFY00Y1jXYrH70F&#10;sC0vpxgsPzwtX9SvVsbVpj98/LGPVj0/xp/hjT2tbQ3c4/fXZ3knqE6r+ec0hmwiJGixxqFRQAqj&#10;gADoKdRRQBy6HzvFF3If+WceB+ARP8avX1zBa2zy3ADJjG04O4nouKz9MIfWNTmPQSuM9Bje39Fq&#10;szjWr5pZW2WNr1JOAf8A65/lQAulac19IL67XEIJ8mI5K4zkdc/KOwrfqqstzMALWNYogMK8oIyO&#10;2EGDj6kUrPeW/wA8u24jH3vLUpIvvjcwYfrTEWaKRHSVBJGQysMgjoRS0AIyq6lWAZWGCDyCD2qs&#10;FuLPiMGeAdFz+9Qegz94e3X61aqO4uYLWMyzuEUevU+wHegBvk29wUudhV+CG+aOTjsehx7Gqmo6&#10;3b2eYov30/TaPuqfc/0qnJfahrDmHT1MMAOGlPBP1Pb6Cq8lin2hNI0/97cOcTzHsO4HoB3/ACoA&#10;k0mzuPEF8bi+JaCH73ZSeyD0967KONIkWONQiKMKoGAB6VDYWUOn2qWsA+VBye7E9WNWKQwooooA&#10;KKKKACiiigAooooAKKKKACiiigAooooAKKKKACiiigAooooAKKKKACiiigAooooAKKKKACiiigAo&#10;oooAKKKKACiiigAooooAKKKKACiiigBrsqKXc7VUEsT0AHJNctphbU9TuNXkB2hikQPbjA/Jf51v&#10;6xFNPpdzFb5MjRHAHU9yPxHFYGi6lYRWaW0jiGRCdwf5QSSec9KANimySRwxtLKwVFGWY9BVO41r&#10;TrdSfNErdlj+fP4jj9aqQ2mo+IpFeYG2sVOQO7fTPU+/SmILK3k8Raj9plUixtmwAejHrt+p6n2r&#10;rKit7eG1hW3t1CRoMAD/AD1qWkMKKKKAOGE5ittUcHDSzqn/AH0z5/TNaGj2itAhcZjiwQvZpWAZ&#10;nPrjO0fSsqRC1pfkdEu0J+mZB/M1uaPIDAY+/wAsg91kAbP4NkfhQBfooopiKoX7JdALxDcseOyy&#10;YLZHswB/H61arM1LU7WGWOJmyYpBI+3k5AOFHvnr6CqhbVNcOEH2a0PU8/MP0LfyoAtX2uRQt9ns&#10;l+0Tk4G3JUH8Op+lQ2+j3F5ILrV3LHtED29DjgD2FaFjplrYL+5XLkfNI3LH/AfSlv76KwtzNJyx&#10;4RO7H/D1oAranfJp0C21ooE0g2xIo+6DxnA/T3rQ0DR/7NgMs/N1MMyN1Kjrtz/P3qnoGlyzS/2z&#10;qI3Sycwqew7Nj6dK6GkMKKKKACiiigAooooAKKKKACiiigAooooAKKKKACiiigAooooAKKKKACii&#10;igAooooAKKKKACiiigAooooAKKKKACiiigAooooAKKKKACiiigAooooAKKKKACqN3ommXzmS4gUu&#10;erqSjH67SM/jV6igDPttA0m1YPHbqWHQuTJ+jEitCiigAooooAKKKKAOR06BJbnVLCXo0pHuMM4z&#10;/KqiXFzo8iw3CHMRbyn/AIWQnLKfUE8juDV+6I0vxJI8vyw3a5DHpk4yf++h+tarpHKm2RVdDzhg&#10;GX9aAM4eItO8sOS+4jlNp3D8en61WOpanqzm30mFlXo0nG4Zz1b7q/z9KZqRs5JBp+lwRvcSsAWR&#10;VO32Bxx7+grqNMsU06yitV5KDLt6seWP50AchbaUYtaFjdFZTEokkAyVJKhgOQM9RmumAAAAGABg&#10;AdKzvEFtcWWoR61boZI9oWYDtgbcn2I7+oqGTxJabB5Mckkh6IQF5+uT+lAGldXUNnCZ5zhR0Hcn&#10;sB71naVp82t3X9p6guLZDiGI9Gwf1Hr6mn2Oi3mqzi91kFIh/q7flSR9OoH6mulVVRQiAKqgAAcA&#10;AdBQAtFFFABRRRQAUUUUAFFFFABRRRQAUUUUAFFFFABRRRQAUUUUAFFFFABRRRQAUUUUAFFFFABR&#10;RRQAUUUUAFFFFABRRRQAUUUUAFFFFABRRRQAUUUUAFFFFABRRRQAUUUUAFFFFABRRRQAUUUUAVdQ&#10;0211OHybpc45Vxw6n1BrH/4Q9Pu/bJPL/u7R09PvY/SuiooAo6do9jpgP2dMyEYaR/mcj07YH0q9&#10;RRQAVElrbRNvjhjRv7yqqn8wKlooAKKKKACiiigAooooAKKKKACiiigAooooAKKKKACiiigAoooo&#10;AKKKKACiiigAooooAKKKKACiiigAooooAKKKKACiiigAooooAKKKKACiiigAooooAKKKKACiiigA&#10;ooooAKKKKACiiigAooooArajqVjpFnJqGozLb28Iy8j9OeAB1JJPQDk1xc3xh0IORa2F/cxjpKsa&#10;Kre4zJnH1AqD4yrO2n6V1+ym/IlH8Jcp+6z2xgNXnIZgAoJAAwAOBWtKi6t9bWJlLlPW9P8Ain4S&#10;vZBDcSzadIxG1b2MxA5/2lMige5Irq4J4LmJZ7aRJonGUkjYOjD1BBINfPP3k2MAycDaQCvXPTGO&#10;1WtI1bVfD0/2nQrk23OZLdyXtZOmdynOOD1HP0onQnDXdeQKSZ9AUVy3g/x5YeJwbKdfseqRD95a&#10;schsdWjP8Q746j6c11NZFBRRRQAUUUUAFFFFABRRRQAUUUUAFFFFABRRRQAUUUUAFFFFABRRRQAU&#10;UUUAFFFFABRRRQAUUUUAFFFFABRRRQAUUUUAFFFFABRRRQAUUUUAFFFFABRRRQAUUUUAFFFFABRR&#10;RQAUUUUAFFebeIvGmv32uXGmeF7mOztNPbyri6MaTtJNzuVQ6suFIx29c9KZZ+P/ABfpuF1awg1S&#10;ED5pbQmGf6lSCGPsqj60+V2vbQyeJoxqeylUip6e62k9fU9Morm9F+IPhjW3EEdz9jus4NreD7PL&#10;n0GTtJ9gSa6Skamb4h0O08R6RcaRecJOvyOOWRxyjjp0P59K8K1O0vNBvJdN1lDFcW4zn+GZP4ZE&#10;PfP8/wAcfQ9eP/ErWota8RJp0IVrbRQwkkwMtcPjcmeuFwB9Qc9qunKUZe7u9BNJrU4wxXr4lcqs&#10;iKGjRTtU5IZg3foMY/yZYZvN3AqUaNtrAkMM88Ajr70+5nMEJcjc7EYXk5Y/dXr+NQWskJiVEkDO&#10;T82Thy55Y4OCee9dEPcmlzbq7u9+2/8AViXqtvQnzMssd1bSGC5gYPDMp2sjDkEH+f8Aj19r8EeJ&#10;h4o0RLyVRHeQOYLyMcASqBkgehBB/TtXipBQbm+UDqTwB+Jr0D4NwXBGsahtK2k8tvHCcYVmiEm8&#10;j6Bxn/61Z4mEYtONteg4NvfoelUUUVgUFFFFABRRRQAUUUUAFFFFABRRRQAUUUUAFFFFABRRRQAU&#10;UUUAFFFFABRRRQAUUUUAFFFFABRRRQAUUUUAFFFFABRRRQAUUUUAFFFFABRRRQAUUUUAFFFFABRR&#10;RQAUUUUAFFFFAHi93p9z4N1GfT9VRora5upJLS/GTbyhyCFbqFbAGen5cm+j5wGxk/dI5Vh1BH4d&#10;v/116jfWFlqdrJZahClxbyjDxyDKn39j6EcivL/EXhPUPBga90/zNQ0HJaWIndc2vPVTxlQec9u+&#10;OpuE+XQ8/HZdHEXnH439/wAn+j0fS25BeadZagmy8hWXHRjw478MMEfgaNOvfFHhrH9iXpvLRP8A&#10;lwvjvXHoj8FfYZA9c060uorqJZInEiuu5HHG5eme3IPBHY9hU1aOMZq/4nkU8XisBP2fM7R+xO7j&#10;byvqvlbzNK7+Ldumk3KSWU9jrIjK29vIplieRjsDK4AyAeeQM4wM153FGYk2uS7bjJK5OSztyTnB&#10;rr5YYZ1CzRrIAQwDgMAR0IyDzWPrGjyi3eXTFLS5z5eQO2Cy9OR1xn/CiEVTbk9dNLHqYbN6VdqF&#10;Reym+rd4N+vT5/eanw08PnWddfWrlc2ektiLP3XujzkcfwDn64Nej6p4R8NayxfUtOgmkb70oXy5&#10;T9XTa361j/DbU/D82gQaTpLmO5s4/wDS7eYbLgSk/vHIycgseCM44HHSuvrGTcm2+p6aOUi+F3ge&#10;GXzRp2/ByFead0H4GTn8c101tbW9nAltaRJBDEu2OONQiKPQAYAqWikAUUUUAFFFFABRRRQAUUUU&#10;AFFFFABRRRQAUUUUAFFFFABRRRQAUUUUAFFFFABRRRQAUUUUAFFFFABRRRQAUUUUAFFFFABRRRQA&#10;UUUUAFFFFABRRRQAUUUUAFFFFABRRRQAUUUUAFFFFABSMqupRwGVgQQeQQeoNLRQB5F4l0e38HeI&#10;jEimHRtVBlgJ4jguBw6A5G0Y/QgdAaJZ47UBppAsbcLuI3ZAzxnluB9fr26Hx7K3iXVrHwFYkZkd&#10;bzUpsAmGBORgkHDEHP5DoTWBrT6c99s0m3igtrdBbW/loELKuAXJwCScdTz+VaU7vRfecWKy+GJm&#10;puTUWrSja6fZp392Xn16j1dXUOjBlPRlIIP4ilqja28oka4gVxCGVJpFz5YZvuFuCMkrtHTrjPSr&#10;Zcp/rMbccuMgZ5JyOw981pfdPoeLjMA8NU5Iy5+ZXinpJrt2b8k7+RVvNMWedL61lezv4TuiuoTt&#10;kBAwAcYyP89K6bw38RZIp49G8YhLa5biHUF+W1m7fNwAje/T6cZxgQRkcg9DUVzawXkLW9ygkjfq&#10;p/mPQ+9TKmparc1wWaVcK1Tq3nTWln8UfS/TyfyPWwQRkcg0teVeHvFd/wCDHjsNVeS90IkJFORv&#10;ntM8AHH3k/l29D6jBPDdQpc2zrLFKgeORCGVlIyCCOorFprRnv0qsK0FOnJSjLZr+tySiiigsKKK&#10;KACiiigAooooAKKKKACiiigAooooAKKKKACiiigAooooAKKKKACiiigAooooAKKKKACiiigAoooo&#10;AKKKKACiiigAooooAKKKKACiiigAooooAKKKKACiiigAooooAKKKKACs7xBrVt4e0e51e65S3jyq&#10;ZwXc8Ig9yxA/WtGvPdani8Y+Lf7Mkb/iReGv9J1FuqS3AziI+oGCOn972oAoWS3Wj6HNqmon/ie+&#10;J2M85PDQ2x5VME5GQenpx2rIAZyAgyznag7+lXNY1KXV7+W7k4Eh+ReoSNfur+VXdBW10+C68Vam&#10;MWemJujU8GSboiDPfJH4kV0RSpwu9/60FuO1mzn8vT/h3pjbbzUytzq8y8mKBTu2kj6dM9gP4quj&#10;4X6ipKp4im8ofcVreNpB9XMnzflV/wCHmkXXkXPizWF/4meuN5pyMGO36xoM9AQAfpj0rsawu273&#10;3FKEZ/FFSt3Sf5nl974E8Z6cxns57XWkX+F0Fpc/8B/g/NjWL/awtLj7Dq0U2lXQ/wCWd4p8sk8k&#10;hzjI9CSBXtVVtQ03T9Vtza6lbx3UJ/glUOM+oz0PuKFJoxrYOjWVpRt6Wt/4C7xb82jyqea3Fu5u&#10;9vkmNixPzxsmCT2547flmut+FVvcweFFeYMkNxdzzWcbkkpA20KOfVgx/Go3+EnhZpgyveJbB95s&#10;lm/0Yn8VL/8Aj2feuyiijgiSCFQkcaKiIowqqowAB6ACnKXNbyFg8HHCKajJvnadtVFWvsm3v11H&#10;0UUVJ0hRRRQAUUUUAFFFFABRRRQAUUUUAFFFFABRRRQAUUUUAFFFFABRRRQAUUUUAFFFFABRRRQA&#10;UUUUAFFFFABRRRQAUUUUAFFFFABRRRQAUUUUAFFFFABRRRQAUUUUAFFFFABRRTJporeGS4ncRxRI&#10;zyOxwqqoyzE+gAoA5rx34iutGsIdP0f5tY1SYW9kgAYrkgNJggjjIAz3Psa5jUorbw5pyeGNPfcQ&#10;BLqc4JLT3DAE5JycZHTP61JpN+2p31/8SNQQ+VHusdCgcZwBuUyY9eueepYelYk0rzSvNMxdixZ2&#10;PJZ25NaUo3d3svzEyXT7GfUr2KwgGZJmAY+g6k/QAZrbisbfxZ4h/wCEctgT4a8PkG6UHi6u/mGC&#10;wOSASc/Q+oqobibwz4dN9bqW1nW2+x6ZGOZAGIDSAfUjHHXHY13HhHw9F4Z0ODTVw02PNupBzvmf&#10;BdvoMYHsBRVld2Wy/MEbAAUBVAAAwAOABS0UVmMKKKKACiiigAooooAKKKKACiiigAooooAKKKKA&#10;CiiigAooooAKKKKACiiigAooooAKKKKACiiigAooooAKKKKACiiigAooooAKKKKACiiigAooooAK&#10;KKKACiiigAooooAKKKKACiiigAooooAK4fx7e3Os3tp4C0p9s+okS38o58q2U7jn3OM/gB3rqta1&#10;e10LSrnVr04itoy5A4LN0VB7liAK8/0prrTNHufFOpf8hvxKxaLPWG2PKgdcDbgj22+lNK7suoDf&#10;Ed7bGSHSdMG2w0yMW9uo5BKgKzZ79OvfrVbQtLGq6ilu5228IMtxITgKi8sc/pWeST8w5J+VfX3N&#10;bGqW91Z6ZZ+DNM41fxGQ123eC0Gc7uQQCAc+wYelbyfs4WW/9XYtzS8Kw/8ACXeJZ/F8qY0zTc2W&#10;jREEL8vDTYPHQ8cd/Va7+qmlaZa6Np1vpdku2C1iEaDjJx1Y4xySST7mrdc4wooooAKKKKACiiig&#10;AooooAKKKKACiiigAooooAKKKKACiiigAooooAKKKKACiiigAoorldc+I/h7R3aCJzf3CnBS3wY1&#10;PoXPy/lmgDqqK8ub4heM9bcpoGnBEzjdFG9y6/ViAn5rThofxV1bm6vJLRW67p1gGD/swZ49sUAe&#10;nEhQWYgAckngVVl1fSbfie9t4sZzvljXp16sK88Hwo1q7YNqerIWzyQJbg+/3zHVuL4PWYH7/U5X&#10;/wByJY/5u9AHWv4r8MxnDaraHjPyzRv/ACY1CfG/hMAn+04OPQsf6VhJ8IvD4B8y6vGPba0K/wA4&#10;WqYfCnwuMfNdH6yJ/wDG6ANP/hPvCH/QST/viX/4igePfCLEAalHz6rKB+ZSqP8Awq7wp/zzn/7+&#10;n/Ckb4W+FCCAlwpPcSnI/MEUAai+NPCrnaNTt8+7bR+ZAFTJ4r8MucLqtmMf3po1/mwrAf4T+GWG&#10;BLdp7rJHn9YjUT/CLw+ceXd3i+u5oW/lCtAHUp4h0CQEx6nZuB12zwn+T1KmraVINyXtuw9RLGR/&#10;6FXFv8INJJ/d39wo/wBpY2/kFqJvg9aFjs1OQL2BiUn894oA75bu0YBlmjIPQh1I/nUoIIyOQa83&#10;PwcGTt1fAzwDbZP/AKPFRf8ACnrocrqkeR0/csOf+/lAHp1FeYn4V68nzR6rHvHI/wBcv6jNH/Ct&#10;/GUfzw6vHvHQ+dcp+oQ0AenUV5j/AMIL8Q4fmi1gE9Pku7tT+qLR/wAIp8T4TlNVkkzwf9MmbH/f&#10;eKAPTqK8x/sL4rQnKXskmev+kq2P++yKP7P+LsPzJNJITxjzrVv/AENsUAenUV5lpXi/xfomv22i&#10;+KR5i3LxoVcReYglbYrq0XBGeuc16bQAUUUUAFFFFABRRRQAUUVg+NPEY8NaHLdxDfeTkQWUQG5m&#10;mfIU47gdT+XegDnfEMq+M/FkfhsN/wASbQ/9L1Z84R5FB2xE88Dof+BegrI1/VW1fUXnHyxD93Av&#10;QLEvTuevWrT2x8K+HI9EZ9+p6iftmqy53PufnYTz9P171ixxyTyLDEpaSZgqqOTycACtqMftMTNT&#10;w/bWoefW9S+XTtKjM8pODuK8omO5J7d+net34fafdajNd+OdXXF5q7EWqHnybVThAOnXaPqAD3NZ&#10;Ooad/a2pWHw7smP2W1232uzITgngiLI78gfiD2NelRRxwxpDEoSONQiKowqqowAB6YrOcuaV+nQa&#10;HUUUVIBRRRQAUUUUAFFFFABRRRQAUUUUAFFFFABRRRQAUUUUAFFFFABRRRQAUUUUAFFFea+NfGd1&#10;q10fC3hndKZH8maWLlpW6GNCP4f7zd/p1AI/GPjG8168/wCEX8MbpEkfypZYvvTN3RT2jGOW7/Tr&#10;veG/hvo2lRJNqca394QC3mDdAh64VDwfq2fwq34M8HW3hm0EsoEuozIPPl6hQefLT/ZB6nv+QHS0&#10;ANSNIkEcShEUYVVAVQPQAU6iigAooooAKKKKACiiigAooooAKKKKACiiigAooooAKKKKACiiigDz&#10;Hxh/yUvR/wDrrp3/AKPNenV5j4w/5KXo/wD1107/ANHmvTqACiiigAooooAKKKKACvLpNbg8R+LZ&#10;dflBm0zQ98GlpgGOW64JlbngfxA8dF75re+JXiCWw06PQdOb/iY6xmFcHmOHpLIcdOOB+J7Vzdta&#10;W9jbQ2doCscMaqN23cWIy7EgLnLEnmgCDUp7m9vJLu6yXlYu30HRR14Aq5ps8OgaXdeLr1QxtwYb&#10;GJv+Wlw4woHXgfT37UxlVlKkcdx/npU+g2p8XeIbe1ZSdF8MZLKWEiTXjMSeRwVBGR14H+1WjqXj&#10;y2t/kKx03gHw/Po2lPfalltV1WT7Veu33wWyVjP03c+5NdRRRWYwooooAKKKKACiiigAooooAKKK&#10;KACiiigAooooAKKKKACiiigAooooAKKKKACivPJ/jDZLn7Npssnp5kqxfySSsfXfilqGq2EljY2v&#10;9nmbCvKsplk287lX92mM+tAWNTxx41uLy4bwv4b3SSSP5M80XLux4MMePyY/hW94J8GQeGrUXNyF&#10;k1KZP3snBEYPPlp/U9/pUfgXwXD4ftVv71Q+pzpliefJVv8Almvv/eP4dOvW0AFFFNd0iRpJGCIo&#10;LMzEBQBySSegoAdRWR/a95qB26HbiSI/8v1yWitT7ooG+X6jCns1O/sSa551W+nuuuYoSbO3+m2I&#10;hyPZnagC3d6ppth/x/XUNuT0EsiITnpgEgmqv/CRWMn/AB6xXV17w205T/vtkVP/AB6rNnpWmafz&#10;Y2sMBPVo0VXPuWxkn6mrdAGX/aupSf6jSLkD1mktYh+Qmkb8xS/afET/AHbG0jHrJdyFh+C2hB/7&#10;6rTooAzf+Kjbr9hjz/13lx/6Lz+lAi8RnINzZJxwfs8z/p9qT+daVFAGZ9n8Sf8AP9Y/+AU//wAn&#10;0fZ/En/P9Y/+AU//AMn1p0UAZnl+JP8An4sT7+ROP/bg0f8AFSDjNiffE4z+GTj8606KAMzPiQc7&#10;bF/bdOn67X/lR5niT/nhY/8Af6f/AOR606KAMzzvEg4+x2L+/wBrnj/T7E/86PtHiT/nwsvwvZv/&#10;AJArTooAzPtev/8AQOg/8Cj/API9H23XV+9pkZH+xcgn/wAeiStOigDM+36z/wBAv/yYi/wo/tLV&#10;RwdJmz/szWxH4ZlU/pWnRQB5B4n1YN8QrW7vYzapY3FiJUYo7KqMsrElCwPDetevAhgGU5BGQRyK&#10;8cvtCm8TavDc28ipLrepar5TSZ8sRWoRk6AnpuHStUfDPxYoCrq8YAGABJcAf+g0DPT6K8x/4Vp4&#10;t/6C6f8Af24/+Jo/4Vp4t/6C6f8Af24/+JoEenUV5j/wrTxb/wBBdP8Av7cf/E0f8K08W/8AQXT/&#10;AL+3H/xNAHp1FeY/8K08W/8AQXT/AL+3H/xNH/CtPFv/AEF0/wC/tx/8TQA7x/DLbeONMu4VN099&#10;YSWwt4wZJkETNIXVQM4IboOeGqGOSOVdyEMDkZHPTgisfw54b1TWbm+1eO8EiWM/2CCctIWlbPze&#10;WcE4O4YyRweas6tpOsJ4ii8N6TcxzalOFeZ4yzR28Qwd0pZeTt56E8+pGQB2r38tnClvYqZNQvXF&#10;vZIpIcSuQA64IORnjtkivR/Cnh6DwxodvpUWGdBvuJBx5kzY3t9Ow9gK4NvhZ4qmuFu7nVbeSeNS&#10;sbgyJtB642xjB96m/wCFaeLf+gun/f24/wDiaAPTqK8x/wCFaeLf+gun/f24/wDiaP8AhWni3/oL&#10;p/39uP8A4mgD06ivMf8AhWPiiT5ZtXjKd/nnf9CBR/wqLUZebjVIyRwP3bvx+LigD06ivMf+FR6l&#10;F/x76pGM/e+R0+nRzmkPw18X2/8Ax5avGMdP3txFweT91W70Aen0V5gdH+K+mfNb3cl0F/6bx3Hv&#10;0n5P5U0fEDxrobBNf04SIDgtLE9szfR1Gw/gpoA9RorktE+JXh7VmWC5ZtPnYgBZ8eUSfRxx/wB9&#10;YrrAQwDKcgjII5FAC0UUUAFFFFABRRRQAUUUUAFFFFABRRRQAUUUUAUrfRtHtABa2NtDj/nnFGn8&#10;lFeZeM47nUPiBFYaekZmgS3WGNsCMsF+0YbHru5r1qvMbj/ksQ/66xf+ka0AdbpfjTTLqT7DqgOk&#10;6inElrdfuxn/AGHOFYHt3NdACCAQcg8giquoaVpuqxeTqVtFcoOgkUMV9weoP0NYZ8CWtqS2h6hf&#10;aV6RwzM8H4o+c/nQB09YqRDxBdPPcfNplrM0cEHVJ5YyVeV+zIrAhF6Egk54xT/svxza/wDHvrVv&#10;eAdBdWwiOPQmIkmhZ/iDANr2ml3AH/PCSeIeufnFAHTUVzX9teNU+94cSXP9y+gTH13LR/wkficd&#10;fDM2e+LmAj+VAHS0VzX/AAlOt/xeHL3PfDREfnmj/hK9YHLeHL/aOu0xscewzzQB0tFc1/wmF7/0&#10;L2q/9+l/+Lo/4TK5XmXw/q4X/YtxIfyDigDpaK5r/hNv+oDrf/gH/wDbKP8AhOIF/wBdo+sQ+nmW&#10;hGfphzQB0tFc1/wnVl/0DNV/8BG/+Ko/4T3SRxJa6hGw6q9rIG/TNAHS0VzX/CfaN/zwvv8AwGl/&#10;wo/4WF4a7yTg9wbefI9vuUAdLRXNf8LD8LjlpplA6sbefAHqfko/4WN4M/6CH/kC5/8AjNAHS0Vz&#10;a/ETwa52jURn3huFH5mICpP+E+8If9BJP++Jf/iKAOgorBTx14Skzt1KIY/vB1/mop3/AAm3hT/o&#10;Jwfmf8KANyqOu3v9naNfXwO1oLWZ0P8AtBTt/XFO07WdK1ZWbTbuK52feEbBmX6jqPxFY3xAdn0B&#10;dOjOJNTvbWzTHXLuG/klAHO2Gh22pXXhzw/dhjFZ6LNfzKjNGwa6ZeNy4IO7rzXRf8K98M/88p//&#10;AAIn/wDi6Z4eRLjxZrt4gAitVtNPgx2EabpF/wC+sV1FAHNf8K98M/8APKf/AMCJ/wD4uj/hXvhn&#10;/nlP/wCBE/8A8XXS0UAc1/wr3wz/AM8p/wDwIn/+Lo/4V74Z/wCeU/8A4ET/APxddLRQBzX/AAr3&#10;wz/zyn/8CJ//AIuuW8ceGdMsG03Q9EilXUNauTCksk0rxxxpt8xiGfBPzjt0z3xXp1cj8RNNXVbT&#10;TrK0JTV21CN9NkXgxsnzSyMcEhFQZPuBQBgeINA0vwjoNzf6cxeC1CW6RTu+Jp2OGZSjIQQxyRyD&#10;gjjrWj4W+G+mDSIbzWxNNqN4i3FwwkkhKmQBhHhSv3QcHPfPan23gnxHqWoWEvizULe6sdMk86G0&#10;tkKq8nYvlVzyB1znkdzXc0Ac1/wr3wz/AM8p/wDwIn/+Lo/4V74Z/wCeU/8A4ET/APxddLRQBzX/&#10;AAr3wz/zyn/8CJ//AIuj/hXvhn/nlP8A+BE//wAXXS0UAc1/wr3wz/zyn/8AAif/AOLo/wCFe+Gf&#10;+eU//gRP/wDF10tFAHNf8K98M/8APKf/AMCJ/wD4uj/hXvhn/nlP/wCBE/8A8XXS0UAcyfh/oi82&#10;s17aN/eguZAwPr8xbmoLiz8V+HY2uLS6bX7BATNZ3YBu9n8RRwDvOOxH4GutooA4e58HeFfGWmrq&#10;uhgWMsoJDxLtQOOCkkY4BB64x681ieG/EOr+C9YHhrxET9jLBUZiWWIMcLIhPWMnqO3sQQeotAPD&#10;njGWyOEsdfVri3HRVuo8eav/AAIHP1wKg+J2gf2noo1KBc3GnZc4HLQn/WD8MBvwNAHZUVzHw+14&#10;654fjWZt11ZEW82T8zBR+7f8V4z6g109ABRRRQAUUUUAFFFFABRRRQAUUUUAFFFFABXmNx/yWIf9&#10;dYv/AEjWvTq8xuP+SxD/AK6xf+ka0AenUUUUAFFFFABRRRQAUUUUAFFFFABRRRQAUUUUAFFFFABR&#10;RRQA10SQbXUMPQgEUz7Nbf8APJP++V/wqWigCB7Cxkx5lvE+Om5EP8xTf7M03/n0g/79p/8AE1Zo&#10;oA5Dxlp1pottH4r0yJLW706eEyGECMTQyOsTxsAADneOTVjX2F34r0HTyfktzc382egEabYm/wC+&#10;s074jf8AImah/wBu3/o+GsnV7zGteJ9VH/ML0WOxibsHuAZOPcMaANXwAGm0WbVHGG1TULu8Prhn&#10;2D/0CumrN8N2f9n6Bp9mRho7SLeP9sqGf/x4mtKgAooooAKKKKAEZlRS7kKqgkk8AAckmsDw8rav&#10;ez+Kpx+7nU2+mKeqWinPmYPQysN3+7tFSeJEuNSa28PW5KR35d76RTgraRbfMUehkLBB7EntW0iJ&#10;EixxqERFCqqjAAHAAHpQA6iiigAooooAKKKKACiiigAooooAKKKKAMTxfpMmq6O7WmRfWTrd2bL9&#10;4SxfMAPqMj64q1omqW/iDRoNQVQVuYsSxnkK4+WRDn0II+laNcpph/4R3xZc6Kw2WWsbr2x/urOB&#10;+/jH1xnHYYoA5PSWk8B+O302UkWF4wjDMeDFKcwyZP8Adbgn616vXEfFLQTqGkJq8C5n08kyY6tC&#10;2N3/AHycH6ZrV8Ca8de0CKSZt11a/wCj3GepZQNr/wDAlIJ980AdFRRRQAUUUUAFFFFABRRRQAUU&#10;UUAFFFFABXlPiS8/sD4mDWb2KT7NuhkUqOXTyFhZlzgHDZ/KvVqpapo+ma1b/ZdTt0uI+Su7hlJ7&#10;qwwyn6GgBml69o+tRiTTLuOfIyUBxKPqhww/EVoV51qXwkQP5+h37QsDlY7gE4Ps6YI/75NVBpvx&#10;W0Ti2nku419JI7pcegWb58fQUAeoUV5f/wAJ54903jUtLDKOrS288RPXuCF/SpYvjDKp23WlAkHD&#10;FJimPXgxN/OgD0uiuAj+L+ln/XWFwnH8DRvz+JWrCfFvw2xAa3vUz1JSIgflMT+lAHb0Vxq/FXws&#10;zAEXKj1MS4/RyalX4oeE2ODNMo9TE2P0yaAOtorl0+JXg5jhr1k92hn/AKRmpU+IXg6TO3UVGP70&#10;U6/ziFAHR0Vgp468JOMrqUQx/eDr/NRUqeMfCzjcNUtgPeQKfyODQBs0Vlr4o8NMAw1WywfW4hU/&#10;kXBqUa9obAMuo2hBGQRPER/6FQBfoqsNS04kAXUBJ4AEif41KtxAxCrIhJ6AMCf50ASUUUUAFFFF&#10;ABRRRQBzXxG/5EzUP+3b/wBHw1zEn/Ew0Kdslv8AhJvFCxrj/ngsny/gPLrp/iN/yJmof9u3/o+G&#10;sfTLMJf+EdHxj7Hp8+ozp/tSr8v5SMaAO8AAGBwBS0UUAFFFFABRRRQA0RoJDKFG9lVS3chSSB+b&#10;GnUUUAFFFFABRRRQAUUUUAFFFFABRRRQAUUjMqAs5CgdSeBVG51/Q7Qf6TqFrER2aaMN+W7NAF+s&#10;Dxnpct/pBu7M7L7THF7aP3DRfMy/QqOnrio5fH/hwP5VlJNqE3/PKzhklf8AUKv61VuZ/F3ieJrK&#10;2s/7DsJlKS3N0Q92yHhgkY+6SDjn86AN/TLyDXNHgvGQGK9tlZ425Hzrh0PqOorz34fF9F8aaloO&#10;4mJhPEAT1MD5jb/vjd+ddzNf6H4R0uG2ubhYIbaFY4kYhpnCjHCjliSOcDrXn/hG6/tr4kTapFG0&#10;aH7VNsf76rt8oZ9D8wzQB6vRRRQAUUUUAFFFFABRRRQAUUUUAFFFFAHNf8JVrP8A0Ll9/wB9Rf40&#10;f8JVrP8A0Ll9/wB9Rf410tFAHNf8JVrP/QuX3/fUX+NH/CVaz/0Ll9/31F/jXS0UAc1/wlWs/wDQ&#10;uX3/AH1F/jUcviLUpxifwvdyDph/Jb375rqaKAOLkuopjmbwU0hyTlorVuT16rVZ4bCQEN4IkGf7&#10;qwqf0IrvaKAPPWsNMcbT4JuMezKp/MODUT6PpDjB8F3Y/wB2ZlP5iUV6PRQB5m+gaOwG3wdfp/u3&#10;D/1lNRP4a0tsbfCuppj+7OOfzY16jRQB5S/hTT2OV8OaunHRZocfqpqJvB1mxyND1tR6Ca1x+sRN&#10;et0UAePnwWmTt0jWQOwL2pP/AKAKiPgmfnGmaqPTItz/AFFey0UBc8VPgfUsHbYaiDjgmKEj/wBH&#10;Coj4F1rHFnek+8EY/wDbg17fRQFzw8eCfEUZ3RWV4GHcRIv6ienDwp4xjO6G2vlPQkDbx+Epr26i&#10;gLnii6B4/i/1MWoLnriRl/lJUiaX8TIxiP8AtNAecLPKP5SV7PRQFzx1LT4pINobUiPeV2P5lyal&#10;VfisoCj7fgepVj+Zya9dooA8c1RviRJps0erJcPZLHumEscJTahDZPy54Kg0/RdZW/ZtW1jWruz1&#10;BE+xobW2Dr9nXa6rlI9o+cnivSfF3/Ir6p/14zf+gmvOvBHjvTvDGlS2F3bzTPJdvOGi2bcMkaY+&#10;Zgc5Q0DNL+2bL/oaNV/8BW/+N0f2zZf9DRqv/gK3/wAbq9/wt7RP+fK6/wDIX/xyj/hb2if8+V1/&#10;5C/+OUAUf7Zsv+ho1X/wFb/43R/bNl/0NGq/+Arf/G6vf8Le0T/nyuv/ACF/8co/4W9on/Pldf8A&#10;kL/45QBR/tmy/wCho1X/AMBW/wDjdH9s2X/Q0ar/AOArf/G6vf8AC3tE/wCfK6/8hf8Axyj/AIW9&#10;on/Pldf+Qv8A45QBR/tmy/6GjVf/AAFb/wCN0f2zZf8AQ0ar/wCArf8Axur3/C3tE/58rr/yF/8A&#10;HKP+FvaJ/wA+V1/5C/8AjlAFH+2bL/oaNV/8BW/+N0f2zZf9DRqv/gK3/wAbq9/wt7RP+fK6/wDI&#10;X/xyj/hb2if8+V1/5C/+OUAUf7Zsv+ho1X/wFb/43R/bNl/0NGq/+Arf/G6vf8Le0T/nyuv/ACF/&#10;8co/4W9on/Pldf8AkL/45QBR/tmy/wCho1X/AMBW/wDjdH9s2X/Q0ar/AOArf/G6vf8AC3tE/wCf&#10;K6/8hf8Axyj/AIW9on/Pldf+Qv8A45QBR/tmy/6GjVf/AAFb/wCN0f2xZf8AQ0ar/wCAr/8Axur3&#10;/C3tE/58rr/yF/8AHKP+FvaJ/wA+V1/5C/8AjlAFH+0dDbiXxLrpXvsEsbfmITR5vhaTmS/8Q3qk&#10;8s7Tsrfki9Kvf8Le0T/nyuv/ACF/8co/4W9on/Pldf8AkL/45QBRW28Euwf+wtZ1Bs5UmO5kLdy3&#10;+uQH3q9bjTYsf2d4JncjG03UUUZ7YOZTIQcCopPjBpwz5Wnzt6bnRM/XAbFVZfjE3Ig0oD0Lz5/Q&#10;RD+dAHRRXnjd08qw0Sy0xP4RcTiVR74gC086H4v1DjU9cW0jPWLTogh/CR/nH5Vyn/Cy/F14dmna&#10;XGSeAFiuJ27Djaw7+1Z9z4p8favqC6CZHs7qZgv2dEFrINy7xkkB1G0569KAN3xC/hfwVFIbNft2&#10;vSj93NdN9qnjJ/5auW+VSOowAT9KtfC/w7Np9lLrd6pWe/AEQb7whB3bj3+Y8/QA96b4b+GFvZTL&#10;f+IJVvbhW3iBcmAN1yxYAuc9sAeua7ygQUUUUAFFFFABRRRQAUUUUAFFFFABRRRQAUUUUAFFFFAB&#10;RRRQAUUUUAFFFFABRRRQAUUUUAFFFFABRRRQAUUUUAFFFFABRRRQBj+LyB4X1Qn/AJ8ph+akVynw&#10;v0fSdQ0C4mv7K2upF1CRA88UcrhRFCQoLKTjJPFdV4y/5FbVP+vOT+VYPwj/AORbuf8AsJS/+ioK&#10;AOk/4Rnw3/0CbH/wGg/+Io/4Rnw3/wBAmx/8BoP/AIitOigDM/4Rnw3/ANAmx/8AAaD/AOIo/wCE&#10;Z8N/9Amx/wDAaD/4itOigDM/4Rnw3/0CbH/wGg/+Io/4Rnw3/wBAmx/8BoP/AIitOigDM/4Rnw3/&#10;ANAmx/8AAaD/AOIo/wCEZ8N/9Amx/wDAaD/4itOigDM/4Rnw3/0CbH/wGg/+Io/4Rnw3/wBAmx/8&#10;BoP/AIitOigDM/4Rnw3/ANAmx/8AAaD/AOIo/wCEZ8N/9Amx/wDAaD/4itOigDM/4Rnw3/0CbH/w&#10;Gg/+Io/4Rnw3/wBAmx/8BoP/AIitOigDM/4Rnw3/ANAmx/8AAaD/AOIo/wCEZ8N/9Amx/wDAaD/4&#10;itOigDM/4Rnw3/0CbH/wGg/+Io/4Rnw3/wBAmx/8BoP/AIitOigDPTw/oMeNmm2i46bYIRj/AMcq&#10;1DZ2lt/x7wRxYBA8tFTg8noBU1FABXl1gTefFyWRuRFPODnn/VQNGPyIFeo15f4LIvPiPqtyM4U3&#10;8gzwQDMqD9GoA9QooooAKKKKACiiigAooooAKKKKACiiigAooooA8t/4Wf4r/wCgZD/36uP/AI5R&#10;/wALP8V/9AyH/v1cf/HK9SooA8t/4Wf4r/6BkP8A36uP/jlH/Cz/ABX/ANAyH/v1cf8AxyvUqKAP&#10;Lf8AhZ/iv/oGQ/8Afq4/+OUf8LP8V/8AQMh/79XH/wAcr1KigDy3/hZ/iv8A6BkP/fq4/wDjlH/C&#10;z/Ff/QMh/wC/Vx/8cr1KigDy3/hZ/iv/AKBkP/fq4/8AjlH/AAs/xX/0DIf+/Vx/8cr1KigDy3/h&#10;Z/iv/oGQ/wDfq4/+OUf8LP8AFf8A0DIf+/Vx/wDHK9SooA8t/wCFn+K/+gZD/wB+rj/45R/ws/xX&#10;/wBAyH/v1cf/AByvUqKAPLf+Fn+K/wDoGQ/9+rj/AOOUf8LP8V/9AyH/AL9XH/xyvUqKAPLf+Fn+&#10;K/8AoGQ/9+rj/wCOUf8ACz/Ff/QMh/79XH/xyvUqKAPLf+Fn+K/+gZD/AN+rj/45R/ws/wAV/wDQ&#10;Mh/79XH/AMcr1KigDy3/AIWf4r/6BkP/AH6uP/jlH/Cz/Ff/AEDIf+/Vx/8AHK9SooA8t/4Wf4r/&#10;AOgZD/36uP8A45R/ws/xX/0DIf8Av1cf/HK9SooA8j1Tx/4m1XT7jTZ9OjSO5iaNmSOcMAe4y5H6&#10;V0/wnilh8O3KzI0bHUZThgVOPKg55rtaKACiiigAooooAKKKKACiiigAooooAKKKKACiiigAoooo&#10;AKKKKACiiigAry/4Tr5+t6nef9MAM9v3km76/wAFejapMbfTLu4BwYrWZwemNqMf6VwXwdixHqs5&#10;H3mtkBx/dEpPP/AhQB6PRRRQAUUUUAFFFFABRRRQAUUUUAFFFFABRRRQAUUUUAFFFFABRRRQAUUU&#10;UAFFFFABRRRQAUUUUAFFFFABRRRQAUUUUAFFZuueIdI8O2v2zVrhYEOQi/ekc+iqOSf8muKg8beM&#10;PGdw9v4NslsbNG2vqF2A5XI645Td/sgNQB6PRXJWfgJpHW48R6vfatOCrFDK9vagjnAjRun4/hXW&#10;0AFFZOueGtP18xPdSXEE0AYRTWszwSLuxnocHp3BrmbzT/iJ4WH2jRr/AP4SCyTBa1vF3XYUccMC&#10;Gfj/AGvwNAHeUVxvhj4m6Jr0q2N6DpmoE7PJnP7tmHBCuQvOexAP1rsqACiiigAooooAKKKKACii&#10;igAooooAKKKKACiiigAooooAKKKKAMnxXP8AZ/DOqSf9OM6jnHLoUH6tXNfCKLboV3Pj798V9/kj&#10;jP8A7NWz8QpPK8H6i3TKQr/31LGv9ap/C6Ly/Ckb/wDPW5nf8iE/9loA66iiigAooooAKKKKACii&#10;igAooooAKKKKACiiigAooooAKKKKACiiigAooooAKKKKACiiigAooooAKKKKACiiigArm/GvjSy8&#10;IWAdgJr6cMLW3z1I4Lt6KP16CtbWtWtNC0u41W9OIraMsR0LHoqD3JIAr5z1vWNQ8SatLqV4TJPc&#10;PhI1ywVc4SNB6DoPX60AdN4Y0XVviX4hl1DWpne1hKtcydBgnKwRjoufboOevX22zsrTT7aOzsYl&#10;gghULHGgwoFZvhDw/F4a0C20xAPNCeZcsP4pnwXP4dB7AVs0AFFFFABRRRQBwPxI+H0Ot20mtaPE&#10;E1OIF5UUY+0KByP98AcHv09Mc58P/ibPYTR6J4jkMloxEcF0+TJCegVz1Ke/UfTp7DXg/wAVPDya&#10;H4la4tlC22pIbhFGAFfOJVHTvz+NAHu4IIBByDyCKWvN/hH4wfULY+GtQfdcWke60durQrgGMn1X&#10;PHt9K9IoAKKKKACiiigAooooAKKKKACiiigAooooAKKKKACiiigDj/inL5fhUp/z1u4U/Lc//stX&#10;/h/F5Pg/TkPeOV+38csj/wBaxPi9Pt0Wytu8l7v9/kjcf+z10/hWHyPDWlx4wfsFuxGMcsisf1NA&#10;GrRRRQAUUUUAFFFFABRRRQAUUUUAFFFFABRRRQAUUUUAFFFFABRRRQAUUUUAFFFFABRRRQAUUUUA&#10;FFFFABRRRQB5N8atdZprPw7C3yqv2q4AzyxysSntwATj3FcV4Hs0v/F2lW0g3KbxJGHqIsy4+nyU&#10;/wAe351Hxhqk+4sqXTQLzkYgxFx7fJml+H8623jPSZGIAN0I8n1lVowPzagD6KoopCQASTgDkk0A&#10;LRWBqXjzwjpLGO71KEyLwUh3XDA+hEYfH41kP8X/AAapwHuXHqITj9WBoA7aiuRtPip4KunCG9a3&#10;ZunnRSKPoSFZR+JrpbHUtP1OHz9OuYrqP+/C6yD6HaTigCzXnXxstBJoFlehctBfeXkDOFljcn6D&#10;MYr0WuA+NFz5Xhe3txjM+oRg567USVjjn1xQB5Douq3Giara6rbH95azLJj+8vR1+hUkH619MW1x&#10;Fd20V3Ad0U8aSxt6q4DKfyNfLVe//DC+a+8F2O/l7fzbc/SNyE/8dIoA6uiiigAooooAKKKKACii&#10;igAooooAKKKKACiiigAooooA83+MUo2aVCDyTdORn08oA4/E16Bp8P2ewtoOnlW8Sf8AfKgf0rzb&#10;4qZuPEOl2R6NAvHQfvJSv1/hr1GgAooooAKKKKACiiigAooooAKKKKACiiigAooooAKKKKACiiig&#10;AooooAKKKKACiiigAooooAKKKKACiiigAoorA8R+N/D3hhSmoXG+5AyLWHEk57jIyAv1YigDwHXG&#10;L61qDMclr24JPuZGqtbXEtpcxXUJxJBIkqH0ZCGH6iptVu47/VLy+iUolzdTTIjEFlWR2cAkcZAN&#10;VaAPoHWPHun6V4WtfEqwvcC+RPIiThfMZSSjvghcEEHvxwK8c8R+N/EPiaRhe3DR2xJ22kJMcAHo&#10;QDlvq2a1vA/iPTjZ3Hg7xKR/ZWoH91M3/LvMcYbPYE4Oex9iat2Pwe12fV5bW7lSDT4mBW8GJDMh&#10;5GxQc5x1zjHvQBwFFfQui/DvwnoiL5Vkl1MvWe7AnkJ9cEbR+AFdFHDDCuyGNY19FAUfoKAPlip7&#10;K+vdOuFurCeS2mT7skTFG6g4yCOOOlfSd/4f0PU0MeoWFvcA93jQsO2QcZH4GvP/ABP8G7d0e68L&#10;SGKQc/Y52LRt7I5+YH2bP1FAC+A/ild6jdwaHr0ZmnndY4LuFfmJPaRRx/wIY9x3rG+MuuLfa3b6&#10;PA26PToiZcHI82bBIIHcKo/M1Ppdhb/DHSW17WAr+Ib2J47CzJDeSp4Ltgn8f++R1NedXNxPd3El&#10;1cuZJpnaSR2+8zMckn8TQBHXtnwXd28KThzkJqcyp7DyoG/mTXideofDPx9oGi6WuhaqXtXM8kgu&#10;CN0B34wCRyvT0x70AetUUyGaG4iWeB1ljcZR0IZSPUEZBp9ABRRRQAUUUUAFFFFABRRRQAUUUUAF&#10;FFFABRRRQB5f4wJvPiVplseRG9hGcYB2mUyHr7Oa9Qry+6xefF5EX5hHNF2z/qrcOevoVNeoUAFF&#10;FFABRRRQAUUUUAFFFFABRRRQAUUUUAFFFFABRRRQAUUUUAFFFFABRRRQAUUUUAFFFFABRRRQAUUV&#10;5t8WfGkmnQ/8I1pkm24uI915Iv3kibpGPQt39vrQBU8f/FKSKWTRvDEoUods98uCcjqkXb6t+XrX&#10;lTu8jtJIxd3YszMSWJPJJJ6mkrX0bwj4j18B9LsZZYiQPObEUPp99yqnpzg0AZFFdyvwd8VbN801&#10;jAMf8tJn6+nyxMM1Bd/CXxlaxmSOGG6AGcQSru/JxHmgDja7nwb8UtQ8PRpp2qo1/p6cJgj7REoH&#10;AUnAZfYn8a4+/wBN1DS5jb6lbS2soz8kyNGTjjIyBke4qtQB9H6P408Ma4q/YL+LzGGfJlPkzDt9&#10;18E/hmtoEEAg5B5BFfK6I8jrHGpZmIVVUZJJ4AAHevWfAfgzxPYaNrCXw+ynUtNkgtI3kO9JHVwG&#10;IXOzlgfWgD0e91PTtNjMuoXUNsgGS0zrGMfiRXC+JfjBpFjG9v4fX7fc4IEzBktkPrzhn/DA968r&#10;1/w/rPh69NtrULRyyZdZCd6SDPLKwyDz17+tZlAFvVNVv9avpNR1KZp7iU/MzdAB0UDoAOwFVKK6&#10;LSfh74u1hVktrB4om5EtwRbrj1AchiPoDQBztFd2Pg34p6NcWCueRGZZN5+mISP1rP1H4YeMtOUy&#10;fYhdIASWtXWU8f7PD/kKAKnhTxtrPhO4BtHM9ox/e2chPlN6leuxvcfiDXu3h3xFpvibTU1LTXyp&#10;+WSNseZE/dGHY/z6ivmuWGWCRoZ0aKRDhkcFWB9CDgitrwf4pu/Cerpfw5e3fCXUAOBJH/LcOqn+&#10;hNAH0dRUNpd299axXto4kgnjWSN15BVhkGpqACiiigAooooAKKKKACiiigAooooAKKKKAPLtAH2r&#10;4rXk3XyJ73nrjaGh/rXqNeXfDom88barfMclorp/fdJOhzxx0zXqNAMKKKKACiiigAooooAKKKKA&#10;CiiigAooooAKKKKACiiigAooooAKKKKACiiigAooooAKKKKACiiigCrqmoQaTp1zqVycRWsLyv6k&#10;KM4Huegr5pvry81rU5r2bMt1ezliqgsSznhVHJ74Ar2T4x6i1p4WSyQ4N/dxxt2+SMGU/wDjyrWN&#10;8H/CUbIfFV8gY7mjsVYZA25WSX65+UemDQBc8D/Cm1so49U8TRrcXRAaOzOGhizyN46O3t0HvXo6&#10;IsahEAVVACqBgADoAKdRQBwXxnmeLwnCi4xNqUKNn0Ecz/zQV5BpWo6ra3UMWn3s9oWlRVMUjoAW&#10;YDOAwB69K9p+LdobnwZPIq7ja3ME3TJA3eWSPTiT8q8IoA+n9S0rTtXtWstTt0uYW/gkG7HuD1B9&#10;xXjHj74cT+GQ2qaYWn0wt8wbmWAscAN6rk4B/P39n0q+j1PTLTUYjuS6t4pgf99Q39annghuoJLa&#10;4QSRSoUkRhlWVhgg/hQB4h8IdNtr/wAWebcqH+xWklzEp5/ebo4wcewkJ+uK9zry++m8LfCa+C2V&#10;lcXuo3alxLI2yNLdnOUVsYJ46YJ45IrrbD4heD7+2W4XU4YNw5iuGEMqnuCGx+mRQBD8S9NtdQ8H&#10;3z3CgvaRi4hfA3K6EdPqMg/WvC9H0e/13UItM02PzZ5jwOiqB952PZQOpr1fxF8U/Ck8x0R7Z9T0&#10;2dSl3PGTGAMjAQEKXxjJOR7ZrpPCPhDRvDMU0+liRjfESb58eakZAKxdAQB78560AVPCPw50XwzG&#10;k8yLe6jgFrmRQQjekanO0e/U/pXM/GjUNRs59NitLuaCGaKcyRRSPGrFCmCQpAP3q9Trxb40X63H&#10;iO2sU/5c7Nd5/wBqVi2P++Qv50AYXw7ldfG+lyEks1w4Ykkk743Un9a+hq8B+Fto9141sWGNtus8&#10;z59BGyj/AMeYV79QBi+I/CWieKLcw6lAPNCkR3MYC3CH2bHI9jkV4Z4u8Iaj4Rv/ALNdfvbeTJt7&#10;lRhJAOo74YdxX0bWX4k8P2XiXSZtLvV4cbopP4o5B9xx9D19RxQBxHwY8Qtc2Nz4euHLSWh8+2ye&#10;fKYgOo9lYg/8Cr0uvAPBUt14Z8fWtnd/upBdtYXC84PmExDt03FSD/Svf6ACiiigAooooAKKKKAC&#10;iiigAooooAKZLIsMTytnailjjrgDJp9UNek8nQ9Rl/552Fy35RsaAOB+D6GS71W5PURwKfT52kb/&#10;ANkr02vPfg/DtsNRn/v3ESf98KT/AOz16FQAUUUUAFFFFABRRRQAUUUUAFFFFABRRRQAUUUUAFFF&#10;FABRRRQAUUUUAFFFFABRRRQAUUUUAFFFFAHlfxuaWWbRbKIElzdEKD95iYVX+v516RpGnxaTpdrp&#10;sIwlrBHEMdyoAJ/E81xfxQtFk1LwvdsPlj1ZYW9MSvC3P/fs16BQAUUUUAUta02PWNJu9LlOFu7e&#10;SLd/dLAhW79Dg18zXNvNZ3MtpcLsmgkeKRT1VkJVh+Yr6mryL4veEHguf+EpsEzDNtS+Vf4JOFST&#10;How4Pv8AWgDV+DvidbvT38N3T/v7PdJbZPLQscsoyckqx/Ij0r0ivlywvrvTLyG/sZDDcQOHjkXq&#10;CP5jHBFe7+DPiDpniqFbeYraako+e2Y/K/8AtRk9R7dR+tAGT8Z9KS58P2+qKo82xuQpbHPlzDaR&#10;n/eC14vX0F8TVibwNqfnEgBYCCOTu86Lb+ZwDXz7QBveBdKXWPFmnWUilovP86UdtkIMpB68Hbj8&#10;a+jK8N+DoQ+MMt1FlOV+uUH8s17RqOp2GkWj32pTpbQJ1eQ4GewHcn0A5oATVdTtNG0+fU759kFt&#10;GXc9zjoo9STwB6182azqlxreqXWq3X+tupmkI6hQeFUdOAoAH0ro/H3j6fxZcC0tA0GlwPmOM8PK&#10;w4Ej/h0Hauf0PRb3xBqkGlWC7pZ2wWxlUUfedvYCgD0n4KaIyR3viCZceZi1tyR1AIeUg+mdo/A1&#10;6lVPR9KttE0y20qzGIbWIIpPVj1Zj7kkk1coAKKKKAPIfibpy2HjrSdWiG37a9uz7RyZIJEUn3O0&#10;rXr1cB8TrUXereFYlGZn1XYuM5Cs0Bc49BgEntXf0AFFFFABRRRQAUUUUAFFFFABRRRQAVh+N5vI&#10;8J6m4OM2xTrj/WEJ/wCzVuVy/wASp/J8IXi95ngjHOP+WiOf0WgCl8JofL8NTSEcy38rA4xwEiX8&#10;eQa7WuW+GkXl+D7R/wDnrJcOev8Az1dP/Za6mgAooooAKKKKACiiigAooooAKKKKACiiigAooooA&#10;KKKKACiiigAooooAKKKKACiiigAooooAKKKKAOZ+ImnTah4YmltV33OnyxX0CgFjugOTgDnOwt0r&#10;obaY3FvFOVKGWNH2MMMu4A4I9RmpaKACiiigAqO4t4LuCS1uUWWGZGSSNxlWVhggj0xUlFAHhnjv&#10;4bXvh2SXUtKVrnSiSxxlpbcej9yvo35+p4lWZGDoSrKQQRwQRyCK+qCAQQRkHgg1x2u/C3wvq9wL&#10;1EbT5N4ebyMLE4zlsqeFJ9RigDkNe1PUYfhTp8GrTvcXWq3IZDKdzi3jJkXJPJ+6p/GvNq6j4h+I&#10;4Ne1sQ6eR/Zumxi1swv3Cq/ecexIAHsBXL0AdH8O9TXSvGGnTyNtjllNvJnpiZTGuf8AgRBp/wAR&#10;H1ZfFd9a6pcSzrFMzWwkJ2LDJ88YUdAApAOO4rmlZkYMpKspBBHBBHQ17Dp+jaF8VLKw1u/leK9s&#10;Yha6hFDtVpGX5lySGIB5II9SOooA8r0bQ9T1+9Ww0qBp5WxnHCIP7zN0Ar3jwV4LsvCFjsUia+nA&#10;+03OOuOdi56KP16mtbSdF0vQrUWek2yW0QxkIPmYjuzHLMfcmr1ABRRRQAUUUUAcnqVlNqnxB0sv&#10;G/2XR7Ce68wjEbSzt5SoD3IChuPSusoooAKKKKACiiigAooooAKKKKACiiigArivizJs8MxJ/wA9&#10;L+JfySVv6V2tee/GGXFjpsP9+eZ/++FUf+z0AdN4Ji8nwppietsH9fvkv/7NW5VDQYvI0PToD1js&#10;bZD0/hjUdqv0AFFFFABRRRQAUUUUAFFFFABRRRQAUUUUAFFFFABRRRQAUUUUAFFFFABRRRQAUUUU&#10;AFFFFABRRRQAVn67ZX+oaZNbaZdvYXZAaGdMHDKcgNkH5TjBoooAyfCXi/8AtqSbRtTj+zazp5KX&#10;cSfNCxU4LowyMH0J4966aiigAooooAQnAye1eRfET4mfbkm0DQCyQEtHdXJBRnA4aNAQCF9Sev06&#10;lFAHmdFFFABWt4Y8Taj4V1NdRsDuBws8DH93KmclT6H0PY/lRRQB774Z8Tad4p04ahp+4AHZLG4I&#10;aN8ZK56H6iteiigAooooAr6hf2ul2U2o3r+Xb28ZkkYAsQo9gCTXMeGNU1jxbqJ8RLI1locPmQ2d&#10;qCpkuG+68kv3sAEcDPX9SigDr6KKKACiiigAooooAKKKKACiiigAooooAK8x+MMxa60u2H8Ec7+/&#10;zmNfp/BRRQCPS4YxDEkK9I0VRjjgDFPoooAKKKKACiiigAooooAKKKKACiiigAooooAKKKKAP//Z&#10;UEsDBBQABgAIAAAAIQDGn5ot3gAAAAcBAAAPAAAAZHJzL2Rvd25yZXYueG1sTI5BS8NAFITvgv9h&#10;eYI3u0nTmhKzKaWopyLYCtLba/Y1Cc2+Ddltkv5715OehmGGmS9fT6YVA/WusawgnkUgiEurG64U&#10;fB3enlYgnEfW2FomBTdysC7u73LMtB35k4a9r0QYYZehgtr7LpPSlTUZdDPbEYfsbHuDPti+krrH&#10;MYybVs6j6FkabDg81NjRtqbysr8aBe8jjpskfh12l/P2djwsP753MSn1+DBtXkB4mvxfGX7xAzoU&#10;gelkr6ydaBWkoadgvgga0iRZxiBOChZpnIIscvmfv/g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cPNi6kAwAAYwgAAA4AAAAAAAAAAAAAAAAAPAIAAGRycy9lMm9E&#10;b2MueG1sUEsBAi0ACgAAAAAAAAAhADOuLY+FZQAAhWUAABUAAAAAAAAAAAAAAAAADAYAAGRycy9t&#10;ZWRpYS9pbWFnZTEuanBlZ1BLAQItABQABgAIAAAAIQDGn5ot3gAAAAcBAAAPAAAAAAAAAAAAAAAA&#10;AMRrAABkcnMvZG93bnJldi54bWxQSwECLQAUAAYACAAAACEAWGCzG7oAAAAiAQAAGQAAAAAAAAAA&#10;AAAAAADPbAAAZHJzL19yZWxzL2Uyb0RvYy54bWwucmVsc1BLBQYAAAAABgAGAH0BAADAbQAAAAA=&#10;">
                      <v:shape id="Text Box 64" o:spid="_x0000_s1080" type="#_x0000_t202" style="position:absolute;left:13589;top:2692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0D03B051"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v:textbox>
                      </v:shape>
                      <v:shape id="그림 2" o:spid="_x0000_s1081" type="#_x0000_t75" style="position:absolute;width:21234;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02wgAAANoAAAAPAAAAZHJzL2Rvd25yZXYueG1sRI9Bi8Iw&#10;FITvC/6H8ARvmqqoazWKVgQve9DdxeujebbV5qU0sdZ/bxaEPQ4z8w2zXLemFA3VrrCsYDiIQBCn&#10;VhecKfj53vc/QTiPrLG0TAqe5GC96nwsMdb2wUdqTj4TAcIuRgW591UspUtzMugGtiIO3sXWBn2Q&#10;dSZ1jY8AN6UcRdFUGiw4LORYUZJTejvdjYJrgs14Pp18JVvKzs148rub7YdK9brtZgHCU+v/w+/2&#10;QSsYwd+VcAPk6gUAAP//AwBQSwECLQAUAAYACAAAACEA2+H2y+4AAACFAQAAEwAAAAAAAAAAAAAA&#10;AAAAAAAAW0NvbnRlbnRfVHlwZXNdLnhtbFBLAQItABQABgAIAAAAIQBa9CxbvwAAABUBAAALAAAA&#10;AAAAAAAAAAAAAB8BAABfcmVscy8ucmVsc1BLAQItABQABgAIAAAAIQChsY02wgAAANoAAAAPAAAA&#10;AAAAAAAAAAAAAAcCAABkcnMvZG93bnJldi54bWxQSwUGAAAAAAMAAwC3AAAA9gIAAAAA&#10;" stroked="t" strokecolor="#5a5a5a [2109]" strokeweight="1pt">
                        <v:imagedata r:id="rId54" o:title=""/>
                        <v:path arrowok="t"/>
                      </v:shape>
                      <w10:wrap type="square"/>
                    </v:group>
                  </w:pict>
                </mc:Fallback>
              </mc:AlternateContent>
            </w:r>
          </w:p>
          <w:p w14:paraId="1D6DBD16" w14:textId="77777777" w:rsidR="002E5800" w:rsidRPr="008F328C" w:rsidRDefault="000E0B7C">
            <w:pPr>
              <w:pStyle w:val="a3"/>
              <w:numPr>
                <w:ilvl w:val="0"/>
                <w:numId w:val="22"/>
              </w:numPr>
              <w:rPr>
                <w:b/>
                <w:lang w:val="pl-PL"/>
              </w:rPr>
            </w:pPr>
            <w:r w:rsidRPr="008F328C">
              <w:rPr>
                <w:rFonts w:eastAsia="Times New Roman"/>
                <w:b/>
                <w:bCs/>
                <w:lang w:val="pl-PL"/>
              </w:rPr>
              <w:t>Wyrzucić ampułko-strzykawkę.</w:t>
            </w:r>
          </w:p>
          <w:p w14:paraId="673A320F" w14:textId="2D70ADCB" w:rsidR="00F2584C" w:rsidRPr="008F328C" w:rsidRDefault="00F2584C" w:rsidP="00404101">
            <w:pPr>
              <w:pStyle w:val="a3"/>
              <w:numPr>
                <w:ilvl w:val="0"/>
                <w:numId w:val="0"/>
              </w:numPr>
              <w:ind w:left="4300"/>
              <w:rPr>
                <w:b/>
                <w:lang w:val="pl-PL"/>
              </w:rPr>
            </w:pPr>
          </w:p>
          <w:p w14:paraId="15FBC6F7" w14:textId="20F910ED" w:rsidR="002E5800" w:rsidRPr="008F328C" w:rsidRDefault="000E0B7C" w:rsidP="00404101">
            <w:pPr>
              <w:pStyle w:val="a3"/>
              <w:numPr>
                <w:ilvl w:val="0"/>
                <w:numId w:val="19"/>
              </w:numPr>
              <w:ind w:left="4300"/>
              <w:rPr>
                <w:b/>
                <w:lang w:val="pl-PL"/>
              </w:rPr>
            </w:pPr>
            <w:r w:rsidRPr="008F328C">
              <w:rPr>
                <w:rFonts w:eastAsia="Times New Roman"/>
                <w:b/>
                <w:bCs/>
                <w:lang w:val="pl-PL"/>
              </w:rPr>
              <w:t xml:space="preserve">Nie </w:t>
            </w:r>
            <w:r w:rsidRPr="008F328C">
              <w:rPr>
                <w:rFonts w:eastAsia="Times New Roman"/>
                <w:lang w:val="pl-PL"/>
              </w:rPr>
              <w:t>nakładać ponownie osłony na ampułko-strzykawkę.</w:t>
            </w:r>
          </w:p>
          <w:p w14:paraId="0E0B1D4E" w14:textId="77777777" w:rsidR="00F2584C" w:rsidRPr="008F328C" w:rsidRDefault="00F2584C" w:rsidP="00404101">
            <w:pPr>
              <w:pStyle w:val="a3"/>
              <w:numPr>
                <w:ilvl w:val="0"/>
                <w:numId w:val="0"/>
              </w:numPr>
              <w:ind w:left="4300"/>
              <w:rPr>
                <w:b/>
                <w:lang w:val="pl-PL"/>
              </w:rPr>
            </w:pPr>
          </w:p>
          <w:p w14:paraId="770CC0A0" w14:textId="77777777"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Wyrzucić zużytą ampułko-strzykawkę do specjalnego pojemnika na odpady ostre zgodnie z instrukcjami otrzymanymi od lekarza, farmaceuty lub pielęgniarki.</w:t>
            </w:r>
          </w:p>
          <w:p w14:paraId="3F46C498" w14:textId="278A81EE" w:rsidR="002E5800" w:rsidRPr="008F328C" w:rsidRDefault="000E0B7C">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Gazik i opakowanie można wyrzucać do domowego pojemnika na odpadki.</w:t>
            </w:r>
          </w:p>
          <w:p w14:paraId="07A760EE" w14:textId="77777777" w:rsidR="00F2584C" w:rsidRPr="008F328C" w:rsidRDefault="00F2584C">
            <w:pPr>
              <w:pStyle w:val="a3"/>
              <w:ind w:left="4117" w:hanging="180"/>
              <w:rPr>
                <w:lang w:val="pl-PL"/>
              </w:rPr>
            </w:pPr>
          </w:p>
          <w:p w14:paraId="18F0C879" w14:textId="56C821CE" w:rsidR="002E5800" w:rsidRPr="008F328C" w:rsidRDefault="000E0B7C" w:rsidP="00404101">
            <w:pPr>
              <w:pStyle w:val="a3"/>
              <w:numPr>
                <w:ilvl w:val="0"/>
                <w:numId w:val="19"/>
              </w:numPr>
              <w:ind w:left="4300"/>
              <w:rPr>
                <w:lang w:val="pl-PL"/>
              </w:rPr>
            </w:pPr>
            <w:r w:rsidRPr="008F328C">
              <w:rPr>
                <w:rFonts w:eastAsia="Times New Roman"/>
                <w:lang w:val="pl-PL"/>
              </w:rPr>
              <w:tab/>
              <w:t>Zawsze przechowywać ampułko-strzykawkę</w:t>
            </w:r>
            <w:r w:rsidRPr="008F328C">
              <w:rPr>
                <w:rFonts w:eastAsia="맑은 고딕"/>
                <w:lang w:val="pl-PL"/>
              </w:rPr>
              <w:t xml:space="preserve"> </w:t>
            </w:r>
            <w:r w:rsidRPr="008F328C">
              <w:rPr>
                <w:rFonts w:eastAsia="Times New Roman"/>
                <w:lang w:val="pl-PL"/>
              </w:rPr>
              <w:t>i specjalny pojemnik na wykorzystane ampułko-strzykawki w miejscu niewidocznym i niedostępnym dla dzieci.</w:t>
            </w:r>
          </w:p>
          <w:p w14:paraId="684787D8" w14:textId="46246AAC" w:rsidR="002E5800" w:rsidRPr="008F328C" w:rsidRDefault="002E5800">
            <w:pPr>
              <w:pStyle w:val="a3"/>
              <w:rPr>
                <w:lang w:val="pl-PL"/>
              </w:rPr>
            </w:pPr>
          </w:p>
          <w:p w14:paraId="1B336B06" w14:textId="39CE9C22" w:rsidR="002E5800" w:rsidRPr="008F328C" w:rsidRDefault="002E5800">
            <w:pPr>
              <w:pStyle w:val="a3"/>
              <w:rPr>
                <w:spacing w:val="-1"/>
                <w:lang w:val="pl-PL"/>
              </w:rPr>
            </w:pPr>
          </w:p>
        </w:tc>
      </w:tr>
    </w:tbl>
    <w:p w14:paraId="27A0ECC3" w14:textId="77777777" w:rsidR="002E5800" w:rsidRPr="008F328C" w:rsidRDefault="002E5800">
      <w:pPr>
        <w:spacing w:line="241" w:lineRule="auto"/>
        <w:rPr>
          <w:rFonts w:ascii="Times New Roman" w:hAnsi="Times New Roman" w:cs="Times New Roman"/>
          <w:lang w:val="pl-PL"/>
        </w:rPr>
      </w:pPr>
    </w:p>
    <w:p w14:paraId="3529D229" w14:textId="6F91A516" w:rsidR="002E5800" w:rsidRPr="008F328C" w:rsidRDefault="000E0B7C">
      <w:pPr>
        <w:pStyle w:val="a3"/>
        <w:rPr>
          <w:b/>
          <w:lang w:val="pl-PL"/>
        </w:rPr>
      </w:pPr>
      <w:r w:rsidRPr="008F328C">
        <w:rPr>
          <w:lang w:val="pl-PL"/>
        </w:rPr>
        <w:br w:type="page"/>
      </w:r>
      <w:r w:rsidRPr="008F328C">
        <w:rPr>
          <w:rFonts w:eastAsia="Times New Roman"/>
          <w:b/>
          <w:bCs/>
          <w:highlight w:val="lightGray"/>
          <w:lang w:val="pl-PL"/>
        </w:rPr>
        <w:lastRenderedPageBreak/>
        <w:t>Ampułkostrzykawka (szklana) z lekiem Yuflyma z osłoną igły</w:t>
      </w:r>
    </w:p>
    <w:p w14:paraId="20704597" w14:textId="77777777" w:rsidR="002E5800" w:rsidRPr="008F328C" w:rsidRDefault="002E5800">
      <w:pPr>
        <w:pStyle w:val="a3"/>
        <w:rPr>
          <w:lang w:val="pl-PL"/>
        </w:rPr>
      </w:pPr>
    </w:p>
    <w:p w14:paraId="0E2A6B67" w14:textId="602A9292" w:rsidR="002E5800" w:rsidRPr="008F328C" w:rsidRDefault="00F2584C">
      <w:pPr>
        <w:spacing w:before="3"/>
        <w:ind w:left="1786" w:right="10920"/>
        <w:rPr>
          <w:rFonts w:ascii="Times New Roman" w:eastAsia="Times New Roman" w:hAnsi="Times New Roman" w:cs="Times New Roman"/>
          <w:sz w:val="20"/>
          <w:szCs w:val="20"/>
          <w:lang w:val="pl-PL"/>
        </w:rPr>
      </w:pPr>
      <w:r w:rsidRPr="008F328C">
        <w:rPr>
          <w:rFonts w:ascii="Times New Roman" w:hAnsi="Times New Roman" w:cs="Times New Roman"/>
          <w:noProof/>
          <w:lang w:eastAsia="ko-KR"/>
        </w:rPr>
        <mc:AlternateContent>
          <mc:Choice Requires="wps">
            <w:drawing>
              <wp:anchor distT="0" distB="0" distL="114300" distR="114300" simplePos="0" relativeHeight="251658303" behindDoc="0" locked="0" layoutInCell="1" allowOverlap="1" wp14:anchorId="69D12380" wp14:editId="25B09C7D">
                <wp:simplePos x="0" y="0"/>
                <wp:positionH relativeFrom="column">
                  <wp:posOffset>2886075</wp:posOffset>
                </wp:positionH>
                <wp:positionV relativeFrom="paragraph">
                  <wp:posOffset>1596390</wp:posOffset>
                </wp:positionV>
                <wp:extent cx="665480" cy="285750"/>
                <wp:effectExtent l="0" t="0" r="1270" b="0"/>
                <wp:wrapNone/>
                <wp:docPr id="3902" name="Text Box 3902"/>
                <wp:cNvGraphicFramePr/>
                <a:graphic xmlns:a="http://schemas.openxmlformats.org/drawingml/2006/main">
                  <a:graphicData uri="http://schemas.microsoft.com/office/word/2010/wordprocessingShape">
                    <wps:wsp>
                      <wps:cNvSpPr txBox="1"/>
                      <wps:spPr>
                        <a:xfrm>
                          <a:off x="0" y="0"/>
                          <a:ext cx="665480" cy="285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D41D5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rPr>
                              <w:t>Okienko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12380" id="Text Box 3902" o:spid="_x0000_s1082" type="#_x0000_t202" style="position:absolute;left:0;text-align:left;margin-left:227.25pt;margin-top:125.7pt;width:52.4pt;height:2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uFqbwIAAFwFAAAOAAAAZHJzL2Uyb0RvYy54bWysVN9P2zAQfp+0/8Hy+5oCK0MVKeqKOk1C&#10;gAYTz65jt9Ycn2dfm3R//c5O0jLGC9NenIvv9+fv7vKqrS3bqRANuJKfjMacKSehMm5d8u+Pyw8X&#10;nEUUrhIWnCr5XkV+NXv/7rLxU3UKG7CVCoyCuDhtfMk3iH5aFFFuVC3iCLxypNQQaoH0G9ZFFURD&#10;0WtbnI7H50UDofIBpIqRbq87JZ/l+ForiXdaR4XMlpxqw3yGfK7SWcwuxXQdhN8Y2Zch/qGKWhhH&#10;SQ+hrgUKtg3mr1C1kQEiaBxJqAvQ2kiVe6BuTsYvunnYCK9yLwRO9AeY4v8LK293D/4+MGw/Q0sP&#10;mABpfJxGukz9tDrU6UuVMtIThPsDbKpFJuny/Hzy8YI0klSnF5NPkwxrcXT2IeIXBTVLQskDvUoG&#10;S+xuIlJCMh1MUq4I1lRLY23+SUxQCxvYTtAbrta5RPL4w8o61lAhZ5Q6OTlI7l1k69KNylzo0x0b&#10;zBLurUo21n1Tmpkq9/lKbiGlcjjkz9bJSlOqtzj29seq3uLc9UEeOTM4PDjXxkHI3efhOUJW/RhK&#10;1p09Af6s7yRiu2qp8ZKfnQ0EWEG1J14E6EYmerk09Ho3IuK9CDQj9OA093hHh7ZA6EMvcbaB8Ou1&#10;+2RP1CUtZw3NXMnjz60IijP71RGp04AOQhiE1SC4bb0AosAJbRQvs0gOAe0g6gD1E62DecpCKuEk&#10;5So5DuICu8mndSLVfJ6NaAy9wBv34GUKnWBNXHxsn0TwPWGRmH4LwzSK6QvedrbJ08F8i6BNJnUC&#10;tkOxB5xGOHO9XzdpRzz/z1bHpTj7DQAA//8DAFBLAwQUAAYACAAAACEAPuX2LeEAAAALAQAADwAA&#10;AGRycy9kb3ducmV2LnhtbEyPQU7DMBBF90jcwRokNog6KUmbhjgVVELAgkVDD+DEQxywx1HstuH2&#10;mBUsZ+bpz/vVdraGnXDygyMB6SIBhtQ5NVAv4PD+dFsA80GSksYRCvhGD9v68qKSpXJn2uOpCT2L&#10;IeRLKUCHMJac+06jlX7hRqR4+3CTlSGOU8/VJM8x3Bq+TJIVt3Kg+EHLEXcau6/maAUUhd+t0bfO&#10;fD43Lzev+Jju37QQ11fzwz2wgHP4g+FXP6pDHZ1adyTlmRGQ5VkeUQHLPM2ARSLPN3fA2rjZrDLg&#10;dcX/d6h/AAAA//8DAFBLAQItABQABgAIAAAAIQC2gziS/gAAAOEBAAATAAAAAAAAAAAAAAAAAAAA&#10;AABbQ29udGVudF9UeXBlc10ueG1sUEsBAi0AFAAGAAgAAAAhADj9If/WAAAAlAEAAAsAAAAAAAAA&#10;AAAAAAAALwEAAF9yZWxzLy5yZWxzUEsBAi0AFAAGAAgAAAAhAK4u4WpvAgAAXAUAAA4AAAAAAAAA&#10;AAAAAAAALgIAAGRycy9lMm9Eb2MueG1sUEsBAi0AFAAGAAgAAAAhAD7l9i3hAAAACwEAAA8AAAAA&#10;AAAAAAAAAAAAyQQAAGRycy9kb3ducmV2LnhtbFBLBQYAAAAABAAEAPMAAADXBQAAAAA=&#10;" fillcolor="white [3212]" stroked="f" strokeweight=".5pt">
                <v:textbox inset="0,0,0,0">
                  <w:txbxContent>
                    <w:p w14:paraId="63D41D5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rPr>
                        <w:t>Okienko</w:t>
                      </w:r>
                    </w:p>
                  </w:txbxContent>
                </v:textbox>
              </v:shape>
            </w:pict>
          </mc:Fallback>
        </mc:AlternateContent>
      </w:r>
      <w:r w:rsidRPr="008F328C">
        <w:rPr>
          <w:rFonts w:ascii="Times New Roman" w:hAnsi="Times New Roman" w:cs="Times New Roman"/>
          <w:noProof/>
          <w:lang w:eastAsia="ko-KR"/>
        </w:rPr>
        <mc:AlternateContent>
          <mc:Choice Requires="wps">
            <w:drawing>
              <wp:anchor distT="0" distB="0" distL="114300" distR="114300" simplePos="0" relativeHeight="251658302" behindDoc="0" locked="0" layoutInCell="1" allowOverlap="1" wp14:anchorId="52EF1C22" wp14:editId="03702D2C">
                <wp:simplePos x="0" y="0"/>
                <wp:positionH relativeFrom="column">
                  <wp:posOffset>2870200</wp:posOffset>
                </wp:positionH>
                <wp:positionV relativeFrom="paragraph">
                  <wp:posOffset>1990090</wp:posOffset>
                </wp:positionV>
                <wp:extent cx="665480" cy="285750"/>
                <wp:effectExtent l="0" t="0" r="1270" b="0"/>
                <wp:wrapNone/>
                <wp:docPr id="3884" name="Text Box 3884"/>
                <wp:cNvGraphicFramePr/>
                <a:graphic xmlns:a="http://schemas.openxmlformats.org/drawingml/2006/main">
                  <a:graphicData uri="http://schemas.microsoft.com/office/word/2010/wordprocessingShape">
                    <wps:wsp>
                      <wps:cNvSpPr txBox="1"/>
                      <wps:spPr>
                        <a:xfrm>
                          <a:off x="0" y="0"/>
                          <a:ext cx="665480" cy="285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5E368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igły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F1C22" id="Text Box 3884" o:spid="_x0000_s1083" type="#_x0000_t202" style="position:absolute;left:0;text-align:left;margin-left:226pt;margin-top:156.7pt;width:52.4pt;height:22.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6RbwIAAFwFAAAOAAAAZHJzL2Uyb0RvYy54bWysVEtPGzEQvlfqf7B8LxvCo1GUDUpBVJUQ&#10;IKDi7HjtxKrX49qT7Ka/vmPvbkIpF6pevLOe9+dvZnbR1pZtVYgGXMmPj0acKSehMm5V8u9P158m&#10;nEUUrhIWnCr5TkV+Mf/4Ydb4qRrDGmylAqMgLk4bX/I1op8WRZRrVYt4BF45UmoItUD6DauiCqKh&#10;6LUtxqPRedFAqHwAqWKk26tOyec5vtZK4p3WUSGzJafaMJ8hn8t0FvOZmK6C8Gsj+zLEP1RRC+Mo&#10;6T7UlUDBNsH8Fao2MkAEjUcS6gK0NlLlHqib49Grbh7XwqvcC4ET/R6m+P/Cytvto78PDNsv0NID&#10;JkAaH6eRLlM/rQ51+lKljPQE4W4Pm2qRSbo8Pz87nZBGkmo8Oft8lmEtDs4+RPyqoGZJKHmgV8lg&#10;ie1NREpIpoNJyhXBmuraWJt/EhPUpQ1sK+gNl6tcInn8YWUda6iQE0qdnBwk9y6ydelGZS706Q4N&#10;Zgl3ViUb6x6UZqbKfb6RW0ipHA75s3Wy0pTqPY69/aGq9zh3fZBHzgwO9861cRBy93l4DpBVP4aS&#10;dWdPgL/oO4nYLltqvOQnpwMBllDtiBcBupGJXl4ber0bEfFeBJoRenCae7yjQ1sg9KGXOFtD+PXW&#10;fbIn6pKWs4ZmruTx50YExZn95ojUaUAHIQzCchDcpr4EosAxbRQvs0gOAe0g6gD1M62DRcpCKuEk&#10;5So5DuIldpNP60SqxSIb0Rh6gTfu0csUOsGauPjUPovge8IiMf0WhmkU01e87WyTp4PFBkGbTOoE&#10;bIdiDziNcOZ6v27Sjnj5n60OS3H+GwAA//8DAFBLAwQUAAYACAAAACEAIm1uPuEAAAALAQAADwAA&#10;AGRycy9kb3ducmV2LnhtbEyPy07DMBBF90j8gzVIbBB10iZtFOJUUAlBFywa+gFOPMQBP6LYbcPf&#10;M6xgOTNXd86ptrM17IxTGLwTkC4SYOg6rwbXCzi+P98XwEKUTknjHQr4xgDb+vqqkqXyF3fAcxN7&#10;RiUulFKAjnEsOQ+dRivDwo/o6PbhJysjjVPP1SQvVG4NXybJmls5OPqg5Yg7jd1Xc7ICiiLsNhha&#10;bz5fmte7PT6lhzctxO3N/PgALOIc/8Lwi0/oUBNT609OBWYEZPmSXKKAVbrKgFEiz9ck09ImLzLg&#10;dcX/O9Q/AAAA//8DAFBLAQItABQABgAIAAAAIQC2gziS/gAAAOEBAAATAAAAAAAAAAAAAAAAAAAA&#10;AABbQ29udGVudF9UeXBlc10ueG1sUEsBAi0AFAAGAAgAAAAhADj9If/WAAAAlAEAAAsAAAAAAAAA&#10;AAAAAAAALwEAAF9yZWxzLy5yZWxzUEsBAi0AFAAGAAgAAAAhAClYHpFvAgAAXAUAAA4AAAAAAAAA&#10;AAAAAAAALgIAAGRycy9lMm9Eb2MueG1sUEsBAi0AFAAGAAgAAAAhACJtbj7hAAAACwEAAA8AAAAA&#10;AAAAAAAAAAAAyQQAAGRycy9kb3ducmV2LnhtbFBLBQYAAAAABAAEAPMAAADXBQAAAAA=&#10;" fillcolor="white [3212]" stroked="f" strokeweight=".5pt">
                <v:textbox inset="0,0,0,0">
                  <w:txbxContent>
                    <w:p w14:paraId="5C5E368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igły</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8" behindDoc="0" locked="0" layoutInCell="1" allowOverlap="1" wp14:anchorId="278BA5D5" wp14:editId="0181A896">
                <wp:simplePos x="0" y="0"/>
                <wp:positionH relativeFrom="column">
                  <wp:posOffset>2870200</wp:posOffset>
                </wp:positionH>
                <wp:positionV relativeFrom="paragraph">
                  <wp:posOffset>2844165</wp:posOffset>
                </wp:positionV>
                <wp:extent cx="665480" cy="457200"/>
                <wp:effectExtent l="0" t="0" r="1270" b="0"/>
                <wp:wrapNone/>
                <wp:docPr id="3878" name="Text Box 3878"/>
                <wp:cNvGraphicFramePr/>
                <a:graphic xmlns:a="http://schemas.openxmlformats.org/drawingml/2006/main">
                  <a:graphicData uri="http://schemas.microsoft.com/office/word/2010/wordprocessingShape">
                    <wps:wsp>
                      <wps:cNvSpPr txBox="1"/>
                      <wps:spPr>
                        <a:xfrm>
                          <a:off x="0" y="0"/>
                          <a:ext cx="665480" cy="457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742AD"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BA5D5" id="Text Box 3878" o:spid="_x0000_s1084" type="#_x0000_t202" style="position:absolute;left:0;text-align:left;margin-left:226pt;margin-top:223.95pt;width:52.4pt;height:36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1EQcAIAAFwFAAAOAAAAZHJzL2Uyb0RvYy54bWysVE1v2zAMvQ/YfxB0X51+pCuCOEWWosOA&#10;oi3aDj0rspQIk0WNUmJnv36UbCdd10uHXWRaJB/JR1LTy7a2bKswGHAlPz4acaachMq4Vcm/P11/&#10;uuAsROEqYcGpku9U4Jezjx+mjZ+oE1iDrRQyAnFh0viSr2P0k6IIcq1qEY7AK0dKDViLSL+4KioU&#10;DaHXtjgZjc6LBrDyCFKFQLdXnZLPMr7WSsY7rYOKzJaccov5xHwu01nMpmKyQuHXRvZpiH/IohbG&#10;UdA91JWIgm3Q/AVVG4kQQMcjCXUBWhupcg1UzfHoVTWPa+FVroXICX5PU/h/sPJ2++jvkcX2C7TU&#10;wERI48Mk0GWqp9VYpy9lykhPFO72tKk2MkmX5+fjswvSSFKdjT9TWxJKcXD2GOJXBTVLQsmRupLJ&#10;EtubEDvTwSTFCmBNdW2szT9pEtTCItsK6uFylVMk8D+srGMNJXI6HmVgB8m9Q7Yuwag8C324Q4FZ&#10;ijurko11D0ozU+U634gtpFQuDvGzdbLSFOo9jr39Iav3OHd1kEeODC7unWvjAHP1eXkOlFU/hpR1&#10;Z0+9eVF3EmO7bKnwkp+OhwFYQrWjuUDoViZ4eW2oezcixHuBtCPUcNr7eEeHtkDsQy9xtgb89dZ9&#10;sqfRJS1nDe1cycPPjUDFmf3maKjTgg4CDsJyENymXgCNwDG9KF5mkRww2kHUCPUzPQfzFIVUwkmK&#10;VfI4iIvYbT49J1LN59mI1tCLeOMevUzQidY0i0/ts0DfD2ykSb+FYRvF5NXcdrbJ08F8E0GbPNSJ&#10;2I7FnnBa4bwW/XOT3oiX/9nq8CjOfgMAAP//AwBQSwMEFAAGAAgAAAAhAO5ZfjDgAAAACwEAAA8A&#10;AABkcnMvZG93bnJldi54bWxMj81OwzAQhO9IvIO1SFwQdVI1bRLiVFAJAQcOTfsATrzEAf9EsduG&#10;t2c5wW1GO5qdr9rO1rAzTmHwTkC6SICh67waXC/geHi+z4GFKJ2SxjsU8I0BtvX1VSVL5S9uj+cm&#10;9oxKXCilAB3jWHIeOo1WhoUf0dHtw09WRrJTz9UkL1RuDV8myZpbOTj6oOWIO43dV3OyAvI87DYY&#10;Wm8+X5rXuzd8SvfvWojbm/nxAVjEOf6F4Xc+TYeaNrX+5FRgRsAqWxJLJLHaFMAokWVrgmlJpEUB&#10;vK74f4b6BwAA//8DAFBLAQItABQABgAIAAAAIQC2gziS/gAAAOEBAAATAAAAAAAAAAAAAAAAAAAA&#10;AABbQ29udGVudF9UeXBlc10ueG1sUEsBAi0AFAAGAAgAAAAhADj9If/WAAAAlAEAAAsAAAAAAAAA&#10;AAAAAAAALwEAAF9yZWxzLy5yZWxzUEsBAi0AFAAGAAgAAAAhADZXURBwAgAAXAUAAA4AAAAAAAAA&#10;AAAAAAAALgIAAGRycy9lMm9Eb2MueG1sUEsBAi0AFAAGAAgAAAAhAO5ZfjDgAAAACwEAAA8AAAAA&#10;AAAAAAAAAAAAygQAAGRycy9kb3ducmV2LnhtbFBLBQYAAAAABAAEAPMAAADXBQAAAAA=&#10;" fillcolor="white [3212]" stroked="f" strokeweight=".5pt">
                <v:textbox inset="0,0,0,0">
                  <w:txbxContent>
                    <w:p w14:paraId="2E5742AD"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301" behindDoc="0" locked="0" layoutInCell="1" allowOverlap="1" wp14:anchorId="5C96FBD9" wp14:editId="662D2D6D">
                <wp:simplePos x="0" y="0"/>
                <wp:positionH relativeFrom="column">
                  <wp:posOffset>2879725</wp:posOffset>
                </wp:positionH>
                <wp:positionV relativeFrom="paragraph">
                  <wp:posOffset>2386965</wp:posOffset>
                </wp:positionV>
                <wp:extent cx="665480" cy="467995"/>
                <wp:effectExtent l="0" t="0" r="1270" b="8255"/>
                <wp:wrapNone/>
                <wp:docPr id="3883" name="Text Box 3883"/>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BC213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C96FBD9" id="Text Box 3883" o:spid="_x0000_s1085" type="#_x0000_t202" style="position:absolute;left:0;text-align:left;margin-left:226.75pt;margin-top:187.95pt;width:52.4pt;height:36.8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naAIAAE4FAAAOAAAAZHJzL2Uyb0RvYy54bWysVEtv2zAMvg/YfxB0X5z0kbVBnCJL0WFA&#10;0RZLh54VWUqMyaJGKbGzX19KtpOu66XDLjYlfvz4EMnpVVMZtlPoS7A5Hw2GnCkroSjtOuc/Hm8+&#10;XXDmg7CFMGBVzvfK86vZxw/T2k3UCWzAFAoZkVg/qV3ONyG4SZZ5uVGV8ANwypJSA1Yi0BHXWYGi&#10;JvbKZCfD4TirAQuHIJX3dHvdKvks8WutZLjX2qvATM4ptpC+mL6r+M1mUzFZo3CbUnZhiH+IohKl&#10;JacHqmsRBNti+RdVVUoEDzoMJFQZaF1KlXKgbEbDV9ksN8KplAsVx7tDmfz/o5V3u6V7QBaaL9DQ&#10;A8aC1M5PPF3GfBqNVfxTpIz0VML9oWyqCUzS5Xh8fnZBGkmqs/Hny8vzyJIdjR368FVBxaKQc6RX&#10;ScUSu1sfWmgPib48mLK4KY1Jh9gJamGQ7QS94WqdQiTyP1DGspoCOT0fJmIL0bxlNjbSqNQLnbtj&#10;gkkKe6MixtjvSrOySHm+4VtIqWzo/Sd0RGly9R7DDn+M6j3GbR5kkTyDDQfjqrSAKfs0PMeSFT/7&#10;kHWLp7d5kXcUQ7NqKPGcn477BlhBsae+QGhHxjt5U9Lr3QofHgTSjNCD09yHe/poA1R96CTONoC/&#10;37qPeGpd0nJW08zl3P/aClScmW+WmjoOaC9gL6x6wW6rBVALjGijOJlEMsBgelEjVE+0DubRC6mE&#10;leQr56EXF6GdfFonUs3nCURj6ES4tUsnI3Usa+zFx+ZJoOsaNlCn30E/jWLyqm9bbFfVtm7dgYY2&#10;DUK3YOJWeHlOqOManD0DAAD//wMAUEsDBBQABgAIAAAAIQDjPAcC4QAAAAsBAAAPAAAAZHJzL2Rv&#10;d25yZXYueG1sTI9BTsMwEEX3SNzBGiQ2iDoldZuGOBVUQpQFi6Y9gJMMccAeR7HbhttjVrAc/af/&#10;3xSbyRp2xtH3jiTMZwkwpMa1PXUSjoeX+wyYD4paZRyhhG/0sCmvrwqVt+5CezxXoWOxhHyuJOgQ&#10;hpxz32i0ys/cgBSzDzdaFeI5drwd1SWWW8MfkmTJreopLmg14FZj81WdrIQs89sV+tqZz9dqd/eG&#10;z/P9u5by9mZ6egQWcAp/MPzqR3Uoo1PtTtR6ZiQsRCoiKiFdiTWwSAiRpcDqGC3WS+Blwf//UP4A&#10;AAD//wMAUEsBAi0AFAAGAAgAAAAhALaDOJL+AAAA4QEAABMAAAAAAAAAAAAAAAAAAAAAAFtDb250&#10;ZW50X1R5cGVzXS54bWxQSwECLQAUAAYACAAAACEAOP0h/9YAAACUAQAACwAAAAAAAAAAAAAAAAAv&#10;AQAAX3JlbHMvLnJlbHNQSwECLQAUAAYACAAAACEA6/mrp2gCAABOBQAADgAAAAAAAAAAAAAAAAAu&#10;AgAAZHJzL2Uyb0RvYy54bWxQSwECLQAUAAYACAAAACEA4zwHAuEAAAALAQAADwAAAAAAAAAAAAAA&#10;AADCBAAAZHJzL2Rvd25yZXYueG1sUEsFBgAAAAAEAAQA8wAAANAFAAAAAA==&#10;" fillcolor="white [3212]" stroked="f" strokeweight=".5pt">
                <v:textbox inset="0,0,0,0">
                  <w:txbxContent>
                    <w:p w14:paraId="41BC213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6" behindDoc="0" locked="0" layoutInCell="1" allowOverlap="1" wp14:anchorId="25DD0C3E" wp14:editId="6E348B82">
                <wp:simplePos x="0" y="0"/>
                <wp:positionH relativeFrom="column">
                  <wp:posOffset>2823210</wp:posOffset>
                </wp:positionH>
                <wp:positionV relativeFrom="paragraph">
                  <wp:posOffset>1080135</wp:posOffset>
                </wp:positionV>
                <wp:extent cx="665480" cy="467995"/>
                <wp:effectExtent l="0" t="0" r="1270" b="8255"/>
                <wp:wrapNone/>
                <wp:docPr id="3875" name="Text Box 3875"/>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50346C"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5DD0C3E" id="Text Box 3875" o:spid="_x0000_s1086" type="#_x0000_t202" style="position:absolute;left:0;text-align:left;margin-left:222.3pt;margin-top:85.05pt;width:52.4pt;height:36.8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v4aAIAAE4FAAAOAAAAZHJzL2Uyb0RvYy54bWysVE1v2zAMvQ/YfxB0X520TdoGcYosRYcB&#10;RVssHXpWZCkxJosapcTOfv0o2U66rpcOu9iU+Pj4IZLT66YybKfQl2BzPjwZcKashKK065x/f7r9&#10;dMmZD8IWwoBVOd8rz69nHz9MazdRp7ABUyhkRGL9pHY534TgJlnm5UZVwp+AU5aUGrASgY64zgoU&#10;NbFXJjsdDMZZDVg4BKm8p9ubVslniV9rJcOD1l4FZnJOsYX0xfRdxW82m4rJGoXblLILQ/xDFJUo&#10;LTk9UN2IINgWy7+oqlIieNDhREKVgdalVCkHymY4eJXNciOcSrlQcbw7lMn/P1p5v1u6R2Sh+QwN&#10;PWAsSO38xNNlzKfRWMU/RcpITyXcH8qmmsAkXY7Ho/NL0khSnY8vrq5GkSU7Gjv04YuCikUh50iv&#10;kooldnc+tNAeEn15MGVxWxqTDrET1MIg2wl6w9U6hUjkf6CMZTUFcjYaJGIL0bxlNjbSqNQLnbtj&#10;gkkKe6MixthvSrOySHm+4VtIqWzo/Sd0RGly9R7DDn+M6j3GbR5kkTyDDQfjqrSAKfs0PMeSFT/6&#10;kHWLp7d5kXcUQ7NqKPGcn130DbCCYk99gdCOjHfytqTXuxM+PAqkGaEHp7kPD/TRBqj60EmcbQB/&#10;vXUf8dS6pOWsppnLuf+5Fag4M18tNXUc0F7AXlj1gt1WC6AWGNJGcTKJZIDB9KJGqJ5pHcyjF1IJ&#10;K8lXzkMvLkI7+bROpJrPE4jG0IlwZ5dORupY1tiLT82zQNc1bKBOv4d+GsXkVd+22K6qbd26Aw1t&#10;GoRuwcSt8PKcUMc1OPsNAAD//wMAUEsDBBQABgAIAAAAIQC/4GMf4AAAAAsBAAAPAAAAZHJzL2Rv&#10;d25yZXYueG1sTI/LTsMwEEX3SPyDNUhsEHVSTBtCnAoqIcqCRQMf4MRDHPAjit02/D3DCpaje3Tv&#10;mWozO8uOOMUheAn5IgOGvgt68L2E97en6wJYTMprZYNHCd8YYVOfn1Wq1OHk93hsUs+oxMdSSTAp&#10;jSXnsTPoVFyEET1lH2FyKtE59VxP6kTlzvJllq24U4OnBaNG3BrsvpqDk1AUcbvG2Ab7+dzsrl7w&#10;Md+/GikvL+aHe2AJ5/QHw68+qUNNTm04eB2ZlSCEWBFKwTrLgRFxK+4EsFbCUtwUwOuK//+h/gEA&#10;AP//AwBQSwECLQAUAAYACAAAACEAtoM4kv4AAADhAQAAEwAAAAAAAAAAAAAAAAAAAAAAW0NvbnRl&#10;bnRfVHlwZXNdLnhtbFBLAQItABQABgAIAAAAIQA4/SH/1gAAAJQBAAALAAAAAAAAAAAAAAAAAC8B&#10;AABfcmVscy8ucmVsc1BLAQItABQABgAIAAAAIQCzWhv4aAIAAE4FAAAOAAAAAAAAAAAAAAAAAC4C&#10;AABkcnMvZTJvRG9jLnhtbFBLAQItABQABgAIAAAAIQC/4GMf4AAAAAsBAAAPAAAAAAAAAAAAAAAA&#10;AMIEAABkcnMvZG93bnJldi54bWxQSwUGAAAAAAQABADzAAAAzwUAAAAA&#10;" fillcolor="white [3212]" stroked="f" strokeweight=".5pt">
                <v:textbox inset="0,0,0,0">
                  <w:txbxContent>
                    <w:p w14:paraId="1F50346C"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5" behindDoc="0" locked="0" layoutInCell="1" allowOverlap="1" wp14:anchorId="1B5E47AB" wp14:editId="70D8E885">
                <wp:simplePos x="0" y="0"/>
                <wp:positionH relativeFrom="column">
                  <wp:posOffset>2785110</wp:posOffset>
                </wp:positionH>
                <wp:positionV relativeFrom="paragraph">
                  <wp:posOffset>505460</wp:posOffset>
                </wp:positionV>
                <wp:extent cx="665480" cy="365760"/>
                <wp:effectExtent l="0" t="0" r="1270" b="0"/>
                <wp:wrapNone/>
                <wp:docPr id="3873" name="Text Box 3873"/>
                <wp:cNvGraphicFramePr/>
                <a:graphic xmlns:a="http://schemas.openxmlformats.org/drawingml/2006/main">
                  <a:graphicData uri="http://schemas.microsoft.com/office/word/2010/wordprocessingShape">
                    <wps:wsp>
                      <wps:cNvSpPr txBox="1"/>
                      <wps:spPr>
                        <a:xfrm>
                          <a:off x="0" y="0"/>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06A5F"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B5E47AB" id="Text Box 3873" o:spid="_x0000_s1087" type="#_x0000_t202" style="position:absolute;left:0;text-align:left;margin-left:219.3pt;margin-top:39.8pt;width:52.4pt;height:28.8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hZQIAAE4FAAAOAAAAZHJzL2Uyb0RvYy54bWysVF1P2zAUfZ+0/2D5faTA6KqKFDEQ0yQE&#10;aDDx7Dp2G83x9WzTpPv1O3aSljFemPaSXPt+H597T8+6xrCN8qEmW/LDgwlnykqqarsq+feHqw8z&#10;zkIUthKGrCr5VgV+tnj/7rR1c3VEazKV8gxBbJi3ruTrGN28KIJcq0aEA3LKQqnJNyLi6FdF5UWL&#10;6I0pjiaTadGSr5wnqULA7WWv5IscX2sl463WQUVmSo7aYv76/F2mb7E4FfOVF25dy6EM8Q9VNKK2&#10;SLoLdSmiYE++/itUU0tPgXQ8kNQUpHUtVe4B3RxOXnRzvxZO5V4ATnA7mML/CytvNvfuzrPYfaYO&#10;D5gAaV2YB1ymfjrtm/RHpQx6QLjdwaa6yCQup9OTjzNoJFTH05NP0wxrsXd2PsQvihqWhJJ7vEoG&#10;S2yuQ0RCmI4mKVcgU1dXtTH5kJigLoxnG4E3XK5yifD4w8pY1qKQ45NJDmwpufeRjU1hVObCkG7f&#10;YJbi1qhkY+w3pVld5T5fyS2kVDaO+bN1stJI9RbHwX5f1Vuc+z7gkTOTjTvnprbkc/d5ePaQVT/G&#10;knVvD8Cf9Z3E2C07NI7nm40EWFK1BS889SMTnLyq8XrXIsQ74TEjeHDMfbzFRxsC+jRInK3J/3rt&#10;PtmDutBy1mLmSh5+PgmvODNfLUidBnQU/CgsR8E+NRcEChxioziZRTj4aEZRe2oesQ7OUxaohJXI&#10;Bc6M4kXsJx/rRKrz82yEMXQiXtt7J1PoBGvi4kP3KLwbCBvB9Bsap1HMX/C2tx1Q7XEbDhjazO5h&#10;waSt8PycrfZrcPEbAAD//wMAUEsDBBQABgAIAAAAIQB/pz8Z4QAAAAoBAAAPAAAAZHJzL2Rvd25y&#10;ZXYueG1sTI/LTsMwEEX3SPyDNUjsqEMd+ghxKoQIXbCiRNClG5skqj2OYjdN/55hBavRaI7unJtv&#10;JmfZaIbQeZRwP0uAGay97rCRUH2UdytgISrUyno0Ei4mwKa4vspVpv0Z3824iw2jEAyZktDG2Gec&#10;h7o1ToWZ7w3S7dsPTkVah4brQZ0p3Fk+T5IFd6pD+tCq3jy3pj7uTk6CvYi+2ou30n5+ue32WI3l&#10;6wuX8vZmenoEFs0U/2D41Sd1KMjp4E+oA7MSUrFaECphuaZJwEMqUmAHIsVyDrzI+f8KxQ8AAAD/&#10;/wMAUEsBAi0AFAAGAAgAAAAhALaDOJL+AAAA4QEAABMAAAAAAAAAAAAAAAAAAAAAAFtDb250ZW50&#10;X1R5cGVzXS54bWxQSwECLQAUAAYACAAAACEAOP0h/9YAAACUAQAACwAAAAAAAAAAAAAAAAAvAQAA&#10;X3JlbHMvLnJlbHNQSwECLQAUAAYACAAAACEAP3tTIWUCAABOBQAADgAAAAAAAAAAAAAAAAAuAgAA&#10;ZHJzL2Uyb0RvYy54bWxQSwECLQAUAAYACAAAACEAf6c/GeEAAAAKAQAADwAAAAAAAAAAAAAAAAC/&#10;BAAAZHJzL2Rvd25yZXYueG1sUEsFBgAAAAAEAAQA8wAAAM0FAAAAAA==&#10;" fillcolor="white [3212]" stroked="f" strokeweight=".5pt">
                <v:textbox inset="0,0,0,0">
                  <w:txbxContent>
                    <w:p w14:paraId="58F06A5F"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7" behindDoc="0" locked="0" layoutInCell="1" allowOverlap="1" wp14:anchorId="39A75BAF" wp14:editId="4C5D1E8B">
                <wp:simplePos x="0" y="0"/>
                <wp:positionH relativeFrom="column">
                  <wp:posOffset>4335145</wp:posOffset>
                </wp:positionH>
                <wp:positionV relativeFrom="paragraph">
                  <wp:posOffset>1668780</wp:posOffset>
                </wp:positionV>
                <wp:extent cx="665480" cy="467995"/>
                <wp:effectExtent l="0" t="0" r="1270" b="8255"/>
                <wp:wrapNone/>
                <wp:docPr id="3877" name="Text Box 3877"/>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6B82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9A75BAF" id="Text Box 3877" o:spid="_x0000_s1088" type="#_x0000_t202" style="position:absolute;left:0;text-align:left;margin-left:341.35pt;margin-top:131.4pt;width:52.4pt;height:36.8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99yaAIAAE4FAAAOAAAAZHJzL2Uyb0RvYy54bWysVEtv2zAMvg/YfxB0X5y+siaIU2QpMgwo&#10;2mLp0LMiS4kxWdQoNXb260vJdtJ1vXTYxabEjx8fIjm9airDdgp9CTbnJ4MhZ8pKKEq7yfmPh+Wn&#10;S858ELYQBqzK+V55fjX7+GFau4k6hS2YQiEjEusntcv5NgQ3yTIvt6oSfgBOWVJqwEoEOuImK1DU&#10;xF6Z7HQ4HGU1YOEQpPKebq9bJZ8lfq2VDHdaexWYyTnFFtIX03cdv9lsKiYbFG5byi4M8Q9RVKK0&#10;5PRAdS2CYE9Y/kVVlRLBgw4DCVUGWpdSpRwom5Phq2xWW+FUyoWK492hTP7/0crb3crdIwvNF2jo&#10;AWNBaucnni5jPo3GKv4pUkZ6KuH+UDbVBCbpcjS6OL8kjSTV+ejzeHwRWbKjsUMfviqoWBRyjvQq&#10;qVhid+NDC+0h0ZcHUxbL0ph0iJ2gFgbZTtAbrjcpRCL/A2UsqymQs4thIrYQzVtmYyONSr3QuTsm&#10;mKSwNypijP2uNCuLlOcbvoWUyobef0JHlCZX7zHs8Meo3mPc5kEWyTPYcDCuSguYsk/DcyxZ8bMP&#10;Wbd4epsXeUcxNOuGEs/52bhvgDUUe+oLhHZkvJPLkl7vRvhwL5BmhB6c5j7c0UcboOpDJ3G2Bfz9&#10;1n3EU+uSlrOaZi7n/teTQMWZ+WapqeOA9gL2wroX7FO1AGqBE9ooTiaRDDCYXtQI1SOtg3n0Qiph&#10;JfnKeejFRWgnn9aJVPN5AtEYOhFu7MrJSB3LGnvxoXkU6LqGDdTpt9BPo5i86tsW21W1rVt3oKFN&#10;g9AtmLgVXp4T6rgGZ88AAAD//wMAUEsDBBQABgAIAAAAIQBdOGq54AAAAAsBAAAPAAAAZHJzL2Rv&#10;d25yZXYueG1sTI/LTsMwEEX3SPyDNUhsEHWaqokVMqmgEgIWLBr4ACce4oAfUey24e8xK1iO5uje&#10;c+vdYg070RxG7xDWqwwYud6r0Q0I72+PtwJYiNIpabwjhG8KsGsuL2pZKX92Bzq1cWApxIVKIugY&#10;p4rz0GuyMqz8RC79PvxsZUznPHA1y3MKt4bnWVZwK0eXGrScaK+p/2qPFkGIsC8pdN58PrXPNy/0&#10;sD68asTrq+X+DlikJf7B8Kuf1KFJTp0/OhWYQShEXiYUIS/ytCERpSi3wDqEzabYAm9q/n9D8wMA&#10;AP//AwBQSwECLQAUAAYACAAAACEAtoM4kv4AAADhAQAAEwAAAAAAAAAAAAAAAAAAAAAAW0NvbnRl&#10;bnRfVHlwZXNdLnhtbFBLAQItABQABgAIAAAAIQA4/SH/1gAAAJQBAAALAAAAAAAAAAAAAAAAAC8B&#10;AABfcmVscy8ucmVsc1BLAQItABQABgAIAAAAIQAhh99yaAIAAE4FAAAOAAAAAAAAAAAAAAAAAC4C&#10;AABkcnMvZTJvRG9jLnhtbFBLAQItABQABgAIAAAAIQBdOGq54AAAAAsBAAAPAAAAAAAAAAAAAAAA&#10;AMIEAABkcnMvZG93bnJldi54bWxQSwUGAAAAAAQABADzAAAAzwUAAAAA&#10;" fillcolor="white [3212]" stroked="f" strokeweight=".5pt">
                <v:textbox inset="0,0,0,0">
                  <w:txbxContent>
                    <w:p w14:paraId="6376B82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300" behindDoc="0" locked="0" layoutInCell="1" allowOverlap="1" wp14:anchorId="7CEF8B97" wp14:editId="2B698773">
                <wp:simplePos x="0" y="0"/>
                <wp:positionH relativeFrom="column">
                  <wp:posOffset>3745230</wp:posOffset>
                </wp:positionH>
                <wp:positionV relativeFrom="paragraph">
                  <wp:posOffset>3274695</wp:posOffset>
                </wp:positionV>
                <wp:extent cx="665480" cy="375285"/>
                <wp:effectExtent l="0" t="0" r="1270" b="5715"/>
                <wp:wrapNone/>
                <wp:docPr id="3880" name="Text Box 3880"/>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0FFBAA"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CEF8B97" id="Text Box 3880" o:spid="_x0000_s1089" type="#_x0000_t202" style="position:absolute;left:0;text-align:left;margin-left:294.9pt;margin-top:257.85pt;width:52.4pt;height:29.5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q85aAIAAE4FAAAOAAAAZHJzL2Uyb0RvYy54bWysVEtv2zAMvg/YfxB0X50+kgVGnaJr0WFA&#10;0BZNh54VWYqNyaJGqbGzXz9KtpOu66XDLjYlfvz4EMnzi64xbKvQ12ALfnw04UxZCWVtNwX//njz&#10;ac6ZD8KWwoBVBd8pzy8WHz+cty5XJ1CBKRUyIrE+b13BqxBcnmVeVqoR/gicsqTUgI0IdMRNVqJo&#10;ib0x2clkMstawNIhSOU93V73Sr5I/ForGe609iowU3CKLaQvpu86frPFucg3KFxVyyEM8Q9RNKK2&#10;5HRPdS2CYM9Y/0XV1BLBgw5HEpoMtK6lSjlQNseTV9msKuFUyoWK492+TP7/0crb7crdIwvdF+jo&#10;AWNBWudzT5cxn05jE/8UKSM9lXC3L5vqApN0OZtNz+akkaQ6/Tw9mU8jS3YwdujDVwUNi0LBkV4l&#10;FUtslz700BESfXkwdXlTG5MOsRPUlUG2FfSG600Kkcj/QBnLWgrkdDpJxBaiec9sbKRRqRcGd4cE&#10;kxR2RkWMsQ9Ks7pMeb7hW0ipbBj9J3REaXL1HsMBf4jqPcZ9HmSRPIMNe+OmtoAp+zQ8h5KVP8aQ&#10;dY+nt3mRdxRDt+4o8YKfpYmIV2sod9QXCP3IeCdvanq9pfDhXiDNCD04zX24o482QNWHQeKsAvz1&#10;1n3EU+uSlrOWZq7g/uezQMWZ+WapqeOAjgKOwnoU7HNzBdQCx7RRnEwiGWAwo6gRmidaB5fRC6mE&#10;leSr4GEUr0I/+bROpLq8TCAaQyfC0q6cjNSxrLEXH7sngW5o2ECdfgvjNIr8Vd/22KGqfd2GAw1t&#10;GoRhwcSt8PKcUIc1uPgNAAD//wMAUEsDBBQABgAIAAAAIQBQMHJn4QAAAAsBAAAPAAAAZHJzL2Rv&#10;d25yZXYueG1sTI/BTsMwEETvSPyDtUhcEHWC2sQNcSqohKAHDg39ACfexoHYjmK3DX/PcoLb7uxo&#10;5m25me3AzjiF3jsJ6SIBhq71unedhMPHy70AFqJyWg3eoYRvDLCprq9KVWh/cXs817FjFOJCoSSY&#10;GMeC89AatCos/IiObkc/WRVpnTquJ3WhcDvwhyTJuFW9owajRtwabL/qk5UgRNjmGBo/fL7Wb3c7&#10;fE7370bK25v56RFYxDn+meEXn9ChIqbGn5wObJCwEmtCjzSkqxwYObL1MgPWkJIvBfCq5P9/qH4A&#10;AAD//wMAUEsBAi0AFAAGAAgAAAAhALaDOJL+AAAA4QEAABMAAAAAAAAAAAAAAAAAAAAAAFtDb250&#10;ZW50X1R5cGVzXS54bWxQSwECLQAUAAYACAAAACEAOP0h/9YAAACUAQAACwAAAAAAAAAAAAAAAAAv&#10;AQAAX3JlbHMvLnJlbHNQSwECLQAUAAYACAAAACEAN86vOWgCAABOBQAADgAAAAAAAAAAAAAAAAAu&#10;AgAAZHJzL2Uyb0RvYy54bWxQSwECLQAUAAYACAAAACEAUDByZ+EAAAALAQAADwAAAAAAAAAAAAAA&#10;AADCBAAAZHJzL2Rvd25yZXYueG1sUEsFBgAAAAAEAAQA8wAAANAFAAAAAA==&#10;" fillcolor="white [3212]" stroked="f" strokeweight=".5pt">
                <v:textbox inset="0,0,0,0">
                  <w:txbxContent>
                    <w:p w14:paraId="2D0FFBAA"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9" behindDoc="0" locked="0" layoutInCell="1" allowOverlap="1" wp14:anchorId="66ADFBCC" wp14:editId="0A7E0F29">
                <wp:simplePos x="0" y="0"/>
                <wp:positionH relativeFrom="column">
                  <wp:posOffset>2012950</wp:posOffset>
                </wp:positionH>
                <wp:positionV relativeFrom="paragraph">
                  <wp:posOffset>3267710</wp:posOffset>
                </wp:positionV>
                <wp:extent cx="665480" cy="375285"/>
                <wp:effectExtent l="0" t="0" r="1270" b="5715"/>
                <wp:wrapNone/>
                <wp:docPr id="3879" name="Text Box 3879"/>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0D809"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6ADFBCC" id="Text Box 3879" o:spid="_x0000_s1090" type="#_x0000_t202" style="position:absolute;left:0;text-align:left;margin-left:158.5pt;margin-top:257.3pt;width:52.4pt;height:29.5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R9mZwIAAE4FAAAOAAAAZHJzL2Uyb0RvYy54bWysVEtv2zAMvg/YfxB0X5w+0hVGnaJLkWFA&#10;0RZth54VWYqNyaJGKbGzXz9KtpOu66XDLjYlfvz4EMmLy64xbKvQ12ALfjSZcqashLK264J/f1p+&#10;OufMB2FLYcCqgu+U55fzjx8uWperY6jAlAoZkVift67gVQguzzIvK9UIPwGnLCk1YCMCHXGdlSha&#10;Ym9MdjydnmUtYOkQpPKebq97JZ8nfq2VDHdaexWYKTjFFtIX03cVv9n8QuRrFK6q5RCG+IcoGlFb&#10;crqnuhZBsA3Wf1E1tUTwoMNEQpOB1rVUKQfK5mj6KpvHSjiVcqHieLcvk/9/tPJ2++jukYXuC3T0&#10;gLEgrfO5p8uYT6exiX+KlJGeSrjbl011gUm6PDubnZ6TRpLq5PPs+HwWWbKDsUMfvipoWBQKjvQq&#10;qVhie+NDDx0h0ZcHU5fL2ph0iJ2gFgbZVtAbrtYpRCL/A2UsaymQk9k0EVuI5j2zsZFGpV4Y3B0S&#10;TFLYGRUxxj4ozeoy5fmGbyGlsmH0n9ARpcnVewwH/CGq9xj3eZBF8gw27I2b2gKm7NPwHEpW/hhD&#10;1j2e3uZF3lEM3aqjxAt+um+AFZQ76guEfmS8k8uaXu9G+HAvkGaEHpzmPtzRRxug6sMgcVYB/nrr&#10;PuKpdUnLWUszV3D/cyNQcWa+WWrqOKCjgKOwGgW7aRZALXBEG8XJJJIBBjOKGqF5pnVwFb2QSlhJ&#10;vgoeRnER+smndSLV1VUC0Rg6EW7so5OROpY19uJT9yzQDQ0bqNNvYZxGkb/q2x47VLWv23CgoU2D&#10;MCyYuBVenhPqsAbnvwEAAP//AwBQSwMEFAAGAAgAAAAhACKFLRLgAAAACwEAAA8AAABkcnMvZG93&#10;bnJldi54bWxMj8tOwzAQRfdI/IM1SGwQddyWJgpxKqiEoAsWDXyAEw9xwI8odtvw9wwrWM7M1Z1z&#10;qu3sLDvhFIfgJYhFBgx9F/Tgewnvb0+3BbCYlNfKBo8SvjHCtr68qFSpw9kf8NSknlGJj6WSYFIa&#10;S85jZ9CpuAgjerp9hMmpROPUcz2pM5U7y5dZtuFODZ4+GDXizmD31RydhKKIuxxjG+znc/Nys8dH&#10;cXg1Ul5fzQ/3wBLO6S8Mv/iEDjUxteHodWRWwkrk5JIk3In1Bhgl1ktBMi1t8lUOvK74f4f6BwAA&#10;//8DAFBLAQItABQABgAIAAAAIQC2gziS/gAAAOEBAAATAAAAAAAAAAAAAAAAAAAAAABbQ29udGVu&#10;dF9UeXBlc10ueG1sUEsBAi0AFAAGAAgAAAAhADj9If/WAAAAlAEAAAsAAAAAAAAAAAAAAAAALwEA&#10;AF9yZWxzLy5yZWxzUEsBAi0AFAAGAAgAAAAhAG9tH2ZnAgAATgUAAA4AAAAAAAAAAAAAAAAALgIA&#10;AGRycy9lMm9Eb2MueG1sUEsBAi0AFAAGAAgAAAAhACKFLRLgAAAACwEAAA8AAAAAAAAAAAAAAAAA&#10;wQQAAGRycy9kb3ducmV2LnhtbFBLBQYAAAAABAAEAPMAAADOBQAAAAA=&#10;" fillcolor="white [3212]" stroked="f" strokeweight=".5pt">
                <v:textbox inset="0,0,0,0">
                  <w:txbxContent>
                    <w:p w14:paraId="1890D809"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000E0B7C" w:rsidRPr="008F328C">
        <w:rPr>
          <w:rFonts w:ascii="Times New Roman" w:hAnsi="Times New Roman" w:cs="Times New Roman"/>
          <w:noProof/>
          <w:lang w:eastAsia="ko-KR"/>
        </w:rPr>
        <mc:AlternateContent>
          <mc:Choice Requires="wps">
            <w:drawing>
              <wp:anchor distT="0" distB="0" distL="114300" distR="114300" simplePos="0" relativeHeight="251658294" behindDoc="0" locked="0" layoutInCell="1" allowOverlap="1" wp14:anchorId="47624D28" wp14:editId="21185D35">
                <wp:simplePos x="0" y="0"/>
                <wp:positionH relativeFrom="column">
                  <wp:posOffset>1343025</wp:posOffset>
                </wp:positionH>
                <wp:positionV relativeFrom="paragraph">
                  <wp:posOffset>1693545</wp:posOffset>
                </wp:positionV>
                <wp:extent cx="665979" cy="365760"/>
                <wp:effectExtent l="0" t="0" r="1270" b="0"/>
                <wp:wrapNone/>
                <wp:docPr id="3872" name="Text Box 3872"/>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DC05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624D28" id="Text Box 3872" o:spid="_x0000_s1091" type="#_x0000_t202" style="position:absolute;left:0;text-align:left;margin-left:105.75pt;margin-top:133.35pt;width:52.45pt;height:28.8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GthaQIAAFAFAAAOAAAAZHJzL2Uyb0RvYy54bWysVN9P2zAQfp+0/8Hy+0iBtYyoKWKgTpMq&#10;QCsTz65jt9Ecn3d2m3R//c5O0jLGC9NenLPv95fvbnrV1obtFPoKbMFPT0acKSuhrOy64N8f5x8+&#10;ceaDsKUwYFXB98rzq9n7d9PG5eoMNmBKhYyCWJ83ruCbEFyeZV5uVC38CThlSakBaxHoiuusRNFQ&#10;9NpkZ6PRJGsAS4cglff0etsp+SzF11rJcK+1V4GZglNtIZ2YzlU8s9lU5GsUblPJvgzxD1XUorKU&#10;9BDqVgTBtlj9FaquJIIHHU4k1BloXUmVeqBuTkcvulluhFOpFwLHuwNM/v+FlXe7pXtAFtrP0NIP&#10;jIA0zueeHmM/rcY6fqlSRnqCcH+ATbWBSXqcTMaXF5ecSVKdT8YXkwRrdnR26MMXBTWLQsGR/koC&#10;S+wWPlBCMh1MYi4PpirnlTHpEpmgbgyynaB/uFqnEsnjDytjWUOFnI9HKbCF6N5FNjaGUYkLfbpj&#10;g0kKe6OijbHflGZVmfp8JbeQUtkw5E/W0UpTqrc49vbHqt7i3PVBHikz2HBwrisLmLpPw3OErPwx&#10;lKw7ewL8Wd9RDO2qpcYL/vFsIMAKyj3xAqEbGe/kvKK/txA+PAikGSEq0NyHezq0AUIfeomzDeCv&#10;196jPVGXtJw1NHMF9z+3AhVn5qslUscBHQQchNUg2G19A0SBU9ooTiaRHDCYQdQI9ROtg+uYhVTC&#10;SspVcBlwuNyEbvZpoUh1fZ3MaBCdCAu7dDIGj8BGNj62TwJdT9lAXL+DYR5F/oK5nW2Pa4dcf6Gx&#10;TfzuV0zcC8/vyeq4CGe/AQAA//8DAFBLAwQUAAYACAAAACEAqu/I2t0AAAALAQAADwAAAGRycy9k&#10;b3ducmV2LnhtbEyP3U6EMBBG7018h2ZMvHPLz25VpGxWo4m3rD5AgRFQOkXaBXx7x6v17pvMyTdn&#10;8v1qBzHj5HtHGuJNBAKpdk1PrYb3t5ebOxA+GGrM4Ag1/KCHfXF5kZuscQuVOB9DK7iEfGY0dCGM&#10;mZS+7tAav3EjEu8+3GRN4HFqZTOZhcvtIJMoUtKanvhCZ0Z86rD+Op6shhnLrtx9Pj7fJ4s8VOaV&#10;6FulWl9frYcHEAHXcIbhT5/VoWCnyp2o8WLQkMTxjlEOSt2CYCKN1RZExSHZpiCLXP7/ofgFAAD/&#10;/wMAUEsBAi0AFAAGAAgAAAAhALaDOJL+AAAA4QEAABMAAAAAAAAAAAAAAAAAAAAAAFtDb250ZW50&#10;X1R5cGVzXS54bWxQSwECLQAUAAYACAAAACEAOP0h/9YAAACUAQAACwAAAAAAAAAAAAAAAAAvAQAA&#10;X3JlbHMvLnJlbHNQSwECLQAUAAYACAAAACEA95BrYWkCAABQBQAADgAAAAAAAAAAAAAAAAAuAgAA&#10;ZHJzL2Uyb0RvYy54bWxQSwECLQAUAAYACAAAACEAqu/I2t0AAAALAQAADwAAAAAAAAAAAAAAAADD&#10;BAAAZHJzL2Rvd25yZXYueG1sUEsFBgAAAAAEAAQA8wAAAM0FAAAAAA==&#10;" fillcolor="white [3212]" stroked="f" strokeweight=".5pt">
                <v:textbox inset="0,0,0,0">
                  <w:txbxContent>
                    <w:p w14:paraId="696DC054" w14:textId="77777777" w:rsidR="006D7011" w:rsidRDefault="006D701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v:textbox>
              </v:shape>
            </w:pict>
          </mc:Fallback>
        </mc:AlternateContent>
      </w:r>
      <w:r w:rsidR="000E0B7C" w:rsidRPr="008F328C">
        <w:rPr>
          <w:rFonts w:ascii="Times New Roman" w:hAnsi="Times New Roman" w:cs="Times New Roman"/>
          <w:noProof/>
          <w:lang w:eastAsia="ko-KR"/>
        </w:rPr>
        <w:drawing>
          <wp:inline distT="0" distB="0" distL="0" distR="0" wp14:anchorId="50050FEE" wp14:editId="3EBC6E68">
            <wp:extent cx="4142420" cy="3793067"/>
            <wp:effectExtent l="0" t="0" r="0" b="0"/>
            <wp:docPr id="4018" name="그림 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67379" name="Picture 36"/>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4145437" cy="3795830"/>
                    </a:xfrm>
                    <a:prstGeom prst="rect">
                      <a:avLst/>
                    </a:prstGeom>
                    <a:noFill/>
                    <a:ln>
                      <a:noFill/>
                    </a:ln>
                  </pic:spPr>
                </pic:pic>
              </a:graphicData>
            </a:graphic>
          </wp:inline>
        </w:drawing>
      </w:r>
    </w:p>
    <w:p w14:paraId="0C671514" w14:textId="77777777" w:rsidR="002E5800" w:rsidRPr="008F328C" w:rsidRDefault="000E0B7C">
      <w:pPr>
        <w:spacing w:before="10" w:line="240" w:lineRule="exact"/>
        <w:ind w:left="6480" w:firstLineChars="500" w:firstLine="1001"/>
        <w:rPr>
          <w:rFonts w:ascii="Times New Roman" w:hAnsi="Times New Roman" w:cs="Times New Roman"/>
          <w:b/>
          <w:sz w:val="20"/>
          <w:szCs w:val="24"/>
          <w:highlight w:val="lightGray"/>
          <w:lang w:val="pl-PL" w:eastAsia="ko-KR"/>
        </w:rPr>
      </w:pPr>
      <w:r w:rsidRPr="008F328C">
        <w:rPr>
          <w:rFonts w:ascii="Times New Roman" w:eastAsia="Times New Roman" w:hAnsi="Times New Roman" w:cs="Times New Roman"/>
          <w:b/>
          <w:bCs/>
          <w:sz w:val="20"/>
          <w:szCs w:val="20"/>
          <w:highlight w:val="lightGray"/>
          <w:lang w:val="pl-PL" w:eastAsia="ko-KR"/>
        </w:rPr>
        <w:t>Rysunek A</w:t>
      </w:r>
    </w:p>
    <w:p w14:paraId="69A05EC1" w14:textId="77777777" w:rsidR="002E5800" w:rsidRPr="008F328C" w:rsidRDefault="002E5800">
      <w:pPr>
        <w:spacing w:before="10" w:line="240" w:lineRule="exact"/>
        <w:rPr>
          <w:rFonts w:ascii="Times New Roman" w:hAnsi="Times New Roman" w:cs="Times New Roman"/>
          <w:sz w:val="24"/>
          <w:szCs w:val="24"/>
          <w:highlight w:val="lightGray"/>
          <w:lang w:val="pl-PL"/>
        </w:rPr>
      </w:pPr>
    </w:p>
    <w:p w14:paraId="485FFEAF" w14:textId="77777777" w:rsidR="002E5800" w:rsidRPr="008F328C" w:rsidRDefault="000E0B7C">
      <w:pPr>
        <w:pStyle w:val="a3"/>
        <w:rPr>
          <w:b/>
          <w:highlight w:val="lightGray"/>
          <w:lang w:val="pl-PL"/>
        </w:rPr>
      </w:pPr>
      <w:r w:rsidRPr="008F328C">
        <w:rPr>
          <w:rFonts w:eastAsia="Times New Roman"/>
          <w:b/>
          <w:bCs/>
          <w:highlight w:val="lightGray"/>
          <w:lang w:val="pl-PL"/>
        </w:rPr>
        <w:t>Nie używać ampułko-strzykawki, jeżeli:</w:t>
      </w:r>
    </w:p>
    <w:p w14:paraId="25BA60FC" w14:textId="77777777" w:rsidR="002E5800" w:rsidRPr="008F328C" w:rsidRDefault="000E0B7C">
      <w:pPr>
        <w:pStyle w:val="a3"/>
        <w:numPr>
          <w:ilvl w:val="1"/>
          <w:numId w:val="24"/>
        </w:numPr>
        <w:ind w:left="660" w:hanging="660"/>
        <w:rPr>
          <w:highlight w:val="lightGray"/>
          <w:lang w:val="pl-PL"/>
        </w:rPr>
      </w:pPr>
      <w:r w:rsidRPr="008F328C">
        <w:rPr>
          <w:rFonts w:eastAsia="Times New Roman"/>
          <w:highlight w:val="lightGray"/>
          <w:lang w:val="pl-PL"/>
        </w:rPr>
        <w:t xml:space="preserve">jest pęknięta lub uszkodzona. </w:t>
      </w:r>
    </w:p>
    <w:p w14:paraId="7A275C1D" w14:textId="77777777" w:rsidR="002E5800" w:rsidRPr="008F328C" w:rsidRDefault="000E0B7C">
      <w:pPr>
        <w:pStyle w:val="a3"/>
        <w:numPr>
          <w:ilvl w:val="1"/>
          <w:numId w:val="24"/>
        </w:numPr>
        <w:ind w:left="660" w:hanging="660"/>
        <w:rPr>
          <w:highlight w:val="lightGray"/>
          <w:lang w:val="pl-PL"/>
        </w:rPr>
      </w:pPr>
      <w:r w:rsidRPr="008F328C">
        <w:rPr>
          <w:rFonts w:eastAsia="Times New Roman"/>
          <w:highlight w:val="lightGray"/>
          <w:lang w:val="pl-PL"/>
        </w:rPr>
        <w:t xml:space="preserve">upłynął termin ważności. </w:t>
      </w:r>
    </w:p>
    <w:p w14:paraId="1519192B" w14:textId="089B4A9A" w:rsidR="006305C5" w:rsidRPr="008F328C" w:rsidRDefault="006305C5">
      <w:pPr>
        <w:pStyle w:val="a3"/>
        <w:numPr>
          <w:ilvl w:val="1"/>
          <w:numId w:val="24"/>
        </w:numPr>
        <w:ind w:left="660" w:hanging="660"/>
        <w:rPr>
          <w:highlight w:val="lightGray"/>
          <w:lang w:val="pl-PL"/>
        </w:rPr>
      </w:pPr>
      <w:r w:rsidRPr="008F328C">
        <w:rPr>
          <w:rFonts w:eastAsia="Times New Roman"/>
          <w:highlight w:val="lightGray"/>
          <w:lang w:val="pl-PL"/>
        </w:rPr>
        <w:t>została upuszczona na twardą powierzchnię.</w:t>
      </w:r>
    </w:p>
    <w:p w14:paraId="5305CA0E" w14:textId="77777777" w:rsidR="002E5800" w:rsidRPr="008F328C" w:rsidRDefault="002E5800">
      <w:pPr>
        <w:pStyle w:val="Default"/>
        <w:numPr>
          <w:ilvl w:val="2"/>
          <w:numId w:val="21"/>
        </w:numPr>
        <w:ind w:left="360"/>
        <w:rPr>
          <w:rFonts w:ascii="Times New Roman" w:hAnsi="Times New Roman" w:cs="Times New Roman"/>
          <w:color w:val="211D1E"/>
          <w:sz w:val="20"/>
          <w:szCs w:val="20"/>
          <w:highlight w:val="lightGray"/>
          <w:lang w:val="pl-PL"/>
        </w:rPr>
      </w:pPr>
    </w:p>
    <w:p w14:paraId="20256F4D" w14:textId="77777777" w:rsidR="002E5800" w:rsidRPr="008F328C" w:rsidRDefault="000E0B7C">
      <w:pPr>
        <w:pStyle w:val="a3"/>
        <w:rPr>
          <w:b/>
          <w:lang w:val="pl-PL"/>
        </w:rPr>
      </w:pPr>
      <w:r w:rsidRPr="008F328C">
        <w:rPr>
          <w:rFonts w:eastAsia="Times New Roman"/>
          <w:b/>
          <w:bCs/>
          <w:highlight w:val="lightGray"/>
          <w:lang w:val="pl-PL"/>
        </w:rPr>
        <w:t>Osłonę zabezpieczającą igłę usunąć bezpośrednio przed wstrzyknięciem. Lek Yuflyma przechowywać w miejscu niewidocznym i niedostępnym dla dzieci.</w:t>
      </w:r>
    </w:p>
    <w:p w14:paraId="572BAC3F" w14:textId="77777777" w:rsidR="002E5800" w:rsidRPr="008F328C" w:rsidRDefault="000E0B7C">
      <w:pPr>
        <w:rPr>
          <w:rFonts w:ascii="Times New Roman" w:eastAsia="Times New Roman" w:hAnsi="Times New Roman" w:cs="Times New Roman"/>
          <w:b/>
          <w:bCs/>
          <w:spacing w:val="-1"/>
          <w:lang w:val="pl-PL"/>
        </w:rPr>
      </w:pPr>
      <w:r w:rsidRPr="008F328C">
        <w:rPr>
          <w:rFonts w:ascii="Times New Roman" w:hAnsi="Times New Roman" w:cs="Times New Roman"/>
          <w:spacing w:val="-1"/>
          <w:lang w:val="pl-PL"/>
        </w:rPr>
        <w:br w:type="page"/>
      </w:r>
    </w:p>
    <w:tbl>
      <w:tblPr>
        <w:tblStyle w:val="ac"/>
        <w:tblW w:w="0" w:type="auto"/>
        <w:tblLook w:val="04A0" w:firstRow="1" w:lastRow="0" w:firstColumn="1" w:lastColumn="0" w:noHBand="0" w:noVBand="1"/>
      </w:tblPr>
      <w:tblGrid>
        <w:gridCol w:w="9394"/>
      </w:tblGrid>
      <w:tr w:rsidR="002E5800" w:rsidRPr="008F328C" w14:paraId="315A4302" w14:textId="77777777">
        <w:trPr>
          <w:trHeight w:val="2545"/>
        </w:trPr>
        <w:tc>
          <w:tcPr>
            <w:tcW w:w="9550" w:type="dxa"/>
          </w:tcPr>
          <w:p w14:paraId="4586539A" w14:textId="77777777" w:rsidR="002E5800" w:rsidRPr="008F328C" w:rsidRDefault="002E5800">
            <w:pPr>
              <w:spacing w:before="9" w:line="240" w:lineRule="exact"/>
              <w:rPr>
                <w:rFonts w:ascii="Times New Roman" w:hAnsi="Times New Roman" w:cs="Times New Roman"/>
                <w:sz w:val="24"/>
                <w:szCs w:val="24"/>
                <w:lang w:val="pl-PL"/>
              </w:rPr>
            </w:pPr>
          </w:p>
          <w:p w14:paraId="4D422112" w14:textId="77777777" w:rsidR="002E5800" w:rsidRPr="008F328C" w:rsidRDefault="000E0B7C">
            <w:pPr>
              <w:pStyle w:val="a3"/>
              <w:numPr>
                <w:ilvl w:val="0"/>
                <w:numId w:val="23"/>
              </w:numPr>
              <w:ind w:leftChars="100" w:left="580"/>
              <w:rPr>
                <w:b/>
                <w:highlight w:val="lightGray"/>
                <w:lang w:val="pl-PL"/>
              </w:rPr>
            </w:pPr>
            <w:r w:rsidRPr="008F328C">
              <w:rPr>
                <w:rFonts w:eastAsia="Times New Roman"/>
                <w:b/>
                <w:bCs/>
                <w:highlight w:val="lightGray"/>
                <w:lang w:val="pl-PL"/>
              </w:rPr>
              <w:t>Przygotować materiały potrzebne do wykonania wstrzyknięcie</w:t>
            </w:r>
          </w:p>
          <w:p w14:paraId="7CFB9F7B" w14:textId="77777777" w:rsidR="002E5800" w:rsidRPr="008F328C" w:rsidRDefault="002E5800">
            <w:pPr>
              <w:pStyle w:val="a3"/>
              <w:numPr>
                <w:ilvl w:val="0"/>
                <w:numId w:val="0"/>
              </w:numPr>
              <w:ind w:left="580"/>
              <w:rPr>
                <w:b/>
                <w:highlight w:val="lightGray"/>
                <w:lang w:val="pl-PL"/>
              </w:rPr>
            </w:pPr>
          </w:p>
          <w:p w14:paraId="5C2219C2" w14:textId="77777777" w:rsidR="002E5800" w:rsidRPr="008F328C" w:rsidRDefault="000E0B7C">
            <w:pPr>
              <w:pStyle w:val="a3"/>
              <w:ind w:leftChars="194" w:left="427"/>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Przygotować czystą, płaską powierzchnię, taką jak stół lub blat, w dobrze oświetlonym miejscu.</w:t>
            </w:r>
          </w:p>
          <w:p w14:paraId="23430CDB" w14:textId="77777777" w:rsidR="002E5800" w:rsidRPr="008F328C" w:rsidRDefault="000E0B7C">
            <w:pPr>
              <w:pStyle w:val="a3"/>
              <w:ind w:leftChars="194" w:left="427"/>
              <w:rPr>
                <w:highlight w:val="lightGray"/>
                <w:lang w:val="pl-PL" w:eastAsia="ko-KR"/>
              </w:rPr>
            </w:pPr>
            <w:r w:rsidRPr="008F328C">
              <w:rPr>
                <w:rFonts w:eastAsia="Times New Roman"/>
                <w:b/>
                <w:bCs/>
                <w:highlight w:val="lightGray"/>
                <w:lang w:val="pl-PL" w:eastAsia="ko-KR"/>
              </w:rPr>
              <w:t>b.</w:t>
            </w:r>
            <w:r w:rsidRPr="008F328C">
              <w:rPr>
                <w:rFonts w:eastAsia="Times New Roman"/>
                <w:highlight w:val="lightGray"/>
                <w:lang w:val="pl-PL" w:eastAsia="ko-KR"/>
              </w:rPr>
              <w:t xml:space="preserve"> Wyjąć 1 ampułko-strzykawkę z kartonika przechowywanego w lodówce.</w:t>
            </w:r>
          </w:p>
          <w:p w14:paraId="5E50FE2E" w14:textId="77777777" w:rsidR="002E5800" w:rsidRPr="008F328C" w:rsidRDefault="000E0B7C">
            <w:pPr>
              <w:pStyle w:val="a3"/>
              <w:ind w:leftChars="300" w:left="660" w:rightChars="100" w:right="220"/>
              <w:rPr>
                <w:highlight w:val="lightGray"/>
                <w:lang w:val="pl-PL" w:eastAsia="ko-KR"/>
              </w:rPr>
            </w:pPr>
            <w:r w:rsidRPr="008F328C">
              <w:rPr>
                <w:rFonts w:eastAsia="맑은 고딕"/>
                <w:highlight w:val="lightGray"/>
                <w:lang w:val="pl-PL" w:eastAsia="ko-KR"/>
              </w:rPr>
              <w:t>•</w:t>
            </w:r>
            <w:r w:rsidRPr="008F328C">
              <w:rPr>
                <w:rFonts w:eastAsia="Times New Roman"/>
                <w:highlight w:val="lightGray"/>
                <w:lang w:val="pl-PL" w:eastAsia="ko-KR"/>
              </w:rPr>
              <w:t xml:space="preserve"> Przytrzymać korpus ampułko-strzykawki podczas wyjmowania go z kartonika.</w:t>
            </w:r>
            <w:r w:rsidRPr="008F328C">
              <w:rPr>
                <w:rFonts w:eastAsia="Times New Roman"/>
                <w:b/>
                <w:bCs/>
                <w:highlight w:val="lightGray"/>
                <w:lang w:val="pl-PL" w:eastAsia="ko-KR"/>
              </w:rPr>
              <w:t xml:space="preserve"> Nie </w:t>
            </w:r>
            <w:r w:rsidRPr="008F328C">
              <w:rPr>
                <w:rFonts w:eastAsia="Times New Roman"/>
                <w:highlight w:val="lightGray"/>
                <w:lang w:val="pl-PL" w:eastAsia="ko-KR"/>
              </w:rPr>
              <w:t>dotykać tłoka.</w:t>
            </w:r>
          </w:p>
          <w:p w14:paraId="643415A2" w14:textId="77777777" w:rsidR="002E5800" w:rsidRPr="008F328C" w:rsidRDefault="000E0B7C">
            <w:pPr>
              <w:pStyle w:val="a3"/>
              <w:ind w:leftChars="194" w:left="427"/>
              <w:rPr>
                <w:highlight w:val="lightGray"/>
                <w:lang w:val="pl-PL" w:eastAsia="ko-KR"/>
              </w:rPr>
            </w:pPr>
            <w:r w:rsidRPr="008F328C">
              <w:rPr>
                <w:rFonts w:eastAsia="Times New Roman"/>
                <w:b/>
                <w:bCs/>
                <w:highlight w:val="lightGray"/>
                <w:lang w:val="pl-PL" w:eastAsia="ko-KR"/>
              </w:rPr>
              <w:t>c.</w:t>
            </w:r>
            <w:r w:rsidRPr="008F328C">
              <w:rPr>
                <w:rFonts w:eastAsia="Times New Roman"/>
                <w:highlight w:val="lightGray"/>
                <w:lang w:val="pl-PL" w:eastAsia="ko-KR"/>
              </w:rPr>
              <w:t xml:space="preserve"> Należy upewnić się, że są dostępne następujące materiały:</w:t>
            </w:r>
          </w:p>
          <w:p w14:paraId="3D2EC969" w14:textId="77777777" w:rsidR="002E5800" w:rsidRPr="008F328C" w:rsidRDefault="000E0B7C">
            <w:pPr>
              <w:pStyle w:val="a3"/>
              <w:ind w:leftChars="337" w:left="741"/>
              <w:rPr>
                <w:highlight w:val="lightGray"/>
                <w:lang w:val="pl-PL" w:eastAsia="ko-KR"/>
              </w:rPr>
            </w:pPr>
            <w:r w:rsidRPr="008F328C">
              <w:rPr>
                <w:rFonts w:eastAsia="Times New Roman"/>
                <w:highlight w:val="lightGray"/>
                <w:lang w:val="pl-PL" w:eastAsia="ko-KR"/>
              </w:rPr>
              <w:t>- ampułko-strzykawka</w:t>
            </w:r>
          </w:p>
          <w:p w14:paraId="46F187A7" w14:textId="77777777" w:rsidR="002E5800" w:rsidRPr="008F328C" w:rsidRDefault="000E0B7C">
            <w:pPr>
              <w:pStyle w:val="a3"/>
              <w:ind w:leftChars="337" w:left="1264" w:hanging="523"/>
              <w:rPr>
                <w:highlight w:val="lightGray"/>
                <w:lang w:val="pl-PL" w:eastAsia="ko-KR"/>
              </w:rPr>
            </w:pPr>
            <w:r w:rsidRPr="008F328C">
              <w:rPr>
                <w:rFonts w:eastAsia="Times New Roman"/>
                <w:highlight w:val="lightGray"/>
                <w:lang w:val="pl-PL" w:eastAsia="ko-KR"/>
              </w:rPr>
              <w:t>- gazik nasączony alkoholem</w:t>
            </w:r>
          </w:p>
          <w:p w14:paraId="3AEDE896" w14:textId="77777777" w:rsidR="002E5800" w:rsidRPr="008F328C" w:rsidRDefault="002E5800">
            <w:pPr>
              <w:pStyle w:val="a3"/>
              <w:ind w:leftChars="337" w:left="1264" w:hanging="523"/>
              <w:rPr>
                <w:highlight w:val="lightGray"/>
                <w:lang w:val="pl-PL" w:eastAsia="ko-KR"/>
              </w:rPr>
            </w:pPr>
          </w:p>
          <w:p w14:paraId="540090F1" w14:textId="77777777" w:rsidR="002E5800" w:rsidRPr="008F328C" w:rsidRDefault="000E0B7C">
            <w:pPr>
              <w:pStyle w:val="a3"/>
              <w:ind w:left="720"/>
              <w:rPr>
                <w:b/>
                <w:highlight w:val="lightGray"/>
                <w:lang w:val="pl-PL" w:eastAsia="ko-KR"/>
              </w:rPr>
            </w:pPr>
            <w:r w:rsidRPr="008F328C">
              <w:rPr>
                <w:rFonts w:eastAsia="Times New Roman"/>
                <w:b/>
                <w:bCs/>
                <w:highlight w:val="lightGray"/>
                <w:lang w:val="pl-PL" w:eastAsia="ko-KR"/>
              </w:rPr>
              <w:t>Niedołączone do opakowania:</w:t>
            </w:r>
          </w:p>
          <w:p w14:paraId="34C54E36" w14:textId="77777777" w:rsidR="002E5800" w:rsidRPr="008F328C" w:rsidRDefault="000E0B7C">
            <w:pPr>
              <w:pStyle w:val="a3"/>
              <w:ind w:left="720"/>
              <w:rPr>
                <w:highlight w:val="lightGray"/>
                <w:lang w:val="pl-PL" w:eastAsia="ko-KR"/>
              </w:rPr>
            </w:pPr>
            <w:r w:rsidRPr="008F328C">
              <w:rPr>
                <w:rFonts w:eastAsia="Times New Roman"/>
                <w:highlight w:val="lightGray"/>
                <w:lang w:val="pl-PL" w:eastAsia="ko-KR"/>
              </w:rPr>
              <w:t>- wacik lub gazik bawełniany</w:t>
            </w:r>
          </w:p>
          <w:p w14:paraId="10562D3C" w14:textId="77777777" w:rsidR="002E5800" w:rsidRPr="008F328C" w:rsidRDefault="000E0B7C">
            <w:pPr>
              <w:pStyle w:val="a3"/>
              <w:ind w:left="720"/>
              <w:rPr>
                <w:highlight w:val="lightGray"/>
                <w:lang w:val="pl-PL" w:eastAsia="ko-KR"/>
              </w:rPr>
            </w:pPr>
            <w:r w:rsidRPr="008F328C">
              <w:rPr>
                <w:rFonts w:eastAsia="Times New Roman"/>
                <w:highlight w:val="lightGray"/>
                <w:lang w:val="pl-PL" w:eastAsia="ko-KR"/>
              </w:rPr>
              <w:t>- plaster samoprzylepny</w:t>
            </w:r>
          </w:p>
          <w:p w14:paraId="55121270" w14:textId="77777777" w:rsidR="002E5800" w:rsidRPr="008F328C" w:rsidRDefault="000E0B7C">
            <w:pPr>
              <w:pStyle w:val="a3"/>
              <w:ind w:left="720"/>
              <w:rPr>
                <w:lang w:val="pl-PL" w:eastAsia="ko-KR"/>
              </w:rPr>
            </w:pPr>
            <w:r w:rsidRPr="008F328C">
              <w:rPr>
                <w:rFonts w:eastAsia="Times New Roman"/>
                <w:highlight w:val="lightGray"/>
                <w:lang w:val="pl-PL" w:eastAsia="ko-KR"/>
              </w:rPr>
              <w:t>- pojemnik na odpady ostre</w:t>
            </w:r>
          </w:p>
        </w:tc>
      </w:tr>
      <w:tr w:rsidR="002E5800" w:rsidRPr="00A5286D" w14:paraId="621E8860" w14:textId="77777777">
        <w:trPr>
          <w:trHeight w:val="5372"/>
        </w:trPr>
        <w:tc>
          <w:tcPr>
            <w:tcW w:w="9550" w:type="dxa"/>
          </w:tcPr>
          <w:p w14:paraId="6EC961EA" w14:textId="77777777" w:rsidR="002E5800" w:rsidRPr="008F328C" w:rsidRDefault="002E5800">
            <w:pPr>
              <w:ind w:left="224" w:right="1248"/>
              <w:rPr>
                <w:rFonts w:ascii="Times New Roman" w:eastAsia="Times New Roman" w:hAnsi="Times New Roman" w:cs="Times New Roman"/>
                <w:b/>
                <w:bCs/>
                <w:spacing w:val="-1"/>
                <w:lang w:val="pl-PL"/>
              </w:rPr>
            </w:pPr>
          </w:p>
          <w:p w14:paraId="3EBE4512" w14:textId="77777777" w:rsidR="002E5800" w:rsidRPr="008F328C" w:rsidRDefault="002E5800">
            <w:pPr>
              <w:pStyle w:val="a3"/>
              <w:rPr>
                <w:lang w:val="pl-PL"/>
              </w:rPr>
            </w:pPr>
          </w:p>
          <w:p w14:paraId="246C8F25" w14:textId="7046CCCC" w:rsidR="002E5800" w:rsidRPr="008F328C" w:rsidRDefault="00F2584C">
            <w:pPr>
              <w:pStyle w:val="a3"/>
              <w:rPr>
                <w:lang w:val="pl-PL"/>
              </w:rPr>
            </w:pPr>
            <w:r w:rsidRPr="008F328C">
              <w:rPr>
                <w:noProof/>
                <w:lang w:eastAsia="ko-KR"/>
              </w:rPr>
              <mc:AlternateContent>
                <mc:Choice Requires="wpg">
                  <w:drawing>
                    <wp:anchor distT="0" distB="0" distL="114300" distR="114300" simplePos="0" relativeHeight="251658273" behindDoc="0" locked="0" layoutInCell="1" allowOverlap="1" wp14:anchorId="672BA039" wp14:editId="6D72C18E">
                      <wp:simplePos x="0" y="0"/>
                      <wp:positionH relativeFrom="column">
                        <wp:posOffset>1905</wp:posOffset>
                      </wp:positionH>
                      <wp:positionV relativeFrom="paragraph">
                        <wp:posOffset>78105</wp:posOffset>
                      </wp:positionV>
                      <wp:extent cx="2326005" cy="2959100"/>
                      <wp:effectExtent l="0" t="0" r="0" b="0"/>
                      <wp:wrapSquare wrapText="bothSides"/>
                      <wp:docPr id="115" name="그룹 115"/>
                      <wp:cNvGraphicFramePr/>
                      <a:graphic xmlns:a="http://schemas.openxmlformats.org/drawingml/2006/main">
                        <a:graphicData uri="http://schemas.microsoft.com/office/word/2010/wordprocessingGroup">
                          <wpg:wgp>
                            <wpg:cNvGrpSpPr/>
                            <wpg:grpSpPr>
                              <a:xfrm>
                                <a:off x="0" y="0"/>
                                <a:ext cx="2326005" cy="2959100"/>
                                <a:chOff x="0" y="0"/>
                                <a:chExt cx="2326308" cy="2959100"/>
                              </a:xfrm>
                            </wpg:grpSpPr>
                            <wpg:grpSp>
                              <wpg:cNvPr id="67" name="그룹 67"/>
                              <wpg:cNvGrpSpPr/>
                              <wpg:grpSpPr>
                                <a:xfrm>
                                  <a:off x="0" y="0"/>
                                  <a:ext cx="2326308" cy="2959100"/>
                                  <a:chOff x="0" y="0"/>
                                  <a:chExt cx="2326308" cy="2959100"/>
                                </a:xfrm>
                              </wpg:grpSpPr>
                              <pic:pic xmlns:pic="http://schemas.openxmlformats.org/drawingml/2006/picture">
                                <pic:nvPicPr>
                                  <pic:cNvPr id="91" name="그림 9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320290" cy="2831465"/>
                                  </a:xfrm>
                                  <a:prstGeom prst="rect">
                                    <a:avLst/>
                                  </a:prstGeom>
                                  <a:noFill/>
                                  <a:ln>
                                    <a:noFill/>
                                  </a:ln>
                                </pic:spPr>
                              </pic:pic>
                              <wps:wsp>
                                <wps:cNvPr id="66" name="Text Box 66"/>
                                <wps:cNvSpPr txBox="1"/>
                                <wps:spPr>
                                  <a:xfrm>
                                    <a:off x="1606550" y="2813050"/>
                                    <a:ext cx="719758" cy="146050"/>
                                  </a:xfrm>
                                  <a:prstGeom prst="rect">
                                    <a:avLst/>
                                  </a:prstGeom>
                                  <a:solidFill>
                                    <a:prstClr val="white"/>
                                  </a:solidFill>
                                  <a:ln>
                                    <a:noFill/>
                                  </a:ln>
                                </wps:spPr>
                                <wps:txbx>
                                  <w:txbxContent>
                                    <w:p w14:paraId="4AA704EA"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1" name="Text Box 111"/>
                              <wps:cNvSpPr txBox="1"/>
                              <wps:spPr>
                                <a:xfrm>
                                  <a:off x="1219203" y="1624330"/>
                                  <a:ext cx="905456" cy="158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A35743" w14:textId="637C7DD0" w:rsidR="006D7011" w:rsidRPr="0031277A" w:rsidRDefault="006D7011">
                                    <w:pPr>
                                      <w:rPr>
                                        <w:rFonts w:asciiTheme="majorBidi" w:hAnsiTheme="majorBidi" w:cstheme="majorBidi"/>
                                        <w:b/>
                                        <w:bCs/>
                                        <w:sz w:val="15"/>
                                        <w:szCs w:val="15"/>
                                      </w:rPr>
                                    </w:pPr>
                                    <w:r w:rsidRPr="0031277A">
                                      <w:rPr>
                                        <w:rFonts w:ascii="Times New Roman" w:eastAsia="Times New Roman" w:hAnsi="Times New Roman" w:cs="Times New Roman"/>
                                        <w:b/>
                                        <w:bCs/>
                                        <w:sz w:val="15"/>
                                        <w:szCs w:val="15"/>
                                        <w:lang w:val="pl-PL"/>
                                      </w:rPr>
                                      <w:t xml:space="preserve">EXP: </w:t>
                                    </w:r>
                                    <w:r w:rsidRPr="0031277A">
                                      <w:rPr>
                                        <w:rFonts w:ascii="Times New Roman" w:eastAsia="Times New Roman" w:hAnsi="Times New Roman" w:cs="Times New Roman"/>
                                        <w:sz w:val="15"/>
                                        <w:szCs w:val="15"/>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72BA039" id="그룹 115" o:spid="_x0000_s1092" style="position:absolute;margin-left:.15pt;margin-top:6.15pt;width:183.15pt;height:233pt;z-index:251658273" coordsize="23263,295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pwexKBAAA4AwAAA4AAABkcnMvZTJvRG9jLnhtbNxX3W7bNhi9H7B3&#10;IHTfWLJjJxbiFFmyBAWyNmgy9JqmKIuIRHIkHdt9nQF7hbXAnmh7iR1SlB07KZYEQS92EeUjxZ/z&#10;HZ7vUD56u2xqcseNFUpOkmwvTQiXTBVCzibJrzfnbw4TYh2VBa2V5JNkxW3y9vjHH44WOud9Vam6&#10;4IZgEWnzhZ4klXM67/Usq3hD7Z7SXOJlqUxDHZpm1isMXWD1pu7103TUWyhTaKMYtxa9Z+3L5Dis&#10;X5acuQ9labkj9SQBNheeJjyn/tk7PqL5zFBdCRZh0BegaKiQ2HS91Bl1lMyNeLBUI5hRVpVuj6mm&#10;p8pSMB5yQDZZupPNhVFzHXKZ5YuZXtMEand4evGy7P3dhdHX+sqAiYWegYvQ8rksS9P4/0BJloGy&#10;1ZoyvnSEobM/6I/SdJgQhnf98XCcpZFUVoH5B/NY9fO9mYMU8tiZ2es27m3BWTdamMB9ZYgoJsno&#10;ICGSNtDW339++ef3rwQdMZfXSO4xiDR/5eS0YDn+4gEjenDA/10ImOXmhidxkeZJazTU3M71G2hR&#10;UyemohZuFeoKqvOg5N2VYFembWw4H2f3Of/jL4IOcO5n+EHtFOpTulTs1hKpTisqZ/zEalQkfMKP&#10;7m0PD82t/aa10Oeirr0GfRwzQ/XuqP8RctrKOlNs3nDpWqswvEaSStpKaJsQk/NmyqEg864IgGhu&#10;neGOVX7DEht/BFgP9N6LgHIDzKdgUTxkuvhFFdAgnTsVjOCJxZP2x7ClUAKHg2x/NAzMdCUACo11&#10;F1w1xAeACkRheXp3aSO2bohHLZUnDJhpXsutDiThewJ+jziGSMAXFMzXdvyi9YDhZ/nLdUU1B0q/&#10;7EYzo1GnmRtvHj+pJUEXoMZh3oOIW6I/6sP3t0g3dEQrykbpaDgEcd50DrNBijgk3dnSQTY+GEZv&#10;Aavx/dpans2rVbUoOi16wk9rQ+4oLpVFJRyPh7Y16hv8b7LykVtOl8HF9gcdFVNVrMCEUThuZGg1&#10;OxfY8JJad0UNLid04sJ1H/Aoa7WYJCpGCamU+fxYvx+PM8XbhCxw2U0S+9ucerOo30mcNpZ0XWC6&#10;YNoFct6cKqSKogeaEGKCcXUXlkY1n3APn/hd8IpKhr0mievCU9deubjHGT85CYNaz7mU1xpOlQVR&#10;e2Jvlp+o0VHuDuf5XnV6ovmO6tuxXuZWn6DwzkUoCU9syyJE7hvQdoji7fadBJ9la5dcK973vVDy&#10;/WzcTwdB8tmovz8Y7Eh+nA73h6gx7yXZ8PCgLYlXknz4HuNr0U9nrYOD+PuFUUsCOY4G2Pox76E5&#10;D19k0bm2K8G6Vc1b3/rIS9RE+OIIZ+u/BTd7U8bg6N3+tcRoP6r166dPjOP91BbVc3Zdzwg7K+nW&#10;kxshlQnZ71BW3HaQy3Z81GbMe9sM9juR/I/MgDnznewg1Pw3DACf0SB+6zv9fjscyuaHyfG/AAAA&#10;//8DAFBLAwQUAAYACAAAACEAaFiRT1xqAAC0DwoAFAAAAGRycy9tZWRpYS9pbWFnZTEuZW1m7J0H&#10;vNVE+vdn39ddK6ALFlQQVlBQFAvSpC3SUQQEAYFLkc6l14u0SwcVBfVKE5BFERABFRARFRE7iAoC&#10;igqiiKxSXGFX193955fr5ObkJDl5cnLOSXn4fEJykydTnnnmeyYzz8z8QQiRrRzy34A/CPG6csh/&#10;q4sLMeAKIUrVv6OBEH8QLxY5R/x/5aFORBUdf6YQVc8Qoq3y4A358u/n12v/Uew89f9EC+XvSsr7&#10;8p8xLnl/oBLGFuVortwopxwjleOVwvnvlRIfCPkczxAGZP8gSil/Fcipf/z+3//+9z/BB+uAbYBt&#10;gG2AbYBtgG2AbYBtgG2AbYBtgG2AbYBtgG2AbYBtgG2AbYBtIIw2UOqKKwUfrAO2AbYBtgH/2ICT&#10;3xouL/+UF5cFlwXbANsAbIDCbieyLMPfnmwDbANsA6mzAfnb7UTHFFkn4bFM6sqVdcu6ZRsItw1Q&#10;eEyRZbsJt91w+XL5sg1k1gYoPKbIcrlmtlxZ/6x/toFw2wCFxxRZtptw2w2XL5cv20BmbYDCY4os&#10;l2tmy5X1z/pnGwi3DVB4TJFluwm33XD5cvmyDWTWBig8pshyuWa2XFn/rH+2gXDbAIXHFFm2m3Db&#10;DZcvly/bQGZtgMJjiiyXa2bLlfXP+mcbCLcNUHhMkWW7CbfdcPly+bINZNYGKDymyHK5ZrZcWf+s&#10;f7aBcNsAhccUWbabcNsNly+XL9tAZm2AwmOKLJdrbLnu3r1HuD1Yl7G6ZH2wPtgG/qetx+1EF8xu&#10;ep3p1q2nKHJ+EXHmmWe4PvC+k/JhGXr5sM5YZ0G1AQqPKbJB1YeX6R4xfJRrXhtZX6pUaeY373/N&#10;NsA2oNkAhccUWS8ZGNSwSpQs6Rm7wfKbK1XWyi2oOuF0czuXbcAbG6DwmCIb9fKpV7+hxu2LihVz&#10;zdw+ffpp4YDfS/+21HVYUS8Tzr83zGA9+kOPFB5TZKNcvujj1vd5PPPMCte8PX3qlGjZ8u6Y8KKs&#10;W867P7jB5ZD5cqDwmCIb5bK9vEQJjbVly5RxzW2pw31794lChc7TwpT3+Zz5+sNlwGWQKRug8Jgi&#10;m6n8ZDreE8ePa4xF27tevUbittsaiCpVqolq1WuoR5kyZcU555yt/S3vYzyyXLnycffxHM9kW75V&#10;6zZJ/x5kWk8cPzOPbSA5G6DwmCIb1XI5evSoxliw9vDhw+Lo99+L48eOacfa1WtFzx7dtb/ls05Z&#10;XcS6F9fH3cfzpk3v0MJtenszZjf7G7ANRNwGKDymyDK78/25zfTw5htvitzccXF1r4Eyvrl71+64&#10;+wiD2Z1cG8WsHPge6zTINkDhMUU2yDpJJu3GdrdZWMueWmrK7urVqostr7/O7I54e8rMZvge/84Y&#10;bYDCY4qsMZ6o/G3G7o8/2SUmT56sHaNHjRJ1696m/S2ftWjeXIwYNkK7P23adPH22++oLOd2N9fd&#10;qNQhzqczW6fwmCIbVf2bsXvt2hc0HoPTTtkN2QULFjK7uR1u+i0W1TrG+c5nO4XHFNmo6vfAVwe0&#10;MUX4kkAPzG5n7Yio2gznm+3DjQ1QeEyRdZOWMLyDtQKlL9/NN93sGbtbtGylhVu7Tl1uh3FbnG0g&#10;4jZA4TFFNgwcdpMHPbsx9ogwvGh3Dx0yXGN3pVuqcL2NeL11Y5v8Trja9xQeU2SjaidO2D1x0iRR&#10;s2aNmD5w9G0bxyr1/d3M7nDVu6jWD863d3ZM4TFFNqpl5ITdYDKz2zsbjqqtcb6jbUMUHlNko2pX&#10;ybAb/eRjx4yNa49Dl9zujnY9jWp94nxb2z2FxxTZqOo8WXaPH8fsjqrtcL6tOcW6idcNhccU2ajq&#10;mtkdb2NRtQXON9tCKm2AwmOKbCrT7Oewt2//UPMHqV2rjqmfiVV/N/pMrNrdI0fcp4Vb4brr2c+E&#10;/UzYBiJuAxQeU2T9zNdUpm3btrc1xmb3yfaM3QufeFILF3uppTIPHDa3F9kG/G8DFB5TZKNa9np2&#10;D+w/0JLdre5qGTcmadfu/tuSp5ndEW9nRbVOcb7Nf0coPKbIRlXfTtndsX0Hx+z+97//LZjd5vYb&#10;VTvjfLM9UHhMkY2qbaWC3ceO/cjs5jY395OxDcTYAIXHFFlm9xnCrs+E0u5mdnMbK6r1ifNtbfsU&#10;HlNko6pzt+1u+Jegv3vChNy4vhRmt7X9RtXOON9sExQeU2Sjaltu2Y01vcFu+A8aDyO7L7744phv&#10;p6jqmvPN/IqyDVB4TJGNqk5f3fya5g8ydPAwSz8TY59JIna/te0tLVwwPqr65Xwzr9kG8m2AwmOK&#10;bFT1u379Sxpjn1yYv+eNcQ1YtKs7tG8f075OxO4dOwrm/DC7mV9RrV+c7wLbp/CYIhtVHevZjT2F&#10;oQczdlPb3czuApuNqm1xvtkG9DZA4TFFVh9HlK5Twe79+/cLZjfX2yjVI85rYnun8JgiG1XdM7sT&#10;21xUbYPzzbbhpQ1QeEyR9TKNQQqL2c31M0j2ymkNrr1SeEyRjapNpIvdp0+fZl8TnmfHNhBhG6Dw&#10;mCLL7D5DUMYqRwwbYenfjf5u6BP+JfLAOuFR1THnO7htRS4778qOwmOKbFTLaM2aFzS+Ll+2TOWr&#10;Ez+TPr17qXsNG+fl4O/PP/+c2R3h9lVU6xLn257zFB5TZKOq96a3N9PYfeS7by3Z3bRJ4xj/bjt2&#10;w8cE+pRtbpy53W1v11G1P853dOyCwmOKbFRtSM9uqQOzdrdxn3g7dm/fvoPZze1u1QakTfE5Ooy2&#10;KmsKjymyVvGF/T6F3ZhLKY9OWVmWfSbMbq6nYa83nD+6jVN4TJGNalk4ZXev3r1F3bq3xRxDhwyN&#10;6UeRfd/MbrpdR9X+ON/RsRUKjymyUbUhp+yWXHZyluwuVOg8rc/73Xff529o7kdhG4iwDVB4TJFl&#10;dhes9WfW3+2E2VJGsvvW6jU0dq9bt4HrbYTrbVTrF+e74LuCwmOKbFR1nIp295tbt6mcblC/IbOb&#10;ec2/2WwDqg1QeEyRjSq7695WX+Or1EGy7e4tW7Ywu7m+MrPZBmJsgMJjiqzkVtTOlW6porL7zxdc&#10;oOmZ2V3wnRc1e+D8ctmnygYoPKbIpiq9fg9XsvuiYsWY3dxO0mzA73bL6QvebwyFxxTZqNoCszt4&#10;dSCqtsr5DratUnhMkY2qXZix++mnnzH125Z+JInOZv3dzz23htt03K5nG4iwDVB4TJGNIrsPH/5O&#10;nH32WWp/d9kyZbR6NXfu/KTYvXDhYjWsUTmjtXHQ++9/QAs/irrmPAe7zcjll3z5UXhMkY1a2fz2&#10;239E+Wuu1djau1dvja3JsnvevAVqWN8cOiSKFSuqxRE1HXN+k6/vrMPw6JDCY4ps1Gxk/fqNGlOx&#10;zt/QwcPE1CnT1WPwoMECa025PXp27y5yx09Uw6pTp64WT4uWrbTfh6jpm/MbHgZxWborSwqPKbJR&#10;K4+lS5dpTL3yyivF0CHDtaP1Xa3UdaZaNG/u6ty4UUPRu1e2Gl6P7r1F4SKF1biqVKnG7I5wf2fU&#10;6hjnN5bxFB5TZKOmZz27Mf9Rn/9EY5GJnss+E4T55RdfiosvvlhlN8ZF9fHwdaxtsz5YH2G2AQqP&#10;KbJh1plZ3mbPfkxrd7dr2z6GqYnYnOg5s5sZZGZzfC/adkHhMUU2anaVmztJYzf6ufX5T8TmRM9n&#10;zpyphcft7mjXV71d8XW0bYHCY4ps1OzKit0nT/6UlH8guM7sjnYdjVpd4vw6s3cKjymyUdO/Fbv3&#10;7tnH7ObxRO27KWr1gvPrjMNu9EThMUXWTVqC/E462V2qVGm1f+bqq8sxE/h3gW0gojZA4TFFNsgc&#10;dpN2K3Z/9PEuT9vdhw8fFuXLX6Oyu0TJklxvI1pv3dgov5O6NnAmdEvhMUU2E3nJZJxW7H7ppZeT&#10;Zve0aQVjn8zucNW/TNosxx1sW6LwmCIbNbsYosyjxHxKHLMffkRrDzO7g10/ombHnN/g2CuFxxTZ&#10;qNlA9+49NXa/+cabzG7uy9BswC91AWulYQ4ZjlE5Y0S3bj1tDymL82HlXb/kg9OR//tC4TFFNmr6&#10;tWL3ggULuc+EOZ5W7mHPVKyXgLXRMCZSqNB5WrtCfhu6PZ9/fhE1zIo33ChqK2vrIK6uXbulNX9R&#10;Y4tVfik8pshaxRfW+6ll91StbnB/d3C+aVNl67t37xFYE37KlMmeMdkty63ey3ssT6xbt0EgranS&#10;Q9TDpfCYIhs1vaaS3ZifI/XJ7I4mu7HmQu3af/Utq60Yjvto+6N/Bn0v0o75nLwdU3hMkY1a2Vix&#10;Gz4iiea8O3ku9cnsTt7mpS79fl6x4lmB9ca87POwY2w6nqHPpfqtNQWvX5y8HVN4TJH1e73wOn1W&#10;7HbCZScyMr1HvjsibrzxZrX9hT165H0+J18XMq3DjRs3qf0gtevUCWT72i370b+yffuHbMvEcSEK&#10;jymyma4H6Y4/Xew+fuyYqFa9hla3051Pjs/73wj4lxZR2qNu2efmPawjfHOlypaHnP/lJmy371xe&#10;ooTAPAm2MWc2RuExRTZq+m/Vuo1W974/ckS1P+xR5qRN7UTmm2++VcNkdjuzaz/b3+nTp8Urmzar&#10;/SHoQ3DLOv176FNG/wr8Ptq0vUcNf9u2t9Wxwv2f7xdHjx5VD+zN50Y38n2E9dFHH4utW7eJ9etf&#10;UuOCv4n0adGnye01flfQr/JY3jxx4vhxV+l1k8egvUPhMUU2aHpINr2oM9JWZVgHvjrgGbtRVxAu&#10;szu47F61ao1A21LaSTJnsPruNu3UdqrffK/RdvZyXLV5i7uY3yb9KRQeU2Qlv6JyNmM32ihO2tRO&#10;ZJjdwWU22sFoE5911p9ccRtrj9Vv0EgMHTpc9dXY/sGOQLDs119/FVu2bBUzZjwosrK6qHnAb46b&#10;3yx8n0CH3KdSUA8oPKbIRoXZMp9m7H7vvQ+Y3SbtBamzMJ9PnTolmja9wxWnwDb0G6AfPCicppTl&#10;O++8p34zyL37qCzH2AB8x932/1DS6mdZCo8psn7OcyrSlmp2b9r0KveZBOR3ALxF/y+VSZDHGCGY&#10;7bd+kFTUGfy+we/bbZ8/xuyjoCcr3VN4TJG1ii+s9/Xsvm/UGJF/3Cf69O7lydEvO1sNc6hSr4sX&#10;L65xIaz6DGK+8D2P73oqszF/HbzepIxfBjHfXqR5/vyFIju7v8Bce4r+4Cfb7M4WAmNLXqQjSGFQ&#10;eEyRDZIOvEirnt3YUxLHkiVPiT59entyTJwwSQ1z586P2UfQZ+1vzPumjkGirYk2Zxj7RJKtT599&#10;9rnapwIuUzg+d8481Zcm2fiD8j6FxxTZoOTfq3RiLEnamQxz48ZXPOvvXrZsuWmfSZS/GaWeM3lG&#10;e1mWu9Mz+kXWr98YuXYitZzc+OWgryoqdYLCY4ostZyCLi+/la++6iqtTq5atdYzdi98YpEWrn4M&#10;bCmvEaHpJZ02tG7dRpLvCPwr4A8NP+l0pjMMccGffPDgEeq6KE5+H9Feh885/LzCkH+rPFB4TJG1&#10;ii+s983YvXzFKs/Y/cijeZodMrsL/KTSbU9o08Gv2glDIANm81p63pUX+pmc6h4Mh3y6bSRd8VF4&#10;TJFNV/r9Eo8Zu59S1ul04rvtRIbZ7V39d2sz8K926hNR4brr2Rc5ReMSh789rI7tYq9tJxyHLyLm&#10;mLotd7++R+ExRdav+U1Vuozshv/TokVPesbuB2c+rNket7vTy3H0czhd3wO+x5s3v6aVVarsjcP9&#10;nzilrC1AaYcvXrRYYL5QWHRH4TFFNiz6cZqPVLMbbXOZFmZ3+tiNMUWn60RhnAy/2bKc+JyecqKM&#10;F4dpfj2FxxTZqNmtZHfZMmXUunv8+Anx+ONzPWt369ldt2497VuRxypTwwe0z8AEJ3P/UPbY/zFq&#10;Nu+n/KIfBf7hl156qVY3rPpTUF5+SrvbtFB4TJF1m56gvifZfd6554qG9euJerfVFTVr1vD0QLg4&#10;9DbJ7E4Nu/XfNnp9G6/DPBYWxLqI/i2nvvbjcwu+ZYOYVwqPKbJB1EUyaZbsRt1G2/utt94WeXlz&#10;PG13792zT3Tv1kucffaZGr+Z3d6z2+k3eDL2wu96X25Sp+i3cuILBD+UIK9tReExRVbqMQpn+O3C&#10;r0DfJitfrpyYNGmSZ+wePWqUqHxL5Zg4YHtR0G+68og9Icsq/vn6cjS7xrztXZ/sZt2nyI/Eq/JG&#10;eZYpU9ZReXoVZzrDofCYIpvOPGQqLuzTZFa3M3EPHI/img5elX2PHr3FWWf+0bY8oeOVK1czs33O&#10;bKNNOPmOwrhG0MaZKTymyBr1F7a/0a/mdi3iVLEdbNnM/mkkts6du8BROcKHZPkzK0lhh83mg5wf&#10;rHWVqL6C3zN1vrh+zy+FxxRZv+c72fTpx0MuK36pmDp1hpg9Oy/myBl5nzL2PcCTY8jg4TFh6+Mq&#10;W7bguxD71Cabt6i876Q9ht/ZJxYuYZ0GrK1tZcOJ1ilE+wfri1u976f7FB5TZP2UR6/TgvENfdt5&#10;08svZ7Ssn3/+RWVPloLxS/Z9sB8H+8c//qHusasvQ6trjHl5bT8cnn35pFo/ifz18TwIa4VReEyR&#10;TbX+Mxm+fl50larVxScffyxWPfuceHblqoTH008/LXDYyc6ZM9f2ufHd5ctXiKrVbtV+TzBXOJP6&#10;8XPcWNfIOK5sxm38Fnbt2o31GJL2tt4msX9xx46dRaFC52l1xswGXvV5/yOFxxRZva7CdI3992Q5&#10;Fy5cSBxR9oRfuHChsiff9ITH+HFjVP/BFs3vtJSdNHGCuOyyy0Tjhg3FjOlTLOX08S1b9rSYPu0B&#10;LV1I3/fff8/cMXBn48ZNMTqS5Wh2ho9nmOyW8xLf1nfSZ+bndVAoPKbIhtVWsG+srOvDhwxR6/ec&#10;xx8XE3LH2R4dO7RX37v+ugq2cghn9KiRokiRwirDcZ0obPx2HD/2oyhWrKiWNqzdENYycJMv9HOh&#10;L1OWnd3ZTfj8Tjwb/a4TzJ1NNAfLz/0nFB5TZP1ebm7Tp1+77OOPPlL5OHXKFDFgQH/L496uXTRm&#10;9OrZw1JOH0a7tm3Vd9AGz+7b1/adRx55RE3HwzNnafGATW7zGKb34F/gdO9I+AKHfc3nMJWtV3mB&#10;H7jd2gf4zX9f2Tfcq/i8CofCY4qsV+nzUzjwC5TttYoVr9fKEv3Tk6co83AMx8QJ40WXTlnikksu&#10;EbVq3ipG35cTJ2N8R/49ZfJE0f3eewXa6SUuLyGGDBlk+e6iRYvUtJw8cVyZD3y5lkY/6S4TaXHy&#10;TSzLE2f2jw9e29kru4Lfvt4WjNfgN+q/V/F5EQ6FxxRZL9LmtzD0/iWdOnbUynH82LFx7eL+2f3U&#10;Pg/YQIvmzeOe69vYia5vqFhRtau2be4WA/rHt+8fyyvYl6H13fntdcTrN/2lKz3wI6ld+6+2ddFY&#10;N9OVNo7Hv78PifpPsA4wbMsvZUjhMUXWL/nzMh03VyqYk75mzRqtDI3t7pyRI9W2MtrM6C9BG1q2&#10;p92cc8ePU9vt6AOv+9c6Au15fTiy3Y28rnq2oP2APTS9zH8Qwtq4cbMjPxLJbvSTnDz5U+T0FISy&#10;zEQan3tuje1vPvakz0S6zOKk8JgiaxZXkO9hrytZ33He//nnWhlOmVzQ3y37tsHtRO1p6vPs7GyB&#10;eUDoA++nXMv3H58zR0vLZ/s+ExdeVExNK/p5g6xzatqxBqi+jJxcU+Ngef+2m70qm6eV/a7sbMcv&#10;8ycoPKbIeqVHv4SD+S+yPM8771zxyy//0rg4f8F81Zdv+rQp4sor/6LKwR9Q78fn1TXGOpGO6tWr&#10;aeEvXlzgU/L1wYPi2msrqDLwX/WL/lKZDqwrg2+Ms876k1ZGsqyszlH7XUul/sMY9owZD9r6f9er&#10;3zDjdYvCY4ps2MoTZSk50LTJ7THldv+MGaJRo4aidKnS4ppryilr9g8UOSOGpeQYMWyY6NWzp7jo&#10;oovEjTfdqF7r293HfvxRVL+1ppbWsO9zS9nzSpYffArCZp+cH++/BxKNdT/w4KyM2hGFxxTZsNkS&#10;9kWRdX/GtBkxZda6VWv1GWU+TbLtcLTrZXruG5UTk54GDRtrz4K8PnEiG0LdcuqzLXWFM95LFDY/&#10;956FQdMp5l/azZ/HWEkm80ThMUU2k3lKRdxZWQU+2hs3bNTKLHfceJWTre9qKYYPG5qStrZVG35A&#10;f6X/W+n7Lq60I59fWzB2OnzoSI3dYdqfT5ZrXt5cR+sy63ktr3l9EmaytCMn533K+FHtOnW1+iTt&#10;SJ7xjesknFTIUHhMkU1FWjMZZtPbm2nld+zHH9TyuqddB/Ve506dlbmPYzNyjBs3WtxySyVx4YXF&#10;xDJlnRToaJ6yrqm0LfjGZFJvXsc9Zer9Wt5kHp2eUQe9Tg+HF43fArv1B7Gm6G+//SfttkXhMUU2&#10;bDatZ7fMm+ybmDZtalrb28Z2+KAB/UTJklcI2ZfztyVLNb6Fid2J+h8TMVyWG5+jwVsvyxnrmtjZ&#10;17vvvs/sNqwf5KX+kwnLjt2PP4b1TDLT7ka86KsJM7uff34d2Y9EX8/QJ55M2fO7zPr//ve/Av2P&#10;ervSX2OtjHTvu0NpS1Nkw2bvduzW+3dLn+t0nvv3yxZXXBHOdrdTPxK7/crgQxg2e+T8ZOb3RL+n&#10;uJ7duE73Ny6FxxTZsNmWHbvzHs1LuNZforUAk3k+dMjg0LW78Q2K/ulEPtvFixcXhZX5psZ6JP/2&#10;0zy4sNWJqObHzrcJazGkSy8UHlNk05X+dMVjx+4H7p8hxowelbFj8KABoWp3Y118yV67M8aIErXL&#10;4eeVLhvheDLTFk633hOtW5WuNb8pPKbIplufqY7Pjt2PPfoYt7s9GqdIxGLJcrRvsE6B3Tdsqm2C&#10;w48Gq83K2W7dqnStI0ThMUXWLL9BvmfH7nnz5mrz05Odc+Pm/ZyRwwPf7t7+wQ5bP1rJbMyJlPON&#10;7PxO1q3bwO1tj35Pg1xvU5V2rCdo5TeIfj6sCZ6quGW4FB5TZGX4YTnbsXvWww8rPoLDM3YMHtQ/&#10;0P3do0fnz2+SfLY6o65Ie7L7bkVbXMrxObpt41SX/dKnltv27f373/9OqR1SeEyRTbXe0h2+Hbuf&#10;WLgg4+3uoPoIOl37D3OT9WWOvm4rxuvl+JrZnSobwJ5pdnPmU93vTeExRTZV+spUuHbszh2fK3r1&#10;6pGxo2+f3oHrM4HfnhM/khIlS2p9JLLs9XtgGPnN6wMyq6WdpOO8fv1GARs12iH+1n8npiItFB5T&#10;ZFOR1kyGacfuJ57gdjelbCh+JGZ+Ilbjk/DdSvf8CEq+WTacvyvgtxm7cS+VbW8KjymyYbNTO3bf&#10;l5OTsTa32t5X1oQNytwcu/FFvf1b+cliTFMvp7/O5LpAYbN3zg/td8ZqP2v07cEfKhX6pPCYIpuK&#10;tGYyTDt2c393YjvHuLvVt6Wev/Aj2bp1m6mto3/Rqo4gjEzaB8ed2AbCrKMnFi6xbFNUq15DYE69&#10;1/mn8Jgi63U6Mx2eHbufe251Rscqx9w3Stmvp4xv16Jy6rON/kG7Pg/wX895/XWm7YPjjza7Uf52&#10;4+ep2AOFwmOKbNhs2Y7d8PXcoYy9vf/edtKx+ZVXxZOLF4nHHn1U2SP4ObHl9TdI78v4du/aLcqV&#10;K+87dm/ZsjVmDx89a/XXaI+jDzyRzdito5zoXX7ObE21DdjZJ/jhdfwUHlNkvU5npsOzY7ebtO36&#10;ZJcoeXm+n1uRIoXEueeeI26rW0ecPHGcXMbfHDrkK3ajb2PQoOGWbWQ9t536Ytv1c+vD4+szHOmd&#10;9ZRePZ1v8HF1wwzjOxQeU2SN8QT9by/Z/dPJk8p+wNeKkso4xjPKntTYy6H7vT3VOjdsCH0/Lr+x&#10;22kfidFn285GnIbJTEovk1jfzvUt5wPb2TnlGYXHFFlKGoIg6yW7szp2Eueec7bY++mnMW3sB2bM&#10;FEWL/ll8vHNnzP1E+vETu/X7HFvV61LKnszYuzlRvuTzpUuXudqX0ip+vu+cN6wr73TlddubwmOK&#10;rKx3YTl7xe75c+eq7evlz6yIY9evv/wiBgwYovC7qNhJ4Lcf2I19IJ3U8/LlrxFmPtt2dmI3BuQk&#10;Tpbxjj+sy+R0aeX7amf/Vs8oPKbIWsUX1PtesBt9JYULFxL9swfGcVvqBf0nxYoVFVdd5XwP6kyz&#10;22l/BtZes/MjkTrQnzHeybxIjhesP3/pj1oH9PVBf03hMUVWH0cYrpNlN3xBSpUuJe5q2Vr88su/&#10;LNkNXX315Rei0s23iEaNGosj3yX2688Uu8HVmrXqJGQrfLbd7uc3cOBg0/C7dOkiDh08qOoHOuKD&#10;deAnG3h186umdovfUa/mWlJ4TJENA6/1eUiG3UeOHNHWi3TCYsR74KsD6tqAaIP//ej3tqxPN7vh&#10;E+m0jyTZNR2s5r+/8/Y7tjrRlx1fs39gJmygatVqpvyGL6EX6aHwmCLrRdr8FEYy7B45PEfdlwv7&#10;tzvNE/q+sTbqWWedKSZPmmj7XjrZjd+UKlXMbVL/bQ6fbfSlOM2vmRz8As32l7rggvMTfruYhcf3&#10;mOHptIGhQ8z9ZIsq7TEv0kHhMUXWi7T5KQy37L7//vtFofPOFeteXEcuL/B7yZKnRPFLLhFr166x&#10;fD8d7IbP9uJFi03bEXpm49qrdUWs9ibJ6pAl0O7mg3XgZxuY9fAsy/qCdX2S5RuFxxTZZNPlt/fd&#10;sPuhmfll16H9PUmV08iRo1UbgC+4mV7SwW7K2n9maXRzz25tZOPvBf/tr/E4Lg/78oC/lZs6oX+H&#10;wmOKrD6OMFxT2Y35kVWr3SouvKiYOPT110mVE9hco2Ztld9HTfq+U81uqz5nff28+upy6j5PaJ97&#10;Ud5O92TQp4Gv7XnB+vGXftD/mExdofCYIptMmvz4LpXd8PWrrPQLN23cNKnykbro13eAym74Vsh7&#10;8pwqdmPtJ7P+ZiMD3Phsy7Rbna3a3NWrVxdZHTqJLGX9k27deohu93bX/u7RvVf+tfK8u/LshRfW&#10;iR07PuKDdZBRG8B8O2Odwd+bN78WV5et6oPZfQqPKbJmcQX5XqbZPWRw/rhHutidLj8SM5uw8+ke&#10;PmyoumbjJGX8tl+/bDF92hT173HjRitrqPcU037/G3s2L1y4KKm6YZY2vsfjnVQbwHwOM3a3aZtc&#10;XyqFxxRZav78Lh8VduM7zsm8di/8SKzKfOzYXFNbh/3njByusnpC7lh1v4sJuePUv3NGDFP/njxl&#10;kvo32P3gA/czuxV/Uys98/306ObNN95U/MX+FGfTye7PR+ExRTZsdhF2dqOf+mllLNSsfWC853Tt&#10;P7c20KJlK9N0tLqrpcjJcc5u8Jv9wNPDJ7dlHZX3rr22gqlNJzPHksJjimzYyiTs7M6EH4mVjViN&#10;jfZX+kiY3cxiK7vx8/3OnbqYsjuZtQUpPKbI+lmPbtIWRnb/9tt/1Pm5TvpI4EeCee14x43+nL5z&#10;6vRpUajQeXF23rzZ7co6Xf2Z3dwHklL7c2qnVLkNGzbG2TS+Z2+uVNl1fig8pshS8+Z3+TCyu3mL&#10;u0ztydhH4oUvqtPytdrXbNTIkcxu5rZrzjm1v1TJfbZ3n2Vdwz7zbuKl8Jgi6yYtfn4nbOzGOiNG&#10;Rhv/hn9gdvYA4ZXPtpPyxRqZxnTgb/Rdc7ub+0uc2JAfZU4pawCdp8yvNrNt+HS5STOFxxRZN2nx&#10;8zthYffKlasd+WzjW+7o0aOubMptOeI3wsy2K15/HbOb29xptUW3Nmz3XutWd5vaN9ant3vP6hmF&#10;xxRZq/iCej/o7Mbaf1brgxh5mWo/EisbsNqTslatmsxuZrcrvlnZWibuY00LY12Tf7vxN6HwmCKb&#10;Cd2kMs4gs3v/5/uFle+GtB2cy5Qpq/SR9M9YHbHq665fvx6zm9mdMbv0iivvKuunmfl5o+7tVfrD&#10;qfFQeEyRpabD7/JBZXeFCtdZ/tbrue3V2n/JlKPVGiZDBg/MKLuxV8bmV14VVatUFTdUrMgH68C1&#10;DZx1ZvwcHdRDN/sxUHhMkU2mDvvx3aCyG/3Wiea3p9OPxK5sMUdY/3sirydOGJ9Rduc9Okece+45&#10;pmmTaeSzv9Z5Clp5rF//Ere7U/RtGWR2g5d2e5M1u7MF2W7sGOz2mVkaixQpLKZPn5oRdmN9gD69&#10;+2nMvvTSS8X0qdPF0qVP8cE6cGUDsx6apdmT/vcFfKHWG0pbmiJLTYff5YPObqtxQGk/9Rs0ItuO&#10;12WG/naZHnlu0rixyu10+wh++OFOgflIMh23VLpZ2RPz24zryGudc3jp97vEfuPSruTZjX8AhccU&#10;2bDZRNDZjfJYtWqNOh4p7UV/xhhKsnuUJVvmZvMp72nXLu3s/nT3bnGzstez1E/9eg2Z2Sn6nk3W&#10;ZoL4/nUmY1BY242aFwqPKbLUdPhdPgzsho4PH/5OYN92ySXjGetRZaIsrL4Luir7waPNna529+rV&#10;a8W555yt6gfnforfzamff86ITjJRDhxn6tvhTZrcblr/qLqn8JgiS02H3+XDwm7oOdHYZSbKYunS&#10;Zab23LNHj7SxW+5Rh9+zokWLitWrnmVmc3vbcxvo07uvqa2j/UKpexQeU2QpaQiCbJjYvW/fZwJr&#10;Bxvb3PLvG2+qRLIhL8rPyj+wV6/Us/uXf/1T9O0zIGbO8vx589KuAy/0yGGkvt2crI4fmf2Iad3D&#10;/AZK2BQeU2QpaQiCbJjYLfVt13cyd0562WW2jsntTZqq+ymkss/kyHffierVqml16bLil4ptb75F&#10;qkNSn3z2Pzf9UEbPP79OszfZXsKZOt5E4TFF1g868jINYWR3ojW7vdRforDgh663Y1x36ZyVUna/&#10;9+4HQr8mV5EiRcT+zz9nbnM/SUpt4PXXtsTZOuyduiYVhccU2UR1NWjPw8hurKGQaK481uxOR1mZ&#10;fQN079Y1JezGPMmFTywWV15ZRq1DmHczbsxoxQfwu7TkNR365Dj8+w2wc+dHpuymruVN4TFFNmy2&#10;E0Z2yzIy66+QbWAw1c06OTJsp2cZn/7ct09vz9l96tTPokOHzjF1Z9PLLzOzua2dNhvYvWt3jP1J&#10;my9yfhFSGig8psg6rbNBkQszu+E3eL5iN9KGjOdU+w1a+Qemgt1LljylrAd0ppbX3HHjSfUlKPbK&#10;6fRvuxvfd8Y6Jv+mlBuFxxRZShqCIBtmdkP/48ZNsLQn2NXWrdtSxjgr/0DsteCVn8nXBw+K7L4D&#10;tDxWrVJZfKR8uyZje1vf2GbrrzNk0EDxycefiGIXFhOFCxUSa1avFp/tK1gvDs+gW7S3XlL2xEJa&#10;atx6q3rPKl3Fi18iSpcuraX7rpatVfkdO8zzMnvWbDWN337zjfrOV19+of5Of/rpp+rfJ08cExf8&#10;+QKx59O9WpiHFF3d3vQOccHvv+dIX4vmd4n33n1Pk0H6rr+ugti548OYe7jfpEljUa16DXHixImY&#10;Z8+veT4mLTKPG9atE+3bd4yRxbO9e/aoeVv+zMq4Z/JdeS5bpoxpWqpXy9enZKP+3LTJHWqesO7C&#10;W2+9HRfHyRPHBZ7Vq9dAvP/+B2patrz2epzchNxJAvH/+MPf457J9OnPduym7HNC4TFFVp/WMFyH&#10;nd0oI7v1vdEuR/s8FWWZanZ/c+iQaNCwsVr3UHevv+56gT7vZPPihN2I46GHZmtxDxo0VGNatWpV&#10;1PtIG/ZVgWyq2T16VI4oVqyoGJUzRo3PjN0llb0AatX6q5C8R7pq166ppvXRR/I0vZmxe9qUqaqc&#10;39j9y7+sy7tn916iY4dOWr6kXTz/Qr4/CH6fPv4o/3fWyG78NsKmXt74Stz7MhzjGban/w3RX6Mu&#10;GOWt/qbwmCJrFV9Q70eB3difAX7WVmsMY72RVJTfkMHDTG3Zq3b31CnTtPCrVq3mWR4kuxs1rG8b&#10;5tdffy3uvbe7sl/RmWob922ljXfgy/3q/E20eTfo1pBLxG6q/o3tbqwJnJs7WdSoWVv9/TKye9bM&#10;mQJrk/3jp5MxefrHTz+pPK94w03ab4+R3VjvBeFXUnyGgsTu9997T5QrVy4mv9BzszuaKd8Qd6j3&#10;zdh95PBh1a4wV+Lo99/HvW9XVnpe66+Z3d73dUWB3dLWsC6V3p7017Xr1CHZqAzT7gy/Vn0cuC53&#10;9VXq/pRe9JlgjiTCRHvz5MlYJtmlK9Ezp+z+7bf/iBdf3CAw5wnpQL9HeYUVuN74Uuw4aSrZvWL5&#10;ClG5clXxxf4vxA0Kg7FOopHd11WooPQfvGNaxns+3aP+9uB96EbP7uPHjqn9Bve0zxJzHns8UOxG&#10;Xm6tnv9dgTKRB/yP5LeHkd3oT2nXtp3o0aOPJpPIXvTPZRzGM7Ob2S1tgup3BPuy6sOQYcIvXG+H&#10;yV6nkt0L58/X6uLMBx70NN2S3VIv+vPNN90UF9eM6Q+K25V1EaUc6r1Rd5LdUgbnslddJd55+904&#10;WeO7Zn/r293ly5UX7dp1VMNB38mzzz4Xw25wHH5F2GfJLCzcu1Dpu/9I6T/AtZ7dGPNFWtGG3bB+&#10;PZnd+vwarxP1d3/z9UH1GwZ5Nabbrr9b338/buwEZY7Wrdr7COu2uvW0vyW7jWnDO0ue/JsmZ4zf&#10;6m9jOPJvZjezW9qCG3bD3tAfin3iZTj6M9b7s7JJN/fTxe4Vy572NN1Udh86eEBsemmdyplzlHWu&#10;JAP1OjNjN3SPMbP9n+0jp1+ye93vfbdPLFishrFz+weidas2Mez+SWlLYlzVjt0XX3Kxlm49uyte&#10;X1HIsN2wG79P6PfXH1WqVlftLxG7G9RvKBo2aqLKbv/ggxgdSXbXq98gJmzEs+uTXZrsDqVPG3qW&#10;49cYDx47Zrz2XLIbfU36NMq1JfC+vhwTXevrk/6a2c3slvbglt2wvfXrN5qyG2F72XeSSnavVnw7&#10;pC5GDhtOql+J6p9k91+uLC02bHhJwNdDHp8pa8YY389T+hK639tVS8+A/oPiZCS7ZTg4d+nUVWCv&#10;rLuUfcaNYTr1M+nZrYfqn/Lj3wt8IdA/8uX+/TF+JjdUvEGsXftCXDyI94W1z6vfAMY+k3vathH3&#10;jRqjveOG3W78TDDmhzFU9K1D3wgDfUHom5d6kuy2G6uE7Gllnhp4PXDgUPGRsnY7bGbf3r1aOJLd&#10;xrFK9Kkg3m7KeIaM08lZ2qTxzOxmdkubSIbdsEHsYynDMp6pcwmsbDqV7H5H2d/12msL1t3ycs67&#10;ZHeisUrkW8pCh+h3l7o0skCy26gr9I9jX6HvlPEx/TMn7EabFm3kocqYsP7djh3aiwnjJ8Wwe25e&#10;njreqJfDNfp30eeiH4NEmIi/VKnS4uCBg1rY6WL31q1vqnrUt8vBX/j1yPQ7ZTfkoQuMSbS5u42a&#10;VxkGzlbsxjN827S6q7UWp/49q2tZ/sYzs5vZLW0iWXZv2rTZdr3vRo2bkmzWzJZTzW6MB2K/Mujk&#10;L3/5izIW91bSaUY+JI/R7p6nrDto3AtN7rNz9Oj3Antxwn8H/clrVr+g+npjLAx/f/nFl1p6JLv1&#10;Yd3ZrLna7m7XrgPZtxFcgX8LfDy/PnBAiwfpx/7JiN/o353VsaMoW7asmDRpipqnBfMXiFKlr1D8&#10;F2uqPteyDMFu6PTBBx4SGI+V9/XsXrnyOU0v8MNDfDJc5BHtYTf+3Whbw6cFvtUyXpw/27tH9RkB&#10;a/G3ZPe8OfO1dEjdbt++PeZd+Gdfc8016t6kG3/3t5dhS3b3UPwJ5fs4w0cc/VkrV66KCUu+Z3WW&#10;9dN4ZnYzu6VNJMtu2B76Tqz6vhHP5s2vkezWaM+pZvevv/wi8vLmiQsuOF9lDdL8+GN5SaUZeZDs&#10;lro2nl/e8KIaB9pzeAZ+jleupS93ndq11PtoT8t7kt3GsPA39vMx6i7R32A33r3TZE9SrH2LsUcj&#10;uxHmlEmTBfy88e5ll1+m9GUvjIsb7IZvtDENenYjfLO8yHsYH3XDbrT39WOJ+jTIcVN8o0h2y/j0&#10;5yGKr73+PVzDP71+/UZx9yW79e/jGvmDjo3hJPrbGI78m9nN7Ja24AW7YYfZ2QVzEmXY+nMiW7V7&#10;nmp2I2600xYvWqr0n+S3FbEnzrKnlpDrnD4fYHfbdu1jxq7041g7Pnhf7WtopYwJ4v78eQtU3ssw&#10;ML6F+3c2b6mND/bt0z8uvBYtW4ktr7+RVFplnHz2ng1udKqvO/prZrf35RMl/24rWyxf/hrLNhS+&#10;ha3eS3Qfa87r7RfXRZU5K17NzdHHv2PHTlGr9l+1+G5V5qB/+YW1T5z+Xb72vl5FVadGe5d/M7u9&#10;tzFmd/5elxiflHZmPFPXH5b1FvZqDAt/p4LdiPPwN4dixi8xd+fLz+P9QmT6+Ox9fYqyTn9W5i+b&#10;2TvuMbu9tzVmd75OseYf/AqsbM/NmoPpZje4sUtZh7Nz567ikksuUfOCccO1q2njTVHmD+fdPWOO&#10;8DqCrr/R3dgds7vAVmfMeNCS3WD65s2vkcrGag3YftnZnq0jaFbmh5WxrJUrVil+AoW0/AxW1v4z&#10;k+V7BeXPukhOF8zu5PRHtT9md4G+sWaVXd835ppR9WvWjk/F+t1m6Xr3nfdEyZJXaPzGep7S78NM&#10;nu8V2ALrgq4Lq70XLlf8eij6pKwNSJGlpCEIsszuWBv95tC3op4yF9mMubh3b7d43zG7csZYpzGs&#10;rl27pLTdrU8P1mXq07uflobrFP+3D95/n1SX9OHxday9sD4K9MF7nhXoIh12wew217d+r14jeynz&#10;LuHLaHwf8/68WEeQYh/YVwd93zItWR07Mb+V8QGKDlnWXl+817C9fry2H2a3ub4xH9lu3o7TcoCP&#10;iuSlPN/epGna2Y15PAvmLxJVdfutTJ40kdnF/PbMBtasXhtn67B5uR+G0zpD6QehyDqNPyhyzG5z&#10;dqP8rPxEJIO/d7Aufa4yt1nKy3NpxZ8l3e1uaY9vK33g8vcE60C1atlcbN2yxbP6K+Phs7VdhVU3&#10;sx6eFWfrsHmKfyB0Q+ExRTZsemd229exSrdUMbVH2KSTvhMr/vfs0V3MmDFdPeDvnZMzXL2ekDtW&#10;5fqE3HHq3zkjhql/T54ySZPHe1iLyq0tfvXll6LubfVj8tW/bz8xY9oMPlgHrm2g2u9r28o2ijwf&#10;Ju4pSOExRdZtffHre8xue3ZjzRO7veahP7uyhd1KG9afu3fPHLuRXsylx14wej8Uffr4+gzTcmO9&#10;0PSCumNXP8yeUXhMkTWLK8j3mN327EbZgt928y63bYvfi1tvEyVKlozjQMf2HbR2dLrb3TJt2Cdt&#10;5bOrhd24LLOKxirWV6y+3OwFS+ExRVbafVjOzO7E7EZZm/Vb6+spfPGsbELuQaKXb6LsEZapPhOr&#10;dPJ9Z7bAejLXU+HCBXPBpK2jz5GqLwqPKbLUdPhd3im7/6Wsq7lr16fiJWXN6CuuuELUrVNX3Jcz&#10;TgweNFz07TtIZHXq5ujo3Lm7GNB/iPremNETlT2rm6tt0udWrVH3iNXr65tDh5Q1i8ur/W+4/7cl&#10;S7X2q1frCOrjS3St15W0TXm2+zasrehKyunP06dNUfmdqXZ3ovzyc3NGsV7i9bLjg+2mNo61Iqn6&#10;ovCYIktNh9/l9TySacX6nWCM/PvEiZMql5s3by3ubNZKfVZTWacOfyd7IBzEhXARVu6EqVq8fmM3&#10;+q7t+k6s2hhZWV1M7Xr8uDHMbuU3WdoZn4OrC4xz69sl8nrjxk3k8qXwmCIbNvtywu5pU2dqjE41&#10;u9u0aa+Vtd/YjbI3W9dV2inOu3fv0dIvbWWIsieXXkZew4cE/Sbc7g4us2QZR/3cVNlnStq1/pxo&#10;LMhMbxQeU2TN4gryPSfs7qf0ccj2darZ3br1PRr7/MhulDX8/qx8TzCfx2gPeXlzTe26TZvWzG5u&#10;d8fZi9F+/P73sR9/EGZ93WC4ft87p/mg8Jgi6zT+oMgxu921+bKz+5vyWLY59OVvtZ5grVo1md3M&#10;7sCze+6ceZZ14dSpU+T8UXhMkdXXyTBcM7vdsfuHH36w3Wv+6qvLxdis2ZpUt1SuxOxmdsfYSRCZ&#10;cneru03Z7dafgMJjimwQdWuX5kTs/uzTPaL7vT1Ex/ad1eOeth2Uvb3/KGrWqKHdk8/cnGvVzN+X&#10;tp3Sz433O2d1FW+89qr4SfE99mufiV6fZv5/su3drFkLrV7KeejyGc7FlH1tZkyfwv3dzG/NTvS2&#10;FYTrf/7ztMAeqXq7ltfwq3WTBwqPKbJu0uLndxKx++knl4jBA/ppR5+ePdRyqnDNNdo9/XPqNcJB&#10;WSNc/buf7vokEOy2GoeU9ivL3mqMc9TIka7Y/dHOj13VC5kePrv73mK9xerts737TLkN+0dfoRt9&#10;UXhMkXWTFj+/45Tdk9u3FzjGtu+ollULZW6JvJfMGeGgnBEuwplwb3eV4UFhN/pOmja9w9J+kTeU&#10;P/Z1MBvf7JTVkczuBx+431Wd8LMdctpimRgUfbyyabOp7bvtL0G+KTymyAZFp07Tyez2ps6Y9YnI&#10;tjd8T3744UfT/vGSJS5T5h5NFUuefFI8sXCBmD9/vsjLe1wsXpz/99y5c8U85Viw4An1+TPLl4vv&#10;lD3NnJYvy3lTvqxHcz32sxizx3emW51ReEyRdZsev75nx+7TP/8s8mbNVtvBsm2drnb32lWrAtFn&#10;oi9Xs3VLJL+xlxrmmMm/+Ry77gXrI1z6oK4dqK9HFB5TZPVxhOHajt2LFywQOQMHivHde2j9I6lm&#10;96SsLHFfr95iyIABYuLY8ere7ZizBV1nek58ovK26tOWXKpQ4Tpmt9KHJPXB53DqAmubJaords8p&#10;PKbI2sUZxGd27M5R+Cnb2/KcanbLeCZ37SG6duqo+rQEhd0of7uxy7POOtOSW/Dl4fWzef3wINlA&#10;lcpVTe25TduC+XVumEjhMUXWTVr8/I4du0d365Y5divjlr06Zqm2ESR2o6zhG1Wo0Hmmdg3/SrP2&#10;5kMPPZRUW8XPNsZpM+8rDrpeihQpYmrL27d/mJQtU3hMkQ26vo3pt2P3RKUtOKlT55hjTFZntbya&#10;NWgYc98o5/RvhAOWIVzjO33btlOfTcjN31fR730met3ajV2asbt27VpJ2bs+br4OJyv9VK4jh48w&#10;5TZs281cSn3eKDymyOrjCMO1Hbv1/tbyOl3+3Yivc8cOqn3kjBilci1I7MZ+DWaMtrqH+Q1hsCfO&#10;Q/h/N35W/F2t7Bhj8snaAIXHFNlk0+W39+3YvfWNrcJ4vLzhZXHttRVEE6W9nNtvQNwxVOkjN94f&#10;N2CQGGFyH3KN6+Xvm7jimRVxcWHfaawVPnni5MCxG+U8f/5CYTYX3sru+2f3EyufeYYP1oEvbWDx&#10;woUid9x40bdXX0t2r1LW4U+WcRQeU2STTZff3rdjt1lasWZY5SrVREtlPoo2rvj7vB38DUYb70/q&#10;3lPk9O8fdx9ycm7OoYMH48o8CHPizXSkv4e5ZfDvtuI13w+nr0UUy9XN/mb6uiKvKTymyMrww3Jm&#10;dqf+G1ev4yjWac5zNH6f6jdoFNf+csNJCo8psm7S4ud39FyR6TTumyPv48ztbjrrjx49KtAmYYZF&#10;g2FRLed3332f2a0wUs/LVF4zu9Oja8wzM1vPJKr1nPMdvt+xZP1LJOcobWmKrAw/LGdmd3rYDXuh&#10;+g0y38LHt7CWKdZj84qJFB5TZL1Kn1/CYXanj90njh8Xdut96+v1+vUveVYX/GJrnI702VoqdD1y&#10;5GjTfj+s44N+Qa/ipPCYIutV+vwSDrM7/fUJPrB6Tptdoz74xUY4Hem3ET/q3KrPz+0eC1Z5pPCY&#10;ImsVX1DvM7vTXy/R9+2k/b1u3QbmdxrHfoJah9ORbqs16mHHXsdP4TFF1ut0Zjo8Znf62Y0yx17z&#10;Zu1t/b3adep4Xi8ybW8cf2bsLRm9ow2ht0v99ezZj3tuoxQeU2ST0YEf32V2Z64uYW8RfT0wu/aj&#10;zXCaMmcz6db9r7/+Koqcb77mFOz1wFcHmN0Z+jZkdmeuHmIftI4d89f2MuO2vJfu+srxZc4m/Kb7&#10;N7ZstWxfeOlbos83pS1NkdXHEYZrZnfm62ntOnUt6wf4XemWKp63bcJgu5yH1Nuu1Zyyy0uUSJlN&#10;UnhMkQ2bvTC7U2//iWwm0X474LeXPliJ0sPPM28TfigDuzEZr31L9Pml8Jgiq48jyNfop1q5crW4&#10;/vqKWptP5sevc+IfezRPSyt86LZtezsl/W1SD+k6//bb/7F35mFWVHfeP3/MKK6AoKzNIkvTTdPN&#10;0tDQrLKIgrIq+76MqIgRXIlKcEFF0IBKEKNBJYo6xi3RODOMMeqYTKJG3xDQzBt5o8FtjNEMxrya&#10;533rezq/67nFqXvrdt/T59btbz9PPae6blWdU7/f93zq1Fn/ppYtO0c1a3ZE6vmkvkTCadPOdlbO&#10;aaznZDzJeSfs3bsvchyw6+/AXHicy7nFoL+RI0+xMkKerVDZvWb1pdZ0o80PWpP0JzXEXD7Calu4&#10;YsV5iX/GpPqmKaUbY9sztU82dF2cbLbMhce5nJst3kL+He1imeaTlrQXKrt37Lg7I9sk/UkNX375&#10;ZyrTWvNt27Yluz216SdVU/VJ95NP/DAynw2pHabQ96Q+9417TS48zuXc119/I+M7ySwvoX/u1q23&#10;qzu371A7v7dToZ8kNnzro5xobl988UVGe+B3OR9pwH0efvif9b3Xr18XaWszPeH90rJuadeJbQuV&#10;3ea6OV27dlIndytJS3/4+Wz/wyew16233KoeeGC3tqPYFeHnn3+e0Q+wkXk+9vfseS7lW/gZ/sb9&#10;EZctDeFjGzZcrz744AMdL8btHN/8+MjrxgVrXoifGCanDiIpvkKZO2q+eYyrbIznyIXHcc9FvspU&#10;bg3nyUL9v2uXruqqDXPUlt290xghfkkCu2fPO1Pd8XhLtXj5tLRnKFSbx0mX2D/bemlyHkOyO98a&#10;yDTmAP0a8h2f7X5xeYxr45yLtr1i4PYJLVuqzfeeqrY9dXRBsHvahAmavbmumwN24xmwXbu5bk3i&#10;OHws5HOgL9Hy3LkLMr6T5DyG5He+NIBvxqj8gbL4O++8k9JnvuK03ScOj+W6OOeuXv31usjg36jx&#10;vdXF13ZX39pSqQZU91WtW7VUPUtPjnz2ZkceoVq1aqVat26ljj32mMjzomwXPt48+K4+5pijD7tP&#10;yxYt1dFHHaWPd+veWYdnTByr5pzbRqd5zTVVKeaFy93gJzasaYb45H8zPHjwYH7XPJswUcf11v59&#10;6uC776bF+cJPX1SdOnVWl158mT5+44ab9LlIm8lu8HvpheVq7MRyNf/crqp9UC+Mc8QfsBW2uDYM&#10;n5ft/5bBtyR8a4vDvLaisqc65uij1fzFk9X126rUeZeerKpr0ueluvnmTTp/YNzOSW1OPCzNcr/j&#10;jju2UfKR5BGGxf+OEG3ZQvRjbSwNxOGxpCXOuebcQTfvmJTiH7iBOgjkQexveaSnwu+XrZujlp07&#10;XTPGZot8HwPLEOf6zWenytUXXdVP5/3Jk+vK2UifuYXZHSdNeO/gHTxh/OnW9SdzXa9y6JC690QL&#10;C1szpSfMbnku2F+uu/nufvp54Y91G2er874xU5014/TU73JevkPoAek7f80MXTeF+G/75xLtF9TT&#10;Ix2SXoQXXTYrLU2iS9SdZOo3eO/OexstP0maGBYnw6v61rHClhfQL60x/R6Hx5KeOOdK/X27difq&#10;sjYYIfkPZaiOndroct7YM7qpeee1VpffUKZuvLNK10vg3Dsea633N99fqW7c0VdvG7b31efh3Gzb&#10;1bf2SV23aWelvtfWh3roNIDBOIZvgMUXtlGnTu2uRozpo78FBg+r0NdJWs1w4/cq05hh81umYxOH&#10;jTiM33HZfe2ceap3t/qvA9anT6m6/bETUz4wn+uy6wYplHHbtm2ty+KnT++gzr2is7bDpnv7aI7i&#10;/C0P9dJ2BOPFJ1duqsjqC/GVXIPw1u/X+XrbE831PW/Z1Uddt62PWrO+h5o457jgm6dM4XutV++O&#10;+ndJL/x23mXlad9QokuE3//+7sh+tvDN/ffd36j5ykwb95PP8a+++kpFzREIfVX0qXTerySsozg8&#10;lmvinGtj2EVrvy5/o1yFcu/wkTVWHiLfoiy2YNFkfR7OXXvNXF1GR7ks24ZyI67BhvtgkzqBcNpQ&#10;7kMb3g3bJljZJtyYubS9Na3h+2X6/4p5C9P4HZfdq+bMbXDc4Kw8iy1ct2mKtlNU+uEr2BG2Etvi&#10;uyWbL/D7DXfMSF0jPsH3TVRc0846TdfLo31V0rpkRV19Ea4x69FElxKef94FkffFtXIew+SztLF9&#10;uGb1JRm1hT5tjZ2mODyWNMU5V/LkqFMr9Dev/I/8irYyyY8ItzwwROftC4NvYbABLJXzXYRjxgzX&#10;9TNgyOadY9LSYqYrvH/qmaU6XauvmJ0qi4bPMf+/7dEO6vJrZqQ9S+2gQeraufNT/I7DbpzfKZgP&#10;QWwB+6zbeHasdOMb5pzzztbXojxrpi/T/sa76uqU8O5sDH/A72vWztbvAdhN0gZ2w0+SBoT4v2ZI&#10;RcoeoksJ33vvfdXsyH9M/S52k9D1ODdJB8PiezeYdcGiJwmxRojrvtw2TcXhsVwX51x5HvAO+RDl&#10;7FVX9lRDR1Yo1GFW9uuu8G1+/Z19UvlU8itCqTPBN7t8a+ObWr6/s4Xrvl1X94Frb9o+VTNh8/dG&#10;pb7P5Z4IUR5FPU5UnYKkC88Cxsj/ccNv3Vqrv//FJr26d1drZ83S/M7G7nVBXUlFad07A9fDdjfu&#10;GJpzGnBtNnZvebizrkdCXZJpH9Qx6Xqme07TdrzxO5NTv+ejziRsR/B63bfLdV1W+w4n6foctHVf&#10;ublU93PE+dCR2FN0aYbP/eSFjHUnK1de1OjlIzN93E8W19FvDu980Vw4HDtuvMIafT78GofHkq44&#10;58qzCbvD+XPVxVNTdkA5GO1P4Hv4vGz/gyloywJTZZMymqQhbhiVVklDfdmN61FvYKajW+cu6qr5&#10;C1U2dvcP1tkwr0Pdg6QnlxD3yMZu1PWbccXdh//E9gjhS7OuI246UecNX0q88ONVN06xPm82dkOr&#10;q1Z9I3UvuacZYk4U0TTDZLG0Mf0FJmca8+5iLZxcni8Oj+V+cc6VPJKJh6grmTBxWCp/oT5aj4EJ&#10;jsfN77i/xBUVop7GZAv28d0tG+IEJ/oOKMsYL/rU4dq4aQufh7JjOI1zZs5I1Z9cP3eu3r9u+Tlq&#10;5fKlCvUr5vnSNyd83zj/4z7Z2I1zYCuxC0LUY4RtB1ab6bLto89OnHThHPSfB+/xTSH3Wn7+FGXW&#10;nYTvFYfd//M/h9S06XX1RXJfM0S/wT3BGE/RNUPy26aB2qHRekefjP373/SqoTg8lueKc67kkUzs&#10;lvyI8ha+vU+d1EnzE9f2H1Sq61S+uSno22D0UZFrJKzqW6qmzRyhcA/5ts+l/H7bo+30deesmqy/&#10;zeW+trBfdam64ppZsZkUvgfqJMB/tMOKfRCWdOigUI9S3btCVZWXqZ4np4+9xzng9s33nVzvuEeP&#10;qVVjJvSKvB71/mj/Q/0O7Jit/sh8NrE7QvRBQVqHjbK3i6I8Dl9dekOprhOpqOyu7YFrpswp0XVX&#10;mfwt8cZht+gV82+a9jb3MQ5fzmNIdpsa+PLLL1W2da7RL9W8xsd+HB5LuuKcK/kjDrslP0qI8tZF&#10;V6SXl1AuvuSqmbpdU85DiLIyfkNdAuq1zTIj9hcvn5pWbsS5krZwCK6a9zb38Y2A8xGax+uzj3sg&#10;3eH4bf+D8/WtJzHThvZhlGvNY+H9TGkK14ugL75pa3y7oF4IIZ4DfS7N+6Nsff7q6WnPDF+gLdc8&#10;L+5+LuyGbjP1x0V6RdsMyW/RAOZWsuVJOeZyTm5JQ5wwDo/lPnHOleerD7sl/6KMduNdlbr/N/pg&#10;DxzcS9sSDBo6srcul48aV6UwHhL1Lb0reirU2SJfyzb6tDKFNMiG9lHUHci28IITU+2fWx/5un+D&#10;pAEhypLg2vAx9S/3mvfDPsr7aBOcOq9EpxXpRh9rxIO0jz2jVK1c20nd8kBdn/Tw9bn+D1v27FWi&#10;Jp81PPI75pYHuqVsMTfocy82Qgj7iw0Rjhr3tY2RXpSbe1f0UD16dtW+mDCll76mZmhvXa7GO2jw&#10;sDLtM/ThvumedLbn+jyIUzQmuswUonyUaY4G/CbzW2W6D39rGmz/wQ8eT+lLdGaGmIOhULQQh8eS&#10;1jjnynMin+eaL7Odj/LdilVnHWZbMF36HqOPW7b7xPkd3JZnwX6cawr1HDATz4Lybpx6iTjPseH2&#10;s3T5G3Xi4boglNVXXfL1uNU494t7Tq7shnYxNxrWnhJ/2kLROMOmwWibnzONvYFmUI+CORhs1/o4&#10;FofHkq4450q+cMFuM39ff9tU3TchapwHxnTj2x7f8pvuOT0n9pp1G+Fx2WYakrKPsrfYCezL1BZo&#10;eya8M2FLtCtOmjTOykAwHL9vuntcTra2xZfpWH3YDf2i/C1jfkWj4VB0zrDp8RvrJIT1YP6P7zOU&#10;AQpJG3F4LOmNc648r2t2m/kb9RAoG6OvNsZ0nz6jRdA+V1cHgbqITl06pvxi1k+AA6ifRVplQ7sk&#10;ngH1JEkvb5s2Ar/RLtx/YDddTh4yrHfqmfHssAPsgQ026lXePWUz7Eud1LhJPXWdyur13XVfb7Q/&#10;5tK+aaapPvv1ZTc0fMst387Ib9afND1mY0zN88Ea75nq1fDO/8FjTxUUt6HnODwudHbHZQDKmyhD&#10;ov1O2ttQ12L2hUN/kny0S8ZNk4/z0H4oY1nl2fF9ITZBGyns5CNt2eJsCLuh4zjrFePbWTTPsHh5&#10;Dm5n60+C/t2F0KfEpsOmxO5sXODv6fMnFqI9Gspu5IGLL7409U0h34nhkHNXFS+zhYOZ+m9DD/36&#10;V6s333yrYN/jrtg9qLa77i9ciPmfaSp8Rtt8hPH66DMjnJU8WJ8wU99vuT/WWKvPvXlNYXP/3Xf/&#10;kHG8JPyP8va77/yhoP2fb3aH643wTZ7LmBlbnuWxZLI2X35DnbptTGdDGYn6k2ztl5ivoqHx8PrC&#10;Yrm8m6PCQq4nMbWUb3Zfdunaw/ID2rly7duQr3zP+ySb+6h3R9upmc8wpn3GzNl5YWq29kvEu+2O&#10;bXmJy8x33G98nmMe13DZ0tQV9oePGFXQ9SSmbvLNbtwbfWnCcyaiDzDqKi/6VrC+QtDngUxNNlNd&#10;+g/faUtXH77OGfIWykSY283UcEP30RaVrc0KcT/xROH1NWjoszeV6y+6KHsbR6H1387mGxfsRpyH&#10;Dh0K1qdMn1NJ3nEYI3L9ttznM3XJC967MN4lV900Pq2MLZpBiLk4oatsmq7P7yhvZCuTIQ179jzn&#10;JP76pJnXxCu74xvN1JFtH2XNQuu/nc2/rtgt8X744YfqyivXHzanMuY/Qjl87jklatO9mefxI1cL&#10;g6uu/HD99mD+gmDsPcbXh/NVi6Ccfell31QYOyGachVife9MczVL2ko6dVLvB+s8uEoH7xuPydns&#10;dNd3d8Z6H48cNdpZmSBbGhvyu2t2m2lD2z7youQBM0T/YvQ7dsUH3rfw+I9+9rY2SNEFvttM/TTW&#10;PnSarQ0TacxXnXtjPVdTiSfTN79oCyF8XKh9t+P4qjHZjfSgrjLT3BJYm4GcLTzO5tMnGPt0xuTo&#10;uZFRrt27d58XbkuemT9/kbWMYeZ98js/5WOxeb5CtImE/WT7f+XKVV411tDnbWx2S3rxDTzu1NMU&#10;8mnYrphb6pTTu+kx3Ogflk9u8F4e3gvBmvCYXwDzI9aOqpsTMuxzlIHw7doYdSOiwUzhV1/9TaH8&#10;bdNnOO2oK/3Rj55JNAcy2SIJv3388ccK79uo73rxWbNmRxSUzhpiW1/sNtO89oqrDuO32BrhvMUT&#10;i36cerG+UzC+PtP84MhrhbwG2Su/fDXrOA7RKjif7z4wZj7hvr2cH/cbCX4qZK3l6t9CYDfSjDbe&#10;XbseVGedPTOyrINxPjff3fA1EIqVk4X0XOs2TYmsy27fvr2aOWuOLtfmqlcf52Pez40bN6vu3evm&#10;0hVWR4VY78FHOptanD8N5pCK6xN8G9111z3qiy++KBrfFAq7w7pDWdxWb4X+KbJOFtYwyNd81IXE&#10;vaSl5Y7HWus6EcwTPmZCN70Gg41r6D+LegjMART2dxL+R/kiqt9r+HmxptrNN29K5HMWui/+67f/&#10;ZWVD2Afy/8iRp6hDn39edL4oVHaLfuLUOc6ZPyEv64MljZm+04s2R8yPjrWLJJ/YQryD4UfxadJD&#10;jM+L0w8FtkCd0EsvvVw0z+7bd9nWRzD1Bx9h3gPfaXYVf6GzG8+NdiP0O9gTjIvAmNWofKPHbo4K&#10;1kQL5u++7vZKzqMSrLGWT76bawXLPOdmXpF9jFlHu+OTT/zQe38RV/nmuZ+8oNva0fYlz50pBMOx&#10;nhbrw+111lF+wjfaz3/+C7VixQVZ2yHF/rD1xDMmKfTXj7pvMRxPArttdsb7tLKqb9Z8g/7DV26Y&#10;xflU6slx21rBkkfCIepEUCa1+atYj8WZDzxsJ3yHoO61WG2Sr+dCG4Ot3jRsT/P/IbXDmoxdk8pu&#10;0UdchsO/aOtcv/nsvJZF81muLZR7oS7koivO1utbmvkiah/MbsoswviOuPXgpg3x/Z/ksSGSB/Md&#10;4hsbddSmreLsw55JG9feENslnd3y7Af/cFC9/vob6rrrb9LjmrPNTTGgpm4dedSvXLGxTG3a2bTa&#10;PdG+iDoQzIm9+MI2ekw61j3r3PXr9eFs+QXfozU1Q9T6azbob1nMeSA+aOrha6+9ruuKour0bPbE&#10;sYo+lWrBgsVq//43m6wtUS+Cvkelpfb+/1G2gx5hu6aow2Jht40bjz76uMK7GP6N8n34OOYbxZq5&#10;WAe9UMrB+UoHytPrNs7W3x/htd3Ddgj/P2XqdJYRg7YXm87Cx1D2w7d72IZx/kcdAcbaF/J6LeHn&#10;re//KG8hf+b6rhM74tr6xl0M1xUzu8U/f/nLFwocR/1ZRUWfnPIU1lc/f80M3Y+lUNdwtLEdfSeR&#10;XqxBuXj51JyeGXkD40zQT5Pf9PF4LVqTEP2IMV4BbWb1YROuQZ9kjD2WexZLiGfCs8Vt5xVWI8R1&#10;aFOhLvO/1nCh6wt5SbRwzbeuVZdffqUaF6yNIseyhehfjrJ5zdDeatT4urXWJ5zdQs07r7W6/IYy&#10;PY4f9RA3fbefXvNty+7eautDPepdhsdc57gHNqnjuH5blY4LY8wnzjlOjZ/aQY2dWK7nZexf3Str&#10;nz3zGUtKStTUKdPU1i23qUWLlqXscOf2HUXHDJ/aRB/JXL7/TB/JPq5/4IHdus+hq7lw82mjTz/9&#10;TPcN27r19qAuaVRKW/I8uYRoTyimfqb5sHNTKHebdjLZbR7H/huvv65uCxg28fSJDdJZHE1izhZZ&#10;o11ClPHjXNuQc1q1aqXmzp6ndt5zj/rkjx+n8XnjjRtT8ZPd9StvhzVl/v98MA6wPm2aNn+jXI72&#10;PIzxxn3NeHzu4/sWaerWrXtKS7b053KsqfVdius/stueR7du3aaqB1Srvb/eq376/Itq9+6HFcrp&#10;c+fOV6cG33zt2rXLmzZz0XG2c0s6dlTjxo5XK/7pXHXvznuDPtZPqZ/9x8vq0Uce1el96KGHIvM5&#10;2W3XQty8FPe8L7/8Uped0Wc5zlxX2XyO36WOBf3qUT5ZsmSZZjrGBf36f+1VGIuI9rxc2/TQv1qu&#10;Q/8P9AfAPf/tX/foefkRF+Y8x3PUp27I9mwY5456FbRfJuH7Iq7f830e2W3Pr2D3qGAcUJS9zd9f&#10;euEFzUawD1yHHgcPHhrU5x2Zd74PHzZCod5mVtCehfgQ9/59v1G/+M//zMjmV375Ssbf8Zxkt10L&#10;URrI13H0r8w0L7KNb8V4DH1N0UaQL7sW+33Ibnt+Ndls00DU77t2fV8z0rwG9cgL5i3QnAVrsf34&#10;6WfU5k23aF6CmbLJ7xIij65fvy6l53eDsWK9epWpn738s9QxxJWNzdl+xz3IbrsWTF+63Ed9blNk&#10;OPqLYL5Gl7YtxnuT3fb8GsVm0UDU7zZ23377doVx4t/85tXqJ889f9j2L8/+y2HH/n3Pv6szz5yi&#10;3wO77r8/pWuy2+4v8UsxhOijgnnM0YcedSCYd7FYytmoW0F9CPpkoz8860Tqr2ey2267KDYLG6J+&#10;t7H7/fffVzWDa+uV/2oGDVZ//evX81aS3XZ/iV+KNcQ8KOj3nesY8UJgvvQRYdk6v9olu+32jGKz&#10;sCHqdxu7cc2fP/tM12ug7iK8vfjCi4cdwzn7fvObVHlb4iW77f4S+zSFEGXVh3Y/ovvMLV9+jm6b&#10;lPZCH6xG30W0LyINkyZPVVhLDHNVoP9LUxqj3tjaI7vtLIhis/gn6vcodst1DQ3Jbru/GmrXYrr+&#10;rbd+q9mJvnqoS0a5Nx/lddwD90L5H/320K5INvvTI9ltt30UmyWPR/2eC7uffeZZ3Ze8fdu2at1V&#10;V6vPPv30sHK2xCch2W33l9iHYXb7gLm5bFg3iHbNbtfGthHZbfdJFJvFP1G/x2X3/n37VcuWLXSf&#10;kdqhw3X/gspgTqIvvvhLxnxCdtv9JX5hSPs0FQ2Q3XatR7FZdIHfK8rLdV899NeTbeX5qw7rIyjX&#10;mOGSxcv1uDiw+OOPPlLoi4K6SoyjMc8L7wu7b73l1lSciHvrt7fo66PG3rCPoN3PYfvyf9opKRog&#10;u+1ajcPuTO1C2fw/MKg3vHvHd1Oc3r9vn2bvI8H4x0zXCruj4ia77f7MZFP+RpslUQNkt1232dj9&#10;4Qcf6PHyGDNvbmvXXq0Z/H//+teMDL7u2htU+d/L7RivPH/+In3dr177Vcbr3v7d71Tnzp3Vfffe&#10;lxavpOHTP31ivZ7lbrufk5hnmWb6Ehogu+06yMbuqPyD+guUiZ968ikrQ+U69Pmu6ttPnytl6FUr&#10;v5HxGly7cuWF+po/f5a9XVPiQkh22/1s2oj7tFGSNEB22/VaX3a//957mq3HHHO0+sYFq1Jj3WXM&#10;uxmuu3q97mfSJ5hTfMXyFRnPvWTNZQrjdMD5S9esycr4sAbJbrufw3bi/7RTUjRAdtu1Wl92w+/v&#10;/P736oYNN6ozzpis56bC/FTt29fNOzg4WC8M/2fbBtfUBvOyHal6lZamzj3v3PPV448/mTO3kSay&#10;2+7npORTppP+C2uA7LZroiHsDtsY///g0cd0mRlzLmfrx/37AwfUKaeMUc2bN1fYt90v12Nkt93P&#10;udqR59OOhaIBstuuxXyzG/6+9ZYtqkfPnprhixcuVA/u2qUe2b07taHfydzZc/TvXbt2VQ89+HBe&#10;uI24yW67nwslHzId9E+uGiC77ZrJxm70I3kjmIde+nXbwh8/82OFPnvmNn/uAtWnolL3FTnppBNV&#10;q1YnpG1dunRRVZV91YVBXbl5HfZ/+vzzGePbu/fXkawnu+1+zjW/8HzasVA0QHbbtZiN3X/8+L/V&#10;oKDuWvqIFEKItdqidEV22/0cZS8ep70KXQNkt12jjcHu7p06q95BOVu2sqCepCHvALLb7stCz4NM&#10;H/1WHw2Q3XbdZGN3eHwj1lbFHGvmhnkxhcXVVVXq9JEjU1v7Nm3UrNHj1PLKHqlt8bBhQfvk8alz&#10;cL5cjxBrQpn3xz6OmeeYc32bemC52+5n00bcp42SpAGy267XbOx+6cX/0OtGCjdtPscaVvJ7mNMo&#10;a4ePgd0oi5s8l+sRYu63cDxPP/1sKg6cg3r38Dn4n+y2+9lmKx6jrZKgAbLbrtMwu9/cvz+1LhnW&#10;izfXicfc8zZfNwa7ES/maBbGd2jXXu1+cHcqrW//7n/rtJHddj/b/MZjtFUSNEB223UaZvea1Zem&#10;+CiclHDv3n1e2Q2dYR1ASY8ZYhwnfie77X5OQh5lGuk7mwbIbrsu4rC7JuhngjoLm11xrLHK3Yjr&#10;ySd/qNecOuqoZmkMJ7vt/o3yGY/TXknRANlt12omdmNsJNaVyubjxmS3mZYpU6en+E122/1r2ov7&#10;tFESNUB223Wbid1YBzCOr32x24yX7Lb7N47/eA5tV8gaILvt+iS7d8R6PxWytpk2u7Zpl+KwC9lt&#10;9yPZTXaTcfa8QbsUhl3IbrsfyG6ym4yy5w3apTDsQnbb/UB2k91klD1v0C6FYRey2+4HspvsJqPs&#10;eYN2KQy7kN12P5DdZDcZZc8btEth2IXstvvh/wTr1bz66qupvhbmuMok9hH80yd/1OPkP/rwg9Qz&#10;hfMg+hPKmMw7t5PdYfvwf3teoV382IXsjmf3pLM7Tv4iu+NpIY4teQ5t6VoDZHc8jZHd8ezkWq+8&#10;P/1ADdRpgOyOlxfI7nh2Yr6inaiBxtFAU2P31Glnpep0sc5vXJ01BXYvXrgkZRvWdzdO/ourP55H&#10;f4Q10NTY/cILL6X41L59e7X9O3cGbZKvqb2/3qvef+899efPPrPyvNjY/d8ffagOHHhbP/fPf/4L&#10;tXz5ipRd0F75yiuvWe0Q1g//J1OoAT8aaGrsPnTokGoerJUg/Smiwv59+6mF8xcptN/t+M52VTt0&#10;eOqaNasvicU1c06o8Bo5+Vo3x5ZvzHhRlv7ePTvVt65er7Ce5cBgnbSoZ5bjVcGz2+7LY37yKO1O&#10;u9s00NTYDRts3XpHVn4Jx2yhbe0xm21Nhvpity392Y7FfTfZnpnHyBlqoHE00BTZDW396ZNPgnqC&#10;c/R6BVgTGOuWZWMafu/Xvzp2mdQXu/FsZeW9Yz0P1tvBVj2wRs2cNUd99NFHsZ+PebRx8ijtTDvb&#10;NNBU2W2zBY49//wLek1fjL/BGgZYi71jSYnmINZcABejrg0f98VuScfYceNT/MZzzJg5W+G58N1x&#10;4O0DsZ9D7seQDKEGCkcDZLc7X/hmN/OZO9/StrStbw2Q3e40SHa7s63vfMP46VvfGiC73WmQ7HZn&#10;W9/5hvHTt741QHa70yDZ7c62vvMN46dvfWuA7HanQbLbnW195xvGT9/61gDZ7U6DZLc72/rON4yf&#10;vvWtAbLbnQbJbne29Z1vGD9961sDZLc7DZLd7mzrO98wfvrWtwbIbncaJLvd2dZ3vmH89K1vDZDd&#10;7jRIdruzre98w/jpW98aILvdaZDsdmdb3/mG8dO3vjVAdrvTINntzra+8w3jp299a4DsdqdBstud&#10;bX3nG8ZP3/rWANntToNktzvb+s43jJ++9a0BstudBslud7b1nW8YP33rWwNktzsNkt3ubOs73zB+&#10;+ta3Bshudxoku93Z1ne+Yfz0rW8NkN3uNEh2u7Ot73zD+Olb3xogu91pkOx2Z1vf+Ybx07e+NUB2&#10;u9Mg2e3Otr7zDeOnb31rgOx2p0Gy251tfecbxk/f+tYA2e1Og2S3O9v6zjeMn771rQGy250GyW53&#10;tvWdbxg/fetbA2S3Ow2S3e5s6zvfMH761rcGyG53GiS73dnWd75h/PStbw2Q3e40SHa7s63vfMP4&#10;6VvfGiC73WmQ7HZnW9/5hvHTt741QHa70yDZ7c62vvMN46dvfWuA7HanQbLbnW195xvGT9/61gDZ&#10;7U6DZLc72/rON4yfvvWtAbLbnQbJbne29Z1vGD9961sDZLc7DZLd7mzrO98wfvrWtwbIbncaJLvd&#10;2dZ3vmH89K1vDZDd7jRIdruzre98w/jpW98aILvdaZDsdmdb3/mG8dO3vjVAdrvTINntzra+8w3j&#10;p299a4DsdqdBstudbX3nG8ZP3/rWANntToNktzvb+s43jJ++9a0BstudBslud7b1nW8YP33rWwNk&#10;tzsNkt3ubOs73zB++ta3Bshudxoku93Z1ne+Yfz0rW8NkN3uNEh2u7Ot73zD+Olb3xogu91pkOx2&#10;Z1vf+Ybx07e+NUB2u9Mg2e3Otr7zDeOnb31rgOx2p0Gy251tfecbxk/f+tYA2e1Og2S3O9v6zjeM&#10;n771rQGy250GyW53tvWdbxg/fetbA2S3Ow2S3e5s6zvfMH761rcGyG53GiS73dnWd75h/PStbw2Q&#10;3e40SHa7s63vfMP46VvfGiC73WmQ7HZnW9/5hvHTt741QHa70yDZ7c62vvMN46dvfWuA7HanQbLb&#10;nW195xvGT9/61gDZ7U6DZLc72/rON4yfvvWtAbLbnQbJbne29Z1vGD9961sDZLc7DZLd7mzrO98w&#10;fvrWtwbIbncaJLvd2dZ3vmH89K1vDZDd7jRIdruzre98w/jpW98aILvdaZDsdmdb3/mG8dO3vjVA&#10;drvTINntzra+8w3jp299a4DsdqdBstudbX3nG8ZP3/rWANntToNktzvb+s43jJ++9a0BstudBslu&#10;d7b1nW8YP33rWwNktzsNkt3ubOs73zB++ta3Bshudxoku93Z1ne+Yfz0rW8NkN3uNEh2u7Ot73zD&#10;+Olb3xogu91pkOx2Z1vf+Ybx07e+NUB2u9Mg2e3Otr7zDeOnb31rgOx2p0Gy251tfecbxk/f+tYA&#10;2e1Og2S3O9v6zjeMn771rQGy250GyW53tvWdbxg/fetbA2R3/jX4p08+UQfePqBmzJytjjzyH/Q2&#10;a/Q4tbyyR2rr3aWLCh9bPGyY6t6pc+ocnC/XI1y27By1d+8+9elnnynfumH8+dcNbUqb5qIBsjs/&#10;ejl48D21ZvUlqqysPI23wt4wp+vDbrkXQsSD+HLxNc/Nj69pR9qxEDRAdjdMh6/88lXN0DZt2liZ&#10;Dc5W9CpT80eNTStPx2X3+OEjVIe27SLv3bxFczVx4plk+P9rmB8LIS8yDfRhLhogu3PXy4cffqi2&#10;b79b1dQMiWTqCS1aqvIuXVWfzl31OWZ9Cfbjshvl9RNPOEGf3zO41/HHHmuN86ijmqnqgTVq/TUb&#10;1DvvvEOWk+XUQJFrgOzOjd2opzDrLsL7Z44YqVBvbbIa55j/58pucF6uX9a/XJfhB1f2jUwHOP6j&#10;Hz3DvFvkeTeXMhrPzS2fJ8FeZHc8nx78w0FVO3R4Gi+bNz9el61Hl3ZTS2oGqGVVpSnGCmsR5pPd&#10;5n2XVleo+UMGqkFdO+k2zvB7BOnFN0ISdMg0xtMh7UQ7iQbI7nhaKCvvncZtlIWXDii3strkq0t2&#10;h+ORfiphhr/yymvkN8vg1ECRaYDszs5utAWaPDx95EiFuoswO6P+d1XutsW3aPAA1aFDh7T0oj1T&#10;3tUMs/ubNqKNkqABsjuzTqdMnZ7GwfG9y2IzW9jamOxGnKhLGVJWmpbuxx9/ivwusnJXEvjCNGbm&#10;S0PsQ3ZH2/bNN99K49+MMenja4TN2cLGZjfSg+8Cs/yNPowN0QmvjdYJbUPb+NAA2R2tu127Hkyx&#10;GxyMW78dZrkPdiMN6F+IuGXzoS/GGa0v2oa2aYgGyO5o/WzcuDnFvemnpI+tCfM50/++2I2yt3Ab&#10;4aOPPs6yN+tNqIEi0QDZHc1umUuqdkD1YX22M7E6/NvsoK5lWU0/XQ+Nsju2xbVD1JLB1Xpfji0b&#10;1FctHlqbdkyfM6Qm5zp2ScOCUaNT4zLxHdGQ9zyvjdYKbUPbNLYGyO5ozQm7UWYFe4WHSQrNehOy&#10;O9rXjZ3vGB990VANkN3RGjLZjfHo82oGJobfy6p6qIkDBqTVmZDd0b5uaD7i9bRtY2uA7I7WnMlu&#10;qTdOCr9HlJelcRvpJ7ujfd3Y+Y7x0RcN1QDZHa0hsE6Y3alDR1XZuYs6qXVr1Tfoc7J4QEVBlsHn&#10;Vlfq+a9at2ypxhtj+Js1O0IdOnSI9d1F0k7V0HzP66PzfVJsQ3ZH+/BgMCe3sBvh6Nqh6qyhQ/Ux&#10;zGWCuuRCqQdfOPIUhfGeSCf6M84fOSYt7RjTnxRNMp3RmqRtaBvRANmdWQsjAyaa/J4b9A8BJ9sb&#10;83XPDPpy+Gq/xLtjvDEXbVnXrrqfSrjOZOIZk8hulrmpgSLSANmdmd2oZxg7bnyK3ye0aKFG9uqh&#10;FtVUq+kDqnT9Scc2bRXK4eBmVVDmxfGF6P8XjE3PF9MxR+GSgZVBe+kANap7J1VVUqK6BhveK6Ul&#10;ndWIHt10W+q8Qf1Tc4bLO4djKjP7WMoxDGmnJGmA7I6n15FB2VpYiBDlbnMtnCW1NQpj5oWn5rmn&#10;DR+p61dQx4K5/sLze5t8x3ga/L4gmAcc5+OeIwbVpMWNe1dXVen4pc4GIc4148U+1kZjPXc8Hycp&#10;3zKt9CnZHU8DO3fep5od+Y+HsREMXVQ7OFW+RvkYdSpTA9bjtzBLG/I/6rNnjR6r8J4weT97xChr&#10;PEcffZR69dVf8Tu5iL6Tyex4+bUp2Inszq6Ft976rerevW4NhSj2ov83+qGM7tlFr4ewdEDvFF+X&#10;DqxSCwYP1NuMQUH5ONgGl5yk+rdpcdg2pkcn/fvsoG4E12BO16VGn5Ylg6oUfqvp3EGv+2DWu9vS&#10;hvqSPXueI7/Jb2qgyDRAdmdmN/qaYP5r4SJYuXjYUFWbYc0xORflbpSVZwdlZdSDhMvLZtk5vI/y&#10;O65BGf7soO5E+pDIvaPCs4K1iW11J02hHMJnzKxl2qe47EN2R/vzq6/+psz1csDtOX8vA2PcItY5&#10;Q7tkZUlHaz13FF9xn+6dOkduUdeFj6N9FOX9gSefrNspzbbR04J5xs3zUV/PvBvta9qGtkmaBsju&#10;aM0+/fSzafzL1MaIcjPaC2cF8w3mu57bZDD2UQafF5THw2X18P+TTvm6jzfWH06aNpneaG3SNrQN&#10;2R2tAXNcJcblhNmY6X+UydFPZHqw9avok/YOCLM42//jhg3X90K/FrNsnSl+/Ib6FvPeqP9hno/2&#10;N21D2yRJA2R3tF5lPpMObdvpOutsrMz2O7iLPtpofywN2jXRF0XaMBGCs5Xt26mlwVywOC9q3fls&#10;8Zi/o26mRVC3gnvjXZQkbTKt0dqkbWgbsjtaA8Ju1E+bPMzHPtaZl7ZM1IFIWyT6nuTj/nIPlNWl&#10;7E12R/uaLKRtkqYBsjtas8LuZkceoeYFdR/Cw3yEYLcw1QzzzW6z7p3sjvZ10vIt00tfkt3RGhB2&#10;g63o04E5Qpb17ZUXhqPPNupFwtvSvrmvQ297lywKxmdijH7de6FuTBHZHe1rspC2SZoGyO5ozW7d&#10;ekeqbNy5c2e9P6xPVV7YbeNtvo5hDTXUc5vleeyT3dG+Tlq+ZXrpS7I7WgNmH8HjjztOty2edMIJ&#10;uk/1qWU9FeYeyRdv83EftHGeUtZLfyNUduumBhvjh4477li2UxbZuDryOzrvNgXbkN2Z/d/x73P1&#10;SRl2YTBuUdoVcQx9AFHvkQ/21vcemE9F6rVlXvFpg6rTyt0cm5PZz00hr/MZi0sDZHdmf5p13mA1&#10;5iwBYzH2XHiOfigYh57LmPf6clquQ/9B9CExx9/oNReGDtHzd4fnM2S+zexn2of2SZoGyO7smgW/&#10;UecgrEYb4JTKcl3exvqVGJOOseko83btWKL5PrhTez2nFPptLwnqMurbVxt9whcF1yMePV94+5MU&#10;+qic0KKlHodf3qVrMHd3l7o5qwb2UWPLe6WtC4E0r1hxAetLWF9CDRSZBsju7OzG+3jN6ktS7BaG&#10;o54CfQdNLmOsOupUwHE5zwwxFzd+nzTqFD1WEmMvze3MYLwOfre1NeI+KOOjnmbRsNpUPQ34jmNm&#10;PLKP907SyhNMbzxN0k5N205kd3z/z5g528pHtAli/LnUZyBEOyaOgcsTgxD1GcLTXEKMxQfn8Y7A&#10;fCrmewLzp+B4uH5E7o/0Mn/H9y9tRVslSQNkd256ff31N1RtsP465nYSRkqIsnbvoD68bzCufXr/&#10;Pnq8e93Y9p4pri/t17uuT3dQD2KOh5d96e9t9vPGPuZHmT9koBobzA9eFdTL9Px7n0WJ2wxrgvUr&#10;kc4k6ZBpzU2HtBftRXbXTwMHg3mdJk488zB+mww191F+Rl0I2jRRFseaZihHhzfUueD36cF8hDg/&#10;l/I60nPg7QNkdpHVa5LT9cujxW43srthusB4FzDTVg432e1yH2tSctxNw/xY7Pmcz1d8+iC78+NT&#10;rOeLeorNm7eqcaeepqoH1qhWrVvFLpfHYTvWL8NaELj/s8/+q46P6wjnx39kG+2YNA2Q3e41izLx&#10;2iuuUsuWnaMGVA/Sm7mOmslt8FnOQVsj+rewTO3eR0nLt0wvNUF2UwPkADVADSRPA2R38nzGfEaf&#10;UQPUANlNDZAD1AA1kDwNkN3J8xnzGX1GDVADZDc1QA5QA9RA8jRAdifPZ8xn9Bk1QA2Q3dQAOUAN&#10;UAPJ0wDZnTyfMZ/RZ9QANUB2UwPkADVADSRPA2R38nzGfEafUQPUANlNDZAD1AA1kDwNkN3J8xnz&#10;GX1GDVADZDc1QA5QA9RA8jRAdifPZ8xn9Bk1QA2Q3dQAOUANUAPJ0wDZnTyfMZ/RZ9QANVAfdss1&#10;DLsp2oA2oAaoAZ8aiPMe95k+xs38QQ1QA9TA4RqIw26ew+80aoAaoAaoAWqAGqAGqAFqgBqgBqgB&#10;aoAaoAaoAWqAGqAGqIGkaeB4pVTrYMNfi2DD/v8HAAD//wMAUEsDBBQABgAIAAAAIQC+aX+V3gAA&#10;AAcBAAAPAAAAZHJzL2Rvd25yZXYueG1sTI5BS8NAEIXvgv9hGcGb3aTRWNJsSinqqQi2gvS2zU6T&#10;0OxsyG6T9N87nuzpMe893nz5arKtGLD3jSMF8SwCgVQ601Cl4Hv//rQA4YMmo1tHqOCKHlbF/V2u&#10;M+NG+sJhFyrBI+QzraAOocuk9GWNVvuZ65A4O7ne6sBnX0nT65HHbSvnUZRKqxviD7XucFNjed5d&#10;rIKPUY/rJH4btufT5nrYv3z+bGNU6vFhWi9BBJzCfxn+8BkdCmY6ugsZL1oFCffYnbNymqRpCuKo&#10;4Pl1kYAscnnLX/wC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JSp&#10;wexKBAAA4AwAAA4AAAAAAAAAAAAAAAAAPAIAAGRycy9lMm9Eb2MueG1sUEsBAi0AFAAGAAgAAAAh&#10;AGhYkU9cagAAtA8KABQAAAAAAAAAAAAAAAAAsgYAAGRycy9tZWRpYS9pbWFnZTEuZW1mUEsBAi0A&#10;FAAGAAgAAAAhAL5pf5XeAAAABwEAAA8AAAAAAAAAAAAAAAAAQHEAAGRycy9kb3ducmV2LnhtbFBL&#10;AQItABQABgAIAAAAIQCOIglCugAAACEBAAAZAAAAAAAAAAAAAAAAAEtyAABkcnMvX3JlbHMvZTJv&#10;RG9jLnhtbC5yZWxzUEsFBgAAAAAGAAYAfAEAADxzAAAAAA==&#10;">
                      <v:group id="그룹 67" o:spid="_x0000_s1093" style="position:absolute;width:23263;height:29591" coordsize="23263,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094" type="#_x0000_t75" style="position:absolute;width:23202;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57" o:title=""/>
                        </v:shape>
                        <v:shape id="Text Box 66" o:spid="_x0000_s1095" type="#_x0000_t202" style="position:absolute;left:16065;top:28130;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4AA704EA"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B</w:t>
                                </w:r>
                              </w:p>
                            </w:txbxContent>
                          </v:textbox>
                        </v:shape>
                      </v:group>
                      <v:shape id="Text Box 111" o:spid="_x0000_s1096" type="#_x0000_t202" style="position:absolute;left:12192;top:16243;width:9054;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02A35743" w14:textId="637C7DD0" w:rsidR="006D7011" w:rsidRPr="0031277A" w:rsidRDefault="006D7011">
                              <w:pPr>
                                <w:rPr>
                                  <w:rFonts w:asciiTheme="majorBidi" w:hAnsiTheme="majorBidi" w:cstheme="majorBidi"/>
                                  <w:b/>
                                  <w:bCs/>
                                  <w:sz w:val="15"/>
                                  <w:szCs w:val="15"/>
                                </w:rPr>
                              </w:pPr>
                              <w:r w:rsidRPr="0031277A">
                                <w:rPr>
                                  <w:rFonts w:ascii="Times New Roman" w:eastAsia="Times New Roman" w:hAnsi="Times New Roman" w:cs="Times New Roman"/>
                                  <w:b/>
                                  <w:bCs/>
                                  <w:sz w:val="15"/>
                                  <w:szCs w:val="15"/>
                                  <w:lang w:val="pl-PL"/>
                                </w:rPr>
                                <w:t xml:space="preserve">EXP: </w:t>
                              </w:r>
                              <w:r w:rsidRPr="0031277A">
                                <w:rPr>
                                  <w:rFonts w:ascii="Times New Roman" w:eastAsia="Times New Roman" w:hAnsi="Times New Roman" w:cs="Times New Roman"/>
                                  <w:sz w:val="15"/>
                                  <w:szCs w:val="15"/>
                                  <w:lang w:val="pl-PL"/>
                                </w:rPr>
                                <w:t>MIESIĄC ROK</w:t>
                              </w:r>
                            </w:p>
                          </w:txbxContent>
                        </v:textbox>
                      </v:shape>
                      <w10:wrap type="square"/>
                    </v:group>
                  </w:pict>
                </mc:Fallback>
              </mc:AlternateContent>
            </w:r>
          </w:p>
          <w:p w14:paraId="73BC3C7B"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Sprawdzić ampułko-strzykawkę</w:t>
            </w:r>
          </w:p>
          <w:p w14:paraId="176923D0" w14:textId="77777777" w:rsidR="002E5800" w:rsidRPr="008F328C" w:rsidRDefault="002E5800">
            <w:pPr>
              <w:pStyle w:val="a3"/>
              <w:numPr>
                <w:ilvl w:val="0"/>
                <w:numId w:val="0"/>
              </w:numPr>
              <w:ind w:left="471"/>
              <w:rPr>
                <w:b/>
                <w:highlight w:val="lightGray"/>
                <w:lang w:val="pl-PL"/>
              </w:rPr>
            </w:pPr>
          </w:p>
          <w:p w14:paraId="378F900B" w14:textId="77777777" w:rsidR="002E5800" w:rsidRPr="008F328C" w:rsidRDefault="000E0B7C">
            <w:pPr>
              <w:pStyle w:val="a3"/>
              <w:ind w:left="4297" w:hanging="180"/>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Upewnić się, że zawiera ona odpowiedni lek (Yuflyma) i dawkę. </w:t>
            </w:r>
          </w:p>
          <w:p w14:paraId="1995D9A7" w14:textId="77777777" w:rsidR="002E5800" w:rsidRPr="008F328C" w:rsidRDefault="000E0B7C">
            <w:pPr>
              <w:pStyle w:val="a3"/>
              <w:ind w:left="4297" w:hanging="180"/>
              <w:rPr>
                <w:highlight w:val="lightGray"/>
                <w:lang w:val="pl-PL" w:eastAsia="ko-KR"/>
              </w:rPr>
            </w:pPr>
            <w:r w:rsidRPr="008F328C">
              <w:rPr>
                <w:rFonts w:eastAsia="Times New Roman"/>
                <w:b/>
                <w:bCs/>
                <w:highlight w:val="lightGray"/>
                <w:lang w:val="pl-PL" w:eastAsia="ko-KR"/>
              </w:rPr>
              <w:t>b.</w:t>
            </w:r>
            <w:r w:rsidRPr="008F328C">
              <w:rPr>
                <w:rFonts w:eastAsia="Times New Roman"/>
                <w:highlight w:val="lightGray"/>
                <w:lang w:val="pl-PL" w:eastAsia="ko-KR"/>
              </w:rPr>
              <w:t xml:space="preserve"> Obejrzeć ampułko-strzykawkę i upewnić się, że nie jest pęknięta lub uszkodzona. </w:t>
            </w:r>
          </w:p>
          <w:p w14:paraId="24CBA579" w14:textId="77777777" w:rsidR="002E5800" w:rsidRPr="008F328C" w:rsidRDefault="000E0B7C">
            <w:pPr>
              <w:pStyle w:val="a3"/>
              <w:ind w:left="4297" w:hanging="180"/>
              <w:rPr>
                <w:highlight w:val="lightGray"/>
                <w:lang w:val="pl-PL" w:eastAsia="ko-KR"/>
              </w:rPr>
            </w:pPr>
            <w:r w:rsidRPr="008F328C">
              <w:rPr>
                <w:rFonts w:eastAsia="Times New Roman"/>
                <w:b/>
                <w:bCs/>
                <w:highlight w:val="lightGray"/>
                <w:lang w:val="pl-PL" w:eastAsia="ko-KR"/>
              </w:rPr>
              <w:t>c.</w:t>
            </w:r>
            <w:r w:rsidRPr="008F328C">
              <w:rPr>
                <w:rFonts w:eastAsia="Times New Roman"/>
                <w:highlight w:val="lightGray"/>
                <w:lang w:val="pl-PL" w:eastAsia="ko-KR"/>
              </w:rPr>
              <w:t xml:space="preserve"> Sprawdzić termin ważności na etykiecie ampułko- strzykawki. </w:t>
            </w:r>
          </w:p>
          <w:p w14:paraId="3397E993" w14:textId="77777777" w:rsidR="002E5800" w:rsidRPr="008F328C" w:rsidRDefault="002E5800">
            <w:pPr>
              <w:spacing w:line="260" w:lineRule="exact"/>
              <w:rPr>
                <w:rFonts w:ascii="Times New Roman" w:hAnsi="Times New Roman" w:cs="Times New Roman"/>
                <w:sz w:val="26"/>
                <w:szCs w:val="26"/>
                <w:highlight w:val="lightGray"/>
                <w:lang w:val="pl-PL"/>
              </w:rPr>
            </w:pPr>
          </w:p>
          <w:p w14:paraId="65E88557" w14:textId="3F647BF1" w:rsidR="002E5800" w:rsidRPr="008F328C" w:rsidRDefault="000E0B7C">
            <w:pPr>
              <w:pStyle w:val="a3"/>
              <w:numPr>
                <w:ilvl w:val="0"/>
                <w:numId w:val="0"/>
              </w:numPr>
              <w:rPr>
                <w:highlight w:val="lightGray"/>
                <w:lang w:val="pl-PL" w:eastAsia="ko-KR"/>
              </w:rPr>
            </w:pPr>
            <w:r w:rsidRPr="008F328C">
              <w:rPr>
                <w:rFonts w:eastAsia="Times New Roman"/>
                <w:b/>
                <w:bCs/>
                <w:highlight w:val="lightGray"/>
                <w:lang w:val="pl-PL" w:eastAsia="ko-KR"/>
              </w:rPr>
              <w:t>Nie używać</w:t>
            </w:r>
            <w:r w:rsidRPr="008F328C">
              <w:rPr>
                <w:rFonts w:eastAsia="Times New Roman"/>
                <w:highlight w:val="lightGray"/>
                <w:lang w:val="pl-PL" w:eastAsia="ko-KR"/>
              </w:rPr>
              <w:t xml:space="preserve"> ampułko-strzykawki, jeżeli:</w:t>
            </w:r>
          </w:p>
          <w:p w14:paraId="24504BC0" w14:textId="77777777" w:rsidR="002E5800" w:rsidRPr="008F328C" w:rsidRDefault="000E0B7C">
            <w:pPr>
              <w:pStyle w:val="a3"/>
              <w:numPr>
                <w:ilvl w:val="2"/>
                <w:numId w:val="39"/>
              </w:numPr>
              <w:rPr>
                <w:sz w:val="26"/>
                <w:szCs w:val="26"/>
                <w:highlight w:val="lightGray"/>
                <w:lang w:val="pl-PL"/>
              </w:rPr>
            </w:pPr>
            <w:r w:rsidRPr="008F328C">
              <w:rPr>
                <w:rFonts w:eastAsia="Times New Roman"/>
                <w:highlight w:val="lightGray"/>
                <w:lang w:val="pl-PL" w:eastAsia="ko-KR"/>
              </w:rPr>
              <w:t xml:space="preserve">jest pęknięta lub uszkodzona. </w:t>
            </w:r>
          </w:p>
          <w:p w14:paraId="01201DDA" w14:textId="77777777" w:rsidR="002E5800" w:rsidRPr="008F328C" w:rsidRDefault="000E0B7C">
            <w:pPr>
              <w:pStyle w:val="a3"/>
              <w:numPr>
                <w:ilvl w:val="2"/>
                <w:numId w:val="39"/>
              </w:numPr>
              <w:rPr>
                <w:rFonts w:eastAsia="Times New Roman"/>
                <w:highlight w:val="lightGray"/>
                <w:lang w:val="pl-PL" w:eastAsia="ko-KR"/>
              </w:rPr>
            </w:pPr>
            <w:r w:rsidRPr="008F328C">
              <w:rPr>
                <w:rFonts w:eastAsia="Times New Roman"/>
                <w:highlight w:val="lightGray"/>
                <w:lang w:val="pl-PL" w:eastAsia="ko-KR"/>
              </w:rPr>
              <w:t xml:space="preserve">upłynął termin ważności. </w:t>
            </w:r>
          </w:p>
          <w:p w14:paraId="3776C2DE" w14:textId="26A53CA9" w:rsidR="009278CA" w:rsidRPr="008F328C" w:rsidRDefault="009278CA">
            <w:pPr>
              <w:pStyle w:val="a3"/>
              <w:numPr>
                <w:ilvl w:val="2"/>
                <w:numId w:val="39"/>
              </w:numPr>
              <w:rPr>
                <w:sz w:val="26"/>
                <w:szCs w:val="26"/>
                <w:lang w:val="pl-PL"/>
              </w:rPr>
            </w:pPr>
            <w:r w:rsidRPr="008F328C">
              <w:rPr>
                <w:rFonts w:eastAsia="Times New Roman"/>
                <w:highlight w:val="lightGray"/>
                <w:lang w:val="pl-PL" w:eastAsia="ko-KR"/>
              </w:rPr>
              <w:t>została upuszczona na twardą powierzchnię.</w:t>
            </w:r>
          </w:p>
        </w:tc>
      </w:tr>
      <w:tr w:rsidR="002E5800" w:rsidRPr="008F328C" w14:paraId="6F6AF63F" w14:textId="77777777">
        <w:trPr>
          <w:trHeight w:val="5521"/>
        </w:trPr>
        <w:tc>
          <w:tcPr>
            <w:tcW w:w="9550" w:type="dxa"/>
          </w:tcPr>
          <w:p w14:paraId="6DD78272" w14:textId="77777777" w:rsidR="002E5800" w:rsidRPr="008F328C" w:rsidRDefault="002E5800">
            <w:pPr>
              <w:spacing w:line="260" w:lineRule="exact"/>
              <w:rPr>
                <w:rFonts w:ascii="Times New Roman" w:hAnsi="Times New Roman" w:cs="Times New Roman"/>
                <w:sz w:val="26"/>
                <w:szCs w:val="26"/>
                <w:lang w:val="pl-PL"/>
              </w:rPr>
            </w:pPr>
          </w:p>
          <w:p w14:paraId="7FB43769" w14:textId="77777777" w:rsidR="002E5800" w:rsidRPr="008F328C" w:rsidRDefault="000E0B7C">
            <w:pPr>
              <w:spacing w:line="260" w:lineRule="exact"/>
              <w:rPr>
                <w:rFonts w:ascii="Times New Roman" w:hAnsi="Times New Roman" w:cs="Times New Roman"/>
                <w:sz w:val="26"/>
                <w:szCs w:val="26"/>
                <w:highlight w:val="lightGray"/>
                <w:lang w:val="pl-PL"/>
              </w:rPr>
            </w:pPr>
            <w:r w:rsidRPr="008F328C">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253" behindDoc="0" locked="0" layoutInCell="1" allowOverlap="1" wp14:anchorId="5872299A" wp14:editId="1AC87CB7">
                      <wp:simplePos x="0" y="0"/>
                      <wp:positionH relativeFrom="column">
                        <wp:posOffset>80645</wp:posOffset>
                      </wp:positionH>
                      <wp:positionV relativeFrom="paragraph">
                        <wp:posOffset>102870</wp:posOffset>
                      </wp:positionV>
                      <wp:extent cx="2230755" cy="2806700"/>
                      <wp:effectExtent l="0" t="0" r="0" b="0"/>
                      <wp:wrapSquare wrapText="bothSides"/>
                      <wp:docPr id="69" name="그룹 69"/>
                      <wp:cNvGraphicFramePr/>
                      <a:graphic xmlns:a="http://schemas.openxmlformats.org/drawingml/2006/main">
                        <a:graphicData uri="http://schemas.microsoft.com/office/word/2010/wordprocessingGroup">
                          <wpg:wgp>
                            <wpg:cNvGrpSpPr/>
                            <wpg:grpSpPr>
                              <a:xfrm>
                                <a:off x="0" y="0"/>
                                <a:ext cx="2230755" cy="2806700"/>
                                <a:chOff x="0" y="0"/>
                                <a:chExt cx="2231058" cy="2806700"/>
                              </a:xfrm>
                            </wpg:grpSpPr>
                            <pic:pic xmlns:pic="http://schemas.openxmlformats.org/drawingml/2006/picture">
                              <pic:nvPicPr>
                                <pic:cNvPr id="92" name="그림 9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230755" cy="2691765"/>
                                </a:xfrm>
                                <a:prstGeom prst="rect">
                                  <a:avLst/>
                                </a:prstGeom>
                                <a:noFill/>
                                <a:ln>
                                  <a:noFill/>
                                </a:ln>
                              </pic:spPr>
                            </pic:pic>
                            <wps:wsp>
                              <wps:cNvPr id="68" name="Text Box 68"/>
                              <wps:cNvSpPr txBox="1"/>
                              <wps:spPr>
                                <a:xfrm>
                                  <a:off x="1511300" y="2660650"/>
                                  <a:ext cx="719758" cy="146050"/>
                                </a:xfrm>
                                <a:prstGeom prst="rect">
                                  <a:avLst/>
                                </a:prstGeom>
                                <a:solidFill>
                                  <a:prstClr val="white"/>
                                </a:solidFill>
                                <a:ln>
                                  <a:noFill/>
                                </a:ln>
                              </wps:spPr>
                              <wps:txbx>
                                <w:txbxContent>
                                  <w:p w14:paraId="6541D83C"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72299A" id="그룹 69" o:spid="_x0000_s1097" style="position:absolute;margin-left:6.35pt;margin-top:8.1pt;width:175.65pt;height:221pt;z-index:251658253" coordsize="22310,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4PTJ1AwAAAggAAA4AAABkcnMvZTJvRG9jLnhtbJxV0W7bNhR9H7B/&#10;IPjeSHJruxGiFG7SBAXS1lgy9JmmKIuoRHIkbTn9oP7C9tAv6n5ih5QU106HLX2wfHl5eXnu4bnk&#10;2atd25CtsE5qVdDsJKVEKK5LqdYF/f3u6tlLSpxnqmSNVqKg98LRV+e//nLWmVxMdK2bUliCJMrl&#10;nSlo7b3Jk8TxWrTMnWgjFCYrbVvmMbTrpLSsQ/a2SSZpOks6bUtjNRfOwXvZT9LzmL+qBPcfqsoJ&#10;T5qCApuPXxu/q/BNzs9YvrbM1JIPMNhPoGiZVNj0IdUl84xsrHyUqpXcaqcrf8J1m+iqklzEGlBN&#10;lh5Vc231xsRa1nm3Ng80gdojnn46LX+/vbbm1iwtmOjMGlzEUahlV9k2/AMl2UXK7h8oEztPOJyT&#10;yfN0Pp1SwjE3eZnO5ulAKq/B/KN1vH6zX5mlU8jjaGUybpwcwDGS5/gNHMB6xMF/awWr/MYKOiRp&#10;/1eOltlPG/MMx2WYlyvZSH8fpYeDCaDUdin50vYD0Lm0RJYFPZ1QolgLyX/786+/v3wlcIDisCIE&#10;9UtYKOlG80+OKH1RM7UWC2cgWrRSiE4Ow+PwYL9VI82VbJpwTMEeKoPAjwTyA3J68V1qvmmF8n03&#10;WdGgSK1cLY2jxOaiXQlUY9+WERDLnbfC8zpsWGHj3wA2AP1uIqLcAwslOOiLrLp3ugQfbON17JWn&#10;62t2ms1n08jMqBJQaJ2/FrolwQBUIIrp2fbGDdjGkIBa6UAYMLO8UQcOFBE8EX9APJgoILQG7ic3&#10;8ovRI4af1IK3NTMCKEPavWZm6IZeM3ehv17rHYELUIew0KbE7+Af9BH8PdI9HUO3ZtMse45eJKEv&#10;Z7N0Nh36cuzceXY6H9svezFL+/mH7nsyr043shy1GAi/aCzZMty7XS29GA7tIOpf+N9XFSy/W+1i&#10;R72IBx9cK13egwmrcdyo0Bl+JbHhDXN+ySzubzjxJvkP+FSN7gqqB4uSWtvPP/KHeJwpZinp8B4U&#10;1P2xYeGyaN4qnHZ4PEbDjsZqNNSmvdAoNYtoookF1jejWVndfsRTtQi7YIopjr0K6kfzwvevEp46&#10;LhaLGNTfOTfq1uCmyqKoA7F3u4/MmkHuHuf5Xo96YvmR6vvYIHNnFmi8KxlbYs8iRB4G0Ha04kMD&#10;6+Al+34co/ZP9/k/AAAA//8DAFBLAwQUAAYACAAAACEAnUielMdnAAC8HQoAFAAAAGRycy9tZWRp&#10;YS9pbWFnZTEuZW1m7J0HmBVF1vdrv2/fV4IusuBiQscAElRyVgFxEBwySJCMBIFhBpgBJDNEAUHF&#10;FQmKCRV0UVEXQUDyii6wILLqiooLDsoSdBFc9X0/vz49Vk9NT3Xf6nO7+3Y4PE9Tffv2qXT+9Zu6&#10;1dVVv2GMZWoH/5fzG8a2agf/98NljGVfzVhaetuWjP2GbapYiv1f7UvhFv3WaRcw1vC3jHXXvtjO&#10;jX8Ntzb9L7b/3P9hHbXPt2j2/J85LX49V4tjm3Z00C5U0Y77tWPnlQV2aWwP49/Dd6N+vfc3LE37&#10;VHif/uHX/3755RdGB9UBaYA0QBogDZAGSAOkAdIAaYA0QBogDZAGSAOkAdIAaYA0QBogDZAGSAOk&#10;AdIAaYA0EEYNpF19HaOD6oA0QBogDQRHA07+lpDfguM38gX5gjRAGgANYBjuxIbupd+cpAHSAGnA&#10;fQ3wv+FO6hZj4yR+utd9P1OdUp2SBqKpAQyPMTakn2jqh/xKfiUNpFYDGB5jbMjPqfUz1T/VP2kg&#10;mhrA8BhjQ/qJpn7Ir+RX0kBqNYDhMcaG/JxaP1P9U/2TBqKpAQyPMTakn2jqh/xKfiUNpFYDGB5j&#10;bMjPqfUz1T/VP2kgmhrA8BhjQ/qJpn7Ir+RX0kBqNYDhMcaG/JxaP1P9U/2TBqKpAQyPMTakn2jq&#10;h/xKfiUNpFYDGB5jbMjPqfUz1T/VP2kgmhrA8BhjQ/qJpn7Ir+RX0kBqNYDhMcaG/JxaP1P9U/2T&#10;BqKpAQyPMTakn6L6WbPmNbZy5Yuog+qyaF1SfVB9xFkDGB5jbOJcx2LZFy16jF1ZsSK74ILfJnUs&#10;X77C0XrBYh7onJhHGoiOBjA8xtiQZn5hCxc+nBS3Re5XqFCBbdu2gzj+S3TaIrUR8iVGAxgeY2ww&#10;eYuaTY2atXSGly5Vih384ACKv106dTT+DkB//ty5c6h4ola3VB7iX1w1gOExxiau9cvLnZmZZbA3&#10;e8QINHfPn/ueVata1YgL/i7wNCgkjpEG4qcBDI8xNnHWVl7eTIO5pUuXYse+PJIUd997769GfDC+&#10;Mm/egqTii7NvqOzxY17UfI7hMcYmavXmpDxNmzY3mFvxyivZww//kT37zMqkjiuuvMKIs0+f/sRw&#10;GhcnDcRUAxgeY2ycMC9q95YsWcLg7bTJU9iunbvYBwc+0MbEC46F8x9kAwb0Nz7z6wP7D2RTJk0q&#10;dh2+T0u7xogzo007ar8xbb9RaytUHue/izA8xtjE2TfifJKd23cW4y1cy8ubWuz6nNlz2Qsvvljs&#10;OtRl9+69iOHEbak24tzW4lh2DI8xNnGsW15mM8N/+vFHdurUKeM49OEhdnvz5sZn/t2CBxeyRxc9&#10;alw/c/o0++H8eb3dZmeNNhhet14DasvEc9JATDWA4THGhvMsjqHI8H179rJjx75i69dvZKtfWqMf&#10;q1a9xG699Rb2/PMvGtfguymTJrPcnBzj2ppX1rL9+w/qbTU3ZywxPKZtNo5tiMpsPcaC4THGJq4+&#10;gPnbIsOhHj788O9s1qxZRQ5guPnasKH3sWHDhha5vnjxEmI4sZv63KQBQwMYHmNs4srwEydOFGP4&#10;nj37inAZ2K3KcLgX6pL64db9krhqjcodT01geIyxiau+iOHxbFdx1TuV23+9Y3iMsYmrb4nh/ms6&#10;rlqjcsdTaxgeY2ziqq9kGN6lc0dtzCS32LgL1OXMGXOMMZpatesaY2NxrWcqdzz5RX7/hWF4jLGJ&#10;a12rMrxL507FWN2xQwc2bsy4YtehLp979gWD4RWvuooYTs+4SAMx1QCGxxgbYnjBeuFQD7Jnmr17&#10;9irGamI49S3j2m6o3Orax/AYYxNXn4j9cFjvyg2Gw3xF6oerazyu2qNyx0MjGB5jbOKqpyNfHDHG&#10;PGrVrOkKw0+fPkUMj+nv5ri2Iyq39d8jDI8xNnH1waFDHxkMb9yoMTGc2Evj1qQBVzWA4THGhhj+&#10;W0YMt+5LxFUfVG7SRLIawPAYY5NsPsNq71U//OWXXjb69zQvhTgQ1vZB+U5euxgeY2zi6itVhvfq&#10;2VN5XgqMh//1vfcNhpco8d+u/jaLq6+o3MnzhOrQ/zrE8BhjE1ffqjJcNrcQ1sqaou0ZYV4LCxi+&#10;b9/fDIbDfXGtXyq3/8ygOg9WnWN4jLGJq9+TZfi0qcUZ/s033xDD6bkY/d0mDegawPAYY0MML3ym&#10;uVvb09jct7bqh8sYfuTIF8Rwar/EcNIAMdwHDezdWzjmMejeQXqdb92yLSmGHz58mBjug+/i2u+g&#10;cgdrrCSRPzB9aoxNonxE9ftdu941xq1HZo3UGb527RvEcGIw9aNJA65oAMNjjE1UGZ2oXF4x/Nsz&#10;p42/DfRMM1z9pkSaoe/Jn040gOExxsZJnqJ0r1cMhzoS93iDZ6dRqjcqC3GMNKCmAQyPMTZx9Ycq&#10;wzPual1sfAUYLXumCePhUJ/EcDWNx1V7VO546APDY4xNXPWkynDZfppWDP/4o4I+NzE8Hm00rm2H&#10;yq2mbwyPMTZx9QeW4VO1eeHA6Ly86cX653v37qN+OD0Po7Ez0oCuAQyPMTbE8N8yu3kp5n74pAkT&#10;dIab55HDZ2K4Wv8krpqjcsdLHxgeY2ziqqtt23YY49Yrli/X/27K5hYSw+PV7uLaHqjc7uscw2OM&#10;TVx9t27deoPhLz6/0lWG/6F8eSNumpfiftuIq2ap3OHSEobHGJu46sJLhsN65Py5JvT341rHVO5w&#10;MYf85a6/MDzG2MTVb94wfK/O65bpdxoM//Of3yKG0zMu0kAMNYDhMcaGGP5bZjeW0qVzZ9agfn0G&#10;4+JwwPl1111bbE4KPNPctXMXMTyGbTWubYjKbd9vx/AYYxNXP8j64W9v2CRls2wOiuzatm3biOHE&#10;cOpzkwZ0DWB4jLEhhhf2w/fs2UcMp/ZHDCYNuKIBDI8xNnFl+KBBQ4wxaz6WQgy3/20YV61QuUkX&#10;GA1geIyxweQtCjZ9+vQ3GM7L4xbDO3e624ibnmlS++f6ojBeWsDwGGMTV11ltGlncJbXQbIMf+WV&#10;V/XfYGNyxhpxv/DCKld+l/E8UhgvDpC/w+tvDI8xNnHViBcMX7bsCZ3Xc2bPNRi+dMkyYjiNr5IG&#10;YqgBDI8xNsTwwr3nk+2HE8PD22eKazugcnunWQyPMTZx9aGsH7579/tJzUshhnvXHuKqUyp3eDWF&#10;4THGJq4akTFctuaVbB641TVieHjbW1zbAZXbO81ieIyxiasPOcPT0q42xirdYvibb7xhjIfXqVvf&#10;iD+udU3l9o4TVLfBrVsMjzE2cdTAypUvsosuulDnbL8+vQzGJsvwhQsXGnGJaxeuW7fBuB7H+qYy&#10;B5cz5BvvfIPhMcYmjj68smJFo5/ctk0btmnjO2znjr+wRQ8vYsOG3oc+7hsymD337At6XLfd1txI&#10;o1v3e4jhMZyXEMe2RWUu/JuA4THGJm51/skn/zDYWrpUKbZq9Wr21lvr9WPKlKls2LCh6GPEiBHs&#10;lVdf1eOaMX2WkU7jJrcSw4nhpIGYaQDDY4xN3Bi+ceNmg61169Qp0q4WLVqc1LwUcSxl37597LLL&#10;LtPTSku7pkg6catzKm9h34zqIj51geExxiZumoKxcL4/A6zzLZZ/6dLlrjE8Pz+fVa1aTU+r4lVX&#10;FUlHTJPO49Omydfx8jWGxxibuOnKjuGLFy9JiuHz5s03WE0Mj1d7jVs7ovIm1jeGxxibuPnCjuFW&#10;875Vrz/wwFxieMzGPOPWfqi8idnN6wjDY4wNTy8uITFcXYNx0QSVkzThhQYwPMbYeJH3IMdpxfAf&#10;zp9PahwF+urUDycWBFn7lDd/9YnhMcYmbn61YvixY18Rw2kcxBgLi1u7oPK6z3cMjzE2cfOdFcM/&#10;/ugTYjgxnBhOGnBNAxgeY2zixvDZwtreE8ZPMvzlDsPnGPGd/Ne/WJ069fS5hSVLljCux62+qbzu&#10;9++oTsNRpxgeY2zipoe8vJnG/HDYq4GX3w2Gw5g4j+/M6dOsUeNbjLT4dQrD0f7IT+SnZDWA4THG&#10;Jtl8hs3eiuHr17+d9FgKMZzavVvtAdZngKN69RsZvCNmd8A9/P7OXboa/Qi38kLx4HSN4THGJm7+&#10;IYbj9Bg3nXhR3tWrXmYPLXyYzZiex/Lyphq/0fh7w16HTZs1YzNnzmCwPyDk5ejRY8R7D8f/MTzG&#10;2Hih1SDHSQwnhvulz3Fjx7Oq1aqziy8u4zuvVf8eQN4gj5BXv+olLulgeIyxiUt98nJaMfypp55x&#10;ZSzlm69P6G2BxsPj87fi/Llz7C9/2c3eWrdef44Na9OXuOC/AsttK75DniHv8CweyvLee39lUDbe&#10;dih0pmkMjzE2cfOLFcOfeGKFKwzfsWMXMdzD36dB0mtW1shA97GtWO30OvTVoaxBqvsw5AXDY4xN&#10;GOrCzTzmjB5j9I8W/3GxoUtiuLM+hps+CVtcTZvdzkqVKmnoyCkTw3o/lBnKfvLkSaPdhM13fuYX&#10;w2OMjZ9lCkJagwYNMdrezu07DS3Onv0A9cNj0n92qsPDnx5m67SxBZj/UaLEfxv6cYPFpUuXYtdX&#10;qsSqVqnCataowerVq1tw1K/PGjSoz2677VbWu1dP2yM9PV2/F+6vV6+ebg9xwVG5ciVWpszvXM0z&#10;1AHUxeDBQxnUjdP6jMv9GB5jbOJSn7ycVgxXXZsw0X18LOWnH39kLe9sbbQdeD+U54HCcPT5J06c&#10;4jqzmzRqwO7p0ZXljBrJpkyayObNm+vbMXniBJY5fBhLv6OFoUs3/g4B06GuSNdFdY3hMcYmbvXu&#10;NcPfeHOdoeWMjLZGWyGGF9V30HWXlpZm+C4ZzkEfGJgN7Jw5fapvvE70t2HuA7P1vyH3DujLrrji&#10;iqTLCs9Doc5gzmLQfetX/jA8xtj4VZ6gpCNj+LGjR10ZR4E++osvrjY0TAwPD7fz84+zoUOHs+uv&#10;r4TmWfly5VgNbfyidu3a7J57umvPAYez+8eNZePHB/8YOzaX3TdkCOvYoT2rVbMmu+7669H1AHX4&#10;9oZNDOo0KO0+FfnA8Bhjk4qypTJNGcOPfHGEGB7jsfC27TokNRewfPnybExuDsvOymLZ2RE6tPL0&#10;79cH3U+HvjnUbSrbeyrTxvAYY5PKMqYibZHhTyx/kh368BDbsGEjGzdmnCvHgvkL9DghXnG9FBpL&#10;CVafHJ7FtWnb3jG7Yez35ptqaLweya679lq9r9rqzjsDM0aSaAwF+/3MGdNZ5Uq4vjmwvGOnLrF7&#10;/onhMcYmFRxNZZrdut9j/EasU7seg32Re3S7R/sN2cGdo317PU6It0KFCkZaxPBgMHz//gNF/OJk&#10;rLtZ02bs0MGDRr+ygTYHBOzjwPAFCx5kdbQxIihv7qgcNnLECFbhkj8Y+latR2gTcZmbiOExxiaV&#10;PE1F2hlt2hm64+m///4e18ZSHhXmnNN4eDC4zf28b99+fe0oVd6Y73tTeF4NcXKG33LLLdoaKNOj&#10;NY5iGhOaNm2K9v5mLb3tLF2y1Pg71q93H6M9mevL6jOs3wW+4H6JaojhMcYmqvVnVS4Zw7ds2U4M&#10;j/B4OPT7Wt/VxvG4iZlBVgxvcfvtbPacWdqzy3GheH6JecY6Z85sKcOhndWtW9cxx2F8Bcayotwn&#10;x/AYY2PFuqhelzF8g/YMPdG8b9XvH3pokdG/oH546vvhderWd8QX6CPee+9gqY0Vw+M2liL2w4ET&#10;jRo2lNaX+W+g1WfwURR5g+ExxiaKdWdXJq8ZDqzn6XfqdLehbVinhV+n0B+2i+9YWfGDX4d+IbDk&#10;+PGvdT/x62JIDC8YD1dheBltjRWoU7H+7M7BV1FrFxgeY2yiVm+JyiNj+Jo1a13rh4sMz80Za2h4&#10;4MAhkdNoorpOxfffffcdmzf/IeVx77K/L8tWrXqJffvtt0X8I+ONFcMbN2qkj4fDezxRPWDNc9l4&#10;OPhY1g+Hv4cw9ycn534GdSyrT/M1+A301lsbGLzjnArtuJ0mhscYG7fzHfT4ZAxf/dIaYnhExsMr&#10;VaqsxAvgxwvPW69/YOYLfLZiOI2lFB9LMY+PwFpZsjqVXQMfBp0jKvnD8Bhjo5KXKN3TqnWGoSUo&#10;188//8ye19qy6ni3yn2fHf5M1yD1w/0ZMwE/wl7XsPa1jAniNbhn8uS8hIwQbfg5MVx9LMXMcPDR&#10;N998w7r36KnsJ/BpmNmD4THGJsx1hMl73XoN9HaedvXVDNYt3LZ1O3t44SNs0oQJrh1r1rymx92l&#10;SzeDKTSW4h3P4V1Azlm7ENZOVdWMLB4rhjdv2jTy7/gsWLDA8ViKVV3DGIvq+o9hfs8Tw2OMjVU9&#10;R/U6Z7isjXp5jRjuPsPh+aPq2lQPPrhAmd+gfZkWrBgO48ErVqyINMeXLn1cW0elhl4vKs80Zf1w&#10;M1Ng/FtWz+Zr4GOzbRg+Y3iMsQlDXbiZxy53F/aNy/zuIjZ8WCZb+OBDro2lzJgxg819YB5LT29V&#10;pK+xfPmKUOrQzbp3M65XX32d1apVJyED7spooz8nc5q2mSPw2Y7hEP/fDx1i+/fv9/R45qmn2PRp&#10;09ikiRO1/ZUXsh3bt3ua3gHtvdaPP/47++H8edcZDnU2bdpMpfdmwddh28MZw2OMjVNth/X+des2&#10;6HPHbrzxpoTtXtZ+k7lWrnw5PW3omzRt2pydoz0Kk/p7dnONmko+bNzkVnQ6Mn8nYrjXbeO+QQOL&#10;lTvtqqvZOxs3osvpJM9u98PFtGvXKVi3QFbv/BrMVQzT2AqGxxgbsR6jev7JJ/9gMF+VayHV4aJF&#10;f/SlzUXRn7A+rIr/YA/IZMovSyOVDB+qrQsryxO/9sSy5UmVV6WuvGQ4pA8+4+WxC8Pynj6Gxxgb&#10;Fd+F/Z70lq2UtGGnG7e/e3TRo563ubD7Tcz/P/7xKYN5oYneG0lLu4YdO/ZV0nUr83cqGP7tmVPa&#10;b7fbDP1W0tb17tdvAIMx6btat2KwlxvkFebbrH1tbdLlFuvcfO41wyG9XbveZVdWrGiUV+YHeDb9&#10;zjtbPS2rueyYzxgeY2wweQuTDawXyHUAep9w//1snjZeLR65o8ey7BHZrh1i3OL53V27G3mBPGVm&#10;ZgVeh0Hw9d49+9jll19epO64T8XQybyTROUS4+XnqWD4vQP6G+WG/THN+X70kUeM70trbDvxdcF7&#10;pub73PjsB8MhnzDuDb7k9W4VDhkytFh9uFFOt+LA8Bhj41Z+gxgP7O0g/j6bOWMm+1rT+PHjx5WO&#10;Lz7/POF9x44dTXgPT++jv/+9yJri0Gf8n//530DrMJV+zf8qn8FvqJIlSyRsz09pz/rczKuMG34z&#10;/CltrgvvZ8O+Op8dLr7/MLzfMGvGbAb8hjxXr16d/fPIEVfrgterXwyH9M5rz4yeeeZZW7/D/MSe&#10;vfrq9/I8BinE8BhjE6Qyu52XqlWrGRoorz1X/OCDg2z+g/OV5oDl5IzWbWHte6t18/v26c0aN25k&#10;+b3Z7qGHFrBl2m9gkQ+bN2/xpL25XZd+xwfPoMX118U6M597kTdzGvDZT4ZvfWeLoRPg+K7tO2x1&#10;svbVNcb9sM65F3XiJ8N5/mF/TpkvxGvQZwfmc5ughBgeY2yCUl638/HtmTNFfA9jGnu03+Rmrso+&#10;w36x1113rW4/bepkSxvY6xa0NGpktuU95vihnBWF8b758x8MnPbc9oXT+HJGj1F+Bv3qK96MAYuM&#10;4Od+Mvyu1nca+p2vaVelDps0aeLYRiVefk8qGA5p9+nTP+FzEOiP83wGJcTwGGMTlPK6nY8dO3YZ&#10;eoZxxB9//A/bu3cfmzxpgs0xkbVv207nd5UqN7AxWl/c/v4JrG2bgnf3a9S4WVvfZ5Tt/TOmT9N1&#10;9sQTTxt5Az64Xfawxgfzh1SfP8Ozza1btnlWd5zbYugHw8/++99sVPZIjVn/rXNrxvTCdTAT+fWf&#10;R74w9oeDsZVJE6foa0kkslP9PlUMh/w9tniZLcdhXAVYr1oWP+7D8Bhj40dZUpGGyIInlz2h+zZR&#10;P7xVq5Y6W1vD/ohzZyv3rXM11l9xxRU6+2fPmmFrB3UB4/T16xeuE5SK+glamvAeq8hLu3MYH/c6&#10;/7L0/WB4546djHpo3OgWx2MEX2rPcMqVK6fHAX/n1vzpVdfqKpUMB3/Pn7/QluPgs7QAvdOJ4THG&#10;xuu2kKr4a9Qs2DcK+iM8D7Dn2vS8qdIjc3jBvONud3dhMH5idZ/V9UkT7mdlyvxOZzmcy+6bPatg&#10;DfF/nTihzw/jnID9Ynke4xhOGD/Z4BavE6uwRIkLfNn7RZa+1wwvMgau6TbRGLiVVhLNZbGyS3Q9&#10;1QyH/MHccNCAzD/8WlDmHWJ4jLFJ5Lcwfv/TTz8Za6PVqlnT4KNsLCVrRKb2LL/g2efdXTrbjoUk&#10;GlcZNXIkq3JDZZ3lnTt3LBbX9Lwpel5gLsrjjy9nF15YWtfijTfdbOQxjPWNzTOsdwK/l1TXP4K2&#10;u2/fAV/qivNADL1k+Nf5x1jlypV0PcBc7yWLl6LL+e/v/s3atGljcA7Wc/nw4Afo+Lh/g8BwyMsa&#10;7RmIHcdhLloQ3gPC8Bhjw/0TpXDRoscM/fbt3dvQrrkfDv3t6669Ru87j8zKlvadZf3pRNd69+qp&#10;pw+heO+s2QX9cKjrrdoenlWqVDXyGaX6VymLk3knwFEYF1CJ1617RHbzc68YfuLr4+yGygXrnsPf&#10;s8mTCp6bJFsW8d3OatVuZPB3Ipk4g8JwKIPKuMrmTamd84XhMcYmGZ8G1Vbcx3LVqlWGbsV+eK+e&#10;PfX+cqPGDbVnP3bPOXHfdetaMGelxe3N2ORf4+f9cKi306dOstu0OWCcD3FZEwueBcB+ACpzvnnd&#10;AL+//PJLw49+6I6nLYZeMDw/P59Vr1bwOxCeY87Im+F4DNyuPuC3JS9Dn979koo7SAyHMsMzbdAG&#10;L585hD7S6dNnfNWN6AsMjzE2YppRORfXRvnbvn2GD3fvfp+NHzdGW6twqO739DvuYOPGjNGvwXW3&#10;D5inAmPk9evX0eesiAyHus7R3g/luuvarYeRz6j4wVwO6HuL71zxsicKzfH48VmWJy8YLs4hhP1X&#10;3S7buXPfG+8JQZkGD7oPnUbQGA51tXlz4Tx6mc/gHQO361Q1PgyPMTaq+QnLffn5xw0ugk+PCv03&#10;GCPreU8P/fubbrzRdWbL/gZAfx/yAfNWYJ8JsR6XLV1u5FVlvWXRNmznMOdb1sYSXYN3PFJRVlm+&#10;3Gb4u7t2Gu9Xwnsqe/bs9aSssK4hf98Txtr/9re/odIJIsNBG4n2AElV28LwGGOTivbhZZobN242&#10;WAHvZvK0YH746F85Uq9eXTb+/rHaWPUUz4+8aVNY3z59GPzNqHhlRbZl82YjT1u3FPYh/Jgvx+vC&#10;zxDWqnKyl6LIzheeLxwH8zPPkJaYD37uJsO/+OwzVr58eT0dmDv1/MrnDV14UdZ3/7KLXVrhD3p6&#10;1avfyI790/nYVFAZDvU1IqvgvWruK3O4+PGC+cVe1K1VnBgeY2ys0g/rdXGNqwxt70woR762pknl&#10;SpX0cQ0Y35D1l/24Bu8BgbY2vv22nq+z//6uCCsOHfrI03bst09hjN/cllQ/+51Xc3qyfLrJcPGd&#10;Sr/W/17zp5cNf0C//NDBg470FmSGg//s1smCeSxmH3v9GcNjjI3X5fA7fhnD92q/UaFNZtx1l+37&#10;N+b34t3+DPNgIB952hx1Xi8iK6LEcFhrUHW9E7EO4BzmZvD6SVVozhN8dovhzz9b+J6uF2PgVnUG&#10;Y+N8/guUJz39TkfPOIPOcH3uuM0zTr/HVDA8xthY+Tus1+0Ynq3NH/Sjv22VxtQpk/T5GFFm+NGj&#10;Rx3POxF5eemll7KzZ89GluGrX3zBGAO/SXsv4GttDU0/2xq8y3/zzTfpfQn4W7lly1bl9IPOcKhH&#10;WLcW9s0SNSWeN7nlNvb//teftUIxPMbY+KkfP9KyY/jY3NyU9sOhXw96iirDnc75FtsWP/dDIypp&#10;8PyIoRv9cHHOtpdrfduV8Y3X1xqMM5fJzi4MDIf8w3uaot/M55u0Z2Z25XTrOwyPMTZu5Tco8dgx&#10;fKS2z8P4cWNTdkS1Hw5zvmHvSnNbMX9ONCd8pcfP9Zxo1Jx3+GzmXYN69fQyw3uQqnGLDFe1cfu+&#10;Des3GL4yl8kurbAwHPrZd6S3NMpo9iXsE+THWrUYHmNs7HwWxu/sGE798F+UWaPqe6jvRGyGNgRr&#10;udv9xn3m6Wdcz5tqGWT3mds9MfwXT/a1l9W9W9euv76SJcf9mDeO4THGxq36Cko8dgwfNnQYy87O&#10;Stlxv/YboGTJCyIzliLWtYx5/FrVatVZ9x4F8+T5NTEM4rxKMX/83NxnpX54QZ8AfofwOuKh388P&#10;rfjD8yML16x5zdN+A4bHGBursof1usgVPreQz0vJzcllsGZJqo4HtL0l4N3gsI+HHzhwkPXW3tuG&#10;90VkbYNfg++n5c1iSx63X/t529btnrYljJZ5GcSQGF5D9zfsxyzWaZAZ3qlzwZoXoh/5eRNt/E8s&#10;h9vnGB5jbNzOd6rjs2P48GHDU9YHh/4/zFeBPmeYGS6uJ8bbglXItdCmbXtL1s+dq7ZHDY/Lr1BW&#10;JmJ4+BgOerFb38HL94AxPMbY+NUm/ErHjuE5o0YXWUdQXFPQj3NYPxzmc4WV4arzTmC9GtHfVuPl&#10;8Jvk448/KXKvaJfKc2J48WcnYXmmadYNcNpqbSzgu/l+tz5jeIyxcSu/QYnHjuEjoS88XpuXkqJj&#10;6tRJoWQ4n3dixWKRd6+vfZPB+uhcD3XqFMzdEO/h5yuf8/b9cp4HTMjzKIbUDw9nPxz8n5k50vK3&#10;IMwZx2gkkQ2GxxibRPkI2/d2DE/1vJT5D87V164PUz8c6tPutyhnHMzXMmsF1njm38tC8/1B+izL&#10;LzE8vAw//OlhWy2+996eYvpNVo8YHmNsks1n0OztGD4yi/rhqv6CvZC6db/HVvfAOeibr1u3vkjf&#10;m6dhNWccftfye4IaEsOjM5bCNTZkyFDLMRXQKr/PrRDDY4yNW/kNSjx2DE91Pzws72nCc0txDXYZ&#10;z+AazLE9oe0NKvO93doVzwRsLrgs/7IyUz88vP1w7mOY8yjzLfQrQLP8PjdCDI8xNm7kNUhxBJnh&#10;YRhLcbLWoJ3fYU64VVuxswvKd7K8E8PDz3DQl9XzTbfntGN4jLEJSptxKx92DJ85fYa2n+orbOXK&#10;lajj8cWPsRUrVqBsIc1t27axuvUaBHJeCjy3hL2EEs35hrHx2XPm2/ZXBg8u2CdJxsFUrgnuRGOy&#10;vBPDo8HwrOwcy/5Fbu5YW2070RCGxxgbJ3kKw712DF+9ejXKPxve2qCt11+4FlqW9owb9pTA1EfL&#10;O1sHjuF5eTOlmpZxLFGZYa96q34OxJfIPijfy8pODI8Gw+2eb4J23VpLBcNjjE1Q2oxb+XCb4fqe&#10;tdq+J+Y2PX++fV/UqjxBY7jqHpcw7wT66lbl4tft/h7we8IQmv0Nn4nh0WA46M9urtWuXe8m1LmK&#10;hjE8xtio5CVM97jJ8O+1dazbtevIataooe+h/d23Z9jhTz9lEydOYZeUv4Rt3rTZsa+DwnAn806A&#10;XXC/ig6aNW9R7O8d8K+Ftv+0in1Q7iGGR29eiqgt6IvD+3YyP8O+buK92HMMjzE22PwF1c4thsNY&#10;SYP6DVm5cuXY118dK+bTWTMf0P1/6NCHxb6zq5sgMBzqSHXeiUrfWyyv1TjK5s1bHNWTGGcqzmVt&#10;m/rh0emHg6Zq1a4rZTho2A3NYXiMsXEjr0GKwy2Gv/DCat2/y5Yukfrz+++/Z821Pud1113LTv5L&#10;Pr9OVi+pZrjqvBPxPSRZOWTX+vTp72mbkKXp1TVieLT74Vw3Mj/DtRxt/3R+DzbE8Bhjg81fUO3c&#10;YDiscwh7guVNnZbQj2nXpLHa2t9z2N9YpU5SxXAY91ZZaxDGCf/857eUyiKWd//+A5ZzWsT7wnIu&#10;a9vUD49WPxy0mJc3TdrvgPlZ8Hw+Gb1ieIyxSSaPQbRNluH5x47qc1AaNmyk5L9dO//CLrywtD7u&#10;olIfqWD4vHkLpDqVcUqlDLJ7rOaDQxqy+4N+TVY3xPDoMXzpkmWWbQOezyejUwyPMTbJ5DGItskw&#10;/PSpU/p+vr/73UXs4AcHlfwH4+azZszRdTBp4qSENn4y/JRWno6duiTcZwf218nMzGLnz59PmH+Z&#10;z+FdTatx8Fat7kLFKUvHz2vE8HiMpfygab7s78tKOZ6R0TYp7WJ4jLHxs134kVYyDM/MzNZ9uWvH&#10;Dse+43/Pn1z2hK2tXwzPzz/O7Pai4owyrxOL8dHIkaOlbQDS2ByyZ5m8/Lx+xJD64dHrh4O/Yexb&#10;9DM/B7ZzPWBCDI8xNpi8BdkGy3DgNvhOZQzcqvx33dWWlSlThn1w4ICl7/1gONSBV/NOZGW3WhvL&#10;ref7sjS9vsbbsRgSw6PJcNCS1e/IZNZQwfAYY+N1W/A7fgzD39H6ijB+0rPHPZbsVSnHN998o71L&#10;X18fT//s8GFpXF4y/Ny5c6zL3d2kfQqRRbDWIKzdnf9VvjSPKmUV77nsssukad56WzNX4hfT8utc&#10;rC9+TgyPLsMbNGws1TCsf4/VHIbHGBts/oJqh2F4zuixuv+Ofvkl2l+8PnZu36nHZfVev1cMd2Ot&#10;QV4GJyHskcIZZw6dxBO0e81lgc/E8OgyfNPGzZY6xvbFMTzG2ASt7SSbn1QznO+/7CfDVeedNG3m&#10;fr+4abPbLbWfrC9TaU8Mj8czTa4x4LTM53CtbbsOqL4dhscYG16GqIRxYvjBgx8qrTUI804GDhyC&#10;0qGdLr7//pzlnBc7uzB8J2vP1A+Pbj8cNGm1ZidcV11rQtQ2hscYGzHNKJzHheH5ivNOgEVe+fWx&#10;x5ZY9l28StOveInh8eqHg66gvy3zO1zDjKdgeIyx8atN+JVO1BkOc7Ez2rSzXXeN6xDu+89/cGvk&#10;qvhrxAj5PrPp6S09+7uhki837uF1KIbUD492PxzWnLXqi7/99ibHmsbwGGPjht6DFEeUGb53zz5W&#10;8aqrLPsKnDduzPlW8entLdKleQnDXmuJysfrUgyJ4dFmOGjC6vkOaD2RZszfY3iMsTGnG/bPUWV4&#10;quad2OnB6u/Jxx9/4ljvdumk4juR3fycGB59hlvNs4L35ZzqEMNjjI3TfAX9/qgx/NszZ/T35TlH&#10;rEKY8z169DjHOkvGn7L1l2GefTJxBsVWVs/E8OgzHPQHGjb7H7TuVJsYHmNsnOYr6PdHieGw1qDK&#10;+5bQH87XnnH66Rur95NhTWY/8+FVWuY2DJ+J4fFguNW64k7Xo8XwGGPjVRtIVbxRYTgwWWW9Ey/m&#10;fKv4DvYAl3HulVdeI4ZrfTmrOhw6ZIhRb1b3eH19w/oNRh7Mf5fs0q5VMx4MnzQpz6gfUeNO973H&#10;8BhjY+ezMH4XdobDc0tYa9Buvz+uq/SWrSxZ4bXvSpUqKdW51+n6FT+vYzE0865BvXp6HTRq2FDZ&#10;D8Rw679vfvk2UTqbN70j1bbTcUIMjzE2icoTtu/DzPDFi5cGat6Jle+tnvsA76xswnZdZDc/J4bH&#10;ox9u984maF9VyxgeY2xU8xOW+8LMcNhnR/ackDMEwpde+pOnc75V/Gy17zHsiaJiH4Z7xDrn58Tw&#10;eDD8559/tlzHsFXrDGWNY3iMsQlDe3KSxzAzHPIO4yicGbLQSV14da/VOI9X6aUiXlndE8PjwXDQ&#10;m5XG4bqqHjE8xtio5ics94WZ4YcOfcTWrHnNluFdu/VQ1pBXPrNaa9mr9FIRLzG8+Lh1XJ5pgt6s&#10;ntk7WRMfw2OMTSrah5dphp3hUDewj1+FChWkLId3gXftejdlHN/97nvSfAHzvPSr33ETw+PN8Nzc&#10;gvWoZTr4+utvlLSO4THGxu+24XV6UWA41BHMDYf3dmQaSiUv589fKM1TXt5UJV177X+34pfVO42l&#10;xGcsBXQk0wBcU13/CsNjjI1bmg9KPFFhONSn1doNXFvwDqff9Q6/EXj6Yjh79izf8+Jl2cWy8XNi&#10;eLwYXqLEBVKtq/4OxvAYY+NlO0hF3FFiONSf1ZgKcAUY73cdDx82QqrrRx5e5HtevCw757YYEsPj&#10;xXBYd1/0Pz9/e4PaGoYYHmNsvGwHqYg7agzP197XtBtT8fu9yEGDCt8z5JqG0Mm82VTowmmaYtn4&#10;OTE8Xgy3ek963br1Sv0VDI8xNk61HfT7o8ZwqG+75yvAl3e154x++aVd+47Svsn77+/xLQ9+lJVz&#10;WwyJ4fFi+G1Nm0m1nps7XknrGB5jbPxoD36mEUWGQ/01bdpcqidgDIy3QH/dj3pu3ORWaT78SNvP&#10;NER283NieLwYDnrjvhdDaAMqWsTwGGOjkpcw3RNVhgOjr6xYUaop0FdGRlslXSXrS6vfl8nGGzR7&#10;sc3yc2I4MRy0UL36jUptDcNjjE3Q2k6y+Ykqw6Fejh39it1wQxVLjt933wglbSVTx7J9H2C8Ppk4&#10;g2jLuS2GxHBiOOgB2oCKZjE8xtio5CVM90SZ4eAH2M9H5Ir5PDMzS0lfWJ+W/X3ZYukTw2ndQrMO&#10;na7TitWj13bmcsFnGLtUSRfDY4yNSl7CdE/UGQ6+qFq1WjGOcq2p9hGwPpXNkfE6TWxek7Hj9SmG&#10;1A+nfjjoQbXPguExxiYZnQfRNg4MP6ftvw3j3yJfxPO69Roo9RMw/iOGF76DTuuHF9QFrJ8u6g/O&#10;o9wPJ4YXtgEMQxLZxIHhvA6A1ea2wz97tbc9MbxQv8RwYjhvi7IQ06fG2MjSDvO1ODH89dfftFwj&#10;E1i+erX6evWqPpetWVijZi3P+v2q+XL7Pv63UAxpLIXGUkAPqvsjY3iMsXFb+6mOL04Mh7qGtbFE&#10;zpjPVdd2UPWbOX74rDpfVjWNINwnKycxnBjOdaGiUQyPMTYqeQnTPXFjOPjGbm0st8dUuIbFkBhO&#10;81JEPcB5lMfDoXwqTMTwGGOjkpcw3RNHhm/cuNl2bSw39042t1X4TAwnhpt1QQz/hWF4jLEJE59V&#10;8hpHhkO97N2zj0Gf29yW+OeBA4co9R0S1TGPTwyJ4cRwUQ9wTgwnhidiidX3cWU41MfLL79qyXBo&#10;Vxs2bE6a4+a2Cp+J4cRwsy6I4cRwK0Ynuh5nhkPddLm7myXHVee12tUxzUuhuYVLlywt0heI2/xw&#10;mpdS2AbsWIH9Lu4MP3v2rO2YSrLzAGl+eKF+aX44zQ+34xRmbBtjY5eHMH4Xd4aDz3bvft+yLw6/&#10;eZ9c8WyRfpQTPxPDieFx74er/p7F8Bhj46T9huFeYngBY9asec1yrgpoEPuMkxhODCeGl1DqA2F4&#10;jLEJA5ed5JEYXsiYnNFjbPvjTuqV30vrFhbWL42lFNRF3MbDad3CwjbAueBmSAwvrN8ffvgPuyP9&#10;TkuOp6Vdw86fP6/Up+A+ovXDC+uXGB5Phquu04npU2NseNuMSkgML2QM9yk8xzTP/eKfnb7HCXuY&#10;cFsx5GlFJRTLxs/pXXt61x60UKt2XaV+D4bHGJuotDleDmJ4cYZPGD9Zyl3OJidrqsBccG4nhrz+&#10;oxKKZePnxPB4MRz2r+e+F0PV9yEwPMbYRKXN8XIQw4szHOqmQ8fOUj2CNi+//HK2bdsOpb6F1b72&#10;O3bsUrLnfgp6KLZZfk4MjxfDrforL7+8RknrGB5jbILelpzmjxguZzjUo90zThhTOfLFkYTaHDRo&#10;iPRvwTNPP5PQ1qkvU3k/57YYEsPjxXCr/b+hf66iTQyPMTYqeQnTPcRwa4aDH610CayCPd4S+Toz&#10;M1vK8KVLliW0TRR3kL4X2c3PieHxYrjs+T1o4e0Nm5S0juExxiZI7caNvBDD7Rm+fPkKfT9AziVz&#10;OGDAQFt9jhs7Qcrw2bNm2dq54Vs/4zDXC3wmhseL4SVKXCDV+rat25W0juExxsbPduFHWsRwe4aD&#10;D/LyZkq1ybllN6by2GNLpLZ5eVOVdO2HBtxIg9eFGBLD48Vw0ffi+b59+5W0juExxsYNvQcpDmJ4&#10;YoaDvxYteoxddNGFUh5frI2NW/l097vvSW1A41Y2Ybwutll+TgyPD8P79h1gqfMffvhBSesYHmNs&#10;wti+7PKcDMNXrHiOPb74SfbHR5exsWMnsRFZOUrHA3MW6jZPrVjJVj63Svf96tWrpX5ueWdrrR9c&#10;2GflfIDw0KGPpDZ25U3mu969+1nqFPJjFTes2ybmm59b3R/G67xMYkgMjw/Dq1arLtW46pqFoHkM&#10;jzE2YWxfdnlWZfgXnx9hS5Y+zUbnTGDNmzbX/dW+XRfWocPdSR3t23fS42rdOoPlTZvDDhz4sAgL&#10;g8TwEydOSHXKuWW1/w/00/k9Ymjnl7B9J5aLnxPD48NwK42rvmcPesfwGGMTtraVKL+qDO/bb7DB&#10;6lubNHGd4S3TWxnxv/TyWoPjQWI41CX0/a30Cn2OzMwsI++87ltpf58418QQ1hbn94Q9FMvFz4nh&#10;8WD4d999J9U36AC0r6ptDI8xNqr5Cct9qgwX+9teM3zq5JmG34PGcPArcJpzShaafb961cuW95vv&#10;DetnWT0Qw+PBcHhmKfM/XAPtq2oaw2OMjWp+wnIfMVztmaboz2/PnLHULOi2abPbi+lWtp8P3CvG&#10;G+ZzWRsmhseD4e+8s1XaHpyMhYP2MTzG2IS5ncnyTgx3znBej3bPceD5508//WQw+sabbpbqvF+/&#10;AcY9PN4whsTw4jqqVTMeDO/eo5dU26B5J1rG8Bhj4yRPYbiXGF687an6LT//uOW+EcC0p5962tCw&#10;1Xv7qmu6qeYpVfcRw4vrKC4Mt1qbc/78hYb+VXSJ4THGRiUvYbonEcP/eeQLNn3KZJY1Iss46tat&#10;q//dHTx4sHFN/N7J+YB+/fW42rdtZ8Q1JncMe2JpwbvoQRwPF/07b94CaR+EM+2dzVsMHZcsWfw9&#10;ttKlSxnfi/GG7ZyXVwxpLCUe/XDQsOh3OFfdf03UOYbHGBsxzSicJ2L454c/ZaOzR7Dp9w5is3r2&#10;1I+OrVvrPpvSs7dxjX/nNBzfq68e17AOHY24IL2HFyzQ2RZ0hoMGYJ82s4b5Z9AyzEmE+6zWXnnv&#10;vT2h5zgvrxgSw6PPcOhriz7n56B1p3zE8Bhj4zRfQb+fGF78NzDGZ3Xq1pdqGTR9d9ceup5vb5Eu&#10;vScKaxjytiuGxPDoMxye34s+5+fDhmcTw7V+G4YlTm0SMXzvX/empB8+K286+/nnn1kY+uFQ52fP&#10;nmV2+//Ad1bPfjC/O5362ev7edsVQ2J4tBl+/PjXzGqdq41vq61VKOoS06fG2IhpRuHcjuGjsrLZ&#10;lImT2JiR2Wxm/wHGWIfXYynjR43U/248sXQJg3Xlg/KufSJ/r1nzmrRPwrlmx/hEcQf9e15GMSSG&#10;R5vhbdt1sNT7hx8ectwHxfAYYxP0tuQ0f3YM79WjJ5t43zA2q28/g98w3u01wyGN6QMHsXEay+F5&#10;SVgYDnWfkdHWUtflLylv+d3cufMca96pr728X2Q3PyeGR5vh8B4997U5xGgNw2OMDSZvQbaxY3jX&#10;jIwi7ObPK/1gOKQ1achgXSNhYjjMCW/QoJGltq3Wv4I2EGSdJMqbuQ3DZ2J4dBn++eefW2q8Tp16&#10;KC1jeIyxSaTlsH1vx/Ded96ZUobP0PZXABaEieHgf9hrU8a0RNfCph0xv7KyEcOjy/C33tpgqXHV&#10;9cJF/cA5hscYG3O6Yf8sY/jGtzfq/unWrh2bMHR4sePWhgX9zBxtvEP2vZNrmf366Wn16tipWFzj&#10;hw3Xvwsbw0ETBw58YPv+j4x59eo3RPVfgqBBWXmI4dFleG2try3zObYPDhrG8BhjE4T24mYeZAzf&#10;uWOn7p+hQ+5ja199rdjRpk17/fvxQ4ayvBHZRY7xWVn6OLb5em520fv49zn3FvS1rdKqUqVq6Prh&#10;3D/52nucMOdEpnXZtTCvYygrDzE8ugyXrf+TrH4xPMbY8PYZlVDG8L179urcsdqXIWf0WP172Ts+&#10;EwfeyyaNGl1sDGacxnA+ni6G/B0fq7TCMrfQSg8ZbdopMxw4+PraN0PZFyeGF58LHNV37fv0KXi3&#10;2uzzsr8vm5R2MTzG2Fi11bBeJ4YXb3tu+9Lq/UxzG4DPsN+b2+n7EZ+sLNQPj14//OTJk5Z7Erbv&#10;0Ckp7WJ4jLHxoz34mQYx3HuGw5hK1arVlPvjfvrfrbSI4cV1FMV++KOLHrXUsdM1rszaw/AYY2NO&#10;N+yfieHF254XPl23boPy2Hh3bV6+F3nwMk5ieHEdRZHhsnFw7vvz584lpVsMjzE2XraDVMRNDC/e&#10;9rzyw6BB1mtj8XYA4aWXXppUW/Aq/3bxivnn5zSWEr2xFO5bcwjPrez0ofIdhscYG5W8hOkeYrh/&#10;DAddqI6pONnDKgh6M7dp+EwMjxbDrdYJd2u9HwyPMTZBaC9u5oEY7i/DT548xaz29BE52Kx586T7&#10;NW7qJFFcYt75OTE8OgyH93asxlGysnNc0SqGxxibRFoO2/fEcH8ZDvoQ65zzThaGSUuy/BPDo8Nw&#10;uzUisO9lmvWN4THGxpxu2D+LPMlonaH/PaX54d5zvWnT5pbP90UehkVfYp75OTE8GgwHRnOfmkPo&#10;m8Ma0W7oFMNjjI0beQ1SHMRw73kt8zesjQX7JpvbhPmzG8+KZOm7fc2cb/hMDI8Gw1vc0VKqU+B3&#10;bu5YV/gNesTwGGPjtvZTHR8xPDUM53632geFMxHaCbxXwe8PasjzK4bE8PAz3G4cHPauclOPGB5j&#10;bNzMcxDiIoanluGLFj0m7eOILOzTd4CrbcUL3Yn55efE8PAz3GqPQS/6FhgeY2y80H8q4ySGp5bh&#10;4PvMzCzb93+gvaRSIyppc26LITE83Azv2rW7Zf/iuWefc12TGB5jbFT0HKZ7iOGpZzjoRaU/HmRd&#10;iezm58Tw8DL88KeHLfkN/nVrLoqoaQyPMTZimmE+37tnH8sZPYalpaUZvoJzKFNY5qX8ocIlrGu3&#10;Htp48SnX+wSp8G3deg0MX3AOiuG6desDW04xn/ycGB5ehlvt3w2+vfjiMp7oEMNjjE0q2rabacK6&#10;Hbe3SJeyol7dgj2UgszwtGsK/+ZwVsB7YsC/5ctXeKItN+vfLq7XX3/TdkwF2s7Ro8cCWUbuCzEk&#10;hoeT4Zs3bdE5LfqSnye7vqyd/jE8xtjwPPB+bIeOndnAgUOKHPPmLdDf49i9+33f2hv0RWFcBH6T&#10;m/MDn6HPDX1W7gsIL7mkHLvx5srGtTDMD6+nPQvnZahS7XrjnF+DcsL4sqwO8vJm6nUE8/q4H70O&#10;QSfgFzjM+YI54pBf8XcEaIaXRRbekd7St7w7qRtZXonh4WR4qVIlpRqE5zKffvqZZ/rD8BhjA/1Y&#10;uz1vzVqG95sqXnWVNmZxjd5XhP4i2MPeAOLRs2cfBmsi2R0dO3UxbGBOGsRVtVp1x3t+QR7bt2/J&#10;Hnm5Mhs39R7DX2Fj+APLarL5y9qxa665yiiDuf6tPsOe3LCuN9RhestWRr12636PrQ/AP3CP6Ds4&#10;h3j4Af6Gwypt2XXw4+LFS/X2MeDXfURl98E1WIPfCV/9uFeWV2J4+Bhup1uv+w8YHju1gX6cTKth&#10;uzZsZDf26Jor2OI3SoWe4VCGUZNrRcIvMCZ05Isj7OzZs/rahVa6CuI8FVleieHhY7jMj/wajLF4&#10;2R9wymPIixObc9rauGW08Uhenso3XMv6jbia3T+nKsvM6chKly5VZFyC3yeGZcr8jpUrV479vmxZ&#10;Ix7xe6fnZS8uHs+FF5bW04C4YKwEQki3573VWMuO12thHZ3dwD4zw1vc3oKdPnWS7dxesC/7g9qY&#10;EHwWjx9//I/2+9+bvdjEdPg5vKc4aOBAIw+1a9cx6g764Xo51pZhWeNasdta3MQ6963Aevdvz0qV&#10;LMmuSrtSvxd8A3Vgrl+4Dv4wX3f6uXSpgnggLkjXyh78Xr5cWfaHS8qzcTNuYTl5lVjLtjewsmUv&#10;NmyurFhRbycwpmK3RkWHDp09bU9O26qszMTwcDEcfpvK/AjX4HeiU004vd8Jj3ncTmzGjZ1glA/4&#10;zfuxwJAZC3roXJ7zWFedKQufq69fG57TlfXo1Za1aHGrYWtVR8leb9cunfUfpO0NP72nPr4A+Xtk&#10;VXV2jTaGA3HPf7JWEXbLGA4sqa+N89SqVcBJ/hmu8aNxk1sZ7L8OcU7u+f/ZO/cwK6oz3a8/zhmv&#10;CAqECHKT7oZuLt1AN91cu7mJ3OV+v6MYRTyKaDA4iIMoCiigDqjxkhA1xyhovEQjXqI5iogOKglJ&#10;SMIkBh3mnCTqmJmYmWdOvavz7axdXbV31d611961++3n2c+qrl21atX3vd9vr1q1LvObrJEZdj3N&#10;byy/ROfVqXMnNay+IXEduV7nzp319/K/ybsEw//6eyT3hOcMlO/Sq0bqe9760Eh1w6a5+pkD/hCb&#10;ZGvzVOejrWrJxVP0NTfdNT2hl4YxPXXZ0I4l5Z23oqPeJ/mJPp955nnfd0s4tk+fypzHlZQlXSpl&#10;N1MyPB4Mx/shxLXpO3O7a9fzregsDI9Fj2HOQZup3BfqThJ/SMFLqVtfdd1szU7ze9lG2y0+G7bO&#10;0LGNtmgwJegHx8sHvxfIy/wtketgH76rG9JLlxnMunvf2UlllmNXX5/8nlPuMUg6qm5QVgy/bvYc&#10;p16aeT3Yj+G4d5QfPgG78Vsm92um+K3Fsetvm5Ow6/KvTQvsD/xGiz+QDz5e14Lt4S/8xqJc4LtZ&#10;jtsfTG4LQnu7aPTyy65I6M7LJ3JcvlOvspHh8WD4iy+8lFJjP3rt9YQec6mzMDyWcoQ5B++rRKdn&#10;tWihBtf3UlfdWJZg4/qd3RTqWNW1Ffp5GXX1mroKNWq804bhMH/83Bb62RltL+vv7KXAH3wQ80E+&#10;d3ynMnHOpl1Vug3n6g0lOt+xM1upkePKdZm6l3fT5cT1B9f3VCuv76TfXZrMkO1tj5Sq9s6aMXJf&#10;maRLJl+UxPEw9fDu5zeWNZPr4pz5l5QksVDuC+mWh/qoSbPKVFX/ct1WAXvANw1jyhP+WHRFW21H&#10;0x84L4g/cMztDzT6RPwB3867rI2CP+BztO2g3w+eHXB9/KaizGD63XvbqBu399HHlvZIrofjHalo&#10;9NM/fuo7bzNscJbTRiTH5jP18iEZHg+Gp3qPiT4qtnQVhsdSpjDnoC9JR6etsqpPb3XltVMT7SOo&#10;4+p3hN/rmOAJYhR1sutumKPrdKh3eWk8yn3TZ47VdcKNd05PlMNkmtc2mIMyVPevUlsergt03s07&#10;pyTuXcr/tVlzExwPynCcI+cjXXXNFLX9kYFpy9BYp52m27HxO+p1X+594g/UyVHPtuEPPFtdumq6&#10;blMD780yQRv4PZH7v+r6SdqmZWWlquVZLdSkyVOS4ubIkZ8qjGeS491paVlZ0vGib5upu0z4nwwv&#10;bIbjHWW//jX+uiq1q6swPBZthznHrIeDfYjJm+5qrNOhrof3h6hzo9675VsVSTEr8Sv1O6/6G/JM&#10;95G6+6Zdtfo3Qp7dke/m+/sm6uly3B2PdvEsh5RHGI58ZF+QdKfzezV5enL72dLxEzTH0zF847x5&#10;atmki9TZxvvhCZOHqnuc95JBri3HoA0jLcOdPPEeQOwh6bY9vXVde+tDg7Udb93dkDjm7+/ondYP&#10;4iez/i6+vWtv2yb3gX0331Op0O7dv7a7buMZNqqbWrelly4H7slkoFkPF60iTfWO02Z9ySyTbJvl&#10;l20yvHAZjvWL/fqBw38tWpxpvV4QhseiuzDneDFceIL05p3jkt6Voe0Tz+XmMUG3wR13G7m0t0t8&#10;BEnxHJ/qmpkyXPLEb5dZDtSt0zF8mdP2Yp6D971ebfpyDb80CMPd7wrN66baxrOVaf/V64I/25jl&#10;Rf0f77vRjiLXW7x8guf9yvdI/Rh+/dobEvmYx8v20GEN1uNOYknKYKZkeOEyHFoxfeXefvPNA9a1&#10;FIbHorsw56RjuMQuYlbGPoK7aGeR/ipyTLrUfM5221b+NxmDbfP9Gvgm789S1bGzZbhXv+xxY0ar&#10;tatWJdpWbnbq3fisXnm5WjxtWpJuYJ+tDye/30tnG/k+CMPRHg174b0tjpeP23YmY8W+7hTnyrXT&#10;pfhNgg7M3zjoIJUvzOv5MRy67Z/i2Rd55GstZbP8sk2GFybD081ZP9F5ThZG2kzD8FjKFeacoAxH&#10;fON9FZ7b51zSRb/HwjjC87t11G0t8513XniuRh3NiwVbHhir34HhfZc8nyNFnl7HN9nntB/geNTl&#10;0b6DPhdNjnHKiH1TF7TXz/VoG/E7JuV+51rguMkqid8eJSWqn9OntLpnL9Wre3d15hlnNOH3pdf1&#10;yOy6Ttm3fHO0vr9U5UNby7jxQxTeB6c6zv0d+v2Ztq8d2knbyX2c/H/HngrdLoJ3mXVDGp9N8Lsw&#10;clw3/R57+3f9371KHmI3pKkYDu1izgrzePd2PjjuLgP+J8MLj+Grr1mbUjv5HHcQhse5ZrjEpZmu&#10;33JRk3eBS1dc1KRuhnop9C/1NtThpf4oKfodm3VJr/jBPvx2pGqnQH0f1zHLmen21FnDUmrDLCPK&#10;HuT9Zbqy4P5Q3/U7bu6yxnq4eW3ZdreXwA5iX0lRb8YHPMbx5nVg13WbZjfx6cWXX5TRvUm5kKZj&#10;+IMPPJyyrwry2P/Sy1brUmb5ZZsMLyyGr1x5ZcoY7duv2qpmhMOSFjrDJf7BaMS56FxS9GGQZ21p&#10;i5HvwqbC9xvvGJTEHSkDUvmtkGua32Wy7dX261Xua2+c6lumsNdFWwna0/2eaVCfRpsS+ux4lSXM&#10;PnBduO3u14LnEN0PPUC/Gr97NMuSjuHQ/O23b0vJcdvj8c3yyzYZXjgMD6KXXI+lF1b7pXFhuMQw&#10;uHPrfX10P5ax0zrovtwyd1NZj26qW0lnVd6zVNe30Z57wy2zE30ntjzc2K9CnvdDtYX8tf1DP+uP&#10;9e4/I2XMJEWbD97loi3p+s2NfW3QLoS+OH6szeQ6OAd9SMCLecuS++4FyQ82E/shlT4r/3DnhXqs&#10;68rVs9SI0YNU9/ISBX9Im3llv+66TQztJt/Y0kOhj0uQ66U7RriHNAjDEQeY+8o8z70Njtuaq9Z9&#10;bfxPhhcGw1OtiSl+278/t3Oh+HHb3B83hvvFNOp6aMNGXdqrLwqe6dHHGfXCzbumpGwr8bqGtHkg&#10;H3O8t9excdiHthToEHXjsM8UGKeJtqornbG1sDdsIpqWFPV8vC8Om3dY28n1kAZlOPQ/ddqMJmU2&#10;8yor626F4+Y1ZZsMzz/DUbeGBsQnXukTT+zLaxuKcLxYGG7GPuq0qOehjnjdpsaxnpi3CmMNMebP&#10;nD8b9US0wQwc2lP3m8b7PIwVlM+QBmfuFKf9uMwZE4j3kMXAb7HVmpvLEmNm+lY31pPlvpHCFvjA&#10;ZrCRPO/I/OlDGhptheehJVe20+MnYfMdj2f4rtd5RpCyBU3N2ArDcOgf76HM893bqI8fOPBOTuPU&#10;fU38T4bnl+Hp2k/go61bt+VUF8LnIGkxMjxo/OM41BPN9594Ryft4kjR3h62j2OY6xfCsXiGWXtT&#10;Y53avHezbyHslGl/xlzeo8nAsAxHfFxzzXUpx2yA45deelnO4tUsv2yT4fljOHwNn4sv3Gm+x4R5&#10;Mb25MzyXfGHe4evVYW1mxlgmDBeOm/l4beeq36HXtcjw/DAc/bu9/GHue/nlV3P2e+7F5yD7bDJ8&#10;9pKKyN/PhY15Hp97rtqy8a3fLE2KuUwZjjhJ166CON65Y2fk8WvyQbbJcPsMnzmz8f2Q+MArLaT2&#10;E5PtuWa4e2wq3n/5zcltK/Z5nXhzHG0/eDftjrPpM2Zlxdh07Sq4HuZjN+Mn2233PeB/Mtwewz/+&#10;+BPtUy8/yD60nxRi/Vu0l2uG//jHbzaJNbwby3V/BXI63pz28x9+/736wSDeRNPZpOC4xK5fivbS&#10;bK5hnut1DTLcDsPRfzRV27f4BpowfVZo27lm+H/+53+p3bvu9YwL9HVYeFnj+Gy/mOX+4mRxWL+u&#10;29pdzzNvrkckMYb06E+PRhZnXbp08dSreb2ezlwIUcSymadsk+F2GI61vcXmfmku2s+i0I2ZR64Z&#10;bl7re997UmH9Wi97oT8ExoyEjW0eX9yMRz92vzX5Wjnz8Jr6inJ79pz5aetomH9l3vxFWZXBKxbI&#10;8NwyHD5LN3cO6ud79z6VlW+j1GOqvGwyHOXAGsmbbrndk+Pod4x+yZhfnGwubjan8u/WPd31ONyq&#10;/iWeOgH3HnrwoZzH1yOPfDctx1GW0izm/CfD/7uJH/tW5Y7h8JWXzc194HeuxwWkYnLY72wz3Cwf&#10;1j9s166dp01R98JcGlGPM0/FDn6X398NzOeFdVW9xtkixro478Offfb5JjFvairq7X/6p8OJtazN&#10;OHdvY+7/2XPmhS6bOx/8z3p49AyHb+AjL3ub+6J+Zx21Hr3yyyfDUR7Uy8ePn+hrW8yBGsVcfeRz&#10;fvmczv6Y08uMJXMb7W/Ll68IzUcvvWe6r3/1AN/ymWUNu46Lea5sk+HRMRxzngRhN2wPH2eqj3ye&#10;l2+Gy72fPHlSpeqjiTnuZi8r0ePnA88JnsHY7XSs4ffR/Bbg3cfy1R31+scyhl8YJml9Q4Mzz+AW&#10;dfjw+wURW5grK0g/Bhzz4YdHApVZ7tVMyfBoGP7ccy8G9teOHf8YyF/Cq0JKC4Xhpk1Q5yp31kEw&#10;dW1ug+fFPv69WH8r0Lcb66qZ/nRvY71wUw+FtP3ee4d92//M+8AanhMmTlYbNmxMeS/mObJNhmfH&#10;cNgctk+1jqrYGm25haSvTMpSiAyX+9ix426FeBZ7u1P0E8YaEcXKu2K6L8yrK+vcuf0o//eprFKH&#10;3nk3FjE1aPBQX13K/Ui6e9du33uSY8yUDM+c4b169wnsF/hQWBPntJAZDrv+5S9/UU8+uU9t2nSz&#10;r28w9yDWNVh4WRc9BpRtLdG0d2TzG4L5Hb++uUz3M8K6R2eembymnMks+BZjweIUR1jffNz41M8T&#10;5j2iH+T+/U3nmjaPkW0yPDzD0RYCG4sN06WbN9+m2RInzfmVtdAZ7i43+rJUVvVN+ZwEpme7Pkw2&#10;/GrO52Juw7kLxqWNJdSXnn7qmVhx261F/I95Snv3bmROOm7g+6qqfnquRIzxxvle55DhwRmOvkp4&#10;fvOyo9c+HBv0XYWXvwtxX9wYLjY88bsTuo+wl5/Mff0GOHOBO3OHr7y+k9p8f7g1fpszi4Pcu6xp&#10;PH5uCzXYmWfdr0+g+AP1bTxT/elPf4o9u0WHkmLN3CDvO8UWONavvZYM92b4eR3aB2a12FlS2LsY&#10;6gyiNzONK8PNe8A26uep3oOKL5GuWjOjIOfCDsLNfB+Dd5Jeaxqb9pVt9AmET9y+Kub/Z8yY7bD5&#10;lIxZA9uR4d4Mb9O6dWi7whfwSTFrrlgYLj7CO7HVV68J1HcA44jW3DCL/c8D9MHcsHWGXhtD+Jwq&#10;bem0S65cuaqo40b05pcGGQ/oZ0MyPJnhH/3muBoxYnhofkc1p42fjwtlf7ExXOyKsUP7nXdIU6fO&#10;COT7il5Yq62nbnf52trOuh+6nr/FWQs533VfW9fHe0j0H1l7W7nC2sVYuw7zkvmxxtyPvtyY2+zQ&#10;ofeaNbtFf3jnmWq8g2k793aXrl3UN65fp1764X51/Fe/UrU1NdoHA+vqAtv2aytWJPwmZbKdvvCD&#10;FxJlcP8upSqLjLWvra1TVZWNPHfbKN3/0CL6Q6S6TrF8V6wM9/IP2sOqa2pT9ld0awPjT9AnDvXQ&#10;Yhsvit8ovPvF+PagrBb7oM9nfcOIZhEjXloKs2/u3AW+c72JPd0p2m/RzwJtUS3ObBwjXuwMP/LB&#10;B2rD+vUp+zC57WT+j7a7xYuXNjtNNieGm3F3/NfH9fu1MP3DoBe8t+tX3UP3ZcT8XONmtFKrN5Sq&#10;9Xf20v0awcWdT5yb17o7+laiHJvv76vXKf76LeVq+tJWup8fnjVq6ioS6xubMZBue8f2HfrZ5tNP&#10;P2t2cWJqJ9Pt/c5zod+8nelsj+9PP+00Ndt57/P443vVe++9p4794phvXbPQ6+F4TvnJkSP6WWPV&#10;FVc6a8innwfWz0awKWybqV/ifl5zZbj47Y03/k/ieW/p4oXqru3b1IxpU9RX2rRJ7PfTTrr9kydf&#10;oBYunqzXnMG6M1j3Ap8tD4zNivHbvj0gkde6TXN0/ksunqLbq/3WR0hXVvP7Cy8YrW7ZeJNatGBB&#10;kg3EZkybzrUXxiZdAsxPbvrDvY06OtrbZ86crS6/bJV64P4H1U8+/CCJYYXI8H89+S/q1ZdfUdu2&#10;3KnLjnvAvbjvL8z/YexerMc2d4ab6wxdu3p1UhwcOnhQbd50q5o+dbpq0yb8O/EwWkSfdnNNedkO&#10;28YR5ppy7KCBA9Xaa69TLzz/XNL9HzhwMCm+ijUG8nlfaJPKhmPon/jVr35V95EeO3aCWuOsOfPM&#10;959RhcbwocOG6zKirH59KkWPqVLYCjbLZI7IfPo5l9cmw99McMrNcNPuP//Zz1Wbtm3UXTt2qBdf&#10;eFHdecd2Zy6M9WrkiAb93qVtm7aJfFJp0PZ3rZ3+WHgvVF8/TNerUebv7Nmj3nj9dWe+yAn6ucO8&#10;T3P73XcPJ92T+R23s6uLu+2Xahxytpq5ePkl6tvf2qN+8PyL6sfOc+ehQ++q9w9/oNtifnP81+qT&#10;Ex8l/Xa7y+b+/6Pf/kbhvJ98+KHO58Bbb+v1JvHecvVV16gLLxyrypw69hlnnJ6kn2zvAzYqtvE5&#10;bttm8j8ZHpzhbb/SRv3YYZ+Xnffte8pp6zxFM/HRPd/SbRFomxk1YoTWcRRtM14x0LlzZ50/OI3r&#10;rb12TYLL7Z06D9qGvMqLfYsXL0/5PRkeLaf9/ODej99ZL19HsQ9cPa9jR9WjR7mqGzhYfy6aMk0t&#10;Xbo80AfH4ry+ffvrfJBX1Kx236fbPvw/WZdkeDQMRz3di/Fvv93YHvGK0w4o2nvm2ee07jesv1E9&#10;/thj+nPf7l3qumuuUXgWMD+bbtqo/vejjySOWzh/oa5XS15IMfcA4t7ch+0aZz5kMjxZ724bFfr/&#10;mPs6m7YWNw8L/X/cK9ZJ69uvuomeC91X+SofGZ5bhh/58IiuU7315lsJTf7ql7/SvB83bqI6evRn&#10;Cvw3P0ePHk36X757660DqmfPnmrE8IZEXtDNBWPGkuGOHfIVQzauu3XrNsfHN+asfp5vtjc0DFe4&#10;R7aVhNcxGW6f4V/++c9qrrPmLuKmtfOuFPV39wd1kSb7zm7V+HvwVvIcf2R4eN3b4G4urzFq9AV6&#10;LHI2fRXzxW2UGfN24x5yaaPmkjcZbp/hoq33Dx/W7etoYzc/+1/ar1575ZWkffL9b44fb6J7Mrz5&#10;MVw0JCnWEQMXC7HdBWVC2TAm7Ikn9jXRr9wD08x0TIbnj+FRaZYMz0z7Udm/0PLZv/8Vde/u3XrO&#10;fbS/5PIdqVddHtfcsmWrevihh/XYG4znKTQbFVN5yPDCYfjnn32m7ti2XV1x+ZXqphs3OmvaHAqk&#10;fTKcDM+GScPqGxTWtAnywbHPPfeDQLrMpkw8N7imyfDCYPhJZwzbBWMuVOjPPWb0KNXt/K667fvl&#10;/S+njRcyPLjeyQbaqtg0QIZHy/B77r5XvfrKjxKfnTvuaXwPafRL8dIQ+mK3b99evfHaqwlml5Y4&#10;cyk69R6v4819YDj6h5vXxTbWymHfQjLL1Aq3i08PZHi0DO/UqbMeP4ExFPjIGByzb6FXHMl4GvO7&#10;q//XVU36gpvfyzYYjnZJuaakWMOSDC++mBW/M6VvoQEyPBqGf/Fv/6YOHnxHgdXm54H7v6n5+qrT&#10;zyRVzP30J0f1cffctcsZ+3xC59XRGQO34pKLU5735z//h+4fPm/evKTrShlOfvKJ7/kcp0kGpNIk&#10;v4uHPsjwaBjup/fPP/tUs3mBw1i/Y7AffcYx5gdrR2H9Eaz12rJlS70GQKrz8LuBevfTTz+dMn+v&#10;PMjweMSol++4j74TDZDhuWU47Lxk0VLNccx/eNutt6X8LFq4RPV11j6fOGGS7puS6njk27r1OZr1&#10;+K0QnwZNyXByIKhWeFzhaoUMzz3D0d5xz933qMGDB+v2bbx/lHm+2zrzlOP/dJ9evSr07wDavSsr&#10;++jjBwzo76wdepWeQy6TGCPDCzcuM/Enz2me/iTDc89wv9jq4/QbwTvPHzpz2fodI/vXrFmr575d&#10;uGBR2mPlnHQpGd48Yz6dLvh9vHRBhueP4VjXZM6sWeqM009T5eXl6tpr16odTl9E83P11WtUVd9+&#10;qsO57Z01h3cp1OmjijEyPF6xGpXfmU9x+Z0Mj47hbx94p0kfbbPP9g9ffEk99ujjSZ8b//4mZ47Y&#10;anVehw56PlrMxWx+sH4n2l0G1Q1UG//hlqRzn9r3/ZTXe+dg6nGeZHhxxTLZ3Dz9SYZHx3DwWPpm&#10;e6WlZWVN5iLE3IRYH6ils4b56U59HOtIuD9nndXC8zyMCfK6juy74IILU9bZyfDmGfNkfXH5nQyP&#10;juGrr7428d7Ray6gIPt6Ouvlmp+zzjwz4zzxnjRVvJLhxRXLqXzN74rX12R4dAyfPmN2greYIxlr&#10;t5of1JtNjo+tr1fyKXHGd+K7i/uUJn2wf8SgwYnjqh0uSx5e18D1ZE7pnj0ryHCnbyf5RRsUswbI&#10;8GgYfsIZW4mxOcLX8U7/brduDr3zbuJ7N6/7tWtc38GL4UuGDElwffaI0Yk8MGe0+xr4f/z4ifoY&#10;vCv9+dGfeh6D41gPJ9u89MN98dIFGZ4Zwz/94x8S66V9+MERNXfeQj3GUhjuFQe2GP7443sTnMc8&#10;iLdv3pooK9Z1k7KR4fGKVfEbU/rN1AAZnhnD3z30buI9I+aWEnYj3bz5tgQnTVvbYjiuiTVlzTKZ&#10;67pJmchwskC0wDS+WiDDM2M41mcwGSnb5eUV6gufdUtsMvy1117XfV2kXGYq8UqGxzduxYdM6UMy&#10;PDqGf9OZo9CP34g1mwzH9U6ePKnQZm7yG9sS92Q441+0wDS+WiDDo2F4kBiwzXAp03cfezyJ47Kf&#10;DI9v3IoPmdKHZHjxM9z92yFxT4Yz/kULTOOrBTKcDPeLX1lbSNpi/I7j/vjGP30Xf9+R4WS4XxyT&#10;4fGPbz/fcn/x+JYMJ8P94pkML5449/Mx98ffx2Q4Ge4Xx2R4/OPbz7fcXzy+JcPJcL94JsOLJ879&#10;fMz98fcxGR6M4Z9/9pna++RehXUboHv3GJ8gseDuH2LOjRLlfCnusrivK98ffPtgyvlUyPD4x7f4&#10;mmnx+pIMD8ZwdwwUA8Pd9+T+nwwv3rh3+5r/x9fXZDgZ7he/ZHh849rPp9xffD4lw8lwv7gmw4sv&#10;3v18zf3x9XVzZ/ihQ+8lxqFjnfmgWm4ObSl7n3wqYRtznpWgNuJx8eUCfRcf3zV3hh/7xbEkTn39&#10;6+vUL4/9Un3029+qTz75RP3h97/35HqxMfw//v1P6vf/7/8qrGXxz8f/Wb3xxpuqtLQ0YZv6hgZP&#10;OzDW4xPr9FVx+qq5Mxy6rq6pTbAK9c2zz26lsH5xZVVfVTdwsLpgzFg1Zcp0hfUy7919n9rn1E+3&#10;37kz6Zwg8eHuH5Kvfikv/XC/+s6eR9TNG29VK1ZcriZMnKzvcUDtQL0WEdZUhg1kjD3S/ftfIcMd&#10;rQTxM4+hnWxqgAxv1JusX2ZyK+g25gwP4rN8Mfxnzto9Qe/F67j6hhGB7i+IDXgM+UYNRKsBMvxv&#10;9nTXx7145rXv2WefD8S4fDEcMXNex46hOY72k9tv3xLo3hiXf9MRbUFb2NQAGZ5ab/v2fV9hfWPU&#10;RbG+maxTD5a3atVSTZk6PTDj8snwP/7hD2rEyNGJNe9bt2mt7wW/W0OHNeh7tKk7Xiu17mgf2ieo&#10;Bshwe1rJJ8OD6oHH2dMDbU1bR6EBMtyejshwe7aOIjaYB/0VBw2Q4fZ0Sobbs3UcYo9lpB6i0AAZ&#10;bk9HZLg9W0cRG8yD/oqDBshwezolw+3ZOg6xxzJSD1FogAy3pyMy3J6to4gN5kF/xUEDZLg9nZLh&#10;9mwdh9hjGamHKDRAhtvTERluz9ZRxAbzoL/ioAEy3J5OyXB7to5D7LGM1EMUGiDD7emIDLdn6yhi&#10;g3nQX3HQABluT6dkuD1bxyH2WEbqIQoNkOH2dESG27N1FLHBPOivOGiADLenUzLcnq3jEHssI/UQ&#10;hQbIcHs6IsPt2TqK2GAe9FccNECG29MpGW7P1nGIPZaReohCA2S4PR2R4fZsHUVsMA/6Kw4aIMPt&#10;6ZQMt2frOMQey0g9RKEBMtyejshwe7aOIjaYB/0VBw2Q4fZ0Sobbs3UcYo9lpB6i0AAZbk9HZLg9&#10;W0cRG8yD/oqDBshwezolw+3ZOg6xxzJSD1FogAy3pyMy3J6to4gN5kF/xUEDZLg9nZLh9mwdh9hj&#10;GamHKDRAhtvTERluz9ZRxAbzoL/ioAEy3J5OyXB7to5D7LGM1EMUGiDD7emIDLdn6yhig3nQX3HQ&#10;ABluT6dkuD1bxyH2WEbqIQoNkOH2dESG27N1FLHBPOivOGiADLenUzLcnq3jEHssI/UQhQbIcHs6&#10;IsPt2TqK2GAe9FccNECG29MpGW7P1nGIPZaReohCA2S4PR2R4fZsHUVsMA/6Kw4aIMPt6ZQMt2fr&#10;OMQey0g9RKEBMtyejshwe7aOIjaYB/0VBw2Q4fZ0Sobbs3UcYo9lpB6i0AAZbk9HZLg9W0cRG8yD&#10;/oqDBshwezolw+3ZOg6xxzJSD1FogAy3pyMy3J6to4gN5kF/xUEDZLg9nZLh9mwdh9hjGamHKDRA&#10;htvTERluz9ZRxAbzoL/ioAEy3J5OyXB7to5D7LGM1EMUGiDD7emIDLdn6yhig3nQX3HQABluT6dk&#10;uD1bxyH2WEbqIQoNkOH2dESG27N1FLHBPOivOGiADLenUzLcnq3jEHssI/UQhQbIcHs6IsPt2TqK&#10;2GAe9FccNECG29MpGW7P1nGIPZaReohCA2S4PR2R4fZsHUVsMA/6Kw4aIMPt6ZQMt2frOMQey0g9&#10;RKEBMtyejshwe7aOIjaYB/0VBw2Q4fZ0Sobbs3UcYo9lpB6i0AAZbk9HZLg9W0cRG8yD/oqDBshw&#10;ezolw+3ZOg6xxzJSD1FogAy3pyMy3J6to4gN5kF/xUEDZLg9nZLh9mwdh9hjGamHKDRAhtvTERlu&#10;z9ZRxAbzoL/ioAEy3J5OyXB7to5D7LGM1EMUGiDD7emIDLdn6yhig3nQX3HQABluT6dkuD1bxyH2&#10;WEbqIQoNkOH2dESG27N1FLHBPOivOGiADLenUzLcnq3jEHssI/UQhQbIcHs6IsPt2TqK2GAe9Fcc&#10;NECG29MpGW7P1nGIPZaReohCA2S4PR2R4fZsHUVsMA/6Kw4aIMPt6ZQMt2frOMQey0g9RKEBMtye&#10;jshwe7aOIjaYB/0VBw2Q4fZ0Sobbs3UcYo9lpB6i0AAZbk9HZLg9W0cRG8yD/oqDBshwezolw+3Z&#10;Og6xxzJSD1FogAy3pyMy3J6to4gN5kF/xUEDZLg9nZLh9mwdh9hjGamHKDRAhtvR0cmTJ9WGDRvV&#10;Kaf8j8Tn4j6lSj792rXS++V/SUs6dVZLhgxJHDd7xOjE+d26lajDh99XH3/8iYpCC8zDjhZoZ9o5&#10;Sg2Q4bnT0549j6pRo8ckmGvyG9vCaaSZMNzMr2WrlmrmrDkKdf0o9cG8cqcP2pa2jUIDZHj0OgK7&#10;+1RW+bK7bevWaszQYRkxfEHDKNWrR7lv3uB6eXmFuu++B8jy/47et1HEHPOgX6LUABmevZ6+/PJL&#10;9cIL+9WkyVNUK6c+bNaPZfuMM05XaBfp2aWLanP22QptIpnUw3EO8qno0lV/zml1tuf1cN2OnTqp&#10;Pd/+jjp06D3ynDynBopUA2R4dgw/9otjCu0Ywmp3Wl1ZqVB3Xt6vIsFscDxbhptt5NieOKzetwwo&#10;U//qAYzhIo3hKOt0zCs7HuTDfmR45j47ceJjXdc1ud2+XTtVc/75an5tjVo2oCrBbbPOHTXDJe/l&#10;ld3V0tr+alSPEl1HR93fLFt1TS05To5TA0WmATI8M4Zv23anOu20UxOMBLtR3xaepkpzxXD3NRcM&#10;Hqg6dOiQKCN4XlJSqlZfvYZxXGRxnI/6H6+ZGTuithsZHt4P6Pth8htsXFhXE4jf4KwthuNay2v7&#10;qrH1TdtZotYR8wuvI9qMNotCA2R4OB2hnzfeFUobRa+OHdSy6l6B+W2b4VI3v7Bncl+W8oqerIuz&#10;Lk4NFIEGyPBwDK+vH57gNzgelt/5Yjiua44PQtnZXyWc76OoMzEP2jxqDZDh4TRl9kGZOTK5f6DU&#10;edOlNttS3GVBPxl5hnjyyX2shxVBPSxqJjC/cEzIt73I8HD+Ev4hNfv3uVmZ6v98Mhy/O3IPu3fd&#10;S4aT4dRAzDVAhodneNeOndSMUaP1+8JUrPb7boHTHrPI+eB9o3wWDh2i5jh8Xda/IumzZPAgtdzp&#10;o2juxz7875d/qv243rCaGs1xMjyc7/Nd3+L16S8vDZDh4XQhddjyrl3V0po+GXE0FWNz/d18p7+h&#10;9Bsnw8P53it+uI82zLcGyPBwGhSGI0Xf60zeaeaa0375o/+6WX4yPJzv8x2rvD795aUBMjycLkwG&#10;YntYRXks6uLov+4uOxkezvde8cN9tGG+NUCGh9OgycFhA+pU23PO0WN2ZvXtWXAsX15Zqsce1fco&#10;Ve3atlV9OndRvcv/1k+cDA/n+3zHKq9Pf3lpgAwPp4uBg4Yk1WfRPiHj2TEeEu8q/doybO7HO89B&#10;ff42/+2MwYPVpOEjk8p+4MBB9kmIeZ8Er5jmvnAxHXd7keHh/O1eTw11W/AS7ziljj6mzulL4vT/&#10;sMls81pzG0YkyiLzJmIOLikfUow1jbt2Wf5w2qW9itNeZHh4vz799LOqRYszE0zs3bmrmj+gn1ow&#10;sEYNK+2myh2ug5NdO3ZUvZ1+iA0lnZx5DPvrfiyYW9DkbTbbmM92UW0/NXNAX1XZ4Vz9O4K5tzq0&#10;+6qqPK+jmtmvt547EWVyzzP+o9deJ8NZB6cGikADZHh4hqM+g7n/zHottqc56zpI/Rt1c7SzmOMi&#10;5fhhA2oVxtpg7PuiofV6rFAqti8dVKuPme8cj3PGu8b7I1+wG3mabTnTnbWC5Jpm+sgjjzF2iyB2&#10;Wa/OLHaLzW5keGY6+Pzzz9W5557rycg5wxqS6tpg8OwRo9SIQYM9jzf5GmYb7fBTnHYTPV7IWGNi&#10;sXM9v2tNmDiZ/Ca/qYEi0gAZnhnDZ82em5LHqBdjvbTazh3UHLSjDKhMcH1Z/15qcV1/3WcE36Et&#10;pP78DnpdZKyN7P7ge3zQVoM+gkudcZtSb1/m9IfBvlHdz9f9Tsx2eb/fg0svvYIxXEQxXGz1St5P&#10;OCaR4eHsBX2521HQhjI9zVpowlP0XZmBNhSnPQTzrQiLg7SLo50G58x16vTIx6udRq6DtGXLsxrb&#10;V5yyoW3e/G7BgsXkODlODRSBBsjwcAzH+mvm3IVjnHm5hb8Ys4n+HwO6dtLvF8FQk5uptrHOsd/H&#10;zd9U+aD+39vpczKhdw+11KnvS9nmOttmPuyXEs7vrBvSXoWqATI8nDZHjR6T4DLqwsJIv3S+U9/G&#10;cam4m+13qI9PHz4i8T7Vryxolzevdfjw+6yHFUE9rFDZwnKFY0um9iLDw9nZZKDZB8SPm7IfdXT0&#10;U0G/ktFDhiax1MwzyDbq6xivg7yWOHNYyTWCpOY4n4cefIgMJ8OpgZhrgAzPnOGZzh8urEVbOOY+&#10;xFr0kwY0jsFBnxa8o8QHfU66O33N9XtMHBfBPIloS0f/cfxWcKx9ON9nWk/iebRzLjVAhofTl9ST&#10;0VdbWBxFin4nyBt9AtH2Iu8ssV5EFPmbeUi7OBkezve5jEPmTV9kqgEyPJx2hOFog850HQaTp7It&#10;DJf8JY2a4Xh2OOWU/8l6eMyfnzONd54XLt7jYC8yPJxPha2nnvJ3uu/JYmNsjfA4k3R5ldOP5K/t&#10;JWaKvuSZ5Oc+B/lPrRug+xvKPbAeHs73cYhnlrH5+ZQMD+dz4Z+keL8o4+vd3Cyk/4f26q3r3hVl&#10;3XWK8pPh4XxPPtJehagBMjycLoXdSGv6VKo+3brpuu2Q7qX63WQhcXuJU4fXc3A5cyq2PfscNdkZ&#10;64N5xOUeuK59ON8XYvyyTPQhGR5OAxjfKAxEOnVAte7jJ+N50E6+eFBdJO0fmf4eoB8jxo5KmfCe&#10;FH0QZZ5zlPvUU/9OHfvFMfYrY7s4NRBzDZDh4RiOek95eUWC4+jjoecodDES/bDRHzzMWPpMmS3n&#10;oU0H/WWk3wnGbKIM+F7aUuT3p7qmlrEb89hlHTx87Bajzcjw8Dr46Le/UyUlpQmOo747sqKHWlbT&#10;W7enjOhRoue7Aksxbzf6llS1/4qa1r9Sj8Vf7MxZlc1aystqKnWfcfRlqe/WRVU6Y+u7OvOFg89l&#10;zlzmlc58ho3zbFWp8VW9dVmE3UjbOWwvRi3znsJrmTaLv83I8Mx8+NxzLyQYbvIRbRjmWJzFQwbp&#10;dg2pG5vHYhvvRNEXfKIzngfjLt2facMb57dKNbYT589z6v1SH0eK+jfq4e7r4Rniiy++IMNZB6cG&#10;ikQDZHhmDEf9BRxv1aplE06C12jTMPuroE0FfbOxf1LDcN/5vd3M9fofa0CA9eC0uz6POVHqjHU0&#10;zfPx7IA5u1j3ytzntB1tV2gaIMOz0+SJ351QmEu8vKJnE5aDn2WdO+t10UaVddHzf2Nc/bIqY65D&#10;Zxv1dmkfkXH2kmKucP290U8c69VjH+Ygn13TV1Wd20b1cq7jVe9GGbo485hv2bqd7C6SelehMYTl&#10;yY4h2dqPDI/O/hs2bPTkuFkXlm30EUEbCNpKUKfG/Iaop7s/WKsN32OdNRyPj+SRLj3PeR5YvnwF&#10;2U12UwNFrAEyPDqG4/cUbRVgOd4bpmNsrr7H/OYrV65i3BZx3GZbd+P50cZ9Pu1JhufGl19++aU6&#10;/uvj6jVn/fgpU6erQYOH6jaNKLl92mmnKqzlgLzXrdug3nzzgELbTj71xGvnRk+0K+3qpwEy3L42&#10;8C4UdXW0cwwcNET1rx6g0O7hx3dwGsdg/Qmcg3Px2+DnU+6371PanDbPlwbIcGovX9rjdak9aiB7&#10;DZDh2duQOqQNqQFqIF8aIMOpvXxpj9el9qiB7DVAhmdvQ+qQNqQGqIF8aYAMp/bypT1el9qjBrLX&#10;ABmevQ2pQ9qQGqAG8qUBMpzay5f2eF1qjxrIXgNkePY2pA5pQ2qAGsiXBshwai9f2uN1qT1qIHsN&#10;kOHZ25A6pA2pAWogXxogw6m9fGmP16X2qIHsNUCGZ29D6pA2pAaogXxpgAyn9vKlPV6X2qMGstcA&#10;GZ69DalD2pAaoAbypQEynNrLl/Z4XWqPGsheA2R49jakDmlDaoAayJcGsmG4nMu0m6INaANqgBrI&#10;pwbC/Ibks5y8NuOEGqAGqIGmGgjDcB7L50ZqgBqgBqgBaoAaoAaoAWqAGqAGqAFqgBqgBpI1cJZS&#10;qo3zwV8r54Pt/w8AAP//AwBQSwMEFAAGAAgAAAAhAI0DmSrgAAAACQEAAA8AAABkcnMvZG93bnJl&#10;di54bWxMj0FLw0AQhe+C/2EZwZvdJG1jidmUUtRTEWwF8bbNTpPQ7GzIbpP03zue7Gl4vMeb7+Xr&#10;ybZiwN43jhTEswgEUulMQ5WCr8Pb0wqED5qMbh2hgit6WBf3d7nOjBvpE4d9qASXkM+0gjqELpPS&#10;lzVa7WeuQ2Lv5HqrA8u+kqbXI5fbViZRlEqrG+IPte5wW2N53l+sgvdRj5t5/Drszqft9eew/Pje&#10;xajU48O0eQERcAr/YfjDZ3QomOnoLmS8aFknz5zkmyYg2J+nC952VLBYrhKQRS5vFxS/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Co+D0ydQMAAAIIAAAOAAAAAAAA&#10;AAAAAAAAADwCAABkcnMvZTJvRG9jLnhtbFBLAQItABQABgAIAAAAIQCdSJ6Ux2cAALwdCgAUAAAA&#10;AAAAAAAAAAAAAN0FAABkcnMvbWVkaWEvaW1hZ2UxLmVtZlBLAQItABQABgAIAAAAIQCNA5kq4AAA&#10;AAkBAAAPAAAAAAAAAAAAAAAAANZtAABkcnMvZG93bnJldi54bWxQSwECLQAUAAYACAAAACEAjiIJ&#10;QroAAAAhAQAAGQAAAAAAAAAAAAAAAADjbgAAZHJzL19yZWxzL2Uyb0RvYy54bWwucmVsc1BLBQYA&#10;AAAABgAGAHwBAADUbwAAAAA=&#10;">
                      <v:shape id="그림 92" o:spid="_x0000_s1098"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59" o:title=""/>
                      </v:shape>
                      <v:shape id="Text Box 68" o:spid="_x0000_s1099" type="#_x0000_t202" style="position:absolute;left:15113;top:2660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6541D83C"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C</w:t>
                              </w:r>
                            </w:p>
                          </w:txbxContent>
                        </v:textbox>
                      </v:shape>
                      <w10:wrap type="square"/>
                    </v:group>
                  </w:pict>
                </mc:Fallback>
              </mc:AlternateContent>
            </w:r>
          </w:p>
          <w:p w14:paraId="3FBEBBD8" w14:textId="77777777" w:rsidR="002E5800" w:rsidRPr="008F328C" w:rsidRDefault="000E0B7C">
            <w:pPr>
              <w:pStyle w:val="a3"/>
              <w:numPr>
                <w:ilvl w:val="0"/>
                <w:numId w:val="23"/>
              </w:numPr>
              <w:rPr>
                <w:b/>
                <w:highlight w:val="lightGray"/>
                <w:lang w:val="pl-PL" w:eastAsia="ko-KR"/>
              </w:rPr>
            </w:pPr>
            <w:r w:rsidRPr="008F328C">
              <w:rPr>
                <w:rFonts w:eastAsia="Times New Roman"/>
                <w:b/>
                <w:bCs/>
                <w:highlight w:val="lightGray"/>
                <w:lang w:val="pl-PL"/>
              </w:rPr>
              <w:t>Sprawdzić lek</w:t>
            </w:r>
          </w:p>
          <w:p w14:paraId="13391B53" w14:textId="77777777" w:rsidR="002E5800" w:rsidRPr="008F328C" w:rsidRDefault="002E5800">
            <w:pPr>
              <w:pStyle w:val="a3"/>
              <w:rPr>
                <w:b/>
                <w:highlight w:val="lightGray"/>
                <w:lang w:val="pl-PL" w:eastAsia="ko-KR"/>
              </w:rPr>
            </w:pPr>
          </w:p>
          <w:p w14:paraId="10D9E811" w14:textId="77777777" w:rsidR="002E5800" w:rsidRPr="008F328C" w:rsidRDefault="000E0B7C">
            <w:pPr>
              <w:pStyle w:val="a3"/>
              <w:ind w:left="4297" w:hanging="180"/>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Przyjrzeć się lekowi i potwierdzić, że płyn jest przejrzysty, bezbarwny do bladobrązowego i wolny od cząstek stałych.</w:t>
            </w:r>
          </w:p>
          <w:p w14:paraId="12A88E66" w14:textId="41773195" w:rsidR="002E5800" w:rsidRPr="008F328C" w:rsidRDefault="002E5800">
            <w:pPr>
              <w:pStyle w:val="a3"/>
              <w:rPr>
                <w:sz w:val="26"/>
                <w:szCs w:val="26"/>
                <w:highlight w:val="lightGray"/>
                <w:lang w:val="pl-PL"/>
              </w:rPr>
            </w:pPr>
          </w:p>
          <w:p w14:paraId="676B97B3" w14:textId="77777777" w:rsidR="002E5800" w:rsidRPr="008F328C" w:rsidRDefault="000E0B7C">
            <w:pPr>
              <w:pStyle w:val="a3"/>
              <w:numPr>
                <w:ilvl w:val="0"/>
                <w:numId w:val="17"/>
              </w:numPr>
              <w:ind w:left="4297"/>
              <w:rPr>
                <w:highlight w:val="lightGray"/>
                <w:lang w:val="pl-PL"/>
              </w:rPr>
            </w:pPr>
            <w:r w:rsidRPr="008F328C">
              <w:rPr>
                <w:rFonts w:eastAsia="Times New Roman"/>
                <w:b/>
                <w:bCs/>
                <w:highlight w:val="lightGray"/>
                <w:lang w:val="pl-PL"/>
              </w:rPr>
              <w:t xml:space="preserve">Nie używać </w:t>
            </w:r>
            <w:r w:rsidRPr="008F328C">
              <w:rPr>
                <w:rFonts w:eastAsia="Times New Roman"/>
                <w:highlight w:val="lightGray"/>
                <w:lang w:val="pl-PL"/>
              </w:rPr>
              <w:t>ampułko-strzykawki, jeżeli płyn jest przebarwiony (żółty lub ciemnobrązowy), mętny lub zawiera cząstki stałe.</w:t>
            </w:r>
          </w:p>
          <w:p w14:paraId="25A79428" w14:textId="77777777" w:rsidR="002E5800" w:rsidRPr="008F328C" w:rsidRDefault="002E5800">
            <w:pPr>
              <w:pStyle w:val="a3"/>
              <w:numPr>
                <w:ilvl w:val="0"/>
                <w:numId w:val="0"/>
              </w:numPr>
              <w:rPr>
                <w:highlight w:val="lightGray"/>
                <w:lang w:val="pl-PL"/>
              </w:rPr>
            </w:pPr>
          </w:p>
          <w:p w14:paraId="28EB8C1D" w14:textId="77777777" w:rsidR="002E5800" w:rsidRPr="008F328C" w:rsidRDefault="000E0B7C">
            <w:pPr>
              <w:pStyle w:val="a3"/>
              <w:numPr>
                <w:ilvl w:val="0"/>
                <w:numId w:val="17"/>
              </w:numPr>
              <w:ind w:left="4297"/>
              <w:rPr>
                <w:sz w:val="26"/>
                <w:szCs w:val="26"/>
                <w:highlight w:val="lightGray"/>
                <w:lang w:val="pl-PL"/>
              </w:rPr>
            </w:pPr>
            <w:r w:rsidRPr="008F328C">
              <w:rPr>
                <w:rFonts w:eastAsia="Times New Roman"/>
                <w:highlight w:val="lightGray"/>
                <w:lang w:val="pl-PL"/>
              </w:rPr>
              <w:t>W płynie mogą pojawić się pęcherzyki powietrza. Jest to normalne zjawisko.</w:t>
            </w:r>
          </w:p>
        </w:tc>
      </w:tr>
    </w:tbl>
    <w:p w14:paraId="7575B430" w14:textId="77777777" w:rsidR="002E5800" w:rsidRPr="008F328C" w:rsidRDefault="002E5800">
      <w:pPr>
        <w:spacing w:line="260" w:lineRule="exact"/>
        <w:rPr>
          <w:rFonts w:ascii="Times New Roman" w:hAnsi="Times New Roman" w:cs="Times New Roman"/>
          <w:sz w:val="26"/>
          <w:szCs w:val="26"/>
          <w:highlight w:val="lightGray"/>
          <w:lang w:val="pl-PL"/>
        </w:rPr>
      </w:pPr>
    </w:p>
    <w:tbl>
      <w:tblPr>
        <w:tblStyle w:val="ac"/>
        <w:tblW w:w="0" w:type="auto"/>
        <w:tblLook w:val="04A0" w:firstRow="1" w:lastRow="0" w:firstColumn="1" w:lastColumn="0" w:noHBand="0" w:noVBand="1"/>
      </w:tblPr>
      <w:tblGrid>
        <w:gridCol w:w="9394"/>
      </w:tblGrid>
      <w:tr w:rsidR="002E5800" w:rsidRPr="00A5286D" w14:paraId="638B24DC" w14:textId="77777777">
        <w:trPr>
          <w:trHeight w:val="5238"/>
        </w:trPr>
        <w:tc>
          <w:tcPr>
            <w:tcW w:w="9550" w:type="dxa"/>
          </w:tcPr>
          <w:p w14:paraId="3F8E8575" w14:textId="77777777" w:rsidR="002E5800" w:rsidRPr="008F328C" w:rsidRDefault="002E5800">
            <w:pPr>
              <w:spacing w:line="260" w:lineRule="exact"/>
              <w:rPr>
                <w:rFonts w:ascii="Times New Roman" w:hAnsi="Times New Roman" w:cs="Times New Roman"/>
                <w:sz w:val="26"/>
                <w:szCs w:val="26"/>
                <w:highlight w:val="lightGray"/>
                <w:lang w:val="pl-PL"/>
              </w:rPr>
            </w:pPr>
          </w:p>
          <w:p w14:paraId="59A2A242" w14:textId="77777777" w:rsidR="002E5800" w:rsidRPr="008F328C" w:rsidRDefault="000E0B7C">
            <w:pPr>
              <w:spacing w:line="260" w:lineRule="exact"/>
              <w:rPr>
                <w:rFonts w:ascii="Times New Roman" w:hAnsi="Times New Roman" w:cs="Times New Roman"/>
                <w:sz w:val="26"/>
                <w:szCs w:val="26"/>
                <w:highlight w:val="lightGray"/>
                <w:lang w:val="pl-PL"/>
              </w:rPr>
            </w:pPr>
            <w:r w:rsidRPr="008F328C">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254" behindDoc="0" locked="0" layoutInCell="1" allowOverlap="1" wp14:anchorId="1E418FB3" wp14:editId="18654A15">
                      <wp:simplePos x="0" y="0"/>
                      <wp:positionH relativeFrom="column">
                        <wp:posOffset>67945</wp:posOffset>
                      </wp:positionH>
                      <wp:positionV relativeFrom="paragraph">
                        <wp:posOffset>162560</wp:posOffset>
                      </wp:positionV>
                      <wp:extent cx="2179463" cy="2762250"/>
                      <wp:effectExtent l="0" t="0" r="0" b="0"/>
                      <wp:wrapSquare wrapText="bothSides"/>
                      <wp:docPr id="71" name="그룹 71"/>
                      <wp:cNvGraphicFramePr/>
                      <a:graphic xmlns:a="http://schemas.openxmlformats.org/drawingml/2006/main">
                        <a:graphicData uri="http://schemas.microsoft.com/office/word/2010/wordprocessingGroup">
                          <wpg:wgp>
                            <wpg:cNvGrpSpPr/>
                            <wpg:grpSpPr>
                              <a:xfrm>
                                <a:off x="0" y="0"/>
                                <a:ext cx="2179463" cy="2762250"/>
                                <a:chOff x="0" y="0"/>
                                <a:chExt cx="2179463" cy="2762250"/>
                              </a:xfrm>
                            </wpg:grpSpPr>
                            <pic:pic xmlns:pic="http://schemas.openxmlformats.org/drawingml/2006/picture">
                              <pic:nvPicPr>
                                <pic:cNvPr id="176" name="그림 17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175510" cy="2654935"/>
                                </a:xfrm>
                                <a:prstGeom prst="rect">
                                  <a:avLst/>
                                </a:prstGeom>
                                <a:noFill/>
                                <a:ln>
                                  <a:noFill/>
                                </a:ln>
                              </pic:spPr>
                            </pic:pic>
                            <wps:wsp>
                              <wps:cNvPr id="70" name="Text Box 70"/>
                              <wps:cNvSpPr txBox="1"/>
                              <wps:spPr>
                                <a:xfrm>
                                  <a:off x="1460008" y="2616200"/>
                                  <a:ext cx="719455" cy="146050"/>
                                </a:xfrm>
                                <a:prstGeom prst="rect">
                                  <a:avLst/>
                                </a:prstGeom>
                                <a:solidFill>
                                  <a:prstClr val="white"/>
                                </a:solidFill>
                                <a:ln>
                                  <a:noFill/>
                                </a:ln>
                              </wps:spPr>
                              <wps:txbx>
                                <w:txbxContent>
                                  <w:p w14:paraId="79BADD3F"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418FB3" id="그룹 71" o:spid="_x0000_s1100" style="position:absolute;margin-left:5.35pt;margin-top:12.8pt;width:171.6pt;height:217.5pt;z-index:251658254" coordsize="21794,276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KJOmBAwAAEwgAAA4AAABkcnMvZTJvRG9jLnhtbJxV227bOBB9X2D/&#10;geB7I8v1pRHiFN5kExTItkaTos80RVlEJZJL0pbSD9pfaB/6Re1P9JCS7DrpopcHy8PhcHjm8Ax5&#10;9rytK7IT1kmtFjQ9GVEiFNe5VJsFfXN39eQZJc4zlbNKK7Gg98LR5+d//nHWmEyMdamrXFiCJMpl&#10;jVnQ0nuTJYnjpaiZO9FGKEwW2tbMY2g3SW5Zg+x1lYxHo1nSaJsbq7lwDt7LbpKex/xFIbh/VRRO&#10;eFItKLD5+LXxuw7f5PyMZRvLTCl5D4P9BoqaSYVN96kumWdka+WjVLXkVjtd+BOu60QXheQi1oBq&#10;0tGDaq6t3ppYyyZrNmZPE6h9wNNvp+Uvd9fW3JqVBRON2YCLOAq1tIWtwz9QkjZSdr+nTLSecDjH&#10;6fx0MntKCcfceD4bj6c9qbwE84/W8fLvH6xMho2TIzhG8gy/ngNYjzj4sVawym+toH2S+qdy1My+&#10;25onOC7DvFzLSvr7KD0cTACldivJV7YbgM6VJTJHK8xnlChWQ/OfP3z88t8nEjwgOawJYd0iFoq6&#10;0fydI0pflExtxNIZyBYZQnRyHB6HRzuuK2muZFWFgwp2Xxsk/kAi36Gnk9+l5ttaKN/1kxUVytTK&#10;ldI4Smwm6rVAPfZFnuKU0cseJRkrle+ax3krPC/D/gVwvAb2gJtl+4kI+oAzVOQgOLJu/tE5krGt&#10;17F5flJw02mKVo6Cm00np0+nkahBNmDUOn8tdE2CAeRAFNOz3Y3rsQ0hAbXSgT9gZlmljhwoIngi&#10;/oC4N1FA6BVcWG6gG6NHhP9ST96WzAigDGkPIpqjzk5Dd6Hh/tItgQtQ+7DQt8S38PdyCf4O6YGO&#10;vn3TyWw0GuE6Do06S2e4PbsDHFp5np5OptOO2BDcNfK+HX+ZV6crmQ/SDIRfVJbsGC7ippRe9Id2&#10;FPU//B+qCpZv121ssUnsp+Ba6/weTFiN4wZlzvAriQ1vmPMrZnGhw4lHyr/Cp6h0s6C6tygptX3/&#10;PX+Ix5lilpIGD8SCun+3LNwe1QuF00ZKPxh2MNaDobb1hUap6BmgiSYWWF8NZmF1/RZv1zLsgimm&#10;OPZaUD+YF757pvD2cbFcxqDuErpRtwZXVxpFHYi9a98ya3q5e5znSz3oiWUPVN/FBpk7s0TjXcnY&#10;EgcWIfIwgLajFV8eWEdP27fjGHV4y8+/AgAA//8DAFBLAwQUAAYACAAAACEA9P7y7+SAAACoQQoA&#10;FAAAAGRycy9tZWRpYS9pbWFnZTEuZW1m7J33VxVZ1vfPPO/M2GFmWsfQbZu7TW1ObYsBVBTFjFkx&#10;tbkVFLMgIBlBUJAoRjCMGbXb1rbtnKbT+zxrzd/yrvfHfs73XHZxblF1b12oS11hu1Z5KlN16luf&#10;2nefffb5kxAiSU7079CfhPhBTvTv//cW4ucBQgycuzhOiD+JW7NeE/9HbtR2UbtmdRFiyp+FWCs3&#10;fEsHN5Vfx/xF/M//+y+RIJeHy+Ppn/lv0frD8hw/ymmZXDFcTsfl9HCm77iB4jdB27HtYNO+fxID&#10;5VLzfmqh6b8//vhD8MR1wBpgDbAGWAOsAdYAa4A1wBpgDbAGWAOsAdYAa4A1wBpgDbAGWAOsAdYA&#10;a4A1wBpgDbAGWAOsAdYAa4A1wBpgDbAGWAOsAdYAa4A1wBpgDbAGOq8GBg54V/DEdcAaYA2wBiJH&#10;A6F+k/nZRc6z42fBz4I1wBqABlrL8f/85z+CJ64D1gBrgDXgnQboO95ajj9+9FDwxHXAGmANsAa8&#10;0wBz3Lu6Z91z3bMGWANuaIA5zjpyQ0d8DtYRa8A7DTDHvat71j3XPWuANeCGBpjjrCM3dMTnYB2x&#10;BrzTAHPcu7pn3XPdswZYA25ogDnOOnJDR3wO1hFrwDsNMMe9q3vWPdc9a4A14IYGmOOsIzd0xOdg&#10;HbEGvNMAc9y7umfdc92zBlgDbmiAOc46ckNHfA7WEWvAOw0wx72re9Y91z1rgDXghgaY46wjN3TE&#10;52AdsQa80wBz3Lu6Z91z3bMGWANuaIA5zjpyQ0d8DtYRa8A7DTDHvat71j3XPWuANeCGBpjjrCM3&#10;dMTnYB2xBrzTAHPcu7pn3XPdswZYA25ogDnOOnJDR3wO1hFrwDsNMMe9q3vWPdc9a4A14IYGmOOs&#10;Izd0xOdgHbEGvNMAc9y7umfdc92zBlgDbmiAOc46ckNHfA7WEWvAOw0wx72re9Y91z1rgDXghgaY&#10;46wjN3TE52AdsQa80wBz3Lu6Z91z3bMGWANuaIA5zjpyQ0d8DtYRa8A7DTDHvat71j3XPWuANeCG&#10;BpjjrCM3dMTnYB2xBrzTAHPcu7pn3XPdswZYA25ogDnOOnJDR3wO1hFrwDsNMMe9q3vWPdc9a4A1&#10;4IYGmOOsIzd0xOdgHbEGvNMAc9y7umfdc92zBlgDbmiAOc46ckNHfA7WEWvAOw0wx72re9Y91z1r&#10;gDXghgaY46wjN3TE52AdsQa80wBz3Lu6Z91z3bMGWANuaIA5zjpyQ0d8DtYRa8A7DTDHvat71j3X&#10;PWuANeCGBpjjrCM3dMTnYB2xBrzTAHPcu7pn3XPdswZYA25ogDnOOnJDR3wO1hFrwDsNMMe9q3vW&#10;Pdc9a4A14IYGmOOsIzd0xOdgHbEGvNMAc9y7umfdc92zBlgDbmiAOc46ckNHfA7WEWvAOw0wx72r&#10;e9Y91z1rgDXghgaY46wjN3TE52AdsQa80wBz3Lu6Z91z3bMGWANuaIA5zjpyQ0d8DtYRa8A7DTDH&#10;vat71j3XPWuANeCGBpjjrCM3dMTnYB2xBrzTAHPcu7pn3XPdswZYA25ogDnOOnJDR3wO1hFrwDsN&#10;MMe9q3vWPdc9a4A14IYGmOOsIzd0xOdgHbEGvNMAc9y7umfdc92zBlgDbmiAOc46ckNHfA7WEWvA&#10;Ow0wx72re9Y91z1rgDXghgaY46wjN3TE52AdsQa80wBz3Lu6Z91z3bMGWANuaIA5zjpyQ0d8DtYR&#10;a8A7DTDHvat71j3XPWuANeCGBpjjrCM3dMTnYB2xBrzTAHPcu7pn3XPdswZYA25oIBI43tBwVWSk&#10;p4kd27eKAQMGiMR1a0VVVYVw4/74HPyesAZYAx1dA15yHOyeNTNGdOnyZ8tp2ZIloiA/V9y7d5uZ&#10;/ojfxY7+LvL9scZbqwGvOL4vOcmS3VZM79mjh4iLmytWr14lqiorRGPjPeY6c501wBpgDTRpwCuO&#10;T5480eD4wIEDxJ7dO0RpSbFYuSJBlcOHDTW2W7E9OyuTnyG/x6wB1gBrQGrAC45fqDtvMLpb127i&#10;6dMn4ttvvxUff/yx2LghUc2/ePFCXL58SeTm5IgFC+IFWG/mOY7F92Dd2nWisqJc3L59i58pv9es&#10;AdZAp9OAFxyH35uYfOjAfsVtcBzzxUVFxjLW6dP1aw1iwfw441g6h14mrl8rrl653OmeY2v9anwc&#10;+2RZAy+/Btqb42iz1Ll7/94dg9WIVbn1rxtq+YsvvhDnz9eJ4uLT0s5u3gdcv1BXF5TnmzdtEDdv&#10;XmOes23GGmANdHgNtDfHCwryDI7v3rndYHhWxgkxaeIE8fXX36h1lZVVIj8/35hOnSoUZWXnRH19&#10;g/S/fCK++uprce/ubVFdXal86jhW/z7Q/NChQ8TChQtETnam8tM0PnzQ4Z8p21cvv33Fz5CfYSga&#10;aG+Ow9dNjP38+XPFbJRYt2vHNoF52OI6w63mi4qLxbVr18Xz58+MbwGOTQkSBzNhwjhRIttTOeaF&#10;35NQ3hPel/USyRpob45TnArsZ/J9w5fSo3t3MWf2bDFm9ChxqrAwKMd1tl+5ckWxn86H9lKnPI/k&#10;Z8PXxuxgDbAGnGigPTmux6ls2bzJ4HhKyn5RdrZULV+/Vi9mzpwtFkq7PWbmLLFnz0ci62SmI66X&#10;lJSKixcviQcP7gvEu8A+v9ZQL5KTkkT0jGm2MS8zZV+k3bt3Sb/7efa5sC+VNcAaeOk00J4c1+NU&#10;EFNI9vMW2SZJ8w8fPjSYnZ6WJjZv2iS6dX1DlScz041tuj1uOV9QqNpJ79+/b5wbfwPfC7Snkm/H&#10;XKJ/6dFDBziGkd/ll+5ddmK38T4d075vL46fKT1tsBN9fGAvg6uNjQ/EmtWrDdZevny1BatPSnsc&#10;PJ8xY7qYFxcnli1bJtJSU1vsZ8lz2VaKmJdL0k6/cfOmePqpL1YdMYwHD6SIJYuXiL59+xjXRlxH&#10;bPrUqVFiheyXdOZMiZEbAH51jlPvmO8CM46f68uqgfbiuJ5HBf02yf7evClR+Two/vDMmTMB+Zyb&#10;lyf279sn+vbpI+LnzROHDh4QWGfHcKv15ljGL7/8SlRVnFPxMsRxqxJsp/XUXnpPxk2+rM+er5u5&#10;xRroGBpoD47Xy3yGxD+U8FuD4yixDL8KylkzZ4oDKSmOmAyfOWx0HBcdPUOE5HNpimfENwMxL4iP&#10;wfUQzzclJvpdL/5GoCnjRBqznP0wrAHWgGcaaA+Ol5Y0+1RiYqINW/yQ9GugfyZixsF0sHmp9HMs&#10;XbxILIhfIHbu2ClSpf8kkL2NbUl7k5TPZeXyBDFnzhyRIr8Fubm5jr4HsNcLZXwM4tUbGq6p2HRw&#10;/eGjRtW3dP36dWLiBP/Y9Fe6dGnBddjqaC9NTT2mcgTcv3/Xs2fKNlbHsLH4OfJzdKqB9uA4cp+Q&#10;PYs8KWA22eLomwlb+OmTJ37cJXu7f79+Av505T9xwObU48dF1JQPxLvvvuP4GCvfizmWEdeIeEa0&#10;kcIvhHsK1F6KbRnpadynlG00/p6zBsKugfbguLkvPnIbIh4Q8eLgI6ZLl674cVxn614Zewie41uw&#10;Y8d2R7Y2Yg1xDKZ9Scm259b/jtV8VVWVstFxjeg/imvAN4iu20mOgD0f7ZLtpOxHd2pb8H5sh7IG&#10;QtNAe3Acz6SoqMDPfh0/bpzsU19l8LCxsTEga+E/SU8/IdasWSOioqbI+PIFYnnCMuVDyc7OtjyW&#10;jlmRkCDgc4mfP098uGWL7KNvvb8Vx2kdYtO3b9smDh86qGJeKH8A8RyMP5GWquLe7XLuTps+VeVQ&#10;P3u2RNy+w2Nj8Lsa2rvK9cX1ZaeB9uI4/j7yEOoxH7DH4aNA+yJ4iDbHfBn3TewMVML/jbgVxKwg&#10;dgVjwgVr68Qx1IaJMhQfOq4FMY90TWgjNcemE9NRXpH3ulzGR5I/yVyiHpKTPhJ1dbVh/c2F30IY&#10;U2mF/ObtT07m3wX8Gz+serPjDK8P7zeoPTmOZ3nwYEoLtiF+GzYzco3fv39Psuau6sOD3FjEzUBl&#10;ZkamahNFGyraSFHu37/fltOwx+fPixPbtm11dH78bRyjc9y4HvndqaioFNevX1f+c53lmH/26acy&#10;v1eZWLNqlfLZm3mO5VGjRogEyfzi4iIjTr21uge36y7UiaSkvWoMpd693xJ/e/11vwlx8bt27lD7&#10;cd6w8L5frX2OfBw/l1A00N4cx7XBLkf8tRXTsA55yNGmCA4+evhI9sMJHFNuMLUpnhB2+exZM9X5&#10;Ya+j7dO8z/Rp04WdP8a8L5YR44j4Gatt+rpTp4rUN+jZs6eGz0hnO/zpuD/9d4m5HtDvtaa22pHd&#10;dOG8z55Hjt4k2Y5gZnawZTCdzhGKbnhf5gxrIHI04AXH8fxhNyKeQ+8fpPMMcS3wuaBNETlqkYM8&#10;VJ4fO3JM8Rf9+teuXePXZwjjx+n8DTaP9lLEQAbbz9hukxeAmI7cYGjv1e/ZPA9fkV1uxmLZ3oCc&#10;vOD0yJEjgvJ79coVxv5WbJ83d67jbwe/v5Hz/vKz4GcBDXjFcV1/lXLsZPR/h20Ixph5NlcyBj4X&#10;sO+TTz5WPozy8nOOmQq7GzHlyL+Ftk60k86dO8fx8YcPHRYjJCsDxbEb/G76TaAvo/9oTe159S0y&#10;2+nHjxyWba+bhVWcOtVDn95vK79LnbS98f3BbxnU02uvvipe6fJX8fprr7bgOHIYbJV+o/qrV8WP&#10;P/4o/ue//1uVDfX1IvXYUTEzJqbFMTjn5PffF4sXLZKx84Vt9vHoz5jnmTesgfBpIBI4rj9f5M9K&#10;XLe2BcuJaVFRHwjkRoFdi9zjV67WC6d+dGIr2jdDYTLyLsK2p+PbWsL3gvh05ATDfTU2PjB8MMhP&#10;kJ523DI349/+5u/nBsNxPHEcOX+rZFz7l7IfE7gdbHr29BPVnmBln9M6/GbSnw/Ph+9d5Lrlum2t&#10;BiKN43QfyKsVqJ8NxhKCz0Xx/LPPmtpFi1xjrc5qy/ZNC7tbP8bJ/J6Pdotp06KM+HTyuaBE+wD8&#10;6L169DC+aeA28RUluA2Opx49LM6Vlxl2dzB+69t//eUXcelCrYDfRT+3Pg+fS2ZGGtvn8vcr6ZNL&#10;rotI0kCkcpzqCPZ58t69yudibhvEMuxz5C9H/Pbnn3+ubFvYuqdPl7rCdNs4lTZyPDs7R8VLHpR5&#10;vsB8xKfX1V0Qt27dVlxHLCYmjLcxZPC7TSz/ixxvo4f0D81UbQvoswqOl5WdUbEul2RdId7n999+&#10;C2qL6yyn+cePH8vznpBx+UtFv/59W3C9f//+yueCPlaIq6RnxCUzjTXgrQYineNmfRyyiFsEyzDB&#10;fqfxKGDTIr4bYzU7sY3t9nEap2J3vN16+OsRS2O3Hb4i9CvCPSEmE/cH27ywIFcx+9Spgia2/1kt&#10;F8nl7KxMY9vTJ5+0iuXEdPjUc7Mz1N/UbXN9HjH4zHNv31/z+8HLnfN5vGwch04R63LyZLqKj0bs&#10;NXGcSvSn3CAZg/F9EL8N/wvs3FDt9DQ5jgViXZD/3I63rV2PfF44v93x8OHD3kZOgVjZX4ruDTHm&#10;mLJOZqh1a9esVsupx4/KdoICkZeXq3J1YZ8SmZ8M9wz7/BfpP/n1119DZvu333wjzssYSLSZjh41&#10;qoWNjvqJjpku+9muknH059hGD4PvpazsrKrfuLi5SvP4vQRd1F2oY19XGOr7ZfwWvowcN9dzMF86&#10;8iqSLx12OnJylZWV2zKU2Iq+OYhXpGU3S4ydEeh8iJFBvi/sg9gTcPyNN/6hmA1GH5L5AbDugPQp&#10;gd9HZdwL1lNZUJivfC9Yl34iVY2FcVUy/YX0Pf3wvS9+hWzvUMobNxrER7IPkW6X6/OIhUxJ3stj&#10;bbjAF/SzQNuEXr9W88gVYX4neLlz2eUdgePQLPJQIdYaHCHbVS/hn0C7Iexzak8M5HeBPYzj3YxT&#10;IW4jDhL9kGjZqkTuGOQdwLYPJk9W1zJS/vYAlzFhPFFcX6b0Z+fmZMl8BnkyVrBA8v2A2g4fC3wt&#10;WEdsz872+V1g3zn1oSN2v+7CRXmuUzK3zGH5d3eqaeuHm9V3xoorWDdi5Hsy/v+0bK+4x4xpBdPh&#10;r7KrW6v10P258jNc162o647wzesoHKdngbzfyEO1evVKS6b36N5d5bLKk5wmpn/27Jka802PSUeO&#10;RfQJtWJsW9ch78pHu3cHPPeC+HgjrwDaHMFsxNcTx3Ft8LtgGT4mlDk5mQJ2OObhdzGvo/2wviBf&#10;cl+WiCdH3RHXEQOJvqQ5Odkyt0GyHOd6l8oNhmPB/4sX62R/3Cvixo0b0ld1S/lt4HNBXD7892bG&#10;DB8+VMW841vzLxn/T8+JS3t7EQxHvVFddu3aVcyeN170H9RbLFspxyBfM1BMnznG2E77oYRG4OO6&#10;fOkC13UnYnpH47iZD+q3qfQr6ra5Po+2OsS6kI2OmHTk0I2Ojg6p375TtmPsaPz9QDm6YK+jrxLO&#10;iXm63rlz5yj2gr/vT54k+6pu9GO2zmlq8ySe45isLB/bsR/86FhH+1XIuHPknywrK1P2NvpdoQ9t&#10;KD71z2X85z4ZW6RzRZ8H5+Fz4TwA9gxH3eh1hvmDJ8eL6o9fE9NiRoljJ9ereSyX34wSqVmJ0l55&#10;t8UxOO7Y0YPqd6r5neBl+/p/Weumo3MczwW/7eFzQd4SYqJeIn4RfW90HzrGmkM/TKd8drof4l8C&#10;xangPPCnwK+CeYyfQde6LznJ4DjacuEX1VlMzNZjV4jt4DJsYuxPfpac7JOS5znN66QPBm0Nn3/+&#10;IuT2UN3H/tOPP0heJ1myhRi1c/s2ZozJXoRO4R+hOkK5N2WtwW0zx8FyTCX148T6jUv8jqNz4Hwv&#10;K5v4up1/bzoDx3U9XLx4XuyUfYjQ/5z4SCVyuiDGBf3/Ee8CGx396K9duxZybhcrrmOMI8R3BIpT&#10;Qbw68vCmNeVymTptqnGdyP8FDoPH3f/ZTbVvpslx5OBLwUT+b8SuFMl+9ViXk3PS4DTW4dh0OZ4o&#10;8Rzr4EM/duSIYZu3NWaRmI5+pfDbL5H9/M18Is7MnTtXxawj9qKz517cv6/529dT/nY5VvC+wXAr&#10;e5w4TmV+7Xti/rL3xLgJ/vl2dP3zvHM2vkx11dk4rj8b+FyQA9zcvwjcAc/J10Ilxrpoi42+R/rc&#10;YY9bMZ7W6fY6+WDoOwP2Ytq5Y6vMsTJetWOSba1KyWNwE2wnToPRsMkz0n3spnZQ2OFkq8Mu902+&#10;dtA7t2+3yR4njptL9DklfluVnT33op7vDDwmPlNpZ4/TdipP1/nb5tzW3DHZrbOsM3Oc6uHmzeti&#10;08YNht0Lbs6OnS3tVJkP/O5tYR775+mnT1ReF/TBJP46KdEWiFzpdvtmnTyp7HXKs4u2TGI48oWD&#10;zYWS0/379VH502F3g9uIO0xNPaq2w67GMibwHPY2sR4+cWI3+WB03mdn+Wx3t+xxM8exjDwAT598&#10;rHIJR0fPUPdrZvqQIUPE4oULlC+sM4ybhN8h69etM75xb/bqJYqvDm41x8FzvU6hb9I6lx2T6czx&#10;5uc6e/Ysg5vET5QL5scZ+dDJNqcS7aJOYtHBboxxYcdwrN+3L9mIVwfv9WtQMYRNtjjWYzwO4jO1&#10;VcKPQnY3rYPdDVsbvCa/jD6vc572Q4y5FYPDse7xo8aAuV3AdOR2QX71jsqgyqpzftxF2yXZ1nrp&#10;1B5njje/0x1VM+b7Yo43P/P6hqsBc3OlHjvSwtcCniPGOljeRcShI29iII7reRXBdOK4Hjc+TeaT&#10;wfo0jI0hbXGdyWA38Z7sbeI59qN1ar4pdgU2OvGbOB8OXgc7Z2fOvYj+mWQ/z4ubZclwsLm1HOfc&#10;Cc3vuJl/HWWZOe7/jOFLRG6u3bt2icmTJ7bwncOXHj1jmjhy+JBfvCJ4jjxdN27eVPmu9Fy6yJE7&#10;duwY2fcyJSDHFy6IN7ZPndrcvrls6WLF64zME4rh02dMN/wjOp/9ON0UP05+FH0/nMccd4jtaCdF&#10;3/pgzA3X9t9//U35XHANyLNuFY8O+3zhwnj1veoIfCqXfXd69uipON6v/9ui/NZIVziut3XW1FR1&#10;2N8yHYXDbb0P5rg/x831iX6i+2R+P7KNzSX6iSLumvwsVH4hYzUoR1e67HOJ8YQC5TyHLYxxRWGv&#10;I7YccS30t9CvHpydM8eXZwUxJ8Rs2OQ5Tf00yfbGOooxtIoZJ3+MznbFcWnPB2rjhG+7Ufazqqwo&#10;E+nSH4/YzCOHUmSfoIawsT8r44Rhq5LNqpfwVb2MPpdK+a3CpN/Lpr1SS9Lu1ifEiB9KX6nWhWKP&#10;M8cDv9fm9/xlX2aOO3vet2/fkrHcKQI+dLCbGEslcoGjr/y1hnq/OHTwfNfOnWoMnvx8GU8iOW01&#10;oc1PjQ0tbfc5sbHG+WF7U2zgwIGDxLatW5QtbRVPiBhx8BhtnTgGOWiV70XGrFCsOWJgiPE6x+Fb&#10;x3q06ZK9DW7fkfe9ZfMmsSB+nsqZ+97w4arPIJYxhlPs7JlikLwuTMuXL1P9CNEfiM7hRonci7dl&#10;LCjaepHHV2cfzWOMpMTE9QK+5gcRngsA33381tB/b0RNGyvO3e1jMLyysadY++H74p/dugmMHwK2&#10;T5g0XPlWNuzpIU5dGmXsq3Of5qfOGGvUE/pOvOyc4usPzCnmeOD6sdNPfl5zP0tiuV7mybhtss1h&#10;t2IecS5WY4zCXsexsNcxtoR+noJ8X7/LpL17VJwK2Ev2NLhN7ZoUT6ivo/2wDzGe1uE8WEf9gBDb&#10;gveduIsx5MBmuhbcw2M5fhFtN5fohwjfEe2PMZ/RH8i8nxvL1+W3En2piOHmEvF7yO2C31J2z8/L&#10;9TR+IV33yJHDRMX9ZoaDxYm7+qm6XLo0TpWl9b6S6hflug2LRW7pOkuex8wZb9QP2ky8vF/+261j&#10;TCj1xhxvfR2DE+CslX2O92zO7NmiQMaLfCj7zxPTUT56+EiOc1Fi2OUUp0K5uehdRZw4eIsYwj6y&#10;b9D06dNaxIzjHaUYQ2I81sH/bWa8HjNO+yK+nOara6oVe4/KXFt0DeCx03HiYDfnyPZTnf/lcowL&#10;N9htdQ74c8xMJDaiRN+jU/J3RijvQ7j3hV70a8T8hu1T/FgMpg8d9o4Aw+FXwbPIKFgvxk30xZQj&#10;PnzSB835mrdsX9TiO8Acb/17HW4NhOP8zPG2P2/kQ0durvj4+ZZMf+vNXmosiKrKSjXGD1iOsX4e&#10;PLiv8kyhTyPiDJcnLDf4CR8KMXZ903ilsJmtYsbRPqnHjIPL5D+3ixnH/jgX9lXzMhYHbbdgMHwn&#10;iM1xym8rxiJmecOG9WLwkMHqfBi7GfY+jflsdUxr1iGvOsY0Ra51xOebGYll2OcLZBsyvmvwj4Xj&#10;PQp2TuRv02PE6TpnzBwnyu80+8Xzq8cqXo8c11uuf08sWjpDTI4aLlavixexC4Y38/7RG+JU3TgB&#10;H8u4iYOV/yV2QX+RVT5GVNzrJ+IWNefR2rF9uyf3HKxOeHvb2UN1yBx3ry6pThFvAX8t2bTmEvlz&#10;Mf4m2eibNyYq/4a+H3ztYCxsa/T7gW0O3pJfhNo0dWbr6yhOhWIJsZ8+j31xbqzH9wF+9CFD3hUr&#10;lye46g+Bjx0+F93nDx8N+gK1htvBjsG3J1huF/zGaG+fy7ZtW/2+Mdt3rRSYyJ+NsuRqs18K83tS&#10;1igNHc6eo0owW99fny+sWi1GjRlqaG7CpJHG39u4QfrETLlceNn9997LOmWOh+d5wkaH/TdrZozx&#10;bumcRi6XUmmf3rx+TUycMKHFPnm5vjZL8BuxLmAu2iFVu6WJyWR7Uwk2E9P1dRS7orMf8/Ctox0U&#10;bWrh8mmDv/CxUB3gbxWfynPdPifONz64K47LsTXI7rUqkXuxPfo6Iv+D3qZJ/nCzTzwuYbCqnwPH&#10;1qr4Q6qrvLKVan16SeC2TcQsfrjD95vutVdfNe6dOR6ed9xLbpv/NnM8/M8Y8QmI7Rgy2Pee0vtJ&#10;5Stduhh8myLHAIJPA/EmiCfHPsgZYGYv8Rl+E4o/oXUoqf2S1ukx4zgX2es4HvsglzniPYiD4Srh&#10;V7kvv3HICYV20d69ews1Np3MgfDlF23Ls2h1zbDP4XPBvQ165x2DbcR1xG5jvLT169epnDrm96Ot&#10;y4XSP68zHH3u86o1/wjiDKWPZN+x+aJv394i6+xUZXOv2TxCfVexvPeEr82ztCEwx8k+h19lyrRm&#10;vwryyLf1Pvj48HOiLXXMHG/f5wMfcWKTv5s4TuW8uDjFa3B2966diuEJS5cqv7LOcdjkFDNOfhas&#10;I55T7ApYDU7jWNoP84hToX1ht2Me14B8MlYsDOe6K7LPld4uijZW9O0Mx9+Ej6dK5lm3y70ItmMc&#10;taqqCle4h5gZneFodzgj406It1QeL3xP1T9iVLCO2jYpFgV2emzsjBbH0fFWJbdztu973RYGu3Es&#10;c9yb542+iPCBvzd8mHily18FfgdjzE1wFvZ4L2m37ZZx59XVlWqdbneDybDXwV/EiBOnKWYcjMe8&#10;Zcy4jE+h43EcWN8g8xGA45myz004+OnknPCXHzt6VMWf4FqmTfP1mX329Embrun5Z0/FDRmneF7W&#10;Y5nMrV4h+09WV54TeTLnzJ6Pdqm+V2Sb6yXyGqNttljWI3xkdu8angvsecTNoE0Ek34emo+dP1ZU&#10;3B3agsVoq3y7Ty+xKnGaQMw4luHnjo0fYew7ftIwcSRjjbFsxW3zOt0/jjyTdtfP6715/92ud+a4&#10;t89RH0cXecHBXnAMDHn29KliNHEaJWxpczwhbHFaR3Y3/CrYVz8W89SmiXkcU1pSojiJdkj4N5ww&#10;N9z7wEePtkjUAya0iyLGMJS/+++ffhQX62oUu8Fvu+mKHKfu4cNG5UvXbWfiL5W7dmxT3zv9/YO9&#10;TdsDlQkJ80XVw25+HIatjQn3N3Oery9+ueQ83fPpS74xgOBDxzqzL93MbfMy/Dd0Tdwv39t3XNdM&#10;uOaZ494+Y3rXUCJujt5j+JAvyjEWwVvEHxKflS0t2zwRuwImYzvFnsA2JJ5TmyZ4Tr5w7Es+F5zz&#10;oIybaZC2KvgIfwbaZENhZbj3RQ6A99+fZNQJWOqkHfaXn39Wdrcdu83rK6W9+tWXL6TN6iz3Iuxz&#10;5ALQn53d/PuTR7dgcLlsj6TnjBKxguDwgYzxaj3aKonLYD1iyWnZaalfT3u05YaLT3xeZ3xijjur&#10;p3DpCW2MyKWC9w7+lbffekvZfYiLVgyX7EUffPSbV3HeTXnGKWYc+xCnqU0T62ieSqzDOMzkL8d6&#10;nPPFC1/bIvrS937zTeF2n/q2st4XH35b5ldPlWOmzlCcw/cOvnz4YpBbS/8bP37/vYxzlOOMBrDB&#10;9W1VMk9CRV6BKJf7f/rxY3UunBf+KuQhxBjXOhMx379/fz//CeJPDucMEUV1cmwPOZ29MVbFm1j5&#10;UdAGOWnKIMVm8JnaNRFnCP/Kmk1T/Gz32bFT/ePG0S4aZCqqTfC7ZsSuh0u/fF5v+UH1zxz3/jls&#10;M8UWI14ObLouYxJ1TlMsoc5pzNN64rk6pmkMOD1m3Ly9VsZ16wyEPQ4fhr4u0ubRBrpooS+OB7Ys&#10;5qm/EuxwndFO5qsKC0XtwWOiJj1blJ8tFfDH6PeM+Jrc7IyAbaN2+cLNvIVvBH00wW/Mk68E/hS0&#10;9SIPln4MYsJxj0lp/f3W6/tYzeN66NuzImEZM7wTxM4zx73nOH730ntHJfoowhaFb6Ws7KyP501s&#10;1jmOuHLiOJXwi8OfovZryjOuz4Pn2G4eLwL5sMAN4qLOs0iat+tbVCXzMDpht75PxelixXGwvOpU&#10;oai/csmP4/p92+VezChMDMpZ+McpVwrFpRCDyZ+CuBVah5L6AaGPp74+2Dz6F5GO4Isim41L79/1&#10;cD0D5nhkPFvErwx6Z6Dx/qEv+Xff+HIP/vrrryrHFnLKgsd67ArlNoSfhNiNtlIVu5LZnGccbajI&#10;7QHWY/6ijPfTGYX5J598rDiO2Au3+8+b/5Zby2ijxPcH14zc8ONkTPq6NatUPIrOa7v5chkHCoZj&#10;qk7LVN+Bb776qkXd0PWiXs6dKxdrVq00crvsSvLvl2nF2ZWJ76l4cOQwRFwK7YP4lLfe6qFyGyKO&#10;nNYj9yH6Sg0a1N9vf9puV+J7MXTou4aOiosiK79MuDjW2c/LHI8MjkOHZbK/I9lRKBHnbI6lRn9+&#10;TGelD+D0aV/8CdhO7Zewtcl/Qm2jiGdBLCP4T22jz58/t2QV5chCjAOxK9JLtFGC08jRNVPmcMdv&#10;CkzIX5Z69EhQG504jrJCnufenVuO731GzESRsHyewV8rvpJdjZyFtB0+E/KbULwKbUOJtk/cA/p2&#10;6uuDzZvHWH4Zc7N3dia35v6Z45HDcTw/2NX6uOlg+f17d1twBXbhv//9b/Hs2VNRWVkh0I9fjxnP&#10;lcuILzdyssj4FIplQT/x//v77y3OCV7jvImyb+PoUaOM3wORzPGffvhB+bV1ezsrM02N00zjOaH/&#10;TUx0tMq7ou9H8zrHa7LyxNUAvhVzXUTPmiiOnVxvy9rEbb7YlJ0Hm+PBjxUNUrY27G3EimNMZfhO&#10;ZsS+p3JkwWZfsnaAssXLb/liEoPxm7YnH1pj2ALz4uayT6UT+MbBDeZ4ZHEcz8ScjwNxGmZ+mJcx&#10;/gPyJ16U8dCwz8lXjvhD+NBhh8MeN7dtms9Dy+gzj5xZ8EXTukgsb9+6GdDeRn8f3AfZ6GAn8mgR&#10;w1HqHMc8+gw5vddAHCc7nPplgrVo20Q7J3zlmLCMPvm4PuSiJR/6oHcHhmyL4/z4ZtFvOoxP3Rrb&#10;jo+JPCYEeybM8ch8ZnYxLMH4Qm2jxbLNDjz39dfPUfHnyAnww/f+8Rh250MOW7DljOzrYrdPJKyn&#10;fpo6l63mi2WMJfLBE88XL1woDh1IEec0/zjxvOpcmeN7tuM4MdzsMwGn8S2Bj4Um5QeX8Srl0vaG&#10;X8R3jX9R28nOdlIizpEYjhJ5JoO9/7w9Mt//UJ8Lczwyn+MtaWeiv7f+XiLe2yk7wfNPZLvl5cuX&#10;VZ7xiooKYecTtzrnL9Jnk7x3r+jXt58oLMiPSB/LvTv/8rOrrfhtXgcfOtpBle9Kjpf2juRnfNRU&#10;kbnzI1Fx4IiyzcF2qzqxWmfF8XUf+vKlgOGUW/x0wzvG2A/7UueqPpzYDmavSBxrxIwjvhzrxowf&#10;bOursWP6qfOjDb307duHGd5JfCpgPnM8MjlO32PkViWWo994SXFhSHGBjY0PZB6XndK3csoxm3Re&#10;If6cbFiMPapv83L+xWfPQma4melYXrtqlXF/Q959V2TsSRZnZR07vTczx+EnQYwJ7GqdtzR+D3ws&#10;xG/UK+x2fT+0a2J9/Ar/cd70fezmN+9709BKdMx05jhzXPzxxx8BJ+I/8YbL8H0PkLOJWE4l4k+c&#10;9FH/7rvvFMeTpU8Y8YtO+UT7wT+u5zpBPAv6y9N2r8raprxXVmwOZV2lHPu6JOWQ2JmYqPrVgqFR&#10;UR84/laaOQ7G4hzUxwfL5GMBwzERv80Mhy3evXt3tX1/Ruj2+IIVwwydoC8qv5PheycjrW6Jx8G4&#10;bd5Ox0Xa/XTE66Hx1Ynheok2UORNxHjy8IVYcbW4qFix/P69e5bbrY4xr0PfILSVIk4b/lzkPdm+&#10;TfYxefyo1ec0/w2ny1/L+O5QWB1o38ps2fYr2zYxnd1/UOxZnygmTZqoWIq23iTpW0KuG7t4eiuO&#10;jxozWPXNRAzKzHm+2JSdKTGGHY4YFrNNjbjvhSt8Y24iT0P57dA5PjmqeQwg5A5ArrXkpCRxSbZ9&#10;d8T3gu+p+TtFPDZzOtgyHcd12VyX4awLjEOWJsfT1BlunkeMIvJrW/XHPCjb9HJysl1hLn4HIC4b&#10;diUmxIOgTa29YlsQ3x2IzaFsq8nMMjiuYlWkfV4v+9CiDjFekZ4b3WrMaCuO7znWPAYyYlPQnrl+&#10;22hVV2YbHDynvp6vv+az5a32MXPfavkff/+7rT6QV/PMmdPM8w7qayEeB+O2eTsdF0528blbfiOQ&#10;a6/uQp0aZwI+ULtcq7Nnz5J9f46Kxgc+G/yzZ89EsvS1X78WWv7XQDYy+psiBgZ2H3iHMZUxtjL6&#10;O3791deufDOs/v552UcpFFYH2rc2Nd2P4zW5+SqGpVoyr6HuvLh15Yo4V1qq+owOH+bLg7Jl80aV&#10;ywz3b8Vx9MuELY5+9qXXh6lxNzHWz/60GKM9kziM3CqUN2vwkH4qnhzraLvT8vSlKNGjxz9VDgdc&#10;H34vmb/zWEb7LtrPDx08IMf4viwaG+8x2zsA24nHZk4HW6bjmLUtWdvedYJxI6zeWVoXP2+eyvWE&#10;eBe0edbXu8dynbPm8TfhS6fcAvp+bZmnvpuB2Ox02zmL2HHY5DVH08R5aZeXl5ao70WljN+8UnpW&#10;fP3pU/W7AzHa9FsE+SkD9QMCh9dtWCyiY0f7sZliDvH9o7xZaB/VY82dMhz7Idft3Dj/fgY3bjQE&#10;zauO33DQT3trlv+eu9wgHgfjtnk7HcfPw93n0dr6hN9lf3JyQJ6DPx9u2aziCdH+2Rae2h0Ln0ul&#10;zFdF/gj4mOFzsds/1PV3ZDymU04H26+2Kdch+cetyhq5D52nWrYz3K2uFV+9+FzlayeWb92xwo/R&#10;Zv5iPz3+hPIbUh0hTxb4jXYH87FOluGXwd/YuGmdZT0jr/o+6een77pVCb9LSUkR8/wltc2Jx2ZO&#10;B1um41rLHT4uPPyH3wW5UTC+py93lC+3ufndjY6ZoXJsP3z40PLdD5Wv5v3RLojx4tbIuD7wCoxa&#10;tnSJujbk9zbv72T5999+a9EHnxgballeclrUHPf3qVhxXNnncr+ajCxRVVCgmF4tj71Ze148vHFD&#10;jBv3XtCxM3ftWyr6D+qp/Cu6HwV2OBh+7q7PnxK7ILT8tMR4+HDA8UtXA38v4fOvqDgntm7bGtTv&#10;grGZ2e8Snnc0HOwjHgfjtnk7HReOa+JzuqcfsBS5S80c15fJ72IXk+GEscH2Qawivitkwy5fttSy&#10;PTbQeZCHMFRe2+3vxBa35bpmo0+cNDIox8Fbih/H/ZMfhWITaZxlGheI+Oy0jF/dVdXr999/GdL3&#10;sfHB3aB+F+iE/S7uvY/hYhvx2MzpYMt0XLiui8/rrnbgd0EcuM5v8/yY0aPEpQu1juLSA/HWbhu+&#10;E4gBwVigxPNMOe6O3f7m9Z89/dQ1jp9PzfBr37Rjtt368+knRe2pIjFh0ghHHCebGfcNG1xndNzi&#10;Yao+ED+ur3c6D997wrL5juvRXK8YAyqY3wV+9FOyfYXfS3ffS7fqk3gcjNvm7XScW9fB52kffcDv&#10;Ull1TuzauSOg3wVjp2Fss8ePfWOdmd/9ti7fu3tHxYBMnDhe+VzmzJktcz1mBhxXzq14wwrZt9WO&#10;z6GuHzN2uFiyZK4j/oLT4LmeZ/zM9dGiZ8/uIqMocO5bO6bDT9Ojezdx+17LfPKhPiPEGJHfBb+d&#10;zN95LA8ZMkTEzp4pkpL2qripxocPmO0R4FMnHps5HWyZjmP+tg9/w1XP8IE68bsgH0C4/C6Iq9D7&#10;jMJevyb9QWYOXbt6xRV7vOpktmscHzVqmIpHseOs3Xo9XsU8npvdMVbr0Y9/8pSxLerKXHetWUbu&#10;e4xpZxfbCq6jrzHn4/KeAcTjYNw2b6fjwsUXPm/7agN2+tkzJWLligSBuPSePXq2sMcw5jD6e6MN&#10;leLSW8MHu2Oef/ZUjZ+MePRevXqptrj9+5KM/pQXamvazHHVvnkszRWOVx08Kv4uc20dzQhtrIfD&#10;+eNUDhbEGcJXnnd+gCN73sxxjM2M9uPk/bv9OI74FPP403Z17mT9D99/Jxrq68XGxA3qN5yVnQ6e&#10;YwxCfm/b972l+iYemzkdbJmOo/Nw6c3zC1e9o31Uz9Fl9e7CZwp/uhMWhLoPbH/kJgSnyJe+Y+vW&#10;NnO8NiffFYbD/7J17TrxSpe/OmZw+c0oI9cK8tdiorZOM6OdLON41M3de839AfDbBuvQDwh2spMc&#10;PKE+G8S9HDl4oMV3fsGCeOa4Rz4W4nEwbpu303Hh4gifNzK+CxiXYpPMIWXFcVq3euUKlQ8gHH4X&#10;xChu2bTBYLnTsdqs4lRgi4fq/7bbH7m1wMuJsp3TzNwz1yYb6+ATR+7DrbuWGfcwZfooxe+2MBx+&#10;cfq+/fRzc18AxAXp42Zgn/zc7LDwHH6XObGzDG3Ad87vrTfvLfHYzOlgy3QcPzdvnlt71zv8LuiD&#10;T34X5HIijlMJxsLvoucDCNXWs9sf34itWzYJfay26dOmiT3Sx1NafMqRnV6l5cSy47OT9UV794k3&#10;pd8HjEzKkOM/SKYeyh4ipkz35R1HuyMxFiXGbpsWM1IgPjC9ZFRI4yabvxG0vO3gO+pvnCk/afl7&#10;6PPPn6v8CBiDmtqSMc5bamqqiuuHr8SurkNZj7+j+8+5L5E3PCAeB+O2eTsd19484b/njU7M9e40&#10;Lv1KCGNdBuMH2diF+bnK5tR9LrBBMYYb7WMuy2UffPS31zldk5krarLz/Nbp2+3mZ03+QDF0/cYl&#10;qm8P9ctctHSGgO+EWBvOEm2jGzYmOGYxbOetH242vi+oO/itsD5YvQfbfvzIYeObjt9uZq3wcvjf&#10;WeKxmdPBluk4fkbhf0aRXMfwu6xIWGa8x2Sb6yX5XdqaD9HMZozVtkS2iZLt261rNxV7Y2Wf1+UV&#10;+PG6TvbRNPKnyP7o8JtXH/Llr7XjN63H3wG7wWkaEwI5VNA/PpzspnPDHwMO198sDZnB4Db4Td8e&#10;1B343haeI8em/rwjWa8d9dqIx8G4bd5Ox3XUeuH7Cu37BL9LcVGh8rvY5QMgvwvi0luTD8DMcVqG&#10;fX5Q9iOfPWum8ne8JXNXxURHK796ofQNV59szjEOFtccPi5q5Ric5WdLxceNjeKa/BZVl5XKPIen&#10;RWVenqiWfXzsmD5l4kQZS9NdlFyJF2s2TRFv9+klWtsPk7gcSolvBez+SZPbFmuoYlBkWzb8LPC3&#10;4LsA/wv8MMhXCX9JMDuctj/99BM/jt++fYtt8nZu7yQemzkdbJmOY96FxrvOUl9O49KvNzgfK65a&#10;2n3E7kDlR9JnDi7B1nzjjX+osX7QLkn2NMaOwPHInUgsQvmpbCNE7hRsg62O/po1R08YxxXtS1Hn&#10;jE8YbNiz5r6ZoTC5NfsityLuq7i4wO/a9fto7TzaQ+m3DUr4qpDzzMnvKN0e53jy9mcC8TgYt83b&#10;6bjOwiW+z9Zp8/r1BpGbkyXWyLGNJ4wf72e30buPfABoH83NyQnYn/PKpTpHHAeH4Vs5efSoWDln&#10;rpggzw8uTRgl/87sOSI744T4IoC9+eLJE3Hv1g1xQeaUwpjLVTKfSoVk/04ZZ4jzbN+ToErkTKlq&#10;7NEuvhQwH7nM8X1C3PmXXz1znePgP5iNGKEc2daAOH7kyOzdu7eaxzpsM3Mdy/QsUTLHW/eutIUx&#10;xGMzp4Mt03Ft+dt8bPs/b6/rvFKyEXHpeoyDzgDM28Wlh9IvH7Y02d8oK+S0eK4v3hosRiwjeBPM&#10;dv3m+XNx6az0wUj7fNnSxYrfew+uUGVrc4W3xg7HMYm7+qm/W1GdE/S6g91XKNtvy1zBeiwjfOtn&#10;5PeNzoF8W/ozvCr7CHuts87294nHwbht3k7Hdbb64vt159uD9lEn+QDAEOIFbOhA/hTaVin99DrD&#10;MV+Tnq2OzZc25dSo0PMu/vTtt2LLOt9Y9ofTfXZ5sPEjWstru+MQoxIbG23UB9VLe5V4FnqOM+I5&#10;+h7pHOd3xJ13JJR6JB6bOR1smY4L5W/xvu3/fCO9zhukfxx+F8Sljxgx3I8HxIZJEycov0tebo6o&#10;LD9jy/JyaSNW5spYwqZ+9/Bto42z4nSxOHe2RDxuvK8YiD7r6LteXFSk2vhgn2O8i20yL/ctjFct&#10;/QRWbMyU/hjsm5Y/X5XoU2/HXLfXI4/WgAF9xdPnvnuwur72Wocxns7X1qox/MaOGS1844r+Rbz+&#10;+mti80aOO/TinSMeB+O2eTsd58U189/suN8D8rsQw61K5C6Hj5vsb5QVMjdMTXa+srtrZYxhhVyH&#10;9eWS3w9u/UtgDAo7zpnHVLYbw2jRwnjFb+QojI2doebRB8htZpvPV35rpPpbK1YttL0Hu3sL93rk&#10;XXnt1VdUfgI8q5s3r7FPpZ1jVcBD4rGZ08GW6ThmasdlqpfP1kk+gAUyt27miTQ/nutsv15/Wfz4&#10;/feO2Yc83HZ5F5Gn5LVXXxVRUe8rbiNeHLY5GGvmrtvLNM7Epas1ju8F/Mb3CX6QK5fbntPW7nuQ&#10;mLje+A01YcI4ZrgHDGeOM4O9ZLWTvw2/C+LN4XcZPnyowQzdTo+K+kDAVk5POy4ePbwvfmjj2KOU&#10;d3GF/JuI1UDOqf79+4k+/XqpPvgV93uruBHEjlQ29gwrxxEvPnxkX5GwfJ74+ZefQuI4fEd0D7rf&#10;yK08OPfl2CSoH3oWB1L2M8eZ46wBjzTghKeRsg/8LsiRSuywKndIPzdsUTsbMpT1l6UtC7sbE3Kj&#10;wNZGLhUst0c7J/KLI87wt99DY7h+j+A2xmHS+3Did4e+T6jzOCfiiqj+MY++YJGik852HeQfCeZH&#10;MW+n4zpbffH9ev8bBmPQoJ8R2kcXSjscefaIJ3qJuPTE9etFdXWVar8MxCpw6UBKiurfeEf2R0T+&#10;GPRtRB/UOQtHqDwqYDhyfqMP56rEaWHvh598ZKH6XkyYNFrFbQe6fifb0IezTsZa4p7wHcLvCRqH&#10;KdTvHmxvquuRI0eosYH43fDu3SAemzkdbJmO42fn3bPjum+ue8SCL5T5r4ktVmVMTLRtHhHdL072&#10;N8rD2XMMvwkYjnVtGb/Hqe/8VN049bf69+snxoweoebRB4d4faGuRiBHLS2bS7t8KZQDeNG40WJz&#10;zCwRHxOjzo37Stm3z1F+W5yb6hf9ADhevFmHXr2TxONg3DZvp+O8um7+u95rJxKfQansV2/nd+nS&#10;5S+KWea8UDT2AsY7LqxaLfYeWq18Jhh7Tecu8oaDd+2RTyVO9v3H36q+mKnGQ8I8fh8Qr2FHw1dC&#10;y3qJNtnhw4aK8zVVftvxGwPn6dOnj9g2aZTYMWaImhJnTFfrsA22OvJoBfKhI+8ZcTxO5maJRB10&#10;tmsiHps5HWyZjuts9cX3G/nfj4L8PIMz4E3UtLGi+NI4UXJxhvjggwmyzbKv4hn6nKN9FP4FxIKj&#10;37vObcwXXx4qwFRsHzm6j4CdbN7H7WX8jb59e4vyqlyDw+mpR5UPhHgNjiMfGWLgv/yiOU9MTVWV&#10;eFvmCevWtau6R3Vv0neNe+36xhtizICBYusHEw2GE8u3jx0mVk8YLcb27SeGDhik+tuijfRUQb5x&#10;frBdHzcCtnjdhTrmeAS0axGPg3HbvJ2OY65FPtc60zO6J2ModH/5yJHNbIYdDZtTxZncniNWJCxU&#10;fVf2pKxR4/NknZ1qbEdcIY2bhmM+3LFcYGwft5ltPh/GDsLfW7RklsFwsPvooQN+HL9184bRtxL3&#10;Axv6shwfE8diWtfE6v9l78ujriiufeuP9yKamKCiIDLK+KHMw4fI+MEHKiCjgB/zEAZFjYBiUMI8&#10;D0EUguIUQ5wxRiO5euMU9DrFa3JzjdGYmyxjSOLKW3lruXzXleVdvv715z7sU6d6qtPdp885+4+z&#10;qrq7dg27dv96n127di2q7a2mDa9Tzc46K/cMtpR5g2oLsJwwHekcpqOjvqucteOZDVfmfR8RX+FH&#10;P3pMcFxwXGQgAzJQKTgPTNFjoa9Y1zuHvYhrBUwC7sEPZO3WBtWrb437HDG9oXMTDlKK58BWHW+T&#10;uIaPIe0v4r7i2D+J/sya1ZCH7cB3rAtwPxSU615Toxb16VaA09NGjMyND3Egp9TVq/mDBxeU43g+&#10;e/go1d6x0aPer552ah6O478O1iQkLlbpdTnSq3V9O+ia6CoFA2QcpZfFYudgxvRpOZzBuWuzFg10&#10;4hGe7fqYYG2yXYdmbr7/wG5q0bIp7h6eM85oqrbf0VMB4y/o0dK9hxiG2N/j7vH58TdSwXB8F2Yt&#10;bty3uXrN1erNX7yew+wF8+e4WA3+kF2Fpz93cB6xJJuccorq7thEOrZpq5o53yrYUIZ3bKPmDuiV&#10;w2rg+7yBfdXQTu1UTfv2blzfDo4tpVfLc9XMAX0V7Cscx5Ff1Kurmu3sf+rXrq3qcn6HHI/JRo4U&#10;/4HGj71M7di+1fUlgk9RsfMp9OHfScLjINzWnxOd8Do8r4VXyfEK//E5rmC9EthIPibQJ7cc7Omu&#10;YyJPa5g4OxPX+KFsEnp2mDrRH/Rh266VeViNtUzc9/I/AZ5vdmLKoEyzs85UV46sd3EYdpF+PXu6&#10;9/EM+XkeujfX07EGCj19Qf8eBXhO+A5bzaWDBufxm/Meedju4esvMp+czHPeEh7rOB10TXS8Lsmn&#10;M2fC55N8hs8bMIPjyJIbGvfrIPZJv4HtXdsJbOPb7z3ftalMn3vyjPuhIxt9UG7alI7txITp2+5q&#10;6+71aWiYksPwN157TS1cMN/FYZxbzfVvnocvInxMJk2YoHr3+TK++9e+qno6uvbUfr3UHMe3cLzj&#10;Ywjd/Mymznquo68jf3n3rnk+K9DTsc7Zy8Fx6On4JlzQrp2vng6fl4k9L1B9OnRS3ZwfnwPK438C&#10;Ys/D1/9BJwZZVmT30Ucecv83YG/B9xy/HuxHwNpKVvoXtR+Ex0G4rT8nuqjtSfmTGCS8KJ4XOoZT&#10;THCcdwy7MWzesH0DP+ksTR7b6tIp57lYacLXtO7BnxF9/dmLx3J4vdfxn4QejbjfHLd5Hjo6ysB3&#10;BfeXL19uxFJgLOzcwOoZjq4dRk+HT8vlzJ4OPf3KocM9dXTo6nOd/wA4944w3JTif1Op9HTsN119&#10;44qCNRTeT8RSRmyfcns3CY91nA66JrpyG6/0t3jszAoPv7N2TR5m1F/WuKaJ9ULyNaFz14DrWN/k&#10;e+mRHzm6MRZ5WmuZ+rcB3x1g8f6D6/LwGt8nYDt8wTl2Ux4+gHgOWvip+OE44dRgB2MXfOmnAkwG&#10;NoMeP2C20R/RsaGMqW3kEcrhG4BvgWkdlewuaANtUbumFPFt04yNiLVYxPEy9UW/B39KyFZW5DxM&#10;PwiPg3Bbf050YdqQMpWDnVmYS6yhLZg3N++dhI/4rY+0dfXuCdMudDF7xnwnNqGzTgl/bOjlIy9t&#10;tKegHOnmzZs3c9f6EMNk530dU7GPI7YW+oYfsHHJ0pP7e+CbctmlY1THjh18Y8Rg7RPfpZ3btynE&#10;U9dxvP357RT2y+sYheu2zrpmn/bt1LSBta6ePrKmi2tDgS0FNhXYVmBj4VgNGwpsMbDJwDYDGw3y&#10;43t287Sl47twieP32btjJ7dNU18uvvgi1eD4M+7bt1c9/Ej88Vk2bviOJ343O6uZu27rtXYL/q35&#10;9uqywHPCYx2ng66JLgvvtfShur4TeOc5JixaMjWHv/AFB77ROiZ8TkjnpHVM7NvEPSo7Z95E9xo+&#10;K7q+nMQ14Tf6AJ2Y4p0/+cQTBTo26d88ha84aPW1z3lzZ+f4gvNO8V5A54Xuy/ml56E7z3dsIljb&#10;xBpnGD0da6a6fQZrq6STm9KZjt86/kPo7dM1fF5g94hDT4cPqr72Te1McsY4b/Cggr7OGTrMHTuV&#10;o3Trlk2ub+UPnNibWcUawuMg3NafE11WxyX9qlxsx7oZvWOdO3fI2b9pnw/iWhH+XrW60Wcc+3hw&#10;D/gOnAeG4xp6ObCF7Bt0n+jjTslPHXYf/DZsuMntD31rkCIGin6WMeE47AMogzN4sDeIY/nlzrnI&#10;xJfZs2blYQ5s0vpaApWlFD4o8EVZ2LebmuLsHaI+ka8538tPOD3zS+yjsthj5NriDf6LRIPnXuui&#10;1JfrrrmmqHXH9evW5nhBdXbv1NkdH/XDK/XSz6kexAiL41sTJ0YRHus4HXRNdHH2ReqqXOyNa26h&#10;Z8E/g96pBdd1dfEYunbrdue4uEz2lV1391YtWjRTS68f6cYm3HSwq4uZY6c04jzs6NhrP2v+WLeO&#10;hdc1Yv6WQ417g+LEcNhSYKuHfWfcuNHq1deed3/AZ+yrh8/EhvXrXFsKbCvTp01zz6hftHChQvxF&#10;4DrW34CXiId+7fJrXFzGNewh8B0nniBFnBmd5xQnEj7e8PXm+145baf256s+bduomUMHq5mO3Xxo&#10;p/NzPizwT4ev+ezafnn6LGwo9TWdXf/1ls2bq/Oat3D3+F+h2WcIOxf17Oz6sY/o0kn1dPRw2Dh4&#10;HyhfVzdCXeOs395+YL866sQF08ekX0M+gOHnntsiVx/qh+8O/OCpfb90nrMeDB5QH7xS2Nuvu3Z5&#10;Jva0Eh4H4bb+nOh0Psq1YHGSMgB84u/VbY5vIenS8Psg7KX97UNHds/dA4ZC9wZ+oxx0dNwjGuy7&#10;By6ObTg9d4+eFZuSLQU6ODCc9Gs9hX6NPiIeCj+jHv3Cfdzja5/IIyZWk1O+kuML9rQCz8LMA/T7&#10;oDiRYy52bC7O2iX28vP4iLC/QB83YaJJTw+KBTBjRF1uDHyOKQ97NWwcfv6Bc2bm25DgE2nqX9A9&#10;/C+hdoNSxF4vdcxHwmMdp4OuiS6MrEgZwfa4ZGDM6Prc+7Vo6SS1eEWjDg3b9q77GzF586FGP3Fg&#10;NNYuoZe7+zUd3dv1OXTWPhE/HNi4+IbG8zVxf9KM7u69dftPxmQpFr/3/LCjG2erVauWasuOm30x&#10;HOc7L1uyxNWzoZ+Od+wk2Iu/eeM6N9Yh9qvqcQihp8O/AlgD7MfaQVgM53MC/+nrr79OjXb466Wn&#10;dzu/g+p3XnPV4NjBpw4Y4Orb0Luhf0NPhz6u+7xAb4f+jue0jopYXN56ehdXTx/VrYurp8OmY8JR&#10;0tNxzgeNg8dEB82wXn0cHbzGCseB83OcNVjwdkbdKHeddkj3Hmqus691QEezrr5q5YpcX6hPaaWE&#10;x0G4rT8nurT6Ke3ItwD+v/ydXrWmwcVd3aYNzIbuCls46djAbOA5cBnn+uAaujGuoc+jPF8fLRa/&#10;QQ9beK8+jT4jt9x8g6cOruvkuMaaJ9fHcc7mD5y4s3pZxNwlnsDvI673ZPu2LXnn/VAblOI7M6N+&#10;tFro7PmHvTuMng77ur6OCjs87PFe+jHqx7oktWtK8f8Dejp9z1DGVg/X+9HLsalf5uylwhgxZnp+&#10;xajRjX1y9lxRn9B+qfRywmMdp4OuiS4uuZF6BKeDZOCBB47k3hm8O8Bi3ccEPuEuZn8Z2wp78XFN&#10;65zAV/I5BM7fvGOg+xxlVm8eEJs9Za9T95jRI/L6i7jdB2671XMNU8doXMPOgti66B9+OO8C2E1l&#10;d+/clmsD55gG8TDq86Bz9ODDOMvBWdghkowFAKyf5GA+YWZQOsvRmwlzi0n7tT7PbRPjw1iB56gP&#10;/akfMkydeeYZeX0aU19v9X8o6rzo5QmPg3Bbf050en1yLXiclAzoOA67CdlSgM9kY5l/7Ul/lTU7&#10;alz8u3H9ZNcufu3qS1Tr1i3V0mununiOON+ILx5XXHHo/3MWd897t3XMwTrt9Cumur/djr3/X376&#10;dA6XCZ/1FPvvgdPYu4n/DrCJ41yJ/v37urF30cY2R4dOgvdYH0Wc8audb8jQYYM97S7dHVv0yC7t&#10;VYODt+OcGAFJxQKAbWOQY9vw8nkZV1vrxPuys4vrmD/bWb8Fb6c6tnus/WL9E2u0LpY7/y/Oc+Kx&#10;1fbuk7dOu9LxI0piHvzqJDzWcTromuj86pZngulxyoCO44jxSvYPWuvUbSywe5MuCzsK8vDZo3tx&#10;4Tf6gbMqYKPmuI3/2l5+zLwcdHWcb6/jt9f1zu1bcmPAOUdUF/Yh+q0DxjUf2F9DbZpS6K4Noxr1&#10;9ERjAVxc6+rF1IfTTm2i6gZdHBhfXcdrr2vshaK6ZzjxIJHnawB1zpoA7k13bExUDn4scfE5bD2E&#10;x0G4rT8nurDtSDnB9GJlQMdxYDFwGrHEkddtLITx8F2BDosy8OtAinMisFefyhSboi6yhdP7jBR2&#10;W4wbPoN6bHReDnlg/k03rFI/etz73E2O6z/+0VEF3OK+KqgH/hPwYyyW30H0+F7Az1sfB7+GLzZs&#10;EbBDJBkLAHaPgd175uYXcwxbPOzrXhgd9j7FjJk3dKg71gYn7i/R4r8BxgsbC/9/kLadnPBYx+mg&#10;a6ILmmt5LvgdlwwgRh3HiK+ffrobJxDrk9j7s+dIpzxchn/hxttrFGJh9R3QTTU/p5lrS8G9YnGb&#10;6G/Y0lUNG5Xvowbf5alTJhmx9GHHF3yDo8vCFwU/r7NEBw4coBYsXKDuOHRQIb44x2+eh//K+nXf&#10;Uf369snjDeIM2vit2MwV1p/h371k8TddXxu+3kjzhTXCXs7+/PF9eqgGJ7Zu/QU1eT4sUWIBDO3U&#10;wYmp3juHpYSpSBE/HfHV67p2VN2cbzd8ZJDCZ6ahv+O/4rM/idfD85MdH3qMY67jv4J0ROd2ubZh&#10;v6FYMqP69svNAXw50+I/5ozwOAi39edEZzPvQiPYbisDWEcibICdZPuhCQWYvPOOS9x1Tehk9MM6&#10;p3suhGP/IAwuJoUdR1/HpH5F1YUPHLhN8XFRPZSSno79QRzD9fzam/PjhmGPuy2fi6GDng4fPOq/&#10;KYWd2dXTHX1Z92HxitllEwsA+jiP22ijp8M+hDFg7RR6d992J3EceD/X8WfBc9jl+VhNe7GK4asf&#10;LeGxjtNB10TnV7c8E7yOWwYO3H6bc4bwN3LvS+3FNap+3IUK5/30ra1xfQfbtm+lsP8HevjNuzvH&#10;dq7mnh90U3Ovba76O+3w9xV5+FxjHRC6qe2Y73ZsL1ctW6ouc3S5Vq0a/SR4O8Bz7L1fumSxOupg&#10;pY7jiJelY/nOHVut+2M7DqIDL3bv3un+N0FMAD5vNK5zzz5H9TnfiWGG9VEHD3Vfc5xbBP3aK2YX&#10;zj3C+UdBMbugh185oI8bA4zr6XVdOgTaXhB7Bv2FfXyio5v37tAhp4+T3g77UV9n/Rp7pmhsM6+c&#10;kRrvCY+DcFt/TnQ0Z5IKZqclA7BH0LtC6aTJY9Qt22fk4mMVo2vrtDhbCLG4qC2eAlvJBh7n+IGB&#10;WLP009NhB9+0YW3e3iDY1nGf+oh8nP0qpi7sNUJ8b+qbKYW+Cz/GBQ52Q0/HPiD6T4Vziwg3KQW+&#10;o3zUmF1cT5/25RlKVKeechyHbg6fcr0MfOlxn3RzGlsx3/UovCY81nE66JroorQlZQXr45AB4AG9&#10;JzydNLUuFzNLx2Kba6yPjh03zNgW2gVG4v9BHGPyqyPIN6RH9wvV3YcPqfVrbzb21a/uUjxDjCn4&#10;wfO50/NYM4TdBb4h3C6CWADu+qXj86djqU0sAMTgxXdAr4tfh8Fx9BV9xnouHwvW5tPgMeFxEG7r&#10;z4kujT5KG4L/ugzg/YANok2bNnnvDd6huku6qVUbO7l+gDgzOQjDsR6690h3Z59nN3V5w5lqWH0P&#10;Z030nIJ6UTd8yhYsmO/6U6e5joW29u37rmujgA+3yUbB8QN5lLv11r2p4Ig+P2Gu+Zqv13pve8d/&#10;sa/jtz2+Xx815aJBeefOecUC4DG7/GIB4OxoPPc7ixR4Pv9LPxXYVbz0cWA97Dsoj5TmIupaSRi+&#10;mcoQHus4HXRNdKY65Z7gbloyADzXYyPRO4QUvoBrt83M8zHcc99Idy/+t9fPVJMmXZJ75zidnofu&#10;vXdvYQzBtMapt3O/s0ffz0ZRSru43tew12F8M2mPPGJu6Xq66dw5UywAxBCYM6wxLm9PRw/gurcp&#10;T+uc8DH0wnHQQWaQIr4iyQ9iS4YdfzHlCI+DcFt/TnTFtC20gvdxyUCUc7voHQuTwn+sVOdJhuEN&#10;bBSLFzXanGGrh009a7Gxw4yDl0H/w559YfJh8Tp3DvZ1srWfcsr/dvPQyU3Yze/B9g1ZAY7jO+IV&#10;uwVlQAc7OcmW4LhgHJdtyQfLA/zdEO9v0sTLPc80o/fLlPZyzp6Er8jSpUtcf2jovOXCd9gokjgX&#10;rZTjB//hv4g58Tpbs7PjIzKkY1uFs4bG9+oReO4c1kXh/3J+i+Zq6IBw+/cH9GrcHwD7S6NfilmH&#10;FxwPfkdLKU/SdnnOT9B6GuwxN96wwj2zK4297CJHxcnRfsfWr/vvnHbqqTkdG/FzKWaXSU/n584h&#10;di7sK1zvNuVpXz72A1N+QMszC+gQn53iIYo+Xtw8y3si/DPJANYIodthrzTs6YLZ5S0nmEPE8aX/&#10;VNCTZ9X2V/0dP3SsMcJ2UuOcAT28YxvHJ324m8K/nPuat252thozZGgBHutYzuNkQY9Hm3xfPpXH&#10;Wih0dVyLfby85cuEIXJP5lRkIH4ZwDnShOOEpZQi1sqYgYNyejp8y12buXN/huP/TedIj3F81YnG&#10;K8X+JLQDfRtnwyFvitnC1z+B59Q38VeJf+7lfRKeigxUhgz44ThhMrB3YI9eOTxv37rx3D7o62c5&#10;ccPh801lvVLsNUWcLDzPxSI3xGjBWRe9nfgxKIdYj4LjlSFnghcyjyIDycnAjBkzclg534lf5YXD&#10;uA9/8iudX8/WrVz/82lOjK2Fvb3PIKK6YA9H3IA5znnTuIdz7abVmfeUArv7O3HtsQ+VMBzpww8/&#10;kMpaOfkP6n6FQddEJ7KanKwKb4W3IgNmGbhm+fIcXgbtxyRcjprCVkI2b+j2wGXs19TrgV6PZ7RP&#10;iHA8zZgIhMdBuK0/JzqRM7OcCV+ELyIDyckA/LIJL3FWpo6txV4Dr+GjArsK6kIb3Q1xVfCMzg/F&#10;Oij8y6lf2KeVlgwQHus4HXRNdGn1U9pJ7p0Q3gpvy00G7rzjUA4v3bPWHBtIsdhN9Di3bWifRvvI&#10;jL491EzHrgJsHnNBl4I2Fva+wPU3hF1lQW1+DHjEI06Lr4THQbitPye6tPop7QjWiAyIDJAMII4g&#10;6b1I47StwK8QdUK3Jp9xXC90/BsJ6ymls97QPuVRFmc/UV/TSAmPdZwOuia6NPoobcj7KzIgMqDL&#10;AI+Z6OrkvWoKcJbwNmwK3O7gxFTEXh7EZhnVvVHfbnDiYJnq6H1+O9feAjrkgeH4pamLgy+Ex0G4&#10;rT8nOp23ci3vm8iAyEAaMoD9uoSbSE37c0zY63UPZ00g/jm+CShDezS9dH34qaNdlOPxahG7MY3x&#10;8zYIj3WcDromOl6X5OX9FRkQGUhTBnDOEGG5ft6aF1573Sd7Sp1zdihwGZhO/iomGqxvIuY4nmEd&#10;lPoB3/Y0eYC2CI+DcFt/TnRp91faE5wQGRAZIBlYufL6HH6efdZZ7hmaJsz1uwc9HGdvtnRizg/r&#10;1UfNc870BD4Dl6ca9vzgbGU6i/NSZ+1z2qBBuT6A5uDBA4LjzreF5khS4YXIgMiAnwwgdg78tEkX&#10;RhpmnybhOuza0LtBR/Fo4V/oVw8wH8+xz3PuxflnKyP2ml9/k3pGerWubwddE11S/ZJ65f0VGRAZ&#10;CCMDiIHG7SvA2DE9L1TQswmv9RS+hfAvwZom7OGwpeAadpQO57Vy94DqNLiGz0qrs5u766DYu9mr&#10;Y8fcN6Rjxw5FnbMdZqxeZQiPg3Bbf050XvXKfXkHRQZEBtKUAR3LsY8He/J1PMZZyGQ3cf1SHFs4&#10;nRUBHRt+KjqNi+HOfdQJfZ3s5/hm0C+tMyNMPCU81nE66JroTHXKPXl/RQZEBtKWAZwhQphK6ZlO&#10;PKzxI0aq6c46JNYlEeuQnmFtcraD6cBm3KNzkk0Yjnt1znnWKDdlYG3OFkN1wbYDn/a0x0ztER4H&#10;4bb+nOioHknlvRUZEBkotQzcfmC/gr/I2U58ccJYU9rceQ7cxll4sItf3vMCtcjgf441TZznhjLt&#10;WrVSUwYPVhd165ZXN84rwnlMpRw74bGO00HXRFfKvkvbghsiAyIDJhm41zkzRD87yITnwGgv/Rv3&#10;yS8FtIhdrtcBDDe1n/Y9wuMg3NafE13a/ZX25L0VGRAZCCsDu3fvUPAh0fGXrrGuOd+wVxM2dIp5&#10;BbsL7DI8rjjR43sRti9JliM81nE66Jrokuyb1C3vq8iAyEBcMnD06KPuuX7r161Vbdq0ycN24Dli&#10;G+LXpb1jL/9a4/ol7C5nOX7phNtIW7U6T121bGnJbSmcL4THQbitPyc6Xpfk5Z0TGRAZKAcZuPPw&#10;nercc1vk4TPHaq88bDXwc8zaGAmPdZwOuia6rI1H+iM4IjIgMhBGBhCfRfdV9MJv3F+8aGFmz+gm&#10;PA7Cbf050YXhl5SR90pkQGQgizLwuLMfFLr5po3r1bQrpqrx48apkXXDFdYv4fdy9VXLFPwZs6iD&#10;c34SHus4HXRNdLwuycu7KjIgMiAykL4MEB4H4bb+nOhkztKfM+G58FxkQGSAywDhsY7TQddEx+uS&#10;vMiWyIDIgMhA+jJAeByE2/pzopM5S3/OhOfCc5EBkQEuA4THOk4HXRMdr0vyIlsiAyIDIgPpywDh&#10;cRBu68+JTuYs/TkTngvPRQZEBrgMEB7rOB10TXS8LsmLbIkMiAyIDKQvA4THQbitPyc6mbP050x4&#10;LjwXGRAZ4DJAeKzjdNA10fG6JC+yJTIgMiAykL4MEB4H4bb+nOhkztKfM+G58FxkQGSAywDhsY7T&#10;QddEx+uSvMiWyIDIgMhA+jJAeByE2/pzopM5S3/OhOfCc5EBkQEuA4THOk4HXRMdr0vyIlsiAyID&#10;IgPpywDhcRBu68+JTuYs/TkTngvPRQZEBrgMEB7rOB10TXS8LsmLbIkMiAyIDKQvA4THQbitPyc6&#10;mbP050x4LjwXGRAZ4DJAeKzjdNA10fG6JC+yJTIgMiAykL4MEB4H4bb+nOhkztKfM+G58FxkQGSA&#10;ywDhsY7TQddEx+uSvMiWyIDIgMhA+jJAeByE2/pzopM5S3/OhOfCc5EBkQEuA4THOk4HXRMdr0vy&#10;IlsiAyIDIgPpywDhcRBu68+JTuYs/TkTngvPRQZEBrgMEB7rOB10TXS8LsmLbIkMiAyIDKQvA4TH&#10;QbitPyc6mbP050x4LjwXGRAZ4DJAeKzjdNA10fG6JC+yJTIgMiAykL4MEB4H4bb+nOhkztKfM+G5&#10;8FxkQGSAywDhsY7TQddEx+uSvMiWyIDIgMhA+jJAeByE2/pzopM5S3/OhOfCc5EBkQEuA4THOk4H&#10;XRMdr0vyIlsiAyIDIgPpywDhcRBu68+JTuYs/TkTngvPRQZEBrgMEB7rOB10TXS8LsmLbIkMiAyI&#10;DKQvA4THQbitPye69377rpKf8EBkQGRAZKB0MkB4rON00LUtXVC98vwLJTwQHogMiAxEkQFbPLal&#10;i9I3KSuyLDIgMiAyECwDtnhsSydzEjwnwiPhkciAyEAUGbDFY1u6KH2TsiLLIgMiAyIDwTJgi8e2&#10;dDInwXMiPBIeiQyIDESRAVs8tqWL0jcpK7IsMiAyIDIQLAO2eGxLJ3MSPCfCI+GRyIDIQBQZsMVj&#10;W7oofZOyIssiAyIDIgPBMmCLx7Z0MifBcyI8Eh6JDIgMRJEBWzy2pYvSNykrsiwyIDIgMhAsA7Z4&#10;bEsncxI8J8Ij4ZHIgMhAFBmwxWNbuih9k7IiyyIDIgMiA8EyYIvHtnQyJ8FzIjwSHokMiAxEkQFb&#10;PLali9I3KSuyLDIgMiAyECwDtnhsSydzEjwnwiPhkciAyEAUGbDFY1u6KH2TsiLLIgMiAyIDwTJg&#10;i8e2dDInwXMiPBIeiQyIDESRAVs8tqWL0jcpK7IsMiAyIDIQLAO2eGxLJ3MSPCfCI+GRyIDIQBQZ&#10;sMVjW7oofZOyIssiAyIDIgPBMmCLx7Z0MifBcyI8Eh6JDIgMRJEBWzy2pYvSNykrsiwyIDIgMhAs&#10;A7Z4bEsncxI8J8Ij4ZHIgMhAFBmwxWNbuih9k7IiyyIDIgMiA8EyYIvHtnQyJ8FzIjwSHokMiAxE&#10;kQFbPLali9I3KSuyLDIgMiAyECwDtnhsSydzEjwnwiPhkciAyEAUGbDFY1u6KH2TsiLLIgMiAyID&#10;wTJgi8e2dDInwXMiPBIeiQyIDESRAVs8tqWL0jcpG12WP/nkE3XkyIPub82316pFi5YE/qi88Ds6&#10;v4VnwrMsyIAtHtvSZWHMldKHEyf+4uI1sHpU/RjVqnVrdcop/6uoX/PmzVXffgPUtOlXqg0bNiu0&#10;USn8knEI5laqDNjisS1dpfIxyXERXq9ccYO6fMIk1bNXb9W6TRvVpMlXisLssJh/6qlNVE23C1T9&#10;6EvU8uXXqcOH71EvvXRcffbZZ4LxXwg2Jin7Unc4+bLFY1s6mZdw8wI+QR+uqemWClaHxXReDro7&#10;vi3Hjj0jeC54LjJQQhmwxWNbOsFxM46Tzr1gwSJX327a9BuZxW+O5ZRv1669mj6jQe3ff0DBRi/z&#10;bJ5n4YvwJQkZsMVjW7okxlDudcK+TXgYV7phwzpHn8//7d27R33/3nvyfps2bnB06uvV0iWL1fQr&#10;pqox9fVq8KBB6pxzzi6qT2PHjldv/eLfBc9LqKOV+3sh/Q//zbPFY1s6mZuTc3PE8SuJY20yLE//&#10;+/99qv564k/qxEcfhvq99eYb6q47Dqm5s2daYTr+U8A2FLZ/Uu6kbAgvhBdRZMAWj23povStEsvC&#10;lgz7Q7/+tZHWKbluXQxf/vaXE6Ew3IT1x196wdXlob9feskYdUZI2w/WSceOu9z1rZG1UcGnYuRX&#10;aM3yY4vHtnTVOg+wf8OXL6rdJG5+wc9l6JDB6rVXXrbGc47x+/ftVW0i+DteNGiw+DKKrUX+o8Us&#10;A7Z4bEsXNy6VQ33w0/tGSN2VcD6pcQHH0QZs4RyPi80//uhDqn//vqG+U+CF2FvMelVS8y71Vja/&#10;bfHYlq6a5Ono0Sdcn2vYFQifvVKymyTFn1279iruA9O0adNYcRzfgT/8/gP17E+fVps2rlcDawcE&#10;jrl3n35q58494t8Ss26WlAxJvdn9FtjisS1dtchCFB+UNHjSsWOnAlwtVgcPooeO3rNH94J29W8Z&#10;9HN889Lgg7SRXSySubGfG1s8tqWr9LlafeMahf0xOlaZrtPkhWnvZxAOx/H83x2fF9jjTePn9/Bf&#10;YfbseerXv/5PwXPRz0UGIsqALR7b0qWJXWm2BV/pMHsvk7afeI2ZYybl48DpsHXA12XpkiWBPi74&#10;34A1Ya9xyH17nU14V7m8s8VjW7pKlCXEGgmzjgkML9X4Cbt5GhaD4ywHn/Srl/nvewIv4VtfKl5J&#10;u5WLd5U6t7Z4bEtXSXyELzRiw7Zs2dLXblBK/CZ+c/ymfJz47FXXL99+S0EX//Wvfpm3rvroww+q&#10;EcOH+/Jt5sw5sgYa8f81zbek1fUtssVjW7pKkq8w/uBZGS9hN0+9sDeu+/ffe3ceTj/+2CN5WI52&#10;ll+1LK8M7x/ysFXJ/v7qwqSsvDPl1A9bPLalKyfe+PUV/s9B/oR+9MAm1JEWRun4iOu48NpUD/YZ&#10;6W1C/9bLwlcxjJ3lvffeFzuL6OYiAx4yYIvHtnR+2FYOz2ALHza8rgCjOGb52VGAR4gfzssjxmHS&#10;Y+ftIY84WDqmxnm9/Oqr8sZI7ev2FWrzuX99Vg0cWGukAS3WPyU+rujlSb8n5Vq/LR7b0pUrn6jf&#10;OE+BMMmUUjmvFPZ0nQ56fdJ6Od8DhPa/de11ieE41jK9Yq8QbptS6OaTJ04s4A/nl6x/CpZ7vVvV&#10;fN8Wj23pypXXiKtdLIZj7DhPh+MS5aFvfvzxx4np5YhTVdO1qxu7cPXKFer9d3+TGI6jfhoXT7Fv&#10;34Tf/B765UWPuuCbj7koVzmSfst3KAkZsMVjW7okxpB0ncANjkd6fphj9w3bh3feedezLqzpha3H&#10;ptxnn/13pLi1HF/D5nfv2O45vr27dwXiOLWzdfNGz3rAf8Q3t+GB0AiOVqIM2OKxLV058jAOPVwf&#10;t/4toOukbcDFxK0ljPVK4V9I49BTxESE3cSL1nRf93fR6xS9XDBZf6+q9doWj23pyonPsFn7YTjO&#10;0rEdD85L1nEJ17B/2NYZhq7hyga19uY16qMP/xgJU004q9/71jXLjWPq2qWz60Oulw9zfdedd3ja&#10;2mXtU3A8jMxXQxlbPLalKyee+vml+PmkhBmjn30lyTXPs89p5mIt4p6EwdEoZXAmnOnb9Oyxp4pq&#10;C/SmeumerH0Knod55yq5jC0e29KVCy+BDYQTpjSOcXjp+thfFEf9eh1831JaOB5mbTPMt8LPxoJ9&#10;/OJfLliuy3s1XdvisS1d1nmLvfaIOeu1x6cYW4o+9uPHXzF+K+6+6+5EcJyPKQkc32VY4zx4+21F&#10;6eIc47dv22LkF76zdSPrE+GZPmdyLd+LLMqALR7b0mWRB7xPONfApH/jXrG2FN4Oz/P2+P2487yd&#10;JHAcmAsbCPZnXr10iZvnOBxH3s8nMan/MXHPg9Qn34K4ZcAWj23p4u5/nPXBLk3nnnHMo3ycbZWi&#10;LhoH0qRwPA6sDqrD72wKfIdLwVtpU7C5lDJgi8e2dKUcq1/bJ5yY1618zgv2oy2XZ5WC4088/qin&#10;Dwv2CZXLfEg/BfvjkgFbPLali6vfcdczbNgIT3vKjh07KwIbKgXHoa/7rXtifSNu+ZD6BHOzLAO2&#10;eGxLl0Ve7N27zxPDk7KJl4IPlYTjwPIHHziimp11lnHuYCv//PP/ETz3iI9XCvmTNpP7FtrisS1d&#10;FucS+0k4xvF8Fvtr2yc+rnK2j3P7+YL5czzn7vDhewTHBcerQgZs8diWzhaDkqLzi52SVJulqrcS&#10;cfzZnz7tieOTJk+tine4VPIk7SanX0flrS0e29JF7V+S5RFLXI/nSlhXSfYU4iGNDWml6OPQzXdv&#10;32bE8tNP/5o6evQJwXLRySteBmzx2JaOMCUL6fQZDcb3HziXhf7F3YdKxXFg+Z5dO41zib2e8EWK&#10;m5dSX3Z0UZmLL5QtHtvSZYnnXr7iWepjnH2pZBxH3PI2bVobsVz2BwnmxvkeZbEuWzy2pcsKD2bP&#10;nmd857du3VKxulsl4Djwet++vWrliuvVpo3r1ZtvvJ7b9484jnyMPJ90POCsyLX0ozq/WbZ4bEuX&#10;BTnD+cb8Hef5LPQvqT7wcZajfRxrmohjzscxeNCgHI7j7E/+jOeTjgec1JxJvdWJy1Hn3RaPbemi&#10;9i/u8h/96c+ea5ubN23M08WxT3/QxUNUkyZfcfEB/omrVt2oPvnkk7xycfcxqfo4rpULjn/w/nvq&#10;+/feo6ZfMdWZt6ZGnH7wyP05LL//vnuMZbCe/f77v0t03m65ZV1e22ec0dTY3sGDd+SVw7zgnmne&#10;+Zwhf9999xeU08u8/vqbeWX27Nmb195lY8flPad2//PX7+SV8+o/yj///Itq3PgJqkWLFnk0vfv0&#10;U1OnTnefr1q1Ou9Zbe1Fxnbfffe3bl1oj8Zy2mmnKpR/441f5NHg3bvpppvdZ507d8mVB92FF3Z3&#10;7+O53zv61FPHFP6Po/7zWp2XVwfq6de/1n2OOUHcPOJPllNbPLalKzUvVq64oWDeSHb0vs2ZM99Y&#10;FmtnqEcvn/VrGifScsBx2FBGOGfm8X6b8ocO5MdUhI5uKoc9u0nOUbXgOHDQxF/93shRo/PKeeF4&#10;27Zt88rxevC9oDlDu35lOR3K6d8z1IPvIL4RvKxf/pvfLI+9wbZ4bEtHc1KqFP+vTfMGbNb75FWW&#10;6Mtt/Yz6jTTrOP7aKy8X2FB4/3n+Le1MjKVLFhvnGDRJ+q5UC44D2zj/KU++unStpyYc/8c//uFZ&#10;F+hfffU197386KM/K66vU93UJt5dukcpsJzr5V7fH/7eEy2laBNt8zJZzNvisS1dKXmAswZM/uKw&#10;m5j69cQT/ufQYK7h87Jx41YjvanOUt4j2USadRy/YsrkgveS9x/5M5xv7+aN63I2FdrnefylFz1p&#10;V9+4JrG5qhYc79mrdwF/dbl+4YXCOTDh+Ae/+6CgLtg19PpM346tW/Pfu5///LgbWxrYTj9ez5gx&#10;lxa09fprrxe0VT96TF452Guybl+xxWNbOs7XtPM4Y13HAlzfeYfZNkn9g0yY6Pi9cjjzl/c36zju&#10;F5sW49jszAnsLoTdejp39kzjnJkwgua52LRacFzXi4FzJt5xeUPehOPv/fa9gnkyrQFAt+b13X7b&#10;AWObpn5EvWf6ZnD7TtT60ihvi8e2dGmMydQG/k9zOeD5p5/+aaBM8PKmfN9+AwLrMPUrzXu831nH&#10;cS8bN8bwvYO3e+I34fnjjz5knG/8H0uK59WC41yOkMe4TTzV8T4sjj/yyNG8+mDX0Nv861//llfG&#10;1L7tPX0e0TZsMrb1pUFni8e2dGmMydSGly6OOTKVN9174/U33P9rukzh+rt7vxu6HlPdadzj/c46&#10;jutnuMGGsvzqqyLZg3AuER8z5ZOKa6u//8Ax07yWu78K8ZFSL4zDfx8qg9QWx3W+dujQ0chXE6/D&#10;3MN3At8O6OH4mXxYwtRTyjK2eGxLV4qx/l+PtRTIlm1/uHzytRbb+tKg433OOo5Dr8YZcdhvD38U&#10;PxsK6eB6ivVPPmaeT4LfOt5UC46b/ELA3yFD832NbHHca88en0+vvNccoH/Ll1/n+ip60dL9JGQl&#10;7jpt8diWLu7+h6lv69YdxvfZa30zTJ3lWIbkEmk54LiOyzbXo+rqjHM/cdIU62+419wLjn+Rx9O4&#10;cHzCxMI172GOPyqtZfKUyzjy8G/n84Vvju4PqdPwujltlvO2eGxLVwpeIH6pPle4LkVfStkm50G1&#10;4LjfXv2456JccBw4Zhp72H1AXI6QT1ofh96st+n1H1gvh71CNFbY1HWbPS9P5coxtcVjW7pS8Mjk&#10;J4X5K0VfStkml9lqwfHHH3ukAAOID3HHtNVx3EvGTPbxLZu3Fcijvh8S9Zl8OWg8lOq4qu/nhJ5s&#10;ksNywfG2ju+Kqf+4p88B9pdSWZNe7/U9IJpySW3x2JYubb7AZ/zUU5sUvMv475R2X0rdHr3nSKsF&#10;x3/59lsFc098+Na3VsQqAzqGoJ09uwvXv4HZ1AdKGxpmF/TF5P8WB44DB/n+GJJLXe/1si1TnynV&#10;vxtUXxi7ynPPFfqZ6/4qqK9Jk1NyPMN+zLBtPvDAQzm+jhxVn6sDfYfNJev+hMTLoNQWj23pgvoT&#10;93OvffiV8h2Owi9675BWC47Dpu7lS14/+pLcOx6Fj15lTTgOLNQxB/uA+Vwgj3L6vkEdB1HO1LZe&#10;l96ero+jPHRTXhdwXbc56LZlKh/UHpXT+29a5wRm6/WZcBx18nLwWdf5pX+HUJ76ghTvPK8D66f8&#10;OeXRT/AH9Zm+m1QuS6ktHtvSpT12+HXzuaP8rl27jXOYdv/SbI/GjrSacBz+LnzslK/pdkGsMmDC&#10;cbQFfCRsAsbqsaWoP9CTSX9HaooDYpIXoqc0DI6jLPR9qs/kExJ2f4/eHtXph+PPPvMz45zQGCh9&#10;++1f5fqo4zD6R/q0F++pL0ix/5PqpZTjNMZh4gOvI6t5Wzy2pUuTD357f/7r9/+Vk480+1TKtkh2&#10;kVYTjiOeLfzP+fiRh73t008/jU0OdCyBHzLsd3q7+vX0GTPV1i1bAsu+885vjH3V69NxVdfH4X9t&#10;2jev1/PYY49btUcyHjeOv/zyvxXo1Hqf6Ro2FOoHT/VvAZX3Sim+C68ji3lbPLalS5MHR4486PkO&#10;pdmPrLTFZbWacBy2Fa89Qa+88qrxfY97zjjveV5vhz/jeb1cXNe8DZ6Pq/6gerxwNYiO91XPB9Hi&#10;uVe7VFeYOrJUxhaPbenSHDtihdO88DTp+KVpjjFKW5wH1YbjD/3wfqMsLFx40rYQhZdSNt9X3JYf&#10;Dz1U6E+EuOa29VUrnS0e29KlyWfxG89/16oZx6GT8/HzfJoyKW3ly6QpThatJQiv8nnlxw9bPLal&#10;8+tL3M+GDTfv5Yu7nXKpj2NXtenjwPGuXTobsbxc5q8S+yk4Hh6r/ebfFo9t6fz6Evcz+CNw7EK+&#10;ZcuWVfmfDfGTOS+Aa9X2GzF8WB4PiB9xy13a9VF8J0p1f7y0+2PTHrdXiz4eHdtt8diWzmaObWlM&#10;+3+SjD9t28806HDWKOEW0mrDcIx3VkOh3zZ4kQb/k2yDzyvyur9Kkm3HXTf6LzguOM7lSpdvXB/5&#10;wQ/L/r3lYwybFxz/UC2YPyfvW0byYTrTLyxfs1COxkFpOeN4FvhZjn2w1att6dLi0eHD9xjfWZzV&#10;llYfstSO4PiH6uY13zbKBPAvS3MlfYmuj1Y7z2zx2JYuLX7jrADST3j63HMvVOU7Kzj+ofr+veZv&#10;u+C44GZauJRUO7Z4bEuX1Dj0er3O/3n11cJzVXXaSrzWcRx7HKvNRi44Lnhdie82xmSLx7Z0afHR&#10;K67KO++8W5X6+PLl1+b9PznnnLNde/Gv/6N68PzYU0/m8YD/T0tLLqUd+ZYkIQO2eGxLl8QYTHUK&#10;jje+L4hN0Kp1a0/8gg9Htejlz/70aU8+mGRI7gnmlosM2OKxLV1afOG6Fs+f+POJqtHHveIScH58&#10;7atfdc7B/EnZYPkffv+BuvOOQ2rliut9fw8+cETptqPjL70gOO78B0/rHZR20uO1LR7b0qU1txyr&#10;eP7jjz+uCjmGPdzkP895QfnJEyeWDY57xRKnsfC0jfM/hJ/PjD2s/DnPpyWX0k562FZNvLbFY1u6&#10;tHjL31Ge13H82LFnVOs2bTzfb9ACD+H/klbf42jHa52X84Lny8G28torL/vOEx8P5XGuG41NcFww&#10;NI53K4t12OKxLV1aPKD3WE85juN8Rv2533Xc5w4kxQuvs+z8xsb1VsK9rKV+9m2vscFHhcYhOC44&#10;ntQ7V+p6bfHYli6t8Xq91xzHTecfetHR/bT6X0w7fnHXaRx6SliX5dQPh/Xx0PVTT/5YcFxs4mX1&#10;X9rm3bfFY1s6mz7a0NB7rKccx1ffuCaSPo5YPjZ9KQWNPm6/63Kyj69euSL0nME+jnVR+jb5fQdK&#10;MUfSpvw/iEsGbPHYli6ufgfV44VbHMdRx9atW9yzQYDRQb+gNrP0HDFDvHjA7zdt2lTBj4OwrhzS&#10;I/d/39dXBfvvYRfnGI5xib+K4GaW3tE4+2KLx7Z0cfbdry6OVTyv47hfHeX87PHHw9n+v3XtdWWF&#10;4cV8Z/zs6+U819J3+T7Z4rEtXVoyx7Gb56sFx8Hn2/abz4knfkyeOCHPL68YjCwHWtnPKXiXFv6k&#10;3Y4tHtvSpTU+wio9/eB3H5SNjTsuXuk8oGvYmssBf+Pqo8RXERyP653KWj22eGxLl9b4ZV/+yXfW&#10;ixfltL4ZB5YLjp+UibTeQ2knHZ7b4rEtXVrzetGgwcZ1vrff/lXV6ePgedu2bY38+OD996pGJ89S&#10;/HGc9UDnsFEa9Ty2Z575mVq1anVePVs2b1MvH/+3spBxnPtzyy3r8vqPe++++9tI/Uf5Pbu/m1fP&#10;fffdr55//sVI9aSFTUm0Y4vHtnRJjMFUp1f88VdeebVq5pbzZdDFQ4w4Xm6+KsXo5V7nusHOxHmV&#10;Rh44Q/YtSsOe44NyF17YvYCe6kE6ctRo9cknn6Q+rjC8A1bzvur500471cX3MHXhu6XT82t8I8PU&#10;U+5lbPHYli4tfnnhOOK3ptWHLLUzdtzlRnnn+2SKwchyoJ1+xVQjD0oxT8XgeG3tRcZxcPxCfsLE&#10;yZmTdXyDWrRoEar/GKff3KCuM85oGlgXeO1XTyU8s8VjW7q0eIY447pc43r6jIaKn1MTj5ctu9rI&#10;j507tlWNXWXokIuNPDDxK+l7Njj+4Yd/UiYMHzZ8uCvTL7zworsHgsv97NnzMqOXw4ai4y71HfxG&#10;/3nfkR83foLxfYUdRa+L79NDvbyuH/7wIWM9Sc9zWvXb4rEtXVrjQjt8HilfP/qSip5PL/7u3LnH&#10;yA+cPVwOunQcfezapbORB148S/K+DY6bMBzrHqZ+krwjzYJe/tRTx0LznvcdeWC2Pka9TOfOXfLK&#10;ANN5mSFDG791ej2Vcm2Lx7Z0afKtefPmeXOJeS2XWFdx8+mPf/hjAS/Aj8vHjasKHM/annwbHOe4&#10;hLyf3UEvW+q1z+XLryuQv8OHD+dhL8n8zh278srCDvP3v/89V9ZkEydansLOTnyA7p7V9QLeZ9u8&#10;LR7b0tn204auX//a3DzSfCIGrU1dlUBDPOBpzx7dqwLH9+zaWSAL4AP/L57mHNvgeJT+8TlGHjaN&#10;KPSlLqv3H2uj1Cf8v+DPgdH0jKdY6+XlTHo9L1/OeVs8tqVLk1fDhtflzSPNKc5YSLMfWWnLFHPl&#10;DCcOSxw2i6zXcfWyJUZZqBYcj+q38fOfB8d6j1pnlPeA3lVK8d0jet2+BLymZzzV/wNgrYA/r6S8&#10;LR7b0qXJuzlz5hvf3ZUrbqjY+fTjr9fZEsdfLK84WVG/GTjfDd8rwgSe7tixsySykLY+Pm36lZHG&#10;WUocv/76VQVzdfjwPbn+6z6XXt+TgwfvyKsHdH7vRzk/s8VjW7o0ebVhw+a8eaT3t6amW8XOpx9/&#10;33rrbSM/YHOIio3lVN7LpgJ5QDwxP54l9SxtHC8nXRR9pXeVUj4Put+il80IfolETymvp5Lytnhs&#10;S5c272j+9PTTTz8tyfub9vh5e1jn0fmAa9gcygmXo/bV70xPzp8080niuGmfDWwMaY6vmLZ0uwlk&#10;lNen+xt64ThodHkHtvO6KiVvi8e2dGnzTZ9Hut66bVdFzmcQf5s0+UqBbLdpk3/eQlSczHL5X779&#10;VsF4SQZKueZtg+PPPfeiAkYDt2BL+NWv/sMow7Ch0Bgp9SobJC9JP//73/9PbgzwTYQu3qTJKbn+&#10;19XV5Z5TX7gfCsYHXtIzPaXxUyo4/kUer8oFx4cNG5GTCZpLpFjz0+e8Gq6//o2vG/nx7LGnKlIn&#10;f/CBI8bxQgZ69updMhmwwXHdJxr2Ba5no07dRwPj3Lp1a8nGGfROPevEiOHvJc970fIyyAuOf6Fs&#10;8diWzmtukryvzztdw6c6yXazWPegQYOM783m9d+pSByfO2eWcbyQgVLOjw2OH/reIc+xkEzr6a37&#10;bi3pOIN4/OqrrxWMCfo2fAvhJ/75558X9D+sPo64Yzo//vrXvxXUF9THcnhui8e2dKXgSVMPX4Vq&#10;9FvZtG59gWxD1is1hi384/V3ma5LIYvUpg2O++muNCZKS+VPSeOLmlK/KYVviZcNJKx9XNY5820o&#10;pjkpJxw/eOCg8V2eNHlqRX6bTfNF935w371GXuD9yaKd+9CB2xR+b735RuT+gYZwQU+JH0mnsGVj&#10;3Y7vY0GbNjgOOn0cuE56DGnVr9uNgNemGLZtnVgEnA9e65yC45WF4z/5iTm2Q8uWLa3fAfh+HD36&#10;hDp27Bn12WefWdeT1jtC7cCXmr8DPP/K8eORsTIp7H/m2E8U1l95/+bPmxPpTOjFCxfk0fO6iB9J&#10;p8AYahd4jnU8rDna4ji3KZx9TjOFtcFKiqnPxwe+mfb4iP94IT7b6tW2dEm/N17107ukp/Ax96Lx&#10;ug97DN8bGXWPhVe9adz/219OuDYUnQ+4xhnzSeFy1Hr9YoXv3rE9sJ/333t3Dj/1saZpczDtp4E+&#10;yfGd+udlR+ByofvkRT17gteVxbzuOw5cN/WTeIbUhPWgkf2chXiv87JScBxnnulj87s2+XTBf+3E&#10;ib9EqsevjSSfAcdxLid/DyiPc8+i4m1S5f1wHP3FGPxsLX4+42niOM0l8dgvDYPjOs5Br6c2sp4C&#10;V/Gj+CimeCem75tpXJyPYeOrvPHGL8qGV6Yx+92zxWNbOr++JPnskUceM2IX5OHJJ3/iO79YU0fc&#10;8o4dO3nWUS7nUwDHvXTVq5YtzQyOr12zxpPX9A5jr/2am24q6PNz//qsL22ScuZXN/z/qO+mNAyO&#10;A4s4rdeedL9+lOqZbv/Gfws9BuFlY8fljQ9jNfU3KL64vicfWP/55/9jrMtUf7nds8VjW7pS8ofb&#10;Qvi74He2xP79BxT0bV7elC/luKK0DRx//93fGMczeeKEAkxMSt8Oqhd2/KFDBhv7qfNfjw+zdMli&#10;Tzr4LkXhVxJl9f7TdRgcR3+ofNgUeJnEOGzq1PtMNhGsZ+o2I5T18pvUvwmIP0780zEc9Uj8cbON&#10;pRxx3OsdaNeufYFegLJeZy9wWYQ8vflm+fxfA44DQ2u6dinAgzH19ZnBcfTxD7//QH3vwO2qf/++&#10;BX3lcwB/Fvou4BvVulX++igva4M9cdP86U8fGsdDOBTUHuzrfExB+SzhOGKL6xjs1X+U8+NF0P8b&#10;qjeoHr82yuWZLR7b0pWaL7t37zG+AzjPU++b15mWkI9ylQ3C8XFjLy3gA86vJDzMWor9pl7n+XB9&#10;PGt2cV2m6Fpfg4NMhcVxk95KmGVKs4TjNH6kpr7SPV4uKE80pjSItlKe2+KxLV2p+fbggw8b5Qc2&#10;F32t0g/HSz0O2/YJxw/eflsBH7K0zmn6jhx/6QXVpnW+rj3Y2Z9KZf3O/ME7Xq7fXtu5FjqzLaES&#10;+WKLx7Z0WeCh6buNezg/6J///GeeXo53n/+y0P9i+kA4/tGHf3T9DFeuuF5t2rhePfXkjxXuESZm&#10;NYWt5e677lTo96379uX5rKy56caCbxOf6//P3rmFWlHFYXyeIlDjPAS+pC89aWUdtaTsmEhvdpEo&#10;KkKjBysqSYwesiTU4/0a9OAlSuHk8U4QJ8EQk5JuBHlOEpqQr/pmIvjY/jYsZznOzJn97f/ae2b2&#10;Jxxm9nb/1/zXN9/8Zu2116zVjm6K7R0mVvFcszxm48qikX99+/v4XbMsOYbIw3G8rJxm80K/eNZa&#10;ETi/IbRUmWJ7WTzA8piNK0u9fXb7++hLKUuOIfKoK8cHE+uj++dUHBdvQ1xLZSqT5TEbV5a6j4yc&#10;SP0OPmnSxObz9mXJ0zqPOnJ8/eCa1HPpWG6tocrTfaFsHmB5zMaVqf7Tpj+Qev3jN8+6rsVcN46f&#10;PDGSeg4dw/XbpphbJuaEyoXlMRsXqh5sue56T26nTJ0ajY39Vbs+ljpxHL95zhuYm8tx1heKE/+r&#10;5AGWx2xcGbVJMty9xlwWZcy3nZzqxHGsK+rOVdq2HZ0UK45XyQMsj9m4MmqTxgC8N3nyZHG88Vwl&#10;O4YkZBye4cw6b3i/jD5TTro3hPIAy2M2LlQ92il3dHQskwkYU16n9d/q0B4/eODrzPMFhmMOpXb8&#10;oFjxtmoeYHnMxpVVn7y2XZ36V6rOcYwTz3o+353DsnpMeen+EMoDLI/ZuFD1sCjXcSC5Rf9K8pl9&#10;i+N1o4xOcPz4kYPNtdjAXOu+lay50/1z1g1ddUwxupseYHnMxnWzruMd+9I/lzK/r2OM4t69Xwb5&#10;vo5xMUNDwx1ZIy4kx5NrseH5SszjYsXy1Z+uyjw/4Lj6U8TS8a7xuv4/y2M2ruw6PjV/QS4rsB6n&#10;ZR1Qnj+/eeg14kJyPG0NH6xXb8HxrLUv1A4Xuy2vx6qWxfKYjauCTps2bc5kOdYEunDhognLsc6Q&#10;z3Aw6e6772q2zUPp1GmOo06frLxzzZ6ibB8b/bOxnujzmefDcXzjxg0m5ySU7ipX95uQHmB5zMaF&#10;rItl2evXr8tkB573tGiXYx0ixyF/mzYXulXdQnIc8w/69fD3/bUeijIcnyvCcCttVI5YW1UPsDxm&#10;46qkU7Kt7HMJLG+3XZ613mdIjUJy/JezP2VyHPOG4/nLVhhepC9Fz92LvSGvl6qUzfKYjauKLi5P&#10;cMLnt7/fP3M23S5HP7hfltvfvm1H0P4BrHsZYhyJ4/NnO7en1gv127hhXWGOY/1kp0nWVgwXw911&#10;2utblsdsXBX1zmM5GNNqH8sHKz5MZVQnuIR5Y5Az1o1w7LXeZs0hW+Q3T9xj8tZmc0yvoo+Us+47&#10;oTzA8piNC1WP0OU6fqRtn5g7ULgNff369Qh9MmnlhOY45nDEWHgcO+SaymBx1poOefcMfFd4YdGi&#10;VG18vULrFNpLKl88t/YAy2M2zjr/TpaH8ck+T/x9jC9f+dGq6ObNm7lM37w5fZ1nlBWyLsuXr7gt&#10;94kTJgRrj4PV7y9bdtvxUD8cE6xOYzm+H8zs778jxtcY+2K4GBjyOqlq2SyP2biq6uTyTnIl+Xq8&#10;8d9Ll6bP0efKD7V1/Sl+vmk8tXovbc3jtO8AaLsXaYOL4eJ3qGujDuWyPGbj6qAZ2oQ+D5P76P/O&#10;q2cy/syZM7mfzyur6P8lc8RrK2ZnlYP17d97950Izwe9/dab0e+//XrrmFjTefjAUPTIwzNytXR5&#10;qx0ujhf1ei9+juUxG1cXjZMsdrxxW4wpLNOazS4vf5vF3068/9qrrxTiN/Kti2dUD92LQnmA5TEb&#10;F6oe3Sg3b3y54yX6WfDbZjfy84/p8vG3neB18hg//nC60HgUl6dfB+2Lg/JAugdYHrNxdTwPeb9/&#10;gkcPPjQjwu+b3Zwz0XHR3yYZG/I11tF8ffHiwm1wzXmVfr3W8fpRndo/1yyP2bi6njOfj1n7GG8Y&#10;as7E8XRNyykkt13Z6COfN/BkYX67PMerj/6//WtfGtZHQ5bHbFydvTNenzkY1ddg+erVgx3vZ3F8&#10;9LeOtaG2eK5+6tQpLTG8zv5Q3erDzbKdS5bHbFzZ6m+dz47tO5tjnH1epu2D55gnq9VnQdl8kzn0&#10;9fXdGjtixfFLFy9Ex48ejlZ9vLLQWHA/J9wDOzFuh9VPcWJwmT3A8piNK7MWlrkVaZs7ji1c+Gzw&#10;vvPkb7Ivv/SiGccxBhxt7/HWW3P1TW4tdVdZ4m0veoDlMRvXKxqfOnX6jrnFk/zyX6PvHGNbQv0W&#10;iudN/eOJ4+Jdr1yLvVBPlsdsXC9o6tdx4TPPRZMmTbyNoT5Pk/vob8GaRJiD/NDBI2b96BjL7ubJ&#10;xfOTeN6y3f4UtMM3rFtbuG7Jus6Z87hZ/XzNta97VK95gOUxG9dr+qK+1679F93XmH87ybEir9FO&#10;R7/LsWPfmDCPnX8cc4ef+v5ktHfP7uazmU8vyF//Lq9uW7Zsja5cuWJSn170k+qs+1TSAyyP2bjk&#10;8Xvp9fnzf0donyf7qvOY5/8f5ipEWx1ztGBOLrTXMYdhKxq2wvGT333bbG8Xnf/EzzW5jzrv37e/&#10;pVxbqZc+K7b1sgdYHrNxvay1qzv6wNFvgj6UJO/Y19OmTW+WiTGNQ0PD0dWrV1OZmcbxPxp9LGD2&#10;F7t3RZg7HPN/tzpeMC9vfBdxdddWvJUH7D3A8piN0zmMz+Hlfy835mD53IzlaSxFv8ys2Y81/+YN&#10;zI9mzeyPsJ4D/tI+b/ne1q3b1H/S6FeT56VBaA+wPGbjQtenquUvWfJGs8+kld9ELZlrVRbWuqvq&#10;OVDe4m1VPcDymI2rqk6dyht9Lpj3Fv0kVmztRDn4LfbGjRtiuNrf8kAXPMDymI3rFA/rcJxz50aj&#10;fV/ta7TTs9ch6gSj046BnNAndPbsz7puu3Dd1sHfqoPd9x+Wx2yczl175w7P8s9+dE5zLDg77iWN&#10;y3nvYZwM+kuGhw+J2WK2PFBCD7A8ZuPE8fY4ntQPYxnRJj58+Gi0e9eeaHDtGqo/BvMI4A9t7AMH&#10;DkYjIycilJ08nl7bnj/pKT0tPMDymI2zyFllyPvygDwgD8QeYHnMxkn7WHtpIS3kAXnAwgMsj9k4&#10;i5xVhrwvD8gD8kDsAZbHbJy0j7WXFtJCHpAHLDzA8piNs8hZZcj78oA8IA/EHmB5zMZJ+1h7aSEt&#10;5AF5wMIDLI/ZOIucVYa8Lw/IA/JA7AGWx2yctI+1lxbSQh6QByw8wPKYjbPIWWXI+/KAPCAPxB5g&#10;eczGSftYe2khLeQBecDCAyyP2TiLnFWGvC8PyAPyQOwBlsdsnLSPtZcW0kIekAcsPMDymI2zyFll&#10;yPvygDwgD8QeYHnMxkn7WHtpIS3kAXnAwgMsj9k4i5xVhrwvD8gD8kDsAZbHbJy0j7WXFtJCHpAH&#10;LDzA8piNs8hZZcj78oA8IA/EHmB5zMZJ+1h7aSEt5AF5wMIDLI/ZOIucVYa8Lw/IA/JA7AGWx2yc&#10;tI+1lxbSQh6QByw8wPKYjbPIWWXI+/KAPCAPxB5geczGSftYe2khLeQBecDCAyyP2TiLnFWGvC8P&#10;yAPyQOwBlsdsnLSPtZcW0kIekAcsPMDy2MVpe38kDaSBPCAPlMEDrd4TypCzctC1Iw/IA/JA7IFW&#10;Oa7P6/ugPCAPyAPygDwgD8gD8oA8IA/IA/KAPCAPyAPygDwgD8gD8oA8IA/IA/KAPCAPlNUD90RR&#10;dG/jD//6Gn/Y/x8AAP//AwBQSwMEFAAGAAgAAAAhAGseWpDgAAAACQEAAA8AAABkcnMvZG93bnJl&#10;di54bWxMj0FLw0AUhO+C/2F5gje7m8ZEjdmUUtRTEWwF8faavCah2d2Q3Sbpv/d50uMww8w3+Wo2&#10;nRhp8K2zGqKFAkG2dFVraw2f+9e7RxA+oK2wc5Y0XMjDqri+yjGr3GQ/aNyFWnCJ9RlqaELoMyl9&#10;2ZBBv3A9WfaObjAYWA61rAacuNx0cqlUKg22lhca7GnTUHnanY2GtwmndRy9jNvTcXP53ifvX9uI&#10;tL69mdfPIALN4S8Mv/iMDgUzHdzZVl50rNUDJzUskxQE+3ESP4E4aLhPVQqyyOX/B8UP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ClSiTpgQMAABMIAAAOAAAAAAAA&#10;AAAAAAAAADwCAABkcnMvZTJvRG9jLnhtbFBLAQItABQABgAIAAAAIQD0/vLv5IAAAKhBCgAUAAAA&#10;AAAAAAAAAAAAAOkFAABkcnMvbWVkaWEvaW1hZ2UxLmVtZlBLAQItABQABgAIAAAAIQBrHlqQ4AAA&#10;AAkBAAAPAAAAAAAAAAAAAAAAAP+GAABkcnMvZG93bnJldi54bWxQSwECLQAUAAYACAAAACEAjiIJ&#10;QroAAAAhAQAAGQAAAAAAAAAAAAAAAAAMiAAAZHJzL19yZWxzL2Uyb0RvYy54bWwucmVsc1BLBQYA&#10;AAAABgAGAHwBAAD9iAAAAAA=&#10;">
                      <v:shape id="그림 176" o:spid="_x0000_s1101" type="#_x0000_t75" style="position:absolute;width:2175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61" o:title=""/>
                      </v:shape>
                      <v:shape id="Text Box 70" o:spid="_x0000_s1102" type="#_x0000_t202" style="position:absolute;left:14600;top:2616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79BADD3F"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D</w:t>
                              </w:r>
                            </w:p>
                          </w:txbxContent>
                        </v:textbox>
                      </v:shape>
                      <w10:wrap type="square"/>
                    </v:group>
                  </w:pict>
                </mc:Fallback>
              </mc:AlternateContent>
            </w:r>
          </w:p>
          <w:p w14:paraId="4F37A620" w14:textId="77777777" w:rsidR="002E5800" w:rsidRPr="008F328C" w:rsidRDefault="000E0B7C">
            <w:pPr>
              <w:spacing w:line="260" w:lineRule="exact"/>
              <w:rPr>
                <w:rFonts w:ascii="Times New Roman" w:hAnsi="Times New Roman" w:cs="Times New Roman"/>
                <w:sz w:val="26"/>
                <w:szCs w:val="26"/>
                <w:highlight w:val="lightGray"/>
                <w:lang w:val="pl-PL"/>
              </w:rPr>
            </w:pPr>
            <w:r w:rsidRPr="008F328C">
              <w:rPr>
                <w:rFonts w:ascii="Times New Roman" w:eastAsia="Times New Roman" w:hAnsi="Times New Roman" w:cs="Times New Roman"/>
                <w:noProof/>
                <w:sz w:val="20"/>
                <w:szCs w:val="20"/>
                <w:highlight w:val="lightGray"/>
                <w:lang w:eastAsia="ko-KR"/>
              </w:rPr>
              <mc:AlternateContent>
                <mc:Choice Requires="wps">
                  <w:drawing>
                    <wp:anchor distT="0" distB="0" distL="114300" distR="114300" simplePos="0" relativeHeight="251658282" behindDoc="0" locked="0" layoutInCell="1" allowOverlap="1" wp14:anchorId="345A02C3" wp14:editId="00D7B3B1">
                      <wp:simplePos x="0" y="0"/>
                      <wp:positionH relativeFrom="column">
                        <wp:posOffset>1217295</wp:posOffset>
                      </wp:positionH>
                      <wp:positionV relativeFrom="paragraph">
                        <wp:posOffset>59386</wp:posOffset>
                      </wp:positionV>
                      <wp:extent cx="858520" cy="1088473"/>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67A450" w14:textId="0C94F46D" w:rsidR="006D7011" w:rsidRDefault="006D701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45A02C3" id="Text Box 121" o:spid="_x0000_s1103" type="#_x0000_t202" style="position:absolute;margin-left:95.85pt;margin-top:4.7pt;width:67.6pt;height:85.7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6lvagIAAFEFAAAOAAAAZHJzL2Uyb0RvYy54bWysVE1v2zAMvQ/YfxB0X52kTRsEcYosRYcB&#10;RVssHXpWZCkxJosapcTOfv0o2U66rpcOu9iU+Pj4IZKz66YybK/Ql2BzPjwbcKashKK0m5x/f7r9&#10;NOHMB2ELYcCqnB+U59fzjx9mtZuqEWzBFAoZkVg/rV3OtyG4aZZ5uVWV8GfglCWlBqxEoCNusgJF&#10;TeyVyUaDwWVWAxYOQSrv6famVfJ54tdayfCgtVeBmZxTbCF9MX3X8ZvNZ2K6QeG2pezCEP8QRSVK&#10;S06PVDciCLbD8i+qqpQIHnQ4k1BloHUpVcqBshkOXmWz2gqnUi5UHO+OZfL/j1be71fuEVloPkND&#10;DxgLUjs/9XQZ82k0VvFPkTLSUwkPx7KpJjBJl5PxZDwijSTVcDCZXFydR5rsZO3Qhy8KKhaFnCM9&#10;S6qW2N/50EJ7SHTmwZTFbWlMOsRWUEuDbC/oEdebFCOR/4EyltU5vzwfDxKxhWjeMhsbaVRqhs7d&#10;KcMkhYNREWPsN6VZWaRE3/AtpFQ29P4TOqI0uXqPYYc/RfUe4zYPskiewYajcVVawJR9mp5TyYof&#10;fci6xdPbvMg7iqFZN5R4zi+u+g5YQ3GgxkBoZ8Y7eVvS690JHx4F0pDQi9Pghwf6aANUfegkzraA&#10;v966j3jqXdJyVtPQ5dz/3AlUnJmvlro6TmgvYC+se8HuqiVQCwxppTiZRDLAYHpRI1TPtA8W0Qup&#10;hJXkK+cyYH9Yhnb4aaNItVgkGE2iE+HOrpyM5LGwsRufmmeBrmvZQM1+D/1Aiumrzm2xXV3bynUH&#10;mts0Ct2OiYvh5TmhTptw/hsAAP//AwBQSwMEFAAGAAgAAAAhAOGxEP3bAAAACQEAAA8AAABkcnMv&#10;ZG93bnJldi54bWxMj9FOhDAQRd9N/IdmTHxzy7KKgJTNajTxldUPKHQElE6RdgH/3vFpfbw5N3fO&#10;FPvVDmLGyfeOFGw3EQikxpmeWgXvby83KQgfNBk9OEIFP+hhX15eFDo3bqEK52NoBY+Qz7WCLoQx&#10;l9I3HVrtN25EYvbhJqsDx6mVZtILj9tBxlGUSKt74gudHvGpw+breLIKZqy66u7z8TmLF3mo9SvR&#10;d7JT6vpqPTyACLiGcxn+9FkdSnaq3YmMFwPnbHvPVQXZLQjmuzjJQNQM0igFWRby/wflLwAAAP//&#10;AwBQSwECLQAUAAYACAAAACEAtoM4kv4AAADhAQAAEwAAAAAAAAAAAAAAAAAAAAAAW0NvbnRlbnRf&#10;VHlwZXNdLnhtbFBLAQItABQABgAIAAAAIQA4/SH/1gAAAJQBAAALAAAAAAAAAAAAAAAAAC8BAABf&#10;cmVscy8ucmVsc1BLAQItABQABgAIAAAAIQDHM6lvagIAAFEFAAAOAAAAAAAAAAAAAAAAAC4CAABk&#10;cnMvZTJvRG9jLnhtbFBLAQItABQABgAIAAAAIQDhsRD92wAAAAkBAAAPAAAAAAAAAAAAAAAAAMQE&#10;AABkcnMvZG93bnJldi54bWxQSwUGAAAAAAQABADzAAAAzAUAAAAA&#10;" fillcolor="white [3212]" stroked="f" strokeweight=".5pt">
                      <v:textbox inset="0,0,0,0">
                        <w:txbxContent>
                          <w:p w14:paraId="3467A450" w14:textId="0C94F46D" w:rsidR="006D7011" w:rsidRDefault="006D701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v:textbox>
                    </v:shape>
                  </w:pict>
                </mc:Fallback>
              </mc:AlternateContent>
            </w:r>
          </w:p>
          <w:p w14:paraId="24ED05E6"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 xml:space="preserve">Odczekać 15 do 30 minut </w:t>
            </w:r>
          </w:p>
          <w:p w14:paraId="34080E17" w14:textId="77777777" w:rsidR="002E5800" w:rsidRPr="008F328C" w:rsidRDefault="000E0B7C">
            <w:pPr>
              <w:pStyle w:val="Default"/>
              <w:rPr>
                <w:rFonts w:ascii="Times New Roman" w:hAnsi="Times New Roman" w:cs="Times New Roman"/>
                <w:highlight w:val="lightGray"/>
                <w:lang w:val="pl-PL"/>
              </w:rPr>
            </w:pPr>
            <w:r w:rsidRPr="008F328C">
              <w:rPr>
                <w:rFonts w:ascii="Times New Roman" w:hAnsi="Times New Roman" w:cs="Times New Roman"/>
                <w:highlight w:val="lightGray"/>
                <w:lang w:val="pl-PL"/>
              </w:rPr>
              <w:t xml:space="preserve"> </w:t>
            </w:r>
          </w:p>
          <w:p w14:paraId="34115169" w14:textId="77777777" w:rsidR="002E5800" w:rsidRPr="008F328C" w:rsidRDefault="000E0B7C">
            <w:pPr>
              <w:pStyle w:val="a3"/>
              <w:ind w:left="4117" w:hanging="180"/>
              <w:rPr>
                <w:rFonts w:eastAsia="Times New Roman"/>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w:t>
            </w:r>
            <w:r w:rsidRPr="008F328C">
              <w:rPr>
                <w:rFonts w:eastAsia="Times New Roman"/>
                <w:highlight w:val="lightGray"/>
                <w:lang w:val="pl-PL" w:eastAsia="ko-KR"/>
              </w:rPr>
              <w:t>Pozostawić</w:t>
            </w:r>
            <w:r w:rsidRPr="008F328C">
              <w:rPr>
                <w:rFonts w:eastAsia="Times New Roman"/>
                <w:highlight w:val="lightGray"/>
                <w:lang w:val="pl-PL"/>
              </w:rPr>
              <w:t xml:space="preserve"> ampułko-strzykawkę w temperaturze pokojowej na 15 do 30 minut, aby się rozgrzała.</w:t>
            </w:r>
          </w:p>
          <w:p w14:paraId="176D06CF" w14:textId="77777777" w:rsidR="002E5800" w:rsidRPr="008F328C" w:rsidRDefault="002E5800">
            <w:pPr>
              <w:pStyle w:val="Default"/>
              <w:rPr>
                <w:rFonts w:ascii="Times New Roman" w:hAnsi="Times New Roman" w:cs="Times New Roman"/>
                <w:color w:val="211D1E"/>
                <w:sz w:val="20"/>
                <w:szCs w:val="20"/>
                <w:highlight w:val="lightGray"/>
                <w:lang w:val="pl-PL"/>
              </w:rPr>
            </w:pPr>
          </w:p>
          <w:p w14:paraId="4CAAE89F" w14:textId="77777777" w:rsidR="002E5800" w:rsidRPr="008F328C" w:rsidRDefault="002E5800">
            <w:pPr>
              <w:pStyle w:val="a3"/>
              <w:numPr>
                <w:ilvl w:val="0"/>
                <w:numId w:val="0"/>
              </w:numPr>
              <w:tabs>
                <w:tab w:val="left" w:pos="3861"/>
              </w:tabs>
              <w:ind w:left="911"/>
              <w:rPr>
                <w:b/>
                <w:highlight w:val="lightGray"/>
                <w:lang w:val="pl-PL"/>
              </w:rPr>
            </w:pPr>
          </w:p>
          <w:p w14:paraId="53AB0928" w14:textId="77777777" w:rsidR="002E5800" w:rsidRPr="008F328C" w:rsidRDefault="000E0B7C">
            <w:pPr>
              <w:pStyle w:val="a3"/>
              <w:numPr>
                <w:ilvl w:val="0"/>
                <w:numId w:val="17"/>
              </w:numPr>
              <w:ind w:left="4297"/>
              <w:rPr>
                <w:rFonts w:eastAsia="Times New Roman"/>
                <w:highlight w:val="lightGray"/>
                <w:lang w:val="pl-PL"/>
              </w:rPr>
            </w:pPr>
            <w:r w:rsidRPr="008F328C">
              <w:rPr>
                <w:rFonts w:eastAsia="Times New Roman"/>
                <w:b/>
                <w:bCs/>
                <w:highlight w:val="lightGray"/>
                <w:lang w:val="pl-PL"/>
              </w:rPr>
              <w:t>Nie należy</w:t>
            </w:r>
            <w:r w:rsidRPr="008F328C">
              <w:rPr>
                <w:rFonts w:eastAsia="Times New Roman"/>
                <w:highlight w:val="lightGray"/>
                <w:lang w:val="pl-PL"/>
              </w:rPr>
              <w:t xml:space="preserve"> podgrzewać ampułko-strzykawki za pomocą źródeł ciepła </w:t>
            </w:r>
            <w:r w:rsidRPr="008F328C">
              <w:rPr>
                <w:rFonts w:eastAsia="Calibri"/>
                <w:highlight w:val="lightGray"/>
                <w:lang w:val="pl-PL"/>
              </w:rPr>
              <w:t>np. gorącej wody lub kuchenki mikrofalowej.</w:t>
            </w:r>
            <w:r w:rsidRPr="008F328C">
              <w:rPr>
                <w:rFonts w:eastAsia="Times New Roman"/>
                <w:sz w:val="20"/>
                <w:szCs w:val="20"/>
                <w:highlight w:val="lightGray"/>
                <w:lang w:val="pl-PL"/>
              </w:rPr>
              <w:t xml:space="preserve"> </w:t>
            </w:r>
          </w:p>
        </w:tc>
      </w:tr>
      <w:tr w:rsidR="002E5800" w:rsidRPr="00A5286D" w14:paraId="0CB5F721" w14:textId="77777777">
        <w:trPr>
          <w:trHeight w:val="6517"/>
        </w:trPr>
        <w:tc>
          <w:tcPr>
            <w:tcW w:w="9550" w:type="dxa"/>
          </w:tcPr>
          <w:p w14:paraId="0B201C89" w14:textId="77777777" w:rsidR="002E5800" w:rsidRPr="008F328C" w:rsidRDefault="002E5800">
            <w:pPr>
              <w:spacing w:line="260" w:lineRule="exact"/>
              <w:rPr>
                <w:rFonts w:ascii="Times New Roman" w:hAnsi="Times New Roman" w:cs="Times New Roman"/>
                <w:lang w:val="pl-PL"/>
              </w:rPr>
            </w:pPr>
          </w:p>
          <w:p w14:paraId="69F35ACE" w14:textId="718F8CCD" w:rsidR="002E5800" w:rsidRPr="008F328C" w:rsidRDefault="00F2584C">
            <w:pPr>
              <w:pStyle w:val="a4"/>
              <w:ind w:left="471"/>
              <w:rPr>
                <w:rFonts w:ascii="Times New Roman" w:eastAsia="Times New Roman" w:hAnsi="Times New Roman" w:cs="Times New Roman"/>
                <w:spacing w:val="-1"/>
                <w:lang w:val="pl-PL"/>
              </w:rPr>
            </w:pPr>
            <w:r w:rsidRPr="008F328C">
              <w:rPr>
                <w:rFonts w:ascii="Times New Roman" w:eastAsia="Times New Roman" w:hAnsi="Times New Roman" w:cs="Times New Roman"/>
                <w:noProof/>
                <w:spacing w:val="-1"/>
                <w:lang w:eastAsia="ko-KR"/>
              </w:rPr>
              <mc:AlternateContent>
                <mc:Choice Requires="wpg">
                  <w:drawing>
                    <wp:anchor distT="0" distB="0" distL="114300" distR="114300" simplePos="0" relativeHeight="251658287" behindDoc="0" locked="0" layoutInCell="1" allowOverlap="1" wp14:anchorId="2B199BA5" wp14:editId="6E153948">
                      <wp:simplePos x="0" y="0"/>
                      <wp:positionH relativeFrom="column">
                        <wp:posOffset>118745</wp:posOffset>
                      </wp:positionH>
                      <wp:positionV relativeFrom="paragraph">
                        <wp:posOffset>131445</wp:posOffset>
                      </wp:positionV>
                      <wp:extent cx="2091690" cy="3670300"/>
                      <wp:effectExtent l="0" t="0" r="3810" b="6350"/>
                      <wp:wrapSquare wrapText="bothSides"/>
                      <wp:docPr id="126" name="그룹 126"/>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243CC1D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7" name="Text Box 127"/>
                              <wps:cNvSpPr txBox="1"/>
                              <wps:spPr>
                                <a:xfrm>
                                  <a:off x="609600" y="2654300"/>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5AEE7A" w14:textId="77777777" w:rsidR="006D7011" w:rsidRDefault="006D701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TYLKO opiekun </w:t>
                                    </w:r>
                                  </w:p>
                                  <w:p w14:paraId="267BB9A7" w14:textId="77777777" w:rsidR="006D7011" w:rsidRDefault="006D7011">
                                    <w:pPr>
                                      <w:rPr>
                                        <w:rFonts w:asciiTheme="majorBidi" w:hAnsiTheme="majorBidi" w:cstheme="majorBidi"/>
                                        <w:b/>
                                        <w:bCs/>
                                        <w:sz w:val="20"/>
                                        <w:szCs w:val="20"/>
                                        <w:lang w:val="pl-PL"/>
                                      </w:rPr>
                                    </w:pPr>
                                  </w:p>
                                  <w:p w14:paraId="738E14C1" w14:textId="77777777" w:rsidR="006D7011" w:rsidRDefault="006D701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2B199BA5" id="그룹 126" o:spid="_x0000_s1104" style="position:absolute;left:0;text-align:left;margin-left:9.35pt;margin-top:10.35pt;width:164.7pt;height:289pt;z-index:251658287"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nr1ABAAA7wwAAA4AAABkcnMvZTJvRG9jLnhtbOxXUW7jNhD9L9A7&#10;EPrfWLJjOzbiLNKkCRZId4NNiv2mKcoiIpEsScd2r1OgV2gL9ETtJfqGkuwkTrGboChQoB9RhqMh&#10;OfP45lE+fruuK3YvnVdGz5LsIE2Y1MLkSi9myfe3F2+OEuYD1zmvjJazZCN98vbk66+OV3Yq+6Y0&#10;VS4dwyLaT1d2lpQh2Gmv50Upa+4PjJUaLwvjah4wdIte7vgKq9dVr5+mo97KuNw6I6T38J43L5OT&#10;uH5RSBE+FIWXgVWzBLmF+HTxOadn7+SYTxeO21KJNg3+iixqrjQ23S51zgNnS6f2lqqVcMabIhwI&#10;U/dMUSghYw2oJkufVHPpzNLGWhbT1cJuYQK0T3B69bLi/f2lszf22gGJlV0AiziiWtaFq+k/smTr&#10;CNlmC5lcBybg7KeTbDQBsgLvBqNxOkhbUEUJ5PfmifLbz8zsdRv3HqWzHTRpIu9rx1Q+S8aDhGle&#10;g1t//PLrnz/9xuBoa/nPFGeVmOKvPWBYewf8+UbArLB0MmkXqb9ojZq7u6V9Ay5aHtRcVSpsYl+B&#10;dZSUvr9W4to1gx3m2RHaegf6z78z8gB1mkNhzSRORV0ZceeZNmcl1wt56i16EkpB0b3H4XH4aMd5&#10;peyFqipiIdltbejfJ/x/Bp6mt86NWNZSh0YsnKxQptG+VNYnzE1lPZfgkHuXZ6AwhCqAR9YpHSg/&#10;PvXBySBKMgvk8RG5U94PXsSkd3lSRR7dxOar70yOxfgymKgML++m4eCo34/dtO0JIOp8uJSmZmQg&#10;c2QUl+f3V77NrQuhrLUh/GItlX7kwJrkiflTxq2JAqjDoMa+gxujPcBfJDg3JbcSWdKyOxKN+x2H&#10;bklNvjFrBhdSbcNIlFhYw9/ShfxNpp1EbLUpG4yzEZSHkQoN+4f9YatCnU6Ns8nhcNjIVHY4Spv3&#10;r8fVm0rlHTUJ8LPKsXuOW2ZVqiAju8GSh1F/g/+uKrLCer6OsnYY+4lcc5NvgIQzOG5U6K24UNjw&#10;ivtwzR1uKzhxA4cPeBSVWc0S01oJK4378Tk/xeNM8TZhK9x+s8T/sOSkHtU7jdPGkqEzXGfMO0Mv&#10;6zODUtEzyCaamOBC1ZmFM/UnXMyntAtecS2w1ywJnXkWmjsYF7uQp6cxqBGhK31jIV1ZJDUBe7v+&#10;xJ1t6R5wnu9Nxyc+fcL6JjY2rj1F412o2BI7FEFyGoDb0Wqvu3+J8Fl/vMd48r2O8qN00jG+Pxoe&#10;bu/djvHZYNJPxyRr6InxMB01O/1DlI8faHJL+vmiEfQ9yjPQcTRAtz2nPXwq4ydaq1x0Mk1/Ryts&#10;KkmzKv1RFuiJ+AkSz5Y+Dnd7cyEg8N3+MZqiGr3+8oltPE1tsnrJrtsZcWejw3ZyrbRxsfonkOV3&#10;XcpFE99y0zd1EwQ7MZh0JPlfDF4sBrHjG9z22h9f1fA9+mx/OI7xu98pJ38BAAD//wMAUEsDBBQA&#10;BgAIAAAAIQDjp8k86usAALifBwAUAAAAZHJzL21lZGlhL2ltYWdlMS5lbWbs3We4LkWVL/D2hmc+&#10;3vvcUeZ+mStBTMOBQQwoSBjENCAgWRAJR0BBVAygKEGUoATFnHNAMIABQVBUlCQGUBQQjowKimEE&#10;UWckeN9fHf49RVM7nCPswOn9PLWratVKtWrV6qrqfrsf0HXdgZOUv//1gK67ZJLy9+f/03Vrrd51&#10;q2+59ZO77gHdl97/d91/nzRWKAX1yL/rug3/R9ftMmn4eojvys/f9H923/vjf+u2m9Q3nNDnbygr&#10;8P894XHpJG07ATx8kg6dpPPft5xu9e7bXdq1pfyAbvVJ7b/wSuWuf3/961+7MY02GH1g9IHRB0Yf&#10;GH1g9IHRB0YfGH1g9IHF5AOrP3itbkyjDUYfGH1gNj4wjG1ohrCxPl4DRx8YfWDoA61Y0YIN6cb6&#10;6EujD4w+0IoVLdjoK6OvjD4w+sDQB1qxogUb0o310ZdGHxh9oBUrWrDRV0ZfGX1g9IGhD7RiRQs2&#10;pBvroy+NPjD6QCtWtGCjr4y+MvrA6ANDH2jFihZsSDfWR18afWD0gVasaMFGXxl9ZfSB0QeGPtCK&#10;FS3YkG6sj740+sDoA61Y0YKNvjL6yugDow8MfaAVK1qwId1YH31p9IHRB1qxogUbfWX0ldEHRh8Y&#10;+kArVrRgQ7qxPvrS6AOjD7RiRQs2+sroK4vVB+688867/Z5cPbDbb7/9Hm133HHH3WCLtd9zoXcr&#10;VrRgc6HLKGOMUfeFDyReJFbU8SFtcvDU7ws97o88W7GiBbs/9n3s06oRr8SNxIzEhzrnB3U9uKN/&#10;zOwfrVjRgo22nNmWo40Wpo3Ej6w9zv/Ked1LD35x96R/2aJbY/WHdGutuXb30LUf0W2z9VbdUYe/&#10;uvu363/a723G8Zx5PFuxogUbbTmzLaeykWtb2nKdSz1r5tSDW18Da5qpyqEf5vAzd7S1+A9phvXI&#10;TF63h9+wrYbX+MP+pi34w/oQnvZhn4Z4qctTPuMzn+rWfsjDu4es9dASN8QPST35Bo96dHf9suvK&#10;eKEb6hte9KjL0eu2225rwtOefEhb14djPxVN4POZt2JFCzafOi522f/5n/9RfKr2EeX4ifJf/vKf&#10;Pc5tf/lLH2/0PbhyCQytFH8NXP0//uPPBSd80mbORWby2dgWT3j1nB3SRUZ0q3NlOkWvui28wWp4&#10;9JNL+AcGTx1t3Uft7EhP8NCG937PXVrihFjx3H327m156623ds/bb98+jpxw/HGdMQtd+h358vCH&#10;Q4+0qadc2yS80paxCC/tkRNfiN+EJjxafNM213krVrRgc63X/UWesY5fZNwD4xfxDT4Irh48Nogv&#10;1W0pa6/LNW14B1bX47u1nKnsDafGC78aDoZeHn1TDx6ZtdzwSQxQDyzyQlvzii0Dk9cJj+DUfMj5&#10;wpmf7S761je7a66+qrdb5P76pl91D3/YI8u65Nm7PavXFe/wCW6tZ+TBSbvyMKbUOmpLHY1yTRtY&#10;LbfmH9qFkLdiRQu2EHRdrDrwh5//7N+6j3zw/d3b3vym7h1vfXN3xeXfL37zwysu797+llMK7H3v&#10;fmeB/elPfyp1eO9821u6K3/4g7v58DfO/2pp1/aB97679z32Icsc/t53Lut5XHbpJWU+kBWel1x0&#10;Ye/Ds7GrOemae+E3L+j5vuvtb+3O+vyZ3Y033FDk4hOfr+fPV8/9cukHfck/c7KP+O1vfl3kf/gD&#10;7+v50Rn9r355Y7HJu9/xttJ27U+uKXB9C//orP6DiS3pgrf0lXPP6W7+/e+LTjU+ndRv+MXPu49/&#10;5EMF9/3veVeHP94bPm7Dsgaxh6ljUPQ2fujrhI4uX/vqeYUfPb7wuTN6e0TPOsfbWLznnW8vdqHz&#10;uWd/qbv1D3/o+xe+X/zcmX2/2JHstNU856vcihUt2Hzpt9jlGuvPffbT5dpmn539t/K+S/cpZ3nO&#10;8KRXvPxlxW9/97vfFj/OPt2+Pf5sDp/4+uNLO5rHPfZx/9U2mR/mzlZPf3rhF77yFzz/eZ25iqfE&#10;Z2drW3345Mc/2m280caFL/qcF0TG8ce8trvl5pvvNrfMB9dyOPotBf9R629Q5g8+/A3Pq6/6caE3&#10;t9TB4etTPWeV2eMXP/9ZsSFceNELz002fmJ3wdfO7+liP/NxnUcu6fUgg14nHH9s99hHP7bA0bNN&#10;ZEbvZ2y11d3g7AJHXHr6U5/ayxeH/vzn5XvIoY1/eeON3T577Vns59yWrOjOvl8//yt93MP7RQe9&#10;oMc5+sjDF1Ts0LdWrGjBhnYY63dfN09lD3NoyTrrFt/i39tts01Zg7z6la/ofZUPWTu7JuLz+9//&#10;e/EZcGMh/oQ/n7I/T5v4oY0v/+Saq7t1l6zX+9vW//qvJU4cdughPSz+Kn7gFb7JA5PjCX7sa48u&#10;umYe1fO0hj3n2bsX3cPjLW86uacjV3rJi1/UvfWUN3ZP2XLL3ibg5nvorCf0G1x+/nnnFj20Ry9n&#10;A7vuvFPhb/4dOImP+nTIy17aPeLh/1Tg7C4mxT4/vvKHxc740vu1Rx1ZaA468ICCDy7hF13k0eNf&#10;n/a03l61LuIUmthCWcwPD/KVxf5ddtqx9Fu/ttl66+6kNxzfvf7YY/q9E52t6bJWOvhFL+zlv+41&#10;R/XyM17znevHUIcWbIgz1mcXP+wd+JO0x+67FT+KX2U9oI2Pnv3Fz5fr6srEDzytX/iw8bMGqdfw&#10;J5/whtKWOTLd+iPXVWN82ic+1usvxlnv/+bXN5W54Nzxox/6QImPZIorO+2wfffv//67EnsOeN7+&#10;vczjXnd0JyUm6eNTn/zkwhvfZ267bT/fZoof+mpeJY6Jj2BJ9nRipzWX67m1h/TKQ15e7MwGp37s&#10;I0UXNPopRuKXsQhcPlX8wFN/Xja5H4yODcRzY2BtGX3k8L70hc8VGdYdaMgVJ/CxdzVmznHtl3KO&#10;9OK71h94j/FjdnPu/hSbvnvZZcX/+Axf0Df+xG9+9m/XF1/jt/zDdQx8ZeIHvpttsmnhh5drf/HP&#10;yTWPfzozBM9c4KMz2Rmd/Qc688O+KTzliQWnnHxSeYYCnrkjDmo3fyPz9FM/3kngmXevesWhvb7W&#10;Luyifbr4od0eIPNVfy785jcKT7bTLqVMR/LANt9ssz5GOGOyHgi+tQle4Rtd5LHZcP2R/q+37vp9&#10;/41x9iXid3TBR/zEHz/nuNrAw6fgTnRSj/xx/bHqxYz4pNy5Pv/iN87l7FGcpfIP54R8SRJD/pb1&#10;xx9uuaXIIIf/fvZTpxX/zNwxV+wRIk/8iI/W+saf+fBVP7qy8KKbuPDTZdf18y184YFHruunfuBz&#10;8gmvL/LoI7ZJzh/QSM5Msl7afrvt+nk0XfzA97uXfbvQZS5ed+1P+pgU3vpEx/Tx+rt01P+cY8CF&#10;Jxdv7B0yFqGTg4mDw/iB9pvf+Hppp8uzdtml+/Rpp/bjYB8SfeQHHfD8PhZfe83VRbe6XZm8wJTH&#10;9ceqHT/42Cc++uHiU1lnyO3/Dz/slcX3+Kc1fM45nJ/yxyT3K/CJr1sHaOPTOf+4/qfLet8H95wl&#10;PwwNX7SfQEf+dPsXuJIzGrj0sw4JXF7PTXX3H2761S/vpqd9zg7PfGY/v8gWL/AUZ+znwPTd2h0f&#10;+tbxg2x90Zb5pY5O0teUk0dntPYxaL91wTd6++iLeAqeOKhMB7T4qNNFjk941fja7Rnha7/4wm+V&#10;64X+iJn6GBl03/1Zz+r5o4EXXWvd2ShjXp+fOq8hcyEl9h/q04INccb67MYxfmh+m7PO+TKn+Fz8&#10;R/mMT59exsL5QfxYPrxvmPNTfuas31hY0/BZfmj8zGeys46Hs+P22/dzwT3j1hiikfi7+xH0wtNe&#10;I/GoRVfD0ufI//wZn+neeOIbSjKn6vsfmUfmeXgM44drujbyJbEg9mEDPOTRNTl41jV4hsa5K351&#10;X5W33OJJvX3qPoRf1h9ps7Zkc3w9mxb7HPLSl/S6XL/sut6e++y1V4HDD09luhszZYnezkroKH5o&#10;A9t7z+f08S5xLHlsN9d5K1a0YHOt1/1FXnwqvmo+g1ljuMbEN+RZf+T8gy+Bn3Lyif3cQuusL/5n&#10;/YG366l5CZ9PO+eEG/meeXC9QwdnqvVH5gY6fCLHWsmYpH268YET2fIWzZU/uKI8A6qPZLj/Gbxh&#10;/HB/wjzRLrlvG73MK/iRB8+5Q9qtD9B49nX99R5V5mGe7wDPOaVnWNgFP0lb+ouXNjpmvsrZOPPd&#10;vgwN+LnnfKm3nTgduN/XhL/nfxLb0bhPF15wnFfpU31OrP23v/1Nr5v26DjdeNyXbewy5N+CDXHG&#10;+uzXH87Wn7//fmV9LDZk3PkIn2BvPmovza7Zv4A98hHrlH03/9KGdunee/U01jJgfNR9yPCzFq9p&#10;xIvI4Z9TnZ/W8+YJGz6h9/cVWX/QEx/PZb38JQeXe9auvZLnItL/3A8R16Y7P7XGYqvEXvxfc8Th&#10;/Xx700kn9DbQ5lkVdmC/rOnc7/W7OXD9d/8FbnR1fwo8dLUdEj9ybkIP7ds+4xnFpmJ4njUHF5Py&#10;rMxTn/zk/rl9+67wd+acWIQme1w68JXId/6BJmsUZ0bZe9E9tkxf5jpvxYoWbK71uj/JO/LVr+rn&#10;4W677tpdv2z5mnb/fZ9b4OzNP77/3e8Uf3D9zN5Ym3WAfY9rqPup8WfnfeBsxY+sX+BLfA5/cHsZ&#10;fpk1vrbpzk9je89qoMMPLz4dvw5OKzcvzCF7KrTxfWXPfmi/9OKLio5gZJAVXvX6A612fZZbTwTP&#10;/kpf2Mqzmfr63ne9o+CBew5EvIrOZ5/1haJP+vSdb19a5qIYU+uJNjRysqXsX+gvntFNsseo8ZUP&#10;m+z3wlOsAqOfWBj57pEZ029fcnHBhW8N6Swcrn6KH+DhJacfHp5tqWNq7DKXOX2G8lqwIc5Yn936&#10;g53cx8ieP2Nv/Ou54TrNLyXrj7TBe/MbT+p9Jr4cejGDb0p//OMfy/NJxi/tkbfF5psX39WG93T7&#10;l/h6rolkuvdJN34tKQdP2bMs5qNzHu3RKWuMWm9lesnpqeyZ79DUz5/COeJVh/V4YobnTtjVnkHs&#10;qPdZ4St3rwtPuHKxxBlCbMMWaNXFYmcwylJ0kavTQ3vWHnl2B9x6p5ajbFzoIG36xE36Z9PpLK6B&#10;ZyzwkMj52Ic/WHjFxge/8KCCq93vd+y9lPXb8++RO1/zUR+GsluwIc5Yn3384AtX/fhH5dr5tKc8&#10;pfcH/mKtet6Xz+7HgD8Mf/9ib+45KPcN+I45ZE6JS8Yh85pvu3aZN55fMo581bXQWsD6m9/iMV38&#10;wJPOcs910VPM+dQnP9HLyvjT1/3axDsy9QdcopP9m3WSZK0Phw6u556J0o/EIzTD3784T3b+QgYa&#10;vweCL3m+xhyLfPs96wF7QbzqWKbOPs5yxVM66Bt8PN1vZZfh3i6/T8rcJld88Fsmv9GxJ8W7Hgty&#10;8EKLn/eKxKZ09vxYdBbDnHNc8PWv9XzCT1wNH+tSvz/Ku0vsuYKX8ZjrvBUrWrC51uv+JC8+LE9K&#10;/9KWOt8MjG8kgQUn+9/MIfC6PTTxreTO/8wZMWQ4R8IbT2U05r57J+YYGn7umieewbHesZ9yTeQz&#10;cJwx2LvQJzrV+gzLkTUVPHppx09e06QcvBpHX8I364bwCV1dBwt9DU9ZDie8gh9edVv6njEKj9ST&#10;gyehTwp+cnB2lUfHlEMzH3krVrRg86Hb/UUmX9GX5Bn/2m/AAk9Zjq6ux5/qtuAM+YGDRa71t/gh&#10;uaZpg1On8MDfPNHmObDEENfMrGHApPB0HRdT0KAPr2Fet0c3efqZdnnmanjUOKFNW10PrVx76inX&#10;uXLkJ4cffmwlWX8EFvpaHzTpd/DkEvzQJIcvqYdP3d+01bThFfzICa+5zluxogWba71GeXef1/eG&#10;PbL+MN+nWn+05PBVz2BYN4sX/KOOG2KK36+6BxH/bvFZbLDM2+wzcv8l8MXWn/tC31asaMHuC9kj&#10;z3s/RkxnU7/3zHmh6+l0uGmrr2/KH3zfe8q+PfeH3NfN7+7Nqxo/PBZzrk/ih5jrnvj9KT7eG+PS&#10;ihUt2L0ha+Qxt/GiZW9nJys6B+BnXZ51M971dTjlrL9bshcTLGcN+hW9Extji8BX5bwVK1qwVdlG&#10;97e+x//ruTFVHxMXtAc/eeKKmJFyeE/Fb7HA9Sf91Cd6p2/yxJLF0p/7Ss9WrGjBhvJj28Bd11Ke&#10;jzz6ZKznQ4eFLpONkui6IraCG/zwiM3xqsvT2SG0eKW8IvTT8b632+gXPcN7tv0M/v09b8WKFqxl&#10;h/hU/KqFM1cwOrgOzpW8Uc7K7cUSM8Z5uHL2W2h+14oVLdhC07vWp/bJcV25MP3SuEi5nhuzhXDd&#10;qf1oLK+477RiRQvWsm3GX57zphbeXMDij/Ixhqy4H8zFGEWGvW58J+OWtjFf2GM3HJ9WrGjBhnTG&#10;HczziH4L6bfJfic2n4kenutedt214z5mMjbDMZuvemIF+fzG7+/9ZsQzKH5b5r3P4PGp+dJzlLvi&#10;PtOKFS3Y0LZ33jF5p8Jtd3T7P3efbo01Js83V88h5nnEucofXJ5n8lulh03u06/VXXrRRQtm7gzt&#10;pm4+SZkz8tz3rOdaTRuawGralINj/QWWHI168rocftPl4Zs89OEHrpz9iXrKwQ2t3PdrPMOa51f9&#10;ZsU7TVo6hD45nMiL/BZdcGq5eEhg4VeXw69uS7t8KCf86hxOaJTZoc7Du8aDH5rIif1Sh78QUytW&#10;tGAt3W+77fby3qWNJ7/nWvpPS7rnLll9ftK6D57IXaPbfVO/iVqru2iBx4/ad+J78Z+WnQMLbvKp&#10;+NS+Bze8c768oj4ZeejCK7LDq25TpkMtO32Qe69hYkeeZ3Wt8T6vGk+55qEMVuswxE99qE/oatrw&#10;Do0cTKr3WIkBNV7K4Rdecm2Bhzb1wntyzh88uaQ9dOENHvrAFlreihUt2FDv2/V54iNL99mn2+jR&#10;j+n2XXcSO9ZZc17SfkvW7pYuWat79qb/0q05WQtdPHm3xFDfhVSP78RnUqdj5vhQ3/hYaPhVysEN&#10;H3nKcKTU5YGFbqY8cuqc/Ph25EUGfpGRtiG+du/pShzxjKf3h06lC3w8IiN8W/hpSx696zpe0bHF&#10;Aww+nNBNh5f+1XqGf80jvAKr85TJUa7rU8meb3grVrRgQz3vKD56R7fv5L2Pj/vnDbp9lzy0rAGs&#10;A+Y6Lf2nNbv9JvFr980WR/zwe3Xv1sjvspwB+E6M9w/zr6Gt1fmS9vzG3O/GfQ8hv+GPX4Yeb+cL&#10;3lMBhh6f/B5cu3OIlqwaFlr00df7AaKTdt+dSFu+lRc678eJLvRR9p4k7b5haR+TlO9EDeVf/v3v&#10;lXM2tPrjeXnzFR4+NX5gtU7s5H1Frd8Fw/cuxehWviN56/L3i4hngcfOtSyyvePtnLO+WH7Hb0zo&#10;57sciXXRj/38Pj/8fjT5XoQ2Ca53k+if71/6zb9veaYvtcyFVm7Fihaspfedd95R9i8bTr5FONcx&#10;o5a3r3XPZO/07Mn+he58paXvEJY5FV8ctqde+0BgK5pbV/BTv8FyrbXnp6t1e9bwvh3nHTyRFxnq&#10;3t/hPTTmGjq/Y8m88x7V0CQPb7/ZCB95vgdALll120zlnGflPVzwyfPbufTB+0xqPt7dkbbo5Hes&#10;cLw3AyzJO8RCi6/x8e6ktOszHfTbd+bEJnjpc9Zu3tEML797I1/yfYW8ZzBj73eB6Vf09G4xepjP&#10;aRMXwdBFnnd6bLP1Vr1+9MJD7j1B8ONb6PLea/3x/hDt4RVbRF5sBGchJ30Z6teCDXHUF3P8iB/I&#10;peX9We6L8Ul52oPTssNMMLTeGePdOfGP5PG31H0X1vdNatmu0961GZzkaCXfl/F+oehtHoHDmy5+&#10;eG8e3SIr9HUeu8DDk2/cV/HD+oNsc857gvPuvvRFHh3MUXHCOUX09Q4g7yjQRs/aTurg4g58/bFO&#10;8N6xmr+Y4/1F+l3HDzGaXrHX9cuu67wLqpaBvzp+rgX2Z8aCPLn3QGunyxg/Fnf84B98IakVA+KX&#10;mUMtnJlgeLi2+O276yff4V/eF+zeNx/1XmG+l+Q7S97Rx1/Ruy8dPz3m6NeUNbMzSP6IBj/fHnA9&#10;po8+xZenix/2TNE/8yL15OQry3M9vy/jB1n67XkA8vRjo8dv1O95zDv9TTzIty3EkbxfDZ33zN5w&#10;wy+K3nBiJ7T5vqz9BD5sq9036Lx/MX0exg+6Wb+QZS2DFzprJO8bQ2ft691mdLDGtJYBl8b1x93X&#10;Uot5/WE8EztyjcicSQ6uDG8qnOBOlaPNO4/5qd+9e4dw5MvReuen/UnmqO9/aHPm4RoJnt+PZ65r&#10;9xwFn3WWQcfoyq/Jmyl+hJc5K7X6Eb7mC573ZfzQJ2cK3hdLlvnt2p/7IfR1XmTvZZ0W/a2/2AiN&#10;5Bmg9Efumyz09g5F71tE5ywIrn5J+d5kbFDHD3ELjeR7maHzjc7IyVh+5dxzCj/6+DYvfnDG+HH/&#10;iR/G9Ijqvej8h6/WCcw8BOMn8asVzfN+TnzsQ/ggf+Jv8Un58ce8rvfLvBvXWWV08h7TxLToEJ8N&#10;H3yVZxM/zMHg45Nv3UZecu9vxzNz5p7x47jSRqY9BdzoZ05mfsrx0Cc42fNHTr4z57w0tpf7PmV4&#10;xm74g8WGYjL55qy1XvC0S+IPGuXkYkIdc+ijDa18GD/SZr0R/by7PTrI0ToLzTsd7Vmjp3Mi/ZfE&#10;RPyS2CljhrfvkqdtIefGbqhfCzbEUV/M6w/619+PNKbx4+Rg/EvdvGjZYDYwfmWvwNfMWf7Ez+JX&#10;2j2D6ftwfIdc53rgRx95xN38SntwUqajsvmARsJDmm79kfiRPliTp+/J8ch9kfBsxY/4vu88hJ8+&#10;epd86JLnPcRTxQ/Xb7jpX50nRuizpH/smO/BoPOdyMSA2sbRi32U2Us/0cgTP9Jex4+cn2rzjDXZ&#10;6HJWDx5ZeLMRXaXc58r6Q3/yfWK4dHXOjF9SbBSdF2rObkPdWrAhjvpijx++72osc66fsUtu7NkC&#10;jvgRv2rZYjoYunrdkDK/cU6Y79CTSx657tXgWZ990JMu0Su46MBqn4x/zxQ/yMj+JO93T/+Tix90&#10;jdxh/HAOQxcy3Y9I/8ynrD+0J7nHSW4rfqCxF6nPipTx1vfYKLzoYm3h27CB7bzjDv1Y0Zv9k/DP&#10;WK1I/ICLztqivu7Yy0QG3pL+sztd6XzLzTcX2jcct9xO7Jg1GL3QwKE/fHndHn0XYk7XoV4t2BBH&#10;fbHHj+V9WD5+rf4Z1/idvIUzG1jWznD5mmsWX9rrOXuUORmfkZsnzlPjV85OwCXfcnVNlDwnIF+6&#10;9/JvqmrPNwvIUee/08UPa6L0K/1s9Sd2wJNvDONH7t+aF9btwcfTuWI955Vzb/Ie8eOu+y/OgshK&#10;vLKvS789P7HnHs8ubctttWfpg/0L3pJ7MHRISnys9dLPFY0f6NH5bgI55FuXDG3oOZPHbPCYYiv3&#10;YdDAYSf20zffuaptLX5EfzjOeCKvxlto5VasaMFaei/2+GEup1/xgdTlYDW8Ltd4synzBT7ueyzx&#10;Pbk5IinzK9+Rcr828q3/+aI263I61PPA/Uh+7FzWuaM28wU+ntPFD/uXuo9T+WvkZT4P48eJrz++&#10;l0dunp/A+/pl15U5QxeJrmKitlb80G/9SJ/xy31dekjOgfgoffIdSPdSaju6NxsbovGtWvsi93gz&#10;XisaP2J78T/98c1QcDxjJ8+g0Zs+vpcHrt3+JeNy6GTc6nWLZ0m0SfoWG0XXhZq3YkUL1tJ/sceP&#10;fNcsYxqfqHNrZ37gOh8/adliOhj/8Q0EfPGSItOawr1K69VrJ2cg+MRPU66v755x5HeeJzvm6KN6&#10;Xvm+NRryIiPxw/0c1/Dtttmm6EG+vZHruWsomvh53Re6JM6a+/qAJ1j8P/rxG+32QfRzP/noIw8v&#10;fU2/5X4/R4Zrrjo6eeIEmdZndJScOTtDBXddpgcaec5WXfN96wocjXntOzXWfvoIlnF1Tit2+IYT&#10;WNqci1rXkSPVdL6DE9uykzUQOgmd++1oPLPqXjo93EPynCk6bYkfobOuEufcE+YDsRGd7IsiT75Q&#10;k34OdWvBhjjqiz5+TM7BjFn8R7/rFLjxHD5X2bLHVDBr+HoPb/45qzDHMjf5Vz2HU5ej32P33Xp/&#10;zTygKx3FBL89y5ymR+aFtQIensWK36ZN35Wd7USPYR+ih/bItT8IHp3r9Yf4Jn7EruZ45KB3PoIG&#10;v5wZWjtp8/xp5Omz+Jj7uHikvxmjnBHgJ054Lh5/vMgd9tcYOPuEr8+JQ/BrXH2jh3iLRrvxit7a&#10;bvjFz8vzJtrSv7yTHi90dVxGkzir3VpUP9CHR3Q+6IDnlzVkbBFbL8RcH4Z6tWBDHPXFHD+MzZe/&#10;dFb/e4Tsr+vc9Sf14f22lj2mgl1x+feLf8ZfXVv4Ih0y562J+RVf4oeu3dqCl99HeEbK+MB54QsO&#10;nKzfTyzzsPY1NHjxa998oVd+N2N+8W3t1gb6p2+RM+wDvhJ4/R1H9dDktybaffvanst34vO87S47&#10;7VjmizlT/8bWdzpjY7l7UPjGJsqe8fDsBn0lsdL1/vpl1xW9av3QobG22GevPXsaz3OJFzl3gafP&#10;vtnNjrEVvvTAQ/KtyIy/Z8vAIk/frTnEy5122L7wMC6+j+2bv/ZJcOGhkzsXZiM04o+1h7Nn3yOl&#10;w64779xZJ8KlY00fnRZa3ooVLVhL78UeP4yTVJ9v1v00htrB8mxn3T7bsuehzWU+wrb24jWt+ebZ&#10;Me38ededd+rlOsvIvKjf8Ra9+FjNS1mbWEWmtQIegfvOaq6X1tq1j7Z41bDgxl7Ri7zoE1mRJ0dX&#10;J7CaVj10NS/wpIyFdrzokHLND15w4SnL4dgn1Da0PhCvjYnceih6hs9Qvnqtq3Lq8thBPtQDLXit&#10;Q3QLj9TTt9Sjx0LLW7GiBWvp/ZeJLfab/P52w/UfPfn92pqT3+DOV1qre+7k97fP3mTz4gcXTeZF&#10;S98WbC7Ghwx7+MQP139nL65tzv+sKbImMLftB+iKbir9anjw4q9ozQdJ/Mgc4pOujdEj12P49gs1&#10;z9pW8eXk0a3GiQ51G/waJ+XI0R6cmnfNY7rykF+NGxnBaeXWKWyUeFrHj+DHpq3+1TKmKodPTR+Y&#10;HDw2SD28ktf4C63cihUt2FDvO+/U9zsm7//Yu9vwUY/ulq7nd/vz8/4gv79dumSNbo/J+z/WKO8P&#10;urDpt8M+zEU9/uH32Ouv96gydzN/cy+G/7I5X3bv1lxeGd0iS44nOYkf+PFTz7tbm2TeZO6YSy1/&#10;BQscP3Q5k01cWhld0dT3LOnhXHNlea0oHVvYP5335bPL2RCbeFYlcUyfxXd9lr5w5mfnTLcV7ct8&#10;4rdiRQs21PHOOybP0tx+W1l/PH4SP6w9lq6z1ryk/deZ3B+ZxA/vD6L7JZOzhKG+81XP3JN7DpFP&#10;ehbe72zNRb5pbeK5TffssjdYGX3JiLzEh9xrzTVO7hziKVtuWWSbN84UnEWGdig7cypzSUwCk8SQ&#10;If5s6+7fJn7RI8+5zpb+b8FLn6K/+O6MKTaUG6usC8f48V97ydrurVjRgtU0yrdP3n96x+3L9y+P&#10;38D7Cx8xiSFrzEvaZyJ3v3XX6HbbZLNu7bUf1l00Ofca6jtfdX5Yz7WUM1fjr/a/8eWV0TXzAb+s&#10;C/AM/+Tw8K/rgU0lN7jy0EbGVDSzgccWcGfSYTb8ZouT/kRmXU+5zudav9n2YyHgtWJFCzbUlf94&#10;B9nSpUvL+5PX+Md/LNd+tHOdHvz/JjLXmOz3J7LXWvOhk+c7F87+hd3quBCfBeejdR7cGgdstqmW&#10;U8ZnEisiA8/63E69xhdrZlr7DOdUTT9bHYd4OTe8N3gNeU9Xj10SY9kDLHW0wRmWp+O7qrW1YkUL&#10;1rILmzs/ta7NOtS6ea5T9vNZs0/3Hs1WP0bY7GPUaKvRVrUPtGJFC1bTpOya4d6kff31y64r97Pd&#10;057r5Dksz/9G7t9yrzV9G/Nxnow+MLMPtGJFCzaVLa3xhmvhqXDvK3jWnuJZvea8r+SNfGf2q9FG&#10;q4aNWrGiBWv5Q2LHQpizC0mXlq1G2Koxn1a1cW7FihZsVbPL2N9xvo8+MLMPtGJFCzbacmZbjjYa&#10;bbSq+UArVrRgq5pdxv6OsWD0gZl9oBUrWrDRljPbcrTRaKNVzQdasaIFW9XsMvZ3jAWjD8zsA61Y&#10;0YKNtpzZlqONRhutaj7QihUt2Kpml7G/YywYfWBmH2jFihZstOXMthxtNNpoVfOBVqxowVY1u4z9&#10;HWPB6AMz+0ArVrRgoy1ntuVoo9FGq5oPtGJFC7aq2WXs7xgLRh+Y2QdasaIFG205sy1HG402WtV8&#10;oBUrWrBVzS5jf8dYMPrAzD7QihUt2GjLmW25qtjI+xL0Nb95zvsT8v6yuX6X2Kpi94XYz1asaMEW&#10;ou6jTnMf0/KuBjEicaOOJ+OYzP2YzKfNW7GiBZtPHUfZC8snxYu8t9TY1HFEOfFkHLeFNW73xXi0&#10;YkULdl/IHnkuTv/y3QXflfQtGd97TLrs0ktm/a7ncewX59gPx60VK1qwIV3q55xzbnfaJ0/rTj31&#10;tO6Tn/zU/KSJ7FM/cfpEh9O7T07KN91006Lw4+wF2FI5KbYd5lNd13PeEH7Jw3fIZ1gP/jAPfb2+&#10;+MRHP9wtWWfd8s5s76v27uy8t9p7rPmOb9+2ZIT/sC31qfqXdvlUPGq4curJa9rAIi/1Wk6rHLxW&#10;PoS16AODOxX+TPDwmE0eXi3c6dpa+FPBWrGiBRvS32ndOtkDb7LpFt0//MM/dA98oPSgeUp/3622&#10;2v/tHvSg1SbpQZMYcvo9/Heo/3zXMyfpoTyMAUP9jHdoUlavYeB1W3jKwVs8A89+JDThI0+69ifX&#10;dPlmnrjxtKc8pXxjyXeWfNdeHHnkI9YpMcXaJLqRi3++jQAeObVOkTNVe3C1K8OXq0uhD176FLzA&#10;5bX88KvbW+Waf2git8aHF5tHdvBShx8eyjW8plWGF31DA3+6FDy8a9rIiQx44VP3YbblVqxowYb8&#10;xI87J9+QeuImm5f4sWTJ+t26685PWu+f1+/Wmchf+6EP7x602sKPH7VfG7/ctxjauK7HB9Aqpw4n&#10;9PEF34nWXvtQzasu19+ECc/k8KKf3P7E9zXf9+539t+XT0yA+7KDX1zWH77l4Rt7/LLQT3SOTLzj&#10;w4HVefRGJ9VtyrW86Jkcfs1bOfLYRD22B08aymjVh3TpV+SxY3QzHuB1H4KXnOzYPrDIDV0NT7nO&#10;ladL+PkWQWygDh//yEq9hqVtNnkrVrRgQ14lfkx02cQ3I9dYq3vjiW/oTj5hvtLx3euPPbbbeedd&#10;uwf+/WqTfcynevsM9V4IdWOVcZPTic/Fb1o6Bi+0cGr/Vw493CSw+P50fIMfHHSRkbJ6Xc58iW4f&#10;/sD7SvywDtlyiyf1Y1DTRE4Ni0xt4K22Gkdf1afiVdPHRsGVo6U7vMDDf7o8tDVNrW9dDh+wxJOa&#10;PuMVvORwhnqFjs7pe/CnyoMXXYd5PXYtvafiO4S3YkULNqQTP/76V+uPzSbfn3vI8vjxhuO7k+cp&#10;nTT5Zr34sdpqq5UzkKG+C6n+3csu6179yleUOWausffGG21crtmfP+Mz/byrdXZmefSRh3ePe+zj&#10;yre6nv7Up3aHHXpId8lFF3bvf8+7yp7BnuLss75Q/O+HV1xe8JxJ7P6sZ5V5UvNT5je/+91vu0+f&#10;dmp38AsPKt96pY/vfB/2ikO7L3zujP4aWfvbRd/6ZnfA8/bvNn3iJkXGNltvVb6fK36gt/54+MMe&#10;2c8DtOASfejpe91DfdRf/pKDex7HH/O6e+DQGZ456XvXb3nTyR35ZOK7+Wabda885OXdj678YZGf&#10;fupjdNht111XKG5ET/1Q/vGE92uOOLzb4ZnPLHLx3WDyDWhrruNed3S37LprC/9e17ti1Uc/9IE+&#10;vmacgxM9z/r8mb2d8LU3hCOR79vD4HxmusQel3//e328ET/QsxF67fQJ7/RxRfNWrGjBpuJr/bHm&#10;mg/pTnr9cZP1x+vnJYkd1j477bRr96AH/v3kDLftm3UfEo+ns582eOj4a02/omW8fnLN1d3z99+v&#10;jJ9xzHfzlFM3rr6lfesf/tD7Px3sG+BknsiNk3yTjZ9YyubsH265pej5g8u/X+TwFfOFvumz3PXp&#10;t7/59WTubV1o4cWvwpc8+ub6iceXv3RWkem70jUePcQTMHR4xXZy8LrtzM98qu8f/uxzwy9+XuIO&#10;Wrjsc83VV5W2zF14dHcW47vfZEUemthnnUcu6b721fP6MTv91I/39njWLrv08KnGkc5kyiVyxaTn&#10;7bdvLy9yIzP2YxuxFE30xcM3ytO3On7C0S4ebrbJpn0f8Bc/tEVP30MnL7Lk0UM5CQ4fSB9Cr52d&#10;5B/78Ad7v0j7iuZ4DWlasCFO6os9fuhH/ENep4x/+royecbet/GsMYx1/I0v8g9xN/FBu/SSF7+o&#10;zBNz5aofXVnGm18+ZoPHlLMHe2frgJ122L7naU2S/lz+ve/2vpT4wZf0CY7cmSddJDHo25dcXPp/&#10;xmRuJ7bxM34P/09/+lP3pH/ZovfXPXbfrfPtPzHrpMm6Ew0d48Ppu5xPSfF18QM8NlZmCzxqG504&#10;uTbUfJRd353j0pus173mqO7WW28t8dCaJTK22Hzzsv/X35WJH2Rl/l3/02XF9nhL+mkt8LY3v6no&#10;fchLX9LrTif9+MB7393PLePYih/6r42sY197dOEdGfi4N57+64f4wY76fsLxxxbZ7DZM6H554429&#10;jclAjyd6+Rg/lq93Vmb9kTlk/JRbKeOWvIUzG5ixsy7PXOV71qloa/lfPffL/fUXTp6n+M63L+3n&#10;5EsnZ5S1Pq4x+PI5+xSy+Hxr/RFd0VvfuA8bWuv7mi9ft8/ynEfgZ3/x80UPc4MPXr/suiIPX3J3&#10;3Xnnwi/+GTo5mERPvjuMH+zwjK22KvNyr+fs0eNb09C1ttXb33JKaaeHe0DWL5nn8E792EeK3tYz&#10;se/Kxg+6S/Ym5MVebz3ljQUe/nDEV/eu4eirMWQjutEr+zttw/WHvUbiRuTIxQW80UviR/B8s7Vu&#10;C46cXtqiX9rG+HHPPdLKxg/nCcbSOMmHKb4u5z+J4RmL2ebOwK2n41cvfMGBhVfGPmNsHliT0IPM&#10;N510QvGZq378o1JH75oaPdxTcI3hE5L4QSd8WvEjctBfMYk75EQn+wR+Dif+jpd1TuSdcvJJBZ+s&#10;XXbasffN7D/MKfyiT/onj21jU/EDf/K0O68JjvMc6wt1Y3PpxRcVXHjwX3zQC4oM7a77GQd6po+R&#10;nfqKxg99whcf+wqy9Evu3IMsbdEJbuzgjCr660v66bwhPIbxQ58SN2IjeSt+0KHEpsmaKP2LLnUe&#10;uemLeuTLx/XH37b+cIZpLDJebNpK2nM/0hisaLIvwDdysh8w1uZq5qe6NvHFHsLZJlngYgMefIz/&#10;8qsLv3lB2dukD65NcNGID5FZn59q53P2Pugy3084/rh7rIFd562D+Rkdjz7yiIKvH/Y+5NA/Ms3R&#10;6EJ24HLwuq0+/8A7Z8D0ueDrXytxVF/xefMbT+rtgJe9HjjcXXfeqX/+lU2ic8rOLOg5VfyIjnDq&#10;BJ65+Y3zv1rkRSZdM2Y1jTKaNxx3TK/fiyZxAUyy/mA7dhA/yJCci+WZvO2326474lWH9fSt+EEP&#10;yZ5qKD/1yIxOkYWODmwrngV/ZXN9GdK2YEOc1Bfz+cfhh72y+GDmkH7XKf7C3tYF6fOK5p/91Gm9&#10;/+HpWmt8M6bxxdTlYHKy5L/59U0dfV13cp2S003Cd6unP73gm9NkRP9nbrttD48MZ4uh02e4kjIZ&#10;oYWTuMSvI++Yo4/q9dMX+p7x6dNLe+xZ6x+7Rmb2L3DQkqE/Gz1+o3Idd39CnR72MNZakfPs3ZbH&#10;0lpHfMklRzm0nzn9k6XvdfwwR8nNHJO3xjRjYA7jnX7lTLdFAybe0AO+fmUMs/4AT/+15UwW/FsX&#10;fKNjW2X9mCp+4D9d/IjtIzv9xTe8P/T+9xYbwJnKBtqmS/QYtrdgQ5zUF2v8iP7sxra1vdMWm8Op&#10;1/Rpn23uGs7X+UMZ92XX9fIiIzoUWZO1c+DqtY7Wos5FXAOtAXbcfvsyV/DN+Sl86w/ypEetv0E/&#10;V6Kz/Y02voTWNZOv0lW+dO+9+rnoeo/Ofio83SMCo2dytO4B6atUt5EhoddW71+sL8Do4ryU/rfc&#10;fHPZq8XXzznri72Pu9ec2On8mL51ojt+5Fmj0a+OH+61gpFTr5/AkjIecmfD+IWndSHa4NY5/Ct/&#10;+IPervTUDi5+xObWl3iIb7HJK17+shJL3QMOTL/QRoZ4FD2mix/BD63c2jZ82cb5r7Ol4IRmRXJ8&#10;hvgt2BAn9cUcP1xfpPRlmBvfpL/Fxu9559vvNm4/XbY8fuCNb3gnjx5po6M9uLiRc87Q1ucfO++4&#10;Q9+XnKvyNXPQdQ1fdObMn//85/LMgjY4Xzn3nNJGJnl8ma9JOYfJ+Sl8yX2Q6CHfZ689Czzt6Y+c&#10;T0nx38QPPALXdu1kLU9POl584bcKPzoeeNfzrNrYMzTWImRLoTv0ZS8tdPX97Dp+oGWP0ERP9HWK&#10;LbIfiT08i1PjpRw+7i1HPzqkPfEDH/13rpVnaDz3714W3NcedWTfbzE5fLWtaPxAo5/OWl1H2FJM&#10;o59ynrGpZUTf2eT4DPFasCFO6os5fmQ9Hn/X7zqBs7Hx9hzEytrY/gWP8DO3a58PX7DEM7CseZQP&#10;OuD5hd653PnnnduPmWfJ8aY3HfFAd+UPrii6p2/OXU85+cRynfYMB7zMCzjbPuMZZR9uXP12JXaw&#10;lzHHwcUw93nhk+lchc+LRe5jgtMvMtMvtOEXWvOHDq7tsc3eez6n9B88tDlPpscvfv6zAndfJc/R&#10;4fvud7yt7Hno4l4uGfCNL17kn/aJj/VytHs+1nmv67tn7iIPrnLo1N/19rf2faar58fAhyl6i038&#10;hpynbLllwcOzjh9i4IaP27DgmM/sF37HHP2aXp7znFq32caP0Mj51MEvemHP0z43NjdefKXuLz1C&#10;H52mytl/2NaCDXFSX+zxwxjrb3LlJDbmB+r7PXfprG0a2yS/4Gvnl/FyDwYv8zfjY9zqsUtdnvhh&#10;z8LHoyO9oiP9kswFMvHmE3DgmufBl7tPCs989Kxp+GVPQI7kmuiMGW50tNfIvYXwj41Ch5+U/vNf&#10;81mCA9/6nZ72X/iA12t1NGSaZ/Dp5re/eLKL/Rn9XN+1SfhEF2XPzURvMTF6uc+snT5y8yl45NLL&#10;fSc5uHVX+MNXr/HplPtUaJyTRmdrsthB/Ahc7MCT/njaE6GFKwaCDW2ibbbxA278J/fi8GQD8c91&#10;IPY46MAD+v7wtfp+TXSfKsdz2NaCDXFSX8zxw9xgQ+NorIZJm/EGd21Pn1c0//VNvyp+Et/27HN8&#10;kx9K6pJniOzp/RbNHIlP8QXPqxsbfOgWf6Cf+xB5Xoh+9fmHeyvuA6Q/cs+XwTv3nC+VZyji19rY&#10;w1rX+cqNN9xQrl/Rz7NiYmnNS9k6/CMffH9vSzD807/YlhzJ+sNeBTxxxfMmmb+hTRyEk2df4GgX&#10;h7MOwSe86S5exHZ0UIdDL/ZwjysxQe75CzwTt6I3HvYjaOGh9ywP3NgkOqsrZ82Exu/Cgpv4Ydyi&#10;r7L1RuTBvTfiR3TDzz3uyHN2REfP9bie6Y909VU/7u0VWjn66RL9h+0t2BAn9cUcP/SBjYxd+lPn&#10;4Ctiy5q2LuNhT8uukrnwxc8tf34MXmR4zmG9yW+YjbVr6/XLruv9KtcSe2b3U62pc9bp+TI8IjP8&#10;1DMfXFPO/8p55Rrv3qE9R+33rtWu/xLdbvrVL+9ml5o/u5hT5iR8Z4C5ftY8W3YNDL/YN3n0xyPl&#10;9CV56OWSswhrGfawj/F7IPeq8Ega6o43e9rTsCF69phKBj5+72OeJUa9913vuJuOeNLH+gyOMbS2&#10;89wxvtrED/CsOeRP2PAJJUZHNj73RvxI312PyJTcI7bHows5+g5OX2tUPmIdpU2q7RbYMG/FihZs&#10;SJf6Yo4fbJx+tGxVjym8Fk7op8v5qrWBZ7+NFz+Uu69h/jmXcD8jfqedD6GLzIx5Xc86U1v6ohxc&#10;MGU0NXzIN+3yOqVP4Z28xgltcOV1e+C1fO2B06XVBsaX5cFFR4fwT1v0Cl6dw4Ef3GE5uNqDE1gt&#10;x7zz2xTjJlmLuA/smTpnFIdMzmzXXbJeP4Zwcn80fMT90IaPNZv2ul/3RvzQB8/PZ81EXp6Z1aav&#10;nmv8/+yd939exbH/9z+4F6vacpFV3endwaYGHCChY6rBlmRIIYRybxL6vTSLDgHccCD0bsAB44Ix&#10;HWw6ptlWsQ0pQKgh7Zv7nfecZ+Tjh32kR089ks4P53XOs88pu7Mzn52ZnZ0lftdw0exDowP1Mlqk&#10;OvuwwleW6vm+jB+p2pTrcusH9HVsTXDC+ox+5RqaWxmxiN988432nfFerutU6PfRZsNHzoz5ha5D&#10;tt8jFo15IJN9+ouD37SJPuQa3RFdI7nvzH6xZ+hnH/aFdQZ0BOrNu5BrfDVGx4629Vrua1eyb4u5&#10;feLr7T2c+Tb9AMZQb+wZ7F6+k1x33zco82GFryzV8zF+dG8fQjcb741X4MMLzztX59/hJfpvpx12&#10;Uh85tkO4/+hHnk9F/75QThtM5uB9Dpu/7Qv1tzrSL/QhvhLWPhCXh6xgh+APBVtY0/bRR5u6+kz7&#10;T+wC3oGuYe0/8fjjUvYp+gd8wb3gB+/g27wD/ICW/G+2kdUvfEaftfs4J9vLdi+8xXoj+x7tef3V&#10;Lf1Qdq/v7MMKX5nvWcpi/OgZP+h/o59hiZ2NJ/nffP5ch8vt2b58hgZ2WPv6WnvMN0DfhPvHftM+&#10;4mTD7aLMxg3Kw+/gv/C9yde8lzK7j/fYu+ybxkfJz5ptSzn3Wr14F4f9z7V9h3vt/fbN5Pcm//Zh&#10;ha8s+Tn7HeNH9/hh/czZ+s7OVmb9R7n1H/SlPIwpRvO+eKYt1t6+Wv9wvekraxPl1qdc04f2O9xm&#10;K7P/7bnwe+15e87OPJt8n/2XXG6/7Xv85pr77dr+s3L+S4Up9j7f2YcVvrLkZ//9b+SG/GN7uerq&#10;atc8Y7praW4pytHc1Oxmtsx0e++1r+QPkvynkgc+ub7F/E0f8f3ks68smSesz4tZ/1x/2+iQ6/cW&#10;4n2G76naEC63vkNHsLqF/7ey5LPvHsp85cnPJv9OfsbqFL4vzHPWPt994Wfs2ocVvjK7P3z+l9AF&#10;/Cgrq9C85+WS/7wYB3nfyVtYUVGp+d/ZwyFcz/i6ex0ppk9Mn0x5wIcVvrLk9//73+ijsu56wW3u&#10;0ktbE8cVci78cdllV7pLLknU4bIrJDZhXYwfou8k91n8O6ZJrnnAhxW+su6+i64DlmhOdvT0Qh9i&#10;S/0/2UuCevzrX4Gfobv6xv/FchTzQG54wIcVvrJkeoftMa7VhgJDinCY34c6Jtt7yfWOf+eGb2I6&#10;xnSEB3xY4SuL+SXml5gHYh5I5gEfVvjKkp+Lf8e8FPNAzAM+rPCVxbwS80rMAzEPJPOADyt8ZcnP&#10;xb9jXop5IOYBH1b4ymJeiXkl5oGYB5J5wIcVvrLk5+LfMS/FPBDzgA8rfGUxr8S8EvNAzAPJPODD&#10;Cl9Z8nPx75iXYh6IecCHFb6ymFf8vGLxauF4uqjRyuoYtXpFqT4xjfz83VMf+bDCV9bTewbi/8Zz&#10;UcUO6hWsLQjWbRerj4xOfJ/1ndSpWHVJ9d1g7cPm/Bqp7ovLt8QZH1b4ymK6bUk36EEefPb0evyx&#10;R9ynn/xZcw6Taz0qB/WyfVaKLbOsYedgb0fyFpOfOSp0oh6ffvqJY0/Pe+68vSt3WMzz3+X5ZJr4&#10;sMJXlvxc/Pv/HHkIyc9Pnlpy1pFjl7yTUTnYq479maLUV+RsJ096VGhk9WBPKnANehUba6PUXz3V&#10;xYcVvrKe3jMQ/yen+tVXzJKj1cF/5KMEQ6JyGH5Eyb6yPR+iRiv6jD2F2ZchbG8NRL7uTZt9WOEr&#10;6807B8q97BnCfs/oIOzJzlgWFeygHk8selSxjT1Sii0TjOkcyChH1GgFvdhLg31yi02rviQ/Pqzw&#10;lfWlNhWyruTkR+dl77QoYQd1Yc96dCP2Uyq2TPB9DvajZH/HKOofjAOLHl0YKXuvkLycybd8WOEr&#10;y+TdA+EZ9HFsmCjix8oVy1U/6mhvK6pMhP0JjPFgbtT0D/anj/GjZ39pskz7sMJXlvxc/DugNfMv&#10;6B/smRE1/YO5DrCtbf26ovoETffgTH3Y7zJq+EHfxfgR40ehcW3RIw8rfrDvatR0cvbTZa9o5omQ&#10;3ULTJvw9wxCw9oF7744cfuD/BtsW//6xomJtmGZ94dqna/jK+kJbCl1HZOK5Z1Yq33GOmv7BHuvI&#10;BPulFRs/LNaDMf6xhQ9FDj/AfnxFix9fVHRaFZqPs/meDyt8Zdl8oz8/+8Jzz6r+8ezTKyKHH+gd&#10;4AfYVuw+aG9b7zjAD8b4qOlq2FOx/RLbL4WWk5deeF7xA19D1GSC/bqRiaVPPlF0/HjnrTcdB3i2&#10;bMniyOkf69etVf0DWhVbVys0D2fzPZ+u4SvL5hv9+VnGeGz65UufjJz+wZhK3fDRFLsPwNfAn9vq&#10;nl35dORoZbra888+U3RaFbuvevN9H1b4ynrzzoF0b4fo5IypxFpEzf9BTP2N11+rcdnhOdRC9w/j&#10;ObGwHOhDq195OXL6x/vvvRsZW6/Q/ZPN93xY4SvL5hv9+dmo4wdrTYi3KCZ+0P/EjHFEda47xo/e&#10;+z7oVx9W+Mr6MwZk07Yo4wf+mNsWzNc1Hdm0Mdtn0T/Q0TjAD9YtR01Xi/Ejxo9s+TyT56OMH8go&#10;sVrMSxZT//jqyy81DoVYlGuvukLnYaLma47xI8aPTOQ/m2cYV8lpwZiKnBKDFKVxFf8p8Qys8fvs&#10;s08L7he0eQxoYvrH9ddcpTSKWvxpjB8xfmSDBZk+G+jmreobjBJ2UBdklLgUfJbM5Wbaxmyegz42&#10;bwuGsPYW3SPGj8zkNZu+yMezPl+Hrywf3+4v70Q+mVuImk5OfYirx34hBrWQ9A7nKSSOHh2Ig/WG&#10;MX70D+yAn3xY4SsrJO/1tW+BH9gvUdM/kNM177yt9lWh4xrwt4Ah9OVTS5eoDgSdFj70QGy/CE36&#10;Go+nqq8PK3xlqZ4f6OVmv/R2TanlOwRzuMZ3gk7PEfajbNq4seu3/Z8uToEfwbqwVs2DGu4r802E&#10;y3J9DYbwHXQz838seeLxoI2JfI/ptGVLegQ04rmwDWT029DZ2aXfhJ/r6Tux/yMzTPNhha8s17zV&#10;X95n+IGM9MSj4f/hbZPvjSLnnR1temzobNfyTsnZwdzOJpGTzvb1Wsb9doTflera3n/L3NmOI0zz&#10;QuCHfYOcQdddfaUexPsj99QtVb3D5eTlCN8f0EJoJOX6DnkPNFK6gcVCV/CY/3iO3Cfh96W6jvEj&#10;xo+wfBTqOhP8MHkw/mfMpGxjl64h8qXj60bBFOQsmNdBF4H/0x1X7b6HH7hPfSDkiIcu1NlkOx90&#10;Cs8V//Wvf9VvM3fLQZ5H2pAufpieZmdo8dGmTe7jjz4KcEXf1ak4wTs7O4SWUgb2ml6XCjPC5TF+&#10;xPiRD1no6Z2Z4Ad8zvHRJsGMzja3+uUX3T13iY5/9bXunHMucOfKcdGFF7tb5i9wy5ctk3vaFTNY&#10;v2rYE+b9VNeKSSJL7EuA/cC6V8MNO/fUvkz+591mu4AX+D0s7yl1pV6GbanqbuXWBtND1q/9QGyx&#10;hW72zXPcRRdd7M49V+h17oXuumtvcI8+8qj74N23labQlmfteXtfqjP4wTw8a3MyafNAfcZnq/jK&#10;Bip9emp3pvhB7vabb57rdth5d1dWVuZKSga50tISV1Fe7srLy/QYJGUVFRWuvr7Bnfbzs9Mes01G&#10;bIwntyL4Meem33TFkeUTP4xmYAj2CjFjrGvlUL0gYbtZPbs7o4eBHehop/7kDFddXS20KnFbbfWf&#10;Qq9BXbSCdpRz7LL7ZHfrbbcrRvFsd++3/95/d02MHxn4dX1Y4SsznojPm/U8G2MZX7ERTF6NJzkz&#10;/nWKrrFxQ3B+8qkV7tQfn+a23W5H4f1yxYuS0lJXVVnp6oYNc2NHjnDja0a40dXD3IiqIa5M/isX&#10;fCkrKXVjx453p576U82ViFzxvXY567vVztly7wgbe1mbTh3BEPL40IdhGyMffWo6CPmImT9GD+FA&#10;nlPrHoHdBr02JOj2/HPPuROnTXcNjY2uoqxCaTFY6FY/fLjSapzQa+zI4a5eaFcpuFtaHtCrtLTM&#10;bS80PvvM/3KrXn1V7cAN0gf0SSpMgUZx/qDN/J0OX/iwwleWzrsG4j3MUaL34j81eQ3jBzLeITLz&#10;8ksvucl77efKB6FrbOWqhw52uzTUuANH17lp42vc9PG1rkWO5vEjXdO4ka55nFyPq3MnynGEXH+v&#10;sdYNrxos8lPuamprRB85y33w3hrR1TtcG75WOYe/a9d8/49/+Njdess8xY9XV72iNozNrea7z/Cd&#10;4ruFNhzUh8PqFz53inx3tLeLv7jN3X//g+6ggw9zw6uHC4ZWuJFDh7nJo2rdkUKbzbSqcc0ToBN0&#10;q3MnCa2OH1srNK1X2g4bUunKBE8a6hvdzFN/5tasWaM4slHqEf6uXePjJddBIXSzfNO9UO/3YYWv&#10;rFD16WvfITexjlviWzA+DJ/bRVZefP4FN2HCtmKnlIheUeV+IJjRNH6UaxJeb54geCGYYWe75jfH&#10;jLH8X+NauB5X46aMbnA1Q4eKTJW56pEj3Rk/P8Ntwh7oRv9gDgK5uO7qq3RPmELIB/rNN998o7rH&#10;wgfvV50DvcPww4e1+EU/XPeha2o5xVWKPoZNUj9shDt4bL22HzoofYReM8DZBO1mUD6uWunUPIF7&#10;6oRWte7kcY1uypg60eMq3aBBW7lddpno3nr7LaVXuI/smtzwxLf1NR4sZn19WOErK2Ydo/ztN157&#10;tcu+Nz4MnzsEX3bdfZJgR6nbZ1SN8H298He16hkzJozQc7Pyf4ATTeggE8AXfiMTgiOJI8CRWhl/&#10;R7iJDXVi/5S4UrFr9p9ysHv//fe+g18mo8xVvPj8cxr/yf5q0LMQ9ssHUiewlRj6sP4BjljdwrRa&#10;I7K95577uhLBjTEjqtwBgpUBjaCbYS3XRpNawRDRQYR+AY0CHGmBnuBvgn7HCZ5sXztC6FXqJk3a&#10;W/3R4e/aNfuQJs9zR5n3olA3H1b4yqJQ1yjWAZ8g85L47W1OsV3G+4/FP8p8689+eppgR7nbvSHg&#10;/+kJng7wAYzI/DhufKPbrqZafQI77zrRvf3m626jjOHYANg1yCm6B/VifsH2yvv666/zjh/gk2HW&#10;22++8R1sQ2bVLyQ0wpfz9ltvuJ132V18HKVu53rByAn1ipPZ0Kfr2QmC12Ln7FRfI3pbufvlf/8q&#10;mO9lPjxhy6AXEQNIXxZCP4siL2dSJx9W+MoyefdAeIY9l7ELmOPAT4m8Ig/r1n4ounq7q2sYJTJR&#10;4k4Y26Bj4syxpltkjhvIBXpM85gaN01ko2H4EFcuPoKjjznRtQt2rMNPmPA1UB+zG5h/YS6EeeB8&#10;9w3+lccfe0R9Q6n8Hegg7euDvMqHHzHVVVQOcY3SFrVTxLY7GZplga/2LPrJdLEDjx1TL1hb6hpH&#10;jXVrP3hX8UvndqS/qCOx9fiYv/zii7zTJ9/0L9T7fVjhKytUffrSdxinsJnxn5I/0/RgeJIYptbW&#10;K8WGL1dfXmCvi54tPGx8ndVZfCHo582CH0eKf6BmWJWrEh/jggW3ilxI/FRingMZRTaIpXpE5aNV&#10;sS7fYyzvJ+/Z7Btv6KKL0cfOzLGsE8w98aRm8XcMFh/pEHeUYMYMadNM/D1id2RFI8OecfXyLmzB&#10;Wrd9XbX0SYWbP2++4qrF1FAndEnsLWjVl/iwmHX1YYWvrJh1jOq3//a3b5Xf0HnRPXScFz4EPzrb&#10;17kdd9zFDaksdyfIvEDg6xO7fOvAp5GtXOAnnCFzEWb/HyF6zZCKUldfW+fuvf8BxS+LvzQMYR09&#10;cwzkakW+84Uh2C4c6GXszwddDDPC53WiBx119HEyJ1Uic0uV7ljxd6J7zBTbJVv6bPE8tJL3tgie&#10;HCtYWyZxI5P33FvnedAVrU4vPPes6h/MM0eV56JWLx9W+MqiVu8o1Ocvf/lM8QOd12IKsOk3bfrI&#10;nXX2f6nPdOf6kTovG/jzAt/fFrxtY2Svz6J/6JwDdlC1jtUHjq2RcVxiSioGu5tmz1W9A/kAR5AR&#10;9BBsmNtvXZA37LB++dMf/6C0wYYx+eQMlmFbcb5S9DPmZgcPLnc/lLozZ4IfFB9Ri+hXOq/Sa7p4&#10;7ELmw3k/7xIs2aFuhCsRzFqy+Em3rlPqkqjXqpdfUvwAZ60d8bn7eBAfVvjKYjp+l474FrBdsGG6&#10;ZGMDOTdWuSHEasgc6xHoHqo7e/g6F7KReIfpIzvX18g8Q4UbPXqs++D997swROVW5AR/zQ3XXu3+&#10;+Y9/5BVD8JliCzCmmx8XeoEdYOwbr7/u6uoaRO8Y4g4bg2+Zedf80Gjz/BU2UbVgVa3YMKWuqalF&#10;+k3W2m0M1hSBG/iHqHPM79/ldx9NfFjhK/M9O9DLbD81w49gjG93v/rlORojRjzp5jE0N3ZLShkT&#10;n0GT6ObTxWcwSmJXy2QOtKnpFNcmdhV6h+ohYkdg4zMPA57ks/9WLF+m2EpcON+CVhzEeLTLnPaR&#10;Rx0rMlym8RnqxxEfhcV3pGxjpviCntalqwXxZ9USQzNu/HipS5v4nNer/sh8M7GyzDfnkzb96d0+&#10;rPCV9ac256otNl4RN8DYypqWjaJ/HDDlQFmfIfFKjRLH1MXzQcxHzmUj8X6+wxxD89Yj3YkSn1ZV&#10;WeZG1tToWjLk1+yYF557RnX0N19/LW8ygl/l0YcfVP8HdDHdJ8DXDsml+L4bKthaLT6PGTKvOoNY&#10;DYl5mR6S8ZzTKYEh6CL4QbaVuHdicpYuXdple4Kz4McTix7NG21yxXtReY8PK3xlUalvlOpBTkD0&#10;XfY1MRkh9nrcuPEa8zFF5NhimODbnMtE+J3iO0AOiVNl7mK3BvETinzMn7dA5YP6cZhdQbxKPmPI&#10;iJcndh3fCxiiOlBCD7ryims0ZmWy0AcfcLP4S5VO6FDhNuXouss2EgzhO2DtfqPqXKmsK5o69Zgu&#10;f0yAH7N03jlKfBbluviwwlcW5TYUsm42Z4HssZYEG//O392q/g9kZdmy5SK3ss6rdCt3vPgAZ+ZI&#10;BtKRqwCjZJ5BfIVT5busldl7n/3Uxmd9DD5efBFgHn6QXNHNcMjmdPCtMPdCLLj5hTYJbTjIcbKb&#10;xLoNFh/Nsciz+D2mgyFSX43DLRC9po5rEBuvTOPV3pBxwPD/phuucw/ce3fOaJMrGkf1PT6s8JVF&#10;tf7FqJdhCPvaM/diuU8Zv8jdUSrrQHeuwx/IkZ8xNRlPiANBBmeI/YI8Mn+xrdSBNb5LlizV9XXq&#10;vxQfKvrSb667Jm8ygiyCq0sXP6GY1SlxdOpnEF/DXffcJ3Jb6naQGFNd45PAjiZ0D9GbktuVr9/M&#10;9dQMGyr0KXOXz7pS9SOwLl4Dk57f1OTOhxW+Mrs/Pm9eO7JyxXL1RRp+MLYfcugRMu6XuGPGjknM&#10;2xYGP8CpFnCD8VswBOw6RGLVyJEx7YSTXYfEpFp8PXGWyDfzz7nuT7CVNUHgKnnXwVS+2yl6B8dh&#10;hx2ldTpSY7qCegbrjQuHHWASdNpR5qqGyDq9qccc36V/sF8fdleu6dJf3+fDCl9Zf21/b9tlugfP&#10;EdvAfkj42xjbwY/tJOdEg6z9aho3RsZTsCN/85LhsVl1D9bjMZ4LfgS2QJ2rG17lGhoa3VqJp2d8&#10;5cCHyrwzcyO9bX9P9//9739zzL2AT6y5Ub+H5BTkmxwjRgS5TRQzoA00Ur8E14XBEKWNfGvfUQ2q&#10;K+6++x5d+ge6GTEyPbUz/j/QU3xY4SuL6RXkDQ3TgXyArZdd6n7/6CM6L4nePmTIEFnTlpBhkeVC&#10;2S9hLOm6Ft/C7vXVYuOXu/kLfqvzQ+Dca6tX6TwD8ozvwnKBhLEx3M6eru157uN9C2W9PvrHJomr&#10;YM6W3GFTDjpYD/Kr7dFI7H1hcLWLFuhliQNbb/rYane4xIFsNWiQ5GUaF+Cc6Er333OXYh/tML9O&#10;T+0fyP/7sMJXNpBplNx24yvLrfWE4Ajj7NNPr1Sf5cTGesk9ge5RKNtls2yYjHBmzfuPZD1JqdhT&#10;zRILYmvqLGcJ/gmT/UyxA9rYsyZzzGeTJwA8Jd7jhedeEFyt0qNC/A2HS51sXipc30Jd47NFXzte&#10;1iDiqyIHwtsSO0Z9H5Q1uOhO1sfQx9qXzAfx7/+L948S/u8NHxgvcWasuvySi90zK55S2+Xqq6/T&#10;PINTxO/QIjbEDPhUccQv3/mWlxa1nxplXdpgjUdtb1vXFUfGujZsfdpuct8bOoTvDdOEfOvMvUAb&#10;bCVis07/xdk618F8R6PYU83jWVdbRGwVuszQePYa8aFWKubfJvlSwY/HFj6kuhNzadaucFvj6y3l&#10;xadr+MpiugV0Q9aMr1gbxnq0Z59+WmRlg/vpT38ua0/KZQ0pcwsjREY2x3/kGyv878dGqHGTxF4g&#10;R/Mpp54m9WxXXw1zq4yz+CtsrLV2ZdLX9mxgG81yy5YsTtgEbW6bbbeXtfmVeuwtcRdBvFjx7Bf1&#10;NZPHSXBkj0aZ5xab6qyzfin1bde1hfiG0NGgA+0y+mRCl/7+jA8rfGX9nQ7ptg9+Mlm5bcE8xQ9y&#10;jLNPyw9/dKjmQz5ZcUPiuciZFbK7/TKeP91E50fl+0fJXAdzpoOHDHOrXnpBY7qWPrlYfSDMjZj+&#10;Ye1Klxbh+3gWXZ+1efg+jCZPyFrfigrBDomn5zhedQ/8u/lrd090xv/RpOuSRrqjpT7M4R499TjV&#10;l1YsX6q4Su4j2pcNTcL06a/XPqzwlfXX9mfSLuMp5vmwX15d9bLqHzvttKvkRSb/jayZ0zX7xGQU&#10;e5yt0TUx9cOHSg7QEvfrX52rcvLyiy+qnLPmFBpkM8byLDQhrxnx3+AH4zfxaqee8hNZCzTITRxV&#10;r8d0iUtR7CjQXIsPS/g+uWTJc3iiYGvV4Eq35177iv7R6Z5/JojpAf8y4Y2B9owPK3xlA40uqdqL&#10;nBh+EGt0xeWXahzqRuG9UaPHuNEjhgl2CGZIfBL6cTHxI8iZg7zWup0l1/t//sd/uAMP+pFb++EH&#10;7j2Zu0XW2Y+WtpofNVW7uyuHHv/85z/VXiG2lTltjVkX/8cek/Zyg8WmO27caD2YtyVOZfO6oMLr&#10;IeAHue7BlpMFP2pkrfT22+8oeNcpa6ef15ge7DvTy7pr+0D/z4cVvrKBTidf+5ETZHDN22+q7TxU&#10;1nRuXye6uYytrOsgj1YzWFIsXV319GC8nzK61g2W3CCNjaM13wW6AfVfKHOthod29rU1nTJysJFL&#10;iRzE4Efb+rWy39NI2Z9lmMTUN+phsju9WDSx70q/YMcQhzpB9tupq6+XfELtOrd9Vessd8+dtytd&#10;oEm2dEmHdn31Hh9W+Mr6avvyUW/jqUBXJ05qjcxRPq/r1SbKmtsAP1inVVz8UDtB5hmaJOcZPpnK&#10;CtnXTmJBHnzgYbVhWOOGDoXukI2M2LOse4cmtu5l7pxbdD6KdXLUReuTkFlyCRYNV8EQYnPAV6HP&#10;jpLjCf/yh7J+/01Zl4xfmflna5ed88FLff2dPqzwlfX1duai/sZHnJE5xlps/ffefdfdccddyoP7&#10;sueAzNm2gB0yf1tUGbGxNnHec9RwiR0v1z3s2B/2IdE9kJXPPvs0ax8I9g9x/OCHzr1I7NgJx0+T&#10;2ApZ41pUH9B37SPFMa0Tc8jVbrJgPnFtix9/vMuuC8eA0N/W97ngo/70Dh9W+Mr6U5uzaYvx0ebc&#10;ha2qq192Wav4CUvcgcRGif1i8VFgSVQwhH3u8EXsOnEPzf35tKzfYa6SOLJc2PrEfYOpuu5FYim2&#10;3W4Hia8gh9J3ZbiYNNH5F6uT6CD7S7wOsSlz58zTmHvGBA7mtg07rN+z4Z3++KwPK3xl/bHtmbYJ&#10;Xvr6q69U9uAzYk9/ITFSxH4cnpgXxP+Bf38LXjWeLdKZ+mwjeXMGDx7i3vvgA80Fgr6A3KNPZUoP&#10;sIdc0vhOwSPyeK0WOwBbaaeEP6iYePHdbzN/yyH6oeDHjyRvG3sMX3ThxWrXEdNDv37++V9ivUN8&#10;693xhQ8rfGXdvWMg/kd+YHjsOvFB4otsmfkT4cFSd4z484nZspwWRY2zTMKpk2XNx16yNyyxIHfe&#10;fZ+sqV/XJfOffvpJt3zSXR+Dp8SaovMT19rZ0eZuvnme2ARlsuee5Z6PkA6i+qHUR/Bjhuzld7jk&#10;rocmZ57539KODdqv5Hg0mpgO0h0NBup/PqzwlQ1U+vjaDT+hczB2z5t9s8oO+xCQk3ea+gXJJY7+&#10;ESGZoS4y1rKXLGPtOeecrzH35AFBVtbJnC7t8rU3nTLL5ai+U7FdTv/5mRr3cZjk6YkShm7WRQLf&#10;FLbmVOkz7Jfm5lN1LLj+2mBejT5Gt0qn/QP1Hh9W+MoGKn3C7Q7LF/OT6OrMYRD3fPAPD1O5DNv6&#10;gZ8uOhjSIv7c48S+IrfyEUcerXnQicFHb3j5xReykhXyIUIP3tMucjdlykGqf0wTfQwZ3Sy3xb/u&#10;6hexYbieJj5UYtiPOHKq0oS4QGyYjrb1iqnZxMaE+ac/XvuwwlfWH9ueTZvYY4hx+17JA0jej4kT&#10;J7vhsnZ/CzmJkO+Ues0Yg+zWSk6QoW6bbbbTvXLJQYDPk73psqHHQpnLMZnrFBugsXGUa5RYOmLX&#10;tqBJhHQyxZEEhqCTEVtHrjTWD2Obsp93eMzIhj799VkfVvjK+mv7M2kXOi36Ojz26CMLdY3pzjvv&#10;5uqHIy+JOIcEdtg8TBRkqCWxnm/7umrZZ6rSffjhhxK38qz6QLLZdx4ZY8xG7li3+uqq1WoP7FJv&#10;NkK05rGxp4J+Eh+q2HRcs+5gt0QeoTtuu1V1KfJjwx+x/pHah+rDCl9ZJnKW7jN9DeOp71uyPxL4&#10;sSiRe2z06DESZyn5v0LjK9gRJd2d/RHYh36vUbUSS1bp7pNcpPg9LI7lm2++yUgH+fbbYB9P8g7j&#10;M5h981zxBZW574uvVtsfMT1M48boJ8EOw/W6oVVul112V10SHw59yxq6KPOmr25Wxtmu05XDTO7z&#10;YYWvLJN3p/MM2G7ttHM6zxXrHhuLyL3O2pfHf79I83qx9mWM2AXGj1E8B/HaI90BY2rcoK1K3aUX&#10;X9o1b4IPBN0hE7qyhhd5I48Sttyvf32exNLJnpSyr1xAh81yGkW6UKcx1cPdmDHjJC6mQ3MIMReN&#10;TyfqPEn9yHePTsz6RdY2cU0ZfWmxxflqhw8rfGWZ8FW6z9C2vuLntnpa7vXVq1e5DbJ2n5iK7eqK&#10;7xvsTj5nyPwt+78eLms+KmT/hNN+drrmzLHx9j1Zv5Jun4Xvw08AfuA7BUtOOOEk1T+OIcdGSB+L&#10;8vV40R3RIVmDu1B8OeDHimVLM6JHmDb5vjbZWf3Ky7oWgdxNf/7TH7vqDb/mCztomw8rfGX5ogPt&#10;e/C+e3QdKLmr8vWdXL6X/gA/6CtiLclbRewpe89GWUZ0LZ/MhUwTGwZ/4WGHH6X6gu0bvXzpkxnR&#10;//lnn1H8WPPO20KLDvf9/aeIfVQhMTDB/nvFXIOcbn9sW1PtWP+IDkY+bPQxfMu55Jtcvgs92HRh&#10;bGnqywHusXaHeD7aYuNdvjDEhxW+sly2Pfyup59apm2m7eBI+L8oXpu99dTSJTr/wn5ur7/2us7/&#10;7SrrsNLl12Lcp/mMNOayxg0fPNhN3GMvjXcg9os9tTPdU+rhB+7TPtwgcWPgB3HrdSOGCy0kx8bW&#10;gql8M+J6yE6C/cTvkCMW3IAf2YMzX3KXC96mbhzgHXPn5F6EL9EFieMjPok11uiEufie7x0+rPCV&#10;+Z7tbRltRf5Yb4GvDeygjfjt4V1ogP/N+syws7ffyef91InjScmrRT8he0uWLJPxvNxNEr9klOWE&#10;2JRg3qHGja4e6sZP2EbW8m/U9Tt33LZA95RKprn1RTJNrZwz4x3zN8RudkiO1Zoa1sSDH8XNv9ab&#10;vthJbE98vu1ta93K0Dpia2dy+4v5mzrZQT3INQAv4q9Bfuw3ZeAg+yPSrzb2ZbNWIbndPqzwlSU/&#10;l85v2kidrd6c8TvSLrAC7MAGwO5mHpFy0xmj2G/WZurG3i/Ef5AzYvmyZTpfOWlU9MdZw4+tJedF&#10;1dBhsr92sLf2ooUPKq998fnnOlalS/9//OPvqns8cO9dYgttEnqsU12MvZnQd3SdfMR1D3BmD4mz&#10;Z05quYzfz65cqXNSxNbR5+nSwvijkGdwAb0dWUL3wJYm9xv6B34t7Bn+w0dlbaE9uWqTDyt8ZdnS&#10;xDCPOAEwEfzgTP4r2vymrLdiPoM28y2wJttv5vN59nC79qorpe4b3cMPL5Sxq8TtI3kuejPmFfxe&#10;cl5wiLzsJLYWMdsbZO0OY9YzshZ31qWX6H4t8FayHmK0DPMd159+8meVNeZe2tavd7+95Va1AyY2&#10;BvlfieMveDszwKtJDcSwl7qnZSx4SXI7wpvoxb52W1mxztYH1k+mC2NH4vPoaFuve3gtfnyRjMvP&#10;qFzdfcfv8iJTPqzwlWVCK2ufYQexBvQLeAl+kLtmneyLxpwfPjiwEtuG54xGmXy3EM9gf4Hxm8R+&#10;mTN3vvpP9x8Tbfwg5yeyTF6S3ZEX8aG+IHuzfCw8t+plZOYK1Q+hXzr05x72mENvfO6Zp8WX0uHm&#10;zZmv791TxnNiTwPfafT1sj0lBwj0WCFj+OrEvuiMdcZLqfDU/i/k2fqGMwf7hSJPc2++UcdiMKS9&#10;bb36Q7jGfuF/86eaPOaizj6s8JVl+y3oz34j4Af5ZWgTfn+wAx8C8kgbuba+Mjpl++1cPk+dqB/+&#10;mtmy7h1dcc5cybMlvHdAxPUPlWXBEPAj2NOh1K18aoXoH51u7QfvqZ5r+VChWSr6Gw2gA+Mb+EEO&#10;R/ruxz/+mdgvpRI7BpaSOzH62AGmTmoQfUzyLyxf8qTowq+rbXrj9dempEEueSrbdzHXAtbRD8w5&#10;0w9gBX4B9uHBx89/2GP0mfVftt/leR9W+Moy+ZbVlfrSBrCDHFX4Tf/w8cfaTta+o5ewDvSO236r&#10;OhbPZfK9Qj4D/s256Ua1+eckxtz9JcdolHV1YkHRQcCPfcTXWyb5Bu6VGFTwAxsSfZD9X7ujv2EK&#10;93AseuRh1RvJdQrfNje1qP1ygOpixI2xF07048e+L/VlDJgze67sC/yO4gf8au0tJG9l8q0vv/hC&#10;87ggR8gT4zJ9yjot5uVtjgx9kTblql0+rPCVZdImnsGPgb4EPtI25phoFzY3B9eM5fQVbQt/J1dt&#10;DL8z22uTLdqDPtUhsqfx2sJ77DsXZfwI8rHXal6BA6Su7Ns4R2LN8eFslL7ARsafbbGLqWgV7hfm&#10;XXTuRZ5X/Gie2SfxA92xTOixYP4CzWeLLgxPMranokNUyg0P2A8dX6nt/YdsMT4TW0acEu2hr7g/&#10;V/5FH1b4yrKhFe2i7uhP6LusfUe/Yl6aeFvmMRbMm7PFuBfm0Wy+netnrV7YmrctuMVtlDbMuuwK&#10;2WO21B0UcfsF32mwp1W1YF2d4sf8ebe4jzaKz032mWQfcPqJORhrp49+YChjAmfux+eNH6gv6x/7&#10;S99VSkzunJvn6LiGvo8sfvXll5HHD/rIMJ9xjZgPZI7+QMbQ9Zc++YTiis13+vo1kzIfVvjKMnm3&#10;YZz5NjjTJtM/uGbdODwIRoa/0R3/hu8r9DX1Qm7AcXT9dlnvff45F4gslrhDJI9VlPUP5m5nJPwR&#10;yAv6OvgBj6F/sI8vcoPOC12t/5JpDA04wBnuR6fkefqzSewX7KK+Zr/g+yYmlxyo8KfhB3luk9sf&#10;td/WH5zZPxTdiflB0/E5Ey9NfAiYmGmcoK/dPqzwlfmeTS5DrjgotzYF60Ra1TeMn5i+QfdABzG9&#10;BL05/Gz4Ovkbxf5tMgV/6bgr7TnvvAs0f/chsu9tlPFDc37qevVq94MxjWpnzJlN/iPxt4m9bH42&#10;9l7rqQ8Y79Ad4Uf2bWAOhz5taprpysUPub/sN8ceL+zTFKUcBqn6B7wj/hQ8JR8UvlPaxtgNLxeb&#10;78Lfpz5hOeO/cBnxY4zJ5JgwPwhyhw8E/yP4Qp+ZjNq7wt9I99qHFb6ydN5ndDbeI49usMfSLI1t&#10;AQdpD3zGmIcPEtuFcYv385y9w36n891C30Md6QPmoekX8INYiqjjh+aCFx8qcyL7kQdV9IS77rxb&#10;15xukD5gzo8cQAtl/Rg4Ge4LH41t7gXcIY6E+dvpJzepXjNF9JsgVi3imCoYB6bg/wA/5spcPPzI&#10;Pr7wJjTxtb3YZfRNcv/QZ8gQ9Qf7GJeROXwgyB3rG5n7pI+JlbD1kjYmZtImH1b4ytJ9N20y/CD+&#10;hnqCE8iZtYO2ELNPG4k3DdPCMCRclu63832f9RdjL/oHOiJYeN65FwTr0RK511ONccUub9ZYLplP&#10;lfMeEt9FzP3ypUs1hhaeQy/ED8WRDi2Ze6EPoQFjNnrM6aefqXK4n8xFke+96PtEJfChJ9qDH+yj&#10;zfwLfIpuSduw5eDJdOhRyHvYWwL9j7hL+s38UdQBPl0oYwA6CPo/sgeOMGYzF4Ofi5wv2ODZxoL4&#10;sMJXlg5tjM7UP8iv06pzLrSTPjEexdfB+A22fPLnP3XhBzjIgc/bZNXemc73C3EP9Qrs/laNYadv&#10;zj/vwoT/I9pj7cwJsh5WcvmQB3U3wQ/G21dfeUnkP5gHQ3+wPaDog1S8ZX0CzuCvo1/xnzKPc9Nv&#10;fqPx68Tym7+Fc0/yW+z/D5K80sSftrZe5dDFGNfQP8hBZrxYCP5K9xvEOqDbI0eMZfgRWb9O3yBD&#10;YAr/ceAnMPkjdgK9I1hfN0vjN7k/0zb6sMJXlk67wnVgDol2gY/wFwcYyLHo0YUaU4v+b35j2o1c&#10;oqvgI+ZgrUw63y30PcRsw1vEDav9ktA/Do24/tG09Qg3HR+vYAh7NrIX3aaN7W79urXKb+iF6Lf0&#10;G/wGXQ0rjMbhPuY+dGTtW/pYdJCFDz0k9ovsUSXv17zr0KQPxH/Qd/hP0SVpDzyK7OGzC7fZ6FDM&#10;M7Ee6A/EQzCniZ6EvOA7NfwA+8F3+NTWxSB7jOWsNaOMd3DOpn0+rPCVpUsvsAxMYD048xPwoelP&#10;YCJtuOmG67TNhg88w/vRGS2XHmf0L2Q13W8X6j72e6RujFF9CT+aZR/cGSIn+DO3kfVz1SNrZO62&#10;Q218w3h4C70QnwZ85eMtytAbWa+kcy8ib9ChU9bvf/jeO7KPVqXbsU7wQ3FDvtcH8cN8O/gM4Csf&#10;HQrFb8nf+eMfPlaMB+uhu9lajNnhumKr0JdgDHKI7DFGMJfLc8gh+mPy+3vz24cVvrJ03ml6EPoS&#10;mIiuBGZQV+qNnYztwn/oT2Hdg9gx8B4cJdaF3JPIKDHu6Xy7kPfQJtpA/9A2839EXv8QO0LXwIj9&#10;Uj+sSvJ07KjrZY2v4LGg72Zp21LRlDGOOHf6Z6Wsu+sUvuRQDOpsc6NGSS5HyQdI/HoQwx79+NNk&#10;/QO9A/2KeYpUdChWeUfbeqU9dYP/6DNwgvoiY8ghfcQeZ62XXaL/sc4M/wf/4xNhPS75TZA3+j1Z&#10;z0y3bT6s8JWl+z5wmrXtyBd2Fm2FrwxHwEhwgt+8k3rzzK2yjwp+4TfF3qGd78qz3MecdbrfLtR9&#10;rHlR3pK69S38CHwSJ0kedvaL3v+AA7V/sPfJm7NxQ+CrRy9mTEtFT/iTWHdogH9AxwbwQ96xSd4x&#10;efLebuhg9rKolTlc8puDI9H2gSTjB7wLD6PfZypbqeiXbTkYgF0CDiD7yBfjMni+UPymvB+Z4sCf&#10;BbasWC5juYzh3Mvz2Ab4KJEx2mg2QG/r5sMKX1k67zXcAweoH/UFJxjfqDdthTfxcYTbyP/0Ff58&#10;5JH7gnWdrbouN51vF+oe2hjMc16l+lXfwo86yQdW7Y4e16C+0+bmU7SPoDdH4APdoP1D/EMq/ym2&#10;C/wLX0IL+hkM4uA9R0+VvfgkFnya5j8N1sBEHj/EL8QeUufKvny0A75FHhkLbYwrFI/19B3sF+qG&#10;/416ckB35Ao5IicL76De2NpgBDhisgjPYp+y5h37BVsgU4z0YYWvrKc28T94h56EToR+C2aED+ps&#10;uGn4yJk1+5STP9MwMsAP1oWvTDkOplOnfNyDvkj/4SvoS/hBLg5ykO3X2CC5csrdtdfcsEX/0Fe0&#10;BxynD/G1+ejH2AxP2txLuI+5vvDC/9W54YPIvy7xJoEdE239g9hh/L7kjjc5o4/x7/hoUMwy5sbQ&#10;/YgfUNxH75MDPYI5GepvmId8sdaC+RrusT7mjNyZ7PEeaxPP2HVPZx9W+Mp6eg//Mzab/w1fcDJf&#10;gXfghK2To560k7ahD3M/tgtn9GJohC8knW8X4h7qyxHUrVXnh/oSfrRo7Fit262+zg0atJWs9X7q&#10;O30E7fFpQHv8V75xyfIl45eDV5P7+e6773Ulg0rcZHKAbI3PJdrz2uhGB8l6wnJZ/zLr8la3SfQp&#10;+hWeZH6pN/JUCD7kG8xPEOOG7s5BP2Dr49NmfDNepf+4jxyTHW3rtV3cS/uIM+YZxgL6NFz3dNvs&#10;wwpfWfjd3V0TI4v9wpxgMl/hLwbT0b/wnVJH2kfbzN7BNuM5cAMeRmfp7nuF/M/qC36gu2Nz9i38&#10;COZf2OeqpmakjF0Jn6fQO9xXlmOS+b9kPuI3Yxb9SMwBvBt+lmvijquqhrnxI8V2EXupqQ/gxwES&#10;70b+wrkSP6a2mLQL/GCtSKa+gXzyJriGLwD6oztwxneIzODrCPcb9xnWwK/0EfeDM+AHvEwsRfiZ&#10;dOvuwwpfWTrvw+5C76WupkeEeYt8arQPvzDvo75ff/WV8iL9RJusfUF86ix9TzrfLuQ9r7+6WtuB&#10;jtWX8IP4j5PGN2qc5ZQpP3AdHvygPfg0GJOwpbGfk2lL/9KPjFnwbriPueYd3/veJDdE5PHk8SPE&#10;fol2XgP0j/3F1iotKdP8aRslDg5eBD/x62ciV8k0y/VvMB5dnnEWejPuolcQUwoe4KPim8wj8Zt4&#10;Fv6nXdZHPMdYYLFo+Lt8+mZ3dfdhha+su3fYfx3Cd/AVvg/zY4R5i7l0ePK11au1T+gXdGSeMV+C&#10;tQ3bGvy3d0fhbHxEXZEv/AD0wTnnnp9Y/xK19bfkMDa/Q7DP636ja9Q3ceGFF0m8VzAWhfuI9nCg&#10;E6ILMw9mtKf98BfjGX3GeGf8GH5HZ0enO+OMs1yZ+CMPFLkk3qRF6sGhe8/K/HHU5mQ0/0di/S1z&#10;0fAvOjG+A2t/lM7sEaW4IL4q6mryxtgGb2Jbsh8dMgTOMNcS7iOTM/rQYtDAIPrX+Dyd9vqwwleW&#10;zruIuaHu6Pc+vjJ8MZsSjEQPBudNB+M58ifxnnAuvXS+X4h7oC06H/KDns6c5XmJ9XOHRmz9vu49&#10;q+ttxQeB7Iod0ThiqBs+bJh7/Y03FCd8PAUvos/Cd6YL024O1qPSZxz0J1iT/I5O0UFWvbJK9Rzy&#10;vOu38aOqL1XqkjhHaU4mGT9oF+My45i1vRD81Ztv4CdgzgWZQX7oN+pNXAf9E8zHzFIMTO4jfhvu&#10;2P2M76Z/2Lmn+viwwlfW03v4n/we1Jt6+fCDOsOX6CDYXoZ72AHYO7SdZ20uG92Lvkvn24W4x/iI&#10;uB3wg7VVtBOfPbHPkYsfk/kWxn5yfrQIdkwaJfMuMsdw+JFHuw2ioxNvnsxXZo+Yr4r+wv63tqNz&#10;gSuUq84s/ZX8jk0bREeW9+//gwPFp1Dmjh7b4JrGSgwIh+x9F6zLNb0oGudk/IAPLW9NIXirt9+g&#10;T9CP0BORG3yK8CLXzIEyJ8sYjKwxL0N7kvuJ+ylnHORe/AvhOft0ZM+HFb6ydNoHVnPQBg5ffdH9&#10;kT3qCx+C8Yxj5hOmTczZcg90SKcN6dQtV/dQH1sjQr1ZM3b+BRfpmvWDu/aLjoZMBHk3BD9EZo+V&#10;WK7ysgrJ0TfIzZlzi1vfHvjckvuI3/QB9jVjgY2/Rj90L3xcYCi8x73J76BsrejCl8+6Wuy6Erer&#10;5Ho/ZVy9HpYDXtfGdNlWxaeXDz/ASNZR0Pao8SH4gc8Q+wR6m/7BNbKEX8NkjLkMXz9Zv9GP9DU+&#10;R/SO3viLfVjhKzP+6e4MXxG3yLjkww/ahW8O+5n6go3Ya9xr4x7XtB38QCfp7nvF+i+Ir5W958BI&#10;6a8bb7hR1nxUuClFzJ9sNkGAGYE8NrPeVmW0xk1sIF9hmRszdpxrW7dOae4bk+Ap+sLib+inb7/9&#10;tssutr0SicE1rDE+tDPv7RC6vP/uu66hocENrxrijhk/Sg9sKNb1Y1vZEQU7RvPBSj4UnX+RusOH&#10;CyWWk/azVj5q+IGcM/+FzFmfUWc76B/WtxAPQpwZY531j53pJ+0r+Q9ZRO54L0e67fVhha8sHVkF&#10;75i/Betoh9XTzvAl/xH3Qlw++iFYw/92P//bPE0Uc8dBW/qDtmLns+crOe+KvX8D/kj1T+JbkJgL&#10;fgfHSM2rWCm5LYiPuu7a64XW6LJBTgjrGzuD8Vxzthxc8CL9T9vJ6TJH9q2A78zmtGftrDwp+g2/&#10;L7xAdDPxo46QeHaOo2T93vQJI1yz4Ai5BIK1/czxFlcH0XyOsn5//rz5yovwKuME+PH553+J3DiG&#10;fNscpdE9fKYPmKeg74g9xbcR/t+ukTt85OAH82mmexQDP0z/oO6GB1ZPzuhRtBmfNnxo8xfhe7g2&#10;/Ihqv4F/4PoGoX1U8IM1+eovlf0ZNM+YymONjPkNrlpiMYYNG+quuuIq6ZeOLr+Fr48M+5Ef4siw&#10;MeEr+In8EvAZuG/Pcn9y//Ef5fqfrKfbe599JZ5skB4jZc/MY8WWaZI5GPQOchqBe+oTKeI6XewX&#10;1gSRj556408I5DOYwwY70xlDC3VPT/hBH5gdQF9af4X7ijIO4sjQ98l3aLiRbnt9uoavLB26MI/C&#10;/DP4Ea6nXTOHRJ+AI9am8L12zfhOe6KIH9CB/JL4p6KEH8gf+zNgr5AfCPk8ZEyDrGOrlPG/UvPi&#10;oHewR63FR1m/hM/WB+gfyBG2Jgd9Z7mF8E/xvy/Gh3fxXKBXBjroe2vedkccNVWPisoqVz20yh0u&#10;GDIDPUn0pRljA/0j2F+iOHrIvuz/IvrH726/Q3kT/rR80rQlHf4v5D094Qf9CDaYjqhYLn0T7mvD&#10;D5M3MNPwg7Ndd9cuH1b4yrp7h/2HvwkdxOoVrqtd23+crY38Z79pZ9Aef+ySfatYZ3CZNcT4rZhj&#10;YN8D3bNR8p8GOccLwP+iawRrWxM2is6Hil+BuQ0Zz6dNaBB/R7XOfQwbUS02PXsSiF8jYVPoOlmh&#10;v/VJ+Az96QvKkBvyJ4T9VfQx9yBf4efC1+E+pnyDxIPAxxxXzJolsalVsldCmdtT9nxrlrXA4Idi&#10;XmJ/zWC+V9ojNk5g3wQ0Zd+rfPlK2I+PPYyXLl2mfi3aEOBHq9oAxeK3VN+FD9HTsaPDtLdr+giM&#10;76mfuJ9xwefnKTR+IPfUg/gN40FrT7pnMMX0xqj6P/B7q/4hMok/eLbkMK8U/2k+95/bIgcPtorg&#10;xMno/iJTLTIvit/0ZCk/VNZxDBE5ILdpOfHYc9DH2xP6wJbjTzp9Ah+yhgB7k/5N55nke1Tnkffw&#10;LvzN//s/sr5O1ppUVla6bWskT4jgHZgxHX0E/6q0C0xplnhZxQ/Fy0BXyRd+sFanQvbdfHKx5IOV&#10;OsK/wVzhd/c1SyXThSwHP4L8Hezh7h8Lkvsh+TfYwkE8caZxcj5dw1eWDm2CNSub51SS65vOb+KT&#10;DD+InU4HA9OpWy7vYd85jXkTH+RHsvfSbPGfVog84IPLF3+rryDhJ7BvqM9A1peQY+MkmWuZJHtS&#10;Vg0ZrLGwDY2j3DVXXy86R5DrPh3a++4Bz5F7eBRey5RX29avl3E8WOu/aWOnu+zSVldTG+zhXTu8&#10;SvafrZFYd6GftKeFmLetxb86Fv0koc8lMMTanuvzJJmfqpBYleXLntK4ftppua6w3XLJP7l4F3Jh&#10;djR6hq/veirjOfoX/dJyavS2bj6s8JWl8170DmJq8btlymfwKnsA46ejbel8t9D3EBNB7I7NYTzx&#10;xGLRfcvc9yTOIdd8HX6fyZL6CZj/lDmW4yTv72TZa6WqssKVSx2222FH94tfnC3rHogtR+YDWyPT&#10;/rDn4DWuwZCe+DL5f8Mg+pbn7R3sU33IYUe6wWLPkHtjpPhFJoscnyhtIlYVv+oWPpH/z96Zv9lV&#10;VXl//wP9vpKaU/OYoaqSMCWETMxTNwEyMAqEpFKJioiKokyCIkKC/ao4dbdTq4Da7fOIoI22djMJ&#10;giAQ8XWADFVJtN9WFBF9u3l/eb+ffe4qTg773nvuqXNvVWL9cJ5zz77n7L3X3mt999prrb13FTFk&#10;qdYk1yk25qknn/L0UddoHeF2H6dfax5LUx6xEpEe/HobdrIPQs/MT7FFet+t9jRMU2bynRBWhNKS&#10;34WebS0cfulQfdOmYe+HJvMbhsqaqjRwHxsxOp/Rs/P5X/j1psRqx+U9198F2UGeOJfptHlz3FBX&#10;m2tpjvyyQ4PD7nrF0e96QXshcx6l5iysQ7exKbJnVj5/ATO4kCfoBQuM7rR3vqV8Lp+PntmraJfm&#10;ftT1ecU/soZo/vwh0dMsHarJHSssXi0amddAs9e1TBepwn2wu8N1dXWpPvuEb1FMAfvRYMfHPzFV&#10;/FaqXOK3iT9N2w/J9+ANdCx8bGBlqbKK/RfCilBase+T6dgVWbOYrGvaZ/jL9j61fUKSZUzlM/5x&#10;4h/Q9xhHvXxKVpevOM7NbmnS+tbCnjmS99HCWfevw5GCn9LHT/k4DenqHhewi0b6OrZQ9jqO9t7R&#10;XePxOp1vd3Rft3wqTd7XyJlVS5Ysc7feut3tkZ8/bRtP1/d2Kd74xvfd7Pdl5WwJ/Kkdmo8t0dzm&#10;XNlFfFvgn1abjTDXKbTVqNrK9njnvDvO+N1M2+u9UJzrFm+njXxU2FouVj6UdcqpZxzgmyK+gHGM&#10;mNup5Llk2YxhXGAH8dsek4XHWfqVvZTBSL5NlpPmOYQVobQ0eWHTMR9MFlr4Bnm0tcmsDUxTbq3f&#10;sfUf1BUdibutoTtO46Y/s1Hz+ANsnvExE1nw8oBM4GOI/Aw+LhPeZ727/t8gGVktXX6Z5Ke7rcPb&#10;WBp05sLRi49x7373e91jjzwk+8auSfFP1n6qxnfoOWPC5LHdO90XPv8Fd+75F7kFiw6XPafR1R1W&#10;5/o6ut0KnVtzLr5ftQ+21s1qo6j9hBfCWJv3gBsHzH1i7c/7Ubxul9uquFh0HfY7+rDiY7wsqh7o&#10;WczHwQ/Wj9Sax0qVB3bwP3YLdBDaLUt/QCuxPNgciLEtVWax/0JYEUor9n0ynRhYfDB+bWoGTKQt&#10;2BsavxTreZP5T/UzGAlPgZP0GTo5+PGzn+5wbZLxZnQQnS27Vb6EEcVZsmegjZN2H9GeGPhLuKJY&#10;L+0zLH9DNGZqPBzscKvm97i6+sPcG7RPGGtIGhrqXI/06/fdeLPb/UIUi0zZxHREdphs408Wvqvm&#10;N/iYsaHj1yIeYf/efe6qq97j498aFV+OjQLdpEc21+Pnylc93CGcUBvTzvhsdMduEu21xu/XdLrX&#10;2p/30VN63Lq5c3zbdnX1qC3Ho/FAMTIey9S+jM34naaa75LlgyHICPKfZU5JH/IdcwX0afg6WUaa&#10;5xBWhNLS5MU7rKUFP4gbyMJnYCJrc+k39EbD2rTlV/s95i/gteGHxWLBb5dtHPVx7If3drsLB+e5&#10;jdId4GfjW7uzp5/XrT0P97sLdD9LeHGCfIjD2husRbo0/tcmxUh0CjNOOOFk9573XOOe3vGMX1ey&#10;169v1Rgp3KK9qEPWMShLH1XrG/jZ6CBWBHwcF63j8nM9Ln665trr/L5ELfiY5GudpZjWVtlLhmV3&#10;OlG+p/Vqx0v8vE92E+2lwPzR9gywtrf7yNCAO13Ygc+Fucs733m1P8PXr2lSe9Ku0AkfEsdebb6q&#10;NP8/vvyyH8fYqzZrf9De7INo+2lUWgfeD2FFKC1N3qz9pd/BRc5Gga4JHld/GG+koRcMwr+dptxa&#10;voOeB33sq4v9Ax6HHmjb9cIv3Zo167wvhrNU53e3uxO1X89q8TJ7g5wp+8Wp4IR0cHTm4d5O1z67&#10;WVhR72OXWIPXqXiv444/yV3+livcffd+y+dP3sR/wdP0Ob8pk/KtTe2epm2n8zveNyN6/d3TGPGN&#10;x8kC3T/9yU/c5z7zebdl9M1u5aoT3OzZrcLtet+O7AvdLvvrAsWVLFM7Hy9cIS7nHGH5Wu0jwDmV&#10;x+tszTmdfNOguJ3Z7o0XXzqxlwFYHLVxVC5jxXTkQ+oItpmcZelT9p9gLk4e00X/QL7Q74mxggfA&#10;D2jlSsPjhjfYYfFv1xIb0pRlZ98S+2djVLzvOIf+f/3tR9xJp5zusYC4Ms4yID4Ee2dLM/EZjf7q&#10;7et3q8T/F114qewn73df/tJd2vP8F8IGcCLy6Vsbxsv4S/5t/BHJeaR/4b/54j9+yb39yqvcmavX&#10;uhUrj3e0bdTOwgi1vbU/fUHsWnePbLLnXSTZYW+M19sPrG/xj8LL000PZn5ntt2s/GB+Cvb7SsP7&#10;oXdCukYoLfRtMs3aGN+mrdGkH9LghrUB/MH7zMuwLyfLmMpn6CMmFt2oWCwm+gg6GP5J7Pfw9fXX&#10;36RzRW5U3OUt2nvjM+6rX/1n7VvwtHSLyI5hcyDsGBN6u3DI87DaopL2s3Y8VO++LQr6Cdg6Lp2E&#10;sYk4F9orknvNPeQTYy79ta9+zd1xxyfUBze667TPE2dL3HXXV7SHwfM+Fpa2D7XVmOSTssCPUmdp&#10;TRU/5oEfjIHwMjyXlY4QVoTS0uRvOlC0fjaK34j6tvheNaG+o9/wSxGnlabcWr4DfphNLVR30uBr&#10;cAReZh8MYjGwWfirgAc2fvIuMd2MgWAOukf0HOlr/F+Mx4uVfyinG9bCV1wTsflqQ/iGNqfNsCvz&#10;m/exofg2lH10ny7Lg/+JifX/JXDE8mIMYzysJY+lKQvbMnyIvyJrf6Pfs14Nm57Jbpqy4++EsCKU&#10;Fv+m2G/qgA2EeBtwDb0IbLO+pk/K0Uqf8g74QZyW6TTFyqx1OvMX5oxgZIgW6m+Y6ecg8LTogXbG&#10;DHwL6B2eb/Uu6Yyde3Zrrid58P5g3cmb97mnabdQXQ7FtKi99ky0DW0LXsBnUZtG+oi1nWEJz96G&#10;pLV89Avp9AVnARjPxduLdMYA/KPo0tONDxnHsMNh2w3VP05Lsd/YCFiLAW1Z6QthRSgtjZwahkX+&#10;E8XdPPjABP8jG8XoiKd7+dMcxmLE05Rby3fgKXCftZnxes/8Ds8DDtZ2sXHA5uK15LG0ZaE7oEOk&#10;wQ9w12SLOxf7L7PfV1bsoJ4hrAilpaHJ6oFvCf3j2/d+04+pxkNpxlF7B9vQdLR7G34YNhptM/dD&#10;Cz/oZ2xxrHPCBpKG/2v5DmM1uhExZCYzaXiQcRzsYK0r+ovtDWX7jlVKQwgrQmlp8jU9iDt736Eb&#10;xWmL/y5GK7RF6w62+3V4acqt5Ttj0oO93Vu6VRp6itE5kz698cb6lvGZ/raxsZa8Vq4s9vEGA9h/&#10;MC0/QRdzN7CHMZ44T5s3lCsv9H8IK0JpoW9DadbO7Eni9/gTHlBnu9LQafs+Tcf1LxF+RLFtxmNp&#10;aJp5Z3rjRbJ/GMdIi/Zc2zat9A+TMeLrwQDWqyfrH3o2fo106OgMnxd/+xtPW1YMCWFFKC2EFck0&#10;6DLaiB3FToCPGT0QeqxPQrRZGjYtYjvB/Jf/8IeJ/JJlTdXzBH4UbDtW75n7wYUP5frL9Px7tAc7&#10;fGx8PVV8lywXeWdffMZoWwODDbkcXWAIZx6AO8x9yHcytIWwIpSWrH+xZ8MQ9lyhjsTegBtp7afQ&#10;h98F2/Bk6CpWv8mmz+DHoYUTxeQNHR++Rf8gBnWyfJP398gGGIJ9lxh0sAO9wnSMJF3xdDsnEtsO&#10;9Zou/lvqYnoQeMHcDByALuiJ05Ckz56Zj4Gp9Fv8LKy82z9rfjP48ZeBH+jMYEhk/5he8xd418Zp&#10;znhFV2e9GXhHnU3fN5niHh+/iT0gBsH8EyazWWQipGuE0tLmbTrDq6/+t49NQQfBHgptafADfZFv&#10;iB2kzMnQlrbOlbw3gx9/GfiBHCJ3zKXRP4yvK+GVar+L3kC8EOO07UMWx4k4fiB7djHfYU5m69sn&#10;Q1sIK0JpWdqCGHSwkXpCFxgSp4nf0GTp2IPARWgjPsYwNkvZ1fiG+lBfaOJc6SQtM8+HDraYrOFD&#10;JH6sGvyUNU+Td+7o6MxfwBDsGsXkzGQN3YSYWt7HP2EylnWcDmFFKC0Lrd+69x6PBcTIWX8kZYx0&#10;5m7cialANtnrO6s/Oks9035DW2PTpe2/8+37ZvBD+J/sz0Pl2ebc7JNtdoK0fFKL90zeuTMP4Zxe&#10;5A05CvWBpdsexYzTL774W4+LhkdZ6h3CilBalrwtRoW9/qz+Sdr8fK2gm3CuCnQ9+O/fnzRdWeqb&#10;5htwDf0IvbYYTUkaZ54PPpyhbxmrscXR15ORsTR8Vek7cfyws87R96l3iC9NL8GvAf9yNq7lYTpI&#10;pXXg/RBWhNKy5I0tFH0C/Q+abE4ZlyfSzO4D1oOj2EugaTrqILQDsXHYvUP9FKdt5vfBhxvWZ8jb&#10;2O5d3haHrmmylkUO8v7GsMzkfqf2jQXn8FUYThgddicdfmVMx54DJlq9LD97ruQewopQWiV52rvR&#10;GsHtHkOK0QV9/MeF3RTaiAGxPKbT3foLnOOiztY/M/eDFytCfQd2WHwWcZ7TiQ+pS1zm4UP0duwg&#10;xXjS6/nSp6AF/QOdBUzkiudVKZ0hrAilVZov71M31uiggxBja3bSeH9Z2guFvWpvv+1Dnh6jye5Z&#10;yq/GN9BETAtYH6dj5vehhR+M1abr4xutBi9lzTMu8/zGjrH91lv82FtKJwZbWJMG1jC2Zy0//l0I&#10;K0Jp8W8q+c1Z9dgbWdNvWJGUNehirx3oAmvIf7rhhtWJeoHh1NXWiCfpmXk++LEEXn3sB494fmQ9&#10;eSU8X6t3DUcYe4klxYcLfoQwhDRownfLXCevOoawIpSWpTxkDb0D/GCfk5BuBV2k0wbMX7g4hypL&#10;ebX4BprgK+ZZO3S+xAxWHPxYEepDZI1zG9Cf0f1rwVtZy2ANLXZDsAFaQnLm0zV/IbY7z339QlgR&#10;SstK2yuvvOLnW/coLiykf0Ar6dyxS4I12IOsvOmkh1AXLsYj8IN+C/HeTNrBjynsHwTPYiuYzuMZ&#10;cgJuIDfgXTHsgCcZq7GR5OlPCmFFKM3kudI7Olapc27M/4KvDD8v/UW8mcWu832lZVbzfXxC9BHz&#10;F+Yx/DZ90e4z+HFo4IfFE9g8oZp8VWneJhf/79VXJTOR34GYbXivGIbAn8gXe/fa95WWm3w/hBWh&#10;tOR3aZ6tjuavCMkXtNq6H+LMzLdkY32acmr5DvUihgz84OyNeF+F6JvBkoMTS+BJfPTTdR0nssXF&#10;+MvcBdsHvMZzMZ7Dn4Sewvn2ecVGhLAilJZFRg0/WAvHXmtxWTMaSbN5TWTv3u7nnJwDkReNWepe&#10;6hswBHrQG2cw4+DEB+O/Ynf6lRgr9gc0Pi7FE1PxH3xIrCVjme2nGZIxaISe5xQ7xrv4Mvg2jzqH&#10;sCKUlqUs6shlPmfW+hTrL+gG89FV0LGgdTr3G7F+7NFq+GH3YvTNpB9cOINvjXkBOrHxcRYZqNY3&#10;VifWelgsQXwsTvIb/EnsGDT99Cc7cpOtEFaE0rK2AxgA3lFvzrU1XSMpbzxz4cdlDsP5btZGWcvO&#10;+zvqQ57QhF8aP5itk0jSk+y/mefpjR/Wf9jhmAOw7xXj2A8efiiXcTpvXoQHf/e7F/18hPUvxl8m&#10;R/YcvzNvQbbAxrzqE8KKUFqW8kz+d+gcB+ZdT/3oiQk6S2HlnV/8gre5YhvKUm41vzGa0BvBxB3y&#10;4Zr/KN5XM7+nN16E+gfZgy+5f1PjA/hB/1aTnyaTt52TEperEF2WRhw+NBFvZmPhZMrn2xBWhNKy&#10;lGN1BO+Yd7GnYbyPTBcx+riP6d37v3Wvl03G9izlVvMbo4n4X/rCzu+BrjgdM78PLvywMYA768Ft&#10;jTtzbuvzavJVpXlTJ3Rg4qV27XyhLO+BixbL+ec///mgmL9AI3oWvnTwg72SkCtoKSZf/PfEDx/z&#10;+IEOWWm7Vvt94yXOHgY/WNsNz83gx8GFF0n+i+MH8xfk0sbqavNUlvzhQ+we4FySltAz9LHuArs/&#10;MpmlzNA3IV0jlBb6Nk0aPpQ//elPHg/wd6JfIGvFZM7+I2bkK3d+KTc609Q1zTv0G9dv/vP/eJrA&#10;RfprBj8Obvyg/+wiZhqfKLYC9tGzPk/DH7V6B/lh/oyuHsKLZBq04Y/+h09/Mld6QlgRSsvaLmAd&#10;F3FvdlZWOVnj/69/7Su+fV566fcT9NKPWeuR13fxOmA/9fsNyC5Mf9GnyX6beT44cMV0YvoQPwXj&#10;Ar5A+Cbe53nxUSX5WPmMxfabGDB0JHwS5eQJHoQ+/IXEHMTzqaQeoXdDWBFKC32bJg16uYi7x+dZ&#10;Tp7Gdu/ytD791FPe5mp7NIJB0yEexPoP2iNf83Zvq7c+KkffzP/TG0+QM85TYWxH389T108jL6F3&#10;bAzmP/iP2GzmLvCf4V45vuI9xjtiscgnL1kKYUUoLURXmjSTN+Yi5qeGVjAzhJvgB+msgUF//Nrd&#10;dx5Ar+WXpuxqv2N7+6ex65Tr35n/pxZXTHdEzphn4y9kn3L4bTrxHD7JaO6yzdcTebG6l+MhdCpo&#10;ylMuQlgRSptsmdh+WctotNJPIfywM3D4Hz8uGIL9xPByOowH1hbf++79Xoe8R+usQrSU68+Z/6cW&#10;M5Ltb32I3gF+YL8HO6YDz8XrwD7BzF2YZyEnSTpCz4zH2INZY5cnHoawIpRmMlPJPV5PYlDpE/xh&#10;YAh9Zf0Vp5f24H/ieIjdQY/Ev01e6G3xPCupSzXeZV8Z6jcd4tgPwGX0O137Cu0cx2ra3NqYduc3&#10;15h8DmN6f1yX9QfvWr6kRf2117/Hu/y3t5DOf3ZF30fPe8dZkxGdS4Jfw8YH0vftZU9LlbfvNRkg&#10;D97jisqrDcZYG1GuxUATpwnfxGW3GnyUJk/4njGUuhBzin+B9qeN4n1kfZe8szaEsThvn2YIK0Jp&#10;aWhMvhOXdWJdwI94DGqSxvgzbUL8B3ZX5JO87EqWM1XPtmcJ+w5Q91rye7yt+A3fIwPcibexuuyX&#10;bJLGNSaZ3SN5NdlFfo3/9o5H3+9T7APyDD7Q/uA4GLHP+LRw373rBeWp884ok/JjF+9z7dH3Y8r3&#10;178mT8XHFL7lm70qw/CHsk0WqCd1MnlO0lmtZ8q0toDnsIvzDG/F+XgqeA3MsDpQJ+SIvdZ936if&#10;0rSJjXXEw1leedASwopQWtayDLvBDfQnYjuMV2iLJO3wDWmet9Q29xT2YJiOe6L+8eWXxWcf8joI&#10;MpukpabPakvTHcAMsIE2hMee//nP3Vfu/if3wfff7N761ivd2WvWu2OXrXSDg0Ouo6PdNdTXu8aG&#10;BldfX+ca6urdLN37+/vcEUce5U4+5XSdK/JjjwfoDsj3DTfe7JatON4NL1jkWlpa9b2+i12NDY1u&#10;zpw57qijFruTTz7NXXzJZe7qq6/x14c//BH3sPTvvWCP6swFnkX9LX1I9fVYU8CgmrahykTPx05A&#10;v7KGczrgB3UwOcLvgh7B+jD6gj6h7cq1U3QedRRrdjDhh+3jAY3M2f7te9/1tBrvJOmmTQxDuD/7&#10;9I+9fNJu06Uv41iKrkt/cnZPkpZaPzPm7xL/f/u++9zNH7jFnX/Bxe7wI452zc2zhQ+NrqmhSXLe&#10;4BobG123cGNeV4db2NPljurrdcf097vFui/u1++BHjfU3el6Z7cLUxrdVVdd7fbt17oQ9eGY5H7O&#10;nPnusDf8Tzeno8Ud2dfhju7rPuA6Us/DXZ2uv73TzW5qcXV14Ev9xNWoevT1D7gTTzrNXX75le6j&#10;H7nDPfboo36+RZtBR4Qr5eUizzaG32yNGTpvvJ+n+jcyT9xoPGbM2oh7uXbAVsf4TdySYVEeNIV0&#10;jVBa1rJsDQv6A/iB/ddoDdENnpreTH8yrjM/wPdLXnnSnpWm+HfE7zBWYasxuqbiTlvdvv0jbt78&#10;Yfc//uoNHifqJbPNTcKMulmuva3FHdHX7k6e1+Munt/vNg/2uZHhHjfKNdTtNg93uU26Rhd0Kb3L&#10;bVH6usE5rqmxzq1Ze67bI+wYl57w+A8fl37S4Fqkb1wyPM+NDPXqW75/7dq6oEd56Hlht9uka93Q&#10;HLdqYMBf4FJDQ73ybVTdGnQ1uno9N+h57foL3AMPPOTHD/qduOVatiW6D+uaiNGM+ymmA89RB8Yo&#10;eI11LGNqH+THrnLtZGtfiKcyX0Scj7P+DmFFKC1L/vF64kNBL2RdbTla4//TPvhJ+ZbzZPLUvbLQ&#10;FP+GunBWDbgOviPD8brn8dv4A/2N/P0cxdsnIvvj/fd/x23YsNENDQ1LLhv8WM9cpLe9Q/pEjzt1&#10;/oA7z2PF6+U8LvMTv4fAEGHKAsm/5L6zdbZbsfL4wlx73N1951ekkzS4ntaWCDM89ryGHRP5xPAE&#10;bLILXNow3OfOmt/jVs3tc0Ndba6tpdnPnxqVb2trqzvx5FPd7ds+7J565hmNHzp7XTywW3rP+N7C&#10;OgHZS/brN/MeP9+RvjLZtqZtaWtwA5s4Maj0NX08HfDjv/7r/3o9F14jNioNvdDj9XnhInsWYjeB&#10;ljzpCWFFKC0uN5X+tjqD6+wJl4b2+Dvsy4buwh5L4FCl5VfzfepD3YiXpa/i9c71tzCDMRk94OGH&#10;H5FNYaMbHl7k5wQtkr/O2a1u8UCvO2towMsnGICsbpY+MbpQ13DnATpCWM679V6310vQQUaH+ty8&#10;7g63YOER3p8Dfbd+aJtrks5wRC84Ay6kwSX0kd7CFekmXu9R2qj0l9HhfnehMOWkeb1uUHMq8A8d&#10;BXvMqlUnuO23/63mNMhC5MvBvkNb5N3eyBtyRn+y56mNVXavJh+Vyxvdg3rFY6jK8dcEfggbib/C&#10;ZwMtedITwopQWjn6Sv1veEcMKr4n6CpHe/x/3if29rZbPujPvSlVVi3/s37ABlJJLGCcttBv6LU2&#10;Qu/gwh/76A8eceeff5FrbcMuUefampvdkf09bvUgMmk6gzBAOsSI9IIRPxfhGTntS4UfW7ze0ed1&#10;kC3CoOGudtfd0zNhm3jXVe+RbNe5E+f0e/wYTYEfo0PCMtWBi7kNugjYM6o7OLXZ6zDUj0vzK+lL&#10;x88ZEJZ0CUvAkXp3pOw4t2/f7vUOcMPbDQt2klAbZkmjzVmPBp/CR9a/yd+15DHKQn6wxzB3wQ5o&#10;vFGKRuMh2orf8Ceyl3fdQ1gRSptMudYPxJKCn9CDTJSi3/6ztiLuBf0LO8hk6pL3t8zRiI3Dhjqm&#10;MdHqPZm79T150P/EzLzl8re5zo4uV9dY7+bJ9rl6sN9dBiYUri0LNL5LTk2v8PMPyeII8xGvh7z2&#10;n70TukfyLPsIeCRd5Oi+buFFk+hSf6nfRje/STrPLLdmcFAYIIyKlRnKz6d5PSWaw5A/2LbZf1eo&#10;k/IhL/BkM3Mn4QhloztdIn1qaX+3my0dC1vuMUuXu/vu1fxf7YKdzPhjMu3Nt9bmxHh/4+v/NKHj&#10;w7t25c07afNjvw74C58y86o0NBs9hh/o7uggJot2T1uHYu+FsCKUVuz7UunW7lZXfNbMLaHJz+V1&#10;L9fvZlPA9kHf8j1tY3mWKr8W/zE2EA9I/+KjLkdP6H/kAPsydBm9+/bvVazGHvexj33SHb14qWRH&#10;Ng3hxpmyfY6gIxxgX8jv2c9fvCwLexb1uKUD3bJ1Ngvv1Veq38jIFm+bXesxQFjgsSG/8pN0oVeB&#10;KRcLJ/ELNTc1u2bZWs8662z3L/ffP1EvPx55XU32EuFBpRdt/4uf/8zzl53fXgv+CZUBb8dth/AX&#10;Yyd7KaalC3riYzT8yZ5IofImkxbCilBa1jKQL8MRYlCJYef8lANkpUR/0wa8i77KPm3gB+eukKfl&#10;nbVueX1n+z4T25e2fw94T/SBqczpoXe3bIY7dV1xxZWuRX6TulnCjtZmt3HBXLdxqNNtGUxjc8go&#10;0+CCMAGfDDrB0n7pPLPq3b//2/d9HdeuPc/jxwXeboG+gF6RsawU3zH32qx6eFuO7LknzO3xc5oG&#10;+YX7+ue6p59+0tcLm4j33akND2jbEryVfA+7pMUo5cUbleZj4yK8bd+yx4zXbzXOJOtc7DmOH/AV&#10;cmM+JSvD8p/MPYQVobSsZVg7cMfHCX4QF4zdPI6PxdrBxmPaAx2E2EDOiYnjc9a65fXdmPqH8YF1&#10;m8XoKJUOjcxRuPu4c80Vbrzh/a5FcRt1h73Bx2hcOsScAtxA56+izIIfkmtsKFt0XzW3V3jRqLid&#10;73nfz1lnrfX4cZnmGF6mU2DA5PAF+yr2EtGtOQ/3U+cNeHsx9TrmmGWyCz3q5zL4Y8CRUm1d7D/4&#10;C/xnjoAekhdvZMnHxka+xd8KdtjeF8iMyUQxWuLpvG96FXu0kyf554UhIawIpWVpB6urfQtugIPE&#10;6MRpLPUb+ulb2gw9/x7Fo+LLRd+fLhhCXA/jFnUrRUux/6DNx3xrjkBM+NvffpVktN71ab7yN/Pm&#10;etvoyAL8J9hBGY8LdoMqym4kr13uOI8fDe77sj/RF6tXr/Fzqa0ezwo2iyrWY2QQPajHbRKeRXoR&#10;dttut0F6D/5f4luGhhd62zLjrMWuFmvrYunwGLE8+DjyOlva+D7rnTEXTENmiNtmzK3E5gNN0Gsx&#10;mKwjs7ocLPhBfa2ukR61zdsL0NeL9WU83ctWAUNIJ26XPq6GLmZtW+kd+rALf/Hzn/U0mW6VdpzY&#10;q7YY36N1herva6+93sdx9HW0yg8hf4Xir7z9E5sidgldkZ+iOnMGb7cUHiCz2F5Xzun18arf+9d/&#10;9Th+pvCDOJMtskd4W6vXh6pTF68H+fzNF0052IMLbaI6nDRXPhrZQxbKx4ycoL/F231sT3o7PT4O&#10;9ONK+z/v9+EnGxvxF+B3RV64wATDhbichH7bu9F+oNsmYlryrG9I1wil5VHmi7/9jR+nbb+MEM2h&#10;NGsHxj/wlzYlJpXYeGvnPOo3mTyIG8C+Sx2Nf9P2M2Pmrt173Mc//kk/nvZ3trlLNdcfIX5zEN29&#10;ivaOMrrDKuEHeIH+Qd+sPmuNj8/YjB7k51HV14VKzX/wS584TzZe6SHLlq9yP/vFL3096QeuSuYz&#10;tseVzbknww+T+dbGW/iHebHt+2njUhq+4h1rg+isgG1ediZTr9C3IawIpYW+rTQNeUfPJ54UGUvT&#10;Dkk84Rt8ueRDTE2ldajW+1Yn1uQyTtDXyboXe8YX+Y17v+36BwZ8LOZF8s2OFMZ/bBDeB1FGzkvJ&#10;2GT+m+74sUnthD5ybH+ntxctWnSEe+KJJ/z8lnbds7v83uT0C33GPAEbfbV4JE2+YIfhB7Ee1Amd&#10;G3lBf0/LV4YfjLfErqOzc14MdbD809Sn3DshrAillcsn7f/YP/FDV9IOcZyhHbGjGg7Z+ry05ef5&#10;XnycIkaWOnGuQ6V65vOip0MxWvVap7JScVPIO3MHP9/X72h9SvXmCKXwZbrjB7bVTZrjEIfSPnu2&#10;m1V3mBvd8ma3e+cLBZ94uvkLNkZsp2ZjzJNPsuSFjBPLZjotPMV6IMOFYmORpZvMoIPYWTbVWE8c&#10;wopQWpY2CH3z95/6hN9XzMcPijajt9gdvOCy/61d0DWxOdj6vFBZ1U4zHGcOxbpvMB5d0eoar7el&#10;he6XX36Fm/WGWa67rdVd6vWMaL4/wrwF+2GVbQwHN34wf+LqlT0VDG50vX39hTUish+m4DH6BPzH&#10;z2F7VVWbd0rlD1+xTpa5C7Fs8BE4UMn8BZqQFb5lbo3PwfjV7qXqkPa/EFaE0tLmV+o96s3ecOwh&#10;j7/SsCAkU+XSbI9b1q+Rr+kCebZNKVrsP8rjYh0M+gdYT1/7OYz6LkQjaVzoljue3eE6tdad+fvp&#10;8idslJ/FbJil5Lp6/ymO1dtoIx8x9lPW3z/4wIOiabdbu+4Cbw+5VGtzvY9G84fq1SWFzkVd5Yth&#10;nrdJPqHD+9iPpMFdsmGTGyvsgVKOl/j/AcW3IK/MEaxvp+rOmIgexHiUdq1ckkbjO/ADuz7rP6DH&#10;+DUv2kJYEUrLq7xv3/tNL2f4X5GzJN1pnmkT8IfxwvZXZh5jGJJXXcvlE+8LyjYfDP6/crRBwz75&#10;azePvMnL52KtR9uyQDEezOe9bTKF7HhdJd/3WM/CnAB53KhxfXFft/dvRD6i3Ypf3+p9y+sVV856&#10;/60ea/KtQyV4hG7m1/4obsXf5aeaI793Z3u7e/KpH/t90dLwlJ3l9sorr0y5TR78gJcYZ9PUPfSO&#10;jVHwIdjB2S/wMzxbjq8r+T+EFaG0SvIs9S5n+GITwk7gZUjYH6K/XBrtgi6DXsbcNS7LebdRMXri&#10;ZfIOa3Cx71B39A/uNg7E6aHupD//i5+53r4+xXm0KjZqTmEc13g+pWO65LGACfhol2hNL+M59UX/&#10;2DSyVfsQNbpzNNazLg4MqUTe838X+ym+oIKPSrrIaulGrPG74op3aJ1MujGKGE9kdjr484jThq/x&#10;U6a1E8b5y37bOAtP3qPYpLhc5DXWhrAilFZMhipJp/7gBnoibRSSLaO91N2+Q7dDB6F9GDfIP692&#10;SUsX5Vm56MBgI/H5zE3ovxBGksb/H/jALZqv17mTNW+3OXwkB1Mnk4znxJ56bJCOsai303V2dnrs&#10;QAe58sp3yn/b6PchinSVKZ6/CL+iOqM3RXXHntqlfUSGhhcoHuQ121kpniLGAl2WvuRK2/95v/fb&#10;3/yn5yH4iDNSy+mxxWjiO7AHuxzyRrxUnK68cDKEFaG0PNqJ+rN+EJnHpmNjdLE2KJZudiTu9Pv2&#10;W2/x+SLLtcYPaxdos/UTcR9MqP/379M+g4prWrtmnbclXDioNS0L8SFEsVH5j9Hh+QV2FvYH2yjd&#10;f5N+8zwi/X+T6rNZe3Jsmj/khnu63Xzd0T32aM54/bXX+v3CVkoviewfURyI/61vN8reu2mK5zTo&#10;REu0F2OjYngffOjB1+m3Nv7AP+A4PvdtH7rFn4U+VTFF8A+XnX3HWnvTU4vJQal0ky14EXlj/1Pj&#10;1TzvIawIpeVRJu2D3QI7Y5Z9QJLtRf8zZqB/sLbX6kg59ruW953iQ8YNfDDwqB8DsHMk5misZR0X&#10;fizU/sPs70WcGHtteJ+tn8fXSP9QWVs1VtuaGuwe7EfIHiBbsElqfjKnq8UtWnSkaGHN9H53223b&#10;/T6qh0sv8fH0/hv5nLHbeF2gthgYwlr2SzpVcf918offfPOHXtf+E/ihvkHOsMFjq3xM+6vAL7Xk&#10;H8qyMY/f8DP7bBEzBv+Exp8kP4WeoZELXkT/AJeqIQshrAil5VE27fP73//Oz+2gKUR3mjRrU+74&#10;3dA/0EPwgUxFPIjxm/lgsMVBB7xpvBqni7MOHnv0h35fnKNkN/UyIFnGZokOEO3rFdYZQvKSNY09&#10;SsEtL/fCiyimtMedK1vC6XP73fK+Adciv9DKVSd4OogFv/su9i+sd11tzdovrN+t1n4Clxbsvb7u&#10;souMFNbGZK1XHt9dpH0b2V+V9cLxtuc3fQLvWN889oOHo3mn7Ggmy3nwe9o8rMyX//AHL+vIBjFj&#10;1I8xMln/NM82d75Hdg/Ga/JLW59K3gthRSitkjxLvYttGay3dY5p2iL5Dm1jGIKMEs8e+bqerHn/&#10;0/fgh2EINnPqQ52NP5P136c1orfddrv8Gg3ur8Xnpncgf9FeXNXHDi+jzDN8nFqPfC0Dil3r07rW&#10;Nh+fTsx6c3OL6+7ucR94/wf9+j50ffY4WbHiONckm2qz1tCzL0lzs9awaV/kdbKX+H2Tp3j+gj93&#10;qzCwp222WyAdL9n+hh2GI/gEkVnWV2AXqOUYZNgB/9gZC8TAUjd8lPB3sv6VPON7Yf5C35WSy6z/&#10;hbAilJY1/+R3tNOnPv4xj/esd6qkLexdk0uzTTJ/ZQ6DDZ3yTJaTZVfjOd7/5G/7ZzJucBnOWd2j&#10;+1534UWXaF+NOncBfgzJW3TVaN4CTvlLuofKXi/sGGifLRxodINDC9yIfLQf/ejHdQ7Et9wvNSZH&#10;chb5yfxv7S/wo2efdl/+8l3uumtvcKef/tfaH6xVeFjvFvV0uA34kgo0MTfyuDhRppVdvXsU79+l&#10;syXYK6TR/fS55zyfWV8gkzY+I1esjSfO0/qyGnxSKk/4lbItJpI5PnWkvsbjB/JPOp/l2O5dflxl&#10;To3eX6oOWf8LYUUoLWv+ye9oqzu/GJ1ri96YpV2S3yCn7OuOnkZ7J8us5TN7RVEP5tJF+158ceKJ&#10;p2ity2zZGqfQf6E503rNPZqadGZUXb27/M1vlX3qefFtNOZFewqk8H9qrGStxrCwB71lkXQR4skj&#10;m2oUT5LHnCRtHn5eJhvIcdqjFfy4+66Crd7mAwW5BAu5iIlmTxlk2GS5ljxDWeAYa3+JP/T7IOkZ&#10;Ps88f5FM4AeEF8EPi13Pm64QVoTS8igX3ZD+sTEanktiQZZneIA1yrQ/8ptHXbPmwTwTXdhsIDbm&#10;xelCLhcvPkb6dftErEVa2cjzPfYhXao9AWe3trklS46VT0hjnvws4B5tyhjIPV730G/OheE8yo/f&#10;8Qn5o3WGhGIv3liwgaTaHzVn3cT7caX/nC7bDHu53/GxT0g+I53DzqYyuhijkS/slfAmV16+zbQ8&#10;RJnERTGn36HzJcEM6kc/hPgn1AfJNL6P9sXb5uUibV0qfS+EFaG0SvMt9j5tFZ1loz6TzyRJd5Zn&#10;sJu4Y3TQqT43jLrAj4xp9GGo/0mbP3/QzVdcxdTGislG0N7m14zccM0NqmukF4MbzL3hX36X6xOw&#10;A/nctXunW37sCq+DnDY/isfwMaGS5Txxr1xe4McmYePZ2j8F/Lj++htFR3TeA20fH9NZ74Lc4qco&#10;xrO1SGfuzRwcPKO9jXdC/FOuP/iffsN3i10Qm1y1aAhhRSgtz/LZv5QxmvjRNG1R7h3amou1RrTX&#10;VO4fhZ4IbehCxfbKRk45l+AIxShMxE3mPAaXkzH+P1fnJHAORLfW3zz7k+fEc5HObPMWeJd2Ldf+&#10;nGm5X77dsT273OOPPuRmywZ7hPfvmu2jtnYdYt84b+ZC6UD12iuePZ/374tsCaZTmVxyHhE8g10Y&#10;Hq+17kGZtDH8gs5qvEw9i85/hQ/l+gSMZA0NcS3Yd/KU33heIawIpcW/mcxv+ge9ChljXQ/jNfM9&#10;2iMNr4baje/gB9unjTN2qSO6Tq1tYpTHWAJ9xfZTZrxukJ6/uJ9xOYq/GNEZLv5MA/F+lFZmzMZv&#10;AubI1xDFXZR5X+/ik/C6vceqXvlf+3wsOudb71VMG/ufJdvX5Mz4OtRHcT7n/SXHrNRaes6n4xwG&#10;ZDmtjYd3C20i/SGyn5SmC9us3wdNa5XBDdtvmXa5SP4gzqHaNDLqfiX6DDvsTl3BDi7WxsMvXJPh&#10;73Lfmo0lXo6tBfX7pwX6INknaZ6hDfsAvpdq7mkSwopQWrl2Sfs/7Yd9GbwlZsOwI86Dadon/g5Y&#10;a9+zZwL+nVdf/e8pwQ/4wvaJZ7/9uK5sdQY/WVNytPwDWxTn6TEAHNDFb3wXhivF7pFscf5SFC8C&#10;hkT7gRW/byjIph+fZTddrL3VG2RfZG8xYkutfvE7eBFv3/h/9hte5YrGzP064+pi5TtL8iuZxj7s&#10;sa54vZL19nEk0OO/MzwtcgdnPF3WFpQHTvbKBjNX+Fjn1p97oV+rSB3jtNAPzHnhRbPN1UL/QAaQ&#10;F8rCVwy/4me19szjTr9hi2UcY61IWvms9L0QVoTSKs039L7h+x9eesnjIrTBc75fJ2ErGtsdnSVM&#10;PhGWb/MxhdTBygzVp1ppjz/2qO839kmiTkl+ePaZZ1x7R4f8Ly2Km2h3w91d/hrSPIJz6w9XzDjY&#10;UvrSO73ditPuccsG+t0q+RrKX+yR0ae1KwPutPk621Y6wtx5g+7XOmtmv3SiZD3tGRq4TAexdLvz&#10;n8kldqgbb7w5WlPc1+VtmCvn6KzbFPXDX8K1XHEoS2TXPVLfl26DqI04t3OBztkclu/Yt2evfne3&#10;ah2u1vLLp7xxI/OXaM2Rx8OCfRibB/4J9MVa84npIcQso/+gKxRrX2vnSu7khS0QGXvyiccPGfww&#10;mYUu7IysnZ1suxl/o4P8XOtrGE9MZ6s1X1BetD9adF4vdUv2+57xcfeWN13u+vukX0sPYa911tFF&#10;1yzd673dD9tf0Ut2iybJRpNi0Br0m73LGpRHqatZuny99ufiG9aG1Om7NWvPdfuwX4jfsHsk62q+&#10;ROjgN3iffIdnjyEFe+t3ddYDNhD2NEF+m0RHqXpN/AcduqCHizoWpb/QNpxtxfl4jbo3NeiMOp2V&#10;06jnZmFzvXSr4aFFbqfWof1cvkz2mWW+TH2h1/Zbx/diY43xZ7Xuhhum53DuOnKALoTNOtS2WdLo&#10;D3ARbNrx7DOHBH5YHyFjnKcHbRZDZvOPLG1lcyCTVXRBvzeZdEPTS6vFD8l84Q/2jjK/u+lGxrNe&#10;TrWmnLX7n/vcF7Tf+g3yD9xUuG501133Pve2t71DNr/RA67Nm7e4iUv/bVaM1+jom/z93PMu1Hls&#10;a/3exuxv/NpF2lp3pv9P93PW+eeTTjndHbNspT+L4X8/t8PzLHuFhuwf1Jcxkv1dsSsZHfE7v5FL&#10;+pD3scPiM12mMo5dvtKdufocX25UlzWqD3V8fX3POjtK475hwya3detbfBtAKxd20Ne1C22h65r3&#10;Xqu2u8HdcP373LXX3eTe+97r3Q06Q+dxjb17hdfoH+zNbnoW9WQfXtbJm+8Fvkz2Z97PVgZ3eBMb&#10;IPN4cDlquzA+08aVXMgCPkBkDHuBlZs3PaG5Sigtr3KNDjAfGUPXh1bajquSNrJ3zcZAH8DD6IJg&#10;OnHJedW7knzAEPoO+jjzxnDN6IOfx0TzXtXVj/nQXe7SXlrEve/jHHraS/xEnBfxGmAUZYzrOX7t&#10;KYy1fu8f+Vbxj1DOeCF9n+xGzDd286z0kP5BGzMnpO7oisTXGNYbPdYPdkdGx/U+mMT6eeilTLuo&#10;937FsMbrym9Pzzj6gXQ2PXPh24HeqG4p2snTt1NjeRT76+uiesAb5B/do/kYZ0qzdgqdtZL+ncy7&#10;pn+QB75j9HDiGOBh4xNrx8ncoRPbKfiBbXgydS71bQgrQmml8qjkP8MP4qyQ8e99hzNMo/40vqy0&#10;3ZAfvrE+2LXzBd9u5A+PW5mV1HMy71KexQMxttGXJmsR/457Wfy7T/+9e+c73uVGtCdPuWuTxl7G&#10;4IvfeKk7W2ewrPZjeqRr2LjN2U7x65yz17lTpGssX36cP9vA6wPSCTjn4FjdzzjjTOl/T/n2t3E5&#10;1Pb4AUmHBn5bP/FsdMW/Q9633Xq79I8VKmeFW+qvlbqjj6xS+ce55SuOP6Cu1Pss6SWeFv0+WzoI&#10;OhX31Wee485Zs95dtgmdLEVbbdoi3ezN0kduck/+6EeRXIIrHkOi+SS/4Q/mutWUrxAfgSF/fPll&#10;P74g48gC9UGPzgtDWNOBbsUYhi8hVI880kJYEUrLoyzkymSZtapgI7GoxfgwzpOlfhsP0wf8Bk+I&#10;LWEdtJ0zlUf90+QBfeil7JUPb7AnmdFnvLFT+uSq405ybdrjpqH+MF3YMEpf2AGwV3Dhk+TMJGLF&#10;Wb/GnWditQ+8Glyb9iTvamtzvYp17dX+zD3tXG2uu1VxY7IvIM/oCbSv1S/e1mAFGOjbVToE+MFv&#10;3jW64u/z+7Of+ayvR2tzs2JsVXZ7h4+1Jd42/vvAujb6+kCP0QJd/oJG2YSwC5VrJ/7nTDrai9+t&#10;ov/Tn/o76SORbFJnaMImAH4wdzBbRJr+zeMdeAS9G/7AX0ibxds02Z5ZnqPzALb7NTV51LlYHiGs&#10;CKUV+77SdMMPvsNvxVoYeJE+DfFvmraj7XmPPKwf6B/iCuEP8+VSZrz8Suue5n3Lnzv6MZfZZ3wd&#10;pac+pvNakZOFPZ1urWIULlJ8RLnrjd4f2aO1aVHMGXEVtlb3tfVpB/pI/bpe9uTAJ+x9nPILy98Z&#10;xbz2OfbwaG5pVv32a46g+bX6Idne9AmyRswf8xhsw7xj+GHv+3ZXOhj+1rdeKdmt1x6Hfb5cizmZ&#10;8MtO+GYPrK/FsUTvmV8W/7TWB+t6o74r1078f6HaiNixM4hfl/32bOkuu3dJRy3QR93BQeYO2C/T&#10;9Gue78Ab7H+DboBNycY92tB42do1653+In9sxHnWPZlXCCtCacnvsj7TdiZj2IfBX8ONvNrO8oM/&#10;0HGY41Nfyq322myjjTu6FWMM/GE2GuyM2LOaNTYv6RcG1HD9XBSbBYYoVkIxJsv6iT+d5T7zmc/L&#10;/qF9JgL4ASZTf/iQ/ThDfQRt7C2EjeL5X/7SnX3Oeh+XtkHxYx63LNbNMKzqd+JOutzFwi9w7BLF&#10;x+0RfkT2lcgOSWwO+gd7BFqfZeXpSr5D12GvTeYWjG3MXbJiRKnvsHfD+9U+jyKEFaG0Stqo3LvM&#10;/3gH+aINJ6N7FGtDeJq4GdoQjIdH7Kq2vmr00YfwCfY5G2OoLzKILg5+bCLutOryRDwacZrRmG7j&#10;+0mKBalXfNV551/k60cdQ+1Juv0Xwg/wmsv0vyVLl2vOpD2hPX5AX0z/qQGt0X7KXdJX+vw8ZvPm&#10;N2mOZmN7NPciNoLYMcYT669yfJvH//DgDq2RA7vQTW2sC7X7ZNLwT8D7rOUwvs+j/sk8QlgRSkt+&#10;l/U5TouduYG9M892jPN43JcLn1B+1rqn+c7y586aCvqQuRRzGOqF/jEu/21zU7M70sevMx+J5Lva&#10;d9bbst8Y+gcYcr72/SDmpF12ieee/XHBv3Ogn5A6Gy4YTiT52v7Hv/PDRx70e4Ec3hOVMRX7QUfn&#10;X3S584Qf2EDwc+8dY34LdkT4gX+fMw1qwRNxvqE89iiEL9B9aLtke+bxTBnovvGyq/E7hBWhtDzK&#10;NtmyvNCtmKOBx7RZXO4n04b0iY2H6CCUge+RcqlDsh5WnzzucX588cXfej4hjtjoQS/C1zF37nw3&#10;2NWqeUTt8APMwP7BnkGsGWGcZp/yJtler776vW6P1tBaPe1u7UjfxHUo+5+7X3cnmvAl49dBZk9V&#10;jCux+Fu8DlJb/YP4dfaDZv0t9tfrFVOzb5x5GHFy+/ye5OiFzMfghWrro3G+euml33t+xK5O2+U5&#10;bsb7hHETGwtlw5PxOuT5O4QVobS8yozLl535iK+TdswLP2hH8uLCjwUO36N9IA07qokflrfdP3nH&#10;Rx12HsM06gStxyw91nVIdjknu9p6R7H82Sv5RJ0dwVqVnt4+98AjisUBBzxf75mwORI/8qtfaZws&#10;YIjnef32MSyKRxmT7ZVvNm3crLzqRVeTzuEciM6B8LbbGtPobczd7pT5mp9Jv/rUp/9B2PHaGgf2&#10;EmZMqbZtAJkxPjC+Z00lZRNTHpf3yfw2njIeo3+Ym8HzVm5e8pvMJ4QVobTkd5N9pl3BYnwkxHnl&#10;qceRF21q83bWoTDffOWPf/RjTbXHG+MZ2ogYR/AL/qA+fk9LjfPr1p/n5+YbCj6KYjJezXRsjJdJ&#10;P1gy0OeaG5tcT0+ve/e7rnHPPvus2wNmEE8tPBlXfX0MmNKMjl//x3/obLcxH9/1j1/4ojv1tDO0&#10;bxCx6vXudO19Hq1hk57DemK/prg2czTfXqzDlR9mqeaH+HEfeuhh3/ZRDNq4jzmCH5hT0kfx/pos&#10;X8e/j+fLby72xsXmh4xbLP1ksMO+JT/je+ZF6FfE+lFmNfk9hBWhtHi75PEbXORiHsgeDMV0Y2uf&#10;Su5gBxff0EfsS4svhlhQ6l7tM7cN8+m76Eypbd7vaTTiDyIOqkn7Dq8f1PrbGtk/XleO5jHsszO6&#10;QBiitbj4OusbDnNtsn2ecuoZ7u3veLd8zT/wviNsNuiL+4XNrNX9xj9/3b1Z8eVDWl/CGt462YNn&#10;a13NmdJnRv2cJToDIjpTsrb6B/5e5mrDWlPXrHUx8ADyxQVPMC6jA7BXC32UBz+H8oAPLJ1yGC/h&#10;d2wT1IW4tUr4uti7Rhc8D4Y88+On/HiJjmNyZvXI+x7CilBaXuUm+wv/LfM0k61ibVRJOu1p+gxt&#10;yj4+9Fv8jJi86AnlA412sS6KstlfERqg81ca02/54G2S1watgy34OKcAQxijtwo/sKdy1u2J8sf0&#10;KrasWfVC7+fsBuKvbrrpZtVbsqe2xN+45JgVbtZhrG0jXq3en5OwqKfHrRsccFsW6fxv7T0KViHD&#10;fm+OmtOmM8BFT7doWbjwcD+WwBM2psBvrC+gj+IyHurLPNNoO3iBMcVkvRK+LvZunDbyRe+gHObu&#10;edY/lFcIK0JpoW+zpJlc2bfo98SJYlekHf4/e+f950V1/f/7H3w/sizLIgssHaQIglhBrKgYC8QK&#10;igak5BP8xMQCWFFh2bW32FMsiSYWbBGRREVDmqjEXoClxJpE80hUYsn3PM+8z+7sm/vefZeZd2Hn&#10;h3nMvO975s6de8593dPuuZn6KN9y61ts7byHuNdi8AzfyTeyJwCyj+po8o3qfxGbwZo1v1c7I+vv&#10;NXcHMRKiTwR5PYozXwc2VMEPma9b7DBiOyAn/GGCaxNlD5iessZ//ISJLfh+9513C+51d3W1NbLv&#10;Zj93jMhPp8pYVT1F5JjvYHtAJwOXpBwMQU/aTvaJEVPAjumiw7Aud8pUWV+cwm3GFrIfYwu+gw/i&#10;lO2hP++wmCPTZYn/sbbky9e+52z8ME+ivxADTRuMF23MRXn2YYWvLMp3husy3QJfJ33q65coyoid&#10;xA6BDmP0DLcjrmv4E18hNlS+A/mDeHHWhY0aNUZsjbL/nPhBFDuYr7EViF5RzPHW5l0y7oN8Yew/&#10;J3vZ9+nlRozcVdoe6IRLlzSIv6bWjRkockYp29ku/kiOk6F9Jda/WtbhNOm8ZP5zYmnhA+yYRvM4&#10;x5e9g5gx3kued+Nnm9vsd75nlWlFbwl8e5v1HdhPeXf6fG3tierswwpfWVTvS6/ntVdfUV0UetIP&#10;+fZhR88RY4L8ge6Z3oa4f5uMxdwXlrNmYQOp6SZzuOy7JHtY6lzNnF3CcRnEkEveQY0T6etGSIz9&#10;gIEDFT+IT12w8DyNfRs/EFmJNhdHVmqDce1ih9hdBPd2EdvHzuLfemXdukBXSMm3tq4xvKY9LnnU&#10;6uVMLmPW6rFnCfMkR3hdQ0f8297/4JBhB2MI+yw8V4x50ocVvrK4xliwDrFJbVrt9VGh/2EPsbgd&#10;+rsYcw59xnvWPP+c2rOwhSh+qBzS7FasWOGqu0geZckjxvhAn8CnWux4zfDY1DZIXmXVPUQWGSv6&#10;FfZR5A/wY5bEYtXI76PAPGlzOeLH8aJ/YZc5bPKRamuC9mZDJUcx+iTyQDF4gHeAH8Ra4/NRG7Rg&#10;B22KSt6mHtNd2MOd72M+5t1x62c+rPCVxYUf9K3tHVcoRrT3PH1MHDsyCLSM63t89SJjQVPmHuhM&#10;3MRW8X9ulHjNkaN2c6xTZc/4mSN6a7xVSeUPbBVgGDaRYb00PyK+Ffy3rB/5juQxYk0Je1UGOVfL&#10;T/4YP6hec58tW9qosSnGF/Q9vnzm57Bs4KNZFGWGT5yxueC7BTdsrHOOCkOQO5BnbN0LOGXfGKcc&#10;4sMKX1kU/ZmpDtbaoxsyRxit4zgzjqEjtiXsmkZf6+dM7Su0HJ5h7rH1ZzYfkkPnNNFhiJHctb6f&#10;O03m/cD3WLoxqT6TlF4yc1eJoRgoY1HspWAH/hfykOB3mSqyCXZRtd10oE+E5Zuor2eL/nSaYC9x&#10;rjM5RvZ2/SVnQB/Zt5c4FvxGjFF4i7OtiTaaGg/Y76jP8Ba+N/zF2NDj4GvqhKfAENuPAl8x32LY&#10;Edd3+rDCVxZ1v1p9fBdxgIzpKGPy0ulE/8I/5IuDlugUyHZx9at9n9EQ/AAnaYfRm1jqtS/82fXu&#10;3UdiQbq6g1Mx38Vck7vdeFZcEGzgLLiwj+BHVVW1rEVcqfMma2u7iV3yZIm7n62ySumwLmi72GFE&#10;XmJdz6mit4wUe2+V+J5PF1zeLNiBrdrwmn5n/mA9gcn10D9OHiBmEVsm/E0cQTpfRvGb70OW4SAn&#10;hu2hxneBH3F+nw8rfGXh8RD1NflCkT/C60Si6NdwHfQt/Yx8x1jGH0K/Mj/E2b9WN3uAgV2GH7Sn&#10;eYPkpBBM+4HEaSGD7Cy5OKbJmg3L67Hd2C7GPJ9aa6+2XMGQibJHDOtZiFkgfpO8peDHbPZbEfxg&#10;L4iStDPVF9hfkIHIRzBB8rZ37Vqja4teFj/bxg2S21HaDB/Q35brnG8J091oFDVfUx/+HnRm4k1o&#10;Q5gno7pmXkT2IJcwOGW2jzi/y/rKhxW+Mrs/6jPfyEFMD37OqPrUVw/9zDo67C3YI/CP2/uj/q5w&#10;fbzDchVYuxTPUj6Bt995S/dMYe/YXfv107VfpRqT4AbvRo8i/xB7L3ST2PanVkruZOk/8gwSEz5b&#10;/KPYbFQGKQauZXpHSo+aIrIHOejJq3LVVdeq7LFJ7AHYbaA7uB3EZTY6cnNBn7j1Vt5BLAbyLnOj&#10;zR3GA1Gd7ft4Bz4ebPTwXDG+0YcVvrLweIj6mm/Fr8aYJh8U/UHfRtnf1GlHkLs5yK3Ct1hfR/1d&#10;Vjf1k9MZ2ZmYwHS+gd74E6dMPd7VyNy+r8z5MyUua7asQWOMljIeZMKgYA0re0zRbnK7gx9qY6Vt&#10;RfbfIm8E2Bb4q/jNXt19eta6Xj17u+uuv367/jVeMjsE+9LHQWtfncyJ4Adr9tLpnu9v42N7HtmD&#10;MvY0IJ47Tn5O/0YfVvjK0p+L6rd9K/ZidBhs44wlo3lUMh/9Cx5hRyOfDzTFl8f7rQ1RfZOvHmKK&#10;WSuIrcfobufmDcHa0Ddef9XV1vYI7JPYUiUWfDa2zCLmGEqXe8oTP0RG2kUOkY/wIY/uXy/7zHRz&#10;s2bP2a5v6WNoDx8Rqwjd4S8fjaIu+/zzz1tyaJL3kXYYzQs9U5cd8DS+Pb6N+bcY/Gx95cMKX5nd&#10;H/XZxi85StErsE0QawOmqowvY77Qvg4/T5+DI+ij2CNYS1eM/mb+Qb5Czgq3h2u+E1sqezIsXnyp&#10;yOHVbmDvnm46er1gR5BPK9Ar0sd33L/LDT8sh5raX6R/DhJZrarLTm63MXu4lyRWDJtpev9Cc/o4&#10;2KupsWj51lkfx5wI3a0N6W3L97fxMbzMt5HvA92FudFsw1GPVV99PqzwlfmejaoMPZQDGd9iRPFl&#10;m1yWbx+nP6d4lLI5YI9An+AbDMOi+p70eqCnreHz2YjBDvR0ixGf/39nis2h1tWzDlbsDDNFj4kb&#10;JzLVX274QTtPl1jd0yT+ZI8BfTXvAPH1a1Y/J/kENrv17HEjOBw+GGsc5HBlPNu6kHQ6Rf2beGOw&#10;gxzh8HK4TYVeG35QL7IHPh5k92JiB/3lwwpfWdR9G67PvpkYc2R8cBRbOX1UaD+Hn6c+wxDsWtAW&#10;P3mc8odhEzIm8iV2Ytrk+zZ4IbD5bHYNss4Evy75SYf1qZNcnvg5gmO22h1MHhEfiNpIolqjJu/A&#10;ryJ1YkvFp8F+Ck+tfErbjf+FfGXEqqifWeyXmbAn93K+ofXAfhus5ZU2kdODmHqROQ4eIuv6ZP0e&#10;OSD32XuC7v3IXlxBn24vr0Jz5iOwG/mWdfth/ovq2vjIzqy3hebspap8F5Esbbxjsgf+WsYMeymF&#10;/UpRfVd79fiwwlfWXh2F/gd+0Od8u61RxM9qMf1hDIjqGh8e+AFdjd6FfofveasbWRbeZY4wumfC&#10;EfiD475773P7H3Cw5taolXUyB0pujSCfRrC/vI4pGVdaFpEfFX9ssOYe2wI5eGSOl3H60osvim6w&#10;0U0/+TSNPz1R4tex62KfyR0n/M+gp6Gvac5UiemYo7+J5w/ytrIumPU43WtkHxiJYTvuhOnuLZln&#10;oCH9xZkjnUesv5E58W/66BRHGTFGyLjkv01vUyG/7Tv5rmCv5Ubl5Y8/+rAoPqVwX/mwwlcWfiaO&#10;a7CDelkPg4xJfIaPFwrp9/Cz+MihLXqFvTuO77I6//GPvyuNmY/AReQR6G9zSbhtlG+RfR/JR/zO&#10;G6/KvnOy5kRiQGtlHI+o7+lmDB+gvlVyfAb+1kBWiGIcEzeGDEC9rMUf209kIIlXt/0y2QOP3PHH&#10;yPp+s0VE8V7qIL/znJGST0kwhLpnjuzrZmsukT4S7zok2INbfD/Elt7383skHiWwG+FXpj8z8Qvl&#10;zaJLYC+n/w3TjTZxnOEp1kswR7HuifeHaVzINfxhsioxzcgexOUX47vS+8qHFb6y9Oei+s0309ec&#10;Ldb23nvuatFhCunn9p4lFgD8sFiAuPv+n59+mtLNrmzhdbAjwIq2+rrNL+H/zzrrXNdXYtyJMxvU&#10;u5ebNERy/qRyH6qMTyyojLmCD+pJxYWdLvP97gP6teAH6+fIm4Y+c4ToL4EshLwQwXulDuLRghwo&#10;wbfMFvnjBMHKPSW/Yg/2lJO8RhMmHuBWPrnKbZA86mDaVs2pLvgg+LFV7Ehgs4/u/E/8Lzb6qHjX&#10;V4/xEWfi1cEr/D1hWvral0uZ1pX6TvLaMN8i3xZjHkz/Zh9W+MrSn4vqN/1sfW514p8Ht7Gn5tKv&#10;udxrch95Qey9cZ35PnQ08OryZUvVRg6fgxPwQnq7wRSVT1L36PwpusPLEst44onTXQ/JCUZunO4y&#10;jkeIfDBZZAHN2xPVOFb5Q+LYREdhj7wBAwZIDlT2X2p2Z5+9QGShGrf/YDAjat+QyD0S13qixL7s&#10;K3Frg3vV6lpf1uuNGj1G9qG8SftrIz4WsTezzy59Rbv0LHiCzTK9P/nN//jbiAOOi87UG+Zncn3g&#10;5+PdPjr72plNGd/Lfcg1YAd7YZkN0WwBcX5juG4fVvjKws/EfU0f3HHrzWoroJ/CfR++zqavM91D&#10;Pfh6lksuzHT8iuP7eAf4wUEMrPJ8Ch8ytTFcbt+NHXDtC2vdd+f9rxs9eqzGW1bLnrjkA9utfx93&#10;uGDJdMkDZrZWi+8K4q6Y41O6gczttr8Tdgdd8yu2DPIHcA+ywMwRg93AXnVu+AjJHyT9xVq0ZQ2N&#10;Gp8yTjBF9Re1aSKDpA6Nf0/ZZxRfwBjykRGXzzvlPp7Rg3VvoifJ+78tx34D+4ls1VPWzlYrRnXv&#10;3sPtt/9B7rZbb9fcAdYH4X7J5RqdGD9nHPQN12ljGZ8IsjRzgeobKZkhlza3dy/5KLCpwRPh9xfz&#10;2ocVvrJitcnmavIYMFdjR6UPC+WddDpQHxjF/BCn3Beej/ge8CMcg8rclN62TL/hQQ74hXvYD2n1&#10;M8+4+fPPlPiHcbIuRWR8sSuyx3bP2lo3SuwEBw0dJDmaRT4RbNA4kpC/pCX/j5RhN8XmYfYGvR42&#10;SNbk1LiJMobBO46777lX7R91dbWSpwcMATcCvAjiVASfUrbcIA9B3yAeHzurtoF40b5u8pC+sjZv&#10;kBtS38fVSh5pbCrkFamTtbOTjzjKXXPN9WL7eUPeGeh27F9bKA/EjR+GG9CcPPv4ErFPIGuavJmJ&#10;trmUwzPMQWAH+8gUa2z63uPDCl+Z79m4yuh/bCHE4xL/2ywyKbzDuGH85NLXme6lnkeXP6jyH7bN&#10;OL/F6gY7oDn6Gd9DG7LFD+6HJ5nLGMeaz1gwxH6ztu2Z1avdggWL3NQp33Z77LGn7I2NzUDyHIvd&#10;gH1Z+kk8ybD63hI30U98OQNV7zlGbCjHinxwgpxPkuNEOcjtceTQfrp2n+dOOeU0aa/YFrZuda++&#10;8or6Y2qk3v3Fj3q06Dj4lk8S7NFDsOg4kTOOEh1kkuxfvY/oIbuJjjVUbDYcdYJr1aL/dKvuruvw&#10;+vfv78aP30/ecaq76Zbb3Pp33lG9pJn+EZ2J7+S90NH2X8hE047K48YP+BZac17zfJAzijXl0Bia&#10;FYp/9n3wzUP3/1J9Sehrxl+lOPuwwldWrLaZLEBcKLYJMJx1C4wT+j8qGkAL26McP31c32c8Rf1g&#10;If5D1mTyHbnyFOPHnoGHGNM2prbK73dlHd76jcEeM+wX/QfZe2HWzNNd/wEDZbyCI7V6VHcVGaVL&#10;levSpYv6YruLbxj/cDXrz+Q+MKOmpkru+X+aZ/3qK6/RcWz2htGS86ha7JlVEptSm/KlEj+OT7Wr&#10;rN9BBiJ/O9e1NbWCN7XqgyYPEfspsNfM+H0nuOuuu0Gx4l0ZA5tlfzh0pM1bNuk3bJW5YuP6wCaK&#10;/ZF9XG385HuOGz9M/oDW6BboL6zLAD/g32znio6+Dx5gHiKXSdx7kXQ0LnxY4SvrqJ6o/g+PN+QN&#10;xpvlzYiSBoxf8glhH8dOa7jFOdyGKL+LtU18Dz4fw0F4oSN+4X+7j+fsoMzkYq4Zc+QkUlun4pPI&#10;J1LOuH/ogeXu2muucT/8wVnuhBOmuQMOmqQ2yUGDBru6ujq1N+BX6Spjv+fOdW6XYcPdvjLGWW/7&#10;pqzLAatoB+9eclmDO/CQw90Y0ZkCbAIz5JDnwY76vvVu0OChbu99JrjDJx/lTp89z51//kV63CIy&#10;xtq1a1u+gTqhM74UMJEYXJOt9DtT7wzwcntbczZ9Z/N/3PhhvPLpJ5+obY24LtpnuMH3ZNNe3z32&#10;LHU989tVyrfMf8a39u5in31Y4SsrZrsMUxnHQe7hK2TMvdCix/j6N58yaEJOOeyo0NzmD94bJV0M&#10;j7Dd4VcCP2iv8UQ+bc/nGXhPc7+n7Hk2ZokzAXP4vUXyjKlfVK+b1Z+h2KR4JDaQ1HgI7kG3CMY7&#10;dgo7AgyTNZAiS9iz+bQ3ymdoB/iBzStOXobWQZ7MIFey4Z5hSD7fBJ/Y8+jy7ImKLPvZZ5/FMtfl&#10;0j8+rPCV5VJnoffa2OVMnkFkNfzc+LijGnPUgzxDHBkyCDS3+BPab20o9FvCz5MbCvxYJ/uF27gy&#10;vsiHr/J9Bgzg+1vbIPY9szGk7JVgQfPGwC9qfcX7rP95lgNZAbxoewQ2T8YO/3Nfvm2N4jn7VnQK&#10;4n/DNInyGv4hzod4LlunAH3tyPdbeB7coB+RleFX5tM4eDTX/vBhha8s13rzvd/mapMFqMf6DPoz&#10;5vOlQ/g542nkf/RIZBB0bN7Pu60d+X6H7zl89dCemFcbh3YOty22a8EMG0v6/TquiaUIDnKc8j9Y&#10;wDX71fOf9RW6Bdccep9iUKB3WHn4P+y9dl9s34Sc1MEBjcGy5eKrjzt+nXkIO7nFrNv327mjtmb6&#10;n+dZw03dyFHwp/FoKXHEhxW+Mt94iKPM1xfIacwb0B4soS8z9XO25WC6yZbk5GBcIx/87W8ft5FD&#10;ovhGo7X5X4hdC78/2zYXeh/vbNt3QT8GYz/Q07kOZIbgN8/wXnvO8IFyrS/1H//bYe2kf+26lGeb&#10;c9CFkWWjoKnVAb8afcEp4luZj4I+bSt3WR/m2hc8F8jJQfwQz/N+e7e1pRRnH1b4ykrRNusjzqxR&#10;Ri6E/uQ4MF9uvjSxccAZ+z62TeQD6BQ1XYy/aDsHvnvGHuPLxmeuPJXc37HcYX1kfW344Zuj8uFv&#10;m//tDG7gL0QGAUvy5U1rt51pP3Y65jhi4sOyeT7tjvIZH1b4yqJ8Z651QR/2rYU+jL8Vv36shTb5&#10;0oixCwYZjVY8/qjaJsAR+CsOGiE/gVHoLwluZD/+jUb5nqEzMkiwHqXJkRM9Vx703Q+fGBZh04K+&#10;yMnkofDJH/m2n/mNuRNsgt8Nr3xtKnaZDyt8ZcVuV/h90AjbFGMa3Q89oDllT8qXJjwHLRjH0Bo8&#10;AZ+wb6JnGl+E21HINW2Hv2j722+92ebdhXxD8mzHOASdoa/NEfjaCqFl+FnGMrnzWuY2mYfgKeOr&#10;KOjz/OpnVfbA/ldO2EE/+LDCVxbus2JeM47pMxvP2J2RQehT+IKxnw+NbP6Hr3ie38wbxLziH8Pm&#10;EuV3wrNgB/hk76T9HPm0P3mmY9ywPrI+Jh4RDEceiYK2xpfwJLTFP295r+BL4zFrR77nIId7k/rS&#10;E/z4b160M32C3HOMQXI62TjMly7h5wyHwCV4bPXTv9V2Gn7Bb4XQjnaDe7Q9/N7kOnscyLevDD/I&#10;PQsNkF2jwg9kD9ZQMefAj8aThc4N2E/4XviS2AX0IsOrKNoeVR0+WcNXFtX78q3H+o4za7CJA4ra&#10;RmX0QhbFn8u6GN5n2MV1vu3Hl2k+nnzHQfJcfliD7QNZgLUo4Af2p3zpGH6OuQU/LXWuWrmijc0j&#10;X/wwuYXn7Rqfju3ZHJ7Pwm0p1bUPK3xlpWqfjVnOHMSmsscndkjGk80tUYwt5g5oxl4LjHVkENOb&#10;rB259oM9hw0MuYa5JIq2JnVkjyVgBxhifnpsnbnS0Xc/84rZPUzuKJQuhhnUQ53ISsis+AysDcaT&#10;9ruUZx9W+MpK1UbGH/0VlgHwjzG+sUMWSi97HlpxwGusr0deRJ+1WPpCaMY3YFthnrpbcnHbO5Nz&#10;9hhQSF8hp4If5NuBb7CPR8HPzAmMbWQD+CZfmSP926iLMrAEWQm+IX6BMWDzURTtj6IOH1b4yqJ4&#10;V1R1mL3K1pGk938+v43+FjPJXiHwBvKp0S1f2vGc8S62sHzalzxTGNYwtplvTK40XsyFpnavnW3t&#10;FPGAzD1R4Ad12DwGzcE68MPWiNu7rf2lPvuwwldW6naG389cjr2bdYj0d1Rjy3iAM3IjsSDonv/6&#10;17/ynq+gN4flW8WHGFV7k3qywxR4hLmcXBmMRVtvDV2ylStt3NqZtdvEZJCTORxHVChNrK3UwzU6&#10;NPMY8hPvtveHx0Mpr31Y4SsrZRvT302OdvqUvI/wRaE0s+eRQZB1TX5kfTR2FnJIFUI7njUfPjY8&#10;e19yzm78F9pPjEOzoTIfkLML3Mh1LBoPEIuEbouOCyZFyYO0Ff5jDuO74XF43WJWaEO2mJc+buL4&#10;7cMKX1kc7863TvoP2hFPExXtoJvKHSlbPbSjjHg15hlk1ELaazYbYtcLHQ/J87nhDnQ0euK3Y21s&#10;rvhh45bnzI/DvGL12juioI3NX9QJj+MLNOzKlwfjes6HFb6yuN6fT73QEN0CPjA/eaF0QwYFP0wW&#10;BZegY7Dv9VKVe/Pdtwz7SbCGOIgBKrStyfO54Qf9BZ9AX+YDZId8+Y7nsIETS05uMcY4vIJ8ExVd&#10;jPeomxzu5PoI41c+bY/rGR9W+Mrien8+9YIf5HYiVtSwOirapdeDfIqsgx5DTkvoSJtpQ7Zt5xn0&#10;ZOqIu73p7U9+B1hDvzMug72F2s7nRtP26Mk9HKyvBDuIIYijb02OUX1LMA//MHZaa6Od22trMf/z&#10;YYWvrJht6uhd9CF7maJXwBNx0JE6qRt55Llnn1G7PbozthejYTYYYr4b9gdj3kvwI3fZIQr6QkvG&#10;JnHL2FBZj2l8ZvS035nOxKbjv4Hv8KtG0S5fHchKtJUzPEf+zkxtKnW5Dyt8ZaVuZ/j90Nvs0nHa&#10;E5B3oWPzhvWOtd/YsSyOJ1ueo93ci77FPOLjl6QsXkyBhkZL9gOBjswLRptsaMlcYWs3l0seojjn&#10;AXCD+gN/UWMLz4XHQLlc+7DCV1Yu7TWar/3zn3Qu4BzX+IPvbN6C/4gdJac29IXnsuE7u4c5jzij&#10;uNqa1JsZgxiLNt4t5z4xgmAC8mFHvA0NX/3LOpVb0JnD+/dE3e+00/gOGYc4BWxwxvfGTx21uVj/&#10;+7DCV1as9mT7nkCWlL4V3SJqGmaqjxgecAB5Et6DltnQk3wTzHmPPfxQ0dqa6Rs6YzlzAHGBnNdJ&#10;7Do0ZN7piHaGLdjNbV22ybuM8Tj7kvqJj4RvXn5xbQvGZaMzZzuGorjPhxW+sijeFWUd0A5dtJjx&#10;WMwNwXqHRs1zmA0tueejDz9Q2ym6T5w8l9Ttl0FsrCNDMv6bGpa0rG0yjEjnTZsbWF/Lfl9gDjZw&#10;ZE9wiCOO/jbZg7otZyH59qx92fCc3VuMsw8rfGXFaEsu7yAmFNkOe1gcdPTVCf/ZvmJPrXgiK9mX&#10;b8LPh+8Fm02Ufj5fG5Oy7TEE3G/eEMR50f9hOxaxYJnkEMYq/+GzAT8Yx9a/pg/Z76jO1Gv4RL4S&#10;3stvGxuZ2mr/F/vswwpfWbHblc37sE0TXxMV7Tqqh7kB+mIHBbuQicPzVybaBjJzsG6ro3ck/28/&#10;/gvtE5M/7IwuAt/AY9DMRzcrR/bQOHWxmTJ/WHxQXPhBG+1A30XGDvv8shkXxbzHhxW+smK2KZt3&#10;QV90CQ7w2XiDs/3mDJ3tvyj4kLrAA/CDGADmL5unMrUbmx33v/bKXyJrS6Hf0pmeh2YcNubhGXzp&#10;8BD4b/gBLaGhYQd05T7iP1l7p/wk+kshfZcNP6r/Rd6DnQ35IzxHZeKxUpX7sMJXVqr2ZXovNGYP&#10;Yfwh7K2o/CF9zhwR8EngP0debd6wviCaG79QL/XxLnwp8FVYj8lE53DsKbxh9SXn6GUNX59CL/iC&#10;MxgA7iNTGF6E8Z9reA7+Yp03sWJx2NgUI1K6StCuIPfMJvbckX124FnDuUxjoBzKfVjhKyuHtlob&#10;bH5AP0SXRS9Vu4Lwh/KKjHH4ZIPsIa37xkc0Zqnb7Ge8E/yAD1mbT5usfeEz5WANupbxr4/Hk7J4&#10;sQR+oP/hE/AcXGBvQ+MlO0M75oFPPvmHxo2TlxDa8HxUNGL/P9phe4Gy1x/7/+k7UhjHXuLwzAO/&#10;vM/LV2EeK+W1Dyt8ZaVsY/q7bY4IciM0uqeeXJHaQ22DO++8C9zpp891d/70Z+69LRslBucdOaJZ&#10;mwD/GYaAI+DCkksu1vUQtCmT/EHcETkX4Q9yD0TFh0k92WOO0Q45hHgK7NmUwVsmf4QxBPsI+eKe&#10;eOwRjeMy3afQPlf5WHgH/CD/EPUSJ0a9zcKntAl+pQyd94nHHk3wQ2iUjgGF/obmyADYl6B1U9NV&#10;bpddRug+8FVVO+l+8kOGDnPHHT9d/OcvRTZmwQAO6GwxRbQBfoD/fN9Fft2f/fh2lV14rlAeTJ7P&#10;Hjesr8J6IzmhwAbLyROmGTQkbov/w3HqUdENmcP45777HnDTpp/qRowc5ep69XYjdx3tZs+e5156&#10;6WVHfhHaYLFj4TaW07VP1vCVlVObdZ74+hv3/vvvu8sWX+zGjd3dVXetdjv3rHOHHHKo+/a3j3Xj&#10;993P7bxzTynv5gYPGuLuuvMepRtyIvvNb5W94Y238j3Dk8hAzBOs50P+ANdsPqPPiB9Ax8JWY3NP&#10;vu9LniucZvQhuA9NyAkIjUzugG7QkDX+YAexAeBGvrIHegn6M3jB/EI9m5o3uTWCX3vuva/Mcd30&#10;6Nu3vxszZqzr3bte+LXG9RQ+PnXGacpXr76yzjsnlct49GGFr6xc2ks7jM5ffrnN7bnnPq6qS5Ub&#10;MHCwW7TgXI0NurKpUfijSfC7wU2dOtXV9qh1tbW1bumSpW4z9tWI7CHwInyBjAs/Ei9I24wn4cWP&#10;P/pQdW1yRUQ1hyU4UhiOgOP4NcglaTKjYf4ff79G531sl+gQ0CxfumELVV6TOvD7wiuPPvKoGzBg&#10;gOBEV5GXR7pTTp7hrhLeufqKRuXdyZO/5bp06eKqq6vdSSdOl32I/p3gR8T6i80X33z9pTvo4Emu&#10;e/fubsKEia5p2VJ3tei1zB2MZ/QKZMDvfe8MwfbeiiM333RTSt8sXI/QuUmwCD2WHA3Y2sLrOsER&#10;YseQT4gdg2+TsV/Y2I+q/8jJgMwYnheJSYSG+GyxUwXyQgHzTUruAIeo69GHH5Z5bpDrKthx0okn&#10;qn0UHINPsccYz86bM9tVd+vqdh+3Vwu+hdtZTtc+WcNXVk5tBj9svrjwwksEy7u4Pn366jiFBlcK&#10;ZhgtGLvQ56wf/MDV1dWpTrP0soa8ZdJ0/jVMQBbmPfhzydluukywzi9Yb6F4I3yUXkfyu/iYgj0K&#10;u5TNRdCL9QWMY2KM0TmgC2fGvv3OhVbQGx1mU3Ow7mbY8JGue003N336Ke5KwQ3mO3jGMCTg1SZ3&#10;6GFHiPzR1X133nzhc79NrVzGow8rfGXl0l5rh2HIs8+udrUif3QTee+CRQsUOwKaQJfw0eSOPPJo&#10;17Wqq6upqXF333mnypNbtzS7j8WPB41z4Q27l7WYyKYczF343MIyCLiCrxBbL/yEPGLPJufi4wZ9&#10;rnrE8geVP0wXZr9Sxi+xqflghY+WmzfhT9ni3n3rbTfjlBkid3Rxe+41QXWVVtxAzw5kZXDkyqYG&#10;11PmuW7dqt11197ovolYdrfxE9XZhxW+sqjeF0U9hh3MGdu++MKNHjVGaFMtdtPjpP9b8bwNfohc&#10;wrqpoeKjqelW40bvtrvG6CA/wE9bha98PNBeGfNSMMcE+28Tj3K5zCmse6JtxCdRBl+i41BXlLaX&#10;9tqW/JeZntANezZ0IQYEniS/NXov+3bwfxT9p7whNL/+uhvFv1InMnK9u+D8RTLHNbTMbWAH7UBe&#10;RvaZO3uOznHo5FtEdjF7WhTjJo46fFjhK4vj3fnWCX6E48afeOwxsW30cCPFD3aV4Af0aIMdIodc&#10;e1WA8xect0htrd3E9j1t+gyxp4qNXGicrz/G9ouB38AhbPfIIMgbtBPbKvOK4UxUvBkFf3fWOqAB&#10;ugo8gjwItkMj7B7QMLp+2eyuvOIq1UXgt5nfmam2Ut4FVgTyBvgR2D6woU6ceICrEhl5v4kHum++&#10;Fn/eV9nnycx3PBXynA8rfGWFvCPqZ832wRxP3V9/9V83Yb/91aa96NxzvPhxecNSpVmTnFUOGTpc&#10;ZMTu7qc//qnaNfORP8AE+A0ZBv0FuXed5pfA/7PMsV8zaxgs9tQwJjr+zDzHJu9ov2+wZzN+sYEw&#10;32BPBfObsXVG5J976cUX3cBBg0W/rnEHHHBwii+bFC/gQfDL7HS0ZdmSS13fvv3E/1LlLrlkmeCH&#10;rK1K8KONjTsKLDH9xerCxnR50xVi1+jmJk8+QukCviMbBvSBZsgkwcH1D8/8vvh0RWYZMdKtf4e1&#10;UcF+o4w75iewIdsxCL+BHTzDNT5Ak0exfWDnN57Mpd5s35/c1z5WpPcPtOIgJhh7B/QBO7gP2vNf&#10;+jPZ/OZZfLY8z5wyZepxga48eqxruOwS9Q0GcnEgH6MvwYvKKyKDfOe076jftl7iQT784H3RgSW3&#10;QCoewHi93M4+WcNXVk7tTvAjt/GSDe93pnsS/IguHtyHFb6ycsKP9LZ8KRiNHQz7FP51kzvAdju2&#10;t4dc4SZNOlT8aTUaM7xZ1jxarKCd8x1TyBjo1NhOWfti+3wjg0SrXyc4kg+NwA9oxLpai/PIp570&#10;Z4jz0DLxufzinnslVqCHGyJ6MjyIHNrqZ2n1C2Lvx+bOf3vuua/aTm+9+Raxm6Z089Q5nefL5bcP&#10;K3xl5dJeXzu+UhvI1+7AAw8Wm0Y398MfnKn0MhtVOnYEemejrH27SONB6vv2E35qVlsa45s1Ci28&#10;INfpfNLRb+RY8Iz7sNPx257JVza255Nz7vRI7zPDD/xk5CQshNbhujdtSuV3ELof8a2jRZ/urn7b&#10;xqVLBEMCfXp7XgzmOHSY2h47uyFDdnFfffmF6PxBXiPDER/fl0OZDyt8ZeXQ1kxt+GLbNo2zuezS&#10;pWK7rnJHHHGk6pRgug/zoSFzAucJE/ZX3+/5sm4XHwzzEror66fDvJHtNc+CF+AQsSHEk2l9KRxK&#10;7B+Fj/9saZHpPqMBMiL2U3JxZ7o3l/LAhi7rW55/XtZi9XT9BwwW/gtki0x8aOXfnfdd4d1qN23a&#10;KSp7lHvch41FH1b4yuz+sjx/85XYmr5xf/vofVdfjw4zRLEB2mSSQYxuyCB1db1kTcIg9+LaP7dg&#10;iPFYLvzDvegozG/wEnuNsJYz37pyfXdyf3bYZPQA18lPGFUO3U0bg9wMRx01Ve2murZF5qgrRLa4&#10;SuarwJbfqrvYPIYOs5foLsRArlq5UmM+8DGqnzGJP43c/5KOYWpPFT/XN9/81x1//DTRIavElj1T&#10;/LRLJU64Lb1MfjRaQrtjjpmi8X5DdxkuGPKijv9C9Az4k7gCzdcd0l2S8Z3d+I67nww/eA/X6DHY&#10;QliXS1m2tA9kzVTeH3luk/jwnnxihazHqnHDxa8X+Pv8/Gd8yD2XXHyRxkTvscde7kvh4XT+Luff&#10;PlnDV1bO30DbwOqvBENWrXxScLybrj2CNsEag0BXaaVZW5pevmyJ69d/gK7jnTVrbkp3abVZ5MLP&#10;7NXx9G9WaU4h5rYwr+ZST3JvvFgDRpieSV/jv2WtAfEf2dLMnsdeFuguG923jpyiWDBr5sx21lK0&#10;5T/WVZB/4rJLl7ivJeaw3MdauH0+rPCVhZ8pt2uLsSEmFX/5uHF7ix+9mztj/vfUbpVpHjDfDLLI&#10;iSecpLbvul693EuCAZs25rdW9oU//dGte/kltX9ky4cJVsSLFen9y7hHz1T5Qc785hqbFdfp92f8&#10;LbILOGQ29xuvu1bk2Bo3bPiuqj9nmq/C5ejXAyX3RO/efVpi6cttfLXXHh9W+Mraq6Mc/kP2sLiQ&#10;88+7UGL4dhL71UDVOYM1MW0xX/1mug4h8K0Ry1PXq15iyrq7RYsuaIn3ysg7Mudk+g9eZD4CP7jO&#10;dF9SnrkP4+ybTDhhe9Rlq7+AQdjZuf+NN95wO4v/hDwzxx57vOou5J8JY4Xvev78M9RneOCBh8ia&#10;jCD/VDmMp2zb4MMKX1m29ZXiPtbLo7/wbjBkzXPPuxrRQVnDOHfOHPXlbk87W/cY6DbIIP93xnyJ&#10;Na51e+8zXsZ+6/ptcMCOjvjaZA6bx+x3R88l/xcPS6CJYYTR1ehl52zoQR2bN+Fv2+oWLbxAbKbd&#10;xO+ys8QFLFb/ntno2/Jeqx2VuI/DDpusci/x08bDpRhD+b7ThxW+snzrL9Vz48fvJzpMldt99z1C&#10;ccNtZZAwXc2euvfe43W908033dqiB6Pf5qIXZ8N7yT3Fw4u4+trWTMEbu+02VuWIQySfFbFiAT/5&#10;7G6UBeUNly52/fsPlLjHvu6zf/9L5z7mv1KNmXze68MKX1k+dZfymTtuv0NtIDU1te68hed2KEcy&#10;V7CGasE5ZysfTJT1TltkfkEPyWVOiotXk3rLD2/QTeGNG66/QWOI6ur6uAvPX5jiNR92BPNXEHu0&#10;TOx0e8lz3dysWXNE9mjdx6qU4ybXd/uwwleWa72lvJ94VPKCHHboZJUp99//wA7xg/nC1tyNG7eH&#10;+nDuv1/21hX5lPkFGSSxZZTfGC49rm524/ebqPwyb+485bPLxe5BvGlYvg1fgx+s5d9ppy6uh9hM&#10;iDuyfDGVpsP4sMJXVko8yPXd+MCwp763dZMbJOune0hukIbLLk3zxaTND4If2FQ5zvje99R2wvpJ&#10;crV/9OH7CXa0Yy8u/RguDa5hO3nggYc05nkvyeMd2Olb7Rump4Sxw2Ia0XfIkXz44d8SXg3sd5Wm&#10;uzAufVjhK8t1DJf6fsPxE8Qvi11rhuTDh47MDdDVZxtHBlEMkXvwp5Ene+sW/HzBmphE/ijNOC1X&#10;fGLdzPz5Z2q84jTJaRrGiczXTe5SiRcjvxh5lBuWNqq9g9gDZJBKwxAfVvjKSo0HubzfsIPzXXfe&#10;JbJEje7zYHnjmAPMXro9nQVbxP61r+wfQ0zPQw88qD46fH7lysdJu0qDa/hfxooNAx0ETNiel3z2&#10;+iZ30knT1e7BmomPPnhP/S6Vhhs2Hn1Y4Suz+yvhDC04wI9t2z53u40Zp2shz5f8yuieYEdgw2pL&#10;X5NN+H+u6LLILaeccqr6+j784IMEPxIdpg0PLH9oudo99tlnQpbYwVr9JW6XYSNE/thZYt2fENkD&#10;XTtYq48MUgnjK9xGH1b4ysLPlPs1uAF+/EfyN3HduOxyzW14gNhRA7kjzfYheg16S+CvD+JC2AOi&#10;XvKJjJB1DNhO178b5D9O5vrSzPXl2O/Tpp8m+NHVzZs7N2v8wMbK3gxHH32s7E0odg+xIdh4qkQZ&#10;xIcVvjL7xko5QwviymjvPz/91A0evIvk+qiV/S4vEqwAP7bHkHT5c8J41vZ3kRweK2XeCWKcy5GP&#10;kzbFj2kWc9YsOssmjRtrln1RB0uM8wDFjmDuaSvPMlcRC8KeZoHc2+jGqN20m/DUkzq3IX9Uypjy&#10;tdOHFb4y37PlXoZciPxBO6eddLJgAXsCTlM5Q9dUZ1ibazjCfhDkVF188ZLAhyt8k4zV+MdqOfYx&#10;tnMwZIvkFiPm47FHH9f1lux7GPhUrsgsg4jO3Cj5kpctuUztHuzz/uWX/0nZShP8KGccAT84Hlku&#10;uqrYUcfuPk7jPAI9pu18YbhhZ/KY4WM7+eTT1AaCHlOOvJ20qXh0QfZg3csFFyzW+ETWupicYXwT&#10;Ppu9jdii4487QfRo4sXmVrTMER7vPlnDVxZ+phKu0V1Mn1RdRmxTxKZXVXVxJ08/2Ws/DdOda/iC&#10;9bjkZfir5CaDd5KxWryxWlZ9LbTHB8c+hX/dutlNOvRwxY/FF12YWe4QHRm7Gnlo2CN74KAhGov0&#10;+muv6zp9k40rYTxlaqMPK3xlmZ6vlHJyC91+m8S0y77E3WWN3Llnn6U2EJ8fxnDkCqH9WPHd9JA1&#10;lW+9IXuD5LnHZVmNg0SGymsOYK0Lcgdr5bbIvpTk6h4mfhTjFd8Z3tK1MGKLnzVzlsaZTZlynMY2&#10;BjGOrfp1pYyj9Hb6sMJXlv5cpf1GBtn2xedu1Ogxur5lwvhAb4W+rN3H3+LjgUmHHKo29mUNTeqH&#10;SbCgc8ofxHpg9yBf+/2//JX6bQ+UNVJBHKLfFo/8iq0e/iIfGfsuP/vMatWnTTautHGU3l4fVvjK&#10;0p+rtN/QC3mxoaFR4gWrde+oiy5YpDpKgBt+Hph20jSNI5ska2kS/aVzYgdzBvZT8IP1lAsXnq9r&#10;7mfMOFVtp7b/5Hbzj+DHNbIO5jixkZDP6pBDDlMehA8NP+xcaePJ2uvDCl+Z3V+pZ2jGmpi///1v&#10;rm+/gToXHH30MSpzWNxYOv2xq6u/Xvw2/SVW0HJGJDJI58MR9b0IjnCeMWOm+FG6ugXnnusCP55/&#10;7kE2WSJr9Ku6VOv9DSLDWoy64YbFjlXquPJhha+sUr/P2m2+XDDkmquvVr/s8OHkuMUHk4n+y9yi&#10;Beeq/ME66y2bE/tpZ8VOZA9kkE2ynvKQSYfr+hWN7RAbhy/2A74CW6ZOPVbsHl1d7z69df6BH03+&#10;MAwxHq3Esw8rfGWV+G3hNhvNTA45VPSRrl2r3BzJTwb9ifFJlz/AFWzn+HCZb36zalVetrfOOuZ2&#10;pO8mzxixH5zHjh0n+1z39/JLK5YEazS5j5yYM2fOcV+V+V5y4fGS7bUPK3xl2dZXzveBHYYjKx5/&#10;XONBRowYHbKBpMeDCA/IHMI6OuaQBD86n97SgoH47kV3IZ8De8SNGOnPkYzNlFgPzieccKLqyfX1&#10;/XRviErXVXxj24cVvjLfs5VUZnqnyR/sbT5x/4MUQ+bOmZ3B/xLgB/v6IH+sSuSPTit/4b9lf5eN&#10;G951dT3rRAbZfTv54+orgpgh/LZXX068x2DJh9rLPfCrX+m+AF9/3brWpZLGTntt9WGFr6y9Oirh&#10;P3RNDlvjyLqlR5Y/rGtskUf9NpAg7hj5I8GPTix7CHaQy3KzyB/ko+sqsuhuu43ZDj/YqzLwxTS6&#10;6RKjaOvktn0h67C+wX5feetrOxrbPqzwlXVUT6X9/7XS8ys3XPbqYM/tSyWOkPyn6K924JdZcM45&#10;wgdVih9vvflGp51/W+R4xlInPIgdUxlkw9tuMPqLxHNgP8VmRh51dJZrriTelKNB4g7Jp9zd3XXX&#10;PYodO4Kt1DfGfVjhK/M9W8ll0BNfzBnzv6++mKOOOsaxTzp6K7IIMijX8+Z+V/igq/KM+fA64/jp&#10;7N8M7XWfqOZ3BTtGydrbIYHMKjxiPMOZePULzluocepDhg53n/z94x0m1sM33n1Y4SvzPVvJZcSz&#10;fyN7EyOXkquwrldvt+yyxWIHadC5xPxv5GDG/jF79rwk/qMTyh2Gmxp/KjLIZlkDc+BBxCRXu6WX&#10;XpLCjla7O/gxadKh6rNbfPElqi+T5yORP3Ys20/ghwniAOfNmy8yRrUbNHioyCCXtui1yCPsz9Ff&#10;9sZ97dVXNP7Q+Ck5dy49Bv3F1vCft+hCxY8pU76t6+IC21kgry655GLNZzhk6DDJO/NP9ffZvnI7&#10;Iob4ZA1fWSXLGpna/rXYs/DLfPDeX3UPUuJBDj98ciCXig5zuOwNxpqFmTNP17hl1l4muNG5cMPo&#10;jfwR6DAb3YsvvODq6/vKvDJIZJDFKX7B99LgDpXYMuKFFpyzsGWNvvn+MvFhJZf7sMJXVsnf2F7b&#10;AzvIV+7M7/9Q10Sx/+APz/y+Y21UjeQLGT16d/fOW6+7DevXC3aI/b0Ty/Cd+duxneoeQLKvOmtw&#10;zz57gfpXyGWKvYP1lwvPOUty3NWpvPr3jz9wtq97e/xX6f/5sMJXVunf6Ws/2LFt2zadJ956/XWR&#10;O+tkT5+dBDe6y/l/5Khy9993f2reeVfs74n80VkxhLhT9BfWz+k6qOb1btSoYC13z7qekt9uutt1&#10;5GiNM5w27WSxd4i/dgeM90gfRz6s8JWlP7cj/Da5Ehwh39DCBYt0XUN1dY3696+79vpgzYPwTfOG&#10;9YIjnVN276yYEf5utZ/KGphmkT/QYzYLT6xaucrtPm5vzeuBzrLT/+wk8kdP98Svf622eWz0O8I4&#10;ae8bfFjhK2uvjkr9z3QXzvhiiO85b9FCd/6iRe7tt99SfQWZA9yAb1hDFeap5Lpz4Sl6i66hE+zY&#10;KmthNokMwvm2W3+se6WOGTPWHSc5CuEj7POVOi5yabcPK3xludRZqfeCI2+/9abGfix/8P4WvGC+&#10;0fgh4g8T+0fSBykesJiQd2SuIUcQcYdvvv5aC3bAT5U6FrJttw8rfGXZ1lep96HLWNt/cfedalMn&#10;3hS9Bcyw9dsJfnQumaM9eptP5oFf3qtzznPPPK08ZLhhZ+OrHfHswwpf2Y747eFvgta2NoZ5hVjC&#10;n9/1M8UNsIOy9ngp+a/z4Qp8QVwQsYb33nOXYofNQ4n+suPbftLxg99G/7t/9hOVR9947dUW2SOx&#10;f3Q+jOhoXnjo/l+K7nKle1345D//2dYSZ9oZZA/Gi0/W8JWFx9qOfM28gRzy8otrVYd57JHl6q8z&#10;WbUjfkr+3zExxvwvnLGhQucN6991N91wnbvt5h8pdqSPi86AIT6s8JWl982O+NtkTmQQaI8Mwppc&#10;ZBC1oSb+l06rw0F/DrADWzo48shDD6ieiw6zI46HbL7JhxW+smzqquR7bK4IYwj8whpt7CCJXLFj&#10;yhXZ0tV0VzsH8mmju+/nd7fYzSqZ//Ntuw8rfGX51l9Jz5ntgzaDIxxPPfmE2kHAEJNbs+W55L4d&#10;C3N0/b7IHZxv+dEN7vprrnIfffhBG59LJfF7FG31YYWvLIp3lXsdJoPQTrv+/PPP3Y+uv1ZtIdjK&#10;TI8BS0ymBSfC1wluVD5uEKcOHZE3wravjeLP/9W9P1d++P3vnlc+MV4pd/6Oo30+rPCVxfHucq/T&#10;7CAv/OmPKoOQY2rdyy8pX3380Yctvl34DH5L5JPKx4107De7KeXEFmIrhQ84wx/m8ze9t9x5Our2&#10;+bDCVxb1eyuhPptXWBvz5K8fVwxBbsVXhwyLzMEZ3krkjx0LO6AndDU5k1jCn95xm8aZYlOn3OYX&#10;+MR4pRL4Oso2+rDCVxblOyulrjB/ML+8+pd1yj/oM8Qawl/It4Ydifyx42CI6SzQ9rdPrWyJT3/s&#10;4YfU5hGWNxL8aBsrluBH0B/wBRgC3sEv/AYjbr7xeo05vOunP3Z/+sPvW+QPs82DK8lR2X0AbkDb&#10;22+5SeXOH992i8Z7GB/Y2bAjjCeVMj9G0U4fVvjKonjXjlAHfPLvf//bPbXiCbWhEed+6003umef&#10;/k2LrGsyLxjCPMbZ5GH7neBLcfHFZET6H/pYDAfl2K448x9r4ZAxgjmiSeUOZE2zc+wIPBzlN/iw&#10;wlcW5TsruS7mGzCEA5574rFHNMaMHJjY1PD3hnkV3jT+pBy+TbCjuNhhfQ4+mL4ZxnausYvjVyHv&#10;PrTExrFq5QrJYfppi+xZyXwbV9t9WOEri+v9lVSv6TJ2trZ/8sk/dL7CLg/vsZYbecR4lDhnruHj&#10;5g3Bel5+J0dx+gDMoO/BcaVDKo4Y2ze2cNZbI0cGe9c2uV8/+nCLzmo0Zt6w6+Tcau/wYYWvLOmz&#10;VpuI6bzGU+DJtm1fuD+s+Z3KIPAh/HjjddeoLGw+X+QP4+EEO4qDHfQzcofKfoIb6C7k6Hj6N6vc&#10;T26/tWWfH+SOR5c/KPtTrm/xpZisafROxkArblhf+LDCV2b3d/azYYad0/sDLMHXhx6Dvw+ZhBj4&#10;O2692T0sOYnWPL9a+Rd+Nnma+ZFrO8wOa3yfYE0r1tBv1h+GCeHfdm19yW9kjN89t9qxFhLMYL09&#10;B340cnes/fOf1KaVTkt+Z6Kz797OWObDCl9ZZ+ybfL4ZfjP7CGfmO/x/2EbQbUxGxuZ6/32/0P/g&#10;X3QcHQ/oOKnYEsbA+++9p+U2Ljr72XDX+or+pU8Mg+kvbKDP/HaVwz+GHQOssP0EWS+74vFHFeM/&#10;++wz1UnS9dF86N5Zn/Fhha+ss/ZPrt8Nfhg/GpZQB1jyt48/cuteerFFNsFOEsyF2OwaVV4Ba8AS&#10;Gw+MD8ZKZ8eN8PcbhmBLAmP5jzN+kjt/ckdLrAb6IxhN+SvrXnbEDKfTM5EvttdJ0vuovd8+rPCV&#10;tVdH8l8rDcCJcH/An3ZQDrZwD2WsrWEM/PH3a9yDv7ovtc6m0V139ZUqa6MHme8mPH468zV2UNNN&#10;Pnj/Pb1e/fRvNU4DmxP6Imsd33zjde1n/K7W/5yhgfV/mE7JdSsP59IXPqzwleVSZ2e/F4yAV318&#10;anEEdqavuI8DPGE9eODHaVTZ2+JKOjNmpH+7rRnA1hnkqm0UG9NSld/eFd3F+tT4kL61/jbZkP/C&#10;13Zvcs4NR3xY4StL+jW3fs2lv+Bv7oef4XPy0fx/9s5nRWogCON5AvHgM4vsPIOICp5E8KSoeFJE&#10;cfGwixd3Z9m7e1lfwPw6+0E7lEl62XRnhm+g6UwlJOn686WqutLBDx9qEY46ah+/f/ua4pgollG+&#10;ddfODuE/4yWGY4yKW8CIPKdEnEJ+lPeU5GOU8N/H3l63I6yIaObx7Xk8xbtc53PfhfiF+QHyJPjm&#10;YAq5VsU02JXi/0PAimgMOV7ib7x/+yatuwFPWHcU3MBvE4/lZ+i/++X0Ft5GWBHRLIdl5bDLX3wS&#10;4cqf6+uUc8VmmAsmxvl5epKeyfI9cjuL7HCfaYzxy+dPqUYPn4y5cN5NUW0ovAN35cft8tL/l9Pd&#10;CCsimmWwnAxy3ipvAk1xOzTa1dXvtOYm88A05ifJveKH7DM+jN37ST9vQs2G6vEYr+IU5S+EG8Lb&#10;nJ/eXlZvI6yIaJbDsnKY4q9sA1shf0jecMizblJcw9oCqhvBHnlmE9uoH7PRVvt0b/hObHP/umdq&#10;eYnXGCM+B++i4IdN8cn76+pphBURzXKpK5ddfoMbYAjPXu37cXyccgH4IptHDzvWScMOyY+QK9B7&#10;Y/zXnEUrrIium7Cin4/lPpUbpSfHQT0MtXY0ajeEnxq7+7b6KP5HWBHRdLz7NnLDfuSvsy2fnZo0&#10;3jcHQ3hO800BfH5wRPlV+jXmR8APGtgCvp2f/UrvwBKrgB98g/iyx0F0jjEbQ9ro3pjNR1gR0cbO&#10;4X3Ly1W2k2OHfBJ6bJC6qSE3cpS2mQeGrud75AO0pIEd+EbU2+JzUDdHjph1qlUrKpxUb11bXtdK&#10;eBxhRUQrOaePvXsZy35yHMn5DJ1GHoT5maF2ZNO9fvWy256fpec7PknCk5u+pk+Cf6EYCtzg2vhF&#10;w/cfqeMf5lWYs9ZcisakcYoH+u/+7vWslKcRVkS00vP6+Pqyxd5U/wBOqJZV39CT/bKvJnZwLcUq&#10;bKdc6cU21YsSq7BGIO8l/w83rEv1dWkuzyOsiGhzz+fj2shaz2phCD2yIPdITPDsyeN/MEO51Vrx&#10;C7gh7OCaHz+8Sz4S63Bwn2AH2KdxQLO/0UaXSmw4woqIVnJOH9tG7sIM8R+bhMZ3fIkPmK/BD+D5&#10;L3uugR9ci/kgGttck5pzcC2fT+K+jRltdEc6U9pHWBHRSs/r4+vqgbAD+6PxX7bIfAz5EOIE5R7U&#10;18CPFK/c5D/Y5nvk4Bnr+ShmQV+4ZzWNwXpUV49K+R1hRUQrPa+Pby93YQjPeOY2yDWAJWAGdlwD&#10;O3Qt4iXFTKzfw/ws8y65ngjvcpq32+vRmAwirIhoY+fwvnXKGPxQPpW1xXl3hu9OqC5EscTSOJLH&#10;L1z7xfOnCc90b9yndWidOjQllwgrItrUebx/ffJXLEBPnpJacHBE+Q/FMNj3kg18urzYpsb6grw3&#10;y7pg8jeIYaw/69OfOTKJsAKam3lgHbAOzNGBOTjjY/bz+WC5WW7WAeuAdcA6YB2wDlgHrAOHqgP3&#10;uq570Dd+9/vG9l8AAAD//wMAUEsDBBQABgAIAAAAIQDtwSOl3wAAAAkBAAAPAAAAZHJzL2Rvd25y&#10;ZXYueG1sTI9BS8NAEIXvgv9hGcGb3aS1GmM2pRT1VARbQbxNk2kSmp0N2W2S/nvHk56Gx/d48162&#10;mmyrBup949hAPItAEReubLgy8Ll/vUtA+YBcYuuYDFzIwyq/vsowLd3IHzTsQqUkhH2KBuoQulRr&#10;X9Rk0c9cRyzs6HqLQWRf6bLHUcJtq+dR9KAtNiwfauxoU1Nx2p2tgbcRx/Uifhm2p+Pm8r1fvn9t&#10;YzLm9mZaP4MKNIU/M/zWl+qQS6eDO3PpVSs6eRSngXkkV/jiPolBHQwsn4ToPNP/F+Q/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D/8J69QAQAAO8MAAAOAAAAAAAA&#10;AAAAAAAAADwCAABkcnMvZTJvRG9jLnhtbFBLAQItABQABgAIAAAAIQDjp8k86usAALifBwAUAAAA&#10;AAAAAAAAAAAAAKgGAABkcnMvbWVkaWEvaW1hZ2UxLmVtZlBLAQItABQABgAIAAAAIQDtwSOl3wAA&#10;AAkBAAAPAAAAAAAAAAAAAAAAAMTyAABkcnMvZG93bnJldi54bWxQSwECLQAUAAYACAAAACEAjiIJ&#10;QroAAAAhAQAAGQAAAAAAAAAAAAAAAADQ8wAAZHJzL19yZWxzL2Uyb0RvYy54bWwucmVsc1BLBQYA&#10;AAAABgAGAHwBAADB9AAAAAA=&#10;">
                      <v:group id="그룹 73" o:spid="_x0000_s1105"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106"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41" o:title=""/>
                        </v:shape>
                        <v:shape id="Text Box 72" o:spid="_x0000_s1107"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243CC1D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E</w:t>
                                </w:r>
                              </w:p>
                            </w:txbxContent>
                          </v:textbox>
                        </v:shape>
                      </v:group>
                      <v:shape id="Text Box 127" o:spid="_x0000_s1108" type="#_x0000_t202" style="position:absolute;left:6096;top:26543;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675AEE7A" w14:textId="77777777" w:rsidR="006D7011" w:rsidRDefault="006D701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TYLKO opiekun </w:t>
                              </w:r>
                            </w:p>
                            <w:p w14:paraId="267BB9A7" w14:textId="77777777" w:rsidR="006D7011" w:rsidRDefault="006D7011">
                              <w:pPr>
                                <w:rPr>
                                  <w:rFonts w:asciiTheme="majorBidi" w:hAnsiTheme="majorBidi" w:cstheme="majorBidi"/>
                                  <w:b/>
                                  <w:bCs/>
                                  <w:sz w:val="20"/>
                                  <w:szCs w:val="20"/>
                                  <w:lang w:val="pl-PL"/>
                                </w:rPr>
                              </w:pPr>
                            </w:p>
                            <w:p w14:paraId="738E14C1" w14:textId="77777777" w:rsidR="006D7011" w:rsidRDefault="006D701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Samodzielne wstrzyknięcie i podanie wstrzyknięcia przez opiekuna </w:t>
                              </w:r>
                            </w:p>
                          </w:txbxContent>
                        </v:textbox>
                      </v:shape>
                      <w10:wrap type="square"/>
                    </v:group>
                  </w:pict>
                </mc:Fallback>
              </mc:AlternateContent>
            </w:r>
          </w:p>
          <w:p w14:paraId="37EF8307" w14:textId="77777777" w:rsidR="002E5800" w:rsidRPr="008F328C" w:rsidRDefault="000E0B7C">
            <w:pPr>
              <w:pStyle w:val="a4"/>
              <w:numPr>
                <w:ilvl w:val="0"/>
                <w:numId w:val="23"/>
              </w:numPr>
              <w:rPr>
                <w:rFonts w:ascii="Times New Roman" w:eastAsia="Times New Roman" w:hAnsi="Times New Roman" w:cs="Times New Roman"/>
                <w:b/>
                <w:spacing w:val="-1"/>
                <w:highlight w:val="lightGray"/>
                <w:lang w:val="pl-PL"/>
              </w:rPr>
            </w:pPr>
            <w:r w:rsidRPr="008F328C">
              <w:rPr>
                <w:rFonts w:ascii="Times New Roman" w:eastAsia="Times New Roman" w:hAnsi="Times New Roman" w:cs="Times New Roman"/>
                <w:b/>
                <w:bCs/>
                <w:spacing w:val="-1"/>
                <w:highlight w:val="lightGray"/>
                <w:lang w:val="pl-PL"/>
              </w:rPr>
              <w:t>Wybrać odpowiednie miejsce wstrzyknięcia</w:t>
            </w:r>
          </w:p>
          <w:p w14:paraId="7A82767C" w14:textId="77777777" w:rsidR="002E5800" w:rsidRPr="008F328C" w:rsidRDefault="002E5800">
            <w:pPr>
              <w:pStyle w:val="a3"/>
              <w:rPr>
                <w:highlight w:val="lightGray"/>
                <w:lang w:val="pl-PL"/>
              </w:rPr>
            </w:pPr>
          </w:p>
          <w:p w14:paraId="7A08762B" w14:textId="77777777" w:rsidR="002E5800" w:rsidRPr="008F328C" w:rsidRDefault="000E0B7C">
            <w:pPr>
              <w:pStyle w:val="a3"/>
              <w:ind w:left="4117" w:hanging="180"/>
              <w:rPr>
                <w:highlight w:val="lightGray"/>
                <w:lang w:val="pl-PL"/>
              </w:rPr>
            </w:pPr>
            <w:r w:rsidRPr="008F328C">
              <w:rPr>
                <w:rFonts w:eastAsia="Times New Roman"/>
                <w:b/>
                <w:bCs/>
                <w:highlight w:val="lightGray"/>
                <w:lang w:val="pl-PL"/>
              </w:rPr>
              <w:t xml:space="preserve">a. </w:t>
            </w:r>
            <w:r w:rsidRPr="008F328C">
              <w:rPr>
                <w:rFonts w:eastAsia="Times New Roman"/>
                <w:highlight w:val="lightGray"/>
                <w:lang w:val="pl-PL"/>
              </w:rPr>
              <w:t>Wstrzyknięcie można wykonać w:</w:t>
            </w:r>
          </w:p>
          <w:p w14:paraId="31AA4B07" w14:textId="77777777" w:rsidR="002E5800" w:rsidRPr="008F328C" w:rsidRDefault="000E0B7C">
            <w:pPr>
              <w:pStyle w:val="a3"/>
              <w:ind w:left="4297"/>
              <w:rPr>
                <w:highlight w:val="lightGray"/>
                <w:lang w:val="pl-PL"/>
              </w:rPr>
            </w:pPr>
            <w:r w:rsidRPr="008F328C">
              <w:rPr>
                <w:rFonts w:eastAsia="Times New Roman"/>
                <w:highlight w:val="lightGray"/>
                <w:lang w:val="pl-PL"/>
              </w:rPr>
              <w:t xml:space="preserve">- przednią powierzchnię ud </w:t>
            </w:r>
          </w:p>
          <w:p w14:paraId="6D0D2BAC" w14:textId="77777777" w:rsidR="002E5800" w:rsidRPr="008F328C" w:rsidRDefault="000E0B7C">
            <w:pPr>
              <w:pStyle w:val="a3"/>
              <w:ind w:left="4297"/>
              <w:rPr>
                <w:highlight w:val="lightGray"/>
                <w:lang w:val="pl-PL"/>
              </w:rPr>
            </w:pPr>
            <w:r w:rsidRPr="008F328C">
              <w:rPr>
                <w:rFonts w:eastAsia="Times New Roman"/>
                <w:highlight w:val="lightGray"/>
                <w:lang w:val="pl-PL"/>
              </w:rPr>
              <w:t xml:space="preserve">- brzuch w odległości co najmniej 5 cm od pępka. </w:t>
            </w:r>
          </w:p>
          <w:p w14:paraId="2D516769" w14:textId="77777777" w:rsidR="002E5800" w:rsidRPr="008F328C" w:rsidRDefault="000E0B7C">
            <w:pPr>
              <w:pStyle w:val="a3"/>
              <w:ind w:left="4297"/>
              <w:rPr>
                <w:highlight w:val="lightGray"/>
                <w:lang w:val="pl-PL"/>
              </w:rPr>
            </w:pPr>
            <w:r w:rsidRPr="008F328C">
              <w:rPr>
                <w:rFonts w:eastAsia="Times New Roman"/>
                <w:highlight w:val="lightGray"/>
                <w:lang w:val="pl-PL"/>
              </w:rPr>
              <w:t xml:space="preserve">- zewnętrzną powierzchnię górnego ramienia (TYLKO opiekun). </w:t>
            </w:r>
          </w:p>
          <w:p w14:paraId="26F8FFC9" w14:textId="77777777" w:rsidR="002E5800" w:rsidRPr="008F328C" w:rsidRDefault="002E5800">
            <w:pPr>
              <w:pStyle w:val="a3"/>
              <w:rPr>
                <w:highlight w:val="lightGray"/>
                <w:lang w:val="pl-PL"/>
              </w:rPr>
            </w:pPr>
          </w:p>
          <w:p w14:paraId="3979974A" w14:textId="77777777" w:rsidR="002E5800" w:rsidRPr="008F328C" w:rsidRDefault="000E0B7C">
            <w:pPr>
              <w:pStyle w:val="a3"/>
              <w:numPr>
                <w:ilvl w:val="0"/>
                <w:numId w:val="18"/>
              </w:numPr>
              <w:ind w:left="4297"/>
              <w:rPr>
                <w:highlight w:val="lightGray"/>
                <w:lang w:val="pl-PL"/>
              </w:rPr>
            </w:pPr>
            <w:r w:rsidRPr="008F328C">
              <w:rPr>
                <w:rFonts w:eastAsia="Times New Roman"/>
                <w:b/>
                <w:bCs/>
                <w:highlight w:val="lightGray"/>
                <w:lang w:val="pl-PL"/>
              </w:rPr>
              <w:t>Nie należy</w:t>
            </w:r>
            <w:r w:rsidRPr="008F328C">
              <w:rPr>
                <w:rFonts w:eastAsia="Times New Roman"/>
                <w:highlight w:val="lightGray"/>
                <w:lang w:val="pl-PL"/>
              </w:rPr>
              <w:t xml:space="preserve"> wykonywać wstrzyknięcia w skórę, która znajduje się w odległości 5 cm pępka lub jeżeli skóra jest zaczerwieniona, twarda, tkliwa, uszkodzona, </w:t>
            </w:r>
          </w:p>
          <w:p w14:paraId="08ADC07C" w14:textId="77777777" w:rsidR="002E5800" w:rsidRPr="008F328C" w:rsidRDefault="000E0B7C">
            <w:pPr>
              <w:pStyle w:val="a3"/>
              <w:numPr>
                <w:ilvl w:val="0"/>
                <w:numId w:val="0"/>
              </w:numPr>
              <w:ind w:left="911" w:firstLineChars="300" w:firstLine="660"/>
              <w:rPr>
                <w:highlight w:val="lightGray"/>
                <w:lang w:val="pl-PL"/>
              </w:rPr>
            </w:pPr>
            <w:r w:rsidRPr="008F328C">
              <w:rPr>
                <w:rFonts w:eastAsia="Times New Roman"/>
                <w:highlight w:val="lightGray"/>
                <w:lang w:val="pl-PL"/>
              </w:rPr>
              <w:t xml:space="preserve">zasiniona lub jeśli znajdują się na niej blizny. </w:t>
            </w:r>
          </w:p>
          <w:p w14:paraId="0CBE1D48" w14:textId="77777777" w:rsidR="002E5800" w:rsidRPr="008F328C" w:rsidRDefault="000E0B7C">
            <w:pPr>
              <w:pStyle w:val="a3"/>
              <w:numPr>
                <w:ilvl w:val="0"/>
                <w:numId w:val="18"/>
              </w:numPr>
              <w:ind w:left="4297"/>
              <w:rPr>
                <w:highlight w:val="lightGray"/>
                <w:lang w:val="pl-PL"/>
              </w:rPr>
            </w:pPr>
            <w:r w:rsidRPr="008F328C">
              <w:rPr>
                <w:rFonts w:eastAsia="Times New Roman"/>
                <w:highlight w:val="lightGray"/>
                <w:lang w:val="pl-PL"/>
              </w:rPr>
              <w:t xml:space="preserve">Jeśli pacjent choruje na łuszczycę, </w:t>
            </w:r>
            <w:r w:rsidRPr="008F328C">
              <w:rPr>
                <w:rFonts w:eastAsia="Times New Roman"/>
                <w:b/>
                <w:bCs/>
                <w:highlight w:val="lightGray"/>
                <w:lang w:val="pl-PL"/>
              </w:rPr>
              <w:t>nie</w:t>
            </w:r>
            <w:r w:rsidRPr="008F328C">
              <w:rPr>
                <w:rFonts w:eastAsia="Times New Roman"/>
                <w:highlight w:val="lightGray"/>
                <w:lang w:val="pl-PL"/>
              </w:rPr>
              <w:t xml:space="preserve"> należy wykonywać wstrzyknięcia bezpośrednio w uniesione, zgrubiałe, zaczerwienione lub łuszczące się miejsca na skórze lub zmiany skórne. </w:t>
            </w:r>
          </w:p>
          <w:p w14:paraId="74760A86" w14:textId="1A19A3CD" w:rsidR="002E5800" w:rsidRPr="008F328C" w:rsidRDefault="000E0B7C">
            <w:pPr>
              <w:pStyle w:val="a3"/>
              <w:numPr>
                <w:ilvl w:val="0"/>
                <w:numId w:val="18"/>
              </w:numPr>
              <w:rPr>
                <w:highlight w:val="lightGray"/>
                <w:lang w:val="pl-PL"/>
              </w:rPr>
            </w:pPr>
            <w:r w:rsidRPr="008F328C">
              <w:rPr>
                <w:rFonts w:eastAsia="Times New Roman"/>
                <w:b/>
                <w:bCs/>
                <w:highlight w:val="lightGray"/>
                <w:lang w:val="pl-PL"/>
              </w:rPr>
              <w:t xml:space="preserve">Nie </w:t>
            </w:r>
            <w:r w:rsidRPr="008F328C">
              <w:rPr>
                <w:rFonts w:eastAsia="Times New Roman"/>
                <w:highlight w:val="lightGray"/>
                <w:lang w:val="pl-PL"/>
              </w:rPr>
              <w:t>wykonywać wstrzyknięcia przez ubranie.</w:t>
            </w:r>
          </w:p>
          <w:p w14:paraId="6F7EBFCC" w14:textId="77777777" w:rsidR="002E5800" w:rsidRPr="008F328C" w:rsidRDefault="002E5800">
            <w:pPr>
              <w:pStyle w:val="a3"/>
              <w:numPr>
                <w:ilvl w:val="0"/>
                <w:numId w:val="0"/>
              </w:numPr>
              <w:ind w:left="911"/>
              <w:rPr>
                <w:highlight w:val="lightGray"/>
                <w:lang w:val="pl-PL"/>
              </w:rPr>
            </w:pPr>
          </w:p>
          <w:p w14:paraId="6C90DE88" w14:textId="77777777" w:rsidR="002E5800" w:rsidRPr="008F328C" w:rsidRDefault="000E0B7C">
            <w:pPr>
              <w:pStyle w:val="a3"/>
              <w:ind w:left="4117" w:hanging="180"/>
              <w:rPr>
                <w:sz w:val="26"/>
                <w:szCs w:val="26"/>
                <w:lang w:val="pl-PL"/>
              </w:rPr>
            </w:pPr>
            <w:r w:rsidRPr="008F328C">
              <w:rPr>
                <w:rFonts w:eastAsia="Times New Roman"/>
                <w:b/>
                <w:bCs/>
                <w:highlight w:val="lightGray"/>
                <w:lang w:val="pl-PL"/>
              </w:rPr>
              <w:t>b.</w:t>
            </w:r>
            <w:r w:rsidRPr="008F328C">
              <w:rPr>
                <w:rFonts w:eastAsia="Times New Roman"/>
                <w:highlight w:val="lightGray"/>
                <w:lang w:val="pl-PL"/>
              </w:rPr>
              <w:t xml:space="preserve"> Miejsce wstrzyknięcia należy za każdym razem zmieniać. Każde nowe miejsce wstrzyknięcia powinno znajdować się co najmniej 3 cm od wcześniejszego miejsca wstrzyknięcia.</w:t>
            </w:r>
          </w:p>
        </w:tc>
      </w:tr>
    </w:tbl>
    <w:p w14:paraId="3BD659DF" w14:textId="77777777" w:rsidR="002E5800" w:rsidRPr="008F328C" w:rsidRDefault="002E5800">
      <w:pPr>
        <w:pStyle w:val="a3"/>
        <w:rPr>
          <w:sz w:val="26"/>
          <w:szCs w:val="26"/>
          <w:lang w:val="pl-PL"/>
        </w:rPr>
      </w:pPr>
    </w:p>
    <w:p w14:paraId="29429249" w14:textId="77777777" w:rsidR="002E5800" w:rsidRPr="008F328C" w:rsidRDefault="000E0B7C">
      <w:pPr>
        <w:rPr>
          <w:rFonts w:ascii="Times New Roman" w:hAnsi="Times New Roman" w:cs="Times New Roman"/>
          <w:sz w:val="26"/>
          <w:szCs w:val="26"/>
          <w:lang w:val="pl-PL"/>
        </w:rPr>
      </w:pPr>
      <w:r w:rsidRPr="008F328C">
        <w:rPr>
          <w:rFonts w:ascii="Times New Roman" w:hAnsi="Times New Roman" w:cs="Times New Roman"/>
          <w:sz w:val="26"/>
          <w:szCs w:val="26"/>
          <w:lang w:val="pl-PL"/>
        </w:rPr>
        <w:br w:type="page"/>
      </w:r>
    </w:p>
    <w:tbl>
      <w:tblPr>
        <w:tblStyle w:val="ac"/>
        <w:tblW w:w="0" w:type="auto"/>
        <w:tblLook w:val="04A0" w:firstRow="1" w:lastRow="0" w:firstColumn="1" w:lastColumn="0" w:noHBand="0" w:noVBand="1"/>
      </w:tblPr>
      <w:tblGrid>
        <w:gridCol w:w="9090"/>
      </w:tblGrid>
      <w:tr w:rsidR="002E5800" w:rsidRPr="00A5286D" w14:paraId="5F81A450" w14:textId="77777777">
        <w:trPr>
          <w:trHeight w:val="5805"/>
        </w:trPr>
        <w:tc>
          <w:tcPr>
            <w:tcW w:w="9090" w:type="dxa"/>
          </w:tcPr>
          <w:p w14:paraId="70938414" w14:textId="131C6C94" w:rsidR="002E5800" w:rsidRPr="008F328C" w:rsidRDefault="002E5800">
            <w:pPr>
              <w:pStyle w:val="1"/>
              <w:spacing w:before="76"/>
              <w:ind w:left="0" w:right="2736"/>
              <w:rPr>
                <w:rFonts w:cs="Times New Roman"/>
                <w:spacing w:val="-1"/>
                <w:highlight w:val="lightGray"/>
                <w:lang w:val="pl-PL"/>
              </w:rPr>
            </w:pPr>
          </w:p>
          <w:p w14:paraId="663EE860" w14:textId="29B9559C" w:rsidR="002E5800" w:rsidRPr="008F328C" w:rsidRDefault="00B56B0C">
            <w:pPr>
              <w:pStyle w:val="1"/>
              <w:spacing w:before="76"/>
              <w:ind w:left="0" w:right="2736"/>
              <w:rPr>
                <w:rFonts w:eastAsiaTheme="minorEastAsia" w:cs="Times New Roman"/>
                <w:highlight w:val="lightGray"/>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06" behindDoc="0" locked="0" layoutInCell="1" allowOverlap="1" wp14:anchorId="3BC28670" wp14:editId="2CDC0394">
                      <wp:simplePos x="0" y="0"/>
                      <wp:positionH relativeFrom="column">
                        <wp:posOffset>9525</wp:posOffset>
                      </wp:positionH>
                      <wp:positionV relativeFrom="paragraph">
                        <wp:posOffset>29210</wp:posOffset>
                      </wp:positionV>
                      <wp:extent cx="2407920" cy="3092450"/>
                      <wp:effectExtent l="0" t="0" r="0" b="0"/>
                      <wp:wrapSquare wrapText="bothSides"/>
                      <wp:docPr id="1049" name="그룹 1049"/>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50" name="그림 10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51" name="Text Box 1051"/>
                              <wps:cNvSpPr txBox="1"/>
                              <wps:spPr>
                                <a:xfrm>
                                  <a:off x="1670050" y="2946400"/>
                                  <a:ext cx="719758" cy="146050"/>
                                </a:xfrm>
                                <a:prstGeom prst="rect">
                                  <a:avLst/>
                                </a:prstGeom>
                                <a:solidFill>
                                  <a:prstClr val="white"/>
                                </a:solidFill>
                                <a:ln>
                                  <a:noFill/>
                                </a:ln>
                              </wps:spPr>
                              <wps:txbx>
                                <w:txbxContent>
                                  <w:p w14:paraId="0B74D3EB" w14:textId="77777777" w:rsidR="006D7011" w:rsidRDefault="006D7011" w:rsidP="00B56B0C">
                                    <w:pPr>
                                      <w:pStyle w:val="af0"/>
                                      <w:jc w:val="right"/>
                                      <w:rPr>
                                        <w:rFonts w:ascii="Times New Roman" w:hAnsi="Times New Roman" w:cs="Times New Roman"/>
                                        <w:noProof/>
                                        <w:spacing w:val="-1"/>
                                      </w:rPr>
                                    </w:pPr>
                                    <w:r w:rsidRPr="00404101">
                                      <w:rPr>
                                        <w:rFonts w:ascii="Times New Roman" w:eastAsia="Times New Roman" w:hAnsi="Times New Roman" w:cs="Times New Roman"/>
                                        <w:highlight w:val="lightGray"/>
                                        <w:lang w:val="pl-PL"/>
                                      </w:rPr>
                                      <w:t>Rysunek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C28670" id="그룹 1049" o:spid="_x0000_s1109" style="position:absolute;margin-left:.75pt;margin-top:2.3pt;width:189.6pt;height:243.5pt;z-index:251658306"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hgHh0AwAACggAAA4AAABkcnMvZTJvRG9jLnhtbJxV23LbNhB970z/&#10;AcP3mJQq2xHHcka1a09m3EQTO5NnCARFTEgABSCR7gf1F9qHflHyEzkLknJkJ5PLg6gFsFicPXsW&#10;OHvRNTXbSeeV0YtkcpQlTGphCqU3i+Tt3dWz5wnzgeuC10bLRXIvffLi/Ndfzlqby6mpTF1IxxBE&#10;+7y1i6QKweZp6kUlG+6PjJUai6VxDQ8Yuk1aON4ielOn0yw7SVvjCuuMkN5j9rJfTM5j/LKUIrwu&#10;Sy8DqxcJsIX4dfG7pm96fsbzjeO2UmKAwX8CRcOVxqH7UJc8cLZ16kmoRglnvCnDkTBNaspSCRlz&#10;QDaT7FE2185sbcxlk7cbu6cJ1D7i6afDile7a2dv7cqBidZuwEUcUS5d6Rr6B0rWRcru95TJLjCB&#10;yeksO51PwazA2m/ZfDo7HkgVFZh/sk9Uf3xjZzoenB7AsUrk+A0cwHrCwbe1gl1h62QyBGm+K0bD&#10;3futfYZyWR7UWtUq3EfpoTAESu9WSqxcPwCdK8dUgVbIQATTvIHoP/z738d//mdxCjTTLnLst3FK&#10;68aI955pc1FxvZFLbyFcxCB5pofucXhw5rpW9krVNZWK7CE7iPyRSL5AUC/ASyO2jdSh7ygnayRq&#10;tK+U9QlzuWzWEhm5l0UExHMfnAyiogNLHPwGYAnoZwsR5QMwSsFDY2zd/mkKMMK3wcR++WGNTefH&#10;k9nzqLG9UkCh8+FamoaRAahAFMPz3Y0fsI0uhFobIgyYeV7rgwnEpJmInxAPJhKg9sAd5Ud+MXrC&#10;8A+14W3FrQRKCnugm8momzvqst9NR8qJ1A+u1K4sdFgZNELzPdqxefZdOzk5zaIU0Z/T+exklg39&#10;OXbw6WR+eoxbmhp4Mjsh376YY2lG4r6TW29qVYx6pL0XtWM7jvu3rVSQQ/ADr6/U4CErskK37mJn&#10;9QBpam2KezDhDEqOZvNWXCkceMN9WHGHexyTeJvCa3zK2rSLxAxWwirj/v7SPPmjrlhNWIt3YZH4&#10;v7acLo36pUbFETKMhhuN9WjobXNhkCpKCDTRxAYX6tEsnWne4cla0ilY4lrgrEUSRvMi9K8Tnjwh&#10;l8vo1N89N/rW4saaRGETsXfdO+7sUJaAer4yo6Z4/kj5vS9J3dslmu9KxbZ4YBFCpwH0Ha344MA6&#10;eNE+H0evhyf8/BMAAAD//wMAUEsDBBQABgAIAAAAIQCd3Hg4RYgAAJjpCQAUAAAAZHJzL21lZGlh&#10;L2ltYWdlMS5lbWbsndmPXEeWn297geH/wH6aNuyHMbzBvczSM8BgPHC7G/bYY0wvhm3A82QP4Hmd&#10;Rtseo/tlYLQoiRJFSZQoihJJUdz3nRTJ4r7vWimSKooSN0kkJbXUIlvdji+yfrdORd3Im1mVWZWZ&#10;dQgUI25E3LhxI0589+SJ7StFUfxF+NO///mVongl/Onfn//9ovjWbxTFV//1H3+7KL5SzLv5d4u/&#10;GSJNkpj0p3+nKH7nbxXFfwoR+3TziLv3D/52cebnf6P4j+H674X79S99lsL/IuSxO/z9SQj4zfD3&#10;4/D3wo3GfV8tThSKJ07+rxRfDVej6eLFyH+//vWvC//zOnAZcBlwGXAZcBlwGXAZcBlwGeiODHz1&#10;N/5h4X9eBy4DLgMuA70jA7nvnbdR77SRt4W3hcuAywAyUMfrXLyHd+d3jddrdb3+6le/Kq4Ov1Mc&#10;2DdUyixh/KnOrF9hhw8eKOMV5m51HXu99G696Huda6O6+Nx9Ht67bd7PbQOLL196uzhy6GAlf8Vu&#10;y2z88F1hcvu5HrzsM7N/1fG4Lt7lZmbKzXS2+/lzZ4vhd66U/KUsN65fr+S3ynlw/6g+rjB3XXb7&#10;TQbqeFwX32/v6+Xt/z56IfD6nSuXSz6jL18dHh5zrXaWLj20+5UyXnHu9r8szLQ2rONxXfxMqy9/&#10;3+nv4/B6eITX4jH6tm0bhSvM2rsV5u70t6W3QXttUMfjuniv7/bq2+tr8vV14fy5kteqT/Gba1id&#10;8nrf3t3jwnSvu5NvE6/DqanDOh7XxXs7TU07eT2P1vPRI4eLu3fvRH1aXJZ9JGW14qVfp/Fer6P1&#10;6nXR+3VRx+O6eG/j3m/jQWsj5uaJw3KvXB5rz9Y7K/5gMv9P8e66/PaTDNTxuC6+n97VyzoYfbNq&#10;LjVz/NS+YrSucX1+yGC0vW3Tmeiv43Fd/EysM3/n6e37h0bWvsBlsVn2kKq2Ic2BfXtLnlel8bDp&#10;bVOv/9bqv47HdfFez63Vs9dT5+pJvFadMvf6xo3m868PHdjvvPa9N/teBup4XBevPuNu53jkddm8&#10;LsVr6dZvvvF6cffOnaZ9scqG4vXcvJ69fnqvfup4XBfvbdp7bTrobQKvxWredWjPK/FaYXJtPTiv&#10;XU6tPPSrv47HdfH9+t5e7v7tvyl7D+7fV+rWVaymrdN7vP37t/1nctvV8bgufibXnb/79PT51Ba9&#10;e9eOMfo27ZJy23k9PW3lfaSz9V7H47p4b4/OtofXZ319yn5NXX355Zdhrt6ofk0YrHZe19ejy1r/&#10;1VEdj+vivc37r837vc2srnz3zkfj1qZXvZ+9pyrew1yO+0EG6nhcF98P7+hlHKy+eOLY0TAf5KOo&#10;Q7fCa3RtrUd3WRgsWZhp7VnH47r4mVZf/r7T39/jfk8j+1+/d+3d4k5gd127+PrG6W+3ujby+Po2&#10;quNxXbzXcX0dex11to7s/nycDdZK/TqvO9sGrdS5p+l8ndfxuC7e26TzbeJ12rxOdV4Bdo7hd1rk&#10;tdnvyeu3ef16/fRu/dTxuC7e27Z323ZQ28byulX92u3XLqeD0B/qeFwXPwh14O/QX30ZXrMGnXZz&#10;XvdX23lfm1x71fG4Lt7rf3L17/XXfv3BaM25bpXX+4f2jpuT7XXfft17nU1vndXxuC7e229622+m&#10;1T82a/G64R8ex2HCVS/4+RPfFe6uy20/ykAdj+vi+/Gdvcz93Vc5W1f8teONKadpZ4Upvbd9f7f9&#10;TG+/Oh7Xxc/0+vP3n/r+f/vWzWLtqpWRxeja0qHVFjeuv1/q1wrDHiK/u1PfZl7nnanzOh7XxXs7&#10;dKYdvB5br0fWNK54+aXseOOlty+WbB7Vr4dKXdvruvW69rrqrbqq43FdvLdnb7XnTGiPe/fuFosW&#10;Lih5nerX9ixH1Yfr1y6nkoV+dut4bOOlq/Tz+3rZB6Pfzn74odIekrapbNpWXn2/p8Fo97StZ9q1&#10;5XHVu9t4K/9VaT3M+8RUyQC85lnYrz///PMxto633nxjnD0kPZNmqsrpz/E+0UkZsDyuyrcuvuoe&#10;D3MZ7ZYMSGd45qm5cY8+7c9HuOLeu3at+OSTT8prynLsyOHi0ySsW2X0fF3+uyUDdTyui+9WuTxf&#10;l/lmMsB44/CVy3FvPlzSiteR4WHOnw1jj6h3knTN8vc4l79elIE6HitefaEX38HLNLP6FrK4fOmS&#10;4srlS1HH1tp0ycEnn3xcnDtzeoxN5HxYwy6uK527M0tuBqG9xePcuyh+3ZrVxcnjxwp+a37++Wdl&#10;X+A+sVyuDcvl6+HeVyYjA5yJzhoYZC5dC2PDJJNvX3yrOH70SCmrk3m23+uyO10yIB7nnq94xnce&#10;nfWzQi76zbmzZ4qPPvqwsg+on+Ty9XCX+cnIAPvtidP2vF3JHWHkr2vGJTmnV9eTebbf67I7XTIg&#10;Hueer/hN69cVLz7/XMlscRt33pNzC+nf2A6Vl/qGXIW76/I+URmQLLEmBp2B66E9u8dxmDCeQTx/&#10;N29cLzauW1PK5kSf7/e57E6nDIjHuTIo/tq7Vwv+3r06XBw9fCj2FVhtuS39m35Uxe3cMzzc+0A7&#10;MgB/h69cLha/8Hzkr+wihJMPLrq0zZMzw7Qm0oa732Wvn2RAPM6VWfFitbgt99SJ48XK5S8bbs+K&#10;/oXPPVvOi1U/yj3Dw73PtCMDkid0Be6D1w8ePBjDZ9lKlBb9QXxv51me1mWzl2RAPM6VSfHiM/q1&#10;/Li6Zg3woQP7iqWLXywee+ThYDd5qHj80UeKbZs3xbmwufw93PvDRGQADs+Z/Uhx//79KI8f3L4d&#10;9WrlderkifIMdTFbfFcad132+k0GxONcuRVvGV3nh93z5z0V9Wz6CLZt8qffqO/knufh3odalQHs&#10;G7K7aQ267h2+cnnc/D3sdelaSKV31+WuH2RAPM6VVfF1jE7jz54+VfIaZjNH1lntfSInZ+2GI0vw&#10;Grs096b6deT1yJoZ5a01Nrp21+Wx32RAPM6VW/Epj3PXso8Qzzl7y5e+FG0j/HbVvmnObe8nOXlr&#10;JVzywxxs5ulxj8J0P3tgv3bhfBlOPOPgdq9VpXXX5bFfZEA8zpVX8Tk+V4WL2bj8PT//mXIMUs9J&#10;+5fC3fW+UycDkp0Tx44WF83eTul9mjeicK41Dqkwd13e+kkGxONcmRVfxeVWw7CNPP7ow5HZS5cs&#10;CnNhb5R6T+65Hu79qEoGYLV4PRxs1PyG07V18YvX+HWNTl6Vr4e5vPWDDIjHubIqvlU259KxfwN2&#10;bP3dCOsXcs/0cO87rcjAZ599VjTb15o1kGI4+cF3bCKt5O1pXAZ7UQbE41zZFJ/jcDvh2LLFa+Zn&#10;a6yo6tm2n1XFNwubzL02X+Ujlzjrt2ndPz39m32tc3Wf2j6c19PTRrn28fD220M8ztWd4tvhclVa&#10;7Nhvv/VmsWbVitI2ArtZw7B965aoJ/HbVn/YUOiLnOPEHO4VLy8tlof5ALjp3+oVy2Ma0rEOGZ2L&#10;/TMZi2KeF+dHibNyeV/5ceWvqodmcVXpPax9OWy3ztQm+4f2ZNsu5fUHt28Vzz3zdDZ9u2Xw9N1v&#10;Z6/jsXUsHufqRfFVDG4nTGOQ7117N47RawwSZrO2RmvZZz/cWB8pPVzuaPyoTUVxjTzYi2qWyUfp&#10;CMM/K34bdmzbEucWao/BZqwWE+RSR9afqzMPHytjna4P2wbYo+21fVbKa+KQFZvG/d1tK6/fztav&#10;eJyrV8W3w+ZW0l4O+/Vs37Ipzh2xLLZ+8Rjeznvyichb9PH0z67NabB5lP/kpzDlJ5f5uOzjxhwv&#10;2+et39YL4bk4m879nZXRtD5tG1QxWemr4pzX3W0b1b273aln8ThXv4pvhcGtptE8P6WHl2fPnCrY&#10;i+R0WEeMe+rk8eLN11+LujB2Dennuifncnbfa69eKE4cPxpsKXsCj3cWmzeuL1YtX1YseXFh5L54&#10;LVc857cytpU9r+wqToYyMF+cc6Vs3YgVcm2c+7sjo1X1qvqnjaviCYPXSofLH+MmnGeQu8fDp64N&#10;va7br2vxOFd3is/xsZvh2E4mkr+9r4rzxLPHIPtroquL27hV+j19nP3eOE9K/T9XXx7evgxOpM7U&#10;Dgf3D2XZK/1aaXmOXcM+kef6PVPTvl7P1fUsHufqR/ET4Wa/3HMxjIMeCOOaa1YuL5564vGS39K7&#10;Lc/RweHAcGC36szywPoVn3PbSZvLY6aHMx6dqwPxWvHUd7rXr+LcreaD10tv1Yt4nGsXxfcLe1st&#10;p/RuuboP2wt7nWCTwS7CXlWc08Ceg5bb+DmnYfXKFcW+vXviOjvmlD94cL/UwcVjXOtXXSvMXqdh&#10;inO3ut9w7vknH1fbN5h/ndbbutUri1s3b44LT9P5dXV9e71Mb72Ix7l2ULx4NgiuZbT1690UJlfh&#10;nH+2cf3a4onHHo3sRv8etZ805qY889TcOIaZngGr+q3isQ2zft3jbr6PMP/T/taxdZXar4kjjG+y&#10;Tef+fP163fRW3YjHuXZRvJg1CG7K4ap3apaGOGwox48diXPHWQckO8oovx8qnp47J45fYvtm7FJ7&#10;yInJ1pU/1w4ePtpvVFe41OuRQwfH8FfxsodwbcOc16N16XLVX3UhHufaTfFVTBuEMDs2yfvA4jQs&#10;fU+bRlznHtixc/vWcXNQRhk+K8xffLZgnyK7tlMskZtrCw8f7Vuqq/ffu1Zs3bRhDK9VT1X2EMKc&#10;16P1qLpytz/qRDzOtZfiU2YN4rXYW/duluf2HvmJf+O1V6PtJLV56xqGr1uzKqy/vFLJmlx7ePjY&#10;fsV5Bcz5SOsFnuuMdBvn9pCx9Wfrxv29Xzfica6tFF/HMI9vnEds60H8PnP6ZPHKzh2FzpgfZXZj&#10;DeazTz8ZxzX3Dw1FO4vmfEuHtG1jw6r8hNlwe++g+O37MdbIfMuqd6vSr53Xvc+kqrb0sEa7ice5&#10;+lC85ZD7x7M5VydittXJWR/E/O907jccb9hOZsV9LrCPq10so1oJq0qv+wbBte9Hndl3Upzs18Qp&#10;jLEEt4c4s6289JNfPM6VWfE5Hnl4nt1iNXVk/aozwthnduWypWG+SdXeJw39e32bdhOxKdem/R5u&#10;3w8/37mqd4LXnJv+5ZdflvFuv3ZWV8lKv4SJx7nyKl6McTfP51bqBkaL3XK5Dzs2c9PYv4i188z5&#10;5oyHxpxB9O6HCuYKrg37GzLnmHNV7t27V+qNaj/LMoUNkpu+H9fo17g2Dv/wlcvjzkiH4enZvINU&#10;P/4ug/09Eo9z7az4VljkaUZZbllMvcgeonBc/RFvw1WPzBncE/Y/wW6itZayl8gGzvoP5oW3st9g&#10;ro37LTzl8qKFC8pz0u27iNc2DP36yqVLpb5t49w/2KwbhPYVj3PvongxxN1RJtfVhRhs01WF2Xj5&#10;03TsHX708MFiS5i7xr5VzPcWw2H33Mdnx7nex48eieetYQewbZrqn4qz7GsWprhecNMy2z1BbBx1&#10;IFu13h+G8zumF97Dy+Dfh3ZlQDzO3ad4ccTd1nndjbqyHD9+9HAyZtnYO7yhgz8UbSu5diXcss36&#10;m93Ti3GW12n5LK+Ji7wOZ1mk6fza2dkPMiAe58qq+G6wx/PsDPtZp7Nl44Zox5WdRO6Tcx6Lcdpj&#10;Q3qmbe+qMBvf6/5mvKZubPnZY5Gzh2yY+53V/SID4nGuvIp3tnaGrZOtR+nXuPIrT8YssZkwz5tz&#10;6HUmPeyeM/uR0l7Cunja23J6UPVr+CzZ5h1vhzPB2NtcYe46q/tJBsTjXJkVLya42xvcph2qxjDV&#10;PsQxXske3+xPlY5Tsi9sK3tS9QPHm+nXVXNBmp2pnusHHu5c7wUZEI9zZVG8OOBu7/C6nbbYvnVz&#10;nKeMri37NuOVzC8Rt/uBzVVyWsdr3su+m/Pa2VslR/0QJh7nyqr4dtjgaTvD9NTe0axeW0mLLRdW&#10;rV21Mp6bKRs3/H7x+QXF/n17C85T++KLLyZkL7BMzMlTN8Kb8fpKYr+mjFXr1LtRLs/TvwudlgHx&#10;OJev4puxwuM6w2dbj9bWgb8VHtv7W/Ez949zjNO1ldFWEs7OlEyk+qm4nLpKP9Wu5bXKpDJcersx&#10;3mjfIT1DLL1H97rrvO01GRCPc+VSfCv939N0jtuWz/jtdafqmTz5FrB/NGsnra0Ehm/dvLFkNvIh&#10;rsm1MlMVZuO76be8Tp9TZb8+aM6dmc5yp2X1a/8+1MmAeJxLp/hOMcLzaY/pVs/uZN3pG6DvAHNL&#10;4Pa2LZuLBc/OK9fiMK9kRdjfhH1OtAaninEKk5uTp26EN+O1PSNZZWt25mM3yud5Ooc7JQPicS4/&#10;xXeSFZ5Xe8yGlYwJdqrepFen+dlvA+cPS+dG10b3Zi43ZwPYte+p3IiJaXinrqvyb8ZrrT2392nf&#10;PsJseKfK6Pk4n7slA+JxLn/Fp33br9tj7mTq67VXLxRrwhih9gKdTF66V/q1rnGlayuM8ckDYQxy&#10;/drV5XlncJv9uinLRx9+WGkvyclSN8Lh7dLFLxb37t4dUxY9C/2a3wWWy/vD+ciKl+vsdsZKFnrZ&#10;FY9zZVS8+rC7U8dpW9fYK5YvXRLPrLHh+KUXy03jO3HNPIs1K5ePmRPIepxzZ06PY59kSYyUq/BO&#10;u3xDcnnevXOnsGtmSLdvz+5x6btdxlz5PNy/E+3IgHicu0fxnejznkf7rE913mUwO6yBQfe19Wn1&#10;5fQem26ifuX5Zpg3wvwRGKk/9g/UmTipHHWDgzZP/Nhr0ufqmnMymaOoa1w7/9rmZdO43znaizIg&#10;HufKpviJ9nO/r31GN6sz9Oz9Q3uCrrsins3OGsZm6TsVJ16TH98KxuwWLpgfmc387eeemRf3vbt/&#10;/360PXSbg+TP34MH9+O6+5z8Ej4U9GlbHvYPt98XxcltlpfHOcenUwbE41wZFN+pfu/5tMdvy8nU&#10;z/xp1ppjp5C+bdN0sq7JV3nL5duxfcumUs+G2+vDWThWlrrNwNx5u7YMGl9UGPs9DQe7tq5xu11O&#10;+yz3O/MnKgPice5+xXey73te7TGb+hIj8WOn5o8wOA0zXwi67umTJ6Zc16YMzF954rHZ5Tr3965d&#10;iyycCgbW8ZoypOeks/91v6/Bz/VXDx/sb4F4nGtnxTtj22dsN+vM8pvnvP7aq3Hu9IYwl2PXjm0F&#10;uveVy5emjN/YGGTP3r51yxjdNSdbkw2Hxe9evVrsDmfP5/IijfbAVhqu7Zijvitylc7dwWZfP7av&#10;eJwru+K7yR7PuzPfAs0PQX9kTJL50uje6L8p36nzNEz32/awYdZv08iv896Zty156iYDyfuN8J3i&#10;PLT0Oem1yoPLfrLMtVFYs7RK466zuxdkQDzOlUXx6pPudoatU1GPl96+GPbDPhT1bfi9cf3aeObM&#10;2dOnircvvjVO9xa/5ebKmIsnX3Rs7NjcCwftX07GJhIuxrKXtfbzJh+Fp377jJ///NM4x8WWzd5n&#10;07rfOd1LMiAe58qk+Fzf9fDe4nfKUq6lF+OeCnxjfJJ9np6f/0zUv6vs3qS1eVm/bXObP+GsZYfZ&#10;6RhfTr4mEi624u7LrH2py5cy1qXxeGd1r8mAeJwrl+JtH3V/bzG6WXuk3CWtGHvq+LFoN4HbnN8L&#10;xxmbq1r7nvKa6zSMvLEz2Hkilq05GWsnPM2PuXrcr/BW88J2Y9fRtHt/q8/xdM78TsqAeJzLU/HN&#10;mOBxvctvMVVurq2YZ4I9g/PEXtm5PdpOtmxcH8YwN8Uz2Xfv2hnHMEmDnSWXz7awpx+6K3t6wMBu&#10;cNDmO7TnlZLXhN+8caOl524KtiHs3sh9N8qY608e7vyejAyIx7k8FJ/rnx7eG6zO8Vi2kLSdcuFp&#10;Ol0zhsnYJTo444ma982+ULKnUAadYyNe5+RqMuGWr/vC821e7Edlr3N+7DXdtNnknuvhzuvJyIB4&#10;nMtD8eq37vYGn6vaIcdsm7ZdTtt78fMM/phzMrT7lWLZS4ujHRx7Cn7sDNhDmJty+tTJsJff5yU/&#10;LWetH9mru7byqbTYbdD3bRzr5ZmTbcOq/Nxr54hUpfEwZ2uvyYB4nCuX4tN+69e9xW3OuDp98nhp&#10;U26F3e22ofIUs+397AeFDr56xbJy3Qx2Ef4Y21y9YnmBLgxf+WYgb+KuXBuWyiNp7B/xLy16Idg/&#10;ro/Ji/Xw1i6d5qNr9hWhXFzb5yveXWd1L8qAeJwrm+Jt33R/b7Ga9mAfkbmPzy7Ye5Vrq0dX8XWy&#10;bSh28xz+dE2+x48djXYTbCZiNmf7pueOcdYvtnBkr4qZVWFKi+0ZXV5yK5ZzfTHZ30lprEt6fgNo&#10;L28b535nda/KgHicK5/iJ9u//f7uMz7ukx32gULPpb4tp/Fbhk+kPSyTlb/cNI5w1hFSpuNHDxc7&#10;t28rVi1fFm0n7MMKvxsMR/+eW6wL+44cOngg7p2Hyx4f/GG3uDo8XNy6ebO0c3x8716cP31jRLdG&#10;dsV2XNZ15uTZhvO9IF8b5n5ndS/LgHicK6PiJ9K//Z7uMzqtY/iGns36GDG6iqXpfc2uU/2ZtGK/&#10;8parfNJrheMyF4V5g9iPpX+PurNGON440wZbuM63URrOKGPcExvQB7dvjdHP4fXwlcstMZj7+aaI&#10;9bk+4OHO8F6RAfE4Vx7F2/7m/qnncF2dWz4y5sacas5iVLjcunyq4sXmNI48q1hOuvQe+3zrZ9wS&#10;9qJzj+Vyg9didOpajrMfN+z96KPGeTeyseRkWuF829DhuXZmO5MlF73sise5Mio+7at+3VvMtgxU&#10;2zA3eWU4Kxdus8+Gwq2bctXGTaX/nWDDgJ/8sXcV6zD54wxg9tpmD6uN69cVa8O5aIwzMqewwfjG&#10;mCb8xr7y5JzGPBV0+Nu3bhW//OUvS107ZfKdjz4q2KeK8DQu1x883Lk+nTIgHufKoPip7Lv+rIl/&#10;C6q4Dffmz3sqzp9mz2pbv1XpbXzqbzd9en/uuirfVr4l6OfMC2euh8Yzn547p9i8YV38Yx++Tz/9&#10;dIwObdlctZ491xc83Fk93TIgHufKofhcP/PwibO1W3UH+1LWYSPBXoydBH4rHleslJsrl+6pS5e7&#10;vypcZa3KU3HcZ+Ot3+bJ3lbYVuY+/ljJa7jNWsbr779X6tmSdbht10cq3F3ncq/KgHicK5/ibb9w&#10;f+8xOm0TMU2u4l+7cD6O9TEfg3PPGfdjr+xma8x1b5qXwjvh2rytn7zT67rnbQlrHLGrnAz7o+wI&#10;e3FvDuvqCbtw/mzx8cf3SttHg9e7S45bvTvXHzzcWT6dMiAe58qg+Lo+4vG9w/A6ndnqyawl54wD&#10;1icyn5n15MzBs4y0/qlsZ/serT6XsnJewocf3C4+/PCDqFfv27s76tvo2ejbrLkUm6Vf5+Tfw53P&#10;vSQD4nGuTIpvtb94uunntvgqlzax/rSN4CJ2bewJsJuxPOzB64MOThhMT+8X89O82r0m36q8qsKa&#10;5W3LB6+ZKwKv9bd3966oZ8Pst4LuLXlnLFN+d53NvS4D4nGunIpv1lc8bvoZ3ck2gH2sl2TtODw7&#10;sG9v1FmxKWwPc00af5viOB9jfezJF/fx27ghug3/+mLr5k2lvaXubDLL24m+i/KAzcyHkY4tPXvn&#10;9q1Rv7bnh50K36J3rlxxZoc5jTkGeHjv1I14nGsTxU+0D/l9/cty8U+ubUuFpS5pCEM/xkU3Z+0O&#10;+jp7+THPTvnYdOl9StOOq7LwfXk1zKuWbi2XZ2veyN27dyKfWC/j+/T1Do9yHPLwRhuJx7n6UHw7&#10;/cbT9iejxTu5tKP8ctW2XOuvWTqlR19HV1+/ZnXcW/vEsSOR3cpXrtJPxmX9+/6hPQ1ej9ixxWzx&#10;+vatm9GG/eGHHxaLFi5w3dL1676QAfHYed2fjJ0M19J7czZjsZR49NH0Pl0rnVzCrV/pLoc9nph3&#10;x5rFLcGGovCcmytXml7PYr4iZy6I0XKxyWjMkf35NOZIOX7xi9F9X3N9wcNdD59uGXBeO6fFPfEO&#10;N2Wk4tJw3Ztzc+kJxz7RmC89O9rEq2wluXzTcJWPcHjNuQXiNC7zr7GzM7cP+7r6HczmbAXm/ynM&#10;Xedyr8qA89p5nbKv1WvLyKp7msXbODjNuvAtmzYG/Xdd0LkZq9wYdOQd8Xwy9htkf209w95r/Ypn&#10;PTtr1uE0817OnT0d9W3ZQhiLtP2RNe88T/q24tJrhbvrPJ8uGXBeO6/FuV5wLX9Za85cD/Rf5odj&#10;t2COODo581JgPOt/VG7uRW9nzxTmJIrP1j198mTJZfH4xvXrcS/s6eqD/lznf6sy4Lx2Xot3veJa&#10;ZlMmXaOHM98EhmPbgN1wGY6/sGB+nIcCx9n3ibMS4PQm9hEJ+jr+99+7VrJa/UPMJg+dXaAwuUrr&#10;rnN1umXAee287hVOp+UQp9NwXdt47M+nwnloR4Ntg3Nj4C+s1vhiZHdYKwPPme+HjeTtMGfl1s0b&#10;xZe//GW5x4gYLXe6+6c/378RVgac185r8a8fXI1f4spPuWG35Te8Zk8UbCqsR98abOPWLmL9MB19&#10;nfOB6RvOamekZWQv+Z3Xzute4LRlrS1PGl51rTC53M9+2DeD7qw5IpxD816wh2BTYS0Ntm/2UhXH&#10;WdPDuTUrXl5avPm6zxXpJUZ5WUa/n87rwea11UEtB62/lTQ2fT/4l7y4sHKNY+S3WUMD0xmDRL+2&#10;5wNztiP7QlWxAv3bdfBRhlTVkYd1p36c14PNa9jKOhE7j4IwMVpuPzC4nTI25TX7QI0w+61wljrj&#10;kYcO7I97g2NH4Q/9nPHMBw8eVDLbedQdHnm9Nq9X5/Vg8xobAWvBV4c5cOy1J5tB6rbDwn5IW8vr&#10;wGxYfeLY0eJWWJuO3s0cbOZ6v7xkccnsPa/sHMdr162bM8WZ2736cV4PNq+lP79z5XKx4Nl5cW6E&#10;5S3xYrcN73d/U14H3fr9sN6RMUfsIdp7dfeundG+zRobzuFBz+aMyM8++6wch3RWd49Fzvn6unVe&#10;Dy6vUw4z1sZvfM4GUxyumN7vjLblb8rroEujRzPmqPFIXO31TT7M85ZthDkmzul6ljhvu19HzuvB&#10;5bXlF37YzFrtlctejvvkvfnGa+XawDRtv1/X8Zq9sPl+WV4zb4Qz0vTurJOE2Yw9wiLLbOt3TnWf&#10;U17HjTp2Xs8cXotDuOiM6Nowy4YPiq5dx2tsIZbV+LGDLHzu2bI+WFsDrzmn2PLaWe18nq7vR6u8&#10;5rejfkPb/u3+/uU9zEaHZE9qzR8ZlDZuxusb198vdm4LZzwGRsc/M79v7uOzy28YejVr21evWDZu&#10;zHG6+qs/d2Z/K1rl9eyHZ0Wbn/g8KP1a7zPTXLUf+jT2bMYisdmqHhSv635zm/Gad94TxhZTVnPN&#10;9wvbNu/bmI89y8+f8bMMeuZ73SqvmY+6avmyODbV732539jTjfLCLNuOnNUIn9j7DrtAGt+NMnQz&#10;z2a85mwZ5lyz5rHUsUd0bc45YB8Szi7DFoLcs3+f67UzW6/tlfZvldfI7mOPzIrngTA3rJt9zfOe&#10;HhsLe0yzbmTtqpXhnNydcT8k2sJyvV/aphmvYfTuXTuKSxffGsfrOP/6pcVB1h+OvF66eNEY2zX9&#10;1u3Xzu7p4nervNb5TegbjL/0S7/1crbPfvjM3DbOyMVuwPrIfmN2Ha8ZZ925bWuBri27CPuLsDcU&#10;Mo5+wt/VcP7ZdPVNf65/F1IZaJXXcE97DSPH/H52FrbPwl6uM8tk/OxRyhySObMfjdxOy56mt/HY&#10;U7iWa+Pw23vbibNpq/JWGOOGrF9M7R32mt8SzG+8eeN6dHds3RzX0LBGBmbbc9Ndp3Z2puycjut2&#10;eI3OJb1j0cLno52Tftes79n+5f7+5Du66IF9Q8HmuyGeCcC+0ju3b4thnJU4+nfM+I/Hcbs3wlgm&#10;3EdPVfsjL3DVyk0rfu636XSdhhEOby2b8V8P80KIu/jWG3H/a+SZsxzTPbI5y2ZZ+A3Je9s+CbOd&#10;285tKxNT7W+H18g6+5iJ2exBSZj/DWYdiIPWFWeZUwLvmKO8PeilyEX0cz3yx1wL9HP+kBnGM/ET&#10;Tnruf+3VC1n50XOlM+saV2GSPcVhuzl1orE28UzYz/rk8WPFfrNvarnv9ciZM5HVI36+STu2bime&#10;e+bpUN5ZscwXg46e9klntjM7lYmpum6X1/QT5n6J2exFqT7j7mBwW+zrdHtyzi3ywtwLGA+7ZWN7&#10;8fnnYhjzMzSfTpyXrMm19uVGWIOtNp69rEs2c84Mf+FcAhuGn/2cWNeIXEd9PMzFXr70pVK+2Ser&#10;qi86s53ZVXLR7bB2eU1ffjuMq9PP6DdPPDY7/N5trGvuVj/vNDc8v/a/KxNp27p7bDx25FMnjgWd&#10;+2Bg6K54VnpDz2Xcr8FjcVoufGY9i+W0rp+eO6dkczzDMbB566YN0Q5/IfCZOU7Xw55PYrS1nezc&#10;sa3YGNiuvPgd0O1+6Pk7/1uRgXZ4Tf/S79ChPbtjP6LvbFy/rgx3FrbPwl6pM7VtO+XhHsvd3L1p&#10;GitLueeiZ8u2IrsLbml7CTo61/B0984d0Y+NDs6zrhz92erU8m8J9g9sJYwzah9sy+v9Qf9n7Sd5&#10;69swHPhOf3K92rnaCle7laYdXtu+yFgMe06ig6Bjs5457ZM2vfv7l+P90HZW9uD3/qE9kcdXwzhn&#10;PIs3jIti+0DHFsfhNvbtck5fGJOE20ePHIr7YrNuaP68p6OMw/8HD+67nu1rHadNBm7fulVMlNf0&#10;YZitM5SYq0uYdCXbf/qhv3sZB+N7gtxx/jk2aaszo0/DasYeObeR9Y3iNuGwmfTshf3qhXNRh0cm&#10;NoXfjrK3+DpH1627pTfn8tXvuV+Es+l+8L0/nRSv6RusE2v8ZpwV53JZ7hHv3B4MDtp27XX/9jDH&#10;g/MIxGt0COZSx3MJRvZ2QtdgLgjM5g9mS89+NfxWJA7ZHdrzSslrzulR/5Gb62ce7myfrAwgY5Kz&#10;9evWFf/gq/9oUrxWv2VsH7vImpUrfK6Iz2+cFhmwesGWwF6x+nbYIwQ7CLKa2qrhM+eBidlnTp+M&#10;92E/WbOqIcvnzpwe0Uceiucb0AfVhybbH/1+Z3ozGZCcsTbxt3/rd0tWYxPJ3Sd7idhc5fL7Ex2b&#10;P+blKo3tQwpz1/XtbssA44TiNXYOdGtdl8wOejb6Nsxm/BJm7w5zCUk3HMYWWc9OOWG37CGMQ+b6&#10;iYc7e7shA+zpKwZ//WvfKP25Zyltsz7G70TJNPuMNEvrcc7rbsgAuoHGTraEdZjiM7xlrqCu5erM&#10;Rq6ZhyIdmzkjMB5eS9+QbHMeb66feLjzutMywDnQ3/z6N0s7CGcQiMe5Zym+WR9DrhmPl1zjb5be&#10;45zZ3ZIB7NLMnxaXz5451Zi3F7issFLHHgmD0eI1awvEa8rIeknJNXZxa1PM9RkPd3a3KwOSK9lA&#10;GF/8s//2ZyWfn503L+oK4nEuf8W30r+Y8yTZpt+g70hHaeV+T+Mcn6wMsHaS+XhiMvNCNM6IK71a&#10;LgzHr3l+6NrwmrWVyC/XkunDBw+4fu3z+boiA+I1HL53927xw+9/r2T1T/7q/5TPFI8ny2tke2j3&#10;6Fg664on2/f8fud3uzIAZ9GRpUvD68jukXkhChfPucaGjX7Nehr0jMtvXyyWLn4xyu/WzayZaayj&#10;ZL+/XD/xcNepJyMD4vWVy5eL737nu5HV/+yf/otiRTgjxubbCV5Lh0YvYR9Lxh1Zr67wdvucp3dO&#10;T0QGWJOI/JVMDiwu9esRPVp6dXRHGH4p8Fn2kPfDHtjM3WZvbPLTuQVPznksrJd54PYQ16/H8NOy&#10;tBP+H3zv+6Ve/dz8+WOeBdM7wWvbtxhr5/cjzGZvH2e2s9fKRzf96Mcb1q4ex+vI71S/HuE3cczp&#10;415kl2vmXzNurrVgyDPjluqP0oV07a7r1pORAcnT+jWrIo+ZZ/21f/n14tbNm1HmiFf+k+F1FYvR&#10;sfktiYyjYyPnpKtK282+63nPrO/ElUuX4nk42DOsfs0ZwuW1mC03sJk9scv5fGHtF/sqbFy3trRZ&#10;I8NVe6qq/7jrrO6EDLzw/POl7vzjH/2oYG5IVb6T4XWOifQZzuiA2dgTc+k8fGYxtdPtbcez2deP&#10;tbYlmwOLsXmcO3u6sdbcMLpME8LOnz1T2kKiTSSsU1+0cEH8fYgN5L1r1yr7TVVf8jBnd50MSFeW&#10;S3r2gP/Hv/lPIq///L//j6by1g1e04/gNLyOvyXNGhr6rOvazumJshvZ0r1Wjtj/lHUuYrHs06wN&#10;iGOOgd+Ks2ONO7aNrkmXDZt9zJgv8nmYU1XX/zzeGT0ZGYDVWgeDHYQ94snP8tzm3w1e059YCyZe&#10;sze920Sc0eJsp13Odcf+HHksPXrEvXnzRpy3RD/gdx/2ubNhfS/n6rI/H3tjI5+sO2edLsxm7zLW&#10;xnzyycfZfmP7kPud2a3KgOXw1i1bSr2a9ebHjx4p5c2ms3l3i9fYsRmv0VwR9VGrEynMXWf5ZGRg&#10;xcsvhbHthp1aenV0jU7NXA/Gv9lrlXN14Tts3r5l85h9sNHFpWfwG9H2Ffc7lycrA+Lw3bt3Iqu1&#10;h9OeMBeavIlXmqpndYPXYjL7OOhsEPqT+qS1OyrMXWf2RGQAfRm94FbQo9GvU04rDDs18gindd4M&#10;vH71/PlRO0m4H57beSE3wtrHqn7jYc7uicpAuh7mp//3r8Zwerp4jY790qLRuSL8Hp1In+zne/Tt&#10;qnqHqriqsFbvrUrXLKzVZ9k8cvfkwlu516ap86fPWR/m7yFXnO3FGV+slWH+9MlwthjrEfeEMUjZ&#10;pXHhNWfRoEdzlgHPkz2bvfw4m3Tn9q2ljo1OPtF+6ffNbKan3OX6VNBbf/9bvx/HFv95WA8jvVqy&#10;kt6jcLnd0K81JiRX+sruXY19LaVfK76uj/ZTPDzR+1Fu+44Kl6v3Shlkr5ultemq8qqKV7qcq3vk&#10;Kp2ubXlsmNI1c6vutemVnw2r8rMH5JFDB+OZX6uWvxx5LPuG2ByvR84kIGxbWKfIPGsYrXFH9Am7&#10;FxRjk+zzhM6OTQRb3s7t25zXvkZmQjJg2Ysfvfr3vvV7cf8m7CCLgy4rDrfqdprXts/Jv3nD+ij7&#10;6C70EYVX9cVBC9O7yuX9rL/ufZUWV/5cHuiWsObN1xv7N69dtTLu48wcCMbU2K9ob7CTMRbM36ED&#10;++IZE5xz2/g7HucWxTzIJ/y9Ff5os9wz0/LbMtq4XDhpGmV+LbqMBVIWlXFHWGfIeyxdvCjO5+fs&#10;OViKDoB9WZzGxsH4IbrxvnC2KHYN8nojsB1GoztLjxavtVeIrg+HbwD3USZYzXN8T76ZrSO3ylGb&#10;DjaL1XLRq2E1vMVdEuSZ9bL2vlb8neZ12kfRqeiPGsPZEH6/EmbTDaIfPh0Jc4J5t2asavbu2PxP&#10;hXMH2UeRNR3YX5e9tDhyClY99cTjZb1Sv8xrIJw/jRuo3se6Y88bV5wY1dgvo8Gr0bjRc8gVhmuf&#10;qWfnXLsfGPfqeQ3/aP42XM8aDZsVn4nOvDeco86YOjrye2Edubjb1NX8kWCrZm+oeA7NSBhspj3Q&#10;3/Xc3eGsg1b6kadxrqcyIFZLr4a12EI+vnev5Hl6T911p3ktNskVjxjDV5+zY4+KHxRX7803asGz&#10;z0Rucv4ODOPsbpgr9q5fs6rkK7/Dmffb4ESDpy8smF/G655DB/bHuRDUIXp0rt7EG1zVu8Ia141n&#10;NLguf4OZ8Lo578fGK3+5ek7q2ufWpeX5Ng36NGuwqCNrwxjHZvE4uJorEtMoPHCaa+LYkwydW+n4&#10;DUJ9ak8+nn/44EHntdtDJiwD6djikkWLyrzE8zpG2/hO89ryA3bpjzGhZ59+MvLoqSfmxDEhm3ZQ&#10;/OK13gdbQvy9H/iNriy7w6mTx8Pv9ZNlHDod6VRfuh83zdPGNYsfDuNv5Itd4OD+oWLLpo1h/PeF&#10;YEtgTy44Lj7/rJgz+9Fi+dIlwb7AfGTsJ40/ztbibCxsEvrT9ZoQ9vKSReGbsjB+V/jm1P1xr+5X&#10;fvaZrFHEFoJdgvpizJB4vl2HwjkxzKcex+gRBo8LTxidxjOvz4ZxzgH1Ccf1rbl08WLZv2y/cb/r&#10;081kABZbGwhji7A6tYG0y+xu8jrlij27lH6exvv11M3pYz4yOj86pNVj4dSuMMamtuBbMV32Kz2X&#10;MvDdw1bNGnGupRNb3pb+Gk4rHWsY5cfle8Z783uowetZYY3jZ85r168rZcCy1vrhuF23CGMnMrZY&#10;9T2YSl6jY2uuCP0B+6G4QN8UG3AV7m53GC4WoseiEzeY3bBBoHdjv2IfaFv/ahe1k43rtF/yQL4q&#10;K/4D+4bCGGDjfMbIbKtbW05bv00z4mff1GgP4TqkZW9rzuU9d/ZMqVvD86o+42GuW0sGUk4TnrL6&#10;B9/704LzYnTPZNyp5DX9jTlTq8M56o3f4z+LugzzZdXfxQRdu9sdXqf1ev7cmaBfbojslu2Y8cxt&#10;Yf0f9hSln+r24XnpM1mTyFiu1Y2jP3D3QpCld4IuPi4uYTb2f+zUSscZdow38s58u1a8vLT47DPX&#10;rSfDlkG/t4rV6Rpzza+uSjuR+plKXtPvpCttMHtW0kf4fQ4TrF4lRrjbXWaLiap75jbLfitXtt2p&#10;agvKovLomVzjxzbCuQTYt0sd2+jTp0+OhJswcVkuurO1qfAbA1sL78sequpfcifSt/yewdbDU9lg&#10;7EX77DG/es8ro2vMOyULU81r6UqcY4ruJn2GsX/0O831VR91t7uspn7VJrausV0xbxv7lcYm4Rj7&#10;4DGGadNOld+WE92Y8vBsMVjzq1m7WIYlerXCNdbI+CW69pzZj5Ssvhrma9O/0v7YqT7n+QwWx5ET&#10;u3/1f/3P/6VkdaflaKp5XdW3Nb7D71D4wHeqKp2HdZbdln/N6pY5iHxPpWvb30PN7ut2HOMfzG+M&#10;DA66tHRt9uJjbozYnLqsXd+/d0+MZ/3Q2jBnBRsQ/Pc9VAeLpVPxbWQNAhxFp7b7V8PxTn/zp5LX&#10;uf6Lfd6OQ8IF1qnl0nt4Z7ndSn2mNhLaCx1X97bKfqXvhMu5i9icSx6P2D/eDTo346hleKJj89uB&#10;tel7wv4IrLtZuWxpnM944fzZjvevqeCFP2P6vjE/CXs1iaG42r+6W22iZ+XyV3wn+lezPLCDsF7B&#10;cvv5+c9GmwnrI3L3wonpYEWuPP0cbuuR9tCccNmo3g5jxczJRL/mm/rcM09HZtv7pur99cz1a0bO&#10;azT6NXYR5v6N43UIx9bBWbqsXycN65A2hDW3G9auKVltdSLrz/URD58+Xk5V3UtXljzwO+x///h/&#10;laz+4Q9+WKA/dLs84nHuOYqfqn6IXZvf3/BAc8xgOL99Nd6ksmhMStfudk7vRgfFPsAcbdqCdfDn&#10;wlw36hi9utE2jfU2zLEjHIambdTtNtm1Y1tcZxTZPKJf4ydcvMZOQrmkTzNXUftC3Q7n5B0M63D4&#10;y/UBDx98HrfSxmI1cv7D73+vZPV3vv3tyrNxW8mz3TTice4+xXe730lf0nOwYcMJ+4ediH2MlQY3&#10;vc/Gub99fsM1cZffO+LvULDz8t1kHgXrMPl+2rZhnqbu7Wa9qzx6Buc2al25+IzLGCLzRPHz7cG+&#10;JkazjhO796effhp1auaKYB/J9QEPd14jA/CaM8u/+fVvlqyG25w9IBkR03XdaVc8zuWrePWPbrhi&#10;rlw9I3IhnNHEnhFaO8241/KlL8W95fQ7Pb1P97vbPq9tnbEmnWvVL/WNbs0cEdaIY0MQs9euXlmm&#10;s3l000+5sNmwz0GcG2L0a/Yq3BZ+p3HuF5zG9gGXjx89HOcBWnmH38NhfLLbfc0+0/399w3ALvvv&#10;/u0fl6z+6U9+OmZ8GvnptgyJxzn5UXy3+p30JTGh6jnEoc+hX4sPuOh77KGE/lR1n4dNnNdwkL2f&#10;qUPqX+0jF9sI++PyR1vwHZ2qdlAZ1L7MxeZbIv2asUYYjX1drD5y6EBx//4XUQ/SfD3JPPYRzjrQ&#10;dbf7nJ7jbv8wOx1XhEVp+02F3IjH6bN1rXj1jel22VuUfYLoo2I36xwIw4aCTt5OGdO+3869g5hW&#10;9YG9gP2xm70jujb7wNAO/P7Bxt0sfV2cnt1qOtLztyLM7xgKe16jSzN+iC4Np9kjirWZH4S9r3/1&#10;5ZdR97l7506020i+cSk/+/BMRX+zz3V/7/C6qu0Jw9bxo7/8y1Kn/g///k+6PgekmVyIx7k0iq/r&#10;Q1MVrz6NLrdm5fIRVvxshN2NfUEJZ5/6qSrToD2HOsZGAOtaeTfWPurbqTHJVu6zadSuCtM1Lnt9&#10;6FrxctetXhWePSucZ/BiqUtjBxkO+jLfHPqc7YuMjaZ7pFF2mybXFzy8d/jaqbaoaneF3Qpj0V//&#10;2jdKVmOrvn0rfPuDTHXq+e3mIx7n7lO8+kcvudhSmEODXtfQ8cRtbCWz4zyTqrV49H3+ZIvppXea&#10;7rKIi9iaGENstTyPPfJwnDPC3J5W76lKp+dXxSkM2zR2MPaA1XeCeSzo1Jxf8PNPP439CX+6v57d&#10;w4l+9+knn0S7SU7+PXzwGK02tdy1fuK5Zu2L+Aer2cs6Tae8pspVeXLPU7z6Si+56tu4rLnh9zvn&#10;+cEay++Fz82Pe2UePrg/nm+ld7D3K8zdq8XpUyeKZUG/pi5UR3X1gu0Bmwh6bl3aNJ5n2OdYv9Ky&#10;xpz9Thlr1tpx2hi72LowB5u4L75o2KfVp4avXC7u3Pmo7GOwmXU/xCvN3RDPb4mc/Hv44PK6qm35&#10;7bUhjKX/4HvfL1n92OzZUT4kM1Z+qvLoZph4nHuG4tVvetm1v5vtGdeNuSUNWwnzhvVbH/26ig29&#10;/I5TUbZW9wih7vQbhXl+8BM9dzJlTNuDffPScWaew5gFujIMRnaZP237E2E3rl8vbty4XvY19G34&#10;TZzSvnftWjj30fdNzfX/QQ1X+6fu7EceiZxmbTl7NzFXNK0D3ZOGT8W1eJx7luIn0we7da9Yofzp&#10;67a/Y+NmXgnrPujj/GleINyGLYxRpvs8K7+Z6mL/b+fdaQfOmJksr8V/2o12GT0fbew8fM7gTff5&#10;OBjs0lUyPPxOY+8m4sjTpqHfEe9rZWaWDm1lwPrXr1lV7q8H955+cu4YeSHtdLKa54vHttzWr/h2&#10;+m8vpYUBzPVi7Iy11KtXLC/XU4vhzEVjzynmmOzdvSumbdV2a78P+NNr6sKGNasbpZOrtFynYYqb&#10;rGvzZU4bujXncbWbL/YQ6lP2EJVZbrP8aJ+Tx4/FvUCwd9i5P489Mit+V/eGtoPj2KNtn5Gf+SGS&#10;W4VxfTWsP+f6i1/8Iu6ZrTS4hF98881g/zk5Jk+bxv39zXIrC/h1LT/uhQvnx9g/sIVsDzrBgwf3&#10;S5nqFTkQj3PlUXyz/tarcbBCNg+54hN7J2MXEbOZYzDqb+hz6Hf8HhK7xR7l1ey9SdMsvirO5q94&#10;lVeuwjvl2nKiV2PX0LPk5p5l4zVmUDXeqGfY9OQJf7FpqN7tGnfC1gd951qox1Q2bZ9TXE5Hvjo8&#10;HPtotI0E+4jSy+V8A/ZA0LW7/c3nXPtJZmw8YYx7fcOsV/zxj34UZaEqvb13uvzice75is/12V4P&#10;TxmRlhdmYOu2NtKUG+jf2E5g0euhfavyJExc4hnodbhVaW0ZuEdprN+m6aZfz2aNCd8n5tu0Ww7O&#10;mhBzT588Wfvep4IuzRqV0XoeexY6+25bewd9J9d/FG7t11aW4TTXtLMN130nQllujti4bbz7B4/b&#10;anPaFv/ZM6dL+wKcYw4Ic/jU9ja9wqbbFY9z5VB8N5nR7bzFJLl6XnrNPDHGpFiHzRnesp9i826w&#10;paGDo0uydm55YA7rsneHfTmZ64vOzp4VWrOj/OXqua269j7rb/X+XDrlJZfyrlqxbEJnRfDbg3rS&#10;3BDlybPxE0+dwuClYW2NzqfQOAJ1uTro9czbYOwvPYNLfQbX/qXyyrgkYWka3Y+tR37rHjp4oKf7&#10;Z/qefj257whtzxzqJYsXFb/9W78bef2Hf/Cvim1bt1aesShZ6ZV6F49z5VF8ru/3cji8SHVFhbVT&#10;bliMPogObrk9ynHsJ2N1RPRNxcu2Kx005zKfWHo8Y2OvBbuaLSfvYq874ac+4nyZM2PXxrTyLOzO&#10;+qbxG+RS+N7pPvjLu+hdbb0RRn2yx1I6P5r+0UofURq5Vr9WmGSa63SvS6XZZ+zeSu/u5JjYy/XH&#10;HiB2DQx++lEvl9mWTTy2Ydav+E6wYTrygEedeK7yod+jR8Nw9tdgjHJp+FajbzfmoYy3g0uXFLva&#10;cdFH2QecdXwHwt5XnOOt91GZdD1RF5Ziw+V+5Ykrv/K11+jNzNHWu7y4cEEYq1wX2P9SeQ6i3pv5&#10;0ivDvPh94UwX9nO/d+9eS0yWHMJW8VVhqZuzXytdaqNWfpwzozTuDi6nsXMsWbSo+J0RnRqu/b+/&#10;/utod5MsqP3Ta4X3gise58qiePVZd+v3UMJWyn6e/MF21kez7wl+hSl+1D0Z5x5u2bg+6qUNXV52&#10;GM1FbKzfZD0n9mbxVTqtru08dNtelrc2nHFG5WfDrd/ey95JVb8nxG74z99qbCxXGnYI9QG5OXmb&#10;aHgdr1P7tZ5j9XKFuduf3M7JFnPD4BhzqnHZDxUbXZo+ve5FORCPc2VTvO277m/ObPhp+Wb9tu5s&#10;uPUrDeN4rLtmD7yGPWHsPGS4LVu57sFVXnJtXJUflmGzYe1+s3uIpzzYPiyb07k12zZvimN4yH9V&#10;H1CY3JzstRMuXqd56vrKpcYcEF0r79x9ine3P9mtdmMN+Xf/zXfKccU/+sM/ins4pXKg9L3uise5&#10;ciq+qp/P9LAqttkw61ddtRqm9Ljwn/2rOBsWuwJ7ozRs4w1+z5/3VLSXsB6fPfPgL/fZZ1X5bRi2&#10;cs5C3LiOve3Wx/FBzitg7BWbz6jtflTn///snfnbVMW17/efcu815yYacxKH5EQx5ygGldwTjQPG&#10;aNQ4ovE4gxNOYOKEiqgo4oSoiYAiOOEEqDjPGsUxKqKiJg4Yc/To4/Pc/anm2+/qeqt699tvD7u7&#10;64d+VtWqedWqb9deNVEP1hCxC3HPE2cJ7T13oTEhnmhM70bKF+6Szs/7H/kZSNYyxYfKjT1E7pGW&#10;meKXB8vVh7Zvr7riyur5F/bsTZ40uWZ/qE0T0psy9q/wOFY3hVv8SO7w/NraJZARuOnzRiI7i6dK&#10;Jx72C2zmmufW0sraJ/Ng1vzsj/mxw+HcRsP+RGwhCrd7Gmvzq6ydah59zZVzHD7b8wTS/ZgetZtf&#10;z67Buij3hPh1oM7Y1Ltdd79eyd/8/wB9yZ7q3XfbtTqnHr/D+OBdTcTttb4XHsd0ROHCi0SHsFrY&#10;KZn4fu6e4j5mhRdRYbuoje/nTRj/B+wjAT99fBW2+vwhu0rtfhbL99OQF/vuFt+80O0r93UlpPP1&#10;xkIovp/nSP3ckxpKQ1lgue5Q9etl9/OF0ide89jZDdmxp9ru/9h0k83ct6nqYnXPuhVedio8jtVT&#10;4RY7kjuO2VY24Cln4G/J93JjZw5hro0/Gje2Zd4yxDaxJH/vGxvGTfNvdOcVObPIDxs1Z7054z0c&#10;k4fWNC+75KL8zrubspU5BmJf4Yzgt/l9/9IRq+dyiyoOtFGeTdOs27dr2LI5q279KoN3DJ5M7zZW&#10;+1VyKQP1+8v3U0fLY9/R9HPPzTb50abVefUZ06a5ebVtj01j+b3iFh7H6qvw0WDJoKX1cRnMAx/Z&#10;H+KHhWQTigMvNO+26W06xWXNkjuv7F5oYTVz6sq8erqbo7MfmvOAVqdj7pi+dItv73uizrbezL2t&#10;X3Vc/dab7v9I/kTLOZcO9R19Jf6SfM1FOAXlvXJsIv3Yn2pnrG0Kt7iQ3EPza18WFjNtGJgNZrK3&#10;SHFEbbyQOxRPPFHm8vwfrFh2r5tf6ywhtgzhMpR7SHk/iz0cT+fx38nPzds7ou04sG6NDemJ7xe/&#10;W/ThlRV7CPXST/XXXVCqsyhnepCb6iy+/Il2F7/Vj6LqTyj2Lc4kHnH4Edl3Nviuw+vNN908u+qK&#10;K9w5RZumn/pReBxrk8JDOJJ4cdyWbISn+MEG7r/Dbfl+XM2NY/FsfMXVnBlamTMP2TdsGOcKsXkz&#10;52RPCO/T2XEQ04Oy81csu68Gp219tXfE4jFu5MD/leLacPES7T5mqw9s/xyf38skbILyHi579xS3&#10;X6naHGufwoURiTaO0T4mg6235rZlYazCRUOyJa4Nxw7OvJC9Hey/Du2zq8XskK16OI8z6eAaNgK7&#10;NufrhR0zflg3/Y+ae0BsPdgXgsxC9abNn34yfN+ITZ/c3cVrX/7MLw7cf78qVnMGxt6pF+pnP49e&#10;9guPY21QeAhLEi+O3RZjrZw466gwcIR1wrfzs+DiKS7nvcEg9j/fmd85yrlH5ubc78r91M8+Xblb&#10;inikIQ5rjPwWrf9V3AvW8xZU1x45N89P647+fJzz49huluY2k+dy+w1zUN7aYixoPIjG9KbTfNYN&#10;/bdjqAN4zX9QqL7sq1m3rjIns23rdN1TecX/CZwnX7J4cTbu59s5rN5ow42zScdOylbkZxLsnv9+&#10;l6XwONZOhQtHEo1jtGRjsde6CXd3/+V7ntmnwX4NcJG9cuyDZm3wyccfdXNm5s3c86r7TZV3Kyl1&#10;4zw8e7mX5PtB7P5ri+HM12ddNNPNv4WJvr6E8NCP004/6wPgsl/Ghx98EL0vlXYRv9t19+s8aP4i&#10;+fNfLBwS5U7MQZMT7VX7Y21XeCtxot/zkg0DPJTtQ21mrx3f4cyrxdN732A4992BoQrrBLV1xMbO&#10;HF737lVs37X2E+4PCemLP+7w+7xQulbwuHfthXzvrZ8X3wZ+HVQv1mIVJuqnT/7iuW8rZBSSPzzu&#10;3WEdERzC9sE5ReYXrSizF/MQHsfqrvBO4EY/l4Hdgv3QrIupnf7cmzua+cXCxR8tteXG3JTxWm6v&#10;0Z5uvacr2zj2FNYsdW7QjjfrRq98f0zXRsPnHcYH76+8CabyoMJry6Oc1bmcebsMvsJGU35K2zpc&#10;pz+wfYzffnx1Pjl2m7HZ1NOn5fOfdx1W234bpP4THsf0TeGjxYhBSu/Pq8FqbB7sg5Yc7JzWj28x&#10;VPHbQf1yi8rANsM650zvvifOcGqN0upRJ8cR/xt8t1C+LZezPqqT+FDWDhRf4Ym2DnObleW7a9bU&#10;nCUHf4456qhqHypf25fiDQIVHsfaqvCisZzC43Zt7lBib7RkBE76mCy/qOK2mxaVFwrn/4e9cHMu&#10;m+XOAWHrxhaPTUJrP4wnjamYbrWSz7sHzPnJ05ar/dWWRxz2wvB94MdvZZ1SXo3jP+fIL5p5UfV+&#10;6h9s/EN3P9OKZZX1RMlSeiUq/qBQ4XGsvQpvN270W/6aP2OLvuvOO5wdW7xQWwkLYaONWxRu4zbi&#10;Jr96edow61be3KPEOmnFxl3Z9815nM8+/XTYfCimX63kUw//PTHsIZTh4zX/N9qX3co6pLwax2jJ&#10;6pyzzqzaPcAb7v8Av0P9pjSDSoXHsfYrnDHKmI3hSmg8a1wPIpU8WLfjTGM/y4BvB+w9wm3WVGP6&#10;1E4+e22w/6sMMFp4LR4UPraQ1SauDU/ukWNuMzJjjBxz5BE1WL3TjjsNxLmXZuRFGuFxLL3ChTfC&#10;IfxyiypOohXZIBftj+53mbAXkfW7ynrkuRnY+fHf/+aw0Z/byi8a072R8m/P96f/Jb+Hm3TKW3gt&#10;v/IEr8F2n6/wREeP2ZIt1LqZvxw/+bgq9nCe/NCJh2QL5s93++EVN/XB8D4QHsdko3DtEWZ/jX3r&#10;L/SNn/C78sZAv2N0qH3Yf7QeCWbH9KodYxL7Bj+bt/Darwc2d//eFD9O8g/Hi5HKxPYFac8+84/V&#10;d7n0PpfWEZS3n0b8RBufX+tbtzJ/Osd9T7IPEmz28TmE4aGxnXjxNcpelg3nMDXPXpqfu/THWbvG&#10;Y2jPB3hNeX6Z1E/18sPET7R5vLYyxc08z54jZx54zFFHOuyQnIln04mf6FA/aP4ck4nCb87XlWrP&#10;UFTWl5hL3TDvWrdfgPuDehln2lV3//+sXeV0M1/bRr6/hNmcSZmXv53Om1ztHo/cZ82bO1aXhdeW&#10;h5v31KAJH4awwJfRaPzI9asvv3TnxQ/JbR3CEc6RH3LwxOzR/A6cUP6pP+r3h+QYkh08P/zLvA80&#10;j2EsDs27K272C9jzeYM61xZ+QeXuJp62o2y1K9RGeLctWVzVD95RaOdYVN6aN8uv/XxWv9mrbW01&#10;imvjJHd93CiSDzYO+84LOMK75L7toyifFF7bDz4e+/KpF772/ffdvJo9XP59E3fne9jqYcSg4ng9&#10;mfRLmHCcO+N1/zY64u+183WtFX7m1//4/PPqf0PIfs1+Q52VAasTXtdiQr1+qCcrwrjTlPeJNvze&#10;991cTzZq7qbRfaf18qhXdgobPn/2ZVIPrxX3y//+7+y1V1/Jbs/f1eZuN7CbH2Pn9nyO9fKqFx12&#10;axz3Cy6ldhTb359+8gk3ftEH3lAQlmrMikqXRkPJizcz//63v1W/ta09hHB+Ogsp/2jKHKS0yEvt&#10;9d28x3X6qadVcRrc4Dw5Z8hfzu/K8dPZ9ApLtPh/swiPi8KtzuNmDsUaPbgtWwl7S3hfL+FbMb71&#10;g4z4X7bfT+z1q+jC9Iz3EtoxVpUnumfn1LrfxGIBPO4Ot7zkjmOFZBuT0cknnThsz8ell1zs5GvT&#10;Wjd5+f5Y/ok/1DdFeBwLR9aSd4j+Pd97i83yystnV3GbdcknH38s41xcP+BSakP8/8f/llq0cEH1&#10;uwssb8d4RQ+5o4/1ldgYJ86ad97Jlt97j9Nf/PrF0iT+EF4gC9YRl+b2TtYNuTvvf/+vDZzt47d7&#10;/tbd08QdIMRDrr7sQjw/TvLXytvKI4bHilMUrnjqB1HLv+eupVU7JvZM5tvcV5zwLo53/SAbYTb4&#10;zBlIfW89nu/tkn60ikrvmAugW/KH8mf+bde96sUNpR9EHjICp7FD++uI3J3Hfj0rl3oyVZioTZfc&#10;caxGNkV4XBQekq/fD19//bWzkWi8gtnczcN3cj/gUmpD8f8O+zTU/7ffurhmbId0qFke+5f8t8F8&#10;feTOPuwmzZYxiOk+X7cuO+iAA6p4IVw46ID98zG8pu7/4yDKq11tltxj+ReFx9L5fMbMe++9m69J&#10;LnZvdGvsXnv1ldkjD61MuJ2f7y8r7mueLFpUTxvPurEZ0+92L52vJ8360S/h8kMrK/fuxfJifj1I&#10;eC25WHlYnnXbOOAw9+PZ/dPgwditx2YXX3SxW6Ow8ZO7/ty4FfIpwuOi8JHUQXrBmuSCP//J2UiE&#10;25zFwe4YwgI75kPhidc5rLfriOoXeLjlpz+sW/3DPdn0t3+mZSQ6FIsr3SL84YTXNd8Oko2olWGI&#10;R/jMfL8AY1/78aDcxURf+ml8v80/uVuL4UV4XBTebH9wXzF7YLX3DxuJw+x8748d69atcZ9o5/BZ&#10;sqYfhMvwLG4rDrRef91y04K24bXVw4cevL8Gr2wY7kGbX9v2h7BVvK+++sq947nDdtsNs3ucdsrJ&#10;bv+04vp5hvg2TnK3BreL8LgovNl+UP9++sknbh+J9v9xvv36a+c6G6TFgeTuPEZL5sJg7rPjbjXe&#10;OmVfPWei+DFv5sfbM3fedusQP/dz9/d999yVf1ffm68zz3D/z7zbLr2RHsg/Gkpe/Hg/vl4+g4bX&#10;krHkg2ys+/nnnsumTZ2WbbvNtlWc3ig/78L+D94Q4K21evK0+deLl8JGj9lFeFwUPtI+kJ6oj0mP&#10;m3Ui7JqyjzDvZr6ts+3CDGFIop3Fb/ZcsK+HbyL7Vg79oHm37SP2abz0lxfcPgzOsFx68UyH1fTv&#10;izlf/T5S/akXXzqlvR/y+2kGDa8laysP3EsW3ZT9esJuVYzWWGcNkbeC/PjW78s0+UePxY3IUH0U&#10;i1sUHksX4of62/KwkTCWWZPUfJvxzVuv3AXIHoNGcdpiR6NpeiGe2iXq1znG9+P5fu5oYv2A3zNP&#10;PeH2yTNPfWDFsuzupXfkd1vPc2+6v5G/BQZ2P/XE4+vD7szuuG1JtvDGP7vvIvb9gOv83+q/F4p/&#10;3jVXZ0/l5x2//fbbGiwI6cpIeVaPVj6wom7+/YDXtr2+rGJhn3z8cXZ3vrd26ulTs63/fesqTnP/&#10;9G/33Cube8012UcffVh3Lu2XlfydwWnJuQiPi8KVz2ipr2PM2bhzojLWz62OfcaixaSQO2Zb9TGq&#10;X/1WJmojvFfztQHOK8l2wfsCV82pnGey+MrddRZrdQdIhTd9PRbX3vVVm75yFwFz8RW57YS9GNyd&#10;N1odaTT9gyuW1y0LvNYcnDx93Wu0nG7GK6qzDefeDvZNc7ZF41mU+TVz6W62JZXdOOar32IyKwqP&#10;pWuUj15Z3bLpsJEwruxcG8zgDsC38rk2GCRsthhl3cKrXqW2jWpDiGfDmP9is8CeDGZiZ9IbAhaH&#10;hzDWYq+P1cP9zKE5V7745oUOi9mPyX/B6rfezD5YuzY49mN9bPt7NG6bv7//2s8XvKbOSiPqx+sF&#10;v+ou6td52b13u3s8tM9D45m9HhanY+n9/JK/cWxth6zUf7G8i8Jj6UbKl76I2vR8o61Ydp/DHeHN&#10;pRdf5Owmj+X36Oq9GzCrl7Ha1h23/KLYg8Dixx992K2psZa3KN9zMT/HzmuunOPOIF14vua/FRvE&#10;ECZXcJe5M3jLnrrr5811+yqxP9299E63xgvWsaaIXYr1RdaauFuAOzfs2+f0j99XjfhtHOu2/d2s&#10;m/z4PZK3gbrG8vnoww/df41tQ6vrEiu7FXy101Lypc3cu7Rk8eLssN8flm2e31+q8Qvd/3f7Z9df&#10;d53rXyufXmp7K+TXy3moP2NtKAqPpRsJX/oiatOKJ/qXF56rfqsLi8CfZ59+umrb1vqX5py9QvWt&#10;oPpyHylzZL4naKP+q9RunypclHm15sC8JcH8V3JExnKLWrnbcOsmrh/f99v4Nk/FE43Fs2macfNf&#10;w3pnLK3u54uF9wLfypD6ch58zz32qMFnjd3jjj2mZi8eaf30vr8XZDCIdVSfxtpeFB5L10q+1SXc&#10;n3326fq5du13PDa65/K5oY97wr8yU+bQzJ8fytf4sGHQFuFujAqvCb95wY3ONgEu8y4h8pfcoNbd&#10;bN8oj2bT23S2TpY/Grfqp2+DWF7gtX9PoNLG0pSRz7rt0jtuz0L7pRm37JkGx2Nti/HL2NZUp4od&#10;pgiPi8JbKUerPzG3yvvmm68dvmGHvObKK2qwjX2A99x1p7MdtOMuQNknmsV/3kx/5uknnY1nyS03&#10;u30T7KkI4TJrrtgueI/trnxsMv4q88fcTpHf82y/ayWbRqjkK2rThHg2vMg92vRF+ReFY0vnnr5Y&#10;vH/+85/ZFbMvrf6ndaO+zZTp7B152+7KbVdHH3V0ttWYrWrm0+O2Hefum164YH7GWyKx9lN2M+XH&#10;8kv8ztm0i/C4KLzTfRXTsxeef869Ezgc86Zn9+Z7mMBW2UmEtz4V/oovf4wWxSOcH+ViV2TuXNmP&#10;UWtjrtS58q0APnMOkD0Vf1u/pyLW5k7LvlfKYz2x6H4QZG7bU3YZL7/vHrduqPEoynuIzKMJVxtE&#10;bfuSu3OY2k5Zq99jZRSFx9K1i+/rou/nfI32AVrsZv6KHfjl3CYs3LZ2E2GrsDkUR2EhKlyG2nDW&#10;B3XPEfUZsmEMYTZrhXwnsL7HXYZWdmqfqA1L7qExaOWj/R/15ENfkMamqxe/U2F+fa7OdcO/v1Rj&#10;kvfFWRu2dVN6URuW3EP60quyUN/H6l8UHkvXLr70UJRycOuHn+/GN15/LVuen4HmDaqZF1TeugEr&#10;2T+BfYF9FcxJ2GvBviaLsfXcPh4T1/L4Didf7BxzLptl8LmC1ezJ4Hw2d0Bjr+bdcNsGuaH2Z9tn&#10;+cldkZPkA2X/B98o9WTDWiz/j8QhjaX10o02zNZT5arsTz752L0nfvnsy7N9994nY+6s8Qf9f+N/&#10;4c66LJg/f9h6qvJVXjbv0dY5pa8di92Uh/QhVoei8Fi6dvJDuujzrP7+4x+fOwzFZqk5N9hdmesO&#10;rVkyhu/K92MwR8e+Iiy2eOxjOXGX53tcOYOpvEU1l+ZcCucG2U/uyyVUbz9O8o9svITWE30ZsqZL&#10;H4vv94P47aIqjzcA+G9nrswbtf4+afbkTT/7zIy9QkoDtW6/jgrz+ck/Mj0qo7yK8LgovNNtki76&#10;tNF6sEbHeh37ubnTlbm2Pc+HWzgL7nLvBXvp/B9vQNt4cnO2B9znPiTwwL79Sh1Vb1tfy8Mtv09t&#10;muSOjz3hdUxGyBX79gPrz0FKzrH4reJTDmcJns+/wS6dNavyntZmP6mZQ3MGcffdJmQzLpiRPZzb&#10;yL744ovgfwp51at3vbBWtSflE9fBdsmmCI+LwttVr07kK53mzW6wFTsGWKv5cREVRoP5S2+/1e1J&#10;kH2jE/VPZYTHC98xrGHUk8/qt950e/picaQbofBGwvw47Ov5/cSDa7BZY4s5NefCOYsYKi/xwv08&#10;iHKRzsTaXhQeS1d2vsaTqOqLn9+HH6x19k3mYbEfYz6011l5JdrZcaa+hPJfW0/+9B3/s8RROt9d&#10;L30oTPmIcm8H9/7b9UJr78D9h2mnu/UPm5/SW15yd1aXyirvIjwuCi9ru0ZTL8aLfvXy0bhqJG69&#10;fFLY6Mei+kKyLMJr4nGnyv/8z1fDcD3Un5bnl4V/3brPsifzOwvnXD7HnQUfs+WYYXPpbbbeJjvi&#10;8COyGTNmZo898kjNeobNn7r5ZahdiY5eV3pZhkV4XBTeq20PjQef5/tDbbVxrDsUN/E6N9awVRXJ&#10;mzOO2LptPPpQ/SiqcIVZPuvMe+w+YRg2a9yA25xVtXcrKT9Rmx883694iXZOf8oqa+lVrH5F4bF0&#10;g8C340pu0UFofxnbKPk3Mr/mrlf2aisN7ZFbVG20fuzMB+6/Xw1Gy84BZZ/H6fkZFu5u4Y2tUL7K&#10;TzRUjniJJpyWDhThcVG48ullascMbvlFY22zcWNxEr9zY039BS3Ca+Jw18pL+S/WR+zlYO2C/dBT&#10;TpqSTcj3bfh7onk361c7/srZOeZcfrmzibCnw9Yllr/iKNz3i59o53So7LIuwuOi8LK3L9VvMHVd&#10;eC0MFPX1wb8rm33O0885K/uxdxepxgGU+TP7pW/Izz6xphjL2y9rUP2SD1TuRmShuKI2TYhnw3E3&#10;EsdPU3a/9DBWz6LwWLrEH0yc7HS/MyY1Li2V/dryVDfutfvwgw/cGdg5l12aTZ402b2HtcVPt6yx&#10;caD7m/xoMxc2+djJ2dy5c93eabsnWnnaeog3yNTKQ32APKxb8hEvlMbybHqbRvlY6qezYb3sLsLj&#10;ovBebnuqe2/+p2is0n8hNzzeMLP9yzx45f0r3J7raaedmk058YTqT7Zn6frYbcZmnIfi7TR/3Nvy&#10;/PJteYPstjKy7kbl5aexsqwXZuP1q1s6GmtfUXgsXeL3JhaWvd8Yrxqzlsqt+mMP+Th/F+fB+5e7&#10;e1xOOv64bMoJx2eiuPmdcfqpbk7NHunpZ59Vc+5beTVK/To0mq6f49WTicJE68nBj+P7lVZ8UfH7&#10;hRbhcVF4v8ghtaN3/l8YixqP3PPMvucbrr8+mzZ1mlv32+mXO7r1xpPWY7IwGnruWWdm1159VX6H&#10;9NLssUcfye7Mz6Wy5qj8RKUPtizxoIrnUxtnkN2Siy+Dd9escf2F/K+bNy8/d39h3m9nZNib+B0y&#10;8RBnf9rrN3s6yrvt/LBZET7lxClu/zq2Kd565xto7fvvVb+lYuX69ehVfxEeF4X3artTvXsHn21f&#10;sR7Inmf209lzg9JTKOuBZ/3hDDd/PvOMadnCG/8U3f/81l//6u4hsGXE3CEsCPFi6QeRz11pvB9y&#10;0AH7D1sbsH3WiNu3W9k0vLFzzJFHuHdN+1nOanOsjTZcuikaS5P45cZC9Z9oGfqLuoTq89c3Xnfn&#10;TQ479JBh4z02fn+3z97ufi7e8Ym1TWVxH9e8a66qiaewWNrEH67fVmasFXBvt32nLNZXwhfRrbbc&#10;ymE7+M5/MnT33XYb1veKH6KUe16+x4f9mH5f2XoqLMRTWNmo2hurlw3vpXbF2pP4lbGmvrTUupGT&#10;/JKZ/KKWL56luK1f8UV5h/O1V19xe5xvuOGG7OyzznHfvHz/brvNtm6eLP2zlD0bv9pxp/y97/3c&#10;tzTvXz14//3u/lvuJ+VOF/99RpVpqerHe3LvvfvusLFt4yb3EEarTyUT3dt9wvEnDHsDB5z+wcY/&#10;dHcOHnLwxOyPfzgzW7ggv3s+vx8TOxb2EXDV5ql+Uf4Kg65bt86leeapJ7Nb8zswsamcesppzmbC&#10;OrHVE8pFRxbdfLN781X5idpyVIbCykrVvlj9bLhtXyx+4g/pdVllId0UjdXThsstShrrjuUhPuOS&#10;dxo4mx2aK0vPQvOw8dtvn5065aRsyaKbhtk1VAdRyvvs00/dm8Uqu4g+leMGeRfFG9RwyRYqN7L4&#10;PMdO9tFwB6z6TxQec1zOgtp73216yVM8Ufhy+1RpLFUceLwBwvtovq0MvaKuOm9qy7B5ld0t+cbq&#10;GQq38omlS/xy4zZ9aH+2v9S/Crdh1v3PL75wcx3uc2a+xHyHu4xOy+c7R+b3GnGP89itxw47Eyid&#10;gn5ng+9mzIvcmlK+nsQc+4brb3B3P5PvJx9/7HDU1kX1oy6+Gz93gvAega2r71Y6KHjCWxa6C1dh&#10;fv5+HoPkRyb8+H5ZsXyZWxdknUB9CT5zlxXfOvQb8SSfkDyVX0jGNqzRcKWxZT2Un03lXOpPf7JF&#10;tZ7jtx/v9JRvO8UNpVXdy0Yl71i9isJj6RK//Hhd1EfSZ+yR3N/M3JgfNsV65/+kM1B/vszdSH+c&#10;NtW9qUKe1EHjpV59VJdG4n6wdq27u6NefipXcdhnUO9OJsUbZPrQgw9km26yWRX71L/cGevLRf1l&#10;+X7fheLY+LgVJ0b9+CE/+uuvd9IO5uK2jFDasvE0tmL1UjjfNoxVxhi6HbLlx/JI/HJjN/1Df9K3&#10;fL/y3djMOo90RXSf3+7ldIb9HNzVYfVA48/ycIsvanmxuJZPOu5w4t4Py7dum7f42LxXPnh/tXzx&#10;E630CbYs3+6B3YH9HzEZheTsx20kjp+mWT/6bduAbVt5dbIeKrMZqrEVS6vwGKX9fM/ulK//8E3L&#10;msKkYydlrD2wt5LvY/ZKLlm82O15ZY2BH29yYdPkxxoC8vJlJr+o6mj91k24/KI2jc9TWKsp5ein&#10;Oqlsn2/LVpwQz6az4bglR+aHTr75/ym2CWTOXUUX5n3AOg97WA879DDXT1rTC93THOtr1u7p6wm7&#10;TnD9rL2w1193Xd63d7r/8VfyOmDDUH1DbfLr30o/5TWC16qfysYPJvl8hQ8KVftF0a3D/+vw6pya&#10;/kePXn55VRXrekk2r7/2mtNd6Ti49dablXeX/XYgA5/Xbb/qHauHwg8+8IDcHrlrtd/EF7XfvdYd&#10;ChcPqriivIvE3I4fd+ow12NeL8p/pH7N/Le3uw8azT8UD5xR26DscZANgrv1JReoleFo3ZK98iF/&#10;5k7sm308P1NCXdAP1Vk0pjPiNxpP8VtBKVN7ToryI66t49P5ngPehbM86y7Kr9/C0T3pBPSwQw+t&#10;4levycWvL997sr+zzhLrOz9dLF6n+OqPWHkKt/XG/dwzT7txzHuH9Ct7JeudYVA+PjaILxoLj/FJ&#10;pzAo832La9aNTUe4LxxsN2UPv60DbuTE/5/aLKp2yN8qavPlvW3ta+U/gPaDyZxDkQ7Yvg7xbLh1&#10;Ezfk93nKs9VU5bz4wvPZ6rfCcyZbpuKL90H+BhzrlOKLKnyQKGuK6J90h7mT3efRS7JQP4qq7n84&#10;4w/VMchd5eKL+vHF7yYVJsTqYMOpv/2RRn7rhscdZvpOx/aBzZs9svpOv+rKq5ytRPsJOGuKHYXv&#10;dP34VmEfLt9g/MAa1WcQKPtH1XaoPaPL/gud0T3n7HOrtifky4+3tbGNYJ94d8072dq179f0le0v&#10;341fPLmtn/4VX/3v8xQuasPFayVV/tDnnn3GtbnR/G3apbff5t7thCd+o/n0Szza/Z+/+E831piD&#10;/infG0/belEefj/aNoBRxx51VLWd18+7tqrXtr02Tbf7WLgXq0coPFZ/ny+/qMrw/VY2iiMaiqsw&#10;5oTWfoB7yS03V20ImjtrTq15pT/fbYdfZWFXUD18uvKB+2vqX2+OW08ONkxuUckqRkPx4IX4Ng8b&#10;7se3YTZNp9y607qReiiOKHVcesdtNeO2U/UuUznbjt3W4Rg6W6Z6jbQutl9J6/vhYQ/Rd4T2Udh4&#10;1j3S8lsdP4THtoyicMWlTWqXdSu81VRlxfL161AUP5ZPs/yRlNetuLFyY3zJQuGi4peF8j/YTF3U&#10;HvC6V7/9m2l3KA375hn7vY7XtE39GmonPL5PhXPYBIrix/LpBF/1jJVVFB5Ll/jl38PXb32kcfbA&#10;imU1eC0+7cXt+8WXPLjzb757i/fTmrh+PMXvR4r9rV/wuqh/sMkK58DrovjdDFc9Y3UoCo+lS/yE&#10;193SAc51qGyLzeJZasOt+9V8v9olM2dkX3/9dcN52Xx73Z3wupzjtwiPi8J7XS9T/cupl832C5j7&#10;wIrl1Xkxe8FZ674jX0dkHzpzKe1FZ43b/dbfrQyfMwOXXDwrX7Ndkp1/7jnZvLnXuHVz8rV4bt3N&#10;1rXM6RJel3NcFOFxUXiZdS7VrZw6165+AUM5p8i5F/aZcvZd+iuqdSX5oSGezycO789wtrld9S9T&#10;vgmvyzl2pLcxXSkKj6VL/HL2d7/3C2eMOIcpvbXU4rJ12zhy23Dr5t435uv9LseE1+Ucv9LPmP4V&#10;hcfSJX45+7vf+kV2iZUPPpjt9MudanB6/A7jnb2DO5LZ+8+9cawnsZ6odKLIhb1c7727xt0DxN51&#10;zoxwVyB3vHHXxCY/2tTl/2/5fW/a99Vv8lR7WoHXVrbKt4y0G+uNMdnE+JJbER4XhSufRBM+d0sH&#10;2LfOuQ7Ngw864IC6douiMRFrB+eONB50Rj8Wt9f5rcBrZNCsrDspv07idT15KEw0JAPpXygMXlF4&#10;LF3iJ/xulw74+sydM9JTzj5x97Li+HQ0dSIvlcMZ/tHkVfa0rcJr2qk+KGubu4nX9WRjw1g34cy8&#10;9C8my6LwWLrET3jdLh2weox9QzqK/YIybbjqIB5UboU1SkmnstL8Oq7fknGzcm60P1oVr1N4LblQ&#10;b+uWX5Qw7G3ceTlt6jRni+NuCukeNNZ2xYmFJ35cb5Ns2icb6bu1USBv+PXkXhQeS6t0Gg8Jr4v7&#10;VjITjcm22/xO4bXaKXmIig9deOOfa94pRt9k55PuQW0a61Ycy0vuYl1NMmqvjKTrPl7H5K74sfBG&#10;+ZXxs0H1jtlG0/VavNHaQ5A3P+aJD69c6d7FLasMOo3XkgN3sPFNyB31++69T/V+V2HuVmN+5t5Y&#10;4428x3L7G29PKkx5+LQo3I+f/O3FqSTf2jl0o3jdKrlpPNh72ttxX1gzeXLnqX+nWLN+vcPS6P0h&#10;YDO2Kb47SENdkNX248a5fev17qpvVd80m89I8Lrof78onLUV7qSTfKRPUObRyJ074njnKdQexQ+F&#10;wSsKj6VL/ITb7dIBOyas/dqWZ+NYt41j3YrD3mowR7/F+bvput8RqvFQZhr6fm62vqedPMXJgvXV&#10;ZffcXfN/AK7wv8I7JpTJvnf83DO/ZNHNdffoWNl3291KvKYt0iXbLt735V08nQ3w+wicnn72mdlH&#10;H34YxGnlpX6U36dF4X785E843Qkd0JgIza8VRj1Wv/2WuwucfdSMywsvOD/jfVjmgNDLZl2STT19&#10;WvUudt731h3i0HtzjALD9c4ad5Dbe8h1V3sZ6C6/2sXdF68740WxbTT1y+/oO27SsdU76znTb2Vh&#10;97Mja8k9RjuhF82U0She0y61zZZj+XKDu7ffdmvGm3noxr9664VjthiTHX3U0fl78gucTLmLW3kq&#10;D/ktLcLjonCbV3InrO60Dtj5tcbSQ/m7uXxv8ob73nvt6bA5dLd4aFwoD1G1x8b1wxSnH2morVYW&#10;sTaH0sXidpvfKF5TT79dvv/qK+cMWy8UhkKZIzDX9tvs5+OHy6+85PdpUbgfP/kTZndKB9Bx5tf6&#10;tsQuyLf5LjvvnH+P3zTqt7tpR6PjqFNtbrScVtTbz8P3+3VRuKgfXlb/SPA61AbwF5zmrgLhpaXw&#10;L8u/5+zdM5IRVG7ytu5QWco3FAavKDyWLvETbrdTB9DrN//6RnbwQQdXdZT34F/x3u0u0n/q6McJ&#10;+eH5/Ha2r9m8bR2te6T5Ka2on158UYXj1088qB/PhnXbPRK8Zr0QOxC6dsLxJ2Tjtx9f1T+wcqP8&#10;nC3v1fBW300LFzod9dsnWYjGwn0+/iI8LgoP5Zl4CavbrQPMn6Wb0GPyd/goM4QV7a5Lyr+39b0R&#10;vGZ/C+uFY7YcU6N30kH4rLO2+14ZlRfTuaLwWLrE720dLnP/rX3/veqY+fm249we1m+++aY6h4vN&#10;W8rcplS37o2XEF7z7ab1wnG5jgkHRZlXT87fB18wf76bbzPv7kQfqvxYWUXhsXSJ3z3963fZW5s1&#10;Y81vb8LrpHu+TtTzW7zmjYpNN9msuiYi/IOyTjIz31/0+bp1NTrXyW861SfWnqLwWLrET2OmXTqg&#10;PXyMH96DUTkJp5POSRdGQi1eC+8s3XOPPdz5FemXqC0jxLPhrXKrXrH8isJj6RI/jZ126YDdw8dY&#10;Y6yExkuI1646pXx7V98tXm+04cZuvZA7z7GHYBdR3/r65PsVr520CI+LwttZt5R3746BdvZdkT2k&#10;nWWnvPtPJy1ev/7qK8H/fr/fu4HV1KEIj4vC/XYkf//pc9n61J9fl61+qT69NQYsXqNbZe6/Ijwu&#10;Ci9z21LdemvcNNpfCa/7s18b7f9Wx0t4nfSp1TqV8hvSqYTXQ7JIejF6WSS8Hr0Mkx4mGcZ0IOF1&#10;0o2YbjTDT3id9KkZvUlpGtObhNeNySnpU2NySnjdmJySPiU5NaMDCa+T3jSjN7E0Ca+TPsV0I/FH&#10;rxs+Xndrb1Xqy9H3ZRlkmPC6P/qxDLqU6jBcl3y8TjIaLqMkk8ZlkvC6cVklvUqyGqkOpPMySWdG&#10;qjP14ie8TvpUTz9S2Oj0Q/eHcDaAsZbkOTp5Drr8El4n/Rn0MdDO9lt7yDlnn5vwOj+n3E5593ve&#10;Ca+T/vS7jnezfV999VX1HoUjDj8iYVXC61HpQMLrhNfdxLN+L5v9IEce/l8Oszf50WbV9woabbe/&#10;n0R+UeWD3+cRFuIpjQ0vimfTJHf3MCPhdfdkn/S+v2UvDOTt0h22285hNvdg/37iwdl1c6/Onnjs&#10;0fwN3vCdPUprdUQ8qNyh8BhvJOlsHsldHj1NeF2evkjjon/74qMPP8wmmvd2dTeZ6Oab/Tgb9/Nx&#10;2W/33Cs76IAD3Ruo06ZOc2uUty5ZnPF77JGHs5dXveQwfl3+bogwW1T6Y3E5FKZ4UBtu09k4yV0e&#10;vUx4XZ6+SOOi//uCOfUxRx2Zbbbp5tX5NnNu4fZI6d577Zkde/RR2exZF2dLFt28fs7+TqGN1OJ0&#10;0rve0buE173TV2lc9V5fFeHim2+84TAWvJ1+9ln53Hr/6LvWYLnFduv2cX7D733f5XXCcZPWY/lN&#10;rhzpkK2XdSs80XLqWsLrcvZLGi/90y8xPCziY9vmjacnn3g8e/ihlc4mcvnsy52NZMqJU7JJ+ZvX&#10;2E94/3rsNmOzH2z8w4bn6f/xs//Idtpxp2yv3+yZv5092dlfzpt+fkb+2F6WL7vPlftKbn9Z+/77&#10;w+brtu7WHdLbULh4okonv6j4iVbGQ8Lr/sGFpNP93ZdgmI9jvh8dwOay7N67s8suuShjfs2cvd5c&#10;3A+zfuses+UYl9dpp5ycXTVntivnyccfy7768suaeqmeqpuo1U/Ls27FCfEUNsg04XV/j/FB1u1+&#10;bbvFMrlFY20mnH0qjz/6iMNy7C/Y0XffbbeaObnFZ9/GUs/P/hf+F/iPIO+VD6xwa6Oxeonv01j9&#10;Ez/Nr5MOpP+qXtEBcC2EbY3w1cZYeoVjf3n+2WecHeTee+52dpEL8zP0Z591jrOZsG8F+wm2lzFb&#10;jKnB+XpYvsmPNnVpJuw2Idv/d/u5vC6ddanbi4695UszP7ftUb0SHRqnaX49JIukF0kWZdSBEM6G&#10;6hmKJx7xrdtPT5gNj7mVTuHM2bG/XH/tNdn0cyrrpcyzhd+ar4uKb+lP/22L7IZ5c7M176yu2smV&#10;v8pLtDI2E14njEpjofw60Ah+EUfxYrReXyuN4sgvKn4jlDSrXnrRYfmCG//kbCTguPYxWry27uvn&#10;Xeswu5kyG6lXr8dJeF3+sdrrOpbq334dawTfFEe0Xr8ojihx5Rb108f4n3z8sbN9zLhgRm4vn5Bt&#10;vn7vuXD6e/93o+p8HN7YrcdmF190kbO3+2UMuj/hdfvH0qDrWGp/7+tYDItjfPaMsEeFvSQbbbhx&#10;DR6DyewP55zPkkU3ZdyJhS2EdUobl7k4dpZYGYOoVwmve38sDaLepjZ3Tm/BS/0kd4uhuD/79NPs&#10;4ZUr3drkoRMPyThfr/kzlDn1QQce5PZ3r1i+LPvkk4+DturVb7+dzZw5M/vpT7aopj/yiCMyzvOr&#10;DrZs1WdQaMLrzun9oOhUamfv61Q9TLRh76x+OztlyonV/d1aVxRln9+SW24O2qRtPtaN/rBXZftx&#10;46qYzVybu1OkW3588fudJrzu/bHV7zqa2tddHQ1h45JbFjk8FS7buTTuU046sWa/h9+HoTxtHMLZ&#10;e6K9JpQDZn/0UWWebeMOkjvhdXfHwiDpWmpr7+iaxVNsF9gwzph2RnC9cPPNfpIdcvDEbO41c93+&#10;7XXrPhs2nyY/5Wmp3FY3bFz4Z515ZnWe/bt99nXnKW38QXInvO6dMTRIepna2hq9FB76GFgkX9YL&#10;WQvkDCRrg3b+zFwXHmuJrCkW5dWK8NNOnlKtA+W2Is9ezCPhdWvGRS/2fapz//a9cNr2cRGPcPZp&#10;gNPcIQVGy94hOn777bPz8nMx3ENl826nW/X+9YShs/O8Yyx+O8suW94Jr/t3zJZN11J9OqdrPpbJ&#10;D9WP/nh51aps4YIF2dTTp2U7/XLH6hxW82nueOLdyevmzXNxSaO8Ot2fn332afV/5LRTT63aXFQf&#10;0U7Xq5PlJbzu3BjqZL+msga3Xy1uWbfVCfZs2DfKhM+if5w2NbheaPOzbpt3O93c9Uod2R/YznLK&#10;mnfC68Ed12XVyVSv0euksPSbb77JuFNJ64XceW3t0f/yne+6e7CPPOJIt174ysurau5HJR/91C/K&#10;W/5OUt5BY84PZvO+g8pWnUTF7zea8Hr0Y6PfdCK1p/d1gjvvnB16h4odWvNmUa0XWju0j3Xyi5ZF&#10;L2iX2mHviCpL/dpZj4TXvT8226kfKe/y6YfFT9zWD35xhnurLbeqYpqwDYoN5Lxzznb7mHutb9XW&#10;z/M5Nm1hDZR35nutHaOpb8Lr8o3H0fRnStsf/SlsEhZbv3j0NWf+WAucctKUbMfAeiFriKwlLlww&#10;P3v9tVdr1uhsPr2kN9R7p1/u5DB71513qbapl9rQbF0TXvfH+G62/1O6cve/xVTrvvrKOXXXC2de&#10;cH7GfgqbxvZ1jG/jlMXt1xU/b07quwHbT1nq2u56JLwu93htd/+n/Hun/5lLc1Ykdof0Ljvv7GzW&#10;nONWv4Jt+vk8+XuR8uaN8Pq9d9dU29uLbRlJnRNe9854HUm/pri9168WV8HcF557NrvqyqvcWW+d&#10;XxFGbZSfL5yw627ZmX88y+39+Osbrwfn0uQpXbD5i9crVO0QnTt3bhWvn8/lJH6vtKfZeia87r1x&#10;3Wxfp3Tl7mswh3N73HcnXBbV+ULO+HG+kHuPGu1P8rV4Zt2N5lGmeNRf+7CRz5NPPN6wLMrUjmbq&#10;kvC63GO4mT5NabrTpyEc9HnWj5u5odYLx23782E4PWHXCfl64VS3Xrj67bequGvzGcT+Tni9gbtz&#10;tsx9r7lGrI5F4bF0id8dfBsEuYdwlT3P2KF/7N3pL/3F9sEeY/athdKHeIMgS9vGhNcJr60+JHfC&#10;8JHqQBGOPv/sM+6+O+GyT3/z6z2y++65q4rRNj/rHmm9+jF+wuuE1/2o16lN7f/fEZZC5Wa9EFvH&#10;pbMurawXeucMuf+Ct2dnXHBB9vBDK919d0qvPEJ9Vy8sFL9feQmvE173q26ndrUfsyXjVS+9mB19&#10;5OHD7NCaS7NeuPKBFU2tjyWsHurHhNcJrzXmEh0aF0kWjcniiccezX4/cWL1vmjhsyjvWq184P5C&#10;nG4EkxuJ0+/9lvA64XW/6/ggt89iXMgd4oXkRbwP1q7NVixb5t763nfvfWruuwOftxrzM3dnNGc6&#10;Hnvkker7VbaMUN6J19h/I3JiD5/+C++4/TZnh0K+/S7jtJ+vcR1J46k/ZRUa4yEe64XHHn2Uwwnt&#10;hxZmQA/Yb79h72MNAoZ0Y1xYvF6yeLH7bgn1WTfq1s4yE173Jwa1U2d6Pe+icW3DWTe8Yd7czL5F&#10;ZTGadUPOr2C3tul8t/yivS7Dbtff4vWtS5YU2pm6Xd9WlZ/wOuF1q3SpzPkIJy0NuTk3ePttt+b3&#10;3Z2c/XbPvbJ/3fiH1e9ucHrMFmOyo4862p1fATO++OKL6tyO/JSnZGH91q3wRJsbfxavmV9L9v0u&#10;44TXzelLGme9K7fQmL76ijnZpptsVoPN1ubBO+HYQ+j3UHqrD36477dxk7s5PRJe00esPQ6KHBNe&#10;N6cvg6IfZWxnCP9CPNVdYaJr338/u2vp0oz1wHrrhZfPvtyta33VwH2dytsvM+YXP9Hmxp/wmm8e&#10;4bXfB/0o24TXzelLP+pCr7bJH6f4fR52aN4iOfjAA2rm0LJFyw7NvrxelcMg1Ru81veP8HoQ2p/w&#10;OuF1L+i5xV/rVt1DPMKwR/M+Fm+0anwLo509OudPP/vM6H13sXxVbqLdGT+aX1t7yCD0VcLr7uhb&#10;GueNy92Ow5AbnvjcA337rZX1Qu6H3mjDjWvm09ylNOnYSW69kPPi1tahfHxKXyn/1G+N91s7ZUXf&#10;6X/3huuvr/ZPv/dTwuty6F87dbvX8w6NQZ/H+1ixd1fgz5xxfoZNhHQ2rXWH5FQUHkqTeO0fU++u&#10;WVPFazBsUGSe8Lr9ujUoutTOdoZwE/wFhzXP8ik4fVW+70P1Uh6i4oeo4oiG4iRe98YO7zqov2dc&#10;cGG1j/u9TxJed0/n+l23bPtCuBfi2TTWjd3iuXw/3cIFC/I7SY/Jxm+/Q3W8Mm6xe3DfHe+Es38a&#10;u4hNn9z9pedpfl17f8hIxlKnxoL+T2PlFYXH0iV++8eyr0++3/aBwqCcG+T84FZbblWDz+pr1hFZ&#10;T2SubfOQW3nJn2j7+7oTMrZ4PfX0aTU2rk6U360y6r0LXzZd1xiNyaooPJYu8ds/hhvRJeLw9srC&#10;hQsz9DL0PhbrhSccf4LbP82a05fr90bb/HHLL5r6uP193GkZa7yzftzP/Sx9hlq8Lnub1T8xvSgK&#10;j6VL/PaOZatX0j1kLr6zQ19wft31QtYTNYdWOpuH77Z+Gx9++vW+DOhTjXcwbBD6lDYLr9nHaHW8&#10;jO1X/8TqVhQeS5f47Rm/FidxWz8yL3ofi/vult93T1Nj0S8r9XF7+ribct1+3DiH2dzz0s16dLLs&#10;yZMmV/+npOOinaxHI2UV4XFReCNlpDjtGdfci8QZhwXz57v7krA7q7+gP8jvVdr/d/tV1ws55xLr&#10;C6ufckN9t3jix/JL/Pb0ebvlyhsQ6A7rzO0uqyz5H3TAga7NY7ceW22z9LwsdVQ9NL7l92lRuB8/&#10;+euP09HiHOlXvfgXt17IeW/1j6XcU+rWC9eF1wtTH9Xvo0GWz+xZF1ewa5sh7JI8RqO7o0mr8pul&#10;lB0qXzy+JRg//Ff5ZSiOz++WX+M8Vn5ReCxd4hdjwkh1Ydm9d2e8960+EdWZcHvfXZJ/sfyTjIbL&#10;iP959GnD730/iHHffvttFNOsPuOWn30n3CHz+KOPZAtu/FPGf4J+6Cw42ejvhMmTqmnJg/qS75OP&#10;P1Zdi6FfVXasj239mFczlk475eSadEV5xPJuJ19jPlZGUXgsXeIPHwvqf+mK9Ute4rE3mnevuO/u&#10;kIMnuvew1BdQxtO+e+/r3s/iHS3uxyMP5a38Eh3eD0kmYZmgO+yxl55pv7100urXN998k4HD2OMW&#10;3XRTxpmTi2fOzC7Kz1pddslF2SUXzczOmz7d8S+/fI677487tZcvu89hK+n4vbLqJZcPeTXye2XV&#10;KpcOfCb9iuXLqnlTh/Om5+XPuiSbfems7JKZM7IL8zX3C2fMyK6bN8/tf3o5L8/el/DZZ59mG+Vj&#10;iTbzX6K22nEkXhn0Rn0Tq0tReCxd4sfHhC8bqw+8HysbIrLX3Fnu3088OGP/tJ+H77f65oclf7hv&#10;klwq//daczzvnLOr+IVswDnWqk87eUqGLQ49ZR8/330x2VndJo78o9FP5aEyfb/KsXzGzJJFN2XM&#10;zxlL2AxPOG5yfkZs++r/03333FWd8yjvstEiPC4KL1t7ylof6Y6lrBc+vPLBbMb5F7h1wdh64dTT&#10;p+Zzgztr7rsjH+Vl2xzj2zjJnfA6pAPSHfZ5Mu75hmPvxOzLZmdnTD0tOz+fLy9cMN/Na9etXxtR&#10;GvLz9VF+S238UB0a4fl5+H7VxZarfMVjLj/7ssuGfbfuk3+zMuf348vfbVqEx0Xh3a5/r5QvPaG+&#10;zEewlcXWC7HpMRfQ3mjS2PSN+HtFLqme5fvv8N/V3HfvvYfNO319DOmk+tbGtW6FN0ubySuUZvGi&#10;m4edU6j3zdBsfVuRrgiPi8JbUYdeyIN+Vl/7VPUXH791Kzy2XoiMuUfpmCOPqL6PpTSJlg/P+rlP&#10;WBfUmEcnsXdYe28/tV1jFPr5unVuHVNtx9aj8DK1WfWL1akoPJau3/jqO1HaZ91+e5kbP/zQSrde&#10;GNrTUbH/HZTNzt/Heubpp6rzF/Ksl69fTvInPG+lDli8xuYxCLpox5zGKniNXMvW/iI8Lgpvpa70&#10;Ql5F/cd64R67T6hZJ5QMWTsMrRdafSnKvxdklOrYu/8hFq8HsR/r7cUugzyEJbG6FIXH0vUbXzjq&#10;U9rJuUG+G3fYbrvqt6TktsH/+Rf3bhb7RN9Z/Xbd/2uL2/0mv9Se3sDwhNeVszMH7r9f3bHaLX0W&#10;rsTKLwqPpes3vsVp9qWy7/OsM8/KQu9j/WKHX7g903Ovmevs0brvDpkIk0V9Oakcn5/8vYF3vd5P&#10;IbzuV51Uu0TpO39+TZgN73b/FuFxUXi369+p8rFHs2djl513Dto6WJthzwdYHurfkfBCcTvVzlTO&#10;YP8vhPB6UHSCcefjddnaXoTHReFla0+9+ggHfVovzZp3Vtd9HwsbCPtVyUP51ssvhQ02Hpa9/wcZ&#10;r+mbhNfdHZ8xDIVvw+R/7dVX3ZkA3tfY8Zc7DrNHw+N9LM63vvLyqipO27zKPiZT/bqrk2WWf8Lr&#10;+N1PZei3ovnz/2fv3Ho0K6owvH+B8cJ/gInReCFHE4UQ5QJxCJAoRBGPoHIjkYA4MkAQUOPAcBCI&#10;cGeEwZGDDiqOgCDRBPVGJKJEuQE0GExAMPwAv3fL+7mmZletb3qqu3d3nk6+VO1aVWvXXuup1bWP&#10;lcnncAy1PqwaQ6fuF8b3wD+4+FbZ3u9/r3q/cNX91PpJOfFzLgwQr4nXm8Wi58wxnuo7NXrf9P7F&#10;+lgXfemi4cwzzhzeftQ7lvNo5c8646zhwi9eOOh+oeqqjY/BupyqPOZdj5QYvBUZIF4TrzeTW8VS&#10;/Xy/UGsV+pwhpr5fqLUOy/5ah8prsblWXupimzg+ZwaI18TrzeRT9wuv3PW1MUbHaxyO1bpf+OCP&#10;HzgkRtf6PBWXp8pq7SknXs+ZAeI18XotfMYYWMtP6X128X3cu++6a7zWUX7vTjH6zMX9Qt1LfPTh&#10;h5ffu4v6p3RSRozdSAameJwqW7VPsW3MT7WP8XqqrsucWoe2yzLLtlLK8yH9xrp5cGoOdA3j6sWz&#10;z/5ur+fOTk879UPjHPoff39xWzDl4ybtx9acbWnelTo/1d+WbKr+VFmM15aXerNtt9uKKfG6z5gq&#10;GdE7g/q+uN5R0Xd6HZudqszfJfX3xaIO5eP2VmSLPvdhazPtWGNQ5eXaW626vY5B67Z4DEWdtX27&#10;TiZ3vbmnxOu1jSn5PzKg+4VP//Gp8ZkNrY913LEnLLkSX/rendZ01jviWh/r1VdeWbaPuqxzqmzu&#10;LNG/tbE0d7uZRbOp/jpvWXkMUW5ZWea2TqNetynTOL92O+uN7UuZt0t9W22beH1kYyzeL/T//Zjq&#10;2+rl/cLIV+RlqtxlTmN98kfmO+y3uv3Mn9PSdrFcea1vpdj62KOPHLT+rM439S1Q//TdIuXjvfaY&#10;j2OpzJd90HbZj6k6W7mMeJ0zawY0J9Y3o/XuoJ5/nlp/5ezFHFr3C7Vup+bcNTassyZXues4bdVF&#10;lvsRGx2ejcTvc4v3abVurNZ723v33eP6tFpj+SuXfGVcI07xQ+t3652to99zzEHnlGV87b2tNWv1&#10;W65f+52bl/8btKbuLTfeMMok17q2Wu9WP43fnzy4fxzLWndrrlzEce/8do7Xvr7mY13FL1N19Y2k&#10;eB26/P+vZ6bL9bFW2Rd1Di9+YK/1tZe+ja4494ULzh+/sbuW+FqODd2n0RxaOjWPvuTiL4/7uOP2&#10;Ww9KNX40H89+v//tk+P65UpLHqbGruqU5Z77qw/aX6lnDtvqc9lv9cvxWjadQz/LPpiZstzbmdz1&#10;ytS2KFPX0z1AMaR7gu9657sPmTeIQ8XwqXXUrNO6SNc3zmDfw7Nv5PO+fT845HqEx1QtdUzWuwGK&#10;wVqnXLHv3n33jPFP9wT1DQX5Je6r9JNlZVrWy7ZXbe96Wb+y/W20PPbb8Vp23+h+rLI/M1Or25LH&#10;41R+6me9OvfTNQxdy9D9wuOL+4V6v1DXQHQupTXDX331laW9vJ9Sv3WTHl48wV7ra68/P/PM8ImP&#10;n7u4J378IfMQXdfQNxA+f/4Fw6WXXDrcduvt47WDXxw4MK4Lp+sHeu50ykceB5bFbY+NVWSus2rq&#10;/ThVO+/PqctKnbFNKdvM7dhv90Nl8pti3naM1/E4lZ/yjc6NLl6sI+u4r9TzB6W6X+g5dLThlC6X&#10;xXruA+n6xiDsu7p9NR8x47oHo/NEnUt6TlwbKzUbm3fz73ou93ZMy7pRluVj25iP7VzuNMqUj+Ux&#10;X9bb7G33zWk5v3b5ZvfT+3cc9XaZZnLXj8elvJ7ZmFofy/quu+bqQc9+TLV3mVPpi/pdTrp6DMFW&#10;G2crjXnH65v27BkZn2I4Mh3z6+mr1n5qMpcrdb7Vx6k6U2UtHZsl8/eFtsv8Otrd+X++9NK4Pta1&#10;11w7nuuV16NPfP9J4/vh4/fuFt+M1rsubhv9orJauerV5FEH+Y2LS9h62tb37N170Dtc+i7C5z7z&#10;2WH3t3cvngM5ML5H8Prrry/j+OHacWqMSEcsj/nD0b/WduU+pKenrvU8vheef364fvfu8Rkczyf1&#10;vEvPYyjts9Zt96/WPsqj/X2/UPejXSemul/49auuHN9BdLuYOl/bL+XTsQC7bA276NxR30jQOIjj&#10;QnnPvT92ztnj2kV6huK11/69jG9xbChfbouBWGYmXObU5bX6pTy2q+Vjm43Ix36U+2vJyrpx2+0U&#10;w/S8TvSR8n955k/L8/7Ybg55s1Tri+U+RnGotb6nvqWkuroGovvZulbn5/1quinfGrEHP63dT08/&#10;9YfxGbtjjj52jNuO1R5XTlV++od3LMbOt8ZnQZ5d3Pep2d1jsZS7XKnzZZ3atuuXaVk/k5f1j2R7&#10;LfuaauOy2Bf9j9R9X9vf6YGfP7Tm856of73y7mdNv+W7Lr9i2LHgydtOT3zfiYtn8i4e19B67m9/&#10;XR6rbaTUee0jbsfy2v4pX3uswHabYztzbda9/exi7Qu9R3LnHXcOOy/bOT7re8Jx7z1kTHlsKT35&#10;pJPH7yzomrjeoRnfSbnx5uFHD9y/eI7qN+O1FT1PoudKvB+PM6et8lKmbZeVaeTJsljWOx/3oby3&#10;nY/bPlanlmlb9vnV448NdyzsPr6HVzy3c965541+qdmw93EdiT6zUdNheZnectOe4T9vXoMr20Zb&#10;1fJlG7Y3J7Zg9/W1e+Q/2jqW61lXPVP93dtuHZ8jK78zWZuTl2NS23reSvfKrrri8nGevv+B+8Zn&#10;trWPuP8yH/sT8643VWbZRqZT/YhlzsueilGnnXrq8v9hacdPf/JT4zMPbrORx7HWfdnntfaWa+2s&#10;H+7bN2iO4O/dlW183GUa60lmeSwnv75xA/vOx75TY6AcE2+88cY4L/zdk08OD+7fvzh/vXe44fo9&#10;4xxbY1HzbT3Lnc3PPX6d6jqm2unai3Top/NjPQuu9+D9Trn2qZ/ujyr26Z15fbfYc3k9M7DRTOka&#10;q+bA6s+vn3hiea7yjeu+OT7PoGen9e6+jzWmOm4dq+75aq4d15EqbR+PqyWL9TYq72Oq7S+T19pR&#10;Pp/4gC+2vy90X0nXZPUepH56b1jz7OOLc3+N53Ke6TE+la5SV/Ff+/JPz5vrPp77kqVlXbW3LqVT&#10;/crK1O/Td+wY+6DvXcwt7q51TPq4a+0zea0d5ds/RuDj+fo4xiflNSfV90sUOxUfd1526TImeow7&#10;dYx2qvKYd71WeazTI1/bf9R9zkc/Mui9jsd/+cjw4gvPL+f/0RZbnVkfb+04MnmtHeXzHcv4Bt9E&#10;BhzP9B6FrjdoPuprILoeonukujaid+d9v3PnV3eO12Z0HUXv1utag65HKNU7J5pz63fKB05Zfl/Q&#10;ZdX0ze8Qaj0o6fFP12t0r3XX5buGmxb3WrXe30M/++nYRz1/86+XX17On3UsPp54jMq3ZGXduW5n&#10;8TiTz/W46BcxCQb+x4Djl9PSLrVy18vkqlc+u7tKG+tX6vpOo6xHXnrXS3eP/q2qI4vHmXzV/VCP&#10;+AkD68tAKx5FmfMxdX5VH03Vd5lT6Yr5mm7XcVqrl5WX7b3tNGu/FeRZPM7kW+EY6eP6xgnsOw/7&#10;xrhUy9tXUe4yp5KV8mzbbZ3G+jFveS2dqqsy/2rtXB7bx7zlSmvlsc5c81k8zuRzPS76NY8Ygh/w&#10;Aw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Gw56VEDNsAGMAAD&#10;c2CgFtPn0Df6wBiBARiAgf8zUIvXlHN+BgMwAAMwAAMwAAMwAAMwAAMwAAMwsN0ZeMswDG9b/PT3&#10;1sVP+f8CAAD//wMAUEsDBBQABgAIAAAAIQDjXmOI3AAAAAcBAAAPAAAAZHJzL2Rvd25yZXYueG1s&#10;TI5BS8NAEIXvgv9hGcGb3cTaWGM2pRT1VARbQbxNk2kSmp0N2W2S/nvHkx4/3uO9L1tNtlUD9b5x&#10;bCCeRaCIC1c2XBn43L/eLUH5gFxi65gMXMjDKr++yjAt3cgfNOxCpWSEfYoG6hC6VGtf1GTRz1xH&#10;LNnR9RaDYF/pssdRxm2r76Mo0RYblocaO9rUVJx2Z2vgbcRxPY9fhu3puLl87xfvX9uYjLm9mdbP&#10;oAJN4a8Mv/qiDrk4HdyZS69a4YUUDTwkoCSdL6NHUAfhpzgBnWf6v3/+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NIYB4dAMAAAoIAAAOAAAAAAAAAAAAAAAAADwC&#10;AABkcnMvZTJvRG9jLnhtbFBLAQItABQABgAIAAAAIQCd3Hg4RYgAAJjpCQAUAAAAAAAAAAAAAAAA&#10;ANwFAABkcnMvbWVkaWEvaW1hZ2UxLmVtZlBLAQItABQABgAIAAAAIQDjXmOI3AAAAAcBAAAPAAAA&#10;AAAAAAAAAAAAAFOOAABkcnMvZG93bnJldi54bWxQSwECLQAUAAYACAAAACEAjiIJQroAAAAhAQAA&#10;GQAAAAAAAAAAAAAAAABcjwAAZHJzL19yZWxzL2Uyb0RvYy54bWwucmVsc1BLBQYAAAAABgAGAHwB&#10;AABNkAAAAAA=&#10;">
                      <v:shape id="그림 1050" o:spid="_x0000_s1110"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z9xQAAAN0AAAAPAAAAZHJzL2Rvd25yZXYueG1sRI9BT8Mw&#10;DIXvSPsPkSdxYylIIFSWTWgbqMCpgws3qzFNReNUSegCvx4fkLjZes/vfV5vix/VTDENgQ1cripQ&#10;xF2wA/cG3l4fLm5BpYxscQxMBr4pwXazOFtjbcOJW5qPuVcSwqlGAy7nqdY6dY48plWYiEX7CNFj&#10;ljX22kY8Sbgf9VVV3WiPA0uDw4l2jrrP45c38GRfom7en+e9dmU3lMf28NO0xpwvy/0dqEwl/5v/&#10;rhsr+NW18Ms3MoLe/AIAAP//AwBQSwECLQAUAAYACAAAACEA2+H2y+4AAACFAQAAEwAAAAAAAAAA&#10;AAAAAAAAAAAAW0NvbnRlbnRfVHlwZXNdLnhtbFBLAQItABQABgAIAAAAIQBa9CxbvwAAABUBAAAL&#10;AAAAAAAAAAAAAAAAAB8BAABfcmVscy8ucmVsc1BLAQItABQABgAIAAAAIQBBhGz9xQAAAN0AAAAP&#10;AAAAAAAAAAAAAAAAAAcCAABkcnMvZG93bnJldi54bWxQSwUGAAAAAAMAAwC3AAAA+QIAAAAA&#10;">
                        <v:imagedata r:id="rId43" o:title=""/>
                      </v:shape>
                      <v:shape id="Text Box 1051" o:spid="_x0000_s1111"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MFtxQAAAN0AAAAPAAAAZHJzL2Rvd25yZXYueG1sRE9NawIx&#10;EL0L/Q9hCr2IZq1WZDWKSAu2F+nWi7dhM25WN5Mlyer23zeFQm/zeJ+z2vS2ETfyoXasYDLOQBCX&#10;TtdcKTh+vY0WIEJE1tg4JgXfFGCzfhisMNfuzp90K2IlUgiHHBWYGNtcylAashjGriVO3Nl5izFB&#10;X0nt8Z7CbSOfs2wuLdacGgy2tDNUXovOKjjMTgcz7M6vH9vZ1L8fu938UhVKPT322yWISH38F/+5&#10;9zrNz14m8PtNOkGufwAAAP//AwBQSwECLQAUAAYACAAAACEA2+H2y+4AAACFAQAAEwAAAAAAAAAA&#10;AAAAAAAAAAAAW0NvbnRlbnRfVHlwZXNdLnhtbFBLAQItABQABgAIAAAAIQBa9CxbvwAAABUBAAAL&#10;AAAAAAAAAAAAAAAAAB8BAABfcmVscy8ucmVsc1BLAQItABQABgAIAAAAIQCHjMFtxQAAAN0AAAAP&#10;AAAAAAAAAAAAAAAAAAcCAABkcnMvZG93bnJldi54bWxQSwUGAAAAAAMAAwC3AAAA+QIAAAAA&#10;" stroked="f">
                        <v:textbox style="mso-fit-shape-to-text:t" inset="0,0,0,0">
                          <w:txbxContent>
                            <w:p w14:paraId="0B74D3EB" w14:textId="77777777" w:rsidR="006D7011" w:rsidRDefault="006D7011" w:rsidP="00B56B0C">
                              <w:pPr>
                                <w:pStyle w:val="af0"/>
                                <w:jc w:val="right"/>
                                <w:rPr>
                                  <w:rFonts w:ascii="Times New Roman" w:hAnsi="Times New Roman" w:cs="Times New Roman"/>
                                  <w:noProof/>
                                  <w:spacing w:val="-1"/>
                                </w:rPr>
                              </w:pPr>
                              <w:r w:rsidRPr="00404101">
                                <w:rPr>
                                  <w:rFonts w:ascii="Times New Roman" w:eastAsia="Times New Roman" w:hAnsi="Times New Roman" w:cs="Times New Roman"/>
                                  <w:highlight w:val="lightGray"/>
                                  <w:lang w:val="pl-PL"/>
                                </w:rPr>
                                <w:t>Rysunek F</w:t>
                              </w:r>
                            </w:p>
                          </w:txbxContent>
                        </v:textbox>
                      </v:shape>
                      <w10:wrap type="square"/>
                    </v:group>
                  </w:pict>
                </mc:Fallback>
              </mc:AlternateContent>
            </w:r>
          </w:p>
          <w:p w14:paraId="1665A77C"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Umyć ręce</w:t>
            </w:r>
          </w:p>
          <w:p w14:paraId="54D6F625" w14:textId="77777777" w:rsidR="002E5800" w:rsidRPr="008F328C" w:rsidRDefault="002E5800">
            <w:pPr>
              <w:pStyle w:val="a3"/>
              <w:rPr>
                <w:highlight w:val="lightGray"/>
                <w:lang w:val="pl-PL"/>
              </w:rPr>
            </w:pPr>
          </w:p>
          <w:p w14:paraId="55ADC8D3" w14:textId="77777777" w:rsidR="002E5800" w:rsidRPr="008F328C" w:rsidRDefault="000E0B7C">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Umyć ręce wodą z mydłem i dokładnie je wysuszyć. </w:t>
            </w:r>
          </w:p>
          <w:p w14:paraId="06FE2943" w14:textId="77777777" w:rsidR="002E5800" w:rsidRPr="008F328C" w:rsidRDefault="002E5800">
            <w:pPr>
              <w:pStyle w:val="1"/>
              <w:spacing w:before="76"/>
              <w:ind w:left="0" w:right="2736"/>
              <w:rPr>
                <w:rFonts w:eastAsiaTheme="minorEastAsia" w:cs="Times New Roman"/>
                <w:highlight w:val="lightGray"/>
                <w:lang w:val="pl-PL" w:eastAsia="ko-KR"/>
              </w:rPr>
            </w:pPr>
          </w:p>
        </w:tc>
      </w:tr>
      <w:tr w:rsidR="002E5800" w:rsidRPr="00A5286D" w14:paraId="3979498E" w14:textId="77777777">
        <w:trPr>
          <w:trHeight w:val="5201"/>
        </w:trPr>
        <w:tc>
          <w:tcPr>
            <w:tcW w:w="9090" w:type="dxa"/>
          </w:tcPr>
          <w:p w14:paraId="3440F5C9" w14:textId="77777777" w:rsidR="002E5800" w:rsidRPr="008F328C" w:rsidRDefault="002E5800" w:rsidP="004142DA">
            <w:pPr>
              <w:rPr>
                <w:rFonts w:ascii="Times New Roman" w:eastAsia="Times New Roman" w:hAnsi="Times New Roman" w:cs="Times New Roman"/>
                <w:highlight w:val="lightGray"/>
                <w:lang w:val="pl-PL"/>
              </w:rPr>
            </w:pPr>
          </w:p>
          <w:p w14:paraId="3B21F5BD" w14:textId="77777777" w:rsidR="002E5800" w:rsidRPr="008F328C" w:rsidRDefault="000E0B7C">
            <w:pPr>
              <w:pStyle w:val="a3"/>
              <w:numPr>
                <w:ilvl w:val="0"/>
                <w:numId w:val="23"/>
              </w:numPr>
              <w:rPr>
                <w:b/>
                <w:highlight w:val="lightGray"/>
                <w:lang w:val="pl-PL"/>
              </w:rPr>
            </w:pPr>
            <w:r w:rsidRPr="008F328C">
              <w:rPr>
                <w:b/>
                <w:noProof/>
                <w:highlight w:val="lightGray"/>
                <w:lang w:eastAsia="ko-KR"/>
              </w:rPr>
              <mc:AlternateContent>
                <mc:Choice Requires="wpg">
                  <w:drawing>
                    <wp:anchor distT="0" distB="0" distL="114300" distR="114300" simplePos="0" relativeHeight="251658255" behindDoc="0" locked="0" layoutInCell="1" allowOverlap="1" wp14:anchorId="1B85285A" wp14:editId="194F0298">
                      <wp:simplePos x="0" y="0"/>
                      <wp:positionH relativeFrom="column">
                        <wp:posOffset>10795</wp:posOffset>
                      </wp:positionH>
                      <wp:positionV relativeFrom="paragraph">
                        <wp:posOffset>31115</wp:posOffset>
                      </wp:positionV>
                      <wp:extent cx="2256458" cy="2901950"/>
                      <wp:effectExtent l="0" t="0" r="0" b="0"/>
                      <wp:wrapSquare wrapText="bothSides"/>
                      <wp:docPr id="86" name="그룹 86"/>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4012" name="그림 401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8" name="Text Box 78"/>
                              <wps:cNvSpPr txBox="1"/>
                              <wps:spPr>
                                <a:xfrm>
                                  <a:off x="1536700" y="2755900"/>
                                  <a:ext cx="719758" cy="146050"/>
                                </a:xfrm>
                                <a:prstGeom prst="rect">
                                  <a:avLst/>
                                </a:prstGeom>
                                <a:solidFill>
                                  <a:prstClr val="white"/>
                                </a:solidFill>
                                <a:ln>
                                  <a:noFill/>
                                </a:ln>
                              </wps:spPr>
                              <wps:txbx>
                                <w:txbxContent>
                                  <w:p w14:paraId="00F2C22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85285A" id="그룹 86" o:spid="_x0000_s1112" style="position:absolute;left:0;text-align:left;margin-left:.85pt;margin-top:2.45pt;width:177.65pt;height:228.5pt;z-index:251658255"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rQrB2AwAABggAAA4AAABkcnMvZTJvRG9jLnhtbJxVwW7jNhC9F+g/&#10;ELxvZLmRXQtRFm7SBAuku0aTYs80RVnESiRL0pbTD+ovtId+UfsTfaQkO0622G0OlofD4fDN4xvy&#10;4u2+bchOWCe1Kmh6NqFEKK5LqTYF/eXh5s33lDjPVMkarURBH4Wjby+//eaiM7mY6lo3pbAESZTL&#10;O1PQ2nuTJ4njtWiZO9NGKExW2rbMY2g3SWlZh+xtk0wnk1nSaVsaq7lwDt7rfpJexvxVJbj/UFVO&#10;eNIUFNh8/Nr4XYdvcnnB8o1lppZ8gMFegaJlUmHTQ6pr5hnZWvkiVSu51U5X/ozrNtFVJbmINaCa&#10;dPKsmlurtybWssm7jTnQBGqf8fTqtPz97taae7OyYKIzG3ARR6GWfWXb8A+UZB8pezxQJvaecDin&#10;02x2nuGQOeami0m6yAZSeQ3mX6zj9Y9fWJmMGycncIzkOX4DB7BecPBlrWCV31pBhyTtV+Vomf20&#10;NW9wXIZ5uZaN9I9RejiYAErtVpKvbD8AnStLZFnQ80k6pUSxFqL/+48///n9LxJdoDmsCoH9MhbK&#10;utP8kyNKX9VMbcTSGQgX7RTkmZyGx+HJnutGmhvZNOGogj1UB5E/E8lnCOoFeK35thXK9x1lRYNC&#10;tXK1NI4Sm4t2LVCRfVdGQCx33grP67BhhY1/BtgA9MlERHkEFkpw0BhZdz/pEoywrdexX75SY1k2&#10;RfdGjc1n5/NF1NhBKaDQOn8rdEuCAahAFNOz3Z0bsI0hAbXSgTBgZnmjThzIGTwRf0A8mCggtAfu&#10;KDfyi9ELhv9XG97XzAigDGmPupmjl3rVPIQe+0HvCVyAOoSFViV+D/+gj+DvkY6Nc+jYNPtuNp+A&#10;uNCb8yxbwI5Fj907TxfzsXnT89mk793X8+p0I8tRi4Hwq8aSHcPd29XSiyhnqORp1H/wf6wqWH6/&#10;3seuyqICg2uty0cwYTWOGxU6w28kNrxjzq+YxR0OJ94l/wGfqtFdQfVgUVJr+9vn/CEeZ4pZSjq8&#10;CQV1v25ZuDCadwqnjZR+NOxorEdDbdsrjVLTiCaaWGB9M5qV1e1HPFfLsAummOLYq6B+NK98/zLh&#10;ueNiuYxB/b1zp+4Nbqs0ijoQ+7D/yKwZ5O5xnu/1qCeWP1N9Hxtk7swSjXcjY0scWYTIwwDajlZ8&#10;bGCdvGZPxzHq+Hxf/gsAAP//AwBQSwMEFAAGAAgAAAAhAOw+MKDGfgAAmOkJABQAAABkcnMvbWVk&#10;aWEvaW1hZ2UxLmVtZuydebQWxfnnK7OcOb+/x8yZOfqLOkkmRKPGJTGiuAGCqFEEAUUQRbkoKoob&#10;osZ94b5s4ob7viNyQcQVURY1EUFUFBUQk6hZfkJGRxM56PS3+n67663b/Vb3u3b3fTjnUv12VVd3&#10;Vz31qaefeqrqB0qp070//hv3A6Ve9P74b+z/Uqrn9krt0PeIQ5T6gZr1l39T/9mLNJLopJf9N6V+&#10;81+UGuZFvMKLO8PFB/xXter//Sc10Pv9P73r+c++F8+f7uWxyPs7yjvRw/ub6P3d87l/3Q7qDcV4&#10;xPH4B2oH71eYTv/o/O/7779X8idlIDIgMiAyIDIgMiAyIDIgMiAyIDIgMiAyIDIgMtAdZWCH7X+s&#10;5E/KQGRAZEBkIDsyENcXSR1lp46kLqQuRAZEBiADLl7HxXe381999ZWaddMNavqUdnXX7beqDevX&#10;qT/98RP5y2AZ/PlPf+xSLzz3+CMPeXVYUnffcZv65ptvYuW/u8m3vG+27Ujsr+PqyRUfd11Rzz/6&#10;0AO6nU8rTVZr31uj2P7/+MnGLmwQjmenH2M9oU4++vAD3d+iz3179Vvqu+++E16LP1guZMDFY1d8&#10;Ublsvxfa9KZNX2hWo50/+/RTwucM6tRRfaTdl77+6nLN65nTpwqrhdO54DR55OKxK575dIdw0QvP&#10;6XZ+x623qI0fbwh4bepuUbyQc63Ts6PqpmPObF2PCLuD3Mo7ZtvGkaZ+XDx2xae5V57TwsYJfQy6&#10;Nbht62zC5NYxOWnZg92ot5tvuF7X46o3VwivRb/OlQy4eOyKzzOD0zz7siWveG28pNv5mnffCXRr&#10;sELYnU1W27o16gn2avS5+Pv8s89y1VbTyKukLY5Obdali8eueDOvoh6vfmuVp1tP02382YULylid&#10;VLeTdNlg+v333KXr8aH771Vbt24VXot+nSsZcPHYFV9URvO9vvryy0Afg++XcDcb3K2mHpa+8nJQ&#10;l6JbF1P/ZLstaujisSu+qOXC9+L3M/z3np4/T3idE58Q8Jz2atpFqFvDf571K6FwO08y4OKxKz5P&#10;71rNsz543z1aJ7t+2hT1/pp3hdc54jWZjRA2Ld9uXVLPP7NQeC12kFzKgIvHrvhqGJjla8y5E2/8&#10;/vXg+3npy4s1q6mrVfM9Lte0zpYCf3mOM659/71cttUstxt5tuZ8p7h47Iovaj2hTdN/b/7cOcE8&#10;RlNnE/62jr9pyx5jD+A1bCHffvsv4bXo17mUARePXfFF5DV8rem7h/ZtskH06/wwGvUGH76VK1YE&#10;ujXsIkWUWXmn5ui3rS5nF49d8a1+/kbcH/7V/HZ+quPJgNfC6nyxmv3snMcf1fV508wZwmrRq3Mt&#10;Ay4eu+IbwctW5/nIg/fr9o0xxjXvvB3wGu1fmJ0vZnOtEPS/6IdbLVty/+6hBzeqnl08dsU36rla&#10;la/pvxe1phO+r4XZ+WA26urG66frvhf261bJlNxXGF0vGXDx2BVfr+fIQj5btmxRt8+6WbfvW2++&#10;MdCr0e75bS2szgerUV/vdM49h+/8wqfmCa/FFpJ7GXDx2BWfBc7W6xneWvmmZjV0Mq4RYvKZxwzJ&#10;cAmzw3Czbp5ZMN+rT3/NF/HhEx23XpxoZT4uHrviW/ns9bo3fa45/63DW2eTOrXZ/oXL2eFyVF3Y&#10;dYV1b2G3xjgjvp3qJS+Sj7C/VTLg4rErvlXPXe/7+uvvtSuMMeI72m77UXyQc9njN+sN85vo4/PB&#10;2veF1WILKYQMuHjsiq83N5uZH/Xq1atWBm0bY4xo8zKumD0WJ+0fP9n4sbphBtZTLHWxW7POmyln&#10;ci/Rx+slAy4eu+Lr9RzNzoftdsu33yp+N8Nuve6jD/XYIvW0pIyQdK3nO/vZlSveCPpfrMPHum62&#10;jMn9hNP1lgEXj13x9X6eZufHMUboYub6e8Lr1vM3TR9o1hfmOKE+H3v4wUJ8Aze7Tcj9stvPuHjs&#10;is973XKMEbZO7HduM8LkgB0nv7PDdLOe6HON9bryLp/y/NllZyvqxsVjV3wrnrle99y4Yb3Ww8Bq&#10;zFlGm6dfiLA4OyxOUxevLV9WZgupl6xIPsLNLMiAi8eu+Cy8QzXPALsm7dbYG2r9uo/Ebu3NMUnD&#10;xqylhY815jnBFrJg3lzRrcUnpHAy4OKxK74aVrb6GnMeI76dyWryR/TsfHGb9eXbtkp6HVyssdhq&#10;OZP7i05ebxlw8dgVX+/naUZ+oR2kpB596IFIndK0h5LjEmaX49Ct6W/NcUbxCxFeNoMnzbyHi8eu&#10;+GY+a73u1eHNX2TbXvXmioDXUYyOOifczh63X3j2maBOsWZXvWRF8hHmZ0kGXDx2xWfpXZI8y8aP&#10;NwTtGmOMYK+MMWaPv64+0e5HuX+MzD0XvibhQF7TuHjsis/Te3/15Zd6Pyjo1hhjBLtdXJD47LDc&#10;ZjTrxpx7LmtcC6/zxKS0z+risSs+7f1amX7pKy9r3RpjjGj71KvjOEAeSJgdZtt1AZ9537ZVUliP&#10;T2zWwutWMqbR93bx2BXf6OerZ/7QqdG2aQchp8ltmwXyO7ucZt1gvJhjEZs2fSF2a/HhK7QMuHjs&#10;iq8nTxuZF+a6sV1jfSeyGiGPyQAJs8lp1JPZt5rrhCyY31HodtrItiF55+ebxMVjV3we6hrraZLV&#10;8+fOkTHGnM6LMVmNPpX76KJu4aOZB1mUZ8wPG7NYVy4eu+Kz+E72M3EeI9a2tufGiC6dTV26Ur3w&#10;e8ifyyj7EdjyLr+L2ye4eOyKz7ps+OvvlRT28MM3cyUOSFz22U37Fb6TMO985vRpeg3crMuhPF9x&#10;GdrMunXx2BXfzGdNei/6CCDEHGWwesbUUuT6e8Lo7DPariN/D3t/X0ZZg084mJQLRUjn4rErPstl&#10;8MriRdpuDTvIq8uWiG6dU7s1eU07yNwnHtf1ir44y/InzyZ9Sb1lwMVjV3y9n6fW/Khbo237Y4wl&#10;hT2+0ObZ3tn+JcyXbo3xxg3r1+k9NlG3Mu9ceFgrL/J2vYvHrvgsvi+Yzf1zMTdGuJwvLleqr9An&#10;pKTE31p4nUX+NPKZXDx2xTfy2arNG/PO6Tvw/DMLhdc5t4OQ3+aaTitXrBBbiMyN6XYy4OKxK75a&#10;pjbyOqynSX9r+O+ZdhDzmByQMFv6N+oItg/WFUKsC8I65XqpkCHavxopT5K36PFZkQEXj13xWXkP&#10;ttvVb60qs1uzzQuTs8VkV33Y9Wbq1rB1sb6zIn/yHML0ZsiAi8eu+GY8Y9J7/P1vf9V7i0APu+fO&#10;2/X6e3a7d3FC4lvPdbPOcIxvJNq3MPcJ9q6kMiHphKNFkgEXj13xWSoLXwfz58ZgjU17/rKwuPUs&#10;rqYOwj3sSwr7bmZJ5uRZpD9opgy4eOyKb+azVroX2jHWqodujfZtrm1t6mvV8EKuaT7nUWfobx9/&#10;5CFdpzOnT1VYB6aSDEicsLPoMuDisSs+C+WDvVXJanw3yxohzedrLX2a2Z/ymwjnMMfJH2Msqac6&#10;nhSbtfiDdPv+2sVjV3wWeL3ohef0nHO07ddfXS7+eznz37N9Qcj+0Ne6XfuHRMmajDuKTh0lF0U9&#10;5+KxK77V5YKxJ+pgs266IWC1qbOx/UuYPb2b9URmU7/GNxLmOmFNJ3w74Ruq1bIm95e+odUy4OKx&#10;K77Vz881QsDsl196UXidM92avGaIPhVzzuHfA1bDHwRxrZYzub+wOgsy4OKxK74V78BvYOhcGIfC&#10;+nvQrTHGiLZNXU306ezp01F1YtYX6g/rvaD/Rd3KnHPhZCsYk9V7unjsim/le8FuDR0Mbfu15csC&#10;VkcxQc5lk92mXs064v4STzz2iOjVMsYoMmDIgIvHrvhW8Ro6mW+3blfgNtu6hNnkcqV6IbM/+vCD&#10;Mv898bUW3bpVfMnqfV08dsW36r2ge4HX8LU2WSD2kPzxGvWH/RfvvuO2oA/Gb8gWbV+tkjO5r/QZ&#10;WZIBF49d8a14l6+//rpz3nlJYU4jfQrQ7k1bqMlxOc4mx6lbww+T30sPP3CffAMb38CtaGNyz2z2&#10;Uy4eu+KbXa8Yf+L8ZNg54UsgLM4mi5PWC+wgd942S/MaY4yfbPxYeC28FhmIkAEXj13xzeY1x6LQ&#10;rte+tyZYc5N6talrJ+WFpGsd7+HTA98ejhujTpstU3K/bOqSUi9d68XFY1d8M8vU3+u8XbfteU8+&#10;IXp1jnytafew+0buxXjLjTO1DbuZ8iT36soDKZNsl4mLx674ZtYvdWvoYmvff094nSNeg9NkNseE&#10;X3rh+cBmLfucZ5sTzWznzb6XOaZtHld6DjOdeWxfUynOTpvkt4vHrvgk96glDd8XfOZ41Py5czSr&#10;xfbROjuGrSe7fpPVrDOsd+vXZ0nPO5f55sLrWjhR7bXkS9z1iGcaO4y7xj7P6+zz1fx28dgVX809&#10;014DVsNejfY9+9GHg3mMYAA54OKFxGeH7SGr29W9d90h+w9EjCulbSOSvv79Hdbv/f1rr6qOObNV&#10;h2d/1aF3vPSVl/X6Y//YvLnpYy0uHrviGykn6Jc2b97kcdrfgwBrpVI/E/5mh79J6wJ969ur31LX&#10;T5sSrKf42aefNl3mGymzknf9udnoMjX1X/gmXXPl5Qrc23GHn+iQDIw6N2TwIDVl8rXqr3/5vCly&#10;zGeJKxNXfNx19TqPfbBpB8EayGSD6NX54jVZfcOMabr/RZ1ir816yYnkkz9OZqHOyOpVb65QYC+Z&#10;bLPa/k0u8vyv9vyV1r/5TsyXv+sV8r5x+bni466rx3nYNO+6/VbNa/gPwC4inK6d00nK0E5j/2a/&#10;GRVGpcXYIvRqfCthHqPMNRe+1oMRteTxsTeHFr6kY04erX76kx4Bq3fbdXd1xGGHqRNGHK/OOO1U&#10;df45E9TE884N/s48fZw68YSRavDRR6v99t1PX0tuH9Brf/Xi8882TA9x8dgVX0t5ua597OEHO3Xr&#10;knrzjT8Iq5vsDxLFXZPPjLdDMw2O8V3EbySspZiG1Y3SU1yyV7T4tOUYld48Zx7nqaz43PAj3enn&#10;vyizd/Tt3UedOe40bd+gvCYNBw0cGNhPkO+ad98xmP2dcez303yOtGXn4rErPu39kqZ/f827uo3P&#10;mFrSa++h3ZMLNg/kd/U6N8sUoXlslynj4urBjOe1mLeI8WHo1KhHcDsNq5PKiqQTXT2pDMDuMf6M&#10;0wO27rnHXlpPnnTB+VpOfT77a35CbpPyGnrIhLPGa30buvbOO/1C6+MP3Hu3tpNA58bYpfmHsbi0&#10;dm8Xj13xScvJlc7ub/y1f0p6vbY4RpALEqbndRRf7XKEPCFd3Bhv3Hnk469hDXn3ZR77Sth1bP+m&#10;jGDPIMx7xJpPefvjO6QJ48qhmjyYF0PkYR4zz61bt3bR+eLS8pq0YdR9o86lzbea9P/85zeap+QZ&#10;wqHHDO7kcXIuJ+H3gfsfoLb/0Y5qx+3/d5n+bt6b9hOegx3llNEnqUsvuVg9eN89muv0PzHLjOnj&#10;ysAVH3ddLefRRlku2HPV5oj8Ts9nu8xMDpvcJaPt9PhtpsNvk/k8ht3K3HcR9Qjdg/WZNCy/JuR+&#10;0uvzlg7vi3WuYAOs9LfwqXlq+dIlatmSV4IQx/wL+jezv/OO6+GHY3Kj2vZdjzzS3hv3nDl9Whk7&#10;jxs2rCq7RyW5osxedfll6vABA9S///v2ZfckS21W43zUOZzvf8gh2r4Of2a0OeYRVwau+Ljrqj2P&#10;MUV/r/OSevShB7SeFcUOOVc9s8lWswzha4r5/uAt+kjsrfbswgVqwfwOzV/UBdbZwt/ts25W8K3E&#10;H+wc1KFDWfb1Fcqvf97UYcxjrC8gf+VlmKx8ysvXX6eha1lXLluMt2HesPln9xvof59ZMF+hr0D4&#10;/DMLg/6B/QT8NPkHWWK/ARnDGm3wy8V3U7VcqPa6Tz/9szrn7LOC8cQ9dt9T69nxMmeWvXlcuRzD&#10;/HhNSZ1y8inqpz/9mRo3dqwetzzdG7vE+CX/MGY5Yvhx2h7z28MPV7Cf/2bv36hf7LRLwGVwnH+o&#10;bxePXfHVlmPUdb6vtV8uYIHJk+5+HMVYW99NUkbIB1yGvQLzROl/E8pbuVxiz1swGrwGv9FewXP4&#10;Wa5c8YaCjRr3/cPrr+k8ka/5h3nmSJfm7x2v7fNdot6bcVkMUbb+u/rlk+a9sTawWXZRx488eL+C&#10;TZR9pxli7lF0PYYMiY4vr/Pq0/A+zM/+zfN+yO8IjP2R+/DxJOujGFHpnK274/ewIccEjDt26JCY&#10;8sHzVH7Wasukf78BatddfxlxX/f9Lrpwotat4acCG8vF3m8Xj13xlcovbVycr3Wlb/Qsttl6PVMU&#10;q2xGm2nMYzwDfmOfcZRrhzcvi2uWRskedGbNZI+3Po/f0MxEHna+fD/GRcVHneN13SFM+v5Mx9BV&#10;NknTMR+kh8xg3cOufccKrSujHzb7hofuvzfoD9A3+OsnkrUmZ8xjP97X+e3z9m8zLfOND9Enge3Q&#10;78F16ACa6Z6dZ8u330bq7GA1bMHkF/zzwOTo54u6d/QzR7Wd+HMlddUVl6ltt91OTfJYO13bBTvz&#10;NY8jvy+73h/vzveJY6srPu66tOfxreSv51RSN99wfbf2tUYbY7tkaLY/xjPE2Bx0Uszzho6G71fo&#10;WmhnsFfgWwUy/+Tsx9TT8+epxYte1DIP28eHH6wNdFncw75f1H15Li6MyyMufdz5euUTl39Wztfj&#10;PePywPmoOJ4zQx6zXOzfOI9z8FuG3ZJ/kD30BZAnhOjvIYv4g9+97gu8PgH+QZBNyKFpX4NvAe1r&#10;0ezryq4wHeJKmh3IB1yH7A888kjNNtgS4FsNe3XbKScHtgjTpxr2ZvxNvuZqSw+udN8oxkedK6nR&#10;J41Wvz3iSDWtjMuuvP33Ct+zXY9XuHjsik/L5bj04AmfDXYwyAV1SYaUo+4csizg77hk8Uta7v1y&#10;o+7QrmUXOhP2bIF+bZdXVDs007Ds49LZ5/mbz2bmVc0x86vm2rxfk/TdkY5/ad6Z+aOuzGPmwXP8&#10;XSk082A6UwbMY8YjjHtu5ofQ/x5Y4dvZOvV/2n7Adso8mRHqzu3q0H79AlaTX5VCc6yPx5gHc+zQ&#10;oQGTwvtEMTn+HMcY+vbpFzHu7mK2ny/zyIJ+/e23/9J9IsoDY7jon5PUrZmmyMeQbegxsA9Dd4Y/&#10;sy+vvt4MfQI6M3Qa6Dk2nyu1P8ZFhTzHsuVvhjgfd8xr6hma96pnvlnKi+/IsJZnM/Mwj+08ERcX&#10;b8YxTVxo5mteZ5/nbzsfnkfIOPvY/M00aBuYmwJuwG8Gfs6YCz21fbK6+orLFW3Ao0aO0Dp3n4N7&#10;q94HHaTgd42xR86Z4Zgeec3w1LYxNTA71JF7H9zHyicJq5nGD7PA69BmXdI2VrNOcMw/1g9/Fz0E&#10;d/E9aY8hYXwQvhuNeP84fSjqXpXqo1JcVF5x5+qVT1z+RT+ftj5R3lHX8Bzj09YL0zMflLt5zHpA&#10;OqbFubhjpq82BONhu8E3KHR2zvX43UWTgjnnYDp08p/32NnibLwuHerg+Nbt1I29fgO6/+BBx6gx&#10;Y8B+Mhjx5nFcvn4a6NhZ4DX0Q/89S11062rrI+vXmXJoPyu+AzvmzNZlwu8g6NOw+0F/jpJzOw/5&#10;HfbzUhZSFklkAGNA0B0XvfCcbmtgN20oIYfjmNr1PNsurx1+3PFqyJBhAevseKarFLaa17g/nw9j&#10;EijXSixLUu5ZSIN34HswjHouxKGvh76MsRi/n2/XfT587XB+zTtvl5UL82MYla+cE0aJDLhloFIb&#10;gn5EmwgZVV3o68dtY9pU//4DOn1EwPckunV5P9BKXsMfh+9fJFYnbSewdcCXFmXAvhZ2aNqfIUvQ&#10;pSvJVNJ7STp325UykjIyZQD+I9CvYe8mp6oN0b7Hto1V/Q45VHO63E+knMmV7tFKXmPeBZ4NvntF&#10;5FIcZ2HTuOfO2wMZwPtjvwpw2mS0afew87J/m3Imx8IdkYF0MsD2xDaHtrj7bntoXmOcshJD4+Jo&#10;v6YePXLESIW5M9TN4q6rdL5VvIYNAL4geJfFL76gOcUyy7us2e8BuxjW5MI3BO0dmO8LOxnGtBFv&#10;vjOvR8g/M16O07VFKS8pr7Qy8MRjj2hWw3fkmiuvqILXtHWE4cCBg9RZ48dXkVeof7eC1xhPYx+C&#10;uVNmWZJV5rm8HfMd0FeDx6GvaLtea5D2Dr4X0zNkH894CYU3IgPNkQG2Pcz/hi3EnxMZ8pLcShaG&#10;rIZOfdCBsKvwHPI0j5Pdo9m8xtrH/r65/nykDevXlfE6T3IJvvKPz436hr0DY4dYdwP7qcD/BfNW&#10;0E8xHUMymr8lbE67lHKWcqYM2G3wvrvvDPaLueDccwLdMhmj47l7wAEHd+aVntO8d7N5jTFX3hu+&#10;7SyzIoTQm2HnQL8JVsP+kef+qAh1Iu8gXI6TAVPXIrPBavrwUbeu2t6s1wfxfQngd33kkQM1G8i/&#10;asJG8NpeI4vzz0Pdul1hz1XbbhtXrnk4D18Pfx/Zdr1mB+bTm8/N7yycwzHlw0wjx8IWkYHWyQC+&#10;fznGiPVGwrVEqteHtc3D4/Yu3n6Q404bF8yhAaur6QcawWvy2QyxHq6/xldJz9fDeGPemYX+Bn4d&#10;GEM07R5mm+M7MkSceWymlePWtVUp++5Z9myL0KFg++Cc9NEnjgrsANXowbxmyuTr1P77H6R69TrQ&#10;2xvhukzq1yancfwff/9b8O7wXTPbBsvLPJeXY9g/0AdhPiuOzXfBsUuPdsXnpRzkObsn64pU72jH&#10;tINgnSefrfG2aPLYFY4ccULZ2tfT9Nz06sYaca9m6NeYo8f3wnyQotQzeAu7B1mN35XezeQ50tm/&#10;K10rccJEkYH6ywDaINZPI6uxVgjWVSWvagnhf7333vvoNaei8smiPQRzqTH2hueF3YB7kYjs1V/2&#10;pEylTEUG3DJg6knw3QKjweu9f723uvKySz1W1WKv9nXya6+6Uh3o+e8dcwz2s6k9P/K+kfo19vfk&#10;s2JNOeihIk9ueZIykjISGWiMDIDVn2z8WHMI6/OB1Vwj5LwJZ2u9kmwku8Lf0faRcB5jOIYIX2vw&#10;WufhjTdWo0tH3bdRvN6yZUunb5uvV5PVKC/2bwxFNhsjm1KuUq4iA6EMmLzBfsH77rOvZjVC7Mdb&#10;zkfoxOn14ksvuUSB1X36HNKZX/o8yp+jvI9oBK/hz2fuFRO1/wDkyCw/katQrqQspCxEBhonA/Db&#10;A6NhA8F+BeCjr/9Wx9apnX7W488c7+3TuK2xZqrPWuybUInBaeJq5bXpa81j7InpP0NJ71VF2aM/&#10;hGtcjuklbJzMStlK2XYXGTD1QrCa+zqC12NOHh2wKg03w7Qh47EHeps3LyaMC3Xjatfjs/Oqlde2&#10;7x72ouc9sDZIkebEdBf5lvcUlhdRBsyxxR4/20nvvQu9OrQth+wlw8rDrvGwf8D2sdeev1KnnXpa&#10;wL7y60Ju13q+nrz++uuvy9Y2wp5qRax3eSfhmchA9mTA1KPt+sG+1PQDgV494Sysk9eVv7E87bR5&#10;IN4fXyypCydeoHbaeRdPpx4bcLpeenTcc9ST19i33r9PSWFvFLPMKpWlmU6Os9cOpE6kTvIkA7a9&#10;FazGPHP6gRx91FGaU1E2a9PXo5yZ5Wwf580t32677dQJI08w9PP66dHl9w7zrQevt27dqsjqGVNL&#10;eg9vs36F1dLeTXmQY5GHZskAWI11m6BTYz/0dHq1yWgclxTGFOn/MenCiYFeTT01jrP1Ol8PXq/7&#10;6MPgubE+nd2/Ca+lfTarfcp9RNbIG/iogdP8u/Tii8p0YVO/Dm3YoS4bMtbn9siRo7ROPeaUrmOK&#10;ZXq5YTsJ84jKN/25evDa34OwpNc8emvlm1389FB+LENpT9KeRAZEBhotA9AbyWnMWwSru7LT15n9&#10;8z6Tu6ZpV+3XXq3XQoVe3X7dNVrPjkrXjHO18nr1qpVBOXDP3EbXheQv7V1kQGSA/sG2LJjrooLZ&#10;IatLZfp1FF/L9GRvbHGyx+oePX6ueu6zX8C5VOOUXh5R96n2XC28xhzGm2bO0M+DPa/scpPf0qZE&#10;BkQGGikDNrPxHT/y+OHB2OLgo4+2eBmvR3dhqGfXwB4DPXuWs5p2lMo2lPpyms9WC6/pa431nOC7&#10;JzYPaZuNbJuSt8hXJRnAWnLYdxF+INhv4LSxbQarTdtHMpaO9Hw/YAPpqk+T+QyT5Ufm1hJWw2vO&#10;Y4T/OfoY7PGFcrT7ukplK3HS9kQGRAZqkQHbr+GOW28JbNZDjxlssBo8Tc5rMG3cuHFqxx1/7Nmu&#10;Ya/m9RaXGziuGMf0NLwmpzGn8Ztvvgn2zcVeWLWUu1wr7VZkQGSgVhmgbg2b9YXnn1dmq05lu/A4&#10;jP1gxp95ZqBb+9f7+nSqvDJiv14wb67ud7Avg+wpK22t1rYm14sM1SIDt9w4M9CtR40cYejE6W0W&#10;gwYdowYMOKwzD1OnTp9XnJ5c7fk0+jXXCsHei7zf668uF7u1ZwuqRdbkWik/kYH0MsDxMqxjDZ0a&#10;duuQ1SZnkx8f5Y0vajuI9ttLfh152OgwDa9pD5n7xOOa19gPnHLGsmPI8xKml0MpMykzkYF4GQBj&#10;TM5Qt+ae5kntFUznr3daUlddcbm3Hup2akzZGnut16nNPiANr6Ffb968KdCtse8Z5MosP7McRebi&#10;ZU7KRspGZKB6GTA5g/VAoF8fN2xYwCaTce5jn8kDDj1MYQ5juT9IfnkN/XrlihVBmby6bEmgX4tv&#10;SPWyJ+1Wyk5kIL0MgNn33X1n4Gv9u4smBWzyGZ2MtXrPcm+MsWfPXmVjlG7ON99ekla/xv7mLIsP&#10;P1gb8Jr9HUORv/TyJ2UmZSYykEwGwBnYrffbdz/N60EDB6bUi0OWY775L719ZtrG0F87jMsas9Py&#10;Gnuc4x2wlgpki3xmKPKWTN6knKScRAZqkwHMh4EdBHbrOK7SRh0d73O5f/8BatddfhnoodFpm69L&#10;Rz1HWl7PnD5N92OLXngu0K1F7mqTOyk/KT+RgXQygDVCwGr89e3dJ5bXUcwzz0G3xp6Lk7y9B8zz&#10;WT1Ow2vMOcd7XD9tijJtISJr6WRNykvKS2SgNhkw1987ZfRJVbN26NBj1aBB9lzIbOjSUX1GGl7T&#10;jw/z0EXeapM3KT8pP5GB6mXgYm+vAOjW8Lm+/HeXVDVOCFvJvt4YI/xBKttNssPvNLy+fdbN+t1k&#10;3dTq5UzaqJSdyEDtMnDs0KGa19iTMUoPTXpuf2/eeV5YjXdKw2uWwbtvrxb9WuY0igyIDLREBt5e&#10;/Vawd+7oE0+smtdYI+SkE2FLya4/CJnLMB2v/fcS/aB2/UDKUMpQZKA6Gbji0t/VrFtfesklepyR&#10;HMxLmI7X7QrrO4mcVSdnUm5SbiIDtcnA+nUfqX332Vfzuvq1Qkp6jHH4ccd36uZF1a/b1b133dFl&#10;P12RwdpkUMpPyk9kIFoG7HnT5nzGyddcHdhC0tqgYQvh3l/htdnndhr9Gu/FeTIiX9HyJeUi5SIy&#10;0DgZOP+cCVq33nWX3QJW+7aMZKwFw6Z543b+vjGh3wfZnXW7SBpe412E142TRWnnUrYiA9EygPnT&#10;Gz/eoPbw5o3Dj29A//4Wr0P2dmVuOctPHn2ywrqpTBfq15XyyEZcOl6Xyngtc9CjZUvanJSLyEDt&#10;MgC+kDEIX1u+TLMavB4x/LhO3pazmAzuGobpsN/5+DPHe9fznB1mg81d3yG9P5/o17XLobRlKUOR&#10;gXQyADv2MwvmB7xuO+XkQD8Ouevm7CRvns3/+OEPFWzfvg0kP3NlwO9q9Wv2eyJ36eROykvKS2Sg&#10;Ohm49eYbA15fcN65VfC6pPdl7NPnEONaN+Oj9NxWnUvL6wfuvVv8+WSehMiAyEBTZMDcA51+17CH&#10;XHX5ZXpeYmh7pk0jmr9IN9lb2+mH2/xQ7yPTKt7Wet+0vL7r9lubUk+ig1Sng0i5SbkVSQbM7/hx&#10;p47V+nX6Oeg+y7G+NfYkqJWZrbw+Ha/bFb5JbJ/IIsmHvIvwTmQgezIAbnPfrz4H9+5kbnLbM3z4&#10;Dj/sCG+c8cxuxWuspWr2eSLb2ZNtqROpkyLIADmDEDoiOA1bSDXzGsHrAw882GN1csa3Uo+Ou3da&#10;/Rr5YB1syAPLswiyIe8gjBMZyLYMYB8Z8Hr8GadbOnJl2zWYBft13779rOuibd1xrMzC+TS8vmnm&#10;DP2+2FtGWJ1t2Rb2SP0USQZMX76rr7g8FXf9McmSntMYjk/mj9XoL9LwGvsU4HvikQfvlzFH8Q8Q&#10;GRAZaJoMkNfYn8DXc906takPjz/zDHWkntPYfewhWHcWZXDj9dMV1skqUv8t7yL6qMhAdmVgyuTr&#10;9F4yWJvPnx9DXiPkcbzOjPVCxraNrYr1JvdbfZxGv/7+++8737ddyX672ZVt4Y7UTdFkAOs8Qbc+&#10;4rDDAgalYSf21MWa193JHgJeP3jfPbo/u+PWW9QnGz8WHVu+iUUGRAYaLgMjjx9u+IZQn2YYr1eD&#10;6ZiD/tOf/J+qOJ+mT2hG2jT69Xfffaf1aj7XO559hP04xx8Z8ryEouuJDIgM1CoDu++2h+b1Gaed&#10;mpq7o08arfr3G5D6OnIuS2EaXkO/XvXmiuCb4tVlSwJeyxwaaZO1tkm5XmQoTgbgx4e/iWXrhlTW&#10;q8nZIUOGqRNO8Pd55BpPjMtbmJbXmzdv0vYQ2PhnP/pwwGvq1Qzjyl3OS5sUGRAZSCoD4Al8G2C7&#10;xt9FEy9IrSf39dZ3uiqlD2BWOZ6G17CHQMee+8TjuszgJ/Lpn/+kmW2uy5K0LiSdtFuRAZGBSjIA&#10;Xq9c8YbWrcHrasYL+/bJ/zwZ9h9peA1W42/jhvVBuS19eXGgYwuzpe1VansSJ/KRRgb4rf7mG3/Q&#10;ujXsIUl898g2hrBdc78vhDxmfJ7CangNZi98al6gY6/78IOA2WnqQ9JK+xUZEBmIkwHy2tSvq2Fr&#10;uN51Mn+Sau7RrGuq5TWYjfnp+D4RX2xpc3FtTs6LbNQqA0sWv6TtIYnWUfV4ZLOzf/9i+IbgvWrh&#10;NTiNPO68bZbeC7PWepHrpW2LDIgM2DKAueiwXWOvXZvF0b9DPfqEkaPU0KHHJrwumb9J9D2bc20a&#10;XnO8Ebo1jv/+t7965eCXzbNPPyU2EZk3ITIgMlBXGcCYGNgC2/Wee+yVgLvm+iAl1a/foarNm4fO&#10;cco8267RT6ThNTht/3ENKOSF9UXsvlF+i74kMiAyUK0MwIbNtZ7Aa3I3TscNeexze9ddf9m5F3qo&#10;/2It7Ljrs36+Vl5/8803CnPTUY633DhTrX1vjTBbdCyRAZGBusgAeE392reHhLaOrmxlXBhu/6Pt&#10;Dd9rnu++vIa+/dryZbq/ArM75syuSz1V2x/LdaLLiQwUSwbA62T263IeY44M9tc1uZ5n3RrvUat+&#10;DV77cx7RZ5XUzTdcX7bWKvpH+uVIOypWO5L6lPpshgzQHpJ2vBH76+6yy25lvDbZncfjevAazN74&#10;8QY166YbdNncfcdtylwLqhl1KvcQdogMFFMG0vPat3dgf4JevQ4UXkeMO4LZmzZ9oWZOn6r1bNhG&#10;PpJ5NGIbEjuuyECNMlAtr3v27NW5p0x+7dX2N0C99GvwGn9/eP01zWvYRh5+4D6td4s9pJh6j+iz&#10;Uq/NkIFqeb3zzr9QsInYzMvz73rx2vTNxlx13++mpO66/VaZS1OjftGMNiH3EPZmVQbS8drz42v3&#10;5zjaY4155jSfvVZem5w2j++/566gXzPXyc6qTMhzCa9EBrIpA2l4TT0R3/fbbPPfAwaRd3kPa+U1&#10;7SB2uGXLFu3bh/KBX/brry4vs+OJjSSbbUOYJfWSFRkgI8Br+PMlm9/o+6ldctEk1aPHToXjNfYc&#10;4N4NNnP52xXPdHb41Vdf6TWh2KfNefzRgNmyH41wIStckOfIpixyfeby+TLusUPo2NizEb58vr7t&#10;voaMynqI+eQuHrvibU6bdpG/fP5Zp8+IX2aLF70YMFvaSTbbidSL1EuWZCCNPYS8xThjf2/tEP4u&#10;RlhSjeC1ze/317yrbr35Rl12M6dP0+uvwteP3ztZkg15FmGVyEC2ZIDrqfb4mdu+Qft1Wxt4PaBg&#10;vG5vCq/Bb6wzct/dd3rl588ZvWHGNLX2/fdE1xbfEZEBkYGKMoD9ZfCNDxt2Mj25pIYcM6xzXb7i&#10;2ELw7s3Qr6lvYwzy+WcWdpZ5Sa8TZY9Dim6TLd1G6kPqo9UyQF6D2cl43a6GeGteF833utm8JrdX&#10;/OH3ZeMALzz7TGT/atpLcMzxh1bLj9xfGCYy0DwZSM1rb7zxqKOO7rKOalLWZzldM/Vr8hrjkR+s&#10;fT8Yh7x+2hTt70cek9NmaMdJe2lee5GylrJuhQygzYMB3G/XbQ/xbK0eq8Fb7AFGW3aW+Zv22VrB&#10;a3D7888+6xyDDNdAxDpRmM8eJRtkd1ScnBOeiAwUTwbQ5vH31so3A/v15GuuTmATKWlec6wsLROz&#10;nL4VvAarb7x+ulfuJYVxx0cevL+sDubPnaPXZBVGF68NClelTquRAfoUTzzv3DJWRLEV89H9PdFD&#10;XTAqXR7PNZvXW779tmwOzdKXF2s2P3Dv3WU2bazNKv4j0raradtyTfHkhry+wMFr2kDoyyfzZbru&#10;4Ui7dJLw2YULOvvHklowv0PbPqhHr1zxhjLXHcE8dsxtgq07qg3yOjMu6pwZL8d+W5ZyKh7Tiibb&#10;5pgV/fmS6NfQm/v27efUw0W/DlluznEkx1e/tSooQ71u34b1kRx+6YXnvbHIaUFa7FkDllMewZoo&#10;3tjn7N+8vruFZ595hpoy+Trt/46xG/P92SZwjuWFkMdmWjkWxrdCBiCL1K8vPP+8gAtxvIVOrccb&#10;PW7Hpcnr+UbbQ8ht2KxvmjlDlx9s1thLHfVg8oKygHPYtxf7+LJcUQePPvRAsNdY1HXm9TyW8BO9&#10;3hb1E4S9DzpI8ztub2RhtXA5K+2G7Ry+IZBdl349tdM/xLdfC6+pK6cJv/jiP4K9wmCXXvPuO2X6&#10;m8kH83jD+nUKuvZtt9wUcBu6Nmwq0LdZl+Y1ccdZkb9mPwfKA3u1wba0q7f+DbkN+cff4QMGqKu9&#10;fUmxRgPSmeWHZ7V/N/v55X7Sd0AGKLfJ9Ot21e+Q/gEzqPMVIWyUfk29GlwHC1hWL7/kr/dE1ka1&#10;RzsOHMHafswDfiXQtx+6/95A32Y+wpf49g2bCOQ+6g/sPvmkExXWekFZohylLOPLkvImYWPLCCww&#10;58sk8+drV4d6/tfghYw3hjbqJDr2Rs9G7duiS3os8eNOm3UlFsTFrV/3kZ7P7q8dBV+dksJcG7Ac&#10;89oRz2sZSnsK2xPW2DphxPGa1z/9SQ8Fnxz8jT5xVKC//LzHzmrUyBFq3pNPBNyWMgzLUMqi+WWB&#10;NT2hY+z0818YOlu8rWPkyFFq8OAhnWmL5dPXSP0aazxRJ8b4Yj1lHfYQrvnHeyCE/aTSfborx81v&#10;FtivoU9j/Xf2ub9/7VV1aL9++jz17ysv+50eR0CZ4Xqz7MzjSuUtcc3nW1HKnDJ77113aF7vt+9+&#10;AU/MNm8fw5evrW1sgXTrsM9pFK/BAYwpsixxXG85gn+27//n20f8e/l7RsKvm0xhyPvbv3m+iGHU&#10;u3I9YTC7Y87sgNloH0OPGazbBpnd5+DewdhwEctH3im7/Qlld+b0qVom+/buE/CEXLHDaaV2vU/B&#10;uRMmqBlTTS7E6+N2Hln+3Uhew58D7/7EY4/UndWsS4TveH3BUx1PanajjljeGKfEefoCmtdEtVPG&#10;R8Xl+Rzey363IYMH6TZwQK/9FfYBop6NcNWbK9RZng8gmQ29G/sQYRwhz+Ugz55dNleqG8yRgW5x&#10;3LBhQdtmG7dDjJ1vu922qv3aazrThjyw0+bxd6N4berWmP9fqT7SxoE9/D7nNxPywHncC3YSe5wB&#10;PoSY5w4bbtT9bJ5FpcnjOb4Xy4vvQJ0FTIYthLw2x4nhy4N4tBWE8DHh9RLmk315qzfI7bFDh2j5&#10;O21sW5d2bTN3yJBhas89f+Wxukic5ruUtE8z9Si2WTt0xdvp8fv2WTfrMkObb4SMkEMMeQ/8Rh2v&#10;XLFCYf0ouz7hD7joheeCsUnyniHzKXr48AP3Bfrz3CceD3ht1yVYjnEeyMC+++yr7dlFLxt5v2z1&#10;RXvsvqeWv/PPmdClPdvtu2fP/TrXesq//cPWOfGu8ANw8dgVb7fx5xY+rcsVOhxsFTZTa20PyM/O&#10;k78Z4h5gMPTtp+fP0+yGLwn7XejbYBbsJfQtqfW58nQ91kGE3ow/lIldh+ZvMBt2E6QFs6Fni20k&#10;W0zLk+yleVaOtYBB1151ZUVewwbyox9try695JKgnds8z/fvklq25JW68nrz5k1BmcJ+bfIzTT3V&#10;Ky3ubz4D2M068/svfmu0K/iwgGNmevM5cD5OD487b16ftWP2w5MuOL8ir8Huf2zerJmNa8DtONuI&#10;WXbmcdbeXZ4nW/2N2X5MuYENBDIHPaG83fr6M3VQjDOeNX682muvX3s2k1C3ZjyvzXtYb16DdywT&#10;5I12gfI366DVbQW6IXzwwW70Kf48+ZDbWOsV57HvDXRvc2/guPfgeTts9bvG3R/POWzIMZq9Y04e&#10;7eQ1mI19gfbfr5e+BnMl7XFkvrt5T5yLOm+mkeNssTMr9fHa8mUK8wHA6/FnnB5whXzxw7DdDhw4&#10;yPPja4tJFzK8/Pp8na83r/15iH4ZmvNXWi0D6L+juIHz4Df8/+jPElWf8BuE3TtuvNLUD1r9rknv&#10;z7kz4LU5zmjaQuxj1Om5E85WmBeMP8yFstcXYFkzjCr3pM8o6bofyyk3sFeD1WC2yWauERK2U89v&#10;z7PtHnRgb4PV8OXz5jd658N0+T+uN6+5phNtISz7VrU78/44tp+DLGEI9qDP8W3dXeezQvdGPOzy&#10;Zl643rwX46LOMa7V4Yjhx+n2cMrokxLp1+a3k9kGUFZY04U2bZblp3/+U2A/4rlWv7PcP9v8N+Vk&#10;99320PJ54P4HeMwN9Wju+WXbOsBr7FXAtEVjNdpcrbw29TL68KH9vuetQ4GyN8s/q23FfEYeY948&#10;+IT1TvDdH64VCLnxZQe+LxizXPjUPLV86RLNcDIrq+9qPtfI44cnsods3bpVlwP7MITwvcEf9wmC&#10;LN152yztG2iWAcvTvK8cZ5uZWaif559ZqGUTYyVuv+uSOu+ccxT3KDB1iaId18pr83uZTIP+SV2W&#10;YRZkIIod5vNFxZvPjXjYRMDpODkAv+DnbevfZj5ZOaY9xKVfYw0Y/31L+tsCNhG+A8ok3IPC/97U&#10;a5t7NibEmeXLayQUXrtkwJwfYPvxddWbSwp+fKNPGl3WLm1/grg2m6fztfKa+jX8Qlg+GKMrWju1&#10;3wdzJmHzMfdV4PcZQ3AL7IaNxZZPV9+A9I3mHeaawz54xmmnBvYQ1qfZD0NGINOYh2S/B3+jzs25&#10;pXhvlhnew37fRr8bn0vCfPYN404dq2UT8nnNlVd48mfYQ7RN2rdZk7Xbbrtt4MdHDiGObZHp8h7W&#10;ymu2a+idKAvol/geNtuneVy09oN3W/PO23q8EnYR2EcwJ8eWC7AOY5bw98bYpql/Iw+7jPibIcrN&#10;PK61HDFuim9N/F152aUBr1mfZog5sGgv+Eat9AzwH+G7g93oz7gWgP28lfKx08rvfDI3bb1RJrCP&#10;xt6/3lvz+sgjjujSlsK25TP81LGnql96c2pCppPtDPM/zsh3rhevOc4IJpn1xDowz+Xx2NQVzec3&#10;3w9p+BvzdGAX8tcQjFt3xl9jdukrLwdlxutxD96T9+NvpuFvxqcJlyx+SbMa+gvsOyaf7WPEQ0+B&#10;PZ/vaD4Dj3l/fw0utpGS7p+YppZnZv4SFo/flA+EUyZfq1kNXeKqyy+L5bU/ttiuDj/sCHXRhRM7&#10;08W1NcpjvsN68Pr//uMfQVlBf2R7MuuA54oQxr0Xz5vviHPQF2AvwFqvYDjG6Th2x34TugHYbo5f&#10;wo7SKJ9I3If6Neaj2ow2f/MZTbtO3Lvy3aGT0z4CmxF83ZOsfc7rJSwek111CpmCHoF1fiGbo088&#10;0WI19GVTZ/aPDzjg4IA/lFWERbOF4J3qwetwPKpd+xGYbdk8dtVXluOpF/J9EOLP1jf5DkzH3wx5&#10;HhyGXQT8Dn0sfPmj/Y3yhj0FkJZr0jIP5llNiLWtoVvjb51nGyGfbfs1frMNYP1a3Cvu/jjPONhb&#10;cJ2/l5v/XrCP4HqWWTXPLdcUm+PwWYJMhj7XXfVhc/7iVd56fOV7NVptyJNBym8RwnrwGhwhW7DW&#10;hLSpeKaxbMg1/I5mN+UM8ufLIOQNY5gvPv+sIjtxvZkX83eFGM+BDoO28a9//bPifBnKuXlP5l/p&#10;3s8+/ZT28TPX3cJ6NZWuYb4SFpvLUfVr7vuFNXwpd+Vh2BZw/sgjB6rhxx0fmbarHwnbVH7DevDa&#10;nEex+q1VwmuPoVHyGHfO5BfGauG7/uqyJdqG8PgjD2n7SSizobxyDLPDYyD8xDG2Fzf/0rwH+geM&#10;54DXl15ycaBbU8e2Q94bvDbzwfvYv3kO53EfjGtgHBK6Ne0j8PvEGttx5SHn08lPXsoLMhElL3x+&#10;rElDHQI+S5S7uHDSxIlqxx1/rK7wxsvj0hTtfK28xvfyK4sXBeUFWy3LX8J07Y6yTNsLQ5Yj1ojt&#10;8PaD8e0n0BFCdptyibUHYWcBv8FMXs/wvrvvDGwhOGfz2f4N+zO+n1avWhk7Bsq8GYLtXHOc7wUf&#10;Pzwn8oL9nvYdXiNhOnnJY3lBFkx7GI8RHn3UUYFchvsNxOvCeu3UfocG7DHbQFGPa+U12ra5/7k5&#10;ty2P8tTKZ7b5jGehPJtyjnNv/P51zeT4uTshyzG2CPv3hx+s1exmu8B+6GSzbbfGeZ7z50GVPJ1/&#10;aRf2s7zIZL4D9q7HPRmPELIBe47flkradx19ivluZno5Lh6/KR923Zq2kMFHH+1kcPu1V6ttttlG&#10;TQr8QuK5XiR214PX8Dtmmdj1IL/TtzmyL67sEG+mgQ0E3IP/yZOzH1NgZTnHwe6Stkec2jZGf3Ni&#10;f3T4e5DXlULkifqFHRr3wXOZ9+fzwP8DfviwfcAGwudnWoRgNmw9+PalzMAez7QMeQ1/S5hejrJa&#10;Znbd4hsQOgRsIdhTd/I1VweyQRkpD0tq+PDjtR+f/40Z6ibl6YrH8HrwGutr4BsXjMiqjOTpuUx5&#10;No+j3sHUV+y09COEDRxyDF9W+oTQToi56LBhd8yZrf76l88j+U17F/yqUcfw1Yv6joINBmOMUc/J&#10;c3xG2K85Ro02h2uZRsLisDmqLk2ZxTH4QbmEjIZyEc1b+If07NnLk2nP17rdX9/JdU1ROF4PXvvz&#10;39r1/D22x6h6knP1b4dJyxvtwvThA6/JbLQVHmNcHuurYpwQ83jA8A3r12new46NPgD6MfiK9cFh&#10;84D/NnRwnGcdxz2XeR5zPNFPcBxywby5wfXMR8L6y0yry9SUATwL1rGB/B31299qOXOxFTaQQw7p&#10;nyitK6+8xdeb162WBbl/fPtmO8GcBIw5YAx+1MgRinulU8exw2uuvLxzT4f2Mj0Y7IZ9xPbz432i&#10;6sLWrZCW45DQl6DDR42RRuUl5+LrOg9lg7qf/ejDgW6N9dRNfpbpzN73ux9XUrt4e2W0tY3VenhZ&#10;Gu8b0ry+iMf14jXKDWNJeZCT7vaM5CdC8BIhmEh5pi0CIfZf2m3X3YM2RHafHvhXlbSOzTxRluYx&#10;y5b34m8znclsnMc4KHxJ2B7xHPb1fG4zPznOL69Zv1xzDPNjMA/dt0eTu+bcct9GjXnn2223rcJ4&#10;I+ejQ266C7frwWvfP8Qvz6i2K+0qW+0KdYSxRvIR66Gyjlh/WNsJa1piXg32/kJ78tdJ88cdObec&#10;10WFzCsqDvPzF8zv0PdFOvQftKvhuTB/3byuUl5mOjnOlqzF1QfqG2MnsIP0+NlO6tKLLzJYHT1+&#10;CB+/Hj12UieMHBXIri/D4Hv0NWE8+4B8h/XgtfiHZLeNxOml8J+iLNt+d3YbQ1rME2475eTwGmON&#10;KqZPwlTcC/N8zHVmeD38XMz1acF0xDFfhkwvYXblzlU38DHlt9uggQPL+FuuK/scxlzFkR6ne+6z&#10;X7fRpdk+zbAevIYfmZ+n963cucaEq74kvvltzeSdOScVDDXjaK9gyLirvbUaKDtcCwT1yPi4OkU8&#10;8uJeD+SwnR7pMD+WthGEYDifw04vv5svQ7WWOWXh7DPPCHht70cQ6sq0h4DZJb0/Y5y/tbmmCGW0&#10;iGE9eI32R16b6zrXWrdyfePaIxhNebZ9quP4CxuIb7Pwfbnj9HL7ejC3w/MDgT8J/QDtNFh/Fn6D&#10;qHPIEP2z0S/wmlrlwb5nrfnJ9dXJJ+bXwv8f+jV0a1+f9vVoyqQdgtMHH9w3kFk7vvi//T6rHrzm&#10;vo0oszjdSWS7OtluVLmZe3jBll2JZYxjaLYv+JpUekZcA//vSnPPwXPo0ua3GXwD+V0MGwnnaJq+&#10;I8i7Ft2b78M8+LvS+0hccjlmeZr1BF9r+o4ecdhhgZ4Xy9tOvxDtEzKmrRvz2re714PXkGGWN755&#10;KdOsL/6WMLmsN7qsMJ7HOjM5GXVfux7D79V2PSZJ/dy+Fv5+0I8rzWMHf7FmH/PgvWg/Me3ZvC/Y&#10;jrmW8COB7zfYjus/WPt+ZL/DPO3nk9/NlcfFi17U49bgNeYxTpl8XSCDlMWo8MRRJ+n5MUnTR+WR&#10;33Pl3x314PVXX37plbtva8K8CWkHzW0H1ZQ3WOfLcEnXF3XMJHlR78X1OAY7cZ2ZB2wY4Gqc/g2G&#10;grFIA1s6rsc5Mw+c4z5zfFZXu0N+8OEGG9Bf2O/D/KPuZaeV3/WVY/iDcIzxLM9+zf63Yp168rX3&#10;3j0Nrpfzq+K1nnzmO77ru9aD11h7gvuB4bvVlHPRbeor82bZ1nLMPbswvzxNHZm2L38dKL9NYA0Q&#10;Ox97HNN8XrI6zgbOtNgLA3797CPgWwJ/pHvvuqNCW4Sc+/oD0mM+Du4DuwvzlbB5cgm5QL8NVkO3&#10;3sPba9H3ta7MU9T5hRMvUL16HdhZ1xx/rHxdvhltv1s5s5cvXRL0eXFr/rBPjIvHeepB3G9X2kPz&#10;2kM1Zc19cTu8ccCk16PdYV1Avz2U9Dx1XM/2gb4fednc5jno3BjfwDWwx1Tip5kHroN80TaCZ0c+&#10;OI+xSdhD4KMEH0HoC+A70/LZ+MzgN+IxbgobPjiOvgO6OHXvpOUh6ZLJOFgNRoMjfXv3qbgno1lf&#10;GGOEv/WECWcHMpZIJ8+9Xk1ml7MaZYMxexePXfHg9aZNXwRl+v/ZO/On3Yrq3u+/4Nb9wd+8VQ7E&#10;RI2aKEYJWImJXhyiqIAgzkrMdJ2ZVJwSjMb3CdORQQERReQIHuRwRECmwzwIIgiHGcS6V3CIiEOO&#10;8RSV+3y6z3fv9fS79zMPe1hv1Vu9h969u9fu/vR6Vq/u9jHH8erxstq7ZR/vhE2q97BqnHwoDdZz&#10;ot7ATD2HjZpr6ZrWeoZ4d/X3YJDNGZu1vad0qkLFlU6gd11/7TV5HuyzcJdnWC+c/Oq3hMrM82X/&#10;5J+4PIPPud5r0/bj6rpdJi+usT4IDIHZqdz1uym9zvzFpzx1l2z//Q8YeKYqfvp8+8572Qff/77s&#10;Yx/58Fx4zVrJ+n2s+cSq22XfUfc8rK7/85SNdEe+BTql7AXjvkMMjGt9xL2BdY3+We3jiyd9fmD9&#10;D72X5+x6ULyXvOj+sHwoDvp0YXePzMUPsOrZtN5hJ0enhsnM3Ryn7ePbQj8B+/WeNF1dnzVUuirv&#10;rOkt63nlW6Heyzl2K/mDrN8/t+g3mVuu70F44DsP7K8T8qc769V6PVP1rd1hUe6PH/6R7JnPeFZ2&#10;2CEHz4XX6NiybdIWbuvvRaLv5uFymDxKzmpP0ocJeUbXhz2vONJVCXWN52C29r1B9551vy+btj3m&#10;XXBXeygwbgJPq2wr9ll7DPvxYyQtbCnYZ5AHvwFkKypYENsNY5m8l7LT//DblHJjk+H9Sj8Ny+RK&#10;nKp4ul72XFOuId9//vjHcn8Q1t7r/dunDX8LFkU5F+dr/XislxrnZxXXR/0+Kr5X0Q806xplteVd&#10;yz7U5zM2JPo8/plbNMreMeo+rNZeJFonnzpN3WqartCU9jBpPi0DVIexK+q6wqp0dT/yOq6jp2t6&#10;ppjnGu0lqc818dP6kKahtBTqmTQefISfKgvHVbq2fdYek5eq9LEZ8TtEa4en7Si+17avXlgbXOvK&#10;YvNJy2rLpOOy0Oax7H7drpXllz5P3IA3+k7Dw152ZF+33nXXF8Q9dPvHUee2DLPHTeXyqHzHMrJ2&#10;pmQIq1kbi3EXXYO7Zf+j7ttnWCdI38TnOq5er6Yt2fYUbSFrYc1pO/dkXAZ89ctfCt+XUM/oHT96&#10;6IcZe//y+4o6gD2YMUDWz1YeqkKlZUOla6/ZY3S4zWa8E/0ePRlul71H12wa9njYfWR1W3+uPGuC&#10;o8/jM84+Pid//oS8vqveKyQ/p33x5MB8uI8s6NPQ6e/4wW05z0eV0+axbsdlMmNODGuEwRjCT/b3&#10;w5BMYijmKoz8+synjuj77v158AcpfK0H4wymM4p7TbpPOXvBb0Y6NdxFhvR37AvF75N585q5F9JF&#10;ytb0qVt961p+4nzytfC7ftKy0zatfm2fly7J+CVxsCvIHim7i43PcVlbT+OUxUuf4536Xaf2DLfL&#10;0kqv2bTscRrP5iONxzksh+OUfb1tPLZFyUN5JCTf9HGMnZb5i5flo87X+L0OY2DNHn++R39vr08l&#10;rC4YmurOr3nN67KXv/yVO+OnvnvitsIiHSvPJh+zt478aKQjo2PbMs2b19u3b8/Tp+7WuW51KW/i&#10;qfzcpv02sJd2pjkyyFD8IoRZ2HbtGCT1Db1+kfJG/yVPtm5TRvQH8qXyLzIPSpu80IcM+qaM4sug&#10;vzhjs6Qj2ZI2ZdC5Qr2TkGu6Tqgy65ri2ni6NipM0yiLr3294PUfPu0ZlX57rLXHd0p5vevzXzDw&#10;/ey3bN5xWb9Sda0XZDWK1chg3rzGNoKuQdrs8zRsLnLZN/dri7OhsC+A6j1MnUTWaq/y58OPuex5&#10;7vPPPezX0ud5L7aAsmfmdQ2+8Q44rT3GWDeK33k3Xn/dwLpRKs+83p2mY9mqe/QdjMPSd7FmPL4u&#10;2JWQpb5LGmJTwV+cfVjQw+kPNcaJPaiMvWVl0zWF5KnqWPlNQ8Un1LHSgdXo0+iFrOXE+ntFWeDU&#10;Tlb1+/r8+s7jI/p65fP7rD7wwAOLe4rfrzd5/MYel3E69lfvfff/CXPzZftAdnu96lXZRw47NCl3&#10;TGNWXmuc0dqwOdaa2PSh2C/Tb+/ni+NylWztmtdXXH5p0L+kg1U9o+uKF3kd/fm4p3arULzWOc9Z&#10;ZmtOjdKdZ2jfiY1Y/ipRj4v7LKQ2Bz2jcB75UVqS2bhpopPjc0J/ozEA5R1mpfoo1ygj3KcP4Hne&#10;zXuVB73bnitfNp6uKX4a2ri6pzSlV8Mc9rXA92yQsZZX9jiy+K9e/JL+2tZvK56xTG8so6v6mVh+&#10;bPW777Z7PnaI7LBTl+0Nj+6hejArry2nLbvt/JlF/xZW/fFweB/AWJn0HPTNaeQFj6k7qX6t9oy9&#10;BB1QadOmGXeO7TfW1WXUB96LnsCYoDinOk8Z0E2Vx0WG5APZSD46J+S9uq48cJ3/3KbS9xdnzuYg&#10;/8SC2I5ZiwM7J+NUjPHyDeiP7Tpeep/eQ5heS/Ni49pj4tnzvV/72lyvZj6H6pjkbfOub6Fr7O/F&#10;GKNsJFyPa1mv57qeaU4Yy7BeDr3AZtn5YfU+/XVlB1ldMNo+P09eW3ZzzH5PfDvsistqH7Ye+fEg&#10;v+O+bbGtb7v9BwNtblxZRf16bR2v1fbxT4bPOle6XNN8KupE1TpQij9NaN+pY9YfwX6ATURratPe&#10;Tzrx+GA7uf++e6eSw6j86f0Kbfxh19J79hwfRnxf6HdZlxC9Gpazt+Yf7PKHgZkwYNfnPT/wAAa8&#10;421vDXMs0NHwVWEPep5nfgS/NUjf/tt82mObD45pz8gTHzPeud4GQj0rY268hv8H44vP7c95POTg&#10;gyr6I/VLzQzTvgmd+i1vemPuOwOn93/9vsbOXyYvW/beQuzX4vYjDz+88zv0whiU/f5+PMjSZcgD&#10;32DpJmn/advjsLxEXhf2kFTXoo6mNgelV+jZ1MHe0DWx9cwkYVqGNG/orPJHlBz4nUC+JnnPuHHT&#10;/PBc2TWb3qj7Nq6OmTNE27f6GudV/y/5q7/K9+JEDl/uz0Hku9KvVc07SmUJe/ROfPbW20Bkv7G8&#10;icfUEVi9++4vyuujvgeh1Sft9SYfozu/8AUvzL/Js5/1nBKZpbzWOWE8XqR+DbexI/IbDVlvPucb&#10;2Y/6PrqqZx4ul9m0S76D9e2Y5BvAEu1zIHuI+KIQPRZfOp2n6Rc6fi/MI5TthPhVz6RpTHKepsk5&#10;/Ql5lH0bmSCbdL683mPTsMe6v4rQ5oOyiM2wGJ86/HXf+IY3hN/ZL/6Lv8x1OjH9E+t8oguuMtcF&#10;eaC/8z0Zw4Xl/CbjXYwlan8YGBTHxsSWIh0xxnL2s/11QWD1nnu+PNRFe6/Zx2n54/mnj/jnoENj&#10;19fvEOZ6MvdzmvIumtcwm++uvC3DdrmK9lPXd9p2DWPRXWDutPmtsocoPVgIB3Wu91v9THVB7dna&#10;0hVfz88zJG2bD/RtxvZifqK9EP277PdB+uw88zVpWlZGlAc/HFjAP3aRaAct7J+UTzqrdLz39G0o&#10;xXewjB081nOE9AHqFwixt1SnEd8f7dLx+BMf+1h/vb1nZHv055pXPzf4/mbEK5c1+7nLR49vw3Fh&#10;o075Pl65l8Fr1mmIcu+F36O2zUxaVz3+ZDq5lbW+wSy249j3FvaQsu/BHJCq39XET9ug5tOIQ+RZ&#10;x2XpT3OtKj3ZSCKXijaEr0Waj6o0psnPPJ8hX+IoXEjnWOi7U0b24CIuujfXxePim4g9hSy4d9AH&#10;3j9gI8fnrHgG1tj4OibU8VrYLxdfEOach+shHI9Tg++q1zNp3aFszH2RTq1vw3jwrOVYBq8ff/zx&#10;sJeq8kqbH9ae51mXPa3I99hnxrZj/QYmkQ9ciPpo+fohSmtz3+5183dvXKdji3eqB4U9ohd0/kXb&#10;yvR+5dOGyId6qbbHeiSUo2qPMfvsqo4pj/qUA/bfL2c2tgr8LgpWipm9XEfG5lz8Jtf9QQ4yJghj&#10;xHj6AvRz1tkr1m5KWT2YBvr1YYceEvaIef3r99vJq/L3qV40OURm/HZhzBdOY6dGXvC7vFyTyWJR&#10;vLa+fRp/ZEyaOkSbQAdLx7xWVe/b/F61Z+xQsf3G/b8mKTNcEOs0XkdYlQa66TC7l8Ysqb/WZ4Sx&#10;DtIkz1Vpz/O6ymTTZN1UzW1XPS2zj9hnVnmsMsAJ+LDLU58Wwle87GV532M5wfxw9D7iElbpfNjA&#10;Wb9TuiFhtH+IL9LDLZ91LcaB1Z8+4l+yZ/7xs8M+MTYfgQNrO/XsfrzBe007j+WVTi2Z0b8d3t8f&#10;p+g3Va6d8tHvjAnKvyhei9FpWNgL1wb8dFdZ57vwbtmdkf8s5WWuHW2rLB2xAxvDKBs5tnS1Ufwb&#10;YOMi9v5UnmyZy67Z++RfY7O0NXRtxttsnDodUx7G/OAE88DFiyoWo/8pDqH0P2yr73vPu3N9WnHg&#10;DqxmDy/9/tC3Wx+K52v9OTBvz574v54YwjxeYgOJvtbiWLNDxnUlM/o664uelz9nM3IqZLX+frks&#10;ls3rH/+//5vPv+X3cJ3bQZ3a5Kx50ZivbMXTpAcXVK9Ibxj38AMpewfP8B/1/Vgn4xp3veBHpPqg&#10;eGVpLOMac22Ya2h9ts/ddHYt5+oiK/aJECtkv4DdB+y/f+kYF37Z8vHgOZis5xVi+4DTH+7bM/Td&#10;i1CsUci3jMcHH3Rw9uK+nZq1m9rlW72+rNanWnJ75ctfnn3io4eXyKycwYVMR99fNq/Rt1kTSnZQ&#10;8mrbKG2R+res38TLaPurfIe4p981o/TeYXlF74z6VaFfk37ZM/Y9No79ttgdSI9+29YH2R9WVQfs&#10;e/HNtutss16W9WcpK/sqrrGOsXiBL7TV9eD3eibEMTHGJmUfgdkwnHnRh+R7JlpG9ccng36481r/&#10;21n9mP0Fnv2cP82e+MQnZgcfdFCIG+OXjWuOZtP6PNfhGdl81kI/SJ+mvo4xATitNhLzX8SfR3mW&#10;yWtr02YujdZIwB/YtuNV1Pe2vhP2INt58Jp00M+pd/jUw+8quWF/KbtnWWh1bPZ9Rj+jrg+zjZel&#10;uehr+MvJDqQ2h40+fS/ySa8t4lwyVMg76OPEa+wg7PWnc0L8Oawv2SBT4j4m7DWl8hEWcfguYqX4&#10;ozBe/9e+nfqP+3bql+35iuxTfW7bdNpzXJRZtmqxGhkj81jW2J9Z+c1LBsvkdWrLZg9Wy2zmTvzI&#10;59MspM3nvK7g6LhcwbdE43GyraSc4tzq18PSjvyPaxZEm02s69pPzKZtj4eluYh7jI1TJrU77CSq&#10;r8qXwkW8P02Td+l9CtGN4Ye4ga6HPYMxSOnOzIe2vgrjMWVQx5YM0Kff1rdRv+SvX5q99KV7Zu97&#10;L7yycTnWv3jf7BDZYe9/7p88L/SH2KmxLRW+Nost36p4LV37J48Uejb1QPPd0vrp55P5Xafymhev&#10;SRf7ldosOrJ4wT0dl7Gce1Yn5By9UG1cY6KkzXqvSsumm5Zrnud6n8I0ba6zVrDsI7CO+X6UqeqZ&#10;NI15n+u9hH/zilcEhkT/64KbzHORHqiQdSuYzxF5HeMW7B7OHPRn7NPYPZhTDrejT3XUyXObSW4v&#10;KfKietPE0P5mQY7YkQb9JlO5qdyFXj5ruVfFa6tro1NLZ2NdGubAYje0dXHe9bxr6WkfQsKyskvW&#10;ZffKrjG+Rd3Dz+OH/TWViGPTQD/GrqE1PtM0bFzWXiItbMNau4BrSnOZPLT5SvOsc+xArEdNP0N9&#10;pW+Z1qddac4jxE4NR9bPl+kF/Q+98M92/bPAdOKhj79ojxeF+dL4jGBHwf8uMgXW9DL2vkVv3m+/&#10;N2TMdUGPfulL9sze8Y53hnvr+SNGiV3pua7XKSzLY7yGnyTrHzKHXOOzhG864ABjXyorS5pmel72&#10;zOhrdeA17P7d77YHXcV+/zIboer1OO1KcbscSk6sAaF2WCUPxa26b69bXVjjxbqvdLD7oova9ZSs&#10;fq34zFWx/n2qAzxPHNIre07PryIkT/K5UX6tjrGKPGld01S/1neXLg2bmcchXVt27qc86al9f8Cn&#10;Z3/dX3OP/QPQn5/whCeE9U6xe7D2h8oawr7+PHDe73Pbdi5fG8mI9VmsPWnZ5a0Lr6Vvs16xZEAb&#10;tutdigO0hWXqXKtoe/N6p+QE+yRX5oTY9K1c7fVhx/hIxPT6cxOH2MTZIwGukZbyUsZerqGP29/k&#10;8gksiz8sb4u8pzLoHXYPMtqSrhMq38h3GhnbtMY5hteD+nWh04nV+mbo0fj6aR4ez8Hrpzz5qf15&#10;50/L9tln3+z973t/dtTOOS0ab1SoutSGcFA2sc+BydovR6wu/GzmZ9+YVH514/Vvfv3rDN8k5lBQ&#10;Fny90n2kllX/x2kjTYgjVkiHLbMtjyqH0pDssYGwjhvfiLklVc8THz9m/uGXeKf07HOkiT1Y9mxs&#10;DjaePbbPLfqY91r22vexrkIcM6Wd98Lx/f1rxOG5ZeZZe90yt1EyXM8DMVzhWtAXsc1iL8EnDT6x&#10;rnVhG4llK9Iqni2uNV+3htvYhBiTfdYznx3kgO1j3733DmO4g1xfjQzqxmvp2fhoM1dZMmK8TH65&#10;ai/LbAt6Z1NDZAX/ojzXhvrilZXRylrHl158UeA1bTb9NmkafD/sJnqW+/ZY59iCYQ22bF1L01r2&#10;ufqYYe+1vomaS5Q+J+YPS2eWe//yiY/nrBVH9b11bkN7L+rRawN+gLvvtnsYk0zZnz/XMnsINmrp&#10;0oT4fgzOEYXRltP2eDn9VV15DbfZG8TKB1so+2vYOp22eXvPj4vf5Mgi6q6xXlmbsuQ0TJaWPTpm&#10;3C22/17pbyClS0hc6fV6PuWXfEXgAX6euj8sX/Ydizrm/cqLQr3L5k16NnnHj8TeI356rjTmFTI2&#10;hl0DG6vlcvVxL/froJ2Jw/gAwivSetUrX1mS1vI5VV2GWTnZC+szyT9PvGYcFv+Z9L1RRqsrf515&#10;DbOxj8S9e6OMsI/AHTsWmbaD9Hxe7aGp6UgerKek+sf+frY8imOvjXOsPgDbyDCWkdbWSy8JdpE0&#10;Xd6Nf3OxT2Ev+8qXvpjnT3lTmD5fl3NsI7Jn4+eCXT+Vic3rvMtzWH9fLXiDnqjvHEPLF3tczTr5&#10;BpIe45OD6YyXxmAeBt/1b/96xBzH7aryU3V9LWMe+d+/62+Dfwz9EuXE9kFfRXkH1x9U3qvTG1bW&#10;ed6rO69lH0HXLtZyQ369wG1b52kbnA9rI7a9dOVYMoInqjv49en6tDJDzoWOvTbgB1KVJn6b8tnW&#10;+/kO2qsM/QU9lX7A3idOel6H72fzpGMxG1mn/WKaZz2TXp/m/K1vflPQid/2ljeH9qFvPU3IeJs4&#10;hk1beyCQlvTwSdPFHv53f3tgvp4U43mTpmHfX63rRq4eWbH+Hzy2c/BhNXsJFGt+xOenLec0ZRr3&#10;mabwGm7v+P3vw/5icSwyypR5wqy/b9dmnWcbmKbd1O0ZKw/531j/5lnzG32xe/kaqnqfQqXPOX7K&#10;vJv1sZmDDrvFanyZGZfkW8o3JE1DadU5xBaidaIIsT3J/qTyKJxnOcRr5tuN2/6HxWMMUuOP+P+9&#10;8+1vC0yL45Cx/aXPcw/Wa08y8vKaV78qrJuteZbwkb4A+3DZvo9pmtXnygOhjqULFyF2IvZbYNzQ&#10;cppj9m2ozkN1mtV5Kt67iDhN4rV0bcJrrrpy51z2KFPpbdR/6dnzbAttScvOTRRDZikb3GF8DV2E&#10;fhTdmDmq6PL2dw7x8PPRvCj0e/pZ2VNob4w16vthA7P5qus3FXdt/rgGszUPMrKkF66pfLZsSsNe&#10;m+YYXsPCeejXYg3rZYvZ0rd5B6zDh4S1oQjRlblv4xCv7B+/uKr1pPTe0WFs92U6ttWL6XPQndN8&#10;4fuIflD2nrI0y+Kt4lqTeK057ArxIy5kFmXP3MiyNjFN/W/LMykPxBE799+ydZJy81wcXxjUK3hH&#10;mPfXn2+u9GCzHXe4+sor8u9HG0H3Jj36lK2XXZrbttL8K726hFX5o6xF/VwLfZX9HTjv/MNp+Di7&#10;fm051gs+EujCYm/K5ZSF6Tl2YZhe2MFVV+x7dG2cMD5nuWzlTP/IOt5270TyTr7IR/T50PiqwnHe&#10;u/o4TeK11a91/MtfPhr2GpO/Nt8KP2N0PsuGebeNJqUHT/RPvqXT8ludcQGuVTFnVDlh66azNoa9&#10;s9CtGWPQnHK1Ia4z1ml10GK+Zdxjxur6HLMW2Kh31+W+ZKfQ5gv9QXKgbqa/G4hb9pxNY9xj8RRb&#10;RPHOSRkjhiqMz2NTOLi/xip9AWNy6Mjo1vaf6/vtu0+I80//8PeBi9iEy8fuJs1XGr/IH9zmPYwf&#10;ki9xWozGLxGf6rh/QJpOs86bzmtxm5DfoFrvL/4GXQvrYGpec1W9H9Zeht2rSq/O12Ema/GrPWM/&#10;Hie/PGfjoSfiU834QZnOiB1a79C30DxI+tLiXjFOiazT99h3NvEY2fBbQ79p6Mvm3RepjopPgz7D&#10;deVRqiMX/LV1Y/DYxumFMVB0du35rv5KIf1HukbsYHp1lU11vtrCa9lImL9e6Nqx3PgAwiV8GdTm&#10;Vcd1TpheayM/VCZ0a/QSvr+VQdWxlQ1MxZaC3mxlmj6LP3Wc/xK/A6ziGdtm0v7CvidNr2nnKgu/&#10;Qey4wSLW92Z8VnaIIz75iZ0yXu1v/cJeYTlbsCjeL7unfBehrTOMZzKXXuVVqP4KW3pcN694l32+&#10;ycdt4bXVs3fs2BF+51/ynQt3sjvWCXjBOBdtBx2T9k+bUruyPCi7Zu837Tgtj9Vx7Roto8qF/QRW&#10;y38jjZ++h/u39fdZHlzvP/pXw3Mbv+o4fUdTz6l31EE4xXi5ymHLrWvjhnqW7yleFTyi3pfxcFkc&#10;07vTUO+vuh7vY4Nhzibr42HPYJ8t2dEto5nbgp8HY4vFngx6R7vCNvLasptj+EK9Lfr7Yl0S6Yf2&#10;d7jagMJx207d49nyRJnEugxHxsk7v+3hLmwgPjIjTf51XJUOcZgDw3fARwT/ET3HM0qn6vkmXqdM&#10;5BvZqH6pn9SeStOUS+naZ2EbvMZ2K17b+q5rqwzX69PiNfUwHmPLwUebcUHLZPVFhPxjAyEea29X&#10;lalu5a/K5yTX28hr2UYstxmXxP+A8Z9o41Zd6WVnfOW0wHTGxGCSbQ/22LaPph9j61c9YfyR8owq&#10;K/GwXwyLZ+/pGFZhF0Enx+8DGTddfpPkHzlIFsgdHRvZS+6TpKW4Sk/nH+jroHBs9912z7+rGKjv&#10;vPxQbSzqBXo/OjB2ZXiL3swYITry0//omaEMls0wmzW7iYP/N2Opy9rLRfmtU9hGXsNpMVuhZXeh&#10;c2uuVlGvmFfNOkayl6g9tDHUGNiw9fVUbnTwafmCLi+dXOkpFHcU6nrTQ1seq19TLq0djv6HbCYt&#10;q01bz2rta/w1Cr4U9bq4NsjOxV4ffD/+G6nvhvRlG+LbzVjhB9/33sS+MZiezXsbdWlbPh23ldcp&#10;n8vOH330F2GOXTo+iWwYj0OXHJfb+r2r9tOEUPMK6aNG5RcbBvsKVMWj/HBELEGHRn5wmvmPVc91&#10;9Tpj4Oi/rEOY/t6QDCeRjXjHHD61bcJlcWzYe+z8b+XT2jo094Z9y+xYqS2HH8d+tsu8FsN/+9vf&#10;ZvfcfVcYA9p4xumhHcX6Eftz/NbQLVkLAl+sqvak6wonaW/Ljkse7R4G2IKG5UF2fsUpKyOykS59&#10;/pbNYT4j9u5RaSvNLoXF3r29YCOi7GUyHUcmrFkpDrJPVcG2an20iDNvfTu+k7E/9mRHnxabmTfz&#10;4r/4y+x1r3lN8JXGVo2vxyDrlWeF885fs9PrOq/L7CWsvX3l1st21qOi3sR61QtjbuOM0UnnnrYd&#10;jtNWZ40T/et6wZd6WD6ryiK9Gk4zV8bOUUKvls/1rPls2/P0f7IvIzeVb9g3UJw0ZFxAvMYmvDgW&#10;D2NdbCfo0pbRsFrr3rEmHmUe5POwNP1e+i27zmvp2GXhL37xH9lNN94Q1sgUq638sBEwjlZmJ5im&#10;3aXtcBnn2CximXrrfpdXvV/s5j7lRE/H38H658FtdOumyKGqrIu6jlysbzrysnId9V6eV3zml0qH&#10;XT/ne9HMK/QZ9qdRv6GQdaU/+uEPJX1I8Yz6LLUrZ/nw7+W8/u+sjNX22uOPP5498vDD2bbbf5Dx&#10;OxY2aYyf+sa6MehI6KrM66Pt/TCZ5103bik/6HnYUGkvrJlXxQnFJ9Sx4urchud9c1Pw2SOOriu+&#10;hz8KcsZurfUSWUPB9vujZMZ9xWH8RXxcxZxr7BrYOegz+McejV2mWJ8UBonRaWjvDWeVmN7l0Hk9&#10;mteW3Tr++c9+GtaCgNNp/UFHgOeMtaG/puNJdeMV9nnKQF8zLG/wQTqdWFEWnz123Q4SmZzKx8qQ&#10;e4xnx7HHuB4U14bJNk2Pc/RX8Zr1TJepo6LPY+/Q++Pe7NXcTX+nLjOvaTtt4rnzejpei9uEP/3J&#10;I32d+uYwHsl4ZbqGCforTNx8zjdCHNYzEsPTtmnPdaywrK0Ou1cWv+wa9k/0H/Z3Kbs/6TW4j6/7&#10;pM91Nb5dE0rjIqO+q+4THviOtwdexrky0l+rmTkbp2L6n/zYR4PPtDiNH2Ez1i1ZlFyWk67zejZe&#10;l41XwvDvf+/mwOgq/QGdCv2b9skcb7U/yyx02bLrxKm6bp8f9xj/DfJJnsZ9xuOV68+j5MJ3S78r&#10;/Tc2Nb4BNrVRaeg3DvE41trTzMmejcWjmBPzyL6Gdk1sfKVjPfexxMXKfy2s96M+0uqM9njUfRu3&#10;S8cpq9NzZIGvCes8Rx/vqJsMMryX4f/M2JN8K2x7VNsVnwl1rPaqOJOGeg92U9Uzxg6Vvu5Pmy7P&#10;Ka1J0+hafO3jQD0Zt+yqC2qfGmscrF+jGDzZfeYmqn/gvej0cb+ZydJRffNwMrm5fj2bfj1J/8Te&#10;waybwT5Y6NZqo7bOouOyftv5552bXXfNVWE/eI1dpvyblYX2ee05+I2vnxl4Ye+Ny4+yeEpHYVmc&#10;Ll5L5YGOLTs285hGyUTPY2eTz9z6tY7maxth7SX4DKeZO858RdYtGRxLnO87bdvwY9evJ+HtqLip&#10;fp2e63l7nTmWrNV28udPyHXcWC+Leo89nN/J+DjDe7VltVmdzxKyNxftDt1Mtudp9WvyobzNksYs&#10;5Wnis/Kt5BvA72FlkHyZEwg/WV8j1avT81l4R1qveNnL8nFFWF2dXlF3q+NMpld6OlFerl8vT78W&#10;r6tC2M2+K2Xz41Vf8TuB3RqXGtamh91Te1cY52/EOgG7dX1YGn5vOhu25FYm46hj90I9ULxhIf7N&#10;8LqYJ7MYVjKWyHv4x1/PbSCr6W+c1/XhteU4/oL4e19/7TXBNoK9YnBdwbVwjj8h3xD/ORgu3XhY&#10;G+eeWKGQa7KJMM/FPm/j2Ot+PBuvy+QnXxG+RXo//Q7Y1MRQ5nWrT59fGNmPHzU+e9hdWIPaWb0a&#10;VvNdndf147W1l6THrHNy7qazA6sHf+8O6lV8V/iN3kw7l12C0LZ7XYcNm/v+hmrrzFVMeeHn8+dz&#10;KlPsILIHa/yZ76VvppDn2CMRXkc/vnkzpPD1eO1ee4X3sOZ0UeeK+6ozHs77G6xPz3ldP15bPbvq&#10;+Pe//6/QhvHtYK0TdK3CBj7Ibs29RAe/8frr1o1hihl2v3LGOnXdw8Vz2srYznm060NabjOOgV0C&#10;nReezo+V1J2i/rBu0y5PfVrgNeub2nvze+d6Lnna5TJxXteH11aXFqfLruleWci+DLf199/iu66v&#10;80U7xA6ObwEMlw0l6naxnvj8xOUxGg7zO0e/ddifTesd0A9blnNMPL6PbCGs2zE/jkpv7oW18/QO&#10;xjOL+lTUo+JaOV/8/nzl4ryuD6/L+Ft2zTLcHqdx8f2GxZv7do7id+z6+sM97KX4EKrds06KOGF/&#10;g+uah/PnubiNbDWWAO80nwpO61uwxwS6NTxlf8NFcJF5MOK13XdrWF1aRD48zaLNOq+bx+uUy+Oe&#10;s2YV82HwH4TNMKGYx2N1pl6wkYsNzub5s7lKpsicf+b0i1PWNqX7rBkiXi9irJExRrGavWuUFw8L&#10;dq5CFs7r7vA65bp0c/Q39kBjjTjpTszZsPpcFV/8+mJYbuecnr3xa/lvHclb+38VY422v52dKQfs&#10;v3/O60M++AHndf93zir4nL7Ted1dXlt+i92aY8eYl9jg4WKYXCVX/a7R/Ff6UcXlHv2o5hkuYs0Q&#10;+mzWb5J+zXohKTf8fDX8dl53l9ditOX25p0+fakPtnjh4WLZLVYT4s8nLlqbCOsowlJ8ohex3yH7&#10;j8snZPg8xtUwSzLpYui87i6v4XTKbPbTkU3E2bxYNo8jX/xDGANmL3uxXP7Qr3rlK3Oez5Nd2Fqw&#10;jRe2FufyPOU7S1rO627z2urWHLMmlcYg2WNYjBiHLR5nNr6nsuYc/x759uHDx14Q6Nbw9PB1+2zN&#10;zlX2WNQ4Jr7Xs7DFn539e6QydF47r1Nmo2OrnqTrlGA7tVxOz+09e1wWDx6ljLLP+HHkv/b/4XfP&#10;GV85LfB01+c9f+fvoPmOM8Jo+gPWt1Yd8HD+3J1Wps5r53XKa/y2tUcOv8PvvefunNHw1bJXvFUI&#10;Y7mvePa6PbbxnMvD9XKtKUIbP+zggwJPWSsPO4lsV9O2//Q57ZnLfozzTjt9l59P3g84r53XKa85&#10;v+6aq3P96rQvnhzmsWsPs2F8tUy2x/aZqus2jh8Xa3LZ3zvvOvCdgdfsAVbwbhodO30mnr/m1a8O&#10;+vsi/E6K/E7OKX82ysx57bxOea0xyAu+dd4AE9gHBxuq1iESU+GvdG7p1rqXnuu6M3u4Ti05EdJP&#10;ileHHvTBwOvCdp1ydzIWFjp01NV3e+FuIX3tVaP3ejiZXBclL+e187qK11xnb0fZRmwdxCeY3+ms&#10;sa/1RyxjOHYmj8/kVHbpOWueI3/GA7Eva03TgrfT8GSQ9ewhyRpSpB/3zh28b7+/H08j79mfcV47&#10;r1Nep+fMY2cOO3Wl2EuBtqz/tbAHJfPb4QpzI9lzHZbjN8zewzDd7mvmPJ+M5bfe8r2d8l7L3vzG&#10;N+bH8+QmftewOvYH/xz6h3mm72k5r1O2+Pni+x/2wcFvBH4Pa4Nluh/jl/g7bO7Py5F/GnOvU30y&#10;1c1lb1G81AZjr6fP6l7TQpVZ5ZGOfeTaZ3fKXfqvwkl4sP4Z9qiB1ejYw76r35tEzvON6/r14vnW&#10;9j7kV489FtaQg7vo4azHja2EuoXOfeJxG8Zo/3GfeOws8HzjGaeHNb3P37I5cP2Kyy8NaWM75/+u&#10;bXeEvSxhmXiWhvBZ1yyry67Z+3U5TvMZdey0/Yu7CtP7Vefr4zPWCK8H106tet6vr6Lfcl47r+fR&#10;n2iM0qaVXoM/+DqwPzz6dbG/wtqA71jUy8UTheV8YAyUOYDo+ynfyrg7Tpyy51Z1zeaXY/qz9ZyY&#10;j1+f1iR5x9veWvKOcvmvz4vHW6RMnNfOa8vYeRxbTttj0rbnOmavStYIZK9K7N7USfbEWV/vB9k9&#10;yPW1jDWhR+0rviruzvpe2UY0dybKxsrDHk/DzF5uu/Z5jdPIbznPOK+d1/Ng9KLSYH489nJ4zr4r&#10;rN/NPzo6e8mjp2sdO+21gA7Kfgt2ng+8tLrqrPxc5vM234zhDvZjs3I6coZ1ozQP/fAPHZa8Yzks&#10;GiyXv7NMHs5r5/WiWFuWrnRq7tnjsrijrtnnYfqmszau44zm00s/hX06XiZz5/Eu5VvjjmXtedpr&#10;+O/JN2TaNPy5xfcxzmvn9SguNuX+jh07gu6t9argB+t5Mz5pdVTLzqrrNk7djtnzXmtARUbOrmMP&#10;8nr29Jzdi2G389p53RQej5tPuH3LzTcbG3gvY049fuBl7G0is7H3zJOJzGd0/XoxjJ3nd3JeO6/H&#10;5WAT423u27flB45Oiu07ZTZ2Btka0nt1PKd/wZ5f7isyKXOiLv32t74l8DqueV3o1+mY7jzZ42lN&#10;+q3Wwli8+tWq9jjqftVzft37glXXgf/6r98FH8K43zgc6oU5mPfcfVduI2mifk0/cved24JPzHTc&#10;K5jM84O8TjkyGHe696Vp+vk0cnT92pm6aqbO+/12HNKmTV2Xvgi/66g7T5onbNnac3Oa9h+f6SW8&#10;Fp8VOlunl+18Zee8dl5bprX5mHVQinbXC/NsJuVj3eJjx4l7hk3LhcjkMv1afVshs2nf4c/NS4bO&#10;a+d1mxmdlo25Ofhty7+CefN1Y/A4+bE2HNbSYp7nLEx433veHezX7OE7Szr+7GL7Jue18zplWtvP&#10;sZdcdsl3gi0bvrDulPincBxmrjKO8qlxUsZRIys1N30cW4bi9vet6ftfa76MXXfR+btY/k4qX+e1&#10;87rtfKZ8qU37N7/5TdhzXIy7auvlA3o2PBQLV8nlSd5NvzNp+9ecUPlfw+zBNMbhfr2YNpj/duXN&#10;ee287gKvy8rInMjoNxLbNGsLwkfprunxJOxcdlzlmXUNp+EV+x/Aav4/8dHDc109puXMnkami3jG&#10;ee28LmNZm66lurUtG1yVfzZ+Fg8+cH+uZ4uBy2bvqPcpX4T8BtA5z7HmqsozPi8ij+W3q/WefLyx&#10;frq589p5bfnVxWO7TyXr343iZV3uV9lrtIbfpNx+0R4vCmOOB+y/X6Jf149b4/dF7cq789p53UVG&#10;p2Vm/vqGo48KuinrsrIWIFy2umtdOD0sH+SX/Xmtnadg2zC7Ri97y5vemPuIfOSwQ/vMHha/XRws&#10;ZFTvcjmvndcpu7p6fslFF+a2329vOa8xenbKb5jNvpmRQWKufEF0brlUXJOO/eK/+MtcFk1hWRfy&#10;6bx2XneVz2m5WWtbeqnW9UtZWPdz/R7AVjJ8Hg2MLjgt1uHXhw8244777btP9u+f/Yxzu+/zKfms&#10;OnReO69TbnX5fPv27fm6fth/77v3nsbq2TCb+UAwpmzscNC+XbBb++4y/vi/X/LS2rBq1aysw/ud&#10;187rrvK5ym8E+6/a5tbLLm0sr/ktUKwvUvC40Kt1TWGhR+72wt2CLRs9+9CDPpjLQ3LxsJDVMmXh&#10;vHZed5XXw8p96cUXBUaxZqnVsWVvqKtdpCx/Kgtc+fjhHwlrO7GnLmuGEO7/+n2zfffeO9vnda/L&#10;Xr7nnhk27Gc8/Y/z+Y6cf+ZTRziza2AXcV47r4dxq6v3sGVLb8I/Tn7OVT50deW38nXqyV/Iy7PH&#10;n+8RdGf5W6NDc1wVco9njlz7bJ6GZOPhcvVs57XzuqtMHlXu+/u2a3z8YBJ7JorVZTqsuFjHkPzy&#10;G0F+2Wuf+XT24UMPyT75sY+Gf+wj7FnM/9kbvxb2MP7eTd8N5WWO+58857mB5/j7OZ+Xy+dU3s5r&#10;5/UobnXpfmrTLubS9DL27oV94nYd2TwqTycetyEw98Lzt2SjvqtkAceli2vuY8oRP18Ox53XzutR&#10;7bbL97fdcXuuU+IfN4qHdb9//pbNoTysv/qf//mfYzH7pz95JLeXPP2PnmnWF1kOo7wvKOTsvHZe&#10;d5nHo8rO3r2bztrYZ1wv7OPCuqVNs4fQhyjP7IOmfR/xNWc98FEy4D791kv/+iWB23+wyx9mh3/o&#10;sLwfc54WPF20LJzXzutx2mvX45zyhRMDn7AN1F2HTvMnVovb7Puo/RqO33BMRp80zvfFNqRxyRe+&#10;4IXO6xX4izivndfjtNWux7nt1u/nfMI/TuwTG2Gi5aKu1yVM8/aNr5/ZL0/0u0Z3lq162Hf+3e+2&#10;B98/MRsfwME5N+iZ6325F61zdil957Xzelgb9XtF/aCtwAZ007u23VGqZ6dcrAuv5Y+o/Nzet+tI&#10;x2Z9K+Z1jvOtYfaGo48Mc9bhNr7ZrJ0dmemsXnTf4bwu2uM49dXjdE9e0j2xXUufvOiC80v9ROro&#10;O1LVh+DvIs7CgUnqNuuKyGfk1X/zN7lcFs2rrqfvvO4efyZplx63qB+//OWjO/m2FnyZpataRlex&#10;UXHrFto1oW7+7o0jmU3fxT9lFq8J3/NP/5jLputMXWT5nddFe3Q2uSxG1QH2DKM9HnNkL/vuDdcP&#10;2ESaxGryyv9DDz6QYQ/B7oydg/NRMtB97N4HfeD9ObffdeA7ndkLHoN0Xjuj1P48rK4LsokgI+Y6&#10;wrfPHXNU2BugbjrzpPmh36EPwtYzqV0EeTCHRro2a5AU+qXbswtZzMfnz3ld3UadXy6bsjqAXQQ/&#10;ONoiNuBJ+Vi3+Ng2ir3Ve9m1V1+VPf7442Pr2cynYcyRdbPhNr5+rKMdWeXMniezndfOpDIm+bXh&#10;9YL53Oij6NpNsoNU9RWUQcymXOyHNk4d0O8OQsYgtWYU7P77d/2t69pzto84r4e3y3HqrMdptwzF&#10;JPudZUNo4vwZMRtGa6xUIfPUsfWMs76IlQfH+PqxJ41sI4TPe+6uhtnzsQnMU19tWlrO63azJm1T&#10;fj6f7816q4zP0d4vv+TidfNnxMQ6h/Bavw0UXrn1slAmynb3XXeOpWOnderqK7Zmr91rr1zXbhoT&#10;65xf5/V82m9aZ/28/XKVrwjtmznedWZzWd7EaIXSsb/65S/lOvG0zGatVunZyEd+63VmYRPy5rxu&#10;P1e871jMN3700V/kXMP2CxPFvjI+NuXatOuL2HqW8roJLGxCHvGXVz9o5W2PR923cf14MWxwudZT&#10;rnHtvrWwdh9jdE1h8qh8fnvLef2+CN+OXsbviEnrn/N6Xrb6+A3Ul2CvGsXjUfcn/ZYev57s8e8y&#10;+Xe56cYbch37umuuaoV+DcvZcxj/cjiBLRsfRuqHHXu1x2ndcV7Pi9cxnWhP6mVXX3mF87pfD9P6&#10;5ucuk3HqgJ2jjq49Sm9t0n3mL2odWcJfPfbY2O3EeT1fXsffOmvht84o/XnU/XHqtcdx/rW1Dmw+&#10;5xtBD0UfbRKPR+UVW/wD998XbD3o2fwWtzq1PU6/rfN63rwmPdev03rm596vTFoH8KGQfZF1skdx&#10;sCn35S+iNaHwNR9XNs7r2Xld5lPDWMIo/XnU/XG/ocdzFra1DuBnBbNZO6kNPiK2T8EuctyxR4fy&#10;UU58z0d9R+f17LyWDmBD57UzdFTb8/uj68gjDz+c69jwDd0UbjeR3WV5Zu1vceP0006t5LVsJM5r&#10;57VzYzQ3XEark1G6BpTsCdJV03Ndr3No8wynsaEOW1/Eeb0YTquvdP16de3b2dou2W/eOe74rc3f&#10;HLBhN1HPLtOxb7n5plzHPvOrXxm6T6/r14vhtvO6XczwPmB131O+2F865aQBXtdZf540b5dd8p2c&#10;2RxX1TfntfO6qm749dUxymVfyF42bPaewYYtFjZNvy7TrW0Z4DRl5Df6xRdeULpWtvPaee1sKNjg&#10;sqiXLGS31fwSfODgNZzDBsx/GQfF9KaF2ENkU6VvSuuj89p5ndYJP68Xs/x7/Hcme4FdF1u6qR27&#10;axqflV/1P6yZKl5jr0+/vfPaeZ3WCT93XtetDuCbLFsBTBPn2hb+6KEfZppHQ3lvufnmAWY7r53X&#10;dWubnh/vL8rqQPR7W8ukY8se0mRmp78NZNuJew9HNnFNdiHntfO6rG34NWdmHeqAOEVesA/IVnDf&#10;vffk9usm85q8i9EqB+esIat9dq64/NJcx3ZeO6/r0C49D94/jKoDt97yvZzX+MuKb20NL734on55&#10;e2HP+IcefCAwW7xm/12tLVeEi2GZ+sg2h+5/7fwZxR+/P1kd+fnPfprzenN/Dk1bOa1ysVY2tp/I&#10;41728I9/nInXrD0EP2XTbzNLl1E25/VkbdHZ5fIapw587fQvB06ddOLxrec1dhHWKPzCCceFMsPu&#10;Qw/6YL6O3DI41pV3OK+dP+Pwx+NMVk+KNVZ7GWsl8S99tI0h45HYr8XNfffeO+F1nF+j+x5OZxNy&#10;Xk/WDp1bLq9x60Bcg7SXbTn3nPDfRk6rTOjYjK2Kw/u87nWB19F+LTY5syWfaUPntfNnXP54vMnq&#10;yg3XXRv4xb4z/MMz8a2tIWtCnfC5YzPxWvbrafnkz6mvi6HzerI26MxyeU1SB/B1Y/1R/tGzU5+4&#10;tnDblgtb0H777pOhWzuvB3k7a//jvHb+TMIfjztZfdHcGdrpqSd/oZTXlnVt4fc//N27Suwh82XX&#10;rOxr4vPO68nan/PK5TVJHYi+yQWn7tp2R6tsIravsceHHXKw69f9PnrefYLz2vkzCX887mT1Zdvt&#10;Pxhos1svu7RVvC77PQC34bX2fZ03s7qcnvN6svbnvHJ5TVIHfvXYYwO83nTWxtbzGoYfdvBBbg9x&#10;/Tpfn2CSNuNxnbGrrAPnbjo745/5f/hOlOmkbbg2YA9xXg/00/P6TeD6tbNslSxr67vt+k+33fr9&#10;jH+12bvv3NZaZqvfkX7t/iHztWE7r53XbWVmXcq1Y8eOsDct+zrCbO09I7ZZvVTXmh46r+fLafX1&#10;zmvndV241tZ8oGvzz5x0tbsHH7i/1Tq289p53db27OXqRp+5ffv2Pq/jnGzWXG26Dj0s/85r57Vz&#10;rRtca/N33njG6YHZ37ng2zmv3R6yGLbpt0ybQreHOAPbzMe6le3KrZcFmwj7iw/TT5t+z/XrxfRB&#10;zmvndd2Y1ub8YLdG3zt+wzEZe7E0nctV+XdeO6/b3I69bN3oN60N++orrwh7O1Yxr8nXndfOa2da&#10;N5jW9u+sNaCwZTeZycPy7rx2Xre9HXv5utEfsad4HAPrZW31E3FeO6+dZ93gWRe+c9yfdi0768wz&#10;WqljO6+d111ox17G9vdJzJ1hjiM6NvsYsL/4MNtCE+85r53XzrL2s6wr3/i6a67KbSLfu+m7Oa/x&#10;xW6DP7bz2nndlbbs5Wx/vwSTmeuIfv3tLecNMJq9xpuoU9s8O6+d186x9nOsK9+YNaBkw8ZfBNa1&#10;Qa8Ws53XzuuutGUvZzf6pZtuvCHo19ix7fpP6NdNZ7fz2nntHOsGx9r+nbU29qOP/mKnDXstu/qK&#10;rbkNpOmsRsd2Xjuv296OvXzd648uPH9LYPaXTz0l57VsCk0OndfOa+dZ93jW9m/+8I9/nPuJ3HDd&#10;tTmzm65jO6+d121vu16+bvZHp578hQEdu+msdnvIYljNOIevz9dNRnjfUJ/vfvGFF+TjjtvuuL0V&#10;a0C5fr0YZjuv69NunaHd/Bb4iWiu443XX5fbRNx+vRjmIeum/juvu8kI7xvq890fefjhnB/f2vxN&#10;53WDebrofsB5XZ926wzt7rc4+fMn9Jndy7BlN1mvVt7dHrIYHd553V1GeP9Qn29/+SUXBxv2hqOP&#10;dF67fp3/3kr1ded1fdqs87O73+I3v/512CMMHfuSiy5sPLNdv3b92nnWXZ514dtfdsl3gk3kc8cc&#10;5fPRXccu1bFdv3YGdoGFTSijHXfEr0+24CaGrl+7ft2ENud59P5vljqguTPoUU3ktPLsvHZez9IO&#10;/FnnaJ3rgNaAOv+8c8Pv4M3f3OS8dpvIOpuI20OcY3XmWNfyxv67+AScdOLxuQ27ifPTXb92/bpr&#10;bdfL252+VPr1z3/201yn+sFttwYdG143bU1s57Xz2vnVHX51+Vsfv+GYPrN72ZZzz2nsWiLOa+d1&#10;l9uwl707fdX1114TdOzjjj06u+/eewbs2E2xjTivndfOrO4wq+vfesPRR4X5jujY8rloUui8dl53&#10;vQ17+bvTX7EHLzYR9uSF07JhN4XZzmvntfOqO7zq+reOcx1jm7/djDs6rxfDwXSdjrqeuz+fM7Dr&#10;bKxb+fEVufuuO3M/EdaCko7tvHZeP/lJu2T8V9XbUfernvPr3hd4HZiuDvz2t7/NWKsPPe/sjV/L&#10;fbGd187rUTwedd/b5HRt0uXmciurA/LFvuBb5wVen/C5Yxs35uj268X0K24PcWaUMcOvLbdeiNFW&#10;7rfd+v3cJnL3ndsapWM7r53Xti778XJ54vJevrx37NiRfemUk/rM7mXnnP31RunYzmvntTNj+cxw&#10;ma9W5sxJl68CY5Buv14MByXjuoduD1lte3QeuvyH1YHt27cH/RqOXHrxRc7rjq/Z57x2Xgzjhd9b&#10;ff3YeMbpQcc+8bgN2UM/fLARzHZ7yGJ+BzivV98enYn+DYbVgSu3Xpbr2Ky32gSbiPPaeT2sTvs9&#10;Z15b68CDD9yf27AvvvAC53WHbSKuXzvn2sq5tpRrx+9/H/Tro3qfzc786lcCr+06fXVcW8T1a9ev&#10;29L+vBzeR45TB6xP9rmbzs5t2GJ1nfcwcF47r8ep4x7HWdjGOoDNWr5mt9x8U+1tIs5r53Ub26GX&#10;yfuXqjpg9WviRB27l+EvUkcbiB0HdV47r6vqtV935nWhDtx/3725jn3vPXfXWsd2Xjuvu9AmvYze&#10;91TVAfRt9i/ALnLdNVetG3e0+u2qj53XzuuqeuzXnXFdqQObztoYeM3afYw3wmVsIxqDXDWn9X7n&#10;tfO6K23Sy+n9T1UdQK9Gv2a/sLoxWqwmdF47r6vqsF93vrW9DmjsEUbLT4R5NJaRdTp2Xjuv294m&#10;vXze74yqA6z/xLwZmH31FVtrq2M7r53Xo+qy33fedaEOXHj+lsDrU75wYvbQgw/UktnOa+d1F9qi&#10;l9H7nFF14NFHf9HndS/q2FdeEWwiGnusi03Eee28HlWP/b6zrit1QH59zJ2pC6NtPpzXzuuutEUv&#10;p/c7o+rAt7fEvXixYzOPxrKyDsfOa+f1qDrs951zXakDt9x8c7CHYBe54bprndf9fkt+M20OfT1V&#10;Z1xXGNemcj7y8MM5n761+ZvOa+d1pvr95CftkvGvcw+d8V4HVl8H8A9Bl2QP9TrYQGwe3B6yGH3f&#10;9evVtztnn3+DaerA5ZdcHHi94egjndeuX+f6tOvXzpNpeOLPLLbe/ObXv86O33BMYPYlF124zg97&#10;lfPVXb92/drb/2Lbv8u3efKVjv25Y44KOrZl9Cp9sp3XzmvnSfN44t9scd+MNUXiuGOcOyM/Ects&#10;a1Ne5rHz2nntbX9xbd9l21zZfvGkz/dtIr3sy6eeMmATWSW3ndfOa2dKc5ni327+305r9l184QXB&#10;ho2vyJ3b7qjF2KPz2nntbX7+bd5l2nyZfveG63Ne33j9dc7rFvuKuD9f89urM7fb39DOnWGeOnYQ&#10;/S/TZm3f5fq169fOpW5zyb9/9fePc2fqY8N2Xjuvvb1Wt1eXTbdlc/211wSbyLFH/Xt23733rNwm&#10;4rx2XjuTus0k//7Dv/9xxx4d/ES2nHuO87qlNmy3Xw9vA84Il09T6oD2nWFtbNmSV+XT5/q169dN&#10;aTeeT2f8KurAz376kwx7CL7Yt992a85ssXuZofPaeb2KNuDvdPY2qQ6cftqpwY592SXfCT4iq5qT&#10;7rx2Xjep3XhenfOrqAPnn3du4PXmb25y/bqFNmy3XztXVsEVf+di6t2tt3wv8PqkE48fmJu+TFsI&#10;73L92vVrb+OLaeMu1/bI9T9+/rPsqN5ngw37Byu0YTuvndfOlfZwxb/l4r6l1sTGr8/9QxbDzVXt&#10;Een2kMW1G2eSy3YVdUBzZ/DHfuD++0rt2IvmuOvXi+knnNfOlFUwxd+52HqHTx92EfxEsCfjJyJG&#10;K1ykTdt57bz2Nr7YNu7ybY98N55xehh3POFzx2YP/fDBpbLaxxsXw2psMK5ft6eNOm/9W6oOXLn1&#10;ssBr2jg+IzB0GXq1dHbXrxfDbOe1t3G1cQ/bUxe23XF7zusrLr80sHqZc2ec185r50l7eOLfcrHf&#10;8lePPbaT173snLO/vhL9+ilP/oPsyU/apZ+PuL/kqnwqmvve9XJz/Xqx7ca55PJdVR04d9PZgdnY&#10;sGWnWJZdRPo1zK7ipfzEq+779aijWzk5r50nq+KJv3exde+2W7+fs/LuO7ctVceG14V+XW0biCyq&#10;vu/MHpSN83qxbcaZ5PJdVR3YsWNH9qVTTgrMlk3E6tmLPD7skIODLSTaQwaZ4wyeVB6FXcR57TxZ&#10;FU/8vYupe9o3HflaHfuu/t7py/IREa+jPaTgTcpq168nY/e1V1+V94NV7Yc+kv+q+359Me3O5epy&#10;nbUOoGOjW5/51a8E313WyF7GP3Pi37Df67PX7rVX0PFP++LJGf/o++yncOJxG0LI+q9nnXmG/48p&#10;A9aEGcVj3fcw9lsuB5eD1wGvA6uuA1V9+arz5e/3tuF1wOuA14HBOlDFa7/uv8u9Dngd8DrgdcDr&#10;gNcBrwNeB7wOzF4H/keWZU/o//P3P/v/HP9/AAAA//8DAFBLAwQUAAYACAAAACEAoXjXON0AAAAH&#10;AQAADwAAAGRycy9kb3ducmV2LnhtbEyPQUvDQBCF74L/YRnBm93E2tbGbEop6qkUbAXxNk2mSWh2&#10;NmS3SfrvHU96/HiPN9+kq9E2qqfO144NxJMIFHHuippLA5+Ht4dnUD4gF9g4JgNX8rDKbm9STAo3&#10;8Af1+1AqGWGfoIEqhDbR2ucVWfQT1xJLdnKdxSDYlbrocJBx2+jHKJprizXLhQpb2lSUn/cXa+B9&#10;wGE9jV/77fm0uX4fZruvbUzG3N+N6xdQgcbwV4ZffVGHTJyO7sKFV43wQooGnpagJJ3OFvLZUXge&#10;L0Fnqf7vn/0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KqrQrB2&#10;AwAABggAAA4AAAAAAAAAAAAAAAAAPAIAAGRycy9lMm9Eb2MueG1sUEsBAi0AFAAGAAgAAAAhAOw+&#10;MKDGfgAAmOkJABQAAAAAAAAAAAAAAAAA3gUAAGRycy9tZWRpYS9pbWFnZTEuZW1mUEsBAi0AFAAG&#10;AAgAAAAhAKF41zjdAAAABwEAAA8AAAAAAAAAAAAAAAAA1oQAAGRycy9kb3ducmV2LnhtbFBLAQIt&#10;ABQABgAIAAAAIQCOIglCugAAACEBAAAZAAAAAAAAAAAAAAAAAOCFAABkcnMvX3JlbHMvZTJvRG9j&#10;LnhtbC5yZWxzUEsFBgAAAAAGAAYAfAEAANGGAAAAAA==&#10;">
                      <v:shape id="그림 4012" o:spid="_x0000_s1113"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qyxAAAAN0AAAAPAAAAZHJzL2Rvd25yZXYueG1sRI9fa8Iw&#10;FMXfB36HcIW9jJlaxpBqlCHI9iLFbrDXS3Ntypqb2GS2/fZmIOzxcP78OJvdaDtxpT60jhUsFxkI&#10;4trplhsFX5+H5xWIEJE1do5JwUQBdtvZwwYL7QY+0bWKjUgjHApUYGL0hZShNmQxLJwnTt7Z9RZj&#10;kn0jdY9DGredzLPsVVpsOREMetobqn+qX5sgT7rzppzi9zvvx8GVq4s/BqUe5+PbGkSkMf6H7+0P&#10;reAlW+bw9yY9Abm9AQAA//8DAFBLAQItABQABgAIAAAAIQDb4fbL7gAAAIUBAAATAAAAAAAAAAAA&#10;AAAAAAAAAABbQ29udGVudF9UeXBlc10ueG1sUEsBAi0AFAAGAAgAAAAhAFr0LFu/AAAAFQEAAAsA&#10;AAAAAAAAAAAAAAAAHwEAAF9yZWxzLy5yZWxzUEsBAi0AFAAGAAgAAAAhAHRiSrLEAAAA3QAAAA8A&#10;AAAAAAAAAAAAAAAABwIAAGRycy9kb3ducmV2LnhtbFBLBQYAAAAAAwADALcAAAD4AgAAAAA=&#10;">
                        <v:imagedata r:id="rId45" o:title=""/>
                      </v:shape>
                      <v:shape id="Text Box 78" o:spid="_x0000_s1114"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00F2C22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G</w:t>
                              </w:r>
                            </w:p>
                          </w:txbxContent>
                        </v:textbox>
                      </v:shape>
                      <w10:wrap type="square"/>
                    </v:group>
                  </w:pict>
                </mc:Fallback>
              </mc:AlternateContent>
            </w:r>
            <w:r w:rsidRPr="008F328C">
              <w:rPr>
                <w:rFonts w:eastAsia="Times New Roman"/>
                <w:b/>
                <w:bCs/>
                <w:highlight w:val="lightGray"/>
                <w:lang w:val="pl-PL"/>
              </w:rPr>
              <w:t>Oczyścić miejsce wstrzyknięcia</w:t>
            </w:r>
          </w:p>
          <w:p w14:paraId="20DD25B5" w14:textId="77777777" w:rsidR="002E5800" w:rsidRPr="008F328C" w:rsidRDefault="002E5800">
            <w:pPr>
              <w:pStyle w:val="a3"/>
              <w:numPr>
                <w:ilvl w:val="0"/>
                <w:numId w:val="0"/>
              </w:numPr>
              <w:ind w:left="471"/>
              <w:rPr>
                <w:b/>
                <w:highlight w:val="lightGray"/>
                <w:lang w:val="pl-PL"/>
              </w:rPr>
            </w:pPr>
          </w:p>
          <w:p w14:paraId="5EFC669F" w14:textId="77777777" w:rsidR="002E5800" w:rsidRPr="008F328C" w:rsidRDefault="000E0B7C">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Oczyścić miejsce wstrzyknięcia gazikiem nasączonym alkoholem, okrężnym ruchem.</w:t>
            </w:r>
          </w:p>
          <w:p w14:paraId="13F9C1BF" w14:textId="77777777" w:rsidR="002E5800" w:rsidRPr="008F328C" w:rsidRDefault="000E0B7C">
            <w:pPr>
              <w:pStyle w:val="a3"/>
              <w:ind w:left="4297" w:hanging="180"/>
              <w:rPr>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Pozwolić, żeby skóra wyschła przed wstrzyknięciem.</w:t>
            </w:r>
          </w:p>
          <w:p w14:paraId="6F8A8A03" w14:textId="77777777" w:rsidR="002E5800" w:rsidRPr="008F328C" w:rsidRDefault="002E5800">
            <w:pPr>
              <w:pStyle w:val="a3"/>
              <w:rPr>
                <w:highlight w:val="lightGray"/>
                <w:lang w:val="pl-PL"/>
              </w:rPr>
            </w:pPr>
          </w:p>
          <w:p w14:paraId="30DD75D3" w14:textId="77777777" w:rsidR="002E5800" w:rsidRPr="008F328C" w:rsidRDefault="002E5800">
            <w:pPr>
              <w:pStyle w:val="a3"/>
              <w:rPr>
                <w:highlight w:val="lightGray"/>
                <w:lang w:val="pl-PL"/>
              </w:rPr>
            </w:pPr>
          </w:p>
          <w:p w14:paraId="3AFDE64F" w14:textId="77777777" w:rsidR="002E5800" w:rsidRPr="008F328C" w:rsidRDefault="000E0B7C">
            <w:pPr>
              <w:pStyle w:val="a3"/>
              <w:rPr>
                <w:highlight w:val="lightGray"/>
                <w:lang w:val="pl-PL" w:eastAsia="ko-KR"/>
              </w:rPr>
            </w:pPr>
            <w:r w:rsidRPr="008F328C">
              <w:rPr>
                <w:rFonts w:eastAsia="맑은 고딕"/>
                <w:b/>
                <w:bCs/>
                <w:highlight w:val="lightGray"/>
                <w:lang w:val="pl-PL"/>
              </w:rPr>
              <w:t>•</w:t>
            </w:r>
            <w:r w:rsidRPr="008F328C">
              <w:rPr>
                <w:rFonts w:eastAsia="Times New Roman"/>
                <w:b/>
                <w:bCs/>
                <w:highlight w:val="lightGray"/>
                <w:lang w:val="pl-PL"/>
              </w:rPr>
              <w:t xml:space="preserve"> Nie</w:t>
            </w:r>
            <w:r w:rsidRPr="008F328C">
              <w:rPr>
                <w:rFonts w:eastAsia="Times New Roman"/>
                <w:highlight w:val="lightGray"/>
                <w:lang w:val="pl-PL"/>
              </w:rPr>
              <w:t xml:space="preserve"> dmuchać na miejsce wstrzyknięcia ani dotykać go ponownie przed podaniem wstrzyknięcia</w:t>
            </w:r>
            <w:r w:rsidRPr="008F328C">
              <w:rPr>
                <w:rFonts w:eastAsia="맑은 고딕"/>
                <w:highlight w:val="lightGray"/>
                <w:lang w:val="pl-PL"/>
              </w:rPr>
              <w:t>.</w:t>
            </w:r>
          </w:p>
        </w:tc>
      </w:tr>
      <w:tr w:rsidR="002E5800" w:rsidRPr="00A5286D" w14:paraId="66058559" w14:textId="77777777">
        <w:trPr>
          <w:trHeight w:val="4941"/>
        </w:trPr>
        <w:tc>
          <w:tcPr>
            <w:tcW w:w="9090" w:type="dxa"/>
          </w:tcPr>
          <w:p w14:paraId="26975728" w14:textId="77777777" w:rsidR="002E5800" w:rsidRPr="008F328C" w:rsidRDefault="002E5800">
            <w:pPr>
              <w:pStyle w:val="Default"/>
              <w:rPr>
                <w:rFonts w:ascii="Times New Roman" w:hAnsi="Times New Roman" w:cs="Times New Roman"/>
                <w:highlight w:val="lightGray"/>
                <w:lang w:val="pl-PL"/>
              </w:rPr>
            </w:pPr>
          </w:p>
          <w:p w14:paraId="16F7521B" w14:textId="77777777" w:rsidR="002E5800" w:rsidRPr="008F328C" w:rsidRDefault="000E0B7C">
            <w:pPr>
              <w:pStyle w:val="Default"/>
              <w:rPr>
                <w:rFonts w:ascii="Times New Roman" w:hAnsi="Times New Roman" w:cs="Times New Roman"/>
                <w:highlight w:val="lightGray"/>
                <w:lang w:val="pl-PL"/>
              </w:rPr>
            </w:pPr>
            <w:r w:rsidRPr="008F328C">
              <w:rPr>
                <w:rFonts w:ascii="Times New Roman" w:hAnsi="Times New Roman" w:cs="Times New Roman"/>
                <w:noProof/>
                <w:highlight w:val="lightGray"/>
                <w:lang w:eastAsia="ko-KR"/>
              </w:rPr>
              <mc:AlternateContent>
                <mc:Choice Requires="wpg">
                  <w:drawing>
                    <wp:anchor distT="0" distB="0" distL="114300" distR="114300" simplePos="0" relativeHeight="251658256" behindDoc="0" locked="0" layoutInCell="1" allowOverlap="1" wp14:anchorId="1D2F2F18" wp14:editId="07234F4C">
                      <wp:simplePos x="0" y="0"/>
                      <wp:positionH relativeFrom="column">
                        <wp:posOffset>23495</wp:posOffset>
                      </wp:positionH>
                      <wp:positionV relativeFrom="paragraph">
                        <wp:posOffset>24130</wp:posOffset>
                      </wp:positionV>
                      <wp:extent cx="2161208" cy="2717800"/>
                      <wp:effectExtent l="0" t="0" r="0" b="6350"/>
                      <wp:wrapSquare wrapText="bothSides"/>
                      <wp:docPr id="90" name="그룹 90"/>
                      <wp:cNvGraphicFramePr/>
                      <a:graphic xmlns:a="http://schemas.openxmlformats.org/drawingml/2006/main">
                        <a:graphicData uri="http://schemas.microsoft.com/office/word/2010/wordprocessingGroup">
                          <wpg:wgp>
                            <wpg:cNvGrpSpPr/>
                            <wpg:grpSpPr>
                              <a:xfrm>
                                <a:off x="0" y="0"/>
                                <a:ext cx="2161208" cy="2717800"/>
                                <a:chOff x="0" y="0"/>
                                <a:chExt cx="2161208" cy="2717800"/>
                              </a:xfrm>
                            </wpg:grpSpPr>
                            <pic:pic xmlns:pic="http://schemas.openxmlformats.org/drawingml/2006/picture">
                              <pic:nvPicPr>
                                <pic:cNvPr id="4023" name="그림 402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88" name="Text Box 88"/>
                              <wps:cNvSpPr txBox="1"/>
                              <wps:spPr>
                                <a:xfrm>
                                  <a:off x="1441450" y="2571750"/>
                                  <a:ext cx="719758" cy="146050"/>
                                </a:xfrm>
                                <a:prstGeom prst="rect">
                                  <a:avLst/>
                                </a:prstGeom>
                                <a:solidFill>
                                  <a:prstClr val="white"/>
                                </a:solidFill>
                                <a:ln>
                                  <a:noFill/>
                                </a:ln>
                              </wps:spPr>
                              <wps:txbx>
                                <w:txbxContent>
                                  <w:p w14:paraId="5BE7406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2F2F18" id="그룹 90" o:spid="_x0000_s1115" style="position:absolute;margin-left:1.85pt;margin-top:1.9pt;width:170.15pt;height:214pt;z-index:251658256"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R7Z5AwAABggAAA4AAABkcnMvZTJvRG9jLnhtbJxV3W7bNhS+H7B3&#10;IHjfSPLsJBWiFF6yBAWy1mgy9JqmKIuoRHIkbSl7oL5Cd7Enal+iHykprpMO/bmwfHh4ePidj98h&#10;z170bUN2wjqpVUGzo5QSobgupdoU9K+7q2enlDjPVMkarURB74WjL85//eWsM7mY6Vo3pbAESZTL&#10;O1PQ2nuTJ4njtWiZO9JGKExW2rbMY2g3SWlZh+xtk8zS9DjptC2N1Vw4B+/lMEnPY/6qEty/rion&#10;PGkKCmw+fm38rsM3OT9j+cYyU0s+wmA/gaJlUmHTh1SXzDOytfJJqlZyq52u/BHXbaKrSnIRa0A1&#10;WfqommurtybWssm7jXmgCdQ+4umn0/JXu2trbs3KgonObMBFHIVa+sq24R8oSR8pu3+gTPSecDhn&#10;2XE2S3HIHHOzk+zkNB1J5TWYf7KO1398Y2UybZwcwDGS5/iNHMB6wsG3tYJVfmsFHZO035WjZfbd&#10;1jzDcRnm5Vo20t9H6eFgAii1W0m+ssMAdK4skWVB5+nsN0oUayH6jx/+/fT+PxJdoDmsCoHDMhbK&#10;utH8nSNKX9RMbcTSGQgX7RTkmRyGx+HBnutGmivZNOGogj1WB5E/EslXCBoEeKn5thXKDx1lRYNC&#10;tXK1NI4Sm4t2LVCRfVlGQCx33grP67BhhY3fAGwA+sVERLkHFkpw0BhZd3/qEoywrdexX75PY4vn&#10;KWQ1aGxxOlvMF5GZSSmg0Dp/LXRLggGoQBTTs92NG7FNIQG10oEwYGZ5ow4cKCJ4Iv6AeDRRQGgP&#10;3FFu4hejJwz/UBve1swIoAxp97o5RS8NqrkLPfa77glcgDqGhVYlvod/1EfwD0j3dIwdm83n2XwB&#10;4kJvLtCcsGPRU/eeZM9PFmPzZvPjdJh/6MAf5tXpRpaTFgPhF40lO4a7t6ulF+OhHUT9D//7qoLl&#10;+3Ufu2oxm6hY6/IeTFiN40aFzvAriQ1vmPMrZnGHw4l3yb/Gp2p0V1A9WpTU2v7zNX+Ix5lilpIO&#10;b0JB3d9bFi6M5qXCaSOlnww7GevJUNv2QqPULKKJJhZY30xmZXX7Fs/VMuyCKaY49iqon8wLP7xM&#10;eO64WC5j0HDv3Khbg9sqi6IOxN71b5k1o9w9zvOVnvTE8keqH2KDzJ1ZovGuZGyJQOzAIkQeBtB2&#10;tOJjA+vgNftyHKP2z/f5ZwAAAP//AwBQSwMEFAAGAAgAAAAhAIy+XNIkcAAAyNUFABQAAABkcnMv&#10;bWVkaWEvaW1hZ2UxLmVtZux9CZwVxblv5b17X2JMnib6rr8sLzEXvUlMYmJiQjQqiOCGCy5xD964&#10;4UICQdTggo4gCszGDAyzMKzDMOw7w7ANwwDDsA27IGtkFRBBRUFMvPWvme9Yp071Vqf7zDlnen6/&#10;nu7TXVVdy1f//urb6iuMsa78oL/vfYWxu/hBf2vPY6z+AsYu7HDr9Yx9ha3Y/O/sf/OHUhKR9LWv&#10;Mvb7f2PsPv5gCWVuOi9u8+9s3cn/xe7gv2/k+elPfRfd/z4v425+dOI3fsKPv/Nj3abGfBey1Yye&#10;49l3mtJ+hV3If32ZTvxo+vfFF1+w8Aj7IKSBkAZCGghpIKSBkAZCGghpIKSBkAZCGghpIKSBkAZC&#10;GghpIKSBkAZCGmgZNHDhD1ux8Aj7IKSBkAbc0IDJdwHl6vKdOXOG5Q4axAYM6M9GjBjB1q9dEx6G&#10;fYA+xKHr5/Bey/iWp8M4W2GFU9uc8tH8mFc5O8QYA4ypW7pU4Mu4cWNDjAntKFKaBpywwgprnPId&#10;PXpUzJHsnCxWv7wuxBmPOEMYs2xpbUrTlxX9JPP9jz76iK1ZvZaVlY0Tx4ABWSwjo684evfOYI8/&#10;3iXym+6PHDmaja+YKPLt2b0nHDPpu+CEFVa04CbfpEkTBc6MGjkyxJgQY5Jq3p06dYrNmVPFgBn3&#10;3vcA63D9jeyXv7qMnXf+eeyrX/23uI+zzvoa+/GPf8LatG3HHnywM3ux1ysMOHTgwMGk6ger+e3n&#10;fTdYoXuf23y0ZsJ3OZTNuJdNhXxMMPKWvLwhrE2ba9m5554TN46YYtEVV14l+CPdvErHe26xQm27&#10;23wTJ04QvMzoUaNCjPHAy4QY4w/GYN2C9Qz4lAsuuKDZcEWHR///Bz8QfM5TTz0jeCp1jqXLb7dY&#10;obbXSz7iZSZNHB/ijEucWb2yXmBzqFfyhjVYA2FNctvtd7CLLrrYE6ace040b3PBf/wHmzplElu0&#10;cAFbxceDjq1btrDNG9dHfuP+gvlV/H2tOJ69yro+8wy75493sbZt2rALf/RD13X47ne/K9Zt4LXS&#10;SabjBStknPGS78iRw5H5MnvmjBBnXOIMYbPc7+G1HnNqampZ585/ZpinOp7B6l5e/iC2ds0q9jGX&#10;85765BN2+eW/ico/fHipa/nJdzifdPhQrLzl+LFjbEXdclYwZAh76MEH2BVXtGbf+MbZUe9R6wd5&#10;TrvrOrCCgiIG3EzlcfeCFXI7veajNVNmVqhnciuXQl+FfIweU0CL27a9I3Dlp5f8zHa+Yv5iXqvz&#10;GL/Bk8h0vWfXLvbtb30rkvaSS37Kzpz5PCqNnJ6ujx09LPIc2LfXMS3yAM+W1S5lL7/0YgyuqfXE&#10;mqp79x5CZ0XvS6WzV6ygtnnNd+bzz1leXn4om3HJwwCH8vLzQoyRdKBEe3V1K1jHW25j+Nar85F+&#10;g6d48skugn849ekpNpfbadEz+ZzDbSuoXDpv27I5is8AD0LPrM7gz1EueBarNHb39727h0GW8HDn&#10;zuzb3/4S4+S64vrnv7iUz6MhRu+we3+Qz7xiBdXFNB/x/xg3t9/zlpquuLgoxBgFY0pKhttiC+Zh&#10;t7/8hX304YdR8/CJxx/VYswNHdpHpSP6xn2a34O43Trdtzrfd+89Ir3Vcy/33+c80R2dbo+8n+oh&#10;nzt2vNWxTl7eGWRaU6wwzUdrpvHjK0KMceBphpWWhBjThDGwg7v8t63Z1772f2zn3h2dOsXMPfAx&#10;RYUFrAPHjfXr1gn8qSgfK9ZPr736inYt9PxzPSPvefzxx2LKlOfk+nUNgvf47W8vt00n53G6xvqs&#10;prqay47vjtRDxhhcY40I+bZTWc393BQrTPNBtgZeZuDA/mxpTU2IMzY4U142RvTVvr3vJj0dBUXH&#10;kydPE7Zx6vyi39dc/YeoOdj7lZei+mrLpo1CvnL77frv/itcHtK69e+EfERuQ+XsmZFyb735pqgy&#10;5XQr6+sj8huszeRnfl2DJ5s4oYK1/t3vInWi9uMMec1LL/VOWtmwKVaY5kO/N/B5BZwpLikOMcYG&#10;Y6A3RT9VVlYFQrt+zYEgyoE9LPTP8lySrzu0v07ojiFjle8XFxdH+urdPbvZD37YqDv+2SU/idyX&#10;6wv8QP4nuzzBwO/QM+ijqVwrjNnxzjuR8pEWeSh/UOeF8+ezS3/x80jdqI44g68BJgf1btNyTbHC&#10;NB/Vk+QylXNmhThjgTOQU6KfKioqko5uaBz9PsMu5LHHuljayz3c+SEGmSy9V8UY6IfxbMrkiQxy&#10;X5qD0BUffu+9SD6kgdzj+9//XiTNH/7wBwbcwLPqhQsj91WMwToGa63zzz8/kuaaq6+KKpvqF8SZ&#10;3g/7G2ofnbGWhG8E/AWDeLdJmaZYYZqP6njs2Pti/sA+YRXnN1uqXNeu3ViPA2NKSoYlDb3Q+AVx&#10;hi2Ik78QsAJzC/og6J2hAwb/sHD+PLH2BsZgvtOck8/AkE187QR+BWsP6KXl57iWy8davqZ6Eced&#10;bcLuBe/Be3VrltolS5pljBrWrNHqvi+88EfCvhn+nUGMlZcyTbHCNJ9cN+JlhnE7J7u51lKfAXvR&#10;Rzk5Oc1OJ/K4BXENH2d1vtPvs8/+uuUzSuPlPGPGdF/LyxrwVrOODzBTx9OgT5JB/2SKFab5ZPrc&#10;sH69mEOYR/gOtVQssWs32eF9zu2L5L5Lp+vs7Fz2zW9+I2bewxau7+sZgo+Q1z1e8ERNC9t+2P3b&#10;2aCoeex+Q2cty3Gaa1ygS/lbt+4xfYi633Hn3aw5+RlTrDDNp44BdNjAmCGDB7MGbtNtN99a4rOh&#10;QwtE/3yo2Huo/ZiKvxFbAfpo3RwGtsg2LrD3l+Ufujy6e8AmyHBgI6fax0GWA1+k+++7T1sHXXny&#10;vRuuvz5GH9Xc49CJ68/kOtI15MGIidMc9TPFCtN8ahtPnz7FMrMyxTwKfZliYz+Ul5eJvlm+fEWz&#10;0Ic6Xn79hr2LyrtAB4TDSrYBPZHqT0RzSHd+8IEH2LGjR1z120oua2n1nxdq56eu7F5/f15rV+NX&#10;/5iWY2VriDbA7xxxtEzLNs1nihWm+XT13L1rp5hHubnZbPXKkJeR+bWZM2aIvpk5a07CaUM3Vn7c&#10;69q1W8xcvuaaq4XeR9X9qO/DuqRqbiW75eaOMWXIWJDxWm8hC3bja4R34L2Q6f7sZ5fYlgt5ct3y&#10;ZUk7FrAPgs6/pKRE+IDLfYJr6J3uuff+hMbKMsUK03wqzdDvyVMmi7kEnaM8x1r6NemWSkvd+/9S&#10;nybjGXpVle5hU+sWC+Q2VfBYx2pZ+A0ZSUlRoXgGvmfM6NEcQw5pceHE8WMsM3Og0HODh1rOY6np&#10;9E2QDe3euUNbhlyn5r4uKioSvlyff/5PUVf4dun6CHEv4FOaiPqaYoVpPqs27dj+jsAY+Ia0dFyR&#10;279m1UrRL+mgW3q2x3Mx9F42eoQxnVvph6BzbvWfP4p512u9X2S1NYvZyhV1bMbUyezZv3WP2OjS&#10;PMRa4+0tG2Py4rkV7SbTffQJ4nHJderb53VtexBbVE4X1LUpVpjms2vHQP49GThwQKhjUmzyivk3&#10;GXLx5tQN2I2b0zPEPwG+yPIX2KGMGmmOL3inDmOuvPIKoYcykQ8DRzo2+Q3o5MBu4zY49UeQzyHD&#10;hhxdfUctjyNBOCqfwVeqaf3+bYoVpvns6r9169tiLpUUl4S8jIQz8+bOFf1SW5t6exQAXxBrSaZr&#10;4MvMmTPjpm0dxpCdL+LA6HBCrod8DUzCmon00Fijys9xLeu57Oi4OZ9B/4Z1kFUd2rRtG9OuoHHG&#10;FCtM81m1ne6HvEysbglrJ9iXgpehfkqVM/h2ea5iLmMe+FF/fLPlsnGtxpyCjS7kMdBfI04V2cXA&#10;Tga/IbupqCgXcfDkOsF+WC4b+eTnyXoNXgv6I7v66XAGuu2NGzfZ5rMr0+6ZKVaY5rOrC55FeJlh&#10;IS8jy2VG8j03gTGfcNp36sNkea7Kd/3EF7QRMlgZB3ANbPCr/b+89BeR8q9r19a3cv2qn64cwkbd&#10;M/nete3aRdpGfRiUHNgUK0zzye20usZcwlG3LNwvhXCGfLD37N6VErQO/1+iXTr3ef113+sux8XE&#10;e6xoyuT+ry+7LNIGxAE3KaM58qAf3OzjROMin6HX9rvOplhhms9N/adPnyYwZujQwaG9TJNcBr4W&#10;wN1Fi6p9pwE3Y+IlDXx+sX8Z0S7kL6+8/KKvPAbVR7Vr9ZOPQTwIagPsQ+mdyX5uf107Vza9Or02&#10;7Gf8jntlihWm+dyMD/QnxMsgVhB9y1vyGbaJWZmZLDs7O6lpHWN39TXRcsUSHjPUzbibpFHj9Kry&#10;GJMykQf+P4Qv8EfwE7tM6+Q2H3Tybu15dTiD/e1w3+37nNKZYoVpPqf60PNZs2c18TIFIcY08TLD&#10;m2Jvnjr1qW/jT/3txxkyQ8gOaW7i3KdPRqB1he3eZb/6VeSduhjgJm2jGOBog19lmtTDJE9RwWCx&#10;Z4qXvPKY4Rp8qF8xaEyxwjSf23Z/ymV3+GaDn8EeES2Zh6G2k1/Bju3bA523bsdITgcd9WW/vjwy&#10;10Gn0NmY2O/K5bq5RoxerMfwTrd7lTiVS74KsBMmfbZTnmR5vmhBlYgd46U+S5bURo0d+lK15fNS&#10;npzWFCtM88nvdrqeOrXRVyf0L2jUZ9cvrxNxkAsKhiYdxmD/NNAlHRdf3CpGH+w03vE8LxicH3l3&#10;PHwHMLFbt7+KsqAHo7h48dQt0Xl379jOHn+8i2caWVm/MtKHNI5X/uHquPkZU6wwzeelv9esaRB8&#10;zLBhYdxf4mXy8xv3qPLSj0Gnhd8L0SSdYR8X9HvV8jP4HgN4P3RNpvZysl1f2ehRCW+D2ibT3yYY&#10;g3fR+Mln2Gib1gP5TLHCNJ/XumKtBFlnGFumkZehWA+HNHueeu1bv9Lf/cd7o2gTMS0TsUbS1T8z&#10;c4CoC2KAe62DHGO8B5ebes2vq09z3bvr7nuNcGHduvVRYwmswf6+bnThVm01xQrTfFb1sLo/t8mO&#10;PoyT14gxi3hc+mTSYWNPNfmbB3lIc+/VgvgzWKvJMcCt6IvuT+Sx0rA26vxQdExyep5q5z899LAR&#10;xqCdmZlZUWOK8cW+nKZ9YIoVpvm81vMf/9gj5tTkSRNCuW+TfilvUK7wrTlz5ozxuHsdB1166B2w&#10;tw9hDOY1Yv3r0ib6HuS0WGPf0KEDP9oL3ZAamwF7rxUVFjLY2Dz04IMJ2bskUf3wVJen4hoHnR0w&#10;vicm9TfFCtN8JnXEd7uYx8UgmURLP0MGjj7x04bBZFxUOS9iyZmUE3QeyGbgIwX/JvldkL1AZ5lK&#10;ti9y/e2uH3/siai22qXVPdu2dVvk20HfEHxPThr4aphihWk+XXuc7uXk4Ls9ILT5beJj4GOBfTab&#10;M24V9nWX94VFvGqncQyff5GwPnr6qfj4GBorwhc6P/LIY57bYIoVpvmo7l7Oo7nfLL7btTz2UEvn&#10;Yaj9FEv8xIkTnsfcS9/r0kL+RzRHZ3UdossX3kscxmRkvOoLXaAcGmOcYQPsdRxNscI0n9f6If12&#10;7p8PjKmaOyfEmCZeZtrUxn1qly2r8zzmJmMg54FeVKY7q72k5TzhdeLwBX094K03GfZ9iLffdTYz&#10;GRl9PZVrihWm+UzaDD0tMGbSxPEhxjRhzOr6FQxxSWGP969/NsZuNelbr3lgC6PGs0tFOzWv7U61&#10;9JA1YT3rR71z+P5X8jcFchkvumxTrDDNZ9pmYMzwcD/JKIyt4/Gtscfb5MlTfaElN2OjxoS5tm0b&#10;EfMSNJ2qxzYef9FN21MpzZLFi8W+4X7VWcYYXMMvza381xQrTPOZthl7MOXn50XNMZJNtOQzeDvg&#10;766dwceVAQ9z1llfi3zTvn7WWSL+LfacT9UDexH4Jbswpe0g8kGP1qbNtb5hJ/S6Ks707Pm8q/JN&#10;scI0n2l/Yl95zKVw/6XoWJxYM2XzOJyFhUWuxtu0/5HvwQc7R9HZM0/7o7uIp07x5sU+BOmIMYi5&#10;2arVRb7ShIoxsP+lPVbsxsEUK0zz2dXF7tmmTRsFxmB90JL5Fl3bx/N4tMDf999/31eaUsdDtrcD&#10;vaXD3ExXjIFNEMZIHcN4fuvsf8vKxjm+wxQrTPOZtpH2X1q0YEGIMU1yX8Ib2JHBfmjMmDGO423a&#10;/7rYmcubQadlWn+rfOmKMWgvMOZTbu9s1Xav93fsiI2fDF81p3JMscI0n1N9rJ7v47wfvtVhXLzo&#10;tRLhDMX73fr2Vscxt+pju/vq/gKIbW+XPlWepTPGIFbo4cP++nZc17591HoZOsajR+35Z1OsMM1n&#10;SntHjx4RGBPGktFjDLCmlO/lkMX1TIcOHvR1/u/ZvSdK1ovvY3P7MZjSkZovXdZ8arvw+6qrrmSb&#10;N/urM5s0aUoUxqD/Xnj+RVt6M8UK03y6vnBz7zPu/wc+BrEN6NsdnqPxpp7HsILurbCwmOsVT9qO&#10;u5s+pzTdu/eIoivoluhZqp8xRxCDeM3qteKA3RpkDPD/g60ZDuhPYHcI/yz4H+PAXow4sJ8r5FSy&#10;rOo73/kO68C/9zhuu+UWdu8f7xIxAf/74T8xHI8++ggD/xTPgX0SIA/DkZc3SNgNYK/uzRvXM8h7&#10;4RMKXR9iMPk9Rugz+YAe2+4dplhhms+uLk7PgDFjeNygEFuisUXuD8ShRT8tWrTYdtyd+lp+jlho&#10;Mk3Jz1L9Gu0Cpvh5FBQUib13EdupY8dbxdGuXXv2059eIo6zzvpqVH/Kfevn9dlnf11gZBBjpNbz&#10;+AcfWNKbKVaY5ounvZg7xSVhTDwZU9Rr6PYLeMzo/PzBDDF24+lv5D3AfZNku950kcNQv2CupKJ+&#10;rLp6cYSPIX4mNzeH9e//lrhPGGDiw0h9Y3em8uncr19/S1ozxQrTfHb1dnqWy23n4QuozqvwdzRf&#10;s6q+nuXmZnN+f5jluDv1NT2/4sqror65iCtygutF6XkqnyEPxRxJxTZAX4T644DMBcfSpctjbDFr&#10;uB/xPffcL/g0P9sJXCN8wblN23aW/WiKFab54mnn0KGFwkcnxJRoTNH1xwQe1w1833uHDlmOvdNY&#10;1NTExqrPy8uP0DTRdrznqqqFvq5V3K57BgxojPcGWUsqHhgf+MRC5oIxOHjwkJAtyeN68uRJtp3v&#10;YwF9UDb3O5KfxXO9dm1DFMZARme1V4opVpjmi6ddiPGQnZ0V8jGKfYwOY2qqqwXGzJ83z5iunnrq&#10;mSg6onUS6Fo9SoePFmt/kpN6PXft+lfhX/PYY13E+W4ej5ZkGTfceDP7zeW/izpIzkpnpO3ff0Dj&#10;8dZbrF+/N6KOvn1eZ/JB6wt8g/u9OVAcs2dXsmQ8KivnRvU38GTBwsVinzbgKbAS/Q2cHD9+Iisb&#10;U8bKx45j8P2or1/FoBdEGqx5cS+eOSjnlf1K0I94h/ycrk2xwjQfvdfkXDZ2rJg3ujkV3ovlbbA+&#10;HzhwgHbc3fS/ul8SYlKBXiGjwTcU9A3aht6J6HvcuPEMR0lJiYhdCD8XHLARlY8+r2cIuQHNdTf1&#10;CSLNi71eYX/+8+OCDwii/ESWuWnTZrZg/kK2aeNmduLEh0JPVlExUYz/xg2b2MX/9V9inPyq04jh&#10;I6K+QVYxf02xwjRfPO2bMqVxH+wQT2LxRNcnpdxPHeul998/aoQz6nfqW986V/jA4JsVzzgmU15g&#10;Y/sON6RNe9S+xfdAvmcnN5HTubmuqpofhTEXXXRx1LuoDFOsMM1H7zU5hxjjDlsIbyjuL+Kue+3v&#10;+fx7CCyRD69lpEL6G2/qyLp17+m5f1KhbajjqJGjomT0l176S9/aCvmLTB/gc3VrMVOsMM0Xz9jU&#10;1i4V3+UlXNZA8yg8W+MO9osBH7NhwwbPdAW7M5l+cB3P2CVrXuzr/OqrfYTNXbLWMZ56IU4VZDIo&#10;A+tCJ3s5r+9Sed177r0/hk5MscI0n9c2yOmxzzPmTLjXkjWuyJi7mu8TgP7CvuFyP7q5Vv2TIDdx&#10;ky/V0iA+AWRKkBmnWt3d1PfW2zpF2nXHnXczNz6MbsqlNJ0ffiTqWwTMUf0wTbHCNB/VzeS8Z/eu&#10;EGNc6JRknBk8eLDoM6/9LdvGg4eBvNZrGamQHva3wBjonD777LO0aiP8IcY3yXzht4h43w0N631t&#10;45w5c6MwBrSyle+bIo+9KVaY5pPf7fU6xBh3/IuMMSNHDBcYAzsJt/0N3VFLWCehP7r99W8sL38o&#10;u+CCC2Ls19z2VzKmw3ifI+0hANm23+sktBuYpdKKGh/PFCtM88UzHiHGeMcY7K+J9RL6zm3f62LF&#10;uM2baukgr5gwYZJYK4GfSbX6W9UXOh/Y+tBz8KV07fdZxRisyeR3mGKFaT753V6vQ4zxjjGI4w2M&#10;2eohLjbZv8q043WsUiE97Ahh4wObNchFYXOYCvV2U8errm4TiYMJX3LISdzkM0kj7+UHmrn6mrZR&#10;7zLFCtN8Jm2gPGvXrhXzJZT5usea6oULRZ81NKyNGnfqU90ZfnQyvpB9ry5tKt9DrAasKWCfhnZA&#10;j53K7aG6gzfD+o9+wyYG9r/02+8z1mAyvag8kylWmOaLp33z5i0Q80WWN4TX9nizckWd6LNJk9zT&#10;WCJ1SogJQL59uvOO7Tts/aNUnwb197yqBXwvs7kxhzrnIB/1M45/PHQeb17E4qBY3uBhwGfEW6Zd&#10;/qef6RaFMcAbWX5uihWm+ezq6vQstMGzxxMrvM3KzBQ449S/9Bxxl+TvEvS79Gzv3r1s1crVPA5W&#10;KZs1a07kPj1P1TPwpVev3oKvSdU2oN5Y+wFXqQ3gYeDbQb+DOM+YPiuKXkA7B/YfiLzTFCtM88XT&#10;xhBjzDDGq/4amCJjzK23fmljQeOHPRAQO45+p/oZ9j/QMcHXJ5Xb8sQTT0fqD94saB4GfVVbuyyK&#10;XkA78NukfjTFCtN89F6TMzAGfn5W3+vwvh6DiouLPPExMr7gGvGudOMVRBxH3XsScQ9+2vD9hi1s&#10;It4XxDvkvWeB/xg7+KMG8S65TNCBSjNYs1IaU6wwzUfvNTlXVFSE8WM82uABd0eNHOEaYxDbVqUX&#10;q7H65JNPeBzZ2RFaskqXCvfLyyv4vr6DGPbaTYX6Uh3hHwSeoe8b/dnoUaOFX/yMGbMYfCQQ64LS&#10;BXnG+1WaAW9D7zTFCtN89F6TM+LHhPvR6nkVOx5u4oTGeFULFiyKjLtV/9P3T6YZq7R0P134GeDL&#10;hRf+SMgvKEaFn+cePV5gXbo8w6BXxnW8ZSOWAvbuRNxgrIv68XiXWCshbsbbb3+5VqFxCuqM2Fgy&#10;veD6zTczI7RmihWm+eJpJ2JHgu+3m0/hs1gMmjF9quBjpk6dERl3q3GAHkKlF7d7aa9fvyGlZabw&#10;K0AsLNjiBXE8/VRXIfN58smnXZUPOyVhvwMbnqYD8chRt65duwnfI8S+gZ9Hc/uTqTQDuwCiMVOs&#10;MM1H7zU5DxlSwEZw2/gQR2JxxK5P5lbOFhhTXj4uMu5W/Q9aVunlmaf/4phPVx78VlT/OF26ZLnX&#10;7roOou2DcvOM2pss7WiOeqg0I8erMsUK03zxtD8zKzPc+8RAHrNw/nyBMVhrOvW/DmPgywM5jVPe&#10;VH9OOthUb0dz1D9dMAY28ZAt2H2zw2exPA7F9kXMdSf602FM+w7XM3zjz5z5zDG/U/nJ/Bx7IAJP&#10;k7mOyVq3dMCYT7kOAxgzbdrUEGM88jJ1fP9A9F1OTq7j/NFhDOj6zjv/mPY4s5LbFqp28CZz+vTp&#10;02zLps3sEx/36jSpRyLzpAPGnDhxQswTyBbSnVehtQ32fPSrrcAYHP/6179sccYKY0CvnTrdJXCG&#10;7NQTScOJeBd0sH5gzOuv9+N+luVsMPcbwv4A9XUrbPs8EW0L+h3pgDGHD78n5sjiRekfZzMIjCF/&#10;AvCDdvRmhzHId3PHW9htt99hW4Zd+cn8zA+MOcP3ZYcOubiohE3jNvYV4yawlXzvzqwsZx4ymfvG&#10;qW7pgDGw6cF3GD5+fn3bk7WcIDBmEN9jE/3nJLt1whjQGmy74GuL/U+caC+VnvuBMXn50H2OZM8/&#10;/xx744032GuvvsZxZrzYLyaV+sJrXVWMgf0PlWGqHzLNR+/1ep47tzH+dbLigp/1CgJjsAc2MOaD&#10;D45Fxl43Bm4wBvlgj4G9Lg4cOGhbnu4dyXrPD4y5/PLWbOSoMezvL7zAXu39Mnv55ZdYfl5B2vSR&#10;buzgO69iDOJ+UVpTrDDNR+/1ep44cRKPiZGX9jwMsCoIjCGfpaNHj0TGXjcGOjvfHTt2aPPk8L1N&#10;sXZCbCfslaIrL5XuIfZtvHqlTrd3YkOGFLKez/ZkTz/VhcvZB7GszJyU7xu7cURMDhVjEE+D8phi&#10;hWk+eq/Xc2lpKRs2rDjEGI86JeKvhpWWCD7m4IEvfe51YwB/apVepk2bGaEXXR7cg/06/Arhgwf7&#10;K+wdif2VEbcTuOW0RrMqV3cf5dEBu2TwXnTAL1C20X3h+V5ib0TEs8WBuPyyDT9ksrSXJTCzoWGd&#10;Y1t1dcK9FXX1Al/69u3D40T0Yl2feZqN4j5Er2e8YVym1buS6b4u/rMcX8IUK0zzmfYN9K4V48aG&#10;GGODMSuWL2fTpkzS9tGY0aMExuzb+64jvasYg3loOm7IV129WKytsL566603I3vSFnJ7HZrf8lne&#10;s5bs5JFXPuKpT1B5EU9nCsfU53r2ZM9xPqZPnz5s0uQpLDvN5b3wIVFpJtX8rk+fPiXmx8wZ/uly&#10;6fuejGfTtdKkieMZcEbXpvLyMtGHbvwisV6QaQbzP6h5mU7ldrrjLh67q4jzcN1Zt27dhMy3omI8&#10;e++9w2ndfyXDRkbRC2hHjsNjyo+Y5jOhKcgQIK9sCXpr4APZ5U6bqudJdBiymutHx1eUa/EF6Wl/&#10;gpn8W+s0Bj//xaVRNHPLrbc75nEqsyU8f67nC+yNfm8KbOnTty/3PX6T5Q3KT/u+U+M/A2M+/vjj&#10;SLtNscI0nwmt1XEbJmDMqvp6yzmkm3epeo/ifAMX3Lahau4chsMqPWEM4nw5jQHiwcp8DK6d8rT0&#10;59jX4M23Bgp8gc4aB+S92dnp718J+ZsdvZhihWk+E1rEPjHZ2VmW88dqXqXqfVoreVkbjhs7loGX&#10;sWozygJOu8EY7I9jRzMmY5jueR566L+5v+5ooU96+aWXGPiY0mEjuCy8X9rjs/pN+uY3vxHVZlOs&#10;MM1nQmsjR45k0ItYzZ90u08Y49aXYGlNDZsxbZpt/6AsYIwb32vs8xdizBdR88SJbns++zy3ixkt&#10;+JeMjAwh9y0dVsoG5erjlDqVl0rPVfmduh+lKVaY5vPad/CvQUyHKZMn2s6hdMIZrxhTNmaULQ+D&#10;vplXVekaYxBTTcWYRQurPc05r+Ocyulffvk1VrtkaUQWQ2ulffv2sgED09s25sSHH8bQiqqHNMUK&#10;03xeaelD3gZ8f1vSvm1eMAayGzdrKiqzsLDYESvc0I3XcUzn9Pfc+wDXz9dEyWLgb/H+kcNs4aIa&#10;x/5O5b5BPGf1e7RAscc0xQrTfF77E35KAwf259/pliHvBc9BeOBmrQS7l4Y11nIY4u9IjoxYgm7G&#10;QN3/BHFu3eRriWkee/QJVlU1Lwpjhg8fwbIGZqdUHECTsYNdo4oxsOOUyzLFCtN88rvdXENGCV8b&#10;mist4ewWYyaOH8/c4BD6jGLIuMUYVY4HOnIzXi0tzdGjR9lb3M/60UcfEba9tE5avXoNu+++B9O+&#10;z9Q9RXV0YooVpvm80iDihI/m3+qWgC3UxgXzq8T60A4/wJcUFxW65u8IYwZmDnRF94jRr36fjh8/&#10;7iqv1zFO5fRvvjmAHTr0Huvbtx/r/corQq/U64XnGfbpwZ4Bqdw2N3WHX6xMJ61aXRTTZlOsMM3n&#10;pt6UhuJSVc6e2aIwhnRAwBrCHfmMtRHkvGtWrdQ+l9PSdX3dcoFbkG1R/9qdJ06cGkU7oCPZB8Uu&#10;b0t69mSXrtwnaQzff+RvAmOIj0H8GOwdkM59ofNtk30IqO2mWGGaj97r5ozYh5DF1C9P/5gxhAU4&#10;E8ZgzSTfp2uskaCvpt9uz8AXHE5xqjA2J0+ejMGYzg8/ktZzxg1Nqmk2bNjIWrVqxdpdey1r3749&#10;e/SRP3O86cFeeTmDbfSwr+2xY8fYBu73s2XLFraT+7mnQpzO3r0zomjkvPPP09KHKVaY5lPHyO43&#10;4jkUFRZ6nktu51yypkPMYmCBzncCuDPdMKYxYYxTDBkak1/+6rIoGkrE3sn07lQ8L168mNtZZLEB&#10;/d/i9lyl2vmma9f+/fuFbYFMj3XLlrId27fHlLF9+w62ds1qgUdHj0bLVnVlB3mvTdt2UfRx400d&#10;Y+qL95tihWk+t20+yeMtZ2dnt8h9CMjuHzIUme5wPXx4acw9NY3V74IhQwR2ucUYxIWR19q4ruPx&#10;C9yOYZjOnR3fZO6bvYKvZdVxmzJpEntfwhHE6JFldBsaGtiGDZuaZTzA58KeV6YPxBjVjbkpVpjm&#10;09VBd29JbWMsfSuZhDoe6fQb/tPgOVSMmcVtdefFETO9iPtPo9zdu3ZpaUEdB53PvhzfTE0f/naH&#10;KWo/DRs2TOAL5GvjJ4zne7rn8vi/A/mRGYn9hTjtGDt1/QybjmVLl7saT/W98fzOyxsahS/AGqvy&#10;TLHCNJ9VPeT7//rnP1leXr7QWbux/UgnfEFbKNaL3K7FXI80eaJ7H0k5L117xRiMybnnnhNFS6Gd&#10;jBmOyPStXhdyeQBiciDmcimPwwZ/e9A9/M8WzJvH5TqbBD8DjKmcFav/AM4s5d9ktdwgf6v+A3a+&#10;+aZYYZrPTbuxR3tm5gBWayDXpPmUymf4ZmFdT22YX1XFysvKXNnaUR7duWJcufgW7typj52pGxvo&#10;CWR+GNeISalL21LvffzxSb6/3RmjPoH8HXFQsTdhfn4+mzFd73e2rLaWx5odJOhioUbfCIzC/geJ&#10;GAOsiVSasPO1NcUK03xu+qCM+xCPGDEiMsd08yWd7xUUDInELob8F/H//LBzhj4K38L167zFk1Rt&#10;INJ17xM3tCmn2bRpixRvZK3Yt23b1m3s1KlTruc6ZGPAmOKSYoEvdj4z0CVO5XEOQR8j+b7vsJGS&#10;58GyJUsY4p7LdQzi+vLfto7BGLv3mGKFaT67uuAZ+Sfh2y33X0u6zsnJEnQHfPFzzzrYGZlgTFZW&#10;XhRNQdb3zjvbA6dlJ1pp7ue5ubkM+h+VNsFz7Nu7z1X/RDCG4wzwQ5XBqWVDPol11IzpU8XaCti0&#10;jK+TKN2ihQv4XhEHXL3bpP/Wr98YRQvgZ+6++z7b95lihWk+p3ZB1ot1EvVZSzwDB4YOHeJ7/GJ8&#10;I1H2Kr5+dxoH+bkuJnTHjrd6KkMuL12uYTON74CORufMme1q/SRjzOTJk0QMRF15dE+NQwY9Y3Z2&#10;ZhQ2BSkDfrbHczEYY7dOwlibYoVpPif6Ki8fF5d+lsYiVc9kj1vCv2t+rI/kfiCMGcfXXk7joD7H&#10;Hq3qGvzA/uC+l+r7k/H3pk0bBb8p9zFdg9eo4zISp3oTxiDeMsZc1k1TWXQGD6PGa8Z7oIfM47oo&#10;Wee4g9vROL3b5LlqMwWacCrHFCtM89nVBzFA8W1ArBPq15Z2XrRggeA1wAsH0XbwMTjsxkH3LIfH&#10;WlIx5vkXXvJcjq7sVL6HvoRNgdVYvf22vXzk1KlPuaw3jy2prhbjAp3SjOnTY+T70CtiHWT1Hshq&#10;4L8GOSbkNBsa1rCtW7f6Oj66/f2c1kkYW1OsMM1nR0/Vi5ew3NzsmP616td0vE8xMYOSR5liDPQm&#10;Z531tSicwW8v8k27sU/VZ7C5RZ/KMhGZLteuXsX35rT3JYXOGnmwDsrNzRHrHnxn8Ru8S9Xcyhj5&#10;rvwO+RrfJpSBNRSwZg33//arb1W7Xnxz9u3d61i+KVaY5rNrL+In2cXWl/syXa/Hj68QNOsk+zNt&#10;P+17bTcOVs9e5j44Ki+De1bpW8L9bdveEeOFtY7VmKxZtdq2j4BRlHfGjOlizYQ1EN0zOaMcjDV8&#10;Z/3YewV75aljjz1C3YyxKVaY5rOq065de8RY1dYsjqtvTcYjmfJgL0zZNsbvug0e3LjvtdU42N0H&#10;z6LjZdSYRHZlpPIz8HJr1zbwvYM2si2bN7PNmzazPXv2CHtR6ClW16/Q0u46zutsfXub5XzMzx/M&#10;Vq740u939KhRHBtGa8uyogdgUtWcWVEyY+i8wM9gj1XErI2n73XxhNB2N2WaYoVpPqs6wRcDPJ5V&#10;H7aU+/j2BBmTi/a9thoHp/s6WnvssS6uaM2p7GR/PoH76Ko2KaDLJVwWAtpV7fxlmoUPGuzXdW1E&#10;3DCZb4VPQQ7XFak6JLk89Xoql+PIsT7k6+HcphMxDHTvdnNPtwc6eBo3eZHGFCtM81nVC3sPwIZe&#10;7buW9Bt+cYhlMYLbVwXVbtr32mocnO7DBlvlmaFzgj+NU95Ufo79ugfZyAqhA6zkfIQVH15TvYjB&#10;Zk/XB9grgvzyILtFOZD7ArfcxPCYP3duJN2X8ptG+TDiosAnYdrUKcZxPzt3/nPMmOvixOjahnum&#10;WGGaT1cPrBexJqV+Dmp+JXu5k7g/EvrByubCj/qTL1Q8e9xjbwsVZ9I9/v6ePbvF2DjFZwefAx8j&#10;3VgtXVLD3uMx89Q5sITb59J+fatXfhl3DPaX0EkDc6zkM8CgxVwnhfdVcpscWbcNvJNl0ZALnTjx&#10;Ycz71frIv7FHhbo+bnddB09lmGKFaT65/nSNPZhb+joJNIQ+AMZU2+godbTr5R7Fjdi9a6cnOqGx&#10;orOKMaDDw4fTe1/n5Vy+kc33EnSKmYZ1D3BBNy41i6tFbE7qR5z3vvsPrncu0qYHLcCPCXIVnbyH&#10;1lNVlXNi7KkqZ8fWYeO6Bu5judFVDKzJk6fFfEuubdfOM92YYoVpPrlv6Xro0MIWr08CLQFfsjIz&#10;Lb9ZOpr1eo8wZutWe7sNGhur8759+xliVslYc/U1bT3Tn1X5yXof9otufOnAT0zg/mG6tc6a1auZ&#10;ykdCZqyLIUPji/3FYEej+jPBbwHYo9o6QN9th4WrVtTz2DMbLW0Pzpz5jP34xz+JGl+MNfRoXsfG&#10;FCtM86n1ozgx2Eee+tPpDH4VfmHpFOcXNASMKSkudt0PTv2ke072N/FiDMYRNngyxuC6TZtr01o2&#10;A18gjNN8Pod1/aveA43K6xd63sBxRpZhDcrLE7719Fx3Jjvt0aNHshWcp6I0kLfQWgprNewZqnsn&#10;pZfPa1ev5HqyDVy/Hb2G0+1pYhe/QZ3X8m9TrDDNJ78b1zk5OWLNKbfb6bqKrzsxzuVlYyL97JQn&#10;2Z+Xcl4YbYKPf5B1pVjBXn2v1XHDb6yNVIzB74yMvp6/dbryk/XesqW13J+swPU4TeNzXjem70g8&#10;wYYNG4TfkS6dfI/0gtA/qt9lfD+sZEFyGVbXy5tiXSHGnSqDwbiajocpVpjmk+u5Y8dOMa9060ar&#10;fqD7kF1AHka/U/1Mshg//ax1feInxmAse/R4IQZnEMfq00/dxzeQaSIVrr3yMlgH63Tea1atEnEG&#10;0GbE9ME3xilmEo0f1mxIP7x0eESXBX5GN+Ze7k2oGM+uv+GmmDG98aabUxJjpk+fyRBj1ksfUFp8&#10;79HH6jqUnqfSGbHB0Rb4z/rtB6n2A9GoH3wM5sZnp08zdU9JfPM63nKbMU2mAs6Al0FMTJ0cVu1z&#10;+AVAdw2fo9hnVSLG3afcbwk0APtcNY38G2uich5fafv2RrkIsAb2DrAPjxdjqhfMZ9/73ndj8CUe&#10;HgZjacqPmOYj+oHdYS7n9yCHkPvQ7TVk9+hb4LjbPMmajvAy3liabtoHvTho2S+MwXgeaaFrJsxr&#10;2OTa9TtsbckmA/IUyGjV9NOnz+Cymc+FP/BIF7HZpvNYebD3OH26kVfcu/ddHgekXNhumuLMqvo6&#10;9ptf/1qLL4jrTPPW5GyKFab5qI5vb90maF3W36t97/Qb+IL5Ek8ZTu9IxPN8HkMxUbp70itBf0lj&#10;4ce5V6/eMfSJNX1trXN8Az/e3xxlfPThh4L+RnH7UZK5yvQCPZGql4BOW5WjwOcaezHBDtUNHWDd&#10;hf21ZZkx2o+5gDgPch3cXj/8pz/FjB/4F+jU4+1bU6wwzUf1nTp1hqv+tOsj2AagX8l+yS5tsj4D&#10;HaINiJ2YiDoSz+SHXonGks462zzElj7+wQdx0ym9I9nODQ1rxfip9jAYV8Rol236aXwR81TFmTHc&#10;P2nevPmiLDsdNsqYwWW7OM+rmh8VB2vbtq0ivpsuNh+9W3fu/peuWnzxyxbBFCtM8xGNwMd6FNfB&#10;6drs9h7WwvAfhN2A7jvitpzmTEfyESf7Ub/qSHa+x4697/u8RyxZfPvUA/uu07in25nkKJAryjQI&#10;2tThC43jbL6/gCx7wxp21uzGbybZ1VFa+Qz5o2xzo8YJh3wGvJBuTSaXQ9evvRJrf4Dxa9PWP1sn&#10;U6wwzQcaQywqfLvt+pL6wOlMexElao461cfrc9jD2Pnsei3PKT3iv6Lvg5rrNTW1MXpP2Ordc+/9&#10;nu3Yg6pjEOWiT72sU4BH+L4QLkGOMnnSZCFjRIx4dRzxHLySjC+Naday1TxGDPaGR7sQVw91GcL9&#10;62UMU8vD7yH826x+D+j3ds0elab9ZooVpvlQz9raZcKe1VQ+JfcX+hFxrXCsqq+PGRs5bbJdQ24N&#10;ehg5ckTC6p3H6SpIjMH4QrdLtCqf4ecC+1FTWk3mfPv37xX4oNNRW9EdaBc4Q8/Be+RwHkTWtSL2&#10;6jzu8wj+hfCI0svnJdxH4ciRI5EYDuBnICeS08jXwJezz/66dpwaGtb5OkamWGGaD3QCP1M39thy&#10;n9hdQ9+HeQO7JDe6RLuyEvmMfCATpX8n2U/QGIMx3sH3hZfxha7TGWegz4ZvkZdvJ+xx586ZI+xy&#10;4Xswi9My4vq6XevI9Aqfy3+8+y7nZT5g9XythnHGXgdyGlzb4Uv9inpf8QW0YIoVpvlgT4GYvaq8&#10;Xe0HL7+B7xhb9Gmq2P6izlg3J9KOcCqPe48+wlxIBE/Qs2evFocz4B9weKFf4ImKBfClNolrvZzz&#10;xrt27mTvbNvOKirG8bk2ICoOcC7fV8eKf1m2LBgdoClWmOZbz/2wQOdOsnMvY4S0xMtAtpEKaybw&#10;1OiHRMYWpb1oE4UxwDF1z1LiZ7CHRiJwLtHvQN+a0DdkLar8BGtpxJ7yOhc2cF0XZJ7AGcQzJ9vx&#10;Am4jQf2vnjMyXg1sPEyxwjTf3LnzxPfba785pccaCfHjML6poMsmH0gv6yToJJEe8m20UV7Lu+kf&#10;9A0O+MYkau59cOwYw55vKk3jXl7ekITVI1HtxXsqKsqZXXxf3VhhvQQswCHrniHjha46Vta7JgZ7&#10;MAdAHygDunHYj+NdsAF89m/dY8aAxqR//wGBjoMpVpjmQxwHr/2vGxPdPegKsWYCL+NmTHRlJOoe&#10;fOqyOd9qJ8eDbSF4aNhwgt+BfhO2ovi+ea0nvpOEMYmcb3gXcEbHz0DfdMedd/PY9vsDpfFEt/f4&#10;8eOir8eVu9ujHHHsZPkL9r9BbF5ZrgO+18rfETId7K0ELFHpCf7ZDz5wvyW+LF26LPC+N8UKk3yH&#10;Dh4UfU+21V7niZv02IMGcwlyMzfpmyNNRJ+ksRsHXYE/QcxoYIr8TYunrrBFQr8gdmyi5xy97+ln&#10;umlpHbE6Efee0qXDmfZEUeUs8hgCDyCX1H0z8AzxBYA3lAfpoGOi35AJIPadnIae4byQY86lv/i5&#10;ts/BwyQCXzCWJlhhmg/7JyEGk4zPcp/4dQ0+CfMpqH3Q4q0n+BK1fog3PZbjCuSFFDsx3vdQfvQ3&#10;+h3vhC1oc87hjRs2aWkea6cBA7KatW5+98vyZcuEPhu+AjQW8hn3neYCvjHgQWlNDZ4Fa2XYloFm&#10;VL6Fyh/K5Qb/7/zztX0NfFnO4/z63V6r8hKJMfDH8FNnTf2pniE7y+PyLfhM6nxd1fSJ/g0dO+Y7&#10;+F8csL0F72JnFxpPHUGTeB8O2KVa0UKi7iOWGskC1PO99z3A7WsONnsd/eoLfDNg7+KEJU7jC1kL&#10;YqBAxgJZC/BFPsDj4B0V5WNZu2vbWvYv1qebNm5KaP8mEmMyszIF/+/Un348J/mDl1hCfrzXqQzg&#10;CM33KVxui5hDQWEL1YXiX6H//Zo78ZYzauQoy3lwzrnnMNgLx/uOZMmP8fYin6dx053B+6h8EegH&#10;cjroPM455/9a9ivwvDn6JFEYU1fXaBO0iOOvru/8vgceEjIZjC/sHeP9jvhVP5LFoF7QLQVdL/Da&#10;kIHjfc1BX3bvHDF8hOV8gIy4oKAo6eps1x6rZ1/a5gVnh/5G3wzbtZGf/kdW7bS6nwiMwd5VeXn5&#10;wg7Xav3o1xyWy8HaFT4GmF9B6bLk97m5JrsYxLd3kz7eNLBJRPsTaRNjRWtW9++884+WWHPjTR3Z&#10;nt3u9iO0Kj8Z7mPNNIbbt/tN/9O43vH3rX9n2X/gXfr2eb1ZsToRGLOX77sNOocNQLxzxmt+irOM&#10;97uN8+z1HV7SYw2NukAm4yWfaVpaMzZwPUMyzDWrOljJgjFHzjv/PNa7d0ZMLH+rspLx/kHuw4Vx&#10;LyosEPLaePnXIm77ALmLlc0uybkSKdu16vdEYExlZVUgdndu5x3mNWJA5Oa6i43otlyTdInGGMi/&#10;QdvYU9mKBpLtPvh6miPy+Vwup8GehaksEyY7YPDXkNF45Wsg0/3NZZdp+0fuK9M9BIKghURgTEnJ&#10;MFsfUJO56jUPxhNzrWyMfWxEr+V6TZ9ojEH9SI8VBP0EVeaSJbWW8whY0717j5TmawhrEPvIDdaU&#10;FA5lv/99a8s+IXwJ0ifAdKwTgTGY23a2SF7nqWl6+CCiLs3pzxRizBee+CnMGZo/6hlx97Dfuynt&#10;J0M+0CMOxBFS/ZVA5yNKS3gc7+9Z9oHcJ8mIL+jjoDHGz3hUpthC+abyfcUxnkHvYUTv050TLfPF&#10;uh92Qmh3MswpkzpUVy+2nGPgabAHAnyfTp1Kzf1WsMctxgf6P8Qhh/0/5C0dOrS3bLeMLVhb1nK/&#10;E5O+TUSeoDEG8bTQf077xujmox/3oFuCjSRilI3je0YMHtzoz6Sz3/bjfU5lyLprp7R+PId/HPo/&#10;mfVKbuncjqfBnINPQteu3Xj87cTamLmtv126sWPLBaa0aXONrQ5axhZc53N9rV25yfAsaIyZN6/R&#10;f8irbMtkfsEWCTaQsGudwL8HwBSs0bA+odhVpGeCba3JO+LNA74Ccx5HInAOegy8a//+9PE7BNZY&#10;yYUx72DL2rr1FRxv/sp9SScm/RwEDgAX23e43jXfkgz6Irf4FTTGTJkyTeh04p2byI/5iXkJzIC/&#10;BnwGse6B/w9ioCLeAXS1TjwTbGuxfrDyY/WjrnZlDGmKQWHly2aX18sz8iGAbYZbekildFhDOfE2&#10;wBzsMXfb7XfwPfJyk0YnBX+Kfv36M/hO/PJXznoitCNZ5S1ONBM0xpRxXiIeWxDEo0RsJdKN4Lq8&#10;rIzjyzTj+A3AJ3zbsS9j0Hb8OkwYxeP34v1+2Zfr3oF74OUEv8TXi050kOrPMQfdHlhTtWnbTqyr&#10;SkqGB27jBx6lrGycsPEB1l100cWu64o2wT4olccnaIxB7N54MAYyUvAuK1fU+ba2gfwe9jKJmOe6&#10;+U/8RZC6NsQ/G90Uz6GysjKladTt/II9qxu+RodF8JFq3+EGnr9v3Lqqjz76SMigsRcD8Ez3Pjf3&#10;UpVvUccrERiTKLt53Xy2ukd7psgx4K3S+n0funPg24gA9m3DOnL48FIRswgyMGBpMvlCqvQX1G+3&#10;6yiruY49LoEPWMdc/tvWDPuZQX+lHtg7Cs+RDumRz6pMN/eBK/DtC6pfmqPcoDFmzJhGfxm/52m8&#10;5UHfhLUS5no1j2sVb3le8w/m+99gD1qv+azSQ1aFuPbTuYxKToNYGmhjMsR0aA76pnfGizlu8MFr&#10;GsitgSmLFy9OK0yhPqdz0BgDvT1oPBE6FHluubmumlsp6tYcOibYG6NfSN/lpr5WaeZx+RL87XT7&#10;ftO6bOfOHWlNx0TPbs+EOZjjdjoqr7hhlZ7wJF3WP277GemCxpgdTfYxQetQrOaf0/2iwsKExOZT&#10;60G+DaZ7ZYJvQRnAR9jAqOXTb8R2AJYVFxWHGMPp3c3cAA7EewDD3LyrJaQJGmP27Wv0uQ5ah0Jz&#10;yusZ+m7MQYpl6DW/aXrY8eC9JnsoYN+YoUOHMOzN7kYvRj4ULYGewza6w9FE9lPQGHPkyGExl4LU&#10;oZjOc+RDzCzM9UT7F4APge04/FS81n/alKnadZFVOSSTee/QofDb6pKXSeQcTPd3BY0x2BcSczgI&#10;HYrVnPJ6P4fvQdIc+iXgSyJiqNO6bM6cuSHGhBiTUBqAHj9ojAFGY+9ZP3UoXjHEKT3JX/3aZ8Tp&#10;ffQcdsqJWKfV8xj0eE9BwdCE0le6f5/D9tmvyw7xvY4K+X5qicCY4uISQePJqFvCfCe/wUTLjKAH&#10;wtxPREwbyLbxruPHT4Q4E/IygdPAxo2buR1inohlngiM2br1bUHf8AGgb3gynaE/xvwb3Qx+klij&#10;Oe0X6Udf0d63NTz2U/j9tf/+hv0TX//8D3vnHW5Fde7/9cfvuSn3F6OJJVeDIRYEASVoFC9SVFSK&#10;olG6BEUFG0VBpAocevEc+qETIRbkiCBEQUBUEBGTSLVSFGMlAUvE6NVr7vqszdrMmTN775m9Z3Y5&#10;593Ps54pe+pa7/rO29/16583ugdb+zIbGLN//7uCMZpf8sKKbGPM4sWLBWOEj4mEBqgNsHDhIjPX&#10;Z2gf02xijLUtTZ0y2XOeec29bO8jpor6NNm+L3Ws4aGwZdt7Ew9OPIDdDmNpc2NN1u8p3+nMvtPS&#10;fxX775tvvlbUaISW8Z/Hv8LSbTb4GPCNe9PyVSfDnMaWjE3Z9k02lmueifkak+sGfdACnVuRfuJZ&#10;iHcI6xl4Lxs7AV8p86TiPJE+Sa9PqDtCbSPolvqsLzy3vhzdZgNjGLtHFz9mnoH8LmHNmzCvg/8O&#10;fZTt2CXiFm0NKO6PDW7BggXmWeBxwnxHG1ewePGjgjEiL4VCA6+++qqhWXwwynQuEWyYbprNFsbY&#10;GkvUFHM/Qz5s2/x42JOz/TxWXuJb8K+vvjJjv6RsqYmZDiOeyfk++BCAZfLNTu+bLf0W6zdkIxvv&#10;jE7R6l6ctGbXs4UxjM2MGaXaT2Za1uewfddkS1uHiLq1yY7z+g/5j1iEFU8uM7EBxAfQkH2IR9q0&#10;cUPSa27asMHMe+b+4cOHzfz/7rvvdLzArNDrg+PPzH12bN8uOCO8TGAaQO+xZElZnF4f+uOilPqF&#10;bGIMNg3oO8x8U15zPt195Fug+Tkf3xZ4Q/J8wvusW/tMOV0TMhDY8/z6o/mFk733/HlzTN9s27Yt&#10;Pu6rV68xcpSfmCQ/z8wxNk5K5CXhY4LyZHz3rBxPXqI1SWJxnfSYTYxZt269mUfkUXI+Q76sz9d6&#10;XzAw1fNgo6H2Vpj66xUrnjT3pt6dHXsrXxL7mOqZgvxvdb/2PrIUvElFA8jw5LRkfkA/zAG/NJdN&#10;jHn7rd3mGbOl8whaC2HRwlhOlzWrVyfsP3JYLtH8WNh6EmfOrE8/PRTHGfIhY2Pyyg3jd4zdx9kY&#10;ybfeejN+n1Q0Jv9XXRzatWuXxpUSM3cfeeShcnZpN215bWcTY5DlyPuYyveDfODku+b7TU5Mq99g&#10;iT6B/chd6EqXL3vc2IK88GSSxlv8W73em33IIBteeF7BQyBX4ocMTjMH3ee8+MILOgfLLFP3wP1f&#10;WNv4xVAvge+FndMWl6m7ENZ9bM70xx8vjLogti9kmV2cw8dh0qTJZk5gk05X/sgmxkAjzB9kubDm&#10;CzoO4o3wLyEX3KqnVsZrpIAXc3QdAzDJ3cAwMAtbuuUR0M1yDs1ZFxR7HLUEnH5FYT2/+zrknOL+&#10;7+zbF8cZ5Cd4GS+7oPt8P9vGV0bHmnMfmbfZnbeF0N/w0TbGkG8e3zfnfPBDY85jso0x2NOhbadf&#10;q/N5Ml1/XvvLEmO4TPMv3CdoXhhbrwBbtn0WeJyw5re9ZqIleOeuHbt163bzLvB0ic4Luh+el/7Z&#10;uXOn4IzYlwwNfKV1LmVlMT8xvmkP6pz2zKegtOU+PtsYY+MKoo5xRmfCHAqaq3emrjPMechP9BU1&#10;BOB33P0W5TY15ngGYkn57n377bdGxsykhoz7ebG1cw98/grh2yrPGC2/9dGHH8blIvAlzPqG2cYY&#10;9NPQdjZ88ai5Ama451eybZtLJkz9h/N+yHbYo7z0R/Y48Jc+WvrE0vj8p94m+zaE8F3hPiYP35Ea&#10;UzJ/o52/+dy/fPORxaEtGt+3sGjM0nO2MYb+zpYvHrpb5A5kjGRz2vYFS2tDLi2dEQibnNew6/BA&#10;8AvofvCjQW7DpgaGJJNvmf82vuDw4S8Nznz55ZeGBhbMX5Dxc9nns/IS/pr5PA/k2cLFQGwvb7zx&#10;RjlswVd3ra7TYWkjzGUuMMZ+k8OM+fPqE/ybiaMAn/HB9TrGvY9a2RwPNiXDAfd5dpt3IvYJHTRL&#10;9Dpghv3f79L6427VuGfn2Cuv/MU8m9VR+71WouOc/sXkRLT3kWW4czof+vN/Na58+MH7ipqhlmdB&#10;94htNirdqKW7XGAMsh/vmY34SMuX0J9+fVpsbe0gtQqY9/Aq8Exh5OzkGm7dL7SKv0xQHZMda68l&#10;fBFjsWzZCsGYSqb7/f777xWyEDSD3s1iCzwL39x0vqFeNJRqXy4wJps6GWQk63Pm1y5j45ORcVL1&#10;33pdY5IYp6VlS3xjWKpr2v9tnoc9u9+Oz3/8ZcCeMHCM+xADAe3ht/St9hXPh2+uPENmfNQXX3yh&#10;qO/EmDK20As+acjpUfMslnady1xgDDSEb09QfazzuYOu4/8cxC6Dbn2ejiFKdh98ktCRJTsmk/+g&#10;CWhk1qzy9dfQZ/FfJtd2nkvuMO7z5huvC8YUOC+zdu2zZiwZTxo0nwtccdJXrjAGXzx0JX51sc5n&#10;Tmfd2ov82vvBP/LsJroXMQXIRlHym059yddf/ys+/1eteibUWi2Wb5M4ycz4h1zyX/AuNp4IbOG7&#10;wXcoSvpMNDfc+3OFMdu2xfzKspUTCmyh7/3azK3Olbhpd5+Bi1Hp4N33QnbmuXfs2BXHGPI/wAen&#10;k4fCfX27be+Ty3ki9w6OcR988EHcPoRMhK4O/jpb325LP8mWucKYzz//3MydbPq3MY+M7teHncfm&#10;rEoW75SsX8P6z9YTcMYwMRefeipmH0i3Xrb7+RgHg2XbJa9MIWDdwYP/MDI0Y0ZDd0+8S7a+2W76&#10;SbadK4xhHInlJJ4o2fOF+Z/Vb5BDN9V1+Q4gy1GXKNWxUf5PzCY0hF3AqZO1vAy4Gcb94de4z2M6&#10;tqsQ5lhVfUb8/bETWWyZPatUYXewNPCEjnPNNL7IXiusZS4xxsRHat1qNmIN6S/sy4wNuhk//ffg&#10;ER++bMUqJXqmmTNj8tJuh32JOWZzfoXFy1CTl/6pqvM339973959cX9/YokS5XBBx4vMlI5fViIa&#10;zGR/LjFmz+5YPhl81TJ5hyDnTp48yXeNE8v3BPGTCfIsfo9dsSIWW0C+X+c82L5jp8EEcmv5vVay&#10;47CjCcYE14k4xySqdfs9YXzmzE4dHwPN2pi7ZGOejf9yiTHIlPRZEJtypn2Czwm6sVT69hVPLld9&#10;+9xtni9o7Hamz+g+nzw31l/ZTcPz5x+p2aJrXbrPC7qNPxDjsWuXxGK7+zlX2878UMSXkLtkhc6v&#10;tFHL0KnGl5xr+cDL5BJj8EO0OXCypavyw5tMHD9OVat2smrV4Rg1/oGRodqJU9FFov/nzonxGPiC&#10;O+n9k48/NrjAeyU61+9+vn1gzBYdt+m8h6xnn7fZu2evyRnPeNCwh1o/dXCDWJVU44puIJs2lUTP&#10;k0uMgXY3HNGRZKsvkFUZs0Q+vw/rXDE/+MH/U936nq5KV/5YTZp9kzk+rBihROOQar+1L/HsyE52&#10;3oPT+OSFofuFhi1N2+vLMrv4gk+3/e5iA4VOvfSV7Ce2LhXdEI+Ua14m1xgDDVMfNZs+v8gd8AVe&#10;43Ne/frqqmsaqdInf2owZtqjF5h5l2sbtvX5txjgxJl9+94NDQen6ZyK3EOwJXvYwneC3G1xbNF2&#10;EIMNSeRf8oNQRyiVHww+GGHZBLzmi599+YAx1hYXdRy27Q/whW+E3bbLubNmqho1q6kZy48z+AIf&#10;M2PFT9TE4lFaTxyOjdjeK+jS8hh/0PaE6dNjdT/RA1osCCu+gOuDMV988Xn82vYesgwfd/DPtflb&#10;iF9BJvI7D/AzT4UfYJCfuLug9Bjk+HzAmPXrYz4gqforyHslO5ZxZB654zhatWyhbritWhxfwBgj&#10;L83oZ44PKw4x2bMl+4+YK+KjrLzHO5Dvgbm/dOkTJjdisvP9/Gd98d6UmgWRY+wTOu+YjVtkXFPZ&#10;Idzjx/HwO+797m2wyL0vm9v5gDG2jlC28JZaBszP5Vo/b/t684sb1amnVlPFD51VAWOmPHiFOT5M&#10;33173yBLdC7UdeIciwUTJ05Qmze/rF7e8or+b0r8fYJc13mszcHnzFsj/Eu4/Isz3z/8NHJ4ujoT&#10;P7rfXNtF8wFjoOFp06aHMkec8yXRurWfzHb4GN8/eKBq3Cym57X8i13OeOIUgzHgUi51v/hd8QxW&#10;Bofvs/nyFi6M1dfKtK6c9ffdrHNtCbaEiy2HDh2M+//jPwE/nal/J3691t6UiN7xP0t1TKJzw9if&#10;Lxiz5eUtZv645Zcw3tF9DeYhc5Vm+dMzzzhDjZ5dtwIPA85MLTtFDR822Bz/uM4T475etraxJcRw&#10;bmP8GZ7X9fqs7wzxBvhPZPI8Vu/DfQRjwsGYr746fLSGq9a54IPrN/4/1Vj60enCm2b67Un1HMn+&#10;zxeM+eyzz8z8yRZfh36NeUQ80B8XPajO+c0ZnvgCxgwYX0ONKb7dHB+GPJJsPJL9Z3MwuGtpwZfx&#10;XeR9yNGb7Bp+/pOYgnCw5cCBT9RaXZePcaHN0/6fYc91ZKxUc0Yw5uh4ov+K0oZNrUdwH79ZfIsZ&#10;d+brjV06qxbXn5IQYzrdUldNX3panFb8+CX4mctBj0E24pm9cpRaOSqMnFmlpdPNfYSPOUqbQfqC&#10;WjVWdrX4QgwLtuawMQYaSqXTFYw5Oo7kx4e/sPJL0DnoPB6dBXOS/qeB9fjC0t/IHIw5449e/py6&#10;tdXo0nMTYsw9A9uZ/yaX3mvO8Zt/3Pk87nX4J7AC3e0SHeuMvpt1YsKtvsV9DnjIM/MO7v+wdy5d&#10;+riW8TPnY/jecp8g80qO/bf6H40tyPzElVlsIW4f+ZUxRZdHLVPoMNEYu8fVzzY+DMmOywXG8H74&#10;dBEDni+yEjT6oc6bzthkolOAd1z+xDIz13jHRGPJ/OZe9w8drE47vaK9Oq7vXXa86ti9uip55Ezt&#10;N3OiGj9R+8qkkU+B7xf2A4N3Gk8Yd3DG+XzwV8g92K+8fCRszYRk/oDIU7HY/uC1ECydWtu+M4+w&#10;YMjRb6FXX7ylbf02Lzd6eHDEyz+XPrbfPtvfmS5TxRTzTYyCf/J6buYceQ3IIWlxNp8whvoMyEuJ&#10;fHC93snuow/L9Nxlfvi1/aBfvrpVK3Vtp8QYM3HBuapL12tUpy6tNK/TUE2c0sf0nR+dHTQGXlLL&#10;Fnu5X/8a9K5eehXekXGD37Hv7bUEp/zYNL3OZR8Yxn2WLCkTXkZ/+7wwxe7bv3+/sYnSX+jeGRs/&#10;dmi+BW69WqLxyHQ/fHum10h0PjIHNG78Wo/oOOkL/Aq3bt2qqAuWTxjDuEHX6C/9zkfene8CtWfT&#10;weqaNc9S4+aek1BOumPgr1T3Hq3VoFEd1K13XK+GjrnBzD+wLFG/o/OBF+H74pWrM9F5zv3Qhduu&#10;6RdjuM56LVchgzmv6XcdHgs6cefes/NKljHcYQ7RT7T584Lrc72+I37HKMhxUWAMNI59zNo04Q2Q&#10;2XbofCPk0XLSSL5hzD/+8XczZkFsxE55I0jfz5wxNamchLzU5fY6qlWnn6ii4raqY+erVfdeTdTY&#10;8cNieiOPeBJyiYeRtwMei2+d830sxqSyI9hzwBmwMKh+y8ZGEZ/gpBVZP8rT/OmpmKyN3AzfaPs8&#10;yBJ+0f0dCXJ+No9ljqErpI6QtcmCrQ/qb+mHWsdB7clE9JFvGMOzgonYNqLuw9ZXXaWaXlk7IQ8D&#10;xvTq17YcxoA3w0f1NjjoZd8JQ+dq3/sh/Z2w63bJuPrxH7fHw48TS263/Sytblkw5iimOOfPq3+N&#10;1etkriXSufjpZ7ApW/KSn+dJdAzvaHMxWr5thsbW1197IyGuOPsr3zCGZ4PnQl5ap30LEr13pvuf&#10;Xbva5HDo2vvkpBiDTQlcGTmpnWrd+nKzPmBoLN8DmO5+jrI05RP3ddh2y2OWj0mlj3FfC34olV7Q&#10;eQ41fC0tOWlF1v+tqNlL30Cfq1c9VWH8nf2Yap1+9rIRpjovG//D+6KDgAatPET+7SefXKnI9x+E&#10;FvIRYz799JAZR2IAvewrYfTxFK37J0/MxIXJ+Zjfd79A9SnSPsBT2pjjB4ytpXUz7bU9akBMb6T1&#10;sM7nSVcH4ryGXUfmAlfsdroYw/l8M+fquDt8hOz1Ei3tfZhLQWipKhwLj02/IBMn6j+/+7ETZmJD&#10;9XufIMdhy3DiCu+6YMECRf1oclCkM8b5iDG8BzGpvB92WPqImMXhQ4eo22+7LZRWu87Z6tLL/jsp&#10;D0MOGXgYcGXU5BjGjJlVT/Ub0l5ddlmTcs9nxzGVr4I9zs8SGnTqdmwsUbr+OdjGkeVS4QyyN31P&#10;A+/ToavKeA5jG5tz4eRPxr7t1wbqh17SPebPW7YYfor8JXbcLa7gT5jpWOYrxvBe2L+QeRmHBhde&#10;oK65urXq3btnKO24Y39qcMP6wXgtpyyurfqNqmkwZviEjupnxx2nJj18vrrmd03U9W2aq2Ea83g+&#10;Z4xVmHwMNOP04YR3hQYy4dHBDz84Y2lNMCamk8Gvwvq/+PFbSDXf0fVmy67k9SzQAfpEfATtWPN+&#10;fNuRBzPFFef5+Ywx5Ebh/adPm6pOPP54tfvtt9Q7e3Zn3F7R+WpPOOHnyXkYre8FY+Bhpi87Qd18&#10;+xVq+JSYjbv1tZeodh1aqMsvb2aezynToSth/LzGNZ19znwXNidFuvZwe38/OGPpTjAmhjE2v30Y&#10;8Wrwk9Rby4VNCd0DNlsbr2/H2S6RBamZ/d1334WGM/mMMWAhto1RI0dof/86GWOLxaeVWs/R4OI6&#10;vjHGzeMMHt9Ate/USl16SVNdhy4mn8P3MofD9tt22pCQk6GFTGwZFmeg8wULEvP8luYEY2IY8/7f&#10;3jN9n2mdGcaOWtTwpHYssrFEHsIe4bQ7E7NnY+9WP/20mnEkTo2xJ//tsmUr1F//ulV9883XSfEG&#10;W/D+/e+ZPEbr1q03vBC+Vcxd9MT5jjHkIkQmadjwIvXmG6+FgjMlmidsdlXFXFRuLJm29L9Ut3vO&#10;9MQifPPwEUZfxJjMmD7d8C/QTqLaWunQErqXDVoPx7n4UqLjT+c6XufAKyfSXQrGlLdbv/vOPjPO&#10;+J159aWfffiVLtIx/un60/i5h/sY+Bb8qZx8Cz492Bq9/JGJb8Fvh2MsDSBDPfLIowrfNSsDgSsf&#10;f/yRMjGGR/Tg9niWkzWOEt9M7Fu+YwzvtHr1Gi2XXK5Wrlyp9u152+DMhLGjVbrt4osbqq69T/LE&#10;DjfO9Oh3uZq46LQKx7Lv5FNOVHNnz4rHcKOfZYzCtEdCj0sfj+VJA1/SibNw051z+3H9bXPqle1/&#10;ll6Ej4lhzd/e22/mHHPG9lGQ5Rpt5yamJKg/ZJB7OI9FZwSe2Zwf8E7wxOvXHa1b6zzeax3eB92f&#10;rUkGTcycOUuVlT0ezxEKXwRN4hvB99Udg8d1CwFjVq16Rl3TurWJwVmrfcqszJPusknjxmpUqXc+&#10;KjfGYFvq0b+B6tytnrExgU3oZziu99Az1VUtmhvZZfLkybrfixW6HqcOxWvsguyDl50zd66JYWWM&#10;w7Rb8RzoZvA1f/KIrGefTTCmPB8D1tIn4HwQnMBeQYwgGGP7NqolPgfgiM1bwvPOmTvHzP1MdYTw&#10;YE5+iH4AV/zk1ysEjNm18zX1ox/90Pin4NPi1ebrOqp+MefUatXU1Me8ZaAKGKOxxLmv+OEzPO+P&#10;boYxhZ4yiUd00x90U6p5Tq7L9dFLeb1/GPtOP/001aL5lapfn3vUSK0D437wxJY/rupLvuH0yWM6&#10;9tY9Tu5tvunErKED8TMP3ef73QY74HXxB7U8C89IjUg/tST93sceh3zFu5F/0e5LtSwEjLG0/T/f&#10;fGPGmD506it73nWHuuXmrp76GvS7zoasedxxx5bDDSeG+FlnPq/T/NTbb71RDtfQB/Js+Bl4ybqp&#10;xsLrf65TXDzRfD+xM4Kjr+g4qefWP1fu3n7xNdFxyKB8A7F3tG/fVp104omqVq2aas2aZwVjtLwO&#10;Db6zL6aTSeTjy3xHtgBbmIde4xnGPngK9CnkJXPqWZBpwBv844P4dYfxTMmuUUgYwzj//e8H4rWu&#10;7Dg+8/RK822HP+nc6YZyc69Zs0vL6W2G3z9Y1TmnRsYY075tW9WhXTtzP+5Ju+vOOwzGgAlh6X3h&#10;Y6ztakC/e+P3u6FjB9WpQ/n72+dIZzmqaJja/NIm9aqeJ+v1N4p50q9vH3XMMT9RjZs0FZw5gjOv&#10;aB97viM0p18Uuos5WjcXZiyJe95ikyLHlb2/XZJvzU1vYcbNuZ8j6HahYQw4QywWum7qgNhYgwXz&#10;56hOet7BYzi/1fjsObfhaS5smDx+IBUvwz2Yg/O0rgu92hr9zdry0kbT2GbsvWKZgo4Nx9tcWhMf&#10;0DT9/Pr4fcAe7ru0TNcq3RS7t32GREt00dOnTtG20xLTZmpbJTEVxbovb7+tu86LPtTEvqFbgm6f&#10;/tNT6oP331fn1vtNpcEY/MsGDBiiWl3VukIbNmykevrp1eXamjXr1Esvvaw2bdps2qpVq9XdvWMx&#10;sfAQ6CjgJ5BNrP0vnXF2nwP/ih8UdkV8FrDROGUh7JjsJxbBi2d22iPd1872diFiDDizY8cuM5f5&#10;djj1WU6MQf/a7dab4/OSuTdD49KlzWtlzMfs0f6A67SOHt0L7amVfzKy01tvvK5zicw2zzZP64hS&#10;+e0nG2/k+KnTYnmH8e1zYqVd37ljh8lRbO1tdr/X8qGHFqkRml+xbfSYUWZ9YP9+Ztn1pi6qzz29&#10;4/+XlBQbbLniyhaVBmOat2ip6tc/T/MDD6vnn99g2rLlT+ramzO1nkXnKn1E5zlztKmTp6o7brsz&#10;3i695FJVrdovVeurr1Zjdf9ZXoIl/cWY47+LvySYTj4EYqvR3fNdsA37C/v5n+MYX+zi6AD4djqv&#10;yzr2BP7DBugn/gC99OJHclu7zdJ2oWIMOPOS9sem/x90xD9bjEE2ba9lGTAIfbBt3W69VV3ROnEN&#10;glQ8TPGiOoo4BDuHkS2WLXvC4Az5dJnzNO5r6E7nHCSfj+1vv0toxF6DHB1gl72ne7l92zZzD/d+&#10;93YqjCkqGqo6tG+nhgwaZHCmMmIMurhBAwfp+fyQxpeN6rVdr6nt23ZofuEp7Ue238T+HfjkExNb&#10;7OVT/+qrr6pdO3aa8/76l7+qHdt3aL76NW2zfUH7gswv5+Pmxgk/2xO1LZg2c1apwSly+aTrc4lu&#10;2vn99Ut7YR+XCcac/9sLVS7bhQ0aqgsvuED99oLzVeNGDY3frcUYZCR37AHb8DXEOabCEq//x82p&#10;p8678DR1lq4neUmduklbmyZN1Ji+fdWE8WMN1sDXWrku1RhiD7A+UNSf9hOj1bNnT9X5hhvix3bv&#10;dotau3p1OVxKhTHwN8OH3a+aNm1q5CYnxjz66GPqNS2j2rZn956C5G2gj/79+pv3Gz16tLLtTq1L&#10;s+tey+LiSVp+nKbjcoepmaWzNU/xh4Rtzpx5atr0Gfr4KVpfX6xlnIlq3Lgx5dr4cWONvM93CTkI&#10;PW0fTbONG11sZB/4FWyJVueYima8/o/xUMG/b17XymRfJhjT4dLLVb41izHoZtzf8Slaz4DtNx2M&#10;IVaJa9c/u7Ya2amzGq3ns582st99cb4X3S31dpKNF/YC6+8NvrjfIdk2/JL1hWaJXpqYAXuOH4wZ&#10;oXmZgf3vU9T+dmIM7+5uxM/BTxZS4x3SwRiLO17n2v/SWcIDk3MD2XvF8qWqdu2zy9EHej/855z6&#10;5WT04/wP/icf7EuZYEy3c85U+dagIfSV5557Tnxu2Tk2asQww8fc2DPmQ+fFq3ju0354teueos6v&#10;XUcNC4AvYFBRj15qTLfuakLR8DjW8Hz4ixKHgBwOj4Nd2tqP4KmR6S1e2OdPtXzj9Z3Gpm6Pe2XL&#10;Zm3Tv8n4XrLPL8bAz9zctYu6847bDX6gj9nwwgYjHyBbIB/06XOfsTkVEr7wrNnEGHTo7na/tmuC&#10;U7ZRcwm6TIQxYAb4Qr7qdHxtoC/OjcJXxolnydYzwZj6Jx2r8q39549/rIYOGWhkBvq3f79+Rt/P&#10;HBun4w/gb4il9sQSl7+dPYbaS6ef9ms1+NZbArf77+x5lN/p0VPzCAPUME178M5O+ZzajOgLeea/&#10;/PnPFfDR4kaqJXzLKp1r1uqAwalBAwZofYPmvVPofGO64KFxnW/R8PvjGOPGkn999ZVq0fIqreda&#10;IHyMlrnwW0DecrZ7+94bxxKLKYMGDiyHO9ghJ2n+NhnG2PmLvphvT9C8VtidiNnF94mllx3K3iOK&#10;ZSYYk288DM9zZYP/Nn4dN97YRTW79FJFTlx0tDu2b1Ujhg9NC2Pa3Hysalyvvhqu+ZGgbagDY0bc&#10;0k37t3RR117b1rSePftofePWpPrcVJji9f8WbU9DB+n8r0jrWYJiTIn28wFb4GP+ovWbr732erlW&#10;onUU5NzYtm17nMeBzwnS9uzZo/5+4EDWcCoqPqZ3r17lsAP+ZeTIkUl1PMhWqWQlrzm/dvUqratZ&#10;ZGxVXv8n24d9HT1PNrEmE4zp0uC3Kt/aZQ0uUn3vuUe1uf46YyNBh9arZw8z39LlY26483jV+Nx6&#10;CowI2pJhTI+77imHA05MyHQdu7r1Q35Jf//uHzwoI4xx8zFsL1iwSGEL9vovX/dFhTHwppZXscte&#10;vXqW42ucPA75HNkeOWKEpte7ffExTuwg94yRtXUuGOd+v+tOrMF/0O956RxX2TDm5z87Tg0eMEjd&#10;oP1u8VvZuGFDfB5bjCG3nZWD/CyRlU7+xS/UwDvuUoMCtvvv6hGXldx8TJQY8/quHdpn73njwzV0&#10;yGCj2wnCxwzU8tVNXbrE+Rg3Zrz33nvqzBo11L69+wRjHPapoHrf5cuXJ9X5pprTzz27zvA0qY5L&#10;9D9YQwwJvE2YPoTO+2WCMfkoK/Gdgq+v/uvqcf+4ZzRvCV+Avzx24HTsSjXO0vGCWvYKYlNC5zss&#10;RxjD++J3Tn0XyxMFwRhyaZAbDGxBVirTekPy6NOWli1Vvz3/AhOn6saefN8Om48Zo/Fl7JjRWtc3&#10;9qhtWq+zj5YIc/D5mz69VMvK2+IYM037X9evXy8wT4Hck2lOGngZ6g151fNx4kU665lgzLm/rKby&#10;rUFD0PnQoUXan+ojnbNgucEa8nyh8yJ+KR2M6Tf6HJPPt95ZNVV/7dvnx25t7Ur2WDcfM2zYiPj8&#10;tzgQ1pL4FfIf459odch+MeZmHV96Q6dO5WzXx2qdVrVTT4034gvgZfIdU9zP98Mf/oe6T9sBRo0a&#10;bfxdpk4t1XNrltalFOl6ZIvUkyv+FG8vv7ylnG5pr9YdLXxQ13LWPi/FOi+Tze/r1N271zmmtLRU&#10;LdR6waeeWqWoi713715z3eVPlJmcGvCZba77nbF5FQ0bEhhj0OHiI5yJLw3YwXVWHJkvfnyJ/eJN&#10;JhhjYzjyaWkx5tHFS9Thw1+a/MfP6vykyE34O/XVeQtatP1ZIFnJylMzlh+nOnevo36l59qgXnf7&#10;al07dFB3tO9kWrcOHXXuvKtUS63DoHW/tVu5eM10c255nTd29Eitf/ljnJfDx2uhjqmxcQQs3bEE&#10;7KN/ump9OetO/xj3XC3U7Z/85P9r/++O6pOPPy6Hj+SOZp9X27dnr/Hdnjd/XtwWaPOFWf8D4oOI&#10;CaCxjn2QWCbm/hzt/0JeODf+jNf+mfhWoy++scvvTezZpo0bAmOMnetgDLpg7p0JRhDDQn4CfHPQ&#10;L9vrO5fYuIinwg+Zd4aX4r408uZjZyePEstMMCYf6cxizD91js4B9w1Qt3XXsdDjJmibUpHevk/b&#10;dTqqK65OnWfT4op7Sf5N7uGX3xh59z1xnsfNx8yeNTduY/Z7vSDHPa7z59E2vbhJy9yLdRzMNI0d&#10;2KZj9unyGKN97wb2N3pyi0OVEWPQHx3z02Mq+BO6+TQnz0ZMisUH4juQS9Lx0Sc+hHmJPIJvHLGU&#10;03Vso722XRKbRG45codxL+azc36nWuf45fr6fFcz1bGQqwLcIjfaYq23ATfBEfyQ+Y+YK+5HbGCi&#10;56qsGGPx76GHHo5/r7766rDpr4ubps4X7sYW57ZfjPmzpqkRve9Wo7Tf3lCtlxl130DtuzNc+5ZP&#10;1bz5KB2ru0jj/3KFfjYIdvg5Fv8Y6qaQn5S++PTQQU0jjzkwZmg5PmaY5tGbX6lrL2gb9wjtL0ir&#10;jBhj6cLvEr4GeWf69GlmPiWaR5nsR0YBe+AHwBXwBZyxmMOSbeRe/MD9xqQY2UfzVPh45rLmbWXB&#10;mJKSyernx//cfJ+c9FP8QIn6+KOP4u1FrbP8zXnp8zFgDRiTKoYIuyT280saXKgaX/Bb1fOuu7Ts&#10;8nC8PfiHhapjx07mmHbt2mp+uUfKa6a6p/N/e/+bu96o+fU/xu/7+843Gj1NyxYtTLxASx0zQO67&#10;Nm3aqjfffEN98MEHJp8DOR1e3LjJ6LWII3T2aVVaJ66QOe7Oz5IJpvg9l9hs+AUwwp3bYc7s2UY+&#10;8YM38FzwTuSUwefXzzl+n9HPcZUFY6pXr652aB29m/77ap/3Vi1axVtTnW8JG5GTLwm6noqP2aZj&#10;c+FTaXx33M/k3H7nnXe0HPOYOTbM3HbELnH/93QssfN+ftY//+xTnSOlr7Yb/cDgaSHGJfl5Tz/H&#10;WF7Cz1yK+hhkEmKb7DPZJbEpszXmoPuIyS+JY+KIS6BeWZS15N39UAgYQz2p9c8+Vy53kDOX0O+u&#10;a6Pljwm+59KPf/wjNWPZ8WnjDBhjc0UwXnad8Z+heWr0Gfh5DtF+b489tkQ9/9wLCduzuh5NqbZh&#10;jiwqMufwHvP0dew101nyHCNHFKn7hwxSS5Ykv799tmeeWatzVZWoq3XuppNOOlGdfPLJ+ju5Uh08&#10;eNB3v/qZs4V2DPMYX3/3vMnlNjiBrtnGzlqscS9t/RH0PvBj6ICIQyAe3/I0mepr3P0Aj4TumfsR&#10;k0eMTCFgDPhyccNGcX7fKXPYdXKt+qXfJk0uVQ88GKv56IeHAY+GTa5j4py631NXNb2yltEbN7qs&#10;ljpR571t3LhRudbo4otNfkqvXGvJ9nX5/U2qqc4JwfVYXnvN1aqtlreCtGaXXRY/v3lzzb955Hvz&#10;2tf6mt8ZDN+o5aMvv/zSd1/67fNCPc7O23R0vO75F8U2vA2Yg24YfQ76WJuXGXsWNQqc+fPs+7B8&#10;QOuZyFUDH4QvFXm1yAeBD5TfZ8V+hR0NHRLXcV4f2xsyXiFgzHOaD7hPx6o66dSpYwm6jq1pyAP+&#10;9L7UUep8cyM1bu45pjbt1LJqcf6nXZez1OXNmhmb8JIlZWrr1q0m37DzOYOuU7OOGnuMFbRBzk4/&#10;uc/4fnCsHWPyBAa9txxfMU9FmfbVp0/xp/U77/LxOLAInRIYAibAB8FnkHPPix9iH/jEMfAk8D9g&#10;GTG3LN113jgeH75F+AFprEOXZPuhEDCGepjXX9+m3JyxPH46yzGjx6mW7U6MY0UyXqZ7z1aKGkvu&#10;Y+4a8gujq3jrrbfLPVdY85S4Zup6Tp06LY4b5BEhpwy2B+uLAK2g/7PfqsmaLpz1/MJ6nqp6HXTg&#10;YAy+9nbOVMYlPjHWtoV9mryeYAa8iP1uuZclWg6yebSS1ZwqBIwh91oDHesYFp0jV13Z8qIKuOHG&#10;kSmP1VR9iirm5Sx55HTVa0CTCjassJ7PeR3qG+3duyfhODvHnZxEznNlvSJfkk6fULeZfkavga9Z&#10;tu0yucY0eCB0LHzXwB7sXGz7lR8LAWM++uhjVfOss0KbP+QSaN7iitQYs7h2PNfMlEfPix/fsEkd&#10;1fSyi7KCMV5zAp90bD20lX96OrR+8bqX7Pu3+tuROrTgDHID/GQ27TK5xphM718IGPPdd/9r4u8O&#10;/v1oTe9MaJ9acC1bXW30K27exbk95QjGjPvDaap9pyvUde0bq2lLT9G5mRqpm265NmcYk8m7y7np&#10;8TbUjgdjqHeCPxtxPfiaZOKzn+ncLZTzCwFjmBczSueonx57jOFn4Gkybcdrf71e/drGeRMntth1&#10;6tXeMfBXhpcpKm5nMOWBhXXV7b3aqEZNLhCM0eNSVTDr+++/L6eLR2eBDIFPCnE91LAvlDmf7ecs&#10;FIyBluFnDmg5J4y2bdsOdYLO4TZ9WfLcvsRok5tz1OQ2BlOwYQ8s6qBOrf5L1UTn768qc0zeM4an&#10;e3bvjsdbo/Mk7g++BjsLeONXR5HteZ7L+xUSxoRN57+pf77xe7F8i9eyd/+rFDnGR0+9zuR2MHzN&#10;8PaqVu0z1cQJsVyUYT+XXC+/+aNvv/1WbXl5i7K6YGQo7C/ENM2cOSMncQe5xJBU967KGNO+QyfV&#10;ot2xSeWlvoM6mnwzRQ90VB07X23W2VfvvFra/3Oy8DFVSF5yYz82v9Wr13ja/PBVwo8k1fyrCv9X&#10;ZYyZMKFYNWyavPZ138HXxzCmuG0MYzoco+4d0lHVOaeG8Utx051s5zcPEsX4fP31v0x9yRdeeEHN&#10;mjWnHOZQiw8f/qpm73ZiZ1XGmMOHD6uf6lwiyXQy1994krquy8mq6AjG3DOotdH5nn/h2YIxVZiH&#10;SYZV33zztfrwg/fjOmJkKeuzTU4n5/yrCutVGWOgkwsvvEgNGF8jobw0dFJd1a3H9erewR1V7/4d&#10;lGBM1eNTkuFJqv++1fG8776zT82dezSHHrX68I/NZV21bGJbVceYjS++pBo3S4wxJQ/XVV1va6Ru&#10;7NZKTSmrIRgjvEvaOjjiQ17Z8oqORT6ad5O4+srO21R1jMEfD3lpatkpCXmZ7j0vif8nfIzwMal4&#10;Fz//v/+398rZpdDb4Ku/SdfqySaPkY17VXWMgR7IsZ8sDrvPoA6CMcK/pM2/JMOcDTo3gpOvQXdD&#10;vYJszP1s3UMw5t9q7NgH1GVXHc3Z4PaT6dqrRlwv3LF7dXX3gA6qXn1dB07HyiWjH/lPeB4/NIBv&#10;6as6d6Izxh6+hpwexENnCwuiuo9gzL9NrrcTTvi5jkX6rzi/4sSZMbPqqqJpdc1/+P320frf8y+o&#10;rfNuFAvGCH8TKg18/PFHav365+K8DXlZ5mmdDX7EmzcFq08QFWYEva5gTOxb26hxU3VLnwR5fnX+&#10;mC63/cZgDHVsB45ob3ICjx/vP7+nn++ZHCN8j6UB4qM++vDDcvZv5KjZs2YZvNmofXGCzvVcHS8Y&#10;E6Pr7dt3qBo1tbzkkY8KngaMoYbbqNK6qv+wDopc/UU6b6+lCVkKPkRFA/j4kV/iIZ0DnhxkYA0N&#10;Gzj5XKg5QJ2TXGFIqvsKxhydG610vochxd51UUbP1n4yd12rJj16tur4++bq8isaSdy1yEk5+cYc&#10;OnTQxEtNm3a0/hvxUuSOysecoIIxRzHmQ10fu1nLmEzk1MfY9V9X/7XxkbmyRUOdT6aVYIxgTE4w&#10;xskv7d//bpyvsfwNObRyUQ8qET8jGHMUYxg76qgkqllQVNJc3dq3mrrptsvUFc0vFowRjMk5xkCz&#10;6G4OHvyHrnNTFs87QezCgvkL8sK/TzCmPMZs3vyyOv306lomqu5pY+p6e3OzH70MdZac3xRZL9+X&#10;0h/Z7w/s4O+++46uN3BUjsIOTq0Aagok4jWi3C8YU5EOyPnQ8tozPTFm9KxaavCE83WNpV+rK69s&#10;IRgjvEze0sCnnx4yepuSkpK4PAVvs35dduu4CMZUxBjisevUPUfVPPsMk8OBPA62nVuvlvrhD36g&#10;ap1dW33yySd5S1/CQ1Qc16raJ+S5wW7q9PGjtlqQ2gKZ8DmCMYlpkZor7rZz52vqKx3bVlXpVd47&#10;Mb0UQt/s2LEjztOgI6aGG3Ulo7RHCcYUNs0EpWvk9aDnyPGVj0b27H477kts7VHUo41CZyMYU/no&#10;JxEmgC/Xt+koGJMDHdK1v2uniPFPNDa52I8MRc3imTNnxXkbalZTcyHMPKGCMVUDY77TuZLAl9NO&#10;q5FXdJ6LuZWLe9LvFzVolHc4Y/sC/Nu2bXu5fBPGj1jXu6Y2JnVqk9WbTaavEYyp/BjjxBfBmNyM&#10;N/1uceaf//xnXuP8Z599VqHugpWnSkqK1RQdz4A9fM6c2b6aYExuaM5+P6JeuvFFMCY3420xxuLM&#10;J58cyGucsXSJfE3sAvFSy5atUNTLfFDXrKPui98mGJMbmrNjGPVy+PAx5vvppPGo7ynXr0hTzv5n&#10;Hf1MVeknwZiK9FAZxh7/cvClVq26gjE50PG6aciNMWwXFY2tEjgjGFP5MMbaj7zomn1u+pft6Gkg&#10;0Vjko70pbHoQjImevsIes2TX89K/uOk72fnyXzT04B4D53Y+25vCoAfBmGhoKoyxCXoNP/gCbQe9&#10;rhyfOY04McVrHZzJd3tTunQgGJM5/aTb92Ge5xdfoO9Dhw7ltH399ddZxbkvvzyc0/fdvn1nBZ1Y&#10;IpwpFHtTENoVjKkcGONlP/Ki43zYN3/eH7KKMTd07uprjudD31RGe5NgTGFjTDL7UT7MGa9nEIyJ&#10;+eN59Q37KpseWDCmcDEmlf0oEQ3ner9gTHKMYXwqkx5YMKYwMSaI/iXXmOK+v2BMaoypTDgjGFN4&#10;GFPI+MLcEYzxhzEWZwrd3iQYU3gYc999gwtGh+nmYQRj/OOL7bvmLVpnVUcexGbk51jBmMLDmH37&#10;3lFn1ahdsDgjfEwwnJk/f5FgTB7Eg/jB08p0zOxZC9SZZ9QsSJwRjPGPMVOmlBY0vjDnhI8pPD7G&#10;YmWh4oxgjD+MqQz4IhhTuPhicWbVqrUFJzcJxqTGmMqCL4IxhY8xjCH+582atSwYuUkwJjHG1Dv3&#10;fPXMmvUFLx/Zb6BgTOXAGMaRmBy/OLN3zz6Vy/bF519kdQ4dOHAgp+/78uZXfOE/+PL227uz2jdO&#10;LIhqXfQxlQdn9u3zZ2+Kipbkuolpydqhky0L3X6UaPwFYxLTRaI+y+f9fvTA+fz8lfXZkmEL/1Um&#10;/Yt7DAVjKhfGML6pcMZNA7IdPQ0kw5jKjC/QlmBM9PSVizmczN6Ui+ep6vf0wpjKqN/1GmfBmMqJ&#10;MYx1InuTFx3IvmjpwI0xlVW/60VHgjHR0pZXn2dz3z4PPXA27y/3itGXG2Mqq37Xa7wFYyo3xjDm&#10;bv2MFx3IvmjpwIkxt3XvUens08noRzAmWtpK1vfZ/M+JM9m8r9yrPB9T2fW7XuMtGFM1MIaxtzjj&#10;RQeyL1o6gI+pivgCXQnGREtb+TZ3K5ufer71b6Lnqcr9LhhTtTAm0RyQ/UIHUdGAYIzQVlS0JdcV&#10;2oIGBGOEDgQLhAaipAHBGKGvKOlLri30JRgjNCA4IDQQJQ0Ixgh9RUlfcm2hL8EYoQHBAaGBKGlA&#10;MEboK0r6kmsLfQnGCA0IDggNREkDgjFCX1HSl1xb6EswRmhAcEBoIEoaEIwR+oqSvuTaQl+CMUID&#10;ggNCA1HSgGCM0FeU9CXXFvoSjBEaEBwQGoiSBgRjhL6ipC+5ttCXYIzQgOCA0ECUNCAYI/QVJX3J&#10;tYW+BGOEBgQHhAaipAHBGKGvKOlLri30JRgjNCA4IDQQJQ0Ixgh9RUlfcm2hL8EYoQHBAaGBKGlA&#10;MEboK0r6kmsLfQnGCA0IDggNREkDgjFCX1HSl1xb6EswRmhAcEBoIEoaEIwR+oqSvuTaQl+CMUID&#10;ggNCA1HSgGCM0FeU9CXXFvoSjBEaEBwQGoiSBgRjhL6ipC+5ttCXYIzQgOCA0ECUNCAYI/QVJX3J&#10;tYW+BGOEBgQHhAaipAHBGKGvKOlLri30JRgjNCA4IDQQJQ0Ixgh9RUlfcm2hL8EYoQHBAaGBKGlA&#10;MEboK0r6kmsLfQnGCA0IDggNREkDmWAM50qTPhAaEBpIRQNRYphcW76RQgNCA0IDQgNCA0IDQgNC&#10;A0IDQgNCA0IDQgNCA0IDQgNCA0IDQgNCA0IDQgNCA5WbBo5RSh2vG79jdWP9/wAAAP//AwBQSwME&#10;FAAGAAgAAAAhAFJLi/HdAAAABwEAAA8AAABkcnMvZG93bnJldi54bWxMj0FLw0AQhe+C/2EZwZvd&#10;xEQtMZtSinoqgq0g3qbJNAnNzobsNkn/veNJT4/hPd77Jl/NtlMjDb51bCBeRKCIS1e1XBv43L/e&#10;LUH5gFxh55gMXMjDqri+yjGr3MQfNO5CraSEfYYGmhD6TGtfNmTRL1xPLN7RDRaDnEOtqwEnKbed&#10;vo+iR22xZVlosKdNQ+Vpd7YG3iac1kn8Mm5Px83le//w/rWNyZjbm3n9DCrQHP7C8Isv6FAI08Gd&#10;ufKqM5A8SVBE+MVN0lQ+OxhIk3gJusj1f/7iBw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CrCEe2eQMAAAYIAAAOAAAAAAAAAAAAAAAAADwCAABkcnMvZTJvRG9jLnht&#10;bFBLAQItABQABgAIAAAAIQCMvlzSJHAAAMjVBQAUAAAAAAAAAAAAAAAAAOEFAABkcnMvbWVkaWEv&#10;aW1hZ2UxLmVtZlBLAQItABQABgAIAAAAIQBSS4vx3QAAAAcBAAAPAAAAAAAAAAAAAAAAADd2AABk&#10;cnMvZG93bnJldi54bWxQSwECLQAUAAYACAAAACEAjiIJQroAAAAhAQAAGQAAAAAAAAAAAAAAAABB&#10;dwAAZHJzL19yZWxzL2Uyb0RvYy54bWwucmVsc1BLBQYAAAAABgAGAHwBAAAyeAAAAAA=&#10;">
                      <v:shape id="그림 4023" o:spid="_x0000_s1116"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NnxgAAAN0AAAAPAAAAZHJzL2Rvd25yZXYueG1sRI9PSwMx&#10;FMTvQr9DeII3m9jWsqxNS1FKV2/9o14fyXOzuHlZNrHdfvtGEDwOM/MbZrEafCtO1McmsIaHsQJB&#10;bIJtuNZwPGzuCxAxIVtsA5OGC0VYLUc3CyxtOPOOTvtUiwzhWKIGl1JXShmNI49xHDri7H2F3mPK&#10;sq+l7fGc4b6VE6Xm0mPDecFhR8+OzPf+x2toDoWRrlLFdvZavby/PX5+tGar9d3tsH4CkWhI/+G/&#10;dmU1zNRkCr9v8hOQyysAAAD//wMAUEsBAi0AFAAGAAgAAAAhANvh9svuAAAAhQEAABMAAAAAAAAA&#10;AAAAAAAAAAAAAFtDb250ZW50X1R5cGVzXS54bWxQSwECLQAUAAYACAAAACEAWvQsW78AAAAVAQAA&#10;CwAAAAAAAAAAAAAAAAAfAQAAX3JlbHMvLnJlbHNQSwECLQAUAAYACAAAACEAUg2DZ8YAAADdAAAA&#10;DwAAAAAAAAAAAAAAAAAHAgAAZHJzL2Rvd25yZXYueG1sUEsFBgAAAAADAAMAtwAAAPoCAAAAAA==&#10;">
                        <v:imagedata r:id="rId63" o:title=""/>
                      </v:shape>
                      <v:shape id="Text Box 88" o:spid="_x0000_s1117"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JHwgAAANsAAAAPAAAAZHJzL2Rvd25yZXYueG1sRE/Pa8Iw&#10;FL4L/g/hDXYRTd1EpDOKyAZuF7F68fZonk235qUkqdb/fjkIHj++38t1bxtxJR9qxwqmkwwEcel0&#10;zZWC0/FrvAARIrLGxjEpuFOA9Wo4WGKu3Y0PdC1iJVIIhxwVmBjbXMpQGrIYJq4lTtzFeYsxQV9J&#10;7fGWwm0j37JsLi3WnBoMtrQ1VP4VnVWwn533ZtRdPn82s3f/feq289+qUOr1pd98gIjUx6f44d5p&#10;BYs0Nn1JP0Cu/gEAAP//AwBQSwECLQAUAAYACAAAACEA2+H2y+4AAACFAQAAEwAAAAAAAAAAAAAA&#10;AAAAAAAAW0NvbnRlbnRfVHlwZXNdLnhtbFBLAQItABQABgAIAAAAIQBa9CxbvwAAABUBAAALAAAA&#10;AAAAAAAAAAAAAB8BAABfcmVscy8ucmVsc1BLAQItABQABgAIAAAAIQAADQJHwgAAANsAAAAPAAAA&#10;AAAAAAAAAAAAAAcCAABkcnMvZG93bnJldi54bWxQSwUGAAAAAAMAAwC3AAAA9gIAAAAA&#10;" stroked="f">
                        <v:textbox style="mso-fit-shape-to-text:t" inset="0,0,0,0">
                          <w:txbxContent>
                            <w:p w14:paraId="5BE74065"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H</w:t>
                              </w:r>
                            </w:p>
                          </w:txbxContent>
                        </v:textbox>
                      </v:shape>
                      <w10:wrap type="square"/>
                    </v:group>
                  </w:pict>
                </mc:Fallback>
              </mc:AlternateContent>
            </w:r>
          </w:p>
          <w:p w14:paraId="29158E9B"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Zdjąć osłonę</w:t>
            </w:r>
          </w:p>
          <w:p w14:paraId="3B0C9E03" w14:textId="77777777" w:rsidR="002E5800" w:rsidRPr="008F328C" w:rsidRDefault="002E5800">
            <w:pPr>
              <w:pStyle w:val="a3"/>
              <w:rPr>
                <w:b/>
                <w:highlight w:val="lightGray"/>
                <w:lang w:val="pl-PL"/>
              </w:rPr>
            </w:pPr>
          </w:p>
          <w:p w14:paraId="6E169A6D" w14:textId="77777777" w:rsidR="002E5800" w:rsidRPr="008F328C" w:rsidRDefault="000E0B7C">
            <w:pPr>
              <w:pStyle w:val="a3"/>
              <w:ind w:left="411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Zdjąć osłonę, przytrzymując korpus ampułko-strzykawki jedną ręką. Delikatnie ściągnąć osłonę prostym ruchem drugą ręką.</w:t>
            </w:r>
          </w:p>
          <w:p w14:paraId="742F306B" w14:textId="77777777" w:rsidR="002E5800" w:rsidRPr="008F328C" w:rsidRDefault="000E0B7C">
            <w:pPr>
              <w:pStyle w:val="a3"/>
              <w:numPr>
                <w:ilvl w:val="0"/>
                <w:numId w:val="0"/>
              </w:numPr>
              <w:ind w:left="1384"/>
              <w:rPr>
                <w:highlight w:val="lightGray"/>
                <w:lang w:val="pl-PL"/>
              </w:rPr>
            </w:pPr>
            <w:r w:rsidRPr="008F328C">
              <w:rPr>
                <w:b/>
                <w:highlight w:val="lightGray"/>
                <w:lang w:val="pl-PL"/>
              </w:rPr>
              <w:t xml:space="preserve"> </w:t>
            </w:r>
          </w:p>
          <w:p w14:paraId="51617D92" w14:textId="77777777" w:rsidR="002E5800" w:rsidRPr="008F328C" w:rsidRDefault="000E0B7C">
            <w:pPr>
              <w:pStyle w:val="a3"/>
              <w:numPr>
                <w:ilvl w:val="0"/>
                <w:numId w:val="17"/>
              </w:numPr>
              <w:ind w:left="4477"/>
              <w:rPr>
                <w:highlight w:val="lightGray"/>
                <w:lang w:val="pl-PL"/>
              </w:rPr>
            </w:pPr>
            <w:r w:rsidRPr="008F328C">
              <w:rPr>
                <w:rFonts w:eastAsia="Times New Roman"/>
                <w:b/>
                <w:bCs/>
                <w:highlight w:val="lightGray"/>
                <w:lang w:val="pl-PL"/>
              </w:rPr>
              <w:t xml:space="preserve">Nie </w:t>
            </w:r>
            <w:r w:rsidRPr="008F328C">
              <w:rPr>
                <w:rFonts w:eastAsia="Times New Roman"/>
                <w:highlight w:val="lightGray"/>
                <w:lang w:val="pl-PL"/>
              </w:rPr>
              <w:t xml:space="preserve"> zdejmować osłony, aż do momentu, gdy pacjent będzie gotowy do wykonania wstrzyknięcia. </w:t>
            </w:r>
          </w:p>
          <w:p w14:paraId="241B17E4" w14:textId="77777777" w:rsidR="002E5800" w:rsidRPr="008F328C" w:rsidRDefault="002E5800">
            <w:pPr>
              <w:pStyle w:val="a3"/>
              <w:numPr>
                <w:ilvl w:val="0"/>
                <w:numId w:val="0"/>
              </w:numPr>
              <w:ind w:left="1384"/>
              <w:rPr>
                <w:highlight w:val="lightGray"/>
                <w:lang w:val="pl-PL"/>
              </w:rPr>
            </w:pPr>
          </w:p>
          <w:p w14:paraId="3E70551A" w14:textId="77777777" w:rsidR="002E5800" w:rsidRPr="008F328C" w:rsidRDefault="000E0B7C">
            <w:pPr>
              <w:pStyle w:val="a3"/>
              <w:numPr>
                <w:ilvl w:val="0"/>
                <w:numId w:val="17"/>
              </w:numPr>
              <w:ind w:left="4477"/>
              <w:rPr>
                <w:highlight w:val="lightGray"/>
                <w:lang w:val="pl-PL"/>
              </w:rPr>
            </w:pPr>
            <w:r w:rsidRPr="008F328C">
              <w:rPr>
                <w:rFonts w:eastAsia="Times New Roman"/>
                <w:b/>
                <w:bCs/>
                <w:highlight w:val="lightGray"/>
                <w:lang w:val="pl-PL"/>
              </w:rPr>
              <w:t>Nie</w:t>
            </w:r>
            <w:r w:rsidRPr="008F328C">
              <w:rPr>
                <w:rFonts w:eastAsia="Times New Roman"/>
                <w:highlight w:val="lightGray"/>
                <w:lang w:val="pl-PL"/>
              </w:rPr>
              <w:t xml:space="preserve"> dotykać igły. Może to spowodować ukłucie igłą.</w:t>
            </w:r>
            <w:r w:rsidRPr="008F328C">
              <w:rPr>
                <w:rFonts w:eastAsia="Times New Roman"/>
                <w:b/>
                <w:bCs/>
                <w:highlight w:val="lightGray"/>
                <w:lang w:val="pl-PL"/>
              </w:rPr>
              <w:t xml:space="preserve"> </w:t>
            </w:r>
          </w:p>
          <w:p w14:paraId="767DA706" w14:textId="77777777" w:rsidR="002E5800" w:rsidRPr="008F328C" w:rsidRDefault="002E5800">
            <w:pPr>
              <w:pStyle w:val="a4"/>
              <w:rPr>
                <w:rFonts w:ascii="Times New Roman" w:hAnsi="Times New Roman" w:cs="Times New Roman"/>
                <w:highlight w:val="lightGray"/>
                <w:lang w:val="pl-PL"/>
              </w:rPr>
            </w:pPr>
          </w:p>
          <w:p w14:paraId="1CA009F6" w14:textId="77777777" w:rsidR="002E5800" w:rsidRPr="00F90B57" w:rsidRDefault="000E0B7C">
            <w:pPr>
              <w:pStyle w:val="a3"/>
              <w:numPr>
                <w:ilvl w:val="0"/>
                <w:numId w:val="17"/>
              </w:numPr>
              <w:ind w:left="4477"/>
              <w:rPr>
                <w:highlight w:val="lightGray"/>
                <w:lang w:val="pl-PL"/>
              </w:rPr>
            </w:pPr>
            <w:r w:rsidRPr="008F328C">
              <w:rPr>
                <w:rFonts w:eastAsia="Times New Roman"/>
                <w:highlight w:val="lightGray"/>
                <w:lang w:val="pl-PL"/>
              </w:rPr>
              <w:t>Nie nakładać ponownie osłony na ampułko-strzykawkę. Natychmiast wyrzucić osłonę do pojemnika na odpady ostre.</w:t>
            </w:r>
          </w:p>
          <w:p w14:paraId="69A1884B" w14:textId="77777777" w:rsidR="0032285D" w:rsidRDefault="0032285D" w:rsidP="00F90B57">
            <w:pPr>
              <w:pStyle w:val="a4"/>
              <w:rPr>
                <w:highlight w:val="lightGray"/>
                <w:lang w:val="pl-PL"/>
              </w:rPr>
            </w:pPr>
          </w:p>
          <w:p w14:paraId="4D7D968D" w14:textId="364C4F6E" w:rsidR="0032285D" w:rsidRPr="008F328C" w:rsidRDefault="0032285D">
            <w:pPr>
              <w:pStyle w:val="a3"/>
              <w:numPr>
                <w:ilvl w:val="0"/>
                <w:numId w:val="17"/>
              </w:numPr>
              <w:ind w:left="4477"/>
              <w:rPr>
                <w:highlight w:val="lightGray"/>
                <w:lang w:val="pl-PL"/>
              </w:rPr>
            </w:pPr>
            <w:r w:rsidRPr="006C0E92">
              <w:rPr>
                <w:highlight w:val="lightGray"/>
                <w:lang w:val="pl-PL"/>
              </w:rPr>
              <w:t>Prawidłowe jest pojawienie się kropelki roztworu na końcówce igły.</w:t>
            </w:r>
          </w:p>
        </w:tc>
      </w:tr>
      <w:tr w:rsidR="002E5800" w:rsidRPr="00A5286D" w14:paraId="2020A0FB" w14:textId="77777777">
        <w:trPr>
          <w:trHeight w:val="7028"/>
        </w:trPr>
        <w:tc>
          <w:tcPr>
            <w:tcW w:w="9090" w:type="dxa"/>
          </w:tcPr>
          <w:p w14:paraId="7CD99746" w14:textId="77777777" w:rsidR="002E5800" w:rsidRPr="008F328C" w:rsidRDefault="002E5800">
            <w:pPr>
              <w:ind w:left="104"/>
              <w:rPr>
                <w:rFonts w:ascii="Times New Roman" w:eastAsia="Times New Roman" w:hAnsi="Times New Roman" w:cs="Times New Roman"/>
                <w:b/>
                <w:bCs/>
                <w:spacing w:val="-1"/>
                <w:highlight w:val="lightGray"/>
                <w:lang w:val="pl-PL"/>
              </w:rPr>
            </w:pPr>
          </w:p>
          <w:p w14:paraId="428D4081" w14:textId="4C220A76" w:rsidR="002E5800" w:rsidRPr="008F328C" w:rsidRDefault="00F2584C">
            <w:pPr>
              <w:pStyle w:val="1"/>
              <w:spacing w:before="76"/>
              <w:ind w:left="0" w:right="2736"/>
              <w:rPr>
                <w:rFonts w:eastAsiaTheme="minorEastAsia" w:cs="Times New Roman"/>
                <w:highlight w:val="lightGray"/>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289" behindDoc="0" locked="0" layoutInCell="1" allowOverlap="1" wp14:anchorId="50F82B88" wp14:editId="70A5D46C">
                      <wp:simplePos x="0" y="0"/>
                      <wp:positionH relativeFrom="column">
                        <wp:posOffset>61595</wp:posOffset>
                      </wp:positionH>
                      <wp:positionV relativeFrom="paragraph">
                        <wp:posOffset>156210</wp:posOffset>
                      </wp:positionV>
                      <wp:extent cx="2302510" cy="3956050"/>
                      <wp:effectExtent l="0" t="0" r="2540" b="6350"/>
                      <wp:wrapSquare wrapText="bothSides"/>
                      <wp:docPr id="3936" name="그룹 3936"/>
                      <wp:cNvGraphicFramePr/>
                      <a:graphic xmlns:a="http://schemas.openxmlformats.org/drawingml/2006/main">
                        <a:graphicData uri="http://schemas.microsoft.com/office/word/2010/wordprocessingGroup">
                          <wpg:wgp>
                            <wpg:cNvGrpSpPr/>
                            <wpg:grpSpPr>
                              <a:xfrm>
                                <a:off x="0" y="0"/>
                                <a:ext cx="2302510" cy="3956050"/>
                                <a:chOff x="0" y="0"/>
                                <a:chExt cx="2302510" cy="3956050"/>
                              </a:xfrm>
                            </wpg:grpSpPr>
                            <wpg:grpSp>
                              <wpg:cNvPr id="94" name="그룹 94"/>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42DA8D29"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8" name="Text Box 1028"/>
                              <wps:cNvSpPr txBox="1"/>
                              <wps:spPr>
                                <a:xfrm>
                                  <a:off x="31750" y="1727200"/>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B79886"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0F82B88" id="그룹 3936" o:spid="_x0000_s1118" style="position:absolute;margin-left:4.85pt;margin-top:12.3pt;width:181.3pt;height:311.5pt;z-index:251658289"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hOOw7BAAA5QwAAA4AAABkcnMvZTJvRG9jLnhtbNxX3U4jNxi9r9R3&#10;sOZ+ycyEQBgRVikUtBLdRQvVXjseT8ZixnZth4S+TqW+QrvSPlH7Ej32eBISWO2CqpVaJAb/+3zH&#10;5zs2x69XbUPuuLFCyUmS7aUJ4ZKpUsj5JPn55vzVOCHWUVnSRkk+Se65TV6ffP/d8VIXPFe1akpu&#10;CBaRtljqSVI7p4vBwLKat9TuKc0lOitlWupQNfNBaegSq7fNIE/Tg8FSmVIbxbi1aD3rOpOTsH5V&#10;cebeVZXljjSTBNhc+Jrwnfnv4OSYFnNDdS1YhEFfgKKlQmLT9VJn1FGyMOLRUq1gRllVuT2m2oGq&#10;KsF4iAHRZOlONBdGLXSIZV4s53pNE6jd4enFy7K3dxdGX+srAyaWeg4uQs3HsqpM6/8CJVkFyu7X&#10;lPGVIwyN+TDNRxmYZegbHo0O0lEkldVg/tE8Vv/4hZmDfuPBFpx1pYMJ3FeGiHKSHO0nRNIW2vrr&#10;jz///u0jQUOM5T8TnBaswG88YJQeHfCXEwGz3MLwJC7SftUaLTW3C/0KWtTUiZlohLsPeQXVeVDy&#10;7kqwK9NVNpzvp/kW679/IqEJvPtZfmA3jfqwLhW7tUSq05rKOZ9ajayEV/hTGmwPD9WtPWeN0Oei&#10;abwOfTlGhwzeyYAnCOqy60yxRcul6+zC8AaBKmlroW1CTMHbGYeKzJsyAKKFdYY7VvsNK2z8HmA9&#10;0AcdAeUGmA/BIoHIbPmTKqFDunAqmMHzE2icHozzUWCmTwNQaKy74KolvgCoQBSWp3eXNmLrh3jU&#10;UnnCgJkWjdxqQBC+JeD3iGMRAfikggHbnl/UHjH8LI+5rqnmQOmX3ejmaNjn6o03kB/UiqAJUOMw&#10;70PErdAe9eHbO6QbOqIdZaNxlsFsiDeecZbix69Ei96aDrOjwxGuH+9M2X5vTGt7eTavVjWi7LXo&#10;CT9tDLmjuFiWtXA8HtrWqM/wv4nKl9xqtgpONlpTMVPlPZgwCseNCK1m5wIbXlLrrqjBBYVGXLru&#10;HT5Vo5aTRMVSQmplfn2q3Y/HmaI3IUtceJPE/rKg3jCaNxKnjSVdXzB9YdYX5KI9VQg1C2hCEROM&#10;a/piZVT7AXfx1O+CLioZ9pokri+euu7axV3O+HQaBnW+cymvNdwqC6L2xN6sPlCjo9wdzvOt6vVE&#10;ix3Vd2P9uVs9ReKdi5ASntiORYjcV6DtUIo33DcSfJbmUGB3Pa0lHxpfJvphdhglnx3mh3gAbUs+&#10;x3U8SvNO8/k4zYbhLvyXNB8eZXyterfqLBzMP8yMRhLo8WAInE+ZD/IzPMuidW2ngnX3DfezGvme&#10;V0iK8OwIh+sfhJu9KWOw9H7/MNqP6gz76yfG8X5qh+o5u65nhJ2VdOvJrZDKhOh3KCtve8hVNz6K&#10;M8a97QbxGdPr+H/hBsyZb+QHIek/4wB4S4P4rcf6w3o4lM1/Jyf/AAAA//8DAFBLAwQUAAYACAAA&#10;ACEAfH7FvdJ+AADIswcAFAAAAGRycy9tZWRpYS9pbWFnZTEuZW1m7J0JmBXFufcr35d7zRNzbz6D&#10;uTfGqLhgFBRcQUABiSi4QpCgiAiigHHBiBpF3FiDbAPDsAwwwLAz7EbZd5U9ilx3E6O4JEaToI+a&#10;+2DiV78a6tDTnKX6nF7PFM/T9Jnu6u5a3vdf71ZvfUsIcZc89L863xJiuzz0v5Z1hPjmJCHqtrnm&#10;ciG+JbY/fZT4v/Kmo4gq+sRRQlz0bSFukDe26IcPnTe1/Dfx0hf/R3SQf7eVz+t/7m/p68fKd+yQ&#10;R3t54Qx5PCSPl1ZUP1dX7Bb6Pvf072+JuvKvw+XUH4f+++abb4Q9bB9YGrA0YGnA0oClAUsDlgYs&#10;DVgasDRQG2ig7kmnCnvYPrA0YGnAhAZyYSLvyFXG3vdvbv3444/Fbbf1Fj269xRr164XlZWVYtKk&#10;yWLmzEp72D6INQ2YYIVJGYsn/uEJfXnUUd8WjS+8UDz11HB72D5IDA2YYIVJGYsn/uLJCSeeKI6t&#10;UycxdGRxz+I+NGCCFSZlLJ74iycjR41VMsqgQQMtplj5JDE0YIIVJmUsnviLJ9hQ0Hn63XdvYmjJ&#10;yihWRjHBCpMyFk/8xRP6E52nTZvLLJ4UIJ8MfPIx8diAR0I5LJ5afSfOONikSVPRrFnTROHJ8N8M&#10;FYOljsYxcODjYsAjD6vjwQfvF/fcfVfquPqqKwUHeKmPFi0uEfpo3ry5uLDxBTWOs886S5zx09Nr&#10;HPXq1VNyHLJcXI+jj/5ujTrThgZn1a/RtqZNL0q1nT5o/bPWqX7p07tXqt/oR/r00QH9U/08bNiQ&#10;2NCIiexhUibOfJnUut16623i+ON+HDitODHg0Uf6K3rVvN+xYwdF15dd1lrR+yWXXJzig0aNGqb4&#10;BJ7xk595X4MG9WscTaS/q/WlrY44OnX8uch09OjeTfTp3Tvwo+etPTLWof111xxR5yZNLqzRth8e&#10;e2zB/VfnB8eo8WjU8Gw1Ro3lN8CmVq1aqTHsLvuCcb2/36/UGA8a9KQYNnSwr/RlghUmZZLKs3Gu&#10;94oVzygae+LxR43GfOiQQSmZoF+/+xTtdO7cSdESdHXxxYfnfObIk+uenBcNn3nGGYoXzjvvnBSf&#10;wDPwdJcbb6jBu2Wl4wRH+aQJYsG8Oanj2aeXC471a1eljj27doq9v9tjD9kHmzeuT/XLooXzU/1G&#10;P9Kfw+RYa5zs2uVG1fft2l6hxuOC889T43PqKebjCz0wrsiE0Am4jfwI/mDDY55B5syl05lghUmZ&#10;OPNlUuv21Vf/EN/5zr+L6665Wo3rjZJX21z2MzXnNGnSWJx7TiM1HyHDmMoGes5viUwtaQYM6Nyp&#10;U4o2R40coeh1duUMRcMrli1VdL1x3VrL5wnFum3PbVVjuHTRQjWmU8sni7ElJWrMwaKOHdorWrj4&#10;4mYKh3LJmuiYyKbIP61atlTzFbiDHmaCFSZlksqzca/3ueddkBYrkI+Ra8GEy6SuDS4g2/e95x6F&#10;B8xhyAPLlixStLRrxzaLBwnFgyhktuc3b1LyIzQE/iAPaZ0OmmNeOuEnJxxBmyZYYVIm7nyZ1Pp1&#10;vqGLGrOr2rUTffveI+eV0WL3ju0WGyw2xIIGkH2mTysXD//6ftHuijZWPklIrpc9e3Yr3XX69IpY&#10;0FEUc6b9ZvxtSyayh0mZpM7/Sao3trAJZWUWT6xsElsaMMEKkzJJ4suk1nXSpHIxcuRT4sU9u2JL&#10;T1aGiL8MEeQYmWCFSZmk8miS6r1hw0al82yRtrIgacK+u3ZjQiHjb4IVJmWSxJdJrevvf/+2wpNV&#10;K5+xeGJ1nljSgAlWmJRJKo8mqd4fffihwpOl0gdcyBxin7XyR1A0YIIVJmWSxJdJretf//qpwpO5&#10;c2dbPLHySSxpwAQrTMoklUeTVm98POWTJ8eSloKa8+x7kyNPmWCFSZmk8WVS60se2dGjR1k8sfJJ&#10;LGnABCtMyiSVP5NWb/JTI6Ps3G7j563cEj+5xQQrTMokjS+TWt8vvvhC4cn6tWtiOT9ZHo8fj4c5&#10;JiZYYVImqfyZxHqPHDVSPPP0CosnVueJHQ2YYIVJmSTyZVLrXF4+RSyqWhA7WgpzHrTfiqccZIIV&#10;JmWSyptJrPfChVWiomKaxRMrn8SOBkywwqRMEvkyqXXesGGTKJX5TewcHc85ujaPiwlWmJRJKm8m&#10;sd57X96nbLK7d9p1gbWZd+PYdhOsMCmTRL5Map0///xzhSeb5PrAONKUrVPtlZtMsMKkTFJ5M4n1&#10;PnjwoMKTlc/+1uKJtaHEigZMsMKkTBL5Msl1Li0dL5YttesCrSwUL1nIBCtMyiSZN5NY97lz54nK&#10;mTNjNTdZ3o4Xb0cxHiZYYVImiTyZ5DqvXLna5n60uk7s5hMTrDApk2TeTGLdd+3+ncr9GMUcZL+Z&#10;nxzy/NbnxO6dO2KHAX6OpwlWmJRJIk8muc5vvvGWXceTMPlkVuXMol8nYYIVJmWSzJtJrPv//u8/&#10;FJ4sXGDj7v2cX4N8F3sTrF9b3PssmmCFSZkk8mTS6zxmTImNk02IjIKew16uVt/5xmjPr6TzZhLr&#10;X1lZqWQUmwslP3tGkLKI+93ECk0pLy9q2wltNpE9TMokkR+TXuenf/uswpO1q1cXPZ26+TNpf0+f&#10;Pl0sk3vLJ63eXutrghUmZZLOm0ms/7Zt2xWe2Li2eMsnO17YpnQdzl75M2nlTbDCpEwS+THpddY+&#10;nrmzZxU9nSaNr5z1JffVxIkTPI3R81u2eCrv/F6Uv02wwqRM0nkzifX/8ssvlXwyddqURNJelHQf&#10;5rcrplXU0HV279guNm/cKNiXjb2U8COXl08WY8eOVeNJfmB9jBo5UowfP17dnz1rplpjgX4bV5uZ&#10;CVaYlEkiPxZDnUePHi3GjBll8SSmfp7fStlkpPTrgBszpA2ltPRIzAA7SsaWiMmTJolpMk8W+DJv&#10;zhx1Jm8WfuaSkjEpjNFYwzVwaP68OWLlM0+Lbc89FzkdmGCFSZli4M0ktqGiokLRGXNemHOu/VZm&#10;mw371ePPYZ8kzfucR4wYrrABOWPxooVKPkFOMc1jg6+ZHBUrli8V7OkGzowc+VSNbzC3gEG8f/Wq&#10;Z8X2F14IlS5MsMKkTBJ5sRjqvHz504qebL77zPztFfs2yJgzLU+ga6BzOHFB/0ammDChTEyfXiEW&#10;zJ+rdJo1q1cqPk/hx4Txh+SH3wYWe7Lt+ecUNiGnYKcBt3QdOZeWlgpsbGCcF/zy2m+UN8EKkzLF&#10;wJtJbMNzz72gaKc2+CLzoW8vzxC7ypzv5EXwhPkeHQRdhTPHzBnTla4xTubddPMvz1ctnF9DNli4&#10;YH5ocgJyDLiBHRhZCDxxtgmZBtkJGYZ5yFQ+MulLE6wwKZNEXiyGOr/6ymuKVpgfTcbblkkvx2zf&#10;9kJKdxg9eqScz2cLrjn7a/68zH0MXyLTkNcXe8kUaddwPg/eO/92vjeM3+ALuOjEFf2b9oKP63xY&#10;C2CCFSZlioE3k9oG6ML6eNLjhCmvzpA6C/0IX2WyOVQZrpVivod/F86fr2SZpYsXyf1NFsbCXrpn&#10;106xcf06hX3E67p1OWQwdCN8T/nY5EywwqRMUnmxGOrN/l74Gk15x5ariT3kEQBLmL+z9U2+Ogtx&#10;bNqGCrZs2bwp63ey1cHve9iOwZcVK5YrHHHqRuhx/F0p9TuFL1KPyvV9E6wwKVMMfJnUNkybVi3H&#10;5jOf5KKP2nAfXQQ8Wbc287oFbBKLpYxRaH+ALU+vWCHAJnQqvo09tdD3+vk8fmfqiH/b6afG7lIh&#10;Y524t3Xz5rR1NsEKkzJJ5cViqPfrb7yu+KHY18IXyjP4bVibsEDyMvZS7B3YLLGvgifM05m+wfzM&#10;85nu53sd2WjJ4iqFLdQlShtLpjaAd2AI+pHTP41vGsyhT+k7ZB0TrDApUwx8mdQ2vL//PcUPyNSZ&#10;aKK2XkeuwB7g5AOwI90xfnxpWtsJ75g5Y0bgfYvNBYzTcksc1/vQF8TO0af4yp39OHLUKIsn33wj&#10;koojut6ffvqJGlfr46lpFwFDWderaR4/BvYL5lp4gfNUaTPhui6Db2bj+vU1sIN3wOthYvLaNWvE&#10;OBnfsnrVylC/67WNyFPYmrVeZCJ7mJTRtG3P0eAT/JDLnuiVVpJenvgt+qWkpETZG532Jfy7yAH4&#10;O/DHsCYGmwb+XmyQ+HLmS/8MMWJrI+Jp6ovMOXtWZbWdJQbx9JloQvehCVaYlLE4Eg2O6H4nV5v1&#10;8RyWT+BF5O+SktFpdRj44jlpU5ws47o4O/kEXwcyiVtOcZYJ+zf2T+wU6BnZ7MZh18v9PROsMCmj&#10;6dqeo8GV5ctXqLnYOQe7x7o2/Y3fBNkEGSVbu7FRYA91l0FuQTdasqhK2Rnd96P6G5sntmHsOZyp&#10;Z1R1SfddE6wwKWNxJBoc0f1+4MABxT/Wx1MtoxCfRvxErlhyYl5Zc5OON7i2eeMG5f+Jm0+XujHW&#10;c6QuxFpk/ESZ2hDmdROsMCmj6dqeo8MV5mPm5TDpJ67fmjq1PGcehy3SxjpBrtdjzs/WDmQ+bC1x&#10;1TPwuTDurNWhTdnaEvQ9E6wwKWNxJDoc0X1fXj5FrXMNmmaS8H4dU5KtrthavcgdYBT+3GzvjPLe&#10;rh07FD6ScyWqephghUkZTdP2HB2uVFUtsut4pB4AL7F2FnktU4waOJJtfV86fkQO0PEh/E5XJqxr&#10;mWQq9DtkFdYhcc6l7/ldXxOsMCljcSQ6HNF9v3nLVhUH4DeNJPF9xIuAJ+QdctcfLIDf8rVdg0U8&#10;vzWidTjE0eLLdrfL/Te6DzoQcTaZ8Mf9TKF/m2CFSRlN0/YcHa7s2/eK4qG45hYtlFb186wv4cAe&#10;yTlTe4lZIy6WMvrZTZLH8I08v3Vr6pq+5+UMf7I3Y5i6BfgHPniNh6HN6H+5fF1e2p+prAlWmJSx&#10;OBIdjui+13uQxtVumIkGTa4jUxD/O1quGUHucB/EmpB/Fb5BzmcN77rVq1Q5cpGg/xC7wT0/5+o1&#10;Mqcittqg190Qb1dZOSNjLI1JH9IfYCl9EZS+ZoIVJmU0TdtztLhC7gLkYRP6SlIZbKduDCEWzX3N&#10;+Xf55ElK/+Pa6mefCaxPiHvjG0H56skDS944vzBrnYzlnzixLJDYFROsMCljcSRaHNH9P2XKVLV+&#10;NklYkauu2CmIJRknc/2ky8OBvoMegE0DGSRdDlX0HmJJcn0r3/vwOvZdv3UKdDXa5nfcGrYVZDlk&#10;lnzbnO45E6wwKaPp2Z6jxZXFi5cI/Jrpxjqp12ZKOZ/5HztAtjZgo0SfoQxxr8hp6EBaZmFtTlBy&#10;vq7XGhmzCqb58R3egY7jx7t0/dxnvVbYL9nKBCtMylgciRZHdP9v3fq8XC87KivfuWkq7n+TkxBc&#10;yFVP7CLgySJpJ3WWRWZg/esIKaOEkdMB/0/lzJkFr//B3uu0JTvb5Odv7LxgL7YVdKtC3m2CFSZl&#10;ND3bc7S4sn//fjUfRx0nWQhNOp9lHTDyBfmPnNez/V6OPdYly6AvwOesIc4Uk5LtnfncY/0ePOqu&#10;i8m7eCaK2DnwZFZlZfV6bCkfmdTVWcYEK0zKWByJFkd0/x88eFDxHzThHOek/tZ4gk/CtA3VvtzM&#10;+INeFBamgGPkiWRtoRe/Emtywo5Fc/YvNqtqn9hshcHIePjMnL753TuPXItoghUmZTQ923P0uELu&#10;AnLxOOkjqb9TcWnSJmHaBuLOs83t8Dj+Er9tnNnqRw6EeWli6zI946Vspnf4dZ1+UrmnZO5YnTcJ&#10;mZG9Ud3fMMEKkzIWR6LHET0GOj+1cy5xj3uS/sZ+wv5TpnWG9nPpGMgn2DjCxBRsFErukPaKbG3B&#10;npHUGCITrDApo2nZnqPHFb0HaVJp0s1r5J3DX5xpXxxnefy2xJc5r2X6TR4lYt3C0n2oBzYc8q0h&#10;P+Ub75+pPXG4boIVJmUsjkSPI3oMUnuQSntgHGis0DpgI0S+JqYt27vg1TKZf8BrLhBstMS1ZHu3&#10;3/eIgQNXvMbO+10Pv99nghUmZTQt23P0uPLxxx8r/sO34De9RPU+cs+DKYuqFqS1U2LrJFYjX/8q&#10;fmYduxJmG011oDDrVMi3TLDCpIzFkehxRI/B119/rXiPvbwLoY0on0W3IdaKNTtlsh3YAck9TwwJ&#10;8a9cd8a3IWMUGv+KfljtV/HuJy2kr7QO5HdsbSF1yvdZE6wwKaNp2Z7jgStlZRMUpuRLF1E8h18G&#10;DMGmgSyiD+LYsZsiP3ANbCE/M/tLUZb7fskWxImWy3dG0X58OqxJ8mudThRtMMEKkzIWR+KBI3oc&#10;Zs2apXgvX/k/aFqkXhzk5OcAJ6r3yx2n9v3AXomd1Ol/QafR++mAKdg8Nm3YqPK/eontyNU2Yl7Y&#10;X541vbnK+n0fPCNeHz3Izzb5Xc9M7zPBCpMymo7tOR648swzKxWPFho/nYluCr1OrBaHxhUnbmR7&#10;NzyGHVPjD77hbOULuce7yW9fyDvyfRZcYR1gXMcvU7tMsMKkjMWReOCIHoddu3+neA77ZaaxT/J1&#10;+Iz1feCKl9hZr21GVkGfikpWoJ3EOiOvefVbeW2rH+VNsMKkjKZje44PrsBryO1+0Ekc34HNFlst&#10;7STmJCiex84b5PtN+hY5btmSpUoX2rAu877tJu8KsowJVpiUsTgSHxzRY0FuJewMQdJP1O9mLb+2&#10;32JbCcqWSewbmGKqlwXVL2AmNmtie+1+XvHjOc17xXieNKlczd1R80BQvKXfS/vATeQU9jYPClPQ&#10;PcJe96PbmO6MHkZ7ybeW7n4U10xkD5MyxciPSW/TBun7gMdYUxcFbYX5zU0y3pS9immvyo0odaEg&#10;vg+mRK37ONul9CDpR8cnFAc9yAQrTMoknfeKsf5//OM7ir+C9IE4aTvq3+gkrHkFU8gN6d7n3K/6&#10;ad0nKHtNPvWkLviYwRUwL593+PGMCVaYlClGfkx6mz755C+Kt9LtQeMH7cT1HexhQSwLufCDWuuH&#10;jRa/dRz7ADwhNg59KGyfkAlWmJRJOu8Va/2Zq01yJcaRLwqpE7Hz5DkgD3VQa/3AKuL8C6lnkM+y&#10;fhmfEHEsufI3+FUPE6wwKVOs/Jj0do0ZM0bxlV/0kqT3wEPapoIexDoZv+sPprDmJ842b+IG0XnJ&#10;Z49OFGSeBBOsMCmTdL4r1vovWbJM6TzY7fzmpSS8jzhTZDRlp5W5DIKoMzyKDZj1R0G83693gnnE&#10;xZG7LygbvQlWmJQpVn5MersOHDigeKlYcivlw1srli9Xeg+YQg6HIOyoev++Qvcxzad9Xp8hDjAo&#10;W7UJVpiUSTrfFXP9S+R6O3Kte6W7YipPTAp53sAU4t+CkPnRKxayB5Ds6yAwKwnjYYIVJmWKmR+T&#10;3ra5c+fJdbkVtRpP4EV4nNgRMIX8TEHJEuRlIbeT33vvWTyx8bBxwKI1a9bJtXNjaz2eaH5EftD+&#10;ZPKmBCVLkB8J/UrlipWyi/5+MZ9NZA+TMnHgG1uH9Pi9c+duNScHIeMnlTewd+BPRlZh33STXNf5&#10;tpW9bJCL8N0W+xiYYIVJGcvL6Xk5Dv3y2WefKb4hB3K+PFGMzyE/gCcKU0LIycY6myB9K3EYIxOs&#10;MCkTB76xdUiPaf/65z9l3tURal1qHGguTnXAn6xzXbNmNyjdR7cZOYicNGpPz+VSXsljT0/9rjie&#10;TbDCpIzl5fS8HJd+mTJlas79JuJIn2HUCZ6eNnVKKLqPsz3oQfiDOPjtvJfU3yZYYVImLnxj65Ee&#10;15YuXVEr4+5N+RK5hNh5dJ+SkhKBLhS0rKLrBp6tkLIK64GwDz+/ZUtiscUEK0zKWD5Oz8dx6Rf2&#10;+ML+qGnYnvek7Qu9lhBcQWYJ236q8g9I/xNrOFl3FBam+UUPJlhhUiYufGPrkR7X3nzjLTX3kg/V&#10;L9op1vcgI2g7bbo9v8NqN+uDJ04sCyw/VBDtMMEKkzKWj9PzcVz65R//+ErxCH7LIOgoju/E1prP&#10;nvDIBKz51/mu0UOikhOwq8yX9hXst2HqYPmOpwlWmJSJC9/YemTGNeLuyQ8YFW/kS6P5PEfO+0Lz&#10;3u94YVsqNy0x+kHGqJi0kbXM1XEs8d1L3QQrTMpYPs7Mx3HpG+Y55Pig1paa8EQYZfzAEl1PsFev&#10;+8FOG4d9tsiRBK6Ql1rXMy5nE6wwKRMXnrH1yIxrGzZsUnhSrPkf0W3KZE6CQuUSN286MQU8JjeB&#10;c+9kd/mw/kb/wb4Sp1wUJlhhUsbycWY+jkvf7Nv3yiEbyqzYzWuF8qDGkqDW4YMp1fbRCWrtD7hC&#10;fqKodSDWTZN/rdD+8+t5E6wwKRMXnrH1yIxrX335pcKTqPb79otm070HuSQoLHF/zxmnjz2Kvdnd&#10;ZcL8u2rh/NjkhzPBCpMylo8z83Fc+uZf//qXYI+v0aNHRUr/fvOan/aSdHWbP3fOEf21QdpGJ0wo&#10;U/g8ctQoJavgT0r3fNDXsOnERecxwQqTMnHhGVuP7Lg2Q66fR1YPIpdq0HzD+59evkysX7sqxbdB&#10;Y8ldv7xDHHXUt8UTjz6S+qaznU6/Mv2K7Bc2rrBWeofUe5z1iuq3CVaYlLF8nJ2P49I/zzyzUuFJ&#10;UDnfC6XjtatWim43dxUnnnSS4uOrrmwn/VHrxXaZS/rKdleoa/D38cf9WNzQ+RcCWb/Qb2Z6XmMJ&#10;3+N3pnJrVq9UNhXstORViQpXMtUvzOsmWGFSJi78Epd6/O1vfxN//vPHgrjU115/Q5CDhGP7jp1i&#10;3boNRxzEw+/a/Tvx7rvvia+//qcIqh18A3pfELN9Hohrv7/ffeL73/9PhRnNmzcX9U47Tf3m3KRx&#10;Y/X7jt69RfdbbhZnnnGG+nus3BPQb35ZLf0mTZpcqN6fC0vQM7ChLF1cneMRXy52Wo0r3Js/b07k&#10;dlu/+yjd+8gbZYIVJmWCov+4vPfTTz4Vf/jDHwU+Eo0JzPVLly6T68gWyvUWc8RsGRMwQ+ZVZI82&#10;5HDittFtOZCBOYj9gAadB/Y87uHHZb6dXlEhZsyYLpYvf1p976uv/uErvqj5c/Jk3/kwHY2ZXCsr&#10;HafkDXi3UcOzpV1ivHhM6hfw4jVXX53i6zuljPDGa6/KfGdLxJpVz6jrnTr+3Nd2gCXHH//j1Dez&#10;ySW0jTg38g+424nfBxyhDfQ3+wAVI65Az7QfmoeGTbDCpExc+L7Qeuzfv1/sfXmfWLt2vZg5s1KM&#10;GVOi6AGamCx5cKbk86oFCwRyeZA2MPZewD/Jd6kDsk2hbdPP8072D3fzQBR/o8tomaTh2WeJvS+9&#10;KB5/bIB4+KEHxaMDamJK+2uuVljyyr694p233xInnnCCaH1pK1/b4ZRL+J2tT8hPBU7k2nuHnI/0&#10;OQf4UgzxhNjfiPMj/sXp3zLBCpMymlbjfv7888/F22//XvHnxk1bpHyxQsybN0+QSwfZAj1AyxXs&#10;MbFFrp+I0tZFzDdyC/g/bepUwX466CyFyCzkQoG2w1476+RN7CEczZo1VbJA06YXiX59+4q+99wl&#10;enTvpnSa1q0vlXhxqbilW1dx+un1VLmHH3pIjQnlkWcefvCBrDzv/Gau3057CViCrJLtGeI+kDmy&#10;ldH3sNtiX6HfwSB0orD27NN18OtMboUF8+eKDVIecb/TBCtMykSFI9ga0EX0gXzx4ot7xeYtW5WN&#10;YtWqNRIflkt9ZJ7EixlqHTj9gU08SPnC3c9+/c0Ygi0lY8cpfeiDDz7wLLe8/sbriq6xI/pVLy/v&#10;0TiisaRzp+vFrRJD+vX7lZJL+j/86+pz/4fU+aFfP6jmdY0pPzz2WIUlPM+7vHw7U1knluTScXgH&#10;OI+s4TWerdofVKr6H2wBV8LeYzhTH/hx3QQrTMoEiSdffPmFsmtiswQfFi9erGwVpXLPA2Ip2AtC&#10;+w1XrFiu8kZs2lBtp4hyDvZjfDK9A1mbtuKfnD1rtpK3vv76ayNsAYOgZfos0/uDuq6xBNmCAyzp&#10;ffvtUrfpLwY8Io8BD9fAFK6j+/Tv/7B49JGHU3LK9753tNQ5n/Wl/l6xhL5BZkTez6efiLUFV3RO&#10;OGy3xYIrJlhhUsYvPEHO2LPnRYGtk/Vrc+bMVvHEWqbAXkmuGXSSYtBD86FHnkFG0c+ypn3ypAmi&#10;rGyCshnnGotP/vIXhSdTp01JvUO/K8gzthKnTAKW9OnVS+EFtpJHwZM0mNL/kJxyZbt2NeQU/D68&#10;M986e/HjuL+BTQRMcV/3+jc2TOYE8B1c4Xcc1hx6bYcub4IVJmVy0XCu+9hA58p9pdFHiWd26yJr&#10;ZK4q8lAkVefU/e3HmbUq4Cn70WELY65D1hgj5e9x40qVLIef2nmw76geg4MHD1bTr9TjK6W8zfO5&#10;bIqF1hsfjra7giP9pR2EY9fOnYqPDssgNTElJa9ITGl+cTPxiJRT0DOIS0G+6SP9x/nUzasfx/0N&#10;YmORgd3X8/17w7p1omJahRoXsIXcK3FcP5yrfSZYYVJG06rJGZsHNlHiMObMniNlkex2L+id+SBX&#10;W2rLffz8ZePHK7sePif+Zl0YGJwJF8jLxnzKMU/6jUpKxqZoF/rlINdhEH3o9OFgR721+y3i9dde&#10;UQd+mg2H/CTapzOgf3+l/yCX9O17T0oH6tHjFhWjgiwzSubrB0+GDBqYV529+HHS9clYmUvGPeel&#10;K+f1GjI379ZjkjS6N8EKkzK5cITYrm3btkvbxxLlp2A+JT8MumS2PmceJjcVc3G2csV2DxkEeyl7&#10;2aH34TvmjL6H3YT5LN8+Qc7j/eA0PgrWn0C/yNvokrnGxEtfO+0lYMmdd/RW8jw44jzAFL6fwhRp&#10;K8F2onUdbLQ9b+0uHnzwfomjI1LxbOnW1uSqn9NeYuLHSfe+MumrCQJP+BY2P2I6UvuNHdKBwrQF&#10;es23Dz1h0zPBCpMy6fCEGFF8sqwZgW7xv2aaP9ONGetFwRM/6Tvdd6K+9vzWLUq2Jb86uIEvjnaj&#10;WwdBQ+74K/Krgy3YYMCV6dOn+4LdTiyp9uHckhZLoEXkJ3z2w4YOPgJTtM5z9513iqeGDxP3yDOy&#10;Cf4er2PnxBITP47X9/tZHt8R+A7OMi7gPmPn1afktU5gCXNWuuegFXyj0Cd1mzhxQmo+oo4mWGFS&#10;RuMJejqxV8yl4AhzbLHjQbp+z3QNfIB3kc+wFdFPjB1xLpme8ft6Jr8O4wRPQxeF6u5uLMFWgo6D&#10;TEJbiRvhuOuuO6XuVipl0BkqVrDrTV1qyilS99E22m5du4qSMaPE944+WuFJxbRyT32WJCxxjjn+&#10;ZMastLTaz6xjbYNa0zl/7twa8xh0AR/jz+Lb0Ic+xsjxmDq1POUjMcEKkzLoM8SGTZM+A77tRQ5x&#10;9l0x/iZmZMmiKjFP2ps5MxcT/xpVW7OtoWP+gWby9YXSJrcfByx56803Ulii/9bXnHrPsMEDJe3s&#10;roEp+H1uu+1WtU7wJz/5ibLrsuewaf8V4scx/UZY5ZiLdFyc9gfh+8xX93XXG9mH/cW4Tg46ZGX2&#10;SAU/+N6U8vKU7Ixc6X7eBCtylcGPAI4gn7vfXxv/Zj7BRgp+VEkdBn8VfBqXvsiV4x7fxTjpX8in&#10;vun8OBo3sHVoLHFiiPP3AGmD5W8npvS8tUcKS44++ruCb5jWrVA/jul3wi6H7aB8SnlKThgt5QTm&#10;iUJ1IWgWXQY9RssgJXLN5WI5D5rIQ7mwAj0mUxnizPDRICOH3Z9x/B4+FtaHsaYhznuP54oRZz0e&#10;PgavfZzJjwM+gCUdrrsupfM4McT5u2/fu1N2WubHp4YPFe3aXiF0fH2fXrd5qlehfhyvfRB2eXic&#10;8dK8j2y5Wq4ty6ce0K+2AfM+3sV6NS+ydCas0PYQN57g60UeYe0rvkpsM7XZPoIuo2Ls5NpidNx0&#10;axryGdsgnyG3GPJTum/gM4aWxpWOVTFzxG3qNU3449I9wzWnvcTtx8Fe4rSfOPHD+fvVfXvVWkB9&#10;DfsIWIItF/ur1/h6p70kXz9OpvbG6Tr8h71L60GMHxiDfd/EB0UZZJKUfUbafU2fdfeDKZ6QwwP7&#10;yFTWpC2uCtV+6K5z1H8TIwB2EKPKOMZJlzHtG+YB/PCMJdiCrV7nL9RzXbozcVbEFjq/48QStx9H&#10;Y4nWeTRWpDsPHTJI6czcA0vIq6TlkkKwJO5+HGdfFvobzCfXhc6TwBiWy3mfuCOnLoRcA+1WSDtF&#10;yn8k5RHsJYX4FE3xBLorpnVLXsYN/If/8OXOlvM18dCmGAKvPr91aw3+8/LtoMuydhoZBD1tcdUC&#10;FdOGbs6cRewtuKn2ppMxh8xZOlaFvqBubixxyiGmWEI5YtzoVyeWYHstVC6pTVjiphXGcab0m7l9&#10;Ms55AiwBU+h7J96432X6tymemL6vmMrBUypXjJy789Xr0D2JH8umK0TRZ/gDwArsb+nmCeqL3RZM&#10;cdaPdbX4VqBJ/IRt2rRRPK9j6LUc4gVLnBik5RKwBNsr9hIwy1mHTL8L8eP8z8t7xdvSB8VBzqZ0&#10;30Af02Ve+5+X05ZJ91zU15j78AkggzJ3cKh1LVI+YTz9rJ/Fkz1H9Cd2KexQ6JNufsq375n/4+JD&#10;B+OwGa9bk3lvdGSSTG0FZ/Uc16LlJUon0TH0Wo9x/62vu8/OcvRPVLZXcGK2nMsnS7tDOjz5858+&#10;FO/vf1fdpwy4+de//DljH2Xqu2K/bvHkMJ5gF8H3zoE84pdPHxoi1hc5JUp60nFRxCrniqcmB122&#10;uuqcY8THO2Po3bqLGz/039hKOLSOA5Z07XKjL7ZX8jUiq2Srv/seeHL++ecqWcstS7737h9F7163&#10;q3voX/rAj/3m66+Kl178nadvub9dTH8XK55g88jldyLOnfggdBpkQC92kXxoADpdXBVBzhFymUqM&#10;RL9B9jKpu7aPZCqLH0vJKDL+XWOC1nF0HKzGDvdZ44h+Lkw/jlOv0boL5w/ffy+FJ6xh59qbb7wm&#10;9r/7TgrjWrVqpWI1sYcRYweuYC9+f/97Rn2aqS+L6Xqx4gm2Jfy48BF2ROZbDuzXXOMeNm/iRExt&#10;q36M+7Il1ety/HhXrncgX2FHR97yamvjuWzxS06dZ+SIMcrflytWDVzRWKIxRttLwvLjgBN33XmH&#10;uEbmO3AfdX5wjMKIli1bqHurpH0BuRLcICfcu+/8Qezb+5LCDnSfTtd3VPeYi/T1XGNS7PeLFU/i&#10;PG7Qn5cYIa9tceo1+e7BCV4syxCjQn2QtZBPhg4bIq6+qr249pprs8aqufUgcERjSZh+HPBE6zVa&#10;b8l0Zpw+kLLHO79/W7z+6j7xxquv1JBDiPfgWfbvAF+8jlMxlrd4cth+Etb4Ik8Tb+SnfYa6I4Pg&#10;r/Gi12RrM3aWTLiHfwA8+fUDvxYtLm4h2rfvJB5/fGAqtlXLH5zdepDGEeJLwvbjgCfssYEssknK&#10;puAiB2NSv/6ZCh8qZ1aoa6+/mt2Hw1oW8IT3/enD9y2eSBq0eBI+nsDD+I+w3WTjZy/3sCWzJzhy&#10;hZfnspXFJs0cnM4vpeOlfiFl/s6/uFHhCZhSVbXoCEzJ5MPROk7YMfRbt2xSOLBI2rLePOQbdsot&#10;4IuzX7AHfeiSP5BXHnzgfvWeX917r7K3OJ+prb8tnkSDJ8z7eh1nIbTn9En5HUtAvYjDxjbrtG1j&#10;d0I2Gf6boWJAt1tEvz53iOs73qAwpVu3W+W61M0pTHHaS9w+HOb2QuJe8/Hj0Caw4Vq5T1i9eqcq&#10;ueJVGUuSCU8++fhPgvz65IlTdmap+/zh7TeVrfbUU05WeMJ6+kLGsJietXgSDZ5AQ9iG86UlZBt8&#10;tvC7V1ur12+iC1TK2AzmbfzMrBkbLv06g3v0FENuukkM6XpzDUzp1KmL2LF9Rw3bKzqOey1OIVhS&#10;6HocsOG4H/1InHrqKeLll17KiCf4d9izEOxDR7pCxu9d2fZy9ZtryCbYaXWf7pP7kb0n/37hua3K&#10;5vLOW28Krun7xX62eBIdnoAF6XJIZKM5jSN+6krZvqfvYevBr659xIP63isGyHxIQ+74pRjWp48Y&#10;dvfd4uEHHhS9evURv7zzLjF40CCVk495X9tLtH6jccQ07pU6ONf2+RFDT6wreA4mXHH55eKzA39P&#10;2Wmd+g76EPuuU448IOAH+xTedOONykfoxBLiUMAm5J6LLmqsMAcfEtdqS4yKxZPo8AT9xKlHaN51&#10;n5E/wB7kkbBxRNeFOowff2gfKqnnKFyROk+uM7leH5P5o/V+5hpL9HtNzn5jif4mWACmENePfVz7&#10;fZx4gmwxZMhghSfkmNK6ETjzsiuODezs0L69Wl+Hv4f3t7ikubrGPf3dYj5bPIkOT3LRFX7f6riZ&#10;+ZHuNQTupbBEYgjrEPQeauAca0PgNXJHkXuOvFqr5Bpk5Bmdl2eY9Cv36dPbeC0OfVPIepxcfavv&#10;/+Htt1WOFXQZHX/ixBPKrVi2TOFJX7kf6gcSJ8AG54FtlnIfffih0p/03/iXsRmhU3FPf7OYzxZP&#10;4oknrK0hN4Cf/pp86Rh80HJIuj01li5elDF/Md/E7qyfx35sWo+wciF9Ktfh1KlTR2EGeo0bT/bs&#10;2qHuIb+wdsd96NgTbCXodCvZ/0XKNcSukG+Oa9wzbXeSy8UVT2pj7khsFOgzxH0wJxaSh8IPmqQ+&#10;5MomrgseSZdzDjkk1xoCdDqd6wcfrUndnDpOvn4ck+9QBjlC7+eTDk/wB3E906Hj3NCFSmUeqnPP&#10;O1esWL5MDBo4UD3DNe6Z1ifJ5eKKJ6ytTnK/eqk7tgmdO8DvdYhe6uEsyxoV7DXUx3ld/wYjiGlD&#10;39HXsp3JmYyMMnlS7jzSTiwp1I+TrU7Oe++/J9f8yX2UsZ/u2rmjRpuIybujd68j4vN1vL5T9iCW&#10;lnwiHTu0l3sX9hJbZawL15zfKubfccUTYhywHxRz32NrIJ4VO0PQPl8v/Yg9hJiTbPG7yFEL5Xoo&#10;0/dqnSlbXlpsDb1u75mSA/zw45jWD/+Ltom48xVof7K+7z5re4n+FjZcyuCT1tdqyzmueIINkDm7&#10;mMZB6zPkiWSNIrqCiX8nrD5Av6Ju7nyO6b4PPuTKk+98jlxhyCeZ8IRva78segV78zift7/jaedz&#10;j0tc8YR6ovOki/V2tyGuf4Mf2B+RtWgL/o845quGl9FbwIdsa4qd/UzbiMcwlavIewmekNPN+R5+&#10;z5g+Te31p+0TTzz6yBFl3M/Yv+OJL3HGE/JjZMrDHnd6wp5aUjJGTJV+1FXP+rdOx+92g9fkasun&#10;n3kG3cikTtNkP4An5Ilwlt+8cb3an0tjyY2dO9W47yxrf8cTQ5zjEmc8QefxMgc62xX2b/IUabsD&#10;tgdyh1P/sOvh5XvYQPDdsM+Nl+d0WbAIX5T+O9MZGUbnRNb2XWJjnbmswZN8Yt0yfdNejwZ74own&#10;0AT6QhztKORgYh3YfPIzHfJzuOMW4krT2IH9irVFT2J9T7a2spYa2YRvVo/petGgwZnq0HIJZ9bX&#10;NWhQv2iPJx4bkLWfsvVhUu7FHU/oR3wgcYjFwKYItmFnwCcDX8bJnpqL5pCZiGvlnKus6X3sKJly&#10;VyOXMHZgid4PGf2m3mmnpXw4Tjwp9t99evf2rd9NxyfscknAE51vLOy+QV/BhoMtlXUeyOqZ8guF&#10;XTcv38PGSi7stXnuQ5nrW+AsthRieZHZ+M165DGjRyosIVZf637rZdkFUp6rjQdtz9WXSb+fBDyh&#10;j4l10DQZdJ9j/0AGIYeql/jwoOuVz/vXSBsJbQlavsMGA/aCuUuXLlFrBZBL2CfE1AeUT/vsM9HY&#10;STL1e1LwBL42jcXM1Nbadp0YkenTp4c6J6LXgCMcrAWsbX1e29ubFDxhnPBF1PbxMmk/soiO3w8r&#10;dz86lRNL2K+GWHnsJSZ1tmXiJWfkOx5JwhN4BPtfvm2tDc/hawF3w9TT0HP0vsaPPfGg6Nrt5+Ln&#10;nVsrmyu2V4spxYEVJvyTJDxxx0KZtK82lSGXAPlSwvI5sd5YyyS/GT5IPDCgq7ijX2vRoVMLcX3n&#10;NqL99S1TmFIbbJG1idYytTVJeMI+XJnaUZuvo9Pgl8X2GkY/4MfBzqrtJCWTbxNDy88SXXteJq6+&#10;7hIxdPz1ot21F4pOXZuI9h1bKUwh58B0aVtJ8vqJMPo26d9IEp4skOtfkt7fftYfOwn5SSpnzgwl&#10;7xJyD3kHyEcNlowufUSMm3uRmPC0zJcoj9LFx4nb7mwhTjjxBNGlRxv59/Hy3ELc0O3SVLzJNVdd&#10;6SlHm5/9Zd8VvN6VJDxhPZ2liWqaIA6GdTfoN2H1yTwZh6NlkrEVt6RwROOJPo8ov1Zce63Ek0Un&#10;iLJlx4jrrrtcXNvpghSm2DU6wfN1WDTh/k5S8AQ7bBzj7t39GfTfxOCwBzLrZti7Iujv8X7kIGQg&#10;sIQ9d+64q6sYV3V8RjwBV0bN/qm4sXtT8asnThdPzThNdLzhEtHpxjbi2GN/oHCFNcR2HXHx4UpS&#10;8ASdHT9CGPwTt2/gi6XtOvdSWDllwS4wfPSYUQpL+t13rzjuuOMUHvzwh3XE5R1OE09VnJ4VV4ZM&#10;OlPc0quNuKd/Y9G3f0vR/fZ24oS6/6VyypNX3vp+igtTLJ7EczzBEPKmECdPvmf8v2H5bcBT8Evj&#10;CHteXN2uXUquGDd2tDjppJNS+kuLy07NiSvDKxqIdr/4f+KX914nGpx3VOrZpRKv4obftj7580RS&#10;8GTDunUZc5kWw/hv3bxZ2VaxURAfv2zpokjyXSL7lE8pV/II+VsmTiiV+1PVS2GJ7utdO7Ypf81V&#10;Mt+qXsd3yc/OFAPHn5lVXnlgSEMlm5x22qmCw/p78uddPRZxOicFT4pV31kr98VgH3Nsq+tkfHyU&#10;tEEf633OOS+XuQg0VoAbmeo2oWxcqhzlT657snhydNsjcGXUzMvFD445RpWdIdc5c2R6p72eTJyx&#10;eBLeuBEnwno54vKQQVizjL8X2SRK/mG9HnaSkpLRh+SSEjF/7pxUDkaTGNdnf7tcdLu5a41ca+c1&#10;/qno9su6YlTlWQK5RGNJmHmmo+zX2vjtpOAJvMh63ySNEThBzjaNH5zBk7DW1OTqKx1PomPlsZNs&#10;lHYaYl7r1q22jyCXeLGZbpP7gBO31rlTJ3Hcf/93DbkF2cViSXjzV67xD+J+UvCEtpMHLYg+8Oud&#10;+FV1zkctexCTHhf8cLaTek2YUFbtAx4+TNb7GfHXTz+Re9rtF1e0vUrhQKH+XGwj8+ZUil639VSy&#10;y2y5rshZB/u7+LAlSXhCPFvceJO4GOJBWINHzrZNG7LnPoyah7CRsCfGiBEylkTiyFPDh4oDBz4T&#10;33zzjfjswAEpm8wULVq2kntRFX8usajHohi/nyQ8eX7LFuX3iMs4YHcgD9lzEds/TPoDHKmYVqHk&#10;ERWXJrHklFNPFt856t9EVdVi8aHcrxssufa6DqLrTTeJcrk+x+S9tkzxyRiFjGmS8IR2kh8oLj7G&#10;OTI2hLz2hfR/GM86/TY6Xh555MknH1d6TaNzzpW6zyTxi843qr8pY/HE4kQ+tJk0PEEWIPabXG1R&#10;5hHEVjJ/7tzYYwkxcTouDZx4XtpLP/rTR0q/AVPat++oMKTe6aer88aNm8SsWbMsnsi5Kx9+qu3P&#10;JA1P9HgRL8paOHw+8La+HtaZXIrkYQ7re16+g00Hu/DkSRNS+s08acsGP0yOnTt3iwllZbFsm5d+&#10;sGXDx8Sk4ommFWR5YtI3SX+FvhbGGdkoSvkoUxvJYV9aOq4Gjuzf/54RjmisefHFvRn3Gc70XXs9&#10;fN6NY58nHU90n4Ir+ndtOxNHwt7qkydNSuEIus0Lcg2Qxggv5zffeMviidV38uKnYsGT2oYh+M3Z&#10;l4uYdR3XCoag13iVR9xYY/HEyhr58pPFk+TRjrKxHtorCwzRB7ZWNzbk87fFk+TRRL787/dzQeAJ&#10;cyex5sSWkx+QOC9spwtlPBpnjhlyT1t8v8REEAvGQTw66+TDXpvvd5/6/T76U6/7KS0dm8KPwYMH&#10;SZ/vY2Lr1q0FyyRO3LF4YvEkXxr2G0/WrlqlfC7gAjkGnHYNvW+o016o51b3mRyl5ZMnqzVzvCuO&#10;ts98+9zkOdqLHDKlvFyMHPlUCkOGDnxS3NSlizj//PNEy1atfJFHnFjCb4snFk9MaDRdGb/xJN03&#10;4A0d461xAz3fLZ/zNwf3dDnnuWz8eCXDbIh4XX+6NhZ6DZsq/mdkNKdd9TfDhogB990nbu/eXfS6&#10;+irxwx9U50sMCkssnlgsKYSWg8QTcAT+cM6v4MWHH35gNK9STmOME1f4zTuZu5Fdsq3pyXavkH7z&#10;61lywIK1zpiz4UOGiPvuvlv8qmN70bPJOeLa5k3FTc2ahoIlFk8snhRC237jifZdTpNr1t044par&#10;8/k7nfyCbsTa43Q6EXhGnQrpIz+fJdZstdwnh/XHxIxpnBz4wP3ivi6dxZ0tGovrLrhAdGhUX3Q/&#10;r77CktZnn61iV1nvH6RcosfD6jsWU/KleT/xhHU1yAyaR/RZ06nfZ7BFf4MzOcXWr11TAzuQX6LO&#10;V6THhlxs5FB01pnf/TpeJ25vWE/cJvHj5laXiRb1z1R/X9milegmZROdI42z332Y7n0WTyyeaJr1&#10;evYDT9Safbmexs0r8Hs6evX7mhtX8BmRz5m+wFdEnIbXfvGjPP1CnhHWBDhlkWGDB4r7+90n2rW9&#10;QrSVuQF6nltf4QeY0rXphaLn+fVFx2bNRJfzzxJtG5wpjv7udxWmTJo4KZT+tHhi8SRf+i8ET/Bh&#10;4ufV+b2Ya/2Ip8oXb9g/UM/91Ilciug62Cfy7Z98nsNezDed/TJs6GDxYN++4p42F4vbG9VT9hD2&#10;i8C+epnUb26T18ATjlulnHLTBQ0Vllwh8eS/ZJnvfOffxfv7zexO+faffu6119+w6wFtfGxePOMV&#10;T+BP5nvnfKtxxNTOquk2qLPTP8SauOkyhjRInQdZqDov25wjZDT65tEBj4jvHX20qC/zxPeQMofG&#10;jbZSr0GHaSCvY3N1YgoyS9v6Z6iynS84R5Xr1q1HKPIJ6wFtvgIro+Qzl5riCWt4yRHg1Gm0z9e5&#10;/j0ojPD6XvIDaVwhFxn19jPvEXnY0GMmTjy8hlfLRrpfdJ3ffutthQfHytzubaQsovGE81l1T1H3&#10;Gp/dUFwjMaXnBYfxxlnuoobniP/4j++Jv//tb4FjisUTiyX5YAnPmOLJ2LGH4zLhm7BsI5on8z1r&#10;Huc8dmyJYN/ffPuKZ1fIGDP2t3C+1/k7Uz21TfXSps1Et4suTGFK87MaihN/fLzClCaNGonjjz9e&#10;9Gx8Tuq+xpRbWlbvKb5kyTKLJ1YXyZuG86V90+dM8UTzDHPvBx+Eo8dn4k2v16uqFqb4n9jcdatX&#10;GY8HehJyWcW0KQK/tO4HfXbLIpnqtnfvywozsJc0O+vslBzS89wGovFPz0jFlpx58smiReMmon3D&#10;wzZaMKVLq9bq+ZEjR1k8sXhiTL+mOOBXOVM8QR6Jo16TiX/d11966cWU/gMWEIOKHYj1ADo+Bexg&#10;3T+xLNgPxhzat1djhz7TF/ms4b3yqqsVJpxy4oniAimL4L/R8kcPaYOt9+Pj1H1kmTNOOVW0bXaJ&#10;aH16XdFJ2k/AGey35Gh0t83vv62+Y/WdfPHFFE/8ptmo3vfBB/uPkDE0TqQ7a/kjH/xI18brr79B&#10;Ycb3v/+fonHDRqJ9o8OYgj32Zukvrn/CT1K4ovUkzmHEslHn7Tt2Kr9dvjRln6u9eFTb8ETzODqb&#10;O25FY0fQtiEtpyBvnPPTM0WHpvh2Tk/JKsgsNze5MIUp4EgYconum3XrNlg8sTpVXjpVbcUTzTtR&#10;nYcPfyqFF6edcJJo3uhccW2jBim7SreLzlf3w8QR3RcWT2qvfFGobGnxxCxHs+Y1P896vwqt07ST&#10;8fXHHfcjccmFF4pT6tYVx0rbrcUTy9uF8niYz1s8iQ5PwKbNm7ek5BSNK/oclr3EjZHIJ+TACpMO&#10;7beKAzctnkSLJ5qX0X+c8koUcomuCzEuixcttHhibSieacDiSTzwRPNyHM4WT4pDVohC5rN4YvHE&#10;jWGLFy9ReaqioEf7zWRjmcUTiyduPKmsrLR4YnUdz7oOc4HFE4snFk+SLRPESaazeGLxxI0nM2bM&#10;kHnu1uY1P8WJtm1dwsdJiycWT9x4UlY2weKJ1Xfymk8snlg8SYcnW2TefTu/hz+/J73PLZ5YPHHj&#10;yYiRI2rsw5Z0Grf1Dw8XLZ5YPHHjCeus475vkcWI8DDCS19bPLF44sSTgwcPqnwOXmjIlo0nb0cx&#10;LhZPLJ448eTTTz4V5NuNghbtN5OPSxZPLJ448eRPH30k8+yOtXhi/Tt50YDFE4snTjxhLy9y7FpZ&#10;IfmyQhRjaPHE4okTT15+eZ/de8fKJnnPJxZPLJ448eTJJwdnzMei87LY87dtH8l8xunowBRPmjW/&#10;RNgj/D5o2uxicfbZjcS5554fSv+fcUb1noXpaMVeS89Dtl8O94spntg+O9xnti9sX1gaSE8DFk/S&#10;94ulF9svlga804DFE+99ZunM9pmlgfQ0YPEkfb9YerH9YmnAOw1YPPHeZ5bObJ9ZGkhPAxZP0veL&#10;pRfbL5YGvNOAxRPvfWbpzPaZpYH0NGDxJH2/1FZ6ufjiZuKaK9upg9916tRJG7dUW/vHtjs7v1g8&#10;yd4/tYF+OnboIDauXy8O/P2vwhkrq3+/tOf/s3fecVIUaR+vP+49PTGHU08FPTOYAEkm0BMzCBJM&#10;5Cw5SAbJIJKWsCBLThKWuJKDZAUMYDgV5IyIct555tMT79761lBNT9M90z3TMzu7W3/0pzpUV1dX&#10;P8+vn1RPvS7q1q3tiiv2dcde3bPbtQ5jOErmaNLtUX548IDaWBO+KIxxUXlHgydFG0/Gjc2K4nM7&#10;zzv3J06ccALv+8GTipUqiF9/PRr1nKpV7xZsRYXPisp7GjwpunjSt3evKB4HP/btfV307NlTbVu3&#10;bDnh+qBBA6IwIB6eIH/sf/+9qHamT5se1UZR4bWi8J4GT4ounnx5+FAUn+flrTiBz1s2byp++eUX&#10;q94P338XVScenjRqWN+6V8s7ZcuWjmqjKPBZUXlHgydFE0+qVq0axefYPs4791xXPu/SuWNU3WoP&#10;PmDVi4UnbrLJ4tyF1r1FhceK0nsaPCmaeELOJC0vIKfEo/mDBw5Y9XMmT7bqx8KTyc9PtO7hWdh8&#10;L7zgAuveeM801wsebRo8KXjfLAw+g7c1nsyeNSsuj4Mhuv6uV1626tvxZP9774oa1R4SLZo3F2tW&#10;vWjVxxbbt08v654w+m/ayEy6NXiSmd8l1fyCfqPxAUyI97wuXTpZ9cENXd+OJ7o9Z/nzTz+JlzZt&#10;VDhj5JPCTW8GTwr399V87yyD4kmHDh0SxhM7vnz68UdG5/HIbeb8RgXx2OCJwRNsKfFo1y6H2OPW&#10;7Oexw0yWMSr2bfHCeRYOaVzp0rlT3OfF64+5npl0a/AkM79Lqvllce4ii89Zqzje89atXW3VX792&#10;jVXfjid2nLG316JZU+teMOXlHTus++31zH7Bp0WDJwX/GybChy1kXImWF37++Wdxr/Qfe7WDzePH&#10;77+36rdr08aq6wdPaNcey+/Hn+TVF3M+s+nV4Elmf59U8Q+xJnaMIGbNjhP6uaVKXSvW2mQTbKsX&#10;X3xxIDwpV+7mqHj7gwf2W/fr55iycNChwZPC8R0T4ceePXpYMoeWVdBFiLfv1q2rcIu3H9D/mSgs&#10;sMsnX3/9lcjLy4va8Es75+5MzM6OaiORvpt7MpNuDZ5k5ndJF7/g+9VYEq+0+4l1/+x4Eu9+fb1S&#10;pYoGTwqpj8fgSdHGk2uvuUa8+87bcTHlrX37BHU1jugyCJ6gU2WNGX1CG7otUxZ8WjR4UvC/YRh8&#10;WKXyHaJ/v2fEpg3rBX4aNvbBixoPV/PEgMpVqqg61PPaiF1hzo/JzVT4ac3gSeH/xmHgjWnD0Ikf&#10;GjB4YujED52YOoZO/NCAwRNDJ37oxNQxdOKHBgyeGDrxQyemjqETPzRg8MTQiR86MXUMnfihAYMn&#10;hk780ImpY+jEDw0YPDF04odOTB1DJ35owOCJoRM/dGLqGDrxQwN+8eTNN14XZjNjYGjA0EAsGjB4&#10;YugjFn2Ya4Y+gtCAwRNDL0HoxdQ19BKLBgyeGPqIRR/mmqGPIDRg8MTQSxB6MXUNvcSiAYMnhj5i&#10;0Ye5ZugjCA0YPDH0EoReTF1DL7FowOCJoY9Y9GGuGfoIQgMGTwy9BKEXU9fQSywaMHhi6CMWfZhr&#10;hj6C0IDBE0MvQejF1DX0EosGDJ4Y+ohFH+aaoY8gNGDwxNBLEHoxdQ29xKIBgyeGPmLRh7lm6CMI&#10;DRg8MfQShF5MXUMvXjSweeMGYfDE0IcXfZjzhjaC0ED/fn0Nnpi8LiavjaGBUGjgjjtuM3hiaCkU&#10;WgryHzN1C5/cs2HtarWGpNF3Ct+3Nfx64jd9ZecOtX7q2jWrRO7ChVHb8uXLxSs7dhhcTeLfmjVm&#10;lMGTJMbP8OyJPJvomOzZ9Yri582bNkme3yC2bd0SmL9pY/26NSIvb4VYuHCBmD59mpiYnS3GSDp/&#10;7rnhvrasrDFixozpYvnyZaofr+3eZTDGJ4/cf9+9olixU4y+43O8EuUVc9+JuLNOysYzZsxQ28hR&#10;sfl97NixYuLEbDF3ziyRt2KZ2Lp5s8Xju15+WeQuWiDGjx9/Al6MHPmcPD9O5ORMFnNmzxIvzJ0j&#10;lixeJJYuyRWrXsyL2sAPrvOcESOisYdzPOMliXN7X3/Verb5rse/69bNmxSWVKhYweCJwZO08ciu&#10;V14WUyR/Iy/At2yTn39eLJg/T/E6sgW8Tp3FuQvFrJkzFB6AKXYZAwwCJzQWIVfMlpjBvcnqLq/t&#10;eVXpRWDMTIl5o23yDftTp+YoTEKGMpgSwZRePbopXefpzp0Nnhg8SQtfoMsgM4ALyALIFmxuPLlI&#10;6ivO8+geGzesU7iTM1liybG25syeHVV3sry2c/v2qHPOtoIeb960UT0XWcWOa+PHjxULF7ygZJeg&#10;bRaW+q+/ukdcdullonjx4mL48GEGTwyehMp7XnwyfdoUxYuzZs6M+7wF81+IW4fnIO+gO4EpL+bl&#10;CWQLbK3YYLz6kex5+GfThvVKpho3NsvCF/BtSk6O6sful19J2fOT7X/Y90+eNFHJJo/WravGwvh3&#10;juuBYY+1ae/42Gp5Av6PNy5+8cTezkqp62BHyZYyxPatW+M+w35vMvvg2OjRIy1cQX7hXZfkLkpb&#10;H5Lpf7L31ni4msKTQQP7GzwxskloNI/ugr0U2ye2DewM2FCxQ2Br0HpCPL8sft3lyxYn1K+d23co&#10;24ay3UpbzGt7difUTlAe4zkb1q1TdtvsCROsd8WuM1P6i8CcwiizvLJjuzjv3HNFyZLXWu9s5JPj&#10;/9CgdGTqv658HvhNtPwBbvC/HnHMvqFxRJcLFy2MyeOLpb7iZVcJMt7bJYYtWrBALJD2DewfQe5N&#10;tq7GNfzV+r0psT1jcy4s2NK3d08lm7Ro0cx6T4MnBk+S4R98IPAK/2VixbRMgJwxfdp0sWbVi8pm&#10;yb9a8xb+HDd77Mb168XSxbmh8j42lTWrV0pf0UyJLQvEzm3bQm0/3ti9unu3svHMmj1TjBoZ0Yvw&#10;a02cOEHZYOz+73htZdJ1ZJOLLvqTuFTaYrHD6m9r8MTgSSJ0Cp+i10BH4AbHznbADOJMNMbAO+g/&#10;E2RcCPZZNmwl2FCxqYI9zjbCPKYfPP+FF+am1Gbr1WeNbcTa2W0uYDE6Xhhymdezwzz/6u5XRIUK&#10;5ZRs8uSTT1hYAi0YPDF4kgitYROAfrKyRlt44dYO9pLlS6PtIcSFvTB3rtrwlbjdl8pzPJ9YFfzW&#10;lPnFx1skviKr6RgX5JZJ0l+yWNpy86tPfsa9V8/uCksuvPDCKNnE4InBEj/041YHuyv0A0+6Xbef&#10;w75iP7bv42ONZ6O11w97P0/iIn7f/NQ78EEjxzGeesMetWbVSs9xC3scgrRXqlRJhSeP1Kxh9Vf3&#10;28gnBlOC0JKumzMlR9ESPh19zq0kFgT7hds1zvEfni1tC/hHvOqk+jx9wHbLlp9yAfIK2GuPm0Ne&#10;QRYE79x0ylSPjbP9eXNmKyw544zThfYRayyhNHhi8MRJM36Ote0EfSFWfbAi3rwXy64hdaB4dWM9&#10;K9lrYAm2HHg6P2Um3gNsQQbUNlx4lX3susQJJ/uuidyPHFWq1LXizDPPEH2f6X2CbGLwxGBJInTF&#10;PbNnRfQd5vJ6tYFvNEis6g4Zhwb+aPutV7upPo+/F0yZK//F9CnVz4vVPmOhcizIOYn4m7UsgL9M&#10;x/dgg0oHDg8ZPEDJJnVq17L6ofujSyOfGEyJRc9e17Q9ljksbnWI+eBf73Yt1jlkBHzQ+al36P6h&#10;XzAfGT0oU3IXIDdhr3XOqcami98KuUb3P8ySeB5i1y684IITbLAaSygNnhg8ge6Ik1gm/TDo68zn&#10;1Rt6DTGe+FntNktisrTP0y6D8G/PlTILsR6J/jP5JyOn5LdsoPmRWJr58+apWDRkfn0+v0vmPfJd&#10;ciY/L0aNGmHJDNhfkK+2hYgtj9aprWST1k+1tJ5jxxG9b/DE4Anz6jQ2aLrwKidNOj4/BvmDeuj5&#10;8Bb+CHKO2HEnUZ6Db5krnN+6j73/y5YtVeMUxvvZ2w1jn3g9fGX2OGW+TSJzoZz92bRhrcKSa66+&#10;KiaW8DyDJwZPiK+CFoglIa4KeYMNnwv2Vubkqxh6GR9BPeIkiEXj36hxCFkbHShM/t+6+SWVCyW/&#10;7I9OvuKYuYbwKO+eqPzl1m6y5+gL3464QPQh4m/5Tnwv4v75jon2t0H9egpPWrZobvBE0kCy36ow&#10;3w9mQHPgAjqy17tiDwFXiGEFSzStci+bnzgUr7bjnUcPy1uxwrNv8e5P5DoyCHqbFw9q/8tLaZ4b&#10;FO9d0HHQFZE50T2Jl9M+IuJs+IZ+9SBkxI7t2iosufXWW+NiCXRg5JOijTf4H6ED8h3Fo1VyAqyX&#10;c3Soh72Uf/Tk5yeq+8GXVNkCeZ7OI+3F3/H67vc6Nhv0N94tnk2YvuDDQl7Jb/+y/f3oNzKnluuw&#10;JS+R86KQPzX+M0ciHq707NZVYcm555wjBg8eaN2r23ArDZ4UbTzB3oE8bKfHWPs6t5quA0+RXxXa&#10;Ij+jPp+KEv0HXg9Tp7L3c4XEEHSFoHFj8K/2L8fDIPvzUr3vxDnei/wzYInGAvaRY5x9yV04X+WE&#10;Pemk34lWrWLbYHVblAZPii6eYO9ArsCH46Qnr2P0AP7dzuv8/4gZT7X/AznKT443Z//iHSNnkLM2&#10;Xr1Y15FRsqXdAl9ZrHrpuobOg87m9jxkTY0D2HCxrdu/3W233aJkk4YN6lv1dP1YpcGTooEn/NOx&#10;scI36NDIGeAJcVFB8ATaXPDCPFcaxf6CX9WNfsM8t2bliwq7wvInoxck49+2vxt9wn7hR3+035eq&#10;fdYQ8WobfUfPmwAjkFOhkbFSL0IuqVSponhu+FDfeIJO5BdPMmV8vMbGnD+Oi9hYkb/RQ+ATcgpx&#10;jKzLP9Rug5gg58qz+R0/ZOZF8l/mVZ9nqxwFUmf3qhPGef6lYBfPS7Q9xgFZC3xNtA23+1S70teC&#10;7mT/57vVzYRzYMg0aW/RvuY2bZ4SpW+6SdpMBvnGEvCobt3avvEEPTtVemsmjGlh6kMQGmadCWjB&#10;b85V8qK66dv28UMnws5hxy379TD381YsV3F4ibSJjB9v/lEi7ep7+P+jmy1bEp2vQV/PtJLvaret&#10;xNJrnNc6dewgiHXzK59wv3NtgkwbD9Of4zKK37HAb8K3JX47nh0Se6jfPMvI/eQ48duPZOoxfwVZ&#10;Jcj/Dnk73tzoZPpkvxdfO/OdMskHZO+fc3/jurVinJxH4cQMr+Nhw4YI4me57hdPpk2NrHeA7up8&#10;vjkOzseZMmbIEFlZWYoWiCvxmqdCfD12gSAyB3zktpZOKt6d2PMgdgvm0gV5l2T7DNYxD4gY23Q+&#10;N9F+829BT9Y6kBeWcL5unVpi2NDBgfAEGZZ7sd8FkacTfR9zX/owCtsK3xZfD3M/3L4vcVHQQNDv&#10;gn8B/TzofYnUx59BzFY8HQb/C++cyDOSvQf9jLj4ILJUss9M5n7mLtlz/zpxhbwFjRs1UPTDNb/y&#10;CX1i/jb3pOufk8w4mHv94xGyB/MA+bbQDv95+zo56ERuPmI/YwzfYEtJV1wGWIi9OJYczfvmp+4B&#10;vs6X8xOID4kVk+xnfNNRh7Fi3pYTS8hD/eAD94vhzx73AQXBE+Q05jLSLr7GdLyLeYZ/XEh2rLB3&#10;8G3xz4AnyCScSzZPNJhCrJsdo5Lta7z7yQkXlg843rMSvc644L/nP01ef+xA+Ylzsd4D3tf0oXGl&#10;SeMGom/fXlE4EwRPeB7/mQkTxivZmP9WrD6Ya+nDgjDGGprReUyxH4bRpm6DtpFxgtpN9f2JlPz7&#10;kbWQ2RO5P533YLciVgR8QRdDxkon/vp9V+ZR6blbgwYNiMIScCYonvBcbPfMBaBdaARa8dsfUy+z&#10;MYZvqecbM2c47O+F3VTrP+nQgZABiN2DTtkP+32KYnvIEV522kTwhDHUmAImTZHx2uZbZTZOBKF7&#10;vqXWa5n3Dgb4uX+1jOFmjSdiK4viRp4QP+NUGOpg+7bnzdY6UKJ4wpggj+l20LULwziZd4jgIvSi&#10;/0HETvodlxmyblHEEt65KOEJ9IDtW9vxNQ4kgye0CabYdR+/dGfqZb48g49E00mQNcrBlBIlSli4&#10;csP114k6tR5x3Wo+XF3cd+89rte87kn2PD6JVDxzp7TXFDW6RpYlJ7m2qSSLJ4wf8jA2WmgPW7Wx&#10;p2Q+Vvile2JO9LcNgilbN28SV15xhcKUc2T+jMWL5nvyGr4N5vamk27I44JdxcxLC4dWsX8wtzAM&#10;PIE2sU9jRwFT8FWnK4bJL1+YeonTjfbp8W2Z5+53LMEU1mtBFyhW7BTRqkUzscvD14Kcm674fN1/&#10;aBZ/SpC4Wn2vKd3pKSw8YXz5vyD7aBkZP0FB8NUZ2nCnDfu4gCnM6UCuDRInAH7cckslS/dh3wtT&#10;iL9AVrE/N1X777z1pjh4YL/aPpAlMTbIK865ju++Hal3YP974u19e9PSt1S9czraDRNPdH/JJ6Ht&#10;NCNHjYob/6zvM2V8vs7PMdI+vUQw5a47q1iYgsyC7MLmfB/iG5LJQeBsz+sYLGkr5+VXk7aU/n17&#10;K1xhzgqxH+he7737tti39w3RuVNHVYc5KsTJf3HoM7H/3b+e0G+v5xS186nAEz2GzNXWsgpzofR5&#10;U2Y2bsT6Ptqnh+8nyHwedIvqDz1kYQo2UTa3Z6E3u80hcqub6DnwpGzZ0qo/YArHuq2DBw4I5BHs&#10;Pk5fFTaht96UcoqRVazx0uNGmUo8Qf8hN7n2O5JbAbtKOu1u9nc1++HgGHFu/Cf4rkF0HzDlsUfr&#10;RvEosoHzu5AXYfHChSecd9bzc2zXa7R+Q3n40KdRePK5PAZDkEl2bt9mYUnlKlVUHDzx+9dec43q&#10;O3nLDn32aSj98/MOBalOKvFEjwNzElhjTssq5GZKZj0Q3a4pw8GHRMbRjinkJfDbBnKHH0zBVx3E&#10;9uv1fLBD6zXIIfbtnLPPUvjAGpqcXyttKAf3vy8eqVlDnWd9zY/+dlAsX7pMrTsKHWt5hRjftyT2&#10;eD23qJ5PB57osWWtEr4DNhWwBVwxcdD5hwn6uyRa8s9mbRe2RDDFjivoPk57Crmbkp3PAZ5ovUZj&#10;gVcJbb4v7SZfHD6sZBVkG20rwR6N7KLbatSwvjjw3rsGT6SOY6cfv3gSZjw9ci82L9ZwVnKzxBdi&#10;MJFZ4uUIs/fd7Ed/y/wYD3AkUUxxyirYJpyYov3IierI4Anxb2BIx/btVX4A+kwuxpIlI77sypXv&#10;UMfvv/tWFG84x/PTjz8SVaverdqqXaumePed2PWd96fjGN5iS8ez3J7hF09SsUYBeW2ceRXIv2Fi&#10;jPIfJ9xoxescMgT/hURybUH7V111paVHuNlowZRkcrBu37ZFtY9f6Zuvv1K8Zpdb0HU4tt5P2lo5&#10;PvzZJ8fPyf8wNhct23To2FHOxZZzl6UOZN3n+Ffnx3m+hd9cwKnon188gV7IHxumnML78N/Bpoes&#10;aV+/bPLzzytZFx9Cov+mVIyXafNErOP76DwHlEF9M8TO2jHFzUZLXEre8uUJ8S64wPxGsID1DJEr&#10;vPDk7Tf3iU0yt2z7tu1Ehw7txfvv/VV8ePCAtL9+Ip57dpiFJ+QWAEuIWSEmLug7p4qOUvHfD9JX&#10;v3gyV+b7BVOIaUpV7Ct0yb9opsy9o31CWh9iXUxijtIxxz3I+Jm6EXyxY0pExvRvo2UMkVPs9hQ3&#10;TCGuCf4lv1rQcT/06cdi4IBnBDbWt/bt88QT2mVuq5ZDsNk+cN89oly5sta5TlI2+eSjD60+MHdy&#10;547tUld7Sdlf9ueTXQV7ATGBQccmzPp+8eR///ufeOedd+S62ZE1UMnnm8h39dt35CDsfayN4pwX&#10;zbpDyDPIdmBb2DKT3z6aetGyih1TgtpoGUunPcUNU6A55ogRdxaU/pAxypYpI+695x7x3bffWLZV&#10;p76zW+KDxhPy0ZKHjDr9numj7Cx2LPno4AdiqFzHivoVK5YX4A/HnE8nfRCHno611OK9UxA8AVN+&#10;PXpUzJkzx7Kj8r+It65yvD74uY5cAv6yXgzfGLnFvo0dO1ZMnZqjcIZ1rJBBkXWwxSCXZoo86udd&#10;M6FOnsznuWdXcDkATAHntY02aKyrE1Pc/D6MDzYCcCVILkr8u3ukHMRcIvK6aF+NE0+wk+hYtmy5&#10;1hnyBvoRsffOb0PMcPHilyi9CLwCazjmvLNuqo4Zc/LpZcJ/NSiegClsW7dsieJnYtXSgSv6m2DL&#10;RTZhzitjiQyj/dB2nHHuj5E+JbCHNTbZkHPYwEX+eWxgEdjFhozEc/Sm8QmM0lsmfEc9LmGVvNOo&#10;USMT5ostEsd1HosgMW/034kpbn4f/Z6sFcN8vi0+c+8TR48ujRyh40+cePLRBwdEr+5dlczRoUMH&#10;8cmHHyg8AVP0hl+ZPkB7rVq2EIc++Ugd41/mGKzTfUx1Sewfulaqn+On/UTxBEz517++FosW5Ubh&#10;ShgxSH76HasOOiTrc0+V68mAHU5MSecxutnkyZNjbjrnM/gU673SfW3d2jWiXbu2CWMK8iFjDf9i&#10;YwjSfz9+H90e+MN8MbBfn4tV/vOrI5b8gZ7ixBNi2lavXKHwBBlmspRlnBuyCM8g/vuO228VP37/&#10;vYrB/1zGzXLM+Vh9COsa/gr+hWG1l2w7yeCJllW+l2NJLnHNp/z3kXkziT+0LIGcgQyO7IEcomUS&#10;bHBaViGPg5ZfkHvAJL2NHj3Sek/9vmGXWVKfgz9myJhi+sVY0l/skcj56ZSHwBTklER0H2hTx9Hi&#10;XwmKKX78Ppr+iVtCVsW/wVihA+hrzhIZYtTIEZaNxIknb8s4tu++/da6rm0p9lLHuX0m5RJyRzVt&#10;2kSuN7hcDBo4UB1z3vncsI+JoyHeIpN8FGHgiR1XlixZKvWO4zw3Tdo0+G8U5jg1eE3jlbNEP9K6&#10;klcJ/S9dkqv+M8xLAMvAL53zyg2v0O1Yx5y63KNsRiuWKZvRlpc2q/7E4qkgtL1z27ZQMCXofB/6&#10;6Mfv43wXxhl/AfKR85o+xt/TsnlzJZtg90WP0dcov/7HV+IpqbeANW4bOhH1yGHwnvQ/9+jeTdSS&#10;cfroOhynOrcBdJbufDH28fHaDxNPNK5Q/vOf/5D/pvlihPwPwA/Y5/D5IhM4c0x49c2cf13gawAf&#10;4BGNO/AKtmfwJJ4+h70IGUvLOshjrJ1kyTrSPulnnBPBFN137Cd2G3qQPG/0zWlPcfP7uL0DY4Z9&#10;ww1XiJ3XthBKfMj2NnSMir2OfV/bT/Q9et4h8Sr6XKpK/FrI0umUU/2+S6rwRGPL0aO/ibfeekdM&#10;mzYtSk9g/W3WGYSuC7Ps4vc7JFuP/xWyELIg/ApuQHPobuPkPCl7PI9T3kEO0vqc1vO07kdJjiza&#10;Iy5o0KCBShbiGL1d1yN3FvcyJyuebMXz6WMQXHFiipffx20cwRP0IHJmZJJu4NZXP+cY80x9j1Tj&#10;icYVyn//9JP4QMqJTnqG1vHf4QvmH7xN5vUNS1b3832KSh3kBewvdlkH+4bWsYhJBguQaZzfSB8P&#10;HTZEdOnSWbDWJOeGyeM+vXsq3Yx7kYW0DqZsPxI34Ge+KT45+EDno+X+IHZLJ6bE8vu4fVOeDaYU&#10;ZFzB/urX7uw2Bqk+l048sWML+9hwdXycplddgjHEbudKX1h+x/yl+htkevvEAfAN9MY3GTCgn3j8&#10;0TqWzbJUqZJRc/kqVCgnzjjjdPFMn54nyP/whP7OlG76iNeYBPH7eLXB89G/kOm86mTqef4FbJna&#10;v/zEE40vP/74ozjy5ZdixYoXxZQpUy2bi53m2Nd+D/zAyHz8W5G7dbyIHmvoRdtFM3XcC3q/Klas&#10;aGHJ5X++TO2TG3a59JOCJXZfyDXXXC1mSn3I/s7Yj9nUd5VrTfLP9SuTBvH72J9p30dWARfnyTiR&#10;TOZPe5/ZB3uxpznPZ8pxJuCJxhV7+cMPPyib7uHPD4nXXntd4DeaLecjPv98jtTRJ0T935y443Ws&#10;bQSUyPbaVkCJ/q9tAbrE7gleeW150p+CfpZpG/ZWrz67ndfv61Wylrl9rMaNG2vhxahRo8ViGevT&#10;sEE9de7kk36vyjKlS4vhzw4Vjz/2mDj3nLMj58qUFj2lH8Tr+5Dn0W/+8kT8Pm48hw7F9yP+jPWO&#10;3epk0jm+bSbLVZmKJ3Zs8dr/zy+/KJsMcXVsf//7EZUL57NPPxEfy7jnPbv3iKVLl6tN4xGYxJad&#10;PTFqs/u4vei9KJ8fMybLGq8+ffqIk0/+vXisbl0pYyySWDNV+pumCvKcFTvlD2pe33PDh4tevXoo&#10;2wp6a4MGjcXpp5+mYlLbt28nXpbywRtvvKG+E99K/yPIicPaOH542GlP8ev3cWsbnwC2HNYh9ysn&#10;ubWT6nP8D1L9jGTaL8h44oUzYZ3/73//q/AKO7Lbhp6msSzTSmIM3frsdu63335TcyiCjFvtOo8q&#10;mWPY0KHi80OHxM03lxfIJtWqVRcPV68hc00/oGSWxo0aiObNmojaj9SSZQtR6rrr1X2t23QQv/76&#10;n6jnbt58fA6H37VWnJgSxO/jxjfIKMhptOt2Pb/PMT82v/sQ6/kGTyLzkYLwkqn7P7Fr1x6FC9hJ&#10;SpQorrCkg8x/NmzYUNGzZzfRs0c30atn92P7PeRxD/HQgw9KjGksLrzwQnVvl85do/CEcf36639a&#10;+hAxS/B2vLl1TkwJ6vdx8geYMlHGnaJTOa/l93EmzCGONQYGTwyeJIqPq1evE1dccaXChurVqqn5&#10;mL0klvTt00v0kX4dhSm9ZCltJux36dJJ3HvvvTLu9ClxitSLTjvtVAGmEKPk7AP6ldYv8fVhY49F&#10;x2H4fezto/tkol8WG7K9n5m2b/DE4ImTl/0ejxuXLc4//3xR8tqS4tFHH5P2kgiGHMcSKZdILFFy&#10;isQTcKZnzx4yB2tVqRPVlLlISissuusvVV0x5b333pOxMBFcYX4BPB7LthGG30fzJ7EyzIHQx5lQ&#10;Eg+baX1yjovBE4MnfvHDXq9t2w4KC8CScVljZc6hhsd1HHQdaYu1Y4nCGim7UI6V/uFOHbtIOaW1&#10;qFC+vIUpTnuKft6OHTstWYW46ljxSGH5ffChBInfdfJVKo6Zxxrr3VPxzKBtGjwxeKL5NkhZ85Ha&#10;CgdGjx4lesv4WNaP0PYShR02uSQit3SX8klvhSXff/ed+OWXn8UPP3wvWjRrKe6W8gl2GOQUL0zB&#10;l7dmzZooXMF36iavOO0pifh9aCPTYtqZn5Lpc1MMnhg8CYIjuu7QocMVBjzVqpUYOmSo8uFE7LAu&#10;ckmP7jJ3az+ZE3qSAEt0G5T//vdPou1T7USD+g1V3rRYmEJ9cCg3d7GFK8T3M2/J+R91Ykqyfh9n&#10;++k+Rv9akOG+HcbE4InBEzt/+90/fPgLhSfkpV+/fpNoJvN/aLmkW9enle4TsZdgN+mtsMSr7a/l&#10;XPSby1WQ6/LVVG26+X2c927YsMnCFOy2bjGuYdto040h9ucRUxhkXoL93nTuGzwxeOLkVb/HAwYM&#10;Vvw/c/oMMWTwMGkv6W7ZXpX95Ji9ZGD/fqJOnTpiYL8BYtjQZ8WI50ZJP/BcOW85Vxw5ckTJK8RB&#10;Y0/BRqv9PsT/xOoL8T86Dg7fMvMunLyDjVbngkWnSkT3cbaZ7mOwkvjkTNd1GBeDJwZPYvFsvGvE&#10;tcGvzZo0F127dFXxJlou0bbX3EVLZBz9zihswEd89Ndfpd2lscz3/L66hj1FY4q2p7j5kp19+kDm&#10;L9G+ZeZSgCt2u0qYfp90Ywk2HGJw0v3cRJ9n8MTgiZM/gxz/KGOHS5e5WWFKg3oNRdenn1YyisYS&#10;7CWHPvtM5nrcFYUn+hlH5XoJ+HrWrV2vfMYaU/z4fXQblKy7wNwKjSus22W3q4Tl90mUz4Lch18Y&#10;Xw7zJRfMfyEj8yZ5vY/BE4Mndr5MZP/bb7+zYUoj0fqp1iJ7QrZle/3HV19J38xaVzzhecggOTJn&#10;d07OdAtT/Pp9nP395ptvpHySZ+GKfZ0op402k3Qf8tMT+wp+sBYifuGCoN84ccXgicETJ08mchyF&#10;KdJX0/Xp7kqfoS18vfPmzffEE/08Yj40pgT1++g2dHlI5pnXsXDMMcyVvlbad2JKpvh9kEfsOpqT&#10;TwvKscETgyeaB5Mt9+8/IP7wh5OVjRb/7/hx4ywMebpzd2s/1nNGjBghXn31NVU3Eb+Ps+0xY8ZY&#10;sgrroJJjvzD5fTINZwyeGDxx8mAyx6NHZylMwUZb74n6ak1Q2jss5yB37NBFfPrxxzFxBRst9hRs&#10;Luq+BPw+9v7jI9q3700rDyDrb7MGmNPvQ87LTOPNgtgfgycGT+z8F8Y+coq20doxBb1n1sw5vjAl&#10;DL+P813WrVtvySrgx5zZMwXxM6zDjh5UEPk30/ps8MTgiZPvwji221PsmILtVWPKt3LNLK9nheX3&#10;cbb/448/qBx/+IGIWWGd3ExZqzPTsCGR/hg8MXji5Lmwjp2Ygj0FfUZjyuCBQ4UXpnwj8+3tlDEr&#10;Pbp1lbG3TeUaiSvUOonNmjYX1as/LMqVv1k0lLEr8+bOlbk6p1u54yZNel7l32PtJ/IRkwPui8OH&#10;Bfml7PFxjRo1kWv59VfyCuuFsPYH69okwkN+7mE9Zz/1CnodgycGT8LCD7d2Dn32uWVPad+2o+jc&#10;sbPEk6MKU9B/evXofQKmvPH6G8p3iv906ZIlYkpOjmjSpLHK8cr6Ps8NH2rpLcgZrO+h10okjlSv&#10;AaRjUXSJv4c4/XFjx4uyZcuIMuUuF206NBRDnu2r2iMnAvkAwvbT4rfxE5NG3Ak+KHK9EBO7ZtWL&#10;Krct8XlueX91Hvb169ZkTE5ZgycGT9xwIMxz2GjJN0vMa8vmrcR0mWtWt8864i1btLaOibsHR9he&#10;lfz10cEP1DZxwngxZOhgC0dGynUnWWeeesRqeNk/Nsj1l+fIfMH29Qk1vgwe/Izo0qOZmPjiKWL4&#10;mON5siOx7btDkyfABnJeu8ke5J6jf8T16n4lWo6Va4Aw59prLNyeH/Y5gycGTzRvp7J08/vg8+GZ&#10;xNuDKd9+8y+ZQ3y3wohXXt5pYQnrfPJ/h8/AheVLcxV/wqesLwmvLs5dqGLB0FvIW+K2pi2x66x9&#10;Sm5a+3qJI8f0F337dxBZOU+JEaMHRWQVmROO9VjCyFlAn/BRw7vIIMgdnMuW68W6YQdzksiXzpqa&#10;5E6fM2eOlVedGGC9cZ46Os6GtkbIftMucXGsb8WzeGbYuOHVnsETgyepxBF7206/z1Ot2lh+YfJk&#10;Y08hxhyZY9/evRae6HhX1mD2E/PFmhv8p/nvoxO46S+ar/HzEJei+Xrk2H4KU4Yf06nAHfqk8cCL&#10;j9zO09f5EpPyVqxQc4NZvxsbcITvRyisWLVqjUAmw47088//tuQ0+7j52f9V2qVY1zfrmJwzadJE&#10;ZWdmrZ4I1s5T+SvJe+DW17DOGTwxeOKHXsOqY7fRkqMA34+eD4ittn2bNmrNUuQUdJ19e19XeWmz&#10;pb7jB0ucfMHahmBGvPyzL0lZB3mEWFqNLc8dW1OVY2wr8CX2Decz3I7p69y5s5Vtx97mTLmOMviB&#10;7SisMbW3g60bmYY+g13rpb6n+8c7go28JzE4+nyYpcETgyd2ekzHvsYU7CmlSpUSjWTOez0f8NNP&#10;PhGtWrZUcvqWLVvl+j0RW+lKD/uDH17AbzN69Ehf/AMOoEPBd6z5ZmGL5E+9Tw4nclU75R7uhWdZ&#10;tzlL5rSM4NBIpZ98JuPz/pvAuiSJfg90Ip6P7wr5yDlOO7dvO+Gcs04ixwZPDJ4kSrPJ3Iff5y93&#10;361stGAKdtp1azeKvx/5Uv7X54g2T7WS6yPXs3h45/btSdE/Os2eXcH9wcgj+HwmZmdbfdG4wv9f&#10;rzNJXluty+jry5cvE+RoSWackrl35aqVVp9fkH71ROS7oJhi8MTgSTI0m+y9er5PqVLXiS6dukrd&#10;ZIayn/Tu1UfcU/Ueix+S8VlwLzwelDec9TesX++KKxo/KIl/Ie4l2XFJ9P4vv/hC7N37psAuw5qN&#10;9r6Rf9b5TmEfGzwxeJIo7YZx388//6xi89F9sKfUqllLjBo1UrRo2UbUqf2oxQ9O3SIIH6CDzJJ2&#10;iyD3xKqL78gps4yS9hX8KenQa4jLIz7vyJdfir/97aB67pQpU605ShpD0HWQq/AlYf/heJr0bcVb&#10;Hy3Wu8e7ZvDE4EkYuJBMG8S3Md8HTClZspRo8OSTMn/1AKXzEGcCf8Szp8ai80WSz5lXHKuO2zU/&#10;Ph2NLVOn5kTpO8Ts7t61W8Xm4rvBfxXPfkKubeqRw4X1a4nr/eSTj8WLK1dLG+p8mcthSpRvWOMG&#10;JTF9U6dNkTk0FyifOONl9xOjL2qdLWKnXR14PNzGyHnO4InBk2SwIMx769VvpDDlT3Jd9SZy3eOh&#10;gweKwYMGKjxJdB0rbAbwmJPuYx0jC82bM1vZhGPVc17jPnJG4xeGv+38HsZ+loy9wV5DjijWNuNZ&#10;Cjd2R2JbnP1xHoMv2HS0v4lxCdumYvDE4EmYmJBsW3ZMadGsibj/vnvFcOm3JfYzEdondpZ4dCdv&#10;xTpmTc8wcsnjQ9Fx88TL46clLs9rwy9EPbCCGD1yLIEXidiRY70f8TmT5PrMYNwUOT8hjJg9/TyD&#10;JwZPksWAsO8//bTTlJxSqVJFUaPaQzJ/ZCtF+/CXplu/JbwZRNfBdots4rf9glqP99RxfMS+hfUe&#10;Bk8MnoSNB8m298Ybe8X111+nMKV8+bIqxo1/KfNqgtI9MkGQe5AL7Hmsg9xb0OrabSpgy3o5FyHZ&#10;dzB4YvAkWf4P+/7vvvtWDH92qIUpF198sRg0aICSUYjFD0Lz6BBB6uML8aqPHuR1raCex6Yye1Zk&#10;bhSYPV+OVyJ6pX5/gycGT8LGgzDag7bx7bRq0UytQ1q8+CUKYzgfyYG0OS5vY3fA/qhpPV6JX5n5&#10;gl710hG/4fXsVJ9HJsuZHIkHZq0RbCyJPNPgicGTMPg/7DbADTZiJbJlzpNixU4Rl15aQgwdNkSd&#10;HyPj55knjN3U63/60saNyqbply/IgR8rzoUYfL9tFcR6jCNrJDPu+ICYdxD0PQyeGDwJGwvCaO+1&#10;115VdM28e2h68MB+yp5y6aWXKX8PND9BzhFcsmSxitdaJkt7jgLkePyqQXwX+lluPETcfd4K/7KO&#10;WxsF5dx6idHEvzHGxNUwp9Jv3w2eGDwJg//DbuOjDz9U9EwMFrTc7emuCk+IeStbtrS6Br1jR8R/&#10;g7yePXGCmvdHniXm4+Gr9csH1Fso/81e9ZGDioqdljFg7BhfNuZS+vWRGTwxeBI2FoTRHjGlmp6J&#10;U61a9djcwesvUrjSpsNjYvSELqoOa2AQZwIfkN8DWcIeG+qFEfbzuyUmxZI/iLEN2qa9/YK4j5yi&#10;88aRQ9OPnGLwxOBJGPyfijbGjRuv8KJRg/oKQy659I9iwrLzxC2VbxAjZ96g8jSOnfmIeG5EJJ8s&#10;+Zb4r3rZU2LxNLKHV9wbNpVYulCsdgvDteVLl6m5P8z/YT/WOxk8MXiSCiwIo815c+epPPboOBcX&#10;P190H3K1whAw5eYKJcWYuSUjx0svFmMmtbHkGf6lyBpB5AlwyEs/WpK7KMo2E4ufCus1ZBPGFZlx&#10;2tQpnvOpDJ4YPAmD98Nugzxjt95WWckl5//xHNGwaXUxaPztYsTsPysM6d7vCTF44vVqn3zSbBMW&#10;lBVZk1sezwErbYrEk+AHTpTP1Xw/uT55ovcXpvvAZ3Joaj10hswtQa4q+zsaPDF4EjYWhNHeAw8+&#10;pLCk2CmniEceqySatL5TtGh3j6jXtLIYM/9SuQZPVTF24RVReKJxJTvvTDF2zl1i9LjeFu2TBzZH&#10;2mmJv09mrrKdd4rqPnG05I8CV7B72+dBGDwxeBIG/4fZxnhpN0HHOfmkk8TI6dVEzTp3iCcbVheP&#10;NS6n7CYP175djJp1jyuWaEyhxMZSt04t8ayMtdX/VF3iF1ok4121HbeoYkMy7038jx5PjdEGTwye&#10;hIkFyba1ePFShSXgSd0nIzjyRINqouuA+0SrTreK1l1uE92HXxYXS4ZNLaFsLrTTVK4FRs4P5r2N&#10;Hi3jKhzrgSG74JcmbzXyi14fK1ZsWzJ8WFjuZXyIz4/IKVnK/2PwxOBJshgQ1v2t23Q4hiX/J+o8&#10;Xlk8Vu8hJZd06FVZtGr/iHi8cWXx7IyI/cQuhzj3W3a7Spx11pnirDPPkHOTW4pePburHJLKR7Nv&#10;nxjQr6/oKdcxrVq1qmjTqqXo0amjGDygn/Wv1f9chTMTZX4zOaeQ/NP4oQsLFoT5HuQKx/cDZhs8&#10;MXgSFh4k2g5rx5DrUes4jzW+XbTscIvUb8qIHoOqi4cfrioaNKskxi+5MKZc0nXIVeKmsteqdi6T&#10;cbS1H6kp3n37TZnjY5K479571FyegQOekTkla4hTixUTVUqVFM1uvFpUv7WSqFehnLi8eAlx0403&#10;in7P9FH57ZHn9Zx+jTHEdmGHIU/J5k0bE/JNh8nLmdIWY0GMvsETgyeJ4kAY9x05ckTOy7lMYcDZ&#10;Z58p6tavJDr1rqxwo9MzN4vH61UTnQdcGRNHxuVeJB6oceUx2eZ3okqVKuKtN/eKbVu3yPV9Hpdr&#10;JPeQ+WNniC6dO6k5b2efdZaaD3Rv+QriEbmuuh1Tzjv7bHWNeYi7js2JY24c8glyCjkT7HnsiUsn&#10;hzbzDuGpTOHv/OgH+Q8Mnhg8CQMXEmkDLEEmOemk/xOVbpfr8DSvITr3Ly2enXalaNiiqug3LhJv&#10;4tRnrOMVZ4iOfa8XF1xwrmqnZo0aMofHSjF0yCCV34z1wMAUNvZZe/PiiyLxtTz3vlLXKrkE+cSJ&#10;KVy/5ZZKFqbY+ZN4OeJbtMxiL5FnyJGQjI/a/qyCtm/wxOBJIliQ7D2HD38hzj//fIUDV1x5mUA/&#10;GTiukuj7bA3x0MO3i+zlZ8WUScCUJq0ePIZHv1MyBTnH9PrpTRo1FO+/91frmPPkewMnajxczbqv&#10;fpW7FaZoOeWBO6qo4wjO/U7lS3Djaeb6gCPkl/9Arq/MesN2XGGfnIpFzX9k8MTgSbLYkMj9c+fO&#10;Vzx93nnniMHjaki/TUVpc60uOvW/SkyUcoclgxyLVdPH2FAatL5KXHX1nyP3n3uuNbfnjjtuExpT&#10;kEnQc+B1sGSptHece8456p6tmzeJ/n17W5iCnFLrllvEE2WvUxv72FO07kO+BCemIIewDrn93VlD&#10;9KMP/ybzKEyX83Mj6xSDK8RqqLyTcj12ZzuF7djgicETO0+ka3/Dhk2Kn4kxebBmOTF2QSlPDAFL&#10;xi4qIR5vdpkAf5AdzjjjdNFc5qsGG+DJtq2fUufx6UyflqMwxIkpDRvUU3WWL43Eu8bCFC2neGEK&#10;thSw4q/vvhuFKXr8WCNnx46dUTILPhBiShPJK1JQcMfgicETzQPpLvfvP6D4+9RTi6lYNeblaDmE&#10;Ejtrn5HXiTvvv1xQBxy5QeaVHS3ztrmtjaMxBd+NE1Owq4A1tMHa6po/86Qd9corrlDn7XKK055C&#10;Pie7nMLzs7KylIzy22+/uWIKcwaQYcAd1hObLtfHYZ8NPxF2liD5WXSfM7k0eGLwJN04Yn/ekSNH&#10;LDvKzRUvE6Pm3CDa9y0hbq1SysIQ7Cx3y7VHu3TuqHySseYPz5A+3osu+pPyB9sxBXtK9y6d1fk/&#10;/vGPYvXK42uEI+M4MUXbU7QvWcspdr8PPh+wYdmyPFc84T0/+/QTVQc/EH4i5gOBI+AJ9xLjwnGi&#10;+RUzDVsMnhg8sfN3fuyDKdr+6Sznzpkr/vOf/yh+1bGYXnkFNG+tk3zuxBRsKPh9NKZwnXr6Hiem&#10;YD/x4/fBf4yt5MefvNc9z5Xzk8EO1rrRz6MkR5Nesw9daKb0aXMuyLxoe3uZsG/wxOBJfmCI2zNP&#10;Pvn34rTTThWVq9wlNm3afMI/f6/kQfgyVh41zVPIKWATOo620YIprVq0EO3btVXXbrvtlij+RvfR&#10;eObX7wP/06ft23ee0F/7O1KHzT53TveVuF19nRJbb0HNBWfwxOCJne7zcx//CDYHrz6wBjj8hr9E&#10;82KsUttT7H4ffMjEzF57zTUKOxbMj16fJ5aN1s3vwxwW8sNhJ2Ftd6++v/Xmm6rvyCNu84LInc17&#10;IadobJmSkyNezMs7ISdArHfO72sGTwyeePFAJp7XuoP20cTjH40p2u+D//jpLp0UlhDzQp5HZxux&#10;MMXN78MaYGDAxo0veeIJY7lyVcTeMtdl/UHW9sEeQ1+QYfADYVvR2ALWEIdLnVj2I+e7pPvY4InB&#10;k0zEDa8+fXH4sOIxeM2Zy8eLdzSm4PepWDEyT6hsmTLy379C2UJZI8yZGzWI32fCuLHSNpIjyE95&#10;9OhRT0zBhzxnzhzVf/ACOwnYQI4it1h9rhPTC46MGjUiCluc/fV693SfN3hi8MSLdzP1/JQpUxVv&#10;oQv45RfsKQ8+cL8oXqKEaNemjbKp6HvRP2iLdcrt9g2njRZ9x8vvQ04E1h/bvHmrOPLllwLcO/z5&#10;IfHxRx9GbS/LfGZa5sCHvEDmuXbDEt03Snw/yCf4lhfnLlRyC3OI4t1nbyNd+wZPDJ5kKm549WvV&#10;qjWKJ8lXEjafwONsul27jbZJhbKi1l1VLUzRuo+24T5crbqFFRoz4pXLly22nqWf6SzRcYiv1eeZ&#10;e0i7E+X6IPpcppQGTwyeePFtpp7/+9+PKH7CD5IKPsJnM1/Gv+J3IV5E21POP/scoTBFyin22Py7&#10;riul7DHEvLVr21baZ8epecj4kpF5nBt5EFiLbJJc19OPbxiZhHVA9LuiI2VPmKDGYK5sP5PsKQZP&#10;DJ5kKm549Qs7hJ4fQ0y95rOwS2JgyXPC2jtdZa4DLYfY42jBFTe/T6y+MEeQtYL9xsa6rdXB2qd6&#10;DT9sLLGel85rBk8MnnjxbSafn30sz7offSFZfsK+go7RonlTT0zRuo+Oo7XH5tufjy3Ezb9jr2Pf&#10;59lu6ybnSVvy7NkzlYxCHkv7Pfm5b/DE4Ekm44ZX37BzYkNAd0gX/8DbxMZffnlkbrNdTok334c+&#10;khOlQ/u2ch5jM9GqZUs15zle31kTCP3LWQ+78aqVL6oxYBwyJRelwRODJ148m+nn4SPySzt5LdXH&#10;Qfw+zPchrv+Jxx8Tl1x8ibj99ttEg/r1VIxu2zatZW7sYUqnwkayQOZUIQ5l5/Zt1jshF+3ZFb3G&#10;De+35aXNCmfwOzMOmaLzGDwxeJLpuOHVP/iIzW6rTDWW6PaD+H203YXcte3lvMSGt1cW1e/8i6ha&#10;vqLKuwA+6Xad5aKFC1yvIY8QR7du9So1Bth5nPfmx7HBE4MnXvya6edfkfEY4An/6vzgHb9+H2Jz&#10;r/yTzANVoYxofsOV1nbn5Zcoewy59b36/8Lc6PkAup7GE7AUnchvbJ++P1WlwRODJ5mOG1790/MD&#10;81PW15iCDGK3p2i/T+OKZUW1m24QNW68zsIRjSlVSpZUeMJcor69e7rmqnWzxYIFzPexx96lCh+C&#10;tmvwxOCJF79m+vl3/vpORsj6sTAFv0+jMiVF9bKlRc3rr7YwpZk8V6ZkJG4FLCJ25c4qla18c/Ax&#10;vnAvrARLtm/d6inXBMWBsOobPDF4kum44dW/b775RuEJ8WJh8UOi7UTN9yl5jZWPVvt9GpW7QTS7&#10;6VqFJ01lebNc5+cKud7P6aeeKpqWv1HUr1RenHn66cqekrdiuXof7COZiBmxxsjgicETL34tCOex&#10;n+RMycl3PIHHiFVF1rj56qskdkQwhfk+TcuWFE1Ll7Rkk4cqVBDlb7hR1b31mojM0uzGq0SxU/6g&#10;znXr+rR6Hy9bbCx+zu9rBk8MnhQE3PDqI3jiNx9KqnkN/y94UuOOyuL/2Tu3n7iqKIzvdy/pRayI&#10;vcmtyL0DIkQxPmi9EJO++1DBxDf/CRNjwk1CoZRLI4WQWEoppZZbKzY1pWkYeaGP2sY+2ERqw1Uq&#10;1Li/Ded4kGFY05k5M2f4SCZzcmbNzOHs3/5m7b3XXqv8tTVfBPt9Kl8vsLUE8fpFuXnGDrZV66+d&#10;0PMsafsPmvOITcG1BoqLjfb/EO7nU0+oJ1v1VS+ch54gd0Gg/NTh9o1Q3j/x0w2TYxLxsRjPmPmS&#10;fF3PVM+TWPOv8Fl8GRkqafceoxu+1MP2a+/n56p9SUnmfLve92PiYrdYKw7luty2pZ5QT7ygG1td&#10;48/+STOHghwhbvcd5/d9oXMgwN94NyvD1gjMnTi15M2cHLV/30vGLu/gITMmwutVhdnq7ZJScz4j&#10;I92s8yB/wo/jsVkHd/5foR5TT6gnW/VVr5yv1nlH4KfEKqYLvgm0BI9KvT/Q0hDr+YQ+58vMVCnr&#10;WvJKcrKqLCux7d4r8pnaYXt1vTHM667lWIr9HHOoWgJ76gn1xCu6sdV1Li4uGD2BpiAniNs1Psev&#10;jv2nJ8W5tk5gTeet7GxVXlys9q6PcY6mpanjehxkaU3F0UJVlLM2n4IYFPRJ7HH0om9CPaGWbNVH&#10;vXZ+efkvO4cBdOV0S4uJ3XBrXuXzqsq1GJKsI+qjnExVUVqmUg8c0I+1OdY9u3ZviD+BniD+rfBI&#10;ltGiDz84ZvwS7Nfp0/U1nsY3iIf30D+hpnhNO4Jd76lTLbavAl3BA3vs3OhrJbpmjzXucT6jNirW&#10;dSyfBM+ox/FGXoFtjz080JJ2F/dLR+OeUE+oJ8H6pxdfQ/7WsdFRZc2rII8b5laincMZ+4iLi322&#10;RiCfW3l6qvrUMafyWX66Ol5aauLZXtRrQdAdxNdO3r5tcsmiVlA0+rlbn0k9oZ54UTOk1wz/pKGh&#10;wexBRg4i5JIfHvo+qjkSB3SuV+hEfkrKBp/kk+ICVaZjT7LT083riLH/+qsvPa0f/9cp6gn1RNo3&#10;vWgHPUF8ipP7q2Mjqqe7S13U/T5a8ezZem7Ep/f5HctKVe+kH1IV5eUq8/Cr6rlnnzFagtqEPQHq&#10;8Div04vH1BPqiRd1QnrNds3j4eENmoK+ij3/mLOAzwLfBTFkkerDVg1l5zwKjn2Fhepbj8+RBLtH&#10;1BPqibRvetHOinfr1LXGg/WDy3rvXaPOSx9Jf2XkyqD6uKLC+CMpyS8n3Ngm0P2knlBPvKgT0mt+&#10;+HDGXu+5sU0ufPgrvTrGHTW2kLM1kv5KoL6XKOeQFxd5dRsbGxjPpuvKStmknTfv1blzvUZT6upr&#10;zbhmu1xm0BHkF4GuQF9QgydR+n4k/g/cP+gtNARrZ9a6fGPjSeoJ9STh9RT1enp7z9vcg//mpiZ1&#10;trPTrCNfGug3az7Im4i8Z/BTrMf18R/03G23qcmFPTXX9Z6aeKqfFQl9kHwG6o4hHwvqNFdXr8X1&#10;4D4i3mdy0q/m5+cNRxzvePM3l75S6O3298qKuvvrL6pb1z9vamreoC/Wb6zkGb/J53UMKzRH0he9&#10;agO/DPPUyKGPNTLcG9RRg9/24MHv6vHj5U2/RdST0LlkX06Mewa/ZWFhQT169KfpH6hhjse9e3c3&#10;1DC3aprfv/+b6UtWnBz6V0d7q/FtvB6HZmke9ifAD8N+Bae2dnV1mfru/zx5sklDnP2BepIYfcPZ&#10;pjyOfpsG8m8uXuj1tL8yMjyk6xnVbNCR4eFRtbi0GFRDnLxRT6LPnvN+8zhx7jfWjiYmJlR9/Td2&#10;H0SdcszHSOqcWz5BLJ8xH9Sja78jx53lj0ArMSeytLQk1hGLa+pJ4vBttSmf3W1TjJswThoaGrL7&#10;ZG1NjYnBxTpRvK07Q+swL9Lc3GRfb2trm4IvgrFfOPxQT9xlL5y24nvjv60w5+v3+1VHR4fdV7FO&#10;jdzSqIUeK18EmoZ5kQ4dmwutgy9SV1enBgYG1dzcXFga4uSSehL/jDrbi8feaa/Z2VnV13fBzsuC&#10;dVaslbiZKwlrUN/pusg1tbW2hmB95s70HQW/KtI8UU+8w2ek256f517bY42ora3d9lmw5xk10KOR&#10;7wmfiViRMx1n7FgRjGemp6fV6upqxDXEyRH1xD2mnPedxzvzvvv9U7a/gjEHdCWScSyYXw20RuMW&#10;b9STncm1W3zxezbzhXUTzFsgNgyagrEI/Ilw5lYQe4Y6iVbcGfyRiYlbakXP57jZBtSTze3t5v3n&#10;d+3s+4+5W+x7ga60nm4xuhLKGGj82jWjI1YM/Fmde2Fm5g9XNcTJMPVkZ/PsZIHHsWEBMac39R47&#10;K+4W/gpiQrBvN9BeoVs3b5r1XsS6QIcQ/wJ/B/O/sW5D6klsGIp1u/P746/dMQ7q779kj4PMWEjv&#10;mzmpdaNV1wxEDHy9XnvGeUtHEDPi9pgmGDvUk/jjKlh78bWd0V6IvZ2amjL7hTAXgphVPGM8M3j5&#10;ikLO7Wis94bLF/VkZ/AZLid8PzmRMEA9IScSTmhDTiQMUE/IiYQT2pATCQPUE3Ii4YQ25ETCAPWE&#10;nEg4oQ05kTBAPSEnEk5oQ04kDFBPyImEE9qQEwkD1BNyIuGENuREwgD1hJxIOKENOZEwQD0hJxJO&#10;aENOJAxQT8iJhBPakBMJA9QTciLhhDbkRMIA9YScSDihDTmRMEA9IScSTmhDTiQMUE/IiYQT2pAT&#10;CQPUE3Ii4YQ25ETCAPWEnEg4oQ05kTBAPSEnEk5oQ04kDFBPyImEE9qQEwkD1BNyIuGENuREwgD1&#10;hJxIOKENOZEwQD0hJxJOaENOJAxQT8iJhBPakBMJA9QTciLhhDbkRMIA9YScSDihDTmRMEA9IScS&#10;TmhDTiQMUE/IiYQT2pATCQPUE3Ii4YQ25ETCgFRPYMcH7wEZIAPbMSDRHdrw94kMkIGnYeB5pdQL&#10;+oG/XfqB438BAAD//wMAUEsDBBQABgAIAAAAIQAwWw8/4AAAAAgBAAAPAAAAZHJzL2Rvd25yZXYu&#10;eG1sTI9PS8NAFMTvgt9heYI3u/lTE415KaWop1KwFcTba/KahGZ3Q3abpN/e9aTHYYaZ3+SrWXVi&#10;5MG2RiOEiwAE69JUra4RPg9vD08grCNdUWc0I1zZwqq4vckpq8ykP3jcu1r4Em0zQmic6zMpbdmw&#10;IrswPWvvncygyHk51LIaaPLlqpNRECRSUav9QkM9bxouz/uLQnifaFrH4eu4PZ821+/D4+5rGzLi&#10;/d28fgHheHZ/YfjF9+hQeKajuejKig7hOfVBhGiZgPB2nEYxiCNCskwTkEUu/x8ofg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rGE47DsEAADlDAAADgAAAAAAAAAA&#10;AAAAAAA8AgAAZHJzL2Uyb0RvYy54bWxQSwECLQAUAAYACAAAACEAfH7FvdJ+AADIswcAFAAAAAAA&#10;AAAAAAAAAACjBgAAZHJzL21lZGlhL2ltYWdlMS5lbWZQSwECLQAUAAYACAAAACEAMFsPP+AAAAAI&#10;AQAADwAAAAAAAAAAAAAAAACnhQAAZHJzL2Rvd25yZXYueG1sUEsBAi0AFAAGAAgAAAAhAI4iCUK6&#10;AAAAIQEAABkAAAAAAAAAAAAAAAAAtIYAAGRycy9fcmVscy9lMm9Eb2MueG1sLnJlbHNQSwUGAAAA&#10;AAYABgB8AQAApYcAAAAA&#10;">
                      <v:group id="그룹 94" o:spid="_x0000_s1119"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120"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5" o:title=""/>
                        </v:shape>
                        <v:shape id="Text Box 93" o:spid="_x0000_s1121"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42DA8D29"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I</w:t>
                                </w:r>
                              </w:p>
                            </w:txbxContent>
                          </v:textbox>
                        </v:shape>
                      </v:group>
                      <v:shape id="Text Box 1028" o:spid="_x0000_s1122" type="#_x0000_t202" style="position:absolute;left:317;top:17272;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4AB79886"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3FF07A3E"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Wprowadzić ampułko-strzykawkę w miejsce wstrzyknięcia</w:t>
            </w:r>
          </w:p>
          <w:p w14:paraId="078E6D26" w14:textId="77777777" w:rsidR="002E5800" w:rsidRPr="008F328C" w:rsidRDefault="002E5800">
            <w:pPr>
              <w:pStyle w:val="a3"/>
              <w:numPr>
                <w:ilvl w:val="0"/>
                <w:numId w:val="0"/>
              </w:numPr>
              <w:ind w:left="471"/>
              <w:rPr>
                <w:b/>
                <w:highlight w:val="lightGray"/>
                <w:lang w:val="pl-PL"/>
              </w:rPr>
            </w:pPr>
          </w:p>
          <w:p w14:paraId="7DFE0F5C" w14:textId="77777777" w:rsidR="002E5800" w:rsidRPr="008F328C" w:rsidRDefault="000E0B7C">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Delikatnie złapać fałd skóry w miejscu wstrzyknięcia jedną ręką.</w:t>
            </w:r>
          </w:p>
          <w:p w14:paraId="16A04458" w14:textId="77777777" w:rsidR="002E5800" w:rsidRPr="008F328C" w:rsidRDefault="002E5800">
            <w:pPr>
              <w:pStyle w:val="a3"/>
              <w:rPr>
                <w:highlight w:val="lightGray"/>
                <w:lang w:val="pl-PL"/>
              </w:rPr>
            </w:pPr>
          </w:p>
          <w:p w14:paraId="1D6AAAA1" w14:textId="67208941" w:rsidR="002E5800" w:rsidRPr="008F328C" w:rsidRDefault="000E0B7C">
            <w:pPr>
              <w:pStyle w:val="a3"/>
              <w:ind w:left="4297" w:hanging="180"/>
              <w:rPr>
                <w:highlight w:val="lightGray"/>
                <w:lang w:val="pl-PL"/>
              </w:rPr>
            </w:pPr>
            <w:r w:rsidRPr="008F328C">
              <w:rPr>
                <w:rFonts w:eastAsia="Times New Roman"/>
                <w:b/>
                <w:bCs/>
                <w:highlight w:val="lightGray"/>
                <w:lang w:val="pl-PL"/>
              </w:rPr>
              <w:t>b. Trzymając</w:t>
            </w:r>
            <w:r w:rsidRPr="008F328C">
              <w:rPr>
                <w:rFonts w:eastAsia="Times New Roman"/>
                <w:highlight w:val="lightGray"/>
                <w:lang w:val="pl-PL"/>
              </w:rPr>
              <w:t xml:space="preserve"> ampułko-strzykawka za korpus, wprowadzić igłę całkowicie do fałdu skóry pod kątem 45 stopni, krótkim i szybkim ruchem. </w:t>
            </w:r>
          </w:p>
        </w:tc>
      </w:tr>
      <w:tr w:rsidR="002E5800" w:rsidRPr="00A5286D" w14:paraId="4A5A59F1" w14:textId="77777777">
        <w:trPr>
          <w:trHeight w:val="6293"/>
        </w:trPr>
        <w:tc>
          <w:tcPr>
            <w:tcW w:w="9090" w:type="dxa"/>
          </w:tcPr>
          <w:p w14:paraId="26D974BD" w14:textId="77777777" w:rsidR="002E5800" w:rsidRPr="008F328C" w:rsidRDefault="002E5800">
            <w:pPr>
              <w:pStyle w:val="1"/>
              <w:spacing w:before="76"/>
              <w:ind w:left="0" w:right="2736"/>
              <w:rPr>
                <w:rFonts w:eastAsiaTheme="minorEastAsia" w:cs="Times New Roman"/>
                <w:highlight w:val="lightGray"/>
                <w:lang w:val="pl-PL" w:eastAsia="ko-KR"/>
              </w:rPr>
            </w:pPr>
          </w:p>
          <w:p w14:paraId="7F602F3A" w14:textId="77777777" w:rsidR="002E5800" w:rsidRPr="008F328C" w:rsidRDefault="000E0B7C">
            <w:pPr>
              <w:pStyle w:val="Default"/>
              <w:rPr>
                <w:rFonts w:ascii="Times New Roman" w:hAnsi="Times New Roman" w:cs="Times New Roman"/>
                <w:highlight w:val="lightGray"/>
                <w:lang w:val="pl-PL"/>
              </w:rPr>
            </w:pPr>
            <w:r w:rsidRPr="008F328C">
              <w:rPr>
                <w:rFonts w:ascii="Times New Roman" w:hAnsi="Times New Roman" w:cs="Times New Roman"/>
                <w:noProof/>
                <w:highlight w:val="lightGray"/>
                <w:lang w:eastAsia="ko-KR"/>
              </w:rPr>
              <mc:AlternateContent>
                <mc:Choice Requires="wpg">
                  <w:drawing>
                    <wp:anchor distT="0" distB="0" distL="114300" distR="114300" simplePos="0" relativeHeight="251658257" behindDoc="0" locked="0" layoutInCell="1" allowOverlap="1" wp14:anchorId="7F62F9F2" wp14:editId="24D32DD2">
                      <wp:simplePos x="0" y="0"/>
                      <wp:positionH relativeFrom="column">
                        <wp:posOffset>36195</wp:posOffset>
                      </wp:positionH>
                      <wp:positionV relativeFrom="paragraph">
                        <wp:posOffset>49530</wp:posOffset>
                      </wp:positionV>
                      <wp:extent cx="2801620" cy="3556000"/>
                      <wp:effectExtent l="0" t="0" r="0" b="6350"/>
                      <wp:wrapSquare wrapText="bothSides"/>
                      <wp:docPr id="97" name="그룹 97"/>
                      <wp:cNvGraphicFramePr/>
                      <a:graphic xmlns:a="http://schemas.openxmlformats.org/drawingml/2006/main">
                        <a:graphicData uri="http://schemas.microsoft.com/office/word/2010/wordprocessingGroup">
                          <wpg:wgp>
                            <wpg:cNvGrpSpPr/>
                            <wpg:grpSpPr>
                              <a:xfrm>
                                <a:off x="0" y="0"/>
                                <a:ext cx="2801620" cy="3556000"/>
                                <a:chOff x="0" y="0"/>
                                <a:chExt cx="2801923" cy="3556000"/>
                              </a:xfrm>
                            </wpg:grpSpPr>
                            <pic:pic xmlns:pic="http://schemas.openxmlformats.org/drawingml/2006/picture">
                              <pic:nvPicPr>
                                <pic:cNvPr id="4025" name="그림 402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96" name="Text Box 96"/>
                              <wps:cNvSpPr txBox="1"/>
                              <wps:spPr>
                                <a:xfrm>
                                  <a:off x="2082165" y="3409950"/>
                                  <a:ext cx="719758" cy="146050"/>
                                </a:xfrm>
                                <a:prstGeom prst="rect">
                                  <a:avLst/>
                                </a:prstGeom>
                                <a:solidFill>
                                  <a:prstClr val="white"/>
                                </a:solidFill>
                                <a:ln>
                                  <a:noFill/>
                                </a:ln>
                              </wps:spPr>
                              <wps:txbx>
                                <w:txbxContent>
                                  <w:p w14:paraId="77EEC0CB"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62F9F2" id="그룹 97" o:spid="_x0000_s1123" style="position:absolute;margin-left:2.85pt;margin-top:3.9pt;width:220.6pt;height:280pt;z-index:251658257"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7rF3AwAABggAAA4AAABkcnMvZTJvRG9jLnhtbJxV0W7bNhR9H7B/&#10;IPjeSHJjNxbiFF6yBAWy1lgy9JmmKIuoRHIkbSn9oP3C9tAv6n5ih5QUx3GHLX2wfHl5eXnu4bnk&#10;+duuqclOWCe1WtDsJKVEKK4LqTYL+tv99aszSpxnqmC1VmJBH4Sjby9+/OG8NbmY6ErXhbAESZTL&#10;W7OglfcmTxLHK9Ewd6KNUJgstW2Yx9BuksKyFtmbOpmk6SxptS2M1Vw4B+9VP0kvYv6yFNx/KEsn&#10;PKkXFNh8/Nr4XYdvcnHO8o1lppJ8gMG+A0XDpMKmj6mumGdka+VRqkZyq50u/QnXTaLLUnIRa0A1&#10;WfqsmhurtybWssnbjXmkCdQ+4+m70/L3uxtr7szKgonWbMBFHIVautI24R8oSRcpe3ikTHSecDgn&#10;Z2k2m4BZjrnX0+ksTQdSeQXmj9bx6ucnK+eT10crk3Hj5ACOkTzHb+AA1hEH/60VrPJbK+iQpPlf&#10;ORpmP23NKxyXYV6uZS39Q5QeDiaAUruV5CvbD0DnyhJZLOhpOplSolgD0X/986+///hCogs0h1Uh&#10;sF/GQlm3mn9yROnLiqmNWDoD4aKdgjyTw/A4PNhzXUtzLes6HFWwh+og8mci+QZBvQCvNN82Qvm+&#10;o6yoUahWrpLGUWJz0awFKrLvigiI5c5b4XkVNiyx8a8AG4A+mYgo98BCCQ4aI+v2F12AEbb1OvbL&#10;yzV2mmVn02lkZlQKKLTO3wjdkGAAKhDF9Gx36wZsY0hArXQgDJhZXqsDB4oInog/IB5MFBDaA3eU&#10;G/nF6IjhF7XhXcWMAMqQdq+b+WxUzX3osZ90R+AC1CEstCrxHfyDPoK/R7qnY+jYSXo2yWaQYejN&#10;03Q+nw69OXbvm2z+ZoobOjRvdjpL+/nHDnwxr07Xshi1GAi/rC3ZMdy9bSW9GA7tIOpf+N9XFSzf&#10;rbvYVf3BB9daFw9gwmocN64fZ/i1xIa3zPkVs7jD4cS75D/gU9a6XVA9WJRU2n7+lj/E40wxS0mL&#10;N2FB3e9bFi6M+p3CaYcHZDTsaKxHQ22bS41Ss4gmmlhgfT2apdXNRzxXy7ALppji2GtB/Whe+v5l&#10;wnPHxXIZg/p751bdGdxWWRR1IPa++8isGeTucZ7v9agnlj9TfR8bZO7MEo13LWNL7FmEyMMA2o5W&#10;fGxgHbxmT8cxav98X/wDAAD//wMAUEsDBBQABgAIAAAAIQDEFOoUxkIAALikBQAUAAAAZHJzL21l&#10;ZGlhL2ltYWdlMS5lbWbsnQd4FcfV90++780bA05sDI4LNtUIkOi92WCa6SB6ESBE76aaZrroCFEk&#10;ehOyqKY30Xsn2HHDcT6bPK5JXiev45DENra/+c9llrmr3Xv3Fl3dKx2eZ9nV9jtz5renzJz5BREN&#10;F4v6V+gXRO3Eov41KEQ06ymi4k3bNCP6BR1L/yX9X3FQO0WeOuNXRLX/i6ibOHBeXfxgfbbBL+mt&#10;e/+HYsXftcX16p/5WWp/YXGP9ljEjrJimSiWs1td1xWnm6SO4xjugXN/QcXFXw/Pk388+O/nn38m&#10;XrgMWAZYBlgGWAZYBlgGWAZYBlgGWAZyqwwUL1aKeOEyYBlgGXAiA544iOvf/t0tXrKhDN55+y26&#10;cO4cZWSk0/mzZ7mMs6GMWXZD13bBCmZJ6MpbyfbN6zdo+7YMOnhgP2Fb7ed16OuCyzw4Zc4sCU45&#10;OpbHt27TmVOnaMf2DLp57SozhHWRXCMDzJLQsmTnjh10/OjhXCM/jhnKzMj1dc4sCQ1L7rz/Dm3c&#10;sE76R7j9habMuZxDW87Mkuwt79/f/h0dPXyQtmzeRGdPn8n13yZuv9krT+FcvsyS7Kv768IfAr8I&#10;MyT7yjic21ZeezdmSfDlXOoiRw7Rm7t3coyG/SR5RhdllgSPJbdv3aBTJ0/K/iKsiwSvXPPa9z1S&#10;fy+zJDgyf/niRUrfuoUOHzrIugjrInlGF9G5xywJnCVXr1ymlNRUunHtWp6UIV2eeDtweYrUMmSW&#10;BFb3x0RfkYz0dLp29QpzhPWRPC0DzBL/WHLqxAnBkK10IjMzT8tPpH5D+b39k3tP5cYs8b1MYdO4&#10;xtGwTeNJtviY77IVyWXGLMlb9R3JssrvHt6yyiwJ7/rh9sP1EykywCxhWY0UWeX3DG9ZZZaEd/1w&#10;++H6iRQZYJawrEaKrPJ7hresMkvCu364/XD9RIoMMEtYViNFVvk9w1tWmSXhXT/cfrh+IkUGmCUs&#10;q5Eiq/ye4S2rzJLwrh9uP1w/kSIDzBKW1UiRVX7P8JZVZkl41w+3H66fSJEBZgnLaqTIKr9neMsq&#10;syS864fbD9dPpMgAs4RlNVJkld8zvGWVWRLe9cPth+snUmSAWcKyGimyyu8Z3rLKLAnv+uH2w/UT&#10;KTLALGFZjRRZ5fcMb1llloR3/XD74fqJFBlglrCsRoqs8nuGt6wyS8K7frj9cP1EigwwS1hWI0VW&#10;+T3DW1aZJeFdP9x+uH4iRQaYJSyrkSKr/J7hLavMkvCuH24/XD+RIgPMEpbVSJFVfs/wllVmSXjX&#10;D7cfrp9IkIEb164Qs4RlNRJkld8xvOU0PW0zs+R34V1H3Ia4fiJBBvolxDNLmCUUCbLK7xjeTC0f&#10;Hc0sYZYwS1gGApKBI4f2069+9V/MEpajgOSI9YXw1hdCUT/JS5cwS5gjzBGWgYBloGNse2YJy1HA&#10;chSK7x4/I3x1H8SCCxUqRNWqVmUbh3nCPGEZ8FsGVqWulDpJXFwPZgnLkd9yxPpC+OoLoaqbFs1f&#10;oQIF8tO8uXOYJcwSZgnLgF8ycO7MKcmROnVr08KFC5glLEd+yVGovnv8nPDVfVJWLJf2zeDBg5gl&#10;zBHmCMuA3zLQtnVryZLZs2cyS1iO/JYj1hfCV18IRd0o+6ZmrRqSI2zj5G15CIXM8TNyp4yNGT1K&#10;6iTjxoxhlrBOwjoJy4BfMnDl4gUqUuRZKl68BC1YMI9ZwnLklxyxnpE79Qyn9XrrxnVq1aKF1El6&#10;9uxhcIRtnLwtF07lh89jOVEysGPbG5IjGMs3f/5cZgnrJKyTsAz4JQM9uneTLEGfeegi+sJ51fib&#10;o745vGZZ8CQDJ44dlX3ToJNMmjjBjSNs47DseJIdPsbyocuA0kkGD+yfhSPMEpYVXVZ4m+XBTgaU&#10;TmJl2yg7h20clh87+eH9LBtKBlq1dMVuJk+eZKmTsF7CsqJkhdcsC3YycOrEMelvrVSpoi1HmCUs&#10;P3byw/tZNpQMjBoxQrJkwABrPwnbOCwrSlZ4zbJgJwPHjxySsZuYmGi3Pq6KH/qa/SUsR3ZyxPtZ&#10;Npo0aiR1Ek9+EsUTZgnLCzODZcAsA8jj2qljrORI61YtPPpJmCUsP2b54b9ZJpQMjBw2THLkmaef&#10;pnnzEpkl3E/ar37SSp54nTfZgnHAjz32G8mSvvG9HXEEugnbOHlTXpgTXO92MqB0kqpVqzjWSZgl&#10;LE928sT786ZsZGxNk/pIhfLlaeEC93HAyi9itZ4+fSrrJWwHsR3EMiBlAHkXkeOosJg7a/bsWY5t&#10;G7Altn17ZgnLEbOEZYCQ46jRyw2lTqLyylvpH1b7JowbTwPFeD/2l+RNXZZtGK53XQaGDBokOdIh&#10;tp1P+ghyNMa2d13DLGGZ0mWKt/OePKSuWCY5UvT5Ij75SKCjjB07hpBHGtvMkrwnO8wLrnMlA2o+&#10;YOQ3GjRwgM86CfQYlT+aWcJypeSK13lLFnbv3EaFhJ8VHOncuaNPHIEe0je+D02d8jAHAbMkb8kP&#10;84LrGzKQKcbsIWZT6ImCNHjQQJ85Aob06d3L7TpmCcsW8yVvyQBypIEjBQrkp+HDhrrxwCpOY943&#10;R8SLO3XsYNg26jizJG/JEXMjNPWNGOu5M2fo1IkTxoK/r1y8SDev38ixODz6kJR+4QXJkaFDB/vM&#10;EeSMrv9ifZozZ3aWa5kloZEtbsN5o5xvXLtGmzZtytLO1LdbrVNSV9LePbslW0IpGyrXYkPRl0S9&#10;iy9rjB22O59ZkjdkPJTymhefBV1jz5u7KGnpEtu2ZtcGV4iY7Pr1a2m7mMfq6OGDdP7cWbp9K7i6&#10;C/wjtcQ84vCzlipVylKvsHs/tb9fQrxHm4hZwizJi20/mL/54rlzlLJypWTIokULpF5y4MB+OnPq&#10;pNQ7zp46JVkB1sDmAS927dxOGzduoOTkpZbswX1WinuuXbuGtqZtoTd376QD+/fS4YMH6OSJTMNu&#10;UjbU6ZOuZ8GGgn2l/74D+/dJ/wg4UqFCeVpgmm9PscLTGvbQgP6co1EvV95mdgZTBsCLJYsXSx6s&#10;WZ1KF4ROYXV/6BnbhN4B/ePcmdNu51y/ekWy4eCBA5SRkU5rVq+mxUt812/MLFi2bBmlpqbQ+PFj&#10;pK+0Y2x7vzgy6bUJFBfnPnew+Vn4m/USbltWss/7PMsF2LBv316DI+lifK0TuwR6w5bNm6SvxFsZ&#10;gzHw10IPgT4CvQb6CfQU87J500apw0CPAUOSlyVb6jtWDPC0Dxzp1y/B0b2csAQ6k1lv8lYOfNyz&#10;LHL5RHb5ZB47YrSvVOFH9bU+Yd/s3rXD5+t8fQ70pjd376LUVanG+3pih34MtpAnX6t+LradsGSd&#10;YB2Wa5evZPtv97Ws+PzIbpORWH83r12l5cJfivYDXyv8Jb7+jpvXr9H2jDdox47tjvQZX+9vdz70&#10;ouOZR6WO48lfg37xI0SexhnTX3fMICcsUfxJTk6W/iS79+T93K4jSQYQLzl29LC0H2BDQNc4e/qM&#10;1/4faVu2yPa1ePFC4ec47jNH9DJCv7EN69fRURFncWIj6dcGaxtxbOgviFGvW7vWsNtUu3e6dsKS&#10;Q6KcscDHBP8ydLOc+t3BKj++T97kHngB34Jd/ATtBoxAmwJfzP3KwA6cA30EvoxgyBH0ffhB8Mzz&#10;QbpnIO+Fto3fCbZAd1G+ZW9MccIS9V7Q5VJTUmRZYn1GxLrUMV7nzbYZKfV+9fJl2S709rBK+BAQ&#10;N0E7xpKRvpXWb1jn1nbQjjaI9oQYL3yhK1askPKPuG6wfzuYkpa2WX6rzQwL9rN8uR/eBQzeIt7N&#10;E1d8YQmeD2ZBL4F+ggV+Y+iJvrwbn8vcCaUM4BsI+xwcgZ/DW39TyPiJzEzZTwQyrvijthH7zc73&#10;h90DHQV9R9RzwMJTJzKNv9X+UK/BFbzXTuHnMet2vrJEvbvux0ZZ79qR/T5p9WxeM4t8kQF87yCj&#10;SUmL6eqVyz61xwuCQ+uFXqJ4gjVsH1+e78+5eE/EdjPS04WddU30E1kp+ebPvbLrGsR2t6alGWXj&#10;L0vwfqeFvwb6H+xLlDHqTGdpdv0Gvi+zxKkMwKcJ2YRuDv+i0+vM5126cFF+ixcvXkTQEczHs+Nv&#10;PAe2F/rYv7lrZ0ie6c/vOCt8PLDNAmGJei7KGX1nlA4IpsC+DFWZq/fgNTNGlwHoFKr/6PEg2eEb&#10;hT9Ff0YottGOMF7w6KHg+2iC+f7BYIl6HzNTwJbNoo9foHEzdX9eMyucygDaH2wa6CSI4Tq9zu68&#10;3UIvuHThguzrCvve7rzs2g8fzvZtGbRv7+6QP9vpbwomS9Qzr1y6KMt87bq1hi0FPQ19gBH7CScf&#10;tXpnXucOTsG3AL8p+qmDI/ieQR4DrV+wCToJvovwi+aUDMPmObB/f8C/J9DysLo+O1iiP+fS+fO0&#10;Y3uG8PkmGVyB7Yr4EuI/qHv9fN7OHW06VPUI+YGPDrGZtWvWGL47cAQLxskF613wLPRNAacQPw7W&#10;fc33Abfwm9Ri7j8H30Qo/L/m9/L2d3azRD0fPl/oaKqO1Rp6KPxKzBRmiJIVp+u9b+427BglT1gj&#10;/oEF2/DjOb2f0/MQU1m+YrnwCQY/nqPaCMbPrBFsxILYK+IbOIZ2hH7w+G1YO33nUJwXKpao34L+&#10;uhgPkL51Cy015Y1BDgjkg4E9in5B6hpeZx9nrgr9P1185/r0jiPk3EqcM9Ot3CG7q1JW0nr408W4&#10;WPydk/VxWnyvISN63wa0M+gk0E1UX1QVB84OlkBvwPg0fAdhtwejPFCu8Ovgflbj3uBHRv6S9evX&#10;y3jSVjEuGWP2gvHsYN0j1Cwxv7drHONOGVtebhonDR8LZAL6JHxOYAxkhTkTHLaADSVKFpe5tpAn&#10;Ry3Iv4U8XJDvbl27GPtxHDmHJ096jW5cCw3r0a6Q18Pc7x2ygXxCdnFe5AnBtxt9wM0yF4y/4QtF&#10;rBJMw3cxEP8J2IT7OI1RoJ89GIkyCMZvCdY9cpol5t8BvQ22IOoH/fSVLx5yoS/wqUGPXSF0TfAG&#10;NiyuUf2hIX+4D/xwsDthc+LeajE/N6/9DU5ERZWWnKhdu5aUZZQh5qVWzGjburXcfu6556hNq1ZU&#10;t24dgyvFihWT41yzo9zgK8U3GD5O1c8Ada/4oXQPT89Gv0xcg3EzaPeezg3kGDiwds1qWrUqxa/x&#10;wng29Kl9e3zXMfCNDSffgBOWgIFYcmrcEcZ4gwXodwT9BGMoNj3I/QLeKNtYZ40v28q+VmvkogKf&#10;9AXjNFQ5WK0xrkBxzLyG3gquQa9STAtEfoNxLca7Kz0E7W6/YO8nf/xIvqdiDI6DI7BFZ86YRjNn&#10;TpPl/kqzpsa1Y0e/GnA7Rf1ifAv88XpdwnaBXoFjvvZXRf4gJQOwqYNRZnb3AKvwHcN3D7qSrzoK&#10;5Bk2jN397fZDzsLJZ+KEJapOsIZfHG3a1/KyK49g7gejld6hfOCQQ7RjMEi1ceSMUDzAt1hnBrbh&#10;V1NcUeukpMBz5unliG3cG+PLoI/jffB+0KegSyF2np1yMmPaVIMHdz54j27fviV5grJSLNE5MknY&#10;NZg7dtJr46WduXxFsqHDDB86xKd2gHYDGQLD8Pv1csHYOTAF3A1UxqDX4N7QG4IpZ3b3Qt1hvA+e&#10;t0v8NvS3sjtX349+o7Dvfc2DAr9RONn7Tljy6aefEpY339wj+hG6+v+gHfA44Yd+C9i6dgt4hvFK&#10;6LuIctPbjpNt+PQxLgP3wTOC4f9MEbxUeskyMe4NOslpwS/MnaL2LxT5cObNS6TJkyfRqJHDaeSI&#10;4TR44EBCPvKEvn1Ev/RFxrmvimN6+zBv453R1jCXg9VvRvtzYruY76v/Dfbq5YNvixrfESpZhQ8F&#10;40pQ39BTMsU4Pf0d7bbx21E2vtQtfEh298uJ/U5Y8vPPP5Na/v3vf9O58xfEt3ydtGURHwMf4V/P&#10;ifePxGdCxvFtVnk84RuAbqx0JPBGtQGrdod9sDtgi8EGgI4Mmxs6BfT58+fOEuwGT2WDHMdqjgP4&#10;SPAOvXrGGWxI6NtbsqNp06ZUq2ZNqlO3NjV6+WXq2rmzmEe2N/WK60kJYj7Znt27G9dAP4Eugeej&#10;7xD0LOhb0D3MY9XxG/HueK6v+v3N6y4upaenCTYnW5YV/CwoI1WOiLtkp99EL2v8bvhPUB9oG2jz&#10;qGv9HKtt6KPm8cFW56l9mzZt9npPdW4o1r6yRDEFa+gq6W+8YXxnUHewGyFHvtq3ofitkfYMtEvX&#10;t9Y1DwJ4AeagfSpbTLUVK+ag/cJew7nK3wO/juIOZB1MgB6SP18+uX6uSBGZqzxJ5EFHvGbC+HE0&#10;YcI4miJ0E+gn+t/9+ydQ7549qc0DHy3u06FDe0Me1DtBLvB8tDG0F2+cs6snzA2Bdqn7Y9UzYIOC&#10;T/i9WFudg/zOdvcO9n7IPxgPvxTqEDY2mIp+mygDO66hbGD7QbdBO7LTU8BftLVgv3cg9wuEJYor&#10;3377Ld28eUvqKqpusYYMbRZ6PfQ+X789gfymvHYtbGboyPARwQ4CKyDH+O5Dd5F6js0cCcjrWa5s&#10;WcmRZ59+muL79KK5sGtMHFH+EsUV/A2u9BW2TpdOHWnyxIlU6EEMqGvnTrIdQD+xawu+1BF0F/wG&#10;JVvgBL7fkCs8w+peaKuQOfASPj5cGyq/if4+sK3AcnwDsOCd8N4bN2wU34Q0WU5WbIXuquwl5DzY&#10;J+L3yn8GnRL+FYzT15+V09vBYIliCtb//te/6M9ffUXHjolxC+vWG/WPusSYTbAZMRh8H132/wlZ&#10;RsGQuZwuy3B/PtoX5BHtD9yBfxOxXugT8LOijtBfzax/KG6MHTta6ifqb3AFPIH/pFaNGtJ/omLK&#10;vvpjrcoO76o4gHeDnoX2iDis1fme9iGPEPiK3+3pvOw4Bi7IeJTwN+v3R98Z+KDThJ4JXxoW2S7E&#10;PuV7Rxm4xhTuE/6UVMHUZNl+wlHvDzZLdK5g+6cff6S//vUvdOPGTdq+fbvUXRYJnx1kw7zge4Pv&#10;D3ijYhsqvqHiqvjOqBgN1ihrLNd8zHGj12le3L4keGIVr+nRrYuM15j1j4linpRJQvcwcwQsgW5z&#10;XPgYY9u1o4ViHgSlnwwdMsitrlS9waeDejQveqwN9hD0WsgI+ojgb38YotctbEboMzmlI4NlsF08&#10;/Q68GxgPXQy/WV/AnWCMU9TLJJjb2c0SM1skX376ib768kt6/70P6MqVq3Ty5Gk6eOgI7dy5SzA6&#10;jVJSUsVcQQ91WjNznPyNfoRqPAPWYD586+ZFxUbsYjB6XCCY5R7IvfBN8vS+5mPSz2L67fhOqngN&#10;5i1Q8RrYJ9A/pk6ZLPUTxIHxNziSOHeO5Az+lvFhYefMmTOLVgkbYpvwm0Fvr1G9Go0T16h79+nd&#10;K8s3w0n9qXPgDwpm20c7RXwlp77r8K+HW/wlEFnUr80JlljxxW7fDz/8QF//z9f0+eef0x8+/Ejy&#10;5/r1m4RFcQgsOnxYzPmxZ5+xZGRsk1wCm9QCRpmX5ctduYCV7ObGNfRA8+9eKfpxFH6ysGzzY8e8&#10;Sq9PnSLtFfSZlxzx4C+BLgL9BOdtFPbqieMn6NzZc3JJ25ImGPQ6dYiNpXLRMfL+se3bSXtX1RvW&#10;b//+HVmfqFN9QV2fEvWJeoBN4yT+ocuzk234HrZs3mzr/3RyD6tzYEPCX4rYDfRp+Eaha5n7+WN/&#10;dvwuq3cK5b5wZ4kdY0K5/+OP77rJuy77ObGN9wnG7z9z5pxs66VLlxb+rWM0ceIEQgzYk79E50i6&#10;6MMN/9j9+z+6vc+dO3do2NARNGbMBCpatJh8RoOGDd3O8fT+SUlJMg6Tnf0M0OY3C13VLp7iaxtE&#10;PzPYT+hDo/qPwaaCTxz2+QbRHxEMw9hWPBPnWvlcfX1uOJ3PLHnYd8aTfOfWYw0avCzbeqrw6505&#10;fUaMuakt7RezvwR/K7sG+ghisH+6+4ktH959932K69lbtJl1VL16TfmMlq1a256vyhc+NegksMv8&#10;bSdow058rPDxwPaFb9TfZ+E6XI+8X578IDgP9hX8JbBzlP4SyHPD7VpmSd5mCdpw+QoV6cnChcX3&#10;9Cr16NmLxo0bYxmvUXYN+pqUKVOWZs+aTcOHjRB91xJo+BD0iR1M8+bON3gBnjRv3lL4Yxc44sn7&#10;H9yRHMF4zUD0BfQjAY/Qbr35KjHGDBwIpF8sYi9O2KXaPmIF0Ing0wuUY+qe4bBmljBLjhzJpEce&#10;+W96sX594TOZJPueTZo0UfpPVNwXtg38rLBrLl68LHwkxw1mKJ0CaxybMmmyceyb//07TZkyzRFP&#10;MjNPSAbAJgikbWCOSdVXDfn8EFP1dD+0Z/g4YHcgtgS9xtP55mOwX8z7nPwNBh0T/YGcnBsJ5zBL&#10;mCVgwPDho6QdMn7sWIqLi6e2bdsKlow17BpwZLPwV94XvvC7n9ylI4ePGLzQWYLtjRvT6NChQ8Zx&#10;8GTgwCGSJ5UqV5HPQZwn63UbJUt8+cbbtTH4JpQfHfqJ3Xn6fjAFPMG4EPg19GN22+gXBT+r3XFP&#10;+xGfQszX0zmRdIxZwixRbbprtx5UoEB+Ak+gn0wYL2I1UyfLeM1+ka/4/v37sv1//tlnop/3jiws&#10;UPe5989/0urV6+ijDz80zoE/NnHOfOrdK54UT8z+WMSa0P7t+rKiXcHHiX7oiI940h9gI4EnaozB&#10;ceGrcNou0f8F/EE79/QM3A/2CvQLp/fWzwO7sjNvrP6sUGwzS5gligFYqzguxvGBJ0OGDBH9fnbS&#10;j1qs5m9f/4/ow73c4IR+vdoGTxYuWCJshwzjPG/xHcUStE8r2YdvA2P0EGPFPJmwLbz5VTCnDPiE&#10;/m6+xk3QTwfPA7s85e7xt78Is4TbnmovuXH99tvv0FNPPSXtkGYiPjx+3ETapvFA/ebx4ycajFD7&#10;zGvwZFlyipv/xC6+c+/ePdkHBu3ejiXQFXQeQNdwYiMgVoP7YsyczqhVwpbp0b2bHEuEMS76MX0b&#10;cV013teKKdszPLNGv5e+jZg3dCd9XyRvs17CbDQz4IvPvzD0EzueTJ8+m+5+/LFXnuDeZn+sZXyn&#10;ZStS/QaRe87cpk6Kdof2bN4P/4Y33wZyEsEXi/FgymYZOKCf4beB76ZE8RK0yYtfBTFfK6ZAv0Du&#10;al9zGWFuCjtumn9nJPzNLGGWmFmi/ob/BO0M/pNOnbrSITG+VR37Sozf7Bvf3/hb7bdbm/2xnwgO&#10;6f7YsmWjDF8pxuSb2w5yQSHGYt6PfihO+qLAnwrdBLFf5G1SffwbNa4rtwvkzy/X3niC50NPQT98&#10;jM1QLMA+jCXzxjX1/vC7+msbqXuE25pZwiyxa//Yr/tjwZMNIg+JOv/Wzd9RyspVxt9qv9Xamz+2&#10;Zq06cowg2ruV3o92axXfgZ2ANuytXUGfwL2HiXxNiiPPFy1CSzPKUd0GJUS+yYJyP/LsIwe/t/th&#10;jC/YhjHv6BOP90C/eOhJ6JPm6XrYafD1eLKrPF0frseYJcwSq7av74M/FvGdiRMmiLazNQtPZkyb&#10;4Zgn8Mfe+eAD43zdHztr1gzZ3tEeze0F8RirfiLwvaLPF/QC8zX630cFH8CSviIXHFhSqvRT1LJt&#10;PYofUYwS11SgOatLUlSZkj7xRN0fcRzkPAIfMMcNxrkjpzlixWAM3hELtpEzAb8vt3EEZcEsYZbo&#10;3LDa1v2xLVq0zOKPhT+kaZNXHPlPoJ8MGTyc9u/fZ/BE+WO3b9su/BoLZZs3+x48jRdWuXBV27Za&#10;Q6cBS5CzNqZ8aYrr9zKNmVGNOnRuTKkH88slZV9BatUxWvIE+Ris7mO1T7ex4FMBt+AThr4CbsBn&#10;jH7z0Le8Mc/q/pGyj1nCLLHih3mfzhMrfyz8J2CEE38seGIV3+ncuRulbd1KGNdszs9qZ+OgnSE+&#10;7C2eA7sDLJkxZziNmtxAsKQWTV1ShkZOjTJYIpmy/zGqULmM5MmRg/sd8yRS2nt2viezhFli5obd&#10;397iO0rncMITPMMqvtOlS3eaP2+ebPfIHaRkH/kMkWtG/a2v0Q/EG0twL7Akrldn6ta3Bq3c+yS1&#10;al+PUvYWdmMJ/i5Y8HGZz4lz/T2cZ0Evb7ttZgmzxI4ddvvN8Z0/fHjHsFeCEd+ZI/rHqtx7yHkK&#10;2cU84LotocuzE5Yg7gKWjJ3US7Jj8eaK1KJjETeOQC9ZtMHVx79+/bqW3NKfy9vurGGWMEvsmOFp&#10;vx7fGSpylbz/7jsGT/yJ71y7ekPk1zsjc+vNnC5ytaWuljyBnwQ8QexV11P0duyNJfBfgCPz58+i&#10;5TuLSX7E9a9JCze/kIUlvYe65lceNWIEs0QwXC9nb9vMEmaJJ2Z4OqbHd+bNW+R3fOeLL76k2rXr&#10;UetW7al9+84UL3IYJIg5eCaMG2/oJ+gfYpdHHmODlP5ilnfEX5PFXGJgycKUDpIdM5bWJbBE+Vz1&#10;daWqrrnGDgrfsPle/LdntjBLmCWeeOHpmPLHqnixub+9k/jOn7/6C40ZO4natetAJUuVopYtWtOo&#10;4cNp3KiRFN+7D7Vr28bgCXiAuKq5TaN/iVVfWZyHPCG4bvzYV6llbFVqHVuLyleMouW7sto3r89v&#10;L32uFSvEZHmG+Zn8d1auMEuYJZ544e2Y4gn6bPga3wFHhg8fK3UR6CN9evemmJhy1LxBQ5rdpw9N&#10;7d+fOotcsTVqVBdxHzF/lojvLBaLnksaDEH/EvMYP8RmMZcBOJI4dw7NSoqlV1pVo9r1KtCK3c9n&#10;0UmW7XiBnijo6q82WeSqZFZkZYW3MmGWMEu88cLbcfBEjS+24ok5voP8sO+9d8eNIwkJ/WiC0Efm&#10;JPSn7o2bUqzIDzttwCB6TeS0zxA57pGf7fWpUyVPwA7Vdx39WY8edu+nCo6sWe3KX4D5NhamdKdm&#10;rapQm3aNaO66Mlk4AhsnbqDLtoGOBb8Mxth4azt83J03zBJmiTdWOD3uNL7zocg9HxeXYOgjPXv0&#10;pjGjRkiOJIo5RbHUrlCJenTrRm/dvi19uhi/M2rUGFqxwjXXCeYjlHPiiTnNzW0a8+RJ/4jQSZau&#10;GkQNX4mhyXM7ybXuG9G3q9dy9VGrUbO6vBZxH+SBNt+b/3bnh14ezBJmiVNWODnPW3wnOXk5desW&#10;Z3AE/dPgH4EOojgyu1cfenXgQCpfrqyID71rxIfQ337xoiRaIsb7ghWLRIxHzQ0BGwfxHORulRwR&#10;+sjStX1Fn7QXqd+oaOrcsyrN31TSUidZvKWc9JPAThs7doKcr0nNOYm+8Oj3bp6XQm9DvO3iC7OE&#10;WeKEEb6c4ym+M3nyDOH/qCVZYsUR2DiwdaYOGUrTe8RR5XLRYj6Rh+N3bt9+S8zlJeI7D/raK/1D&#10;X89fMJsShjSlZs3r05CJUdR3eLToL1/FkiPQTVp2jDJY8tlnnxvswlw96cK+UveGLoT4stk3wyxh&#10;lvjSPvhc58xV/lhzfOevf3H5WuvUfZGKFy9JCX3j3fQR6Cawdca/OoomDR1GcwRLwJOalStJ/+qu&#10;nTvl/IDTXp9CnTp2EDnv5xDmHJwzexYlJs6ipStfo2VpjSnlwOM0a0UFWrYrisYlVqbeg8vbcmRJ&#10;ehl69NEC9MQTBYVPpjl9/913BktUnWMOpF27dhvxJOTJ5z6xWW0d1kuctxElW7z2XmaKJ3p8Z8OG&#10;DSK2kkb9+w2gAf0SqEpMNE3p1l3aNoojU199lRLjetPEYcPdeAL/SXyfXrR37x7pa10q/Bk1xHzo&#10;uD+WstHPUa/+VSlVjKeBroE+8ugrD9tG94uYt5VO0kXMfar0D+RkOi3iQ3c/+Zj+LMYZqfq+d++e&#10;zNeEvEesizBLlFzw2jsPAi0jPb7TulUr0V8knl4bP57GjRZzjo4YSdPFXDzVY8rTuPh4Gi/0kWmD&#10;BtHYUS6dxMwT+FIQ3xkzehR98sePaL7QScAQ6BRqfM1rC0pQj97NqVuvxhTbpSFNnFfOYIuZIfh7&#10;4cYoeT3mBkJ+APhskXtNMUVfgy+YVxb7rHIyMVs450Cg7YWvt2cS5gdNWrKU8uV7RLZ7zFmOucsX&#10;zp8rbZlZ/QfQxJ5xwt4pRtiWvteEgZIn0wYNpMQ+8Q+3tfjOwnmJhj4Cjlhxwsm+ZrGuOHBnYS/p&#10;LDh25IjsY6uzRN/OqXnN9XcMh234ozFGCvnBMY6bbRz7tsCc8L9svvziC5HHMEl+xzt0cPUnLVzo&#10;CZo1Yzo1adSIhg0ZTNMHD5F+1n4iPxH6k6g4zgxhA40T+smsvgmktsEW5T959kFu6+q1S0hbxgk3&#10;zOeg3+uTTxaSTNon2oNV20Q/FeQqwBhk9J9FPBpxHatzc/M+lZMFfXk2btgo53VHfknEtw7s3yv1&#10;NOSHYZb4316YNdZl9/H/+9iwE9C/Hd+u4Q9yIxYuVIgWLVxIzwgedGjfnjaLPEGwWeaKubw88UTZ&#10;PuBJtJhLHfbNok32sRkzO8x/d4yrIO/RrWsXn9iQF3yuGMOEvjWw+zaK+gFDwFRv86kyS6zbA3PC&#10;v3L5+9/+Jv2Tanyv/r3WeZI4eybFCpZs3LBWsgQ8mSdiMZWiyxn+WKWTQD+BvaP8sS9VrCQ5MG1p&#10;Bb/sm3Ezm8jrwaOOse05JmMaD3xW5NcGO5zmwVZ1zCzxr80wa7KW2z9FvjT4KJcsXmzbt0vxBO24&#10;Z/fuYjxwHzeenDp+jBrUq5uFJ9J/8iC+U71yZb9ZMmZGRYMj0JHwHtBN8oK+odp8dq2ZJVnbBHPC&#10;vzLBfMOeOKJk2BtPbomxMGaeKBtnsvDVFsifT8Zflj3IRWK2X+z+XrqtuOEjqVevnuyD/9xzzxk8&#10;0efxUu/K66yxX7syYZb4126YNw/L7aeffjL6h8K2tpM1fb8+R80SMfa3lugrAt0Atg4W6CewdyYJ&#10;XWS2iB0nivjOkIEDCPFb6BIvNfbdvkHMB9di2fvmLvkc5I9X+9q2bu02L6D+vrztnSnMkodtgvng&#10;X1ncEPPkIGaKvhne/HN6m1T6CWwN8ET5LsAScKVYsWJGO3++SBFj+9kiv6VFadZja+x0kiXppY05&#10;cAoXKizjD4pbo0U/W8UTtne8M0OvQ32bWeJf+2HuPCw39C8HSzBPjC5bTrYVT/Lny0dzZk2X+smy&#10;5CTCnBJo308/XZiKFnfZITHlo6ht1yiCrWLHDKv9yAcdU8HFInADnAK30OeMeeI/O8z1yyx52CaY&#10;D/6VxerVrrG5vugkuhwijxm4Af0EPHn8scfk34H0H9GZ0rGnK+5TtWpl+ugPH0p+vP/O21l4AntH&#10;95+wP9Y3zjBL/Gs/zB1XuX3//Q9SJ8F8NjofnG6fELFHcAR94ZWdgXWwODJgtCsvybNPP03t2rR1&#10;00WseHL+3FnmiSlG7LQumSXMkkC4iHH5sG92ifzNTmVOP2+wGIMDdjRrU4Z69nPpJzEVn/W7P6vS&#10;R9TYPsWodNHvSrFjmcgl7Uk/MfOE4zvO9BNmCbMkp1iSIsbuK10Euc/AgY6dWnjMf6ZY4W09+nXX&#10;PDe4f+NGDal9m9bStoHdgn3IRaJ8JdiHONLv33rL2MfxHWf80L8LzBJmSTBYgjl9dbnytr1DxI6L&#10;FHlWtusiRZ5xmz+va3wMTV9unZfVG0NwHPOMFy7kygMN3wtYAZ8rxhZjDa5gn2IJ1uh/C56wP9Z3&#10;hqi6ZpYwSwJhCa5dvGSxZS54JWPm9Sox143SR6Kin3abHxwsQNylY49aPsVqFGN0jlSrWpVq16pp&#10;2DOjxDwZCX17GwyBLYMxamBJRvpW2rN7RxZ/rB4vjuvZwydemn93bv+bWcIsCZQlW8V84vCZHDt6&#10;2GtbyxQ5Dgs96Lv+298WEvlYG9OoKXWoSetSlLjuOYMfnXs2MLYVJ7ytdY7Ur1s3i54BZgwe2F+y&#10;Q/lEHi1QQOopWINvM6ZNzsITPb6zNW2z19+Y25lh9/uYJcySQFny9u/fkSxZsWKFx7kgThw7atg1&#10;jz32Gxo8ugF169NYzn/1+iLh0+jh6n+G3KwDJxT1iSXTl8cYdg040lvkO4H/Y4/IFwCfKzgCvWSl&#10;8NFg/j8V+1X6kb5WPLly6ZKhw2DuHpyDvi92bSmv72eWMEsCZQmuP3HilOSJpz70rVq2kO3xkV/9&#10;ihZvbEONGtelrn1qE/ykyPOM/KxLtjSj2nWqUcq+go5ZgmueeDBPFuwa+D3ufPAe1a9Xj9q0bEkD&#10;+icQdItyZcsKFiQ/tK9Ef7h0oWegP/9aMZ9OEa1vLeYABX+wnD6ZaVyTeeQgs8QmZswsYZYEgyW4&#10;x4ULl0R++AUyd9DN6zfc2hxyqqlvf8LQRoT5aLr0qidsnLoUP1ToIWOiZc548AW2ijd7Rh3vO9LV&#10;fwT3LlWqJHUSeZfgP33r9i35vLOnT8o8KU2aNKJ69eoYzMH5yO+m6xLnzpyiunXryOvQ7xb+2RPH&#10;jlHBx1195xq93NDtfP1a3uYcjcFqR3wfF5P37Nkn9ZNkYQtAR0G7HjrE1YcE7Td+UCM5Lm/8613p&#10;lTY1qP/IlyRL4gZGy7knFCO8rdF/pHXHh/Pa/ObXv6ZlS5fKfi6Yx++MyP28cf06av5KM6pWrYrI&#10;FbnIYBnsK7wL/Da7d25z48PVSxfdeFK0WFF5btHnnyewhplhH+dhvYT1kmByEGOGT58+K/OYTHpt&#10;AlWq9DBfCDhSr0EMdejaSPYhGTPjJYrr24JatqtOE+a94FgXwZxZRUs8Kds48j5u2bJFzE1+llq3&#10;aiP7jWx74w0598X8uYlSFxks8jvCrgI/nvnt09SvZmVqVN7VL84bT3BNkWeeJbs8jsyWh2xhljBL&#10;gskSda+vvvozlS/vyoOIdtxveAPJD4zvbdG6vvC7NqZq1StTi7Y1KSmjlGOO9B9dhgoWfFxyoW6d&#10;2iIv/Xhas2oV3f/hB8K8xbGxHUVOyL2CZSnUonkLatq0GT3yyH/L82tElaKe1StQxegYiq0U7cYT&#10;+FN0LkA/mTNzOiWJ8cvc7/UhL/QyMm8zS5glqv0Ha425LF54wTXOt3RUSRrwam1q2qIaqdxFQ8fX&#10;oCZNGxC4oOaz8WjTiDlvElMrUc36JSUToCtMmjhJ8OM+YZ7zWyLnwehXx9K6tRtE3thESktLF3OD&#10;npRz3FQXcwTi/Coli1NMseLUr0oM9a9UhhqK+bvceCLm2homctKuFjEe5IrGfKJmn4+57fDf7oxh&#10;ljBLgsUQ3OfuJ3fpqQd54qtVj5ZxmcaNX5QxGvBi0Mhmws6xn0fPiim4BjzAAh2jc6euNHbMOGMO&#10;LDwXPBkwYLCxD+/xUoOGxnVxtWoQloqCJwMqlpY8gX7Sr3p5KleihHEe7CH0lcGC+cl3inFG/o5/&#10;zmusYZYwS4LFku+//56efdbVLx79WTv3aCi5MW99MTmvVbsutSh+RGm3/vJW7FD7MD9n01YP4zTw&#10;rx45kil1kQMHjoh5OXca7IB+gvl48Fu+/utfKSbG5Q/59a8fFTHmevTkE09QfFWXXQOeQD/pUa08&#10;1RS52/oI/wmOg1WFhH4yccIEkX99k1g2GvNyoO9MRkY6ncjMZH2FY8KG3AWr7fB93Dmcnr5Ntsc6&#10;L71AHbu9RNOS6su589p2rkld+75g2DiKFXbrFW8+Qz36lTX8IkongZ/0zgeuecrBjn17Dwq/62a3&#10;ev32H/+gihVduaVx3fLlq+jbb7+VupLiCfQTZe/oPNH1kzYiP8F//vMf+kH4Yc5fuEhLlyYb+gpy&#10;7G/csE7O1XHuzBk3P0te00X038t6iXt7YD74Xx6KJZPmNqI2naIotls1yRKwwY4b+v7E1eVk7gE1&#10;BxZY0KVLd6GLHBc2zXiCjgGe3P34Y8kPxRPYO//857dy33ff/Ueeq/ij6nPH9l3yevAELIGOYuYJ&#10;7B0V38H1LVu1Njj1048/0t/+9jUdO3Zc+GPSDH0FthB0lj0if+wlwRy9bYVqG36dA/v25ciz9d/I&#10;LPG/7Sg55bWrDN95513pzyhRqhglveE8t/PUJWWo9otlDJ8F2nHx4iXo0qUrRltGGSsemHkCX0mX&#10;Lt0Mnly+fJWe/K0rx/SdD+4Y98D1ypcDZph5Yo7v4D0QB7KqX7AFYweQnxJjG5WPBXP7YZzggQP7&#10;hf9X2ENi3iq9vWXX9o4d2+m4g/FQ2fV83JdZwiyxaiv+7hs9epzoy/FLr3nRktIrUN+RxSmq7PMG&#10;Q+BXRdzFzBD9Xax4guNffPaZ5Mk7b/+e6tarb9wTcwjq18PeaSTmOAcnzDyxiu/gPOhDmENMv4++&#10;ff/+ffrwwz/Q/v0HSeWrVGzBeunSJbRm9Wo5Dx5iRPv27nY0D54v7f72rRtyjr0rF3NGN2KWMEf0&#10;NhGs7XHjJsi2ajVv+Irdz1OPXi2Ntq7aatduPejLL7+yba/6uymeoJ+7vh/6CeydsWNfo0qVXbmQ&#10;wCf9HGzDD6J44jS+A56Y72P399///ndCbv6Dh45I/21KSqqht+iMwXbqqhShv5wIiu5yRsy3h3k7&#10;fWFQMM9lvYR5YtcmAtkPniA/IniydFs0TVwQRY1bljLG8oIh5URM9rUJk+nevXuO26l6J8UTxHDV&#10;PvhPEN9ZvHAxtWrdlpq3aCWZ9bKYC12do9aKJ8ofCx3FU3wH72tn76h7elrj3b768kt6/70P6Oq1&#10;69LvAvto3br1kjPJyUulXnFU5GQIpF/Lls2bpM4TTEY4vRezhFniqQ0EcqxBw0Zu+gfaI5Y6devL&#10;fiiB3BvXwh+L+0E/Mcd3ZkybTglifi6lnzRu0iQLT/yJ7+j+2EDfX10PxqSLfv9KZ8E8Q4g/Xzp/&#10;3mcd49rlK9IXjPwOThkQrPOYJcwSJdPBXn/26ecE26VMmbJUpWp1Ono0k7755h9Z2rS/z/3hh+89&#10;xndWp6bSwQOHjD4vq1etzvJs5Y/1N77j77tbXYf5mI8fPyl1lUWi7760gUQOur17dvvkw8Wc4uvW&#10;rg1Iv/GHL8wSZomVXEfSPmXv6PEd/f1PnTpLv3kwNljfr7Y9+WPR/8SX+I66Z6Br2H3gCuZ6B1OS&#10;hP923769jvlwMvOYHAvgDxP8vYZZwiwJVO7D4Xo7nvzp7l1SttYrr7TIopeod1f+E9hMwYrvqHsH&#10;skbsGXlhFFOQywFMge7hrc1v2LjBJ33G2/28HWeWMEsCkfVwulbxRMV3jh4+SqVLu8YYol/Je8Lv&#10;6el9dZ5kR3zH07O9HUP/W/Rn2b59u+FXOSRyw3hq38gdg8XTOcE8xixhlniT40g6rvyxZctEufl9&#10;//jRHz1yRP1Gsz/WSXwnO/yx6n2s1tev3zR4slbMl3g809rPin5yyLMfTF54uhezhFliJa+Rug/+&#10;2LbtYg2OYKzhVw77rajfrPQbFS92Mn5n6LBRjlilnhHo+tNPP5U6ivLRLl+WLPvxm8c0p2/dQlcv&#10;Xw4JT5glzJJA5Tocr/enz4r+O8AT2EXhEN/R38u8/S8xNhpjDzGmWcWUMT4oTfRZg32zd+8emSvz&#10;5nXv/hVPOoeTY8wSZolZPvlvl0yEY3zHU918/fXXdFj4iFasWGlwRfHFzg5ywgin5zBLmCWe5DOv&#10;H9P9sU7jO4H0jw1WeX/zzTf03rvvSbZAZ8F4Q6dM8Pc8ZgmzJFjym1vvo/Mk3OI7Tsoc44NSRZ83&#10;fxnh9DpmCbPEiTzm9XMiIb7jqY5SVq501CfFKTeszmOWMEs8ySAfeygfTuM78NeqsUee4jv/K/QF&#10;xKrh58juct68ebMYT5C9fU2YJQ9lJbvrk+8f+WXtJL6D/LF6vke9/wly4mIMNXI9Kd5gnS/fI/Sn&#10;P/0p6EzBfEXoj5KUlEQXz53LVjuHWRL58s2MCm0deovvIB+1Od8j8p8MHz7SGGf4xOOPU8WixajS&#10;80WpQIH8BleCwZPvv/uOPhB5cZHTQPW93ynyrlnZJcHcxywJrRxyu88d5a37Y83xHbvxgNA/ooqV&#10;oGbloqh/5bJybg3Mr9G+fFmDJVa5m5zIDMYYY9wObBnVfw3x4LVr1og5ka37xQaTI7gXsyR3yLYT&#10;eeNzglvXOk/M8Z1+1aLl+GJ9/p0XxTyGYIfVots7TusJuaz37j1gmRcS/dWQZy3YvPB0P2ZJcOXL&#10;qRzwebmj3K3iO81jykle6PNlVCpaVI4/tuJIgvCvPPXkk4ZuMlPMPbpgwUJb3wkYtkHr5wr9Y9Gi&#10;BTJnCcYQY54N5H/11O6z4xizJHfINLMp5+rRHN+xGg8ImwaMgU8W+e91prxUuiS1e7mxwRKlo5hz&#10;S2JcwMmTp425ehQ/EJ9BPrXs4IMv92SW5JwMcvvPPWWvx3fACqvxgOBJQq1qkieYNxA86Ve5HNWp&#10;VJkee5CrqV65MtSo7AtUq3x5yp8vn+TLzZu3pB9V6R+bNm0i5IUNB37orGGW5B55ZjblbF2q+I7d&#10;eMBqZcrI/NTQW5Re0iC6LNV4MF/pbx59VM5NimO9xHxgBR8vKFnSrWsXOb4G+QNyaj4vnRl228yS&#10;nJU/bv+5q/zV3IWtGrwseQH9RM2HXqZ4SWpYp67BEfhlo4sXN3QSdR5Y0rt2DXq+SBHJkpdeepF2&#10;ihxIdm04XPYzS3KXLDObcrY+MU9H8acKSztG+WChh2C+0eqlShgcAS+aVKtC9R/M4wMfSdcHdo88&#10;VqYklRbXYH+7Nq3DniPgGbMkZ2UvEtv+uLGTqGTJqJAs6ek7bOMZ4VZ2M2fOIdgpfR/4VsEQ8ARL&#10;/bJl3DjStEI01RA2D1iBfmtx9eq4HW9Qrbrcj+OvT5nMLBFzmIRbffP7BF4noWLJzJnzIkZ+MFfH&#10;448/RvXFXD3QK9QCnuj+EewHW+pWqmKwol3lisb5ON61emWqJOYBAUewHDm0n1nCLImYtuALY0PB&#10;kkjiyP9n73xj6yrLAP5+Qj4ZTQYa2FhwBF2VtnSTDDfJRKbxmwajCCYCG1HiBwnwiQ+6D8YPrnTt&#10;1g1Y1xo33D+2qy1MtxVWxkY26XAhxA9A2LpMg5FElszqxsLi+5zlvTs99nLP6Tnn3ue5/ZE0997u&#10;3Pbp+/yeH8953/eeI2PX09Mb1f0DX57qheAUeZT1nVv8vtelft1GehHxRJt/HT9G1nq6vrDQXfPp&#10;y58P/OXqn5vwCOc4+f8fnaUGW+XYsl1izSOS14ce+rGb7+dK416IP/92+0K3tKvLLW2/0o+0+Wvk&#10;L+/smPKe5R3tvmfpjDxzl793qZZ51TRxMF+CT7I6riyXLFx4i1u9+lcme7mHH/6pu8l/Vi/uj/D8&#10;nq8sieZi22KfDZ4/d567cd48t6rjyjzK/UsWRWs+4dxm5/bf4RLObUzWQ1qnlOUSS/OsybFat25D&#10;1Et8p+PKntb7/fnOMv+Z4TsWL3IL5s6N/l08ccO110b7SB709wQMvlnp99F/cf58t7itLTrumytW&#10;mPII5zj0JMmaSPO6DJdYPK+Jj9Wkvx683B/w6k9c5W7zn+Fbseyr7uYbPxf1I6HPmPeZz7rv3Xar&#10;70WuzM2KS77lPze8pL3T3dG1KPLIDb5fOTTW2M/lpTmHqXcM5zj4JF4TaZ4X7RLrHomPmVznKLgj&#10;PMo+2Og6Ax03V/uQ0I/I2vCyzsv76uX4a+bMcfv9/vh6davx33EJLonXQprnRbrkiSd+0XLng2Mv&#10;H3bfv+fe6P46X/KfD141jUNW3trmlnd1+rnYjuqazvXXX+d279pu0iPiNlyCS9L4I35MkS6R+Va5&#10;/0L857fK8zu/vsLJeU3cJav8urD0KEva2/3n99qrPYzMj1jtR0KPhEtwSdbaLdIlsn9WfJI1BgvH&#10;DwwMuQV+bUc+dyMOudvPp8h5zDduXxqt+YRzoAcf+JHZXiR4hL4Ej8ykJot2ifhk1cqftKRPvnbn&#10;XdXe4zp/T1G5fonssxePyHVeH3/sUff6+Gu4hLXfluS/nl/KcIn4pJXmYMMY/u3M3y+v71x9VdUp&#10;cq2SH953b8OuwxrvHcp8zjkOvUngPu1jWS4Rn3R2LG7J+ZOJU6d8D/KYk2uQHHv1SEv0IcFLR48c&#10;cb+v7Gbuld4qc29VpkvC/EmrzcfKPWqGBodMOUQcIV9yDeqXRkfd/n1/dHufH4m88dyuHe433ovr&#10;1/dV74NOX0JfkrYfCceV7ZJW9Inca+LF0f3qXHL8tfHoWtPiiG3bnnXPPP20v57sk1U/yHUh03y9&#10;sPcF+hL6EnV9ibgk+CT4y/Lj22+94z9H3K3OI6MHDrje3rU1XbFhw0Y3ODjotmzZ4rZu3eoqlT9E&#10;X3L9arkXj/RaZ8+erfJDX0JfkrVOG9GXBJ+0wvrO9h073dDQoAqXyL0u9v1pr3vqqY3TOmTXc3vc&#10;++//s+qHLGzgElyShRc5No1Lblrw+cKuu2Z5fefDDy+67ie7S78veJgHrfV41M/3jowM+3OYqQ6R&#10;++lMnDrp5L6hWTlIHo9LcEmSiXqv67lEar9SGYn2oIX+Iu+j1fUdOb+R+YZXD7/S0L7k+J+PRfMz&#10;sr4icyByL534vMfx4+O53ZHkBJfgkiQT9V5/nEviPcTw8N5ojTevR8L7Le63P3r0mOvu/nVpHjl8&#10;6FDUbzy79bdu8+ZNrr+/P5qbiXsjPO/t63PvvP2WO3/+v4V7RJjBJbiknjuS/17LJXGPhPfIPbPv&#10;/u4PCjvfseYTmafs8zVc69wj6/fl/lpynz7Zp7Kur3dKrxGcIY9r1/a6gYHN7uDBMXf69IS7cOF8&#10;Kf4IeZZHXIJL4jykeZ50idT3x10P7YI/Fy/aJ2ni1HBMkS4Rh0iPE3dGT09PtM6yb98B9+abf3Vn&#10;zpwp3Rm1xhWX4JJabNT6ftIlaa6HJv2JzHmE85W8j1bWd/K6RPaKyfxo//p1UxwiPhF/XProo6a5&#10;I8kHLsElSSbqvY67ZLrzmlrvl/kT6WHyeiS8P8vvrhVT2d+XfRjSS8habNrzGdk/JnvHNm7s/z9/&#10;VCoVNzFxSo0/4uOHS3BJnIc0z4NLZlLLRftEe38S1nEO+j3o9VwiDgk9SPxcZk33Gr837Ehpc6Zp&#10;cp7mGFyCS9JwEj9GXDITj4SfMZvWdy5duhTNgQ5s2lSzN5HzmD27d7kNfg0muX/9xF9eL2TvRxj7&#10;Mh9xCS7Jytf4+IncPfZsWt+Z/M+kk/3o4hP5fJys44o/Xh4bczt3bHNr/DlQvA+RuZA9lT1ucvLf&#10;ucc5a27zHI9LcEkefvK8dzat7/zjvfcin8TXYJLPZU1mePj5Ge9hz5OLIt6LS3BJERzN9GfMpvUd&#10;uY6C7PlIOkReDw+PuIsXL5rqQ5I5xyW4JMlEo18XPR+bZy6n7L9d5k/OnTvnPvjgX9FXI/aQlf03&#10;hZ+PS3BJYKGZj0X7RPv6TjPHuqzfjUtwSVlsZf25s2l9J+vYWDgel+ASTZyWsb6j6e9r5VhwCS7R&#10;xvdsmo/VNvZ54sEluCQPP2W9t+j5E83zsWWNYaN/Li7BJY1mLu3vwye22MQltvKVtg5b5biifdIq&#10;46Lx78AluEQjl/GYilrfOfnuSdN7weJjovE5LsElGrlMxpR3fWf0wEt4pOT7t+ASXJKsW62vZ7q+&#10;88jPHscjJXtEmMEluESrO6aLK+v8CftfG8c3LmncWE9XG3wv+/in9cmmZwboRxrQjwSGcUl2lsPY&#10;8di8savnkzdOvIFHGugRqQVc0rx6wEX5xr7W+g7rNfnGdaZc4pLmjPtM88X7puYrub7Des3U8Wkk&#10;L7ikeWPfyDy38u8K6zus1zSXZVzS3PFv5Rpv5N92+nTz7jHVyL9T8+/CJbhEM5/EZodPXGInV9QV&#10;udLMAC6BT818EpsdPnGJnVxRV+RKMwO4BD4180lsdvjEJXZyRV2RK80M4BL41MwnsdnhE5fYyRV1&#10;Ra40M4BL4FMzn8Rmh09cYidX1BW50swALoFPzXwSmx0+cYmdXFFX5EozA7gEPjXzSWx2+MQldnJF&#10;XZErzQzgEvjUzCex2eETl9jJFXVFrjQzgEvgUzOfxGaHT1xiJ1fUFbnSzAAugU/NfBKbHT5xiZ1c&#10;UVfkSjMDuAQ+NfNJbHb4xCV2ckVdkSvNDOAS+NTMJ7HZ4ROX2MkVdUWuNDOAS+BTM5/EZodPXGIn&#10;V9QVudLMAC6BT818EpsdPnGJnVxRV+RKMwO4BD4180lsdvjEJXZyRV2RK80M4BL41MwnsdnhE5fY&#10;yRV1Ra40M4BL4FMzn8Rmh09cYidX1BW50swALoFPzXwSmx0+cYmdXFFX5EozA7gEPjXzSWx2+MQl&#10;dnJFXZErzQzgEvjUzCex2eETl9jJFXVFrjQzgEvgUzOfxGaHT1xiJ1fUFbnSzAAugU/NfBKbHT5x&#10;iZ1cUVfkSjMDuAQ+NfNJbHb4xCV2ckVdkSvNDOAS+NTMJ7HZ4ROX2MkVdUWuNDOAS+BTM5/EZodP&#10;XGInV9QVudLMAC6BT818EpsdPnGJnVxRV+RKMwO4BD4180lsdvjEJXZyRV2RK80M4BL41Mwnsdnh&#10;E5fYyRV1Ra40M4BL4FMzn8Rmh09cYidX1BW50swALoFPzXwSmx0+cYmdXFFX5EozA7gEPjXzSWx2&#10;+MQldnJFXZErzQzgEvjUzCex2eETl9jJFXVFrjQzgEvgUzOfxGaHT1xiJ1fUFbnSzAAugU/NfBKb&#10;HT5xiZ1cUVfkSjMDuAQ+NfNJbHb4xCV2ckVdkSvNDOAS+NTMJ7HZ4ROX2MkVdUWuNDOAS+BTM5/E&#10;ZodPXGInV9QVudLMAC6BT818EpsdPnGJnVxRV+RKMwO4BD4180lsdvjEJXZyRV2RK80M4BL41Mwn&#10;sdnhE5fYyRV1Ra40M4BL4FMzn8Rmh09cYidX1BW50swALoFPzXwSmx0+cYmdXFFX5EozA2lcIsfw&#10;xRjAAAzUY0Cz64iN/xfDAAzAAAzAAAzAAAzAAAzAAAzAAAzAAAzAAAy0AgOfdM7N8V/y36f8lzz/&#10;HwAAAP//AwBQSwMEFAAGAAgAAAAhAIkIJyncAAAABwEAAA8AAABkcnMvZG93bnJldi54bWxMjk9P&#10;g0AQxe8mfofNmHizC9pSRZamadRTY2JrYrxNYQqk7Cxht0C/veNJj+9P3vtlq8m2aqDeN44NxLMI&#10;FHHhyoYrA5/717tHUD4gl9g6JgMX8rDKr68yTEs38gcNu1ApGWGfooE6hC7V2hc1WfQz1xFLdnS9&#10;xSCyr3TZ4yjjttX3UZRoiw3LQ40dbWoqTruzNfA24rh+iF+G7em4uXzvF+9f25iMub2Z1s+gAk3h&#10;rwy/+IIOuTAd3JlLr1oDi6UUDSyFX9L5PHkCdRA7EUfnmf7Pn/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Brr7rF3AwAABggAAA4AAAAAAAAAAAAAAAAAPAIAAGRy&#10;cy9lMm9Eb2MueG1sUEsBAi0AFAAGAAgAAAAhAMQU6hTGQgAAuKQFABQAAAAAAAAAAAAAAAAA3wUA&#10;AGRycy9tZWRpYS9pbWFnZTEuZW1mUEsBAi0AFAAGAAgAAAAhAIkIJyncAAAABwEAAA8AAAAAAAAA&#10;AAAAAAAA10gAAGRycy9kb3ducmV2LnhtbFBLAQItABQABgAIAAAAIQCOIglCugAAACEBAAAZAAAA&#10;AAAAAAAAAAAAAOBJAABkcnMvX3JlbHMvZTJvRG9jLnhtbC5yZWxzUEsFBgAAAAAGAAYAfAEAANFK&#10;AAAAAA==&#10;">
                      <v:shape id="그림 4025" o:spid="_x0000_s1124"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67" o:title=""/>
                      </v:shape>
                      <v:shape id="Text Box 96" o:spid="_x0000_s1125"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VzxgAAANsAAAAPAAAAZHJzL2Rvd25yZXYueG1sRI9BawIx&#10;FITvhf6H8Aq9lJptK0tdjSLSQutFuvXi7bF5btZuXpYkq+u/NwXB4zAz3zCzxWBbcSQfGscKXkYZ&#10;COLK6YZrBdvfz+d3ECEia2wdk4IzBVjM7+9mWGh34h86lrEWCcKhQAUmxq6QMlSGLIaR64iTt3fe&#10;YkzS11J7PCW4beVrluXSYsNpwWBHK0PVX9lbBZvxbmOe+v3Hejl+89/bfpUf6lKpx4dhOQURaYi3&#10;8LX9pRVMcvj/kn6AnF8AAAD//wMAUEsBAi0AFAAGAAgAAAAhANvh9svuAAAAhQEAABMAAAAAAAAA&#10;AAAAAAAAAAAAAFtDb250ZW50X1R5cGVzXS54bWxQSwECLQAUAAYACAAAACEAWvQsW78AAAAVAQAA&#10;CwAAAAAAAAAAAAAAAAAfAQAAX3JlbHMvLnJlbHNQSwECLQAUAAYACAAAACEAmwelc8YAAADbAAAA&#10;DwAAAAAAAAAAAAAAAAAHAgAAZHJzL2Rvd25yZXYueG1sUEsFBgAAAAADAAMAtwAAAPoCAAAAAA==&#10;" stroked="f">
                        <v:textbox style="mso-fit-shape-to-text:t" inset="0,0,0,0">
                          <w:txbxContent>
                            <w:p w14:paraId="77EEC0CB"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J</w:t>
                              </w:r>
                            </w:p>
                          </w:txbxContent>
                        </v:textbox>
                      </v:shape>
                      <w10:wrap type="square"/>
                    </v:group>
                  </w:pict>
                </mc:Fallback>
              </mc:AlternateContent>
            </w:r>
          </w:p>
          <w:p w14:paraId="2800C998"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Wykonać wstrzyknięcie</w:t>
            </w:r>
          </w:p>
          <w:p w14:paraId="41429A12" w14:textId="77777777" w:rsidR="002E5800" w:rsidRPr="008F328C" w:rsidRDefault="002E5800">
            <w:pPr>
              <w:pStyle w:val="a3"/>
              <w:rPr>
                <w:highlight w:val="lightGray"/>
                <w:lang w:val="pl-PL"/>
              </w:rPr>
            </w:pPr>
          </w:p>
          <w:p w14:paraId="331D73D0" w14:textId="77777777" w:rsidR="002E5800" w:rsidRPr="008F328C" w:rsidRDefault="000E0B7C">
            <w:pPr>
              <w:pStyle w:val="a3"/>
              <w:ind w:left="501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Po wprowadzeniu igły należy puścić ściśniętą skórę.</w:t>
            </w:r>
          </w:p>
          <w:p w14:paraId="0BF0D326" w14:textId="77777777" w:rsidR="002E5800" w:rsidRPr="008F328C" w:rsidRDefault="000E0B7C">
            <w:pPr>
              <w:pStyle w:val="a3"/>
              <w:ind w:left="5017" w:hanging="180"/>
              <w:rPr>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Powoli naciskać tłok ampułko-strzykawki do końca, aż cały płyn zostanie wstrzyknięty i strzykawka będzie pusta.</w:t>
            </w:r>
          </w:p>
          <w:p w14:paraId="30E11174" w14:textId="77777777" w:rsidR="002E5800" w:rsidRPr="008F328C" w:rsidRDefault="002E5800">
            <w:pPr>
              <w:pStyle w:val="a3"/>
              <w:rPr>
                <w:highlight w:val="lightGray"/>
                <w:lang w:val="pl-PL"/>
              </w:rPr>
            </w:pPr>
          </w:p>
          <w:p w14:paraId="45674EE8" w14:textId="77777777" w:rsidR="002E5800" w:rsidRPr="008F328C" w:rsidRDefault="002E5800">
            <w:pPr>
              <w:pStyle w:val="a3"/>
              <w:rPr>
                <w:highlight w:val="lightGray"/>
                <w:lang w:val="pl-PL"/>
              </w:rPr>
            </w:pPr>
          </w:p>
          <w:p w14:paraId="274AE3DD" w14:textId="77777777" w:rsidR="002E5800" w:rsidRPr="008F328C" w:rsidRDefault="000E0B7C">
            <w:pPr>
              <w:pStyle w:val="a3"/>
              <w:rPr>
                <w:highlight w:val="lightGray"/>
                <w:lang w:val="pl-PL"/>
              </w:rPr>
            </w:pPr>
            <w:r w:rsidRPr="008F328C">
              <w:rPr>
                <w:rFonts w:eastAsia="맑은 고딕"/>
                <w:highlight w:val="lightGray"/>
                <w:lang w:val="pl-PL"/>
              </w:rPr>
              <w:t>•</w:t>
            </w:r>
            <w:r w:rsidRPr="008F328C">
              <w:rPr>
                <w:rFonts w:eastAsia="Times New Roman"/>
                <w:highlight w:val="lightGray"/>
                <w:lang w:val="pl-PL"/>
              </w:rPr>
              <w:t xml:space="preserve"> </w:t>
            </w:r>
            <w:r w:rsidRPr="008F328C">
              <w:rPr>
                <w:rFonts w:eastAsia="Times New Roman"/>
                <w:b/>
                <w:bCs/>
                <w:highlight w:val="lightGray"/>
                <w:lang w:val="pl-PL"/>
              </w:rPr>
              <w:t xml:space="preserve">Nie </w:t>
            </w:r>
            <w:r w:rsidRPr="008F328C">
              <w:rPr>
                <w:rFonts w:eastAsia="Times New Roman"/>
                <w:highlight w:val="lightGray"/>
                <w:lang w:val="pl-PL"/>
              </w:rPr>
              <w:t xml:space="preserve"> zmieniać pozycji ampułko-strzykawki po rozpoczęcia wstrzyknięcia.</w:t>
            </w:r>
          </w:p>
          <w:p w14:paraId="7F1456FE" w14:textId="77777777" w:rsidR="002E5800" w:rsidRPr="008F328C" w:rsidRDefault="000E0B7C">
            <w:pPr>
              <w:pStyle w:val="a3"/>
              <w:rPr>
                <w:highlight w:val="lightGray"/>
                <w:lang w:val="pl-PL"/>
              </w:rPr>
            </w:pPr>
            <w:r w:rsidRPr="008F328C">
              <w:rPr>
                <w:highlight w:val="lightGray"/>
                <w:lang w:val="pl-PL"/>
              </w:rPr>
              <w:t xml:space="preserve"> </w:t>
            </w:r>
          </w:p>
        </w:tc>
      </w:tr>
      <w:tr w:rsidR="002E5800" w:rsidRPr="00494296" w14:paraId="12F1A77B" w14:textId="77777777">
        <w:trPr>
          <w:trHeight w:val="6520"/>
        </w:trPr>
        <w:tc>
          <w:tcPr>
            <w:tcW w:w="9090" w:type="dxa"/>
          </w:tcPr>
          <w:p w14:paraId="366A0302" w14:textId="224D6615" w:rsidR="002E5800" w:rsidRPr="008F328C" w:rsidRDefault="000E0B7C" w:rsidP="00B053A4">
            <w:pPr>
              <w:ind w:left="104"/>
              <w:rPr>
                <w:rFonts w:ascii="Times New Roman" w:eastAsia="Times New Roman" w:hAnsi="Times New Roman" w:cs="Times New Roman"/>
                <w:highlight w:val="lightGray"/>
                <w:lang w:val="pl-PL"/>
              </w:rPr>
            </w:pPr>
            <w:r w:rsidRPr="008F328C">
              <w:rPr>
                <w:rFonts w:ascii="Times New Roman" w:eastAsia="Times New Roman" w:hAnsi="Times New Roman" w:cs="Times New Roman"/>
                <w:b/>
                <w:bCs/>
                <w:spacing w:val="-1"/>
                <w:highlight w:val="lightGray"/>
                <w:lang w:val="pl-PL"/>
              </w:rPr>
              <w:t xml:space="preserve"> </w:t>
            </w:r>
          </w:p>
          <w:p w14:paraId="1C022DC2" w14:textId="77777777" w:rsidR="002E5800" w:rsidRPr="008F328C" w:rsidRDefault="000E0B7C">
            <w:pPr>
              <w:pStyle w:val="a3"/>
              <w:rPr>
                <w:highlight w:val="lightGray"/>
                <w:lang w:val="pl-PL"/>
              </w:rPr>
            </w:pPr>
            <w:r w:rsidRPr="008F328C">
              <w:rPr>
                <w:noProof/>
                <w:highlight w:val="lightGray"/>
                <w:lang w:eastAsia="ko-KR"/>
              </w:rPr>
              <mc:AlternateContent>
                <mc:Choice Requires="wpg">
                  <w:drawing>
                    <wp:anchor distT="0" distB="0" distL="114300" distR="114300" simplePos="0" relativeHeight="251658258" behindDoc="0" locked="0" layoutInCell="1" allowOverlap="1" wp14:anchorId="28B0B033" wp14:editId="54918B0F">
                      <wp:simplePos x="0" y="0"/>
                      <wp:positionH relativeFrom="column">
                        <wp:posOffset>48895</wp:posOffset>
                      </wp:positionH>
                      <wp:positionV relativeFrom="paragraph">
                        <wp:posOffset>11430</wp:posOffset>
                      </wp:positionV>
                      <wp:extent cx="2796208" cy="3536950"/>
                      <wp:effectExtent l="0" t="0" r="4445" b="6350"/>
                      <wp:wrapSquare wrapText="bothSides"/>
                      <wp:docPr id="100" name="그룹 100"/>
                      <wp:cNvGraphicFramePr/>
                      <a:graphic xmlns:a="http://schemas.openxmlformats.org/drawingml/2006/main">
                        <a:graphicData uri="http://schemas.microsoft.com/office/word/2010/wordprocessingGroup">
                          <wpg:wgp>
                            <wpg:cNvGrpSpPr/>
                            <wpg:grpSpPr>
                              <a:xfrm>
                                <a:off x="0" y="0"/>
                                <a:ext cx="2796208" cy="3536950"/>
                                <a:chOff x="0" y="0"/>
                                <a:chExt cx="2796208" cy="3536950"/>
                              </a:xfrm>
                            </wpg:grpSpPr>
                            <pic:pic xmlns:pic="http://schemas.openxmlformats.org/drawingml/2006/picture">
                              <pic:nvPicPr>
                                <pic:cNvPr id="4026" name="그림 402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76450" y="3390900"/>
                                  <a:ext cx="719758" cy="146050"/>
                                </a:xfrm>
                                <a:prstGeom prst="rect">
                                  <a:avLst/>
                                </a:prstGeom>
                                <a:solidFill>
                                  <a:prstClr val="white"/>
                                </a:solidFill>
                                <a:ln>
                                  <a:noFill/>
                                </a:ln>
                              </wps:spPr>
                              <wps:txbx>
                                <w:txbxContent>
                                  <w:p w14:paraId="1A3BE758"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B0B033" id="그룹 100" o:spid="_x0000_s1126" style="position:absolute;margin-left:3.85pt;margin-top:.9pt;width:220.15pt;height:278.5pt;z-index:251658258"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4olR6AwAABggAAA4AAABkcnMvZTJvRG9jLnhtbJxV227bOBB9X2D/&#10;geB7I9lxnFqIUniTTVAg2xqbLPpMU5RFVCK5JG0p+0H9hfahX9T+RA8pyamTLnp5sDwcksMzZ86Q&#10;Zy+6piY7YZ3UKqeTo5QSobgupNrk9J+7q2fPKXGeqYLVWomc3gtHX5z//ttZazIx1ZWuC2EJgiiX&#10;tSanlfcmSxLHK9Ewd6SNUJgstW2Yx9BuksKyFtGbOpmm6TxptS2M1Vw4B+9lP0nPY/yyFNy/Lksn&#10;PKlzCmw+fm38rsM3OT9j2cYyU0k+wGC/gKJhUuHQfahL5hnZWvkkVCO51U6X/ojrJtFlKbmIOSCb&#10;Sfoom2urtybmssnajdnTBGof8fTLYfmr3bU1t2ZlwURrNuAijkIuXWmb8A+UpIuU3e8pE50nHM7p&#10;6WI+TVFkjrnjk+P54mQglVdg/sk+Xv35nZ3JeHByAMdInuE3cADrCQff1wp2+a0VdAjS/FCMhtm3&#10;W/MM5TLMy7Wspb+P0kNhAii1W0m+sv0AdK4skUVOZ+l0ToliDUT/6f2Hz+8+kugCzWFXWNhvYyGt&#10;G83fOqL0RcXURiydgXDRTkGeyeHyODw4c11LcyXrOpQq2EN2EPkjkXyDoF6Al5pvG6F831FW1EhU&#10;K1dJ4yixmWjWAhnZl0UExDLnrfC8CgeWOPhvgA1Av5qIKB+AhRQcNEbW7V+6ACNs63Xslx/U2CxN&#10;0b1RY7PpIgz6A8ftxjp/LXRDggGoQBTDs92NG7CNSwJqpQNhCMGyWh04kETwRPwB8WAigdAeuKPc&#10;yC9GTxj+qTa8rZgRQBnCPuhmsRhVcxd67A/dEbgAdVgWWpX4Dv5BH8HfIx0bZ9+x0/R0PkM/ktCb&#10;x4sUxIVILBu793SyOD0Zmncym6d97+47ENL8OV6drmUxajHsvagt2THcvW0lvRiKdrDqf/h/yCpY&#10;vlt3satO5iMVa13cgwmrUW5k6Ay/kjjwhjm/YhZ3OJx4l/xrfMpatznVg0VJpe1/3/KH9agpZilp&#10;8Sbk1P27ZeHCqF8qVBsh/WjY0ViPhto2FxqpTiKaaGKD9fVollY3b/BcLcMpmGKK46yc+tG88P3L&#10;hOeOi+UyLurvnRt1a3BbTaKoA7F33RtmzSB3j3q+0qOeWPZI9f3aUHdnlmi8KxlbIhDbswiRhwG0&#10;Ha342MA6eM2+HsdVD8/3+RcAAAD//wMAUEsDBBQABgAIAAAAIQCLBi+/q3AAACwbCgAUAAAAZHJz&#10;L21lZGlhL2ltYWdlMS5lbWbsnQmcFcW97yvv5UXUJN48vfoM0agkuAMiiOBGEFBRdlFAWQVEBNkE&#10;BNn3GWZYZpgBBhiYYRgGZmBghn0f9lVRolHjJbnxRoPGRJNnTF7ufd761VhNn54+Z7rP6XNOn3N+&#10;fD5N9+mu6aXqV9/+97/+VfUdIcRQueh/w78jxCG56H/l1wuR/VMhbmrTvq0Q3xF31b1C/E950JRE&#10;JZ16mRD3f1eI7vh7/cffrg8+8r/Eua/+h+gsf5f9+ArjqPVa+sAIeY7Dcukkd9wml9fk0uTbv7tJ&#10;nBH6OI7hHEj7HXGT/HUpnfrx7X/ffPON4MI8oAaoAWqAGqAGqAFqgBqgBqgBaoAaoAaoAWqAGqAG&#10;qAFqgBqgBqgBaoAaoAaoAT9o4Kaf1hNcmAfUADVADfhHA07eDSwv/5QXy4JlQQ1QA9CAG3a/9cZZ&#10;wSU18uC9d8+L/JXLxa7t21jm1D014CMN6Hc32Z0aLHb6zj17+pQo31QmClavEgf3H2Cd9VGddVqG&#10;TJfcdZrsTu7ydVt/337zDfHh+++JvLw8UXWAzHabf0zP+hQrDZDd1JpZa+fOnhUL5meIbVsraWvT&#10;1qYGfKwBspvsBrvfPHta7N61QxQXFdHe9nF9Nb9nuZ3adZfsTu3yR/0/fuyosrXLSjfQziK3qYEE&#10;0QDZndrsfv9X74olS3JpaydIfaWtndr11Vz+ZHdqauHE0SOiZF2xKCxcLY4ePkRbi+ymBhJMA2R3&#10;arEbcSTHjx4Vy5YuFWdOnWR9TbD6ara7uJ1addda3mR36pQ/YrY3biwVpRtKFL+tWuDv1NECyzrx&#10;y5rsTvwyrLUenntTbN68WaSnp4l9e/bQ1qatTQ0kgQbI7uRn9+byMpGbm8P2yCSor7W+p/mMKfNe&#10;IruTk91vnD4tdsgxSAoLCkTFlvKU0TPZlpx6ZrnWLFeyu2aeJINOVq9aJRivnZxlmwz65DNErk2y&#10;O/I89JMOT8vYkRUrVpDb9B3wWyvJNUB2Jwe7Txw/JiorKsSawgK2RyZ5nfWTrcB7iR8/yO745b1X&#10;ukfsCGJI6CNJ/LL0ShM8T/JrgexO/DLet2e3gN3N+pr4ZckyZBk61QDZTa041QrTUSvUgH80QHb7&#10;pyxYL1gW1AA14FQDZDe14lQrTEetUAP+0QDZ7Z+yYL1gWVAD1IBTDZDd1IpTrTAdtUIN+EcDZLd/&#10;yoL1gmVBDVADTjVAdlMrTrXCdNQKNeAfDZDd/ikL1guWBTVADTjVANlNrTjVCtNRK9SAfzRAdvun&#10;LFgvWBbUADXgVANkN7XiVCtMR61QA/7RANntn7JgvWBZUAPUgFMNkN3UilOtMB21Qg34RwNkt3/K&#10;gvWCZUENUANONUB2UytOtcJ01Ao14B8NkN3+KQvWC5YFNUANONUA2U2tONUK01Er1IB/NEB2+6cs&#10;WC9YFtQANeBUA2Q3teJUK0xHrVAD/tEA2e2fsmC9YFlQA9SAUw2Q3dSKU60wHbVCDfhHA2S3f8qC&#10;9YJlQQ1QA041QHZTK061wnTUCjXgHw2Q3f4pC9YLlgU1QA041QDZTa041QrTUSvUgH80QHb7pyxY&#10;L1gW1AA14FQDZDe14lQrTEetUAP+0QDZ7Z+yYL1gWVAD1IBTDZDd1IpTrTAdtUIN+EcDZLd/yoL1&#10;gmVBDVADTjVAdlMrTrXCdNQKNeAfDZDd/ikL1guWBTVADTjVANlNrTjVCtNRK9SAfzRAdvunLFgv&#10;WBbUADXgVANkN7XiVCtMR61QA/7RANntn7JgvWBZUAPUgFMNkN3UilOtMB21Qg34RwNkt3/KgvWC&#10;ZUENUANONUB2UytOtcJ01Ao14B8NkN3+KQvWC5YFNUANONUA2U2tONUK01Er1IB/NEB2+6csWC9Y&#10;FtQANeBUA2Q3teJUK0xHrVAD/tEA2e2fsmC9YFlQA9SAUw2Q3dSKU60wHbVCDfhHA2S3f8qC9YJl&#10;QQ1QA040cPzIYUF2UytOtMI01Ak14B8NZM5LJ7vf8E95sG6wLKgBasCJBjo89RTZTXYLJ1phGjKF&#10;GvCHBrZv3SIuu+y7ZDfZTXZTA9RAAmlg1ozpZHcClRdtHn/YPCwHlkO8NdCtaxeym+ymvUUNUAMJ&#10;pIEzJ0+Im2+6mexOoDKL97ue16e9SQ3EXwO52YsUt+nvjn9ZsD6wDKgBasCpBnp2f0ax+4nHHmNb&#10;JW1vfjNTA9RAAmggb1mu4vaVV14hpkyeSHYnQJk5fSczHe03aiA5NQA/d926dRW7GzZsINLT08hu&#10;sps2FzVADfhcA6tX5Rt+7m5PdyW7fV5etKGS04ZiubJc3WpAxwWijXLqlElkN9lNe4saoAYSQAON&#10;GzdSdjf8JvCX0GfC97/b9z/TUzPUQGw1kJuTZfhLJowfR3YnwLuWdSS2dYT5zfz2mwZOHD1scLtP&#10;714Gt2l3U6t+0yrvh5qkBi5pYNb0KQa7Z8+aQXbT5qaPkxqgBnyugT07d4irrvqhYvd9zZoGcJt2&#10;96X3G9/1zAtqgBrwkwZGjRxu2NyvDBtKdvv8Xesn7fBeyDJqID4aQF+c+vV/rth92631xZw5s8hu&#10;spvfytQANeBzDZj93JMnvl6D2/SZxOedSluG+U4NUAPBNGDu/96lU0dbbpPd1E8w/XA/tUENxEcD&#10;6DeJ/pPXXnutmCnnyAGn7RbOEx+f8mG9YL5TA9SAnQZ0H8pWrX5hy2zNcbKb+rHTD/dRF9RA7DWw&#10;fl2REVsyftwYstvn7RKsI7GvI8xz5rnfNFCxudyILWn96KMiLW0O2U12M66AGqAGfKwBc/vkjTdc&#10;Gm9K+0fs1vSZ0P7wm/3B+6EmU00Dk14fb/hKund/NqS9rTlOdrOepFo94fNS837TgO6HgzFe586d&#10;TXb7+BvJb9rh/ZBn1EB8NGDuhzP05SGOuA3bm3Z3fMqL9YT5Tg1QA/PS5hrjTQ0c0N8xt8luaof8&#10;oAaogfhooLxsg+Hjbtz4HlfcJrvjU2asK8x3aoAaGDxogMHufn17k930cTMWjBqgBnyugfXr1oqr&#10;r75asRs2t904gTqeJNia/m6+/2kDUgPUQOw0sG/PTsPefuKxx1zb25rlZHfsyoz1g3lNDVAD074d&#10;awrjTc2YPpXs9vk3Euss6yw1QA2gffL6665Tdne3bl3D5jbbKqkl8oQaoAZiowHzOFMPNG8m0tOc&#10;9cHRPhLrmj6T2JQb6wfzmRpIXQ1skva2njf4J7Lv5JzZM8O2uTFGVc/u3dk3h74WxiRQA9RAlDXQ&#10;TM7zDv82ltGjR4XNbdjeGBsW8+mEY3cfP3qEZR3lsqaNlro2Gss+uco+c166wW0VVxKhr6TlL1qK&#10;2bNmhMXuRYsWCfI7ufRFXrA8qQFvNXBC2ri9n3vO4Hb7J9s5HmfK6tvWvyfK8Qb79+2j7PZw7G6c&#10;p7hoDW1v2t7UADVADQTRAMaV0n6SFi2aR+QnAXMRT4jzaV95uOyePz9DnDl1kuUWpNxow3hrwzA/&#10;mZ+JpIETRw8bc+CAt7XNX6bt6qBr6WdBbMrIEcONd0A47IbPBNfIzs4W+/bsIb/Jb2qAGqAGvtXA&#10;5k1lBrfr1bsl4rZJsLZ37+fFsJdfMriNfeGwG/Y27G79jjhcVcVyY92lBqgBakBqQMeUgNtpDudR&#10;0Cy1W8NXAl+59Vg47Ma3y9bKCuNcecuWirOnT7HcWHepAWogZTWwKn+lwW3Eco8bE3qedyuL7X6P&#10;Hj1StG/XTsyYMd3grU4XLrvB7+KiIuN8uTk59H+z3qZsvU0kXyzv1fu2A3Bbt0uC25GMU6LZjJgS&#10;+LiD2e6RsBsaKFi9KoDftL+91wXrGvOUGvC3BrSfBPzu2L6DwUTN4XDWjz/eNuQ7IFJ2g9WrVl3i&#10;d3FxEW0v2t/UADWQ9BoA+3KyswL8JOB2MDvZKb/R5x3nGThgQMh3QKTshj2AZ4DPRN8bbHHaCf62&#10;E1g+LB9qIDINYK5Jr/0kYOjgFweJPr17GTzVXLWuvWA3NIB+lubYk107t5PftL2oAWogKTWA+RPq&#10;1/+5wW638wRbOax/w2Z/umvnWrmN9F6xG/w+cfyYWJ63TF03IzNTbN5czvgT1t2krLu0WSOzWRM5&#10;/xYuyDTGBEQcIOxk+Dk0f8NdY4wqjHeCNkon5/CS3SgPq/8EvhQwPZHLiveeuvWUZc+yN2vAPK5U&#10;w4YNHDHWCYc1t934yr1mN54T/F5tar9ctjRXVB04QH7TBqcGqIGE1EBJ8VqjTRI+boxPMn3aZE/Y&#10;DW737vW867kYosFu/Z4yxw/i3cM2TNowWhtcUwuJogHMd6PnTQC37fo4OrGta6SRY5TARxLuuLDR&#10;ZDfKplz27Tffc/nGsoR87yaKznifZCI14J0GZk2fYrRHgtvg7FwP+rmDifCTYw4FN34SM0ujzW7o&#10;aPeObWLhwgWK4fPmpYmVsg/SIfpQ+A6j/4Aa8KkGdm2vVDHWOgYQ85Sp+W4inDcB7AWru3TuJF54&#10;oX+AXWvmspPtWLBb2wHmPvQZGeli1/Zt1K5PtavLjGvvbDjmZWLk5WpT/3awG/3S9ZjZTphaW5on&#10;2z0RMJZrbemDHY8lu6HdgtWrA941K2Q+oW2Tuk4MXbOcWE7JrAH4tute/2PDT9KzxzNh+zTsmIvx&#10;t9HX3e6Y232xZvebZ0+LbXIMQoz9re81Z/Fite/4Ec6Dmcz1gs9G7vtVA/kr88SDD7YwmH3brfWV&#10;P1ozyos1xqeCryRc/7b1HmLNbl12sLVhc1vvB2PL6jRcs65TA9RANDWA+W1GDBtqMBs+kqb3NanB&#10;JSun/PA7XuzW5QGft7kvPfKkdP16+lHoB+c7nBqIqgbKyzaIurINUrdHYo04Ei9929FkfLzZDYYf&#10;PXxE8rpE5OYuNt532XJ8ro0ybzGnGvwsmvVc0w6jBqiBSDRQsWWz6Na1i7j66qsNbj/88INi0uTX&#10;Df5Ek7lendsP7DaXw8aNpTXyb8mSHDXWlTkdt1l/qQFqwI0G4B+xxmsjhmTCa6/VYI5XfI3mefzG&#10;bpQF2izLStcLPaexfn60b26Q9vmBfftoi/N7mt9i1ECtGjhz8oRYv26t6Nmje0DfSIxFMnBg6PGx&#10;NXf8uvYju83vUoyDYval6HzEvn17dtdaduZzcZt2GjWQOhpYW7i6hj8bPu0hgwclpJ2t2afX4bA7&#10;1uNKnT55UrVfWts08QxZixaKHdu2kuG0wagBakBpALY2fCPmMUjAbPQ/nzwxsXzamtN263DYjfOs&#10;k98hYGqs7Zjdu3bIOY7XKGabnwd97lesyBObpL98z65dnPeY9Tjm2ox1XeD1Ln1DVB3Yp+Yfg2+k&#10;bt1LfWsQp/3www+J8a+NTQpb28y8cNmNc8AOxlhT8dIQ4gvtYsT1vWHcQqRhv81LGo9XWfG6LINo&#10;aADz10wYNyagL6SO+Rs65KWk47VX7NbnKS/fFDd+Qw9ouwzGcNwj2jwRMx5rX080tMpzkoHUgJyj&#10;S8aMjB/zqhHjp3mN9YMPPShmz5qR1NwG18Kxu//9338rNm3aFJA3eXKuM8xxdvLY8bhxHPb13j27&#10;1LfA8ry8Gn1+8LwL5HxF8K2USJ8P+ubDv3Ko6iBtc/pY4qZbstj+fYx4M71gLFL0Wx/76hjR+tFW&#10;NZh9X7Omon+/3ipG24v5x7Rd6ud1OOz+5ptvBJYc09zw+hlh4/rJvsUcyBi/0K6dU9+zXiNN3vLl&#10;ykbfsa3SV8/B+m1fv5kv8c0XxHrZLfCl4lvXuixbtkxYF8yLqOugeY3+jRi7CW2MZrtab2OuSBz3&#10;anwQ87UTYTsSdmuGHz1yuEbe56/MF5grPh7tmcHqM+bNhJ0NXWE8wyVLcpU/BWOKhyqrzIwMlQ7v&#10;JXxfYFlTWKCW0g0lqv8n+oDCjtcL+oPqBXa9th+wpv89vrwJpg+v95vLPNg27BytE7v1ju1bDU1p&#10;bel1RcUWQ3vQn3XRGrWuV63KN3Ss9azX6EMBnVsX1IFQdSSSYzNnTJfz604Qr8hxRdq0aS3HhHpA&#10;3HnXHeLKK68IYDZYjbFGunTuqObjTRX7OljeesFuzfCMTPvy9fv4UmApbIeKigrJ40JlF2B88WB5&#10;5vV+XMtqi+A3fPhWu0X/3lhWamvv2NlA2HfmVOxjgrxgIe472DM52R/M/tP5aF2vkvOs2pWFdZ+T&#10;7zivdZJI50PsrjXP8BvfwDrPMzPmBbBZ29PmNcYbwTiskyZOiFl9TJR89pLdYPhb587Z5jFiPlDX&#10;vKjPsToH/C2450rJdOgNzwD9QZeJUr68z9DfVKmYP3jv2HEV+6BxzVbzGnXA7l2JOhJOfayUbWP1&#10;6/88KLvhJxkzamRM6hn6xPftI+f6le1hibR4zW5tg//yl+dt8wF+CthCRw8dCqvMw9FJtP4G9rr+&#10;FjZ/+8Ivo79rscbzmr9nrd+wq4N8wwb7fsX3LNpcE0ln8bpXcMr6/R/qN3yv2n8Qag2/g7Ucrb/N&#10;/jRz+Zu3oQ2zVqzb8Dva+VKwb//evYb+tA7Naz+O4VYhmf1st6cNZsMP0vIXLcXDDz0g5xQbWd3W&#10;6NF8kDU0J+crg3/mVXkd+GZe6N9Pzc+ONs4Zcn+N9D5nebTYrRmOdbA8gU8AfoposZXnveRXrn63&#10;2Lcr2dlTftrHcrxUjomaF2B2s6ZNDWbDL2IeJ3s8YrSlf+TV0aOC8iIYR4Lul6xGP0q0Zz7dtbO6&#10;NsZ4HT5sWFK0b8aC3eD3ggXVcw3b5TPGCQQrElWXvO/EZwvLMDpliDjs3OxFNfrOwCdinW8dnMW4&#10;fs926xYWWxHTjXOgzRPnv/GGumo87j69e4lxY8Z4907wiT0eK3ZrO/yLL74QZ86cts1HfN/mS1sc&#10;ceL75Tch61N06hPzlfkaTQ2gf3resqWiU8f2AWOKgKUtWjRXMdp2Npzeh/7r8GkMGtBfvCTHjRo8&#10;aEDA8uKggar9snPHDqL9k+3U0rhxI9Hg7rsE+sB3eOopZVtPmTzRljP6Oom+jjW7NcP1OlT+geXw&#10;q+wlx/keY98h32tglew7g/nDrGNAwT/yQv++MePo9GmTxdCXhxh+EtjyA+V7IJnGoQI3481uJwzH&#10;faINCfFFfur3E03bheembZwIGoBPBMxu0/rRAF82eI0F/op4MxPXH/ziIOU/wT3B9w2/eqLMbRbM&#10;vvULuzXD//znP4k3zp4R6+UcC8HuGWMGos872vHhX8HYgmhfR9+bRNA775FcTkQNwBeCOR7RjxHj&#10;9T34wAM1eA2/SPMW96v+6TNmTAtah4PV7Vjsnzplkhg1UvbXlHO2w/+CORielnOgwU+ONtPZs2b6&#10;8r6teeM3dmuGm9fWew71G1xHnGrJumI1hiDaQP3UtzMR6yzvOTnfNbB37OKJMB4EYruLCgtFelqa&#10;GD/2VXH7bbfV4LS2rbHu1OEpMWP61IRgni0/ZEwK4rzha4HPHH6WIS+96OsxrRKB3WaOo/89Fowf&#10;blsGIdqAEdeblZ1VHb+7PM+Izy0uLjLir2HH6xhbxGmbY2sPV1UFxNOSacnJNJSrOU7abvvg/tB9&#10;2XfKsZO0joKtzXHe5m3M92eNFTf/DhZ3HixuHfaMta4gxmO6nJ9g4uvjlQ3aQ9rRrVu3UmNdN23a&#10;RPHLzGbzdsMGd6t0/fv1UfHY1ngR67US8TfiwMfKd1ZX6V/p3et5MWjQC2qN34gPx/F4P1eisdvM&#10;cet2vPMS18f89nZ91sx91Oy27eyf2vb5sZ/7ITU+R2Rx5Bhz3S6PQu2zy3O7fSgfP+gk2vcAGxh+&#10;Xm1LIl4DcXNY7NoSzWy2biMmGv7ihLarQ9h0bsoCcYjDXn5Z+c7Rr2jQwP4qj+Px/komdltZrn+7&#10;KRumTax+walSXqO+HU8P7H3qiSfEk5bFyttIft93372KSckYE+2lXqZPnaJ8LDqWHO2y6AcUqzbQ&#10;VGC3Zniw9a8/eF+8996v1PL222+rMVkwLgvaTE/Lfu9YTskxkbS/JlyfjZe64bmi+46BT85c3nbb&#10;WhvB1tBQsOX8+fOG5rT2zGs7ra5fXyrHXc4VaWnp4vLL6xhLnTrfC+mL1hzH2Hzoy4hx+jAPWJs2&#10;rVX7HNrtMNaT8gNIv69Tbc2ZM0v5TEZ72RfSI/vY6TN4lQ7tt5Mmvy779Y8SXTt3VrHpaAft3KmD&#10;8rvAz4LvFi/tc7K7eixyu7ri931e6c7L84Bxfs+3ZLs/zWan6/bt2il7cfTIEcqvAt8KltrGwdZ+&#10;GMRlwI+CmBKM8Qdb00sNJdu5kG/ws8A+RxnhuwZtolMmRdZ3iOxOXHYnG4P4PJFr0Sm/Q6Xr0qmT&#10;8pno/ovaJ4DYC2y/LOeBBOvTXdjoycbjSJ4HzAa7dUw88hTvQ+SpmzYFsjvy+kLmMA/9qIF169bL&#10;vunLREZGppg2bYojv4qZ6XUuu0zUu+Vm0bBhA9HykUeUfwVxKfCVRMIu/q3J3yfff/BVTZgwXuUv&#10;xjTE3BIYBwAxinh/Yhv72kgfFxa8OxGLTnaTO37kDu8ptrp0y3bYihhfuzY/Czlt4rRHvnzt4yK7&#10;Y1tHyCTmd6JoADzXi9ket24jVq7Zffep+PDBg1+snuOG/pSof5uQ3WRJorCE9+kPrVrZHew35lhA&#10;fDlioml/e29/k93+qA/kEssh0TTgxs+CsVox/hM57h3DyW4yI9GYwfv1n2bf+9V7cq7LAjE/c4F4&#10;pGXLkO2iN/zkBnH//c1Eq1a/UG1uiTT+k5++H8hu/9UDsollkiwaCOZPsduPGMRkneMmGswnu8mJ&#10;ZOEEn8P/WrZjdrB9z/fsQT9LiNgUstv/eieTWEbJqIHitetEdla2mDVzZkgfC9he9/ofG/35n2z3&#10;hPK1oB9/rMYOiYbdHOk5yW5yIRm5wGdKXF27aQPVNnv3Z6v75qdSf0+yO3E1Tj6x7FJBAzrGXK81&#10;r4Otr7zyCjX+OMYhx5hbGJe8b9/eapwo9AtNllgXspv1PxXqP58xOXUejN9O9mM8EbSNYmwRzE2f&#10;aEwnu5NT02QVyzUVNeCE2bWlwTh/6POP+SrAdd0HPVL/tNd/T3azjqdiHeczp4butZ/FvK4t/rw2&#10;tmufDOa11Ms9jRqqtlSMj96s2X1qHrm0tDlR7U9KdqeGhskqljM1EFoDtTHb7XH0JfXa1jafj+wO&#10;XZ7UO/OHGqAGYLe7ZTfSw+di5q2X22Q3dUk2UQPUgHcaWFO4JoDz8KtgLG4vuY1zkd3elRn1z7yk&#10;BqgBrQGrnY455b3kN9lNrWmtcU0tUAPeaWDLlsoA+xssxzyfXvUFJbu9KyvqnnlJDVADVg1gfMU6&#10;db5ncLxevXqexKGQ3dSaVWv8TU1QA95rwOpDwVhbkfhQyG7vy4i6Z55SA9SAnQas8SqIB8c8ceHE&#10;gpPd1JidxriPuqAGoqcBqw3++ONtXdvgZHf0yofaZ95SA9RAMA1Y+d2zxzMibe5sxwwnu6mtYNri&#10;fmqDGoieBj777DM1frmZ4TfeUFf0ev45R/wmu6NXNtQ985YaoAacaODyy+sYcShguZNYQrKb2nKi&#10;LaahTqiB6GrAbH9ju23bNiHtb7I7uuVBvTN/qQFqwKkGNmwoEz/4wfcNGxz96bt07mTbn4fspq6c&#10;6orpqBVqIDYasNrgDRs2qNGOSXbHpiyoeeYzNeBOA6dOnRHrStaL5ctXGL6Dlfn5oqCgUC07d+4W&#10;SPPRRx+JZMzbmTOmG/Y3WI52TMzhNm3aZJUfZLc7PSWjRvhM1IAfNPD5Hz8X+/cfVKzOyMwweI2+&#10;hzmLF4v58wP3Wfsk5uTkisLCQrFp02axd+9+cfrMG+LChd8KnNcPzxfuPVjbMevVu0XMmD6V4wh+&#10;w3obrqb4d9SOFxr45z//KbZu2x7AanC5ZF2xOH70iHjrjbPGUrp+vcjOzhZnTp0U+/bsFuWbygT2&#10;5eQurvH3ZrZnZWUrpsNOT0SWZ2RkBtjgsMNpd7P+eVH/eA7qKBwNwN+RL/0gmrPgcmVFhTh7+pTB&#10;azO7sb1753bF6oqKLQFp8DfHjxwRu3ftEJs3l4vi4iKRl7dMsT4zo6bNnp29WF0btnppaZli++7d&#10;e5XNDrv9wMFDyicD3tst777zK/HB+782bHu8g8LJA6d/g++JtLR0g+FkN+ucU+0wHbXipQbeevu8&#10;weyMjHSxa/u2ABZbmW39DS6vyF+pbHDrMbvfsNMr5HuhYPVqkZuTY1xbvze8WsM/D84eP34iKr74&#10;vGXLFL/JbtZHL+sjz0U9OdWAuQ1yw/oSV9wGm2FjwweetWih2rbjdah9sNPBcyzwu2DBu2CZZCOW&#10;2vwwbliPNtY9e/YJvK+++ttXntjnZDfrmtO6xnTUihca+KPsC665vXDhAuXfePPsadfsBpfB3x3b&#10;t4rleXnSpt4iTp88GdZ5QjE+2DG8O7BUHTgg+b9HbKusUMvGsg1iTWGBWLFyufLX4BnNnJ+XMU+g&#10;XbW4eJ3Ytm2HOHT4iID/5csvv3TFdLKb9dGL+shzUEdONIB2Qs0x2MxocwzGRjf7Txw/pvwgOOeB&#10;fdK+lVz304L7g0+ouq01y8gDnRd6vWDBAtVu66Q9lexmnXNS55iGOvFCA4jJ1pzasbXSc77u2bVL&#10;2buwfU8eO+75+b16H+D74MC+vepbAfeaL301ixYtMvIGeYQ49lA+FrKbddKLOslzJK+O/vM//0vF&#10;1cEW1Es4PlvEZCxYsFDxqbioKGpchR8F59exhF7xNlbnqdi8uUZbKmJx4F9B++fFi58q3wrZnbx1&#10;jjxl2YarAbAZflj0a7T2k9F2c46M1cBx2Ia1Xefrv/3NsCnh/40FB9euKVRtmW7jV2Jxb06uAd9P&#10;wepVtn2S0F5AdrN+11bveDy1NAL7eOnSPIO1YPVi2a8RMXl6yZV9YTIyM4004DjiKILZ4/j+18yv&#10;2FIeE3aj/RPtmGg3BAPRpuiEmX5Mc3D/geqY9aI18nui2rdCdqdWvSSHWd7BNID+40Vr1xqMXbIk&#10;R8XPhWIZ4uvgn9D91RdKny36uaAvi+b4+fPvGOdEOvg0Qp0zGsd2yf48eHcg9i+WsSjReBacE+8h&#10;spt1OVhd5v7U0Ab6A6IvibaLsUY8hBvGIo7C7vse3/Y6HhDnRd+YaPGstvPiPZMrvw8QT2hNC7Z7&#10;FfNiPXe0fpPdqVE/yWGWs50GwO0NG0oNbsMXAsaFyxvwHn3S15cUqz4z5vcB+jOGe14v/w597tHv&#10;ZtPGUgFfRLH0Q6xelZ9w9jjZzTptV6e5LzV0Yba3YTd7yUicC+2EedL2zpT9Ubw+d6Tnw7sE9+WX&#10;d4rb5yG7U6OOksUsZ6sGEEei7WLE07llh5v0y2U7p5v0sUiLbwT0gUceIC48Ftf08hpkN+u0tU7z&#10;d/JrAv2vzbF/kfhJgvHozMkTBg/BSDf+82DnjMZ+tPvly/7rGE8WfvtoXCMa5yS7k7+eksUsY6sG&#10;EAuibW60S0aDLYhT0XF5epztaFzHi3PivYJ2TMTBJAq/yW7Wa2u95u/k1wTGQgK7EXMRLXv4oOxb&#10;An6jHXD/3r1i4cL5omLL5qi8J7ziN8b9XrkiennixX3qc5DdyV9PyWKWsVkDF//wB8Pmts5Lo7ng&#10;5Rp2vY5fwftC2+JeXsPLc4HfsMG9PGc0zkV2s16b6zW3k18Pb507p9gN/0A0mGJ3zlWrVikeFq0p&#10;kHOZrY3Zda33Ar++ebGL6YbPBHmDcV2tf++n32R38tdV8phlbNbAOslO2L/Z2VkxYxMYCZ/3YnlN&#10;jGdSVrpehDtmtxt+Hq6qEhinD34Q+G5KN5So39iHBf3lMYbfKnkMMemwuTEmN7iN9G6uFeu0ZDfr&#10;tbleczv59aDbKOHHiDVvcD1cd+HCzKjb34j7w7Oiz74Tnz58OUiL+dcQ6563fLmv+1qS3clfV8nj&#10;4GX8/vsfiAEDXlTL8uX5tY6Hlwx5efTIYcU0jBcdD3aDkWAq+sVE0/e9UtrT4fTBxz1hHrV589Lk&#10;98GGuOSRk3Ihu4PX62Sop3yG4OULbt/TuIkx7/Zll31X/Mu/XCUaNrpHvPrqWPHVV97MK+i3MtDs&#10;hn3pxB51whG3aeBThq8CfARjD0leuj1HqPTweRQWRtYHf1NZqfLvhLpOPI+R3cHrtt/qHO/Hu7La&#10;vn2XuEpyGrxu1uw+MfTlIeKxtm0COI5jyWiL67ZK2L7h2KVe8gq+CdzHAtU2GP44KtZ7wniBkfaV&#10;hN8b92Y9t19+k93e8YBsTYy8hL2tud28xf1i5swZYsb0qWLc2LFi7KtjAvgNO7yoaF1S+VL+/Oc/&#10;KSaBS/CbxHtMVPgo8vKWKh9Kbm6OGnM7Uj7C5xFpnAj6hSKPvP4miPTZ9N+T3YnBG74XvCkns5/k&#10;1dEj5Td7upg2bYoYLbdRT/Ebeb1ctlPB7tZLk6bNRFXV4aRhOOYqx/NiicYYVJovTtfw3cBWRmxe&#10;loxFAXth9zr9e2s6xJQjjsS6381vbXfbxRG6OU+00pLd3jCBbPV/PlrtbcVqyTDNbc0yzOOF8pw2&#10;baa4/PI6Br9vv+POpGG3eUxtPLdf+oEjzmPx4mzFcXwThDvOCniL/jWRcFezO1rsjfS8ZLf/mcP3&#10;gjdl9MyzPRSH4ScZNXK4GP7KMNG3Ty/RoX170aZNa9G6dSvxaOtHxfFjJ8Vvf/NbxenRowJ9KE8+&#10;2V58/PEnCc/wD3/9gWF3g90lMrY5UpZ49fdbKytUHHhxcZGKv4Y9jrhstzEpu3fuUPwuXV8iwuk/&#10;ivdGLGPg3eYf2e0NF8hX/+bjX//6VzF06CuiTp3vCXAbfpFuXbuIF/r3VW2UY0aNFJMnvi6mTJoo&#10;Y4+XCO1PaNSosQCrJ4yfJGBza//JddddJ/txlPqO35jPHfOWnT7zhvTvHBJ79+63XQ4cPCS2bque&#10;A0x/a2Dtlo1uWeMmPexljEuL/jz4u82bqueHgC9l727nbZo4D2z5cGz4iootav4gN/cdy7Rkt3+Z&#10;w/dB5GUDbt9++x0Gd6dOmaTYPG7MmAC708wwvY38h92Ndk3EpVj57Rf7++OPPxYFBQXGO0ffv9s1&#10;4q0j8TF4zS20NeIZ4PuATwe2s7nvDPpMOr3mxo3V7IcN7/TvYOv7eY55sjtyPpCx/sxDcLvVo9Vx&#10;f/ff30xMl22Sc+fOEeNfG6tiS8xsQ8wz5pCBrxvjWn/yh0t+kaysJeInN9wgBg8eUoPf8bK/33nn&#10;XRnft1WO07dUfUfoZ0FbX57kE+bxgs26TfofrAvm+kJf8Bw597v+O71GrF4s+qo7ZS6YjfvHeIew&#10;g/EbPEW/+gIZv405HfCsO7ZV1uqzh/8a50Jfd8SWby4vU98adjHu2OfH+SLM+UZ2+5M7fB9EVi6w&#10;ibW93ahhQzFoYH/p+3hNtkuOqsGr0/K7+qOPPhJnz75pHLPLf5wP9jf8KGb/SSzt7w8//DfZlleT&#10;ueBMOD4P2LI6xhrcBxPNfPDLNpitx9eGD9r8rNjG8+P9A5/KhvXrHX0/lKwrNsob9rz2iYPbmCsC&#10;fnK/PL/dfZDdkTHCro5zX3zz1OonGTVqhOjZo4fk90AxYcJ4o76irqOsMN8u1jr2Ilj5vfX2efHw&#10;ww/X8J+A6bHg95EjxwLuHfcPxoQbi2HmAcbVxryNfh8/D++ZYPOzgeH41oBvG3kDnqPvkZnz5mfG&#10;NnxEsOMxzrhmf3b2ooSYg4Hsji9ngnGC+8MrF7Of5O677pJ920eLtLS5ov2T7cTAAf3l9hxVR0tK&#10;qvvb/P3vX4s/fPKJjLMoUf5i9Fsx5z3mBsO8jji+UDIB/vJr//WamPpP/q/0/axbV2JwOzMjQ/k8&#10;otFn5ICcLwF91O38CFbuxeu3nuf9wL69Qe1i+Ed27dyuWI7xAcH8FXJeM7yfsA2fkXnBGLXwo8Cf&#10;grEE/fz8Ot/J7vAYYa7f3PZHHprtbXAbdlSm9F3DTwIfx4TXXlP7zOUFNi9YsKDGfqSBnb1gwUKD&#10;meZ0d9xxl4r/jnb75Vd/+0r6MartSDwPFvBV199orOErAN+icW6vzglbGv4RP7WtevVsTs9DdvuD&#10;O2aecDu8MimSfde1HxrtkeAcuD19+hS1H/s++uh3AXb1gQNV0qZdq/aB4zrv9RzqaMOEr3XPnn1i&#10;587dRtqLFy+qc2IMQn1NrL30n3z++Z/kt/t89RwZmZnKhsS9OK3b4aZDX/AVcrxrHZ8X7nnC/Tu0&#10;lcJuNi9259q5Y5uKv4Z9bXc82feR3eFxQtdxrv2Tf2Z2jxj+ihg2bKhImztbsQ9cvfa6fzXYjHKD&#10;XQ02Yu5GbMPGBbMLCwsFmK3LFv5w+FWysxeLk5Jrej/W6CsPflvt70jjT9AmqePM8Q6KB58wznYo&#10;X3E02FjdHyZblRmeWy9oQ0V7ovV+4KtGGuv+aNyb385JdvuHPWYmcDu8ctE2cMuWLQ1uT5o4QdnG&#10;Tz7VweCutquzsrIVs8Ht/Px8gxXm/Mcxs7/EfAzbuCb6z2PsWH199N85K/vIWNM6/Y3YP80ttEfG&#10;gxt4X6DtMhZchH8Zsdd4ZmucCPwi8HHn5lS3J8IvbfaVgOl+jwmJRvmR3eExwmkdZLrY5q+2f6+9&#10;5hoxSfaTzJD9TWbPmitef32ywVHY2JqL27fvFKWlZcqvffzYMWFtq7x48VMBviN9sLLct/+geOTh&#10;lqJ3737ikZatDH5jLJT58xcG/btg56uSfU5wPYxtXb6xLK7tZuA3YjAqtmyJ2vsD3C6UfYvgo4Gf&#10;JBTnMOYhOI547yLZ3oj+O/h7tEM67XMT6vyJdIzsji1bgtVX7vemHN5551cGO9EfUucr/Cl6Gz4S&#10;sBExgeiHE4rL+StWiGEvv2z8rT6HXsMPjr/HguvB/sai7W/wGzHhOr2TtT4ffM7RYEk4c3nBfwL7&#10;Nhr3E67djL7x+C5AmyX6zGMdjfvz6znJbm+Y4aROMk1s8vqGG2802Jmenqm4mZWVo9baV6L5iHWw&#10;cgFzweDvf/9KMXnytIB0X37xpbL9rOfR/hOz/a371Ae7jnm/2ceNWDWvuQHbFvcMzrlp94TfBH8H&#10;v4aX432jPwzOG27sDP4ePiWMPYjzeBHr7nWeR+t8ZHdseGKun9yObp4PHTrcYDd8KIgdRHtiVvYS&#10;w85GbMmZM6cDeGwulx07douXBg+SYwoeEx9++KGYOnWmGDN2gli0MEukp6XL+JXRonGjRqJjx47K&#10;r67bNi9evChaPPBQ2P4T8AdLRka6OCGv7WW9B3NhP+tr5C1b6orfYD3eJ7p/OuJRIr0/+GMQWx3p&#10;eXbLmBO0Z6Kff6TnSpS/J7ujyxEzD7gdu7yGrav9Fo888gvlt2jQsJG4t8l9QXltLp/Onbooxpn3&#10;mf3kiPvG75cGvyTubdy4xjlhd8N3Yra/a/OfYNw/zdVotk+i742+TjhtkXgHwP5G/8VI5kyDbxv3&#10;ofuiR8pMbcO7+Z6I9Jrx/HuyO3Y8MXOA29HN94vS/tXsxhpjkGD8bqxhh4fKf4yP2kaO443xq3R/&#10;eXAavnFtX78r/eoYAwXs6dixg+x3uSHgnF9++Rd1fbPvG/cRyn+yYUP1WHc4J9rjnHAB7XTwZ7iJ&#10;BYE9b+Y3bPxQfRSD3Qf+Bn0WEfdhbjcMlt66f//evSo+27o/kt94n4Trf4nkuvH4W7I7ugwJxYh4&#10;HLt48bMAxsTjHmJ1TcwT/IMffN9geIeOnRW/W7d5zJbfX3/9d9X3HeycOmWqGtsbfXeWLs1TjF6U&#10;lSV+//vfC/ThQbw3bG/EfON5YNOD0+ZnA9sXzF+g/DVW+9su/kSPp4LrO/Hbgtewm5Eea8TQuWG4&#10;md9LlsgYdzm+R7iLbjfEfTidJxKM9bp9Ed8DTq8f7rP65e/I7tRh9759VeLOOxqIlSsLAxhj5k2y&#10;bdvNewP7267/ozlmBOM+oX8PuKhtbXD81KkzKu8QV4hj5vyCbz1tboba9/kfP1fjySK+sN4tNyt7&#10;38pva/yJjn9xym6wt5pVu1X7IdgNdjr1GejxsXE9p9cMxS3EXGOeyIUL5zvypWifiTlWO9T5nRwj&#10;u+155obzZk1z2z4/Y5kvFy78RnH7llvqi4ceahXAnFjeRzyulZW12LC94beYMH6S8l2A32b/iWYn&#10;fCYzZ8xUzD129GhAXqGPDuakWS/H/LA+y2effSqeeOJxkS3H+8ZYd5qJv/nNb9T1rf3nrf4TfX0n&#10;HMW4f2tk/08zz+A/QTx4SfHagP3mNNbt8vJNql0U14S/wWq3H5f9S1fJd0Sf3s+ruYYGv/iijPXe&#10;HPL8h6sOKl8KxvFD26b1nOZ7QLsnfC5ejBmO58e765C8vvkaybrthsdu0lp1zd/x4/cFye3WrdsJ&#10;cFsv4PeJE8HjLJKxvNDXEey++pqrRZ8+/UWXrt0E/Cdf/+1rUbR2rcFa+LVnz56l+rlb8+GsHOMb&#10;c6Yhls96DLY2+kM+37OHaNGiuTpfXt5yI53uP9+m7eNq/jXcC9ovZ8+utt+dshtthWBtsL4o4KEb&#10;Wxa2sn7PwHbXrKs6sE/UrVs34L2nfPZX/VCsKcg30un01jXuE2Na4dwYv896HL9xn+Dtju1bbY/b&#10;/U2wfWg3xbWCHU+2/W547CatVdf8HR92az+JZrZ5nWr2NzQI9ugFdjf43eTepkb/ee0fwVzD8F8P&#10;HPiiwV74uTXjMP8B5tnRuoZvW/e/RJrG994jHmvTxjiu02Gt2031fWCNa2WmzzPOH2quLfiJwbtg&#10;LNpYtsHVOFLgJ9or9bNpn8vgQQOMvDLf65VXXiGuv/7/SHva2XiGiP9AbCJ823ZxKfDt43iw53G6&#10;H+f3+/iHTp/FSTo3PHaT1qxVbseH28uW5otb699p2Npmbutt8HvX7v22jEnGcrt48aLQ9jd4hFhs&#10;8Bv+C/ijER+in/vTTz9VY02dO/e22rdlS6XiG47/4x9/V+NWVVRuU+2bsNUxThV85mA67Ncbb/yp&#10;nIt+pHE+fd5z594Sut0UdrfmYt8+vQ1+hurDiBgUzPkSrH4f/LYN043tvfpb+xj8rpRzi82TY55f&#10;Je1rfW/d+90mBr7USYDbdS67TO3Ht4VTfp85dVqNp4W4lJWyvyjeL/Ct6GeAbwWx3ug7FE7c+OZN&#10;5SJP+mhg6+tzJvvaDY/dpNU65To+3Ia9XRu3Nb+xTqX2S2hSMwlr2N+I8cP6YzlXmlWzSIPj4Brm&#10;R9PHP3j/1wFjVMH2BreR7s03q8ehQvulNf4Ef4+5HAYNfEnFnWt+3yjnxMTfYjH7LqwMAvdqi0OB&#10;DeomVg5zQeprT5s6OSB/6tf/uZi6qIGMhWwrhox4VrR87E7jOHwqlS77fyq/vGQ0vh3Qtqhtcdjn&#10;+A0b3E3MN/zp4L41n5L9txseu0mr9c117Nl94cKldkkzn0Ntp5r/5Pz5Xxr80fxGf0w7fhcXrxMN&#10;G9wtmjS5V/zud79T7Aa3wTr4WNBuidhsxA3qfWbdPyLHNDTzG3+7ceMm5VO3+k8w5qFmaDB+Yf7y&#10;2uKxMRZfxRbnferNMSd6rgqMBfDyqCfEXQ3qi8lpHcTNN98oFpXcKRZt+Klo2/5WNVYA8g72OeaY&#10;d8vKk8eOi/Ly6ngdtGtiHhvY3Vijz+cqOYcN/ODB/Pp79+xS44wjbdWB/a6v7/Z+/ZbeDY/dpDVr&#10;l9ux4ze4bW2XDMVs8zHwO9Xsb7P/BD4TzW89/jb65uh2zAH9+4uCgrUCvhOM+611/f//67+U/wSx&#10;3tpfro9hDT95zuIc8dxzvZUPBvOmoa3zr3+p9s906txVxZ3XqfM98fxzPQ12Y05zO16AbXb7zftg&#10;i2L+dPO+UNs6Xg/vjYmvj1fvtXZdbhePPvqQ6Dewi3h+yDVi3JSeIrfyCmPp3q9pwPtv356djq+n&#10;7wX+af2NgXcV2K3nm0SsTlZW9ZxB2N62tVLNLYn4Gtjs2BcqhkVfI1nXbnjsJq1Zu9yODbtDtUua&#10;GV3bdqrxG7ajXmB3v/HGOVGv3s+UP0Pb12DaypUrRcOGDcSz3Z42uK21rce4Qv8dvc+8hj/ltXFj&#10;xatyHh/4idEPx3wc9vfTTz+r7iM9rXq+iGCMhs/YCbOC/b0dy+zY/cqYbuLmm24W2RvrKj/JouLm&#10;BrfB8EWl9dVxnXcTxo1xzW74SMBr6z3BJwSfPo5jnBL9LYK1/ptU8m1b8we/3fDYTVqzLrkdfXZf&#10;CMNPEozh9J/coexvtF/OnTPPiEEBN0rknL9g1bZtuwz2IjYQcd+IBa+srAyIP4H20Z9Hz92Ac/SU&#10;MYQjR44x/h5pDh06LOf5GaHOPXLEcMUqzHNm57N24u9G3V7tYownM7snT5ogJqd3Eg8/ereYX3S3&#10;8pN06R7IbW1/z1/zsPHeg0/JjjHcF35/1VB554bHbtKS19Hntc7jC5Lb4fpJQvE71exvO//JNXJO&#10;eLBa57Vew79SVXWk2h/y7Xjg+hhs8N2796ixUCq3bjdsRj2+a27uEtG5S03bHX9/2223i+bNmxl/&#10;A9+A1cYGu3X7Xqi67SZezuzvzlg0TtnTr825XdnZPZ5vL/S2ZrZez8jsYbA7HLs71P3zWGjmu+Gx&#10;m7Rax1xHl+Fe+UmCMTzV+K2//7GG/wT+b2v/R2ga8d9Is0RyGLa0VecHDx4y5puEzX3wYJVAO+Tc&#10;OXPEX/7yV/k381Sct/Xv8BtthDNnTA/gt465Bs/gB0d/mtrYFqw/jN3fmeNMxowdoWJKcjb/SMzL&#10;66CeE22UmtfmNeJOdJ6tWhmduSLs7pf76DOxqzuJss9J/HYwJjvd36hhk5SK//7iiy8Cxm1FX0j0&#10;wfyJjN+zjh/1zjvvKt91r169lP0N3aBd8vjxE2qMKrRbYqzv8vIKMXdumvSlbBR75RxdJ0+cFFu3&#10;bhMTJ06WsSvNpP1ePa8xxibEXPRFRWtlfOetYsrkiQa/ly3NNezv3bt2qDm+auOXG3YjNhrvICxD&#10;XnlGZJfdIP3c16sYk5ETOthyO6u0rvjfP/qRYvf1ss9qOHHZtT0Djwe3vd3Y0m7SJgr/EvU+3cZv&#10;O2V1sHSpZn+bx42C3Y34bvDbPH6UjuWG3Tl3TroAezX/YCefPn1WrFu3XqyV/e3Pnq4ew8qsN8xt&#10;vGXLVtG9+3NqPk39t+jfg3T3yLkd9D69hh8EPhT8ro1rmMOxtjQ4rvuS45xz586SMYDVvhL4SeAv&#10;MdvZ5m3EfGubG31InVyLaYKz2G3euOGxm7RmjXLbe79Jx07dQvaXDMbgcPenWvul9oloNoHfsL/N&#10;/hP4QtAPHmMOIl2/fn0VU816X5a3QsZyl8kxmTaL//ePfxjjgSPNh7/+QEx6fYKYl54hmre4X473&#10;1Ev9/Scff6zYPWP6NNG/n+xrmTYrgOFFawrVb7Mfxa7eO7G79Xgi+t2QvnCEwWr0wcksaGv8NnMb&#10;24gb1PmDsars7oH7vGO1NS/d8NhNWrN+ue09uxFT3PXpHjHndyr1nwe/f/aznxt8atjoHjUWN8bq&#10;Li4uUfxcKMfewxhSiNlGfHbfvi8Yvu9/SFbDZ/L++++Li5/8QRyTjP+tHFPwq6++Umlw/rXSPzJz&#10;5gzxyrChsn9+czFH2u/m+lJWtknUr19fDP92PFowFvPHZ2SkS//LrqC8rB4Hyn78J80A+Dgwbrfm&#10;9oQJo0Snpx8RQ8Y0EbNyHxA9+jYNym2w+4GWl/pXrpb9aPR5uY4er81564bHbtKa9cdt79mt8/TB&#10;B1vFlN+w21PNf6JtS6y13Q2Ow2YG93RZYI00iNXGNmzyZcvyAo5j/4V/uyBjyN8UZaUbDJsc/B4m&#10;+T127Pga6fE3eC/o2EHN2lB9bzCWFeJRzHXduo3j+lyzZk1TsSWws7s+01Y9x7yV9wRlN2K+zflC&#10;X3dseG0uQzc8dpMWeuMSmzwY/sromPI71fwn//Efvw/gFPiNMcB/KPuCT5o4NUDnSHvbrfX/m70z&#10;j5Kquv79/uP9oiZxQFEDIqDI1NBNQwPN0MwzjSBzM8vQA4jIFFEiMoNIN/OggAiIzKMMiqTlZxxA&#10;xDjrL/m9ZYwmectEQ3xGf1lJ3lrvfE+zb5+6VHX3ru4aumuzVq9zq2rfe0+d872f2uyzzzn03HN7&#10;6OGfz7bzcdjP/vvf/27nzSMf75hZN7vQ7Pn1hsknPGbWwz5y+LDJGT9t/etp02YGXBPP0VtvXbTr&#10;xTZr1sz7zQB39+zZHXSvBcwxP/PS6ZDsxmfIH2d2/3zeUFr5TFs7B+ee+nfRtDm9Q3IbPnfutAFe&#10;myxZ+HjI+7is0eOK5buExxJb5XZ0uM3tHIv4SaL53278pHmLlpbfHTp2Dhi/RH9gDmW/fv0po107&#10;Mwdnhv0csZJPPvnE8LrQ+MMH6RWzr/Dnn//OzKF/w77+/eefW17/9ZtvzD7sz9CiRcsC+I25+YcO&#10;HaZ8w+v69eubWMxyj7urTQ441ndiNiIODiaHioe7udywe/TRmbRoXVvL4seWjKR+AzqUyG3Mp2Sf&#10;O71VK+++fH8tK5bRodpTwmOJLTNFy+gxXOMnkW9rZhZK9r9x7K41Bc2vM3FwvN+7T6bJEZ9i/Oqj&#10;xtc+auMk5145Z7n8hy+/sK+xDw3vaYxzX3jhhI21jDTrn2BdQ+Qt7ty5y/jyz9m59FiHdcyoER67&#10;wV93Xjl8aqwjGOqZd2PcS5c9bue8t0xPIsyzwVqBsxbWL5Hdbn7Jw7Nm2DVGQt1L348cxyU8ltgq&#10;syPPkWBtrPGTyLa7P37Ce8+D027+INbzXrN6DWVPyqXcnFyaMiXP5HP/ghYvXmxZDFafPHnS+txf&#10;/P73AT421ga/aNa7zsvLozFjxtk/xMKzRoygb775K7Vu3d7Gv8eMGu3xG2OXWF/wpJm3g31z/HMx&#10;EY/GGtlYX5XjJCvXTKPHnmxJPXtnUM70TtS+U1MaMKQDbTh6a4ns7ta3tv1duu2220xOYdHaK1hz&#10;BOOVuIe7LreyW9kdjFP6XnBOxSJ+kmj7p3H8BGOI4Dfi35jH8/LLhcTrV2H9QeSgdOiQYWLV19Cs&#10;WbPoeZOfgrk77737nvW5z7/5ZgC3WdPfmL0vT5n59PDZsX7VzTdXM+tjNTC/A1NNbshWs3/BdnOc&#10;bdf8YxajxBx67NnuMpP3pXHtlj+xkKY/1tYbnxyVe6ddL9CfB+h/jTFKno/TsWMH73fAvTaOsV6U&#10;//fDrZMel5/pEl9aYssa1DI4XyPdLtGOnyTa+CX21EHMBP42/nDMewnv3LHbYxr87wMHDtlxzb6Z&#10;/azt5s1Pm/Wpt5g4x5Gg3P7hhx/ojTfeNPOB9tvckxZmT7bbbqtBNX9W0/J7QP/7qMBcd8nSxXRf&#10;/3tp+bIl3v2YoVhXFfwEy/k9Lp94YhGtP5hMbdqmefnbiJWAy35W+1+765f06NH9qmvzPVDa/wuY&#10;ufuh1iFXfpeP3xIeS2wjzSa9fsm/CZr/XXL7VIR+/nb5MmHMkvkNXxz8xl45M2fOCeAybNu2y6Au&#10;XbtRxw6dzBjmQyaufTLABrGSv/z5K3ql8JyNpWCv+kYNm5j96ov2iK5Z4w6zT2QNmjVzhskJX2Rz&#10;WFY8sZwenDKFxoweTSuc8UuXoXxcsO4xWvPMSMqZ0Zzun9SP5q9rYnJLmhNi3bMWNSuV2/k7Uuz+&#10;C/i+TZNTAmL0H3zwgd3zje/lL7ebOZ5YhwXrFSqzy8dsbj8JjyW2FfFs6DXKz59o+9+JmP/t+t/g&#10;GsYtQ+11Bk337dOH+vTqZfZX3Ebvvf+h5TfyB18368DanG+Th7L5qW2U1DjFy/1sUL+RiZ3MpsWL&#10;FlCqmSv/4IMPmFyToljzArPuCfYl+zH2nDe++OKFCzx/eIWxyV87lzbs7X4Vm8Fi1HfessA9Ffy+&#10;Nr/GPgz8O7Vz5+6A3x3/s+pnN7/G/wOYPVqWj+ESHkts/X2pr8vP4XDbUMcvI9v22J/Yz++pU6dZ&#10;zrnjl9x/K8z4Xo7Zfx77OGzfvsOs3f06nTlz1nIb7F60cLGJkRfPuQK3c7NzLI/hb98/boxl/6OP&#10;PGL3mMH4I3JHFi2YT+mtW9MdNWrae2M9wu6Zjc18zdY0e2lqALvhb/fql2r3oWQ2l1Q+VtDQ43ZS&#10;UmP69L9+UyK78V2/NHk0dj0uEz9hdh87clDZbdaQqYjfLQmPJbasUy0jy42ytm8sxi8TLf/bHz/Z&#10;sH4T/WLuPLveCfcT5lqCYyhnz3rYMnjB/AVmHHO6ZffGjZsJrOZ1Zxo1TLL+Ns7BGrLIN4G/Df7f&#10;m5lJF954zePApvVFeYnsG2NPMvAYcWzsOYmY9ow5WTRsRB/L4aWbSo+TMM/d/YXtGiumPhiHxXpa&#10;WCcRa5a//8GHdu4Rf1esqYj3EPO337mEvMWKYFmiXUPCY4kt95+W8cFu9IPGTyLfF37/+9jR43ad&#10;WMSuwTr2P1FijBH7rCN+gvj3I3PmUHp6e4/bHCeBLfxtcBvMxmus/bdyxRPUv18/y+8XTG4eMxsl&#10;9irDHBpmL46x3yTWBXxg1jDy71/GdsFKN7cE196+bStt2/5M0HFQ/n5YYxHcxh+/V5Y1xxONv+X5&#10;vhIeS2yV2ZHnRDhtXBXjJ1999ZdS//8eTluFc85fTP7J0CFDCfNnmKVZw4dZfiNGgj+MKT5j2If9&#10;5Q8f3E95OZNsDLxxo6Yet+F33z9unOXesuVLTQ7iHC++fexo0f6OmEvJ/E5JLl4XqmWbQG4H43FZ&#10;38P+C5hnyd8ld+IEz8+/ZHLQsYf72TNnzLyjK/u7m7n4q1cXz7VnbmP+faLvL1keTrvnvvvO23bM&#10;V8JjiW04utdzosP7WMRPIpX/ffz4KcL+EPGgne9/+N7mbj9r9okc0L+/xztwD/EM/ktPv3oe+dAh&#10;Q7wcQHB77Ngibi9etKhoDcEr45Lu/El+ng/tfz7gXq6/XVZGh7Jz98UZmTXM4zbfO1SJvEDE7pGn&#10;CH7jtyqUrb5fevwb6xug793/70h4LLGNh2dJ6xD6tyDa8ZNI5H/D3wa3wbp46GvEftnP3Pr0UzYe&#10;wv6qy+/Mvn1ouol/uMxq3DjZshs53J27FOVNw99+4IHJtPRK/nao/SeXLprvsRusDcVh6fvY58yt&#10;//69uwPq7Na/tOPXjX9emo1+Hshw/D8FsTHwGrnyyNHB8YunTti2lPBYYhsPz5LWITS7K3P+N9bF&#10;XrBgmcftWLL7f/7nH3afMh6D3G6eLd7b/dVzhTTTxLFvueWWAAbmZk8g8HvqlMn2GcSeO/gOd99d&#10;n9q3zzAxl8E212/Oww8T+I3fA6wXGIptbqy7Q6f0CmP3iPGNvHoPGjgg5P1D1UvfD2RxWdsDv3PQ&#10;Ef6wTu+Lp0/a9Sb950t4LLFVbobmZjy1TbT9bzCqvPkn4HYR64rmrMSS3fv2Fe3BAL6GGotDTNr1&#10;X3EMv9v1vzEuyXGSvNwc67MvXrzQcjuUv+0+y02aJHn3kPrXwez945P79z6v7K6g3D6334Idu2tC&#10;Bvuc35PwWGIbT3zSupT8O1KZxi/dOInL71j08cWLlyxbt5j4SElrd/CYIubP4I85PnrkCMtvxL8f&#10;nzfPXgt+Nvxt8Ltz507m92BPqcw8b/Y0Zt/+rrtql9vvxh7CqWmNvXr64zvMDi3D86srqt0kPJbY&#10;xuJZ0nuWzOiS2icW45dS/5vHJV1m83FJ3y0Sn3HuG2KQodbJ9j+jyMXGn8tvcBFx5AyzXhXGJRHf&#10;5jjJw7NnW//7hMn/81/LfZ1tcj/496Ai4t1Yl4qvV/+eewJyyN376rGyOxLPll5TzvF4jp+E8rdj&#10;xW6Ob2NvMSnD/DEU8Bt5gmNGj7L8RvwFcRKs24r8beSAI3Ye7D44lzmLcuWW/uX2u12fG9dEHXRP&#10;s9hyOljfS3xpia2yU87OeGizeIyfgNul/a5Es+3Oni2kgvx8wv4zwZ6p0t7jGArHOcDHiRPGW37D&#10;/54wfpx3XTBzuVmjJC3NzGHv0cP+YU92/LVpk+5xu/ot1ezeN8Fi12V9b/2hO2nQ8I7eNW8x687y&#10;7wJy1JXf8cVvCY8lttF8lvReFfs7EU/xk5LiJOxzo4yWBhDjxhzvkvb5LY3d/Hkw/xvxkZ/8+DpC&#10;zjbs8Bp+NzM0VDljXuh9gcvKbsyZ5+tjLzPE8fk1Sp7DyfXXMrYsl/BYYhutZ0nvU7Hc5vYszc91&#10;uVlRx/74d2lxEve+XO9Ilph7w/nbJe3jW1amcUzE5WPnTh1p+NAh1LZtGyp8+aVSuY2575jrXlY+&#10;h7LD2iZuPTiX2x+T0fhJbHntakvCY4ltJJ8hvXZkeO22K/K/kYuHOSMuIyN5jHk2Z15+hYLlb5d2&#10;X7fukTp+5513Lbuxvxfmg7vPUbjH4Df8b3cO/fixY2j0qJF0u9lTjHlat151emR5Y3piSyrNXdHY&#10;Hq/cXva1pEIxG+8jVtIkudi3x1gq4u8XzNxIfK9nTZ5xnTp1vLogfhIq/h5uO+h58t8ECY8ltpF6&#10;fvS6kee228bBcqlL42h5P+/dp7/498Ktc6SOjx8/YdkdbF56edhTePYlj4vMan+JtbZL4m+4nyGP&#10;242V4Dekd68eNv8c/Obv5c7/Qd1KGj/lc7SU81jSZhIeS2wj9fzodaPLbrR3LOInUv5HQxfYfxIx&#10;E+z/KHnGSrN157T7mY3X2GcsXDaXdt747EEBvxu7nn3GrGVo1o4166/06N7Nxtu5/v41Zl22s42W&#10;keW1274SHktso/Es6T2iw/FYzJ+PR3Zv2bLVstt9fsp7jNhDH+PnMrOnzGpDNe8oipUgThIpfxtM&#10;n/hQ8VzM6tVvocED77Pcnm/24RkyeCBteWqT5bcbP4H/jZxv1Bc+Oj7T+En0eO3qTcJjia1yNTpc&#10;jWY7x7P/HY124PW33eenPMdgnj+HBEx9fFWyZeOshfUj5m8jD5x/L1BWu6kaPbdzu60P9t3BHKIb&#10;b7zB+t8Yr8T8ff6u2PvGPVfjJ8ruaDx/eo/y/aZEO/+7rP53NPq1ItmNMcp27dp6DKxV+3YCqzFu&#10;CH7PmF+f+g1q5b0uLfYh+fznS1Po5mpFudvgcw+TN77ErEU4JS/H+tD5Ty43cbJ21g/v2qWz5TbP&#10;30de+TCzVlZuTrbhfNHeauB43z69PLYz47WMLNMlvrTENhrPkt6jfBwOt/2inf9dFn6H+10k5zG7&#10;sTZ1ebmEXDvXd71vUI+rfOwpc5KoIua4u1z3rzE1vls3yjPrGrZsmWbrg5j2xvXr6N6+fe17yC/H&#10;e/C7kTfozs+vfkt17zsEW5O8vG2k55fMfgmPJbaSZ0JtY8Pg8rR7vMVPyvNdynouszucefAuh3bv&#10;2ukxD/wePW4AYczQZSyOEetG/rb//XBf+3NKUurUpeyU+jSkV2/re69fu8rWCxwGp5EbiHgIeA12&#10;g+H4Hoh5Y+6Oy258D8RW3O+pxyWzt7ztI+GxxLasz4PaVT5uo8/+9a9/x1X+STR0tGvXLjtWuXnz&#10;RsK+U9JnD/Ft/KUkN7WMvPaaH9H4yRmUO60njXsg2eZuI3970/EbLa9574NwWe2et+Spu6lBw7u9&#10;34zkunVp/KD+1CYllTqafd9zumTQNBMzWbLocVpm9sbk7wZ+I99k+dJFhPhJvbvvotat06hJUiM6&#10;+9Jpmj1jupkHWry/G7h/xqw3zedrGTl+S3gssY3Gs6T3iD334yV+Eg0tYD90nlcpXcsEY3+Ik7ix&#10;kq69k6y/Dd/6FyvaWB8bx5iDA+5WlN9dsLMnYW1YjtGwv934rrsoZ9IEym6bYv3v7OaNaMq40bR9&#10;65ar2At+bzB++cyHHqS0Fi2sj83XGz50cMDcHY2fRI7X7m+hhMcS22g8S3qP2LMbfRAP8ZNoaIHX&#10;6wa/D5p9gt3nqKTjYHPfwb2Zc7MsT5Hz0bN3BoGxmN+eOfJ6y+6pc2uXO95tuW1+D5izKCdk9qTB&#10;XXsQfO+8sSNtvDs7rZHH7wcMz3lOJX8v+N84F5zma2FtrCGDBhL2seT3UGL8E/ON+FwtI8NyCY8l&#10;ttF4lvQe8cHueMj/jpYWeO1XrCN4zMR9y7LHyfj7xwawDXnRs+Z3ox59U+mxZSOoTUZTmjStI2WN&#10;b0Vdu7Wjgt31acHaFOreK61ceSaTH2ng5ZOAqfC3J6SnUfd2bcx+cc1oUnoqZafWp5zenSk3axAx&#10;v3MymhP4jf22XO6C3/CpES9xWe0eI79wVf7KgPPca+hxxXFcwmOJbbSeJb1PfPAb/RBL/ztaOrh8&#10;+a9e3AT+97q1a+j866HzTvxrOYFzY3JS7Tz03KkDLAPha2O/A8xNx3jinCWtbfxk1e7ksMcpcU2X&#10;qakpyYSYCPxtMDx3YD/KHXpfka9txivBb+SbuPGTyRPvp2BrboHfrv+N+2DPNR7LVD5XHJ9LaksJ&#10;jyW20XqW9D7xw270Razyv6Opg9999lkAv9esWUX79+0xe3ofp9eu7Id+xPisYBzzE+N5/Ycn2b+s&#10;sZ1pcFYH6pnZnBasbkdYv3XIiHa0dm+aZfjgrI609mCDsLiN/PDBo9w1Af/Djo3OmjmdGjdqRGD4&#10;xLQmltm5/ftYfue0MfHuZkX8njx+LGV3aWM/h/8NfmPtrYsXznu+NMYi/f431iJfu7rAsymJOfpZ&#10;xbBdwmOJbTSfJb1XfPE7FuOX0dbA//7v3wbwm8cwUa54Ypk3bxzsBrcRd0auNv6Gjm5n/WowG68x&#10;PvnE5iIffMToe2njsWphcRtxc1yLfy/urHUnLTDz2wfdN4CuveYaymjXjh4w+2DCx0ZuIP7gf+eZ&#10;/BLLb7xnfHPLb2f8EjFx8NvP3GD+t+YJVgyX/W0d7LWExxLbaD9Ler/44ne04yex6H/eh8Hl9pMr&#10;lpn1SXp5/ARH4W+D0czUB3/e18ZH4HPjvfzt91LL9CSaMScrLGYjJwW5hXx9Lmv+7Ge2LrNnzaRl&#10;Zu8d5GqjbpMnjLOMdvkdED/pnH7V+GWw+Emw8UvcG+8HY42+V7Fcl/BYYhuLZ0nvGT/8/uijT6hh&#10;gybitVzLMocymE0s+/4Ns087/h595GFqbeasMDsxdwXcvj+3B3XPTLI5f8j765vZmVY+05bS2zeh&#10;fgM6WI7PXhLeGq+IiY+cmEy33nqLd1/c/9prr7Gvb61eNPexfUZ7s+98Z5sDMm7MKBsLyenQstj/&#10;duMniH8bfucMGRAwfhksfgJOY/686+9jrvxR3zincrtiuY32lPBYYhvLZ0nvHVuGl3WfsmAMDve9&#10;WPf51q3badiwLMPMH1lmgttr97QlxECQP+LOkwHHwdc7a5txSTOm6H4mOUZOOP9OcHntNf9BaS1b&#10;U+cu3ejw4WOU2a8/1TVxlIULl5gclh508y0301azHuKUKbmBY5NB4ifgN8YvczqkFTHexFMQP1kw&#10;f56J7b9Ab7/1ludfY95lqyvz6rkumH+pzK54ZnObSngssY31s6T3jw2/JfuUhcvpYOfFQ39371Ec&#10;K3lobmfrT8Mf9Y87rtiaSrXvvJMwn1LCatfWxrad+Tbg5a23Vbf7dt54043Uu0+m5Xotcx/8rjRu&#10;XPR74bZTXm52UH678ZOg8XCT87h40SJatSqfsJ89OA4/G3Vw+T108CBlt/GPmbUVXUp4LLF1NaLH&#10;seFoNNs9nH3KgjE43Pei+V3991q3biM1S21u2VW77q300MOD6L6hGTZ/xHLbzHHHfpA9B95j/wYM&#10;S7fxaZ777jK5tGPEXHr1r3+Vv13N7On+6quv0T//+U/6/PPPzb7yrSyz5z46j5q3aElNk1Msz7/+&#10;+mtvX+bLf/2Gpk970KzBPdHLLbEx8D5di/IHWxTN14H/nTtiaPF4ZuumNHnMCMI63xzrz89/0sbU&#10;sTbiT3/yE1s/5LEvWvC47i8fIX5LeCyx9etbX1dtfsdibzSX87HSF7jNMYKbzHzCOQuK5hiC1cxh&#10;xLThf2P/m3D3wMFvAOIvfK9g5ayZP/e4jPaA/71v3wHrc//pT/+HMjPvpWHDRwTYwG769Ieu8r9z&#10;upt1Vtz8b8RPkI9i3ucxzsljsqz/zfzm0l3bFvW836wbe+H8mxHzPyvan60s15PwWGIbq2dJ7xv9&#10;34hYxUnigd2333675Wl1k9+8ZPVwatEihZZvHGa5DU5369bBjkdizg2zXFriXMy99PMabIbe+X3U&#10;BYzmZ2Ddug2W3+PGTfD4ndIslXbv3uvZsG3Q+Ilht8tqf/zExsNzJtgxWuY2SsTDuU5czntsrhdf&#10;KctcVPBz04b1AWvOVhamRqueEh5LbFkTWkafpdFs81iMS7rM5uNofmfc6x//+IcXJ+nYowb1vLch&#10;9Rl8Bz2e38vOrxmS1c2+xtz2jUerh8XtxwoaUsduyQHz2sHCmwyzX3zxTAB/O5kcEnwGfsP/Rv3+&#10;/e//R4WF58w8mrbE/MZnjZOa0OzZDwecHzR+YmIm8L3zRg2nbBMngb/tj5/kmnk8KxYsoHPn/pM+&#10;+eRjunTpbdq793nLb8yPZ3bXr1+fkD8JtucXFNAzJj8Fawq8eu5cUH98h/kc832wNoq751q0uFgZ&#10;7iPhscQ22s+S3i/6vxHx4G/Hit3vXPq1xyXkVsPXRg439qNB7ki482vgk2Pt11DxkUmTcgOY6+qe&#10;OYkyWPzkzJlf0h217iiKoxh+I/fEPR/HoeIneSa+zbES62+783kM008fO37VtRYunO+1EeqEOUKu&#10;f87HGPM8fLB47RSsY+V+FxzHw77G+J3ZtHFjmdawiQb7JTyW2Po1oa+jz9ZItjm4He35N8zpYGUk&#10;v2uwayPuwHxp1izJ+thYu3XtgTph+dg4D3uewX/352rjPuBgsHr432NeuvETjF/iGh9//CmdPHma&#10;rrvuWptDWHTdq/l9wuSN5Jm58Dw33vrbvcx6J4bf4Lbnf2cNDhi/LAu/k5s2Nful5QRlOMY7169f&#10;T3lm7ie3LZfxsK8xYj0HzPqRe59/Puj/FaLBa/ceEh5LbP2a0tdVh93xEidxGR5tff3t8mWPL5jz&#10;Dp9bGseGPWLZiIu762szr1CCs9Lv5vIb/jd+Z+6sXdteJy9vCvXs1YduuOF664PDD/fHT/h+lt88&#10;Nx7xEjNOaccrmd9mHRT/+OWhZ3cGrS9/p5SUZtSjZ29rs9KsN8i+t1t27NjBtm2TpkmEOaF8LkrM&#10;DY31+rKI95R37ySXweEeS3gsseX+17LqMBt9GU9xkliyG22BvA2XK1J+L1zVO2A+onstMPvUqReD&#10;crAsz5R7LczH4fgI2Ikxzn73Fq2fYnlo+M2fu9c+eeJ40PyTgPgJ8xzrWRm+4y+Y/+3Wx38vl9s4&#10;Zna3at3Sst3P7wH39re55Vu2bjXrqO+no0cO0etX1gALl4OS87C2IuI87twkyfkVZSvhscTW1YAe&#10;Vw1+x1ucJNbs/v777+lnZs0Ql0ujJjYJ6n8jxw/jlvgbkFWXmqY0CDjPvcayZUvDZrb7rPH45XXX&#10;XUOIz8+YMZs6de5Ke/bsoxo1anj3h++N+/uZimudOmniJ1gbtkcHj805V+In3vil4TbGNL059mZc&#10;89MPPwr4Dq8atrrfMdi9cD+sLXBn7VrWtnadOrRixXLL7zGjRnvnI34CfmPNL5f74OmmTRto564d&#10;dhz0lbNnIxLbwH53hw7ut2OyFcXhcK4j4bHE1tWQHld+dsdjnCTW7GZdc54gs8n1v7F+4MgxfT3u&#10;sI2/rChec5249N+nb2Y/+u677wL2KIMN+F391uqh4ye5EwPyBW38xB2/vBI/QR4hfO9Z3bvQp+9/&#10;EMBv1InXDMA9Q8VquM6wRb1QgtH3+/awAL9ddgc75rmfvDZvOIwMdc62bVtC5smEOqci35fwWGLL&#10;2tGy8nNb+7DkPoT/zXPOmTs5U4aEjIewDZeRbl++D5fNm6cR8rz5tVuClcF8Yhs/8c3NyRlk9m+4&#10;wmo7fsnxEyce7s9lxHd17xfsXhyvx9osd999t81Zxzir/1xcZ/jQIaXyG0wHw/fs3k3n3wi9T4aU&#10;q6dOvGDzTqTnVZS9hMcS20jrUa9fMk+0faLbPsjlwFpPLpdCHfcfMJAOHDhkxg6+usovjVS/IX6C&#10;GDrXyY31IF+c30csHJ8F84nPvVJockCM/21iJja2ndqAcgf0Nvnfw4rzvxE/wfx5h9/7n90R8D0/&#10;/fTTEv3vD028hesDfnfq1MX+X4Hbplv37t7nmO//5JMF9MUXX9h7fPTRh/TWWxdK5PnTTz1lYyol&#10;7XdUFr5euvg2bdnytFnbawvhuCznVKSNhMcSW25nLaPLEG3v2La33/9mBsVLv/jjO6gf2Ic5mFxX&#10;lGB4qFxyy29nbjz2SbP8vjJWiX0c3HwUcP7o83sC+I32AJf5nsH8b/7M9b+5HVE//hwxfH7fXwaL&#10;o/B7yEnEWOeli8XrIYbDVux79+Lpk8pu06f+9tfX2iaVSQMYC8T/+/EXj/XmMUxmn1tHjlcwG5FL&#10;436O49/+5tNA/xvMNvMr88aNLtqTB/un+fzvbDNHc8PyFQHX+uijjz3+oi5+fr/33vve54h5I36C&#10;WD3Xx/W//eeyDZd/+tMf7Tgoc9stwfDndu2kc4WFYfEX/jvyBsPhfnnOkfjSEltuMy2Vu6qB+NPA&#10;9df/lPLzCzwOun3E/Ob9G4ZnjQxqF9T/xnrfV/ZUY//bjYlvnHf17xn/hqAMFqvhz238xPjYLr/d&#10;OBD879/85rdB6+p+Pxy77HaP4UOHmqdfEmeL9it9Iar8lvBYYutvK30df8+v9on2SSgNMC+5DOZ/&#10;nzB7K/vn5iB+Yve7NPs0BBu/xHsF8xcE8LVevXs8/xr3C3Yvrgf4jd+d06eL13Px8zvUd/K//7aZ&#10;J+lym48xrok1yUtitf8z5HyD+/73I/lawmOJrb+d9LVyQjVQuTTgj61gPqa/D08cP2bzv73xyyvx&#10;E/Ab+8xbfpv4CfZP4/FLxE/8/O7arVtIfmP/H2Y3yi5duth5oa6P7da1tPiJ/zsgpxzrZzG7udy4&#10;YQMdNntKFJo8ceR0l8RhjFViPv++vXtKtCvpGtLPJDyW2PrbR19XrudW+0v7izXgchP54fy+W5bm&#10;f2enmf3STDzFjZ9sXrky4Fo//vF1AbkwiNUgPuLm72Csle/btl1GQIzE73+7bOdzSiuZ2/4Sc35K&#10;i6UUnn3Z8j9aa5VLeCyxLa2N9HNlg2qg8mjA5Tf26HHXCUc/njxxoih+ktmjKH/Q+N82f9Dsb5l9&#10;JX5i81EQD3fyB1evXuOxGNfB/H33Xjxmyu+5mkGOuvsax35++z8vy2v44X528+unn366RIYjboL4&#10;idSHDsdewmOJbVnaSG0qz7OrfZXYfQUfdsWKJz2uNmrU+Ko9HC6cv2D5nWv2nEesJPtK/rcbP4H/&#10;befPYzzzSj7KZnNd1tfzJpcQ+7Nh7SzmNcphw0Z4Nvv3H6YmTZrSjp27vff4fJRu/gnGL93YuGtX&#10;2vG77/46KMNXrlxh594fPLCPzp45Q26e+NmXXzZxk+isMyjhscS2tHbRzxObBdr/lbf/XaYGG1dE&#10;/MSNjWS3amL3l/f87yvxE85HyW7WgPLnzvU4jDwX5JZjjwjcCyXr5YiJfae3Tjf7OKykkSPHeO/z&#10;51xij2W3noiZ82fhlOx3hyo3mpgKcsURN9m4aZOdwxnp2ImExxLbcNpHz6m8z7P2XeL03a9+9VoA&#10;F7Fnp9v///3b/wr0v40PjnHLPBM/sbw2/rb1v7MGFb1ONZ+b8Uvm97d/u2yvP3XqNLNncgv6w5df&#10;0tdff0Ndu3a3cz57dehAyfXqE+LjM80at+693WPE5pnf2Ava/Szc41DjmsGY7vrj4cRESjtHwmOJ&#10;bbhto+clDgO0ryt3XzMXMX64dMnygLxr9O1V/reJe3v8Rkzliv+N97INvxFnWTNjlmXskiVP0MQJ&#10;2fTqq6/RkkXLzRz6azwO8325nDx5akguu/NIQ80TDVeH5998M2hMhTmu7K7c+g5XF3qe9ntl0ADz&#10;E2XdunUD+M3jlwHxE8Nvm//NezpgPr0znwf8zhs23KwxNZwWmTzwrhlF+zC49wl2HIrfGFN17SPV&#10;psxrt1R26zMcKb3pdVVbFaEBnocJRmJfHveaHr95/PJK/MTy28yjt2OaGL808ZPs3l1okNlvoXVS&#10;Y8oZ1J86ZWR43L315ptpRHoaDU5rRi1uv4k631ObujdJ8j6/9pof0RLj+7v3xjHGKZndWGvG/3lF&#10;vX7/gw89H7wgP9/ujVZazKO8n0viIBLbimoTvY7yRTUQ/xpgfmPdkawRo+n3vy9a14/7DvPnS/K/&#10;J7VsQt27drV7mk1slUyDuwauyTg6vZWXe2h5j5iL+XPtMOcyN3cKYU1e3BfcdmMmXJfylt//8D19&#10;aWLwr732Bh08eIi2bt3mcRs5gpjLU14ul+V8CY8ltuVtHz0//p9X7SPtI1cD7N+ixNqs7menTp00&#10;e70Hzs3BuKXdk8fETeBvYy/KnLFjaOzAAZ6vjGvVMfvnTGrWMCi7+3fpRhmtWgfYV6tWjbZt3U5p&#10;LYvff2bb9oD6uHUr6zF4feDgYY/TbnwEcyqjvYelhMcS27K2h9rp868aqDoaYP/b8tvs8cBzeL79&#10;9v+a/TcNv3MnUW7/3kUcRr5J3+40dNAgat20CU1s2dSOWQ7u0tFjcaZZu7ujiaF0Tm12Fb/Ht0qh&#10;mmactGubdp590e/Hf9BPf/qTgPe+Ksda6YiH7Ny5y2M21h3cvHmTzePG2q+Yb1nanPmy+NFSGwmP&#10;Jbb6PFad51H7UvtSogHmN+InmBfJawPyHHXL72EDaVKLxtS1XXvrb+eZ9U8w7xJxEMS1ixj8vyjL&#10;xE7wXrNadxJ8bDde0rF+vYCYSXqrVvZafC5KxFGQa1jW+l++fJneeeddeumll2nHjh2UX5DvMXvT&#10;xo12X+NI522XleESHktsy9pWaqdcUA1UPQ24/Lzhhutt/AI+OPh9+tQpEz+ZREMyMy1rJ7RLp3Hd&#10;OlLOJLOnseF347vu8tg91syLnJiWRClmfg7sXHZ3b9ueenXo5NmON/tXwuYu37wcf/55ML199tnn&#10;tHfffo/Tbjxkm1mbO9y1vcvK4XDsJDyW2AZrH32v6j2j2qeJ1ad/M37pLDMfBvu2tWyVbv9698m0&#10;77FfzZrgtf2wrzvmuSPPAz74H778Iz00fRa1at2aJt3Xn0a3bUXIIwHva5r91pj7zerdTTdcfz3V&#10;uaMWDWyW5HF7kom19G3ZktqkpHi2OJ9j4mPbpFFtcw5fJ1he97fffksX3rpI+/bto6ee2uIxG/EQ&#10;7GF29Mghwj7z75h1YsPhajTOkfBYYsv9p2ViPdva31W3v/15G8xGLhEf8fObP0OJ+fPt2newPjiO&#10;8yZNpKGDB3mMdW0zzLz3NvfUMzGPHxF8b9ffRs4JxjWT6hb754ifsE2/5EaEODlfz2U3xhvdvBD2&#10;rzdv3hj1scby8l3CY4mtPsNV9xnWvk28vr1w4aKNXTMPUcKv5tg2vz9sePGaUawT/gzl3EfnEdYa&#10;mTp5Mt1nYhz82Y+vu45Sa/zM5m4PbJFMSQ0bUK3qt9OE9BYek8FmjGemNWxIAzoWx0oQIxnfotgv&#10;b298/FYpzbxr7zJrVv3rX/+is2cLCesWgtfwr3fseNbuM1na2q7lZWykzpfwWGLL/aZl4j3n2udV&#10;s8+Zsyh79e5r56tzX7tz1v17jyG2wufWrFnT5n7Pf3yh9x4+a2x4jHFLxLbZr57YOjWA24hlw992&#10;fWq8duPg4818niQzv5PvN3LEMDpy9LjJC3nKi4vsNGOQkeJpNK8r4bHElvtUy6r5HGu/Jma/MhOx&#10;Tra7tir8b6wNxZ+D39AI9rDh91DCL/+tGa9037PMNpwGh3HcJiU1gMfwtxHLxmf4c8cyx3TuHsB3&#10;fN7RxFv4+rNnzfSYjbW3o52DHUmWS3gssdVnOzGfbe33qt/vPAaJ+Dbz+w9/+KONn7j+N2LazFCU&#10;y5YttTy/p1497/37TOyDxxgRD+nUqH7AuKTltomH9G3TmmCbXMeJcScV7YlpbVIbUXsTJ4HPfcft&#10;ReOdSSYvHLER7OF+9qUXq4Sv7f4WSHgssdVnuOo/w9rHidvHzGT436tWBe594/IbdsjzPnKkaP1s&#10;G++uUcNjtz9nGxx2/zhOAm7zPVF2advOYz7ssc4JfG5cj+3mPvIIXbr4VpVjNvNbwmOJrT7Xiftc&#10;a98nRt8zI4PFT8Br/twdvxxq1gcc3bOYr306dQpgdQC3zRwdxFFg48ZJkDeIuLhrizhLVvfANVBe&#10;fvFkleU2+C3hscRWn9/EeH61nxO3n997732Pz+A3GP31118T5r+vWb3W7B15jX0PGkFO97BhWdTP&#10;7IcwsE8f77x7ffl/4PHE1MaUmZpMLRo2pu5t2lMDJ06CnJKBTRt43J5g+J5Spy61bZpMN954g70u&#10;yh0mTsL+aVUtJTyW2OoznbjPtPZ9YvU9+9coXR8b45eIeSPn+/rrf2q5ijWq7nLyQLAOoOs/T0pv&#10;bn1s+Npu/jaujZiI629PMOuZ4P2BZj8ddy4l5mxWVV6730vCY4mtPr+J9fxqfyd2f/P4pRs/4fFL&#10;zKfcs2fflbyT+WaPhjoB8ycRD2lX5w7CHHfwulWTJnaNKf5NgB/dw6zV7TIe/nZagwZ2PRPXL8/I&#10;aGfWhipUdpv/67jPpLI7sD3cttFjbZtE1wC4Dd6inPNw8d7B/nY5dOigtat2UzVb4pxbb6luY9vM&#10;ay7ha7v52+D3/WbOOz4f4IxL4vX0B6cmBLPZ95bwWGLr7y99rWxTDVR9DTC/wVLkdofq8+FDh5DL&#10;bma1WyLnz/W1cYyYCfz0kb44SbqZJ89MS5RSwmOJbag+0/er/vOrfZzYfczxk9L4PWTIYKpVq5b9&#10;c5mdUrc2jW3TyuQAFucLYs57qsk5gR+eZsYwsW43nwNunzHraCcKs/l7SngssdXnN7GfX+3/xO5/&#10;N0eQ1+8OpgnmLxjOx/CrXX8bcycb1KtPw00OIMYw2Q7l0kXzE47Zyu7EfraCPUf6nmqiIjXgMrak&#10;+MnoUaOu8r0RG7nfrF/SslnRmlLuvpR83RHDhyYst8FviS8tsa1IDei1lCmqgcqngV/96rUAHzkU&#10;vwt/+Uuqd3fxXHewuXPbtlTbrFuFHBL44VgDnJmN/SvXrC6gC2+8ruyuUy/kmIL7zCi7K9/z4/af&#10;Hmv/xUIDpcVPfvGLxz0uM59DlfC1EyUHkGMjoUoJjyW2sdCI3lPZpBqITw2UNH45evS4kOyuZ/bO&#10;adGiOY0ckUXHjhxNaD/bz3AJjyW2+gzF5zOk/aL9EisNuPmDWCN29+69Zv+GrnatKvazUTfez6FH&#10;j+7e+q1YC9DPrkR/LeGxxDZW+tD7KptUA/GrAZffzGsu/f2Gvdp5T7Jjx9Tn9v9WSXgssfX3g76O&#10;3+dJ+0b7JpoaYL8azMbxksWL7PpV/jpgH2Cwe9WqfLrw5pvqd5vcEpffEh5LbP39oK+VD6oB1UBZ&#10;NfD9D98bZq+y7N6ze3cAs1x+JfKxhMcS27L2kdrp86waUA34NfCr11734iXnEzgXsPDsy/TCCy8Q&#10;fr+wZxv+tj2zlQ7u36/53b71tvwa0tfKFdVA9DWwdes2y+6tW55OGJ/7wvk36eyZM3TwwD7aYr53&#10;fkGB9/vFcX+3lPjSElvVe/T1rm2ubV4VNPDdd995zKpKewOHiu+8eu4cPfvss953dvlc0rGExxLb&#10;qqAh/Q7KQtVA9DXwu88+8zhWVeMl+F4HTNxj3do13nctidP4jLX4xuuv2XMkPJbY8n20jL72tc21&#10;zSuzBn79ziXLplWrCip1vOQtEwMpPHuWzrx0mo4dPUTP7dpJ27ZtKZXXB0zM5IMPPqC/ffutx+tg&#10;/SnhscQ22L30PWWKakA1UJoG2P9cv359pWA3xhPPvvSiHT/EGOKmzZvK7Evzd3X96tLahz+X8Fhi&#10;y9fXUp9V1YBqQKIB5hnG60LFiCvyfYwR/vLsGTp14gU6fOiAyel4zvrHmw2D165da/9KGzfkOpel&#10;3Lv3eULcg/8kbePaSngssXXvocf67KoGVANl1QDzL5LsRrwZeXeY98P3i2RZ1u8usZPwWGIrqYPa&#10;6nOtGlANsAaYoZFgN3I6kHfI94hECX+av0skSwmPJbaRrLNeW59z1UDV1QDzdMOGDeWKmbz15vmi&#10;ccIjB2nHs9upIH9lqczmOAaX8awzCY8ltvH8nbVuVfe5176t/H0LboLfiGeEE9c+V1hI28y6g/wb&#10;UFJZmfUi4bHEtjK3ida98j//2oeVtw+Z3WCuJL8bc8fB7JX5T9KaNSXPSawK+pDwWGJbFdpGv0Pl&#10;ff617ypv33388Ueez4xcD+SBBPO/sbYgckOQF7Jp40bKt8xebUu/r33w4AH65JOPoxKHjpb2JDyW&#10;2Ear/nqfyvuMat9p34XSgMtexE7Ov168N+U7b1+0udR4f9PmjbRh/VqP9e55fBzqHpX9fQmPJbaV&#10;vV20/soV1UDsNPD+e+8F8LggP9+uz7T5qU1UUJBPK1eusH/MZ7fk/Ok///mrKuVn+/Uo4bHE1n8f&#10;fR2750DbXtu+Mmrg0qW3A/jt8jnUcWX8nuHWWcJjiW249dHzlDOqAdUAa2D16tWl8nv16jVV2r/m&#10;tvCXEh5LbP330df6PKoGVAPhauDLL7/w5pBXhtzrcL+n5DwJjyW2kjqorT7TqgHVgGpApgEJjyW2&#10;2g+yftD20vZSDagGJBqQ8FhiK6mD2qpmVQOqAdWATAMSHktstR9k/aDtpe2lGlANSDQg4bHEVlIH&#10;tVXNqgZUA6oBmQYkPJbYaj/I+kHbS9tLNaAakGhAwmOJraQOaquaVQ2oBlQDMg1IeCyx1X6Q9YO2&#10;l7aXakA1INGAhMcSW0kd1FY1qxpQDagGZBqQ8Fhiq/0g6wdtL20v1YBqQKIBCY8ltpI6qK1qVjWg&#10;GlANyDQg4bHEVvtB1g/aXtpeqgHVgEQDEh5LbCV1UFvVrGpANaAakGlAwmOJrfaDrB+0vbS9VAOq&#10;AYkGJDyW2ErqoLaqWdWAakA1INOAhMcSW+0HWT9oe2l7qQZUAxINSHgssZXUQW1Vs6oB1YBqQKYB&#10;CY8lttoPsn7Q9tL2Ug2oBiQakPBYYiupg9qqZlUDqgHVgEwDEh5LbLUfZP2g7aXtpRpQDUg0IOGx&#10;xFZSB7VVzaoGVAOqAZkGJDyW2Go/yPpB20vbSzWgGpBoQMJjia2kDmqrmlUNqAZUAzINSHgssdV+&#10;kPWDtpe2l2pANSDRgITHEltJHdRWNasaUA2oBmQakPBYYqv9IOsHbS9tL9WAakCiAQmPJbaSOqit&#10;alY1oBpQDcg0IOGxxFb7QdYP2l7aXqoB1YBEAxIeS2wldVBb1axqQDWgGpBpQMJjia32g6wftL20&#10;vVQDqgGJBiQ8lthK6qC2qlnVgGpANSDTgITHElvtB1k/aHtpe6kGVAMSDUh4LLGV1EFtVb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yW2ErqoLaqWdWAakA1INOAhMcSW+0HWT9oe2l7qQZUAxINSHgssZXU&#10;QW1Vs6oB1YBqQKYBCY8lttoPsn7Q9tL2Ug2oBiQakPBYYiupg9qqZlUDqgHVgEwDEh5LbLUfZP2g&#10;7aXtpRpQDUg0IOGxxFZSB7VVzaoGVAOqAZkGJDyW2Go/yPpB20vbSzWgGpBoQMJjia2kDmqrmlUN&#10;qAZUAzINSHgssdV+kPWDtpe2l2pANSDRgITHEltJHdRWNasaUA2oBmQakPBYYqv9IOsHbS9tL9WA&#10;akCiAQmPJbaSOqitalY1oBpQDcg0IOGxxFb7QdYP2l7aXqoB1YBEAxIeS2wldVBb1axqQDWgGpBp&#10;QMJjia32g6wftL20vVQDqgGJBiQ8Zlst65G2gbaBakA1EA8aKAvv46GeWgd9XlQDqgHVQLEGysJu&#10;tdH/06kGVAOqAdWAakA1oBpQDagGVAOqAdWAakA1oBpQDagGVAOqAdWAakA1oBpQDagGVAOR1sAN&#10;RFTd/OHfTeYPx/8fAAD//wMAUEsDBBQABgAIAAAAIQCSrIwa3gAAAAcBAAAPAAAAZHJzL2Rvd25y&#10;ZXYueG1sTI9BS8NAEIXvgv9hmYI3u4k2NqTZlFLUUxHaCuJtm50modnZkN0m6b93POnxzXu8902+&#10;nmwrBux940hBPI9AIJXONFQp+Dy+PaYgfNBkdOsIFdzQw7q4v8t1ZtxIexwOoRJcQj7TCuoQukxK&#10;X9ZotZ+7Dom9s+utDiz7Sppej1xuW/kURS/S6oZ4odYdbmssL4erVfA+6nHzHL8Ou8t5e/s+Jh9f&#10;uxiVephNmxWIgFP4C8MvPqNDwUwndyXjRatgueQgn5mf3cUi5c9OCpIkTUEWufzPX/w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Cz4olR6AwAABggAAA4AAAAAAAAA&#10;AAAAAAAAPAIAAGRycy9lMm9Eb2MueG1sUEsBAi0AFAAGAAgAAAAhAIsGL7+rcAAALBsKABQAAAAA&#10;AAAAAAAAAAAA4gUAAGRycy9tZWRpYS9pbWFnZTEuZW1mUEsBAi0AFAAGAAgAAAAhAJKsjBreAAAA&#10;BwEAAA8AAAAAAAAAAAAAAAAAv3YAAGRycy9kb3ducmV2LnhtbFBLAQItABQABgAIAAAAIQCOIglC&#10;ugAAACEBAAAZAAAAAAAAAAAAAAAAAMp3AABkcnMvX3JlbHMvZTJvRG9jLnhtbC5yZWxzUEsFBgAA&#10;AAAGAAYAfAEAALt4AAAAAA==&#10;">
                      <v:shape id="그림 4026" o:spid="_x0000_s1127"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69" o:title=""/>
                      </v:shape>
                      <v:shape id="Text Box 99" o:spid="_x0000_s1128"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1A3BE758"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K</w:t>
                              </w:r>
                            </w:p>
                          </w:txbxContent>
                        </v:textbox>
                      </v:shape>
                      <w10:wrap type="square"/>
                    </v:group>
                  </w:pict>
                </mc:Fallback>
              </mc:AlternateContent>
            </w:r>
          </w:p>
          <w:p w14:paraId="1AA230A3" w14:textId="77777777" w:rsidR="002E5800" w:rsidRPr="008F328C" w:rsidRDefault="000E0B7C">
            <w:pPr>
              <w:pStyle w:val="a3"/>
              <w:numPr>
                <w:ilvl w:val="0"/>
                <w:numId w:val="23"/>
              </w:numPr>
              <w:rPr>
                <w:highlight w:val="lightGray"/>
                <w:lang w:val="pl-PL"/>
              </w:rPr>
            </w:pPr>
            <w:r w:rsidRPr="008F328C">
              <w:rPr>
                <w:rFonts w:eastAsia="Times New Roman"/>
                <w:b/>
                <w:bCs/>
                <w:highlight w:val="lightGray"/>
                <w:lang w:val="pl-PL"/>
              </w:rPr>
              <w:t>Wyjąć ampułko-strzykawkę z miejsca wstrzyknięcia i</w:t>
            </w:r>
            <w:r w:rsidRPr="008F328C">
              <w:rPr>
                <w:rFonts w:eastAsia="Times New Roman"/>
                <w:highlight w:val="lightGray"/>
                <w:lang w:val="pl-PL"/>
              </w:rPr>
              <w:t xml:space="preserve"> </w:t>
            </w:r>
            <w:r w:rsidRPr="008F328C">
              <w:rPr>
                <w:rFonts w:eastAsia="Times New Roman"/>
                <w:b/>
                <w:bCs/>
                <w:highlight w:val="lightGray"/>
                <w:lang w:val="pl-PL"/>
              </w:rPr>
              <w:t>zaopatrzyć miejsce wstrzyknięcia</w:t>
            </w:r>
          </w:p>
          <w:p w14:paraId="5B30A9CA" w14:textId="77777777" w:rsidR="002E5800" w:rsidRPr="008F328C" w:rsidRDefault="002E5800">
            <w:pPr>
              <w:pStyle w:val="a3"/>
              <w:numPr>
                <w:ilvl w:val="0"/>
                <w:numId w:val="0"/>
              </w:numPr>
              <w:ind w:left="471"/>
              <w:rPr>
                <w:highlight w:val="lightGray"/>
                <w:lang w:val="pl-PL"/>
              </w:rPr>
            </w:pPr>
          </w:p>
          <w:p w14:paraId="74EE9CA5" w14:textId="77777777" w:rsidR="002E5800" w:rsidRPr="008F328C" w:rsidRDefault="000E0B7C">
            <w:pPr>
              <w:pStyle w:val="a3"/>
              <w:ind w:left="51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Po opróżnieniu ampułko-strzykawki powoli zdjąć kciuk z tłoka do momentu, gdy igła nie zostanie całkowicie zakryta osłoną igły.</w:t>
            </w:r>
          </w:p>
          <w:p w14:paraId="00FC6639" w14:textId="77777777" w:rsidR="002E5800" w:rsidRPr="008F328C" w:rsidRDefault="000E0B7C">
            <w:pPr>
              <w:pStyle w:val="a3"/>
              <w:ind w:left="5197" w:hanging="180"/>
              <w:rPr>
                <w:rFonts w:eastAsia="Times New Roman"/>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Delikatnie </w:t>
            </w:r>
            <w:r w:rsidRPr="008F328C">
              <w:rPr>
                <w:highlight w:val="lightGray"/>
                <w:lang w:val="pl-PL"/>
              </w:rPr>
              <w:t>przycisnąć</w:t>
            </w:r>
            <w:r w:rsidRPr="008F328C">
              <w:rPr>
                <w:rFonts w:eastAsia="Times New Roman"/>
                <w:highlight w:val="lightGray"/>
                <w:lang w:val="pl-PL"/>
              </w:rPr>
              <w:t xml:space="preserve"> miejsce wstrzyknięcia wacikiem lub gazikiem (nie pocierać) i nałożyć plaster, jeśli jest to konieczne. Może wystąpić niewielkie krwawienie.</w:t>
            </w:r>
          </w:p>
          <w:p w14:paraId="6DEA4AFB" w14:textId="77777777" w:rsidR="002E5800" w:rsidRPr="008F328C" w:rsidRDefault="002E5800">
            <w:pPr>
              <w:pStyle w:val="a3"/>
              <w:rPr>
                <w:highlight w:val="lightGray"/>
                <w:lang w:val="pl-PL"/>
              </w:rPr>
            </w:pPr>
          </w:p>
          <w:p w14:paraId="504B7AD1" w14:textId="77777777" w:rsidR="002E5800" w:rsidRPr="008F328C" w:rsidRDefault="002E5800">
            <w:pPr>
              <w:pStyle w:val="a3"/>
              <w:rPr>
                <w:highlight w:val="lightGray"/>
                <w:lang w:val="pl-PL"/>
              </w:rPr>
            </w:pPr>
          </w:p>
          <w:p w14:paraId="7AB37E10" w14:textId="77777777" w:rsidR="002E5800" w:rsidRPr="008F328C" w:rsidRDefault="000E0B7C">
            <w:pPr>
              <w:pStyle w:val="a3"/>
              <w:rPr>
                <w:highlight w:val="lightGray"/>
                <w:lang w:val="pl-PL"/>
              </w:rPr>
            </w:pPr>
            <w:r w:rsidRPr="008F328C">
              <w:rPr>
                <w:rFonts w:eastAsia="맑은 고딕"/>
                <w:highlight w:val="lightGray"/>
                <w:lang w:val="pl-PL"/>
              </w:rPr>
              <w:t>•</w:t>
            </w:r>
            <w:r w:rsidRPr="008F328C">
              <w:rPr>
                <w:rFonts w:eastAsia="Times New Roman"/>
                <w:highlight w:val="lightGray"/>
                <w:lang w:val="pl-PL"/>
              </w:rPr>
              <w:t xml:space="preserve"> </w:t>
            </w:r>
            <w:r w:rsidRPr="008F328C">
              <w:rPr>
                <w:rFonts w:eastAsia="Times New Roman"/>
                <w:b/>
                <w:bCs/>
                <w:highlight w:val="lightGray"/>
                <w:lang w:val="pl-PL"/>
              </w:rPr>
              <w:t>Nie używać</w:t>
            </w:r>
            <w:r w:rsidRPr="008F328C">
              <w:rPr>
                <w:rFonts w:eastAsia="Times New Roman"/>
                <w:highlight w:val="lightGray"/>
                <w:lang w:val="pl-PL"/>
              </w:rPr>
              <w:t xml:space="preserve"> ponownie ampułko-strzykawki.</w:t>
            </w:r>
          </w:p>
          <w:p w14:paraId="52F8195B" w14:textId="77777777" w:rsidR="002E5800" w:rsidRPr="008F328C" w:rsidRDefault="000E0B7C">
            <w:pPr>
              <w:pStyle w:val="a3"/>
              <w:rPr>
                <w:b/>
                <w:bCs/>
                <w:spacing w:val="-1"/>
                <w:highlight w:val="lightGray"/>
                <w:lang w:val="pl-PL"/>
              </w:rPr>
            </w:pPr>
            <w:r w:rsidRPr="008F328C">
              <w:rPr>
                <w:rFonts w:eastAsia="맑은 고딕"/>
                <w:b/>
                <w:bCs/>
                <w:highlight w:val="lightGray"/>
                <w:lang w:val="pl-PL"/>
              </w:rPr>
              <w:t>•</w:t>
            </w:r>
            <w:r w:rsidRPr="008F328C">
              <w:rPr>
                <w:rFonts w:eastAsia="Times New Roman"/>
                <w:b/>
                <w:bCs/>
                <w:highlight w:val="lightGray"/>
                <w:lang w:val="pl-PL"/>
              </w:rPr>
              <w:t>Nie pocierać</w:t>
            </w:r>
            <w:r w:rsidRPr="008F328C">
              <w:rPr>
                <w:rFonts w:eastAsia="Times New Roman"/>
                <w:highlight w:val="lightGray"/>
                <w:lang w:val="pl-PL"/>
              </w:rPr>
              <w:t xml:space="preserve"> miejsca wstrzyknięcia.</w:t>
            </w:r>
          </w:p>
        </w:tc>
      </w:tr>
      <w:tr w:rsidR="002E5800" w:rsidRPr="00494296" w14:paraId="27CC5790" w14:textId="77777777">
        <w:trPr>
          <w:trHeight w:val="6372"/>
        </w:trPr>
        <w:tc>
          <w:tcPr>
            <w:tcW w:w="9090" w:type="dxa"/>
          </w:tcPr>
          <w:p w14:paraId="760808F8" w14:textId="77777777" w:rsidR="002E5800" w:rsidRPr="008F328C" w:rsidRDefault="002E5800">
            <w:pPr>
              <w:pStyle w:val="a3"/>
              <w:rPr>
                <w:lang w:val="pl-PL"/>
              </w:rPr>
            </w:pPr>
          </w:p>
          <w:p w14:paraId="2D4CFF7E" w14:textId="77777777" w:rsidR="002E5800" w:rsidRPr="008F328C" w:rsidRDefault="000E0B7C">
            <w:pPr>
              <w:pStyle w:val="a3"/>
              <w:rPr>
                <w:lang w:val="pl-PL"/>
              </w:rPr>
            </w:pPr>
            <w:r w:rsidRPr="008F328C">
              <w:rPr>
                <w:noProof/>
                <w:lang w:eastAsia="ko-KR"/>
              </w:rPr>
              <mc:AlternateContent>
                <mc:Choice Requires="wpg">
                  <w:drawing>
                    <wp:anchor distT="0" distB="0" distL="114300" distR="114300" simplePos="0" relativeHeight="251658259" behindDoc="0" locked="0" layoutInCell="1" allowOverlap="1" wp14:anchorId="2B78BC8B" wp14:editId="6E909A02">
                      <wp:simplePos x="0" y="0"/>
                      <wp:positionH relativeFrom="column">
                        <wp:posOffset>36195</wp:posOffset>
                      </wp:positionH>
                      <wp:positionV relativeFrom="paragraph">
                        <wp:posOffset>104140</wp:posOffset>
                      </wp:positionV>
                      <wp:extent cx="2827880" cy="3549650"/>
                      <wp:effectExtent l="0" t="0" r="0" b="0"/>
                      <wp:wrapSquare wrapText="bothSides"/>
                      <wp:docPr id="102" name="그룹 102"/>
                      <wp:cNvGraphicFramePr/>
                      <a:graphic xmlns:a="http://schemas.openxmlformats.org/drawingml/2006/main">
                        <a:graphicData uri="http://schemas.microsoft.com/office/word/2010/wordprocessingGroup">
                          <wpg:wgp>
                            <wpg:cNvGrpSpPr/>
                            <wpg:grpSpPr>
                              <a:xfrm>
                                <a:off x="0" y="0"/>
                                <a:ext cx="2827880" cy="3549650"/>
                                <a:chOff x="0" y="0"/>
                                <a:chExt cx="2827880" cy="3549650"/>
                              </a:xfrm>
                            </wpg:grpSpPr>
                            <pic:pic xmlns:pic="http://schemas.openxmlformats.org/drawingml/2006/picture">
                              <pic:nvPicPr>
                                <pic:cNvPr id="4027" name="그림 402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78AAC77C"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78BC8B" id="그룹 102" o:spid="_x0000_s1129" style="position:absolute;margin-left:2.85pt;margin-top:8.2pt;width:222.65pt;height:279.5pt;z-index:251658259"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Qi7t0AwAACAgAAA4AAABkcnMvZTJvRG9jLnhtbJxV0W7bNhR9H7B/&#10;IPjeSHZjxxWiFF6yBAWy1lgy9JmmKIuoRHIkbSn7oP3C9rAvan9ih5Rkx0mHdnmwfHl5eXnu4bnk&#10;+duuqclOWCe1yunkJKVEKK4LqTY5/e3++tWCEueZKlitlcjpg3D07cWPP5y3JhNTXem6EJYgiXJZ&#10;a3JaeW+yJHG8Eg1zJ9oIhclS24Z5DO0mKSxrkb2pk2mazpNW28JYzYVz8F71k/Qi5i9Lwf2HsnTC&#10;kzqnwObj18bvOnyTi3OWbSwzleQDDPYCFA2TCpvuU10xz8jWymepGsmtdrr0J1w3iS5LyUWsAdVM&#10;0ifV3Fi9NbGWTdZuzJ4mUPuEpxen5e93N9bcmZUFE63ZgIs4CrV0pW3CP1CSLlL2sKdMdJ5wOKeL&#10;6dliAWY55l7PTt/MZwOpvALzz9bx6udvrEzGjZMjOEbyDL+BA1jPOPi2VrDKb62gQ5Lmu3I0zH7a&#10;mlc4LsO8XMta+ocoPRxMAKV2K8lXth+AzpUlssjpaTo9o0SxBqL//NffX/78h0QXaA6rQmC/jIWy&#10;bjX/5IjSlxVTG7F0BsJFOwV5JsfhcXi057qW5lrWdTiqYA/VQeRPRPIVgnoBXmm+bYTyfUdZUaNQ&#10;rVwljaPEZqJZC1Rk3xUREMuct8LzKmxYYuNfATYAfTQRUR6AhRIcNEbW7S+6ACNs63Xsl+/V2Hw2&#10;GzR2mr6ep1Fje6WAQuv8jdANCQagAlFMz3a3bsA2hgTUSgfCgJlltTpyIGfwRPwB8WCigNAeuKPc&#10;yC9Gzxj+X214VzEjgDKkPehmkk5G2dyHJvtJdyT4AHYIDM1KfIeJQSHB32MdW2ffs9NJusA1SUno&#10;zgNzLBv792zyZj627+R0nvbd+3Jmna5lMaoxUH5ZW7JjuH3bSnoRBQ2dPI76jxM4VBUs36272Fez&#10;s5GKtS4ewITVOHBU6Ay/ltjwljm/Yha3OJx4mfwHfMpatznVg0VJpe0fX/OHeJwqZilp8Srk1P2+&#10;ZeHKqN8pnDdS+tGwo7EeDbVtLjVKxQkCTTSxwPp6NEurm494sJZhF0wxxbFXTv1oXvr+bcKDx8Vy&#10;GYP6m+dW3RncV5Mo60DsffeRWTMI3uM83+tRUSx7ovs+NgjdmSVa71rGpgjE9ixC5mEAdUcrPjew&#10;jt6zx+MYdXjAL/4FAAD//wMAUEsDBBQABgAIAAAAIQBiIhoafIgAAPglCgAUAAAAZHJzL21lZGlh&#10;L2ltYWdlMS5lbWbsfQecFUW2fu3/7Xvurv43yXvuqqsYV8CEoIDhIcFBYRQQCQuoA5J2BQlDGjKK&#10;wGBAQFBBUGYxIElAkgiCoqAIAgqCi6CiIIqYs7u+/mr2NHV7Olff2/fePvP79XTf7joVzjn19elT&#10;p6p+JoTobhz0V/wzIZ41Dvr75o9CXH+yEJWvuLpAiJ+Jb8/4lfgP46GSRCYdcZQQtX8uRBvjwXNE&#10;/O/zmrr/KbZ89f9Ec+P3QIOe/qxl0f2+Rh5rjKOZceMs4xiIB/+mqyxeEfQcz5AH0v5MVEYqM135&#10;j/L/P/30k+CDecA6wDrAOsA6wDrAOsA6wDrAOsA6wDrAOsA6wDrAOpA+Hah88mmCD+YB6wDrAOtA&#10;9uhAmHceyy975MeyYFmwDrAOQAd0sDwMLdME/1764vPPReuWLcVRR/1cLJo/N5TMdPj+xo7XRKMr&#10;rpDlow7pPu4aNzbjbQSPq1atEhuPdeSTrbTduvYQp556pjyytY75UC96l4dpiw5tmPKSTHNg/35R&#10;p04tiTEP3Dcl4xhHvP/2m29Ft65d0orj1apVFbt2bI+tjZs3bZR4/vvf/U4sW7oktnoQz3P9PPLW&#10;USaW79mzl/mZpthAHTzWoc11/cx0/T8+9KHo0qljLPa4ta3Ac/o+SIdtHieOU1thn4PfG19+ibFH&#10;E3smTphkYvm8eYuYn5r8JB21nnXwWIfWWg/+HdznEifP9u97R5xS+ZTI7fM4/Cpx8jEJZU+d+iBj&#10;eZrwW9UfHTzWoVXrwNe5heMkr/3v7RNnnHFaJHh+zDFHi7mzZ7PNloE+T/LL1LmsbJaJ5cV9BrKM&#10;0yRjHTzWoc2UHnE56X1PzJ0zOxIsv/GG9tzH09TH4+4D8+cvYCzPgGx18FiHNm794vKjwXjY5lH4&#10;zBctWshYnoH+Hofer1i+0sTygoImLOc0yVkHj3Vo49ApLlMfv7dueVUMHzZExtTcN/le2S/nPPG4&#10;Fp5fXreu+Pbrr8Xet3YLXLdv1048u2qVwPgjy0xfZnHz8PnnXzSxvF69ApYpYznrQJp0wE9fR2yJ&#10;XWw5xZxQvGQYG/3lDeulbO3yX/jkApZ7jHL3oxtead7YsdPEcsSZe6Xn5+He3zq2tQ4ty8tdXrBL&#10;EYcYN58Q19795pvFH487ztb2Hlc6WtZx9O232T73wvb69S6X9K9u2mRLjzHRqxtfJV7OgthAxGIi&#10;RvGzTw/HLpe49SJI+Qf2H0jB8u+++475l4b3sw4e69AG0YWkpYWvARiI+OY42w4fxwXVq9tiLGE0&#10;fCKo44vr1rmmo/TWc0lJiaTv06eXKz3m7cQx11XlP74fUH/27bvbISrP6JrmfeL82rb45oFRffLx&#10;rIPHOrT5yMuo2gSbHJgxcvjQ2LAc8/X9xI8DY9FufENYcdrP7xXLl0n6Fs2b+aKPkyeIqUeb8N6J&#10;StZJyYexPPj7L6hu6OCxDm3QeiYp/ZDBgyRm7DTwNI52Y40APzhMaWaVPSzr2eSqqwLRgR7fIPBd&#10;VKpUyTct1hAATRy8ualjkWhQv9wvFEf5uVpmo0aFpp9lyZIVscguV3nnt946eKxD67d+SUzX6IqG&#10;co58HG2HH4Mw2u+ZfEEPTLk3MC3aSL4Lv+UhHdYQiCPOhfgTR9lx6ENUZapYzvP402Oj6+CxDm1U&#10;OpKP+WCdvuLemf+OJ5wKgqnwp1McSlBMpncAcPEGIw4xSLmE55m2z+F7Qtmrn2HbMkjf61tcYtrl&#10;06eXsV3OY595rwM092ZW2UMZbSvWA/SLpb///e8E5mliDPDLL74w6wlM9psH0t2prGn7ww8/yhiR&#10;caWl4qSTT/adz8gRw8zyg2CLTlrE1pQM6JvxcnXqHDftkEEjTCy/+65JzDvG8rzXAWA4cI5s3Uz1&#10;QVqz2w8Wr1650lEOfugpDXwydu3D+8wu1pzorOdM28gU22NXd75n7z+YP3+RieUlJcNt5c68s+ed&#10;X77o+El0aP3WL2np4FsBVmUKy2FXwz9vxUfrb9iiQ4cM8lxXvHXLFp55Ud7Pr13j2KfhO4Hd78dG&#10;RyzN1i1bHPOKWocIy+FviTrvfM1v6dKnTSyHvyVf2xlnu3TwWIc2zjZnc9lkj2YKy/9eVuYLe2dM&#10;n+qr/wVZ19yPPY01Awj73c5tWrfyVb8oZE9YHne8exRtyWQeFJfYoUPXjMkqk+2LuywdPNahjbvd&#10;2Vo+4VWmsBxzKqlMpzPizP2OMTrlYXffycdilY2f+BjY5pmKLSEs91t/a3uS+puwvF37Dozl7C/P&#10;ax1Q59s89OADaW8r/N7wndjhLN2rVesi32sJ6Ix9euFb/359XeuJ+iIWxu87x6s8t+fEG8byYP7d&#10;88+rIf0szZpn7hvKTY759kzHttahzTc+RtEe2OKEE+mOSfSLu0H2SFPrT+1wO1NMoh/eob5+5qGm&#10;G18pJhHt4j2QgmF5jZq1JZYXFBSm3U7xo1P5lkYHj3Vo842PUbRHxUL4zaPI0ykPP34L+L6d6O3u&#10;+8nTiu12+Tjdg3/dSm/9HcQf5FSO2301Bj/Iu8gtz6Q8q1u3IWN5GnwrpD86eKxDS+Xz+Yhto2I5&#10;MCpdc/gPH/pIwL9sxUH1N9bMQmxgEPmEncMfpIxZZTNd6402rF71TKB6Bym/T88eZvlqfHyQPJKa&#10;trBxU4nlNWvWSZt8kspbtFsHj3Vok8xzt7areJqub3isZ6WWY3eNdaTc6ml9pvr67fJzukdra1nz&#10;c/uN94xTfriPNXrd6MM+o7W1qOx0+3PC1jNb6ToUdZJYfv55NdMin2xtd6bqpYPHOrSZal+ulaPa&#10;y6edekrKvMqo2tKtW1dXLPxLmzaB+9qSxYtc8yT8s55Rl6DteuD++13Lql37osB5+qnD6NtGppSb&#10;6bm5fuqYzWm6de0hsRzxLNlcz1ytmw4e69DmKr/SXW/4YFW8w/q3UZfpZdeGWZ8bc/rVevu9xnzT&#10;oO2jdQ7cygj6XeFVB7uxYvjEvOj4+REf4tgxpSaWf/nll8y7iH3nOnisQ8s6fkTHVV5gfW4Vo2iv&#10;BjWN7jXsfbUM6zXt+xakHIq5tubl53cYTKQ5VU75Rz2Ph9aUV8uL+n0RhN+5mHbihEkmlvNaifb9&#10;X0euOnisQ6tT53ymXbRgXgrOnnvO2ZHOgVFj6lRcomvYyVjnKgiP39/3rjjt1MpmvbH2VpfON4m5&#10;c2aL3W++KcdQ33v3bbkfM9bOsqadMX1aoPJQN6yZTnW2O0e99hX8Tmo5eHcF4RGn/UlMnfqgieWP&#10;PPIE84/t8rzWAbtv+Sj30vGKGww7nod6k38IsSZu2AW7H7iI+EHM0XdL6/TMjk8q1uLaiTbofWt8&#10;EfJO17h00LrlUvqyslkmlhf3GRiZfHKJB+msq45trUObzjblet52axYGjQ904oHVh2PFPz9rpKh5&#10;A+eAq3QPdr+fuZegUenc1tmivK1nr7VfovKB2JUTlE/WuifxN2N59H4VVY908FiHVq0DX6fKuJXN&#10;WoM3/+2vJl7q8ItsZyuG02/EFvrNH/Y11jGE/33M6FG+5/qr+c+Z/bigsdjxd9/p6z1A9GNG3Zri&#10;96A20DmMH57ypvMD91fcL+/EE08IVE/KK+nnFctXmnZ502bB5qElnXd+2q+Dxzq0fuqW1DQTJkyw&#10;xaiw/g+Vj4RzTmc1rds17G/rnPow2GkdMw2ydoGXv0g3ZhB2vRojSjzL5JqMbjLItWdr1jxnYnlB&#10;QRPfNkOutTOu+urgsQ5tXO3NhXLtYiYIR3TjMygfu7PfOenwoVhxHPmF4a3d2ukvrlvnKy+vOf06&#10;7z74f+x8K2hnOmKLwvAu12je2LHTxPKaNWr7knGutTHO+urgsQ5tnG3O9rK//fprYeczJ/x94L4p&#10;ofsB5WF39oPlwPFuXbtU+G6A/RqGr3Zr7larVtXXmKjdmKTarrBYvnnTRlf+B1lvLAxP8pXmH2/u&#10;NrGc5wul+lWjkLkOHuvQRlH3fM5DXcNJxSe6DhvbQvR2Z6+1tOBXcYvrDiMPOyynunm1MR12Ofwq&#10;bu/RdK95FoaHuURDa5jjvGrV2lDv/1xqbybrqoPHOrSZbGOuluW1Nz18zcuXLQnUH6z+acJNOtvx&#10;Crb4xAn32PqOiQ5nr1hEa97wY/zxuOMq2Phqnu3athV739pt20Yvf/mKJYtt6az1wO+39+yRMfF2&#10;/nGqD55te3Wz7zztykn6vWpVzzNtc54vFK1troPHOrRJ12k/7QfWuWELYQzsVz9xgCjTLY4Fdrka&#10;J4j0wFE3W5zqQOcgcYBe8ZGUJ85znni8AoZibNONP37HYpHOay4s6hDWZ+NH1klJ06hRoYnlI0aM&#10;riDTpPAhHe3UwWMd2nS0JR/zdPNBqFgHG96Kw3b8sOIn9lrGvJeXN7xYoV8B47zseLUOuMb7wM97&#10;xcuHZM0Xv1F367sCcffA2M43pa5jg/R++HHf5HtdvwuoHsB6P/nZ8ZzvHbE/VSzn+UJH+BKFjujg&#10;sQ5tFHVPQh7PP/ecL6wB5sBGBfZPMbANsd922IN7wD8r3uI3aLAGLdYudPMZE745nfv07uW49jnK&#10;uWf8Xb7bZFdGq5bXCew5jXgXjBNb9eDDDw7Ylo+2o40zH35IIK4wSBsRP28th38Hx6KuXbubdnnb&#10;dkXM0wjn8evgsQ4t9wP//QAx13aY5ufeTR2LpN0KG5t8DsA0+g0/BfwufnwMfspT0yBfKhPvD9j/&#10;drGMKk3Qa7y/UA7aQW2i9xTGajGfFHY7+BA0bzV9kDlUrNvOut23uMTEco4xd+ZTGB3SwWMd2jB1&#10;TSoNsNfNL6xiTrZd4zsBcnOa/5Rt9bWrD/vJo8Oc8ePvZSyP0BZXMVEHj3Vo1TrwtXdfsZtLboc7&#10;2XaPsHzkyOFadnFc7cK67Kyf3vrpl0fz5y8ysZxjzKPjK/ivg8c6tH5lz+mOyFvH1xIXFuY6lrNv&#10;5Yj+RdEXD310KAXLeU+K6Pirg8c6tFHoRdLygB8YMdyVKlXKShsXY4mYk9+5cycBOxzjkxvWl8fH&#10;7Nr5hsB+Rbjf09j/GBhfp04tccwxR2dlWzA2inHSpOlYJtqrzhd6bRvzOCqe6+CxDm1U9U9iPn72&#10;os+kHY44xDBr1kJ2iF9HrGE2jQfw2lnR2Yp2/fOy/61n2uYbNmzk92VE/nMdPNahtZMx3/PXh2Cf&#10;Az8ziddOZdnN4QkjR8ynDDInyak+Udxne9yfHoaRM2jUGHOe+xkdr3XwWIc2rB4wXbnsgefYgw3r&#10;h0eBX0HyuKJhA7nfG+JropYHcLRfcZ+Mtwm+nu4338x+lYhsRDe9uP76jqZdznvFMZa76UqSnmGP&#10;tSA4rJsWMeIUv51OPnut46XbDiv93NmzI38vpZM/uZy3GmN+912TmO8RvT91bGsd2lzWxWyrO3Av&#10;yBxGK475+Q1/tu7a6UH5Brsf46N+6qeTRnfPiqDtSnp6xvLobHFVl3TwWIdWrQNf68v2wP79ok+f&#10;XoHXT/GDgcDxxYv9rzkYpTzffXuvjHnxU88gaTDPFWOcW7dsYbswIrvQr9zVGPNBg0Yw/yPivw4e&#10;69D6lTunC47zfteL8oN9wHHY/ZADzpnasxg2uWov056gfurslcbvOmSse8F1zw/PVq86slccbHQ/&#10;NJzGWxY6eKxDy7Lxlo0Oj7D+CeK5sQ6VF7a5PX/yyQWyr02b+oCZT++ezmtn6dQZtPDFY20wWh+m&#10;f7++snzY5zp+pJo1a8h1BLAn0A8//Mj4EZEtGFbeFGPetUt3lkVEstDBYx3asDrAdMHfAW5Y7faM&#10;7GLY43bx31jTKspYFpRnt/YW4s8hd5Rl99ytDfSM93ULrjfp7GtnnlFFxrK0a9+BsZyxnHXAhw7A&#10;Pic8C3IGTqMvw052i/vG+ua0FmLYvg+M9tpDCfE6yN9rXzinNvrdDzpsG5gu2LuiRs3aEsubFDbj&#10;fuyjH/vRLx3bWofWT904TbD+YcevMFh+7jlnm/b2uNLRvt4F8GEgPhvrIa5e9YyM00bZtL44/Br4&#10;jQO4ith47Gd/1ZWNfOVf2LiJ2ec7d+rki0bFdfib7PjD9/R1LAwP61x8mcTygoJClgtjOeuADx2A&#10;b0HFND/XWEcF/RP2sp1vxU8e6UhDa8+GaRPeMWEwh2nSg/WFjZtKLK9T+zKWi49+7EcPdWxrHVo/&#10;deM0+v0oDO7RHHbMC0oHJofNE75y8s+7+X3s8seaXqxP+voUFQ8Jy2vWrMNyYSxnHfChA0GxHOu8&#10;UH+Fr3zo4EFZgefXtbg2ZX79urVrA9WLsTx7cBz61aGok7TLq1U7z9Q30js+h5OVjm2tQ8vyCiev&#10;oHwLiuXWvZFRXibmldrZ0nSPfCvWtlv3oab0dmfG8szom1VGTr+7de0hsZz3o4hOLjp4rEPrJGO+&#10;H51swcsgWK7a5FY5II4kbDygHbb6vYf1fa11od9BYloYy6PVK5JB2PPQwcMYy318Vwfhrw4e69AG&#10;qSOnDd8P33v3bd++iLmzH3PETcgAPhe8G27p3sOcy+MXk4Oka9G8mZznhJgXL9n/8bjjfLVvDq+d&#10;5clLL15H+XzihEkmlvO6t+H7tyoTHTzWoVXrwNfRyNKOj8BDvzhqR+92D74X3f3tqW6IU8faXTS2&#10;6Vau+gz7E1EebmeOSUyfjqny8Hs9Y8bDJpZPn14eN+WXltPZy1IHj3VoWR728kgHX/zEFV5wwfmh&#10;7TbsiYmYcsT9YX2v9u3ayvWwsIYKMFo9gL2tWrYQXTrfJPeLW7ZksdxbKOy8+m5du/rC8s2beP+a&#10;dOhW2DzLymaZWF7cZ2Bo3Qtbfj7S6eCxDm0+8jJb24Q5nG42K57RHsvZ2ganesEP7tU2PPfjr3Eq&#10;g+9Hb3csWrzExPIuvCZLJO8yHTzWoeX+EX3/cOKpnzjxfMdyJ97w/czpocrrFctXmlheUHBkTq+a&#10;hq+DyUYHj3VoWU7B5KTDr62bN3narh073BiJbaBTzzC0Cwwfu5dd3qdnj5xsWxh+5ArN+vUvmVhe&#10;r14ByyeCmBYdPNahzRWdy5d6eq0XC/91LrYVY5peWJ6pNddzkX9x1fmNHTtNLOcY82jsOh081qGN&#10;S4eSWi5jeTT9Jan6E3W7Gcuj10cdPNahjVo3OD933Wh0RUNX+zVf7XLE8LBuuOtGHPyxYvmqVWtZ&#10;Tpp+Fh081qGNQ3+SXGbp2DGuWI75ObnIH684lmZNr87JduWiLILWGb4VOni+kP77VgePdWiDyp3T&#10;68naay4/7PZc5DHi2d385bzWrZ7epFMnqlY918Tyu++alJP6l07+BM1bB491aIPWk9Pr9UnMv3fb&#10;/7jyKSfnZF9q07qVK5bvfnNXTrYrCfreqFGhieU8X0ivf0NfdPBYhzYJupptbcRebm42LObkZ1ud&#10;vepTp04txzbRPqFeefBzfRwJw8PmzVuaWN602ZG1lsPkxTSM5UnTAbc5oLRXcy7xxG19Arv1e3Op&#10;bfle177FJSaW83wh/fepjm2tQ5vvepqt7cPaKSedfLKtLQsbF76YbK27tV4PTZ9q2w58eyx8ckHO&#10;tMParqT8HjJohInl1QzfeVLana526uCxDm262sP5er/fx5WWOmJgLtnmTuup5+p6BEnT3fnzF5lY&#10;zvOFvPutl37o4LEOrVe9+Lm+bJ14iH0lnPzm2EfTiS6b7mN9XKc2PDh1ak60IZv4GUddGMuj7eM6&#10;eKxDG4fucJlHdGeusTeDk6951cqVWY2Fhw995LgXBmIrv/zii6yuP+thuR5+/NFHKXb54cOHWW4a&#10;84V08FiHlvX5CK7GxQunuBbE+cVVJz/l/r2szNYmd9vjzk++nCbzOklzhXBmLNfjvw4e69Byv9GT&#10;W1T8G1c6ugIuHnPM0WLRwgVZiefYd+jcc86uUOdGBQU5NW4blfxyPZ/LLq1n2uZv7d6TlTqXKzzW&#10;wWMd2lzhTxLqCXvWzvecjesLOtV1147tjAMa3+dx6bk6X4ixXM++08FjHdq4dIfLragvsHXt1lFE&#10;nEjQ/TfTyV+nPTUwDprOcjnvijoTFU+6dOlh2uWbN21hOWq8j3XwWIc2Kl3gfKLpZ9gP0w7Pu9/8&#10;t6zoXzNmTLf9dnjgvilZUT/Ww3B6qM4X2vjyJpYlYznrgIYOEA7BBse8d6u/Je658FhbwBpzg28G&#10;jN1S3fkcDkvj5tv0GWWmXb527TqWp0Y/1rGtdWjj1iEu37nvY66NFc/jGguFH9w6JwjfD7m4dgzr&#10;XEWdU2PM1zzLa5jr6IgOHuvQ6tSZaSv2iSh58tmnh8Vtt94qLqhe3cT0SpUqyXt739qdEdsJawms&#10;WL5MVDnrTLMOsM1vvKG92P3mmxmpQ5Q85bzsdXbjxs2mXd6ufQeWK9vlrAMaOuCGMzd1LDKxlGz1&#10;1WmeS4T3BeafUnk4Y62YbBqHdeMZP7PHbSe+UIw5Y3kwvln5qWNb69Ba68G/9eSYLv7BPrb60GEf&#10;pyt2BGsbWtexRRzi/vf28fs6Te/rdOmO33wJy5sU5ubeVn7bme50OnisQ5vudnH+0b4bdr2xQ2AP&#10;H8yRx1wi2MqnnXqK6Ne3WLy4bp349uuvQ2MtfOITJ01I2SsD/h34U7J9PQHWM309q1GztvSzFBQU&#10;htYhlgOvX846ELwvbnt1syjunbo3G3Ad8d+YX+Rn3VyMXWJNxiZXpY6zwreyYulT3Kfz1Aa362+E&#10;5XVqX8Zy15C7jm2tQ2snU74XHFfj5Bkwe8P6FwX21OzY4UZps8OeXrZksWufhL8EsSjwpWDtl5KS&#10;EmOcc6nA2upxtofLjkf/Chs3lXZ5zZp1WP6M5awDGjrAGBYPhjHfy/l+bfNWEsurVTuP+7FGP9ax&#10;rXVoWY8ZP1gHWAegA926HpnHzzoRXid08FiHlmUWXmbMO+ZdPulAj+69pF2OeJb97+9n2zykba6D&#10;xzq0+aSL3BbGVtaB8DowccIkE8vnzVvEWM5YzjoQUgcYh8LjEPNOn3cqlk+ZMo37cch+rGNb69By&#10;H9DvA8xD5mE+6MCM6TNNu7y4z0DGcsZy1oGQOpAPeMBtyN33WlnZLMbyCPqujm2tQ8t9L3f7HsuO&#10;ZRelDjy1eImJ5QUFTdgmC4nrOnisQxulLnBejC2sA7mrAyuWr2QsD4nfqt7r4LEOrVoHvs7dfsiy&#10;Y9np6sCLL2wwsRxxibr5JZVeB491aJPKb243Yx/rQKoOvLFjJ2M52+X8Do9ABxhbUrGF+ZFZfmCN&#10;TVr3FufXtm3nfh2iX+vY1kSL/Vf5YB7o6gBjaGYxNJv4rWL5pk1bGMtjwnJVDnx9ZoqNwfzwz49s&#10;whauS2bfK+efV8PsNzz3MxzvybYOo7tEy3jlH6+YV868CqODTBOu32cb3xo1KmQsD2GLq3IkPFbv&#10;+b0mWsT688E8CKMDhU3K167GO86v3nG6/MBvVY6tW7czsfyB+2ewLoTAdcJjla9+r3Vo/ZbB6fKv&#10;36oy5fVO81u+qqzdrjHWQt+sd981ibGcsZx1IIQOuPWxdD9jLGcsh46pWD5o0AjuxyH6sY5trUOb&#10;bozg/HMDIxjLc0NO6e5P8+cvMu1y4Hq6y8vH/HXwWIc2H3nJbQqOS4zlwXmWj3qmYnnXLt0Zy9ku&#10;Zx0IoQNxYgNjOWM56R/5y9u178D9OEQ/1rGtdWhJfnxOdl9mLE+2/NX+f8bpZ0k/SzNjL2f1Pl/7&#10;0xEdPNahZfn4k0++84mxnPWAdLxGzdoSywsKChnL2S5nHQihA9SX4jgzljOWk94RltetewX34xD9&#10;WMe21qEl+fE52X25pGSoGb/AupBsXWhQv0DqQs2adRjLGctZB0LoQJwYirU3aMwrznpw2fG/Rwob&#10;l88BPuec6tyPQ/RjHdtah5b7Tvx9JxtkwFjOekB6eEP7jvxeD4HhxD8dPNahpfL5nOy+zFiebPmr&#10;/Z/HTvR0QQePdWhVGfK1ngxzmX+M5cmVvVVvhw4eZtrlS5asYD9LQBtdB491aK1y5N/J7NMqlpPf&#10;nM/O6wJnI28QF44YFDrq1m0o4PvGAVsbx9gxpWLihEnmeqpPLV4i1qx5TmB/uI8PHZK4jefUPugF&#10;Y0IwTNDBYx1allMwOeUrvxjLcwu3CWvTcb6g+oUmlhf3GchYznY560BAHYjzPWHFcszf5iO3eIB5&#10;mpjfQwdiCnGcf15NE5uDYj9s/csuqy/XT4xTP3OpbB3bWoc2l3jEdU3fN4SK5fjGZl6nj9dx8fbT&#10;Tz8TkDPWJYe93bZdkYH7TUS1quf6xvrHH3tCfP/dd6wfLnaaDh7r0MalV1xudmGFiuUsm+ySTabk&#10;AR2YPr1MdL+5t8T4P59ZzRbj69dvxFjOWM464KIDmeqzduUwlicTv+10Qb23detrAmvfWv00+L1w&#10;4RLuzzb9Wce21qFV5cbXye3PKpbDp4pvbz6ylwddDHyFn0Q94DuBHHGsWrU2cpxt2qxlip0OPD94&#10;8KPIy8l1HNLBY6KlMQ8+Hxn/YV744wXGt9RxMR73zO5xTzu9rlP7MjnWifHOatXOM+UJzMU90DQp&#10;bCbHtMPuM4F3BHwspCvIN9exN+r6Ex6HyZdo1Xc0X6faLHHyo6ioixxnwlgTHbBxrHZvvXoFomaN&#10;2ilH9eoXmf2G+k+6zzz2mV/fZ7DTH3nkCV/jndMfnCGWL3tavLV7jyNGHzz4YYpOYuz0m2++cUwf&#10;BtNymYbwOEwbdGjDlJfPNLA76DuVzjTur74P8I1rxWL8TjfOZip/ta18HY9dAPwlHcQ5Hf0OY52Q&#10;b+MmzSroLmxuPLMre8SI0SnpkU866peLeergsQ5tLvKK6ozvRKsvoGWrdvJb0voNCr20Hk7j9JnC&#10;y6jLQXusbax10SW2/EAssso7+FjAM+zXi/uIK7bykH/781dFwSf4MVRZXmD5PoMPhZ4jLcqE7kN2&#10;PboXh8bVPXv2yjHNMWPuFB06dJWx5SgL5SN/6ns4w19DOmx9pqZL2rUOHuvQRsHn/e/vl99ka9c8&#10;L3A89dRSgTjUhx+aKecL45u9XdvrTbmT/JN8xnepnV1vZwPD5lHtM1xv2LAxpV/pyhGyUPsjfuvm&#10;yfTp89WQPpBdDb2BPtUz/HRu/eree6fIvrny6WcEYlT8ygjfpmocOvq4apsD7/3mle/pdPBYhzYI&#10;X6E/kCn5F2AXuOlNPj3Twd3Xtm3Pej2HrGDbkT6gb7r5TCkdn9OH17q8xbpY5B/EexpjMXZ98tJL&#10;60tfih89RX7U70Gn5ueHXrdNuUCvg8c6tCpvMH6xd+/bYuPLm8TatetEm7/cIPs3ZJcOfwR9I1rP&#10;dt+oLa77S4pPAN+Sd945QdYTdVWPzZu2COvxj3/sltgEfKID3xOHDx9OOZI6pw19Ut17APuDrV71&#10;rIntqp7wdfbitx/ZfPjhh7IPoI+g36AvQd7o43iHw3eybt2L4sCBD2zl/8MPP8r+hbgZFcthp/sp&#10;P9/T6OCxDi3iQ/GdFsW4Hd77yAc2AL75SkqGm74BXjszu/s/9Um829DX0L/hJ8v3fsftS9VLfHur&#10;46Dox24x5KqNh9gs5udPQgePw9BCRg0bNk55r1J/Vs+wmTEuhrEyjIUMGjRCfrdhjB34jO+qPcZ4&#10;CcswtU/kGj9I5vgmQ90HDBgqxzpyrR1c32j0EOMxvXr1l7Y64tNXrFhl28efXb3WxJCGVzS2TZM0&#10;mYTBY+KRX1rYXL169jV5T/1XPUNu8IfDL4Y4UiqDz9H0kWzlI+kA2eKQP+5la325XpnRx23bXpdj&#10;nrDj7HiOWAfSndqGz8UuTdLu+cVjO774oYWPmHhud8Z3FXwtP/zwA8vDsEvt+JzP90gn7ptyv2w7&#10;vrVxL5/bzG3zp+fl6ykeGRdX+aZiOXys6rOkXvvBYyfe+KGFvU39FWeMWyAOFb6SPewjSbwOQicw&#10;9kn4vXPnm+a1k97xfX9YmOt8KirqIq686hrbPjLnibkmriBdrrc1ivr7wWOncrxo0T/pgP87Hevu&#10;ONWN7+dGf4d+IH4IZ5IZ4ol5Pn9uyI9kFvX5WyO2DTrhtH4L9IOwheNYynXFC4/dZORFS7zG+fXX&#10;3zD7qlue/CxZfRi6gfgjnEn2FNtEv/mcLJ2AvDEnCDqB8RM7+eMZHfDL2aVJ2j0vPHbjhxct8Rpn&#10;ijlzy4+fJa/PQjdWr1oj4xbIFqd5fawP4fVh+/Y3xFdffZWzGAe9wLe809pZhC087/OIjnjhsVt/&#10;8qIlfuPMWH6E5248Tdoz6AbarNri8MXR/aTxQ6e9wO6RI0eJ4447Thx11M/Fn046SWx6ZXPO4Tn8&#10;KpC/k72NOQh4jgPzi3R4lk+0Xnjs1lYvWuI3zozljOV2ugTdwH3MO6Br/Ma1k6/ULp+k3xs37i7x&#10;m9/+RmI4cJwO3Js4cXJO4V35emtNHOsMex36gQN6k3TZU/u98JjS2Z29aInfODOWM5bb6RB0A/cx&#10;/4uu8Rs+dMwTs6Phez+JH3/8p7HmxSti1t8fEaeffoaJ3cDwU045VVxe73JR44Lq5v3Bg4flBC/h&#10;H4ff5J133rWtL73zCVs2GesBsD6UY4sXHrvxyYuW+I0zYzljuZ0uqfiN+BWaG4I+jfhVO5qk34Mf&#10;xc4GLyi4yoj/mSjGjSuVx4SJE0XPHj0knv/yl78QS5euyGp+wjcOfYAPxU7GwBAVUxB/bpcuqfe8&#10;8NiNL160Kt8ZyxnL7XRJxXL0TYonxhoNWHPDjiap92Y+PFP6wMl/8utf/39xwoknGP7x/xEdO3QU&#10;40pHmzg+csQwMaBfX7Fx4yZx8cWXSjyHHz2beYd1HKAPTn7ytcZ6XIQp8MO4rdeSze1MV9288Nit&#10;XC9a4jvOjOWM5Xa6BN2g+5j/C18o/cY8s6Svf/voo4+LupdfbvpKgOOwsYHPTZs2Ey1aNDcwu5+x&#10;xlF90bdPHzF02FAxYvhQMWrUrWLGjBmSl5999pk5Hgr6Tz/5xOQx8TobzuXrlPrzk/M6txXxxAuP&#10;3WTsRctYXpHfbvxM4jMVy9E/1d+wvTBXO4l8eeGF9Sn4S7Y4fOED+vdPscGHDhts7MvUR3Tu1FFi&#10;/lWNGolpU6cJYDjxrvm115nvA/ho6H62nGFj4zvMySYn3YB+QC+ypd7ZVA8vPHarqxctYzljuZv+&#10;4JmK3fiN+fy7jHn8uMba8Zir7ZVHPj4n7IYNXrlyZfGHP/xBdLqps/ShdL/5b9L2vnXkcFFc3FsM&#10;Hz7E9K2MKy0V/YqLRbWzqwpgen/DZl++rNxP/tt/x7nUqnXk2ydbeId1mbCWuVN9gN+EJyNHjnFM&#10;50SfhPteeOzGAy9a4j3O7GNhXLfTJSuW4zsb+4ghLfYApflDdrT5eu+xx2ZLG/qss6oY47+1RetW&#10;rcSYMbeL0tIx0v6uUeMCw5cyWPpRaJzzzrvuFI89PlusXLlK7Nu3T+zatUvcMW6cgfV9xKRJ94km&#10;Ta4Wo8fcYdrmb775j6zBQ1ona9as2bZ1ojmghCfsJ7fHEi88dusvXrTEe8Zye9678TYJz9AnrViO&#10;WERa/zap8z8vvuQyibm/++1vTXsbtne/fn3ECSecIIYNGWzef+TRR8Vzz69L8ae8bMQqAuOB71u3&#10;le+t2ax5C7F//wETy1u1/ostbsahd4hfgh5gvy278lUcwZwyuzR8L717UagyYLuc8dza37BevRXL&#10;sRcF9ttG2pkzH63w3JpHPv6ueWEtibnnnnOuGH37KOlDGTXqNmN9/04yxnDJkmXiw4MHhbqv4Bdf&#10;fCFe2vCSmDbtQTF+/D1GvP4y8eWXX6bg3qCSocbcmn4yb/hu3jb2ZcwG/kEHnOILN6zfKHUAaRB3&#10;zjjijCNetrWbrL1owX86WAbOMnDjcb4+o3n6sMnUNk6ZMs3EbxrvUp8n4ZqwvOEVjUz7e/r06aKw&#10;8JoUXhEv5s9/0kw3c2aZ+PjQx7bp4IOHbU5z/KtUqWqbjvLNxBnzwdzWH1f95E5x55moZy6U4YXH&#10;bm3woiUcx5mxnLGcdGnD+pdFrYsukfEI77yzLwVPCOOR9rvvvpO2GNEl5dzEwGzgbseOnSRvEI8C&#10;n4h1bRXC8MmTp4hnnlntiOHEtxUrVhrji/XEdS1bm76WefOeTOE/pc3UuUqVcxxjV7DHgYohSY9P&#10;9ZKJFx670XvRqnJgLE/FctqTHPrpdsg9y424PIwPeR3o2/A1+zkwpujnUGUY5XVRURdbDIFfAOWQ&#10;3sE/mrS5/Dfc0EFiLTAdfMCeW/B3E092vrFD2uETJ04Sb+6yH8P86CNjz/u3doutW7aYx/TpM8SJ&#10;fzrR2EfgWRPLW7dpa+ZL+WfqXL7nuv2+QT/88KPcI450jv3kqfhhJyMvPLajoXtetCQHnOPCcswL&#10;Rsyq9cAccazt4HV0v7m3XMMPuuR1YN9Btc35cA0fiFe76bkXL/G8pGS44xgX6RX6OHiH36CpX79R&#10;bHhDdcr0GXY5fC0oF75vxIR/8/XXxhhCmcTxyZMny3gVPP/kk8Ny/BPPcJ9iW+zOiEMfPuxWE8up&#10;jEy3D/YLZAz52pVNsS3Uh5zizu1ok3rPC4/d+OJFS3LAOWosx7od8J/BZiufL1Yo5wxi3iC+26hs&#10;zD/APeuBtT6IzuuMcvwcqBPi6PwciJHF+8TrgP/Y+h5y+v3ccy8I+Jj9HG5yjftZUVEXE8ux5lYS&#10;16gGlsOvjTHN0rGlEssRlwJ8xthmWRlwe4r5G2Oec+bMFQsXLhbPrnlOIJYFNvsHBw5I38vTT6+U&#10;aSfcc4/hr2krune/ReJ5XGOg0x98SM4N2rTJfm0s9Fvqw07jonHrabaV74XHbvX1oiVZ4BwEy7du&#10;fU3uKwJfAWIa1Hzouvz7rIkc/yZ7kDDu4MEPbd/1bm3hZ97fcJniEeQIOVN56NfYM4x+J+EMLMcB&#10;exyxJ4gPJzsbGP7UkqVi06ZXffEEfhbQIv78q6+/EtdfXyTHQE/8059kGTVqXuQrnyj5Dvk6YbRq&#10;kyfxPR6Wz1547JavFy3hLs5eWA77FN/qKg2u0Y9xH/FrWK8D/Rz+Q7d68bPsweUwsrDGneObKml7&#10;DD5w/1SJs8BbxJ4Af4PycoextxDhP3Bcpcf7Ae8Jemfs2lU+11ZNk65rfOOib+P70a4MfCcTDiRt&#10;rMSOH37veeGxWz5etCQPnFUs/9c//ynnaa9b96JcF4/8IJAb9h945ZVX5XggaP71r39VkDd84G71&#10;4me5jeWQX716BXIOP66xdwzm/iVJrp999rlcQwtYC3/Idde1Nmzqr33xAOOeq1c/K+6++27pd9m5&#10;c6dAn1P5d801zcXatc+L448/XuI5Ys/V5+m6Rp/GmmlO+y3Dj676V2C/pasu+ZavFx67tdeLVsVy&#10;xG0gL7yL1ZhRrMOAODS3cqzPioq6BEpvpeff2Y/18JvRGkoYh7hvyv2JkznFmQPPyY52012Mgd7S&#10;o9wPXqXKWeKllzY68gzjqYhPRBwL8sdcU7e8o3iGeZ0YS3cay8bYgIoZbnHnUdQn3/LwwmO39nrR&#10;wrYi2WBtYthX5T6TQjnmt2GDs665lYvvbcSXuKXhZ9mP124ygm5gDBtpME4MPXJLn4/P+vbtb/pA&#10;YJvD3+LUToyFjjXWbMF46VIDp1evXiNj0hHLiDUXrXTff/+9qFK1mnxHAMsxBuo0h95KG/Y3+j5s&#10;8oULl1SoD/Js2LCxiRfwqwW18cLWK1/ovPDYrZ1etE2btTRlQ7ElTt9WbuXYPYMPndZgsnvO93Ib&#10;yyE/jHt9+umnguaMJFGmwFkcdS+vL9fGgi1NfHj//ffFC+uelz5xrFU+ZPBQI8Zlkvkc6bCf87Ut&#10;WomTjH2c1z2/Tsaag2bD+hfFqNvGik6dusp3BMpI1xgoYhjwLkafxVgI1Z/OBz84mBJLDsy3S0fp&#10;+Wzft73w2I1vXrT4Tia7HPKJ8j0LXw2+19JtS7i1n5/Z61RUfEHcKOaIqnNBo8o7l/IBzsLeprWx&#10;cN67Z49cOwtjm5gjhrmhSIdniEXEeonTDXynsc/SsaNFwwYNxKCBA817eIb5pMBz0OKwzi0Nyyf0&#10;S9htsMOBAfCl2uU1ZsydJkYQViDOwS4t33Pvb1547MY/L1rajxcyatr0usjls2fPXmN8/6bI83Vr&#10;Mz9z16co+YOxcKxfDhsNOgQ73U+cfz6lgd/h2GOPlTjboOGV4txzzhPVz68h19y6445x4mEDr0cM&#10;v82Y/zNMtG3TJgWnCcfvuvMOw6d5t+FPKRYnHn+CuO22W2W6sWNKxcV1LhPNm7c0sfyC6jVD8Rhr&#10;zSP+BL5wrEEP2w3vYox1YPzSus4X4g6R/ozTzzKxHN/u8J0ePvwJ92njmypoX/LCY7f8iLas7O8y&#10;zgDywZxzmpOO+EH0P/RDp/EOt/z9PEMs+aWX1pe2iZ/0nCa4jsTFM3X9crLZ8J2etOOcs8+TWHv0&#10;r44WVxjtr1z5ZDF40CBxh4HRwOtRo0aJgQMGivbtrhd9+w4QvXoWi5s6dhW3jbxdtLi2teTXJZfU&#10;FS2vaymaN21qYHofccstveV99J2zzz5fXHjhxbKMX/3yl7KvBuUx/KnqPA87nQE2ACtIltbzmjXr&#10;AuOXXTlJvUd4HKb9RGuVid1vvKfDlOGHBnYb5h04zT3wkwenyT6Mp+9vyAY6lVQZIQaMfCDwh6hr&#10;sxBP7OLPly9/WvJs3753TX/MggVPytgVosMZedNauHStPte9BsaTr8UOG/DegN2nW07S6QmPw/CB&#10;aO3kY3cPWJvOeT7YWwxlTHtwZko8e5i2MU382D579nwTw5OM5dBF7OsGnMU+b8+sfEZir6qj1r0l&#10;MC9jztx5cp4/5v4jBhHruYAGseoq7apVz8r8GjRsKMsIsocc4gjhG0ffk+vArV0nbrihk/SfIBbF&#10;DgdwD/4X+MKSNgdM5XvU14THYfIlWrx38Y2F96uT7Og+0oQpKwgN4h4wLorvRx4bjR+Tg8hOTYvx&#10;begN7qn6E/T7Px/SY43gY445WmIt/OXHHltJ4iW1DT6SWrUvkX2wXr0Cw0/dUfpf7jT8ML169ZX3&#10;KW3dug1F4dXNTJ8I5lzXb3CFaNOmvcwf74zx4++VtjL5TXDGmCTlQfIIekafRP9U5czX0fRRwuMw&#10;/PSihe9D+swNXFVlnql3MXQU8w1gqzOmR6MvYfREhwZ6g33jcKa4VlWXknRd6dj/NrH2zDPOEmdb&#10;+lWVs84WZ/25qujcqYvE8SGGT71BQwOjW7dJ6X/g2SmVT0u5B9rTTj3DzP+/K/1PynMdPsOuwpim&#10;05x9Hf1g2iP92guP3Xjllxb+PnxTkT7Ad5YpPP/xxx/l9x/2hf3rX3uKoqIuAvOWsAcCvg/d2sfP&#10;juhJXLxALBviIkh3knw+6aSTTaw96aTKopIR3wJMJ57UqlXLiDEvkXEqzZs2M5+1atVapkHMSM0a&#10;F4rLL29gxCc2FNdc3VT0MOaJ9i3uKzp3xtqUZ4g/G+8C2OW/OOq/THrK3+0MfwriUmgdDsSSoo/T&#10;fO+49CdJ5frFYzueBKGFXWzVhbjGKvGNB58Q+WEQB4vYG7s28r148RyyseoNvvPVb/+kXHfrWj4/&#10;H1hbv0GBuPLKQmOtlp6iZ89+xp6gI4zYxKGGX/FSMaD/EJM/RYbt0rWrEdNy662itHSMtNcR+zLW&#10;iDdHPog7x288hy1+2mlniuP/cLx8hnO9egWmX0XlO7558c3Ntna8/UPFpyB4rNLhOigt5nyoa6Ch&#10;j658elWsGLphw0YZ/wrM6NG9WPoE8T2Ia2t7+Xfm9ZZ85tAVHIhxVddpS5pMEK8CDMYYKOb19zRi&#10;C5saNjjW0cI6uJiLf+uI2wTmgWKdcxz3G2suYn1z7COHdc03vrJZxvC2adVSxjauX79BxiRgfBR7&#10;jDa/9jpZBspZtOgp7gcG1uWCngXFY7VNYWnVtbXQP7N1DTy8e2B/0JgP1nfCvmqYk7xw4VNyzzZ8&#10;R8Kmx55WKm+ScA1MpbkEbmd8b2PugduBuYt2e9vBxjzj9CqmbY7YhyTw1q2NwHHgLOIIf/2bX4ui&#10;G2807e2SAf2MNcn+V65vsWfP2yav7OITZ89+QrRq1dZMgzKx5osan4j96tzqws+yB+fD4jFkGJYW&#10;+Ed2Fp1zxcdB47mIfca3Pfy5+PakdmCcnsb61W9/Wnsd36V0hO0HsFUpD/VMdVLLtV7Te4nq6HSm&#10;OV7ULrszfFRO9Or9oqIu5je/tT70m77Z1fbQdfXqF5n8DcuzfKKj9ROxxiHWULnllj5y3j7t/WmN&#10;T0TbgeUPP/ywxHx1n1BrWuC4iuVx7SGXT/LKVFvC4jHqp0MLbFPtc4yNZqrN6Sxnz5690odoxVv4&#10;6IFX1sPPfnLWNNgz05oPftu9LwgP1TPq5nWkk0dB88Z7gd4lQWnzMf2A/oOkXf4nY72spUtXVFg/&#10;EfOJ3t57xCYHD7AXEeaJAtM/+eQTs68NGzZS7klBfEI8AOLPaY2WuPaQo/rw2b/dr4PHOrQkIxXP&#10;0V8x34Ce8dm/HPOZV/CrMJan6gJ8LDhoD7lx4+5K6Te05iGtowgfFvZ23rrttZR00JvfGD6b7401&#10;cEmHsmEPOaoLn1Pl7sYPHTzWoaU62flbOBbcv/yIj/l8ZiyvqA9ee8jBpz52THncCvaHw3zrA/v3&#10;Szy36grymjfvSZkGfppnn11rviPonYH1F610/LuiXOLkiQ4e69CqbQaeq/5Z+FsYz7NLT1R5Zfqa&#10;sbyiLmAPuV/84r/MMVB1D7kPPzxoxBiOEI0bF4rd/9idgsHA9X379sk94+BPwRroCxcuFBdddKEY&#10;M3qU9KfPnTdfNDDiz+PYQy7TupVP5engsQ6tlYd2ccTwAVvT8e+K/TrfecJYbi9zGgOlmBb4Wz4+&#10;9LFcRwsxiC1btknpP1iPZe3a58Q990ww414QWz5+/HjRu1dP0ad3T3mNPOLYQy7f9Tjd7dPBYx1a&#10;a7t+/PGfKWvXk39022v2e3Vb6fm3fX/PB74wltvLVt1DDnHmiCd8wljvHbHmGONs3/Z60ejKxsY6&#10;s2Xingnl+I0x0HvvnSxjzRFXPmfOXIn9Ew18Ly4eIP0s0Bn4z617yPEcTns5ZEsf08FjHVqn9iPm&#10;T10fE2vlsr8lu3XISZZR3Wcsd5Y/+bNpD7mSgYMFYg5hb8P+/ouxFsu8eQvEju1vmDb6vnffEY89&#10;/pi4fdRt0hez0JgPBFv8hBNOkHvKkdxmzXpMzke65prm0pej7k9HafjsLJtM80YHj3Vo3dpp9bcg&#10;jpnXTskenXGTXTqeMZa7yx54jj3ksL8brtVxSsSoWPd9u/vu8WLQoBJx++2j5dz93r17GbHnZaKF&#10;sVcF/DSqDLFWOsUnIm9rXmpavnaXU7r5o4PHOrRu7bLzt2CvLDcafhavHqWT/4zl7rJFDDhwdlDJ&#10;UDnPZ/To0pS+cu5555u/pz4wVXTvcbOYPXu2eHnDS+b96Q8+KB55dHaFWHXEJ2IMFO8KlEGxjumU&#10;N+ftLm8n/ujgsQ6tU33U+5jPAh8L+c5hn7O/JZycVb7m2jVjubvMhwwZIXGWbHLrvkM33NhRdOt6&#10;s5hZ9rCB9b1lzOHBDz4Qy5YtM7EcOjF58n3SBp84cXLK/SZNrhZNCq8xy8D8pFzToSTUVwePdWj9&#10;8hZzzgnLcWZ/i3u/9svXXErHWO4uc6895LZv32GsdVvDWA93kHj66WdMHH5u7VrxztvvmL8nT5ki&#10;try6zdinoql46eWNYuXKVWLz5leNeOGqKfP6Yf/nkv4kpa46eKxD65e/WH8ceK7u133NNS0SvVae&#10;X97lSzrGcncsh5wpPpH2kCO8xV6fGAtt17atGDpkuFi4aImJw19/9ZV44YUXxReffy4+MOz0pxYv&#10;EoMHDxa39OguunbpLMdPFy5cbIyh3iuxnPaQu/iS/FhvI1/6B7VDB491aKl8v2erfQ4bHWuQf/PN&#10;N6Zu+s2L03ljQzbxiLHcn7zgY8FBa2NNmzZD4jHixx/5+yPGeqTLRLduXcTnxjyj/e+9J9YbOL5g&#10;/jwxd84T8lhkzBnq2fMWA/MHiRuvv96IdSmfLwpdgJ+Fx0D9ySGuvqODxzq0Qdv77XffS/tcjVcE&#10;nuM3+nrQ/Dh9duulKh/Gcn+yojFQxCdibfP69RtKLEdM+dSp08QNBj73799XjB09Wixa+KRYbvjL&#10;n1m5UmxYv15s37FDbNu6TYw3YtPHjB5jpL0xpU9hDBQxLKefXr6PXJ2LL015rsqLr/3JK2o+6eCx&#10;Dm3YdiD+vH79Rik+dGA6HdMfnGHo5stsrxu2VFgeZxtdV2XMBLZlttUvW+rTu3d/aZcD0xGXiDHQ&#10;mTMfkX5v+L5vvLFIPDxjphhbOk7GEHz55ZfiW+O79uCBDwR8508umCdee+11McUYA+3bd4C0xalt&#10;Ww2ch22OmHOy/194YX3GZWFd/5Hqx2e9dWvjwHLIDH4VdR1UwnHrGWuJI1Yd8TAs69zEdshOfXfz&#10;N5izHIFzhLPws1jXJgf2VqlSVfrP3zP86OgT3377jVjw5AJppx86dEjee/317WL76ztkXuq8DsSq&#10;4x1Be2FkKj7xK8Ovj/ZQXOT/sffdcVZVV9vrn/fViBoRbKCIUYY6A0NnaEMZ2sAg0oYiKDAzMCLN&#10;gl1RLHSGMvQiICCIFEVFRCQaBQQJGqMmxvgGNfnUxBiNMaL+vv3syzqz75lz55Z975Rz1x/3t09b&#10;u6y9z3PWXXsV+KOKnXvpdWCDxza08cBWyOjIv4B8sWZuaDem4xy2je3bZ+pnx40rFGyPs9x+6NBr&#10;Oq8esNb969U7R317+wb9EOsY+X7dv+ZG3gmveXzsseDYrvFYR36qA/gNPAfeQs/i9v2BbmTa1FtV&#10;3PPn6dNPTqm4Wjvp4MsH6S9/CWA786KoaJGmN2PpYh+0vHPIwRaSdUf8nUKJa9D7cH+lrJpyeah5&#10;27t3HyEftGmT7oUHoa4h/xt+GzZs1PnK9iv7LeQ1Q0x1zoFWUbkmYVfPfeDSK/eaV561NavX6XHx&#10;+FCG4kFlvo7/YqHmXq6XyGksN8OWBbL0l8o/n/kDebZ5i1YKz6cof6FtdOzYcYKuhe9z+fjGjfTE&#10;E1u1noavoSyvHHJz5sx1/mMwhjduegVl9mxM1S+oru+dc84v6KOP/lyq72Z/k+nYRra2oU0kj/G/&#10;EDEWgevuvdJ4Y1WXLsF5yoE3aJdzn4UrYYsDGvMHG/p497Mq14c5lBwlJVgd7t1h+0TOIQf9hEkz&#10;csRwlfN5IhUXrwi6bj7z/nvv0axZcxwsR+5QxDZHXfhGML7G2z4R/yP4W8RtVKt2Dk26LZdGFtak&#10;4mfOoX79sqhOnSt0H9z/O8wxJNuxDR7b0JYnnyFL/9//nSLEXHzttdepqKiYBg8Zof/zQzdjxk6v&#10;yphn23f8n3HrPHDeuXNWkH4E+hLotdy6FJy/ovIYHFL6FvN35PCbGouBx/w7efKdUv8z+P8G5sv8&#10;leda8UNbmAPgoJlDDjrnn3/6ibZt30GPPPwQzXhgJt1y6y06ppZ7zPDp+Otf/0q3Kh9R2LQMHzZM&#10;28MgXtdvT5ykQYOHav0G2oCuA3PpriOa83dV3C/YO0IPjjr517hJPcoZfiHlT+pGo8f2p5nFqTRi&#10;dA5NvTed+g1O0c917JRp1XY0/azsz9rgsQ1tZeTLYYU5yIuJfJqQp1lWrqxycssWbZ0+cl+9/hNg&#10;/9fM94njAwcOyTsQ5z2DyrSmGQ8htwInofeG3xDw+Nm9z+m4Khs3bqbNSo+Cfn/5xed0/PgJ2vfC&#10;PsfefM3qNXSX8hXt1bMHjRp1A91UOFE/C5089kChb0E7se6BIhaAG79R3znq+3DL/d1ozsoc6t+/&#10;BxVM6qHlceD44h219fEDRWm6bbbZqUy8r6i+2OCxDW1Fjde2XRMTkSvZS4fipTdhrHWXN9xQOke9&#10;F/ZWlJ7ell9CH7luJJ68WrRoicY62K0Ad6FvmT1ngcZy2Jr3z8mhBfPmq/3NQtqyZbOD3/Abgu35&#10;sTePKd+ifdS7Tz+6+lf1qGGDJlrvh/WLfuIbAX0LfzPQRqT9Rz469ItpuTznF7+gocOyqWhzO7pz&#10;ZhZdVfcqmn7/cI3dhVOGankcOhb8Fj8V+I6A1q1DirQffnvOBo9taP3GRxlPxWCW8N2b71455P6k&#10;9gkhm2/btp2WLF5CrVq3ppkPPUwvHzio8P4z+v3v31O5KXYqf6HF1KplW2fP5mplB1azRg1qoPA8&#10;M7Ob1s9kds4Mip/IMQO85gO26c899wLBh4l9jRi/zz7rf+nqa66g3kMuoNvu70vDx6bS5Om5NPWB&#10;FFq6q7r+FUzOCOD47l9qHGc8nzI9EFcd+nWJuecvOxavdSTXvN914Yv/+cJ7oCy7uvcJkVuiX861&#10;tO3Jp2jFinWO7O2179K9e3e6WcVpgY4Gv3tV3Bb4Dg24bpCWr4HT5pqCfh66Hfc+JmM4Ssjgjy4d&#10;QnPWtFP5RTvSyBuzHR0K8BryOXQsDyzICMJwxnKUoENdkidDsNxcf3Lsf3xLpjmeMmWao8eAHgL6&#10;bXP80HVATu6kMN0Lv3EtLbUZFU4opFmPPaJ8trrQwyq/8+233Ur33HWXzkM0adIU3QbySDNu11W6&#10;ES+bcMZx2KHMWpFB8x7vQdCddOzchh6aNywIr4u2NtY6lqlKRjex232M+6gXfkTm2JLx2EZPYkOb&#10;jLyWMcu3orzXAOMn55CDLI0+wKa8UcM0uuLyOlofzlieUq+Bio/binKH5tId06drGRz4/cAD99LA&#10;AQPowRn30exZj9BilTM0JSWFJky4ibp26+Z8M7g9s+yc1YCuHf4ruuWegVQ4vRHl3tiKJkweQHkT&#10;+9DEW4bSiLEdaNKtA+iOhzprnco9c5vQyLGZNHd9Wpk4Pn1ma7qwesDWXHTmIpeX97sl7Qmel/ca&#10;AK7CPhF+QjjGPmVx8XIti199dQpdcvGl+jgrq5fOGcd6lIcefFDL4IibiGuIhTv99tu0vQvGADsU&#10;+B1Bd8PYDTkbP2DsjDnDtGzNepDxkwZpWRzy+PDr+2j9CPY2sY8Jm5UxBdn62o1512lMd8vg5jnb&#10;saBd0a8E3ikb2dqGtrzXs7QnGJqsa4D1HdifhPwK7DV96FooPL7pppsdXThw+847blc+QdO1bmXV&#10;qtU6h8WRw0e1Tsbk46BBQ+m1V193YqUAx4G5Rdsa6hI2hHPX9tbHj61sr/XfsE+597FrA88pnTjj&#10;emaXdnTvIwG7FRO3vY7h/wkcx56AGTPG7FuyHdvgsQ1tsvFZxivfkopaAxw/kWVy6Flmz5qnfYBu&#10;KrxJ5akYpvYy76L7779H/2Y8cB89pvTjiHt+8u1gPyDsZ5o55J5/fp/SjZ/lyOVo4+GlHTROMwYv&#10;2l5b+/rcOKkuzSzKJcjUI/OaKbvx/spupSENHdVVyeTX0kPFKUF0TG+WRdtTaPCI9k57yEVaUXyt&#10;bO3a4LENbWXjg/RHsNava8DMIQe5HLJ0Tr8cLYdjT3PatCnUplUrrQeHTI5450ePHvPESOhpYKu+&#10;adMW7SME7Hb/ateuHaQj4X1Mlr8he0OvAhsW6F9undE9LIYDz4HjkOm5Pbddjl/nL9Jx2eCxDW2k&#10;/ZPnBGNlDdivgfTmLTUGwtYE8RMzMjLo3vvuVrbiARk8d8gQZXf+FH2h/D/hw18Wz+vXb+DgKXC1&#10;Vu2LqceAa+jBJQ01hsPu+555wfuWwOE5jzfWGA65fHRBd70PGm5/k2Vy2Jp3zAy0C5sV2MGX1cdk&#10;vGeDxza0ychrGbM9JgkPY+chy7OQzXE8d84cLYNDjzJq1I0RxQRnWtCzXyZwljGXS9Pfnq/dO6un&#10;bhc6dS8afs5d4lnYmXP/TR2PrIeS9WCDxza0MgclcyC8EF6UxxpgLEQ8Kui9U+ql0Im3fuvIt5Hk&#10;fTNjJMIexY27fP5wcVON9cBt2KoAi3v06qD9f/iZSMtJ03tpHD/vvHNLxWMvD75VlTZs8NiGtqrw&#10;R/opOOuXNTB2bIHGxLPP+h96S2E4YsmuXLHawfLBQ4ZRuLxvHE+rfsOrQ+I4YzR04o+tbKZ/8zel&#10;UrHLB5+fC1VCLwNb9HPPrab7XVacAL/Mkc04bPDYhtamz0Ir+CprIPo1wHI5Suwbjhgxiu67b4bG&#10;8lWr1lJ6eguC7OvOLce83rx5q6PngE1gKAyOx3X3Pif7OHFfpCw9/zZ4bEMrc1F6LoQnwpNErYGm&#10;zdIdHAaWYw8UeudGjZqUineF+/Dth70K96dNm3ZB9LfMqJdQLGf7cexzin48svfCBo9taHmNSBnZ&#10;PAmfhE+xrIH169ar+ISZDg637dDE8Xs35XQcX3ppTWrfOfR9PAN/Tug9luy8KCFYDhuXTt1Snf4i&#10;Zkws405GGhs8tqFNRl7LmAWPy2sNQO/Nsa4Ys4HD0H9gL5Kvobzqqjr6GtuWwFcT+5TmMzju279j&#10;UBzDeOhSzDqQL8hsU+zHo3tfbPDYhra81rS0E916EH5VXX79+ONPOlaKWx9S7ZxzlF9PQ7prdn2N&#10;5diTrFmzhrYJv+PRhsrf/srSMrbap4SPD+9d4tjE3Xgeo33Yp/MeJ/r/yalPRR5XMW+ieR9t8NiG&#10;Npo+yrPRzanwK/n4BZ3yL5UO3JRrkWvt2gG9CDZ97piyuSNC2xPGE6fD1YX/AC3blOQYQpwsia8S&#10;2/q1wWMbWsGb2OZL+CZ8c68B2HiYGI5j6FMeXTpQxx+8blCvUjI1ctoj10M4rE3kfdincwxF9Blx&#10;stxjk/PI17sNHtvQyhxFPkfCK+GVuQZOnTpF+/btJ7dtytlnnUXY28wtqE6Ft7an/MJBOufagwu7&#10;aF2Jad99/8ImdP/s4PwPicRts27oeEbkNXS+P7BVuf76G+iH//5XsDxKvYq5Lmzw2IbW7IMcC1bJ&#10;Ggi/BuA/75XzGDkzEc9q9up0rUuBrDv1rhwtkw8b2U/vWSImOGxEGFNhU4jYVnxeXiXiatVR+Y34&#10;f4TI4uHnPdJ3wwaPbWgj7Z88F7+5Fl5WTV4iJ1ANtVfJ+GeW0ImPGd9P25eMGZ+tfeWB0YhvxfFS&#10;EEscmI59TMZs2BVCV83n5VEiHqLZ94surqnzYsi6jM+6tMFjG1qZv/jMn/DRf3zcvfuZIJtwE/9w&#10;nNLgasoeeCVNvXOgyquWo2KBZ2ib78KpfRWuZ+vf3bNbajm898Da6l67gEyubFMQl3BEwRU09e7O&#10;5Ybj9y9soO3WeRxsr4Lzzz79TPQqFnoV8/23wWMbWrMPcuw/PJI5jX5OkbveS4cCzDu3WjUaN76/&#10;lqXNHGvQWRRtaaFlcMjikK+Rbw35kGFHzvubkNVhMw75vLx0K2gb7TGGo0R8AMTc5WtiQx79Ogn1&#10;btngsQ1tqP7I9fjNrfCyavESe4CMcZddeik1blJP59CZfPt1BLuTm27tp/Md4/ixNU0cuRq5jm+a&#10;NpBuvqOFLgePzKDpM3pT7yEXUOG0HMq/uQdNvKsOzX08kLctkfoU+BtBl9OjXyCHG8Zz9tn/S4h5&#10;ftttdzgyOOetg/5I1ml81qkNHtvQyvzFZ/6Ej/7hI+M4SuTIxH4l5No7H8x15GsvHIYfT8HEwTRQ&#10;2R6CFvFl73kkt9z14Q8Xt9f/D8xx1FV5gIqLV2g7Fdi/83rlOF3AdOSS5utSxr6ebfDYhlbmLPY5&#10;E975k3eMgTeMG+jI3CZ2Q3eCH/Qqk6fnapzH/mZK/V9p3J8xb3C54zf6BxtDxCmHTTuPASXioQ8Z&#10;kqtx+toBA7X+iHUqH//5Y+dZvibr2m5d2+CxDa3Mm928Cf/8xz/oIhBTHL/s3PMpe/h5Qb/bZjYg&#10;+NzDtnDWqmbaxx6xYU28L6/joiev0XqbHv3q6xxxjOENVHzF0SpH0dx5RdQ9q6fWj8OWEvbjiJOF&#10;+OfYF8D6he4cdIgbg5yksqbt1rQNHtvQyrzZzZvwz3/8YzxEadoPlhc+R9IO9k0hg5t95eMRHTtQ&#10;Xlo9mjnjQaUfT6GtW7c5mA3ZG/6pyGdkxrDl+F/w3Zc1bbembfDYhlbmzW7ehH/+4x98ORkXsVcZ&#10;CbaW1zNsO8P9M8uMtGZUMOp6GtexDeV2zaI6V9ahmwonE+PzgOsGaRn96quvodWr1wXFRc/qEdDx&#10;oz74s8q6jn1d2+CxDa3MWexzJrzzL+84B1vrdg0qDMuht5m5JE3rd7pnN6JGTa5xvjHA3FqXXEpp&#10;V1xOQzPb05gRw2l4q+bUqXlzyspoRyPbtKKxbdNp0bwFWp8yZ85ceu65fSrG10Atj2N8Zt6i48dP&#10;OHXjWyZrO/a1bYPHNrQyZ7HPmfDOv7yDLoJl3rJyI8dbHsee6qTbBpeyQ+G+IEcodCRLVTzGCSOG&#10;0rjmjWhItywdO2BQl25at1LQP1uX0LNMHDJQYzhyz2G9Mn4zlrdo2ZqgR0eOOm5D7BPt1rUNHtvQ&#10;Ch7ZzZvwz5/8++GHH6hWrVoa33Te+jjEDS96soH295xZnKr3TmGf3nNAbZ2/B/Fma9YItj8BtiJm&#10;wGWXXUZdunajOnWupPHjC7Vs/fzzL6jYhl2pe4t0LYOP69CK8nsHsDy/V1fK69xa43l+lwxasmhx&#10;kJwNPAe2T5hwEx0+fFTHWn/jjSN0w43j9HiRa1T2QGNf1zZ4bEMrWBT7nAnv/M075NlkWZVL2IzD&#10;1hw25/Dn9PqxnSKey8nJKlUH1xWqRO5P7E1u2rRFx0I/fuwtfY6Scyd37JRJ/frmUEG/no4MXtC/&#10;V+C4ZSOacOOowHGzelRYkEf/+te/HDyHfTnqSk1tqttAO/PmLgjqJ7cjazz6NW6Dxza0MlfRz5Xw&#10;LHl4Fgpv43kd2ArsvLDGhRpPoffgNbZo0RKCvgc24ngGsQVwD/hbt25dKhg8IBjLWzXW5xrLu7TV&#10;xwUD+tL+F1506oR/EOrK6T9A5TlqTZDDm7doFRS3gPdLuR9SRr7mbfDYhlbmKPI5El4lH6++/fZb&#10;evbZ5yhbycCw9UBsWPwaNmpMV9Sp4/m7Rtl283MoQQsbkkcfnUsvHzhIyAH67rvvaXsR6HJ4XX34&#10;xw+1nz2+E3fdea++/vXX/9J7l+vXb9DxU26+eYrau1ymdOAvUO6wEdS3Tx/Ka91EY3Z+hrJjyR0Y&#10;OG7fjMaPHkl5Si7PS29Ai+fOc9o5ffo0wZalR8/e1Ce7r7Y5h778n199pceD9kUuj32t2+CxDS2v&#10;IyljnzvhnfAuXmsA3whgKWR1ztEG/TZ+2K9E3osVK1Y7uPz7d9+lwpG5Gr+x1zl+1HDKb5vmyOP5&#10;mW308fisTg4N+grbcrbVgXyfnt4iSMeCPkAPE69xJVM9NnhsQ5tMPJaxCuZW9jUwceJkB1Pnz1+o&#10;sRRxUgYNHqr/C0B+NvUfyBN91/TbKO+MbiW/ewfCD7iOa/l9ujs4v2ZVyTcAfMD/DI6tBV8h2K/g&#10;/wP8XoHlU6ZMEyxXfIp2zdjgsQ1ttP2U56OfW+GZ8CyaNQAcxQ9Yy3SQy2Efjj1RyNPQ0/C9Tz75&#10;RNsn5jVV+K10Kvn9ezv4nX+t0sEA19UvX9kqmvnfRikf/779+jvfDm6XS+iHuA0pI1/DNnhsQytz&#10;FPkcCa+EV+WxBuDXAzyFPt5sD3oRYDr2Qs39UTwztXA85bdP15it7VmUjlzjd89Myu/YInCs9C2H&#10;XjkUVGcoLIeOB+2Y7ctxZOvfBo9taGV+Ipsf4ZPwqbzWwMmTbzuy8uzZJXuWiJGF2Fh79jyrsRwl&#10;92n16rWU3yszgNldVb7o7KzAcceWVDDkjK1Liwa0dMlShwa02AOFzgbfDuhbYB/zwQd/CHqG25Ay&#10;snfABo9taGV+Ipsf4ZPwqTzXAOxIgK+QjxHPcNPGTU58cdglss252ScHs5vVD9iXw75F6V3GXz+M&#10;8hW+Q06fqGwYTRroalAf683FfsV+ndvgsQ2tOa9ybD+PwkPhYTzWAHTjrLeGjQl0K6gXcchxffKk&#10;qdT/2uuCcHn8+PySPVDl+zl++GCN33nt0mh83piAfaLC86NHjwXR4XtRLyXFac+0k4zHWJKtDhs8&#10;tqFNNj7LeAVrq8oagP0hcBt2JbBpueeeByi9eUsdP6V69QsorWkzOnnyHQeX33/vPRo/YkgAv9Ue&#10;KI4d+0T4hJ7x67/1xtFBe6DQw8Mukb8dJ06cdOqsKryqTP20wWMb2srEA+mL4KysgeA1wPiKmFrQ&#10;ZYM/HAcrLa1pqT3QSRMKHPx22ySyTQtszlctWx6E19DFc1uIXSDzEDwP0fDDBo9taKPpozwb+/wK&#10;74R3sawBxleU0LugDtiB47xBg4ZOvBaue66ygcnv0Tkgmyt9ihOjxTxW8VoKJ+QH4TXrblCv2CLa&#10;rVUbPLah5TUgpd38Cf+Ef4lYA6NGj6FLLrlEY3eT1DTtd3/RxTUdGbp3n75aNofPELefP+jaEixH&#10;7C2F3WyfmGfEaDn0yq8dGtA2aZKq68U+KPz5uT4po1vbNnhsQyvzFN08Cb+EX+W9BmCzwvI5Yqjw&#10;MUrsW8LWnGV29C1oD9S0STTjJyr782VLi4PwGnUhzhbqhU9SeY/TL+3Z4LENrV/4J+MQjPXzGsCe&#10;p4nhkJ0Zd1u1bhuEve++8zvK79ujZA/UsG9B/ETeD508dBD9+OOPDmYfOfImVb8wEEMd/wX8zM9E&#10;js0Gj21oEzkmqVvwVdZAfNbAgQMHHSyH/Aw5nPXmwPievfoEYe+UwgkOZuf36OTYJ+ar+ImcswLx&#10;E7dseiKIrn2HTk47pqwv8xj5PNrgsQ2tzFHkcyS8El5V5BoAZkNeNjGWZXXkQDLjGu7asTMQo0Xt&#10;eUJXHhQ/0ZVDzhwT7BM5tpbpc2o+I8dlvwc2eGxDK/NS9rwIf4Q/lWUNIL/y10Z+IPSL/TVrX15b&#10;56vgvmIv9JZJEyk/o2lg31PFweWYicghl6/06Ho/tGsGLS9eFiSbIxcdvhGIvcX1SRn5e2CDxza0&#10;MkeRz5HwSnhV2dbA3r3POzoR+PuYMvuaNesUfgfisgC3HftE5dtfVg45YDiwPKN9R8Fy9b2Mds5t&#10;8NiGNtp+yvPRz63wTHiWqDWAWC3QnwN7ESeL8xFxe0H2ifD9PBM/0Z1D7qUXX3Iw68BLL+v6kB+J&#10;65Ey8jVsg8c2tDJHkc+R8Ep4VRnXwKpVax0dd7fuPYLwt2jBvOAccmfyg0LHYuaQWzp/gUN36tQp&#10;R9Y3YwRUxrFXxj7Z4LENbWXkhfRJMFPWQHRrAL6avA+KPETMP+SQc2JsKT2LaZOInM75nVprvfmE&#10;3l0dGtByHmkzhxHXGark+F+h7ifLdRs8tqFNFv7KOKPDBuFX1eLXI4/M0lgOGxRTz11mDjkVP5H3&#10;Q6FP36DyQ/O8Q9bnbwNsW/i6VwkMR445PO/W8Xg97/drNnhsQ+t3vsr4qhYmyXzFPl85OQMCeK7i&#10;cB0+fNTB3/fe/X3oHHKGfWK+ktO//fZbh+6qq36l60NOulDz0jkz08F8xn4znkAoOj9ft8FjG1o/&#10;81TGFjsuCO+qHu/effc9B1cvvuSiIPzVOeSUXaK2Z0GMlhA55Mz4icg3yvh86NCrQfVhfUycOMm5&#10;z8+hRD+Sef3Y4LENbTLzXMZe9fBK5qzsOTN9QYuKljiYeuLEiaC8cfkD+2tcR1xcvQcKbG+WQoXj&#10;bqTTp087dIzREydOdq7xHNSv30BjOfKSIj8RP3v//Q+VepZpkqG0wWMb2mTgrYyx7Pdf+OMv/jCm&#10;dujYOQhT3XugZsxEJz9o9w70wXvvO3TsA9qwUWPnGtaLGe/r0Udm63uhck4n2/qywWMb2mTjs4zX&#10;X7gl81l6PhlTgcMmf4LiJxo55PI7tgjkkFP7n9DBLC5a7NAtXLBQy9vwLzXtY5AXg78ZNxXerJ8/&#10;cKAkZowZT8DsQzIc2+CxDW0y8FbGWPp9F574lyffffcdQe8BrDVjbsE+sWDYoIBu5UwOubw2qfpc&#10;5xw6k0Pu5mGDVfzEQDz0f/7znw5mI/cQrxvoz1lmh/0iYguABnnr0C5KroNpkqW0wWMb2mThr4zT&#10;v9glc1t6bmfMmOlgMI6ZR0E55Fw2iezjn9+1fVAOuZSU+k5dpn0i5yMFdj/wQEBHjhgCLK+b8QS4&#10;/WQobfDYhjYZeCtjLP2uC0/8zxPemzRjkRcvWhxRDrmJBSU55AKxE8/SGA15n9cO9kMZt01/U8b4&#10;ZI3NZYPHNrQ8L1L6/92WOU6uOUZuIMZa+BLx/OcPOmPDonTjBWYOOaVDzzujZ8m/rh/tfHqnQ3P+&#10;+ec5dSFeI9fF9Z999ln05Zd/19cXLVqmn03WeC42eGxDy3MiZXK95zLfyTHfjLWmjKz3QNm+HDnk&#10;lI8Q9jyRF9SJn6juLy9e7mC2maPCrIv3WbE3yroc0849GfdAbfDYhlbe6eR4p2Wek3OeeQ+05kU1&#10;6YcfftDY/M7Jt0tyyCnMNu1bzHgtk3NLcsgNGZJLkLPxbahb9yoH40+quvh7UaNmDX0d7cCGEdeR&#10;izTZ1p4NHtvQJhufZbzJiWnJOu/QhzDWIi8o82HyhIKSHHI9M6kgd2DAngU55KBrgZyucJ5zyMFu&#10;Zfz4Qqcu+AYhP2iPniW+oZDNIb+jDdNmEc9yu8lQ2uCxDW0y8FbGKPidzGsA8VSA59Bpf/DBHzSu&#10;lplDjnUuCs8nDh/s4DBiaDVs2MjBc/5GcHn+L8/X9xBTHfzGnivugSaZ+G+Dxza0ycRjGatgup/W&#10;wKuv/oamTZtOiHeLH+Ij5uUV0GeffhaEnWbMw9Gjx+h7sP2eihxyZ2K0oOSczu4ccqtXrtY0fbL7&#10;anmb89JpnFa6lAHXDSLoWsDbW6bdRm+8cUQfP/XU0w7u79ixS1/zE/9DjcUGj21oQ/VHrgvuyRqo&#10;3GuAdeEsF5sl4o5/8803Dn6y/hr2KOy/WTqHXHZAt+LKIQd9+r+UL9CK5Sv1/ia+G5D1oUcx18jn&#10;n39OsJ1BTC6+zn0amjvcucb3/Fra4LENrV/5KeOq3Dgk82M/P2YcLS/dh+nXk903R8vI2J8E3jL/&#10;g+wTXTnk4Nuv4yoqncuhVw7R5s1bKTu7X1BOUa6Hdem4D0zn64zlwH++5vfSBo9taP3OVxmfPWYI&#10;DysvDxkrp0yZprES8bT4Wq/e2UH4ievQacOXB7oQzKvOIadsEYHZ+e3TqcCVQ25U2+aUXucKGjl8&#10;BHXt2pXGjM2jhSqfXF7eeMrIaE991TeiR1YW9VJ7oE1TmxLrynnN7Nu3X/cHehkzpjrf92Npg8c2&#10;tH7kpYyp8mKPzE1854ZxG/jMvGV/T+T64Wso+Vnot6EjgW3K20rPXTBkQEC3ovBc25dnNKPrM7tT&#10;q/R06tmuPY1t0Uj5FKm8z4MHUU6Xbk49qO+X6tswsmsWjevYjnJ696bpt98V1Cba5b3XZLFPtMFj&#10;G1pzruU4vu+Z8FP4meg1cODAQY2tiHP18Z8/1jh62WWX0bnnVtPXzRycwG7gL/v1DB9+vZaj77xj&#10;OiGOOWTzcb2yqE2rVtS7c2carWRt5JADlgOva116aRCO87eBy2rVzqFLLrq4FJZj35PjcCVDDjkb&#10;PLahTfRak/oFz2QNJHYNsK6cbf+A73Xr1nVwlzEe88B2gpCRgfPQeyyct4D6d+lE/dp3oE71rqYx&#10;fXs7cvqonGwtezNeX1yzJqVeXptGtmlF17VuSRdVv9BpB880bNCA3jr+Vik8573XX6r/Cn6Pn2iD&#10;xza08p4l9j0T/gp/E70GzJiI8JmHzhp6cbYdxH4k+gD8ZkxGOXv2PH3etVsWjR07lvI7t9Ey+KhB&#10;g50ccsO7dHRoOqn9y1wln2s/IiXDazm+aX26sUMHLbdz3SNHjC6F5bBj4fsf/vHDUvcTzaPyrN8G&#10;j21oy3OM0pbgmqyB+K8B+MyzfSLrq4Hv5513rsZPYDrjOnQdkJGhMz9x4iRNvnkKjcvNpaHZvSnt&#10;TM63GhdWp/SUFGqsZPvzzw3UAXl8VNsWlKZox6YH9DEmpuP4qssDPkkNVD0cL8Ccb8bymQ+XxPky&#10;7/vl2AaPbWj9wj8ZR/wxQnhadXjKcq9p+9ekSaojCwNHTZtw2ItPHD+BOmRkBD3DeGuWjVT88sHY&#10;32zeSO99DmmdHiSbA8ehU7/koot0XdWrXxBk98jraMaM+/V92FLyNT+WNnhsQ+tHXsqYqg4GyVzF&#10;b66Av6btSo+evR2cNm3KP/3kExo6eIhzz8TtgQqzU668yrk3VOEudCg1a9TQ13F/bMsmQVgOHO+q&#10;7BObK5kddSFWQO3atUvhNbcDW3c/z7sNHtvQ+pmnMrb44YTwsvLzsucZ7DZtV5DXjW2+T58+Ta+8&#10;8mtqmpZG0KMAWy+8oDo1VbqRvqkN6Pr27SgjrZnG6bGtUqn2pZdRy/op1LRePWpd60K6oUUwhkMe&#10;v7ZpE+rbOZOA8TWMfdDatWrRnDkLCHG14AfKOh60uemJJwXL1f6F1zslWO7NFy9eyTXhlV/XwAFl&#10;v8KyL+dnwzn2Q2F/CDxt06Yd5fXvQy2bNtXPQidu6r0hX+dkdtFy9XVdlT1iq7Sg+/wsZPEhas+0&#10;fVpTLZNzu+lNmjh9gI0iX0cJOxu3378f58IGj21o/chLGZPgdTKuAew31lLyMHATuZPBA8jFsGOB&#10;zQrij0+7eRKNzi6JU+vGcvgI9VR4D6xm3HaXY1s3098C2KD3VrYtjNfwGxqT0SbIhhH34Mc0f/5C&#10;TznUj/Nkg8c2tH7kpYxJsDxZ1wDvgQJD3bEJke+ne7cuSvddYhPes2FKSMx2Y/jIVs2oY+PG1KN1&#10;G+ql8B7fAcbxa+pcSSNaNdV1ZaU21ngObD/nF7/QduzJNB82eGxDm0w8lrEKxifDGmB85Zgr5pjT&#10;m6bR1VeWYPA4ZR/uxmzzHPfh8wmdTM+2GTS6U2cCbnMbKN0250zP+pZk8d1nPtvgsQ0tty+l4Jys&#10;AX+sAd4DNe0TeW5zh42ghmo/k7H4uuYBfTgwe4zSjY9q24oGNU+lzg3q0RAVe6V7s2Y0QOnNO6i4&#10;WQ2vLMFwyNxp6pswomVqqW/BuGYNtB69fcuWuh32R+U++L20wWMbWr/zVcbnD3ySeYx8Hvfufd7B&#10;aq/cyf369HHum/uT0H9jP/P6zl1ptIp/DtuUWmdyAzH2o2yq9O5l6dOzm6XSIIX/TOP1/8DP82mD&#10;xza0fuapjC3y91945R9ewQaRcdS0T+Q5btmiBTVvFrBjgXw9qHsWDc/qQQO7dNcxtXCN6c0SuD5M&#10;YX2zWpeVksVZr4K9zz6dMh07GcRf4dwX3L7fSxs8tqH1O19lfP7BKJnLyOcS8QiBw7BDdO+B7t69&#10;l9KVbYmJ017HV6m4uKlKj5J5TR3Kbd2ceqn4t4i95WVnDizv1aih1q20Tk3TdSOGwL59B5LGfoXX&#10;pw0e29By+1JG/p4Ir4RXVWENcExE+O67+4trvXr01Jh7brVq1FPlsOinfDyxjzlK6VdYzo6khCwO&#10;/cwAVQfbrePbkGy6FeaxDR7b0HL7Ugo+yRrw1xowc8i59ebA2d69S+zMYVceCW67nxmpfEWB2/gG&#10;wG+I5Xvsd5r5RpNpbdngsQ1tMvFYxuovrJL5DD+fjK233nq7I5t///332v/yQhUD68IzvvyQq904&#10;Her8BmXvAl3LACXH92rdlppdcXmQneLt0+/2jJOYLPNlg8c2tMnCXxln+PdeeOQ/HjGWQ9+COLju&#10;GOZ8P5SNuInnNyhdCnz826qYLTd2aK9lcXOf1IzDmMxryQaPbWiTmecydv9hl8xp8JzCh9+Ma8XY&#10;jWtsj9ipTVsap/zyTdzm4zFtWmjMBoYjfiJ0MbmZwTk/EQ/97rvvS1qdinvN2eCxDa27H3Ie/C4I&#10;P4QfVXkNvPHGEZUzKI9S0wIxr+qrWOSTbp5KyO3D/v4XqXi2wPhs5dMJ+/IhXbrSIBX7sL3yD+qs&#10;7F0Qa6tpnTrURPkKmfbmwHC3Hr4q8ypefbfBYxvaePVf6hHMkzVQudbApieeUDG1ZoX8bdu+g+pd&#10;c42zX8kye7gSMdIRDz3Z7MYjXd82eGxDG2n/5LnK9Z7KfMh8hFoDp079hZYuLXYwfOHCBbRy5Qrn&#10;N3fePOferMcepaysLGqe3sIT05F7DvI3YpAvWrSMTp58mxAHHW3DJ+mvn32mf//vb3/TOpaff/rJ&#10;2WMN1T+/X7fBYxtav/NVxieYl2xrwJTFt23dSiffOh70O/7mUdr+5JMqDu1cB9Of3fucxmDoTBBj&#10;nOOfe/EOeP3007scWrM9HB89eiyp8dwGj21oveZKrgn+yRqommvghRdedDB2UdFCAm67sZzPjx09&#10;QosXL9bPz503l06dOhURBv/61decNtw4zuf4NrD8nmxryQaPbWiTjc8y3qqJUTJvkc3b8uUrNc4W&#10;FRXRG6+9FhLHGc9fO3SIiouXaJpFixbTybffKRPPv/rqH0qen6+fh+5mz65ddGD/fv17esd2py5g&#10;+vr16+nLL74osz4/zqsNHtvQ+pGXMqbI3nvhk7/49J/vvnPk5X3P7Q2L44znKIuXLnVoQ8nTuL5g&#10;wQL9HJ6HXG/Wwcc7dz7t1AVM378/uWKy2OCxDa28z/56n2U+k3c+P/30UwdDQ+Es4627fOM3JXqT&#10;T9Teqdc6+tOfPnTqP7D/RU8c53qhj2d9C0ro15NlX9QGj21oveZMriUvHsjcV925P/nb32r8XLy4&#10;KCTOvqp0Knuf2UM7ntpGmzdtpI0bHtfHOGfZfO3atZ5Y/tbxY7r+pUuWhKyfsRzloYMHaeWK5Q6m&#10;r1q1Oil06DZ4bEMr727VfXdl7mTuzDXwptJ5QAaG/aGJqXy8SeG2KSuXdbx6dWnc/c1rr2r69evW&#10;etbP7Zgl9l75G4H2gOd+l89t8NiG1lwLcizYIGug6q6BLVsCvkGQtRlPTxx/k3bt2hm0J1mk7Fvm&#10;zJ1FixYvom1PbtWy+Zq1a5RNy6IgrMf+6b59L9Lf/vZXjb9vKlwGHq9es8qpn9spqwSeow/z5gZs&#10;IF9//Q1Pud8va88Gj21o/cI/GUfVxSCZu/jMHcvZ0Jcwtu574TkHn+fOnU179uyhdevWUai9UejN&#10;Tb0I17ls2XJ6/PENui7YMXL90ZQ7n37K6Qv0536ddxs8tqH1Kz9lXPHBB+Fj1eEj466J5dCH8HXI&#10;xsDyrUp+D4fBmzdtojlzvP3/8U0IR+91//Abrwf5J/nVp8gGj21o5V2tOu+qzFXFztXPP/9MX3zx&#10;OX3854+0XQZkS/xefPElYh/2ipwjxuw9u3dqrMXeI3AX1yGLv/jC87R69cqQtoRe+LtL2Y/PmzfH&#10;+R5wG/hGlOWH5FUXrgHPly0rsX98//33fSef2+CxDW1Frj1pu2KxSfgfHf/ZtprxzKtEPKt/f/fv&#10;CsEn7g/sVICbq5UOHNfg/4nzx5XvTiiMDXcd3wK3nI5z+AmFo3XfxzeG+wp/079/+fcK4Vei1r8N&#10;HtvQJmo8Um90OCH8qrz82r69RM/LGFRWCXzasGEDvfPOu+WKUdwnYDnsy/kcemqcR6JbceOueb5W&#10;7Xniu8D1ooTPaLS27KgTOhyuB/6mkcYPqArviQ0e29BWBd5IHysvzvl9br7//j8O5sAOAzbZL+3f&#10;p3UFjHPwlYd8+tR2ZaN9xh+ecerw4cPlhufcJrD8GaUXxzl0LG8eOUKrVq6kV5Q8zH2OpTz8+uta&#10;V7Nhw3qCjTnrb1BCdxPOf8jd5vPPPevYtoSyaa+K68sGj21oqyKvpM+C7eW1Bn73u3ccLDf3FN24&#10;ZJ7vUHFJGFdRIhZVefSX2wSWP75+ne4D7AqBsaxnMfsZ6zH0LaCFzQvH5uK2IW9Ho0cHT5nWL3uh&#10;NnhsQ1sea0zaEOytqmuAfSmBN/v37YtYrj144ICKK7tVy51z5s4hxA1EvO9E8oExEVi+YsUKjZEr&#10;litbQqUn37njqYj7Hg7jIU9jTxTPHTtyWNuOwz+J24fMjj7g/0C4uqCfwbcBtNBNcezdRPIp0XXb&#10;4LENbaLHJfULjlflNfDnjz5yMGr7ttKxwMNhFXCPMQ57p19//XXC8JzbMbEcGAtcj1b/Uda4At+p&#10;J0vhtDumFvoT6d6oGb8FcWWq8pqxwWMb2qrMM+m7fCcSvQbM2IOhfOPLwj3cY30HsC2Rcmd5YTnw&#10;GdjrNW74ILEeHf1BvotIvyOsr4Gff6LnNZH12+CxDW0ixyR1C9b6YQ3AJgW4BIyCPZ0XhoW7Bv/L&#10;hQvnK9/5OVp/noiYJCaWQ6+Cc/jlb92yWf/C9THS+/A5gmwe6nnEREccAcQ35z4tW1ZMLz5fdhxe&#10;YD5/B7aqfEj//e/3VRLTbfDYhtYP75qMQb4ZiV4DjEmIExUKw8JdN/3pE+HDzn2EjoX95YGNHM82&#10;mj3JssaC/c2y7pv3YD/D/UIJm/ey9OiQ6/n5pYrXifjmJXqt2OCxDW2ixyX1C876YQ0wvqCMJF+P&#10;iWd8DCw1YwZ+9NHHcZU7uY/ActMfB8fQ80Szd8t9dpf4Ljy5dXPEWA7c5n1Y7t9ahefues1zcx8V&#10;uaGr2vqxwWMb2qrGJ+mvfBsqag0wFu3aGbtNCLCN8Xzjxo1xxSnuH/vws6/8KrX/iXZhF24jm+Mb&#10;Vqx0JdChmNgbyTG+J2yvgn7CVhK2+l7fxUMHX3bitixdWkzYs6ioOY+lXRs8tqGNpa9CI3iajGuA&#10;sRL+QJHgV6hnIB9zXfHMn8Z1sh28qa9ATC3oePAdiRXPgcWx7hcwL6ATx34o9xU6da86cY2fgf3P&#10;vysoLkIs69wGj21oY+mr0AiWJ+Ma4Bxs0EHH4rfOeAYsNX3h4+VLxNjHWI72GDfRHtqFruWp7d42&#10;KNw/r5Llaq970V4z9w24z14+RqzzxzO7dz9TZWRzGzy2oU3Gd1LGLN+iWNcA/vMDW9j3MVoc4+eh&#10;W4BtB2NZPPyIuC7TDh7HfJ11L7uVHQr6D9v3Y0ffLPM/xhGVNwJxXPA8fPi5/7Yl4iXu2bNb5cMo&#10;cvq3Ynmx1ukjfwbXv+HxklxIH/3poyqB5zZ4bEMb65oWOsHDZFwDZpwt6C0Yc2IpIduzDV48ZHPO&#10;4WbmFQJmMpZDn8H9RNuQhbHPiP1Mvu4uYYdiO053neY5+ufeG92yucROBvf5vwV0LVUhpqINHtvQ&#10;JuP7KGOW75DNGmBsxP4dfNhNbIr2GDIv6kPenh9//NFK7mQshx7F7Ad8e9jWG/8FzD7/WumlYZcC&#10;G3SUOl+Fin/+xMYN2vc/Ur9Ns71YjmGvDvsW5i38hqArwv8C6Hc4Zhn+F5225JPN3EdCa4PHNrSR&#10;9E2eEeyTNVCyBsw45tD9xoJdTANdC+OX7T7oW8eP6bq8/FOBh/wfAHFiuH13iedisVNx1xPrOXTk&#10;3E/wBZiO/xD4sXyeCNv8eK5vGzy2oY3nGKSukvddeFF1efGHD/5I5s9tQ2HGaInG1joUvrGOAd+I&#10;06dPxyybcxwwLyxH24hLC3w0dS2h+lSR1/fs3uV839BfYDhscmDDiPMFCxZWarsWGzy2oRXMqbqY&#10;I3MXn7l789hbhHxAvK8JvHD/cA8xtl944UXCHhw/y/YhNtgH2Rz6GrR5/PiJmLH8/fd+r+tYouIU&#10;evXn1UOvOLoW6CzK8sP3ok/kNbcv6KvKhh06lvkL5jlzAf3QgjPny5evpG+++SZmXiXy3bHBYxva&#10;RI5J6o4P1ggfE8NHyNtbtj7pYIUbvyM9h17AFufYFhxxSGKdb/6/gO9CqP6YuhaMD+ehni2P6y+9&#10;GLA3D8VDYDrrVng+OFed7f+YWPkcjs4Gj21ow/VL7icGR4SvFc9XyHaMDyiBgbDZgO2EiWPwb8F1&#10;9qM0aXAcrzwPwKz58+fH7OeI/NHoD/TNZv/dx7Bz4THY5o1z1x3pOfTfiLUInoaLo4hnOXcp95vL&#10;D//4x5i/fYl6B23w2IY2UeOReiseq2QOQs8B9hmBB8BPyIT4mfYdoTAJciJsPVgnwpiyTeFSKJpI&#10;r7M+ONa9va+++oeD0W6dhdkH2ImzbTtkXOB5rL6gZr2RHiMGAuzVETcmEp5zvYizyHFxme+IO1nZ&#10;fPxt8NiGVt730O+78Ma/vIF+HHgQTiZkHPEqoReBDAw83LTxcWssN3373futka5FxrhIxrVe4Sk/&#10;X2zh2+/FG69r+F5gnzdcjqOyvkOol+P5ct+XLV9htWccKW8jfc4Gj21oI+2fPOdfXEvGuUXud+CX&#10;F+ZEc41t+CDXw/fGrZ+Jpi74YLK8D1uNEydORq0/gI4GGLfrTA43r/ZhMw48xG/durUOnkNWTpR8&#10;jnrBH9hwmn6dZv9wb6OKFb9N7RmUheegh8/q6jWrnL4jxvxX//hH1PxKxNq3wWMb2kSMReoU3K/s&#10;awC5JUPZ7pn4Es0x7EKAozb2IdANsx4BfTx16lRU+MT2NcBNd99hLwO5GL6cfA8Yi28ay7iJks9R&#10;byhbfPyHwJ4DMJz75S5D+Z4iDgD3HaWtjX481q0NHtvQxqPvUodgd1VbA8hDBv0IsNONGzbnkNNX&#10;rlhuVS8wj/EJthrR4DnsJkHrtR8Lv0r8f3DL3uCBiefhdCDR8gd+qKjfiw56Jd6z8LqPa4z1oe6j&#10;fuYXyqNHj0X1/Yv32rXBYxvaeI9D6hNcrwpr4KWXXtbvP2Rz/J8v6z99KAwJdR3xt4Gb8K+M9VsB&#10;PGe/dcjn77zzbkT4hHiCjGsvKV2K2cdQug08A3yHjgW0vB9qoy/idrFfCV2O+/uBumE/vkXtW4Tj&#10;PWxdngkT+wbfUMTmQv/BL/ABe8EVsRZt8NiGtiLGKm0K3lf0Gvj6668dzIPeAT/Gn3iV0AusCZND&#10;J1xbjOfQ7//7u39HhE2M5e64LOHawn1TxoW8bGt/Dv23u13gOOoOlf/ZfF5jdIRzg+8F5pHHj7Ii&#10;dC42eGxDW9HvlLQvuF5Ra+Dk2+9of3B+921xy8QgPoa9n5fumu+HK019C/AcMdTD8YvHA7wMV7/X&#10;ff5+oB74/Xs9E8k1/Cfxiv0Cm85IeaJjfYWRyd19wX8t5gFK7IsePHgoLN/C8TXS+zZ4bEMbaf/k&#10;OcFcP64B4Dm/9+uVTYcbF2zPgWfAI+Rpe6WM3PWh2oFeBPQc5xD68HDzsOVM7EWMC/bwoeoOdR17&#10;pPg/wXwBtmOPsSwdjVdd0DMdPPBSUPvYF95sxLT1ouNr0L2Y8Xv5ergSPMe+ANvQ8zi2b99G5ZE/&#10;1AaPbWjDrQu5Lxju9zVg+n9GYpcdDku87gNf8P8fpdf9cNcQY5zjB4bb2/vd70q+T7DdC1d3qPv4&#10;n8JtAg8RBzfUs+7rsL13779CB4L/CvhWuJ/3Osd+qW2+6R07tjvfJMb0Nep7GM1+crTr3waPbWij&#10;7ac8L9jutzUAbOT3HFiTqJivqBfyuVtW9cIxr2vPKj9J9BN7e4jx9fPPP3vK6F988bkznm1lxLf1&#10;asN97WW1f2rqXKC/iKT/z+99tpQNIvw8d+4MH7sm4Je6VP8fcfcnlnN8k/Dfpri4xPYSfIT95pHD&#10;R+Ieo8sGj21o/fZeynjkWxPrGmA8hy99LJgRKQ3wPFb5HPuF3M+y5HPYMuK5eNnQQ2fB7cLOZVcZ&#10;vkih+OC1D+r1LOxpErF3gbZQL2xGeSxcLlX/AeIVd9EGj21oY133QieY6bc1wO91ouN7a3tDhR2x&#10;4jn7EmFPL9QccPzHsmImeuFoWdcg4zOPUC5ZvKiUrWFZ9PgelHUf97Anmuh4X9D1wMYIOiBzPPC1&#10;Lev7GIrX7us2eGxD6+6HnAtGJ+sa+P77/yh9bsAHHvJsPOyrQ2EX8Bz6c9iih3om1PWX9u9zMGj3&#10;7j30808/lcJ0c083Uv10qPb4OvY+oQefP78kpjjwEBhtq5fCHi1i2kAXEi6fNPcnHiXmAfu80K0x&#10;rmN/GXukscbsssFjG9pkfW9l3PLN8loDpq9NKF/FeGAI6oBcDn1LLPWZOg/I4F5jgV4d+BSJHXc0&#10;fUAuJcY9s3xa7TNGUw+eha0KvmnA0lhsbqJtr6zn3TG7MLZYcmrb4LENrdcakGuCc8m8Bkx8SnTu&#10;Yvg+RqJ78MIgM6b3Rx99XArPEacAYwFWetHHes20eTd5hWP4GoXz4+R2obuGTye+NbHqm7iueJXQ&#10;vZi2OxgTYhD//cu/l+JvqHfEBo9taEP1R64LnifrGuD8PHiPY5WbI8UWYBj2+mDvF639NvS+nB9j&#10;8+YtpbAGGMRYGy89C8YVHM9xAT2142ll/16ie16s9Oj4RuE7GGpM0F/hG/abVyOzT4yUn/F4Dn1C&#10;/90+R+BnJHEBbPDYhjZZ31cZt3yryloDnKsCWBhvHYUX3sC/Erpir3tlXTNjnnvpAxjL4z0G2OFz&#10;3ewn///ZO/fmrI0rjOsTdPpHv0E/bWonpoCNsXMBp2MuvmDAQBIbQgIhCbdM25neSHPBDXQKhDAZ&#10;SChkpvrJWXWtSHolHUmv9OrxjEZ+JZ3V6uxzHq3Onj3rvzvcOT8nY95zdPWciwN1z8Oe3Pd5+RQs&#10;fGyRzcOzzonvhooBxhNdzkHsd3XlRGmeLcpP9K+JfSaXeNm5PfR7j4XzKKkj/vGkr8VxELE5WX3k&#10;ovVMXsf7wd3X+SBevHgR3L59O17bmvP4wplTa8kFnLx3m7/xGdEufj8dXRNHdOPGzWic9NGjh8HT&#10;p7v5cix8bJEdqq3qufWeKoIBx4Xsm/Kdw4n4tCNOD2MV8UeX5Spi+ajjysrqHl+LX/8mxhbd2hlp&#10;3wTMZ/Lvjx+67u+DsnqyXs/3iHtm/9n8/y18bJEtgmddI94bKgaYQ+LstIk5RPA3/VaXO6BqbAty&#10;cOVMGCPtf//fCI+7+lvnw6fxoFsH+ni4jkQaRojtc/OWXD3y1pxIu0fXjjH24I87u+dyewsfW2TT&#10;9K9j4m5hYBcDL1/+FPsLXp2Gc/fmBLfyzJnTp8J57et7+uFwLn7msnMfT/w8l4dvf3wdtKE/jls1&#10;XibvGV1MCz6Hhw8epPI5/qqdu18H5Hl0fEfeqyr5uvLqMo5zfOvQXuQnQP/4kix8bJGVzYq3hYHR&#10;GHAcxL7OOUTEsKRxEDxOf70Mn1MvV08Xc858F3esiTyQ1N3Nn+Qbxv8mSMOVP6ZMvaqM96bpq0vH&#10;LHxskU3Tt46Ntm3paFg6cnzInv5kHdyBjzuvLOZYlvXrOL859XTjkc5PRF+4jnonyyAm2+mHmPa0&#10;eai+vfh8Xle+mGSdxvnbwscWWV/H+n9Y/KT2Ltfea+trEWftP/B7U9/cjykfNV9949RqlJ8Ev3oR&#10;fuI64rvhVsYeaWPGJfmNj6hoOUXu5V9DbhY3xwYfz/PnP6b6WxzmWBuCOpGnq8pYr3/vrv1v4WOL&#10;rNOt9uXsWvoanr7Io+f6n5b5/ay1Q1+2KAcxl5L7FeVh/BbUk3FQcIrfw9Wbvn7R+xa9jnFb/Cx8&#10;Y7j7MN757/v3c/nc5f9Cpol6Fa1/3ddZ+NgiK04aHiepzau3+dnN8zFf4c8oywNV41Tg8zx/jF8P&#10;fOyOU5m/Q3u79Taq1NkvO+3/XR7ffTf564Vyz7x5krxjFhYWo7oyNlD0XZVWhy4ds/CxRVZ2Xd2u&#10;pbth6s7xJPutdy4U5nPWiCMnQJWcgvAcPFzUH+HniSIukLhz6lv3nKHT4TdAch4V8999Hf3tr3/J&#10;7J/fuXMnvpa17brEyVXrYuFji6z4aJh8pHav3u5+nF+Z8URrThTmH5aJbfHjS/x5O3XNGWLduqw4&#10;HH88FF6/deuzVD5nnNSNzXKdi7OvyqNdkLPwsUVWNl3dpqW74eqO8cSp6amoT8kc+rb8A8QdHgnj&#10;GIvEReJrceOR5Dl3feUL586a+r/4ifDJ843x0ZUrmWVRR7eGD3nh0VlajAvjpIcO7a71Q32rrHHd&#10;BQ53dbDwsUVWfDRcPlLb29qeHEuOH5vwQztuSO7LxJ67HCLElri6kn88WWaZ3+R0LPq8vOMYt3X3&#10;Zkw0K8bFXVPmW6dMvdu61sLHFlnZs82epb9h68/xD/u6fBdFOAcuLRLb4nzXbuyTer4RrqNT5B5p&#10;15BPJcuvknY9x+jH+3y+ee58qr/F5VunjmXifLLuO67jFj62yIqLhs1Fan9b+1+6dCnuc5blOCvX&#10;MA46qn/8oRfTQowiPIkfvcy98fMzR5013NiPiolPKzsau/05nyN1IH9Lcq1k8iWcXNmN4cfXwphq&#10;3bkd0+pW9zELH1tkZcs2W5b+pD+/z9t2nDR+a+IA8/iIHIzwp78xbpknwzk3tgn3k8uljjEBlyfX&#10;1eXRo4e/6KP7uYbL5gAe9UxtnLfwsUVWXCQuEgZsGPDnpLcdJ+1iW/J8EsmYEng073rGLOFvnmVt&#10;5eRIzi/Lj/h4HJfjV0ni75tvvonP93GOv4WPLbJJPeq3za6lv2Hq7+bNGzH/kC+vLL9Zrod7iSdn&#10;DZy0cuhPE1fu+JM98SVp13IMv4Y1fjKrbI5/eu3jKC+Bi7GZnZ0LPv/8n3s4HZ+6qy/PViRuJ++e&#10;bZ6z8LFFVtwzTO5Ru9ff7i5PNxxVxIdRN7/gr0/mVXRxJPhhlpaOxPwIT46jjv4zu3gc6kI+3J2d&#10;nT18fv36zbi+RcZ5/bLH+b+Fjy2ysun6bVo6HaZOyRl+4MDBiH9Ye6btNdGI9Sbm+/2L21GfOxpv&#10;TMwVpX9LfDn5b+mbMzY6Tt6jru6bgRzo9Mf9GPSrVz+K+fy4MZayree08LFFVrwzTN5RuzfT7i7/&#10;n/MPjMM3AJ+7OMC8Of9cMzt3sBN5rfw8Lv4aRfC6+95Bp22PLVfhfwsfW2Rl083YtPQ6XL06Hmdf&#10;NB9WFc7IkiG2hbXbiqwjREw8Y5yseVZHnEpWnYocnwvfK053+FewIb51jh79/zwn/FfjeD8Wqb+7&#10;xsLHFllxznA5R23fTNs/ePCfeD00a65zxw9l9sR/Hw/zVOE/Z5xxlCwcTuwfY4zsxxXT/cm1a9E8&#10;JsfnzKt1c/s5hi6jd1RiTb1Rz9f2eQsfW2Rlz83Ys/Q6bL0yjuc4iXE7/Bltcwpxh3B60fvC6cSi&#10;k1+mqEwT1/kxi06H+GCIv+R+o+ZHNVGnMmVa+NgiK84ZNueo/Ztrfz8Hyrj45/D8XDSXqEzMypuh&#10;v4U5PWX4q85rWR/bcThjyMncieSTGce7segzWvjYIitbbs6WpVvpltgMx0tlcp0X5Y286/DVk4+F&#10;8U/4j7VD4clRPhR4Ep87nN70vEv8QcT7UNfjx5ajbX11JTizsRGwPl6aj4g6nS2xLlOejpo4Z+Fj&#10;i6z4RnwjDDSHgZ2duzGXM7bXBHeklYlPIhmTzZghPpQyeWPwoTf1TYEPiH43dS0Tn8L7aJzfDWn6&#10;9o9Z+NgiKztuzo6lW+kWDCwvH4v5HG4c1S/2eaHK/yfDeaf0q7PiUrbffSfic3LXXvngcu77hX4z&#10;ZRHnuPXuu7nXjqorZfGNcDLMq8W96YuX8f248j+8fDlYWFw01cWV1cTewscWWfGN+EYYaB4Dzs/C&#10;vim/BdxNXxzuLcJR+FIOHZotFLtIeYxJ5uVxybsn91pcWIj64G4MM+/6vHPqlzePV3GCdCwMZGPA&#10;8TmcmMdVVc+RIxZ/RVZ/PK1c8q7A/2yjcrBwnlh0uDStrKxjxLkjd6qmWEK+D+RjycaZbFC6EQaa&#10;xcCVcI49fD419UptvAZ/wq34bhgrzOLTUccZf2RslLHSPL8HPnf853nzSbkXfW9ynRMPHvlSwvfA&#10;qDoUPc93x7hzD+TV1eInscjKfpu1X+lX+vUx4OfmLjIvM48zOAdP0qdO5tQaJZd1nvi/gwf255bn&#10;fDl8A6SVgw+JdxZ95zLfCGllpR1jPCDteFeOWfjYIuvjTP+Ld4SBZjFQZ74WYj/wd9cda00/H58I&#10;/e8sLuaevEP8/jnXwt/UKa9vb+Vc+vrWMpqUt/CxRVa226ztSr/SbxIDFy5ciONalg1zLOHctPjr&#10;OnjK+UiWju6uC5c2Xgl3vx2uCU0/HN8MHLu7hlxzc1zx8RAHU8czNlWGhY8tskmc6be4RxhoHgP+&#10;OsXJeY1NcUyVcuFr+udZY574dvC1NNkP9+vNvayxkX55Tfxv4WOLrOy2ebuVjqXjJAaePHkSsJ4O&#10;fmXWY6vbT1I3R8HZ+NHH+d7hvcI7Je0boe7ntZRn4WOLbBJj+i3eEQbawcD9e/diX8uhQ3ON+Uss&#10;vOTL0vfGl0K8C31jfDz4y/GrsJ05fSo6zzX+xhivu4brkSO+sWzuWnw5XY5FdLqy8LFFVnbbjt1K&#10;z9JzGgb8dRbgP8cHXd7Dw/g64FV4mr46W1acIO8Adw3Xk3eFXAJ8j7CmELnTKWtUfDu++S7rxdXN&#10;wscW2TR86Zh4RxhoBwPPn/8YzM8vRP3z12ZezY0FdFwxSfubn34SPTP9dd5l8PyxMG85/Xg/znL7&#10;vfei8314dgsfW2Rls+3YrPQsPWdh4Omzp4HLp9gHf3DTfIpfnFwBxDwy79+tfVTWJ9N0PbPKt/Cx&#10;RTYLXzou7hEG2sPAyspq7DunT5rFE0M7ju9lenoq8un05dktfGyRlb22Z6/StXSdh4GZmX0Rnx8I&#10;40X60gdtml/J+f7WW29mzllq+v5VyrfwsUU2D1s6J+4RBtrDwOPH38Z9c/wLbcVsV+GrtmTK5Fpv&#10;q06j7mPhY4usbLU9W5WupetRGPDzteA7HxXbMYpX+nye2JeVjudeSdOvhY8tsqOwpfPiH2GgXQxs&#10;ntvNTcU8on379kVxf4z/pfHGpB4jlnw2XIepj98mFj62yMpO27VT6Vv6LoKBD69cjWNb4HS2tbWV&#10;QfC5i1vp+lzYrPeohY8tskVwpWvEP8JA+xj47rvvgu3t7T2czpqh5O/u+jz2LJ4rcpw5QX3+DrHw&#10;sUVWNtq+jUrn0nkZDBB/7vvRXT89LydtEc7s4jU8EznZu1i3onWy8LFFtgymdK04SBgYHwbW1zfi&#10;OBfH58yl6asvIsmNzPOchLlSFj62yMo2x2eb0r10XxYD33//ffDpJ+E6yIuvx7w+Pf27YGHhcHA2&#10;nCvZV9/Lbi70oxMRt2PhY4tsWSzpevGPMNANDFy/fjPmc9dPZ7/Zw3mjxNP7axQl++x9+m3hY4us&#10;7LIbdql2UDtUwcAPz54Fab4X8hj2yffCenf0zfvE2Vl1tfCxRbYKfiQj3hEGuoUB53vZv/9A3FfH&#10;98K6bX6+wSz+0fFbtb1HLHxskZVNdssm1R5qDysG0vrp5AtXjpf6+Drv3WfhY4usFTeSF/cIA93D&#10;AHnRv/ryi8Dl68KP7uaQkjM8j4t0zsb5Fj62yMoOu2eHahO1SZ0Y2Nq6GPtd4HTWo+uTL71v7xYL&#10;H1tk68SMyhIHCQPdxAA5AfxYF9ZnI3dV33iyD/W18LFFVrbXTdtTu6hd6sYAfpfl5WN7OP0Pby/J&#10;j37b5lNJvl8sfGyRrRsvKk8cJAx0GwM7O3f38Dn9ddZUTnKSflfjeAsfW2Rld922O7WP2qcJDOzs&#10;7AR+/CJ8rrXpqnF38p1n4WOLbBM4UZniH2GgHxi44uXWnZp6JYpHH/L6F0lervLbwscWWdlcP2xO&#10;7aR2agoD5GGcn1+I/S779s30cg2IKrzbhIyFjy2yTeFD5Yp7hIF+YeD06bNxPDr5CplX3wTXTXqZ&#10;Fj62yMre+mVvai+1V5MYSPbRJzFHetPvEgsfW2SbxIXKFu8IA/3DwJMnT2J/C2Oi9NEVi158XNTC&#10;xxZZ2Vr/bE1tpjZrGgPEoq+srO7h9BMnjk9MLsMm++YWPrbINo0JlS/eEQb6i4FkLDp5xpWjK7+P&#10;buFji6zsrL92prZT27WBgX/8/c6e9aOPHjmiMdGcuaIWPrbItoEF3UOcIwz0GwP40DfPbcY+F9ak&#10;Yx2gz27dEK8neN3CxxZZ2Vi/bUztp/ZrEwPJdelOrWnuf9L3buFji2ybONC9xDvCQP8xsHnufNw/&#10;Z+0irVu0139u4WOLrGyr/7alNlQbto0Bcui6fC7w+RtvvqG5oj/7Wix8bJFtGwO6n3hHGJgcDPg5&#10;0efmDsp3HvK5hY8tsrKrybErtaXasm0M/Pf584C5/1PTU5HfBT6/+sEHg+Z0Cx9bZNtue91PfCMM&#10;TB4GfB/60PvnFj62yMquJs+u1KZq03FgYGZmJh4TZU7RUNcUtfCxRXYcba57imuEgcnDwMuXP4Ux&#10;6OfD/C2vRZzOmCjrFd26cX1QPhcLH1tkZVOTZ1NqU7XpODGQjEEnN9eZM2cGw+cWPrbIjrPNdW9x&#10;jjAwmRggZnH61enY50K8y1Dm/lv42CIrW5pMW1K7ql3HjQHm/V+69H68voXLn7u4sBCcOL4cbGyc&#10;Ci6H55PzJvv+28LHFtlxt7fuL84RBiYfA+vrG3v66H5cOj6Yo0feCra3tiaC1y18bJGVHU2+HamN&#10;1cZdwABjo48ePQz+tXM3yo2+uPh6HJfuuB1ePzw/H60hvbZ6MvSzn45yeF0Meb7sRm4B1qEuu1nz&#10;hVn42CLbhTZWHcQ1wsAwMcCaF1tbF+N8AI7T+7Q/fPhw4G8WPrbIyoaGaUNqd7V71zDwxz/9OeL1&#10;2dm5TH9MHzjewscW2a61p+ojjhEGhIEXL14EPzx7Fjx+/G1w/969StvXX38VfPXlF6U3fPtFt7W1&#10;9WBpaWnPZuFji6zsRnYjDAgDwkB9GLDwsUVWbVhfG0qX0qUwIAxY+NgiK+wJe8KAMCAM1IcBCx9b&#10;ZNWG9bWhdCldCgPCgIWPnaz2v43zwEsX0oUwIAyMEwNV3uvjrK/uLXsRBoQBYeCXGKjC5ZLRd50w&#10;IAwIA8KAMCAMCAPCgDAgDAgDwoAwIAwIA8KAMCAMCAPCgDAgDAgDwoAwIAz0BQO/CoLgN+HG36/D&#10;jf//BwAA//8DAFBLAwQUAAYACAAAACEAlEUgkd4AAAAIAQAADwAAAGRycy9kb3ducmV2LnhtbEyP&#10;QUvDQBCF74L/YRnBm91Ek1piNqUU9VQEW0F622anSWh2NmS3SfrvnZ7scd57vPlevpxsKwbsfeNI&#10;QTyLQCCVzjRUKfjZfTwtQPigyejWESq4oIdlcX+X68y4kb5x2IZKcAn5TCuoQ+gyKX1Zo9V+5jok&#10;9o6utzrw2VfS9HrkctvK5yiaS6sb4g+17nBdY3nanq2Cz1GPq5f4fdicjuvLfpd+/W5iVOrxYVq9&#10;gQg4hf8wXPEZHQpmOrgzGS9aBekrB1meJyDYTtKYpx2uepqALHJ5O6D4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6kIu7dAMAAAgIAAAOAAAAAAAAAAAAAAAAADwC&#10;AABkcnMvZTJvRG9jLnhtbFBLAQItABQABgAIAAAAIQBiIhoafIgAAPglCgAUAAAAAAAAAAAAAAAA&#10;ANwFAABkcnMvbWVkaWEvaW1hZ2UxLmVtZlBLAQItABQABgAIAAAAIQCURSCR3gAAAAgBAAAPAAAA&#10;AAAAAAAAAAAAAIqOAABkcnMvZG93bnJldi54bWxQSwECLQAUAAYACAAAACEAjiIJQroAAAAhAQAA&#10;GQAAAAAAAAAAAAAAAACVjwAAZHJzL19yZWxzL2Uyb0RvYy54bWwucmVsc1BLBQYAAAAABgAGAHwB&#10;AACGkAAAAAA=&#10;">
                      <v:shape id="그림 4027" o:spid="_x0000_s1130"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71" o:title=""/>
                      </v:shape>
                      <v:shape id="Text Box 101" o:spid="_x0000_s1131"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78AAC77C" w14:textId="77777777"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L</w:t>
                              </w:r>
                            </w:p>
                          </w:txbxContent>
                        </v:textbox>
                      </v:shape>
                      <w10:wrap type="square"/>
                    </v:group>
                  </w:pict>
                </mc:Fallback>
              </mc:AlternateContent>
            </w:r>
          </w:p>
          <w:p w14:paraId="7DF23FBD" w14:textId="77777777" w:rsidR="002E5800" w:rsidRPr="008F328C" w:rsidRDefault="002E5800">
            <w:pPr>
              <w:pStyle w:val="a3"/>
              <w:rPr>
                <w:lang w:val="pl-PL"/>
              </w:rPr>
            </w:pPr>
          </w:p>
          <w:p w14:paraId="518433FD" w14:textId="77777777" w:rsidR="002E5800" w:rsidRPr="008F328C" w:rsidRDefault="000E0B7C">
            <w:pPr>
              <w:pStyle w:val="a3"/>
              <w:numPr>
                <w:ilvl w:val="0"/>
                <w:numId w:val="23"/>
              </w:numPr>
              <w:rPr>
                <w:b/>
                <w:highlight w:val="lightGray"/>
                <w:lang w:val="pl-PL"/>
              </w:rPr>
            </w:pPr>
            <w:r w:rsidRPr="008F328C">
              <w:rPr>
                <w:rFonts w:eastAsia="Times New Roman"/>
                <w:b/>
                <w:bCs/>
                <w:highlight w:val="lightGray"/>
                <w:lang w:val="pl-PL"/>
              </w:rPr>
              <w:t>Wyrzucić ampułko-strzykawkę.</w:t>
            </w:r>
          </w:p>
          <w:p w14:paraId="57CB5457" w14:textId="77777777" w:rsidR="002E5800" w:rsidRPr="008F328C" w:rsidRDefault="002E5800">
            <w:pPr>
              <w:pStyle w:val="a3"/>
              <w:rPr>
                <w:highlight w:val="lightGray"/>
                <w:lang w:val="pl-PL"/>
              </w:rPr>
            </w:pPr>
          </w:p>
          <w:p w14:paraId="2E6F68DF" w14:textId="77777777" w:rsidR="002E5800" w:rsidRPr="008F328C" w:rsidRDefault="000E0B7C">
            <w:pPr>
              <w:pStyle w:val="a3"/>
              <w:ind w:left="5377" w:hanging="180"/>
              <w:rPr>
                <w:rFonts w:eastAsia="Times New Roman"/>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Wyrzucić zużytą ampułko-strzykawkę do specjalnego pojemnika na odpady ostre zgodnie z zaleceniami lekarza, pielęgniarki lub farmaceuty. </w:t>
            </w:r>
          </w:p>
          <w:p w14:paraId="0316EFA2" w14:textId="77777777" w:rsidR="002E5800" w:rsidRPr="008F328C" w:rsidRDefault="002E5800">
            <w:pPr>
              <w:pStyle w:val="a3"/>
              <w:rPr>
                <w:highlight w:val="lightGray"/>
                <w:lang w:val="pl-PL"/>
              </w:rPr>
            </w:pPr>
          </w:p>
          <w:p w14:paraId="21F3CB4E" w14:textId="77777777" w:rsidR="002E5800" w:rsidRPr="008F328C" w:rsidRDefault="000E0B7C">
            <w:pPr>
              <w:pStyle w:val="a3"/>
              <w:ind w:left="5377" w:hanging="180"/>
              <w:rPr>
                <w:highlight w:val="lightGray"/>
                <w:lang w:val="pl-PL"/>
              </w:rPr>
            </w:pPr>
            <w:r w:rsidRPr="008F328C">
              <w:rPr>
                <w:rFonts w:eastAsia="Times New Roman"/>
                <w:b/>
                <w:bCs/>
                <w:highlight w:val="lightGray"/>
                <w:lang w:val="pl-PL"/>
              </w:rPr>
              <w:t>b. gazik</w:t>
            </w:r>
            <w:r w:rsidRPr="008F328C">
              <w:rPr>
                <w:rFonts w:eastAsia="Times New Roman"/>
                <w:highlight w:val="lightGray"/>
                <w:lang w:val="pl-PL"/>
              </w:rPr>
              <w:t xml:space="preserve"> nasączony alkoholem i opakowanie można wyrzucać </w:t>
            </w:r>
          </w:p>
          <w:p w14:paraId="20CB44AF" w14:textId="77777777" w:rsidR="002E5800" w:rsidRPr="008F328C" w:rsidRDefault="000E0B7C">
            <w:pPr>
              <w:pStyle w:val="a3"/>
              <w:ind w:firstLineChars="300" w:firstLine="660"/>
              <w:rPr>
                <w:b/>
                <w:highlight w:val="lightGray"/>
                <w:lang w:val="pl-PL"/>
              </w:rPr>
            </w:pPr>
            <w:r w:rsidRPr="008F328C">
              <w:rPr>
                <w:rFonts w:eastAsia="Times New Roman"/>
                <w:highlight w:val="lightGray"/>
                <w:lang w:val="pl-PL"/>
              </w:rPr>
              <w:t>do domowego pojemnika na odpadki.</w:t>
            </w:r>
          </w:p>
          <w:p w14:paraId="3116B3C9" w14:textId="77777777" w:rsidR="002E5800" w:rsidRPr="008F328C" w:rsidRDefault="002E5800">
            <w:pPr>
              <w:pStyle w:val="a3"/>
              <w:rPr>
                <w:b/>
                <w:highlight w:val="lightGray"/>
                <w:lang w:val="pl-PL"/>
              </w:rPr>
            </w:pPr>
          </w:p>
          <w:p w14:paraId="4EFBE110" w14:textId="77777777" w:rsidR="002E5800" w:rsidRPr="008F328C" w:rsidRDefault="000E0B7C">
            <w:pPr>
              <w:pStyle w:val="a3"/>
              <w:numPr>
                <w:ilvl w:val="0"/>
                <w:numId w:val="18"/>
              </w:numPr>
              <w:ind w:left="5017"/>
              <w:rPr>
                <w:highlight w:val="lightGray"/>
                <w:lang w:val="pl-PL"/>
              </w:rPr>
            </w:pPr>
            <w:r w:rsidRPr="008F328C">
              <w:rPr>
                <w:rFonts w:eastAsia="Times New Roman"/>
                <w:highlight w:val="lightGray"/>
                <w:lang w:val="pl-PL"/>
              </w:rPr>
              <w:t>Zawsze przechowywać ampułko-strzykawkę i specjalny pojemnik na odpady ostre w miejscu niewidocznym i niedostępnym dla dzieci.</w:t>
            </w:r>
          </w:p>
          <w:p w14:paraId="2FF601BF" w14:textId="77777777" w:rsidR="002E5800" w:rsidRPr="008F328C" w:rsidRDefault="002E5800">
            <w:pPr>
              <w:pStyle w:val="a3"/>
              <w:rPr>
                <w:lang w:val="pl-PL"/>
              </w:rPr>
            </w:pPr>
          </w:p>
          <w:p w14:paraId="0BADDB8D" w14:textId="77777777" w:rsidR="002E5800" w:rsidRPr="008F328C" w:rsidRDefault="002E5800">
            <w:pPr>
              <w:pStyle w:val="a3"/>
              <w:rPr>
                <w:b/>
                <w:bCs/>
                <w:spacing w:val="-1"/>
                <w:lang w:val="pl-PL" w:eastAsia="ko-KR"/>
              </w:rPr>
            </w:pPr>
          </w:p>
        </w:tc>
      </w:tr>
    </w:tbl>
    <w:p w14:paraId="6547F0A6" w14:textId="77777777" w:rsidR="002E5800" w:rsidRPr="008F328C" w:rsidRDefault="002E5800">
      <w:pPr>
        <w:spacing w:line="241" w:lineRule="auto"/>
        <w:rPr>
          <w:rFonts w:ascii="Times New Roman" w:hAnsi="Times New Roman" w:cs="Times New Roman"/>
          <w:lang w:val="pl-PL" w:eastAsia="ko-KR"/>
        </w:rPr>
      </w:pPr>
    </w:p>
    <w:p w14:paraId="13E7F922" w14:textId="77777777" w:rsidR="002E5800" w:rsidRPr="008F328C" w:rsidRDefault="000E0B7C">
      <w:pPr>
        <w:rPr>
          <w:rFonts w:ascii="Times New Roman" w:hAnsi="Times New Roman" w:cs="Times New Roman"/>
          <w:lang w:val="pl-PL" w:eastAsia="ko-KR"/>
        </w:rPr>
      </w:pPr>
      <w:r w:rsidRPr="008F328C">
        <w:rPr>
          <w:rFonts w:ascii="Times New Roman" w:hAnsi="Times New Roman" w:cs="Times New Roman"/>
          <w:lang w:val="pl-PL" w:eastAsia="ko-KR"/>
        </w:rPr>
        <w:br w:type="page"/>
      </w:r>
    </w:p>
    <w:p w14:paraId="454D4540" w14:textId="77777777" w:rsidR="002E5800" w:rsidRPr="008F328C" w:rsidRDefault="000E0B7C">
      <w:pPr>
        <w:ind w:left="2350" w:right="2268"/>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lastRenderedPageBreak/>
        <w:t>Ulotka dołączona do opakowania: informacja dla pacjenta</w:t>
      </w:r>
    </w:p>
    <w:p w14:paraId="40666F0F" w14:textId="77777777" w:rsidR="002E5800" w:rsidRPr="008F328C" w:rsidRDefault="002E5800">
      <w:pPr>
        <w:spacing w:before="13" w:line="240" w:lineRule="exact"/>
        <w:rPr>
          <w:rFonts w:ascii="Times New Roman" w:hAnsi="Times New Roman" w:cs="Times New Roman"/>
          <w:sz w:val="24"/>
          <w:szCs w:val="24"/>
          <w:lang w:val="pl-PL"/>
        </w:rPr>
      </w:pPr>
    </w:p>
    <w:p w14:paraId="34BF5EE1" w14:textId="592FF249" w:rsidR="002E5800" w:rsidRPr="008F328C" w:rsidRDefault="000E0B7C">
      <w:pPr>
        <w:ind w:left="2350" w:right="2268"/>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Yuflyma 40 mg w postaci roztworu do wstrzykiwań w</w:t>
      </w:r>
      <w:r w:rsidR="00096EAD" w:rsidRPr="008F328C">
        <w:rPr>
          <w:rFonts w:ascii="Times New Roman" w:eastAsia="Times New Roman" w:hAnsi="Times New Roman" w:cs="Times New Roman"/>
          <w:b/>
          <w:bCs/>
          <w:lang w:val="pl-PL"/>
        </w:rPr>
        <w:t>e</w:t>
      </w:r>
      <w:r w:rsidRPr="008F328C">
        <w:rPr>
          <w:rFonts w:ascii="Times New Roman" w:eastAsia="Times New Roman" w:hAnsi="Times New Roman" w:cs="Times New Roman"/>
          <w:b/>
          <w:bCs/>
          <w:lang w:val="pl-PL"/>
        </w:rPr>
        <w:t xml:space="preserve"> wstrzykiwaczu</w:t>
      </w:r>
    </w:p>
    <w:p w14:paraId="2CA79BB5" w14:textId="3594B9B7" w:rsidR="002E5800" w:rsidRPr="008F328C" w:rsidRDefault="00E04E76">
      <w:pPr>
        <w:pStyle w:val="a3"/>
        <w:jc w:val="center"/>
        <w:rPr>
          <w:lang w:val="pl-PL"/>
        </w:rPr>
      </w:pPr>
      <w:r w:rsidRPr="008F328C">
        <w:rPr>
          <w:rFonts w:eastAsia="Times New Roman"/>
          <w:lang w:val="pl-PL"/>
        </w:rPr>
        <w:t>a</w:t>
      </w:r>
      <w:r w:rsidR="000E0B7C" w:rsidRPr="008F328C">
        <w:rPr>
          <w:rFonts w:eastAsia="Times New Roman"/>
          <w:lang w:val="pl-PL"/>
        </w:rPr>
        <w:t>dalimumab</w:t>
      </w:r>
    </w:p>
    <w:p w14:paraId="350D2A8C" w14:textId="77777777" w:rsidR="002E5800" w:rsidRPr="008F328C" w:rsidRDefault="002E5800">
      <w:pPr>
        <w:spacing w:before="18" w:line="240" w:lineRule="exact"/>
        <w:rPr>
          <w:rFonts w:ascii="Times New Roman" w:hAnsi="Times New Roman" w:cs="Times New Roman"/>
          <w:sz w:val="24"/>
          <w:szCs w:val="24"/>
          <w:lang w:val="pl-PL"/>
        </w:rPr>
      </w:pPr>
    </w:p>
    <w:p w14:paraId="552614C0" w14:textId="77777777" w:rsidR="002E5800" w:rsidRPr="008F328C" w:rsidRDefault="000E0B7C">
      <w:pPr>
        <w:spacing w:before="18" w:line="240" w:lineRule="exact"/>
        <w:ind w:left="108"/>
        <w:rPr>
          <w:rFonts w:ascii="Times New Roman" w:hAnsi="Times New Roman" w:cs="Times New Roman"/>
          <w:sz w:val="24"/>
          <w:szCs w:val="24"/>
          <w:lang w:val="pl-PL"/>
        </w:rPr>
      </w:pPr>
      <w:r w:rsidRPr="008F328C">
        <w:rPr>
          <w:rFonts w:ascii="Times New Roman" w:hAnsi="Times New Roman" w:cs="Times New Roman"/>
          <w:noProof/>
          <w:lang w:eastAsia="ko-KR"/>
        </w:rPr>
        <w:drawing>
          <wp:inline distT="0" distB="0" distL="0" distR="0" wp14:anchorId="7F42E117" wp14:editId="3C713D95">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Użytkownik leku też może w tym pomóc, zgłaszając wszelkie działania niepożądane, które wystąpiły po zastosowaniu leku. Aby dowiedzieć się, jak zgłaszać działania niepożądane – patrz punkt 4.</w:t>
      </w:r>
    </w:p>
    <w:p w14:paraId="30F6E610" w14:textId="77777777" w:rsidR="002E5800" w:rsidRPr="008F328C" w:rsidRDefault="002E5800">
      <w:pPr>
        <w:spacing w:before="18" w:line="240" w:lineRule="exact"/>
        <w:rPr>
          <w:rFonts w:ascii="Times New Roman" w:hAnsi="Times New Roman" w:cs="Times New Roman"/>
          <w:sz w:val="24"/>
          <w:szCs w:val="24"/>
          <w:lang w:val="pl-PL"/>
        </w:rPr>
      </w:pPr>
    </w:p>
    <w:p w14:paraId="0AE4C543" w14:textId="77777777" w:rsidR="002E5800" w:rsidRPr="008F328C" w:rsidRDefault="000E0B7C">
      <w:pPr>
        <w:spacing w:before="18" w:line="240" w:lineRule="exact"/>
        <w:ind w:left="108"/>
        <w:rPr>
          <w:rFonts w:ascii="Times New Roman" w:hAnsi="Times New Roman" w:cs="Times New Roman"/>
          <w:b/>
          <w:lang w:val="pl-PL"/>
        </w:rPr>
      </w:pPr>
      <w:r w:rsidRPr="008F328C">
        <w:rPr>
          <w:rFonts w:ascii="Times New Roman" w:eastAsia="Times New Roman" w:hAnsi="Times New Roman" w:cs="Times New Roman"/>
          <w:b/>
          <w:bCs/>
          <w:lang w:val="pl-PL"/>
        </w:rPr>
        <w:t>Należy uważnie zapoznać się z treścią ulotki przed zastosowaniem leku, ponieważ zawiera ona informacje ważne dla pacjenta.</w:t>
      </w:r>
    </w:p>
    <w:p w14:paraId="05705FD4" w14:textId="77777777" w:rsidR="002E5800" w:rsidRPr="008F328C" w:rsidRDefault="000E0B7C">
      <w:pPr>
        <w:pStyle w:val="a3"/>
        <w:numPr>
          <w:ilvl w:val="0"/>
          <w:numId w:val="5"/>
        </w:numPr>
        <w:ind w:left="660" w:hanging="660"/>
        <w:rPr>
          <w:lang w:val="pl-PL"/>
        </w:rPr>
      </w:pPr>
      <w:r w:rsidRPr="008F328C">
        <w:rPr>
          <w:rFonts w:eastAsia="Times New Roman"/>
          <w:lang w:val="pl-PL"/>
        </w:rPr>
        <w:t>Należy zachować tę ulotkę, aby w razie potrzeby móc ją ponownie przeczytać.</w:t>
      </w:r>
    </w:p>
    <w:p w14:paraId="4318FC3E" w14:textId="786B382A" w:rsidR="002E5800" w:rsidRPr="008F328C" w:rsidRDefault="000E0B7C">
      <w:pPr>
        <w:pStyle w:val="a3"/>
        <w:numPr>
          <w:ilvl w:val="0"/>
          <w:numId w:val="5"/>
        </w:numPr>
        <w:ind w:left="660" w:hanging="660"/>
        <w:rPr>
          <w:lang w:val="pl-PL"/>
        </w:rPr>
      </w:pPr>
      <w:r w:rsidRPr="008F328C">
        <w:rPr>
          <w:rFonts w:eastAsia="Times New Roman"/>
          <w:lang w:val="pl-PL"/>
        </w:rPr>
        <w:t xml:space="preserve">Lekarz także przekaże pacjentowi „Kartę przypominającą dla pacjenta” zawierającą ważne informacje o bezpieczeństwie stosowania leku, o których należy pamiętać przed rozpoczęciem i w trakcie leczenia lekiem Yuflyma. </w:t>
      </w:r>
      <w:r w:rsidRPr="008F328C">
        <w:rPr>
          <w:rFonts w:eastAsia="Times New Roman"/>
          <w:b/>
          <w:bCs/>
          <w:lang w:val="pl-PL"/>
        </w:rPr>
        <w:t xml:space="preserve">Kartę </w:t>
      </w:r>
      <w:r w:rsidR="00096EAD" w:rsidRPr="008F328C">
        <w:rPr>
          <w:rFonts w:eastAsia="Times New Roman"/>
          <w:b/>
          <w:bCs/>
          <w:lang w:val="pl-PL"/>
        </w:rPr>
        <w:t xml:space="preserve">Przypominającą </w:t>
      </w:r>
      <w:r w:rsidRPr="008F328C">
        <w:rPr>
          <w:rFonts w:eastAsia="Times New Roman"/>
          <w:b/>
          <w:bCs/>
          <w:lang w:val="pl-PL"/>
        </w:rPr>
        <w:t xml:space="preserve">dla </w:t>
      </w:r>
      <w:r w:rsidR="00096EAD" w:rsidRPr="008F328C">
        <w:rPr>
          <w:rFonts w:eastAsia="Times New Roman"/>
          <w:b/>
          <w:bCs/>
          <w:lang w:val="pl-PL"/>
        </w:rPr>
        <w:t xml:space="preserve">Pacjenta </w:t>
      </w:r>
      <w:r w:rsidRPr="008F328C">
        <w:rPr>
          <w:rFonts w:eastAsia="Times New Roman"/>
          <w:lang w:val="pl-PL"/>
        </w:rPr>
        <w:t>należy zachować podczas leczenia i przez 4 miesiące po przyjęciu ostatniego wstrzyknięcia leku Yuflyma.</w:t>
      </w:r>
    </w:p>
    <w:p w14:paraId="3091A127" w14:textId="77777777" w:rsidR="002E5800" w:rsidRPr="008F328C" w:rsidRDefault="000E0B7C">
      <w:pPr>
        <w:pStyle w:val="a3"/>
        <w:numPr>
          <w:ilvl w:val="0"/>
          <w:numId w:val="5"/>
        </w:numPr>
        <w:ind w:left="660" w:hanging="660"/>
        <w:rPr>
          <w:lang w:val="pl-PL"/>
        </w:rPr>
      </w:pPr>
      <w:r w:rsidRPr="008F328C">
        <w:rPr>
          <w:rFonts w:eastAsia="Times New Roman"/>
          <w:lang w:val="pl-PL"/>
        </w:rPr>
        <w:t>W razie jakichkolwiek wątpliwości należy zwrócić się do lekarza lub farmaceuty.</w:t>
      </w:r>
    </w:p>
    <w:p w14:paraId="5DE02BB5" w14:textId="77777777" w:rsidR="002E5800" w:rsidRPr="008F328C" w:rsidRDefault="000E0B7C">
      <w:pPr>
        <w:pStyle w:val="a3"/>
        <w:numPr>
          <w:ilvl w:val="0"/>
          <w:numId w:val="5"/>
        </w:numPr>
        <w:ind w:left="660" w:hanging="660"/>
        <w:rPr>
          <w:lang w:val="pl-PL"/>
        </w:rPr>
      </w:pPr>
      <w:r w:rsidRPr="008F328C">
        <w:rPr>
          <w:rFonts w:eastAsia="Times New Roman"/>
          <w:lang w:val="pl-PL"/>
        </w:rPr>
        <w:t>Lek ten przepisano ściśle określonej osobie. Nie należy go przekazywać innym. Lek może zaszkodzić innej osobie, nawet jeśli objawy jej choroby są takie same.</w:t>
      </w:r>
    </w:p>
    <w:p w14:paraId="7BF9B716" w14:textId="77777777" w:rsidR="002E5800" w:rsidRPr="008F328C" w:rsidRDefault="000E0B7C">
      <w:pPr>
        <w:pStyle w:val="a3"/>
        <w:numPr>
          <w:ilvl w:val="0"/>
          <w:numId w:val="5"/>
        </w:numPr>
        <w:ind w:left="660" w:hanging="660"/>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Patrz punkt 4.</w:t>
      </w:r>
    </w:p>
    <w:p w14:paraId="35F1BC42" w14:textId="77777777" w:rsidR="002E5800" w:rsidRPr="008F328C" w:rsidRDefault="002E5800">
      <w:pPr>
        <w:pStyle w:val="a3"/>
        <w:rPr>
          <w:lang w:val="pl-PL"/>
        </w:rPr>
      </w:pPr>
    </w:p>
    <w:p w14:paraId="15CFEDCC" w14:textId="77777777" w:rsidR="002E5800" w:rsidRPr="008F328C" w:rsidRDefault="000E0B7C">
      <w:pPr>
        <w:pStyle w:val="a3"/>
        <w:rPr>
          <w:b/>
          <w:lang w:val="pl-PL"/>
        </w:rPr>
      </w:pPr>
      <w:r w:rsidRPr="008F328C">
        <w:rPr>
          <w:rFonts w:eastAsia="Times New Roman"/>
          <w:b/>
          <w:bCs/>
          <w:lang w:val="pl-PL"/>
        </w:rPr>
        <w:t>Spis treści ulotki</w:t>
      </w:r>
    </w:p>
    <w:p w14:paraId="64E258F7" w14:textId="77777777" w:rsidR="002E5800" w:rsidRPr="008F328C" w:rsidRDefault="000E0B7C">
      <w:pPr>
        <w:pStyle w:val="a3"/>
        <w:numPr>
          <w:ilvl w:val="0"/>
          <w:numId w:val="37"/>
        </w:numPr>
        <w:ind w:hanging="760"/>
        <w:rPr>
          <w:lang w:val="pl-PL"/>
        </w:rPr>
      </w:pPr>
      <w:r w:rsidRPr="008F328C">
        <w:rPr>
          <w:rFonts w:eastAsia="Times New Roman"/>
          <w:lang w:val="pl-PL"/>
        </w:rPr>
        <w:t>Co to jest lek Yuflyma i w jakim celu się go stosuje</w:t>
      </w:r>
    </w:p>
    <w:p w14:paraId="5A7BDBDD" w14:textId="77777777" w:rsidR="002E5800" w:rsidRPr="008F328C" w:rsidRDefault="000E0B7C">
      <w:pPr>
        <w:pStyle w:val="a3"/>
        <w:numPr>
          <w:ilvl w:val="0"/>
          <w:numId w:val="37"/>
        </w:numPr>
        <w:ind w:hanging="760"/>
        <w:rPr>
          <w:lang w:val="pl-PL"/>
        </w:rPr>
      </w:pPr>
      <w:r w:rsidRPr="008F328C">
        <w:rPr>
          <w:rFonts w:eastAsia="Times New Roman"/>
          <w:lang w:val="pl-PL"/>
        </w:rPr>
        <w:t>Informacje ważne przed przyjęciem leku Yuflyma</w:t>
      </w:r>
    </w:p>
    <w:p w14:paraId="5CAE88D9" w14:textId="77777777" w:rsidR="002E5800" w:rsidRPr="008F328C" w:rsidRDefault="000E0B7C">
      <w:pPr>
        <w:pStyle w:val="a3"/>
        <w:numPr>
          <w:ilvl w:val="0"/>
          <w:numId w:val="37"/>
        </w:numPr>
        <w:ind w:hanging="760"/>
        <w:rPr>
          <w:lang w:val="pl-PL"/>
        </w:rPr>
      </w:pPr>
      <w:r w:rsidRPr="008F328C">
        <w:rPr>
          <w:rFonts w:eastAsia="Times New Roman"/>
          <w:lang w:val="pl-PL"/>
        </w:rPr>
        <w:t>Jak stosować lek Yuflyma</w:t>
      </w:r>
    </w:p>
    <w:p w14:paraId="2EC4C553" w14:textId="77777777" w:rsidR="002E5800" w:rsidRPr="008F328C" w:rsidRDefault="000E0B7C">
      <w:pPr>
        <w:pStyle w:val="a3"/>
        <w:numPr>
          <w:ilvl w:val="0"/>
          <w:numId w:val="37"/>
        </w:numPr>
        <w:ind w:hanging="760"/>
        <w:rPr>
          <w:lang w:val="pl-PL"/>
        </w:rPr>
      </w:pPr>
      <w:r w:rsidRPr="008F328C">
        <w:rPr>
          <w:rFonts w:eastAsia="Times New Roman"/>
          <w:lang w:val="pl-PL"/>
        </w:rPr>
        <w:t>Możliwe działania niepożądane</w:t>
      </w:r>
    </w:p>
    <w:p w14:paraId="4DD2C87C" w14:textId="77777777" w:rsidR="002E5800" w:rsidRPr="008F328C" w:rsidRDefault="000E0B7C">
      <w:pPr>
        <w:pStyle w:val="a3"/>
        <w:numPr>
          <w:ilvl w:val="0"/>
          <w:numId w:val="37"/>
        </w:numPr>
        <w:ind w:hanging="760"/>
        <w:rPr>
          <w:lang w:val="pl-PL"/>
        </w:rPr>
      </w:pPr>
      <w:r w:rsidRPr="008F328C">
        <w:rPr>
          <w:rFonts w:eastAsia="Times New Roman"/>
          <w:lang w:val="pl-PL"/>
        </w:rPr>
        <w:t>Jak przechowywać lek Yuflyma</w:t>
      </w:r>
    </w:p>
    <w:p w14:paraId="2A6213E4" w14:textId="77777777" w:rsidR="002E5800" w:rsidRPr="008F328C" w:rsidRDefault="000E0B7C">
      <w:pPr>
        <w:pStyle w:val="a3"/>
        <w:numPr>
          <w:ilvl w:val="0"/>
          <w:numId w:val="37"/>
        </w:numPr>
        <w:ind w:hanging="760"/>
        <w:rPr>
          <w:lang w:val="pl-PL"/>
        </w:rPr>
      </w:pPr>
      <w:r w:rsidRPr="008F328C">
        <w:rPr>
          <w:rFonts w:eastAsia="Times New Roman"/>
          <w:lang w:val="pl-PL"/>
        </w:rPr>
        <w:t>Zawartość opakowania i inne informacje</w:t>
      </w:r>
    </w:p>
    <w:p w14:paraId="0FA1D950" w14:textId="77777777" w:rsidR="002E5800" w:rsidRPr="008F328C" w:rsidRDefault="000E0B7C">
      <w:pPr>
        <w:pStyle w:val="a3"/>
        <w:numPr>
          <w:ilvl w:val="0"/>
          <w:numId w:val="37"/>
        </w:numPr>
        <w:ind w:hanging="760"/>
        <w:rPr>
          <w:lang w:val="pl-PL"/>
        </w:rPr>
      </w:pPr>
      <w:r w:rsidRPr="008F328C">
        <w:rPr>
          <w:rFonts w:eastAsia="Times New Roman"/>
          <w:lang w:val="pl-PL"/>
        </w:rPr>
        <w:t>Instrukcja stosowania</w:t>
      </w:r>
    </w:p>
    <w:p w14:paraId="49257DEC" w14:textId="55FE073E" w:rsidR="002E5800" w:rsidRPr="008F328C" w:rsidRDefault="002E5800">
      <w:pPr>
        <w:spacing w:line="200" w:lineRule="exact"/>
        <w:rPr>
          <w:rFonts w:ascii="Times New Roman" w:hAnsi="Times New Roman" w:cs="Times New Roman"/>
          <w:sz w:val="20"/>
          <w:szCs w:val="20"/>
          <w:lang w:val="pl-PL"/>
        </w:rPr>
      </w:pPr>
    </w:p>
    <w:p w14:paraId="0D68B4C3" w14:textId="77777777" w:rsidR="00CC4159" w:rsidRPr="008F328C" w:rsidRDefault="00CC4159">
      <w:pPr>
        <w:spacing w:line="200" w:lineRule="exact"/>
        <w:rPr>
          <w:rFonts w:ascii="Times New Roman" w:hAnsi="Times New Roman" w:cs="Times New Roman"/>
          <w:sz w:val="20"/>
          <w:szCs w:val="20"/>
          <w:lang w:val="pl-PL"/>
        </w:rPr>
      </w:pPr>
    </w:p>
    <w:p w14:paraId="3E5CAC43" w14:textId="77777777" w:rsidR="002E5800" w:rsidRPr="008F328C" w:rsidRDefault="000E0B7C">
      <w:pPr>
        <w:pStyle w:val="a4"/>
        <w:numPr>
          <w:ilvl w:val="0"/>
          <w:numId w:val="38"/>
        </w:numPr>
        <w:spacing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Co to jest lek Yuflyma i w jakim celu się go stosuje</w:t>
      </w:r>
    </w:p>
    <w:p w14:paraId="044964E7" w14:textId="77777777" w:rsidR="002E5800" w:rsidRPr="008F328C" w:rsidRDefault="002E5800">
      <w:pPr>
        <w:spacing w:line="240" w:lineRule="exact"/>
        <w:rPr>
          <w:rFonts w:ascii="Times New Roman" w:hAnsi="Times New Roman" w:cs="Times New Roman"/>
          <w:b/>
          <w:lang w:val="pl-PL"/>
        </w:rPr>
      </w:pPr>
    </w:p>
    <w:p w14:paraId="0EB0AE3D" w14:textId="77777777" w:rsidR="002E5800" w:rsidRPr="008F328C" w:rsidRDefault="000E0B7C">
      <w:pPr>
        <w:pStyle w:val="a3"/>
        <w:rPr>
          <w:lang w:val="pl-PL"/>
        </w:rPr>
      </w:pPr>
      <w:r w:rsidRPr="008F328C">
        <w:rPr>
          <w:rFonts w:eastAsia="Times New Roman"/>
          <w:lang w:val="pl-PL"/>
        </w:rPr>
        <w:t>Lek Yuflyma zawiera substancję czynną adalimumab, lek działający na układ odpornościowy (obronny) organizmu.</w:t>
      </w:r>
    </w:p>
    <w:p w14:paraId="2B19161B" w14:textId="77777777" w:rsidR="002E5800" w:rsidRPr="008F328C" w:rsidRDefault="002E5800">
      <w:pPr>
        <w:pStyle w:val="a3"/>
        <w:rPr>
          <w:lang w:val="pl-PL"/>
        </w:rPr>
      </w:pPr>
    </w:p>
    <w:p w14:paraId="7C71C945" w14:textId="77777777" w:rsidR="002E5800" w:rsidRPr="008F328C" w:rsidRDefault="000E0B7C">
      <w:pPr>
        <w:pStyle w:val="a3"/>
        <w:rPr>
          <w:lang w:val="pl-PL"/>
        </w:rPr>
      </w:pPr>
      <w:r w:rsidRPr="008F328C">
        <w:rPr>
          <w:rFonts w:eastAsia="Times New Roman"/>
          <w:lang w:val="pl-PL"/>
        </w:rPr>
        <w:t>Lek Yuflyma jest wskazany w leczeniu następujących chorób zapalnych:</w:t>
      </w:r>
    </w:p>
    <w:p w14:paraId="34435680" w14:textId="77777777" w:rsidR="002E5800" w:rsidRPr="008F328C" w:rsidRDefault="000E0B7C">
      <w:pPr>
        <w:pStyle w:val="a3"/>
        <w:numPr>
          <w:ilvl w:val="0"/>
          <w:numId w:val="5"/>
        </w:numPr>
        <w:ind w:left="660" w:hanging="660"/>
        <w:rPr>
          <w:lang w:val="pl-PL"/>
        </w:rPr>
      </w:pPr>
      <w:r w:rsidRPr="008F328C">
        <w:rPr>
          <w:rFonts w:eastAsia="Times New Roman"/>
          <w:lang w:val="pl-PL"/>
        </w:rPr>
        <w:t>reumatoidalnego zapalenia stawów</w:t>
      </w:r>
    </w:p>
    <w:p w14:paraId="165A3ED9" w14:textId="77777777" w:rsidR="002E5800" w:rsidRPr="008F328C" w:rsidRDefault="000E0B7C">
      <w:pPr>
        <w:pStyle w:val="a3"/>
        <w:numPr>
          <w:ilvl w:val="0"/>
          <w:numId w:val="5"/>
        </w:numPr>
        <w:ind w:left="660" w:hanging="660"/>
        <w:rPr>
          <w:lang w:val="pl-PL"/>
        </w:rPr>
      </w:pPr>
      <w:r w:rsidRPr="008F328C">
        <w:rPr>
          <w:rFonts w:eastAsia="Times New Roman"/>
          <w:lang w:val="pl-PL"/>
        </w:rPr>
        <w:t>wielostawowego młodzieńczego idiopatycznego zapalenia stawów</w:t>
      </w:r>
    </w:p>
    <w:p w14:paraId="1F29D636" w14:textId="77777777" w:rsidR="002E5800" w:rsidRPr="008F328C" w:rsidRDefault="000E0B7C">
      <w:pPr>
        <w:pStyle w:val="a3"/>
        <w:numPr>
          <w:ilvl w:val="0"/>
          <w:numId w:val="5"/>
        </w:numPr>
        <w:ind w:left="660" w:hanging="660"/>
        <w:rPr>
          <w:lang w:val="pl-PL"/>
        </w:rPr>
      </w:pPr>
      <w:r w:rsidRPr="008F328C">
        <w:rPr>
          <w:rFonts w:eastAsia="Times New Roman"/>
          <w:lang w:val="pl-PL"/>
        </w:rPr>
        <w:t>zapalenia stawów z towarzyszącym zapaleniem przyczepów ścięgnistych</w:t>
      </w:r>
    </w:p>
    <w:p w14:paraId="230BA51E" w14:textId="77777777" w:rsidR="002E5800" w:rsidRPr="008F328C" w:rsidRDefault="000E0B7C">
      <w:pPr>
        <w:pStyle w:val="a3"/>
        <w:numPr>
          <w:ilvl w:val="0"/>
          <w:numId w:val="5"/>
        </w:numPr>
        <w:ind w:left="660" w:hanging="660"/>
        <w:rPr>
          <w:lang w:val="pl-PL"/>
        </w:rPr>
      </w:pPr>
      <w:r w:rsidRPr="008F328C">
        <w:rPr>
          <w:rFonts w:eastAsia="Times New Roman"/>
          <w:lang w:val="pl-PL"/>
        </w:rPr>
        <w:t>zesztywniającego zapalenia stawów kręgosłupa</w:t>
      </w:r>
    </w:p>
    <w:p w14:paraId="10CA3F07" w14:textId="77777777" w:rsidR="002E5800" w:rsidRPr="008F328C" w:rsidRDefault="000E0B7C">
      <w:pPr>
        <w:pStyle w:val="a3"/>
        <w:numPr>
          <w:ilvl w:val="0"/>
          <w:numId w:val="5"/>
        </w:numPr>
        <w:ind w:left="660" w:hanging="660"/>
        <w:rPr>
          <w:lang w:val="pl-PL"/>
        </w:rPr>
      </w:pPr>
      <w:r w:rsidRPr="008F328C">
        <w:rPr>
          <w:rFonts w:eastAsia="Times New Roman"/>
          <w:lang w:val="pl-PL"/>
        </w:rPr>
        <w:t>osiowej spondyloartropatii bez zmian radiograficznych charakterystycznych dla zesztywniającego zapalenia stawów kręgosłupa</w:t>
      </w:r>
    </w:p>
    <w:p w14:paraId="39E09BD4" w14:textId="77777777" w:rsidR="002E5800" w:rsidRPr="008F328C" w:rsidRDefault="000E0B7C">
      <w:pPr>
        <w:pStyle w:val="a3"/>
        <w:numPr>
          <w:ilvl w:val="0"/>
          <w:numId w:val="5"/>
        </w:numPr>
        <w:ind w:left="660" w:hanging="660"/>
        <w:rPr>
          <w:lang w:val="pl-PL"/>
        </w:rPr>
      </w:pPr>
      <w:r w:rsidRPr="008F328C">
        <w:rPr>
          <w:rFonts w:eastAsia="Times New Roman"/>
          <w:lang w:val="pl-PL"/>
        </w:rPr>
        <w:t>łuszczycowego zapalenia stawów</w:t>
      </w:r>
    </w:p>
    <w:p w14:paraId="78C6D4E6" w14:textId="77777777" w:rsidR="002E5800" w:rsidRPr="008F328C" w:rsidRDefault="000E0B7C">
      <w:pPr>
        <w:pStyle w:val="a3"/>
        <w:numPr>
          <w:ilvl w:val="0"/>
          <w:numId w:val="5"/>
        </w:numPr>
        <w:ind w:left="660" w:hanging="660"/>
        <w:rPr>
          <w:lang w:val="pl-PL"/>
        </w:rPr>
      </w:pPr>
      <w:r w:rsidRPr="008F328C">
        <w:rPr>
          <w:rFonts w:eastAsia="Times New Roman"/>
          <w:lang w:val="pl-PL"/>
        </w:rPr>
        <w:t>łuszczycy zwyczajnej (plackowatej)</w:t>
      </w:r>
    </w:p>
    <w:p w14:paraId="7EE2874B" w14:textId="77777777" w:rsidR="002E5800" w:rsidRPr="008F328C" w:rsidRDefault="000E0B7C">
      <w:pPr>
        <w:pStyle w:val="a3"/>
        <w:numPr>
          <w:ilvl w:val="0"/>
          <w:numId w:val="5"/>
        </w:numPr>
        <w:ind w:left="660" w:hanging="660"/>
        <w:rPr>
          <w:lang w:val="pl-PL"/>
        </w:rPr>
      </w:pPr>
      <w:r w:rsidRPr="008F328C">
        <w:rPr>
          <w:rFonts w:eastAsia="Times New Roman"/>
          <w:lang w:val="pl-PL"/>
        </w:rPr>
        <w:t>ropnego zapalenia apokrynowych gruczołów potowych</w:t>
      </w:r>
    </w:p>
    <w:p w14:paraId="536D3F4E" w14:textId="77777777" w:rsidR="002E5800" w:rsidRPr="008F328C" w:rsidRDefault="000E0B7C">
      <w:pPr>
        <w:pStyle w:val="a3"/>
        <w:numPr>
          <w:ilvl w:val="0"/>
          <w:numId w:val="5"/>
        </w:numPr>
        <w:ind w:left="660" w:hanging="660"/>
        <w:rPr>
          <w:lang w:val="pl-PL"/>
        </w:rPr>
      </w:pPr>
      <w:r w:rsidRPr="008F328C">
        <w:rPr>
          <w:rFonts w:eastAsia="Times New Roman"/>
          <w:lang w:val="pl-PL"/>
        </w:rPr>
        <w:t>choroby Leśniowskiego-Crohna</w:t>
      </w:r>
    </w:p>
    <w:p w14:paraId="2122854E" w14:textId="77777777" w:rsidR="002E5800" w:rsidRPr="008F328C" w:rsidRDefault="000E0B7C">
      <w:pPr>
        <w:pStyle w:val="a3"/>
        <w:numPr>
          <w:ilvl w:val="0"/>
          <w:numId w:val="5"/>
        </w:numPr>
        <w:ind w:left="660" w:hanging="660"/>
        <w:rPr>
          <w:lang w:val="pl-PL"/>
        </w:rPr>
      </w:pPr>
      <w:r w:rsidRPr="008F328C">
        <w:rPr>
          <w:rFonts w:eastAsia="Times New Roman"/>
          <w:lang w:val="pl-PL"/>
        </w:rPr>
        <w:t>wrzodziejącego zapalenia jelita grubego</w:t>
      </w:r>
    </w:p>
    <w:p w14:paraId="4460BF60" w14:textId="77777777" w:rsidR="002E5800" w:rsidRPr="008F328C" w:rsidRDefault="000E0B7C">
      <w:pPr>
        <w:pStyle w:val="a3"/>
        <w:numPr>
          <w:ilvl w:val="0"/>
          <w:numId w:val="5"/>
        </w:numPr>
        <w:ind w:left="660" w:hanging="660"/>
        <w:rPr>
          <w:lang w:val="pl-PL"/>
        </w:rPr>
      </w:pPr>
      <w:r w:rsidRPr="008F328C">
        <w:rPr>
          <w:rFonts w:eastAsia="Times New Roman"/>
          <w:lang w:val="pl-PL"/>
        </w:rPr>
        <w:t>nieinfekcyjnego zapalenia błony naczyniowej oka</w:t>
      </w:r>
    </w:p>
    <w:p w14:paraId="4E9AAF00" w14:textId="77777777" w:rsidR="002E5800" w:rsidRPr="008F328C" w:rsidRDefault="002E5800">
      <w:pPr>
        <w:spacing w:before="10" w:line="240" w:lineRule="exact"/>
        <w:rPr>
          <w:rFonts w:ascii="Times New Roman" w:hAnsi="Times New Roman" w:cs="Times New Roman"/>
          <w:sz w:val="24"/>
          <w:szCs w:val="24"/>
          <w:lang w:val="pl-PL"/>
        </w:rPr>
      </w:pPr>
    </w:p>
    <w:p w14:paraId="1F3866C6" w14:textId="77777777" w:rsidR="002E5800" w:rsidRPr="008F328C" w:rsidRDefault="000E0B7C">
      <w:pPr>
        <w:pStyle w:val="a3"/>
        <w:rPr>
          <w:lang w:val="pl-PL"/>
        </w:rPr>
      </w:pPr>
      <w:r w:rsidRPr="008F328C">
        <w:rPr>
          <w:rFonts w:eastAsia="Times New Roman"/>
          <w:lang w:val="pl-PL"/>
        </w:rPr>
        <w:t>Substancja czynna leku Yuflyma, adalimumab, jest ludzkim przeciwciałem monoklonalnym. Przeciwciała monoklonalne są białkami, które wiążą się ze swoistym celem.</w:t>
      </w:r>
    </w:p>
    <w:p w14:paraId="51CB7040" w14:textId="77777777" w:rsidR="002E5800" w:rsidRPr="008F328C" w:rsidRDefault="002E5800">
      <w:pPr>
        <w:spacing w:before="16" w:line="240" w:lineRule="exact"/>
        <w:rPr>
          <w:rFonts w:ascii="Times New Roman" w:hAnsi="Times New Roman" w:cs="Times New Roman"/>
          <w:sz w:val="24"/>
          <w:szCs w:val="24"/>
          <w:lang w:val="pl-PL"/>
        </w:rPr>
      </w:pPr>
    </w:p>
    <w:p w14:paraId="049E3B8B" w14:textId="77777777" w:rsidR="002E5800" w:rsidRPr="008F328C" w:rsidRDefault="000E0B7C">
      <w:pPr>
        <w:pStyle w:val="a3"/>
        <w:rPr>
          <w:lang w:val="pl-PL"/>
        </w:rPr>
      </w:pPr>
      <w:r w:rsidRPr="008F328C">
        <w:rPr>
          <w:rFonts w:eastAsia="Times New Roman"/>
          <w:lang w:val="pl-PL"/>
        </w:rPr>
        <w:t>Celem adalimumabu jest białko nazywane czynnikiem martwicy nowotworów (TNFα), które uczestniczy w układzie immunologicznym (obronnym) i występuje na zwiększonym poziomie w chorobach zapalnych wymienionych powyżej. Dzięki połączeniu z TNFα, Yuflyma zmniejsza proces zapalny w tych chorobach.</w:t>
      </w:r>
    </w:p>
    <w:p w14:paraId="455EF360" w14:textId="77777777" w:rsidR="002E5800" w:rsidRPr="008F328C" w:rsidRDefault="002E5800">
      <w:pPr>
        <w:pStyle w:val="a3"/>
        <w:rPr>
          <w:lang w:val="pl-PL"/>
        </w:rPr>
      </w:pPr>
    </w:p>
    <w:p w14:paraId="66AB8656" w14:textId="77777777" w:rsidR="002E5800" w:rsidRPr="008F328C" w:rsidRDefault="000E0B7C">
      <w:pPr>
        <w:pStyle w:val="a3"/>
        <w:rPr>
          <w:b/>
          <w:lang w:val="pl-PL"/>
        </w:rPr>
      </w:pPr>
      <w:r w:rsidRPr="008F328C">
        <w:rPr>
          <w:rFonts w:eastAsia="Times New Roman"/>
          <w:b/>
          <w:bCs/>
          <w:lang w:val="pl-PL"/>
        </w:rPr>
        <w:t>Reumatoidalne zapalenie stawów (RZS)</w:t>
      </w:r>
    </w:p>
    <w:p w14:paraId="5D4D70A0" w14:textId="77777777" w:rsidR="002E5800" w:rsidRPr="008F328C" w:rsidRDefault="002E5800">
      <w:pPr>
        <w:pStyle w:val="a3"/>
        <w:rPr>
          <w:u w:val="single"/>
          <w:lang w:val="pl-PL"/>
        </w:rPr>
      </w:pPr>
    </w:p>
    <w:p w14:paraId="7EE68CBA" w14:textId="77777777" w:rsidR="002E5800" w:rsidRPr="008F328C" w:rsidRDefault="000E0B7C">
      <w:pPr>
        <w:pStyle w:val="a3"/>
        <w:rPr>
          <w:lang w:val="pl-PL"/>
        </w:rPr>
      </w:pPr>
      <w:r w:rsidRPr="008F328C">
        <w:rPr>
          <w:rFonts w:eastAsia="Times New Roman"/>
          <w:lang w:val="pl-PL"/>
        </w:rPr>
        <w:t>Reumatoidalne zapalenie stawów jest chorobą zapalną stawów.</w:t>
      </w:r>
    </w:p>
    <w:p w14:paraId="6DB1BD45" w14:textId="77777777" w:rsidR="002E5800" w:rsidRPr="008F328C" w:rsidRDefault="002E5800">
      <w:pPr>
        <w:spacing w:before="11" w:line="240" w:lineRule="exact"/>
        <w:rPr>
          <w:rFonts w:ascii="Times New Roman" w:hAnsi="Times New Roman" w:cs="Times New Roman"/>
          <w:sz w:val="24"/>
          <w:szCs w:val="24"/>
          <w:lang w:val="pl-PL"/>
        </w:rPr>
      </w:pPr>
    </w:p>
    <w:p w14:paraId="56B6EA17" w14:textId="77777777" w:rsidR="002E5800" w:rsidRPr="008F328C" w:rsidRDefault="000E0B7C">
      <w:pPr>
        <w:pStyle w:val="a3"/>
        <w:rPr>
          <w:lang w:val="pl-PL"/>
        </w:rPr>
      </w:pPr>
      <w:r w:rsidRPr="008F328C">
        <w:rPr>
          <w:rFonts w:eastAsia="Times New Roman"/>
          <w:lang w:val="pl-PL"/>
        </w:rPr>
        <w:t>Lek Yuflyma jest stosowany w leczeniu reumatoidalnego zapalenia stawów o nasileniu umiarkowanym do ciężkiego u dorosłych. Pacjent może najpierw otrzymywać inne leki modyfikujące przebieg choroby, takie jak metotreksat. W razie braku zadowalającej odpowiedzi na te leki, pacjent otrzyma lek Yuflyma.</w:t>
      </w:r>
    </w:p>
    <w:p w14:paraId="423F4F18" w14:textId="77777777" w:rsidR="002E5800" w:rsidRPr="008F328C" w:rsidRDefault="002E5800">
      <w:pPr>
        <w:spacing w:before="17" w:line="240" w:lineRule="exact"/>
        <w:rPr>
          <w:rFonts w:ascii="Times New Roman" w:hAnsi="Times New Roman" w:cs="Times New Roman"/>
          <w:sz w:val="24"/>
          <w:szCs w:val="24"/>
          <w:lang w:val="pl-PL"/>
        </w:rPr>
      </w:pPr>
    </w:p>
    <w:p w14:paraId="11CA244A" w14:textId="77777777" w:rsidR="002E5800" w:rsidRPr="008F328C" w:rsidRDefault="000E0B7C">
      <w:pPr>
        <w:pStyle w:val="a3"/>
        <w:rPr>
          <w:lang w:val="pl-PL"/>
        </w:rPr>
      </w:pPr>
      <w:r w:rsidRPr="008F328C">
        <w:rPr>
          <w:rFonts w:eastAsia="Times New Roman"/>
          <w:lang w:val="pl-PL"/>
        </w:rPr>
        <w:t>Lek Yuflyma można również stosować w leczeniu ciężkiego, czynnego i postępującego reumatoidalnego zapalenia stawów bez uprzedniego leczenia metotreksatem.</w:t>
      </w:r>
    </w:p>
    <w:p w14:paraId="12DED2D3" w14:textId="77777777" w:rsidR="002E5800" w:rsidRPr="008F328C" w:rsidRDefault="002E5800">
      <w:pPr>
        <w:spacing w:before="11" w:line="240" w:lineRule="exact"/>
        <w:rPr>
          <w:rFonts w:ascii="Times New Roman" w:hAnsi="Times New Roman" w:cs="Times New Roman"/>
          <w:sz w:val="24"/>
          <w:szCs w:val="24"/>
          <w:lang w:val="pl-PL"/>
        </w:rPr>
      </w:pPr>
    </w:p>
    <w:p w14:paraId="094A9503" w14:textId="77777777" w:rsidR="002E5800" w:rsidRPr="008F328C" w:rsidRDefault="000E0B7C">
      <w:pPr>
        <w:pStyle w:val="a3"/>
        <w:rPr>
          <w:lang w:val="pl-PL"/>
        </w:rPr>
      </w:pPr>
      <w:r w:rsidRPr="008F328C">
        <w:rPr>
          <w:rFonts w:eastAsia="Times New Roman"/>
          <w:lang w:val="pl-PL"/>
        </w:rPr>
        <w:t>Lek Yuflyma może spowalniać postęp uszkodzenia stawów spowodowany przez chorobę zapalną i pomóc zwiększyć ruchomość stawów.</w:t>
      </w:r>
    </w:p>
    <w:p w14:paraId="0D435BF3" w14:textId="77777777" w:rsidR="002E5800" w:rsidRPr="008F328C" w:rsidRDefault="002E5800">
      <w:pPr>
        <w:spacing w:before="10" w:line="240" w:lineRule="exact"/>
        <w:rPr>
          <w:rFonts w:ascii="Times New Roman" w:hAnsi="Times New Roman" w:cs="Times New Roman"/>
          <w:sz w:val="24"/>
          <w:szCs w:val="24"/>
          <w:lang w:val="pl-PL"/>
        </w:rPr>
      </w:pPr>
    </w:p>
    <w:p w14:paraId="6C2B342B" w14:textId="77777777" w:rsidR="002E5800" w:rsidRPr="008F328C" w:rsidRDefault="000E0B7C">
      <w:pPr>
        <w:pStyle w:val="a3"/>
        <w:rPr>
          <w:lang w:val="pl-PL"/>
        </w:rPr>
      </w:pPr>
      <w:r w:rsidRPr="008F328C">
        <w:rPr>
          <w:rFonts w:eastAsia="Times New Roman"/>
          <w:lang w:val="pl-PL"/>
        </w:rPr>
        <w:t>Lekarz zdecyduje, czy lek Yuflyma należy stosować z metotreksatem czy bez metotreksatu.</w:t>
      </w:r>
    </w:p>
    <w:p w14:paraId="507D4CFB" w14:textId="77777777" w:rsidR="002E5800" w:rsidRPr="008F328C" w:rsidRDefault="002E5800">
      <w:pPr>
        <w:spacing w:before="18" w:line="240" w:lineRule="exact"/>
        <w:rPr>
          <w:rFonts w:ascii="Times New Roman" w:hAnsi="Times New Roman" w:cs="Times New Roman"/>
          <w:sz w:val="24"/>
          <w:szCs w:val="24"/>
          <w:lang w:val="pl-PL"/>
        </w:rPr>
      </w:pPr>
    </w:p>
    <w:p w14:paraId="71FF20A8" w14:textId="77777777" w:rsidR="002E5800" w:rsidRPr="008F328C" w:rsidRDefault="000E0B7C">
      <w:pPr>
        <w:pStyle w:val="a3"/>
        <w:rPr>
          <w:b/>
          <w:lang w:val="pl-PL"/>
        </w:rPr>
      </w:pPr>
      <w:r w:rsidRPr="008F328C">
        <w:rPr>
          <w:rFonts w:eastAsia="Times New Roman"/>
          <w:b/>
          <w:bCs/>
          <w:lang w:val="pl-PL"/>
        </w:rPr>
        <w:t>Wielostawowe młodzieńcze idiopatyczne zapalenie stawów</w:t>
      </w:r>
    </w:p>
    <w:p w14:paraId="6394C750" w14:textId="77777777" w:rsidR="002E5800" w:rsidRPr="008F328C" w:rsidRDefault="002E5800">
      <w:pPr>
        <w:spacing w:before="9" w:line="240" w:lineRule="exact"/>
        <w:rPr>
          <w:rFonts w:ascii="Times New Roman" w:hAnsi="Times New Roman" w:cs="Times New Roman"/>
          <w:sz w:val="24"/>
          <w:szCs w:val="24"/>
          <w:lang w:val="pl-PL"/>
        </w:rPr>
      </w:pPr>
    </w:p>
    <w:p w14:paraId="5DAF32AF" w14:textId="77777777" w:rsidR="002E5800" w:rsidRPr="008F328C" w:rsidRDefault="000E0B7C">
      <w:pPr>
        <w:pStyle w:val="a3"/>
        <w:rPr>
          <w:lang w:val="pl-PL"/>
        </w:rPr>
      </w:pPr>
      <w:r w:rsidRPr="008F328C">
        <w:rPr>
          <w:rFonts w:eastAsia="Times New Roman"/>
          <w:lang w:val="pl-PL"/>
        </w:rPr>
        <w:t>Wielostawowe młodzieńcze idiopatyczne zapalenie stawów jest chorobą zapalną stawów.</w:t>
      </w:r>
    </w:p>
    <w:p w14:paraId="25384F9F" w14:textId="77777777" w:rsidR="002E5800" w:rsidRPr="008F328C" w:rsidRDefault="002E5800">
      <w:pPr>
        <w:spacing w:before="13" w:line="240" w:lineRule="exact"/>
        <w:rPr>
          <w:rFonts w:ascii="Times New Roman" w:hAnsi="Times New Roman" w:cs="Times New Roman"/>
          <w:sz w:val="24"/>
          <w:szCs w:val="24"/>
          <w:lang w:val="pl-PL"/>
        </w:rPr>
      </w:pPr>
    </w:p>
    <w:p w14:paraId="7C535DC0" w14:textId="77777777" w:rsidR="002E5800" w:rsidRPr="008F328C" w:rsidRDefault="000E0B7C">
      <w:pPr>
        <w:pStyle w:val="a3"/>
        <w:rPr>
          <w:lang w:val="pl-PL"/>
        </w:rPr>
      </w:pPr>
      <w:r w:rsidRPr="008F328C">
        <w:rPr>
          <w:rFonts w:eastAsia="Times New Roman"/>
          <w:lang w:val="pl-PL"/>
        </w:rPr>
        <w:t>Lek Yuflyma jest stosowany w leczeniu wielostawowego młodzieńczego idiopatycznego zapalenia stawów u pacjentów w wieku od 2 lat. Pacjent może najpierw otrzymywać inne leki modyfikujące przebieg choroby, takie jak metotreksat. W razie braku zadowalającej odpowiedzi na te leki, pacjent otrzyma lek Yuflyma.</w:t>
      </w:r>
    </w:p>
    <w:p w14:paraId="25408A89" w14:textId="77777777" w:rsidR="002E5800" w:rsidRPr="008F328C" w:rsidRDefault="002E5800">
      <w:pPr>
        <w:spacing w:before="13" w:line="240" w:lineRule="exact"/>
        <w:rPr>
          <w:rFonts w:ascii="Times New Roman" w:hAnsi="Times New Roman" w:cs="Times New Roman"/>
          <w:sz w:val="24"/>
          <w:szCs w:val="24"/>
          <w:lang w:val="pl-PL"/>
        </w:rPr>
      </w:pPr>
    </w:p>
    <w:p w14:paraId="380F5FF2" w14:textId="77777777" w:rsidR="002E5800" w:rsidRPr="008F328C" w:rsidRDefault="000E0B7C">
      <w:pPr>
        <w:pStyle w:val="a3"/>
        <w:rPr>
          <w:lang w:val="pl-PL"/>
        </w:rPr>
      </w:pPr>
      <w:r w:rsidRPr="008F328C">
        <w:rPr>
          <w:rFonts w:eastAsia="Times New Roman"/>
          <w:lang w:val="pl-PL"/>
        </w:rPr>
        <w:t>Lekarz zdecyduje, czy lek Yuflyma należy stosować z metotreksatem czy bez metotreksatu.</w:t>
      </w:r>
    </w:p>
    <w:p w14:paraId="40E086E7" w14:textId="77777777" w:rsidR="002E5800" w:rsidRPr="008F328C" w:rsidRDefault="002E5800">
      <w:pPr>
        <w:spacing w:before="16" w:line="240" w:lineRule="exact"/>
        <w:rPr>
          <w:rFonts w:ascii="Times New Roman" w:hAnsi="Times New Roman" w:cs="Times New Roman"/>
          <w:sz w:val="24"/>
          <w:szCs w:val="24"/>
          <w:lang w:val="pl-PL"/>
        </w:rPr>
      </w:pPr>
    </w:p>
    <w:p w14:paraId="00A42A68" w14:textId="77777777" w:rsidR="002E5800" w:rsidRPr="008F328C" w:rsidRDefault="000E0B7C">
      <w:pPr>
        <w:pStyle w:val="a3"/>
        <w:rPr>
          <w:b/>
          <w:lang w:val="pl-PL"/>
        </w:rPr>
      </w:pPr>
      <w:r w:rsidRPr="008F328C">
        <w:rPr>
          <w:rFonts w:eastAsia="Times New Roman"/>
          <w:b/>
          <w:bCs/>
          <w:i/>
          <w:iCs/>
          <w:lang w:val="pl-PL"/>
        </w:rPr>
        <w:t>Zapalenie stawów z towarzyszącym zapaleniem przyczepów ścięgnistych</w:t>
      </w:r>
    </w:p>
    <w:p w14:paraId="34FB8D22" w14:textId="77777777" w:rsidR="002E5800" w:rsidRPr="008F328C" w:rsidRDefault="002E5800">
      <w:pPr>
        <w:spacing w:before="9" w:line="240" w:lineRule="exact"/>
        <w:rPr>
          <w:rFonts w:ascii="Times New Roman" w:hAnsi="Times New Roman" w:cs="Times New Roman"/>
          <w:sz w:val="24"/>
          <w:szCs w:val="24"/>
          <w:lang w:val="pl-PL"/>
        </w:rPr>
      </w:pPr>
    </w:p>
    <w:p w14:paraId="3162116B" w14:textId="77777777" w:rsidR="002E5800" w:rsidRPr="008F328C" w:rsidRDefault="000E0B7C">
      <w:pPr>
        <w:pStyle w:val="a3"/>
        <w:rPr>
          <w:lang w:val="pl-PL"/>
        </w:rPr>
      </w:pPr>
      <w:r w:rsidRPr="008F328C">
        <w:rPr>
          <w:rFonts w:eastAsia="Times New Roman"/>
          <w:lang w:val="pl-PL"/>
        </w:rPr>
        <w:t>Zapalenie stawów z towarzyszącym zapaleniem przyczepów ścięgnistych jest chorobą zapalną stawów oraz miejsc przyczepu ścięgien do kości.</w:t>
      </w:r>
    </w:p>
    <w:p w14:paraId="1A430077" w14:textId="77777777" w:rsidR="002E5800" w:rsidRPr="008F328C" w:rsidRDefault="002E5800">
      <w:pPr>
        <w:spacing w:before="10" w:line="240" w:lineRule="exact"/>
        <w:rPr>
          <w:rFonts w:ascii="Times New Roman" w:hAnsi="Times New Roman" w:cs="Times New Roman"/>
          <w:sz w:val="24"/>
          <w:szCs w:val="24"/>
          <w:lang w:val="pl-PL"/>
        </w:rPr>
      </w:pPr>
    </w:p>
    <w:p w14:paraId="1775951C" w14:textId="77777777" w:rsidR="002E5800" w:rsidRPr="008F328C" w:rsidRDefault="000E0B7C">
      <w:pPr>
        <w:pStyle w:val="a3"/>
        <w:rPr>
          <w:lang w:val="pl-PL"/>
        </w:rPr>
      </w:pPr>
      <w:r w:rsidRPr="008F328C">
        <w:rPr>
          <w:rFonts w:eastAsia="Times New Roman"/>
          <w:lang w:val="pl-PL"/>
        </w:rPr>
        <w:t>Lek Yuflyma jest stosowany w leczeniu zapalenia stawów z towarzyszącym zapaleniem przyczepów ścięgnistych u pacjentów w wieku od 6 lat. Pacjent może najpierw otrzymywać inne leki modyfikujące przebieg choroby, takie jak metotreksat. W razie braku zadowalającej odpowiedzi na te leki, pacjent otrzyma lek Yuflyma.</w:t>
      </w:r>
    </w:p>
    <w:p w14:paraId="14E61406" w14:textId="77777777" w:rsidR="002E5800" w:rsidRPr="008F328C" w:rsidRDefault="002E5800">
      <w:pPr>
        <w:spacing w:before="2" w:line="260" w:lineRule="exact"/>
        <w:rPr>
          <w:rFonts w:ascii="Times New Roman" w:hAnsi="Times New Roman" w:cs="Times New Roman"/>
          <w:sz w:val="26"/>
          <w:szCs w:val="26"/>
          <w:lang w:val="pl-PL"/>
        </w:rPr>
      </w:pPr>
    </w:p>
    <w:p w14:paraId="599AF8E4" w14:textId="77777777" w:rsidR="002E5800" w:rsidRPr="008F328C" w:rsidRDefault="000E0B7C">
      <w:pPr>
        <w:pStyle w:val="a3"/>
        <w:rPr>
          <w:b/>
          <w:lang w:val="pl-PL"/>
        </w:rPr>
      </w:pPr>
      <w:r w:rsidRPr="008F328C">
        <w:rPr>
          <w:rFonts w:eastAsia="Times New Roman"/>
          <w:b/>
          <w:bCs/>
          <w:lang w:val="pl-PL"/>
        </w:rPr>
        <w:t>Zesztywniające zapalenie stawów kręgosłupa i osiowa spondyloartropatia bez zmian radiograficznych charakterystycznych dla zesztywniającego zapalenia stawów kręgosłupa</w:t>
      </w:r>
    </w:p>
    <w:p w14:paraId="294B28B2" w14:textId="77777777" w:rsidR="002E5800" w:rsidRPr="008F328C" w:rsidRDefault="002E5800">
      <w:pPr>
        <w:spacing w:before="6" w:line="240" w:lineRule="exact"/>
        <w:rPr>
          <w:rFonts w:ascii="Times New Roman" w:hAnsi="Times New Roman" w:cs="Times New Roman"/>
          <w:sz w:val="24"/>
          <w:szCs w:val="24"/>
          <w:lang w:val="pl-PL"/>
        </w:rPr>
      </w:pPr>
    </w:p>
    <w:p w14:paraId="4364F900" w14:textId="77777777" w:rsidR="002E5800" w:rsidRPr="008F328C" w:rsidRDefault="000E0B7C">
      <w:pPr>
        <w:pStyle w:val="a3"/>
        <w:rPr>
          <w:lang w:val="pl-PL"/>
        </w:rPr>
      </w:pPr>
      <w:r w:rsidRPr="008F328C">
        <w:rPr>
          <w:rFonts w:eastAsia="Times New Roman"/>
          <w:lang w:val="pl-PL"/>
        </w:rPr>
        <w:t>Zesztywniające zapalenie stawów kręgosłupa i osiowa spondyloartropatia bez zmian radiograficznych charakterystycznych dla zesztywniającego zapalenia stawów kręgosłupa to choroby zapalne kręgosłupa.</w:t>
      </w:r>
    </w:p>
    <w:p w14:paraId="13B141A8" w14:textId="77777777" w:rsidR="002E5800" w:rsidRPr="008F328C" w:rsidRDefault="002E5800">
      <w:pPr>
        <w:spacing w:before="10" w:line="240" w:lineRule="exact"/>
        <w:rPr>
          <w:rFonts w:ascii="Times New Roman" w:hAnsi="Times New Roman" w:cs="Times New Roman"/>
          <w:sz w:val="24"/>
          <w:szCs w:val="24"/>
          <w:lang w:val="pl-PL"/>
        </w:rPr>
      </w:pPr>
    </w:p>
    <w:p w14:paraId="1230768B" w14:textId="77777777" w:rsidR="002E5800" w:rsidRPr="008F328C" w:rsidRDefault="000E0B7C">
      <w:pPr>
        <w:pStyle w:val="a3"/>
        <w:rPr>
          <w:lang w:val="pl-PL"/>
        </w:rPr>
      </w:pPr>
      <w:r w:rsidRPr="008F328C">
        <w:rPr>
          <w:rFonts w:eastAsia="Times New Roman"/>
          <w:lang w:val="pl-PL"/>
        </w:rPr>
        <w:t xml:space="preserve">Lek Yuflyma jest stosowany w leczeniu ciężkiego zesztywniającego zapalenia stawów kręgosłupa i </w:t>
      </w:r>
      <w:r w:rsidRPr="008F328C">
        <w:rPr>
          <w:rFonts w:eastAsia="Times New Roman"/>
          <w:lang w:val="pl-PL"/>
        </w:rPr>
        <w:lastRenderedPageBreak/>
        <w:t>osiowej spondyloartropatii bez zmian radiograficznych charakterystycznych dla zesztywniającego zapalenia stawów kręgosłupa u dorosłych. Pacjent może najpierw otrzymywać inne leki. W razie braku zadowalającej odpowiedzi na te leki, pacjent otrzyma lek Yuflyma.</w:t>
      </w:r>
    </w:p>
    <w:p w14:paraId="684061EC" w14:textId="77777777" w:rsidR="002E5800" w:rsidRPr="008F328C" w:rsidRDefault="002E5800">
      <w:pPr>
        <w:spacing w:before="18" w:line="240" w:lineRule="exact"/>
        <w:rPr>
          <w:rFonts w:ascii="Times New Roman" w:hAnsi="Times New Roman" w:cs="Times New Roman"/>
          <w:sz w:val="24"/>
          <w:szCs w:val="24"/>
          <w:lang w:val="pl-PL"/>
        </w:rPr>
      </w:pPr>
    </w:p>
    <w:p w14:paraId="08F99A1E" w14:textId="77777777" w:rsidR="002E5800" w:rsidRPr="008F328C" w:rsidRDefault="000E0B7C">
      <w:pPr>
        <w:pStyle w:val="a3"/>
        <w:rPr>
          <w:b/>
          <w:lang w:val="pl-PL"/>
        </w:rPr>
      </w:pPr>
      <w:r w:rsidRPr="008F328C">
        <w:rPr>
          <w:rFonts w:eastAsia="Times New Roman"/>
          <w:b/>
          <w:bCs/>
          <w:lang w:val="pl-PL"/>
        </w:rPr>
        <w:t>Łuszczycowe zapalenie stawów (ŁZS)</w:t>
      </w:r>
    </w:p>
    <w:p w14:paraId="6A9A1C48" w14:textId="77777777" w:rsidR="002E5800" w:rsidRPr="008F328C" w:rsidRDefault="002E5800">
      <w:pPr>
        <w:pStyle w:val="a3"/>
        <w:rPr>
          <w:lang w:val="pl-PL"/>
        </w:rPr>
      </w:pPr>
    </w:p>
    <w:p w14:paraId="353BD684" w14:textId="77777777" w:rsidR="002E5800" w:rsidRPr="008F328C" w:rsidRDefault="000E0B7C">
      <w:pPr>
        <w:pStyle w:val="a3"/>
        <w:rPr>
          <w:lang w:val="pl-PL"/>
        </w:rPr>
      </w:pPr>
      <w:r w:rsidRPr="008F328C">
        <w:rPr>
          <w:rFonts w:eastAsia="Times New Roman"/>
          <w:lang w:val="pl-PL"/>
        </w:rPr>
        <w:t>Łuszczycowe zapalenie stawów jest chorobą zapalną stawów, zazwyczaj związaną z łuszczycą.</w:t>
      </w:r>
    </w:p>
    <w:p w14:paraId="53A1500E" w14:textId="77777777" w:rsidR="002E5800" w:rsidRPr="008F328C" w:rsidRDefault="002E5800">
      <w:pPr>
        <w:spacing w:before="11" w:line="240" w:lineRule="exact"/>
        <w:rPr>
          <w:rFonts w:ascii="Times New Roman" w:hAnsi="Times New Roman" w:cs="Times New Roman"/>
          <w:sz w:val="24"/>
          <w:szCs w:val="24"/>
          <w:lang w:val="pl-PL"/>
        </w:rPr>
      </w:pPr>
    </w:p>
    <w:p w14:paraId="6E891B93" w14:textId="77777777" w:rsidR="002E5800" w:rsidRPr="008F328C" w:rsidRDefault="000E0B7C">
      <w:pPr>
        <w:pStyle w:val="a3"/>
        <w:rPr>
          <w:lang w:val="pl-PL"/>
        </w:rPr>
      </w:pPr>
      <w:r w:rsidRPr="008F328C">
        <w:rPr>
          <w:rFonts w:eastAsia="Times New Roman"/>
          <w:lang w:val="pl-PL"/>
        </w:rPr>
        <w:t>Lek Yuflyma jest stosowany w leczeniu łuszczycowego zapalenia stawów u dorosłych. Lek Yuflyma może spowalniać postęp uszkodzenia stawów spowodowany przez chorobę i pomóc zwiększyć ruchomość stawów. Pacjent może najpierw otrzymywać inne leki. W razie braku zadowalającej odpowiedzi na te leki, pacjent otrzyma lek Yuflyma.</w:t>
      </w:r>
    </w:p>
    <w:p w14:paraId="1CF3C539" w14:textId="77777777" w:rsidR="002E5800" w:rsidRPr="008F328C" w:rsidRDefault="002E5800">
      <w:pPr>
        <w:pStyle w:val="a3"/>
        <w:rPr>
          <w:b/>
          <w:lang w:val="pl-PL"/>
        </w:rPr>
      </w:pPr>
    </w:p>
    <w:p w14:paraId="4EE1E80F" w14:textId="77777777" w:rsidR="002E5800" w:rsidRPr="008F328C" w:rsidRDefault="000E0B7C">
      <w:pPr>
        <w:pStyle w:val="a3"/>
        <w:rPr>
          <w:b/>
          <w:lang w:val="pl-PL"/>
        </w:rPr>
      </w:pPr>
      <w:r w:rsidRPr="008F328C">
        <w:rPr>
          <w:rFonts w:eastAsia="Times New Roman"/>
          <w:b/>
          <w:bCs/>
          <w:lang w:val="pl-PL"/>
        </w:rPr>
        <w:t>Łuszczyca zwyczajna (plackowata)</w:t>
      </w:r>
    </w:p>
    <w:p w14:paraId="4B9064CF" w14:textId="77777777" w:rsidR="002E5800" w:rsidRPr="008F328C" w:rsidRDefault="002E5800">
      <w:pPr>
        <w:spacing w:before="9" w:line="240" w:lineRule="exact"/>
        <w:rPr>
          <w:rFonts w:ascii="Times New Roman" w:hAnsi="Times New Roman" w:cs="Times New Roman"/>
          <w:sz w:val="24"/>
          <w:szCs w:val="24"/>
          <w:lang w:val="pl-PL"/>
        </w:rPr>
      </w:pPr>
    </w:p>
    <w:p w14:paraId="7D783F79" w14:textId="77777777" w:rsidR="002E5800" w:rsidRPr="008F328C" w:rsidRDefault="000E0B7C">
      <w:pPr>
        <w:pStyle w:val="a3"/>
        <w:rPr>
          <w:lang w:val="pl-PL"/>
        </w:rPr>
      </w:pPr>
      <w:r w:rsidRPr="008F328C">
        <w:rPr>
          <w:rFonts w:eastAsia="Times New Roman"/>
          <w:lang w:val="pl-PL"/>
        </w:rPr>
        <w:t>Łuszczyca zwyczajna (plackowata) jest chorobą skóry, która powoduje czerwone, złuszczające się zmiany skórne z tworzeniem strupów, pokryte srebrzystą łuską. Zmiany łuszczycowe mogą również występować na paznokciach, powodując ich kruszenie, zgrubienie i oddzielanie się płytki paznokciowej od łożyska paznokcia, co może być bolesne.</w:t>
      </w:r>
    </w:p>
    <w:p w14:paraId="092802D7" w14:textId="77777777" w:rsidR="002E5800" w:rsidRPr="008F328C" w:rsidRDefault="002E5800">
      <w:pPr>
        <w:spacing w:before="13" w:line="240" w:lineRule="exact"/>
        <w:rPr>
          <w:rFonts w:ascii="Times New Roman" w:hAnsi="Times New Roman" w:cs="Times New Roman"/>
          <w:sz w:val="24"/>
          <w:szCs w:val="24"/>
          <w:lang w:val="pl-PL"/>
        </w:rPr>
      </w:pPr>
    </w:p>
    <w:p w14:paraId="5F01AB93" w14:textId="77777777" w:rsidR="002E5800" w:rsidRPr="008F328C" w:rsidRDefault="000E0B7C">
      <w:pPr>
        <w:pStyle w:val="a3"/>
        <w:rPr>
          <w:lang w:val="pl-PL"/>
        </w:rPr>
      </w:pPr>
      <w:r w:rsidRPr="008F328C">
        <w:rPr>
          <w:rFonts w:eastAsia="Times New Roman"/>
          <w:lang w:val="pl-PL"/>
        </w:rPr>
        <w:t xml:space="preserve">Lek Yuflyma jest stosowany w leczeniu </w:t>
      </w:r>
    </w:p>
    <w:p w14:paraId="5E200C74" w14:textId="77777777" w:rsidR="002E5800" w:rsidRPr="008F328C" w:rsidRDefault="000E0B7C">
      <w:pPr>
        <w:pStyle w:val="a3"/>
        <w:numPr>
          <w:ilvl w:val="1"/>
          <w:numId w:val="4"/>
        </w:numPr>
        <w:ind w:left="660" w:hanging="660"/>
        <w:rPr>
          <w:lang w:val="pl-PL"/>
        </w:rPr>
      </w:pPr>
      <w:r w:rsidRPr="008F328C">
        <w:rPr>
          <w:rFonts w:eastAsia="Times New Roman"/>
          <w:lang w:val="pl-PL"/>
        </w:rPr>
        <w:t>przewlekłej łuszczycy zwyczajnej (plackowatej) o nasileniu umiarkowanym do ciężkiego u dorosłych oraz·</w:t>
      </w:r>
    </w:p>
    <w:p w14:paraId="0E8AA71E" w14:textId="77777777" w:rsidR="002E5800" w:rsidRPr="008F328C" w:rsidRDefault="000E0B7C">
      <w:pPr>
        <w:pStyle w:val="a3"/>
        <w:numPr>
          <w:ilvl w:val="1"/>
          <w:numId w:val="4"/>
        </w:numPr>
        <w:ind w:left="660" w:hanging="660"/>
        <w:rPr>
          <w:lang w:val="pl-PL"/>
        </w:rPr>
      </w:pPr>
      <w:r w:rsidRPr="008F328C">
        <w:rPr>
          <w:rFonts w:eastAsia="Times New Roman"/>
          <w:lang w:val="pl-PL"/>
        </w:rPr>
        <w:t>przewlekłej, ciężkiej łuszczycy zwyczajnej (plackowatej) u dzieci i młodzieży w wieku od 4 do 17 lat, u których leczenie miejscowe i fototerapie były nieskuteczne lub są niewłaściwe.</w:t>
      </w:r>
    </w:p>
    <w:p w14:paraId="7839EFBA" w14:textId="77777777" w:rsidR="002E5800" w:rsidRPr="008F328C" w:rsidRDefault="002E5800">
      <w:pPr>
        <w:spacing w:before="15" w:line="240" w:lineRule="exact"/>
        <w:rPr>
          <w:rFonts w:ascii="Times New Roman" w:hAnsi="Times New Roman" w:cs="Times New Roman"/>
          <w:sz w:val="24"/>
          <w:szCs w:val="24"/>
          <w:lang w:val="pl-PL"/>
        </w:rPr>
      </w:pPr>
    </w:p>
    <w:p w14:paraId="61AEBDDC" w14:textId="77777777" w:rsidR="002E5800" w:rsidRPr="008F328C" w:rsidRDefault="000E0B7C">
      <w:pPr>
        <w:pStyle w:val="a3"/>
        <w:rPr>
          <w:b/>
          <w:lang w:val="pl-PL"/>
        </w:rPr>
      </w:pPr>
      <w:r w:rsidRPr="008F328C">
        <w:rPr>
          <w:rFonts w:eastAsia="Times New Roman"/>
          <w:b/>
          <w:bCs/>
          <w:i/>
          <w:iCs/>
          <w:lang w:val="pl-PL"/>
        </w:rPr>
        <w:t>Ropne zapalenie apokrynowych gruczołów potowych</w:t>
      </w:r>
    </w:p>
    <w:p w14:paraId="07B6948A" w14:textId="77777777" w:rsidR="002E5800" w:rsidRPr="008F328C" w:rsidRDefault="002E5800">
      <w:pPr>
        <w:spacing w:before="9" w:line="240" w:lineRule="exact"/>
        <w:rPr>
          <w:rFonts w:ascii="Times New Roman" w:hAnsi="Times New Roman" w:cs="Times New Roman"/>
          <w:sz w:val="24"/>
          <w:szCs w:val="24"/>
          <w:lang w:val="pl-PL"/>
        </w:rPr>
      </w:pPr>
    </w:p>
    <w:p w14:paraId="026D3007" w14:textId="77777777" w:rsidR="002E5800" w:rsidRPr="008F328C" w:rsidRDefault="000E0B7C">
      <w:pPr>
        <w:pStyle w:val="a3"/>
        <w:rPr>
          <w:lang w:val="pl-PL"/>
        </w:rPr>
      </w:pPr>
      <w:r w:rsidRPr="008F328C">
        <w:rPr>
          <w:rFonts w:eastAsia="Times New Roman"/>
          <w:lang w:val="pl-PL"/>
        </w:rPr>
        <w:t>Ropne zapalenie apokrynowych gruczołów potowych (niekiedy nazywane trądzikiem odwróconym) jest przewlekłą i często bolesną zapalną chorobą skóry. Objawami mogą być tkliwe guzki i ropnie, z których może wyciekać ropa. Zmiany najczęściej występują na określonych obszarach skóry, takich jak w fałdach podpiersiowych, w pachach, na wewnętrznych powierzchniach ud, w pachwinach i na pośladkach. W zmienionych chorobowo obszarach skóry może również dojść do powstawania blizn.</w:t>
      </w:r>
    </w:p>
    <w:p w14:paraId="31D8315E" w14:textId="77777777" w:rsidR="002E5800" w:rsidRPr="008F328C" w:rsidRDefault="002E5800">
      <w:pPr>
        <w:spacing w:before="13" w:line="240" w:lineRule="exact"/>
        <w:rPr>
          <w:rFonts w:ascii="Times New Roman" w:hAnsi="Times New Roman" w:cs="Times New Roman"/>
          <w:sz w:val="24"/>
          <w:szCs w:val="24"/>
          <w:lang w:val="pl-PL"/>
        </w:rPr>
      </w:pPr>
    </w:p>
    <w:p w14:paraId="4DEABF2A" w14:textId="77777777" w:rsidR="002E5800" w:rsidRPr="008F328C" w:rsidRDefault="000E0B7C">
      <w:pPr>
        <w:pStyle w:val="a3"/>
        <w:rPr>
          <w:lang w:val="pl-PL"/>
        </w:rPr>
      </w:pPr>
      <w:r w:rsidRPr="008F328C">
        <w:rPr>
          <w:rFonts w:eastAsia="Times New Roman"/>
          <w:lang w:val="pl-PL"/>
        </w:rPr>
        <w:t xml:space="preserve">Lek Yuflyma jest stosowany w leczeniu </w:t>
      </w:r>
    </w:p>
    <w:p w14:paraId="41B47AD6" w14:textId="77777777" w:rsidR="002E5800" w:rsidRPr="008F328C" w:rsidRDefault="000E0B7C">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dorosłych oraz</w:t>
      </w:r>
    </w:p>
    <w:p w14:paraId="43D92FA5" w14:textId="77777777" w:rsidR="002E5800" w:rsidRPr="008F328C" w:rsidRDefault="000E0B7C">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młodzieży w wieku od 12 do 17 lat.</w:t>
      </w:r>
    </w:p>
    <w:p w14:paraId="7E05A6DA" w14:textId="77777777" w:rsidR="002E5800" w:rsidRPr="008F328C" w:rsidRDefault="002E5800">
      <w:pPr>
        <w:spacing w:before="10" w:line="240" w:lineRule="exact"/>
        <w:rPr>
          <w:rFonts w:ascii="Times New Roman" w:hAnsi="Times New Roman" w:cs="Times New Roman"/>
          <w:sz w:val="24"/>
          <w:szCs w:val="24"/>
          <w:lang w:val="pl-PL"/>
        </w:rPr>
      </w:pPr>
    </w:p>
    <w:p w14:paraId="39DEF833" w14:textId="77777777" w:rsidR="002E5800" w:rsidRPr="008F328C" w:rsidRDefault="000E0B7C">
      <w:pPr>
        <w:pStyle w:val="a3"/>
        <w:rPr>
          <w:lang w:val="pl-PL"/>
        </w:rPr>
      </w:pPr>
      <w:r w:rsidRPr="008F328C">
        <w:rPr>
          <w:rFonts w:eastAsia="Times New Roman"/>
          <w:lang w:val="pl-PL"/>
        </w:rPr>
        <w:t>Yuflyma może zmniejszyć liczbę guzków i ropni spowodowanych przez chorobę oraz ból, który często jest związany z chorobą. Pacjent może najpierw otrzymywać inne leki. W razie braku zadowalającej odpowiedzi na te leki, pacjent otrzyma lek Yuflyma.</w:t>
      </w:r>
    </w:p>
    <w:p w14:paraId="39E491DF" w14:textId="77777777" w:rsidR="002E5800" w:rsidRPr="008F328C" w:rsidRDefault="002E5800">
      <w:pPr>
        <w:spacing w:before="18" w:line="240" w:lineRule="exact"/>
        <w:rPr>
          <w:rFonts w:ascii="Times New Roman" w:hAnsi="Times New Roman" w:cs="Times New Roman"/>
          <w:sz w:val="24"/>
          <w:szCs w:val="24"/>
          <w:lang w:val="pl-PL"/>
        </w:rPr>
      </w:pPr>
    </w:p>
    <w:p w14:paraId="10BCED95" w14:textId="77777777" w:rsidR="002E5800" w:rsidRPr="008F328C" w:rsidRDefault="000E0B7C">
      <w:pPr>
        <w:pStyle w:val="a3"/>
        <w:rPr>
          <w:b/>
          <w:lang w:val="pl-PL"/>
        </w:rPr>
      </w:pPr>
      <w:r w:rsidRPr="008F328C">
        <w:rPr>
          <w:rFonts w:eastAsia="Times New Roman"/>
          <w:b/>
          <w:bCs/>
          <w:lang w:val="pl-PL"/>
        </w:rPr>
        <w:t>Choroba Leśniowskiego-Crohna</w:t>
      </w:r>
    </w:p>
    <w:p w14:paraId="3AF3313D" w14:textId="77777777" w:rsidR="002E5800" w:rsidRPr="008F328C" w:rsidRDefault="002E5800">
      <w:pPr>
        <w:pStyle w:val="a3"/>
        <w:rPr>
          <w:u w:val="single"/>
          <w:lang w:val="pl-PL"/>
        </w:rPr>
      </w:pPr>
    </w:p>
    <w:p w14:paraId="1EB4CF46" w14:textId="77777777" w:rsidR="002E5800" w:rsidRPr="008F328C" w:rsidRDefault="000E0B7C">
      <w:pPr>
        <w:pStyle w:val="a3"/>
        <w:rPr>
          <w:lang w:val="pl-PL"/>
        </w:rPr>
      </w:pPr>
      <w:r w:rsidRPr="008F328C">
        <w:rPr>
          <w:rFonts w:eastAsia="Times New Roman"/>
          <w:lang w:val="pl-PL"/>
        </w:rPr>
        <w:t xml:space="preserve">Choroba Leśniowskiego-Crohna jest chorobą zapalną przewodu pokarmowego. Lek Yuflyma jest stosowany w leczeniu </w:t>
      </w:r>
    </w:p>
    <w:p w14:paraId="1980694E" w14:textId="77777777" w:rsidR="002E5800" w:rsidRPr="008F328C" w:rsidRDefault="000E0B7C">
      <w:pPr>
        <w:pStyle w:val="a3"/>
        <w:numPr>
          <w:ilvl w:val="1"/>
          <w:numId w:val="4"/>
        </w:numPr>
        <w:ind w:left="660" w:hanging="660"/>
        <w:rPr>
          <w:lang w:val="pl-PL"/>
        </w:rPr>
      </w:pPr>
      <w:r w:rsidRPr="008F328C">
        <w:rPr>
          <w:rFonts w:eastAsia="Times New Roman"/>
          <w:lang w:val="pl-PL"/>
        </w:rPr>
        <w:t>choroby Leśniowskiego-Crohna o nasileniu umiarkowanym do ciężkiego u dorosłych oraz</w:t>
      </w:r>
    </w:p>
    <w:p w14:paraId="6E5483A4" w14:textId="77777777" w:rsidR="002E5800" w:rsidRPr="008F328C" w:rsidRDefault="000E0B7C">
      <w:pPr>
        <w:pStyle w:val="a3"/>
        <w:numPr>
          <w:ilvl w:val="1"/>
          <w:numId w:val="4"/>
        </w:numPr>
        <w:ind w:left="660" w:hanging="660"/>
        <w:rPr>
          <w:lang w:val="pl-PL"/>
        </w:rPr>
      </w:pPr>
      <w:r w:rsidRPr="008F328C">
        <w:rPr>
          <w:rFonts w:eastAsia="Times New Roman"/>
          <w:lang w:val="pl-PL"/>
        </w:rPr>
        <w:t>choroby Leśniowskiego-Crohna o nasileniu umiarkowanym do ciężkiego u dzieci i młodzieży w wieku od 6 do 17 lat.</w:t>
      </w:r>
    </w:p>
    <w:p w14:paraId="3B4B0E29" w14:textId="77777777" w:rsidR="002E5800" w:rsidRPr="008F328C" w:rsidRDefault="002E5800">
      <w:pPr>
        <w:spacing w:before="16" w:line="240" w:lineRule="exact"/>
        <w:rPr>
          <w:rFonts w:ascii="Times New Roman" w:hAnsi="Times New Roman" w:cs="Times New Roman"/>
          <w:sz w:val="24"/>
          <w:szCs w:val="24"/>
          <w:lang w:val="pl-PL"/>
        </w:rPr>
      </w:pPr>
    </w:p>
    <w:p w14:paraId="496AFDCE" w14:textId="77777777" w:rsidR="002E5800" w:rsidRPr="008F328C" w:rsidRDefault="000E0B7C">
      <w:pPr>
        <w:pStyle w:val="a3"/>
        <w:rPr>
          <w:lang w:val="pl-PL"/>
        </w:rPr>
      </w:pPr>
      <w:r w:rsidRPr="008F328C">
        <w:rPr>
          <w:rFonts w:eastAsia="Times New Roman"/>
          <w:lang w:val="pl-PL"/>
        </w:rPr>
        <w:t xml:space="preserve">Pacjent może najpierw otrzymywać inne leki. W razie braku zadowalającej odpowiedzi na te leki, pacjent </w:t>
      </w:r>
      <w:r w:rsidRPr="008F328C">
        <w:rPr>
          <w:rFonts w:eastAsia="Times New Roman"/>
          <w:lang w:val="pl-PL"/>
        </w:rPr>
        <w:lastRenderedPageBreak/>
        <w:t>otrzyma lek Yuflyma.</w:t>
      </w:r>
    </w:p>
    <w:p w14:paraId="2897A98B" w14:textId="77777777" w:rsidR="002E5800" w:rsidRPr="008F328C" w:rsidRDefault="002E5800">
      <w:pPr>
        <w:spacing w:before="15" w:line="240" w:lineRule="exact"/>
        <w:rPr>
          <w:rFonts w:ascii="Times New Roman" w:hAnsi="Times New Roman" w:cs="Times New Roman"/>
          <w:sz w:val="24"/>
          <w:szCs w:val="24"/>
          <w:lang w:val="pl-PL"/>
        </w:rPr>
      </w:pPr>
    </w:p>
    <w:p w14:paraId="5D500DF0" w14:textId="77777777" w:rsidR="002E5800" w:rsidRPr="008F328C" w:rsidRDefault="000E0B7C">
      <w:pPr>
        <w:pStyle w:val="a3"/>
        <w:rPr>
          <w:b/>
          <w:lang w:val="pl-PL"/>
        </w:rPr>
      </w:pPr>
      <w:r w:rsidRPr="008F328C">
        <w:rPr>
          <w:rFonts w:eastAsia="Times New Roman"/>
          <w:b/>
          <w:bCs/>
          <w:lang w:val="pl-PL"/>
        </w:rPr>
        <w:t>Wrzodziejące zapalenie jelita grubego (WZJG)</w:t>
      </w:r>
    </w:p>
    <w:p w14:paraId="6333A539" w14:textId="77777777" w:rsidR="002E5800" w:rsidRPr="008F328C" w:rsidRDefault="002E5800">
      <w:pPr>
        <w:pStyle w:val="a3"/>
        <w:rPr>
          <w:b/>
          <w:lang w:val="pl-PL"/>
        </w:rPr>
      </w:pPr>
    </w:p>
    <w:p w14:paraId="4F567145" w14:textId="77777777" w:rsidR="002E5800" w:rsidRPr="008F328C" w:rsidRDefault="000E0B7C">
      <w:pPr>
        <w:pStyle w:val="a3"/>
        <w:rPr>
          <w:lang w:val="pl-PL"/>
        </w:rPr>
      </w:pPr>
      <w:r w:rsidRPr="008F328C">
        <w:rPr>
          <w:rFonts w:eastAsia="Times New Roman"/>
          <w:lang w:val="pl-PL"/>
        </w:rPr>
        <w:t>Wrzodziejące zapalenie jelita grubego jest chorobą zapalną jelita grubego.</w:t>
      </w:r>
    </w:p>
    <w:p w14:paraId="42443DAE" w14:textId="77777777" w:rsidR="002E5800" w:rsidRPr="008F328C" w:rsidRDefault="002E5800">
      <w:pPr>
        <w:spacing w:before="17" w:line="240" w:lineRule="exact"/>
        <w:rPr>
          <w:rFonts w:ascii="Times New Roman" w:hAnsi="Times New Roman" w:cs="Times New Roman"/>
          <w:sz w:val="24"/>
          <w:szCs w:val="24"/>
          <w:lang w:val="pl-PL"/>
        </w:rPr>
      </w:pPr>
    </w:p>
    <w:p w14:paraId="76BBE85F" w14:textId="77777777" w:rsidR="008E48C5" w:rsidRPr="008F328C" w:rsidRDefault="000E0B7C">
      <w:pPr>
        <w:pStyle w:val="a3"/>
        <w:rPr>
          <w:rFonts w:eastAsia="Times New Roman"/>
          <w:lang w:val="pl-PL"/>
        </w:rPr>
      </w:pPr>
      <w:r w:rsidRPr="008F328C">
        <w:rPr>
          <w:rFonts w:eastAsia="Times New Roman"/>
          <w:lang w:val="pl-PL"/>
        </w:rPr>
        <w:t xml:space="preserve">Lek Yuflyma jest stosowany w leczeniu </w:t>
      </w:r>
    </w:p>
    <w:p w14:paraId="13D7C4B1" w14:textId="332C88D3" w:rsidR="008E48C5" w:rsidRPr="008F328C" w:rsidRDefault="000E0B7C" w:rsidP="008E48C5">
      <w:pPr>
        <w:widowControl/>
        <w:numPr>
          <w:ilvl w:val="0"/>
          <w:numId w:val="114"/>
        </w:numPr>
        <w:tabs>
          <w:tab w:val="left" w:pos="562"/>
        </w:tabs>
        <w:suppressAutoHyphens/>
        <w:ind w:left="567" w:hanging="567"/>
        <w:rPr>
          <w:rFonts w:ascii="Times New Roman" w:hAnsi="Times New Roman" w:cs="Times New Roman"/>
          <w:lang w:val="pl-PL"/>
        </w:rPr>
      </w:pPr>
      <w:r w:rsidRPr="008F328C">
        <w:rPr>
          <w:rFonts w:ascii="Times New Roman" w:eastAsia="Times New Roman" w:hAnsi="Times New Roman" w:cs="Times New Roman"/>
          <w:lang w:val="pl-PL"/>
        </w:rPr>
        <w:t>wrzodziejącego zapalenia jelita grubego o nasileniu umiarkowanym do ciężkiego u dorosłych</w:t>
      </w:r>
      <w:r w:rsidR="008E48C5" w:rsidRPr="008F328C">
        <w:rPr>
          <w:rFonts w:ascii="Times New Roman" w:eastAsia="Times New Roman" w:hAnsi="Times New Roman" w:cs="Times New Roman"/>
          <w:lang w:val="pl-PL"/>
        </w:rPr>
        <w:t xml:space="preserve"> </w:t>
      </w:r>
      <w:r w:rsidR="008E48C5" w:rsidRPr="008F328C">
        <w:rPr>
          <w:rFonts w:ascii="Times New Roman" w:hAnsi="Times New Roman" w:cs="Times New Roman"/>
          <w:lang w:val="pl-PL"/>
        </w:rPr>
        <w:t>oraz</w:t>
      </w:r>
    </w:p>
    <w:p w14:paraId="0F0ADD92" w14:textId="68980E2A" w:rsidR="008E48C5" w:rsidRPr="008F328C" w:rsidRDefault="008E48C5" w:rsidP="008E48C5">
      <w:pPr>
        <w:pStyle w:val="a4"/>
        <w:widowControl/>
        <w:numPr>
          <w:ilvl w:val="0"/>
          <w:numId w:val="114"/>
        </w:numPr>
        <w:tabs>
          <w:tab w:val="left" w:pos="562"/>
        </w:tabs>
        <w:suppressAutoHyphens/>
        <w:ind w:left="567" w:hanging="567"/>
        <w:rPr>
          <w:rFonts w:ascii="Times New Roman" w:eastAsia="Times New Roman" w:hAnsi="Times New Roman" w:cs="Times New Roman"/>
          <w:lang w:val="pl-PL"/>
        </w:rPr>
      </w:pPr>
      <w:r w:rsidRPr="008F328C">
        <w:rPr>
          <w:rFonts w:ascii="Times New Roman" w:hAnsi="Times New Roman" w:cs="Times New Roman"/>
          <w:lang w:val="pl-PL"/>
        </w:rPr>
        <w:t>wrzodziejącego zapalenia jelita grubego o nasileniu umiarkowanym do ciężkiego u dzieci i młodzieży w wieku od 6 do 17 lat.</w:t>
      </w:r>
      <w:r w:rsidRPr="008F328C">
        <w:rPr>
          <w:rFonts w:ascii="Times New Roman" w:eastAsia="Times New Roman" w:hAnsi="Times New Roman" w:cs="Times New Roman"/>
          <w:lang w:val="pl-PL"/>
        </w:rPr>
        <w:t xml:space="preserve"> </w:t>
      </w:r>
      <w:r w:rsidR="000E0B7C" w:rsidRPr="008F328C">
        <w:rPr>
          <w:rFonts w:ascii="Times New Roman" w:eastAsia="Times New Roman" w:hAnsi="Times New Roman" w:cs="Times New Roman"/>
          <w:lang w:val="pl-PL"/>
        </w:rPr>
        <w:t xml:space="preserve"> </w:t>
      </w:r>
    </w:p>
    <w:p w14:paraId="4CEEDB56" w14:textId="77777777" w:rsidR="008E48C5" w:rsidRPr="008F328C" w:rsidRDefault="008E48C5">
      <w:pPr>
        <w:pStyle w:val="a3"/>
        <w:rPr>
          <w:rFonts w:eastAsia="Times New Roman"/>
          <w:lang w:val="pl-PL"/>
        </w:rPr>
      </w:pPr>
    </w:p>
    <w:p w14:paraId="4EFF1F57" w14:textId="077920E0" w:rsidR="002E5800" w:rsidRPr="008F328C" w:rsidRDefault="000E0B7C">
      <w:pPr>
        <w:pStyle w:val="a3"/>
        <w:rPr>
          <w:lang w:val="pl-PL"/>
        </w:rPr>
      </w:pPr>
      <w:r w:rsidRPr="008F328C">
        <w:rPr>
          <w:rFonts w:eastAsia="Times New Roman"/>
          <w:lang w:val="pl-PL"/>
        </w:rPr>
        <w:t>Pacjent może najpierw otrzymywać inne leki. W razie braku zadowalającej odpowiedzi na te leki, pacjent otrzyma lek Yuflyma.</w:t>
      </w:r>
    </w:p>
    <w:p w14:paraId="2C62325C" w14:textId="77777777" w:rsidR="002E5800" w:rsidRPr="008F328C" w:rsidRDefault="002E5800">
      <w:pPr>
        <w:spacing w:before="15" w:line="240" w:lineRule="exact"/>
        <w:rPr>
          <w:rFonts w:ascii="Times New Roman" w:hAnsi="Times New Roman" w:cs="Times New Roman"/>
          <w:sz w:val="24"/>
          <w:szCs w:val="24"/>
          <w:lang w:val="pl-PL"/>
        </w:rPr>
      </w:pPr>
    </w:p>
    <w:p w14:paraId="4E32C086" w14:textId="77777777" w:rsidR="002E5800" w:rsidRPr="008F328C" w:rsidRDefault="000E0B7C">
      <w:pPr>
        <w:pStyle w:val="a3"/>
        <w:rPr>
          <w:b/>
          <w:lang w:val="pl-PL"/>
        </w:rPr>
      </w:pPr>
      <w:r w:rsidRPr="008F328C">
        <w:rPr>
          <w:rFonts w:eastAsia="Times New Roman"/>
          <w:b/>
          <w:bCs/>
          <w:lang w:val="pl-PL"/>
        </w:rPr>
        <w:t>Nieinfekcyjne zapalenie błony naczyniowej oka</w:t>
      </w:r>
    </w:p>
    <w:p w14:paraId="0C10AB00" w14:textId="77777777" w:rsidR="002E5800" w:rsidRPr="008F328C" w:rsidRDefault="002E5800">
      <w:pPr>
        <w:pStyle w:val="a3"/>
        <w:rPr>
          <w:lang w:val="pl-PL"/>
        </w:rPr>
      </w:pPr>
    </w:p>
    <w:p w14:paraId="767CDC10" w14:textId="77777777" w:rsidR="002E5800" w:rsidRPr="008F328C" w:rsidRDefault="000E0B7C">
      <w:pPr>
        <w:pStyle w:val="a3"/>
        <w:rPr>
          <w:lang w:val="pl-PL"/>
        </w:rPr>
      </w:pPr>
      <w:r w:rsidRPr="008F328C">
        <w:rPr>
          <w:rFonts w:eastAsia="Times New Roman"/>
          <w:lang w:val="pl-PL"/>
        </w:rPr>
        <w:t xml:space="preserve">Nieinfekcyjne zapalenie błony naczyniowej oka jest chorobą zapalną pewnych części gałki ocznej. Lek Yuflyma jest stosowany w leczeniu </w:t>
      </w:r>
    </w:p>
    <w:p w14:paraId="2F135371" w14:textId="77777777" w:rsidR="002E5800" w:rsidRPr="008F328C" w:rsidRDefault="000E0B7C">
      <w:pPr>
        <w:pStyle w:val="a3"/>
        <w:numPr>
          <w:ilvl w:val="1"/>
          <w:numId w:val="4"/>
        </w:numPr>
        <w:ind w:left="660" w:hanging="660"/>
        <w:rPr>
          <w:lang w:val="pl-PL"/>
        </w:rPr>
      </w:pPr>
      <w:r w:rsidRPr="008F328C">
        <w:rPr>
          <w:rFonts w:eastAsia="Times New Roman"/>
          <w:lang w:val="pl-PL"/>
        </w:rPr>
        <w:t>dorosłych z nieinfekcyjnym zapaleniem błony naczyniowej oka – zapaleniem w tylnej części gałki ocznej.</w:t>
      </w:r>
    </w:p>
    <w:p w14:paraId="1374D2D2" w14:textId="77777777" w:rsidR="002E5800" w:rsidRPr="008F328C" w:rsidRDefault="000E0B7C">
      <w:pPr>
        <w:pStyle w:val="a3"/>
        <w:numPr>
          <w:ilvl w:val="1"/>
          <w:numId w:val="4"/>
        </w:numPr>
        <w:ind w:left="660" w:hanging="660"/>
        <w:rPr>
          <w:lang w:val="pl-PL"/>
        </w:rPr>
      </w:pPr>
      <w:r w:rsidRPr="008F328C">
        <w:rPr>
          <w:rFonts w:eastAsia="Times New Roman"/>
          <w:lang w:val="pl-PL"/>
        </w:rPr>
        <w:t>dzieci i młodzieży w wieku od 2 lat z przewlekłym nieinfekcyjnym zapaleniem błony naczyniowej oka – zapaleniem w przedniej części gałki ocznej.</w:t>
      </w:r>
    </w:p>
    <w:p w14:paraId="03C881AF" w14:textId="77777777" w:rsidR="002E5800" w:rsidRPr="008F328C" w:rsidRDefault="002E5800">
      <w:pPr>
        <w:pStyle w:val="a3"/>
        <w:rPr>
          <w:lang w:val="pl-PL"/>
        </w:rPr>
      </w:pPr>
    </w:p>
    <w:p w14:paraId="3E23BD50" w14:textId="77777777" w:rsidR="002E5800" w:rsidRPr="008F328C" w:rsidRDefault="000E0B7C">
      <w:pPr>
        <w:pStyle w:val="a3"/>
        <w:rPr>
          <w:lang w:val="pl-PL"/>
        </w:rPr>
      </w:pPr>
      <w:r w:rsidRPr="008F328C">
        <w:rPr>
          <w:rFonts w:eastAsia="Times New Roman"/>
          <w:lang w:val="pl-PL"/>
        </w:rPr>
        <w:t>To zapalenie może prowadzić do zmniejszenia ostrości widzenia i (lub) obecności zmętnień (mroczków) w oku (czarne punkciki lub nieregularne linie czy fragmenty pajęczyn przemieszczające się w polu widzenia). Lek Yuflyma działa zmniejszając ten stan zapalny.</w:t>
      </w:r>
    </w:p>
    <w:p w14:paraId="7C227C60" w14:textId="77777777" w:rsidR="002E5800" w:rsidRPr="008F328C" w:rsidRDefault="002E5800">
      <w:pPr>
        <w:spacing w:before="10" w:line="240" w:lineRule="exact"/>
        <w:rPr>
          <w:rFonts w:ascii="Times New Roman" w:hAnsi="Times New Roman" w:cs="Times New Roman"/>
          <w:sz w:val="24"/>
          <w:szCs w:val="24"/>
          <w:lang w:val="pl-PL"/>
        </w:rPr>
      </w:pPr>
    </w:p>
    <w:p w14:paraId="520A78AB" w14:textId="77777777" w:rsidR="002E5800" w:rsidRPr="008F328C" w:rsidRDefault="000E0B7C">
      <w:pPr>
        <w:pStyle w:val="a3"/>
        <w:rPr>
          <w:lang w:val="pl-PL"/>
        </w:rPr>
      </w:pPr>
      <w:r w:rsidRPr="008F328C">
        <w:rPr>
          <w:rFonts w:eastAsia="Times New Roman"/>
          <w:lang w:val="pl-PL"/>
        </w:rPr>
        <w:t>Pacjent może najpierw otrzymywać inne leki. W razie braku zadowalającej odpowiedzi na te leki, pacjent otrzyma lek Yuflyma.</w:t>
      </w:r>
    </w:p>
    <w:p w14:paraId="5B2B5974" w14:textId="772F351C" w:rsidR="002E5800" w:rsidRPr="008F328C" w:rsidRDefault="002E5800" w:rsidP="004142DA">
      <w:pPr>
        <w:spacing w:before="18" w:line="240" w:lineRule="exact"/>
        <w:rPr>
          <w:rFonts w:ascii="Times New Roman" w:hAnsi="Times New Roman" w:cs="Times New Roman"/>
          <w:b/>
          <w:lang w:val="pl-PL"/>
        </w:rPr>
      </w:pPr>
    </w:p>
    <w:p w14:paraId="69156729" w14:textId="77777777" w:rsidR="00CC4159" w:rsidRPr="008F328C" w:rsidRDefault="00CC4159" w:rsidP="004142DA">
      <w:pPr>
        <w:spacing w:before="18" w:line="240" w:lineRule="exact"/>
        <w:rPr>
          <w:rFonts w:ascii="Times New Roman" w:hAnsi="Times New Roman" w:cs="Times New Roman"/>
          <w:b/>
          <w:lang w:val="pl-PL"/>
        </w:rPr>
      </w:pPr>
    </w:p>
    <w:p w14:paraId="29138AFD" w14:textId="77777777" w:rsidR="002E5800" w:rsidRPr="008F328C" w:rsidRDefault="000E0B7C" w:rsidP="00CC4159">
      <w:pPr>
        <w:pStyle w:val="a4"/>
        <w:numPr>
          <w:ilvl w:val="0"/>
          <w:numId w:val="38"/>
        </w:numPr>
        <w:spacing w:line="240" w:lineRule="exact"/>
        <w:rPr>
          <w:rFonts w:ascii="Times New Roman" w:hAnsi="Times New Roman" w:cs="Times New Roman"/>
          <w:lang w:val="pl-PL"/>
        </w:rPr>
      </w:pPr>
      <w:r w:rsidRPr="008F328C">
        <w:rPr>
          <w:rFonts w:ascii="Times New Roman" w:eastAsia="Times New Roman" w:hAnsi="Times New Roman" w:cs="Times New Roman"/>
          <w:b/>
          <w:bCs/>
          <w:lang w:val="pl-PL"/>
        </w:rPr>
        <w:t>Informacje ważne przed przyjęciem leku Yuflyma</w:t>
      </w:r>
      <w:r w:rsidRPr="008F328C">
        <w:rPr>
          <w:rFonts w:ascii="Times New Roman" w:eastAsia="Calibri" w:hAnsi="Times New Roman" w:cs="Times New Roman"/>
          <w:lang w:val="pl-PL"/>
        </w:rPr>
        <w:t xml:space="preserve"> </w:t>
      </w:r>
    </w:p>
    <w:p w14:paraId="6DC7C933" w14:textId="77777777" w:rsidR="002E5800" w:rsidRPr="008F328C" w:rsidRDefault="002E5800">
      <w:pPr>
        <w:spacing w:before="18" w:line="240" w:lineRule="exact"/>
        <w:ind w:left="108"/>
        <w:rPr>
          <w:rFonts w:ascii="Times New Roman" w:hAnsi="Times New Roman" w:cs="Times New Roman"/>
          <w:b/>
          <w:bCs/>
          <w:lang w:val="pl-PL"/>
        </w:rPr>
      </w:pPr>
    </w:p>
    <w:p w14:paraId="247E99B2" w14:textId="77777777" w:rsidR="002E5800" w:rsidRPr="008F328C" w:rsidRDefault="000E0B7C">
      <w:pPr>
        <w:pStyle w:val="a3"/>
        <w:rPr>
          <w:b/>
          <w:lang w:val="pl-PL"/>
        </w:rPr>
      </w:pPr>
      <w:r w:rsidRPr="008F328C">
        <w:rPr>
          <w:rFonts w:eastAsia="Times New Roman"/>
          <w:b/>
          <w:bCs/>
          <w:lang w:val="pl-PL"/>
        </w:rPr>
        <w:t>Kiedy nie stosować leku Yuflyma:</w:t>
      </w:r>
    </w:p>
    <w:p w14:paraId="27DB185C" w14:textId="77777777" w:rsidR="002E5800" w:rsidRPr="008F328C" w:rsidRDefault="002E5800">
      <w:pPr>
        <w:pStyle w:val="a3"/>
        <w:rPr>
          <w:b/>
          <w:lang w:val="pl-PL"/>
        </w:rPr>
      </w:pPr>
    </w:p>
    <w:p w14:paraId="1B423AF8"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 ma uczulenia na adalimumab lub którykolwiek z pozostałych składników tego leku (wymienionych w punkcie 6).</w:t>
      </w:r>
    </w:p>
    <w:p w14:paraId="56DD02C0" w14:textId="77777777" w:rsidR="002E5800" w:rsidRPr="008F328C" w:rsidRDefault="002E5800">
      <w:pPr>
        <w:pStyle w:val="a3"/>
        <w:numPr>
          <w:ilvl w:val="0"/>
          <w:numId w:val="0"/>
        </w:numPr>
        <w:ind w:left="660"/>
        <w:rPr>
          <w:lang w:val="pl-PL"/>
        </w:rPr>
      </w:pPr>
    </w:p>
    <w:p w14:paraId="77BF649A"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czynna gruźlica lub inne ciężkie zakażenia (patrz „Ostrzeżenia i środki ostrożności”). Należy bezwzględnie poinformować lekarza, gdy u pacjenta występują objawy zakażenia, na przykład gorączka, zranienia, uczucie zmęczenia, kłopoty z zębami.</w:t>
      </w:r>
    </w:p>
    <w:p w14:paraId="04835485" w14:textId="77777777" w:rsidR="002E5800" w:rsidRPr="008F328C" w:rsidRDefault="002E5800">
      <w:pPr>
        <w:pStyle w:val="a3"/>
        <w:numPr>
          <w:ilvl w:val="0"/>
          <w:numId w:val="0"/>
        </w:numPr>
        <w:ind w:left="660"/>
        <w:rPr>
          <w:lang w:val="pl-PL"/>
        </w:rPr>
      </w:pPr>
    </w:p>
    <w:p w14:paraId="3D4E2D6F"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umiarkowana lub ciężka niewydolność serca. Należy bezwzględnie poinformować lekarza o poważnej chorobie serca w przeszłości lub obecnie (patrz „Ostrzeżenia i środki ostrożności”).</w:t>
      </w:r>
    </w:p>
    <w:p w14:paraId="7B31E139" w14:textId="77777777" w:rsidR="002E5800" w:rsidRPr="008F328C" w:rsidRDefault="002E5800">
      <w:pPr>
        <w:spacing w:before="13" w:line="240" w:lineRule="exact"/>
        <w:rPr>
          <w:rFonts w:ascii="Times New Roman" w:hAnsi="Times New Roman" w:cs="Times New Roman"/>
          <w:sz w:val="24"/>
          <w:szCs w:val="24"/>
          <w:lang w:val="pl-PL"/>
        </w:rPr>
      </w:pPr>
    </w:p>
    <w:p w14:paraId="439A491C" w14:textId="77777777" w:rsidR="002E5800" w:rsidRPr="008F328C" w:rsidRDefault="000E0B7C">
      <w:pPr>
        <w:pStyle w:val="a3"/>
        <w:rPr>
          <w:b/>
          <w:lang w:val="pl-PL"/>
        </w:rPr>
      </w:pPr>
      <w:r w:rsidRPr="008F328C">
        <w:rPr>
          <w:rFonts w:eastAsia="Times New Roman"/>
          <w:b/>
          <w:bCs/>
          <w:lang w:val="pl-PL"/>
        </w:rPr>
        <w:t>Ostrzeżenia i środki ostrożności</w:t>
      </w:r>
    </w:p>
    <w:p w14:paraId="10F38553" w14:textId="77777777" w:rsidR="002E5800" w:rsidRPr="008F328C" w:rsidRDefault="002E5800">
      <w:pPr>
        <w:spacing w:before="9" w:line="240" w:lineRule="exact"/>
        <w:rPr>
          <w:rFonts w:ascii="Times New Roman" w:hAnsi="Times New Roman" w:cs="Times New Roman"/>
          <w:sz w:val="24"/>
          <w:szCs w:val="24"/>
          <w:lang w:val="pl-PL"/>
        </w:rPr>
      </w:pPr>
    </w:p>
    <w:p w14:paraId="694E85EF" w14:textId="77777777" w:rsidR="002E5800" w:rsidRPr="008F328C" w:rsidRDefault="000E0B7C">
      <w:pPr>
        <w:pStyle w:val="a3"/>
        <w:rPr>
          <w:lang w:val="pl-PL"/>
        </w:rPr>
      </w:pPr>
      <w:r w:rsidRPr="008F328C">
        <w:rPr>
          <w:rFonts w:eastAsia="Times New Roman"/>
          <w:lang w:val="pl-PL"/>
        </w:rPr>
        <w:t>Przed rozpoczęciem stosowania leku Yuflyma należy omówić to z lekarzem lub farmaceutą.</w:t>
      </w:r>
    </w:p>
    <w:p w14:paraId="0475184A" w14:textId="77777777" w:rsidR="002E5800" w:rsidRPr="008F328C" w:rsidRDefault="002E5800">
      <w:pPr>
        <w:pStyle w:val="a3"/>
        <w:rPr>
          <w:lang w:val="pl-PL"/>
        </w:rPr>
      </w:pPr>
    </w:p>
    <w:p w14:paraId="1B318908" w14:textId="77777777" w:rsidR="002E5800" w:rsidRPr="008F328C" w:rsidRDefault="000E0B7C">
      <w:pPr>
        <w:pStyle w:val="a3"/>
        <w:rPr>
          <w:u w:val="single" w:color="000000"/>
          <w:lang w:val="pl-PL"/>
        </w:rPr>
      </w:pPr>
      <w:r w:rsidRPr="008F328C">
        <w:rPr>
          <w:rFonts w:eastAsia="Times New Roman"/>
          <w:u w:val="single" w:color="000000"/>
          <w:lang w:val="pl-PL"/>
        </w:rPr>
        <w:t>Reakcje alergiczne</w:t>
      </w:r>
    </w:p>
    <w:p w14:paraId="5662A995" w14:textId="77777777" w:rsidR="002E5800" w:rsidRPr="008F328C" w:rsidRDefault="002E5800">
      <w:pPr>
        <w:pStyle w:val="a3"/>
        <w:rPr>
          <w:u w:val="single"/>
          <w:lang w:val="pl-PL"/>
        </w:rPr>
      </w:pPr>
    </w:p>
    <w:p w14:paraId="2210A361" w14:textId="77777777" w:rsidR="002E5800" w:rsidRPr="008F328C" w:rsidRDefault="000E0B7C">
      <w:pPr>
        <w:pStyle w:val="a3"/>
        <w:numPr>
          <w:ilvl w:val="1"/>
          <w:numId w:val="4"/>
        </w:numPr>
        <w:ind w:left="660" w:hanging="660"/>
        <w:rPr>
          <w:lang w:val="pl-PL"/>
        </w:rPr>
      </w:pPr>
      <w:r w:rsidRPr="008F328C">
        <w:rPr>
          <w:rFonts w:eastAsia="Times New Roman"/>
          <w:lang w:val="pl-PL"/>
        </w:rPr>
        <w:t xml:space="preserve">Jeśli u pacjenta wystąpią reakcje alergiczne z takimi objawami, jak uczucie ucisku w klatce </w:t>
      </w:r>
      <w:r w:rsidRPr="008F328C">
        <w:rPr>
          <w:rFonts w:eastAsia="Times New Roman"/>
          <w:lang w:val="pl-PL"/>
        </w:rPr>
        <w:lastRenderedPageBreak/>
        <w:t>piersiowej, świszczący oddech, zawroty głowy, obrzęk lub wysypka należy przerwać wstrzykiwanie leku Yuflyma i natychmiast skontaktować się z lekarzem, ponieważ w rzadkich przypadkach takie reakcje mogą zagrażać życiu.</w:t>
      </w:r>
    </w:p>
    <w:p w14:paraId="73588971" w14:textId="77777777" w:rsidR="002E5800" w:rsidRPr="008F328C" w:rsidRDefault="002E5800">
      <w:pPr>
        <w:pStyle w:val="a3"/>
        <w:rPr>
          <w:b/>
          <w:lang w:val="pl-PL"/>
        </w:rPr>
      </w:pPr>
    </w:p>
    <w:p w14:paraId="269D9FA6" w14:textId="77777777" w:rsidR="002E5800" w:rsidRPr="008F328C" w:rsidRDefault="000E0B7C">
      <w:pPr>
        <w:pStyle w:val="a3"/>
        <w:rPr>
          <w:u w:val="single"/>
          <w:lang w:val="pl-PL"/>
        </w:rPr>
      </w:pPr>
      <w:r w:rsidRPr="008F328C">
        <w:rPr>
          <w:rFonts w:eastAsia="Times New Roman"/>
          <w:u w:val="single"/>
          <w:lang w:val="pl-PL"/>
        </w:rPr>
        <w:t>Zakażenia</w:t>
      </w:r>
    </w:p>
    <w:p w14:paraId="080276DA" w14:textId="77777777" w:rsidR="002E5800" w:rsidRPr="008F328C" w:rsidRDefault="002E5800">
      <w:pPr>
        <w:pStyle w:val="a3"/>
        <w:rPr>
          <w:b/>
          <w:lang w:val="pl-PL"/>
        </w:rPr>
      </w:pPr>
    </w:p>
    <w:p w14:paraId="619650FA"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zakażenie, w tym długotrwałe lub miejscowe zakażenie (na przykład owrzodzenie podudzia), przed rozpoczęciem stosowania leku Yuflyma należy poradzić się lekarza. W przypadku wątpliwości należy skontaktować się z lekarzem.</w:t>
      </w:r>
    </w:p>
    <w:p w14:paraId="5EAD611B" w14:textId="77777777" w:rsidR="002E5800" w:rsidRPr="008F328C" w:rsidRDefault="002E5800">
      <w:pPr>
        <w:pStyle w:val="a3"/>
        <w:rPr>
          <w:lang w:val="pl-PL"/>
        </w:rPr>
      </w:pPr>
    </w:p>
    <w:p w14:paraId="3C73444A" w14:textId="77777777" w:rsidR="002E5800" w:rsidRPr="008F328C" w:rsidRDefault="000E0B7C">
      <w:pPr>
        <w:pStyle w:val="a3"/>
        <w:numPr>
          <w:ilvl w:val="1"/>
          <w:numId w:val="4"/>
        </w:numPr>
        <w:ind w:left="660" w:hanging="660"/>
        <w:rPr>
          <w:lang w:val="pl-PL"/>
        </w:rPr>
      </w:pPr>
      <w:r w:rsidRPr="008F328C">
        <w:rPr>
          <w:rFonts w:eastAsia="Times New Roman"/>
          <w:lang w:val="pl-PL"/>
        </w:rPr>
        <w:t>Podczas stosowania leku Yuflyma może się zwiększyć podatność na zakażenia. Ryzyko zakażenia zwiększa się, jeśli pacjent ma problemy z płucami. Mogą to być poważne zakażenia, takie jak:</w:t>
      </w:r>
    </w:p>
    <w:p w14:paraId="2D0FB1E9" w14:textId="77777777" w:rsidR="002E5800" w:rsidRPr="008F328C" w:rsidRDefault="000E0B7C">
      <w:pPr>
        <w:pStyle w:val="a3"/>
        <w:numPr>
          <w:ilvl w:val="1"/>
          <w:numId w:val="4"/>
        </w:numPr>
        <w:ind w:left="660" w:firstLine="49"/>
        <w:rPr>
          <w:lang w:val="pl-PL"/>
        </w:rPr>
      </w:pPr>
      <w:r w:rsidRPr="008F328C">
        <w:rPr>
          <w:rFonts w:eastAsia="Times New Roman"/>
          <w:lang w:val="pl-PL"/>
        </w:rPr>
        <w:t>gruźlica</w:t>
      </w:r>
    </w:p>
    <w:p w14:paraId="4E29081E" w14:textId="77777777" w:rsidR="002E5800" w:rsidRPr="008F328C" w:rsidRDefault="000E0B7C">
      <w:pPr>
        <w:pStyle w:val="a3"/>
        <w:numPr>
          <w:ilvl w:val="1"/>
          <w:numId w:val="4"/>
        </w:numPr>
        <w:ind w:left="660" w:firstLine="49"/>
        <w:rPr>
          <w:lang w:val="pl-PL"/>
        </w:rPr>
      </w:pPr>
      <w:r w:rsidRPr="008F328C">
        <w:rPr>
          <w:rFonts w:eastAsia="Times New Roman"/>
          <w:lang w:val="pl-PL"/>
        </w:rPr>
        <w:t>zakażenia spowodowane przez wirusy, grzyby, pasożyty lub bakterie</w:t>
      </w:r>
    </w:p>
    <w:p w14:paraId="172943E3" w14:textId="77777777" w:rsidR="002E5800" w:rsidRPr="008F328C" w:rsidRDefault="000E0B7C">
      <w:pPr>
        <w:pStyle w:val="a3"/>
        <w:numPr>
          <w:ilvl w:val="1"/>
          <w:numId w:val="4"/>
        </w:numPr>
        <w:ind w:left="660" w:firstLine="49"/>
        <w:rPr>
          <w:lang w:val="pl-PL"/>
        </w:rPr>
      </w:pPr>
      <w:r w:rsidRPr="008F328C">
        <w:rPr>
          <w:rFonts w:eastAsia="Times New Roman"/>
          <w:lang w:val="pl-PL"/>
        </w:rPr>
        <w:t>ciężkie zakażenia krwi (posocznica)</w:t>
      </w:r>
    </w:p>
    <w:p w14:paraId="251E1EE7" w14:textId="77777777" w:rsidR="002E5800" w:rsidRPr="008F328C" w:rsidRDefault="002E5800">
      <w:pPr>
        <w:pStyle w:val="a3"/>
        <w:rPr>
          <w:lang w:val="pl-PL"/>
        </w:rPr>
      </w:pPr>
    </w:p>
    <w:p w14:paraId="0F9449AE" w14:textId="77777777" w:rsidR="002E5800" w:rsidRPr="008F328C" w:rsidRDefault="000E0B7C">
      <w:pPr>
        <w:pStyle w:val="a3"/>
        <w:numPr>
          <w:ilvl w:val="0"/>
          <w:numId w:val="0"/>
        </w:numPr>
        <w:ind w:left="660"/>
        <w:rPr>
          <w:lang w:val="pl-PL"/>
        </w:rPr>
      </w:pPr>
      <w:r w:rsidRPr="008F328C">
        <w:rPr>
          <w:rFonts w:eastAsia="Times New Roman"/>
          <w:lang w:val="pl-PL"/>
        </w:rPr>
        <w:t>W rzadkich przypadkach takie zakażenia mogą zagrażać życiu. Należy koniecznie powiedzieć lekarzowi, jeśli u pacjenta wystąpią takie objawy jak gorączka, zranienia, uczucie zmęczenia lub kłopoty z zębami. Lekarz może zalecić czasowe przerwanie stosowania leku Yuflyma.</w:t>
      </w:r>
    </w:p>
    <w:p w14:paraId="46DB4FCF" w14:textId="77777777" w:rsidR="002E5800" w:rsidRPr="008F328C" w:rsidRDefault="002E5800">
      <w:pPr>
        <w:pStyle w:val="a3"/>
        <w:rPr>
          <w:lang w:val="pl-PL"/>
        </w:rPr>
      </w:pPr>
    </w:p>
    <w:p w14:paraId="6691897F" w14:textId="77777777" w:rsidR="002E5800" w:rsidRPr="008F328C" w:rsidRDefault="000E0B7C">
      <w:pPr>
        <w:pStyle w:val="a3"/>
        <w:numPr>
          <w:ilvl w:val="1"/>
          <w:numId w:val="4"/>
        </w:numPr>
        <w:ind w:left="660" w:hanging="660"/>
        <w:rPr>
          <w:lang w:val="pl-PL"/>
        </w:rPr>
      </w:pPr>
      <w:r w:rsidRPr="008F328C">
        <w:rPr>
          <w:rFonts w:eastAsia="Times New Roman"/>
          <w:lang w:val="pl-PL"/>
        </w:rPr>
        <w:t>Należy poinformować lekarza, jeśli pacjent mieszka lub podróżuje w regionach, gdzie bardzo często występują zakażenia grzybicze (na przykład histoplazmoza, kokcydioidomykoza lub blastomykoza).</w:t>
      </w:r>
    </w:p>
    <w:p w14:paraId="7854AA0B" w14:textId="77777777" w:rsidR="002E5800" w:rsidRPr="008F328C" w:rsidRDefault="002E5800">
      <w:pPr>
        <w:pStyle w:val="a3"/>
        <w:rPr>
          <w:lang w:val="pl-PL"/>
        </w:rPr>
      </w:pPr>
    </w:p>
    <w:p w14:paraId="630C7130" w14:textId="77777777" w:rsidR="002E5800" w:rsidRPr="008F328C" w:rsidRDefault="000E0B7C">
      <w:pPr>
        <w:pStyle w:val="a3"/>
        <w:numPr>
          <w:ilvl w:val="1"/>
          <w:numId w:val="4"/>
        </w:numPr>
        <w:ind w:left="660" w:hanging="660"/>
        <w:rPr>
          <w:lang w:val="pl-PL"/>
        </w:rPr>
      </w:pPr>
      <w:r w:rsidRPr="008F328C">
        <w:rPr>
          <w:rFonts w:eastAsia="Times New Roman"/>
          <w:lang w:val="pl-PL"/>
        </w:rPr>
        <w:t>Należy poinformować lekarza, jeśli u pacjenta występowały nawracające zakażenia lub inne choroby zwiększające ryzyko wystąpienia zakażeń.</w:t>
      </w:r>
    </w:p>
    <w:p w14:paraId="6F5F2EC1" w14:textId="77777777" w:rsidR="002E5800" w:rsidRPr="008F328C" w:rsidRDefault="002E5800">
      <w:pPr>
        <w:pStyle w:val="a3"/>
        <w:numPr>
          <w:ilvl w:val="0"/>
          <w:numId w:val="0"/>
        </w:numPr>
        <w:rPr>
          <w:lang w:val="pl-PL"/>
        </w:rPr>
      </w:pPr>
    </w:p>
    <w:p w14:paraId="319186AB" w14:textId="77777777" w:rsidR="002E5800" w:rsidRPr="008F328C" w:rsidRDefault="000E0B7C">
      <w:pPr>
        <w:pStyle w:val="a3"/>
        <w:numPr>
          <w:ilvl w:val="1"/>
          <w:numId w:val="4"/>
        </w:numPr>
        <w:ind w:left="660" w:hanging="660"/>
        <w:rPr>
          <w:lang w:val="pl-PL"/>
        </w:rPr>
      </w:pPr>
      <w:r w:rsidRPr="008F328C">
        <w:rPr>
          <w:rFonts w:eastAsia="Times New Roman"/>
          <w:lang w:val="pl-PL"/>
        </w:rPr>
        <w:t>Pacjenci w wieku powyżej 65 lat mogą być bardziej podatni na zakażenia podczas stosowania leku Yuflyma. Pacjent i lekarz prowadzący powinni zwracać szczególną uwagę na objawy zakażenia w okresie stosowania leku Yuflyma. Należy koniecznie poinformować lekarza w przypadku wystąpienia objawów zakażenia, takich jak gorączka, zranienia, uczucie zmęczenia lub kłopoty z zębami.</w:t>
      </w:r>
    </w:p>
    <w:p w14:paraId="36E81EF8" w14:textId="77777777" w:rsidR="002E5800" w:rsidRPr="008F328C" w:rsidRDefault="002E5800">
      <w:pPr>
        <w:spacing w:before="11" w:line="240" w:lineRule="exact"/>
        <w:rPr>
          <w:rFonts w:ascii="Times New Roman" w:hAnsi="Times New Roman" w:cs="Times New Roman"/>
          <w:sz w:val="24"/>
          <w:szCs w:val="24"/>
          <w:lang w:val="pl-PL"/>
        </w:rPr>
      </w:pPr>
    </w:p>
    <w:p w14:paraId="01F8E990" w14:textId="77777777" w:rsidR="002E5800" w:rsidRPr="008F328C" w:rsidRDefault="000E0B7C">
      <w:pPr>
        <w:pStyle w:val="a3"/>
        <w:rPr>
          <w:u w:val="single"/>
          <w:lang w:val="pl-PL"/>
        </w:rPr>
      </w:pPr>
      <w:r w:rsidRPr="008F328C">
        <w:rPr>
          <w:rFonts w:eastAsia="Times New Roman"/>
          <w:u w:val="single" w:color="000000"/>
          <w:lang w:val="pl-PL"/>
        </w:rPr>
        <w:t>Gruźlica</w:t>
      </w:r>
    </w:p>
    <w:p w14:paraId="4524E825" w14:textId="77777777" w:rsidR="002E5800" w:rsidRPr="008F328C" w:rsidRDefault="002E5800">
      <w:pPr>
        <w:spacing w:before="4" w:line="190" w:lineRule="exact"/>
        <w:rPr>
          <w:rFonts w:ascii="Times New Roman" w:hAnsi="Times New Roman" w:cs="Times New Roman"/>
          <w:sz w:val="19"/>
          <w:szCs w:val="19"/>
          <w:lang w:val="pl-PL"/>
        </w:rPr>
      </w:pPr>
    </w:p>
    <w:p w14:paraId="4A4C0B42" w14:textId="1AE501C2" w:rsidR="002E5800" w:rsidRPr="008F328C" w:rsidRDefault="000E0B7C">
      <w:pPr>
        <w:pStyle w:val="a3"/>
        <w:numPr>
          <w:ilvl w:val="1"/>
          <w:numId w:val="4"/>
        </w:numPr>
        <w:ind w:left="660" w:hanging="660"/>
        <w:rPr>
          <w:lang w:val="pl-PL"/>
        </w:rPr>
      </w:pPr>
      <w:r w:rsidRPr="008F328C">
        <w:rPr>
          <w:rFonts w:eastAsia="Times New Roman"/>
          <w:lang w:val="pl-PL"/>
        </w:rPr>
        <w:t>Należy koniecznie powiedzieć lekarzowi o przebytej gruźlicy lub o bliskich kontaktach z chorym na gruźlicę w przeszłości. Leku Yuflyma nie należy stosować u pacjentów z czynną gruźlicą.</w:t>
      </w:r>
    </w:p>
    <w:p w14:paraId="6258B745" w14:textId="44569633" w:rsidR="002E5800" w:rsidRPr="008F328C" w:rsidRDefault="000E0B7C">
      <w:pPr>
        <w:pStyle w:val="a3"/>
        <w:numPr>
          <w:ilvl w:val="1"/>
          <w:numId w:val="4"/>
        </w:numPr>
        <w:ind w:left="998" w:hanging="340"/>
        <w:rPr>
          <w:lang w:val="pl-PL"/>
        </w:rPr>
      </w:pPr>
      <w:r w:rsidRPr="008F328C">
        <w:rPr>
          <w:rFonts w:eastAsia="Times New Roman"/>
          <w:lang w:val="pl-PL"/>
        </w:rPr>
        <w:t>U pacjentów otrzymujących lek Yuflyma obserwowano przypadki gruźlicy. Dlatego przed rozpoczęciem podawania leku Yuflym lekarz sprawdzi, czy u pacjenta nie występują zdiagnozowane przez lekarza i odczuwane przez pacjenta objawy gruźlicy. Będzie to dokładna ocena dokonana przez lekarza obejmująca wywiad dotyczący przebytych chorób oraz odpowiednie badania przesiewowe (na przykład zdjęcie rentgenowskie klatki piersiowej i próba tuberkulinowa). Informacje o wykonaniu tych badań i ich wynikach należy wpisać do „</w:t>
      </w:r>
      <w:r w:rsidRPr="008F328C">
        <w:rPr>
          <w:rFonts w:eastAsia="Times New Roman"/>
          <w:b/>
          <w:bCs/>
          <w:lang w:val="pl-PL"/>
        </w:rPr>
        <w:t xml:space="preserve">Karty </w:t>
      </w:r>
      <w:r w:rsidR="00E94C63" w:rsidRPr="008F328C">
        <w:rPr>
          <w:rFonts w:eastAsia="Times New Roman"/>
          <w:b/>
          <w:bCs/>
          <w:lang w:val="pl-PL"/>
        </w:rPr>
        <w:t xml:space="preserve">Przypominającej </w:t>
      </w:r>
      <w:r w:rsidRPr="008F328C">
        <w:rPr>
          <w:rFonts w:eastAsia="Times New Roman"/>
          <w:b/>
          <w:bCs/>
          <w:lang w:val="pl-PL"/>
        </w:rPr>
        <w:t>dla Pacjenta</w:t>
      </w:r>
      <w:r w:rsidRPr="008F328C">
        <w:rPr>
          <w:rFonts w:eastAsia="Times New Roman"/>
          <w:lang w:val="pl-PL"/>
        </w:rPr>
        <w:t>”.</w:t>
      </w:r>
    </w:p>
    <w:p w14:paraId="007BB92C" w14:textId="77777777" w:rsidR="002E5800" w:rsidRPr="008F328C" w:rsidRDefault="000E0B7C">
      <w:pPr>
        <w:pStyle w:val="a3"/>
        <w:numPr>
          <w:ilvl w:val="1"/>
          <w:numId w:val="4"/>
        </w:numPr>
        <w:ind w:left="998" w:hanging="340"/>
        <w:rPr>
          <w:lang w:val="pl-PL"/>
        </w:rPr>
      </w:pPr>
      <w:r w:rsidRPr="008F328C">
        <w:rPr>
          <w:rFonts w:eastAsia="Times New Roman"/>
          <w:lang w:val="pl-PL"/>
        </w:rPr>
        <w:t>Gruźlica może się rozwinąć podczas terapii, nawet jeśli pacjent otrzymał profilaktyczne leczenie przeciwgruźlicze.</w:t>
      </w:r>
    </w:p>
    <w:p w14:paraId="257B7E10" w14:textId="77777777" w:rsidR="002E5800" w:rsidRPr="008F328C" w:rsidRDefault="000E0B7C">
      <w:pPr>
        <w:pStyle w:val="a3"/>
        <w:numPr>
          <w:ilvl w:val="1"/>
          <w:numId w:val="4"/>
        </w:numPr>
        <w:ind w:left="998" w:hanging="340"/>
        <w:rPr>
          <w:lang w:val="pl-PL"/>
        </w:rPr>
      </w:pPr>
      <w:r w:rsidRPr="008F328C">
        <w:rPr>
          <w:rFonts w:eastAsia="Times New Roman"/>
          <w:lang w:val="pl-PL"/>
        </w:rPr>
        <w:t>Należy natychmiast poinformować lekarza, jeśli w trakcie leczenia lub po jego zakończeniu wystąpią objawy gruźlicy (na przykład kaszel, który nie ustępuje, utrata masy ciała, obniżenie aktywności, niewielka gorączka) lub innego zakażenia.</w:t>
      </w:r>
    </w:p>
    <w:p w14:paraId="0DA004AF" w14:textId="77777777" w:rsidR="002E5800" w:rsidRPr="008F328C" w:rsidRDefault="002E5800">
      <w:pPr>
        <w:spacing w:before="11" w:line="240" w:lineRule="exact"/>
        <w:rPr>
          <w:rFonts w:ascii="Times New Roman" w:hAnsi="Times New Roman" w:cs="Times New Roman"/>
          <w:sz w:val="24"/>
          <w:szCs w:val="24"/>
          <w:lang w:val="pl-PL"/>
        </w:rPr>
      </w:pPr>
    </w:p>
    <w:p w14:paraId="4EE05686" w14:textId="77777777" w:rsidR="002E5800" w:rsidRPr="008F328C" w:rsidRDefault="000E0B7C">
      <w:pPr>
        <w:pStyle w:val="a3"/>
        <w:rPr>
          <w:u w:val="single"/>
          <w:lang w:val="pl-PL"/>
        </w:rPr>
      </w:pPr>
      <w:r w:rsidRPr="008F328C">
        <w:rPr>
          <w:rFonts w:eastAsia="Times New Roman"/>
          <w:u w:val="single" w:color="000000"/>
          <w:lang w:val="pl-PL"/>
        </w:rPr>
        <w:t>Zapalenie wątroby typu B</w:t>
      </w:r>
    </w:p>
    <w:p w14:paraId="0F642391" w14:textId="77777777" w:rsidR="002E5800" w:rsidRPr="008F328C" w:rsidRDefault="002E5800">
      <w:pPr>
        <w:spacing w:before="4" w:line="190" w:lineRule="exact"/>
        <w:rPr>
          <w:rFonts w:ascii="Times New Roman" w:hAnsi="Times New Roman" w:cs="Times New Roman"/>
          <w:sz w:val="19"/>
          <w:szCs w:val="19"/>
          <w:lang w:val="pl-PL"/>
        </w:rPr>
      </w:pPr>
    </w:p>
    <w:p w14:paraId="0FB53B69" w14:textId="77777777" w:rsidR="002E5800" w:rsidRPr="008F328C" w:rsidRDefault="000E0B7C">
      <w:pPr>
        <w:pStyle w:val="a3"/>
        <w:numPr>
          <w:ilvl w:val="1"/>
          <w:numId w:val="4"/>
        </w:numPr>
        <w:ind w:left="660" w:hanging="660"/>
        <w:rPr>
          <w:lang w:val="pl-PL"/>
        </w:rPr>
      </w:pPr>
      <w:r w:rsidRPr="008F328C">
        <w:rPr>
          <w:rFonts w:eastAsia="Times New Roman"/>
          <w:lang w:val="pl-PL"/>
        </w:rPr>
        <w:t xml:space="preserve">Należy powiedzieć lekarzowi prowadzącemu, jeśli pacjent jest nosicielem wirusa zapalenia </w:t>
      </w:r>
      <w:r w:rsidRPr="008F328C">
        <w:rPr>
          <w:rFonts w:eastAsia="Times New Roman"/>
          <w:lang w:val="pl-PL"/>
        </w:rPr>
        <w:lastRenderedPageBreak/>
        <w:t>wątroby typu B (HBV), jeśli choruje na zapalenie wątroby typu B lub jeśli sądzi, że należy do grupy zwiększonego ryzyka zakażenia HBV.</w:t>
      </w:r>
    </w:p>
    <w:p w14:paraId="36B4D46E" w14:textId="77777777" w:rsidR="002E5800" w:rsidRPr="008F328C" w:rsidRDefault="000E0B7C">
      <w:pPr>
        <w:pStyle w:val="a3"/>
        <w:numPr>
          <w:ilvl w:val="1"/>
          <w:numId w:val="4"/>
        </w:numPr>
        <w:ind w:left="998" w:hanging="340"/>
        <w:rPr>
          <w:lang w:val="pl-PL"/>
        </w:rPr>
      </w:pPr>
      <w:r w:rsidRPr="008F328C">
        <w:rPr>
          <w:rFonts w:eastAsia="Times New Roman"/>
          <w:lang w:val="pl-PL"/>
        </w:rPr>
        <w:t>Lekarz powinien zlecić wykonanie badań w kierunku zakażenia HBV. U osób będących nosicielami HBV, lek Yuflyma może powodować uaktywnienie się wirusa.</w:t>
      </w:r>
    </w:p>
    <w:p w14:paraId="52465D05" w14:textId="77777777" w:rsidR="002E5800" w:rsidRPr="008F328C" w:rsidRDefault="000E0B7C">
      <w:pPr>
        <w:pStyle w:val="a3"/>
        <w:numPr>
          <w:ilvl w:val="1"/>
          <w:numId w:val="4"/>
        </w:numPr>
        <w:ind w:left="998" w:hanging="340"/>
        <w:rPr>
          <w:lang w:val="pl-PL"/>
        </w:rPr>
      </w:pPr>
      <w:r w:rsidRPr="008F328C">
        <w:rPr>
          <w:rFonts w:eastAsia="Times New Roman"/>
          <w:lang w:val="pl-PL"/>
        </w:rPr>
        <w:t>W niektórych, rzadkich przypadkach, zwłaszcza u pacjentów przyjmujących inne leki hamujące aktywność układu immunologicznego, reaktywacja HBV może zagrażać życiu.</w:t>
      </w:r>
    </w:p>
    <w:p w14:paraId="706B7995" w14:textId="77777777" w:rsidR="002E5800" w:rsidRPr="008F328C" w:rsidRDefault="002E5800">
      <w:pPr>
        <w:spacing w:before="11" w:line="240" w:lineRule="exact"/>
        <w:rPr>
          <w:rFonts w:ascii="Times New Roman" w:hAnsi="Times New Roman" w:cs="Times New Roman"/>
          <w:sz w:val="24"/>
          <w:szCs w:val="24"/>
          <w:lang w:val="pl-PL"/>
        </w:rPr>
      </w:pPr>
    </w:p>
    <w:p w14:paraId="66243121" w14:textId="77777777" w:rsidR="002E5800" w:rsidRPr="008F328C" w:rsidRDefault="000E0B7C">
      <w:pPr>
        <w:pStyle w:val="a3"/>
        <w:rPr>
          <w:u w:val="single"/>
          <w:lang w:val="pl-PL"/>
        </w:rPr>
      </w:pPr>
      <w:r w:rsidRPr="008F328C">
        <w:rPr>
          <w:rFonts w:eastAsia="Times New Roman"/>
          <w:u w:val="single" w:color="000000"/>
          <w:lang w:val="pl-PL"/>
        </w:rPr>
        <w:t>Zabiegi chirurgiczne lub stomatologiczne</w:t>
      </w:r>
    </w:p>
    <w:p w14:paraId="157D9D53" w14:textId="77777777" w:rsidR="002E5800" w:rsidRPr="008F328C" w:rsidRDefault="002E5800">
      <w:pPr>
        <w:spacing w:before="4" w:line="190" w:lineRule="exact"/>
        <w:rPr>
          <w:rFonts w:ascii="Times New Roman" w:hAnsi="Times New Roman" w:cs="Times New Roman"/>
          <w:sz w:val="19"/>
          <w:szCs w:val="19"/>
          <w:lang w:val="pl-PL"/>
        </w:rPr>
      </w:pPr>
    </w:p>
    <w:p w14:paraId="0F0946EE" w14:textId="77777777" w:rsidR="002E5800" w:rsidRPr="008F328C" w:rsidRDefault="000E0B7C">
      <w:pPr>
        <w:pStyle w:val="a3"/>
        <w:numPr>
          <w:ilvl w:val="1"/>
          <w:numId w:val="4"/>
        </w:numPr>
        <w:ind w:left="660" w:hanging="660"/>
        <w:rPr>
          <w:lang w:val="pl-PL"/>
        </w:rPr>
      </w:pPr>
      <w:r w:rsidRPr="008F328C">
        <w:rPr>
          <w:rFonts w:eastAsia="Times New Roman"/>
          <w:lang w:val="pl-PL"/>
        </w:rPr>
        <w:t>W przypadku planowanego zabiegu chirurgicznego lub stomatologicznego należy poinformować lekarza o przyjmowaniu leku Yuflyma. Lekarz może zalecić czasowe przerwanie stosowania leku Yuflyma.</w:t>
      </w:r>
    </w:p>
    <w:p w14:paraId="71F2E0C4" w14:textId="77777777" w:rsidR="002E5800" w:rsidRPr="008F328C" w:rsidRDefault="002E5800">
      <w:pPr>
        <w:spacing w:before="8" w:line="240" w:lineRule="exact"/>
        <w:rPr>
          <w:rFonts w:ascii="Times New Roman" w:hAnsi="Times New Roman" w:cs="Times New Roman"/>
          <w:sz w:val="24"/>
          <w:szCs w:val="24"/>
          <w:lang w:val="pl-PL"/>
        </w:rPr>
      </w:pPr>
    </w:p>
    <w:p w14:paraId="0DA5A3E9" w14:textId="77777777" w:rsidR="002E5800" w:rsidRPr="008F328C" w:rsidRDefault="000E0B7C">
      <w:pPr>
        <w:pStyle w:val="a3"/>
        <w:rPr>
          <w:u w:val="single"/>
          <w:lang w:val="pl-PL"/>
        </w:rPr>
      </w:pPr>
      <w:r w:rsidRPr="008F328C">
        <w:rPr>
          <w:rFonts w:eastAsia="Times New Roman"/>
          <w:u w:val="single" w:color="000000"/>
          <w:lang w:val="pl-PL"/>
        </w:rPr>
        <w:t>Choroby demielinizacyjne</w:t>
      </w:r>
    </w:p>
    <w:p w14:paraId="268DD9EB" w14:textId="77777777" w:rsidR="002E5800" w:rsidRPr="008F328C" w:rsidRDefault="002E5800">
      <w:pPr>
        <w:spacing w:before="4" w:line="190" w:lineRule="exact"/>
        <w:rPr>
          <w:rFonts w:ascii="Times New Roman" w:hAnsi="Times New Roman" w:cs="Times New Roman"/>
          <w:sz w:val="19"/>
          <w:szCs w:val="19"/>
          <w:lang w:val="pl-PL"/>
        </w:rPr>
      </w:pPr>
    </w:p>
    <w:p w14:paraId="2AEDCFA9"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występuje lub rozwija się choroba demielinizacyjna (choroba, która wpływa na otoczkę mielinową nerwów, taka jak stwardnienie rozsiane), lekarz zdecyduje, czy można u niego zastosować lek Yuflyma lub kontynuować podawanie leku. Należy natychmiast powiedzieć lekarzowi, jeśli u pacjenta wystąpią takie objawy, jak zmiany widzenia, osłabienie kończyn górnych lub dolnych, lub drętwienie, lub mrowienie w którejkolwiek części ciała.</w:t>
      </w:r>
    </w:p>
    <w:p w14:paraId="00443E38" w14:textId="77777777" w:rsidR="002E5800" w:rsidRPr="008F328C" w:rsidRDefault="002E5800">
      <w:pPr>
        <w:spacing w:before="14" w:line="240" w:lineRule="exact"/>
        <w:rPr>
          <w:rFonts w:ascii="Times New Roman" w:hAnsi="Times New Roman" w:cs="Times New Roman"/>
          <w:sz w:val="24"/>
          <w:szCs w:val="24"/>
          <w:lang w:val="pl-PL"/>
        </w:rPr>
      </w:pPr>
    </w:p>
    <w:p w14:paraId="5513AA2F" w14:textId="77777777" w:rsidR="002E5800" w:rsidRPr="008F328C" w:rsidRDefault="000E0B7C">
      <w:pPr>
        <w:pStyle w:val="a3"/>
        <w:rPr>
          <w:u w:val="single"/>
          <w:lang w:val="pl-PL"/>
        </w:rPr>
      </w:pPr>
      <w:r w:rsidRPr="008F328C">
        <w:rPr>
          <w:rFonts w:eastAsia="Times New Roman"/>
          <w:u w:val="single" w:color="000000"/>
          <w:lang w:val="pl-PL"/>
        </w:rPr>
        <w:t>Szczepienia</w:t>
      </w:r>
    </w:p>
    <w:p w14:paraId="6E749D9F" w14:textId="77777777" w:rsidR="002E5800" w:rsidRPr="008F328C" w:rsidRDefault="002E5800">
      <w:pPr>
        <w:spacing w:before="4" w:line="190" w:lineRule="exact"/>
        <w:rPr>
          <w:rFonts w:ascii="Times New Roman" w:hAnsi="Times New Roman" w:cs="Times New Roman"/>
          <w:sz w:val="19"/>
          <w:szCs w:val="19"/>
          <w:lang w:val="pl-PL"/>
        </w:rPr>
      </w:pPr>
    </w:p>
    <w:p w14:paraId="0ACFCF1B" w14:textId="77777777" w:rsidR="002E5800" w:rsidRPr="008F328C" w:rsidRDefault="000E0B7C">
      <w:pPr>
        <w:pStyle w:val="a3"/>
        <w:numPr>
          <w:ilvl w:val="1"/>
          <w:numId w:val="4"/>
        </w:numPr>
        <w:ind w:left="660" w:hanging="660"/>
        <w:rPr>
          <w:lang w:val="pl-PL"/>
        </w:rPr>
      </w:pPr>
      <w:r w:rsidRPr="008F328C">
        <w:rPr>
          <w:rFonts w:eastAsia="Times New Roman"/>
          <w:lang w:val="pl-PL"/>
        </w:rPr>
        <w:t>Pewne szczepionki mogą powodować zakażenia i nie należy ich stosować w czasie przyjmowania leku Yuflyma.</w:t>
      </w:r>
    </w:p>
    <w:p w14:paraId="6148F97A" w14:textId="77777777" w:rsidR="002E5800" w:rsidRPr="008F328C" w:rsidRDefault="002E5800">
      <w:pPr>
        <w:spacing w:before="11" w:line="240" w:lineRule="exact"/>
        <w:rPr>
          <w:rFonts w:ascii="Times New Roman" w:hAnsi="Times New Roman" w:cs="Times New Roman"/>
          <w:sz w:val="24"/>
          <w:szCs w:val="24"/>
          <w:lang w:val="pl-PL"/>
        </w:rPr>
      </w:pPr>
    </w:p>
    <w:p w14:paraId="47979FC7" w14:textId="77777777" w:rsidR="002E5800" w:rsidRPr="008F328C" w:rsidRDefault="000E0B7C">
      <w:pPr>
        <w:pStyle w:val="a3"/>
        <w:numPr>
          <w:ilvl w:val="1"/>
          <w:numId w:val="4"/>
        </w:numPr>
        <w:ind w:left="998" w:hanging="340"/>
        <w:rPr>
          <w:lang w:val="pl-PL"/>
        </w:rPr>
      </w:pPr>
      <w:r w:rsidRPr="008F328C">
        <w:rPr>
          <w:rFonts w:eastAsia="Times New Roman"/>
          <w:lang w:val="pl-PL"/>
        </w:rPr>
        <w:t>Przed zastosowaniem każdej szczepionki należy poradzić się lekarza.</w:t>
      </w:r>
    </w:p>
    <w:p w14:paraId="1ED962B2" w14:textId="77777777" w:rsidR="002E5800" w:rsidRPr="008F328C" w:rsidRDefault="000E0B7C">
      <w:pPr>
        <w:pStyle w:val="a3"/>
        <w:numPr>
          <w:ilvl w:val="1"/>
          <w:numId w:val="4"/>
        </w:numPr>
        <w:ind w:left="998" w:hanging="340"/>
        <w:rPr>
          <w:lang w:val="pl-PL"/>
        </w:rPr>
      </w:pPr>
      <w:r w:rsidRPr="008F328C">
        <w:rPr>
          <w:rFonts w:eastAsia="Times New Roman"/>
          <w:lang w:val="pl-PL"/>
        </w:rPr>
        <w:t>Zaleca się, jeśli to możliwe, aby u dzieci, przed rozpoczęciem leczenia lekiem Yuflyma przeprowadzono wszystkie szczepienia zgodnie z obowiązującym kalendarzem szczepień.</w:t>
      </w:r>
    </w:p>
    <w:p w14:paraId="14AC127F" w14:textId="77777777" w:rsidR="002E5800" w:rsidRPr="008F328C" w:rsidRDefault="000E0B7C">
      <w:pPr>
        <w:pStyle w:val="a3"/>
        <w:numPr>
          <w:ilvl w:val="1"/>
          <w:numId w:val="4"/>
        </w:numPr>
        <w:ind w:left="998" w:hanging="340"/>
        <w:rPr>
          <w:lang w:val="pl-PL"/>
        </w:rPr>
      </w:pPr>
      <w:r w:rsidRPr="008F328C">
        <w:rPr>
          <w:rFonts w:eastAsia="Times New Roman"/>
          <w:lang w:val="pl-PL"/>
        </w:rPr>
        <w:t>Jeśli kobieta otrzymywała lek Yuflyma w okresie ciąży, u dziecka może występować zwiększone ryzyko zakażenia w okresie do około pięciu miesięcy po przyjęciu przez matkę ostatniej dawki leku w okresie ciąży. Należy koniecznie poinformować lekarzy dziecka i innych pracowników opieki zdrowotnej o przyjmowaniu leku Yuflyma w okresie ciąży, aby mogli zdecydować czy dziecko może otrzymać jakąkolwiek szczepionkę.</w:t>
      </w:r>
    </w:p>
    <w:p w14:paraId="284E3EB9" w14:textId="77777777" w:rsidR="002E5800" w:rsidRPr="008F328C" w:rsidRDefault="002E5800">
      <w:pPr>
        <w:spacing w:before="14" w:line="240" w:lineRule="exact"/>
        <w:rPr>
          <w:rFonts w:ascii="Times New Roman" w:hAnsi="Times New Roman" w:cs="Times New Roman"/>
          <w:sz w:val="24"/>
          <w:szCs w:val="24"/>
          <w:lang w:val="pl-PL"/>
        </w:rPr>
      </w:pPr>
    </w:p>
    <w:p w14:paraId="5CC8F59B" w14:textId="77777777" w:rsidR="002E5800" w:rsidRPr="008F328C" w:rsidRDefault="000E0B7C">
      <w:pPr>
        <w:pStyle w:val="a3"/>
        <w:rPr>
          <w:u w:val="single"/>
          <w:lang w:val="pl-PL"/>
        </w:rPr>
      </w:pPr>
      <w:r w:rsidRPr="008F328C">
        <w:rPr>
          <w:rFonts w:eastAsia="Times New Roman"/>
          <w:u w:val="single" w:color="000000"/>
          <w:lang w:val="pl-PL"/>
        </w:rPr>
        <w:t>Niewydolność serca</w:t>
      </w:r>
    </w:p>
    <w:p w14:paraId="24831034" w14:textId="77777777" w:rsidR="002E5800" w:rsidRPr="008F328C" w:rsidRDefault="002E5800">
      <w:pPr>
        <w:spacing w:before="4" w:line="190" w:lineRule="exact"/>
        <w:rPr>
          <w:rFonts w:ascii="Times New Roman" w:hAnsi="Times New Roman" w:cs="Times New Roman"/>
          <w:sz w:val="19"/>
          <w:szCs w:val="19"/>
          <w:lang w:val="pl-PL"/>
        </w:rPr>
      </w:pPr>
    </w:p>
    <w:p w14:paraId="53116D03" w14:textId="77777777" w:rsidR="002E5800" w:rsidRPr="008F328C" w:rsidRDefault="000E0B7C">
      <w:pPr>
        <w:pStyle w:val="a3"/>
        <w:numPr>
          <w:ilvl w:val="1"/>
          <w:numId w:val="4"/>
        </w:numPr>
        <w:ind w:left="660" w:hanging="660"/>
        <w:rPr>
          <w:lang w:val="pl-PL"/>
        </w:rPr>
      </w:pPr>
      <w:r w:rsidRPr="008F328C">
        <w:rPr>
          <w:rFonts w:eastAsia="Times New Roman"/>
          <w:lang w:val="pl-PL"/>
        </w:rPr>
        <w:t>Jeśli u pacjenta otrzymującego lek Yuflyma występuje łagodna niewydolność serca, lekarz będzie kontrolował stan zdrowia pacjenta. Należy bezwzględnie poinformować lekarza o poważnej chorobie serca w przeszłości lub obecnie. W przypadku wystąpienia nowych objawów niewydolności serca lub nasilenia istniejących objawów (np. duszność lub obrzęki stóp) należy natychmiast skontaktować się z lekarzem. Lekarz prowadzący zdecyduje, czy pacjent powinien otrzymywać lek Yuflyma.</w:t>
      </w:r>
    </w:p>
    <w:p w14:paraId="5E8FE8ED" w14:textId="77777777" w:rsidR="002E5800" w:rsidRPr="008F328C" w:rsidRDefault="002E5800">
      <w:pPr>
        <w:spacing w:before="14" w:line="240" w:lineRule="exact"/>
        <w:rPr>
          <w:rFonts w:ascii="Times New Roman" w:hAnsi="Times New Roman" w:cs="Times New Roman"/>
          <w:sz w:val="24"/>
          <w:szCs w:val="24"/>
          <w:lang w:val="pl-PL"/>
        </w:rPr>
      </w:pPr>
    </w:p>
    <w:p w14:paraId="51E7A7F5" w14:textId="77777777" w:rsidR="002E5800" w:rsidRPr="008F328C" w:rsidRDefault="000E0B7C">
      <w:pPr>
        <w:pStyle w:val="a3"/>
        <w:rPr>
          <w:u w:val="single"/>
          <w:lang w:val="pl-PL"/>
        </w:rPr>
      </w:pPr>
      <w:r w:rsidRPr="008F328C">
        <w:rPr>
          <w:rFonts w:eastAsia="Times New Roman"/>
          <w:u w:val="single" w:color="000000"/>
          <w:lang w:val="pl-PL"/>
        </w:rPr>
        <w:t>Gorączka, siniaki, krwawienia lub bladość</w:t>
      </w:r>
    </w:p>
    <w:p w14:paraId="3F23565E" w14:textId="77777777" w:rsidR="002E5800" w:rsidRPr="008F328C" w:rsidRDefault="002E5800">
      <w:pPr>
        <w:spacing w:before="4" w:line="190" w:lineRule="exact"/>
        <w:rPr>
          <w:rFonts w:ascii="Times New Roman" w:hAnsi="Times New Roman" w:cs="Times New Roman"/>
          <w:sz w:val="19"/>
          <w:szCs w:val="19"/>
          <w:lang w:val="pl-PL"/>
        </w:rPr>
      </w:pPr>
    </w:p>
    <w:p w14:paraId="49B5315C" w14:textId="77777777" w:rsidR="002E5800" w:rsidRPr="008F328C" w:rsidRDefault="000E0B7C">
      <w:pPr>
        <w:pStyle w:val="a3"/>
        <w:numPr>
          <w:ilvl w:val="1"/>
          <w:numId w:val="4"/>
        </w:numPr>
        <w:ind w:left="660" w:hanging="660"/>
        <w:rPr>
          <w:lang w:val="pl-PL"/>
        </w:rPr>
      </w:pPr>
      <w:r w:rsidRPr="008F328C">
        <w:rPr>
          <w:rFonts w:eastAsia="Times New Roman"/>
          <w:lang w:val="pl-PL"/>
        </w:rPr>
        <w:t>U niektórych pacjentów dojść może do zmniejszenia wytwarzania komórek krwi pomocnych w zwalczaniu zakażeń lub hamowaniu krwawienia. Lekarz może podjąć decyzję o przerwaniu leczenia. Jeśli u pacjenta wystąpi nieustępująca gorączka, siniaki, skłonność do krwawień lub bladość należy natychmiast skontaktować się z lekarzem.</w:t>
      </w:r>
    </w:p>
    <w:p w14:paraId="47336EC3" w14:textId="77777777" w:rsidR="002E5800" w:rsidRPr="008F328C" w:rsidRDefault="002E5800">
      <w:pPr>
        <w:pStyle w:val="a3"/>
        <w:rPr>
          <w:u w:val="single"/>
          <w:lang w:val="pl-PL"/>
        </w:rPr>
      </w:pPr>
    </w:p>
    <w:p w14:paraId="1B2D0E9A" w14:textId="77777777" w:rsidR="002E5800" w:rsidRPr="008F328C" w:rsidRDefault="000E0B7C">
      <w:pPr>
        <w:pStyle w:val="a3"/>
        <w:rPr>
          <w:u w:val="single"/>
          <w:lang w:val="pl-PL"/>
        </w:rPr>
      </w:pPr>
      <w:r w:rsidRPr="008F328C">
        <w:rPr>
          <w:rFonts w:eastAsia="Times New Roman"/>
          <w:u w:val="single"/>
          <w:lang w:val="pl-PL"/>
        </w:rPr>
        <w:t>Nowotwory</w:t>
      </w:r>
    </w:p>
    <w:p w14:paraId="2A95E2AB" w14:textId="77777777" w:rsidR="002E5800" w:rsidRPr="008F328C" w:rsidRDefault="002E5800">
      <w:pPr>
        <w:pStyle w:val="a3"/>
        <w:rPr>
          <w:u w:val="single"/>
          <w:lang w:val="pl-PL"/>
        </w:rPr>
      </w:pPr>
    </w:p>
    <w:p w14:paraId="532580DA" w14:textId="77777777" w:rsidR="002E5800" w:rsidRPr="008F328C" w:rsidRDefault="000E0B7C">
      <w:pPr>
        <w:pStyle w:val="a3"/>
        <w:numPr>
          <w:ilvl w:val="1"/>
          <w:numId w:val="4"/>
        </w:numPr>
        <w:ind w:left="660" w:hanging="660"/>
        <w:rPr>
          <w:lang w:val="pl-PL"/>
        </w:rPr>
      </w:pPr>
      <w:r w:rsidRPr="008F328C">
        <w:rPr>
          <w:rFonts w:eastAsia="Times New Roman"/>
          <w:lang w:val="pl-PL"/>
        </w:rPr>
        <w:t xml:space="preserve">U pacjentów przyjmujących lek Yuflyma lub inne leki blokujące TNF w bardzo rzadkich </w:t>
      </w:r>
      <w:r w:rsidRPr="008F328C">
        <w:rPr>
          <w:rFonts w:eastAsia="Times New Roman"/>
          <w:lang w:val="pl-PL"/>
        </w:rPr>
        <w:lastRenderedPageBreak/>
        <w:t>przypadkach występowały pewne rodzaje nowotworów u dzieci i dorosłych.</w:t>
      </w:r>
    </w:p>
    <w:p w14:paraId="60CD1704" w14:textId="77777777" w:rsidR="002E5800" w:rsidRPr="008F328C" w:rsidRDefault="002E5800">
      <w:pPr>
        <w:pStyle w:val="a3"/>
        <w:rPr>
          <w:lang w:val="pl-PL"/>
        </w:rPr>
      </w:pPr>
    </w:p>
    <w:p w14:paraId="36F8DCE7" w14:textId="77777777" w:rsidR="002E5800" w:rsidRPr="008F328C" w:rsidRDefault="000E0B7C">
      <w:pPr>
        <w:pStyle w:val="a3"/>
        <w:numPr>
          <w:ilvl w:val="1"/>
          <w:numId w:val="4"/>
        </w:numPr>
        <w:ind w:left="998" w:hanging="340"/>
        <w:rPr>
          <w:lang w:val="pl-PL"/>
        </w:rPr>
      </w:pPr>
      <w:r w:rsidRPr="008F328C">
        <w:rPr>
          <w:rFonts w:eastAsia="Times New Roman"/>
          <w:lang w:val="pl-PL"/>
        </w:rPr>
        <w:t>U osób z cięższą postacią reumatoidalnego zapalenia stawów, chorujących od dłuższego czasu, ryzyko wystąpienia chłoniaka (nowotwór złośliwy układu limfatycznego) oraz białaczki (nowotwór złośliwy krwi i szpiku kostnego) może być większe od przeciętnego.</w:t>
      </w:r>
    </w:p>
    <w:p w14:paraId="043F6BB4" w14:textId="77777777" w:rsidR="002E5800" w:rsidRPr="008F328C" w:rsidRDefault="000E0B7C">
      <w:pPr>
        <w:pStyle w:val="a3"/>
        <w:numPr>
          <w:ilvl w:val="1"/>
          <w:numId w:val="4"/>
        </w:numPr>
        <w:ind w:left="998" w:hanging="340"/>
        <w:rPr>
          <w:lang w:val="pl-PL"/>
        </w:rPr>
      </w:pPr>
      <w:r w:rsidRPr="008F328C">
        <w:rPr>
          <w:rFonts w:eastAsia="Times New Roman"/>
          <w:lang w:val="pl-PL"/>
        </w:rPr>
        <w:t>U pacjentów przyjmujących lek Yuflyma, ryzyko wystąpienia chłoniaka, białaczki lub innych nowotworów złośliwych może być większe. W rzadkich przypadkach u pacjentów przyjmujących lek Yuflyma stwierdzono rzadko występujący, poważny typ chłoniaka. Niektórych z tych pacjentów leczono również azatiopryną lub 6-merkaptopuryną.</w:t>
      </w:r>
    </w:p>
    <w:p w14:paraId="10138D71" w14:textId="77777777" w:rsidR="002E5800" w:rsidRPr="008F328C" w:rsidRDefault="000E0B7C">
      <w:pPr>
        <w:pStyle w:val="a3"/>
        <w:numPr>
          <w:ilvl w:val="1"/>
          <w:numId w:val="4"/>
        </w:numPr>
        <w:ind w:left="998" w:hanging="340"/>
        <w:rPr>
          <w:lang w:val="pl-PL"/>
        </w:rPr>
      </w:pPr>
      <w:r w:rsidRPr="008F328C">
        <w:rPr>
          <w:rFonts w:eastAsia="Times New Roman"/>
          <w:lang w:val="pl-PL"/>
        </w:rPr>
        <w:t>Należy poinformować lekarza, jeśli pacjent przyjmuje azatioprynę lub 6-merkaptopurynę z lekiem Yuflyma.</w:t>
      </w:r>
    </w:p>
    <w:p w14:paraId="5925F29A" w14:textId="77777777" w:rsidR="002E5800" w:rsidRPr="008F328C" w:rsidRDefault="000E0B7C">
      <w:pPr>
        <w:pStyle w:val="a3"/>
        <w:numPr>
          <w:ilvl w:val="1"/>
          <w:numId w:val="4"/>
        </w:numPr>
        <w:ind w:left="998" w:hanging="340"/>
        <w:rPr>
          <w:lang w:val="pl-PL"/>
        </w:rPr>
      </w:pPr>
      <w:r w:rsidRPr="008F328C">
        <w:rPr>
          <w:rFonts w:eastAsia="Times New Roman"/>
          <w:lang w:val="pl-PL"/>
        </w:rPr>
        <w:t>U pacjentów przyjmujących lek Yuflyma obserwowano przypadki raka skóry niebędącego czerniakiem.</w:t>
      </w:r>
    </w:p>
    <w:p w14:paraId="1FD8F3E2" w14:textId="77777777" w:rsidR="002E5800" w:rsidRPr="008F328C" w:rsidRDefault="000E0B7C">
      <w:pPr>
        <w:pStyle w:val="a3"/>
        <w:numPr>
          <w:ilvl w:val="1"/>
          <w:numId w:val="4"/>
        </w:numPr>
        <w:ind w:left="998" w:hanging="340"/>
        <w:rPr>
          <w:lang w:val="pl-PL"/>
        </w:rPr>
      </w:pPr>
      <w:r w:rsidRPr="008F328C">
        <w:rPr>
          <w:rFonts w:eastAsia="Times New Roman"/>
          <w:lang w:val="pl-PL"/>
        </w:rPr>
        <w:t>Należy poinformować lekarza, jeśli podczas leczenia lub po leczeniu pojawią się nowe zmiany skórne, lub jeśli istniejące zmiany zmienią wygląd.</w:t>
      </w:r>
    </w:p>
    <w:p w14:paraId="6110FB31" w14:textId="77777777" w:rsidR="002E5800" w:rsidRPr="008F328C" w:rsidRDefault="002E5800">
      <w:pPr>
        <w:pStyle w:val="a3"/>
        <w:rPr>
          <w:lang w:val="pl-PL"/>
        </w:rPr>
      </w:pPr>
    </w:p>
    <w:p w14:paraId="63817BB0" w14:textId="77777777" w:rsidR="002E5800" w:rsidRPr="008F328C" w:rsidRDefault="000E0B7C">
      <w:pPr>
        <w:pStyle w:val="a3"/>
        <w:numPr>
          <w:ilvl w:val="1"/>
          <w:numId w:val="4"/>
        </w:numPr>
        <w:ind w:left="660" w:hanging="660"/>
        <w:rPr>
          <w:lang w:val="pl-PL"/>
        </w:rPr>
      </w:pPr>
      <w:r w:rsidRPr="008F328C">
        <w:rPr>
          <w:rFonts w:eastAsia="Times New Roman"/>
          <w:lang w:val="pl-PL"/>
        </w:rPr>
        <w:t>Przypadki nowotworów złośliwych, innych niż chłoniak, występowały u pacjentów ze szczególnym rodzajem choroby płuc zwanej przewlekłą obturacyjną chorobą płuc (POChP) leczonych innym lekiem blokującym TNF. Jeśli pacjent choruje na POChP lub jest nałogowym palaczem, powinien omówić z lekarzem, czy stosowanie leku blokującego TNF jest dla niego odpowiednie.</w:t>
      </w:r>
    </w:p>
    <w:p w14:paraId="7972F68F" w14:textId="77777777" w:rsidR="002E5800" w:rsidRPr="008F328C" w:rsidRDefault="002E5800">
      <w:pPr>
        <w:spacing w:before="11" w:line="240" w:lineRule="exact"/>
        <w:rPr>
          <w:rFonts w:ascii="Times New Roman" w:hAnsi="Times New Roman" w:cs="Times New Roman"/>
          <w:sz w:val="24"/>
          <w:szCs w:val="24"/>
          <w:lang w:val="pl-PL"/>
        </w:rPr>
      </w:pPr>
    </w:p>
    <w:p w14:paraId="4A69D42B" w14:textId="77777777" w:rsidR="002E5800" w:rsidRPr="008F328C" w:rsidRDefault="000E0B7C">
      <w:pPr>
        <w:pStyle w:val="a3"/>
        <w:rPr>
          <w:u w:val="single"/>
          <w:lang w:val="pl-PL"/>
        </w:rPr>
      </w:pPr>
      <w:r w:rsidRPr="008F328C">
        <w:rPr>
          <w:rFonts w:eastAsia="Times New Roman"/>
          <w:u w:val="single" w:color="000000"/>
          <w:lang w:val="pl-PL"/>
        </w:rPr>
        <w:t>Choroby autoimmunizacyjne</w:t>
      </w:r>
    </w:p>
    <w:p w14:paraId="58FD5827" w14:textId="77777777" w:rsidR="002E5800" w:rsidRPr="008F328C" w:rsidRDefault="002E5800">
      <w:pPr>
        <w:spacing w:before="4" w:line="190" w:lineRule="exact"/>
        <w:rPr>
          <w:rFonts w:ascii="Times New Roman" w:hAnsi="Times New Roman" w:cs="Times New Roman"/>
          <w:sz w:val="19"/>
          <w:szCs w:val="19"/>
          <w:lang w:val="pl-PL"/>
        </w:rPr>
      </w:pPr>
    </w:p>
    <w:p w14:paraId="0A2BA48A" w14:textId="77777777" w:rsidR="002E5800" w:rsidRPr="008F328C" w:rsidRDefault="000E0B7C">
      <w:pPr>
        <w:pStyle w:val="a3"/>
        <w:numPr>
          <w:ilvl w:val="1"/>
          <w:numId w:val="4"/>
        </w:numPr>
        <w:ind w:left="660" w:hanging="660"/>
        <w:rPr>
          <w:lang w:val="pl-PL"/>
        </w:rPr>
      </w:pPr>
      <w:r w:rsidRPr="008F328C">
        <w:rPr>
          <w:rFonts w:eastAsia="Times New Roman"/>
          <w:lang w:val="pl-PL"/>
        </w:rPr>
        <w:t>W rzadkich przypadkach, leczenie lekiem Yuflyma może powodować zespół toczniopodobny. Należy skontaktować się z lekarzem jeśli wystąpią takie objawy, jak uporczywa niewyjaśniona wysypka, gorączka, bóle stawów lub zmęczenie.</w:t>
      </w:r>
    </w:p>
    <w:p w14:paraId="475409D7" w14:textId="77777777" w:rsidR="002E5800" w:rsidRPr="008F328C" w:rsidRDefault="002E5800">
      <w:pPr>
        <w:spacing w:before="15" w:line="240" w:lineRule="exact"/>
        <w:rPr>
          <w:rFonts w:ascii="Times New Roman" w:hAnsi="Times New Roman" w:cs="Times New Roman"/>
          <w:sz w:val="24"/>
          <w:szCs w:val="24"/>
          <w:lang w:val="pl-PL"/>
        </w:rPr>
      </w:pPr>
    </w:p>
    <w:p w14:paraId="7E0A506C" w14:textId="77777777" w:rsidR="002E5800" w:rsidRPr="008F328C" w:rsidRDefault="000E0B7C">
      <w:pPr>
        <w:pStyle w:val="a3"/>
        <w:rPr>
          <w:b/>
          <w:lang w:val="pl-PL"/>
        </w:rPr>
      </w:pPr>
      <w:r w:rsidRPr="008F328C">
        <w:rPr>
          <w:rFonts w:eastAsia="Times New Roman"/>
          <w:b/>
          <w:bCs/>
          <w:lang w:val="pl-PL"/>
        </w:rPr>
        <w:t>Dzieci i młodzież</w:t>
      </w:r>
    </w:p>
    <w:p w14:paraId="6CBC3ED6" w14:textId="77777777" w:rsidR="002E5800" w:rsidRPr="008F328C" w:rsidRDefault="002E5800">
      <w:pPr>
        <w:spacing w:before="10" w:line="240" w:lineRule="exact"/>
        <w:rPr>
          <w:rFonts w:ascii="Times New Roman" w:hAnsi="Times New Roman" w:cs="Times New Roman"/>
          <w:sz w:val="24"/>
          <w:szCs w:val="24"/>
          <w:lang w:val="pl-PL"/>
        </w:rPr>
      </w:pPr>
    </w:p>
    <w:p w14:paraId="0CC37E79" w14:textId="77777777" w:rsidR="002E5800" w:rsidRPr="008F328C" w:rsidRDefault="000E0B7C">
      <w:pPr>
        <w:pStyle w:val="a3"/>
        <w:numPr>
          <w:ilvl w:val="1"/>
          <w:numId w:val="4"/>
        </w:numPr>
        <w:ind w:left="660" w:hanging="660"/>
        <w:rPr>
          <w:lang w:val="pl-PL"/>
        </w:rPr>
      </w:pPr>
      <w:r w:rsidRPr="008F328C">
        <w:rPr>
          <w:rFonts w:eastAsia="Times New Roman"/>
          <w:lang w:val="pl-PL"/>
        </w:rPr>
        <w:t>Szczepienia: Jeśli to możliwe, przed rozpoczęciem stosowania leku Yuflyma u dziecka należy przeprowadzić wszystkie szczepienia zgodnie z obowiązującym kalendarzem szczepień.</w:t>
      </w:r>
    </w:p>
    <w:p w14:paraId="42D79CA2" w14:textId="77777777" w:rsidR="002E5800" w:rsidRPr="008F328C" w:rsidRDefault="002E5800">
      <w:pPr>
        <w:pStyle w:val="a3"/>
        <w:rPr>
          <w:b/>
          <w:lang w:val="pl-PL"/>
        </w:rPr>
      </w:pPr>
    </w:p>
    <w:p w14:paraId="64A0C0ED" w14:textId="77777777" w:rsidR="002E5800" w:rsidRPr="008F328C" w:rsidRDefault="000E0B7C">
      <w:pPr>
        <w:pStyle w:val="a3"/>
        <w:rPr>
          <w:b/>
          <w:lang w:val="pl-PL"/>
        </w:rPr>
      </w:pPr>
      <w:r w:rsidRPr="008F328C">
        <w:rPr>
          <w:rFonts w:eastAsia="Times New Roman"/>
          <w:b/>
          <w:bCs/>
          <w:lang w:val="pl-PL"/>
        </w:rPr>
        <w:t>Yuflyma a inne leki</w:t>
      </w:r>
    </w:p>
    <w:p w14:paraId="06162848" w14:textId="77777777" w:rsidR="002E5800" w:rsidRPr="008F328C" w:rsidRDefault="002E5800">
      <w:pPr>
        <w:pStyle w:val="a3"/>
        <w:rPr>
          <w:b/>
          <w:lang w:val="pl-PL"/>
        </w:rPr>
      </w:pPr>
    </w:p>
    <w:p w14:paraId="1B140004" w14:textId="77777777" w:rsidR="002E5800" w:rsidRPr="008F328C" w:rsidRDefault="000E0B7C">
      <w:pPr>
        <w:pStyle w:val="a3"/>
        <w:rPr>
          <w:lang w:val="pl-PL"/>
        </w:rPr>
      </w:pPr>
      <w:r w:rsidRPr="008F328C">
        <w:rPr>
          <w:rFonts w:eastAsia="Times New Roman"/>
          <w:lang w:val="pl-PL"/>
        </w:rPr>
        <w:t>Należy powiedzieć lekarzowi lub farmaceucie o wszystkich lekach przyjmowanych przez pacjenta obecnie lub ostatnio, a także o lekach, które pacjent planuje przyjmować. Nie należy stosować Yuflyma z lekami zawierającymi substancje czynne wymienione poniżej, ponieważ zwiększają ryzyko wystąpienia</w:t>
      </w:r>
    </w:p>
    <w:p w14:paraId="69515338" w14:textId="77777777" w:rsidR="002E5800" w:rsidRPr="008F328C" w:rsidRDefault="000E0B7C">
      <w:pPr>
        <w:pStyle w:val="a3"/>
        <w:rPr>
          <w:lang w:val="pl-PL"/>
        </w:rPr>
      </w:pPr>
      <w:r w:rsidRPr="008F328C">
        <w:rPr>
          <w:rFonts w:eastAsia="Times New Roman"/>
          <w:lang w:val="pl-PL"/>
        </w:rPr>
        <w:t>poważnych zakażeń:</w:t>
      </w:r>
    </w:p>
    <w:p w14:paraId="6FF28D44" w14:textId="77777777" w:rsidR="002E5800" w:rsidRPr="008F328C" w:rsidRDefault="002E5800">
      <w:pPr>
        <w:pStyle w:val="a3"/>
        <w:rPr>
          <w:lang w:val="pl-PL"/>
        </w:rPr>
      </w:pPr>
    </w:p>
    <w:p w14:paraId="4722688E" w14:textId="77777777" w:rsidR="002E5800" w:rsidRPr="008F328C" w:rsidRDefault="000E0B7C">
      <w:pPr>
        <w:pStyle w:val="a3"/>
        <w:numPr>
          <w:ilvl w:val="1"/>
          <w:numId w:val="4"/>
        </w:numPr>
        <w:ind w:left="660" w:hanging="660"/>
        <w:rPr>
          <w:lang w:val="pl-PL"/>
        </w:rPr>
      </w:pPr>
      <w:r w:rsidRPr="008F328C">
        <w:rPr>
          <w:rFonts w:eastAsia="Times New Roman"/>
          <w:lang w:val="pl-PL"/>
        </w:rPr>
        <w:t>anakinra</w:t>
      </w:r>
    </w:p>
    <w:p w14:paraId="0E11FD5C" w14:textId="77777777" w:rsidR="002E5800" w:rsidRPr="008F328C" w:rsidRDefault="000E0B7C">
      <w:pPr>
        <w:pStyle w:val="a3"/>
        <w:numPr>
          <w:ilvl w:val="1"/>
          <w:numId w:val="4"/>
        </w:numPr>
        <w:ind w:left="660" w:hanging="660"/>
        <w:rPr>
          <w:lang w:val="pl-PL"/>
        </w:rPr>
      </w:pPr>
      <w:r w:rsidRPr="008F328C">
        <w:rPr>
          <w:rFonts w:eastAsia="Times New Roman"/>
          <w:lang w:val="pl-PL"/>
        </w:rPr>
        <w:t>abatacept.</w:t>
      </w:r>
    </w:p>
    <w:p w14:paraId="633169DE" w14:textId="77777777" w:rsidR="002E5800" w:rsidRPr="008F328C" w:rsidRDefault="002E5800">
      <w:pPr>
        <w:pStyle w:val="a3"/>
        <w:rPr>
          <w:lang w:val="pl-PL"/>
        </w:rPr>
      </w:pPr>
    </w:p>
    <w:p w14:paraId="79B7535E" w14:textId="77777777" w:rsidR="002E5800" w:rsidRPr="008F328C" w:rsidRDefault="000E0B7C">
      <w:pPr>
        <w:pStyle w:val="a3"/>
        <w:rPr>
          <w:lang w:val="pl-PL"/>
        </w:rPr>
      </w:pPr>
      <w:r w:rsidRPr="008F328C">
        <w:rPr>
          <w:rFonts w:eastAsia="Times New Roman"/>
          <w:lang w:val="pl-PL"/>
        </w:rPr>
        <w:t>Lek Yuflyma można przyjmować łącznie z:</w:t>
      </w:r>
    </w:p>
    <w:p w14:paraId="090648AB" w14:textId="77777777" w:rsidR="002E5800" w:rsidRPr="008F328C" w:rsidRDefault="000E0B7C">
      <w:pPr>
        <w:pStyle w:val="a3"/>
        <w:numPr>
          <w:ilvl w:val="1"/>
          <w:numId w:val="4"/>
        </w:numPr>
        <w:ind w:left="660" w:hanging="660"/>
        <w:rPr>
          <w:lang w:val="pl-PL"/>
        </w:rPr>
      </w:pPr>
      <w:r w:rsidRPr="008F328C">
        <w:rPr>
          <w:rFonts w:eastAsia="Times New Roman"/>
          <w:lang w:val="pl-PL"/>
        </w:rPr>
        <w:t>metotreksatem</w:t>
      </w:r>
    </w:p>
    <w:p w14:paraId="511E83FD" w14:textId="77777777" w:rsidR="002E5800" w:rsidRPr="008F328C" w:rsidRDefault="000E0B7C">
      <w:pPr>
        <w:pStyle w:val="a3"/>
        <w:numPr>
          <w:ilvl w:val="1"/>
          <w:numId w:val="4"/>
        </w:numPr>
        <w:ind w:left="660" w:hanging="660"/>
        <w:rPr>
          <w:lang w:val="pl-PL"/>
        </w:rPr>
      </w:pPr>
      <w:r w:rsidRPr="008F328C">
        <w:rPr>
          <w:rFonts w:eastAsia="Times New Roman"/>
          <w:lang w:val="pl-PL"/>
        </w:rPr>
        <w:t>niektórymi innymi lekami modyfikującymi przebieg choroby (na przykład sulfasalazyna, hydroksychlorochina, leflunomid lub preparaty złota do wstrzykiwań)</w:t>
      </w:r>
    </w:p>
    <w:p w14:paraId="1ABA5FC6" w14:textId="77777777" w:rsidR="002E5800" w:rsidRPr="008F328C" w:rsidRDefault="000E0B7C">
      <w:pPr>
        <w:pStyle w:val="a3"/>
        <w:numPr>
          <w:ilvl w:val="1"/>
          <w:numId w:val="4"/>
        </w:numPr>
        <w:ind w:left="660" w:hanging="660"/>
        <w:rPr>
          <w:lang w:val="pl-PL"/>
        </w:rPr>
      </w:pPr>
      <w:r w:rsidRPr="008F328C">
        <w:rPr>
          <w:rFonts w:eastAsia="Times New Roman"/>
          <w:lang w:val="pl-PL"/>
        </w:rPr>
        <w:t>steroidami lub lekami przeciwbólowymi, w tym z niesteroidowymi lekami przeciwzapalnymi (NLPZ).</w:t>
      </w:r>
    </w:p>
    <w:p w14:paraId="7AF8E0C1" w14:textId="77777777" w:rsidR="002E5800" w:rsidRPr="008F328C" w:rsidRDefault="002E5800">
      <w:pPr>
        <w:pStyle w:val="a3"/>
        <w:rPr>
          <w:lang w:val="pl-PL"/>
        </w:rPr>
      </w:pPr>
    </w:p>
    <w:p w14:paraId="38D3444D" w14:textId="77777777" w:rsidR="002E5800" w:rsidRPr="008F328C" w:rsidRDefault="000E0B7C">
      <w:pPr>
        <w:pStyle w:val="a3"/>
        <w:rPr>
          <w:lang w:val="pl-PL"/>
        </w:rPr>
      </w:pPr>
      <w:r w:rsidRPr="008F328C">
        <w:rPr>
          <w:rFonts w:eastAsia="Times New Roman"/>
          <w:lang w:val="pl-PL"/>
        </w:rPr>
        <w:t>W razie wątpliwości należy zapytać lekarza.</w:t>
      </w:r>
    </w:p>
    <w:p w14:paraId="1BEFFEF0" w14:textId="77777777" w:rsidR="002E5800" w:rsidRPr="008F328C" w:rsidRDefault="002E5800">
      <w:pPr>
        <w:spacing w:before="18" w:line="240" w:lineRule="exact"/>
        <w:rPr>
          <w:rFonts w:ascii="Times New Roman" w:hAnsi="Times New Roman" w:cs="Times New Roman"/>
          <w:sz w:val="24"/>
          <w:szCs w:val="24"/>
          <w:lang w:val="pl-PL"/>
        </w:rPr>
      </w:pPr>
    </w:p>
    <w:p w14:paraId="6114032B" w14:textId="77777777" w:rsidR="002E5800" w:rsidRPr="008F328C" w:rsidRDefault="000E0B7C">
      <w:pPr>
        <w:pStyle w:val="a3"/>
        <w:rPr>
          <w:b/>
          <w:lang w:val="pl-PL"/>
        </w:rPr>
      </w:pPr>
      <w:r w:rsidRPr="008F328C">
        <w:rPr>
          <w:rFonts w:eastAsia="Times New Roman"/>
          <w:b/>
          <w:bCs/>
          <w:lang w:val="pl-PL"/>
        </w:rPr>
        <w:t>Ciąża i karmienie piersią</w:t>
      </w:r>
    </w:p>
    <w:p w14:paraId="57CA7B7C" w14:textId="77777777" w:rsidR="002E5800" w:rsidRPr="008F328C" w:rsidRDefault="002E5800">
      <w:pPr>
        <w:spacing w:before="9" w:line="260" w:lineRule="exact"/>
        <w:rPr>
          <w:rFonts w:ascii="Times New Roman" w:hAnsi="Times New Roman" w:cs="Times New Roman"/>
          <w:sz w:val="26"/>
          <w:szCs w:val="26"/>
          <w:lang w:val="pl-PL"/>
        </w:rPr>
      </w:pPr>
    </w:p>
    <w:p w14:paraId="0DF02F59" w14:textId="77777777" w:rsidR="002E5800" w:rsidRPr="008F328C" w:rsidRDefault="000E0B7C">
      <w:pPr>
        <w:pStyle w:val="a3"/>
        <w:numPr>
          <w:ilvl w:val="1"/>
          <w:numId w:val="4"/>
        </w:numPr>
        <w:ind w:left="660" w:hanging="660"/>
        <w:rPr>
          <w:lang w:val="pl-PL"/>
        </w:rPr>
      </w:pPr>
      <w:r w:rsidRPr="008F328C">
        <w:rPr>
          <w:rFonts w:eastAsia="Times New Roman"/>
          <w:lang w:val="pl-PL"/>
        </w:rPr>
        <w:t>Pacjentki powinny rozważyć stosowanie odpowiedniej metody zapobiegania ciąży i jej kontynuowanie przez co najmniej 5 miesięcy po przyjęciu ostatniej dawki leku Yuflyma.</w:t>
      </w:r>
    </w:p>
    <w:p w14:paraId="52552101"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pacjentka jest w ciąży, przypuszcza że może być w ciąży lub gdy planuje mieć dziecko, powinna poradzić się lekarza przed zastosowaniem tego leku.</w:t>
      </w:r>
    </w:p>
    <w:p w14:paraId="26DFFBA1" w14:textId="77777777" w:rsidR="002E5800" w:rsidRPr="008F328C" w:rsidRDefault="000E0B7C">
      <w:pPr>
        <w:pStyle w:val="a3"/>
        <w:numPr>
          <w:ilvl w:val="1"/>
          <w:numId w:val="4"/>
        </w:numPr>
        <w:ind w:left="660" w:hanging="660"/>
        <w:rPr>
          <w:lang w:val="pl-PL"/>
        </w:rPr>
      </w:pPr>
      <w:r w:rsidRPr="008F328C">
        <w:rPr>
          <w:rFonts w:eastAsia="Times New Roman"/>
          <w:lang w:val="pl-PL"/>
        </w:rPr>
        <w:t>Lek Yuflyma należy stosować w czasie ciąży, tylko jeśli jest to bezwzględnie konieczne.</w:t>
      </w:r>
    </w:p>
    <w:p w14:paraId="79C52846" w14:textId="77777777" w:rsidR="002E5800" w:rsidRPr="008F328C" w:rsidRDefault="000E0B7C">
      <w:pPr>
        <w:pStyle w:val="a3"/>
        <w:numPr>
          <w:ilvl w:val="1"/>
          <w:numId w:val="4"/>
        </w:numPr>
        <w:ind w:left="660" w:hanging="660"/>
        <w:rPr>
          <w:lang w:val="pl-PL"/>
        </w:rPr>
      </w:pPr>
      <w:r w:rsidRPr="008F328C">
        <w:rPr>
          <w:rFonts w:eastAsia="Times New Roman"/>
          <w:lang w:val="pl-PL"/>
        </w:rPr>
        <w:t>Zgodnie z badaniami dotyczącymi ciąży, nie występowało wyższe ryzyko wad rozwojowych, kiedy matka przyjmowała lek Yuflyma w okresie ciąży, w porównaniu do matek chorujących na tą samą chorobę, które nie otrzymywały leku Yuflyma.</w:t>
      </w:r>
    </w:p>
    <w:p w14:paraId="1BA70F00" w14:textId="77777777" w:rsidR="002E5800" w:rsidRPr="008F328C" w:rsidRDefault="000E0B7C">
      <w:pPr>
        <w:pStyle w:val="a3"/>
        <w:numPr>
          <w:ilvl w:val="1"/>
          <w:numId w:val="4"/>
        </w:numPr>
        <w:ind w:left="660" w:hanging="660"/>
        <w:rPr>
          <w:lang w:val="pl-PL"/>
        </w:rPr>
      </w:pPr>
      <w:r w:rsidRPr="008F328C">
        <w:rPr>
          <w:rFonts w:eastAsia="Times New Roman"/>
          <w:lang w:val="pl-PL"/>
        </w:rPr>
        <w:t>Lek Yuflyma może być stosowany podczas karmienia piersią.</w:t>
      </w:r>
    </w:p>
    <w:p w14:paraId="72F7395B" w14:textId="77777777" w:rsidR="002E5800" w:rsidRPr="008F328C" w:rsidRDefault="000E0B7C">
      <w:pPr>
        <w:pStyle w:val="a3"/>
        <w:numPr>
          <w:ilvl w:val="1"/>
          <w:numId w:val="4"/>
        </w:numPr>
        <w:ind w:left="660" w:hanging="660"/>
        <w:rPr>
          <w:lang w:val="pl-PL"/>
        </w:rPr>
      </w:pPr>
      <w:r w:rsidRPr="008F328C">
        <w:rPr>
          <w:rFonts w:eastAsia="Times New Roman"/>
          <w:lang w:val="pl-PL"/>
        </w:rPr>
        <w:t>Jeśli pacjentka otrzymywała lek Yuflyma w okresie ciąży, u dziecka może występować zwiększone ryzyko zakażenia.</w:t>
      </w:r>
    </w:p>
    <w:p w14:paraId="11604768" w14:textId="77777777" w:rsidR="002E5800" w:rsidRPr="008F328C" w:rsidRDefault="000E0B7C">
      <w:pPr>
        <w:pStyle w:val="a3"/>
        <w:numPr>
          <w:ilvl w:val="1"/>
          <w:numId w:val="4"/>
        </w:numPr>
        <w:ind w:left="660" w:hanging="660"/>
        <w:rPr>
          <w:lang w:val="pl-PL"/>
        </w:rPr>
      </w:pPr>
      <w:r w:rsidRPr="008F328C">
        <w:rPr>
          <w:rFonts w:eastAsia="Times New Roman"/>
          <w:lang w:val="pl-PL"/>
        </w:rPr>
        <w:t>Należy koniecznie poinformować lekarzy dziecka i innych pracowników opieki zdrowotnej o przyjmowaniu leku Yuflyma w okresie ciąży, zanim dziecko otrzyma jakąkolwiek szczepionkę. Więcej informacji o szczepionkach, patrz punkt „Ostrzeżenia i środki ostrożności”.</w:t>
      </w:r>
    </w:p>
    <w:p w14:paraId="35A01143" w14:textId="77777777" w:rsidR="002E5800" w:rsidRPr="008F328C" w:rsidRDefault="002E5800">
      <w:pPr>
        <w:spacing w:before="15" w:line="240" w:lineRule="exact"/>
        <w:rPr>
          <w:rFonts w:ascii="Times New Roman" w:hAnsi="Times New Roman" w:cs="Times New Roman"/>
          <w:b/>
          <w:sz w:val="24"/>
          <w:szCs w:val="24"/>
          <w:lang w:val="pl-PL"/>
        </w:rPr>
      </w:pPr>
    </w:p>
    <w:p w14:paraId="58C2FED2" w14:textId="77777777" w:rsidR="002E5800" w:rsidRPr="008F328C" w:rsidRDefault="000E0B7C">
      <w:pPr>
        <w:pStyle w:val="a3"/>
        <w:rPr>
          <w:b/>
          <w:lang w:val="pl-PL"/>
        </w:rPr>
      </w:pPr>
      <w:r w:rsidRPr="008F328C">
        <w:rPr>
          <w:rFonts w:eastAsia="Times New Roman"/>
          <w:b/>
          <w:bCs/>
          <w:lang w:val="pl-PL"/>
        </w:rPr>
        <w:t>Prowadzenie pojazdów i obsługiwanie maszyn</w:t>
      </w:r>
    </w:p>
    <w:p w14:paraId="4BB6A311" w14:textId="77777777" w:rsidR="002E5800" w:rsidRPr="008F328C" w:rsidRDefault="002E5800">
      <w:pPr>
        <w:spacing w:before="12" w:line="240" w:lineRule="exact"/>
        <w:rPr>
          <w:rFonts w:ascii="Times New Roman" w:hAnsi="Times New Roman" w:cs="Times New Roman"/>
          <w:sz w:val="24"/>
          <w:szCs w:val="24"/>
          <w:lang w:val="pl-PL"/>
        </w:rPr>
      </w:pPr>
    </w:p>
    <w:p w14:paraId="389AA8C8" w14:textId="77777777" w:rsidR="002E5800" w:rsidRPr="008F328C" w:rsidRDefault="000E0B7C">
      <w:pPr>
        <w:pStyle w:val="a3"/>
        <w:rPr>
          <w:lang w:val="pl-PL"/>
        </w:rPr>
      </w:pPr>
      <w:r w:rsidRPr="008F328C">
        <w:rPr>
          <w:rFonts w:eastAsia="Times New Roman"/>
          <w:lang w:val="pl-PL"/>
        </w:rPr>
        <w:t>Lek Yuflyma może mieć niewielki wpływ na zdolność prowadzenia pojazdów, jazdę na rowerze i obsługę maszyn. Po przyjęciu leku Yuflyma wystąpić może wrażenie wirowania pomieszczenia i zaburzenia widzenia.</w:t>
      </w:r>
    </w:p>
    <w:p w14:paraId="2049BFD3" w14:textId="77777777" w:rsidR="002E5800" w:rsidRPr="008F328C" w:rsidRDefault="002E5800">
      <w:pPr>
        <w:spacing w:line="200" w:lineRule="exact"/>
        <w:rPr>
          <w:rFonts w:ascii="Times New Roman" w:hAnsi="Times New Roman" w:cs="Times New Roman"/>
          <w:sz w:val="20"/>
          <w:szCs w:val="20"/>
          <w:lang w:val="pl-PL"/>
        </w:rPr>
      </w:pPr>
    </w:p>
    <w:p w14:paraId="4850B9D9" w14:textId="0C5B231E" w:rsidR="002E5800" w:rsidRPr="008F328C" w:rsidRDefault="00D71C09">
      <w:pPr>
        <w:pStyle w:val="a3"/>
        <w:rPr>
          <w:b/>
          <w:lang w:val="pl-PL"/>
        </w:rPr>
      </w:pPr>
      <w:r>
        <w:rPr>
          <w:rFonts w:hint="eastAsia"/>
          <w:b/>
          <w:bCs/>
          <w:lang w:val="pl-PL" w:eastAsia="ko-KR"/>
        </w:rPr>
        <w:t>Yuflyma</w:t>
      </w:r>
      <w:r w:rsidRPr="008F328C">
        <w:rPr>
          <w:rFonts w:eastAsia="Times New Roman"/>
          <w:b/>
          <w:bCs/>
          <w:lang w:val="pl-PL"/>
        </w:rPr>
        <w:t xml:space="preserve"> </w:t>
      </w:r>
      <w:r w:rsidR="000E0B7C" w:rsidRPr="008F328C">
        <w:rPr>
          <w:rFonts w:eastAsia="Times New Roman"/>
          <w:b/>
          <w:bCs/>
          <w:lang w:val="pl-PL"/>
        </w:rPr>
        <w:t>zawiera sód</w:t>
      </w:r>
    </w:p>
    <w:p w14:paraId="5BF69C83" w14:textId="77777777" w:rsidR="002E5800" w:rsidRPr="008F328C" w:rsidRDefault="002E5800">
      <w:pPr>
        <w:spacing w:before="12" w:line="240" w:lineRule="exact"/>
        <w:rPr>
          <w:rFonts w:ascii="Times New Roman" w:hAnsi="Times New Roman" w:cs="Times New Roman"/>
          <w:sz w:val="24"/>
          <w:szCs w:val="24"/>
          <w:lang w:val="pl-PL"/>
        </w:rPr>
      </w:pPr>
    </w:p>
    <w:p w14:paraId="733D4A04" w14:textId="0E51EE27" w:rsidR="002E5800" w:rsidRPr="008F328C" w:rsidRDefault="000E0B7C">
      <w:pPr>
        <w:spacing w:line="200" w:lineRule="exact"/>
        <w:rPr>
          <w:rFonts w:ascii="Times New Roman" w:hAnsi="Times New Roman" w:cs="Times New Roman"/>
          <w:sz w:val="20"/>
          <w:szCs w:val="20"/>
          <w:lang w:val="pl-PL"/>
        </w:rPr>
      </w:pPr>
      <w:r w:rsidRPr="008F328C">
        <w:rPr>
          <w:rFonts w:ascii="Times New Roman" w:eastAsia="Times New Roman" w:hAnsi="Times New Roman" w:cs="Times New Roman"/>
          <w:lang w:val="pl-PL"/>
        </w:rPr>
        <w:t>Lek zawiera mniej niż 1 mmol (23</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mg) sodu na dawkę 0,4</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ml, to znaczy lek uznaje się za „wolny od sodu”.</w:t>
      </w:r>
    </w:p>
    <w:p w14:paraId="114D75E4" w14:textId="1278141F" w:rsidR="002E5800" w:rsidRPr="008F328C" w:rsidRDefault="002E5800">
      <w:pPr>
        <w:spacing w:line="200" w:lineRule="exact"/>
        <w:rPr>
          <w:rFonts w:ascii="Times New Roman" w:hAnsi="Times New Roman" w:cs="Times New Roman"/>
          <w:sz w:val="20"/>
          <w:szCs w:val="20"/>
          <w:lang w:val="pl-PL"/>
        </w:rPr>
      </w:pPr>
    </w:p>
    <w:p w14:paraId="23A8AC40" w14:textId="77777777" w:rsidR="00CC4159" w:rsidRPr="008F328C" w:rsidRDefault="00CC4159">
      <w:pPr>
        <w:spacing w:line="200" w:lineRule="exact"/>
        <w:rPr>
          <w:rFonts w:ascii="Times New Roman" w:hAnsi="Times New Roman" w:cs="Times New Roman"/>
          <w:sz w:val="20"/>
          <w:szCs w:val="20"/>
          <w:lang w:val="pl-PL"/>
        </w:rPr>
      </w:pPr>
    </w:p>
    <w:p w14:paraId="63B057CF" w14:textId="77777777" w:rsidR="002E5800" w:rsidRPr="008F328C" w:rsidRDefault="000E0B7C" w:rsidP="00CC4159">
      <w:pPr>
        <w:pStyle w:val="a4"/>
        <w:numPr>
          <w:ilvl w:val="0"/>
          <w:numId w:val="38"/>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Jak stosować lek Yuflyma</w:t>
      </w:r>
    </w:p>
    <w:p w14:paraId="7F2591F0" w14:textId="77777777" w:rsidR="002E5800" w:rsidRPr="008F328C" w:rsidRDefault="002E5800">
      <w:pPr>
        <w:spacing w:before="9" w:line="240" w:lineRule="exact"/>
        <w:rPr>
          <w:rFonts w:ascii="Times New Roman" w:hAnsi="Times New Roman" w:cs="Times New Roman"/>
          <w:sz w:val="24"/>
          <w:szCs w:val="24"/>
          <w:lang w:val="pl-PL"/>
        </w:rPr>
      </w:pPr>
    </w:p>
    <w:p w14:paraId="5F5C9A0C" w14:textId="77777777" w:rsidR="002E5800" w:rsidRPr="008F328C" w:rsidRDefault="000E0B7C">
      <w:pPr>
        <w:pStyle w:val="a3"/>
        <w:rPr>
          <w:lang w:val="pl-PL"/>
        </w:rPr>
      </w:pPr>
      <w:r w:rsidRPr="008F328C">
        <w:rPr>
          <w:rFonts w:eastAsia="Times New Roman"/>
          <w:lang w:val="pl-PL"/>
        </w:rPr>
        <w:t>Ten lek należy zawsze przyjmować zgodnie z zaleceniami lekarza lub farmaceuty. W razie wątpliwości należy zwrócić się do lekarza lub farmaceuty.</w:t>
      </w:r>
    </w:p>
    <w:p w14:paraId="16CD595D" w14:textId="77777777" w:rsidR="00B2198A" w:rsidRPr="008F328C" w:rsidRDefault="00B2198A" w:rsidP="00B2198A">
      <w:pPr>
        <w:spacing w:before="10" w:line="240" w:lineRule="exact"/>
        <w:rPr>
          <w:rFonts w:ascii="Times New Roman" w:hAnsi="Times New Roman" w:cs="Times New Roman"/>
          <w:sz w:val="24"/>
          <w:szCs w:val="24"/>
          <w:lang w:val="pl-PL"/>
        </w:rPr>
      </w:pPr>
    </w:p>
    <w:p w14:paraId="5EE9FF27" w14:textId="780BE665" w:rsidR="00B2198A" w:rsidRPr="008F328C" w:rsidRDefault="00B2198A" w:rsidP="00B2198A">
      <w:pPr>
        <w:pStyle w:val="a3"/>
        <w:rPr>
          <w:rFonts w:eastAsia="Times New Roman"/>
          <w:lang w:val="pl-PL"/>
        </w:rPr>
      </w:pPr>
      <w:r w:rsidRPr="001E41EB">
        <w:rPr>
          <w:lang w:val="pl-PL"/>
        </w:rPr>
        <w:t xml:space="preserve">Zalecane dawki leku </w:t>
      </w:r>
      <w:r w:rsidR="00407CE8">
        <w:rPr>
          <w:lang w:val="pl-PL"/>
        </w:rPr>
        <w:t>Yuflyma</w:t>
      </w:r>
      <w:r w:rsidRPr="001E41EB">
        <w:rPr>
          <w:lang w:val="pl-PL"/>
        </w:rPr>
        <w:t xml:space="preserve"> w każdym z zarejestrowanych wskazań przedstawiono w tabeli poniżej. Lekarz może przepisać inną dawkę leku </w:t>
      </w:r>
      <w:r w:rsidR="00407CE8">
        <w:rPr>
          <w:lang w:val="pl-PL"/>
        </w:rPr>
        <w:t>Yuflyma</w:t>
      </w:r>
      <w:r w:rsidRPr="001E41EB">
        <w:rPr>
          <w:lang w:val="pl-PL"/>
        </w:rPr>
        <w:t xml:space="preserve">, jeśli inna dawka leku będzie </w:t>
      </w:r>
      <w:r w:rsidR="00C169C2">
        <w:rPr>
          <w:lang w:val="pl-PL"/>
        </w:rPr>
        <w:t>konieczna</w:t>
      </w:r>
      <w:r w:rsidRPr="001E41EB">
        <w:rPr>
          <w:lang w:val="pl-PL"/>
        </w:rPr>
        <w:t>.</w:t>
      </w:r>
    </w:p>
    <w:p w14:paraId="766B37B7" w14:textId="77777777" w:rsidR="006E749C" w:rsidRPr="008F328C" w:rsidRDefault="006E749C">
      <w:pPr>
        <w:pStyle w:val="a3"/>
        <w:rPr>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7DE60E5F"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4E525BDD" w14:textId="77777777" w:rsidR="002E5800" w:rsidRPr="008F328C" w:rsidRDefault="000E0B7C">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Reumatoidalne zapalenie stawów, łuszczycowe zapalenie stawów, zesztywniające zapalenie stawów kręgosłupa lub osiowa spondyloartropatia</w:t>
            </w:r>
          </w:p>
          <w:p w14:paraId="489B039A"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bez zmian radiograficznych charakterystycznych dla zesztywniającego zapalenia stawów kręgosłupa</w:t>
            </w:r>
          </w:p>
        </w:tc>
      </w:tr>
      <w:tr w:rsidR="002E5800" w:rsidRPr="008F328C" w14:paraId="48707D69"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DC25422"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2322A5D9"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0341354D"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77A678AD"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515DA3BC"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1E87F997"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617EE487"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A4787EC" w14:textId="2CA64017"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reumatoidalnym zapaleniu stawów</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podczas stosowania leku Yuflyma nadal podaje się metotreksat. Jeśli lekarz stwierdzi, że stosowanie metotreksatu jest niewskazane, można podawać sam lek Yuflyma.</w:t>
            </w:r>
          </w:p>
          <w:p w14:paraId="65364BDD" w14:textId="77777777" w:rsidR="002E5800" w:rsidRPr="008F328C" w:rsidRDefault="002E5800">
            <w:pPr>
              <w:pStyle w:val="TableParagraph"/>
              <w:spacing w:before="13" w:line="240" w:lineRule="exact"/>
              <w:rPr>
                <w:rFonts w:ascii="Times New Roman" w:hAnsi="Times New Roman" w:cs="Times New Roman"/>
                <w:sz w:val="24"/>
                <w:szCs w:val="24"/>
                <w:lang w:val="pl-PL"/>
              </w:rPr>
            </w:pPr>
          </w:p>
          <w:p w14:paraId="6F094309" w14:textId="77777777" w:rsidR="002E5800" w:rsidRPr="008F328C" w:rsidRDefault="000E0B7C">
            <w:pPr>
              <w:pStyle w:val="TableParagraph"/>
              <w:ind w:left="102" w:right="12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pacjent z reumatoidalnym zapaleniem stawów nie stosuje metotreksatu z lekiem Yuflyma, </w:t>
            </w:r>
            <w:r w:rsidRPr="008F328C">
              <w:rPr>
                <w:rFonts w:ascii="Times New Roman" w:eastAsia="Times New Roman" w:hAnsi="Times New Roman" w:cs="Times New Roman"/>
                <w:spacing w:val="-1"/>
                <w:lang w:val="pl-PL"/>
              </w:rPr>
              <w:lastRenderedPageBreak/>
              <w:t>lekarz może zalecić podawanie leku Yuflyma 40 mg co tydzień lub 80 mg co drugi tydzień.</w:t>
            </w:r>
          </w:p>
        </w:tc>
      </w:tr>
    </w:tbl>
    <w:p w14:paraId="105F39B1" w14:textId="77777777" w:rsidR="002E5800" w:rsidRPr="008F328C" w:rsidRDefault="002E5800">
      <w:pPr>
        <w:spacing w:before="12"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7C345D61"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3034FF56" w14:textId="77777777" w:rsidR="002E5800" w:rsidRPr="008F328C" w:rsidRDefault="000E0B7C">
            <w:pPr>
              <w:pStyle w:val="TableParagraph"/>
              <w:spacing w:line="25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Wielostawowe młodzieńcze idiopatyczne zapalenie stawów</w:t>
            </w:r>
          </w:p>
        </w:tc>
      </w:tr>
      <w:tr w:rsidR="002E5800" w:rsidRPr="008F328C" w14:paraId="3A2BF61C"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FEF5BF4"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1CA79A7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64DCFC86"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0CD09D37"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8F328C" w14:paraId="0D5B96D3"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49B9615" w14:textId="61FCE64A"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 wieku od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7FD95C1F"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50B00FD1"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6A31BC5D"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1041B84" w14:textId="44918BFB"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Dzieci i młodzież w wieku od 2 lat o masie ciała 10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25A0833A" w14:textId="1EB3F07B"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8F328C">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9D70D9B" w14:textId="781D5F6B"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0DB5E496"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5AF33FEF"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160F105B" w14:textId="77777777" w:rsidR="002E5800" w:rsidRPr="00B2198A" w:rsidRDefault="000E0B7C">
            <w:pPr>
              <w:pStyle w:val="TableParagraph"/>
              <w:spacing w:line="252"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Zapalenie stawów z towarzyszącym zapaleniem przyczepów ścięgnistych</w:t>
            </w:r>
          </w:p>
        </w:tc>
      </w:tr>
      <w:tr w:rsidR="002E5800" w:rsidRPr="008F328C" w14:paraId="7A4BD71E"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40E89B9A"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6A62C60"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20013904"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69F515A2"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8F328C" w14:paraId="314EC0DA"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74089A93" w14:textId="3E1B938E"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 wieku od 6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091EE60D"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16C42E3"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3DBE640B"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0B1BFB8" w14:textId="7D65F7F6"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Dzieci i młodzież w wieku od 6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1E14D3F5" w14:textId="4BE69D5D"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8F328C">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01416E0" w14:textId="692FE282"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3549427D"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4F6991CE"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56888BD7"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Łuszczyca zwyczajna (plackowata)</w:t>
            </w:r>
          </w:p>
        </w:tc>
      </w:tr>
      <w:tr w:rsidR="002E5800" w:rsidRPr="008F328C" w14:paraId="22F309E5"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00B742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7273368F"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4900EF9B"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43F4D743"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0060A9E7"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0CF66E3"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2ED2F47F" w14:textId="78E98B9D"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E94C63"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tej samej doby), a następnie po upływie jednego tygodnia od podania pierwszej dawki,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C1B5A36" w14:textId="42F87864"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jest niewystarczająca, lekarz może zwiększyć dawkowanie do 40 mg co tydzień lub 80 mg co drugi tydzień.</w:t>
            </w:r>
          </w:p>
        </w:tc>
      </w:tr>
      <w:tr w:rsidR="002E5800" w:rsidRPr="008F328C" w14:paraId="1EDF4EC6"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1762C60E"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 4</w:t>
            </w:r>
          </w:p>
          <w:p w14:paraId="4354D756" w14:textId="77777777" w:rsidR="002E5800" w:rsidRPr="008F328C" w:rsidRDefault="000E0B7C">
            <w:pPr>
              <w:pStyle w:val="TableParagraph"/>
              <w:spacing w:before="1" w:line="254" w:lineRule="exact"/>
              <w:ind w:left="102" w:right="55"/>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 17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2E4D5D2C" w14:textId="329DFCCC" w:rsidR="002E5800" w:rsidRPr="008F328C" w:rsidRDefault="000E0B7C" w:rsidP="00404101">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40 mg, a następnie</w:t>
            </w:r>
            <w:r w:rsidR="00E94C63"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 upływie jednego tygodnia dawka 40 mg.</w:t>
            </w:r>
          </w:p>
          <w:p w14:paraId="2ECE494F" w14:textId="71F7F433"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Następnie zwykle stosowana dawka wynosi 40</w:t>
            </w:r>
            <w:r w:rsidR="00E94C63"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mg co drugi tydzień</w:t>
            </w:r>
          </w:p>
        </w:tc>
        <w:tc>
          <w:tcPr>
            <w:tcW w:w="3096" w:type="dxa"/>
            <w:tcBorders>
              <w:top w:val="single" w:sz="5" w:space="0" w:color="000000"/>
              <w:left w:val="single" w:sz="5" w:space="0" w:color="000000"/>
              <w:bottom w:val="single" w:sz="5" w:space="0" w:color="000000"/>
              <w:right w:val="single" w:sz="5" w:space="0" w:color="000000"/>
            </w:tcBorders>
          </w:tcPr>
          <w:p w14:paraId="3ADF2D72"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B2198A" w:rsidRPr="008F328C" w14:paraId="5217704E"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F75CBF0" w14:textId="2229B7A6"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Dzieci i młodzież w wieku od 4 do 17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357712AD" w14:textId="77777777" w:rsidR="00B2198A" w:rsidRPr="001E41EB"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Pierwsza dawka 20 mg, a następnie po upływie jednego tygodnia dawka 20 mg.</w:t>
            </w:r>
          </w:p>
          <w:p w14:paraId="3414599B" w14:textId="77777777" w:rsidR="00B2198A" w:rsidRDefault="00B2198A" w:rsidP="00B2198A">
            <w:pPr>
              <w:pStyle w:val="TableParagraph"/>
              <w:spacing w:line="246" w:lineRule="exact"/>
              <w:ind w:left="102" w:right="57"/>
              <w:rPr>
                <w:rFonts w:ascii="Times New Roman" w:eastAsia="Times New Roman" w:hAnsi="Times New Roman" w:cs="Times New Roman"/>
                <w:spacing w:val="-1"/>
                <w:lang w:val="pl-PL"/>
              </w:rPr>
            </w:pPr>
          </w:p>
          <w:p w14:paraId="251D8889" w14:textId="0BBE5239"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790BBB25" w14:textId="1F65100D"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Nie dotyczy.</w:t>
            </w:r>
          </w:p>
        </w:tc>
      </w:tr>
    </w:tbl>
    <w:p w14:paraId="77DDCC08" w14:textId="77777777" w:rsidR="002E5800" w:rsidRPr="008F328C" w:rsidRDefault="002E5800">
      <w:pPr>
        <w:spacing w:before="7" w:line="90" w:lineRule="exact"/>
        <w:rPr>
          <w:rFonts w:ascii="Times New Roman" w:hAnsi="Times New Roman" w:cs="Times New Roman"/>
          <w:sz w:val="9"/>
          <w:szCs w:val="9"/>
          <w:lang w:val="pl-PL"/>
        </w:rPr>
      </w:pPr>
    </w:p>
    <w:p w14:paraId="12E94166"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2BF9A3DE"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197EAE83" w14:textId="77777777" w:rsidR="002E5800" w:rsidRPr="00B2198A" w:rsidRDefault="000E0B7C">
            <w:pPr>
              <w:pStyle w:val="TableParagraph"/>
              <w:spacing w:line="251"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Ropne zapalenie apokrynowych gruczołów potowych</w:t>
            </w:r>
          </w:p>
        </w:tc>
      </w:tr>
      <w:tr w:rsidR="002E5800" w:rsidRPr="008F328C" w14:paraId="029925B8"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2310520B"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44283408"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5560EE0C"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700E1C21"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4848B1C6" w14:textId="77777777" w:rsidR="002E5800" w:rsidRPr="008F328C" w:rsidRDefault="000E0B7C">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445C4A2E" w14:textId="1033E3A7"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(cztery</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wstrzyknięcia dawki 40 mg w ciągu jednej doby lub dwa wstrzyknięcia dawki 40 mg na </w:t>
            </w:r>
            <w:r w:rsidRPr="008F328C">
              <w:rPr>
                <w:rFonts w:ascii="Times New Roman" w:eastAsia="Times New Roman" w:hAnsi="Times New Roman" w:cs="Times New Roman"/>
                <w:spacing w:val="-1"/>
                <w:lang w:val="pl-PL"/>
              </w:rPr>
              <w:lastRenderedPageBreak/>
              <w:t>dobę przez dwa</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kolejne dni), a po dwóch tygodniach dawka 80 mg (dwa</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Po kolejnych dwóch</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tygodniach należy kontynuować leczenie stosując dawkę 40 mg raz w tygodniu lub 80 mg co drugi tydzień, zgodnie z zaleceniami</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lekarza.</w:t>
            </w:r>
          </w:p>
        </w:tc>
        <w:tc>
          <w:tcPr>
            <w:tcW w:w="3096" w:type="dxa"/>
            <w:tcBorders>
              <w:top w:val="single" w:sz="5" w:space="0" w:color="000000"/>
              <w:left w:val="single" w:sz="5" w:space="0" w:color="000000"/>
              <w:bottom w:val="single" w:sz="5" w:space="0" w:color="000000"/>
              <w:right w:val="single" w:sz="5" w:space="0" w:color="000000"/>
            </w:tcBorders>
          </w:tcPr>
          <w:p w14:paraId="6543AB43" w14:textId="512F6AF2" w:rsidR="002E5800" w:rsidRPr="008F328C" w:rsidRDefault="000E0B7C" w:rsidP="00D97EE5">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lastRenderedPageBreak/>
              <w:t>Zaleca się codzienne</w:t>
            </w:r>
            <w:r w:rsidR="00B2198A">
              <w:rPr>
                <w:rFonts w:ascii="Times New Roman" w:eastAsia="Times New Roman" w:hAnsi="Times New Roman" w:cs="Times New Roman"/>
                <w:spacing w:val="-4"/>
                <w:lang w:val="pl-PL"/>
              </w:rPr>
              <w:t xml:space="preserve"> </w:t>
            </w:r>
            <w:r w:rsidRPr="008F328C">
              <w:rPr>
                <w:rFonts w:ascii="Times New Roman" w:eastAsia="Times New Roman" w:hAnsi="Times New Roman" w:cs="Times New Roman"/>
                <w:spacing w:val="-1"/>
                <w:lang w:val="pl-PL"/>
              </w:rPr>
              <w:t>przemywanie zmienionej chorobowo powierzchni skóry środkiem antyseptycznym.</w:t>
            </w:r>
          </w:p>
        </w:tc>
      </w:tr>
      <w:tr w:rsidR="002E5800" w:rsidRPr="00494296" w14:paraId="58952322"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017BFA8" w14:textId="00F56A55"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Młodzież w wieku od 12 do 17 lat,</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194AF905" w14:textId="31B12741"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tej samej doby), a następnie po upływie jednego tygodnia dawka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2761F22" w14:textId="472DBEA2" w:rsidR="002E5800" w:rsidRPr="008F328C" w:rsidRDefault="000E0B7C" w:rsidP="00404101">
            <w:pPr>
              <w:pStyle w:val="TableParagraph"/>
              <w:spacing w:before="1" w:line="239" w:lineRule="auto"/>
              <w:ind w:left="102" w:right="8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lang w:val="pl-PL"/>
              </w:rPr>
              <w:t xml:space="preserve">na leczenie lekiem Yuflyma 40 mg co drugi tydzień jest niewystarczająca, lekarz może zwiększyć dawkowanie do 40 mg raz w tygodniu lub 80 mg co </w:t>
            </w:r>
            <w:r w:rsidRPr="008F328C">
              <w:rPr>
                <w:rFonts w:ascii="Times New Roman" w:eastAsia="Times New Roman" w:hAnsi="Times New Roman" w:cs="Times New Roman"/>
                <w:spacing w:val="-1"/>
                <w:lang w:val="pl-PL"/>
              </w:rPr>
              <w:t>drugi tydzień.</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4"/>
                <w:lang w:val="pl-PL"/>
              </w:rPr>
              <w:t>Zaleca się codzienne przemywanie zmienionej chorobowo powierzchni skóry środkiem antyseptycznym</w:t>
            </w:r>
          </w:p>
        </w:tc>
      </w:tr>
    </w:tbl>
    <w:p w14:paraId="6C71A9A3"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8F328C" w14:paraId="2B310CB1"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5F85CDB2" w14:textId="77777777" w:rsidR="002E5800" w:rsidRPr="008F328C" w:rsidRDefault="000E0B7C">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Choroba Leśniowskiego-Crohna</w:t>
            </w:r>
          </w:p>
        </w:tc>
      </w:tr>
      <w:tr w:rsidR="002E5800" w:rsidRPr="008F328C" w14:paraId="7155DEF4"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13C0B2C7"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629732EA" w14:textId="77777777" w:rsidR="002E5800" w:rsidRPr="008F328C" w:rsidRDefault="000E0B7C">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5D8924CE"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29E88627"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B7DE72D" w14:textId="53F1FA21" w:rsidR="002E5800" w:rsidRPr="008F328C" w:rsidRDefault="000E0B7C"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Dorośli, młodzież i dzieci</w:t>
            </w:r>
            <w:r w:rsidR="00B2198A">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 xml:space="preserve">w wieku od 6 lat o masie ciała </w:t>
            </w:r>
            <w:r w:rsidR="00EC793D" w:rsidRPr="008F328C">
              <w:rPr>
                <w:rFonts w:ascii="Times New Roman" w:eastAsia="Times New Roman" w:hAnsi="Times New Roman" w:cs="Times New Roman"/>
                <w:spacing w:val="-1"/>
                <w:lang w:val="pl-PL"/>
              </w:rPr>
              <w:t>40 </w:t>
            </w:r>
            <w:r w:rsidRPr="008F328C">
              <w:rPr>
                <w:rFonts w:ascii="Times New Roman" w:eastAsia="Times New Roman" w:hAnsi="Times New Roman" w:cs="Times New Roman"/>
                <w:spacing w:val="-1"/>
                <w:lang w:val="pl-PL"/>
              </w:rPr>
              <w:t>kg i powyżej</w:t>
            </w:r>
          </w:p>
        </w:tc>
        <w:tc>
          <w:tcPr>
            <w:tcW w:w="3096" w:type="dxa"/>
            <w:tcBorders>
              <w:top w:val="single" w:sz="5" w:space="0" w:color="000000"/>
              <w:left w:val="single" w:sz="5" w:space="0" w:color="000000"/>
              <w:bottom w:val="single" w:sz="5" w:space="0" w:color="000000"/>
              <w:right w:val="single" w:sz="5" w:space="0" w:color="000000"/>
            </w:tcBorders>
          </w:tcPr>
          <w:p w14:paraId="7EB41CC0" w14:textId="642F8A7F"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a po dwóch tygodniach dawka 40 mg.</w:t>
            </w:r>
          </w:p>
          <w:p w14:paraId="5EBFE2BE" w14:textId="77777777" w:rsidR="002E5800" w:rsidRPr="008F328C" w:rsidRDefault="002E5800">
            <w:pPr>
              <w:pStyle w:val="TableParagraph"/>
              <w:spacing w:before="11" w:line="240" w:lineRule="exact"/>
              <w:rPr>
                <w:rFonts w:ascii="Times New Roman" w:hAnsi="Times New Roman" w:cs="Times New Roman"/>
                <w:sz w:val="24"/>
                <w:szCs w:val="24"/>
                <w:lang w:val="pl-PL"/>
              </w:rPr>
            </w:pPr>
          </w:p>
          <w:p w14:paraId="026A6992" w14:textId="77777777" w:rsidR="002E5800" w:rsidRPr="008F328C" w:rsidRDefault="000E0B7C">
            <w:pPr>
              <w:pStyle w:val="TableParagraph"/>
              <w:ind w:left="102" w:right="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jest konieczne uzyskanie szybszej odpowiedzi na leczenie, lekarz może przepisać pierwszą dawkę 160 mg (cztery wstrzyknięcia dawki 40 mg w ciągu jednej doby lub dwa wstrzyknięcia dawki 40 mg na dobę przez dwa kolejne dni), a po dwóch tygodniach 80 mg (dwa wstrzyknięcia dawki 40 mg w ciągu jednej doby).</w:t>
            </w:r>
          </w:p>
          <w:p w14:paraId="4760B1A6" w14:textId="77777777" w:rsidR="002E5800" w:rsidRPr="008F328C" w:rsidRDefault="002E5800">
            <w:pPr>
              <w:pStyle w:val="TableParagraph"/>
              <w:spacing w:before="17" w:line="240" w:lineRule="exact"/>
              <w:rPr>
                <w:rFonts w:ascii="Times New Roman" w:hAnsi="Times New Roman" w:cs="Times New Roman"/>
                <w:sz w:val="24"/>
                <w:szCs w:val="24"/>
                <w:lang w:val="pl-PL"/>
              </w:rPr>
            </w:pPr>
          </w:p>
          <w:p w14:paraId="26F4273C" w14:textId="77777777" w:rsidR="002E5800" w:rsidRPr="008F328C" w:rsidRDefault="000E0B7C">
            <w:pPr>
              <w:pStyle w:val="TableParagraph"/>
              <w:spacing w:line="252"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638BFC34" w14:textId="274F4418" w:rsidR="006E749C" w:rsidRPr="008F328C" w:rsidRDefault="006E749C">
            <w:pPr>
              <w:pStyle w:val="TableParagraph"/>
              <w:spacing w:line="252" w:lineRule="exact"/>
              <w:ind w:left="102"/>
              <w:rPr>
                <w:rFonts w:ascii="Times New Roman" w:eastAsia="Times New Roman" w:hAnsi="Times New Roman" w:cs="Times New Roman"/>
                <w:lang w:val="pl-PL"/>
              </w:rPr>
            </w:pPr>
          </w:p>
        </w:tc>
        <w:tc>
          <w:tcPr>
            <w:tcW w:w="3096" w:type="dxa"/>
            <w:tcBorders>
              <w:top w:val="single" w:sz="5" w:space="0" w:color="000000"/>
              <w:left w:val="single" w:sz="5" w:space="0" w:color="000000"/>
              <w:bottom w:val="single" w:sz="5" w:space="0" w:color="000000"/>
              <w:right w:val="single" w:sz="5" w:space="0" w:color="000000"/>
            </w:tcBorders>
          </w:tcPr>
          <w:p w14:paraId="0CF18E30" w14:textId="0EE120AD"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dawkowanie do 40 mg co tydzień lub 80 mg co drugi tydzień.</w:t>
            </w:r>
          </w:p>
        </w:tc>
      </w:tr>
      <w:tr w:rsidR="00B2198A" w:rsidRPr="00494296" w14:paraId="0CC62B10"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CA6A19D" w14:textId="03DE794D"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1E41EB">
              <w:rPr>
                <w:rFonts w:ascii="Times New Roman" w:eastAsia="Times New Roman" w:hAnsi="Times New Roman" w:cs="Times New Roman"/>
                <w:lang w:val="pl-PL"/>
              </w:rPr>
              <w:t>Dzieci i młodzież w wieku od 6 do 17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08E03201" w14:textId="77777777" w:rsidR="00B2198A" w:rsidRPr="001E41EB" w:rsidRDefault="00B2198A" w:rsidP="00B2198A">
            <w:pPr>
              <w:pStyle w:val="TableParagraph"/>
              <w:spacing w:line="246" w:lineRule="exact"/>
              <w:ind w:left="102" w:right="57"/>
              <w:rPr>
                <w:rFonts w:ascii="Times New Roman" w:eastAsia="Times New Roman" w:hAnsi="Times New Roman" w:cs="Times New Roman"/>
                <w:lang w:val="pl-PL"/>
              </w:rPr>
            </w:pPr>
            <w:r w:rsidRPr="001E41EB">
              <w:rPr>
                <w:rFonts w:ascii="Times New Roman" w:eastAsia="Times New Roman" w:hAnsi="Times New Roman" w:cs="Times New Roman"/>
                <w:lang w:val="pl-PL"/>
              </w:rPr>
              <w:t>Pierwsza dawka 40 mg, a następnie 20 mg dwa tygodnie później.</w:t>
            </w:r>
          </w:p>
          <w:p w14:paraId="1BEB0F39" w14:textId="77777777" w:rsidR="00B2198A" w:rsidRDefault="00B2198A" w:rsidP="00B2198A">
            <w:pPr>
              <w:pStyle w:val="TableParagraph"/>
              <w:spacing w:line="246" w:lineRule="exact"/>
              <w:ind w:left="102" w:right="57"/>
              <w:rPr>
                <w:rFonts w:ascii="Times New Roman" w:eastAsia="Times New Roman" w:hAnsi="Times New Roman" w:cs="Times New Roman"/>
                <w:lang w:val="pl-PL"/>
              </w:rPr>
            </w:pPr>
          </w:p>
          <w:p w14:paraId="23B3B123" w14:textId="77777777" w:rsidR="00B2198A" w:rsidRPr="001E41EB" w:rsidRDefault="00B2198A" w:rsidP="00B2198A">
            <w:pPr>
              <w:pStyle w:val="TableParagraph"/>
              <w:spacing w:line="246" w:lineRule="exact"/>
              <w:ind w:left="102" w:right="57"/>
              <w:rPr>
                <w:rFonts w:ascii="Times New Roman" w:eastAsia="Times New Roman" w:hAnsi="Times New Roman" w:cs="Times New Roman"/>
                <w:lang w:val="pl-PL"/>
              </w:rPr>
            </w:pPr>
            <w:r w:rsidRPr="001E41EB">
              <w:rPr>
                <w:rFonts w:ascii="Times New Roman" w:eastAsia="Times New Roman" w:hAnsi="Times New Roman" w:cs="Times New Roman"/>
                <w:lang w:val="pl-PL"/>
              </w:rPr>
              <w:t xml:space="preserve">Jeśli jest konieczne uzyskanie szybszej odpowiedzi na leczenie, lekarz może przepisać pierwszą dawkę 80 mg (dwa wstrzyknięcia dawki 40 mg w </w:t>
            </w:r>
            <w:r w:rsidRPr="001E41EB">
              <w:rPr>
                <w:rFonts w:ascii="Times New Roman" w:eastAsia="Times New Roman" w:hAnsi="Times New Roman" w:cs="Times New Roman"/>
                <w:lang w:val="pl-PL"/>
              </w:rPr>
              <w:lastRenderedPageBreak/>
              <w:t>ciągu jednej doby), a po dwóch tygodniach dawkę 40 mg.</w:t>
            </w:r>
          </w:p>
          <w:p w14:paraId="3F9F5DD6" w14:textId="77777777" w:rsidR="00B2198A" w:rsidRDefault="00B2198A" w:rsidP="00B2198A">
            <w:pPr>
              <w:pStyle w:val="TableParagraph"/>
              <w:spacing w:line="246" w:lineRule="exact"/>
              <w:ind w:left="102" w:right="57"/>
              <w:rPr>
                <w:rFonts w:ascii="Times New Roman" w:eastAsia="Times New Roman" w:hAnsi="Times New Roman" w:cs="Times New Roman"/>
                <w:lang w:val="pl-PL"/>
              </w:rPr>
            </w:pPr>
          </w:p>
          <w:p w14:paraId="5F92DCF9" w14:textId="5FDFB794"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lang w:val="pl-PL"/>
              </w:rPr>
              <w:t>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0342D9A" w14:textId="249284A1"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lang w:val="pl-PL"/>
              </w:rPr>
              <w:lastRenderedPageBreak/>
              <w:t>Lekarz może zwiększyć częstość podawania dawki do 20 mg co tydzień.</w:t>
            </w:r>
          </w:p>
        </w:tc>
      </w:tr>
    </w:tbl>
    <w:p w14:paraId="586F6148" w14:textId="77777777" w:rsidR="002E5800" w:rsidRPr="008F328C" w:rsidRDefault="002E5800">
      <w:pPr>
        <w:spacing w:before="7" w:line="90" w:lineRule="exact"/>
        <w:rPr>
          <w:rFonts w:ascii="Times New Roman" w:hAnsi="Times New Roman" w:cs="Times New Roman"/>
          <w:sz w:val="9"/>
          <w:szCs w:val="9"/>
          <w:lang w:val="pl-PL"/>
        </w:rPr>
      </w:pPr>
    </w:p>
    <w:p w14:paraId="43F3DC33"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0512FF17"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7D537095"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Wrzodziejące zapalenie jelita grubego (WZJG)</w:t>
            </w:r>
          </w:p>
        </w:tc>
      </w:tr>
      <w:tr w:rsidR="002E5800" w:rsidRPr="008F328C" w14:paraId="4895EF9D"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44D0CBAE"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1922A024"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606634F5"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4C0A7777"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2AEE96C9"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B163CA4"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18DE0CF6" w14:textId="6DAF4DF5"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(cztery</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wstrzyknięcia dawki 40 mg w ciągu jednej doby lub dwa wstrzyknięcia dawki 40 mg na dobę przez dwa kolejne dni), a po dwóch tygodniach 80 mg (dwa wstrzyknięcia dawki 40 mg w ciągu jednej doby).</w:t>
            </w:r>
          </w:p>
          <w:p w14:paraId="19A3E6B4" w14:textId="77777777" w:rsidR="002E5800" w:rsidRPr="008F328C" w:rsidRDefault="002E5800">
            <w:pPr>
              <w:pStyle w:val="TableParagraph"/>
              <w:spacing w:before="17" w:line="240" w:lineRule="exact"/>
              <w:rPr>
                <w:rFonts w:ascii="Times New Roman" w:hAnsi="Times New Roman" w:cs="Times New Roman"/>
                <w:sz w:val="24"/>
                <w:szCs w:val="24"/>
                <w:lang w:val="pl-PL"/>
              </w:rPr>
            </w:pPr>
          </w:p>
          <w:p w14:paraId="3FE66A69" w14:textId="77777777" w:rsidR="002E5800" w:rsidRPr="008F328C" w:rsidRDefault="000E0B7C">
            <w:pPr>
              <w:pStyle w:val="TableParagraph"/>
              <w:spacing w:line="252" w:lineRule="exact"/>
              <w:ind w:left="102"/>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3FD636BF" w14:textId="595C2AE5" w:rsidR="006E749C" w:rsidRPr="008F328C" w:rsidRDefault="006E749C">
            <w:pPr>
              <w:pStyle w:val="TableParagraph"/>
              <w:spacing w:line="252" w:lineRule="exact"/>
              <w:ind w:left="102"/>
              <w:rPr>
                <w:rFonts w:ascii="Times New Roman" w:eastAsia="Times New Roman" w:hAnsi="Times New Roman" w:cs="Times New Roman"/>
                <w:lang w:val="pl-PL"/>
              </w:rPr>
            </w:pPr>
          </w:p>
        </w:tc>
        <w:tc>
          <w:tcPr>
            <w:tcW w:w="3096" w:type="dxa"/>
            <w:tcBorders>
              <w:top w:val="single" w:sz="5" w:space="0" w:color="000000"/>
              <w:left w:val="single" w:sz="5" w:space="0" w:color="000000"/>
              <w:bottom w:val="single" w:sz="5" w:space="0" w:color="000000"/>
              <w:right w:val="single" w:sz="5" w:space="0" w:color="000000"/>
            </w:tcBorders>
          </w:tcPr>
          <w:p w14:paraId="2EFFEB32" w14:textId="794EAA49"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dawkowanie do 40 mg co tydzień lub 80 mg co drugi tydzień.</w:t>
            </w:r>
          </w:p>
        </w:tc>
      </w:tr>
      <w:tr w:rsidR="008E48C5" w:rsidRPr="00494296" w14:paraId="6FACEA36"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321F8C7" w14:textId="72768859"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4859B04C"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(dwa wstrzyknięcia dawki 40 mg w ciągu jednej doby), a po dwóch tygodniach dawka 40 mg (jedno wstrzyknięcie dawki 40 mg).</w:t>
            </w:r>
          </w:p>
          <w:p w14:paraId="33CD3817"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p>
          <w:p w14:paraId="2CE8CBD2" w14:textId="77777777"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p w14:paraId="5951C7CD" w14:textId="591244DE" w:rsidR="006E749C" w:rsidRPr="008F328C" w:rsidRDefault="006E749C" w:rsidP="008E48C5">
            <w:pPr>
              <w:pStyle w:val="TableParagraph"/>
              <w:spacing w:line="246" w:lineRule="exact"/>
              <w:ind w:left="102" w:right="57"/>
              <w:rPr>
                <w:rFonts w:ascii="Times New Roman" w:eastAsia="Times New Roman" w:hAnsi="Times New Roman" w:cs="Times New Roman"/>
                <w:spacing w:val="-1"/>
                <w:lang w:val="pl-PL"/>
              </w:rPr>
            </w:pPr>
          </w:p>
        </w:tc>
        <w:tc>
          <w:tcPr>
            <w:tcW w:w="3096" w:type="dxa"/>
            <w:tcBorders>
              <w:top w:val="single" w:sz="5" w:space="0" w:color="000000"/>
              <w:left w:val="single" w:sz="5" w:space="0" w:color="000000"/>
              <w:bottom w:val="single" w:sz="5" w:space="0" w:color="000000"/>
              <w:right w:val="single" w:sz="5" w:space="0" w:color="000000"/>
            </w:tcBorders>
          </w:tcPr>
          <w:p w14:paraId="316AF7B0" w14:textId="4F56DFA4"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r w:rsidR="008E48C5" w:rsidRPr="00494296" w14:paraId="6C05E59E"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3D5CAEAB" w14:textId="52CE73A3"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553724FB"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160 mg (cztery wstrzyknięcia dawki 40 mg w ciągu jednej doby lub dwa wstrzyknięcia dawki 40 mg na dobę przez dwa kolejne dni), a po dwóch tygodniach dawka 80 mg (dwa wstrzyknięcia dawki 40 mg w ciągu jednej doby).</w:t>
            </w:r>
          </w:p>
          <w:p w14:paraId="3F92992F" w14:textId="77777777" w:rsidR="008E48C5" w:rsidRPr="008F328C" w:rsidRDefault="008E48C5" w:rsidP="008E48C5">
            <w:pPr>
              <w:numPr>
                <w:ilvl w:val="12"/>
                <w:numId w:val="0"/>
              </w:numPr>
              <w:ind w:left="102" w:right="57"/>
              <w:rPr>
                <w:rFonts w:ascii="Times New Roman" w:eastAsia="Times New Roman" w:hAnsi="Times New Roman" w:cs="Times New Roman"/>
                <w:spacing w:val="-1"/>
                <w:lang w:val="pl-PL"/>
              </w:rPr>
            </w:pPr>
          </w:p>
          <w:p w14:paraId="542AED6B" w14:textId="77777777"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80 mg co drugi tydzień.</w:t>
            </w:r>
          </w:p>
          <w:p w14:paraId="27A5B668" w14:textId="13D7AD95" w:rsidR="006E749C" w:rsidRPr="008F328C" w:rsidRDefault="006E749C" w:rsidP="008E48C5">
            <w:pPr>
              <w:pStyle w:val="TableParagraph"/>
              <w:spacing w:line="246" w:lineRule="exact"/>
              <w:ind w:left="102" w:right="57"/>
              <w:rPr>
                <w:rFonts w:ascii="Times New Roman" w:eastAsia="Times New Roman" w:hAnsi="Times New Roman" w:cs="Times New Roman"/>
                <w:spacing w:val="-1"/>
                <w:lang w:val="pl-PL"/>
              </w:rPr>
            </w:pPr>
          </w:p>
        </w:tc>
        <w:tc>
          <w:tcPr>
            <w:tcW w:w="3096" w:type="dxa"/>
            <w:tcBorders>
              <w:top w:val="single" w:sz="5" w:space="0" w:color="000000"/>
              <w:left w:val="single" w:sz="5" w:space="0" w:color="000000"/>
              <w:bottom w:val="single" w:sz="5" w:space="0" w:color="000000"/>
              <w:right w:val="single" w:sz="5" w:space="0" w:color="000000"/>
            </w:tcBorders>
          </w:tcPr>
          <w:p w14:paraId="1B5376EB" w14:textId="31FD4FEC" w:rsidR="008E48C5" w:rsidRPr="008F328C" w:rsidRDefault="008E48C5" w:rsidP="008E48C5">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bl>
    <w:p w14:paraId="1E1B6AA6" w14:textId="77777777" w:rsidR="002E5800" w:rsidRPr="008F328C" w:rsidRDefault="002E5800">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2E5800" w:rsidRPr="00494296" w14:paraId="0373DF6F" w14:textId="77777777" w:rsidTr="0008144B">
        <w:tc>
          <w:tcPr>
            <w:tcW w:w="9288" w:type="dxa"/>
            <w:gridSpan w:val="3"/>
            <w:tcBorders>
              <w:top w:val="single" w:sz="5" w:space="0" w:color="000000"/>
              <w:left w:val="single" w:sz="5" w:space="0" w:color="000000"/>
              <w:bottom w:val="single" w:sz="5" w:space="0" w:color="000000"/>
              <w:right w:val="single" w:sz="5" w:space="0" w:color="000000"/>
            </w:tcBorders>
          </w:tcPr>
          <w:p w14:paraId="1CD71CAD" w14:textId="77777777" w:rsidR="002E5800" w:rsidRPr="008F328C" w:rsidRDefault="000E0B7C">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Nieinfekcyjne zapalenie błony naczyniowej oka</w:t>
            </w:r>
          </w:p>
        </w:tc>
      </w:tr>
      <w:tr w:rsidR="002E5800" w:rsidRPr="008F328C" w14:paraId="2AE696EF"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0F4F5CD9"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72A9BB28"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747DF4EC" w14:textId="77777777" w:rsidR="002E5800" w:rsidRPr="008F328C" w:rsidRDefault="000E0B7C">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1F2A0AA1" w14:textId="77777777" w:rsidR="002E5800" w:rsidRPr="008F328C" w:rsidRDefault="000E0B7C">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2E5800" w:rsidRPr="00494296" w14:paraId="7E1BC9D8"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6B391D7F"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32955AB8" w14:textId="59E79D24" w:rsidR="002E5800" w:rsidRPr="008F328C" w:rsidRDefault="000E0B7C" w:rsidP="00404101">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(dwa</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 xml:space="preserve">wstrzyknięcia dawki 40 mg w ciągu tej samej doby), a </w:t>
            </w:r>
            <w:r w:rsidRPr="008F328C">
              <w:rPr>
                <w:rFonts w:ascii="Times New Roman" w:eastAsia="Times New Roman" w:hAnsi="Times New Roman" w:cs="Times New Roman"/>
                <w:spacing w:val="-1"/>
                <w:lang w:val="pl-PL"/>
              </w:rPr>
              <w:lastRenderedPageBreak/>
              <w:t>następnie po upływie jednego tygodnia dawka 40 mg</w:t>
            </w:r>
          </w:p>
          <w:p w14:paraId="26C60895" w14:textId="77777777" w:rsidR="002E5800" w:rsidRPr="008F328C" w:rsidRDefault="000E0B7C">
            <w:pPr>
              <w:pStyle w:val="TableParagraph"/>
              <w:spacing w:line="249"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co drugi</w:t>
            </w:r>
          </w:p>
          <w:p w14:paraId="1643F766" w14:textId="77777777" w:rsidR="002E5800" w:rsidRPr="008F328C" w:rsidRDefault="000E0B7C">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tydzień.</w:t>
            </w:r>
          </w:p>
        </w:tc>
        <w:tc>
          <w:tcPr>
            <w:tcW w:w="3096" w:type="dxa"/>
            <w:tcBorders>
              <w:top w:val="single" w:sz="5" w:space="0" w:color="000000"/>
              <w:left w:val="single" w:sz="5" w:space="0" w:color="000000"/>
              <w:bottom w:val="single" w:sz="5" w:space="0" w:color="000000"/>
              <w:right w:val="single" w:sz="5" w:space="0" w:color="000000"/>
            </w:tcBorders>
          </w:tcPr>
          <w:p w14:paraId="4876D188" w14:textId="77777777" w:rsidR="002E5800" w:rsidRPr="008F328C" w:rsidRDefault="000E0B7C">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Podczas stosowania leku Yuflyma</w:t>
            </w:r>
          </w:p>
          <w:p w14:paraId="707396B6" w14:textId="25845A34" w:rsidR="002E5800" w:rsidRPr="008F328C" w:rsidRDefault="000E0B7C" w:rsidP="00404101">
            <w:pPr>
              <w:pStyle w:val="TableParagraph"/>
              <w:spacing w:before="1" w:line="254" w:lineRule="exact"/>
              <w:ind w:left="102" w:right="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można nadal przyjmować </w:t>
            </w:r>
            <w:r w:rsidRPr="008F328C">
              <w:rPr>
                <w:rFonts w:ascii="Times New Roman" w:eastAsia="Times New Roman" w:hAnsi="Times New Roman" w:cs="Times New Roman"/>
                <w:spacing w:val="-1"/>
                <w:lang w:val="pl-PL"/>
              </w:rPr>
              <w:lastRenderedPageBreak/>
              <w:t>kortykosteroidy lub inne leki,</w:t>
            </w:r>
            <w:r w:rsidR="00EC793D" w:rsidRPr="008F328C">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które wpływają na układ immunologiczny.</w:t>
            </w:r>
          </w:p>
          <w:p w14:paraId="1D69C79E" w14:textId="77777777" w:rsidR="002E5800" w:rsidRPr="008F328C" w:rsidRDefault="000E0B7C">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 Yuflyma można również stosować jako jedyny lek</w:t>
            </w:r>
          </w:p>
        </w:tc>
      </w:tr>
      <w:tr w:rsidR="00B2198A" w:rsidRPr="00494296" w14:paraId="433CCECA"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5D7AE626" w14:textId="6DEC53FC" w:rsidR="00B2198A" w:rsidRPr="008F328C" w:rsidRDefault="00B2198A" w:rsidP="00B2198A">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lastRenderedPageBreak/>
              <w:t>Dzieci i młodzież w wieku od 2 lat o masie ciała poniżej 30 kg</w:t>
            </w:r>
          </w:p>
        </w:tc>
        <w:tc>
          <w:tcPr>
            <w:tcW w:w="3096" w:type="dxa"/>
            <w:tcBorders>
              <w:top w:val="single" w:sz="5" w:space="0" w:color="000000"/>
              <w:left w:val="single" w:sz="5" w:space="0" w:color="000000"/>
              <w:bottom w:val="single" w:sz="5" w:space="0" w:color="000000"/>
              <w:right w:val="single" w:sz="5" w:space="0" w:color="000000"/>
            </w:tcBorders>
          </w:tcPr>
          <w:p w14:paraId="4EDC25EF" w14:textId="1E5ED326"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1E41EB">
              <w:rPr>
                <w:rFonts w:ascii="Times New Roman" w:eastAsia="Times New Roman" w:hAnsi="Times New Roman" w:cs="Times New Roman"/>
                <w:spacing w:val="-1"/>
                <w:lang w:val="pl-PL"/>
              </w:rPr>
              <w:t>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6EA82267" w14:textId="05159EBB" w:rsidR="00B2198A" w:rsidRPr="008F328C" w:rsidRDefault="00B2198A" w:rsidP="00C169C2">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 xml:space="preserve">Lekarz może przepisać dawkę początkową 40 mg do podania jeden tydzień przed rozpoczęciem stosowania </w:t>
            </w:r>
            <w:r w:rsidR="00C169C2">
              <w:rPr>
                <w:rFonts w:ascii="Times New Roman" w:eastAsia="Times New Roman" w:hAnsi="Times New Roman" w:cs="Times New Roman"/>
                <w:spacing w:val="-1"/>
                <w:lang w:val="pl-PL"/>
              </w:rPr>
              <w:t>zazwyczaj stosowanej</w:t>
            </w:r>
            <w:r w:rsidRPr="001E41EB">
              <w:rPr>
                <w:rFonts w:ascii="Times New Roman" w:eastAsia="Times New Roman" w:hAnsi="Times New Roman" w:cs="Times New Roman"/>
                <w:spacing w:val="-1"/>
                <w:lang w:val="pl-PL"/>
              </w:rPr>
              <w:t xml:space="preserve"> dawki 20 mg co drugi tydzień. Zaleca się stosowanie leku </w:t>
            </w:r>
            <w:r w:rsidR="00407CE8">
              <w:rPr>
                <w:rFonts w:ascii="Times New Roman" w:eastAsia="Times New Roman" w:hAnsi="Times New Roman" w:cs="Times New Roman"/>
                <w:spacing w:val="-1"/>
                <w:lang w:val="pl-PL"/>
              </w:rPr>
              <w:t>Yuflyma</w:t>
            </w:r>
            <w:r w:rsidRPr="001E41EB">
              <w:rPr>
                <w:rFonts w:ascii="Times New Roman" w:eastAsia="Times New Roman" w:hAnsi="Times New Roman" w:cs="Times New Roman"/>
                <w:spacing w:val="-1"/>
                <w:lang w:val="pl-PL"/>
              </w:rPr>
              <w:t xml:space="preserve"> w połączeniu z metotreksatem.</w:t>
            </w:r>
          </w:p>
        </w:tc>
      </w:tr>
      <w:tr w:rsidR="00B2198A" w:rsidRPr="00494296" w14:paraId="7EA76BBC" w14:textId="77777777" w:rsidTr="0008144B">
        <w:tc>
          <w:tcPr>
            <w:tcW w:w="3096" w:type="dxa"/>
            <w:tcBorders>
              <w:top w:val="single" w:sz="5" w:space="0" w:color="000000"/>
              <w:left w:val="single" w:sz="5" w:space="0" w:color="000000"/>
              <w:bottom w:val="single" w:sz="5" w:space="0" w:color="000000"/>
              <w:right w:val="single" w:sz="5" w:space="0" w:color="000000"/>
            </w:tcBorders>
          </w:tcPr>
          <w:p w14:paraId="0B1B4E52" w14:textId="77777777"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w:t>
            </w:r>
          </w:p>
          <w:p w14:paraId="3198542A" w14:textId="77777777" w:rsidR="00B2198A" w:rsidRPr="008F328C" w:rsidRDefault="00B2198A" w:rsidP="00B2198A">
            <w:pPr>
              <w:pStyle w:val="TableParagraph"/>
              <w:spacing w:before="1" w:line="254" w:lineRule="exact"/>
              <w:ind w:left="102" w:right="168"/>
              <w:rPr>
                <w:rFonts w:ascii="Times New Roman" w:eastAsia="Times New Roman" w:hAnsi="Times New Roman" w:cs="Times New Roman"/>
                <w:lang w:val="pl-PL"/>
              </w:rPr>
            </w:pPr>
            <w:r w:rsidRPr="008F328C">
              <w:rPr>
                <w:rFonts w:ascii="Times New Roman" w:eastAsia="Times New Roman" w:hAnsi="Times New Roman" w:cs="Times New Roman"/>
                <w:lang w:val="pl-PL"/>
              </w:rPr>
              <w:t>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3BE1A7D3" w14:textId="77777777"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658A1DD5" w14:textId="595FACAA"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Lekarz może przepisać dawkę początkową 80 mg do podania jeden tydzień przed rozpoczęciem stosowania zwykłej dawki </w:t>
            </w:r>
            <w:r w:rsidRPr="008F328C">
              <w:rPr>
                <w:rFonts w:ascii="Times New Roman" w:eastAsia="Times New Roman" w:hAnsi="Times New Roman" w:cs="Times New Roman"/>
                <w:lang w:val="pl-PL"/>
              </w:rPr>
              <w:t>40 mg co drugi tydzień. Zaleca się stosowanie leku Yuflyma w połączeniu z metotreksatem.</w:t>
            </w:r>
          </w:p>
        </w:tc>
      </w:tr>
    </w:tbl>
    <w:p w14:paraId="77DD190F" w14:textId="77777777" w:rsidR="002E5800" w:rsidRPr="008F328C" w:rsidRDefault="002E5800">
      <w:pPr>
        <w:pStyle w:val="a3"/>
        <w:rPr>
          <w:lang w:val="pl-PL"/>
        </w:rPr>
      </w:pPr>
    </w:p>
    <w:p w14:paraId="781747C3" w14:textId="77777777" w:rsidR="002E5800" w:rsidRPr="008F328C" w:rsidRDefault="000E0B7C">
      <w:pPr>
        <w:pStyle w:val="a3"/>
        <w:rPr>
          <w:b/>
          <w:lang w:val="pl-PL"/>
        </w:rPr>
      </w:pPr>
      <w:r w:rsidRPr="008F328C">
        <w:rPr>
          <w:rFonts w:eastAsia="Times New Roman"/>
          <w:b/>
          <w:bCs/>
          <w:lang w:val="pl-PL"/>
        </w:rPr>
        <w:t>Sposób i droga podania</w:t>
      </w:r>
    </w:p>
    <w:p w14:paraId="3028F2A9" w14:textId="77777777" w:rsidR="002E5800" w:rsidRPr="008F328C" w:rsidRDefault="002E5800">
      <w:pPr>
        <w:spacing w:before="9" w:line="240" w:lineRule="exact"/>
        <w:rPr>
          <w:rFonts w:ascii="Times New Roman" w:hAnsi="Times New Roman" w:cs="Times New Roman"/>
          <w:sz w:val="24"/>
          <w:szCs w:val="24"/>
          <w:lang w:val="pl-PL"/>
        </w:rPr>
      </w:pPr>
    </w:p>
    <w:p w14:paraId="2DF209BF" w14:textId="77777777" w:rsidR="002E5800" w:rsidRPr="008F328C" w:rsidRDefault="000E0B7C">
      <w:pPr>
        <w:pStyle w:val="a3"/>
        <w:rPr>
          <w:lang w:val="pl-PL"/>
        </w:rPr>
      </w:pPr>
      <w:r w:rsidRPr="008F328C">
        <w:rPr>
          <w:rFonts w:eastAsia="Times New Roman"/>
          <w:lang w:val="pl-PL"/>
        </w:rPr>
        <w:t>Lek Yuflyma podaje się we wstrzyknięciu podskórnym.</w:t>
      </w:r>
    </w:p>
    <w:p w14:paraId="396CC1C0" w14:textId="77777777" w:rsidR="002E5800" w:rsidRPr="008F328C" w:rsidRDefault="002E5800">
      <w:pPr>
        <w:spacing w:before="18" w:line="240" w:lineRule="exact"/>
        <w:rPr>
          <w:rFonts w:ascii="Times New Roman" w:hAnsi="Times New Roman" w:cs="Times New Roman"/>
          <w:sz w:val="24"/>
          <w:szCs w:val="24"/>
          <w:lang w:val="pl-PL"/>
        </w:rPr>
      </w:pPr>
    </w:p>
    <w:p w14:paraId="1C51A2AB" w14:textId="466FD897" w:rsidR="002E5800" w:rsidRPr="008F328C" w:rsidRDefault="000E0B7C">
      <w:pPr>
        <w:pStyle w:val="a3"/>
        <w:rPr>
          <w:b/>
          <w:lang w:val="pl-PL"/>
        </w:rPr>
      </w:pPr>
      <w:r w:rsidRPr="008F328C">
        <w:rPr>
          <w:rFonts w:eastAsia="Times New Roman"/>
          <w:b/>
          <w:bCs/>
          <w:lang w:val="pl-PL"/>
        </w:rPr>
        <w:t>Szczegółowe instrukcje jak wstrzykiwać lek Yuflyma podano w punkcie 7. „</w:t>
      </w:r>
      <w:r w:rsidR="002C2858" w:rsidRPr="008F328C">
        <w:rPr>
          <w:rFonts w:eastAsia="Times New Roman"/>
          <w:b/>
          <w:bCs/>
          <w:lang w:val="pl-PL"/>
        </w:rPr>
        <w:t>Instrukcja stosowania</w:t>
      </w:r>
      <w:r w:rsidRPr="008F328C">
        <w:rPr>
          <w:rFonts w:eastAsia="Times New Roman"/>
          <w:b/>
          <w:bCs/>
          <w:lang w:val="pl-PL"/>
        </w:rPr>
        <w:t>”.</w:t>
      </w:r>
    </w:p>
    <w:p w14:paraId="02DA2B47" w14:textId="77777777" w:rsidR="002E5800" w:rsidRPr="008F328C" w:rsidRDefault="002E5800">
      <w:pPr>
        <w:pStyle w:val="a3"/>
        <w:rPr>
          <w:b/>
          <w:lang w:val="pl-PL"/>
        </w:rPr>
      </w:pPr>
    </w:p>
    <w:p w14:paraId="06BAFC44" w14:textId="77777777" w:rsidR="002E5800" w:rsidRPr="008F328C" w:rsidRDefault="000E0B7C">
      <w:pPr>
        <w:pStyle w:val="a3"/>
        <w:rPr>
          <w:b/>
          <w:lang w:val="pl-PL"/>
        </w:rPr>
      </w:pPr>
      <w:r w:rsidRPr="008F328C">
        <w:rPr>
          <w:rFonts w:eastAsia="Times New Roman"/>
          <w:b/>
          <w:bCs/>
          <w:lang w:val="pl-PL"/>
        </w:rPr>
        <w:t>Przyjęcie większej niż zalecana dawki leku Yuflyma</w:t>
      </w:r>
    </w:p>
    <w:p w14:paraId="4E6C7C65" w14:textId="77777777" w:rsidR="002E5800" w:rsidRPr="008F328C" w:rsidRDefault="002E5800">
      <w:pPr>
        <w:pStyle w:val="a3"/>
        <w:rPr>
          <w:lang w:val="pl-PL"/>
        </w:rPr>
      </w:pPr>
    </w:p>
    <w:p w14:paraId="32ED084C" w14:textId="77777777" w:rsidR="002E5800" w:rsidRPr="008F328C" w:rsidRDefault="000E0B7C">
      <w:pPr>
        <w:pStyle w:val="a3"/>
        <w:rPr>
          <w:lang w:val="pl-PL"/>
        </w:rPr>
      </w:pPr>
      <w:r w:rsidRPr="008F328C">
        <w:rPr>
          <w:rFonts w:eastAsia="Times New Roman"/>
          <w:lang w:val="pl-PL"/>
        </w:rPr>
        <w:t>W razie przypadkowego wstrzyknięcia leku Yuflyma częściej niż to zalecił lekarz lub farmaceuta, należy zgłosić się do lekarza lub farmaceuty i powiedzieć o przyjęciu dodatkowej dawki. Zawsze należy ze sobą zabrać opakowanie zewnętrzne leku, nawet jeśli jest ono puste.</w:t>
      </w:r>
    </w:p>
    <w:p w14:paraId="4A641F74" w14:textId="77777777" w:rsidR="002E5800" w:rsidRPr="008F328C" w:rsidRDefault="002E5800">
      <w:pPr>
        <w:spacing w:before="18" w:line="240" w:lineRule="exact"/>
        <w:rPr>
          <w:rFonts w:ascii="Times New Roman" w:hAnsi="Times New Roman" w:cs="Times New Roman"/>
          <w:b/>
          <w:sz w:val="24"/>
          <w:szCs w:val="24"/>
          <w:lang w:val="pl-PL"/>
        </w:rPr>
      </w:pPr>
    </w:p>
    <w:p w14:paraId="7E1788CB" w14:textId="77777777" w:rsidR="002E5800" w:rsidRPr="008F328C" w:rsidRDefault="000E0B7C">
      <w:pPr>
        <w:pStyle w:val="a3"/>
        <w:rPr>
          <w:b/>
          <w:lang w:val="pl-PL"/>
        </w:rPr>
      </w:pPr>
      <w:r w:rsidRPr="008F328C">
        <w:rPr>
          <w:rFonts w:eastAsia="Times New Roman"/>
          <w:b/>
          <w:bCs/>
          <w:lang w:val="pl-PL"/>
        </w:rPr>
        <w:t>Pominięcie przyjęcia leku Yuflyma,</w:t>
      </w:r>
    </w:p>
    <w:p w14:paraId="67E7C3E9" w14:textId="77777777" w:rsidR="002E5800" w:rsidRPr="008F328C" w:rsidRDefault="002E5800">
      <w:pPr>
        <w:spacing w:before="9" w:line="240" w:lineRule="exact"/>
        <w:rPr>
          <w:rFonts w:ascii="Times New Roman" w:hAnsi="Times New Roman" w:cs="Times New Roman"/>
          <w:sz w:val="24"/>
          <w:szCs w:val="24"/>
          <w:lang w:val="pl-PL"/>
        </w:rPr>
      </w:pPr>
    </w:p>
    <w:p w14:paraId="4153BEB3" w14:textId="77777777" w:rsidR="002E5800" w:rsidRPr="008F328C" w:rsidRDefault="000E0B7C">
      <w:pPr>
        <w:pStyle w:val="a3"/>
        <w:rPr>
          <w:lang w:val="pl-PL"/>
        </w:rPr>
      </w:pPr>
      <w:r w:rsidRPr="008F328C">
        <w:rPr>
          <w:rFonts w:eastAsia="Times New Roman"/>
          <w:lang w:val="pl-PL"/>
        </w:rPr>
        <w:t>Jeśli pacjent zapomni wykonać wstrzyknięcie, powinien wstrzyknąć następną dawkę leku Yuflyma, gdy tylko sobie o tym przypomni. Kolejną dawkę należy wstrzyknąć w ustalonym pierwotnie dniu.</w:t>
      </w:r>
    </w:p>
    <w:p w14:paraId="44C7B8F0" w14:textId="77777777" w:rsidR="002E5800" w:rsidRPr="008F328C" w:rsidRDefault="002E5800">
      <w:pPr>
        <w:spacing w:before="18" w:line="240" w:lineRule="exact"/>
        <w:rPr>
          <w:rFonts w:ascii="Times New Roman" w:hAnsi="Times New Roman" w:cs="Times New Roman"/>
          <w:sz w:val="24"/>
          <w:szCs w:val="24"/>
          <w:lang w:val="pl-PL"/>
        </w:rPr>
      </w:pPr>
    </w:p>
    <w:p w14:paraId="3D0E95D8" w14:textId="77777777" w:rsidR="002E5800" w:rsidRPr="008F328C" w:rsidRDefault="000E0B7C">
      <w:pPr>
        <w:pStyle w:val="a3"/>
        <w:rPr>
          <w:b/>
          <w:lang w:val="pl-PL"/>
        </w:rPr>
      </w:pPr>
      <w:r w:rsidRPr="008F328C">
        <w:rPr>
          <w:rFonts w:eastAsia="Times New Roman"/>
          <w:b/>
          <w:bCs/>
          <w:lang w:val="pl-PL"/>
        </w:rPr>
        <w:t>Przerwanie przyjmowania leku Yuflyma</w:t>
      </w:r>
    </w:p>
    <w:p w14:paraId="73976452" w14:textId="77777777" w:rsidR="002E5800" w:rsidRPr="008F328C" w:rsidRDefault="002E5800">
      <w:pPr>
        <w:spacing w:before="6" w:line="240" w:lineRule="exact"/>
        <w:rPr>
          <w:rFonts w:ascii="Times New Roman" w:hAnsi="Times New Roman" w:cs="Times New Roman"/>
          <w:sz w:val="24"/>
          <w:szCs w:val="24"/>
          <w:lang w:val="pl-PL"/>
        </w:rPr>
      </w:pPr>
    </w:p>
    <w:p w14:paraId="11F08A5D" w14:textId="77777777" w:rsidR="002E5800" w:rsidRPr="008F328C" w:rsidRDefault="000E0B7C">
      <w:pPr>
        <w:pStyle w:val="a3"/>
        <w:rPr>
          <w:lang w:val="pl-PL"/>
        </w:rPr>
      </w:pPr>
      <w:r w:rsidRPr="008F328C">
        <w:rPr>
          <w:rFonts w:eastAsia="Times New Roman"/>
          <w:lang w:val="pl-PL"/>
        </w:rPr>
        <w:t>Decyzję o zaprzestaniu stosowania leku Yuflyma należy omówić z lekarzem. Po zaprzestaniu przyjmowania leku Yuflyma mogą powrócić objawy choroby.</w:t>
      </w:r>
    </w:p>
    <w:p w14:paraId="53F8CCE7" w14:textId="77777777" w:rsidR="002E5800" w:rsidRPr="008F328C" w:rsidRDefault="002E5800">
      <w:pPr>
        <w:spacing w:before="12" w:line="240" w:lineRule="exact"/>
        <w:rPr>
          <w:rFonts w:ascii="Times New Roman" w:hAnsi="Times New Roman" w:cs="Times New Roman"/>
          <w:sz w:val="24"/>
          <w:szCs w:val="24"/>
          <w:lang w:val="pl-PL"/>
        </w:rPr>
      </w:pPr>
    </w:p>
    <w:p w14:paraId="0AD99FD3" w14:textId="77777777" w:rsidR="002E5800" w:rsidRPr="008F328C" w:rsidRDefault="000E0B7C">
      <w:pPr>
        <w:pStyle w:val="a3"/>
        <w:rPr>
          <w:lang w:val="pl-PL"/>
        </w:rPr>
      </w:pPr>
      <w:r w:rsidRPr="008F328C">
        <w:rPr>
          <w:rFonts w:eastAsia="Times New Roman"/>
          <w:lang w:val="pl-PL"/>
        </w:rPr>
        <w:t>W razie jakichkolwiek dalszych wątpliwości związanych ze stosowaniem tego leku, należy zwrócić się do lekarza lub farmaceuty.</w:t>
      </w:r>
    </w:p>
    <w:p w14:paraId="59D51653" w14:textId="77777777" w:rsidR="002E5800" w:rsidRPr="008F328C" w:rsidRDefault="002E5800">
      <w:pPr>
        <w:spacing w:line="110" w:lineRule="exact"/>
        <w:rPr>
          <w:rFonts w:ascii="Times New Roman" w:hAnsi="Times New Roman" w:cs="Times New Roman"/>
          <w:sz w:val="11"/>
          <w:szCs w:val="11"/>
          <w:lang w:val="pl-PL"/>
        </w:rPr>
      </w:pPr>
    </w:p>
    <w:p w14:paraId="5EC66297" w14:textId="77777777" w:rsidR="002E5800" w:rsidRPr="008F328C" w:rsidRDefault="002E5800">
      <w:pPr>
        <w:spacing w:line="200" w:lineRule="exact"/>
        <w:rPr>
          <w:rFonts w:ascii="Times New Roman" w:hAnsi="Times New Roman" w:cs="Times New Roman"/>
          <w:sz w:val="20"/>
          <w:szCs w:val="20"/>
          <w:lang w:val="pl-PL"/>
        </w:rPr>
      </w:pPr>
    </w:p>
    <w:p w14:paraId="7BC11F08" w14:textId="77777777" w:rsidR="002E5800" w:rsidRPr="008F328C" w:rsidRDefault="002E5800">
      <w:pPr>
        <w:spacing w:line="200" w:lineRule="exact"/>
        <w:rPr>
          <w:rFonts w:ascii="Times New Roman" w:hAnsi="Times New Roman" w:cs="Times New Roman"/>
          <w:sz w:val="20"/>
          <w:szCs w:val="20"/>
          <w:lang w:val="pl-PL"/>
        </w:rPr>
      </w:pPr>
    </w:p>
    <w:p w14:paraId="3AD0707D" w14:textId="77777777" w:rsidR="002E5800" w:rsidRPr="008F328C" w:rsidRDefault="000E0B7C" w:rsidP="00CC4159">
      <w:pPr>
        <w:pStyle w:val="a4"/>
        <w:numPr>
          <w:ilvl w:val="0"/>
          <w:numId w:val="38"/>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Możliwe działania niepożądane</w:t>
      </w:r>
    </w:p>
    <w:p w14:paraId="69784B8A" w14:textId="77777777" w:rsidR="002E5800" w:rsidRPr="008F328C" w:rsidRDefault="002E5800">
      <w:pPr>
        <w:spacing w:before="12" w:line="240" w:lineRule="exact"/>
        <w:rPr>
          <w:rFonts w:ascii="Times New Roman" w:hAnsi="Times New Roman" w:cs="Times New Roman"/>
          <w:sz w:val="24"/>
          <w:szCs w:val="24"/>
          <w:lang w:val="pl-PL"/>
        </w:rPr>
      </w:pPr>
    </w:p>
    <w:p w14:paraId="46F6EF0F" w14:textId="51284DE3" w:rsidR="002E5800" w:rsidRPr="008F328C" w:rsidRDefault="000E0B7C">
      <w:pPr>
        <w:pStyle w:val="a3"/>
        <w:rPr>
          <w:lang w:val="pl-PL"/>
        </w:rPr>
      </w:pPr>
      <w:r w:rsidRPr="008F328C">
        <w:rPr>
          <w:rFonts w:eastAsia="Times New Roman"/>
          <w:lang w:val="pl-PL"/>
        </w:rPr>
        <w:t xml:space="preserve">Jak każdy lek, lek ten może powodować działania niepożądane, chociaż nie u każdego one wystąpią. Większość działań niepożądanych </w:t>
      </w:r>
      <w:r w:rsidR="00EC793D" w:rsidRPr="008F328C">
        <w:rPr>
          <w:rFonts w:eastAsia="Times New Roman"/>
          <w:lang w:val="pl-PL"/>
        </w:rPr>
        <w:t xml:space="preserve">jest łagodna </w:t>
      </w:r>
      <w:r w:rsidRPr="008F328C">
        <w:rPr>
          <w:rFonts w:eastAsia="Times New Roman"/>
          <w:lang w:val="pl-PL"/>
        </w:rPr>
        <w:t xml:space="preserve">lub </w:t>
      </w:r>
      <w:r w:rsidR="00EC793D" w:rsidRPr="008F328C">
        <w:rPr>
          <w:rFonts w:eastAsia="Times New Roman"/>
          <w:lang w:val="pl-PL"/>
        </w:rPr>
        <w:t>umiarkowana</w:t>
      </w:r>
      <w:r w:rsidRPr="008F328C">
        <w:rPr>
          <w:rFonts w:eastAsia="Times New Roman"/>
          <w:lang w:val="pl-PL"/>
        </w:rPr>
        <w:t xml:space="preserve">. Niektóre jednak mogą być poważne i </w:t>
      </w:r>
      <w:r w:rsidR="00EC793D" w:rsidRPr="008F328C">
        <w:rPr>
          <w:rFonts w:eastAsia="Times New Roman"/>
          <w:lang w:val="pl-PL"/>
        </w:rPr>
        <w:t>mogą powodować konieczność</w:t>
      </w:r>
      <w:r w:rsidR="00EC793D" w:rsidRPr="008F328C" w:rsidDel="00EC793D">
        <w:rPr>
          <w:rFonts w:eastAsia="Times New Roman"/>
          <w:lang w:val="pl-PL"/>
        </w:rPr>
        <w:t xml:space="preserve"> </w:t>
      </w:r>
      <w:r w:rsidRPr="008F328C">
        <w:rPr>
          <w:rFonts w:eastAsia="Times New Roman"/>
          <w:lang w:val="pl-PL"/>
        </w:rPr>
        <w:t xml:space="preserve">leczenia. Działania niepożądane mogą występować co najmniej przez 4 </w:t>
      </w:r>
      <w:r w:rsidRPr="008F328C">
        <w:rPr>
          <w:rFonts w:eastAsia="Times New Roman"/>
          <w:lang w:val="pl-PL"/>
        </w:rPr>
        <w:lastRenderedPageBreak/>
        <w:t>miesiące po ostatnim wstrzyknięciu leku Yuflyma.</w:t>
      </w:r>
    </w:p>
    <w:p w14:paraId="0A3DEAF1" w14:textId="77777777" w:rsidR="002E5800" w:rsidRPr="008F328C" w:rsidRDefault="002E5800">
      <w:pPr>
        <w:spacing w:before="15" w:line="240" w:lineRule="exact"/>
        <w:rPr>
          <w:rFonts w:ascii="Times New Roman" w:hAnsi="Times New Roman" w:cs="Times New Roman"/>
          <w:sz w:val="24"/>
          <w:szCs w:val="24"/>
          <w:lang w:val="pl-PL"/>
        </w:rPr>
      </w:pPr>
    </w:p>
    <w:p w14:paraId="046AE6E3" w14:textId="77777777" w:rsidR="002E5800" w:rsidRPr="008F328C" w:rsidRDefault="000E0B7C">
      <w:pPr>
        <w:pStyle w:val="a3"/>
        <w:rPr>
          <w:b/>
          <w:lang w:val="pl-PL"/>
        </w:rPr>
      </w:pPr>
      <w:r w:rsidRPr="008F328C">
        <w:rPr>
          <w:rFonts w:eastAsia="Times New Roman"/>
          <w:b/>
          <w:bCs/>
          <w:lang w:val="pl-PL"/>
        </w:rPr>
        <w:t>W razie pojawienia się któregokolwiek z poniższych objawów należy natychmiast powiadomić lekarza</w:t>
      </w:r>
    </w:p>
    <w:p w14:paraId="142842F2" w14:textId="77777777" w:rsidR="002E5800" w:rsidRPr="008F328C" w:rsidRDefault="002E5800">
      <w:pPr>
        <w:spacing w:before="10" w:line="240" w:lineRule="exact"/>
        <w:rPr>
          <w:rFonts w:ascii="Times New Roman" w:hAnsi="Times New Roman" w:cs="Times New Roman"/>
          <w:sz w:val="24"/>
          <w:szCs w:val="24"/>
          <w:lang w:val="pl-PL"/>
        </w:rPr>
      </w:pPr>
    </w:p>
    <w:p w14:paraId="679D0565" w14:textId="77777777" w:rsidR="002E5800" w:rsidRPr="008F328C" w:rsidRDefault="000E0B7C">
      <w:pPr>
        <w:pStyle w:val="a3"/>
        <w:numPr>
          <w:ilvl w:val="0"/>
          <w:numId w:val="16"/>
        </w:numPr>
        <w:ind w:left="660" w:hanging="660"/>
        <w:rPr>
          <w:lang w:val="pl-PL"/>
        </w:rPr>
      </w:pPr>
      <w:r w:rsidRPr="008F328C">
        <w:rPr>
          <w:rFonts w:eastAsia="Times New Roman"/>
          <w:lang w:val="pl-PL"/>
        </w:rPr>
        <w:t>ciężka wysypka, pokrzywka lub inne objawy reakcji alergicznej</w:t>
      </w:r>
    </w:p>
    <w:p w14:paraId="0DE4D879"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 dłoni, stóp</w:t>
      </w:r>
    </w:p>
    <w:p w14:paraId="1F515933"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w oddychaniu, trudności w połykaniu</w:t>
      </w:r>
    </w:p>
    <w:p w14:paraId="0ED7B8B2" w14:textId="77777777" w:rsidR="002E5800" w:rsidRPr="008F328C" w:rsidRDefault="000E0B7C">
      <w:pPr>
        <w:pStyle w:val="a3"/>
        <w:numPr>
          <w:ilvl w:val="0"/>
          <w:numId w:val="16"/>
        </w:numPr>
        <w:ind w:left="660" w:hanging="660"/>
        <w:rPr>
          <w:lang w:val="pl-PL"/>
        </w:rPr>
      </w:pPr>
      <w:r w:rsidRPr="008F328C">
        <w:rPr>
          <w:rFonts w:eastAsia="Times New Roman"/>
          <w:lang w:val="pl-PL"/>
        </w:rPr>
        <w:t>duszność podczas aktywności fizycznej lub po położeniu się, lub obrzęk stóp</w:t>
      </w:r>
    </w:p>
    <w:p w14:paraId="04D53CDD" w14:textId="77777777" w:rsidR="002E5800" w:rsidRPr="008F328C" w:rsidRDefault="002E5800">
      <w:pPr>
        <w:spacing w:before="15" w:line="240" w:lineRule="exact"/>
        <w:rPr>
          <w:rFonts w:ascii="Times New Roman" w:hAnsi="Times New Roman" w:cs="Times New Roman"/>
          <w:sz w:val="24"/>
          <w:szCs w:val="24"/>
          <w:lang w:val="pl-PL"/>
        </w:rPr>
      </w:pPr>
    </w:p>
    <w:p w14:paraId="038CA69B" w14:textId="77777777" w:rsidR="002E5800" w:rsidRPr="008F328C" w:rsidRDefault="000E0B7C">
      <w:pPr>
        <w:pStyle w:val="a3"/>
        <w:rPr>
          <w:b/>
          <w:lang w:val="pl-PL"/>
        </w:rPr>
      </w:pPr>
      <w:r w:rsidRPr="008F328C">
        <w:rPr>
          <w:rFonts w:eastAsia="Times New Roman"/>
          <w:b/>
          <w:bCs/>
          <w:lang w:val="pl-PL"/>
        </w:rPr>
        <w:t>W razie stwierdzenia któregokolwiek z poniższych objawów należy tak szybko jak to możliwe powiadomić lekarza:</w:t>
      </w:r>
    </w:p>
    <w:p w14:paraId="45E04440" w14:textId="77777777" w:rsidR="002E5800" w:rsidRPr="008F328C" w:rsidRDefault="002E5800">
      <w:pPr>
        <w:spacing w:before="10" w:line="240" w:lineRule="exact"/>
        <w:rPr>
          <w:rFonts w:ascii="Times New Roman" w:hAnsi="Times New Roman" w:cs="Times New Roman"/>
          <w:sz w:val="24"/>
          <w:szCs w:val="24"/>
          <w:lang w:val="pl-PL"/>
        </w:rPr>
      </w:pPr>
    </w:p>
    <w:p w14:paraId="47A73114" w14:textId="77777777" w:rsidR="002E5800" w:rsidRPr="008F328C" w:rsidRDefault="000E0B7C">
      <w:pPr>
        <w:pStyle w:val="a3"/>
        <w:numPr>
          <w:ilvl w:val="0"/>
          <w:numId w:val="16"/>
        </w:numPr>
        <w:ind w:left="660" w:hanging="660"/>
        <w:rPr>
          <w:lang w:val="pl-PL"/>
        </w:rPr>
      </w:pPr>
      <w:r w:rsidRPr="008F328C">
        <w:rPr>
          <w:rFonts w:eastAsia="Times New Roman"/>
          <w:lang w:val="pl-PL"/>
        </w:rPr>
        <w:t>objawy zakażenia takie, jak gorączka, złe samopoczucie, zranienia, kłopoty z zębami, uczucie pieczenia podczas oddawania moczu</w:t>
      </w:r>
    </w:p>
    <w:p w14:paraId="7412A055" w14:textId="77777777" w:rsidR="002E5800" w:rsidRPr="008F328C" w:rsidRDefault="000E0B7C">
      <w:pPr>
        <w:pStyle w:val="a3"/>
        <w:numPr>
          <w:ilvl w:val="0"/>
          <w:numId w:val="16"/>
        </w:numPr>
        <w:ind w:left="660" w:hanging="660"/>
        <w:rPr>
          <w:lang w:val="pl-PL"/>
        </w:rPr>
      </w:pPr>
      <w:r w:rsidRPr="008F328C">
        <w:rPr>
          <w:rFonts w:eastAsia="Times New Roman"/>
          <w:lang w:val="pl-PL"/>
        </w:rPr>
        <w:t>uczucie osłabienia lub zmęczenia</w:t>
      </w:r>
    </w:p>
    <w:p w14:paraId="099DD571" w14:textId="77777777" w:rsidR="002E5800" w:rsidRPr="008F328C" w:rsidRDefault="000E0B7C">
      <w:pPr>
        <w:pStyle w:val="a3"/>
        <w:numPr>
          <w:ilvl w:val="0"/>
          <w:numId w:val="16"/>
        </w:numPr>
        <w:ind w:left="660" w:hanging="660"/>
        <w:rPr>
          <w:lang w:val="pl-PL"/>
        </w:rPr>
      </w:pPr>
      <w:r w:rsidRPr="008F328C">
        <w:rPr>
          <w:rFonts w:eastAsia="Times New Roman"/>
          <w:lang w:val="pl-PL"/>
        </w:rPr>
        <w:t>kaszel</w:t>
      </w:r>
    </w:p>
    <w:p w14:paraId="07120D92" w14:textId="77777777" w:rsidR="002E5800" w:rsidRPr="008F328C" w:rsidRDefault="000E0B7C">
      <w:pPr>
        <w:pStyle w:val="a3"/>
        <w:numPr>
          <w:ilvl w:val="0"/>
          <w:numId w:val="16"/>
        </w:numPr>
        <w:ind w:left="660" w:hanging="660"/>
        <w:rPr>
          <w:lang w:val="pl-PL"/>
        </w:rPr>
      </w:pPr>
      <w:r w:rsidRPr="008F328C">
        <w:rPr>
          <w:rFonts w:eastAsia="Times New Roman"/>
          <w:lang w:val="pl-PL"/>
        </w:rPr>
        <w:t>wrażenie mrowienia</w:t>
      </w:r>
    </w:p>
    <w:p w14:paraId="5A9F5262" w14:textId="77777777" w:rsidR="002E5800" w:rsidRPr="008F328C" w:rsidRDefault="000E0B7C">
      <w:pPr>
        <w:pStyle w:val="a3"/>
        <w:numPr>
          <w:ilvl w:val="0"/>
          <w:numId w:val="16"/>
        </w:numPr>
        <w:ind w:left="660" w:hanging="660"/>
        <w:rPr>
          <w:lang w:val="pl-PL"/>
        </w:rPr>
      </w:pPr>
      <w:r w:rsidRPr="008F328C">
        <w:rPr>
          <w:rFonts w:eastAsia="Times New Roman"/>
          <w:lang w:val="pl-PL"/>
        </w:rPr>
        <w:t>wrażenie drętwienia</w:t>
      </w:r>
    </w:p>
    <w:p w14:paraId="2D286A38" w14:textId="77777777" w:rsidR="002E5800" w:rsidRPr="008F328C" w:rsidRDefault="000E0B7C">
      <w:pPr>
        <w:pStyle w:val="a3"/>
        <w:numPr>
          <w:ilvl w:val="0"/>
          <w:numId w:val="16"/>
        </w:numPr>
        <w:ind w:left="660" w:hanging="660"/>
        <w:rPr>
          <w:lang w:val="pl-PL"/>
        </w:rPr>
      </w:pPr>
      <w:r w:rsidRPr="008F328C">
        <w:rPr>
          <w:rFonts w:eastAsia="Times New Roman"/>
          <w:lang w:val="pl-PL"/>
        </w:rPr>
        <w:t>podwójne widzenie</w:t>
      </w:r>
    </w:p>
    <w:p w14:paraId="027FC069" w14:textId="77777777" w:rsidR="002E5800" w:rsidRPr="008F328C" w:rsidRDefault="000E0B7C">
      <w:pPr>
        <w:pStyle w:val="a3"/>
        <w:numPr>
          <w:ilvl w:val="0"/>
          <w:numId w:val="16"/>
        </w:numPr>
        <w:ind w:left="660" w:hanging="660"/>
        <w:rPr>
          <w:lang w:val="pl-PL"/>
        </w:rPr>
      </w:pPr>
      <w:r w:rsidRPr="008F328C">
        <w:rPr>
          <w:rFonts w:eastAsia="Times New Roman"/>
          <w:lang w:val="pl-PL"/>
        </w:rPr>
        <w:t>osłabienie siły mięśni w kończynach górnych lub dolnych</w:t>
      </w:r>
    </w:p>
    <w:p w14:paraId="7A053C5B" w14:textId="77777777" w:rsidR="002E5800" w:rsidRPr="008F328C" w:rsidRDefault="000E0B7C">
      <w:pPr>
        <w:pStyle w:val="a3"/>
        <w:numPr>
          <w:ilvl w:val="0"/>
          <w:numId w:val="16"/>
        </w:numPr>
        <w:ind w:left="660" w:hanging="660"/>
        <w:rPr>
          <w:lang w:val="pl-PL"/>
        </w:rPr>
      </w:pPr>
      <w:r w:rsidRPr="008F328C">
        <w:rPr>
          <w:rFonts w:eastAsia="Times New Roman"/>
          <w:lang w:val="pl-PL"/>
        </w:rPr>
        <w:t>guzek lub otwarte owrzodzenie, które się nie goi</w:t>
      </w:r>
    </w:p>
    <w:p w14:paraId="35E96274" w14:textId="77777777" w:rsidR="002E5800" w:rsidRPr="008F328C" w:rsidRDefault="000E0B7C">
      <w:pPr>
        <w:pStyle w:val="a3"/>
        <w:numPr>
          <w:ilvl w:val="0"/>
          <w:numId w:val="16"/>
        </w:numPr>
        <w:ind w:left="660" w:hanging="660"/>
        <w:rPr>
          <w:lang w:val="pl-PL"/>
        </w:rPr>
      </w:pPr>
      <w:r w:rsidRPr="008F328C">
        <w:rPr>
          <w:rFonts w:eastAsia="Times New Roman"/>
          <w:lang w:val="pl-PL"/>
        </w:rPr>
        <w:t>objawy i oznaki wskazujące na zaburzenia krwi takie, jak utrzymująca się gorączka, siniaczenie, krwawienie, bladość</w:t>
      </w:r>
    </w:p>
    <w:p w14:paraId="5572BC34" w14:textId="77777777" w:rsidR="002E5800" w:rsidRPr="008F328C" w:rsidRDefault="002E5800">
      <w:pPr>
        <w:pStyle w:val="a3"/>
        <w:numPr>
          <w:ilvl w:val="0"/>
          <w:numId w:val="0"/>
        </w:numPr>
        <w:ind w:left="660"/>
        <w:rPr>
          <w:lang w:val="pl-PL"/>
        </w:rPr>
      </w:pPr>
    </w:p>
    <w:p w14:paraId="2DAAFC58" w14:textId="77777777" w:rsidR="002E5800" w:rsidRPr="008F328C" w:rsidRDefault="000E0B7C">
      <w:pPr>
        <w:pStyle w:val="a3"/>
        <w:rPr>
          <w:lang w:val="pl-PL"/>
        </w:rPr>
      </w:pPr>
      <w:r w:rsidRPr="008F328C">
        <w:rPr>
          <w:rFonts w:eastAsia="Times New Roman"/>
          <w:lang w:val="pl-PL"/>
        </w:rPr>
        <w:t>Opisane powyżej objawy mogą być oznakami wymienionych poniżej działań niepożądanych, które obserwowano podczas stosowania leku Yuflyma.</w:t>
      </w:r>
    </w:p>
    <w:p w14:paraId="139F9390" w14:textId="77777777" w:rsidR="002E5800" w:rsidRPr="008F328C" w:rsidRDefault="002E5800">
      <w:pPr>
        <w:spacing w:before="10" w:line="240" w:lineRule="exact"/>
        <w:rPr>
          <w:rFonts w:ascii="Times New Roman" w:hAnsi="Times New Roman" w:cs="Times New Roman"/>
          <w:sz w:val="24"/>
          <w:szCs w:val="24"/>
          <w:lang w:val="pl-PL"/>
        </w:rPr>
      </w:pPr>
    </w:p>
    <w:p w14:paraId="6BECBBC0" w14:textId="77777777" w:rsidR="002E5800" w:rsidRPr="008F328C" w:rsidRDefault="000E0B7C">
      <w:pPr>
        <w:pStyle w:val="a3"/>
        <w:rPr>
          <w:lang w:val="pl-PL"/>
        </w:rPr>
      </w:pPr>
      <w:r w:rsidRPr="008F328C">
        <w:rPr>
          <w:rFonts w:eastAsia="Times New Roman"/>
          <w:b/>
          <w:bCs/>
          <w:lang w:val="pl-PL"/>
        </w:rPr>
        <w:t xml:space="preserve">Bardzo często </w:t>
      </w:r>
      <w:r w:rsidRPr="008F328C">
        <w:rPr>
          <w:rFonts w:eastAsia="Times New Roman"/>
          <w:lang w:val="pl-PL"/>
        </w:rPr>
        <w:t>(może wystąpić u więcej niż 1 na 10 osób):</w:t>
      </w:r>
    </w:p>
    <w:p w14:paraId="73EB96AE" w14:textId="77777777" w:rsidR="002E5800" w:rsidRPr="008F328C" w:rsidRDefault="002E5800">
      <w:pPr>
        <w:spacing w:before="14" w:line="240" w:lineRule="exact"/>
        <w:rPr>
          <w:rFonts w:ascii="Times New Roman" w:hAnsi="Times New Roman" w:cs="Times New Roman"/>
          <w:sz w:val="24"/>
          <w:szCs w:val="24"/>
          <w:lang w:val="pl-PL"/>
        </w:rPr>
      </w:pPr>
    </w:p>
    <w:p w14:paraId="30007AA3" w14:textId="77777777" w:rsidR="002E5800" w:rsidRPr="008F328C" w:rsidRDefault="000E0B7C">
      <w:pPr>
        <w:pStyle w:val="a3"/>
        <w:numPr>
          <w:ilvl w:val="0"/>
          <w:numId w:val="16"/>
        </w:numPr>
        <w:ind w:left="660" w:hanging="660"/>
        <w:rPr>
          <w:lang w:val="pl-PL"/>
        </w:rPr>
      </w:pPr>
      <w:r w:rsidRPr="008F328C">
        <w:rPr>
          <w:rFonts w:eastAsia="Times New Roman"/>
          <w:lang w:val="pl-PL"/>
        </w:rPr>
        <w:t>odczyny w miejscu wstrzyknięcia (w tym ból, obrzęk, zaczerwienienie lub świąd)</w:t>
      </w:r>
    </w:p>
    <w:p w14:paraId="1D6D8892"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dróg oddechowych (w tym przeziębienie, katar, zapalenie zatok, zapalenie płuc)</w:t>
      </w:r>
    </w:p>
    <w:p w14:paraId="0E1D1C36" w14:textId="77777777" w:rsidR="002E5800" w:rsidRPr="008F328C" w:rsidRDefault="000E0B7C">
      <w:pPr>
        <w:pStyle w:val="a3"/>
        <w:numPr>
          <w:ilvl w:val="0"/>
          <w:numId w:val="16"/>
        </w:numPr>
        <w:ind w:left="660" w:hanging="660"/>
        <w:rPr>
          <w:lang w:val="pl-PL"/>
        </w:rPr>
      </w:pPr>
      <w:r w:rsidRPr="008F328C">
        <w:rPr>
          <w:rFonts w:eastAsia="Times New Roman"/>
          <w:lang w:val="pl-PL"/>
        </w:rPr>
        <w:t>bóle głowy</w:t>
      </w:r>
    </w:p>
    <w:p w14:paraId="0DD00EEC" w14:textId="77777777" w:rsidR="002E5800" w:rsidRPr="008F328C" w:rsidRDefault="000E0B7C">
      <w:pPr>
        <w:pStyle w:val="a3"/>
        <w:numPr>
          <w:ilvl w:val="0"/>
          <w:numId w:val="16"/>
        </w:numPr>
        <w:ind w:left="660" w:hanging="660"/>
        <w:rPr>
          <w:lang w:val="pl-PL"/>
        </w:rPr>
      </w:pPr>
      <w:r w:rsidRPr="008F328C">
        <w:rPr>
          <w:rFonts w:eastAsia="Times New Roman"/>
          <w:lang w:val="pl-PL"/>
        </w:rPr>
        <w:t>bóle brzucha</w:t>
      </w:r>
    </w:p>
    <w:p w14:paraId="01D93C45" w14:textId="77777777" w:rsidR="002E5800" w:rsidRPr="008F328C" w:rsidRDefault="000E0B7C">
      <w:pPr>
        <w:pStyle w:val="a3"/>
        <w:numPr>
          <w:ilvl w:val="0"/>
          <w:numId w:val="16"/>
        </w:numPr>
        <w:ind w:left="660" w:hanging="660"/>
        <w:rPr>
          <w:lang w:val="pl-PL"/>
        </w:rPr>
      </w:pPr>
      <w:r w:rsidRPr="008F328C">
        <w:rPr>
          <w:rFonts w:eastAsia="Times New Roman"/>
          <w:lang w:val="pl-PL"/>
        </w:rPr>
        <w:t>nudności i wymioty</w:t>
      </w:r>
    </w:p>
    <w:p w14:paraId="05E9CFF4" w14:textId="77777777" w:rsidR="002E5800" w:rsidRPr="008F328C" w:rsidRDefault="000E0B7C">
      <w:pPr>
        <w:pStyle w:val="a3"/>
        <w:numPr>
          <w:ilvl w:val="0"/>
          <w:numId w:val="16"/>
        </w:numPr>
        <w:ind w:left="660" w:hanging="660"/>
        <w:rPr>
          <w:lang w:val="pl-PL"/>
        </w:rPr>
      </w:pPr>
      <w:r w:rsidRPr="008F328C">
        <w:rPr>
          <w:rFonts w:eastAsia="Times New Roman"/>
          <w:lang w:val="pl-PL"/>
        </w:rPr>
        <w:t>wysypka</w:t>
      </w:r>
    </w:p>
    <w:p w14:paraId="75DB6F8C" w14:textId="77777777" w:rsidR="002E5800" w:rsidRPr="008F328C" w:rsidRDefault="000E0B7C">
      <w:pPr>
        <w:pStyle w:val="a3"/>
        <w:numPr>
          <w:ilvl w:val="0"/>
          <w:numId w:val="16"/>
        </w:numPr>
        <w:ind w:left="660" w:hanging="660"/>
        <w:rPr>
          <w:lang w:val="pl-PL"/>
        </w:rPr>
      </w:pPr>
      <w:r w:rsidRPr="008F328C">
        <w:rPr>
          <w:rFonts w:eastAsia="Times New Roman"/>
          <w:lang w:val="pl-PL"/>
        </w:rPr>
        <w:t>ból mięśniowo-szkieletowy</w:t>
      </w:r>
    </w:p>
    <w:p w14:paraId="7E534F9F" w14:textId="77777777" w:rsidR="002E5800" w:rsidRPr="008F328C" w:rsidRDefault="002E5800">
      <w:pPr>
        <w:spacing w:before="9" w:line="220" w:lineRule="exact"/>
        <w:rPr>
          <w:rFonts w:ascii="Times New Roman" w:hAnsi="Times New Roman" w:cs="Times New Roman"/>
          <w:lang w:val="pl-PL"/>
        </w:rPr>
      </w:pPr>
    </w:p>
    <w:p w14:paraId="5D228EE8" w14:textId="77777777" w:rsidR="002E5800" w:rsidRPr="008F328C" w:rsidRDefault="000E0B7C">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11D135C6" w14:textId="77777777" w:rsidR="002E5800" w:rsidRPr="008F328C" w:rsidRDefault="002E5800">
      <w:pPr>
        <w:spacing w:before="14" w:line="240" w:lineRule="exact"/>
        <w:rPr>
          <w:rFonts w:ascii="Times New Roman" w:hAnsi="Times New Roman" w:cs="Times New Roman"/>
          <w:sz w:val="24"/>
          <w:szCs w:val="24"/>
          <w:lang w:val="pl-PL"/>
        </w:rPr>
      </w:pPr>
    </w:p>
    <w:p w14:paraId="22089817" w14:textId="77777777" w:rsidR="002E5800" w:rsidRPr="008F328C" w:rsidRDefault="000E0B7C">
      <w:pPr>
        <w:pStyle w:val="a3"/>
        <w:numPr>
          <w:ilvl w:val="0"/>
          <w:numId w:val="16"/>
        </w:numPr>
        <w:ind w:left="660" w:hanging="660"/>
        <w:rPr>
          <w:lang w:val="pl-PL"/>
        </w:rPr>
      </w:pPr>
      <w:r w:rsidRPr="008F328C">
        <w:rPr>
          <w:rFonts w:eastAsia="Times New Roman"/>
          <w:lang w:val="pl-PL"/>
        </w:rPr>
        <w:t>poważne zakażenia (w tym posocznica [zakażenie krwi] i grypa)</w:t>
      </w:r>
    </w:p>
    <w:p w14:paraId="3EBF75CF"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jelitowe (w tym zakażenie żołądka i jelit)</w:t>
      </w:r>
    </w:p>
    <w:p w14:paraId="52175CAA"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skóry (w tym zapalenie tkanki łącznej i półpasiec)</w:t>
      </w:r>
    </w:p>
    <w:p w14:paraId="654AD71F"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ucha</w:t>
      </w:r>
    </w:p>
    <w:p w14:paraId="032BB9A6"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w obrębie jamy ustnej (w tym zakażenia zębów i opryszczka wargowa)</w:t>
      </w:r>
    </w:p>
    <w:p w14:paraId="3F7DD2AC"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dróg rodnych</w:t>
      </w:r>
    </w:p>
    <w:p w14:paraId="5907E142" w14:textId="77777777" w:rsidR="002E5800" w:rsidRPr="008F328C" w:rsidRDefault="000E0B7C">
      <w:pPr>
        <w:pStyle w:val="a3"/>
        <w:numPr>
          <w:ilvl w:val="0"/>
          <w:numId w:val="16"/>
        </w:numPr>
        <w:ind w:left="660" w:hanging="660"/>
        <w:rPr>
          <w:lang w:val="pl-PL"/>
        </w:rPr>
      </w:pPr>
      <w:r w:rsidRPr="008F328C">
        <w:rPr>
          <w:rFonts w:eastAsia="Times New Roman"/>
          <w:lang w:val="pl-PL"/>
        </w:rPr>
        <w:t>zakażenie dróg moczowych</w:t>
      </w:r>
    </w:p>
    <w:p w14:paraId="1E598A7A"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grzybicze</w:t>
      </w:r>
    </w:p>
    <w:p w14:paraId="6C223A91"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stawów</w:t>
      </w:r>
    </w:p>
    <w:p w14:paraId="782DBB1E" w14:textId="77777777" w:rsidR="002E5800" w:rsidRPr="008F328C" w:rsidRDefault="000E0B7C">
      <w:pPr>
        <w:pStyle w:val="a3"/>
        <w:numPr>
          <w:ilvl w:val="0"/>
          <w:numId w:val="16"/>
        </w:numPr>
        <w:ind w:left="660" w:hanging="660"/>
        <w:rPr>
          <w:lang w:val="pl-PL"/>
        </w:rPr>
      </w:pPr>
      <w:r w:rsidRPr="008F328C">
        <w:rPr>
          <w:rFonts w:eastAsia="Times New Roman"/>
          <w:lang w:val="pl-PL"/>
        </w:rPr>
        <w:t>nowotwory łagodne</w:t>
      </w:r>
    </w:p>
    <w:p w14:paraId="0D706437" w14:textId="77777777" w:rsidR="002E5800" w:rsidRPr="008F328C" w:rsidRDefault="000E0B7C">
      <w:pPr>
        <w:pStyle w:val="a3"/>
        <w:numPr>
          <w:ilvl w:val="0"/>
          <w:numId w:val="16"/>
        </w:numPr>
        <w:ind w:left="660" w:hanging="660"/>
        <w:rPr>
          <w:lang w:val="pl-PL"/>
        </w:rPr>
      </w:pPr>
      <w:r w:rsidRPr="008F328C">
        <w:rPr>
          <w:rFonts w:eastAsia="Times New Roman"/>
          <w:lang w:val="pl-PL"/>
        </w:rPr>
        <w:t>rak skóry</w:t>
      </w:r>
    </w:p>
    <w:p w14:paraId="2BC13E44"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reakcje alergiczne (w tym alergia sezonowa)</w:t>
      </w:r>
    </w:p>
    <w:p w14:paraId="2F7E7798" w14:textId="77777777" w:rsidR="002E5800" w:rsidRPr="008F328C" w:rsidRDefault="000E0B7C">
      <w:pPr>
        <w:pStyle w:val="a3"/>
        <w:numPr>
          <w:ilvl w:val="0"/>
          <w:numId w:val="16"/>
        </w:numPr>
        <w:ind w:left="660" w:hanging="660"/>
        <w:rPr>
          <w:lang w:val="pl-PL"/>
        </w:rPr>
      </w:pPr>
      <w:r w:rsidRPr="008F328C">
        <w:rPr>
          <w:rFonts w:eastAsia="Times New Roman"/>
          <w:lang w:val="pl-PL"/>
        </w:rPr>
        <w:t>odwodnienie</w:t>
      </w:r>
    </w:p>
    <w:p w14:paraId="21BEC13C" w14:textId="77777777" w:rsidR="002E5800" w:rsidRPr="008F328C" w:rsidRDefault="000E0B7C">
      <w:pPr>
        <w:pStyle w:val="a3"/>
        <w:numPr>
          <w:ilvl w:val="0"/>
          <w:numId w:val="16"/>
        </w:numPr>
        <w:ind w:left="660" w:hanging="660"/>
        <w:rPr>
          <w:lang w:val="pl-PL"/>
        </w:rPr>
      </w:pPr>
      <w:r w:rsidRPr="008F328C">
        <w:rPr>
          <w:rFonts w:eastAsia="Times New Roman"/>
          <w:lang w:val="pl-PL"/>
        </w:rPr>
        <w:t>wahania nastroju (w tym depresja)</w:t>
      </w:r>
    </w:p>
    <w:p w14:paraId="2E07EB6C" w14:textId="77777777" w:rsidR="002E5800" w:rsidRPr="008F328C" w:rsidRDefault="000E0B7C">
      <w:pPr>
        <w:pStyle w:val="a3"/>
        <w:numPr>
          <w:ilvl w:val="0"/>
          <w:numId w:val="16"/>
        </w:numPr>
        <w:ind w:left="660" w:hanging="660"/>
        <w:rPr>
          <w:lang w:val="pl-PL"/>
        </w:rPr>
      </w:pPr>
      <w:r w:rsidRPr="008F328C">
        <w:rPr>
          <w:rFonts w:eastAsia="Times New Roman"/>
          <w:lang w:val="pl-PL"/>
        </w:rPr>
        <w:t>niepokój</w:t>
      </w:r>
    </w:p>
    <w:p w14:paraId="00DF52CC"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z zasypianiem</w:t>
      </w:r>
    </w:p>
    <w:p w14:paraId="1278174E"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czucia, takie jak mrowienie, szczypanie lub drętwienie</w:t>
      </w:r>
    </w:p>
    <w:p w14:paraId="2422D1D9" w14:textId="77777777" w:rsidR="002E5800" w:rsidRPr="008F328C" w:rsidRDefault="000E0B7C">
      <w:pPr>
        <w:pStyle w:val="a3"/>
        <w:numPr>
          <w:ilvl w:val="0"/>
          <w:numId w:val="16"/>
        </w:numPr>
        <w:ind w:left="660" w:hanging="660"/>
        <w:rPr>
          <w:lang w:val="pl-PL"/>
        </w:rPr>
      </w:pPr>
      <w:r w:rsidRPr="008F328C">
        <w:rPr>
          <w:rFonts w:eastAsia="Times New Roman"/>
          <w:lang w:val="pl-PL"/>
        </w:rPr>
        <w:t>migrena</w:t>
      </w:r>
    </w:p>
    <w:p w14:paraId="66D92DE3" w14:textId="77777777" w:rsidR="002E5800" w:rsidRPr="008F328C" w:rsidRDefault="000E0B7C">
      <w:pPr>
        <w:pStyle w:val="a3"/>
        <w:numPr>
          <w:ilvl w:val="0"/>
          <w:numId w:val="16"/>
        </w:numPr>
        <w:ind w:left="660" w:hanging="660"/>
        <w:rPr>
          <w:lang w:val="pl-PL"/>
        </w:rPr>
      </w:pPr>
      <w:r w:rsidRPr="008F328C">
        <w:rPr>
          <w:rFonts w:eastAsia="Times New Roman"/>
          <w:lang w:val="pl-PL"/>
        </w:rPr>
        <w:t>ucisk korzenia nerwowego (w tym bóle krzyża i ból nóg)</w:t>
      </w:r>
    </w:p>
    <w:p w14:paraId="34C23A90"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widzenia</w:t>
      </w:r>
    </w:p>
    <w:p w14:paraId="1A4D876C" w14:textId="77777777" w:rsidR="002E5800" w:rsidRPr="008F328C" w:rsidRDefault="000E0B7C">
      <w:pPr>
        <w:pStyle w:val="a3"/>
        <w:numPr>
          <w:ilvl w:val="0"/>
          <w:numId w:val="16"/>
        </w:numPr>
        <w:ind w:left="660" w:hanging="660"/>
        <w:rPr>
          <w:lang w:val="pl-PL"/>
        </w:rPr>
      </w:pPr>
      <w:r w:rsidRPr="008F328C">
        <w:rPr>
          <w:rFonts w:eastAsia="Times New Roman"/>
          <w:lang w:val="pl-PL"/>
        </w:rPr>
        <w:t>stan zapalny oka</w:t>
      </w:r>
    </w:p>
    <w:p w14:paraId="2B50FD4C" w14:textId="77777777" w:rsidR="002E5800" w:rsidRPr="008F328C" w:rsidRDefault="000E0B7C">
      <w:pPr>
        <w:pStyle w:val="a3"/>
        <w:numPr>
          <w:ilvl w:val="0"/>
          <w:numId w:val="16"/>
        </w:numPr>
        <w:ind w:left="660" w:hanging="660"/>
        <w:rPr>
          <w:lang w:val="pl-PL"/>
        </w:rPr>
      </w:pPr>
      <w:r w:rsidRPr="008F328C">
        <w:rPr>
          <w:rFonts w:eastAsia="Times New Roman"/>
          <w:lang w:val="pl-PL"/>
        </w:rPr>
        <w:t>zapalenie powiek i obrzęk oka</w:t>
      </w:r>
    </w:p>
    <w:p w14:paraId="5D1215E3" w14:textId="77777777" w:rsidR="002E5800" w:rsidRPr="008F328C" w:rsidRDefault="000E0B7C">
      <w:pPr>
        <w:pStyle w:val="a3"/>
        <w:numPr>
          <w:ilvl w:val="0"/>
          <w:numId w:val="16"/>
        </w:numPr>
        <w:ind w:left="660" w:hanging="660"/>
        <w:rPr>
          <w:lang w:val="pl-PL"/>
        </w:rPr>
      </w:pPr>
      <w:r w:rsidRPr="008F328C">
        <w:rPr>
          <w:rFonts w:eastAsia="Times New Roman"/>
          <w:lang w:val="pl-PL"/>
        </w:rPr>
        <w:t>zawroty głowy (wrażenie wirowania z zaburzeniami równowagi)</w:t>
      </w:r>
    </w:p>
    <w:p w14:paraId="19DE9808" w14:textId="77777777" w:rsidR="002E5800" w:rsidRPr="008F328C" w:rsidRDefault="000E0B7C">
      <w:pPr>
        <w:pStyle w:val="a3"/>
        <w:numPr>
          <w:ilvl w:val="0"/>
          <w:numId w:val="16"/>
        </w:numPr>
        <w:ind w:left="660" w:hanging="660"/>
        <w:rPr>
          <w:lang w:val="pl-PL"/>
        </w:rPr>
      </w:pPr>
      <w:r w:rsidRPr="008F328C">
        <w:rPr>
          <w:rFonts w:eastAsia="Times New Roman"/>
          <w:lang w:val="pl-PL"/>
        </w:rPr>
        <w:t>wrażenie szybkiego bicia serca</w:t>
      </w:r>
    </w:p>
    <w:p w14:paraId="0B7B3A55" w14:textId="77777777" w:rsidR="002E5800" w:rsidRPr="008F328C" w:rsidRDefault="000E0B7C">
      <w:pPr>
        <w:pStyle w:val="a3"/>
        <w:numPr>
          <w:ilvl w:val="0"/>
          <w:numId w:val="16"/>
        </w:numPr>
        <w:ind w:left="660" w:hanging="660"/>
        <w:rPr>
          <w:lang w:val="pl-PL"/>
        </w:rPr>
      </w:pPr>
      <w:r w:rsidRPr="008F328C">
        <w:rPr>
          <w:rFonts w:eastAsia="Times New Roman"/>
          <w:lang w:val="pl-PL"/>
        </w:rPr>
        <w:t>wysokie ciśnienie tętnicze</w:t>
      </w:r>
    </w:p>
    <w:p w14:paraId="1179970A" w14:textId="77777777" w:rsidR="002E5800" w:rsidRPr="008F328C" w:rsidRDefault="000E0B7C">
      <w:pPr>
        <w:pStyle w:val="a3"/>
        <w:numPr>
          <w:ilvl w:val="0"/>
          <w:numId w:val="16"/>
        </w:numPr>
        <w:ind w:left="660" w:hanging="660"/>
        <w:rPr>
          <w:lang w:val="pl-PL"/>
        </w:rPr>
      </w:pPr>
      <w:r w:rsidRPr="008F328C">
        <w:rPr>
          <w:rFonts w:eastAsia="Times New Roman"/>
          <w:lang w:val="pl-PL"/>
        </w:rPr>
        <w:t>zaczerwienienie skóry z uczuciem gorąca</w:t>
      </w:r>
    </w:p>
    <w:p w14:paraId="00A40B0A" w14:textId="77777777" w:rsidR="002E5800" w:rsidRPr="008F328C" w:rsidRDefault="000E0B7C">
      <w:pPr>
        <w:pStyle w:val="a3"/>
        <w:numPr>
          <w:ilvl w:val="0"/>
          <w:numId w:val="16"/>
        </w:numPr>
        <w:ind w:left="660" w:hanging="660"/>
        <w:rPr>
          <w:lang w:val="pl-PL"/>
        </w:rPr>
      </w:pPr>
      <w:r w:rsidRPr="008F328C">
        <w:rPr>
          <w:rFonts w:eastAsia="Times New Roman"/>
          <w:lang w:val="pl-PL"/>
        </w:rPr>
        <w:t>krwiak (gromadzenie się krwi poza naczyniami krwionośnymi)</w:t>
      </w:r>
    </w:p>
    <w:p w14:paraId="30483F26" w14:textId="77777777" w:rsidR="002E5800" w:rsidRPr="008F328C" w:rsidRDefault="000E0B7C">
      <w:pPr>
        <w:pStyle w:val="a3"/>
        <w:numPr>
          <w:ilvl w:val="0"/>
          <w:numId w:val="16"/>
        </w:numPr>
        <w:ind w:left="660" w:hanging="660"/>
        <w:rPr>
          <w:lang w:val="pl-PL"/>
        </w:rPr>
      </w:pPr>
      <w:r w:rsidRPr="008F328C">
        <w:rPr>
          <w:rFonts w:eastAsia="Times New Roman"/>
          <w:lang w:val="pl-PL"/>
        </w:rPr>
        <w:t>kaszel</w:t>
      </w:r>
    </w:p>
    <w:p w14:paraId="5EAB5757" w14:textId="77777777" w:rsidR="002E5800" w:rsidRPr="008F328C" w:rsidRDefault="000E0B7C">
      <w:pPr>
        <w:pStyle w:val="a3"/>
        <w:numPr>
          <w:ilvl w:val="0"/>
          <w:numId w:val="16"/>
        </w:numPr>
        <w:ind w:left="660" w:hanging="660"/>
        <w:rPr>
          <w:lang w:val="pl-PL"/>
        </w:rPr>
      </w:pPr>
      <w:r w:rsidRPr="008F328C">
        <w:rPr>
          <w:rFonts w:eastAsia="Times New Roman"/>
          <w:lang w:val="pl-PL"/>
        </w:rPr>
        <w:t>astma</w:t>
      </w:r>
    </w:p>
    <w:p w14:paraId="6E429555" w14:textId="77777777" w:rsidR="002E5800" w:rsidRPr="008F328C" w:rsidRDefault="000E0B7C">
      <w:pPr>
        <w:pStyle w:val="a3"/>
        <w:numPr>
          <w:ilvl w:val="0"/>
          <w:numId w:val="16"/>
        </w:numPr>
        <w:ind w:left="660" w:hanging="660"/>
        <w:rPr>
          <w:lang w:val="pl-PL"/>
        </w:rPr>
      </w:pPr>
      <w:r w:rsidRPr="008F328C">
        <w:rPr>
          <w:rFonts w:eastAsia="Times New Roman"/>
          <w:lang w:val="pl-PL"/>
        </w:rPr>
        <w:t>duszność</w:t>
      </w:r>
    </w:p>
    <w:p w14:paraId="0B67D59E" w14:textId="77777777" w:rsidR="002E5800" w:rsidRPr="008F328C" w:rsidRDefault="000E0B7C">
      <w:pPr>
        <w:pStyle w:val="a3"/>
        <w:numPr>
          <w:ilvl w:val="0"/>
          <w:numId w:val="16"/>
        </w:numPr>
        <w:ind w:left="660" w:hanging="660"/>
        <w:rPr>
          <w:lang w:val="pl-PL"/>
        </w:rPr>
      </w:pPr>
      <w:r w:rsidRPr="008F328C">
        <w:rPr>
          <w:rFonts w:eastAsia="Times New Roman"/>
          <w:lang w:val="pl-PL"/>
        </w:rPr>
        <w:t>krwawienie z przewodu pokarmowego</w:t>
      </w:r>
    </w:p>
    <w:p w14:paraId="297ACC11" w14:textId="77777777" w:rsidR="002E5800" w:rsidRPr="008F328C" w:rsidRDefault="000E0B7C">
      <w:pPr>
        <w:pStyle w:val="a3"/>
        <w:numPr>
          <w:ilvl w:val="0"/>
          <w:numId w:val="16"/>
        </w:numPr>
        <w:ind w:left="660" w:hanging="660"/>
        <w:rPr>
          <w:lang w:val="pl-PL"/>
        </w:rPr>
      </w:pPr>
      <w:r w:rsidRPr="008F328C">
        <w:rPr>
          <w:rFonts w:eastAsia="Times New Roman"/>
          <w:lang w:val="pl-PL"/>
        </w:rPr>
        <w:t>objawy dyspeptyczne (niestrawność, wzdęcie, zgaga)</w:t>
      </w:r>
    </w:p>
    <w:p w14:paraId="66F36E75" w14:textId="77777777" w:rsidR="002E5800" w:rsidRPr="008F328C" w:rsidRDefault="000E0B7C">
      <w:pPr>
        <w:pStyle w:val="a3"/>
        <w:numPr>
          <w:ilvl w:val="0"/>
          <w:numId w:val="16"/>
        </w:numPr>
        <w:ind w:left="660" w:hanging="660"/>
        <w:rPr>
          <w:lang w:val="pl-PL"/>
        </w:rPr>
      </w:pPr>
      <w:r w:rsidRPr="008F328C">
        <w:rPr>
          <w:rFonts w:eastAsia="Times New Roman"/>
          <w:lang w:val="pl-PL"/>
        </w:rPr>
        <w:t>choroba refluksowa przełyku</w:t>
      </w:r>
    </w:p>
    <w:p w14:paraId="23E166E2" w14:textId="77777777" w:rsidR="002E5800" w:rsidRPr="008F328C" w:rsidRDefault="000E0B7C">
      <w:pPr>
        <w:pStyle w:val="a3"/>
        <w:numPr>
          <w:ilvl w:val="0"/>
          <w:numId w:val="16"/>
        </w:numPr>
        <w:ind w:left="660" w:hanging="660"/>
        <w:rPr>
          <w:lang w:val="pl-PL"/>
        </w:rPr>
      </w:pPr>
      <w:r w:rsidRPr="008F328C">
        <w:rPr>
          <w:rFonts w:eastAsia="Times New Roman"/>
          <w:lang w:val="pl-PL"/>
        </w:rPr>
        <w:t>zespół suchości (w tym suchość oczu i jamy ustnej)</w:t>
      </w:r>
    </w:p>
    <w:p w14:paraId="1934A08E" w14:textId="77777777" w:rsidR="002E5800" w:rsidRPr="008F328C" w:rsidRDefault="000E0B7C">
      <w:pPr>
        <w:pStyle w:val="a3"/>
        <w:numPr>
          <w:ilvl w:val="0"/>
          <w:numId w:val="16"/>
        </w:numPr>
        <w:ind w:left="660" w:hanging="660"/>
        <w:rPr>
          <w:lang w:val="pl-PL"/>
        </w:rPr>
      </w:pPr>
      <w:r w:rsidRPr="008F328C">
        <w:rPr>
          <w:rFonts w:eastAsia="Times New Roman"/>
          <w:lang w:val="pl-PL"/>
        </w:rPr>
        <w:t>świąd</w:t>
      </w:r>
    </w:p>
    <w:p w14:paraId="130020C2" w14:textId="77777777" w:rsidR="002E5800" w:rsidRPr="008F328C" w:rsidRDefault="000E0B7C">
      <w:pPr>
        <w:pStyle w:val="a3"/>
        <w:numPr>
          <w:ilvl w:val="0"/>
          <w:numId w:val="16"/>
        </w:numPr>
        <w:ind w:left="660" w:hanging="660"/>
        <w:rPr>
          <w:rFonts w:eastAsia="Times New Roman"/>
          <w:spacing w:val="-1"/>
          <w:lang w:val="pl-PL"/>
        </w:rPr>
      </w:pPr>
      <w:r w:rsidRPr="008F328C">
        <w:rPr>
          <w:rFonts w:eastAsia="Times New Roman"/>
          <w:lang w:val="pl-PL"/>
        </w:rPr>
        <w:t>swędząca wysypka</w:t>
      </w:r>
    </w:p>
    <w:p w14:paraId="06F57CA9" w14:textId="77777777" w:rsidR="002E5800" w:rsidRPr="008F328C" w:rsidRDefault="000E0B7C">
      <w:pPr>
        <w:pStyle w:val="a3"/>
        <w:numPr>
          <w:ilvl w:val="0"/>
          <w:numId w:val="16"/>
        </w:numPr>
        <w:ind w:left="660" w:hanging="660"/>
        <w:rPr>
          <w:lang w:val="pl-PL"/>
        </w:rPr>
      </w:pPr>
      <w:r w:rsidRPr="008F328C">
        <w:rPr>
          <w:rFonts w:eastAsia="Times New Roman"/>
          <w:lang w:val="pl-PL"/>
        </w:rPr>
        <w:t>siniaczenie</w:t>
      </w:r>
    </w:p>
    <w:p w14:paraId="12BC0C21" w14:textId="77777777" w:rsidR="002E5800" w:rsidRPr="008F328C" w:rsidRDefault="000E0B7C">
      <w:pPr>
        <w:pStyle w:val="a3"/>
        <w:numPr>
          <w:ilvl w:val="0"/>
          <w:numId w:val="16"/>
        </w:numPr>
        <w:ind w:left="660" w:hanging="660"/>
        <w:rPr>
          <w:lang w:val="pl-PL"/>
        </w:rPr>
      </w:pPr>
      <w:r w:rsidRPr="008F328C">
        <w:rPr>
          <w:rFonts w:eastAsia="Times New Roman"/>
          <w:lang w:val="pl-PL"/>
        </w:rPr>
        <w:t>zapalenie skóry (takie jak wyprysk)</w:t>
      </w:r>
    </w:p>
    <w:p w14:paraId="532A1252" w14:textId="77777777" w:rsidR="002E5800" w:rsidRPr="008F328C" w:rsidRDefault="000E0B7C">
      <w:pPr>
        <w:pStyle w:val="a3"/>
        <w:numPr>
          <w:ilvl w:val="0"/>
          <w:numId w:val="16"/>
        </w:numPr>
        <w:ind w:left="660" w:hanging="660"/>
        <w:rPr>
          <w:lang w:val="pl-PL"/>
        </w:rPr>
      </w:pPr>
      <w:r w:rsidRPr="008F328C">
        <w:rPr>
          <w:rFonts w:eastAsia="Times New Roman"/>
          <w:lang w:val="pl-PL"/>
        </w:rPr>
        <w:t>łamliwość paznokci</w:t>
      </w:r>
    </w:p>
    <w:p w14:paraId="100DC6CF"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potliwość</w:t>
      </w:r>
    </w:p>
    <w:p w14:paraId="7B909FB4" w14:textId="77777777" w:rsidR="002E5800" w:rsidRPr="008F328C" w:rsidRDefault="000E0B7C">
      <w:pPr>
        <w:pStyle w:val="a3"/>
        <w:numPr>
          <w:ilvl w:val="0"/>
          <w:numId w:val="16"/>
        </w:numPr>
        <w:ind w:left="660" w:hanging="660"/>
        <w:rPr>
          <w:lang w:val="pl-PL"/>
        </w:rPr>
      </w:pPr>
      <w:r w:rsidRPr="008F328C">
        <w:rPr>
          <w:rFonts w:eastAsia="Times New Roman"/>
          <w:lang w:val="pl-PL"/>
        </w:rPr>
        <w:t>wypadanie włosów</w:t>
      </w:r>
    </w:p>
    <w:p w14:paraId="764BB88B" w14:textId="77777777" w:rsidR="002E5800" w:rsidRPr="008F328C" w:rsidRDefault="000E0B7C">
      <w:pPr>
        <w:pStyle w:val="a3"/>
        <w:numPr>
          <w:ilvl w:val="0"/>
          <w:numId w:val="16"/>
        </w:numPr>
        <w:ind w:left="660" w:hanging="660"/>
        <w:rPr>
          <w:lang w:val="pl-PL"/>
        </w:rPr>
      </w:pPr>
      <w:r w:rsidRPr="008F328C">
        <w:rPr>
          <w:rFonts w:eastAsia="Times New Roman"/>
          <w:lang w:val="pl-PL"/>
        </w:rPr>
        <w:t>wystąpienie lub pogorszenie się łuszczycy</w:t>
      </w:r>
    </w:p>
    <w:p w14:paraId="51F3ABF3" w14:textId="77777777" w:rsidR="002E5800" w:rsidRPr="008F328C" w:rsidRDefault="000E0B7C">
      <w:pPr>
        <w:pStyle w:val="a3"/>
        <w:numPr>
          <w:ilvl w:val="0"/>
          <w:numId w:val="16"/>
        </w:numPr>
        <w:ind w:left="660" w:hanging="660"/>
        <w:rPr>
          <w:lang w:val="pl-PL"/>
        </w:rPr>
      </w:pPr>
      <w:r w:rsidRPr="008F328C">
        <w:rPr>
          <w:rFonts w:eastAsia="Times New Roman"/>
          <w:lang w:val="pl-PL"/>
        </w:rPr>
        <w:t>skurcze mięśni</w:t>
      </w:r>
    </w:p>
    <w:p w14:paraId="0C186212" w14:textId="77777777" w:rsidR="002E5800" w:rsidRPr="008F328C" w:rsidRDefault="000E0B7C">
      <w:pPr>
        <w:pStyle w:val="a3"/>
        <w:numPr>
          <w:ilvl w:val="0"/>
          <w:numId w:val="16"/>
        </w:numPr>
        <w:ind w:left="660" w:hanging="660"/>
        <w:rPr>
          <w:lang w:val="pl-PL"/>
        </w:rPr>
      </w:pPr>
      <w:r w:rsidRPr="008F328C">
        <w:rPr>
          <w:rFonts w:eastAsia="Times New Roman"/>
          <w:lang w:val="pl-PL"/>
        </w:rPr>
        <w:t>krew w moczu</w:t>
      </w:r>
    </w:p>
    <w:p w14:paraId="1E770962" w14:textId="77777777" w:rsidR="002E5800" w:rsidRPr="008F328C" w:rsidRDefault="000E0B7C">
      <w:pPr>
        <w:pStyle w:val="a3"/>
        <w:numPr>
          <w:ilvl w:val="0"/>
          <w:numId w:val="16"/>
        </w:numPr>
        <w:ind w:left="660" w:hanging="660"/>
        <w:rPr>
          <w:lang w:val="pl-PL"/>
        </w:rPr>
      </w:pPr>
      <w:r w:rsidRPr="008F328C">
        <w:rPr>
          <w:rFonts w:eastAsia="Times New Roman"/>
          <w:lang w:val="pl-PL"/>
        </w:rPr>
        <w:t>dolegliwości ze strony nerek</w:t>
      </w:r>
    </w:p>
    <w:p w14:paraId="57AFBAF5" w14:textId="77777777" w:rsidR="002E5800" w:rsidRPr="008F328C" w:rsidRDefault="000E0B7C">
      <w:pPr>
        <w:pStyle w:val="a3"/>
        <w:numPr>
          <w:ilvl w:val="0"/>
          <w:numId w:val="16"/>
        </w:numPr>
        <w:ind w:left="660" w:hanging="660"/>
        <w:rPr>
          <w:lang w:val="pl-PL"/>
        </w:rPr>
      </w:pPr>
      <w:r w:rsidRPr="008F328C">
        <w:rPr>
          <w:rFonts w:eastAsia="Times New Roman"/>
          <w:lang w:val="pl-PL"/>
        </w:rPr>
        <w:t>bóle w klatce piersiowej</w:t>
      </w:r>
    </w:p>
    <w:p w14:paraId="0BA4385A" w14:textId="77777777" w:rsidR="002E5800" w:rsidRPr="008F328C" w:rsidRDefault="000E0B7C">
      <w:pPr>
        <w:pStyle w:val="a3"/>
        <w:numPr>
          <w:ilvl w:val="0"/>
          <w:numId w:val="16"/>
        </w:numPr>
        <w:ind w:left="660" w:hanging="660"/>
        <w:rPr>
          <w:lang w:val="pl-PL"/>
        </w:rPr>
      </w:pPr>
      <w:r w:rsidRPr="008F328C">
        <w:rPr>
          <w:rFonts w:eastAsia="Times New Roman"/>
          <w:lang w:val="pl-PL"/>
        </w:rPr>
        <w:t>obrzęki</w:t>
      </w:r>
    </w:p>
    <w:p w14:paraId="36128506" w14:textId="77777777" w:rsidR="002E5800" w:rsidRPr="008F328C" w:rsidRDefault="000E0B7C">
      <w:pPr>
        <w:pStyle w:val="a3"/>
        <w:numPr>
          <w:ilvl w:val="0"/>
          <w:numId w:val="16"/>
        </w:numPr>
        <w:ind w:left="660" w:hanging="660"/>
        <w:rPr>
          <w:lang w:val="pl-PL"/>
        </w:rPr>
      </w:pPr>
      <w:r w:rsidRPr="008F328C">
        <w:rPr>
          <w:rFonts w:eastAsia="Times New Roman"/>
          <w:lang w:val="pl-PL"/>
        </w:rPr>
        <w:t>gorączka</w:t>
      </w:r>
    </w:p>
    <w:p w14:paraId="7F861716" w14:textId="77777777" w:rsidR="002E5800" w:rsidRPr="008F328C" w:rsidRDefault="000E0B7C">
      <w:pPr>
        <w:pStyle w:val="a3"/>
        <w:numPr>
          <w:ilvl w:val="0"/>
          <w:numId w:val="16"/>
        </w:numPr>
        <w:ind w:left="660" w:hanging="660"/>
        <w:rPr>
          <w:lang w:val="pl-PL"/>
        </w:rPr>
      </w:pPr>
      <w:r w:rsidRPr="008F328C">
        <w:rPr>
          <w:rFonts w:eastAsia="Times New Roman"/>
          <w:lang w:val="pl-PL"/>
        </w:rPr>
        <w:t>zmniejszenie liczby płytek krwi, co zwiększa ryzyko krwawienia lub siniaczenia</w:t>
      </w:r>
    </w:p>
    <w:p w14:paraId="56309403" w14:textId="77777777" w:rsidR="002E5800" w:rsidRPr="008F328C" w:rsidRDefault="000E0B7C">
      <w:pPr>
        <w:pStyle w:val="a3"/>
        <w:numPr>
          <w:ilvl w:val="0"/>
          <w:numId w:val="16"/>
        </w:numPr>
        <w:ind w:left="660" w:hanging="660"/>
        <w:rPr>
          <w:lang w:val="pl-PL"/>
        </w:rPr>
      </w:pPr>
      <w:r w:rsidRPr="008F328C">
        <w:rPr>
          <w:rFonts w:eastAsia="Times New Roman"/>
          <w:lang w:val="pl-PL"/>
        </w:rPr>
        <w:t>zaburzenie gojenia ran</w:t>
      </w:r>
    </w:p>
    <w:p w14:paraId="20AB1C05" w14:textId="77777777" w:rsidR="002E5800" w:rsidRPr="008F328C" w:rsidRDefault="002E5800">
      <w:pPr>
        <w:spacing w:before="10" w:line="240" w:lineRule="exact"/>
        <w:rPr>
          <w:rFonts w:ascii="Times New Roman" w:hAnsi="Times New Roman" w:cs="Times New Roman"/>
          <w:sz w:val="24"/>
          <w:szCs w:val="24"/>
          <w:lang w:val="pl-PL"/>
        </w:rPr>
      </w:pPr>
    </w:p>
    <w:p w14:paraId="5F5EB8FE" w14:textId="77777777" w:rsidR="002E5800" w:rsidRPr="008F328C" w:rsidRDefault="000E0B7C">
      <w:pPr>
        <w:pStyle w:val="a3"/>
        <w:rPr>
          <w:lang w:val="pl-PL"/>
        </w:rPr>
      </w:pPr>
      <w:r w:rsidRPr="008F328C">
        <w:rPr>
          <w:rFonts w:eastAsia="Times New Roman"/>
          <w:b/>
          <w:bCs/>
          <w:lang w:val="pl-PL"/>
        </w:rPr>
        <w:t xml:space="preserve">Niezbyt często </w:t>
      </w:r>
      <w:r w:rsidRPr="008F328C">
        <w:rPr>
          <w:rFonts w:eastAsia="Times New Roman"/>
          <w:lang w:val="pl-PL"/>
        </w:rPr>
        <w:t>(może wystąpić u mniej niż 1 ze 100 osób)</w:t>
      </w:r>
    </w:p>
    <w:p w14:paraId="4FEBC58F" w14:textId="77777777" w:rsidR="002E5800" w:rsidRPr="008F328C" w:rsidRDefault="002E5800">
      <w:pPr>
        <w:spacing w:before="14" w:line="260" w:lineRule="exact"/>
        <w:rPr>
          <w:rFonts w:ascii="Times New Roman" w:hAnsi="Times New Roman" w:cs="Times New Roman"/>
          <w:sz w:val="26"/>
          <w:szCs w:val="26"/>
          <w:lang w:val="pl-PL"/>
        </w:rPr>
      </w:pPr>
    </w:p>
    <w:p w14:paraId="2306DE43"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oportunistyczne (w tym gruźlica i inne zakażenia, które występują, gdy zmniejsza się odporność na zachorowanie)</w:t>
      </w:r>
    </w:p>
    <w:p w14:paraId="5989659D"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układu nerwowego (w tym wirusowe zapalenie opon mózgowych)</w:t>
      </w:r>
    </w:p>
    <w:p w14:paraId="070C177F"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oka</w:t>
      </w:r>
    </w:p>
    <w:p w14:paraId="75EE2658" w14:textId="77777777" w:rsidR="002E5800" w:rsidRPr="008F328C" w:rsidRDefault="000E0B7C">
      <w:pPr>
        <w:pStyle w:val="a3"/>
        <w:numPr>
          <w:ilvl w:val="0"/>
          <w:numId w:val="16"/>
        </w:numPr>
        <w:ind w:left="660" w:hanging="660"/>
        <w:rPr>
          <w:lang w:val="pl-PL"/>
        </w:rPr>
      </w:pPr>
      <w:r w:rsidRPr="008F328C">
        <w:rPr>
          <w:rFonts w:eastAsia="Times New Roman"/>
          <w:lang w:val="pl-PL"/>
        </w:rPr>
        <w:t>zakażenia bakteryjne</w:t>
      </w:r>
    </w:p>
    <w:p w14:paraId="4C41FB8C" w14:textId="77777777" w:rsidR="002E5800" w:rsidRPr="008F328C" w:rsidRDefault="000E0B7C">
      <w:pPr>
        <w:pStyle w:val="a3"/>
        <w:numPr>
          <w:ilvl w:val="0"/>
          <w:numId w:val="16"/>
        </w:numPr>
        <w:ind w:left="660" w:hanging="660"/>
        <w:rPr>
          <w:lang w:val="pl-PL"/>
        </w:rPr>
      </w:pPr>
      <w:r w:rsidRPr="008F328C">
        <w:rPr>
          <w:rFonts w:eastAsia="Times New Roman"/>
          <w:lang w:val="pl-PL"/>
        </w:rPr>
        <w:t>zapalenie uchyłka (zapalenie i zakażenie jelita grubego)</w:t>
      </w:r>
    </w:p>
    <w:p w14:paraId="1A5C142F" w14:textId="77777777" w:rsidR="002E5800" w:rsidRPr="008F328C" w:rsidRDefault="000E0B7C">
      <w:pPr>
        <w:pStyle w:val="a3"/>
        <w:numPr>
          <w:ilvl w:val="0"/>
          <w:numId w:val="16"/>
        </w:numPr>
        <w:ind w:left="660" w:hanging="660"/>
        <w:rPr>
          <w:lang w:val="pl-PL"/>
        </w:rPr>
      </w:pPr>
      <w:r w:rsidRPr="008F328C">
        <w:rPr>
          <w:rFonts w:eastAsia="Times New Roman"/>
          <w:lang w:val="pl-PL"/>
        </w:rPr>
        <w:t>rak</w:t>
      </w:r>
    </w:p>
    <w:p w14:paraId="597F1F3F" w14:textId="77777777" w:rsidR="002E5800" w:rsidRPr="008F328C" w:rsidRDefault="000E0B7C">
      <w:pPr>
        <w:pStyle w:val="a3"/>
        <w:numPr>
          <w:ilvl w:val="0"/>
          <w:numId w:val="16"/>
        </w:numPr>
        <w:ind w:left="660" w:hanging="660"/>
        <w:rPr>
          <w:lang w:val="pl-PL"/>
        </w:rPr>
      </w:pPr>
      <w:r w:rsidRPr="008F328C">
        <w:rPr>
          <w:rFonts w:eastAsia="Times New Roman"/>
          <w:lang w:val="pl-PL"/>
        </w:rPr>
        <w:t>nowotwór złośliwy układu limfatycznego</w:t>
      </w:r>
    </w:p>
    <w:p w14:paraId="7CDE9B5C"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czerniak</w:t>
      </w:r>
    </w:p>
    <w:p w14:paraId="02FB12B5"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układu immunologicznego, które mogą powodować zmiany w płucach, skórze i węzłach chłonnych (najczęściej objawiające się jako sarkoidoza)</w:t>
      </w:r>
    </w:p>
    <w:p w14:paraId="75096E03" w14:textId="77777777" w:rsidR="002E5800" w:rsidRPr="008F328C" w:rsidRDefault="000E0B7C">
      <w:pPr>
        <w:pStyle w:val="a3"/>
        <w:numPr>
          <w:ilvl w:val="0"/>
          <w:numId w:val="16"/>
        </w:numPr>
        <w:ind w:left="660" w:hanging="660"/>
        <w:rPr>
          <w:lang w:val="pl-PL"/>
        </w:rPr>
      </w:pPr>
      <w:r w:rsidRPr="008F328C">
        <w:rPr>
          <w:rFonts w:eastAsia="Times New Roman"/>
          <w:lang w:val="pl-PL"/>
        </w:rPr>
        <w:t>zapalenie naczyń krwionośnych</w:t>
      </w:r>
    </w:p>
    <w:p w14:paraId="05CE5525" w14:textId="77777777" w:rsidR="002E5800" w:rsidRPr="008F328C" w:rsidRDefault="000E0B7C">
      <w:pPr>
        <w:pStyle w:val="a3"/>
        <w:numPr>
          <w:ilvl w:val="0"/>
          <w:numId w:val="16"/>
        </w:numPr>
        <w:ind w:left="660" w:hanging="660"/>
        <w:rPr>
          <w:lang w:val="pl-PL"/>
        </w:rPr>
      </w:pPr>
      <w:r w:rsidRPr="008F328C">
        <w:rPr>
          <w:rFonts w:eastAsia="Times New Roman"/>
          <w:lang w:val="pl-PL"/>
        </w:rPr>
        <w:t>drżenie</w:t>
      </w:r>
    </w:p>
    <w:p w14:paraId="57A50DC9" w14:textId="77777777" w:rsidR="002E5800" w:rsidRPr="008F328C" w:rsidRDefault="000E0B7C">
      <w:pPr>
        <w:pStyle w:val="a3"/>
        <w:numPr>
          <w:ilvl w:val="0"/>
          <w:numId w:val="16"/>
        </w:numPr>
        <w:ind w:left="660" w:hanging="660"/>
        <w:rPr>
          <w:lang w:val="pl-PL"/>
        </w:rPr>
      </w:pPr>
      <w:r w:rsidRPr="008F328C">
        <w:rPr>
          <w:rFonts w:eastAsia="Times New Roman"/>
          <w:lang w:val="pl-PL"/>
        </w:rPr>
        <w:t>neuropatia (choroba nerwów obwodowych)</w:t>
      </w:r>
    </w:p>
    <w:p w14:paraId="720EAB56" w14:textId="77777777" w:rsidR="002E5800" w:rsidRPr="008F328C" w:rsidRDefault="000E0B7C">
      <w:pPr>
        <w:pStyle w:val="a3"/>
        <w:numPr>
          <w:ilvl w:val="0"/>
          <w:numId w:val="16"/>
        </w:numPr>
        <w:ind w:left="660" w:hanging="660"/>
        <w:rPr>
          <w:lang w:val="pl-PL"/>
        </w:rPr>
      </w:pPr>
      <w:r w:rsidRPr="008F328C">
        <w:rPr>
          <w:rFonts w:eastAsia="Times New Roman"/>
          <w:lang w:val="pl-PL"/>
        </w:rPr>
        <w:t>udar</w:t>
      </w:r>
    </w:p>
    <w:p w14:paraId="37D001D9" w14:textId="77777777" w:rsidR="002E5800" w:rsidRPr="008F328C" w:rsidRDefault="000E0B7C">
      <w:pPr>
        <w:pStyle w:val="a3"/>
        <w:numPr>
          <w:ilvl w:val="0"/>
          <w:numId w:val="16"/>
        </w:numPr>
        <w:ind w:left="660" w:hanging="660"/>
        <w:rPr>
          <w:lang w:val="pl-PL"/>
        </w:rPr>
      </w:pPr>
      <w:r w:rsidRPr="008F328C">
        <w:rPr>
          <w:rFonts w:eastAsia="Times New Roman"/>
          <w:lang w:val="pl-PL"/>
        </w:rPr>
        <w:t>utrata słuchu, szumy w uszach</w:t>
      </w:r>
    </w:p>
    <w:p w14:paraId="41E3A232" w14:textId="77777777" w:rsidR="002E5800" w:rsidRPr="008F328C" w:rsidRDefault="000E0B7C">
      <w:pPr>
        <w:pStyle w:val="a3"/>
        <w:numPr>
          <w:ilvl w:val="0"/>
          <w:numId w:val="16"/>
        </w:numPr>
        <w:ind w:left="660" w:hanging="660"/>
        <w:rPr>
          <w:lang w:val="pl-PL"/>
        </w:rPr>
      </w:pPr>
      <w:r w:rsidRPr="008F328C">
        <w:rPr>
          <w:rFonts w:eastAsia="Times New Roman"/>
          <w:lang w:val="pl-PL"/>
        </w:rPr>
        <w:t>wrażenie nieregularnego bicia serca, takie jak wrażenie wypadania kolejnych uderzeń serca</w:t>
      </w:r>
    </w:p>
    <w:p w14:paraId="54D23320"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serca, które mogą powodować duszność lub obrzęki kostek</w:t>
      </w:r>
    </w:p>
    <w:p w14:paraId="1F004019" w14:textId="77777777" w:rsidR="002E5800" w:rsidRPr="008F328C" w:rsidRDefault="000E0B7C">
      <w:pPr>
        <w:pStyle w:val="a3"/>
        <w:numPr>
          <w:ilvl w:val="0"/>
          <w:numId w:val="16"/>
        </w:numPr>
        <w:ind w:left="660" w:hanging="660"/>
        <w:rPr>
          <w:lang w:val="pl-PL"/>
        </w:rPr>
      </w:pPr>
      <w:r w:rsidRPr="008F328C">
        <w:rPr>
          <w:rFonts w:eastAsia="Times New Roman"/>
          <w:lang w:val="pl-PL"/>
        </w:rPr>
        <w:t>zawał serca</w:t>
      </w:r>
    </w:p>
    <w:p w14:paraId="67A7C104" w14:textId="77777777" w:rsidR="002E5800" w:rsidRPr="008F328C" w:rsidRDefault="000E0B7C">
      <w:pPr>
        <w:pStyle w:val="a3"/>
        <w:numPr>
          <w:ilvl w:val="0"/>
          <w:numId w:val="16"/>
        </w:numPr>
        <w:ind w:left="660" w:hanging="660"/>
        <w:rPr>
          <w:lang w:val="pl-PL"/>
        </w:rPr>
      </w:pPr>
      <w:r w:rsidRPr="008F328C">
        <w:rPr>
          <w:rFonts w:eastAsia="Times New Roman"/>
          <w:lang w:val="pl-PL"/>
        </w:rPr>
        <w:t>zawał serca·„kieszonka” w ścianie głównej tętnicy (tętniak aorty)</w:t>
      </w:r>
    </w:p>
    <w:p w14:paraId="29A4B0AA" w14:textId="77777777" w:rsidR="002E5800" w:rsidRPr="008F328C" w:rsidRDefault="000E0B7C">
      <w:pPr>
        <w:pStyle w:val="a3"/>
        <w:numPr>
          <w:ilvl w:val="0"/>
          <w:numId w:val="16"/>
        </w:numPr>
        <w:ind w:left="660" w:hanging="660"/>
        <w:rPr>
          <w:lang w:val="pl-PL"/>
        </w:rPr>
      </w:pPr>
      <w:r w:rsidRPr="008F328C">
        <w:rPr>
          <w:rFonts w:eastAsia="Times New Roman"/>
          <w:lang w:val="pl-PL"/>
        </w:rPr>
        <w:t>zapalenie i zakrzep krwi w żyle, niedrożność naczynia krwionośnego choroby płuc powodujące duszność (w tym zapalenie płuc)</w:t>
      </w:r>
    </w:p>
    <w:p w14:paraId="2E1A270D" w14:textId="77777777" w:rsidR="002E5800" w:rsidRPr="008F328C" w:rsidRDefault="000E0B7C">
      <w:pPr>
        <w:pStyle w:val="a3"/>
        <w:numPr>
          <w:ilvl w:val="0"/>
          <w:numId w:val="16"/>
        </w:numPr>
        <w:ind w:left="660" w:hanging="660"/>
        <w:rPr>
          <w:lang w:val="pl-PL"/>
        </w:rPr>
      </w:pPr>
      <w:r w:rsidRPr="008F328C">
        <w:rPr>
          <w:rFonts w:eastAsia="Times New Roman"/>
          <w:lang w:val="pl-PL"/>
        </w:rPr>
        <w:t>zator płucny (zablokowanie tętnicy płuca)</w:t>
      </w:r>
    </w:p>
    <w:p w14:paraId="3C58E787" w14:textId="77777777" w:rsidR="002E5800" w:rsidRPr="008F328C" w:rsidRDefault="000E0B7C">
      <w:pPr>
        <w:pStyle w:val="a3"/>
        <w:numPr>
          <w:ilvl w:val="0"/>
          <w:numId w:val="16"/>
        </w:numPr>
        <w:ind w:left="660" w:hanging="660"/>
        <w:rPr>
          <w:lang w:val="pl-PL"/>
        </w:rPr>
      </w:pPr>
      <w:r w:rsidRPr="008F328C">
        <w:rPr>
          <w:rFonts w:eastAsia="Times New Roman"/>
          <w:lang w:val="pl-PL"/>
        </w:rPr>
        <w:t>wysięk opłucnowy (nieprawidłowe gromadzenie się płynu w jamie opłucnej)</w:t>
      </w:r>
    </w:p>
    <w:p w14:paraId="39B6FCA9" w14:textId="77777777" w:rsidR="002E5800" w:rsidRPr="008F328C" w:rsidRDefault="000E0B7C">
      <w:pPr>
        <w:pStyle w:val="a3"/>
        <w:numPr>
          <w:ilvl w:val="0"/>
          <w:numId w:val="16"/>
        </w:numPr>
        <w:ind w:left="660" w:hanging="660"/>
        <w:rPr>
          <w:lang w:val="pl-PL"/>
        </w:rPr>
      </w:pPr>
      <w:r w:rsidRPr="008F328C">
        <w:rPr>
          <w:rFonts w:eastAsia="Times New Roman"/>
          <w:lang w:val="pl-PL"/>
        </w:rPr>
        <w:t>zapalenie trzustki, które powoduje ostry ból brzucha i pleców</w:t>
      </w:r>
    </w:p>
    <w:p w14:paraId="3C07B856" w14:textId="77777777" w:rsidR="002E5800" w:rsidRPr="008F328C" w:rsidRDefault="000E0B7C">
      <w:pPr>
        <w:pStyle w:val="a3"/>
        <w:numPr>
          <w:ilvl w:val="0"/>
          <w:numId w:val="16"/>
        </w:numPr>
        <w:ind w:left="660" w:hanging="660"/>
        <w:rPr>
          <w:lang w:val="pl-PL"/>
        </w:rPr>
      </w:pPr>
      <w:r w:rsidRPr="008F328C">
        <w:rPr>
          <w:rFonts w:eastAsia="Times New Roman"/>
          <w:lang w:val="pl-PL"/>
        </w:rPr>
        <w:t>trudności w połykaniu</w:t>
      </w:r>
    </w:p>
    <w:p w14:paraId="0F378606"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w:t>
      </w:r>
    </w:p>
    <w:p w14:paraId="601D524B" w14:textId="77777777" w:rsidR="002E5800" w:rsidRPr="008F328C" w:rsidRDefault="000E0B7C">
      <w:pPr>
        <w:pStyle w:val="a3"/>
        <w:numPr>
          <w:ilvl w:val="0"/>
          <w:numId w:val="16"/>
        </w:numPr>
        <w:ind w:left="660" w:hanging="660"/>
        <w:rPr>
          <w:lang w:val="pl-PL"/>
        </w:rPr>
      </w:pPr>
      <w:r w:rsidRPr="008F328C">
        <w:rPr>
          <w:rFonts w:eastAsia="Times New Roman"/>
          <w:lang w:val="pl-PL"/>
        </w:rPr>
        <w:t>zapalenie pęcherzyka żółciowego, kamienie w pęcherzyku żółciowym</w:t>
      </w:r>
    </w:p>
    <w:p w14:paraId="5FEAF756" w14:textId="77777777" w:rsidR="002E5800" w:rsidRPr="008F328C" w:rsidRDefault="000E0B7C">
      <w:pPr>
        <w:pStyle w:val="a3"/>
        <w:numPr>
          <w:ilvl w:val="0"/>
          <w:numId w:val="16"/>
        </w:numPr>
        <w:ind w:left="660" w:hanging="660"/>
        <w:rPr>
          <w:lang w:val="pl-PL"/>
        </w:rPr>
      </w:pPr>
      <w:r w:rsidRPr="008F328C">
        <w:rPr>
          <w:rFonts w:eastAsia="Times New Roman"/>
          <w:lang w:val="pl-PL"/>
        </w:rPr>
        <w:t>stłuszczenie wątroby</w:t>
      </w:r>
    </w:p>
    <w:p w14:paraId="541F9441" w14:textId="77777777" w:rsidR="002E5800" w:rsidRPr="008F328C" w:rsidRDefault="000E0B7C">
      <w:pPr>
        <w:pStyle w:val="a3"/>
        <w:numPr>
          <w:ilvl w:val="0"/>
          <w:numId w:val="16"/>
        </w:numPr>
        <w:ind w:left="660" w:hanging="660"/>
        <w:rPr>
          <w:lang w:val="pl-PL"/>
        </w:rPr>
      </w:pPr>
      <w:r w:rsidRPr="008F328C">
        <w:rPr>
          <w:rFonts w:eastAsia="Times New Roman"/>
          <w:lang w:val="pl-PL"/>
        </w:rPr>
        <w:t>nocne poty</w:t>
      </w:r>
    </w:p>
    <w:p w14:paraId="5A875EAC" w14:textId="77777777" w:rsidR="002E5800" w:rsidRPr="008F328C" w:rsidRDefault="000E0B7C">
      <w:pPr>
        <w:pStyle w:val="a3"/>
        <w:numPr>
          <w:ilvl w:val="0"/>
          <w:numId w:val="16"/>
        </w:numPr>
        <w:ind w:left="660" w:hanging="660"/>
        <w:rPr>
          <w:lang w:val="pl-PL"/>
        </w:rPr>
      </w:pPr>
      <w:r w:rsidRPr="008F328C">
        <w:rPr>
          <w:rFonts w:eastAsia="Times New Roman"/>
          <w:lang w:val="pl-PL"/>
        </w:rPr>
        <w:t>blizna</w:t>
      </w:r>
    </w:p>
    <w:p w14:paraId="1647DD41" w14:textId="77777777" w:rsidR="002E5800" w:rsidRPr="008F328C" w:rsidRDefault="000E0B7C">
      <w:pPr>
        <w:pStyle w:val="a3"/>
        <w:numPr>
          <w:ilvl w:val="0"/>
          <w:numId w:val="16"/>
        </w:numPr>
        <w:ind w:left="660" w:hanging="660"/>
        <w:rPr>
          <w:lang w:val="pl-PL"/>
        </w:rPr>
      </w:pPr>
      <w:r w:rsidRPr="008F328C">
        <w:rPr>
          <w:rFonts w:eastAsia="Times New Roman"/>
          <w:lang w:val="pl-PL"/>
        </w:rPr>
        <w:t>nieprawidłowy rozpad mięśni</w:t>
      </w:r>
    </w:p>
    <w:p w14:paraId="5DFFC840" w14:textId="77777777" w:rsidR="002E5800" w:rsidRPr="008F328C" w:rsidRDefault="000E0B7C">
      <w:pPr>
        <w:pStyle w:val="a3"/>
        <w:numPr>
          <w:ilvl w:val="0"/>
          <w:numId w:val="16"/>
        </w:numPr>
        <w:ind w:left="660" w:hanging="660"/>
        <w:rPr>
          <w:rFonts w:eastAsia="Times New Roman"/>
          <w:spacing w:val="-1"/>
          <w:lang w:val="pl-PL"/>
        </w:rPr>
      </w:pPr>
      <w:r w:rsidRPr="008F328C">
        <w:rPr>
          <w:rFonts w:eastAsia="Times New Roman"/>
          <w:lang w:val="pl-PL"/>
        </w:rPr>
        <w:t>toczeń rumieniowaty układowy (w tym zapalenie skóry, serca, płuc, stawów i innych układów narządów)</w:t>
      </w:r>
    </w:p>
    <w:p w14:paraId="38B21D96"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snu (częste budzenie się)</w:t>
      </w:r>
    </w:p>
    <w:p w14:paraId="2425D145" w14:textId="77777777" w:rsidR="002E5800" w:rsidRPr="008F328C" w:rsidRDefault="000E0B7C">
      <w:pPr>
        <w:pStyle w:val="a3"/>
        <w:numPr>
          <w:ilvl w:val="0"/>
          <w:numId w:val="16"/>
        </w:numPr>
        <w:ind w:left="660" w:hanging="660"/>
        <w:rPr>
          <w:lang w:val="pl-PL"/>
        </w:rPr>
      </w:pPr>
      <w:r w:rsidRPr="008F328C">
        <w:rPr>
          <w:rFonts w:eastAsia="Times New Roman"/>
          <w:lang w:val="pl-PL"/>
        </w:rPr>
        <w:t>impotencja</w:t>
      </w:r>
    </w:p>
    <w:p w14:paraId="59DA0C5F" w14:textId="77777777" w:rsidR="002E5800" w:rsidRPr="008F328C" w:rsidRDefault="000E0B7C">
      <w:pPr>
        <w:pStyle w:val="a3"/>
        <w:numPr>
          <w:ilvl w:val="0"/>
          <w:numId w:val="16"/>
        </w:numPr>
        <w:ind w:left="660" w:hanging="660"/>
        <w:rPr>
          <w:lang w:val="pl-PL"/>
        </w:rPr>
      </w:pPr>
      <w:r w:rsidRPr="008F328C">
        <w:rPr>
          <w:rFonts w:eastAsia="Times New Roman"/>
          <w:lang w:val="pl-PL"/>
        </w:rPr>
        <w:t>stany zapalne</w:t>
      </w:r>
    </w:p>
    <w:p w14:paraId="1D197D38" w14:textId="77777777" w:rsidR="002E5800" w:rsidRPr="008F328C" w:rsidRDefault="002E5800">
      <w:pPr>
        <w:spacing w:before="13" w:line="240" w:lineRule="exact"/>
        <w:rPr>
          <w:rFonts w:ascii="Times New Roman" w:hAnsi="Times New Roman" w:cs="Times New Roman"/>
          <w:sz w:val="24"/>
          <w:szCs w:val="24"/>
          <w:lang w:val="pl-PL"/>
        </w:rPr>
      </w:pPr>
    </w:p>
    <w:p w14:paraId="75E5859D" w14:textId="77777777" w:rsidR="002E5800" w:rsidRPr="008F328C" w:rsidRDefault="000E0B7C">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0143C1B0" w14:textId="77777777" w:rsidR="002E5800" w:rsidRPr="008F328C" w:rsidRDefault="002E5800">
      <w:pPr>
        <w:spacing w:before="12" w:line="240" w:lineRule="exact"/>
        <w:rPr>
          <w:rFonts w:ascii="Times New Roman" w:hAnsi="Times New Roman" w:cs="Times New Roman"/>
          <w:sz w:val="24"/>
          <w:szCs w:val="24"/>
          <w:lang w:val="pl-PL"/>
        </w:rPr>
      </w:pPr>
    </w:p>
    <w:p w14:paraId="1F6A34E9" w14:textId="77777777" w:rsidR="002E5800" w:rsidRPr="008F328C" w:rsidRDefault="000E0B7C">
      <w:pPr>
        <w:pStyle w:val="a3"/>
        <w:numPr>
          <w:ilvl w:val="0"/>
          <w:numId w:val="16"/>
        </w:numPr>
        <w:ind w:left="660" w:hanging="660"/>
        <w:rPr>
          <w:lang w:val="pl-PL"/>
        </w:rPr>
      </w:pPr>
      <w:r w:rsidRPr="008F328C">
        <w:rPr>
          <w:rFonts w:eastAsia="Times New Roman"/>
          <w:lang w:val="pl-PL"/>
        </w:rPr>
        <w:t>białaczka (nowotwór złośliwy krwi i szpiku kostnego)</w:t>
      </w:r>
    </w:p>
    <w:p w14:paraId="487C9C6C" w14:textId="77777777" w:rsidR="002E5800" w:rsidRPr="008F328C" w:rsidRDefault="000E0B7C">
      <w:pPr>
        <w:pStyle w:val="a3"/>
        <w:numPr>
          <w:ilvl w:val="0"/>
          <w:numId w:val="16"/>
        </w:numPr>
        <w:ind w:left="660" w:hanging="660"/>
        <w:rPr>
          <w:lang w:val="pl-PL"/>
        </w:rPr>
      </w:pPr>
      <w:r w:rsidRPr="008F328C">
        <w:rPr>
          <w:rFonts w:eastAsia="Times New Roman"/>
          <w:lang w:val="pl-PL"/>
        </w:rPr>
        <w:t>ciężka reakcja alergiczna ze wstrząsem</w:t>
      </w:r>
    </w:p>
    <w:p w14:paraId="6F89AF0A" w14:textId="77777777" w:rsidR="002E5800" w:rsidRPr="008F328C" w:rsidRDefault="000E0B7C">
      <w:pPr>
        <w:pStyle w:val="a3"/>
        <w:numPr>
          <w:ilvl w:val="0"/>
          <w:numId w:val="16"/>
        </w:numPr>
        <w:ind w:left="660" w:hanging="660"/>
        <w:rPr>
          <w:lang w:val="pl-PL"/>
        </w:rPr>
      </w:pPr>
      <w:r w:rsidRPr="008F328C">
        <w:rPr>
          <w:rFonts w:eastAsia="Times New Roman"/>
          <w:lang w:val="pl-PL"/>
        </w:rPr>
        <w:t>stwardnienie rozsiane</w:t>
      </w:r>
    </w:p>
    <w:p w14:paraId="100D0607" w14:textId="77777777" w:rsidR="002E5800" w:rsidRPr="008F328C" w:rsidRDefault="000E0B7C">
      <w:pPr>
        <w:pStyle w:val="a3"/>
        <w:numPr>
          <w:ilvl w:val="0"/>
          <w:numId w:val="16"/>
        </w:numPr>
        <w:ind w:left="660" w:hanging="660"/>
        <w:rPr>
          <w:lang w:val="pl-PL"/>
        </w:rPr>
      </w:pPr>
      <w:r w:rsidRPr="008F328C">
        <w:rPr>
          <w:rFonts w:eastAsia="Times New Roman"/>
          <w:lang w:val="pl-PL"/>
        </w:rPr>
        <w:t>zaburzenia dotyczące nerwów (takie jak zapalenie nerwu wzrokowego i zespół Guillaina-Barrégo, który może spowodować osłabienie mięśni, nieprawidłowe czucie, mrowienie w kończynach górnych i górnej części tułowia)</w:t>
      </w:r>
    </w:p>
    <w:p w14:paraId="5EACE387" w14:textId="77777777" w:rsidR="002E5800" w:rsidRPr="008F328C" w:rsidRDefault="000E0B7C">
      <w:pPr>
        <w:pStyle w:val="a3"/>
        <w:numPr>
          <w:ilvl w:val="0"/>
          <w:numId w:val="16"/>
        </w:numPr>
        <w:ind w:left="660" w:hanging="660"/>
        <w:rPr>
          <w:lang w:val="pl-PL"/>
        </w:rPr>
      </w:pPr>
      <w:r w:rsidRPr="008F328C">
        <w:rPr>
          <w:rFonts w:eastAsia="Times New Roman"/>
          <w:lang w:val="pl-PL"/>
        </w:rPr>
        <w:t>zatrzymanie akcji serca</w:t>
      </w:r>
    </w:p>
    <w:p w14:paraId="29A19998" w14:textId="77777777" w:rsidR="002E5800" w:rsidRPr="008F328C" w:rsidRDefault="000E0B7C">
      <w:pPr>
        <w:pStyle w:val="a3"/>
        <w:numPr>
          <w:ilvl w:val="0"/>
          <w:numId w:val="16"/>
        </w:numPr>
        <w:ind w:left="660" w:hanging="660"/>
        <w:rPr>
          <w:lang w:val="pl-PL"/>
        </w:rPr>
      </w:pPr>
      <w:r w:rsidRPr="008F328C">
        <w:rPr>
          <w:rFonts w:eastAsia="Times New Roman"/>
          <w:lang w:val="pl-PL"/>
        </w:rPr>
        <w:t>zwłóknienie płuc (bliznowacenie płuc)</w:t>
      </w:r>
    </w:p>
    <w:p w14:paraId="378E371C" w14:textId="77777777" w:rsidR="002E5800" w:rsidRPr="008F328C" w:rsidRDefault="000E0B7C">
      <w:pPr>
        <w:pStyle w:val="a3"/>
        <w:numPr>
          <w:ilvl w:val="0"/>
          <w:numId w:val="16"/>
        </w:numPr>
        <w:ind w:left="660" w:hanging="660"/>
        <w:rPr>
          <w:lang w:val="pl-PL"/>
        </w:rPr>
      </w:pPr>
      <w:r w:rsidRPr="008F328C">
        <w:rPr>
          <w:rFonts w:eastAsia="Times New Roman"/>
          <w:lang w:val="pl-PL"/>
        </w:rPr>
        <w:t>perforacja jelita (przedziurawienie jelita)</w:t>
      </w:r>
    </w:p>
    <w:p w14:paraId="65E4ED4F" w14:textId="77777777" w:rsidR="002E5800" w:rsidRPr="008F328C" w:rsidRDefault="000E0B7C">
      <w:pPr>
        <w:pStyle w:val="a3"/>
        <w:numPr>
          <w:ilvl w:val="0"/>
          <w:numId w:val="16"/>
        </w:numPr>
        <w:ind w:left="660" w:hanging="660"/>
        <w:rPr>
          <w:lang w:val="pl-PL"/>
        </w:rPr>
      </w:pPr>
      <w:r w:rsidRPr="008F328C">
        <w:rPr>
          <w:rFonts w:eastAsia="Times New Roman"/>
          <w:lang w:val="pl-PL"/>
        </w:rPr>
        <w:t>zapalenie wątroby</w:t>
      </w:r>
    </w:p>
    <w:p w14:paraId="1A70DC20" w14:textId="77777777" w:rsidR="002E5800" w:rsidRPr="008F328C" w:rsidRDefault="000E0B7C">
      <w:pPr>
        <w:pStyle w:val="a3"/>
        <w:numPr>
          <w:ilvl w:val="0"/>
          <w:numId w:val="16"/>
        </w:numPr>
        <w:ind w:left="660" w:hanging="660"/>
        <w:rPr>
          <w:lang w:val="pl-PL"/>
        </w:rPr>
      </w:pPr>
      <w:r w:rsidRPr="008F328C">
        <w:rPr>
          <w:rFonts w:eastAsia="Times New Roman"/>
          <w:lang w:val="pl-PL"/>
        </w:rPr>
        <w:t>reaktywacja żółtaczki typu B</w:t>
      </w:r>
    </w:p>
    <w:p w14:paraId="76B964BB" w14:textId="77777777" w:rsidR="002E5800" w:rsidRPr="008F328C" w:rsidRDefault="000E0B7C">
      <w:pPr>
        <w:pStyle w:val="a3"/>
        <w:numPr>
          <w:ilvl w:val="0"/>
          <w:numId w:val="16"/>
        </w:numPr>
        <w:ind w:left="660" w:hanging="660"/>
        <w:rPr>
          <w:lang w:val="pl-PL"/>
        </w:rPr>
      </w:pPr>
      <w:r w:rsidRPr="008F328C">
        <w:rPr>
          <w:rFonts w:eastAsia="Times New Roman"/>
          <w:lang w:val="pl-PL"/>
        </w:rPr>
        <w:t>autoimmunologiczne zapalenie wątroby (zapalenie wątroby spowodowane reakcją układu odpornościowego pacjenta)</w:t>
      </w:r>
    </w:p>
    <w:p w14:paraId="415A411C" w14:textId="77777777" w:rsidR="002E5800" w:rsidRPr="008F328C" w:rsidRDefault="000E0B7C">
      <w:pPr>
        <w:pStyle w:val="a3"/>
        <w:numPr>
          <w:ilvl w:val="0"/>
          <w:numId w:val="16"/>
        </w:numPr>
        <w:ind w:left="660" w:hanging="660"/>
        <w:rPr>
          <w:lang w:val="pl-PL"/>
        </w:rPr>
      </w:pPr>
      <w:r w:rsidRPr="008F328C">
        <w:rPr>
          <w:rFonts w:eastAsia="Times New Roman"/>
          <w:lang w:val="pl-PL"/>
        </w:rPr>
        <w:t>zapalenie naczyń skóry</w:t>
      </w:r>
    </w:p>
    <w:p w14:paraId="3E80ADA8" w14:textId="77777777" w:rsidR="002E5800" w:rsidRPr="008F328C" w:rsidRDefault="000E0B7C">
      <w:pPr>
        <w:pStyle w:val="a3"/>
        <w:numPr>
          <w:ilvl w:val="0"/>
          <w:numId w:val="16"/>
        </w:numPr>
        <w:ind w:left="660" w:hanging="660"/>
        <w:rPr>
          <w:lang w:val="pl-PL"/>
        </w:rPr>
      </w:pPr>
      <w:r w:rsidRPr="008F328C">
        <w:rPr>
          <w:rFonts w:eastAsia="Times New Roman"/>
          <w:lang w:val="pl-PL"/>
        </w:rPr>
        <w:t>zespół Stevensa-Johnsona (do wczesnych objawów zalicza się złe samopoczucie, gorączkę, bóle głowy i wysypkę)</w:t>
      </w:r>
    </w:p>
    <w:p w14:paraId="6992E1BE" w14:textId="77777777" w:rsidR="002E5800" w:rsidRPr="008F328C" w:rsidRDefault="000E0B7C">
      <w:pPr>
        <w:pStyle w:val="a3"/>
        <w:numPr>
          <w:ilvl w:val="0"/>
          <w:numId w:val="16"/>
        </w:numPr>
        <w:ind w:left="660" w:hanging="660"/>
        <w:rPr>
          <w:lang w:val="pl-PL"/>
        </w:rPr>
      </w:pPr>
      <w:r w:rsidRPr="008F328C">
        <w:rPr>
          <w:rFonts w:eastAsia="Times New Roman"/>
          <w:lang w:val="pl-PL"/>
        </w:rPr>
        <w:t>obrzęk twarzy związany z reakcjami alergicznymi</w:t>
      </w:r>
    </w:p>
    <w:p w14:paraId="42EB1C73" w14:textId="77777777" w:rsidR="002E5800" w:rsidRPr="008F328C" w:rsidRDefault="000E0B7C">
      <w:pPr>
        <w:pStyle w:val="a3"/>
        <w:numPr>
          <w:ilvl w:val="0"/>
          <w:numId w:val="16"/>
        </w:numPr>
        <w:ind w:left="660" w:hanging="660"/>
        <w:rPr>
          <w:lang w:val="pl-PL"/>
        </w:rPr>
      </w:pPr>
      <w:r w:rsidRPr="008F328C">
        <w:rPr>
          <w:rFonts w:eastAsia="Times New Roman"/>
          <w:lang w:val="pl-PL"/>
        </w:rPr>
        <w:t>rumień wielopostaciowy (zapalenie skóry z wysypką)</w:t>
      </w:r>
    </w:p>
    <w:p w14:paraId="50AF4D3B" w14:textId="77777777" w:rsidR="002E5800" w:rsidRPr="008F328C" w:rsidRDefault="000E0B7C">
      <w:pPr>
        <w:pStyle w:val="a3"/>
        <w:numPr>
          <w:ilvl w:val="0"/>
          <w:numId w:val="16"/>
        </w:numPr>
        <w:ind w:left="660" w:hanging="660"/>
        <w:rPr>
          <w:lang w:val="pl-PL"/>
        </w:rPr>
      </w:pPr>
      <w:r w:rsidRPr="008F328C">
        <w:rPr>
          <w:rFonts w:eastAsia="Times New Roman"/>
          <w:lang w:val="pl-PL"/>
        </w:rPr>
        <w:t>zespół toczniopodobny</w:t>
      </w:r>
    </w:p>
    <w:p w14:paraId="7032A806" w14:textId="77777777" w:rsidR="002E5800" w:rsidRPr="008F328C" w:rsidRDefault="000E0B7C">
      <w:pPr>
        <w:pStyle w:val="a3"/>
        <w:numPr>
          <w:ilvl w:val="0"/>
          <w:numId w:val="16"/>
        </w:numPr>
        <w:ind w:left="660" w:hanging="660"/>
        <w:rPr>
          <w:lang w:val="pl-PL"/>
        </w:rPr>
      </w:pPr>
      <w:r w:rsidRPr="008F328C">
        <w:rPr>
          <w:rFonts w:eastAsia="Times New Roman"/>
          <w:lang w:val="pl-PL"/>
        </w:rPr>
        <w:lastRenderedPageBreak/>
        <w:t>obrzęk naczynioruchowy (miejscowy obrzęk skóry)</w:t>
      </w:r>
    </w:p>
    <w:p w14:paraId="6264D4FB" w14:textId="77777777" w:rsidR="002E5800" w:rsidRPr="008F328C" w:rsidRDefault="000E0B7C">
      <w:pPr>
        <w:pStyle w:val="a3"/>
        <w:numPr>
          <w:ilvl w:val="0"/>
          <w:numId w:val="16"/>
        </w:numPr>
        <w:ind w:left="660" w:hanging="660"/>
        <w:rPr>
          <w:lang w:val="pl-PL"/>
        </w:rPr>
      </w:pPr>
      <w:r w:rsidRPr="008F328C">
        <w:rPr>
          <w:rFonts w:eastAsia="Times New Roman"/>
          <w:lang w:val="pl-PL"/>
        </w:rPr>
        <w:t>liszajowate zmiany skórne (swędząca czerwono-purpurowa wysypka skórna)</w:t>
      </w:r>
    </w:p>
    <w:p w14:paraId="514B831D" w14:textId="77777777" w:rsidR="002E5800" w:rsidRPr="008F328C" w:rsidRDefault="002E5800">
      <w:pPr>
        <w:spacing w:before="10" w:line="240" w:lineRule="exact"/>
        <w:rPr>
          <w:rFonts w:ascii="Times New Roman" w:hAnsi="Times New Roman" w:cs="Times New Roman"/>
          <w:sz w:val="24"/>
          <w:szCs w:val="24"/>
          <w:lang w:val="pl-PL"/>
        </w:rPr>
      </w:pPr>
    </w:p>
    <w:p w14:paraId="58F1D8E2" w14:textId="5DA1B0B8" w:rsidR="002E5800" w:rsidRPr="008F328C" w:rsidRDefault="00EC793D">
      <w:pPr>
        <w:pStyle w:val="a3"/>
        <w:rPr>
          <w:lang w:val="pl-PL"/>
        </w:rPr>
      </w:pPr>
      <w:r w:rsidRPr="008F328C">
        <w:rPr>
          <w:rFonts w:eastAsia="Times New Roman"/>
          <w:b/>
          <w:lang w:val="pl-PL"/>
        </w:rPr>
        <w:t>Częstość</w:t>
      </w:r>
      <w:r w:rsidRPr="008F328C">
        <w:rPr>
          <w:rFonts w:eastAsia="Times New Roman"/>
          <w:lang w:val="pl-PL"/>
        </w:rPr>
        <w:t xml:space="preserve"> </w:t>
      </w:r>
      <w:r w:rsidRPr="008F328C">
        <w:rPr>
          <w:rFonts w:eastAsia="Times New Roman"/>
          <w:b/>
          <w:bCs/>
          <w:lang w:val="pl-PL"/>
        </w:rPr>
        <w:t>n</w:t>
      </w:r>
      <w:r w:rsidR="000E0B7C" w:rsidRPr="008F328C">
        <w:rPr>
          <w:rFonts w:eastAsia="Times New Roman"/>
          <w:b/>
          <w:bCs/>
          <w:lang w:val="pl-PL"/>
        </w:rPr>
        <w:t xml:space="preserve">ieznana </w:t>
      </w:r>
      <w:r w:rsidR="000E0B7C" w:rsidRPr="008F328C">
        <w:rPr>
          <w:rFonts w:eastAsia="Times New Roman"/>
          <w:lang w:val="pl-PL"/>
        </w:rPr>
        <w:t>(nie może być określona na podstawie dostępnych danych)</w:t>
      </w:r>
    </w:p>
    <w:p w14:paraId="511A3EC7" w14:textId="77777777" w:rsidR="002E5800" w:rsidRPr="008F328C" w:rsidRDefault="002E5800">
      <w:pPr>
        <w:spacing w:before="14" w:line="240" w:lineRule="exact"/>
        <w:rPr>
          <w:rFonts w:ascii="Times New Roman" w:hAnsi="Times New Roman" w:cs="Times New Roman"/>
          <w:sz w:val="24"/>
          <w:szCs w:val="24"/>
          <w:lang w:val="pl-PL"/>
        </w:rPr>
      </w:pPr>
    </w:p>
    <w:p w14:paraId="76E7289D" w14:textId="77777777" w:rsidR="002E5800" w:rsidRPr="008F328C" w:rsidRDefault="000E0B7C">
      <w:pPr>
        <w:pStyle w:val="a3"/>
        <w:numPr>
          <w:ilvl w:val="0"/>
          <w:numId w:val="16"/>
        </w:numPr>
        <w:ind w:left="660" w:hanging="660"/>
        <w:rPr>
          <w:lang w:val="pl-PL"/>
        </w:rPr>
      </w:pPr>
      <w:r w:rsidRPr="008F328C">
        <w:rPr>
          <w:rFonts w:eastAsia="Times New Roman"/>
          <w:lang w:val="pl-PL"/>
        </w:rPr>
        <w:t>chłoniak T-komórkowy wątrobowo-śledzionowy (rzadki nowotwór krwi, który często powoduje zgon)</w:t>
      </w:r>
    </w:p>
    <w:p w14:paraId="1D0E0473" w14:textId="77777777" w:rsidR="002E5800" w:rsidRPr="008F328C" w:rsidRDefault="000E0B7C">
      <w:pPr>
        <w:pStyle w:val="a3"/>
        <w:numPr>
          <w:ilvl w:val="0"/>
          <w:numId w:val="16"/>
        </w:numPr>
        <w:ind w:left="660" w:hanging="660"/>
        <w:rPr>
          <w:lang w:val="pl-PL"/>
        </w:rPr>
      </w:pPr>
      <w:r w:rsidRPr="008F328C">
        <w:rPr>
          <w:rFonts w:eastAsia="Times New Roman"/>
          <w:lang w:val="pl-PL"/>
        </w:rPr>
        <w:t>rak z komórek Merkla (typ raka skóry)</w:t>
      </w:r>
    </w:p>
    <w:p w14:paraId="3DCD7B88" w14:textId="77777777" w:rsidR="002E5800" w:rsidRPr="008F328C" w:rsidRDefault="000E0B7C">
      <w:pPr>
        <w:pStyle w:val="a3"/>
        <w:numPr>
          <w:ilvl w:val="0"/>
          <w:numId w:val="16"/>
        </w:numPr>
        <w:ind w:left="660" w:hanging="660"/>
        <w:rPr>
          <w:lang w:val="pl-PL"/>
        </w:rPr>
      </w:pPr>
      <w:r w:rsidRPr="008F328C">
        <w:rPr>
          <w:rFonts w:eastAsia="Times New Roman"/>
          <w:lang w:val="pl-PL"/>
        </w:rPr>
        <w:t>mięsak Kaposiego, rzadki nowotwór związany z zakażeniem ludzkim wirusem opryszczki 8. mięsak Kaposiego najczęściej pojawia się jako fioletowe zmiany skórne na skórze.</w:t>
      </w:r>
    </w:p>
    <w:p w14:paraId="0F08DC63" w14:textId="77777777" w:rsidR="002E5800" w:rsidRPr="008F328C" w:rsidRDefault="000E0B7C">
      <w:pPr>
        <w:pStyle w:val="a3"/>
        <w:numPr>
          <w:ilvl w:val="0"/>
          <w:numId w:val="16"/>
        </w:numPr>
        <w:ind w:left="660" w:hanging="660"/>
        <w:rPr>
          <w:lang w:val="pl-PL"/>
        </w:rPr>
      </w:pPr>
      <w:r w:rsidRPr="008F328C">
        <w:rPr>
          <w:rFonts w:eastAsia="Times New Roman"/>
          <w:lang w:val="pl-PL"/>
        </w:rPr>
        <w:t>niewydolność wątroby</w:t>
      </w:r>
    </w:p>
    <w:p w14:paraId="61FB7C7B" w14:textId="1F3D0EE6" w:rsidR="002E5800" w:rsidRPr="008F328C" w:rsidRDefault="000E0B7C">
      <w:pPr>
        <w:pStyle w:val="a3"/>
        <w:numPr>
          <w:ilvl w:val="0"/>
          <w:numId w:val="16"/>
        </w:numPr>
        <w:ind w:left="660" w:hanging="660"/>
        <w:rPr>
          <w:lang w:val="pl-PL"/>
        </w:rPr>
      </w:pPr>
      <w:r w:rsidRPr="008F328C">
        <w:rPr>
          <w:rFonts w:eastAsia="Times New Roman"/>
          <w:lang w:val="pl-PL"/>
        </w:rPr>
        <w:t>nasilenie objawów zapalenia skórno-mięśniowego (objawiające się wysypką skórną, której towarzyszy osłabienie mięśni)</w:t>
      </w:r>
    </w:p>
    <w:p w14:paraId="04714A40" w14:textId="47E1D10F" w:rsidR="00C90BC8" w:rsidRPr="008F328C" w:rsidRDefault="00C90BC8" w:rsidP="00C90BC8">
      <w:pPr>
        <w:pStyle w:val="a3"/>
        <w:numPr>
          <w:ilvl w:val="0"/>
          <w:numId w:val="16"/>
        </w:numPr>
        <w:ind w:left="660" w:hanging="660"/>
        <w:rPr>
          <w:lang w:val="pl-PL"/>
        </w:rPr>
      </w:pPr>
      <w:r w:rsidRPr="008F328C">
        <w:rPr>
          <w:rFonts w:eastAsia="Times New Roman"/>
          <w:lang w:val="pl-PL"/>
        </w:rPr>
        <w:t>zwiększenie masy ciała (niewielkie u większości pacjentów)</w:t>
      </w:r>
    </w:p>
    <w:p w14:paraId="07E37592" w14:textId="77777777" w:rsidR="002E5800" w:rsidRPr="008F328C" w:rsidRDefault="002E5800">
      <w:pPr>
        <w:spacing w:before="14" w:line="240" w:lineRule="exact"/>
        <w:rPr>
          <w:rFonts w:ascii="Times New Roman" w:hAnsi="Times New Roman" w:cs="Times New Roman"/>
          <w:sz w:val="24"/>
          <w:szCs w:val="24"/>
          <w:lang w:val="pl-PL"/>
        </w:rPr>
      </w:pPr>
    </w:p>
    <w:p w14:paraId="3C221152" w14:textId="77777777" w:rsidR="002E5800" w:rsidRPr="008F328C" w:rsidRDefault="000E0B7C">
      <w:pPr>
        <w:pStyle w:val="a3"/>
        <w:rPr>
          <w:lang w:val="pl-PL"/>
        </w:rPr>
      </w:pPr>
      <w:r w:rsidRPr="008F328C">
        <w:rPr>
          <w:rFonts w:eastAsia="Times New Roman"/>
          <w:lang w:val="pl-PL"/>
        </w:rPr>
        <w:t>Niektóre działania niepożądane obserwowane podczas stosowania leku Yuflyma nie dają objawów odczuwanych przez pacjenta i można je wykryć wyłącznie przeprowadzając badania krwi. Zalicza się do nich:</w:t>
      </w:r>
    </w:p>
    <w:p w14:paraId="01FF41DF" w14:textId="77777777" w:rsidR="002E5800" w:rsidRPr="008F328C" w:rsidRDefault="002E5800">
      <w:pPr>
        <w:pStyle w:val="a3"/>
        <w:rPr>
          <w:lang w:val="pl-PL"/>
        </w:rPr>
      </w:pPr>
    </w:p>
    <w:p w14:paraId="388EBBA3" w14:textId="77777777" w:rsidR="002E5800" w:rsidRPr="008F328C" w:rsidRDefault="000E0B7C">
      <w:pPr>
        <w:pStyle w:val="a3"/>
        <w:rPr>
          <w:rFonts w:eastAsia="Times New Roman"/>
          <w:lang w:val="pl-PL"/>
        </w:rPr>
      </w:pPr>
      <w:r w:rsidRPr="008F328C">
        <w:rPr>
          <w:rFonts w:eastAsia="Times New Roman"/>
          <w:b/>
          <w:bCs/>
          <w:spacing w:val="-1"/>
          <w:lang w:val="pl-PL"/>
        </w:rPr>
        <w:t xml:space="preserve">Bardzo często </w:t>
      </w:r>
      <w:r w:rsidRPr="008F328C">
        <w:rPr>
          <w:rFonts w:eastAsia="Times New Roman"/>
          <w:spacing w:val="-1"/>
          <w:lang w:val="pl-PL"/>
        </w:rPr>
        <w:t>(może wystąpić u więcej niż 1 na 10 osób):</w:t>
      </w:r>
    </w:p>
    <w:p w14:paraId="56C13BD3" w14:textId="77777777" w:rsidR="002E5800" w:rsidRPr="008F328C" w:rsidRDefault="002E5800">
      <w:pPr>
        <w:pStyle w:val="a3"/>
        <w:rPr>
          <w:lang w:val="pl-PL"/>
        </w:rPr>
      </w:pPr>
    </w:p>
    <w:p w14:paraId="4E20F5CD"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krwinek białych we krwi</w:t>
      </w:r>
    </w:p>
    <w:p w14:paraId="6182A5BE"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krwinek czerwonych we krwi</w:t>
      </w:r>
    </w:p>
    <w:p w14:paraId="6C1D55EB"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stężenia lipidów we krwi</w:t>
      </w:r>
    </w:p>
    <w:p w14:paraId="3C7607CA"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aktywności enzymów wątrobowych</w:t>
      </w:r>
    </w:p>
    <w:p w14:paraId="1715AE1F" w14:textId="77777777" w:rsidR="002E5800" w:rsidRPr="008F328C" w:rsidRDefault="002E5800">
      <w:pPr>
        <w:spacing w:before="10" w:line="240" w:lineRule="exact"/>
        <w:rPr>
          <w:rFonts w:ascii="Times New Roman" w:hAnsi="Times New Roman" w:cs="Times New Roman"/>
          <w:sz w:val="24"/>
          <w:szCs w:val="24"/>
          <w:lang w:val="pl-PL"/>
        </w:rPr>
      </w:pPr>
    </w:p>
    <w:p w14:paraId="35C597A8" w14:textId="77777777" w:rsidR="002E5800" w:rsidRPr="008F328C" w:rsidRDefault="000E0B7C">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7857CAF0" w14:textId="77777777" w:rsidR="002E5800" w:rsidRPr="008F328C" w:rsidRDefault="002E5800">
      <w:pPr>
        <w:spacing w:before="14" w:line="240" w:lineRule="exact"/>
        <w:rPr>
          <w:rFonts w:ascii="Times New Roman" w:hAnsi="Times New Roman" w:cs="Times New Roman"/>
          <w:sz w:val="24"/>
          <w:szCs w:val="24"/>
          <w:lang w:val="pl-PL"/>
        </w:rPr>
      </w:pPr>
    </w:p>
    <w:p w14:paraId="5B116142"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liczba krwinek białych we krwi</w:t>
      </w:r>
    </w:p>
    <w:p w14:paraId="44CCF56C"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płytek krwi</w:t>
      </w:r>
    </w:p>
    <w:p w14:paraId="05EFFEEA" w14:textId="77777777" w:rsidR="002E5800" w:rsidRPr="008F328C" w:rsidRDefault="000E0B7C">
      <w:pPr>
        <w:pStyle w:val="a3"/>
        <w:numPr>
          <w:ilvl w:val="0"/>
          <w:numId w:val="16"/>
        </w:numPr>
        <w:ind w:left="660" w:hanging="660"/>
        <w:rPr>
          <w:lang w:val="pl-PL"/>
        </w:rPr>
      </w:pPr>
      <w:r w:rsidRPr="008F328C">
        <w:rPr>
          <w:rFonts w:eastAsia="Times New Roman"/>
          <w:lang w:val="pl-PL"/>
        </w:rPr>
        <w:t>zwiększone stężenie kwasu moczowego we krwi</w:t>
      </w:r>
    </w:p>
    <w:p w14:paraId="6312FFD8" w14:textId="77777777" w:rsidR="002E5800" w:rsidRPr="008F328C" w:rsidRDefault="000E0B7C">
      <w:pPr>
        <w:pStyle w:val="a3"/>
        <w:numPr>
          <w:ilvl w:val="0"/>
          <w:numId w:val="16"/>
        </w:numPr>
        <w:ind w:left="660" w:hanging="660"/>
        <w:rPr>
          <w:lang w:val="pl-PL"/>
        </w:rPr>
      </w:pPr>
      <w:r w:rsidRPr="008F328C">
        <w:rPr>
          <w:rFonts w:eastAsia="Times New Roman"/>
          <w:lang w:val="pl-PL"/>
        </w:rPr>
        <w:t>nieprawidłowe stężenie sodu we krwi</w:t>
      </w:r>
    </w:p>
    <w:p w14:paraId="6AEDDB15"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wapnia we krwi</w:t>
      </w:r>
    </w:p>
    <w:p w14:paraId="41FA97C2"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fosforanów we krwi</w:t>
      </w:r>
    </w:p>
    <w:p w14:paraId="459CD34E" w14:textId="77777777" w:rsidR="002E5800" w:rsidRPr="008F328C" w:rsidRDefault="000E0B7C">
      <w:pPr>
        <w:pStyle w:val="a3"/>
        <w:numPr>
          <w:ilvl w:val="0"/>
          <w:numId w:val="16"/>
        </w:numPr>
        <w:ind w:left="660" w:hanging="660"/>
        <w:rPr>
          <w:lang w:val="pl-PL"/>
        </w:rPr>
      </w:pPr>
      <w:r w:rsidRPr="008F328C">
        <w:rPr>
          <w:rFonts w:eastAsia="Times New Roman"/>
          <w:lang w:val="pl-PL"/>
        </w:rPr>
        <w:t>wysokie stężenie cukru we krwi</w:t>
      </w:r>
    </w:p>
    <w:p w14:paraId="2C632B68" w14:textId="77777777" w:rsidR="002E5800" w:rsidRPr="008F328C" w:rsidRDefault="000E0B7C">
      <w:pPr>
        <w:pStyle w:val="a3"/>
        <w:numPr>
          <w:ilvl w:val="0"/>
          <w:numId w:val="16"/>
        </w:numPr>
        <w:ind w:left="660" w:hanging="660"/>
        <w:rPr>
          <w:lang w:val="pl-PL"/>
        </w:rPr>
      </w:pPr>
      <w:r w:rsidRPr="008F328C">
        <w:rPr>
          <w:rFonts w:eastAsia="Times New Roman"/>
          <w:lang w:val="pl-PL"/>
        </w:rPr>
        <w:t>zwiększona aktywność dehydrogenazy mleczanowej we krwi</w:t>
      </w:r>
    </w:p>
    <w:p w14:paraId="738506FA" w14:textId="77777777" w:rsidR="002E5800" w:rsidRPr="008F328C" w:rsidRDefault="000E0B7C">
      <w:pPr>
        <w:pStyle w:val="a3"/>
        <w:numPr>
          <w:ilvl w:val="0"/>
          <w:numId w:val="16"/>
        </w:numPr>
        <w:ind w:left="660" w:hanging="660"/>
        <w:rPr>
          <w:lang w:val="pl-PL"/>
        </w:rPr>
      </w:pPr>
      <w:r w:rsidRPr="008F328C">
        <w:rPr>
          <w:rFonts w:eastAsia="Times New Roman"/>
          <w:lang w:val="pl-PL"/>
        </w:rPr>
        <w:t>obecność autoprzeciwciał we krwi</w:t>
      </w:r>
    </w:p>
    <w:p w14:paraId="516988A0" w14:textId="77777777" w:rsidR="002E5800" w:rsidRPr="008F328C" w:rsidRDefault="000E0B7C">
      <w:pPr>
        <w:pStyle w:val="a3"/>
        <w:numPr>
          <w:ilvl w:val="0"/>
          <w:numId w:val="16"/>
        </w:numPr>
        <w:ind w:left="660" w:hanging="660"/>
        <w:rPr>
          <w:lang w:val="pl-PL"/>
        </w:rPr>
      </w:pPr>
      <w:r w:rsidRPr="008F328C">
        <w:rPr>
          <w:rFonts w:eastAsia="Times New Roman"/>
          <w:lang w:val="pl-PL"/>
        </w:rPr>
        <w:t>niskie stężenie potasu we krwi</w:t>
      </w:r>
    </w:p>
    <w:p w14:paraId="58AB39DD" w14:textId="77777777" w:rsidR="002E5800" w:rsidRPr="008F328C" w:rsidRDefault="002E5800">
      <w:pPr>
        <w:spacing w:before="13" w:line="240" w:lineRule="exact"/>
        <w:rPr>
          <w:rFonts w:ascii="Times New Roman" w:hAnsi="Times New Roman" w:cs="Times New Roman"/>
          <w:sz w:val="24"/>
          <w:szCs w:val="24"/>
          <w:lang w:val="pl-PL"/>
        </w:rPr>
      </w:pPr>
    </w:p>
    <w:p w14:paraId="3BD7C806" w14:textId="77777777" w:rsidR="002E5800" w:rsidRPr="008F328C" w:rsidRDefault="000E0B7C">
      <w:pPr>
        <w:pStyle w:val="a3"/>
        <w:rPr>
          <w:lang w:val="pl-PL"/>
        </w:rPr>
      </w:pPr>
      <w:r w:rsidRPr="008F328C">
        <w:rPr>
          <w:rFonts w:eastAsia="Times New Roman"/>
          <w:b/>
          <w:bCs/>
          <w:lang w:val="pl-PL"/>
        </w:rPr>
        <w:t xml:space="preserve">Niezbyt często </w:t>
      </w:r>
      <w:r w:rsidRPr="008F328C">
        <w:rPr>
          <w:rFonts w:eastAsia="Times New Roman"/>
          <w:lang w:val="pl-PL"/>
        </w:rPr>
        <w:t>(może wystąpić u mniej niż 1 ze 100 osób)</w:t>
      </w:r>
    </w:p>
    <w:p w14:paraId="602167DE" w14:textId="77777777" w:rsidR="002E5800" w:rsidRPr="008F328C" w:rsidRDefault="002E5800">
      <w:pPr>
        <w:spacing w:before="12" w:line="240" w:lineRule="exact"/>
        <w:rPr>
          <w:rFonts w:ascii="Times New Roman" w:hAnsi="Times New Roman" w:cs="Times New Roman"/>
          <w:sz w:val="24"/>
          <w:szCs w:val="24"/>
          <w:lang w:val="pl-PL"/>
        </w:rPr>
      </w:pPr>
    </w:p>
    <w:p w14:paraId="7C9A99BE" w14:textId="77777777" w:rsidR="002E5800" w:rsidRPr="008F328C" w:rsidRDefault="000E0B7C">
      <w:pPr>
        <w:pStyle w:val="a3"/>
        <w:numPr>
          <w:ilvl w:val="0"/>
          <w:numId w:val="16"/>
        </w:numPr>
        <w:ind w:left="660" w:hanging="660"/>
        <w:rPr>
          <w:lang w:val="pl-PL"/>
        </w:rPr>
      </w:pPr>
      <w:r w:rsidRPr="008F328C">
        <w:rPr>
          <w:rFonts w:eastAsia="Times New Roman"/>
          <w:lang w:val="pl-PL"/>
        </w:rPr>
        <w:t>zwiększenie stężenia bilirubiny (próba wątrobowa)</w:t>
      </w:r>
    </w:p>
    <w:p w14:paraId="52091604" w14:textId="77777777" w:rsidR="002E5800" w:rsidRPr="008F328C" w:rsidRDefault="002E5800">
      <w:pPr>
        <w:spacing w:before="13" w:line="240" w:lineRule="exact"/>
        <w:rPr>
          <w:rFonts w:ascii="Times New Roman" w:hAnsi="Times New Roman" w:cs="Times New Roman"/>
          <w:sz w:val="24"/>
          <w:szCs w:val="24"/>
          <w:lang w:val="pl-PL"/>
        </w:rPr>
      </w:pPr>
    </w:p>
    <w:p w14:paraId="419E8B5E" w14:textId="77777777" w:rsidR="002E5800" w:rsidRPr="008F328C" w:rsidRDefault="000E0B7C">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7A556EE9" w14:textId="77777777" w:rsidR="002E5800" w:rsidRPr="008F328C" w:rsidRDefault="002E5800">
      <w:pPr>
        <w:spacing w:before="14" w:line="240" w:lineRule="exact"/>
        <w:rPr>
          <w:rFonts w:ascii="Times New Roman" w:hAnsi="Times New Roman" w:cs="Times New Roman"/>
          <w:sz w:val="24"/>
          <w:szCs w:val="24"/>
          <w:lang w:val="pl-PL"/>
        </w:rPr>
      </w:pPr>
    </w:p>
    <w:p w14:paraId="3A8CD1B6" w14:textId="77777777" w:rsidR="002E5800" w:rsidRPr="008F328C" w:rsidRDefault="000E0B7C">
      <w:pPr>
        <w:pStyle w:val="a3"/>
        <w:numPr>
          <w:ilvl w:val="0"/>
          <w:numId w:val="16"/>
        </w:numPr>
        <w:ind w:left="660" w:hanging="660"/>
        <w:rPr>
          <w:lang w:val="pl-PL"/>
        </w:rPr>
      </w:pPr>
      <w:r w:rsidRPr="008F328C">
        <w:rPr>
          <w:rFonts w:eastAsia="Times New Roman"/>
          <w:lang w:val="pl-PL"/>
        </w:rPr>
        <w:t>zmniejszona liczba białych krwinek, czerwonych krwinek i płytek we krwi</w:t>
      </w:r>
    </w:p>
    <w:p w14:paraId="475610B4" w14:textId="77777777" w:rsidR="002E5800" w:rsidRPr="008F328C" w:rsidRDefault="002E5800">
      <w:pPr>
        <w:spacing w:before="15" w:line="240" w:lineRule="exact"/>
        <w:rPr>
          <w:rFonts w:ascii="Times New Roman" w:hAnsi="Times New Roman" w:cs="Times New Roman"/>
          <w:sz w:val="24"/>
          <w:szCs w:val="24"/>
          <w:lang w:val="pl-PL"/>
        </w:rPr>
      </w:pPr>
    </w:p>
    <w:p w14:paraId="4BCB9E36" w14:textId="77777777" w:rsidR="002E5800" w:rsidRPr="008F328C" w:rsidRDefault="000E0B7C">
      <w:pPr>
        <w:pStyle w:val="a3"/>
        <w:rPr>
          <w:b/>
          <w:lang w:val="pl-PL"/>
        </w:rPr>
      </w:pPr>
      <w:r w:rsidRPr="008F328C">
        <w:rPr>
          <w:rFonts w:eastAsia="Times New Roman"/>
          <w:b/>
          <w:bCs/>
          <w:lang w:val="pl-PL"/>
        </w:rPr>
        <w:t>Zgłaszanie działań niepożądanych</w:t>
      </w:r>
    </w:p>
    <w:p w14:paraId="5D8148C5" w14:textId="77777777" w:rsidR="002E5800" w:rsidRPr="008F328C" w:rsidRDefault="002E5800">
      <w:pPr>
        <w:pStyle w:val="a3"/>
        <w:rPr>
          <w:sz w:val="10"/>
          <w:szCs w:val="10"/>
          <w:lang w:val="pl-PL"/>
        </w:rPr>
      </w:pPr>
    </w:p>
    <w:p w14:paraId="43D18E86" w14:textId="77777777" w:rsidR="002E5800" w:rsidRPr="008F328C" w:rsidRDefault="000E0B7C">
      <w:pPr>
        <w:pStyle w:val="a3"/>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Działania niepożądane można zgłaszać bezpośrednio do „</w:t>
      </w:r>
      <w:r w:rsidRPr="008F328C">
        <w:rPr>
          <w:rFonts w:eastAsia="Times New Roman"/>
          <w:highlight w:val="lightGray"/>
          <w:lang w:val="pl-PL"/>
        </w:rPr>
        <w:t xml:space="preserve">krajowego systemu zgłaszania” wymienionego w </w:t>
      </w:r>
      <w:hyperlink r:id="rId72" w:history="1">
        <w:r w:rsidRPr="008F328C">
          <w:rPr>
            <w:rFonts w:eastAsia="Times New Roman"/>
            <w:color w:val="0000FF"/>
            <w:highlight w:val="lightGray"/>
            <w:u w:val="single"/>
            <w:lang w:val="pl-PL"/>
          </w:rPr>
          <w:t>załączniku V</w:t>
        </w:r>
      </w:hyperlink>
      <w:r w:rsidRPr="008F328C">
        <w:rPr>
          <w:rFonts w:eastAsia="Times New Roman"/>
          <w:lang w:val="pl-PL"/>
        </w:rPr>
        <w:t xml:space="preserve">. Dzięki zgłaszaniu </w:t>
      </w:r>
      <w:r w:rsidRPr="008F328C">
        <w:rPr>
          <w:rFonts w:eastAsia="Times New Roman"/>
          <w:lang w:val="pl-PL"/>
        </w:rPr>
        <w:lastRenderedPageBreak/>
        <w:t>działań niepożądanych można będzie zgromadzić więcej informacji na temat bezpieczeństwa stosowania leku.</w:t>
      </w:r>
    </w:p>
    <w:p w14:paraId="5955862A" w14:textId="175B0809" w:rsidR="002E5800" w:rsidRPr="008F328C" w:rsidRDefault="002E5800">
      <w:pPr>
        <w:spacing w:line="200" w:lineRule="exact"/>
        <w:rPr>
          <w:rFonts w:ascii="Times New Roman" w:hAnsi="Times New Roman" w:cs="Times New Roman"/>
          <w:sz w:val="20"/>
          <w:szCs w:val="20"/>
          <w:lang w:val="pl-PL"/>
        </w:rPr>
      </w:pPr>
    </w:p>
    <w:p w14:paraId="1A4FF379" w14:textId="77777777" w:rsidR="00CC4159" w:rsidRPr="008F328C" w:rsidRDefault="00CC4159">
      <w:pPr>
        <w:spacing w:line="200" w:lineRule="exact"/>
        <w:rPr>
          <w:rFonts w:ascii="Times New Roman" w:hAnsi="Times New Roman" w:cs="Times New Roman"/>
          <w:sz w:val="20"/>
          <w:szCs w:val="20"/>
          <w:lang w:val="pl-PL"/>
        </w:rPr>
      </w:pPr>
    </w:p>
    <w:p w14:paraId="4108F125" w14:textId="77777777" w:rsidR="002E5800" w:rsidRPr="008F328C" w:rsidRDefault="000E0B7C">
      <w:pPr>
        <w:pStyle w:val="a4"/>
        <w:numPr>
          <w:ilvl w:val="0"/>
          <w:numId w:val="38"/>
        </w:numPr>
        <w:spacing w:line="240" w:lineRule="exact"/>
        <w:ind w:left="357" w:hanging="357"/>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Jak przechowywać lek Yuflyma</w:t>
      </w:r>
    </w:p>
    <w:p w14:paraId="0F17E3E6" w14:textId="77777777" w:rsidR="002E5800" w:rsidRPr="008F328C" w:rsidRDefault="002E5800">
      <w:pPr>
        <w:pStyle w:val="a3"/>
        <w:rPr>
          <w:lang w:val="pl-PL"/>
        </w:rPr>
      </w:pPr>
    </w:p>
    <w:p w14:paraId="228E9EA9" w14:textId="77777777" w:rsidR="002E5800" w:rsidRPr="008F328C" w:rsidRDefault="000E0B7C">
      <w:pPr>
        <w:pStyle w:val="a3"/>
        <w:rPr>
          <w:lang w:val="pl-PL"/>
        </w:rPr>
      </w:pPr>
      <w:r w:rsidRPr="008F328C">
        <w:rPr>
          <w:rFonts w:eastAsia="Times New Roman"/>
          <w:lang w:val="pl-PL"/>
        </w:rPr>
        <w:t>Lek należy przechowywać w miejscu niewidocznym i niedostępnym dla dzieci.</w:t>
      </w:r>
    </w:p>
    <w:p w14:paraId="54698466" w14:textId="77777777" w:rsidR="002E5800" w:rsidRPr="008F328C" w:rsidRDefault="002E5800">
      <w:pPr>
        <w:pStyle w:val="a3"/>
        <w:rPr>
          <w:lang w:val="pl-PL"/>
        </w:rPr>
      </w:pPr>
    </w:p>
    <w:p w14:paraId="6F091013" w14:textId="77777777" w:rsidR="002E5800" w:rsidRPr="008F328C" w:rsidRDefault="000E0B7C">
      <w:pPr>
        <w:pStyle w:val="a3"/>
        <w:rPr>
          <w:lang w:val="pl-PL"/>
        </w:rPr>
      </w:pPr>
      <w:r w:rsidRPr="008F328C">
        <w:rPr>
          <w:rFonts w:eastAsia="Times New Roman"/>
          <w:lang w:val="pl-PL"/>
        </w:rPr>
        <w:t>Nie stosować tego leku po upływie terminu ważności zamieszczonego na etykiecie/pudełku tekturowym po skrócie EXP.</w:t>
      </w:r>
    </w:p>
    <w:p w14:paraId="49BA8CA2" w14:textId="77777777" w:rsidR="002E5800" w:rsidRPr="008F328C" w:rsidRDefault="002E5800">
      <w:pPr>
        <w:pStyle w:val="a3"/>
        <w:rPr>
          <w:lang w:val="pl-PL"/>
        </w:rPr>
      </w:pPr>
    </w:p>
    <w:p w14:paraId="14B1F3B4" w14:textId="48AAE994" w:rsidR="002E5800" w:rsidRPr="008F328C" w:rsidRDefault="000E0B7C">
      <w:pPr>
        <w:pStyle w:val="a3"/>
        <w:rPr>
          <w:lang w:val="pl-PL"/>
        </w:rPr>
      </w:pPr>
      <w:r w:rsidRPr="008F328C">
        <w:rPr>
          <w:rFonts w:eastAsia="Times New Roman"/>
          <w:lang w:val="pl-PL"/>
        </w:rPr>
        <w:t>Przechowywać w lodówce (2</w:t>
      </w:r>
      <w:r w:rsidR="008B6723" w:rsidRPr="008F328C">
        <w:rPr>
          <w:rFonts w:eastAsia="Times New Roman"/>
          <w:lang w:val="pl-PL"/>
        </w:rPr>
        <w:t xml:space="preserve"> </w:t>
      </w:r>
      <w:r w:rsidRPr="008F328C">
        <w:rPr>
          <w:rFonts w:eastAsia="Times New Roman"/>
          <w:lang w:val="pl-PL"/>
        </w:rPr>
        <w:t>°C–8</w:t>
      </w:r>
      <w:r w:rsidR="008B6723" w:rsidRPr="008F328C">
        <w:rPr>
          <w:rFonts w:eastAsia="Times New Roman"/>
          <w:lang w:val="pl-PL"/>
        </w:rPr>
        <w:t xml:space="preserve"> </w:t>
      </w:r>
      <w:r w:rsidRPr="008F328C">
        <w:rPr>
          <w:rFonts w:eastAsia="Times New Roman"/>
          <w:lang w:val="pl-PL"/>
        </w:rPr>
        <w:t>°C). Nie zamrażać.</w:t>
      </w:r>
    </w:p>
    <w:p w14:paraId="09DEF37F" w14:textId="77777777" w:rsidR="002E5800" w:rsidRPr="008F328C" w:rsidRDefault="002E5800">
      <w:pPr>
        <w:pStyle w:val="a3"/>
        <w:rPr>
          <w:lang w:val="pl-PL"/>
        </w:rPr>
      </w:pPr>
    </w:p>
    <w:p w14:paraId="492FFDF7" w14:textId="77777777" w:rsidR="002E5800" w:rsidRPr="008F328C" w:rsidRDefault="000E0B7C">
      <w:pPr>
        <w:pStyle w:val="a3"/>
        <w:rPr>
          <w:lang w:val="pl-PL"/>
        </w:rPr>
      </w:pPr>
      <w:r w:rsidRPr="008F328C">
        <w:rPr>
          <w:rFonts w:eastAsia="Times New Roman"/>
          <w:lang w:val="pl-PL"/>
        </w:rPr>
        <w:t>Przechowywać półautomatyczny wstrzykiwacz w opakowaniu zewnętrznym w celu ochrony przed światłem.</w:t>
      </w:r>
    </w:p>
    <w:p w14:paraId="512EDAB9" w14:textId="77777777" w:rsidR="002E5800" w:rsidRPr="008F328C" w:rsidRDefault="002E5800">
      <w:pPr>
        <w:spacing w:before="13" w:line="240" w:lineRule="exact"/>
        <w:rPr>
          <w:rFonts w:ascii="Times New Roman" w:hAnsi="Times New Roman" w:cs="Times New Roman"/>
          <w:sz w:val="24"/>
          <w:szCs w:val="24"/>
          <w:lang w:val="pl-PL"/>
        </w:rPr>
      </w:pPr>
    </w:p>
    <w:p w14:paraId="0D89DDED" w14:textId="77777777" w:rsidR="002E5800" w:rsidRPr="008F328C" w:rsidRDefault="000E0B7C">
      <w:pPr>
        <w:pStyle w:val="a3"/>
        <w:rPr>
          <w:lang w:val="pl-PL"/>
        </w:rPr>
      </w:pPr>
      <w:r w:rsidRPr="008F328C">
        <w:rPr>
          <w:rFonts w:eastAsia="Times New Roman"/>
          <w:lang w:val="pl-PL"/>
        </w:rPr>
        <w:t>Alternatywne metoda przechowywania:</w:t>
      </w:r>
    </w:p>
    <w:p w14:paraId="7D138417" w14:textId="77777777" w:rsidR="002E5800" w:rsidRPr="008F328C" w:rsidRDefault="002E5800">
      <w:pPr>
        <w:spacing w:before="14" w:line="240" w:lineRule="exact"/>
        <w:rPr>
          <w:rFonts w:ascii="Times New Roman" w:hAnsi="Times New Roman" w:cs="Times New Roman"/>
          <w:sz w:val="24"/>
          <w:szCs w:val="24"/>
          <w:lang w:val="pl-PL"/>
        </w:rPr>
      </w:pPr>
    </w:p>
    <w:p w14:paraId="70BF72FE" w14:textId="0BD36897" w:rsidR="002E5800" w:rsidRPr="008F328C" w:rsidRDefault="000E0B7C">
      <w:pPr>
        <w:pStyle w:val="a3"/>
        <w:rPr>
          <w:lang w:val="pl-PL"/>
        </w:rPr>
      </w:pPr>
      <w:r w:rsidRPr="008F328C">
        <w:rPr>
          <w:rFonts w:eastAsia="Times New Roman"/>
          <w:lang w:val="pl-PL"/>
        </w:rPr>
        <w:t>W razie potrzeby (na przykład podczas podróży), pojedynczy półautomatyczny wstrzykiwacz z lekiem Yuflyma można przechowywać w temperaturze pokojowej (do 25</w:t>
      </w:r>
      <w:r w:rsidR="008B6723" w:rsidRPr="008F328C">
        <w:rPr>
          <w:rFonts w:eastAsia="Times New Roman"/>
          <w:lang w:val="pl-PL"/>
        </w:rPr>
        <w:t xml:space="preserve"> </w:t>
      </w:r>
      <w:r w:rsidRPr="008F328C">
        <w:rPr>
          <w:rFonts w:eastAsia="Times New Roman"/>
          <w:lang w:val="pl-PL"/>
        </w:rPr>
        <w:t xml:space="preserve">°C) nie dłużej niż </w:t>
      </w:r>
      <w:r w:rsidR="00091741" w:rsidRPr="008F328C">
        <w:rPr>
          <w:rFonts w:eastAsia="Times New Roman"/>
          <w:lang w:val="pl-PL"/>
        </w:rPr>
        <w:t xml:space="preserve">31 </w:t>
      </w:r>
      <w:r w:rsidRPr="008F328C">
        <w:rPr>
          <w:rFonts w:eastAsia="Times New Roman"/>
          <w:lang w:val="pl-PL"/>
        </w:rPr>
        <w:t xml:space="preserve">dni (ampułko-strzykawkę należy chronić przed światłem). Po wyjęciu z lodówki, przechowywaną w temperaturze pokojowej półautomatyczny wstrzykiwacz </w:t>
      </w:r>
      <w:r w:rsidRPr="008F328C">
        <w:rPr>
          <w:rFonts w:eastAsia="Times New Roman"/>
          <w:b/>
          <w:bCs/>
          <w:lang w:val="pl-PL"/>
        </w:rPr>
        <w:t xml:space="preserve">należy bezwzględnie zużyć w ciągu </w:t>
      </w:r>
      <w:r w:rsidR="00091741" w:rsidRPr="008F328C">
        <w:rPr>
          <w:rFonts w:eastAsia="Times New Roman"/>
          <w:b/>
          <w:bCs/>
          <w:lang w:val="pl-PL"/>
        </w:rPr>
        <w:t>31</w:t>
      </w:r>
      <w:r w:rsidRPr="008F328C">
        <w:rPr>
          <w:rFonts w:eastAsia="Times New Roman"/>
          <w:b/>
          <w:bCs/>
          <w:lang w:val="pl-PL"/>
        </w:rPr>
        <w:t xml:space="preserve"> dni lub wyrzucić</w:t>
      </w:r>
      <w:r w:rsidRPr="008F328C">
        <w:rPr>
          <w:rFonts w:eastAsia="Times New Roman"/>
          <w:lang w:val="pl-PL"/>
        </w:rPr>
        <w:t>, nawet wtedy, gdy zostanie na powrót umieszczona w lodówce.</w:t>
      </w:r>
    </w:p>
    <w:p w14:paraId="7BAB7839" w14:textId="77777777" w:rsidR="002E5800" w:rsidRPr="008F328C" w:rsidRDefault="002E5800">
      <w:pPr>
        <w:spacing w:before="17" w:line="240" w:lineRule="exact"/>
        <w:rPr>
          <w:rFonts w:ascii="Times New Roman" w:hAnsi="Times New Roman" w:cs="Times New Roman"/>
          <w:sz w:val="24"/>
          <w:szCs w:val="24"/>
          <w:lang w:val="pl-PL"/>
        </w:rPr>
      </w:pPr>
    </w:p>
    <w:p w14:paraId="7C302FF2" w14:textId="77777777" w:rsidR="002E5800" w:rsidRPr="008F328C" w:rsidRDefault="000E0B7C">
      <w:pPr>
        <w:pStyle w:val="a3"/>
        <w:rPr>
          <w:lang w:val="pl-PL"/>
        </w:rPr>
      </w:pPr>
      <w:r w:rsidRPr="008F328C">
        <w:rPr>
          <w:rFonts w:eastAsia="Times New Roman"/>
          <w:lang w:val="pl-PL"/>
        </w:rPr>
        <w:t>Należy zapisać datę pierwszego wyjęcia automatycznego wstrzykiwacza z lodówki oraz datę, po której należy ją wyrzucić.</w:t>
      </w:r>
    </w:p>
    <w:p w14:paraId="5FAC3FE3" w14:textId="77777777" w:rsidR="002E5800" w:rsidRPr="008F328C" w:rsidRDefault="002E5800">
      <w:pPr>
        <w:spacing w:before="14" w:line="240" w:lineRule="exact"/>
        <w:rPr>
          <w:rFonts w:ascii="Times New Roman" w:hAnsi="Times New Roman" w:cs="Times New Roman"/>
          <w:sz w:val="24"/>
          <w:szCs w:val="24"/>
          <w:lang w:val="pl-PL"/>
        </w:rPr>
      </w:pPr>
    </w:p>
    <w:p w14:paraId="6E1BD3BC" w14:textId="77777777" w:rsidR="002E5800" w:rsidRPr="008F328C" w:rsidRDefault="000E0B7C">
      <w:pPr>
        <w:pStyle w:val="a3"/>
        <w:rPr>
          <w:lang w:val="pl-PL"/>
        </w:rPr>
      </w:pPr>
      <w:r w:rsidRPr="008F328C">
        <w:rPr>
          <w:rFonts w:eastAsia="Times New Roman"/>
          <w:lang w:val="pl-PL"/>
        </w:rPr>
        <w:t>Leków nie należy wyrzucać do kanalizacji ani domowych pojemników na odpadki. Należy zapytać lekarza lub farmaceutę, jak usunąć leki, których się już nie używa. Takie postępowanie pomoże chronić środowisko.</w:t>
      </w:r>
    </w:p>
    <w:p w14:paraId="525C0401" w14:textId="05A6AEB6" w:rsidR="002E5800" w:rsidRPr="008F328C" w:rsidRDefault="002E5800">
      <w:pPr>
        <w:spacing w:line="200" w:lineRule="exact"/>
        <w:rPr>
          <w:rFonts w:ascii="Times New Roman" w:hAnsi="Times New Roman" w:cs="Times New Roman"/>
          <w:sz w:val="20"/>
          <w:szCs w:val="20"/>
          <w:lang w:val="pl-PL"/>
        </w:rPr>
      </w:pPr>
    </w:p>
    <w:p w14:paraId="66892972" w14:textId="77777777" w:rsidR="00CC4159" w:rsidRPr="008F328C" w:rsidRDefault="00CC4159">
      <w:pPr>
        <w:spacing w:line="200" w:lineRule="exact"/>
        <w:rPr>
          <w:rFonts w:ascii="Times New Roman" w:hAnsi="Times New Roman" w:cs="Times New Roman"/>
          <w:sz w:val="20"/>
          <w:szCs w:val="20"/>
          <w:lang w:val="pl-PL"/>
        </w:rPr>
      </w:pPr>
    </w:p>
    <w:p w14:paraId="2F12764D" w14:textId="77777777" w:rsidR="002E5800" w:rsidRPr="008F328C" w:rsidRDefault="000E0B7C">
      <w:pPr>
        <w:pStyle w:val="a4"/>
        <w:numPr>
          <w:ilvl w:val="0"/>
          <w:numId w:val="38"/>
        </w:numPr>
        <w:spacing w:line="240" w:lineRule="exact"/>
        <w:ind w:left="357" w:hanging="357"/>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Zawartość opakowania i inne informacje</w:t>
      </w:r>
    </w:p>
    <w:p w14:paraId="72513CF0" w14:textId="77777777" w:rsidR="002E5800" w:rsidRPr="008F328C" w:rsidRDefault="002E5800">
      <w:pPr>
        <w:widowControl/>
        <w:tabs>
          <w:tab w:val="left" w:pos="567"/>
        </w:tabs>
        <w:spacing w:line="260" w:lineRule="exact"/>
        <w:ind w:left="360"/>
        <w:rPr>
          <w:rFonts w:ascii="Times New Roman" w:eastAsia="Times New Roman" w:hAnsi="Times New Roman" w:cs="Times New Roman"/>
          <w:b/>
          <w:lang w:val="pl-PL"/>
        </w:rPr>
      </w:pPr>
    </w:p>
    <w:p w14:paraId="319BC2A4" w14:textId="77777777" w:rsidR="002E5800" w:rsidRPr="008F328C" w:rsidRDefault="000E0B7C">
      <w:pPr>
        <w:pStyle w:val="a3"/>
        <w:rPr>
          <w:b/>
          <w:lang w:val="pl-PL"/>
        </w:rPr>
      </w:pPr>
      <w:r w:rsidRPr="008F328C">
        <w:rPr>
          <w:rFonts w:eastAsia="Times New Roman"/>
          <w:b/>
          <w:bCs/>
          <w:lang w:val="pl-PL"/>
        </w:rPr>
        <w:t>Co zawiera lek Yuflyma</w:t>
      </w:r>
    </w:p>
    <w:p w14:paraId="3F86E65E" w14:textId="77777777" w:rsidR="002E5800" w:rsidRPr="008F328C" w:rsidRDefault="002E5800">
      <w:pPr>
        <w:pStyle w:val="a3"/>
        <w:rPr>
          <w:b/>
          <w:bCs/>
          <w:lang w:val="pl-PL"/>
        </w:rPr>
      </w:pPr>
    </w:p>
    <w:p w14:paraId="3540875B" w14:textId="77777777" w:rsidR="002E5800" w:rsidRPr="008F328C" w:rsidRDefault="000E0B7C">
      <w:pPr>
        <w:pStyle w:val="a3"/>
        <w:rPr>
          <w:lang w:val="pl-PL"/>
        </w:rPr>
      </w:pPr>
      <w:r w:rsidRPr="008F328C">
        <w:rPr>
          <w:rFonts w:eastAsia="Times New Roman"/>
          <w:lang w:val="pl-PL"/>
        </w:rPr>
        <w:t>Substancją czynną leku jest adalimumab.</w:t>
      </w:r>
    </w:p>
    <w:p w14:paraId="0795746C" w14:textId="1F057ABB" w:rsidR="002E5800" w:rsidRPr="008F328C" w:rsidRDefault="000E0B7C">
      <w:pPr>
        <w:pStyle w:val="a3"/>
        <w:rPr>
          <w:lang w:val="pl-PL"/>
        </w:rPr>
      </w:pPr>
      <w:r w:rsidRPr="008F328C">
        <w:rPr>
          <w:rFonts w:eastAsia="Times New Roman"/>
          <w:lang w:val="pl-PL"/>
        </w:rPr>
        <w:t>Inne składniki leku to: kwas octowy, sodu octan</w:t>
      </w:r>
      <w:r w:rsidR="00EC793D" w:rsidRPr="008F328C">
        <w:rPr>
          <w:rFonts w:eastAsia="Times New Roman"/>
          <w:lang w:val="pl-PL"/>
        </w:rPr>
        <w:t xml:space="preserve"> trójwodny</w:t>
      </w:r>
      <w:r w:rsidRPr="008F328C">
        <w:rPr>
          <w:rFonts w:eastAsia="Times New Roman"/>
          <w:lang w:val="pl-PL"/>
        </w:rPr>
        <w:t>, glicyna, polisorbat 80 i woda do wstrzykiwań.</w:t>
      </w:r>
    </w:p>
    <w:p w14:paraId="0B9FF5DB" w14:textId="77777777" w:rsidR="002E5800" w:rsidRPr="008F328C" w:rsidRDefault="002E5800">
      <w:pPr>
        <w:pStyle w:val="a3"/>
        <w:rPr>
          <w:lang w:val="pl-PL"/>
        </w:rPr>
      </w:pPr>
    </w:p>
    <w:p w14:paraId="12A782E4" w14:textId="77777777" w:rsidR="002E5800" w:rsidRPr="008F328C" w:rsidRDefault="000E0B7C">
      <w:pPr>
        <w:pStyle w:val="a3"/>
        <w:rPr>
          <w:b/>
          <w:bCs/>
          <w:lang w:val="pl-PL"/>
        </w:rPr>
      </w:pPr>
      <w:r w:rsidRPr="008F328C">
        <w:rPr>
          <w:rFonts w:eastAsia="Times New Roman"/>
          <w:lang w:val="pl-PL"/>
        </w:rPr>
        <w:t>Jak wygląda lek Yuflyma w półautomatycznym wstrzykiwaczu i co zawiera opakowanie</w:t>
      </w:r>
    </w:p>
    <w:p w14:paraId="3F551E60" w14:textId="77777777" w:rsidR="002E5800" w:rsidRPr="008F328C" w:rsidRDefault="002E5800">
      <w:pPr>
        <w:spacing w:before="12" w:line="240" w:lineRule="exact"/>
        <w:rPr>
          <w:rFonts w:ascii="Times New Roman" w:hAnsi="Times New Roman" w:cs="Times New Roman"/>
          <w:sz w:val="24"/>
          <w:szCs w:val="24"/>
          <w:lang w:val="pl-PL"/>
        </w:rPr>
      </w:pPr>
    </w:p>
    <w:p w14:paraId="3F7B0F88" w14:textId="77777777" w:rsidR="002E5800" w:rsidRPr="008F328C" w:rsidRDefault="000E0B7C">
      <w:pPr>
        <w:pStyle w:val="a3"/>
        <w:rPr>
          <w:lang w:val="pl-PL"/>
        </w:rPr>
      </w:pPr>
      <w:r w:rsidRPr="008F328C">
        <w:rPr>
          <w:rFonts w:eastAsia="Times New Roman"/>
          <w:lang w:val="pl-PL"/>
        </w:rPr>
        <w:t>Lek Yuflyma 40 mg roztwór do wstrzykiwań w półautomatycznym wstrzykiwaczu jest dostarczany w postaci jałowego roztworu 40 mg adalimumabu rozpuszczonego w 0,4 ml roztworu.</w:t>
      </w:r>
    </w:p>
    <w:p w14:paraId="6F0FB942" w14:textId="77777777" w:rsidR="002E5800" w:rsidRPr="008F328C" w:rsidRDefault="002E5800">
      <w:pPr>
        <w:spacing w:before="11" w:line="240" w:lineRule="exact"/>
        <w:rPr>
          <w:rFonts w:ascii="Times New Roman" w:hAnsi="Times New Roman" w:cs="Times New Roman"/>
          <w:sz w:val="24"/>
          <w:szCs w:val="24"/>
          <w:lang w:val="pl-PL"/>
        </w:rPr>
      </w:pPr>
    </w:p>
    <w:p w14:paraId="4943058C" w14:textId="77777777" w:rsidR="002E5800" w:rsidRPr="008F328C" w:rsidRDefault="000E0B7C">
      <w:pPr>
        <w:pStyle w:val="a3"/>
        <w:rPr>
          <w:lang w:val="pl-PL"/>
        </w:rPr>
      </w:pPr>
      <w:r w:rsidRPr="008F328C">
        <w:rPr>
          <w:rFonts w:eastAsia="Times New Roman"/>
          <w:lang w:val="pl-PL"/>
        </w:rPr>
        <w:t>Półautomatyczny wstrzykiwacz z lekiem Yuflyma jest jednorazowym systemem do wykonania jednorazowego wstrzyknięcia ze zautomatyzowanymi funkcjami Po każdej stronie wstrzykiwacza znajduje się okienko, przez które widać, roztwór wewnątrz wstrzykiwacza.</w:t>
      </w:r>
    </w:p>
    <w:p w14:paraId="2B38AD58" w14:textId="77777777" w:rsidR="002E5800" w:rsidRPr="008F328C" w:rsidRDefault="002E5800">
      <w:pPr>
        <w:spacing w:before="13" w:line="240" w:lineRule="exact"/>
        <w:rPr>
          <w:rFonts w:ascii="Times New Roman" w:hAnsi="Times New Roman" w:cs="Times New Roman"/>
          <w:sz w:val="24"/>
          <w:szCs w:val="24"/>
          <w:lang w:val="pl-PL"/>
        </w:rPr>
      </w:pPr>
    </w:p>
    <w:p w14:paraId="385EC882" w14:textId="77777777" w:rsidR="002E5800" w:rsidRPr="008F328C" w:rsidRDefault="000E0B7C">
      <w:pPr>
        <w:pStyle w:val="a3"/>
        <w:rPr>
          <w:lang w:val="pl-PL"/>
        </w:rPr>
      </w:pPr>
      <w:r w:rsidRPr="008F328C">
        <w:rPr>
          <w:rFonts w:eastAsia="Times New Roman"/>
          <w:lang w:val="pl-PL"/>
        </w:rPr>
        <w:t>Półautomatyczny wstrzykiwacz jest dostępny w opakowaniach zawierających 1, 2, 4 i 6 półautomatycznych wstrzykiwaczy. 1 opakowanie z półautomatycznym wstrzykiwaczem zawiera 2 gaziki nasączone alkoholem (1 zapasowy). W przypadku opakowań zawierających 2, 4 i 6 półautomatyczne wstrzykiwacze, każde opakowanie z automatycznym wstrzykiwaczem zawiera 1 gazik nasączony alkoholem.</w:t>
      </w:r>
    </w:p>
    <w:p w14:paraId="273EFE44" w14:textId="77777777" w:rsidR="002E5800" w:rsidRPr="008F328C" w:rsidRDefault="002E5800">
      <w:pPr>
        <w:spacing w:before="11" w:line="240" w:lineRule="exact"/>
        <w:rPr>
          <w:rFonts w:ascii="Times New Roman" w:hAnsi="Times New Roman" w:cs="Times New Roman"/>
          <w:sz w:val="24"/>
          <w:szCs w:val="24"/>
          <w:lang w:val="pl-PL"/>
        </w:rPr>
      </w:pPr>
    </w:p>
    <w:p w14:paraId="36AD44C8" w14:textId="77777777" w:rsidR="002E5800" w:rsidRPr="008F328C" w:rsidRDefault="000E0B7C">
      <w:pPr>
        <w:pStyle w:val="a3"/>
        <w:rPr>
          <w:lang w:val="pl-PL"/>
        </w:rPr>
      </w:pPr>
      <w:r w:rsidRPr="008F328C">
        <w:rPr>
          <w:rFonts w:eastAsia="Times New Roman"/>
          <w:lang w:val="pl-PL"/>
        </w:rPr>
        <w:lastRenderedPageBreak/>
        <w:t>Nie wszystkie wielkości opakowań muszą znajdować się w obrocie.</w:t>
      </w:r>
    </w:p>
    <w:p w14:paraId="30346A79" w14:textId="77777777" w:rsidR="002E5800" w:rsidRPr="008F328C" w:rsidRDefault="002E5800">
      <w:pPr>
        <w:spacing w:before="13" w:line="240" w:lineRule="exact"/>
        <w:rPr>
          <w:rFonts w:ascii="Times New Roman" w:hAnsi="Times New Roman" w:cs="Times New Roman"/>
          <w:sz w:val="24"/>
          <w:szCs w:val="24"/>
          <w:lang w:val="pl-PL"/>
        </w:rPr>
      </w:pPr>
    </w:p>
    <w:p w14:paraId="65E5782D" w14:textId="77777777" w:rsidR="002E5800" w:rsidRPr="008F328C" w:rsidRDefault="000E0B7C">
      <w:pPr>
        <w:pStyle w:val="a3"/>
        <w:rPr>
          <w:lang w:val="pl-PL"/>
        </w:rPr>
      </w:pPr>
      <w:r w:rsidRPr="008F328C">
        <w:rPr>
          <w:rFonts w:eastAsia="Times New Roman"/>
          <w:lang w:val="pl-PL"/>
        </w:rPr>
        <w:t>Produkt Yuflyma może być dostępny w ampułko-strzykawce i (lub) półautomatycznym wstrzykiwaczu.</w:t>
      </w:r>
    </w:p>
    <w:p w14:paraId="2F40367B" w14:textId="77777777" w:rsidR="002E5800" w:rsidRPr="008F328C" w:rsidRDefault="002E5800">
      <w:pPr>
        <w:spacing w:before="18" w:line="240" w:lineRule="exact"/>
        <w:rPr>
          <w:rFonts w:ascii="Times New Roman" w:hAnsi="Times New Roman" w:cs="Times New Roman"/>
          <w:sz w:val="24"/>
          <w:szCs w:val="24"/>
          <w:lang w:val="pl-PL"/>
        </w:rPr>
      </w:pPr>
    </w:p>
    <w:p w14:paraId="4D76E83F" w14:textId="77777777" w:rsidR="002E5800" w:rsidRPr="008F328C" w:rsidRDefault="000E0B7C">
      <w:pPr>
        <w:pStyle w:val="a3"/>
        <w:rPr>
          <w:b/>
          <w:bCs/>
          <w:lang w:val="pl-PL"/>
        </w:rPr>
      </w:pPr>
      <w:r w:rsidRPr="008F328C">
        <w:rPr>
          <w:rFonts w:eastAsia="Times New Roman"/>
          <w:b/>
          <w:bCs/>
          <w:lang w:val="pl-PL"/>
        </w:rPr>
        <w:t>Podmiot odpowiedzialny</w:t>
      </w:r>
    </w:p>
    <w:p w14:paraId="65B89160" w14:textId="77777777" w:rsidR="002E5800" w:rsidRPr="008F328C" w:rsidRDefault="002E5800">
      <w:pPr>
        <w:spacing w:before="12" w:line="240" w:lineRule="exact"/>
        <w:rPr>
          <w:rFonts w:ascii="Times New Roman" w:hAnsi="Times New Roman" w:cs="Times New Roman"/>
          <w:sz w:val="24"/>
          <w:szCs w:val="24"/>
          <w:lang w:val="pl-PL"/>
        </w:rPr>
      </w:pPr>
    </w:p>
    <w:p w14:paraId="74ADFD91" w14:textId="77777777" w:rsidR="002E5800" w:rsidRPr="008F328C" w:rsidRDefault="000E0B7C">
      <w:pPr>
        <w:pStyle w:val="a3"/>
        <w:rPr>
          <w:lang w:val="pl-PL"/>
        </w:rPr>
      </w:pPr>
      <w:r w:rsidRPr="008F328C">
        <w:rPr>
          <w:lang w:val="pl-PL"/>
        </w:rPr>
        <w:t xml:space="preserve">Celltrion Healthcare Hungary Kft. </w:t>
      </w:r>
    </w:p>
    <w:p w14:paraId="51E5A0E1" w14:textId="77777777" w:rsidR="002E5800" w:rsidRPr="008F328C" w:rsidRDefault="000E0B7C">
      <w:pPr>
        <w:pStyle w:val="a3"/>
      </w:pPr>
      <w:r w:rsidRPr="008F328C">
        <w:t>1062 Budapest</w:t>
      </w:r>
    </w:p>
    <w:p w14:paraId="7159C5A8" w14:textId="77777777" w:rsidR="002E5800" w:rsidRPr="008F328C" w:rsidRDefault="000E0B7C">
      <w:pPr>
        <w:pStyle w:val="a3"/>
      </w:pPr>
      <w:r w:rsidRPr="008F328C">
        <w:t>Váci út 1-3. WestEnd Office Building B torony</w:t>
      </w:r>
    </w:p>
    <w:p w14:paraId="1C00A9C8" w14:textId="77777777" w:rsidR="002E5800" w:rsidRPr="008F328C" w:rsidRDefault="000E0B7C">
      <w:pPr>
        <w:pStyle w:val="a3"/>
      </w:pPr>
      <w:r w:rsidRPr="008F328C">
        <w:rPr>
          <w:rFonts w:eastAsia="Times New Roman"/>
        </w:rPr>
        <w:t>Węgry</w:t>
      </w:r>
    </w:p>
    <w:p w14:paraId="607E18EC" w14:textId="77777777" w:rsidR="002E5800" w:rsidRPr="008F328C" w:rsidRDefault="002E5800">
      <w:pPr>
        <w:spacing w:before="15" w:line="240" w:lineRule="exact"/>
        <w:rPr>
          <w:rFonts w:ascii="Times New Roman" w:hAnsi="Times New Roman" w:cs="Times New Roman"/>
          <w:sz w:val="24"/>
          <w:szCs w:val="24"/>
        </w:rPr>
      </w:pPr>
    </w:p>
    <w:p w14:paraId="608F0992" w14:textId="77777777" w:rsidR="002E5800" w:rsidRPr="008F328C" w:rsidRDefault="000E0B7C">
      <w:pPr>
        <w:pStyle w:val="a3"/>
        <w:rPr>
          <w:b/>
          <w:bCs/>
        </w:rPr>
      </w:pPr>
      <w:r w:rsidRPr="008F328C">
        <w:rPr>
          <w:rFonts w:eastAsia="Times New Roman"/>
          <w:b/>
          <w:bCs/>
        </w:rPr>
        <w:t>Wytwórca</w:t>
      </w:r>
    </w:p>
    <w:p w14:paraId="6A6F1F32" w14:textId="77777777" w:rsidR="002E5800" w:rsidRPr="008F328C" w:rsidRDefault="002E5800">
      <w:pPr>
        <w:spacing w:before="12" w:line="240" w:lineRule="exact"/>
        <w:rPr>
          <w:rFonts w:ascii="Times New Roman" w:hAnsi="Times New Roman" w:cs="Times New Roman"/>
          <w:sz w:val="24"/>
          <w:szCs w:val="24"/>
        </w:rPr>
      </w:pPr>
    </w:p>
    <w:p w14:paraId="440CB65A" w14:textId="0CECCCC1" w:rsidR="002E5800" w:rsidRPr="008F328C" w:rsidDel="009E0A16" w:rsidRDefault="000E0B7C">
      <w:pPr>
        <w:pStyle w:val="a3"/>
        <w:rPr>
          <w:del w:id="79" w:author="만든 이"/>
        </w:rPr>
      </w:pPr>
      <w:del w:id="80" w:author="만든 이">
        <w:r w:rsidRPr="008F328C" w:rsidDel="009E0A16">
          <w:delText>Millmount Healthcare Ltd.</w:delText>
        </w:r>
      </w:del>
    </w:p>
    <w:p w14:paraId="36BC77D5" w14:textId="52562DAF" w:rsidR="002E5800" w:rsidRPr="008F328C" w:rsidDel="009E0A16" w:rsidRDefault="000E0B7C">
      <w:pPr>
        <w:pStyle w:val="a3"/>
        <w:rPr>
          <w:del w:id="81" w:author="만든 이"/>
        </w:rPr>
      </w:pPr>
      <w:del w:id="82" w:author="만든 이">
        <w:r w:rsidRPr="008F328C" w:rsidDel="009E0A16">
          <w:delText>Block 7</w:delText>
        </w:r>
      </w:del>
    </w:p>
    <w:p w14:paraId="774DF7BF" w14:textId="1D816A7E" w:rsidR="002E5800" w:rsidRPr="008F328C" w:rsidDel="009E0A16" w:rsidRDefault="000E0B7C">
      <w:pPr>
        <w:pStyle w:val="a3"/>
        <w:rPr>
          <w:del w:id="83" w:author="만든 이"/>
        </w:rPr>
      </w:pPr>
      <w:del w:id="84" w:author="만든 이">
        <w:r w:rsidRPr="008F328C" w:rsidDel="009E0A16">
          <w:delText>City North Business Campus</w:delText>
        </w:r>
      </w:del>
    </w:p>
    <w:p w14:paraId="052664A2" w14:textId="52C37B79" w:rsidR="002E5800" w:rsidRPr="008F328C" w:rsidDel="009E0A16" w:rsidRDefault="000E0B7C">
      <w:pPr>
        <w:pStyle w:val="a3"/>
        <w:rPr>
          <w:del w:id="85" w:author="만든 이"/>
          <w:lang w:val="en-GB"/>
        </w:rPr>
      </w:pPr>
      <w:del w:id="86" w:author="만든 이">
        <w:r w:rsidRPr="008F328C" w:rsidDel="009E0A16">
          <w:delText xml:space="preserve">Stamullen, Co. </w:delText>
        </w:r>
        <w:r w:rsidRPr="008F328C" w:rsidDel="009E0A16">
          <w:rPr>
            <w:lang w:val="en-GB"/>
          </w:rPr>
          <w:delText>Meath K32 YD60</w:delText>
        </w:r>
      </w:del>
    </w:p>
    <w:p w14:paraId="2CEF5346" w14:textId="2104A544" w:rsidR="002E5800" w:rsidRPr="00DA01FB" w:rsidDel="009E0A16" w:rsidRDefault="000E0B7C">
      <w:pPr>
        <w:pStyle w:val="a3"/>
        <w:rPr>
          <w:del w:id="87" w:author="만든 이"/>
          <w:rFonts w:eastAsia="Times New Roman"/>
          <w:lang w:val="es-ES"/>
        </w:rPr>
      </w:pPr>
      <w:del w:id="88" w:author="만든 이">
        <w:r w:rsidRPr="00DA01FB" w:rsidDel="009E0A16">
          <w:rPr>
            <w:rFonts w:eastAsia="Times New Roman"/>
            <w:lang w:val="es-ES"/>
          </w:rPr>
          <w:delText>Irlandia</w:delText>
        </w:r>
      </w:del>
    </w:p>
    <w:p w14:paraId="49F63CCC" w14:textId="4A44EA9C" w:rsidR="00255576" w:rsidRPr="00DA01FB" w:rsidDel="009E0A16" w:rsidRDefault="00255576">
      <w:pPr>
        <w:pStyle w:val="a3"/>
        <w:rPr>
          <w:del w:id="89" w:author="만든 이"/>
          <w:rFonts w:eastAsia="Times New Roman"/>
          <w:lang w:val="es-ES"/>
        </w:rPr>
      </w:pPr>
    </w:p>
    <w:p w14:paraId="0C7E2573" w14:textId="77777777" w:rsidR="009E0A16" w:rsidRPr="007E66D4" w:rsidRDefault="009E0A16" w:rsidP="009E0A16">
      <w:pPr>
        <w:pStyle w:val="a3"/>
        <w:rPr>
          <w:moveTo w:id="90" w:author="만든 이" w16du:dateUtc="2025-09-09T06:15:00Z"/>
          <w:lang w:val="fr-CA"/>
        </w:rPr>
      </w:pPr>
      <w:moveToRangeStart w:id="91" w:author="만든 이" w:name="move208323365"/>
      <w:moveTo w:id="92" w:author="만든 이" w16du:dateUtc="2025-09-09T06:15:00Z">
        <w:r w:rsidRPr="007E66D4">
          <w:rPr>
            <w:lang w:val="fr-CA"/>
          </w:rPr>
          <w:t>Nuvisan France SARL</w:t>
        </w:r>
      </w:moveTo>
    </w:p>
    <w:p w14:paraId="5E6F6A11" w14:textId="77777777" w:rsidR="009E0A16" w:rsidRPr="007E66D4" w:rsidRDefault="009E0A16" w:rsidP="009E0A16">
      <w:pPr>
        <w:pStyle w:val="a3"/>
        <w:rPr>
          <w:moveTo w:id="93" w:author="만든 이" w16du:dateUtc="2025-09-09T06:15:00Z"/>
          <w:lang w:val="fr-CA"/>
        </w:rPr>
      </w:pPr>
      <w:moveTo w:id="94" w:author="만든 이" w16du:dateUtc="2025-09-09T06:15:00Z">
        <w:r w:rsidRPr="007E66D4">
          <w:rPr>
            <w:lang w:val="fr-CA"/>
          </w:rPr>
          <w:t>2400, Route des Colles</w:t>
        </w:r>
      </w:moveTo>
    </w:p>
    <w:p w14:paraId="7344FE57" w14:textId="77777777" w:rsidR="009E0A16" w:rsidRPr="008F328C" w:rsidRDefault="009E0A16" w:rsidP="009E0A16">
      <w:pPr>
        <w:pStyle w:val="a3"/>
        <w:rPr>
          <w:moveTo w:id="95" w:author="만든 이" w16du:dateUtc="2025-09-09T06:15:00Z"/>
          <w:lang w:val="pl-PL"/>
        </w:rPr>
      </w:pPr>
      <w:moveTo w:id="96" w:author="만든 이" w16du:dateUtc="2025-09-09T06:15:00Z">
        <w:r w:rsidRPr="008F328C">
          <w:rPr>
            <w:lang w:val="pl-PL"/>
          </w:rPr>
          <w:t>06410, Biot</w:t>
        </w:r>
      </w:moveTo>
    </w:p>
    <w:p w14:paraId="38DE4C96" w14:textId="77777777" w:rsidR="009E0A16" w:rsidRPr="008F328C" w:rsidRDefault="009E0A16" w:rsidP="009E0A16">
      <w:pPr>
        <w:pStyle w:val="a3"/>
        <w:rPr>
          <w:moveTo w:id="97" w:author="만든 이" w16du:dateUtc="2025-09-09T06:15:00Z"/>
          <w:lang w:val="pl-PL"/>
        </w:rPr>
      </w:pPr>
      <w:moveTo w:id="98" w:author="만든 이" w16du:dateUtc="2025-09-09T06:15:00Z">
        <w:r w:rsidRPr="008F328C">
          <w:rPr>
            <w:lang w:val="pl-PL"/>
          </w:rPr>
          <w:t>Francja</w:t>
        </w:r>
      </w:moveTo>
    </w:p>
    <w:p w14:paraId="432CEF6F" w14:textId="77777777" w:rsidR="009E0A16" w:rsidRPr="008F328C" w:rsidRDefault="009E0A16" w:rsidP="009E0A16">
      <w:pPr>
        <w:pStyle w:val="a3"/>
        <w:rPr>
          <w:moveTo w:id="99" w:author="만든 이" w16du:dateUtc="2025-09-09T06:15:00Z"/>
          <w:lang w:val="es-ES_tradnl"/>
        </w:rPr>
      </w:pPr>
    </w:p>
    <w:moveToRangeEnd w:id="91"/>
    <w:p w14:paraId="4C8573B5" w14:textId="77777777" w:rsidR="00255576" w:rsidRPr="009958EA" w:rsidRDefault="00255576" w:rsidP="00255576">
      <w:pPr>
        <w:pStyle w:val="a3"/>
        <w:rPr>
          <w:shd w:val="pct15" w:color="auto" w:fill="FFFFFF"/>
          <w:lang w:val="es-ES"/>
        </w:rPr>
      </w:pPr>
      <w:r w:rsidRPr="009958EA">
        <w:rPr>
          <w:shd w:val="pct15" w:color="auto" w:fill="FFFFFF"/>
          <w:lang w:val="es-ES"/>
        </w:rPr>
        <w:t>Nuvisan GmbH</w:t>
      </w:r>
    </w:p>
    <w:p w14:paraId="36B4D3A0" w14:textId="00B0F9A2" w:rsidR="00255576" w:rsidRPr="009958EA" w:rsidRDefault="00255576" w:rsidP="00255576">
      <w:pPr>
        <w:pStyle w:val="a3"/>
        <w:rPr>
          <w:shd w:val="pct15" w:color="auto" w:fill="FFFFFF"/>
          <w:lang w:val="de-CH"/>
        </w:rPr>
      </w:pPr>
      <w:r w:rsidRPr="009958EA">
        <w:rPr>
          <w:shd w:val="pct15" w:color="auto" w:fill="FFFFFF"/>
          <w:lang w:val="de-CH"/>
        </w:rPr>
        <w:t>Wegenerstraße 13</w:t>
      </w:r>
    </w:p>
    <w:p w14:paraId="5227780B" w14:textId="2C62CC2E" w:rsidR="00255576" w:rsidRPr="009958EA" w:rsidRDefault="00255576" w:rsidP="00255576">
      <w:pPr>
        <w:pStyle w:val="a3"/>
        <w:rPr>
          <w:shd w:val="pct15" w:color="auto" w:fill="FFFFFF"/>
          <w:lang w:val="de-CH"/>
        </w:rPr>
      </w:pPr>
      <w:r w:rsidRPr="009958EA">
        <w:rPr>
          <w:shd w:val="pct15" w:color="auto" w:fill="FFFFFF"/>
          <w:lang w:val="de-CH"/>
        </w:rPr>
        <w:t>89231 Neu</w:t>
      </w:r>
      <w:r w:rsidR="00190E6B" w:rsidRPr="009958EA">
        <w:rPr>
          <w:rFonts w:hint="eastAsia"/>
          <w:shd w:val="pct15" w:color="auto" w:fill="FFFFFF"/>
          <w:lang w:val="de-CH" w:eastAsia="ko-KR"/>
        </w:rPr>
        <w:t>-</w:t>
      </w:r>
      <w:r w:rsidRPr="009958EA">
        <w:rPr>
          <w:shd w:val="pct15" w:color="auto" w:fill="FFFFFF"/>
          <w:lang w:val="de-CH"/>
        </w:rPr>
        <w:t>Ulm</w:t>
      </w:r>
    </w:p>
    <w:p w14:paraId="4F350C72" w14:textId="77777777" w:rsidR="00255576" w:rsidRPr="009958EA" w:rsidRDefault="00255576" w:rsidP="00255576">
      <w:pPr>
        <w:pStyle w:val="a3"/>
        <w:rPr>
          <w:shd w:val="pct15" w:color="auto" w:fill="FFFFFF"/>
          <w:lang w:val="de-CH"/>
        </w:rPr>
      </w:pPr>
      <w:r w:rsidRPr="009958EA">
        <w:rPr>
          <w:shd w:val="pct15" w:color="auto" w:fill="FFFFFF"/>
          <w:lang w:val="de-CH"/>
        </w:rPr>
        <w:t>Niemcy</w:t>
      </w:r>
    </w:p>
    <w:p w14:paraId="412B5212" w14:textId="77777777" w:rsidR="00255576" w:rsidRPr="009958EA" w:rsidRDefault="00255576" w:rsidP="00255576">
      <w:pPr>
        <w:pStyle w:val="a3"/>
        <w:rPr>
          <w:shd w:val="pct15" w:color="auto" w:fill="FFFFFF"/>
          <w:lang w:val="de-CH"/>
        </w:rPr>
      </w:pPr>
    </w:p>
    <w:p w14:paraId="35F86284" w14:textId="11B4F134" w:rsidR="00255576" w:rsidRPr="00494296" w:rsidDel="009E0A16" w:rsidRDefault="00255576" w:rsidP="00255576">
      <w:pPr>
        <w:pStyle w:val="a3"/>
        <w:rPr>
          <w:moveFrom w:id="100" w:author="만든 이" w16du:dateUtc="2025-09-09T06:15:00Z"/>
          <w:shd w:val="pct15" w:color="auto" w:fill="FFFFFF"/>
          <w:lang w:val="fr-CA"/>
        </w:rPr>
      </w:pPr>
      <w:moveFromRangeStart w:id="101" w:author="만든 이" w:name="move208323365"/>
      <w:moveFrom w:id="102" w:author="만든 이" w16du:dateUtc="2025-09-09T06:15:00Z">
        <w:r w:rsidRPr="00494296" w:rsidDel="009E0A16">
          <w:rPr>
            <w:shd w:val="pct15" w:color="auto" w:fill="FFFFFF"/>
            <w:lang w:val="fr-CA"/>
          </w:rPr>
          <w:t>Nuvisan France SARL</w:t>
        </w:r>
      </w:moveFrom>
    </w:p>
    <w:p w14:paraId="14E843F6" w14:textId="4A6F6D9A" w:rsidR="00255576" w:rsidRPr="00494296" w:rsidDel="009E0A16" w:rsidRDefault="00255576" w:rsidP="00255576">
      <w:pPr>
        <w:pStyle w:val="a3"/>
        <w:rPr>
          <w:moveFrom w:id="103" w:author="만든 이" w16du:dateUtc="2025-09-09T06:15:00Z"/>
          <w:shd w:val="pct15" w:color="auto" w:fill="FFFFFF"/>
          <w:lang w:val="fr-CA"/>
        </w:rPr>
      </w:pPr>
      <w:moveFrom w:id="104" w:author="만든 이" w16du:dateUtc="2025-09-09T06:15:00Z">
        <w:r w:rsidRPr="00494296" w:rsidDel="009E0A16">
          <w:rPr>
            <w:shd w:val="pct15" w:color="auto" w:fill="FFFFFF"/>
            <w:lang w:val="fr-CA"/>
          </w:rPr>
          <w:t>2400, Route des Colles</w:t>
        </w:r>
      </w:moveFrom>
    </w:p>
    <w:p w14:paraId="2D83FE53" w14:textId="5497FBF9" w:rsidR="00255576" w:rsidRPr="009958EA" w:rsidDel="009E0A16" w:rsidRDefault="00255576" w:rsidP="00255576">
      <w:pPr>
        <w:pStyle w:val="a3"/>
        <w:rPr>
          <w:moveFrom w:id="105" w:author="만든 이" w16du:dateUtc="2025-09-09T06:15:00Z"/>
          <w:shd w:val="pct15" w:color="auto" w:fill="FFFFFF"/>
          <w:lang w:val="pl-PL"/>
        </w:rPr>
      </w:pPr>
      <w:moveFrom w:id="106" w:author="만든 이" w16du:dateUtc="2025-09-09T06:15:00Z">
        <w:r w:rsidRPr="009958EA" w:rsidDel="009E0A16">
          <w:rPr>
            <w:shd w:val="pct15" w:color="auto" w:fill="FFFFFF"/>
            <w:lang w:val="pl-PL"/>
          </w:rPr>
          <w:t>06410, Biot</w:t>
        </w:r>
      </w:moveFrom>
    </w:p>
    <w:p w14:paraId="41BFDF20" w14:textId="576679C8" w:rsidR="00255576" w:rsidRPr="009958EA" w:rsidDel="009E0A16" w:rsidRDefault="00255576">
      <w:pPr>
        <w:pStyle w:val="a3"/>
        <w:rPr>
          <w:moveFrom w:id="107" w:author="만든 이" w16du:dateUtc="2025-09-09T06:15:00Z"/>
          <w:shd w:val="pct15" w:color="auto" w:fill="FFFFFF"/>
          <w:lang w:val="pl-PL"/>
        </w:rPr>
      </w:pPr>
      <w:moveFrom w:id="108" w:author="만든 이" w16du:dateUtc="2025-09-09T06:15:00Z">
        <w:r w:rsidRPr="009958EA" w:rsidDel="009E0A16">
          <w:rPr>
            <w:shd w:val="pct15" w:color="auto" w:fill="FFFFFF"/>
            <w:lang w:val="pl-PL"/>
          </w:rPr>
          <w:t>Francja</w:t>
        </w:r>
      </w:moveFrom>
    </w:p>
    <w:p w14:paraId="0F6E69CA" w14:textId="115AE28C" w:rsidR="008D1574" w:rsidRPr="009958EA" w:rsidDel="009E0A16" w:rsidRDefault="008D1574" w:rsidP="008D1574">
      <w:pPr>
        <w:pStyle w:val="a3"/>
        <w:rPr>
          <w:moveFrom w:id="109" w:author="만든 이" w16du:dateUtc="2025-09-09T06:15:00Z"/>
          <w:shd w:val="pct15" w:color="auto" w:fill="FFFFFF"/>
          <w:lang w:val="es-ES_tradnl"/>
        </w:rPr>
      </w:pPr>
    </w:p>
    <w:moveFromRangeEnd w:id="101"/>
    <w:p w14:paraId="19DD11A6" w14:textId="77777777" w:rsidR="008D1574" w:rsidRPr="00494296" w:rsidRDefault="008D1574" w:rsidP="008D1574">
      <w:pPr>
        <w:pStyle w:val="a3"/>
        <w:rPr>
          <w:shd w:val="pct15" w:color="auto" w:fill="FFFFFF"/>
          <w:lang w:val="es-ES_tradnl"/>
        </w:rPr>
      </w:pPr>
      <w:r w:rsidRPr="00494296">
        <w:rPr>
          <w:shd w:val="pct15" w:color="auto" w:fill="FFFFFF"/>
          <w:lang w:val="es-ES_tradnl"/>
        </w:rPr>
        <w:t>Midas Pharma GmbH</w:t>
      </w:r>
    </w:p>
    <w:p w14:paraId="50FAC7AC" w14:textId="72B03EF7" w:rsidR="008D1574" w:rsidRPr="00494296" w:rsidRDefault="008D1574" w:rsidP="008D1574">
      <w:pPr>
        <w:pStyle w:val="a3"/>
        <w:rPr>
          <w:shd w:val="pct15" w:color="auto" w:fill="FFFFFF"/>
          <w:lang w:val="es-ES_tradnl"/>
        </w:rPr>
      </w:pPr>
      <w:r w:rsidRPr="00494296">
        <w:rPr>
          <w:shd w:val="pct15" w:color="auto" w:fill="FFFFFF"/>
          <w:lang w:val="es-ES_tradnl"/>
        </w:rPr>
        <w:t>Rheinstr. 49</w:t>
      </w:r>
    </w:p>
    <w:p w14:paraId="3FCAFE6E" w14:textId="6E6C7912" w:rsidR="008D1574" w:rsidRPr="00494296" w:rsidRDefault="008D1574" w:rsidP="008D1574">
      <w:pPr>
        <w:pStyle w:val="a3"/>
        <w:rPr>
          <w:shd w:val="pct15" w:color="auto" w:fill="FFFFFF"/>
          <w:lang w:val="es-ES_tradnl"/>
        </w:rPr>
      </w:pPr>
      <w:r w:rsidRPr="00494296">
        <w:rPr>
          <w:shd w:val="pct15" w:color="auto" w:fill="FFFFFF"/>
          <w:lang w:val="es-ES_tradnl"/>
        </w:rPr>
        <w:t>55218 Ingelheim</w:t>
      </w:r>
    </w:p>
    <w:p w14:paraId="698F9FD8" w14:textId="77777777" w:rsidR="008D1574" w:rsidRPr="009958EA" w:rsidRDefault="008D1574" w:rsidP="008D1574">
      <w:pPr>
        <w:pStyle w:val="a3"/>
        <w:rPr>
          <w:shd w:val="pct15" w:color="auto" w:fill="FFFFFF"/>
          <w:lang w:val="de-CH"/>
        </w:rPr>
      </w:pPr>
      <w:r w:rsidRPr="009958EA">
        <w:rPr>
          <w:shd w:val="pct15" w:color="auto" w:fill="FFFFFF"/>
          <w:lang w:val="de-CH"/>
        </w:rPr>
        <w:t>Niemcy</w:t>
      </w:r>
    </w:p>
    <w:p w14:paraId="45F41229" w14:textId="77777777" w:rsidR="008D1574" w:rsidRPr="00494296" w:rsidRDefault="008D1574" w:rsidP="008D1574">
      <w:pPr>
        <w:pStyle w:val="a3"/>
        <w:rPr>
          <w:shd w:val="pct15" w:color="auto" w:fill="FFFFFF"/>
          <w:lang w:val="es-ES_tradnl"/>
        </w:rPr>
      </w:pPr>
    </w:p>
    <w:p w14:paraId="3F698FED" w14:textId="526DA4BE" w:rsidR="008D1574" w:rsidRPr="009958EA" w:rsidRDefault="008D1574" w:rsidP="008D1574">
      <w:pPr>
        <w:pStyle w:val="a3"/>
        <w:rPr>
          <w:shd w:val="pct15" w:color="auto" w:fill="FFFFFF"/>
          <w:lang w:val="fr-FR"/>
        </w:rPr>
      </w:pPr>
      <w:r w:rsidRPr="009958EA">
        <w:rPr>
          <w:shd w:val="pct15" w:color="auto" w:fill="FFFFFF"/>
          <w:lang w:val="fr-FR"/>
        </w:rPr>
        <w:t>KYMOS S.L.</w:t>
      </w:r>
    </w:p>
    <w:p w14:paraId="4FC3598E" w14:textId="5355FAF1" w:rsidR="008D1574" w:rsidRPr="009958EA" w:rsidRDefault="008D1574" w:rsidP="008D1574">
      <w:pPr>
        <w:pStyle w:val="a3"/>
        <w:rPr>
          <w:shd w:val="pct15" w:color="auto" w:fill="FFFFFF"/>
          <w:lang w:val="fr-FR"/>
        </w:rPr>
      </w:pPr>
      <w:r w:rsidRPr="009958EA">
        <w:rPr>
          <w:shd w:val="pct15" w:color="auto" w:fill="FFFFFF"/>
          <w:lang w:val="fr-FR"/>
        </w:rPr>
        <w:t>Ronda Can Fatjó, 7B.</w:t>
      </w:r>
    </w:p>
    <w:p w14:paraId="144F69FD" w14:textId="3151D418" w:rsidR="008D1574" w:rsidRPr="009958EA" w:rsidRDefault="008D1574" w:rsidP="008D1574">
      <w:pPr>
        <w:pStyle w:val="a3"/>
        <w:rPr>
          <w:shd w:val="pct15" w:color="auto" w:fill="FFFFFF"/>
          <w:lang w:val="fr-FR"/>
        </w:rPr>
      </w:pPr>
      <w:r w:rsidRPr="009958EA">
        <w:rPr>
          <w:shd w:val="pct15" w:color="auto" w:fill="FFFFFF"/>
          <w:lang w:val="fr-FR"/>
        </w:rPr>
        <w:t>08290 Cerdanyola del Vallès</w:t>
      </w:r>
    </w:p>
    <w:p w14:paraId="45A1DABD" w14:textId="2BDA2B04" w:rsidR="008D1574" w:rsidRPr="009958EA" w:rsidRDefault="008D1574" w:rsidP="008D1574">
      <w:pPr>
        <w:pStyle w:val="a3"/>
        <w:rPr>
          <w:shd w:val="pct15" w:color="auto" w:fill="FFFFFF"/>
          <w:lang w:val="fr-FR"/>
        </w:rPr>
      </w:pPr>
      <w:r w:rsidRPr="009958EA">
        <w:rPr>
          <w:shd w:val="pct15" w:color="auto" w:fill="FFFFFF"/>
          <w:lang w:val="fr-FR"/>
        </w:rPr>
        <w:t>Barcelona</w:t>
      </w:r>
    </w:p>
    <w:p w14:paraId="6D51579A" w14:textId="77777777" w:rsidR="008D1574" w:rsidRPr="009958EA" w:rsidRDefault="008D1574" w:rsidP="008D1574">
      <w:pPr>
        <w:pStyle w:val="a3"/>
        <w:rPr>
          <w:shd w:val="pct15" w:color="auto" w:fill="FFFFFF"/>
          <w:lang w:val="fr-FR"/>
        </w:rPr>
      </w:pPr>
      <w:r w:rsidRPr="009958EA">
        <w:rPr>
          <w:shd w:val="pct15" w:color="auto" w:fill="FFFFFF"/>
          <w:lang w:val="fr-FR"/>
        </w:rPr>
        <w:t>Hiszpania</w:t>
      </w:r>
    </w:p>
    <w:p w14:paraId="745A75A6" w14:textId="77777777" w:rsidR="002E5800" w:rsidRPr="008F328C" w:rsidRDefault="002E5800">
      <w:pPr>
        <w:spacing w:before="14" w:line="240" w:lineRule="exact"/>
        <w:rPr>
          <w:rFonts w:ascii="Times New Roman" w:hAnsi="Times New Roman" w:cs="Times New Roman"/>
          <w:sz w:val="24"/>
          <w:szCs w:val="24"/>
          <w:lang w:val="fr-FR"/>
        </w:rPr>
      </w:pPr>
    </w:p>
    <w:p w14:paraId="4D605D9C" w14:textId="77777777" w:rsidR="002E5800" w:rsidRPr="008F328C" w:rsidRDefault="000E0B7C">
      <w:pPr>
        <w:pStyle w:val="a3"/>
        <w:rPr>
          <w:lang w:val="pl-PL"/>
        </w:rPr>
      </w:pPr>
      <w:r w:rsidRPr="008F328C">
        <w:rPr>
          <w:rFonts w:eastAsia="Times New Roman"/>
          <w:lang w:val="pl-PL"/>
        </w:rPr>
        <w:t>W celu uzyskania bardziej szczegółowych informacji dotyczących tego leku należy zwrócić się do miejscowego przedstawiciela podmiotu odpowiedzialnego:</w:t>
      </w:r>
    </w:p>
    <w:p w14:paraId="04F410B4" w14:textId="77777777" w:rsidR="002E5800" w:rsidRPr="008F328C" w:rsidRDefault="002E5800">
      <w:pPr>
        <w:numPr>
          <w:ilvl w:val="12"/>
          <w:numId w:val="0"/>
        </w:numPr>
        <w:ind w:right="-2"/>
        <w:rPr>
          <w:rFonts w:ascii="Times New Roman" w:hAnsi="Times New Roman" w:cs="Times New Roman"/>
          <w:b/>
          <w:lang w:val="pl-PL"/>
        </w:rPr>
      </w:pPr>
    </w:p>
    <w:tbl>
      <w:tblPr>
        <w:tblW w:w="5000" w:type="pct"/>
        <w:tblLook w:val="04A0" w:firstRow="1" w:lastRow="0" w:firstColumn="1" w:lastColumn="0" w:noHBand="0" w:noVBand="1"/>
      </w:tblPr>
      <w:tblGrid>
        <w:gridCol w:w="4702"/>
        <w:gridCol w:w="4702"/>
      </w:tblGrid>
      <w:tr w:rsidR="002E5800" w:rsidRPr="008F328C" w14:paraId="16576751" w14:textId="77777777">
        <w:tc>
          <w:tcPr>
            <w:tcW w:w="2500" w:type="pct"/>
            <w:hideMark/>
          </w:tcPr>
          <w:p w14:paraId="22317381" w14:textId="77777777" w:rsidR="002E5800" w:rsidRPr="008F328C" w:rsidRDefault="000E0B7C">
            <w:pPr>
              <w:rPr>
                <w:rFonts w:ascii="Times New Roman" w:hAnsi="Times New Roman" w:cs="Times New Roman"/>
                <w:b/>
                <w:lang w:val="en-GB" w:eastAsia="fr-FR"/>
              </w:rPr>
            </w:pPr>
            <w:r w:rsidRPr="008F328C">
              <w:rPr>
                <w:rFonts w:ascii="Times New Roman" w:eastAsia="맑은 고딕" w:hAnsi="Times New Roman" w:cs="Times New Roman"/>
                <w:b/>
                <w:lang w:val="en-GB" w:eastAsia="fr-FR"/>
              </w:rPr>
              <w:t>België/Belgique/Belgien</w:t>
            </w:r>
          </w:p>
          <w:p w14:paraId="5E28D27C" w14:textId="77777777" w:rsidR="002E5800" w:rsidRPr="008F328C" w:rsidRDefault="000E0B7C">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Belgium BVBA</w:t>
            </w:r>
          </w:p>
          <w:p w14:paraId="5F1FC8D8"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Tél/Tel: + 32 1528 7418</w:t>
            </w:r>
          </w:p>
          <w:p w14:paraId="6168F297" w14:textId="77777777" w:rsidR="002E5800" w:rsidRPr="008F328C" w:rsidRDefault="002E5800">
            <w:pPr>
              <w:rPr>
                <w:rFonts w:ascii="Times New Roman" w:eastAsia="맑은 고딕" w:hAnsi="Times New Roman" w:cs="Times New Roman"/>
                <w:lang w:val="pl-PL" w:eastAsia="ko-KR"/>
              </w:rPr>
            </w:pPr>
          </w:p>
        </w:tc>
        <w:tc>
          <w:tcPr>
            <w:tcW w:w="2500" w:type="pct"/>
          </w:tcPr>
          <w:p w14:paraId="122F68D2" w14:textId="77777777" w:rsidR="002E5800" w:rsidRPr="008F328C" w:rsidRDefault="000E0B7C">
            <w:pPr>
              <w:tabs>
                <w:tab w:val="left" w:pos="-720"/>
              </w:tabs>
              <w:suppressAutoHyphens/>
              <w:rPr>
                <w:rFonts w:ascii="Times New Roman" w:hAnsi="Times New Roman" w:cs="Times New Roman"/>
                <w:b/>
                <w:lang w:val="en-GB" w:eastAsia="fr-FR"/>
              </w:rPr>
            </w:pPr>
            <w:r w:rsidRPr="008F328C">
              <w:rPr>
                <w:rFonts w:ascii="Times New Roman" w:hAnsi="Times New Roman" w:cs="Times New Roman"/>
                <w:b/>
                <w:lang w:val="en-GB" w:eastAsia="fr-FR"/>
              </w:rPr>
              <w:t>Lietuva</w:t>
            </w:r>
          </w:p>
          <w:p w14:paraId="2DA56136"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C8F132F" w14:textId="34101D54" w:rsidR="001A3193" w:rsidRPr="008F328C" w:rsidRDefault="001A3193"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3E07E3B" w14:textId="77777777" w:rsidR="002E5800" w:rsidRPr="008F328C" w:rsidRDefault="002E5800">
            <w:pPr>
              <w:autoSpaceDE w:val="0"/>
              <w:autoSpaceDN w:val="0"/>
              <w:adjustRightInd w:val="0"/>
              <w:rPr>
                <w:rFonts w:ascii="Times New Roman" w:hAnsi="Times New Roman" w:cs="Times New Roman"/>
                <w:lang w:val="en-GB" w:eastAsia="fr-FR"/>
              </w:rPr>
            </w:pPr>
          </w:p>
        </w:tc>
      </w:tr>
      <w:tr w:rsidR="002E5800" w:rsidRPr="008F328C" w14:paraId="6787AF54" w14:textId="77777777">
        <w:trPr>
          <w:trHeight w:val="619"/>
        </w:trPr>
        <w:tc>
          <w:tcPr>
            <w:tcW w:w="2500" w:type="pct"/>
          </w:tcPr>
          <w:p w14:paraId="322345A6" w14:textId="77777777" w:rsidR="002E5800" w:rsidRPr="008F328C" w:rsidRDefault="000E0B7C">
            <w:pPr>
              <w:rPr>
                <w:rFonts w:ascii="Times New Roman" w:eastAsia="맑은 고딕" w:hAnsi="Times New Roman" w:cs="Times New Roman"/>
                <w:b/>
                <w:lang w:val="en-GB" w:eastAsia="fr-FR"/>
              </w:rPr>
            </w:pPr>
            <w:r w:rsidRPr="008F328C">
              <w:rPr>
                <w:rFonts w:ascii="Times New Roman" w:hAnsi="Times New Roman" w:cs="Times New Roman"/>
                <w:b/>
                <w:bCs/>
                <w:lang w:val="pl-PL"/>
              </w:rPr>
              <w:lastRenderedPageBreak/>
              <w:t>България</w:t>
            </w:r>
          </w:p>
          <w:p w14:paraId="0432058B"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E0B69E9" w14:textId="3302DBE6" w:rsidR="001A3193" w:rsidRPr="008F328C" w:rsidRDefault="00DD23F6"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Teл.: </w:t>
            </w:r>
            <w:r w:rsidR="001A3193" w:rsidRPr="008F328C">
              <w:rPr>
                <w:rFonts w:ascii="Times New Roman" w:eastAsia="맑은 고딕" w:hAnsi="Times New Roman" w:cs="Times New Roman"/>
                <w:lang w:val="pl-PL" w:eastAsia="fr-FR"/>
              </w:rPr>
              <w:t>+36 1 231 0493</w:t>
            </w:r>
          </w:p>
          <w:p w14:paraId="26A6A741" w14:textId="77777777" w:rsidR="002E5800" w:rsidRPr="008F328C" w:rsidRDefault="002E5800">
            <w:pPr>
              <w:rPr>
                <w:rFonts w:ascii="Times New Roman" w:hAnsi="Times New Roman" w:cs="Times New Roman"/>
                <w:lang w:val="en-GB" w:eastAsia="fr-FR"/>
              </w:rPr>
            </w:pPr>
          </w:p>
        </w:tc>
        <w:tc>
          <w:tcPr>
            <w:tcW w:w="2500" w:type="pct"/>
            <w:hideMark/>
          </w:tcPr>
          <w:p w14:paraId="626B1DE3" w14:textId="77777777" w:rsidR="002E5800" w:rsidRPr="008F328C" w:rsidRDefault="000E0B7C">
            <w:pPr>
              <w:tabs>
                <w:tab w:val="left" w:pos="-720"/>
              </w:tabs>
              <w:suppressAutoHyphens/>
              <w:rPr>
                <w:rFonts w:ascii="Times New Roman" w:hAnsi="Times New Roman" w:cs="Times New Roman"/>
                <w:lang w:val="de-CH" w:eastAsia="fr-FR"/>
              </w:rPr>
            </w:pPr>
            <w:r w:rsidRPr="008F328C">
              <w:rPr>
                <w:rFonts w:ascii="Times New Roman" w:eastAsia="맑은 고딕" w:hAnsi="Times New Roman" w:cs="Times New Roman"/>
                <w:b/>
                <w:lang w:val="de-CH" w:eastAsia="fr-FR"/>
              </w:rPr>
              <w:t>Luxembourg/Luxemburg</w:t>
            </w:r>
          </w:p>
          <w:p w14:paraId="42666CEC" w14:textId="77777777" w:rsidR="002E5800" w:rsidRPr="008F328C" w:rsidRDefault="000E0B7C">
            <w:pPr>
              <w:rPr>
                <w:rFonts w:ascii="Times New Roman" w:eastAsia="맑은 고딕" w:hAnsi="Times New Roman" w:cs="Times New Roman"/>
                <w:lang w:val="de-CH" w:eastAsia="fr-FR"/>
              </w:rPr>
            </w:pPr>
            <w:r w:rsidRPr="008F328C">
              <w:rPr>
                <w:rFonts w:ascii="Times New Roman" w:eastAsia="맑은 고딕" w:hAnsi="Times New Roman" w:cs="Times New Roman"/>
                <w:lang w:val="de-CH" w:eastAsia="fr-FR"/>
              </w:rPr>
              <w:t>Celltrion Healthcare Belgium BVBA</w:t>
            </w:r>
          </w:p>
          <w:p w14:paraId="6E6D834E" w14:textId="77777777" w:rsidR="002E5800" w:rsidRPr="008F328C" w:rsidRDefault="000E0B7C">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Tél/Tel: + 32 1528 7418</w:t>
            </w:r>
          </w:p>
          <w:p w14:paraId="7A5344EA" w14:textId="77777777" w:rsidR="002E5800" w:rsidRPr="008F328C" w:rsidRDefault="002E5800">
            <w:pPr>
              <w:tabs>
                <w:tab w:val="left" w:pos="-720"/>
              </w:tabs>
              <w:suppressAutoHyphens/>
              <w:rPr>
                <w:rFonts w:ascii="Times New Roman" w:eastAsia="맑은 고딕" w:hAnsi="Times New Roman" w:cs="Times New Roman"/>
                <w:lang w:val="pl-PL" w:eastAsia="ko-KR"/>
              </w:rPr>
            </w:pPr>
          </w:p>
        </w:tc>
      </w:tr>
      <w:tr w:rsidR="002E5800" w:rsidRPr="008F328C" w14:paraId="71FE3AE4" w14:textId="77777777">
        <w:tc>
          <w:tcPr>
            <w:tcW w:w="2500" w:type="pct"/>
            <w:hideMark/>
          </w:tcPr>
          <w:p w14:paraId="5B5E2020" w14:textId="77777777" w:rsidR="002E5800" w:rsidRPr="008F328C" w:rsidRDefault="000E0B7C" w:rsidP="003C52D4">
            <w:pPr>
              <w:keepNext/>
              <w:keepLines/>
              <w:tabs>
                <w:tab w:val="left" w:pos="-720"/>
              </w:tabs>
              <w:suppressAutoHyphens/>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Česká republika</w:t>
            </w:r>
          </w:p>
          <w:p w14:paraId="4FB94061" w14:textId="77777777" w:rsidR="001A3193" w:rsidRPr="008F328C" w:rsidRDefault="001A3193" w:rsidP="003C52D4">
            <w:pPr>
              <w:keepNext/>
              <w:keepLines/>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0E7AB79" w14:textId="77777777" w:rsidR="001A3193" w:rsidRPr="008F328C" w:rsidRDefault="001A3193" w:rsidP="003C52D4">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0C1BB23E" w14:textId="77777777" w:rsidR="002E5800" w:rsidRPr="008F328C" w:rsidRDefault="002E5800" w:rsidP="003C52D4">
            <w:pPr>
              <w:keepNext/>
              <w:keepLines/>
              <w:tabs>
                <w:tab w:val="left" w:pos="-720"/>
              </w:tabs>
              <w:suppressAutoHyphens/>
              <w:rPr>
                <w:rFonts w:ascii="Times New Roman" w:hAnsi="Times New Roman" w:cs="Times New Roman"/>
                <w:lang w:val="pl-PL" w:eastAsia="fr-FR"/>
              </w:rPr>
            </w:pPr>
          </w:p>
        </w:tc>
        <w:tc>
          <w:tcPr>
            <w:tcW w:w="2500" w:type="pct"/>
          </w:tcPr>
          <w:p w14:paraId="1D91B6B0" w14:textId="77777777" w:rsidR="002E5800" w:rsidRPr="008F328C" w:rsidRDefault="000E0B7C" w:rsidP="003C52D4">
            <w:pPr>
              <w:keepNext/>
              <w:keepLines/>
              <w:rPr>
                <w:rFonts w:ascii="Times New Roman" w:eastAsia="맑은 고딕" w:hAnsi="Times New Roman" w:cs="Times New Roman"/>
                <w:b/>
                <w:lang w:val="en-GB" w:eastAsia="fr-FR"/>
              </w:rPr>
            </w:pPr>
            <w:r w:rsidRPr="008F328C">
              <w:rPr>
                <w:rFonts w:ascii="Times New Roman" w:hAnsi="Times New Roman" w:cs="Times New Roman"/>
                <w:b/>
                <w:lang w:val="en-GB"/>
              </w:rPr>
              <w:t>Magyarország</w:t>
            </w:r>
          </w:p>
          <w:p w14:paraId="37E5E41E" w14:textId="77777777" w:rsidR="001A3193" w:rsidRPr="008F328C" w:rsidRDefault="001A3193" w:rsidP="003C52D4">
            <w:pPr>
              <w:keepNext/>
              <w:keepLines/>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96D265F" w14:textId="6941F1DC" w:rsidR="001A3193" w:rsidRPr="008F328C" w:rsidRDefault="001A3193" w:rsidP="003C52D4">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33B2EB6B" w14:textId="77777777" w:rsidR="002E5800" w:rsidRPr="008F328C" w:rsidRDefault="002E5800" w:rsidP="003C52D4">
            <w:pPr>
              <w:keepNext/>
              <w:keepLines/>
              <w:rPr>
                <w:rFonts w:ascii="Times New Roman" w:eastAsia="맑은 고딕" w:hAnsi="Times New Roman" w:cs="Times New Roman"/>
                <w:lang w:val="pl-PL" w:eastAsia="ko-KR"/>
              </w:rPr>
            </w:pPr>
          </w:p>
        </w:tc>
      </w:tr>
      <w:tr w:rsidR="00776F62" w:rsidRPr="008F328C" w14:paraId="67FA672C" w14:textId="77777777">
        <w:tc>
          <w:tcPr>
            <w:tcW w:w="2500" w:type="pct"/>
            <w:hideMark/>
          </w:tcPr>
          <w:p w14:paraId="164045FF" w14:textId="77777777" w:rsidR="00776F62" w:rsidRPr="00776F62" w:rsidRDefault="00776F62" w:rsidP="00776F62">
            <w:pPr>
              <w:tabs>
                <w:tab w:val="left" w:pos="-720"/>
              </w:tabs>
              <w:suppressAutoHyphens/>
              <w:rPr>
                <w:rFonts w:ascii="Times New Roman" w:hAnsi="Times New Roman" w:cs="Times New Roman"/>
                <w:b/>
                <w:bCs/>
                <w:i/>
                <w:iCs/>
                <w:noProof/>
                <w:lang w:eastAsia="fr-FR"/>
              </w:rPr>
            </w:pPr>
            <w:r w:rsidRPr="00776F62">
              <w:rPr>
                <w:rFonts w:ascii="Times New Roman" w:hAnsi="Times New Roman" w:cs="Times New Roman"/>
                <w:b/>
                <w:noProof/>
              </w:rPr>
              <w:t>Danmark</w:t>
            </w:r>
          </w:p>
          <w:p w14:paraId="3ACA15A3" w14:textId="69DAD02D" w:rsidR="00776F62" w:rsidRPr="00776F62" w:rsidRDefault="00776F62" w:rsidP="00776F62">
            <w:pPr>
              <w:tabs>
                <w:tab w:val="left" w:pos="-720"/>
              </w:tabs>
              <w:suppressAutoHyphens/>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Celltrion Healthcare Denmark ApS</w:t>
            </w:r>
          </w:p>
          <w:p w14:paraId="262405F8" w14:textId="77777777" w:rsidR="009B5C31" w:rsidRPr="00776F62" w:rsidRDefault="009B5C31" w:rsidP="009B5C31">
            <w:pPr>
              <w:tabs>
                <w:tab w:val="left" w:pos="-720"/>
              </w:tabs>
              <w:suppressAutoHyphens/>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Tlf: +</w:t>
            </w:r>
            <w:r w:rsidRPr="00776F62">
              <w:rPr>
                <w:rFonts w:ascii="Times New Roman" w:eastAsia="맑은 고딕" w:hAnsi="Times New Roman" w:cs="Times New Roman"/>
                <w:noProof/>
                <w:lang w:eastAsia="ko-KR"/>
              </w:rPr>
              <w:t>45 35352989</w:t>
            </w:r>
          </w:p>
          <w:p w14:paraId="3527A9A0" w14:textId="2CBB9B0C" w:rsidR="00776F62" w:rsidRPr="00776F62" w:rsidRDefault="00776F62" w:rsidP="00776F62">
            <w:pPr>
              <w:tabs>
                <w:tab w:val="left" w:pos="-720"/>
              </w:tabs>
              <w:suppressAutoHyphens/>
              <w:rPr>
                <w:rFonts w:ascii="Times New Roman" w:eastAsia="맑은 고딕" w:hAnsi="Times New Roman" w:cs="Times New Roman"/>
                <w:noProof/>
                <w:lang w:eastAsia="fr-FR"/>
              </w:rPr>
            </w:pPr>
            <w:r w:rsidRPr="00776F62">
              <w:rPr>
                <w:rStyle w:val="ad"/>
                <w:rFonts w:ascii="Times New Roman" w:eastAsia="맑은 고딕" w:hAnsi="Times New Roman" w:cs="Times New Roman"/>
                <w:noProof/>
                <w:lang w:eastAsia="ko-KR"/>
              </w:rPr>
              <w:t>Contact_dk@celltrionhc.com</w:t>
            </w:r>
          </w:p>
          <w:p w14:paraId="385F1193" w14:textId="18B5EC8B" w:rsidR="00776F62" w:rsidRPr="00776F62" w:rsidRDefault="00776F62" w:rsidP="00776F62">
            <w:pPr>
              <w:tabs>
                <w:tab w:val="left" w:pos="-720"/>
              </w:tabs>
              <w:suppressAutoHyphens/>
              <w:rPr>
                <w:rFonts w:ascii="Times New Roman" w:eastAsia="맑은 고딕" w:hAnsi="Times New Roman" w:cs="Times New Roman"/>
                <w:lang w:val="pl-PL" w:eastAsia="fr-FR"/>
              </w:rPr>
            </w:pPr>
          </w:p>
        </w:tc>
        <w:tc>
          <w:tcPr>
            <w:tcW w:w="2500" w:type="pct"/>
          </w:tcPr>
          <w:p w14:paraId="4DA324F5" w14:textId="77777777" w:rsidR="00776F62" w:rsidRPr="00776F62" w:rsidRDefault="00776F62" w:rsidP="00776F62">
            <w:pPr>
              <w:rPr>
                <w:rFonts w:ascii="Times New Roman" w:hAnsi="Times New Roman" w:cs="Times New Roman"/>
                <w:noProof/>
                <w:lang w:eastAsia="fr-FR"/>
              </w:rPr>
            </w:pPr>
            <w:r w:rsidRPr="00776F62">
              <w:rPr>
                <w:rFonts w:ascii="Times New Roman" w:eastAsia="맑은 고딕" w:hAnsi="Times New Roman" w:cs="Times New Roman"/>
                <w:b/>
                <w:noProof/>
                <w:lang w:eastAsia="fr-FR"/>
              </w:rPr>
              <w:t>Malta</w:t>
            </w:r>
          </w:p>
          <w:p w14:paraId="06CDAFF0" w14:textId="77777777" w:rsidR="00776F62" w:rsidRPr="00776F62" w:rsidRDefault="00776F62" w:rsidP="00776F62">
            <w:pPr>
              <w:tabs>
                <w:tab w:val="left" w:pos="-720"/>
              </w:tabs>
              <w:suppressAutoHyphens/>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Mint Health Ltd.</w:t>
            </w:r>
          </w:p>
          <w:p w14:paraId="4B7F26A5" w14:textId="3437E28B" w:rsidR="00776F62" w:rsidRPr="00776F62" w:rsidRDefault="00776F62" w:rsidP="00494296">
            <w:pPr>
              <w:rPr>
                <w:rFonts w:ascii="Times New Roman" w:eastAsia="맑은 고딕" w:hAnsi="Times New Roman" w:cs="Times New Roman"/>
                <w:lang w:val="en-GB" w:eastAsia="ko-KR"/>
              </w:rPr>
            </w:pPr>
            <w:r w:rsidRPr="00776F62">
              <w:rPr>
                <w:rFonts w:ascii="Times New Roman" w:eastAsia="맑은 고딕" w:hAnsi="Times New Roman" w:cs="Times New Roman"/>
                <w:noProof/>
                <w:lang w:eastAsia="fr-FR"/>
              </w:rPr>
              <w:t>Tel: +356 2093 9800</w:t>
            </w:r>
          </w:p>
        </w:tc>
      </w:tr>
      <w:tr w:rsidR="00776F62" w:rsidRPr="008F328C" w14:paraId="4B70F5F7" w14:textId="77777777">
        <w:tc>
          <w:tcPr>
            <w:tcW w:w="2500" w:type="pct"/>
            <w:hideMark/>
          </w:tcPr>
          <w:p w14:paraId="75DBAA48" w14:textId="77777777" w:rsidR="00776F62" w:rsidRPr="00776F62" w:rsidRDefault="00776F62" w:rsidP="00776F62">
            <w:pPr>
              <w:rPr>
                <w:rFonts w:ascii="Times New Roman" w:hAnsi="Times New Roman" w:cs="Times New Roman"/>
                <w:b/>
                <w:noProof/>
                <w:lang w:eastAsia="fr-FR"/>
              </w:rPr>
            </w:pPr>
            <w:r w:rsidRPr="00776F62">
              <w:rPr>
                <w:rFonts w:ascii="Times New Roman" w:eastAsia="맑은 고딕" w:hAnsi="Times New Roman" w:cs="Times New Roman"/>
                <w:b/>
                <w:noProof/>
                <w:lang w:eastAsia="fr-FR"/>
              </w:rPr>
              <w:t>Deutschland</w:t>
            </w:r>
          </w:p>
          <w:p w14:paraId="072091D5" w14:textId="77777777" w:rsidR="00776F62" w:rsidRPr="00776F62" w:rsidRDefault="00776F62" w:rsidP="00776F62">
            <w:pPr>
              <w:rPr>
                <w:rFonts w:ascii="Times New Roman" w:hAnsi="Times New Roman" w:cs="Times New Roman"/>
                <w:noProof/>
                <w:lang w:eastAsia="ko-KR"/>
              </w:rPr>
            </w:pPr>
            <w:r w:rsidRPr="00776F62">
              <w:rPr>
                <w:rFonts w:ascii="Times New Roman" w:hAnsi="Times New Roman" w:cs="Times New Roman"/>
                <w:noProof/>
                <w:lang w:eastAsia="ko-KR"/>
              </w:rPr>
              <w:t xml:space="preserve">Celltrion Healthcare Deutschland </w:t>
            </w:r>
            <w:r w:rsidRPr="00776F62">
              <w:rPr>
                <w:rFonts w:ascii="Times New Roman" w:eastAsia="바탕" w:hAnsi="Times New Roman" w:cs="Times New Roman"/>
                <w:noProof/>
                <w:lang w:eastAsia="ko-KR"/>
              </w:rPr>
              <w:t>GmbH</w:t>
            </w:r>
          </w:p>
          <w:p w14:paraId="07874DA8" w14:textId="04DBD16A" w:rsidR="00776F62" w:rsidRPr="00776F62" w:rsidRDefault="00776F62" w:rsidP="00776F62">
            <w:pPr>
              <w:tabs>
                <w:tab w:val="left" w:pos="-720"/>
              </w:tabs>
              <w:suppressAutoHyphens/>
              <w:rPr>
                <w:rFonts w:ascii="Times New Roman" w:hAnsi="Times New Roman" w:cs="Times New Roman"/>
                <w:noProof/>
                <w:lang w:eastAsia="ko-KR"/>
              </w:rPr>
            </w:pPr>
            <w:r w:rsidRPr="00776F62">
              <w:rPr>
                <w:rFonts w:ascii="Times New Roman" w:hAnsi="Times New Roman" w:cs="Times New Roman"/>
                <w:noProof/>
                <w:lang w:eastAsia="ko-KR"/>
              </w:rPr>
              <w:t>T</w:t>
            </w:r>
            <w:r w:rsidR="00B312EE">
              <w:rPr>
                <w:rFonts w:ascii="Times New Roman" w:hAnsi="Times New Roman" w:cs="Times New Roman" w:hint="eastAsia"/>
                <w:noProof/>
                <w:lang w:eastAsia="ko-KR"/>
              </w:rPr>
              <w:t>e</w:t>
            </w:r>
            <w:r w:rsidRPr="00776F62">
              <w:rPr>
                <w:rFonts w:ascii="Times New Roman" w:hAnsi="Times New Roman" w:cs="Times New Roman"/>
                <w:noProof/>
                <w:lang w:eastAsia="ko-KR"/>
              </w:rPr>
              <w:t>l.: +49 (0)30 346494150</w:t>
            </w:r>
          </w:p>
          <w:p w14:paraId="6CBADF20" w14:textId="77777777" w:rsidR="00776F62" w:rsidRPr="00776F62" w:rsidRDefault="00776F62" w:rsidP="00776F62">
            <w:pPr>
              <w:tabs>
                <w:tab w:val="left" w:pos="-720"/>
              </w:tabs>
              <w:suppressAutoHyphens/>
              <w:rPr>
                <w:rFonts w:ascii="Times New Roman" w:eastAsia="맑은 고딕" w:hAnsi="Times New Roman" w:cs="Times New Roman"/>
                <w:noProof/>
                <w:lang w:eastAsia="ko-KR"/>
              </w:rPr>
            </w:pPr>
            <w:hyperlink r:id="rId73" w:history="1">
              <w:r w:rsidRPr="00776F62">
                <w:rPr>
                  <w:rStyle w:val="ad"/>
                  <w:rFonts w:ascii="Times New Roman" w:eastAsia="맑은 고딕" w:hAnsi="Times New Roman" w:cs="Times New Roman"/>
                  <w:noProof/>
                  <w:lang w:eastAsia="ko-KR"/>
                </w:rPr>
                <w:t>infoDE@celltrionhc.com</w:t>
              </w:r>
            </w:hyperlink>
          </w:p>
          <w:p w14:paraId="580EB833" w14:textId="77777777" w:rsidR="00776F62" w:rsidRPr="00776F62" w:rsidRDefault="00776F62" w:rsidP="00776F62">
            <w:pPr>
              <w:tabs>
                <w:tab w:val="left" w:pos="-720"/>
              </w:tabs>
              <w:suppressAutoHyphens/>
              <w:rPr>
                <w:rFonts w:ascii="Times New Roman" w:eastAsia="맑은 고딕" w:hAnsi="Times New Roman" w:cs="Times New Roman"/>
                <w:noProof/>
                <w:lang w:eastAsia="ko-KR"/>
              </w:rPr>
            </w:pPr>
          </w:p>
          <w:p w14:paraId="7B522D8B" w14:textId="77777777" w:rsidR="00776F62" w:rsidRPr="00776F62" w:rsidRDefault="00776F62" w:rsidP="00776F62">
            <w:pPr>
              <w:tabs>
                <w:tab w:val="left" w:pos="-720"/>
              </w:tabs>
              <w:suppressAutoHyphens/>
              <w:rPr>
                <w:rFonts w:ascii="Times New Roman" w:eastAsia="맑은 고딕" w:hAnsi="Times New Roman" w:cs="Times New Roman"/>
                <w:lang w:val="pl-PL" w:eastAsia="fr-FR"/>
              </w:rPr>
            </w:pPr>
          </w:p>
        </w:tc>
        <w:tc>
          <w:tcPr>
            <w:tcW w:w="2500" w:type="pct"/>
          </w:tcPr>
          <w:p w14:paraId="47BD53D2" w14:textId="77777777" w:rsidR="00776F62" w:rsidRPr="00776F62" w:rsidRDefault="00776F62" w:rsidP="00776F62">
            <w:pPr>
              <w:rPr>
                <w:rFonts w:ascii="Times New Roman" w:hAnsi="Times New Roman" w:cs="Times New Roman"/>
                <w:noProof/>
                <w:lang w:eastAsia="fr-FR"/>
              </w:rPr>
            </w:pPr>
            <w:r w:rsidRPr="00776F62">
              <w:rPr>
                <w:rFonts w:ascii="Times New Roman" w:eastAsia="맑은 고딕" w:hAnsi="Times New Roman" w:cs="Times New Roman"/>
                <w:b/>
                <w:noProof/>
                <w:lang w:eastAsia="fr-FR"/>
              </w:rPr>
              <w:t>Nederland</w:t>
            </w:r>
          </w:p>
          <w:p w14:paraId="45456A38" w14:textId="77777777" w:rsidR="00776F62" w:rsidRPr="00776F62" w:rsidRDefault="00776F62" w:rsidP="00776F62">
            <w:pPr>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Celltrion Healthcare Netherlands B.V.</w:t>
            </w:r>
          </w:p>
          <w:p w14:paraId="1308B266" w14:textId="77777777" w:rsidR="00776F62" w:rsidRPr="00776F62" w:rsidRDefault="00776F62" w:rsidP="00776F62">
            <w:pPr>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Tel: + 31 20 888 7300</w:t>
            </w:r>
          </w:p>
          <w:p w14:paraId="0238786F" w14:textId="77777777" w:rsidR="00776F62" w:rsidRPr="00776F62" w:rsidRDefault="00776F62" w:rsidP="00776F62">
            <w:pPr>
              <w:rPr>
                <w:rFonts w:ascii="Times New Roman" w:eastAsia="맑은 고딕" w:hAnsi="Times New Roman" w:cs="Times New Roman"/>
                <w:lang w:val="pl-PL" w:eastAsia="fr-FR"/>
              </w:rPr>
            </w:pPr>
          </w:p>
        </w:tc>
      </w:tr>
      <w:tr w:rsidR="00776F62" w:rsidRPr="008F328C" w14:paraId="106598FD" w14:textId="77777777">
        <w:tc>
          <w:tcPr>
            <w:tcW w:w="2500" w:type="pct"/>
            <w:hideMark/>
          </w:tcPr>
          <w:p w14:paraId="4FB0B48B" w14:textId="77777777" w:rsidR="00776F62" w:rsidRPr="00776F62" w:rsidRDefault="00776F62" w:rsidP="00776F62">
            <w:pPr>
              <w:tabs>
                <w:tab w:val="left" w:pos="-720"/>
                <w:tab w:val="left" w:pos="4536"/>
              </w:tabs>
              <w:suppressAutoHyphens/>
              <w:rPr>
                <w:rFonts w:ascii="Times New Roman" w:hAnsi="Times New Roman" w:cs="Times New Roman"/>
                <w:b/>
                <w:noProof/>
                <w:lang w:val="en-GB" w:eastAsia="fr-FR"/>
              </w:rPr>
            </w:pPr>
            <w:r w:rsidRPr="00776F62">
              <w:rPr>
                <w:rFonts w:ascii="Times New Roman" w:eastAsia="맑은 고딕" w:hAnsi="Times New Roman" w:cs="Times New Roman"/>
                <w:b/>
                <w:noProof/>
                <w:lang w:val="en-GB" w:eastAsia="fr-FR"/>
              </w:rPr>
              <w:t>Eesti</w:t>
            </w:r>
          </w:p>
          <w:p w14:paraId="490B08E5" w14:textId="77777777" w:rsidR="00776F62" w:rsidRPr="00776F62" w:rsidRDefault="00776F62" w:rsidP="00776F62">
            <w:pPr>
              <w:rPr>
                <w:rFonts w:ascii="Times New Roman" w:eastAsia="맑은 고딕" w:hAnsi="Times New Roman" w:cs="Times New Roman"/>
                <w:noProof/>
                <w:lang w:val="en-GB" w:eastAsia="fr-FR"/>
              </w:rPr>
            </w:pPr>
            <w:r w:rsidRPr="00776F62">
              <w:rPr>
                <w:rFonts w:ascii="Times New Roman" w:eastAsia="맑은 고딕" w:hAnsi="Times New Roman" w:cs="Times New Roman"/>
                <w:noProof/>
                <w:lang w:val="en-GB" w:eastAsia="fr-FR"/>
              </w:rPr>
              <w:t>Celltrion Healthcare Hungary Kft.</w:t>
            </w:r>
          </w:p>
          <w:p w14:paraId="47610F35" w14:textId="77777777" w:rsidR="00776F62" w:rsidRPr="00776F62" w:rsidRDefault="00776F62" w:rsidP="00776F62">
            <w:pPr>
              <w:tabs>
                <w:tab w:val="left" w:pos="-720"/>
              </w:tabs>
              <w:suppressAutoHyphens/>
              <w:rPr>
                <w:rFonts w:ascii="Times New Roman" w:eastAsia="맑은 고딕" w:hAnsi="Times New Roman" w:cs="Times New Roman"/>
                <w:noProof/>
                <w:lang w:val="fi-FI" w:eastAsia="fr-FR"/>
              </w:rPr>
            </w:pPr>
            <w:r w:rsidRPr="00776F62">
              <w:rPr>
                <w:rFonts w:ascii="Times New Roman" w:eastAsia="맑은 고딕" w:hAnsi="Times New Roman" w:cs="Times New Roman"/>
                <w:noProof/>
                <w:lang w:eastAsia="fr-FR"/>
              </w:rPr>
              <w:t xml:space="preserve">Tel: </w:t>
            </w:r>
            <w:r w:rsidRPr="00776F62">
              <w:rPr>
                <w:rFonts w:ascii="Times New Roman" w:eastAsia="맑은 고딕" w:hAnsi="Times New Roman" w:cs="Times New Roman"/>
                <w:noProof/>
                <w:lang w:val="fi-FI" w:eastAsia="fr-FR"/>
              </w:rPr>
              <w:t>+36 1 231 0493</w:t>
            </w:r>
          </w:p>
          <w:p w14:paraId="10409DB8" w14:textId="77777777" w:rsidR="00776F62" w:rsidRPr="00776F62" w:rsidRDefault="00776F62" w:rsidP="00776F62">
            <w:pPr>
              <w:tabs>
                <w:tab w:val="left" w:pos="-720"/>
              </w:tabs>
              <w:suppressAutoHyphens/>
              <w:rPr>
                <w:rFonts w:ascii="Times New Roman" w:eastAsia="맑은 고딕" w:hAnsi="Times New Roman" w:cs="Times New Roman"/>
                <w:lang w:val="pl-PL" w:eastAsia="ko-KR"/>
              </w:rPr>
            </w:pPr>
          </w:p>
        </w:tc>
        <w:tc>
          <w:tcPr>
            <w:tcW w:w="2500" w:type="pct"/>
          </w:tcPr>
          <w:p w14:paraId="7191522C" w14:textId="77777777" w:rsidR="00776F62" w:rsidRPr="00776F62" w:rsidRDefault="00776F62" w:rsidP="00776F62">
            <w:pPr>
              <w:tabs>
                <w:tab w:val="left" w:pos="-720"/>
              </w:tabs>
              <w:suppressAutoHyphens/>
              <w:rPr>
                <w:rFonts w:ascii="Times New Roman" w:hAnsi="Times New Roman" w:cs="Times New Roman"/>
                <w:noProof/>
                <w:lang w:eastAsia="fr-FR"/>
              </w:rPr>
            </w:pPr>
            <w:r w:rsidRPr="00776F62">
              <w:rPr>
                <w:rFonts w:ascii="Times New Roman" w:eastAsia="맑은 고딕" w:hAnsi="Times New Roman" w:cs="Times New Roman"/>
                <w:b/>
                <w:noProof/>
                <w:lang w:eastAsia="fr-FR"/>
              </w:rPr>
              <w:t>Norge</w:t>
            </w:r>
          </w:p>
          <w:p w14:paraId="6F0A4DBB" w14:textId="33AC3943" w:rsidR="00776F62" w:rsidRPr="00776F62" w:rsidRDefault="00776F62" w:rsidP="00776F62">
            <w:pPr>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 xml:space="preserve">Celltrion Healthcare </w:t>
            </w:r>
            <w:r w:rsidRPr="00776F62">
              <w:rPr>
                <w:rFonts w:ascii="Times New Roman" w:eastAsia="맑은 고딕" w:hAnsi="Times New Roman" w:cs="Times New Roman"/>
                <w:noProof/>
                <w:lang w:eastAsia="ko-KR"/>
              </w:rPr>
              <w:t>Norway AS</w:t>
            </w:r>
          </w:p>
          <w:p w14:paraId="23D4D2E9" w14:textId="187BC086" w:rsidR="00776F62" w:rsidRPr="00776F62" w:rsidRDefault="00776F62" w:rsidP="00776F62">
            <w:pPr>
              <w:tabs>
                <w:tab w:val="left" w:pos="-720"/>
              </w:tabs>
              <w:suppressAutoHyphens/>
              <w:rPr>
                <w:rStyle w:val="ad"/>
                <w:rFonts w:ascii="Times New Roman" w:hAnsi="Times New Roman" w:cs="Times New Roman"/>
                <w:lang w:eastAsia="ko-KR"/>
              </w:rPr>
            </w:pPr>
            <w:hyperlink r:id="rId74" w:history="1">
              <w:r w:rsidRPr="00776F62">
                <w:rPr>
                  <w:rStyle w:val="ad"/>
                  <w:rFonts w:ascii="Times New Roman" w:eastAsia="맑은 고딕" w:hAnsi="Times New Roman" w:cs="Times New Roman"/>
                  <w:noProof/>
                  <w:lang w:eastAsia="ko-KR"/>
                </w:rPr>
                <w:t>Contact_no@celltrionhc.com</w:t>
              </w:r>
            </w:hyperlink>
          </w:p>
          <w:p w14:paraId="216A91BC" w14:textId="77777777" w:rsidR="00776F62" w:rsidRPr="00776F62" w:rsidRDefault="00776F62" w:rsidP="00776F62">
            <w:pPr>
              <w:tabs>
                <w:tab w:val="left" w:pos="-720"/>
              </w:tabs>
              <w:suppressAutoHyphens/>
              <w:rPr>
                <w:rFonts w:ascii="Times New Roman" w:eastAsia="맑은 고딕" w:hAnsi="Times New Roman" w:cs="Times New Roman"/>
                <w:lang w:val="pl-PL" w:eastAsia="ko-KR"/>
              </w:rPr>
            </w:pPr>
          </w:p>
        </w:tc>
      </w:tr>
      <w:tr w:rsidR="002E5800" w:rsidRPr="008F328C" w14:paraId="073ED300" w14:textId="77777777">
        <w:tc>
          <w:tcPr>
            <w:tcW w:w="2500" w:type="pct"/>
            <w:hideMark/>
          </w:tcPr>
          <w:p w14:paraId="24AAE486" w14:textId="77777777" w:rsidR="002E5800" w:rsidRPr="008F328C" w:rsidRDefault="000E0B7C">
            <w:pPr>
              <w:rPr>
                <w:rFonts w:ascii="Times New Roman" w:hAnsi="Times New Roman" w:cs="Times New Roman"/>
                <w:lang w:val="es-ES" w:eastAsia="fr-FR"/>
              </w:rPr>
            </w:pPr>
            <w:r w:rsidRPr="008F328C">
              <w:rPr>
                <w:rFonts w:ascii="Times New Roman" w:hAnsi="Times New Roman" w:cs="Times New Roman"/>
                <w:b/>
                <w:lang w:val="es-ES"/>
              </w:rPr>
              <w:t>España</w:t>
            </w:r>
          </w:p>
          <w:p w14:paraId="4B0DAE83" w14:textId="77777777" w:rsidR="002E5800" w:rsidRPr="008F328C" w:rsidRDefault="000E0B7C">
            <w:pPr>
              <w:rPr>
                <w:rFonts w:ascii="Times New Roman" w:eastAsia="맑은 고딕" w:hAnsi="Times New Roman" w:cs="Times New Roman"/>
                <w:lang w:val="es-ES" w:eastAsia="fr-FR"/>
              </w:rPr>
            </w:pPr>
            <w:r w:rsidRPr="008F328C">
              <w:rPr>
                <w:rFonts w:ascii="Times New Roman" w:eastAsia="맑은 고딕" w:hAnsi="Times New Roman" w:cs="Times New Roman"/>
                <w:lang w:val="es-ES" w:eastAsia="fr-FR"/>
              </w:rPr>
              <w:t>Kern Pharma, S.L.</w:t>
            </w:r>
          </w:p>
          <w:p w14:paraId="66ECBC84"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+34 93 700 2525</w:t>
            </w:r>
          </w:p>
          <w:p w14:paraId="2309077F" w14:textId="77777777" w:rsidR="002E5800" w:rsidRPr="008F328C" w:rsidRDefault="002E5800">
            <w:pPr>
              <w:rPr>
                <w:rFonts w:ascii="Times New Roman" w:hAnsi="Times New Roman" w:cs="Times New Roman"/>
                <w:b/>
                <w:lang w:val="pl-PL" w:eastAsia="fr-FR"/>
              </w:rPr>
            </w:pPr>
          </w:p>
        </w:tc>
        <w:tc>
          <w:tcPr>
            <w:tcW w:w="2500" w:type="pct"/>
          </w:tcPr>
          <w:p w14:paraId="2C714A10" w14:textId="77777777" w:rsidR="002E5800" w:rsidRPr="008F328C" w:rsidRDefault="000E0B7C">
            <w:pPr>
              <w:rPr>
                <w:rFonts w:ascii="Times New Roman" w:hAnsi="Times New Roman" w:cs="Times New Roman"/>
                <w:lang w:val="de-DE" w:eastAsia="fr-FR"/>
              </w:rPr>
            </w:pPr>
            <w:r w:rsidRPr="008F328C">
              <w:rPr>
                <w:rFonts w:ascii="Times New Roman" w:hAnsi="Times New Roman" w:cs="Times New Roman"/>
                <w:b/>
                <w:lang w:val="de-DE"/>
              </w:rPr>
              <w:t>Österreich</w:t>
            </w:r>
          </w:p>
          <w:p w14:paraId="113300C3" w14:textId="77777777" w:rsidR="002E5800" w:rsidRPr="008F328C" w:rsidRDefault="000E0B7C">
            <w:pPr>
              <w:rPr>
                <w:rFonts w:ascii="Times New Roman" w:eastAsia="맑은 고딕" w:hAnsi="Times New Roman" w:cs="Times New Roman"/>
                <w:lang w:val="de-DE" w:eastAsia="ko-KR"/>
              </w:rPr>
            </w:pPr>
            <w:r w:rsidRPr="008F328C">
              <w:rPr>
                <w:rFonts w:ascii="Times New Roman" w:eastAsia="맑은 고딕" w:hAnsi="Times New Roman" w:cs="Times New Roman"/>
                <w:lang w:val="de-DE" w:eastAsia="fr-FR"/>
              </w:rPr>
              <w:t>Astro-Pharma GmbH</w:t>
            </w:r>
          </w:p>
          <w:p w14:paraId="6CB0EE1D" w14:textId="77777777" w:rsidR="002E5800" w:rsidRPr="008F328C" w:rsidRDefault="000E0B7C">
            <w:pPr>
              <w:tabs>
                <w:tab w:val="left" w:pos="-720"/>
              </w:tabs>
              <w:suppressAutoHyphens/>
              <w:rPr>
                <w:rFonts w:ascii="Times New Roman" w:eastAsia="맑은 고딕" w:hAnsi="Times New Roman" w:cs="Times New Roman"/>
                <w:lang w:val="de-DE" w:eastAsia="fr-FR"/>
              </w:rPr>
            </w:pPr>
            <w:r w:rsidRPr="008F328C">
              <w:rPr>
                <w:rFonts w:ascii="Times New Roman" w:eastAsia="맑은 고딕" w:hAnsi="Times New Roman" w:cs="Times New Roman"/>
                <w:lang w:val="de-DE" w:eastAsia="fr-FR"/>
              </w:rPr>
              <w:t>Tel: +43 1 97 99 860</w:t>
            </w:r>
          </w:p>
          <w:p w14:paraId="5AABADFE" w14:textId="77777777" w:rsidR="002E5800" w:rsidRPr="008F328C" w:rsidRDefault="002E5800">
            <w:pPr>
              <w:tabs>
                <w:tab w:val="left" w:pos="-720"/>
              </w:tabs>
              <w:suppressAutoHyphens/>
              <w:rPr>
                <w:rFonts w:ascii="Times New Roman" w:hAnsi="Times New Roman" w:cs="Times New Roman"/>
                <w:lang w:val="de-DE" w:eastAsia="fr-FR"/>
              </w:rPr>
            </w:pPr>
          </w:p>
        </w:tc>
      </w:tr>
      <w:tr w:rsidR="002E5800" w:rsidRPr="008F328C" w14:paraId="648E4E31" w14:textId="77777777">
        <w:tc>
          <w:tcPr>
            <w:tcW w:w="2500" w:type="pct"/>
          </w:tcPr>
          <w:p w14:paraId="103165CB" w14:textId="77777777" w:rsidR="002E5800" w:rsidRPr="008F328C" w:rsidRDefault="000E0B7C">
            <w:pPr>
              <w:rPr>
                <w:rFonts w:ascii="Times New Roman" w:hAnsi="Times New Roman" w:cs="Times New Roman"/>
                <w:b/>
                <w:lang w:val="el-GR" w:eastAsia="fr-FR"/>
              </w:rPr>
            </w:pPr>
            <w:r w:rsidRPr="008F328C">
              <w:rPr>
                <w:rFonts w:ascii="Times New Roman" w:hAnsi="Times New Roman" w:cs="Times New Roman"/>
                <w:b/>
                <w:lang w:val="el-GR" w:eastAsia="fr-FR"/>
              </w:rPr>
              <w:t>Ελλάδα</w:t>
            </w:r>
          </w:p>
          <w:p w14:paraId="521AD877" w14:textId="77777777" w:rsidR="002E5800" w:rsidRPr="008F328C" w:rsidRDefault="000E0B7C">
            <w:pPr>
              <w:rPr>
                <w:rFonts w:ascii="Times New Roman" w:hAnsi="Times New Roman" w:cs="Times New Roman"/>
                <w:lang w:val="el-GR" w:eastAsia="fr-FR"/>
              </w:rPr>
            </w:pPr>
            <w:r w:rsidRPr="008F328C">
              <w:rPr>
                <w:rFonts w:ascii="Times New Roman" w:hAnsi="Times New Roman" w:cs="Times New Roman"/>
                <w:lang w:val="el-GR" w:eastAsia="fr-FR"/>
              </w:rPr>
              <w:t>ΒΙΑΝΕΞ Α.Ε.</w:t>
            </w:r>
          </w:p>
          <w:p w14:paraId="6AEF1E27" w14:textId="389F1004" w:rsidR="002E5800" w:rsidRPr="008F328C" w:rsidRDefault="000E0B7C">
            <w:pPr>
              <w:rPr>
                <w:rFonts w:ascii="Times New Roman" w:hAnsi="Times New Roman" w:cs="Times New Roman"/>
                <w:lang w:val="el-GR" w:eastAsia="fr-FR"/>
              </w:rPr>
            </w:pPr>
            <w:r w:rsidRPr="008F328C">
              <w:rPr>
                <w:rFonts w:ascii="Times New Roman" w:hAnsi="Times New Roman" w:cs="Times New Roman"/>
                <w:lang w:val="el-GR" w:eastAsia="fr-FR"/>
              </w:rPr>
              <w:t>Τηλ: +30 210 8009111</w:t>
            </w:r>
          </w:p>
          <w:p w14:paraId="72649E99" w14:textId="77777777" w:rsidR="002E5800" w:rsidRPr="008F328C" w:rsidRDefault="002E5800">
            <w:pPr>
              <w:rPr>
                <w:rFonts w:ascii="Times New Roman" w:eastAsia="맑은 고딕" w:hAnsi="Times New Roman" w:cs="Times New Roman"/>
                <w:lang w:val="el-GR" w:eastAsia="fr-FR"/>
              </w:rPr>
            </w:pPr>
          </w:p>
        </w:tc>
        <w:tc>
          <w:tcPr>
            <w:tcW w:w="2500" w:type="pct"/>
          </w:tcPr>
          <w:p w14:paraId="19254B18" w14:textId="77777777" w:rsidR="002E5800" w:rsidRPr="008F328C" w:rsidRDefault="000E0B7C">
            <w:pPr>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Polska</w:t>
            </w:r>
          </w:p>
          <w:p w14:paraId="4828E951"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48B953A" w14:textId="0FBACB1E" w:rsidR="001A3193" w:rsidRPr="008F328C" w:rsidRDefault="001A3193"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w:t>
            </w:r>
            <w:r w:rsidR="00DD23F6" w:rsidRPr="008F328C">
              <w:rPr>
                <w:rFonts w:ascii="Times New Roman" w:eastAsia="맑은 고딕" w:hAnsi="Times New Roman" w:cs="Times New Roman"/>
                <w:lang w:val="pl-PL" w:eastAsia="fr-FR"/>
              </w:rPr>
              <w:t>.</w:t>
            </w:r>
            <w:r w:rsidRPr="008F328C">
              <w:rPr>
                <w:rFonts w:ascii="Times New Roman" w:eastAsia="맑은 고딕" w:hAnsi="Times New Roman" w:cs="Times New Roman"/>
                <w:lang w:val="pl-PL" w:eastAsia="fr-FR"/>
              </w:rPr>
              <w:t>: +36 1 231 0493</w:t>
            </w:r>
          </w:p>
          <w:p w14:paraId="67B9F8E5" w14:textId="77777777" w:rsidR="002E5800" w:rsidRPr="008F328C" w:rsidRDefault="002E5800">
            <w:pPr>
              <w:rPr>
                <w:rFonts w:ascii="Times New Roman" w:hAnsi="Times New Roman" w:cs="Times New Roman"/>
                <w:b/>
                <w:lang w:val="pl-PL"/>
              </w:rPr>
            </w:pPr>
          </w:p>
        </w:tc>
      </w:tr>
      <w:tr w:rsidR="002E5800" w:rsidRPr="00A5286D" w14:paraId="10F422B3" w14:textId="77777777">
        <w:tc>
          <w:tcPr>
            <w:tcW w:w="2500" w:type="pct"/>
          </w:tcPr>
          <w:p w14:paraId="425AA84F" w14:textId="77777777" w:rsidR="002E5800" w:rsidRPr="008F328C" w:rsidRDefault="000E0B7C">
            <w:pPr>
              <w:rPr>
                <w:rFonts w:ascii="Times New Roman" w:hAnsi="Times New Roman" w:cs="Times New Roman"/>
                <w:b/>
                <w:lang w:val="en-GB" w:eastAsia="ko-KR"/>
              </w:rPr>
            </w:pPr>
            <w:r w:rsidRPr="008F328C">
              <w:rPr>
                <w:rFonts w:ascii="Times New Roman" w:hAnsi="Times New Roman" w:cs="Times New Roman"/>
                <w:b/>
                <w:lang w:val="en-GB" w:eastAsia="ko-KR"/>
              </w:rPr>
              <w:t>France</w:t>
            </w:r>
          </w:p>
          <w:p w14:paraId="2AF7B7DE" w14:textId="1340F880" w:rsidR="002E5800" w:rsidRPr="008F328C" w:rsidRDefault="007F4EDB">
            <w:pPr>
              <w:rPr>
                <w:rFonts w:ascii="Times New Roman" w:hAnsi="Times New Roman" w:cs="Times New Roman"/>
                <w:lang w:val="en-GB" w:eastAsia="ko-KR"/>
              </w:rPr>
            </w:pPr>
            <w:r w:rsidRPr="008F328C">
              <w:rPr>
                <w:rFonts w:ascii="Times New Roman" w:hAnsi="Times New Roman" w:cs="Times New Roman"/>
                <w:lang w:val="en-GB" w:eastAsia="ko-KR"/>
              </w:rPr>
              <w:t>Celltrion Healthcare France SAS</w:t>
            </w:r>
          </w:p>
          <w:p w14:paraId="7C5578F7" w14:textId="77777777" w:rsidR="002E5800" w:rsidRPr="008F328C" w:rsidRDefault="000E0B7C">
            <w:pPr>
              <w:rPr>
                <w:rFonts w:ascii="Times New Roman" w:eastAsia="맑은 고딕" w:hAnsi="Times New Roman" w:cs="Times New Roman"/>
                <w:lang w:val="en-GB" w:eastAsia="ko-KR"/>
              </w:rPr>
            </w:pPr>
            <w:r w:rsidRPr="008F328C">
              <w:rPr>
                <w:rFonts w:ascii="Times New Roman" w:hAnsi="Times New Roman" w:cs="Times New Roman"/>
                <w:lang w:val="en-GB" w:eastAsia="ko-KR"/>
              </w:rPr>
              <w:t>T</w:t>
            </w:r>
            <w:r w:rsidRPr="008F328C">
              <w:rPr>
                <w:rFonts w:ascii="Times New Roman" w:hAnsi="Times New Roman" w:cs="Times New Roman"/>
                <w:lang w:val="en-GB"/>
              </w:rPr>
              <w:t>é</w:t>
            </w:r>
            <w:r w:rsidRPr="008F328C">
              <w:rPr>
                <w:rFonts w:ascii="Times New Roman" w:hAnsi="Times New Roman" w:cs="Times New Roman"/>
                <w:lang w:val="en-GB" w:eastAsia="ko-KR"/>
              </w:rPr>
              <w:t>l.: +33 (0)1 71 25 27 00</w:t>
            </w:r>
          </w:p>
          <w:p w14:paraId="760E9A35" w14:textId="77777777" w:rsidR="002E5800" w:rsidRPr="008F328C" w:rsidRDefault="002E5800">
            <w:pPr>
              <w:rPr>
                <w:rFonts w:ascii="Times New Roman" w:eastAsia="맑은 고딕" w:hAnsi="Times New Roman" w:cs="Times New Roman"/>
                <w:lang w:val="en-GB" w:eastAsia="fr-FR"/>
              </w:rPr>
            </w:pPr>
          </w:p>
        </w:tc>
        <w:tc>
          <w:tcPr>
            <w:tcW w:w="2500" w:type="pct"/>
          </w:tcPr>
          <w:p w14:paraId="2FFC5FA8" w14:textId="77777777" w:rsidR="00FA20FC" w:rsidRPr="002F72A3" w:rsidRDefault="00FA20FC" w:rsidP="00FA20F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FEE8944" w14:textId="42F9B438" w:rsidR="00FA20FC" w:rsidRDefault="00FA20FC" w:rsidP="00FA20F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7D1502B7" w14:textId="0083990C" w:rsidR="00FA20FC" w:rsidRPr="00494296" w:rsidRDefault="00FA20FC" w:rsidP="00FA20FC">
            <w:pPr>
              <w:rPr>
                <w:rFonts w:ascii="Times New Roman" w:eastAsia="맑은 고딕" w:hAnsi="Times New Roman" w:cs="Times New Roman"/>
                <w:noProof/>
                <w:lang w:val="fr-CA" w:eastAsia="fr-FR"/>
              </w:rPr>
            </w:pPr>
            <w:r w:rsidRPr="00494296">
              <w:rPr>
                <w:rFonts w:ascii="Times New Roman" w:eastAsia="맑은 고딕" w:hAnsi="Times New Roman" w:cs="Times New Roman"/>
                <w:noProof/>
                <w:lang w:val="fr-CA" w:eastAsia="fr-FR"/>
              </w:rPr>
              <w:t>Tel: +351 21 936 8542</w:t>
            </w:r>
          </w:p>
          <w:p w14:paraId="1631D63A" w14:textId="77777777" w:rsidR="002E5800" w:rsidRPr="008F328C" w:rsidRDefault="002E5800">
            <w:pPr>
              <w:rPr>
                <w:rFonts w:ascii="Times New Roman" w:hAnsi="Times New Roman" w:cs="Times New Roman"/>
                <w:b/>
                <w:lang w:val="pl-PL"/>
              </w:rPr>
            </w:pPr>
          </w:p>
        </w:tc>
      </w:tr>
      <w:tr w:rsidR="002E5800" w:rsidRPr="008F328C" w14:paraId="06845182" w14:textId="77777777">
        <w:tc>
          <w:tcPr>
            <w:tcW w:w="2500" w:type="pct"/>
          </w:tcPr>
          <w:p w14:paraId="00E3E647" w14:textId="77777777" w:rsidR="002E5800" w:rsidRPr="008F328C" w:rsidRDefault="000E0B7C">
            <w:pPr>
              <w:rPr>
                <w:rFonts w:ascii="Times New Roman" w:hAnsi="Times New Roman" w:cs="Times New Roman"/>
                <w:b/>
                <w:lang w:val="pl-PL" w:eastAsia="ko-KR"/>
              </w:rPr>
            </w:pPr>
            <w:r w:rsidRPr="008F328C">
              <w:rPr>
                <w:rFonts w:ascii="Times New Roman" w:hAnsi="Times New Roman" w:cs="Times New Roman"/>
                <w:b/>
                <w:lang w:val="pl-PL" w:eastAsia="ko-KR"/>
              </w:rPr>
              <w:t>Hrvatska</w:t>
            </w:r>
          </w:p>
          <w:p w14:paraId="4205DC94" w14:textId="77777777" w:rsidR="002E5800" w:rsidRPr="008F328C" w:rsidRDefault="000E0B7C">
            <w:pPr>
              <w:rPr>
                <w:rFonts w:ascii="Times New Roman" w:hAnsi="Times New Roman" w:cs="Times New Roman"/>
                <w:lang w:val="pl-PL" w:eastAsia="ko-KR"/>
              </w:rPr>
            </w:pPr>
            <w:r w:rsidRPr="008F328C">
              <w:rPr>
                <w:rFonts w:ascii="Times New Roman" w:hAnsi="Times New Roman" w:cs="Times New Roman"/>
                <w:lang w:val="pl-PL" w:eastAsia="ko-KR"/>
              </w:rPr>
              <w:t>Oktal Pharma d.o.o.</w:t>
            </w:r>
          </w:p>
          <w:p w14:paraId="75EBE8BD" w14:textId="77777777" w:rsidR="002E5800" w:rsidRPr="008F328C" w:rsidRDefault="000E0B7C">
            <w:pPr>
              <w:rPr>
                <w:rFonts w:ascii="Times New Roman" w:hAnsi="Times New Roman" w:cs="Times New Roman"/>
                <w:lang w:val="pl-PL" w:eastAsia="ko-KR"/>
              </w:rPr>
            </w:pPr>
            <w:r w:rsidRPr="008F328C">
              <w:rPr>
                <w:rFonts w:ascii="Times New Roman" w:hAnsi="Times New Roman" w:cs="Times New Roman"/>
                <w:lang w:val="pl-PL" w:eastAsia="ko-KR"/>
              </w:rPr>
              <w:t>Tel: +385 1 6595 777</w:t>
            </w:r>
          </w:p>
          <w:p w14:paraId="764C9132" w14:textId="77777777" w:rsidR="002E5800" w:rsidRPr="008F328C" w:rsidRDefault="002E5800">
            <w:pPr>
              <w:rPr>
                <w:rFonts w:ascii="Times New Roman" w:eastAsia="맑은 고딕" w:hAnsi="Times New Roman" w:cs="Times New Roman"/>
                <w:lang w:val="pl-PL" w:eastAsia="fr-FR"/>
              </w:rPr>
            </w:pPr>
          </w:p>
        </w:tc>
        <w:tc>
          <w:tcPr>
            <w:tcW w:w="2500" w:type="pct"/>
          </w:tcPr>
          <w:p w14:paraId="726B12CA" w14:textId="77777777" w:rsidR="002E5800" w:rsidRPr="008F328C" w:rsidRDefault="000E0B7C">
            <w:pPr>
              <w:tabs>
                <w:tab w:val="left" w:pos="-720"/>
              </w:tabs>
              <w:suppressAutoHyphens/>
              <w:rPr>
                <w:rFonts w:ascii="Times New Roman" w:eastAsia="맑은 고딕" w:hAnsi="Times New Roman" w:cs="Times New Roman"/>
                <w:b/>
                <w:lang w:val="en-GB" w:eastAsia="fr-FR"/>
              </w:rPr>
            </w:pPr>
            <w:r w:rsidRPr="008F328C">
              <w:rPr>
                <w:rFonts w:ascii="Times New Roman" w:hAnsi="Times New Roman" w:cs="Times New Roman"/>
                <w:b/>
                <w:lang w:val="en-GB"/>
              </w:rPr>
              <w:t>România</w:t>
            </w:r>
          </w:p>
          <w:p w14:paraId="5681A43C"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6868603" w14:textId="77777777" w:rsidR="001A3193" w:rsidRPr="008F328C" w:rsidRDefault="001A3193"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27230BB1" w14:textId="77777777" w:rsidR="002E5800" w:rsidRPr="008F328C" w:rsidRDefault="002E5800">
            <w:pPr>
              <w:rPr>
                <w:rFonts w:ascii="Times New Roman" w:hAnsi="Times New Roman" w:cs="Times New Roman"/>
                <w:b/>
                <w:lang w:val="en-GB"/>
              </w:rPr>
            </w:pPr>
          </w:p>
        </w:tc>
      </w:tr>
      <w:tr w:rsidR="002E5800" w:rsidRPr="008F328C" w14:paraId="6B99BA6E" w14:textId="77777777">
        <w:tc>
          <w:tcPr>
            <w:tcW w:w="2500" w:type="pct"/>
          </w:tcPr>
          <w:p w14:paraId="1D37914A" w14:textId="77777777" w:rsidR="002E5800" w:rsidRPr="008F328C" w:rsidRDefault="000E0B7C">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Ireland</w:t>
            </w:r>
          </w:p>
          <w:p w14:paraId="77CD8C09"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Ireland Limited</w:t>
            </w:r>
          </w:p>
          <w:p w14:paraId="23823267"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Tel: +353 1 223 4026</w:t>
            </w:r>
          </w:p>
          <w:p w14:paraId="54D45A15" w14:textId="77777777" w:rsidR="002E5800" w:rsidRPr="008F328C" w:rsidRDefault="002E5800">
            <w:pPr>
              <w:rPr>
                <w:rFonts w:ascii="Times New Roman" w:eastAsia="맑은 고딕" w:hAnsi="Times New Roman" w:cs="Times New Roman"/>
                <w:lang w:eastAsia="fr-FR"/>
              </w:rPr>
            </w:pPr>
          </w:p>
        </w:tc>
        <w:tc>
          <w:tcPr>
            <w:tcW w:w="2500" w:type="pct"/>
          </w:tcPr>
          <w:p w14:paraId="7190A819" w14:textId="77777777" w:rsidR="002E5800" w:rsidRPr="008F328C" w:rsidRDefault="000E0B7C">
            <w:pPr>
              <w:rPr>
                <w:rFonts w:ascii="Times New Roman" w:eastAsia="맑은 고딕" w:hAnsi="Times New Roman" w:cs="Times New Roman"/>
                <w:b/>
                <w:lang w:val="pt-PT" w:eastAsia="fr-FR"/>
              </w:rPr>
            </w:pPr>
            <w:r w:rsidRPr="008F328C">
              <w:rPr>
                <w:rFonts w:ascii="Times New Roman" w:eastAsia="맑은 고딕" w:hAnsi="Times New Roman" w:cs="Times New Roman"/>
                <w:b/>
                <w:lang w:val="pt-PT" w:eastAsia="fr-FR"/>
              </w:rPr>
              <w:t>Slovenija</w:t>
            </w:r>
          </w:p>
          <w:p w14:paraId="558DCA6E" w14:textId="77777777" w:rsidR="002E5800" w:rsidRPr="008F328C" w:rsidRDefault="000E0B7C">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OPH Oktal Pharma d.o.o.</w:t>
            </w:r>
          </w:p>
          <w:p w14:paraId="3B9BC7D6" w14:textId="77777777" w:rsidR="002E5800" w:rsidRPr="008F328C" w:rsidRDefault="000E0B7C">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Tel.: +386 1 519 29 22</w:t>
            </w:r>
          </w:p>
          <w:p w14:paraId="624E2978" w14:textId="77777777" w:rsidR="002E5800" w:rsidRPr="008F328C" w:rsidRDefault="002E5800">
            <w:pPr>
              <w:rPr>
                <w:rFonts w:ascii="Times New Roman" w:hAnsi="Times New Roman" w:cs="Times New Roman"/>
                <w:b/>
                <w:lang w:val="pt-PT"/>
              </w:rPr>
            </w:pPr>
          </w:p>
        </w:tc>
      </w:tr>
      <w:tr w:rsidR="002E5800" w:rsidRPr="008F328C" w14:paraId="220A5E77" w14:textId="77777777">
        <w:tc>
          <w:tcPr>
            <w:tcW w:w="2500" w:type="pct"/>
          </w:tcPr>
          <w:p w14:paraId="03920600" w14:textId="77777777" w:rsidR="002E5800" w:rsidRPr="008F328C" w:rsidRDefault="000E0B7C">
            <w:pPr>
              <w:rPr>
                <w:rFonts w:ascii="Times New Roman" w:eastAsia="맑은 고딕" w:hAnsi="Times New Roman" w:cs="Times New Roman"/>
                <w:lang w:eastAsia="fr-FR"/>
              </w:rPr>
            </w:pPr>
            <w:r w:rsidRPr="008F328C">
              <w:rPr>
                <w:rFonts w:ascii="Times New Roman" w:eastAsia="맑은 고딕" w:hAnsi="Times New Roman" w:cs="Times New Roman"/>
                <w:b/>
                <w:lang w:eastAsia="fr-FR"/>
              </w:rPr>
              <w:t>Ísland</w:t>
            </w:r>
          </w:p>
          <w:p w14:paraId="13FCE12E" w14:textId="77777777" w:rsidR="002E5800" w:rsidRPr="008F328C" w:rsidRDefault="000E0B7C">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7575782" w14:textId="77777777"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Sími: +36 1 231 0493</w:t>
            </w:r>
          </w:p>
          <w:p w14:paraId="1CC5001A" w14:textId="77777777" w:rsidR="002E5800" w:rsidRPr="008F328C" w:rsidRDefault="002E5800">
            <w:pPr>
              <w:rPr>
                <w:rFonts w:ascii="Times New Roman" w:eastAsia="맑은 고딕" w:hAnsi="Times New Roman" w:cs="Times New Roman"/>
                <w:lang w:val="pl-PL" w:eastAsia="fr-FR"/>
              </w:rPr>
            </w:pPr>
          </w:p>
        </w:tc>
        <w:tc>
          <w:tcPr>
            <w:tcW w:w="2500" w:type="pct"/>
          </w:tcPr>
          <w:p w14:paraId="4CA1B22C" w14:textId="77777777" w:rsidR="002E5800" w:rsidRPr="008F328C" w:rsidRDefault="000E0B7C">
            <w:pPr>
              <w:rPr>
                <w:rFonts w:ascii="Times New Roman" w:eastAsia="맑은 고딕" w:hAnsi="Times New Roman" w:cs="Times New Roman"/>
                <w:b/>
                <w:lang w:val="en-GB" w:eastAsia="fr-FR"/>
              </w:rPr>
            </w:pPr>
            <w:r w:rsidRPr="008F328C">
              <w:rPr>
                <w:rFonts w:ascii="Times New Roman" w:hAnsi="Times New Roman" w:cs="Times New Roman"/>
                <w:b/>
                <w:lang w:val="en-GB"/>
              </w:rPr>
              <w:t>Slovenská republika</w:t>
            </w:r>
          </w:p>
          <w:p w14:paraId="773F4DF9"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29F31AE" w14:textId="77777777" w:rsidR="001A3193" w:rsidRPr="008F328C" w:rsidRDefault="001A3193"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06C72CB2" w14:textId="77777777" w:rsidR="002E5800" w:rsidRPr="008F328C" w:rsidRDefault="002E5800">
            <w:pPr>
              <w:rPr>
                <w:rFonts w:ascii="Times New Roman" w:eastAsia="맑은 고딕" w:hAnsi="Times New Roman" w:cs="Times New Roman"/>
                <w:b/>
                <w:lang w:val="pl-PL" w:eastAsia="fr-FR"/>
              </w:rPr>
            </w:pPr>
          </w:p>
        </w:tc>
      </w:tr>
      <w:tr w:rsidR="002E5800" w:rsidRPr="008F328C" w14:paraId="2C1C2BEE" w14:textId="77777777">
        <w:tc>
          <w:tcPr>
            <w:tcW w:w="2500" w:type="pct"/>
          </w:tcPr>
          <w:p w14:paraId="02D6BEBF" w14:textId="77777777" w:rsidR="002E5800" w:rsidRPr="008F328C" w:rsidRDefault="000E0B7C">
            <w:pPr>
              <w:rPr>
                <w:rFonts w:ascii="Times New Roman" w:hAnsi="Times New Roman" w:cs="Times New Roman"/>
                <w:lang w:val="en-GB" w:eastAsia="fr-FR"/>
              </w:rPr>
            </w:pPr>
            <w:r w:rsidRPr="008F328C">
              <w:rPr>
                <w:rFonts w:ascii="Times New Roman" w:eastAsia="맑은 고딕" w:hAnsi="Times New Roman" w:cs="Times New Roman"/>
                <w:b/>
                <w:lang w:val="en-GB" w:eastAsia="fr-FR"/>
              </w:rPr>
              <w:t>Italia</w:t>
            </w:r>
          </w:p>
          <w:p w14:paraId="03604BC1" w14:textId="4FEE4A7B" w:rsidR="002E5800" w:rsidRPr="008F328C" w:rsidRDefault="000E0B7C">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Italy S.</w:t>
            </w:r>
            <w:r w:rsidR="007F4EDB" w:rsidRPr="008F328C">
              <w:rPr>
                <w:rFonts w:ascii="Times New Roman" w:eastAsia="맑은 고딕" w:hAnsi="Times New Roman" w:cs="Times New Roman"/>
                <w:lang w:val="en-GB" w:eastAsia="fr-FR"/>
              </w:rPr>
              <w:t>r</w:t>
            </w:r>
            <w:r w:rsidRPr="008F328C">
              <w:rPr>
                <w:rFonts w:ascii="Times New Roman" w:eastAsia="맑은 고딕" w:hAnsi="Times New Roman" w:cs="Times New Roman"/>
                <w:lang w:val="en-GB" w:eastAsia="fr-FR"/>
              </w:rPr>
              <w:t>.</w:t>
            </w:r>
            <w:r w:rsidR="007F4EDB" w:rsidRPr="008F328C">
              <w:rPr>
                <w:rFonts w:ascii="Times New Roman" w:eastAsia="맑은 고딕" w:hAnsi="Times New Roman" w:cs="Times New Roman"/>
                <w:lang w:val="en-GB" w:eastAsia="fr-FR"/>
              </w:rPr>
              <w:t>l</w:t>
            </w:r>
            <w:r w:rsidRPr="008F328C">
              <w:rPr>
                <w:rFonts w:ascii="Times New Roman" w:eastAsia="맑은 고딕" w:hAnsi="Times New Roman" w:cs="Times New Roman"/>
                <w:lang w:val="en-GB" w:eastAsia="fr-FR"/>
              </w:rPr>
              <w:t>.</w:t>
            </w:r>
          </w:p>
          <w:p w14:paraId="2046DE98" w14:textId="1DD7267F" w:rsidR="002E5800" w:rsidRPr="008F328C" w:rsidRDefault="000E0B7C">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Tel: +39 </w:t>
            </w:r>
            <w:r w:rsidR="007F4EDB" w:rsidRPr="008F328C">
              <w:rPr>
                <w:rFonts w:ascii="Times New Roman" w:eastAsia="맑은 고딕" w:hAnsi="Times New Roman" w:cs="Times New Roman"/>
                <w:lang w:val="pl-PL" w:eastAsia="fr-FR"/>
              </w:rPr>
              <w:t>02</w:t>
            </w:r>
            <w:r w:rsidR="0032285D">
              <w:rPr>
                <w:rFonts w:ascii="Times New Roman" w:eastAsia="맑은 고딕" w:hAnsi="Times New Roman" w:cs="Times New Roman"/>
                <w:lang w:val="pl-PL" w:eastAsia="fr-FR"/>
              </w:rPr>
              <w:t xml:space="preserve"> </w:t>
            </w:r>
            <w:r w:rsidR="007F4EDB" w:rsidRPr="008F328C">
              <w:rPr>
                <w:rFonts w:ascii="Times New Roman" w:eastAsia="맑은 고딕" w:hAnsi="Times New Roman" w:cs="Times New Roman"/>
                <w:lang w:val="pl-PL" w:eastAsia="fr-FR"/>
              </w:rPr>
              <w:t>47927040</w:t>
            </w:r>
          </w:p>
          <w:p w14:paraId="59D62F85" w14:textId="77777777" w:rsidR="002E5800" w:rsidRPr="008F328C" w:rsidRDefault="002E5800">
            <w:pPr>
              <w:rPr>
                <w:rFonts w:ascii="Times New Roman" w:eastAsia="맑은 고딕" w:hAnsi="Times New Roman" w:cs="Times New Roman"/>
                <w:lang w:val="pl-PL" w:eastAsia="fr-FR"/>
              </w:rPr>
            </w:pPr>
          </w:p>
        </w:tc>
        <w:tc>
          <w:tcPr>
            <w:tcW w:w="2500" w:type="pct"/>
          </w:tcPr>
          <w:p w14:paraId="08E9E8C2" w14:textId="77777777" w:rsidR="002E5800" w:rsidRPr="008F328C" w:rsidRDefault="000E0B7C">
            <w:pPr>
              <w:rPr>
                <w:rFonts w:ascii="Times New Roman" w:hAnsi="Times New Roman" w:cs="Times New Roman"/>
                <w:lang w:val="en-GB" w:eastAsia="fr-FR"/>
              </w:rPr>
            </w:pPr>
            <w:r w:rsidRPr="008F328C">
              <w:rPr>
                <w:rFonts w:ascii="Times New Roman" w:eastAsia="맑은 고딕" w:hAnsi="Times New Roman" w:cs="Times New Roman"/>
                <w:b/>
                <w:lang w:val="en-GB" w:eastAsia="fr-FR"/>
              </w:rPr>
              <w:t>Suomi/Finland</w:t>
            </w:r>
          </w:p>
          <w:p w14:paraId="4706E923" w14:textId="77777777" w:rsidR="0032285D" w:rsidRPr="00F47393" w:rsidRDefault="0032285D" w:rsidP="0032285D">
            <w:pPr>
              <w:tabs>
                <w:tab w:val="left" w:pos="-720"/>
              </w:tabs>
              <w:suppressAutoHyphens/>
              <w:rPr>
                <w:rFonts w:ascii="Times New Roman" w:eastAsia="맑은 고딕" w:hAnsi="Times New Roman" w:cs="Times New Roman"/>
                <w:lang w:val="en-GB" w:eastAsia="fr-FR"/>
              </w:rPr>
            </w:pPr>
            <w:r w:rsidRPr="00F47393">
              <w:rPr>
                <w:rFonts w:ascii="Times New Roman" w:eastAsia="맑은 고딕" w:hAnsi="Times New Roman" w:cs="Times New Roman"/>
                <w:lang w:val="en-GB" w:eastAsia="fr-FR"/>
              </w:rPr>
              <w:t xml:space="preserve">Celltrion Healthcare Finland Oy. </w:t>
            </w:r>
          </w:p>
          <w:p w14:paraId="05ABD522" w14:textId="091BF646" w:rsidR="002E5800" w:rsidRPr="0032285D" w:rsidRDefault="0032285D">
            <w:pPr>
              <w:autoSpaceDE w:val="0"/>
              <w:autoSpaceDN w:val="0"/>
              <w:adjustRightInd w:val="0"/>
              <w:rPr>
                <w:rFonts w:ascii="Times New Roman" w:eastAsia="맑은 고딕" w:hAnsi="Times New Roman" w:cs="Times New Roman"/>
                <w:lang w:val="pl-PL" w:eastAsia="ko-KR"/>
              </w:rPr>
            </w:pPr>
            <w:r w:rsidRPr="00F47393">
              <w:rPr>
                <w:rFonts w:ascii="Times New Roman" w:eastAsia="맑은 고딕" w:hAnsi="Times New Roman" w:cs="Times New Roman"/>
                <w:lang w:val="en-GB" w:eastAsia="fr-FR"/>
              </w:rPr>
              <w:t>Puh/Tel: +358 29 170 7755</w:t>
            </w:r>
          </w:p>
        </w:tc>
      </w:tr>
      <w:tr w:rsidR="002E5800" w:rsidRPr="008F328C" w14:paraId="0AED59DC" w14:textId="77777777">
        <w:tc>
          <w:tcPr>
            <w:tcW w:w="2500" w:type="pct"/>
          </w:tcPr>
          <w:p w14:paraId="4FCE143D" w14:textId="77777777" w:rsidR="002E5800" w:rsidRPr="00DA01FB" w:rsidRDefault="000E0B7C">
            <w:pPr>
              <w:tabs>
                <w:tab w:val="left" w:pos="-720"/>
              </w:tabs>
              <w:suppressAutoHyphens/>
              <w:rPr>
                <w:rFonts w:ascii="Times New Roman" w:hAnsi="Times New Roman" w:cs="Times New Roman"/>
                <w:b/>
                <w:bCs/>
                <w:lang w:val="es-ES" w:eastAsia="fr-FR"/>
              </w:rPr>
            </w:pPr>
            <w:r w:rsidRPr="008F328C">
              <w:rPr>
                <w:rFonts w:ascii="Times New Roman" w:hAnsi="Times New Roman" w:cs="Times New Roman"/>
                <w:b/>
                <w:lang w:val="pl-PL"/>
              </w:rPr>
              <w:t>Κύπρος</w:t>
            </w:r>
          </w:p>
          <w:p w14:paraId="2FEB4CA4" w14:textId="77777777" w:rsidR="002E5800" w:rsidRPr="00DA01FB" w:rsidRDefault="000E0B7C">
            <w:pPr>
              <w:tabs>
                <w:tab w:val="left" w:pos="-720"/>
              </w:tabs>
              <w:suppressAutoHyphens/>
              <w:rPr>
                <w:rFonts w:ascii="Times New Roman" w:eastAsia="맑은 고딕" w:hAnsi="Times New Roman" w:cs="Times New Roman"/>
                <w:lang w:val="es-ES" w:eastAsia="ko-KR"/>
              </w:rPr>
            </w:pPr>
            <w:r w:rsidRPr="00DA01FB">
              <w:rPr>
                <w:rFonts w:ascii="Times New Roman" w:eastAsia="맑은 고딕" w:hAnsi="Times New Roman" w:cs="Times New Roman"/>
                <w:lang w:val="es-ES" w:eastAsia="fr-FR"/>
              </w:rPr>
              <w:t>C.A. Papaellinas Ltd</w:t>
            </w:r>
          </w:p>
          <w:p w14:paraId="70E7F94E" w14:textId="77777777" w:rsidR="002E5800" w:rsidRPr="008F328C" w:rsidRDefault="000E0B7C">
            <w:pPr>
              <w:autoSpaceDE w:val="0"/>
              <w:autoSpaceDN w:val="0"/>
              <w:adjustRightInd w:val="0"/>
              <w:rPr>
                <w:rFonts w:ascii="Times New Roman" w:eastAsia="맑은 고딕" w:hAnsi="Times New Roman" w:cs="Times New Roman"/>
                <w:b/>
                <w:bCs/>
                <w:lang w:eastAsia="fr-FR"/>
              </w:rPr>
            </w:pPr>
            <w:r w:rsidRPr="008F328C">
              <w:rPr>
                <w:rFonts w:ascii="Times New Roman" w:hAnsi="Times New Roman" w:cs="Times New Roman"/>
                <w:lang w:val="pl-PL"/>
              </w:rPr>
              <w:t>Τηλ</w:t>
            </w:r>
            <w:r w:rsidRPr="008F328C">
              <w:rPr>
                <w:rFonts w:ascii="Times New Roman" w:hAnsi="Times New Roman" w:cs="Times New Roman"/>
              </w:rPr>
              <w:t xml:space="preserve">: </w:t>
            </w:r>
            <w:r w:rsidRPr="008F328C">
              <w:rPr>
                <w:rFonts w:ascii="Times New Roman" w:eastAsia="맑은 고딕" w:hAnsi="Times New Roman" w:cs="Times New Roman"/>
                <w:lang w:eastAsia="fr-FR"/>
              </w:rPr>
              <w:t>+357 22741741</w:t>
            </w:r>
          </w:p>
          <w:p w14:paraId="0E541B5A" w14:textId="77777777" w:rsidR="002E5800" w:rsidRPr="008F328C" w:rsidRDefault="002E5800">
            <w:pPr>
              <w:autoSpaceDE w:val="0"/>
              <w:autoSpaceDN w:val="0"/>
              <w:adjustRightInd w:val="0"/>
              <w:rPr>
                <w:rFonts w:ascii="Times New Roman" w:eastAsia="맑은 고딕" w:hAnsi="Times New Roman" w:cs="Times New Roman"/>
                <w:b/>
                <w:lang w:eastAsia="fr-FR"/>
              </w:rPr>
            </w:pPr>
          </w:p>
        </w:tc>
        <w:tc>
          <w:tcPr>
            <w:tcW w:w="2500" w:type="pct"/>
          </w:tcPr>
          <w:p w14:paraId="1399D96C" w14:textId="77777777" w:rsidR="00FA20FC" w:rsidRPr="003C52D4" w:rsidRDefault="00FA20FC" w:rsidP="00FA20FC">
            <w:pPr>
              <w:tabs>
                <w:tab w:val="left" w:pos="-720"/>
              </w:tabs>
              <w:suppressAutoHyphens/>
              <w:rPr>
                <w:rFonts w:ascii="Times New Roman" w:hAnsi="Times New Roman" w:cs="Times New Roman"/>
                <w:b/>
                <w:noProof/>
                <w:lang w:eastAsia="fr-FR"/>
              </w:rPr>
            </w:pPr>
            <w:r w:rsidRPr="003C52D4">
              <w:rPr>
                <w:rFonts w:ascii="Times New Roman" w:hAnsi="Times New Roman" w:cs="Times New Roman"/>
                <w:b/>
                <w:noProof/>
              </w:rPr>
              <w:t>Sverige</w:t>
            </w:r>
          </w:p>
          <w:p w14:paraId="1ECDCBCF" w14:textId="4A6E201E" w:rsidR="00FA20FC" w:rsidRPr="003C52D4" w:rsidRDefault="00FA20FC" w:rsidP="00FA20FC">
            <w:pPr>
              <w:tabs>
                <w:tab w:val="left" w:pos="-720"/>
              </w:tabs>
              <w:suppressAutoHyphens/>
              <w:rPr>
                <w:rFonts w:ascii="Times New Roman" w:eastAsia="맑은 고딕" w:hAnsi="Times New Roman" w:cs="Times New Roman"/>
                <w:noProof/>
                <w:lang w:eastAsia="ko-KR"/>
              </w:rPr>
            </w:pPr>
            <w:r w:rsidRPr="003C52D4">
              <w:rPr>
                <w:rFonts w:ascii="Times New Roman" w:eastAsia="맑은 고딕" w:hAnsi="Times New Roman" w:cs="Times New Roman"/>
                <w:noProof/>
                <w:lang w:eastAsia="ko-KR"/>
              </w:rPr>
              <w:t>Celltrion Sweden AB</w:t>
            </w:r>
          </w:p>
          <w:p w14:paraId="58107EDE" w14:textId="77777777" w:rsidR="00FA20FC" w:rsidRPr="001B10F7" w:rsidRDefault="00FA20FC" w:rsidP="00FA20FC">
            <w:pPr>
              <w:tabs>
                <w:tab w:val="left" w:pos="-720"/>
              </w:tabs>
              <w:suppressAutoHyphens/>
              <w:rPr>
                <w:rFonts w:ascii="Times New Roman" w:eastAsia="맑은 고딕" w:hAnsi="Times New Roman" w:cs="Times New Roman"/>
                <w:bCs/>
                <w:noProof/>
                <w:u w:val="single"/>
                <w:lang w:eastAsia="ko-KR"/>
              </w:rPr>
            </w:pPr>
            <w:hyperlink r:id="rId75" w:history="1">
              <w:r w:rsidRPr="003C52D4">
                <w:rPr>
                  <w:rStyle w:val="ad"/>
                  <w:rFonts w:ascii="Times New Roman" w:eastAsia="맑은 고딕" w:hAnsi="Times New Roman" w:cs="Times New Roman"/>
                  <w:noProof/>
                  <w:lang w:eastAsia="ko-KR"/>
                </w:rPr>
                <w:t>contact_se@celltrionhc.com</w:t>
              </w:r>
            </w:hyperlink>
          </w:p>
          <w:p w14:paraId="123B6062" w14:textId="77777777" w:rsidR="002E5800" w:rsidRPr="00FA20FC" w:rsidRDefault="002E5800">
            <w:pPr>
              <w:tabs>
                <w:tab w:val="left" w:pos="-720"/>
              </w:tabs>
              <w:suppressAutoHyphens/>
              <w:rPr>
                <w:rFonts w:ascii="Times New Roman" w:eastAsia="맑은 고딕" w:hAnsi="Times New Roman" w:cs="Times New Roman"/>
                <w:b/>
                <w:lang w:eastAsia="fr-FR"/>
              </w:rPr>
            </w:pPr>
          </w:p>
        </w:tc>
      </w:tr>
      <w:tr w:rsidR="002E5800" w:rsidRPr="008F328C" w14:paraId="1DAAC5F8" w14:textId="77777777">
        <w:tc>
          <w:tcPr>
            <w:tcW w:w="2500" w:type="pct"/>
          </w:tcPr>
          <w:p w14:paraId="4E9D009F" w14:textId="77777777" w:rsidR="002E5800" w:rsidRPr="008F328C" w:rsidRDefault="000E0B7C">
            <w:pPr>
              <w:rPr>
                <w:rFonts w:ascii="Times New Roman" w:eastAsia="맑은 고딕" w:hAnsi="Times New Roman" w:cs="Times New Roman"/>
                <w:b/>
                <w:lang w:eastAsia="fr-FR"/>
              </w:rPr>
            </w:pPr>
            <w:r w:rsidRPr="008F328C">
              <w:rPr>
                <w:rFonts w:ascii="Times New Roman" w:eastAsia="맑은 고딕" w:hAnsi="Times New Roman" w:cs="Times New Roman"/>
                <w:b/>
                <w:lang w:eastAsia="fr-FR"/>
              </w:rPr>
              <w:lastRenderedPageBreak/>
              <w:t>Latvija</w:t>
            </w:r>
          </w:p>
          <w:p w14:paraId="087D9B3C" w14:textId="77777777" w:rsidR="001A3193" w:rsidRPr="008F328C" w:rsidRDefault="001A3193" w:rsidP="001A3193">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5B8F808" w14:textId="343CF069" w:rsidR="001A3193" w:rsidRPr="008F328C" w:rsidRDefault="00AC08D4" w:rsidP="001A3193">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Tālr.: </w:t>
            </w:r>
            <w:r w:rsidR="001A3193" w:rsidRPr="008F328C">
              <w:rPr>
                <w:rFonts w:ascii="Times New Roman" w:eastAsia="맑은 고딕" w:hAnsi="Times New Roman" w:cs="Times New Roman"/>
                <w:lang w:val="pl-PL" w:eastAsia="fr-FR"/>
              </w:rPr>
              <w:t>+36 1 231 0493</w:t>
            </w:r>
          </w:p>
          <w:p w14:paraId="2D84DE34" w14:textId="77777777" w:rsidR="002E5800" w:rsidRPr="008F328C" w:rsidRDefault="002E5800">
            <w:pPr>
              <w:autoSpaceDE w:val="0"/>
              <w:autoSpaceDN w:val="0"/>
              <w:adjustRightInd w:val="0"/>
              <w:rPr>
                <w:rFonts w:ascii="Times New Roman" w:eastAsia="맑은 고딕" w:hAnsi="Times New Roman" w:cs="Times New Roman"/>
                <w:b/>
                <w:bCs/>
                <w:lang w:val="pl-PL" w:eastAsia="fr-FR"/>
              </w:rPr>
            </w:pPr>
          </w:p>
        </w:tc>
        <w:tc>
          <w:tcPr>
            <w:tcW w:w="2500" w:type="pct"/>
          </w:tcPr>
          <w:p w14:paraId="2A1FB68B" w14:textId="1D9E26F7" w:rsidR="002E5800" w:rsidRPr="008F328C" w:rsidRDefault="00094D21">
            <w:pPr>
              <w:tabs>
                <w:tab w:val="left" w:pos="-720"/>
              </w:tabs>
              <w:suppressAutoHyphens/>
              <w:rPr>
                <w:rFonts w:ascii="Times New Roman" w:eastAsia="맑은 고딕" w:hAnsi="Times New Roman" w:cs="Times New Roman"/>
                <w:b/>
                <w:lang w:val="pl-PL" w:eastAsia="fr-FR"/>
              </w:rPr>
            </w:pPr>
            <w:r w:rsidRPr="008F328C" w:rsidDel="008B7230">
              <w:rPr>
                <w:rFonts w:ascii="Times New Roman" w:hAnsi="Times New Roman" w:cs="Times New Roman"/>
                <w:noProof/>
                <w:lang w:eastAsia="fr-FR"/>
              </w:rPr>
              <w:t xml:space="preserve"> </w:t>
            </w:r>
          </w:p>
        </w:tc>
      </w:tr>
    </w:tbl>
    <w:p w14:paraId="3B797BE8" w14:textId="77777777" w:rsidR="002E5800" w:rsidRPr="008F328C" w:rsidRDefault="000E0B7C">
      <w:pPr>
        <w:numPr>
          <w:ilvl w:val="12"/>
          <w:numId w:val="0"/>
        </w:numPr>
        <w:rPr>
          <w:rFonts w:ascii="Times New Roman" w:eastAsia="맑은 고딕" w:hAnsi="Times New Roman" w:cs="Times New Roman"/>
          <w:lang w:val="pl-PL" w:eastAsia="ko-KR"/>
        </w:rPr>
      </w:pPr>
      <w:r w:rsidRPr="008F328C">
        <w:rPr>
          <w:rFonts w:ascii="Times New Roman" w:eastAsia="Times New Roman" w:hAnsi="Times New Roman" w:cs="Times New Roman"/>
          <w:b/>
          <w:bCs/>
          <w:lang w:val="pl-PL"/>
        </w:rPr>
        <w:t>Data ostatniej aktualizacji ulotki:</w:t>
      </w:r>
    </w:p>
    <w:p w14:paraId="3E9351B1" w14:textId="77777777" w:rsidR="002E5800" w:rsidRPr="008F328C" w:rsidRDefault="002E5800">
      <w:pPr>
        <w:numPr>
          <w:ilvl w:val="12"/>
          <w:numId w:val="0"/>
        </w:numPr>
        <w:rPr>
          <w:rFonts w:ascii="Times New Roman" w:hAnsi="Times New Roman" w:cs="Times New Roman"/>
          <w:lang w:val="pl-PL"/>
        </w:rPr>
      </w:pPr>
    </w:p>
    <w:p w14:paraId="34B1C80C" w14:textId="77777777" w:rsidR="002E5800" w:rsidRPr="008F328C" w:rsidRDefault="000E0B7C">
      <w:pPr>
        <w:numPr>
          <w:ilvl w:val="12"/>
          <w:numId w:val="0"/>
        </w:numPr>
        <w:rPr>
          <w:rFonts w:ascii="Times New Roman" w:hAnsi="Times New Roman" w:cs="Times New Roman"/>
          <w:b/>
          <w:lang w:val="pl-PL"/>
        </w:rPr>
      </w:pPr>
      <w:r w:rsidRPr="008F328C">
        <w:rPr>
          <w:rFonts w:ascii="Times New Roman" w:eastAsia="Times New Roman" w:hAnsi="Times New Roman" w:cs="Times New Roman"/>
          <w:b/>
          <w:bCs/>
          <w:lang w:val="pl-PL"/>
        </w:rPr>
        <w:t>Inne źródła informacji</w:t>
      </w:r>
    </w:p>
    <w:p w14:paraId="2354388C" w14:textId="77777777" w:rsidR="002E5800" w:rsidRPr="008F328C" w:rsidRDefault="002E5800">
      <w:pPr>
        <w:pStyle w:val="a3"/>
        <w:rPr>
          <w:lang w:val="pl-PL"/>
        </w:rPr>
      </w:pPr>
    </w:p>
    <w:p w14:paraId="710A1192" w14:textId="77777777" w:rsidR="002E5800" w:rsidRPr="008F328C" w:rsidRDefault="000E0B7C">
      <w:pPr>
        <w:numPr>
          <w:ilvl w:val="12"/>
          <w:numId w:val="0"/>
        </w:numPr>
        <w:rPr>
          <w:rFonts w:ascii="Times New Roman" w:eastAsia="맑은 고딕" w:hAnsi="Times New Roman" w:cs="Times New Roman"/>
          <w:color w:val="0000FF"/>
          <w:lang w:val="pl-PL" w:eastAsia="ko-KR"/>
        </w:rPr>
      </w:pPr>
      <w:r w:rsidRPr="008F328C">
        <w:rPr>
          <w:rFonts w:ascii="Times New Roman" w:eastAsia="Times New Roman" w:hAnsi="Times New Roman" w:cs="Times New Roman"/>
          <w:lang w:val="pl-PL"/>
        </w:rPr>
        <w:t xml:space="preserve">Szczegółowe informacje o tym leku znajdują się na stronie internetowej Europejskiej Agencji Leków </w:t>
      </w:r>
      <w:r w:rsidRPr="008F328C">
        <w:rPr>
          <w:rFonts w:ascii="Times New Roman" w:eastAsia="Times New Roman" w:hAnsi="Times New Roman" w:cs="Times New Roman"/>
          <w:color w:val="0000FF"/>
          <w:u w:val="single"/>
          <w:lang w:val="pl-PL"/>
        </w:rPr>
        <w:t>http://www.ema.europa.eu</w:t>
      </w:r>
    </w:p>
    <w:p w14:paraId="2A510F84" w14:textId="59E0EB4B" w:rsidR="002E5800" w:rsidRPr="008F328C" w:rsidRDefault="002E5800">
      <w:pPr>
        <w:spacing w:line="252" w:lineRule="exact"/>
        <w:rPr>
          <w:rFonts w:ascii="Times New Roman" w:hAnsi="Times New Roman" w:cs="Times New Roman"/>
          <w:b/>
          <w:lang w:val="pl-PL"/>
        </w:rPr>
      </w:pPr>
    </w:p>
    <w:p w14:paraId="24AF7A82" w14:textId="77777777" w:rsidR="00CC4159" w:rsidRPr="008F328C" w:rsidRDefault="00CC4159">
      <w:pPr>
        <w:spacing w:line="252" w:lineRule="exact"/>
        <w:rPr>
          <w:rFonts w:ascii="Times New Roman" w:hAnsi="Times New Roman" w:cs="Times New Roman"/>
          <w:b/>
          <w:lang w:val="pl-PL"/>
        </w:rPr>
      </w:pPr>
    </w:p>
    <w:p w14:paraId="02CD1000" w14:textId="30422363" w:rsidR="002E5800" w:rsidRPr="008F328C" w:rsidRDefault="002C2858" w:rsidP="004142DA">
      <w:pPr>
        <w:pStyle w:val="a4"/>
        <w:numPr>
          <w:ilvl w:val="0"/>
          <w:numId w:val="38"/>
        </w:numPr>
        <w:spacing w:line="24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Instrukcja stosowania</w:t>
      </w:r>
      <w:r w:rsidRPr="008F328C" w:rsidDel="002C2858">
        <w:rPr>
          <w:rFonts w:ascii="Times New Roman" w:eastAsia="Times New Roman" w:hAnsi="Times New Roman" w:cs="Times New Roman"/>
          <w:b/>
          <w:bCs/>
          <w:lang w:val="pl-PL"/>
        </w:rPr>
        <w:t xml:space="preserve"> </w:t>
      </w:r>
    </w:p>
    <w:p w14:paraId="0FEB89B3" w14:textId="77777777" w:rsidR="002E5800" w:rsidRPr="008F328C" w:rsidRDefault="002E5800">
      <w:pPr>
        <w:spacing w:before="16" w:line="280" w:lineRule="exact"/>
        <w:rPr>
          <w:rFonts w:ascii="Times New Roman" w:hAnsi="Times New Roman" w:cs="Times New Roman"/>
          <w:sz w:val="28"/>
          <w:szCs w:val="28"/>
          <w:lang w:val="pl-PL"/>
        </w:rPr>
      </w:pPr>
    </w:p>
    <w:p w14:paraId="5A0E4642" w14:textId="77777777" w:rsidR="002E5800" w:rsidRPr="008F328C" w:rsidRDefault="000E0B7C">
      <w:pPr>
        <w:pStyle w:val="a3"/>
        <w:numPr>
          <w:ilvl w:val="1"/>
          <w:numId w:val="2"/>
        </w:numPr>
        <w:ind w:left="660" w:hanging="660"/>
        <w:rPr>
          <w:lang w:val="pl-PL"/>
        </w:rPr>
      </w:pPr>
      <w:r w:rsidRPr="008F328C">
        <w:rPr>
          <w:rFonts w:eastAsia="Times New Roman"/>
          <w:lang w:val="pl-PL"/>
        </w:rPr>
        <w:t>Poniższe instrukcje wyjaśniają jak wstrzykiwać podskórnie sobie samemu lek Yuflyma, stosując półautomatyczny wstrzykiwacz. Prosimy o dokładne przeczytanie instrukcji i wykonywanie zawartych w nich zaleceń w podanej kolejności.</w:t>
      </w:r>
    </w:p>
    <w:p w14:paraId="70AA4597" w14:textId="77777777" w:rsidR="002E5800" w:rsidRPr="008F328C" w:rsidRDefault="002E5800">
      <w:pPr>
        <w:spacing w:before="12" w:line="240" w:lineRule="exact"/>
        <w:rPr>
          <w:rFonts w:ascii="Times New Roman" w:hAnsi="Times New Roman" w:cs="Times New Roman"/>
          <w:sz w:val="24"/>
          <w:szCs w:val="24"/>
          <w:lang w:val="pl-PL"/>
        </w:rPr>
      </w:pPr>
    </w:p>
    <w:p w14:paraId="4F3C961C" w14:textId="77777777" w:rsidR="002E5800" w:rsidRPr="008F328C" w:rsidRDefault="000E0B7C">
      <w:pPr>
        <w:pStyle w:val="a3"/>
        <w:numPr>
          <w:ilvl w:val="1"/>
          <w:numId w:val="2"/>
        </w:numPr>
        <w:ind w:left="660" w:hanging="660"/>
        <w:rPr>
          <w:lang w:val="pl-PL"/>
        </w:rPr>
      </w:pPr>
      <w:r w:rsidRPr="008F328C">
        <w:rPr>
          <w:rFonts w:eastAsia="Times New Roman"/>
          <w:lang w:val="pl-PL"/>
        </w:rPr>
        <w:t>Lekarz, pielęgniarka lub farmaceuta nauczą pacjenta, jak samemu sobie wykonać wstrzyknięcie.</w:t>
      </w:r>
    </w:p>
    <w:p w14:paraId="62578B82" w14:textId="77777777" w:rsidR="002E5800" w:rsidRPr="008F328C" w:rsidRDefault="002E5800">
      <w:pPr>
        <w:spacing w:before="11" w:line="260" w:lineRule="exact"/>
        <w:rPr>
          <w:rFonts w:ascii="Times New Roman" w:hAnsi="Times New Roman" w:cs="Times New Roman"/>
          <w:sz w:val="26"/>
          <w:szCs w:val="26"/>
          <w:lang w:val="pl-PL"/>
        </w:rPr>
      </w:pPr>
    </w:p>
    <w:p w14:paraId="538FE42D" w14:textId="77777777" w:rsidR="002E5800" w:rsidRPr="008F328C" w:rsidRDefault="000E0B7C">
      <w:pPr>
        <w:pStyle w:val="a3"/>
        <w:numPr>
          <w:ilvl w:val="1"/>
          <w:numId w:val="2"/>
        </w:numPr>
        <w:ind w:left="660" w:hanging="660"/>
        <w:rPr>
          <w:lang w:val="pl-PL"/>
        </w:rPr>
      </w:pPr>
      <w:r w:rsidRPr="008F328C">
        <w:rPr>
          <w:rFonts w:eastAsia="Times New Roman"/>
          <w:b/>
          <w:bCs/>
          <w:spacing w:val="-2"/>
          <w:lang w:val="pl-PL"/>
        </w:rPr>
        <w:t>Nie należy</w:t>
      </w:r>
      <w:r w:rsidRPr="008F328C">
        <w:rPr>
          <w:rFonts w:eastAsia="Times New Roman"/>
          <w:spacing w:val="-2"/>
          <w:lang w:val="pl-PL"/>
        </w:rPr>
        <w:t xml:space="preserve"> podejmować próby wykonania wstrzyknięcia zanim nie zrozumiemy, jak je przygotować i wykonać.</w:t>
      </w:r>
    </w:p>
    <w:p w14:paraId="5231660B" w14:textId="77777777" w:rsidR="002E5800" w:rsidRPr="008F328C" w:rsidRDefault="002E5800">
      <w:pPr>
        <w:spacing w:before="11" w:line="260" w:lineRule="exact"/>
        <w:rPr>
          <w:rFonts w:ascii="Times New Roman" w:hAnsi="Times New Roman" w:cs="Times New Roman"/>
          <w:sz w:val="26"/>
          <w:szCs w:val="26"/>
          <w:lang w:val="pl-PL"/>
        </w:rPr>
      </w:pPr>
    </w:p>
    <w:p w14:paraId="4C2489B7" w14:textId="5184AB9B" w:rsidR="002E5800" w:rsidRPr="008F328C" w:rsidRDefault="000E0B7C">
      <w:pPr>
        <w:pStyle w:val="a3"/>
        <w:numPr>
          <w:ilvl w:val="1"/>
          <w:numId w:val="2"/>
        </w:numPr>
        <w:ind w:left="660" w:hanging="660"/>
        <w:rPr>
          <w:lang w:val="pl-PL"/>
        </w:rPr>
      </w:pPr>
      <w:r w:rsidRPr="008F328C">
        <w:rPr>
          <w:rFonts w:eastAsia="Times New Roman"/>
          <w:lang w:val="pl-PL"/>
        </w:rPr>
        <w:t>Po odpowiednim przeszkoleniu wstrzyknięcie może wykonać sam pacjent lub inna osoba, na przykład członek rodziny lub ktoś znajomy.</w:t>
      </w:r>
    </w:p>
    <w:p w14:paraId="5E775D78" w14:textId="77777777" w:rsidR="004142DA" w:rsidRPr="008F328C" w:rsidRDefault="004142DA" w:rsidP="004142DA">
      <w:pPr>
        <w:pStyle w:val="a4"/>
        <w:rPr>
          <w:rFonts w:ascii="Times New Roman" w:hAnsi="Times New Roman" w:cs="Times New Roman"/>
          <w:lang w:val="pl-PL"/>
        </w:rPr>
      </w:pPr>
    </w:p>
    <w:p w14:paraId="69B84D38" w14:textId="53521CB5" w:rsidR="004142DA" w:rsidRPr="008F328C" w:rsidRDefault="004142DA">
      <w:pPr>
        <w:pStyle w:val="a3"/>
        <w:numPr>
          <w:ilvl w:val="1"/>
          <w:numId w:val="2"/>
        </w:numPr>
        <w:ind w:left="660" w:hanging="660"/>
        <w:rPr>
          <w:lang w:val="pl-PL"/>
        </w:rPr>
      </w:pPr>
      <w:r w:rsidRPr="008F328C">
        <w:rPr>
          <w:rFonts w:eastAsia="Times New Roman"/>
          <w:lang w:val="pl-PL"/>
        </w:rPr>
        <w:t>Każdy półautomatyczny wstrzykiwacz stosować wyłącznie do jednego wstrzyknięcia.</w:t>
      </w:r>
    </w:p>
    <w:p w14:paraId="30C40387" w14:textId="77777777" w:rsidR="002E5800" w:rsidRPr="008F328C" w:rsidRDefault="002E5800">
      <w:pPr>
        <w:spacing w:before="12" w:line="240" w:lineRule="exact"/>
        <w:rPr>
          <w:rFonts w:ascii="Times New Roman" w:hAnsi="Times New Roman" w:cs="Times New Roman"/>
          <w:sz w:val="24"/>
          <w:szCs w:val="24"/>
          <w:lang w:val="pl-PL"/>
        </w:rPr>
      </w:pPr>
    </w:p>
    <w:p w14:paraId="1BAFF5A1" w14:textId="09B8D545" w:rsidR="004142DA" w:rsidRPr="008F328C" w:rsidRDefault="004142DA">
      <w:pPr>
        <w:rPr>
          <w:rFonts w:ascii="Times New Roman" w:hAnsi="Times New Roman" w:cs="Times New Roman"/>
          <w:sz w:val="24"/>
          <w:szCs w:val="24"/>
          <w:lang w:val="pl-PL"/>
        </w:rPr>
      </w:pPr>
      <w:r w:rsidRPr="008F328C">
        <w:rPr>
          <w:rFonts w:ascii="Times New Roman" w:hAnsi="Times New Roman" w:cs="Times New Roman"/>
          <w:sz w:val="24"/>
          <w:szCs w:val="24"/>
          <w:lang w:val="pl-PL"/>
        </w:rPr>
        <w:br w:type="page"/>
      </w:r>
    </w:p>
    <w:p w14:paraId="486EEF30" w14:textId="7454636E" w:rsidR="002E5800" w:rsidRPr="008F328C" w:rsidRDefault="00BE3C8A" w:rsidP="004142DA">
      <w:pPr>
        <w:pStyle w:val="a3"/>
        <w:numPr>
          <w:ilvl w:val="0"/>
          <w:numId w:val="0"/>
        </w:numPr>
        <w:rPr>
          <w:b/>
          <w:bCs/>
          <w:lang w:val="pl-PL"/>
        </w:rPr>
      </w:pPr>
      <w:r w:rsidRPr="008F328C">
        <w:rPr>
          <w:rFonts w:eastAsia="Times New Roman"/>
          <w:b/>
          <w:bCs/>
          <w:spacing w:val="-1"/>
          <w:lang w:val="pl-PL"/>
        </w:rPr>
        <w:lastRenderedPageBreak/>
        <w:t>W</w:t>
      </w:r>
      <w:r w:rsidR="000E0B7C" w:rsidRPr="008F328C">
        <w:rPr>
          <w:rFonts w:eastAsia="Times New Roman"/>
          <w:b/>
          <w:bCs/>
          <w:spacing w:val="-1"/>
          <w:lang w:val="pl-PL"/>
        </w:rPr>
        <w:t>strzykiwacz zawierający lek Yuflyma</w:t>
      </w:r>
    </w:p>
    <w:p w14:paraId="62DAEC23" w14:textId="77777777" w:rsidR="002E5800" w:rsidRPr="008F328C" w:rsidRDefault="002E5800">
      <w:pPr>
        <w:spacing w:before="13" w:line="240" w:lineRule="exact"/>
        <w:rPr>
          <w:rFonts w:ascii="Times New Roman" w:hAnsi="Times New Roman" w:cs="Times New Roman"/>
          <w:sz w:val="24"/>
          <w:szCs w:val="24"/>
          <w:lang w:val="pl-PL"/>
        </w:rPr>
      </w:pPr>
    </w:p>
    <w:p w14:paraId="03A1E38B" w14:textId="77777777" w:rsidR="002E5800" w:rsidRPr="008F328C" w:rsidRDefault="000E0B7C">
      <w:pPr>
        <w:keepNext/>
        <w:tabs>
          <w:tab w:val="left" w:pos="3004"/>
          <w:tab w:val="left" w:pos="5932"/>
        </w:tabs>
        <w:spacing w:before="33"/>
        <w:ind w:left="113" w:right="1474" w:firstLine="1656"/>
        <w:rPr>
          <w:rFonts w:ascii="Times New Roman" w:hAnsi="Times New Roman" w:cs="Times New Roman"/>
          <w:lang w:val="pl-PL"/>
        </w:rPr>
      </w:pP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6" behindDoc="0" locked="0" layoutInCell="1" allowOverlap="1" wp14:anchorId="0C8A688F" wp14:editId="5F544489">
                <wp:simplePos x="0" y="0"/>
                <wp:positionH relativeFrom="column">
                  <wp:posOffset>3946525</wp:posOffset>
                </wp:positionH>
                <wp:positionV relativeFrom="paragraph">
                  <wp:posOffset>658495</wp:posOffset>
                </wp:positionV>
                <wp:extent cx="665480" cy="467995"/>
                <wp:effectExtent l="0" t="0" r="1270" b="8255"/>
                <wp:wrapNone/>
                <wp:docPr id="114" name="Text Box 114"/>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6A5B0" w14:textId="77777777" w:rsidR="006D7011" w:rsidRDefault="006D701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Nasadka osłaniająca igłę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C8A688F" id="Text Box 114" o:spid="_x0000_s1132" type="#_x0000_t202" style="position:absolute;left:0;text-align:left;margin-left:310.75pt;margin-top:51.85pt;width:52.4pt;height:36.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2qaAIAAE4FAAAOAAAAZHJzL2Uyb0RvYy54bWysVE1v2zAMvQ/YfxB0X510TZYGcYosRYcB&#10;RVssHXpWZCkxJosapcTOfv0o2U66rpcOu9iU+Pj4IZKzq6YybK/Ql2BzPjwbcKashKK0m5x/f7z5&#10;MOHMB2ELYcCqnB+U51fz9+9mtZuqc9iCKRQyIrF+Wrucb0Nw0yzzcqsq4c/AKUtKDViJQEfcZAWK&#10;mtgrk50PBuOsBiwcglTe0+11q+TzxK+1kuFea68CMzmn2EL6Yvqu4zebz8R0g8JtS9mFIf4hikqU&#10;lpweqa5FEGyH5V9UVSkRPOhwJqHKQOtSqpQDZTMcvMhmtRVOpVyoON4dy+T/H62826/cA7LQfIaG&#10;HjAWpHZ+6uky5tNorOKfImWkpxIejmVTTWCSLsfj0cWENJJUF+NPl5ejyJKdjB368EVBxaKQc6RX&#10;ScUS+1sfWmgPib48mLK4KY1Jh9gJammQ7QW94XqTQiTyP1DGspoC+TgaJGIL0bxlNjbSqNQLnbtT&#10;gkkKB6MixthvSrOySHm+4ltIqWzo/Sd0RGly9RbDDn+K6i3GbR5kkTyDDUfjqrSAKfs0PKeSFT/6&#10;kHWLp7d5lncUQ7NuKPGcjyZ9A6yhOFBfILQj4528Ken1boUPDwJpRujBae7DPX20Aao+dBJnW8Bf&#10;r91HPLUuaTmraeZy7n/uBCrOzFdLTR0HtBewF9a9YHfVEqgFhrRRnEwiGWAwvagRqidaB4vohVTC&#10;SvKV89CLy9BOPq0TqRaLBKIxdCLc2pWTkTqWNfbiY/Mk0HUNG6jT76CfRjF90bcttqtqW7fuQEOb&#10;BqFbMHErPD8n1GkNzn8DAAD//wMAUEsDBBQABgAIAAAAIQDvZCgr4AAAAAsBAAAPAAAAZHJzL2Rv&#10;d25yZXYueG1sTI9BTsMwEEX3SNzBGiQ2iDpJIY7SOBVUQsCCRQMHcOJpHIjtKHbbcHuGFSxn/tOf&#10;N9V2sSM74RwG7ySkqwQYus7rwfUSPt6fbgtgISqn1egdSvjGANv68qJSpfZnt8dTE3tGJS6USoKJ&#10;cSo5D51Bq8LKT+goO/jZqkjj3HM9qzOV25FnSZJzqwZHF4yacGew+2qOVkJRhJ3A0Prx87l5uXnF&#10;x3T/ZqS8vloeNsAiLvEPhl99UoeanFp/dDqwUUKepfeEUpCsBTAiRJavgbW0EeIOeF3x/z/UPwAA&#10;AP//AwBQSwECLQAUAAYACAAAACEAtoM4kv4AAADhAQAAEwAAAAAAAAAAAAAAAAAAAAAAW0NvbnRl&#10;bnRfVHlwZXNdLnhtbFBLAQItABQABgAIAAAAIQA4/SH/1gAAAJQBAAALAAAAAAAAAAAAAAAAAC8B&#10;AABfcmVscy8ucmVsc1BLAQItABQABgAIAAAAIQBmVX2qaAIAAE4FAAAOAAAAAAAAAAAAAAAAAC4C&#10;AABkcnMvZTJvRG9jLnhtbFBLAQItABQABgAIAAAAIQDvZCgr4AAAAAsBAAAPAAAAAAAAAAAAAAAA&#10;AMIEAABkcnMvZG93bnJldi54bWxQSwUGAAAAAAQABADzAAAAzwUAAAAA&#10;" fillcolor="white [3212]" stroked="f" strokeweight=".5pt">
                <v:textbox inset="0,0,0,0">
                  <w:txbxContent>
                    <w:p w14:paraId="71F6A5B0" w14:textId="77777777" w:rsidR="006D7011" w:rsidRDefault="006D701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Nasadka osłaniająca igłę </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5" behindDoc="0" locked="0" layoutInCell="1" allowOverlap="1" wp14:anchorId="26167532" wp14:editId="3ED61995">
                <wp:simplePos x="0" y="0"/>
                <wp:positionH relativeFrom="column">
                  <wp:posOffset>2536825</wp:posOffset>
                </wp:positionH>
                <wp:positionV relativeFrom="paragraph">
                  <wp:posOffset>523239</wp:posOffset>
                </wp:positionV>
                <wp:extent cx="665480" cy="542925"/>
                <wp:effectExtent l="0" t="0" r="1270" b="9525"/>
                <wp:wrapNone/>
                <wp:docPr id="113" name="Text Box 113"/>
                <wp:cNvGraphicFramePr/>
                <a:graphic xmlns:a="http://schemas.openxmlformats.org/drawingml/2006/main">
                  <a:graphicData uri="http://schemas.microsoft.com/office/word/2010/wordprocessingShape">
                    <wps:wsp>
                      <wps:cNvSpPr txBox="1"/>
                      <wps:spPr>
                        <a:xfrm>
                          <a:off x="0" y="0"/>
                          <a:ext cx="665480" cy="542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67211"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Osłona zabezpieczająca igłę</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67532" id="Text Box 113" o:spid="_x0000_s1133" type="#_x0000_t202" style="position:absolute;left:0;text-align:left;margin-left:199.75pt;margin-top:41.2pt;width:52.4pt;height:42.7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KuibwIAAFwFAAAOAAAAZHJzL2Uyb0RvYy54bWysVN9P2zAQfp+0/8Hy+0jpKIKKFHUgpkkI&#10;EGXi2XXs1prj885uk+6v39lJWsZ4YdqLc/H9/u47X1y2tWVbhcGAK/nx0Ygz5SRUxq1K/v3p5tMZ&#10;ZyEKVwkLTpV8pwK/nH38cNH4qRrDGmylkFEQF6aNL/k6Rj8tiiDXqhbhCLxypNSAtYj0i6uiQtFQ&#10;9NoW49HotGgAK48gVQh0e90p+SzH11rJeK91UJHZklNtMZ+Yz2U6i9mFmK5Q+LWRfRniH6qohXGU&#10;dB/qWkTBNmj+ClUbiRBAxyMJdQFaG6lyD9TN8ehVN4u18Cr3QuAEv4cp/L+w8m678A/IYvsFWhpg&#10;AqTxYRroMvXTaqzTlyplpCcId3vYVBuZpMvT08nJGWkkqSYn4/PxJEUpDs4eQ/yqoGZJKDnSVDJY&#10;YnsbYmc6mKRcAaypboy1+ScxQV1ZZFtBM1yucokU/A8r61hDhXyejHJgB8m9i2xdCqMyF/p0hwaz&#10;FHdWJRvrHpVmpsp9vpFbSKlcHPJn62SlKdV7HHv7Q1Xvce76II+cGVzcO9fGAebu8/IcIKt+DCXr&#10;zp5m86LvJMZ22VLjNL7zgQBLqHbEC4RuZYKXN4amdytCfBBIO0IDp72P93RoC4Q+9BJna8Bfb90n&#10;e6IuaTlraOdKHn5uBCrO7DdHpE4LOgg4CMtBcJv6CogCx/SieJlFcsBoB1Ej1M/0HMxTFlIJJykX&#10;cWYQr2K3+fScSDWfZyNaQy/irVt4mUInWBMXn9pngb4nbCSm38GwjWL6iredbfJ0MN9E0CaTOgHb&#10;odgDTiuc16J/btIb8fI/Wx0exdlvAAAA//8DAFBLAwQUAAYACAAAACEA0V7F7eAAAAAKAQAADwAA&#10;AGRycy9kb3ducmV2LnhtbEyPQU+DQBCF7yb+h82YeLOLpa0FWRpjxB56shL1uIURSHdnCbul9N87&#10;nvQ4eV/e+ybbTNaIEQffOVJwP4tAIFWu7qhRUL4Xd2sQPmiqtXGECi7oYZNfX2U6rd2Z3nDch0Zw&#10;CflUK2hD6FMpfdWi1X7meiTOvt1gdeBzaGQ96DOXWyPnUbSSVnfEC63u8bnF6rg/WQXmEvflV7wr&#10;zMen3W6P5Vi8vkilbm+mp0cQAafwB8OvPqtDzk4Hd6LaC6MgTpIlowrW8wUIBpbRIgZxYHL1kIDM&#10;M/n/hfwHAAD//wMAUEsBAi0AFAAGAAgAAAAhALaDOJL+AAAA4QEAABMAAAAAAAAAAAAAAAAAAAAA&#10;AFtDb250ZW50X1R5cGVzXS54bWxQSwECLQAUAAYACAAAACEAOP0h/9YAAACUAQAACwAAAAAAAAAA&#10;AAAAAAAvAQAAX3JlbHMvLnJlbHNQSwECLQAUAAYACAAAACEAmYCrom8CAABcBQAADgAAAAAAAAAA&#10;AAAAAAAuAgAAZHJzL2Uyb0RvYy54bWxQSwECLQAUAAYACAAAACEA0V7F7eAAAAAKAQAADwAAAAAA&#10;AAAAAAAAAADJBAAAZHJzL2Rvd25yZXYueG1sUEsFBgAAAAAEAAQA8wAAANYFAAAAAA==&#10;" fillcolor="white [3212]" stroked="f" strokeweight=".5pt">
                <v:textbox inset="0,0,0,0">
                  <w:txbxContent>
                    <w:p w14:paraId="7A167211"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Osłona zabezpieczająca igłę</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4" behindDoc="0" locked="0" layoutInCell="1" allowOverlap="1" wp14:anchorId="3A1154BD" wp14:editId="36A02C7E">
                <wp:simplePos x="0" y="0"/>
                <wp:positionH relativeFrom="column">
                  <wp:posOffset>1254983</wp:posOffset>
                </wp:positionH>
                <wp:positionV relativeFrom="paragraph">
                  <wp:posOffset>1275080</wp:posOffset>
                </wp:positionV>
                <wp:extent cx="665480" cy="365760"/>
                <wp:effectExtent l="0" t="0" r="1270" b="0"/>
                <wp:wrapNone/>
                <wp:docPr id="112" name="Text Box 112"/>
                <wp:cNvGraphicFramePr/>
                <a:graphic xmlns:a="http://schemas.openxmlformats.org/drawingml/2006/main">
                  <a:graphicData uri="http://schemas.microsoft.com/office/word/2010/wordprocessingShape">
                    <wps:wsp>
                      <wps:cNvSpPr txBox="1"/>
                      <wps:spPr>
                        <a:xfrm>
                          <a:off x="0" y="0"/>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9AECD9"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A1154BD" id="Text Box 112" o:spid="_x0000_s1134" type="#_x0000_t202" style="position:absolute;left:0;text-align:left;margin-left:98.8pt;margin-top:100.4pt;width:52.4pt;height:28.8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DQaQIAAFAFAAAOAAAAZHJzL2Uyb0RvYy54bWysVN9v2jAQfp+0/8Hy+wi0g1WIUDEqpklV&#10;W41OfTaODdEcn3c2JOyv39lJoOv60mkvydn33a/Pdze7birDDgp9CTbno8GQM2UlFKXd5vz74+rD&#10;FWc+CFsIA1bl/Kg8v56/fzer3VRdwA5MoZCRE+untcv5LgQ3zTIvd6oSfgBOWVJqwEoEOuI2K1DU&#10;5L0y2cVwOMlqwMIhSOU93d60Sj5P/rVWMtxr7VVgJueUW0hfTN9N/GbzmZhuUbhdKbs0xD9kUYnS&#10;UtCTqxsRBNtj+ZerqpQIHnQYSKgy0LqUKtVA1YyGL6pZ74RTqRYix7sTTf7/uZV3h7V7QBaaz9DQ&#10;A0ZCauenni5jPY3GKv4pU0Z6ovB4ok01gUm6nEzGH69II0l1ORl/miRas7OxQx++KKhYFHKO9CqJ&#10;LHG49YECErSHxFgeTFmsSmPSIXaCWhpkB0FvuNmmFMniD5SxrKZELsfD5NhCNG89GxvdqNQLXbhz&#10;gUkKR6MixthvSrOySHW+EltIqWzo4yd0RGkK9RbDDn/O6i3GbR1kkSKDDSfjqrSAqfo0PGfKih99&#10;yrrFE+HP6o5iaDYNFU4MpqeLVxsojtQXCO3IeCdXJb3erfDhQSDNCD04zX24p482QOxDJ3G2A/z1&#10;2n3EU+uSlrOaZi7n/udeoOLMfLXU1HFAewF7YdMLdl8tgVpgRBvFySSSAQbTixqheqJ1sIhRSCWs&#10;pFg5lwH7wzK0s08LRarFIsFoEJ0It3btZHQeiY3d+Ng8CXRdywbq9Tvo51FMX3Rui+14bZnrDjS2&#10;qb+7FRP3wvNzQp0X4fw3AAAA//8DAFBLAwQUAAYACAAAACEA7EdYCdwAAAALAQAADwAAAGRycy9k&#10;b3ducmV2LnhtbEyPwU7DMBBE70j8g7VI3KhD2oY2xKkKAolrCh/gxEsciNchdpPw9ywnOM7uaOZN&#10;cVhcLyYcQ+dJwe0qAYHUeNNRq+Dt9flmByJETUb3nlDBNwY4lJcXhc6Nn6nC6RRbwSEUcq3Axjjk&#10;UobGotNh5Qck/r370enIcmylGfXM4a6XaZJk0umOuMHqAR8tNp+ns1MwYWWr7cfD0z6d5bHWL0Rf&#10;2Vqp66vleA8i4hL/zPCLz+hQMlPtz2SC6Fnv7zK2KuAa3sCOdZJuQNR82e42IMtC/t9Q/gAAAP//&#10;AwBQSwECLQAUAAYACAAAACEAtoM4kv4AAADhAQAAEwAAAAAAAAAAAAAAAAAAAAAAW0NvbnRlbnRf&#10;VHlwZXNdLnhtbFBLAQItABQABgAIAAAAIQA4/SH/1gAAAJQBAAALAAAAAAAAAAAAAAAAAC8BAABf&#10;cmVscy8ucmVsc1BLAQItABQABgAIAAAAIQDnMUDQaQIAAFAFAAAOAAAAAAAAAAAAAAAAAC4CAABk&#10;cnMvZTJvRG9jLnhtbFBLAQItABQABgAIAAAAIQDsR1gJ3AAAAAsBAAAPAAAAAAAAAAAAAAAAAMME&#10;AABkcnMvZG93bnJldi54bWxQSwUGAAAAAAQABADzAAAAzAUAAAAA&#10;" fillcolor="white [3212]" stroked="f" strokeweight=".5pt">
                <v:textbox inset="0,0,0,0">
                  <w:txbxContent>
                    <w:p w14:paraId="389AECD9"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Lek</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85" behindDoc="0" locked="0" layoutInCell="1" allowOverlap="1" wp14:anchorId="240B125F" wp14:editId="39D79C90">
                <wp:simplePos x="0" y="0"/>
                <wp:positionH relativeFrom="column">
                  <wp:posOffset>3918651</wp:posOffset>
                </wp:positionH>
                <wp:positionV relativeFrom="paragraph">
                  <wp:posOffset>1340353</wp:posOffset>
                </wp:positionV>
                <wp:extent cx="665480" cy="467995"/>
                <wp:effectExtent l="0" t="0" r="1270" b="8255"/>
                <wp:wrapNone/>
                <wp:docPr id="124" name="Text Box 124"/>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BB841" w14:textId="77777777" w:rsidR="006D7011" w:rsidRDefault="006D701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Trzpień tłoka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40B125F" id="Text Box 124" o:spid="_x0000_s1135" type="#_x0000_t202" style="position:absolute;left:0;text-align:left;margin-left:308.55pt;margin-top:105.55pt;width:52.4pt;height:36.8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rLZwIAAE4FAAAOAAAAZHJzL2Uyb0RvYy54bWysVMFu2zAMvQ/YPwi6L066NmuNOEXXIsOA&#10;oC2WDj0rspQYk0WNUmNnXz9KtpOu66XDLjYlko/kE8nZZVsbtlPoK7AFn4zGnCkroazspuDfHxYf&#10;zjnzQdhSGLCq4Hvl+eX8/btZ43J1AlswpUJGINbnjSv4NgSXZ5mXW1ULPwKnLCk1YC0CHXGTlSga&#10;Qq9NdjIeT7MGsHQIUnlPtzedks8TvtZKhjutvQrMFJxyC+mL6buO32w+E/kGhdtWsk9D/EMWtags&#10;BT1A3Ygg2BNWf0HVlUTwoMNIQp2B1pVUqQaqZjJ+Uc1qK5xKtRA53h1o8v8PVt7uVu4eWWg/Q0sP&#10;GAlpnM89XcZ6Wo11/FOmjPRE4f5Am2oDk3Q5nZ6dnpNGkup0+uni4iyiZEdnhz58UVCzKBQc6VUS&#10;WWK39KEzHUxiLA+mKheVMekQO0FdG2Q7QW+43qQUCfwPK2NZQ4l8PBsnYAvRvUM2NsKo1At9uGOB&#10;SQp7o6KNsd+UZlWZ6nwltpBS2TDET9bRSlOotzj29ses3uLc1UEeKTLYcHCuKwuYqk/Dc6Ss/DGk&#10;rDt7eptndUcxtOuWCicGDw2whnJPfYHQjYx3clHR6y2FD/cCaUbowWnuwx19tAFiH3qJsy3gr9fu&#10;oz21Lmk5a2jmCu5/PglUnJmvlpo6Dugg4CCsB8E+1ddALTChjeJkEskBgxlEjVA/0jq4ilFIJayk&#10;WAUPg3gdusmndSLV1VUyojF0IiztyskIHWmNvfjQPgp0fcMG6vRbGKZR5C/6trPtWe146w80tGkQ&#10;+gUTt8Lzc7I6rsH5bwAAAP//AwBQSwMEFAAGAAgAAAAhAFFY8jPfAAAACwEAAA8AAABkcnMvZG93&#10;bnJldi54bWxMj01OwzAQRvdI3MEaJDaIOo5Q44Y4FVRCwIJFQw/gxEMciO0odttwe4YV7Obn6Zs3&#10;1XZxIzvhHIfgFYhVBgx9F8zgewWH96dbCSwm7Y0eg0cF3xhhW19eVLo04ez3eGpSzyjEx1IrsClN&#10;Jeexs+h0XIUJPe0+wux0onbuuZn1mcLdyPMsW3OnB08XrJ5wZ7H7ao5OgZRxV2Bsw/j53LzcvOKj&#10;2L9Zpa6vlod7YAmX9AfDrz6pQ01ObTh6E9moYC0KQaiCXAgqiChysQHW0kTeSeB1xf//UP8AAAD/&#10;/wMAUEsBAi0AFAAGAAgAAAAhALaDOJL+AAAA4QEAABMAAAAAAAAAAAAAAAAAAAAAAFtDb250ZW50&#10;X1R5cGVzXS54bWxQSwECLQAUAAYACAAAACEAOP0h/9YAAACUAQAACwAAAAAAAAAAAAAAAAAvAQAA&#10;X3JlbHMvLnJlbHNQSwECLQAUAAYACAAAACEAkl3qy2cCAABOBQAADgAAAAAAAAAAAAAAAAAuAgAA&#10;ZHJzL2Uyb0RvYy54bWxQSwECLQAUAAYACAAAACEAUVjyM98AAAALAQAADwAAAAAAAAAAAAAAAADB&#10;BAAAZHJzL2Rvd25yZXYueG1sUEsFBgAAAAAEAAQA8wAAAM0FAAAAAA==&#10;" fillcolor="white [3212]" stroked="f" strokeweight=".5pt">
                <v:textbox inset="0,0,0,0">
                  <w:txbxContent>
                    <w:p w14:paraId="1B3BB841" w14:textId="77777777" w:rsidR="006D7011" w:rsidRDefault="006D701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Trzpień tłoka </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7" behindDoc="0" locked="0" layoutInCell="1" allowOverlap="1" wp14:anchorId="5F1F5AA7" wp14:editId="1F9E2265">
                <wp:simplePos x="0" y="0"/>
                <wp:positionH relativeFrom="column">
                  <wp:posOffset>2603657</wp:posOffset>
                </wp:positionH>
                <wp:positionV relativeFrom="paragraph">
                  <wp:posOffset>1350967</wp:posOffset>
                </wp:positionV>
                <wp:extent cx="665480" cy="467995"/>
                <wp:effectExtent l="0" t="0" r="1270" b="8255"/>
                <wp:wrapNone/>
                <wp:docPr id="116" name="Text Box 116"/>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BAFADD"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Okienko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F1F5AA7" id="Text Box 116" o:spid="_x0000_s1136" type="#_x0000_t202" style="position:absolute;left:0;text-align:left;margin-left:205pt;margin-top:106.4pt;width:52.4pt;height:36.8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DsraAIAAE4FAAAOAAAAZHJzL2Uyb0RvYy54bWysVMFu2zAMvQ/YPwi6r066JmuNOEXXIsOA&#10;oi2WDj0rspQYk0WNUmJnXz9KtpOu66XDLjYlko/kE8nZZVsbtlPoK7AFH5+MOFNWQlnZdcG/Py4+&#10;nHPmg7ClMGBVwffK88v5+3ezxuXqFDZgSoWMQKzPG1fwTQguzzIvN6oW/gScsqTUgLUIdMR1VqJo&#10;CL022eloNM0awNIhSOU93d50Sj5P+ForGe619iowU3DKLaQvpu8qfrP5TORrFG5TyT4N8Q9Z1KKy&#10;FPQAdSOCYFus/oKqK4ngQYcTCXUGWldSpRqomvHoRTXLjXAq1ULkeHegyf8/WHm3W7oHZKH9DC09&#10;YCSkcT73dBnraTXW8U+ZMtIThfsDbaoNTNLldDo5OyeNJNXZ9NPFxSSiZEdnhz58UVCzKBQc6VUS&#10;WWJ360NnOpjEWB5MVS4qY9IhdoK6Nsh2gt5wtU4pEvgfVsayhhL5OBklYAvRvUM2NsKo1At9uGOB&#10;SQp7o6KNsd+UZlWZ6nwltpBS2TDET9bRSlOotzj29ses3uLc1UEeKTLYcHCuKwuYqk/Dc6Ss/DGk&#10;rDt7eptndUcxtKuWCicGT4cGWEG5p75A6EbGO7mo6PVuhQ8PAmlG6MFp7sM9fbQBYh96ibMN4K/X&#10;7qM9tS5pOWto5gruf24FKs7MV0tNHQd0EHAQVoNgt/U1UAuMaaM4mURywGAGUSPUT7QOrmIUUgkr&#10;KVbBwyBeh27yaZ1IdXWVjGgMnQi3dulkhI60xl58bJ8Eur5hA3X6HQzTKPIXfdvZ9qx2vPUHGto0&#10;CP2CiVvh+TlZHdfg/DcAAAD//wMAUEsDBBQABgAIAAAAIQA4Qw3M4AAAAAsBAAAPAAAAZHJzL2Rv&#10;d25yZXYueG1sTI/NTsMwEITvSLyDtUhcEHUctSVK41RQCQEHDg19ACde4oB/othtw9uznOhtd2c0&#10;+021nZ1lJ5ziELwEsciAoe+CHnwv4fDxfF8Ai0l5rWzwKOEHI2zr66tKlTqc/R5PTeoZhfhYKgkm&#10;pbHkPHYGnYqLMKIn7TNMTiVap57rSZ0p3FmeZ9maOzV4+mDUiDuD3XdzdBKKIu4eMLbBfr00r3dv&#10;+CT270bK25v5cQMs4Zz+zfCHT+hQE1Mbjl5HZiUsRUZdkoRc5NSBHCuxpKGlS7FeAa8rftmh/gUA&#10;AP//AwBQSwECLQAUAAYACAAAACEAtoM4kv4AAADhAQAAEwAAAAAAAAAAAAAAAAAAAAAAW0NvbnRl&#10;bnRfVHlwZXNdLnhtbFBLAQItABQABgAIAAAAIQA4/SH/1gAAAJQBAAALAAAAAAAAAAAAAAAAAC8B&#10;AABfcmVscy8ucmVsc1BLAQItABQABgAIAAAAIQB6uDsraAIAAE4FAAAOAAAAAAAAAAAAAAAAAC4C&#10;AABkcnMvZTJvRG9jLnhtbFBLAQItABQABgAIAAAAIQA4Qw3M4AAAAAsBAAAPAAAAAAAAAAAAAAAA&#10;AMIEAABkcnMvZG93bnJldi54bWxQSwUGAAAAAAQABADzAAAAzwUAAAAA&#10;" fillcolor="white [3212]" stroked="f" strokeweight=".5pt">
                <v:textbox inset="0,0,0,0">
                  <w:txbxContent>
                    <w:p w14:paraId="0BBAFADD"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Okienko</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8" behindDoc="0" locked="0" layoutInCell="1" allowOverlap="1" wp14:anchorId="134EEA19" wp14:editId="109A4D9E">
                <wp:simplePos x="0" y="0"/>
                <wp:positionH relativeFrom="column">
                  <wp:posOffset>2603500</wp:posOffset>
                </wp:positionH>
                <wp:positionV relativeFrom="paragraph">
                  <wp:posOffset>2212117</wp:posOffset>
                </wp:positionV>
                <wp:extent cx="665480" cy="375285"/>
                <wp:effectExtent l="0" t="0" r="1270" b="5715"/>
                <wp:wrapNone/>
                <wp:docPr id="117" name="Text Box 117"/>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17971"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Korpus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34EEA19" id="Text Box 117" o:spid="_x0000_s1137" type="#_x0000_t202" style="position:absolute;left:0;text-align:left;margin-left:205pt;margin-top:174.2pt;width:52.4pt;height:29.5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ASZgIAAE4FAAAOAAAAZHJzL2Uyb0RvYy54bWysVMFu2zAMvQ/YPwi6r07SpQuCOkXWosOA&#10;oi2WDj0rspQYk0SNUmNnXz9KtpOu66XDLjYlko/kE8nzi9YatlMYanAlH5+MOFNOQlW7Tcm/P1x/&#10;mHEWonCVMOBUyfcq8IvF+3fnjZ+rCWzBVAoZgbgwb3zJtzH6eVEEuVVWhBPwypFSA1oR6YibokLR&#10;ELo1xWQ0OisawMojSBUC3V51Sr7I+ForGe+0DioyU3LKLeYv5u86fYvFuZhvUPhtLfs0xD9kYUXt&#10;KOgB6kpEwZ6w/gvK1hIhgI4nEmwBWtdS5RqomvHoRTWrrfAq10LkBH+gKfw/WHm7W/l7ZLH9DC09&#10;YCKk8WEe6DLV02q06U+ZMtIThfsDbaqNTNLl2dn044w0klSnn6aT2TShFEdnjyF+UWBZEkqO9CqZ&#10;LLG7CbEzHUxSrACmrq5rY/IhdYK6NMh2gt5wvckpEvgfVsaxhhI5nY4ysIPk3iEbl2BU7oU+3LHA&#10;LMW9UcnGuG9Ks7rKdb4SW0ipXBziZ+tkpSnUWxx7+2NWb3Hu6iCPHBlcPDjb2gHm6vPwHCmrfgwp&#10;686e3uZZ3UmM7bqlwhODQwOsodpTXyB0IxO8vK7p9W5EiPcCaUbowWnu4x19tAFiH3qJsy3gr9fu&#10;kz21Lmk5a2jmSh5+PglUnJmvjpo6Degg4CCsB8E92UugFhjTRvEyi+SA0QyiRrCPtA6WKQqphJMU&#10;q+RxEC9jN/m0TqRaLrMRjaEX8catvEzQidbUiw/to0DfN2ykTr+FYRrF/EXfdrY9qx1v/YGGNg9C&#10;v2DSVnh+zlbHNbj4DQAA//8DAFBLAwQUAAYACAAAACEAUWYFO+AAAAALAQAADwAAAGRycy9kb3du&#10;cmV2LnhtbEyPy07DMBBF90j8gzVIbBC1AymNQpwKKiHogkXTfoATD3HAjyh22/D3DCtYju7VnXOq&#10;9ewsO+EUh+AlZAsBDH0X9OB7CYf9y20BLCbltbLBo4RvjLCuLy8qVepw9js8NalnNOJjqSSYlMaS&#10;89gZdCouwoieso8wOZXonHquJ3WmcWf5nRAP3KnB0wejRtwY7L6ao5NQFHGzwtgG+/navN1s8Tnb&#10;vRspr6/mp0dgCef0V4ZffEKHmpjacPQ6MishzwS5JAn3eZEDo8Yyy0mmpUislsDriv93qH8AAAD/&#10;/wMAUEsBAi0AFAAGAAgAAAAhALaDOJL+AAAA4QEAABMAAAAAAAAAAAAAAAAAAAAAAFtDb250ZW50&#10;X1R5cGVzXS54bWxQSwECLQAUAAYACAAAACEAOP0h/9YAAACUAQAACwAAAAAAAAAAAAAAAAAvAQAA&#10;X3JlbHMvLnJlbHNQSwECLQAUAAYACAAAACEAFfmgEmYCAABOBQAADgAAAAAAAAAAAAAAAAAuAgAA&#10;ZHJzL2Uyb0RvYy54bWxQSwECLQAUAAYACAAAACEAUWYFO+AAAAALAQAADwAAAAAAAAAAAAAAAADA&#10;BAAAZHJzL2Rvd25yZXYueG1sUEsFBgAAAAAEAAQA8wAAAM0FAAAAAA==&#10;" fillcolor="white [3212]" stroked="f" strokeweight=".5pt">
                <v:textbox inset="0,0,0,0">
                  <w:txbxContent>
                    <w:p w14:paraId="0C217971" w14:textId="77777777" w:rsidR="006D7011" w:rsidRDefault="006D7011">
                      <w:pPr>
                        <w:jc w:val="center"/>
                        <w:rPr>
                          <w:rFonts w:asciiTheme="majorBidi" w:hAnsiTheme="majorBidi" w:cstheme="majorBidi"/>
                          <w:sz w:val="20"/>
                          <w:szCs w:val="20"/>
                        </w:rPr>
                      </w:pPr>
                      <w:r>
                        <w:rPr>
                          <w:rFonts w:ascii="Times New Roman" w:eastAsia="Times New Roman" w:hAnsi="Times New Roman" w:cs="Times New Roman"/>
                          <w:sz w:val="20"/>
                          <w:szCs w:val="20"/>
                          <w:lang w:val="pl-PL"/>
                        </w:rPr>
                        <w:t>Korpus</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80" behindDoc="0" locked="0" layoutInCell="1" allowOverlap="1" wp14:anchorId="64C7AC36" wp14:editId="0AA06079">
                <wp:simplePos x="0" y="0"/>
                <wp:positionH relativeFrom="column">
                  <wp:posOffset>3205811</wp:posOffset>
                </wp:positionH>
                <wp:positionV relativeFrom="paragraph">
                  <wp:posOffset>3186292</wp:posOffset>
                </wp:positionV>
                <wp:extent cx="842452" cy="245745"/>
                <wp:effectExtent l="0" t="0" r="0" b="1905"/>
                <wp:wrapNone/>
                <wp:docPr id="119" name="Text Box 119"/>
                <wp:cNvGraphicFramePr/>
                <a:graphic xmlns:a="http://schemas.openxmlformats.org/drawingml/2006/main">
                  <a:graphicData uri="http://schemas.microsoft.com/office/word/2010/wordprocessingShape">
                    <wps:wsp>
                      <wps:cNvSpPr txBox="1"/>
                      <wps:spPr>
                        <a:xfrm>
                          <a:off x="0" y="0"/>
                          <a:ext cx="842452" cy="2457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1D0E5"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4C7AC36" id="Text Box 119" o:spid="_x0000_s1138" type="#_x0000_t202" style="position:absolute;left:0;text-align:left;margin-left:252.45pt;margin-top:250.9pt;width:66.35pt;height:19.3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GvZwIAAE4FAAAOAAAAZHJzL2Uyb0RvYy54bWysVE1v2zAMvQ/YfxB0X5xmSVcEcYosRYYB&#10;QVusHXpWZCkxJosapcTOfv0o2U66rpcOu9iUSD5+6JGz66Yy7KDQl2BzfjEYcqashKK025x/f1x9&#10;uOLMB2ELYcCqnB+V59fz9+9mtZuqEezAFAoZgVg/rV3OdyG4aZZ5uVOV8ANwypJSA1Yi0BG3WYGi&#10;JvTKZKPh8DKrAQuHIJX3dHvTKvk84WutZLjT2qvATM4pt5C+mL6b+M3mMzHdonC7UnZpiH/IohKl&#10;paAnqBsRBNtj+RdUVUoEDzoMJFQZaF1KlWqgai6GL6p52AmnUi3UHO9ObfL/D1beHh7cPbLQfIaG&#10;HjA2pHZ+6uky1tNorOKfMmWkpxYeT21TTWCSLq/Go/FkxJkkFUmfxpOIkp2dHfrwRUHFopBzpFdJ&#10;zRKHtQ+taW8SY3kwZbEqjUmHyAS1NMgOgt5ws00pEvgfVsayOueXHyfDBGwhurfIxkYYlbjQhTsX&#10;mKRwNCraGPtNaVYWqc5XYgsplQ19/GQdrTSFeotjZ3/O6i3ObR3kkSKDDSfnqrSAqfo0POeWFT/6&#10;lHVrT2/zrO4ohmbTUOHUwXFPgA0UR+IFQjsy3slVSa+3Fj7cC6QZISrQ3Ic7+mgD1H3oJM52gL9e&#10;u4/2RF3SclbTzOXc/9wLVJyZr5ZIHQe0F7AXNr1g99USiAIXtFGcTCI5YDC9qBGqJ1oHixiFVMJK&#10;ipXz0IvL0E4+rROpFotkRGPoRFjbBycjdGxr5OJj8yTQdYQNxPRb6KdRTF/wtrXtutr2rTvQ0KZB&#10;6BZM3ArPz8nqvAbnvwEAAP//AwBQSwMEFAAGAAgAAAAhAMPESd7gAAAACwEAAA8AAABkcnMvZG93&#10;bnJldi54bWxMj81OwzAQhO9IvIO1SFwQtQNtGkKcCioh4MChgQdw4iUO+CeK3Ta8PdsT3HZ3RrPf&#10;VJvZWXbAKQ7BS8gWAhj6LujB9xI+3p+uC2AxKa+VDR4l/GCETX1+VqlSh6Pf4aFJPaMQH0slwaQ0&#10;lpzHzqBTcRFG9KR9hsmpROvUcz2pI4U7y2+EyLlTg6cPRo24Ndh9N3snoSjido2xDfbruXm5esXH&#10;bPdmpLy8mB/ugSWc058ZTviEDjUxtWHvdWRWwkos78h6GjLqQI78dp0Da+myFCvgdcX/d6h/AQAA&#10;//8DAFBLAQItABQABgAIAAAAIQC2gziS/gAAAOEBAAATAAAAAAAAAAAAAAAAAAAAAABbQ29udGVu&#10;dF9UeXBlc10ueG1sUEsBAi0AFAAGAAgAAAAhADj9If/WAAAAlAEAAAsAAAAAAAAAAAAAAAAALwEA&#10;AF9yZWxzLy5yZWxzUEsBAi0AFAAGAAgAAAAhAB25ka9nAgAATgUAAA4AAAAAAAAAAAAAAAAALgIA&#10;AGRycy9lMm9Eb2MueG1sUEsBAi0AFAAGAAgAAAAhAMPESd7gAAAACwEAAA8AAAAAAAAAAAAAAAAA&#10;wQQAAGRycy9kb3ducmV2LnhtbFBLBQYAAAAABAAEAPMAAADOBQAAAAA=&#10;" fillcolor="white [3212]" stroked="f" strokeweight=".5pt">
                <v:textbox inset="0,0,0,0">
                  <w:txbxContent>
                    <w:p w14:paraId="5DC1D0E5"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279" behindDoc="0" locked="0" layoutInCell="1" allowOverlap="1" wp14:anchorId="6F63EF17" wp14:editId="45A1ACAB">
                <wp:simplePos x="0" y="0"/>
                <wp:positionH relativeFrom="column">
                  <wp:posOffset>1814333</wp:posOffset>
                </wp:positionH>
                <wp:positionV relativeFrom="paragraph">
                  <wp:posOffset>3186292</wp:posOffset>
                </wp:positionV>
                <wp:extent cx="874644" cy="245993"/>
                <wp:effectExtent l="0" t="0" r="1905" b="1905"/>
                <wp:wrapNone/>
                <wp:docPr id="118" name="Text Box 118"/>
                <wp:cNvGraphicFramePr/>
                <a:graphic xmlns:a="http://schemas.openxmlformats.org/drawingml/2006/main">
                  <a:graphicData uri="http://schemas.microsoft.com/office/word/2010/wordprocessingShape">
                    <wps:wsp>
                      <wps:cNvSpPr txBox="1"/>
                      <wps:spPr>
                        <a:xfrm>
                          <a:off x="0" y="0"/>
                          <a:ext cx="874644" cy="2459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B4AB6"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F63EF17" id="Text Box 118" o:spid="_x0000_s1139" type="#_x0000_t202" style="position:absolute;left:0;text-align:left;margin-left:142.85pt;margin-top:250.9pt;width:68.85pt;height:19.3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B+aQIAAE4FAAAOAAAAZHJzL2Uyb0RvYy54bWysVE1v2zAMvQ/YfxB0X52mSdcGcYosRYcB&#10;RVssHXpWZCkxJosapcTOfn0p2U66rpcOu9iUSD5+6JHTq6YybKfQl2Bzfnoy4ExZCUVp1zn/8Xjz&#10;6YIzH4QthAGrcr5Xnl/NPn6Y1m6ihrABUyhkBGL9pHY534TgJlnm5UZVwp+AU5aUGrASgY64zgoU&#10;NaFXJhsOBudZDVg4BKm8p9vrVslnCV9rJcO91l4FZnJOuYX0xfRdxW82m4rJGoXblLJLQ/xDFpUo&#10;LQU9QF2LINgWy7+gqlIieNDhREKVgdalVKkGquZ08Kqa5UY4lWqh5nh3aJP/f7Dybrd0D8hC8wUa&#10;esDYkNr5iafLWE+jsYp/ypSRnlq4P7RNNYFJurz4PDofjTiTpBqOxpeXZxElOzo79OGrgopFIedI&#10;r5KaJXa3PrSmvUmM5cGUxU1pTDpEJqiFQbYT9IardUqRwP+wMpbVOT8/Gw8SsIXo3iIbG2FU4kIX&#10;7lhgksLeqGhj7HelWVmkOt+ILaRUNvTxk3W00hTqPY6d/TGr9zi3dZBHigw2HJyr0gKm6tPwHFtW&#10;/OxT1q09vc2LuqMYmlVDhVMHxz0BVlDsiRcI7ch4J29Ker1b4cODQJoRogLNfbinjzZA3YdO4mwD&#10;+Put+2hP1CUtZzXNXM79r61AxZn5ZonUcUB7AXth1Qt2Wy2AKHBKG8XJJJIDBtOLGqF6onUwj1FI&#10;JaykWDkPvbgI7eTTOpFqPk9GNIZOhFu7dDJCx7ZGLj42TwJdR9hATL+DfhrF5BVvW9uuq23fugMN&#10;bRqEbsHErfDynKyOa3D2DAAA//8DAFBLAwQUAAYACAAAACEAjEtkfeAAAAALAQAADwAAAGRycy9k&#10;b3ducmV2LnhtbEyPQU7DMBBF90jcwRokNojaCQmNQpwKKiFgwaKhB3DiaRyI7Sh223B7hhUsZ+bp&#10;z/vVZrEjO+EcBu8kJCsBDF3n9eB6CfuP59sCWIjKaTV6hxK+McCmvryoVKn92e3w1MSeUYgLpZJg&#10;YpxKzkNn0Kqw8hM6uh38bFWkce65ntWZwu3IUyHuuVWDow9GTbg12H01RyuhKMJ2jaH14+dL83rz&#10;hk/J7t1IeX21PD4Ai7jEPxh+9UkdanJq/dHpwEYJaZGvCZWQi4Q6EJGldxmwljaZyIHXFf/fof4B&#10;AAD//wMAUEsBAi0AFAAGAAgAAAAhALaDOJL+AAAA4QEAABMAAAAAAAAAAAAAAAAAAAAAAFtDb250&#10;ZW50X1R5cGVzXS54bWxQSwECLQAUAAYACAAAACEAOP0h/9YAAACUAQAACwAAAAAAAAAAAAAAAAAv&#10;AQAAX3JlbHMvLnJlbHNQSwECLQAUAAYACAAAACEAMnxwfmkCAABOBQAADgAAAAAAAAAAAAAAAAAu&#10;AgAAZHJzL2Uyb0RvYy54bWxQSwECLQAUAAYACAAAACEAjEtkfeAAAAALAQAADwAAAAAAAAAAAAAA&#10;AADDBAAAZHJzL2Rvd25yZXYueG1sUEsFBgAAAAAEAAQA8wAAANAFAAAAAA==&#10;" fillcolor="white [3212]" stroked="f" strokeweight=".5pt">
                <v:textbox inset="0,0,0,0">
                  <w:txbxContent>
                    <w:p w14:paraId="62DB4AB6" w14:textId="77777777" w:rsidR="006D7011" w:rsidRDefault="006D701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Pr="008F328C">
        <w:rPr>
          <w:rFonts w:ascii="Times New Roman" w:eastAsia="Times New Roman" w:hAnsi="Times New Roman" w:cs="Times New Roman"/>
          <w:b/>
          <w:bCs/>
          <w:noProof/>
          <w:spacing w:val="-1"/>
          <w:lang w:eastAsia="ko-KR"/>
        </w:rPr>
        <w:drawing>
          <wp:inline distT="0" distB="0" distL="0" distR="0" wp14:anchorId="6F0B2F74" wp14:editId="6669E420">
            <wp:extent cx="3713018" cy="3395263"/>
            <wp:effectExtent l="19050" t="19050" r="20955" b="1524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32408" name="Picture 1"/>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718674" cy="3400435"/>
                    </a:xfrm>
                    <a:prstGeom prst="rect">
                      <a:avLst/>
                    </a:prstGeom>
                    <a:noFill/>
                    <a:ln w="12700">
                      <a:solidFill>
                        <a:schemeClr val="tx1"/>
                      </a:solidFill>
                    </a:ln>
                  </pic:spPr>
                </pic:pic>
              </a:graphicData>
            </a:graphic>
          </wp:inline>
        </w:drawing>
      </w:r>
    </w:p>
    <w:p w14:paraId="74A30364" w14:textId="48F93B17" w:rsidR="002E5800" w:rsidRPr="008F328C" w:rsidRDefault="000E0B7C">
      <w:pPr>
        <w:pStyle w:val="af0"/>
        <w:ind w:left="4320" w:firstLine="720"/>
        <w:jc w:val="center"/>
        <w:rPr>
          <w:rFonts w:ascii="Times New Roman" w:hAnsi="Times New Roman" w:cs="Times New Roman"/>
          <w:lang w:val="pl-PL"/>
        </w:rPr>
      </w:pPr>
      <w:r w:rsidRPr="008F328C">
        <w:rPr>
          <w:rFonts w:ascii="Times New Roman" w:eastAsia="Times New Roman" w:hAnsi="Times New Roman" w:cs="Times New Roman"/>
          <w:lang w:val="pl-PL"/>
        </w:rPr>
        <w:t xml:space="preserve">Rysunek </w:t>
      </w:r>
      <w:r w:rsidR="007325D6" w:rsidRPr="008F328C">
        <w:rPr>
          <w:rFonts w:ascii="Times New Roman" w:hAnsi="Times New Roman" w:cs="Times New Roman"/>
          <w:lang w:val="pl-PL"/>
        </w:rPr>
        <w:t>A</w:t>
      </w:r>
    </w:p>
    <w:p w14:paraId="2CC60080" w14:textId="77777777" w:rsidR="002E5800" w:rsidRPr="008F328C" w:rsidRDefault="002E5800">
      <w:pPr>
        <w:tabs>
          <w:tab w:val="left" w:pos="3004"/>
          <w:tab w:val="left" w:pos="5932"/>
        </w:tabs>
        <w:spacing w:before="33" w:line="480" w:lineRule="auto"/>
        <w:ind w:left="111" w:right="1474" w:firstLine="1653"/>
        <w:rPr>
          <w:rFonts w:ascii="Times New Roman" w:eastAsia="Times New Roman" w:hAnsi="Times New Roman" w:cs="Times New Roman"/>
          <w:b/>
          <w:bCs/>
          <w:lang w:val="pl-PL"/>
        </w:rPr>
      </w:pPr>
    </w:p>
    <w:p w14:paraId="430DFB00" w14:textId="77777777" w:rsidR="002E5800" w:rsidRPr="008F328C" w:rsidRDefault="000E0B7C">
      <w:pPr>
        <w:tabs>
          <w:tab w:val="left" w:pos="3004"/>
          <w:tab w:val="left" w:pos="5932"/>
        </w:tabs>
        <w:spacing w:before="33" w:line="480" w:lineRule="auto"/>
        <w:ind w:left="113" w:right="1474"/>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 używać ponownie półautomatycznego wstrzykiwacza, jeżeli:</w:t>
      </w:r>
    </w:p>
    <w:p w14:paraId="0A631A4D" w14:textId="77777777" w:rsidR="002E5800" w:rsidRPr="008F328C" w:rsidRDefault="000E0B7C">
      <w:pPr>
        <w:pStyle w:val="a3"/>
        <w:numPr>
          <w:ilvl w:val="1"/>
          <w:numId w:val="2"/>
        </w:numPr>
        <w:ind w:left="660" w:hanging="660"/>
        <w:rPr>
          <w:lang w:val="pl-PL"/>
        </w:rPr>
      </w:pPr>
      <w:r w:rsidRPr="008F328C">
        <w:rPr>
          <w:rFonts w:eastAsia="Times New Roman"/>
          <w:lang w:val="pl-PL"/>
        </w:rPr>
        <w:t>jest pęknięty lub uszkodzony.</w:t>
      </w:r>
    </w:p>
    <w:p w14:paraId="16F4B3A6" w14:textId="77777777" w:rsidR="002E5800" w:rsidRPr="008F328C" w:rsidRDefault="000E0B7C">
      <w:pPr>
        <w:pStyle w:val="a3"/>
        <w:numPr>
          <w:ilvl w:val="1"/>
          <w:numId w:val="2"/>
        </w:numPr>
        <w:ind w:left="660" w:hanging="660"/>
        <w:rPr>
          <w:sz w:val="26"/>
          <w:szCs w:val="26"/>
          <w:lang w:val="pl-PL"/>
        </w:rPr>
      </w:pPr>
      <w:r w:rsidRPr="008F328C">
        <w:rPr>
          <w:rFonts w:eastAsia="Times New Roman"/>
          <w:lang w:val="pl-PL"/>
        </w:rPr>
        <w:t>upłynął termin ważności.</w:t>
      </w:r>
    </w:p>
    <w:p w14:paraId="77DBBDF6" w14:textId="496522E7" w:rsidR="009278CA" w:rsidRPr="008F328C" w:rsidRDefault="009278CA">
      <w:pPr>
        <w:pStyle w:val="a3"/>
        <w:numPr>
          <w:ilvl w:val="1"/>
          <w:numId w:val="2"/>
        </w:numPr>
        <w:ind w:left="660" w:hanging="660"/>
        <w:rPr>
          <w:sz w:val="26"/>
          <w:szCs w:val="26"/>
          <w:lang w:val="pl-PL"/>
        </w:rPr>
      </w:pPr>
      <w:r w:rsidRPr="008F328C">
        <w:rPr>
          <w:lang w:val="pl-PL"/>
        </w:rPr>
        <w:t>została upuszczona na twardą powierzchnię.</w:t>
      </w:r>
    </w:p>
    <w:p w14:paraId="449C9935" w14:textId="77777777" w:rsidR="002E5800" w:rsidRPr="008F328C" w:rsidRDefault="002E5800">
      <w:pPr>
        <w:pStyle w:val="a3"/>
        <w:rPr>
          <w:lang w:val="pl-PL"/>
        </w:rPr>
      </w:pPr>
    </w:p>
    <w:p w14:paraId="46AE5F0B" w14:textId="1363D4C7" w:rsidR="002E5800" w:rsidRPr="008F328C" w:rsidRDefault="000E0B7C">
      <w:pPr>
        <w:pStyle w:val="a3"/>
        <w:rPr>
          <w:rFonts w:eastAsia="Times New Roman"/>
          <w:b/>
          <w:bCs/>
          <w:lang w:val="pl-PL"/>
        </w:rPr>
      </w:pPr>
      <w:r w:rsidRPr="008F328C">
        <w:rPr>
          <w:rFonts w:eastAsia="Times New Roman"/>
          <w:b/>
          <w:bCs/>
          <w:lang w:val="pl-PL"/>
        </w:rPr>
        <w:t>Nie zdejmować osłony, aż do momentu, gdy pacjent będzie gotowy do wykonania wstrzyknięcia. Lek Yuflyma przechowywać w miejscu niedostępnym dla dzieci.</w:t>
      </w:r>
    </w:p>
    <w:tbl>
      <w:tblPr>
        <w:tblStyle w:val="ac"/>
        <w:tblW w:w="0" w:type="auto"/>
        <w:tblLook w:val="04A0" w:firstRow="1" w:lastRow="0" w:firstColumn="1" w:lastColumn="0" w:noHBand="0" w:noVBand="1"/>
      </w:tblPr>
      <w:tblGrid>
        <w:gridCol w:w="9394"/>
      </w:tblGrid>
      <w:tr w:rsidR="002E5800" w:rsidRPr="008F328C" w14:paraId="15F6768D" w14:textId="77777777">
        <w:trPr>
          <w:trHeight w:val="2551"/>
        </w:trPr>
        <w:tc>
          <w:tcPr>
            <w:tcW w:w="9550" w:type="dxa"/>
          </w:tcPr>
          <w:p w14:paraId="2A810C34" w14:textId="381697F8" w:rsidR="002E5800" w:rsidRPr="008F328C" w:rsidRDefault="00D22235">
            <w:pPr>
              <w:spacing w:line="260" w:lineRule="exact"/>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lang w:val="pl-PL"/>
              </w:rPr>
              <w:br w:type="page"/>
            </w:r>
          </w:p>
          <w:p w14:paraId="33BDED40" w14:textId="77777777" w:rsidR="002E5800" w:rsidRPr="008F328C" w:rsidRDefault="000E0B7C">
            <w:pPr>
              <w:pStyle w:val="a3"/>
              <w:numPr>
                <w:ilvl w:val="0"/>
                <w:numId w:val="25"/>
              </w:numPr>
              <w:ind w:leftChars="50" w:left="470"/>
              <w:rPr>
                <w:b/>
                <w:lang w:val="pl-PL"/>
              </w:rPr>
            </w:pPr>
            <w:r w:rsidRPr="008F328C">
              <w:rPr>
                <w:rFonts w:eastAsia="Times New Roman"/>
                <w:b/>
                <w:bCs/>
                <w:lang w:val="pl-PL"/>
              </w:rPr>
              <w:t>Przygotować materiały potrzebne do wykonania wstrzyknięcie</w:t>
            </w:r>
          </w:p>
          <w:p w14:paraId="1843793C" w14:textId="77777777" w:rsidR="002E5800" w:rsidRPr="008F328C" w:rsidRDefault="002E5800">
            <w:pPr>
              <w:pStyle w:val="a3"/>
              <w:numPr>
                <w:ilvl w:val="0"/>
                <w:numId w:val="0"/>
              </w:numPr>
              <w:ind w:left="470"/>
              <w:rPr>
                <w:b/>
                <w:lang w:val="pl-PL"/>
              </w:rPr>
            </w:pPr>
          </w:p>
          <w:p w14:paraId="6F8EA320" w14:textId="77777777" w:rsidR="002E5800" w:rsidRPr="008F328C" w:rsidRDefault="000E0B7C">
            <w:pPr>
              <w:pStyle w:val="a3"/>
              <w:ind w:leftChars="50" w:left="110"/>
              <w:rPr>
                <w:lang w:val="pl-PL" w:eastAsia="ko-KR"/>
              </w:rPr>
            </w:pPr>
            <w:r w:rsidRPr="008F328C">
              <w:rPr>
                <w:rFonts w:eastAsia="Times New Roman"/>
                <w:b/>
                <w:bCs/>
                <w:lang w:val="pl-PL" w:eastAsia="ko-KR"/>
              </w:rPr>
              <w:t xml:space="preserve">     a.</w:t>
            </w:r>
            <w:r w:rsidRPr="008F328C">
              <w:rPr>
                <w:rFonts w:eastAsia="Times New Roman"/>
                <w:lang w:val="pl-PL" w:eastAsia="ko-KR"/>
              </w:rPr>
              <w:t xml:space="preserve"> Przygotować czystą, płaską powierzchnię, taką jak stół lub blat, w dobrze oświetlonym miejscu.</w:t>
            </w:r>
          </w:p>
          <w:p w14:paraId="4E14E288" w14:textId="64776453" w:rsidR="002E5800" w:rsidRPr="008F328C" w:rsidRDefault="000E0B7C">
            <w:pPr>
              <w:pStyle w:val="a3"/>
              <w:ind w:leftChars="50" w:left="110"/>
              <w:rPr>
                <w:lang w:val="pl-PL" w:eastAsia="ko-KR"/>
              </w:rPr>
            </w:pPr>
            <w:r w:rsidRPr="008F328C">
              <w:rPr>
                <w:rFonts w:eastAsia="Times New Roman"/>
                <w:b/>
                <w:bCs/>
                <w:lang w:val="pl-PL" w:eastAsia="ko-KR"/>
              </w:rPr>
              <w:t xml:space="preserve">    b.</w:t>
            </w:r>
            <w:r w:rsidRPr="008F328C">
              <w:rPr>
                <w:rFonts w:eastAsia="Times New Roman"/>
                <w:lang w:val="pl-PL" w:eastAsia="ko-KR"/>
              </w:rPr>
              <w:t xml:space="preserve"> Wyjąć 1 wstrzykiwacz z kartonika przechowywanego w lodówce.</w:t>
            </w:r>
          </w:p>
          <w:p w14:paraId="1243686E" w14:textId="77777777" w:rsidR="002E5800" w:rsidRPr="008F328C" w:rsidRDefault="000E0B7C">
            <w:pPr>
              <w:pStyle w:val="a3"/>
              <w:ind w:leftChars="50" w:left="110"/>
              <w:rPr>
                <w:lang w:val="pl-PL" w:eastAsia="ko-KR"/>
              </w:rPr>
            </w:pPr>
            <w:r w:rsidRPr="008F328C">
              <w:rPr>
                <w:rFonts w:eastAsia="Times New Roman"/>
                <w:b/>
                <w:bCs/>
                <w:lang w:val="pl-PL" w:eastAsia="ko-KR"/>
              </w:rPr>
              <w:t xml:space="preserve">    c.</w:t>
            </w:r>
            <w:r w:rsidRPr="008F328C">
              <w:rPr>
                <w:rFonts w:eastAsia="Times New Roman"/>
                <w:lang w:val="pl-PL" w:eastAsia="ko-KR"/>
              </w:rPr>
              <w:t xml:space="preserve"> Należy upewnić się, że są dostępne następujące materiały:</w:t>
            </w:r>
          </w:p>
          <w:p w14:paraId="3F0A0274" w14:textId="5350BD9C" w:rsidR="002E5800" w:rsidRPr="008F328C" w:rsidRDefault="000E0B7C">
            <w:pPr>
              <w:pStyle w:val="a3"/>
              <w:ind w:leftChars="402" w:left="884"/>
              <w:rPr>
                <w:lang w:val="pl-PL" w:eastAsia="ko-KR"/>
              </w:rPr>
            </w:pPr>
            <w:r w:rsidRPr="008F328C">
              <w:rPr>
                <w:rFonts w:eastAsia="Times New Roman"/>
                <w:lang w:val="pl-PL" w:eastAsia="ko-KR"/>
              </w:rPr>
              <w:t>- wstrzykiwacz</w:t>
            </w:r>
          </w:p>
          <w:p w14:paraId="7E0CE258" w14:textId="77777777" w:rsidR="002E5800" w:rsidRPr="008F328C" w:rsidRDefault="000E0B7C">
            <w:pPr>
              <w:pStyle w:val="a3"/>
              <w:ind w:leftChars="402" w:left="1659" w:hanging="775"/>
              <w:rPr>
                <w:lang w:val="pl-PL" w:eastAsia="ko-KR"/>
              </w:rPr>
            </w:pPr>
            <w:r w:rsidRPr="008F328C">
              <w:rPr>
                <w:rFonts w:eastAsia="Times New Roman"/>
                <w:lang w:val="pl-PL" w:eastAsia="ko-KR"/>
              </w:rPr>
              <w:t>- 1 gazik nasączony alkoholem.</w:t>
            </w:r>
          </w:p>
          <w:p w14:paraId="4F5451BD" w14:textId="77777777" w:rsidR="002E5800" w:rsidRPr="008F328C" w:rsidRDefault="002E5800">
            <w:pPr>
              <w:pStyle w:val="a3"/>
              <w:ind w:leftChars="402" w:left="1659" w:hanging="775"/>
              <w:rPr>
                <w:lang w:val="pl-PL" w:eastAsia="ko-KR"/>
              </w:rPr>
            </w:pPr>
          </w:p>
          <w:p w14:paraId="70D09E97" w14:textId="77777777" w:rsidR="002E5800" w:rsidRPr="008F328C" w:rsidRDefault="000E0B7C">
            <w:pPr>
              <w:pStyle w:val="a3"/>
              <w:ind w:left="720"/>
              <w:rPr>
                <w:b/>
                <w:lang w:val="pl-PL" w:eastAsia="ko-KR"/>
              </w:rPr>
            </w:pPr>
            <w:r w:rsidRPr="008F328C">
              <w:rPr>
                <w:rFonts w:eastAsia="Times New Roman"/>
                <w:b/>
                <w:bCs/>
                <w:lang w:val="pl-PL" w:eastAsia="ko-KR"/>
              </w:rPr>
              <w:t>Niedołączone do opakowania:</w:t>
            </w:r>
          </w:p>
          <w:p w14:paraId="0E610C62" w14:textId="77777777" w:rsidR="002E5800" w:rsidRPr="008F328C" w:rsidRDefault="000E0B7C">
            <w:pPr>
              <w:pStyle w:val="a3"/>
              <w:ind w:left="720"/>
              <w:rPr>
                <w:lang w:val="pl-PL" w:eastAsia="ko-KR"/>
              </w:rPr>
            </w:pPr>
            <w:r w:rsidRPr="008F328C">
              <w:rPr>
                <w:rFonts w:eastAsia="Times New Roman"/>
                <w:lang w:val="pl-PL" w:eastAsia="ko-KR"/>
              </w:rPr>
              <w:t>- wacik lub gazik bawełniany</w:t>
            </w:r>
          </w:p>
          <w:p w14:paraId="3C24B317" w14:textId="77777777" w:rsidR="002E5800" w:rsidRPr="008F328C" w:rsidRDefault="000E0B7C">
            <w:pPr>
              <w:pStyle w:val="a3"/>
              <w:ind w:left="720"/>
              <w:rPr>
                <w:lang w:val="pl-PL" w:eastAsia="ko-KR"/>
              </w:rPr>
            </w:pPr>
            <w:r w:rsidRPr="008F328C">
              <w:rPr>
                <w:rFonts w:eastAsia="Times New Roman"/>
                <w:lang w:val="pl-PL" w:eastAsia="ko-KR"/>
              </w:rPr>
              <w:t>- plaster samoprzylepny</w:t>
            </w:r>
          </w:p>
          <w:p w14:paraId="66F748A1" w14:textId="77777777" w:rsidR="002E5800" w:rsidRPr="008F328C" w:rsidRDefault="000E0B7C">
            <w:pPr>
              <w:pStyle w:val="a3"/>
              <w:ind w:left="720"/>
              <w:rPr>
                <w:lang w:val="pl-PL" w:eastAsia="ko-KR"/>
              </w:rPr>
            </w:pPr>
            <w:r w:rsidRPr="008F328C">
              <w:rPr>
                <w:rFonts w:eastAsia="Times New Roman"/>
                <w:lang w:val="pl-PL" w:eastAsia="ko-KR"/>
              </w:rPr>
              <w:t>- pojemnik na odpady ostre</w:t>
            </w:r>
          </w:p>
          <w:p w14:paraId="37AA2912" w14:textId="77777777" w:rsidR="002E5800" w:rsidRPr="008F328C" w:rsidRDefault="002E5800">
            <w:pPr>
              <w:pStyle w:val="a3"/>
              <w:ind w:leftChars="402" w:left="1659" w:hanging="775"/>
              <w:rPr>
                <w:sz w:val="26"/>
                <w:szCs w:val="26"/>
                <w:lang w:val="pl-PL"/>
              </w:rPr>
            </w:pPr>
          </w:p>
        </w:tc>
      </w:tr>
      <w:tr w:rsidR="002E5800" w:rsidRPr="00A5286D" w14:paraId="62104725" w14:textId="77777777">
        <w:trPr>
          <w:trHeight w:val="5025"/>
        </w:trPr>
        <w:tc>
          <w:tcPr>
            <w:tcW w:w="9550" w:type="dxa"/>
          </w:tcPr>
          <w:p w14:paraId="2B2EBEFD" w14:textId="4FB88A50" w:rsidR="002E5800" w:rsidRPr="008F328C" w:rsidRDefault="00F2584C">
            <w:pPr>
              <w:spacing w:line="260" w:lineRule="exact"/>
              <w:rPr>
                <w:rFonts w:ascii="Times New Roman" w:hAnsi="Times New Roman" w:cs="Times New Roman"/>
                <w:sz w:val="26"/>
                <w:szCs w:val="26"/>
                <w:lang w:val="pl-PL"/>
              </w:rPr>
            </w:pPr>
            <w:r w:rsidRPr="008F328C">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8284" behindDoc="0" locked="0" layoutInCell="1" allowOverlap="1" wp14:anchorId="759EED49" wp14:editId="007353BA">
                      <wp:simplePos x="0" y="0"/>
                      <wp:positionH relativeFrom="column">
                        <wp:posOffset>62865</wp:posOffset>
                      </wp:positionH>
                      <wp:positionV relativeFrom="paragraph">
                        <wp:posOffset>100965</wp:posOffset>
                      </wp:positionV>
                      <wp:extent cx="2033905" cy="2635250"/>
                      <wp:effectExtent l="0" t="0" r="4445" b="0"/>
                      <wp:wrapSquare wrapText="bothSides"/>
                      <wp:docPr id="3937" name="그룹 3937"/>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37" name="그룹 37"/>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2772E293" w14:textId="231D80EA"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 xml:space="preserve">Rysunek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909320" y="1320800"/>
                                  <a:ext cx="930303"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D13241" w14:textId="173C895F" w:rsidR="006D7011" w:rsidRPr="009A2CB5" w:rsidRDefault="006D7011">
                                    <w:pPr>
                                      <w:rPr>
                                        <w:rFonts w:asciiTheme="majorBidi" w:hAnsiTheme="majorBidi" w:cstheme="majorBidi"/>
                                        <w:b/>
                                        <w:bCs/>
                                        <w:sz w:val="16"/>
                                        <w:szCs w:val="14"/>
                                      </w:rPr>
                                    </w:pPr>
                                    <w:r w:rsidRPr="009A2CB5">
                                      <w:rPr>
                                        <w:rFonts w:ascii="Times New Roman" w:eastAsia="Times New Roman" w:hAnsi="Times New Roman" w:cs="Times New Roman"/>
                                        <w:b/>
                                        <w:bCs/>
                                        <w:sz w:val="16"/>
                                        <w:szCs w:val="14"/>
                                        <w:lang w:val="pl-PL"/>
                                      </w:rPr>
                                      <w:t xml:space="preserve">EXP: </w:t>
                                    </w:r>
                                    <w:r w:rsidRPr="009A2CB5">
                                      <w:rPr>
                                        <w:rFonts w:ascii="Times New Roman" w:eastAsia="Times New Roman" w:hAnsi="Times New Roman" w:cs="Times New Roman"/>
                                        <w:sz w:val="16"/>
                                        <w:szCs w:val="14"/>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59EED49" id="그룹 3937" o:spid="_x0000_s1140" style="position:absolute;margin-left:4.95pt;margin-top:7.95pt;width:160.15pt;height:207.5pt;z-index:251658284"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bPdxJBAAA3wwAAA4AAABkcnMvZTJvRG9jLnhtbNxX7W7bNhT9P2Dv&#10;QOh/Y8t2PizEKbxkCQpkbdBk6G+aoiwhEsmRdOzsdQbsFbYCfaLtJXYuKdmJ3aJJMBTYEES5/Lq8&#10;9/DcQ+b49aqp2Z20rtJqkqR7/YRJJXReqfkk+fnm/NVRwpznKue1VnKS3EuXvD75/rvjpcnkQJe6&#10;zqVlcKJctjSTpPTeZL2eE6VsuNvTRioMFto23KNp573c8iW8N3Vv0O8f9Jba5sZqIZ1D71kcTE6C&#10;/6KQwr8rCic9qycJYvPha8N3Rt/eyTHP5pabshJtGPwFUTS8Uth07eqMe84Wttpx1VTCaqcLvyd0&#10;09NFUQkZckA2aX8rmwurFybkMs+Wc7OGCdBu4fRit+Lt3YU11+bKAomlmQOL0KJcVoVt6C+iZKsA&#10;2f0aMrnyTKBz0B8Ox/39hAmMDQ6G+4P9FlRRAvmddaL88Ssre93GvUfhrBsxTMR9ZVmVT5LhYcIU&#10;b8Ctv/748+/fPjJ0tLn8Z5Izlcjw2x4wrJ0D/nohYJVfWJm0Tpon+Wi4vV2YV+Ci4b6aVXXl70Nd&#10;gXUUlLq7qsSVjY0N5unR+CHov39i1APUaQ1Ni4s4JXWpxa1jSp+WXM3l1BnUJJSCZvceTw/NRzvO&#10;6sqcV3VNLCS7zQ31u8X/z8ATa+tMi0UjlY9iYWWNNLVyZWVcwmwmm5kEh+ybPATEM+et9KKkDQts&#10;/B7BUqAPBkKUm8AoBYfyYbPlTzoHC/nC6yAFTyufwXh0AGEK5TMap4ejUD7rIgCE1vkLqRtGBkJF&#10;RME9v7t0bWzdFIpaaQIMMfOsVo864JN6QvwUcWsiASopyK/r8EVrB+FnKcx1yY1ElOR2wxqoRCzU&#10;G1KPH/SK7cdKDZNIg5hfobtlBy2OcXaKsJaidJgOj1L4I9EZHY1xE5AnnnWydIiecQtrCoCjKL0c&#10;VafrKu+YSHCf1pbdcVwqy7LyMpAZHHk46wvob7Iiy69mq6BiBwcdFDOd3wMJq3HYyMAZcV5hw0vu&#10;/BW3uJzQiQvXv8OnqPVykujWSlip7a+f66f5OFGMJmyJy26SuF8WnMSifqNw1nDpO8N2xqwz1KI5&#10;1Ug1DdEEEwusrzuzsLr5gHt4SrtgiCuBvSaJ78xTH69c3ONCTqdhUtScS3VtoFRpoDQBe7P6wK1p&#10;ye5xnm91xyaebXE+zqVzd2aKsjuvQkEQsBFFUJwaYHaw2tvtG9E9HQx3CE99ICoFhbp4DuXH/fFw&#10;AGzB+BTG0Tbjx8M+fqKQDEfpuB9uwX+J8eE5Jtecn82jfO8wnoGNeAP0w2mulagVHlRneJC1skUY&#10;xPIOlr+vZRSt97JASYQHRzhaegpu9uZCQM67/WuF2TQrivXTF7bzaWmM6jm7rleEnbXy68VNpbQN&#10;2W9Blt92IRdxfktNF/MmCDZa0D5gOhb/L7RAePuN1CCU/BfqH69oAP/omf6wHQ5l83/JyT8AAAD/&#10;/wMAUEsDBBQABgAIAAAAIQCzvm6zso8AAKDiCQAUAAAAZHJzL21lZGlhL2ltYWdlMS5lbWbsnfe3&#10;VMW27+u8MN54f8L76fru0fPUaxhmj3pUDkYEs4Jej5FkQsUAioKIophFERVMiGLAgJhQVBQQE6gk&#10;BQNiwJwxnfj6U/pdt3Zbu/bu3t27e62ee4y1q1bNinN+67tm16q11u+ccyeUDv0d/zvnniwd+hv8&#10;f5zb7t+cW2fXPrs59zt3y3v/2/33kjDI4rOe+7+c2/Z/ONevJHhWhX8N5+z0P92r3/83t1/pfJ1S&#10;ef2Vt6X0E0p1PFU69i0lrF86hpeOO1f/Um4d97KTHBl1kPd3bp3S2X/l8ye//vvXv/7l7DAdGAYM&#10;A4YBw4BhwDBgGDAMGAYMA4YBw4BhwDDQShhY599+7+wwHRgGDAOGgebBQOwaZPZpHvuYLcwWhgHD&#10;ABhIcXVMZmn2G9MwYBgwDHQfBnStjuk8JYvlt7Tus5vp2nRtGGgtDKT4OCUznLQWTszeZm/DQGMx&#10;kOLjlMzs1li7mf5N/4aB1sJAio9TMsNJa+HE7G32Ngw0FgMpPk7JzG6NtZvp3/RvGGgtDKT4OCUz&#10;nLQWTszeZm/DQGMxkOLjlMzs1li7mf5N/4aB1sJAio9TMsNJa+HE7G32Ngw0FgMpPk7JzG6NtZvp&#10;3/RvGGgtDKT4OCUznLQWTszeZm/DQGMxkOLjlMzs1li7mf5N/4aB1sJAio9TMsNJa+HE7G32Ngw0&#10;FgMpPk7JzG6NtZvp3/RvGGgtDKT4OCUznLQWTszeZm/DQGMxkOLjlMzs1li7mf5N/4aB1sJAio9T&#10;MsNJa+HE7G32Ngw0FgMpPk7JzG6NtZvp3/RvGGgtDKT4OCUznLQWTszeZm/DQGMxkOLjlMzs1li7&#10;mf5N/4aB1sJAio9TMsNJa+HE7G32Ngw0FgMpPk7JzG6NtZvp3/RvGGgtDKT4OCUznLQWTszeZm/D&#10;QGMxkOLjlKxodvvHP/7hGBMhx9///nf3z3/+0x9//evPmexvf/ub4wjzK590ovKqLwzJyzn1k4/z&#10;v/31rz5NsrA+5VF+9Uvtq00LGzuPTP+m/3pjIMXHKVm9+9Xd9Ysn4U24WO0rPca/5Ak5c/W7q9zz&#10;z813L73wvJvz1JNu8vUT3XUTrnY33nCdD6ffNc0tmD/PvbDgOZ9PdYc8TJ1Kp+6wfsli6eqvhcYZ&#10;hoFiYiDFxylZ0fAQ40SNMfSjSYNLly9d4h57eKYbdfYId9QRh7t1f/8Hh75+/+/r+XCjDTf2caUr&#10;JM96667v8xDfaout3OCBA9z1117jFr70ovvyyy/a8DNt/fTTjxl/q08K4XnFLSzmHDW7ml3BQIqP&#10;U7Ki4UdcDTdyaK2BOP4yPvGoc852gwb0d9tsvY37v+us63UXcjBp8DB8TbzHzju7Xnvs4fbcfXd/&#10;/GG9DbyMPByU1SGO53zfvfd2w08/zV195eXuuXlz/RqJfG/6SZ8UFs0ONh7jJcNAHAMpPk7JiqZP&#10;+A//mZCxwYX4s/jN6AEO3WD9//Bx8TTppww50d006Xo379ln3LIli7O1Z5WnrvI1FdpYs+ZDt+jl&#10;l9yM+6a7cWMvcPv06ZPxuNqDz2lrs0039/WH9RRN/zae+Pw0vZhehIEUH6dkKl+U0HN1aa2acNU7&#10;b7vzRo30/jP+Lhy9d+/enlNvu+Um99Tsx93DM2e4WY8+7O68/Ta/fjFh/JVu/BWXu4nXjPfnN0yc&#10;4C67eJw/Z8362quvcuRRXOeE90+/2817Zo57ffkyt3Txa+6RmQ+6S8dd5I4/drDn6Q032Mj74ccN&#10;HuSm3nqzvx7A28bdNo+LMv9sHB1jOcXHKVnRdCt/Gv4b2P+YbG2I9eQH7r3H+8Ajzhzuevfq5dcz&#10;Rgwf5qZNneJWvPG60z4RrR1rvULnP//8k/fVqbs879q1a90rCxd6Du9/9FGek1n/pm7WXt5/b7Ub&#10;PfKcbM2F68Y9d97h61O9RbOFjafjeWs6aj0dpfg4JSsaVsTVC+bP9WsRjH27bbdz+Md9DzqwtEbR&#10;211x6SV+jwdjV37tGxEvE0qmfOE5ayPKS7q4W/qEz/Hb8am3/+P2/rrx5BOz/Nq17HHEXw7L1mlU&#10;zsLWm7tm89ayueZ/zO4pWSx/ntPgTfZ2bL3l1t6n3mLzLf2ax113THUrXl+erUMzRvLq0JhDjkYG&#10;54Z54GjlDesgjizkcOWjPOsid0+73a+J9NlrL8f9SdbOb7lxkq2BlHQnXVlouig6BlJ8nJIVUS/4&#10;zuy169mjh+cA7i2KY+UL67kVxo+MczhV+ZQu/ZTLOJdMeUnjUBvibdpXXsl0rxPbwOPl9Sm/hcZd&#10;hoFiYSDFxylZ0XDA3mbttbv8knGeI3lmhTVj8aH4knPP0yXfWXogLTxIVznlF59zHtalfJQhXTJC&#10;/HPS6QvXhR9//NHt2nMX718POeH4rA31w8JizU+zp9lTGEjxcUqm8kUJ77jt1oyrWbNmXM/Oecrf&#10;29MYxbU6787wxecXZLx91rAzsr2Dn336ie9rI/vWnXqwtoy7WhUDKT5OyYqmL/bIsTcO33rlije8&#10;38z+Z/ZhaKyN5EOeXVc/eMZx/f+3oedrfg/QLx3y4ZXXQuM2w0AxMJDi45SsaPY/56wzs3164uT5&#10;c59tGq5++cUXMv+Z52e4prC2/uhDD2Ycjk3oe7imUjQ72XiKwTtmx8rtmOLjlKxouj7s0EM9Vx87&#10;aGDGfaw7NJNfDQdzvPbKIr/fGt/61psmZz41NjGurnwOFA3LNp5iYiDFxylZ0fCw+667ev7jeXHd&#10;z+NdHM3C1by7D51zv/HDD97PfgPw3GO5LfS7oDzdzos5h82urWHXFB+nZEXDB+9X4t0bcJ/WEFgL&#10;biau1jWEvSDYhnWQsWNG+70h4V7CotnGxtMaXGR2Tts5xccpWdH0qv167I1jbPB1M62B4FdrDYT+&#10;cV2hz+eW3v2nPX6kh/Gi2cjGk57Lpp9i6yfFxylZ0XAh7tNaA7xIvJn86nAtmv5iH7havwOwia1/&#10;FHu+Fm3e2Xg6j9cUH6dkRdOxcXXnMVM029t4zPZ5wECKj1OyPIytkj4aV9t8rQQvltfw0t0YSPFx&#10;Stbd/ax3e8bVNvfqjTGr3zDWFQyk+Dgl60qbzVjWuNrmUTPi0vpkuBQGUnyckql8UcJKuFp7LbQv&#10;g/Pw/l5n4uhNe/CId3RPkPucdm/R5m1R5puNo3Isp/g4JSuarivhao095FrSxLcKSYvxNtyusnxr&#10;IOT+8m8PqC3j6sqxLd1ZaLorAgZSfJySFWHs4Riq4Wo4WQecTJyQA/7VOe1IXu6DI1M+8oR9CuPG&#10;1cY3IR4s3np4SPFxSlY0rFTK1fKLxb3t8ax4O6Yv1YEMvo7lUZpxdevNTdneQrM9GEjxcUpWNPxU&#10;zNWl9/5LByHnfvXVl47vI/I980nXXeu/ecu3y6+56go3+fqJjm+C8T2X8Hsy8Dl1yL9WvWFoXG3z&#10;NcSDxVsPDyk+TsmKhpVKuBpuFb/yTlLeycH3anlH6Xrrru92+XNP/03bAccc7QYPHODjgwb0d8cc&#10;dZTbf999/Td3eT6c90XxbRfeF7V82dJsDTumW+Pq1pubMRxYWuviIMXHKVnRMFMpV3MP8MD99/ff&#10;0uI7ukOOP86dPOREz8vUJd0p5Hu2xOHoHXf4k+f2EWcOd/2PPsqnw/Nv4G8H3wULdWxc3bpzNMSB&#10;xVsXB+KSGAZSslj+PKdVwtXw6VFHHO6/Jz789NPcKSWOHnPuKPfqooX+/SHiW/nf6EXr0YRffP6Z&#10;/2b6448+4vC3h540xHP25ptt4f3rmB6Nq1t3jsbwYGmth4cUH6dkRcNKJVzN+5zQzQH77edOPeVk&#10;x/e1Ztx/r1+/Lt9zF3K0dAaHK5217Llznvb+OHWOHnlOtg6u/ITG1a03N0P7W9zsn+LjlKxo2KmE&#10;q3lvKt9kYS16ys03+m/o3nfPXe6nn37MePaHH37wa9roSbwc6kxpcDV++LDTTvX8f9zgQVkdYX7j&#10;apurIR4s3np4SPFxSlY0rFTC1fKrt9t2O+9PPzLzQTdu7AVu2tQpju/Wnj/6XHf8sYMd3wMb2P8Y&#10;z+msSxM/49Sh7pKLxvo9IQ+WfPEx54706yaE6PvqKy83ri5d34qGLxuP2bSrGEjxcUrW1XabrXwl&#10;XE3f4Vt8a90zlK4ID+3Xz406e0S2X++GiRP8/r2LLxzr+Xr7P27v7zGGZYjzzUc9w1iuH/Orba6X&#10;Y8LOWwsT4ouY3VOyWP48p1XK1aw54xcffeQRfg/IzZNvcHxrnHUQ3VtEH6x1aL1Da9nsrV6+dImb&#10;9ejD/lsB+N9nl/aEfPftt9m6Sbkujatba16W29/Ozf4pPk7JioadSrgang6fV1Rc3zwUN0tHnFMG&#10;DickHd4mHtalelQuDI2rba6GeLB46+EhxccpWdGwUglXM3b4V34y5/AsR7lfLW4O9UU+nVNPxuUl&#10;fzuWn7zG1a03N4URC832YCDFxylZ0fBTDVfDsehBIXFxLT600knjCP1m8bXyK2xPr8bVNl/bw4al&#10;twY2UnyckhUNH5VydTh+eBZeDv3sUK54yN8hbyOnPHKto6iMQuPq1piPsreFZu9yDKT4OCUrryfv&#10;55VytefVErcybuKhXxzGU3qBn+Fswo7KGFfb3E1hyWTFx0eKj1OyomGjUq7u7vEbVxd/LnY3pqy9&#10;fGEqxccpWdHsbFydL9wWDX82HsNfRxhI8XFK1lG9eZMbV9tcyRtmrb+thdkUH6dkRcOJcXVr4b5o&#10;+LXxFB+/KT5OyYqGDePq4mO9aJi18bQWZlN8nJIVDSfG1a2F+6Lh18ZTfPym+DglKxo2jKuLj/U8&#10;Ypb9nGG/tbcz3J+vtDAfce0FRR7Gy/fwa99oeXnOKaujvC+x/JZWv3mU4uOUrGg2Ma6uH8aKhpXu&#10;GA/8yL59vTeGNkNORc65+gKPkj98hzrnMX4tT+ec+pRX9ZJG/eVtkV951L6F9Z8/KT5OyYpmG+Pq&#10;+mOtaJjprvHAlTrCNkmDXwlJF9fC74qTrnwqq3P4VmXD8rE4+TiMoxs3T1J8nJLJ7kUJjasbh8Gi&#10;YKjW4xCnhnxKPFzD4FxywpBLV7y+3L97d9HLL7kF8+f5g28a8c050niHL89YrX53VRv/PByHOF/t&#10;qC2lh3ktXt85lOLjlKxodjGuri/OioaXeo8HzuX4+eefMh4N3zfDOsSHH7zv+ff2KbeUvkt0vv+O&#10;Bd8AZd4Kz5rDhL//9/XcH9bbwIfIJSNd5wOOOdp/p5lvG11z1RWO7ze//eZK3wf6o+tEeE2oty6s&#10;/l/mpuwV00dKFsuf5zRhGz+DceA/EOd7XRpXI30Je8Y8P9eSjnACz8XyyGcFb8j53v3Sxa/578Rd&#10;e/VVbuSIszyP9u7Vy22y8ab+u0TMUWEXzuVQWjkvK5/knOsgTZytkG8eKb7euuu7/ffd13+Pjn7Q&#10;n/un3126Vsx1H61ZEx2P5pHmTxjGxh/KLf5bvGMjjphuUrJY/jynCcfG1b/FSJ7t2t19xw8W5+IH&#10;h2vH8knL+yTuphxrE3wv+aADDsh8XfGpeJh5SRpcrDlaHiJXPkK4Njwvz19+HnI0dcHbhOqD0lRv&#10;zx493BWXXuJWrnjD+95wsfQQ8jK/BzjKdaA8hO3pqbxMq53LRrFxp2Sx/HlOEw6Nq42ru4pj+AbO&#10;hoPDtQJxl7iZ8Mcff/R+6V13THX77r2351O+46m5B0eKk8Go0glj3/oM5apH5eBZHXAs5cXBlBM/&#10;h3UorjrIL34OZaqHOvbYbTc38Zrx/pt06DLkYelWuhBvew4vfWtDcgt/Ow+l75huUrJY/jynGVf/&#10;Fht5tmcj+g73wkHiJvVB5+Ltt996002/a5obUfrG5n8ecohfz2CuwYHiROExTIMPxbWEmp/KS5o4&#10;U/XA1+J68iuv5DqnHAd5VA9lkdMH0lSGeHiOXO2STh2qa6c/7ejOPON0x5r68mVLM18bbkYv6Eu8&#10;Xa4vnVv4y9yUvWP6SMli+fOcJsyaX22cXS2OxcUq733FX3/zw0f33HmH502wxiE+k/+r+SYZcuUR&#10;/yFTnFDnKhPjTfGnwpD/VYe4N6wPmcoQF+eHfUJOfchJ32D9//Bx5Ve/OOfos9defo3n22+++c1v&#10;jhhvS5cW2je8hAEwBe6Mq42rhYlqQvia491V77hHZj7oj7OGneG22HzLzEeF08Rvwh08Jr5UnBA5&#10;h9K23nJr12uPPdwJxx3rxpw7yl195eVuys03uhn3TXdPz37CvbpooVvxxuvuvdXv+n0irJfDgVpr&#10;IB5eU4h/+eUXft/emytXePzPn/use/D+e92dt9/meZV2jh000B24//5uww028pxMXxmHeFv91BjU&#10;Z8apawN5kXNsu822buhJQ/xek9eXL2vjX4f9q8YGRS0DBjhi40vJYvnznAa2wJBxtXF1iGN+p8Md&#10;PA+otQzJSQ+5D/nXX3/lRgwf5ueU+EvzqJzHOEdWHpImDiTOOskNEyd4/qcNDtpVP+od0haHxs91&#10;gN8Igwb09+s3+Nv40+JnjUnnhIxH58g5KKe0o4443O8F11jUnnhbfUCuvYvKozJFD6W32DhTslj+&#10;PKeBGeNq4+kUhuEN+afKJ9746qsvS37uSLfRhhtn/AM/iaOEL+YUaWBN/Ma55hpx/NDhp5/mZj/+&#10;mPvg/fc8J+u60AiuFkfDjRq39moQzp3ztL8+4fOH/MuYGIuuRehA3Kw08pBGvm223sZfk7779ts2&#10;16JY+/Qj5HH1q8ihMBIbY0oWy5/nNM0l86uNr0Mcwwdwhfw6cbW46rVXFrlLx13oeuy8s9/vLK4S&#10;H8NJ4ijxlmSck5+1hYsuGOPXMd4orQd8//33nofUJv1Re2Fa2M96xtWm9EBb4kniyAnp95LSfvCH&#10;ZtzvLr5wrDuk78F+rUPjFT8zbg7xtPQjvuEaNursEf75Sn7P6DpFO1rTCduv59ibqW7pJ9anlCyW&#10;P89pxtXG0TH8yqdDJr4kjWek2McB/+h+Gmu5zBm4SaF4SnsqlHfnHXdy06ZOcaveedvznK4BcBBx&#10;eEkcpX6JM3XenSFjFyer3fb6Q7p4HW6dUVr7Zj+i5hi6IS5+QUfoDl1Kn4Tk2XSTzRzPxdNm2L7s&#10;0kqcLX1J/2GYkoX5ihAXjsyvNs4uxzP+IjwhPuW+m/hYcyTkHtLC89CH3HP33d1lF4/z69pqBx4M&#10;OUe+Y8hN5C0/V/nuCuFH+ooexJXqV9h/+smhNIWTr5/oeGYG/cDF0l0YL9cr5xtvtIm/B/nDDz9k&#10;azC0H553lw4a2Y70FetDShbLn+c042rj6Bh+xY9rPvzATbruWn8/DW4RpxAKO8wX/GfkrG0g48Cn&#10;ZL8GzyTCWxxwDYd4TdynUO1KHutbd6WFfVWb6nt4Tlz9FT8rTfwOv/LcPM9mHtqvn/eb0R96kl4V&#10;1/WOax1pfQ860N/T5DeN9FPeD/WniGGKj1OyoulC88386tblbPhFHCAfmnMwscP2O3i+0JyAP7Q2&#10;rTSFpB95+F/8+jN76VRn0eZMLcbDO0/OOetM72MzB7XXvDwu3fIeFOJ3T7v9l7Wjkp9PP9CxroOc&#10;65pXiz42Sx3SQaw/KVksf57TjKtbl6PBrfwz5rzWpXm+kGfu5NeJP/D/iOuAX8jT7+CD/H1G/Odw&#10;LoQ+Zphu8V8wh+6XL13i1zl4Vkb6VYhPDRdxTsg5OmePOXsH165dm10PsZ9sWTT9pvg4JSuaHoyr&#10;W5urhWfez/HN11/7tQ4wAQdrHigM0/ChSeedc9Qh3gj52fzq9rGFvqUf+cILX3rRP++D/tEt3Kx7&#10;spzL95Y9BvY/po0frfpk06KEGm9sPClZLH+e04yr259PebZrZ/suniD/qaec7DlCfhzzQHs8iIMV&#10;8ch+++zj90DHuDn8Td7ZfrRyPvnE6IA16V177uL3q2MHHfA2ca6XsgFx3tfKeorsWES+TvFxSlY0&#10;TBlXtzZXM895J/M+ffp4P048oN/f8AEcwTlrpqcNPcU9cO89jmdgxDFwszhC6yjME6UVbc7UajzS&#10;D6Hi1I0++bbNBeeN9n41NtDvGGwBP8kunPPsPfsg1373XZs1qFr1s9H1pPg4JWt0v2vdvnF1a3M1&#10;9wLBO3NeWBAXaB7ofN4zc7K9a+BQexzgGfgF307+Xa1xWrT6wuubxub3Bf56z5A09LpmzYeO3zCh&#10;LbhuYitdV2Uf3r3CM0Wqryihxh4bT0oWy5/nNM1P2wdSHM6O+WkhN8Cx+MU8Xyf/Gb9NHAD+FSf9&#10;6COPcNxvzDPO89x3nrfn3qM4WfzE9ZVn+2VDzg/p29eviWi8+gaE9vcoPU+hxhvrc0oWy5/nNOPq&#10;4nA0OMSvhZd1hL+tkXHOt2HhaXDOPOf3tDCveQ8u9unT28165KHs93lYV54xn7e+o3c4l+/8cj9R&#10;+29Cv1p2g6/ZZzn+iss8Z+u3D2MGE8IIPnxe7ClsxuyWksXy5znNuLpYXC0sai1C/hT7NNh7wHpz&#10;yM3COnOc+U7IMXrkOS33fJx012whtpQ94Ve+3RvaC7vx+0dzWfble7+MRb+pVIfGR13laZI1UyiM&#10;xvqUksXy5zlN9rU1kGJwtnyl0IfSfOT7UvLF8M2Y45rXwjwccHqJz/HjwLXqCf2zPOM9j32XTWUP&#10;nsXn3iPfntHaleynkP072HrsmPPaXHNlzzzpQWOK9Tkli+XPc5pxdTE4WhiUHx3OSd7/dmLp+Qn5&#10;zLI5PA1fc5DGMxa8s1/cTh1hPOQMtWdh/fGD3rErYXjwPV6efcSO2A/eIsSe2FppXHu5RwnHY6+w&#10;Ptm3me2Y4uOUrJnHVE3fsCd2Nb+6/nOuGvtUW0Y8yze2hWdsjR+mc0LZn3dx8v5ktSfO55y5HYbK&#10;Y2HjMQP/3nLjJG9TODq0LRwuzuYd2zwjqT2V4m3j6sbbsLPzSHPVuDo/NpNt5WNxTjz0pZmX+FPh&#10;/MXW8qXF2/ouibidevIwf6WDVg+xG8fsWY+5k4ec2OZ3kmyvEN7mW73YmGsx5YgLP4pz3kwY0PUn&#10;ZuuULJY/z2nG1fnj6BBvzC/NPdKZg4tffcVtt+12bXws+dDCNpzN8y+80171MXeJy+dSuoXNixFs&#10;Fv4GuuSisd7uuiZjb+IcxOHre+++M7O5bMv9CdUTcrbkjQyF2VgfUrJY/jynGVc37zzsCFfyfQjF&#10;r7y/FPxi1/JDc5X5yr4u6i+fl5qvHbVt8sbjBrtjL61rYBO+k679mNibNS/sLdsTcvDsKbYPMURd&#10;YVqz2Fh9jvUnJYvlz3OacXXj51w1+Ak5lvnGeyTYj4c9wS+/e/GlmKfECTmQ821uvqFNu5qrxKnT&#10;uDo/eBAGsKHWM7Afv5X4Jg3fVxMGwAT251z7+6beerPHgOf7UjkwIPur7mqwWesyKT5OyWrdj0bX&#10;Z1ydn7lZjhXmJ8e4sed7fhZusanuIeq3LzLiT81+3HMy5fR9EeYl872Z5mf5WO28fZzCr7IdoX5j&#10;zXv2mcyfhqfBgHAhrLBHCCw0I0fL5uqrzsMwJQvzFSFuXN3+HGhm+zK/6J/2AIT+EzYVhvVOTebo&#10;heePyfwvyjKvy+c56aq7mcdvfWu7fhX+PkI3ei6RtQ7dWwQT4mzSwAnh8mVLPZa4dntMBO8kaQY9&#10;C8uxvqRksfx5TjOubh6uDjlSfhLYYh6W+73srR168kn+eeNw3oFdzsXd2JfnXvheOHNR/hP1hm3k&#10;GcPW97YYBkfYVvzNWoc4Da4GH5wTBx+8G+rtN1e2KRNisdH6Vd9j/UjJYvnznGZc3RbnzWLLcm7m&#10;+XDxLGvNm2+2RTb/NO8I9b5p5iO+NH613r2muat6mmWs1o/6YVDrXHfdMTW7lwFO+O6ufGxC3tHH&#10;9b8ZbZHi45SsGcfSlT4ZV9dvnlRjF/yhcn9X5+yZZg8tNhMXM8/COSfsksY72GY9+nA2/+BqrXlQ&#10;ZzP5TtXoysrEsRte50M8cY3Hh9ZvLvnX4gD4+4UFz/n3CwhzzaBjYTrWl5Qslj/PabKTPQsTx313&#10;2lb8Gc4TxXnHmr6PCj6Zb6xthFytuYc/DU/D7eq/6uGcuaz7T5Jb2Hj718oG4mpCHdif6zS/scAP&#10;v7d0jedc13/evVqrftSqnhQfp2S1ar9Z6jGubq45GnIq94c4Joy/0s8vcbHmFmF4Xx85HE36xReO&#10;zeZcyMthPNyX2yx4tH50HY+yKzwtffIbSuc8uygMgRk4gHMO8DPqnLOzvCrfyFB9i/UhJYvlz3Oa&#10;cXXX50Y19g85OYxrPpHG/XnWPMCj/Gf9ftW55prOyUuZTz/5OPOpwv6F6x5qK5RbvDF4qKXewU6I&#10;KcWxvew/58nZbucdd/K4EqbEBYR8e5P36NKv8vpq2dfO1JXi45SsM3XnKY/sY2sg3TdH+S0q3wes&#10;lL9/lDTWmYXD9kL51PA1843w0nEX+fkV+s/Gyd1n2zzMffH1lJtv9BgTdsBZuC5y602Tsz2ewpDC&#10;7hyn8B9rMyWL5c9zmnF1Y+YxvgqcLewrhMPxp3f5c0//25R5JDyGodKxH+msP/Y96EDP09QhXyrP&#10;2LS+1webYAO+Bid77r57mzUQrv9gCjzt3bt3toaCLRqFKeE+hoeULJY/z2nG1fWZDx1hAm5mvgj/&#10;hMuWLPbvkOYeIv4NtsFXFh7DUBytcLNNN3cLX3ox436uA/SBUG101CeTNwYL3an3EHNg8OOPPvLv&#10;D+HaL7xpXY1zvhn29ddfeQwJU93ZX9oS7mPtpmSx/HlOwx7wgq2BdN88xZ+RXyPsPDdvrn83nrhX&#10;dtG5MBmG2ktN2oo3Xs94mvUP6lfdtKe4hd1n52bUtXCh6zd8zT497inC0RzhOgjYunnyDe77779v&#10;GIaE+Zg+U7JY/jyniROMq7t3Dmuu8B0Wvosn/zmcL8RTXM3vVd6X99ori/w8ok7562CSOKHayjNO&#10;re9dx6fwIP8YXAgb90+/222z9Taep7W+BmdzgLE3V65oc/3vTnuk+Dgl684+dkdbxtVdnwPt2Sm8&#10;v8eckH8r34b3w7MuKLwRsmda/KzfpcyX8v2wWlfE56F91dleXyy9fnbOu27F3azBCX9gUP4DuOS5&#10;xk8+/ijqW+saUC89aH7E6k/JYvnznGZcXd85LA6Fp5kTwjU8LZxpTsinDtOZO5zDzZKLw0lnbx5t&#10;cC1Q3XnGo/W9vniM6Rfs8A4DcDT0pCEZR4uvwR5Y4ztDwhh55YsoLVZ3LdI0H2J1pWSx/HlOM66u&#10;39wQT4Np5gMHzxLy7Q69zwPeFffiP2MP8Id89Mhz3FZbbJWlSQ5nk876ScjRxPOMRet7/bCY0q24&#10;Fl+CbwrpeSrwpkO+whOPPeoxB7Yphw+i8qk2uiJL8XFK1pU2m7GscXV95weYFofOuG+652G4WRgT&#10;/3JOnJD3MnD/oHevXp6nla4y2IxnGalXe7PVRjNizPpUX4x1Vb/Cjvh39uOPed9aOA3xd2i/fhme&#10;xdEq39V+tFdeuI/JU7JY/jynGVfXfx6BafZp8C1p/Z7Uuof8aDBHGt/y4J0NcLVwqJA5Qx7Wrpcs&#10;fq2ND8180bpjnvFofa8/Hst1HOPak048IfMdhD+4G/yyN1S/GbW2V15nLc/VfqzOlCyWP89pxtX1&#10;nRtw6qAB/T3vhjwN73JI/5tuspmbeM34zE8ecvxxbd6HRj4OeJr3OcgHYp5xyMfJMxat7/XFYnv6&#10;DTFEHGzxLtV+Bx/kuVl+NVxNHKy++PyCzFegTHt11yI9xccpWS3abqY6xBW2Z6/z8wRe5BCuZU/5&#10;Gjrn/iF7oPGFwTkHcQ4wBneD/f885BC/Tii+5Ttbsgty3V8kbdrUKVnbasfCztvOdNV5XWnNDtyB&#10;V+0RIc79Er7riD6F23rpNsXHKVm9+tOoesUJxtUdY1h77nT/O/QniGsNAuzyrTt4WjgHU9K1OJs0&#10;eFq2F+Z37bmLzwunh+V5X6XyKFRZCzu2n+moMh199dWXnpPlT4NX4sLk07OfMK4uXau6C1fiD+Pq&#10;jnUecrPsE65FkMZa8/grLvO/E9GtcC0fGrzDwfgl1197jfvii8+z9QzqGnLC8dnaBz61DubIbbfc&#10;lHG12rewY7uZjqrXEe9N5163fguCZ3E3WMU/ic2LWuqcOcMRqzMli+XPc5pxdedxLEwKn+GaB37u&#10;ow896DEFfsTRYDxcwxC2WO+jHsrJHw/vJ1IGflc9cLu/j/PrPu08Y8763nnMNVJXwiV7R8GtOFoY&#10;JpSPV89+qr1YGylZLH+e04yrK5s3WnsQT8Pfryxc6MaNPT/blypMS7fiW94XfNOk6/37csAMZVUP&#10;Ic8agD2VIw7Xs39E93Jon3K6buQZe9b3yrDXKH2Bb2GR33ngG4yCTfaVfvvNN1Gft1b9TfFxSlar&#10;9pulHvGCro9wAPH331ud6V/81Ig+0xfxE+2L984tfbsi5Kvu6GPYBj4He5vvufOOrE/Cs34vcg62&#10;CfGLwXxYB+PhHJ5e8+EHmd/CswgaJ3VpXVD5w3E3wibWZj44tqt2kl9NPXwrBhzD04QcwijvEulq&#10;W6nyai+WJyWL5c9zmnF1x/MObtR9Rd37xuYL5s/16xShHw12WL8QRxOy94l3UlNGXK2QNO5Vjjl3&#10;VFZG8wHb8H5htR2WyTPmrO8dY64ZdBRy9Udr1vh3gogbCcE263TwOP0Fp/gdtcap2ozpJCWL5c9z&#10;mnF1+/MGzIV4FR65Pz5u7AXer0B/HMKueJZzOJt3K8HFHFrvoB74n3PCxx99JCsv7Mku10242s8D&#10;8oVzgPM848763j7umkk34l7wxnt72d/Pbz35J/A17+d7b/W7GT6F01phVHMippeULJY/z2niBFsD&#10;aTt3wCg8LdxhY86ffGKWf1cHGBVehRfSuGfOOf7w22+9ma3TUB+Hryd4hwLvzNlxhz/5MswB8T7+&#10;CvWsXvVOto+VsuBf9eQZd9b3tnhrVn2wzhdyLu/vBZfhvibO+SaBxkD+8Pen0qsNqZ8jVj4li+XP&#10;c5pxdXzOtOHoErfyHNesRx7yfgX40Jq0OBU94kcTIguvffKrhXlxLXhmHzb16Z2n1Ecd7M0ePHBA&#10;m3lS7uPnGXfW9zjumkkv4JV1DeGWOcHvvBD/YFW/JbnnAkZVTjjv6phSfJySdbXdZiuPrvEHQ24h&#10;3ur3FoVP7MW7x9jnwXeyhEtxKrwMz6LH7bbdzmMZ3bWHU9WrawHfskX/lKcuxXlf8Op3V3ncU4aD&#10;MtSrOpoNS9af5uffSmwk3wDcCXtvvbnS4xSsgtnw3sxhhx6avScVnArjlbQZy5vi45QsVlee04yr&#10;259fcOJ999zl/QgwAT4Jw30acKvSFr38kv+dJoyGPgkYAb8czAHyELLnSXXrOsD5sNNOzfILX+Jo&#10;/HSlWdi+/Uw3XdMNeNMR6pI9WGAUniaEQzjAL98DC/PWIk4bHLG6UrJY/jyntTpXg0VxJ3HxLD4t&#10;zwCE7/IVJrXWAU569ujhnyfkG6PCAfVRl87LQ8l434LqDH1q+P+E4451k6671vvp/O60w3TQDBi4&#10;YeIEd9nF4zx3yrcAw+LMKy+7JJtDmkvl+K/0XHXHyqVksfx5Tmt1rtZ+OGyIz4vP+u6qd1yvPfbw&#10;PCosEMqHJg5Oed8YeSlLOXF9R36v961L64CUV/1a95avEralPBb+4l+ZHhqvB+EVnIaY5Z014kP5&#10;JDqvNpS9Y+VTslj+PKe1PFeXfGDZDz+Ad+OxBwkMgEM4WWvT6Er8yt4N9inBu5Qr9yHKz9UGIRjm&#10;vSFa56Yt+SiaA8Jg6LMozcLGc1Wr2iDEI1jVuiBzhTi8/cXnn/nfqiHmuxKXrmN1pGSx/HlOa3Wu&#10;hlPhTr5beP7oc7M1CfkK4A8dwaWE8Cv5WCPB7iEns/YhLHTkU0y+fqLHNvWCc+qmLZ4nH3X2CL/+&#10;wrrgeaNGOkI7TAfNgIEx5470z76MHHGW63vQgd6PAbcc4BjuJA/472gOaK50FKb4OCXrqN68yY2r&#10;/+HfCS1/GX3I/oTh+R677ea++frrbO+o1j1kc3xsDs4VShaG8PvJQ07MfHe1B9ZnPnBfm2tAeC0I&#10;67B41+6bmf6q15+w/fDMGW3mCnyt34crV7yR+S1d1bXmR6yelCyWP89prc7VM+6/N+NMYU38rPdP&#10;a12CvXvCKaHisr/8CNIVl6w83OlPO/p2aUvtEX726Se/wbh8FAv/a1+C6aJxugDL+BBvl/bvwZXi&#10;Z+LMIULuP5bPj/I50NnzFB+nZJ2tPy/54Af8uaLsrw79UOI6J2R+i2M/eP89N3bMaLfJxpu24Uqt&#10;wen3HO/Gu+XGSe6Tjz/qkH/bs7l4hT7Q/rNznsrWPbS2AubY+6E61G+dW1i9H2i6q63uwKYO9lQL&#10;w4Tiau75rP3uuwzPXbFBio9Tsq602Yxli8bV6Pj777/3GGlvPwbvcNS+Zo1fzw1iezAHZ/Psy7Il&#10;i6vmaPoScq72nBzS92Dve9CWsM21gXeHUEbc3ox4sT7Vlvfypk+wqT5zf+bNlSsyXwcMM5/EnzyT&#10;q7xdCVVfrI6ULJY/z2niqqL41eI5OFJrEbrnt+qdt93ZZw7Pvq0FJ2NreBrOFM7A3IXnj/Fr09Sn&#10;8pXaWX0hVF94/438EOmePtAm34emDa2DU67SNi1/a3Npd9i/HNf79OmdYRociz/57lEt+qP6YnWl&#10;ZLH8eU4TXxSFq2WLcp5bvnSJ22H7HTIciR/F15zD1+zDYN+e8Bj6xaq70pD3M1GGOvk+OW2F1wXO&#10;6Rt+d9heGK+0TctvnF0vDMh30Rxj3xJ45rcoXK3fiqeU7p/Xog/MD45YXSlZLH+e04rG1bwXTFgS&#10;1/E9AN6vAYZ03SfU2OXn7r7rru7LL7/wmMAPxq6qg3c3VWpn+qIyvKcJbIujy0P8ffIK/8TVB9Vh&#10;ofFvs2BAv/3oD986EmeGv0/D52K60m/VHasjJYvlz3Oa+CpvfjX7juFRcZs4FVsQh+d47ntEiQO1&#10;j4OxwsvwtK7/YItvtowdc150z7TqV1iprcN+sY8EbAnP8kPoy5LFr2XXBdqgvbBspe1afuP1emBA&#10;8yDkarhDvkf4OxV8s3dPZehPNZhO8XFKVo/xN7LOvHI1zwWgt9D3DO8lihfF0+JmQsas9H369HFf&#10;f/2Vr0v+eK3sAS45hNW7p93u2w7xDG8fuP/+2bdfatW21WNcXU8MaK6Ab+7lizPlixAyz6649JLs&#10;t2W1/ofqjo0nJYvlz3NaXrma56akd3Aj7BDCvbzrn7FhS3Gj+Jk0OJvnX1jH1voE9cH9If+rjWpC&#10;cKx+UZ732qgPtE8/6OO1V1+VjaWadqyM8XJ3YUB+B9imTfnX3F/kWV/wrGd+wTfPNqpMtfOKejhi&#10;Y0zJYvnznJZXrsavFl7QPzhYveod//wr78YTJzI+fFdsqhDu5vuGn3/2qceR6gFTwlWtbErd1EkY&#10;3lfUOgh9YX9Krdqzeoy3640BzRH5IYQPP/iA93+Yd8w55hv+CAffvKNPmguV9i/FxylZpe00e/68&#10;crW+x4n94Wmebdm15y4ZH8tvxZbgRwff2OI7XNgFzGV4K+3BqLWt6Jvqp26eq0HfHPL18f9r3a7V&#10;Z3xdTwxorTHkXu6943+E806c/fKLL2QYr8a3TvFxSlZPHTSi7txydWmfkPTFt2VZzwAr4kBsyDmH&#10;7Ml7TnnnEnjhkL+rehRWgyeVjYXibPn69Ed6HzSgvx+HfJVYeUsz7m0WDIBlDvUn/B7jkYf/JZtr&#10;4bx74N57svxhWdXRUaj5G8uXksXy5zlNnJG3fSBar77gvNGe91gj45rOePQ7TGPjeVf2gPIO03Jb&#10;wZEcteZntaP6uZ7QH/E0cY7LL6ndexPUpoXG7fXCgHwKhWqH+TP11pszv5q5yAFnc59G+aoJU3yc&#10;klXTVjOXEZ/ljat57yL3BNmTJ3uFoXiRexvs3dNeZ61JiEPrbRv5EayPq0/0U/E7b7/N9oCU1ofq&#10;bQerv/46Zp4J1/KbwPqw00/L7FvO8Z2xi+Z1LG9KFsuf5zR0i17zxtXas7d61TuOPfeMg0O/vRQe&#10;O2hg5jfDm2AF3q6XHx1igTZoj+vDLn/umfkc6iv+//y5z/o81WA4bMvi9eci03HHOt52m2297wS2&#10;NQfxl+SzVDPvUnyckhXNXnnlar6FCAfyXDZ79Fjn0Howa9aMCzsS1zOB5TgpP6+XbdnnIUwR8v4R&#10;na/58APvcxhXd8wD9bKP1Vsb3YNh7r/A0SHGeZeldFwNzjVXVEcYpmRhviLE88zVXKvhauy/4vXl&#10;2X1FsMLB3j1Cxlh+f0P3suttQ/o469GHPTeH1w/9RtSaTL37YfXXho9Mj3E9yu9hvQP+ZN4RgnNC&#10;PW9Wjf5SfJySVdNWM5fJO1dLt3D2hPFXemyEfjVY4Zzr/IL5c9vs/9DvMtVRj5DrCGvr6Jl+CFv0&#10;65C+fbPfhtX4G/Xor9UZ5yLTS1ov4mruI4qf5ZvA20/PfsL71tXMOc2ZmA1Sslj+PKfllau1Xg3H&#10;YX8O4v0OPii7rgsr2BOe3Lt372y/c3dxI37zMUcdmfkZ9EXXD64two6wrnML09xg+mku/TCfOHhP&#10;mvhT8w+uvuryS7P7+5XyteqL2Twli+XPc1peuVrPwoCPkKv5PjjPu+g3GBytA468646p2b4LeFSc&#10;rTpqaUvVj4451Cfhi/eDwNE6atm21dVcXNYq9mCtEayX/4Y884zTM7/EuLo6bBaBq3VNJ4Qf+Q4c&#10;zzDCifo9Rhz8cM53BMgHR4qrCcGQ6qrF3KIu1unUB0JhGL2/umih7wNtVYrfWvTP6qhuzpje2tfb&#10;Cwue8xgPn3cA97wvpFq9ybeJlU/JYvnznJZ3rkb3MX6dcd/0jCP1bAx2Zbwc9959Z3ZfEt6ulw15&#10;/ib0p2mbfoBl3RetV9tWb/ucYrqpvW7wfXguWPwJ7jmEef12Zb5Won/VFyuTksXy5zkNPXLdy9v+&#10;aq2BlOteeIAH8Z/Fk4xTez5JY78z34oDX9QBfhSvlY9LPeiVtuVnoGvOt//j9r5dtVk+DjuvPZeY&#10;TuurU/D+xRefZ1wtrItjeJd1NTZI8XFKVk1bzVxGeiwSV2fPKJb4mm+DgxnZlBDO5th8sy3chx+8&#10;n+FHvFkrrsbu856Zk/kVWv+gD7ybRLhQuzq3sL6cYvqtj371+1YcrXlHyHzjW6Po3vzq6vSfV65m&#10;H0hoc/Gr0oQb3tWoMRLCkxtusFG2bnz7lFsyf7oenDnj/nszrhZ26QP79eij+t0ef2g8yMnLe911&#10;z5LzcP2Gc+VXvYxJaYR6VzdxjVfXtnAeSUY97EXXOXnCOOfqj/rIeZhGW3pWVH1Un1SGUIfqj+Wh&#10;PHUzDvKH60jESVN51ad06aS9vfWUU//CeihfXmeoP/KqbuL0j3OlUVZjCesnTflCOXVIRhi2Tf6w&#10;/6qbNimnI9S/+qG2ZW/pRWWoS3nVh7BfYZ0qQ0iZsC6efQHj5Zx9x223Zv0Ly3cUpy6OWL6ULJY/&#10;z2nisbz51e1xNbYAN2CMA1xPuu5az8/iSsaMj8taSI+dd3aLXn4pyw8ew7nRVdveP/3uzK+nfa3f&#10;DR44oA2+wzkStvn2W286vgd93YSrs0Pnk6+fmMlumDjBfyuSNPKSR9+OpD6Nie/lSM51iu/2qu6H&#10;Z87I8qkPYb+mTZ3i8953z11+3qDfF59f4NMmXjPeffrJx23mOmXVLnlpi36+9eZKXx45v5lJYz2K&#10;c7X32MMzHbqjXFgHHD3v2Wcc817jeOKxR30+lVVIneR5d9U7beqQfPFrr3q53tlJOgdtMn7etwV2&#10;xEOkqyzvAKXuzz79xOcFN+Iy5bn1psl+rPQ/HIN0S32U4Rz+xGazHnnIn5MW9kXtyfayGd+pII7d&#10;iYNlybivrfppn/Y0BkL6N+epJ/3707EB41U+herHzAfu8/0jj64V5An7qPrZo8ock28kjqGPyiMd&#10;dCZM8XFK1pm685RHeiwKVwubsgHYIM69ROwqviYUd5L+ysKF2TxU2VqEt91yk28XPYunaZf3lIT1&#10;g/vwXPE5T8725SnL70hhU+spmg+kU8f4Ky7L8hzS9+BsblIf73xn3Yf2Kf/M00/6fSqq86QTT8jm&#10;tq53lGNuwpG9e/XydR83eFDGPfAD9bEeD/dp/oqvxHPU8+0333gd8FtDcxzOpX2+w6AxEw49aUhp&#10;X/pRPo28cBm27X/0UdlvIo2D8nz7ePpd0/x4KU8Zrj3oh2egVDf9E0a4XvIbi2+7Kk35GO+pp5zs&#10;dS4/FCyRj7rXfvedr3tp6TuZwpjGSh7S8AMemflgJqduZOSjTupRX9euXev1cPrQU7K+qi/0+btv&#10;v/VyxgMOGDuYYOycCw/sbwZb5ON52XBcxKmLem+5cZIvv2zJYv9OGuoaXnrmUH1S24TkoR3qBI+M&#10;TTpRPpUjPLRfP5+fPlKOkD5ecenFvm31QWU7CqmDI5YvJYvlz3Ma+keXReFqbKG5Qlw+APHDDj3U&#10;4w37Mm5C4WnrLbf+Df5qYVf8FdphLqgtzvW7QPO8vbaemv243y9OGQ7e002o/iskjbrgY75fwNz1&#10;/Fnyo6UD/GHyMW+O+Mthfl7ie5NG/qEnn5TNZepiToXzaq899/TP7cPV4nJ8OMpzwFvkRybeYlzi&#10;C/w8+otvRjrzGr7kmVK4VmmEZ5w61A045mjfd+kILqHvvN+FtS1fd6mtiy4Y49unbvnIcAm+OTrg&#10;/VjiEo2HvWWyx82Tb8jqIp/y0B51wtsctKc+olNk8Bj9k76Uh5D717Mffywrp7LKQxlxHtcxdHjW&#10;sDOyNjRu+vPF5595+dgxo72c9klX26oTXaNfxqZvw6ketc85fMq3L0hjHZm20bnmjkLk8DpyniXD&#10;v6e89Jm1W7KD0vScOX0A9+iJ8sNOO9WXVZnOhpTliOVPyWL585yGHtFpUbhavASewDL4IQ53vLLw&#10;Ze9HgR+4ibFzCE+XjrvwN9jvqm3hsrAN4uDrnLPO9NijbxzttYPvSxk4Ch9d+RgXh+arzgnff2+1&#10;9+ngqVOGnOjLwJMHH3iAbxt7Uy/tko4uSMOXpTxthKHi6qfOyaf2VaZcpnS1ha7la7I2gV/L85uE&#10;6J/y1Ml857e06h9ywvHeTlNuvjHTl/pD+Pxz8/0zq8cfOzjjG7iacemeFn3hIC8+7wH77ef1ARfR&#10;LofqJB/cgm5Yu6EfGhtx/UaQX0050tVfwp49enjfFpnqVR1he8i4xmLnEcOHtdE/MrDLfQrGMnbM&#10;eVk/6KPqpj2NjzT0xTeX1R9dL5Hp+qp3py+YP8/roZxL6ePqVe94XfENab5NqnpoKxyL2qY9/BP6&#10;yngUokf9lqQPyt+ZMMXHKVln6s5THumzKFyN7oUnQuGJdHDEOBkzB3ZWSBw84QeFZbpqS9YXw3eO&#10;8UwlbZXPufbaxK8WHlkvVn9CvMs3k4yQtUHKwY08H8nvedVz9ZWXe12QD85hPiEjD2lwQ9gf8UDY&#10;ZiiXvpErr/qiNK6h+PBex7Me8/kemnG/b3f5sqVuYP9j3FZbbOX9TNrHvzz6yCN8f5aU/HWuVfip&#10;tIs8HDNtks5aPOPVuwv1ziy4iDL0Be5hrIyZNRPirIHQ33BMnOvd6KxPcB62+cnHH/k66DsyjVu6&#10;II3rAevP0pt8c86VRj4Ovv1Jn3i+7/+zd97/lhRl/u+/ZRVX/Sq8QHfXXRBhkagkkTAiYYgCgooB&#10;E0kkDAwMGYyAAQMiQVkFhpwzDkjQlWFgGAWJu4JKen3vu/B99pmmT9177r3n3tN96od6VXXleurz&#10;fPrp6upq+qEz/YXnn099Td9xTYyFePsb2yaOa84yQxaMD189lzuJ555FXrkamdOvqDebbbJJuo+y&#10;bzq2SdgxUAftOi7seeqPukV4l50/luqIMnJ8OZ+6cE15cmlN+dsc5xx2iaub5gM8iS2ef//jff/R&#10;syfhD7EFl/JMjG7jmuoaJE4bBjlH7HKmq7qWqw/7Vy7Vrq5jnXrUFceJ7ns2iuXR2a8feUR6nrdt&#10;nq3V32233jrZXLwnpN/oHO+eyKssqJ/+2o76iR/7QLptmAe+oS04lDie53muJnzDtdck+XDGD9fY&#10;1axNUwd2OH1nvZNrXOQT8vs8BbewBk6eX/3y0tQeXKSMv3b4YYl74Gf2+1KvayDUgzMvfWDOsKuN&#10;M4/PI9rV9ol81iFXWzamKT/iKMv7VjDIs435iMdRH+vV4BSZOQf2hTyxDGHczgsWJDshvo88cGIP&#10;K89bzDXjog44m7ZZ86Ec9ZEGVtZbd72K/2HYX8dmG9G3PxHz6hVyZD5j/qmGqQPXlD+X1pS/zXHI&#10;EP3pOlczR2BJzPEOHD3Fiad4jT1LGXlRm2jQuY64nQ5Xw2Hi0b6ia8bho3fYfOqsvAU3sn+K/JRl&#10;vV454CMLOMd6qSuGuYYfOCuefNaPH/lCm1V5qbNck9dr6qDOpRN2NWm8q4zPCujy4kXHpTRsPNar&#10;kT/vy8Aozwr2gfK2F3mbdZ4li09IbbI/hPZYr0Y++IyPdRTKwtWkD8LVlGM8rEnE+aQenPLTj/s6&#10;LIuv/AgjP9aPWQfiHF/2/IM32iEdxxqJ91TrxqcP4gGb3DL4PltxlgF1IDu+IaOfyIZrHHKhDuuh&#10;Xh15uT/U5W6/ok+buIh5ytNHXOHqN+YyymyQMDIcF66Ww9Az7EnPt47YB1u4aN8MIs963ohbZG39&#10;U7WrsWt5/qcc82R59ZZrbEl0KeqpdjDv7hzfCccd09N9ZAHHwef0C062fvL7rEH98D1rjeSnjbgW&#10;QBxjhnvUZ3WWeGVOOm1RL1zNegj18h8G8lGGtRq+XeIa3lm4264pzHkBrCPxXOEY5TrbpAyONVrX&#10;NORqvkeibeTEuqvjYJ2AMQ/C1ZZlXcT5pA7vhzGOsfbjauTinDHHyJn3q5ybwf4dx+M92HeL5BMP&#10;tOWcEc87V+SjXcGeDfKw1kS/cdyv/Q7LuYGrKU9e66ZeMUD8rh/febU9oPYv+s57xLz1Ukfh6sLV&#10;4KWusxFDhNVx48nPuxLe/4AndA184rQpTl1yUrJ5yCv3WX6qfsQteKUt3FS5mjUB9IeyvC+iPtco&#10;CPMeh33S6gn9kk94t+Z3CbS56cYbp33MpCsv7DXSaMP1atJw2GPYvvb74YceTBxCW6Tjs55kP/jf&#10;nv3Atx+2xXM88mVtAtvXPYXkpd9wDO2xT/uNd4tvPDPzzEcfuV9YL/ntJ3GEWUNmvK55sB+CcuwZ&#10;gaOYV86Bsxx2NXw0CFc774wFubAGQn3iw7EQx/p6P662HrgYHmQtiHFyH6NPjJW54Z5EnewRZCz8&#10;C9qyysBruddryrAO43+RGC+2u8/Q5GOO5GrtcvpOmzj6xxoKbcfz1m0j+paJmKcccsIVri5cDV7A&#10;V8RNPVzHMbhCv3ge1u6ER8AWugK2iGcvsHYkZer1TnYdcUud1I8bhKvJr12J7qJfsV3jYv+wGb3/&#10;MA7bhhOw0ZQX9qZ9gquRifWQh//Fk45M7rrj9p4s5CbHB9ezv9r7gPqu/Ut/saXpE+vP7Bdz/5mc&#10;Th6eZ9gXwj5j1kCIY58Y7x3px4MTZ96S3zKOnXw8Q7C3w/mC9yiDrY4M8GN/XCMehKsdl+vVvPek&#10;bRx9Msx9J8fV9AM5w738o5BvgihLPOvEYJF3n/bX9aNFxxydnlWUv+06n/qUw/Eswv/tkAkyZT3L&#10;MvaV/ee0x/2ROOef8oS5B4sR7qOWq/vkxYkJMYePK1xduBrMiNE6frwGQ+YBt1yTxj4Ivg8Bi9qv&#10;hOXv6eLLdiNuxS71T5WrebeonvzgvHN6euJY9GkvjpF1AMYDx8KNrP8Spi6eFxw/HGC/4rqPXMC7&#10;KMpQF98o0o78QdvY+KSRp76nizbISz4c7zuRK3Ye+X0eII18OOTFmjP3DdZASIMDeb8An7A3Q9k6&#10;BvKw/4y62Sdhu+4DoS32zzNWyjI2yvCcQNogXG157WruHdRln5QN17l3i2AQm5z2lbv2BGn879l9&#10;E9QP95OX+5vjS30J9weuY18IY5vzvpyxrr3WOmm9mj5Sh/cWvgNFdrxbVKb0gfLkUU5wvuNs8imL&#10;i5inz4WrZ8bRyho5ogM+FyFrwuzRNU+cf+PmyqcvtC+G5BW/JbEf0+0j9fItMt93IAd4B9zSjj76&#10;j/1JXnFuf6Ju2pfog1tljI+DM+k/+eLYYjnDrDnaJ77ti+/0qVt3/bVX9+aLc1hZ70BP0D/0Dbvt&#10;I9ts0xsTa7iMAf5i3PSLtVzqc40FDqGvtI9diz1uvwbxkRHjxK6mLb/n0SZVluRhHOSBF9izR5oO&#10;7sVWxXZmH7Jj570c7x7YS77y8cdSHxkza0D0H7uV/XzUE+eLeUdG3NfY90B9Ub60Q1+w85WL7yVd&#10;z4nfwiCTWH99f7XjIB9h5oa+wYXypnk4g52xugca/IFH9nawP8ex21/njPshdUR9ADfUxVh9r0u6&#10;fWX/OfPPWr/16lPvNlttlfrJt1TU3W/u7TvfziI32sPRb3zsHvP0q6Mp3noGTWvK3+Y45gi5jitX&#10;qyPMIe9cxAU6zvM68gFrvPMBZ9qbhHm/FHWiCQff+ebZieush/VC2uCbDfJTT/TrdbAfhbL0J+Kf&#10;a+NI57lZ3cMmc0836xLWyZkO2sDqTVwDYbyOn/K0h2O9wj3L1jWIr4xYy7B9vq2kDuRvOj72I+fF&#10;0g/6iK3puMjPvQUu+MD71+/J1fse6ZEL4CXmDi627thv7UXsavpGm8jSscsxyh35wL/U4To/a03O&#10;IXVYP33Grr7qystT3cQ7DvLzfyLaY04sA7bIo31Nv+gD4+A+R9g5sm/49g+fMVEf2KQdxs06CGNa&#10;f73399aHbJM8frdI3WCKOq0X/1MHfjLtGaSMY7V83WcMrjnZL+pkrLxbifpWL9vvmrK4pvRcWlP+&#10;NseBTWQ6rlzN3MkV7I+L/Kds8MEEe6Cca/VgMuxeOrHeLZ6oRz1gLZay0Vl39NknoY0TfewpbSri&#10;4XTqYu1RGwsdt37qhAfRf8uxDgm/UJ4ziqzfdK45U4Ny3qNi36Yapg9RR5U38T5rx7pin+EuOQ7f&#10;sjG/fG85+0peHflNr4e9Ni/tkNe29IkjLbZnn6zbcpbBJy721/rxiffafuDbRj2da7k81kvYemyb&#10;OGSBX083D/UZtjxxljFNn3jS6450y/BdE5gH7+oQ1+CpX/l6ffFa/YlxhnNp5umKryzHlavBGBiV&#10;S7BBxBg+3CoesIlZn2TuxW4OB+Rh3wHluR9SH2Hq3H3XXVId4jtXD2nqkd9lqK/1clEX7CN8SHmc&#10;+WOYOPLKcV5Hv57feqbqU95+UIawZe0nfux/DJOXOqK86K9lrYt0x0KYeY19N2w9XrOP03C9Tq5j&#10;HHPANXXQLr73HNoznrC4om7aqJczL+mEvXY8jtt2rM98+LFvliPO8ViHZc3DNXlivH0gTjxQl86y&#10;dT/2h2dQ8B51B9xjQ1Autlevp+la/Rs0rSl/m+PGnavBqpgGb+CTb9t81kQ+rlsQZo8ua5XktVy/&#10;+QffrLFGnhZ3rgFYtl9dxlMXeaMO1XWJPplP3bF+fNMMwzlNekNZHXnpQ1O+WHe/cOyTdZk39sdx&#10;4se+x3jKxX6YjzjDsc6Y9031/MPepE7KWr7eR9NT2xNlqBO54yyH71zE/PTFe2sq/49+2kfKGaZ/&#10;1mld1k/Zev9jvTGdMqZZN+mGrcdr07g2jTgdNgH9Id1+mdbkk8dnU3x0Rp89oFOpo16vOlOP5zqX&#10;1pS/zXGzxdXMpfOvH7GGjLgeVFZz8W4x9om+sy7Au0Ywpm0A34ILfN61sH4bxxdxTrwyoP/ImLLi&#10;ljDf7iqTyeRiXea3v5aL7RE2PnIVZazH9FifeWMe85lmu4P41hfLxD7m2rCseaiDOMvHeOMsU28v&#10;XhuO5S2nb33mzfn1vNarT9mID+uyLX3iY5lYb8wTw9ZVbyPmqddJXufUfPavKW9so1/Y8r7/QE9w&#10;6I/45/0u5W2zX131+Bwf59Lq9bT9eja4mvlF/k3zHOOQlRiZqtyGzdX9+vHQxFoH72Pk6siz4IP3&#10;WYxZjFoP144RG2LF8kd6dVCX79aom3Vg6jC/dRT//+y6Iot2ycJ/43pGGZiHs7F7xPugc5rj41za&#10;oO2Mev7Z4GrHGHkZDnJNVT6K6ZaZzJ8vrqZfnNEpFsAeuMMHe6yRsBeAMcHPOMdnHHWwf4781KMv&#10;fjn3gXLIx7KTyaOkt4u7xmW+tDc4d1id0ddGQRbmG0Qu1tNUJpfWlL/NcbPB1fAMc4AfnTyEfAwP&#10;yknzydVwKOfvYwODCWSlvPDZy+Z5FmKAcRJmnNyruKYsPG1Zw55hZ37rKH7h47ZhAJzj2B8PN6sr&#10;+vvuvVdv/WNQDsjxcS6tbTKcrL/yB5xIXuRIeJBvYbSfY1vMm3Ni+nTuqfPF1fA0DttXPOAjL+1i&#10;OBcuZ5ysdzBmx0ocYXy+1eAZkPLyPnWwhwmZTUcuUdYlXLh9FDCAvnAmAzgH3zh1hzPT6aOcMEh/&#10;raOpTC6tKX+b42aDqx0/ZwXAP3znxX5d9iPjTj9lSfpPG/nkMstM5s8XV9Mv31mzJxlMyNOG4Wr2&#10;iPj9HVhNvB32JcDf2BSUidilLs5nkNMnk0NJL3w86hgA6+zLQy8i3sE93/5gk6Ajg46DunBN5XJp&#10;TfnbHDdbXM05M5zfz3e5nJ/GmVz4nO2AY52XvRVxX+1U5DafXE3/tAPYJ+25IWARBwaRXzz3QX53&#10;bJTn20XLYF/jKMe3d+B7Ovi1/uIXDh8VDGCHcR4D/CnG1RG+76zrxlT7nePjXNpU629Lvtngas7t&#10;ZG54vudcBvYO850zPv9T5dwcuJqzY4464vDG+2M/ec0XV2sf0y8xxhlnfocrRtzXwTX7R+Fd81MW&#10;LubMI9KRtfLWxuZZpHB14dt++G9bPGcngHX0BKzDB1w7julgnfKxDuvCz6XFfF0Iyx1wIuOBowgP&#10;sl7NeQFwD+eicS4x//bgzBn+ucQ1jv9RcH4M5wsPIrf54mr7CNdq+/75qSfT2TnayIyZMHjhXsW/&#10;wV2jBpM4yvIswRk9yFo7wzoYn7a7bRa/cHfbMCCGOXNX/sQH79tvt13SA/IUrp4+tmeDq1nrYF7Y&#10;c3zi8YvSmZsnn3hCOmMHzj7+2GPS2WCc8Ui+QXA4X1ydwxRrOmCQsci/hOFrzkJgfPK0GOY8G/LI&#10;7ebn7LJB5FHyTh/rRXbDk532DPrgN7/qCNiPslcnYlwujK7gmvLk0prytzluNriad4fIjPOI4GXO&#10;Rz7lpMUV/4zCh7extTk/bdDzoOeLq8GemCIsFplrznrj2Q7eZQ1EWxlZIgf2ZYsJyhFGDvI0+czr&#10;XhDzF394fFJkOzzZ8t6QMx3Bv3udxDvP1FH2cY0wxvcL5/g4l9avvrbGzwZX84yPPc2aNGcksxai&#10;44wi7FDWAPiHa1xbmYrM5ourtYvtY+Rq4vinKzgBj2JSWXLN+f7kg+8py5lPkdPNyznMpHtfsL3i&#10;D49XimxnX7bgl3dR2C7aIb5f5D8RyHzQfQXOU46Pc2mW74ovZ8CJjAmZE46cmlsPiHLgHSP/jkN+&#10;vnNjvvhmhPOQVix/ZLX7ayzbLzxfXN3UH/kUeeD4d4m4ZMzK0jFzNoJ2NWV5x2p+/Z122L6Xp6nN&#10;Ejf7vFJkOjsy9bsAMc7/IdADbBV0gDD2Cd/HRJ4udvX05C+/zISrmasmO1Sd4BwA91U7v6ZN5o8S&#10;V9tX7WDO2+N/KT7ziU95m/uT/E5Z9jGKZW1x9jlab/Gnh+Eit7mXW8Q1+sC5TK5Pg3F5Gp9/u8X8&#10;U7X9nFfr8zr6ubSYrwvh2eBq5cB8OCf42p8x3fBU/VHkavou3vivB3iBe8UqPtc43h2al/9EI2/e&#10;vZAGx+Njd2ibTFUuJd/c81OR+f/JPOIVXecdjc+K0WftE1sN2WFPqwuDyDLHx7m0QdpoQ97Z4Grk&#10;z9zFedCOjjJgTp23GJ8LjxpXg7f4DMeY+Rc1mBGjMcy6B2shyIN/SZEHJ58TPuiTBxTbekKXczgo&#10;aaMln8jVhF3/cA8IOsBz5qFf/lKaV3QfvcEfdC5zfJxLG7SdUc8PV2DbzWQNhDHCWTjmQsd6B2Hm&#10;Ms7tIDIZJa5mLIzR+5DX+HxLz/fmyLLOx/xz9tabb6puu+XmXpoYIz/vZDlLchC5lLyjxV3jNB/o&#10;AOMF9zjOWADzYFobxPCdt9/WO9fNMoPKSl1pKpdLa8rf5rjZ4mpk4NxFXmZeB12jjvIcNa7Wpva+&#10;FMfHf6nFqNj1HSvxD/z2/pROHBxtXjiebyLjuEu4cPGoYiDqN/rAnijf2YhrsM0ZCvUxyPP1+Nw1&#10;deGa8uTSmvK3OW42uXoYchglrp5sfNjOYtW1a67hZq75fpNvuMCXXE6YZ8X4nxjaQR+mg+vJ+ljS&#10;yz1gJhjAHqM82BSffO8mjsG76yB7Lty9kV8HbT/Hx7m0QdsZ9fyFq2euu+AX+wJ+veDH5/e+J0e2&#10;cW8IZz/xXQBxcDccLmcT5n056yvUR13qxahjqPRv5hhqkwzBenxWZt8pOBbL8jbfxM3GuHJ8nEub&#10;jbZHqQ7ky71wpuvVwxpTm+xqufX+ifU7uBccaWfLy/D0e9Z572rYFuP8Q105ytdeF3+8+HBU5xtb&#10;2jUQwisff6yHcewP+QTf78FmOpYcH+fSZtruqJVXtoWrp88FcjRz63PhwZ86qMfXrofor7Xm2onH&#10;xZnx7Huq75OJdY8adkp/po+ZNstOTMLZvFPXDnHtw7XrFcsf6dkeMxmvetJURy6tKX+b4wpXz1zf&#10;wK7PhOAXvv7dww9V66/3/t57cexrHPLGgTE4Gjvba86Rpbx2C7560WaMlb7PHGOjJkMwzrdg7NUD&#10;12BZHHPNGRPaLTPte46Pc2kzbXfUyiNfZFvs6pnpU+RUvqeFZzlfnf14crL2M/LGgTPxrW3CdzFg&#10;xP0mo4aX0p+Z4aQL8vPZ74Zrr+nZGtrU4vrqpVfMmp2R4+NcWhdkHcdQuHq4uuf/v8CwXC2+6j7p&#10;Oy9YUN10w/Xp3sk/CoorMhg1DPCdwM033lB95Utf7D0fim/4ZL9990m2SrRfIucMGlZPmsrl0pry&#10;tzmucPVwuRps7LH7bsmOBs/aHWIs+trYxLl/hLjiigxGBQPiErtCLOvTR+J/e9+y9GxYuHp2uQX5&#10;IuuyBjK7cvX+zVoGayL8v0xMR36OYeaCZ0n0gbw+V8Y8JfzGdxFFDvMnB/Dpmh3cDG7lcP496hqg&#10;OjBT37luqieX1pS/zXGFq4fD0WCCdyu6VaueqOr/NxJn+uCeMLjn2xj+V1lckcEoYWCLzTarNt7o&#10;gz1+jvY1XHLMUV9L69Sz9V4RPVI/mng2l9aUv81xhauHx9X1fRzsN3U/kxjr54N594O0GV+l78PD&#10;13zIFg4+49STe+tyPP/JIWD5qisv751VXdZAZnfulXNZA5lduTbp0V/+8peKb7z68TNzQRprH5x1&#10;Xbh6+HPSNE8lLi93nvma1vN4HnzyT39MuIXTC1fn5TgozgpXz648o/y1qz2XD/w+sfLx6suHfKG3&#10;JwT5w808S7r255xcctGFb8K7z5b6sb0SHt5cjqNs4VrPyiSMYy8e+Ix4hbdx/HcVOcnRs4VRbZum&#10;OcilNeVvc5y8UOzq4ek5mI245X3jbrt8PNnQyF+8aas4J/jPPvtM76wR68AvNvfw5qvN+jybfW/i&#10;XL7HxX6Wq/1fBmvqtD2M7wLUj6ax5dKa8rc5Tl4oXD183Y/8+tMf/TCtXYN58Ibvu3XsbDmcf1iC&#10;L890IjwMfWgzhkvfh4NduFr7APyBX/45B07FLD42BmeWJWxOnFnvfFjW6+n6OT7OpU23vVEtV7h6&#10;ODhnvsE6zrUQ4uRr+PbrRx6ROBlu9jmS+ZCr0YnPHfyZ1Z4prXNU8VT6NTw8zYds4VvdkYcd2lun&#10;A69gFRtj2623brSpweps9DnHx7m02Wh7lOooXD183WLNTxsDrmb/qdd777lHslHgZfCPD/4Jg0PC&#10;j614NOUH+9TlN76jhKPSl+HjaK5lDEbBHD7/E5AXwSj/xwCbxH3zrDN6/0qij2Dcde7Z6LPtNtWV&#10;S2vK3+a4wtVzr2PyND7/iuFca+0UfHQg2tfYLfK1WJstm8X6ij/3OBh1mYuxR5c/0nvWky/0+Z/o&#10;H37/u8Tn4ppxWXY2xpjj41zabLQ9SnUo87JePXe66joI2Jav+a4R3GGz4Gtji8Wtt/xwep6cTR0Y&#10;JRyWvswd/qYqa7l38aLjEiaxpcXju9757hT++QU/mZV1jlyfbLMpTy6tKX+b4wpXj4aOXHzhBYmf&#10;oz6AQ9dCCC+7957E7XJ9m3FX+j4auMvNg++wt9t22579AA5d+3jfv71v6DxN/3J8nEvLja2NaYWr&#10;50dntKmxkwnjHzHxfy/mg31Q6ENcDwGTX/rC51M+8hb7en7mrY06PpM+H3/sMQmT4FKeBpdcn7rk&#10;xDetfcykrX5lc3ycS+tXX1vjC1fPj87Dz7x/8V0j+OHsdtauwR/z4rq15+IQ51pVW/FW+j0/eJuO&#10;3PnXs2cisDdJXhSfvEOh3mE/59lu0xhyaU352xxXuHp+dMfnS7GDnQzm0Q9tanUCH12BszfacMPE&#10;8ZYr/vzM3zjI/bijj0r8rK2APe2a3NFfOzLZ1Mhh2M94OT7OpXVtjgpXj4auw9NinrPc+X+uXK19&#10;jU8c52Fjg4PFuJbSNWyW8cwtNsUfcr/nrrtW258U+frTBx2Y9p2av9jVczNPhavnRs5T4R1413z8&#10;cxRejrYMYXXm3O98q5cXncENW2fsW/FHBzOzMRcRd4T59xzYA2vwA067gec62gRvnnMjZ89GX5rq&#10;oG3coGlN+dscV7h6tPQOvkUHOJPv8xPfLIpT5km7Gp9vfR+4/76kM3J11Lk2Y7L0fW4xKdfiP/7Y&#10;inQ+NXtHxZy4A4s//N65iTPBmraB5Yc1b+pAU/25tKb8bY4rXD23ejEZVtAB3jmab+stt0z2jd+d&#10;Y+sYXvPda6Wzncg7bH2xP8UfLbzMxnzEe/xX//EPRThQjoYj2Ev64S226O1ZEqOz+X1iv7Hk+DiX&#10;1q++tsYXrh4d3cNO0VZRf/i3ruserIGoP66HuBZCOb5dbysOS7/nF4fc6znTkW9cwBYcqC/m7r7z&#10;jh6+eDeufSBvD2sOc3ycSxtWf+ar3sLV86sjcd7jcyVhHGd/HHTA/m/SHeYNnK777+tW9y37TY/j&#10;Y30lPDpzO8pzAeey/2ibrbZKtgDYwj7QrbXm2tW1Vy3tPe/J0Yxp2DxNGzk+zqWNssyn07fC1aOt&#10;z+oFZzxh32Dr+H0vOGU9hHjeBzn/lMFha+ubVvzRnu9hz4948vmN9lij9t4PpuBo1qt9duM8SPL5&#10;rDfsPtbrz/FxLq1eT9uvC1ePtu7Kt+CMNcOoU+DU59QdPrrdm3QpnnnddpyW/s8cp3AtdjDrF+IK&#10;7ub/iWCJ7148j4Zr1z7uuevO1eyAuZ6LHB/n0ua6n8Nur3D1zHVg2HOkDXTRz37as3d8T+/8weNn&#10;n3Fa0kX0T72kb5Yfdj9L/aONJTBRf87iP3GscfjMpi3ANc9vpDOvlLX8XM9zjo9zaXPdz2G3p677&#10;7TJzSZjnIttmjgzPtU9fIkbEEmdn0Ff7M599tA9z4R/0yQN6a9fY1Dh4WxvophuuTzKJspmLfpU2&#10;RpunmR/taeeKNWjWO+RpfPRL29pvE+Oa9HzoWY6Pc2mOsyt+4erR1jF0w+/R4V8cZ7t7bghc7RwS&#10;xr5esviEVIay2NTzoV9d0Y8ujSPigHPTeZcI18HX4ogwcayprXpiZc8Winw91zLJ8XEuba77Oez2&#10;1PNiV482Z8PRci+YWHTM0W/SL+ZS7P7gvHMKT0/Iadj607b6wdGDD/y2Ym++5zLJAWCH8M4LFlTP&#10;PfdsT3aRp+djPU1MN8k6l9aUv81xzlPh6nbp9X9P/IvDNWt1zHUQrj/4nxtV//PCC8kOh+OjTYXu&#10;obPzoXdt1pW29N15jXNu37GV+eZVrGBP4+S8d79rzeqZZ54eKWzYN8cQ/VxazNeFcOHqdnF0xNy9&#10;d9+Vzt0Tr+of1+jfB96/fvpHGGW0yfHhaV2sr4Tbi4U4d8zxX//61zTHxMPd3J//uGpV5d5PMAJe&#10;XK8WM5f8/Gc9ezrWOZ9h8d3Uh1xaU/42xxWubqd+wrWsY1926cVJ39xnje/+a3SRdUd0lfwRp/Xr&#10;mFbC7cREnLc4v3A369Oc3cj7DPkNH672XWL8H5fnMsU65ytsf5vaz6U15W9zXOHq9uol+sgZT7vt&#10;8vHe2rXYVf/g68O/+pXVeNo1kDbjtvR9arhlrp968k+rrXug8+DE5zD4+itfPCSdGQavU2aUzisQ&#10;001znktryt/muMLVU8P8KM6x9vKLL75Y8S6RtUbXsKM+sh6y4QYbVHfdcXvibHTRsqM4rtKnmWGS&#10;e7j78+DpuO4R16ZdA+Hft8pce1zf+Pn0c3ycS5vPPg+j7cLVM9OLYczJVOrE/iGfPuETj1/Ue771&#10;HX/UzQ3W/0D1l//93zf4emL9ZCrtlDztw4c8+/Sfn6r+5T3/0rOf4TXWyHzmQvcP2O8TCUPiyLLc&#10;z0dl7nN8nEsblf7PVj8KV7dPF5l7dQr7WCw8sfLx6l/f+6+Jr5lX9mWBZewn1il51v3INtuks0Ni&#10;uViXe7mts/ijjw/m0vVln5fg2s9+5tOr7fEAC2AAbBBmP4j/Fxrlec7xcS5tlMc0nb4Vrh59XWya&#10;18ivMcy7/sWLjk22k+8bxTM2NvONze37fsqq34Sxr7SxmtotcaOFlzhXzB+O7xHhaead+zTzjs/c&#10;w9XEs6fzzttv693nR3lexW9TH3NpTfnbHFe4erR0b7pYwo5CTymPjXXCccf09BM8y9GuicDjZ552&#10;Sm9dk3JR76fbj1JubvHEc1B8Frrgx+cnLmYvEPysc97xD9x/v97e+zbMV46Pc2ltGNsgfSxcPbe6&#10;NcjcTJZXO1iO1sdO5tzr75/73d636GAaPcXF949HHXFY+kaNstrX+JO1XdLnHzfMmXP++989PPE8&#10;dVzvf7bMtzY0Og5nc8093Lnj3jxK69L2q+7n+DiXVq+n7deFq+df52aCIfRNexi9Vffk2/O/f16y&#10;s+Rq3yvB2T4Xs+/2mqVX9vR+Jv0pZecWT8z5dddclZ6b1GXnGl+7mvCSxcf35jjZ4yP0/jCHG/qO&#10;a8qTS2vK3+Y457d8Yz63OjYszMDRcjdtoMvsr9amBtvyNGHmn/UQwp7RN6y+lXpnF2PMM/t6+A+i&#10;c8l8+v4Qnjb+Fxf/vHcf1xanfFw/GdX5YQy4pv7l0prytzluEK5mjp1nxhyvCcsTxtc5w2t86zGu&#10;nwzLmaizo983Xndt2gMCttFl9VgfHHB2H+fO3z/xTzDnJc6lc6bNLgb6zV2JH3zukLH6EWWPLIn3&#10;uQmO/u63vpHeE3sflqe5Jsxcs2fvsl9c0shzbZmfHB/n0toyvqn2cxCujnWCo6b/jhCPLospw8QT&#10;x/dQrKVaF3Fc97u/F64eXN+VbfSR/8rHH0vnyqPLYJx9fHI1165vEuf3xpGznVPqou545kRsq4Rn&#10;PmfKGv1R3sr1oYlz8nbZ+WNpDnkmkpudS+d30403Tucw9dMt6xt1P8fHubRRH9eg/ZsOV4sfMQRn&#10;E1dv23Tj1fv6de571sLVM9d75Y3PPyQW7Lhj0m9wrv1FWF0nzDeQ2OJwRpw3ws5X05zHtkp4enOn&#10;XNEf7ofI0f3Tt91yc+JoOSrOmXPpPffqpVf0dLLNfO1Ym/CUS2vK3+a46XA1+guO8A1zHbnZsLiL&#10;MkLfTTe+KR9phaunp+/Ktclnzs46/dSeXe2aCHqvnssBh3z+c9Wye+/pzZfzpt9v3praLXGTzyXy&#10;5F4Y74/M1/XXXl0dPvEvpLXXWqf3vlD7Gd95439ci475ejqriTp0bZZ9jo9zaW0ec1PfB+Hqun6C&#10;K+MeW/Foem4+7eSTqtNPWVJ96+wz0///+Acga6D4vK8Gh5TzPg8OYz31Phaunly/6zLrd42scaSj&#10;w6xL8915/GYGexr8y9Xqwj577ZnOAKKsa18vvfRSb/77tVniB5s/5kee1v/CZw/uPQfJyc4R8yRn&#10;M4+uXTnH0W/rXIjBpv7n0prytzluEK5mnPAqGMLnvAH+F8W9nrXP7bfbLp0Ts+/ee1Xo9h6771Z9&#10;Yp+9q/323afaa4+FFetn4GnPhbtX//WLS3t1Ua+cX5dl4erBdL0uv/p1Xc78s+CLE7YzHK3Og3/D&#10;0dbmPGzuubfefFOaLznbNqhbfjFOv96u8V33m+ShLOp+lMXzzz+X9sdvvummaS7gaOYkrnMQxvFO&#10;GBuJe691Wlf92vg2+Tk+zqW1aYxT6eugXG2dq1Y9kc6bgKc5442z3iIuxYjcLr/DvTtu/9GEO/7L&#10;bX39/MLVs8vVdTk7Z88++0y19ZZb9jgaHeBb9GjHgRWuied53LqYY8LOufFcG2c7pMWwebvsKwPl&#10;xFixn6N8zMOzCs+h7/u39yUeRtbeN5kTn3eweeSp22+9Jcmf+mMbXZGp42waTy6tKX+b4wbhanRM&#10;TPF/VnDzw++dm95/qH9iRR/ZEKaceeD1j+20U8La8kf+0HtX1STHwtXD5eoo8z/89+97+0TABXog&#10;T8AN2nbE803NRhtuWD1w/32r7euhPuYZ53oLccw/614xLrY9DmHW/+L41YckqwnZYEsfdMD+PQ6W&#10;l50H5oI4z+TiTI+HH3wgyTbureqaLHN8nEvrmhwG5WpwBddyRhfnSXBW0DfOPL0659vfrC6+8IK0&#10;Xsa5QMlddGGKw37G/ewnP0rP0JxZ8PBDDyZeOPKwQxPWIrdHGReuHi5XM5/eS+FT7DrWpz7+sTf2&#10;hMEP0YEXHJyBz7kTnz/4M9W53/lWWs9OvPOPdXHv68xnvFfH+DjXXQxzf0K+yIXxKWuv+VcEesNa&#10;IbJEptwHkbnPNMqca8Ksixx/7DHVikeX9+q0vngv6Io8c3ycS+vK+B0Hcw8u4ETi0CPC7O0yjzjg&#10;mj1EnJO83bbbJtyxfqnuybfYD8SBG9Moa/qPf/j9tB+M9yCsteXwVbh6uFzN/DCnzJnzDb9gp8G/&#10;4EN9iGHsbDmcePiF9TCet/hOA8e8MudxfmPY9sbBVw+iLl0yYcvwrQry9Z1ulDHxyJh1EOfg0C9/&#10;qTdP1GV96lYXZenYm8aWS2vK3+Y4sDFVrhYX/GcCzKDTP/rB9xJ2CItH5EFersUTOsq1uvrtb5yV&#10;ytE2e0j6ybBw9fC5Gtk7f+7jda65r2LPYUfHs0TUEX3mUZ7h/ov75SUXpXqti3YiRvrNeZfi1QPH&#10;zviXXvHr6lMHfjLJCx7WjkaWypA416p9huH9Ic891CU3o0+GiVe/uiRDMdY0plxaU/42xw3C1YwT&#10;rCEf1j+4do+Q+hhxY359cYvPGgnxm22ySW8PNdd1V7j6zTKpy2gm18xn5E/DzBEO3edZm/fHPEvJ&#10;1/IHHO2zOmHidWBri802m9jve3TFdxmsl9FX6sW3LftvvNf1dOPnyq/3h3ZjHP2L1/Yr9pvwM0//&#10;Od23TjphUfrOX5mpe8gLnUKOpnFNGP1gjfG5557t6Ua9zdiefeiSn+PjXFqXZMBYxAucyDXzTrjf&#10;GgjpyIe1D/LLuYPKxXJg0ffYTXUUrh4uVzfJ3Dg5QVuNtVV4g3P54BFwIE/rqzvRj3n3/8S+1Yrl&#10;j/TsbeqmnXiPl3vwSfOafhlHOcL2zT7HvMZNxee5IubL1aNcYn7CvMfBZyz06w+//1111BGH9/av&#10;N+2LRP/kar/5x0d+xx191Gp9qrc3LtdiqWm8ubSm/G2OK1w9f1w46riRR/HhHxw8xfo299pPTpxZ&#10;7/M7fIwDT7poJxKHXpln/fXeX31u4p0k9vrdd96R1sttL/Kz3IxP+3UO5do805Wn7Vl3rM/6qdvx&#10;65uP8i88/3za3/zTH/2w+vIhX0jfGrCmDw8rG8ePzJCHHE26zys77bB99b1zvlP99r5ljeOd7hjb&#10;XC7Hx7m0No+5qe9gBqwUu7pwdsRH5CG4KKbx3lEOu/fuu9L/oORsdAeO0qlL0e4mjWu4ynj2QPDt&#10;1GWXXtxry3btC32AJ+N70Ngv+xTjphKmnPls02t97O54ryAf/eDcb54VGCdjYWyOOd6f0DHiicNu&#10;Vl7y+MLddq046yO2Yduxf8aNk688m8acS2vK3+a4wtWFo3P4lZMm4wv2nbHfV93p50cuMw8YlNfw&#10;4bEdPrpd2ge6YvkjPR6Vo+VT7HD6LkdP1sd+44QfYz08N1C39dGeYdYG+X8DtjNrQYwh2seOAw42&#10;bHrcz0E5+RtbnPuf73XtC359babfGLocL06axphLa8rf5jjwBGaKXV04O+JYbiKOcLwmTvsvprGe&#10;fdWVl6d3GbzP4HsneAp86aNb2J/gzrjIa/IX+ciDW2/d9dK5BPwnkH9QUTf79TnPCFsU/uQ7Evo1&#10;XW7jvFjcfRPfafMN/aUT++nYs8gZCqzVcDbhxht9MI3FPto/x+e4HJvpjDOGt9lqq+orXzwk7WN3&#10;jZu+ew9CtvFeQdo4uxwf59K6JjMwBNZmwtViTB8ZqdtRd8BgwuHE8yT/qSAf+Od/yrFslHF5t9hu&#10;PWXd9eBPf6pne4I39AvMwW3yHnGu2ap/crllsMljHuOjT5g9pU2Oc2hYr2C9gfNq8OmD7eHHa+py&#10;rSLmiWHTGYf9Nd1+kca6B88K3Fsivkt4cnwrzyZZ5dKa8rc5DjyBpZlwdXwWhYvh3Tr38vxqHHnc&#10;B8J5TuDXtLosC1dPjuW6zEbp2nlnzx62JJwF3tQxfDgOHgaLhPtxHnnlv6Y81At3kqfJxfKE3W9h&#10;ncRRB87ysYzrN6TTvuX0yRu53v585qADk82O3RKfQ0Zpnka5L8gV19THXFpT/jbHgTMwNVOu1o4W&#10;i/I1vKx8zMM132yBXf4VZ9vmi37h6nZzNTjw/s38P/PM02ntgr0OcDfzLz/LeWJSPuQ6ptXzo691&#10;flWHo2+98Dl1kEYcYcrrLEM8/Bzrrue1b5bljFm+uV+86Nj0zQtnYmmHIIeoAxHnJdwf585Hk4xy&#10;aU352xwnfuVLsER4kP3VlGGv/qcn7Adlhz4QjnYG64zY4HA0XI3cWAO55aYbkz43ybFwdX8MN8lr&#10;1OMiV3kfZ52E72X8X418KJbAKHgSU8T7TR8++c0b8WZcPz/ybMxDPPVQL2HtaeK4hpfJb7tbffjD&#10;aQ2dM26Uv/co1wDju0PHbd7i5zHu3DTJKZfWlL/NcWJvJlx94/XXVRtusEF1ykmLE8/zP2zWNfjG&#10;BR8uJo53Q/xnhPfsnofKOTT33HVn4vAmORauzuO4SWajFCcvwV3wdORqwsRHu5N9yjffeEP6Hpaz&#10;QTlbe9eP75z+iYBeer6RuCWOsDxKOOfMD9/KtYblYOuTq6mbtboFO+5QHfK5z1anLjkpnS8Jpp96&#10;8k+rjSuOz3kgDhsljtO04k+O7xwf59K6JltwCUZnwtX8N4h/CTTJRpyShq1Oe5wxwR4v8Ms3yOW7&#10;xcnx2iTbNsTVuTjuS6P/8pdjaeK6mOeeu+5K5zvz7yH+acEeETDl2jO8qv7WffLV4+Rn49f993Wr&#10;3XfdJZ3X8f1zv5vee2NbxP7FfyzQXx33Jfrq/QnfMOXN1zRG6y/+m3XBuWmSTS6tKX+b4wbharGG&#10;fPhfH+MGz+hH7wwn1jiCDVHHJWVZC+HdImnY1YWr34zPNmNqLvvOeX7giG8fsTf4NgVsNjlwh63O&#10;uWH4nAnIHkPK8X8c7yPx3jCXYyltNetBjo9zaV2T5yBc7dh5NgT36Aj/VaQOngdNh6sNF65uxp/y&#10;Kf705VPnVK5dH+4nV/GIDzdTJpX7B2ZjuF8dJX76czYd2eX4OJc2nbZGucx0uJrnRs7wAe/YJ8iL&#10;bwjUA577DOsrA/IWu3pusa7su+jDrYwrrjX0GydYJH/EJOF4bdmp1Gfe4g8Xzzk+zqV1bV4G4Wpw&#10;DoaRD1yNLDgblWvWMcS8+kO6ccqNvIWrh4ttZT0ufp1vwV+TUx5guHBxezCY4+NcmvPdFX8QrmbM&#10;6IB8yzW8Sx233HRD4u7I06QXrm6PTrQR0+BNjNU5uz4e1uaa8tbjqLNw+ejgNsfHubT6/Lf9elCu&#10;ZryRq3mHQx3LfnNvb42aPBH/UUaWLe8WR0cX4vy0KQzG4NRoH8jdpNUdY4t5xSjxMdwmGYxDX3N8&#10;nEvrmmxmytXY1cgr7vmLMqrrQOHqwtERHyVc8DAZBnJ8nEubrN62pReuLrrSNsyW/o4XZnN8nEvr&#10;Gk4KV48X7ruG3zKe7uM3x8e5tK5ho3B197HeNcyW8YwXZnN8nEvrGk4KV48X7ruG3zKe7uM3x8e5&#10;tK5ho3B197HeNcyW8YwXZnN8nEvrGk4KV48X7ruG3zKe7uM3x8e5tK5ho3B197HeNcyW8YwXZnN8&#10;nEvrGk4KV48X7ruG3zKe7uM3x8e5tK5ho3B197HeNcyW8YwXZnN8nEvrGk4KV48X7ruG3zKe7uM3&#10;x8e5tK5ho3B197HeNcyW8YwXZnN8nEvrGk4KV48X7ruG3zKe7uM3x8e5tK5ho3B197HeNcyW8YwX&#10;ZnN8nEvrGk4KV48X7ruG3zKe7uM3x8e5tK5ho3B197HeNcyW8YwXZnN8nEvrGk4KV48X7ruG3zKe&#10;7uM3x8e5tK5ho3B197HeNcyW8YwXZnN8nEvrGk4KV48X7ruG3zKe7uM3x8e5tK5ho3B197HeNcyW&#10;8YwXZnN8nEvrGk4KV48X7ruG3zKe7uM3x8e5tK5ho3B197HeNcyW8YwXZnN8nEvrGk4KV48X7ruG&#10;3zKe7uM3x8e5tK5hY1Cufv311yvkc9bpp1avvPxy9Y0zT6+o45abbqxIQz74r776agq/9tpr1d/+&#10;9tfeNWXPOPXk6peXXJTyfWjzzasbr78u5W2S7R233VpRh3XTFnUccehXe3GUI09T+RLXfV0uc9zt&#10;Oc7xcS6ta7gYlKsZP/I5+4zTEjeeedop6XrZvff0uDJya+RQwpSFqy/86Y9T/s022aS69+67qr//&#10;/W+98lHGhau7rYdxrku4zHUTBnJ8nEtrqqvNcYNwtbwrV3P9g/POqd7yT2tU533328nO1f7Frias&#10;I++LL75YvfUtb0s8j11Nni0226ySj5vkaJr1Fru66HMTTkpcd3GR4+NcWtcwMQhXM3Y4c9ONN64O&#10;n1iD4Pon5/+g2mevPas1371W9fSfn0pxr7zySvJffvnvPVsZu/nqpVcku/q39y2rLr7wgpT2nnXe&#10;W915+229fHX5Fq7urg7W57pcl7luwkCOj3NpTXW1OW5Qrmas53z7mxXrzC+99FJar75/2W+qU5ec&#10;WO28YEFa32B9pO6O/fpR1U47bF8tvfzX1c8v+EnyL/jx+dVGG26YeFq7uS7LwtVFf+uYKNfjhYkc&#10;H+fSuoaT6XA1Mlh7rXWqr37pi9WTf/pjWse46Gc/rZb95t7q9FOWVN86+8zE4fA14dNOPimtldx9&#10;5x3Vgh13qL551hnVww89WL3zHe+qjjv6qCra33X5Fq4eL72sz3+5LvOf4+NcWtewMwhXa/uyxnHk&#10;YYcmrsVOfuH556vzv39ete/ee1V777lHtefChclnbYS4PXbfrTpgv09UB3/6U9XyR/6Q9mwsWXx8&#10;Wue+/tqr+65/IOvC1UVXu6ZzZTyDYTrHx7m0rsl5EK5m7LwPxP35qSerzxx0YLXeuutVJx6/qLrs&#10;0our3//u4eqJlY9Xq55YWa18/LFqxfJHqsdWPFqteHR5CrPfg/WTvfZYmMoRhv/hfu8DdfkWrh4M&#10;13X5lesiv7ZjIMfHubS2j7ve/0G5mr3S1CG3fvsbZ6W9HW9b4x3JTlZ27A3BrfHWt1dv/+d3pj3Y&#10;pm35oQ9V902scdf70nRduLpwTRMuStz44ELeaJrzXFpT/jbHDcLVfPvCWLWD4Wvcww8+kN4pHrj/&#10;fmlPyMLddu2th7D+4ZrIlw/5QrX0il+nb2iUGXv5sNPdD2i8fuHq8dFJ57z4Zc4jBnJ8nEuLdXQh&#10;PAhXO174OXKrHK6tTZr79uRz/RhPfZH3rT/6hauL3kY8lPD44SHHx7m0rmFlEK6WZ/3GMPK1PO16&#10;NnIinfiYj3TTrC8n08LV46ebOTyUtPHDQ46Pc2ldw8ogXD0fYy9cPX66OR84K22OLs5yfJxL69qc&#10;Fq4eXYx2DWtlPAVr08FAjo9zadNpa5TLFK4u+jPK+Cx9K/jM8XEurWvYKVxddKFrmC7j6Ramc3yc&#10;S+saDgpXdwvXXcNnGU/BZ46Pc2ldw07h6qILXcN0GU+3MJ3j41xa13BQuLpbuO4aPst4Cj5zfJxL&#10;6xp2ClcXXegapst4uoXpHB/n0rqGg8LV3cJ11/BZxlPwmePjXFrXsFO4uuhC1zBdxtMtTOf4OJfW&#10;NRwUru4WrruGzzKegs8cH+fSuoadwtVFF7qG6TKebmE6x8e5tK7hoHB1t3DdNXyW8RR85vg4l9Y1&#10;7BSuLrrQNUyX8XQL0zk+zqV1DQeFq7uF667hs4yn4DPHx7m0rmGncHXRha5huoynW5jO8XEurWs4&#10;KFzdLVx3DZ9lPAWfOT7OpXUNO4Wriy50DdNlPN3CdI6Pc2ldw0Hh6m7humv4LOMp+MzxcS6ta9gp&#10;XF10oWuYLuPpFqZzfJxL6xoOCld3C9ddw2cZT8Fnjo9zaV3DTuHqogtdw3QZT7cwnePjXFrXcFC4&#10;ulu47ho+y3gKPnN8nEtrK3ZeffXVir6//vrrySf8yiuvVHA147315pt68YQff2xF9fLLf09xr732&#10;Wq8s5XHEUaf14r/y8su9OqjfcobNy3WTI7/1m377rbes1mfn5qgjDuu1Z736li1+s5yLXIpc2oQB&#10;db6pz7m0pvxtiatzJ7z4ln9ao1rjrW+vLrv04h733XbLzYmr5U38ycYoz+LbjuVM4zqGY/3m1ac9&#10;wnfcdmu6p3Bf+Z8XXkj3Febna4cflu4T9fyT9bOkF54qGGgXBnJ8nEtr6zxjI8Nr+PDl3/721+q6&#10;a66q3vqWt/X4j/Beeyys9tt3n+rUJSdWZ59xWnXVlZdXN994Q3Xj9ddVK5Y/kvgc+xkbNvKucoFT&#10;ifeaNmmrbnObHv1l996T2rrz9tuqS37+s4k+nFR9/cgjqn322rPafNNN033l7f/8zvQs8NGPfKR6&#10;7rlnUzvWTduxvhJul06W+Srz1YSBHB/n0prqakOcvOq6xsMPPpA4Gn6G/xwzNjZh4lkfcY2EuBj2&#10;Grvcshus/4HE8/t/Yt9qz4ULE+/vveceFddwK3WS33rrvvUQb95YP317x9v/X2qPPDtu/9HqpZde&#10;Wm2NpA1zUfpYOKlgYOoYkBeaZJZLa8rftrinnvxT9ZFttkl8uMVmm1WnnnxStXjRsdXC3Xad4Njd&#10;q4/ttFOyYz/4nxutxtmRNyPPRl43Xk5GloTJQ5h05Vv337bGOyoc8e9+15rVphtvXH1o8817vI+9&#10;v2Tx8dXRXzuyWnutdVK9h3/1K4mrsa3jekjb5qT0d+q6W2Q1XrKSJ5rmPZfWlL8NcfG92+677tLj&#10;y1tuurFa9cQT1RMrV1aX/eKSifDK6tlnn6n+uGpV9cwzT1fwOj7X9y37TXX10iuSY21k6RW/Tu6K&#10;X/1Xdc3SK6vLf/X/2bvuJ7mqK33+gq39YX/G9gKywWDXBiPKVWuvF+Ml2AaWoDU2ItiLsfFiL0Yo&#10;g/IoC4QSOUhCaXL3BEmTFCd07gkaRQRImigktqDWS6ja852e2x7knrMaNFLr9juquvXe9Hn93u17&#10;vvu9o3PPPaeKXn/lJeHTZYsXyfH55Utp9crnaOumjbSnqZFwrfveuUf4WE6dOkkD/X10enCA+np7&#10;qLenhwYH+uUz+NSP8zXwW7/60ros98O/7vwyPujC+hgsrjF9X5i+NT7WZD6PO/wg8Ak7P8KKpUuE&#10;i8GJaPARg5fhBwZXugaudA08erEa+oB3A5p7BvqDZ6MveJcMDJ2feP89unH8jWKHT316kvipza6+&#10;sDnhM7at74Wre42PNZnPmABXL1m4QHwH428Yn7VhB5kHwY+VZSVZG3Y4XzqextFx6MU4go/PfRb+&#10;hm2N59VWheTc8fmGN18Xn8q3rv+2cfUIcZA+49X6Xrj8OxrdanysyUbzjMvxWqz1wWf84AO/oLNn&#10;z2S578SJ96mCuXo4RztOBFeiDZddDK529j2e4zgb/A2fDI414Urx1UCOa+FDwXojfNxmU9u8vhzn&#10;m/XpwnGp8bEm83XsXYwd4jPAb1hDzPqC2XYF/8EfLH5q5sVzbVzHnReDo9090QfX8Bmeib/B1fBj&#10;V4cq5W/0DXL4zN16J/7PgOarfqzfFz6nbQwLcww1PtZkvuIBdie4DLEUsKuxvghfMHgP64pYXyze&#10;sok629Oyfud8x+BLXOdsW8erF+PonoFn4v7gafilDx86SMl4TN4l6Bf6jAafCH7LdddeLzHcvurG&#10;+l2YHGN6HRu9anysyXwff+wrwe+DfQ0udJwIPl7/xmuyfreztoaa6usIMSIdHPuB2AsXn3ExONrd&#10;E/159/g7dLD7AMUibbR3V5P4OeD7AC87uxq2P65FTAr+j4B4QOjF7OqxmRu+Y9z6X1g40PhYk/mK&#10;A9jVaOBq2KKIpXZ+jcza3Skq3bZF+LBhR4j27qmiPbuqmA+rOBYvTDVVYYnJq9+xneqZI3c1NrC8&#10;ifcz7ibk7MjVsD88V8M+yH17dtOupgZq5HcC/M47t9cwH4dpRy1i+qqosaGK5SHazS1cUS75SiQO&#10;pC9jVw8O9FHd9lr5LfCDmL+6sOanr/PM+j32ONT4WJP5qguNq+FXGBzopbLibbS9OkwNO0MUTZVK&#10;i6fLKJ4qoXi6lI9hisRquFVTa1uY9u2rYE6voPr6qlG1pqZS2rO7jPY3V1JbtFruGUvUUrK9ZKiV&#10;UqK9lGL8zNZIiGOyayiViEvfBvrdGmevcbXFftj6RAAwoPGxJis0rob/wXE14qsz/o8qiqbLmSvR&#10;yoQzwZvg7NhQk3P+LPM5ZKNozMPxoebuh2MkUUzRZIm8I/Bs9KEtwrY2759JJWJs81fIOyXT337j&#10;6gDMU1/nm/V77OxrjY81ma86GMmuBlfD/wu7urykWHixie3kRHIzty2USG2jZLqYG9vWw/g03l5G&#10;iY4ySnVVDPE5OP08G98nKq2YIsliaktsk5bg7yeY/5PM4ym2sVP83GikXHzo8Wgr+0JKeU2xX94t&#10;WFs0H8jYzQdfcW39LnwMaHysyXzFxv/H1fAtlA/zgYjvA9zZXs6tgvmzko+VbA+Dm7mlytgOLpUW&#10;B4/naqli5vccje8b5/tmWgV/t5LvhyNzPexz5usEczlaNFopcdWpeITC5aX0wekBiTU0ri78Oerr&#10;XLN+jy02NT7WZL7qQeNq+BTA1VhbhL+6sS6ctZEdZ+MIH7K0IRtb/NjMp8OvOa9z4e+MnY57uPvC&#10;n5JpzOVDvB2JhaiW+9SeSgz5QDKxfLa2OLbzwVdcW78LHwcaH2syX7GhcbXEzPWdopKtzNWcfwk+&#10;EFlLZO7M97GN7eow74FJi7+6kgaG4kAG+m1t0VcsWr8Ln1/HUscaH2uysezDpbyXcbXNj0uJN3uW&#10;4W2sMKDxsSYbq+df6vsYV9vcudSYs+cZ5sYCAxofa7KxeHY+7mFcbfMmH7izZxruLhQDGh9rsgt9&#10;br6+b1xtcyZf2LPnGvYuBAMaH2uyC3lmPr/rM1dXhUPZtcVBXlNEvJ6tLdr8z+d8smdfOvxpfKzJ&#10;fNWR71ydSkQlVwli9TJ5+CwOxFcsWr8vHc8VwlhrfKzJfP3txtU2P3zFrvU72NjV+FiT+Yob4+pg&#10;491X3Fq/DbcaH2syX7FjXG2Y9xW71u9gY1fjY03mK26Mq4ONd19xa/023Gp8rMl8xc5IXO3qZSHX&#10;HvKBxKIRyevfkd5FXR27OQ9HE+fbq6N05zbeb855mHLsO49yLr50J+dzSpZyvjxcw9dGd1Iito9z&#10;5e2gttgm/nwrf45c2CPvW0+2b+G82BupvaOFutp3cexHAz+/haJtrZK/OlxRJnVsUMMG++Itz57N&#10;Y1/no/X7/LGr8bEm83WMR+JqcJ7ja9TKOnrkMB062E1HDh+iY0cO0eGDXRSJN3Ne6TDnMeXceDm4&#10;WnLsDeWvjgofl1Bnei8dPdTFvFtH0fhWzsmE3Nec67RjpHswzycrqLmtgjoPdPHzD8iz3zl2VOot&#10;ol/IY414PTTU8DKuPn+8+4pb67fpWONjTeYrdkbialfHC0fUGUDOPdT0Ahdmzk9SLL6f80pz3tKc&#10;PI1802UUTaCmC+dP7QxJvtQDXTH5fizO9rXkus7ULcC1ufmec+zxuyASq6QjR4/wd0/K9we4X6jb&#10;i3qPqK/o+mtcbXPY17lo/R4ddjU+1mS+jvNIXO1sVPAycuzBFyJczfZ2by/XzmWubG3bPZS/Orf/&#10;IpLcJlyd6qhg25iv6QhR94EU+ykGKRqrZ67O1JhBHuwo1xUYmatL+FmldIht+t6eE9KXPu7DiRPv&#10;C1ejLiM42v0/wOzq0WHeV+xav4OtZ42PNZmvuBmJq50PBPxXv3O7cDP4ubfnFHMt/A2D1NLKfuuu&#10;sOSZzsWz8G0kO7gWAdvdreyvxvmhbuZqvk8i2SA1YCJcmyvBXI5rct0Dn6XYJm/jOjBHjh5mTmb7&#10;nnl6kJ/v+thYt1NsbWdbG1cHew77Ohet36PDrcbHmszXcR6JqzN1BvrEBwzug78Bdix8EIPiF+6j&#10;PXsbmH+5Xi7X28rFszGpHcM1Y7iGQJRtbNRSPNSdpH6+RyK5M+Oj5npfUba5U7wGmese+Ay1Zppb&#10;y8SuHuiDD+SU2NHoE/oJuzpTb6w/21/UZLc65qPDvq8Ytn4HU88aH2syn/ECvn70V78k/L5HHnpQ&#10;eA8+hQ8+OC1+j6b6uiG/A/urOe8G7No+tq/jsb2UZh6NozZivFjiPRDTAd6N8WeRBGrGsH+Dz2PJ&#10;ckrytV0H2vke/RSHv5rjRCIcCyJ+beZr1MCFDxucHmGfCOriom5jhGNF2qIhOnq0m597Unja+TzO&#10;nPlA/OnwW4OvEQsC/zq4Gr8Hevn888+trrXVyzUMFBgGND7WZL5yteMxcDT4DUdwNPwJ4EM02NWO&#10;G+GD6O/jells28YTLRzPEWKuLqE0auEyJ2dqeXFNL/g0hHexZgiuLqYU29cH2AfSw1yfTNbz9zhe&#10;j/k6wTEg4HTxd/C5xIQM1fDK1ANj2zpeQ8eOHc5wNb8v0B9w80m29bG2CP+681c3NdTTuKuvoauu&#10;HEeffvqpzdECm6O+zjXr99ja/xofazJf9QCbGn1//DePiR064d57qLYqRJs3rqeVK5ZLm/zUH2n5&#10;kkX0xO8ep4cmTqRHHpxIv3z4Ibrt1tto4sT76f6fTaCvXvE1uvqqcXIP+B7+9mtX82dflb+/Pu5a&#10;+soVV9I148bJ51df9Q26+kqWs937zWuvz9jAV3xF/nb2sDv+3bf/nh54YALdc/edNOHe+/hd8hA/&#10;+2F6mPtQNG8u928ZTZ86hZ5btoSWLFxAVZXl9PK6NV+wq42vx3aO+Ip163dh4UDjY03mMw4+/eQT&#10;euLx34oteh1z5x0/+bH8Df5bvfI54cNFC+ZT8ZZN4l+AnV2/vZo2bniVysvWUnHJao7JQ91cXiNk&#10;uxj7W2JsSye7QtQSY181/NW8zoj64+1dSTrZO8C+jzqxtaN8XYRrlacO1IhtDfsaa4lxvleSj7U7&#10;X6XS4tW0+e1VVFFWzM+vojpe69xRW0svPLecli1eRCuWLqbnly+V98nEX/ycbvrBD7Jc7d5FPuvH&#10;+l5YHGP6HBt9anysyXwdf/hAwGeR1hbhOPgNYNP+4Yn/FA6EPQ0unDVzBj07Yzrz4WL5+7lli8We&#10;XVg0jYoWTKM5syfxcSotmD+F21Q5nzd3Uua8aAbNnz+dFhVNYVt4Dq1cvozmz55GC+ZN5uum0wL+&#10;Pq4t4u9lvs/X8b3mzXma5s7BPabQrGeeooXz52Z4md8h6NOUSU8R3iErli6hpYuKxLb+2YQJ4vuA&#10;bT99ymTxgRhfj83c8BXj1u/C1L/Gx5rMZzyAy2BbY53uN79+lL7x9WvpO//wnez+EviBEWO9q7Ge&#10;/cSZGAz4i+OJVkp3cMwe+6bhp8Z6IPa9ZPa/ZGKmU51lvEaIdcIySvMexe6Daephf3cy1cD+al5b&#10;ZBs88x32abM8Y4Nn/N6t8S1y31g6zM+qoePHutlPfkJi9U4PnhZ+PnXyhMSCwMe+acNb8p6Bj2Xd&#10;6hfkHQS9OJ+8zzqyvhcm35hev7xeNT7WZD6PObja8Rli4GBXwy7dv3ePxFUgjrkmHJI1PMiFr3l9&#10;LxZv5bVB3hvOvo1c8XbYV55knwjkEew95DiPg8zVuF8iUcff4Xg97D1nfkdcX657uM9a2irpMO8n&#10;lzgU3g+DdwX8Hy7GGsdfPfKw+Lyf/MPvhafxu8ym/vJzwWdMW98LX+8aH2sy37Hx3x9+mOU3+EHw&#10;W3c3NQgXggex3og9MZcbV/85PqVX1hzxjnnlxbXy7vnoo48sBsRiQAwDBYoBjY81mc9cjTgJZ1fD&#10;F4J4N/xW7AcEFwpXV4d5z8nlx9XOrkY/EZuC/xOsen6F+Kk/++wzmacWB1L4NpbP88/6/uXwqfGx&#10;JvN1vN3aojvCZ+Di5bAfEHY09oQjl53L4XQ5+EDA0Vj3dFyNfoKroSPE7Dn/B47uPeSrjqzfX24u&#10;27gV9rhpfKzJfMbFcC7DOdbmwNfgZvEx8D4TnGN98XLxgQznapyjX9jHAx3BB+Jsafye4b/PZz1Z&#10;3wube0y/o9OvxseazNdxBo+59Tdng+J3wu8Lfha7lbkaMdW17AfxgavXvPB89jf5qhfr9+jmrY1X&#10;8MZL42NN5itWHE87+xN/Y20RXI21RMTrgZ/huwZXZ3wOg9TD+UDa2jgfCMfsIc4jhtxMHMuR5Ng9&#10;tESaYzsSb/N+cd57zvtbkE+vo7NccqLinknOsxfnayIcyyf5+LhmTIJjRRKIHUFea74H8oFEcW+O&#10;E0EcyNFjRyQn6gDvcx/kXH+IsXZ7y5EH5IGf3y99f2nt6qwt7XzWvurH+h08DjKdn5/ONT7WZL6O&#10;78cff5xdJ8e6In4Hfie4GrY0eBqxy8jfBK4+ceIk8+NpOnvmNDXvr6dO5tV0O2L2kIua6wlwLDRq&#10;A4C7I8lKiqSruXE9gqHaL12dSerjdcBkqlFi9sDj8Y5q/l41x2VvycRXcx2YON9L7slcnUhuptbW&#10;kNSlQT7Wvr5+yQWC/S/oH/gaDfvO0fcX16wSu9rxtPtdvurI+n1+c9fGKVjjpPGxJvMdJ5988r/C&#10;0zjCV42GnEiSuw4+EF5nRIx1D3NjL+e6Q17S5r27qKmhjG3eamqNIh8e8jRl9sXEmMOj2OfCOU9h&#10;b2N/eZrzVx881E6DpwfY5m7gfeabmYe5liO3OOxryfcE3uc96RyL3RIp5XuXU3NzDccP1lJ3V5fk&#10;z0buqAHek4M98NgLA54GZ4Or8Y7Bvvjhvh3zVwdrDvs+F63/54dXjY81ma/je67NiXqK+J2I24Pf&#10;4+zZM8KDYldzjDU4sffUe+yD6KXW5hYKVZbQju01wuPVoUraXl3JNniImvdV067dXM8lUsV1ApjH&#10;mcujzL2d7S2cK+84xSI7OKcq5/5Ioo5ABe3dH6LW/VW0uzHEMScVEs9dWxXm+1VTbU2YfedsV3d3&#10;87Pflxx/vZwDFbmakGcP/o/mfXvo9ltvlb4jvyv04fj63N/oq66s3+c3h22cgjFOGh9rMp/xAV+B&#10;81ujDi5s6muvuU5479/uvJNee/lFyduUWVvkmizM04P9pygS2cu+jCrat6+U7d4QNdZzrAhzKzgb&#10;PFuNc27hSuZe9p/UhDl3UzrNPvAB2tPUSFWhcqoOl1NNdRVtr93O1+C7IaqurGT/C3N9QyXtaeS9&#10;6/Ew+0DCXBe3m797ij48+wH7y3skP8m2zW9z7r8HZE/8v993r9jV0NOHZ89mfTs+68b6HgzeMT2P&#10;Xs8aH2syX8facTSOsKHv/OlPhasnPflf4ltIxKJUVrxV8tgtWjCPFhctkIYcTrNmTqVXXlpML64r&#10;om3Fa7mtoS1bV9HGjSs5B98qenvjOtqwfi2tf3MNtxfpjVfXUum2zVS/YwdtePNVbuvorddW0vo3&#10;XuDr1tH6t16gzZvW0ObNq+R+W7auoTVrF9C6NUU0fy7nhJo7R3I1oQ8L58+TfK3g6raWZunrMa6d&#10;+8N/uUn6v2Du7C/E7fmqH+v36OewjVkwxkzjY03mKz5gU7sYEOTag02N3/n6Ky8Jd6MeLnzW4HGc&#10;wzd88gTnT+JYjEjrftq84Q166/V1NGfWZM6Jx/n1OJ/e4kUzOafedM6VN405djIt5Jx5S/izxUUz&#10;qWjuTFrBe1jmz5lOy5bMYO6FfApfz+dFU+XaIs6/t3jRDJr97FOcC/VFvv/LlIpH2Tf9vsShwOfh&#10;4lMycSmZ2l0lWzeLzxq5p358221iV7s4a1/1Y/0OBu+YnkevZ42PNVkhjDV80ojXQ4Oveu6sZyTv&#10;KPLrgR/B09gbgzqHAwNcz5zXGMGfqJd78GA3RaMRjsWLs2+khVszNbfUc03GWv68gTo6mqmro01q&#10;475z7Cj7rSPU2bGPElzPvLWljlpaGjmfU4TP9/IxRm383jjMvvNDhw4yP/fKs4+/c0zeF65WF/ga&#10;7xfUG5g3e5bUGcAaKPR0y49+JLkDoRf3f4dC0JH9htHPaRuzwhwzjY81mc94gF0N+/NAV2c2F8h7&#10;7x4XGxZ2a7StlSpKi9m/XMFrfFXMiWXZPefwb29nXzT2NLanU7xWGKd0MsYtKr7pZDLB32fubm2m&#10;OHN5nH0qne0dmXPm9LaWfRSLtnF9rxQl48z1bD93pBOUSkSpgeO78Tzsb0f8IPbmwBdeE67gVin9&#10;Qb2ud4+/k7W3N771hnD13XfdlfVXWxxIYc5Vn+ec9f3CManxsSYrhLGHP+Sfv/d94bqn//gkwf8L&#10;zoZNjbU61J+VdT32icC+Rtw1cl7jCFsZ9jc4FZwOfkVrqEMNlyqq4XVEnNfvQF4R8G842+o5JxTs&#10;eOy9QZwg7uE4WPwu/Hwc8Uz0BefwyeDZ6Bee37xvL8159pnsmujMaVOFqxGDaHb1hc+LQsC3/YbC&#10;woHGx5rMZxw4uxOchnU7/E7E7P32sV/zet5sWc9DLDPybIQrytjuTWVj5cDf8FGcYQ7tkbz/XEt8&#10;sF9iReAjQS1d2OaI9XPHHvkO19dl7kVeqEHxp2T43/lZcD18HOBmx9H4O51Kin0Nfzr2wmC9Ew21&#10;YVC/C7lMrvnGNyUe3PnifdaN9b2w+MX0OXb61PhYk/mqg+E8jThk8OJ3b/yurDFef923hKthM4ND&#10;4YNAbjvkswMfoq4hambN4Nq04Mq/bJl6X9gL/sWW69olsrclc4/M9XgW6gm4mDyM/1133CHxH6iB&#10;C3saXA6b+rZbbsnmnMKzwNPQyZ/+9D9ZX4ivOrJ+j938trEsnLHU+FiT+YqBXHESWJ9z8SBYZ/zJ&#10;7beLTd3avD9j6zJvg7vhr9i7q4lj8V6WmD7Upx3eYIvnan/J6edy92J5Jziuhk8EfIxngpthn8Oe&#10;D5WX0uxnZtIN/3iDrIdCP9//p+/JmqJ7B0Evw8991ZP1u3A4xnQ5NrrU+FiT+T7+jrOd36C8ZBvb&#10;zPeJL8TxNo7gxZtv+qHYuk/87nGaNvlpmvr0pFE1xG7navCRoznZU3wdmvsbPg706V9vvlm4Gf1x&#10;dRFuHH8jPfn7JziuJJa1ox1HOxvbdx1Z/8dmjts4FsY4anysyXzVPzgafmr4P4ZzmjvHHm74heEH&#10;dr8fexodf7vPLuZx+LNh5+NZyPuBdt89d8ueyuHjj9/ieBqfu98y/Bo7L4z5anoMrh4d5+TCgCbL&#10;db0vn7k4CcRMOF5zR8jcOdb1EBP3zPRpsu44/obxwpcj8TY+z9XcOI7mCPsZe8gfe/Q/pEY5fOeo&#10;EenGGNyMhr7Ku4ffQZCBt93vc9faMbjz23RfOLp3/JFLp5os1/U+fOZ4GH0Fpw1vTobP3DmuG36u&#10;8eDwew0/H2lcRroXPnd2suNkdz/Hxe7v4dfi3P2ukZ5pnxfO3DVdBkuXGh9rMsNJsHBi+jZ9Gwby&#10;iwGNjzWZ6S2/erPxt/E3DAQLAxofazLDSbBwYvo2fRsG8osBjY81mektv3qz8bfxNwwECwMaH2sy&#10;w0mwcGL6Nn0bBvKLAY2PNZnpLb96s/G38TcMBAsDGh9rMsNJsHBi+jZ9GwbyiwGNjzWZ6S2/erPx&#10;t/E3DAQLAxofazLDSbBwYvo2fRsG8osBjY81mektv3qz8bfxNwwECwMaH2syw0mwcGL6Nn0bBvKL&#10;AY2PNZnpLb96s/G38TcMBAsDGh9rMsNJsHBi+jZ9GwbyiwGNjzWZ6S2/erPxt/E3DAQLAxofazLD&#10;SbBwYvo2fRsG8osBjY81mektv3qz8bfxNwwECwMaH2syw0mwcGL6Nn0bBvKLAY2PNZnpLb96s/G3&#10;8TcMBAsDGh9rMsNJsHBi+jZ9GwbyiwGNjzWZ6S2/erPxt/E3DAQLAxofazLDSbBwYvo2fRsG8osB&#10;jY81mektv3qz8bfxNwwECwMaH2syw0mwcGL6Nn0bBvKLAY2PNZnpLb96s/G38TcMBAsDGh9rMsNJ&#10;sHBi+jZ9GwbyiwGNjzWZ6S2/erPxt/E3DAQLAxofazLDSbBwYvo2fRsG8osBjY81mektv3qz8bfx&#10;NwwECwMaH2syw0mwcGL6Nn0bBvKLAY2PNZnpLb96s/G38TcMBAsDGh9rMsNJsHBi+jZ9GwbyiwGN&#10;jzWZ6S2/erPxt/E3DAQLAxofazLDSbBwYvo2fRsG8osBjY81mektv3qz8bfxNwwECwMaH2syw0mw&#10;cGL6Nn0bBvKLAY2PNZnpLb96s/G38TcMBAsDGh9rMsNJsHBi+jZ9GwbyiwGNjzWZ6S2/erPxt/E3&#10;DAQLAxofazLDSbBwYvo2fRsG8osBjY81mektv3qz8bfxNwwECwMaHzuZHa8kGwMbA8OAYeBywECu&#10;d/Tl0C/rg80Pw4BhwDDwZwzk4mr7LFj/xzJ9m74NA4YBw4BhwDBgGDAMGAYMA4YBw4BhIEgY+Csi&#10;+htu+PfX3HD+fwAAAP//AwBQSwMEFAAGAAgAAAAhAPVurTngAAAACAEAAA8AAABkcnMvZG93bnJl&#10;di54bWxMj0FLw0AQhe+C/2EZwZvdTWPFpNmUUtRTEdoK0ts2mSah2dmQ3Sbpv3c86WmYeY8338tW&#10;k23FgL1vHGmIZgoEUuHKhioNX4f3p1cQPhgqTesINdzQwyq/v8tMWrqRdjjsQyU4hHxqNNQhdKmU&#10;vqjRGj9zHRJrZ9dbE3jtK1n2ZuRw28q5Ui/Smob4Q2063NRYXPZXq+FjNOM6jt6G7eW8uR0Pi8/v&#10;bYRaPz5M6yWIgFP4M8MvPqNDzkwnd6XSi1ZDkrCRzwueLMexmoM4aXiOVQIyz+T/AvkP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DOWz3cSQQAAN8MAAAOAAAAAAAA&#10;AAAAAAAAADwCAABkcnMvZTJvRG9jLnhtbFBLAQItABQABgAIAAAAIQCzvm6zso8AAKDiCQAUAAAA&#10;AAAAAAAAAAAAALEGAABkcnMvbWVkaWEvaW1hZ2UxLmVtZlBLAQItABQABgAIAAAAIQD1bq054AAA&#10;AAgBAAAPAAAAAAAAAAAAAAAAAJWWAABkcnMvZG93bnJldi54bWxQSwECLQAUAAYACAAAACEAjiIJ&#10;QroAAAAhAQAAGQAAAAAAAAAAAAAAAACilwAAZHJzL19yZWxzL2Uyb0RvYy54bWwucmVsc1BLBQYA&#10;AAAABgAGAHwBAACTmAAAAAA=&#10;">
                      <v:group id="그룹 37" o:spid="_x0000_s1141"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142"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78" o:title=""/>
                        </v:shape>
                        <v:shape id="Text Box 5" o:spid="_x0000_s1143"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2772E293" w14:textId="231D80EA" w:rsidR="006D7011" w:rsidRDefault="006D7011">
                                <w:pPr>
                                  <w:pStyle w:val="af0"/>
                                  <w:jc w:val="right"/>
                                  <w:rPr>
                                    <w:rFonts w:ascii="Times New Roman" w:hAnsi="Times New Roman" w:cs="Times New Roman"/>
                                    <w:noProof/>
                                    <w:spacing w:val="-1"/>
                                  </w:rPr>
                                </w:pPr>
                                <w:r>
                                  <w:rPr>
                                    <w:rFonts w:ascii="Times New Roman" w:eastAsia="Times New Roman" w:hAnsi="Times New Roman" w:cs="Times New Roman"/>
                                    <w:lang w:val="pl-PL"/>
                                  </w:rPr>
                                  <w:t xml:space="preserve">Rysunek </w:t>
                                </w:r>
                                <w:r>
                                  <w:rPr>
                                    <w:rFonts w:ascii="Times New Roman" w:hAnsi="Times New Roman" w:cs="Times New Roman"/>
                                  </w:rPr>
                                  <w:t>B</w:t>
                                </w:r>
                              </w:p>
                            </w:txbxContent>
                          </v:textbox>
                        </v:shape>
                      </v:group>
                      <v:shape id="Text Box 123" o:spid="_x0000_s1144" type="#_x0000_t202" style="position:absolute;left:9093;top:13208;width:9303;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08D13241" w14:textId="173C895F" w:rsidR="006D7011" w:rsidRPr="009A2CB5" w:rsidRDefault="006D7011">
                              <w:pPr>
                                <w:rPr>
                                  <w:rFonts w:asciiTheme="majorBidi" w:hAnsiTheme="majorBidi" w:cstheme="majorBidi"/>
                                  <w:b/>
                                  <w:bCs/>
                                  <w:sz w:val="16"/>
                                  <w:szCs w:val="14"/>
                                </w:rPr>
                              </w:pPr>
                              <w:r w:rsidRPr="009A2CB5">
                                <w:rPr>
                                  <w:rFonts w:ascii="Times New Roman" w:eastAsia="Times New Roman" w:hAnsi="Times New Roman" w:cs="Times New Roman"/>
                                  <w:b/>
                                  <w:bCs/>
                                  <w:sz w:val="16"/>
                                  <w:szCs w:val="14"/>
                                  <w:lang w:val="pl-PL"/>
                                </w:rPr>
                                <w:t xml:space="preserve">EXP: </w:t>
                              </w:r>
                              <w:r w:rsidRPr="009A2CB5">
                                <w:rPr>
                                  <w:rFonts w:ascii="Times New Roman" w:eastAsia="Times New Roman" w:hAnsi="Times New Roman" w:cs="Times New Roman"/>
                                  <w:sz w:val="16"/>
                                  <w:szCs w:val="14"/>
                                  <w:lang w:val="pl-PL"/>
                                </w:rPr>
                                <w:t>MIESIĄC ROK</w:t>
                              </w:r>
                            </w:p>
                          </w:txbxContent>
                        </v:textbox>
                      </v:shape>
                      <w10:wrap type="square"/>
                    </v:group>
                  </w:pict>
                </mc:Fallback>
              </mc:AlternateContent>
            </w:r>
          </w:p>
          <w:p w14:paraId="3B61B97E" w14:textId="5B86F45E" w:rsidR="002E5800" w:rsidRPr="008F328C" w:rsidRDefault="000E0B7C">
            <w:pPr>
              <w:pStyle w:val="a3"/>
              <w:numPr>
                <w:ilvl w:val="0"/>
                <w:numId w:val="25"/>
              </w:numPr>
              <w:rPr>
                <w:b/>
                <w:lang w:val="pl-PL"/>
              </w:rPr>
            </w:pPr>
            <w:r w:rsidRPr="008F328C">
              <w:rPr>
                <w:rFonts w:eastAsia="Times New Roman"/>
                <w:b/>
                <w:bCs/>
                <w:lang w:val="pl-PL"/>
              </w:rPr>
              <w:t>Sprawdzić wstrzykiwacz</w:t>
            </w:r>
          </w:p>
          <w:p w14:paraId="2F15D87D" w14:textId="77777777" w:rsidR="002E5800" w:rsidRPr="008F328C" w:rsidRDefault="002E5800">
            <w:pPr>
              <w:pStyle w:val="a3"/>
              <w:numPr>
                <w:ilvl w:val="0"/>
                <w:numId w:val="0"/>
              </w:numPr>
              <w:ind w:left="471"/>
              <w:rPr>
                <w:b/>
                <w:lang w:val="pl-PL"/>
              </w:rPr>
            </w:pPr>
          </w:p>
          <w:p w14:paraId="741EF259" w14:textId="77777777" w:rsidR="002E5800" w:rsidRPr="008F328C" w:rsidRDefault="000E0B7C">
            <w:pPr>
              <w:pStyle w:val="a3"/>
              <w:tabs>
                <w:tab w:val="left" w:pos="3937"/>
              </w:tabs>
              <w:ind w:left="3937" w:hanging="180"/>
              <w:rPr>
                <w:lang w:val="pl-PL" w:eastAsia="ko-KR"/>
              </w:rPr>
            </w:pPr>
            <w:r w:rsidRPr="008F328C">
              <w:rPr>
                <w:rFonts w:eastAsia="Times New Roman"/>
                <w:b/>
                <w:bCs/>
                <w:lang w:val="pl-PL" w:eastAsia="ko-KR"/>
              </w:rPr>
              <w:t>a.</w:t>
            </w:r>
            <w:r w:rsidRPr="008F328C">
              <w:rPr>
                <w:rFonts w:eastAsia="Times New Roman"/>
                <w:lang w:val="pl-PL" w:eastAsia="ko-KR"/>
              </w:rPr>
              <w:t xml:space="preserve"> Upewnić się, że zawiera ona odpowiedni lek (Yuflyma) i dawkę. </w:t>
            </w:r>
          </w:p>
          <w:p w14:paraId="62443059" w14:textId="6359AD29" w:rsidR="002E5800" w:rsidRPr="008F328C" w:rsidRDefault="000E0B7C">
            <w:pPr>
              <w:pStyle w:val="a3"/>
              <w:tabs>
                <w:tab w:val="left" w:pos="3937"/>
              </w:tabs>
              <w:ind w:left="3937" w:hanging="180"/>
              <w:rPr>
                <w:lang w:val="pl-PL" w:eastAsia="ko-KR"/>
              </w:rPr>
            </w:pPr>
            <w:r w:rsidRPr="008F328C">
              <w:rPr>
                <w:rFonts w:eastAsia="Times New Roman"/>
                <w:b/>
                <w:bCs/>
                <w:lang w:val="pl-PL" w:eastAsia="ko-KR"/>
              </w:rPr>
              <w:t>b.</w:t>
            </w:r>
            <w:r w:rsidRPr="008F328C">
              <w:rPr>
                <w:rFonts w:eastAsia="Times New Roman"/>
                <w:lang w:val="pl-PL" w:eastAsia="ko-KR"/>
              </w:rPr>
              <w:t xml:space="preserve"> Obejrzeć wstrzykiwacz i upewnić się, że nie jest pęknięty lub uszkodzony. </w:t>
            </w:r>
          </w:p>
          <w:p w14:paraId="6CFFB573" w14:textId="0254F722" w:rsidR="002E5800" w:rsidRPr="008F328C" w:rsidRDefault="000E0B7C">
            <w:pPr>
              <w:tabs>
                <w:tab w:val="left" w:pos="3937"/>
              </w:tabs>
              <w:spacing w:line="260" w:lineRule="exact"/>
              <w:ind w:left="3937" w:hanging="180"/>
              <w:rPr>
                <w:rFonts w:ascii="Times New Roman" w:hAnsi="Times New Roman" w:cs="Times New Roman"/>
                <w:spacing w:val="-1"/>
                <w:lang w:val="pl-PL" w:eastAsia="ko-KR"/>
              </w:rPr>
            </w:pPr>
            <w:r w:rsidRPr="008F328C">
              <w:rPr>
                <w:rFonts w:ascii="Times New Roman" w:eastAsia="Times New Roman" w:hAnsi="Times New Roman" w:cs="Times New Roman"/>
                <w:b/>
                <w:bCs/>
                <w:spacing w:val="-1"/>
                <w:lang w:val="pl-PL" w:eastAsia="ko-KR"/>
              </w:rPr>
              <w:t>c</w:t>
            </w:r>
            <w:r w:rsidRPr="008F328C">
              <w:rPr>
                <w:rFonts w:ascii="Times New Roman" w:eastAsia="Calibri" w:hAnsi="Times New Roman" w:cs="Times New Roman"/>
                <w:b/>
                <w:bCs/>
                <w:spacing w:val="-1"/>
                <w:lang w:val="pl-PL" w:eastAsia="ko-KR"/>
              </w:rPr>
              <w:t>.</w:t>
            </w:r>
            <w:r w:rsidRPr="008F328C">
              <w:rPr>
                <w:rFonts w:ascii="Times New Roman" w:eastAsia="Calibri" w:hAnsi="Times New Roman" w:cs="Times New Roman"/>
                <w:spacing w:val="-1"/>
                <w:lang w:val="pl-PL" w:eastAsia="ko-KR"/>
              </w:rPr>
              <w:t xml:space="preserve"> </w:t>
            </w:r>
            <w:r w:rsidRPr="008F328C">
              <w:rPr>
                <w:rFonts w:ascii="Times New Roman" w:eastAsia="Times New Roman" w:hAnsi="Times New Roman" w:cs="Times New Roman"/>
                <w:spacing w:val="-1"/>
                <w:lang w:val="pl-PL" w:eastAsia="ko-KR"/>
              </w:rPr>
              <w:t>Sprawdzić termin ważności na etykiecie wstrzykiwacza.</w:t>
            </w:r>
          </w:p>
          <w:p w14:paraId="28E0E4EE" w14:textId="77777777" w:rsidR="002E5800" w:rsidRPr="008F328C" w:rsidRDefault="002E5800">
            <w:pPr>
              <w:pStyle w:val="a3"/>
              <w:numPr>
                <w:ilvl w:val="0"/>
                <w:numId w:val="0"/>
              </w:numPr>
              <w:ind w:left="1384"/>
              <w:rPr>
                <w:lang w:val="pl-PL" w:eastAsia="ko-KR"/>
              </w:rPr>
            </w:pPr>
          </w:p>
          <w:p w14:paraId="56BB4485" w14:textId="77777777" w:rsidR="002E5800" w:rsidRPr="008F328C" w:rsidRDefault="002E5800">
            <w:pPr>
              <w:pStyle w:val="a3"/>
              <w:numPr>
                <w:ilvl w:val="0"/>
                <w:numId w:val="0"/>
              </w:numPr>
              <w:ind w:left="984"/>
              <w:rPr>
                <w:b/>
                <w:lang w:val="pl-PL" w:eastAsia="ko-KR"/>
              </w:rPr>
            </w:pPr>
          </w:p>
          <w:p w14:paraId="694075C9" w14:textId="109982C9" w:rsidR="002E5800" w:rsidRPr="008F328C" w:rsidRDefault="000E0B7C">
            <w:pPr>
              <w:pStyle w:val="a3"/>
              <w:numPr>
                <w:ilvl w:val="0"/>
                <w:numId w:val="0"/>
              </w:numPr>
              <w:ind w:left="984"/>
              <w:rPr>
                <w:lang w:val="pl-PL" w:eastAsia="ko-KR"/>
              </w:rPr>
            </w:pPr>
            <w:r w:rsidRPr="008F328C">
              <w:rPr>
                <w:rFonts w:eastAsia="Times New Roman"/>
                <w:b/>
                <w:bCs/>
                <w:lang w:val="pl-PL" w:eastAsia="ko-KR"/>
              </w:rPr>
              <w:t>Nie</w:t>
            </w:r>
            <w:r w:rsidRPr="008F328C">
              <w:rPr>
                <w:rFonts w:eastAsia="Times New Roman"/>
                <w:lang w:val="pl-PL" w:eastAsia="ko-KR"/>
              </w:rPr>
              <w:t xml:space="preserve"> używać ponownie wstrzykiwacza, jeżeli:</w:t>
            </w:r>
          </w:p>
          <w:p w14:paraId="68F38732" w14:textId="77777777" w:rsidR="002E5800" w:rsidRPr="008F328C" w:rsidRDefault="000E0B7C">
            <w:pPr>
              <w:pStyle w:val="a3"/>
              <w:numPr>
                <w:ilvl w:val="0"/>
                <w:numId w:val="18"/>
              </w:numPr>
              <w:rPr>
                <w:lang w:val="pl-PL" w:eastAsia="ko-KR"/>
              </w:rPr>
            </w:pPr>
            <w:r w:rsidRPr="008F328C">
              <w:rPr>
                <w:rFonts w:eastAsia="Times New Roman"/>
                <w:lang w:val="pl-PL" w:eastAsia="ko-KR"/>
              </w:rPr>
              <w:t xml:space="preserve">jest pęknięty lub uszkodzony. </w:t>
            </w:r>
          </w:p>
          <w:p w14:paraId="73CF7979" w14:textId="77777777" w:rsidR="002E5800" w:rsidRPr="008F328C" w:rsidRDefault="000E0B7C">
            <w:pPr>
              <w:pStyle w:val="a3"/>
              <w:numPr>
                <w:ilvl w:val="0"/>
                <w:numId w:val="18"/>
              </w:numPr>
              <w:rPr>
                <w:sz w:val="26"/>
                <w:szCs w:val="26"/>
                <w:lang w:val="pl-PL"/>
              </w:rPr>
            </w:pPr>
            <w:r w:rsidRPr="008F328C">
              <w:rPr>
                <w:rFonts w:eastAsia="Times New Roman"/>
                <w:lang w:val="pl-PL" w:eastAsia="ko-KR"/>
              </w:rPr>
              <w:t xml:space="preserve">upłynął termin ważności. </w:t>
            </w:r>
          </w:p>
          <w:p w14:paraId="61966792" w14:textId="79741A74" w:rsidR="009278CA" w:rsidRPr="008F328C" w:rsidRDefault="009278CA">
            <w:pPr>
              <w:pStyle w:val="a3"/>
              <w:numPr>
                <w:ilvl w:val="0"/>
                <w:numId w:val="18"/>
              </w:numPr>
              <w:rPr>
                <w:sz w:val="26"/>
                <w:szCs w:val="26"/>
                <w:lang w:val="pl-PL"/>
              </w:rPr>
            </w:pPr>
            <w:r w:rsidRPr="008F328C">
              <w:rPr>
                <w:lang w:val="pl-PL"/>
              </w:rPr>
              <w:t>została upuszczona na twardą powierzchnię.</w:t>
            </w:r>
          </w:p>
        </w:tc>
      </w:tr>
      <w:tr w:rsidR="002E5800" w:rsidRPr="008F328C" w14:paraId="6411FEB9" w14:textId="77777777">
        <w:trPr>
          <w:trHeight w:val="4969"/>
        </w:trPr>
        <w:tc>
          <w:tcPr>
            <w:tcW w:w="9550" w:type="dxa"/>
          </w:tcPr>
          <w:p w14:paraId="258640FE" w14:textId="77777777" w:rsidR="002E5800" w:rsidRPr="008F328C" w:rsidRDefault="002E5800">
            <w:pPr>
              <w:spacing w:line="260" w:lineRule="exact"/>
              <w:rPr>
                <w:rFonts w:ascii="Times New Roman" w:eastAsia="Times New Roman" w:hAnsi="Times New Roman" w:cs="Times New Roman"/>
                <w:b/>
                <w:bCs/>
                <w:spacing w:val="-1"/>
                <w:lang w:val="pl-PL"/>
              </w:rPr>
            </w:pPr>
          </w:p>
          <w:p w14:paraId="2A780EFD" w14:textId="77777777" w:rsidR="002E5800" w:rsidRPr="008F328C" w:rsidRDefault="002E5800">
            <w:pPr>
              <w:spacing w:line="260" w:lineRule="exact"/>
              <w:rPr>
                <w:rFonts w:ascii="Times New Roman" w:hAnsi="Times New Roman" w:cs="Times New Roman"/>
                <w:sz w:val="26"/>
                <w:szCs w:val="26"/>
                <w:lang w:val="pl-PL"/>
              </w:rPr>
            </w:pPr>
          </w:p>
          <w:p w14:paraId="5AE3DB06" w14:textId="77777777" w:rsidR="002E5800" w:rsidRPr="008F328C" w:rsidRDefault="000E0B7C">
            <w:pPr>
              <w:spacing w:line="260" w:lineRule="exact"/>
              <w:rPr>
                <w:rFonts w:ascii="Times New Roman" w:hAnsi="Times New Roman" w:cs="Times New Roman"/>
                <w:sz w:val="26"/>
                <w:szCs w:val="26"/>
                <w:lang w:val="pl-PL"/>
              </w:rPr>
            </w:pPr>
            <w:r w:rsidRPr="008F328C">
              <w:rPr>
                <w:rFonts w:ascii="Times New Roman" w:hAnsi="Times New Roman" w:cs="Times New Roman"/>
                <w:noProof/>
                <w:sz w:val="26"/>
                <w:szCs w:val="26"/>
                <w:lang w:eastAsia="ko-KR"/>
              </w:rPr>
              <mc:AlternateContent>
                <mc:Choice Requires="wpg">
                  <w:drawing>
                    <wp:anchor distT="0" distB="0" distL="114300" distR="114300" simplePos="0" relativeHeight="251658242" behindDoc="0" locked="0" layoutInCell="1" allowOverlap="1" wp14:anchorId="580099F6" wp14:editId="44B0D70B">
                      <wp:simplePos x="0" y="0"/>
                      <wp:positionH relativeFrom="column">
                        <wp:posOffset>67945</wp:posOffset>
                      </wp:positionH>
                      <wp:positionV relativeFrom="paragraph">
                        <wp:posOffset>19050</wp:posOffset>
                      </wp:positionV>
                      <wp:extent cx="2084705" cy="2673350"/>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34" name="그림 3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64615" y="2527300"/>
                                  <a:ext cx="720090" cy="146050"/>
                                </a:xfrm>
                                <a:prstGeom prst="rect">
                                  <a:avLst/>
                                </a:prstGeom>
                                <a:solidFill>
                                  <a:prstClr val="white"/>
                                </a:solidFill>
                                <a:ln>
                                  <a:noFill/>
                                </a:ln>
                              </wps:spPr>
                              <wps:txbx>
                                <w:txbxContent>
                                  <w:p w14:paraId="759FF693" w14:textId="10592555" w:rsidR="006D7011" w:rsidRDefault="006D7011">
                                    <w:pPr>
                                      <w:pStyle w:val="af0"/>
                                      <w:jc w:val="right"/>
                                      <w:rPr>
                                        <w:rFonts w:ascii="Times New Roman" w:hAnsi="Times New Roman" w:cs="Times New Roman"/>
                                      </w:rPr>
                                    </w:pPr>
                                    <w:r>
                                      <w:rPr>
                                        <w:rFonts w:ascii="Times New Roman" w:eastAsia="Times New Roman" w:hAnsi="Times New Roman" w:cs="Times New Roman"/>
                                        <w:lang w:val="pl-PL"/>
                                      </w:rPr>
                                      <w:t xml:space="preserve">Rysunek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0099F6" id="그룹 36" o:spid="_x0000_s1145" style="position:absolute;margin-left:5.35pt;margin-top:1.5pt;width:164.15pt;height:210.5pt;z-index:251658242"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8+gt1AwAAAAgAAA4AAABkcnMvZTJvRG9jLnhtbJxVwW7jNhC9F+g/&#10;ELxvJNmJkxWiLNykCRZId40mxZ5pirKIlUiWpC2lH9RfaA/9ovYn+khJTpxssdscLA+Hw+Gbxzfk&#10;+bu+bchOWCe1Kmh2lFIiFNelVJuC/nJ//eaMEueZKlmjlSjog3D03cX33513JhczXeumFJYgiXJ5&#10;Zwpae2/yJHG8Fi1zR9oIhclK25Z5DO0mKS3rkL1tklmaLpJO29JYzYVz8F4Nk/Qi5q8qwf3HqnLC&#10;k6agwObj18bvOnyTi3OWbywzteQjDPYKFC2TCpvuU10xz8jWyhepWsmtdrryR1y3ia4qyUWsAdVk&#10;6bNqbqzemljLJu82Zk8TqH3G06vT8g+7G2vuzMqCic5swEUchVr6yrbhHyhJHyl72FMmek84nLP0&#10;7Pg0PaGEY262OJ3PT0ZSeQ3mX6zj9Y9fWZlMGycHcIzkOX4jB7BecPB1rWCV31pBxyTtN+Vomf28&#10;NW9wXIZ5uZaN9A9RejiYAErtVpKv7DAAnStLZFnQ+TElirWQ/N9//PnP738ROEBxWBGChiUslHSr&#10;+WdHlL6smdqIpTMQLVopRCeH4XF4sN+6keZaNk04pmCPlUHgzwTyBXIG8V1pvm2F8kM3WdGgSK1c&#10;LY2jxOaiXQtUY9+XERDLnbfC8zpsWGHjnwE2AH0yEVE+AgslOOiLrLufdAk+2Nbr2CvfqK/07O2k&#10;r5N5lmVRX3uVgELr/I3QLQkGoAJRTM92t27ENoUE1EoHwoCZ5Y06cCBn8ET8AfFoooDQGrif3MQv&#10;Ri8Y/l8teFczI4AypH3UzGKSzH1orx90TxZBBWNQaFLie7hHdQT/gHNqmX2vZvPF8SIDbaErT2an&#10;83TsyqlvT3F5vsWFGNo2O16kQ9e+nlWnG1lOSgx0XzaW7Bhu3a6WXkQxQyNPo/6D/ceqguX7dR/7&#10;aXE2UbHW5QOYsBqHjQqc4dcSG94y51fM4vaGEy+S/4hP1eiuoHq0KKm1/e1L/hCPE8UsJR1eg4K6&#10;X7csXBXNe4WzDk/HZNjJWE+G2raXGqVmEU00scD6ZjIrq9tPeKiWYRdMMcWxV0H9ZF764U3CQ8fF&#10;chmDhhvnVt0Z3FNZlHQg9r7/xKwZxe5xnh/0pCaWP9P8EBtE7swSbXctY0MEYgcWIfEwgLKjFZ8Z&#10;WAfv2NNxjHp8uC/+BQAA//8DAFBLAwQUAAYACAAAACEAPwTLfSmNAABA/QkAFAAAAGRycy9tZWRp&#10;YS9pbWFnZTEuZW1m7J33tyVFuffLN6x33T/h/nS5V1DggiwyAhIugjiCZEZEwgxZlAxDZnBwYACH&#10;nCVIzlEUBBRBlIx6FSNJYQCVpOTkez4F3741zT6nn332PnvvrnrOWn2qu+rp6nqqvvXp2tXpYyGE&#10;r40t+tvzYyH8cGzR33X/GsIX/i2ERdbdcL0QPhbWeu9fwv8eS0xMouns/xfCKv8nhC+NJdylnT8M&#10;71zz/4afv/a/wiZj23e++y9Vav1YSthrLI8fjS0bj0UsPrYcOLas/+F+i4QHg9JJ2+ND24+FRca2&#10;/scubnz475///GfwxevANeAacA24BlwDrgHXgGvANeAacA24BlwDrgHXQGcNLPJvHw++eB24BlwD&#10;roHR0UDT+crbanTaytvC28I14BpAA1ZuN9l5euffK14vXi+uAddAvzSg83ZTfla7pnw83bXrGnAN&#10;uAZ604CVx1Y7b4/e2sPrz+vPNeAaaNKAlcdWu6bjebpr0jXgGnAN9KYBK4+tdt4evbWH15/Xn2vA&#10;NdCkASuPrXZNx/N016RrwDXgGuhNA1YeW+28PXprD68/rz/XgGugSQNWHlvtmo7n6a5J14BrwDXQ&#10;mwasPLbaeXv01h5ef15/rgHXQJMGrDy22jUdz9Ndk64B14BroDcNWHlstfP26K09vP68/lwDroEm&#10;DVh5bLVrOp6nuyZdA64B10BvGrDy2Grn7dFbe3j9ef25BlwDTRqw8thq13Q8T3dNugZcA66B3jRg&#10;5bHVztujt/bw+vP6cw24Bpo0YOWx1a7peJ7umnQNuAZcA71pwMpjq523R2/t4fXn9ecacA00acDK&#10;Y6td0/E83TXpGnANuAZ604CVx1Y7b4/e2sPrz+vPNeAaaNKAlcdWu6bjebpr0jXgGnAN9KYBK4+t&#10;dt4evbWH15/Xn2vANdCkASuPrXZNx/N016RrwDXgGuhNA1YeW+28PXprD68/rz/XgGugSQNWHlvt&#10;mo7XhvT3338/qJysv/vuu9X2e++9V62/88471To2Skv3Vz6ksaR2pKW2Wlc+Sn/zzTeq45AmO+Vd&#10;z1PxHnr/dw3kqQErj612OelEjITPsJJtxb311puRpdrGb/Ed25dffik8+cTj4aknnwgLnnk63Pez&#10;n4b77/1ZeOC+e2P420d/Hf701JMxHRsdgzx0LEKt6zjaVpozO89+mVM/cl/6r1Erj612ObTRO2+/&#10;vdD4VrxOx9fyE37++r9/GW79/s1h7pwjw8zttwv/vsii4eP/sVhYcomlYrj4J5cM1J9C1aVC7Nhn&#10;5ZVWDjvvuEP41rHzws/u+Un4+yuvVOcCysAxxWlxW+UgvVP5lO5h//uO16nX6bA0IHY0Hd9q15RP&#10;W9I1dqa8Yibrzy5YEG66/tpwzDfnhK/uuktY7dOrhcUWXTzyedGPfyLymW3qCxZrffnlVggbTJsW&#10;1l9vvfD5z30uLLfs8nEf+C5b9hfziWd92vrrh1n77RtOOP7YcPsPbglvvPE/cyaqS8oHx7XtofPE&#10;NZC3Bqw8ttrloBcYqHmQlIenn3JSEJsZO2v8DF+pn1133imcdvKJ4Y7bbo3jZeqCMbDmp1P+E69x&#10;/WuvvRbnUb53043h22edETbfdNOYH8di+cRiS8RtWM554IZrr674neaZQ927D3nzxtu3P+1r5bHV&#10;Lod2SVn99ttvhV/+/JGw48wZcfybMpQxNOPge396TzXXDY9//vBDcR4bhp9z5unhjFNPDvPmHhV2&#10;2mFm2GWnHcN+++wd4zgPnHnaKdW890svvVgxnvlx5sKPPPywyGzqn/PDEov/ZwznHzcvLFjwTBxn&#10;c45Jy5xDG7gP/enfXo951qOVx1a7HHSiMSwsvPySiypeMw+92y47xzHxRRecF6687JJwyonz4xj7&#10;pPnHh5NPmB85fNnFF4Zrr7oijrm5HgnXH3rg/nidkmuRf/j976rrlKRhe93VV8Z9Tz3phJgPTOec&#10;cPUVl8X977n7rnDh+eeGraZvGcvD2HulFVYKP/7RHc7ssd81OejOffB2tGrAymOrnfW4o2wnbnOf&#10;x1JLLl3NUTA23n9srLzKyquEs884LTx4/32BOY66L9qfsbeuI2Kj+NQeG22zzrmChTkUxtGMuWcf&#10;dmic5956q63CzTdeH87/9tnV3Alz5ezv423v89KRh/lrwcpjq10OmtE1yUMOOrAa2262ySZhow03&#10;jHPLnea+YW7KYOpBnCYkT+VLmNqm61x3TLcjw8fyJo+f/uTusMVmm4VNN944wHDG3Mx/33DdNVXe&#10;OdS/+5A/d7yNe2tjK4+tdjm0B6w89+wzq2uDXCtkPkPXF+EqHFXIOvuIz6yzUBcKWSedRfHiuPZX&#10;vGy1neZN3FNPPB7nb/bde6/I7RWXXzFwPzhpvngduAby14CVx1a7HDTD3AfX//CZ+6m5Nolf3FOd&#10;shfujsdl3StSrw/2Jy3lt2yUt9IUz3EUR5ieQ9Zd57OxnIzBZe9h/v3W27jsNrby2GqXg554jkb3&#10;+/EMDD4xtoaXrIvV6Xg59VvpMFbryiO1q3Nf+ckGvqf7i9/MecuGMTdtw70mr7z8chWvdA/L7t/e&#10;/nm2v5XHVrscdHLFpRdXcyS333pLNcbmOXX8g6UpTwftM+XQ+JtrlMxzs3BeoVw6XxDWzwWDLqsf&#10;L09ueLsOt12tPLba5dCeRx81pxrDct8ePsHAUeG2xtuMx1mnbeA29yxSVmf1cPtUDn3AfRhtDVl5&#10;bLXLob332uPrcd5h1VVWrcbVMHLkuD02d8N5BWbzPBD3e2u8nUM7uA+jzQ5vn+G1j5XHVrsc2pL3&#10;jjC/zbONzGuz4NeocJtneSiP5kNoG8o7Z/bhVTxpObSF+zA8Nnjdj27dW3lstcuhrXmWhTEsz6Zr&#10;/DqK8ySqa8ba3P9y+CEHR1ZrnoRQ67L1cHT7oreNt41VA1YeW+2sxx1lO97Bh788a55efxy18TZ1&#10;CJd5dwrl5b1WKq/CUa5nL5tzyjUwOQ1YeWy1y6EdGG/j71mnn1rNNcDBUeG2rktS15SL+RzKy3ur&#10;VP+aQ9G2h5PrH15vXm+jqAErj612o+hjt2Vybntf7VYzbu+aGaQGrDy22g2y7FN1LOe298Gp0pbn&#10;69rqhwasPLba9aNMw87Due19a9ga9OO7BifSgJXHVruJjtWWNOe295m2aNXLWaZWrTy22uWgo264&#10;Xb9POn1nFGlpen2de0F034fS2F/3i49Xl35dssy+Op4ePL48PVh5bLXLQUO9cps6gMedvh8Gn8Vq&#10;2aXb4jdpem9svU6d2+X107oGfLtsDVh5bLXLQU/dcFv+MkaGv4yhU/aSznb6/At2KauxSePq9jqG&#10;Qud22X1WOvCwXB1YeWy1y0FL3XAbxorBaah1MZx3eGudNDiezpOk9spT9vU6dW6X21/rWvDtMrVg&#10;5bHVLgcddcPt1F99v0xxzFXfcdut8bvBfDOHb1Ked85Z8TlMvvXO94P5Vvyrr74an5dJ57XHYzZ5&#10;O7fL7KvSlYfe/lYeW+1y0FS33Na4mW+rzz9uXtj2K1uHZZdZLiz+ySXDOmuvHWZuv118Bp1v5+ww&#10;Y0Zc59nGraZPD6uvtnp81nHttdYKe3xt9/gt90ceeqh67rFTfTq3vd920oXHlaMLK4+tdjlopxtu&#10;a37jkANnxXdRUU/wd7dddo7vDVl6qU+FxRZdPLJZ39Bhm/dWYcu34b/y5S+HIw8/LH4TTTbXX3PV&#10;uOx2bpfTP3PoT+5D//Vq5bHVLoc26obb+HvEoYfEsfU+e+4RDp51QODbYbxrdcEzT4f0++wwnvkP&#10;XaNk+6WXXgyP/eH34a47fxh2323XsM9ee8aQ8Trfae9Un87t/veDTvXscV7Po6oBK4+tdqPqZzfl&#10;6obbcJexM993nLXfvuG5Z58NZ552SnWtUt8UFqspB+vpXLbKdsapJ4ffjH2XfY/dvxrH4ozZlZaG&#10;zm3nSaoHXy9PD1YeW+1y0FA33P7zn56KjN1+223CccfMjZyF2ymX03XqR3MrmhfXNUi4TTpzJhPV&#10;t3O7vH6aQ79yH/qn24n4kNaz1S7dp63r3XD7tddeCyuvtHJYasmlw0UXnBfg+Kz99wtXX3FZvH/k&#10;qCNnB757xnVI3rfKO7JZZyx90AH7h+PnHR3vL2E++xtHHB6eePyxwDfkmefmvdqd6tC53T/9d6pf&#10;j/P6HXUNWHlstRt1fy3l64bbjJXvufuuanyselK48Re/GPbfZ+94LyDjcO7/473eLNxbssG0adV1&#10;S12rhNkrLr9ieObpPzu3x35/WNrMbbyeStKA+NLks9WuKZ82pHfDbfnzkx/fGa8nMo4+5cT58R7r&#10;5597NjJHc9yaH9E+hKQxR/7wgw+E2YcdGvi2JZxn3K39UnvWfbztjKprwrfL0oSVx1a7HPTTDbdh&#10;MfPUWvC/ft2RMXnK7Po6fCZO95qw/0T16Nwuq49OpAVPK1MLVh5b7XLQUTfcrvvLM5LiMs9PisHE&#10;6fqkGF3fl+30fYKd0olzbpfZV8fTg8eXpwcrj612OWioG27rXhBYLF4rLq0L+J3Gd2K3uC47MT/N&#10;h3Xndnn9tK4B3y5bA1YeW+1y0FM33E79nYjdsDhNZ790W+nKbzxmk+7cLrvPSiMelqsDK4+tdjlo&#10;qVtup/xN/U/H2NiQxju1tZ7aMtaux2vcndqx7twut7/WteDbZWrBymOrXQ466pbbg/bZuV1mXx20&#10;zvx4o6szK4+tdjm0tXN7dPWag77cB9dXrxqw8thq12t5RmF/57b3q1HQoZfBdTieBqw8ttqNd5w2&#10;xTu3vb+0Sa9e1vL0auWx1S4HDTm3y+sHOejWfShHt1YeW+1y0I5zuxz956BX96E8vVp5bLXLQUPO&#10;7fL6QQ66dR/K0a2Vx1a7HLTj3C5H/zno1X0oT69WHlvtctCQc7u8fpCDbt2HcnRr5bHVLgftOLfL&#10;0X8OenUfytOrlcdWuxw05Nwurx/koFv3oRzdWnlstctBO87tcvSfg17dh/L0auWx1S4HDTm3y+sH&#10;OejWfShHt1YeW+1y0I5zuxz956BX96E8vVp5bLXLQUPO7fL6QQ66dR/K0a2Vx1a7HLTj3C5H/zno&#10;1X0oT69WHlvtctCQc7u8fpCDbt2HcnRr5bHVLgftOLfL0X8OenUfytOrlcdWuxw05Nwurx/koFv3&#10;oRzdWnlstctBO87tcvSfg17dh/L0auWx1S4HDTm3y+sHOejWfShHt1YeW+1y0I5zuxz956BX96E8&#10;vVp5bLXLQUPO7fL6QQ66dR/K0a2Vx1a7HLTj3C5H/zno1X0oT69WHlvtctCQc7u8fpCDbt2HcnRr&#10;5bHVLgftOLfL0X8OenUfytOrlcdWuxw05Nwurx/koFv3oRzdWnlstctBO87tcvSfg17dh/L0auWx&#10;1S4HDTm3y+sHOejWfShHt1YeW+1y0I5zuxz956BX96E8vVp5bLXLQUPO7fL6QQ66dR/K0a2Vx1a7&#10;HLTj3C5H/zno1X0oT69WHlvtctCQc7u8fpCDbt2HcnRr5bHVLgftOLfL0X8OenUfytOrlcdWuxw0&#10;5Nwurx/koFv3oRzdWnlstctBO87tcvSfg17dh/L0auWx1S4HDTm3y+sHOejWfShHt1YeW+1y0I5z&#10;uxz956BX96E8vVp5bLXLQUPO7fL6QQ66dR/K0a2Vx1a7HLTj3C5H/zno1X0oT69WHlvtctCQc7u8&#10;fpCDbt2HcnRr5bHVLgftOLfL0X8OenUfytOrlcdWuxw05Nwurx/koFv3oRzdWnlstctBO87tcvSf&#10;g17dh/L0auWx1S4HDTm3y+sHOejWfShHt1YeW+1y0I5zuxz956BX96E8vVp5bLXLQUPO7fL6QQ66&#10;dR/K0a2Vx1a7HLTj3C5H/zno1X0oT69WHlvtctCQc7u8fpCDbt2HcnRr5bHVLgftOLfL0X8OenUf&#10;ytOrlcdWuxw05Nwurx/koFv3oRzdWnlstctBO87tcvSfg17dh/L0auWx1S4HDTm3y+sHOejWfShH&#10;t1YeW+1y0I5zuxz956BX96E8vVp5bLXLQUPO7fL6QQ66dR/K0a2Vx1a7HLTj3C5H/zno1X0oT69W&#10;HlvtctCQc7u8fpCDbt2HcnRr5bHVLgftOLfL0X8OenUfytOrlcdWuxw05Nwurx/koFv3oRzdWnls&#10;tctBO87tcvSfg17dh/L0auWx1S4HDTm3y+sHOejWfShHt1YeW+1y0I5zuxz956BX96E8vVp5bLXL&#10;QUPO7fL6QQ66dR/K0a2Vx1a7HLTj3C5H/zno1X0oT69WHlvtctCQc7u8fpCDbt2HcnRr5bHVLgft&#10;OLfL0X8OenUfytOrlcdWuxw05Nwurx/koFv3oRzdWnlstctBO87tcvSfg17dh/L0auWx1S4HDTm3&#10;y+sHOejWfShHt1YeW+1y0I5zuxz956BX96E8vVp5bLXLQUPO7fL6QQ66dR/K0a2Vx1a7HLTj3C5H&#10;/zno1X0oT69WHlvtctCQc7u8fpCDbt2HcnRr5bHVLgftOLfL0X8OenUfytOrlcdWuxw05Nwurx/k&#10;oFv3oRzdWnlstctBO87tcvSfg17dh/L0auWx1S4HDTm3y+sHOejWfShHt1YeW+1y0I5zuxz956BX&#10;96E8vVp5bLXLQUPO7fL6QQ66dR/K0a2Vx1a7HLTj3C5H/zno1X0oT69WHlvtctCQc7u8fpCDbt2H&#10;cnRr5bHVLgftOLfL0X8OenUfytOrlcdWuxw05Nwurx/koFv3oRzdWnlstctBO87tcvSfg17dh/L0&#10;auWx1S4HDTm3y+sHOejWfShHt1YeW+1y0I5zuxz956BX96E8vVp5bLXLQUPO7fL6QQ66dR/K0a2V&#10;x1a7HLTj3C5H/zno1X0oT69WHlvtctCQc7u8fpCDbt2HcnRr5bHVLgftOLfL0X8OenUfytOrlcdW&#10;uxw05Nwurx/koFv3oRzdWnlstctBO87tcvSfg17dh/L0auWx1S4HDTm3y+sHOejWfShHt1YeW+1y&#10;0I5zuxz956BX96E8vVp5bLXLQUPO7fL6QQ66dR/K0a2Vx1a7HLTj3C5H/zno1X0oT69WHlvtctCQ&#10;c7u8fpCDbt2HcnRr5bHVLgftOLfL0X8OenUfytOrlcdWuxw05Nwurx/koFv3oRzdWnlstctBO87t&#10;cvSfg17dh/L0auWx1S4HDTm3y+sHOejWfShHt1YeW+1y0I5zuxz956BX96E8vVp5bLXLQUPO7fL6&#10;QQ66dR/K0a2Vx1a7HLTj3C5H/zno1X0oT69WHlvtctCQc7u8fpCDbt2HcnRr5bHVLgftOLfL0X8O&#10;enUfytOrlcdWuxw05Nwurx/koFv3oRzdWnlstctBO87tcvSfg17dh/L0auWx1S4HDTm3y+sHOejW&#10;fShHt1YeW+1y0I5zuxz956BX96E8vVp5bLXLQUPO7fL6QQ66dR/K0a2Vx1a7HLTj3C5H/zno1X0o&#10;T69WHlvtctCQc7u8fpCDbt2HcnRr5bHVLgftOLfL0X8OenUfytOrlcdWuxw05Nwurx/koFv3oRzd&#10;WnlstctBO87tcvSfg17dh/L0auWx1S4HDfWD2++//35QXbCebhP/3nvvxfR6vPaZKHzgvnsXynuX&#10;nXYMtM9OO8ys4sl/MnlPdFxPK48P3uaj2eZWHlvtcmjnfnBb9fDWW2+Gd999t+Ip8TC1Hid7S+jc&#10;Hs2+ZGk7t/G264cGrDy22vWjTMPOox/crrNZ419CFnx855134phY21a/ndve961acbs8tWLlsdUu&#10;B530g9uqB+YqNLZmXduK65bZ5OvczrMvSjMeevs2acDKY6td0/HakN4PbjM/gq/wWayG0YyxWUjr&#10;NIdiqR/ntvdri07cJl+dWHlstctBK/3gttj80ksvhssvuSicdvKJ4azTTw3nnHl6OP2Uk8LZZ5wW&#10;rrzskvD2228tNPdtqT/ndr790dL+buPtb+Wx1S4HTfWD24ytH3rg/rDBtGnhs/+1Tth+223Cl7bc&#10;Imy5+WZh6622Ctts/eWw4vIrhulbbB7+9NSTFbs1b6J5lE716dz2fttJFx5Xji6sPLba5aCdfnD7&#10;ySceD59aepmw6iqrxnv0PrfuupHhhGutsWZYY/XPhEU//omw9lprhS022yxyW8xWHb7z9tsVzxVH&#10;6Nwup3+m7e7r3u7SgJXHVjvl2+awH9y+4NxzIq8333TT8K1j54UTv3VcDI+fd0xcP2n+8eGb3zgy&#10;spy6ffTXv4r3mTAXrrpL1xVH6Nz2/pvqwdfL04OVx1a7HDTUD24zl02d7bPnHuGUE+eHk0+YH044&#10;/rix5di4wG22d5ixfbQTi7lWqbnx8epStqTDdn/uprx+O542PL4MLVh5bLXLQTf94PbP7rk78ph5&#10;bFgNpxlrzz9uXtw+9ui5Me4Ln/98WHKJpcLrr79ejbM1PzIev53bZfTNHPqS+zA1WrXy2GqXQzv1&#10;g9vUw1WXXxqWX26F8MUNNojXImduv11gYYzN9cj111svznPDYea203mR+lx3Wq/O7anpC2kd+7rX&#10;8ShrwMpjq90o+2otW7+4zfEevP++sPOOO8SxN9chqceP/8diYemlPhX22WvP8Ngffl+Ns63lc26X&#10;yxT9BkvP68S98cYbUUec+3UvUhoS32mpa042xOt3XzqmUJ6kE6/y6PjKj3y07mH/9WrlsdUuhzbq&#10;F7fRuHSe9jM0Lb1TX2+++UGfs9adc7v//cBa98Owk4Z0bHia8lXxCknjOkkv7KwfU3kTKk1lIJS+&#10;U12n+/h6fzVr5bHVLof26Qe30bb0rTqRvhWSLr3LxhI6t/vbByx1PkwbNIJWxEnKkuomjWeddGkP&#10;O8V18iHdt54Og9PjqAxis46h/AllL5t6nr7dH+1aeWy1y6Fd+sHttB6k5bquGTeRVv+Nme7bad25&#10;3R/td6rbUYwTF1U28ZJtjb21jp5g5gsv/C1ccuEF4dKLvhO4Bs47fjstO8yYEXacOSOmMZ/HvUm7&#10;7rxT3Peyiy8Mf/xwHk/HlJYV6n0O/GaUDeWtl1ll97A/2rXy2GqXQ7v0g9vpeAONpzruVdfO7f5o&#10;vy1aRS/S0CsvvxweeejBAFN5ZwLLQQfsH9Asz3DxrNcnFlsiXkPhegrXUhZbdPHw74ssalqwZ9G+&#10;7EffX/yTS4alllw6TFt//bDv3nuFY745J76r4aILzgs/+P73woJnnq7m++C3GN6WOm5bOa08ttq1&#10;zf9O5e0HtzUeIX8xnP4nPZOerncqx3hxzu2yuA2nt/3K1vE5W5hKXxRPFRIn5qqvitXa7ibUNXTy&#10;gNmcC9hfx2Ob+DRP4jb8whfie3ek7fE07PG9aVj13lSPVrumfNqQ3g9uT6Wfzu3eND+VbaO84dZr&#10;r70W55o5b+s3FiE2Kdc4h+s8rvP9Lx55OL7ThvFzncf0xZSrrGshDX4yxmYdtpImhtdD9WuFSueY&#10;YjXryi+107rKwja2hBx3q+nT4zvU5DNzKfKPOtAci+omrTutT+a9a9o351B13+Sj1a4pnzakO7dH&#10;n4tt0JF4RVnFJrgFi8Rp4v/217+Ea668PL4vcvfddo1zHWItvGRd7NZ4l20xth6nvmoJ63loH8Wn&#10;x2E9LYvKRMh+2od17FhYX2Lx/wybbbJJmLX/foF5Fd63ht+cu1ioCxad31hXOmEb2nrQZVQ7NR3X&#10;ateUTxvSndvO7V51Kh6JO2JUOmd28003hC9/6UvVuJY+JgYT8hyt4mCfxr+si5mki6fqo9gpn9RO&#10;6WnIeSE9N2g/hfX8yY/j19OxIy49Xpov6ak/q316tYD/1LPqqD62Zlv11Wt75La/2rDJL6tdUz5t&#10;SHduO7d71SmcJg9C2MN9HyzE/eqXvwjrrvPZhTjG2BQeqp+Jp2zDQ9I01k25rHTsta5xrtjK9cSV&#10;Vlip47LcsssHlmU+tWwc5zMvwzNhaTmUT8pk0rUtPuv4KovywE7nHMUR4hO2p550QsVvGE59qf56&#10;bYdc91c9NvlntWvKpw3pzm3ndj90CoO4/4PvY/CeMRZ4TV+CrSkPxVrS0ut9qR32YiU2q6+2eth0&#10;443D4YccHO/t4B2U3Gdy0/XXhl/+/JHqve6TYSD7cH8q8+w//tEdMU/y5/6VeXOPivcLcv8K5wSV&#10;nbLBYcqphbg0HX6L47KXz/z2OPO0U8KCBc98MG/y4XmuH22RWx5WHlvtcqgf57Zzu1cdM2ZkLneV&#10;lVepxq70IY074RqM6zQ2lR1c00Ic39n4+ld3C7f/4JZq/ldzwSov5wrNOyhU2mRC8q/vl94zzjH4&#10;7gdjZt65k/qXnn+0LoaLJ4Q6H8lv6mS3XXb+yHHr5Sh5W/XXVAdWu6Z82pDu3HZud9KpOCiWKWRs&#10;yqLf93fecXucd4BH6jcKUw4Tl3I75Zfsmb845MBZ1fMvMLM+D9yprIOO0/mDOrji0ovDRhtuGH3H&#10;P/yC2yxwW6F8pE5YT5muOaMjDjs08lt1jV+sa5s24ZjydzK/LbRvm0LVXVOZrXZN+bQh3bnt3O6k&#10;Uxih937AB3EcWzhy7VVXxO/PidficMojGAXLWIiXDfHwjPu0mYv47g3Xhb+/8ko8hhilMnHc9NiK&#10;H2ZIeeAnZWWdkDki3md87tlnxntJ1ll77YrNOn+pDhini/EKZcNvluOOmRuuu/rKqv7lK+3AsVRH&#10;o1YvKme/QyuPrXb9Lt8w8nNuO7ctuoMVsGrunCPjPC+8gTXqKwphkxbFYQezWfhuHfdWMI6O/OMa&#10;5odjSI0fxUJLuQZtk7KS9XSbsvAbQVzluXm+r0pdqS60rnMY5680TXWFHc9rUjfpMcZbH3Q9DPJ4&#10;qp+mY1rtmvJpQ7pz27ndSadiKGlc9zvvnLPi8+XqG7AZxsAXzfOKSeI2bML+gH33ie8A4bpfJ+7o&#10;nJCmcVziiavHdyrvoOIoC+USmzmu6kplTcsLd//y/HPxGirfFOE99DqHKVQ9UldaJ2ShLg896MCx&#10;5/0fisdJj50eZ1D+D+M40lzTsa12Tfm0Id257dzupFONgbnngfso6BMwRPclsy0uq7/UQ+ZrU75x&#10;HN0fqJC4dA67ziL2r8d1Ku+g49Iyc2z5qbLiH3Wo8hPyDCXpt9x8U/zWqs53qktxXPUKt5VGyD01&#10;Tz35RMxDz18O2u9hHE+6ajq21a4pnzakO7ed2510Cmd45k99gVA8YR2mwPOULfzm5/tGfD+DRSwj&#10;1PyBuMYxGadqrKoyaB+2U1ulj0pIufGJMuocJ5aSJj/SUP4o7sLzz43nwbRe+c2i65TEi+3Es01/&#10;Vd0ov1Gpk6kqhzTYlL/VrimfNqQ7t8vgtvo4zGCJvPlwLlbb8ObVV1+N92Bv/MUvxjkQuMwibqTr&#10;mithDpdx+W8f/XVkCvmw6Jht6AfDKCP1Qz3x3D91CKM1x0QIh4ir85vfPNwjef+9P6vakvKrHclX&#10;7Uy8tofhYz+OaeWx1a4fZRp2Hs7tMriNzjr1X7hBGiFzqDBCPKYfaDytdc2T6Pk/nlPReBNW6Hoj&#10;x1L8sDU+isdnrK66p3yaV+F5HF2rJITbagOFagvS+Pa29he3yZf6l9/6raPttoVWHlvt2uZ/p/I6&#10;t8vgNn03bX/6dcqNJx5/LH63Ge3DA/UBMQSW6/c7aXz/OX0HYJq3rzdrSudQWKt2UNzRR81ZaF6b&#10;+qb+OaeqXVKen3zC/IU4Tf2Tr86bKcPb2DbyuansVrumfNqQ7txu7mNtaEdLGenLGpNhDy8e/dV/&#10;h/322TsymfGcrkGyrnE3vGCeBIbPmX1EuOG6a+K9xXAh5Y74o7K0nRfyYypC6o18qSPVG6Hah/vB&#10;Tz/lpPgMKvWfLrQLC5yC36zvtcfX4/yW9qdtyI+QY7S5Law8ttpNRXsOOk/ndjnclrZ0LwTPbKdj&#10;a3Ea/YsL8Bteww3u4xNvlBdhnQvwgqXNrEj9m6p11Q91pTZJ65d1lj2//rWPzJVozoRQ67TlnNmH&#10;V7+r0nbQNdOp8mUq87Xy2Go3lWUdVN7O7fy4LR6gIa3T/1OWci8xOtf1xpTfMFos4HrZDddeXY0N&#10;yZN8Un1qW8ciZEkZlNr7+kfPdaoT1WG97m6+8frIZF1fUNsR0l6cZ9VufEeT5+/JU22u/JS/jqd4&#10;bY9iaOWx1W4Ufey2TM7t/LiNBtLxm7hKH/3rX54Pn/2vdSouq98TMn9N32cdbvNtxXo/71Zfbt8f&#10;fWmuGn6nbQSvdc5lnfOwzsWnnDg/zmfV2UxebRp/W3lstctBk87t/vSrUdECvNYYizLRZ4mDv7//&#10;3W8Xem5GOlcoHsCBuXO+Ecdr7C92KxwVX0sqh87D+Mw3dPTuRf0uUiiGw27Ow7xPUcxn3/TeEtqz&#10;DfyWPpva22rXlE8b0p3beXEbzdEfWWCuGM57VvnuirStMZn6u8Zq+49do2ReJGV0Dte22tAXm8pI&#10;e6Ztyj3zaj/OubQp26zrHEx47NFzO56DyavpmKOQLs02lcVq15RPG9Kd2/lxm28ASHu8l19jMN3T&#10;R9+mj6Nz9W/uI+E9dOwH69Wn07Ga8vRw8JrhPKp7OWkf2pi4Z57+c2xH3oFLe3L+JeQ7PrQzbU/c&#10;RhtuUGmCNpVGlOcot6mVx1a7UfbVWjbn9uD7oLVtJmMHb9Ox9o4zZ8T+Sx9mQdviOOv0afX1b591&#10;RuQ1v53Jp/4bOh2DT6Zsvk9/tCbmUp+0E+3KOZl5EdbVnjonE0ebbzBtWnj1H/+I8yawn/3bcF62&#10;8thql4MOndv96UvD0oLGxTA15SrXr9b8zBoVs+uMpi/Tr9Pf1nxbTPkoL0L18UH5qHkZHU/nIm0T&#10;ar5X/qdpqQ+Wde0rn7WtUPGDrgcdPw1VFsXhv9pRbay2FcO1jR3n8Zdffqkae6f5sK78O9WrbAcd&#10;WnlstRt0+afieM7t9nJb1yClC/ocv3u535cxF2Ms+qz0rHEY2/Rhfjsfcegh1e9r5kuH3V9TNuo3&#10;vFhCmtbxWeuEpLFMpvzKhzzT8Sd5qTyyUZlU56MQas6Ldj3t5BNjexKXzouRJn4zLn/+uWdjXdXr&#10;q17Ho+Cf9NtUFqtdUz5tSHdut5PbYhUaE2v4bgzznBpnoWOxmpB4sfygA/aPY64jDz+s6s/idr0v&#10;D1LH4iNlYF3bCjUW/8ff/x7fOXj9NVfFb1vyW4HyT2ZJ9738kovCXXf+MPxm7B1Zr7/+emSbyiGm&#10;qSyUcZh1pbZXG9O+f/7TU+GO226N527OzbS3uM42NtIF3yxS+RXio/Q0yHaf6FhWHlvtJjpWW9Kc&#10;2+3kNvpKObLzjjt8ZJyl/km/Vd8mjm+usz99lefrpHeYN2zdUiZxMS0Lvy0Y6z5w372Bdy/JN0J4&#10;hH+pj/LJEoplhOQlznGvHe/+eOGFv1X1Qtl4j3Y699+pvGnZp2qd41Jf8lvc5njE872KtJ7qOmA8&#10;zjOznco3LJ86lUVt2CktjbPapfu0dd253V5u07e4zsS3z+mD9Fv9NlZfpq+KS6x/76YbI+8ZU7Ec&#10;fsjB8Z0k8Erj7WGOt8RtcYOysL7gmafjOYZy0j91DY51/JOP6rvdhGm9pfspz62mbxmeXbAgloPy&#10;qa+rjNoeVki7ql7EYc7p3GtCPaEFfJEm5CNj8WWXWS7w26V+vSA9Lw3LLx1X5dX2eKHVbrz92xTv&#10;3G4nt2EGv+lpP/ok/Vac0Xban+mjt93y/cielDffOOKD8Tb7MF8wCtrVd2Eo53PPPhuOOnJ2NW7E&#10;T94NzrOcfDuN98g++utfhaeeeDzOEcAt5gq6WdiH8wJ58G3fm66/Npxw/HHxGxDUC7zjuHwTgu/X&#10;67wGG6mvtD4HWX8cl0Xlg1tP//lPcaxNPOXjfeo89y4/FKZ6wS++y5z6MyyfOtWflcdWu07HaFuc&#10;c3u0uM14Lh1zqv+oT6Ev0g8c+xYNfS9dpFtCmE1IOmNw3i8n3kij5D177Fti2g9up+NJ2U11KB/T&#10;41BWeEzZYI3KyHy27FRPGpMT3ykv2VtC9mc+hrxZfvfb34Stpk+vjk9Zzv/22UPldd0P1Q0h3FY6&#10;5Uc3jKd1Dqf8aEL64L59trkuov2kE4XkEetlrE1kM8hQ/jUd02rXlE8b0p3bo8XtVDPpvQuMm+g7&#10;9KFvfuPIhXhNv5NmCfltTEg842z6Mu/KTtkvvo0Ct+Uzv9VhjX6zw0uNDzfZaKPIUNKxZ0xOKD+U&#10;R31b8ROF6T7puurrxRdfCNtvu02sT8rDQhuoLLKb6BhTmZa2PW2tekx94fcH76TSXAnrYrj2X3ed&#10;z1YaSZk9lWW35K3yNdla7ZryaUO6c3t0uE0/gwXiAdta0BL3i6y1xpqRxTA5XaRZ9Uvxjt/1cEV5&#10;1jU5TG7jm/jAOmWjrLwT/EtbbhH947m/C849p2I0fmgf7NlPdaY86j42bSs/jp3mp3y1/88ffihe&#10;E9UYlbmU9Nwqu0GHantCjbfTsuMTPnLf9sztt4vs1twK53Xxm/V5c4+KbaB6SLVDnoP2jePJv6Zj&#10;W+2a8mlDunN7dLid6oX+wraeXZy1376VftXPxG3pVaF+A/Pt73pfoz+y6FjD4nZaLpjC+Bmf4Q7+&#10;scBH5inEEJVZnNV2yijFTSZUnbMv9a7ttKzc97zySivHtoB9t37/5oXqczLH7XUftTuhuE2e+t0i&#10;P4hjvgw+Y4t+qGed6xX3/e/eGPWB36p72oftNK9ey23dX/412VvtmvJpQ7pze3S4rT4hrrLNPbbL&#10;Lbt8NSYSqwml0zSkD8JtvX85ZZrylS5JGxa3VQZCykHI2PWQA2dVTOR+RaXJD3zgvjyuH55x6snh&#10;pPnHx/DsM04LPKef3ovdzb3cPK+C/aknnRB4/yljfN6fqPJxXNqDkHfh7rPXnpF3zDfwfr7Un0Gv&#10;p+0Pt9Oyco5THapczPtw/754DbvJgxDtEB7zzTnx/nX20XmSfJXHIEP513RMq11TPm1Id26PDrfR&#10;C+M8+gd9bZutv1zNhUiTus9PY2rFpyEMUl9VqDxTTcLJYXE7LY/G2w/ef19kBr7we17nMUL8YB/u&#10;315j9c8E7oPRPW/yifd2kBd23S7Kg5DnbbgmylwN5waVgzSVm7hNN944lpc6TPcf9Hra9nBbnE3L&#10;QRztTfkVz7Vt9kVLWtK8Lr3oOwvZs19aF8pnqkOVqek4VrumfNqQ7twePLfpQ+JQGqZ9QvfnaUwk&#10;TSpUvMbd/PZlnefW0Z3yIn+td9LjsLhNmSgbZRJnttvmK9GHlVZYKd6TR7rqB7sX/vbXeG8HzzJ2&#10;8qXfcX95/rmw2SabhIu/c351PNin9zoxvqfO6UPyRSFlSRnZ77Kl+UkThOk8SWrDuq5XKp5rH+wj&#10;DbGOrvRNHb51hK3Ogdpv0KH8azqu1a4pnzakO7cHz210Qf+GV2nfZg7xsosvDDO22zaOfzS2lh7r&#10;If2NhbESIe8lgYfitPJPWVLX5DC5rbJQ3gvPPzf6wPnnpz+5u+I1ZSf9kgsvCHt8bffw2B9+/0Hd&#10;jfFzIr+Udy+heMU33WC05njJkzJxz7fuy+DeQMqTlild76UcTfumupiI2+RDmfCDdfzjXeufWnqZ&#10;yGs0xBwJIe3A+sGzDoi/P7Ad1rM48s9aD012OaQ7t4fDbWmH/qDrR7M+/N3KfXwwW31Iuq2H9C/s&#10;6GOwm3lLMZt8dYyJwmFxmzJRVsavsIQxNr4wN0QacfKBZ2t4th17xSmcyLd+pFEOjrvbLjuH4+cd&#10;XdWvzonMSdFOXEOl/vFH5Vdb9KMcE+WR6mIibqf1R35s45++NUo+aCoNWeebGxMdf6rT5F/Tcax2&#10;Tfm0Id25PRxuwx3dK4JOYLb6DL9VWbQtPaah0uA18dzXIL11w4thcxtuMIbm3IMfc+ccGf3QXCzp&#10;x887Jvztr3+JjJGPhKSl2/1eh81i21NPPB7PLYTpcbgvWudXriGnaVNdPh0r1cVE3MZe5xtC7c/v&#10;BuWh+TeNt/GN++gHdZ5UmdJQZUvjOq1b7Trt27Y45/ZwuC22pveL0EfUb1gXD6THTiFj8zt/eEfs&#10;g3CCfOljWthO+2hdn8PidsoBzjmchzgH3XDdNbHs+MLCbxG4rXE5cRrTpnnU/er3NvV4950/Clyr&#10;oz4pA3GUh2eCKP/uu+1a1TvHH1T5Ul1MxO20PNKJ6vnen94TvvD5z0d+S3eEmoPjOaN+16k1P/nX&#10;ZG+1a8qnDenO7cFzW/MivMNP42bGN2K2QtK0Lk2mIc8mn3zCt6r+RB9Ec+k8JH013a5rcljcphzU&#10;A+Xj/jsYgW/cx5FyGVYyt61yy8eUQUqbipB7S5Qvx+Ycom2FzAHr9wI2Kr/KKrupClNNTMRtjp+W&#10;SeswXGXTHJ3ypF3UNtz7OKh6V3kIVZY0rtO61a7Tvm2Lc25PPbf121Sah6M8l0Z/SNms/qEQHZIu&#10;tovh9C3Nj3CPMZwQK7rV3zC5LW5wD7b6HO+wUz2RzvXAn/z4zoor3frXi73KoZB2pKy8c0D5Enf0&#10;UXOqdmripvbrZ6i6I5zM8dUOnEd5h5f0Jn2m+fO9UpWdeoH51IHipiLU8Zvytto15dOGdOf21HGb&#10;/qA+gb65f+yqyy8NO+0wM46j4TCL+gnrYjbvft51552qcRycVj/CDnbf+r3vVvmjNfGlG90Nk9vq&#10;73NmH1H9PtdvEdXbPnvuEX73m0enlAvj1Rf1qTpVebgOiT3nSaXxe0Hn18lwc7zjW+PFK8LJHB8/&#10;NObmGdtVV1k1+qOxAb8l8I/rxvy2oFzUh/xXaC1vt3byr2k/q11TPm1Id25PHbfpC+I1Wjj0oAMj&#10;n9C/+rmYLV5rvoR74bjHTOnaB21i861j58X+Q/70GxgotnSju2FxmzKrvNxzLv/FAIU8f8MYvBuf&#10;psKW+qVMjP9htsrOsXg2R+00GW72Wl7xinCyx5eO8IvrxLwXhvzEbsYKuq+bd5FjR33o3NurDxPt&#10;L/8msiHNateUTxvSndtTx23anzE2z0zz/EbaBzR2JtQ4m3EO9zHzHDfvLFIaetSYh3XuOdO7R3Ru&#10;4FhiXTe6Gya3VU7KwO8HfEt5yDq/TerPRWq/QYTUqcpEXWu8ndY1z9aL29xfMohypccQrwgnw+3U&#10;F63/4pGH47tdGS9It+SPVvktyLP9sqVe0vL0e13+NeVrtWvKpw3pzu2p4za/+XmWGK2jqbr+FU8a&#10;1xjT5wAZ24jnGovKnvu20JZ4ouuOkxn7jAK3+eYOPrLIB81DcN/0ZFjUj75H/bKoTOTJnEj9WgJx&#10;YkYbuZ3WFb7JX67B4hfnJI0bpEG2tZ/std3vUHXblK/VrimfNqQ7t6eO28xPo3ONxdBVOoaG42yv&#10;s/baFZsYu/BeIzGe/qF1bPlmILoSs7FXv9H4pxvdDYvbKjN+HJF8u0Fl1xgObj/+2B8rRih9EKHq&#10;WMeifmF0uk0c8yRiRlu5neoI/9jm3kD8EqulZULGGXzzTu2oOpmKUHXblLfVrimfNqR3y23aCa1K&#10;06wrDn/Zps0Jtc26ttM6URyh8kvTWec9QorDbpeddoxa4vez4tlXeSluqkKOxSIf07Kzzhgbve84&#10;c0bkNayF2yziL/piHSZ/57xvV9pnf+5fZh/SCFmwZ//pW2webTl2v/wbFrfT8vNN+bTPpW1JOw+D&#10;hSpfqkvKJW6n8Rpv01Yqa+qD8pqqUHVH2M/fJvhw3DFzo1bxDQ1Kk6zzXoX6b4+p8FH+NeVttWvK&#10;pw3p3XK77tNE+kzTYLt++6bcSW3qebM9qtxOy5r2Yd7Fg340RhF/iUsZvP5661XspT6on5deerHi&#10;F/1COiQPtq+7+srqfIF9WobJrju3J/69lbYtWi2J2/L9c+uuW2laY270yMI8eNqfJ6vDifZTP5jI&#10;hjSrXVM+bUjvhttqR/xK20rxdQazraVeF3CHZxrYV/vXbdgeJW7Lv3SMwTrlpz6Yw9C8tDSEtsVr&#10;xRHyzlLy031v7H/j2Fg7tVHfII51vldCnagcneqr2zjntnN7Is2gNd5fot+KqZa5Zsk3mifqvxPl&#10;bU1Tn2iyt9o15dOG9G64jT+0o9oJ1ojfWieNBbs6XxQHs7Wf8kpZmNbbKHFb/lN+yk2ZuV+E93wy&#10;zmYsgq41JmGdsTJ6Yp3r8Lw3jm+OkBd1kNYRc7nYwWjlpf5y8003LDS+TvdL66vbdee2c3sizaDR&#10;x/74h7DsMstV1yZ174/GJPfcfddC2pwov8mkWXlstZtMGUZtn264DSvEWUKxmnjm1XgnJNfUzj37&#10;zPh7kmew+Q4J904Rf/sPbonfp1Ue1EW63qluRo3bKqPOO+n3WWCutCPuKg7d6xlufE7nOdh++MEH&#10;4r5wWv2CvNjWvWccc7zzm8rVbejcdm6PpxmNDdAc7xpItc063CacM/tw5/YYy8arx6mI74bb6fFh&#10;CL/xme9jrpbfTLxf52tf3S2+85LrSVxDJOS+CtY1T7bV9C0D36AiP7E/zTtdHya3dU4h1Lq4yXey&#10;Ntpww6hbja/FavQMb9nmXpFzzjy9GmMrH50D2ea56TU/s0Y1zmZf9Qm+qRJ5ncxns60+ldbVZNad&#10;2xP3N7UXdUudlzS/jb8aX1APem4MVqea5xkd3Zs6GQ027aPzRb/smvJpQ3o33BYraEPmB7bcfLPI&#10;LcbUzL2mGpfvxME63tXO/nyre7999o77cd8udtKG9knDYXFbvshnysQ690ozL6JxtMJ0/KF1vgup&#10;e7I5x8Fb+ab88Z1zm5gvjZIv/Ob5PPbRu+41H658eg2d287t8TSE3utjhNVXWz0+94VeWdAoml1r&#10;jTVj/1cfoZ9I4+Plb41Xn2iyt9o15dOG9G64LX9gNt+dpZ7mH/fB89a0kdpJHK63ufaHPfvuvVds&#10;f973lrJRNgqHxW2Or3fBibf4t/mmm0a/NbeHbpnD5veGdEMaOpYPhMoDX/FfPr/6j39U++kcQKjx&#10;NtfrqU/Ofeyj8b7qOj3GZNad287t8XSTahYbNMc7CVKdqx8Qp3sgsZVex8u7m3gdr2kfq11TPm1I&#10;75bbtCW/6zfacINw2MEHhSefeDz+duR629VXXBauv+aqOM9NqPWbrr823sPGu6Z5BotvcfHsMvMq&#10;vMt0onoaFrd17hEff3j7D+I3VzQOFldT3TL+4JtP3I+s59DZnzojFKvxl3XiqDONW8iL84D4zf0p&#10;Oj77KA/1p4nqzZrm3HZuT6QVtCa90Se4RiU+KkSvjFtgCRqVZlO9T3SMpjQdp192Tfm0Ib0bbqsd&#10;4PHKK60cx43w+vnnnq3YSxuP95te7QmLeb6Ed0LS5n9/5ZVq/3qdDYvbKgf3fvA+efFZ79YRW3W/&#10;COnMZctH6kpjY/JC83oenW3G3MTtMGPGQmN1NMox6AfYkR/76TyiOMJ+LM7tietR7Uld06YlzW+n&#10;+tL8HP17jdU/E9lNH2CcobkStHvHbbdW45O07tK8ul13bn9Uo5PhNt++4HlAWHLeOWdV/EjPy7QZ&#10;6eINaeI+68wRYwPr+N7JeG08bG6n12LEbHSkez7gNdto+Fe//EVVFzAbP1UP0qrqQCHXdBhvkw+h&#10;8ubarfZRmNah4noNndsf7RNpnaa6LJHb+Kw+TL2wzf1i6BS9qh+wTf/gWhd26VxgWp+TWSdvlqZ9&#10;rXZN+bQhvRtu4w/txtwGcwGsM24mXvombjy/SWPBljE764w3eb/DePsMgtsqU1qGD+4X2SDyGCaL&#10;qaxrLpv11T69WvxuKvPUcDXNo77OcYjDfxbGbuI+YxYdg5D7rrDRPspb2wrrx+h227nt3G7SjLRG&#10;CMMJt/3K1lG76FfjbX578hwD+WGDfpvytqRbeWy1sxxz1G265Tb+cP8D7wKibcTtbvxM9yMv/fbs&#10;lEe/uJ0ykOPougnx0iLlIo13qUqLYima0JwI6zB7+eVWCL/77W8mrU3yTvMnT2mPZ977pftO9ao4&#10;57ZzW1roJuRZHOlVYw+0yzrXdrrJq8lWfaJfdk35tCG9FG6rLXQ/IuPX+rzDj26/LUxbf/2oR3Fb&#10;rEaPGlugV747DluVbzch5wyu1ZIfeelYOsYhY99XID+dR7rJu1tb57Zzu1vNoF/GFPzu1hhG2mUc&#10;wm/odG6l2/zr9s7tj2q0FG5rnqGuCfGbZxLrjE7HwrBVjOXevDhOH9NvPT/rNvdPokfy5TsIWkf/&#10;5KHfAFM95nZuf7RPpG2Y1j/nUf02TOOJE790L9wgzrkqp7hG2M/3ASr/NMQv+c49CfJbZaDPoOFH&#10;HnpwoevyaR7drivvpv2sdk35tCG9FG6jN1ioezqkP+5p5P2oanM4Kn4TJ3bDbK6h9qtN9d5Ajiet&#10;o/dZ++0by6nzjPpIv45bz8e57dyua6Jpm9+sjLm5NzbtI7ruQxzfC9E9KE35NaWrb/bLrimfNqSX&#10;wm3aQuzW/AjvfRez9TtP2oPTxMFUnnvke458Vy/lqda7bWeeCdZ1eB0HbXJsvqWo8v1/9s7zzY7i&#10;TPv9D619ASa8GGO8XvtlARkTRRSIbDDYJomwiCCQEEEiGTDBBkSWBMo5IgmlycqBrByQiLvvfnrr&#10;V6O7qenp0119ps/M6VF9qKuqK4f7uevp6uqqovnWEz/wduDtorhBjkjDf2m6Q1g4lsyAb52fVjT/&#10;ZPzA270x2ijeRk/EwEHMzYyFqzvyPRPd98Ybro/PTUqOF8/1fpcUttx1NsvbR+ry/LNP93jHk84r&#10;/Vo6N/8XpdXL14/yxe+0n39N2UcJzsGjysWNDp58J1A7fMsrGq9qvC1M0U53PHnm3C7uU16zamUh&#10;w5m65Kv/DsiLccDPLQO/o32dxO1/3E+MHRNjWXgWz6IXaZywkfd68Kz8yCPL+MbLyqMqYWXwtniZ&#10;Nrs459l9V3Jlg38neebsUp3BkdZn9fC29FWV7fImZXDHDHqBuFlcjV8Se1u3bM7ESlqd0/yQeWFW&#10;Z0jB3eJvytUd7aSnbxQ/Lb+y/KrE2/SJ2q3+pI/AD3uHWXPCSH59bY0786bwRr5p/a89q25djqb1&#10;bfU/tvqHfhaOZePHvx3aB6B0kkU9+9gax7y4vvHy8qlCeBm8zfiJK2mzOAdbRnJGODzPfgrSsQ8Q&#10;3bfWeEqOSEd8n3vKXL1JdSE9e7JpL3wtzhbOkHfccDiG/ensySY9aWvVj7Aso/TUHYMOAk9QFnXA&#10;Lc7hPhvyUpqsfMsKqwJva18Z/QeOaDtu+ov9P/zPOubhUfZ/EN7jOE+4iOGsgafHPWHPzOG8Xc60&#10;nDltitU5GAuMyj3a9W3hExkWTjmzEjxLhsSfN5t+lNxLftSfRfCr/PLS+MbLy6cK4WXwNu1Ejvi3&#10;kLHTu784Uf3J2STqE/67wc1eInhb/km7KG9TDzcP4eupJx+3HMm6G1yJgTeFN56pJ/edrl75cYxJ&#10;8hI+k3m75aS5hVFhljicp0Y5yb6h/IMHD9h+JJ54wk2bVkZf/arA2+zR0BjQXtwzpn5o+xH8fPft&#10;t3b9yfbbkXWwIv2ivJnvO9paLYbBif7pJS99z/7H889ZfCkNYUebvg0mab/kAfmV/GDTd+Cbs3rE&#10;2/QT8ZWmyPiIP/LS+MbLy6cK4WXxNmenn/CLE+xaNe+tYJm9dfz3yp0J+BHOPaP0C+sk2JzNLR0m&#10;rb+K8rYrT+QHbnj/BU/CFpgSb0rvZszhVNK4+HJxlsw7rb5JP/EuaTH67um+zzPPUTbhbny5k3mW&#10;+VwV3mYc1D/cMUH/XTx0aPztRH1CHLmL2G5fd3V22O9t5K+1NspHBwi83S0f9Jd0C92pIH1Negny&#10;Jt6WHKkfi4yNLx/7xitSdrPGLYO3Hxsz2nLy9m1bY5mR/Gi8eG5du8bq4ugxvM8y9vA2a4aKl+yn&#10;oryt9OS3YO4cI9sXWr1M7wGMrdYnxN/oB9yhp7PfqZfF15E1aZ7VHuXva5NObVu5YrmdOygXTMPh&#10;mktee/Vl23cqizT1lulbN+JVhbfpF3hz39499s4s1pY4y139RDjtqafPlEY2+Xzx2ad2TW30qIdi&#10;TOMf1re71wXFx/T75o0bLI6RMWEbDsfcfecddoyIpzGSPNCfPsaXj33j+ZTZ7HHK4G36C906OR7u&#10;s2SC9WzOpIK3Cec9tx59m3T0LfkKDyoDTFEfONHVa8WR1BdMYbM+Sj7Sq5RnGePm5kl+E177py2T&#10;clUv4buM8urJowq8rfVt2sc9SfRf8r7NetqelwbdmrKYKxQ36NvpXMv5aPSV3idxY/inDPnUOhMy&#10;z/yr/vSxlVdeXN94eflUIbyqvM2/tPQvOICvsTFzZ82w96q7OjXjiR4gjoS/pWPv37fXpgNbyqsR&#10;46b9f8KW5hTsO8z9P5TdiHLz8qwCb7O+rbmZ8wXALN+M89rW13D++QM3c2ZOt2VRB+kY0hEoAz9h&#10;bLD/L1mrT1n/pA/AM30mN/rJJ+Y93MW323e18nP9JTOuX5rbN15a2qr5VZW30bddLODm2yNjJ10a&#10;d1Kv5ZlwziJxx8rVjYvqA24+rps6iW/QN7hfk/d71UtzyReffRrrI276/nBXhbe1lsp+Ir6DuXuG&#10;GtVP6NmMFftGVUbg7XR9m3kU3RpMS+eWHHJPiuSrKGfT74wBRmNQy/aNVyt9lfzL4G3mWNYl3HbD&#10;WS6varzKWidhXZzy4EUw8e5bE2I+ZPykz4Ij3PiBJ4z+B6BOLreiE5OnOMJtT71utZv0nB+oukgn&#10;Qe+vN+8y0lWBt7kbSW3V+ZEuthRWts3YMV46U5r8wzpJOm/TN+zFor+EbXibZ84xkRzILjJWvnzs&#10;G69I2c0atwzeZpySe/kazdvSt5csWmjvcoSPwQn6tLAj3GBj+E8RnneN5F96scLKGi/1A988VR/q&#10;h5u1nLPOOCPmpLLKLJJPVXhb8s58DdY0bkXaWjQuZTBW0rF5llv1Ic+wTtKt6/ANFy7A0G/COXJH&#10;P9WrD/nysW+8ojhoxvhl8ba+s6uN4is9C+dl6dt82yRv7t/VeGlNhGe9q4Gd4487Pj73Q/VJ2uKB&#10;stZI3PzJm72Q0kM0t1BPzjHXNxs3TX+5q8DbWjNG7hl36bz90UfMr+JqypdbeKYOgbe7dXDei4Rx&#10;yR+6CffIumNVVMYk324eaW7feGlpq+ZXBm/TX8Kz2t9o3kbvgu/4z03jBUZwa77HTfvcOmnOR+6k&#10;Yyu8EbbmA/7nhwOok9a4eX75xefj+jWi/Lw8q8TbjBnr20ms5bWxL+HStxlHytecEXg7fb1E8ies&#10;03/8tyFZc/vNd1zIE5MX3zdeXj5VCK8qb6O307+HDx+yOhj4cOd64eakE0+K+E+DuOJQMCR3o8eI&#10;cigPnZ86Ui/qqfrxzcatW6Prk8w/8HY6/6ifAm9n94/6SbzMncHCOTYG3VtyQPyisufLx77xVOcq&#10;21XlbfRX+l368/nnnmsx4q6VuHq3+/+Oxqs/9iRoDQRMiavdOi6YN8e2Q3XqbzvwdjYvBd7O7h/h&#10;VboQZ5KIP+k7ubs62mP9RDKrtHm28igrXl4+VQivKm+jb7vvXOAGP7jR1WnhbgxrKGBHc730g0aO&#10;EWVh+I5GnaR/qI48HzywP36HbGRdauUdeDublwJvZ/dPElfPjB8Xc7V4G9njmyV8LflLpst6Drzd&#10;ewyqzNt839DcDYdv2bTRYoZ/t+Bqxlu8jfuSiy76ac4v+M9WFq6ywpgf2PvCfj/4WnXC5twdzT2y&#10;s/JqRFjg7d4y4fZz4O3s/nH7CjfnNYivZSOD7JuqV1dCVjDJspLPvvGS6ar4XFXe1n/u9Dmch2Eu&#10;v+XPN9kxBjPSu3HrW+C82bPs+IOhRnOl8teeF/G28MxaoDCjuHruLzvwdjYvMVZ8BwVbjFH4Lpne&#10;X8IvvJ3EOXzKt0nJathPkt6HRWS+qryt75LCgt6/4GP2aPBu5vK29G70XvYsEk/zv9LKLtJ/WXGV&#10;v/ZECc/Y8MEtN90Y84Fwn5VfI8ICb2fLUODt7P4RJoVf9CJX9uBsySFxJBNK52P76tG+8XzKbPY4&#10;g423hR/O/GAckTtwI87kmyCGc0wYGxdH4m3Xr6/jR17CE7a+STKP8B9ZmWXVU9fA29m8FHg7u3+S&#10;mFvX1Rnjnb6TDIJ3zgNNxvd5lvzkxfWNl5dPFcIHG2/T5/Dv/DmzLUfC18z/jKn0XnRu7jTR+MCd&#10;4k/9666wvtpbNm+KdFaaOJu64H7v7TfjtRrNN30tr2j6wNvZvBR4O7t/hDfh99Chr2PehqvpP5lX&#10;X3qxl66k9Fm2Lx/7xssqqyphg4239S6Gzf1T8CO4cTHE+MLnnLnNOMHzfN/UN84yx479h5RPeaoH&#10;5ePWOh9zhnBfZtk+eQXezuYlximsb2f3kWRItvgTmQP3ksFHHxllZc0Hl24c5ef6pbl946WlrZrf&#10;YORt+Fc8yF27Gk9kEMMzNphC53X5+vvvv4/18L6OJbq77tOiTOnbwjL5N2q+8K174O1sTgq8nd0/&#10;wpnkjeeTTzrZvuNK1rQngO85hLtxlT7LlvxmxSHMN15ePlUIH2y87fY5eiznOXE+AmPKegk6APwJ&#10;d+J3+u9/H7GWQTr0bjBVFFdumUk3d9eCX+kcuFmvAcuUozV12cn0jX4OvJ3NS4G3s/tH+NQ6I5hm&#10;/5TWJpExZA77j3/4g12PLIp10mJUVi3bN16t9FXyH4y87eqwYIT1CM6+ZlylA8DbwhbnBu/46kuL&#10;C/3fWNYYunfcCL/UAZ1EWKesolguq36Bt7N5KfB2dv8Ih66uc9WVV1i9SLqRcO/uBVQ6H9uXj33j&#10;+ZTZ7HEGG2/Df6xPiBN5BlO7du20eq54W2sWeqYftN5cFoeSH99ikmWBL+5Hc7Gu+vY3XgJvZ/NS&#10;4O3s/knD6403XG91JPG17GOPOS6skxgdLa3PivoNRt6mD8SDstHBuVNeczLyCJ601oyts2hdPi3a&#10;n258ymavn/QOypSbfnfnB9ft5tFod+DtbDkKvJ3dPy4+kTEwz79vLtZxI3esDRK/KNYls25ZaW7f&#10;eGlpq+Y3mHlb+HDXPoaceabFkNZIxKOsleDeueOrHnpwX8fTXScBV8Iw6+rkzRyheva1rHrSB97O&#10;5qXA29n942JOOpL0I+nZ4B43xo3v6/blY994vuU2c7zBxtvSlcWFrFXglj9jwfua+BOb/dwac+4S&#10;K3O8+O9X+8bdss4755xY93DrVmbZPnkF3s7mpcDb2f3jYkwyN/n9d608ubwt/Uhx3HR5bslmWfHy&#10;8qlC+GDj7aw+lz7AN0j0btadwRayKQO+zvzP/4zcOw3BmtJm5Z8Wxt5f4Vc2Zel8FfLm/TItbX/4&#10;Bd7O5qXA29n9k8QoeOZMecmVOFfPhGOS6bKelUdWHMJ84+XlU4Xwo4W3xbuyp0yeGOsEyKbWTRh7&#10;nh8ceV/M1fBqPWd1g094W3gSb/P8l5v/bLGr+hTFclnYCrydzUuBt7P7Rzh01/venvB6LFvCPjb4&#10;J37R90vlobJq2b7xaqWvkv/RwttpY8IaM1jSO5zGnWd08b17dvfgVnedPC2/pF8t3ib/v95yc4xf&#10;cXcyfX88B97O5qXA29n9I4yCYeGYtUFkKU2uiB94269P1bdp9tHC2+jM8Ki714+zFHRPDhiDw6V3&#10;w9vsN/1k+7bC73XqZ8rjbEIwTN5wAG7syy+9JM5XeFe6/rQDb2fLUODt7P5JYhVOfvP1f1m9B5ly&#10;Mc8z8Yu+W0qfSpaVfPaNl0xXxeejhbfBivhR3M0z94TpuySczTdEsKa177vuuL2uNRKwQJns3xZv&#10;C1fY/AckvBTFsdKVYQfezualwNvZ/eNiEM5Gpjg7wuVr8M5z4G3/vnT7Nc19tPA2bQdTcKQ4XO9r&#10;rEGztxSdGIxJT+AZ8/dnnir8bkd5lMP+beUp/GLz7VNxNJ+kjU+j/QJvZ8tS4O3s/hE+JUtg/v7/&#10;ujd+r3T5O/C2X1+qT7PsorzNGi9noI689x7LS9OnfGDHSPeAUFaSH93yrx5+ZXT9tddE7BXiW99N&#10;f7rB3iGicXfj4nbv8wUTpIX3at2bkEzv8/y///v/7N2T6NjknWb4d5e8aJv0dZ5dd1pZ2r+tuUB5&#10;0+/Ep036XyEtfaP9Am9ny1Lg7ez+cfGJDIPnG6671soQfaczjMH9r391al36j2TGLSvN7RsvLW3V&#10;/IryNu2Dw9hvgXvqB5PsGL30wt/ts/a0iYexMXA0Ywrfwr3TPpxs419z1XCrz9bqt0bztupL3a4c&#10;drldH2H8wRz/4uCWHu7eK0x8+B67Vt0J1z8I5AN3C1taJ1E/1cqj0f6Bt7N5KfB2dv+4+JQsscdV&#10;MqN3VnB/0oknWVkp+n4pmXHLSnP7xktLWzW/IrwNRzE2jMv99/2XHQP20/H97t67Rthn8bRs+sPV&#10;SS88/zzL2/A94weHs05Raywbzdu2TUfuCN6wrsvqB8iqDDo4bmy+JdIe3jloX606CwPk/f47b9lv&#10;neQBrrRujh6iPGQrXX/agbezeYlxA5+MJeOk90rcGift9YSjvvryC+tPfIU32hZfYet8tEaXmZa/&#10;+gQZpy8kQ9SLZ3hC/ZiWvpaf2lcrXP6+8RS/ynYR3qadcPBtf/trfDci346ff/Zpy0nbtm6xWGX8&#10;GB8Z0sFxHW2tNh778j+Y+J7VwTnbceoR3TutHxvN28Ia8xH13b1rl60jOBPHSk/mmyXnQdEW4lJf&#10;pU+rO2GsB5EPmNJeFdzwtvolLW1/+QXeDrxdJtaQC+67BuPIELb+F/7T9dfFclOkTPLA5KXxjZeX&#10;TxXCi/I27/7wLvvn4Lq33ngt+ubwYbs/gjWPLz77NO5f4urd6YvPP4uuHj48unjoUBtOHt9+8030&#10;s3/7efTZp5/YM/zS+qvRvE2Z+qcGzMG1M6dPjdc0xNlgAhxiRj0wMsZfns7NfhVX1xa2yEecr3LT&#10;2t9ov8DbgbfLwBhYli7z858dE3M2eBf+9Y+w+/7tU7ZkJi+ub7y8fKoQXoS3xTMHDx6w3xh4P0SH&#10;Rt9esnCBXadm/Zp5lfUP2bjxf2b8uIh7BMY8PCrauGG9/b558dALe+ivyT7rD96mTOYYF3t8d9W3&#10;RGwZMAjnzpw2xeJUWE3Wm2fya2/tfscQfpUP9uHDh2Ks5/F/Wv5l+AXeDrxdBo5cOZB+I1kB67i5&#10;p0xyUaRMXz72jVek7GaNWw9v05bxTzxu987Nmz3L8i5rHTebfSbo3Hy3hLPRr8XZ2Lf+5ZZo9cqP&#10;rQ7+z5f/YfmP9XF33SHZT/3F28lyeYdgXQMMgjnWOsCfsIFOoXcJpYX7cWt+w71n926bhrzIR+mx&#10;331rguXtovqHyivDDrwdeLsMHEnv4FwfsK1/InAjQ9jsraIsl+N9yiYtJi+ub7y8fKoQXoS3aQ/j&#10;A1/Baw/dP9J+a8CGfzdv3GC/yzB2rItg850E9+dm/WTLpo0R/8CyPn7iCSdGzz41rsc3y7T+Gije&#10;hntZr2c9GzxId4C/xeHcf8Y9aOAQ7hUe6R/hmHxIi4H3XV1E33IVN639jfYLvB14uyyMgf9VH6+w&#10;8oLMgHX+ixD+KYc4khPfcn352Deeb7nNHK8obyfbgp5Nf8FJ4jQ9y9Z3Cc27nJUKH2tfhvTUZN48&#10;DxRvUzb8i06Mrkz7pG+DQ9qG/7jHx/bAoXApXRybOYr4MvQDeQ294PweadPa32i/wNuBt8vCGHLM&#10;/l7kHS6QnIB79tRSjvsu6luu5CYvvm+8vHyqEF6UtxkbuMidMz/9ZHvEGWB/M2clDb9iWLxHm3US&#10;/rNhbZu1kztvuzXiPx3WdRk/dwxrrRUMFG+Lf7HZvyRMyBYmwSjj7LZFz+jRpD/3j3+MMcz6Cmng&#10;7eOPO75HPw4EXgJvB94uC3fIMOc6oGMn9RxkCD0NmSj6fimZy6unb7y8fKoQXoS3Xa6Gp8Rtaid8&#10;Lv5SmJtG8RTGs8ZQ6RRH9kDxtsoHi999+61dm9cah9ZJ4G7wyf3VvB+SRm2TTbtYDyGu4oMv8T57&#10;WegDMK0y+9MOvB14uwy8Sc7ZqyCsy0Zu0OnSOMOnbF8+9o3nU2azx6mHtzVGtE28y128PCvM5WHi&#10;YOTnuuWndYVkfw0Ub6td1E91PHvIWVaXAB/icGGF7zCbzPq+6q/20B/z58y2+jppiA/XK4/O9rY4&#10;jdL2px14O/B2GXiTjIy4/TaLbThb66PgXd8kJVdFypSM5aXxjZeXTxXCi/D2QLRnoHg7ra06IwpM&#10;ioP13RwdnLVu0oFhl7fxIz5xwJZ7hhV7xQnXfJdWbiP9Am8H3i4TX5wVAdaRC8kJz+xRoBzxe5Ey&#10;ffnYN16Rsps1buDtbLl1x421jHtG3Bnryq7eDEb5B3LurBkxB6NbwMdglbMZwC/xwJcw/fo/X4k5&#10;3i2rv9yBt7PHn3EK/7ln95Gwiq5yyi9PsfgG48J78htQUZ3bl49946m+VbYDb/th0h1j/slBnvnX&#10;kz0lwgs4xb1w/txYr5B+wbdZnVNFOsWNz+My6+huGf3lDrydPf6Bt7P7x8Up34LE1dpPgnzobAji&#10;FuVs0ki+3LLS3L7x0tJWzS/wtj8utZYBF99y042Wu6U3Y6N/Swdfsewjq0cTF6zyv5EwDb7ANXrI&#10;FZdfZvla6yr9jZ/A29njH3g7u3+EVzh70nvvWIzD1Rj6DsP/GsQTZ8tW2jzbl4994+WVV4XwwNt+&#10;uHTHEv7mXyLWqYUV+Boulk7NvQguPuFv6djib2ziu/HccvrDHXg7e/wDb2f3jzCKTJw9ZIiVB+Ec&#10;2UAuXnjumR7/1xXVUSRjKquW7RuvVvoq+Qfe9sOlxlQ6N8/8q49eIZwi42BHZ8VzT47SYZ980snx&#10;t0nSoG+ThrCB4u7A29njH3g7u39cfB97zHExb0smkIe+7CUhf18+9o3n1rmq7sDb/rh0OZvx5pn7&#10;J9EpwCk2PA5+kHcMewAV9y83/9n6CdOEu/qI8k/ajcRW4O3s8Q+8Xbt/XJwuXjC/B+7pN3DOO+jy&#10;pUusXlKvbuLLx77xGilP/ZV34O3auEyOATjlf1Hhj/0l3AkvnhZutLbHs86KJy++QeIHnoVreJs4&#10;ybKKvksm0/s+B97OHv/A2737R3ytb+5g7Q9nnRXrKnA1OAfb2MRj/VuYdNPJL8smD0xWHMJ84+Xl&#10;U4XwwNu9cekzbsIucWfPmBaveSDnWuPG5pl7UonHmePSx6VzC2vwtPLE1tzgU5e+xAm8nT3+gbd7&#10;94/+7RVGeQbHYBvOdjHOvkDw7HK1cO6LW8lIXnzfeHn5VCE88HZvXNYaN+EN3QE3eJUf74msa6Nj&#10;SJ8GRzwj+yPMekrr2jWxToCf4uGGP8E2siCMy65VnzL8A29nj3/g7d79Ay6FezC4csVyi2thGtyD&#10;bQx734nvYtnVvX0w7MvHvvF8ymz2OIG3e+Mya8ykYwiHwi/rJ5xJLuwkbfj7jX+9av8j09mWxAHb&#10;fJ8kXHgmL+qgvLPq09ewwNvZ4x94O71/3HU8rf+BYQy4lht8Slaw68G0ZCkP677x8vKpQnjg7XRc&#10;Zo2diz1hEj/uhNX/ve77ot4b2RvInamEgWs4W1jDzd5CytV7qCsbWfXpS1jg7ezxD7zds3+EfWx0&#10;GMxTT/6kr4BjcTb7p8Am+oj0HdIpD1/cSkby4vvGy8unCuGBt3visi9jBh55ZzzrjDNiThaOkX8M&#10;Z7oKX0n7vbfftLoJ+Wg+6Et9fNIG3s4e/8Db6f0j/gWnp//+9xbb8DX9Ba7RVdhr5YPBvDiSk7Li&#10;5eVThfDA2+m4LDJ20h+EZfRk7eEGx9Kr9Z1dOEzaox64v4cuonyL1KVo3MDb2eMfeLt3/8DVGPDJ&#10;PVb0EYZ3TRfjnMNWFI9p8SUnaWGun288N01V3YG3e+Oy6FiCX61p8E4Iprn3A74Gz3pv1PqI8JW0&#10;+fZO2cpL75ZF61MkfuDt7PEPvN27f6RPYA+77NJYxwbPYB2bfuPu7yJYrBVXclIrXP6+8RS/ynbg&#10;7d64LDqe4lnhWevTnMsgHIMprXMLX0kbXp/6waQe3M0cULQ+ReIH3s4e/8DbvfuHs/bRKXbu+Mry&#10;s94nwbPw/sv/88vScCs5ycO1b7y8fKoQHni7Ny6Ljpv4Ght9W89gm28zwpMwreekTfiQM8+Mfvjh&#10;h/g7TtG6FI0feDt7/ANv9+wfi3GzDgjO0DHAsHgb/Arjjz4yKn5vLIrJZHzJSdI/+ewbL5muis+B&#10;t3visp4xdHVicTZ+8Db3IoBrdGk4AFxju0Z4w489gtzBST2kt9dTJ980gbezx58xCedv9+wjYZz/&#10;yVze1nk7v/7VqfY/Yl8M5sWTfJQVLy+fKoQH3u6JyTLH7Mcff7T8y3lowp6w7fI2bhf/nM8N72s/&#10;d5l1SuYVeDt7/ANv9+wfOFt6yjE/PzbSWVLgWhh/643X4nfOJN7qeVa+eWl94+XlU4XwwNs9cVn2&#10;mEk3Oefss+P3SeFLtjgcvZx9KDxvdu6qLLtObn6Bt7PHP/B27/4B02tWrbQ41T9jfLvROom+p8t2&#10;8VaPW3KSl9Y3Xl4+VQgPvN0bl2WOm3QTsH7NVcNTuRtugLO1Tgj+nn1qXL+scQfezh7/wNs9+wcc&#10;Hz58KPrNaafFeBVu4e2/mnvbkR9wL52lr/Lky8e+8fpan2ZIH3i7Jy7LHBP3GyXf4DvaWq2OojVu&#10;4Uy8zTNuzqPi30pwXxb2a7Ur8Hb2+Afe7t0/d9z6t1jPgLPBs7j77Qmv2zMztceqFu6K+EtO8tL4&#10;xsvLpwrhgbd747LMcXO5FzfncSf/TxBvu/jHrfPmy6xPMq/A29njH3i7Z/98sm2r3c8KT9M3GOkh&#10;fJfZ8dWX8XtiWCfp2XdJ2fN51llFxNVcyLuMePuZ8eNi3e5//ue/zf/ay+z7DvFdnY98CFeZCiMv&#10;rQkojcpRXLcO8nNtpZdN3qyjMf7kxfONN1xvv39cd83VPerl5tPs7l27dsZYd7/nIAPsO5FMsLdE&#10;baHPab9kQf2u8HrtwNvZsnU08zYYk1wjf7w/coYUPI1uC071nR2/B0feZ+Pre7rkuF5sKp2vHu0b&#10;T/lWxWYcZKgzY8HZArT3tVdf7sGDa1evss/EgTNczs3jDLhFY04533//fbzmxbOwkLQJEy9ZrjY4&#10;4T5d/DHU4cphl1t99U/XXxfPPwpTWsVvZpt/csTP9L/wjxt/DO4lixbG82Ej2hd4O/B2lpy4cg8X&#10;XDx0qNUt0CnQMYRX3EleSD5nlZMVRhmYrDiE+cbLy6eZw+HMvXt22/9C4IwLzjsvemb8k9GHk96P&#10;Ppj4XjT5/Xetrst7EefUffbpJ9HBgwdq7k1zeVrzrMYNWyarT6gPZ+p9+cXn0ZbNmyxnc9YSdeKu&#10;6KfHPRHxHxbfrrmD9Ltvv405jXxVXlYZzRAG/9Kvv/3Nb2LuRl+Bq11dBhze+pdbYh1GfVhmOwNv&#10;B96uJRPSq4S3BXPnWHy6+oZwy7kOrgwqba28i/j78rFvvCJlN0Ncq8OaORN74/p18b0smjdpt7iD&#10;90OeZTM+eo933+3VV9gnnnCiPa/ghuuuja69+qoImz0UrGkMv2JYzEnkk2akYxJGGfCz4hGGn+rK&#10;83HH/iLavWtX7jzcDH2frANjALbdvlT76Uu1k/a7a4bko3kxmWc9z4G3A2/n4Qa88V2d9WvJu/QL&#10;nvmGDp7LxqbqpTL1XMv2jVcrfbP607eaO0fee098P8vPf3aMHQ9xBd/NxNPiEtn0DVwiW/F4Jg55&#10;EK5xxY9n8VPWGR3KN5mnylbeGh/sxx8dbddxaFeZfNbIMXTreb+550b3mqn9uleBZwxrQuJ53lWp&#10;m8axr/UMvB14uxaGxMWEj7j9NivzyCbyiDyDTbD72JjRFpNaD1V+Ls7lV48tec9L6xsvL59mChev&#10;0ZfcqQU3007uaNm5Y0e0f/8+u3+BdyHC2c/Df0+snWCeGPuoHZ97777Lnqt7z4g7I8y9d42I7r7z&#10;DuvGvvnGP0VXD78yuurKK2LDM+u5xCUN8dIM488Z7Bj2L6sO1AnD/oqDB/bbtZSH7h9p8cOdupw7&#10;Jj5rpj7PqgvjgNm1c0d0xumnx+85jIlkg3lKcxZ9Qn6SpcDb2Xyb1fdFwuCmo/k/d+SK/avCofQx&#10;+gU/THtra6xHgGlhVHaR/k6L68vHvvHSymhmP/rx++++i/g/lf7/s+FY1hn27d1j165nTP3QuvHb&#10;v2+vNQcMn2PgS2z5N8JWWW7erKmz7k0duX9XYfjxDyLt4C7pKvI24yH+Zd1ecgD+cGudSO9B7a0t&#10;lrvBmNL1FW9B387m/6OBt8GS8ATvClP48V3y4QcfiNftku+8hJXFzyo3afvysW+8ZP7N/Ky+5Rsf&#10;WORd/NNPtndzMXxsDGcgwZNff32wB0/DmeJO8WYjbMp25wfKVdlw+qzp0+yzym5rWWv5jfHiv3AX&#10;c808FpIRxkTzzbfffBOdd8458fqSuJuxko7Dmgrtcvm+r+0MvB14GwwJk5Ih8cXHy5fF7+Zav0On&#10;AJd8Vwe/SttXLNZK78vHvvFqldOM/urb8U88ZudOzguVXg037tm92/IiNrxImNzSt+FUcWYjbMpj&#10;fnDnCMrmv1o4fea0KWZdYaetg+rEWHGmx/KPlsZ6QjP2v1sndBjtcZU/8rJw/ly7diXOdvda4Yes&#10;sN+GuJIvpa/XDrwdeFvYgYPBlfb+IXfoDOBOmMTW/oCy7rNR+bVsysTUCpe/bzzFr4Kt+ZO1OtrH&#10;vu1Dh762HAhf7jBnoM+ZOd1yJv7SfRvN1S7/i7Nd3sZNHagj6yTMJ/hZ3jZcrrFy93lXZTykq0hO&#10;mFuZT9Fn1C5s9zv+2UPMmpDZ115WGwNvB94WX4Mp6QNgcsrkiRaH2lPgYhI369qkKROPabhWuWlh&#10;rp9vPDdNs7vhBLj7H88/Z+fQ//j339pvYvAf+vZX5v9UePGT7dvs/mn8ZVxubaQbfsaoXNWNezVY&#10;B2H93b4jmLpRD+KiC7DmxvucMNfsY6H6uesd4nDWS+BS1rYx4nDaKcO3X/efVeVXjx14O/C23sU5&#10;711usHTh+efFa3TImHRvcMh/k8QljXTCevDnk8aXj33j+ZTZTHHgteeeHm/5AN5Gr4azD339tdVn&#10;+d9mwbw50dxZM+z+DdYeujra7T83/JvdSM5W3qwDbNu6xc7lK5Z9FC1aMC+aN3tWNHf2THtno9Z0&#10;4HR0cI0V37ybqa+z6iL9BlvxkAEMfugv7H+nbciI1reRHQx8/vo/X4nTKo967MDbgbfBm/gaNzzM&#10;ngXhDgxq/xmY5F8wsNZovhaeJeN6rmX7xquVvpn9tU7yu9/+h+VheFD6Ld/90Lnhbc4/gitnz5hu&#10;1pWnGl13iuHPmdHSRQui5UuX2H8p2d/Q2d5u//3j/7+k2b51a5Rmujo6bLrWtWuiVR+vsGvTy5Ys&#10;smXNmTnDrNfMMHWYac38OdOi9995x4RRF7OfZG/3XpeDB7rfEzRW/JffzP3uUzfmVcnCVPP/Gevb&#10;tA+dGxmS7o3/FZdfFrdX7xmSPZ+yFKcZeVt1w2b+Yi7HTTuvv/aaWNdz5z03TZlu+p93VDunGk7j&#10;DgzVReVIphgf1bWesVB+RW3JADb/aBVNL/yQDjfrpXC18IauoDJYM1H+tLE/2qmyVW4t2zderfTN&#10;7C+M5fF2a/uH0dq2qdGalhnRytUzoxUrZ0bLV8yKli2bHS1dOitaumRmtGjRjGjxQqObz6tlZpqw&#10;3mbh/OnRIpNu8WIzD5h8PvpodrQMs3xatOLj6dHHq6ZHq9ZMiVavnRytbZkWzZ83z3D7RxZPe3bv&#10;sOvbrJEw52isBgNvgxvxA/LDvnnkB0M7kSPJEjz+xNgxlufFX/XIUFV4m/5gTuPfW7iznrbWI5f0&#10;PTJDWurA+oDcyk8yVWXetrgz73rs0UK3Fu5w0y7e8cDg3595yraf+BoD+kV90QhbMp6Xt2+8vHya&#10;MVwYy+PttV0fRJgWx7QZd1vX5Kitc5Ixk6OWjknR2nbj7jB+BQxpWmRMHq1HTNv6aZE1G6ZHbca0&#10;rp9uyjDvADOnRUsXLzT3Lk6O9u1hvWZf9LX5JjnYeBtecmWAtcMRd9weczW4lO4jm/NbhDPJkZ59&#10;7Gbkbbcd0rd11yZnJ6D/0ja3r3zaWk+co4W3mfvpY86lAGfs0RJXgzUMHK73QfU/Y+X61dPHeWl8&#10;+dg3Xl55zRjuy9vthqO7zeSow3A1ppu3DXev+9AxU6LWzg8LmXaTvn29Sddl0hmjuaGtY6Lh/4mm&#10;3Mk/mY4p0YzpU+xaCvsAD5j1Eda19+3t/hdHYzUY9G1kQLoz2EEetmzaaNdL0K9dvVv6EPuCeDcn&#10;rct3vthrNt6mDfCx2gJvc64Z7cEPffv5Z5+O5yrfdtYTj/6n3119O23OkExVWd+mz0ePesjqCMIZ&#10;Nm3CBmfbzVqoxgGcMh4ap3r61zeNZDwvvm+8vHyaMVwYy9O3LTd3TYna1xnTNdXYRhc2dmsnPH2E&#10;q014qzFthntTjdXL0c17mvZ15NedJ/navNdNN3ODyacTnd4Yo89b0z4lmm74Wuskhw8divbxL+cg&#10;5O1aeOFfeDCJzgOPuPtM8MePtPXIULPxNvyR5G13zRh9e9QD99v2Eq9Wn5Xhz1oxffvOm2/E5bgc&#10;rjIkU1XlbdrB+axgSZwtDgRz4E06Nd8tpVvIVpj6o2xbdcnL1zdeXj7NGC6M5fF2q+HVFvRoh5Nd&#10;Pbija5Lh2W7Tang23XSnl14d2+3vm7WRidbA6cq3w+jg7esNnx+xqUN714xomtn/99GSJfbbqPbA&#10;7NvT/X++xmow6NuSA+GGvX6SCc6xhUNoL7KEfPGMjeFsMKUrYjcjb9NmzUHo1+Jt+od/RvlPT+FF&#10;2lo0Lt/N4WK+08NXpB+M3yXZswWupA+AK9rNM9hirY62J/Gp/hRG9Vy2LRnPy9c3Xl4+zRjuy9vx&#10;mohd0z6iAw+Au7Xtw2iWkRv2sMyeMdXufdEemMG2vp2FF2TmdnOvH3Ik+dI7rPDKPk50UMmR+C9L&#10;Lx0o3nZ5l29dtAu+4F1c+jZxeHfX/x08cy487WZdn2e1TfnpOasvk2FuWjc99aIs1mlUJ9Zo1L/y&#10;e/SRUTYe9ef8H/InT+WbLK/sZ40/dtZ+EuGB8tVO/ok8/9xzbd/TVnQC8sGNOfmkk+2YqC1KV3Yb&#10;svJT+7LiEOYbLy+fZgwPvJ29X7cZxwyZEUfo3zU4ApxKJ8KNH/8oqQ0+3DGQvC0d9t23JsQyt3LF&#10;8phTmKv4Hj3x3bejH3/80eq8vG+JU7hfg3OhxSXY+vdUfeBjKz3l4ZZeyT8O991zd/xMXuMeHxv3&#10;r/hb3/L+7+9+Z8Pk71N2GXHEV9hZvO2WpbaCGXE16eVmHuWMVuYs2qM+cvPoL7fal1eeb7y8fJox&#10;PPB29Xjb5SL21oJP5Eq29m3xzLmC4E6yJm6shcWB4m3qIy7gLja1B44mTNzJeQucIcwcJD+eaavO&#10;fVY+sjVf+dqUx91J6iP6jvUY9lQwT4iH0U1VF8XF1h2tvA9RB/ZlUFelc+M2wk1fyOTxtlsn1u2Z&#10;A9X35OG67zLrI8KP+rYR9c/LU20rK15ePs0YHni7eryN7Ehu4CLWI0/55Sk93m215g3GTzrxpGjD&#10;ui7LHcR3ZTWJyYHibepFXbD13ZW6c0Y78xT+Mui48Ko4BJuz2LnviDUK7tCDJ5Vnso0+z/QRhjlE&#10;dyjqeyT+1In7K/iOonIYE87FUd8Thp/CfcotI454DTuLt9WftGXJwgXRscccF2OI9za9y8HdfEPg&#10;zAvqRzoXf2XUuUgeal9eGt94efk0Y3jg7WrxtuQFLMEfOpcETgGnWjOQW+snFw+9MJY56alpeBwo&#10;3qYtqg9u3ZPMnEOb3TrzbYO1CMWXzT+ltJv3De5vmmae4VH4s4hZtmSxvbuU+7boP/5H5bwbyqFu&#10;mL/ecrO96wM/1mywqSff9+E59ivip3prjsGv0UZ8hZ3F26rHIw89aHHDfOPih3bwzH2DtFHzjzDY&#10;17lR5Re11b68dL7x8vJpxvDA242Xo7LHXfLj5ov+iYyhJwmvro3/qAdGxnqSm9Z1DxRvi9dk858e&#10;9adNnENHHaXn/fDDD9FFF17QvdZ8ZF8H4fAI69+//tWplju1Nuv2g68b7icu53LwbZGy1e9rVq20&#10;ayGc+aV6YW8yZ52RBq7nmzB+MtRNbZNfo2y3jVm8jZ7NOT5gg35WOvhafYfN+w91ha9Jo3q7bvn1&#10;h6165pXlGy8vn2YMrzJvzzL/33D+1NG4nySJJThFewEkg/AHMoiNH+5nxo+z8iedCVuchD1QvE17&#10;VA/qhBk7+mFbZ76HcZaYwrG/OXzY3qnHvXqsOSs9Njzbsma1vfcDzp/6waRixujp6PTsZRE3wbu8&#10;25Af3ybBHHq324/clUcfD73g/JjbkuPUH8/iK2x4W3Wk33BjM4ds2bzJ7h2Rnu1ihbTw+fvvvGXb&#10;Qlv7o+4+Zah9eXF94+Xl04zhgbd/0omacXyK1gm+0rokuBWHu35wIDyEDEuOJZcDydvUhXrAK2o3&#10;axXwChzCuZD4E0+6q+6WgDOZtwh30xNXefnayfTMA/yTO/yKYfbfTPib/nPLYt+L+przhX3LakQ8&#10;8RW29G36y51nwADh0qtxw9s6uwy80KekUVsbUdd68lT78tL6xsvLpxnDA28PDt4W12DzjemSiy6y&#10;cogsStfm3R85xY9vbZzXqHTINe6B4m3KVl3EtfAFujKcTZ2vHj7cnrdOOHFlc48e32Y5kxj9G0zz&#10;Pwz7rXEXNaQlDf+wcx81+bz60ovRxvXrbJmSY/oMwx5u7rKgjjf96YZ4z7bi9bctvsIWb1MH+gse&#10;Zq+7cAE29D6meYf1bOZD9S99Tbr+bket8tS+WuHy942n+FWywSfty/tfshn/uwnrJD3nHMsjhusk&#10;Y9yTLFl09SrGG//LL70klkVx5kDxtuqcJjsPjrzPcjf8wp4H7jciXlIPpA0yNtxwalp+vn70Z1pc&#10;+VNnzmCkPzUXpsXvbz/xFbZ4WxzMmQDUFUM4c6LigxFw8dYbr9l2CxP9Xf+88lTfsuLl5dOM4YG3&#10;e3JfM45RvXVC/ly+xg33CffIKHsJ4D/x5kDxtvhW9aBOcM1PfDPS1pv3+LvvvCPmU8XDxiT7qh7u&#10;UR3Iy3Urb5WDTqrvl/Qpd2zXSqO0/WFrfLHhbf5Foh+oL2MuXZtwcTjYwH3G6afHba6n7/qzfXll&#10;qR/y4lUxPMnbuu+LuxNYp2P/6uIF86POrtnGzIm61s01Z/TNjDrWmXNE1jlnAjr/vHOeK2f8cRZV&#10;y5Ez/VraZ0QdHfPt+SJrWt+z55fYc0fW1f5nvmM9ZxBONGe8zoq6TNmdlNsxL1q8aEH0sbn7hvMA&#10;+T6EGaznb/tiSjKGLTec9+br/4pO+MUJlq8lr3C3y+fs/dZeY3Rb4R1sKC/fevQ1nlt/8qIN2Piz&#10;b1u8c/aQIXb9gr3aqiO2eF5pFFakXqRROmy4G5u82cvCfsPLLrkkXr9hzQnOlh6utEXKLDMu46wx&#10;1Fkub094PTr+uOOtP32Ino3tzuP8J6R6qB8Hui2qj2urba5fmts3XlraZvdL8rbuuoEH+Xaxdctm&#10;a7Zv22L23W+Jtm3ZGK1tNXtiO8xZ2OYcwLT1E87Tbl9veNucB7W2zXB0+0TDu0ujz7ZvMvZ8ex7g&#10;GuMHr3OeVFoe+K3tnGbSTjPlrY62mfK3b90cff7ptmjr5g3mfsn19g4e5hndCwx/a6zgoWbv+/6o&#10;H7oheyLYBy3eVh+5csu/gHAg/wUqXHcC6Kzr/qhvsgxX34VDuHeJtWTNO7hHj3owWt/VaXlVHEtc&#10;N20y36xnzRX0nXgL9/QpH9jzOcSL9N+I22+zOBNnk2+95WbVqUiY6gc30y+MrcYUW32HmzYQ/w9n&#10;nRXPkUXKGoi4akte2b7x8vJpxvAkb0tvhQ/51sN3dPz27+c+mb32u1BHV2vUsX52Td5uMXcmdOvb&#10;U4yubM7PNvy+YeNqc1bGF0ZnX9QdZjh9TdukqBN+d3R11815gZ3rZhrTZfaQ7ox279xt9/3t3rUj&#10;4n5L3gP2H7kTWPsBNVaBt3uu/7CfS3KK3LrrmpJd/DhvTzoY2BhoDmLOEBdLfvj3nbaIn7RWwb8u&#10;/3rlJfuPDOOve+/496aIId3KFcvs3Xu806GHct40/cSeRMqmr/hOyn5E6gVvi+fF9apvf9kqV+NH&#10;/7D/nHqLq2VLTojDuSvUkfQDOUf79pPqnhffN15ePs0YnuRt9G30Vwx3Auv+X+4l2LNnT7THcOba&#10;lmWGSzl725yjncK5rJPgzzoIdkfXNMPbrdFew/udnYuNv9Gjuwync7Z2Z219G128i7Nb29ea+aP7&#10;HsnuOxL2WP6mfnZdx5xZQb2Dvt2Tq8EbuqP0xwVz50S/Oe00y8vIr/gaG1nHdmUcbMBFzYBbeFG8&#10;RH1Yt2Vtgv8W4W23/nCRDO2Uu4gt7lMfiasvOO88u9dE5ytRJ/UR7uQc0999R12ou/gZt9qNG0Ob&#10;1Gd8p1S9wclAz9M+/eXLx77xfMpstjhJ3oavLRcaHZu1bXgSTtxt7H1790UH9u2PVq3+KOraMDOV&#10;sy2Pc8fBET7vYP3a3FGzcVOb4e09Rt9eYvTtqWadpfuOG9ZRFDdpd6yfEXWtn2V423A+9bLcbOpj&#10;6obhOwt+9n3gyP83Gqugb3dzuPv+DvZWmO8CyK76CRvdUfIseccGG6TRvycDgV2XqymfZ81DmpPg&#10;KnRk/oc57dRfx/owfEX7xFu+tvqAtOjXt9x0o+0L9k2qDygTo7qobtj4K95A2PAydWdMGVvtydac&#10;rHD2Z9v6mjnRbcdA1LlImbQNk5fGN15ePs0YnuRt6a1wN7yIvo0eu9fc40jYwQMHouXLFxo+NXc+&#10;puja1s/cr6B7ajrXmzvNzDP6Njp7R8cCo6eji08169tTzPfNnzg+mV9rx/tGPzffNltW2bT7zZzB&#10;Ws1eo/ezbiLepn4yGqvA2z/p3sik+A99irvOtLcOGU7yGX2IzJ895Cz7v9xAyjT1Vt2ph8uJPKtu&#10;rhs5o534KW0R2VOepFF6/JSn5kLVDVvly12kvLLibtyw3u4fZzzF0Ywjz5qLeOZ8bZ1hnmyr+1xW&#10;vcrORzKel69vvLx8mjH8tVdftnMXZwXDfXCzdG7u9YC/ed63z6yRGL7ca9Yr2lqXR12GT7lvck2r&#10;WaPewJqJ+cZo7xJj7QO3ufMG23yjXNuGvt0R7d6zL2prW2jWu80eEaNntxtdvKW9+z5h0vI9094r&#10;fGQ+aDX3SnJHcFvbymjXjh32LjJxNvo26+/Ujzrzrxy2xor/Bpuxv5ulTujQfHeUPIu7kXf+lXOf&#10;kXW4XnVPyraexWOKF+yf5s56+0LzlOYK5g4M+dHv9DluzkyRXi0bWRCHy83+d63J11ungU4nGc+r&#10;h2+8vHyaKRw8ILt8x0F2WffUN8luvbp7HQI3uu3+vdwDxhry3qi9Y1W0znBrS9s70frN06NVLWat&#10;w6x9dGyYbvRoY+zePsO5lse5n918l9zUHn3+5U6z1r3U8Pj7Vlfv2DDDrHPPiDo3mrsqje6N3WHm&#10;ANa97R1mZp2k06yTdK3rsHPHgX27o0Pm37ju9ZI9dr8LGJSuzbsBYwX3cH6b+KSZ+r3Z6sJ+Ov0D&#10;L91MeAcXyD08wD881B3cwBviC+tn3rPVLnGKnoPdN+5Wf9t+Tqy/aP2Kc7E1ZtjiatZ4kAXJBHuK&#10;GDfy1DmSVRwftTWv7r7x8vJppnDJHf/x0j7O12XPEOsLrGuzBvHKP16wZ/Ow/+mt11+L3p7QbcaP&#10;ezx66aUnohdeeCx6dMzd0WNj743GPHKXMSN+MqPvikY/fFc0dsw95jx7wu6Pnh7/ZPTIqHuiR00Y&#10;/qR5dDRpsO+2ttyEv/jio9ErL481/xo/acp+3ZbPOct8j+IbG/VjXxju9tYWW3+4B8P+AbWxmfq9&#10;meoi/mVfDt/bpGPTf8g7Rn7YfMviXCraIH7GZn6UkX8ztbPqddE3WfAsHZt+njt7ZryPnLHSuIm3&#10;xdfMv+xX/PST7fHYVVk2fPnYN14V8cEZDLSP7xdDzjzTfoPhDo/xTzxmz3p48rGx9twH8ePCubOi&#10;t958NZry4QvRxEnPRavN/epr7DfGqWa9xKydmPXqDvPNkvXrtWaNo8WsUbeZfYCd61uiHbv3GV17&#10;sdXDW8xayVqzXxAdm/UUvlVyL3zXxhlmf+DkaPFHE6L333vW/ONgynl3QjTfcPM8U/YCM5/wb/FT&#10;Tz5uz0imnnAJZ9izbgdmaQvn/AQOqa3rwQVu//Decuopv+q1bkJfgg84W2sq+LGvkPR6p9F7fJX5&#10;oAryS39zjh/rHYyL8C43tsYLfZu927yH0jbGSONVhbbWqqPaWCtc/r7xFL8KNvKF3HHOseZp2sn5&#10;OejanDnP+jG8/ozRyflXTVx+z11Gfx5t9OYx90W3/u3G6LJLL4iGXnhOdOklFxr3Rcacb86+uDAa&#10;NuyS6MorMEOjSy8aas5TuyK69OILoksuPj+66qph0bDLLzbu80x8E/f/s3emTXoVVRzvT2D5wm/g&#10;ey0siyqLlyoohShiEcImKAgiUCIQCfsSUlBsQlkIUooVlghZYCYzZGH2bJPJrFkIOwmQdbJY8gU8&#10;v578J21XZp4m3NTc58l5qrr63u5++naf/vf/ntvL6SsvDb++an64dN4vo3/TjdeFRQ/dbueX3BHu&#10;v+eu8LTx9NNWBt4jnEfF+A56NmsBeac8tviRaRxTD9bBNEM7zGUZ1Yf5buYaPDAegvzgA3yNleh7&#10;W2MqxPG9k/N0fj+X9WuFZ0ueWlfN+kfWzKTtQ1vAz9K5FUe/5hw7yUHjKun7WnHN5FNfXKMyl6Zr&#10;lE+d4sGDHPxHf6Wd0avgRPQpxiaeeeqJyN3wY3d0q03ffim8ufKFsGLFc6G9/fnQ1b0k9A28Fnr7&#10;Xw29fS+Hnr7XQnffK6Grl+slocf8DRu6wnbbP9PdtdzSLAldPUtCt4W/0/2SpbNr/tf/SnRru/4V&#10;Ote8GJateMGeY/r20pcjP/fY+6TnnXWB8Tzs0nN+LPu4sddG2eGYS351cdgw0B/rJl6qk9zrVBb4&#10;mvLQj8ECPvO8zFdy9oB0bXgg5QTp3YRhz+LF55+bPuPbZT7zN86ptL36KOcbLLjtTxHn0rOQP22D&#10;o60Ih6vQxdGx2OtMeygPtQ33avtTKdNc/6eUj0vTzXV9vurzaT/9B/2UeoKFV80eEeev7t+3L6zu&#10;WBX3JcY1JcxN2rqSkdEtcexjlHnHk6wFHLawMVsLMmr7HYctzci2NtuXPhzXb4+Nd9t/CbN1JzYX&#10;OVMeJ/K1fTe2DpC134dsjnS/nb3xlyefmFq3bWWEZ561cXOwy7yLvteFUdXP/TI+kdzwb7npDxET&#10;8IE4XH0BX/zBNd/krE1CztLrcpkr7zR8prRpmla7lhzwU92X/pjeU2/4GlwjY9pATu0A7vkGSr+D&#10;mNuBl1tVtqp7I1yUpmuUT53ixdnywRD7dsEB9oThQ9ZtMAbB/EddePvggX1Rl9BaRXz4hXLr/Gzk&#10;rHrVSebNUBZwIP6g3/PdhU1pjZfg43i/S+9G9jjWnfziwgvj9xrrg8kr1evUJoRxTTwyybmqGeR0&#10;qmWkztRXdZespW9wz1jIP198Ie5Rlx4t3RouQtZ5GxDP+CHn1SlPnqHnnGp56/i/Uj4uTVfHOs5U&#10;JuGEeHBEX7r+umtjf2SsOK6LPr4nkTGyuvD2pOn7jLWzNpEysU6RswbBsuwggVu5merv4Y31b2So&#10;cVXmO07GHfQNOETf6OJywn97zdXT33PIW3zCtThFHH6mtAcyEJfqfZXKhfVSZ333e9PvxfT9qG8e&#10;sI5+jcxxnMOD3T+9I8mfPFtVpqV8XJquGeUEdoSfG2+4PvIfvM1abniROUrsAtaFt9lzCW8zhsO7&#10;hfEccAuWmUOlDeAacNvK2D1dWBOf5n0fWbJG9LvfOSvKmj4hHpHup34C1+gaHxuDOJ2vq7KLv1r1&#10;e171TP1UrvQ7yYA0nFHE/BIyA884yVH3+JIv14sffihinvZRXvh636bPbpVryaRRfUrTNcqnjvHi&#10;Nvxrf3NNfH/Di/A2Y95d69bGsZI68TZrSrS3E97mOwEMMz+JjOkP1Ed1q6Pc61om9X10N73PkSPh&#10;+HzD811z8UUXTeuE9A9xCb44Bl1Q1/jYXMUmBuvvOVsMGZCvnllXmZyOciFL1muxnpX1l8iH9x+O&#10;a+SYvg8JQ56EYUebuWDWupJP6iRT+a0o21I+Lk13Otr3dOWZf5/S9jf87rqIC7AET6PPstZkje13&#10;rwtvM07C+m32uVM++FtnKYJl6iHMni7ZtXK+4mrqqLE0cbY4QOF809M3xDXwivhb82SMeWvejHil&#10;5z/sF5gYG43t1coyzeuGvXBxiuTFffqe415j24RzjczQrRjDVhvQJrSZ+nPafjxX/SEvQzPfS3aN&#10;6lCarlE+dYtP21i8DY7gRfQhxo6Zl8RN2nwgXLnf+HxoeGMYs/3oQ2NvxL01rP3A3jb2SsZs7cjW&#10;0ddsD82yuI9mfNtyOytheXj//dGw97OPbH58re17t7UkZst12Pa/Y1dqcJizcd6yvTqsP1kehlhv&#10;sr09DJn914nty8Lg4PpoG4W1LJOHDsV5SfhaNmYvnz8/6ijogarTmfTtPZe42mfre+bPuyTKX1wN&#10;v6jPpNfojISLq8RH/L9zVds0f+v9QL1m4x3O30rrrrTyiRMeuE7zTeNIo7FhwtP/6540+f+JwxGu&#10;cQn+q/8Tnv6HeUPZDtE7DHlIbpLPTGGsyU3Lqeefab6w1ajepeka5VOneOELXInjrr7qytin0Lc1&#10;DsGcJGMl2HHFphPjy5s29ZrNkPYpnjZbImO23k8ucrjZFRnZtiqeVwMvjxlPYw/w8OQRsw3YH9cF&#10;xjWAxtUT5k7YBLQ9l8bnrA0ctncC4djfHrbzbji34cD+qblIzuw+duxofK/wfrnqistjuTmHm/6V&#10;9ps6ybzVyoKcwQ8+9mGZFznnB+dEbkY/hJ/hba6lO9KXCNc9XCW+YhyFsw/Yz4NNM+baUpzqGjmK&#10;v3h+zruKIz1piZfsSU+8/qc47nH8R/9XmtSXnks6pddz9Az2nmI7gO+Rhx+4L66Fh5upJ3WXQzaE&#10;yYfLFSc5MbfLHgXsfSv//HkKP1P8Uj4uTddMcqPt1f7gD6xy1gl1RS+AFxnfBn+Mk8DXkwenbANu&#10;3thrtkA6I6fC09jt22r+lHvT9qob93JvNv9Gxpea/b/lZldqJBw9dtjWfq+zc8deC1u2vmJxdhaO&#10;8f+g2QQcMVtUWydetz3uS+2/xteWx4Tp48Nb3w7DQ1N2XKO+b/OR7GtnXpKxbfQ95mYoN+8btYH6&#10;o+7db7x+5FRlJJ4DT7xHGW+Dg+Ak+ApewsFJtJN4Wjym/qVw0hLGHB37f7CrzVgwnMkzwKvKqmfr&#10;Hp8w0qVxmqsmXrjXf9L84v/sObK7lMdxn/6fa7BG+NJXlsTyqh7UgfeT6pfeq+7IRLo319K96YuM&#10;AyrvtC7p81WHM8mXPBvVuTRdo3zqGA8GhAP2voEdbHIzno3ewBgJe2/QtY8ctn03+78I/d09dibv&#10;itDV9XZYv+EtO0fBdG6zRYJ+HG0Amr0/bLVyP2Fn3mDTb+e7Y+GgjXGMjfdbuOnn42ZD0BxnmE3s&#10;NJ3cxlJGsdk63m6c3hk2D3aEzs52e47x+eCWOE4CJ3y2Z7fZmXrKzjz7PI6T8H5B/6aNwLrqUkdZ&#10;t2KZNFYhPVR1hGf4flPfkQ9HSb9MbZ4QJv5SGv0Hn3jWx7HHgHlNPQdfbZ5yrOLhPcUrLPUVJ34k&#10;Ls2H6/Re6fG3jY/Fsy21L4ZyUvaUi+FncbTqQ5qcz/kP6fjmYE5JZdSzeZ7KknK40p1JvuTYqM6l&#10;6RrlU6d4MAAW1N92f/rJNL5uu/WP8VuVNYBvrVg2vQ4QO6rMCw5t2RQ2buwI/X0dtk6ww/blrDJu&#10;bwvvmD/Qu9rOW+8IPT3toa+/I6xf3xnWD7SH7RNDxv37wpbBvjDQvyqG9fW1h97eztDX3Wl6PePo&#10;nfasjrBuTbth1/LasCYMblplY+LDUfdH/+DshMcWL4r2/5a/vjTq2nxLgnv27KGHI2fqhquTzFux&#10;LHCIOAXuw1FPhWPLH3sEuDvsnEY4SzyWX9PPxN8n4zvCUl6E+zgbkX1B2LtjnAwbDYwrYMOSMT7m&#10;Pdlz+OEH78eyUVaVMZbzuK0lyvvuju3RXs+G/r7QtnJ5dOTHuA26zMIFd0R7EGd//+zpd4zqovJS&#10;Puog7uaaONWNa40REYd+zfg+a6RYb0vZKKPkJ65Oy9yKOPoqdSrl49J0X+XZdUgLFvgeBCeLHnwg&#10;Ygt7rnDf26vaoz0E6RK333preO7ZZ6J99k2besyOtp2JcNwxrjFiYx2bh1aa/t0WNm9YbTp5W+jr&#10;W2u83GX9x+z8jY3ZGPUBsx3SG9ba/UDfGrMX+7bZK1kT+gfawsD6lWHzFs5QMF3cbAlyBiVn5gwP&#10;LQlbtqy3PrTCxkEeCxecf37k5ysvvyyOHzJWgh6OLkY7oYsjW3AvXaUOsm7lMkgHoI6pzNNr4sAZ&#10;PhwId8Fb4jN8cbL6m7iPe67T/yiN8lAafK2B5lq8qvTiV8XxTMXpOudZ3SudfMqES8uguNRXvPLB&#10;53/z5837v/Mo0neK5pyQoThb8pQcWxlTs9VNsp0tDXGl6RrlU7d44QCdG12VerK+Ft6GC6f024Ph&#10;008+jucQvGHnaLPW7tFHHg733X2ncf3d4aEHzX72Yuxv3xUWP7LQHLa2cQtNL15odrUtfNHd5j8Y&#10;bVTxn8ex171ogYUvCI89eo850mCHm//fFR6832wA3nt7eOShe03HuT3us0GHYn5017s7p9eWs96F&#10;+dP3LEznVl94wQXTvF03eXt5TnA3XLRz+7aw5KV/RD2c9zG8KU4Di/C0uFE+4bqWr/6p/+sen/zk&#10;iM//Q1z6HOUP1xKueOWV5kFead5c6//pc/gPevUVl10W31mye6ZvXXG046NsDgYZ4xrJqzRdo3zq&#10;GC/saH0StkjQvR+w/W2MbXP+F3N/jCMztsy4N7zOeMl+O7Pso48+DDvs+3JkeMjmEDfbGMrGMDTU&#10;G7YO9dh5vv02t7jB3KawY/tIYCxm146RsHOHrSMc7bH1fe+ETZtNdx8fDlu3DtpZkqPmD4VddiYW&#10;+e7f93nkZeykMCfJsxlrYW4drsaOCu8Z7Bayjox2Yoy+jnL2Mp3ok9IXkAm6I/fMG4I11l/oG0+8&#10;qf4HL8KnKT/Dj8SDX66Jz9MQL47lmnzgUcJ4hvLH57/pPdek0zPFzYRzjSMep+eKp9GFWB+DrWS1&#10;P/0t15fze6V1/wRmUlmofdKwk12XpjvZf+saxjiCygZuhE90IPRseJqx7YcfuD/q13//219trHlj&#10;XMOBnguHRh43fXevnf3I2up9ez+z897tLErj2C/2fm62Pd+z78Dt4aMPdsU1XUcOHzHu/jh8/OEu&#10;szG5M+ze/XFMiz4PL8PHe83uyLFj/7F0u+OYNnnzLMYeVy5bGnVv3imMhzB2ir6Nw84sdZC+Td30&#10;fal6un/yfjBXcknHsuCztL3QGW6+8ffT41/wrDgWjlSfJEzjIvBmyquk4Z7/EiduVTj8qv9wTbz4&#10;WXnqOfhKj5+Gk0d6j17d0fZm7F/qZ+jU9DPdS+ZpnRXm/uw4lawbyak0XaN86hSPjpPiiHFt6sle&#10;cc4zYtwYfma/O/6e3Z9Eu9bMncgx703/QkeHN5kHWmfX3TaeQdw6m2dkrhGH3WzGOYifmn/EX21p&#10;15k7MSfZ27XWxtbb7P9Tz+HMtI62lTbf2W3f1RNRz+edwrsllst0eNaIYQuQ/sPeSdXN9ZjZ8T8X&#10;eKRN4CqcOEw6KHG0HU5xlJH3NuvDGSvjG+uuPy8IPzn33MD8oHgX7KZ8znXqFC9u5l4cj49L84Kb&#10;caQnXHnxP+xb//S886IujZ1r1mmveOPf8Yx0yk6ZKT/1SevENXHCp9LKn4v2aMZn0ga4RmUvTdco&#10;nzrGgxl0gXsW3hn1GbCKroE9TvrInk8/iRzJeDfjI3AlvMna7sOmY08esnXUNt+Ijzt6+KDp33vC&#10;gX12/rrp3oct7tCBvXYe+2fh8z2Wl9nwPnpk0s735b1w0PLZG/Vl8sXxDPRn3hvs5+U5k7Z2PJ4H&#10;bFx90O4Zb2HelHUvtA325LF3xDV7PSVn12Xqx9u0jcbm8mt4LY0DlznHse5Q/Mf/xXmvms141vGz&#10;B4s1JmBYnCv9WD7h6tNcc1YM99Ln4XB4mTyww8LcCePwrDMRtmLZjZvT94/KQ5lOhr203EpLmOqQ&#10;5u3XM2NXbddIRqXpGuVTp3hwJRzRV9BZqSc4Zt6x3ex23nrLzTGMc5E4YwauZD0V482au8SHW7Gr&#10;+uV/v4z7KjWfyZrvA3GPpentk4eP8zPnMTBOzR4ei7cxcvQpOBvdnvzgbBzj6oxnHzs6abp+n81r&#10;Pmk2Wy+J+g/n2LLu630bC5f9bfrl0ODmqOt4X5gZ93OJw5zPUt5K20z6aqp3678K094YhaeYVh3J&#10;k2ewfwxuR2dnfwzrEtGT4eNlNt/OHAlzJvoffULPIYw81F/0PMXzDNIrnvR6bow7PibJ/3D8T3OR&#10;ab56tvuzY7eUj0vTNZu8U5yBO63Por4//9kFcT8LYxnMfw/09Ux/p7KfmfWm2EtIz51k/wt7Fmdy&#10;xH8Vh+6M41sUO/KrO9qjLdFtE+PxHfL4o4vDj3/4o/iuQVfCxj9tkNar2drEyzt7n3X5uHxK+bg0&#10;XTNhStym9770hfvvuTvO4zCXw/eivimxO8H+N3gXfmcsG05nHDs6G9+OZ1DaXp3pMMUd9zvb37L9&#10;j+WOeVHWibDvnm9g1rsytsjaAcqm71r0bOYppf/IVx2bqV28rM5LjoHZMVDKx6Xpmk3e8Jq++VR2&#10;OI99koxBsKeYfbfUX/yND2dqHZVkczp8PZPnwc3cK4y1YtjBYD8b9vzjd619M/BdSl2om65VN/dn&#10;7w8uH5dPM2BAXNOorKXpGuVTp3jp1yqTxt6kozInqDjGmdlTzrpu7P8y74NMxOHwauokr6/rMy/E&#10;XD5jIXA0+9vbbNydeUmVTT714Zr3DnWR3QzFu++c5BhoDQyIVxq1Z2m6RvnULR59NNe3uRcHSl/V&#10;uANjKrqmLoo/XfVKvwfyZ4mXo55tXE285qnytKerfJ5va/CAt2NztWMpH5ema7b2TzlberZ81YU0&#10;eVjK3UpHGjmFfV1f+ck/WVl4BvH5s/SfPNzvm6uPent5e+UYKOXj0nR5/n7vmHMMOAYcA9VioJSP&#10;S9N5+1TbPi5Pl6djwDGQY6CUj0vT5fn7vWPOMeAYcAxUi4FSPi5N5+1Tbfu4PF2ejgHHQI6BUj4u&#10;TZfn7/eOOceAY8AxUC0GSvm4NJ23T7Xt4/J0eToGHAM5Bkr5uDRdnr/fO+YcA44Bx0C1GCjl49J0&#10;3j7Vto/L0+XpGHAM5Bgo5ePSdHn+fu+Ycww4BhwD1WKglI9L03n7VNs+Lk+Xp2PAMZBjoJSPS9Pl&#10;+fu9Y84x4BhwDFSLgVI+Lk3n7VNt+7g8XZ6OAcdAjoFSPi5Nl+fv9445x4BjwDFQLQZK+bg0nbdP&#10;te3j8nR5OgYcAzkGSvm4NF2ev9875hwDjgHHQLUYKOXj0nTePtW2j8vT5ekYcAzkGCjl49J0ef5+&#10;75hzDDgGHAPVYqCUj0vTeftU2z4uT5enY8AxkGOglI9L0+X5+71jzjHgGHAMVIuBUj4uTeftU237&#10;uDxdno4Bx0COgVI+Lk2X5+/3jjnHgGPAMVAtBkr5uDSdt0+17ePydHk6BhwDOQZK+bg0XZ6/3zvm&#10;HAOOAcdAtRgo5ePSdN4+1baPy9Pl6RhwDOQYKOXj0nR5/n7vmHMMOAYcA9VioJSPS9N5+1TbPi5P&#10;l6djwDGQY6CUj0vT5fn7vWPOMeAYcAxUi4FSPi5N5+1Tbfu4PF2ejgHHQI6BUj4uTZfn7/eOOceA&#10;Y8AxUC0GSvm4NJ23T7Xt4/J0eToGHAM5Bkr5uDRdnr/fO+YcA44Bx0C1GCjl49J03j7Vto/L0+Xp&#10;GHAM5Bgo5ePSdHn+fu+Ycww4BhwD1WKglI9L03n7VNs+Lk+Xp2PAMZBjoJSPS9Pl+fu9Y84x4Bhw&#10;DFSLgVI+Lk3n7VNt+7g8XZ6OAcdAjoFSPi5Nl+fv9445x4BjwDFQLQZK+bg0nbdPte3j8nR5OgYc&#10;AzkGSvm4NF2ev9875hwDjgHHQLUYKOVjpXP/28Fl4DJwDDgG6oCBRu/DOpTRy+B9xTHgGHAMnMBA&#10;I972+Gq/c1yeLk/HgGPAMeAYcAw4BhwDjgHHgGPAMeAYcAw4BhwDjgHHgGPAMVA9Br4RQviWOX7f&#10;NMf1/wAAAP//AwBQSwMEFAAGAAgAAAAhAGgrSlzfAAAACAEAAA8AAABkcnMvZG93bnJldi54bWxM&#10;j81OwzAQhO9IvIO1SNyonab8hThVVQGnqhItEuLmxtskaryOYjdJ357lBLcdzWj2m3w5uVYM2IfG&#10;k4ZkpkAgld42VGn43L/dPYEI0ZA1rSfUcMEAy+L6KjeZ9SN94LCLleASCpnRUMfYZVKGskZnwsx3&#10;SOwdfe9MZNlX0vZm5HLXyrlSD9KZhvhDbTpc11iedmen4X004ypNXofN6bi+fO/vt1+bBLW+vZlW&#10;LyAiTvEvDL/4jA4FMx38mWwQLWv1yEkNKS9iO02f+ThoWMwXCmSRy/8Di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E08+gt1AwAAAAgAAA4AAAAAAAAAAAAAAAAA&#10;PAIAAGRycy9lMm9Eb2MueG1sUEsBAi0AFAAGAAgAAAAhAD8Ey30pjQAAQP0JABQAAAAAAAAAAAAA&#10;AAAA3QUAAGRycy9tZWRpYS9pbWFnZTEuZW1mUEsBAi0AFAAGAAgAAAAhAGgrSlzfAAAACAEAAA8A&#10;AAAAAAAAAAAAAAAAOJMAAGRycy9kb3ducmV2LnhtbFBLAQItABQABgAIAAAAIQCOIglCugAAACEB&#10;AAAZAAAAAAAAAAAAAAAAAESUAABkcnMvX3JlbHMvZTJvRG9jLnhtbC5yZWxzUEsFBgAAAAAGAAYA&#10;fAEAADWVAAAAAA==&#10;">
                      <v:shape id="그림 34" o:spid="_x0000_s1146"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80" o:title=""/>
                      </v:shape>
                      <v:shape id="Text Box 6" o:spid="_x0000_s1147"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759FF693" w14:textId="10592555" w:rsidR="006D7011" w:rsidRDefault="006D7011">
                              <w:pPr>
                                <w:pStyle w:val="af0"/>
                                <w:jc w:val="right"/>
                                <w:rPr>
                                  <w:rFonts w:ascii="Times New Roman" w:hAnsi="Times New Roman" w:cs="Times New Roman"/>
                                </w:rPr>
                              </w:pPr>
                              <w:r>
                                <w:rPr>
                                  <w:rFonts w:ascii="Times New Roman" w:eastAsia="Times New Roman" w:hAnsi="Times New Roman" w:cs="Times New Roman"/>
                                  <w:lang w:val="pl-PL"/>
                                </w:rPr>
                                <w:t xml:space="preserve">Rysunek </w:t>
                              </w:r>
                              <w:r>
                                <w:rPr>
                                  <w:rFonts w:ascii="Times New Roman" w:hAnsi="Times New Roman" w:cs="Times New Roman"/>
                                </w:rPr>
                                <w:t>C</w:t>
                              </w:r>
                            </w:p>
                          </w:txbxContent>
                        </v:textbox>
                      </v:shape>
                      <w10:wrap type="square"/>
                    </v:group>
                  </w:pict>
                </mc:Fallback>
              </mc:AlternateContent>
            </w:r>
          </w:p>
          <w:p w14:paraId="72564A38" w14:textId="77777777" w:rsidR="002E5800" w:rsidRPr="008F328C" w:rsidRDefault="000E0B7C">
            <w:pPr>
              <w:pStyle w:val="a3"/>
              <w:numPr>
                <w:ilvl w:val="0"/>
                <w:numId w:val="25"/>
              </w:numPr>
              <w:rPr>
                <w:b/>
                <w:lang w:val="pl-PL"/>
              </w:rPr>
            </w:pPr>
            <w:r w:rsidRPr="008F328C">
              <w:rPr>
                <w:rFonts w:eastAsia="Times New Roman"/>
                <w:b/>
                <w:bCs/>
                <w:spacing w:val="-1"/>
                <w:lang w:val="pl-PL"/>
              </w:rPr>
              <w:t>Sprawdzić lek.</w:t>
            </w:r>
          </w:p>
          <w:p w14:paraId="736A4CC3" w14:textId="77777777" w:rsidR="002E5800" w:rsidRPr="008F328C" w:rsidRDefault="002E5800">
            <w:pPr>
              <w:spacing w:line="260" w:lineRule="exact"/>
              <w:rPr>
                <w:rFonts w:ascii="Times New Roman" w:hAnsi="Times New Roman" w:cs="Times New Roman"/>
                <w:sz w:val="26"/>
                <w:szCs w:val="26"/>
                <w:lang w:val="pl-PL"/>
              </w:rPr>
            </w:pPr>
          </w:p>
          <w:p w14:paraId="500FCFF2" w14:textId="77777777" w:rsidR="002E5800" w:rsidRPr="008F328C" w:rsidRDefault="000E0B7C">
            <w:pPr>
              <w:pStyle w:val="a3"/>
              <w:ind w:left="4117" w:hanging="180"/>
              <w:rPr>
                <w:lang w:val="pl-PL"/>
              </w:rPr>
            </w:pPr>
            <w:r w:rsidRPr="008F328C">
              <w:rPr>
                <w:rFonts w:eastAsia="Times New Roman"/>
                <w:b/>
                <w:bCs/>
                <w:lang w:val="pl-PL"/>
              </w:rPr>
              <w:t xml:space="preserve">a. </w:t>
            </w:r>
            <w:r w:rsidRPr="008F328C">
              <w:rPr>
                <w:rFonts w:eastAsia="Times New Roman"/>
                <w:lang w:val="pl-PL"/>
              </w:rPr>
              <w:t>Spojrzeć przez okienko i upewnić się, że płyn jest przejrzysty, bezbarwny do bladobrązowego i wolny od cząstek stałych.</w:t>
            </w:r>
          </w:p>
          <w:p w14:paraId="09A9618A" w14:textId="77777777" w:rsidR="002E5800" w:rsidRPr="008F328C" w:rsidRDefault="002E5800">
            <w:pPr>
              <w:pStyle w:val="a3"/>
              <w:rPr>
                <w:lang w:val="pl-PL"/>
              </w:rPr>
            </w:pPr>
          </w:p>
          <w:p w14:paraId="420FB0D1" w14:textId="6C3B0BAC" w:rsidR="002E5800" w:rsidRPr="008F328C" w:rsidRDefault="000E0B7C">
            <w:pPr>
              <w:pStyle w:val="a3"/>
              <w:numPr>
                <w:ilvl w:val="0"/>
                <w:numId w:val="40"/>
              </w:numPr>
              <w:ind w:left="4297"/>
              <w:rPr>
                <w:lang w:val="pl-PL"/>
              </w:rPr>
            </w:pPr>
            <w:r w:rsidRPr="008F328C">
              <w:rPr>
                <w:rFonts w:eastAsia="Times New Roman"/>
                <w:b/>
                <w:bCs/>
                <w:lang w:val="pl-PL"/>
              </w:rPr>
              <w:t xml:space="preserve">Nie używać </w:t>
            </w:r>
            <w:r w:rsidR="00BE3C8A" w:rsidRPr="008F328C">
              <w:rPr>
                <w:rFonts w:eastAsia="Times New Roman"/>
                <w:lang w:val="pl-PL"/>
              </w:rPr>
              <w:t>wstrzykiwacza</w:t>
            </w:r>
            <w:r w:rsidRPr="008F328C">
              <w:rPr>
                <w:rFonts w:eastAsia="Times New Roman"/>
                <w:lang w:val="pl-PL"/>
              </w:rPr>
              <w:t>, jeżeli płyn jest przebarwiony (żółty lub ciemnobrązowy), mętny lub zawiera cząstki stałe.</w:t>
            </w:r>
          </w:p>
          <w:p w14:paraId="6EFF18EA" w14:textId="77777777" w:rsidR="002E5800" w:rsidRPr="008F328C" w:rsidRDefault="002E5800">
            <w:pPr>
              <w:pStyle w:val="a3"/>
              <w:numPr>
                <w:ilvl w:val="0"/>
                <w:numId w:val="0"/>
              </w:numPr>
              <w:ind w:firstLineChars="350" w:firstLine="770"/>
              <w:rPr>
                <w:lang w:val="pl-PL"/>
              </w:rPr>
            </w:pPr>
          </w:p>
          <w:p w14:paraId="4B6BC4CA" w14:textId="77777777" w:rsidR="002E5800" w:rsidRPr="008F328C" w:rsidRDefault="000E0B7C">
            <w:pPr>
              <w:pStyle w:val="a3"/>
              <w:numPr>
                <w:ilvl w:val="0"/>
                <w:numId w:val="40"/>
              </w:numPr>
              <w:ind w:left="4297"/>
              <w:rPr>
                <w:sz w:val="26"/>
                <w:szCs w:val="26"/>
                <w:lang w:val="pl-PL"/>
              </w:rPr>
            </w:pPr>
            <w:r w:rsidRPr="008F328C">
              <w:rPr>
                <w:rFonts w:eastAsia="Times New Roman"/>
                <w:lang w:val="pl-PL"/>
              </w:rPr>
              <w:t>W płynie mogą pojawić się pęcherzyki powietrza. Jest to normalne zjawisko.</w:t>
            </w:r>
          </w:p>
          <w:p w14:paraId="006955EC" w14:textId="77777777" w:rsidR="002E5800" w:rsidRPr="008F328C" w:rsidRDefault="002E5800">
            <w:pPr>
              <w:pStyle w:val="a3"/>
              <w:rPr>
                <w:lang w:val="pl-PL"/>
              </w:rPr>
            </w:pPr>
          </w:p>
        </w:tc>
      </w:tr>
    </w:tbl>
    <w:p w14:paraId="04EAB06B" w14:textId="77777777" w:rsidR="002E5800" w:rsidRPr="008F328C" w:rsidRDefault="002E5800">
      <w:pPr>
        <w:rPr>
          <w:rFonts w:ascii="Times New Roman" w:hAnsi="Times New Roman" w:cs="Times New Roman"/>
          <w:lang w:val="pl-PL"/>
        </w:rPr>
      </w:pPr>
    </w:p>
    <w:tbl>
      <w:tblPr>
        <w:tblStyle w:val="ac"/>
        <w:tblW w:w="0" w:type="auto"/>
        <w:tblLook w:val="04A0" w:firstRow="1" w:lastRow="0" w:firstColumn="1" w:lastColumn="0" w:noHBand="0" w:noVBand="1"/>
      </w:tblPr>
      <w:tblGrid>
        <w:gridCol w:w="9394"/>
      </w:tblGrid>
      <w:tr w:rsidR="002E5800" w:rsidRPr="00A5286D" w14:paraId="65D06E73" w14:textId="77777777">
        <w:trPr>
          <w:trHeight w:val="5238"/>
        </w:trPr>
        <w:tc>
          <w:tcPr>
            <w:tcW w:w="9550" w:type="dxa"/>
          </w:tcPr>
          <w:p w14:paraId="3A7EA54E" w14:textId="77777777" w:rsidR="002E5800" w:rsidRPr="008F328C" w:rsidRDefault="002E5800">
            <w:pPr>
              <w:spacing w:line="260" w:lineRule="exact"/>
              <w:rPr>
                <w:rFonts w:ascii="Times New Roman" w:eastAsia="Times New Roman" w:hAnsi="Times New Roman" w:cs="Times New Roman"/>
                <w:b/>
                <w:bCs/>
                <w:spacing w:val="-1"/>
                <w:lang w:val="pl-PL"/>
              </w:rPr>
            </w:pPr>
          </w:p>
          <w:p w14:paraId="2798702A" w14:textId="01CDC99C" w:rsidR="002E5800" w:rsidRPr="008F328C" w:rsidRDefault="00F2584C">
            <w:pPr>
              <w:spacing w:line="260" w:lineRule="exact"/>
              <w:rPr>
                <w:rFonts w:ascii="Times New Roman" w:eastAsia="Times New Roman" w:hAnsi="Times New Roman" w:cs="Times New Roman"/>
                <w:b/>
                <w:bCs/>
                <w:lang w:val="pl-PL"/>
              </w:rPr>
            </w:pPr>
            <w:r w:rsidRPr="008F328C">
              <w:rPr>
                <w:rFonts w:ascii="Times New Roman" w:eastAsia="Times New Roman" w:hAnsi="Times New Roman" w:cs="Times New Roman"/>
                <w:b/>
                <w:bCs/>
                <w:noProof/>
                <w:lang w:eastAsia="ko-KR"/>
              </w:rPr>
              <mc:AlternateContent>
                <mc:Choice Requires="wpg">
                  <w:drawing>
                    <wp:anchor distT="0" distB="0" distL="114300" distR="114300" simplePos="0" relativeHeight="251658283" behindDoc="0" locked="0" layoutInCell="1" allowOverlap="1" wp14:anchorId="4EBC1E9E" wp14:editId="4F36A925">
                      <wp:simplePos x="0" y="0"/>
                      <wp:positionH relativeFrom="column">
                        <wp:posOffset>55245</wp:posOffset>
                      </wp:positionH>
                      <wp:positionV relativeFrom="paragraph">
                        <wp:posOffset>166370</wp:posOffset>
                      </wp:positionV>
                      <wp:extent cx="2154555" cy="2774950"/>
                      <wp:effectExtent l="0" t="0" r="0" b="6350"/>
                      <wp:wrapSquare wrapText="bothSides"/>
                      <wp:docPr id="3938" name="그룹 3938"/>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wpg:grpSp>
                              <wpg:cNvPr id="35" name="그룹 35"/>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236927BC" w14:textId="2B7AB31A" w:rsidR="006D7011" w:rsidRDefault="006D7011">
                                      <w:pPr>
                                        <w:pStyle w:val="af0"/>
                                        <w:jc w:val="right"/>
                                        <w:rPr>
                                          <w:rFonts w:ascii="Times New Roman" w:hAnsi="Times New Roman" w:cs="Times New Roman"/>
                                          <w:szCs w:val="22"/>
                                        </w:rPr>
                                      </w:pPr>
                                      <w:r>
                                        <w:rPr>
                                          <w:rFonts w:ascii="Times New Roman" w:eastAsia="Times New Roman" w:hAnsi="Times New Roman" w:cs="Times New Roman"/>
                                          <w:lang w:val="pl-PL"/>
                                        </w:rPr>
                                        <w:t xml:space="preserve">Rysunek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54100" y="1905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7569C" w14:textId="46290ABC" w:rsidR="006D7011" w:rsidRDefault="006D7011">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EBC1E9E" id="그룹 3938" o:spid="_x0000_s1148" style="position:absolute;margin-left:4.35pt;margin-top:13.1pt;width:169.65pt;height:218.5pt;z-index:251658283"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et/JRBAAA7AwAAA4AAABkcnMvZTJvRG9jLnhtbNxXy27jNhTdF+g/&#10;ENpPbDl+xEacQZo0wQDpTDBJMWuaoiwiEsmSdGzP7xToL7QF+kXtT/RcSrLjOINJshigXUS5pPg4&#10;9/DcQ/n47aoq2b10Xhk9TdKDbsKkFiZTej5Nfr69eHOUMB+4znhptJwma+mTtyfff3e8tBPZM4Up&#10;M+kYFtF+srTTpAjBTjodLwpZcX9grNR4mRtX8YCmm3cyx5dYvSo7vW532Fkal1lnhPQevef1y+Qk&#10;rp/nUoQPee5lYOU0AbYQny4+Z/TsnBzzydxxWyjRwOCvQFFxpbHpZqlzHjhbOLW3VKWEM97k4UCY&#10;qmPyXAkZc0A2afdRNpfOLGzMZT5Zzu2GJlD7iKdXLyve3186e2OvHZhY2jm4iC3KZZW7iv4DJVtF&#10;ytYbyuQqMIHOXjroDwaDhAm8641G/fGgIVUUYH5vnih+/MrMTrtxZwfOplHDBO5rx1Q2TQ6xueYV&#10;tPX373/88+ufDB1NLv+Z5KwSE/w1B4xo74C/XgiYFRZOJs0i1bPWqLi7W9g30KLlQc1UqcI61hVU&#10;R6D0/bUS165ubDkf73D+218MHeCcZtCgegqnlK6MuPNMm7OC67k89RYVCZ+g0Z3d4bG5s9+sVPZC&#10;lSVpkOImM1TvI/U/QU5dWedGLCqpQ20VTpZI0mhfKOsT5iaymkkoyL3LUggYNhWgIuuUDoSPT3xw&#10;MoiCwhw4PgI74X7wIoLe4qSMPGqJzZY/mQyL8UUw0ReeWUuH4x5cKtbSsHc07sZa2lQEGHU+XEpT&#10;MQqAHIji8vz+yjfY2iGEWhviL+ZS6p0OrEk9ET8hbkIkQPUFL/Yt3WjtEf4iu7kpuJVASctuJTRq&#10;q/aWrOQHs2KjumzjIDIkFlbobsRCk2ucrT1sfCntH/b7QyiSHGjLGp+0HjXCRTFuaE37w27tUK9n&#10;1ZtSZa0wie6z0rF7jhtmWaggo7ahkYejvsD+NiuKwmq2ipY2HLdUzEy2BhPO4LCRgbfiQmHDK+7D&#10;NXe4qdCJ2zd8wCMvzXKamCZKWGHc56f6aTxOFG8TtsTNN038LwtOzlG+0zhrLBnawLXBrA30ojoz&#10;SBUVAzQxxAQXyjbMnak+4VI+pV3wimuBvaZJaMOzUN+/uNSFPD2Ng2oDutI3FraVRkkTsberT9zZ&#10;RuwB5/netGrik0ear8fGsrWnKLsLFQuCiK1ZhMSpAWXHqLnqvpHc015vT/DUh9okUKiLF0m+O+in&#10;MAeSfDpuBL0V/NHgaNDDW/KRtNc/OsQFXRtXa0OtSTzTR3a0HL/N5Ebzs3nt5nuKZ1Dj8BDF9pTx&#10;AGz8OmtsizioyztGYV1KmlXqjzJHScSvj3i09F243ZsLAXdv94+jaVRt1s+f2IynqTWql+y6mRF3&#10;NjpsJldKGxezf0RZdtdCzuvxjTR9nTdRsPGCUbwCqOt/5AUiuG/kBrHkv1D/+KQG8Tvf7A/b8VC2&#10;P1JO/gUAAP//AwBQSwMEFAAGAAgAAAAhALd5c3PbywAASNcJABQAAABkcnMvbWVkaWEvaW1hZ2Ux&#10;LmVtZux995dUdfbtmRfWW99/4LvW+2EkSgYVEeMgigKCBDNIUkFESQqSaVKn6gQoIlEl0910zjl3&#10;V1VX7ATqpDfBAOiMkx3j2/vcvj29mGraXoN2S31c63qLW9W3qu49d99d++xzzk9EZAUW+7/lPxEp&#10;xWL/t+z/ivx3P5H+D86YLPITmXrhv+R/4slOL9GX7vg/Inf8L5E5eKLG/uP2ddW9/1uCf/sf8gj+&#10;7Tr/Xx3PXvle9hMrsI8yLLOxYRiWjVhmt/9df/GK/Tyf4z742p9If/zrX6/Tf7T/79tvvxWzmGNg&#10;YsDEgIkBEwMmBkwMmBgwMWBi4NrFQP9+g8Qs5hiYGDAxYGKg78RAqHucOT995/yYc2HOhYkBEwOM&#10;gathdVycQ8xijoGJARMDJgZ+uBiIB+46HLESHxen+Gvfqw1W/3DnwMS7OdYmBkwMdBcDBqtNjHQX&#10;I+Z5EyMmBno/BgxW9/45MNeBOQcmBkwMdBcDBqtNjHQXI+Z5EyMmBno/BgxW9/45MNeBOQcmBkwM&#10;dBcDBqtNjHQXI+Z5EyMmBno/BgxW9/45MNeBOQcmBkwMdBcDBqtNjHQXI+Z5EyMmBno/BgxW9/45&#10;MNeBOQcmBkwMdBcDBqtNjHQXI+Z5EyMmBno/BgxW9/45MNeBOQcmBkwMdBcDBqtNjHQXI+Z5EyMm&#10;Bno/BgxW9/45MNeBOQcmBkwMdBcDBqtNjHQXI+Z5EyMmBno/BgxW9/45MNeBOQcmBkwMdBcDBqtN&#10;jHQXI+Z5EyMmBno/BgxW9/45MNeBOQcmBkwMdBcDBqtNjHQXI+Z5EyMmBno/BgxW9/45MNeBOQcm&#10;BkwMdBcDBqtNjHQXI+Z5EyMmBno/BgxW9/45MNeBOQcmBkwMdBcDBqtNjHQXI+Z5EyMmBno/BgxW&#10;9/45MNeBOQcmBkwMdBcDBqtNjHQXI+Z5EyMmBno/BgxW9/45MNeBOQcmBkwMdBcDBqtNjHQXI+Z5&#10;EyMmBno/BgxW9/45MNeBOQcmBkwMdBcDBqtNjHQXI+Z5EyMmBno/BgxW9+wcJMbHCI+ZvSTGx0mc&#10;A9virW0J+Lcjlv9uX8fF6uM4B9b4O65N3PfsmJvjZY6XiQELXxyKI8AcYEn/foN0+fbbb+XKxX4u&#10;nI+bhbcO4HGs7E5KkMT4WEnAEhsTCSwmjhOTrW08Tnw98dvC6jjrMTHbLOYYmBgwMdCDGCCWGKzu&#10;AXY6LLwlb46NiZLo6F2SlOCQvbsTFYcdsdFYA5+B28qvgduJCRbH5nPEcYPTPTjePYhlc1zNcb2e&#10;Y8Bgdc/im/e1xIQExdv4OOJ2PB7HS9SuXbJta4REbImQmBhL97A4NXm1Q/Ga/Jrbrud4Mt/NnF8T&#10;A99PDBis7vlxjYHekQCuHBvL3yTx8ujsmdCNBqp2NGjgEBk2ZJhs3LRJ4qFj705K7NBBDFb3/Fib&#10;694cMxMDVgwYrO7ptUANI0a58eZNG+Tu28fLgP6DZMiNw2TggBs79P6Rw0fIhnWvaN6RsUY9hJyc&#10;axN7PT3m5vUmZkwMGKy+egwwh5gQn4AF+UE+TkAeEXx68eLFitGDBt4oNw4eKvOfnos8Y7wsWjBf&#10;yK0H9B8sY0aNBl6vA0Yzx8i8Ixe8HzDb4tjMOVr5R+tajMd2aCqa6+XrjL5tMOrq8WmOT/gcH4PV&#10;oc81sTQ2JlqSEqlHE6Mt7IyMjJKRw0Z0aB6333Y7uHK07NqxXWrrXBITFancetrUqboee/Mt4ohL&#10;kN3MPTLPiP1aucYo9fnxsYXXcZKUFA+tO0r24LXx8Jbw3OjzRuM2v0VMDIR9DBisDo3VVg6RuUM+&#10;Ty4dIzHRUTLz4emKwffcdQ/8H3FSUlIiBfn5suS5Z6Wx0SdHjxxWLWTpksXS7wbL/zh18oOyeuVy&#10;2bVzu+JyDO4B1Lu5b8Vk4De5t4O8G9tigf0OaN2JCRbHNtwp9Dkyx8Ucl3CKAYPVoePdERMj0eDI&#10;1CHi4PfYtm2H3ARNg9oGfeYnjh0Tp9MlXq9X8nJzZfGzzwCrPXIuNQXPD5Q9yCmSW1Mj6XfDABk0&#10;AH+H9eOPzpboGGBwPLkz3huYTF7NhdpKHPQWvh/vDaq7QA8Jp3g03zV0PJrjYo6LwerQMUBfXiJ0&#10;D+KpA57q0SOJ04MUq9e+vBo47RSfzye1tbVSXFgo8+Y+JU1NTZKRnqZYffTQAamvq5eDb+6XW28Z&#10;J8OGjpDBg4YgBzlcbhpzs2zZvFWioqMlKmqXYjL9f9HRcbJ18xaJjKLmkqB5yKREyx9ortXQ58kc&#10;F3NcwiUGwh2rqUVo3bdyWyvnZ+vH9HskgR8/DRymnkFOvRXeD6erUVwNTqksL5WK8hI5c/KYzJox&#10;QwpyMyXjXKoMBR4ffGOPuMG79XUVVbJ/3z55edUqGQvc5n6YjyTHXrH8RdkMf9+CeXNlOPCc/PuB&#10;+++T5xc/Jzt27JBYeAJ5v9D6Gl3Do92Re7Q4N+ty4pGTpI4SLnFrvqc51+EWA+GO1XZtIfOIxGiL&#10;T4PL4jE145XLlym2Dh0yXGZOnw4+XS/19Q2Sl5MNPp0lFRXpUlmVIs8smgueXSApZ99WXI+J3CV1&#10;1VXirKsRF/7G7W4Qj8cjhQWF0EsWqTZyA/Xsdk178ECLc/e7wfJpE8/7/bS/jBk9Rl5duxYcnPeR&#10;RHhRoI1ojtKhNe4x0dBpkHeiZkKNPdzi13xfg9nhEgPhjtUWp46F3wOaBxbq1EnQH8hVI7ZuVY2Z&#10;+vT0hx6CplGDpVZKioqkvDRPWluLxRdIg0b9GjSN1RJszpTK6jPA6oHiQO15fm62FOXnSFVFmeK1&#10;x1Ururg9ErVzJ3SRkXLjoKGqjfS/ob+MGD5Snnz8McVx+rWpe3PbjYOHyQzcJ9a8skb1GOu3wL96&#10;j2jdOu4rpobd4Fa44FY4fs9wx2rba8E18dni07HQH7YDS4erp2PKg5OlrKxUnA21UlFaLKXFeeL3&#10;54jXd0L8zemSnPImPBxbxdecJWXl70CTHioHD8SJy50rNTXZ4N6FUpCXi78rkpqqSnDtWvE2uqSs&#10;OF9On3wH+sheWbN6tbz4whJ556jlI6EHcCu0kdkzZyqmM0fJWpvJDzwgLy5bpvoIzx21DysHyRxl&#10;NDyBBq/C8To23/n6j/twx2pLA3Egr0ctgd45q9/HwoXzlR+TU9OH5/W4pbggR0pLsqXtfIH4mzIk&#10;0FaKpVAOH4qRlNT94mvLlZKKU0I949DBWPH4z8h7P88TbyBTmlrKpa4OmJ2fJYW5+eDb+dLQ4FIv&#10;SV0d9RG/8ujiomKsB0nkzh36vB/5y7NnTsrECRMs/o3nmJ8k537skVmqdcfGss9IvOzds8eqtTFe&#10;XKMFmRi47mIg3LFaawTJpxHbdi3h5g2vKi7St7FqxQrw6RophJZRmJ8nbk+2BJrTxNuULp6mbPEB&#10;s5MSI6S88rR4wbHLK88o1h454hB/K3Aaugi5t8efIsGWLPEFc4HBWVJVRZ5doLp3dWUFuHaVbN64&#10;QU6dOClLkFekP7uhvlZ8Xrc0ulxYwxsIjdyBWhnqJNRIqGlzmfzAJHDypbJxw0bVrQ3Huv45ljnH&#10;4XeOwx2rrX7TFp92QEMgvyavHThgEPKFi8RV75GaynLkEXOl0ZMjbm+KNJ3PFV9LtgRbc4C9KdC1&#10;14jXnyzBtixJPbdf+oHzZmQeBkZnhFw8wXPQSzLwt3ni8RVJZUWB5GZnyltHjkjMrp3QTw7I5EkP&#10;AKtdUgcvid/vE7+vERy8Thrd5OKN0MjPyaT77tPPSn1kOLVv6Np333GnvLx6DfSQJOXa6h/B94qM&#10;jNS8qeVxQZ6StZjwueicBDy269rt+5XBgvDDAnPO+/Y5D3estnpusO7bqu9e9+oa1YVHj7oJnrwS&#10;CZDPZmejPjFNWt8thfaRrljthTbtA2duOZ+JesT14g+mKy6fO/emDAIfP5f2ZkicJn57gsDwlgzw&#10;bHBuPG70ZonLlQu8TkZ940o5feKYYq/HVSd10Mjr4NN2gVsHAgH4SZzwoYBv+7yovWmUzIx0zXvy&#10;/sJl+LCR6PM3XPWR2Bj4Q9CflfhLzE5M5Bq17MihRkdFab27VYtDzLb7uMZpfaa5bvv2dWvOT/id&#10;n3DH6oQ4qz9STAy8cMCwaVOnqA9jDepdvO46KS3Kh4e6WAIteeLypUlTayb0jyws4MVcgmnA6nXS&#10;1JaPf6fL0aNxitVFpce6xOoA+Dix2t8Efo2F+M+8ZDP2vWPbOqmuzEDfpzFy7sxx5DTLpbamFjU3&#10;ddBinODVWFxOcQO7GxoasNQDy2vl1MnjEh25Az7vh3GvsbQR1kmyvv2lF1+UHdsjoMXTh8gYb/dj&#10;a09Xq++I7YdhPBDPDRaEHxaYc963z3nYYzXmJ3IGFzHs1TVrO/J32Rlp0CYqgNWFUu/MVt3Zp/ia&#10;Jm4/NegM5AzTJADNOnLXOml9rxjbMlW77gd+W+9O6RKr+Tr+PXm5jzpKa754mgvEHciCHr0Z/pIU&#10;mTrlQTl97DWprc5Urby4MF89gPXAbGoibni26deuq60Bv3ZDF2F+shG82y3JZ87KQ1OmKM8m16Y2&#10;Qn375jE3ycaNmyQ+AfXtqAGi5qM1NOgfyH6Ctj5irtm+fc2a8xOe5yfcsVo9e9BtE4Bf48aOVaye&#10;OOFecNcGYGOu5vMCwUxpvgAsBYdWjG7OhVYNfg2sbm4tkIiIl8UTSJdAa67s3LFW9WpPuybC11+5&#10;kH8TrwPEfuQdfVi8TWmqgcc5tsiFC7nywKT75dTx3RKAtu1BPrO0OEOKoJkX5OZoTTv5NGtyWOPu&#10;9XqA19S1/eDYdeDaTnBwl2yPiBDW8DD/yJob5kqHArOffPxR2YU5NvSTUydh/U9SIvuTAL+1poY9&#10;UMLzejDf25z3vhoD4Y7VxCoeg8XPLkR9942oPRkFDTgDfLYaNS/5wD7kEOHfoF7hh06hegX0EB8w&#10;tAV4nZ19WPbu3YXtqcDafHlp2SLkJBf8Gz53xmsLo8GpgefE7SDwPKh4nSFRkRvwfjkyd87j0JQ3&#10;AMeplWTA84f3DuYAh3PB9/P1s1XA810F7k9uzT5S7FHigYbtxtqFpREcm1z7+DtHZd3aNR09Alnf&#10;znr2uXPmyPIXl+I9dyqntv2LZiakwau+ilfh/LnCBav5PS2vg5Vf4zknNiXER6OuJFLrwqkXLIVf&#10;zutulIoS+DOqsuG1Swb/TVMe7QnQr8ecYB581fDrwYe3ZfPLkpV5SBqBuw3wiMx56nH069hi5Q1D&#10;cOrOmH3l4wDuB7GxW6XBc1YWzn8SfDcCujbqbkLsx9eUhxqbDMnNSUPdeh64doFUlBWj/wg0EeB0&#10;wBeUupoq1OJUgHPXwx9OLK8Dbh9RLVy5tuYiR8ntt43He+1un6XAHoBGrw5nTDDfvW/eq8MFq4nL&#10;jEHNm7X3zeAMFnojVq1cpb2UqOu+ffSQ1COXV1qUCx5bCN4LrQL82e0jr85UDszaFmocQTz3wKSJ&#10;UltvadP0hoy/7TYpKj6t/DsUxl5tmy+YilkDW6CnnJNnFsyBDv4qsBp5yFBYDT2mGfeLZtTfuBuz&#10;oYUUSnl5IbRt1OOgPpL18NVV1eDdqJNEDrK2tlp9I/STUNM+9vbb0OdfkbvRh5u4/RhmRjqYa9TZ&#10;NwarDV71TbwK5/MSLljNvBm1aS7EI/Y6Uu8D8PqhKZM1Dzf25lvVW1FRViJVlfBQM3fYkquejyAw&#10;kV5qP/C50ZtqealTXpf775sIfSIb/pAMSYVPb9ytt4JTo64xBL52ty3Ykg7dYxM4fDY+0wNy5LBD&#10;/SGh/s4LDd2L+4UXWowX/F4/azPq3v15qHPPkrw8qxdJUX52u8adjx4mJcBp+rTd8G7XSzAYgN6T&#10;2Z5PHSjPLlqI45PYXsNprtVwxgXz3fte/IcLVvN7klOzT7SlhVjYHQ0uOQKeZOofq1eugI/ZKfSA&#10;OF2oUfSeAVbCAwIPdNv7hcDBs+DZGdKKWhjmFqMj18nKFS+oLuKBdyNp9w6dad7UhhoXcONQGHvV&#10;bdCud25fK83Y/30TJ0hGxgHNWXb1N6ydDMCj3Xy+nXsjPxmg7g1d2+0tQT18ruRkpEp+dob6WQrz&#10;clDbnivl0Lnd+J4+nx9Lkzwya5blGYHHLwb16tbcsr4XqwY/zDkJ5xgIJ6wmRsfCR219Z/Y9ipNF&#10;yAMyp/jg/ZPQVwn6bnUF/Bb58OVlq47hA+YGqH1o3QrrDdnbg//OAqeeAK36oKWTYPuMh6ehR/VS&#10;+PuyoJsgF9hjbp0psdEboYXngJ+Pk5zcQ13vB58hgM/A+4gH/J/vpTlLaN7k235w7CbmQtFjqgw9&#10;AavKy+Tn778HHdurj+kBJGZXogdgDGoa2Z+bx2HTxo3g1kYDCWdMMN+9b94TwweryanJrePR9zlR&#10;NZAY9C0d0H+g9lp6E7MAPNAHqlCrWAFvBfXo5gv50KfZxwP6NHUGaMRaA+NPQ9+P4zIbfLSlKRm4&#10;mC1ZOQdkMPwVcTGbpOm9AuClhZ89wWvi/y54/vxYs6deaxv2A64cah/kz9S3ic8t+Jz0DHr88KLo&#10;/YH178ByaDb0j7g86DuSDd8JPCGXLn4sn/3xj3LhfBu07HJsT5d33jrS0Ud74YJ5OE6Wtm+u2b55&#10;zZrzEp7nJVywOpZzDVmvx7q9WM7NipfFmGfLfnWjRoyW6vJaeKrdUgRPRUN91/oFOXYAuvKJE3sw&#10;b2sVMDlf8TQJng16mE+e3CMu4LTly/t3bzVxV/uJYD/kw1ya0EeEmokPvr+ILWskv/gdGTliFDAa&#10;/hPgcSis7nIbsFtrbLB/+gG1thK6DTG5DL2iPv7oI/n9734nly99qMt7715QfYQaEOtleI94ZPZs&#10;9V9HR2M+L3zXqh3h+CVRQ8I8SG7XGWNal47jyWPasVh1kNpfFvdGgyvmGJgYuDYxEC5YrXUewBML&#10;qznz1iG33mzVvjyzcB5mADRKPepKStCbuhV6c1dYSKwm100ANtdUn9KcHvWGu+4YrzhXVXMa/feI&#10;vaH5sLVf1i226yTg7OqxhmZSVXdK/X6HjyRAT3kIr4HWArzt6rOE3I79+bm06y/Eau7HWVeAHGO2&#10;6iCfXL4sn1y+qMunn1xW/F7+ojX/hn2gBmP+wfBhIzBj7FHt+bdtW4RVNxPLGhnOWicec6H2T386&#10;+6kk6P3POs6ogTQ4bY6BiYFrGgPhgtWcx8U68kRwQ/Zr2rp5s+bTBg0YInHRO6UBnjbWBNbWYtYL&#10;vBU21l25DoK3ur3Jsn37OmluOgONIU1y8o6iVnGQzJr1MDQTYDRqxpkfvPJv7X+zBob4SR8gc4NN&#10;5+HjBrYfP5Ykbx2NR/+OJcDI+dgGDo7X2X/3Xdbcn4XV//o73gta4NPOA1b7vS7w6Uty6eOP5dKl&#10;y/Lhhx8oVp9LPqO16PTvPTxtmqVfA7eHoFf2sCHD5M7x42U15iEwXmLb69HZDyoJ2rads2UuQPv2&#10;4Rjzd4vB62vDp8xxNMeRMRAuWE0uqHXUwGt6rVetXK7YRN3i2NGD0D/q1CNRV5+v/Zm6wkVitdOd&#10;LDvRW8+HWQKsV3zraIIMgHaQtLu9fhE8W2sc27ntlfuyODcxFZwX2Ept3OlJkW1bXtGZBffdOwF9&#10;TZ+XRvi421BvfuXfX/3fxOjOCzQRcOsW6DZl8F+70Lfvww8+AF5fxHJZ9euPPvwQ3z1PfdasQ//0&#10;00/k8IH9Onud2ggXYviwISMwc3Iaaod2qrePfpHYGOhJ4Njs5xcTzT5Ylr/G9rMbnDE4Y2Lg2sRA&#10;uGA1ubSlu1JzjZd5T89RfZm11pXIsTnRRyM/J0vrStw+5gtDa83MGaYkvykHDsQoJjLHt3H9Kpk4&#10;8WfAW+oZ7MXHmQJdaxfM+3H/LRdyrJoa+Kn98GjfN+Fnkld0THExMWkb8oM56DfSUz9JJ5y2OTbv&#10;CYFk+BCL0MOvXC6CU1+++JFiNXGZOgjXrD0nLjegb99XX30hf/zjH4Dt9RITFQm/91T1YVPPpl+E&#10;nnTe7zZv2gj+bGkh9NnwGHOJY09s8xvYHAMTA9csBsIFq9lLT7EkDlwQv+HvvP124NJgeXnli+DH&#10;Tci9ZUluVgawEb0+gL9dYTU9Go/MfliK0fPUC/9HANg8fdoUeW1vJHqmnoVWDayE/4I1hV3tg3jO&#10;58ivyaeJ02+/Ew19eLYkpx0AFg6W5NQDqpGwT0hX+7n6duZA8Vl0wXvh/uP05GIOWZ589tlncumj&#10;38lHwGzmGi9+bC3EaerVWenngNVfybfffqvLN998LV99+bn86hfvyYJ5T6ueTZ49aOAQva9MQj3Q&#10;JszSsTDa4hBGA7k2XMrc78xxtGMgbLA6jjPKmRuLRV+87YpJxJu01GT4Ppzqhagqh3YBHGWf0mA7&#10;N6bng5qC1sRA980reEsWzJ8DjIamjZrG5LP7tFbR1ZglTfTvMRdILAamd4WlQeQuvfB3eIKoEUf/&#10;Pi+8dkuWLJLX3qCGsFX7T9fUncLzWcgtdq2dd7X/UNupWbO+kjXolv4Bbg0dhB4+rsmtFy2Yr8fl&#10;wBuvd+C0jdf2+ssvvpDzba3C1zzx2GPKtXkcybdvvukWmQ8sJ9e26kKtWb2cP0Mcj9Xjb9ckWf52&#10;awY7Z1wafdu+Js3a4HOoGAgXrI4Dl7bxgNyQObMZ06dLAJyafepYz1dbC0xGbYkP+BxEzTh1XtZy&#10;k5/y3/RYE0vLKs7ACwLsg3Zx1x3j0FtvMTzY4NGoa7TmesGHfZX8JHEzgL/1Bc9iP7mYd35Wxt4y&#10;Vt/v5VXLlLf74CWhl88HHA+FvT3d1hVWk1cTp8mtl8DDSF795r7XusRqYvbXX4Nnt/PuP/zhU1m/&#10;do3ya/Lywfh7+iBvHj1GNqxfJ9HoY+hwYOYOtGzidRIwmX39rJwktW1geKylc4eKT7PN4JaJASsG&#10;wgWr4x3QqcGp6Qu+fdw4zStuWLcWPj3MxIIHJB/9M+qd9EWT64ITg88Sqz2o12ZPUl+AtTDnZCvy&#10;fy4P+59iBkDpSWD+UOi5G6F5AOehCTexbwiwWOe9dKF5a80K9hlAnU0T6sOzsg9qrbo/cFqeevJx&#10;9O5brZybeMx+qT3F5VCv7wqridHEamIueTI58jtHD3eJ1TZOf/nll+36yDeK2+yhsuHVtZqP7HfD&#10;QNW++6FmfdjQ4bLu1XU49laPbPpEEhKI3zGK0fydQz9JVOSua6brmWvb4Pv1GAPhg9X0vAAf4Cuj&#10;HkxMys6CB8PtRW15BbAadYqYFUCs9nFOufLiLHgxUKuN3Bzna9XUo18H6gpZL9joT5dHHpmlXr28&#10;vCOK7Za2bOX27PxhKNykn4/7V10FNTDx8RHwaJxEP7zTMhqzu2pqoY8Ay6nDsJ491D56uq0rrGb+&#10;8JPLlxSrhyHPyuPCWTi25hFqTZz+5ptvdOHz9uMvoI+8e+G8vH3kEHq6ztM8JetryLMnIm/K+9B6&#10;4DlraRzIG+g8MfhyyLfVS2nyUOZ+ZWKgyxgIF6wmHjjwWztiq+Wrvn/iRO3N34hZWGUlrCunh4O1&#10;hOyrYT0mHvqa2FcDc7s8abJuHebWntmr2kRuzmH1kcyaNU15tFc1bbweGMx6b/bK6wpPW4DVrAXn&#10;PHMnOPr69SvFB8/2lk0r5YnHZ6MWB37rds2b94mu9tOT7V1hNTUQ6tUf/P53itPUQDxu11Wxmvhs&#10;ayBffPHPjtcSs7n9q68sjaSttUV2bd+m9x/eB6zc5RDF7pUrVmK+5W7VR5jzjdq1o8sYvR45kvlO&#10;hvv3NAbCBauJB/yua19ZrZgxa8YM7anndTt1torTCf8HsLoFfuZG9PvwqE6NWhTWMEL/KC0/JTfg&#10;N32dC3wY/o039+3S/Rw6nKheiwD8IzqfHNoJ/R0+zGHsCkvp+yOnDgSTpfX9Etw/1kgrNPK770S9&#10;ycoXsH/wdvYTAcf3YtZBV/vpyfausJoaCLH6XfQHYf9u+qtbmps68PdKXm3jsc2nQ+E2dRL9O/hH&#10;yLWbAn54/Kbo8SJv53uQa0/GnLJXVq9QbSoJukhPY9e83hyzcIqBcMFq1mtQF132wlLFipeWLcO8&#10;K8yTBVaXoa+zqxEYzTrCdj8zsVRrSugLAXbPeWo2ZpTvtXKCyDE+/thseX7JQsxcpO+jZ746L2Z9&#10;US/xAJMj0AP15InX4Pnbpp9rP7wgAdTXUAOhTt4MT0pPMLmr1wbxPbw+zP7CHALq08RncmpqIPSC&#10;sA+sjaMdWNvu2bsSr3v6b+I798kaybOnTsjSJUuUa1MfIY+/64470e/wGcw+WIX5Cjs0B6y5BfwW&#10;ikPdEmOUv4v0txHvudyObdxuP6fXbPv9OJyuX/Ndw+d+FTZYDZzmNc5ZiPSXRWE2rM5KcTl1/pUv&#10;AO8c+DD1D6tHXhbqE08AJ3MlNfVN1H08D9xkjcs5ycg8qljDXCRziuxN2hVGhtrO+pmm8+hTWn1M&#10;br/9Dugr5+ADuUVn6tbUoXce9BP9DNSsu5gLE2q/V90GXdzlKlZt/iIw+tLHHwKjL2kNDHE7HphI&#10;nYJzgXuKxV29/vPP/6H7Ik7/85+fd+jb5Nq/+Pn76B+7EveHQahnH6i+HGokIzHvcgG07hjUQcYS&#10;exNQb5qAfGQcvCLIR/L3URx8JfHQu9mLhHMjLLzmNtbkmBocg9/XJ36HD1Zb1/isGdP1t/jre/dg&#10;ppUbteUu9Rw3tRYDb8GPoQ9rDTh4aBD+6ba2dFm/YZXUOdH7A749pztFJk26T1avWqr1ifR9WNj+&#10;3XXlIPwibujis9E/5PCBWDlzerf2ZX3ppSXQP+DnaysEp7bqZQLXCKub4A0sKy3ALMZ6+fTyJ/Lx&#10;h7/XtfpAPv0Ec3MfVo47/+mnrxlW2/yca/uxzbG55vLnP/9ZMtNSoU29LBPumaDHgfrIuLG3ytNz&#10;58AfswL31Z3q31HPJX0kqGtKxL3Xxmqu+RwXxrPBKnMMrscYCBesdsRGgVcnyr33/AwcbpicPnlC&#10;5w6627E60FwAD51Vd2LlBplTzJTc7DfQ/2IdMJS1Lxly+JBDvR8pqfukDX2qnV76NXrm1WANOud9&#10;rVq5DP2f0mVbxFrkKftLeTVnhIHbQyO3+0cFwb+vype/o6fP5y/EHN0s1aJZt3jxI/YEudSRVySn&#10;5bI9Yus1w2qbbxOT6R1h3pGP7fXf/va3DgxnjvLrr76U1LOn5ZabxmrvKNW10a+F6ycefwy6/jbg&#10;caJyZ+ohxGgu9PbEsM7GcGpzn7qO79XhgtX068WgLoPzulgHk4E6as4edDvBq1F37Q9ySYGeQX8G&#10;fSDo14884fx5T0ha2n7thefEnK5lSxfJ7ePHYeYiMBUeP5eXc1gsDvxdMZV9QCJ3rZPM7CPw5KXL&#10;vLlPQsOdhzympZHzM1j7hJ8EvP277vdqr6urzdE+e9QePmHty0fsX31Rfvfb34gXvy+I09Sr9+3d&#10;rVhq4+y1XhOruU8Lu9tzkO26uI3nfwHX3oQ6GtawW3nIQe19pAbifMxBb+0ocGurvoYaCPE6JiZK&#10;57AbXm049fXIqfmdwgWr+bs5OjpW8Yi4VFZajJmD0ECctTqzywu92h88ZeUWoTtwNtaKl56Fj26V&#10;tII3u7ypci79ADjfTZKS8iaet/r4UzehDzoUThJ7qYGz3pz9+az6c/TUa0zRfk+N6B+Sjn2Ogae6&#10;tBK9RJBr5JwA1uEwr2jlLHvG2fk3XtxnWBvfGGj/XPC3lBXnam3mhx/8Xvs2UftgTpF5Rs6MYY6P&#10;S1rK2Q5d+T/FaeoeNjZzX511kM7bQz3mtt/+5tdSXlIsmzdukPHjxuu54/3kRvTXnjvnKXhIVsmO&#10;7cxFJmouQvORyCHHq6Zt6djEcerYqm/r2spLkpdrfft1zMOuV8wK1+8VPlgdJ1u3blU8IlY7G+ow&#10;e9AHTumRynLMHaymPs35hfR1pMqRt5Jky8aV0txSiPxhulTXpmn+j566JngzGpmr86Uq/+Vsr1BY&#10;rToGNO8mYL2viboG54FlgQdGqJbihWY9ccLdsnzZc+Dt14Y/W5yceI3PBN5Pn7fHl2n1e62pVnwm&#10;RrP+hWti9mu7E/W4kMO+/967YucE/1OsvlZ/T9ymbsKapekPPdSB2cxJUtt+ZObDqoNERVq16uw7&#10;Qt5t4bHVA5d1N9zGvrjarxW6t2reBquNbvIjiYFwwWoHuNa2iG3qAaEG4sHvfo/LhdyiX0qLC6Wy&#10;Kgv6czkwF9425P6WL18KfwY9HphlCO1j/rynVCc4ipktxGYfvM8B8OZmzAnocl4XaxPR14PzB3zN&#10;JToP0QuuO2bMzZjXeEwOHnDob/s9mH8eBA8Ohfc93eZrturjtV8J+onwfuBy5wpnmHPGIvHZ7gFC&#10;DYSePcuPMVi/H3ujXiuMvZb7oY+EfaM+++yPsjcpQUbAL8J7Ln8LEK/Zh+SRmTMkKgo4nZikXNr2&#10;iBCT2b/cmjdheQDJzUyPbaOX/Jg4erhgdSz0zNUrV+i1PXXyZHHW10vQ7xev1yfl0EOKiwrgo4Zf&#10;D7Xj0TGb5fXXd0G3tupZDh2Ox98NkWcWPKX+OrvHXiM8G6wV196jIXJ8zej1obXkwHa3J1na3s2X&#10;N96IlCMH46Wm7iT60t2s+nkR6mxaMF+mp7gc6vWK1dBR6BP3oI7Gi/tMVVWh1FVXdXBpYjQX4h6x&#10;m1yVuLdqxfIOneJa4ux/ui9yansftq7yAbQc9kik1/Den8E/gt8E/A6cPTZrxsOY1UCvdqTOiyQm&#10;W7PZqW3TR2JhlOYnfySc6seEKeazfj/3wHDB6kTMMHnh+SWaV2Q/ObfLKe6GBqmvr0WfvWopK8pD&#10;D6c8zHhxyGLUuFh6cYrWx0y6f6LMRS1MAPlH5gLd3jPgyZgTAC2avUN0vksIrObzzReKwW3PSUsb&#10;NBa8hl4/r/cUfotvA66MxEx1cOrzhVrHHgp7e7wNurjbb+nU5OrN+F1QgB6C76FPh43Ndl89cmrW&#10;k9s4V4Y6mc64aONjX1gz72h/Dturzc/6z88/lz/B13L6+DHMHrP8mKNH3QRfDfWRATJp4r3ot7UV&#10;v/MTwK0TtHc5ZyNY2P39XFMGq8xx/T5iIFywmtzq5dWsvRgsUx6cLB5PI/QPJ3qCNMAP4pSCvHx5&#10;6/BB1M4tU+7sRz4uv+htefaZefhtPU0anGfFiX7SxGVL8yAeUuOmdhE6/xdoK8C8gGRLB0ftYwS8&#10;eZynWNeYLlMnPwDtYQl8glYOkTXgPcblEPcHKx9p5T2b8VkrqwqkuqJMdWnqG+TR5NR8TC1kC/J2&#10;PCaPYnY5sZDacOdcn42Pvbm2P4+9Jre27ynWNtZF0g/4tfg8HkmANk2/OHk2l6FDhss0zLFZ/Owz&#10;6GG4Gbht98rmbHuDK+YY/DhiIFywOhH1b1s2b1IPAa9fF3DaBR+I2+0Wl9Mp+/ftlZEjRkl66llh&#10;f8+qqhTtKd0fdXUnjicpPnMODDUGzo1RHYR9U8GZtc4cuOmEzsE559rLGjp1C/KILewPAi0lJnqD&#10;PLMQMwqgc78I39/9mKXCXiNueEF0Nq7v2mggXvhHmPcMAPud7mLJy8nBZ/ArVtt9mv78pz+pHtLc&#10;FNQeIMRqzoKx8ZgclhhoY6O9vXOfJntbX1zzcxLLOQOHtT3sc2LjNvVt1tmsXfuqREajn5cjCr9x&#10;4rQnK2dRWJ4R5iHp44ZnBFxc85LopesAHze49uPAtevxPIUTVkcj78T6cl67pfi9X1dXj9rFRq0R&#10;4azuzIx09AMtwJIvG9a9qjUvMx+egtpF+CnAUTkXwMMFOjU9HtSi6e0Lwm/BPkuNfnBu+C5Ycx5E&#10;rXqw3XdXXXsafZ8GSi56pxaVnlAeuwkekwD8IY3w6dHz13yNfNTqA9H3zYJvPB36R5786pc/76gl&#10;t/k0uXXkjm36WYhfi599VusHQ/nqbA5LXO6sRfBx53/3NdxmLpKfKTszXW4ec4vmHIjZN/x0gAxF&#10;3/GFC+bBk7kJukicvLHvdfVp83qIi7Uwm7U16t8GRkdHR6J20ubjBq+uRyzs698pXLCaOSX+9p1w&#10;zz3KsY5A72DPpv2YgbIaM14rKysUt10ul8Sg7/2YUaMlEv08czIzkHvMk9qabPQPgV4BnPYDn/3K&#10;seGfhlaidenAbXr46KVmv1PO6CLHJgffhZnnOah7cXpT4NleLONvGy/V1Sfg2cYcGeQfOdPgarN0&#10;e6qN6Kz1xnydn+Cqr0Y9+QeK1ZxXTq2a/Po3v/6VjBkNXRfYtWzp8+oRYc1gAo5TLGbhVmFeMLGO&#10;3Jr4zcXGZT7uvP1K/t0XMLvz/YWfhz5E9mh9fe9umfPkk3qPGjzQykcy18yeXhs3bFBvSDxyj6yd&#10;Yg6SHmz2IUlQDDeaSV/Hs+v584ULVlu9JOKQI3xCr9M7xt+BupZbJDZ6l3g9XmghHmlocGnvCfYw&#10;2rRhI+pknOJx1klVebliNrWR/Lws4Cx78mEuAfViaA3qowbetqLmvOl8vrjAr/3okepC7+s01JJv&#10;Wr8cPamT5eDBOM15FZeekUbPWXgEi1Sv4JwwzvPqKSaHfj08IPCHV1YW4h5Torh86aJV98Ie1bYO&#10;Qs2Dvy/IqY+9daRD/7BxeTdma40aMVp2oOac+G7jMfUF+7H92r6AzfZn4GezPx9zkLZuw57a9nbi&#10;eH1NjUxt79M6ELMn6PsbNXyk3HPXXchrvALdA72jULvOuEkAryZWc309Y4H5bn3791K4YHV0VBSu&#10;vzhZsfwl9YI8PA35QvhAqFnXQwsJBIKSmpIio0aOUQyrKC9DniqAWpkmaXQHNBdZVVmiPflyMfO8&#10;oADzGesK4YvLh36Rg3wkODJyjfSJcE6iG7nEKlc2uOsY+AEPSVbOQejf42TR/CfxOvgz0OeD3mvm&#10;FAOorfEGrhVWw1ONe0URPl9bSzN06ovQpq36RGIuZ3WxDobc2dZwG+pqO+pfbO5MXPv1r34pSajv&#10;oyfu9Ilj8te//EUxvS9rHzaf7ozL3GYt/8Lrb74mpn+L+3CJPDprZrtvxPJrUyebOf0hrXN1OFA7&#10;g7ixdGyD1QbPew/PwwWrWWNMP23EtgjVrIcPHSnH33lL+XRqSrIsWrhAMZoe4+SzydCya6ShDlje&#10;UC9+j+UXaWhAHhL43oBtNVVVWqdeXJgHLM7FtmKpqwdO+qCRQBcpKT8hjz86Q44jL5kDnXrc2NvU&#10;T52Xd1TrGP3IUXqQV+R8A9YWsnYlNE+m3vLdF3q9K+j9qCy3ODQ49ceoTWR9IjGaeE2tmp5qcmr6&#10;Jf7xj38o5yS+EdNsjcPGPf5dblaGJFIHQP7t5LG35ZfoK8LX2a+xeW1fWNt838Zrfib2YbU/K/0i&#10;X6FPlHpH8By/f21Vpc6ZXLRggf7uIl4PwsLZY88vfg6+v83IDxsNxGC1wervOwYc6NuUiPpiemxn&#10;Tp8KXB6KZThmkD+P9RD83h8lu+EHoPeatcu3jbtNtm7eKOnnUtUz4nZhLoHHpdjths+Pnr/q6mqL&#10;b1eUoS4wV0qA24W5WfCRFMPL/RzqTw7KhXfLMZd8FrzUwyU3H739MKeg0c/6Gfr/qG1n4XGmcnF6&#10;AInL9HJo/yh4uNkfKhRWs1cqZ/H6mcNEfTp7j/iQ93S7oVPnpMv51ibFZWLzpYsX1YNMDYSYfebk&#10;ccVp8mr2bSJPtuvKbZzuCnOJf/WY+z5v7lz4G1/Be2V1aAv8Gxsf7TW32fjPx3wv+znbr9HVe/0Q&#10;2/l9+T62VkKN/jx0bXteJI8RNTGuWe+6Cj23Y2ITtUcra9kT463+I6xfZ+8RatyxMZHtc9rRuxVa&#10;EnUUekapqXChvvJ9x7vZf+9h6vd17MOGV+N3rH2d0Ls3nNcf+m3yGrznrrtxbcVrn33yKW7j0u+n&#10;rKcYpL2VCwuKVC/xeX2qndDrx6UWuMW1B36SSuTjSuAhid61XV5ZtQLe7QJon8vxPgMk5fQe9Nqg&#10;JxvcG1ya+MwZu9qnCRjtoc9O8Zv5SOYrMfsRvUmI66GwOgjdxOVBXSJ6jLDePdiKOTOoUWxoKELv&#10;j2z51S/e13wie+oRq6lTU/8gdj9w/yT9XuTU7EtqY5WNoVfDSPs1f//731XnnvPkE8o7f/ub/6c8&#10;2/5bYqCdm7S38W87L/Z2W3ex//1DrvkZ+Vmpbdvv+9e//lX/zd8P1MoYA7bvbwB07Xt/do/6tGNj&#10;HdpfhLlIzmZnHpJ17PSPEJ9ZK8sZn7zGOPvXwm3oKXj8fV3PZr/XH0bb5zRcsJo+EOb247CQWy+Y&#10;NxfX4EDtk0x87sc+yfAF3ARvxHPPPidPPPYYZpSwf+qwdl/bENWb2Ttj32uvSVlZOWr+GsUP7GYN&#10;pPq1kYvcg14VzMedQX/sqai/6If3iNwRIQ216CvSiJmMPvrzMJcLvZVYR8O+TsRiekHYv4lr9kNl&#10;T2z2yqMvMBRW02PCPCbryKl5cy5jM3h4aUk+/NRB1TnsmpdPLqP2BRhNHwh76tFPzbzh+bZWxU7y&#10;XhuDiVedH9v4Za9t3s3X2Jy0ORiQg/v3ab039W3W7Nvatv16rm0Nwt4X1/Y+7HXn537Ix1feQ+zP&#10;y3XA59XvtnTJYq01tWJikExBPdNzz9n1NcBqcGurR1SCcmzNZwOnyaN5nRGjdcFj+/oza3MsvmsM&#10;hAtWk9Ps2Y1rCNwnGnk1Xlesddi8eYs8iDkv7PX/9FOPybZt27T+gRycz/N3vj6PemXWLFu1y+Tb&#10;A+XowQO4jv2YQe5DrXodeneuk80b1gPHK9GTYobi/1tHDkpdTRnqMgokJyND8qGRFBWjz0hTmeYY&#10;Pb7TisucFUbfngcaiReea/qkOfPR296T5N/wGs/Tw838JPsCvvt+FXTzbNQolmptIjVmu+8p53XR&#10;V80a80UL5itP5PeysdPGqc76RHc4aWsGnV9Hjsp6b+I1Z+FSa2Evar7Gfi++Bzm5fT/gms/1Flbz&#10;fe3PYn+Xzp+F37PzcWlradFeBeTanInAtfLuQUPU98ce6axhT0rinBpiNjg0tBGdg6Ccm5zBaCDf&#10;FZ/M6/51LwsXrNaeauA32q+HPIccp53raI9j6ozQFK3jYc2J4u9X9hEhru/cuR3+23Xg3Ivg0b5b&#10;aymI17NnzoRnd4+8AM5FHWX/G/swj/wu8PJHJSsjBXy7EfXpfs1hMl9ZU1UtFfAeFORlY42eSnXF&#10;6IMHnu1HbhG9OzpmdoErU+cgd/43nAYPZ/2MzhqDbhIAny4ry4NeXijvv3teOTVrye25t+TXxG72&#10;pqb2Sl7NPiDESBtDiVOdMcrGrSvXV2KbjbPc3nnh+5cWFSofZX+lU8ffUX7KPF7nv7H3fyVe2tt/&#10;iDXf29ZC+H72MbG1Gft72fcVvubn77+HWfavqT429pZbLbxGDuQm+H7m4zfbetRSEacd0EksHbs9&#10;3sipidmGW5tj0MMYCBespucqAdqHXjd8TG6jWqI131w9tMBk+kX4WocexziJRF0M/52I52KiqD2y&#10;di1Rlr/0Eq5PaigDZd2aNaiVqf//7J33nx5V+f7nH7EkYAIEsNA7SJUWqQkREtKAJKQBIZUk23ez&#10;hWpBsIsUASmKoCggkIRQpFgAEaQqol9EPy8FEf1e7/vstRkelpBNnmefXfb8MK8z9cyZmTPXuc91&#10;t2LJokURB+nII44ofqG4dvAj6xUn+8EH7lf+GfHaynX40APrZLd9n9bvE18hbvm2HynXwW3FTTcp&#10;xvQd1xb3g9vitOGxH/qluGjx0f1hNf6Sjz+pvIyPymZl7c3FTT+4IXR+r7365+Jvr78eMrVtPuCp&#10;79S9kP+I07RQPE4lNlZubwojkTXBL2MZ51rOZj/brg/cYx1eZJFkeeKOYKfOtVxjXNzU/epxzO3n&#10;3u96JtmQkGvsf//7b9iWcPxF5URYuXxpcGi8X/oEfNr2Y8fKRnNizOOS7lF9LuSFLFfnsWqjvLy5&#10;72KkYPXmvo8POi/82MR5NzasDp0h/yb4Y1uBSRMnFmvvXxs5d9epZNkgXvv+e++L9fVr1ynOHr43&#10;D4SfJOUv7rlLHMktxW233CK94C3SUcJr3xZ89kMPf1d2HvJfFz+yXnrGRyMmtTBcsvWDj3xP+RPl&#10;V6mcL7+46+7i5ZdeLl6VPAvXYRs9x9Y78fjjA6tpJ7x1GWdrhYXgnXHO98OGhrEMX8nn//BcH6b7&#10;vErs9nW00bhfxtFatX1L6oVnIvcYYyJzF0pyxn1K8cqXLlkqe+32WIInaVO8VtmQoN9gzgfPzfzN&#10;c73guDX3Q1fZKf7ug/plPj5w7Btu7yxj9cC+sXX9/FszZ0wL/ho7ZZYD999fMUUUq1r4u056xg3i&#10;GTaAySof3PBAL0avDzsS9j+wXjaAyve4fn06/95f3C2/nHvFjcgGUJh9550/Ku75xR2KwaQYTw9K&#10;9yh++pfyo4Gjxqbv0SfuKH5yx43FzyWzkpuLBVnavomU4MeVl385sGOMbM46ZJtgzKvExS3Bpw+6&#10;BgxmAV9tF8I2+kjaBT9yyYXdwZfQXuMwbTNO+3q31+d80L0H67ifkfvRtj8892zxbdnunzFjRsT4&#10;SzFnRwu3d4jl1EkTxZGcG3kR8LMhB5n1jym+dvKTDK5EcniO3zqwf3S4YfDmtjdj9QD7gf6dbnHY&#10;PT3dvVzILOEgNl1jJUclTgTb3BtvkN5P9gOPCZOwxV4v++z7hMMbNqwPjAbP1wurwXRKcPuhhx4M&#10;3F67TnK45PG7lVvsZ3f8sLjtVtl3/PhWcdyKl/3I7bKrprxJvMe18qO8vXjm6aclU78YNnl/Us5b&#10;8NmxP4hb/UnFLbKsh7xtTKk1lhlrzY9wP3CN0sfAXzAaP5udlHcS7Iaz8XnGZ7fVOO3S++tdYp9e&#10;tvtzu+Hn8ddHzoYbYfH69mO3Dz/axobG4OewGyH2SCzi6Lp1Xav04OhBNvd/zucN8H8eIGdcz/eb&#10;sXpg3xadJPNS9JCd0vO3tnbIL2RCb26wjbE3sQE8e9aZxbe/+bXA47XirR9AzpZ8fe+99ybZWjbZ&#10;4DSy9cPKUQOOE0977f2K/ycMf+iBtVruL+6+887QG5IL4Ie3SL5+7G7h9jWR0/dBYT7xPv4ue4vX&#10;/9/r0iG+GrYXYDXLLMUkSnLdNsWFXZ19GAjWGS8HC+e4pzGWeyNnc29w2ev4vu+5x57F1d/9dhxz&#10;2ziHa43h3j+USuOz3623KYk/27R6VSzjZC+JnSjfhXEeG6SF888Wl40PAPZ9yXemQ3pJ9CTEaq0n&#10;RuR7DwwjavW+MlYP7DvwvtBDxnsTXkecCMU6XrVydbFs6TLZiZxe7PaZXeI/TDGBtikOPuigiLF6&#10;kWTx2yUHBy8SOC2eRCX89f3C53XSPWKfgV/Nhg3YbSNn65j8bfCLxM53nWwD71Rub8pnfvd08Zc/&#10;p1gfr0o2BZvBbew+sFMgtj7yNH4cN37/2sDmMj4bS2qFd2UM5l7G6f5wl2NesFnBH7JZOgFkUmz/&#10;eB63fajiNe33s/lZKd3uiEGiOCR8p6uUx2benNnxbZiTgdk7jdsp7IcWLlxYNDVjK4JdKdg9sD5a&#10;K6zI9db3O2SsHtj7ty9x8k3DJksyj/REnfjZtLdou02ydrvs+85/Vx5A5r1gJuWMaacXN1x/nbBZ&#10;3LUw+kHlMgkuZO39xcOSuzdsAMMVi2Qd+cXgsO8RB/LDYp3K1/78StjfRX6XV18u/vjyi8UrL70i&#10;mfovxV9fA6f/FFhw/rnnBE6jS+zSfNq47LJW+Fyu1/hsDDZuGcd8bpk7AOvMmcT5kr3vlj8o/oPH&#10;jR8f9iyu19fXu/TzuL20x/s8X2BfzCU0n6D93g//c5lsPnfdZTfxI9uEvE0cktGjtpE+ZGrM3fAJ&#10;yDg5sP/0w/i+MlbXrg+gf8Tv5jzh5qRTJip32KHxLybcHhu22WfPnlVc/qUvKg7UT8WRwImgi0zL&#10;A+JBHg4Z+0FxHtiI3BpzafhpsNq2HvC7rxCjWnpFfL2Za6f59bbhywMe1BLPLOeCT8Yo9nnxvdnm&#10;uEufWzl+eL8xj22WF194PriR9pam4tKLeuRjdE/YvPi4r6N+cJHtynv5XOrmmNs22KXb5Tbw7ZhL&#10;ED8cPyK+Hwv5x4456uhi3tzZyvUrXlu8G3Yj2JwiN3RKL4nvDdwcmI7uO3SRksfxJUBnSZmO166v&#10;fxixcag9U8bq2vXf7k79O5K1kbd5z02Ky7pCdrhHH0ne8KRjgqNAnkLmPuaoI4vvyGcEvSM5e9dj&#10;j/2QbETWrpNeUtyH4lH/WD405KaCAzFeU/Kvg9fnLJgfOjrGgwsU98R4V2ss8jy/fL8ydhqTKC0X&#10;l/chS7Pta5A7y8ep17Io6/AIq+TLv89e+0R8V/x+yvf2teV2cdzn+Lj31aMst81jC+146623Iq7h&#10;fvvsF/MwcijTT8Yqd9E+e+5ZXLBiRdHYRJ4a5nAN4rgbpe8Gw7WtPkZfa2sjBjD23MSTwncy+98M&#10;NewdaHsyVtcOq+FGujvhtxM/QjySLm2TU3uJ7HAPP+Rgxd3cNv7HhNmj45+E877hesVzUg4EMJp4&#10;I+QbC/2j1rHBRgbDp4T8vtjqYQdyw3XXRCw46ppw0ol9uFcpt9YCl4x9xlPfk23488hDrPEF2djH&#10;3I7+5F+OUSfXG7/Z53NZB9+oGxsS9JGMTWU7F87lHO5HXeX7csxci9tRj5LnK2O2n5H28SyMR8l+&#10;JMXW3mb0mOBHTjt1knxpG4oe2WdjlwQnR6yoNYHPSb4OX/ZevAazB4oN+fyh9c4yVtfwe+j/6MJX&#10;UvJO6CCFKcg4nR0tKvVviesm7si55ywoJk08SXFHDgmOhNhAY8fs0MuRzC4uV9wRZOoHxIfAkTz8&#10;sGL9iee+5667wj4EO+XxxxwdOI2d9ykTJhS/f+Z3gU3GzsHAIWMi93r+uWeDJ6ctcObIhtjkYeMN&#10;70zMEHho5gRuG3gKRhmvvO19xlu2WdjmXErkajgRbF3g56+56jvRBtfta1x3edvnDGbp+/sZ2Hbb&#10;PL74HOwBf/LjH8k3cln0CeZM26l/ECsSbu3MmTOLhtUNkqPV36SLDX8tvV/+bRbbbGfsreG/znuu&#10;8ZKxunbvuEu4QYxjcJocUD3d5MbW/yQ5KHzVxDteKNsQ9JMsbdJJXrBiueL/Hykf5U+EjA1niZwM&#10;3p1w/PGyAfxm6CTRSz644cFi5YplEQsQDOQ889TYeN9150/fJUvWCovAG2MOOIN9N9wEvM4O2++o&#10;GLENwtA1wTG3NjWI6zkqsBvMYWxBHuaacvuor4xflonZ53v5ePk6r98hbGPsw0cSW0f2+3zqqpRl&#10;fd1glX6e8v14rhQv5d28Puf4fJ4Be/tdPrNrfG++OWM7uZ0/f+zRxYIFC4o22f4l2QAORLZKyAda&#10;ao0luf7aYQnvNmN17d5vu3jqri7ecZqTgsf8My0t8IfgeNIPda1RHOT4n7ABTLZaC8Q7H3TA/sKy&#10;jRwJ/yX2XdhMXyrbgSMOO0w5x3YKDoX/leMs4J8xHj3VzfKlLGNCLdbBPnAEm46TTzwh7n/mzBnF&#10;RczR9WyXXNgTerOLe7pC7iWH+oH7H9DXZnCdOCVPP/VktNVYWsbsSswqYzb3Bs/KmMb54PQpE04u&#10;zpk/L9Y5z9wH67V4F5tT5+bcm1w2nBfv4J2E1zzff99RPJJ3/q332Brvme/NdyfXEXwJc7TGhpWS&#10;sZNMwD+OzJCxtHb/+mC824zVQ+j7IQP1/lfo+NENNSlvAXYk+CUffNCBwZGA1/CW8CTIpuOPPaZY&#10;vny59ExtkYt72tSpxWcPPEDnbhvn8y/vvuvuBfnJvvbVr8i/+9GIO/Q2OQffwe4ZXvit0GmBM8YH&#10;MMKYyf7yehmPOJ8FHMGXhdjY2EUvX7I48sdwX/bDK4PdLMjZnIPPOxhNnhnyOjJ/OHXSpJDBH5Ef&#10;J3GwqTvuX+Ku3Ub2004W47Tb5nM49ugjDxfkDsCGhPuTs4s8C24353Cdt1mnvsDG3vv7HNdf75K2&#10;wmkTz5C5C98YzGacxtfmZOks5s+bF3F+iTUSOWwkNxCzDH6bpVN4zpyPfte3Dxmc4+zLy5B5Bxmr&#10;h05/tC6oTwYK/hG9keIhd/WI3+6MeNtHHHaodJLbFAcoNutCyd+dnd2SoSSnixdPeUmIBdShf3R1&#10;+MOAf5az+YfBd3iIu+68I3J38c+XcacSk318U1jFMfhUxgXsVMr1EQ8VP3fmAeA3ORsvu/jCPm4Z&#10;3IZnZh/yNm0bI07HfA6YDjdAnW6LcRk53vuch8z3Zj9Lud08Gxw+mL33nnsXDcq/aX1kf3pMZHDX&#10;U7YD9z3qXfIerJ9k/WHFM2BeY8wmjw1+NvQZYrV391ws7FEuO/Fy8CPkrSPnGPM59CdhDyisbtbY&#10;mnF66GAD3yJj9RD6Hsg5yDQh4yifiPjsiBGh/wj9fuJS+Mc0p21p1r+V5PDQ/es/I09U2N1KdkJW&#10;im3JU82y71qkeMqzzjpTOXEPF7eZcBDZHEycM+us8A1E1iR/lbHJ2Gi8ej9cgmsmdwE4TX4YX288&#10;ZRuM/O1vfh1yPX460yX7k5cBuRpeBLyGK0kciZ5PWEEsPnKEIS/CexMrELtqfDvBZepncf1gMuuV&#10;7WQfx9wej0W0+z7FrqVO9JHwNL+U3tbP7dJ1uqysf6hs0z6ekXENm07eJxyYcZtxmtjq06dNk4/t&#10;0sBr/v810nOTJzLZZ7ONDnwI/Rf8D3nJWD2E+gBYDO8RtldqFzJyq2TQ4LMlW/YIz4jrE3p9ndsd&#10;MpHsaIV37MMGAKzvln8E+N3a0ii8b9J1+vc6k9zUIexuaW6T/QA5zIjdmebM+MqBtQcdeGD4m9he&#10;GRyqxLhKbMIHnLrIe/atr1/ZxwdzHYvlPq4z3mFniC0418F/gNFwE/iCIHcTe4994Cc4vko6V3Kv&#10;e36A3vBm8fDkoSnLzZVt62+bNvkal+zDZpsY29QNhnNttF/jDOs+t78667GPMYf2cW+/1/7aQexZ&#10;dM1w2bxvbPtZjjj0kGLReYuki9TcTfZKjP3oUJAR6GsZH4fWGJHl6qHzPcBZ8yCWr8FtOMWE4cle&#10;BHvakLmFu9j8wW23SM7m3wqeWzJ2YDb2a3DCwnX8ccIOV+twJfi7rbxgpXImnCV+eVzxiW3IOTkq&#10;+BH+afLdgIX4RPr/t07O2y6RpeFV4BLgmpHniJvNcWOJZVlf4/1/f+ONsAPBpo/Y363K7fDFSy4K&#10;rKYesNsyN3w3NiOMJ2AOY8tuu+xWfP2Ky/uwalOYxb19nPHDbWEf7QGLKYm/gl0hPLoxm/mGzx9K&#10;ZeV79TZ8TYyRek6eiXnItd/7boynyNcJs/Fp37bYa4/dlet3RWA28VmT32PWRQ61sSpj9dDB6piP&#10;Co/sD0zp74NPWmxrX+iEVGJPGz7HUSY5KDA+ZG/hM3UFL4m8De+tZ5W8zcI8l3GhVTJUq/B+qXjk&#10;s+fMLo6TnhJZG+xFhkVPCBdBPOakj/s//ftJzjRmwUdzPnpLfCfJQYOMDCf81S9/UfkQHuvDOcum&#10;Ll0HfpfYW8NFzBZXQx7aZOuX7EiM19QLZsNrcw4cCVw47SRW1RVf+VLxm189EfhkXOYevh+4xeL7&#10;ep1zjdUcA/OIlfWNK7/aG2O7J8YufG84Xq67v23XX3neps71NVtS+j5+Ho9FPBPHWN6RHpm64Xng&#10;fRiPwW3wGn31UZ87oph6+uToC+RoNycSZfQ3ZG64uNSP6FshQ2jfUMO1D2N7jAXxT+sbeLztr7/4&#10;2IfxPYzUZ+rplh2AcJt/kLhu7W3KW9bYXJymHLr4VH5CeO25M/81MYYu/9JlfXIz/QTZ2Hli8X15&#10;6cUXAhuQw/FTJJ6cuZVyrlzjp3V23gZvsLXDhphchvASYDX6R0rk7rSdbEnAb+wYLWszboDh2Eck&#10;jNpo/017wWFjGtuc4zmD28B+1lk4F3uUW2+6Mfhf5H3GJI6VdZ6uk5I6qYN1y7ps13vxu3b7eM8z&#10;p0+LsTb936OF22OKneW3tFi+tU1NxP5NuRDIT3OheKk0/0syRehMJAdwbKT+Q4P13Bmrh45cPVjf&#10;vHwfvn/wLlHCoSQ/inbJt/AqZ86cJhz+VOS/AQPB6+2327EgVgVxVo294DX21NhJg9twFeYNwAXi&#10;TmG7B6eNLweYBYZxrIxlxhBjJnrEE447LmxIkLdtp5147M7gtNFPYtOBrhJZnnvQVhZ8YW75wQ19&#10;2On6uT/rvg8leE0Jvnq/20nJPuJg4c+Dzu66q68Kvrzcfq8br5FvvU4dvq/X61H62dxW3gO2O7t8&#10;eqN/zfbKYTNGNvvkeIbTRs/RBo/WjUyNzgQfr5R3g7Hefajct/J6dbElY3V13+dw65/MYQOvZQuA&#10;3VYssZ7+RfgSZG44kvlzzw5f9lEfT3Zgxu5pp0+JfFzIsfh5oxeEtwa3xx9zTOgK4TeQRZG54VPI&#10;/4ItHnjHfnCDBdzwYiwBW+BR4FpWLF0SMjNtWa71BeKUp2gOQD3kcqROrn9SNifYUy+R/Qs+N8j1&#10;XIMe9Feqizqpn9L3Aze9D3wFu32M84y5lHAhN2sMQP/J+HDVt78Z9nKWz6mLa4zFrofS+wa7dNv8&#10;HH6mt9/mOdPz/ebXvyq+fNklsvs7MeYp4DWc2CGfPag4U1zY+cr/HHMweLfgQtB903cyD1Lrfz9j&#10;9cjG6sRnJ1kpbLUUWyphNna3KWZbsr1t0j8qfxbxEPhVnDFzenAkwTv0cp780/AW8BPIn+QdhC+B&#10;xwC3ORfbPngRYxZ4h30Hdh733PWzwDHP040tPtd2esjy4D16R/hkZPofKB449zGfDOaygEvwFN+/&#10;5nthC0EbGGMWn3fuuzCTe3A++Ml9uY5139u46u3y+Rwjjta5CxeETctPlJe+jNPI1n4W11OP0m3n&#10;3rTPz+v9PLNxnHPW3neP5g+HRTwAeDD0F8SEZJ51zjnnSNZGD5niJoQeBOzOS83eQcbqkd2/sN/u&#10;0zuGnJS46+BCxIfAQ7aC2Zrnprluel/onsiFs1C+2zvviJ+7YpbIbhsdFXi47z77hu0f8f9eUExt&#10;4sXtsfsefTZ3zcr5gq0I+AtXAqbDK2DHB8aDFWCIZb8y1hmDOYfridPEWPDUk799D7Yac7meusDU&#10;/ffdL9qI7zlyvs8pY5f3uR0+Zgz28TLmcS56VXx+FkueZ9ww7hsPOadeS2UbvO1nePPNN/vGmLe0&#10;zjPy3OQhwi7G422aT20bON6GfgNOmxhlGadr+g4yVo9srMb2LzgQ6fSTnQhyNTYlzGnTvLbP/kTn&#10;JDk8+ewknWTyV16xbJn8meeKWx4fmI29NpgNv3365NPCJ/Gn0mORiwwbBHCSf57Yrd0aB+69566I&#10;7YovOLpDeIUvXXpxYCtys/HteeE4fnnY03Gcc7FFA7M5x/hDWV739T4Hfxy4EWL/4aPDfjCLa4zD&#10;vsb1GKe93+d7m9L3xYYELgg9JM/7i7t/Htw+c4LKenxduZ7+zikf39J11+tn8r297bJcP/t4v/Bb&#10;zGPgnPi2fGPzIzNnTFMcsQtkF0IfQUctu1H1H/oLskDqYxv7TbkfcSz6Umu2E9zUeJexemRj9ab6&#10;xuYeA++x3UZGJ1dwx5pu2W3PLnaQfop/2fndmUPvNG7nYrVkbDgSZFowmZh8tjVZKtuD5559NjAP&#10;fxn4FHzOsQd8Xjht+Ra7D/hocMT4Y9wpl6yDvT7H14Ohjz/2aGDON792RR/WlzFqa9dpG/wHcV/x&#10;v4ejYSFvjzGb48bHkGO17fvSVvb5uPcPhfLXTzxeoKcwp4S90NiIHzYqdAhrFKMdXgRbbXxsw49W&#10;cRDaW/HBTXM38rM3an4F1808LuJQZtn8fWXzjNUZqzcXk9/vPHMj9CXOaZcsxdIqneRKxdtA3ia+&#10;9k477NjLeY6WTfSnZB9NHL6uyJEAx4uczP+PPouSbfYTi5vcCvZhxPcFuZW43XAr1197dZ8sDK55&#10;sXzMtrEanMO+GP+dtffdG+1BVuQcsJHzWK8WHtIGtwM+hAU7dcYK/DPRiT7+6C9jv+9dbivXlrer&#10;1a6tqYf3Q7t4FsfEwkYH3ObbEc/3kzt9MvmyL1kk/1k4NMeVBMORvZmPSS8pLAezk21J1k++3z/G&#10;/ozVGas31T825xjzXfpR4r4V31W+7x3kU5DeqbVF82D9p2B3S0urYk3NC3kb/wv7tcOFsGDTAY4i&#10;c2N/l2RydFmfCfkaPho5FDsO7KdP+8IkcSq3BIbDqWDfV8Yg4uiBc2Wsw3cevxlkanxowBfuWQtM&#10;LN+XcQCMK48DrGP3yHPzPMRdov3s9/neLj/XUFjnfflZeE62X3rxxfB9InbLGMWZYYmYANJL4k9F&#10;PqQ1kq3h1hjfwWpkb2KVIVf3xSzrHfM3p++NpHMyVmes3tr+DgeC/pH/Lv65NuQobP2aNa8l/ohs&#10;SGLeC55361/tUq7XOcXHPvJxYeXowGwwk2WccBTbbOJYP/HYYyF7gq0+Tlw8x0nFhgQ7POwDsSPB&#10;BgU53PKrMQ3c8zp8B3Z2yOboyrBL8TGuK+Or929NSX2VdYJxvhcl9f/sp3dE7mTytaOfZJ+xcGvu&#10;X4traZefqdxG6wyw+yNXTXyzUm72vXbfTbnZp+n7w0/LXhtdCRitkn6ztf3ww359xuqM1Vvbx0NP&#10;1CsL2S8+5GzJ0nCTrPMvhg2u8Lxb816uaZctSaNyc8OR4HOBPwtyGPrInTWHBoPNE+DPgq4OvRYy&#10;OHH64EDIfeN5OD4x+E1jg/HQhgcC7yz/2a4b/3TOxyYFveQ///nPwB1jTn/YuqV4Vx4jqJe2uD3c&#10;z/d0/Ww/87unw34GH038MbFjJD6VzxkKpXGattBmnsnrLt9++98aax8NW+054kfQ4W67zdjQS+yl&#10;3JhTJp9aLFuyVGN8mneh18422pvGoozVm34/W4tj+frNf7/tivdGXoX99t478BrMTrlgU2wSYsU9&#10;/tgjxR+efUa2ffNCbsNGEH+7To0BL7/0cvHmv94MWwWwnnghYDr4zjiAPQbxpZD38HsfCrjXXxvg&#10;edhPW5ule+NZiJPic8HG8jhgrDSGujSOIu/6HNcx2CW2m8yBGIuJufXxXnkbO88pshNqFz8CR9bZ&#10;oTlZe4qnTZxJ7Pn5h7o0tocNt75z5LsT7zbS/q2M1ZuPJSOtb9TneTuKhsaWYv78+eI7x4a9dvzb&#10;wteE3Z8IX/Xnnv198NbEcIJ3th0Jca+JDYg/DbnTiZlHafxCX4mMh597vfGrP7wEX42xHAe3eR5j&#10;NjYkzifMebYjYZ3zeSZf72fu7z6DvY+24JMEZhMvHZ8axky+MTzYQfvvF+M0863EicjOT3Mx4hyE&#10;vA1fAmZrTgZmp3VsS0fO/5uxeuR866Herzvl4965Bvs/4rcp5oT+wwZh8QLh9qSJE4p9JW/Df4DZ&#10;cM2nTjpFeV1WhO0ePt5wGuSt4hxik8B3YO+Bnw3r7CNvAedadh1szNrc+4G3xl9KsA6MvvtndwYX&#10;hJx99Xe/XRCbmjp9juv39fDhyOD1wm3uWzkm0jY4bWIwohMmHi7fDF3zp2QfhJyNLzv2IvZnt11f&#10;ig9pn4CR9e9mrB5Z33so43WX9E3tsgno0bw35bXBpkT5YrQgXzVrjrxcesf99t4rYkkhl43VHJoS&#10;ruRExWzCXwPOF3tm9jPnBtfJYzZj2tSw+QDP6oVdxtL3K8FVsMzHjXXGXsYYFvYTIw/bc/JUlm1g&#10;OA5GlzGyXKfrHozSulPuz7Oxzfp//pNipbD+D8UwRJ/M94IboYTb+uROOxcrli2RbjrlpCN2L7Eg&#10;0UuGD9cI00dmrM5YPVTwO+kf0TtKFxl6SdnbSueErI19V7LzQhclnmT16uBCThOHvd/e+0guS7gN&#10;LmPLjZ6R2H7EcAIPythsPCzvGwzc2tx7bKpdHON5qIuShbGJ+CjI2nBC2DFir8hzbu49B/M8Px95&#10;2sFsxhT2vfD88+HXir0mYytyNnw2PMlEyd/nnXtesXp1g/qHxvKwyR5Z9tgZqzNWDxWsbmltDFs/&#10;5ruhV9L/GL7KkqMCx8VTEiso+cVL7yQM51zkrfPPP783Jyzxl5McjXxmedr5Doxz4JgxYzBxanPu&#10;5TaCYZZLjbseZ8ocTuVzEI+QZ2e84n7oFn395ty/2ufwDJVtdHwuy/5xXLH+3nzzn2pzGoPIQ/cx&#10;PQdzpqSzwL5TOd8mnhh9IPxnNK4Plf5b63ZkrB4537rWfake9aOLog+TlxIMv0Dcx7FHHSGsIh9Z&#10;mk/zr4PZhx1yaPAGxrt3euVtsBEZD4wydvicMsb5WLWxrNr18TzEUEHPih8RedH+8tqf+/CS4zyL&#10;x4Tyczt3gttUeY5tqH28FiVt83vHvhKbevxrgiMJfmS7wO758+bJTkT+Vhqr6QMdsg0htgzjN3Mv&#10;uG58sMhZ16FtfLXS2J/6TNJRDh/ZPGN1xup6YGy17glWO04gWB2ciWTv5qZm2ZLMk55qcugksTWw&#10;7Tbx/LCr+OHNNynf16/6cMsYZhmQsozP3l8LfKpmnTwHC+0lNjh+Ntimo19F/4rPJvcrP1/52Xhm&#10;b1OW8bq8Xs02l+syTvs5aA9xdIn/Asez5+57Bp/NWLzPnnuGz+ci2Xri9wgWdymuL/F7E2cmrltY&#10;TTwpsI7+kng1sLsXs8H5YbBkrB4e32k49KW6tDF8KMDr5PfGvJm5Mf06cnLLlgDf5vPPX6x/GhsR&#10;ZO3RvTGZk9w9dcqU8J0xLlnvZTyzjF3Gk6G+XpZ/wTov5Gondge5F+wvZGz0Mxmn2Tbm+1itS3M7&#10;5TbAl9B+2kKJbxA5JfBxhe8yP0KssAn6xg0NcNq9vjXqC9gVOeZf9NFemz/6zIU9+NEODwzIWD08&#10;vtNw6U+D2c70P26Uk/j3OuXb3iHfdkrkJua9Sdbu0Vy4Q7nbVxXHHn2k9FUp94HtDphfY1OB3zp4&#10;YFsLy3a1xqhq11+Jv+X6eT5sSPDxxF6GnD3sAx/Bxf6e2eNYuZ5arvP+WWiX70Pb4Kp4No4R64+Y&#10;unw75kyU4PauimV47kLlQiD+iPoEsQ66OlPskS7FI0EvSTypyOtLbISM1cPmHQyXb5XbuXFcBacT&#10;NjOPTXPZmN+GPGWfdp0fMhTcCNhNjDfmx4oB2NJSzD17tnwbpxWfPfAA6ayS3Tb//KEHHxIYRlyl&#10;p377m9DvBX4PUbsKY1m5tFzq0vhL6X3keMDWjziDxJ5FVsWXn9hZnFfGe19fvkct1nnP/d2rcqxI&#10;7QPL/128Ji4eW3NikJC7Gft7cHufvfaKvOxLFpPjt1HfHdu/5EfTTX6j3r4yXP6rLFdv/P+HyzfL&#10;7dzIO4LB8T4ohcPY33ZYn8S29gemRy7JJGsjc7e2yo9ZeqjOiPvWVSxevKSYNGmS5LKUp8q+kvzz&#10;yG74oNQCm2pRJzhGvcieLsE6byece7c9H8fhFsjbQE41sNsxtmvRxk3V6fYbt2kb6yyVOuB3Pct/&#10;NTcQdl928YXhx2pZm2+IjnXu7Jlhv2++2tz1cPmfMlZnrB4ufbUW7SSnJHnKwHRiSSFvL150bjFl&#10;ymTpsPaQjCZ/Os2r8auDHz1n/tzIr/vM00/3zc+TzJd8O8r4Ysyh5JxN4VP5GOd7wS8RWZecDOgH&#10;b73pxr5YTq6/fO2WrtNutxGMtj4SGxL88tFHpudMbSuf77Zyb9dR3relbdrS67g3+eGIa07cF+Iv&#10;8g1ZkLmJP7tYOS1a9K0TbvfqOLAhEWfCWM9i3SRjuuWBdLw+mJGxuj7vvRa4k+vckm+JrC37bZbe&#10;/xTMJsYy9mDkpMJvHR0WeA2/PXbMDuK7ty9OPP744A9SnGz0cCkPehljkGUr8euDMNbn44OJrWGa&#10;z+Pvk+J845tdvkc11sFe18P94T887mCDMXP6tLBfh2uAO3EbucbyOuveX97nege7LD8TeYV4jywx&#10;Z/roqGLncTsqfsG8og39M7kQsO3TdyeOb2tLw0Z8FlcSNv3qH8Gjabse/1rG6vq893p863zP935r&#10;/NeRn/CTTHkBE5eNvB05gbWf+H8rL1gZedD7dJL6523zi47umqu+K1nubwmve/VfYDj4BDYbwzYH&#10;r7BxRrY9ZcKEiLFHvuBJEydGHBPibROvbnPq2dxzjKu00eMIejzz1cZt/CHnzp4VMTzgudnP+Zzr&#10;e3kf2wN5Zl9fi9JzAHIuX6Q8RI71xdi3w/bjinFalixZVrS09srV8pHt6Uq2fmB0yqGhOFKyV0/j&#10;+Xv70WD8Wxmr6/PeB+Pb5nt88Lel//sfgAdhjoveiX8yHUscd4od1Kr/uaVYunRJ5Kc6YL/9ilEf&#10;S/FakdfIieA8kOTbNe4Zsyi9bAqTyFlGDkpyM44/5pgYI2647prijtt+GLFdyVdZxsRN1TWQY26b&#10;29vftTzT73/3dNg6E1scm21iFpJvx9fTtv6uHcx9tNPPYfna3wOb8299/cqIDwNew2sTf+Rzhx+m&#10;PKGzZJvfFPwINtnkZ2fORb9wf6jXf+V+ah265wn9vVcfq1db830/GHvyOxrYO4q5bSVeax6MTwW5&#10;WvF1j5w3nBNzYLht5sSy35Y9yepVq8PW4KMf+Zjm16Pinyc+K/PsY48+OuJ0gGPl/8nYUd7ndfAE&#10;uwz+teUaEx5XLkaOwXuYD/nNr54I2xRfs7Wl7fTAtnLbvI6PuGVv34t9HGfuAC+CvTZ8OnyJzzFW&#10;enuwSrebd2l8dlt87K23UgwpePhVK5ZFjkjs7j/2kVHSQ366WLDwXGEztiLJ5jPF+yMv3cD6VzX/&#10;x4zV9Xv31fyOua4t+45h79cnMyFjy48m7ENSTkDwuU3YvGYNvsxJtiIWIP424DnnkwN4dUNTMXvW&#10;mcp78JmNnKjwFswlLxc6QfRdLB+EWcRx5brHfvlI+IqzjR0DCzkZjTsfVM9AjhvTwDLqZ/E+18M2&#10;GF3eb5wnLjVjy/777hc2JGVexNcPVll+P+XncVvZxzP8V2PgfwLP/1f84Prr4p3z3pG1sQc6Y/oU&#10;fWe4D+yzyTlGLG1i/W1ZX9va6zJW1+e9b+13y9cPne+W4k+oPcL0VsVtXbYEjuR0xR85JGLE8e87&#10;TwLy9llnzCi+ccVXlEvsIWFi0umBL/hLUhLbGS6FnAhce+D+B4Tt82t/fjVwPnBGGDNY2DeQ+5AT&#10;DftGbP6wXcEWA58V/ChpN8/nhXpZZ7/lXfMn3k85kPtv6bncB5/OH978g8glFHgtm5HPar4wW7kR&#10;ImcN9kLEGgGrGb+ly2Dd/Eit/8mM1UPnn6/1t8711+Zb9/2rwXfDbSpvu+Sxdv3HxJSaPnWK7EdG&#10;BV7bTwMswKYEvSQxlv7+9zeEV29H/kfjFiVzdWO4MbpStt1SfBqM6/ADnXb6lODcy/l5fG+wnXWe&#10;FZ4F2df43B/34uuqWTI++J27LeSj2H4ssdFHS/+4Q3H0544oGpvQM/cIr6W30DgEH9LU2BBc2WD8&#10;Wxmra/P/Dsa3y/cYGt/OesgUh0Rct/gRbLaTnxxzZtmWyMZg+bLlscydM6c4VjG2x0ifBRbAQ8Nv&#10;nD17dujqyDuGHApmgSHGaHDE65TVxKutrcvtchut++QZWIixTeyl1qaGkLl/dOvNxV//8lo8g2Xp&#10;chvK9Rm7y8drsU47WHy/XyuuF7G0tx87LvSPeytO1Izp08WF2P9ReZ41f2hTnL8+n6wa8iMZq4fG&#10;/55xd/h+B3LYJP46cdgpJyD/L3rItPT0dAUPDhcOz92hmNzkcJ865VTh9KeK0b08iX3tdpOv9Nev&#10;uDxkanDLct9QlqnBOLfTmO2SZ7B+Es6eGNuHH3po5KIv6yPL57PO81LWcnG7uEd/MWHJ7UlsP7hs&#10;lokTTopcvtiH2KYPTqTW/3DG6tq/41p/w1x/fb8hcnWz5sJd6CjFg8R/qxK/CeJ0sj/9071xOMPH&#10;HX0Vubvbwp7krDNmxpwbGxLyD9qWZBfZ7XVKTodLNV5Z5qT0vnqX5ba4fWXcLuO492PvjP0h+Mcz&#10;8gyeT1jWhiMp112L5zRWcx/aZrma0j7txLoiny/LttI7Ll2yNHTObYpVELaeNZSn/X9nrK7vf+7v&#10;kMvh+x34h8BrcyEpnrbstMN3HfmanL/YfoHj+MbpWVXCc0csIZXgO7i+SjaAZ8+ZXZxw3Hj5Ryre&#10;p/Rb6CPxu8F3EHtm4uJZV0cOFfSTlXhmvATbjI0+x2UtcO/96qy8p7eDdxBPjU87z4Y+8srLv1w8&#10;9eRvo920nXN9fmX95WNg6/udV3ldf9u+lpK6/F5Zpx3YzJ+vONnoHLDHPmfhgrC/Tlidvivf1P8y&#10;/cLr1SgzVlf3fVbjm+Q6Ru43iRgU+sex3W5qailOV1wSYzbyJ/K2YzZfLF7F8qfxGBnRmGM8gkfw&#10;cfYZiyjrZVtHO8HA8v3xXad9v3z4obDFmHLaqQV+QTyjMZvjrCcsfa+NCOdWPr/fw5aU3IfrXPIu&#10;z5k/P2IMjFUeSPxmLr7owhhnk74i9d3QN2uMrua/nLF65OJCNftRrqs6/QjZGhmb+H9h093eKfvt&#10;zvCn23GHceILRmlJOW6wJcFfmhzgr7z8UmCU+VbbEhtnylhtzKomprnOgZb9YS44Dub+5Me3FXso&#10;ftYhnz24WL/2/sBMYzvHzWVTB9vG/4G2YVPnu87y/fBPYtxkznPyiccVTc2ys5c87fkVJfZ8zLOq&#10;+V9krK7OP1bNb5LrGrnfpMyVYLeNPW/Y9Oq/xyenUbz4/HlzI44SNmXEkQI3dhq3c9jFYf93509u&#10;D59vMAisMRZZNgXbjN2WF33OYJWV4wTb3lcuwUh82snTvkb2F/Da+Nrbp93P4Wuq3X7q5x25ft4n&#10;67erDbxzxs0vnHKyuCzwOcXfDR7EXFcVeZCM1SMXF/KYMPS+feQGFC4n7hucJh9Z8o/EfoQ8sLYB&#10;RC+Jn8YB+xKDDxuF0WluPmb74Li7hB3EpDZ+gXtl3DHO+fhgluAdbUE29nhB+9yGMm/Dfh/jOuxj&#10;sJeB1/YzUHpccn2uqxqlMZq6aAPLCs1nkt3OqGLVylWaC6GTQDeR8hGBrdX8xzJWV/d9VvPb5LpG&#10;3rcJuVr/eNho4+sum5E18J6SKck7RQkW+Dz8ny/s6YnYezvvuFPgNXI2GDJGcVtZx0b42d8/04dr&#10;xi7jn7frUdIGYyt4S3wRcNCYWG4T+43HxCHEp33PPfYMefuvf/1LXEMdrq987Zasv189+CzRFvx8&#10;eL8sc8+eEz4xHmNTWd3+m7G6uu8z42t+n1vTB7ALif9ceJzsC8DrFFubf5W4FCGvYUciuTktvHO4&#10;0c6iYXWDYjLPV2zt4yKequ21we1TJpysPOCrCmKbIm+DRZV4xLax0vhW3q483+dUu/R9yvfmHmyX&#10;F/zu4XyIG9Ws3PTETvnV44/1yeeWu8vt877KusvnVK77nqkN6b298cYbEfcQrOZ94yPTrdjXjKfY&#10;bvItt6YvVF6bsTpjS2WfyNvDv0/g594qW5JZZ51VHHHYoWFjht0fdiSWt9FJYnsBDv3rXylXeMKi&#10;jXbGxsxK7Boq22X9Im3Cb4VYKuSBePSRhwOzbV/CcXST5fGI9cpn5H1Yh9nfc5bP71Ccc7B6t113&#10;k38M46vyDGlMZbyt9n+UsXr4/5fV7hO5vuHdJ7oid0Ky6w45XLixetWKsNv+whdOKfbYbbfgt7Fj&#10;wFb4+M9/PmKS3HXnT4MrKfMSYBXY1R+m9Ydj9diHnEwbfW/WiXVKbFl0rcSRuv1Ht0aMQ455sXzt&#10;Z2R/ZV2us7JkjPB9sH/HJqexoUH2IMjU6j/Me6qM1xmrh/d/mXE1f7/KPgA+d5CPKubiid9mTr5G&#10;+7u7e8JXctGi84rPHrC/ZMLRIRdis418iNxN3hmwzhhmvRrYVIlZ9dw2326MZTyx3FzZLrgRMJUc&#10;O08/9WTw3r6Oc7mWbcqyvrOyHrbL92WbevGNaRC/1K6cMuQYam1uTFxVFfWLGavzv175r+ft4d0n&#10;kt1f0j+SEwFb3y5x3s3Kc8uxNaw3t2lpLRbI/u/wQw5WfhswW/7tsgNERvzYR0YX5At76cUX+jDb&#10;smR/+FXPfcZYZGKwlrZQluVm1v/vH/8IWfvII44o8COqzAGxuc/gen0PbMB5Z3PnzJI+Qe9bcnVP&#10;d6c4kMxXZywZ3liSv98gfD/sRyTTJVtf7P7EobLdawNs/WU63hFxpNBJTj7ttGK/ffYNGTvJi9sV&#10;hx58SOjt0En+7umnhpRsbWw2PlOC3SzGXm97H7Gj4HsuEp7i0375ly4rnpT/OBhcKTO7jsqyjNf4&#10;/vOu5sw+K/C5M3J/wVdnrM7/+iD861Wcu+XvNbS/F3GlwG7KtjZsuduL889bIIw+SJg9SrrIsUnW&#10;FkcyevSY4tRJk4p199+bMPEdeIMkx7799pvaB3e80ZakjKXGO2Omt+tdEnsEf/aTTjghciOYA7F9&#10;oOcTPIuP0WZzQ0ccdliMbQvFr2AHQoxUeKhq6xczBzK0/6OMc/n71LwPhB4scSUpd7veuWy6yet9&#10;/qJFsiM5RFid7IiJAch8H357jvxwyDOLLGo5ExxmGxwzR0CcKbANLplj/eF3vfGaduEPecaM6QW5&#10;EcifVh5TyutuK8/BdTvv9Ml4J8uXLdM8RrbxrcnuEhv5an67jNUZC6rZn3Jdw68/BR8S3EiKBZgw&#10;oZc3gd/WnL65qVl22/OUm2yqcortn+L/yYYE3CYvLvZ/d9z2o4K8vcbjMiZ7HczrD/eMf/Uq3T7G&#10;HHKokRcGfuSSC3uKn9/5k8iLYDmbc/0cxGFBJ8t7aJB9N3Yg6BbNMVXzf8hYPfz+rWp+/1xX/v4p&#10;XpTiaCtuFHjgpavXZ7JNNsTYoEVcbvEk5Ek4V3pH8lp9XHYjsQivwCxsACef+oWIcQpfAG6Dv8Zn&#10;SuNivXD5/e5LWz0/8DnkQfjiJRdF/KgvX3ZJ6Fr9LDzfT2//cXDVPDfxWrCvRpdLPIDsC5P/rYyv&#10;uQ9Utw+knO32kwSryUGW9JDtisMtmwbiXIDjwuxOZEfN9Tskb6+8YJVyAS8tpk09XblTdhdeb4wB&#10;CI+Lr8jV3/125PCyPDoUsdpysscVjym0FfzGz5N8A8jZPBMxSdBHNqy8IPz5yV/MGNah2C3I1eld&#10;sl29vprl6uq9y2p+l1xX/i6D1Qe6uxR/VZhi3aL1jGBPm+y08Z1GV5ZilAiHtM053V1gUovk8cbQ&#10;p7W0dojj7gh/a+yNx3wi2WzDbY+Rj/vEk08qbrrh+5EnwXLrUCjN2Vhepk1w7J4TsG3MZp3znvrt&#10;b2L+gP0H84kJJ58c9uvt7cqZ24vVMQ/JWF3V8Wqw/ol8n4y/H94+AEei+T+8iTB+5YrlxQnjjw5O&#10;xNyIY5MQO+PWH1xfvKMYSP3J2GAh/ALyLHhpGRecLHMUZWzlWH9LYG6vnpPja++7tzjtC5OK8cpN&#10;/OsnHu+LBdXfteX6WTdfzTrtQM5mHMJ/aJ5iNzHWkbc+cUjY7FW3v2e5urrvs9rfJ9eXv89w6AMJ&#10;n8SRiBuBrw2ZUnmBW4Rd5ynv1VTZVuwln5HtFK8VPRx5C+FIVi5fVnzvO98qnlC8pf/28g3gJnho&#10;HGe9vO3j/eEr+8BRn0/JPvSD+PZgS02cEPJbrrv/vr579FeXr+UYbWHb9bJv9lln9nE+F1ywMrA6&#10;8kRorIp3kLG66uPVcPgXchszZg/lPoAsnXRqyU5to20JcmaSNTuU42b1qkbZZ08MjNtu7A6hl0Pu&#10;Zpk0cWLYX+CrAhaag3jrrXfnIGM/eGws7w9nvY/zGAuIn2q5uFv8zfXXXh246/PerzTul3Gbc7/x&#10;tSviGeDnFy5YIHk69c/03L1jVcbqjNVV7gNDGQNy24bHGIVcjUyZfNpTnDlib7e2NEaOYPIEw4u3&#10;tDTrnLZi1erVxcknHR8+7diRwI9gS7Gt+F/k7euuvqoghzm46Lxk4Ob7YWrlftugEAMW+2dip3IO&#10;PjzLlyyOdbD+g/CeccEyNdfjp/63118vdt816VHxF2poaAreB5xm4T1kuXp49NuML/k7jbQ+AFYb&#10;q7AfQQ9pPiTJ2/hbw2XLjkQxMzo7pbOUTUmjbJKXCjtnyE/78EOTzw14bbtt5GHi5TmWFHhpLqIS&#10;n73NceKYEGMPGxTyF+CbSM6F1qaG4tU//bGPJ/E171datrccT90tjQ3Rvn322qsg10PEMuTZxP0k&#10;LqjXvhouqIpyFXVH3vveej0f6a/tPlbN++e6Mq7lPjD8+0DKeQBesSBXJuzqjhhGYAxctuJviMNm&#10;wZa7O/ywwfikl0Q32dTaXUyefFrwC+A1PAm4wzpxSS69qKcgJ4xl7f5w6oF1a4tdPrNr5EDnOL4t&#10;8NPEsTan4essu3u7XJbPRU7nGLlgkP9p17y5c4uurm49K35D4n7CvpoxSd9T41COiTr8+3XGpvwN&#10;cx/ovw+E3XZwKW3F4vMXSSc5uTjmqM+F/V9wJOJKyN1+9qxZxVXf+mbYcoCh5pOJRbJIOsQ//fGP&#10;xYMPrA9/SniQF57/Q/DflZzHxus26jKpL3gPxTr5t2xI2Ib76JbeNPE0xEQ5JWRcMLmzd3yq9TfN&#10;cnX/fabW7z3Xn9977gPv7QOOBdjd3SW5VPbd2JK0tBaNTS3FJOULH7cDcja5bbDZ3i5s5j7z6V2K&#10;K7/6FcnN/xRm/6+YOmVycfrkyRHbA7m5P54bPaP5DWR0Yza4bOznOmz+/vOfdwryDCPfY583/pij&#10;5PfSFfJzjC3yUQyeuop8R399I2P1e/tLf+8p78vvKfeB2vcBbJRTrsLWkFvxn2wXv0B+rHb5Sa6W&#10;Hm+GYpIQ+w9e2/iJnfOxRx+t2K0NxYb16wp4EMvHyMjmMCoxuSxnc6zMe7AOpj/91NPFTuN2jntx&#10;v+XLlhRN4sLh3ol1lfjq6nLT/fW1jNW173/9vfe8L7/33Afe2weS7kx+7cq7BU53wAULEzfaVWif&#10;5O1m6fSIazdj+tTgSMiRMHoU8f/GFuSVPHv2rOJrkrWJJeWcksFrCI9dgs3lpSxTs/8Pzz1brJBu&#10;c8cdUn74zx1+mO65vNfWA9tEeOrET29s33ufqVrfOWN17d5ttb5Rrid/o5HSB8BoZGtiH4FNtn9j&#10;X1f4tadYgBGfRNutioXXKZ1lw+pGxSSZXHxiG+XTEqeN77d1k+OEtcRdMha7LMvRrJsTQQYnpwIx&#10;PuA8kKWPFE6jG8WWBb4jxbmSvYf0oylfQ69OsYY8SMbqjAMjBQfycw79vo6tH3bYyaYCrJYdXLtk&#10;bHEgaWEfNhfEKBE+thEDkPgkxC7pLJpbOorZs2ZHDjLntQFrwW1sQxpXrSz++MorgdvmRcyV2Ffm&#10;1ptu7OM74FaI2d3Y2NLLd8DRbPTNxL7lwp7upGesIU7TdzNWD/3+mzEmf6PcBwbQB8J2rqNYtnRZ&#10;ccbMmcUJxx8ffDN4Hdgre7vpigv45UsvViyp64obv3+tbAG7i8XnnVMcN3584Dr2HgcdcIDs8uaE&#10;/w44yUJ+rnp9i4zVA+gDNR4369UH8n1zH/gw9YEucrMgb4tPJh5Jh2RyyhnTZwQ3gv0I3AZ4/FHF&#10;JaEEwz/6kVEhT48T3z1l8hTJ6O2hQ0zxBeXfIx4m5P064UDG6vyffpj+0/wsuT+Hb42wulNY3S0f&#10;SXxsiN3a3LKm6Om5NDiS3XfdTbicfNvhSIgpxfakiRMiJndHh3gNydDYeWCXR37y7q4u8ePoFOvz&#10;jjNW1+e91+t75/vm7/1h7wPh6y0exHGkIz8C/AW43eu3QkySRtn3rVq5slihWH/NssFD/g6bwdAf&#10;Jl94MD74ceE+nHg9313G6vzv1rP/5Xvn/lftPoBdRk93d+Q/wE6jR/Jw+HxLB9n+/9k773dbimpd&#10;939yzj3queo1PCbAA6IcBAMYEAQBQUkSRUFJogRBYG+SIGIGAQOgGFAEFBAlGcBEzmwDiIqCAUzA&#10;nW/N/ba12lq951qre82wxw/9VHWFUaNGffX16OrqbtZE0nPJwR6Sgc/8gQFHUwYd3Gsy3IMyeG5J&#10;efZ7J+5euXrduv/9HvPZI7g65sp82Ij0wMY0YgBOw392f5176vCl8Y05EgcPOH1YdlB+8K44/yob&#10;cjPpg33cgzR4Pvnp+OWD8qxdj8smwdUxH8eFvWg3sBcYGB0DwdWj2ypwFbYKDAQGxoWB4OrA3riw&#10;F+0G9gIDo2MguHp0WwWuwlaBgcDAuDAQXB3YGxf2ot3AXmBgdAwEV49uq8BV2CowEBgYFwaCqwN7&#10;48JetBvYCwyMjoHg6tFtFbgKWwUGAgPjwkBwdWBvXNiLdgN7gYHRMRBcPbqtAldhq8BAYGBcGAiu&#10;DuyNC3vRbmAvMDA6BoKrR7dV4CpsFRgIDIwLA8HVgb1xYS/aDewFBkbHQHD16LYKXIWtAgOBgXFh&#10;ILg6sDcu7EW7gb3AwOgYCK4e3VaBq7BVYCAwMC4MBFcH9saFvWg3sBcYGB0DwdWj2ypwFbYKDAQG&#10;xoWB4OrA3riwF+0G9gIDo2MguHp0WwWuwlaBgcDAuDAQXB3YGxf2ot3AXmBgdAwEV49uq8BV2Cow&#10;EBgYFwaCqwN748JetBvYCwyMjoHg6tFtFbgKWwUGAgPjwkBwdWBvXNiLdgN7gYHRMRBcPbqtAldh&#10;q8BAYGBcGAiuDuyNC3vRbmAvMDA6BoKrR7dV4CpsFRgIDIwLA8HVgb1xYS/aDewFBkbHQHD16LYK&#10;XIWtAgOBgXFhILg6sDcu7EW7gb3AwOgYCK4e3VaBq7BVYCAwMC4MBFcH9saFvWg3sBcYGB0DwdWj&#10;2ypwFbYKDAQGxoWB4OrA3riwF+0G9gIDo2EAnpark82OO676z/94SjqefPLJqnmYZ70Ih/YLO4Qd&#10;AgOBgT4xcPzKoX1XDDh65coVFXwtHzd5mnPzVq44dsDxcYQNAgOBgcDAcmDg+JXHVhy0dTxcPaJf&#10;Hfcto923hJ3CToGBwEAXGKh99gFPr1wxPPSd2/zqM848u4ojbBAYCAwEBpYHA2d++qwB52bHGWfV&#10;6xxtXP3kE/+s4ggbBAYCA4GBZcLA43+rnnz87+l44vF/VByj+NUlHo+0f38WGzYJmwQGAgNdYOCJ&#10;J56Ys9fj8ccfD64u7H/pwtYhI+ZsYCAw0CUGwq8OPHWJp5AVeAoM9IOB4Op+7Bp4DbsGBgIDXWIg&#10;uDrw1CWeQlbgKTDQDwaCq/uxa+A17BoYCAx0iYHg6sBTl3gKWYGnwEA/GAiu7seugdewa2AgMNAl&#10;BoKrA09d4ilkBZ4CA/1gILi6H7sGXsOugYHAQJcYCK4OPHWJp5AVeAoM9IOB4Op+7Bp4DbsGBgID&#10;XWIguDrw1CWeQlbgKTDQDwaCq/uxa+A17BoYCAx0iYHg6sBTl3gKWYGnwEA/GAiu7seugdewa2Ag&#10;MNAlBoKrA09d4ilkBZ4CA/1gILi6H7sGXsOugYHAQJcYCK4OPHWJp5AVeAoM9IOB4Op+7Bp4DbsG&#10;BgIDXWIguDrw1CWeQlbgKTDQDwaCq/uxa+A17BoYCAx0iYHg6sBTl3gKWYGnwEA/GAiu7seugdew&#10;a2AgMNAlBoKrA09d4ilkBZ4CA/1gILi6H7sGXsOugYHAQJcYCK4OPHWJp5AVeAoM9IOB4Op+7Bp4&#10;DbsGBgIDXWIguDrw1CWeQlbgKTDQDwaCq/uxa+A17BoYCAx0iYHg6sBTl3gKWYGnwEA/GAiu7seu&#10;gdewa2AgMNAlBoKrA09d4ilkBZ4CA/1gILi6H7sGXsOugYHAQJcYCK4OPHWJp5AVeAoM9IOB4Op+&#10;7Bp4DbsGBgIDXWIguDrw1CWeQlbgKTDQDwaCq/uxa+A17BoYCAx0iYHg6sBTl3gKWYGnwEA/GAiu&#10;7seugdewa2AgMNAlBoKrA09d4ilkBZ4CA/1gILi6W7v+4x//qJ544onq8ccfr/75z39W4vYff/97&#10;HTeNkHTKmpaXy9OJK9c2OOegHUJl5O3m6eYTUiaXn+fNl56XiXi3uAl7hj3XhIHg6u4w8uijj9Z8&#10;Cd/lnJnzX56ec2meTtw8wvxgTMmHs5XbLEtePvbWz9tQR0LybZNQubmMiHeHlbBl2HKhGAiu7g4z&#10;8iM8J9cZwoXEc0795S9+Xt3wwx9UX/rCedU5nz6jOuWkE6oj3vfe6j0HHVjt8bbdqt122bl66447&#10;VK97zebVJhu/vNr81a+uD9L33P1t1e677VodesjB1eHvPbT66Ic/VH3yYx+pvnLBF6offO+66tZb&#10;bq7+8Iffz/Ghm3qAl5zzmzouFE9Rvjs8hS3DljkGgqu7xYNcDOfJ3YQcP/nRDdUZn/hYtcP221VP&#10;fcp/V//nP59aYf+n/NfT0uFYkE4+58QtR5rphNSz/tOe+vS6HHFlEd96qy2rj51+WnXjz346x9fO&#10;caDea0rL8yPeLXbCnmHPNgw4p0tl2vJK5SPtyeQ3w8ty329/82DymV/1ilck/pRHn/mMZ805h3ef&#10;9cxnJy4mLicTt47j0Qzh8v9+2jPm8DNlSJfPidPm85/3guqk41dUP191X62j46be6m56hMEhgYHx&#10;Y8B5XxqLtrxS+bU9jXXee++5u/r8Z86uDj34oGqbN25VPf3/PjNxJnwLb3rIo3CycUJsThniHjnv&#10;mke9pm9NHmm0ZV1C6yDHPOLrrrNutf879q0+8dHTq+t/8P20RsP9gGvaxNf2MY3+j5+jYgyGY8Cc&#10;5SjZoy2vVH4W0+QrQ/qI39n0PeHn5z7neTVHaju5knPiz3j6/5vjA8Oj5lnHtJyLyZNnSbcsMpv1&#10;SfMwL/e7ybMN5RC+ctNN05q5a9yO51/+8pc5/bXv2iG3jXUiDI4LDHSLAedqya5teaXys5gGD8FJ&#10;hLm/+fvfP1Rd/PULqxXHHF0977nPT/4sHAoP6tvm/qy2NJRL5V3KWo+812y2WeLOzV71qmrHN2+f&#10;niNuu8021bbbbF1tucUW1UYve1k6XvqSDVM96uPDE+aH+pBG24S0Q0geHM45IeeUWW/d9aoD9t+v&#10;OuuMT1b33XtPuo7n/IwtWC/RNoy7+bOIgehTt5wT9lycPeWOkv3a8krlZzFNDpKX4OsLzj+35jv5&#10;lVAu1G5yn/yYp8ONHOu/eP3qoHe/K62bXP2dK6sH7r+/5r2//vWxxIfaddWAN3/205+k46bBc8Kf&#10;/vhH1Y9vuCEdV15xefXZsz9dnXzC8dXee+6R1jdoD/7O2zUuVzfLcE4eoVx+yIEHVA899Lvqb3/7&#10;a33/pV0IXedWzwgXNxfDbmG3Ngw4d0tl2vJK5WcxTV8aTrrumquTf6td5DNC1ifydLnb0Dz4eZ+9&#10;9qzOPvNTSR42Q/bf//63em8d51wb4Gry5cK77ryj+tH1P0xry3A1vA1fk0acNPYA/uwnP65uufmm&#10;VI59J3vtsXtan1EHryGuqZAOP+tbm09IOscbt9yyWnXfvUkfbZJ0W/2ODzrP4vhHn4I/JwUDzt+S&#10;Pm15pfKzmMZ7hN+65OLqHW/fp15jgMM49KnlNNM8x37bb7vtwNddWV345Quqe+6+q/rzn/5Ur6Vg&#10;L9cTiMt3hPIh+fr01159VXX5ty5N/Awns4eafXg8F4SficPb8Df7A4d+9/Upj/IXXfiV9Bzx8MEe&#10;bp57stYBD9MPdHa8OSfd/hiH21mH+fIXz68ee2x4HUFXrjPqPosYiD4FX08CBpyfJV3a8krlZzEN&#10;HxjuwufEHvAWIc8ICckjlOtI33ijjdI+Pd51GZXD4DvtR52cw0lnnUQdeAcGLubAnyaErzluuenG&#10;dC5vk/fjG66vfvj979X+NrwNj3Pw7gxr3/Iy+tsX+2WfCY2/dvPNq+9eeUXSU70jDE4LDPSHAeYj&#10;R8nGbXml8tOQhr8KD6orvCifuh5LPj4r7wnCTa5vyFPYxXVg0uRr9oHgQz/88B9q+XlbtrmmUH0o&#10;R33WXhwLQ95RhI/hYXl7KeEJK45Lz0iRn/dX3vY6kfeXsqyRqyeh3zPBzsbX1N/I729+h21nx7bO&#10;/dKYtuWVyk9DGmu/6Akf5twsp959153pHW84igNuMk4IZ8Flpr9sw5em97uvueq7c9YtlrIu4PVD&#10;ndgLQtu06zWCd1qWws2luvjeX/3SFyueJXJvQB857C9xMKEu2gU/n2sbdlVnsdA8Nz3C2eGQGMvl&#10;Gcs2Pm7Lm+bxwd9zPdiQ9Ve+xUGf9SHlpTyUr0g76ojDqkcefrjm/qZNcv+4mTfqOVwHV+q7y4+s&#10;VbBGzVHi3YWmub9EefD2eZ/7TLXB+hskm/DOI4drJOiEDXJ7fPjUDyZb2DevhZ5HuDxzOuw8m3Zm&#10;vnGUxrctr1R+GtLg5pxD4ULWEXbZaaeaD+EfDjibUL8Se7Dv+XPnnFVztH46obKRj1yOvK2F2of6&#10;yKVdOZpQ3s7XpBfKzc3y2EC+di2bMtwvnP6hU9K+bvTAFrkO6JLbinWjb3ztwhpPXgsX2vcoP5t8&#10;E+O6+HFt4+O2vGm2ufzJOgXfpJN/7C9chA8JB8FFxF/w/Bem53P0m/pwKP65suBVbWIa53m6+WsK&#10;5WjLcc2Qn9GROGlwqn5wk3sXeu66N88m831/7N92XZw18qYursloK/TDfqx/q3+Ei5+fYbuwnRiQ&#10;nzzPw7a8vNw0xeFRuZQ9yC96wYtqn9X+wjXG9Rm/f921qV7uJ+ayTFd2FzZxDQFd1Emu5Jz91Avl&#10;5PnK41PD1+z5g5+5DrCvJL8eUOa6a65K3+1DJ2xD6HoIca9xxN+26y713r4u7BEygrfWZgwwpzhK&#10;NmjLK5WfpDT9WUI51bT77/9V+rYSPiE+KrwH78g9nHMM93UcX+/rkI/ZIw138zztz3/+c7323WX/&#10;XVtBJrqoJ2NCnENOnY9/F5IOD+NP40NTD38dnmZP9rmfPSethdge+1JOPfnEtNdaWxFiP0J0JI6O&#10;fF/77jvvqK9zjAXj4Fh0abOQFVw+yxho4+O2vEm3ifuV5QRCOZv3Oexb0yckHb7hO/+r7r0n1aGv&#10;1kUO3+SgHHWJkyePd20X5Kor30xVP3RkvQI+XQgnz1cWHsZPT+9AruZp9nTTHpzLvhB8auq7P5uQ&#10;fxx47fBal9tUfbmHwU7aJ4+bFmFwbWBgfgzIAyUbteWVyk9ymn4q/1CBW+gbnCK/mCZPu+fOdQg4&#10;mn90sWYrN8lDHznt1Dk8tFQ70Bb6eg1QV8dDLpQz5+PfhaTD1ZT/3rXXJN+af9TYP9ekeXdT35vy&#10;t992azonvWkT6j77Wc+p/Wz+cyM/c/1xPJZqq6g//9wO28yWbZz/pXFtyyuVn6Q0+A6+JUQv1mL/&#10;Z73/qf1E+pav/cLZ/A+A9/j4Jmjel5xX1nnhOjXXw0/U48AnzessJZ776MR5d9J2uJbA1ey3gC/l&#10;2IXwcqks/rlr05dc9LX6fXraok2vZdR1/wltUwdfnL0iPH/1OoJ9jVufe5ArLvtm4mx5eyl2irqz&#10;xUUxnu3j2cbHbXnTZFfWl/l2qDwnd8jXhKyLwMmsP8vz9jHf78G/D7ULIRyK38lea8t3Edomuvzx&#10;kUcq3rmxXdqD8+TXEvcuNO3mG3+W9rlwzTn4gHcnbs7tBO+yt9o2WQ9hTdvrBSH7+/jOCHrK01wP&#10;sRGyqA/nX3n5ZbWP3YWtQkb7HA/7zIZ9nP+l8WzLK5Ufd5q+mmsH6MM9+4YbvKT2DeEMD/oHf8BN&#10;v3nw1//GtcjJZRLnGxjc28NF+rrKgbv04ynrmvlC7UJd5VCX+C9+vip9T5r3TS69+KLEkTwPhDsX&#10;ysul8tx3IOuySy9J//mif9pJruWeQz/efSPU8TkkfM/ekaOPPKK2DzLy+w9ksfbN97DsW26f/J4i&#10;T4/4bPBNjOPix7GNj9vyJs3mpTkO573uNa9Jfh4cYX/0+eDpFcd84N84utk3/G34Uv7kO/xwEPvT&#10;lMk5+//wgWmXAzn5+klT7kLPWR923QF+dM9GiXsXmub+av13+mPfsB33He7no+2SfHgavxwdWde3&#10;PrKU51oKY3DCimNr2zN+3Ess1CZRfvFzP2w3XbZzPpXGrS2vVH6caXAiR+6THnnY+xJfcB+ec4Vc&#10;zZ48/l0rr5b0J0+58AnnfBNUGdgIzld+zj/IK11DSu2MkuazPHgVPiScjzdLXNqWhhy+leoaPiGH&#10;GOAfBnA1fDxfm+hEGddJeEc9v54pW5mc33nH7clG2qnLa9soNo0y08VXa/N4OW9KNmjLK5UfR5q+&#10;rm0z1x/89QMV+w7gT/243K/mn1ufOevMqvkfQWU0w7wN4qx/b73Vlkm28glpj3bYn0Y5ub0pbzHn&#10;/HOXPvE9bP7tmNYeBmsg+sNtPDxK3mXfvCT9R50x5zrEQZ/oD99Mvfq736m/v9omD79arobTP/Xx&#10;j6ZrGXK8vimX8ze8/vXpeqmNg6uDOxczP9aGOm183JY3SbbJ5zf8eMxRR9b+IPyJ35v7ied8+oz6&#10;XhuOyOs3+5XyG/fmtMEzSL51J7fl4de/+uV6rVp/sSl3oeesFTse++379pqj4cU27hw17/zPf7a+&#10;N8BmHLQHr7IvhGsCbeE7s1ZdkpvyBvxsOUL4+qKvfbXmae5lvG7SBvL5PhR7Ixe7vr9QW0b5uB5M&#10;Iwac/yXd2/JK5ceZph/Ld++475Zr7IM+HXvuHvrdb+v/Y7Gm0bYGglzLwOk5r592ysk1ByFfDoKr&#10;lWm4VNu4/ssekH333qvmzhJnLiYNrsZW+boH59u96U31u+aub8y3BsJ7nJSh/eE6zervQQ34+sB3&#10;7Z/kayNkO0aMF+13dV1bqq2jfnD5JGJALivp1pZXKt9nmpxnmM9r+JS2+bcse6jhTXiAQ24gZC3Z&#10;9WnrUE+Zbfo3y7unbped3praoC18RPas8R9Z9RtFdlu75n3s9NMS19HOvvvsPfwm3oADF8PLpTrw&#10;rH3BVvSF4xMfPT35xnAvzzLhafznkgyfdepP619Th3/37rrzTmlskO/YEIIznmnme9S1d1f2044R&#10;Bg9PKwba+Lgtb1z9Ze7Kg7kO/CMAbkFnQ+Jy9bsHezdK9XIZi4nD2Wd+8uPp+/zsOUaG/EJ7cs5i&#10;ZOd19Kvp0zvTGkiZL0scOkqa/Mp/Xvh3APvu2FcHz7oXj+eK8/F0WxvIZu8kx2GHvieNkdjy2SOc&#10;zfpI/i469zDYL9ZGgl/zubC2xp0zpf635ZXK952W8x7zmDVOeJG5/METj08cwNo0/IxvDWfL1fiN&#10;cmgXevruuTIJ82uBupq/1Db75mq+RXXH7bclfx1Ovu2Wm9M6xnAP3nCtGs7lfL716vn4Ot87gn/O&#10;+6FwtNfUfN1lh+23S9c77YtNu7LhUscg6sc1Y5wYaOPjtrxx6Oy8lQfRgTi+37rrrJu4Gm6Wn9Gf&#10;9Wm+UZ3X6UJ35OV+M3wiX+Nrk+86SRft9c3V2BAOZr2ZOP7zcA3jX99J/Vfawnx65MHjhMhnH0vO&#10;1a6HMF6M3dlnfirxtePdhf1CRvDstGOgjY/b8pa733Kt/EeIb823O9CT+e46tVzN+4Urjz0mzXvK&#10;d6UzHKIs4siWu0lPPD3QzbhllxL2zdW5T+w6hz41oc8Mk1+9mnvzOm1xfGnyubdRlv1xrFwLYSx5&#10;p4jnv9wvhU8dHLuUeTNLddv4uC1vuW2Q+620DU/Dk/w3nPnO/bT31D6v4l07vlWtrvK950sN0UEZ&#10;yOZAT9tRZ8ssJZTbGJM+16v1gXPu9Znh8L3yob+d568pjn/OAd8TIo/rAf61e/gYQ6+1jN/Ob31L&#10;eq++Sxsuxf5RN64Z48ZAGx+35Y1Tb7mQd1L8Xic8zVxXZ7454XeY0JU5n/vD49R/MW33zdVr4tul&#10;5MP/cDQyDInD2X4nyust4wdXc/C+EWM2zeO2mLGOOnFdKGFAbltoXql832n58yba4r/j3kPbD59T&#10;8R9ufV3Kyu9969iX/Gnmanxo9oCwFgJXw92kcVxw/rn191cdu3xM4XRsGnwd/NXX3JoWuXJcSd+2&#10;vFL5vtNYF2bO4iPDXfhezGtD9CX+/sOH3yd1jcL76Gme79PM1fAt/Jyvr7gOQhr73uVnx9I1rUMO&#10;PCCNN2PYN75CflwPJhkDbXzcljfOPt062E8mL6ujc51zvgekfvri+NVyt3nTFE4zV7MfMHH16nfT&#10;8ad9VulaCM8WXK9mDP1fGZzN92CnaaxC1+D8PjAg15Vkt+WVyi9HGtz7uXPOqtep8cO4dybk4H9S&#10;+M++P6EvbbgcOvbRxjRzNXs/WAPh2ST+NDwtX+tfH3/cMfXzBsbRZw+EO71lx+DqwTpQH7gKmdNj&#10;1zY+bssbxxjDt/jHb9r6jYmr8blcA2FOv23XXarf//6hGtOU/9IXzkvr2p/+1Ceqn6+6r84bh/5L&#10;aXOaudp3Z/Ctv33Zt9KaB+/J8w3Wb3ztwrSOzX8eec+c6y5j6rh6Deb5w1LsF3Wnh5NirMpj1cbH&#10;bXl925O1aXzo/Jmg3Jv7XewD4fw5z35u9fDDf0jzmXIcrIPqn1GG/hw0+AcM3+tw/RP5tuE+afpG&#10;/b77uBD508DV6f3Ege/MM0T42fVp/Gjibx/8N5IxcC0aPoaf4WGeOfJvL/PFHuPG3uvmM4jHHnus&#10;HsOF2JGyjj1xxp6xJnSNLB97y+Yhcc+pQ13Pc13ycnm+6YTU5VAXQnCYy5kvzr2jdZXfrEtf7Jdl&#10;87ao1yzDOenWs33tkuv8178Ox0HZ6kEd721J46CMMvPyqa3Vz6JsKw+VqRzymvU5N811z1zGLMSd&#10;E6W+tOWVyneVhs3z8QF/nN9y043Veuuul7g5n9PMZ955EUuU5R1pOAGuJt+QevwrBj+b+2/HFwyJ&#10;BdMMu+rXUuRMA1djz3xPHnzNPxj5984rN910DkfD044J7ymybk1d/lEmlxsyfv5zp8RPC7GruGJs&#10;m+Pr+CtPzsrTjef1TaMecfLEImm2k9cxzbY4ty6h9ZRtvunN+pYzVC56cFA+l0G+6ZYlP9fbODKx&#10;O2Fe1rht2gbpcnIeJ59z21Ge9Th3HpKWnxO3PjLUjTh5HHl/8rKUmYWjjY/b8vrsu7Z3HAxfs9lm&#10;ye/SV3aPF3qyJko5xogxw1dTf0K4gfLMf86ty/fr8A3sT44x0yYhnAauTv7zgJ/hXY6LLvxK4mj/&#10;m+PzQsbCMSEOP+OLy/X8o510ONrxInzfew6pxwmMMC75nB11nOQDyuuHNuWYbjuGYkUuMB1Zphmq&#10;D+3h6xE28yiDDNJz7ClXPfJ7TP1G8tC7pDv1c7821882uTdRR8KmHPPQzTYpg2z1wx7Wo5xxQvtK&#10;aHll5qHlSNO+xNFfm+Tt2r6hsnI51jNvFkL5rNSXtrxS+a7StLPjAyZX3Xdvmt/MWec6+jGf+be4&#10;GMl1wBezD8596xCybkL9E1euSJjNcZLLmYT4NHA1fMs3+eBsvqWKfXOuxeasWTEWjiHhtVdflbia&#10;6y3PHA9697vmXE+pZ3m/NytGFjs27OtWH0K+JwPOkJvPedbX8/bxE1iroV15lPL8Z4hy+fXlqiu/&#10;XXGoI9yiv2FZQrBtGWS9YpNNkhzysNd7Dzm4zrccerLGj128PwHv6mQ55GkrxoXvkSOXOlw7wT5j&#10;Bi/yHin6q9vuu+1acyz5yOLguw6HHnxQKkdZ5HCfetedd6T8nENpG57nXxlbveENaT2LOhzHfeCo&#10;9I1KrwPqTB+Q4TlxvjmADHGQh8wN3ouzPCF65uezENdupb605ZXKd5XmWIs7zvnuKOPD3AdPzgn8&#10;Y3w4ysjt6ME5e/f4vidlKE99Q/umPL9nyhhTVxld9WmpcqaBq13H+OJ5n6/nsTbH7vAD5x4veP4L&#10;0/cR0x6RwXo290LwNf+Roby8TpzxYhz3f8e+9djk4z2qfRlf6vHM2bFHPmtruTznOrxMPjqjP3rI&#10;1bQpXuRqZHJQ/rprrk6H5Qi5Z0CGMonfd+89dZ8os9mrXpXqK4dnsKQ3j+9eeUUti7J8u715raHO&#10;rx94IPE9OmlLyhMnpF/8C4LvNeS68aye+tqMON+zZFyoR1kO5HLOHGXuePB9B/7B9PL/3TiVob18&#10;LtoW7xjzrzf+qecY0CZ9WTWwDd8zph7tcFjPtu0X39v93W9/U+vctNe0n9NfjlI/2vJK5btMky+d&#10;M+CG8VInv/Ujnhhj29ePkOv5zp4+NngBm+LGsWfu2pZtK0e54wynhavh2o+cdmoaK+cl/rV2ZvxI&#10;x5/Dh077rgc8jU9OXfietC232CKNNRxAeXmScePbrYzFYseHcf7CuZ9L8tGLNtZ/8fqJY5RpyD8S&#10;0DnnJtKa7fPdb8qhHwdx/F4OcUXIuj15yqR9/Gp9SUKep+Ry4Go5jHaRA0bZt059yhLyTclcr0cf&#10;fTSVy/9TQdm8L9gV+1JfWd5v7jN4Fow85wP/MVVvxyTX82tf+dKw/UEf/vjIIxX/NbWvyKZO85x0&#10;52P+fUXaxd+nfK4bcWWYhw6us2G7P/3xj7XOyJmVw36X+tOWVyrfZRp4BJ/OGf5tKMYYG3U79eQT&#10;i/+4BV/OEfTinzHUQUZe33P+TU65nPO77M9SZU0DV/seOb6U40OIvR07zrmXZR7Cy6UDDmfeWldZ&#10;8jX7/BwneWRU+1pe318syHPmI4+4XK0OhHK1ZQnZ809e3s/cr7YsfrVtyjuugVhGv9o2D3/voTX3&#10;WAb9eG5LGeQhi3Wckh322mP3Obo1x4O66oQ8uZN7Uq8hyOV6SjnbUz/Kw5UXf/3C1D7XCP5jR34u&#10;mzjlTM/rE3/zdtvVc5B1EexAOvK9nnDe1F85yj/qiMPnzP2STaYxzX6WdG/LK5XvKi3HI3HW0Rwj&#10;xwy/mjFkn1jOyfoc6MIaG/WVxzrbpd/4+r/9S2qXnXaqfvPgr+v5bz9yuaaNK5wGrmYfB2ui+JLM&#10;c+c0cwg/Gf/u8m9dmvxm5n2Jp0lL/vbgGSXvNTnuznlC9u8xpozPQsdILKwNXK2fw78dsCO2I9xw&#10;g5ekPTdgGXvwrdq37PDmNJ/ItyxjaBnCJldzXWKM4GauN/kc2m2XnevrFuU22fjl1Tcv/kbte+Gj&#10;g2nmM+vYtHXUEYelfbfozT+JxA/6EGf9Cx1ynbgH2/+d76ivL7RFWdZ9KDdLh2NT6lNbXql8V2n5&#10;/OO6zr0UvKw+rJcxHox/3uZ8c1fM4ospm2dG+Hf8o9s0ZBEHv5R1XudtjCs+DVzNPg58a/ftXXrx&#10;Ren50ekfOiXxMvOMMvA5fDw/Vw+/8cS9EGOtL8b4gwO4xjFd6Hg4pmsFVw/mDvaRo7Efcdb7mvhm&#10;rdj/dVAOzsMfp742Y9zIY+4RcnA/QT7z1LFgfwl5jJ1rlazJ52NGeeZaXq85D8HSGZ/4WHpPAnn8&#10;p8/nkLksxhLOVy90Zz1NfWYl1Oal/rTllcp3lSY2wBPzm/nJODAG6CT28NFs0zqeU5d4nk5cLjY0&#10;37wcwzl2lDuucBq4Go7Wtx76x0PfmTlOOmPJHHKNen6uHq5Zk887qo454w4GCHmutpixcLzXBq62&#10;r3IYdsR+XC/JE+vOFe+F4FjK7r3nHvV8wdZwZz4WlONeKZ8nxPknvXOV8qwhk24523X8OFcHysjD&#10;eTyfn7zzhi7MCQ7uG8QGnI1es/gNGWzJod3ysC0vL9dH3LHj2TJ6iDdCuJs57JgzjuISXYzn6ayH&#10;kOd13LrgwXJixP6og+fjDKeBq+FkeJi1aHjZ9xF5J4Y8uNc91G1+NbxOOeofc9SRafyd+66Bsbbp&#10;OC9kXKyzNnC1dsnnDnMJHpM3LUPIe//kY2NCuDufE6w3kq6vxDwEl5Th0LY8Q5I7Kc8h/xNXH/M8&#10;Rx7r+blO+t+knXbKyRX/erIeIe14KMf9BrmcWYjb71Jf2vJK5btKEx/c7xx52Pvm3N+gE2PCGvZ8&#10;7TG+4EYMzVeO9FRudXnLyd8lPFtmucNp4Wr9Z7jW54f4QHC4+zzgYPJb/eoBv1OHvVzcRzPm8jVz&#10;muORhx+eFwPzjY98srZwNf4GtuOQY+//1S8T7sF37o+wHmwZyrsGoi1zrnYseI5MvnOGOXfs0UfV&#10;YwVHK5M6TV3kWec1PjLy1IvxYg+n+dQ37jVFXUhnP88vf/Hz+rqh7rMQ0j+OUl/a8krlu0rLOfL1&#10;r31tPb6ME3OU/z6xL4f28rJdtT9uOfKJenCe77vq4x9e8/HmuNLhcnzvKy77Zpr3zkfnO9jk/Qtt&#10;NGqobZtczf5qZIAnD855rgHu4BRCuMe1N2XhU7C/Wu4Qp+zZd9++ZUfdB4IM7yF4XxOdkOF9IXHe&#10;IWI+YAvs4j4QfR1tQj7yOIi774R89SIOrixDueazRa65ynE8uJYqg5Dj1JNPqvkZOdpOXe2XeimL&#10;cvsNdLCvzPEPvP/I2icnnzrKRJ7XAnxp/Bn2CqIDMuz/rIT2vdSftrxS+S7TsPdvf/NgwoZjrT78&#10;i8+2KGd8VsIcZ/oXTb/adQLWGsbFp321C0fjw8HXrJ/wLy/HnpC5zfHqV75ywXNSvDS5Gv7I381z&#10;DLhW2Lb7hdmPJtYYHw72V4NTuQP92F/BIfdQZyFcTbtwI2sT1FUn22Z/tWUIN1h/g3pd0DKElpGH&#10;F8vV3A8hK+dM1ijpP3bVtmed8clUBhvQ5ms333yO7pR3TdK1bWWCc3VnX4jXBvvg/i/OeZ+TZ48+&#10;t7R9wqatlDnNIX3mKPWhLa9Uvqs07Iyvgk/DeKOHY0mcdZGu2ppEOc5/MKePhF+t37bv3nul9YW2&#10;dYS+eHS55MLR+HFck05YcVzCQBMLzNv8G7ijjKXzucnVcAJtIQP8OdfZ4wn2bJuQ/UPIyTnB5yqW&#10;JdSvlsuQPSpX5+2x/y3XC0ygH/s59FWZF/jV6p3bgryc8xbK1crkupPPRfroGgjtiVffZfD7L7yf&#10;qv6EYpo434JBN+TSF95R4t4Bm3GvQxrtmM9ec961gh/QK/8uhPccyJ3FAxtwlPrWllcq31UaY8Dx&#10;rv3eWWOM8cRnQSfuN2nLeddVu5MiJ+8XdgC3fosfO/BdV3jadYLl4s/lagfO5H5hGN6Q3ulmznKt&#10;yucuWOCZ5ULGTds2uRpu5BrIHnzLYHt4OW8T++/45u0TRzAu4hD/QU6RZ9GNA3nKHJWrkUW79JF+&#10;X3bpJTXHoRd+KWsUtkWIX12yBTLQm4P4Yrkav1pboBPyfK8850n+Sf3KTTdNbTFnKcfzRu9b0BHb&#10;cf/E+rJ2g9NZwyCfvR7oSh4HMvgWmPamPnbg/MIvX5D8Oq7t7Bc0nbxZOrAHR6lPbXml8l2lMQ5g&#10;2/YJHTPijAltzeqYaEfnNxjnWwfglbly9JFHJJzLZcvFocvVDnMYv9p1EK5JfFNCPMBL8hh+mPYa&#10;JdSmTa4GX/AP3yKgfWTBaS99yYapXWxP+/qKfIOJvflglff1eC9bnZDFOeutPlex3VG5mvaQg0zb&#10;Zn1AP5I1Ye1BOcpwDUGfph0oR75yFsrVjAN18/7ZNjajfQ7W8eVs8EoZ9m2QR5z7I3Xj21nItC75&#10;vNNCfeY1B/vobYdyvPPO82RsQD5rHx/64L/soC7sO5hFbtAW2jAP2/Lycl3HwRu8QPv6DeKEtFWD&#10;Meq6zUmTx9zm/QT14t7P+wqet7BHAp+NcLk4dDnbcd8fbcLb/I9RrpE3eEcmX9/UVm2hnNnkarHu&#10;uxue26Y4JF3ugRvEpTqZz55S9aBN210IVyMLucqmPdLQhUM91I3ncq4D2zZhLof4QrkanCmDkMO2&#10;6b/ts2Zpu9/59uW17panH/aBeFMW/I2d9NXec9CBqQzy5WHqMO62mctGJvcWfHMvX2dRp2kPtVep&#10;H215pfJdpTFerGOBB+zPuHBwzn9E8mtmHu+q/UmQk/cLexwx+H6PuOR7B/h+8Bi+9XJy6HK1Rb+4&#10;54azuY9i3UcMiAlCvp+KrVzDZezkxdI4wgOUxx8XX8iB51xzIz3nFM7hJO7RL/vmJUkXOZo8DnUj&#10;Dl+gNzpxoA9tEvI8NK+DnCZ3UsY+MuYnn3D84H2SzdP4y43kI8c1Bs7RzXboe7LLwE+lnPxGuVX3&#10;3pN0ye2EXdizZ7vU4ZuoyMH+zXYpx0E56/D9QXkW2fi33JfktsrriWfuQfgfRfNfP3wHFb7ObUsd&#10;zjmQpWzS+ZYsutLv0thPexp95Cj1oy2vVL6rNGy9w/bb1dyEHmCCEM7K2/GeK0+bhXiON3C/NnG1&#10;azusWXNNYl8270Hkc5Q4eHjrjjsk3mHMc5utCQPsP2Cew8mEfneU+33SlC8XcD8Oxyn3kAMPKOIT&#10;nXi3Hl3gLQ7rEPI9IrmNshz8B5Tycif7JuRAdHHfCd+tUS/rIgse5lsb1s/bI05ZylmH74ZStmkv&#10;uNoy9Jv2KJf71aQjiwMdOUcn9GTPTN628llXR659si5p1OcZKfUoX/KH4XHqUJZ25AJlqjPXR/+f&#10;MIu8YD9zGxtvy7NMHyHjxZh4z0+cseLccZ0Pl33oMw6Z4py26evaxtWs7bD2gR8PX5e+3cecZe8D&#10;9vHI7VYaN8rJn5TlXN/XZ1+8S8H9OOsrHHxTl28B2YZjsuree6qvfumL6b8KlOObVayhKtf2c1+T&#10;PM7V05C0PJ228jzirNPSBvvKaY+9QV8dPFeD69XJ/uX11UN57KEgzXPKek6a+jbr4bPCy3It3Mmz&#10;Rcrlay9526RjX6677GvUpsRJ4xki7dm+dQm1CXl333lHum+gPv+xUA7tg5G8PHEO9Z+VsI2P2/L6&#10;7P8D999fX6u9hoIP9PnVL38xZ1z71GOcsp1H6ADu1iauhpvhBXxcfGx4G19VjhAThBxyLbYintuu&#10;OYbNOdwsqz/mfDffEL40r8mtqf3V+83ydixvWs5B1JGrjOsbKo8wP+DavA7fuTPfdEPSiWOXPI10&#10;9bKufST0MA+7MCZygvORd2EoQ3nkoTttWc+8Ztukk2abzfLayuuK+U3Zeb46lGRaf5pDbV/qQ1te&#10;qXxXabfcfFPChP40uODgOg5mHMeu2ptEOTne6O/axNX40/K16+P+A0VMEsrZt992a73/ILfbfOOK&#10;PTmc93JfiU8ol3zD1RyMTOrlHCG/k4eMJHtQ3vZNUzdC287L2L6hZQytj/ykx+q5wLlppDfjnFO3&#10;Wa5ZlnPbQAfjts+1s2n//L3FvL51SPOgfeRy5DraX9szVEZ9PugvY4HtSTPd+rRj3DzbnoVQ25f6&#10;0pZXKt9VGt9Qd13OEN5mLwBtOM75HDGtpAN5HqX8SUxrYo39u4wH9mDPnmsDeagPOml7Q+Dd4Rr0&#10;cP2ZuBxcCvN+0Bfqc7AGRv/haEKu34Ss57aNf3N8Kat9DfMyynLel/KaaTm+8vq5DOL+bxHdvdb4&#10;bNF66JTLy9vK45YvpZlnaBnPDU03bNoDvjQNjmRd/ODBc17HgvcGlZX3FXmmG5qWn1uHkHTbUh/r&#10;5Oem5WWtT54c36wz7edtfNyW12e/WYMDy7QPnvGnmZPsW6NdxsUxdtyb45yPY5+69iFb3Q2ZI/rV&#10;2IJ9IK7nwmG33nJz4j72TXCsiQtL/Nh3Gs+naOOWm25M69DonfrAunTjII/nifI7faIu36SXp8Um&#10;OIEvxEUf49GlTL/773UGXPv9TsdbbHfZ7lJk5XNMOfyvizFg7di0CP91D9GHLcR8SXZbXql8V2n8&#10;Tws/mvb1PcA236zP2wDT4JtDruaair9NGvdLhPrfkzYH8r7kcXT2nHcpeC+L98CwBXbZ4227JX6D&#10;/+A11hFZN4DT4Dh5sW/+HVU+z5DQD714rwU9XedA/+Yx5Ohhvyg/9K2vr7bfdtsaDzku2CeAvXxP&#10;JLefdhx3qK/n3jt9ETC+6t7h/hJwKi+OW99m+/ncIY6e7PuQq51/zXpx3h1/t/FxW16fY4CfJFd7&#10;r8vc5F43xzP48FAfzo3nIfM3x1ueN2lxuYa5sN2b3lRfs5zfhPx/ku+isY6rHw2nwYeej8qlfZdD&#10;H3TDp068vdqPXlO7yd/O1q7ZJwcOOLCB2Nh1553S2GI3jvkwMM5xBnvoxn9U3MNgyF4IdJ5k/dWP&#10;0AN7yttci0gfp41nve02Pm7L69MuYJj1MLlJPZi7tsu6QM694Jy85lwFP3k5609yCO7ZT0y/WfOw&#10;/4b6lLzvzDeG8VOHvulwPRifdU08uJz57HvluRTjh65wd5vvD59zrzD83gl9Gvjlg7orjz0m8bP9&#10;l7P5jofjz7hOKmego/51m76Tpr+6EqobcdOdX4aTPLemWTfnf6kPbXml8l2lffwjH048zVzEd4Kv&#10;4G2+8wVWcozwrtRJx69I397j+Rtr2oQpPnhvhudwrJ2wP7Mr/fqWA0fRXw/sIGcTag/Gh/i5nz0n&#10;8Z/+tOFy8nFbW3AtOnE9gaNPXLkifeeT/6qWDt5F5HrNO8vIpS7XH9Y69KXpO/bh/ot3WRkTsSGf&#10;9D1OC5Wf6yXvmWYothcqu8/y6JT7zeoKN3N4btinLmuz7DY+bsvr02Z+/zNfB4GvmK+0CyY4+FaM&#10;fKau+Rw2jfnNPwumBUt82w3d7T99tC/NELvwPzt4EN8THxZubOPO5c5Dt8S3A/14bw+d6YdjVwp5&#10;75h/Slz93e8kfmfsWT+wnnbQNvAJ91rio098huzu1mDDlqPbUsyXbNaWVyrfVRp7HpjPcJVzkZDv&#10;VTIf9T3Yw6eO+t/ygDynP8r5bYP9El3p2Kcc3ne2H4b2w/7mId8bch0EToMbl5uP29rjGoI/zV5c&#10;+sPBeOV9yOP2mXUwvlsv13P/kJfTx+Yd6/w6nMf7HKeQPTrPhK2WbiuxX7JlW16pfFdprF/I0cxH&#10;edj7MNf8mNNwGIfl0dk4/GweaX5XoSs9+5JD/+kz/bMvho6JIeWIu+7hekMbdy53nv9ZPO4DRyVd&#10;6ZfXYfrVPMj3YP3KPvFtPMpqF59pEMrPhMb7Gp+Qu3TeCRsu3IbO+ZLt2vJK5btK89/VzGfnJXP0&#10;jttvm3OPy7fX1NH57jnzVx4jjhy+6dCVjn3Kof/oS18Im9/ptI+GrBfIv5O2/oFePCfEr+bbdl6D&#10;7J99mC/kG0uudZ/3uc8kjrcuY249x4N7ruDqhfOA9otwcm3XxHo+Vm15ebmu4zxbpG251vv/6665&#10;up6HzMd77r4rfWNMPQ2dy5zD94S8a+XaSdf6di2P79HAQ+zLQ3euNfatFPJfUPjM90fa9ljI6csZ&#10;soaBTnx3iH8HlvqQpznevOPHtYc9JKzDYxf9cct7jQYP3nd1PR4hb3L5a20aGzFf6nNbXql8V2ns&#10;AWC+6oOhB3G5mmfP8i5zmH/S864j79Bw8O0zjhQfpJPPf3a70q9vOXyrTV+a6w6H/OWYGLJvj77D&#10;vawLs169nDw8Slvsa0nPFge6EfKMkO+Ttx340+7vow7tsGfP67A+NXbZdput0zVcf9qw73EK+cHh&#10;y4kB53ypzba8Uvmu0uBquFl+kq/wsWjDuei6dVftTooc+sd3F7C/nEScZ2iE8hXx9x9+WLqGJS4c&#10;cLXhKBw6bWXYf5nbRFzwLoyY4Boe+3yDQydlLnepB9jnKMlsyyuV7yqNbxXrUzMfjZPOXJSj9a27&#10;andS5Mg73DO4Jo8d4G2uX6wDYJOd3/qWtK7A+gI+NdzL9WzS9oF0cU2gX/y3heuV6x6sDRFnj/as&#10;YmFSMBl6jP/618bHbXl9jh3/E7Bt5yVcdcKKY+dcU/jeR596jEt20y/kPXPsoE3kav634fcy8KeH&#10;PD1Ze6u74GlkcC3iH4Zwtddvr+H8c5Xrm98fCN4eP6+Ma+7McrvO/1If2/JK5btKY28dbTMn1YH4&#10;AfvvV69LOh/1QbtqexLk2DfuH4jzT2h4SVsY5/0e14Lxpd2HPIlr1kvlbO4x8n+Ziw1C7rfAAddu&#10;Qu03CWMZOsR1oysMOP9L8trySuW7SuMZIm0zD3O/mu+s2cYsz0n6xuEzVJ4dws9ytLbh/PvXXZs4&#10;Gp/aZ4s+i1sqP05SffaCeD+R32MQv+rKb9f2Eh8RBkfOGgba+Lgtr0873H3XnfVeO9ck1QWfCX+z&#10;uU7Qpz7jkk0fOR55+OHap+b6pU/J2vVFF36l3veBPw1fw2uTxLNd6ML3BMBAjgf6jy3uWv2tF65v&#10;jJXPM8Y1btFuXCf6wIAcWJLdllcq31Ua/yZ1Dwg66F8T539NzEm/Sd1Vm5MkJ/Vv9fqHeq3/4vVr&#10;vtbHJvQfo8N3y4d7kX3O2AVHjkPGcO39hrS+Q/ucs+9SPHqvpZ/dxXW7+Z0S3tvB9jn/2w5p+Aw+&#10;L+F9gDdvt12tH/soWZdhPzmHY0hIHa8l1s/z83izPe6hNtn45akd5seLXvCi9A7+7bfekmS69qPO&#10;yOc/unvvuUe6J/N+5NSTT0rPNmyLerRlPULnl6Fl81CfKZUf4JX7m6232jLNV+YsOu6+267VtVdf&#10;Vcu2vrpyThv21Xxsqk/COO+2y87p/pE2qWubzXrWn8VQ/Jf61pZXKt9VGmPB+IAtOZs4Y/f5z5yd&#10;xsmxFl9dtT0pcuiXBzr57RN5Sruw55h1avg5X7MeB8d21Wa+hmO/eA+GPoMB14KwBd/YEwuGi8HE&#10;mriaMZBj5QvuaaiHHswVMIuOnKsj6Xy3lv90qR+y1qSjZeFb+OiUk06o7ym4t0C+WICPkSlv8V/z&#10;Y48evs9POWxGWTFDnLR99tqzYh+7/9ZFJ2TYzxx/yG8etnflFZdXb9xyyzn9tv+OGc/HXauiT3n/&#10;6SvnvFf8vvccUm2w/gZJFjpiP22K3ge+a/90nbFtw6Zus3jexsdteX3aAqywx0EsOmbMBa7Tedti&#10;Ok+b9ngJxzxfZDywifOA80MPOThxNDyZOHuwDtIVZ45LDlytb218xTFHp77TZ/FAfKe37FjjwXmb&#10;229ULKyJq5Ep1oj73wPGAy7Jx4Q0dINTOdQXDkUf/EhlzaeffEn+g79+IMmnDeYAsmnD96X4bxB9&#10;Ryb/KiU/P2gfPUizjjginXeScj1omz622VH9+X8c3zjI2yPudYE4bXGv8exnPSdds/K2iNsO7xZT&#10;nj5qT+Lon8ujDN+bgPP9F1BT5iye02+OUt/a8krlu0oDd3xTjTHmEGfE111n3fRf+67amkQ5Yhfd&#10;jDOfGA9wix2IE3pv6B6Q3CcdF9cutV35ebiuM/z3ovNYGzCXwQXfK5c3tJXnCxnb+bhaWYbI5Fkv&#10;etA+4wGfbPSyl1Wnnnxi+lb6ewfXT8eHMeKgHPuY5FR0zfm4pKvXHp4bw7HIkbvwZXhnjG8y8n4n&#10;+vGNAXiTcl4/0JH/VH7ktFNT+f3f+Y5qvXXXm4Mj1lKu/s6VSTdtaNi2BkJ767xwnSSLdhiTjTfa&#10;KOmEblzP2LtDujZ46Us2rPVFZ/pIW3ybHj53fLEX/z1CDt/8Io80ZHHwXlTJZrOchm04Sn1syyuV&#10;7yqNMeR6TfuOs7pwTl5XbU2iHOcJoRzhv0ixA7jXHqwBDPdVD9d3ea44C3yd3u8Z3CPI29u8cavU&#10;Zzgo97H41rljKLd5vpBwPq52LJClv/n2wdoBOGQM5Gvs7lhRNn9HAI6hLCHfDyAfXdv0xWdUf67D&#10;zXFnDTjpNPDR0QtOzdc9wAj8vsXrXld/15vy9sf/qdsH+vPQQ7+r28z7oh55SP5rN9+87pfXq7yM&#10;cdbYvcbQDtcT5esXM77orI++34Cn0dVrBf9/0+bozPUG+anMoP+2Ncsh/eYo9bEtr1S+67TnPff5&#10;c+YlY8l4cZ/HGDneXbc7bnn0zcM+8lxJrIJ7x4b7SrmaPcj4J9P+bBFu4tt88DT7x4mzhmmfwQE2&#10;gCcvOP/chAPstZRxm4+rsb9jIG9sucUW9fv+6MS/im3btV/4k/VgDsroE/I9bsoq03rNMM/nOoCM&#10;fPzxpaljv9GNd+3z6wLf/rr/V7+s/XfKcg1AN/5pi0zwgz2JK5NryP9n786abauqO4CfT5DKQ75B&#10;nqNlG4JolWWkUYiUSYxNUAl20ZQmakQlAkokKNgSxb6LVXmwTAhIJ9cupUke9C32AYqoKGgEFfU1&#10;57fO/W/n3aw972n2PnufdceuWjXXnu2YY4z5n2ONNedc8vTo5FtWpp03fe8n/Ar96vI9H22kHbLL&#10;2h1tqKvVaX3wbjb9Uwe68V2becagH/KcKpe+u8b620sby7/MOLK+4vJLB/0ku+gg3aDvZBd9WGa7&#10;m1qXtTHR9YzZ8OXWm248vr985xsDR92u3nmfuPPdL/4U3whOX4X4EH34xtf/e1R39yrHRVgN31o9&#10;gxtsPj6Iiy68cMAq3yfWXotvysE+V2hH91POPnvIKz3Yv4hWeaSZqyJ7Y9K9uLbcL3/5y61HPfLR&#10;M+zU5i2fuWGWRx9Sn/vvfufbw7gPL4XeUepfmzdl2rbcO+PS8wU+XPCcZw99vO2Wm2a8Uo+yLmt4&#10;6Kwr2P6fX/nN2hD2hX5JTz/JXTvhvdB5C0mXN9+vn6dtqv97eNxLOwx+2BNDJhmXOSOU30/7+WbT&#10;YdCy7jboavx5rU7jjWdftnXsUHbpQX3G6yyP/viq4bb3p+0YjT7Qz1//+tczPDqIjBZhNcxRbzAL&#10;Hufy/B48Shga2NcP/uIXw4X20AyrfvrT/zuhzpSZD9PmbrCaXzBt4It22vrm+yEtvm35lfU9pvky&#10;KdfGu6ePSUsYXM2cJR+b6ktf+NwJtNFf30lNevx7kTFa7rnnBw/hke9Fp4/Cc5/ylCFP2p2ncWr/&#10;e3jcS1slH+ho5O05NzKkf+49C0WPV0nHptVt3yaZ0PXYJ/5bCwHTYLX3PXB7nVh70Lb1Qx/gtXu2&#10;aPrd4p7zQZYlo0VYPV8/W7jFhvZ+Pm/+ZxwJPevb67Ub/U2e3WC1ddzwi26kvbTf0ugetqpbn5NX&#10;6D2l+ORPmHrmwzzbqs+V/Kk/+Z1NrP4WZ/l1hjlvm5/2CCRNPn0wn7W0qMt7xtArP19IcCJtTTlM&#10;38f62Esby7+sOLJWF1k974I/H/CZbIxTFxlZx7Ss9o5KPZ75Ml8Fq/HFsy9b1MW/e9Tt6mA9jLr9&#10;1luGsRvZG8fu9T/7VZYhvx5WwwO6GJ0UBo9afBIPy4Mx6HehOXR7B8PmTrke7WlzN1iNZ3TBZdwK&#10;U7d6UlfuhU844/EDL+XHU1itTPKmj6mnDdt6xONR+jTv27Em2pgNffT15z/72Sx/voXd0q7+eRz+&#10;5Mc/OvBRvujD3XfdOaO3pW+K9z087qWtkheRuWfMd77t6pnuRafIyh6Q6NQqadmkuuEWjDLuW73G&#10;l2O33Tp8e4UdGqw7yuGObf21Qf7GpT7GB4QHxvsy5b8Iq1u7IboAi+ZxzP9gVMI3v+mNWy60R158&#10;rupJvalzLEz/TobV8vmWhnboRkLzduptsVTcfff+aMgXzBNe+863z2gLfQlTz3yorxmvQutTrCN3&#10;71nPub2xKyJHawNaHM4YD+3o16e0rS733jemjvBTG/M0TfU/vrjG+tdLG8u/zLj4oskndEQ+5OW5&#10;uJX3Mtve1LruuvOO2fjCE2MgumuNmDHNpp4CXusLHyxftb6249j9vG/1oDJbhNXBS/XDC5c50/tt&#10;6z/Yi9bozLd/282fGeRDRtFb9x/54PuH9yxtvfNl8z95TobVyZ+1zBkv9mknTZj64Ks6ky/0+fYw&#10;+ygYmfxtHbkPPvvv3nsD+a3LiayynpGOakPoe00pk7quvurKh8g4aWjJ3MdXEp1PG3wpyTv1MPIa&#10;62cvbSz/MuPI3fWt4+9MgknRff99C0qbMFte/jP/3SeerOmSuNgWSY9OJo8y7pOeUPwmXNY52WtO&#10;7+kqHrjwxHOkNcnrxOrWx8zeQc+OT2bnDMDQJy0X2x/N8duYZ2JTS3vaeecNfdRf/aST7qW1stqL&#10;fFqciexhdXQMf/lXYguknehQvt2MlsjC9w6y38T8Ir690OwM27wL3Y1uoVPb8EhdkbcQL6W1tNmf&#10;jUfakt96PHvz9SN9CZ8ufvWrZnyVV1+sDUFXxkvyLgqTFw3y+G/dKPrUGXm59zyRPebypg1l3nHN&#10;W4f2lQvtkVHaUMZ4j/zDCzq3iL6pxeu7a6xfvbSx/MuKI5/IX52tvRC9Qps9jO27+F77kb383luw&#10;OZyxYD0YPdZe5u/Ug47crztEi7Hkewt4QKcjH6H1jfDLGBau4woWaxu+OCfCGhV+UGu0jCvYLd1a&#10;tgHbt3EbTnuP6L1oMN5/zwrGZPqp3/wgMG+/8ghWpnz0wpqCtIW39iZGB5OH7ijnTBo0eU8Ij4Ib&#10;6HMFL0N36vUd9tif6ky9oaUNtf2h9183tBFZt9inndRvnYU1e84izDrlNh1O0h/6zXa2DwZN6hXK&#10;S39afdd++7+lzX2L/elHwtDV0nL2mWeesL+8rZ+doQx60ldtpP3IAVaHl8ln7eA8bVP9H76O9a+X&#10;NpZ/2XFkRf7OyKFPkY/Qf7pg7Q9ZRk+UcUWX3EcvPFN7l8yGUofyrktee/EJ67WV0ZfUuex+7bc+&#10;drXnb33PGBMaw9a5wrnYpevA6mCvtvko4GrGlnMC+W7h1Y7dvLPG0D26d2zrnfUr4jyjW++jr/SQ&#10;nKIDvgOT8btXXn74A+8bzp2Dt+aG1BMfSLDXPJG0zOXRC3NQi5v66Jpfs4ReF1vDGUnRJ/XlfhH9&#10;0vlLwj9h+u8++os3sBqtsJj9wS8j3SUvWtv71JU+OGOHzzH91XbGUPo8T2fihbmXR9+s0/Y+yX5y&#10;NGvP5ZmQnRR+yq9s/JzJJ7TeMXWHV/ihPn1On+bn3nk6p/S/h8e9tMPgQfRPW/ZSR7cSou/KK950&#10;wrwaPVOmHRPOgaQDkXP03vgSx45Ln6J7CRO/7vCObayGa54n0Jzxp1/OfIBx67Sr8RDmelZBnyvf&#10;8yUzdMJcz9/mzdjQaEa7sjCa7W1OzbhUT3v/5X//0r7P7OETCG1C7ZArWz3xdIJfNfKfD50bJC/+&#10;65f8/NcvesFFs3h2JMxyPfDA/SfYDtobdHsb1xbpFD1Ga/RUe/invTZOPHsl/j/14S0dCe+Va/mn&#10;jDT0s7HtbQxOGzMtTfP/kxaetOmpQ5707+nnnz/IPPzyLWdl9c+l/M033jDwDZ3y6aO9jPK1dXr3&#10;Kd2lP2jXVmgJbVMN0/ex/vXSxvIvK67lPVmS6Stf8fKZvpFT5GqubufWyFYZ9Nx//0+Hcxbppf7Q&#10;g/RLmHqM/1Y33Ld0LKtvB6mHDwQe0tHwIPRbf8WeXSdWw1l4e+yztw48hmHhOzrRjP/unf/gmT32&#10;f+hWh/v2nOas94rcfvLj+07Ak73wNOcioyPzNLuOX7yllV097xOjW/TKerPQktB359ERXWyxM3oU&#10;nUxa4hfRzweifrTiQau7eJm2v3Ds9hN0V33WWqR/8ipvnkx9ZOCsKTSga8DWbbs8tGQcJUz8WJh+&#10;Sct9wnzjKe06K0C+YLx8/GHSo8vodU598qWurKlJXmdDtW26n/Kl366xPvbSxvIvM67VY3Jl52Ss&#10;R08jW+/ck19e93SMj/Rp5507w7Xoesr7rw77t6xhit7qR/RjmX06aF3sOfZn9jZHZ4X65N0N7JMn&#10;GHiYITuZX8G6rdNPO33APvyFEXAw8hK6xHkPZ/4J3WjnJ0leeXLppzPXyKaV1V74ai5w1nJ0Sd3h&#10;oziXtvl1ezrgTKTwXX54j47oYUtT4kK3tF7dqSd2Ct8SHoYn9NZ8lnypfyxU1l4Uzw8uc5U93T/4&#10;/vdGx7w6jZ3QlzrFt5d4vsnsM2fHe7ea/EL1WEuOXnxGv8v5Ve0ckLNFpEUe9qWnPbS47LXAc/WR&#10;kzxpL3mnHOq7a6yPvbSx/KuM47+KHMk08icz5zJ6txK50XHfvZInsk1fhMqoS8iP6t119CF1rLIv&#10;+63b2Rf8A84BRXt4oE94wg6DecbnYWJ02mJT5948ya+Azpb3nr3RmtC9cyvg/M6aka9tWVORMq0M&#10;ySq8C5YkTPzJwti08YWEPnSEj+75lxfVRUfio4lOsvkW5RePzuBTdKxHe/Ioy+5kI6MrekvGqa/X&#10;7irT+I9bHfSspL32eQSfw6Pw2tjU91zGqzOu0j8hP1ne5arTma3iyQgv2ALhUY+Pq+z/YdedMTHW&#10;bi9tLP+q48zhkWdo85++WOOaNdnosA5Bnoz19l4Z8n74wx4xvJeRn7zJPvJfdV/2Uz8fiHFr74A+&#10;eK7Vr5yV5n0ezIudGtw8rBBt2mcbs/vse3a+tjGacYre3Mefas0WGtm81mg6C1q+5NVX987whk9k&#10;ZXzvh4cpw95Dr/d+6s7ckTZ7WK19tmroChYp27tyfsVu9i0Gf/QXX1Jv9Nm8mL6sA7O1mf00aIpM&#10;X3/xa7Z+eM89g3yc5ed5QFqeC17+spcOdIdmob5alx1+yqtOfih99J4GNqcNvMjZhqknvJhyGB0Y&#10;62MvbSz/KuNgqP1QWQdLbsaIi4w9S8sT2TtzwToE+VxkL5/7iy58/hYfH182mjcdo0Pj8G5x219g&#10;r21kEz4IrXEwR7X27WHhtHZgdOYJ5w2z/eDMJz764cFvg2byQqv7jHHflZBXeWvH0qfITBmYai6O&#10;jPGktd92q3spE5n7VqF3HtoIrmi/t39dWXjEd6Zc6KRfiy79DVajFT6pZxHdoc+chGZn2PmWYeo3&#10;z2S+6tWzqP5lxV//6U/N3mHiBfr0FQ/xJfOxOGP3e/979wlYHdr5+Z3p2paPnqQ+aeKE3g/kGSnz&#10;2rL6tKn14INrjL5e2lj+VcZFpjl7LzINjfTE+2z54DX9pkfy5R0Ln1rmavI9anOy9y18jXwFznmP&#10;7uIBvzxbdp1YzaaGIeYKuOviv97B7a8N6xpgbmRCZs/6s2fM/B98OME9fYrc3HuWiA7Qs/b5eK96&#10;F7mrz2XOzrdSok/svEX1BmfN+cGTFufFzV/qzXmo6tVusHasnTY99MKzfB+HnFPPWPnDiAtdvq+m&#10;f+GF5z0ydomPTK33CF3KpnzizPPB9tjhqVM9qZNfJXNuyp4KIR64xvraSxvLv+o48jFOvFvLHE6W&#10;OdsRXvkGaUsHnfYsxi7x7CktYyR4fVTk7lkBDuZiX/OTvuOaq4c1FcFHmHmY9nTbFtrSPt6jSTq7&#10;Wbz5xDo2e//4NPI+1JqQnHkbnDM2yZl8806B/OBY8LKV9W7vlR/0YFufhOrif9ZWLj6Q5JuvV7xL&#10;GTgUHMl4GQvVy66mezBKm/P1tv/bttu8yvKFeTcoz7p0N/QJzSHW/phHrK2N/ITeWXhWYl/Ii35h&#10;7vW55Yf3jvaSO0dEeTogtNbevir2SmTf1tHybqr30aux/vXSxvKvMi7yJSe2Mdoix9BJpuy2lg7l&#10;/G/1oU0/SvfGaHwFO/i3vjUfLT7v9z5zjvJ87ZGjkF0lJFNr44+SnIrWE9eMFD+Ww4+MjzF+9tLG&#10;8q8yLpirDd9ICW1Cto0x7d5zs/eM8mf+jV0S/9Yq6Vxl3VPD6tjcfNrnnHXWDJ9jq8Jrz8TWDayS&#10;r1X3crCk+LhaPgbzxvjcSxvLv+q4PD+ykX1LwjoOz5bohNV5Zvb9Y7TIH3t81bQdRv1Tw2o+Ec8J&#10;L/+rl818CfFBxK7Od5raufoweF1trBZ3ir97528Pj3tph83r2MZpl4+MvxA+x66OT0RoP4W8/HnB&#10;6/ipU8dRC6eG1exqezPyPom+Ze4NVls3MC/7oya3onfvuFQ8eyjPenjcSztsXsauyvtF7YvL2Rjw&#10;uR3rvr8BC1o/dflAfrNXZb8+5mWXe9lfvmT2XER+5t3Mva/e/q4m+UX2h61z1d5D8aJ4sj6e9PC4&#10;l3bYMjNeW/sq9rK1u2wxPpDYZO5dT3riE4fvLaO1LXvYtC+rvanZ1fbAxH6Gz+bbPBvxY2VdHrxe&#10;Fg+rnvVhTfH+YLzv4XEvbVP4bjw70ww2h968kzL+7aNaRCv8P4jNFpvdPJC5IHOIcFG7+41fNVZn&#10;j/ewvm57revOOo2vDmuk2dP+C/NOcLc2tnV6ymSdtXqcu9Nis3u+EHIkz/CIfFbBy9Rf4cHwo/h3&#10;ePwLvo3xvJc2ln9dcdZU22cQ2yz2tdD4f++17xrGe7A1NnrwdT94zZ/SPp+nLj5x96kz8cvgzSqx&#10;Gpa6sibQPewONicN7mb99G6xOnWkrLPlYTP9Skh2+W/PRPi2Cj4uQxZVx+FhVPF6h9c9PO6lbQr/&#10;Mqa9S8w7qtbGdm8dX/Yrzr9fDBbstT95Llc+96kjNC3bP75KrLZuzn6T2MBCGGsvGTtYGowWwvO9&#10;4LQ6YL0y9p3a25KzTMin9WE5s4eMwrvwdr9yikwqLGw96jrQw+Ne2qb12/kM3jOy02Jfoz82tr3M&#10;aM6ZEqH/oBhg7a89ry573Nvzo7QR3E57BwlXidVw2D5DmG1/mH2Ft95042Bb76yt2/GBwN3g+G7x&#10;GtbDamVzlmh0i6zMpULPRs6GDo/gNP65Diqn1FlhYfZR1YGMmTH6e2lj+dcVF1uZzXfBc549+Dxh&#10;NptNmHtnfMlj3LPb9jv+lYMj1g06B9J8oA1+cvts+dBTd8Jl8GaVWA1PnX8FN/VDf8jftzikuWB2&#10;/Bi7xWn5+FL4NfJNw8yf5JPLmdLOMcbX8ExYOF3YuoyxM4U6enjcS9u0vhvXGePOJEB7fKCwJ/ew&#10;AXYE3/VjP7avMs6R1o4zSdXr3tl+8CmYI1wWr1aJ1cduu3WgPxitL/wUzicdbOJtnIbVbOO9+kCU&#10;f+Yz/nTGI7IgE23gmzadJ5FnklY2kc9+ZLQsvlc9NV9sgg4YL64xWnppY/nXEddiofUC7GX+iGBn&#10;bLj0RWjdbmgNBqSehFkvBv9hh3yZC4TO0ldX7OnUD4PscU/9+wnTTmjLf+faxFfRvvfbi427KK9z&#10;SWEovgnTL/+dfRWchru7wWr2t28jsMedkRdsJo923lS/s7jwqeXxfvhWZQpTp6wDwZixPvbSxvKv&#10;Kw6WBc/Q4Bsyzp+DA7Ah+OMeBrngtTVkKZcQXrQYmfiEcPveH/1wOL8i9eOTexe7Ot8aVU+wf6+8&#10;SXvKhyZnLcNKOB2fccJFGLzbeN/dYkcHp9MnvHL+Hbs3a0QW1Yku/u4dPN/59qM11OF/9EmdkYXv&#10;r7fvENLvvfKr8hdOT10HMn7G+tlLG8u/rriM76zDDdbe8K+fHrAndlzWicTG07/4r2GwepRNfS2G&#10;5LlcG75dBGuCN8F/9bHpUx4/QsteeNPiu7q0KYTVzq+Ghfv1HS/CWfX98yc/MTwr6Ad8Feqj0Dl4&#10;mSPkXVSP86szn7z4hS8Y5kV1pD6yyD3f0Y/vu3eYz8Lf/fBrL7ytvIXpR1UHjEPXGP29tLH864gL&#10;Lsb+DOaixbi3/00/4Gn6E+z2/5V//YpZ34PTWS/mf4shwVC2YOoLZsOfrDVJvtS3H774fqRyaV8/&#10;fRuX3QorhzP8t30M/i/Czb3EqxMW64P3i+FV+uk73/wZ/BqL6oXT0tj69o6rJ7isPnw3T4oTWneC&#10;R/qpf+H7fvhVZQqDp64DGZNj/eyljeVfZ5yxHtyOfS3k4/WNpmBGbOCE4q1B4A8JbsyH8BL+qv/f&#10;tm11GBR7U6iuMx53xtbd222FB+pIPYnbT5g5yPnrz37mM7ee86xnbfkOB4zO2oxF2LmXeLYwrHX2&#10;f753iDfBVX1802WXDm32/NV8Kb5tG/tZGF6HZ08///xhriEfPMLf8Cpz0354VWUKr6esAz087qVt&#10;Ck/gZ8Y8mtox7z74HbyGPcEM/YMjsNfaEd9zbPvFB5L6Yivz3SoT3sSfcs1brhrKyu/KfJHybb0n&#10;u9dWysvL56LN0O3+4u21gcvEanY1fxDb+rLj5/63OItv/suzyAfie+T89S2d4ZXyeCY0L+pXeJP5&#10;SFzkdTIeVXrh8qmmA8GcsX730sbyb1pc8BUm/M93vzPYey3mwQ0XbBHv3doVl182+36n/ijrgiFC&#10;NmfKBHse86jHbN115x0n4PxBeJH21KHds5785BnOpU30spvZw3uxnxfljQ9c+hc//7ktfQp/wjM4&#10;3LbHvobb7PFLL3n9kF/e2NTKp6w473Nhvf6V/VxYe5AxciqW7eFxL+0o8KrFBPdobr//pX+tDZj+&#10;2j/n24bB+rav9vLBIHnZ1Gxy9uQy7cHQyn+LBninvbQbDFwmVqsL9vJH8yP73mDLH3zy7MAXzVfO&#10;/ubv4DPx3TTpecYIH8MjOH31VVfO5jL9Wya/WvnUfc0BU9WBjKux/vXSxvJvUhwsgHVwYd6X8fdv&#10;vHzYv6J/wWp40v63RoF9GUxpn9Mvee3FQ14Y+ppXvfKE5/ll8CBYjW71RQ5jWL3ITt5rPP+3vTZ5&#10;Z2nPi3XV+V6t/aCpE6azpdnU/Ofoy3zi2SR0BrvV4QyA8CY8zf8KC19LB06uA8GBMV710sbyb1pc&#10;nrNhgyt4a43Fdf/47uF8a7gydsEeWGPPOPwKfuqje/uhl+n3mOcdetNm6Ase+u+evzr4edBw8H0f&#10;35PIdvaf7WxfjzlL/bDZ5Zvjzlg6/bTTH8I7zxloQ6P5z/vI+N4zd+rr2DPLPA/q/8nHb/Ho1OFR&#10;D497aZuuI+36r+BC8DoY/ouf/3zrGX/yxwOuxL7W52BhMBLmfPwjHxrsQnXoe3A/dS2TH2kjYWgL&#10;VidcJlbzQ/Np5N3hzjqTrw6YHRyXh2/EN3fQkMt/85qr3W//ofdfN3suafmU54Vl8qzqOnUw61SV&#10;dQ+Pe2mbzi845wpGwFZX9o6Ld33zG1+f+T6yVyb+EP0PLgrtwXvggfsHezdzgTbUm3aWwZfY0+pV&#10;f+TQ0iJumVjN55H3i8Fm4c711a3/+o+vbF34vOfObGbzWOgStv/x0Z6dGa+P7+UJb5bNr9RbYeH1&#10;lHUg422sj720sfxHIS74F6yFiz/4/ve23vD61w04BKeDie5jWwvFw6Gr3nzF4B/QX+UzL+RevHZc&#10;4Yk8yd+GSW/D5BUXrGZbx75mv6IHtu4Vr/kw+DOUFSqfeqRlbUfqve3mzwz79Z9wxuOH9sMHvHCh&#10;qQ3tE4L74UXLg7aPdV+4WjqwNx3o4XEv7ajzGZa42n7cfustw/M9n2v6HkwSem8m3r3wqeecM/iy&#10;Wz8sbE29v/rVr4b6xcVnqz3/k9a2n3vpyec+WKhNWCmE1/s5C8Q7wR1s3vleAJ8HzOabdi+E2V/8&#10;3LHhHOuWF9rUduhAS+ixxk896PaMAaOX+awR3lS4t/Fd/JoOvzL2xmTaSxvLfxTigoOh1f9cMNZ7&#10;x/e959oBl+FQ/CEJ8QR+BaPcv+gFFw1nafiWmHrVo86ELWYFx3v2pjwpq57W9wC3tW2dHGzc6+U9&#10;KdtZudjY7tnRbOj3vPudW3/x/OfN9mbqd2znzBnaj41vjYdzsqxfR3P6hW736W/4XeF0sKNkebiy&#10;7OFxL+2oyikY2trCsQPTJ/jC7rWXO9gcXsSm9r+9T/o5Z5012KSpq/W1JO5k+NViuzJ333Xn1sMf&#10;9ojZ/OD9nXOp4GuLt7vBbbb4zDd9fN3H5499dvhGgz7E7+M+vpb0jf+nnbOsA9Fm+Ie36A1Op78V&#10;Hu6YLn5Pk98Zh2Py7aWN5T9KcfAlmMn+a/GlxUprGYJPwtiW4U3sy+SBb+L+ZvvMqJtuuH7AsdTH&#10;DxI86/EqdLU4f/2nPzV8p/BRj3z01lv/4codu/g41u4Go5NnwOptHwdfx2dvuXm2lxP96G5tZn1M&#10;v9Lf5HvjpW/Y8v2y+f6Y49q49r7X50qbJr6UXJcn14zBMZ720sbyTyUu+CKEm9ZR27N32u+fNtjZ&#10;MC02NWxz5T+eBb/5R3wD0llG1nNbl2xfoG9/qbv1F6TNlofaDm5Lv2Pbz5D3f87UgL95R9jei4tP&#10;Ou8I7bf8wHXvGfYPvuRFL9x63B88bmanB6PRHqxOf4Tx+Zz31KcO38Jpv6UwT3f+t3S3far75Y3d&#10;4uWpxcseHvfSThU9gTntM/6N1//LsJcPhgWT3Qev5+3QNs29MzX4MNjdsJN9G162645bnI5dbl8h&#10;TOZz9h4weCwOhvNt8EW7+Eg+9uEPDmfC5pvB2o9MW0x2j27prvQrfRK+99p3DXTmGSQ0V3hq4UXJ&#10;e33yztgdk0EvbSz/FOPYiXAz9qI+wldnhsTfke+p4BdcE7JFhVk7AQNznzzBR/HOe4aHvlVgHwpb&#10;PhitTe371kDOQuXLcDmP458+9pHhfai1hE8779zBltd2sDf36AwWmzNCv/Tkkd7ON2efeebWl7/0&#10;xdk7U1id54Epyrv6tD4sKt73eZ9xOsanXtpY/inHtXZusOruu+4c9jM+/7kXDOuug42wLrapUDx8&#10;Fg/D/YeTQunSUjb/8V5+l7zWNz/5SX847Iv3X5nkTRvKuE/7qTP1J30+TLpy0uzl9I1E6/Z8D03f&#10;ybadO6Ys6+pbHzOKP+vhj7HpGuN/L20s/xTj4FSwWf/iD3HP1s266W9/65tbf7t95mcwOLgHB8PH&#10;hPA090kPXsLXxCXPfChP9lgmbVE5dbmC4fE9p1xC9Tm32hl7bX/zPFE4vZ7xOcUxVX3any5lrI7x&#10;r5c2ln+KccGq4FdCfY292drcDz744HCuxrvefs3WJa977XD2dHAYP1tMdQ9Dg6f+J48w5dp85oDk&#10;b/PKk0u6etv62nvp3pNat/22t75l+O7tT3583zBf62/6nH61OK3/SZ+ivKtP+8OR4tvq+Wa8u8Z4&#10;3Usby19x4/LyLtA6EuuRw1Mh3G0xNL6N1iaXHswORrdlgsvqU77F6Pn6+Z59S8HZHpFVngvyv8Jx&#10;GRZfii/r1oFgxxgdvbSx/BU3rs+xVZ1lxMdtfYa9jo999GMHbMVnGBt+Cx/2ew8fcDzxLQYHv5M/&#10;7zHb+Nz/0bnnDu8dvYeMfNADo3e73jvlKhyXb/Gl+HIYOpDxPtZWL20sf8WN6yxfwpjfQNx99/5o&#10;WNvxhWO3b9nvAsftcbfX5LK/u2TwIV9x+aVbL33Jiwd8dzaSM7XZx+KF9oVbP+KbNzfd+G/Dfkbf&#10;jrSXRhvx1YSG+DZCV+JLfuPyK74UXzZBB3p43EvbBNqPGg3ByDG6W0zlE05eofzi5n3F/MjxYUiT&#10;L/kT37aljTFcTpk2b90XPpUObJYO9PC4l1Zy3JscYWTwFjbC2RYjg63iEs8uDgbjtzqSL/z3X/7k&#10;CxYLU4+8bR552/eFKZM6K9ybbItfxa/D0IEeHvfSDoO2qbQRXISJudI3GBqsbNPm41vcVbYtk7rE&#10;we6kpQ7hovIpW2HhTenAZutAD497aSXXzZZryafkUzowLR3o4XEvrfRgWnpQ8ix5lg5stg708LiX&#10;VnLdbLmWfEo+pQPT0oEeHvfSSg+mpQclz5Jn6cBm60APj3tpJdfNlmvJp+RTOjAtHejhcS+t9GBa&#10;elDyLHmWDmy2DvTwuJdWct1suZZ8Sj6lA9PSgR4e99JKD6alByXPkmfpwGbrQA+Pe2kl182Wa8mn&#10;5FM6MC0d6OFxL630YFp6UPIseZYObLYO9PC4l1Zy3Wy5lnxKPqUD09KBHh730koPpqUHJc+SZ+nA&#10;ZutAD497aSXXzZZryafkUzowLR3o4XEvrfRgWnpQ8ix5lg5stg708LiXVnLdbLmWfEo+pQPT0oEe&#10;HvfSSg+mpQclz5Jn6cBm60APj3tpJdfNlmvJp+RTOjAtHejhcS+t9GBaelDyLHmWDmy2DvTwuJdW&#10;ct1suZZ8Sj6lA9PSgR4e99JKD6alByXPkmfpwGbrQA+Pe2kl182Wa8mn5FM6MC0d6OFxL630YFp6&#10;UPIseZYObLYO9PC4l1Zy3Wy5lnxKPqUD09KBHh730koPpqUHJc+SZ+nAZutAD497aSXXzZZryafk&#10;UzowLR3o4XEvrfRgWnpQ8ix5lg5stg708LiXVnLdbLmWfEo+pQPT0oEeHvfSSg+mpQclz5Jn6cBm&#10;60APj3tpJdfNlmvJp+RTOjAtHejhcdIq/N2t4kHxoHSgdGATdGBsDt4EuoqGGh+lA6UDpQO/0YEx&#10;rK64aT1DlTxLnqUD09GB39ra2vqd7cvvt7cv9/8PAAD//wMAUEsDBBQABgAIAAAAIQAKEEit4AAA&#10;AAgBAAAPAAAAZHJzL2Rvd25yZXYueG1sTI9PS8NAFMTvgt9heYI3u/lTY4jZlFLUUxFshdLbNnlN&#10;QrNvQ3abpN/e50mPwwwzv8lXs+nEiINrLSkIFwEIpNJWLdUKvvfvTykI5zVVurOECm7oYFXc3+U6&#10;q+xEXzjufC24hFymFTTe95mUrmzQaLewPRJ7ZzsY7VkOtawGPXG56WQUBIk0uiVeaHSPmwbLy+5q&#10;FHxMelrH4du4vZw3t+P++fOwDVGpx4d5/QrC4+z/wvCLz+hQMNPJXqlyolOQvnBQQZREINiOlylf&#10;OylYJnEEssjl/wPFD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oN638lEEAADsDAAADgAAAAAAAAAAAAAAAAA8AgAAZHJzL2Uyb0RvYy54bWxQSwECLQAUAAYACAAA&#10;ACEAt3lzc9vLAABI1wkAFAAAAAAAAAAAAAAAAAC5BgAAZHJzL21lZGlhL2ltYWdlMS5lbWZQSwEC&#10;LQAUAAYACAAAACEAChBIreAAAAAIAQAADwAAAAAAAAAAAAAAAADG0gAAZHJzL2Rvd25yZXYueG1s&#10;UEsBAi0AFAAGAAgAAAAhAI4iCUK6AAAAIQEAABkAAAAAAAAAAAAAAAAA09MAAGRycy9fcmVscy9l&#10;Mm9Eb2MueG1sLnJlbHNQSwUGAAAAAAYABgB8AQAAxNQAAAAA&#10;">
                      <v:group id="그룹 35" o:spid="_x0000_s1149" style="position:absolute;width:21545;height:27749" coordsize="21545,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150"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82" o:title=""/>
                        </v:shape>
                        <v:shape id="Text Box 7" o:spid="_x0000_s1151"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236927BC" w14:textId="2B7AB31A" w:rsidR="006D7011" w:rsidRDefault="006D7011">
                                <w:pPr>
                                  <w:pStyle w:val="af0"/>
                                  <w:jc w:val="right"/>
                                  <w:rPr>
                                    <w:rFonts w:ascii="Times New Roman" w:hAnsi="Times New Roman" w:cs="Times New Roman"/>
                                    <w:szCs w:val="22"/>
                                  </w:rPr>
                                </w:pPr>
                                <w:r>
                                  <w:rPr>
                                    <w:rFonts w:ascii="Times New Roman" w:eastAsia="Times New Roman" w:hAnsi="Times New Roman" w:cs="Times New Roman"/>
                                    <w:lang w:val="pl-PL"/>
                                  </w:rPr>
                                  <w:t xml:space="preserve">Rysunek </w:t>
                                </w:r>
                                <w:r>
                                  <w:rPr>
                                    <w:rFonts w:ascii="Times New Roman" w:hAnsi="Times New Roman" w:cs="Times New Roman"/>
                                  </w:rPr>
                                  <w:t>D</w:t>
                                </w:r>
                              </w:p>
                            </w:txbxContent>
                          </v:textbox>
                        </v:shape>
                      </v:group>
                      <v:shape id="Text Box 122" o:spid="_x0000_s1152" type="#_x0000_t202" style="position:absolute;left:10541;top:190;width:8585;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1607569C" w14:textId="46290ABC" w:rsidR="006D7011" w:rsidRDefault="006D7011">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pl-PL"/>
                                </w:rPr>
                                <w:t>15 – 30 minut</w:t>
                              </w:r>
                            </w:p>
                          </w:txbxContent>
                        </v:textbox>
                      </v:shape>
                      <w10:wrap type="square"/>
                    </v:group>
                  </w:pict>
                </mc:Fallback>
              </mc:AlternateContent>
            </w:r>
          </w:p>
          <w:p w14:paraId="1E13B208" w14:textId="29AB8F28" w:rsidR="002E5800" w:rsidRPr="008F328C" w:rsidRDefault="002E5800">
            <w:pPr>
              <w:spacing w:line="260" w:lineRule="exact"/>
              <w:rPr>
                <w:rFonts w:ascii="Times New Roman" w:eastAsia="Times New Roman" w:hAnsi="Times New Roman" w:cs="Times New Roman"/>
                <w:b/>
                <w:bCs/>
                <w:lang w:val="pl-PL"/>
              </w:rPr>
            </w:pPr>
          </w:p>
          <w:p w14:paraId="74A1AE47" w14:textId="77777777" w:rsidR="002E5800" w:rsidRPr="008F328C" w:rsidRDefault="002E5800">
            <w:pPr>
              <w:spacing w:line="260" w:lineRule="exact"/>
              <w:rPr>
                <w:rFonts w:ascii="Times New Roman" w:eastAsia="Times New Roman" w:hAnsi="Times New Roman" w:cs="Times New Roman"/>
                <w:b/>
                <w:bCs/>
                <w:lang w:val="pl-PL"/>
              </w:rPr>
            </w:pPr>
          </w:p>
          <w:p w14:paraId="79A7BDAB" w14:textId="77777777" w:rsidR="002E5800" w:rsidRPr="008F328C" w:rsidRDefault="000E0B7C">
            <w:pPr>
              <w:pStyle w:val="a3"/>
              <w:numPr>
                <w:ilvl w:val="0"/>
                <w:numId w:val="25"/>
              </w:numPr>
              <w:rPr>
                <w:b/>
                <w:lang w:val="pl-PL"/>
              </w:rPr>
            </w:pPr>
            <w:r w:rsidRPr="008F328C">
              <w:rPr>
                <w:rFonts w:eastAsia="Times New Roman"/>
                <w:b/>
                <w:bCs/>
                <w:lang w:val="pl-PL"/>
              </w:rPr>
              <w:t>Odczekać 15 do 30 minut</w:t>
            </w:r>
          </w:p>
          <w:p w14:paraId="33244E45" w14:textId="77777777" w:rsidR="002E5800" w:rsidRPr="008F328C" w:rsidRDefault="000E0B7C">
            <w:pPr>
              <w:pStyle w:val="Default"/>
              <w:rPr>
                <w:rFonts w:ascii="Times New Roman" w:hAnsi="Times New Roman" w:cs="Times New Roman"/>
                <w:lang w:val="pl-PL"/>
              </w:rPr>
            </w:pPr>
            <w:r w:rsidRPr="008F328C">
              <w:rPr>
                <w:rFonts w:ascii="Times New Roman" w:hAnsi="Times New Roman" w:cs="Times New Roman"/>
                <w:lang w:val="pl-PL"/>
              </w:rPr>
              <w:t xml:space="preserve"> </w:t>
            </w:r>
          </w:p>
          <w:p w14:paraId="12DB7E5E" w14:textId="303BAE3C" w:rsidR="002E5800" w:rsidRPr="008F328C" w:rsidRDefault="000E0B7C">
            <w:pPr>
              <w:pStyle w:val="a3"/>
              <w:ind w:left="4117" w:hanging="180"/>
              <w:rPr>
                <w:rFonts w:eastAsia="Times New Roman"/>
                <w:lang w:val="pl-PL"/>
              </w:rPr>
            </w:pPr>
            <w:r w:rsidRPr="008F328C">
              <w:rPr>
                <w:rFonts w:eastAsia="Times New Roman"/>
                <w:b/>
                <w:bCs/>
                <w:lang w:val="pl-PL"/>
              </w:rPr>
              <w:t>a.</w:t>
            </w:r>
            <w:r w:rsidRPr="008F328C">
              <w:rPr>
                <w:rFonts w:eastAsia="Times New Roman"/>
                <w:lang w:val="pl-PL"/>
              </w:rPr>
              <w:t xml:space="preserve"> Pozostawić wstrzykiwacz w temperaturze pokojowej na 15 do 30 minut, aby się rozgrzał.</w:t>
            </w:r>
          </w:p>
          <w:p w14:paraId="098B92B3" w14:textId="77777777" w:rsidR="002E5800" w:rsidRPr="008F328C" w:rsidRDefault="002E5800">
            <w:pPr>
              <w:pStyle w:val="Default"/>
              <w:rPr>
                <w:rFonts w:ascii="Times New Roman" w:hAnsi="Times New Roman" w:cs="Times New Roman"/>
                <w:color w:val="211D1E"/>
                <w:sz w:val="20"/>
                <w:szCs w:val="20"/>
                <w:lang w:val="pl-PL"/>
              </w:rPr>
            </w:pPr>
          </w:p>
          <w:p w14:paraId="4A87997F" w14:textId="77777777" w:rsidR="002E5800" w:rsidRPr="008F328C" w:rsidRDefault="002E5800">
            <w:pPr>
              <w:pStyle w:val="a3"/>
              <w:numPr>
                <w:ilvl w:val="0"/>
                <w:numId w:val="0"/>
              </w:numPr>
              <w:ind w:left="911"/>
              <w:rPr>
                <w:b/>
                <w:lang w:val="pl-PL"/>
              </w:rPr>
            </w:pPr>
          </w:p>
          <w:p w14:paraId="4F186704" w14:textId="7C980B3C" w:rsidR="002E5800" w:rsidRPr="008F328C" w:rsidRDefault="000E0B7C">
            <w:pPr>
              <w:pStyle w:val="a3"/>
              <w:numPr>
                <w:ilvl w:val="0"/>
                <w:numId w:val="17"/>
              </w:numPr>
              <w:ind w:left="4297"/>
              <w:rPr>
                <w:lang w:val="pl-PL"/>
              </w:rPr>
            </w:pPr>
            <w:r w:rsidRPr="008F328C">
              <w:rPr>
                <w:rFonts w:eastAsia="Times New Roman"/>
                <w:b/>
                <w:bCs/>
                <w:lang w:val="pl-PL"/>
              </w:rPr>
              <w:t>Nie należy</w:t>
            </w:r>
            <w:r w:rsidRPr="008F328C">
              <w:rPr>
                <w:rFonts w:eastAsia="Times New Roman"/>
                <w:lang w:val="pl-PL"/>
              </w:rPr>
              <w:t xml:space="preserve"> podgrzewać wstrzykiwacza za pomocą źródeł ciepła np. gorącej wody lub kuchenki </w:t>
            </w:r>
            <w:r w:rsidRPr="008F328C">
              <w:rPr>
                <w:lang w:val="pl-PL"/>
              </w:rPr>
              <w:t>mikrofalowej</w:t>
            </w:r>
            <w:r w:rsidRPr="008F328C">
              <w:rPr>
                <w:rFonts w:eastAsia="Times New Roman"/>
                <w:lang w:val="pl-PL"/>
              </w:rPr>
              <w:t xml:space="preserve">. </w:t>
            </w:r>
          </w:p>
          <w:p w14:paraId="7634E209" w14:textId="77777777" w:rsidR="002E5800" w:rsidRPr="008F328C" w:rsidRDefault="002E5800">
            <w:pPr>
              <w:pStyle w:val="a3"/>
              <w:rPr>
                <w:lang w:val="pl-PL"/>
              </w:rPr>
            </w:pPr>
          </w:p>
        </w:tc>
      </w:tr>
      <w:tr w:rsidR="002E5800" w:rsidRPr="00A5286D" w14:paraId="046CDDA6" w14:textId="77777777">
        <w:trPr>
          <w:trHeight w:val="5025"/>
        </w:trPr>
        <w:tc>
          <w:tcPr>
            <w:tcW w:w="9550" w:type="dxa"/>
          </w:tcPr>
          <w:p w14:paraId="082A234C" w14:textId="38EAF45C" w:rsidR="002E5800" w:rsidRPr="008F328C" w:rsidRDefault="00B56B0C">
            <w:pPr>
              <w:spacing w:line="260" w:lineRule="exact"/>
              <w:rPr>
                <w:rFonts w:ascii="Times New Roman" w:eastAsia="Times New Roman" w:hAnsi="Times New Roman" w:cs="Times New Roman"/>
                <w:b/>
                <w:bCs/>
                <w:spacing w:val="-1"/>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04" behindDoc="0" locked="0" layoutInCell="1" allowOverlap="1" wp14:anchorId="70E7F4C4" wp14:editId="5BA62859">
                      <wp:simplePos x="0" y="0"/>
                      <wp:positionH relativeFrom="column">
                        <wp:posOffset>-65405</wp:posOffset>
                      </wp:positionH>
                      <wp:positionV relativeFrom="paragraph">
                        <wp:posOffset>172720</wp:posOffset>
                      </wp:positionV>
                      <wp:extent cx="1824658" cy="3219450"/>
                      <wp:effectExtent l="0" t="0" r="4445" b="0"/>
                      <wp:wrapSquare wrapText="bothSides"/>
                      <wp:docPr id="1041" name="그룹 1041"/>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1042" name="그룹 1042"/>
                              <wpg:cNvGrpSpPr/>
                              <wpg:grpSpPr>
                                <a:xfrm>
                                  <a:off x="0" y="0"/>
                                  <a:ext cx="1824658" cy="3219450"/>
                                  <a:chOff x="0" y="0"/>
                                  <a:chExt cx="1824658" cy="3219450"/>
                                </a:xfrm>
                              </wpg:grpSpPr>
                              <pic:pic xmlns:pic="http://schemas.openxmlformats.org/drawingml/2006/picture">
                                <pic:nvPicPr>
                                  <pic:cNvPr id="1043" name="그림 104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44" name="Text Box 1044"/>
                                <wps:cNvSpPr txBox="1"/>
                                <wps:spPr>
                                  <a:xfrm>
                                    <a:off x="1104900" y="3073400"/>
                                    <a:ext cx="719758" cy="146050"/>
                                  </a:xfrm>
                                  <a:prstGeom prst="rect">
                                    <a:avLst/>
                                  </a:prstGeom>
                                  <a:solidFill>
                                    <a:prstClr val="white"/>
                                  </a:solidFill>
                                  <a:ln>
                                    <a:noFill/>
                                  </a:ln>
                                </wps:spPr>
                                <wps:txbx>
                                  <w:txbxContent>
                                    <w:p w14:paraId="11730246" w14:textId="34C39256" w:rsidR="006D7011" w:rsidRDefault="006D7011" w:rsidP="00B56B0C">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45" name="Text Box 1045"/>
                              <wps:cNvSpPr txBox="1"/>
                              <wps:spPr>
                                <a:xfrm>
                                  <a:off x="520700" y="2241550"/>
                                  <a:ext cx="1233377" cy="79731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B0249" w14:textId="77777777" w:rsidR="006D7011" w:rsidRDefault="006D7011" w:rsidP="00B56B0C">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01036F9C" w14:textId="77777777" w:rsidR="006D7011" w:rsidRDefault="006D7011" w:rsidP="00B56B0C">
                                    <w:pPr>
                                      <w:rPr>
                                        <w:rFonts w:asciiTheme="majorBidi" w:hAnsiTheme="majorBidi" w:cstheme="majorBidi"/>
                                        <w:b/>
                                        <w:bCs/>
                                        <w:sz w:val="18"/>
                                        <w:szCs w:val="18"/>
                                        <w:lang w:val="pl-PL"/>
                                      </w:rPr>
                                    </w:pPr>
                                  </w:p>
                                  <w:p w14:paraId="7BDD52EA" w14:textId="77777777" w:rsidR="006D7011" w:rsidRDefault="006D7011" w:rsidP="00B56B0C">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E7F4C4" id="그룹 1041" o:spid="_x0000_s1153" style="position:absolute;margin-left:-5.15pt;margin-top:13.6pt;width:143.65pt;height:253.5pt;z-index:251658304"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v8M5UBAAACQ0AAA4AAABkcnMvZTJvRG9jLnhtbOxX227jNhB9L9B/&#10;EPS+seVLtBHiLNKkWSyQ7gabFPtMU5RFRCJZko6d/k6B/kJboF/U/kTPkJIdJylyKVCgQB+iDO9n&#10;Zs4c0ofv1m2T3AjrpFazNNsbpolQXJdSLWbp91dnb96mifNMlazRSszSW+HSd0dff3W4MoUY6Vo3&#10;pbAJNlGuWJlZWntvisHA8Vq0zO1pIxQGK21b5tG0i0Fp2Qq7t81gNBzuD1balsZqLpxD72kcTI/C&#10;/lUluP9UVU74pJmlwObD14bvnL6Do0NWLCwzteQdDPYKFC2TCodutjplniVLKx9s1UputdOV3+O6&#10;HeiqklwEH+BNNrznzXurlyb4sihWC7MJE0J7L06v3pZ/vHlvzaW5sIjEyiwQi9AiX9aVbek/UCbr&#10;ELLbTcjE2iccndnb0WR/iiRzjI1H2cFk2gWV14j8g3W8/vaJlYP+4MEOnE0jwgTuC5vIEgiGk1Ga&#10;KNaCXX/88uufP/2WhK7On/+Mg0byAn9dkmE9SPLTxYBVfmlF2m3SPmuPltnrpXkDPhrm5Vw20t+G&#10;2gLzCJS6uZD8wsbGTtzHd+P+8+8U9zFVFK2iiXEZI7fONb92idInNVMLcewMKhO5o9mD3emhuXPm&#10;vJHmTDYNcZHszjtU8b0qeCRAscJONV+2QvkoGVY0cFQrV0vj0sQWop0LMMl+KDMQGXLlwSVjpfJR&#10;H5y3wvOazq+A4zOwE25WbAYC6C1O8sihppL56jtdYjO29Drow/NqKjsY5dOupob5/hSNeGC/3Fjn&#10;3wvdJmQAORCF7dnNueuw9VMItdIUP2zBikbtdMAJ6gn4CXFnwgGqM2iy68ON1oOAv0h2LmtmBFDS&#10;tjs0mvQ0uiJV+UaviUgT8ribSvKU+DVGOspQf0Tbi8VGpTKsPRhC6kmPhvl4Ajs43itWnh3kvWBl&#10;k/1h1KuN6oCtL4ut040se3rS2pPGJjcM982qll50iduZ9Tc52HpFll/P10Hg8lAl1DXX5S0iYTVS&#10;Dg+d4WcSB54z5y+Yxb2FTtzF/hM+VaNXs1R3VprU2v74WD/NR14xmiYr3IOz1P2wZKQhzQeFjNOl&#10;2Ru2N+a9oZbtiYarqBugCSYWWN/0ZmV1+wVX9DGdgiGmOM6apb43T3y8jXHFc3F8HCZFKTpXlwYC&#10;lgViU2Cv1l+YNR3lPfL5UfecYsU95se5RHVnjlF8ZzKUxTaKIDo1wO9gdRffv0d6lHe8s+6SPpQ5&#10;wUJ9vIT009Ew7zg/Gk2yaX8H95zPRuPxOM+jouQH+Tgb/TNB2aFzeKyJDe3niyjrCP3d0mhUAkLu&#10;j4HtMQVihQjPtU6/KAixwoPlbxsR1euzqFAV4TkSsksPxe3ZjHPIfH9+ozCbZkXVfv7Cbj4tjahe&#10;cupmRThZK79Z3EqlbfD+XsjK6x5yFed37HTRbwrBVg5C6qjrfzl4hRwoTXJQPSkHeG8jCTsP+rvt&#10;kKDtL5ijvwAAAP//AwBQSwMEFAAGAAgAAAAhAOOnyTzq6wAAuJ8HABQAAABkcnMvbWVkaWEvaW1h&#10;Z2UxLmVtZuzdZ7guRZUv8PaGZz7e+9xR5n6ZK0FMw4FBDChIGMQ0ICBZEAlHQEFUDKAoQZSgBMWc&#10;c0AwgAFBUFSUJAZQFBCOjAqKYQRRZyR4318d/j1FUzucI+zA6f08tatq1Uq1atXqqup+ux/Qdd2B&#10;k5S///WArrtkkvL35//TdWut3nWrb7n1k7vuAd2X3v933X+fNFYoBfXIv+u6Df9H1+0yafh6iO/K&#10;z9/0f3bf++N/67ab1Dec0OdvKCvw/z3hcekkbTsBPHySDp2k89+3nG717ttd2rWl/IBu9Untv/BK&#10;5a5/f/3rX7sxjTYYfWD0gdEHRh8YfWD0gdEHRh8YfWD0gcXkA6s/eK1uTKMNRh8YfWA2PjCMbWiG&#10;sLE+XgNHHxh9YOgDrVjRgg3pxvroS6MPjD7QihUt2Ogro6+MPjD6wNAHWrGiBRvSjfXRl0YfGH2g&#10;FStasNFXRl8ZfWD0gaEPtGJFCzakG+ujL40+MPpAK1a0YKOvjL4y+sDoA0MfaMWKFmxIN9ZHXxp9&#10;YPSBVqxowUZfGX1l9IHRB4Y+0IoVLdiQbqyPvjT6wOgDrVjRgo2+MvrK6AOjDwx9oBUrWrAh3Vgf&#10;fWn0gdEHWrGiBRt9ZfSV0QdGHxj6QCtWtGBDurE++tLoA6MPtGJFCzb6yugri9UH7rzzzrv9nlw9&#10;sNtvv/0ebXfcccfdYIu133OhdytWtGBzocsoY4xR94UPJF4kVtTxIW1y8NTvCz3ujzxbsaIFuz/2&#10;fezTqhGvxI3EjMSHOucHdT24o3/M7B+tWNGCjbac2ZajjRamjcSPrD3O/8p53UsPfnH3pH/Zoltj&#10;9Yd0a625dvfQtR/RbbP1Vt1Rh7+6+7frf9rvbcbxnHk8W7GiBRttObMtp7KRa1vacp1LPWvm1INb&#10;XwNrmqnKoR/m8DN3tLX4D2mG9chMXreH37Cthtf4w/6mLfjD+hCe9mGfhnipy1M+4zOf6tZ+yMO7&#10;h6z10BI3xA9JPfkGj3p0d/2y68p4oRvqG170qMvR67bbbmvC0558SFvXh2M/FU3g85m3YkULNp86&#10;LnbZ//mf/1F8qvYR5fiJ8l/+8p89zm1/+Usfb/Q9uHIJDK0Ufw1c/T/+488FJ3zSZs5FZvLZ2BZP&#10;ePWcHdJFRnSrc2U6Ra+6LbzBanj0k0v4BwZPHW3dR+3sSE/w0Ib3fs9dWuKEWPHcffbubXnrrbd2&#10;z9tv3z6OnHD8cZ0xC136Hfny8IdDj7Spp1zbJLzSlrEIL+2RE1+I34QmPFp80zbXeStWtGBzrdf9&#10;RZ6xjl9k3APjF/ENPgiuHjw2iC/VbSlrr8s1bXgHVtfju7WcqewNp8YLvxoOhl4efVMPHpm13PBJ&#10;DFAPLPJCW/OKLQOT1wmP4NR8yPnCmZ/tLvrWN7trrr6qt1vk/vqmX3UPf9gjy7rk2bs9q9cV7/AJ&#10;bq1n5MFJu/IwptQ6aksdjXJNG1gtt+Yf2oWQt2JFC7YQdF2sOvCHn//s37qPfPD93dve/KbuHW99&#10;c3fF5d8vfvPDKy7v3v6WUwrsfe9+Z4H96U9/KnV473zbW7orf/iDu/nwN87/amnX9oH3vrv3PfYh&#10;yxz+3ncu63lcduklZT6QFZ6XXHRh78Ozsas56Zp74Tcv6Pm+6+1v7c76/JndjTfcUOTiE5+v589X&#10;z/1y6Qd9yT9zso/47W9+XeR/+APv6/nRGf2vfnljscm73/G20nbtT64pcH0L/+is/oOJLemCt/SV&#10;c8/pbv7974tONT6d1G/4xc+7j3/kQwX3/e95V4c/3hs+bsOyBrGHqWNQ9DZ+6OuEji5f++p5hR89&#10;vvC5M3p7RM86x9tYvOedby92ofO5Z3+pu/UPf+j7F75f/NyZfb/Ykey01Tznq9yKFS3YfOm32OUa&#10;68999tPl2mafnf238r5L9ylnec7wpFe8/GXFb3/3u98WP84+3b49/mwOn/j640s7msc99nH/1TaZ&#10;H+bOVk9/euEXvvIXPP95nbmKp8RnZ2tbffjkxz/abbzRxoUv+pwXRMbxx7y2u+Xmm+82t8wH13I4&#10;+i0F/1Hrb1DmDz78Dc+rr/pxoTe31MHh61M9Z5XZ4xc//1mxIVx40QvPTTZ+YnfB187v6WI/83Gd&#10;Ry7p9SCDXiccf2z32Ec/tsDRs01kRu9nbLXV3eDsAkdcevpTn9rLF4f+/Ofle8ihjX95443dPnvt&#10;Wezn3Jas6M6+Xz//K33cw/tFB72gxzn6yMMXVOzQt1asaMGGdhjrd183T2UPc2jJOusW3+Lf222z&#10;TVmDvPqVr+h9lQ9ZO7sm4vP73/978RlwYyH+hD+fsj9Pm/ihjS//5Jqru3WXrNf729b/+q8lThx2&#10;6CE9LP4qfuAVvskDk+MJfuxrjy66Zh7V87SGPefZuxfdw+Mtbzq5pyNXesmLX9S99ZQ3dk/Zcsve&#10;JuDme+isJ/QbXH7+eecWPbRHL2cDu+68U+Fv/h04iY/6dMjLXto94uH/VODsLibFPj++8ofFzvjS&#10;+7VHHVloDjrwgIIPLuEXXeTR41+f9rTeXrUu4hSa2EJZzA8P8pXF/l122rH0W7+22Xrr7qQ3HN+9&#10;/thj+r0Tna3pslY6+EUv7OW/7jVH9fIzXvOd68dQhxZsiDPWZxc/7B34k7TH7rsVP4pfZT2gjY+e&#10;/cXPl+vqysQPPK1f+LDxswap1/Ann/CG0pY5Mt36I9dVY3zaJz7W6y/GWe//5tc3lbng3PGjH/pA&#10;iY9kiis77bB99+///rsSew543v69zONed3QnJSbp41Of/OTCG99nbrttP99mih/6al4ljomPYEn2&#10;dGKnNZfrubWH9MpDXl7szAanfuwjRRc0+ilG4pexCFw+VfzAU39eNrkfjI4NxHNjYG0ZfeTwvvSF&#10;zxUZ1h1oyBUn8LF3NWbOce2Xco704rvWH3iP8WN2c+7+FJu+e9llxf/4DF/QN/7Eb372b9cXX+O3&#10;/MN1DHxl4ge+m22yaeGHl2t/8c/JNY9/OjMEz1zgozPZGZ39Bzrzw74pPOWJBaecfFJ5hgKeuSMO&#10;ajd/I/P0Uz/eSeCZd696xaG9vtYu7KJ9uvih3R4g81V/LvzmNwpPttMupUxH8sA232yzPkY4Y7Ie&#10;CL61CV7hG13ksdlw/ZH+r7fu+n3/jXH2JeJ3dMFH/MQfP+e42sDDp+BOdFKP/HH9serFjPik3Lk+&#10;/+I3zuXsUZyl8g/nhHxJEkP+lvXHH265pcggh/9+9lOnFf/M3DFX7BEiT/yIj9b6xp/58FU/urLw&#10;opu48NNl1/XzLXzhgUeu66d+4HPyCa8v8ugjtknOH9BIzkyyXtp+u+36eTRd/MD3u5d9u9BlLl53&#10;7U/6mBTe+kTH9PH6u3TU/5xjwIUnF2/sHTIWoZODiYPD+IH2m9/4emmny7N22aX79Gmn9uNgHxJ9&#10;5Acd8Pw+Fl97zdVFt7pdmbzAlMf1x6odP/jYJz764eJTWWfI7f8PP+yVxff4pzV8zjmcn/LHJPcr&#10;8ImvWwdo49M5/7j+p8t63wf3nCU/DA1ftJ9AR/50+xe4kjMauPSzDglcXs9NdfcfbvrVL++mp33O&#10;Ds98Zj+/yBYv8BRn7OfA9N3aHR/61vGDbH3Rlvmljk7S15STR2e09jFov3XBN3r76It4Cp44qEwH&#10;tPio00WOT3jV+NrtGeFrv/jCb5Xrhf6ImfoYGXTf/VnP6vmjgRdda93ZKGNen586ryFzISX2H+rT&#10;gg1xxvrsxjF+aH6bs875Mqf4XPxH+YxPn17GwvlB/Fg+vG+Y81N+5qzfWFjT8Fl+aPzMZ7Kzjoez&#10;4/bb93PBPePWGKKR+Lv7EfTC014j8ahFV8PS58j//Bmf6d544htKMqfq+x+ZR+Z5eAzjh2u6NvIl&#10;sSD2YQM85NE1OXjWNXiGxrkrfnVflbfc4km9feo+hF/WH2mztmRzfD2bFvsc8tKX9Lpcv+y63p77&#10;7LVXgcMPT2W6GzNlid7OSugofmgD23vP5/TxLnEseWw313krVrRgc63X/UVefCq+aj6DWWO4xsQ3&#10;5Fl/5PyDL4GfcvKJ/dxC66wv/mf9gbfrqXkJn08754Qb+Z55cL1DB2eq9UfmBjp8IsdayZikfbrx&#10;gRPZ8hbNlT+4ojwDqo9kuP8ZvGH8cH/CPNEuuW8bvcwr+JEHz7lD2q0P0Hj2df31HlXmYZ7vAM85&#10;pWdY2AU/SVv6i5c2Oma+ytk4892+DA34ued8qbedOB2439eEv+d/EtvRuE8XXnCcV+lTfU6s/be/&#10;/U2vm/boON143Jdt7DLk34INccb67Ncfztafv/9+ZX0sNmTc+QifYG8+ai/Nrtm/gD3yEeuUfTf/&#10;0oZ26d579TTWMmB81H3I8LMWr2nEi8jhn1Odn9bz5gkbPqH39xVZf9ATH89lvfwlB5d71q69kuci&#10;0v/cDxHXpjs/tcZiq8Re/F9zxOH9fHvTSSf0NtDmWRV2YL+s6dzv9bs5cP13/wVudHV/Cjx0tR0S&#10;P3JuQg/t2z7jGcWmYnieNQcXk/KszFOf/OT+uX37rvB35pxYhCZ7XDrwlch3/oEmaxRnRtl70T22&#10;TF/mOm/FihZsrvW6P8k78tWv6ufhbrvu2l2/bPmadv99n1vg7M0/vv/d7xR/cP3M3libdYB9j2uo&#10;+6nxZ+d94GzFj6xf4Et8Dn9wexl+mTW+tunOT2N7z2qgww8vPh2/Dk4rNy/MIXsqtPF9Zc9+aL/0&#10;4ouKjmBkkBVe9foDrXZ9lltPBM/+Sl/YyrOZ+vred72j4IF7DkS8is5nn/WFok/69J1vX1rmohhT&#10;64k2NHKypexf6C+e0U2yx6jxlQ+b7PfCU6wCo59YGPnukRnTb19yccGFbw3pLByufoof4OElpx8e&#10;nm2pY2rsMpc5fYbyWrAhzlif3fqDndzHyJ4/Y2/867nhOs0vJeuPtMF78xtP6n0mvhx6MYNvSn/8&#10;4x/L80nGL+2Rt8Xmmxff1Yb3dPuX+HquiWS690k3fi0pB0/Zsyzmo3Me7dEpa4xab2V6yemp7Jnv&#10;0NTPn8I54lWH9XhihudO2NWeQeyo91nhK3evC0+4crHEGUJswxZo1cViZzDKUnSRq9NDe9YeeXYH&#10;3HqnlqNsXOggbfrETfpn0+ksroFnLPCQyPnYhz9YeMXGB7/woIKr3e937L2U9dvz75E7X/NRH4ay&#10;W7AhzlifffzgC1f9+Efl2vm0pzyl9wf+Yq163pfP7seAPwx//2Jv7jko9w34jjlkTolLxiHzmm+7&#10;dpk3nl8yjnzVtdBawPqb3+IxXfzAk85yz3XRU8z51Cc/0cvK+NPX/drEOzL1B1yik/2bdZJkrQ+H&#10;Dq7nnonSj8QjNMPfvzhPdv5CBhq/B4Iveb7GHIt8+z3rAXtBvOpYps4+znLFUzroG3w83W9ll+He&#10;Lr9PytwmV3zwWya/0bEnxbseC3LwQouf94rEpnT2/Fh0FsOcc1zw9a/1fMJPXA0f61K/P8q7S+y5&#10;gpfxmOu8FStasLnW6/4kLz4sT0r/0pY63wyMbySBBSf738wh8Lo9NPGt5M7/zBkxZDhHwhtPZTTm&#10;vnsn5hgafu6aJ57Bsd6xn3JN5DNwnDHYu9AnOtX6DMuRNRU8emnHT17TpBy8GkdfwjfrhvAJXV0H&#10;C30NT1kOJ7yCH151W/qeMQqP1JODJ6FPCn5ycHaVR8eUQzMfeStWtGDzodv9RSZf0ZfkGf/ab8AC&#10;T1mOrq7Hn+q24Az5gYNFrvW3+CG5pmmDU6fwwN880eY5sMQQ18ysYcCk8HQdF1PQoA+vYV63Rzd5&#10;+pl2eeZqeNQ4oU1bXQ+tXHvqKde5cuQnhx9+bCVZfwQW+lofNOl38OQS/NAkhy+ph0/d37TVtOEV&#10;/MgJr7nOW7GiBZtrvUZ5d5/X94Y9sv4w36daf7Tk8FXPYFg3ixf8o44bYorfr7oHEf9u8VlssMzb&#10;7DNy/yXwxdaf+0LfVqxowe4L2SPPez9GTGdTv/fMeaHr6XS4aauvb8offN97yr4994fc183v7s2r&#10;Gj88FnOuT+KHmOue+P0pPt4b49KKFS3YvSFr5DG38aJlb2cnKzoH4GddnnUz3vV1OOWsv1uyFxMs&#10;Zw36Fb0TG2OLwFflvBUrWrBV2Ub3t77H/+u5MVUfExe0Bz954oqYkXJ4T8VvscD1J/3UJ3qnb/LE&#10;ksXSn/tKz1asaMGG8mPbwF3XUp6PPPpkrOdDh4Uuk42S6LoitoIb/PCIzfGqy9PZIbR4pbwi9NPx&#10;vrfb6Bc9w3u2/Qz+/T1vxYoWrGWH+FT8qoUzVzA6uA7OlbxRzsrtxRIzxnm4cvZbaH7XihUt2ELT&#10;u9an9slxXbkw/dK4SLmeG7OFcN2p/Wgsr7jvtGJFC9aybcZfnvOmFt5cwOKP8jGGrLgfzMUYRYa9&#10;bnwn45a2MV/YYzccn1asaMGGdMYdzPOIfgvpt8l+JzafiR6e61523bXjPmYyNsMxm696YgX5/Mbv&#10;7/1mxDMoflvmvc/g8an50nOUu+I+04oVLdjQtnfeMXmnwm13dPs/d59ujTUmzzdXzyHmecS5yh9c&#10;nmfyW6WHTe7Tr9VdetFFC2buDO2mbj5JmTPy3Pes51pNG5rAatqUg2P9BZYcjXryuhx+0+Xhmzz0&#10;4QeunP2JesrBDa3c92s8w5rnV/1mxTtNWjqEPjmcyIv8Fl1warl4SGDhV5fDr25Lu3woJ/zqHE5o&#10;lNmhzsO7xoMfmsiJ/VKHvxBTK1a0YC3db7vt9vLepY0nv+da+k9LuucuWX1+0roPnshdo9t9U7+J&#10;Wqu7aIHHj9p34nvxn5adAwtu8qn41L4HN7xzvryiPhl56MIrssOrblOmQy07fZB7r2FiR55nda3x&#10;Pq8aT7nmoQxW6zDET32oT+hq2vAOjRxMqvdYiQE1XsrhF15ybYGHNvXCe3LOHzy5pD104Q0e+sAW&#10;Wt6KFS3YUO/b9XniI0v32afb6NGP6fZddxI71llzXtJ+S9buli5Zq3v2pv/SrTlZC108ebfEUN+F&#10;VI/vxGdSp2Pm+FDf+Fho+FXKwQ0fecpwpNTlgYVupjxy6pz8+HbkRQZ+kZG2Ib527+lKHPGMp/eH&#10;TqULfDwiI3xb+GlLHr3rOl7RscUDDD6c0E2Hl/7VeoZ/zSO8AqvzlMlRrutTyZ5veCtWtGBDPe8o&#10;PnpHt+/kvY+P++cNun2XPLSsAawD5jot/ac1u/0m8Wv3zRZH/PB7de/WyO+ynAH4Toz3D/Ovoa3V&#10;+ZL2/Mbc78Z9DyG/4Y9fhh5v5wveUwGGHp/8Hly7c4iWrBoWWvTR1/sBopN2351IW76VFzrvx4ku&#10;9FH2niTtvmFpH5OU70QN5V/+/e+Vcza0+uN5efMVHj41fmC1TuzkfUWt3wXD9y7F6Fa+I3nr8veL&#10;iGeBx861LLK94+2cs75YfsdvTOjnuxyJddGP/fw+P/x+NPlehDYJrneT6J/vX/rNv295pi+1zIVW&#10;bsWKFqyl95133lH2LxtOvkU41zGjlrevdc9k7/Tsyf6F7nylpe8QljkVXxy2p177QGArmltX8FO/&#10;wXKtteenq3V71vC+HecdPJEXGere3+E9NOYaOr9jybzzHtXQJA9vv9kIH3m+B0AuWXXbTOWcZ+U9&#10;XPDJ89u59MH7TGo+3t2Rtujkd6xwvDcDLMk7xEKLr/Hx7qS06zMd9Nt35sQmeOlz1m7e0Qwvv3sj&#10;X/J9hbxnMGPvd4HpV/T0bjF6mM9pExfB0EWed3pss/VWvX70wkPuPUHw41vo8t5r/fH+EO3hFVtE&#10;XmwEZyEnfRnq14INcdQXc/yIH8il5f1Z7ovxSXnag9Oyw0wwtN4Z49058Y/k8bfUfRfW901q2a7T&#10;3rUZnORoJd+X8X6h6G0egcObLn54bx7dIiv0dR67wMOTb9xX8cP6g2xzznuC8+6+9EUeHcxRccI5&#10;RfT1DiDvKNBGz9pO6uDiDnz9sU7w3rGav5jj/UX6XccPMZpesdf1y67rvAuqloG/On6uBfZnxoI8&#10;ufdAa6fLGD8Wd/zgH3whqRUD4peZQy2cmWB4uLb47bvrJ9/hX94X7N43H/VeYb6X5DtL3tHHX9G7&#10;Lx0/Pebo15Q1szNI/ogGP98ecD2mjz7Fl6eLH/ZM0T/zIvXk5CvLcz2/L+MHWfrteQDy9GOjx2/U&#10;73nMO/1NPMi3LcSRvF8NnffM3nDDL4recGIntPm+rP0EPmyr3TfovH8xfR7GD7pZv5BlLYMXOmsk&#10;7xtDZ+3r3WZ0sMa0lgGXxvXH3ddSi3n9YTwTO3KNyJxJDq4Mbyqc4E6Vo807j/mp3717h3Dky9F6&#10;56f9Seao739oc+bhGgme349nrmv3HAWfdZZBx+jKr8mbKX6ElzkrtfoRvuYLnvdl/NAnZwreF0uW&#10;+e3an/sh9HVeZO9lnRb9rb/YCI3kGaD0R+6bLPT2DkXvW0TnLAiufkn53mRsUMcPcQuN5HuZofON&#10;zsjJWH7l3HMKP/r4Ni9+cMb4cf+JH8b0iOq96PyHr9YJzDwE4yfxqxXN835OfOxD+CB/4m/xSfnx&#10;x7yu98u8G9dZZXTyHtPEtOgQnw0ffJVnEz/MweDjk2/dRl5y72/HM3PmnvHjuNJGpj0F3OhnTmZ+&#10;yvHQJzjZ80dOvjPnvDS2l/s+ZXjGbviDxYZiMvnmrLVe8LRL4g8a5eRiQh1z6KMNrXwYP9JmvRH9&#10;vLs9OsjROgvNOx3tWaOncyL9l8RE/JLYKWOGt++Sp20h58ZuqF8LNsRRX8zrD/rX3480pvHj5GD8&#10;S928aNlgNjB+Za/A18xZ/sTP4lfaPYPp+3B8h1zneuBHH3nE3fxKe3BSpqOy+YBGwkOabv2R+JE+&#10;WJOn78nxyH2R8GzFj/i+7zyEnz56l3zokuc9xFPFD9dvuOlfnSdG6LOkf+yY78Gg853IxIDaxtGL&#10;fZTZSz/RyBM/0l7Hj5yfavOMNdnoclYPHll4sxFdpdznyvpDf/J9Yrh0dc6MX1JsFJ0Xas5uQ91a&#10;sCGO+mKPH77vaixzrp+xS27s2QKO+BG/atliOhi6et2QMr9xTpjv0JNLHrnu1eBZn33Qky7RK7jo&#10;wGqfjH/PFD/IyP4k73dP/5OLH3SN3GH8cA5DFzLdj0j/zKesP7QnucdJbit+oLEXqc+KlPHW99go&#10;vOhibeHbsIHtvOMO/VjRm/2T8M9YrUj8gIvO2qK+7tjLRAbekv6zO13pfMvNNxfaNxy33E7smDUY&#10;vdDAoT98ed0efRdiTtehXi3YEEd9sceP5X1YPn6t/hnX+J28hTMbWNbOcPmaaxZf2us5e5Q5GZ+R&#10;myfOU+NXzk7AJd9ydU2UPCcgX7r38m+qas83C8hR57/TxQ9rovQr/Wz1J3bAk28M40fu35oX1u3B&#10;x9O5Yj3nlXNv8h7x4677L86CyEq8sq9Lvz0/secezy5ty221Z+mD/QveknswdEhKfKz10s8VjR/o&#10;0fluAjnkW5cMbeg5k8ds8JhiK/dh0MBhJ/bTN9+5qm0tfkR/OM54Iq/GW2jlVqxowVp6L/b4YS6n&#10;X/GB1OVgNbwu13izKfMFPu57LPE9uTkiKfMr35Fyvzbyrf/5ojbrcjrU88D9SH7sXNa5ozbzBT6e&#10;08UP+5e6j1P5a+RlPg/jx4mvP76XR26en8D7+mXXlTlDF4muYqK2VvzQb/1In/HLfV16SM6B+Ch9&#10;8h1I91JqO7o3Gxui8a1a+yL3eDNeKxo/YnvxP/3xzVBwPGMnz6DRmz6+lweu3f4l43LoZNzqdYtn&#10;SbRJ+hYbRdeFmrdiRQvW0n+xx4981yxjGp+oc2tnfuA6Hz9p2WI6GP/xDQR88ZIi05rCvUrr1Wsn&#10;ZyD4xE9Trq/vnnHkd54nO+boo3pe+b41GvIiI/HD/RzX8O222aboQb69keu5ayia+HndF7okzpr7&#10;+oAnWPw/+vEb7fZB9HM/+egjDy99Tb/lfj9HhmuuOjp54gSZ1md0lJw5O0MFd12mBxp5zlZd833r&#10;ChyNee07NdZ++giWcXVOK3b4hhNY2pyLWteRI9V0voMT27KTNRA6CZ377Wg8s+peOj3cQ/KcKTpt&#10;iR+hs64S59wT5gOxEZ3siyJPvlCTfg51a8GGOOqLPn5MzsGMWfxHv+sUuPEcPlfZssdUMGv4eg9v&#10;/jmrMMcyN/lXPYdTl6PfY/fden/NPKArHcUEvz3LnKZH5oW1Ah6exYrfpk3flZ3tRI9hH6KH9si1&#10;Pwgenev1h/gmfsSu5njkoHc+gga/nBlaO2nz/Gnk6bP4mPu4eKS/GaOcEeAnTnguHn+8yB321xg4&#10;+4Svz4lD8GtcfaOHeItGu/GK3tpu+MXPy/Mm2tK/vJMeL3R1XEaTOKvdWlQ/0IdHdD7ogOeXNWRs&#10;EVsvxFwfhnq1YEMc9cUcP4zNl790Vv97hOyv69z1J/Xh/baWPaaCXXH594t/xl9dW/giHTLnrYn5&#10;FV/ih67d2oKX30d4Rsr4wHnhCw6crN9PLPOw9jU0ePFr33yhV343Y37xbe3WBvqnb5Ez7AO+Enj9&#10;HUf10OS3Jtp9+9qey3fi87ztLjvtWOaLOVP/xtZ3OmNjuXtQ+MYmyp7x8OwGfSWx0vX++mXXFb1q&#10;/dChsbbYZ689exrPc4kXOXeBp8++2c2OsRW+9MBD8q3IjL9ny8AiT9+tOcTLnXbYvvAwLr6P7Zu/&#10;9klw4aGTOxdmIzTij7WHs2ffI6XDrjvv3FknwqVjTR+dFlreihUtWEvvxR4/jJNUn2/W/TSG2sHy&#10;bGfdPtuy56HNZT7CtvbiNa355tkx7fx515136uU6y8i8qN/xFr34WM1LWZtYRaa1Ah6B+85qrpfW&#10;2rWPtnjVsODGXtGLvOgTWZEnR1cnsJpWPXQ1L/CkjIV2vOiQcs0PXnDhKcvh2CfUNrQ+EK+Nidx6&#10;KHqGz1C+eq2rcury2EE+1AMteK1DdAuP1NO31KPHQstbsaIFa+n9l4kt9pv8/nbD9R89+f3ampPf&#10;4M5XWqt77uT3t8/eZPPiBxdN5kVL3xZsLsaHDHv4xA/Xf2cvrm3O/6wpsiYwt+0H6IpuKv1qePDi&#10;r2jNB0n8yBzik66N0SPXY/j2CzXP2lbx5eTRrcaJDnUb/Bon5cjRHpyad81juvKQX40bGcFp5dYp&#10;bJR4WseP4Memrf7VMqYqh09NH5gcPDZIPbyS1/gLrdyKFS3YUO8779T3Oybv/9i72/BRj+6Wrud3&#10;+/Pz/iC/v126ZI1uj8n7P9Yo7w+6sOm3wz7MRT3+4ffY66/3qDJ3M39zL4b/sjlfdu/WXF4Z3SJL&#10;jic5iR/48VPPu1ubZN5k7phLLX8FCxw/dDmTTVxaGV3R1Pcs6eFcc2V5rSgdW9g/nffls8vZEJt4&#10;ViVxTJ/Fd32WvnDmZ+dMtxXty3zit2JFCzbU8c47Js/S3H5bWX88fhI/rD2WrrPWvKT915ncH5nE&#10;D+8Povslk7OEob7zVc/ck3sOkU96Ft7vbM1Fvmlt4rlN9+yyN1gZfcmIvMSH3GvNNU7uHOIpW25Z&#10;ZJs3zhScRYZ2KDtzKnNJTAKTxJAh/mzr7t8mftEjz7nOlv5vwUufor/47owpNpQbq6wLx/jxX3vJ&#10;2u6tWNGC1TTKt0/ef3rH7cv3L4/fwPsLHzGJIWvMS9pnIne/ddfodttks27ttR/WXTQ59xrqO191&#10;fljPtZQzV+Ov9r/x5ZXRNfMBv6wL8Az/5PDwr+uBTSU3uPLQRsZUNLOBxxZwZ9JhNvxmi5P+RGZd&#10;T7nO51q/2fZjIeC1YkULNtSV/3gH2dKlS8v7k9f4x38s1360c50e/P8mMteY7Pcnstda86GT5zsX&#10;zv6F3eq4EJ8F56N1HtwaB2y2qZZTxmcSKyIDz/rcTr3GF2tmWvsM51RNP1sdh3g5N7w3eA15T1eP&#10;XRJj2QMsdbTBGZan47uqtbViRQvWsgubOz+1rs061Lp5rlP281mzT/cezVY/RtjsY9Roq9FWtQ+0&#10;YkULVtOk7Jrh3qR9/fXLriv3s93TnuvkOSzP/0bu33KvNX0b83GejD4wsw+0YkULNpUtrfGGa+Gp&#10;cO8reNae4lm95ryv5I18Z/ar0Uarho1asaIFa/lDYsdCmLMLSZeWrUbYqjGfVrVxbsWKFmxVs8vY&#10;33G+jz4wsw+0YkULNtpyZluONhpttKr5QCtWtGCrml3G/o6xYPSBmX2gFStasNGWM9tytNFoo1XN&#10;B1qxogVb1ewy9neMBaMPzOwDrVjRgo22nNmWo41GG61qPtCKFS3YqmaXsb9jLBh9YGYfaMWKFmy0&#10;5cy2HG002mhV84FWrGjBVjW7jP0dY8HoAzP7QCtWtGCjLWe25Wij0Uarmg+0YkULtqrZZezvGAtG&#10;H5jZB1qxogUbbTmzLUcbjTZa1XygFStasFXNLmN/x1gw+sDMPtCKFS3YaMuZbbmq2Mj7EvQ1v3nO&#10;+xPy/rK5fpfYqmL3hdjPVqxowRai7qNOcx/T8q4GMSJxo44n45jM/ZjMp81bsaIFm08dR9kLyyfF&#10;i7y31NjUcUQ58WQct4U1bvfFeLRiRQt2X8geeS5O//LdBd+V9C0Z33tMuuzSS2b9rudx7Bfn2A/H&#10;rRUrWrAhXernnHNud9onT+tOPfW07pOf/NT8pInsUz9x+kSH07tPTso33XTTovDj7AXYUjkpth3m&#10;U13Xc94QfsnDd8hnWA/+MA99vb74xEc/3C1ZZ93yzmzvq/bu7Ly32nus+Y5v37ZkhP+wLfWp+pd2&#10;+VQ8arhy6slr2sAiL/VaTqscvFY+hLXoA4M7Ff5M8PCYTR5eLdzp2lr4U8FasaIFG9Lfad062QNv&#10;sukW3T/8wz90D3yg9KB5Sn/frbba/+0e9KDVJulBkxhy+j38d6j/fNczJ+mhPIwBQ/2Md2hSVq9h&#10;4HVbeMrBWzwDz34kNOEjT7r2J9d0+WaeuPG0pzylfGPJd5Z8114ceeQj1ikxxdokupGLf76NAB45&#10;tU6RM1V7cLUrw5erS6EPXvoUvMDltfzwq9tb5Zp/aCK3xocXm0d28FKHHx7KNbymVYYXfUMDf7oU&#10;PLxr2siJDHjhU/dhtuVWrGjBhvzEjzsn35B64iabl/ixZMn63brrzk9a75/X79aZyF/7oQ/vHrTa&#10;wo8ftV8bv9y3GNq4rscH0CqnDif08QXfidZe+1DNqy7X34QJz+Twop/c/sT3Nd/37nf235dPTID7&#10;soNfXNYfvuXhG3v8stBPdI5MvOPDgdV59EYn1W3KtbzomRx+zVs58thEPbYHTxrKaNWHdOlX5LFj&#10;dDMe4HUfgpec7Ng+sMgNXQ1Puc6Vp0v4+RZBbKAOH//ISr2GpW02eStWtGBDXiV+THTZxDcj11ir&#10;e+OJb+hOPmG+0vHd6489ttt55127B/79apN9zKd6+wz1Xgh1Y5Vxk9OJz8VvWjoGL7Rwav9XDj3c&#10;JLD4/nR8gx8cdJGRsnpdznyJbh/+wPtK/LAO2XKLJ/VjUNNETg2LTG3grbYaR1/Vp+JV08dGwZWj&#10;pTu8wMN/ujy0NU2tb10OH7DEk5o+4xW85HCGeoWOzul78KfKgxddh3k9di29p+I7hLdiRQs2pBM/&#10;/vpX64/NJt+fe8jy+PGG47uT5ymdNPlmvfix2mqrlTOQob4Lqf7dyy7rXv3KV5Q5Zq6x98YbbVyu&#10;2Z8/4zP9vKt1dmZ59JGHd4977OPKt7qe/tSndocdekh3yUUXdu9/z7vKnsGe4uyzvlD874dXXF7w&#10;nEns/qxnlXlS81PmN7/73W+7T592anfwCw8q33qlj+98H/aKQ7svfO6M/hpZ+9tF3/pmd8Dz9u82&#10;feImRcY2W29Vvp8rfqC3/nj4wx7ZzwO04BJ96Ol73UN91F/+koN7Hscf87p74NAZnjnpe9dvedPJ&#10;Hflk4rv5Zpt1rzzk5d2PrvxhkZ9+6mN02G3XXVcobkRP/VD+8YT3a444vNvhmc8scvHdYPINaGuu&#10;4153dLfsumsL/17Xu2LVRz/0gT6+ZpyDEz3P+vyZvZ3wtTeEI5Hv28PgfGa6xB6Xf/97fbwRP9Cz&#10;EXrt9Anv9HFF81asaMGm4mv9seaaD+lOev1xk/XH6+cliR3WPjvttGv3oAf+/eQMt+2bdR8Sj6ez&#10;nzZ46PhrTb+iZbx+cs3V3fP336+Mn3HMd/OUUzeuvqV96x/+0Ps/Hewb4GSeyI2TfJONn1jK5uwf&#10;brml6PmDy79f5PAV84W+6bPc9em3v/n1ZO5tXWjhxa/Clzz65vqJx5e/dFaR6bvSNR49xBMwdHjF&#10;dnLwuu3Mz3yq7x/+7HPDL35e4g5auOxzzdVXlbbMXXh0dxbju99kRR6a2GedRy7pvvbV8/oxO/3U&#10;j/f2eNYuu/TwqcaRzmTKJXLFpOftt28vL3IjM/ZjG7EUTfTFwzfK07c6fsLRLh5utsmmfR/wFz+0&#10;RU/fQycvsuTRQzkJDh9IH0KvnZ3kH/vwB3u/SPuK5ngNaVqwIU7qiz1+6Ef8Q16njH/6ujJ5xt63&#10;8awxjHX8jS/yD3E38UG79JIXv6jME3Plqh9dWcabXz5mg8eUswd7Z+uAnXbYvudpTZL+XP697/a+&#10;lPjBl/QJjtyZJ10kMejbl1xc+n/GZG4ntvEzfg//T3/6U/ekf9mi99c9dt+t8+0/MeukyboTDR3j&#10;w+m7nE9J8XXxAzw2VmYLPGobnTi5NtR8lF3fnePSm6zXveao7tZbby3x0JolMrbYfPOy/9fflYkf&#10;ZGX+Xf/TZcX2eEv6aS3wtje/qeh9yEtf0utOJ/34wHvf3c8t49iKH/qvjaxjX3t04R0Z+Lg3nv7r&#10;h/jBjvp+wvHHFtnsNkzofnnjjb2NyUCPJ3r5GD+Wr3dWZv2ROWT8lFsp45a8hTMbmLGzLs9c5XvW&#10;qWhr+V8998v99RdOnqf4zrcv7efkSydnlLU+rjH48jn7FLL4fGv9EV3RW9+4Dxta6/uaL1+3z/Kc&#10;R+Bnf/HzRQ9zgw9ev+y6Ig9fcnfdeefCL/4ZOjmYRE++O4wf7PCMrbYq83Kv5+zR41vT0LW21dvf&#10;ckppp4d7QNYvmefwTv3YR4re1jOx78rGD7pL9ibkxV5vPeWNBR7+cMRX967h6KsxZCO60Sv7O23D&#10;9Ye9RuJG5MjFBbzRS+JH8HyztW4Ljpxe2qJf2sb4cc890srGD+cJxtI4yYcpvi7nP4nhGYvZ5s7A&#10;rafjVy98wYGFV8Y+Y2weWJPQg8w3nXRC8ZmrfvyjUkfvmho93FNwjeETkvhBJ3xa8SNy0F8xiTvk&#10;RCf7BH4OJ/6Ol3VO5J1y8kkFn6xddtqx983sP8wp/KJP+iePbWNT8QN/8rQ7rwmO8xzrC3Vjc+nF&#10;FxVcePBffNALigztrvsZB3qmj5Gd+orGD33CFx/7CrL0S+7cgyxt0Qlu7OCMKvrrS/rpvCE8hvFD&#10;nxI3YiN5K37QocSmyZoo/YsudR656Yt65MvH9cfftv5whmksMl5s2kracz/SGKxosi/AN3KyHzDW&#10;5mrmp7o28cUewtkmWeBiAx58jP/yqwu/eUHZ26QPrk1w0YgPkVmfn2rnc/Y+6DLfTzj+uHusgV3n&#10;rYP5GR2PPvKIgq8f9j7k0D8yzdHoQnbgcvC6rT7/wDtnwPS54OtfK3FUX/F58xtP6u2Al70eONxd&#10;d96pf/6VTaJzys4s6DlV/IiOcOoEnrn5jfO/WuRFJl0zZjWNMpo3HHdMr9+LJnEBTLL+YDt2ED/I&#10;kJyL5Zm87bfbrjviVYf19K34QQ/JnmooP/XIjE6RhY4ObCueBX9lc30Z0rZgQ5zUF/P5x+GHvbL4&#10;YOaQftcp/sLe1gXp84rmn/3Uab3/4elaa3wzpvHF1OVgcrLkv/n1TR19XXdynZLTTcJ3q6c/veCb&#10;02RE/2duu20Pjwxni6HTZ7iSMhmhhZO4xK8j75ijj+r10xf6nvHp00t77FnrH7tGZvYvcNCSoT8b&#10;PX6jch13f0KdHvYw1lqR8+zdlsfSWkd8ySVHObSfOf2Tpe91/DBHyc0ck7fGNGNgDuOdfuVMt0UD&#10;Jt7QA75+ZQyz/gBP/7XlTBb8Wxd8o2NbZf2YKn7gP138iO0jO/3FN7w/9P73FhvAmcoG2qZL9Bi2&#10;t2BDnNQXa/yI/uzGtrW90xabw6nX9Gmfbe4aztf5Qxn3Zdf18iIjOhRZk7Vz4Oq1jtaizkVcA60B&#10;dtx++zJX8M35KXzrD/KkR62/QT9XorP9jTa+hNY1k6/SVb507736ueh6j85+KjzdIwKjZ3K07gHp&#10;q1S3kSGh11bvX6wvwOjivJT+t9x8c9mrxdfPOeuLvY+715zY6fyYvnWiO37kWaPRr44f7rWCkVOv&#10;n8CSMh5yZ8P4had1Idrg1jn8K3/4g96u9NQOLn7E5taXeIhvsckrXv6yEkvdAw5Mv9BGhngUPaaL&#10;H8EPrdzaNnzZxvmvs6XghGZFcnyG+C3YECf1xRw/XF+k9GWYG9+kv8XG73nn2+82bj9dtjx+4I1v&#10;eCePHmmjoz24uJFzztDW5x8777hD35ecq/I1c9B1DV905syf//zn8syCNjhfOfec0kYmeXyZr0k5&#10;h8n5KXzJfZDoId9nrz0LPO3pj5xPSfHfxA88Atd27WQtT086Xnzhtwo/Oh541/Os2tgzNNYiZEuh&#10;O/RlLy109f3sOn6gZY/QRE/0dYotsh+JPTyLU+OlHD7uLUc/OqQ98QMf/XeulWdoPPfvXhbc1x51&#10;ZN9vMTl8ta1o/ECjn85aXUfYUkyjn3KesallRN/Z5PgM8VqwIU7qizl+ZD0ef9fvOoGzsfH2HMTK&#10;2tj+BY/wM7drnw9fsMQzsKx5lA864PmF3rnc+eed24+ZZ8nxpjcd8UB35Q+uKLqnb85dTzn5xHKd&#10;9gwHvMwLONs+4xllH25c/XYldrCXMcfBxTD3eeGT6VyFz4tF7mOC0y8y0y+04Rda84cOru2xzd57&#10;Pqf0Hzy0OU+mxy9+/rMCd18lz9Hh++53vK3seejiXi4Z8I0vXuSf9omP9XK0ez7Wea/ru2fuIg+u&#10;cujU3/X2t/Z9pqvnx8CHKXqLTfyGnKdsuWXBw7OOH2Lgho/bsOCYz+wXfscc/ZpenvOcWrfZxo/Q&#10;yPnUwS96Yc/TPjc2N158pe4vPUIfnabK2X/Y1oINcVJf7PHDGOtvcuUkNuYH6vs9d+msbRrbJL/g&#10;a+eX8XIPBi/zN+Nj3OqxS12e+GHPwsejI72iI/2SzAUy8eYTcOCa58GXu08Kz3z0rGn4ZU9AjuSa&#10;6IwZbnS018i9hfCPjUKHn5T+81/zWYID3/qdnvZf+IDXa3U0ZJpn8Onmt794sov9Gf1c37VJ+EQX&#10;Zc/NRG8xMXq5z6ydPnLzKXjk0st9Jzm4dVf4w1ev8emU+1RonJNGZ2uy2EH8CFzswJP+eNoToYUr&#10;BoINbaJttvEDbvwn9+LwZAPxz3Ug9jjowAP6/vC1+n5NdJ8qx3PY1oINcVJfzPHD3GBD42ishkmb&#10;8QZ3bU+fVzT/9U2/Kn4S3/bsc3yTH0rqkmeI7On9Fs0ciU/xBc+rGxt86BZ/oJ/7EHleiH71+Yd7&#10;K+4DpD9yz5fBO/ecL5VnKOLX2tjDWtf5yo033FCuX9HPs2Jiac1L2Tr8Ix98f29LMPzTv9iWHMn6&#10;w14FPHHF8yaZv6FNHISTZ1/gaBeHsw7BJ7zpLl7EdnRQh0Mv9nCPKzFB7vkLPBO3ojce9iNo4aH3&#10;LA/c2CQ6qytnzYTG78KCm/hh3KKvsvVG5MG9N+JHdMPPPe7Ic3ZER8/1uJ7pj3T1VT/u7RVaOfrp&#10;Ev2H7S3YECf1xRw/9IGNjF36U+fgK2LLmrYu42FPy66SufDFzy1/fgxeZHjOYb3Jb5iNtWvr9cuu&#10;6/0q1xJ7ZvdTralz1un5MjwiM/zUMx9cU87/ynnlGu/eoT1H7feu1a7/Et1u+tUv72aXmj+7mFPm&#10;JHxngLl+1jxbdg0Mv9g3efTHI+X0JXno5ZKzCGsZ9rCP8Xsg96rwSBrqjjd72tOwIXr2mEoGPn7v&#10;Y54lRr33Xe+4m4540sf6DI4xtLbz3DG+2sQP8Kw55E/Y8AklRkc2PvdG/EjfXY/IlNwjtsejCzn6&#10;Dk5fa1Q+Yh2lTartFtgwb8WKFmxIl/pijh9snH60bFWPKbwWTuiny/mqtYFnv40XP5S7r2H+OZdw&#10;PyN+p50PoYvMjHldzzpTW/qiHFwwZTQ1fMg37fI6pU/hnbzGCW1w5XV74LV87YHTpdUGxpflwUVH&#10;h/BPW/QKXp3DgR/cYTm42oMTWC3HvPPbFOMmWYu4D+yZOmcUh0zObNddsl4/hnByfzR8xP3Qho81&#10;m/a6X/dG/NAHz89nzURenpnVpq+ea/z/7J33f17Fsf/3P7gXq9pykVXd6d3BpgYcIKFjqsGWZEgh&#10;hHJvEvq9NIsOAdxwIPRuwAHjgjEdbDqm2VaxDSlAqCHtm/ud95xn5OOHfaRHTz2Szg/ndc6zzym7&#10;szOfnZmdnSV+13DR7EOjA/UyWqQ6+7DCV5bq+b6MH6nalOty6wf0dWxNcML6jH7lGppbGbGI33zz&#10;jfad8V6u61To99Fmw0fOjPmFrkO23yMWjXkgk336i4PftIk+5BrdEV0jue/MfrFn6Gcf9oV1BnQE&#10;6s27kGt8NUbHjrb1Wu5rV7Jvi7l94uvtPZz5Nv0AxlBv7BnsXr6TXHffNyjzYYWvLNXzMX50bx9C&#10;NxvvjVfgwwvPO1fn3+El+m+nHXZSHzm2Q7j/6EeeT0X/vlBOG0zm4H0Om7/tC/W3OtIv9CG+EtY+&#10;EJeHrGCH4A8FW1jT9tFHm7r6TPtP7ALega5h7T/x+ONS9in6B3zBveAH7+DbvAP8gJb8b7aR1S98&#10;Rp+1+zgn28t2L7zFeiP7Hu15/dUt/VB2r+/swwpfme9ZymL86Bk/6H+jn2GJnY0n+d98/lyHy+3Z&#10;vnyGBnZY+/pae8w3QN+E+8d+0z7iZMPtoszGDcrD7+C/8L3J17yXMruP99i77JvGR8nPmm1LOfda&#10;vXgXh/3PtX2He+399s3k9yb/9mGFryz5Ofsd40f3+GH9zNn6zs5WZv1HufUf9KU8jClG8754pi3W&#10;3r5a/3C96StrE+XWp1zTh/Y73GYrs//tufB77Xl7zs48m3yf/Zdcbr/te/zmmvvt2v6zcv5LhSn2&#10;Pt/ZhxW+suRn//1v5Ib8Y3u56upq1zxjumtpbinK0dzU7Ga2zHR777Wv5A+S/KeSBz65vsX8TR/x&#10;/eSzryyZJ6zPi1n/XH/b6JDr9xbifYbvqdoQLre+Q0ewuoX/t7Lks+8eynzlyc8m/05+xuoUvi/M&#10;c9Y+333hZ+zahxW+Mrs/fP6X0AX8KCur0Lzn5ZL/vBgHed/JW1hRUan539nDIVzP+Lp7HSmmT0yf&#10;THnAhxW+suT3//vf6KOy7nrBbe7SS1sTxxVyLvxx2WVXuksuSdThsiskNmFdjB+i7yT3Wfw7pkmu&#10;ecCHFb6y7r6LrgOWaE529PRCH2JL/T/ZS4J6/OtfgZ+hu/rG/8VyFPNAbnjAhxW+smR6h+0xrtWG&#10;AkOKcJjfhzom23vJ9Y5/54ZvYjrGdIQHfFjhK4v5JeaXmAdiHkjmAR9W+MqSn4t/x7wU80DMAz6s&#10;8JXFvBLzSswDMQ8k84APK3xlyc/Fv2Neinkg5gEfVvjKYl6JeSXmgZgHknnAhxW+suTn4t8xL8U8&#10;EPOADyt8ZTGvxLwS80DMA8k84MMKX1nyc/HvmJdiHoh5wIcVvrKYV/y8YvFq4Xi6qNHK6hi1ekWp&#10;PjGN/PzdUx/5sMJX1tN7BuL/xnNRxQ7qFawtCNZtF6uPjE58n/Wd1KlYdUn13WDtw+b8Gqnui8u3&#10;xBkfVvjKYrptSTfoQR589vR6/LFH3Kef/FlzDpNrPSoH9bJ9Voots6xh52BvR/IWk585KnSiHp9+&#10;+oljT8977ry9K3dYzPPf5flkmviwwleW/Fz8+/8ceQjJz0+eWnLWkWOXvJNROdirjv2ZotRX5Gwn&#10;T3pUaGT1YE8qcA16FRtro9RfPdXFhxW+sp7eMxD/J6f61VfMkqPVwX/kowRDonIYfkTJvrI9H6JG&#10;K/qMPYXZlyFsbw1Evu5Nm31Y4SvrzTsHyr3sGcJ+z+gg7MnOWBYV7KAeTyx6VLGNPVKKLROM6RzI&#10;KEfUaAW92EuDfXKLTau+JD8+rPCV9aU2FbKu5ORH52XvtChhB3Vhz3p0I/ZTKrZM8H0O9qNkf8co&#10;6h+MA4seXRgpe6+QvJzJt3xY4SvL5N0D4Rn0cWyYKOLHyhXLVT/qaG8rqkyE/QmM8WBu1PQP9qeP&#10;8aNnf2myTPuwwleW/Fz8O6A18y/oH+yZETX9g7kOsK1t/bqi+gRN9+BMfdjvMmr4Qd/F+BHjR6Fx&#10;bdEjDyt+sO9q1HRy9tNlr2jmiZDdQtMm/D3DELD2gXvvjhx+4P8G2xb//rGiYm2YZn3h2qdr+Mr6&#10;QlsKXUdk4rlnVirfcY6a/sEe68gE+6UVGz8s1oMx/rGFD0UOP8B+fEWLH19UdFoVmo+z+Z4PK3xl&#10;2XyjPz/7wnPPqv7x7NMrIocf6B3gB9hW7D5ob1vvOMAPxvio6WrYU7H9EtsvhZaTl154XvEDX0PU&#10;ZIL9upGJpU8+UXT8eOetNx0HeLZsyeLI6R/r161V/QNaFVtXKzQPZ/M9n67hK8vmG/35WcZ4bPrl&#10;S5+MnP7BmErd8NEUuw/A18Cf2+qeXfl05Ghlutrzzz5TdFoVu696830fVvjKevPOgXRvh+jkjKnE&#10;WkTN/0FM/Y3XX6tx2eE51EL3D+M5sbAc6EOrX3k5cvrH+++9Gxlbr9D9k833fFjhK8vmG/352ajj&#10;B2tNiLcoJn7Q/8SMcUR1rjvGj977PuhXH1b4yvozBmTTtijjB/6Y2xbM1zUd2bQx22fRP9DROMAP&#10;1i1HTVeL8SPGj2z5PJPno4wfyCixWsxLFlP/+OrLLzUOhViUa6+6QudhouZrjvEjxo9M5D+bZxhX&#10;yWnBmIqcEoMUpXEV/ynxDKzx++yzTwvuF7R5DGhi+sf111ylNIpa/GmMHzF+ZIMFmT4b6Oat6huM&#10;EnZQF2SUuBR8lszlZtrGbJ6DPjZvC4aw9hbdI8aPzOQ1m77Ix7M+X4evLB/f7i/vRD6ZW4iaTk59&#10;iKvHfiEGtZD0DucpJI4eHYiD9YYxfvQP7ICffFjhKysk7/W1b4Ef2C9R0z+Q0zXvvK32VaHjGvC3&#10;gCH05VNLl6gOBJ0WPvRAbL8ITfoaj6eqrw8rfGWpnh/o5Wa/9HZNqeU7BHO4xneCTs8R9qNs2rix&#10;67f9ny5OgR/BurBWzYMa7ivzTYTLcn0NhvAddDPzfyx54vGgjYl8j+m0ZUt6BDTiubANZPTb0NnZ&#10;pd+En+vpO7H/IzNM82GFryzXvNVf3mf4gYz0xKPh/+Ftk++NIuedHW16bOhs1/JOydnB3M4mkZPO&#10;9vVaxv12hN+V6tref8vc2Y4jTPNC4Id9g5xB1119pR7E+yP31C1VvcPl5OUI3x/QQmgk5foOeQ80&#10;UrqBxUJX8Jj/eI7cJ+H3pbqO8SPGj7B8FOo6E/wweTD+Z8ykbGOXriHypePrRsEU5CyY10EXgf/T&#10;HVftvocfuE99IOSIhy7U2WQ7H3QKzxX/9a9/1W8zd8tBnkfakC5+mJ5mZ2jx0aZN7uOPPgpwRd/V&#10;qTjBOzs7hJZSBvaaXpcKM8LlMX7E+JEPWejpnZngB3zO8dEmwYzONrf65RfdPXeJjn/1te6ccy5w&#10;58px0YUXu1vmL3DLly2Te9oVM1i/atgT5v1U14pJIkvsS4D9wLpXww0799S+TP7n3Wa7gBf4PSzv&#10;KXWlXoZtqepu5dYG00PWr/1AbLGFbvbNc9xFF13szj1X6HXuhe66a29wjz7yqPvg3beVptCWZ+15&#10;e1+qM/jBPDxrczJp80B9xmer+MoGKn16anem+EHu9ptvnut22Hl3V1ZW5kpKBrnS0hJXUV7uysvL&#10;9BgkZRUVFa6+vsGd9vOz0x6zTUZsjCe3Ivgx56bfdMWR5RM/jGZgCPYKMWOsa+VQvSBhu1k9uzuj&#10;h4Ed6Gin/uQMV11dLbQqcVtt9Z9Cr0FdtIJ2lHPssvtkd+tttytG8Wx377f/3n93TYwfGfh1fVjh&#10;KzOeiM+b9TwbYxlfsRFMXo0nOTP+dYqusXFDcH7yqRXu1B+f5rbdbkfh/XLFi5LSUldVWenqhg1z&#10;Y0eOcONrRrjR1cPciKohrkz+Kxd8KSspdWPHjnennvpTzZWIXPG9djnru9XO2XLvCBt7WZtOHcEQ&#10;8vjQh2EbIx99ajoI+YiZP0YP4UCeU+segd0GvTYk6Pb8c8+5E6dNdw2Nja6irEJpMVjoVj98uNJq&#10;nNBr7Mjhrl5oVym4W1oe0Ku0tMxtLzQ++8z/cqtefVXtwA3SB/RJKkyBRnH+oM38nQ5f+LDCV5bO&#10;uwbiPcxRovfiPzV5DeMHMt4hMvPySy+5yXvt58oHoWts5aqHDna7NNS4A0fXuWnja9z08bWuRY7m&#10;8SNd07iRrnmcXI+rcyfKcYRcf6+x1g2vGizyU+5qamtEHznLffDeGtHVO1wbvlY5h79r13z/j3/4&#10;2N16yzzFj1dXvaI2jM2t5rvP8J3iu4U2HNSHw+oXPneKfHe0t4u/uM3df/+D7qCDD3PDq4cLhla4&#10;kUOHucmjat2RQpvNtKpxzROgE3SrcycJrY4fWys0rVfaDhtS6coETxrqG93MU3/m1qxZoziyUeoR&#10;/q5d4+Ml10EhdLN8071Q7/dhha+sUPXpa98hN7GOW+JbMD4Mn9tFVl58/gU3YcK2YqeUiF5R5X4g&#10;mNE0fpRrEl5vniB4IZhhZ7vmN8eMsfxf41q4HlfjpoxucDVDh4pMlbnqkSPdGT8/w23CHuhG/2AO&#10;Arm47uqrdE+YQsgH+s0333yjusfCB+9XnQO9w/DDh7X4RT9c96FrajnFVYo+hk1SP2yEO3hsvbYf&#10;Oih9hF4zwNkE7WZQPq5a6dQ8gXvqhFa17uRxjW7KmDrR4yrdoEFbuV12mejeevstpVe4j+ya3PDE&#10;t/U1HixmfX1Y4SsrZh2j/O03Xnu1y743PgyfOwRfdt19kmBHqdtnVI3wfb3wd7XqGTMmjNBzs/J/&#10;gBNN6CATwBd+IxOCI4kjwJFaGX9HuIkNdWL/lLhSsWv2n3Kwe//9976DXyajzFW8+PxzGv/J/mrQ&#10;sxD2ywdSJ7CVGPqw/gGOWN3CtFojsr3nnvu6EsGNMSOq3AGClQGNoJthLddGk1rBENFBhH4BjQIc&#10;aYGe4G+CfscJnmxfO0LoVeomTdpb/dHh79o1+5Amz3NHmfeiUDcfVvjKolDXKNYBnyDzkvjtbU6x&#10;Xcb7j8U/ynzrz356mmBHudu9IeD/6QmeDvABjMj8OG58o9uuplp9AjvvOtG9/ebrbqOM4dgA2DXI&#10;KboH9WJ+wfbK+/rrr/OOH+CTYdbbb77xHWxDZtUvJDTCl/P2W2+4nXfZXXwcpW7nesHICfWKk9nQ&#10;p+vZCYLXYufsVF8jelu5++V//yqY72U+PGHLoBcRA0hfFkI/iyIvZ1InH1b4yjJ590B4hj2XsQuY&#10;48BPibwiD+vWfii6eruraxglMlHiThjboGPizLGmW2SOG8gFekzzmBo3TWSjYfgQVy4+gqOPOdG1&#10;C3asw0+Y8DVQH7MbmH9hLoR54Hz3Df6Vxx97RH1Dqfwd6CDt64O8yocfMdVVVA5xjdIWtVPEtjsZ&#10;mmWBr/Ys+sl0sQOPHVMvWFvqGkeNdWs/eFfxS+d2pL+oI7H1+Ji//OKLvNMn3/Qv1Pt9WOErK1R9&#10;+tJ3GKewmfGfkj/T9GB4khim1tYrxYYvV19eYK+Lni08bHyd1Vl8IejnzYIfR4p/oGZYlasSH+OC&#10;BbeKXEj8VGKeAxlFNoilekTlo1WxLt9jLO8n79nsG2/ooovRx87MsawTzD3xpGbxdwwWH+kQd5Rg&#10;xgxp00z8PWJ3ZEUjw55x9fIubMFat31dtfRJhZs/b77iqsXUUCd0SewtaNWX+LCYdfVhha+smHWM&#10;6rf/9rdvld/QedE9dJwXPgQ/OtvXuR133MUNqSx3J8i8QODrE7t868Cnka1c4CecIXMRZv8fIXrN&#10;kIpSV19b5+69/wHFL4u/NAxhHT1zDORqRb7zhSHYLhzoZezPB10MM8LndaIHHXX0cTInVSJzS5Xu&#10;WPF3onvMFNslW/ps8Ty0kve2CJ4cK1hbJnEjk/fcW+d50BWtTi8896zqH8wzR5XnolYvH1b4yqJW&#10;7yjU5y9/+UzxA53XYgqw6Tdt+siddfZ/qc905/qROi8b+PMC398WvG1jZK/Pon/onAN2ULWO1QeO&#10;rZFxXGJKKga7m2bPVb0D+QBHkBH0EGyY229dkDfssH750x//oLTBhjH55AyWYVtxvlL0M+ZmBw8u&#10;dz+UujNngh8UH1GL6Fc6r9JrunjsQubDeT/vEizZoW6EKxHMWrL4SbeuU+qSqNeql19S/ABnrR3x&#10;uft4EB9W+MpiOn6XjvgWsF2wYbpkYwM5N1a5IcRqyBzrEegeqjt7+DoXspF4h+kjO9fXyDxDhRs9&#10;eqz74P33uzBE5VbkBH/NDdde7f75j3/kFUPwmWILMKabHxd6gR1g7Buvv+7q6hpE7xjiDhuDb5l5&#10;1/zQaPP8FTZRtWBVrdgwpa6pqUX6TdbabQzWFIEb+Ieoc8zv3+V3H018WOEr8z070MtsPzXDj2CM&#10;b3e/+uU5GiNGPOnmMTQ3dktKGROfQZPo5tPFZzBKYlfLZA60qekU1yZ2FXqH6iFiR2DjMw8DnuSz&#10;/1YsX6bYSlw434JWHMR4tMuc9pFHHSsyXKbxGerHER+FxXekbGOm+IKe1qWrBfFn1RJDM278eKlL&#10;m/ic16v+yHwzsbLMN+eTNv3p3T6s8JX1pzbnqi02XhE3wNjKmpaNon8cMOVAWZ8h8UqNEsfUxfNB&#10;zEfOZSPxfr7DHEPz1iPdiRKfVlVZ5kbW1OhaMuTX7JgXnntGdfQ3X38tbzKCX+XRhx9U/wd0Md0n&#10;wNcOyaX4vhsq2FotPo8ZMq86g1gNiXmZHpLxnNMpgSHoIvhBtpW4d2Jyli5d2mV7grPgxxOLHs0b&#10;bXLFe1F5jw8rfGVRqW+U6kFOQPRd9jUxGSH2ety48RrzMUXk2GKY4Nucy0T4neI7QA6JU2XuYrcG&#10;8ROKfMyft0Dlg/pxmF1BvEo+Y8iIlyd2Hd8LGKI6UEIPuvKKazRmZbLQBx9ws/hLlU7oUOE25ei6&#10;yzYSDOE7YO1+o+pcqawrmjr1mC5/TIAfs3TeOUp8FuW6+LDCVxblNhSybjZngeyxlgQb/87f3ar+&#10;D2Rl2bLlIreyzqt0K3e8+ABn5kgG0pGrAKNknkF8hVPlu6yV2Xuf/dTGZ30MPl58EWAefpBc0c1w&#10;yOZ08K0w90IsuPmFNgltOMhxspvEug0WH82xyLP4PaaDIVJfjcMtEL2mjmsQG69M49XekHHA8P+m&#10;G65zD9x7d85okysaR/U9PqzwlUW1/sWol2EI+9oz92K5Txm/yN1RKutAd67DH8iRnzE1GU+IA0EG&#10;Z4j9gjwyf7Gt1IE1vkuWLNX1deq/FB8q+tJvrrsmbzKCLIKrSxc/oZjVKXF06mcQX8Nd99wnclvq&#10;dpAYU13jk8COJnQP0ZuS25Wv38z11AwbKvQpc5fPulL1I7AuXgOTnt/U5M6HFb4yuz8+b147snLF&#10;cvVFGn4wth9y6BEy7pe4Y8aOSczbFgY/wKkWcIPxWzAE7DpEYtXIkTHthJNdh8SkWnw9cZbIN/PP&#10;ue5PsJU1QeAqedfBVL7bKXoHx2GHHaV1OlJjuoJ6BuuNC4cdYBJ02lHmqobIOr2pxxzfpX+wXx92&#10;V67p0l/f58MKX1l/bX9v22W6B88R28B+SPjbGNvBj+0k50SDrP1qGjdGxlOwI3/zkuGxWXUP1uMx&#10;ngt+BLZAnasbXuUaGhrdWomnZ3zlwIfKvDNzI71tf0/3//3vf3PMvYBPrLlRv4fkFOSbHCNGBLlN&#10;FDOgDTRSvwTXhcEQpY18a99RDaor7r77Hl36B7oZMTI9tTP+P9BTfFjhK4vpFeQNDdOBfICtl13q&#10;fv/oIzovid4+ZMgQWdOWkGGR5ULZL2Es6boW38Lu9dVi45e7+Qt+q/ND4Nxrq1fpPAPyjO/CcoGE&#10;sTHczp6u7Xnu430LZb0++scmiatgzpbcYVMOOlgP8qvt0UjsfWFwtYsW6GWJA1tv+thqd7jEgWw1&#10;aJDkZRoX4JzoSvffc5diH+0wv05P7R/I//uwwlc2kGmU3HbjK8ut9YTgCOPs00+vVJ/lxMZ6yT2B&#10;7lEo22WzbJiMcGbN+49kPUmp2FPNEgtia+osZwn+CZP9TLED2tizJnPMZ5MnADwl3uOF514QXK3S&#10;o0L8DYdLnWxeKlzfQl3js0VfO17WIOKrIgfC2xI7Rn0flDW46E7Wx9DH2pfMB/Hv/4v3jxL+7w0f&#10;GC9xZqy6/JKL3TMrnlLb5eqrr9M8g1PE79AiNsQM+FRxxC/f+ZaXFrWfGmVd2mCNR21vW9cVR8a6&#10;Nmx92m5y3xs6hO8N04R868y9QBtsJWKzTv/F2TrXwXxHo9hTzeNZV1tEbBW6zNB49hrxoVYq5t8m&#10;+VLBj8cWPqS6E3Np1q5wW+PrLeXFp2v4ymK6BXRD1oyvWBvGerRnn35aZGWD++lPfy5rT8plDSlz&#10;CyNERjbHf+QbK/zvx0aocZPEXiBH8ymnnib1bFdfDXOrjLP4K2ystXZl0tf2bGAbzXLLlixO2ARt&#10;bpttt5e1+ZV67C1xF0G8WPHsF/U1k8dJcGSPRpnnFpvqrLN+KfVt17WF+IbQ0aAD7TL6ZEKX/v6M&#10;Dyt8Zf2dDum2D34yWbltwTzFD3KMs0/LD390qOZDPllxQ+K5yJkVsrv9Mp4/3UTnR+X7R8lcB3Om&#10;g4cMc6teekFjupY+uVh9IMyNmP5h7UqXFuH7eBZdn7V5+D6MJk/IWt+KCsEOiafnOF51D/y7+Wt3&#10;T3TG/9Gk65JGuqOlPszhHj31ONWXVixfqrhK7iPalw1NwvTpr9c+rPCV9df2Z9Iu4ynm+bBfXl31&#10;suofO+20q+RFJv+NrJnTNfvEZBR7nK3RNTH1w4dKDtAS9+tfnaty8vKLL6qcs+YUGmQzxvIsNCGv&#10;GfHf4AfjN/Fqp57yE1kLNMhNHFWvx3SJS1HsKNBciw9L+D65ZMlzeKJga9XgSrfnXvuK/tHpnn8m&#10;iOkB/zLhjYH2jA8rfGUDjS6p2oucGH4Qa3TF5ZdqHOpG4b1Ro8e40SOGCXYIZkh8EvpxMfEjyJmD&#10;vNa6nSXX+3/+x3+4Aw/6kVv74QfuPZm7RdbZj5a2mh81Vbu7K4ce//znP9VeIbaVOW2NWRf/xx6T&#10;9nKDxaY7btxoPZi3JU5l87qgwush4Ae57sGWkwU/amSt9Pbb7yh41ylrp5/XmB7sO9PLumv7QP/P&#10;hxW+soFOJ1/7kRNkcM3bb6rtPFTWdG5fJ7q5jK2s6yCPVjNYUixdXfX0YLyfMrrWDZbcII2NozXf&#10;BboB9V8oc62Gh3b2tTWdMnKwkUuJHMTgR9v6tbLf00jZn2WYxNQ36mGyO71YNLHvSr9gxxCHOkH2&#10;26mrr5d8Qu06t31V6yx3z523K12gSbZ0SYd2ffUeH1b4yvpq+/JRb+OpQFcnTmqNzFE+r+vVJsqa&#10;2wA/WKdVXPxQO0HmGZok5xk+mcoK2ddOYkEefOBhtWFY44YOhe6QjYzYs6x7hya27mXunFt0Pop1&#10;ctRF65OQWXIJFg1XwRBic8BXoc+OkuMJ//KHsn7/TVmXjF+Z+Wdrl53zwUt9/Z0+rPCV9fV25qL+&#10;xkeckTnGWmz99959191xx13Kg/uy54DM2baAHTJ/W1QZsbE2cd5z1HCJHS/XPezYH/Yh0T2Qlc8+&#10;+zRrHwj2D3H84IfOvUjs2AnHT5PYClnjWlQf0HftI8UxrRNzyNVusmA+cW2LH3+8y64Lx4DQ39b3&#10;ueCj/vQOH1b4yvpTm7Npi/HR5tyFraqrX3ZZq/gJS9yBxEaJ/WLxUWBJVDCEfe7wRew6cQ/N/fm0&#10;rN9hrpI4slzY+sR9g6m67kViKbbdbgeJryCH0ndluJg00fkXq5PoIPtLvA6xKXPnzNOYe8YEDua2&#10;DTus37Phnf74rA8rfGX9se2Ztgle+vqrr1T24DNiT38hMVLEfhyemBfE/4F/fwteNZ4t0pn6bCN5&#10;cwYPHuLe++ADzQWCvoDco09lSg+wh1zS+E7BI/J4rRY7AFtpp4Q/qJh48d1vM3/LIfqh4MePJG8b&#10;ewxfdOHFatcR00O/fv75X2K9Q3zr3fGFDyt8Zd29YyD+R35geOw68UHii2yZ+RPhwVJ3jPjzidmy&#10;nBZFjbNMwqmTZc3HXrI3LLEgd959n6ypX9cl859++km3fNJdH4OnxJqi8xPX2tnR5m6+eZ7YBGWy&#10;557lno+QDqL6odRH8GOG7OV3uOSuhyZnnvnf0o4N2q/keDSamA7SHQ0G6n8+rPCVDVT6+NoNP6Fz&#10;MHbPm32zyg77EJCTd5r6Bckljv4RIZmhLjLWspcsY+0555yvMffkAUFW1smcLu3ytTedMsvlqL5T&#10;sV1O//mZGvdxmOTpiRKGbtZFAt8UtuZU6TPsl+bmU3UsuP7aYF6NPka3Sqf9A/UeH1b4ygYqfcLt&#10;DssX85Po6sxhEPd88A8PU7kM2/qBny46GNIi/tzjxL4it/IRRx6tedCJwUdvePnFF7KSFfIhQg/e&#10;0y5yN2XKQap/TBN9DBndLLfFv+7qF7FhuJ4mPlRi2I84cqrShLhAbJiOtvWKqdnExoT5pz9e+7DC&#10;V9Yf255Nm9hjiHH7XskDSN6PiRMnu+Gydn8LOYmQ75R6zRiD7NZKTpChbpttttO9cslBgM+Tvemy&#10;ocdCmcsxmesUG6CxcZRrlFg6Yte2oEmEdDLFkQSGoJMRW0euNNYPY5uyn3d4zMiGPv31WR9W+Mr6&#10;a/szaRc6Lfo6PPboIwt1jenOO+/m6ocjL4k4hwR22DxMFGSoJbGeb/u6atlnqtJ9+OGHErfyrPpA&#10;stl3HhljzEbuWLf66qrVag/sUm82QrTmsbGngn4SH6rYdFyz7mC3RB6hO267VXUp8mPDH7H+kdqH&#10;6sMKX1kmcpbuM30N46nvW7I/EvixKJF7bPToMRJnKfm/QuMr2BEl3Z39EdiHfq9RtRJLVunuk1yk&#10;+D0sjuWbb77JSAf59ttgH0/yDuMzmH3zXPEFlbnvi69W2x8xPUzjxugnwQ7D9bqhVW6XXXZXXRIf&#10;Dn3LGroo86avblbG2a7TlcNM7vNhha8sk3en8wzYbu20czrPFeseG4vIvc7al8d/v0jzerH2ZYzY&#10;BcaPUTwH8doj3QFjatygrUrdpRdf2jVvgg8E3SETurKGF3kjjxK23K9/fZ7E0smelLKvXECHzXIa&#10;RbpQpzHVw92YMeMkLqZDcwgxF41PJ+o8Sf3Id49OzPpF1jZxTRl9abHF+WqHDyt8ZZnwVbrP0La+&#10;4ue2elru9dWrV7kNsnafmIrt6orvG+xOPmfI/C37vx4uaz4qZP+E0352uubMsfH2PVm/km6fhe/D&#10;TwB+4DsFS0444STVP44hx0ZIH4vy9XjRHdEhWYO7UHw54MeKZUszokeYNvm+NtlZ/crLuhaB3E1/&#10;/tMfu+oNv+YLO2ibDyt8ZfmiA+178L57dB0ouavy9Z1cvpf+AD/oK2ItyVtF7Cl7z0ZZRnQtn8yF&#10;TBMbBn/hYYcfpfqC7Ru9fOmTGdH/+WefUfxY887bQosO9/39p4h9VCExMMH+e8Vcg5xuf2xbU+1Y&#10;/4gORj5s9DF8y7nkm1y+Cz3YdGFsaerLAe6xdod4Ptpi412+MMSHFb6yXLY9/K6nn1qmbabt4Ej4&#10;vyhem7311NIlOv/Cfm6vv/a6zv/tKuuw0uXXYtyn+Yw05rLGDR882E3cYy+NdyD2iz21M91T6uEH&#10;7tM+3CBxY+AHcet1I4YLLSTHxtaCqXwz4nrIToL9xO+QIxbcgB/ZgzNfcpcL3qZuHOAdc+fkXoQv&#10;0QWJ4yM+iTXW6IS5+J7vHT6s8JX5nu1tGW1F/lhvga8N7KCN+O3hXWiA/836zLCzt9/J5/3UieNJ&#10;yatFPyF7S5Ysk/G83E0Sv2SU5YTYlGDeocaNrh7qxk/YRtbyb9T1O3fctkD3lEqmufVFMk2tnDPj&#10;HfM3xG52SI7VmhrWxIMfxc2/1pu+2ElsT3y+7W1r3crQOmJrZ3L7i/mbOtlBPcg1AC/ir0F+7Ddl&#10;4CD7I9KvNvZls1Yhud0+rPCVJT+Xzm/aSJ2t3pzxO9IusALswAbA7mYekXLTGaPYb9Zm6sbeL8R/&#10;kDNi+bJlOl85aVT0x1nDj60l50XV0GGyv3awt/aihQ8qr33x+ec6VqVL/3/84++qezxw711iC20S&#10;eqxTXYy9mdB3dJ18xHUPcGYPibNnTmq5jN/Prlypc1LE1tHn6dLC+KOQZ3ABvR1ZQvfAlib3G/oH&#10;fi3sGf7DR2VtoT25apMPK3xl2dLEMI84ATAR/OBM/iva/Kast2I+gzbzLbAm22/m83n2cLv2qiul&#10;7hvdww8vlLGrxO0jeS56M+YV/F5yXnCIvOwkthYx2xtk7Q5j1jOyFnfWpZfofi3wVrIeYrQM8x3X&#10;n37yZ5U15l7a1q93v73lVrUDJjYG+V+J4y94OzPAq0kNxLCXuqdlLHhJcjvCm+jFvnZbWbHO1gfW&#10;T6YLY0fi8+hoW697eC1+fJGMy8+oXN19x+/yIlM+rPCVZUIra59hB7EG9At4CX6Qu2ad7IvGnB8+&#10;OLAS24bnjEaZfLcQz2B/gfGbxH6ZM3e++k/3HxNt/CDnJ7JMXpLdkRfxob4ge7N8LDy36mVk5grV&#10;D6FfOvTnHvaYQ2987pmnxZfS4ebNma/v3VPGc2JPA99p9PWyPSUHCPRYIWP46sS+6Ix1xkup8NT+&#10;L+TZ+oYzB/uFIk9zb75Rx2IwpL1tvfpDuMZ+4X/zp5o85qLOPqzwlWX7LejPfiPgB/llaBN+f7AD&#10;HwLySBu5tr4yOmX77Vw+T52oH/6a2bLuHV1xzlzJsyW8d0DE9Q+VZcEQ8CPY06HUrXxqhegfnW7t&#10;B++pnmv5UKFZKvobDaAD4xv4QQ5H+u7HP/6Z2C+lEjsGlpI7MfrYAaZOahB9TPIvLF/ypOjCr6tt&#10;euP116akQS55Ktt3MdcC1tEPzDnTD2AFfgH24cHHz3/YY/SZ9V+23+V5H1b4yjL5ltWV+tIGsIMc&#10;VfhN//Dxx9pO1r6jl7AO9I7bfqs6Fs9l8r1CPgP+zbnpRrX55yTG3P0lx2iUdXViQdFBwI99xNdb&#10;JvkG7pUYVPADGxJ9kP1fu6O/YQr3cCx65GHVG8l1Ct82N7Wo/XKA6mLEjbEXTvTjx74v9WUMmDN7&#10;ruwL/I7iB/xq7S0kb2XyrS+/+ELzuCBHyBPjMn3KOi3m5W2ODH2RNuWqXT6s8JVl0iaewY+BvgQ+&#10;0jbmmGgXNjcH14zl9BVtC38nV20MvzPba5Mt2oM+1SGyp/HawnvsOxdl/AjysddqXoEDpK7s2zhH&#10;Ys3x4WyUvsBGxp9tsYupaBXuF+ZddO5Fnlf8aJ7ZJ/ED3bFM6LFg/gLNZ4suDE8ytqeiQ1TKDQ/Y&#10;Dx1fqe39h2wxPhNbRpwS7aGvuD9X/kUfVvjKsqEV7aLu6E/ou6x9R79iXpp4W+YxFsybs8W4F+bR&#10;bL6d62etXtiaty24xW2UNsy67ArZY7bUHRRx+wXfabCnVbVgXZ3ix/x5t7iPNorPTfaZZB9w+ok5&#10;GGunj35gKGMCZ+7H540fqC/rH/tL31VKTO6cm+fouIa+jyx+9eWXkccP+sgwn3GNmA9kjv5AxtD1&#10;lz75hOKKzXf6+jWTMh9W+MoyebdhnPk2ONMm0z+4Zt04PAhGhr/RHf+G7yv0NfVCbsBxdP12We99&#10;/jkXiCyWuEMkj1WU9Q/mbmck/BHIC/o6+AGPoX+wjy9yg84LXa3/kmkMDTjAGe5Hp+R5+rNJ7Bfs&#10;or5mv+D7JiaXHKjwp+EHeW6T2x+139YfnNk/FN2J+UHT8TkTL018CJiYaZygr90+rPCV+Z5NLkOu&#10;OCi3NgXrRFrVN4yfmL5B90AHMb0EvTn8bPg6+RvF/m0yBX/puCvtOe+8CzR/9yGy722U8UNzfup6&#10;9Wr3gzGNamfMmU3+I/G3ib1sfjb2XuupDxjv0B3hR/ZtYA6HPm1qmunKxQ+5v+w3xx4v7NMUpRwG&#10;qfoHvCP+FDwlHxS+U9rG2A0vF5vvwt+nPmE5479wGfFjjMnkmDA/CHKHDwT/I/hCn5mM2rvC30j3&#10;2ocVvrJ03md0Nt4jj26wx9IsjW0BB2kPfMaYhw8S24Vxi/fznL3Dfqfz3ULfQx3pA+ah6Rfwg1iK&#10;qOOH5oIXHypzIvuRB1X0hLvuvFvXnG6QPmDOjxxAC2X9GDgZ7gsfjW3uBdwhjoT52+knN6leM0X0&#10;myBWLeKYKhgHpuD/AD/mylw8/Mg+vvAmNPG1vdhl9E1y/9BnyBD1B/sYl5E5fCDIHesbmfukj4mV&#10;sPWSNiZm0iYfVvjK0n03bTL8IP6GeoITyJm1g7YQs08biTcN08IwJFyW7rfzfZ/1F2Mv+gc6Ilh4&#10;3rkXBOvRErnXU41xxS5v1lgumU+V8x4S30XM/fKlSzWGFp5DL8QPxZEOLZl7oQ+hAWM2eszpp5+p&#10;crifzEWR773o+0Ql8KEn2oMf7KPN/At8im5J27Dl4Ml06FHIe9hbAv2PuEv6zfxR1AE+XShjADoI&#10;+j+yB44wZjMXg5+LnC/Y4NnGgviwwleWDm2MztQ/yK/TqnMutJM+MR7F18H4DbZ88uc/deEHOMiB&#10;z9tk1d6ZzvcLcQ/1Cuz+Vo1hp2/OP+/ChP8j2mPtzAmyHlZy+ZAHdTfBD8bbV195SeQ/mAdDf7A9&#10;oOiDVLxlfQLO4K+jX/GfMo9z029+o/HrxPKbv4VzT/Jb7P8PkrzSxJ+2tl7l0MUY19A/yEFmvFgI&#10;/kr3G8Q6oNsjR4xl+BFZv07fIENgCv9x4Ccw+SN2Ar0jWF83S+M3uT/TNvqwwleWTrvCdWAOiXaB&#10;j/AXBxjIsejRhRpTi/5vfmPajVyiq+Aj5mCtTDrfLfQ9xGzDW8QNq/2S0D8Ojbj+0bT1CDcdH69g&#10;CHs2shfdpo3tbv26tcpv6IXot/Qb/AZdDSuMxuE+5j50ZO1b+lh0kIUPPST2i+xRJe/XvOvQpA/E&#10;f9B3+E/RJWkPPIrs4bMLt9noUMwzsR7oD8RDMKeJnoS84Ds1/AD7wXf41NbFIHuM5aw1o4x3cM6m&#10;fT6s8JWlSy+wDExgPTjzE/Ch6U9gIm246YbrtM2GDzzD+9EZLZceZ/QvZDXdbxfqPvZ7pG6MUX0J&#10;P5plH9wZIif4M7eR9XPVI2tk7rZDbXzDeHgLvRCfBnzl4y3K0BtZr6RzLyJv0KFT1u9/+N47so9W&#10;pduxTvBDcUO+1wfxw3w7+AzgKx8dCsVvyd/54x8+VowH66G72VqM2eG6YqvQl2AMcojsMUYwl8tz&#10;yCH6Y/L7e/PbhxW+snTeaXoQ+hKYiK4EZlBX6o2djO3Cf+hPYd2D2DHwHhwl1oXck8goMe7pfLuQ&#10;99Am2kD/0Dbzf0Re/xA7QtfAiP1SP6xK8nTsqOtlja/gsaDvZmnbUtGUMY44d/pnpay76xS+5FAM&#10;6mxzo0ZJLkfJB0j8ehDDHv3402T9A70D/Yp5ilR0KFZ5R9t6pT11g//oM3CC+iJjyCF9xB5nrZdd&#10;ov+xzgz/B//jE2E9LvlNkDf6PVnPTLdtPqzwlaX7PnCate3IF3YWbYWvDEfASHCC37yTevPMrbKP&#10;Cn7hN8XeoZ3vyrPcx5x1ut8u1H2seVHekrr1LfwIfBInSR529ove/4ADtX+w98mbs3FD4KtHL2ZM&#10;S0VP+JNYd2iAf0DHBvBD3rFJ3jF58t5u6GD2sqiVOVzym4Mj0faBJOMHvAsPo99nKlup6JdtORiA&#10;XQIOIPvIF+MyeL5Q/Ka8H5niwJ8FtqxYLmO5jOHcy/PYBvgokTHaaDZAb+vmwwpfWTrvNdwDB6gf&#10;9QUnGN+oN22FN/FxhNvI//QV/nzkkfuCdZ2tui43nW8X6h7aGMxzXqX6Vd/CjzrJB1btjh7XoL7T&#10;5uZTtI+gN0fgA92g/UP8Qyr/KbYL/AtfQgv6GQzi4D1HT5W9+CQWfJrmPw3WwEQeP8QvxB5S58q+&#10;fLQDvkUeGQttjCsUj/X0HewX6ob/jXpyQHfkCjkiJwvvoN7Y2mAEOGKyCM9in7LmHfsFWyBTjPRh&#10;ha+spzbxP3iHnoROhH4LZoQP6my4afjImTX7lJM/0zAywA/Wha9MOQ6mU6d83IO+SP/hK+hL+EEu&#10;DnKQ7dfYILlyyt2119ywRf/QV7QHHKcP8bX56MfYDE/a3Eu4j7m+8ML/1bnhg8i/LvEmgR0Tbf2D&#10;2GH8vuSONzmjj/Hv+GhQzDLmxtD9iB9Q3EfvkwM9gjkZ6m+Yh3yx1oL5Gu6xPuaM3Jns8R5rE8/Y&#10;dU9nH1b4ynp6D/8zNpv/DV9wMl+Bd+CErZOjnrSTtqEPcz+2C2f0YmiELySdbxfiHurLEdStVeeH&#10;+hJ+tGjsWK3brb7ODRq0laz1fuo7fQTt8WlAe/xXvnHJ8iXjl4NXk/v57rvvdSWDStxkcoBsjc8l&#10;2vPa6EYHyXrCcln/MuvyVrdJ9Cn6FZ5kfqk38lQIPuQbzE8Q44buzkE/YOvj02Z8M16l/7iPHJMd&#10;beu1XdxL+4gz5hnGAvo0XPd02+zDCl9Z+N3dXRMji/3CnGAyX+EvBtPRv/CdUkfaR9vM3sE24zlw&#10;Ax5GZ+nue4X8z+oLfqC7Y3P2LfwI5l/Y56qmZqSMXQmfp9A73FeWY5L5v2Q+4jdjFv1IzAG8G36W&#10;a+KOq6qGufEjxXYRe6mpD+DHARLvRv7CuRI/praYtAv8YK1Ipr6BfPImuIYvAPqjO3DGd4jM4OsI&#10;9xv3GdbAr/QR94Mz4Ae8TCxF+Jl06+7DCl9ZOu/D7kLvpa6mR4R5i3xqtA+/MO+jvl9/9ZXyIv1E&#10;m6x9QXzqLH1POt8u5D2vv7pa24GO1Zfwg/iPk8Y3apzllCk/cB0e/KA9+DQYk7ClsZ+TaUv/0o+M&#10;WfBuuI+55h3f+94kN0Tk8eTxI8R+iXZeA/SP/cXWKi0p0/xpGyUODl4EP/HrZyJXyTTL9W8wHl2e&#10;cRZ6M+6iVxBTCh7go+KbzCPxm3gW/qdd1kc8x1hgsWj4u3z6Znd192GFr6y7d9h/HcJ38BW+D/Nj&#10;hHmLuXR48rXVq7VP6Bd0ZJ4xX4K1Ddsa/Ld3R+FsfERdkS/8APTBOeeen1j/ErX1t+QwNr9DsM/r&#10;fqNr1Ddx4YUXSbxXMBaF+4j2cKATogszD2a0p/3wF+MZfcZ4Z/wYfkdnR6c744yzXJn4Iw8UuSTe&#10;pEXqwaF7z8r8cdTmZDT/R2L9LXPR8C86Mb4Da3+UzuwRpbggvirqavLG2AZvYluyHx0yBM4w1xLu&#10;I5Mz+tBi0MAg+tf4PJ32+rDCV5bOu4i5oe7o9z6+MnwxmxKMRA8G500H4znyJ/GecC69dL5fiHug&#10;LTof8oOezpzleYn1c4dGbP2+7j2r623FB4Hsih3ROGKoGz5smHv9jTcUJ3w8BS+iz8J3pgvTbg7W&#10;o9JnHPQnWJP8jk7RQVa9skr1HPK867fxo6ovVeqSOEdpTiYZP2gX4zLjmLW9EPzVm2/gJ2DOBZlB&#10;fug36k1cB/0TzMfMUgxM7iN+G+7Y/Yzvpn/Yuaf6+LDCV9bTe/if/B7Um3r58IM6w5foINhehnvY&#10;Adg7tJ1nbS4b3Yu+S+fbhbjH+Ii4HfCDtVW0E589sc+Rix+T+RbGfnJ+tAh2TBol8y4yx3D4kUe7&#10;DaKjE2+ezFdmj5iviv7C/re2o3OBK5Srziz9lfyOTRtER5b37/+DA8WnUOaOHtvgmsZKDAiH7H0X&#10;rMs1vSga52T8gA8tb00heKu336BP0I/QE5EbfIrwItfMgTInyxiMrDEvQ3uS+4n7KWcc5F78C+E5&#10;+3Rkz4cVvrJ02gdWc9AGDl990f2RPeoLH4LxjGPmE6ZNzNlyD3RIpw3p1C1X91AfWyNCvVkzdv4F&#10;F+ma9YO79ouOhkwEeTcEP0Rmj5VYrvKyCsnRN8jNmXOLW98e+NyS+4jf9AH2NWOBjb9GP3QvfFxg&#10;KLzHvcnvoGyt6MKXz7pa7LoSt6vkej9lXL0elgNe18Z02VbFp5cPP8BI1lHQ9qjxIfiBzxD7BHqb&#10;/sE1soRfw2SMuQxfP1m/0Y/0NT5H9I7e+It9WOErM/7p7gxfEbfIuOTDD9qFbw77mfqCjdhr3Gvj&#10;Hte0HfxAJ+nue8X6L4ivlb3nwEjprxtvuFHWfFS4KUXMn2w2QYAZgTw2s95WZbTGTWwgX2GZGzN2&#10;nGtbt05p7huT4Cn6wuJv6Kdvv/22yy62vRKJwTWsMT60M+/tELq8/+67rqGhwQ2vGuKOGT9KD2wo&#10;1vVjW9kRBTtG88FKPhSdf5G6w4cLJZaT9rNWPmr4gZwz/4XMWZ9RZzvoH9a3EA9CnBljnfWPnekn&#10;7Sv5D1lE7ngvR7rt9WGFrywdWQXvmL8F62iH1dPO8CX/EfdCXD76IVjD/3Y//9s8TRRzx0Fb+oO2&#10;Yuez5ys574q9fwP+SPVP4luQmAt+B8dIzatYKbktiI+67trrhdboskFOCOsbO4PxXHO2HFzwIv1P&#10;28npMkf2rYDvzOa0Z+2sPCn6Db8vvEB0M/GjjpB4do6jZP3e9AkjXLPgCLkEgrX9zPEWVwfRfI6y&#10;fn/+vPnKi/Aq4wT48fnnf4ncOIZ82xyl0T18pg+Yp6DviD3FtxH+366RO3zk4AfzaaZ7FAM/TP+g&#10;7oYHVk/O6FG0GZ82fGjzF+F7uDb8iGq/gX/g+gahfVTwgzX56i+V/Rk0z5jKY42M+Q2uWmIxhg0b&#10;6q664irpl44uv4Wvjwz7kR/iyLAx4Sv4ifwS8Bm4b89yf3L/8R/l+p+sp9t7n30lnmyQHiNlz8xj&#10;xZZpkjkY9A5yGoF76hMp4jpd7BfWBJGPnnrjTwjkM5jDBjvTGUMLdU9P+EEfmB1AX1p/hfuKMg7i&#10;yND3yXdouJFue326hq8sHbowj8L8M/gRrqddM4dEn4Aj1qbwvXbN+E57oogf0IH8kvinooQfyB/7&#10;M2CvkB8I+TxkTIOsY6uU8b9S8+Kgd7BHrcVHWb+Ez9YH6B/IEbYmB31nuYXwT/G/L8aHd/FcoFcG&#10;Ouh7a952Rxw1VY+KyipXPbTKHS4YMgM9SfSlGWMD/SPYX6I4esi+7P8i+sfvbr9DeRP+tHzStCUd&#10;/i/kPT3hB/0INpiOqFgufRPua8MPkzcw0/CDs1131y4fVvjKunuH/Ye/CR3E6hWuq13bf5ytjfxn&#10;v2ln0B5/7JJ9q1hncJk1xPitmGNg3wPds1HynwY5xwvA/6JrBGtbEzaKzoeKX4G5DRnPp01oEH9H&#10;tc59DBtRLTY9exKIXyNhU+g6WaG/9Un4DP3pC8qQG/InhP1V9DH3IF/h58LX4T6mfIPEg8DHHFfM&#10;miWxqVWyV0KZ21P2fGuWtcDgh2JeYn/NYL5X2iM2TmDfBDRl36t8+UrYj489jJcuXaZ+LdoQ4Eer&#10;2gDF4rdU34UP0dOxo8O0t2v6CIzvqZ+4n3HB5+cpNH4g99SD+A3jQWtPumcwxfTGqPo/8Hur/iEy&#10;iT94tuQwrxT/aT73n9siBw+2iuDEyej+IlMtMi+K3/RkKT9U1nEMETkgt2k58dhz0MfbE/rAluNP&#10;On0CH7KGAHuT/k3nmeR7VOeR9/Au/M3/+z+yvk7WmlRWVrptayRPiOAdmDEdfQT/qrQLTGmWeFnF&#10;D8XLQFfJF36wVqdC9t18crHkg5U6wr/BXOF39zVLJdOFLAc/gvwd7OHuHwuS+yH5N9jCQTxxpnFy&#10;Pl3DV5YObYI1K5vnVJLrm85v4pMMP4idTgcD06lbLu9h3zmNeRMf5Eey99Js8Z9WiDzgg8sXf6uv&#10;IOEnsG+oz0DWl5Bj4ySZa5kke1JWDRmssbANjaPcNVdfLzpHkOs+Hdr77gHPkXt4FF7LlFfb1q+X&#10;cTxY679pY6e77NJWV1Mb7OFdO7xK9p+tkVh3oZ+0p4WYt63FvzoW/SShzyUwxNqe6/MkmZ+qkFiV&#10;5cue0rh+2mm5rrDdcsk/uXgXcmF2NHqGr+96KuM5+hf90nJq9LZuPqzwlaXzXvQOYmrxu2XKZ/Aq&#10;ewDjp6Nt6Xy30PcQE0Hsjs1hPPHEYtF9y9z3JM4h13wdfp/JkvoJmP+UOZbjJO/vZNlrpaqywpVL&#10;HbbbYUf3i1+cLeseiC1H5gNbI9P+sOfgNa7BkJ74Mvl/wyD6luftHexTfchhR7rBYs+Qe2Ok+EUm&#10;ixyfKG0iVhW/6hY+kf/P3pm/2VVVeX//A/2+kppT85ihqpIwJYRMzFM3ATIwCoSkUomKiIqiTIIi&#10;QoL9qjh1t1OrgNrt84igjbZ2MwmCIBDxdYAMVUm031YUEX27eX95v5997ipODvvee+6pc29VYv1w&#10;nnPPvufsvdfea3332mutvXcVMWSp1iTXKTbmqSef8vRR12gd4XYfp19rHktTHrESkR78eht2sg9C&#10;z8xPsUV63632NExTZvKdEFaE0pLfhZ5tLRx+6VB906Zh74cm8xuGypqqNHAfGzE6n9Gz8/lf+PWm&#10;xGrH5T3X3wXZQZ44l+m0eXPcUFeba2mO/LJDg8PuesXR73pBeyFzHqXmLKxDt7EpsmdWPn8BM7iQ&#10;J+gFC4zutHe+pXwun4+e2atol+Z+1PV5xT+yhmj+/CHR0ywdqskdKyxeLRqZ10Cz17VMF6nCfbC7&#10;w3V1dak++4RvUUwB+9Fgx8c/MVX8Vqpc4reJP03bD8n34A10LHxsYGWpsor9F8KKUFqx75Pp2BVZ&#10;s5isa9pn+Mv2PrV9QpJlTOUz/nHiH9D3GEe9fEpWl684zs1uadL61sKeOZL30cJZ96/DkYKf0sdP&#10;+TgN6eoeF7CLRvo6tlD2Oo723tFd4/E6nW93dF+3fCpN3tfImVVLlixzt9663e2Rnz9tG0/X93Yp&#10;3vjG993s92XlbAn8qR2ajy3R3OZc2UV8W+CfVpuNMNcptNWo2sr2eOe8O8743Uzb671QnOsWb6eN&#10;fFTYWi5WPpR1yqlnHOCbIr6AcYyY26nkuWTZjGFcYAfx2x6ThcdZ+pW9lMFIvk2Wk+Y5hBWhtDR5&#10;YdMxH0wWWvgGebS1yawNTFNurd+x9R/UFR2Ju62hO07jpj+zUfP4A2ye8TETWfDygEzgY4j8DD4u&#10;E95nvbv+3yAZWS1dfpnkp7utw9tYGnTmwtGLj3Hvfvd73WOPPCT7xq5J8U/WfqrGd+g5Y8Lksd07&#10;3Rc+/wV37vkXuQWLDpc9p9HVHVbn+jq63QqdW3Muvl+1D7bWzWqjqP2EF8JYm/eAGwfMfWLtz/tR&#10;vG6X26q4WHQd9jv6sOJjvCyqHuhZzMfBD9aP1JrHSpUHdvA/dgt0ENotS39AK7E82ByIsS1VZrH/&#10;QlgRSiv2fTKdGFh8MH5tagZMpC3YGxq/FOt5k/lP9TMYCU+Bk/QZOjn48bOf7nBtkvFmdBCdLbtV&#10;voQRxVmyZ6CNk3Yf0Z4Y+Eu4olgv7TMsf0M0Zmo8HOxwq+b3uLr6w9wbtE8Ya0gaGupcj/Tr9914&#10;s9v9QhSLTNnEdER2mGzjTxa+q+Y3+JixoePXIh5h/9597qqr3uPj3xoVX46NAt2kRzbX4+fKVz3c&#10;IZxQG9PO+Gx0x24S7bXG79d0utfan/fRU3rcurlzfNt2dfWoLcej8UAxMh7L1L6MzfidpprvkuWD&#10;IcgI8p9lTkkf8h1zBfRp+DpZRprnEFaE0tLkxTuspQU/iBvIwmdgImtz6Tf0RsPatOVX+z3mL+C1&#10;4YfFYsFvl20c9XHsh/d2uwsH57mN0h3gZ+Nbu7Onn9etPQ/3uwt0P0t4cYJ8iMPaG6xFujT+1ybF&#10;SHQKM0444WT3nvdc457e8YxfV7LXr2/VGCncor2oQ9YxKEsfVesb+NnoIFYEfBwXrePycz0ufrrm&#10;2uv8vkQt+Jjka52lmNZW2UuGZXc6Ub6n9WrHS/y8T3YT7aXA/NH2DLC2t/vI0IA7XdiBz4W5yzvf&#10;ebU/w9evaVJ70q7QCR8Sx15tvqo0/z++/LIfx9irNmt/0N7sg2j7aVRaB94PYUUoLU3erP2l38FF&#10;zkaBrgkeV38Yb6ShFwzCv52m3Fq+g54Hfeyri/0DHoceaNv1wi/dmjXrvC+Gs1Tnd7e7E7Vfz2rx&#10;MnuDnCn7xanghHRwdObh3k7XPrtZWFHvY5dYg9epeK/jjj/JXf6WK9x9937L50/exH/B0/Q5vymT&#10;8q1N7Z6mbafzO943I3r93dMY8Y3HyQLdP/3JT9znPvN5t2X0zW7lqhPc7Nmtwu16347sC90u++sC&#10;xZUsUzsfL1whLuccYfla7SPAOZXH62zNOZ1806C4ndnujRdfOrGXAVgctXFULmPFdORD6gi2mZxl&#10;6VP2n2AuTh7TRf9AvtDvibGCB8APaOVKw+OGN9hh8W/XEhvSlGVn3xL7Z2NUvO84h/5//e1H3Emn&#10;nO6xgLgyzjIgPgR7Z0sz8RmN/urt63erxP8XXXip7Cfvd1/+0l3a8/wXwgZwIvLpWxvGy/hL/m38&#10;Ecl5pH/hv/niP37Jvf3Kq9yZq9e6FSuPd7Rt1M7CCLW9tT99Qexad49ssuddJNlhb4zX2w+sb/GP&#10;wsvTTQ9mfme23az8YH4K9vtKw/uhd0K6Rigt9G0yzdoY36at0aQf0uCGtQH8wfvMy7AvJ8uYymfo&#10;IyYW3ahYLCb6CDoY/kns9/D19dffpHNFblTc5S3ae+Mz7qtf/WftW/C0dIvIjmFzIOwYE3q7cMjz&#10;sNqikvazdjxU774tCvoJ2DounYSxiTgX2iuSe8095BNjLv21r37N3XHHJ9QHN7rrtM8TZ0vcdddX&#10;tIfB8z4WlrYPtdWY5JOywI9SZ2lNFT/mgR+MgfAyPJeVjhBWhNLS5G86ULR+NorfiPq2+F41ob6j&#10;3/BLEaeVptxavgN+mE0tVHfS4GtwBF5mHwxiMbBZ+KuABzZ+8i4x3YyBYA66R/Qc6Wv8X4zHi5V/&#10;KKcb1sJXXBOx+WpD+IY2p82wK/Ob97Gh+DaUfXSfLsuD/4mJ9f8lcMTyYgxjPKwlj6UpC9syfIi/&#10;Imt/o9+zXg2bnslumrLj74SwIpQW/6bYb+qADYR4G3ANvQhss76mT8rRSp/yDvhBnJbpNMXKrHU6&#10;8xfmjGBkiBbqb5jp5yDwtOiBdsYMfAvoHZ5v9S7pjJ17dmuuJ3nw/mDdyZv3uadpt1BdDsW0qL32&#10;TLQNbQtewGdRm0b6iLWdYQnP3oaktXz0C+n0BWcBGM/F24t0xgD8o+jS040PGceww2HbDdU/Tkux&#10;39gIWIsBbVnpC2FFKC2NnBqGRf4Txd08+MAE/yMbxeiIp3v50xzGYsTTlFvLd+ApcJ+1mfF6z/wO&#10;zwMO1naxccDm4rXksbRloTugQ6TBD3DXZIs7F/svs99XVuygniGsCKWlocnqgW8J/ePb937Tj6nG&#10;Q2nGUXsH29B0tHsbfhg2Gm0z90MLP+hnbHGsc8IGkob/a/kOYzW6ETFkJjNpeJBxHOxgrSv6i+0N&#10;ZfuOVUpDCCtCaWnyNT2IO3vfoRvFaYv/LkYrtEXrDrb7dXhpyq3lO2PSg73dW7pVGnqK0TmTPr3x&#10;xvqW8Zn+trGxlrxWriz28QYD2H8wLT9BF3M3sIcxnjhPmzeUKy/0fwgrQmmhb0Np1s7sSeL3+BMe&#10;UGe70tBp+z5Nx/UvEX5EsW3GY2lomnlneuNFsn8Yx0iL9lzbNq30D5Mx4uvBANarJ+sfejZ+jXTo&#10;6AyfF3/7G09bVgwJYUUoLYQVyTToMtqIHcVOgI8ZPRB6rE9CtFkaNi1iO8H8l//wh4n8kmVN1fME&#10;fhRsO1bvmfvBhQ/l+sv0/Hu0Bzt8bHw9VXyXLBd5Z198xmhbA4MNuRxdYAhnHoA7zH3IdzK0hbAi&#10;lJasf7FnwxD2XKGOxN6AG2ntp9CH3wXb8GToKla/yabP4MehhRPF5A0dH75F/yAGdbJ8k/f3yAYY&#10;gn2XGHSwA73CdIwkXfF0OycS2w71mi7+W+piehB4wdwMHIAu6InTkKTPnpmPgan0W/wsrLzbP2t+&#10;M/jxl4Ef6MxgSGT/mF7zF3jXxmnOeEVXZ70ZeEedTd83meIeH7+JPSAGwfwTJrNZZCKka4TS0uZt&#10;OsOrr/63j01BB8EeCm1p8AN9kW+IHaTMydCWts6VvDeDH38Z+IEcInfMpdE/jK8r4ZVqv4veQLwQ&#10;47TtQxbHiTh+IHt2Md9hTmbr2ydDWwgrQmlZ2oIYdLCRekIXGBKnid/QZOnYg8BFaCM+xjA2S9nV&#10;+Ib6UF9o4lzpJC0zz4cOtpis4UMkfqwa/JQ1T5N37ujozF/AEOwaxeTMZA3dhJha3sc/YTKWdZwO&#10;YUUoLQut37r3Ho8FxMhZfyRljHTmbtyJqUA22es7qz86Sz3TfkNbY9Ol7b/z7ftm8EP4n+zPQ+XZ&#10;5tzsk212grR8Uov3TN65Mw/hnF7kDTkK9YGl2x7FjNMvvvhbj4uGR1nqHcKKUFqWvC1Ghb3+rP5J&#10;2vx8raCbcK4KdD3479+fNF1Z6pvmG3AN/Qi9thhNSRpnng8+nKFvGauxxdHXk5GxNHxV6Ttx/LCz&#10;ztH3qXeIL00vwa8B/3I2ruVhOkildeD9EFaE0rLkjS0UfQL9D5psThmXJ9LM7gPWg6PYS6BpOuog&#10;tAOxcdi9Q/0Up23m98GHG9ZnyNvY7l3eFoeuabKWRQ7y/sawzOR+p/aNBefwVRhOGB12Jx1+ZUzH&#10;ngMmWr0sP3uu5B7CilBaJXnau9Eawe0eQ4rRBX38x4XdFNqIAbE8ptPd+guc46LO1j8z94MXK0J9&#10;B3ZYfBZxntOJD6lLXObhQ/R27CDFeNLr+dKnoAX9A50FTOSK51UpnSGsCKVVmi/vUzfW6KCDEGNr&#10;dtJ4f1naC4W9am+/7UOeHqPJ7lnKr8Y30ERMC1gfp2Pm96GFH4zVpuvjG60GL2XNMy7z/MaOsf3W&#10;W/zYW0onBltYkwbWMLZnLT/+XQgrQmnxbyr5zVn12BtZ029YkZQ16GKvHegCa8h/uuGG1Yl6geHU&#10;1daIJ+mZeT74sQRefewHj3h+ZD15JTxfq3cNRxh7iSXFhwt+hDCENGjCd8tcJ686hrAilJalPGQN&#10;vQP8YJ+TkG4FXaTTBsxfuDiHKkt5tfgGmuAr5lk7dL7EDFYc/FgR6kNkjXMb0J/R/WvBW1nLYA0t&#10;dkOwAVpCcubTNX8htjvPff1CWBFKy0rbK6+84udb9yguLKR/QCvp3LFLgjXYg6y86aSHUBcuxiPw&#10;g34L8d5M2sGPKewfBM9iK5jO4xlyAm4gN+BdMeyAJxmrsZHk6U8KYUUozeS50js6Vqlzbsz/gq8M&#10;Py/9RbyZxa7zfaVlVvN9fEL0EfMX5jH8Nn3R7jP4cWjgh8UT2DyhmnxVad4mF//v1VclM5HfgZht&#10;eK8YhsCfyBd799r3lZabfD+EFaG05Hdpnq2O5q8IyRe02rof4szMt2RjfZpyavkO9SKGDPzg7I14&#10;X4Xom8GSgxNL4El89NN1HSeyxcX4y9wF2we8xnMxnsOfhJ7C+fZ5xUaEsCKUlkVGDT9YC8dea3FZ&#10;MxpJs3lNZO/e7uecnAORF41Z6l7qGzAEetAbZzDj4MQH479id/qVGCv2BzQ+LsUTU/EffEisJWOZ&#10;7acZkjFohJ7nFDvGu/gy+DaPOoewIpSWpSzqyGU+Z9b6FOsv6Abz0VXQsaB1OvcbsX7s0Wr4Yfdi&#10;9M2kH1w4g2+NeQE6sfFxFhmo1jdWJ9Z6WCxBfCxO8hv8SewYNP30Jztyk60QVoTSsrYDGADeUW/O&#10;tTVdIylvPHPhx2UOw/lu1kZZy877O+pDntCEXxo/mK2TSNKT7L+Z5+mNH9Z/2OGYA7DvFePYDx5+&#10;KJdxOm9ehAd/97sX/XyE9S/GXyZH9hy/M29BtsDGvOoTwopQWpbyTP536BwH5l1P/eiJCTpLYeWd&#10;X/yCt7liG8pSbjW/MZrQG8HEHfLhmv8o3lczv6c3XoT6B9mDL7l/U+MD+EH/VpOfJpO3nZMSl6sQ&#10;XZZGHD40EW9mY+FkyufbEFaE0rKUY3UE75h3sadhvI9MFzH6uI/p3fu/da+XTcb2LOVW8xujifhf&#10;+sLO74GuOB0zvw8u/LAxgDvrwW2NO3Nu6/Nq8lWleVMndGDipXbtfKEs74GLFsv55z//+aCYv0Aj&#10;eha+dPCDvZKQK2gpJl/898QPH/P4gQ5ZabtW+33jJc4eBj9Y2w3PzeDHwYUXSf6L4wfzF+TSxupq&#10;81SW/OFD7B7gXJKW0DP0se4Cuz8ymaXM0DchXSOUFvo2TRo+lD/96U8eD/B3ol8ga8Vkzv4jZuQr&#10;d34pNzrT1DXNO/Qb12/+8/94msBF+msGPw5u/KD/7CJmGp8otgL20bM+T8MftXoH+WH+jK4ewotk&#10;GrThj/6HT38yV3pCWBFKy9ouYB0XcW92VlY5WeP/r3/tK759Xnrp9xP00o9Z65HXd/E6YD/1+w3I&#10;Lkx/0afJfpt5PjhwxXRi+hA/BeMCvkD4Jt7nefFRJflY+YzF9psYMHQkfBLl5AkehD78hcQcxPOp&#10;pB6hd0NYEUoLfZsmDXq5iLvH51lOnsZ27/K0Pv3UU97mans0gkHTIR7E+g/aI1/zdm+rtz4qR9/M&#10;/9MbT5AzzlNhbEffz1PXTyMvoXdsDOY/+I/YbOYu8J/hXjm+4j3GO2KxyCcvWQphRSgtRFeaNJM3&#10;5iLmp4ZWMDOEm+AH6ayBQX/82t13HkCv5Zem7Gq/Y3v7p7HrlOvfmf+nFldMd0TOmGfjL2Sfcvht&#10;OvEcPslo7rLN1xN5sbqX4yF0KmjKUy5CWBFKm2yZ2H5Zy2i00k8h/LAzcPgfPy4Ygv3E8HI6jAfW&#10;Ft/77v1eh7xH66xCtJTrz5n/pxYzku1vfYjeAX5gvwc7pgPPxevAPsHMXZhnISdJOkLPjMfYg1lj&#10;lycehrAilGYyU8k9Xk9iUOkT/GFgCH1l/RWnl/bgf+J4iN1Bj8S/TV7obfE8K6lLNd5lXxnqNx3i&#10;2A/AZfQ7XfsK7RzHatrc2ph25zfXmHwOY3p/XJf1B+9avqRF/bXXv8e7/Le3kM5/dkXfR897x1mT&#10;EZ1Lgl/DxgfS9+1lT0uVt+81GSAP3uOKyqsNxlgbUa7FQBOnCd/EZbcafJQmT/ieMZS6EHOKf4H2&#10;p43ifWR9l7yzNoSxOG+fZggrQmlpaEy+E5d1Yl3Aj3gMapLG+DNtQvwHdlfkk7zsSpYzVc+2Zwn7&#10;DlD3WvJ7vK34Dd8jA9yJt7G67JdsksY1JpndI3k12UV+jf/2jkff71PsA/IMPtD+4DgYsc/4tHDf&#10;vesF5anzziiT8mMX73Pt0fdjyvfXvyZPxccUvuWbvSrD8IeyTRaoJ3UyeU7SWa1nyrS2gOewi/MM&#10;b8X5eCp4DcywOlAn5Ii91n3fqJ/StImNdcTDWV550BLCilBa1rIMu8EN9CdiO4xXaIsk7fANaZ63&#10;1Db3FPZgmI57ov7x5ZfFZx/yOggym6Slps9qS9MdwAywgTaEx57/+c/dV+7+J/fB99/s3vrWK93Z&#10;a9a7Y5etdIODQ66jo9011Ne7xoYGV19f5xrq6t0s3fv7+9wRRx7lTj7ldJ0r8mOPB+gOyPcNN97s&#10;lq043g0vWORaWlr1vb6LXY0NjW7OnDnuqKMWu5NPPs1dfMll7uqrr/HXhz/8Efew9O+9YI/qzAWe&#10;Rf0tfUj19VhTwKCatqHKRM/HTkC/soZzOuAHdTA5wu+CHsH6MPqCPqHtyrVTdB51FGt2MOGH7eMB&#10;jczZ/u173/W0Gu8k6aZNDEO4P/v0j7180m7TpS/jWIquS39ydk+Sllo/M+bvEv9/+7773M0fuMWd&#10;f8HF7vAjjnbNzbOFD42uqaFJct7gGhsbXbdwY15Xh1vY0+WO6ut1x/T3u8W6L+7X74EeN9Td6Xpn&#10;twtTGt1VV13t9u3XuhD14Zjkfs6c+e6wN/xPN6ejxR3Z1+GO7us+4DpSz8Ndna6/vdPNbmpxdXXg&#10;S/3E1ah69PUPuBNPOs1dfvmV7qMfucM99uijfr5Fm0FHhCvl5SLPNobfbI0ZOm+8n6f6NzJP3Gg8&#10;ZszaiHu5dsBWx/hN3JJhUR40hXSNUFrWsmwNC/oD+IH912gN0Q2emt5MfzKuMz/A90teedKelab4&#10;d8TvMFZhqzG6puJOW92+/SNu3vxh9z/+6g0eJ+ols81Nwoy6Wa69rcUd0dfuTp7X4y6e3+82D/a5&#10;keEeN8o11O02D3e5TbpGF3QpvcttUfq6wTmuqbHOrVl7rtsj7BiXnvD4Dx+XftLgWqRvXDI8z40M&#10;9epbvn/t2rqgR3noeWG326Rr3dAct2pgwF/gUkNDvfJtVN0adDW6ej036Hnt+gvcAw885McP+p24&#10;5Vq2JboP65qI0Yz7KaYDz1EHxih4jXUsY2of5Meucu1ka1+IpzJfRJyPs/4OYUUoLUv+8XriQ0Ev&#10;ZF1tOVrj/9M++En5lvNk8tS9stAU/4a6cFYNuA6+I8Pxuufx2/gD/Y38/RzF2yci++P993/Hbdiw&#10;0Q0NDUsuG/xYz1ykt71D+kSPO3X+gDvPY8Xr5Twu8xO/h8AQYcoCyb/kvrN1tlux8vjCXHvc3X3n&#10;V6STNLie1pYIMzz2vIYdE/nE8ARssgtc2jDc586a3+NWze1zQ11trq2l2c+fGpVva2urO/HkU93t&#10;2z7snnrmGY0fOntdPLBbes/43sI6AdlL9us38x4/35G+Mtm2pm1pa3ADmzgxqPQ1fTwd8OO//uv/&#10;ej0XXiM2Kg290OP1eeEiexZiN4GWPOkJYUUoLS43lf62OoPr7AmXhvb4O+zLhu7CHkvgUKXlV/N9&#10;6kPdiJelr+L1zvW3MIMxGT3g4YcfkU1hoxseXuTnBC2Sv87ZrW7xQK87a2jAyycYgKxulj4xulDX&#10;cOcBOkJYzrv1XrfXS9BBRof63LzuDrdg4RHenwN9t35om2uSznBELzgDLqTBJfSR3sIV6SZe71Ha&#10;qPSX0eF+d6Ew5aR5vW5QcyrwDx0Fe8yqVSe47bf/reY0yELky8G+Q1vk3d7IG3JGf7LnqY1Vdq8m&#10;H5XLG92DesVjqMrx1wR+CBuJv8JnAy150hPCilBaOfpK/W94RwwqvifoKkd7/H/eJ/b2tls+6M+9&#10;KVVWLf+zfsAGUkksYJy20G/otTZC7+DCH/voDx5x559/kWttwy5R59qam92R/T1u9SAyaTqDMEA6&#10;xIj0ghE/F+EZOe1LhR9bvN7R53WQLcKg4a52193TM2GbeNdV75Fs17kT5/R7/BhNgR+jQ8Iy1YGL&#10;uQ26CNgzqjs4tdnrMNSPS/Mr6UvHzxkQlnQJS8CRenek7Di3b9/u9Q5ww9sNC3aSUBtmSaPNWY8G&#10;n8JH1r/J37XkMcpCfrDHMHfBDmi8UYpG4yHait/wJ7KXd91DWBFKm0y51g/EkoKf0INMlKLf/rO2&#10;Iu4F/Qs7yGTqkve3zNGIjcOGOqYx0eo9mbv1PXnQ/8TMvOXyt7nOji5X11jv5sn2uXqw310GJhSu&#10;LQs0vktOTa/w8w/J4gjzEa+HvPafvRO6R/Is+wh4JF3k6L5u4UWT6FJ/qd9GN79JOs8st2ZwUBgg&#10;jIqVGcrPp3k9JZrDkD/Yttl/V6iT8iEv8GQzcyfhCGWjO10ifWppf7ebLR0LW+4xS5e7++7V/F/t&#10;gp3M+GMy7c231ubEeH/j6/80oePDu3blzTtp82O/DvgLnzLzqjQ0Gz2GH+ju6CAmi3ZPW4di74Ww&#10;IpRW7PtS6dbuVld81swtocnP5XUv1+9mU8D2Qd/yPW1jeZYqvxb/MTYQD0j/4qMuR0/of+QA+zJ0&#10;Gb379u9VrMYe97GPfdIdvXipZEc2DeHGmbJ9jqAjHGBfyO/Zz1+8LAt7FvW4pQPdsnU2C+/VV6rf&#10;yMgWb5td6zFAWOCxIb/yk3ShV4EpFwsn8Qs1NzW7ZtlazzrrbPcv998/US8/HnldTfYS4UGlF23/&#10;i5//zPOXnd9eC/4JlQFvx22H8BdjJ3sppqULeuJjNPzJnkih8iaTFsKKUFrWMpAvwxFiUIlh5/yU&#10;A2SlRH/TBryLvso+beAH566Qp+WdtW55fWf7PhPbl7Z/D3hP9IGpzOmhd7dshjt1XXHFla5FfpO6&#10;WcKO1ma3ccFct3Go020ZTGNzyCjT4IIwAZ8MOsHSfuk8s+rdv//b930d1649z+PHBd5ugb6AXpGx&#10;rBTfMffarHp4W47suSfM7fFzmgb5hfv657qnn37S1wubiPfdqQ0PaNsSvJV8D7ukxSjlxRuV5mPj&#10;Irxt37LHjNdvNc4k61zsOY4f8BVyYz4lK8Pyn8w9hBWhtKxlWDtwx8cJfhAXjN08jo/F2sHGY9oD&#10;HYTYQM6JieNz1rrl9d2Y+ofxgXWbxegolQ6NzFG4+7hzzRVuvOH9rkVxG3WHvcHHaFw6xJwC3EDn&#10;r6LMgh+Sa2woW3RfNbdXeNGouJ3ved/PWWet9fhxmeYYXqZTYMDk8AX7KvYS0a05D/dT5w14ezH1&#10;OuaYZbILPernMvhjwJFSbV3sP/gL/GeOgB6SF29kycfGRr7F3wp22N4XyIzJRDFa4um8b3oVe7ST&#10;J/nnhSEhrAilZWkHq6t9C26Ag8ToxGks9Rv66VvaDD3/HsWj4stF358uGEJcD+MWdStFS7H/oM3H&#10;fGuOQEz4299+lWS03vVpvvI38+Z62+jIAvwn2EEZjwt2gyrKbiSvXe44jx8N7vuyP9EXq1ev8XOp&#10;rR7PCjaLKtZjZBA9qMdtEp5FehF22263QXoP/l/iW4aGF3rbMuOsxa4Wa+ti6fAYsTz4OPI6W9r4&#10;PuudMRdMQ2aI22bMrcTmA03QazGYrCOzuhws+EF9ra6RHrXN2wvQ14v1ZTzdy1YBQ0gnbpc+roYu&#10;Zm1b6R36sAt/8fOf9TSZbpV2nNirthjfo3WF6u9rr73ex3H0dbTKDyF/heKvvP0TmyJ2CV2Rn6I6&#10;cwZvtxQeILPYXlfO6fXxqt/713/1OH6m8IM4ky2yR3hbq9eHqlMXrwf5/M0XTTnYgwttojqcNFc+&#10;GtlDFsrHjJygv8XbfWxPejs9Pg7040r7P+/34ScbG/EX4HdFXrjABMOFuJyEftu70X6g2yZiWvKs&#10;b0jXCKXlUeaLv/2NH6dtv4wQzaE0awfGP/CXNiUmldh4a+c86jeZPIgbwL5LHY1/0/YzY+au3Xvc&#10;xz/+ST+e9ne2uUs11x8hfnMQ3b2K9o4yusMq4Qd4gf5B36w+a42Pz9iMHuTnUdXXhUrNf/BLnzhP&#10;Nl7pIcuWr3I/+8UvfT3pB65K5jO2x5XNuSfDD5P51sZb+Id5se37aeNSGr7iHWuD6KyAbV52JlOv&#10;0LchrAilhb6tNA15R88nnhQZS9MOSTzhG3y55ENMTaV1qNb7VifW5DJO0NfJuhd7xhf5jXu/7foH&#10;Bnws5kXyzY4Uxn9sEN4HUUbOS8nYZP6b7vixSe2EPnJsf6e3Fy1adIR74okn/PyWdt2zu/ze5PQL&#10;fcY8ARt9tXgkTb5gh+EHsR7UCZ0beUF/T8tXhh+Mt8Suo7NzXgx1sPzT1KfcOyGsCKWVyyft/9g/&#10;8UNX0g5xnKEdsaMaDtn6vLTl5/lefJwiRpY6ca5DpXrm86KnQzFa9VqnslJxU8g7cwc/39fvaH1K&#10;9eYIpfBluuMHttVNmuMQh9I+e7abVXeYG93yZrd75wsFn3i6+Qs2RmynZmPMk0+y5IWME8tmOi08&#10;xXogw4ViY5Glm8ygg9hZNtVYTxzCilBaljYIffP3n/qE31fMxw+KNqO32B284LL/rV3QNbE52Pq8&#10;UFnVTjMcZw7Fum8wHl3R6hqvt6WF7pdffoWb9YZZrrut1V3q9Yxovj/CvAX7YZVtDAc3fjB/4uqV&#10;PRUMbnS9ff2FNSKyH6bgMfoE/MfPYXtVVZt3SuUPX7FOlrkLsWzwEThQyfwFmpAVvmVujc/B+NXu&#10;peqQ9r8QVoTS0uZX6j3qzd5w7CGPv9KwICRT5dJsj1vWr5Gv6QJ5tk0pWuw/yuNiHQz6B1hPX/s5&#10;jPouRCNpXOiWO57d4Tq11p35++nyJ2yUn8VsmKXkunr/KY7V22gjHzH2U9bfP/jAg6Jpt1u77gJv&#10;D7lUa3O9j0bzh+rVJYXORV3li2Get0k+ocP72I+kwV2yYZMbK+yBUo6X+P8Bxbcgr8wRrG+n6s6Y&#10;iB7EeJR2rVySRuM78AO7Pus/oMf4NS/aQlgRSsurvG/f+00vZ/hfkbMk3WmeaRPwh/HC9ldmHmMY&#10;klddy+UT7wvKNh8M/r9ytEHDPvlrN4+8ycvnYq1H27JAMR7M571tMoXseF0l3/dYz8KcAHncqHF9&#10;cV+3929EPqLdil/f6n3L6xVXznr/rR5r8q1DJXiEbubX/ihuxd/lp5ojv3dne7t78qkf+33R0vCU&#10;neX2yiuvTLlNHvyAlxhn09Q99I6NUfAh2MHZL/AzPFuOryv5P4QVobRK8iz1Lmf4YhPCTuBlSNgf&#10;or9cGu2CLoNextw1Lst5t1ExeuJl8g5rcLHvUHf0D+42DsTpoe6kP/+Ln7nevj7FebQqNmpOYRzX&#10;eD6lY7rksYAJ+GiXaE0v4zn1Rf/YNLJV+xA1unM01rMuDgypRN7zfxf7Kb6ggo9Kushq6Uas8bvi&#10;indonUy6MYoYT2R2OvjziNOGr/FTprUTxvnLfts4C0/eo9ikuFzkNdaGsCKUVkyGKkmn/uAGeiJt&#10;FJIto73U3b5Dt0MHoX0YN8g/r3ZJSxflWbnowGAj8fnMTei/EEaSxv8f+MAtmq/XuZM1b7c5fCQH&#10;UyeTjOfEnnpskI6xqLfTdXZ2euxAB7nyynfKf9vo9yGKdJUpnr8Iv6I6ozdFdcee2qV9RIaGFyge&#10;5DXbWSmeIsYCXZa+5Erb/3m/99vf/KfnIfiIM1LL6bHFaOI7sAe7HPJGvFScrrxwMoQVobQ82on6&#10;s34QmcemY2N0sTYolm52JO70+/Zbb/H5Isu1xg9rF2iz9RNxH0yo//fv0z6Dimtau2adtyVcOKg1&#10;LQvxIUSxUfmP0eH5BXYW9gfbKN1/k37zPCL9f5Pqs1l7cmyaP+SGe7rdfN3RPfZoznj9tdf6/cJW&#10;Si+J7B9RHIj/rW83yt67aYrnNOhES7QXY6NieB986MHX6bc2/sA/4Dg+920fusWfhT5VMUXwD5ed&#10;fcdae9NTi8lBqXSTLXgReWP/U+PVPO8hrAil5VEm7YPdAjtjln1Aku1F/zNmoH+wttfqSDn2u5b3&#10;neJDxg18MPCoHwOwcyTmaKxlHRd+LNT+w+zvRZwYe214n62fx9dI/1BZWzVW25oa7B7sR8geIFuw&#10;SWp+MqerxS1adKRoYc30fnfbbdv9PqqHSy/x8fT+G/mcsdt4XaC2GBjCWvZLOlVx/3Xyh99884de&#10;1/4T+KG+Qc6wwWOrfEz7q8AvteQfyrIxj9/wM/tsETMG/4TGnyQ/hZ6hkQteRP8Al6ohCyGsCKXl&#10;UTbt8/vf/87P7aApRHeaNGtT7vjd0D/QQ/CBTEU8iPGb+WCwxUEHvGm8GqeLsw4ee/SHfl+co2Q3&#10;9TIgWcZmiQ4Q7esV1hlC8pI1jT1KwS0v98KLKKa0x50rW8Lpc/vd8r4B1yK/0MpVJ3g6iAW/+y72&#10;L6x3XW3N2i+s363WfgKXFuy9vu6yi4wU1sZkrVce312kfRvZX5X1wvG25zd9Au9Y3zz2g4ejeafs&#10;aCbLefB72jyszJf/8Acv68gGMWPUjzEyWf80zzZ3vkd2D8Zr8ktbn0reC2FFKK2SPEu9i20ZrLd1&#10;jmnaIvkObWMYgowSzx75up6sef/T9+CHYQg2c+pDnY0/k/XfpzWit912u/waDe6vxeemdyB/0V5c&#10;1ccOL6PMM3ycWo98LQOKXevTutY2H59OzHpzc4vr7u5xH3j/B/36PnR99jhZseI41ySbarPW0LMv&#10;SXOz1rBpX+R1spf4fZOneP6CP3erMLCnbbZbIB0v2f6GHYYj+ASRWdZXYBeo5Rhk2AH/2BkLxMBS&#10;N3yU8Hey/pU843th/kLflZLLrP+FsCKUljX/5He006c+/jGP96x3qqQt7F2TS7NNMn9lDoMNnfJM&#10;lpNlV+M53v/kb/tnMm5wGc5Z3aP7XnfhRZdoX406dwF+DMlbdNVo3gJO+Uu6h8peL+wYaJ8tHGh0&#10;g0ML3Ih8tB/96Md1DsS33C81JkdyFvnJ/G/tL/CjZ592X/7yXe66a29wp5/+19ofrFV4WO8W9XS4&#10;DfiSCjQxN/K4OFGmlV29exTv36WzJdgrpNH99LnnPJ9ZXyCTNj4jV6yNJ87T+rIafFIqT/iVsi0m&#10;kjk+daS+xuMH8k86n+XY7l1+XGVOjd5fqg5Z/wthRSgta/7J72irO78YnWuL3pilXZLfIKfs646e&#10;Rnsny6zlM3tFUQ/m0kX7Xnxx4omnaK3LbNkap9B/oTnTes09mpp0ZlRdvbv8zW+Vfep58W005kV7&#10;CqTwf2qsZK3GsLAHvWWRdBHiySObahRPksecJG0efl4mG8hx2qMV/Lj7roKt3uYDBbkEC7mIiWZP&#10;GWTYZLmWPENZ4Bhrf4k/9Psg6Rk+zzx/kUzgB4QXwQ+LXc+brhBWhNLyKBfdkP6xMRqeS2JBlmd4&#10;gDXKtD/ym0dds+bBPBNd2GwgNubF6UIuFy8+Rvp1+0SsRVrZyPM99iFdqj0BZ7e2uSVLjpVPSGOe&#10;/CzgHm3KGMg9XvfQb86F4TzKj9/xCfmjdYaEYi/eWLCBpNofNWfdxPtxpf+cLtsMe7nf8bFPSD4j&#10;ncPOpjK6GKORL+yV8CZXXr7NtDxEmcRFMaffofMlwQzqRz+E+CfUB8k0vo/2xdvm5SJtXSp9L4QV&#10;obRK8y32Pm0VnWWjPpPPJEl3lmewm7hjdNCpPjeMusCPjGn0Yaj/SZs/f9DNV1zF1MaKyUbQ3ubX&#10;jNxwzQ2qa6QXgxvMveFffpfrE7AD+dy1e6dbfuwKr4OcNj+Kx/AxoZLlPHGvXF7gxyZh49naPwX8&#10;uP76G0VHdN4DbR8f01nvgtzipyjGs7VIZ+7NHBw8o72Nd0L8U64/+J9+w3eLXRCbXLVoCGFFKC3P&#10;8tm/lDGa+NE0bVHuHdqai7VGtNdU7h+Fnght6ELF9spGTjmX4AjFKEzETeY8BpeTMf4/V+ckcA5E&#10;t9bfPPuT58Rzkc5s8xZ4l3Yt1/6cablfvt2xPbvc448+5GbLBnuE9++a7aO2dh1i3zhv5kLpQPXa&#10;K549n/fvi2wJplOZXHIeETyDXRger7XuQZm0MfyCzmq8TD2Lzn+FD+X6BIxkDQ1xLdh38pTfeF4h&#10;rAilxb+ZzG/6B70KGWNdD+M18z3aIw2vhtqN7+AH26eNM3apI7pOrW1ilMdYAn3F9lNmvG6Qnr+4&#10;n3E5ir8Y0Rku/kwD8X6UVmbMxm8C5sjXEMVdlHlf7+KT8Lq9x6pe+V/7fCw651vvVUwb+58l29fk&#10;zPg61EdxPuf9Jces1Fp6zqfjHAZkOa2Nh3cLbSL9IbKflKYL26zfB01rlcEN22+ZdrlI/iDOodo0&#10;Mup+JfoMO+xOXcEOLtbGwy9ck+Hvct+ajSVejq0F9funBfog2SdpnqEN+wC+l2ruaRLCilBauXZJ&#10;+z/th30ZvCVmw7AjzoNp2if+Dlhr37NnAv6dV1/97ynBD/jC9olnv/24rmx1Bj9ZU3K0/ANbFOfp&#10;MQAc0MVvfBeGK8XukWxx/lIULwKGRPuBFb9vKMimH59lN12svdUbZF9kbzFiS61+8Tt4EW/f+H/2&#10;G17lisbM/Trj6mLlO0vyK5nGPuyxrni9kvX2cSTQ478zPC1yB2c8XdYWlAdO9soGM1f4WOfWn3uh&#10;X6tIHeO00A/MeeFFs83VQv9ABpAXysJXDL/iZ7X2zONOv2GLZRxjrUha+az0vRBWhNIqzTf0vuH7&#10;H156yeMitMFzvl8nYSsa2x2dJUw+EZZv8zGF1MHKDNWnWmmPP/ao7zf2SaJOSX549plnXHtHh/wv&#10;LYqbaHfD3V3+GtI8gnPrD1fMONhS+tI7vd2K0+5xywb63Sr5Gspf7JHRp7UrA+60+TrbVjrC3HmD&#10;7tc6a2a/dKJkPe0ZGrhMB7F0u/OfySV2qBtvvDlaU9zX5W2YK+forNsU9cNfwrVccShLZNc9Ut+X&#10;boOojTi3c4HO2RyW79i3Z69+d7dqHa7W8sunvHEj85dozZHHw4J9GJsH/gn0xVrziekhxCyj/6Ar&#10;FGtfa+dK7uSFLRAZe/KJxw8Z/DCZhS7sjKydnWy7GX+jg/xc62sYT0xnqzVfUF60P1p0Xi91S/b7&#10;nvFx95Y3Xe76+6RfSw9hr3XW0UXXLN3rvd0P21/RS3aLJslGk2LQGvSbvcsalEepq1m6fL325+Ib&#10;1obU6bs1a891+7BfiN+weyTrar5E6OA3eJ98h2ePIQV763d11gM2EPY0QX6bREepek38Bx26oIeL&#10;Ohalv9A2nG3F+XiNujc16Iw6nZXTqOdmYXO9dKvhoUVup9ah/Vy+TPaZZb5MfaHX9lvH92JjjfFn&#10;te6GG6bncO46coAuhM061LZZ0ugPcBFs2vHsM4cEflgfIWOcpwdtFkNm848sbWVzIJNVdEG/N5l0&#10;Q9NLq8UPyXzhD/aOMr+76UbGs15Otaactfuf+9wXtN/6DfIP3FS4bnTXXfc+97a3vUM2v9EDrs2b&#10;t7iJS/9tVozX6Oib/P3c8y7UeWxr/d7G7G/82kXaWnem/0/3c9b555NOOd0ds2ylP4vhfz+3w/Ms&#10;e4WG7B/UlzGS/V2xKxkd8Tu/kUv6kPexw+IzXaYyjl2+0p25+hxfblSXNaoPdXx9fc86O0rjvmHD&#10;Jrd161t8G0ArF3bQ17ULbaHrmvdeq7a7wd1w/fvctdfd5N773uvdDTpD53GNvXuF1+gf7M1uehb1&#10;ZB9e1smb7wW+TPZn3s9WBnd4Exsg83hwOWq7MD7TxpVcyAI+QGQMe4GVmzc9oblKKC2vco0OMB8Z&#10;Q9eHVtqOq5I2snfNxkAfwMPogmA6ccl51buSfMAQ+g76OPPGcM3og5/HRPNe1dWP+dBd7tJeWsS9&#10;7+McetpL/EScF/EaYBRljOs5fu0pjLV+7x/5VvGPUM54IX2f7EbMN3bzrPSQ/kEbMyek7uiKxNcY&#10;1hs91g92R0bH9T6YxPp56KVMu6j3fsWwxuvKb0/POPqBdDY9c+Hbgd6obinaydO3U2N5FPvr66J6&#10;wBvkH92j+RhnSrN2Cp21kv6dzLumf5AHvmP0cOIY4GHjE2vHydyhE9sp+IFteDJ1LvVtCCtCaaXy&#10;qOQ/ww/irJDx732HM0yj/jS+rLTdkB++sT7YtfMF327kD49bmZXUczLvUp7FAzG20ZcmaxH/jntZ&#10;/LtP/7175zve5Ua0J0+5a5PGXsbgi994qTtbZ7Cs9mN6pGvYuM3ZTvHrnLPXuVOkayxffpw/28Dr&#10;A9IJOOfgWN3POONM6X9P+fa3cTnU9vgBSYcGfls/8Wx0xb9D3rfderv0jxUqZ4Vb6q+VuqOPrFL5&#10;x7nlK44/oK7U+yzpJZ4W/T5bOgg6FffVZ57jzlmz3l22CZ0sRVtt2iLd7M3SR25yT/7oR5Fcgise&#10;Q6L5JL/hD+a61ZSvEB+BIX98+WU/viDjyAL1QY/OC0NY04FuxRiGLyFUjzzSQlgRSsujLOTKZJm1&#10;qmAjsajF+DDOk6V+Gw/TB/wGT4gtYR20nTOVR/3T5AF96KXslQ9vsCeZ0We8sVP65KrjTnJt2uOm&#10;of4wXdgwSl/YAbBXcOGT5MwkYsVZv8adZ2K1D7waXJv2JO9qa3O9inXt1f7MPe1cba67VXFjsi8g&#10;z+gJtK/VL97WYAUY6NtVOgT4wW/eNbri7/P7s5/5rK9Ha3OzYmxVdnuHj7Ul3jb++8C6Nvr6QI/R&#10;Al3+gkbZhLALlWsn/udMOtqL362i/9Of+jvpI5FsUmdowiYAfjB3MFtEmv7N4x14BL0b/sBfSJvF&#10;2zTZnlmeo/MAtvs1NXnUuVgeIawIpRX7vtJ0ww++w2/FWhh4kT4N8W+atqPteY88rB/oH+IK4Q/z&#10;5VJmvPxK657mfcufO/oxl9lnfB2lpz6m81qRk4U9nW6tYhQuUnxEueuN3h/Zo7VpUcwZcRW2Vve1&#10;9WkH+kj9ul725MAn7H2c8gvL3xnFvPY59vBobmlW/fZrjqD5tfoh2d70CbJGzB/zGGzDvGP4Ye/7&#10;dlc6GP7Wt14p2a3XHod9vlyLOZnwy074Zg+sr8WxRO+ZXxb/tNYH63qjvivXTvx/odqI2LEziF+X&#10;/fZs6S67d0lHLdBH3cFB5g7YL9P0a57vwBvsf4NugE3Jxj3a0HjZ2jXrnf4if2zEedY9mVcIK0Jp&#10;ye+yPtN2JmPYh8Ffw4282s7ygz/QcZjjU1/KrfbabKONO7oVYwz8YTYa7IzYs5o1Ni/pFwbUcP1c&#10;FJsFhihWQjEmy/qJP53lPvOZz8v+oX0mAvgBJlN/+JD9OEN9BG3sLYSN4vlf/tKdfc56H5e2QfFj&#10;Hrcs1s0wrOp34k663MXCL3DsEsXH7RF+RPaVyA5JbA76B3sEWp9l5elKvkPXYa9N5haMbcxdsmJE&#10;qe+wd8P71T6PIoQVobRK2qjcu8z/eAf5og0no3sUa0N4mrgZ2hCMh0fsqra+avTRh/AJ9jkbY6gv&#10;MoguDn5sIu606vJEPBpxmtGYbuP7SYoFqVd81XnnX+TrRx1D7Um6/RfCD/Cay/S/JUuXa86kPaE9&#10;fkBfTP+pAa3Rfspd0lf6/Dxm8+Y3aY5mY3s09yI2gtgxxhPrr3J8m8f/8OAOrZEDu9BNbawLtftk&#10;0vBPwPus5TC+z6P+yTxCWBFKS36X9TlOi525gb0zz3aM83jclwufUH7Wuqf5zvLnzpoK+pC5FHMY&#10;6oX+MS7/bXNTszvSx68zH4nku9p31tuy3xj6Bxhyvvb9IOakXXaJ5579ccG/c6CfkDobLhhOJPna&#10;/se/88NHHvR7gRzeE5UxFftBR+dfdLnzhB/YQPBz7x1jfgt2RPiBf58zDWrBE3G+oTz2KIQv0H1o&#10;u2R75vFMGei+8bKr8TuEFaG0PMo22bK80K2Yo4HHtFlc7ifThvSJjYfoIJSB75FyqUOyHlafPO5x&#10;fnzxxd96PiGO2OhBL8LXMXfufDfY1ap5RO3wA8zA/sGeQawZYZxmn/Im2V6vvvq9bo/W0Fo97W7t&#10;SN/EdSj7n7tfdyea8CXj10FmT1WMK7H4W7wOUlv9g/h19oNm/S321+sVU7NvnHkYcXL7/J7k6IXM&#10;x+CFauujcb566aXfe37Erk7b5TluxvuEcRMbC2XDk/E65Pk7hBWhtLzKjMuXnfmIr5N2zAs/aEfy&#10;4sKPBQ7fo30gDTuqiR+Wt90/ecdHHXYewzTqBK3HLD3WdUh2OSe72npHsfzZK/lEnR3BWpWe3j73&#10;wCOKxQEHPF/vmbA5Ej/yq19pnCxgiOd5/fYxLIpHGZPtlW82bdysvOpFV5PO4RyIzoHwttsa0+ht&#10;zN3ulPman0m/+tSn/0HY8doaB/YSZkyptm0AmTE+ML5nTSVlE1Mel/fJ/DaeMh6jf5ibwfNWbl7y&#10;m8wnhBWhtOR3k32mXcFifCTEeeWpx5EXbWrzdtahMN985Y9/9GNNtccb4xnaiBhH8Av+oD5+T0uN&#10;8+vWn+fn5hsKPopiMl7NdGyMl0k/WDLQ55obm1xPT69797uucc8++6zbA2YQTy08GVd9fQyY0oyO&#10;X//Hf+hstzEf3/WPX/iiO/W0M7RvELHq9e507X0erWGTnsN6Yr+muDZzNN9erMOVH2ap5of4cR96&#10;6GHf9lEM2riPOYIfmFPSR/H+mixfx7+P58tvLvbGxeaHjFss/WSww74lP+N75kXoV8T6UWY1+T2E&#10;FaG0eLvk8Rtc5GIeyB4MxXRja59K7mAHF9/QR+xLiy+GWFDqXu0ztw3z6bvoTKlt3u9pNOIPIg6q&#10;SfsOrx/U+tsa2T9eV47mMeyzM7pAGKK1uPg66xsOc22yfZ5y6hnu7e94t3zNP/C+I2w26Iv7hc2s&#10;1f3GP3/dvVnx5UNaX8Ia3jrZg2drXc2Z0mdG/ZwlOgMiOlOytvoH/l7masNaU9esdTHwAPLFBU8w&#10;LqMDsFcLfZQHP4fygA8snXIYL+F3bBPUhbi1Svi62LtGFzwPhjzz46f8eImOY3Jm9cj7HsKKUFpe&#10;5Sb7C/8t8zSTrWJtVEk67Wn6DG3KPj70W/yMmLzoCeUDjXaxLoqy2V8RGqDzVxrTb/ngbZLXBq2D&#10;Lfg4pwBDGKO3Cj+wp3LW7Ynyx/QqtqxZ9ULv5+wG4q9uuulm1Vuyp7bE37jkmBVu1mGsbSNerd6f&#10;k7Cop8etGxxwWxbp/G/tPQpWIcN+b46a06YzwEVPt2hZuPBwP5bAEzamwG+sL6CP4jIe6ss802g7&#10;eIExxWS9Er4u9m6cNvJF76Ac5u551j+UVwgrQmmhb7OkmVzZt+j3xIliV6Qd/j975/3nRXX9//sf&#10;fD+yLMsiCywdpAiCWEGsqBgLxAqKBqTkE/zExAJYUWHZtbfYUyyJJhZsEZFERUOaqMRegKXEmkTz&#10;SFRiyfc8z7zP7uyb+959l5l3YeeHecy873vmzp17zn3d0+65mfoo33LrW2ztvIe412LwDN/JN7In&#10;ALKP6mjyjep/EZvBmjW/Vzsj6+81dwcxEqJPBHk9ijNfBzZUwQ+Zr1vsMGI7ICf8YYJrE2UPmJ6y&#10;xn/8hIkt+H73nXcL7nV3dbU1su9mP3eMyE+nylhVPUXkmO9ge0AnA5ekHAxBT9pO9okRU8CO6aLD&#10;sC53ylRZX5zCbcYWsh9jC76DD+KU7aE/77CYI9Nlif+xtuTL177nbPwwT6K/EANNG4wXbcxFefZh&#10;ha8syneG6zLdAl8nferrlyjKiJ3EDoEOY/QMtyOua/gTXyE2VL4D+YN4cdaFjRo1RmyNsv+c+EEU&#10;O5ivsRWIXlHM8dbmXTLug3xh7D8ne9n36eVGjNxV2h7ohEuXNIi/ptaNGShyRinb2S7+SI6ToX0l&#10;1r9a1uE06bxk/nNiaeED7JhG8zjHl72DmDHeS55342eb2+x3vmeVaUVvCXx7m/Ud2E95d/p8be2J&#10;6uzDCl9ZVO9Lr+e1V19RXRR60g/59mFHzxFjgvyB7pnehrh/m4zF3BeWs2ZhA6npJnO47Lske1jq&#10;XM2cXcJxGcSQS95BjRPp60ZIjP2AgQMVP4hPXbDwPI19Gz8QWYk2F0dWaoNx7WKH2F0E93YR28fO&#10;4t96Zd26QFdIybe2rjG8pj0uedTq5UwuY9bqsWcJ8yRHeF1DR/zb3v/gkGEHYwj7LDxXjHnShxW+&#10;srjGWLAOsUltWu31UaH/YQ+xuB36uxhzDn3Ge9Y8/5zas7CFKH6oHNLsVqxY4aq7SB5lySPG+ECf&#10;wKda7HjN8NjUNkheZdU9RBYZK/oV9lHkD/BjlsRi1cjvo8A8aXM54sfxon9hlzls8pFqa4L2ZkMl&#10;RzH6JPJAMXiAd4AfxFrj81EbtGAHbYpK3qYe013Yw53vYz7m3XHrZz6s8JXFhR/0re0dVyhGtPc8&#10;fUwcOzIItIzre3z1ImNBU+Ye6EzcxFbxf26UeM2Ro3ZzrFNlz/iZI3prvFVJ5Q9sFWAYNpFhvTQ/&#10;Ir4V/LesH/mO5DFiTQl7VQY5V8tP/hg/qF5zny1b2qixKcYX9D2+fObnsGzgo1kUZYZPnLG54LsF&#10;N2ysc44KQ5A7kGds3Qs4Zd8YpxziwwpfWRT9makO1tqjGzJHGK3jODOOoSO2JeyaRl/r50ztK7Qc&#10;nmHusfVnNh+SQ+c00WGIkdy1vp87Teb9wPdYujGpPpOUXjJzV4mhGChjUeylYAf+F/KQ4HeZKrIJ&#10;dlG13XSgT4Tlm6ivZ4v+dJpgL3GuMzlG9nb9JWdAH9m3lzgW/EaMUXiLs62JNpoaD9jvqM/wFr43&#10;/MXY0OPga+qEp8AQ248CXzHfYtgR13f6sMJXFnW/Wn18F3GAjOkoY/LS6UT/wj/ki4OW6BTIdnH1&#10;q32f0RD8ACdph9GbWOq1L/zZ9e7dR2JBurqDUzHfxVyTu914VlwQbOAsuLCP4EdVVbWsRVyp8yZr&#10;a7uJXfJkibufrbJK6bAuaLvYYUReYl3PqaK3jBR7b5X4nk8XXN4s2IGt2vCafmf+YD2ByfXQP04e&#10;IGYRWyb8TRxBOl9G8ZvvQ5bhICeG7aHGd4EfcX6fDyt8ZeHxEPU1+UKRP8LrRKLo13Ad9C39jHzH&#10;WMYfQr8yP8TZv1Y3e4CBXYYftKd5g+SkEEz7gcRpIYPsLLk4psmaDcvrsd3YLsY8n1prr7ZcwZCJ&#10;skcM61mIWSB+k7yl4Mds9lsR/GAviJK0M9UX2F+QgchHMEHytnftWqNri14WP9vGDZLbUdoMH9Df&#10;luucbwnT3WgUNV9TH/4edGbiTWhDmCejumZeRPYglzA4ZbaPOL/L+sqHFb4yuz/qM9/IQUwPfs6o&#10;+tRXD/3MOjrsLdgj8I/b+6P+rnB9vMNyFVi7FM9SPoG333lL90xh79hd+/XTtV+lGpPgBu9GjyL/&#10;EHsvdJPY9qdWSu5k6T/yDBITPlv8o9hsVAYpBq5lekdKj5oisgc56MmrctVV16rssUnsAdhtoDu4&#10;HcRlNjpyc0GfuPVW3kEsBvIuc6PNHcYDUZ3t+3gHPh5s9PBcMb7RhxW+svB4iPqab8WvxpgmHxT9&#10;Qd9G2d/UaUeQuznIrcK3WF9H/V1WN/WT0xnZmZjAdL6B3vgTp0w93tXI3L6vzPkzJS5rtqxBY4yW&#10;Mh5kwqBgDSt7TNFucruDH2pjpW1F9t8ibwTYFvir+M1e3X161rpePXu7666/frv+NV4yOwT70sdB&#10;a1+dzIngB2v20ume72/jY3se2YMy9jQgnjtOfk7/Rh9W+MrSn4vqt30r9mJ0GGzjjCWjeVQyH/0L&#10;HmFHI58PNMWXx/utDVF9k68eYopZK4itx+hu5+YNwdrQN15/1dXW9gjsk9hSJRZ8NrbMIuYYSpd7&#10;yhM/REbaRQ6Rj/Ahj+5fL/vMdHOzZs/Zrm/pY2gPHxGrCN3hLx+Noi77/PPPW3JokveRdhjNCz1T&#10;lx3wNL49vo35txj8bH3lwwpfmd0f9dnGLzlK0SuwTRBrA6aqjC9jvtC+Dj9Pn4Mj6KPYI1hLV4z+&#10;Zv5BvkLOCreHa74TWyp7MixefKnI4dVuYO+ebjp6vWBHkE8r0CvSx3fcv8sNPyyHmtpfpH8OElmt&#10;qstObrcxe7iXJFYMm2l6/0Jz+jjYq6mxaPnWWR/HnAjdrQ3pbcv3t/ExvMy3ke8D3YW50WzDUY9V&#10;X30+rPCV+Z6Nqgw9lAMZ32JE8WWbXJZvH6c/p3iUsjlgj0Cf4BsMw6L6nvR6oKet4fPZiMEO9HSL&#10;EZ//f2eKzaHW1bMOVuwMM0WPiRsnMtVfbvhBO0+XWN3TJP5kjwF9Ne8A8fVrVj8n+QQ2u/XscSM4&#10;HD4YaxzkcGU827qQdDpF/Zt4Y7CDHOHwcrhNhV4bflAvsgc+HmT3YmIH/eXDCl9Z1H0brs++mRhz&#10;ZHxwFFs5fVRoP4efpz7DEOxa0BY/eZzyh2ETMibyJXZi2uT7NnghsPlsdg2yzgS/LvlJh/Wpk1ye&#10;+DmCY7baHUweER+I2kiiWqMm78CvInViS8WnwX4KT618StuN/4V8ZcSqqJ9Z7JeZsCf3cr6h9cB+&#10;G6zllTaR04OYepE5Dh4i6/pk/R45IPfZe4Lu/cheXEGfbi+vQnPmI7Ab+ZZ1+2H+i+ra+MjOrLeF&#10;5uylqnwXkSxtvGOyB/5axgx7KYX9SlF9V3v1+LDCV9ZeHYX+B37Q53y7rVHEz2ox/WEMiOoaHx74&#10;AV2N3oV+h+95qxtZFt5ljjC6Z8IR+IPjvnvvc/sfcLDm1qiVdTIHSm6NIJ9GsL+8jikZV1oWkR8V&#10;f2yw5h7bAjl4ZI6XcfrSiy+KbrDRTT/5NI0/PVHi17HrYp/JHSf8z6Cnoa9pzlSJ6Zijv4nnD/K2&#10;si6Y9Tjda2QfGIlhO+6E6e4tmWegIf3FmSOdR6y/kTnxb/roFEcZMUbIuOS/TW9TIb/tO/muYK/l&#10;RuXljz/6sCg+pXBf+bDCVxZ+Jo5rsIN6WQ+DjEl8ho8XCun38LP4yKEteoW9O47vsjr/8Y+/K42Z&#10;j8BF5BHob3NJuG2Ub5F9H8lH/M4br8q+c7LmRGJAa2Ucj6jv6WYMH6C+VXJ8Bv7WQFaIYhwTN4YM&#10;QL2sxR/bT2QgiVe3/TLZA4/c8cfI+n6zRUTxXuogv/OckZJPSTCEumeO7Otmay6RPhLvOiTYg1t8&#10;P8SW3vfzeyQeJbAb4VemPzPxC+XNoktgL6f/DdONNnGc4SnWSzBHse6J94dpXMg1/GGyKjHNyB7E&#10;5Rfju9L7yocVvrL056L6zTfT15wt1vbee+5q0WEK6ef2niUWAPywWIC4+/6fn36a0s2ubOF1sCPA&#10;irb6us0v4f/POutc11di3IkzG9S7l5s0RHL+pHIfqoxPLKiMuYIP6knFhZ0u8/3uA/q14Afr58ib&#10;hj5zhOgvgSyEvBDBe6UO4tGCHCjBt8wW+eMEwco9Jb9iD/aUk7xGEyYe4FY+ucptkDzqYNpWzaku&#10;+CD4sVXsSGCzj+78T/wvNvqoeNdXj/ERZ+LVwSv8PWFa+tqXS5nWlfpO8tow3yLfFmMeTP9mH1b4&#10;ytKfi+o3/Wx9bnXinwe3safm0q+53GtyH3lB7L1xnfk+dDTw6vJlS9VGDp+DE/BCervBFJVPUvfo&#10;/Cm6w8sSy3jiidNdD8kJRm6c7jKOR4h8MFlkAc3bE9U4VvlD4thER2GPvAEDBkgOVPZfanZnn71A&#10;ZKEat/9gMCNq35DIPRLXeqLEvuwrcWuDe9XqWl/W640aPUb2obxJ+2sjPhaxN7PPLn1Fu/QseILN&#10;Mr0/+c3/+NuIA46LztQb5mdyfeDn490+OvvamU0Z38t9yDVgB3thmQ3RbAFxfmO4bh9W+MrCz8R9&#10;TR/ccevNaiugn8J9H77Opq8z3UM9+HqWSy7MdPyK4/t4B/jBQQys8nwKHzK1MVxu340dcO0La913&#10;5/2vGz16rMZbVsueuOQD261/H3e4YMl0yQNmtlaL7wrirpjjU7qBzO22vxN2B13zK7YM8gdwD7LA&#10;zBGD3cBedW74CMkfJP3FWrRlDY0anzJOMEX1F7VpIoOkDo1/T9lnFF/AGPKREZfPO+U+ntGDdW+i&#10;J8n7vy3HfgP7iWzVU9bOVitGde/ew+23/0Hutltv19wB1gfhfsnlGp0YP2cc9A3XaWMZnwiyNHOB&#10;6hspmSGXNrd3L/kosKnBE+H3F/PahxW+smK1yeZq8hgwV2NHpQ8L5Z10OlAfGMX8EKfcF56P+B7w&#10;IxyDytyU3rZMv+FBDviFe9gPafUzz7j588+U+Idxsi5FZHyxK7LHds/aWjdK7AQHDR0kOZpFPhFs&#10;0DiSkL+kJf+PlGE3xeZh9ga9HjZI1uTUuIkyhsE7jrvvuVftH3V1tZKnBwwBNwK8COJUBJ9Sttwg&#10;D0HfIB4fO6u2gXjRvm7ykL6yNm+QG1Lfx9VKHmlsKuQVqZO1s5OPOMpdc831Yvt5Q94Z6HbsX1so&#10;D8SNH4Yb0Jw8+/gSsU8ga5q8mYm2uZTDM8xBYAf7yBRrbPre48MKX5nv2bjK6H9sIcTjEv/bLDIp&#10;vMO4Yfzk0teZ7qWeR5c/qPIfts04v8XqBjugOfoZ30MbssUP7ocnmcsYx5rPWDDEfrO27ZnVq92C&#10;BYvc1CnfdnvssafsjY3NQPIci92AfVn6STzJsPreEjfRT3w5A1XvOUZsKMeKfHCCnE+S40Q5yO1x&#10;5NB+unaf50455TRpr9gWtm51r77yivpjaqTe/cWPerToOPiWTxLs0UOw6DiRM44SHWSS7F+9j+gh&#10;u4mONVRsNhx1gmvVov90q+6u6/D69+/vxo/fT95xqrvpltvc+nfeUb2kmf4RnYnv5L3Q0fZfyETT&#10;jsrjxg/4FlpzXvN8kDOKNeXQGJoVin/2ffDNQ/f/Un1J6GvGX6U4+7DCV1astpksQFwotgkwnHUL&#10;jBP6PyoaQAvboxw/fVzfZzxF/WAh/kPWZPIdufIU48eegYcY0zamtsrvd2Ud3vqNwR4z7Bf9B9l7&#10;YdbM013/AQNlvIIjtXpUdxUZpUuV69Kli/piu4tvGP9wNevP5D4wo6amSu75f5pn/eorr9FxbPaG&#10;0ZLzqFrsmVUSm1Kb8qUSP45Ptaus30EGIn8717U1tYI3teqDJg8R+ymw18z4fSe46667QbHiXRkD&#10;m2V/OHSkzVs26Tdslbli4/rAJor9kX1cbfzke44bP0z+gNboFugvrMsAP+DfbOeKjr4PHmAeIpdJ&#10;3HuRdDQufFjhK+uonqj+D4835A3Gm+XNiJIGjF/yCWEfx05ruMU53IYov4u1TXwPPh/DQXihI37h&#10;f7uP5+ygzORirhlz5CRSW6fik8gnUs64f+iB5e7aa65xP/zBWe6EE6a5Aw6apDbJQYMGu7q6OrU3&#10;4FfpKmO/5851bpdhw92+MsZZb/umrMsBq2gH715yWYM78JDD3RjRmQJsAjPkkOfBjvq+9W7Q4KFu&#10;730muMMnH+VOnz3PnX/+RXrcIjLG2rVrW76BOqEzvhQwkRhck630O1PvDPBye1tzNn1n83/c+GG8&#10;8uknn6htjbgu2me4wfdk017fPfYsdT3z21XKt8x/xrf27mKffVjhKytmuwxTGcdB7uErZMy90KLH&#10;+Po3nzJoQk457KjQ3OYP3hslXQyPsN3hVwI/aK/xRD5tz+cZeE9zv6fseTZmiTMBc/i9RfKMqV9U&#10;r5vVn6HYpHgkNpDUeAjuQbcIxjt2CjsCDJM1kCJL2LP5tDfKZ2gH+IHNK05ehtZBnswgV7LhnmFI&#10;Pt8En9jz6PLsiYos+9lnn8Uy1+XSPz6s8JXlUmeh99rY5UyeQWQ1/Nz4uKMac9SDPEMcGTIINLf4&#10;E9pvbSj0W8LPkxsK/Fgn+4XbuDK+yIev8n0GDOD7W9sg9j2zMaTslWBB88bAL2p9xfus/3mWA1kB&#10;vGh7BDZPxg7/c1++bY3iOftWdArif8M0ifIa/iHOh3guW6cAfe3I91t4HtygH5GV4Vfm0zh4NNf+&#10;8GGFryzXevO93+ZqkwWox/oM+jPm86VD+DnjaeR/9EhkEHRs3s+7rR35fofvOXz10J6YVxuHdg63&#10;LbZrwQwbS/r9Oq6JpQgOcpzyP1jANfvV85/1FboF1xx6n2JQoHdYefg/7L12X2zfhJzUwQGNwbLl&#10;4quPO36deQg7ucWs2/fbuaO2Zvqf51nDTd3IUfCn8WgpccSHFb4y33iIo8zXF8hpzBvQHiyhLzP1&#10;c7blYLrJluTkYFwjH/ztbx+3kUOi+EajtflfiF0Lvz/bNhd6H+9s23dBPwZjP9DTuQ5khuA3z/Be&#10;e87wgXKtL/Uf/9th7aR/7bqUZ5tz0IWRZaOgqdUBvxp9wSniW5mPgj5tK3dZH+baFzwXyMlB/BDP&#10;8357t7WlFGcfVvjKStE26yPOrFFGLoT+5DgwX26+NLFxwBn7PrZN5APoFDVdjL9oOwe+e8Ye48vG&#10;Z648ldzfsdxhfWR9bfjhm6Py4W+b/+0MbuAvRAYBS/LlTWu3nWk/djrmOGLiw7J5Pu2O8hkfVvjK&#10;onxnrnVBH/athT6MvxW/fqyFNvnSiLELBhmNVjz+qNomwBH4Kw4aIT+BUegvCW5kP/6NRvmeoTMy&#10;SLAepcmREz1XHvTdD58YFmHTgr7IyeSh8Mkf+baf+Y25E2yC3w2vfG0qdpkPK3xlxW5X+H3QCNsU&#10;YxrdDz2gOWVPypcmPActGMfQGjwBn7BvomcaX4TbUcg1bYe/aPvbb73Z5t2FfEPybMc4BJ2hr80R&#10;+NoKoWX4WcYyufNa5jaZh+Ap46so6PP86mdV9sD+V07YQT/4sMJXFu6zYl4zjukzG8/YnZFB6FP4&#10;grGfD41s/oeveJ7fzBvEvOIfw+YS5XfCs2AH+GTvpP0c+bQ/eaZj3LA+sj4mHhEMRx6JgrbGl/Ak&#10;tMU/b3mv4EvjMWtHvucgh3uT+tIT/PhvXrQzfYLcc4xBcjrZOMyXLuHnDIfAJXhs9dO/1XYafsFv&#10;hdCOdoN7tD383uQ6exzIt68MP8g9Cw2QXaPCD2QP1lAx58CPxpOFzg3YT/he+JLYBfQiw6so2h5V&#10;HT5Zw1cW1fvyrcf6jjNrsIkDitpGZfRCFsWfy7oY3mfYxXW+7ceXaT6efMdB8lx+WIPtA1mAtSjg&#10;B/anfOkYfo65BT8tda5auaKNzSNf/DC5heftGp+O7dkcns/CbSnVtQ8rfGWlap+NWc4cxKayxyd2&#10;SMaTzS1RjC3mDmjGXguMdWQQ05usHbn2gz2HDQy5hrkkirYmdWSPJWAHGGJ+emydudLRdz/zitk9&#10;TO4olC6GGdRDnchKyKz4DKwNxpP2u5RnH1b4ykrVRsYf/RWWAfCPMb6xQxZKL3seWnHAa6yvR15E&#10;n7VY+kJoxjdgW2Geultycds7k3P2GFBIXyGngh/k24FvsI9Hwc/MCYxtZAP4Jl+ZI/3bqIsysARZ&#10;Cb4hfoExYPNRFO2Pog4fVvjKonhXVHWYvcrWkaT3fz6/jf4WM8leIfAG8qnRLV/a8ZzxLrawfNqX&#10;PFMY1jC2mW9MrjRezIWmdq+dbe0U8YDMPVHgB3XYPAbNwTrww9aI27ut/aU++7DCV1bqdobfz1yO&#10;vZt1iPR3VGPLeIAzciOxIOie//rXv/Ker6A3h+VbxYcYVXuTerLDFHiEuZxcGYxFW28NXbKVK23c&#10;2pm128RkkJM5HEdUKE2srdTDNTo08xjyE++294fHQymvfVjhKytlG9PfTY52+pS8j/BFoTSz55FB&#10;kHVNfmR9NHYWckgVQjueNR8+Njx7X3LObvwX2k+MQ7OhMh+QswvcyHUsGg8Qi4Rui44LJkXJg7QV&#10;/mMO47vhcXjdYlZoQ7aYlz5u4vjtwwpfWRzvzrdO+g/aEU8TFe2gm8odKVs9tKOMeDXmGWTUQtpr&#10;Nhti1wsdD8nzueEOdDR64rdjbWyu+GHjlufMj8O8YvXaO6Kgjc1f1AmP4ws07MqXB+N6zocVvrK4&#10;3p9PvdAQ3QI+MD95oXRDBgU/TBYFl6BjsO/1UpV78923DPtJsIY4iAEqtK3J87nhB/0Fn0Bf5gNk&#10;h3z5juewgRNLTm4xxji8gnwTFV2M96ibHO7k+gjjVz5tj+sZH1b4yuJ6fz71gh/kdiJW1LA6Ktql&#10;14N8iqyDHkNOS+hIm2lDtm3nGfRk6oi7ventT34HWEO/My6DvYXazudG0/boyT0crK8EO4ghiKNv&#10;TY5RfUswD/8wdlpro53ba2sx//Nhha+smG3q6F30IXuZolfAE3HQkTqpG3nkuWefUbs9ujO2F6Nh&#10;Nhhivhv2B2PeS/Ajd9khCvpCS8YmccvYUFmPaXxm9LTfmc7EpuO/ge/wq0bRLl8dyEq0lTM8R/7O&#10;TG0qdbkPK3xlpW5n+P3Q2+zScdoTkHehY/OG9Y6139ixLI4nW56j3dyLvsU84uOXpCxeTIGGRkv2&#10;A4GOzAtGm2xoyVxhazeXSx6iOOcBcIP6A39RYwvPhcdAuVz7sMJXVi7tNZqv/fOfdC7gHNf4g+9s&#10;3oL/iB0lpzb0heey4Tu7hzmPOKO42prUmxmDGIs23i3nPjGCYALyYUe8DQ1f/cs6lVvQmcP790Td&#10;77TT+A4ZhzgFbHDG98ZPHbW5WP/7sMJXVqz2ZPueQJaUvhXdImoaZqqPGB5wAHkS3oOW2dCTfBPM&#10;eY89/FDR2prpGzpjOXMAcYGc10nsOjRk3umIdoYt2M1tXbbJu4zxOPuS+omPhG9efnFtC8ZlozNn&#10;O4aiuM+HFb6yKN4VZR3QDl20mPFYzA3BeodGzXOYDS2556MPP1DbKbpPnDyX1O2XQWysI0My/psa&#10;lrSsbTKMSOdNmxtYX8t+X2AONnBkT3CII47+NtmDui1nIfn2rH3Z8JzdW4yzDyt8ZcVoSy7vICYU&#10;2Q57WBx09NUJ/9m+Yk+teCIr2Zdvws+H7wWbTZR+Pl8bk7LtMQTcb94QxHnR/2E7FrFgmeQQxir/&#10;4bMBPxjH1r+mD9nvqM7Ua/hEvhLey28bG5naav8X++zDCl9ZsduVzfuwTRNfExXtOqqHuQH6YgcF&#10;u5CJw/NXJtoGMnOwbqujdyT/bz/+C+0Tkz/sjC4C38Bj0MxHNytH9tA4dbGZMn9YfFBc+EEb7UDf&#10;RcYO+/yyGRfFvMeHFb6yYrYpm3dBX3QJDvDZeIOz/eYMne2/KPiQusAD8IMYAOYvm6cytRubHfe/&#10;9spfImtLod/SmZ6HZhw25uEZfOnwEPhv+AEtoaFhB3TlPuI/WXun/CT6SyF9lw0/qv9F3oOdDfkj&#10;PEdl4rFSlfuwwldWqvZlei80Zg9h/CHsraj8IX3OHBHwSeA/R15t3rC+IJobv1Av9fEufCnwVViP&#10;yUTncOwpvGH1JefoZQ1fn0Iv+IIzGADuI1MYXoTxn2t4Dv5inTexYnHY2BQjUrpK0K4g98wm9tyR&#10;fXbgWcO5TGOgHMp9WOErK4e2WhtsfkA/RJdFL1W7gvCH8oqMcfhkg+whrfvGRzRmqdvsZ7wT/IAP&#10;WZtPm6x94TPlYA26lvGvj8eTsnixBH6g/+ET8BxcYG9D4yU7QzvmgU8++YfGjZOXENrwfFQ0Yv8/&#10;2mF7gbLXH/v/6TtSGMde4vDMA7+8z8tXYR4r5bUPK3xlpWxj+rttjghyIzS6p55ckdpDbYM777wL&#10;3Omnz3V3/vRn7r0tGyUG5x05olmbAP8ZhoAj4MKSSy7W9RC0KZP8QdwRORfhD3IPRMWHST3ZY47R&#10;DjmEeArs2ZTBWyZ/hDEE+wj54p547BGN4zLdp9A+V/lYeAf8IP8Q9RInRr3Nwqe0CX6lDJ33icce&#10;TfBDaJSOAYX+hubIANiXoHVT01Vul11G6D7wVVU76X7yQ4YOc8cdP1385y9FNmbBAA7obDFFtAF+&#10;gP9830V+3Z/9+HaVXXiuUB5Mns8eN6yvwnojOaHABsvJE6YZNCRui//DcepR0Q2Zw/jnvvsecNOm&#10;n+pGjBzl6nr1diN3He1mz57nXnrpZUd+EdpgsWPhNpbTtU/W8JWVU5t1nvj6G/f++++7yxZf7MaN&#10;3d1Vd612O/esc4cccqj79rePdeP33c/tvHNPKe/mBg8a4u668x6lG3Ii+81vlb3hjbfyPcOTyEDM&#10;E6znQ/4A12w+o8+IH0DHwlZjc0++70ueK5xm9CG4D03ICQiNTO6AbtCQNf5gB7EB4Ea+sgd6Cfoz&#10;eMH8Qj2bmje5NYJfe+69r8xx3fTo27e/GzNmrOvdu174tcb1FD4+dcZpylevvrLOOyeVy3j0YYWv&#10;rFzaSzuMzl9+uc3tuec+rqpLlRswcLBbtOBcjQ26sqlR+KNJ8LvBTZ061dX2qHW1tbVu6ZKlbjP2&#10;1YjsIfAifIGMCz8SL0jbjCfhxY8/+lB1bXJFRDWHJThSGI6A4/g1yCVpMqNh/h9/v0bnfWyX6BDQ&#10;LF+6YQtVXpM68PvCK48+8qgbMGCA4ERXkZdHulNOnuGuEt65+opG5d3Jk7/lunTp4qqrq91JJ06X&#10;fYj+neBHxPqLzRfffP2lO+jgSa579+5uwoSJrmnZUne16LXMHYxn9ApkwO997wzB9t6KIzffdFNK&#10;3yxcj9C5SbAIPZYcDdjawus6wRFix5BPiB2Db5OxX9jYj6r/yMmAzBieF4lJhIb4bLFTBfJCAfNN&#10;Su4Ah6jr0YcflnlukOsq2HHSiSeqfRQcg0+xxxjPzpsz21V36+p2H7dXC76F21lO1z5Zw1dWTm0G&#10;P2y+uPDCSwTLu7g+ffrqOIUGVwpmGC0Yu9DnrB/8wNXV1alOs/Syhrxl0nT+NUxAFuY9+HPJ2W66&#10;TLDOL1hvoXgjfJReR/K7+JiCPQq7lM1F0Iv1BYxjYozROaALZ8a+/c6FVtAbHWZTc7DuZtjwka57&#10;TTc3ffop7krBDeY7eMYwJODVJnfoYUeI/NHVfXfefOFzv02tXMajDyt8ZeXSXmuHYcizz652tSJ/&#10;dBN574JFCxQ7AppAl/DR5I488mjXtaqrq6mpcXffeafKk1u3NLuPxY8HjXPhDbuXtZjIphzMXfjc&#10;wjIIuIKvEFsv/IQ8Ys8m5+LjBn2uesTyB5U/TBdmv1LGL7Gp+WCFj5abN+FP2eLefettN+OUGSJ3&#10;dHF77jVBdZVW3EDPDmRlcOTKpgbXU+a5bt2q3XXX3ui+iVh2t/ET1dmHFb6yqN4XRT2GHcwZ2774&#10;wo0eNUZoUy120+Ok/1vxvA1+iFzCuqmh4qOp6VbjRu+2u8boID/AT1uFr3w80F4Z81IwxwT7bxOP&#10;crnMKax7om3EJ1EGX6LjUFeUtpf22pb8l5me0A17NnQhBgSeJL81ei/7dvB/FP2nvCE0v/66G8W/&#10;Uicycr274PxFMsc1tMxtYAftQF5G9pk7e47OcejkW0R2MXtaFOMmjjp8WOEri+Pd+dYJfoTjxp94&#10;7DGxbfRwI8UPdpXgB/Rogx0ih1x7VYDzF5y3SG2t3cT2PW36DLGnio1caJyvP8b2i4HfwCFs98gg&#10;yBu0E9sq84rhTFS8GQV/d9Y6oAG6CjyCPAi2QyPsHtAwun7Z7K684irVReC3md+ZqbZS3gVWBPIG&#10;+BHYPrChTpx4gKsSGXm/iQe6b74Wf95X2efJzHc8FfKcDyt8ZYW8I+pnzfbBHE/dX3/1Xzdhv/3V&#10;pr3o3HO8+HF5w1KlWZOcVQ4ZOlxkxO7upz/+qdo185E/wAT4DRkG/QW5d53ml8D/s8yxXzNrGCz2&#10;1DAmOv7MPMcm72i/b7BnM36xgTDfYE8F85uxdUbkn3vpxRfdwEGDRb+ucQcccHCKL5sUL+BB8Mvs&#10;dLRl2ZJLXd++/cT/UuUuuWSZ4IesrUrwo42NOwosMf3F6sLGdHnTFWLX6OYmTz5C6QK+IxsG9IFm&#10;yCTBwfUPz/y++HRFZhkx0q1/h7VRwX6jjDvmJ7Ah2zEIv4EdPMM1PkCTR7F9YOc3nsyl3mzfn9zX&#10;Plak9w+04iAmGHsH9AE7uA/a81/6M9n85ll8tjzPnDJl6nGBrjx6rGu47BL1DQZycSAfoy/Bi8or&#10;IoN857TvqN+2XuJBPvzgfdGBJbdAKh7AeL3czj5Zw1dWTu1O8CO38ZIN73emexL8iC4e3IcVvrJy&#10;wo/0tnwpGI0dDPsU/nWTO8B2O7a3h1zhJk06VPxpNRozvFnWPFqsoJ3zHVPIGOjU2E5Z+2L7fCOD&#10;RKtfJziSD43AD2jEulqL88innvRniPPQMvG5/OKeeyVWoIcbInoyPIgc2upnafULYu/H5s5/e+65&#10;r9pOb735FrGbpnTz1Dmd58vltw8rfGXl0l5fO75SG8jX7sADDxabRjf3wx+cqfQyG1U6dgR6Z6Os&#10;fbtI40Hq+/YTfmpWWxrjmzUKLbwg1+l80tFv5FjwjPuw0/HbnslXNrbnk3Pu9EjvM8MP/GTkJCyE&#10;1uG6N21K5XcQuh/xraNFn+6uftvGpUsEQwJ9enteDOY4dJjaHju7IUN2cV99+YXo/EFeI8MRH9+X&#10;Q5kPK3xl5dDWTG34Yts2jbO57NKlYruuckcccaTqlGC6D/OhIXMC5wkT9lff7/mybhcfDPMSuivr&#10;p8O8ke01z4IX4BCxIcSTaX0pHErsH4WP/2xpkek+owEyIvZTcnFnujeX8sCGLutbnn9e1mL1dP0H&#10;DBb+C2SLTHxo5d+d913h3Wo3bdopKnuUe9yHjUUfVvjK7P6yPH/zldiavnF/++h9V1+PDjNEsQHa&#10;ZJJBjG7IIHV1vWRNwiD34to/t2CI8Vgu/MO96CjMb/ASe42wljPfunJ9d3J/dthk9ADXyU8YVQ7d&#10;TRuD3AxHHTVV7aa6tkXmqCtEtrhK5qvAlt+qu9g8hg6zl+guxECuWrlSYz7wMaqfMYk/jdz/ko5h&#10;ak8VP9c33/zXHX/8NNEhq8SWPVP8tEslTrgtvUx+NFpCu2OOmaLxfkN3GS4Y8qKO/0L0DPiTuALN&#10;1x3SXZLxnd34jrufDD94D9foMdhCWJdLWba0D2TNVN4feW6T+PCefGKFrMeqccPFrxf4+/z8Z3zI&#10;PZdcfJHGRO+xx17uS+HhdP4u598+WcNXVs7fQNvA6q8EQ1atfFJwvJuuPYI2wRqDQFdppVlbml6+&#10;bInr13+AruOdNWtuSndptVnkws/s1fH0b1ZpTiHmtjCv5lJPcm+8WANGmJ5JX+O/Za0B8R/Z0sye&#10;x14W6C4b3beOnKJYMGvmzHbWUrTlP9ZVkH/iskuXuK8l5rDcx1q4fT6s8JWFnym3a4uxISYVf/m4&#10;cXuLH72bO2P+99RulWkeMN8MssiJJ5yktu+6Xr3cS4IBmzbmt1b2hT/90a17+SW1f2TLhwlWxIsV&#10;6f3LuEfPVPlBzvzmGpsV1+n3Z/wtsgs4ZDb3G6+7VuTYGjds+K6qP2ear8Ll6NcDJfdE7959WmLp&#10;y218tdceH1b4ytqroxz+Q/awuJDzz7tQYvh2EvvVQNU5gzUxbTFf/Wa6DiHwrRHLU9erXmLKurtF&#10;iy5oiffKyDsy52T6D15kPgI/uM50X1KeuQ/j7JtMOGF71GWrv4BB2Nm5/4033nA7i/+EPDPHHnu8&#10;6i7knwljhe96/vwz1Gd44IGHyJqMIP9UOYynbNvgwwpfWbb1leI+1sujv/BuMGTNc8+7GtFBWcM4&#10;d84c9eVuTztb9xjoNsgg/3fGfIk1rnV77zNexn7r+m1wwI6O+NpkDpvH7HdHzyX/Fw9LoIlhhNHV&#10;6GXnbOhBHZs34W/b6hYtvEBspt3E77KzxAUsVv+e2ejb8l6rHZW4j8MOm6xyL/HTxsOlGEP5vtOH&#10;Fb6yfOsv1XPjx+8nOkyV2333PUJxw21lkDBdzZ66997jdb3TzTfd2qIHo9/mohdnw3vJPcXDi7j6&#10;2tZMwRu77TZW5YhDJJ8VsWIBP/nsbpQF5Q2XLnb9+w+UuMe+7rN//0vnPua/Uo2ZfN7rwwpfWT51&#10;l/KZO26/Q20gNTW17ryF53YoRzJXsIZqwTlnKx9MlPVOW2R+QQ/JZU6Ki1eTessPb9BN4Y0brr9B&#10;Y4jq6vq4C89fmOI1H3YE81cQe7RM7HR7yXPd3KxZc0T2aN3HqpTjJtd3+7DCV5ZrvaW8n3hU8oIc&#10;duhklSn33//ADvGD+cLW3I0bt4f6cO6/X/bWFfmU+QUZJLFllN8YLj2ubnbj95uo/DJv7jzls8vF&#10;7kG8aVi+DV+DH6zl32mnLq6H2EyIO7J8MZWmw/iwwldWSjzI9d34wLCnvrd1kxsk66d7SG6Qhssu&#10;TfPFpM0Pgh/YVDnO+N731HbC+klytX/04fsJdrRjLy79GC4NrmE7eeCBhzTmeS/J4x3Y6VvtG6an&#10;hLHDYhrRd8iRfPjh3xJeDex3laa7MC59WOEry3UMl/p+w/ETxC+LXWuG5MOHjswN0NVnG0cGUQyR&#10;e/CnkSd76xb8fMGamET+KM04LVd8Yt3M/PlnarziNMlpGsaJzNdN7lKJFyO/GHmUG5Y2qr2D2ANk&#10;kErDEB9W+MpKjQe5vN+wg/Ndd94lskSN7vNgeeOYA8xeuj2dBVvE/rWv7B9DTM9DDzyoPjp8fuXK&#10;x0m7SoNr+F/Gig0DHQRM2J6XfPb6JnfSSdPV7sGaiY8+eE/9LpWGGzYefVjhK7P7K+EMLTjAj23b&#10;Pne7jRmnayHPl/zK6J5gR2DDaktfk034f67ossgtp5xyqvr6PvzggwQ/Eh2mDQ8sf2i52j322WdC&#10;ltjBWv0lbpdhI0T+2Fli3Z8Q2QNdO1irjwxSCeMr3EYfVvjKws+U+zW4AX78R/I3cd247HLNbXiA&#10;2FEDuSPN9iF6DXpL4K8P4kLYA6Je8omMkHUM2E7XvxvkP07m+tLM9eXY79Omnyb40dXNmzs3a/zA&#10;xsreDEcffazsTSh2D7Eh2HiqRBnEhxW+MvvGSjlDC+LKaO8/P/3UDR68i+T6qJX9Li8SrAA/tseQ&#10;dPlzwnjW9neRHB4rZd4JYpzLkY+TNsWPaRZz1iw6yyaNG2uWfVEHS4zzAMWOYO5pK88yVxELwp5m&#10;gdzb6Mao3bSb8NSTOrchf1TKmPK104cVvjLfs+VehlyI/EE7p510smABewJOUzlD11RnWJtrOMJ+&#10;EORUXXzxksCHK3yTjNX4x2o59jG2czBki+QWI+bjsUcf1/WW7HsY+FSuyCyDiM7cKPmSly25TO0e&#10;7PP+5Zf/SdlKE/woZxwBPzgeWS66qthRx+4+TuM8Aj2m7XxhuGFn8pjhYzv55NPUBoIeU468nbSp&#10;eHRB9mDdywUXLNb4RNa6mJxhfBM+m72N2KLjjztB9GjixeZWtMwRHu8+WcNXFn6mEq7RXUyfVF1G&#10;bFPEpldVdXEnTz/Zaz8N051r+IL1uORl+KvkJoN3krFavLFaVn0ttMcHxz6Ff9262U069HDFj8UX&#10;XZhZ7hAdGbsaeWjYI3vgoCEai/T6a6/rOn2TjSthPGVqow8rfGWZnq+UcnIL3X6bxLTLvsTdZY3c&#10;uWefpTYQnx/GcOQKof1Y8d30kDWVb70he4PkucdlWY2DRIbKaw5grQtyB2vltsi+lOTqHiZ+FOMV&#10;3xne0rUwYoufNXOWxplNmXKcxjYGMY6t+nWljKP0dvqwwleW/lyl/UYG2fbF527U6DG6vmXC+EBv&#10;hb6s3cff4uOBSYccqjb2ZQ1N6odJsKBzyh/EemD3IF/7/b/8lfptD5Q1UkEcot8Wj/yKrR7+Ih8Z&#10;+y4/+8xq1adNNq60cZTeXh9W+MrSn6u039ALebGhoVHiBat176iLLlikOkqAG34emHbSNI0jmyRr&#10;aRL9pXNiB3MG9lPwg/WUCxeer2vuZ8w4VW2ntv/kdvOP4Mc1sg7mOLGRkM/qkEMOUx6EDw0/7Fxp&#10;48na68MKX5ndX6lnaMaamL///W+ub7+BOhccffQxKnNY3Fg6/bGrq79e/Db9JVbQckYkMkjnwxH1&#10;vQiOcJ4xY6b4Ubq6Beee6wI/nn/uQTZZImv0q7pU6/0NIsNajLrhhsWOVeq48mGFr6xSv8/abb5c&#10;MOSaq69Wv+zw4eS4xQeTif7L3KIF56r8wTrrLZsT+2lnxU5kD2SQTbKe8pBJh+v6FY3tEBuHL/YD&#10;vgJbpk49VuweXV3vPr11/oEfTf4wDDEercSzDyt8ZZX4beE2G81MDjlU9JGuXavcHMlPBv2J8UmX&#10;P8AVbOf4cJlvfrNqVV62t8465nak7ybPGLEfnMeOHSf7XPf38ksrlgRrNLmPnJgzZ85xX5X5XnLh&#10;8ZLttQ8rfGXZ1lfO94EdhiMrHn9c40FGjBgdsoGkx4MID8gcwjo65pAEPzqf3tKCgfjuRXchnwN7&#10;xI0Y6c+RjM2UWA/OJ5xwourJ9fX9dG+IStdVfGPbhxW+Mt+zlVRmeqfJH+xtPnH/gxRD5s6ZncH/&#10;EuAH+/ogf6xK5I9OK3/hv2V/l40b3nV1PetEBtl9O/nj6iuCmCH8tldfTrzHYMmH2ss98Ktf6b4A&#10;X3/dutalksZOe231YYWvrL06KuE/dE0OW+PIuqVHlj+sa2yRR/02kCDuGPkjwY9OLHsIdpDLcrPI&#10;H+Sj6yqy6G67jdkOP9irMvDFNLrpEqNo6+S2fSHrsL7Bfl9562s7Gts+rPCVdVRPpf3/tdLzKzdc&#10;9upgz+1LJY6Q/Kfor3bgl1lwzjnCB1WKH2+9+UannX9b5HjGUic8iB1TGWTD224w+ovEc2A/xWZG&#10;HnV0lmuuJN6Uo0HiDsmn3N3dddc9ih07gq3UN8Z9WOEr8z1byWXQE1/MGfO/r76Yo446xrFPOnor&#10;sggyKNfz5n5X+KCr8oz58Drj+Ons3wztdZ+o5ncFO0bJ2tshgcwqPGI8w5l49QvOW6hx6kOGDnef&#10;/P3jHSbWwzfefVjhK/M9W8llxLN/I3sTI5eSq7CuV2+37LLFYgdp0LnE/G/kYMb+MXv2vCT+oxPK&#10;HYabGn8qMshmWQNz4EHEJFe7pZdeksKOVrs7+DFp0qHqs1t88SWqL5PnI5E/dizbT+CHCeIA582b&#10;LzJGtRs0eKjIIJe26LXII+zP0V/2xn3t1Vc0/tD4KTl3Lj0G/cXW8J+36ELFjylTvq3r4gLbWSCv&#10;LrnkYs1nOGToMMk780/199m+cjsihvhkDV9ZJcsamdr+tdiz8Mt88N5fdQ9S4kEOP3xyIJeKDnO4&#10;7A3GmoWZM0/XuGXWXia40blww+iN/BHoMBvdiy+84Orr+8q8MkhkkMUpfsH30uAOldgy4oUWnLOw&#10;ZY2++f4y8WEll/uwwldWyd/YXtsDO8hX7szv/1DXRLH/4A/P/L5jbVSN5AsZPXp3985br7sN69cL&#10;doj9vRPL8J3527Gd6h5Asq86a3DPPnuB+lfIZYq9g/WXC885S3Lc1am8+vePP3C2r3t7/Ffp//mw&#10;wldW6d/paz/YsW3bNp0n3nr9dZE762RPn50EN7rL+X/kqHL333d/at55V+zvifzRWTGEuFP0F9bP&#10;6Tqo5vVu1KhgLXfPup6S326623XkaI0znDbtZLF3iL92B4z3SB9HPqzwlaU/tyP8NrkSHCHf0MIF&#10;i3RdQ3V1jfr3r7v2+mDNg/BN84b1giOdU3bvrJgR/m61n8oamGaRP9BjNgtPrFq5yu0+bm/N64HO&#10;stP/7CTyR0/3xK9/rbZ5bPQ7wjhp7xt8WOEra6+OSv3PdBfO+GKI7zlv0UJ3/qJF7u2331J9BZkD&#10;3IBvWEMV5qnkunPhKXqLrqET7Ngqa2E2iQzC+bZbf6x7pY4ZM9YdJzkK4SPs85U6LnJptw8rfGW5&#10;1Fmp94Ijb7/1psZ+LH/w/ha8YL7R+CHiDxP7R9IHKR6wmJB3ZK4hRxBxh2++/loLdsBPlToWsm23&#10;Dyt8ZdnWV6n3octY239x951qUyfeFL0FzLD12wl+dC6Zoz16m0/mgV/eq3POc888rTxkuGFn46sd&#10;8ezDCl/Zjvjt4W+C1rY2hnmFWMKf3/UzxQ2wg7L2eCn5r/PhCnxBXBCxhvfec5dih81Dif6y49t+&#10;0vGD30b/u3/2E5VH33jt1RbZI7F/dD6M6GheeOj+X4rucqV7XfjkP//Z1hJn2hlkD8aLT9bwlYXH&#10;2o58zbyBHPLyi2tVh3nskeXqrzNZtSN+Sv7fMTHG/C+csaFC5w3r33U33XCdu+3mHyl2pI+LzoAh&#10;PqzwlaX3zY7422ROZBBojwzCmlxkELWhJv6XTqvDQX8OsANbOjjyyEMPqJ6LDrMjjodsvsmHFb6y&#10;bOqq5HtsrghjCPzCGm3sIIlcsWPKFdnS1XRXOwfyaaO77+d3t9jNKpn/8227Dyt8ZfnWX0nPme2D&#10;NoMjHE89+YTaQcAQk1uz5bnkvh0Lc3T9vsgdnG/50Q3u+muuch99+EEbn0sl8XsUbfVhha8sineV&#10;ex0mg9BOu/7888/dj66/Vm0h2MpMjwFLTKYFJ8LXCW5UPm4Qpw4dkTfCtq+N4s//1b0/V374/e+e&#10;Vz4xXil3/o6jfT6s8JXF8e5yr9PsIC/86Y8qg5Bjat3LLylfffzRhy2+XfgMfkvkk8rHjXTsN7sp&#10;5cQWYiuFDzjDH+bzN7233Hk66vb5sMJXFvV7K6E+m1dYG/Pkrx9XDEFuxVeHDIvMwRneSuSPHQs7&#10;oCd0NTmTWMKf3nGbxpliU6fc5hf4xHilEvg6yjb6sMJXFuU7K6WuMH8wv7z6l3XKP+gzxBrCX8i3&#10;hh2J/LHjYIjpLND2t0+tbIlPf+zhh9TmEZY3EvxoGyuW4EfQH/AFGALewS/8BiNuvvF6jTm866c/&#10;dn/6w+9b5A+zzYMryVHZfQBuQNvbb7lJ5c4f33aLxnsYH9jZsCOMJ5UyP0bRTh9W+MqieNeOUAd8&#10;8u9//9s9teIJtaER537rTTe6Z5/+TYusazIvGMI8xtnkYfud4Etx8cVkRPof+lgMB+XYrjjzH2vh&#10;kDGCOaJJ5Q5kTbNz7Ag8HOU3+LDCVxblOyu5LuYbMIQDnnvisUc0xowcmNjU8PeGeRXeNP6kHL5N&#10;sKO42GF9Dj6YvhnGdq6xi+NXIe8+tMTGsWrlCslh+mmL7FnJfBtX231Y4SuL6/2VVK/pMna2tn/y&#10;yT90vsIuD++xlht5xHiUOGeu4ePmDcF6Xn4nR3H6AMyg78FxpUMqjhjbN7Zw1lsjRwZ71za5Xz/6&#10;cIvOajRm3rDr5Nxq7/Bhha8s6bNWm4jpvMZT4Mm2bV+4P6z5ncog8CH8eON116gsbD5f5A/j4QQ7&#10;ioMd9DNyh8p+ghvoLuToePo3q9xPbr+1ZZ8f5I5Hlz8o+1Oub/GlmKxp9E7GQCtuWF/4sMJXZvd3&#10;9rNhhp3T+wMswdeHHoO/D5mEGPg7br3ZPSw5idY8v1r5F342eZr5kWs7zA5rfJ9gTSvW0G/WH4YJ&#10;4d92bX3Jb2SM3z232rEWEsxgvT0HfjRyd6z985/UppVOS35norPv3s5Y5sMKX1ln7Jt8vhl+M/sI&#10;Z+Y7/H/YRtBtTEbG5nr/fb/Q/+BfdBwdD+g4qdgSxsD7772n5TYuOvvZcNf6iv6lTwyD6S9soM/8&#10;dpXDP4YdA6yw/QRZL7vi8UcV4z/77DPVSdL10Xzo3lmf8WGFr6yz9k+u3w1+GD8allAHWPK3jz9y&#10;6156sUU2wU4SzIXY7BpVXgFrwBIbD4wPxkpnx43w9xuGYEsCY/mPM36SO39yR0usBvojGE35K+te&#10;dsQMp9MzkS+210nS+6i93z6s8JW1V0fyXysNwIlwf8CfdlAOtnAPZaytYQz88fdr3IO/ui+1zqbR&#10;XXf1lSproweZ7yY8fjrzNXZQ000+eP89vV799G81TgObE/oiax3ffON17Wf8rtb/nKGB9X+YTsl1&#10;Kw/n0hc+rPCV5VJnZ78XjIBXfXxqcQR2pq+4jwM8YT144MdpVNnb4ko6M2akf7utGcDWGeSqbRQb&#10;01KV394V3cX61PiQvrX+NtmQ/8LXdm9yzg1HfFjhK0v6Nbd+zaW/4G/uh5/hc/LR/H/2zmdFaiAI&#10;43kC8eAzi+w8g4gKnkTwpKh4UkRx8bCLF3dn2bt7WV/A/Dr7QTuUSXrZdGeGb6DpTCUk6frzpaq6&#10;0sEPH2oRjjpqH79/+5rimCiWUb51184O4T/jJYZjjIpbwIg8p0ScQn6U95TkY5Tw38feXrcjrIho&#10;5vHteTzFu1znc9+F+IX5AfIk+OZgCrlWxTTYleL/Q8CKaAw5XuJvvH/7Jq27AU9YdxTcwG8Tj+Vn&#10;6L/75fQW3kZYEdEsh2XlsMtffBLhyp/r65RzxWaYCybG+Xl6kp7J8j1yO4vscJ9pjPHL50+pRg+f&#10;jLlw3k1RbSi8A3flx+3y0v+X090IKyKaZbCcDHLeKm8CTXE7NNrV1e+05ibzwDTmJ8m94ofsMz6M&#10;3ftJP29CzYbq8Riv4hTlL4Qbwtucn95eVm8jrIholsOycpjir2wDWyF/SN5wyLNuUlzD2gKqG8Ee&#10;eWYT26gfs9FW+3Rv+E5sc/+6Z2p5idcYIz4H76Lgh03xyfvr6mmEFRHNcqkrl11+gxtgCM9e7ftx&#10;fJxyAfgim0cPO9ZJww7Jj5Ar0Htj/NecRSusiK6bsKKfj+U+lRulJ8dBPQy1djRqN4SfGrv7tvoo&#10;/kdYEdF0vPs2csN+5K+zLZ+dmjTeNwdDeE7zTQF8fnBE+VX6NeZHwA8a2AK+nZ/9Su/AEquAH3yD&#10;+LLHQXSOMRtD2ujemM1HWBHRxs7hfcvLVbaTY4d8EnpskLqpITdylLaZB4au53vkA7SkgR34RtTb&#10;4nNQN0eOmHWqVSsqnFRvXVte10p4HGFFRCs5p4+9exnLfnIcyfkMnUYehPmZoXZk071+9bLbnp+l&#10;5zs+ScKTm76mT4J/oRgK3ODa+EXD9x+p4x/mVZiz1lyKxqRxigf67/7u9ayUpxFWRLTS8/r4+rLF&#10;3lT/AE6ollXf0JP9sq8mdnAtxSpsp1zpxTbVixKrsEYg7yX/DzesS/V1aS7PI6yIaHPP5+PayFrP&#10;amEIPbIg90hM8OzJ438wQ7nVWvELuCHs4JofP7xLPhLrcHCfYAfYp3FAs7/RRpdKbDjCiohWck4f&#10;20buwgzxH5uExnd8iQ+Yr8EP4Pkve66BH1yL+SAa21yTmnNwLZ9P4r6NGW10RzpT2kdYEdFKz+vj&#10;6+qBsAP7o/Fftsh8DPkQ4gTlHtTXwI8Ur9zkP9jme+TgGev5KGZBX7hnNY3BelRXj0r5HWFFRCs9&#10;r49vL3dhCM945jbINYAlYAZ2XAM7dC3iJcVMrN/D/CzzLrmeCO9ymrfb69GYDCKsiGhj5/C+dcoY&#10;/FA+lbXFeXeG706oLkSxxNI4kscvXPvF86cJz3Rv3Kd1aJ06NCWXCCsi2tR5vH998lcsQE+eklpw&#10;cET5D8Uw2PeSDXy6vNimxvqCvDfLumDyN4hhrD/r0585MomwApqbeWAdsA7M0YE5OONj9vP5YLlZ&#10;btYB64B1wDpgHbAOWAesA4eqA/e6rnvQN373+8b2XwAAAP//AwBQSwMEFAAGAAgAAAAhAKQDKqXh&#10;AAAACgEAAA8AAABkcnMvZG93bnJldi54bWxMj01Lw0AQhu+C/2EZwVu7+bBGYialFPVUBFtBvG2z&#10;0yQ0uxuy2yT9944nPQ7z8L7PW6xn04mRBt86ixAvIxBkK6dbWyN8Hl4XTyB8UFarzllCuJKHdXl7&#10;U6hcu8l+0LgPteAQ63OF0ITQ51L6qiGj/NL1ZPl3coNRgc+hlnpQE4ebTiZR9CiNai03NKqnbUPV&#10;eX8xCG+TmjZp/DLuzqft9fuwev/axYR4fzdvnkEEmsMfDL/6rA4lOx3dxWovOoRFHKWMIiRZAoKB&#10;JMt43BFhlT4kIMtC/p9Q/g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a/wzlQEAAAJDQAADgAAAAAAAAAAAAAAAAA8AgAAZHJzL2Uyb0RvYy54bWxQSwECLQAUAAYA&#10;CAAAACEA46fJPOrrAAC4nwcAFAAAAAAAAAAAAAAAAAC8BgAAZHJzL21lZGlhL2ltYWdlMS5lbWZQ&#10;SwECLQAUAAYACAAAACEApAMqpeEAAAAKAQAADwAAAAAAAAAAAAAAAADY8gAAZHJzL2Rvd25yZXYu&#10;eG1sUEsBAi0AFAAGAAgAAAAhAI4iCUK6AAAAIQEAABkAAAAAAAAAAAAAAAAA5vMAAGRycy9fcmVs&#10;cy9lMm9Eb2MueG1sLnJlbHNQSwUGAAAAAAYABgB8AQAA1/QAAAAA&#10;">
                      <v:group id="그룹 1042" o:spid="_x0000_s1154"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그림 1043" o:spid="_x0000_s1155"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N3qxAAAAN0AAAAPAAAAZHJzL2Rvd25yZXYueG1sRE9LawIx&#10;EL4X/A9hBC9Ss7ZV6moUqRQ89OCj9Dxsxs26m8m6ibr+eyMIvc3H95zZorWVuFDjC8cKhoMEBHHm&#10;dMG5gt/99+snCB+QNVaOScGNPCzmnZcZptpdeUuXXchFDGGfogITQp1K6TNDFv3A1cSRO7jGYoiw&#10;yaVu8BrDbSXfkmQsLRYcGwzW9GUoK3dnq6Bc/gxLU2742P8bTY4n099kq7NSvW67nIII1IZ/8dO9&#10;1nF+8vEOj2/iCXJ+BwAA//8DAFBLAQItABQABgAIAAAAIQDb4fbL7gAAAIUBAAATAAAAAAAAAAAA&#10;AAAAAAAAAABbQ29udGVudF9UeXBlc10ueG1sUEsBAi0AFAAGAAgAAAAhAFr0LFu/AAAAFQEAAAsA&#10;AAAAAAAAAAAAAAAAHwEAAF9yZWxzLy5yZWxzUEsBAi0AFAAGAAgAAAAhAPU03erEAAAA3QAAAA8A&#10;AAAAAAAAAAAAAAAABwIAAGRycy9kb3ducmV2LnhtbFBLBQYAAAAAAwADALcAAAD4AgAAAAA=&#10;">
                          <v:imagedata r:id="rId41" o:title=""/>
                        </v:shape>
                        <v:shape id="Text Box 1044" o:spid="_x0000_s1156"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vQoxQAAAN0AAAAPAAAAZHJzL2Rvd25yZXYueG1sRE9NawIx&#10;EL0X+h/CFHopmm1dpGyNIqJQexG3XrwNm3Gz7WayJFnd/vtGELzN433ObDHYVpzJh8axgtdxBoK4&#10;crrhWsHhezN6BxEissbWMSn4owCL+ePDDAvtLryncxlrkUI4FKjAxNgVUobKkMUwdh1x4k7OW4wJ&#10;+lpqj5cUblv5lmVTabHh1GCwo5Wh6rfsrYJdftyZl/60/lrmE7899KvpT10q9fw0LD9ARBriXXxz&#10;f+o0P8tzuH6TTpDzfwAAAP//AwBQSwECLQAUAAYACAAAACEA2+H2y+4AAACFAQAAEwAAAAAAAAAA&#10;AAAAAAAAAAAAW0NvbnRlbnRfVHlwZXNdLnhtbFBLAQItABQABgAIAAAAIQBa9CxbvwAAABUBAAAL&#10;AAAAAAAAAAAAAAAAAB8BAABfcmVscy8ucmVsc1BLAQItABQABgAIAAAAIQASIvQoxQAAAN0AAAAP&#10;AAAAAAAAAAAAAAAAAAcCAABkcnMvZG93bnJldi54bWxQSwUGAAAAAAMAAwC3AAAA+QIAAAAA&#10;" stroked="f">
                          <v:textbox style="mso-fit-shape-to-text:t" inset="0,0,0,0">
                            <w:txbxContent>
                              <w:p w14:paraId="11730246" w14:textId="34C39256" w:rsidR="006D7011" w:rsidRDefault="006D7011" w:rsidP="00B56B0C">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v:textbox>
                        </v:shape>
                      </v:group>
                      <v:shape id="Text Box 1045" o:spid="_x0000_s1157" type="#_x0000_t202" style="position:absolute;left:5207;top:22415;width:12333;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OKwwAAAN0AAAAPAAAAZHJzL2Rvd25yZXYueG1sRE/NasJA&#10;EL4XfIdlBC9FN5a2hugqVhDtoQejDzBmx2w0Oxuyq6Zv7wqF3ubj+53ZorO1uFHrK8cKxqMEBHHh&#10;dMWlgsN+PUxB+ICssXZMCn7Jw2Lee5lhpt2dd3TLQyliCPsMFZgQmkxKXxiy6EeuIY7cybUWQ4Rt&#10;KXWL9xhua/mWJJ/SYsWxwWBDK0PFJb9aBWnqVxPyR1efN/n29Zu+xrsfo9Sg3y2nIAJ14V/8597q&#10;OD95/4DnN/EEOX8AAAD//wMAUEsBAi0AFAAGAAgAAAAhANvh9svuAAAAhQEAABMAAAAAAAAAAAAA&#10;AAAAAAAAAFtDb250ZW50X1R5cGVzXS54bWxQSwECLQAUAAYACAAAACEAWvQsW78AAAAVAQAACwAA&#10;AAAAAAAAAAAAAAAfAQAAX3JlbHMvLnJlbHNQSwECLQAUAAYACAAAACEA4ZyjisMAAADdAAAADwAA&#10;AAAAAAAAAAAAAAAHAgAAZHJzL2Rvd25yZXYueG1sUEsFBgAAAAADAAMAtwAAAPcCAAAAAA==&#10;" fillcolor="white [3212]" stroked="f" strokeweight=".5pt">
                        <v:textbox inset="0,0,0,0">
                          <w:txbxContent>
                            <w:p w14:paraId="042B0249" w14:textId="77777777" w:rsidR="006D7011" w:rsidRDefault="006D7011" w:rsidP="00B56B0C">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01036F9C" w14:textId="77777777" w:rsidR="006D7011" w:rsidRDefault="006D7011" w:rsidP="00B56B0C">
                              <w:pPr>
                                <w:rPr>
                                  <w:rFonts w:asciiTheme="majorBidi" w:hAnsiTheme="majorBidi" w:cstheme="majorBidi"/>
                                  <w:b/>
                                  <w:bCs/>
                                  <w:sz w:val="18"/>
                                  <w:szCs w:val="18"/>
                                  <w:lang w:val="pl-PL"/>
                                </w:rPr>
                              </w:pPr>
                            </w:p>
                            <w:p w14:paraId="7BDD52EA" w14:textId="77777777" w:rsidR="006D7011" w:rsidRDefault="006D7011" w:rsidP="00B56B0C">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v:textbox>
                      </v:shape>
                      <w10:wrap type="square"/>
                    </v:group>
                  </w:pict>
                </mc:Fallback>
              </mc:AlternateContent>
            </w:r>
          </w:p>
          <w:p w14:paraId="5398D534" w14:textId="23E2A8B3" w:rsidR="002E5800" w:rsidRPr="008F328C" w:rsidRDefault="002E5800">
            <w:pPr>
              <w:pStyle w:val="a3"/>
              <w:rPr>
                <w:lang w:val="pl-PL"/>
              </w:rPr>
            </w:pPr>
          </w:p>
          <w:p w14:paraId="29380761" w14:textId="4EC2EF42" w:rsidR="002E5800" w:rsidRPr="008F328C" w:rsidRDefault="000E0B7C">
            <w:pPr>
              <w:pStyle w:val="a3"/>
              <w:numPr>
                <w:ilvl w:val="0"/>
                <w:numId w:val="25"/>
              </w:numPr>
              <w:rPr>
                <w:b/>
                <w:lang w:val="pl-PL"/>
              </w:rPr>
            </w:pPr>
            <w:r w:rsidRPr="008F328C">
              <w:rPr>
                <w:rFonts w:eastAsia="Times New Roman"/>
                <w:b/>
                <w:bCs/>
                <w:lang w:val="pl-PL"/>
              </w:rPr>
              <w:t>Wybrać odpowiednie miejsce wstrzyknięcia</w:t>
            </w:r>
          </w:p>
          <w:p w14:paraId="657FE5C2" w14:textId="4313704B" w:rsidR="002E5800" w:rsidRPr="008F328C" w:rsidRDefault="002E5800">
            <w:pPr>
              <w:pStyle w:val="a3"/>
              <w:rPr>
                <w:lang w:val="pl-PL"/>
              </w:rPr>
            </w:pPr>
          </w:p>
          <w:p w14:paraId="769E354A" w14:textId="3E9E7234" w:rsidR="002E5800" w:rsidRPr="008F328C" w:rsidRDefault="000E0B7C">
            <w:pPr>
              <w:pStyle w:val="a3"/>
              <w:ind w:left="3217" w:hanging="180"/>
              <w:rPr>
                <w:lang w:val="pl-PL"/>
              </w:rPr>
            </w:pPr>
            <w:r w:rsidRPr="008F328C">
              <w:rPr>
                <w:rFonts w:eastAsia="Times New Roman"/>
                <w:b/>
                <w:bCs/>
                <w:lang w:val="pl-PL"/>
              </w:rPr>
              <w:t>a.</w:t>
            </w:r>
            <w:r w:rsidRPr="008F328C">
              <w:rPr>
                <w:rFonts w:eastAsia="Times New Roman"/>
                <w:lang w:val="pl-PL"/>
              </w:rPr>
              <w:t xml:space="preserve"> Wstrzyknięcie można wykonać w:</w:t>
            </w:r>
          </w:p>
          <w:p w14:paraId="2E6F54B7" w14:textId="7E08B7A0" w:rsidR="002E5800" w:rsidRPr="008F328C" w:rsidRDefault="000E0B7C">
            <w:pPr>
              <w:pStyle w:val="a3"/>
              <w:ind w:left="3397"/>
              <w:rPr>
                <w:lang w:val="pl-PL"/>
              </w:rPr>
            </w:pPr>
            <w:r w:rsidRPr="008F328C">
              <w:rPr>
                <w:rFonts w:eastAsia="Times New Roman"/>
                <w:lang w:val="pl-PL"/>
              </w:rPr>
              <w:t xml:space="preserve">- przednią powierzchnię ud </w:t>
            </w:r>
          </w:p>
          <w:p w14:paraId="0011BBA3" w14:textId="77777777" w:rsidR="002E5800" w:rsidRPr="008F328C" w:rsidRDefault="000E0B7C">
            <w:pPr>
              <w:pStyle w:val="a3"/>
              <w:ind w:left="3397"/>
              <w:rPr>
                <w:lang w:val="pl-PL"/>
              </w:rPr>
            </w:pPr>
            <w:r w:rsidRPr="008F328C">
              <w:rPr>
                <w:rFonts w:eastAsia="Times New Roman"/>
                <w:lang w:val="pl-PL"/>
              </w:rPr>
              <w:t xml:space="preserve">- brzuch w odległości co najmniej 5 cm od pępka. </w:t>
            </w:r>
          </w:p>
          <w:p w14:paraId="435816CF" w14:textId="3CD45B0E" w:rsidR="002E5800" w:rsidRPr="008F328C" w:rsidRDefault="000E0B7C">
            <w:pPr>
              <w:pStyle w:val="a3"/>
              <w:ind w:left="3397"/>
              <w:rPr>
                <w:lang w:val="pl-PL"/>
              </w:rPr>
            </w:pPr>
            <w:r w:rsidRPr="008F328C">
              <w:rPr>
                <w:rFonts w:eastAsia="Times New Roman"/>
                <w:lang w:val="pl-PL"/>
              </w:rPr>
              <w:t xml:space="preserve">- zewnętrzną powierzchnię górnego ramienia (TYLKO opiekun). </w:t>
            </w:r>
          </w:p>
          <w:p w14:paraId="256FDEB1" w14:textId="77777777" w:rsidR="002E5800" w:rsidRPr="008F328C" w:rsidRDefault="002E5800">
            <w:pPr>
              <w:pStyle w:val="a3"/>
              <w:rPr>
                <w:lang w:val="pl-PL"/>
              </w:rPr>
            </w:pPr>
          </w:p>
          <w:p w14:paraId="4FBEE519" w14:textId="0C933177" w:rsidR="002E5800" w:rsidRPr="008F328C" w:rsidRDefault="000E0B7C">
            <w:pPr>
              <w:pStyle w:val="a3"/>
              <w:numPr>
                <w:ilvl w:val="0"/>
                <w:numId w:val="18"/>
              </w:numPr>
              <w:ind w:left="3217"/>
              <w:rPr>
                <w:lang w:val="pl-PL"/>
              </w:rPr>
            </w:pPr>
            <w:r w:rsidRPr="008F328C">
              <w:rPr>
                <w:rFonts w:eastAsia="Times New Roman"/>
                <w:b/>
                <w:bCs/>
                <w:lang w:val="pl-PL"/>
              </w:rPr>
              <w:t>Nie należy</w:t>
            </w:r>
            <w:r w:rsidRPr="008F328C">
              <w:rPr>
                <w:rFonts w:eastAsia="Times New Roman"/>
                <w:lang w:val="pl-PL"/>
              </w:rPr>
              <w:t xml:space="preserve"> wykonywać wstrzyknięcia w skórę, która znajduje się w odległości 5 cm pępka lub jeżeli skóra jest zaczerwieniona, twarda, tkliwa, uszkodzona, zasiniona lub jeżeli znajdują się na niej blizny. </w:t>
            </w:r>
          </w:p>
          <w:p w14:paraId="6967BDC8" w14:textId="77777777" w:rsidR="002E5800" w:rsidRPr="008F328C" w:rsidRDefault="000E0B7C">
            <w:pPr>
              <w:pStyle w:val="a3"/>
              <w:numPr>
                <w:ilvl w:val="0"/>
                <w:numId w:val="18"/>
              </w:numPr>
              <w:ind w:left="3217"/>
              <w:rPr>
                <w:lang w:val="pl-PL"/>
              </w:rPr>
            </w:pPr>
            <w:r w:rsidRPr="008F328C">
              <w:rPr>
                <w:rFonts w:eastAsia="Times New Roman"/>
                <w:lang w:val="pl-PL"/>
              </w:rPr>
              <w:t xml:space="preserve">Jeśli pacjent choruje na łuszczycę, nie należy wykonywać wstrzyknięcia bezpośrednio w uniesione, zgrubiałe, zaczerwienione lub łuszczące się miejsca na skórze lub zmiany skórne. </w:t>
            </w:r>
          </w:p>
          <w:p w14:paraId="4BE8895B" w14:textId="77777777" w:rsidR="002E5800" w:rsidRPr="008F328C" w:rsidRDefault="000E0B7C">
            <w:pPr>
              <w:pStyle w:val="a3"/>
              <w:numPr>
                <w:ilvl w:val="0"/>
                <w:numId w:val="18"/>
              </w:numPr>
              <w:ind w:left="3217"/>
              <w:rPr>
                <w:lang w:val="pl-PL"/>
              </w:rPr>
            </w:pPr>
            <w:r w:rsidRPr="008F328C">
              <w:rPr>
                <w:rFonts w:eastAsia="Times New Roman"/>
                <w:b/>
                <w:bCs/>
                <w:lang w:val="pl-PL"/>
              </w:rPr>
              <w:t xml:space="preserve">Nie </w:t>
            </w:r>
            <w:r w:rsidRPr="008F328C">
              <w:rPr>
                <w:rFonts w:eastAsia="Times New Roman"/>
                <w:lang w:val="pl-PL"/>
              </w:rPr>
              <w:t>wykonywać wstrzyknięcia przez ubranie.</w:t>
            </w:r>
          </w:p>
          <w:p w14:paraId="32EA50E2" w14:textId="77777777" w:rsidR="002E5800" w:rsidRPr="008F328C" w:rsidRDefault="002E5800">
            <w:pPr>
              <w:pStyle w:val="a3"/>
              <w:rPr>
                <w:lang w:val="pl-PL"/>
              </w:rPr>
            </w:pPr>
          </w:p>
          <w:p w14:paraId="622DCC5C" w14:textId="77777777" w:rsidR="002E5800" w:rsidRPr="008F328C" w:rsidRDefault="000E0B7C">
            <w:pPr>
              <w:pStyle w:val="a3"/>
              <w:ind w:left="3217" w:hanging="180"/>
              <w:rPr>
                <w:lang w:val="pl-PL"/>
              </w:rPr>
            </w:pPr>
            <w:r w:rsidRPr="008F328C">
              <w:rPr>
                <w:rFonts w:eastAsia="Times New Roman"/>
                <w:b/>
                <w:bCs/>
                <w:lang w:val="pl-PL"/>
              </w:rPr>
              <w:t>b.</w:t>
            </w:r>
            <w:r w:rsidRPr="008F328C">
              <w:rPr>
                <w:rFonts w:eastAsia="Times New Roman"/>
                <w:lang w:val="pl-PL"/>
              </w:rPr>
              <w:t xml:space="preserve"> Miejsce wstrzyknięcia należy za każdym razem zmieniać. Każde nowe miejsce wstrzyknięcia powinno znajdować się co najmniej 3 cm od wcześniejszego miejsca wstrzyknięcia. </w:t>
            </w:r>
          </w:p>
          <w:p w14:paraId="1205D298" w14:textId="77777777" w:rsidR="002E5800" w:rsidRPr="008F328C" w:rsidRDefault="002E5800">
            <w:pPr>
              <w:pStyle w:val="a3"/>
              <w:rPr>
                <w:sz w:val="26"/>
                <w:szCs w:val="26"/>
                <w:lang w:val="pl-PL" w:eastAsia="ko-KR"/>
              </w:rPr>
            </w:pPr>
          </w:p>
        </w:tc>
      </w:tr>
    </w:tbl>
    <w:p w14:paraId="26F2769A" w14:textId="77777777" w:rsidR="002E5800" w:rsidRPr="008F328C" w:rsidRDefault="002E5800" w:rsidP="004142DA">
      <w:pPr>
        <w:ind w:right="1248"/>
        <w:rPr>
          <w:rFonts w:ascii="Times New Roman" w:eastAsia="Times New Roman" w:hAnsi="Times New Roman" w:cs="Times New Roman"/>
          <w:b/>
          <w:bCs/>
          <w:lang w:val="pl-PL"/>
        </w:rPr>
      </w:pPr>
    </w:p>
    <w:tbl>
      <w:tblPr>
        <w:tblStyle w:val="ac"/>
        <w:tblW w:w="0" w:type="auto"/>
        <w:tblLook w:val="04A0" w:firstRow="1" w:lastRow="0" w:firstColumn="1" w:lastColumn="0" w:noHBand="0" w:noVBand="1"/>
      </w:tblPr>
      <w:tblGrid>
        <w:gridCol w:w="9394"/>
      </w:tblGrid>
      <w:tr w:rsidR="002E5800" w:rsidRPr="00A5286D" w14:paraId="716FB4E3" w14:textId="77777777">
        <w:trPr>
          <w:trHeight w:val="5805"/>
        </w:trPr>
        <w:tc>
          <w:tcPr>
            <w:tcW w:w="9581" w:type="dxa"/>
          </w:tcPr>
          <w:p w14:paraId="3EBCA7E5" w14:textId="77777777" w:rsidR="002E5800" w:rsidRPr="008F328C" w:rsidRDefault="002E5800">
            <w:pPr>
              <w:pStyle w:val="1"/>
              <w:spacing w:before="76"/>
              <w:ind w:left="0" w:right="2736"/>
              <w:rPr>
                <w:rFonts w:eastAsiaTheme="minorEastAsia" w:cs="Times New Roman"/>
                <w:lang w:val="pl-PL" w:eastAsia="ko-KR"/>
              </w:rPr>
            </w:pPr>
          </w:p>
          <w:p w14:paraId="6681CDA3" w14:textId="77777777" w:rsidR="002E5800" w:rsidRPr="008F328C" w:rsidRDefault="000E0B7C">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243" behindDoc="0" locked="0" layoutInCell="1" allowOverlap="1" wp14:anchorId="5576CC74" wp14:editId="52371E03">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33B22FA7" w14:textId="7C8CF93A"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76CC74" id="그룹 30" o:spid="_x0000_s1158" style="position:absolute;margin-left:-1.65pt;margin-top:9.15pt;width:189.65pt;height:243.5pt;z-index:251658243"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xFRJ0AwAAAggAAA4AAABkcnMvZTJvRG9jLnhtbJxVwXLbNhC9dyb/&#10;gOE9pqRIssSxnFHt2pMZN9HE7uQMgaCICQmgACTK/aD+QnvoF7U/kbcgKVt2Okl8ELVYLBZvH94C&#10;Z2/3dcV20nll9CIZngwSJrUwudKbRfLb3dXrWcJ84DrnldFykdxLn7w9f/XTWWMzOTKlqXLpGJJo&#10;nzV2kZQh2CxNvShlzf2JsVJjsjCu5gFDt0lzxxtkr6t0NBhM08a43DojpPfwXraTyXnMXxRShA9F&#10;4WVg1SIBthC/Ln7X9E3Pz3i2cdyWSnQw+AtQ1FxpbHpIdckDZ1unnqWqlXDGmyKcCFOnpiiUkLEG&#10;VDMcPKnm2pmtjbVssmZjDzSB2ic8vTiteL+7dvbWrhyYaOwGXMQR1bIvXE3/QMn2kbL7A2VyH5iA&#10;czQezCaTScIE5t4M5qPxpCNVlGD+2TpR/vKNlWm/cXoExyqR4ddxAOsZB9/WClaFrZNJl6T+rhw1&#10;d5+39jWOy/Kg1qpS4T5KDwdDoPRupcTKtQPQuXJM5WiFKUjRvIbm//3r7//+/IeRByTTGgprF3Eq&#10;6saIz55pc1FyvZFLbyFbZKDo9Dg8Do92XFfKXqmqooMiu6sNEn8ika/Q08rv0ohtLXVo+8nJCmUa&#10;7UtlfcJcJuu1RD3uXR4B8cwHJ4MoacMCG38EWAL6aCKifABGJXgojK2bX00OQvg2mNgt36mw0/kI&#10;vUsKG80nw/EsKuygE1DofLiWpmZkACoQxfR8d+M7bH0IodaGCANmnlX6yIGc5In4CXFnogBqDtxQ&#10;vucXo2cM/1AT3pbcSqCktA+qmfeauaMG+9ns2ZxU0AVRm7Kwh7tTB/lbnH3THLp1OJ3NxqTByNp4&#10;Oh50fdl37imuz3lH63A8HbR9+3JWvalU3iuR6L6oHNtx3LtNqYKMYoZGHkf9D/sPVZEV9ut97KjT&#10;Nz0Va5PfgwlncNiowFtxpbDhDfdhxR3ubzjxJoUP+BSVaRaJ6ayElcb98TU/xeNEMZuwBu/BIvG/&#10;bzldFtU7jbNGytAbrjfWvaG39YVBqcOIJppY4ELVm4Uz9Sc8VUvaBVNcC+y1SEJvXoT2VcJTJ+Ry&#10;GYPaO+dG31rcVMMoaSL2bv+JO9uJPeA835teTTx7ovk2lkTu7RJtd6ViQxCxLYuQOA2g7GjFhwbW&#10;0Uv2eByjHp7u8y8AAAD//wMAUEsDBBQABgAIAAAAIQCd3Hg4RYgAAJjpCQAUAAAAZHJzL21lZGlh&#10;L2ltYWdlMS5lbWbsndmPXEeWn297geH/wH6aNuyHMbzBvczSM8BgPHC7G/bYY0wvhm3A82QP4Hmd&#10;Rtseo/tlYLQoiRJFSZQoihJJUdz3nRTJ4r7vWimSKooSN0kkJbXUIlvdji+yfrdORd3Im1mVWZWZ&#10;dQgUI25E3LhxI0589+SJ7StFUfxF+NO///mVongl/Onfn//9ovjWbxTFV//1H3+7KL5SzLv5d4u/&#10;GSJNkpj0p3+nKH7nbxXFfwoR+3TziLv3D/52cebnf6P4j+H674X79S99lsL/IuSxO/z9SQj4zfD3&#10;4/D3wo3GfV8tThSKJ07+rxRfDVej6eLFyH+//vWvC//zOnAZcBlwGXAZcBlwGXAZcBlwGeiODHz1&#10;N/5h4X9eBy4DLgMuA70jA7nvnbdR77SRt4W3hcuAywAyUMfrXLyHd+d3jddrdb3+6le/Kq4Ov1Mc&#10;2DdUyixh/KnOrF9hhw8eKOMV5m51HXu99G696Huda6O6+Nx9Ht67bd7PbQOLL196uzhy6GAlf8Vu&#10;y2z88F1hcvu5HrzsM7N/1fG4Lt7lZmbKzXS2+/lzZ4vhd66U/KUsN65fr+S3ynlw/6g+rjB3XXb7&#10;TQbqeFwX32/v6+Xt/z56IfD6nSuXSz6jL18dHh5zrXaWLj20+5UyXnHu9r8szLQ2rONxXfxMqy9/&#10;3+nv4/B6eITX4jH6tm0bhSvM2rsV5u70t6W3QXttUMfjuniv7/bq2+tr8vV14fy5kteqT/Gba1id&#10;8nrf3t3jwnSvu5NvE6/DqanDOh7XxXs7TU07eT2P1vPRI4eLu3fvRH1aXJZ9JGW14qVfp/Fer6P1&#10;6nXR+3VRx+O6eG/j3m/jQWsj5uaJw3KvXB5rz9Y7K/5gMv9P8e66/PaTDNTxuC6+n97VyzoYfbNq&#10;LjVz/NS+YrSucX1+yGC0vW3Tmeiv43Fd/EysM3/n6e37h0bWvsBlsVn2kKq2Ic2BfXtLnlel8bDp&#10;bVOv/9bqv47HdfFez63Vs9dT5+pJvFadMvf6xo3m868PHdjvvPa9N/teBup4XBevPuNu53jkddm8&#10;LsVr6dZvvvF6cffOnaZ9scqG4vXcvJ69fnqvfup4XBfvbdp7bTrobQKvxWredWjPK/FaYXJtPTiv&#10;XU6tPPSrv47HdfH9+t5e7v7tvyl7D+7fV+rWVaymrdN7vP37t/1nctvV8bgufibXnb/79PT51Ba9&#10;e9eOMfo27ZJy23k9PW3lfaSz9V7H47p4b4/OtofXZ319yn5NXX355Zdhrt6ofk0YrHZe19ejy1r/&#10;1VEdj+vivc37r837vc2srnz3zkfj1qZXvZ+9pyrew1yO+0EG6nhcF98P7+hlHKy+eOLY0TAf5KOo&#10;Q7fCa3RtrUd3WRgsWZhp7VnH47r4mVZf/r7T39/jfk8j+1+/d+3d4k5gd127+PrG6W+3ujby+Po2&#10;quNxXbzXcX0dex11to7s/nycDdZK/TqvO9sGrdS5p+l8ndfxuC7e26TzbeJ12rxOdV4Bdo7hd1rk&#10;tdnvyeu3ef16/fRu/dTxuC7e27Z323ZQ28byulX92u3XLqeD0B/qeFwXPwh14O/QX30ZXrMGnXZz&#10;XvdX23lfm1x71fG4Lt7rf3L17/XXfv3BaM25bpXX+4f2jpuT7XXfft17nU1vndXxuC7e229622+m&#10;1T82a/G64R8ex2HCVS/4+RPfFe6uy20/ykAdj+vi+/Gdvcz93Vc5W1f8teONKadpZ4Upvbd9f7f9&#10;TG+/Oh7Xxc/0+vP3n/r+f/vWzWLtqpWRxeja0qHVFjeuv1/q1wrDHiK/u1PfZl7nnanzOh7XxXs7&#10;dKYdvB5br0fWNK54+aXseOOlty+WbB7Vr4dKXdvruvW69rrqrbqq43FdvLdnb7XnTGiPe/fuFosW&#10;Lih5nerX9ixH1Yfr1y6nkoV+dut4bOOlq/Tz+3rZB6Pfzn74odIekrapbNpWXn2/p8Fo97StZ9q1&#10;5XHVu9t4K/9VaT3M+8RUyQC85lnYrz///PMxto633nxjnD0kPZNmqsrpz/E+0UkZsDyuyrcuvuoe&#10;D3MZ7ZYMSGd45qm5cY8+7c9HuOLeu3at+OSTT8prynLsyOHi0ySsW2X0fF3+uyUDdTyui+9WuTxf&#10;l/lmMsB44/CVy3FvPlzSiteR4WHOnw1jj6h3knTN8vc4l79elIE6HitefaEX38HLNLP6FrK4fOmS&#10;4srlS1HH1tp0ycEnn3xcnDtzeoxN5HxYwy6uK527M0tuBqG9xePcuyh+3ZrVxcnjxwp+a37++Wdl&#10;X+A+sVyuDcvl6+HeVyYjA5yJzhoYZC5dC2PDJJNvX3yrOH70SCmrk3m23+uyO10yIB7nnq94xnce&#10;nfWzQi76zbmzZ4qPPvqwsg+on+Ty9XCX+cnIAPvtidP2vF3JHWHkr2vGJTmnV9eTebbf67I7XTIg&#10;Hueer/hN69cVLz7/XMlscRt33pNzC+nf2A6Vl/qGXIW76/I+URmQLLEmBp2B66E9u8dxmDCeQTx/&#10;N29cLzauW1PK5kSf7/e57E6nDIjHuTIo/tq7Vwv+3r06XBw9fCj2FVhtuS39m35Uxe3cMzzc+0A7&#10;MgB/h69cLha/8Hzkr+wihJMPLrq0zZMzw7Qm0oa732Wvn2RAPM6VWfFitbgt99SJ48XK5S8bbs+K&#10;/oXPPVvOi1U/yj3Dw73PtCMDkid0Be6D1w8ePBjDZ9lKlBb9QXxv51me1mWzl2RAPM6VSfHiM/q1&#10;/Li6Zg3woQP7iqWLXywee+ThYDd5qHj80UeKbZs3xbmwufw93PvDRGQADs+Z/Uhx//79KI8f3L4d&#10;9WrlderkifIMdTFbfFcad132+k0GxONcuRVvGV3nh93z5z0V9Wz6CLZt8qffqO/knufh3odalQHs&#10;G7K7aQ267h2+cnnc/D3sdelaSKV31+WuH2RAPM6VVfF1jE7jz54+VfIaZjNH1lntfSInZ+2GI0vw&#10;Grs096b6deT1yJoZ5a01Nrp21+Wx32RAPM6VW/Epj3PXso8Qzzl7y5e+FG0j/HbVvmnObe8nOXlr&#10;JVzywxxs5ulxj8J0P3tgv3bhfBlOPOPgdq9VpXXX5bFfZEA8zpVX8Tk+V4WL2bj8PT//mXIMUs9J&#10;+5fC3fW+UycDkp0Tx44WF83eTul9mjeicK41Dqkwd13e+kkGxONcmRVfxeVWw7CNPP7ow5HZS5cs&#10;CnNhb5R6T+65Hu79qEoGYLV4PRxs1PyG07V18YvX+HWNTl6Vr4e5vPWDDIjHubIqvlU259KxfwN2&#10;bP3dCOsXcs/0cO87rcjAZ599VjTb15o1kGI4+cF3bCKt5O1pXAZ7UQbE41zZFJ/jcDvh2LLFa+Zn&#10;a6yo6tm2n1XFNwubzL02X+Ujlzjrt2ndPz39m32tc3Wf2j6c19PTRrn28fD220M8ztWd4tvhclVa&#10;7Nhvv/VmsWbVitI2ArtZw7B965aoJ/HbVn/YUOiLnOPEHO4VLy8tlof5ALjp3+oVy2Ma0rEOGZ2L&#10;/TMZi2KeF+dHibNyeV/5ceWvqodmcVXpPax9OWy3ztQm+4f2ZNsu5fUHt28Vzz3zdDZ9u2Xw9N1v&#10;Z6/jsXUsHufqRfFVDG4nTGOQ7117N47RawwSZrO2RmvZZz/cWB8pPVzuaPyoTUVxjTzYi2qWyUfp&#10;CMM/K34bdmzbEucWao/BZqwWE+RSR9afqzMPHytjna4P2wbYo+21fVbKa+KQFZvG/d1tK6/fztav&#10;eJyrV8W3w+ZW0l4O+/Vs37Ipzh2xLLZ+8Rjeznvyichb9PH0z67NabB5lP/kpzDlJ5f5uOzjxhwv&#10;2+et39YL4bk4m879nZXRtD5tG1QxWemr4pzX3W0b1b273aln8ThXv4pvhcGtptE8P6WHl2fPnCrY&#10;i+R0WEeMe+rk8eLN11+LujB2Dennuifncnbfa69eKE4cPxpsKXsCj3cWmzeuL1YtX1YseXFh5L54&#10;LVc857cytpU9r+wqToYyMF+cc6Vs3YgVcm2c+7sjo1X1qvqnjaviCYPXSofLH+MmnGeQu8fDp64N&#10;va7br2vxOFd3is/xsZvh2E4mkr+9r4rzxLPHIPtroquL27hV+j19nP3eOE9K/T9XXx7evgxOpM7U&#10;Dgf3D2XZK/1aaXmOXcM+kef6PVPTvl7P1fUsHufqR/ET4Wa/3HMxjIMeCOOaa1YuL5564vGS39K7&#10;Lc/RweHAcGC36szywPoVn3PbSZvLY6aHMx6dqwPxWvHUd7rXr+LcreaD10tv1Yt4nGsXxfcLe1st&#10;p/RuuboP2wt7nWCTwS7CXlWc08Ceg5bb+DmnYfXKFcW+vXviOjvmlD94cL/UwcVjXOtXXSvMXqdh&#10;inO3ut9w7vknH1fbN5h/ndbbutUri1s3b44LT9P5dXV9e71Mb72Ix7l2ULx4NgiuZbT1690UJlfh&#10;nH+2cf3a4onHHo3sRv8etZ805qY889TcOIaZngGr+q3isQ2zft3jbr6PMP/T/taxdZXar4kjjG+y&#10;Tef+fP163fRW3YjHuXZRvJg1CG7K4ap3apaGOGwox48diXPHWQckO8oovx8qnp47J45fYvtm7FJ7&#10;yInJ1pU/1w4ePtpvVFe41OuRQwfH8FfxsodwbcOc16N16XLVX3UhHufaTfFVTBuEMDs2yfvA4jQs&#10;fU+bRlznHtixc/vWcXNQRhk+K8xffLZgnyK7tlMskZtrCw8f7Vuqq/ffu1Zs3bRhDK9VT1X2EMKc&#10;16P1qLpytz/qRDzOtZfiU2YN4rXYW/duluf2HvmJf+O1V6PtJLV56xqGr1uzKqy/vFLJmlx7ePjY&#10;fsV5Bcz5SOsFnuuMdBvn9pCx9Wfrxv29Xzfica6tFF/HMI9vnEds60H8PnP6ZPHKzh2FzpgfZXZj&#10;DeazTz8ZxzX3Dw1FO4vmfEuHtG1jw6r8hNlwe++g+O37MdbIfMuqd6vSr53Xvc+kqrb0sEa7ice5&#10;+lC85ZD7x7M5VydittXJWR/E/O907jccb9hOZsV9LrCPq10so1oJq0qv+wbBte9Hndl3Upzs18Qp&#10;jLEEt4c4s6289JNfPM6VWfE5Hnl4nt1iNXVk/aozwthnduWypWG+SdXeJw39e32bdhOxKdem/R5u&#10;3w8/37mqd4LXnJv+5ZdflvFuv3ZWV8lKv4SJx7nyKl6McTfP51bqBkaL3XK5Dzs2c9PYv4i188z5&#10;5oyHxpxB9O6HCuYKrg37GzLnmHNV7t27V+qNaj/LMoUNkpu+H9fo17g2Dv/wlcvjzkiH4enZvINU&#10;P/4ug/09Eo9z7az4VljkaUZZbllMvcgeonBc/RFvw1WPzBncE/Y/wW6itZayl8gGzvoP5oW3st9g&#10;ro37LTzl8qKFC8pz0u27iNc2DP36yqVLpb5t49w/2KwbhPYVj3PvongxxN1RJtfVhRhs01WF2Xj5&#10;03TsHX708MFiS5i7xr5VzPcWw2H33Mdnx7nex48eieetYQewbZrqn4qz7GsWprhecNMy2z1BbBx1&#10;IFu13h+G8zumF97Dy+Dfh3ZlQDzO3ad4ccTd1nndjbqyHD9+9HAyZtnYO7yhgz8UbSu5diXcss36&#10;m93Ti3GW12n5LK+Ji7wOZ1mk6fza2dkPMiAe58qq+G6wx/PsDPtZp7Nl44Zox5WdRO6Tcx6Lcdpj&#10;Q3qmbe+qMBvf6/5mvKZubPnZY5Gzh2yY+53V/SID4nGuvIp3tnaGrZOtR+nXuPIrT8YssZkwz5tz&#10;6HUmPeyeM/uR0l7Cunja23J6UPVr+CzZ5h1vhzPB2NtcYe46q/tJBsTjXJkVLya42xvcph2qxjDV&#10;PsQxXske3+xPlY5Tsi9sK3tS9QPHm+nXVXNBmp2pnusHHu5c7wUZEI9zZVG8OOBu7/C6nbbYvnVz&#10;nKeMri37NuOVzC8Rt/uBzVVyWsdr3su+m/Pa2VslR/0QJh7nyqr4dtjgaTvD9NTe0axeW0mLLRdW&#10;rV21Mp6bKRs3/H7x+QXF/n17C85T++KLLyZkL7BMzMlTN8Kb8fpKYr+mjFXr1LtRLs/TvwudlgHx&#10;OJev4puxwuM6w2dbj9bWgb8VHtv7W/Ez949zjNO1ldFWEs7OlEyk+qm4nLpKP9Wu5bXKpDJcersx&#10;3mjfIT1DLL1H97rrvO01GRCPc+VSfCv939N0jtuWz/jtdafqmTz5FrB/NGsnra0Ehm/dvLFkNvIh&#10;rsm1MlMVZuO76be8Tp9TZb8+aM6dmc5yp2X1a/8+1MmAeJxLp/hOMcLzaY/pVs/uZN3pG6DvAHNL&#10;4Pa2LZuLBc/OK9fiMK9kRdjfhH1OtAaninEKk5uTp26EN+O1PSNZZWt25mM3yud5Ooc7JQPicS4/&#10;xXeSFZ5Xe8yGlYwJdqrepFen+dlvA+cPS+dG10b3Zi43ZwPYte+p3IiJaXinrqvyb8ZrrT2392nf&#10;PsJseKfK6Pk4n7slA+JxLn/Fp33br9tj7mTq67VXLxRrwhih9gKdTF66V/q1rnGlayuM8ckDYQxy&#10;/drV5XlncJv9uinLRx9+WGkvyclSN8Lh7dLFLxb37t4dUxY9C/2a3wWWy/vD+ciKl+vsdsZKFnrZ&#10;FY9zZVS8+rC7U8dpW9fYK5YvXRLPrLHh+KUXy03jO3HNPIs1K5ePmRPIepxzZ06PY59kSYyUq/BO&#10;u3xDcnnevXOnsGtmSLdvz+5x6btdxlz5PNy/E+3IgHicu0fxnejznkf7rE913mUwO6yBQfe19Wn1&#10;5fQem26ifuX5Zpg3wvwRGKk/9g/UmTipHHWDgzZP/Nhr0ufqmnMymaOoa1w7/9rmZdO43znaizIg&#10;HufKpviJ9nO/r31GN6sz9Oz9Q3uCrrsins3OGsZm6TsVJ16TH98KxuwWLpgfmc387eeemRf3vbt/&#10;/360PXSbg+TP34MH9+O6+5z8Ej4U9GlbHvYPt98XxcltlpfHOcenUwbE41wZFN+pfu/5tMdvy8nU&#10;z/xp1ppjp5C+bdN0sq7JV3nL5duxfcumUs+G2+vDWThWlrrNwNx5u7YMGl9UGPs9DQe7tq5xu11O&#10;+yz3O/MnKgPice5+xXey73te7TGb+hIj8WOn5o8wOA0zXwi67umTJ6Zc16YMzF954rHZ5Tr3965d&#10;iyycCgbW8ZoypOeks/91v6/Bz/VXDx/sb4F4nGtnxTtj22dsN+vM8pvnvP7aq3Hu9IYwl2PXjm0F&#10;uveVy5emjN/YGGTP3r51yxjdNSdbkw2Hxe9evVrsDmfP5/IijfbAVhqu7Zijvitylc7dwWZfP7av&#10;eJwru+K7yR7PuzPfAs0PQX9kTJL50uje6L8p36nzNEz32/awYdZv08iv896Zty156iYDyfuN8J3i&#10;PLT0Oem1yoPLfrLMtVFYs7RK466zuxdkQDzOlUXx6pPudoatU1GPl96+GPbDPhT1bfi9cf3aeObM&#10;2dOnircvvjVO9xa/5ebKmIsnX3Rs7NjcCwftX07GJhIuxrKXtfbzJh+Fp377jJ///NM4x8WWzd5n&#10;07rfOd1LMiAe58qk+Fzf9fDe4nfKUq6lF+OeCnxjfJJ9np6f/0zUv6vs3qS1eVm/bXObP+GsZYfZ&#10;6RhfTr4mEi624u7LrH2py5cy1qXxeGd1r8mAeJwrl+JtH3V/bzG6WXuk3CWtGHvq+LFoN4HbnN8L&#10;xxmbq1r7nvKa6zSMvLEz2Hkilq05GWsnPM2PuXrcr/BW88J2Y9fRtHt/q8/xdM78TsqAeJzLU/HN&#10;mOBxvctvMVVurq2YZ4I9g/PEXtm5PdpOtmxcH8YwN8Uz2Xfv2hnHMEmDnSWXz7awpx+6K3t6wMBu&#10;cNDmO7TnlZLXhN+8caOl524KtiHs3sh9N8qY608e7vyejAyIx7k8FJ/rnx7eG6zO8Vi2kLSdcuFp&#10;Ol0zhsnYJTo444ma982+ULKnUAadYyNe5+RqMuGWr/vC821e7Edlr3N+7DXdtNnknuvhzuvJyIB4&#10;nMtD8eq37vYGn6vaIcdsm7ZdTtt78fMM/phzMrT7lWLZS4ujHRx7Cn7sDNhDmJty+tTJsJff5yU/&#10;LWetH9mru7byqbTYbdD3bRzr5ZmTbcOq/Nxr54hUpfEwZ2uvyYB4nCuX4tN+69e9xW3OuDp98nhp&#10;U26F3e22ofIUs+397AeFDr56xbJy3Qx2Ef4Y21y9YnmBLgxf+WYgb+KuXBuWyiNp7B/xLy16Idg/&#10;ro/Ji/Xw1i6d5qNr9hWhXFzb5yveXWd1L8qAeJwrm+Jt33R/b7Ga9mAfkbmPzy7Ye5Vrq0dX8XWy&#10;bSh28xz+dE2+x48djXYTbCZiNmf7pueOcdYvtnBkr4qZVWFKi+0ZXV5yK5ZzfTHZ30lprEt6fgNo&#10;L28b535nda/KgHicK5/iJ9u//f7uMz7ukx32gULPpb4tp/Fbhk+kPSyTlb/cNI5w1hFSpuNHDxc7&#10;t28rVi1fFm0n7MMKvxsMR/+eW6wL+44cOngg7p2Hyx4f/GG3uDo8XNy6ebO0c3x8716cP31jRLdG&#10;dsV2XNZ15uTZhvO9IF8b5n5ndS/LgHicK6PiJ9K//Z7uMzqtY/iGns36GDG6iqXpfc2uU/2ZtGK/&#10;8parfNJrheMyF4V5g9iPpX+PurNGON440wZbuM63URrOKGPcExvQB7dvjdHP4fXwlcstMZj7+aaI&#10;9bk+4OHO8F6RAfE4Vx7F2/7m/qnncF2dWz4y5sacas5iVLjcunyq4sXmNI48q1hOuvQe+3zrZ9wS&#10;9qJzj+Vyg9didOpajrMfN+z96KPGeTeyseRkWuF829DhuXZmO5MlF73sise5Mio+7at+3VvMtgxU&#10;2zA3eWU4Kxdus8+Gwq2bctXGTaX/nWDDgJ/8sXcV6zD54wxg9tpmD6uN69cVa8O5aIwzMqewwfjG&#10;mCb8xr7y5JzGPBV0+Nu3bhW//OUvS107ZfKdjz4q2KeK8DQu1x883Lk+nTIgHufKoPip7Lv+rIl/&#10;C6q4Dffmz3sqzp9mz2pbv1XpbXzqbzd9en/uuirfVr4l6OfMC2euh8Yzn547p9i8YV38Yx++Tz/9&#10;dIwObdlctZ491xc83Fk93TIgHufKofhcP/PwibO1W3UH+1LWYSPBXoydBH4rHleslJsrl+6pS5e7&#10;vypcZa3KU3HcZ+Ot3+bJ3lbYVuY+/ljJa7jNWsbr779X6tmSdbht10cq3F3ncq/KgHicK5/ibb9w&#10;f+8xOm0TMU2u4l+7cD6O9TEfg3PPGfdjr+xma8x1b5qXwjvh2rytn7zT67rnbQlrHLGrnAz7o+wI&#10;e3FvDuvqCbtw/mzx8cf3SttHg9e7S45bvTvXHzzcWT6dMiAe58qg+Lo+4vG9w/A6ndnqyawl54wD&#10;1icyn5n15MzBs4y0/qlsZ/serT6XsnJewocf3C4+/PCDqFfv27s76tvo2ejbrLkUm6Vf5+Tfw53P&#10;vSQD4nGuTIpvtb94uunntvgqlzax/rSN4CJ2bewJsJuxPOzB64MOThhMT+8X89O82r0m36q8qsKa&#10;5W3LB6+ZKwKv9bd3966oZ8Pst4LuLXlnLFN+d53NvS4D4nGunIpv1lc8bvoZ3ck2gH2sl2TtODw7&#10;sG9v1FmxKWwPc00af5viOB9jfezJF/fx27ghug3/+mLr5k2lvaXubDLL24m+i/KAzcyHkY4tPXvn&#10;9q1Rv7bnh50K36J3rlxxZoc5jTkGeHjv1I14nGsTxU+0D/l9/cty8U+ubUuFpS5pCEM/xkU3Z+0O&#10;+jp7+THPTvnYdOl9StOOq7LwfXk1zKuWbi2XZ2veyN27dyKfWC/j+/T1Do9yHPLwRhuJx7n6UHw7&#10;/cbT9iejxTu5tKP8ctW2XOuvWTqlR19HV1+/ZnXcW/vEsSOR3cpXrtJPxmX9+/6hPQ1ej9ixxWzx&#10;+vatm9GG/eGHHxaLFi5w3dL1676QAfHYed2fjJ0M19J7czZjsZR49NH0Pl0rnVzCrV/pLoc9nph3&#10;x5rFLcGGovCcmytXml7PYr4iZy6I0XKxyWjMkf35NOZIOX7xi9F9X3N9wcNdD59uGXBeO6fFPfEO&#10;N2Wk4tJw3Ztzc+kJxz7RmC89O9rEq2wluXzTcJWPcHjNuQXiNC7zr7GzM7cP+7r6HczmbAXm/ynM&#10;Xedyr8qA89p5nbKv1WvLyKp7msXbODjNuvAtmzYG/Xdd0LkZq9wYdOQd8Xwy9htkf209w95r/Ypn&#10;PTtr1uE0817OnT0d9W3ZQhiLtP2RNe88T/q24tJrhbvrPJ8uGXBeO6/FuV5wLX9Za85cD/Rf5odj&#10;t2COODo581JgPOt/VG7uRW9nzxTmJIrP1j198mTJZfH4xvXrcS/s6eqD/lznf6sy4Lx2Xot3veJa&#10;ZlMmXaOHM98EhmPbgN1wGY6/sGB+nIcCx9n3ibMS4PQm9hEJ+jr+99+7VrJa/UPMJg+dXaAwuUrr&#10;rnN1umXAee287hVOp+UQp9NwXdt47M+nwnloR4Ntg3Nj4C+s1vhiZHdYKwPPme+HjeTtMGfl1s0b&#10;xZe//GW5x4gYLXe6+6c/378RVgac185r8a8fXI1f4spPuWG35Te8Zk8UbCqsR98abOPWLmL9MB19&#10;nfOB6RvOamekZWQv+Z3Xzute4LRlrS1PGl51rTC53M9+2DeD7qw5IpxD816wh2BTYS0Ntm/2UhXH&#10;WdPDuTUrXl5avPm6zxXpJUZ5WUa/n87rwea11UEtB62/lTQ2fT/4l7y4sHKNY+S3WUMD0xmDRL+2&#10;5wNztiP7QlWxAv3bdfBRhlTVkYd1p36c14PNa9jKOhE7j4IwMVpuPzC4nTI25TX7QI0w+61wljrj&#10;kYcO7I97g2NH4Q/9nPHMBw8eVDLbedQdHnm9Nq9X5/Vg8xobAWvBV4c5cOy1J5tB6rbDwn5IW8vr&#10;wGxYfeLY0eJWWJuO3s0cbOZ6v7xkccnsPa/sHMdr162bM8WZ2736cV4PNq+lP79z5XKx4Nl5cW6E&#10;5S3xYrcN73d/U14H3fr9sN6RMUfsIdp7dfeundG+zRobzuFBz+aMyM8++6wch3RWd49Fzvn6unVe&#10;Dy6vUw4z1sZvfM4GUxyumN7vjLblb8rroEujRzPmqPFIXO31TT7M85ZthDkmzul6ljhvu19HzuvB&#10;5bXlF37YzFrtlctejvvkvfnGa+XawDRtv1/X8Zq9sPl+WV4zb4Qz0vTurJOE2Yw9wiLLbOt3TnWf&#10;U17HjTp2Xs8cXotDuOiM6Nowy4YPiq5dx2tsIZbV+LGDLHzu2bI+WFsDrzmn2PLaWe18nq7vR6u8&#10;5rejfkPb/u3+/uU9zEaHZE9qzR8ZlDZuxusb198vdm4LZzwGRsc/M79v7uOzy28YejVr21evWDZu&#10;zHG6+qs/d2Z/K1rl9eyHZ0Wbn/g8KP1a7zPTXLUf+jT2bMYisdmqHhSv635zm/Gad94TxhZTVnPN&#10;9wvbNu/bmI89y8+f8bMMeuZ73SqvmY+6avmyODbV732539jTjfLCLNuOnNUIn9j7DrtAGt+NMnQz&#10;z2a85mwZ5lyz5rHUsUd0bc45YB8Szi7DFoLcs3+f67UzW6/tlfZvldfI7mOPzIrngTA3rJt9zfOe&#10;HhsLe0yzbmTtqpXhnNydcT8k2sJyvV/aphmvYfTuXTuKSxffGsfrOP/6pcVB1h+OvF66eNEY2zX9&#10;1u3Xzu7p4nervNb5TegbjL/0S7/1crbPfvjM3DbOyMVuwPrIfmN2Ha8ZZ925bWuBri27CPuLsDcU&#10;Mo5+wt/VcP7ZdPVNf65/F1IZaJXXcE97DSPH/H52FrbPwl6uM8tk/OxRyhySObMfjdxOy56mt/HY&#10;U7iWa+Pw23vbibNpq/JWGOOGrF9M7R32mt8SzG+8eeN6dHds3RzX0LBGBmbbc9Ndp3Z2puycjut2&#10;eI3OJb1j0cLno52Tftes79n+5f7+5Du66IF9Q8HmuyGeCcC+0ju3b4thnJU4+nfM+I/Hcbs3wlgm&#10;3EdPVfsjL3DVyk0rfu636XSdhhEOby2b8V8P80KIu/jWG3H/a+SZsxzTPbI5y2ZZ+A3Je9s+CbOd&#10;285tKxNT7W+H18g6+5iJ2exBSZj/DWYdiIPWFWeZUwLvmKO8PeilyEX0cz3yx1wL9HP+kBnGM/ET&#10;Tnruf+3VC1n50XOlM+saV2GSPcVhuzl1orE28UzYz/rk8WPFfrNvarnv9ciZM5HVI36+STu2bime&#10;e+bpUN5ZscwXg46e9klntjM7lYmpum6X1/QT5n6J2exFqT7j7mBwW+zrdHtyzi3ywtwLGA+7ZWN7&#10;8fnnYhjzMzSfTpyXrMm19uVGWIOtNp69rEs2c84Mf+FcAhuGn/2cWNeIXEd9PMzFXr70pVK+2Ser&#10;qi86s53ZVXLR7bB2eU1ffjuMq9PP6DdPPDY7/N5trGvuVj/vNDc8v/a/KxNp27p7bDx25FMnjgWd&#10;+2Bg6K54VnpDz2Xcr8FjcVoufGY9i+W0rp+eO6dkczzDMbB566YN0Q5/IfCZOU7Xw55PYrS1nezc&#10;sa3YGNiuvPgd0O1+6Pk7/1uRgXZ4Tf/S79ChPbtjP6LvbFy/rgx3FrbPwl6pM7VtO+XhHsvd3L1p&#10;GitLueeiZ8u2IrsLbml7CTo61/B0984d0Y+NDs6zrhz92erU8m8J9g9sJYwzah9sy+v9Qf9n7Sd5&#10;69swHPhOf3K92rnaCle7laYdXtu+yFgMe06ig6Bjs5457ZM2vfv7l+P90HZW9uD3/qE9kcdXwzhn&#10;PIs3jIti+0DHFsfhNvbtck5fGJOE20ePHIr7YrNuaP68p6OMw/8HD+67nu1rHadNBm7fulVMlNf0&#10;YZitM5SYq0uYdCXbf/qhv3sZB+N7gtxx/jk2aaszo0/DasYeObeR9Y3iNuGwmfTshf3qhXNRh0cm&#10;NoXfjrK3+DpH1627pTfn8tXvuV+Es+l+8L0/nRSv6RusE2v8ZpwV53JZ7hHv3B4MDtp27XX/9jDH&#10;g/MIxGt0COZSx3MJRvZ2QtdgLgjM5g9mS89+NfxWJA7ZHdrzSslrzulR/5Gb62ce7myfrAwgY5Kz&#10;9evWFf/gq/9oUrxWv2VsH7vImpUrfK6Iz2+cFhmwesGWwF6x+nbYIwQ7CLKa2qrhM+eBidlnTp+M&#10;92E/WbOqIcvnzpwe0Uceiucb0AfVhybbH/1+Z3ozGZCcsTbxt3/rd0tWYxPJ3Sd7idhc5fL7Ex2b&#10;P+blKo3tQwpz1/XtbssA44TiNXYOdGtdl8wOejb6Nsxm/BJm7w5zCUk3HMYWWc9OOWG37CGMQ+b6&#10;iYc7e7shA+zpKwZ//WvfKP25Zyltsz7G70TJNPuMNEvrcc7rbsgAuoHGTraEdZjiM7xlrqCu5erM&#10;Rq6ZhyIdmzkjMB5eS9+QbHMeb66feLjzutMywDnQ3/z6N0s7CGcQiMe5Zym+WR9DrhmPl1zjb5be&#10;45zZ3ZIB7NLMnxaXz5451Zi3F7issFLHHgmD0eI1awvEa8rIeknJNXZxa1PM9RkPd3a3KwOSK9lA&#10;GF/8s//2ZyWfn503L+oK4nEuf8W30r+Y8yTZpt+g70hHaeV+T+Mcn6wMsHaS+XhiMvNCNM6IK71a&#10;LgzHr3l+6NrwmrWVyC/XkunDBw+4fu3z+boiA+I1HL53927xw+9/r2T1T/7q/5TPFI8ny2tke2j3&#10;6Fg664on2/f8fud3uzIAZ9GRpUvD68jukXkhChfPucaGjX7Nehr0jMtvXyyWLn4xyu/WzayZaayj&#10;ZL+/XD/xcNepJyMD4vWVy5eL737nu5HV/+yf/otiRTgjxubbCV5Lh0YvYR9Lxh1Zr67wdvucp3dO&#10;T0QGWJOI/JVMDiwu9esRPVp6dXRHGH4p8Fn2kPfDHtjM3WZvbPLTuQVPznksrJd54PYQ16/H8NOy&#10;tBP+H3zv+6Ve/dz8+WOeBdM7wWvbtxhr5/cjzGZvH2e2s9fKRzf96Mcb1q4ex+vI71S/HuE3cczp&#10;415kl2vmXzNurrVgyDPjluqP0oV07a7r1pORAcnT+jWrIo+ZZ/21f/n14tbNm1HmiFf+k+F1FYvR&#10;sfktiYyjYyPnpKtK282+63nPrO/ElUuX4nk42DOsfs0ZwuW1mC03sJk9scv5fGHtF/sqbFy3trRZ&#10;I8NVe6qq/7jrrO6EDLzw/POl7vzjH/2oYG5IVb6T4XWOifQZzuiA2dgTc+k8fGYxtdPtbcez2deP&#10;tbYlmwOLsXmcO3u6sdbcMLpME8LOnz1T2kKiTSSsU1+0cEH8fYgN5L1r1yr7TVVf8jBnd50MSFeW&#10;S3r2gP/Hv/lPIq///L//j6by1g1e04/gNLyOvyXNGhr6rOvazumJshvZ0r1Wjtj/lHUuYrHs06wN&#10;iGOOgd+Ks2ONO7aNrkmXDZt9zJgv8nmYU1XX/zzeGT0ZGYDVWgeDHYQ94snP8tzm3w1e059YCyZe&#10;sze920Sc0eJsp13Odcf+HHksPXrEvXnzRpy3RD/gdx/2ubNhfS/n6rI/H3tjI5+sO2edLsxm7zLW&#10;xnzyycfZfmP7kPud2a3KgOXw1i1bSr2a9ebHjx4p5c2ms3l3i9fYsRmv0VwR9VGrEynMXWf5ZGRg&#10;xcsvhbHthp1aenV0jU7NXA/Gv9lrlXN14Tts3r5l85h9sNHFpWfwG9H2Ffc7lycrA+Lw3bt3Iqu1&#10;h9OeMBeavIlXmqpndYPXYjL7OOhsEPqT+qS1OyrMXWf2RGQAfRm94FbQo9GvU04rDDs18gindd4M&#10;vH71/PlRO0m4H57beSE3wtrHqn7jYc7uicpAuh7mp//3r8Zwerp4jY790qLRuSL8Hp1In+zne/Tt&#10;qnqHqriqsFbvrUrXLKzVZ9k8cvfkwlu516ap86fPWR/m7yFXnO3FGV+slWH+9MlwthjrEfeEMUjZ&#10;pXHhNWfRoEdzlgHPkz2bvfw4m3Tn9q2ljo1OPtF+6ffNbKan3OX6VNBbf/9bvx/HFv95WA8jvVqy&#10;kt6jcLnd0K81JiRX+sruXY19LaVfK76uj/ZTPDzR+1Fu+44Kl6v3Shlkr5ultemq8qqKV7qcq3vk&#10;Kp2ubXlsmNI1c6vutemVnw2r8rMH5JFDB+OZX6uWvxx5LPuG2ByvR84kIGxbWKfIPGsYrXFH9Am7&#10;FxRjk+zzhM6OTQRb3s7t25zXvkZmQjJg2Ysfvfr3vvV7cf8m7CCLgy4rDrfqdprXts/Jv3nD+ij7&#10;6C70EYVX9cVBC9O7yuX9rL/ufZUWV/5cHuiWsObN1xv7N69dtTLu48wcCMbU2K9ob7CTMRbM36ED&#10;++IZE5xz2/g7HucWxTzIJ/y9Ff5os9wz0/LbMtq4XDhpGmV+LbqMBVIWlXFHWGfIeyxdvCjO5+fs&#10;OViKDoB9WZzGxsH4IbrxvnC2KHYN8nojsB1GoztLjxavtVeIrg+HbwD3USZYzXN8T76ZrSO3ylGb&#10;DjaL1XLRq2E1vMVdEuSZ9bL2vlb8neZ12kfRqeiPGsPZEH6/EmbTDaIfPh0Jc4J5t2asavbu2PxP&#10;hXMH2UeRNR3YX5e9tDhyClY99cTjZb1Sv8xrIJw/jRuo3se6Y88bV5wY1dgvo8Gr0bjRc8gVhmuf&#10;qWfnXLsfGPfqeQ3/aP42XM8aDZsVn4nOvDeco86YOjrye2Edubjb1NX8kWCrZm+oeA7NSBhspj3Q&#10;3/Xc3eGsg1b6kadxrqcyIFZLr4a12EI+vnev5Hl6T911p3ktNskVjxjDV5+zY4+KHxRX7803asGz&#10;z0Rucv4ODOPsbpgr9q5fs6rkK7/Dmffb4ESDpy8smF/G655DB/bHuRDUIXp0rt7EG1zVu8Ia141n&#10;NLguf4OZ8Lo578fGK3+5ek7q2ufWpeX5Ng36NGuwqCNrwxjHZvE4uJorEtMoPHCaa+LYkwydW+n4&#10;DUJ9ak8+nn/44EHntdtDJiwD6djikkWLyrzE8zpG2/hO89ryA3bpjzGhZ59+MvLoqSfmxDEhm3ZQ&#10;/OK13gdbQvy9H/iNriy7w6mTx8Pv9ZNlHDod6VRfuh83zdPGNYsfDuNv5Itd4OD+oWLLpo1h/PeF&#10;YEtgTy44Lj7/rJgz+9Fi+dIlwb7AfGTsJ40/ztbibCxsEvrT9ZoQ9vKSReGbsjB+V/jm1P1xr+5X&#10;fvaZrFHEFoJdgvpizJB4vl2HwjkxzKcex+gRBo8LTxidxjOvz4ZxzgH1Ccf1rbl08WLZv2y/cb/r&#10;081kABZbGwhji7A6tYG0y+xu8jrlij27lH6exvv11M3pYz4yOj86pNVj4dSuMMamtuBbMV32Kz2X&#10;MvDdw1bNGnGupRNb3pb+Gk4rHWsY5cfle8Z783uowetZYY3jZ85r168rZcCy1vrhuF23CGMnMrZY&#10;9T2YSl6jY2uuCP0B+6G4QN8UG3AV7m53GC4WoseiEzeY3bBBoHdjv2IfaFv/ahe1k43rtF/yQL4q&#10;K/4D+4bCGGDjfMbIbKtbW05bv00z4mff1GgP4TqkZW9rzuU9d/ZMqVvD86o+42GuW0sGUk4TnrL6&#10;B9/704LzYnTPZNyp5DX9jTlTq8M56o3f4z+LugzzZdXfxQRdu9sdXqf1ev7cmaBfbojslu2Y8cxt&#10;Yf0f9hSln+r24XnpM1mTyFiu1Y2jP3D3QpCld4IuPi4uYTb2f+zUSscZdow38s58u1a8vLT47DPX&#10;rSfDlkG/t4rV6Rpzza+uSjuR+plKXtPvpCttMHtW0kf4fQ4TrF4lRrjbXWaLiap75jbLfitXtt2p&#10;agvKovLomVzjxzbCuQTYt0sd2+jTp0+OhJswcVkuurO1qfAbA1sL78sequpfcifSt/yewdbDU9lg&#10;7EX77DG/es8ro2vMOyULU81r6UqcY4ruJn2GsX/0O831VR91t7uspn7VJrausV0xbxv7lcYm4Rj7&#10;4DGGadNOld+WE92Y8vBsMVjzq1m7WIYlerXCNdbI+CW69pzZj5Ssvhrma9O/0v7YqT7n+QwWx5ET&#10;u3/1f/3P/6VkdaflaKp5XdW3Nb7D71D4wHeqKp2HdZbdln/N6pY5iHxPpWvb30PN7ut2HOMfzG+M&#10;DA66tHRt9uJjbozYnLqsXd+/d0+MZ/3Q2jBnBRsQ/Pc9VAeLpVPxbWQNAhxFp7b7V8PxTn/zp5LX&#10;uf6Lfd6OQ8IF1qnl0nt4Z7ndSn2mNhLaCx1X97bKfqXvhMu5i9icSx6P2D/eDTo346hleKJj89uB&#10;tel7wv4IrLtZuWxpnM944fzZjvevqeCFP2P6vjE/CXs1iaG42r+6W22iZ+XyV3wn+lezPLCDsF7B&#10;cvv5+c9GmwnrI3L3wonpYEWuPP0cbuuR9tCccNmo3g5jxczJRL/mm/rcM09HZtv7pur99cz1a0bO&#10;azT6NXYR5v6N43UIx9bBWbqsXycN65A2hDW3G9auKVltdSLrz/URD58+Xk5V3UtXljzwO+x///h/&#10;laz+4Q9+WKA/dLs84nHuOYqfqn6IXZvf3/BAc8xgOL99Nd6ksmhMStfudk7vRgfFPsAcbdqCdfDn&#10;wlw36hi9utE2jfU2zLEjHIambdTtNtm1Y1tcZxTZPKJf4ydcvMZOQrmkTzNXUftC3Q7n5B0M63D4&#10;y/UBDx98HrfSxmI1cv7D73+vZPV3vv3tyrNxW8mz3TTice4+xXe730lf0nOwYcMJ+4ediH2MlQY3&#10;vc/Gub99fsM1cZffO+LvULDz8t1kHgXrMPl+2rZhnqbu7Wa9qzx6Buc2al25+IzLGCLzRPHz7cG+&#10;JkazjhO796effhp1auaKYB/J9QEPd14jA/CaM8u/+fVvlqyG25w9IBkR03XdaVc8zuWrePWPbrhi&#10;rlw9I3IhnNHEnhFaO8241/KlL8W95fQ7Pb1P97vbPq9tnbEmnWvVL/WNbs0cEdaIY0MQs9euXlmm&#10;s3l000+5sNmwz0GcG2L0a/Yq3BZ+p3HuF5zG9gGXjx89HOcBWnmH38NhfLLbfc0+0/399w3ALvvv&#10;/u0fl6z+6U9+OmZ8GvnptgyJxzn5UXy3+p30JTGh6jnEoc+hX4sPuOh77KGE/lR1n4dNnNdwkL2f&#10;qUPqX+0jF9sI++PyR1vwHZ2qdlAZ1L7MxeZbIv2asUYYjX1drD5y6EBx//4XUQ/SfD3JPPYRzjrQ&#10;dbf7nJ7jbv8wOx1XhEVp+02F3IjH6bN1rXj1jel22VuUfYLoo2I36xwIw4aCTt5OGdO+3869g5hW&#10;9YG9gP2xm70jujb7wNAO/P7Bxt0sfV2cnt1qOtLztyLM7xgKe16jSzN+iC4Np9kjirWZH4S9r3/1&#10;5ZdR97l7506020i+cSk/+/BMRX+zz3V/7/C6qu0Jw9bxo7/8y1Kn/g///k+6PgekmVyIx7k0iq/r&#10;Q1MVrz6NLrdm5fIRVvxshN2NfUEJZ5/6qSrToD2HOsZGAOtaeTfWPurbqTHJVu6zadSuCtM1Lnt9&#10;6FrxctetXhWePSucZ/BiqUtjBxkO+jLfHPqc7YuMjaZ7pFF2mybXFzy8d/jaqbaoaneF3Qpj0V//&#10;2jdKVmOrvn0rfPuDTHXq+e3mIx7n7lO8+kcvudhSmEODXtfQ8cRtbCWz4zyTqrV49H3+ZIvppXea&#10;7rKIi9iaGENstTyPPfJwnDPC3J5W76lKp+dXxSkM2zR2MPaA1XeCeSzo1Jxf8PNPP439CX+6v57d&#10;w4l+9+knn0S7SU7+PXzwGK02tdy1fuK5Zu2L+Aer2cs6Tae8pspVeXLPU7z6Si+56tu4rLnh9zvn&#10;+cEay++Fz82Pe2UePrg/nm+ld7D3K8zdq8XpUyeKZUG/pi5UR3X1gu0Bmwh6bl3aNJ5n2OdYv9Ky&#10;xpz9Thlr1tpx2hi72LowB5u4L75o2KfVp4avXC7u3Pmo7GOwmXU/xCvN3RDPb4mc/Hv44PK6qm35&#10;7bUhjKX/4HvfL1n92OzZUT4kM1Z+qvLoZph4nHuG4tVvetm1v5vtGdeNuSUNWwnzhvVbH/26ig29&#10;/I5TUbZW9wih7vQbhXl+8BM9dzJlTNuDffPScWaew5gFujIMRnaZP237E2E3rl8vbty4XvY19G34&#10;TZzSvnftWjj30fdNzfX/QQ1X+6fu7EceiZxmbTl7NzFXNK0D3ZOGT8W1eJx7luIn0we7da9Yofzp&#10;67a/Y+NmXgnrPujj/GleINyGLYxRpvs8K7+Z6mL/b+fdaQfOmJksr8V/2o12GT0fbew8fM7gTff5&#10;OBjs0lUyPPxOY+8m4sjTpqHfEe9rZWaWDm1lwPrXr1lV7q8H955+cu4YeSHtdLKa54vHttzWr/h2&#10;+m8vpYUBzPVi7Iy11KtXLC/XU4vhzEVjzynmmOzdvSumbdV2a78P+NNr6sKGNasbpZOrtFynYYqb&#10;rGvzZU4bujXncbWbL/YQ6lP2EJVZbrP8aJ+Tx4/FvUCwd9i5P489Mit+V/eGtoPj2KNtn5Gf+SGS&#10;W4VxfTWsP+f6i1/8Iu6ZrTS4hF98881g/zk5Jk+bxv39zXIrC/h1LT/uhQvnx9g/sIVsDzrBgwf3&#10;S5nqFTkQj3PlUXyz/tarcbBCNg+54hN7J2MXEbOZYzDqb+hz6Hf8HhK7xR7l1ey9SdMsvirO5q94&#10;lVeuwjvl2nKiV2PX0LPk5p5l4zVmUDXeqGfY9OQJf7FpqN7tGnfC1gd951qox1Q2bZ9TXE5Hvjo8&#10;HPtotI0E+4jSy+V8A/ZA0LW7/c3nXPtJZmw8YYx7fcOsV/zxj34UZaEqvb13uvzice75is/12V4P&#10;TxmRlhdmYOu2NtKUG+jf2E5g0euhfavyJExc4hnodbhVaW0ZuEdprN+m6aZfz2aNCd8n5tu0Ww7O&#10;mhBzT588Wfvep4IuzRqV0XoeexY6+25bewd9J9d/FG7t11aW4TTXtLMN130nQllujti4bbz7B4/b&#10;anPaFv/ZM6dL+wKcYw4Ic/jU9ja9wqbbFY9z5VB8N5nR7bzFJLl6XnrNPDHGpFiHzRnesp9i826w&#10;paGDo0uydm55YA7rsneHfTmZ64vOzp4VWrOj/OXqua269j7rb/X+XDrlJZfyrlqxbEJnRfDbg3rS&#10;3BDlybPxE0+dwuClYW2NzqfQOAJ1uTro9czbYOwvPYNLfQbX/qXyyrgkYWka3Y+tR37rHjp4oKf7&#10;Z/qefj257whtzxzqJYsXFb/9W78bef2Hf/Cvim1bt1aesShZ6ZV6F49z5VF8ru/3cji8SHVFhbVT&#10;bliMPogObrk9ynHsJ2N1RPRNxcu2Kx005zKfWHo8Y2OvBbuaLSfvYq874ac+4nyZM2PXxrTyLOzO&#10;+qbxG+RS+N7pPvjLu+hdbb0RRn2yx1I6P5r+0UofURq5Vr9WmGSa63SvS6XZZ+zeSu/u5JjYy/XH&#10;HiB2DQx++lEvl9mWTTy2Ydav+E6wYTrygEedeK7yod+jR8Nw9tdgjHJp+FajbzfmoYy3g0uXFLva&#10;cdFH2QecdXwHwt5XnOOt91GZdD1RF5Ziw+V+5Ykrv/K11+jNzNHWu7y4cEEYq1wX2P9SeQ6i3pv5&#10;0ivDvPh94UwX9nO/d+9eS0yWHMJW8VVhqZuzXytdaqNWfpwzozTuDi6nsXMsWbSo+J0RnRqu/b+/&#10;/utod5MsqP3Ta4X3gise58qiePVZd+v3UMJWyn6e/MF21kez7wl+hSl+1D0Z5x5u2bg+6qUNXV52&#10;GM1FbKzfZD0n9mbxVTqtru08dNtelrc2nHFG5WfDrd/ey95JVb8nxG74z99qbCxXGnYI9QG5OXmb&#10;aHgdr1P7tZ5j9XKFuduf3M7JFnPD4BhzqnHZDxUbXZo+ve5FORCPc2VTvO277m/ObPhp+Wb9tu5s&#10;uPUrDeN4rLtmD7yGPWHsPGS4LVu57sFVXnJtXJUflmGzYe1+s3uIpzzYPiyb07k12zZvimN4yH9V&#10;H1CY3JzstRMuXqd56vrKpcYcEF0r79x9ine3P9mtdmMN+Xf/zXfKccU/+sM/ins4pXKg9L3uise5&#10;ciq+qp/P9LAqttkw61ddtRqm9Ljwn/2rOBsWuwJ7ozRs4w1+z5/3VLSXsB6fPfPgL/fZZ1X5bRi2&#10;cs5C3LiOve3Wx/FBzitg7BWbz6jtflTn///snfnbVMW17/efcu815yYacxKH5EQx5ygGldwTjQPG&#10;aNQ4ovE4gxNOYOKEiqgo4oSoiYAiOOEEqDjPGsUxKqKiJg4Yc/To4/Pc/anm2+/qeqt699tvD7u7&#10;64d+VtWqedWqb9deNVEP1hCxC3HPE2cJ7T13oTEhnmhM70bKF+6Szs/7H/kZSNYyxYfKjT1E7pGW&#10;meKXB8vVh7Zvr7riyur5F/bsTZ40uWZ/qE0T0psy9q/wOFY3hVv8SO7w/NraJZARuOnzRiI7i6dK&#10;Jx72C2zmmufW0sraJ/Ng1vzsj/mxw+HcRsP+RGwhCrd7Gmvzq6ydah59zZVzHD7b8wTS/ZgetZtf&#10;z67Buij3hPh1oM7Y1Ltdd79eyd/8/wB9yZ7q3XfbtTqnHr/D+OBdTcTttb4XHsd0ROHCi0SHsFrY&#10;KZn4fu6e4j5mhRdRYbuoje/nTRj/B+wjAT99fBW2+vwhu0rtfhbL99OQF/vuFt+80O0r93UlpPP1&#10;xkIovp/nSP3ckxpKQ1lgue5Q9etl9/OF0ide89jZDdmxp9ru/9h0k83ct6nqYnXPuhVedio8jtVT&#10;4RY7kjuO2VY24Cln4G/J93JjZw5hro0/Gje2Zd4yxDaxJH/vGxvGTfNvdOcVObPIDxs1Z7054z0c&#10;k4fWNC+75KL8zrubspU5BmJf4Yzgt/l9/9IRq+dyiyoOtFGeTdOs27dr2LI5q279KoN3DJ5M7zZW&#10;+1VyKQP1+8v3U0fLY9/R9HPPzTb50abVefUZ06a5ebVtj01j+b3iFh7H6qvw0WDJoKX1cRnMAx/Z&#10;H+KHhWQTigMvNO+26W06xWXNkjuv7F5oYTVz6sq8erqbo7MfmvOAVqdj7pi+dItv73uizrbezL2t&#10;X3Vc/dab7v9I/kTLOZcO9R19Jf6SfM1FOAXlvXJsIv3Yn2pnrG0Kt7iQ3EPza18WFjNtGJgNZrK3&#10;SHFEbbyQOxRPPFHm8vwfrFh2r5tf6ywhtgzhMpR7SHk/iz0cT+fx38nPzds7ou04sG6NDemJ7xe/&#10;W/ThlRV7CPXST/XXXVCqsyhnepCb6iy+/Il2F7/Vj6LqTyj2Lc4kHnH4Edl3Nviuw+vNN908u+qK&#10;K9w5RZumn/pReBxrk8JDOJJ4cdyWbISn+MEG7r/Dbfl+XM2NY/FsfMXVnBlamTMP2TdsGOcKsXkz&#10;52RPCO/T2XEQ04Oy81csu68Gp219tXfE4jFu5MD/leLacPES7T5mqw9s/xyf38skbILyHi579xS3&#10;X6naHGufwoURiTaO0T4mg6235rZlYazCRUOyJa4Nxw7OvJC9Hey/Du2zq8XskK16OI8z6eAaNgK7&#10;NufrhR0zflg3/Y+ae0BsPdgXgsxC9abNn34yfN+ITZ/c3cVrX/7MLw7cf78qVnMGxt6pF+pnP49e&#10;9guPY21QeAhLEi+O3RZjrZw466gwcIR1wrfzs+DiKS7nvcEg9j/fmd85yrlH5ubc78r91M8+Xblb&#10;inikIQ5rjPwWrf9V3AvW8xZU1x45N89P647+fJzz49huluY2k+dy+w1zUN7aYixoPIjG9KbTfNYN&#10;/bdjqAN4zX9QqL7sq1m3rjIns23rdN1TecX/CZwnX7J4cTbu59s5rN5ow42zScdOylbkZxLsnv9+&#10;l6XwONZOhQtHEo1jtGRjsde6CXd3/+V7ntmnwX4NcJG9cuyDZm3wyccfdXNm5s3c86r7TZV3Kyl1&#10;4zw8e7mX5PtB7P5ri+HM12ddNNPNv4WJvr6E8NCP004/6wPgsl/Ghx98EL0vlXYRv9t19+s8aP4i&#10;+fNfLBwS5U7MQZMT7VX7Y21XeCtxot/zkg0DPJTtQ21mrx3f4cyrxdN732A4992BoQrrBLV1xMbO&#10;HF737lVs37X2E+4PCemLP+7w+7xQulbwuHfthXzvrZ8X3wZ+HVQv1mIVJuqnT/7iuW8rZBSSPzzu&#10;3WEdERzC9sE5ReYXrSizF/MQHsfqrvBO4EY/l4Hdgv3QrIupnf7cmzua+cXCxR8tteXG3JTxWm6v&#10;0Z5uvacr2zj2FNYsdW7QjjfrRq98f0zXRsPnHcYH76+8CabyoMJry6Oc1bmcebsMvsJGU35K2zpc&#10;pz+wfYzffnx1Pjl2m7HZ1NOn5fOfdx1W234bpP4THsf0TeGjxYhBSu/Pq8FqbB7sg5Yc7JzWj28x&#10;VPHbQf1yi8rANsM650zvvifOcGqN0upRJ8cR/xt8t1C+LZezPqqT+FDWDhRf4Ym2DnObleW7a9bU&#10;nCUHf4456qhqHypf25fiDQIVHsfaqvCisZzC43Zt7lBib7RkBE76mCy/qOK2mxaVFwrn/4e9cHMu&#10;m+XOAWHrxhaPTUJrP4wnjamYbrWSz7sHzPnJ05ar/dWWRxz2wvB94MdvZZ1SXo3jP+fIL5p5UfV+&#10;6h9s/EN3P9OKZZX1RMlSeiUq/qBQ4XGsvQpvN270W/6aP2OLvuvOO5wdW7xQWwkLYaONWxRu4zbi&#10;Jr96edow61be3KPEOmnFxl3Z9815nM8+/XTYfCimX63kUw//PTHsIZTh4zX/N9qX3co6pLwax2jJ&#10;6pyzzqzaPcAb7v8Av0P9pjSDSoXHsfYrnDHKmI3hSmg8a1wPIpU8WLfjTGM/y4BvB+w9wm3WVGP6&#10;1E4+e22w/6sMMFp4LR4UPraQ1SauDU/ukWNuMzJjjBxz5BE1WL3TjjsNxLmXZuRFGuFxLL3ChTfC&#10;IfxyiypOohXZIBftj+53mbAXkfW7ynrkuRnY+fHf/+aw0Z/byi8a072R8m/P96f/Jb+Hm3TKW3gt&#10;v/IEr8F2n6/wREeP2ZIt1LqZvxw/+bgq9nCe/NCJh2QL5s93++EVN/XB8D4QHsdko3DtEWZ/jX3r&#10;L/SNn/C78sZAv2N0qH3Yf7QeCWbH9KodYxL7Bj+bt/Darwc2d//eFD9O8g/Hi5HKxPYFac8+84/V&#10;d7n0PpfWEZS3n0b8RBufX+tbtzJ/Osd9T7IPEmz28TmE4aGxnXjxNcpelg3nMDXPXpqfu/THWbvG&#10;Y2jPB3hNeX6Z1E/18sPET7R5vLYyxc08z54jZx54zFFHOuyQnIln04mf6FA/aP4ck4nCb87XlWrP&#10;UFTWl5hL3TDvWrdfgPuDehln2lV3//+sXeV0M1/bRr6/hNmcSZmXv53Om1ztHo/cZ82bO1aXhdeW&#10;h5v31KAJH4awwJfRaPzI9asvv3TnxQ/JbR3CEc6RH3LwxOzR/A6cUP6pP+r3h+QYkh08P/zLvA80&#10;j2EsDs27K272C9jzeYM61xZ+QeXuJp62o2y1K9RGeLctWVzVD95RaOdYVN6aN8uv/XxWv9mrbW01&#10;imvjJHd93CiSDzYO+84LOMK75L7toyifFF7bDz4e+/KpF772/ffdvJo9XP59E3fne9jqYcSg4ng9&#10;mfRLmHCcO+N1/zY64u+183WtFX7m1//4/PPqf0PIfs1+Q52VAasTXtdiQr1+qCcrwrjTlPeJNvze&#10;991cTzZq7qbRfaf18qhXdgobPn/2ZVIPrxX3y//+7+y1V1/Jbs/f1eZuN7CbH2Pn9nyO9fKqFx12&#10;axz3Cy6ldhTb359+8gk3ftEH3lAQlmrMikqXRkPJizcz//63v1W/ta09hHB+Ogsp/2jKHKS0yEvt&#10;9d28x3X6qadVcRrc4Dw5Z8hfzu/K8dPZ9ApLtPh/swiPi8KtzuNmDsUaPbgtWwl7S3hfL+FbMb71&#10;g4z4X7bfT+z1q+jC9Iz3EtoxVpUnumfn1LrfxGIBPO4Ot7zkjmOFZBuT0cknnThsz8ell1zs5GvT&#10;Wjd5+f5Y/ok/1DdFeBwLR9aSd4j+Pd97i83yystnV3GbdcknH38s41xcP+BSakP8/8f/llq0cEH1&#10;uwssb8d4RQ+5o4/1ldgYJ86ad97Jlt97j9Nf/PrF0iT+EF4gC9YRl+b2TtYNuTvvf/+vDZzt47d7&#10;/tbd08QdIMRDrr7sQjw/TvLXytvKI4bHilMUrnjqB1HLv+eupVU7JvZM5tvcV5zwLo53/SAbYTb4&#10;zBlIfW89nu/tkn60ikrvmAugW/KH8mf+bde96sUNpR9EHjICp7FD++uI3J3Hfj0rl3oyVZioTZfc&#10;caxGNkV4XBQekq/fD19//bWzkWi8gtnczcN3cj/gUmpD8f8O+zTU/7ffurhmbId0qFke+5f8t8F8&#10;feTOPuwmzZYxiOk+X7cuO+iAA6p4IVw46ID98zG8pu7/4yDKq11tltxj+ReFx9L5fMbMe++9m69J&#10;LnZvdGvsXnv1ldkjD61MuJ2f7y8r7mueLFpUTxvPurEZ0+92L52vJ8360S/h8kMrK/fuxfJifj1I&#10;eC25WHlYnnXbOOAw9+PZ/dPgwditx2YXX3SxW6Ow8ZO7/ty4FfIpwuOi8JHUQXrBmuSCP//J2UiE&#10;25zFwe4YwgI75kPhidc5rLfriOoXeLjlpz+sW/3DPdn0t3+mZSQ6FIsr3SL84YTXNd8Oko2olWGI&#10;R/jMfL8AY1/78aDcxURf+ml8v80/uVuL4UV4XBTebH9wXzF7YLX3DxuJw+x8748d69atcZ9o5/BZ&#10;sqYfhMvwLG4rDrRef91y04K24bXVw4cevL8Gr2wY7kGbX9v2h7BVvK+++sq947nDdtsNs3ucdsrJ&#10;bv+04vp5hvg2TnK3BreL8LgovNl+UP9++sknbh+J9v9xvv36a+c6G6TFgeTuPEZL5sJg7rPjbjXe&#10;OmVfPWei+DFv5sfbM3fedusQP/dz9/d999yVf1ffm68zz3D/z7zbLr2RHsg/Gkpe/Hg/vl4+g4bX&#10;krHkg2ys+/nnnsumTZ2WbbvNtlWc3ig/78L+D94Q4K21evK0+deLl8JGj9lFeFwUPtI+kJ6oj0mP&#10;m3Ui7JqyjzDvZr6ts+3CDGFIop3Fb/ZcsK+HbyL7Vg79oHm37SP2abz0lxfcPgzOsFx68UyH1fTv&#10;izlf/T5S/akXXzqlvR/y+2kGDa8laysP3EsW3ZT9esJuVYzWWGcNkbeC/PjW78s0+UePxY3IUH0U&#10;i1sUHksX4of62/KwkTCWWZPUfJvxzVuv3AXIHoNGcdpiR6NpeiGe2iXq1znG9+P5fu5oYv2A3zNP&#10;PeH2yTNPfWDFsuzupXfkd1vPc2+6v5G/BQZ2P/XE4+vD7szuuG1JtvDGP7vvIvb9gOv83+q/F4p/&#10;3jVXZ0/l5x2//fbbGiwI6cpIeVaPVj6wom7+/YDXtr2+rGJhn3z8cXZ3vrd26ulTs63/fesqTnP/&#10;9G/33Cube8012UcffVh3Lu2XlfydwWnJuQiPi8KVz2ipr2PM2bhzojLWz62OfcaixaSQO2Zb9TGq&#10;X/1WJmojvFfztQHOK8l2wfsCV82pnGey+MrddRZrdQdIhTd9PRbX3vVVm75yFwFz8RW57YS9GNyd&#10;N1odaTT9gyuW1y0LvNYcnDx93Wu0nG7GK6qzDefeDvZNc7ZF41mU+TVz6W62JZXdOOar32IyKwqP&#10;pWuUj15Z3bLpsJEwruxcG8zgDsC38rk2GCRsthhl3cKrXqW2jWpDiGfDmP9is8CeDGZiZ9IbAhaH&#10;hzDWYq+P1cP9zKE5V7745oUOi9mPyX/B6rfezD5YuzY49mN9bPt7NG6bv7//2s8XvKbOSiPqx+sF&#10;v+ou6td52b13u3s8tM9D45m9HhanY+n9/JK/cWxth6zUf7G8i8Jj6UbKl76I2vR8o61Ydp/DHeHN&#10;pRdf5Owmj+X36Oq9GzCrl7Ha1h23/KLYg8Dixx992K2psZa3KN9zMT/HzmuunOPOIF14vua/FRvE&#10;ECZXcJe5M3jLnrrr5811+yqxP9299E63xgvWsaaIXYr1RdaauFuAOzfs2+f0j99XjfhtHOu2/d2s&#10;m/z4PZK3gbrG8vnoww/df41tQ6vrEiu7FXy101Lypc3cu7Rk8eLssN8flm2e31+q8Qvd/3f7Z9df&#10;d53rXyufXmp7K+TXy3moP2NtKAqPpRsJX/oiatOKJ/qXF56rfqsLi8CfZ59+umrb1vqX5py9QvWt&#10;oPpyHylzZL4naKP+q9RunypclHm15sC8JcH8V3JExnKLWrnbcOsmrh/f99v4Nk/FE43Fs2macfNf&#10;w3pnLK3u54uF9wLfypD6ch58zz32qMFnjd3jjj2mZi8eaf30vr8XZDCIdVSfxtpeFB5L10q+1SXc&#10;n3326fq5du13PDa65/K5oY97wr8yU+bQzJ8fytf4sGHQFuFujAqvCb95wY3ONgEu8y4h8pfcoNbd&#10;bN8oj2bT23S2TpY/Grfqp2+DWF7gtX9PoNLG0pSRz7rt0jtuz0L7pRm37JkGx2Nti/HL2NZUp4od&#10;pgiPi8JbKUerPzG3yvvmm68dvmGHvObKK2qwjX2A99x1p7MdtOMuQNknmsV/3kx/5uknnY1nyS03&#10;u30T7KkI4TJrrtgueI/trnxsMv4q88fcTpHf82y/ayWbRqjkK2rThHg2vMg92vRF+ReFY0vnnr5Y&#10;vH/+85/ZFbMvrf6ndaO+zZTp7B152+7KbVdHH3V0ttWYrWrm0+O2Hefum164YH7GWyKx9lN2M+XH&#10;8kv8ztm0i/C4KLzTfRXTsxeef869Ezgc86Zn9+Z7mMBW2UmEtz4V/oovf4wWxSOcH+ViV2TuXNmP&#10;UWtjrtS58q0APnMOkD0Vf1u/pyLW5k7LvlfKYz2x6H4QZG7bU3YZL7/vHrduqPEoynuIzKMJVxtE&#10;bfuSu3OY2k5Zq99jZRSFx9K1i+/rou/nfI32AVrsZv6KHfjl3CYs3LZ2E2GrsDkUR2EhKlyG2nDW&#10;B3XPEfUZsmEMYTZrhXwnsL7HXYZWdmqfqA1L7qExaOWj/R/15ENfkMamqxe/U2F+fa7OdcO/v1Rj&#10;kvfFWRu2dVN6URuW3EP60quyUN/H6l8UHkvXLr70UJRycOuHn+/GN15/LVuen4HmDaqZF1TeugEr&#10;2T+BfYF9FcxJ2GvBviaLsfXcPh4T1/L4Didf7BxzLptl8LmC1ezJ4Hw2d0Bjr+bdcNsGuaH2Z9tn&#10;+cldkZPkA2X/B98o9WTDWiz/j8QhjaX10o02zNZT5arsTz752L0nfvnsy7N9994nY+6s8Qf9f+N/&#10;4c66LJg/f9h6qvJVXjbv0dY5pa8di92Uh/QhVoei8Fi6dvJDuujzrP7+4x+fOwzFZqk5N9hdmesO&#10;rVkyhu/K92MwR8e+Iiy2eOxjOXGX53tcOYOpvEU1l+ZcCucG2U/uyyVUbz9O8o9svITWE30ZsqZL&#10;H4vv94P47aIqjzcA+G9nrswbtf4+afbkTT/7zIy9QkoDtW6/jgrz+ck/Mj0qo7yK8LgovNNtki76&#10;tNF6sEbHeh37ubnTlbm2Pc+HWzgL7nLvBXvp/B9vQNt4cnO2B9znPiTwwL79Sh1Vb1tfy8Mtv09t&#10;muSOjz3hdUxGyBX79gPrz0FKzrH4reJTDmcJns+/wS6dNavyntZmP6mZQ3MGcffdJmQzLpiRPZzb&#10;yL744ovgfwp51at3vbBWtSflE9fBdsmmCI+LwttVr07kK53mzW6wFTsGWKv5cREVRoP5S2+/1e1J&#10;kH2jE/VPZYTHC98xrGHUk8/qt950e/picaQbofBGwvw47Ov5/cSDa7BZY4s5NefCOYsYKi/xwv08&#10;iHKRzsTaXhQeS1d2vsaTqOqLn9+HH6x19k3mYbEfYz6011l5JdrZcaa+hPJfW0/+9B3/s8RROt9d&#10;L30oTPmIcm8H9/7b9UJr78D9h2mnu/UPm5/SW15yd1aXyirvIjwuCi9ru0ZTL8aLfvXy0bhqJG69&#10;fFLY6Mei+kKyLMJr4nGnyv/8z1fDcD3Un5bnl4V/3brPsifzOwvnXD7HnQUfs+WYYXPpbbbeJjvi&#10;8COyGTNmZo898kjNeobNn7r5ZahdiY5eV3pZhkV4XBTeq20PjQef5/tDbbVxrDsUN/E6N9awVRXJ&#10;mzOO2LptPPpQ/SiqcIVZPuvMe+w+YRg2a9yA25xVtXcrKT9Rmx883694iXZOf8oqa+lVrH5F4bF0&#10;g8C340pu0UFofxnbKPk3Mr/mrlf2aisN7ZFbVG20fuzMB+6/Xw1Gy84BZZ/H6fkZFu5u4Y2tUL7K&#10;TzRUjniJJpyWDhThcVG48ullascMbvlFY22zcWNxEr9zY039BS3Ca+Jw18pL+S/WR+zlYO2C/dBT&#10;TpqSTcj3bfh7onk361c7/srZOeZcfrmzibCnw9Yllr/iKNz3i59o53So7LIuwuOi8LK3L9VvMHVd&#10;eC0MFPX1wb8rm33O0885K/uxdxepxgGU+TP7pW/Izz6xphjL2y9rUP2SD1TuRmShuKI2TYhnw3E3&#10;EsdPU3a/9DBWz6LwWLrEH0yc7HS/MyY1Li2V/dryVDfutfvwgw/cGdg5l12aTZ402b2HtcVPt6yx&#10;caD7m/xoMxc2+djJ2dy5c93eabsnWnnaeog3yNTKQ32APKxb8hEvlMbybHqbRvlY6qezYb3sLsLj&#10;ovBebnuqe2/+p2is0n8hNzzeMLP9yzx45f0r3J7raaedmk058YTqT7Zn6frYbcZmnIfi7TR/3Nvy&#10;/PJteYPstjKy7kbl5aexsqwXZuP1q1s6GmtfUXgsXeL3JhaWvd8Yrxqzlsqt+mMP+Th/F+fB+5e7&#10;e1xOOv64bMoJx2eiuPmdcfqpbk7NHunpZ59Vc+5beTVK/To0mq6f49WTicJE68nBj+P7lVZ8UfH7&#10;hRbhcVF4v8ghtaN3/l8YixqP3PPMvucbrr8+mzZ1mlv32+mXO7r1xpPWY7IwGnruWWdm1159VX6H&#10;9NLssUcfye7Mz6Wy5qj8RKUPtizxoIrnUxtnkN2Siy+Dd9escf2F/K+bNy8/d39h3m9nZNib+B0y&#10;8RBnf9rrN3s6yrvt/LBZET7lxClu/zq2Kd565xto7fvvVb+lYuX69ehVfxEeF4X3artTvXsHn21f&#10;sR7Inmf209lzg9JTKOuBZ/3hDDd/PvOMadnCG/8U3f/81l//6u4hsGXE3CEsCPFi6QeRz11pvB9y&#10;0AH7D1sbsH3WiNu3W9k0vLFzzJFHuHdN+1nOanOsjTZcuikaS5P45cZC9Z9oGfqLuoTq89c3Xnfn&#10;TQ479JBh4z02fn+3z97ufi7e8Ym1TWVxH9e8a66qiaewWNrEH67fVmasFXBvt32nLNZXwhfRrbbc&#10;ymE7+M5/MnT33XYb1veKH6KUe16+x4f9mH5f2XoqLMRTWNmo2hurlw3vpXbF2pP4lbGmvrTUupGT&#10;/JKZ/KKWL56luK1f8UV5h/O1V19xe5xvuOGG7OyzznHfvHz/brvNtm6eLP2zlD0bv9pxp/y97/3c&#10;tzTvXz14//3u/lvuJ+VOF/99RpVpqerHe3LvvfvusLFt4yb3EEarTyUT3dt9wvEnDHsDB5z+wcY/&#10;dHcOHnLwxOyPfzgzW7ggv3s+vx8TOxb2EXDV5ql+Uf4Kg65bt86leeapJ7Nb8zswsamcesppzmbC&#10;OrHVE8pFRxbdfLN781X5idpyVIbCykrVvlj9bLhtXyx+4g/pdVllId0UjdXThsstShrrjuUhPuOS&#10;dxo4mx2aK0vPQvOw8dtvn5065aRsyaKbhtk1VAdRyvvs00/dm8Uqu4g+leMGeRfFG9RwyRYqN7L4&#10;PMdO9tFwB6z6TxQec1zOgtp73216yVM8Ufhy+1RpLFUceLwBwvtovq0MvaKuOm9qy7B5ld0t+cbq&#10;GQq38omlS/xy4zZ9aH+2v9S/Crdh1v3PL75wcx3uc2a+xHyHu4xOy+c7R+b3GnGP89itxw47Eyid&#10;gn5ng+9mzIvcmlK+nsQc+4brb3B3P5PvJx9/7HDU1kX1oy6+Gz93gvAega2r71Y6KHjCWxa6C1dh&#10;fv5+HoPkRyb8+H5ZsXyZWxdknUB9CT5zlxXfOvQb8SSfkDyVX0jGNqzRcKWxZT2Un03lXOpPf7JF&#10;tZ7jtx/v9JRvO8UNpVXdy0Yl71i9isJj6RK//Hhd1EfSZ+yR3N/M3JgfNsV65/+kM1B/vszdSH+c&#10;NtW9qUKe1EHjpV59VJdG4n6wdq27u6NefipXcdhnUO9OJsUbZPrQgw9km26yWRX71L/cGevLRf1l&#10;+X7fheLY+LgVJ0b9+CE/+uuvd9IO5uK2jFDasvE0tmL1UjjfNoxVxhi6HbLlx/JI/HJjN/1Df9K3&#10;fL/y3djMOo90RXSf3+7ldIb9HNzVYfVA48/ycIsvanmxuJZPOu5w4t4Py7dum7f42LxXPnh/tXzx&#10;E630CbYs3+6B3YH9HzEZheTsx20kjp+mWT/6bduAbVt5dbIeKrMZqrEVS6vwGKX9fM/ulK//8E3L&#10;msKkYydlrD2wt5LvY/ZKLlm82O15ZY2BH29yYdPkxxoC8vJlJr+o6mj91k24/KI2jc9TWKsp5ein&#10;Oqlsn2/LVpwQz6az4bglR+aHTr75/ym2CWTOXUUX5n3AOg97WA879DDXT1rTC93THOtr1u7p6wm7&#10;TnD9rL2w1193Xd63d7r/8VfyOmDDUH1DbfLr30o/5TWC16qfysYPJvl8hQ8KVftF0a3D/+vw6pya&#10;/kePXn55VRXrekk2r7/2mtNd6Ti49dablXeX/XYgA5/Xbb/qHauHwg8+8IDcHrlrtd/EF7XfvdYd&#10;ChcPqriivIvE3I4fd+ow12NeL8p/pH7N/Le3uw8azT8UD5xR26DscZANgrv1JReoleFo3ZK98iF/&#10;5k7sm308P1NCXdAP1Vk0pjPiNxpP8VtBKVN7ToryI66t49P5ngPehbM86y7Kr9/C0T3pBPSwQw+t&#10;4levycWvL997sr+zzhLrOz9dLF6n+OqPWHkKt/XG/dwzT7txzHuH9Ct7JeudYVA+PjaILxoLj/FJ&#10;pzAo832La9aNTUe4LxxsN2UPv60DbuTE/5/aLKp2yN8qavPlvW3ta+U/gPaDyZxDkQ7Yvg7xbLh1&#10;Ezfk93nKs9VU5bz4wvPZ6rfCcyZbpuKL90H+BhzrlOKLKnyQKGuK6J90h7mT3efRS7JQP4qq7n84&#10;4w/VMchd5eKL+vHF7yYVJsTqYMOpv/2RRn7rhscdZvpOx/aBzZs9svpOv+rKq5ytRPsJOGuKHYXv&#10;dP34VmEfLt9g/MAa1WcQKPtH1XaoPaPL/gud0T3n7HOrtifky4+3tbGNYJ94d8072dq179f0le0v&#10;341fPLmtn/4VX/3v8xQuasPFayVV/tDnnn3GtbnR/G3apbff5t7thCd+o/n0Szza/Z+/+E831piD&#10;/infG0/belEefj/aNoBRxx51VLWd18+7tqrXtr02Tbf7WLgXq0coPFZ/ny+/qMrw/VY2iiMaiqsw&#10;5oTWfoB7yS03V20ImjtrTq15pT/fbYdfZWFXUD18uvKB+2vqX2+OW08ONkxuUckqRkPx4IX4Ng8b&#10;7se3YTZNp9y607qReiiOKHVcesdtNeO2U/UuUznbjt3W4Rg6W6Z6jbQutl9J6/vhYQ/Rd4T2Udh4&#10;1j3S8lsdP4THtoyicMWlTWqXdSu81VRlxfL161AUP5ZPs/yRlNetuLFyY3zJQuGi4peF8j/YTF3U&#10;HvC6V7/9m2l3KA375hn7vY7XtE39GmonPL5PhXPYBIrix/LpBF/1jJVVFB5Ll/jl38PXb32kcfbA&#10;imU1eC0+7cXt+8WXPLjzb757i/fTmrh+PMXvR4r9rV/wuqh/sMkK58DrovjdDFc9Y3UoCo+lS/yE&#10;193SAc51qGyLzeJZasOt+9V8v9olM2dkX3/9dcN52Xx73Z3wupzjtwiPi8J7XS9T/cupl832C5j7&#10;wIrl1Xkxe8FZ674jX0dkHzpzKe1FZ43b/dbfrQyfMwOXXDwrX7Ndkp1/7jnZvLnXuHVz8rV4bt3N&#10;1rXM6RJel3NcFOFxUXiZdS7VrZw6165+AUM5p8i5F/aZcvZd+iuqdSX5oSGezycO789wtrld9S9T&#10;vgmvyzl2pLcxXSkKj6VL/HL2d7/3C2eMOIcpvbXU4rJ12zhy23Dr5t435uv9LseE1+Ucv9LPmP4V&#10;hcfSJX45+7vf+kV2iZUPPpjt9MudanB6/A7jnb2DO5LZ+8+9cawnsZ6odKLIhb1c7727xt0DxN51&#10;zoxwVyB3vHHXxCY/2tTl/2/5fW/a99Vv8lR7WoHXVrbKt4y0G+uNMdnE+JJbER4XhSufRBM+d0sH&#10;2LfOuQ7Ngw864IC6douiMRFrB+eONB50Rj8Wt9f5rcBrZNCsrDspv07idT15KEw0JAPpXygMXlF4&#10;LF3iJ/xulw74+sydM9JTzj5x97Li+HQ0dSIvlcMZ/tHkVfa0rcJr2qk+KGubu4nX9WRjw1g34cy8&#10;9C8my6LwWLrET3jdLh2weox9QzqK/YIybbjqIB5UboU1SkmnstL8Oq7fknGzcm60P1oVr1N4LblQ&#10;b+uWX5Qw7G3ceTlt6jRni+NuCukeNNZ2xYmFJ35cb5Ns2icb6bu1USBv+PXkXhQeS6t0Gg8Jr4v7&#10;VjITjcm22/xO4bXaKXmIig9deOOfa94pRt9k55PuQW0a61Ycy0vuYl1NMmqvjKTrPl7H5K74sfBG&#10;+ZXxs0H1jtlG0/VavNHaQ5A3P+aJD69c6d7FLasMOo3XkgN3sPFNyB31++69T/V+V2HuVmN+5t5Y&#10;4428x3L7G29PKkx5+LQo3I+f/O3FqSTf2jl0o3jdKrlpPNh72ttxX1gzeXLnqX+nWLN+vcPS6P0h&#10;YDO2Kb47SENdkNX248a5fev17qpvVd80m89I8Lrof78onLUV7qSTfKRPUObRyJ074njnKdQexQ+F&#10;wSsKj6VL/ITb7dIBOyas/dqWZ+NYt41j3YrD3mowR7/F+bvput8RqvFQZhr6fm62vqedPMXJgvXV&#10;ZffcXfN/AK7wv8I7JpTJvnf83DO/ZNHNdffoWNl3291KvKYt0iXbLt735V08nQ3w+wicnn72mdlH&#10;H34YxGnlpX6U36dF4X785E843Qkd0JgIza8VRj1Wv/2WuwucfdSMywsvOD/jfVjmgNDLZl2STT19&#10;WvUudt731h3i0HtzjALD9c4ad5Dbe8h1V3sZ6C6/2sXdF68740WxbTT1y+/oO27SsdU76znTb2Vh&#10;97Mja8k9RjuhF82U0She0y61zZZj+XKDu7ffdmvGm3noxr9664VjthiTHX3U0fl78gucTLmLW3kq&#10;D/ktLcLjonCbV3InrO60Dtj5tcbSQ/m7uXxv8ob73nvt6bA5dLd4aFwoD1G1x8b1wxSnH2morVYW&#10;sTaH0sXidpvfKF5TT79dvv/qK+cMWy8UhkKZIzDX9tvs5+OHy6+85PdpUbgfP/kTZndKB9Bx5tf6&#10;tsQuyLf5LjvvnH+P3zTqt7tpR6PjqFNtbrScVtTbz8P3+3VRuKgfXlb/SPA61AbwF5zmrgLhpaXw&#10;L8u/5+zdM5IRVG7ytu5QWco3FAavKDyWLvETbrdTB9DrN//6RnbwQQdXdZT34F/x3u0u0n/q6McJ&#10;+eH5/Ha2r9m8bR2te6T5Ka2on158UYXj1088qB/PhnXbPRK8Zr0QOxC6dsLxJ2Tjtx9f1T+wcqP8&#10;nC3v1fBW300LFzod9dsnWYjGwn0+/iI8LgoP5Zl4CavbrQPMn6Wb0GPyd/goM4QV7a5Lyr+39b0R&#10;vGZ/C+uFY7YcU6N30kH4rLO2+14ZlRfTuaLwWLrE720dLnP/rX3/veqY+fm249we1m+++aY6h4vN&#10;W8rcplS37o2XEF7z7ab1wnG5jgkHRZlXT87fB18wf76bbzPv7kQfqvxYWUXhsXSJ3z3963fZW5s1&#10;Y81vb8LrpHu+TtTzW7zmjYpNN9msuiYi/IOyTjIz31/0+bp1NTrXyW861SfWnqLwWLrET2OmXTqg&#10;PXyMH96DUTkJp5POSRdGQi1eC+8s3XOPPdz5FemXqC0jxLPhrXKrXrH8isJj6RI/jZ126YDdw8dY&#10;Y6yExkuI1646pXx7V98tXm+04cZuvZA7z7GHYBdR3/r65PsVr520CI+LwttZt5R3746BdvZdkT2k&#10;nWWnvPtPJy1ev/7qK8H/fr/fu4HV1KEIj4vC/XYkf//pc9n61J9fl61+qT69NQYsXqNbZe6/Ijwu&#10;Ci9z21LdemvcNNpfCa/7s18b7f9Wx0t4nfSp1TqV8hvSqYTXQ7JIejF6WSS8Hr0Mkx4mGcZ0IOF1&#10;0o2YbjTDT3id9KkZvUlpGtObhNeNySnpU2NySnjdmJySPiU5NaMDCa+T3jSjN7E0Ca+TPsV0I/FH&#10;rxs+Xndrb1Xqy9H3ZRlkmPC6P/qxDLqU6jBcl3y8TjIaLqMkk8ZlkvC6cVklvUqyGqkOpPMySWdG&#10;qjP14ie8TvpUTz9S2Oj0Q/eHcDaAsZbkOTp5Drr8El4n/Rn0MdDO9lt7yDlnn5vwOj+n3E5593ve&#10;Ca+T/vS7jnezfV999VX1HoUjDj8iYVXC61HpQMLrhNfdxLN+L5v9IEce/l8Oszf50WbV9woabbe/&#10;n0R+UeWD3+cRFuIpjQ0vimfTJHf3MCPhdfdkn/S+v2UvDOTt0h22285hNvdg/37iwdl1c6/Onnjs&#10;0fwN3vCdPUprdUQ8qNyh8BhvJOlsHsldHj1NeF2evkjjon/74qMPP8wmmvd2dTeZ6Oab/Tgb9/Nx&#10;2W/33Cs76IAD3Ruo06ZOc2uUty5ZnPF77JGHs5dXveQwfl3+bogwW1T6Y3E5FKZ4UBtu09k4yV0e&#10;vUx4XZ6+SOOi//uCOfUxRx2Zbbbp5tX5NnNu4fZI6d577Zkde/RR2exZF2dLFt28fs7+TqGN1OJ0&#10;0rve0buE173TV2lc9V5fFeHim2+84TAWvJ1+9ln53Hr/6LvWYLnFduv2cX7D733f5XXCcZPWY/lN&#10;rhzpkK2XdSs80XLqWsLrcvZLGi/90y8xPCziY9vmjacnn3g8e/ihlc4mcvnsy52NZMqJU7JJ+ZvX&#10;2E94/3rsNmOzH2z8w4bn6f/xs//Idtpxp2yv3+yZv5092dlfzpt+fkb+2F6WL7vPlftKbn9Z+/77&#10;w+brtu7WHdLbULh4okonv6j4iVbGQ8Lr/sGFpNP93ZdgmI9jvh8dwOay7N67s8suuShjfs2cvd5c&#10;3A+zfuses+UYl9dpp5ycXTVntivnyccfy7768suaeqmeqpuo1U/Ls27FCfEUNsg04XV/j/FB1u1+&#10;bbvFMrlFY20mnH0qjz/6iMNy7C/Y0XffbbeaObnFZ9/GUs/P/hf+F/iPIO+VD6xwa6Oxeonv01j9&#10;Ez/Nr5MOpP+qXtEBcC2EbY3w1cZYeoVjf3n+2WecHeTee+52dpEL8zP0Z591jrOZsG8F+wm2lzFb&#10;jKnB+XpYvsmPNnVpJuw2Idv/d/u5vC6ddanbi4695UszP7ftUb0SHRqnaX49JIukF0kWZdSBEM6G&#10;6hmKJx7xrdtPT5gNj7mVTuHM2bG/XH/tNdn0cyrrpcyzhd+ar4uKb+lP/22L7IZ5c7M176yu2smV&#10;v8pLtDI2E14njEpjofw60Ah+EUfxYrReXyuN4sgvKn4jlDSrXnrRYfmCG//kbCTguPYxWry27uvn&#10;Xeswu5kyG6lXr8dJeF3+sdrrOpbq334dawTfFEe0Xr8ojihx5Rb108f4n3z8sbN9zLhgRm4vn5Bt&#10;vn7vuXD6e/93o+p8HN7YrcdmF190kbO3+2UMuj/hdfvH0qDrWGp/7+tYDItjfPaMsEeFvSQbbbhx&#10;DR6DyewP55zPkkU3ZdyJhS2EdUobl7k4dpZYGYOoVwmve38sDaLepjZ3Tm/BS/0kd4uhuD/79NPs&#10;4ZUr3drkoRMPyThfr/kzlDn1QQce5PZ3r1i+LPvkk4+DturVb7+dzZw5M/vpT7aopj/yiCMyzvOr&#10;DrZs1WdQaMLrzun9oOhUamfv61Q9TLRh76x+OztlyonV/d1aVxRln9+SW24O2qRtPtaN/rBXZftx&#10;46qYzVybu1OkW3588fudJrzu/bHV7zqa2tddHQ1h45JbFjk8FS7buTTuU046sWa/h9+HoTxtHMLZ&#10;e6K9JpQDZn/0UWWebeMOkjvhdXfHwiDpWmpr7+iaxVNsF9gwzph2RnC9cPPNfpIdcvDEbO41c93+&#10;7XXrPhs2nyY/5Wmp3FY3bFz4Z515ZnWe/bt99nXnKW38QXInvO6dMTRIepna2hq9FB76GFgkX9YL&#10;WQvkDCRrg3b+zFwXHmuJrCkW5dWK8NNOnlKtA+W2Is9ezCPhdWvGRS/2fapz//a9cNr2cRGPcPZp&#10;gNPcIQVGy94hOn777bPz8nMx3ENl826nW/X+9YShs/O8Yyx+O8suW94Jr/t3zJZN11J9OqdrPpbJ&#10;D9WP/nh51aps4YIF2dTTp2U7/XLH6hxW82nueOLdyevmzXNxSaO8Ot2fn332afV/5LRTT63aXFQf&#10;0U7Xq5PlJbzu3BjqZL+msga3Xy1uWbfVCfZs2DfKhM+if5w2NbheaPOzbpt3O93c9Uod2R/YznLK&#10;mnfC68Ed12XVyVSv0euksPSbb77JuFNJ64XceW3t0f/yne+6e7CPPOJIt174ysurau5HJR/91C/K&#10;W/5OUt5BY84PZvO+g8pWnUTF7zea8Hr0Y6PfdCK1p/d1gjvvnB16h4odWvNmUa0XWju0j3Xyi5ZF&#10;L2iX2mHviCpL/dpZj4TXvT8226kfKe/y6YfFT9zWD35xhnurLbeqYpqwDYoN5Lxzznb7mHutb9XW&#10;z/M5Nm1hDZR35nutHaOpb8Lr8o3H0fRnStsf/SlsEhZbv3j0NWf+WAucctKUbMfAeiFriKwlLlww&#10;P3v9tVdr1uhsPr2kN9R7p1/u5DB71513qbapl9rQbF0TXvfH+G62/1O6cve/xVTrvvrKOXXXC2de&#10;cH7GfgqbxvZ1jG/jlMXt1xU/b07quwHbT1nq2u56JLwu93htd/+n/Hun/5lLc1Ykdof0Ljvv7GzW&#10;nONWv4Jt+vk8+XuR8uaN8Pq9d9dU29uLbRlJnRNe9854HUm/pri9168WV8HcF557NrvqyqvcWW+d&#10;XxFGbZSfL5yw627ZmX88y+39+Osbrwfn0uQpXbD5i9crVO0QnTt3bhWvn8/lJH6vtKfZeia87r1x&#10;3Wxfp3Tl7mswh3N73HcnXBbV+ULO+HG+kHuPGu1P8rV4Zt2N5lGmeNRf+7CRz5NPPN6wLMrUjmbq&#10;kvC63GO4mT5NabrTpyEc9HnWj5u5odYLx23782E4PWHXCfl64VS3Xrj67bequGvzGcT+Tni9gbtz&#10;tsx9r7lGrI5F4bF0id8dfBsEuYdwlT3P2KF/7N3pL/3F9sEeY/athdKHeIMgS9vGhNcJr60+JHfC&#10;8JHqQBGOPv/sM+6+O+GyT3/z6z2y++65q4rRNj/rHmm9+jF+wuuE1/2o16lN7f/fEZZC5Wa9EFvH&#10;pbMurawXeucMuf+Ct2dnXHBB9vBDK919d0qvPEJ9Vy8sFL9feQmvE173q26ndrUfsyXjVS+9mB19&#10;5OHD7NCaS7NeuPKBFU2tjyWsHurHhNcJrzXmEh0aF0kWjcniiccezX4/cWL1vmjhsyjvWq184P5C&#10;nG4EkxuJ0+/9lvA64XW/6/ggt89iXMgd4oXkRbwP1q7NVixb5t763nfvfWruuwOftxrzM3dnNGc6&#10;Hnvkker7VbaMUN6J19h/I3JiD5/+C++4/TZnh0K+/S7jtJ+vcR1J46k/ZRUa4yEe64XHHn2Uwwnt&#10;hxZmQA/Yb79h72MNAoZ0Y1xYvF6yeLH7bgn1WTfq1s4yE173Jwa1U2d6Pe+icW3DWTe8Yd7czL5F&#10;ZTGadUPOr2C3tul8t/yivS7Dbtff4vWtS5YU2pm6Xd9WlZ/wOuF1q3SpzPkIJy0NuTk3ePttt+b3&#10;3Z2c/XbPvbJ/3fiH1e9ucHrMFmOyo4862p1fATO++OKL6tyO/JSnZGH91q3wRJsbfxavmV9L9v0u&#10;44TXzelLGme9K7fQmL76ijnZpptsVoPN1ubBO+HYQ+j3UHqrD36477dxk7s5PRJe00esPQ6KHBNe&#10;N6cvg6IfZWxnCP9CPNVdYaJr338/u2vp0oz1wHrrhZfPvtyta33VwH2dytsvM+YXP9Hmxp/wmm8e&#10;4bXfB/0o24TXzelLP+pCr7bJH6f4fR52aN4iOfjAA2rm0LJFyw7NvrxelcMg1Ru81veP8HoQ2p/w&#10;OuF1L+i5xV/rVt1DPMKwR/M+Fm+0anwLo509OudPP/vM6H13sXxVbqLdGT+aX1t7yCD0VcLr7uhb&#10;GueNy92Ow5AbnvjcA337rZX1Qu6H3mjDjWvm09ylNOnYSW69kPPi1tahfHxKXyn/1G+N91s7ZUXf&#10;6X/3huuvr/ZPv/dTwuty6F87dbvX8w6NQZ/H+1ixd1fgz5xxfoZNhHQ2rXWH5FQUHkqTeO0fU++u&#10;WVPFazBsUGSe8Lr9ujUoutTOdoZwE/wFhzXP8ik4fVW+70P1Uh6i4oeo4oiG4iRe98YO7zqov2dc&#10;cGG1j/u9TxJed0/n+l23bPtCuBfi2TTWjd3iuXw/3cIFC/I7SY/Jxm+/Q3W8Mm6xe3DfHe+Es38a&#10;u4hNn9z9pedpfl17f8hIxlKnxoL+T2PlFYXH0iV++8eyr0++3/aBwqCcG+T84FZbblWDz+pr1hFZ&#10;T2SubfOQW3nJn2j7+7oTMrZ4PfX0aTU2rk6U360y6r0LXzZd1xiNyaooPJYu8ds/hhvRJeLw9srC&#10;hQsz9DL0PhbrhSccf4LbP82a05fr90bb/HHLL5r6uP193GkZa7yzftzP/Sx9hlq8Lnub1T8xvSgK&#10;j6VL/PaOZatX0j1kLr6zQ19wft31QtYTNYdWOpuH77Z+Gx9++vW+DOhTjXcwbBD6lDYLr9nHaHW8&#10;jO1X/8TqVhQeS5f47Rm/FidxWz8yL3ofi/vult93T1Nj0S8r9XF7+ribct1+3DiH2dzz0s16dLLs&#10;yZMmV/+npOOinaxHI2UV4XFReCNlpDjtGdfci8QZhwXz57v7krA7q7+gP8jvVdr/d/tV1ws55xLr&#10;C6ufckN9t3jix/JL/Pb0ebvlyhsQ6A7rzO0uqyz5H3TAga7NY7ceW22z9LwsdVQ9NL7l92lRuB8/&#10;+euP09HiHOlXvfgXt17IeW/1j6XcU+rWC9eF1wtTH9Xvo0GWz+xZF1ewa5sh7JI8RqO7o0mr8pul&#10;lB0qXzy+JRg//Ff5ZSiOz++WX+M8Vn5ReCxd4hdjwkh1Ydm9d2e8960+EdWZcHvfXZJ/sfyTjIbL&#10;iP959GnD730/iHHffvttFNOsPuOWn30n3CHz+KOPZAtu/FPGf4J+6Cw42ejvhMmTqmnJg/qS75OP&#10;P1Zdi6FfVXasj239mFczlk475eSadEV5xPJuJ19jPlZGUXgsXeIPHwvqf+mK9Ute4rE3mnevuO/u&#10;kIMnuvew1BdQxtO+e+/r3s/iHS3uxyMP5a38Eh3eD0kmYZmgO+yxl55pv7100urXN998k4HD2OMW&#10;3XRTxpmTi2fOzC7Kz1pddslF2SUXzczOmz7d8S+/fI677487tZcvu89hK+n4vbLqJZcPeTXye2XV&#10;KpcOfCb9iuXLqnlTh/Om5+XPuiSbfems7JKZM7IL8zX3C2fMyK6bN8/tf3o5L8/el/DZZ59mG+Vj&#10;iTbzX6K22nEkXhn0Rn0Tq0tReCxd4sfHhC8bqw+8HysbIrLX3Fnu3088OGP/tJ+H77f65oclf7hv&#10;klwq//daczzvnLOr+IVswDnWqk87eUqGLQ49ZR8/330x2VndJo78o9FP5aEyfb/KsXzGzJJFN2XM&#10;zxlL2AxPOG5yfkZs++r/03333FWd8yjvstEiPC4KL1t7ylof6Y6lrBc+vPLBbMb5F7h1wdh64dTT&#10;p+Zzgztr7rsjH+Vl2xzj2zjJnfA6pAPSHfZ5Mu75hmPvxOzLZmdnTD0tOz+fLy9cMN/Na9etXxtR&#10;GvLz9VF+S238UB0a4fl5+H7VxZarfMVjLj/7ssuGfbfuk3+zMuf348vfbVqEx0Xh3a5/r5QvPaG+&#10;zEewlcXWC7HpMRfQ3mjS2PSN+HtFLqme5fvv8N/V3HfvvYfNO319DOmk+tbGtW6FN0ubySuUZvGi&#10;m4edU6j3zdBsfVuRrgiPi8JbUYdeyIN+Vl/7VPUXH791Kzy2XoiMuUfpmCOPqL6PpTSJlg/P+rlP&#10;WBfUmEcnsXdYe28/tV1jFPr5unVuHVNtx9aj8DK1WfWL1akoPJau3/jqO1HaZ91+e5kbP/zQSrde&#10;GNrTUbH/HZTNzt/Heubpp6rzF/Ksl69fTvInPG+lDli8xuYxCLpox5zGKniNXMvW/iI8Lgpvpa70&#10;Ql5F/cd64R67T6hZJ5QMWTsMrRdafSnKvxdklOrYu/8hFq8HsR/r7cUugzyEJbG6FIXH0vUbXzjq&#10;U9rJuUG+G3fYbrvqt6TktsH/+Rf3bhb7RN9Z/Xbd/2uL2/0mv9Se3sDwhNeVszMH7r9f3bHaLX0W&#10;rsTKLwqPpes3vsVp9qWy7/OsM8/KQu9j/WKHX7g903Ovmevs0brvDpkIk0V9Oakcn5/8vYF3vd5P&#10;IbzuV51Uu0TpO39+TZgN73b/FuFxUXi369+p8rFHs2djl513Dto6WJthzwdYHurfkfBCcTvVzlTO&#10;YP8vhPB6UHSCcefjddnaXoTHReFla0+9+ggHfVovzZp3Vtd9HwsbCPtVyUP51ssvhQ02Hpa9/wcZ&#10;r+mbhNfdHZ8xDIVvw+R/7dVX3ZkA3tfY8Zc7DrNHw+N9LM63vvLyqipO27zKPiZT/bqrk2WWf8Lr&#10;+N1PZei3ovnz/2fv3Ho0K6owvH+B8cJ/gInReCFHE4UQ5QJxCJAoRBGPoHIjkYA4MkAQUOPAcBCI&#10;cGeEwZGDDiqOgCDRBPVGJKJEuQE0GExAMPwAv3fL+7mmZletb3qqu3d3nk6+VO1aVWvXXuup1bWP&#10;lcnncAy1PqwaQ6fuF8b3wD+4+FbZ3u9/r3q/cNX91PpJOfFzLgwQr4nXm8Wi58wxnuo7NXrf9P7F&#10;+lgXfemi4cwzzhzeftQ7lvNo5c8646zhwi9eOOh+oeqqjY/BupyqPOZdj5QYvBUZIF4TrzeTW8VS&#10;/Xy/UGsV+pwhpr5fqLUOy/5ah8prsblWXupimzg+ZwaI18TrzeRT9wuv3PW1MUbHaxyO1bpf+OCP&#10;HzgkRtf6PBWXp8pq7SknXs+ZAeI18XotfMYYWMtP6X128X3cu++6a7zWUX7vTjH6zMX9Qt1LfPTh&#10;h5ffu4v6p3RSRozdSAameJwqW7VPsW3MT7WP8XqqrsucWoe2yzLLtlLK8yH9xrp5cGoOdA3j6sWz&#10;z/5ur+fOTk879UPjHPoff39xWzDl4ybtx9acbWnelTo/1d+WbKr+VFmM15aXerNtt9uKKfG6z5gq&#10;GdE7g/q+uN5R0Xd6HZudqszfJfX3xaIO5eP2VmSLPvdhazPtWGNQ5eXaW626vY5B67Z4DEWdtX27&#10;TiZ3vbmnxOu1jSn5PzKg+4VP//Gp8ZkNrY913LEnLLkSX/rendZ01jviWh/r1VdeWbaPuqxzqmzu&#10;LNG/tbE0d7uZRbOp/jpvWXkMUW5ZWea2TqNetynTOL92O+uN7UuZt0t9W22beH1kYyzeL/T//Zjq&#10;2+rl/cLIV+RlqtxlTmN98kfmO+y3uv3Mn9PSdrFcea1vpdj62KOPHLT+rM439S1Q//TdIuXjvfaY&#10;j2OpzJd90HbZj6k6W7mMeJ0zawY0J9Y3o/XuoJ5/nlp/5ezFHFr3C7Vup+bcNTassyZXues4bdVF&#10;lvsRGx2ejcTvc4v3abVurNZ723v33eP6tFpj+SuXfGVcI07xQ+t3652to99zzEHnlGV87b2tNWv1&#10;W65f+52bl/8btKbuLTfeMMok17q2Wu9WP43fnzy4fxzLWndrrlzEce/8do7Xvr7mY13FL1N19Y2k&#10;eB26/P+vZ6bL9bFW2Rd1Di9+YK/1tZe+ja4494ULzh+/sbuW+FqODd2n0RxaOjWPvuTiL4/7uOP2&#10;Ww9KNX40H89+v//tk+P65UpLHqbGruqU5Z77qw/aX6lnDtvqc9lv9cvxWjadQz/LPpiZstzbmdz1&#10;ytS2KFPX0z1AMaR7gu9657sPmTeIQ8XwqXXUrNO6SNc3zmDfw7Nv5PO+fT845HqEx1QtdUzWuwGK&#10;wVqnXLHv3n33jPFP9wT1DQX5Je6r9JNlZVrWy7ZXbe96Wb+y/W20PPbb8Vp23+h+rLI/M1Or25LH&#10;41R+6me9OvfTNQxdy9D9wuOL+4V6v1DXQHQupTXDX331laW9vJ9Sv3WTHl48wV7ra68/P/PM8ImP&#10;n7u4J378IfMQXdfQNxA+f/4Fw6WXXDrcduvt47WDXxw4MK4Lp+sHeu50ykceB5bFbY+NVWSus2rq&#10;/ThVO+/PqctKnbFNKdvM7dhv90Nl8pti3naM1/E4lZ/yjc6NLl6sI+u4r9TzB6W6X+g5dLThlC6X&#10;xXruA+n6xiDsu7p9NR8x47oHo/NEnUt6TlwbKzUbm3fz73ou93ZMy7pRluVj25iP7VzuNMqUj+Ux&#10;X9bb7G33zWk5v3b5ZvfT+3cc9XaZZnLXj8elvJ7ZmFofy/quu+bqQc9+TLV3mVPpi/pdTrp6DMFW&#10;G2crjXnH65v27BkZn2I4Mh3z6+mr1n5qMpcrdb7Vx6k6U2UtHZsl8/eFtsv8Otrd+X++9NK4Pta1&#10;11w7nuuV16NPfP9J4/vh4/fuFt+M1rsubhv9orJauerV5FEH+Y2LS9h62tb37N170Dtc+i7C5z7z&#10;2WH3t3cvngM5ML5H8Prrry/j+OHacWqMSEcsj/nD0b/WduU+pKenrvU8vheef364fvfu8Rkczyf1&#10;vEvPYyjts9Zt96/WPsqj/X2/UPejXSemul/49auuHN9BdLuYOl/bL+XTsQC7bA276NxR30jQOIjj&#10;QnnPvT92ztnj2kV6huK11/69jG9xbChfbouBWGYmXObU5bX6pTy2q+Vjm43Ix36U+2vJyrpx2+0U&#10;w/S8TvSR8n955k/L8/7Ybg55s1Tri+U+RnGotb6nvqWkuroGovvZulbn5/1quinfGrEHP63dT08/&#10;9YfxGbtjjj52jNuO1R5XTlV++od3LMbOt8ZnQZ5d3Pep2d1jsZS7XKnzZZ3atuuXaVk/k5f1j2R7&#10;LfuaauOy2Bf9j9R9X9vf6YGfP7Tm856of73y7mdNv+W7Lr9i2LHgydtOT3zfiYtn8i4e19B67m9/&#10;XR6rbaTUee0jbsfy2v4pX3uswHabYztzbda9/exi7Qu9R3LnHXcOOy/bOT7re8Jx7z1kTHlsKT35&#10;pJPH7yzomrjeoRnfSbnx5uFHD9y/eI7qN+O1FT1PoudKvB+PM6et8lKmbZeVaeTJsljWOx/3oby3&#10;nY/bPlanlmlb9vnV448NdyzsPr6HVzy3c965541+qdmw93EdiT6zUdNheZnectOe4T9vXoMr20Zb&#10;1fJlG7Y3J7Zg9/W1e+Q/2jqW61lXPVP93dtuHZ8jK78zWZuTl2NS23reSvfKrrri8nGevv+B+8Zn&#10;trWPuP8yH/sT8643VWbZRqZT/YhlzsueilGnnXrq8v9hacdPf/JT4zMPbrORx7HWfdnntfaWa+2s&#10;H+7bN2iO4O/dlW183GUa60lmeSwnv75xA/vOx75TY6AcE2+88cY4L/zdk08OD+7fvzh/vXe44fo9&#10;4xxbY1HzbT3Lnc3PPX6d6jqm2unai3Top/NjPQuu9+D9Trn2qZ/ujyr26Z15fbfYc3k9M7DRTOka&#10;q+bA6s+vn3hiea7yjeu+OT7PoGen9e6+jzWmOm4dq+75aq4d15EqbR+PqyWL9TYq72Oq7S+T19pR&#10;Pp/4gC+2vy90X0nXZPUepH56b1jz7OOLc3+N53Ke6TE+la5SV/Ff+/JPz5vrPp77kqVlXbW3LqVT&#10;/crK1O/Td+wY+6DvXcwt7q51TPq4a+0zea0d5ds/RuDj+fo4xiflNSfV90sUOxUfd1526TImeow7&#10;dYx2qvKYd71WeazTI1/bf9R9zkc/Mui9jsd/+cjw4gvPL+f/0RZbnVkfb+04MnmtHeXzHcv4Bt9E&#10;BhzP9B6FrjdoPuprILoeonukujaid+d9v3PnV3eO12Z0HUXv1utag65HKNU7J5pz63fKB05Zfl/Q&#10;ZdX0ze8Qaj0o6fFP12t0r3XX5buGmxb3WrXe30M/++nYRz1/86+XX17On3UsPp54jMq3ZGXduW5n&#10;8TiTz/W46BcxCQb+x4Djl9PSLrVy18vkqlc+u7tKG+tX6vpOo6xHXnrXS3eP/q2qI4vHmXzV/VCP&#10;+AkD68tAKx5FmfMxdX5VH03Vd5lT6Yr5mm7XcVqrl5WX7b3tNGu/FeRZPM7kW+EY6eP6xgnsOw/7&#10;xrhUy9tXUe4yp5KV8mzbbZ3G+jFveS2dqqsy/2rtXB7bx7zlSmvlsc5c81k8zuRzPS76NY8Ygh/w&#10;Aw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Gw56VEDNsAGMAAD&#10;c2CgFtPn0Df6wBiBARiAgf8zUIvXlHN+BgMwAAMwAAMwAAMwAAMwAAMwAAMwsN0ZeMswDG9b/PT3&#10;1sVP+f8CAAD//wMAUEsDBBQABgAIAAAAIQCQP5e54AAAAAkBAAAPAAAAZHJzL2Rvd25yZXYueG1s&#10;TI9Ba8JAEIXvhf6HZYTedJOGWInZiEjbkxSqhdLbmh2TYHY2ZNck/vtOT/U0zLzHm+/lm8m2YsDe&#10;N44UxIsIBFLpTEOVgq/j23wFwgdNRreOUMENPWyKx4dcZ8aN9InDIVSCQ8hnWkEdQpdJ6csarfYL&#10;1yGxdna91YHXvpKm1yOH21Y+R9FSWt0Qf6h1h7say8vhahW8j3rcJvHrsL+cd7efY/rxvY9RqafZ&#10;tF2DCDiFfzP84TM6FMx0clcyXrQK5knCTr6veLKevCy520lBGqUJyCKX9w2KX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TbEVEnQDAAACCAAADgAAAAAAAAAAAAAA&#10;AAA8AgAAZHJzL2Uyb0RvYy54bWxQSwECLQAUAAYACAAAACEAndx4OEWIAACY6QkAFAAAAAAAAAAA&#10;AAAAAADcBQAAZHJzL21lZGlhL2ltYWdlMS5lbWZQSwECLQAUAAYACAAAACEAkD+XueAAAAAJAQAA&#10;DwAAAAAAAAAAAAAAAABTjgAAZHJzL2Rvd25yZXYueG1sUEsBAi0AFAAGAAgAAAAhAI4iCUK6AAAA&#10;IQEAABkAAAAAAAAAAAAAAAAAYI8AAGRycy9fcmVscy9lMm9Eb2MueG1sLnJlbHNQSwUGAAAAAAYA&#10;BgB8AQAAUZAAAAAA&#10;">
                      <v:shape id="그림 165" o:spid="_x0000_s1159"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43" o:title=""/>
                      </v:shape>
                      <v:shape id="Text Box 9" o:spid="_x0000_s1160"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33B22FA7" w14:textId="7C8CF93A"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F</w:t>
                              </w:r>
                            </w:p>
                          </w:txbxContent>
                        </v:textbox>
                      </v:shape>
                      <w10:wrap type="square"/>
                    </v:group>
                  </w:pict>
                </mc:Fallback>
              </mc:AlternateContent>
            </w:r>
          </w:p>
          <w:p w14:paraId="1CBAD111" w14:textId="77777777" w:rsidR="002E5800" w:rsidRPr="008F328C" w:rsidRDefault="000E0B7C">
            <w:pPr>
              <w:pStyle w:val="a3"/>
              <w:numPr>
                <w:ilvl w:val="0"/>
                <w:numId w:val="25"/>
              </w:numPr>
              <w:rPr>
                <w:b/>
                <w:lang w:val="pl-PL"/>
              </w:rPr>
            </w:pPr>
            <w:r w:rsidRPr="008F328C">
              <w:rPr>
                <w:rFonts w:eastAsia="Times New Roman"/>
                <w:b/>
                <w:bCs/>
                <w:lang w:val="pl-PL"/>
              </w:rPr>
              <w:t>Umyć ręce</w:t>
            </w:r>
          </w:p>
          <w:p w14:paraId="45F32D67" w14:textId="77777777" w:rsidR="002E5800" w:rsidRPr="008F328C" w:rsidRDefault="002E5800">
            <w:pPr>
              <w:pStyle w:val="a3"/>
              <w:rPr>
                <w:b/>
                <w:lang w:val="pl-PL"/>
              </w:rPr>
            </w:pPr>
          </w:p>
          <w:p w14:paraId="1D21930D" w14:textId="77777777" w:rsidR="002E5800" w:rsidRPr="008F328C" w:rsidRDefault="000E0B7C">
            <w:pPr>
              <w:pStyle w:val="a3"/>
              <w:ind w:left="4297" w:hanging="180"/>
              <w:rPr>
                <w:lang w:val="pl-PL"/>
              </w:rPr>
            </w:pPr>
            <w:r w:rsidRPr="008F328C">
              <w:rPr>
                <w:rFonts w:eastAsia="Times New Roman"/>
                <w:b/>
                <w:bCs/>
                <w:lang w:val="pl-PL"/>
              </w:rPr>
              <w:t>a.</w:t>
            </w:r>
            <w:r w:rsidRPr="008F328C">
              <w:rPr>
                <w:rFonts w:eastAsia="Times New Roman"/>
                <w:lang w:val="pl-PL"/>
              </w:rPr>
              <w:t xml:space="preserve"> Umyć ręce wodą z mydłem i dokładnie osuszyć. </w:t>
            </w:r>
          </w:p>
          <w:p w14:paraId="2C1309E7" w14:textId="77777777" w:rsidR="002E5800" w:rsidRPr="008F328C" w:rsidRDefault="002E5800">
            <w:pPr>
              <w:pStyle w:val="1"/>
              <w:spacing w:before="76"/>
              <w:ind w:left="0" w:right="2736"/>
              <w:rPr>
                <w:rFonts w:eastAsiaTheme="minorEastAsia" w:cs="Times New Roman"/>
                <w:lang w:val="pl-PL" w:eastAsia="ko-KR"/>
              </w:rPr>
            </w:pPr>
          </w:p>
        </w:tc>
      </w:tr>
      <w:tr w:rsidR="002E5800" w:rsidRPr="00A5286D" w14:paraId="5F7F7E68" w14:textId="77777777">
        <w:trPr>
          <w:trHeight w:val="5201"/>
        </w:trPr>
        <w:tc>
          <w:tcPr>
            <w:tcW w:w="9581" w:type="dxa"/>
          </w:tcPr>
          <w:p w14:paraId="657B5DBA" w14:textId="27C0837C" w:rsidR="002E5800" w:rsidRPr="008F328C" w:rsidRDefault="002E5800">
            <w:pPr>
              <w:ind w:left="104"/>
              <w:rPr>
                <w:rFonts w:ascii="Times New Roman" w:eastAsia="Times New Roman" w:hAnsi="Times New Roman" w:cs="Times New Roman"/>
                <w:b/>
                <w:bCs/>
                <w:spacing w:val="-1"/>
                <w:lang w:val="pl-PL"/>
              </w:rPr>
            </w:pPr>
          </w:p>
          <w:p w14:paraId="48C78CC0" w14:textId="36DBECF7" w:rsidR="002E5800" w:rsidRPr="008F328C" w:rsidRDefault="00B56B0C">
            <w:pPr>
              <w:pStyle w:val="a3"/>
              <w:numPr>
                <w:ilvl w:val="0"/>
                <w:numId w:val="25"/>
              </w:numPr>
              <w:rPr>
                <w:lang w:val="pl-PL"/>
              </w:rPr>
            </w:pPr>
            <w:r w:rsidRPr="008F328C">
              <w:rPr>
                <w:noProof/>
                <w:lang w:eastAsia="ko-KR"/>
              </w:rPr>
              <mc:AlternateContent>
                <mc:Choice Requires="wpg">
                  <w:drawing>
                    <wp:anchor distT="0" distB="0" distL="114300" distR="114300" simplePos="0" relativeHeight="251658305" behindDoc="0" locked="0" layoutInCell="1" allowOverlap="1" wp14:anchorId="75EE2337" wp14:editId="6667F41B">
                      <wp:simplePos x="0" y="0"/>
                      <wp:positionH relativeFrom="column">
                        <wp:posOffset>-31199</wp:posOffset>
                      </wp:positionH>
                      <wp:positionV relativeFrom="paragraph">
                        <wp:posOffset>93345</wp:posOffset>
                      </wp:positionV>
                      <wp:extent cx="2256458" cy="2921000"/>
                      <wp:effectExtent l="0" t="0" r="0" b="0"/>
                      <wp:wrapSquare wrapText="bothSides"/>
                      <wp:docPr id="1046" name="그룹 1046"/>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47" name="그림 104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48" name="Text Box 1048"/>
                              <wps:cNvSpPr txBox="1"/>
                              <wps:spPr>
                                <a:xfrm>
                                  <a:off x="1536700" y="2774950"/>
                                  <a:ext cx="719758" cy="146050"/>
                                </a:xfrm>
                                <a:prstGeom prst="rect">
                                  <a:avLst/>
                                </a:prstGeom>
                                <a:solidFill>
                                  <a:prstClr val="white"/>
                                </a:solidFill>
                                <a:ln>
                                  <a:noFill/>
                                </a:ln>
                              </wps:spPr>
                              <wps:txbx>
                                <w:txbxContent>
                                  <w:p w14:paraId="76705F4E" w14:textId="0F4E86AB" w:rsidR="006D7011" w:rsidRDefault="006D7011" w:rsidP="00B56B0C">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EE2337" id="그룹 1046" o:spid="_x0000_s1161" style="position:absolute;left:0;text-align:left;margin-left:-2.45pt;margin-top:7.35pt;width:177.65pt;height:230pt;z-index:251658305"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a3qN3AwAACggAAA4AAABkcnMvZTJvRG9jLnhtbJxV3W7bNhi9H7B3&#10;IHTfyPZsqxHiFF6yBAWy1lgy9JqmKIuoRHIkbTl9oL3CdtEn6l5i56MkJ046tMuF5Y9/H893eA55&#10;9mbf1GwnnVdGL5LxyShhUgtTKL1ZJL/fXb16nTAfuC54bbRcJPfSJ2/Of/zhrLW5nJjK1IV0DEm0&#10;z1u7SKoQbJ6mXlSy4f7EWKkxWBrX8ICm26SF4y2yN3U6GY3maWtcYZ0R0nv0XnaDyXnMX5ZShPdl&#10;6WVg9SIBthC/Ln7X9E3Pz3i+cdxWSvQw+AtQNFxpbHpIdckDZ1unnqVqlHDGmzKcCNOkpiyVkLEG&#10;VDMePanm2pmtjbVs8nZjDzSB2ic8vTiteLe7dvbWrhyYaO0GXMQW1bIvXUP/QMn2kbL7A2VyH5hA&#10;52Qym09nOGSBscnpZDwa9aSKCsw/WyeqX76xMh02To/gWCVy/HoOED3j4NtawaqwdTLpkzTflaPh&#10;7uPWvsJxWR7UWtUq3Efp4WAIlN6tlFi5rgE6V46pAlYYTbOEad5A9F/++vufPz+z2AWaaRVN7JZx&#10;KuvGiI+eaXNRcb2RS28hXOQgeabH02PzaM91reyVqms6Kor76iDyJyL5CkGdAC+N2DZSh85RTtYo&#10;1GhfKesT5nLZrCUqcm+LCIjnPjgZREUbltj4N4AloI8GIsoHYFSCh8bYuv3VFGCEb4OJfvlOjc1m&#10;E7g3aiybT7PTqLGDUkCh8+FamoZRAKhAFNPz3Y3vsQ1TCLU2RBgw87zWRx3IST0RPyHuQxRA9sAd&#10;5Qd+0XrG8P+y4W3FrQRKSnukG7ip080duexnsyflvCYt9FPJrizsMdJrhPo7tIN5Dq4dz36aZ/Ak&#10;I39m2fR01vtzcHA2Ps0GA4+n81E3/nJuvalVMeiRSL+oHdtx3L9tpYKMkoZSHs/6jzN4qIqisF/v&#10;o7Oy6UDF2hT3YMIZHDkq9FZcKWx4w31YcYd7HJ14m8J7fMratIvE9FHCKuM+fa2f5uNcMZqwFu/C&#10;IvF/bDldGvVbjRNHyjAEbgjWQ6C3zYVBqeOIJoZY4EI9hKUzzQc8WUvaBUNcC+y1SMIQXoTudcKT&#10;J+RyGSd1d8+NvrW4scZR2ETs3f4Dd7aXfMB5vjODpnj+RPndXJK6t0uY70pFWxCxHYsQOjWg7xjF&#10;BwfR0Yv2uB1nPTzh5/8C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PWbFALgAAAA&#10;CQEAAA8AAABkcnMvZG93bnJldi54bWxMj0FPwkAQhe8m/ofNmHiDbaUI1m4JIeqJkAgmxNvQHdqG&#10;7m7TXdry7x1Pepz3Xt58L1uNphE9db52VkE8jUCQLZyubang6/A+WYLwAa3GxllScCMPq/z+LsNU&#10;u8F+Ur8PpeAS61NUUIXQplL6oiKDfupasuydXWcw8NmVUnc4cLlp5FMUPUuDteUPFba0qai47K9G&#10;wceAw3oWv/Xby3lz+z7Md8dtTEo9PozrVxCBxvAXhl98RoecmU7uarUXjYJJ8sJJ1pMFCPZn8ygB&#10;cVKQLFiReSb/L8h/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BO&#10;Wt6jdwMAAAoIAAAOAAAAAAAAAAAAAAAAADwCAABkcnMvZTJvRG9jLnhtbFBLAQItABQABgAIAAAA&#10;IQDsPjCgxn4AAJjpCQAUAAAAAAAAAAAAAAAAAN8FAABkcnMvbWVkaWEvaW1hZ2UxLmVtZlBLAQIt&#10;ABQABgAIAAAAIQD1mxQC4AAAAAkBAAAPAAAAAAAAAAAAAAAAANeEAABkcnMvZG93bnJldi54bWxQ&#10;SwECLQAUAAYACAAAACEAjiIJQroAAAAhAQAAGQAAAAAAAAAAAAAAAADkhQAAZHJzL19yZWxzL2Uy&#10;b0RvYy54bWwucmVsc1BLBQYAAAAABgAGAHwBAADVhgAAAAA=&#10;">
                      <v:shape id="그림 1047" o:spid="_x0000_s116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EEExAAAAN0AAAAPAAAAZHJzL2Rvd25yZXYueG1sRI9BawIx&#10;EIXvBf9DGKGXotmKVFmNIoLYS5Gq4HXYjJvFzSTdRHf9940geJvhvXnfm/mys7W4URMqxwo+hxkI&#10;4sLpiksFx8NmMAURIrLG2jEpuFOA5aL3Nsdcu5Z/6baPpUghHHJUYGL0uZShMGQxDJ0nTtrZNRZj&#10;WptS6gbbFG5rOcqyL2mx4kQw6GltqLjsrzZBPnTtze4eT1ted63bTf/8T1Dqvd+tZiAidfFlfl5/&#10;61Q/G0/g8U0aQS7+AQAA//8DAFBLAQItABQABgAIAAAAIQDb4fbL7gAAAIUBAAATAAAAAAAAAAAA&#10;AAAAAAAAAABbQ29udGVudF9UeXBlc10ueG1sUEsBAi0AFAAGAAgAAAAhAFr0LFu/AAAAFQEAAAsA&#10;AAAAAAAAAAAAAAAAHwEAAF9yZWxzLy5yZWxzUEsBAi0AFAAGAAgAAAAhAPwYQQTEAAAA3QAAAA8A&#10;AAAAAAAAAAAAAAAABwIAAGRycy9kb3ducmV2LnhtbFBLBQYAAAAAAwADALcAAAD4AgAAAAA=&#10;">
                        <v:imagedata r:id="rId45" o:title=""/>
                      </v:shape>
                      <v:shape id="Text Box 1048" o:spid="_x0000_s1163"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4txwAAAN0AAAAPAAAAZHJzL2Rvd25yZXYueG1sRI9BS8NA&#10;EIXvgv9hGcGL2I0aiqTdllIU1Etp7MXbkJ1mU7OzYXfTxn/vHARvM7w3732zXE++V2eKqQts4GFW&#10;gCJugu24NXD4fL1/BpUyssU+MBn4oQTr1fXVEisbLrync51bJSGcKjTgch4qrVPjyGOahYFYtGOI&#10;HrOssdU24kXCfa8fi2KuPXYsDQ4H2jpqvuvRG9iVXzt3Nx5fPjblU3w/jNv5qa2Nub2ZNgtQmab8&#10;b/67frOCX5SCK9/ICHr1CwAA//8DAFBLAQItABQABgAIAAAAIQDb4fbL7gAAAIUBAAATAAAAAAAA&#10;AAAAAAAAAAAAAABbQ29udGVudF9UeXBlc10ueG1sUEsBAi0AFAAGAAgAAAAhAFr0LFu/AAAAFQEA&#10;AAsAAAAAAAAAAAAAAAAAHwEAAF9yZWxzLy5yZWxzUEsBAi0AFAAGAAgAAAAhAJNv/i3HAAAA3QAA&#10;AA8AAAAAAAAAAAAAAAAABwIAAGRycy9kb3ducmV2LnhtbFBLBQYAAAAAAwADALcAAAD7AgAAAAA=&#10;" stroked="f">
                        <v:textbox style="mso-fit-shape-to-text:t" inset="0,0,0,0">
                          <w:txbxContent>
                            <w:p w14:paraId="76705F4E" w14:textId="0F4E86AB" w:rsidR="006D7011" w:rsidRDefault="006D7011" w:rsidP="00B56B0C">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v:textbox>
                      </v:shape>
                      <w10:wrap type="square"/>
                    </v:group>
                  </w:pict>
                </mc:Fallback>
              </mc:AlternateContent>
            </w:r>
            <w:r w:rsidR="000E0B7C" w:rsidRPr="008F328C">
              <w:rPr>
                <w:rFonts w:eastAsia="Times New Roman"/>
                <w:b/>
                <w:bCs/>
                <w:lang w:val="pl-PL"/>
              </w:rPr>
              <w:t>Oczyścić miejsce wstrzyknięcia</w:t>
            </w:r>
          </w:p>
          <w:p w14:paraId="2A6F75F9" w14:textId="77777777" w:rsidR="002E5800" w:rsidRPr="008F328C" w:rsidRDefault="002E5800">
            <w:pPr>
              <w:pStyle w:val="a3"/>
              <w:numPr>
                <w:ilvl w:val="0"/>
                <w:numId w:val="0"/>
              </w:numPr>
              <w:ind w:left="471"/>
              <w:rPr>
                <w:lang w:val="pl-PL"/>
              </w:rPr>
            </w:pPr>
          </w:p>
          <w:p w14:paraId="110D8B3B" w14:textId="77777777"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Oczyścić miejsce wstrzyknięcia gazikiem nasączonym alkoholem, okrężnym ruchem</w:t>
            </w:r>
          </w:p>
          <w:p w14:paraId="4FA30BA2" w14:textId="77777777" w:rsidR="002E5800" w:rsidRPr="008F328C" w:rsidRDefault="000E0B7C">
            <w:pPr>
              <w:pStyle w:val="a3"/>
              <w:ind w:left="4117" w:hanging="180"/>
              <w:rPr>
                <w:lang w:val="pl-PL"/>
              </w:rPr>
            </w:pPr>
            <w:r w:rsidRPr="008F328C">
              <w:rPr>
                <w:rFonts w:eastAsia="Times New Roman"/>
                <w:b/>
                <w:bCs/>
                <w:lang w:val="pl-PL"/>
              </w:rPr>
              <w:t>b.</w:t>
            </w:r>
            <w:r w:rsidRPr="008F328C">
              <w:rPr>
                <w:rFonts w:eastAsia="Times New Roman"/>
                <w:lang w:val="pl-PL"/>
              </w:rPr>
              <w:t xml:space="preserve"> Pozwolić, żeby skóra wyschła przed wstrzyknięciem.</w:t>
            </w:r>
          </w:p>
          <w:p w14:paraId="3D021E58" w14:textId="77777777" w:rsidR="002E5800" w:rsidRPr="008F328C" w:rsidRDefault="002E5800">
            <w:pPr>
              <w:pStyle w:val="a3"/>
              <w:rPr>
                <w:lang w:val="pl-PL"/>
              </w:rPr>
            </w:pPr>
          </w:p>
          <w:p w14:paraId="1552DD4E" w14:textId="77777777" w:rsidR="002E5800" w:rsidRPr="008F328C" w:rsidRDefault="002E5800">
            <w:pPr>
              <w:pStyle w:val="a3"/>
              <w:rPr>
                <w:lang w:val="pl-PL"/>
              </w:rPr>
            </w:pPr>
          </w:p>
          <w:p w14:paraId="2700A9D1" w14:textId="4947966E" w:rsidR="002E5800" w:rsidRPr="008F328C" w:rsidRDefault="000E0B7C" w:rsidP="00404101">
            <w:pPr>
              <w:pStyle w:val="a3"/>
              <w:numPr>
                <w:ilvl w:val="0"/>
                <w:numId w:val="19"/>
              </w:numPr>
              <w:ind w:left="4297"/>
              <w:rPr>
                <w:lang w:val="pl-PL" w:eastAsia="ko-KR"/>
              </w:rPr>
            </w:pPr>
            <w:r w:rsidRPr="008F328C">
              <w:rPr>
                <w:rFonts w:eastAsia="Times New Roman"/>
                <w:b/>
                <w:bCs/>
                <w:lang w:val="pl-PL"/>
              </w:rPr>
              <w:t>Nie</w:t>
            </w:r>
            <w:r w:rsidRPr="008F328C">
              <w:rPr>
                <w:rFonts w:eastAsia="Times New Roman"/>
                <w:lang w:val="pl-PL"/>
              </w:rPr>
              <w:t xml:space="preserve"> dmuchać na miejsce wstrzyknięcia ani dotykać go ponownie przed podaniem wstrzyknięcia</w:t>
            </w:r>
            <w:r w:rsidRPr="008F328C">
              <w:rPr>
                <w:rFonts w:eastAsia="맑은 고딕"/>
                <w:lang w:val="pl-PL"/>
              </w:rPr>
              <w:t>.</w:t>
            </w:r>
          </w:p>
        </w:tc>
      </w:tr>
      <w:tr w:rsidR="002E5800" w:rsidRPr="00A5286D" w14:paraId="34D9E5DD" w14:textId="77777777">
        <w:trPr>
          <w:trHeight w:val="5664"/>
        </w:trPr>
        <w:tc>
          <w:tcPr>
            <w:tcW w:w="9581" w:type="dxa"/>
          </w:tcPr>
          <w:p w14:paraId="3921408F" w14:textId="77777777" w:rsidR="002E5800" w:rsidRPr="008F328C" w:rsidRDefault="002E5800">
            <w:pPr>
              <w:pStyle w:val="Default"/>
              <w:rPr>
                <w:rFonts w:ascii="Times New Roman" w:hAnsi="Times New Roman" w:cs="Times New Roman"/>
                <w:lang w:val="pl-PL"/>
              </w:rPr>
            </w:pPr>
          </w:p>
          <w:p w14:paraId="36476DC0" w14:textId="55D0D27E" w:rsidR="002E5800" w:rsidRPr="008F328C" w:rsidRDefault="000E0B7C" w:rsidP="00D22235">
            <w:pPr>
              <w:ind w:left="104"/>
              <w:rPr>
                <w:rFonts w:ascii="Times New Roman" w:hAnsi="Times New Roman" w:cs="Times New Roman"/>
                <w:lang w:val="pl-PL"/>
              </w:rPr>
            </w:pPr>
            <w:r w:rsidRPr="008F328C">
              <w:rPr>
                <w:rFonts w:ascii="Times New Roman" w:hAnsi="Times New Roman" w:cs="Times New Roman"/>
                <w:lang w:val="pl-PL"/>
              </w:rPr>
              <w:t xml:space="preserve"> </w:t>
            </w:r>
          </w:p>
          <w:p w14:paraId="6D4A3D4F" w14:textId="59D74CD2" w:rsidR="002E5800" w:rsidRPr="008F328C" w:rsidRDefault="00F2584C">
            <w:pPr>
              <w:pStyle w:val="Default"/>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290" behindDoc="0" locked="0" layoutInCell="1" allowOverlap="1" wp14:anchorId="33AAF193" wp14:editId="0BF580E4">
                      <wp:simplePos x="0" y="0"/>
                      <wp:positionH relativeFrom="column">
                        <wp:posOffset>-8255</wp:posOffset>
                      </wp:positionH>
                      <wp:positionV relativeFrom="paragraph">
                        <wp:posOffset>40640</wp:posOffset>
                      </wp:positionV>
                      <wp:extent cx="2294255" cy="2997200"/>
                      <wp:effectExtent l="19050" t="19050" r="10795" b="0"/>
                      <wp:wrapSquare wrapText="bothSides"/>
                      <wp:docPr id="3939" name="그룹 3939"/>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23455A10" w14:textId="27310D92" w:rsidR="006D7011" w:rsidRDefault="006D7011">
                                      <w:pPr>
                                        <w:pStyle w:val="af0"/>
                                        <w:jc w:val="right"/>
                                        <w:rPr>
                                          <w:rFonts w:ascii="Times New Roman" w:hAnsi="Times New Roman"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36650" y="584200"/>
                                  <a:ext cx="1104181"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3A58B" w14:textId="77777777" w:rsidR="006D7011" w:rsidRDefault="006D701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3AAF193" id="그룹 3939" o:spid="_x0000_s1164" style="position:absolute;margin-left:-.65pt;margin-top:3.2pt;width:180.65pt;height:236pt;z-index:251658290"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WJeRCBAAA/gwAAA4AAABkcnMvZTJvRG9jLnhtbNxXUW4bNxD9L9A7&#10;EPsfSytLiiRYDly7NgIYiRG7yDdFcbWEd0mWpCw51ynQK7QFeqL2En1D7kqW7CCxUQRoP7wecofk&#10;zJs3j6ujN+u6YnfSeWX0NMsPuhmTWpi50otp9tPN+atRxnzges4ro+U0u5c+e3P8/XdHKzuRPVOa&#10;ai4dwybaT1Z2mpUh2Emn40Upa+4PjJUaLwvjah4wdIvO3PEVdq+rTq/bHXZWxs2tM0J6j9mz9DI7&#10;jvsXhRThfVF4GVg1zRBbiE8XnzN6do6P+GThuC2VaMLgL4ii5krj0M1WZzxwtnTq0Va1Es54U4QD&#10;YeqOKQolZMwB2eTdvWwunFnamMtislrYDUyAdg+nF28r3t1dOHttrxyQWNkFsIgjymVduJr+I0q2&#10;jpDdbyCT68AEJnu9cb83GGRM4F1vPH6NoiRQRQnkH60T5Y9fWNlpD+7shLMZpDAR95Vjao5DwTDN&#10;a3Drr99+//uXPxgmmlz+M8lZJSb4awoM61GBv9wIWBWWTmbNJvVX7VFzd7u0r8BFy4OaqUqF+9hX&#10;YB0Fpe+ulLhyabDFPH8I+a9/spwQJ39ySQs4JXRpxK1n2pyWXC/kibfoR6gEeXd23eNw57RZpey5&#10;qipiINlNXujdPe4/AU3qqzMjlrXUIQmFkxVSNNqXyvqMuYmsZxL8cW/nSEdApAI4ZJ3SIRHYByeD&#10;KOn8AnF8QOwUN59sXsSgt3FSRh6d9LLeGeXjfuqdTQcAQ+fDhTQ1IwOxIgZUhk/43aVvomldaLrS&#10;9PSmUvMWuqik8rRy7I5DA8M6ob/jhQNpZUwnJRBN5EPNBmH2LfoYPcL/WdpzXXIrkQJt+4BPvZZQ&#10;NyQsP5g1y3upi6Mb6RMLa8w37KHln4E6H7zu50MoEgnSaJDng0aQWskiiRrjLiDFyvvDbnr/ctB3&#10;4KZqbMBelSrISPYduNs6aUNFSpyK+G+zIiusZ+uocK8HLRQzM78HEs6AC8jAW3GucOAl9+GKO1xc&#10;mMRlHN7jUVRmNc1MY2WsNO7TU/Pkj5ribcZWuAinmf95yUlIqrca1aZbszVca8xaQy/rUwNeoYUQ&#10;TTSxwIWqNQtn6o+4o0/oFLziWuAsELE1T0O6jnHHC3lyEp2SHl3qawsVyyPjCdib9UfubNMLAfV8&#10;Z1o+PWqJ5BvbwZ4sA6CO/ULAJhTBdxqA29Fqbr5vRfjuIbBI19aW8jQJOlBY6I1nkT4/HA5BZCL9&#10;YNTfXMIt5/O8289HpHNwGEFoxrG9/iXS72nMbPGExhDpGQg5PESYVJZ99vOJjN9rjbARCKnDoxXu&#10;K5kU7oMs0BXxeyRWl74Ut/rGhYDit+dXGt7klQT86xc2/rQ0RfWcUzcr4slGh83iWmnjYvZ7kM1v&#10;25CL5N+w06e8CYKtHAxbkvyP5EAE940EIXb9ZyQAH9kAfucr/uE4FmX7s+X4HwAAAP//AwBQSwME&#10;CgAAAAAAAAAhAJJFfXHngwAA54MAABUAAABkcnMvbWVkaWEvaW1hZ2UxLmpwZWf/2P/gABBKRklG&#10;AAECAQEuAS4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AAAAAAH/2wBD&#10;AAwICAgICAwICAwQCwsLDA8ODQ0OFBIODhMTEhcUEhQUGhsXFBQbHh4nGxQkJycnJyQyNTU1Mjs7&#10;Ozs7Ozs7Ozv/2wBDAQ0LCw4LDhEPDxIYEREREhcbGBQUFx4XGCAYFx4lHh4eHh4eJSMoKCgoKCMs&#10;MDAwMCw3Ozs7Nzs7Ozs7Ozs7Ozv/2wBDAg0LCw4LDhEPDxIYEREREhcbGBQUFx4XGCAYFx4lHh4e&#10;Hh4eJSMoKCgoKCMsMDAwMCw3Ozs7Nzs7Ozs7Ozs7Ozv/wAARCAJZAekDACIAAREBAhEC/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AAAERAhEAPwD1WiiigAooooAKKKKACiii&#10;gAooooAK57xXM0v2XTYz800m5h7D5V/Un8q6GuXD/wBoeIp7jrHajy19Mj5f57jQBpxosaLGnCoo&#10;UD2HAp1FFABRRRQAUUUUAFMmmjgTfIcDOAOpJ7ADqTUT3e5jFar50g4JBxGv+839BzSxW21/Ombz&#10;ZsY3EYVR6KOw/WgBiwyXTCS6G2MHKQdfoX7E+3QVaoooAhmtkmIkBMcqj5ZF+8PY9iPY02O5dHEF&#10;2Ajk4Rx/q3+nofY/hmrFNkjSVDHIoZWGCD0oAdUc0vkhWxkNIiHtjcQoP5moN8llxKTJb9pDy8fs&#10;3qPf8/Wn3ZWaykeIhvkLoVOQSvzDp7igCxRSIwdQ69GAI+h5paACiiigAooooAKKKKACiiigArJ1&#10;maS4ki0m15lnYb/Ydgf5n2rQurmO0t3uJOiDgep7CoPDVlJI0msXYzLOSIs9l7kfyHtTA2bO1jsr&#10;WO1i+7GuM+p6k/ieanoopAFFFFABRRRQAUUUUAFFFFABRRRQAUUUUAFFFFABRRRQAUUUUAFFFFAB&#10;RRRQAUUUUAFFFFABRRRQAUUUUAFFFFAFe/uRZ2U1yf8AlnGSP97oo/OsDw/AY7Mzt9+dyxJ64HA/&#10;XNWfFlwwtYbGP79zKOPULjj/AL6IqxBEsEKQr0jQKPwGKAH0UUUAFFFFACEgAk8Acms8I84tnnkd&#10;luHYmLO1QpV3UfKATjA6k1ZviTD5C8NOwiHrhvvH8FBolA+1W8Y4CrI+PYAJ/wCz0wHtG6RhLXZG&#10;F/hKkrj0GCuKZ5t4n+shVx6xOM/k4T+dWKhvHMdrKy/e2EL/ALx4X9TSAZHqNq6qzExBwCvmgoDn&#10;kYJ+U/nVgEEZHIPempGqRLFjKqoXB9AMUxLSGKQSQgx9cohxGc+q9PyoAmqCe+tLUfv5VU+mct+Q&#10;yaZqV2LK0ebPz42p/vHp/jUWieHbR7SO7vkMksg3hWJCgH7vAxnjnmgCpNqF1qxay0qFirja8jcY&#10;B4PsB9aJ9Pv/AA6EuEfz7ZsCZegBPB/+sfzrqooooUEcKLGg6KoCgfgKJY45YnjmAaNlIYHoQetA&#10;GLpkiy2ELKcgJtBPX5fl/pVqsjw0T9jkB6CY4/Ja16YBRRRSAKKKKACiiigAoorO1i/a2iFvBk3E&#10;/wAqAdQDxn69hQBXlVtc1RLCIn7NAd0zDoccH/AV1SIkaLGgCqoCqB0AHAFUNE0tdMswjYM0mGlb&#10;37L9BWjQAUUUUAFFFFABRRRQAUUUUAFFFFABRRRQAUUUUAFFFFABRRRQAUUUUAFFFFABRRRQAUUU&#10;UAFFFFABRRRQAUUUUAFFFISACT0HJoA5m9b7d4lCdUs0H0yOc/8AfTD8q1KyNBzPJd3z/emlP65Y&#10;/wDoQrXpgFFFFIAooqK5mMMRZRmRiFjX1Y8Af40ARp+/vGk6pbgxr6b2wXP4DA/OlT576Ru0USIP&#10;qxLN+m2pIIhBCsec4BLMe7HlmP1JzUdjloTOes7tL+B4T/x0CmBYqtcfvZ4bcdN3nP8A7qfd/wDH&#10;iPyqwSFBZjgAZJPSq9oDJvu2HM2Ng7iNfuj8ck/jSAs0VXE14w3LbgL2DybX/IKw/Ws/VL26fy9O&#10;iiaKa5IXLFcEMduAQT1PXNMARDr+rCJebO15c9m//WRge1dUAAMDgCqml6dFplotunLfekf+8x6n&#10;6elXKQBWdrt8tjp0r5/eSKY4x3ywxn8BzVy5uIbSB7idgkaDJJ/kPeuYQz+IL77bcKVtITiKM9/b&#10;/H8qALejWxtrBAww0mZGH+90/QCr1FFABRRRQAUUUUAFFFIzKil3IVVBJJ4AAoAiurmOzgaeU8KO&#10;B3J7AVV8P2Et5cNrd6OWJ8hT0Hbd9B0H51Wghk8R3+TlbG3PPbcfT6n9BXVqqooRAFVQAAOAAOAK&#10;AFooooAKKKKACiiigAooooAKKKKACiiigAooooAKKKKACiiigAooooAKKKKACiiigAooooAKKKKA&#10;CiiigAooooAKKKKACmS/6p/91v5U+k68GgDl/Df/AB4yf9d2/wDQUrWrI8O/JHcQnqk3P5Y/9lrX&#10;pgFNkfy0L7S2McKMt6U6ikBX+2L/AM8ps+nlv/himQE3U5uGBVYSY40bghv4mP8AIf8A16t1XtOs&#10;49Lh/wCh/rTAL5j5HlKcGZliB9N5wT+WcVOAFAVRgAYApk8InhaInG4cEdQRyCPoeabazGaEFxiR&#10;SUkHoy8H/EUgI7/cY1BBMG79/t5bYPb0z19qsqVZQykFSAQR0I7UtVYh9kn+z9IZctF6K3Vk+ncf&#10;jQBarI8QZi+y3a/eim4/Rh/6DWvWT4lI+xRjuZwf/HW/xpgdQCCMjkGmyyxwxtLKwREBZmPQAULi&#10;OIFyFCoNxPQYHNcxfXk3iG6+x2pK2URBd+m73/wH40gGzzT+JLzAzHYQNwOhY/4n9BWvHGkSLHGA&#10;qqMADoBTYIIreJYYRtRBgCpKACiiigAooooAKKKq32o21guZWy5Hyxryx/wFAFlmVVLMQABkk8AC&#10;saWS41+6+wWWVtkIMsvYj1/wHenw2Ora8Q9wfstmSCF7sPYcE/U8V0dnZW9hALe2Tao6n+Jj6k9z&#10;QAtpaQWNultbrtRB+JPcn3NTUUUAFFFFABRRRQAUUUUAFFFFABRRRQAUUUUAFFFFABRRRQAUUUUA&#10;FFFFABRRRQAUUUUAFFFFABRRRQAUUUUAFFFFABRRRQAUUUUActpo8nV9Rt/WQsB7Bmx+jVrVmXA+&#10;z+KX7C4iBH/fI/qladMAooopAFV7X79x/wBdz/6AlWKr2v37j/ruf/QEoAsVWP7i8B/guRg+0ijI&#10;/NR+lWahvI2kt22ffTDp/vJ8w/ligCaormHz4igO1hhkb0ZeVP50+N1ljWRfuuoYfQjIpJZFhieV&#10;vuopY/QDNACW83nwrJjaTwy+jDhh+BFU9YsJb6JDCwDxEsFbo2cd/wAKlgsgU8yZpBLId77HdFDH&#10;qAFYDj6Vm3088tz/AGZp8sjlsrKWIZR6jOM8d+famASarqetommAKmCfPkXowHc44A+nWte0tYrO&#10;FYIRgDqe5PcmmWFjFYQCKPljy792P+HpVmgAooopAFFFFABR05NRz3ENtGZZ2CIO5/kPWspBqHiG&#10;Qx24NvZA4eQ9/wDE+w/GgB91q0s8v2LSUM0zcbwMqPp2/E8Ve0vw5HA32vUT9puSc8/Min8ep9zW&#10;hp+m2mmxeVbLgn77nl2+p/pVugAooooAKKKKACiiigAooooAKKKKACiiigAooooAKKKKACiiigAo&#10;oooAKKKKACiiigAooooAKKKKACiiigAooooAKKKKACiiigAooooAKKKKAOc8RjyNUsLzsT5bH2Vg&#10;f5Oa0Kg8WQGXTBMvWCVWz7H5T+pFOtJvtFtFN/fRSfrjn9aAJaKKrm+tySIy0pHH7pWkH5gEfrQB&#10;Yqvaf8tz/wBPD/pgf0o+1SH7ttMf+/a/+hOKSxJaF2IKkzzEqcZHztwcEjpQBZJAGTwB1NVhdSz/&#10;APHpHuX/AJ6udsf4cEt/L3qyQCMHkHqKOlAFWyYxL9ilwJIh8uPusnYj+Rqw6JIhjcZVhgj1FR3M&#10;BlUNGdssZ3Rt6H0PsehpYbhZYTK3yFMiRT/Cy/eBoAqaxftaQiKHmeb5UA5IHQn/AAp2lacLGDL8&#10;zScyN1x/s1S01TqWoy6lKP3cR2xA+vb8hz9TW3TAKZLCsyhWLDByCjMh/MEU+q5guQd0Vwf92RVd&#10;f0CH9aQCeTdxcwzeYB/BMB/6EoBH4g06K6DOIZlMMp6K2MN/ukcH+dNNxPD/AMfMWU7yRZcD3K43&#10;D8M1I6QXcIzh0bBVlP5MCOh96YEtVr+/hsIvMl5Y5CIOrH/D3pPtJtbV5L048kld398cbSB6nP51&#10;W0awk1a6Or36/ulOIIzypx/QfqaAEsdIu9ZkW+1UlIOscIyCR/Qe/U10scccKLFEoRFGFVRgAU6i&#10;kAUUUUAFFFFABRRRQAUUUUAFFFFABRRRQAUUUUAFFFFABRRRQAUUUUAFFFFABRRRQAUUUUAFFFFA&#10;BRRRQAUUUUAFFFFABRRRQAUUUUAFFFFABRRRQBBfW4u7Oa2/56Rso+pHB/Ouf8PTF7Iwt96FyuD1&#10;weR+ua6euWiX7B4hubXolxmRPTn5x+WSKANbrSABQFUYA4AHApaKAOI8d+MdT0y7i0Hw9GZL+WPz&#10;JHVDM6Kc7VRcHLcEnIOB+nHz2HjmZxLe3txbK+Wm+13UVggyMn5TP39dtbvjmzubPxtpd5YyL5mq&#10;hLXZLv8AKB3LF82xlJX94px6itXS/C+qSxySPqv2QJcyQ+Xp9rb2oGx9hO7azEkgnJoA4v8AsrU/&#10;+g9aj/uLx/4Uf2Vqf/QftP8Awbx/4V6MfCN4eviDUz9XiP8A7Spg8JXZfZ/b2pYGcfPD/s/9Mvem&#10;B52dL1Ufd121Y9gurRZz264rR0G08V2d0X1C8uDbuGEo8+O6t5OCqjcs0nP4dq7U+ErwKceINTHH&#10;d4sfj+6qmNEubG9gjub03wuTHt3wwxSIM4bLxqCwOR16Y96AOm023FrZRRYw23c3+83Jq1SO6Ipd&#10;2CqOpJwBUK3tm52rPGSeg3DJ/WkBPRRRQAVAIktnknDBImUs69FDDq49OOtTMyqpZiAAMkngACsc&#10;C48RXZt4CY7KIgyP6/8A1/QfjTAIYpfEd9jlLC3b5j03H/E/oK6qNEiRY4wFRQAqjgADoKZbW0Fn&#10;AtvbqEjQYAH8z6mpaQBRRRQAUUUUAFFFFABRRRQAUUUUAFFFFABRRRQAUUUUAFFFFABRRRQAUUUU&#10;AFFFFABRRRQAUUUUAFFFFABRRRQAUUUUAFFFFABRRRQAUUUUAFFZcPibQ59ak8PRXSNfxJuaL353&#10;ID0LAckdR+eNSgAooooAK53xTGbe4tNUQcxv5b/QHco/9CroqpazZ/btNngAy+3cn+8vzD88YoAg&#10;VgyhlOQQCD7GlrP0O5+0WCKT80P7s/Qfd/StCgDzXx3rOmP4x0KMTqP7Lu0e8Y52xjzIXwTjk7UO&#10;QK6DTPGPhhIZ1fUoFLX08gDErlWlZlPIHasDStG0zWPGPiZdTt0uBC2+MPn5WJbkYI9K2rP4f+Eb&#10;rT7W5lsAZZoLcuyyzoCWVMnCygd/SgDV/wCE08Kf9BS2/wC+6jHjPwr5hP8Aalvjn+P2X/CoP+FZ&#10;eDhylmyMOjLPcBh/5FNIvw88MGUoYpyBn/l4uPRT/wA9PegC2vjPwmx3PqlsAOg3/qahtr6z1fVr&#10;W4spVnt0i/1iHK5QMTz9eKT/AIVp4K76dk9yZ7rP/o6oNK0i0sr9tM02PyLWOPlNzOQrbWflizcl&#10;sde9MDfjX7Y/2iTmFT+5Q9Gx/wAtD/7L+dWWRHG1wGHoRkUoAAwOAOgopAVjZInNqxt27BeY/wAU&#10;PH5Yp9vOZN0co2TR43qOnPRh6g1NWPqtxJLdx2Wn5a5dWjcr2VsHH6Z9qYCXc0+sXY0qwP7sHM0g&#10;+7gdfwH6mulsrOCwt1trcYVep7se7H3qDSNLi0q2ES4aRsGV/wC8f8B2q9SAKKKKACiiigAooooA&#10;KKKKACiiigAooooAKKKKACiiigAooooAKKKKACiiigAooooAKKKKACiiigAooooAKKKKACiiigAo&#10;oooAKKKKACiiigArzv4j/EddHWTQtCkDagwK3FwvItweqj/pp/6D9eh8R/iOujrJoWhSBtQYFbi4&#10;XkW4PVR/00/9B+vTxpmZ2LuSzMSSTyST1JoAfFc3EFwt3DK6To4kWVSRIHByGz1znvXuHw9+IUPi&#10;aFdN1Jli1aJfZVuFA5dR2b+8v4jjp4XT4J5rWZLi3dopYmDxyISrKwOQQR0NAH1PRXE/D34hQ+Jo&#10;V03UmWLVol9lW4UDl1HZv7y/iOOnbUAFFFFAHLIn9la9NaniG6+eP05yQPzyK1qg8T2Lz2i3sH+u&#10;tDvyOu3qfyxn86Swu1vbVJ16kYcejDqKYHF+GP8AkcvFf+e7V12kIn9k2BwM/ZrXnHP3UrkfDH/I&#10;5eK/892rr9H50vT1/wCnSAn6BF/rQBpUgVQxYAbj1Pc0tFIArBlxZeIQ7YWO5QAHoOQF/wDQlrer&#10;I8TRodPSXbmQXVrDGScYNxNFbkng8DzM/hTA0qKwYNdkspGsdRUvLDgEqVL4IBGRnnjvUx1LUNS/&#10;c6VbuA3Blbt+P3R+dAE+p6mbfFrajzLqT5VC87c9Px9BV/Q9GGnRme4+e7mGZGPO0Hnbn69TRo+h&#10;Rad/pE5867bO6Q5IXPXGf51q0gCiiigAooooAKKKKACiiigAooooAKKKKACiiigAooooAKKKKACi&#10;iigAooooAKKKKACiiigAooooAKKKKACiiigAooooAKKKKACiiigAooooAK87+I/xHXR1k0LQpA2o&#10;MCtxcLyLcHqo/wCmn/oP16d/cwm4t5IBI8JkQr5kRCyLnjKkhgD6HFcU3wd8Juxd5L1mYkkmVCST&#10;1J/dUAeIMzOxdyWZiSSeSSepNJXt/wDwprwj/fvP+/qf/Gq8h8R6fBpWvX+m2u4w2t1LFGXO5tqs&#10;QMkAc0AZ1FFbngnRrTxB4nstIvy4t7jz95jIV/khkkGCQ3dB2oAxoJ5rWZLi3dopYmDxyISrKwOQ&#10;QR0Ne4/D34hQ+JoV03UmWLVol9lW4UDl1HZv7y/iOOkX/CmvCP8AfvP+/qf/ABqpIPhF4XtZkuLe&#10;a+iliYPHIkyqysDkEERcGgDt6KailEVGYuVUAu2NzY7nAAyfYU6gBCAwIIyCMEHpXK3Vtc+Hbx5o&#10;UMlhMckD+H29iO3rXV0UAeU+FLuGXxj4l52NcIXjR8ByASTgZ9CK7nQ026RZMeptIPy2LgVn+Kfh&#10;1pviO9j1OCeTTb5QFeeAA71AwMjK/MBxkHpwc8Y5PxL8Pb3w5oF1q0Wv3cv2ONCsPzRqQWVMZExx&#10;970oA9Lorw+O2ul0pNQn1K/d5bu2tY4oZDktPbx3A5Zx3cipDY6iAT5us8DvJEB/6OoA9srL8Sf8&#10;g6L/ALCelf8ApbbV5FqlreWmjW+sWuqXrLcRCQRySMCMsqYyH967O2+FV1fWcFxJ4iu8TRxTbCrM&#10;ASFcdZux6GgB2nPHc/F+bySJVi04rIV+YKQiAg/iwH1r0qud8I+CtN8JRStbu1zd3H+vupQA7DOd&#10;oHOBnk88nr2roqACiiigAooooAKKKKACiiigAooooAKKKKACiiigAooooAKKKKACiiigAooooAKK&#10;KKACiiigAooooAKKKKACiiigAooooAKKKKACiiigAooooAKKKKACiiigAr5v8a/8jdrH/YQuP/Qj&#10;X0hXzf41/wCRu1j/ALCFx/6EaAMWuq+Fv/I96Z/29f8ApPPXK11Xwt/5HvTP+3r/ANJ56APoCiii&#10;gAooooAKKKKACuZ+JH/Ikar/ANco/wD0bHXTVgePLK51DwjqdpZxmWZ4AyRqCWbY6uQAOScKcCgD&#10;yyJJX8O28kCGZrXVtOuniTBlMcdjb7iqkjJ5HAq63iGJ02pZXpduNnkEEE8ckkD9aoeD/B8vjXUX&#10;GpJJY2thZxQs8abXkdFEaAllIzxk8dBj3rr/APhSeg7jm+utvYDy934naR+lAHIa/C9v4QsraXAl&#10;it1WRQQ20+YhwcE84Ne06T/yCrL/AK9IP/QFrwrxF4a1Hw7q174asbeW9hvGga1l8tjKyg7lAKjB&#10;xkq2OpGeOle8WEL29jbW8mN8UESNjkZVQD+ooAsUUUUAFFFFABRRRQAUUUUAFFFFABRRRQAUUUUA&#10;FFFFABRRRQAUUUUAFFFFABRRRQAUUUUAFFFFABRRRQAUUUUAFFFFABRRRQAUUUUAFFFFABRRRQAU&#10;UUUAFFFFABXzf41/5G7WP+whcf8AoRr6Qr5v8a/8jdrH/YQuP/QjQBi11Xwt/wCR70z/ALev/See&#10;uVrqvhb/AMj3pn/b1/6Tz0AfQFFFFABRRRQAUUUUAFFFFABRRRQAUUUUAFFFFABRRRQAUUUUAFFF&#10;FABRRRQAUUUUAFFFFABRRRQAUUUUAFFFFABRRRQAUUUUAFFFFABRRRQAUUUUAFFFFABRRRQAUUUU&#10;AFFFFABRRRQAUUUUAFFFFABRRRQAV83+Nf8AkbtY/wCwhcf+hGvpCvm/xr/yN2sf9hC4/wDQjQBi&#10;11Xwt/5HvTP+3r/0nnrla6r4W/8AI96Z/wBvX/pPPQB9AUUUUAFFFFABRRRQAUUUUAFFFFABRRRQ&#10;AUUUUAFFFFABRRRQAUUUUAFFFFABRRRQAUUUUAFFFFABRRRQAUUUUAFFFFABRRRQAUUUUAFFFFAB&#10;RRRQAUUUUAFFFFABRRRQAUUUUAFFFFABRRRQAUUUUAFFFFABXhXivwV4qvfEup3dppk8sE17M8ci&#10;gbWVmJBHNe60UAfOn/CAeMv+gTcfkv8AjXR/D3wh4m0vxhp9/qGnTW9vF9o3yuAFXdBKi557lgK9&#10;oooAKKKKACiiigAooooAKKKztY8QaLoEQm1e7jtQQSqscyNjrtRcs34CgDRorz+4+MugCXydPs7y&#10;9b1VUjUj1GWLfmoqAfGCTOZPD92q9yGJP6xD+dAXSPR6K4XT/jD4WunEV6tzp75wxmjDxg+mYy7f&#10;mtdlY6hY6nbrd6fcR3MLdJImDrn04J59qALFFFFABRRRQAUUUUAFFFFABRRRQAUUUUAFFFFABRRR&#10;QAUUUUAFFFFABRRRQAUUUUAFFFFABRRRQAUUUUAFFFFABRRRQAUUUUAFFFFABRRRQAUUUUAFFFFA&#10;BRRRQAUUUUAFFFFABRRRQAUUUUAFFFFADXdY0Z3OFUEk+w5NfPEsupeJdavNXEK3RmuHIkuc+Sin&#10;OxQuey4GOcelfQd3/wAes3/XJ/8A0E14X4O/5Bkv/X0//oEdVCPM7M5cdiJYai5xSbulrtqLBpWv&#10;eUI5NQSAAYCwxrgD2IEeKRdA1ZWDDV5sg553sOPYy4NbtFb+zXn954LzCs39hekI/qjButJ119oN&#10;zBeIpyUuIlHP/fLfnkVc+HF3eaH40t7O4ja0i1CN4ZIlJeJm2loyPmb+JQM5OMnsa0qz3vrXTfFu&#10;iX17IIbeCZ3kkIJCjjngE1FSCSud+XY6pVq+yko2abvFWenpoe20VzP/AAsjwR/0FY/++Jv/AI3R&#10;/wALI8Ef9BWP/vib/wCN1ieydNRXM/8ACyPBH/QVj/74m/8AjdH/AAsjwR/0FY/++Jv/AI3QB01F&#10;cz/wsjwR/wBBWP8A74m/+N0f8LI8Ef8AQVj/AO+Jv/jdAHTUVzP/AAsjwR/0FY/++Jv/AI3R/wAL&#10;I8Ef9BWP/vib/wCN0AdNRXM/8LI8Ef8AQVj/AO+Jv/jdH/CyPBH/AEFY/wDvib/43QB01Znib/kW&#10;9W/7Bt5/6Kertnd21/axXto4lgnRZInAIDKwyDyAapeJv+Rb1b/sG3n/AKKegD588Ma/ceGtat9W&#10;t8kRNtmjBx5kTcOn4jp6HBr6Qsry31C0hvrRxJBcRrJG46FWGRXzr4b8NzeI4tSS0ybqys/tUMY/&#10;5abXVWT6lWOPfFd38HfFZy/hW+fpumsS35yRf+zD8fagDnb/AP5K0v8A2MVt/wCjo693rwi//wCS&#10;tL/2MVt/6OjrvPiv4ru9A0uDT9NkMN1qJcGVTh0iQDdtPZiWAB+vegDrLrX9BsZvs97qVpbTAZMc&#10;08UT+nRmB7VdjkjmQSROsiN0ZSGU/QjivJPCXwostc0KLV9Xu50mvVMsKQFAFU52s+9HLE9eCKz/&#10;AAxqWpeAPGzeG7qfzbKS6S3nXkR4l2+VOASdpw4J9sjng0Ae21nP4i8PxXH2STU7NJ9wXyWuIRLk&#10;9BtL5zzXA/GDxZeWTQ+G9OlaHzofOu3QlXKMSqR5HQHaS3rx2zUemfBiyudEinvL6aPUZ4VkGwIb&#10;eMuAwUqV3NjOCQwoA9SVldQykMrAEEcgg9DQzKil3IVVBLMTgADkk1498MfEGo6L4kfwfqMhe3eW&#10;aBUJLLFPFuztJ6K2wjHrg+tHxf8AE15casPDNrIyW1skbXCIcebLIA6hsdQFIwPU/SgD1S21zRL2&#10;4NpZ6ha3E4zmGKaKSQY4PyqxNeIS/wDJVh/2NCf+lQrrrH4LWw0tJZ7+eHV9gcNHsFvHJwQuNu84&#10;P8QYeuK4PRxeDx5YLqLF7tdet1uGPJMi3ChyencGgD0v41/8ira/9hWH/wBE3FTfBv8A5FFv+whP&#10;/wCgx1D8a/8AkVbX/sKw/wDom4qP4X6hDpXw/vNTn5jtLi7mYDqQkcbYHucYoA7y8v7HTovP1C5i&#10;tYs48yd0iTsOrEDvTbLVdM1IFtOvILsL9428scwHTrtY+teK+HtL1D4o+JLi51q7dIYU8yXZyUVj&#10;hIYgchR15wenc1P428Fy+AJbPXNAvZxE0wjVnIE8coBcfMiqrKQp4x275oA9torG8H69/wAJJ4dt&#10;NWcBZpEKTqOgkjJR8egJGQPQ1s0AFFFFABRRRQAUUUUAFFFFABRRRQAUUUUAFFFFABRRRQAUUUUA&#10;FFFFABRRRQAUUUUAFFFFAEN3/wAes3/XJ/8A0E14X4O/5Bkv/X0//oEde6Xf/HrN/wBcn/8AQTXh&#10;fg7/AJBkv/X0/wD6BHWlL4vkefm3+7P/ABRN2iiiug+cCq1p/wAjx4f/AOvhqs1WtP8AkePD/wD1&#10;8NWdX4T0Mp/3pf4ZfkezUUUVzn0YUUUUAFFFFABRRRQAUUUUAFZnib/kW9W/7Bt5/wCinrTqjrtt&#10;NeaJqFnbLvmuLG5iiXIXc7xsqjJIA5Pc0AeUfBL/AJD9/wD9g/8A9qR1F8SfD1x4T8Qw+JNHzDBd&#10;TiZGThYrlTvZfo2NwH1HQVvfC3wf4j8Oavd3Ws2n2aKWz8tG82GXLb0bGI5HPQV3fiDRLTxFpFxp&#10;N4PknTCuBlkcco49wR/SgDwqw1P+2viDYars8s3etWUrJ1ClpY9wHtnpXUfHCGQajpdwQfLe2mQH&#10;tuVlJ/RhWfoXw28Zad4j067uLEfZrXUraWSZZrcr5ccqszgebuxgZxjPtXqXi/wraeLdJOn3DeTK&#10;jeZbzgbikgBHI4ypBwRQB5r4f+Ecev6NaaxFrIjF1EHMYtvM2NkqybvtC5wQR0FXLT4Q2H20JB4k&#10;hlnt5sNEkKGQPHhihAuiQQOvHFQWXhX4s+F1lsNBkD20hLExS2zRZPGVFxtZSQOoArT8F/C6/tNV&#10;TXvFEiyTxS+fHbq3nM0pO7zJH6EhucAnJ5z6gHNfGCGSPxg0jg7ZrOB0J6YG5Dj8VNbFn8FY720h&#10;vIdcBjuIklQi1yCHAYc/afeuy8d+CIPGFnH5cgt7613eRMwJQhsbo3xzg44Pb864a38OfGDSbNtE&#10;092+wkFQY5rUqA3XY0jCVBz2xQBpeGfhfYWesWmq2PiGG++xzrMY4YkO4Rthhlbl8c8E4rk/iErW&#10;XxCu5pwdnn2s4PqnlxHj8iK7z4f/AA0fw5dDWdZdJb5VZYIo8tHFuGCxYgZbBI4GB79rvxB8ADxb&#10;HHe2LpDqVuhRS+fLljySEYjJBBJwcd/yAOxR0kRZIyGVgGVhyCDyCK8BFzDefFCO5tyDFJ4liZGH&#10;Rh9pXDfj1rotP8NfF5LP/hHln+yadgx73mt3AQkDCsm+YLjoBjjiq9h8MvE2k+LbGeC2M+n2eoWc&#10;rXRlt13JG8byPs8zeBkHAxn60AdN8a/+RVtf+wrD/wCibisfwtDJP8IdZjiBLeZdPgdcIsTt+imu&#10;o+KGgat4i0C3stGg+0zx6hHMyb44sII5lJzIyDq470/4b6BqWh+GpNM1u3EMr3UzmItHKCjqi8lG&#10;decHjNAHk3gjwfH4yu7mzN8LGS3iWVR5XnlwTtbjzI8YyPXrXVXPwasbNo0u/EcUDTFhEstusZcq&#10;MsFDXQzgcnFLqnww8S6Fqx1bwVPuVWLQx+YsVxGG4KZfCOuD3PI6j1hm8B/EbxdfxS+KplgSL5RJ&#10;I8D7UPLbI4CVycd8Z7mgD0PwX4bXwtoo01LsXyPM86zBPKXEgXAA3yccZznvW9VLRtJs9C0y30qx&#10;XbDbJtXP3mJ5Zj7kkk1doAKKKKACiiigAooooAKKKKACiiigAooooAKKKKACiiigAooooAKKKKAC&#10;iiigAooooAKKKKAIbv8A49Jv+uT/APoJrwTwtf2Vpp0i3M8cTG4ZgrMA2NqDOOvau++LWrzCLTvD&#10;FrMYX1ScG4Zc8Rbgig45ILNnA/u1WttE+HujpHEdLku5HwvnahLDbMxxkfu554XBPosWfWqjJxd0&#10;Y4nDxxNP2cm0rp6b6HNHxNov/Pxn/gEn/wATR/wk2i/89z/3xJ/8TXbIPDAB8nw5psgJ4+QTMff5&#10;LOXj3BqY3ls4KT+H9NaNhhlUXbkj6NpCA/iar2svI41k+HXWb+a/yOFTxJorsFFwAScDcrqPzK4F&#10;P027tbnxtoDW8yShbgglGDYz0Bwa6+VfCTf8fPh7TkGMHZ5cBHqDvgtwD+NYWv8Ah7wZf6Vc6ho1&#10;pNp93BE8sUlvJHc2rMgLAM0E1xGgOOGJXBxnFKVRyVnY0w+XUsNUVSEpNpNWbTWvyR61RXM/DrXp&#10;PEHha2ubhzJc27Na3DtyS8eCGJ7koyk+5rpqg7gooooAKKKKACiiigAooooAKKKKACiiigAooooA&#10;KKKKACiiigAooooAKKKKACiiigAooooAKKKKACiiigAooooAKKKKACiiigAooooAKKKKACiiigAo&#10;oooAKKKKACiiigAooooAKKKKACiiigDzb4r20Q1bw5dqCs0l20DOpKsY98R25BB/iP512mhwwQtf&#10;QwQxwpBeNDGI0SPCeXE+PlAzyxOTzXIfFj/j+8M/9hJv/QoK7LSP9fqf/YSb/wBEwUAaVFFFABXI&#10;eN4IJLXUmaKPfb6LPdQyhFEySgsu9XADg446119cn40/49NY/wCxduP/AEI0AR/Ce1gg8EWc0S7X&#10;upbmWY/3nErxA/8AfMaiuwrlPhb/AMiJpn/b1/6UT11dABRRRQAUUUUAFFFFABRRRQAUUVi+M9Tl&#10;0fwtqWowNsljtysbd1eQiJWHuC+RQByHjP4tJpV1JpXh2OO5niJSa6ly0KOOCqKCNxHqTjPY1zTe&#10;OPipHGdTkW4WzBMhZrFBbbc9N/kA7e2d2fej4Q6Ha6rr817eoJU0+FZI0Ybl812wjEHrgAke+DXt&#10;pAIweQeooA4DwJ8UF8Q3SaPrMSW99ID5EsWRDKQMlSCSVbAz1wfbgH0CuDl+EulPr761BeTWiG5S&#10;4ht7ZETymXDHDHcPvjI+UY6V0HjDxRbeE9HfUpV82VmEVtDnG+QgkZ9FABJNAG5RXjOlyfE7x+0t&#10;9Z6i1jbRuVDrLJZW+7rsXygztgHvn60tv4y8aeA9ZXS/FDvfW2FZlkbzXMZOPNikOGJ4PDH2ODzQ&#10;B7LRXBfEfxDr+m6Rp/iDwxe+XZTkLLtihmUiVQ8MmXjcgYBB+ora8AeIpPE3huC+unD3cTPBdEBV&#10;zInO7CgAZVgeBQB0dFeXfEjx9rmk6/Fovh258hoYU+0YjimZpZfmVPnR8YXB49a7DVNem8JeE01P&#10;W3+130cESOAEj825cfdG1QoGc9B0FAHQ0V4zpbfEz4gNNqNlqTWFtFIUUrLLZ2+44JRRCrM2Bjls&#10;/WrGieOfFHhPxAvh/wAZO08G9I3klIeSMNgJMsg5dO5zk/jkUAevUVxHxT8R6z4c0yyuNGuPs0k1&#10;00cjbIpcqEJxiRHA5rjLfxL8R/GthFYaI0zSWilr26gaKzZ3d3MY3gwgAJgbRyeSc0Ae1UVjeELP&#10;WrHw/aweIJ3uL/DGUyMsjLk/KhYE7sDGTk8962aACiiigAooooAKKKKACiiigAooooAKKKKACiii&#10;gAooooAKKKKACiiigAooooAKKKKACiiigAooooA87+LH/H94Z/7CTf8AoUFdlpH+v1P/ALCTf+iY&#10;K434sf8AH94Z/wCwk3/oUFdlpH+v1P8A7CTf+iYKANKisLWfFlrpd8mk2ltPqeounmG1tFDNGn9+&#10;RiQqj0zVQ+KfEiDc/ha72jrtntnb8AGyaAOork/Gn/HprH/Yu3H/AKEa19B8R6f4gjlNqJIbi2cJ&#10;c2twhiuIWPIDKf0IOKyPGn/HprH/AGLtx/6EaAF+Fv8AyImmf9vX/pRPXV1ynwt/5ETTP+3r/wBK&#10;J66ugAooooAKKKKACiiigAooooAK5v4jWsl54K1WGMEssKS8ekMiTN+iGukpskaSxtFKodHUqynk&#10;EEYIP4UAeP8AwSu4YtX1CycgSXFrG8YPfymO4D8HzXsVeJeJfAPiLwhqv9r+GhNNaxuZYJbcF54P&#10;9h1GSQAcZwQR1psnxc8azQnT0jt0uGzH5scL/ad3ThS7Ju/4BQB6bc+P/C1lrE2h3139muICqs8i&#10;kQElQ+N4yBgHBzjniuK+OLy79HTJ8krdMPQt+5H8jWf4F+Husaxqseu+IopIbRJftBFwCJ7mTO4Z&#10;DfNtJ5JPXtnOR6B4/wDCR8W6L9nt2CXtq5mti3CscYaMnsGHf1AoAd8OUhTwVpYhAw0Ls2OMsZHL&#10;/rmuQ+OSQ7NIkwPOLXS5/iKgRH8smsfw/wCMvEnw7hfRtY0x5bcSM0Ucxa3ZGPLbH2SKyk88A896&#10;jltPFfxV1uK8ktjaWKKEWUqwtoo85bBbHmOc9uvHQUAdr4U0k+IvhXDpV1964t7lImb+FkmlMLfQ&#10;FR+Fcj8J9e/sLVtQ0vUCY4ZLaWZ1P8EloGd+D/sBs/QV7Bpthb6VYW+m2g2w2sSRRg8nCjGT6k9T&#10;XinxT0eTQ/FUl9bZjh1SN5lI6b3BjuF/HOT/AL1ADvAtnN4x8evq94u6OKaTUJweVBDfuk/BiOPQ&#10;V1HxveQaRpqD/Vm8ct/vBCF/QmtD4Q6H/Zvhs6lKuJ9Uk8zPcRR5SMfnub8a2fHXhk+KtAk0+Iqt&#10;1G6z2rNwvmKCNpPoVYj9aAPMvCQ+KY0WM+Ff+QaZJCn/ACD/AL24h/8AXfP19aZrXgv4oeIbtb7W&#10;LL7ROsSxB/NsIvkUswGI5EHVjzil8O+MPEPw5WbR9V015IGkZ0hmLW7K+AGKPskVlIweAR3B5q/o&#10;eq/EXxj4gN9p89xp1hLJGzsAWs4o04wgkBVmI6gDk9eOgBf+LaXEfhTQ47wYuFkRZhkNiQQ4fkEg&#10;8571r/BqCOPwm8qgbpr+ZmPf5VjUD9Ko/G3jRdOHX/TG5/7ZmtH4Pf8AInD/AK/Z/wD2WgDuKKKK&#10;ACiiigAooooAKKKKACiiigAooooAKKKKACiiigAooooAKKKKACiiigAooooAKKKKACiiigAooooA&#10;87+LH/H94Z/7CTf+hQV2Wkf6/U/+wk3/AKJgrjfix/x/eGf+wk3/AKFBXZaR/r9T/wCwk3/omCgD&#10;k9CU3D67K7Msl54wmsZpUOyRreLYFi3DBAxxxziuqfw3pDoyrE0ZIIDxyyo6nsykPwR2Nct4b/5i&#10;v/Y+Xf8A7JXe0AcPoc8lx4s0fUX4n1PwlFNdleFkfdEwYjpkbjg+nFXPGn/HprH/AGLtx/6Eaz/D&#10;n/Id8M/9iZF/OCtDxp/x6ax/2Ltx/wChGgBfhb/yImmf9vX/AKUT11dcp8Lf+RE0z/t6/wDSieur&#10;oAKKKKACiiigAooooAKKKKACiiigAooooAKKKKACiiigAooooAKKKKACiiigAooooAKKKKACiiig&#10;AooooAKKKKACiiigAooooAKKKKACiiigAooooAKKKKACiiigAooooAKKKKACiiigAooooA87+LH/&#10;AB/eGf8AsJN/6FBXZaR/r9T/AOwk3/omCuN+LH/H94Z/7CTf+hQV2Wkf6/U/+wk3/omCgDlPDf8A&#10;zFf+x8u//ZK72uC8N/8AMV/7Hy7/APZK72gDg/Dn/Id8M/8AYmRfzgrQ8af8emsf9i7cf+hGs/w5&#10;/wAh3wz/ANiZF/OCtDxp/wAemsf9i7cf+hGgBfhb/wAiJpn/AG9f+lE9dXXKfC3/AJETTP8At6/9&#10;KJ66ugAooooAKKKKACiiigAooooAKKKKACiiigAooooAKKKKACisDWPHfhXRNyXmoRtKv/LGDM8u&#10;fQhN20/7xFcbqfxutlJTR9NeT0lunEY/74Tfn/voUAeo0V4RffFzxld58iaGyU8YgiU/rL5prEuf&#10;GPiu8J8/Vrwg9VWZ417dkKjt6UAfSVFfLkl/fTHM1zLIcY+d3bj8TUFAH1VRXyxHNNFnynZM9dpK&#10;/wAqu2/iPxBaHNtqd5F/uTyqO3UBsHpQB9NUV8+2XxM8a2WAuotMox8s6RzZx7su79a6LTvjbqkW&#10;F1TT4LgdC0DPA31w3mgn8qAPYKK4zSfiz4R1IhLiWTT5Dxi5TCZ/30LqB7nFddbXVrewi4s5o7iJ&#10;vuyRMsiH6FSRQBLRRRQAUUUUAFFFFABRRRQAUUUUAFFFFABRRRQAUUUUAFFFFABRRRQAUUUUAFFF&#10;FABRRRQB538WP+P7wz/2Em/9CgrstI/1+p/9hJv/AETBXG/Fj/j+8M/9hJv/AEKCuy0j/X6n/wBh&#10;Jv8A0TBQBzfhSxe/t/EKQy+RNF4wv5oZNvmKHjMRG5cjKnoRkHHQg10UkHiSRDGLqzi3DHmLBKzK&#10;D1IBnxn0zWP4FdYb3xNp8hC3CeIru5aP+IRXARon+hCmusoA5GKzh0/x1pWn2+RDa+GpII8nJ2Ry&#10;xIuT9BTvGn/HprH/AGLtx/6Eac8qT/EqJITvNpoUonxkhDJMhQE9MkDOKb40/wCPTWP+xduP/QjQ&#10;Avwt/wCRE0z/ALev/SieurrlPhb/AMiJpn/b1/6UT11dABRRRQAUUUUAFFFFABRRRQAUUUUAFFFF&#10;ABTJZooI2mndYo0BZ3chUUDqSTgAVy/i74i6L4WDWwP23UMcWsRGEPYyNyF+nJ9sc1414j8Y674o&#10;mL6lOfIDZjtY8pbp6fLnk+7ZNAHp/iL4w6Lpxe30SM6lOOPNOY7UH6/eb8AB715rrvjrxP4hLJfX&#10;jJA3/Ltb5hgx6EA5b/gRNS+Gvh/4i8TbZraH7NZt/wAvdxlIyP8AYGNz/gMe4r1Hw/8ACjw1o4WW&#10;+Q6pcjkvcDEIPtGCR/30WoA8a0rw/reuPs0mymuucF0U+WD/ALTnCj8TXZ6X8FteucPqt1BYqeqJ&#10;m5lH1AKp/wCPGvZIoooY1ihRY40GFRAFUD0AGAKfQBwNh8GvC9thr2W5vW7hnWGP8kUN/wCPVvWv&#10;gDwbZ48rSbdsf89gbj/0aX9K6CigCjFoeiQDbBp9rEOOEhiUcdOiirH2S1/54x/98L/hU1FAFaTT&#10;NNm/11pBJxj540bj05FULjwf4Vus+dpNmSerLDGjfmqqe1bFFAHHXvwm8F3YPlW0tmx/it5Xz9cS&#10;GRf0rmtS+CBwW0fUwT/DHdJgfi6Z/wDQK9Ud0jUu5CqoyWJwAB3NZUutyXBMelRebg4M8mUgH07t&#10;+FAHh2teAPFWhKZbuzMsAOPOtyJ0/JfmH4gVkadq2qaNP5+mXUtpKDyYmKZx2YdCPYivoEWJlkFx&#10;qEhupR90NxEv+6o4qprHhXQddU/2jaI8hHEyDy5h/wACXB/A0AcT4f8AjRfQFYPEduLpOhubcLHN&#10;9SnCN+G2vTdE8RaN4it/tGkXSXAAG9B8sqZ7Mhww/LHpXkuv/CbULMNPoUv22Ic+RJtS4H0PCt+n&#10;0ri45dS0W+3xtNY3lu3bdFKh9D0P4UAfUFFeV+EfjAGKWHitQp+6t/GvH/bRAP8Ax5fy716hBPBd&#10;QpcW0izRSKGSSMh0YHoQRkEUASUUUUAFFFFABRRRQAUUUUAFFFFABRRRQAUUUUAFFFFABRRRQAUU&#10;UUAFFFFAHnfxY/4/vDP/AGEm/wDQoK7LSP8AX6n/ANhJv/RMFcb8WP8Aj+8M/wDYSb/0KCuy0j/X&#10;6n/2Em/9EwUAVNa8JWeq3qarb3E+m6lGmz7XaNsdk7I4IKsPqKqHwlrRGD4n1HB64WAH89ldRRQB&#10;l6D4c0/w9BJHZ+ZLNcOHubq4Yy3MzjozscZ68DpWP40/49NY/wCxduP/AEI11lcn40/49NY/7F24&#10;/wDQjQAvwt/5ETTP+3r/ANKJ66uuU+Fv/IiaZ/29f+lE9dXQAUUUUAFFFFABRRRQAUUUUAFFFRXN&#10;zb2VvJd3ciwwwoXkkc7VVRySTQA93SJGllYIiKWZmIVQBySSeAMV5N44+K8kxk0rws5ji5WW/HDt&#10;2Ii9B/tdfTHWsXx98RbnxNI2naaWt9KRsEdHuCDkO/ovHC/ieemf4N8Dan4uud0f+j2ETYmu2GRn&#10;g7EHG5ufoO/bIBkaVo+q+Ib4WemwvdXEhLMewBPLux4AyeSTXsHhL4UaTowS81rZqV6OQhGbWM+y&#10;n7592H4Cuq0Lw/pXhuxWw0qERIMF3PzSyN/fdu5/QdsCtKgBAABgcAUtFFABRRRQAUUUUAFFFFAB&#10;RRWbrF7JCq2Vof8ASrnIU/3E/ikP9KAKt9L/AGreG1U5s7Vv3pHSSUfwfQd6sABQFUAADAA4AqO2&#10;t47WFYIh8qjr3J7k+9PdN64yVPUFTgg/1/GgB1FQi4EZ8u4wr/wkZIcf7I5OfUUMZHBZz5MYGTyA&#10;5Huei/hz9KAHtMits5ZhyQozj6+lZOveH9E8RweVqVuzOBiOdEdZ0+jbenseK0VjEq7VXZB6dGf6&#10;9wP1P83+SY+YDt/2Dyn4en4flQB4n4o8B6t4eL3UatdaeDxOowyD/pooJK/XpTPCPjnV/CU4Fu32&#10;ixdsy2chOw+rIedje4/EGvbjKpUpcJtBBDbhujIPXnpj64rznxl8N4XjbV/DCjk5ezQ5VsnrFzx/&#10;u/l6UAeleHfEmleJ7AX2mSbgMCWJsCWJv7rDJx7Hoe1atfMui63qnhrUlv8ATpDDPGdsiNnY6g/N&#10;G68ZHHI/rXvXg/xjp/i6w+0W+IbqIAXNqTl0J7jplT2P9aAOgooooAKKKKACiiigAooooAKKKKAC&#10;iiigAooooAKKKKACiiigAooooA87+LH/AB/eGf8AsJN/6FBXZaR/r9T/AOwk3/omCuN+LH/H94Z/&#10;7CTf+hQV2Wkf6/U/+wk3/omCgDSooooAK5Pxp/x6ax/2Ltx/6Ea6yuT8af8AHprH/Yu3H/oRoAX4&#10;W/8AIiaZ/wBvX/pRPXV1ynwt/wCRE0z/ALev/SieuroAKKKKACiiigAooooAKKKKAGu6RI0srBER&#10;SzMxCqAOSSTwBivDPiL49k8TXJ03TWKaVbvwRlTcMP42HHyj+Efieem38WPHBlkfwtpUn7tDi/lQ&#10;/eb/AJ4A+g/i9+OxrlPA3g258Xan5bbo7C3Ktdzjg4PSNeD8xx+A5+oBa8A+AbjxZcG7uy0GlwPi&#10;SQcPKw5Maf1PavdbOztdPtY7KyiWCCFQkcaDCgD/AD1os7O10+1isrKNYYIECRxoMKAP881NQAUU&#10;UUAFFFFABRRRQAUUUUAFFFFAEN3dRWVu9zOcJGM+5PYD3JrIs4pXd7+7H+kXHJH9xP4UH9aLiX+1&#10;r75Tmzs3+X0klHU+4XtVlt207CA3bPSgBabJIsa7m57ADqT2A96asymMyN8u3IcHkgjqP89aSNWd&#10;vOlGD/Av90ev+8e/5fUAq3ly1hH9slAdm+Ty84xnkBTg+nPrU1sWuII7qdcsyh1jH3VzyMepx3NZ&#10;2pbr1nZf9VFItrEezTSH5/yQGtlVCKEXgKAAPYUwGpKkmQp5HVTkMPwPNOJCgsxwAMkngCmSoGXd&#10;nayglX9P/retV7WCbWgJ7jMNgvO3OGlI65PZKQDGdtRV33m306IHzp+jSAdVT27E03TbVPNe9SMw&#10;RSY8iDJwFAwHIyfmI/nUtxJFqlwtrb4/s+0xnZwkjjooxwVFXKYHD+PPAEetJJq2kIE1FRukiGAk&#10;4H8n9D37+teXaTq2peHdTj1CxdoLm3chlbIBAOGjccZBxgj+tfRNef8AxI8EC+ifX9Ji/wBKjG66&#10;hQf61B1kA7uO/qPfqgO58J+KbHxZpa6hafJKuEubcnLRSenbIPUHv9citqvm7wp4mvPCurR6jbZe&#10;M/JcQZwssZ6r9R1B7GvofTNSs9XsINSsJBLb3CB42HXnqCOxB4I7GgC1RRRQAUUUUAFFFFABRRRQ&#10;AUUUUAFFFFABRRRQBn63qg0uzMi4M0nyxKfXufoKwotIvbqMT3l3IJHG7actt7jq1TXp/tPxF5Tc&#10;w2S9OxIwT/48QPwrUpgYiprunTlLW5aYBd6o5JDqMBsBiRkZ5wa2NI16HUD9nnXyLpeDGeA2OuM8&#10;/gaiuP8Aj4tSOvmOD9PLcn9QKq6rpv2hftVt8lzFhgV4LY6D6+hoAwPix/x/eGf+wk3/AKFBXZaR&#10;/r9T/wCwk3/omCvPPHWpnU28NNIMTQ6nsm4wMlodrfjg/ka9D0j/AF+p/wDYSb/0TBSA0qKKKACu&#10;T8af8emsf9i7cf8AoRrrK5Pxp/x6ax/2Ltx/6EaAF+Fv/IiaZ/29f+lE9dXXKfC3/kRNM/7ev/Si&#10;euroAKKKKACiiigAooooAK5T4ieLh4W0Ui2YDUbzdHajglP78uP9kHj3IrqJpY4InnmYJHEjO7tw&#10;FVRkk+wAr5z8ZeI5fFGvT6kxIgB8q1Q/wwqTt47E/ePuaAKWkaXfeINVh02zBkuLqTBZskDu8jHk&#10;4AySa+ivD2g2XhvSodKsR8kQy8hGGkkP3pG9zj8Bx2rlPhR4SGj6V/bd4mL3UUBTPWO3OCo+rfeP&#10;tiu9oAKKKKACiiigAooooAKKKKACiiigArM1m7kVU061bFxcg5Yf8s4/4n/oK0icAnGcDOB1rA00&#10;m5D6lKQ0tyxPHIRFOFQfTFAFmCGO3hWGIYRBgf408kKCScADJJ6U2WaKEAysF3HC56k+gHUmmhXl&#10;IaUbVHKx/wBW/oP8gAakQklNwwIXjYp4Bxn5yPXnj/OGXs0uUs7Tm5uOE/2V/ic+wp93dfZkUIhl&#10;lkbZFGOrMf6etW9L05rQNcXJEl3NjzHHRR2RfYfrQBnz20VvdWOmRcpbRvcOT1Zj8gY++STVyqqM&#10;ZdRvrrG7Y6wIBjOIwC3XHUmo57yWd/slhxL/AMtJGB2xD39T6CmBHq90fL+w22ZJ5vlKJ94J/ET1&#10;xketP+zXNxEq6hII7eNABaw5WIKo4DHOW6VYtLOG0QiPLO3LyNy7H1Jp8oIKyqN23IZRySpxn8eM&#10;0ANytuAoQLCoABTov1GOnuKm61XjcxKMZkh/gdfmIHoQOT9R+NK0kVlEzTsEiU/IT6EZ24+ucD0p&#10;AT1Vn1CCJxCmZ5jwIohvf8cdPxot7S61cCWYtbWR5VF+WaUdiT/Cp/Wta2s7WzTZaxLEO+0cn6nq&#10;fxoA8Q+Ivg670a4GuJAIbS+lbfEh3iGU87TgYAbkjHHUelXPhP4wOk6j/YF++LK/ceSzHiKc8D6B&#10;+h98e9ev6tpdprWm3Gl3y74LmMo3TI7hh7ggEe4r5v13R7vw/q9xpN3xLbSYDDgMp+ZHHsVINAH0&#10;3RXL/DvxR/wk/h+OS4bN7Z4gus9WIHySf8CHX3zXUUAFFFFABRRRQAUUUUAFFFFABRRRQAUUUUAc&#10;roZ86e9uzyZJuv1LMf51r1j+GuLaZT1EvI/AVrsyqpZiFAGSTwAKYEEnzXsK/wByORz9SVUfzNWK&#10;rWxM00l3jCMqpFnglVyS34luPpVmkByPirSIZLqGTGAZ4rlD/deJwWx9R/Ouv0j/AF+p/wDYSb/0&#10;TBWP4kj3WkcvdJcfgwP9QK1dCkEp1CUdHv8AcPxggNAGrRWfr11d2WkXFzYjM0arg4DbVLKHfB4y&#10;qknnjjniuQOt+IYgJ45bh24KK8XyOT0U5jA5PHb2oA7+uT8af8emsf8AYu3H/oRrqoy5RTINrlQW&#10;UHIB7iuV8af8emsf9i7cf+hGgBfhb/yImmf9vX/pRPXV15x4C8QS6X4esrRo/NtljZsDh13uzMc9&#10;/mY9a72x1Kz1FN9rIGIHzIeHX6igC1RRRQAUUUUAFFFFAHAfF/xGdM0VNFt2xcamSJMHlYExu/76&#10;JA9xmvOPh/4a/wCEm8RQ20y5s7b/AEi6PYopGE/4E2B9M+lR+PNd/wCEg8T3l6jboI3+z23ceVES&#10;oI9mOW/GvVPhN4fGkeGl1CZcXOqMJyf4hCOIV+mCW/4FQB2oAAAAwAMADpS0UUAFFFFABRRRQAUU&#10;UUAFFFFABRRRQAVmy6FavK0sMs1tvJZlgcKhJ74Kt+laVIxIUkDJAJA9fagDmm0+2GsKkbSS/ZED&#10;yySsXYu3KL2AwOeK06ztMurcQPLPKizySPJOHIVgxPTB5AFSK02rsbexylueJrrBAx3VM9T79qYE&#10;2mJ9uv3vzzDbBooD2Zz/AKxx+HFbVR28EVtClvCu2ONQqipKQHLC6eGGbycefd3lwY89B8x3OfYA&#10;Vbs4Tbw7IE3Z+Z5JCUZ2PVvusfzrMssNewGX7pSUkdgxmYY/PbW9TAZHIHyCNrL95T1H/wBan1Uv&#10;Lu2tJY2lbDYOQOWK46YH+1jFRbL7Uf8AWZtLY/wD/XuPc/wigB014izNFYx+fcHhtpxGvu56Z4+t&#10;QWWnPqmoeZdP58Vs37xukRfr5SD0H8R71M0fzrpGlqI3YZlcdI07sT/ePaty1tYbO3S2gG1EGB6n&#10;1J9zSAmooooAK85+MXhkXumR+IrZMz2OI7jHVoGPB/4Cx/In0r0aorq2hvLaW0uVDwzxvFIh6FXB&#10;Vh+RoA8D+G/iI+H/ABNAZX22l9i2uB/CN5/duf8AdbHPpmvoGvmTXtJm0LWbvSJ+WtZmQMf4k+8j&#10;/ipB/GvevAeunxB4Xs72Rt1xGv2e4PfzIsKSfdhhvxoA6GiiigAooooAKKKKACiiigAooooAKRiF&#10;BZjgAZJ9hS1n67c/ZdKuHzhmTy19cv8AL/I5oAwNDNywuJLZF8uSXguSAvU9ADngjuK0xab2D3bm&#10;cg5CY2xA+u3nP4k1Ho0HkadECMFwZD/wLkfpirtMAooopAUNcTdpkvquwj/vof0qXwk26yuT/wBP&#10;Kj8oLcUmqjOnXA6/uyfy5pvg05sLn/r8P/omCgDoKYsEKtvWNQ394AA8/hT6KACuT8af8emsf9i7&#10;cf8AoRrrK5Pxp/x6ax/2Ltx/6EaAMH4cANYW4IyDZNkHp99a6O50RC/2jT3NtMpyNpIXPtjkfhXO&#10;/Dj/AI8bf/ryP/oa121MDPtfEV1ZSC21qM+gnUdfcgcH8PyrfgnhuYxNA4kRujKcis2aGKdDHMgd&#10;T1B5rHmgudAlF9YOzQbgJYmPGD2Pt2z1FIDrqKitp47qCO4i5SVAw9ee31qWgArC8cax/YfhbUL5&#10;G2y+SYYSOD5kv7tSPpu3fhW7XmHxu1Mpaabo6H/WyyXMg9ox5afnvb8qAPM9A0t9b1qy0qPP+lXC&#10;RsR1VM5dvwUE19MRRRwRJDEoSONFRFHQKowB+Qrxr4L6X9q8QXOqOMrYW21T6STkqD/3wr17RQAU&#10;UUUAFFFFABRRRQAUUUUAFFFFABRRRQAUUUUAV5bCxnfzZreKR/7zIrH9RU6qFAVQABwAOBS0UAFF&#10;chJ8Qkt7y9srjS7nfa3MsMLRNEyShGZNxLmIKTtzt54I5q34O8Q6jrgvU1SOOGaGSOWKNMblgn3m&#10;IMQzAn5DyMZ9KAI0svPWaFW8ue1up1Vuvyuc4I44INBfWPPh08SQ+ZKfvoGZ1UdXOcCtq70e2upv&#10;tIeWCUgBnhbYWA6bsgg1JZaba2G5oQWkf78shLyN9SaAMOXTrfStSgluJGkEsTfvpT/y1BH5fL0q&#10;xLeNLJ9k04Ce4buDmOMf3mP9K2poIbhDFOiyIf4XAYfrSQW1vbJst41iXqQgCj9KAIdO0+PT4SgJ&#10;klc7pZW+87ev09BVuiigAooooAKKKKAPIvjXovlXtlr0S4W4Q20xH9+PLRk+5Ukf8BpPgnrBiv77&#10;Q5G+S4iFzECf44yFcD3KsCf92u2+JWljVPB1+oXMlqgu4z6GH5nP/fG4V4v4K1L+yPFWmXpO1BdJ&#10;HIe2yX905/JyaAPpCiiigAooooAKKKKACiiigAooooAK57xVIZntNNQ8yyb29v4FP6muhrl1f+0P&#10;EU9x1jtRsQ9sj5f57jQBqKoRQqjAUAAewpaKKACiiigCrqh26dcH/pmR+fFM8GDGn3P/AF+H/wBF&#10;Q0ay23TJz/sqPzYD+tO8HjbY3I/6ewfzggNAG9RRRQAVyfjT/j01j/sXbj/0I11lcz4nhW5bULZj&#10;gTaJJGT/AL8m3+tAGP4CtmgsY1YYMdpAjfVhk/qK6usrw5B5ViZMY8xzj/dX5R+ua1aYBUN7GJbO&#10;aNujRN+eOD+dTVFdMEtZmPRYnJ/AGkAeFZC+kKp/5ZyOo+md3/s1bFY3hNSuk5P8UzkfoP6Vs0AF&#10;eFfF2++1+MZIAciytoIBjoCQZj/6Nr3Wvm/xpdG88WavPnI+3zxg9ciNjGv6LQB6j8GbAW/hma9I&#10;+e8vHIPqkSqi/wDj26u/rnfh9a/Y/BmkxYxutvO/7/M03/s9dFQAUUUhIAyeAKAFoqs+padEdsl1&#10;AhxnDSIDj8TUH/CQ6B/0E7P/AL/w/wDxdAGhRVGPXNFlz5WoWr467Zomx+TVMmoWEozHcwuAcErI&#10;jD9DQBYopqOki7o2DKe6kEfpTqACiiigAooooAKKKKACqGtasmjWX2oxPcSPLFBDBHgNJJKwRVye&#10;AOcknoKv1ieMk/4py6uACTZGG9GOo+yyJcEj8IzQBy//AAj+u6te3WrJ9msIr+RJ4lMj3ToGjRWy&#10;PKjGCV3YBHJ/E2YvCt/pUN1fx6vPFO1sBL9ljihV1hDsq/vPPI+8eQR1rodLdTaLGpyImkjX/djd&#10;kT/x0CpZ7i3jiLTuqIcqfMIQeh60AM8MXt1eaayXz+bc2l1cWsspCgv5UjCNyFAGWj2k4HU1r1y3&#10;gudDc6paxyCQbrO5JBDANJCIH5Hq1sT+Oe9dTQAUUUUAFFFFABRRRQAUUUUAR3EEdzBJbTDMc0bR&#10;uPVWBUj8jXy9dQSWV3NaucSW8zxkjg7kYqf1FfUtfOnj61+x+MtWixjddtN/3+Am9v79AHv+jXv9&#10;paRZahkE3VpBMcesiKx/U1crmPhrdG78E6Y5OWjjkhPt5cjoP/HQK6egAooooAKKKKACiiigAooq&#10;G7u4LKBri4bai/mT2A9TQBDq16NPsJbjOGC7Y/d24X/GsPR7OWKwWRH8uSZvMJID5XooPT61X8y4&#10;8RX/AJlxlLWIbljHTGcD8Tjk+1bTPFEvzMqKBxkhQBTAixfjjdC3vtdf03N/OpIlnGTM6uTjAVdo&#10;H5liajN9bniHdOfSIFx+f3fzNWKQBRRRQBmeIX26cV/vyIv82/pV3wzH5UF3Ef4LtV/K3txWV4mk&#10;+SCH+8zMfwwB/OtzRxibUwP+gi3/AKJgoA0qKKKACuV8VTeVeMn/AD2skT/yLv8A/Za6quS8WLv1&#10;W3Q/xQoPzdxQBp2MQgs4Yv7sa5+pGT+tT0VBesy27Khw0hWNT6FyFz+Gc0AMW8kceakDvCc4dSu4&#10;gdwpIOPSoNUu4zpcskTZ34j9DkkAgg8g4zxWgiqiKiDCqAAPQDgVi6zCJ763soThrh1MgHTrtVvr&#10;gmmBv6FCYNJtkPBMe8/8DJf+tX6RVVFCKMKoAA9AOlLSAK+XtTlM+o3U7dZLmZznk/M5P9a+oa+V&#10;mZnYuxyzEkn3PJoA+mtAiFvoOnQDAEVhbJx0+WNR/SuaufGGta7fT6X4FtIrhbZjHcapdErZo/cI&#10;By/1GfpjmqVzqV74znXwj4bka30u1ijj1XUkycgAKbeI984wT3+nXttK0qw0Wwi03TYhDbwrhVHU&#10;nuxPUknkk0AcuPBvijUPn13xRdfN96HT1WzQD0DLjI+q04fCvwvIc3zXl+3drm4dmJ9fl2c12NFA&#10;HLp8M/A8Ywulqc/3pbhz/wCPSmpx8P8AwYBj+ybfj2Y/+zV0NQy3lnBnzp4o8HB3uq4P4kUAYUnw&#10;78FyY3aVCMf3TIn/AKC4qF/hj4GkO5tLAOMfLNcoPyEwre/tbSv+f23/AO/sf/xVH9raV/z+2/8A&#10;39j/APiqAObb4UeB2YkWTqD2E8+B+chNNHwr8KjhPtaqOircSAAegrqU1CwlBMVzC4HXbIjfyNO+&#10;12v/AD2j/wC+1/xoA5T/AIVho4Hy6hqinsRdcj3HyUv/AAreBfmi1/XEccq32sHB9eIh/OuwooA4&#10;/wD4V/ejlPFGthhyN1yzLn3HGar6SNZ0DxtDoFzqtxqtre6bJcH7VgsjoxAKnJPRf1ruK42+ZT8V&#10;NNTuNDmJ+hkkA/lQB2VFFFABUV1bR3lrNaTZ8ueJ4nxwdrgqf0NS0UAcNoDxQ/abPVLre9nPJb7i&#10;5hV/KklhVtisoJKRKSOeSa0Y9S0aFpFsovMlycLBFh+RjuF/nUtz4KtJrya6t7y4tEupXmmhiW1d&#10;fMflmUy28rLluTg9c9KmTwbo55u3ur08AC4uZ2QY9EV0j/8AHaAMzwjcyjX9UtREFhmiiuOGy8bK&#10;zRKkg/hYptwDz8p7YrsKr2On2GmQC2063itYQc+XCixrn1woHPvVigAooooAKKKKACiiigAooooA&#10;K8G+LUIj8a3Tj/ltBbOfqI1T/wBkr3mvDvjIAPF6kAAmwgJ9zukH8hQB3PwelMng8KekV7Og78HY&#10;/wDNq7ivP/gqSfCt1ntqs2P+/NvXoFABRRRQAUUUUAFFFR3FxDawvcTsEjQZZjQAlzcwWcDXFwwS&#10;NBkk/wAh6muYZ7nxFc+fPmKxib5E6Zx/X1Pah3uPEl35sgaOxhPyL/eP+J7+laF0oitPIhAXfthQ&#10;DjG87c/gCTQAlgiiIzKAombcoAwAg+VB/wB8gH8akW0tEO5IY1PqEUH+VSqoVQqjAAAA9hS0AFFF&#10;FABRRQSAMntQBx/jC+8q8iVeontIAPeSVN3/AI61djpH+v1P/sJN/wCiYK8x8WyvPeaZcfwTa1ER&#10;/wABIwPycV6dpH+v1P8A7CTf+iYKANKiiigArkvFu5dShdf4LdG/8feutrl/FkogXUbnaHMGhyTK&#10;D03Rybx+ooA043WVFkQ5V1DA+x5qG9O2NJT92OaNmPoM4J/DOawvC2trcWSFgxheNZUbBYoG6g4z&#10;xk9a3/tVpIh/exspGD8ykY9+aYE3WsWC8t18TedctsSMNHGx+7uxs59BknmrBBc+VpcrhTwSMNAg&#10;9iwPPoFP5VLPpVtPaLaYxsHyP1YHqT75PWgDoKK57QdRnguDot+cun+oc9wOdufpyPyroaQBXy1d&#10;x+VdzRY27JXXb6YYjFfUtfM/ia3+yeI9UtsYEWoXSj6CRsevagD6C8K2Fhpvh6wg06MRwtbRS8Dl&#10;2kRWZ27knNaNxcw2kRmnbagIHQsSTwFAAJJJ4AAya5HwleeLP+Ea024gjstStzZxKis8tncgIoTa&#10;SVnRiCuM/LmtFtU1VbpLq+0C9JhRliFvLZXEas33nANxG2ccZI6Zx1NAGoJNUuuY0SyjI4Mw86c9&#10;vuKyqvqPmb3FO/s0Pg3NzczEdD5pgx+EHkg/jmqH/CUY4k0nVE9P9G35/wC+Hf8AWj/hKoB9/TtU&#10;Qev2K4f9EVz+lAF8aPpXVrSGRv70iLK/bqzBienrU8VrawY8iGOPb02Kq4/ICsn/AISyy/58tU/8&#10;F19/8Zo/4S/Sl4mh1CA9hJp9+Cfpi3NAG3RWJ/wmOh/9Pn/gBqP/AMjUf8Jl4e/immU/3XtbxGH1&#10;DQAigDYeCGU5kjVyBgFgGP6imfZLX/njH/3wv+FZX/CZeHf+fiT/AMB7r/4zR/wmnhf/AKCEf4rI&#10;D/6BQBof2TpX/Plb/wDfqP8A+Jo/sjSv+fK3/wC/Uf8A8TWf/wAJr4WH3tRiUerblUfUlQBR/wAJ&#10;t4R/6DFn/wB/k/xoA0P7J0r/AJ8rf/v1H/8AE15drPm2/j6XVdKvrLRlt/OtoXugI7djBHbrKuFB&#10;BJa5bHH8Oa9RsdW0zU4GutOuobqFCQ7wusiqRyQcE4/GuS8AqbzUbnVJFw5sklJPdtRnnvm/8hmK&#10;gDM/4SfxJ/0NXh/9f/iaP+En8Sf9DV4f/X/4mvS6KAPNP+En8Sf9DV4f/X/4mj/hJ/En/Q1eH/1/&#10;+Jr0uigDzN/FHiVVLL4p0ByBwoOCfzUCmx+K/Ekmf+Ko0FcY5YMM59MqD+lenUUAeaf8JP4k/wCh&#10;q8P/AK//ABNH/CR+IpOH8X6FEPWNQ5PthlxXpdFAHmv/AAkOvp8y+M9FkPZXSNV/NRmhPGviq3cI&#10;upeHNTBP3UuGt5T7Zdo0BP416VTJYYZ0Mc6LIh6q4DKfwORQBxsPxGaxZE8V6Tc6SkhAW7TF3ZHP&#10;feg/9B3V2FrdW17bpdWkqTwSrujkjIdGHqCOK5u80608OX0MkESromqS/ZL+yIDWscs3EMyoRtQM&#10;/wAjgcHcDjis/Sox4J8Y/wDCPoxTRtcRprBGJKw3Kf6yJSegI/mo65oA7miiigAooooAK8K+L8vm&#10;eMpFznyrS3THpkF8f+PZr3Wvnz4l3P2nxtqbg8JJFEPby4o0P6g0Aej/AAaj2eEpGwR5moztk98J&#10;EuR/3zXeVyPwqt/I8EWTEYM0lxIev/PV0H6KK66gAooooAKKKKAGu6xo0jkKqglieAAOSa5a4nn8&#10;R3mxC0dhA303H1+p/QVo+K7ow6aIEPzXEgTA67R8x/kBRZWy2lrHAowVUbvdj1P50ASxxpDGsUah&#10;UUYAHSoH/e3qJ/DAhkb/AHnyq/puqwSFBZjgAZJPTAqCyBaNrhhhrhjJg9QvRB/3yBQBYooooAKK&#10;KKACoL+TyrKeTuImx9SMD9anrO1+Ty9OZf8Ano6J+u7/ANloA4fxXHst/Djf89NX3f8Aj0a/+y16&#10;VpH+v1P/ALCTf+iYK8/8dx+SnhiPoVv48/XMZP616BpH+v1P/sJN/wCiYKANKiiigArk/Gn/AB6a&#10;x/2Ltx/6Ea6yuT8af8emsf8AYu3H/oRoAxfh2QbC3wf+XJf0K5rsTFEx3Mik+pAJri/hv/x42/8A&#10;15H/ANDWu2pgFFFFIDJ16Fkji1CH5Zbd1+YdcZ4/I10lrOLm2iuF4Esavj03AHFY+qR+bp86f9My&#10;3/fPzf0q14bm87R4PVNyH8GOP0xQBp18/wDxPszZ+NdQwMLOYp1/4HGu7/x4GvoCvIfjdpxTUNO1&#10;VRxNbyWzkesTb1z9RKfyoA6v4SXv2vwZDDnJs7ieA55PLecP0lrs68a+EnivS9D+36frFytrFO0U&#10;sDSZCbwGWQEgEDI29fSvVLfxF4fuxm11K0m4/gniY9uoDZHWgDRopqSxyjMbq4BwSpDD9KdQAUUU&#10;UAFFFFABRRRQAUUUUAcX4zcaXfvdWahJ9R0PUbZ9vG+QSWsdsxx1Ia4IB9DWl4Kto4rO+nj5SXUZ&#10;oomIxmKzCWMePbFvWR8QGK+IPDhPMMf9oXM4PQx2n2W8IPtmAV0fhS1ez8N6bDLzKbSOSX18yUeZ&#10;J/48xoA1qKKKACiiigAooooAKKKKACiiigCrqmnwatp9xptznyrmJo2I+8uejD3BwR71yOrWV74p&#10;8IOjHbr+g3Bw6fe+1WuDuX2kTDL9R6V3Fc3a3Vo/jSQ6TMlylxYH+0xEQ8cU0DItuzMMgOyOy7c5&#10;wo9KAL/hfXIvEehWmrR4DTRgTIvRJV+WRf8Avoce1atcV4KEdh4q8U6LbY+yxXVvdRKhBjR50ZpV&#10;68HOBjHGMV2tABRRRQAV8xa5e/2lrV/qAORc3k8y/R3Zh+hr6F8XakNI8M6lqGdrR2kixn/ppJ+7&#10;j/8AH3FfPOjWDarq9lpqjP2q6ihOOwdgCfwBzQB9D+EbM6f4Y0u0IwyWMBcejsod/wDx5jWvSABQ&#10;FUAADAA4AFLQAUUUUAFFFFAHN6432vXbSzHKwr5jD3PzEfkorRrI05vt2rXmo9V3bEPt0H/jqitV&#10;3SNGkc7VUEknsBTAgu/3pSzH/LXmT2jX7359PxqzVe1RzuuZRiSbGFPVUH3V+vOT7mrFIAooooAK&#10;KKKACsbXv389pZD/AJaSZb8SFB/nWzWLETeeIHcjC2qkAH2+X+bE0wMH4lf8fPh7/sKL/OOu50j/&#10;AF+p/wDYSb/0TBXDfEr/AI+fD3/YUX+cddzpH+v1P/sJN/6JgpAaVFFFABXJ+NP+PTWP+xduP/Qj&#10;XWVyfjT/AI9NY/7F24/9CNAGF8N/+PG3/wCvI/8Aoa121cR8OCBY25PAFk3/AKGtdeL2N/8AUK8w&#10;/vRr8v8A30cA/gaYFiio4pTKDlHjI7OAP5EipKQCMAwKnkEYP41R8KymCS70xz80Um9ff+Bj+gq/&#10;WRdt/Z2t2t+vCTEJL6dlP6EH8KYHVVx3xW0n+0/CE8qDMthIl0uOu1cpJ+GxyfwrsajubeG7t5bW&#10;4XfFPG8UinoVcFWH5GkB84eE7+LT9ftZbi2hvYZHMElvcbfJcSgoNxZXAAJBzjtXrFx4TtLokyeD&#10;rNc/88rxYR/5DjSvHdZ0ybRdWu9Ln/1lpO8eem4A/K30K4I+tfQHgnXR4i8NWeoM26cR+Tc+vmx/&#10;KxP14b6GgDk3+Hunucr4VVBjouqSEfX5lY03/hX/AKaLcD2/tX/7TXpdFAHmn/CB6hjC2moqexGr&#10;pke4/wBGNH/CFeIl+aGTWEcfdb+2Ijj8rQH9a9LooA80/wCET8br80V7qwb/AG9VWRfyMIo/4Rv4&#10;jpzDqF6D0PmXkUox9Cgr0uigDzT+w/iun+o1OQZ6+Y9vL9MZAxTk034xx8JqaHP95LNj+qNXpNFA&#10;Hna2vxlQYN5bye7JaA/+OoBUir8Y1GC9i+P4mEQJ/LAr0CigDyTxMfHsl1p1v4ghtS179o06BrTa&#10;ZyLoIsuA0qIGKoACSB1rpRP8QlAVYJwAMACHSwAP/BhR8R7N7+88OWkc0lsZtWCefA2yaPK/eU9i&#10;McVN/wAK+uv+ho1z/wACm/woAh+0fET/AJ43H/fnS/8A5YUfaPiJ/wA8bj/vzpf/AMsKm/4V9df9&#10;DRrn/gU3+FH/AAr66/6GjXP/AAKb/CgCH7R8RP8Anjcf9+dL/wDlhR9o+In/ADxuP+/Ol/8Aywqb&#10;/hX11/0NGuf+BTf4UD4fXXfxPrn/AIFt/hQBD9o+In/PG4/786X/APLCj7R8RP8Anjcf9+dL/wDl&#10;hU//AAr+5/6GfXP/AALb/Cj/AIV/c/8AQz65/wCBbf4UAQfaPiJ/zxuP+/Ol/wDywo+0fET/AJ43&#10;H/fnS/8A5YVP/wAK/uf+hn1z/wAC2/wo/wCFf3P/AEM+uf8AgW3+FAEG/wAfMMOuojPUxpoi/luu&#10;JMfjmj7L4um5lXWGJPRrvSbVfTP7iJyB9D+FT/8ACv7n/oZ9c/8AAtv8KT/hW1s5zc65rU5Jy4a7&#10;G1vY/uyf1oArv4a1W7Ba8sIHUdW1TVL2/XHP/LJY1ix7ZqrqmoWOhWX2bUNaijU8R6R4eijtHdjw&#10;E3BppAD0JBT861P+FXeE3IN2lzd4Of39zM3/AKCy/Ss/4caJpEV9rt3bWkai11me0tHYeY8ccIAw&#10;rvubndk80AX/AIceHLjRdOub++gFrd6rOJ2thuPkxLnyozuJbcNxJyc8885rr6KKACiiigDzb41a&#10;uINKs9FjPz3cxnkAPPlwjAB+rMCPpXL/AAf0k3/in7e65j02B5c9vMkBiQfkzEfSsn4ha7/b/im7&#10;uY23W9ufstuRyNkRIJHsWLMPrXp/wi0Q6Z4Y+3yribU5TNzwfKTKRD+bD60AdxRRRQAUUUUAFZ2v&#10;Xv2HTJXBw8g8qP6t3/AZNaNctqEp1rWRbLza2ZO70JB+b8yMUAWNGtvsthGGGGk/eN/wLp+mKkP+&#10;mTbf+WELc+jyDt9FP6/SnXMjkrawHEkvVh/Ag+8317D3qaONIY1ijGFUYApgOooopAFFFFABRRRQ&#10;AVjw/uvEcyjgSxf0Vj+orYrHbnxIuO0XP/fJpgc/8Sv+Pnw9/wBhRf5x13Okf6/U/wDsJN/6Jgrh&#10;viV/x8+Hv+wov8467nSP9fqf/YSb/wBEwUgNKiiigArlfGEbyw6rDGMvLoEyIOBlmcqo59Sa6C/1&#10;G102EzXLY/uoOXY+gFc0YbrxDdfbrkeRbgBEA+8VBJwPXk8mgDL8F6S0VpHBcci3t0SRRyjMSGKn&#10;1GRXYAADA4ApkMMVvGIoVCIvQCn0wCiiikAVk+JFBsUbusw/UNWtVXUY0lt1SRQwM0IAPPV1B/Qm&#10;mBqWN9bX0KvBIshCjeAcsDjnI61ZrlL3THsT/aGlExSRcsgJII74z+ore0nUo9Us1uF+Vx8siejD&#10;+ncUgPMPjR4eMV1beJIF+ScC2ucf89FBMbH6qCPwFZXww8aW/hq5ubHUfMa0uwrp5SmV1mXjhQMn&#10;cp5+gr2HX9GtvEGj3WkXXCXMZUPjJRx8yOPowBr5vuIL7Q9UeCTMF5Y3GMjqskbZDA/UZBoA91/4&#10;WX4b/uXv/gLN/wDE0f8ACy/Df9y9/wDAWb/4mtHwh4jg8UaHBqUZAmx5dzGDykq43D6HqPY1tUAc&#10;p/wsvw3/AHL3/wABZv8A4mj/AIWX4b/uXv8A4Czf/E11dFAHKf8ACy/Df9y9/wDAWb/4mj/hZfhv&#10;+5e/+As3/wATXV0UAcp/wsvw3/cvf/AWb/4mj/hZfhv+5e/+As3/AMTXV0UAcp/wsvw3/cvf/AWb&#10;/wCJo/4WX4b/ALl7/wCAs3/xNdXRQB57q3ifTvEeu+HYtNjuc2+qrJIZYJIlClSucsMdTXoVFFAB&#10;RRRQAUUUUAFFFFABRRRQAUUUUAFch8MgH0S9uxz9r1m+nz1zllXOe/3a6q7l8i1mn6eXE79v4QT3&#10;+lcz8L4fJ8D6d6yfaHP/AAKaTH6YoA6uiiigArl/iL4k/wCEc8NzPC228vM21tj7wLA75P8AgK5O&#10;fXFdOSACScADJJ6V8/fETxT/AMJPrzvbtmxs90Fr6MM/PL/wIjj2AoAyPDujTeINatNIhyDcSgOw&#10;52Rj5pH/AAUE19K28EVrBHbQKEihjWONB0VVAVQPoBXnXwc8MGzsZfEl2mJbwGK1BHIhU/M3/AmH&#10;HsPevSaACiiigAooooAo6zff2fp0s6nDkbI/95uB+XX8Kx9JhTT9O+0TcNIPMb1OfuL9efzNO8Rv&#10;9t1K00tTlV/eSY9/8FB/Op1AurjI/wBTbNhR2aQcE/Rf5/SmA+1idQ003+ulwX77R/Cg9h/PJqei&#10;ikAUUUUAFFFFABRRRQAViagk2m6gNUT95HIdsgPUcAY/IcVt0yWJJ42ilG5HBBFMDh/iJLHPL4cm&#10;iO5H1NCD+Mdd5pH+v1P/ALCTf+iYK888UaVeC4sIFJdLLUYZ1HrGzKGYfTAJ+hr0PSP9fqf/AGEm&#10;/wDRMFIDSrO1jWYdKiAwJLhx+7j/AE3H2/nXJW/iTWG1W9hu9QkhaA3G228iFoQVZFjjz5QcHlj8&#10;0hyuGHBFael2s15MdW1A75HOYwegHZsfyoAW2024vpvt+rsXc8rEegHYEdh7fnWuAAMDgDoKKazo&#10;nLsF+pAoAdRSK6OMowYeoOaWgAooooAKr3Hz3FvAP75lb6IOP/HmFTO6xoZHIVVBJJ6ACobVWdnu&#10;5QVaXART1VBnaPqc5NAFisvS2/szX3sxxDdrlR2B5Zf1BFalZWoca1prL94yoD9N6/4mmB1FeXfG&#10;DwkZY18VWKfPGFivlUcleiS/h91vbHoa9Rpk0MVxE8E6CSKVCjowyrKwwQR6YpAeBfD3xe/hbWQL&#10;hj/Z14Vjuk7LzhZseq559s+1e/I6SIskbBkdQysDkEHkEV8+ePPCE3hPV2ijDNYXJZ7OU8/L3jJ/&#10;vLn8Rg113wq8dqgj8LavJgfdsJnPH/XAk/8Ajv5elAHq9FFFABRRRQAVzPiTxxZ6LdR6PYQtqesT&#10;kLFZQkfKSMgyNztHf1xzwOaj+IXi7/hFNG3W5Bv7wtHaqf4cAb5SO4UEfiRWN8JNA2WEviq/zLfa&#10;i8gjkk5cRhiGbJ5yzA5PoBQB0VlpXia+23OvakbY53Cx05ViiXP8LSsHkbHsQK3LqD7TA8HmSQ7w&#10;B5kTbJFwc5B5x0qWigDldRPi/wAORm9spP8AhILKPmW1mRY9QVO5R4lVXwOxTNaXhvxTpHimz+1a&#10;ZJ8y486B8LNGT2YZPHoRwa2K8g8fWtx4G8W2vijQ/wByl7vaSNRiIyKR5qEDja4YHHrkjpQB6/RV&#10;DQ9Ytdf0m21azP7u5jDbTglGHDocdwwINX6ACiiigAooooAKKKKACiiigDL8UTm18NarcDGY9Oui&#10;ueRu8tsfrVfwRD5HhDSE6ZsIJOcf8tFEnb/eqH4hTrb+C9WkY4BthH+MjrGB+bVq6JB9m0awtsY8&#10;myt48YxjbGq9O3SgC7RRWB4z8W2nhLSmu5MSXUwZLSAnl39T32rkFj+HUigDm/ix4yGl2J8O6e/+&#10;mXsf+ksp5ihb+H/eccfTPqK808G+GZ/FWtxaeoK26HzbuUfwRKefxPQf/WrOll1HXtUMr77q+vpx&#10;05d5HOAAP0A7V754H8JQ+EtHW2O172fEl5KO79kB/uqDgfie9AG/bwQ2sEdtboI4YUWONF4VVUYU&#10;D2AFSUUUAFFFFABRRUF9P9msp5+hjidh9QDj9aAOcsj9u1i+vSeATGjDrj7oI/4CtakUSQxrFGMK&#10;owKz/D0WzT/M7yyM34D5f6Vp0wCiiikAUUUUAFFFFABRRRQAUUUUAZmu2X2m085B+8gyw9Sv8Q/r&#10;VzwvO91b3dzJw0t4WPufJgBP5g1P14NZmiudM1mbTWOIrgbovTIyw/TI/CgBuuKmo65DYqq4hTMr&#10;gDdg4YjPXGMY9zV1rpFPkWyec6cbUwEX2LdB9OvtWdFD9o16/EjsoDMCFO0su4DGeuOB0rXSNIkC&#10;RqFUdABgUwIPIuJebiUqP+ecOUH4t94/hinpZ2icrEme7EBmP4nJqaikBBJZQN80aiKQfdkjAVh+&#10;XUexpbaV5YyJABJGxSQDpkc5HsQQfxqYkAZPAHU1WtXUia6YhY5ZMoTwCqqqBufXGR7UAWaRmVFL&#10;uQqqMkngACq5vo3O20BuG/2D+7H1bp+WTQLaSVg94wfacrEoxED2Jzyx+v5UAIqtesJJAVt1IMaH&#10;guRyHb29B+Jq1RRQAVl6cp1XXzdD/UWQwD2J5C/qSfwq7fSmCzmlHBWNsfUjA/WneFrcQ6SkmPmn&#10;dnPrgHaP/QaANiiiigDM8ReH7HxNpUulX6/K/wA0cgGXikGdsi+4z+IyO9fPWvaFqXhjVX06/Uxy&#10;xHfFIuQrpk7JEPocfgeOor6YrC8W+EtO8W6cbS7Hl3EYJtrkDLxsf5qe47/XBoA5n4b/ABETWI49&#10;C1uTbqKDbBOxwLgDoD/00A/P616HXzLrOjan4a1N7C/Qw3ELBkdSdrDPyyI3GQccH+teneAfijHe&#10;eVoviWQJccJBetwkh6BZD2b0PQ98HqAemUUUhIUFmOABkk8CgDwj4sam9/4wnt8ny7CKK3QZ4ztE&#10;jnHrufH4V634GMZ8H6R5fT7DFn/eA+b9c14f45min8XapNBKs8bXTFZEIZSMDgEEg46V0fhnxXrz&#10;+DLnQdCk2ajYM00YA3zyWjEtIIsn76Mcnj7p45FAHruo61pGkqG1O9gtM9BNIqMfoCcn8KzF8feD&#10;XfYNWt85xyxVfzIA/WvHtE8BeLPFn/ExVNsUxDfa712HmZ/iHDu3TrjFb0vwR1pYt0OoWry4+4yy&#10;Iv8A30Ax/SgD120vbO/iE9jPHcxHpJC6yJ69VJFef/G3b/YNhn732/j1x5b5/pXBnQfHPg3V4IrW&#10;Oe3uriQR28lsfMhmbsuRlW9drD3Iq18SfE0+t3lnpsskcraZBsuZIP8AUPcuF84pycqCoAP1oA6n&#10;4I6o8lrqOjyElYZI7iLJyAJAUce3KA/jXp9eNfBSaCLWr5ZZUjeS0RY0Zgrud4OFB69O1ey0AFFF&#10;FABRRRQAUUUUAFFFFAHIfFQs3g+e2U83NzaQj3JlVhx3+70rrlVUUIowFAAHoBXIfEcmS30OxX/l&#10;78Q2MbDsVy/HqOSOlaHi3xnpXhK08y6bzruRT9ntEI8xz2J67Vz1J/DJoAs+JvE2m+FtNbUNQbJO&#10;VggUjzJX/ur7ep7V8/eIfEGoeJtTk1PUGy7/ACxxrny40H3UUHoP5nmjxB4h1PxNqDahqcm9zlY4&#10;14jjTOQiDsP1PevSvhv8N/snleIfEMX+kcPaWjj/AFfcSOD/AB+g7dTz0ALnww8BHRYl1/V48ahM&#10;n+jxMOYI2HJPo7A/gOO5r0KiigAooooAKKKKACsrxNL5ejzAdXKIPxYE/oK1awfGDkafFGOr3AP5&#10;K3+NADtNj8uwt0/6ZKT9WG4/zqzTUXYioP4VA/LinUAFFFFABRRRQAUUUUAFFFFABRRRQAVka6jw&#10;m31GLh4JBk+2dw/UfrWvVbUYPtFlNF1JQlfqvzD9RTA5az8W2d9r01xFGYJF+S4gZ43bAwjMu0nj&#10;IB5AOa6U6zpgGfPH5MT/ACrn9M8JeH9R/wCJo8Dx3okYPNFLLGScDBwH29Mdue9ah8KacRgy3HH/&#10;AE0x/SgCaTxDpyfdLyf7q4/9C21XHiGW4cxWNsZHHJ53Ee5Cjj86ki8KaHGxdoXmJIz5800y8f7L&#10;OV/SrNxdafo0AhiRIwB+7giCoPyAAAoAz7oa1cRM920drAOWBIA/HG5j9KpWtndapPgyM8SnDSvk&#10;4HoMk8+1X4rO91iQXF+TFbjlIhwSPb/E1sxRRwxiKJQiKMADpQIIokhjWKMbUQAAfSn0UUhhRRRQ&#10;Bn66+3TJB/eKD/x4H+lbGlR+Xplqn/TvGT9SoJ/U1g+I3/0WKBeXklGB3IAP9SK6aGPyoki/uIq/&#10;kMUAPooooAKKKKAMfxN4W0vxVYGy1FMMmTBOvEsTHuD3HqDwfyrwjxT4R1bwnefZ79N8Lk+RdID5&#10;Mg/o3qp5/Dmvo+q9/p9jqlpJY6jClxbyjDxyDIPv6gjsRyKAPGPBfxRv9B8vTtY33unghVbObiEf&#10;7JP3l9ifoe1Z/jH4hat4ple3iZrPTQxCWyHDOOgMhH3j7dB+tbHjD4S3+mF7/wAOb7605ZrY83MY&#10;9sf6wfTn2PWuAhle1nWXYpaNs7JUWRCR1DKwIP0IoAjqW0u7mxuY7yzkaGeFw8ciHDKw6EV1l/8A&#10;Ei9msrODTbGz06SHetyIre3kgmXCeXhZI2KYw2QD3611mieDtF8e+FIdVuoIrDUpXnU3FkghTKuy&#10;jdGDsPAGeh9xQBX8PfGiNYktvEdq29QB9ptQCD7tGSuPwP4CuqvPiZ4Xs9OtdTeSZ4b0TeQqRHe3&#10;ksEfglQOT3NeW6Z4JuLXxzaeGtdjJieUuzJkJLEoZgwPXaSuD3HTrXsmq+FNB1PSDpM9nDHBHE6w&#10;GNFUwEg/MmBwe/v3oA8u8WfFq+1mCTT9FhNhbSAq8zEG5ZTwQMcJkcHBJ968/rqfBPgO+8W3Uhdj&#10;a2Ns+yeYjL7+pjUH+LHXPSun8eW1j8PYdNh8NWttHLdrc+bcXESXdz+78raQ0ocDO89BjigDzBWZ&#10;GDoSrKQQRwQRyCK9K8A/FG5tp4tG8SymW2fEcN4+TJGx4AkJ+8v+0eR346dZ4LtLHxZ4QtLzxBZ2&#10;15PI04aRoIUJ2yyKpGxEC4AxxiuU8c/ClNPtpNX8M73hiBeayYmR1UdWjJySB1IPPoe1AHr1FcZ8&#10;KvET654bFrctuudMYW7knLNGRmJj+AK/hXZ0AFFFFABRRRQAUhIUFmOABkk8CuZ8R/ETw34cDRSz&#10;/a7sf8u1sRI4P+0c7V69zn2ryXxT8Rdf8Thrdn+xWLZH2WAn5ge0jcF/pwPagDqPiZ44sJL7TodC&#10;nWe50q7a4eUDfAsgACAHo2DnOOK85ll1TXtR3ymW+vrqTHeSV2PQAD9AOlaXhnwZrniqYLp8Oy2V&#10;sS3cuVgT1Gf4m9hk+uK9r8J+B9G8JQ5tV8+9dcS3kgHmH1VRyEX2H4k0Ac/4C+GMOi+Xq+vqs2oD&#10;DRQcPFAfU9Qz+/Qds9a9CoooAKKKKACiiigAooooAK57xZ8zWMX9+ZuPXGwf1roa53xOd19piDr5&#10;rfq0Y/pQBfooooAKKKKACiiigAooooAKKKKACiiigAooooAxtD/c3V5adkkyo9gSv+FbBIUFmIAA&#10;ySeAKwzcRWGuXMspwjRZ45JJCH88igLfa8+5yYLMHgDq2P5n36CmBNd6y8sn2TSl82Q8GTGVH0/x&#10;PFPsdGWJ/tN63nzk555UH8epq7a2dvZx+Xbpt9T1Y/U1PQAUUUUgCiiigAooooAxYJre+8Rp57qs&#10;VucRhuAzr0A7feOfwrra53VNNhu4HdVCzqCyuOCSOcH1q/4dvnvtNRpTukiYxMT1OMEH8iKANOii&#10;igAooooAKKKKACuZ8T/D/wAP+KN008X2W9I4u4AFkJ/2xjD/AI8+hFdNRQB4D4i+GfiXQN0yRf2h&#10;aKT+/tgWYD1ZPvL74yB61haVrus6FN52k3ctq2fmCN8jf7ynKt+Ir6brB1zwP4Z8Q7nv7NBO3/Lx&#10;D+5nz6kr97/gQNAHkmp/FDX9V0wWkuLa7V1IvrQmCVkByY2xk4J5+UjpVe8+JXjHULNdPkvvKHyh&#10;pYgsEzY6ZdcY9yMV02sfBO6TMmhX6TL2huwY3x/voGBP/ARXG6n4G8WaSSbvTJyi5zJCv2iPHqWj&#10;LgD64oA9/wBGWNNOgjW4W7kWJBNcIUbzJNoDuSvBJIrxj4r6/FrXiQWdoQ8GmobcMvIaUnMpGPQ4&#10;X6iuPhuLuykLW8klvIOCUZo3+nBBpLe4mtbiO6hIEsTrIjMFcBlOQcMCDz6igD6O8I6W+i+GtO02&#10;QBZIbZTKB2kfMjj/AL6Y1sV4ND8WvGsQAkuYp8Z5kgiBP/fCpU3/AAuDxj/etv8Avz/9lQB2fhXT&#10;E8PfEjWdJtl2Wt3p630SjgKPMQbQPQNIwHtXoFfPrfEjxKdYOuhoFvDZiz3iIbfKDmXGCSM7j1pt&#10;x8S/G1yTu1N0BzgRRwxY9srGD+tAH0GSAMngCsjUvF3hnSAf7Q1K3jYDJjVxLL/3wm5u3pXz1ea5&#10;rWo7vt9/c3AfO4SyyOvPbBYjHtRp+iaxqpA02yuLoE43RRu6j6kDA/E0Aeq6x8atKt8x6LZy3j9p&#10;Zj5EX1A+Zj+IFcDrvxD8U6/ujuLs29u3/Lva5hjI9CQSzfiTWtpPwe8UXxDagYdNjPXzGE0v4LGS&#10;PzYV3Oi/CTwvpZWW9D6nMMHM52w59o1wCPZi1AHj2i+G9b8QzeTpFpJcYOGkA2wp/vO2FH0zmvT/&#10;AAx8HbGz2XfiSUXkwwRaxErbD/ePDP8AoPrXosEEFtEsFtGkMSDCRxqERR6AAACpKAI4IIbaFLe3&#10;jWKKNQqRoAiKB0AAwAKkoooAKKKKACiiigAooooAKKKKACud8S8ajpjHp5vX6NHmuirnvFP/AB96&#10;Z/11f/0KKgC9RRRQAUUUUAFFFFABRRRQAUUUUAFFFFABRRRQBgNbpq+sSH/lhDgOR328Y/E5/Ct5&#10;VVVCqAABgAcAAVjeGv8AV3H++v8AI1tUwCiiikAUUUUAFFFFABRRRQAyWQRRPK3RFLH8BmoPCEbL&#10;psjno87Y+gVRn86NT/5B9x/1yarHhn/kCwfWT/0NqANWiiigAooooAKKKKACiiigAooooAKKKKAK&#10;t5pWl6iMahZwXQ/6bxJL/wChKaxLn4ceCbvJk0uNCe8TSw469kdR39K6WigDiZfhB4NkzsS4i5/g&#10;mJ/D5g9Rf8Ka8I/37z/v6n/xqu7ooA4ZPg54QVsk3bj0aVcfpGDVy3+FngiDBNg0xHeSac+3QSKP&#10;0rraKAMqz8KeGrAg2ml2kbDo/koz/wDfRBb9a1AAAABgAYAHSlooAKKKKACiiigAooooAKKKKACi&#10;iigAooooAKKKKAP/2VBLAwQUAAYACAAAACEAG2j2pd8AAAAIAQAADwAAAGRycy9kb3ducmV2Lnht&#10;bEyPQUvDQBSE74L/YXmCt3YTE2OJeSmlqKci2AribZt9TUKzb0N2m6T/3vWkx2GGmW+K9Ww6MdLg&#10;WssI8TICQVxZ3XKN8Hl4XaxAOK9Yq84yIVzJwbq8vSlUru3EHzTufS1CCbtcITTe97mUrmrIKLe0&#10;PXHwTnYwygc51FIPagrlppMPUZRJo1oOC43qadtQdd5fDMLbpKZNEr+Mu/Npe/0+PL5/7WJCvL+b&#10;N88gPM3+Lwy/+AEdysB0tBfWTnQIizgJSYQsBRHsJIvCtSNC+rRKQZaF/H+g/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WdYl5EIEAAD+DAAADgAAAAAAAAAAAAAA&#10;AAA8AgAAZHJzL2Uyb0RvYy54bWxQSwECLQAKAAAAAAAAACEAkkV9ceeDAADngwAAFQAAAAAAAAAA&#10;AAAAAACqBgAAZHJzL21lZGlhL2ltYWdlMS5qcGVnUEsBAi0AFAAGAAgAAAAhABto9qXfAAAACAEA&#10;AA8AAAAAAAAAAAAAAAAAxIoAAGRycy9kb3ducmV2LnhtbFBLAQItABQABgAIAAAAIQBYYLMbugAA&#10;ACIBAAAZAAAAAAAAAAAAAAAAANCLAABkcnMvX3JlbHMvZTJvRG9jLnhtbC5yZWxzUEsFBgAAAAAG&#10;AAYAfQEAAMGMAAAAAA==&#10;">
                      <v:group id="그룹 28" o:spid="_x0000_s1165"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66"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4" o:title=""/>
                          <v:path arrowok="t"/>
                        </v:shape>
                        <v:shape id="Text Box 12" o:spid="_x0000_s1167"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23455A10" w14:textId="27310D92" w:rsidR="006D7011" w:rsidRDefault="006D7011">
                                <w:pPr>
                                  <w:pStyle w:val="af0"/>
                                  <w:jc w:val="right"/>
                                  <w:rPr>
                                    <w:rFonts w:ascii="Times New Roman" w:hAnsi="Times New Roman"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H</w:t>
                                </w:r>
                              </w:p>
                            </w:txbxContent>
                          </v:textbox>
                        </v:shape>
                      </v:group>
                      <v:shape id="Text Box 1030" o:spid="_x0000_s1168" type="#_x0000_t202" style="position:absolute;left:11366;top:5842;width:11042;height:8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thwwAAAN0AAAAPAAAAZHJzL2Rvd25yZXYueG1sRI9Bb8Iw&#10;DIXvk/YfIk/abaQDgbZCQAwNiWuBH+A1XlPWOF0T2vLv8WHSbrbe83ufV5vRN6qnLtaBDbxOMlDE&#10;ZbA1VwbOp/3LG6iYkC02gcnAjSJs1o8PK8xtGLig/pgqJSEcczTgUmpzrWPpyGOchJZYtO/QeUyy&#10;dpW2HQ4S7hs9zbKF9lizNDhsaeeo/DlevYGeClfMLx+f79NBb7/wwPy7mBnz/DRul6ASjenf/Hd9&#10;sIKfzYRfvpER9PoOAAD//wMAUEsBAi0AFAAGAAgAAAAhANvh9svuAAAAhQEAABMAAAAAAAAAAAAA&#10;AAAAAAAAAFtDb250ZW50X1R5cGVzXS54bWxQSwECLQAUAAYACAAAACEAWvQsW78AAAAVAQAACwAA&#10;AAAAAAAAAAAAAAAfAQAAX3JlbHMvLnJlbHNQSwECLQAUAAYACAAAACEAsVI7YcMAAADdAAAADwAA&#10;AAAAAAAAAAAAAAAHAgAAZHJzL2Rvd25yZXYueG1sUEsFBgAAAAADAAMAtwAAAPcCAAAAAA==&#10;" fillcolor="white [3212]" stroked="f" strokeweight=".5pt">
                        <v:textbox inset="0,0,0,0">
                          <w:txbxContent>
                            <w:p w14:paraId="3B23A58B" w14:textId="77777777" w:rsidR="006D7011" w:rsidRDefault="006D701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v:textbox>
                      </v:shape>
                      <w10:wrap type="square"/>
                    </v:group>
                  </w:pict>
                </mc:Fallback>
              </mc:AlternateContent>
            </w:r>
          </w:p>
          <w:p w14:paraId="541EE261" w14:textId="77777777" w:rsidR="002E5800" w:rsidRPr="008F328C" w:rsidRDefault="000E0B7C">
            <w:pPr>
              <w:pStyle w:val="a3"/>
              <w:numPr>
                <w:ilvl w:val="0"/>
                <w:numId w:val="25"/>
              </w:numPr>
              <w:rPr>
                <w:b/>
                <w:lang w:val="pl-PL"/>
              </w:rPr>
            </w:pPr>
            <w:r w:rsidRPr="008F328C">
              <w:rPr>
                <w:rFonts w:eastAsia="Times New Roman"/>
                <w:b/>
                <w:bCs/>
                <w:lang w:val="pl-PL"/>
              </w:rPr>
              <w:t>Zdjąć osłonę</w:t>
            </w:r>
          </w:p>
          <w:p w14:paraId="3FDF859F" w14:textId="77777777" w:rsidR="002E5800" w:rsidRPr="008F328C" w:rsidRDefault="002E5800">
            <w:pPr>
              <w:pStyle w:val="a3"/>
              <w:rPr>
                <w:lang w:val="pl-PL"/>
              </w:rPr>
            </w:pPr>
          </w:p>
          <w:p w14:paraId="7D15EB31" w14:textId="5A62D359"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Przytrzymać wstrzykiwacz jedną ręką za korpus z nałożoną osłoną. Delikatnie ściągnąć osłonę prostym ruchem drugą ręką.  </w:t>
            </w:r>
          </w:p>
          <w:p w14:paraId="4CECAD1D" w14:textId="77777777" w:rsidR="002E5800" w:rsidRPr="008F328C" w:rsidRDefault="002E5800">
            <w:pPr>
              <w:pStyle w:val="a3"/>
              <w:rPr>
                <w:lang w:val="pl-PL"/>
              </w:rPr>
            </w:pPr>
          </w:p>
          <w:p w14:paraId="2EBA042F" w14:textId="77777777" w:rsidR="002E5800" w:rsidRPr="008F328C" w:rsidRDefault="000E0B7C">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zdejmować osłony, aż do momentu, gdy pacjent będzie gotowy do wykonania wstrzyknięcia. </w:t>
            </w:r>
          </w:p>
          <w:p w14:paraId="313F3FF7" w14:textId="77777777" w:rsidR="002E5800" w:rsidRPr="008F328C" w:rsidRDefault="002E5800">
            <w:pPr>
              <w:pStyle w:val="a3"/>
              <w:numPr>
                <w:ilvl w:val="0"/>
                <w:numId w:val="0"/>
              </w:numPr>
              <w:ind w:left="1384"/>
              <w:rPr>
                <w:lang w:val="pl-PL"/>
              </w:rPr>
            </w:pPr>
          </w:p>
          <w:p w14:paraId="6285A5BE" w14:textId="77777777" w:rsidR="002E5800" w:rsidRPr="008F328C" w:rsidRDefault="000E0B7C">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dotykać igły ani osłony igły. Mogłoby to spowodować ukłucie igłą.</w:t>
            </w:r>
          </w:p>
          <w:p w14:paraId="3C346103" w14:textId="77777777" w:rsidR="002E5800" w:rsidRPr="008F328C" w:rsidRDefault="002E5800">
            <w:pPr>
              <w:pStyle w:val="a3"/>
              <w:numPr>
                <w:ilvl w:val="0"/>
                <w:numId w:val="0"/>
              </w:numPr>
              <w:ind w:left="1384"/>
              <w:rPr>
                <w:lang w:val="pl-PL"/>
              </w:rPr>
            </w:pPr>
          </w:p>
          <w:p w14:paraId="4792CDCF" w14:textId="77777777" w:rsidR="002E5800" w:rsidRPr="00F90B57" w:rsidRDefault="000E0B7C" w:rsidP="00BE3C8A">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nakładać powtórnie nasadki na wstrzykiwacz. Natychmiast wyrzucić osłonę do pojemnika na odpady ostre.</w:t>
            </w:r>
          </w:p>
          <w:p w14:paraId="76BD35B8" w14:textId="77777777" w:rsidR="0032285D" w:rsidRDefault="0032285D" w:rsidP="00F90B57">
            <w:pPr>
              <w:pStyle w:val="a4"/>
              <w:rPr>
                <w:lang w:val="pl-PL"/>
              </w:rPr>
            </w:pPr>
          </w:p>
          <w:p w14:paraId="407A74A6" w14:textId="6DBA42FA" w:rsidR="0032285D" w:rsidRPr="008F328C" w:rsidRDefault="0032285D" w:rsidP="00BE3C8A">
            <w:pPr>
              <w:pStyle w:val="a3"/>
              <w:numPr>
                <w:ilvl w:val="0"/>
                <w:numId w:val="19"/>
              </w:numPr>
              <w:ind w:left="4297"/>
              <w:rPr>
                <w:lang w:val="pl-PL"/>
              </w:rPr>
            </w:pPr>
            <w:r w:rsidRPr="006C0E92">
              <w:rPr>
                <w:rFonts w:eastAsia="Times New Roman"/>
                <w:lang w:val="pl-PL"/>
              </w:rPr>
              <w:t>Prawidłowe jest pojawienie się kropelki roztworu na końcówce igły.</w:t>
            </w:r>
          </w:p>
        </w:tc>
      </w:tr>
      <w:tr w:rsidR="002E5800" w:rsidRPr="00A5286D" w14:paraId="5C9C60F4" w14:textId="77777777">
        <w:trPr>
          <w:trHeight w:val="7028"/>
        </w:trPr>
        <w:tc>
          <w:tcPr>
            <w:tcW w:w="9581" w:type="dxa"/>
          </w:tcPr>
          <w:p w14:paraId="265415CB" w14:textId="77777777" w:rsidR="002E5800" w:rsidRPr="008F328C" w:rsidRDefault="002E5800">
            <w:pPr>
              <w:ind w:left="104"/>
              <w:rPr>
                <w:rFonts w:ascii="Times New Roman" w:eastAsia="Times New Roman" w:hAnsi="Times New Roman" w:cs="Times New Roman"/>
                <w:b/>
                <w:bCs/>
                <w:spacing w:val="-1"/>
                <w:lang w:val="pl-PL"/>
              </w:rPr>
            </w:pPr>
          </w:p>
          <w:p w14:paraId="02D4E3AB" w14:textId="7ABB1EA4" w:rsidR="002E5800" w:rsidRPr="008F328C" w:rsidRDefault="00F2584C">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292" behindDoc="0" locked="0" layoutInCell="1" allowOverlap="1" wp14:anchorId="77936DDD" wp14:editId="645E6040">
                      <wp:simplePos x="0" y="0"/>
                      <wp:positionH relativeFrom="column">
                        <wp:posOffset>42545</wp:posOffset>
                      </wp:positionH>
                      <wp:positionV relativeFrom="paragraph">
                        <wp:posOffset>144145</wp:posOffset>
                      </wp:positionV>
                      <wp:extent cx="2246630" cy="3975100"/>
                      <wp:effectExtent l="19050" t="19050" r="20320" b="6350"/>
                      <wp:wrapSquare wrapText="bothSides"/>
                      <wp:docPr id="3940" name="그룹 3940"/>
                      <wp:cNvGraphicFramePr/>
                      <a:graphic xmlns:a="http://schemas.openxmlformats.org/drawingml/2006/main">
                        <a:graphicData uri="http://schemas.microsoft.com/office/word/2010/wordprocessingGroup">
                          <wpg:wgp>
                            <wpg:cNvGrpSpPr/>
                            <wpg:grpSpPr>
                              <a:xfrm>
                                <a:off x="0" y="0"/>
                                <a:ext cx="2246630" cy="3975100"/>
                                <a:chOff x="0" y="0"/>
                                <a:chExt cx="2246630" cy="3975100"/>
                              </a:xfrm>
                            </wpg:grpSpPr>
                            <wpg:grpSp>
                              <wpg:cNvPr id="27" name="그룹 27"/>
                              <wpg:cNvGrpSpPr/>
                              <wpg:grpSpPr>
                                <a:xfrm>
                                  <a:off x="6350"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4F73695F" w14:textId="6E68C496"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3" name="Text Box 1033"/>
                              <wps:cNvSpPr txBox="1"/>
                              <wps:spPr>
                                <a:xfrm>
                                  <a:off x="0" y="176530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293CE7"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7936DDD" id="그룹 3940" o:spid="_x0000_s1169" style="position:absolute;margin-left:3.35pt;margin-top:11.35pt;width:176.9pt;height:313pt;z-index:251658292" coordsize="22466,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7XeVbBAAACg0AAA4AAABkcnMvZTJvRG9jLnhtbNxX3U4jNxS+r9R3&#10;sOZ+SSa/MCKsKBS0Et1FC9VeOx5PxmLGdm2HhL5Opb5Cu9I+UfsS/eyxEwKsFrjYi14wHHvOsc/5&#10;/J3Pk8O367Yht9xYoeQsy/f6GeGSqVLIxSz79frszX5GrKOypI2SfJbdcZu9Pfrxh8OVLvhA1aop&#10;uSFYRNpipWdZ7Zwuej3Lat5Su6c0l3hZKdNSh6FZ9EpDV1i9bXqDfn/SWylTaqMYtxazp93L7Cis&#10;X1WcuQ9VZbkjzSxDbi48TXjO/bN3dEiLhaG6FiymQV+RRUuFxKabpU6po2RpxKOlWsGMsqpye0y1&#10;PVVVgvFQA6rJ+w+qOTdqqUMti2K10BuYAO0DnF69LHt/e270lb40QGKlF8AijHwt68q0/j+yJOsA&#10;2d0GMr52hGFyMBhNJkMgy/BueDAd5/0IKquB/KM4Vv/8jche2ri3k85m0KWJvC8NESUymGZE0hbc&#10;+uevv//94zPBRKzlBcVNhmMU8WR9/cH+K+t7MvIr9WnBCvzFM4b16Iy/3QuIckvDs7hI+6w1Wmpu&#10;lvoN6KipE3PRCHcXWgvE80nJ20vBLk032MKeTw7u4/7nF+JnALyP8W5dEPVFXSh2Y4lUJzWVC35s&#10;NdoSYuG9e7vuYbiz47wR+kw0jSeit2NtaOEHLfAEPF17nSq2bLl0nV4Y3qBMJW0ttM2IKXg756CR&#10;eVeGhGhhneGO1X7DCht/RLI+0XsvQpbbxHwJFh1E5qtfVAki0qVTQQ2e2UH3eDI9GE0noYM2PAGE&#10;xrpzrlriDaSKjMLy9PbCxtySi89aKg8YcqZFI/3TqkaUCcQgrfykMeSWQhTdujuHHS/s7SNDnb6y&#10;aKJQ331QapvOAaNHJ/EiMbqqqeaoxi97j12jRK5rrzQ/qTXJR11bBzcvWMStMR955MO7TJN8bHQr&#10;H+fTSezu4f7goA87gJM0bJofjMbjTsLy0SS+fz3+O3D7g9mAvaqF44H2O3Cnc9ocXMJ/W5W33Hq+&#10;DpI3jQpni7kq74CEUaAFRMpqdiaw4QW17pIa3GSYxO3sPuBRNWo1y1S0MlIr8/tT894fZ4q3GVnh&#10;Zpxl9rcl9bLSvJM4bSzpkmGSMU+GXLYnCrzKQzbBRIBxTTIro9pPuLSP/S54RSXDXiBiMk9cdz/j&#10;0mf8+Dg4dep0Ia80NC0P5PfAXq8/UaNjWzic53uV+ESLB93R+YZ20Mdo0DMRWscD26EIkvsBuB2s&#10;eBV+L8L3h8PHlPeToKpPC73xEtIDWFxmnvjDdCEnug8Gw2nej3wfTMD+caRkkqskJs/Umx2+P0de&#10;PN8JuBgu3R3FisSnBQ/fblHefP1dcwfL3TW8E7ePvEJDhG+TcLD+q3ErbZQxyH6St0bC23t1ov78&#10;wOjvQ7usXrLrJiLsrKTbBLdCKhOY/ACy8ialXHX+kZi2q9tDsFWC/cSP/5ESMGe+kxaEhv9K9+OD&#10;G8DvfNHfH4dD2f6EOfoPAAD//wMAUEsDBBQABgAIAAAAIQCAP7ZvnqsBADibGAAUAAAAZHJzL21l&#10;ZGlhL2ltYWdlMS5lbWbsnfmbHVW97tt7z33uX3Ce5/x2OQJKYtDH4Sgi40FRFIeDCDITAiiIKAgE&#10;BAUZ0kk6dEKYRxlFUWSGBBKIBAhTGAKEGURlBnFgyCCpW59v7bd69WZ39+5h996997ufp3ZVrVq1&#10;1qp3fet967vWqlUf6urqOihf9Hv5Q11dn//f2uvq+vcPd3X9+fNdXet96evbdnV9qGuTc/+ji8N5&#10;tH6/4/5vV9cm/9bV9d38wO39jnR1Ldny/3Q99M7/6vqfPHzBOf9RHq3OSwdeydPYNM/kW3nARvly&#10;ZL5sVTlvva77u3ScY9r+UNd6+V5fvNip/GX+GQEjMCAC69at63fs/fffzxS237R9svX+3/rZf663&#10;Qbb3nntkc+fMzpeerLdnVixsF2GEezEGtgHbwPBsoB/5eMcIGIF+CEiLFWh9Hh6/mI+Nl21g5DYg&#10;3vHaCBiB2gig0egyv3/9619lpOmHHxb+8/of3jDb/qtfzeadXPjOrO07j5yTzOfGzjZQ2EBJNt4w&#10;AkbgAwhIl1M/eu2aNdHGfUrvnFKft/vyl0OfT549K9bWZ2uMNcY2MFob+AAhOcAIGIESAemydJoD&#10;a9euDX0+7+wzy/7nbbbe+gP+M/3Qo70/fb453jbQuTZQEpE3jIARqInAQO3bp8+fF2PDGCO26Sab&#10;Rps2mqz2betz5/KqNdV1PxY2UJOQHGgEjECJgPSZNb6zfpddfGFG3zP6/MlPfCp8ZTSZdm/at2nr&#10;Hot71GmY620DnWkD4hqvjYARGBiBtH2bWGj1sjuXZhus/5HQ540+OrnUYutzZ3KpNdT1PtY2MDAj&#10;+YgRMAJCAD1m0Y/tFQ89WOoz70Dr3iz0eXY2Z9bMMkzHvDaH2wZsA/XagPjGayNgBGojgBbjP/Nu&#10;FWO39bvjD0uyDTfYKPxn2rjV3zx/7smhy9Zn83C9POx4tpVaNiCu8doIGIEPIpC2a69Zs7qM8M47&#10;72QrH32knz4fe8zRiUb35v5zt/1nz5tmG7ANjNgGSsLxhhEwAh9AQO864zuvXr2q3/G33347xm/T&#10;tk0/9M9+elS0aaPLmquk1jOxw+wr2QZsA/XYQD/C8Y4RMAI1EVAbd+pPE5F2bZbJk6ZkP51+RIzZ&#10;1rht9UPXcx86jvnaNmAbqLaBmmTkQCNgBAZEgHespNPSZ8Zv/+SQH8e7Vegy/rP12Xxbzbfet00M&#10;xwYGJCEfMAJGIHQY35kl/cmfZl4SNJr3oL+//36hyxofNpz70HHN27YB20C1DaSc420jYAT6IyBt&#10;xmdmfJj8ZmIRttceu2eTNvpYaPSeu+9Wjglj7LbHb5tvq/nW+7aJ4dhAfzbynhEwArUQQKfTdm3i&#10;MGbsoAMPKMdwS595z4o+aPVDD+d+dFzzt23ANiAbqMVFDjMCRqA+BGjTVh/0tKl7R5+z5t/2N6zM&#10;s+JZr20LI7GB+ljIsYyAEaiFwAnHHVvqM9+w4psZPTNnxHvQbt82J4+Ek32O7UY2UItzHGYEjEB9&#10;CJx9xmmhzx/ZcFL2pW2+GNo8f25vzEeg+cR0r3lt3rUN2AaGYwP1sZBjGQEjUAuB006ZG/rM+O2v&#10;bLtt4jt3Z9Lp4dyPjmv+tg3YBmQDtTjHYUbACNSHwHlnnxlzhzGH2BabbR7t2rRv07ZtfTbPime9&#10;ti2MxAbqYyHHMgJGoBYCfCOD8WHMT8J7Vszteeq83lybT/b4bc+7POJ5l0fC5T6n/Z4BanGOw4yA&#10;EagPgfvuuTv0Wd+xEkeiz/4+RvvxperXa9fteNhAfSzkWEbACNRCAP+Zb2PoHSveeZ550gmV71j1&#10;2H+yD20bsA2M2AZqcY7DjIARqA+BJx9fGd+wkv98/LE/z+/FnkrbtvV5PHwM52Fftl1toD4Wciwj&#10;YARqIcAcYlMmb1z6z0ceflj0PaPRxTwl5s525U5fl2270TZQi3McZgSMQP0I0LYt/3l6rs/F3Nvd&#10;Hh/mds0Rt2s2mved/sR4tqifhRzTCBiBagTWrlkT2sz7Vej0oT86uMLJ9p+tARNDA1xPrVtP1Xzj&#10;fSNgBIaHAN+w0viw/abtU2nX7qmMEWvde9+87LqxDbS2DQyPiRzbCBiBagQO/fGPSn3ebZddYnwY&#10;fc/+flVrc5+1yfXT6jZQzTXeNwJGoH4EGB92wPf2L/V5px2/HX4z7z+3+r3v8lmfbAOtbQP1M5Fj&#10;GgEjUAuBo4+cHu9Y0Qf9je23L+clYZ5P819r85/rx/XTyjZQi28cZgSMQP0I8E1J+p/RZ75hRds2&#10;c2/7+1Xm/lbmfpet9e2zfhZyTCNgBGohwDeseL9q8qQp4T/r+8/+Pkbr8581ynXUyjZQi28cZgSM&#10;QH0I0P982cUXlv3P6DRzk6DRHh9m7m9l7nfZWt8+62MhxzICRqAWAu+//3724PL7Q5+Zhxt99tjt&#10;1uc9a5PraCLYQC3OcZgRMAL1I7B0yW3R9/yRDSeFTnPfn9I7J74zORE4wGW0VtkGWtMG6mchxzQC&#10;RqAWAg8uX162bzNOrPhGxuzKPNyted+bj10vtoHWt4FafOMwI2AEhoeA5g/b6KOTM+bgpu/Z38do&#10;ff6zRrmOWtkGhsdCjm0EjEAtBDT/Njr90+lHxHvP1mdzfytzv8vW+vZZi2scZgSMQH0IMH6bH2PD&#10;0Gb858MPPST8Z7//3Pr8Z41yHbWyDdTHQo5lBIzAYAhMm7p3tv6HN4xxYszxSfu2368y97cy97ts&#10;rW+fg3GOjxkBIzA0AnxjctrUqaUPzXzcaLPn4G59/rNGuY5a2QaGZh/HMAJGYCAEaN9m2XefPn3e&#10;c/fd4v0qt2+b+1uZ+1221rfPgXjH4UbACNSHwLp167IzT5tfzlGy6Sab2n/O3wE3/xsD28DobKA+&#10;BnIsI2AEBkIA//nC888NfaYPesvNt/A3Jq3Pfj6xDYzaBgbiHIcbASMwNAJr167N8J8vOPfsco6S&#10;rbfayu3b5uZRc7N9z9H5nu2A39AM5BhGwAgMhcD9994T+sz827xnxfcxPD7M/NoOGuFraJ4dD8U7&#10;Pm4EjMDQCNy59PbQZc1TMmfWTL9fZR/aPrRtYFQ2MDTzOIYRMAIDIcC7VfweuP++ePdZc5R0n3hC&#10;hkbb92ie72Hsjf1Et4GBeMfhRsAI1IfAqlXvZXxnUr4z37E69pijs9ndM6zP9p9sA7aBEdtAfQzk&#10;WEbACAyEAGPE+OE7q//5qCMOd/u2eXnEvDzR/T6Xf2zaLgbiHIcbASNQPwJo9JTJG5f6zHwl5qix&#10;4SjjaBw71QbqZyDHNAJGYDAEmDdM/vM+e+9lfbb/bBuwDYzKBgbjGx8zAkZgcARWr14VEZij5KAD&#10;D8joe+YbVnvtsXvMUdKpz/2+bvu8toHR28Dg7OOjRsAI1IvA9MN+En3QG0/5eLbVFlt6/LZ9p1H5&#10;Tta30evbRMewXu5xPCNgBD6IgN6v4si5Z50R+sw4sW223jrmEJvo/ODyWyNsA82zgQ8yjkOMgBEY&#10;DgLM78nvrNNPjW9Ao8/MwT3v5B77T/ahbQO2gRHbwHB4yHGNgBHoj4DerUKjF928oPSf0WjP79k8&#10;v8M+n7FvBxvozzbeMwJGYDgIqH0bnb7rjqWhz8xTwmL/2RrRDhrha2ieHQ+HixzXCBiB/gjIfyb0&#10;qSefKN+v4j2rY446csTtWubE5nGisTf2rWID/dnGe0bACAwHAeb1VP8zvjTt2lqOPnK69dl9j7YB&#10;28CIbWA4XOS4RsAIfBAB9Fl+NH7zBut/JJs8aUp22KGHjPi+bJXnd5fDvqRtoHk28EG2cYgRMAIj&#10;RWDHHXbIeP8ZH3qXnXe2Ptt3sg3YBkZsAyPlIZ9nBIxAgQBzh61Zszp29t93Wvkdq+/vv9+I70v7&#10;LM3zWYy9sW8VGzDHGgEjMHoENM/n0fmYMOb3xH/+xvbbZz0z9Y3JnvieFWO6ee+qt2eWtdt+lW3A&#10;NjCoDYyemZyCEehcBOh7xn/Wb+6cnnJ8GHOU6DkcPS40uad878oabT9N9uG1baGWDYhXvDYCRmDk&#10;CKDRaDVziPHuM/7zFpttnvvKvaHLc2bNzLWa+cQ0p1jhT9e6Jx1mrrYN2AawAf+MgBEYOQK8X6W+&#10;Z/T5lgU3lf7zpI0+luhzd8Vv7mvnLjTbPGQtsg3YBmrbwMiZyWcaASOA36y+Z/T50RUPl/qMDz1n&#10;VnfFfy70mf5n+dLW59qcZK42LraBwgbMsEbACIweAfxofi88/1y8/4w28x70scccHW3aJ89mPFjR&#10;9yx9LsLMxeZi24BtoLYNjJ6ZnIIR6FwE8J81BzcooNPMUYI+s/z44B9GuzZ+M+PBTumd4+9Ce8xu&#10;/qxWm48dblxSG+hcZvWVG4GxQ0Dzh6HXUyZvHGPEGCfG+9BoMu9U4S+z7mvX1lgxc1LKSd62PdgG&#10;ChsYO4ZySkagMxFQ27bW39tv3/Cdad/ea4/ds1kzTgrfufjeJO8/92azu/VetLnYXGwbsA3UtoHO&#10;ZFRftREYGwQYEyZdZpsf84bRtr3+hzfMdtrx26W/LH0uxoh1u43Tbby2AdvAoDYwNizlVIxA5yIg&#10;XUan2UaHNT7sK9tum99/xXvP6DJ+Av3QGi9mv6G232BcjIttwO8/d66q+MrHAgFpMmlJp2m/1viw&#10;T3/qM9H/jDZrjBjvXME90mvzkLXINmAbqGUDY8FRTsMIdCoC0mSun7FhLMvvuzfatmnfZiw3vnKh&#10;xcXcJIU+983zWeu+dJj52jZgG+hUXvV1G4GxQEB9z2laDy6/v/Sf8aNPOv4X5TtWjN3We8/2n82/&#10;1mDbwGA2kPKKt42AERgeAqk+40vjPzPfJ2O31cZ9TP5NK+7B4t2qYh4xfStjsHvTx8zdtoHOtoHh&#10;sZFjGwEjkCKQ6jPhaDT6TNu29PmInxzaT5/RaY8P62zete66/uuxgZRrvG0EjMDIEMBv5qf+6D12&#10;27XU52lT9453oIv7sXj/2f6z+bkefnaczraTkbGRzzICRkAI4EMzx2fqS0+bOrXU51123rnsc+Zd&#10;K+YTsz53Nu9ad13/9diAOMZrI2AEho+A5t7WWv4z+qv27a9tt135jpXehS702RxVD0c5ju2kU21g&#10;+IzkM4yAEUgRoG2b+bc1BzfHTp3XW34n47Of+Wyiz8X8JPCNNdq606m64+uuz/ZTnvG2ETACw0Mg&#10;bdPmTPVD37PsrtJ/3uijk/M5PtNx28W9aX2uj6PM5capU21geGzk2EbACAyEgLQZP/qhB5bHN6xo&#10;4+Y7Vr/4+c9iDHc6btv6bN3pVN3xdddn+wNxjcONgBEYGoG0TZvY8qfR6up3rNBm/OjiOxn13Z/m&#10;MeNkG+hcGxiagRzDCBiBgRBIx4VJmxV38qQp4Tuj0z888ID4jlXPzBnxfcmCc/39Z2tP52qP637o&#10;uheXeG0EjMDIENCY7fRswqbutWf0QdO+vfeee4TvTJv2aafMjbZu89PQ/GSMjFEn20DKKd42AkZg&#10;+AjIb169elU5PoxU6HPGd2b55te/Xr4DzbzbzMPdybzja7fu2gaGtoHhs5HPMAJGQAjQvp2OCyMc&#10;3xnNPn3+vJiHm7m4+c6k3n2mD5p2bvPT0PxkjIxRJ9uAeMZrI2AERoeA/GilsviWhdG+rXFiBc/0&#10;ZLO7Z0Rbd6HX5t9O5l9fu+1/MBsQl3htBIzA8BHQ+LD0TMLeeeed7IH77yvfgeY9q+4TTwifufCd&#10;/f3nwXjJx6xbtoHZKa142wgYgREigO+MLqc+NN+xmrTRx8oxYsV3rIq+Z+bgZjEHWYdsA7aBgWxg&#10;hHTk04yAEcgRQI9TTda2wr/59e3LNu599t4r+qB5D5oxYiwD3ZcON2fbBmwDJlkjYATGDgHps8aM&#10;fW+/fUt9/p9vfjM0GX0u5g6zPluDrEG2gYFtYOyYySkZASNQjQBjuD+y4aT4VsbnPvu5mJsEfSac&#10;tblpYG4yNsam022gmk+8bwSMwNghcNXvrgh9ZnwYOq0+Z/xnz79t/el0/fH1D34PjB0TOSUjYASq&#10;EVj56CMfGMNNvzNjuHkP2vw0OD8ZH+PTyTZQzSfeNwJGYOwQePfdd/vpczGGu/j2s+cosfZ0svb4&#10;2oe2/7FjIqdkBIxALQS++N/blN/J2HefqWW7ttu3h+Ync7gx6mQbqMUnDjMCRmBsEGCuz8MPPSTm&#10;+aQPeodvfSvatJl/29+ZtPZ0svb42oe2/7FhIadiBIxALQR4z+qX551T6vMmn9sk/Gd8Z7//PDQ/&#10;mcONUSfbQC1OcZgRMAJjh8CN111b6jM+NL4z35j0+DBrTydrj699aPsfOxZySkbACFQjQPv2i3/5&#10;czZl8sblOLGfTj8imzXjpMp3oJmjRAv3a/85S/q/h1XMOaa5QYv28SI+8XifWovOIy7bpMs2zwbF&#10;e9fMM9od72MX73wVZWB7/tze8O05j/e0Nda8L17BK5xPWqSpdNN50TiWzjWuuCoL/Mx5yrPYL9IU&#10;d586rzfKzrmkTdmKcswur5XvjXCsuM7Zcbz4BsnMjPOJzzHKW1xL8W1PzlGZ2CZeeh2Uk+MswpB4&#10;RR0VdcGx4rzu7Jijjsx+csiPs+mH/SQ76ojDM8YCsp5++GHZkZXlRz88KL4Fvut3v5vtsduu2V57&#10;7D7ossvOO2dbbbFl9oXPfyH76le+Ess2W29dhjG2YTTLlptvkX32M5/NNvro5NI+eYZk0XddPvHx&#10;T0YeX9tuu+xL23wx4xzKxPZo8uZc0vryl76UfXen72TMryc82N5z990ibNrUqfEt9d122SXWYAiu&#10;Rx85PfqOuJ9YhD/9SdQ/NtRXd4VdFLZT2Ap1qjrXWE3ZEbaCLcgGinvl5LLudV8U33Iv7IS43JNF&#10;HkXeukcIo0zKT/bGPnlj16Q1a8aJkS92y7n+GQEj0DgE1q5dG4lvusmmwXnMxw3PFPfiSSXvF/ox&#10;s6IjM0sd4T5ONQHOIa50o49/+mu3zoFjpDk6j7X0j/N5Vig44uTQM+UB13AuxziHNJUG2xznfLa1&#10;6Jkh5TflleZLWF/ZC73nuMoKb8GBxFMZijThzeK9NDgNTiQuC/vkr3RmnnRCdljO1dJLOB3uPvgH&#10;B2b7TdsntEAaybg9ttGKzb6wWegO22jQV7bdNvTxP9fbIOqQ74XyLjsapjC2N9xgo1LTUn1D59J4&#10;bHM+tsCxwRbSIT9pJftKm/xIaywW0icf0tRSK1/yrr6W0eSfXk96jeStRelzPM1b59ZaCxuOgTVp&#10;KR59TDzjbLHZ5tnWW20Va+p6px2/Hfo/da8949mAZwVsguero/NnL+yH5wDs6YTjfl7aWmHXxT1Q&#10;2F7xjKn7hTDZJt/I4X7TMx73AAs2jq0X909xj3OOf0bACDQOAfqf8aEP/P73gh/gjW9sv33cn9yT&#10;aA33se5R7k+0prhXeyNc97DW3O9adJ8X61rtZcX3OEiPdDmPuH06WvCCdDDVQJ73iSfOIH/Kqn3i&#10;EgaPEC5tVTj6ykK+HMcn4FzOKfio8P2Ltv6Z4WMecvAPC9+o4osyPyp+FFyJpuJ34nfhT2735S+H&#10;P4meinvhcJa0vaL6mPa11jdM2E95HU6fPGlKcLs0QudoXa0X7EtH2K72SxWfNXkpnaHWxFX84Z47&#10;WNppWWvF03GOkS/7aVitc0YTpvQHS4N6IR5xhIuwISw9pm3CpffKQ3WjZ6U0T8JYdF56jPM5N60H&#10;4tKmgM7TJoBtYqvY7rSpe4fu82woPx+tL+6v3rgvxAGsuR+4Z3gu9s8IGIHGIaDvZKBTcAj39H99&#10;+r9KnUSrpJvSarSSexMd5X7t0+A+37nQ9j5tlV6TXrqgncqDbc4jLjrJNlwgbSYfysI+izhCuird&#10;5XylQxz8AfiGtl21OeKP0k6ApuKX4IfCX/iibNNmWs15YJOGpdspzxIurWC7+hhh4nAw53h12jq/&#10;1rlp/PS4zlGecLTqlDDlSzj5Kyxdf+qTn8523GGHsi0X/h5soZ13xgnHR12ozZZ6om0A3GUHI12T&#10;DnZxyYUXZNdedWV2y4KbskULF2QLbrguu+7q38f2b351adneU9hl3/v7I81X52HfXB/PZfJXsRu0&#10;DT+W62d79113je2dv7Njxjy5KaZsS2upD5bq49pP7YBtdLW6jglnGagOlZZsLD2fY+k+6VTbCPtp&#10;HM7Bp6f/gHY2/Hr58o1jJqdsBIyAEFh25x39OOPEXxxX0V21aRVtx4U+Fv403CUeQ2ML3exrx0Zj&#10;pZ2Fjhe8STz2SQtNhc85v0//i3SVF2nA/Tzb84xPX+nBB/0go+9z7z33CG78+te+Vuor/uvHN/5E&#10;XE81j8nvUDhr8RmcBKcRxlLNpXBs6suK/3Q++6TPWmFKX3HJI+W+aq7GH6ZN8zvf/nZcG9eIPsL7&#10;9HMW9TI7tA/MwIU2SZ6vfv/b32QLb7w+uybXMbRs0c2Fjt1w7dXZrYtuzh5Z8XD2wvPPZX964Y/Z&#10;X/78p+z1116NNWEshL3y8svZyy+9FGMSiPfnP70w6PLG66/F8T/m5xOXNHQO22O5KF2tKR8L4yde&#10;eunF7KUX/xJ56/oIG23+Sht8uEawId0X/vh8/7wr+ROfhTISJ5b8PMIoF2V8+qkns8W3LMyuv+aq&#10;eL6grnjW4NmDujvr9FOjXnVvcR/xnEK/xy477xQLzwPYBt+0weawN2yHbT2XyQa1Tm1P9s05HJed&#10;ap3a8GDPc+IPr42AEWgcAnwLWvcx9+ZBBx4Q2opGSkull6m/LE3uC0v96Z6KD9VdtnejJ2jMz356&#10;VPSbobPozz6VsTe0v9H3RvvbJz/xqbJM4hD4R/2iaXmleaz1/J9yjOLWWhO/moPgqVrnE0YeHGeB&#10;L3lGwLfCj6Kf4KTjfxHPHugnvEobANqJTjJWHh5eeNMN2dIlt5WaJh2B1+HxlNfh9ldfeTm0szoc&#10;3UAzWOJYrgnpvjSLdEPDch0h/eefezZ77tlnQjfQZPJgX2HsE4fzB1vI87VXX4k4lIW4XAtaxjbp&#10;jGahrCzSZOGkNKWblJVt4hJHOCreSNfCUmnqmlQu1pF3BQewABPCOMb5rMHj2WeejrKBN+lJ55VH&#10;Wrccf/bpp+I6OJdr4xpUV8KD8nA+8XWc57Cbb7oxtJ81+s87lLQr6TmasWrYLM+B3HvYcWrv3GfY&#10;d/r8qDDdQxz3zwgYgcYhQP+zftyn0h3uW9oKCx+58HHVN4sW49OizTzjo0HH/eyYGJfygwO+H3qF&#10;v8dcJ+gs/V1obXr/p/d+Gi6dFQewJiyNQxj78EUajzTT/XQbnlEaG0/5eJSN9sn9950WzweMuS3a&#10;1Xvjes48bX5oKO2oN1x3TfaH2xZnTz6+MjQHvoVL4UX4kQW+hEMJhycVzra4U+el3EoYi/RExzhH&#10;58HjpJOmyzHyID/FTdNnO3g9Py6fmH10g3KHpubpkkaklW/jC/McoHR0TOnXWpP2U08+ET4hZScO&#10;5SQPlXk06yhbXkbSo2xKl+vmWuI415Ev5C8tY//NN98YdRlIn7y0SHe5bjDk2tgOraX+84VtwjhG&#10;eVRGyk8Y+BKHbdJlrX3isq9rYc0+i+qlOoxzyI9w8o91ni5YaZ84nM+iPFjH80Sl3Jwnu3185WPh&#10;49Mew/Mk+s6zNc/oxx/782jL2SfnC/+MgBFoLAKM4V63bl12/jlnlfrGOy301TK+mDFQ9NMyVpS2&#10;Y/qiOC4t1zrVw+pt6Sk6meqons91XOdJe1O9Vlzi0MfHMwBloi+Ztm+N8+bZ4fJLLw5/FX2lv3LF&#10;ww8FL8FX8BLchX8CP8JLwX35MdZwlPiQbY7Ds/iWxBeHKZy40g1xIMfEicHdFR4mrjicOOlCfBbi&#10;RB45h5MueZOuzuUcjlMe0ha3Ky2OcR6czbkqH+EqH/mwzzmEpfvSFNq/FX+gNeeRhvIjryh/Xi6w&#10;Gui8esOVPvGVnsoqzLkO4SAsiC/c6s1roHhcHzoGHmzLBhQ/8q9gyXH2o66wlRyH2M7rQeXlPNJT&#10;3eh8riuuLT+HumMJ/czToa45hsYrTdbYEukRTnr46IrDs4S2KVeULT+HNHVuGp/ykZ7W5XalHlVO&#10;ziUO5fHPCBiBxiKwevWqjHFiDz2wvNRn9BIdlc+JJkoz2Sa8ui82PU4ctDXV11SXOc6C5tKHpn41&#10;+pdpg8NXZ1zQ1Vf+NtqEaQte8dCD4TOl/CdO83ps+3qNp/GsxwYay0xO3Qh0NgL4zfqtXbOm1FTp&#10;cqq56TtB0l36baW16C9+LT7tPnnbFz43bWK0G9MHe9P118a4W9qKaXtc+dij8bzONs/5PK/ja6Rt&#10;dXr+17M7x+SH4MfUwyGOY62xDTTGBsQdXhsBIzD2COj9Z6V86I8ODr2ljxbdRX8ZG41/i97i27Jm&#10;/CjvLNEvtezOpdHGhobS1hZtZ7l2oqXoLYt83tDZvH0MvlQbGzrLorZBcSlx1Y5G2x3tddLktI1N&#10;8b1uDAcbV+M6kA2IN7w2AkZg7BFIx4cxhhvdu++eu0NzyY2+6VWr3uuX8RWXXxbvRDFWhDHJ3Lto&#10;Kf4v+ilNZs0x9X1pGw1nmzVx0F7ioOfScXSZhXDiScN1rvIgHS/GwDbQHBvoRwzeMQJGYEwRkD6r&#10;nZs2bn7SZO0TpnFkS25dXL73zLwR8nHRUnhS41LQUPQ+tDvXbcYHo6+MdfnrX9+MeNJ1zmMbrUaL&#10;Fa590pbeE5d95Wdubg43G3fjDi/4ZwSMQOMQYGwYP/SXhR+6Le3Gr0a/iYdeP7h8eWXesGLukmh3&#10;znVVesyYUHxhdFYait6izWg5fcpsq285tLnS5k1anIOuo82sSYuFc8lDaaZ6ba2wVtgGxt8Ggiz8&#10;ZwSMQEMQQHdZGMPNj7V8Z2VYvY+Gap4D3oF+In9XMtVKdBXt5X0UwnUMTUZbWROHNcekt+zTRh76&#10;nOs5azQe3k3TUBjabU4ef0425sZcNiCO8NoIGIGxRwDfuPonzU7D0WjC9UOfpdG8l6V27FhXfN/U&#10;f+Z+Rm+l16zxqaWx0mjd9xzDXyYN4sp/5jhhaLniem29sA00xwbEB14bASPQPATStm9KwVwmzAfC&#10;u1O8NyUdRVfxjdFWa2hzONNaZdzHywaax0jO2QgYASFA37P8Z9bMJ83cn/jQbIsP0Ge0Gr+42idW&#10;HK+tH7aB9rAB8YPXRsAINAcBjR9T7uzzvSvmHGH+bd6Bhm/Vdm1dbg/utYa6HoeyAXGC10bACDQH&#10;AY3jTnPnHani+xjdMQ8nbdros3Satm186aHubx+3BtgGJq4NpJzgbSNgBMYXAbRZ7dp694oSvPXW&#10;XyvfjpwZ323mm3biWXQZfZZeK9zricvDrjvXXS0bGF82cm5GwAikCKSanG7zHhbfr6D/ec6s7vj+&#10;ou5fdNlt3OZz2YPX7WsLKVd42wgYgfFFQG3b8qPlS9MHXczzOTvGiWmMWOoze/x2+/KyNdd1iw34&#10;ZwSMQPMQkB6n83xqvNiSxYtiHm7GiTHPJ/er9Jk147jN4+Zx20D72kDzmMk5GwEjgBZLj0FD85kQ&#10;9uDy+2P89unz58VYMfxlLbRvM6eIubl9udl167o1QxoBI9A8BPCfU31O+6DRYPqe5889Odq4n3ry&#10;iZiXBN52/7O52/rd/jbQPGZyzkbACICA2ri1LY1Gt/nGJO9ZMVfJ3XfdWXzzovJelfuf25+frcGd&#10;XcdmSCNgBFoLAY0Zo1QXnn9uzPE5d05Pds1VV8Y7z/Q9M7+nubuzudv13/7131rM5NIYgc5CoNp3&#10;1tVLo2+49urKdzJ6Qqtp17Y+tz8vW3tdx9iAf0bACLQGAmrXpjRs8w70vXcvK/3ns04/Nb4Pyfwk&#10;MQ93PqeYedw8bhtoXxtoDWZyKYxA5yIgX5m1xoqxZp/vNdP3TPs248Seefqp8h0rv1/VvrxszXXd&#10;2n/uXE3wlbcOAum7z6kPTQn/+Y9/xHcy9D3oxx5Z0e87z+Zx87htoH1toHVYyiUxAkagFgK8/4w+&#10;40MvunlBjA3j+5Lm5fblZdet6xYb8M8IGIHWRYDxY5dfenG0bff2zMquvOLX8Y4V71b5HWhzuHW8&#10;vW2gdZnJJTMCRoB+6KVLbstOndcbc4mdfcZpMW8Y/dLW5/bmZmuv69cMaASMQOsigD4/+8zT0b5N&#10;Gzc+NOPC0Gbrs/nbGt7eNtC6zOSSGQEjQPv2P/7+9/xb0CdG//OcWTOzR/NvQXt+kvbmZeuu6xcb&#10;8M8IGIHWRoDx3ZqDm7k+b19ya/RBm8PN4baB9raB1mYml84IGAF86F9dclFoNGO4r83n+WQOMc+/&#10;3d7cbO11/Zr9jIARaG0E0OeFN14f38qg//nXl12S/TEfH+b5Sczf1vD2toHWZiaXzgh0NgKar2TF&#10;ww/FPGK0c6PR6POrr/j7z9an9tanTq/fzmY/X70RaG0E8J350ZaNLvO9ScaIPbHysXKez07nMF+/&#10;NbpdbaC12cmlMwJGAARWrXovxm8zPgx9vmfZXe5/zse3tisv+7pct9iAf0bACEwMBC449+zQZvzo&#10;G667xv6z9dnPJ21uAxODmVxKI9C5COj7Vjded23WM3NGtHFfcuEFfge6zbnZPrR96M5lPV+5EWh9&#10;BOh/1hixhx5YnvvP3fGe1RmnnmLfyfpsG2hzG2h9hnIJjUDnIoA+65vQzOdJ/zPvQPNN6CefeNz8&#10;3Ob8bB+6s33ozmU+X7kRmFgIvPnG6+X4bXQaf9r83dn87fpv7/qfWAzl0hqBzkNAPjT90Oefc1Z2&#10;2ilzox96wQ3Xlfr80ot/ifHcvIelhTnGzN/tzd+u3/au385jO1+xEZh4CKDR6PPvf/ub0Ge+ZcU8&#10;YugyHI0W65tW+r6V9bm9udva3P71O/GYyiU2Ap2DgPqeuWI0etmdd5TzcJ8+f1720ksvhj6jzWg1&#10;a83LbX1uf/62Rrd3HXcO0/lKjcDEQyDVZ0rPvJ74zowPY56SF/J9OBpN1jcn2Uabrc/tzd3W5vav&#10;34nHWC6xEehcBPgWNPOTMD6MNfNyV+uzeFtt39r3uv353HXcXnXcuUznKzcCEw8B3oU+6/RTw4fm&#10;Wxm3Lbqlr307b+umfRu/GR9abd/m7PbibNdn59TnxGMol9gIdBYC9Dtr4cqvvOLX5bcyfvvrX4U+&#10;qy1b/dC0g6u923zeOXzuum6vuu4spvPVGoGJh4C0WfOI3bro5rJ9+5fnnRP6rPerpM/PP/es9dlz&#10;l4RtWLMnrmZPPLYa3xKn43PWrFkdcy3ClwpfvXpVWSDef+EYP7Y5pnjsv/Lyy9mjKx7O7r17WXbX&#10;HUuzO27/Q3bfPXdncOk777wT5ygxuFi8TJjS0XHlozXpi78VVn2e0mCdxlGaOq799HrSML6lxDGW&#10;9Mf1VqdLHKVbfYxzlUf1sfQ85UEcXSNpKl0db8e17EvXzTU+/dST5begmUuMMWIs+MzoNAv7bt+e&#10;uLxsTXXdYQP+DY1AtQ7pjFRT0G5+a9esibXOYQ7GhTden519xmklpzL2ljG4xTifnnhfhu/6XnTB&#10;eRm+EbzKr0wz12p+pEn6rNO842DluMKVP8c4B57XuYSpj3LpktuyP9y2OL5X+NgjKzKeFd58842I&#10;S1qpLnBerV+aF8fRTcrOutb50lXpvMrMuWl8XW+E59eg89jnV71fhLbfv65T2FA/jN3GjrChlY8+&#10;EvXJe88aExb6XHk32lxvrrcNTEwbaD82G/srqtYPtEfaJc4Uhyr3+++9Jzv3rDNiPkY4lO8Oze6e&#10;EXzKuB70GI0+dV5vrNnHFyKM9RWXX5bBt/zQVeXDPrqmn8LJX9s6xlrncnzlY4/G/BbkwXcW4HfG&#10;AVMG8i/2i/d2KCPfSFp8y8LsiZWPRZKk8e6775bbbKTY8AygZ4r0GGEq29tvvx1jjvkW09VX/rbM&#10;F2zQnPPOPjPKSLsCOpSmw7WQX5pnRGjzP66bn7Dl+ufP7Q1boi5ph3nt1VfKsWG0cWM76pM2N09M&#10;bna9ud7anNpGfXnVultLG9QG+c9//CParfm2UKGzs7NZM04K/xg+VRi6jfZd/MvzSx8IDUcnWdBn&#10;9JIw4jDOR/lSHuWnsNR/lX5y4fA68ZfduTQ787T5kRe6zELa5EN+s2acGOWkfOgka8orvWabOSWX&#10;LF6U8X6P8mWdPiukYKPHsVS0Ba296fprI120n+cC9Ji09WxAmSgbxygb29dcdWXkWV0P0vs0z3be&#10;1jOhrvFXl1wUz3xgyHPOG6+/FnqsdhG9A22ON8fbBiauDeh+97o2AtIidEj+i2KmGkG/svxQ9AaN&#10;Q/fQH9q2r7v69+G/orVwJ/4NPg/bzz79VPRJM3cj8WeedEKpn5pr+fYlt4bWplqsclBG+ViEqcyv&#10;v/ZqtJmjd9Ja9Bd9RPtYX3Du2dmlF/0y/FbyZim0sWg/5ZqIy7UUzxc90V6PH0ye1ZhQvvfe6/Pv&#10;3/7nP7Mlty6O66ENgfSKZ4NCn3l+YZ98wY04hUbj2xf+PXgsWrgge+utv8Ylc33kWwsLYdIua9lY&#10;Nc70g6DNLBeef270idC2je+MTbE2L09cXnbdue6wAf/qQwCfVbqHjyp/jnFd8gvRUvgSLWMbH5lv&#10;DNGny9gw8EaX6V9Gp9UGyXGOxbie/Dh9wvjgaBVzOKJpaBW+tLQPvqYMKW+jV9Ktx/M2ac4lHfQO&#10;7SONyy+9OPSSfvGyr5Iy5dzOQlloB6fNlHd3eLbgfPS90PjZ4WMTrnbvFBv59qDKNVJmys+18DxQ&#10;6P/seB7A77vjD0sy+gIeXL48X+6Pa6eMyou8uQbKD56kqV967Qprt7X0WdelZ5JH8udBMMLeqOdn&#10;8mc82Q8+NPrs9m1zvHV+YtuA7nuvayMgHdZRNFoc+fe//S38z4In1S47OzRw+X33lvqHP8N9gkaj&#10;L2zLx4FTX33l5X77+L2Mxb35phvLPms4GH1F32jLVBlULtbSK7QX3i7akAtt5rtH9Olq3JDWlIX8&#10;eWaA01k4hk7Hs0RePvVbSw9IWz6v/HqVAz1h4TopMwvxi/7l7uhbZvwx2kH6YEJ+LPL5wITnC3xE&#10;nnPIV/mBAVrUKT/sjUU/6TW48bxTtEX0ZA8/+EC/5z/qFRxZezEGtoGJaQO6770eGAG0UBwpfvzb&#10;396KMVzymeXH3LPsruy5Z58JzUODpHO6P9BlaTPHw+fJtQk9RqMIQ6fiXZlcM/G/ab+kHVh9tviu&#10;8LN85fQZAl+Udmj8Venp9ddcFXmSFwv5P/vM05GGdJI89T4Ox9nmOUB6TRj+8lW/uyI0gfSVD+PT&#10;KYMwQpuZ40r5oyH4viseejDj2YM0SY940hC0Goy4rsAk3ycezwb0tZIWC340C88anfJT/bKWLdJO&#10;AR7YBPjyzh54YTdgCJbCVrbn9cTkaNdb59ZbJ3Bc6muiIeK79NpDKys+pMLVpyu/VPucv+jmBcGL&#10;cCNjrxjz9dSTTxTaknMk+sMy2nsLzsVfvOziC6OdmecB8qTNF33TtVE2+rPRrkLLCz174P774nx8&#10;ZI6ju/A211tP+dDNOC8/h23OpU2acuDLFj79ydHGD270EePXoRus8Zuv+f3vIj/0nucCrglc6smf&#10;clJ22sJ5BlL7OJhz/dQnGEi7VHfpmmPUoZ6tqm1AGBIOjqz5qd7TtJq1zTWoXFozjxj40wfA+Aaw&#10;AlfqOG2PGK0N+vzO1QfXfXPrvll8M575wr8p7zLWSxxHOejLw9+D//FJaJNdcMN1oUdpOZUOPjHa&#10;gw/JOWgz2oXfHNyYb6Md0qHR2Di+EAt8y/gx+UtoMH60xkzRL827Sfi08DXlu3Pp7aHNlE3czbb2&#10;6/Wv9KxBGlw75cGvBSv1LYMD+eEnS595VmD8NeeobYBzed4AG5VpMHwoo84nfa6PdMGeOuP607pE&#10;x/ilmi1dVl2m8dNtjqf76bbObda6lj7T/wEW1DfPb8IUzKizevAdDHsfay43G3/j3yy+Ga985fNq&#10;rXy1D49p7HDBdTNDc+A8fD/aVtEUfuJ+2ouLMVuzQ8vpK4UT0T10mYV0OW+09xjaRHroPuvf/eby&#10;8JnInzKikbzXxZgynivwrVnwN+FrfE94mvJQPrWjc4w0hyof57EoLudp3Dl9noU/W7y3DX6MtUaf&#10;GSOHf0d8fGa9/8NYdXBh4XqGyp/yRtnzNefo+smL+mF+S37oMT98Xtp+Vb8RWPWH7qou0/fD0PFq&#10;La86ddx39YyQ6rPKDv6F/zwz2jPASprMWnU2FMY+bh2wDbSmDYw74YxzhtU8LW6jGGgqPK++2sLv&#10;0xwhtM8W7ywTjj/NO0WM3Ub/8GNp4+W9H/QK3cFHREukh2Nh82iS9FF6hkahzbRxo9PMO4Yuci2U&#10;C82CmymH+nspG+UhHM1Eq1kPVUbxPXlL2zmH9N584/XoHy/andHkk8o+UcpAewLPB8KF6yBPaXM9&#10;+kH88hklry/yLq6/0CTqgPeyQ5NzfeVXXeeEyZ9mG82rjoNOp2HpNuc066fnjlSfFUadYAfYI+sn&#10;H19Z1im2zTJU/fp4a/Ky68X1gg10wi/VZK4XLobPNccDmka7Ke8CM76KNlm0jgXeY8FPlebIT0UT&#10;4UR0SH276B77YIuejfY+Q9NIj4X00Dt07Te/ujR4mXKhjyz4UvittNeHpuf8DIfLb4avKSdh6F49&#10;+kz5Q2Mrek4aSpsyof/0xVMO4chzDe3fxCVv4vD8wnlsS+c5NhQ+aDkL18wcJ6TB+YxH53mA6yZv&#10;ngH4pfOzqP+Ytv9qGyButZ+N76x4qR4St1k/aTHPFKkvTXm4PrSZ68d+sV3woV7Bi+2h8PVx64Bt&#10;oHVtoFm8M575wrXwnLiXvJfdeUf4nMX4pt7ou73humtCT9ADdOSWBTeF5uA/w3/4avR5Fv3O3REm&#10;zUTzWKRJ2Lx8z9HYvzQMzmU79Bndq2gU3Ex50EaeFxhfTRmUv8pDOUkjLWc95eN88FA51LaNNpMW&#10;5SAd3lkGS3x62rWJT57oxPOVNnrioxnEZ12PfnC+8iEdlYOx5Gk7Bn3x+lHPaqem3vGFKSdjnHmv&#10;G3/77rvujPy5HmlgxK344KQlPVS6zVinNqvyaE15eGYEd54leQ+feg99rjwbjcb2fG7r8rbrpjPq&#10;phmc04w84TlxHe9GwedoGhzPuCr0hf48NKDUpJzT8fvgQHSQuOh00edazEEJF6Iz6Ii0intHOjja&#10;+wg9oh2ZNbqGVrImP76LwDMDC88Q6DTvFiu+9I/4lIN9cTdhbA9VPvm7xAt9zDEhDIxIg+skHfrg&#10;wQh/ljIQhoYrT+KqHJwbS34NQ+XPcWk9aZKG8mYOb/nP1CV98NJYNIy5Y4hD/RZt/8VYZ7aL97J5&#10;Z70n8OO5hraQtD+atJr9S7WYbT13qFwLb7qhtEn6ObAL1Xs99VsP/o7TGVrgem69etZ93s5r6TJr&#10;2jrpS5bPAa8zNyfawrvGcJoWfFUWeJu2b8YjpeOhOAeNJD5ahHZi42wTxrmjtXn8O/QJ3kUfSRd9&#10;QiMZd8W7TmgzZWF8N/F4piAeeetc6WjK3ZRzqPLxzEEaSgd9JIwyEEaZpJlFe0NPvOesMpKf9JQy&#10;SaOjbHk6Q+UPhqRBXsRV+dnmWqkXnpvAAM1Fv2i3RqupW56npM16vqIPgGeZ4rmmmFeUuPRj0D7C&#10;uRoX30r3BfarNnuVi/fnuBauEQyEl3AfCl8fbz1Odp24TmQDus87Zc1YZ/hMfhdt2rTDor3oBzog&#10;nRVGjD1Gy/TuEOfC5/A9c1zBhdEGm5+LFpFeaFauH0qjUWu0krHacDPtt5QluDnPO9XCRuXPtcqf&#10;Rht415l3cckP7W5Uvkp3xcMPRX3yvIUW811tnr94XmGf8XNsU19so+fU4zlnnh71R7jG1hEPHNFp&#10;+rdph5APzZoFH5afwpt931DH2CPXyvOJxkPIJoWT1+b8WjYQz98VvuI+Zj+4K+cx+QPq04LbsCuO&#10;277Gx56azS+Nzh+fQ5xKXsw7JX8K/wnfGR8EPsbu0Gi0WNvotXSbMU/oAD40HM4271oRF32W7crX&#10;w55r3RONCONZgXsLvaS8Kk8j8krTJC/1T7PNHNr0B1AW9tO4jdq+9KJfRp2gUYwZUxuH6pl2Bfou&#10;qCfKqnqhfNgD379WHwZ6TRp6/uI8/WRH+Of81C6j481Y85zAdVNedJpvlXGdusZGYe50x4efG40z&#10;bVDcq+SD3bDAY9gP9wf76DQ+CuEs7LNGtxtdvk5PvxmcMp55plzKNv3M6DIczDeW4WvGHzNmG03D&#10;Hmk3xm6xQfal0cTFN+N8fHD0GV+MuCyyZ2xK5zbavigf9xLXgv9MOQhDp9ker/y5Z8GJvPHjeJZp&#10;dN6kD7egsWgT/nGhycX3utBp/EnKRlzqh0Xloo4URt1rLlW0jrRoU+Fa+HZH+r6V+oBbQZ+5l3gP&#10;gefF7hNPCPvkusSvulav20NPx7oeuX/gNexfPEYYbUfcD9xb2D9h3Ed67uO+kR8y1mVyen22Op5a&#10;2ay8eOcGfuV7FkXbdNH2yVhe7IyxQfhQYZ+51rHGXjlW2m0eTr8utsPckvgstIWi1dhpyodsj5ft&#10;cs+gxbRxMw82eaORhFP2Rtu6rpv7l3xZ+O7VbYtu6aeFjSwH/MJ3stBT6pc+ZOoFX556YAEjMEnr&#10;FB0DI9UV10AY47v1/EWabDN3OL9UpyOgyX+UB6xpP+G5Aq3WdVAXjcTdaffx6ETFQprMfYC9MLcf&#10;/VPYPDzHWA38EPp+6AtkHCj9WOKZiXrdE6XcTaaXccseHuM5EB5jwc+Cs1lo24Z/4WYW+mGoP9kg&#10;a+wYbmcbPcdfwcdiTRt5yoXEEec32g4oF/p0be7/49tTRpWF7fHIHz1Qvqx55qaft9F5k75wpm7R&#10;ZvU7gwU4sAQH5XVC3Sq+zmWfOGBIGHHgKt6/Ir2irbyYi4ZrW7eu6H/Wdz7HzYAHyAhfnnYTbJF3&#10;23hm1LWx9mIMhrIB7gHaDNFe2ovEkazTfd1fjPEQNw6Vto+Pzv4GuO3bKlicynMh/hB+BnNQYTto&#10;C5zGmgUfi/DU/4Sz4ebQ3TwO796SDvaLPi+5dXGpT7JHzpFOKqwRa+bsoGy0BdDGXWrSOD0joGU8&#10;45Ava40rB2Pu+UZcc5qmnpuoL8Z8UZc8e6G31CdxxSWsCaffjPJSPuGla4CriMd18e1M9B7tw58g&#10;fd7Zkj1p3eybhfrHFikra7XzEJ5i5e3RcWU74oedw1X0A6HFsqFijE3fd2Sxf8KIw70N33BeO2LS&#10;StfUbG5pdP5pHyH+BfbHsviWhWFb+M2MDVKdhE7nHC2ehr+xQxZpNn0z2Gmh9T3FfBy5FkgHZLdo&#10;h9Jt5Joy4j/ynq/8QcrSyDyVtvJBC8hbYz3BlLFKiteodXm9Oda8a6ZxBWCisoT/nB+nXtBh1pSb&#10;RXpN+bgGziMc3mKh3wBuQvPp02DeNtlU9btOjbblWunzjMBC+WiLhEPx/bmORmHudNtH5+WXMI4G&#10;GyraBGfG91Yee2RF3NO0D9J3xvgGnn+5D4grnrM9NM4eat3z7RbGnBNwKc99ej5kLkS4GrujLRSf&#10;Q+8Jwed6rkz5HzsUf//6skui/ZN+Tr7PjJ3D6xxnO+KNgz7LRyI/rk8aQ7nH4/mAe5T+KK6ZNc8w&#10;lIFvK9EP0Oh7N/DOr5X6on0OfYJr0jH4Zb1UnrtUN4TrW1qqW8oe2OXHhCHp8SxGXWM/9Pfyk043&#10;+35Bn1VG/Gew1/U0Gn+n3zhuHi9s9V04bBz9pW2R+4CF+4r7gHUx10LRlkRcvUc5XuXsxHyazS2N&#10;zl8+jvSL9mgW9Jgw/Lzl990buoK+wOvYAXqDTRInbDTfl52iSZq7Ct8KzuYYeq+42PZ46CNl5bmC&#10;MvHsy3wpbEtbGm3Tul7yjGvOdY1t2svQM+HHMbUho4tgQxlHWz7qjLSpL9JjzCnP9qRL3qNNn7Jy&#10;PVwL6WoBc70boDm/0Wved2LhNx5jydBm8uUZk7LRR8hYObXhj/b6ff7E1t+4z7g38oVt7hfqVPcL&#10;94xsm3FgjBtRv1TcV/lx2pi4z3mW7fvm+MywN3hUfMOzue4XzmWx/YzOfhqtj62QPjyq+SfhMJ4R&#10;sR3sDduUVhOGfanvUvyOXaMtsjfiMC8G6WDTLLSTxz1Q4XPsEptutH1SJvJljQ+FPnPPca80Om/S&#10;ByPyZi29ZZt7nP4E1uBFXI7/f/buNdjWoswPOB/zLZ+nEs+Vw+WoYzk6jjUZRAQFmSHc74KCl5Hx&#10;kqAeuSkRGIXAiCKgXGYqieUgjoMCwkEYRKYmiTGZOJdKlZckgHip+RC8AIXfzpv+9bv+m5fl3mvt&#10;vd+11l77sHZV734v3U8/3f308+/n6X57dds06fvwiba+EWsHfWqeYp5Fb/Shnfrh2V5wczH2KRny&#10;m9/2ZsFHf667Z4N6Ngv7WvkCfxBs5kOx7zay2rf+i/z99OtGtx/dFfx0TSeRjYwNPuz4rJ3TY+8X&#10;nqVJOrpEeut69Cj/NhvHWLD3xtjL+FOGa+nFG13/zV4+PbI//0VH2utDDulu+7XJqT0O9KzryHH3&#10;2jM6Xx9HnmEKuTMPpafRg8/OQabHyXQwCK1py0cdF3gqvNofZl3dNR7E0y4/9VUWnFSeemsn6+Hm&#10;LZ5VfgbjNXnSpn14RENAM+vN1hvg6SToq0e1C0r9nF/6iauuqHqJLMXPbfzEZs5YCm7mftqxOSWf&#10;Y2tDX131qDbp07aLvJsbm/Uf/RA5cB0d5Z1x6uwH+iv7v6SJ3nItnfwZX/xG/DN8huaCOdeJPjTe&#10;6AH5c72QoX4yNG29sdH0g8+wmAySKXt8yB57k3xGj5MteBw/LJmL3RxZpa+lpw+tddKHaPruNDJq&#10;DEgTOZ+mjBo3ylM2/LDmi1f8hedZlK8sbSNOvbWJ+Xgdq53nae/ojT78KVP99ZszjpTvvDDzes/7&#10;0Ja3ykQpw7UyrIfob34XeOhZzish63DZX/dZfTClf93y6FkyaY+cPWKTaN++7bfI308/920/YyAB&#10;LTJh/HlGR9CB7GEhusM744jsi6suKdeZf/vtP2PAHJUdzWcVfYO+fGJ0+vL/Ys8/JbUxV2Tpym9/&#10;679WfconY/7Hp03GxFlvIYvuI4fkjIyRNfgX/HHvOnvE0GSHy+8dmUJD/lnIF4xwDiVcsn7Ellfu&#10;LMZHt85pJ2W7dhY3ez4Yagx7Rz94n7bq00bqGPxHz/z+/nvvXjqrpQ/t5NW+6iD229rOP6HPshct&#10;68z5JjqYOYtB0LXT/X6V+SJ5zLfwqcMi3lic3Kj2Nz6M0eixjD33Av8feaEL7f+yLkTO5QnPyePe&#10;c2navWTX13HAV2XsmZfL61o6YyY0FvH65G8WOmQeysgeRbLovGbnZjvrE4aSo/hk4GqVs4E+hsvk&#10;GLZ4J07ads3POdytPeW7aLIpPTkVz0IuleP8M3wI/ASeGVfTLj9z5ZSVeYx2gBH2x7sWtF2u8eW6&#10;L3/DesS9tqi/5dXRMestJ/0vRlsdnKOUNTu2qjU8f/Yi8tcM+7qnLf/KU25+rxxG812kT9Zb90W+&#10;9enUeWo3eiBjJHjp3thjl8RPTW84V4jMSCcfHeZekF4c3dh+B92eDcBXFXtEXkEZ8s9TW2xGXqat&#10;O+aBPvu5PQ/q6jrf498mX2yhyG8w1z0drC/JV2S73g/kTtrIOPmOj9vvEpLjYNYk8GecTOERdviN&#10;D3MP9bLPw/7pjMdxNPq8T/sttc9gvuMeXsDojPX4E9wLk2if2t5FF9Ad+oSe0BbmXp71qVvqhE5w&#10;Whnu0WdD638+wtjMMNo1m3pWOA2bBd+p4omutTdvoR83P772ld+MNTIb3KXfyIa9pHRXZMaZ+XSb&#10;MZUgnfTGrn0Y7tFi45Az6zzGONp1LJZ03uPbfV/+X+z55wE/p80DPcl+hl/kiVw5dyJyFFkK7noe&#10;e4m+d08u6WZx5M49PGRLsVl9D+hd8s4KH/HIx2SsCXixdwkf05ZvbVPHb2kL41d5nmkb+FzPBB+M&#10;7WCyse592rEPj9o4OiTt7awW9mPWLfrQxyO+1QmdWl4pkzzpd7IkPPvMMxWXg9NkelZr0LDZHx7p&#10;WueUiMlFn7ov8m5+fCe7VW6LLFQdVsaefZTGqjUx80s+IHH0n/TkXrrkoUuC68au+an9DvLxRXqG&#10;pj0g8lcdUMpayFA/GaoD+0XwD074/oTeslZM9iaBD2zxFvOvq3sZI5tkGX1YVOW66HRjhX6Pvvec&#10;TJPtOjZK2sxfpfM+8m180Lfek/1Ku+STThnwWd0Ssi899JSpnOCLPNaRQn+9cR2HhW70ADrKwZ91&#10;4O76c97VMT9Is95yk0+5aWfluldHOqfbfkm/1lj74Tdt7l45sJ9+avH5unpWWnDScOpeT3t45Tts&#10;5eCJnJuL8ldW+RrIlbqnjSI/a22PSafHx3AYLoOsqof+NA70R+2X0s/DaRf3L8QDbatNjIuMUePD&#10;2LfXJn5q83r7vKo+KfIdXaPt5dfm2h8NMmQPDzljC7Cfpcv7RR+8sA/6tMe0dcc80OdztO8WdtFb&#10;9i2RJ3LWp+3kzbovWSXr9Ijn6JPp6B76Xcj8kiwbH+RdGmlj79A9aKDlHT4F1/IEY0PTO99jq5/5&#10;LMwwZ6CfvUsZqSs6kxpLGc9oZvynTGcZxOff5SF5wk/fuNtGaKFvXyk++tLGt3Zejha/tvbW7t1v&#10;rcj8rPB53752v7iYnyhnkMPpB+67t9Y/ba8O8M09Weu2m3cbEfAyHLp8GBd1rJbxZDzoW+nFGSd9&#10;+3h/zq+P1S9t7Jo8638YnX1edAa/k3aVRtvKoy/QEKTPvW8n7Y+kT+nAOkZKH0nnWkzH7M9tO4u6&#10;zQN+TpsHtjL5o0vhqH1d5If89W1j67ywAH2ySsbRTshYSJzfOTcO8EVfRs/IA3/ZwrDVehD9hEf5&#10;yXv0UtVhg/Hg/Q++/72KE/keGy9//vn/WOfEypEG/Ywv967FfQJ+0Elcyyh80an2E2eOIE3GbU0r&#10;zQTK14epV3QQ+vpa3Kdu8qItjq6h19TDPnH75Nkd2tq35zDZunMXm11PM3THjrIfefihqjfNFc0f&#10;yJY6wDZ8D997N89Be5MlfRvMUA/PxH37d3/PH/nVfsZbxpy2yzgxVgT7Hr33XL7kce+5e9f2wdIz&#10;5qX0Hj95yqn9VdK6T1n7extPs37d8b0/XrMp4J21QjIo5sfRppMY32igGVxks1TZL3olPnR6hdzS&#10;6ZFb+p6PNHrG91/tt7XX1fO8re/QseapvjeM3Y1vNOTvyr8y4UR87eYhxg7/sjzSSiOWP7jfV7ZC&#10;M3ZOrd8Ae51jZW+z+qd847uO9wnjM90hKF/QdunnPnXEK7rBtS4+t9+BmvO1+w6NH74aYdZ/flfL&#10;H1kn5/YIkstu36cu6uN55hx92qdv3vTXSrF5BdmJvKpDxpKx07f8/T2/dlVHfa4dE1Jv3zznd1Ws&#10;iRnPAjuBzCcdOvK6f/jBr1cZs4bEhtYf3fFBz0mn75J/Ea/PDpq1Hpl1efv27Wu+fOcdVV+b77Ep&#10;jHXySg4nITfWYsgpWwp9tOkR+k8ZKYs+gcmRdfjtvDw+SXhizxFZx1N0knPPfG/reyH5vJdPLKAt&#10;vbLgMZ3croteV31X6CpDmvCCNlrJ26cNQmcYn5WlTTLOlemZdhFri4z3PuV36+AaP+iZ1/A/9KEt&#10;L15DA238u8c734A6Ch+/8ool0TYnnPWfNWjni/7vH3y/6s7MRe3RxTf9qS617Qvv2r+rf1PHWcf6&#10;rNuHKR/PQua00mTcPlXOmVQP75N+EY/W/9qPzCak3fn76EVzTLrDnFM7Zx1Eu5ITuoZ/G+bSV3Sd&#10;fPbfhBaZ0i+RNXQW/TK6X8a1z6z1yKzLo7PigySDvtWLjiVX49pn3Hsyyc9JVunE+l3LQIdHf5BZ&#10;ZZFtZQvyGRt4e/QbD1c+yLU84mC7dPxJzh0x15U3dnfGmjyu4TMe4DO67u3fgFMZQ9K6npR+QwvN&#10;Ll38wwlzg1rXgV5QpqBN8TuubVfzXvnddOGDb53frftuPdfoyaceoZ32Y6vGT6Hd8wefs3fb/HCa&#10;QZnPPP10iq5lZY8YmeSXIXf0Lf6Dcd1r9dmoEBkWh4duPxlbxi3bzniRjgypxzzY/11e5/U67bpc&#10;rD2NU4HcmNdqX8+N4+gi+Ky92c76g24hX+ao0kfG6lgpaaUnc/PaJpuFr6WBvZ9e8K+SJzjFzoF1&#10;5JR+IoN9+4nMOmOarJJZMk5vhy58lUZZkXnP4BcMdf5l7OCMAfxF3vGJFkw2huhb6Ywbz9Giq7xP&#10;+cFmmAHXvZeuph3MDzwLj31iNDOe8VrbtTzT7nRqnqUM99ET8uX5emO0khdtND2z9u53yfKuT6zf&#10;uvjsXlnf/953Kz7rFz7C97/nj5q3n3de894/uqB5zwXvbs45+6zmHeefN9Xw9vPe1rz7Xe9s3lfK&#10;VJb7Y485pjnmTW+q4c1HH73Ex7lvObtev/Wct9T47DPPbFxvZHjbuec0QnjAY/jUftu27qxh14GH&#10;NC/b/fLmzNNPq32beV+ffn0x5M1Y646Tbr09d/axtTFrdHTGvV+9q+qX6A3pjSu+GPaHOSl95xto&#10;76TTH/SccUF3id13y1pcr92W3k9heala/MLx+ZobkhHzuklgA1pwkmy268+tvepbrpRD/skvP531&#10;0Krry73fcPBdAjnmNxJLIz2srWOj4AA6nll//u//7VvV1+2d9GJjQH42sjFmfKmv+Yi5wj2DsSY9&#10;XtU7de+uaStnPaHWv/CRdlAOzGa7Wk9HU/ukHmLv6/OST9wnaJvkV3Ytv7Sb9Xtz+7zrE6sbumgo&#10;Tx8K7s2F6Cpzv9e8+jXN7kNftoQpsGX7tgOnGoJfytm5Y1ctOzwcuPOgen/Iwbubg3YdusSXdELe&#10;h8Y8xnB5Ob7OOO3UifVvH9mY97zkdLkxsjRWyliEp9bQ4G4wmo0hDR0joGEdj16hZ8i9MW6twXtr&#10;bsqiW6Sll9gR894+887fEpBt4ot8/9ld99u3b1/FOzYlvCJTfgsjWAgjomP79BEZRhMemFsqz/qM&#10;5+RUUI7yXJNfuMHmCk6OKr/mLfnRMwacu2F+mzwZQ8aKOsIKe8TU2f4N56YpFxYbR8pEU77Q6BOH&#10;jjLQMSbVlR/Md2x9aK82b9ox9TIf0E5dP8ZqaQ2nUy91jG3gWnmeC/H16Xd2axdLYGb3fhbXMDc4&#10;PYvyhstQPkydFA/oHXrISyu94TnFiccfX7+xv//ee0p8b/Pg/fc0Dz30YDkv457mga99pZwXdFez&#10;976vjQz33X1Ps/f++5r79u5tHv6rIrPlrI29e++v+b9+397a1+n7jOPufG1YXjbbvTqpj+8zzedb&#10;P2O7h8V5dGRc/XPmIh1D5u2DpU82W303G7+bGJYr63C4+z1L1v285DuGU+aF5MpeJfqV/hbIXt/+&#10;ypjlIzKnVJZ9y8qix5Vnfppy4Beb1rqacZHnK8XhMTw7kzTYbnwEL6zNwYjWlvvkgJer65odGnwG&#10;SR8cC+2Vyl7Nc+V30wX/+QZ8r9F9N43rLjajr53E/NuTxOeuTk4dlcVf4RtSsfmZuRlbRB/d+tmb&#10;6rX7aQVzMeX4nT/+oZSDF+9yP81Y+QnKUbb6T6J86wXvesfbmyOPOKLKNP995gTxCew+9OBm65ad&#10;NWzZsr05eNfukmZHs2N7609I+uXjHc2Wl7Q+9G3yHrS7pfOS7c2Bxcfw26/67ea8t55bvxUkA/pc&#10;/0cGpiHTs6RJNxnD9INvPeAzWWZH60O4/Zdf+uKSjUOPZo2an2+WvL4Yy9rs+BybORgdfPYtqPVP&#10;8iSwb9mQMAk+sXkn0d/Gq/ml9WTYHP8PvFaWIE3KNR7Ive+m8TGOh+Bv9AIbmm/cvm40k99aq3EF&#10;n82DXcNra6TKqXwUPA8f6MbPHBrrjSvtUkf5Uyfnp/JXrJfmavNpF2XSnXSmOYh7++j//jv/s3f5&#10;6pa2EuNLOZ5br+DX1u+wyLMlOSzy5498TjMMj1/z1Vn/ZY7cLVs7+M6sb91//vOf1TWDq//4qrrG&#10;/9xzz9V1BFjLj79z+2B9uvoNij+fz6Lg7K4DD27t+ILRO0eEbVu2lfQ7m10lv3zbtuxothbaO3Yc&#10;9AL/P9v98MNeV/evkLWuzK9WVucxXXRTbGHrgeab5ljsDXJNvukVus1zulO+jId5rNf+wtOsx/K0&#10;yjNu80dP0M1wii8GPsMveBTdWue/5b5vP5JVeICeeSVZ5ldmv3XnA8oxruElm55sr0a+2dvySYt/&#10;48gesfwuOrrK/9Z/eaGvADanHLoEf8Eu96HXt/7yV11V+HKdtX3+MN+LTYL+KBrpT22gTrnXF/az&#10;jMq72ne1rQr9pHevzvx/2jly5luB/M3q9zHg4DAuGgtZ8wk/047xYW6c+fIkyzv91FOqfW4PmXp9&#10;4qorqw1dfd8Ht+vT7Oft29jQbOCDiz98gLeD/WXL284Fh7cf1GwvGL91y9aK02zug4oNDefRtCet&#10;m/fC97+vjjdzcmMzMrFZY3te+PrURzCO/G4uuYbPrXxfW/WouahvNa05k/9Jze83a9vNgu9JjqON&#10;pBUdldj3NXAZPmc9OPhcMbVgHSyZRBujKzi7CT4rl38o2G2uKSjPejDbzjgQxpUPU7P3Ag06gd3G&#10;n2isZJzwTcW/bq6LB3NfY67iZ8kLu1LmpPAZ7dBXl+CzOk5qf9aoNlKfzOVd40Xd+CjonVF5V/su&#10;mI+2POiL1S96TL9vxB95h41wUdy9xo/30wzDZ7EoC07jY1J/H/voR+rc95Wv+K1Ke+/X7l2ybf9F&#10;sXf/9EsHNJ/58wOa2//igObmLx7QfPbOEu44oLm1PL+pXI8Kt5U0N5e0nyvpbh3ku63EV3z8N5ot&#10;A2xnO/OlZz9B5vrG1mplaN7T0SvGbmTbeXj0iMAXZzzVeg/G2/5U93num0mNoY2i07UTMnf3vVOL&#10;VVdXXw07LnqcLQrzJoVPwb/YxvQ0ewo+2sdN5sk+He/ab0bY3xUcGScbsZ2VwzcuPf6NH+feBpPQ&#10;hBXKTTCm5FeW8jP2Ess7rvzVvA99MZrKMj+ahH95XPnpT2WaI9X7MhfRFp6Ny7+a92kv9RNybw2D&#10;7uIP1ObDf5HH4eeTvO/ioGv4mL/uuzybdKwMeLycv2BS5ZNj4RW/+cpqu5kXxabdWfzYt3yhYHDB&#10;ZVh7Y4lvLvHnClbD3IrVI+Kb7ijYDtNLHuGGgvM3l/SfL/kPO+w1tZzhPeRXfezyOu+NHKxGhuY1&#10;TfSCOW70S9WVRcfQX2xmY7l+e17GV74tUfdJja95bZt54GvS43Uj6EU/KPsXv/h53Z9FX8JJ3/jA&#10;NrLEnnVd5a/II13btw/QiIyL8zsccJqNuyTzRbaV5bfYyD35hrPjyoc3aOBbWvmU6XcnrKkHD/mk&#10;2rlB629Vfzot9KXr8jqJuoe2GL3Q1w7GtL0l3TTTuE790y7uXWuLSdQRLfXBe9rQM4G/hJ9EWfYE&#10;DP/BZ3g5zaDMYRzs2q/ebURQZ399627NwDzIPjF7w/iffvazp16wP/xPbi64XDCVvXz7lw9oPl3w&#10;+nPw9o7x+PyZkkb6W0p6uHzDINxccPryK05emgfwpZsT2EvOlp6EbE1jPKyVJpmmF63FVT9d0VPk&#10;HV6j5bcK7JVRXzKf8eW967WWt0i/tu9J6yDaT/7RQ84H45Np1wSvqeuyZCvYXGWv4GL1SU9Avsgp&#10;+lmLeuiBvdV2w4O5p2+W4//mb3VWmG+P5BHGyWsXG9CRXpnqw0Y0Rtzn20T15jsIPmcOAOdr2lJ3&#10;NJVtvI0rfzXv67gtvKUd3M8Kn8Nf9IZ719Y1VtO+yb9SrC7aK3WUzrXg963jA7Qfjq8XngSbhn2/&#10;0xhmsJgfJTam+aE91OYN4uyrnlZsDUU70O35w9MkfQfOnHTmC4xmO/uLTcvnfPWni/3c8W1/qtjD&#10;1addYrg7KrCZvf9cwenbYXQJny4Yza6+ptBVTvzasdmtSfPJmTevJDeb5TmdEnnGM31h3AhZq+qe&#10;sWpseUefbJY6bmY+M6bmNeY3i74Lj8Y+LPbce8GffrDHEEYJ9mhNu2/Iap1LFjmH0eQdNrb7p6+r&#10;Ni75J88w1Z5mGF7zlfSr4S/0My7Q8oxOtgeKbQ0nni+33c/hWezuLg1jLLwaj+7RRB8WCZ7RufhL&#10;uerhWt7KQ4mlRdt96iKNtrdelWfTiqNb1DPX1uV944aPvuVqn/QfetrFM/U2BzFHEnwvlz9yOSls&#10;zvoNzOv+KUM97SmObRf8CHa5H8aWvJvU98kp83df+7u1z/E5PF67fK/nms180gknNB+99JI6ntBI&#10;ufZf//tPHVP92HXtGdaWwN/92RJc9wn853WPd2nL33y577Z21j3jfn+ELPSVr0X+tdmTL7b2Ws94&#10;mWWeYb2k7GBzlw/9RiezWWEzbLJXetr9SWcH+2pcxqy91coPH+ba0sG7//zXjy6di7ea8Q33YIF6&#10;iGFF6mQPFtvCWZrKy5o7nHYtJG14w0fluWCM8mMDVJwtz6Sv9v5A9wTzsndEnvCDTvgarotzRe1v&#10;TvnTirtzg9TNWhk7sttW6y0/ddUm6KunMgV7xDMPi10XmSSj0/hDVyDbFSvK3qWj3nBk5YP8C7Gh&#10;fV/oexjP7JF0n++TxeRU3Cf4RoBta45gLoBm5iaTbAN11d6Cv5NPPHFgQ29vLr/yyOZzBYthMh81&#10;PE7cB5vlPeKIw8q3V+15a8e++YjBvGBHPcs18r9e2VrkW2DzOBmYhg6ZJM3hubj74WfPPvtstWWs&#10;AwrwyfpsbMdxbdDnffR1F5/sL/WNVfCSjgzO2rvG7gqWjCu72qkFC4I14mCtvWbOAFHX2HHwop0b&#10;XFt9nDlDQJ6UKc49+jlXFFZ7zj52rU5wKWeP+Y3pit3lGbwODXXAF7piIfvXx9VvEu/Zs+Y+dY5R&#10;+HcuifXgbp/0KQcddUuMlrUK/gvtTd6U7a+LSd3r9Y4JvqLuHDU033jkURUTP/SBC5unnvp/LyAP&#10;H6VLWvn1nbVE3+GZS5gnWnvxrV6foK3x6LvZ2LTayRhN+S9gbp03sF97m0ug+863nz84s3RH84E9&#10;h9e9YDD5M4O1Z9hqb1hffD75lDcuzYPOPusPypygPSf1iMNfX8dIH7la5F3g8zgZWOdw2ZBsxrww&#10;/Gf9DSbBBPYzXQF34My4+vd9TxfFxgoGs9/s6YXP+KHDnYcHt+hJOqbi7ir4kyc+VvMN+OheufbN&#10;2Metvt19SvnmW5vEhg2Pwejcw2G8oKes1Cc+bO0jDd+8d/K779qTnsHq0EDHPEmavu07Lr+ygp1J&#10;aw+CNsl9n7jSLvVI26DlmXPc2nUUawnXNH5/OZgYGU08LK/rue/SIkPO1H7Vb7166bervA+Od9PC&#10;avuNYafflvjDd76jYpszuaznuu8T2M3HH3dcncP9m/e9t5ZDFif1p035+JWDbmjjXZ0O2nVIc+Ge&#10;N1R8tuZ8Y8Fna8q+mZoEPr/7gt+v30VvLeeRnXXW0e1agvNMit/bOOwjW4u8C3weJwOTGkfTpkPn&#10;JHTLYtu1tmP7jR7/WsUvOFYwY1z9+76nq+ludILPyuf3g8uCPTTWxdkv0tPnzhtLvlE8SIMePK34&#10;XDAyWMgW58u098c8AF3r28pUvjkCWwl9dFIeHtBzn3mCMtigyrCuyWcOX9nW0novn2fyhF4wOzzl&#10;+SzxWf3wkXqaC+U3Ska17WreoZt5h/rLI+azMA8StH2wWRyc7Mrpeq/R6p57gg671/qxcydjK4e+&#10;McKe9SevvoRjl11ycfOrX/2qBu+SJmNqvbF9ceibi37hP/2H6uNm06M3iXYIHWUY22xof8Fn53Fe&#10;dNnR9btn+Mxetg59U9l/7fuqvvbzpZcd12zdWs4qKeUff9zv1brWM0zKHu4nZqBfViOjizT7L85X&#10;Yd8E/4zT7l/Vg2VfGF3MlwyTPn7lFXVdDkbAEzgybdmNzlZO9Lhy4Sb7Ck7Fz20NkL/Z3il+RnyO&#10;4y82aOYatW5s1YKTzikJ/vOxwgr0rNG5h9HOAfVMvmByeK64W2ixh3NuCnp0IJ88emLn7zrL/Kly&#10;bhD81rY5Gy200HctFtg5bO5x9ev7Xpuz9c0ttJHgfPNHyrdP3vWlnzqlnmlLv8UdfNaf/sjopPG5&#10;K/POukQfPsMrNvDwuMjab2J+7LPOOKOSyT5KN9l31qW/nmvlq7/ftuQnx5dr2DzM23roy4Nv/u2c&#10;bY4u/3b2ul3y0YLP7OWCzRWfCy5Pav35I5e/sZwvdtASPuMj+/G+/e1v95avvvK5yL//YrO+3Qx/&#10;xuPwWKd/+BSDI3y58WsHiyahn8fJf3Cpq8dhJ17wxG7mz4bTgnNE/HaE76CDuaPKUAf0pA32KUuA&#10;f353GJ4qh/5iF7FjYIfnvn0J/ZQXrHH/eMFm306zwX37Zf4A72C3NWa/W2kuoZ19w8Vmx4eyYSLa&#10;0g639az2h+FluGx4wW/gXereJ85cL/S0W+ZAfDf86fmLXZr7ScVdPLUnEA6yIbvjIpicuavYGTFw&#10;PO/w43k3rjfr/IeWffp+g1qb44u/fFL0wxa62pxMw2t1gpWe77nkyLpXO5gMpytWT8B+3vPhw9oz&#10;vUtZp512VCmv4HPxXSj3vrLPpI9cLfLu39g6if6N/M9rvBw245XP75e/+EW1E/mP2apZa6VH4U7w&#10;YxLttBINZQUv6e1gBbseHmcPN3uSPQuz7buu+5cK7q5EN88r9pV0ykGbbc6GdW8dEj605Vxbfk/v&#10;K1V3wSflsaHxEVr4G+bXnl6/A2k/sH1GsChrz8pWN22pXL5Mc43vFZ8pfA6Oo9v1VciDh1l8X6VN&#10;8Fzt+sIHnoPPmYek/uuJtZe65ltQNNQ76xdi37jlr4vPwcG86xN3fcXwGTbBROV1y+niuPL4Rdiz&#10;/rq8uR9O69l6/qzbODsk+Oyc7En/wUOyZ57o7/nfsdpR1p8Pq98w829XjC4xfPYNc1//9gf3/Kt6&#10;Hnddfz7z2LoW7bc0dpawt5wztB6ZWuRZ4PJqZWDS42ga9KKDuv45uO27JfoRPplb083Dts5q22G9&#10;6eBD8JKdCxPwwUYObsJjeoUfPn5nfmR6XXq6Xwzj0IMJrsUVfwruwMjga7DCGit6MB895Wsj558o&#10;m1/d7yCrmzzBXr5pz+AYXzD8UQ7bGR+uxdKY47h3jR+2tLKkxZNn0qYN8Kgc8w96u9r+5d4zIXVD&#10;Uzt53y1POWsJ6XPl17JK+eYs4VmZnuNXXbSDa7E2TptKB3f58LUHukmDVuW/0HbN168N+CjMv7I+&#10;3MXJSfl30STr/lwL9kzDqwv+8F3LDjcyYMzIp7/OPP30F6SzDj3JP3KEF353vl/Y2R2rfcpKPdSX&#10;j4ePSL2Cz+YpH7roiOaWLz7v346PezXY7Nxu32XdckcJd7Zr1hXby7ObCsZffOnhxbftN622Nyed&#10;eFSztfwWpd/hwM8//t3frklW1yLXi7Rr0wP7a3v1GTuzyhv91C2Pv873RTAIPgWH6Fv6mH4Nxkyz&#10;7+AN3Q0fghHK5sdm1+PP91R0P/1izxb8YN/CbViBP3lCK5iCfxgCV+zTst7MxpXemXvom5/wbdOR&#10;+WPHwA1lWweXHu3w557eZjvzOSytK5e2U6a0+JEumOdegF2+6cJ7xa1BHnx6rwz5nT3KtwrjpKuh&#10;9Auaysg9jFdfefN8mAd5Vgo1T6Fb5xglZtvDTu1FFvAjrzaUJvMHcyN76XwL952//R+1f9L+KUuf&#10;eYZXseCdOQ2Zsy9M38a27copXJnkX/BOGealcNAabLfslJlY+doDllx+2aVL7ITW0oMeF/YmoO8b&#10;a/4b1xft+VAPir+eVZ3hsPFjnuuef1tZ9mp9+NKj6tme8W/DZbi7mv3b9Ztp2H5HCXAaRpf8aLHH&#10;L770mObQQ19aMfq4Pzi8lrdze+tX/+mPV5bLyNAiXrRRHxn49dEw/0/YEHRMfgcNFtEN0aN0Nn3v&#10;vk/brCZvdHowBh7AAbzBTYEud48n+oXN6/ds4TSfne+kgk/yukYHPsAVcbBCbO833IVDAhyGo/yV&#10;2oVPU5sIMCQ4FXyR1vqwcpUDy4I/cDY46drz2JuuveNXpyvNA7pthDf3+LdW7Tsz98r3znP34QMt&#10;ZaSfvJc25eCzS3+5a3mlE8tr3znbPeXol9RDzPbFu3a/6y/urGe52ResL/jj0QjN0MBXZApvbDi2&#10;s7nRNx/+q2UHDAwRJvWHFrn3Z08AbPKNlfmafu/6quFzt/yrPvbvavrTTjm52p3vueDdFd/guzXs&#10;PsFZ1L7bIkN7yr5t8wZta/4cfifRBvAZXfNaf/au2x/mdyT3XHJUxdVf279dcHacDe08T/YyPK7n&#10;jd3R5oHb6F1wwZtrO2/ftqM544xjyxliryhtuaP6uR8vc8vlZHLxbIHJk5KBSYydadKga4TM+ekd&#10;9/7YaLAPPvHpwprofnH0/qTaajk6yjBOlUf/wzIxDINR4Q+P+faLnolfmh/anhdYAc9gQXBKefBa&#10;DGfUT1mwFe5+4qorat1hf+wobYMHdNnq8Bu24E+Q37e7bO+0D+z0XDl4r3g3wDx5YJZ5AjrSecaG&#10;U7/gFp5DD6/ewRHvu/nQUQ9pU9fE4VG8XFsv9yx08Ix3cmA9Hc/Spy5o2ssOU/lhKw4P8qDhG3pt&#10;or3xi5Y1ebzmmTzsUX2q/7Sxtva3b1+LxeLudX05hX/H/X75LrdgtG+b80cGgtOJsy9MXcynzN0E&#10;bcBP7lmfYE7jL99Z4Ul7+pskPsNi48TcSt2cWaYsuH3hntfV9ef6u1WwtmBrxeWCr2PxuaS5pZzd&#10;3bW1XWft+owz2vNJtpXflT7l1LL+DJtLeN3vva758ZP9z49dTqYXzxb4HhmoA2mO/9E5K+GzsznY&#10;MbDPPmU6Vb2i3+mJ1HNaMbyht2Gca3gAw/h1lWldPL5mc392rzT8w3Q8/KTnrU2ztaXnc2Xn0Zv/&#10;8HffqXoUHnpOR0nX2m+tf1X3BZ9d+w0vNGERHIf7wRhtY8+Y/eWZB+AdJmmvtJ0YzqoDjFLHpPFc&#10;4Atgy4dO6mwfuDnIN8pvUsOz9ENwD+3Q985zQVl5J15Nn+FDufhzzd+qnSqvpZ3ru/Lctz/aDi7h&#10;l6yot/L1m/Kcoc02TjtI41p679Fq9xVcXfuOT9c3BN0/mDRpfEbTGOjinX308El489FHV7mCXfjH&#10;FzmKn8C9a/NDMqEdPDMf0U99Ajr2n+GDbUnuUv8uv902Ws81+saONZlnnn66ef9731PLhM8XXfba&#10;1ifNFi7YulZ87mJ48vN3e37C8W9qv6cq+HzssW8oZcJn37a9o/npj8f7d1Yjw4s0CzxeSQbWM1Zm&#10;mWe5MU5X0QEwBk7BON+jRq/Sp12dv1LdJ/FcOXR3Xe8s+t4asfKDGbCarqQL6S7n6ptX4N/6rHf4&#10;Z5PFLoPbAj0K2/NcfnMRz73nP4h9pE/4GNJe8qFLH8NLcwJ8wVp6mu2k/nhXB/xrPxjXbZfkSZtK&#10;A7fk+0L5jss6tmvvvYPXeGznB9dXjDY38A5dOOo+ZcjruuJpSSOda8/yLmmXi2u5pW7hy3qw9WT3&#10;6hxa8Mm+Z/1Syyrv0FNffaQsfPFzwz52MRreaTPvxWl79YPV+dOf/tL+rvPM9Xr/QiP+o8zDxHzr&#10;fhOZT5mfGW4I7nOdGI4l8It30yfNeuLQYd/C+fyF79yvN1ZPeySOeP3rm8suvqiOF7SWft+j1Ovj&#10;1+6uuGw/V/VVW09mQxes7mLvctfS8W3DdDZzdw3bb1odcnD5fYzartub17721bXdlG18RbaWk8vF&#10;swXmTkIG1jtuZplveKzTgZ7RT/QkrMqaI30dnb0a/d63DenvYIFre6O72AwjnNUME1tbubX37b32&#10;x/76m0e/WfUObDDuxTlzJeeEwnfPYTX8Mx957rnnljAguJD4S3d8odrZ8mgnfOCTzagMbUO/pI2C&#10;QWk77eKZuD4reV3D1zz3O1zxJQfz2PzmIOYF5k72kgXj5JdOgPGeo4d++Mj7xPKMCtoalmYOoH1S&#10;N/nUmV8bbkvrXe2vQX3k62K2drXvEH940F6u8Wk+5XtzbaovvfMX+Yxc1oflX/oi9+uJg8vympfm&#10;L3vGn/7lL+teRL4ZtmVsZvJiLiF4xvZ0DUNjX4v7BvTsTUxb4HES9U49xXwe1srPf9tb6xxL3WGm&#10;uYG91dff9M/a/VzxbQ/wNnu9lsPlpWfSlgCbbyzBdf09yhJfc/MBtRx70Pi3t5SynCO2a+ch1dfy&#10;xOOL9edRY3PxbrTuWk37dMfBvF5HL5lLd8c+3y99LNA99Hz0PZ3qfjVt0CdNyqD3lSnUfdblOx3P&#10;2GfwzHo03yNsxK85hXXg/NHxaPFj8wuoj7mHGB7Ixyce3223HdI+ecamlk4++E434wNv1gvtdYfX&#10;2krdlQuLEruGed7BLrpXWkFd2Mje8ZujhXZsVfvW1S882yOtHaSHhcFd9Nmz/Aepq/rCEnv92Pfo&#10;yjcqoAdv//Ef/r6u4cMocoE+3tVJGdaXpUNTPdTJffrNNVrWZrtzvZpnkB5f+k1fwLX4Lsil/ks/&#10;pE/TH7nvE6M/TG+5MlMGnvKHr/AWvO++T7o+Md7wg64ysv7dh2by8v/4fivfcD37zDNL9jO8/FTB&#10;UX5ptrPzt2Gv+1Xhc0lb08P2EuwLc39ryX/RFUc2W8tZ2/wOuw/ZXfB5Z8XnV77iVc0Tj5V9nE88&#10;7wcaJaOLd6PH8KJ9Vm6fjIHNFNMF9AD9yE6jL+lN+r7aZEX3imHGRvd95gkwwTc9bF+YGeyFd7U+&#10;Raflb1gP5/lKsfTaIvnEfIJwMr5z2AOv4HbWnq27jmsf+YLb4uCZ+tgrbR9Ytc1LW3uvPDZmuz7+&#10;yfoNk7TaQZ+gh4b9cPzj5igwM+W4xx/8Y/P6jiw4GryFrWihmXlGOx9pfQ9sSXUzH4DbbDzpU4+K&#10;uYWG/Ghm3oAP8yjtJn/49lz+zJX0oXlU92/fvta/nWfpk9xvVIwvvCS474aN4ivlDrdbnuM3cwjt&#10;LrCZfbttjukabm7btr25rWDqDWWP140FU28t2HoDX3WJbysBZo8Kdf92yWe9+YYSPl3Sy3t7wfl/&#10;fbz15ufXDPjwlen7MTI0D/pl3PhdvF8Z+zZD22Q8bKbY2GUPGL/sJfoSPttDatzAPLp1Htof7tDt&#10;+IIH1mvxC0NgNJu4+6dua/2LjosOlp/f09wle7jtN+N751d3tqi2wc9a2ih2sHywDpaxk9VNHfmR&#10;4bL5UjtvuraWpQ0E+kxeNjV9C/f0VfARL9YCYCb7V3/a3wZjlZ134UMfKxtt7ajcNlxb06PHHjaH&#10;UBaepfe85i384DvX4RMN8wL38sDqR8p53vz23uk3e5RiI2p/8jjcd8P3a+3XSaSfBx5G1SOyO5zG&#10;8/Du221jBlZ6Zg3CGrt14C3Fvr2t4Or15XvnPy24+mcl3PD5gs0Fr11Xuxr+rhDY2LfD4xKccVLX&#10;sEv8Jzf+82bHYB2fH12o84HCg3UOsrHW8bOWsbZIu7lxdVL9Nzwu5u3eOB0ewxm7xqpveGGCYM2N&#10;Hk7bzMv8Nnof7uApZ3/CHroednbrSNezh+OTHNUn2iA+y6QLrXyHBUNhHczzLRbbD+6knUbF0uEf&#10;JgrwTXAN19QBlml3fmR6FPZm/dkettjp9Jm09n1bU4TNbGG0ou+0EX48F9sDzp61ZytpPHctTj3M&#10;d8zRlK9Ng/n2cPG5L/E/sPNTLzTwJ4Q+ezs6WH+pG57V1d75L995x9K+bW2tn5bDZ/3h/UaGYRly&#10;b14b7IvMzEOcduryYg7k9z3MsZxJ4u8jl1y8tAduZ/ntim1btpXzNg8pZ3u1e6vZuVu27Gh2bm9t&#10;39jAy8XO6az5ix1+8K6DKt7D/EPKtXPC0Orm+/AHP1DlxBpP5npkaBEWbTANGeiOhXm8pkeWG7fh&#10;1RncfKpZa/X9a3RqdPg02m0tNOFQ8AwuWJ+2Fg3HYApfrm+iokvV1x+MTt1HxWmLxHSavWPW7dBn&#10;81UcLd/AWovmQ9Y28HVcPWJbBgdhrLxpW3hFT/mdpG4/KFPZfNTqrk/E/AdwPBgvRgueKgNOSseu&#10;tadceeYv+rfqxAEd9PCOP+sG3sNl8wLlmgegZ33cHC7loZd6K6fyNuDBdfJUv3uhLa35DPrqJEYr&#10;vld9FhlN+4v11zxiYJfH8DlKtqb9LvykvYbb0vkr7OTsy3uq7Ov4ndf8zpItu61g6Y5ynhdMtYcr&#10;Z4e85F+W/WMH7qp55V8p7CjnmzjjBAbD8+3lHM+Ddh1c153zLVX2wyvXvggyEhkdN34W7xe43UcG&#10;Mj7mNR7WD8vxmXM+2zXP65dssthgfdpnEnmN59BxjS/7nNl87bfM19TYvqTsv4Xd+ZZ11B5bNNh2&#10;fAfSyS8fGzB7vluMvrba7fn+iE0Iq8LXSjF8goWpQ3AxmAqT2bytzXz9AMfafeawEm90mfT86/zQ&#10;bGJ4XNchCh/Krr6FgntwWVne4U+QXx+bW4TP4Kx0vltu8bn91g5Oa184qh2sxWd+IF/qgq76CeHR&#10;tXVx32hpI8+1q/30bHNtqa7pJ3GulaW+Ce7zfqNic6Euf64jH+oxSrZm8U4bCd2y8gyvfgPE70m/&#10;8cij6vzr/LKHe/ehL2vxtODurgNh6/aCse2+6oN3vbT+vhRftL3dXdt3uWv7yyo+s7cHOG2/9o5i&#10;l7Offb/Gfidf1nPIH7kgd+aPkcdFvMDhacjAcng3j8+6OD3Mn7FC19ChdLMzKjybRnutlSY+6Hz5&#10;YBR8gM9i+6BgmMCHm29J6YToEnpmVJCODy4h9/IceshLq24zb6Hz4Auft33X0THj6gPLgs/4T3rX&#10;9kn7toa/XtuzL5Vhny19lnkBjIO78FL/OLNEuwzPn9AUpFeuIJ97Aa7U39wodLI/G66rU/AZD3jx&#10;XZcytK25wHJ1UBfPY1uLlW8eoI3Yas69yRq++hx/3HG1XV+2++W1j7Sx74ljY6Xf3HuX+42KycGo&#10;skfJ1qzeDdu2XZ5da99gctqZvJ984onN/ffdXcL9zd77723u/vIXm0ceeri5/557mgceeLC5+567&#10;634Ley5WCnd95S9L2vvrt+wPff3B8u3AV5v77v1qs/eBrzd3feWueoYcGSQXZIV/p8pMuTaGMh4W&#10;8QKfpyEDw1g3z/ejMJoNxRaFD862ti+Ivp1Gm62FJhxOeuMZT3AD3jj/EpaYW+A7Z/5Hnwavcz8q&#10;pse6a2XRcUcecUQpo91PrRyBbQnXVqtf6CP80lHyiAX7wdhnbGg4CButDdKnrlt/xifb+UCZoygX&#10;lmqDzFmi66r9XMrJfKDOawb6T3rp+LnNB+hL7YoHe8i1XVveNXWeA0eVwx8Ot7V/yqz0Cz3PUg91&#10;ig2tHPYzn/l3yzyCD0L9zJ8u+fCeFbEOxsAO7S64Xkv/jerbSbwjG3js0pon/tJ+wzziN5gc3s1f&#10;2dN/8+g3y57Bso7xePne78ny7d9P7TX8bvPkY98r3z6VeWX5/YonSz+PCj/50ROFxv9q/s8P2t9M&#10;/eHj5du7x8h4mVMXmmTEPK0rc545L5WsZGwv4gU+T0MG5hmPh3mDz8PrU9JYC7QODXvssRXTq9Z5&#10;p9Fma6FJ97P1Yi/CCdgCJ9CxFxWGWB+GM34375yzz2r8hq7fADj3LWePDH7b4Pzi8zv7zDObt517&#10;Tv2tg9NPPaXGaAjOXWrtyj+uc5j6/XPhA+aOqwtdFD2Ed3rKM/nYJLH/+dlhmHMk8J21BlhpHZzd&#10;8egj36hnp6X+wUxtxMYVpyztI114zPq08vgZs5fbXvC0n/KVy78MU80H1Fs5eK44XMpAF/+ep07K&#10;lUa5fPD2r/E54J8sid9XznzWnmecdmpzykknNUe94cjGOdjaWx/wG/DHOu9SG0hrzrWRAR/4cl41&#10;2WL/49uZoCedcMJI2Rone5N4z3dM3smuNsTvW846a6mNg8nBaOmNb/MnsvjY/y39+ZMiJz8crFP8&#10;2Bk85Tv7Hw32VjxZxtmI8KMn23naP/30n9q54U+KX+ex4rspmP+jH7bn05AL8svfI0T+jelx42fx&#10;foHbfWRgGAM34z3Mtk+n/d7nuopB9LjfAaz2UtG99DxdzE6Lzs8469N+ffOyofl8BZjC540/9hzM&#10;gCl0Qvxq7sN3sGwUD8nPZ4t+bE37qu2hSrugGRvSM+3m3nPttnQ94IndmvVtdPHPF5w1OTao57DT&#10;3nF0+Jz5OdDCM7qjePeODoTN0YXORrXHzDs8WrfU1/DTO2uWcFrZbHvzHnisLLE5W/ofTc/QEcgG&#10;uuYaziLBOyyA+eZRSSfmn4ltjb/sBRveSz8v4yn72cypyID+IhPkCv/ap8pAka+0j/tx/TPt92Tn&#10;gxf+29oH9hHgzdyM7OuHaZe/oL/A142UgXnRH334gM35y29a0cv0rN9F0L7Gc+a+xvi8jG96kb3G&#10;7ocDeHYeJ+wIXtJDrvGc+YVn0aOj5AdewiShxWa2env2prKsHcPpimGFfp0HFJ7gurLYKF0cde1b&#10;J7gFA+GitnaeKJ7pdPq+3bPVzgfYs3ika9VNXfC1Gv6VJz0+8ISu77fV315a9jE+rG2gba92fN2p&#10;Z3jCX8qUP/KAtueeSQt39QU6rgVlq0Ni318ljX6By/v2tfvuxUIwMbK5UXHmr8q3rq5e+k2/aFv1&#10;Th+nHXI/SrZm8U4f4YV8RkbxW8dDeT4LHhZlLDB6o2Rgo3TGpMp99tlnl0jRidaK+CWjO9kI9Ccd&#10;nHl3dP5GtXm3XPoeX7E1Y0vzzdJH8AK/gmv6MxjTpbPSddVjpf7KgMPsTWXAHHamQE87z8ue5Vpe&#10;Sb+kt8u18vBpP5j5T+xKOt61s8WzliAfXMe/OukH+6vYPvKmXqG/Et953q2ra2eVmM/gE88wWB3w&#10;4Zl+to9MmbETrZOjRw5qW5bYXnJ6XkBXrL19L2293h4GtLWNMuXP3AUN+NzW/7paJiwmf/7EXUxc&#10;EtANuvC9XfgxPuCzoN3MtTKv0g6RMW2lTdIPGxXjA39wOna+9seb5xvF16LcBWbPQgY2SGVMrVi2&#10;tH1E9DOdTYc6e7niVBnX2rTOw8u1Z7No41FlBH9gQOxbvLNP4SkcqZhZ+JUW/ogrzgzqM4q+d3Rc&#10;0sgP17QN7FEOPQ2ztZVgfsNXzE7lk7Ze7dknrrqy4npsZ9jLH299nb7Ep5B5RYuPrR3qjBC4yuaF&#10;c9YipA1fK8WhV7G11MN3yb4Rsy5gjtG1nfWneYQy+AbUEQ/qpB7BHzTrXK20n2v8yKsu6tbiV/uN&#10;mD1I8gnqqN3xqm+kUz4fTf66vpw82+g4c4f43vU73vUfn0PWJGr9ShtX+SrxPIyPYHN4SR+Qsfgy&#10;VpKdxfMFhm52Gdho3TGp8ukeeii6CJ7wu9LNdG70sXEde8FYn4f+wwe+6EqYQney3dj+sA+GsB3w&#10;yjalq6oOXQU+owt/xNG/8vtOCV4Gk80J6Gvl4qG9v6byAr+lC4bDPP54Z8HE/wg/8YTHzB3gXTAM&#10;ljoDiv2ctHga1/5oSaf+6Fv3hc+hjSc8e4+X9K01atjpHf5hkrVpv7nFxyuduYp9uM7uZHOro7R8&#10;5fAdNmcugef0hfbTltIqQ/78ZR069/MSs+kzd3CGnLrqG98ial9tW2Uq+FzafR7GBwxemqN1ePJs&#10;HvgbJ7+L94s5Qh8ZmBf9sV4+6B2Y7C/6x3XWW4Mtzrcwnumi4EOfdptU3uh6eoh+ZNvS+TCSj5X+&#10;xHcwD67ACfd01Dg+4Hns20qn6F/PlKUt2KHsZPj1/9m70297i+pO4H9Kp+MQMQ5Lk2U60U4nbUx3&#10;orZRo+0QJ4zGIZoYB1RUVFQILkmiKDKrgCKKjOIQQJTRAVFRBJNu1+o3HdOrBQUhq194+/nUud9j&#10;3eOdfvee55znOafOWs+pZ6xh1679rb1rV1VoJe1g1QSvf7Hnlr4OPzBYKH32UrR2DiPRFu7JHxuw&#10;sojXPDL9DfqvdzzfK+95Lt/iRyvfw9L0Y8RtvU12Bu97T9nkj7+4cuhryIe8O/eNQ9n0SZzrP8Bl&#10;73vXXivyKU4YrWyFdzYxQhrJg3TwYbBZXzFrv+HFof0ma+Lq15xcfOjUV2icelG+0H+ZIZprG3U/&#10;UF4dni0zby3thr1988DQZMdB8xNsLnjdyUc/exMHX8hdY21kETlfbJpdu++bvnvFT86QheSivJFD&#10;9EOYIc8wgx4Hd+CF5+QV2eTeXvGLE6ZHpknLdzDbt7lm43RPWvRifr7Gi+nY8M88JvsGySesEocD&#10;1vvWfXmSjvTQWNziUAZYxqbBFqwcyrBX3j33njjhr/jovnAl+r3zxCNf3lFmeZMfdc6PW/poCnsn&#10;dveJv7z7dHD6MqxWXvOexVnyuVmO0Fu80nAdWzifNb8an7N3Rnmw5D9tIj95VDfKjA4OvvhonP6I&#10;MqJ7sDr0XUaI1slb2kj4Xx0sI08tzYbLi+KBtNuxhmSPg84S+ags7t1114+nMpQuyq4X7CDDhyB/&#10;9BPIRbImcsj6WpPx04l9lm7HN8s78DlYRY7uxSfBE2WVDnlHvqHDVN518tp7rkvYvZd33ZMv2Gct&#10;ZM+TT3LeufiE4nbIk7z6ls8ZfytlgAXw2vvekYe98q+8+gCJnz0BpsJZGK0foS7FIz35lsdy3Z3L&#10;t/vs3foZweaJLf/kqQ7tGeyXf/mSbuJSTnGIK3HLk/VY5YPven74zi82ndxfVpi2If3kzR6N+ioO&#10;faeylmlXRuVGZ2VE0yHgn/pAe3lyHvonn3vxT3vesHTMPLAsubGodLO3Ad8muhbfMbJXncEJbb4+&#10;UpfkALmQ675CGED+FwyAi12aDuO05Cdco+vwkfYOXPBN9F353OlI/vNcGci1yLbgT+4l7VwXGnRp&#10;+U7akZUF27v7nu9FF9/xL9PfgNPwsd6vwvelj9KVWb1EBicMffRJ6PbwELaKzxphe6VfytDFLVQu&#10;NgJrW/AhswYJvwS4K5/i8l7KJQ/uoYvnCZO38z56TuEpY+H5pY8ozHmeLSOs9Xj4zM4kNNagLvR1&#10;7J2tTOiD3upB24DPoce6huodXZS/0KfjhVynfe3Fg+156yMclAeWITMWmaZ9nNg3oy+xsWpfjsjk&#10;WdrVsmj22byvoxuSiUmXjIQbdEM2bgc5ygfaM+tWwhQYTa5udySf0VHJW+WVhjgib3zrusZcz3wf&#10;PbfgdvdO5FGh3aYMTzo7heJnD0D3lIVdWL8p5S156OSefET2wYakI25jvBmrMJYNW8S7U7q5X7Bm&#10;s9ziVM7gjnTR0TvS8k3y5Nzz0MC5b+vnbOF8rIxH1FgM/+rrRfL7bFp1PpxnHIg/O3ryO9B/Un4H&#10;ngovhIbrHBbe73gzvBO8XmeatLIvrr8x255X8drcW/pW7HnW5AgmRd5uFy6CD4NDwWc4IF33YQO9&#10;Wb4zXsh/zBxdtlVy1bP6CAYmNN+ZrsR+q9zmArPj8ukK3pI5wajQRfrBZfnxjkP+0Mq95HU3OolD&#10;X0O67NFwNTir/+E5jFRWaYoTTiRtaVrXJOPG7zn+HaWvBa+9v1vaniUe5Spl0s/Y7Gsoh/iDzeXd&#10;Lj91+TwXj3cKblXP4wfNLlPbs2FgjYtDaFP6DNGf5YefnXrQ18E/ylno0tHGufpQZvWxzkd4DE3U&#10;v3aCTuGdvfivPV8clq0irYcgO/rMAzlJLsEncpQeDSNgBt1VO3NENgsjnxdR37Xsk7Y0g5XkAVts&#10;dE/2YbIU9gaT6dVbj8naE/Q6xwQLTyrjjPGpgnVowXZOJ7d3s3SkKz/yEJpEfwx9yGyyynvJ7250&#10;8r1xa9/ZVxL9J/lSFydunPHhDxXfM32o7O9MJsIP7+ufGCOlcyuzkI+ZPPxwc9x5t/STR/lN3n3r&#10;3JFvUz5h6t83zh2+8W5NH/6H6kKZ8Fh+OR8SRkdvTt6MF2gHDnzB3q/+lTHlTdnXOQyPqH98GXwO&#10;b4R/WthwuA8eiExZ5ZBs0q7IUrgktJ5yZDe67iSf+6B5HSf8knbR7brQOZkAe4JB1leRZzYA9kg4&#10;PfEdnsyVDhYLYW99RFcNnosHngvd8+7k+4l/tXlosDH4JQ+RRdGv5JHMrsux03mR9Zty3/ewNfmF&#10;u/KgTuCEPMmvc/ddO+C4+8oMs/VbxCsfO6Wb+8mnMihT8NW30YMSV7k3U7aUNXQILXzDHoF+8rjd&#10;L+uBbPdskfdgcvBZus6NS2ctOWXgsx8MqnEodFzXEM/gN/Wetup8P33DdaVZK/f8+iqLlBPLTmuy&#10;psXE9xfGmUdDJmmDeGpWPkeW981vcIIMSB5yHiwgL+mZcA1OWeeDzZd9mO9tfdCD6gOGwFxlN14K&#10;34PHcDD47FzcsJA+aMze/iLsDNGrI6PQDK34de1FG3mfxUhrpbEJTMozGXcIFsNs5zB7krfJeuHy&#10;bh5Q0qSTy8d+0i/9ihnczXfyttPhHWXO4b3Sj+rqyz1rnYRuNf6Fz4eCz7Eh1fmSX77waG1fq+zj&#10;aG9M+4Nm3yj7Pa7zEbqEJviPvMAL4cXwUgvnh0uNlhNaps2uahgbI3l0z09/OtXd2PRgnLFP+BOM&#10;jqyObO6bT2AHWS9MXwE+l75Cdy/pGy+m17qvH6//Divkuz6CJQl9r0ziJE+kY21Nvst0UbgHB60H&#10;Bi/pqK7h9ATH31vW+uRPHv2hjjP52y30HRrX33vfnKeJD/RkjS/2dniRMWZ5McZurTNlSDnRwPl+&#10;8Dk0RY/ZPG53zzvhAaHr0NJ1jc+T9d4m86nN5fOjq4bnnA/lV+dF/hzqVB0Hn4PJ9nLcbh/mPF+n&#10;MLiszPbQxk+FBzbb4SxPteuG0fPkgaHIj77yAZdrPcbaV+y78RejHxb/pE1dLLI5cnmetN4uLm0d&#10;1nqm7ScvzoMPsAiuwrjEATPgbbAj97cLUybvBtulmfikBQOtuQ0T0Yb+mrF6fRmHseBrurUsrYkp&#10;Tji5XXqz96Qr/+lPeO7brGuizHRq65/wXXMYj5ZXZfddbAq+LeXYrK/ZtGavveteyW+Xh+Q5cQjr&#10;I9+nfNJ2D43kx3niME+MHR7Gue8H94a4dhh8ntXx0Vbe7bec/ZWDvQ896mFTHTr31jkMfdS9doNn&#10;8Ej4pYUNl/vggb5wcUjxRncQ/tu/3V9skuQSXY1vszYX/VWbgxdoTSb3QfOhxamc5E2wiL2cPx0a&#10;6cuw4TqH1/x9Ybh+jvd9G+wMveAY3zvlFC/6wgJyLbjnOng3NHrU+ZFfeU05hLFv6NPgIfYG3/gN&#10;UXferS3qXzzvuc8puuEs/q6CDh1cVTa2+wc/6KhS1tx3ry43Hdl1bPr5LqH6xxMJa15p5w2j580D&#10;u7XdVXiW/TKC0crErjcZZ52s8Uhf0+bgB9kLW+iXwZ1503xI8dHBU3Z4CUuD02hgnrL1rq3vkrHW&#10;jBGzR1vvBS77Rh+Hbh3ZpZ8jbuUVL3qGpjBvSHTYKS+RxSmTUDndp+/rv8BnNPAbGz7zZXjncW/b&#10;eNMbXl/6XdZxNX/PoQ+W87GG7D38L578xCcWfOZjYT1W98wB55/Bj8M9ZeRT4B7fCz4YweWENR+E&#10;t3finXa/4fVheaAIlRX/i81RMeG0cWiYo62Sr8Zg0VHbczi370POD0vjIX9PxhT7QYefNQ3K/Q6H&#10;4I5z61izf9MX4TOspkfTq40Rs09HP4a9mbtW7BId7sN6cUnDvYLnm2kOmT5oI3/pTwjRA2/wwws+&#10;GycJf5WTkfzxQYi/gXVW1Jt6TD9Necd86HPqEz77vz+z4LO9YMJvqduUtfDmZj9S39K7weWE6j31&#10;L0xcLWxY3AcPjESMHCqbMDl6jbFB49H2J8ocHvKJTVd7gyHWgDQ2Gjzpg+5DiZMcip2Z7FFm1zUe&#10;ySsZhj7WAYfH/N8d8Cm2b/qW730r9A3ZCIsd4o/sd9/1UOiwUz4iw5XHO/IcOumzpPz2AfPDa/nV&#10;57k3tFAZMoauv5q6U1/O1fmYD2XQH3zus5+98fCHPaLoyeHN1KV31K37eD99y4bPDXN3kguLuj80&#10;eTHv/NQyEjbnZ91Pc43ogtEBYUbwSlsdA34clk/IrnJ0WAqLgsNksrg9QwcyLPJayK5tzpdxArq0&#10;g5y3rhldWjy+ozeLJziNrjB6LPQNPeQ3tFZ+1+bn4R2HvTRnf+kTzt4f0rV+aOwh+hrWqVE+ZYVV&#10;wbCxhvhY3vnAGXvWhwxvx4bjuXvqWr3ieeM+5oRHb06YdxOGJ1rYsLwPHhiSrOgrL5GTs/6rdObY&#10;9shYuoR259BO0477oPtQ4lRW8lhIPtEdYKmyR48OLYKx8h46GcPjN4aOOYxLuy8Oh3fhtHTEkesx&#10;0HeKzx1WKbdr+VcWNu3gM5+G/NInnOW3PB9SqG3oW/HP17+yB4n+k/LFNyH1OMYQD+PfF7/oRcXn&#10;y14gcFldup92GN5Xbt+4b0w6uJxQ3Yenx8C/KV8Lx9l/GJKs6CsvtZwkO+v5L+bfGlOlOxiH1nfW&#10;RskoWLLqfE0GR0cmr5Q9ZSaLyCqY7R3yKO971z1yzbohdGl0dNCpzdFCW3tY5Fvf0NfEJ17xJ62h&#10;hsqsjPLrPLJdftFKnwRG86PLL/3Bek3uPBtiaJ0SdWZOHb8p5WJHqnlhqPWzV77wmnde+PznFay9&#10;/JLPlHatbRvHwoPRo91Tx8Ft/mLB5YQNn8eJc3vxyVCfD1FezDNPNRabWxUbN5wmR+3bYBw161Xx&#10;5SaXoucNtd7mlS+4o7w7YaV1mr1DlkVuwSvpk+Hkn+/JNbrJxB5xQrGZOrdOGNsvXKdDF1yHd/B9&#10;M555laWPeGbxWXlzT/4n+HxSWcM8fDsmfJZX87jZQOjQfAvwfvpUyjrmA88pzwue92cFa/lq49e0&#10;8fhD4PG6LSgzP+7gcsKGzw2f+5AzO8UZmbKuId0aNk98ud9bdGjYUWTUCPBjp3pd1H1yHHaz9dJD&#10;+I/ZlxlukfcTvD6x4BfdOX0B9EVn8i62iuip0WfI1kWV46Dp0DuV0Vpo+cG82Lhzb8ihtWAm9XRC&#10;sX+kPnbqsx2UVsv4Thnw6NEvfMEUn+Fw+hzledfOC05376W/6doYTXA5ofd9m3AZZWpprk8fYchy&#10;YxF5I0uz/wQZxT7LRyZtsLWF3dtCdGLz0WAvuUb+0cP0e4xtsv+aP013QU+yTeh9dKZbuxeZB7cj&#10;P4dO/8nYyHuLDroIfp13GvoRMEk/Y1KWiY/YqvB/wd0Of40/W5OETqxseCz9QHyHZ/UPnQvxZNOf&#10;d2/7Q2+bq5C/ebf3scVHfzbfiv48GYN7X9lLwnrX2vEq1HGfZUAje1WQafCWzCPrpMm/Jvol3yP6&#10;NIyOfPRe9BXnoXfB+E5+etZn3ucRd+ZX2aNz9jcGHTq+GfFzU0/2GNPvSn3Mg07LioPuDIv5b9OB&#10;jSnHduN+nsuf84LnXai/abwmenPC9CETLqtcLd316DvMypR1vbZOAyzhewxHrIOl/bZ2sHs7CK6S&#10;bVP9ozuPfOfXnLXOgwH2Tc5z8hAOC9nJYYJ4gvdDpz88Y3eZ9Q8bAzZr68Fna5PoaxiHNgdJXcCx&#10;odN/r/zBUX4SL3rB84v+nDn6KZs+ZfqTeM+7eNP95r+9e9vfi/bt+eHpt654XJfbXrjmQ8e+Zz6o&#10;vYlWQX/ou42QZ/oxdV+m6CSb+rBx6fh3s3Wjsf6PdSVhgDFpccDj0Ds6da77LsNh4odnypXxZ3hX&#10;+yTWfDbE84yVs+Xqa+ijXnD+uaUu2EIOQ5shfJsxlMyveuPrX7fx7ne+o/AgPlR/eNKR8tvLzTPv&#10;Rm9OGL054RDK2PJweBwcKg2HKDMWmafoD9Kc7A892WP5tA+dMnrZtAieM04HX6VFDyG36ML0E+fR&#10;r/mNWQ+UfQIGwDRzsmC0d2A6PIDNsNq9Mdi3a/2ZzgzvjJeMSX+W18lek9aCO6ms2zMG2u+Xv/En&#10;/217YRiDrvfGyD3466j3x8i97KEhDC4n3G8e2nuri6F91u0isXCoaZFPdGiYknHoiU/u9Q2jO9zd&#10;jf/ozTAaJtOF0ZDOQibCW9ew1jW/O3sOsHMH18yRhgXeoWvHzwxej0F/jt//tddcvWUfU7w+FoyW&#10;V/UX+5H6+WFn44VBu9X9GJ7hTTyK7+jK9l9TTufauP4Ie5mjvoc/j33TG5v+vEf7HwMPjDmP2mb7&#10;/WIcLuts0PHsBzHmul1E3uEoPI5fGJkeXTi2Rflwj15sTUyYHFmIzuwW3iFLgwtjGf+c7BFyUhmz&#10;vf/++7c0pcy133JzoBd3331XVycnlkOfw5z1RfDPItLAd/hPWvqQ8Nrh2n28Vvh2873cs5dV7NoJ&#10;ozcnXET+Wxq76wirTJ+BioulZYsdNv1p/Wx6RV3/wZyiF2628fp5O9/aliL36MJ0aOud3NbNt7Vu&#10;Cd2FDsPW/YnzPlbwmWyM/u3b2SP0FR+5m+tlhdacUwZjtvWPndux6J/xGketu1vHjH3IEfu7fLmf&#10;PoT31YM6MS+OP3rsF+wbzvXBhNqEsNRtV1+u4Z024R331UfGKdJ3S3ye6YfhhWXVW51uyiLEe8l7&#10;Wz9sa1uuadbOF0ObRcuPIaZnvNCPjNK/NkbKvkWPYLckX/Bj5E7kUtpy49WdeTUyuegwHZ6yYTu/&#10;8/u3F4xmb4QJDj7Q7NzkvXdC71n6ijPH7LNFX7MFyPt2+FxjZF98H/+JhElH2tn7PPfqcPZ9z/Q1&#10;6ND87bNONcyNTcM5ni86aFdHzh3w27O6L6t+1J/DM/XiXffFl37Youtru/SSV6E8egf/NXzeuV1v&#10;R8d2b/70qtvsup5nneTI00su+lSRufFh0lbxXnCZrlC35caXu/Ol/g3dmRxnww4d7U/CPkz/zLg/&#10;vc37eQ+ddzqGQHfrsLCzwOfwj3a0KN1ZOrDWUacvD65n77lPj86vfs6H27iD8edPfvy8grfBYCE7&#10;MFxFd+fmvasb9eke3E5fNvZj9+FxfR9e+46vwRDqMGUQNnzevS0Pob7WKQ9pp+saRo+o5ak9Hchc&#10;OnTmQmu7OcijHOvEKwcpK5r5LvSKXkxPJqe/8bWvFmyGCROcPrnsT+l55L84fJcjcR4kP/P+hv6M&#10;Tz51wce3YHLNT323rfQvpXPvPfeU5M46/cPdmm3vKOOn8UN+yK89dOOhRz1s4/RTP7hxzpmnT7MF&#10;o33HVqQe8Dx/Klil3sL36gTOqjeYW/Tgrl5gNWxnFxe/dJKmkJ+VvVzVX/q27CjBwnnXyZHGp3wp&#10;Z/Ikr01/blh9pLw07/enjXRNT8gmv1qe3nvvvQUzyCmy15579AaHdqztpj3Puz5WLb7IZKE12dhA&#10;6VmR/eh40w3XFzrrE2X8kxz3TejhPEfw2bd5vqwQzuGRSy++aAsPha/6blazc7n42j3i4Y+c4qM9&#10;j2usdP6AX33Q9B4c9hMPnNVHYtNg504dCGFx7NTsIKm/a6++qqydmTTgc86T1sMe+vDpnCb+l2wj&#10;6jJYuKy6S7oNnxsOhxeGFvYtP8YQ/+x6EnTq6EXGoulG2nBkSvDB9dDqc2j5oXPFJlrGlfVzOrq5&#10;X+R0d03+X/zpC4ttNT5KcA+dPYsc950j9B8CPp96yvuLrcW6VH6LwuXZdoVnj3/7cVNsNsc383Yf&#10;/ajf2AhOP/IRj5riJ5ym6z7nWc8qfIzW+kjwmY8kH4Gan4LJ6A+jz//YRwrWB5OPesivl7jh8SxG&#10;y0/06r/5q1eXOky91mks41x50t9OnvBZ058bbi+DH+s0Z9v5Ol7X/mHKT8bacw9W0Cf0+ckuRzCj&#10;xomanu18a5uODZTu5UBDOE2+s5WShw73+SehefQ3+wcZt/Z+5Cb6O9B5CPg88W3r9sfYXH874yX4&#10;qLbJuO7jZ89UP7SrMTHYXN/bbu0NGO3d3/kPv1PmpyvPCe86vujP5lihNV43Voze+lXuXXThBdP0&#10;4O526QWPsx6IvOgnOI553Wun/bZltxnlafi8td0uu05a+pP66ENmjCnOWoY6z3wTuGA8zd7QdGg4&#10;w/4HU4R0wuBE46Wd2zYcLn2bTq6XMYJO1pPxwWU09E7om3Uk6G98xoxTqgtxoLP3Q/ch4PPE//y9&#10;ZU8JfF+PBddY3WebQFc4G7t1dGWYGdysz+G06+BnMPyJf/RHpT/Kf1u/1Pzf9IvUA95Xd3wGfFPH&#10;mTikHb3cvdk06vfMqRtC28FPDZ93bsNDqKN1zUOfcmMMcUd3JktjmxRaj9u4YvxZ+c6QVWRUDvbZ&#10;deWbeZUb7tLPyEf0tBexsU96tANWwO68E/2N7xjcnlc+doqH7i5vpW/R4aD35BkvuA/H5PMr115T&#10;2H22v9d3G5De29/6likOBxOD1TU+BjuD2cFKYTD9Wc98RvEP0yc1pg670ADPK7ty22si3yYu6UU/&#10;T1x5Rn9mA6/1aOdPePwfFLxPPapj6UhDPTt2qpd53m/43LB5nvw0z7j6lh9Dj7/WcYLP7jn42rC1&#10;GpNjPySjyQ94Qaa4nmddrGNcsC76MHrCgqu7vcT4Hgf7rOMWGYr+zoORfdMsGAE7HNILNstH7NvL&#10;wuef/uQnU6wMZgqDhcd0ezxYV9WPbm8e2NP+5E+26LXBcHgKR1/7mr8u5UL3uv+kvOao13juPH0B&#10;37/kxUdvXPWFzxcaoRMbCNt58hYcT/7M40JTfR3v4wGhtIR916/4pSX9Ok113cafG24vgv92S2Po&#10;+Nl3/oLJ0nFOH4mNkn+M+SYTPfrE4n/Mtl1k1iaW7Ebb9mzv9g3/jEsXHbWTiZHNsCH7CNGhYbZ3&#10;4LdvyE/10DeNpSkNslvo2uFaXyHz8LYbf+6bd8V/1Rc/X/CRzgrzgnvCv371q7asURLdnu2BTxhf&#10;MZj68Ic9onwXnH3SH/9xweezzzhtWh9872GnOQ2wFqY7+IJFb6Z7o1Fw1ftoJY/5JmF066Nf+ILy&#10;jrp0BCPxRGjedx1LJ3U6zXvD597bVt/1ugrxL0KGjCUN+OwIPvO9qf2V+BhryzlWof6HUIbYNJMX&#10;du5/+sGdG/YQg398AKwHCiPQntyPLptv+grrug42S0v68j1Zs/qE6f7PtT1mEXyPP+MvHft1dNWv&#10;3nRjyUJwuc7brbfcMtVpvR8f7Hx73FuOLfYL5ax9CNikM38rGBu/bfomu1KwDn30pVz/1av+cpqe&#10;7/Qf4LrDmrrBZu/CSOkuso6T54bPe/ep+2prLd5fpv0iZMjQ04j8ii7tOvfMfc6ah2Sh/R205XpM&#10;rvHVL/PVfmkSe2bksjWZoxd/7eabSv+I/YJPsfk8ZL64iwzvcHq/6Rz0PRgBo+Uvh7iC2/LGl+3m&#10;G2+YYmH6eYvge/MAzUX7yFlnlPD1f/OagnlsyjUe13lJ//NlL33JFsykP0eHfuHzn1dsR2xIaECf&#10;tQdl8Hs2/K3H/FapG3UXOqlbfS1t5bJuLHv2m+C7cSTfeFe9isPR8Png7eqg/N6+GxbN63a7rufk&#10;GDwOPtc6tLUQ+XFP1s14X5kXHR4OVuS6hUfO2xnfJZ/JczQ1vh/8M/ecTZX+DJ/pZ+S9d33TN82D&#10;EcEc+ZImHJEPfKH/Brv8wkfp3/XdpoLB8XNM+rkv/cLP/2+yxnzmY3nOfk1/DU7SadmshfRkvhff&#10;+dat0/pgPwrGeiffuWdOc5k/t1k3oVuwXV+rft+5tPUH+BqgK3xGZ7QND/Rdv+KXtnSF0nZPvtv4&#10;85G350XU1zql0bf8GHr8kaMJk18yLffIXjoSf6XoStoxu9868UofZQ3Woif57pruZI0xMjP7aLDV&#10;eu4e2QmfvddHnmbjlGbkd3AHfrDBs6nQodmL88M34Z3c6zuEz9GLpeUcD+eXPmiuhd+77TtTfTm4&#10;Gww1Jm1swRrp6AG79FO9V9vC2dR9Y/1OvhmpQ/0o9aM+g3mP/e3HTuc/w/ekyR88dBVKy7doPlsX&#10;fVw3fG443AdfzSPOur2u43n0jpS9lmnOPadD0yX4ijn4KxUZ0smeedTBOsdR9kLqZDG8Cw6iB/lM&#10;rpPv0auiX5uLG7zsm3Z1nmBHbCawyFgHzIJjxlDzg821/pr7fYR1P8D+065rnE6aeS/5yjX9Nbps&#10;8FJItzW32z5WKfexbzxmiqnxRwueW8MHNqOPQ/sQ5lv1+wf/+fEbxqpjQ8+35l17L/ie7xbV/2r4&#10;3PC5bzly0PjTflu4PQUiz9j56AhsrXQmdldyhH0WfqA/PCFnig7Y3V+UfDlo3bfv9pZL6pP8jj3d&#10;ObqpW7olmwobtz5DeAX21XtEbc9Z87trvXi/YK60P3bOWRvGooO5wUJj1bHF+wY2Bi+Dy7mGx5+9&#10;7JJSduU+uvO1Tnx80sQZfDeGDJ/RxrvRmfVvtBPXxrThvjiSRtKMnu3d0Ni3i+BR6aW/l3yr92bf&#10;3rt9LKJ+1jkNbbT9dqcAfYTstZcgbKZD0y2MqVn3kGwmvx3aemRM5Mw689fYyx7ZTW7TAYXukd/6&#10;bLGpsOfG9oJXgpW7c9b8nlr3znHpZz49nWNVYyAcDEY7f9MbXr8B183Biq2ZTuxZjlf/5SvLPpPq&#10;UJmf/2fPneJx4gpGW4u17sMEW4Xuoxt/tOQpobRg9u3f+27ByPSHFsk3qWNhw+eGyYvkvb3Smp+E&#10;WO2YYDQsNueHTKY3WWOJXZNMidzWxjN2Gn1irzpoz4crEyK71W90PPdgjnUuJ/h8UtHz0gIWic34&#10;Unr6BK942V8UDA7ewr7gZ3Aw2Ct86lOeUtYiyfokmaflGTv0K1/+sqKHK6uymxddfx+MlYb1WWAx&#10;OmkP0UcLPm+2Dz5kvpe/Oo/O+b97N4c2gc6LaBupY2HD5+G2xUXwwtDSiExp4c4UiN3SWLQxx4xF&#10;W/vTvJYf3HlHkUn0q/T/2T8XJV+GxlOrlJ/Up7p05Nq4hjVT9NP4b1vzwy+8sjM3zfcJnR0+Z34x&#10;363YkGFhfQ5HHe5nH6tcB3ddBztf/KIXFl4Pbv3XP/zDov/WcfrON7d8/WtlrGc7fMYPcNc+0N7X&#10;H6ixXXrWMPGO7zMuhNaL4CXlk3bKKU1pN/t2w+pF8N9uacxXWqxmbBlLjOzVbo1D05/JZmtd0S+0&#10;cWPR5IvzyJnd6N+eDVsGBI/Vk/Ncw2c2XetX6qfFzzBhbN2LaBH809imY58OvgZzYSEMzToiwdRa&#10;b66f5buX/8VLi30gOiX/Ltic72qMZUeKfQGNgnfo5txhnXBxy2f9rXNtyrvaDNqG3sK+j4bP/dO4&#10;7zpc1fgXIT/GnEZ8YbOvlbK4d9bpH57OuSIfL7/kM6X/zbatvZMxwlXlm3UpV2R3sAfOsPe6z3eK&#10;P4LDDyaHXxZl48Zns/osDKRHB6fhX/DQu7Fj57n33fcO7M39ozt/MP0PY+vq+/d+9z8VfE16mWfl&#10;u1tv+ca0X4o+NX+gmevjNvE5eUk/QN/B/tne8W76tXC+jqev89SxMH0RaTf9ueF2Xzy333iLYGl/&#10;u1IgY3x5iRy+56c/Lf7c8RejR1trzByR+HUvSr7st67beweTNzDD2EVwJvhsvQ6+26ef+sGwxtRH&#10;zI1F6NDveNtbC2YG64TwNxj4qle8fLq3Fj5Wjnce97bpN9G5feebfOcaPpvvb08xvMzXG5bW73gP&#10;nt90w/VTLMX/eA29aux7S2ffDvb7rj60Hd/MYuQieLbOY8Png7WRRdTTOqYxFSztZFcKxLZNL4rc&#10;Jafhc/bPoGuYu0KWeRY73Try1aqUmewOZsAd9ap+6dPWM9Mvs7dZ/YsOnbB+Nu9z62rSZ2dxD4ba&#10;uyq/mm/du+SiT23BR++LI/HAbdjONvStb95S9ErjzzWm5tw38DX90fhFwjr3gtN8xhO/b2uct/4M&#10;nsn7vkl8ffNSw+eGyX3z2EHjT/tt4cEowF+MDMtYtPUqzLvJeDQZkzHpyPrYStv6Y8OXC+qPvTW4&#10;AZ/hNOw587RTy/isub/5pR/neh427vg+1HGlf2j9r2CkMOPCzh/zm4/Z+PGP/2/Jlvd978j4+L33&#10;3DP1KUscsVvnmv+2/gfbs/L++dEvKmPY2+nQX/jcZ6c4jM/xuP4p27gxH/JJfLP5zDX7uO+0Fd/C&#10;eLYo37svLmNI9kpJ/qL76xdfc9UXp30nafkm9o69ZGPeFTb9efhtcq/6XKXnkSstPBgFyDzzoOnQ&#10;jsy7Mp8zclybJ3fIC4frRekGq8SryyhLLbul7xpGq0NrgrNv00Xzq3Xm4GieHSQMLosrh3jgbL0e&#10;dnTRYPQxr3tteT94LF/B+uTDXEFYB5dhLrwT5vqNnf6NpzM2HHwNPuYb36EBHkcfdLLPCR6v+zX2&#10;ho6e7tvEI0TT4CksDo21oTvv+H6xtfs2fYh8n1Ac1iSA7XBdnyB6/F58U9dxw+eGz3vxyyKfp622&#10;8GAUiAzmK0TXyHg02U0nSF1q93QBcofscB5ZkHdaODzZADPI7xy5plNb59X8Z7bd+ocn4GJ4o352&#10;pOdwtcTXhcHaxEF/h8c1RgVb2dyzF0beF4orOr4xY7hWr7npOlh//NuPK3Yhe0+x9cS/yzswOXjO&#10;Zm2vjbIPZYePaAVXf9iNdcNLNLOGz58+7WlT+3byLL/s5t7THnxX4tm0WdzR2aee/MQnbrG9y1/y&#10;KC/Jj/A13XorvpcH66Pvp015N/WaNqlf0fzDhtce91Ofq/RO3Xbb+ZFTgF93dCbtmT6VMWm69He+&#10;/a0iK7R3eoGDDCIPnK8SL61iWYptu+tTKVupww43gjfGNdQ3nMsveJrreYSzOB89GCbWOAUn7WsB&#10;++jGs7/77ruv3Ep8N15/XcG2WYyHc+Iyb0z/wzi78itrsLCejyUP3gu2eRfm4W80C90e99jHTfNb&#10;j0Obx1X6rpW+jcb0X+ubpYy+cUg7+F77osd2YIxJXuRhPzzZ8Lnh8H74ZBnvzLbhdn1kFIisS2jN&#10;ihPffXw5rGNiHhZZUeRUJ+ejV7inn7+MOm9p7l8eBZ/J8OAM7Lit82kOfnnHLzxAPw2GlgeH/Eu8&#10;iSZxf+K8j03tvXAz2Cm0X4Xv6NzloH93h5/8OYwZw74a74KF/+1JT5rO7ZYOrLXmfJ2G8+AkHC14&#10;3PE4XRmfsxWhGXuz8R7v5wi+S+/4t7+t2JSCp7Ba+7ji0ovL+0nDt0958pM3vnDlFUXfFrdy2us6&#10;8Qp/49G/WdYRSnx78XvD5/23h71o2Z7Pl5Zp8y08GAW2k53sgXRofiv68nCaDDc+F925yK9OvjR+&#10;ni8/z5ue0cMiw8UPn2+64bpNfD6p4FD4QBj78cE4autX4hKnI7icN7bDL/hEx9RH9IuNO9icb4X4&#10;07vB5Brj3vrmN015mK0cFtb+aL4JbgphJFrhc4fz9GesrWZfjsQ/mx7cD5ZmHJptnK26/oadWx+g&#10;xN1hv3qQBvtF5maLW5mUTVz74YfUrVDcvhFvs28Pu23up27H/k7dXtv54SgQXx5zo8/76DnF5he/&#10;MWOF9AJyh95Mtoydd9Yh/+opOBBcIMe/+Lkri+8Uu+7sWDMsnB0rPhxnTb4Wb3hMaOwk+CWM75Tw&#10;dx/3H6d5mMV13959910bj3j4I7d8n7jcz9xuNm3j7OoaZhlDrtNyHruyfqn3rFMPo/VB2ajhpD2e&#10;2d7lDX76Dq47zK/WLrwfnBY+65nPKM+9T9/+5MfPK/GV8ekOp+XHuLXrd7/zHdOyiPO4txxb4twP&#10;j0pLHQsbPjdM3g/PLOqdeciNdY4j64rZe7f+kX/0DmOU+vLGou35N/WX6Wx++/UvXRQvtHS2l02w&#10;BsbQ3WABOQ6LYJcD3tFv89tOV82zIw1ncV46wWhxWTMktuJaF4aD+oR513d1XLO+2N4PXj7+93+/&#10;2KPxLJ9ofRC8gXdhtXTqtILrz3vuc8p7sC747BvtIBied/mW0XXN2fI+bIaNwUptw3qieV9oHrZ8&#10;eO+uu3688c+dHT31Ef1cvrxr3Zb98nPSbPi8Pf/vl47tvfnT70jlRXt/dwqQg/VBbkz8iCb7KPDp&#10;MT5HJtEZ6AA5yAcYIHSv4ff8+f1IZQh8MVdIfWVcVN3YF0W/y9rrqW9YGDzEJe73/YPB8CgYHb/q&#10;4Nrbjn1zwdXkQ37tEwnHYLL3hPHFdi1OGIhvY/8pY8tdue2DERty0ggmun7pn79449prri70Qmt4&#10;7r53ksd8J13+GeFztEZb2O545p8+vXwL2+XPPHPvxMZtvMj72ou5E4lXP4N9fr917Xv1K2z68/Lb&#10;3H7rbR3eS7tt4XwoEFmd0DoQ9o0mp+ypQRch22Ez+ULm4zOyIdjsmXtkxjrw4JDLGFxKXcASMtz8&#10;OfhFj85PnS8an/HXY3/7sVNsip4KD+FoMDFhMCxhja3W0/4vT3jChjh/9rOfFV7lR1Hvo4pf33zM&#10;G6aYm3gSJr7kI/cTyhP89B79WF+VDhxcRGc01h6sX+a7xPX0pz51+oy+ze8MPtvn81GPfHSJV/xw&#10;X99JHPvhLe81fG64vB9eWfQ7kS0tnB8Fgs1CP+N/0aPZDMl1GM0+RzaQRzAZFtDViuzZfLZofmjp&#10;bZVT6ocuF/mtT6Xe1CP/bbriTr8aq3d6Zx73jYXDO7gULAseCjMHqb6Xc1iZcyE/a7977723YByc&#10;w6+33nJL4Uu0MO4ND70PDxM6d8xidK6NP9ODk94F559bxg2CybAW/7l2bs/JOn7fPePpTy9roWgn&#10;8mLtc/7anqUs6HDn92/fFzZLr+HzVp5vMmA49JiHfGhx/DIFgtGeGI90Tdey3wBbHPnOtmdtJLqD&#10;NUvIJDKHPkFGRado7WV57QUe6zepj6JLd+PQ8Ekdsv1ay3Wn36LwmQ+EcZNZfy9Y7cg+U8HFYFmN&#10;5XDQPKr6p3zW08Srylzz5EUXXjDVze0lDYODz8FU6aTfIAxO6y/YaxJti7264/kyvr/J++hMN9Zv&#10;NTd6u/zmXsK6D/KhD/zDFl+zvdpPw+flta+96mbdn9ftsZ3PnwKZ3yJmOJ11xuglbN30arozWUVG&#10;wWTyCU5Hn1h3Hl1m+WPPVhcZd7j5xhuK7kyvhFnb/er+2XbP531PX+DUU95fdMh6LBl+wcvgF93S&#10;vVqPdW0NTz/55kdmXpc+CP83PmJsyGzbeBRN1In0fJuDfuxcGtFlXesH1PeMiaMbmsYvrOZ1mO3Q&#10;Fqwfxl9NPHU/I/ErRx23edjiDObuh3fyrjB9Yvlp86sabu+Hf/p8Z95yosX3yxSY9e3+3BWXFWym&#10;l5B//HGimwUPokP3Wfct7r3lDxwpWNLhUjCF3ZVuqf7MpdvuBy9hXd+/WR3927d+s/hEw7Naj3UN&#10;03Lk2bFvPKboqvIJk/3i582XzPgzOz6eTR8SdtFv0ePKyy8rNmfxO6IjG+8OhuYZfNUfhYEwFP+J&#10;Ay6K05G+KXtScFNaL3vpS6b9AJhc6+Mpy3uOf2fBdfFKw/f74fGkI2z4vHeb2A9N2zvzoWNpkO2v&#10;dwpEVidk6ybf2bvp0sbRyCHyIXNGyKvG5/Ph84PSMfI6GK1OMjc4a2gGi1O3mCn3emesLoH0/4LV&#10;7N32VTOfz7zj4GN05le/8hVTuw1MDi7La8oAo+EzHqU/WxcPXwaXa0xzz7vW4alt7PAZjvoejweD&#10;1UVsEc7FG33ZO7DbvTxDe7htDw79ieB+Qv5r1159VfE1g+vqzOG7/dR7XZbUt3w0/Xm5bW8/dbfq&#10;7yxCfqxzGuSdI7KTjTv6Cd1jYj98V/HBIU/5s7Jt/+DOO6Z2xFXnwSGXjz2X/C623c3+kvWo6ZXm&#10;9fqp01k8Tn0vmvflJXPy4S4/7PoX3gsO51l4NFjvPsy1/h1s/ezll07t0eiBR+Eo+sBSWFj6MB2N&#10;PHeoV9gNM53DPO/AZt+5hofTcJPW4va+dz137RCn75xLE2YLvQPfg+necy952Iu/vCetfJe8Nnxu&#10;+LwX7/T9PO2zhcuhgPFoGM2n5YR3HV/0miKzNuXQ7Fga2UbekVFkVd/8se7xG2+YldvGnels9iNe&#10;ld8sXsN4+My2bW7gpz/5iSmvwTJ8sV/8GzoPNXxuODxUHl0V+TLWctBvjMnRUch8c6T5dcNeOA2P&#10;YUT0BrIkctHzofLVKuULHkV/Y99g83Vc/5Uvj5XttuQbNtOro/MHq7901T8WHzE6NKwOLidclTpu&#10;+Nzweai8vKWhtoulUMD8aOt1s5k6rCVMN4O/kYXwmY01tkQ2QTa9ofLVquQL/R1sqeT4126+qdh8&#10;+TbrO63CDy6zi+eXc2uFKae+ozV2VqVOZ8vR8Lnh8yxPDOU6bbKFy6OAccKsYWLOFX0FTl9z1ReL&#10;zyxsgNXwOPZu/EOnGwofrWo+9IOK7aKjPZw2HgGv+G/Xc+eWxz3zTxk+06HNI2PLx4sfPfvMUv7Y&#10;blapvhs+N3weKj/Pv3W3GI+UAsb6YLRxZbJ/4tN98nRdRfZt2FCwosML8qTWrYfKW6uQL7QO/Z3H&#10;N4yv8qr9YtdWLhh9/ZevLb4RbPnmAOJBNMjhelXqOGXLmJG21vzDGm4vm79XTcaMrTxw2S9+tdZX&#10;hNHmpLAtsnvT38iLMv+0C+nN5Ag5uWz+WfX00Tr0R284Ba/sdZjx2rHxXJ1fZXDA5tl9KNm32XMc&#10;/BfTR2z4/At/71Xn/1a+5fZR6rbazodBAWs6sylmLVB6DNlIj9Ne0sdv+Nx/28m4M7ob/+fLzN/+&#10;umu/VGwew+CYg+cCLqefkT5i9Oh/+sGdpS+ivMqN72obTtOfW/+44Xe/MujgLbt9OQ8KRH+mu+Sc&#10;Tzd9hVx0WAcje2nAi+LP3enR9LrWPvptH+irH8QX7Hu3fWfaZ8o+EvPggWXHETxOPoLT8JetIGPQ&#10;NT6jS8Pnhs9N/vQrf9ImW7hcCtR6jJzYj4BstI8hXyTrQ/ANg8/kIl2OLtPaR7/tAyZFh/7KtdeU&#10;sQd9JnWxCr9ZbKZLxz+MP2Ls28qM7/AceuC7VeE//S9lE8Y2pWxt/LnfttVk1970XQUZM/Yy0Fei&#10;s9ChyUh78FrPkO5CRrIvwmS6c9FjOt252bf35u/DygByGxYLzXnLeqx4LvOQxsx/sW0Hp13jQdfK&#10;XONzGYtv+FzaXfD8sPzVvu+/DY+ZxmOWLauQ98zRyZqMyhRZCY/hAT2av5h9Gdi0Y98eM9+NJe/o&#10;TRbTp6wbox6yD+Mq4HPGVMJzwmC2ufYTfJ6Ms1irs+jPnc/cKuFT058bRg5VHq0Cxo25DNGblaH2&#10;nw1e89+mQ5vPw9YNs/GSsI0/9y9X0Jg917phsEpfybphdV2Nmf+iKweflSXnd999V1fmCTYL7/z+&#10;7VPdseHzxB4+VLne8tW/bFgEjccsW1Yt75GLyhW95vbv3lbWQLb2p7WQ7cNLjzE2GH/uRfDJuqaR&#10;MYTs+WycAf3rftWY+ZCuXOvMdVnslVHj823f+fZ0TKXhc8PndZUJiyx33R7b+XIoQD7W8j52U7LT&#10;Ye/JzIk275ZO5wh2LJJf1i0tfSDjrvY/tjY6/TljEnV/ajmcM59UlWO7suC9Gp9vveWWqV8YH4hV&#10;4b9m314NXXMVZdN8WniL5aAUIAP9anzOvcR5w3Vf6fD55DL2ycbK3roqvrNDb1N8w37Yza0y5syP&#10;/uwzTku1TMdppzdW6CQ8CJ/jo/j1r97c8LnzRajxfOj82/I37r7HComU0RYltmwFCE7nnnHoe++9&#10;t/iJxVfHeiUwGna09tdv+0tfyHoxfADMc8uYbewco2W8mYxHhxbW+Bwd+qs33TjxletsN01/bvbt&#10;Jnv6lT3o237joMC5Hzm7zLGy5ucF5587nafZ2sjh2gg7RG2nNa5aH57TG/WN0N6aWvmtGj6nXHXI&#10;ZhB8/tY3t9q3V8WGo/4zb9G5voe+7xc/d+XGr/y7B5TjAb/6oBLiDb4fzTfzcO2uya390a9ui+18&#10;eBSgx9BnYETsjGzd9LoaVxq/74/fZ+mEhjlmn7n27IpLLy7jzjDanKN1+uG5Cd+dtGH8GT3gMgzb&#10;jl5juxc/N3gMd1M+5TDf/aiH/PpGsPmBD3hw6bvFL9P7Yytvy+/B5MSy6LZOsmasZWVP/cnddxc5&#10;yU/M/tB8acmWZfHNKqUbfN4uVE57YtAhzX823hA78Fj56Ujyjd/SLzR3oODXpn17FXhAP0N/gz6c&#10;uYuw2v1LL75o4yG/9tCpDk2Xjm+mkF/CKtCglWG4mH0kbbW9uzwK0KPP+PCHip+YeVZsbw2f59eu&#10;ojcVWb1p83bPvGdjz6E5DlAX+kwZo10eV/SfsrkD8Xvgp1jrzatk31YWNilYBXu1LfvU/PtfeeDG&#10;gx90VMHoBz3wIeW+feQ8917Dtvm1wUbLX6Zl/y28pTAPCsCDz152ScFn9u1zzjy9+XB3svSwbTp9&#10;nFl8Trw33XB90Z2t47Zl7Llbk3Ud8Jnfgzll7AfWr2PTjc4ZO29oNcYwWKz+5R8/BHu/f/v3ij+g&#10;dmd+3T9+/nNFZ1b+vD/GMrc8H15uLIqG88COFkd/FIg/txS+fes3yzxo9kYys8mIw7ez7fBZ2yOD&#10;zXu+8BPnF/vuqae8f8O+YuuAyTU3m2/PfgCfv3DlFQWfsg73KswfiC1bnWtP+EHdux/sFtKt9U34&#10;H3gWGixKTrd0Dt/Wx0jDui228+FRoMbn//OvPypzcCf7Qp9Q1lscI88NKc81Pqe/Qz6TxcYj7fOp&#10;P2Qs0m/d8Fn/hH0bRsNn9ArNEg6pPo80L7BWOdS5b4X4gL275ge2Au8VO3jXb4PZeX6kabb31xNr&#10;D1Lvw0OklqNZCgQThH/7nncVjDbv5Ws333Ro++5BeGaVvgnGkLWRt3Qj2DxZc3uyPgf/+fwyr8qY&#10;w6r/zOXTPzGmwucBnql/dFsF/yh4G3xW7/A5WFz2A+lwONhNd06Zg9Or1BZaWYbXb1h1+TL28mWf&#10;jJ///OelKNkvI/bG1qYO16bIZphTbJadzkz+ukf+fuZTnyzrwtAd77vvvi0+YamPsfPXXvln38Zr&#10;MJr+jN/QRl8muNV48HA82OjX6LcTD+zVPtvz5VIgulrw4KILLyiyksxkc92pXtv9/bX5WmeqcQdG&#10;88EzlkCHVA+pAxzhvL5eLpf0l3rD5/3xUWtvjU598EB/LbvFPA8K1BjgnA8pXQY+WxO6D55Ypzjh&#10;sLFm+jO7ppBeyHd3Mq/qxLI2zGxdqouMO8w+W6Xrhs8Nd9ZJHgytrKskS1a9LPDgF+uInVTmQw+N&#10;n8aWHzozPC427U2fH7bba6++qqznaX0OuO0321dq+Lwaa4iNjWdbftenz7TqmLYK5QsOCOl10Z/5&#10;7LS2evi2Co/ZueMfhqYfO+esgs8fOeuMsmcJ2vMHi09YjdWrwGM7laHpz4fnr9ZGGw0PygM7tct2&#10;fzgUqLGA/1K9Z8FB6719N5EZbNvRoc2ZYd++Y7MPhM5XfeHzhRGMPzd8bv5hrd00rF0kDwwHhVpO&#10;dqNAdGh22OAzPXqRvLKKaWX/SDZu+MyW/eUvXb1x0gnvKfN+zbHxC/3TV0q4W52twrOmPzc8WsV2&#10;P5YyrYIMWeUyBAdiV8VX9jmEzQ2fDy872bRj3y5j0JvzqqzJ8YG/P3nj/vvv35a9Ui/bPlyhmw2f&#10;D89jY8GCls/h1fUKiZKVLkrmQbNvW9tzsibye5v+3PVXDiNX6Mxw2fhz1oT64Pv/vvR9zGVb91/D&#10;58Px12F4s33baL/u8mfo5Y9dNflkj534h032LGht+HBtGDbnMA79gzvvmK5xfv2Xrw3Z1zZs+Hw4&#10;/mrts9HvMDywtoJnRAWvbanw2V6Hkz3/mv58GN73LXomDvic+Wv6QHTqdf81fG74kvbRwsXzwrrL&#10;nzGUPzo0H+IJPp+4ic8nTbGltZ2DtZ3MqzIGzb5tD8XYJ3Yaex4Dz8wrjw2fD8ZXrT02us2DB+bV&#10;jls8/VEge1jxEeNnbF0rGMJPbB48sM5x1HOeza26+NMXlr6P/STTL+qvZocfc8PnhjPrLB+WXfbh&#10;S4iWw/iGoQT9+ZR/+Lti4zbPatn8M/b0zafS51EOWP3Rs88s/Z+Pn/vR6Vok68yBDZ8bPo+9jY85&#10;/+sse8ZQ9npNDPm9/XvfLb7b9m2g442Z94aQd/hsjRJ50fexJhvfeHs11eP+Y+CVPvLY8Lnh8xDa&#10;6brmoY823eLsjwL2fOYfxrZtr8l15dt5lduYszVI6M72e/7b97y7jB3ceP11/VXiiGJu+NzweV5t&#10;rcVz5Lw0IlGxllmNDpd9Jq1tZeyZjnfuR85u+Dyn+c/Gnr/5ja+Xtdn0fW7/7m1ryW+zhW74fOQy&#10;teFQo9m8eGC2PbbrYVEg64YlvPQzny66M4y+8BPnN3w+JD6nHRmDvuG6rxTfMLR1v/02Nho+N6xJ&#10;G2nh4nmhyaBxUYD/UtYOs3dDazOHazPWJoHNwisuvXgja4fxyWv+2w2fW/s6XPtq9Dsc/caFTuuX&#10;2xojzLPiv0S/s3/DV2+6seHzIfVnuEyGWJvkgvPPLb7bH/7gBwqj1bRfP86blLjpz4eTrw2fGv0O&#10;wwPrKnfGUm527Yw93333XZ399aQyRgqfjZEepu7bt/+r6M7GnvmJ2fP5xHcfX8YNMu4/Fj7pK58N&#10;nxu+NDmxPB7oq123eOdDATgRrLA3hrVJrO35/r9733ReUGs/B28//Lbp0P/6o38ptglzyj//2cun&#10;NJ9PLY43lobPB+et1i4b7Q7LA+OVHOuR8+jObNv8l7K35GkfOqWsD33Y+l/37+GzNT71fdgk7Clp&#10;Dptf+kXrwWnbl7Lhc8OYdZcRyyz/9q2y3R0aBdi5r7z8smLbpkOb+8wmu0zeWYW0YTP7tn0xsm7q&#10;//wf/9zWDttsAA2fGz6vQjsfaxmGhkMtP1spUK+9feZppxbfMDqe9a2yLuVYeW8I+YbN1g2zHgnb&#10;Nt/4H/3L/y6V0PzDNsocez4P1qszX0B/Rr+QP51jCHXY8tD6EKvKA1vRoF39f/bOK8yu4trW3Mfz&#10;cF7u87kEiSgQ+kCkYzA4gWUExgQjIYscDMYmmWgyQiAQCFAERM5JgMiYJHIUGSWQEDkn22BsY9dd&#10;/1w9lqo3nXe3unv32N9Xu2qFqlVr1qgaNWeF1dckIBvr3/7612pfEvYPe+mF52PctFFxubzeC47B&#10;xs3aKo3r67tVkn1fw8TyzA97yDKmgm3hyccfDW5GXlqTtrzKyc8xBw9EDCzPuu5ndV0Cr73ycuh3&#10;6DI42kfayYGI2e5+Z3Ro1pWjP2Oj0M/8nIKb0Z2nTzkvvTD3uaTviWBz6O5ycHrmYGOgOQbUFtnv&#10;mxIQR9x+680xvxg9Bg6R3mc8N8dzV+SBvZY1z+y9PeuG6yog2L4NP5d7vbNvC/ufxny6gpvpH8LV&#10;XZG349SPWctwYMiwaowc6JMSYF4Y7pKZF4R+x/4ks2+ZFfzs8ef66yhrq3DlNzsnpAfuu7fCgfk5&#10;ha1G+70/98zTwcfIC542P9ePP/OsZdgWBqrGyIE+KQHWV336yccxb4n1P9hgX5g7N/iZuTptla2v&#10;tV/36eO8vmhhNfbMPG5++Te3+yQwllOmNJ4C7tCfsTXAzR5baR9brn+WUb0YWE7V3I+pQwJPPfF4&#10;jAPSRjJ3W/qL9ef66z+yhJPRERk7YG0VP607r6PYGiKqdGew9+LzZb8QbkZuuHrbH8evH8OWYePK&#10;sCEakQZ/Cb4jCXfQRrJHNO0ic5rMz/XXS7gGmzZzt7FPfPXll/4uRlaf4Gf2qkOPhp/BHnYbfK+v&#10;qh9/5lbLsC0MZFXRwV6SAOPLrHPWXDCNe+Kz1oc5OuJn9hBjfS68stRzaOvW3xhDvXXWjZX+TBkM&#10;NN0ZnAl7VIF//OPbqibAz8wNYw43doa22hJfM9cYA92LgaoiOtArElC7KJ9M5HuSvPryS6G7YNdG&#10;f144f57H/ur8ZlXehqADXnvVFSFjra3Ky6JXQLGcH1r7vsIfPA0/gz2tuUd29A1xtt90b1uc49Jh&#10;yxYM+Ne7EkB31k/tpPQ39Jobr7smuAP766UXXVjt6Qmv2L5Yfx2GYy6cMS1kfMtNN6gowlc5NDvZ&#10;wAfCHz6OeYkaf8ZfMO+1wBy4075r5pH6MWgZWoatYaCBm5t+82qyZ+dcjV37L199FbZF9m9ibe4j&#10;cx4MnYU5tNonorVy9fmO1fnFb7wec+MZX310zkPN7LzSI/sNkOrMqHBIMoTZgwRextE/ZDwl+oVN&#10;+PP4Sscw5rpoOXUVA3VWaUfvBglIX5FPknA1+zXRLmJbxF+0cEHZRhbto/WX7qnzfEMb+cJB7NGW&#10;c3LeX+qGYu7zSYA//eDnN15fFHYF7e9JG6O9t+kfeg+x7sFgV9tux2t8+as+2u8dCahNFBd8++3f&#10;Kx2Ob1TBy3AH87b5BiK8zNxZzaN1Ha2vjj75+GMxrs/YPmOqOT/n+mTvoGP5PDV/T4XB5eKCn8Ee&#10;sgGHyAf9WT4YNP7qw5/lZ/m1hYHl0wL4Ka1JIG8PuYcxT859/vln0TbSPvJNJdZAs67l448+jDbR&#10;e5N0T72+587bY248/MM3SPjV9pniZAP/5ePs9BP1/mAM/MnRjsDN4mXPf+geDLbVPvvawJZxAzc7&#10;/eLVaAulOyvD8DNrTbErsq4FfmbfjBj7Y15YYd+mjaStdP2tr/7edP21sbcnMv5eX6lY8zYQfrnN&#10;AK4WHsEb3EzfBR1avMycOrgbW47xVx/+LD/Lry0MDIT2p6+/4zfffBNZhKulu7AnCW0i7uYbrw9O&#10;Zj5OjDsXbWNbZepry+q8+jH0aeAVZMg5wsiSOfETxo+LNdAUgjg61yn7On7qzZ/4WNiTDBYumB99&#10;Q/qIrL+P/mEhR/qKYMw2nGU4c52zLHoCA/XWbcevXwJqD5XSZ59+Ejodugtzlx575OFoD3P9BX6x&#10;fbH9NqHi50IXJMycJtkdkCHfTUTO9951h8Qffm2ZNLvYYAd617xPwjm+h8G8duw4+mYaMhQOJcee&#10;aJecZvvYtowaX0YN1tT0u9eR7pJn/JmnngxexubK96qYpxN83GTXpl6anztWN8Ul9GUIIzd4hWP2&#10;esE+wf6VTz/5RGXXpUykS+bl0qhhYTD/Jgjn5jxwfzX2zB4uyIz+DbYIMOjvV3UMg+ZRy6mrGGjU&#10;Nqe/vBc8IL1F7aP228amyLxt7LDwCu0hHEM7yXFXy3wgxRM/57perBEqOIb9KrW2inXQlR5ZjDsP&#10;FH7mPdUfEQ5Vd8TP6NDiZ/Vv1McZSFjyu5pnlzcGVBft954EaB+lw7BnEzpduafihPTEY4/GOF+0&#10;hwWnwC2EcR7/63x7IV6hz3PfPXeH/ZbxVfaC4af+kri691Cx/J5cy8vqm4A9zQ274tKLS7tDgT+N&#10;EXj9c+fxt7zbdz+vf5fR8msF/KS2JCB+Zj0ue4UxJop9mz0isG+jM+PgFepc2Bo9T6zDNgTp0chN&#10;fR32TsVGwRiCOEn65EDiZ2FP+BRfP/bwnMAgWBQ/Y8NhHT4yxHf737/bf5df3y4/1Un7vSOBnAfg&#10;BmzbmpODbTv0ZMb8Cl4JXs70F665frVdvyQjjQdwLK5m7jbcc/UVlzUrfMpBrtmFBj3gXfOfMHnn&#10;7bMDi+jQs264ruzXFDhEfoFL9w9d/wpdwW1Qz8kgr5cOL38J8I0g6S+ffPxRtIfoc+jO6C9gXzqz&#10;eAW9hbDn57RfL9SvYSxAvAJXE54xdXLYKu66/bYoeI3/CwXiKR03ol/LzTpGh2bMWXYc5rerbwMe&#10;CePcNrePQcvIMuoqBhqxzemv78QeYaxlQX9mTjFzlrparo63rE2AT5Al/Rk4hWPGDRjnh3/4pjY/&#10;8XP+/eP+iqWu5lt9ReJj/6efyBy6B+//c8xJ1Jiz+XkZvlzXLIuewkBX67HjdY8E0NHUJl5z5eXR&#10;FsLN2BOXFPtAoOfZdV0G8Ij0Zc2tg5/nPvtMxc98I0M/9EfKg3KRLqlrjeprvJn3k80AHzwyPg8/&#10;3//neyqdGTxqbqKx2XVsWnaWXXsYaNQ2pz+9F23hF198Hu0g+jM6C2ug2etKeor90p7aWTnAyejO&#10;xJONm74ufIOc4R/GFfTLuUrnGtkXH/NdFv3UX2ROWMnPE9K9d98Z/Rzkifzo8+R27s6Wi+/vGp4t&#10;t4ElN3QEu96XwZwHHyjs2uxHcnbYtxljpi1sr3/l6233wdmLDTsEdllkio0bbpl9y6zQnxlL4Acv&#10;i5fkc77R6wbvyE/vjI1f7zz1vHOCn6dNPjf6M8gQ+YmXGds3/trGn+Vj+dSDgVVWXjXZ9Z4MVh28&#10;elp9tbXS4EGrpZVXGtzMcd5lU1/ZIFNkvOYaQ0K2yBm5cn61Vdeszuey13XiNbr89d68K+G11ly7&#10;wqBkpnuQhcLyG10+fr/66p/lV5/8VM/sN+fG3pIH/EG7iN8SZ/dWvvrzc3OeIQwv5++Ty7n2Wn5f&#10;o4ZpQ4estU4lk1wevDPcnctFbW6jysPv1TfaQpeDy6G3MaB2L28Tpb+RN7WF9rvWD0WGuWyRo44l&#10;0xwDOZerbPLrjRjWOyMPvV+uR9fKAfnhJD/7XcOm5Wa5tYcB1Uf7vdNXybmYMqC88GvbRJdPfeWT&#10;y1O23FymlAOyl59fG2hh5JDLqzYsjA40ufh966uDlp/lZwwYA8aAMWAMGAPGgDFgDBgDxoAxYAwY&#10;A8aAMWAMGAPGgDFgDBgDxoAxYAwYA8aAMWAMGAPGgDFgDBgDxoAxYAwYA8aAMWAMGAPGgDFgDBgD&#10;xoAxYAwYA8aAMWAMGAPGgDFgDBgDxoAxYAwYA8bA9zHQ2l4e7L+lvWm0zzfyYy8Q7W/GMfFrj/O9&#10;vRRHe4BxnO/tVbsXS34f93bUkVel1dI71aZLHmrz2dFn+b6Ol4tlZVkZA8aAMdB1DOR8pn2utSdX&#10;fg3+y3kOThQ3c7/4PI9TWy7cx3Vxqa4rHa4pXHuP7s197ifNdYcOi3TzZyuvpFObpo7ztBzuOoYs&#10;O8vOGDAGjIHux8DQddYNbhUni6ORdWs8pvPyxYU6hquln+pczr15OdaeVz6UZn5vR8I8W2nofuVB&#10;x/a7H0eWqWVqDBgDxkDPYGCdIUMre7K4cZdRO6djjz4q8a1lHN9avvySi8I/7OCD0i9+/vNmOjU8&#10;CN+rjMSLcLB0W/gz1411Tx6P+DqvtFry1QcgPaXPfdLlxdPo15zP86FrLaXrcz2DMcvVcjUGjAFj&#10;oGsYgBNH/uIXafbNN6Uvvvg88fvXv/4Vfmt/fN/9gulT09YjRlQcCW+KX+FB8bF4n/KZef70SPLf&#10;//53+F9//XX4zz79VKSj+O2VJVx8yEF/iLj/+c9/wuePfOO+++67dMRhh1b6PHnJ+yLtpe/rXcOS&#10;5Wa5GQPGgDHQdQzAgeLOjTfaON11+23pH//4NjitIrosAP/Bp/L/9c9/Vlc5j37dEq/mujHPw8Hp&#10;/MTPSujxRx+p9O+OlC35/stXX6VvvvmmSo930O/eu+6o0pOOTR6tP3cdNx0pF99j+RoDxoAx0HUM&#10;SM/dcfvt01//8pdmujK8Ke7M9VJ4T+cJw9HiQ/TVl196MQ1ff4PQgcWBskPnZSV+rk37yccfDT5t&#10;iefz+Arff+89zfLz7bd/J1vx+9vf/pa2HTmymc2deKTd0fT1HPtdx5llZ9kZA8aAMdA5DGAb/v3v&#10;Dqh4WVyJTZhfrh/Dwboun3sUzjkb2/g2W29d6a2USz72CzeeP23K9/R0+P2pJx6PezWG3FaZHnbI&#10;wWSh+uV54OQZp53aLA+kJV6W31b6vtY5PFlelpcxYAwYAx3DgDhOXCQf+XFt1K93Cr0ZLvvnP/+B&#10;Fz/4Gd6FL/VDF336ySfiUOfF4/Ai4dwtWrggbTh8w2ZrpuFojUcz30w/8So+4895Pskrx7JNq+w3&#10;23Sz9OWXX0QS0t/VVyAf8+e99j1uVlz7HcOP5WQ5GQPGgDHQMxiA0zS+jI2ZY7hOdmc4TOO2cG7O&#10;yXDc+++/l048/riwV2sMmTS23267NH3KeWHXFjdL1xbXkt41V17ejFfFsfiyb0OwilPLz+Sde9XP&#10;IN9K496776zi8Wxxs/oOo3f+tfm56Nu4blkGxoAxYAz0fQyI2yir08adHLonf+K0XIdmDrfKFJ6E&#10;1+FJnPTb9Yatn+Y++8yydJrmi4lv4cwRW20VcdRPYA434QtnTKvi6f5aflY/gnzwXOKxPvvgP/y+&#10;iquA3oHx56suv7TZui+9h/2+j1GXkcvIGDAGBgIGxMfiOR2jS7//3rtBbdI7xXMc337rzZWeCifW&#10;zu/K0yNN9HB+8Cv8KK7k3OxbZgXPkw4cKx2Y8Wf9WuNnykh5Ji7HW/xw8/TVl18qatjUFZ+Tb7y+&#10;KPYTGwjl63d0O2YMGAPGQP/EAHouvCiOw+fcQQf+ruJQuA1btjiVcWPpx8TFUf7EVZhj8Sz3Ml+b&#10;NU76/f3v5RxqpckaqFoMdZSfFU/vMOeB+2PeGjZt8l079sx8N8Wx3z9x63JzuRkDxsBAwgD8Jnft&#10;VVckcag4Vf5+++wd/CYdWXqrfMmMtMTRnLvoghnN5pgpPTiU/UPEr0qnI+PPyoOeOfmcSaGfK218&#10;jXsT5r24V2Plimffdd0YMAaMAWOgL2NAHLlwwXzoLPRP2bfRdd9csjhsw+JF6c/idd6NvbekX+td&#10;uc44s+zMcLL0csKXXnRh8DNjx9LBOzL+zL161q933DHyGxkv/si3dGeexbxv8mNudh0ULu0bC8aA&#10;MdBXMYCuKk4W13HMD71TuiccCj+zfxjvIk5UXPlcIx2OuUfj0jyH828tfbNFHVp7dipt4jL/Wz/x&#10;unhWz5eufcZp43VrNU9b/QouPPPUk4m5aspnvo9oXy0b58vthjFgDBgDAxcDcCYcCt9JJ4bH+OWc&#10;GCeKP3Ra4YW4Crfmi0fFh88/92zwvNJWuq+8/FKkBX+SD9I+b9JZulyu6yr6C+jD7OeNrZy8PPHY&#10;o+nDDz6I++g/qD/BCe6lX3HZxTMrnVl8jo7fkfy39l4+P3DrjMveZW8MGAPLEwPSK+HqffbaM/hO&#10;HIoeqrHofffeK/izo9+PyDkQjp4xdXKkzV+ePse8r/gcjpZ9m+fnvMu9odsXfJzryJzXT2l//vln&#10;6c7bbk2nnHhC2mTjTSJ9vevylK+f5fpsDBgDxoAx0BkMiKvw4Ub8vfbYvRkfwoHoofw0N6wzz4CX&#10;xbv6JpV4FD+4ttCN4XLxOXqu+Jln48hHa3zM9Xxttu5VvnkOe4mNP+XkSueXTt+Zd/G9rl/GgDFg&#10;DBgDywMDGh/On9XS3h7iu7FjxlR26DxOa2Hxrfh5yrmTKq6HM3O+zdOAn9nfk+s5xxKHH7ZsrsHJ&#10;tdfhe80Li3uLY346xxi6+iX5Mx12nTMGjAFjwBjoSxiQHinOwr5da0+G37AZH3jA/pX+2ZF3UNrc&#10;u+7QYfF9SdLST/yM/TxPD/t2vv92fj/crJ/s2BzD0+Jtpcs5worD/Ryzzkrvmz/XYddNY8AYMAaM&#10;gb6GAXEpvKUfXCauwz/nrInNeLQj74AOLf35vnvuVtLBp6QJZ8579ZVm9m3ywByw2h868OI3Xo+9&#10;udm/hPFs5nkTxh6uMHtvszc4vJ/r14TF6Xvstmun36Uj7+t7XLeNAWPAGDAG6sWA7M9KR/Ob4UXp&#10;0HAoYXjt8ksuin2rW7KLK43cFy/r3LzXXg3KJS3xJCdemDs3uDLPj/hZ/QONL78w97m4l7TRs/Nn&#10;kH/S4Dzz0NlLrKUfPK+1YsqbfdcnY8AYMAaMgb6EAenN5Aleg99Yt6Rfrn+yfll24Txea++je8SX&#10;ShPOzXVZ9F7SEOcSZqya+8TPygdrtLiufJDfnKNr80Ke6QsovtJjj+7ae33sumkMGAPGgDHQlzAg&#10;fhPnsZ8Xv1zH1Rguc7il5yoee3JJ94aLeTfuUXrwNOuZSY90pJuLrw875OCIo3VbpIXNWs8XtxJX&#10;+4DxDD1TsuTZeqbOXXnZJfEYpaFnkgfdY9/10RgwBowBY6AvYoB9NaXrwnnwJT/xKNwmrnzpheeD&#10;18TDvI94Em7MeVnv+oNNfpA++vCDip8j8aY/OJfvZ3Bvzq3ws3Rd3c8xe4HxDD2fMHnH1/NIR2nR&#10;18CezbvwHnon0tT99l0vjQFjwBgwBvoSBuAw6cBwbM6zS99cIlqsfHH0pIlnfI/b8n2tSRMHb/KM&#10;m2+8vuJ3ca708RuuvTruUT6UJ/hZnFploAjk+nOtLPO+gfiZb2Hqp31WeA9cbXwfu34aA8aAMWAM&#10;9HUMnHj8cTH/WTwKx8GX4jj4Uzq33kU6rHie6+zfVfsjTc332nbkyIon8/RIn5/6BFq/nPMzz9Mz&#10;lQfxMscnn3B87aPjmD4C36FWHPuuj8aAMWAMGAN9DQM5n5E3+E66NN96Fo+Kp+FJ6cB854o9uTba&#10;YKPgOunM22y9dZo44bT09ltLK34kvjiWk/DuNVdeXunsPBubtezW4meNG3M/abBXN+uwf7f/b9Pu&#10;u45Nhxbfpjzgt/ul3+67T5xn3dSE8ePSW4X+n8flmXoHwnfMvsX8XMi8r+HR+XGZGAPGgDFQYkC6&#10;LjxNmLFoyYZvNkpfFifDbfrpHHr1119/nZ58/LHQsfMxXng13+dL+jBrrdCX9XzNDRM/a39PnpHz&#10;Ks8W7xLmmo4JK32u6adzpIXezG/P3Xer3lPva9/tgjFgDBgDxkBfwYD0ZenR8KQ4kzyOGT1aNFf5&#10;8G/OdVyAI6Ufi9M5r3N5+I3XF6UNh2/YjB95vsageS7rn8W7xOWXczHH5AGnn7hXx/jKV95nYF10&#10;X5G/8+G2wBgwBowBY6AlDMDP4uacl+FKnd95px0T64X5wZGyeXMs3ZQwP/ElfChurs4VcV8t7NPi&#10;ZtJHX851dp7L8bTJ5zZLG85XOvBwbT7Kp5fPV/7UTyCPiovezv4qHd1jpSWZ+ZzrkjFgDBgDxkBv&#10;YiDn7pG/+EXMnYZ3c11UvCgfLpSeK57k2hdffJ5Y68T7kK7s2Pn70T/gGuc0/qx0u+KrfyC9mrlq&#10;4uV8LlqeB4dd54wBY8AYMAb6CwbEm3Aqc7HuvuO29OknH1eUiW6KHbnWHs0N8+e9Ft+6YL/N3H6N&#10;7pxzJGFdx9f+ntVDuhDg2XMefCBdfOH5aesRI4L3eY76AP1F/s6n2wpjwBgwBoyBWgzAZfBzbvvm&#10;Hjh0px12SKzDQtfFwalXXX5pOvfsiTGXertttw1OlP1anCweFk9yrLDurc1HV47JM8+UztyVNBzH&#10;dcIYMAaMAWOgr2FAnKl8Sd+F8ziHjxO/1t7PPZwTtyue0kMf17laDlUc3VuvTz5ym3oerjdtx3fd&#10;NQaMAWPAGFieGJCeKw7VcW4j5pzOk7fa4zy/uQ1baYrT4cs8HeJxTz0u52DSIX09T8/P8+ew65cx&#10;YAwYA8ZAf8GA7M3iM3Ferb6bv4/u1TnuhRs5r2vydY9s0RwThkfF9V31SUu8Txp6Fs8WT+ucfddJ&#10;Y8AYMAaMgf6EAfGo9tfO7c66hs95nHiQc+JG3lfnCcP54kfZzDmf6+XdISM9g7SUN/Ur8mvd8Syn&#10;4XptDBgDxoAxsLwxANfm/Krn5xwHF0u35jpxauORBucUX2nq3trzOq7Hz/NIOrXH9aTtuK6LxoAx&#10;YAwYA8aAMWAMGAPGgDFgDBgDxoAxYAwYA8aAMWAMGAPGgDFgDBgDxoAxYAwYA8aAMWAMGAPGgDFg&#10;DBgDxoAxYAwYA8aAMWAMGAPGgDFgDBgDxoAxYAwYA8aAMWAMGAPGgDFgDBgDxoAxYAwYA8aAMWAM&#10;GAONiAHt1dPavn3aa4+997SvEOF8z7+25KJ9h+zX9x0By8/yMwaMAWNg4GFAHJ3zLOe0735+Hm5u&#10;6f78njz83rvvJDvLwBgwBowBY8AY6BwG3n//vfTWm0sqDuV4rz12b8bBfzrqyDT1vHPSpIlnxHfd&#10;J58zKfwzThufzjnrzDbdO2+/lewsA2PAGDAGjAFjoHMYgI/p07z91tL07jtvp1tn3Vjts8/e+LuM&#10;GpUmn3N2mjF1cvDw2WeekSZOOC3OnXv2xDa5Ge52f6lz/SXLy/IyBowBY8AYAANvLX0z9NvFry9K&#10;8157NW2+2Q/j2zX6zs3pp45L5006K51x2qnByejRhM85q31uhp9J384yMAaMAWPAGDAGOocB7A0f&#10;fvBB6M/77bN3WmfI0OrbcocfdmhCX4Zn0Zmxb591xukFP48vuLq0cXOuLYdObmcZGAPGgDFgDBgD&#10;ncPAksVvBH/edP21zb4Nu/WIEcHL2LBLXp4QOjO6NHydnyt1afTp7zvbaWynMQaMAWPAGDAGOo+B&#10;D95/Py1auCCtO3RYZddeb9j6hZ48IXRmfMaf0ZcJw9dTzp0U/Cyuhq9bc+4vda6/ZHlZXsaAMWAM&#10;DAwMMO/r/ffeTR9/9GFa2jRPm2PmbH/y8Ucx9vzbffep1jazNuqg3x8Y87U7MsYMX2P7hp/hcOKg&#10;W3PMNeNsYODM5exyNgaMAWOgcxjApiCOZmwebn590cKKmy+7eGZwM2ua2YuktGtPDF1ZY8+t6cY6&#10;z31yJTdPDG42P3eurIxty8sYMAaMgYGDAeZ/YcNmnBmuhp859+aSxemFuXPT+usNT8PWXS9s29i1&#10;Txt3Stizc71YPNySDx/Lzo39m2PiSo821gYO1lzWLmtjwBgwBjqOAdY3w8nIDJ7GMV8brt5x++2r&#10;udqsdT7qiMOreV9wLnzbEifn57iHNVeMURMHB0fj0KldVh0vK8vKsjIGjAFjYOBggHFm8TM+tm7s&#10;3Ccdf1zFzax1Hr3zr4NPWT+lcWeNK+d8XBvO9yph/Bl+hpelQxtrAwdrLmuXtTFgDBgDHccA+jJ8&#10;zJgzXI1te/bNNwU3a3/tH22+RZPefHrF0XAsXFvLx7XH4vCS18t1V+jOcPW4k06w/uz138aAMWAM&#10;GAPGQCsYwJZNnwZb9wtzn6u+e8G3UPjexbiTTqz212bvEbiW/Tzh6Fo+rj0u7ynncBPG3g2vs8cY&#10;e4O6L9XxvpRlZVkZA8aAMTBwMIBNG/fRhx+khfPnpe23267ZWqrDDj4ouBRORu8tx5JZ63x6k426&#10;9bXNcDV2bNZDi7fhaMaijz3m6HgO+3lrDBzdHR2euWmffvJxZXc3HgcOHl3WLmtjwBgYKBhAN2Zd&#10;Mxyo+V/wMWHO4z779JPQY9mvM//24y6jdq54VfzaWV9jzuWe3HB5qUtvvNHGae8994z0n3/u2Wbf&#10;4ICj83wNlLLye7pdMgaMAWNg4GAAnZTyRj+G81hHRZhz8DQ+48/nT5sS3IxNm3Fn+FNjxp3l5Px+&#10;zdXWfDDSZB/vTf9309inG76eNvnc0JvJC/klX8xTU945b2cZGAPGgDFgDDQSBtCT0Z3hZdmR0ak5&#10;Rk+Fq6+/5qrgZuZpax8S9N2OrJ/KubilMGloLRVzxfjeFfucHF2s1RJnw8+33HRD6PTkEfmT78Vv&#10;vG5edt/EGDAGjAFjoCExIF0UvtPaKfRoOBoufHTOQ2n4+hs0+/bFUYf/MeZXl/zZ9vhyS5ycn5P+&#10;fObp5R6fI7baKu25+26hmzMWjWO+GBz97NNPhY5P3ug3WH92X7mR+sp+F+PZGDAGcgxgu8bBdew7&#10;AidrP090aOzMjDmjN2tvbXiZcePu0J81HwwO3n+/fdOGwzcMHVq8zXwzrsHfhOfPey36SaHrN+nS&#10;+fs4bHwbA8aAMWAMNAIG0JXRRbFlS5fm3IKCB7fbdtvg5KHrrBtzqdkvrFyvPDH28cz14K6GmasN&#10;F5968kmho6Obc1xy/8T02CMPR7g8d3q66vJLw65Nn6IR5O93cDtiDBgDxoAx0BIG4DnsxbIZ42Pr&#10;3nfvvYKb9d3IbbbeOnRm1kKhO5d7hLFPdn32bfRnuHeLH26exo4ZE+lyjM4MR6Mn33jdNfEc9Geu&#10;zb5lVqlDN81fa+m9fM54NwaMAWPAGOjPGNAYLpwMN6NHax0V87SwaTP+jN7M3Gp4E/u29v2ql5+J&#10;v89ee1bzteFruF8++UG+F10woxrzhqOfeuLxsMlzHbs874H+r/chDsf9uWycd7ctxoAxYAw0Lgaw&#10;VaODoifzDWc4mO82a5yZsl/8+qIYc4ajDznoD4lvXcDLrKViHdX4U04OzmRvMOnOcGSpQ7etP3Mf&#10;ejBx4XV4F25HD+f4hGP/FM878bhj45hzzA1HV4a7yT95Z28Unk18pcP3sxgrV78CbmbM/LPPPo1z&#10;nDe2GxfbLluXrTFgDPRnDMBZjC+jY8Jz8B3HcLJ0TbgaLkM3XmfI0OBm+Jl1zscV+3hxvtRnzwxe&#10;lW4LT7avP5f3wNNwrrgaH57eZONNYr0zXI9+zng0aYqDkT39BvL88EMPxD3S5S++8PzYF5x3ou/B&#10;+/FOOPF6fy47591tjzFgDBgDjYsBzfuCu8IVXMa3LuBrHGUPl119xWUVL6M/M1+b71OwrgmulM5b&#10;ztsu7dyca4+fxckat4aXSw6emH6+5ZZp25Ejg7O5DofzLPoDhHH0Hcgj/Qfy/ee772rWX7ji0ovj&#10;PUKHbuJn+Ny27cbFtNsrl60xYAw0AgakI2MHxq79ZrF3NbwMJ8NhcPY1V14e3Kw1VMzX5vuR8CM6&#10;LfoyYXiVMLxMuCP8zLoo+BZel25MPPbuxHbOfiRch7fhZnx0ae7hmPyTZxw6Mu9xw7VXx32lrf3M&#10;dPON11c2bt6J+yg7cXsjlKPfwe2RMWAMGAONhQFxFZwM18FfcDNh+Praq65opjczJ4wxaHgYrsRH&#10;hxY3i685hlfb058Zd+Ye+B2uhlN//7sDYmz7lBNPCC4WJ5M2TrZufPKq9diR/0KfRo+eef704O9S&#10;n58QHM274bDdo08Tz3huLDy7PF2exoAx0CgYgKfgNWy+bxS8hR9jtQXvXXbxzGpfMPbuZMwZ7oRT&#10;tZYJHhYHwp2EZX8m3B4/w73crziMZ9MHYI443E987sG+XabFeHW55zbnxbPiXtnpmQfGnuDco3zN&#10;uuG6is+JR5xGKUe/h9skY8AYMAYaCwOMP8NV8DI+uiVlDF/Cx5qnjX/Qgb8LboQnZcOWjRvdl3A5&#10;jnx28KL4tS2OhjuxU2t8ec01hsTaap5Pmujm4vCS70sbN+fhafIKz+od6GswVwz/5ZderMbHS938&#10;7PTYw3OqOFqbZUw3FqZdni5PY8AYaAQMwMvwFHyGjRv985gjj6j26xRH8x1nOBEOhk/h3JJ/J8Y5&#10;+JRzpf2ZNVXlfOu2uJlr8DJxTht3cow3/3rHHYOXNdZMP0AcXqbJWqxTY1wa/bi9Mpj36iuV7l3m&#10;e2LsGY6NQLZxwrw/9m54Hp9r5m/X8fbw5es9ixG1TdRLZI2v/jh11vLvWflbvj0vXzANloVt+Af3&#10;6Scfh8817MGcO6LpG86rr7ZWjAGzhurAA/YPjoSP0WXFcx3Rj7lHY9PSYeFc+BxuxmEv3/KnP4u5&#10;2qTNddnP2+P39vBDXX715Zfiecw1mzB+XPQd5jz4QLwzujZ9EuaKIQcc57QGvL30fb3n8WsZD1wZ&#10;U3+pk7RNqp/4YMLzOwcuLhqlTYBn1AcF1+IhfOY8aw3VwgXzY94X+jLrp9h7hHHg4/90TGW3RneG&#10;L6Urd4Sf0XnhZ3RgfM0H47h0E9Iuo0aljTbYKLifc+jHPEvPaYuj2ysn3pO6/fKLL6TpU86LdMv3&#10;mBj7gHIt+LloB2gLuB+bAvqz+uztPcPX3U4YAz2DAekWyJe6iRNfu372jMyN5eUnV3gGecPF4Brd&#10;MOcfzvHNp1/98peVTZsx4GHrrpeOLeZqab6X+BT9FieOa4s7uVby7fjg3nKe96SwX8PbOL6x8eMf&#10;/Sjug+9xxCH9jswv6wiW4GDq9WuvvBxzxvK0WTtGGuJpZINM4GxcR9L3PcsPz5b1wJM1PIyL/nPR&#10;hxZnU0+Nh4GHh0Yq8xhTLjgabMM38A/ztIOzinNPPv5Y7NGFzowtG/15vWHrp2OPPir4UZwJp6HP&#10;4gjnHNcWR8O18Dl2bHF7qRdPTHzvav31hse3rrCbaz4YvIyezf1tpc219spK9jF8ZPHcM0/HO5A2&#10;+eC5cDR1HZngK+z+uet+e/jy9Z7HCHWXuogdUHNCOGfZ97zsLeOelbE4hjlQ6JBwEGHGm9lrCz1Z&#10;a6fgaL4TBU/CW3BryY+ljRpOE18Txl7dHn/CteW4c/lNK9JFb2YeGP0B9jmBi+F7znNdvFze2/b+&#10;3e3hR/YD+iWyjbEvd7lvWdl34NmXXnRhyIQ+DHVf/Zf20vf1nsWv5Tuw5Uv9lR2LtkxcTR9a542R&#10;gY2R/lz+uf6MjZt3gZsvmXnB99ZP/ewnP41vXcCPcJZ8eLK0O4uzSxu3xpLb4uiS4ycGR5e8W9q0&#10;Gd/m2xfEhSvh+pKjy721CaNzt5U21zpSNqrXquscz3vt1aZvXpXPpQ/BfHDWZCEfuNx9dNf7juDL&#10;9/QcTuDhxW+8XtVJ+tnSowlb9j0ne8u252UrnRGugZ8WFGPNRx9xeGJ+ttZOoTczRwu+hRPReeFS&#10;OAvuLDmy5GR0XOzCXC/nQret35KWOJp0dt5px+p7VJo3RpqkRx9A65r1nHr5WfowWFOYPgv6MY5+&#10;Cs+gPyB9HZs/NgbaBWO05zFqGVvGrWFg7rPPpHvvvjPdVnzTHXvf/ffek+68fXZ66P770ivFuozW&#10;4vm8MdUfMAAvw0dwzQtzn4v5WPpuMzose2qzXyccCj+Ki+FljsWv4i7WPkm37Yh+S/xSzy5t2sw9&#10;Q28u7cvL9vYqdeszi3tPjft5tvTptji63jKAo2cXdT/vk/C8W2fdGPuEwukaG9AaNNal8VzsEWFn&#10;K/o9tXZ02eHqzZ/ju53pzxhAx6WOUU9wuU2K47eXLg59eMH8V9PN119ZfHPn+LTb2LFp2ND1QodA&#10;d5AeQXuFK48HFeHBaaUVB6eddtg+HXPEoWnKOROLdRrPl3Xx7TeLMety/pjyQH0lL8yRZQ5Of5ar&#10;894/2gX4A8xRXvjSlyteKfgZe+51V18Z877ANpwMR4N19gVBTy65sLRrL+PG9udnaY4VvI3OC7/C&#10;dRyjH6MPw+3bb7dd2vR/N62u8zxxclv82961enEqfn3gvnubdHf6COMjfNEFM8LegCxz23gepu+D&#10;o91B/tjeVB715s3x+0cddDm1Xk7UC/gxuLioH9QVwsiMtuqSmTPTAb/dL9FvX3mlQcG9cK44GJ/5&#10;Mfo2T3m8RsHda0b7xb04zaHh+i+32SZdOGN6mv/qi/Ec6iT5YK0pbSH1E45WPlx+rZefZVO/bMA5&#10;GARvGmuFUzjmPPoquAXj0pnhSuzTOM0DE192hp/hT7iYsVt4jTTgZXw4+NSTT4q1Wz/afIvgaZ6V&#10;jzW3x7/tXa8XP5IZbcgzTz3ZbMybfCIL7GlalxZ9oKKuo1MTR3zMeRzyV3ukvVLrzaPj119HLMPe&#10;kSH1gf4sfvBk0VZRly6/5KK02aabpbXWWLvi5CFrrpNWG7xGWnnFlQu3SlpjtSJctFsrB1+X+jI6&#10;88orFjzOucINWmmVcqyuCNO+rVRcGzxo9bRyoXtsMHzDsAeytwN1Eo7G0Tbi6CsYF72Di4Eid3CP&#10;432DpwvcwRPUhcceebiw/ewQuFX/Er2Z/iVcCq/i4CCNAePDq6U+3fbYcs6dpENcnPieZ9APGL7+&#10;BvEc0sQmjs6Nzp7H72q43nKmnmK31pww2hK+Gc07yKbPO3EOmxiypo5X7U1TWOWQXydcb/4c3+1H&#10;I2CAuvDZZ58GTzLXRfoCXFzarFdNgwatmnbcact0yCEj0qF/3CIde9LIdNIZg9OZU/8nnT3j/6Yz&#10;pvxXmjD5v9OZ0/4njT9naDp23PB07Ak/TocfuWUaNXqrtGLB5YNWWT2tWqRTcnyph7Ne9MH7/xzt&#10;4qKFCyrd2fXTdaun69YXX3weHMDYiriB/ukF06eGDZt6AP5xjOWwV2fJoeU6J/Ew+q7mfYkrdU3H&#10;rfmlzlzOA4N3cXyHCp15h1/9KriOtKSXN+8PdLwP0NLz65Vvbm8Lfbjga9K887ZbwwaAfZ5+Bg67&#10;/SNzHiz74oUegMxlpyAucqcM6Buhl6Nj15s/x3cb0t8xEHpzk+7Kd19DJy7aJXQGbNPrD1sr7TF2&#10;ZBq7y8i03rpDi7aq5NVBq5Rjzyth9y70aenVg1aBy1cPtyrj06FLr5R+U3D0r375g2Kf4J+mlYr0&#10;Bxf6NN+q53m7jf1N9Kup79RL6i598f4uW+e/b7cPwQdNthq+e8z3IPjOVNU/baoHm2/2w3TyCccH&#10;N8On4kjpvPicx5XnyjnNLXFifo50tB8n/IXj+xrsO0KdwEaMzlzq1KVuXuqly56Tp9fZcL34hFep&#10;s9gc0KGpu8gUx9zRC2dMCz0audB/QTaMS2vuKJyMPg0fy1ZOXPLFcb35c/y+Xf9cPm2Xj+xTqmcb&#10;b7RxNZaMXostGh7GLh1tVnEsfi716kHFPglrF3bwYr1JcPQqhX68Wuga3F9yeBk3wmH7XjmtveaQ&#10;tPZaQ6v7uJe+tWyMlJvqqcuw7TK0fLouH+Zlixtuuv7a9NMf/7jqn7KGijGZXX8zJvbo0jwwraES&#10;J+NLV845Wufa4sxyPLm0WaNjHlWs3aJfzJwPjUPLVgx3w3Gkiytt4r2rP9OHlhO/wtHqW+OzrgPZ&#10;lX2Xcv9x3umeO2+v1mBR1+F3+uXSpc3PXce124TGkB11grKEF2mrsOHhtIYEPTccOnBh41tj9YKH&#10;Cx8+hZ8Zjy55uuRihdG7Ccf8sGIMes2Cv1cszq2+2pBKd16l0LNJB0c7yDqtGIMu8mJ8NQa++no5&#10;ovuxH9aY0aMrLAqP8DPfhYQX4VjZr2VnZo0TnANXotNKp5ae2BF+Jl2NPZMW3D/+lJMjXTiMZ3BO&#10;ejbzyOBt+I5+QVvc35Fr9ZaPdF/4FVmKZ9GnaVPU92FfUGxzvCv9ENkEeGfWYiq+eJ10Fa43j47v&#10;tqS/YoB6oO/ksa9AzpfwNLzJvO1tRv447X/AiGI8eeN05nn/lc67cIV0wbUrpGlXr5CmF/7516+Q&#10;ZlxXOsIXFO784njqZSukMyavkE4cv3465LCt0ujRP0+rr7qM39UPgMtPLPYqJD/o9Oov9Fe5Ot/9&#10;o02Ae/n2k/qVwj/zwk4bd0rYnrkHroRLpLOWPHNqcCTcKR0XzuwMP5M2PF6uZ+bbU+ODc/lWFN9z&#10;5JjrcuJwnr9s/lXXdWhwmtc5OFZ6cHdhmPRJk3E05pmU3Dwh3om+BrKbMXVyzMej3suhhys/xCeM&#10;PTzSKtoIOF32dM4Rj3vwyTvXu+sdnE7/qM+NVk7vv/teWvJmsT5xycJoa9B3hw5ZJ/TeYcPXSwcf&#10;+5M06ZL/U/IvfFy46QXv4k+Dj+HlNhwczXXunVpwOeHzr1khnTBh87TDqJ+klWOu2OC0zlprpdE7&#10;71y2FUuKeZ7vf1D0n8v9FBtN5n6f7qvrMde6aU6S2mP4QG00tlLOa44F9lPa8HvvuiPWLWletniZ&#10;+RDozMvGeLvOfR3RX3v7HngNmSCvnPd0rl6sKk3mnpIWx3xP+rKLZ0Y/BDnj6HfQF2Ef7+efezZ0&#10;Z8qM8iUeZUjc/JjzWoNV5b+Iw33CQr35d/zuq6uWZedliQ3pg48+Tm8sejVNOPXkxBoq2qrtf7lZ&#10;uuiqUg+GU6cXnIqDZ6cXx1OKax3hZ/Ro+Hxq4cTtcPZFhbukcIcePqqwp5drs9j35L13S/0Zfn7v&#10;3c6/jzEwsGTGmnkwTJuMbkX5067TPtNmi4/xscswB+zIPx4WGG9JZ8ZujD4s+2tv82dPPx++Q3b0&#10;Y9BFkRHylM5bb32KtIpyULqMoRHmeS8+PzfWfWNDQObYCNClCfNNrEfnPFSWZ3E/ccTPpMmx+l2E&#10;c96Oss/6aPW+g+MPrDalL5X3W0sWpPdo195+J+rFiv+v3E9k1KifpZkFf+a2auzXUzP9GZ5uS3cO&#10;XbmIAy9PgdvhauKQbnHuwiJ83PFbNM37HpzGjhkTayTfeavYy+kdbFSev9mXsNIX8yIeoe1W/mj7&#10;xc201Z99+kmCs5knve7QYU177ZTzHhhfYR4knI3NWPOl4Yqe5sa+kD76J+Nb4j5sC+I6ZCiZ1uPL&#10;Bk0alJf4k2fCrU889miMTSMPxgbQp5E/PM1c7zkPPhDlR96UBnkjHY5V3uRb/TC9Tz35dlzzcm9j&#10;4KMPCrvWO+wxULRf48c3zcFeOY0ZW+zxdUPJpbJn48cYMzxbhDuiP6Mro0PPKNKaUnDyeYWNG5/4&#10;XDviyM1Dl1lnyLpp17G7pKWLF0YdXrLYe+v3Njb6w/Npo6U/0U5rfJJ2Goeude1VVyS+LSUbtnzm&#10;f/G9CY0tMwaqsVE4gnBf4NCezEPIr5ARskNW6LfiPvFfPTgInbxIV8+BnzlH2eg5Kqc5D9wf+jS2&#10;bt5ZOjU+69GZ781eRvQn4Gry+vnnn0V/gjD51HotwrxTPXl3XPNzb2NgyWL6nPPTkjfmF3NCT6/2&#10;8dx59IhKN2b+19RC/xU3o0Pj0Ivb05+nEQ8+Lxz6c9i5C14OG3lx7ehjt6nmee++65imuWpvFXr0&#10;goKnu6f/3tsy9vN7rp7TxtO+w9HoyHAM7Tfh++65O/b/go/Rk3HsU8ucx61HjIi9s9HT0JnLOV3l&#10;XOryG1Dldxp7khv7QtrSZ7ExIEv2+EIPFV/Xi13p4vAz3MkxZQNHKyxOpQwpS/Rl+Ljk6XJOO/Pu&#10;mC+HzGbdcF3YxsXvpIPjXThHnnWu3vw7fs/VXcu2A7J9uxjvjW9VvBNrNpgftubqa6exu/+q4l90&#10;3XDiWbj5moJrm+Z7tcnRhd4Ml5935QppchEHnRueDr8IH/mnrZv0mkFp910Zf2ZeWGmrfPtt87Mx&#10;3DaGaZPhEtp22mbC6Fn777dvM31Z6wTYL5M1xsyXhpPFAYS1Twi6M3yA3tYXOLQn88CaRtZYanyA&#10;8Xz1dXSuHgzCk1E+BSej48LT4lVxNGXIM/C5H92Y8MMPPRDf2ZA+rTJhHILygsOZD86eg/TJSCP0&#10;/yKu+gL15N1x2657lk/Py+fNwq795tKiv1nw9KQzJ6TBsSZ5UNp+hx+F3lvxacGxMSes8M/H7l1w&#10;LHzbJjc38TDc3tp9RxyzZbGHSaHfFHrNXnvtUbQNS4u55OXcj+5oH4yhnsdQb8oYLqE9x7GnJHMY&#10;ZL/W/C+4echa66Q/HnpI0xykZXOGS/15UvA1fIwuDR9i24YHepIb+0LazJm+4dqrw24sToNPkWd3&#10;lCt8i00DvoWPSVP2bI0Rc43nqV+Afs099BXIC+s+r7r80qps4OllrhyzvvqKy9JTTzxe6dFuOxq7&#10;3ncHNvtDGtG3XVrsobR0UaE/j4/9vlj3vHMxP4xxY+zacDT26HDovwVHxxyv4lxrvKvzMZ+MuE3x&#10;Yq10EWbsGR388KN/VuxXUn5DY7exY9JbxTov1lVhZ3u/GBfvDzJ0HnuvLaAtZ03OqF/vVNmu8zVT&#10;zAfbe889Yu2O+LBcY6w2vrRpMwYNN6NDS6ceCPoz70gfhfXW8Bu6rbhNNgn4FTlzDUeYa90xPt1e&#10;3YHf4XX4++WXXkyzb74p8oqNg7zjU26UGf0p+lXcwxot5r7RvpEGeSa/HNMf0HN1vXrH4hr9FK4T&#10;h7ih8zfFUR+C68SVC9kU95A290s2cX8hK3zSwkm+ukd5sd977Ujfl/07MU9Ge2qPGr1lu9wrDq7H&#10;P/KYn1Z7Q+y+628Sc7dLWZXrHfu+3JTfrvnUa+qpdAnVX87VXlNd5964XrQFquutyYn2Qo44uSNO&#10;bXxdV5zOXK+NyzHPIC38aNeLNo8w13hXrqkdJMw53lNxeb7aPq7RHnJu/rzX0pWXXZK2+OHmzb5d&#10;Kt0ZXma8RJxsv+V13PCa7Mfw9N133BblASdSLpQJ3Eh5cIzsVTaUY087nocujeO5cCdr5JhLxje5&#10;ZfMm7+UcAr7/VY5PMN+PPVvZu0x5xv7Ne3CsdwFTvIfqGzjjGBxyD45z+Pn76rzqpXzdxzOQH46w&#10;8pCn4XDPY6gxZGx+7o1ypC7njjxEvS54m3Yjr9dqD3S/7s3rva7RnuRO5/N3JJ7O535L8bp6nTaP&#10;9hBHO4/NkvaK9Hg+7S0+9hLGQTnmvcmDrhGOccUiraeffCKdcuIJsU4KOw98jM+8L3zxMntkljbQ&#10;lnnJfF3KZfYts6q1TOXc9dPTJTMviO+EUC7BZwVPRR+pkL/ww7F4Ted6ws9xRzjHJny4oOin3XX7&#10;bbH/GGVKXwOuRpfGJsJ6dsKssYbPH3/0kcCasE+eSUeYE3cLf2CWe9CvceQhZNGEYeJyL/fkXKy8&#10;5vnvCfk4zYHC7+bn3sA69Vt1XHVZbVB+nrzRpuR9cR2rXQi/aDfVdta2n2ozSF/PVVzS4hm1eciv&#10;5/coj2qruC+/nqfDNfLCdT2XsPLHvdxDW4if54/2knaRNVJ77LZrxcflvrPlGmY4mm+VMydswvhx&#10;1bwvjSWbi1vvo6TiR5+HOevon3Aa/RrGAO7/8z0he8qAvhJzvMEI5ZGXX0/WG/BF+mACbJAP9dvQ&#10;qcGTcMM+6rfOujHWaGl8Gh0avkanpv9R6thnRh8EWwG6NXZw0meOGZgkXfzAdvF84RqfPOR5Ip6w&#10;LjnoOPLc1I+p0iviKz2uK479gcKzXX1P83Nv1BHVd+p81OGi/pIP6i7toupwtA3FPdFmNNVx2gHl&#10;WW2C/JbO6xxpyfEMcSbPytNUPmrPR15op5ryqnTxq2tN70Nbzn28G9dJn2Pu4xrP55g2V+mwFyTX&#10;WGcz7qQT0/D1NwjdmPle6MmyYTPOvMnGm6SDfn9g2LE1J5v2uJzr1fjrl+vte3z33XdQdMhe3+Kg&#10;X4P84LP/z96dv9tWlHcC57d++o8QZHCMQzsnQhweUURARKPMgyPOs4BgFKUfTbgdbG1xQk2MtlHp&#10;OESNmjgrapxFwZgwqIjRtrsdGBwQdten6nz3qrPu3vvcC/fcwzl37+epXbVqHt73/dZbVauW+0F8&#10;J9J4VV26jEvwMLSZcVsPu8c1+SuTqXRWaAz99DSful38rW/W9+t8T4RODZ/RRdbytY/hpw/tldDD&#10;3WmGHuUZGg3N4j1+ntWFO+XxCx8J45+z8Okn8Zn0U/LJ89K+udi1J6Rb4vNG8ge+JReCXXh3KodW&#10;/Mdh5EFkhrqLHxkRO3kmbdoof6bifXB/lt2V3efVuyNzkqcy0h64O41b8heHfsLOOzHc5Cx/53qc&#10;VTrqyCMrDsNjuJy1bNjsXpHHPuYxk+c9+1lVvmYNkwwmc+EM46zXLcWvrZ7+xhtvnDD5uVOT7vnK&#10;c9o3tODZ9Iz39y6tNBacNm6hp/WylcGg7b487swtE4bO4CJMF46eGPd9f+LjH6vnCNEIurDmjVas&#10;e6O36Nj86djWwr0P8IXPfbZ83+xr7bwqXljB6PBaT+vK73khcdh9vD7OevXbMt+thtlLfN4Img6O&#10;RsaoAz4nY8ga/jGRT8G+yCHhyYedPCJLxB+btHXsP35OvEV2lZXW6QvGRmamrpGTZHpwWRnqpv7y&#10;JQPJzUc98pGrcDiYbC2brnz3u91jctIJx1cdiI5n7TLrldGZrc9GL5LnVsfXW9q+4HJvG5f3Xfie&#10;2nf60FwHbinLnS/GVBxrHIvoYleE1bld5o2FL+Sp/EpDK3joOX5sNIgnQl/hH7ZzDl/58pdq+978&#10;hvPrer42oic0lLmeOUnD7EZP5ilw/G//+q0Te/bezf7qv3y57tN/v8xb0Leye4xOueo8qx3Cd0Uf&#10;LfPYalg8qz1LfN4IOse3yoWrme+TL5E3wVi8HPzj7jFOHHlIw3BHHmQNObgpbR+PW9nki7sTL/nO&#10;xXWNz5om+RPbuzdf+Oxn6rd6/+mj/1jP+dIvfAfqIx/6YH2n5cJ3v6vuE1srfPvb3lK/UWTfmEyz&#10;zghLGbL+9Be+YHLi8cfVtWvYC4vzvjLbO8ts2HzM4x47edHzn1dlKIwgN+l4wV86UHAKlmQ9s/dP&#10;+NJevRcNl2+44YbJ73732x6iJzf8/vd17O1Lm+/ob/2p742lvWn0ut48gzZD06HV6Rx0he7hcNaZ&#10;wyPqxU+aYGZoH78wwtD75z7zqUq32mVNH1aj08xNuLU7/ZA18tCfZ3QH79G++83whLnMly76fOWj&#10;b3/zG/UsmzOQ6hH+XO/+W+Y/C+s2o98SnzeCluGnOf2ll3x3goet7zLW1OyFMXCSjumuJPc9Odfi&#10;jizYSAZ4/ocyp/cuCTx8Z7nLgZyAi74DxO17fhe88fVVB4iukLNA7SxNk9vkUGQReUT2NHk0vC8c&#10;jBSPzCa/5JF0bM9Jp5yzy7e9n3bqUyYPfcjB0/3j4HH05H5f2f2bz3jaU1f0m0EnVlbOgKlHk5nq&#10;vq3qPsK4ydkhbDUmLTF66I9VoDzj4Ze//EWltfQ12qFjwib05IwArLGPkXkjPjJ/hJUwEo5zV1ws&#10;cdl136PY4k1xt8Tp8Vi+682T6qX81Bdem4fSkfES2tXWGDSFvmPWoiX9JY+2/mCO07DfvMfevntV&#10;8Kk7YvA04/1tvI3vIxPMk79T1unNo9MnmXt7Nkdh0p/axJ+9IyZ5Sh+T/s/zzbHlW+dMZZ41npNk&#10;fSNlb0Y7c770cdqQ55vTZ30afFJ55+qrqzzbp+zvkZPHHPuw3fL+84vOaN8tuMPt71TeVz1+cvVV&#10;7fuSP/pB0/PSfnWu41t4lls/pA8W2egZ9jnbid6ZYCCaR/+McDqi9yrxBsxjuMM3sJGhN8JCvAX7&#10;FhlYMZim+wXH8Hr4P3zf+L1hW8O3IU1kQm/Pkw+JM5SdegyyWVplkD3wzDPZ29K0chv2Nn91JGdS&#10;ryazXlWf4TSZI+yMcn/mM5/+tMmxRx9dv0uRuzXRVTA5WBxspkP7hoV0ypCf8pQvz8g3ZfJr/faq&#10;KifTZ4mb+vFPu/RH89cPDdflwS99pUx6kHDrmw3rV/dXK2vr+M2A5JleeOz9/+u9U9rQV8YC3hh3&#10;c0fyliyBx856h3ebfBnuD8OTsAUfB9NhdvAlMi74kOf1sHtZqLz+mVvdvW9tnkzPhtv4na4dGg3v&#10;oqNGHwP/Bo/xVOOXdk6tp6PIAPTLJB+0KL240vIXrlx0q1z07Z5T8+/IIXjPTT6RX4uM8+sx5GFv&#10;yEl7AXQF8xbn3M2f+j5aa0zQTeJwhya4sw6S8M1o933BnTZoX9/2+O+sLU/38hgj75UecMAdJgfs&#10;V9YU4fO7174f7JbcTSLtGWcN+tRhhz68nMt45xT3rJGiM/ogWmOjQ/SIRhsdB3cW2ZGn21bou903&#10;1NN9j0nhDzwQnsIL4vPDI9zNb1G5LW74ji19b8i28Jty5ZmyGk833ZEbr/b8njqIL23qLW7K6Os/&#10;jiNe2kJG5O4sfvAp9RLGT12dmzEmZIDxYNMz3J15v/veb6obw9/xO1D84DG8vsud71rv3Hz0ox41&#10;ec6znlnnBSmvtaPVTdvSZuHqot3qrj7cade4/eqcsPRDH19+8lFGZGTc4iX/Vl5oaGvZM8F45Jkz&#10;3rzJ6Pe8652r6FQ/6z/9af5qPYhscsdJ7vCKfk0mZ55NVsFpMjtyK/IbXuc+0ISthx2dXt7KVj92&#10;X48ap9Qn+J16aKO2uisHhtG7zeWtb+MN99rpm9BPeLLRWMPb0HboThy4LF2bK/f01vhaWAz6Rdtt&#10;/npuTdtkSttPF77IhD96O/Vlw391TDmNT9qagjr36Wa5tUd6tnDut775jVWeZ++LDNmshix0X4Cz&#10;Ca2P2lqJvtF/s/pkZ/z0m+/CbCt608knnlju2ty/3vHp/jB3cd5S/F0rPf05OtUhBx9c64LeztvW&#10;2ta3MfTQ6CfYspj+9Jk2Mtz6Jn3nObTDzaD73q/RZ9Zw2zy2pW9pk26ePR6LVvee5wbMV67yxQnP&#10;Sc/ffB2/owdr1uYrmbN4JjOd6bHO7T0RctKZVXNna+D0G/P/7Idl/dx8mW7g2TyNDCJL6UDmbuQU&#10;eUTnIY/oE3QjcTw7G+v9pmAv2/lqdvzoxrCav/Vt69z/9eVnT/l1kAGZ87T+CaZmzDIu7Pi1fh/0&#10;YXKqlyHpT2OWcW+0oI9fVd/fcubsWUVvl6+6KDfjPmu8tpLfCIq3exzvS4sAr9EMegyG9HMZbutL&#10;aKbi8co6Nnqy3s2OTk1nHuOf8Jhg4XrZ6oeOlbcdVq/MHYQzqUPqhlekjwmux5YGH4nHD69EV3VP&#10;Ch6F5/aq8S5Mx9+MvYMmB7JG1OQTGkafwnqM5m8szKvRdcLH8mf8jH8iH2fZ8pVGfgkPzzX/xfJX&#10;+sjU1Nc8Dq/Nk5mbyX/on9VzpyZjFvfNjrRTX9V++6v/NnnSEx4/uW05k0Ou7q717dPOPHh6ZvfQ&#10;Qx5WZai2veY8uuJ5Uzmpjj1d6Jf0zZjm+ueelqVHu+g4/uR5k+nW6s6rfJG1oszp8EuwEA+Z9+Gn&#10;D3/w/dN18KyHj+3wY9aNsrYODysmlvc0L/3ud+o8HA/jZYYs6Pl+nvyIzIgM2RlbeVV+FPlJbpKZ&#10;zq8oV3lkZ+okX7jsmRs+2z+7773vW+kF9matOtgMi92L/fSnnlr3n41Xo9th7mU8+AWjjZ14xgoP&#10;t3FvWNrkwbAmTxYNND7MVcmS+KdMY9v829yHvm+PW729y3Xm6adVOkAb0ii71WP1XCp5bBV7O0Ae&#10;eTgn1r9/leCbbrqp4rT3jK1n4Sd6X8Y3Y4h3rJGi0+BUaAge8g/NCg9ei4MWQ98bZadu7HEd8MjY&#10;P9gdWxpubcUzTPg7eQsXD9/xyzxBH+DJ2NbZs9Zpny6yxTtx5uFwnp3zm1mLD+bPsmfRcS8/w0dN&#10;Jje9vY0x7Bkwm98s03B44Hd5o5XwZfLfrPYgowbdL3JKm2b1yc74kXHik1+nnHTSVH8+8aTD1l13&#10;buvbD636Mx360Y86stDXP1b978Mf/ECdW6K1Oscse745L+xMijuPgnGLbHvL7gDMfld4AT/gE8/o&#10;v561WMGl8A/eCM+Ih3fEg2nSRL6M+bZ/Fi98GH95MSkn7sqXhY9Tr76O4nju04qfvNnJP/Y03xXM&#10;n+avjGLIQumUl+e+HHWv8nJFbnqG4+YgucuLbszAZO8q040f9IAH1veTYWvwDq2i28yHuIO9eJVp&#10;dJ05Z8NFccID4iQ9mm06W+I3eTGWN9LbR35ueVfaXOEBB/1p1eXZ9P5XnvOKKmeUEb6Rh7pEtozz&#10;3ErPwdt5Nhxm8p402/P4hyes4egb/aj/zL30P+Nss/msM05TmluhS/TKL7zSP4eW18sO30x5pfAF&#10;Gmdg6bjc8F/shOe58tIKP+Epc4yad3GnffLGV+SL9OE9dt8P0kmT9PKuc/aSLv41fcor9jh96rfI&#10;lmZs5J8y1NM3POn/zulE12Avkr3CzCHMz8wnPHN/+hP/XGVInU+UNQTrCJvWlPnQJ//54/XeWG21&#10;rtTOM32t9tNa/bNW+Be/8PmJ9/ecx3ptWdv7ozvftcra3fZ9jKI/k+23v90d67utP/lxo1F0iB7x&#10;fTAyOMJGb6Gf8MYsO3HwQ7AGLVY6X8Hj0PSY1uUnbMofhX/ix1/8WWWu5VfbgaeKqfOCFX6TZ4x6&#10;pw/S1tRZHGnTnml+pX7h9bRX2pjUaxq/5JFyrEXyd3eXPPhLl/m7MDwGf7MfET2ZfcRhh033r2Gy&#10;71Yw55z90lX6qLABm9t6Bjm+2q+dlyXrV8+1m+yH08Kk4YYH9G84YK/G952f/MQnlPNpj6v3cZs/&#10;POTBD548/uSTKiZbWxdf+mBJy7NhPT/zCfXaSlg8qy1jnB0/W8uepT/38eD173//u4rbMA0O68PM&#10;pfRl1i/0uXUpe7X2brNvEsxC2+gc7fEL7a6XrSxl4o3whbIqXxS+xAvxFydh4Zv4pX7yEhYjrTI8&#10;hyfFEV/70lbx0vbUKXmmbuOyPPem1nWlvqmnPBeZcZ7S9fHD//yn+Zcykq6PO8vd58fdG3mknzar&#10;bazGJm2Z1R8764dGpIETzgfZf3Y+7PgTDt0t+nN/fvu4Y46ewOc29m3sZrVnPMbizzNTui/tQ2vy&#10;4xdekc5z+FB4+lc5wlMHz33cvh7z3DW+/IuZVUdlpU6hf/H4qy+3vFMHdspK2CybH5O2zLPFyXd2&#10;1THzhdCF8sxzvX8cPLaXnLXse97jXpPnP+fZVde0vkn+NlzbVr8f5RzYnz360RUz+UcXJrPhhWfY&#10;yMDX6KwNL9semzyjf5Pz8qETv6y8s2Xf2HvU1tLvepe71bNnB/7JgZPHHHXU5AmnnFzPkosvb5iR&#10;Oub8mzrwFyf16+s0C9O2kl+Ps2u5YTUczg9u88uPO7r1tddeW+dzzs7oL/Oyvt/0uXF1JhxWW7tF&#10;/2g7fDpLfw3t72q756+ex9YqZ6105Iw88B9b/PBY3HgQ74VHI5vEF9bXwXMMf3nJR9/xr1hR/ITp&#10;v8SdZ8+ST3158lAf6ZWTdkiXtvXxx27xyBJxkz5lquu8em0W/+CGNo3rzG/cHzv7HDn80//4SZFP&#10;f1HxmRx+3NG75/uSz3/Rg6vcv9Md/mhy/LHHlPn0ZZVWf7Yydx63efxszBeZKc+vzJMrbXRygCzQ&#10;Z+lneYVu0JT4aJIejxcSVz0WlZuw1Dfjwj98yE4ZwuMvjfrgDfFrmaUeqWPKVk9hKWuct/DaXmmL&#10;GddFWnGkE+bZepxy6Tb23E847riKeWgiejN91Bls+igcDabCt4alDVeF+Y6UtfD7//H9J3DTvZz2&#10;o72DRbfu9SoYDDftBXvP6tQnP6muSTvj7W4x+rj7tu98p7tUvdi3qg5/xCPqe1zWql/+0j+f4nzk&#10;f5svtO8Nxi/zAPTO3e4BbTo4nU89rJ2PMaXHl63iDraup413vNNrLPS1MTdPCu2kn51zdG7Kme/Q&#10;Op7jRpv4A52y5ckvNB17TOc1n5K+54PqLn7BjPBY8uvj8hMvcZWd8PBO+NYzk2e29FvdaHP6Tpv1&#10;p/4iRzZ729FVMAJWosfQgue12ic9Wk1caeUXGlozfXnf+IorzWN+MPnvRS7d7oA7TfbZe//J0ccf&#10;Vs9vv668A/Wad+01eW0xry/u89/d7NcX+/y/22vypuK3yLyupBP+P0rcmr64/+rt5bnYry3mjDMe&#10;MLntvgdM7lDxuejPV5e11SvLXLrgSdZc05bwIDvt6t1jfNoZ/pBPypF38urd4b3wszShR/GSnp16&#10;CY+RLmlT/8xPk0a6WpcV+THNd+XZ+CauvMifyIWarpQtjTLRAXrilkY8tNLXJzSXOPYHX3rWmZMH&#10;P+hBFY/7d5dhtOcnPv7xde0yOvAirPLeAfwml+HuU570xMmRRxxR38VyNgvm08Vhvv3rvHsFexlY&#10;fJ973afiu/s9xWfo7XRm33i25n7WGadXPIXBbb7QsD5zB9gQXBYndeaOri6uOC2sne3o3QnLHESY&#10;tJ57kzSJ355vnefM1hOXk/dNN7X96uuvv77uXzr3nXmQvjGv04/mRPYduOnd9imdHYl8DH2j1Yrb&#10;K3zmGV0zPVaIP+bZKW/A0sIb4jD88ZO8Kj+VsJTb81vPv+EZ4VPT8Slele9WN9ppPOy9ek/E/oaz&#10;Qs4Njc/LbrZn5+3clWedJ+ftq195N8a7Mmu1x/mpnCP2Xo0ze/xCv2vRxg+vKO+cF7q84srLJ6/e&#10;tq2+W7XvbfedPPboB04ugL/v3WvyxoKjb3x3w9k3vGuvyXlv2Wty7vl7TV712v80+YvXLTZ/+fr/&#10;PDnn1XtNLriw5SEfOO1sGPslLzlqsvfe+9Y5wUknHFf4o7yTcNm/Vvvn5Xtv+KHnifATe8oTK3za&#10;h+2oO3n3+XH3/MqtLHQYfJSu8nHhc3yafPp0whfVQ1xxpI+RT28SLm7y6ssQN/Wt/bGC13X8i9s3&#10;KILh7NQfLsvbO6bOfTjbedihh9a1jLyjDI/zDjOspAfDWbhDpvY4Nw+DInthOfxjpINn9NfsUSZe&#10;w77h3GNbz/ZNA2e12zvJ0r/sJWdNnv2Mp1fdmX7t3WsY7zz5Iw8/vMwhTqlr6nSz7GEHh1u9rWkP&#10;dz7Iu4U37FYP7eSnbuJK1/A++M5uJmHqG1yWZl6/3Fr8g6HrZTv/7WctvF8bR4vuA/KuRNZQ9KW+&#10;RhP6venV2+p7At6XcIeedXD0Hn6UT/gBL4QHxPEsrA/nF15jJ3yeDaPDg+G1lBFeqs8rGB0eDU/O&#10;y3er+Gs7WUOeGDMyozeZT29mu29P7yZv1mpX9gHFy7f3yFS0g67WooOrryrY8KOiW/3oiip/Wvn7&#10;Tg4++MDJc577wMnJJzx8ctLxR0z2uc1t2t70/uWsbtGvb7vPfsXep+o+6jDPtHj7T/a+jbspbl9w&#10;eJ/yPstDJqec+LDy/aFDJ8cf9/DJ7crZMOWSqT9V7yv/vd4j9oMV7OlpHY/0PJZn9qy29uGz3GP+&#10;S5zwcOXBIgNSh4TH5h/+5GaESa//0S2TfMgT8RM3de6fpZc283txkmfqVcNLHHkJVwa39Wlh9pRh&#10;rzz4SyeP1Mc5SroKfTY0Z/827tDSPe5+z7q/jPcYshRGkaM7gjENb6M7Bs/aszB5smfFg3nqqByy&#10;2tyALa4wOMj2HCylR/sO9OP+7DF1PVx7rK27wxuew/Wmu7WzZzAB9gcTtKvVZVt3j+gQJ9jb8mjt&#10;0YZguPxanEEv35F+2qg464XLfb72pft96j7M3d/XXnNNPefbsLq9g56xzXjo44yb+y3oJF+66AtT&#10;GdfPPcMv6D18NbbxBDPmf2lrGD4tps8jvJe88iwOI21ftvD4bVWbPNE2fYWP8FtwK7Jks9uRhTDW&#10;ep5nbdyRdmWNsI8LK/UbOb0WXVz1wx+VNaTvTa4q69tPO/VJBT/h7v5Vn624ufdty/O+kzuW+zej&#10;S6mbMva97eq5Ul+HuG93wO1LO/Yr7blDw/WSt3aqt3X0ffbee9rO+5f9SWfUr7js+5MfX13evb1q&#10;ON805oG+XeGXKV+t8B7/Pt4sd89X4odvp3ahO/7iBeOE6V/41/Oo/FOX5DUOT5zkL17q1dclfsYw&#10;/kkjjJ8w+eONlGO9XJ7W+tihA2mtxcAvZ6cylsbJGS5jwp2xdaZL3OAO+dhwqJ2tDkaujSswbDhr&#10;LY+GfzC6YavnRabpprnTYFhT5h+cTl5s5Smn1W3b5KwXn1HnftYH0lbr9973d+5NG6OnS9N05KF+&#10;9GDzBCb6eJs3tPNm6pB2wZXVGJ65ya3T7rFyvdyz3smC1+4+gc9MftZ7vFNtPREeh1Yy1vo5Y8tP&#10;HO9fu7PLerh3DNznhT/y/VK8gVeCxcLwgzkz/pjOnYtf+FGcymMr81vxa/rumd7Y5ylteJSdvMLL&#10;W9GufVD6liw0FpH78CHYRLZsVqM9kY3c2pU2JmxR28Qha5ke09HWDtHHj66cfO+SSydHlXeP6bet&#10;LvtV7LzTHe9S8+Xn/afUS1n83Jkdv7l2wfb9y/7yAbVd+03+y93vUfIucwD6dzH77dvae8D+Db8P&#10;uv+Bk0+V98kuv6zsJ/1wWB8ObWtXsCh8x+Y/K44+WGSk603ySJqU1ecvjmdhsLHnybE7+SVNXxY3&#10;+SCPjBU/bn7C6MFsfmmvvMgUWEw+iMsNk52t4bZ3b5/DOWd7tMYHv5j/cWdO2PORd5CcxfaOEtkH&#10;t+AdvoNZ9gfJS2GexWsYuAh75uHzsIbdMLXposHX5Kus3q/J65ZWHfLMJrfFjwnmijfEbXqz72d5&#10;/8p5M3xjj5uO7a7Rc85+2bRMeOwsk7bLv/XJ0F7YnTlMsB0+q4+0acet1Q4urpedM94wuD/fPS5P&#10;WI/T0vmhb/feeSdLH7Y+bfSn7zP+aMT4oFXxfHvUPrd1ce8fyMO7u97jlSceCs+FR8PT4fnMjcPT&#10;8ZeOSXjyCibLRxjsSt5b1dYP5A4Zpd/hQj/3n4sLRQZtpjCys+mkTY9pOLl2G8Z4njkL2hjT3ywa&#10;+elPrqrna/SVMum5+++r3H3L+ymPn/xlkTFvKnfNvbd8O/ArX/7i5Gtf/ZfJd8t9VzeWIx83/KG8&#10;X3HTGqaw2eWXXz75atGLL/rCZydf+uLnS37nT95Y5rwnlftE71P2C+nRGSvlO/vzb9//fl2rDc2H&#10;J8Y2Xhjzh+eKZaUP6rzZ3HmOCb72fZUylC2vMd+mzNQt/co/Jn7Ja549rpf04qoXDE4+2mPt2jcg&#10;neFyN4A1aveR0RlgsXU/56IPPeSQyiP92a7QCbufx4n7hPIekrvXm2wb9E+YlHVG+EYGikMmwsAm&#10;Gwesmo1BA76KvzrNav2ZfG0YOHwviAxWFn01GKsOwUR+3MnXGlvD0Da/gNHC5JP6cStHe5xfkx89&#10;2j2fvtFBvljrt87g7Jm+kab1T3sfS1r9I0/5p+7sVpc2T0iZt1Z7jJO7+rnHXHnPuo/sppva+THh&#10;vVtaOM3m/9vf/qZiAax1j5/xSH/3fZ75mT43/qFb+yPSoGn35eIX343KXYDuw3V+HG/hMd/VwYfB&#10;5fBkeBx/4t+eZyNP8K104d+tausD8iprCWQiXZqOkD5I/21GO2MdmUwOwCpyZkfaJ737S4Ln5C/5&#10;oi/I87Xo4ssXXVTLu9td7l5tOoS9HSxToHdy4x9uquaaX19T+KN9Ixav/G7FjafW+v3mN78rad1f&#10;MJlcf9311b6xYLvnP/zh9+V80sWTPz/zzLqGbl5ALyf7Qve1b8q4G/vwiPla9MreX7g24xs0k/6d&#10;Z6Ov4Kw4oaHEl5d83OHibj14mPtzcvcLfLQX5p49YwErrSXnHmxufWrNjjxwP6jzWL7/Qc4wnu2/&#10;uXc37+i2tdSmw5IzsIiMefFpL6p7rMcfe2y9d4NObNzhcT935YcuQhvoyvkpe7P2YtEY2UXGRedD&#10;fw3zGoYJazJu0F2C2w0H18LnhAenG/4H15S/vUkadsPwAVNX+5HLPQZrhzTic7MZ8SK3tYlp8do+&#10;etrf5Py59d1q59ThtbUG+/DWx71v5hy6vJIPd8ZH+pZ3v07et+fW5V6Ld3dFOHkRfTj5BXdXPZez&#10;ZPTo/idt7werYTx/582cF8N71retc7fxb3Mm9Jmx4J8xMu78YXXoynPGXnhoRbrGJ+dW/sz3YdyV&#10;hq+dUXa/ve/eueuJLCAj6OrOM68lfzd7OHlpPYK8JEfZZG/8q2yO7N6kdtoDb9AUOYpuMhdb1Eb9&#10;YP2GTtTLYXOYXv+aRwdvesMbSnltPVt6ezaF9KtefN31v6h9bz/o79/7dwU7zi/39L2u3qXsLBf5&#10;ZQ9vkaF/PK+smVprekPRVf72bRdMvvj5z5Q97++UCUC5z+CG61bmAJPJC5/7rFKXfeta+mOOelS9&#10;Dy53paF79P/ZT3+ynnd3xh3+hUc8M56d7Xf23TuX3uFdZGAhvm18PWDHoO8EP8ZydVhj7dPi8Vl8&#10;juebafkkXjAOJgZnXnnOy8t85cUTa7B0Ou8Me5cIRgR/jVXccDjrD+yeDpy79u6wMXI2ih6KtuC8&#10;8sglZasbm8wyL+jxR5j6NlnX2jG0cdwvq5+DjfLQT4y8F+Nz+mooV9mtfPm3vpdXX6/k28auYbTy&#10;E59/nwf/1v+t7aEDcaSTX+rrzjF3hNKpzYf0sfex9esLi+5tzMRnkn4oa3WfDLS18f49Fm5Gd86H&#10;p+7e4SLrzKXhNt3YfNi811ga79CE8W4YnW+kNj4Qj8EHTBvHRpPceZZeXkz8G1+sxnfjrVxlcZvf&#10;urs+3+cjnzJf9w54vv9sns+YA5B1jLkAPYA8hP/RFebZ4rnfn46hX3q9JbrMPGzgHz2FnXj0pVuL&#10;gX/RbdmZH7DhZup8c239pZ8yBzGG5K1xFjav3+NvnmYuR15Y2yaf6VF0O+PHhmvGtd532uEYLDvk&#10;oQ+drqs/42lPrWcsyHFyR17Wmq1/+p6AO3TRlr0geSrbGutaht4oHeNOCvdO+DaB/Oknz3/uc+rc&#10;lB7JL8beaZO5gzzHB/pmbAaZN8huPDb4L5KFAx5ExoZH8Z56xx+GqQN/vJu9WrinTuHBlC1u7mJQ&#10;F3LeGrSzV+730Lf04IMOPKjeW5229xgLh+lwPQ5zM308z/ZTvW9EP4bx6tnXWTvUjR29YMf6aFH/&#10;bd0w/Wdc9Vn2ofWXe1f0rzu99bm+tzbh2V0p6FwaMlz6yHpufR9aCT1vPwaNjvmLGxPaUy9hPZ2J&#10;089FxBE/tMs9fg6ubVabPk2/pk/nF32dPz09z86j+caLsxlkI/xm4OGFZf8OjuOV8Axb3+nTfhwy&#10;Bnhd/zPp48STFiZn3Ho74yDOeLya37CH0sZ0e/5Kfil3nq0+2pS5p/zVO3SQusyzpR9M+mKYf5hX&#10;bKSBGZnfmPOQw9qijfp/Xrt21N/4hMfY1s/IaPgoj3n9Hn/jZL0zcj129KSMi3jGhm289DlsIVek&#10;IedhhLNE9mboojDY+9T2aZyBhauMu43pEJkPpMx59nHHHFP38WARLDaXZTJvwB90EHXJnilM8u5P&#10;443GHz2daL/+0iYm/a19fbwh/UBbvV/6hJ882a2v2neuyFn3R+oXawbaYGx888jc5uEPe1jFVfMM&#10;924498z2Dq447sxK/47PZPHXZsb6Rwz/9G36Y9y3+l/e1qqNiTuns7/W2rH6+3OtzXht4K3QwdBf&#10;PS8u3folfRn64hf60N9oEG7rV3htvcP3Qax13Oue967zUOtM7jaTV9/nje8bvYVu+TX/do6NW7pW&#10;ZsNkPI2/hamXshPPc2g6dWfHnTblOZi2J9hwusdxbYbhvQ5uzTyYnz1UeH7Jdy6u69be2baGRz5a&#10;o/vQB95X96zISGMQTDDO7ZvA4aMmWzIW4jLGtY191nDamcde3w5/Ji57oMfZcq3xu7DVPD8uP8/z&#10;7JSdfIZ8B1nZ12t3u9VbX5j/onv93tZEWz/Oa9eO+hsj39DRLnyX7wLBhMbLi/tf3eyH5cwPXGPU&#10;VZ3bPKLtxamTckJH0pH7MEB6e6NkjjNDsAQ+wk1nIc1RvPuU7wf/+le/mrhj1/x0kUH/1qjNU+n8&#10;8J5sMd5wxb0SdHRrh9ZyvP+iLvCJLpJ+V3d6rDmS+Zp9IHPeGN+btQfFWNOKcbfvImMe7X4O566u&#10;LOcQrZfUvZOV/esrLr+srg2pt7oYl2CltWN9rb7s+MfO3MdzHx53bOHazQ4uc8tXGflOY9ZS6W76&#10;T5/gYzwTeW18Mz/mj6Y8Z8zpzKErNLKa/yJLlnb6JTJUHzZabPvV+l5YizfIiMbHbZ/AOpQ1KWvi&#10;xtGYonfrJfYuMo7ySV7KMEZtXNuef2SDMW5j3nSz4HDqOstueJ013SarU2d0sNl/OTs2qx3k0m9+&#10;85vpfnUfR1iPy56D32MMFxZdvM+DWx7C+p/4cN55NmugWRtme7+CvLHu7Cya7/C5d8WatXNvzqh9&#10;4O8vrPKNPm9tlFwm59j0RbqNsUMjaGMtg06CA2RCo7WGBbNoZrXf9viDBmNWx90IudHqpz5t7tDX&#10;gV//vPPuyEjYI69jjz666lN0tR3pf3XC63ifvI/Mb+PX+Nh4WJOGXXDMerNxV6Z00eHY9EVzRPs4&#10;aGz8s0aEHufR6zh+nmflxU8+5qfwnz7Y45P5KVoPf/Tljnko5eysLe9ZefHH+37hY/zmLgXGfoHv&#10;M3iPNtiqL/v1Zs9jk3A2/cqahfmQc3mw3369eZO8g609b6HD8GPvDs/FL3QpLT9jLQ43ekFf29Pz&#10;ztNvytnKtv4e9BV91OST/kz/8sOv4sHRfuyEiQt7rXMYZzq2NRB6tvfagtniZK5FNmRvpGF2W281&#10;hqmD8lrfN1kkjXqw1Vs9hHNn/Fuctra6s/yyGeL3MuPm1Lfn/bFsIIPIBXH8xuHzyhNPmlnx5Tn2&#10;n/WcMvsyxFtkpKFHOY+U/eSqf1x5xeSKy5vuYW/65hpzjI009EVzGzoY/ZGeZR7E0LdubruSLvpa&#10;nVsVnKJL013xPb9FfS/Mzx4zHMj6KbdfxhMOxh3MqRHKn/c9pWOszYrXYymc9ks96kP5Q1M78pMO&#10;pucXrFMPeVx33XU1SDxyxxwBdpFbv/zlL5Jsao/rkefY04i7yJH+6tvb85P+MpbW6O0pw9rozbGt&#10;T/RjE4zmR0bDePhMPzYe1kntJ5CzZGrkK5nMNJ2orekn3HwsOCy+tPa6X1Lysc995BGH1z6NTm6s&#10;pWmyfYnL8/oBrgULg28ZjxbW8Dp+4rYxaXjNrZ+ZjFWwnm3d2zvn9inM1/Cu+Z7zGfa6rF8ZR2Ux&#10;0iR/mM3Nr+n2bZ2sYXIrP271Sx1SPnrZ7D+8GBOZgifJg3m/yIreFtdzL6t6uZm8lNXrzMpaVN44&#10;TBnJoy8r+ace4sXdh/XuxOn95rn1jXqrT37Sr2XET//2ds1vRX9Jfhthj/vAc9/na7VvrfDgVdpm&#10;7YIOSd8JNiRsnm3+gK/JXjbT//RrfpU2Sr+qF/pQXtLBh/6XdGlDH8Y9rvs4PM+hQ/3GBPP79Py1&#10;GXapjz1u5eaXOvR+wnr/sTtpd9SWvh/bPl3fb73/LLd9K/tSdGB77xkTOK19we3gdNqceLGjlycc&#10;ltO17HE6g2Qvny7s7B6djHGmGN6nDHqa82L0cu/4kuN0MvO/AV+W+DwPn8fYHIyEcdwwrmFwe/8t&#10;WCk/+4/RY5OP+IxnRrg0rfz2frl1cd/NdObBeGb/6QEH/Wk9y28/+7QXPH96P0zqJA95B4dbOe3M&#10;euqhLHM3489vs//m8eu4XeFt8cdprIv1spZ7HGec3815lic5oi6zfpFfCevjSVsxsWBs6ide0syz&#10;lTerLTW/ktdW+aX9fXv6/uv9b44bhul3spN8hlV+KXeerZ+ds5Im8p57Xt3Ez8/YKSd4QM/yS9o6&#10;hjPmSOqZePPqFf/EU1bcfb7xZzsfHj2TDEo9asKb+Zd6zLOTrXD1Uo+Y9FVfj9Q9YdKL3z+bd6SP&#10;hFtfcsadvKYrOVeWPoejmR/1a/v87VWQzYmrb2B29jCCwewjDjusnkuD1XQucph8hh0wOfI/epaw&#10;AReW+Nz6Z/t+aH00YGrDt+F96vQhTLQuDXNhX+Y/0XUzF2pY3tY6lAkj2fxb3OH+Uv7yl7f8zMWc&#10;T/S+nXkaWkAzMJz+LcyZjueVsxw5Px5cDoa3eqQ95yLPLfPDg+HF8Owsvu8bnHj8ep7t+VmeeJrd&#10;//o48kn54qUeSdeX0+dBR09Y0iRc2oTFr7cXhfXxdqVbmYy29u3flWXsTF79mEmXMdiZPHYmbvAy&#10;+LxWWmPo/eTI8Mhu6fRjdFfPxn88ps4dSkv24+2E930ft7LilteO/MRPmr4uSau85KXNmWNElxfW&#10;m9Qv6W+pHf6Zl4/xV//UUTxperoY1yntFTft6/cM+PvZL3Hmw5k3+i3911gErzOmYztjzJ87enb8&#10;yWt3V9KvyXVrnOQ8A0PMAWFBsGEeNi39z105q9X2ant9VN9kjgPzYvRxMDB7v+Ly09/Gg/7queU3&#10;6NK9jt3067Z2Lp18xTdu3PJge+/aeQXf1LauYt/C/C/n0czv3F1K927vGBxe97rzLkKjxOX/sgeW&#10;PTCrByK3yXy/ncVnadxXE1kdGy4kT3Hm/bxLNcZEcceYMy/9LfXvy+nr4ux4H3ZLy7k1pzdOoQP1&#10;5HbuM3d3sunfznOSy+ZRY8zOuAejEw7rnRmmc8Hrdn67nRnyfjkZzzRMGfTHYEBwaNDv4Mnqd3KD&#10;JcF7uETnkydbfGEJhzMNm4byxFmaXd8H1kvOLvsszkY402B9xdqUuSCMXv6WPbDsgcU9QN+KPuaO&#10;OrKV/sgNs9YyzgBlXRjWMslvccmTmvcSn9fqpfUNr3OpWfsIBbejt2ftoR9X72Y4l+++E7pRMJlt&#10;TLM2bv07a+Hwmy5F1yKr8840PF6NjznnBDOajhcdUFz4Opw9apjNn37I9Njc8h30RGE9/q8ud9dj&#10;1J6cf9ZJzOsyL8oYGdflb9kDyx5Y3AORwWLZgyVDg7O9zJ3ljtwNxibOjuqevc6aNWX12NH04t6S&#10;X19OX5c9SX/u+y9r6Vkjr+cSCk73/SR+cDo2P+f93QFo79H9KKEFNEKPZsZ0ws+9V86QOXPmnVxy&#10;nFyHo22/OvcYDxgL84LBsJY7OnbD3rxbvTpNsFrcfv13T8bQ9Wx71i3YxqU3xmz5W/bAsgcW90Av&#10;e717DKNhFfnlbpBFRlzrVuRs5DFd2q9fM51Xgx4Tl/g8r5fWz98YBYtTivka3GX3YfxCK+5d8Ite&#10;zd1jtTOp7p/9xD99rOKt80NZ+0YrccPuHrO5vYfufS93a9jfJNutU6NHMp3+Rc7DWDoYd7BanGHt&#10;up0lFke4eMHn+K0nNi3zbmsRbeyGd+mG56X+jG+Wv2UPLOoBMpds7WXxovjjMJgeeQujnen0iywf&#10;x++fl/jc98budxujmFml92sr9qnhbn55Ty3PY3tMU7594o4ia53wOnsiaAYuw+rgdTDbs7NG7jH1&#10;zpt3f4LFMDaGX3Q0+OyZ7g2T4Xnu1wjOS8d/iaHru56feZS5FDcTfOZe/pY9sOyB+T0Q/Qc29/oP&#10;dy+b5+UgjrviyNFgM5tetjwfNq/Xbn3+xnE83p5DF/3czbj2tDKvNcH95J08+MuDDv7xj36k6rv0&#10;5WAy+kFPmfP1bmFwHV7nW4vOmZH5cBn2w2n4CxPyzhE/Rhw6djODTrfE6fXC6fR3vuvS7ic1fzJn&#10;Wv6WPbDsgfk90MtkctMvdtyRs7NscdxtTW4y7rAgZyPbhS/6LfXnRb2z+8L6MZ9Vah8emmFnfidN&#10;xfKCuz0O84fldb5W7P4nz+TF353qvklmz8T5MeswaAlO92viobXgOdsd6t7t8e41uR/9mQ2TYXXD&#10;74bT/Nv6+Hrh0jJfcx46cr/GwU+/p+97eli6lz2w7IHte4CMnLVXPMtv+9STqj+Tmb28nBVvlt8S&#10;n2f1ysb4wVW0wASPx3pyxeAVvE0txe3jcfe4m3ix5ZH84ze2g93uvvF+tndy8k4tWqNToze43dOd&#10;MH7e6Trs0EPrN1bat7X673I0HRteL/Xm9Z1HwGdzoZjW38O+xHjcl897Vg/0ciJz/fhZY/N+iPuG&#10;zdXds5B1Wra7J83l/ZIWZpEvTO8vnJnmvUBG2a992wVvqnP+Xhewbuebi3/9ljfXvBfJsEVhNfFu&#10;+tMP7rlIO2LvaPFLfN7Rntoz4/V73HD/Xy+9pH7LxB1V8DfvcKG7rIdzZ2+793PuzL0pvk39ipe9&#10;dLo/HZ3OWnjTsXv8zj1n7RtddMGsofe6ORyyn81Pfp4b/rc5AH9+MYmXPXP+0sW/jxc3W3hMw7r1&#10;xdf1LmPPpOplq9MDwVHP3Fln8x0l72Hi5cy/gy2wmvEMpxnf1ZI++QWnU07wEj6TI3kWHsz2XS+y&#10;IeVkzc68IPKEn3DPvvckbfTY7Of29Uj5G2WryxKfN6r3l+VeWb4R89EP/8PEHrTvgYaXex4OH/dY&#10;zc9ezOGPeES9K8PdKd4Lyx41bG1Yua3iOHewm+0eH1itXBiWNduGyXn367yaXzC45QdP2/0oLW5b&#10;e5fennjyaWvC7Y4w8eKfNPKS73rj53rnv6TgPbsHehwNZqLrYCQb34avYbFnNqxkC8PvvsHmXiW/&#10;fj3Pc/KGV8FR/p6F+VbhWD5kDpC6jJ/5+6aAnzyC88lzXIcacTf/LfF5N3f4srjKU2g/fOZMeXjj&#10;ml//un7n2zuB3tezzp05b/gMT3NH9/ZsPozP+Tl7Zj3d/SkvPevMup8dXGy4mW94tXsyh7NmTVem&#10;X+dsuHNrsDV42/Cu4W3Oqcm74e3wXcbgNVkVXBcv9eAXnXu9MXQ981+S87IHYFtwM/djmTuHX8d2&#10;+Dd28Nuz7w5+/3uX1k4NPpIN8veLnOjd5vfK6POjM/dyI3OB1EX9yAzywjfg8h3EPl/ujf4t8Xmj&#10;R2Brl4+fwl/4mFn0w5NZb0pc3531zXHY5k7J8Fj4Dy7jzfH8OXwvnu9B0M9POenEel9aMBN2yRdW&#10;Nn12wOhZ+BlcFReOD+mGs1Qt75ZPsB9eB5uDl30d4rfZ7EVjuQzbM3ogfH15+b5xeBBP4jvPeJPh&#10;l7v+w8PspOGGlw99yMGTy/7936bz98gBcqHHbL3r27xwNrJgXv4pP+V6TtnKdy9Tj/23lpFb4vOt&#10;ZSS2Zj3wU+a+fQv5hdd6//A6v54vPffvbrub1DkPd0O7Gxzv47fwXfgQ7/Z+eBEv83dmnK7tG57u&#10;PjOPhplwNBg7YOig+8LQ4DL9mm4Nf4PvsRvWBu8bnsP05N308uX+s7Fd/jZ3D+Dnc85+2XStGp9l&#10;PTnrXJlH4038Fx4Vlwl+49cXn/aiaYdETigjJoG+JRBdPemTb8pI+eH7hPeY7nvp+fVnZuK3Ubb2&#10;LvefN6r3l+XiPevc5saZHweX9U7WwLn5j/kzc15pv/3Nb0ze9Y6317NjMBsfBpvx4l3vcrepTPAc&#10;viYbwrN4HG773qbvpfqOsj0q2A1b290c7fsgcBjWsmG6NXG2e1X4Z408ccRLGvGW+GxUl7/N3gPO&#10;Vf/ql7+sPBRMDD+F//DQxd/+Vm0qnnY2yx3CwUjx8V7SycddSPg9+CxxP3//1je+XuMro0/r2dzA&#10;/YXOo0ovnfn8ve5572kZ0uD91Nm3ACNvIlc2emyW+LzRI7C1y+/5KS2NH9pb65f3LhJP2qQL3+Kp&#10;8JV4eCth3u13dgRG2pP+4/v98ZQ/8TD+ZEeOsOPuZQe5gY/thzuT5iyL/XHzfN+XyT3jvtE96NP2&#10;o4e7x+ExA5ujg2+29exxfTMuS3vP7AH8iN+sDwdbM+/Ns3c18qu8WvBSGnqqe40Sb7w27Sy2/Ptf&#10;cBN/2ztK2nGZxx599DRZ0pAbl3zn4pqmx3N53P1u96h4LtFYvkwz2gCHuiz15w3o+D2sSHSGT9g9&#10;z63l7sOlZfz4x51nfn38GrH8hT89kw/uFf/Mpz5Zv+/m7nl6Mp05vN7bYz7uw3p3MN63s3M3mnyf&#10;WfRvZ8u9A/rKc16xciZsic8Zm6W9+XsAH5qT4oHwS+a4ns2Rw6vm25k7a7n7jMJH0pgTJ638rv7x&#10;VdO5d8/beNo8WVpnypIH2zz6C5/77KqOVWbWrfF84qcsabh//r9/VtOpb+q8KqPd/KAO643P6Vdn&#10;5Po2Zz8xfvrcOmUvT7kznr2OpJvG8rh/F3tP/X7VbiafLVFcpbGC286h+U62uw3oxE845eR6p0rW&#10;vyN7+nXyns8Tzg+vZ9+LP7mTfIS7q+WgAw+aPOgBD5wcesgh9ftf9sFPPvGEeobN/WvuP/WdZTjv&#10;XBs76+zWyfs7UenvdFu6ee4qb++Qre/+9pYggGUjblEPkN/Wht1D9DdvvaDeSeJOIXTuHWj8NV4H&#10;I9Mj981hx2tV4Str0lXnLvwZXCD3ryzvZeKr4Kv4nuEsXdjv2muvrRiRdGnkxz7yoVo38aSXLrwJ&#10;1/u6Jc1G2fpovfG5b1vGRB/oY3Mr93+z1YPhJicv/tY3p0mDzcYmP3n0z0t8Ts8s7Z3pgdBQaHOc&#10;1jzy61/9yuQTH/9YvfPozNNPmzz1KU+ue9TkQT/nj1zp7Vmyh1yQto9HTsT0/tziZ14Aw7OGDoth&#10;co/V1tCdX2t3ly/xeTyey+f16wFY2L+rhLciu/FXj5V0Mb93/M3btuMDvAEzvSMZ/kyt5WPPCl/g&#10;lzGveKcSNvhN7YLv9bnYznz3aXqMxztjHb8m3KA/bV1vfFaGPmb7/eyn/zF52qlPmc5ZInfSZ72u&#10;4Y4pclFaxvimz+XVj90Sn/XI8ndLeyA0FVlCvoR+ExYavPaaa6reDb8//MH3V/x2jtXeGRzt7zSN&#10;LMmcPfTOnyyynscE7+MffM+zONbRfWubjmxvne7czq+5U2X4hsV4v3hXP9/Svl6m3zo9YB4b/ois&#10;T+vwS/BYvGC28G9+/WuV/mFyv+aEP9C5n3wZPClverVwvBG+ig3vo6+Hh1Ovmln5cxdhz3/ceNB5&#10;cGnC34m/Uba2ric+R7alfd5rcw4guoP3WfWJs3bWpD07xzPeE/zQB96XLKqtv9W97/clPq/qouXD&#10;DvTAmIaShH94NHF6WuPOMxtPRxYkj7FtTeizn/5kXRd69/98R/1GO5q1Vn3WGafXOStMZ5w9e/pT&#10;T628YW3btznJkPANNz56bjl7Q0+G0XRmhj7tXjTuXY3H4/zGbVw+71k9kD3dtBrP4Be/YHCeE4cd&#10;XgmPZX05mOk5OvQvfvH/pnkmD/s54o7nrvzed+F7arTwZ8rr63HkEYdP8Tn6s/K8e+0Xnq4PG/in&#10;zuuJz5rmTig/86b73Os+tV+cr7u8YHXGJ3aNWP7U6//+n59X2ZU51UWf/1yCp/3Xj8ESn6fds3Ts&#10;YA+gHwb91Xlz0ZXRXk9XsjL3j1/m5ui553nxPI/9kk44d559nzN+texSBzJNXcZ1kMa7Iu5ZIYP6&#10;NSe8ZF2uvc+1bfK617y6nm1t72Yv17drJy//1rUHQrMK6c8Q2Y8+/YUvmGIh2oWH9F93GITencEQ&#10;Zm2on4PCX/ufwXp8ghfsL4nfG/kyn/nkJ6a6ehodns0zXdAcgOkx3jlwfO0XPk2ajbDJgfXG58gr&#10;5270p7HwLUJ3reYcQT8m+sz5mC9d9PkqM5195eccgV/WSTJW6bclPqcnlvaO9kBoiO03iycT1s8h&#10;g+fjcqRP/ISFXvu80f//Z+/On6w7yvuA/ylxArjsSuJUKjFQrtj5IcGmQlEYEoPZbDDEbC5ScRJX&#10;EjssRqANxA5iEYsQ2hFIQmhBEhJakZCEVhBoQSxiB7GJXTfn02e+9+057515511m7izPqerb5/Te&#10;39P9fPvp7tN3vUufkY646T+eH3roB/M+oy9lTs98nf3hODlr0lNddzOe16tD+e1+BLTp6NBpp9zo&#10;sGS2Nopz8WY/Fx1etQ/ze9/7bps7yjcU9DHtOm0b32r70k0fws/h1aQlH6bX47yB9Fvlw9PSsr4q&#10;njIyyYvbt7/1zW3z4pR5M/kZFrnMW6u/dTruePqVw/lPZFVwzzjJ/5n4ltyZcfSMvAPfwedS9sTj&#10;VvwcZMo+WAQy/td/tale1uQ+dp82txhtmvGcduk+fcD9dBwvreSXuH36udcvhEta5w77Y3xX0n/3&#10;Sc6QO3Rp+8eyLr0ZvJw0U76y9y4CfVuHQrgvMjttFEfHLfzLzXcLzi/RfvswCXvW6ac2cNP2PeTb&#10;KuEZ6YXX7StOX9LnXCmje33Q+k/yElfeye/+Yd/ydrmUfzP5OWMXHGuMD5OvfuWBNrdh75dLmITz&#10;nPdgHx6dm2xydjL8bv7sjYLM5VyPe/Fzg6Z+DgKBvt310fp2lfv09bTPPjy3qbvwiRt/z0mnjz+9&#10;T7jo3hm3Cpd8/J/eU5/ylPmZxmQM4+w0unTx8xTVet5MBLTZft45/MfWLnsdtedD/vTe8CM7ujE/&#10;c+Eu/SZt/0+e8IRV4YUTh7HHqb/6vpN0chapvHIuirjKpV8lHJuMMOedvtw8h5/0Y2XKfeOyga/y&#10;nLCHaktnM/k5dWJnzKSs9srY85KL/7RO/sMI57qyP8aahSthkz634mco1LWXEDCfRJeNbCOn3NOt&#10;rQv132GN31uN55Byt48sHE7nHs9AG7+r5r6R77P2EtZV1/0RyFotH21myrP9czg5bbT/tkGbDX9n&#10;v1HaNH4OP0Te298VPklc6Uvb91P91Y/BxWeMXxOvt6VhXdWVvJIWzsHFDL/wdvyndsbWU/eDeS5+&#10;Phi0KmwhsP0QMF93+aWXrDq7NDLQmlLOAbc2bV6PbW+38xHJ1P6sE8/8NrqGvf3QqBItAwF7faOH&#10;4jvtjz6adsiNCV/j1vhl71Fs4fCk+O6jP/d8+ZQnP3kVvwoXfnfOUB8Wx+U5tvYtTvJwH+P8jYTr&#10;xx/heX7SzHOPN05O3N79UO+Lnw8VuYpXCGwPBIznXQ8++PX5PBNZFXnnm5GsF9OZ7e/2jXR4mR1/&#10;dtavhe3dF91vDwSqFMtG4JX/8PeNH/HdlPNwrflPc6a5vnj3F4b/u3pF40T6ctpqODLcrR2f/P6T&#10;Em0+b5r93gmXeGzrp+HIcCmec6WvHPu6o1reiS+flPuuO26fxxdHXLybuP0eEvyd58yjyzPfZoh/&#10;OFfx8+GgV3ELgeUiEJlBJkQm0Tcia8gr8pHe4luJ8eyScY6b/oyDmejS+UbL/Hf07kW8HLfl1r5y&#10;3w4I0CPpzn2b6/nSedcunKW9Ch/d8+wzTms8qY06b1M8nOnZvTQ/fPIHWnxcJb523u8Pi96cPHF/&#10;+kL6Rfg5tnNyE74fy3LL/Liw4ssz/QwXtzoMa8yuuLvPPvbwNLfDvZSh1p8PF8WKXwgsH4HIHiWx&#10;T8N/2kYG4Wdyz5ne1plxr7nso48azzGhMzPmtvmxmfDwWvbya10lWDYCtw/7qaKHhlfpw3jP/705&#10;x8KFk/Fd+Ct7rvyHa+Kx822/e2mce87ZTYftedKZPbibf/JOW3eWX/hZvuFo97n+57BfPOEz555n&#10;33tN4yQ9ZXDemTWi5J15feeW8cvVc3fcDtYufj5YxCp8IbB9ECDz+rm0cDTZYO+Y71bIncgy9/aO&#10;2b+Kj6NDW4/Dwc4Lzbw2GbQWL8d9+yBRJVkWAr51ThsLx7HxprPq17u033e/8+0tvvDTPWPSuf7a&#10;a1oS2nbat3TDy2xcmTwv++TFq/g5cXq+dD5J4mRu3bN7ZWKml3HGy//mZS0feYXXM7bgJg37ml39&#10;2vU0rY0+K3vpzxtFq8IVAtsLgewRzRpYZJFSxo/87P+XnjwjW/w/F17Gydag6dXWpqNHT9elw8m9&#10;vb3QqNIsA4GcOxXO0rYy1+0/rdImw4/RRcOB11591Ty8NGK0U+ncd+8982olbtaPhe35WXjnaySc&#10;iMk/ejs380iJh1Nzb968jyuscjpjtJ+PSv1SZ2lwkw63v/sffyvqYV/Fz4cNYSVQCGwLBPRlsiVy&#10;UKEiA7/ywJdnz37mM+eyjwwhU578pCe1Pd14Od9XmffuOXi9+21R8SrE0hDQ3k5694nzdhXeCt9N&#10;915nzJi2Kv6nr7h8Hj/tMul4dmnTfbuWZ/TX2MIyzhTNeDX5SSP8LE9r3ZmXzvdc9GBnq/Rh3Ssr&#10;fT16tjymeUaH1qdSjvec+I5VZU6Z5L/Rq/h5o0hVuEJgZyKgj+d61zve1uRHL0/Imv8+/M8GHqaX&#10;9GvR03PI8o0WLvd9dF2FAB255y7cGp7CUS48mbHilJ8u/Ph5rU1G9wy3S8PZYi5x+nbszM/woPDO&#10;KEub/j9/979anPChhz7u97//vXlYeSRf8bXv/F9E4jn/O2HCzf/5qU9t54ILo2ynnXJym6PqefsP&#10;Hv8H7azQ1Nv4IuMF5enHG9JZdAlX89uLkCm3QmDnI9DLAHKCDnH1lVfM979GxrGdO4Z3R/15PLtk&#10;XIs+vs1/423fT/duOx+hqsHhIGDvg///xV/4DU/3a8j/+MpXzJMPR/p/aJwWzsWJ9kSkLeL3cK21&#10;l/Bs4kvwu9/59nwMIGzGA9KQf9q9PNyzw5PZM97r6OHpC84/d15eN+Iau2bPGtv/0Sy6zFH5/ydp&#10;SRsm/qcuV8qU574+cZvaxc9TROq5ENh9CPR7yMiq7B0jSyLbyDlzfubycDSDi8d93Mc37rafjE6d&#10;/7TcfUhVjQ4WgVtuumk+3xteDUc9/nGPX5Vc5pg5aof+e0GYtMHY4U77oRNH+MRjW69JfngZH4pv&#10;jOCMEXyIk3tedJ+zKDMeYGeOm+483deFjxNW+hddcP5cH8efKRfd2DpRwtKlfcflMsaY8nHitQBr&#10;/BQ/rwFMORcCuwABMoAhp3r5QOZ5vuC8j7Uxf+bvMj/33Gc/a64n4+gY317Rd/Azt7r2NgL4jnEO&#10;fHiJjcfCsdaKc4UrM8+b/9IIL4djpeEMknxTnPhscbXdft1b+HAsHbefFxcnbf+SCz+xqpzRc8Xx&#10;nZe0e950n2+tUy/nALW5qKFPuVIXbua51YUxdjDfpM7Jv0UYfrglXtwW2eLV/PYiZMqtENj5CPSy&#10;Rm30d4YsceFp83K+NyGr8DObHm2uzhneOWuM3oybzXOP32MVPzcQ62fOlb0+2987K+zBr3+tIaX9&#10;nXHqKcM88dMbh2VMmDVsHM1kbhiXhdclkGf/bdiPA8LP4VFt+u7P3zVv6/ZeZMwgXvIVnvno2WfO&#10;36Q89B02/VnYhL/4wgvm4fQjPJv5KXNO6p3x7quG/2fseThz9RLIvMA8sQU3xc8LQCmnQmCXIUDO&#10;RB6EmyNT8mytL7ItMgtP03Hwsv1j5A+dAFd7rmtvI6Dt4LGf/PjHs/x/c9pO2lK4Ku7huTyzcWv4&#10;2bPvCnxvLG3zzWmjU7SPevWrWpvNf1hKG/dKI/ni5H6swD3hEsb/YeFC+SWv2NZ7hBdWOubVXfpU&#10;fzmD3HksqZd8fXuWq/XBAS/5bPQqft4oUhWuENh5CBi79+P3cLKakEWuXl7cduvnmr4QGROZSX45&#10;08R5Y7jZ3La57roKAQhoV1dcftmcm3oOzj1+C3dyi3u4k1/02s/dfNO8fYYn5ZM2m/sH7r+v7ZsO&#10;P/e8rO1KO3niy15/ThvnpuyujGHdh3+dd5KwSevPn/5n7TzxhHfGwGP/7WPndRLOmQP2wrkSrj0s&#10;eI771C5+niJSz4XA7kGgl2eREfp87lNTz+Fxe3acTRLdIrLJfLdzEenQo/5c89vBb6/a2lc/vvO9&#10;M06ctp2eG9OewssJG+7LvHaf7lr4yt8eivBu0pIHnTzP/JOffOIunPWaXDi57zN5doZ44otrbJHy&#10;Ju9+jCBdWBzuVfx8uAhW/EJg5yJAFvX6Sfausu1LcWZSZFl0nqf96Z8O/5/76prf3rmvfVNLjpfC&#10;wdoOEy7j7j5c5xmvxd93zeHHtMX1Chsd96zTT13F0Um/X5OWlzac9oxXtWNX8sz6sGcm6dvXnf/M&#10;Sh3YScu99PL8v4f/ojkSV/HzkUCx0igEdi4CkU3s6NBqY27OuYbOe4i8I4cYcu9v/9vLd26lq+RH&#10;BIGM7fAaPtV+tKO77rxj9vKXvbS1FZyl/TDhr57b8Jr/Vnvgy/fPyzSd35l7TG7kFz3bN1XO7ezT&#10;dp9zwjIGwNG+t7ZHzZU56KTDzX3qFp52rslLX/yiNp6Y5pFxgLr4xsrV96XmcAg/xc+HAFpFKQR2&#10;EQLhZ1XqZZTn+F35qctW7f8h68iiuvY2AuGuRbquNek7hv+28r9O1mvxYrhS23nZS17c/tv5vnvv&#10;aest0tL+Fn0rvB7K4mVc4N7+amd85qwQXMrQ063L5HsvYV2xk2906D5PXB1d2nln9mEk3djmDe68&#10;/baW3kbHF30ei+6LnxehUm6FwN5AQP+PfFJj99GFIo88k08PPfSD9n9Y0RXIpbr2NgJpI+zp2A4y&#10;3KOH5rlHTJykIdwibuzDr3Wv3UprWobosPFLW2eHQ+UZ9z4+f7p1yi9MTB9OmTzbw84/9Umaa5V5&#10;I+7Sre+fN4JUhSkEdi8C5AA5FJkS+RP5xo6bvarmB81V1lUIpF1AAjcx4dlwlef+2wHnjkTnTpjw&#10;pWftMLy4EYQTN2H7MiUdXJv2nXCxU4Y8s1OHuKW8eY4tL3n0abifxk/4g7GlXfx8MIhV2EJg9yHQ&#10;ZMygL0yvyLPwdPy/+pUHZi94/vPyWPYeRyAc1cOAM3vO0pYYYZm1rnDtemH6uHgzcabttA+X/Be1&#10;6cSXJ/88i58yJy11WpRP0hVukX/iH4ytPMXPB4NYhS0E9gYCkTG9nCSD1tIj9gYqVctFCOAspueo&#10;hEs78sy/f8aDPYdnDic6b9JYy05+PZ+GP5Nur8cmXNIXJuFi9+099+Kl3LF7t5SPX+IkXPwOxZZW&#10;8fOhIFdxCoHdgUBknNq4758js1LT+EUGxb3sQqAQOPIIbDY/K7E+baxhP4l9n6677ri9fU+W/9oU&#10;ph/nkAsv/KvntzNYjddzjvrNn72xpRX5EHkhzRPf/tb5d3TOXu39+NdVCBQChUAhUAjsFAS2gp9h&#10;gWPtqe/3fOLfFzz/+bPLL71khnc/c9217T+v/afYy//mZbN//4d/1L6/FF84+1FuuvGGOe+aP+g5&#10;uPgZUnUVAoVAIVAI7AYEtoKfo+viZhydNQB7+N75tre0/+P8y+c+p+nI9pzgYv/r/eX772sQC/9X&#10;z/vLdibCjZ+5fg571iriUPwcJMouBAqBQqAQ2OkIbDY/49D8hyd+ZrI2H/esccU9mNKNufE3v21u&#10;3BkxLpzNr/TnoFV2IVAIFAKFwG5CYLP5OVjhWPPTzpDp15mne0HxbvTtnntf9F9f2Lj9huuva0lK&#10;j38fpvTnoF12IVAIFAKFwE5HYCv4OXxLd3YGqys6c/x6HHE2k/3pwpr3Fr+f3xan+LlHru4LgUKg&#10;ECgEdgsCW8HPsKIX41dz1NF9uYdfYztjJrzMX1iG/uz/POnPnpW7T0fY0p+hUFchUAgUAoXAbkBg&#10;s/k5vMvOf73jVVfOe+vXneMXvTp+vpfC79dfe82c04ufd0MLrDoUAoVAIVAILEJgs/lZnuFaujOO&#10;zf95pTz8mSnf4vSen8W/+tNXtnCJG/73XPpzUCm7ECgECoFCYKcjsBX8HD35cY99XOPnbzz4YIMN&#10;90ZfXg9H8X1/Rf+mPyeOshc/r4dc+RUChUAhUAjsVAQ2m5/7/dm+kfL9s/+/ydXza3iXjZOtWbt+&#10;9MMfNl6ne/uPu1zC9fFLfw4yZRcChUAhUAjsdAQ2m5/zLZV8/E83jv2TJzxhvvYcHRjX4uOeb8PP&#10;r3nVK1q8l774Rc2/D9PfFz/v9NZY5S8ECoFCoBAIApvNz8mHTff9/X/z++0csGc+4+nz88GiN+Pa&#10;rDcL/51vf2v2ir//v42bs/bMvefk/r74GTp1FQKFQCFQCOwGBLaSn+F16y03z/7V7/3rOef6bsq3&#10;zfZnO4/7L57z7Pl5n3/07/6whaNzn/vRj6yCG6dH945H8XOQKLsQKAQKgUJgpyOwFfwcHVdeePXr&#10;X/vq7DnPetace50rFmN9Ov+jgZf/0xOfOLvi8ssazOa7e06WbtIWoPh5p7fGKn8hUAgUAoVAENgK&#10;fs55I+FSebrwtPNGbrnpprYv+9qrr2r/T2WPtv+yuveeL7Vw2eedeEmv52oBi58bXPVTCBQChUAh&#10;sAsQoM/6z8Z8m0xnZbI360BV7DnR/HSucHGeN8vu8+nLUv//vFmIV7qFQCFQCBQCW4WA75H9/7L/&#10;hnK+Nd11o1fPicXPG0WtwhUChUAhUAgUAusjkDnjaajp3PHUP8/Fz0Gi7EKgECgECoFCYHMQsM4b&#10;vs43TwfKqfj5QAiVfyFQCBQChUAhcPAI2GtlDXfKx3g6+7DWS7X4eT10yq8QKAQKgUKgEDh0BPBz&#10;zvmSSn9GyIFSLX4+EELlXwgUAoVAIVAIHBoC0ZPp0Ey/J/pAKRY/Hwih8i8ECoFCoBAoBA4PgejN&#10;xc+Hh2PFLgQKgUKgECgElo1A6c/LfgOVfyFQCBQChUAhsD8Cxc/7Y1IuhUAhUAgUAoXAshEofl72&#10;G6j8C4FCoBAoBAqB/REoft4fk3IpBAqBQqAQKASWjUDx87LfQOVfCBQChUAhUAjsj0Dx8/6YlEsh&#10;UAgUAoVAIbBsBIqfl/0GKv9CoBAoBAqBQmB/BIqf98ekXAqBQqAQKAQKgWUjUPy87DdQ+RcChUAh&#10;UAgUAvsjUPy8PyblUggUAoVAIVAILBuB4udlv4HKvxAoBAqBQqAQ2B+B4uf9MSmXQqAQKAQKgUJg&#10;2QgUPy/7DVT+hUAhUAgUAoXA/ggUP++PSbkUAoVAIVAIFALLRqD4edlvoPIvBAqBQqAQKAT2R6D4&#10;eX9MyqUQKAQKgUKgEDiSCDzyyCMz5je/+c3c/OqXv1yVxa9+9atZ7/a+97xr9lv/5FHNvORFf70q&#10;bB6k5/rlL3/R7MRPfs3xEH+kkasfK/z1C1/Q6vLrX/+61WWtvJStTyNprWWvlc6Bwife1E487j3u&#10;nte6DiYszIP7NL28l6l7PRcChUAhUAhsXwTCIykhXp5yBp59yxvfMOdnnBguwIs9jySd3t6Ifx9+&#10;0X1fpkX83McJH4mT+vTx+7ApGzf3venD9Zy66L4Pu+heOWDVX/Li/otf/Lx3XlWG5CXs9OImzYyD&#10;4p98UvfgEf+yC4FCoBAoBHYeAmQ97o1sxwHk+zve+ubZox/127NH/bPHzF7w/OfNK4YLfv7zn7Xn&#10;cIi4rvBE3Lnxkwc/6bLD9fzXuvo0FvFz79/zUe6TXx+uz0u43s+9OLjzZz8b65fw/JiUX7ituuSV&#10;d7RWvnl3a/lvVVkrn0KgECgECoEDI9Bzz6LQi2R5eIj9zre9pfGzOe5+fju635TfFuXBrfHzCn+v&#10;FWaRe1/+Rfzcx+nrEt0ydenDbfQ+cfsybDTuNFw4fZpWn8fUb5rGoufE53co8RelWW6FQCFQCBQC&#10;m4/AejK79+vlfErF7e1vedPsMY/+ndlvP+Z3Z8/7i+c2r/DgND4Oig6XNGLzm16L3KZh+jwW8TMe&#10;FkaZek5WjuklXHhS+NRDuPj1+SU+t7VMwqxly0OefbruucU99ylT3KUZt9h9OmvlyT3lXS9M+RUC&#10;hUAhUAgsDwGyftHFHYdN/cMdiYOf6c7mt1/2khc35+m8L0f8Ia45a2l67q+kO82vD7PoXrxci/g5&#10;fmvZ4vdmGk45F5WJ2yKOn8Y/mOf1ysEvHCxvz67Yi/Lp/VKH2IvCl1shUAgUAoXA9kGgl/UpFTe6&#10;Zuaoyfmf/vSnswfuv2923TVXzz72kbNmHzjpPbN3veNtsze+/vjZa//x1bNX/r9/mB37uqPafDe/&#10;k9594uyUD75/dvYZp80uuuD82TVXfXp2z5e+OPvmN77R1qXDbfKY8ggOZ6YcnvL1dh93LX5OXuL1&#10;afZx+zT7+6888OXZV7/ywOxrX/3KzL063H7brbMbrr9udvWnr5xdcflls09d+snZJy+6cHbhx8+b&#10;nfvRj8zOOeuM2ZmnfXh2+oc/NPvQB963roGRMDBj3IsnDWnB7uILL5hd9smLZ1dd8anZjZ+5fnbb&#10;rZ+b3f2Fz8/uvedLs/vvu3f24Ne/NvvhQw/tN15Yj4s3Uvceh7ovBAqBQqAQ2FoEpvxMbuOz7H/C&#10;r+9/77vbPu3jjn7d7PhjXtc42b7tt7zxhNmb3nB8e37zCa+fvf7YY2YnHH/sittxw/PRzU+YxHvD&#10;cce2PWW4FIfjnVtuuqnxduafDwaBnmcW8bNxxYMPfr3x65e+ePfs2quvml1+6SWzSy++qHHgye8/&#10;qdXvve96ZyuXer3x9cp+zLzMntWrN9wYdQsGxipxT9g8r22vjrMvXNId81YeBn7CwBv+Y3mPb34j&#10;3se1NQf1wfcZHxlLqD8ut2/vULA+mPdSYQuBQqAQKATWR6DfA42L6Y/RJ3tuk4p5aW5fuOvOxln7&#10;+GDkipGHRr7ARThi5KSRY8JJOIQRfx93jXwmzD4OOm6FY06Y843vqemiD3z5/nnFlCm6oLLjljwn&#10;kDA4yVy79fAn/If/OM9bGUY+M6Z4Q7tPuZQz5Y7dl2+124iDtJKedGJgkXRj92ktuk/+wo9jnjes&#10;pLEP5ynvB1v4pnzs1emP46a+HGOYMZ+3vfmNbTxCX7/gvI8NY6TPNu7+yU9+0tpH3zbcN9wXrHfA&#10;3/vQzqZx8m4W2cJqi660yT5+2uqiuOVWCBQChcBuQoC8m3Ka+vUykq557jlnz976phOa3Kcv44Bw&#10;8chJJ8zec+I72hzsx8/9aJt7vfgTH5/FmI81zxuDb4W3Ti1+OCR8ROcLb4xcgsdHPlWOUz/0waZf&#10;51ut6TvJ+EPd8JtvvXD0k5/0pDZGkGbPUfu47ehOPx65LPyaOOyei0f+PKHho2w4Tr3sYTfXH50V&#10;5yn3aaecPPvImaeva8xjf/TsM5txf9bppzZsP3zyB9pct7kL8wzSNj/gezZ5K8u+eu0r/8jl/fO+&#10;cVHGAsGX/q38bO/Fu/C+pf3ud7696d+XXnLR7HM33zT79re+OR/Xwbrn0ryTqXvamza23nqFcPg/&#10;4ZNe2YVAIVAI7GYEwl/kafTmaX3Jxbs/f9dcJyTHyWv8g5/OOPWU2Weuu3b25fvva/PQ5outyVqP&#10;tS4bwy3u/Bhr1vy/8eCDs69/7att3fT6a6+ZfeL88xoXjfwwzinv0wHxy3GNX40RwusffN97Z3cM&#10;a7+4upfl4Qpp/e7v/PPGz0/84z8e1sNf29KRLt5RL5wmnDED7sOf1tMvOP/cGS4yD2yN99Zbbm55&#10;Wd9Vb0Zdmhl0e/q9+qXO7OAQW30PZKQvzUVY9m5Jx/x0M8M78B6Uy5r4XXfcPrv5sze28pu7V5/z&#10;hvVr3I7XcS7+3bdGMc6Rwxk+wT5jExzOzZ6CsT2Mz/y9B1hZB3/ooR+smivHxXkfeUfaXcaB07aX&#10;sL07N3ETv/er+0KgECgEdhsCkY/RQyMD8Tc9GH+RvWQy/iK3L7nwE20PEi7CD3gHl+AEz3QqHDHn&#10;jBXuCJeww1u9m3S4J137nKxB2wdF9zQukD8z6nbWV49u5cPV7umm4vWXcttHbn77vzztaW3O9q47&#10;72hjgpTZ/jRjBWVWjkXlCueuxb99nHl6KzikbuKqX9Jaz045gqP0+3T6cnCPEa6P05crabDV91vf&#10;/EZ7V8H6yk9d1vaewdtYxbsPd2sDnsdx0eq1gVE/H9+Ne9ztHRnrGBPcefttba9a3suide5FnCy8&#10;Ntpzcn+f9MouBAqBQmA3ITCVkeQg84MffL/Ny+JD8ti8KZlrLpU+hgdwTHjGczjAPc4JP/R2wkzt&#10;Pv48/MBrLY+B83H9d779rTYGoMOaKzd3rGzGD+ENuiDuyFjiphtvaDpc9Od/+luPnj332c9qZc34&#10;IeVV5pRDGXru6/1SdmF7E/fYvd+h3OP3nuOlqxxzTLoxj/T5KXP4P+8nbvxjEj7PvZ2yhrf53Xfv&#10;Pe2922t//sfOaWMgmMI74yW4B/tx/WNcJ8j7wdfeizalHRkH3Dvo9/kWYMrBGS+mv/Ffi78TpuxC&#10;oBAoBHYLAmQjjib7Mjd82+duaZxHxjLhZpxIdtM36V24A2eEB/gt4rxe9vf34bHYc17GOwt0TnHl&#10;Ibyw+YaInKfnkf/jOunRjSei9yk/Lv+X/+L32hr0nz/9z+Y8h7v6NKWb8vS2MH3ZE497b/o4ue/9&#10;+3RW1XeFa3u35CdO0ur9e95NmOY/YJd5AM+Jm3Ik3aTFvy9XwnkH/BLefeKwjZe4+Z7LN2Xah7V1&#10;c+awZ8LJeDxjqczHsO3d18Zwvb1o+Prhhx9u7THrL/pa5nTc052FqasQKAQKgd2MQM4LiV5izXWc&#10;pxznLl/zqlc0Xceaa2Q4XsDJeY78ZscPh4c/2H2Y3MddOuR8uCBphKO5Jy/3mZNNvPA0296zzHtn&#10;fhUPxJjbfuYzntF4xvgCzyhP1o/lLY9wkzySd+qX8gm3nkmasBKHSd2T7np2wiZuHz9+7LXSWKV/&#10;r/B04klLuTzDIOOt8Pq0XvIQPnH4cwtfe0453cvbfLZv1qzhGz/RnXHx+F7G/fI4m3vej3vjKRzv&#10;Wzfr59M5Hv0x7XU3982qWyFQCBQCZB2etp+afMy+H/f2D+fbWLIZb5Hhkcdsz5HrkdkJE/m9yqYb&#10;D6bx42DjiKxdR/5LR9rscErscMv3vvudxgnixK3NgQ/PzuvIGSnGG/Q3utqowx3d9nclL/m0scBQ&#10;FvetPEMa8o5pYQYeSzh2/NayW1hxVrgx9RFeHuGztexF8cSVziIzLUcbH6xgI7/Ebe9ipa7TsvTh&#10;xOff3u1KfZWVm7oFd3GCD9szP/PjwmasJh1jKOe2WNumM4+8fHTjZM/myrn1uje+ppdbq/AdQV2F&#10;QCFQCOwGBPo5wsxj9/Wyf9a89igrj248Fv3Gnl/6Cznb7/cigyOnyd9lmfBr9lGT/+GEcIszzYw7&#10;zHsbbzBZLzWfKm7GEuEmdd0O9VsWrluVr/eHr82NO1NNG+zXsK1TG1Ph65G7x31qzla5+sor2l6z&#10;vn3369O5X0vP5i4MY758Gi7P7Ji+38Q/btPn2r8WZMouBAqBRQgcSEbwx0P4mPxj4y96p2+VcDMZ&#10;io/JbPd5poNtlRxfKx/lwq1NX1vR9aKHc1c35cTZ5ll9H0ze4wA6mfraW+wbXjydccd9994zr/Na&#10;eZf74Y/L6OAw987g7z3C3rvC1/1YyvjqmNe+phnvzfvzLu0rcGaN991fa30v2IfJvX6wqK+s5dZz&#10;sTAZCyQ99qK4vX/dFwKFwN5GIDIq63eezWPnOXozfRI/M9b96DTkJl4LZ+Fl85RkKTm6kfndzeYw&#10;ZUhZzGuT0fJU5tjcMo+u7GS5+e7o02S8ue/rrrmqxfvud77dbOludvn3evrGT95P5sq1sczpa2ve&#10;gTVs+86ciaKd2luAm3G3cVb2A+Jsfnjd/kbfXuPN/sKr3Bbx6TScvoJjey7uw+ReWnR4ZppfwpRd&#10;CBQChcAUgfAwOdN/qxKZg4szf2jN2X8v4LDISJxHRnLDJeFDcnQ78Bcexr3KljK6VzZz1O59J5ax&#10;BT4Q3hmldOmRp8cz0Mh3c6bqKF36nPhlNg8DHIyftTO4ez/enfaX99Df29tNt7YWjZfxtfY76tn9&#10;OePj3kbjTd/Cf/qKy2dfvPsLM2OvnFM77Ss9d/d++o5vHJipTpx+1Id3L1z63tSvnguBQqAQCAJk&#10;CF3A+D76ND/nR5Fv2TfrHLDsrSIzcVpscpScxHncyNDtwM+R58p63zAv2nM0t88PPGxt097znPvl&#10;2237jNTJeZn2E5PvdGjy/LM3fKaltR3qt9vHBji4maFtBW9jI/fej/bm3ljJ+2xcPYT1ns3xeFf4&#10;1/szvjLech++5hajnbv3nnM+qb3+zr6Ttn1nU76d8rF+I8xGdHBh6yoECoFCYD0EFskYHGt/LFlF&#10;D3EmY/RF8pF/OJnsck9OcmfISeGWzR/ktPIoozlN/3flbOrMf5LX9hLlvGuy3L5ha87mRvfpz+M5&#10;ltY3cbRzxaS77Prt9vy1K2Ms7am1q5W5i9Q7fjg8bsJyp0uHy/kZizkX1t4J71bbxsfh6rhxz7sf&#10;/cZ3rx8Ib05JO3Funv8F0cZyfop+hpunPJ7+p6/xZ68VJmHLLgQKgUIgciIyxrybs5us1ZFVeNpZ&#10;ydaayT3yqOkqKzIxPMwPR4eb3UdmLstWNvuz1cdeX9/Zmst0Hih5z59sVx/jD4abuuaZHua/J8wl&#10;kNfmS/G3MMuq117JV5vC0eY+vI+0vbSzvC9tzjtMu7RGkXYprPs8s3G3bw+811OG/9C2h8y7Hdeq&#10;Rz0aF/c8zX/k633/HyLMOI7VV05oayLGev7TW58x3/SjH/6w5rJLzBYChcBBI5BxfLhZAua5yZxR&#10;Xh0zO3eY5yYjyT6yLfpJZCJ+w3XkIHmKO9yTqcvmEd9mk73OAldG8l0ZrTmrU7g58j6cra741/yp&#10;MOpC78bRdGrGOZbLrt9uz18bw7XeQ8aH3oV36Jk/o11yS/vzzvgzjdOHd93a7kpbbW13cPO+Yeh9&#10;aw/WoK1z0LPxrHlu47pws/GquRfvP+seOJoJd+s7YxsZ14bcm3PxXyPO9jE+9H8yylZXIVAIFAIb&#10;QSBrz2RT5v7IGroGeRYuINOit8RtWTaZG9lMJrvHtc4lsXZIb844gQyOXuW+r9Na5Reen/q6h0fk&#10;r3lSfuF29/gBl/RcsVba5b55+8qOFLberXfp/ZsftxZtr7h9kr6ZX83N+/73I+0kbWUc1+37r6/E&#10;4278aL7c/7vQ6eXnf7RzGUOb02LnMkduHJ3xddwfeeSR5hZ3zzHC5J6/NLIHPfHjvlb8hCu7ECgE&#10;Nh8B/VU/jS1Ha83kirk+87j4De+ReeEiukbcjpQsPJR08Cx5Fm7GjcYT9BM6C3mnzMKlvMJzYw6U&#10;Z4s71BWXi0eGmt+mE5nP9G2PMPwZ98YvbOZA6Zf/9udo70jb6duP9kQv9671hduHswDs7ben8uT3&#10;n9TanjYSvXrUrcPf+3g6aybx1+/MqYff9T9n5GjH8jHuzHm7U+kQ7p26r/UsfH9Nn3u/ui8ECoHl&#10;IDDtl2QD7iFb6KDkEK4hn8JzuCryatkcE761Toynlcd5ItYVyTNu6oA/lT/l3Qh/trnRIY40yEfP&#10;cIk+5PznYCF9aSfd7YJP6lv2wY8F8k69dzo04x6W/HrjfU+NNuMcnysuu7R9C2A+x7jRHDmjr+Fm&#10;e8e1KfNW+h5u52YsqL1xE2/0f8N8rty3ZObk99O3h+8xpv3as7F4dGPSpr/3LEwfL89sYXsjrboK&#10;gUJg6xBwZgO92Rie3LCPCt+EgyKbIoeWLfPpL9bxwoXKSWbSc60fuu/Lyt88dcIdqPziSiP1tt/H&#10;muTI0ce3sy6SVnR4MjnxDpR++R88Z24lZuHftKH2XoexmnanHekbU9OXT9vg37cHbclY0pn19i6a&#10;L89Z4/pdTPRvHO4eV+NsXD1y+HGzo496Teun1sjxtzUX3wS2b8KGfOja9paYx+55dz2JEg4u/l0P&#10;pfIrBLYGAX03a8/ma8kCe1/IgnANOUPGRP8kt8idXhYt4z7lUU78qEzOmLj+2mvaPH3KGPmqHnN+&#10;HsIfqMzCtnoP6btXb7yf+Uhytedn/nSsXh4fKI/y394cnXepfXm/nrUr77033GLyTrXPhJnG4afd&#10;4uvWhlbSx9u+yb/04otmzhzwv176JJNxs76pDXoe+XvfnHnaJn1cONytnRoH+B5MHbIfFAfHTKXN&#10;gfh5o3w/TbeeC4FCYOMIGC/ri/qbeTjjcGN182+RR5E3ZAw3hkyJ+7LsyEwyjtyk1zBkn7lAbsqm&#10;rHF3rx7xW6/sLc6Qtvq6F5asIxdhZJ9Qk60rmEgzZRFnvbTLb3vzsvcTvmUvel/pC31bElabYLgn&#10;TGurKxzMjV/mfsLjwhgHamutLa2srXCnc/tmyzq37wStTWuHeNh8Dl7G1eHrrMNwd4+rM++jb+jf&#10;9qX5b3RlzXlmvTzopQj5wMT/QPzdx637QqAQOHwEzv/YOY3X9Hn7UyN32OE0siKyY5HM2ko3+gcj&#10;T2XK+WaerfWRZfRZ8ofMUwfhPavHgcpKjpKdbHHZzqcwv2iOwRkVLa0VeSs94VKeA6Vf/tubo7WR&#10;Zibv1ztmvPvc551rI80MceO/n1/CrJOucV7fRlMOaTLSzLcC1rh9t+V7bv2Wzoync6aK/kz/Hrmb&#10;Lj7q22xtGVfjcQbv21fhjFvz4879bXPkwx7yjOMPX9JUCoVAIXAgBDIWztjY2pU1Lf2WnoibyAGy&#10;gRxiG99zIz/YyzT0j8gtvIujI7vsEaNf3P2Fzzd5qZxNHx7qpOziHqjs0iNr4YDn3dNByDSy7LLh&#10;PDL5cYeP9MTp7QPlUf7LbUPr4R+9Nu/Te877bf1heI5b3IUNZ8cvbuFWtjDSZ4ub+IkrTsInXPqf&#10;sNpw0uAvfOsLQx/1TN+2fyS8Pc6T55vskZf1D+3ZWJMZ+doetfEMNXNEuN63//43xj51YwJyo65C&#10;oBDYXASMi3FzrnPPObvxjn6rP6fPs8mEzPGSDZERZIh7soF/uIqMmMqnyB5xIlOkHXd28kpcaTPc&#10;p2FbfkO+U/+k4XsX+gCulnbSbN90r8QLv6e8KQN36TZOX6kvfRw3myskw+67955xDXFFPgqfPPoy&#10;pexlb18u3o3vxpg17Tp9l15sf8all1zU5pjG+aDxHN9jX/fatm6Dp8e58/GMX22e7m1MyvbNtvNW&#10;rrj8svYt449/9KP53HcvTzIHzs332kz84xfZU3YhUAisj4DvNfTN7EcJ1+As/RyvhodzHx7yzAgb&#10;nhKf3OPOFrftswo3TvSRVXGHMMYByXeR/JRuwiRPaTDy5jfO2Z/Qzlz0vRU9WBnEbWFWuJUbecZt&#10;Pkcw+ElL3uz8P7R5QzKqyb8hTuqnDDGLyltuxc9b2Qb0t7RddvquNqo942z3xpnWtvHt2WectvJf&#10;nSMfr167Hr/hHt2ObnztHm/Ts33TKA39zp7T4uD15W35FgIbQUBfMrbFS/jZOJqNr7mFI80J63s4&#10;rJmh/+vzeZ5yk7CRC/wan67woXi4UtoJ0/ThIe3wrnQjX1KGhFWu7K8JhyaseObhwrP+x8h8vTG/&#10;ebr+TDTlkJ/ypSytXEPZU1d+zjmN3mz8Ip2Uqc9fGVKO3JddvLyMNqBtyzf9jq2tMu7zLMy07wrj&#10;ew7z4/aRG49Gp8bH5r71A2NV/YKfdexxbD/q3/aAOEPBnvTsGac/kzc1R74RyVxh9joC+bZKv7EX&#10;JHtL8LNvibKua4yN88Jj3NPP8VSMvo4fG9fi7pjBTdxeTk39Fvp38ZJfZEv4P7KFHU5XHmVMedj+&#10;O9IaOxlC3pjPv/gTH29nLjujyf4yaUevwP/yND9OTyCDjF3IHedC9HXp78Vhere6L47e6jagD4SD&#10;p33DGLT1v65/KV/ChdvTjvUr9/RsY1N7v8czU8a573B39GnPZAkbn+tz5tKdia8f9v83v9dlcNW/&#10;EFiEQMa0sYWxZqtPGRNba/J/Afqqvqmv9zycvs8vpg8TDtfn9f0Wd+BMYfT3yI9VcmFw5ydO9Gv3&#10;OHOqX0s/HI+rpUdnZpKHOOFperN74wz/N0nOqK8zTenXZAuZo+72y7g3Tsm6G12BzLn601e2fJUr&#10;dYvsDQ55Lrt4eVltIP1T/mmr+pY+o1+kz6wZbgjLTzjtWhxjVrb0uOmjxq/O7Tc/ZV8GucHWh/SZ&#10;cDX30e2YpmsvkknlVggUAiMC/fpQ5pv8t1PmcfETzrrpxhuabkmH1j/1cX003Nj6/AqnkgX6rX6N&#10;J/lFPunTnvnj0oRNeHEiK7gJG/7zHBN5I42UgQxpfL0Sh9wQLjqwtKSdMkTGiJdyCBu5Y07OeB8/&#10;m8vD0bDw34Fr6R7Kl7Kl3J7LFAbLaAN9e5S/9t+Pic0XZQ0o/YctnPDpu4nXx+Wn72nncZeWZzq2&#10;b7Ts+7ZnAyePa2bj2cF4Wl+qqxAoBNZGwJy2q5/jdk6Bc4bs2dSHrCnpX/Z74jR9UT+8Z0UXJQO4&#10;N7+hb1uzcr6gfSK+PzKHrJ/ST53nYV4s33oYY+O9sf8e1XiQm3MK7bum1/q/AfHPPO3DTdd1rpL/&#10;dqTX33XnHe37KXxJLigDmUG2KJdvTNzzc65YkzNDGdWBfOHPDi/zt0dbnubjlM34Hw50AP9VIA/h&#10;pC9dJvnFLbKLe5nCYFltIPNG2mwbK6/0DW1WG007Vr60ZW247yee057Tt/QfaQvHL7wcjo+7uNIm&#10;K+xlsffMmLf4eW2ZXD6FQBDAzzk3yD19Olyd+V78rD/hJ2u3/mdPf3cmgv9Vtp6ES4UTBrdat+Zu&#10;7tg4Gl/bo+XcQrq4bzz03fR9/Mjo63R0vGv+2feb1oVxMU42RrAfWznwvHXg5OtcbGXG487flpfv&#10;NckH8iP6tLlt6UlX+tKUFrmBj/Gy+ro3RqE/y8M3KeQSnifL3E+5OXKOHIOR5zKFwTLbQLg1bTa8&#10;6rnn54TTdmOEST9Vh6l74/GhH8SPnfko/ST9QNrSSXr6vz5YVyGwlxEI15q7zlx2dGa4hJvb/bCn&#10;MlfC0lvpj+Er87z0236vB47W1+yX0v/wEht/bbZcko88yBz/KYn7zT/ba42ns5b8gZPe03RwvK28&#10;ODffMQsTHT7feWYuzjy/dDKfjecZMsj8t/zJHnUmq5Ql98XPxcub3f53evqRN2UXAnsVgfxfLF72&#10;DZUL/4aDcXjODghG+Jzui5ejO0efxFnme/nbb4W7Mp9lvIyzPGdubTNliDG59MOTuDKczc8YQZno&#10;ydddc9XsgvPPbeOLzFfT95lRbx6/7cTNOBvH4/ymV6yM/+WFl3G0dKWPh9U1OERPiB6xmfWvtGsM&#10;sJPbQORN2YXAXkYAB0eXhkP2gvWYcMPh9E86Mh7GW7iMvsk2h3zVFZ8a930OnISj8BcZgZfwMpvZ&#10;CrmBG6dl6PM2l22+XBnNn+NMa+JZW4498vO45xRfqz+Odr62efysT0tH+sYATHRldcXVOFpY+ZrD&#10;2woMKo/i6J3aBnr5U/eFQCEwW3VOQPRm89x4Bzf5fujY1x013xPFzbqubyjwE44TlsHH4eRwljAx&#10;my03kmdvyzPl44438SXuxOXOEFMX69Pmrn0HnTkBY5BwNdvcATdr09a/xcfJ9r0m7dSVu7yjs3Pf&#10;7PpX+sXNO7kNlDwuBPY6Av05AHRoOvJ0PfojZ57eeMhaM51yNMc1XsJljXcGXqaLmstte7kGruq5&#10;uemxK/o07toKuZHxwVp2eBpnKlM4VNnUIfGMOayhnzKcT2g8Er2abW85G1f7VsR5SuKLa54bHtKV&#10;h3Rwd+PsAYutwKDyKI7eqW1gr8vmqn8hED6mK/fz2tzxif3WdER7v/Kton3R9lrht3At/hUeH9FH&#10;e/0ZVzV+GjgqnMfeCrmhHH3e4WFlVIbUgTuDO1Ne5ePf0hjqJR1+dGtzBtk7lnl++8fG+e8TZrfe&#10;cnPTp6WZPNq4ZUifro67t6L+lUfx805tAyWdC4G9jgCdOTp09Gdc7RtneiFuzvoy/dl3yzgHV+Fk&#10;9/o/HdFzOI+Nj5r7wEk4iluM582WGynbory5xaiLsiqP/5s0zkgcfO1bEHqvcLiVn7TtBbPfG0/j&#10;Zbq0ufDo1fRtmAifdW42TOCw2fWv9Iubd3Ib2OuyuepfCPTfUEHDWZ7OCsA3vusdz7k/rp0Z4twf&#10;/R3fhGPwVDgIl4Xn6NHCxUROCN/iDGHjtlk2PpW28ikX454bv3AkN5zMLVyccQQ3deEvHH91x9O4&#10;1no1+8pPXbbqG2m69LhWfdywN/zqOS70ZphIb7PqXekWL++GNlDSuRDYywg8/PDD8+pn/7azPeiB&#10;1lPpgce89jWzc846o3GSPt9z8E6XAcYJGUeoSzg63Jx5eryMg4VtXL7C7cJ5pnObb3DOirX6YIef&#10;GXvq2r72IR5uTroZu8QOnkdq/OJdSVN6SVsd1UW5jVcy7nBWWvsubIgjnromTtnF98toA3PhVDeF&#10;wB5EIOvN+f+Liy44f/7dlH3LuMW+5MZDg8xm66eR78vos0cyTxwV7oo+jZvanPzgZ/7aMz9h8df9&#10;g96Mh51T5lw030PjX3PZzjmx59t5Y0cf9Zq2z923WOYhrBFYt5aW9JPvtD7cY6Z+h/LcdPWV8rv3&#10;Do0Pkof6JQy/vGvuh5JfxSkuP1JtYA+K5KpyIbAQAedzWDsdz/9yFsfxbZ6bvG58tcJb+l7O4DhS&#10;/XBZ6eCgNuc92HgTT3ELb7MZGDhrxf9Z4Vq87H8nnQ/Kv51VuBJPGnRPmAnvW7R8h2Ut31y39Oit&#10;4chF9pHApJV/KFfj3yG/cK/8+vSVhV/qn/L0Yeq+eHer28BCQVWOhcAeQwAn0ZXNZeNla8/+B6Jx&#10;1eCnX5Lf9OamSw5ueG2r++uRzk9d6MThIzZu5R6+omsauxi3+F8MZ42JIww8cJpyxYaZdDwz43mh&#10;4z47GNO38br0k29wTtwjVU/lk1a/7q5Mys4dfzsnxfqF897aXPdQfu5HqgyVTvH6obaBPSaGq7qF&#10;wEIExvOmx3Oz6XrZo93msQd5HT7q5fpukOHRYXFl5gjMXzfuWqm39WTz19aXhVPvxnEDj+Ny9+Hy&#10;uEs3ejnOtW6Al4174Os8E5hGbi3iZ2nF/1DtVp6Bi/txgLJ6r8YdxmDGHfYA2pvvW3ZxUo9Dzbfi&#10;FScfiTawUFiVYyGwhxDwv+nmbPMdFV0KR4V/cY2+hkMyjxv98Ej0wWWngYvUF1+Ge93bLwULc9nm&#10;84ODuodPcTp3bvjY+EVansP37rn5H00Y+xbLOoJzUoXHl8FXusJ7Vq4jgY395dKSrrKmjtbJs8d8&#10;XB8/fnbSu09s4fC38h+J/CuN4upDbQN7SAxXVQuB/RD46U9/2vYt2a9t7tW5IzgjeiG+wB90LffR&#10;q/DXkeKPQ+27RyJe6tHmCQa9OLyLm+m8uNm6s7riq3Bv5hFwnjjS4d/wGfBTNm78hIEn2/9a01dh&#10;bf+dfPmFo4VhxD8S+LbyDOl7f8psDEFHpsdbx6A3Kwud/oxTT2n5CqsuKdORwLnSKI4+lDawn8Aq&#10;h0JgDyFgjxM5TT6T2f6DudeR8Qudi5wnr8NRZH046lD63XaJg0OVJbzrXl3997M5f/zpOTz7ve99&#10;d86buK75razVRr+GEY4NPuFc+FnHtsaPo42JcL88pmFTjsPFSZ4pu3ysMZvHxsl0+cy1249uTJL3&#10;nHd+uPlX/OLlw2kDe0gUV1X3IAKPPPLI7Ne//nWreX/Pwbkk5lojp0//8IfmejOOYQ6nb+2EuPjR&#10;fC+uxV+4DKc5x9R3ZYdbB9wszfAeGzfjRbj7/yv6auPzYRxEl04ZuG0kf2kKpw75X468v6bDD/Wz&#10;H83cdXiZzXjnvt0WDz8bJ4gLg6S7kTJUmOLhzWgDe1BkV5X3EAI4Od84q3Z/T/7TEcMVzgwjl8n0&#10;vaQ/NR1z4DC8pN7OEXnfe97VdOrDlTn49v+zd6dLth3VncAfpbEBh93D1/YTODoc/d02k9vdDr9A&#10;d0R/7Q5LCCFCRLhtM8kMAiGEmTQgJEATaGISaEIDtpsHaK6YhJBwxK3ev7XP/9y8h7q36t5TVbdq&#10;n3Ui8mTu3DmuzFz/XCuHLd3C6ZWcHZwkx97+qVvrXbAQNqO/8IfBZ+W1vqycsLVk8clPOp7Zvuuh&#10;nXNXOLd1DOvf5if1vY6pbNJSVnGij9+2/h2/cXubPrBDrLqruqMUgNGMX2zunHem1ybTley2wil8&#10;Ppixzfg67XGj3w6Wsd0t4hvQ2R+3TR3QkVwL84LTZNbIsXAyWAqPlScYeRj6w1TlE9Y8IyYY6/y1&#10;+RdjHcO+NHnaiy6Mson/42n/mjSsbSgDt3JsU/eO29i8bR/Ap/rXFFg6BXJ351hP+4HCt917BY/C&#10;m4NX246v0x4fnsEh9VVWmGUvM7ky2LdNHeAcujIlp0/pozsZ1t5psjSM9K7CTu/ZDL/D5K3MCR9s&#10;h7f2i8Njc4GsY/BTN+GlHXmbO/J60jJfO0z+HaZx+Lj6wMiv2t0UWBoFIi/vh8/2D8MI66B3TfuG&#10;8OdRZtwF+Qk+qbO6Wwe2BkvOhHnMtnxH2rC/5gAT3pn/3Pqxfyh8dqbaNyr5BYuVAz4ymTNcrgzK&#10;KK6wyp6w9PPmGdGNuGvUWedq4xWeR0eijFm3Lrye0hIuZUqabTcOn3QfWBo/7vo0BUYKZL05OD2+&#10;g83kOPKVs0SRndn4PR590uPxpPMjI6uvfNXXvm13hB1VOaRJlk0esNDdJOhOd+EMMlrDQu+YhD1s&#10;GbJWrC7uAoPNcNnZKXMvsvOzT/+g8iA7K5O5iHLJL7J02pudshy2DB2usfs4+sDIr9rdFFgaBbJ3&#10;W71g9YjT5Gf6T1hx7z13rXGBTAYzwrePY9ydljTVkewY+dP5MuvDyncU+l3pr7F3ouvLL76wPnuM&#10;9g989f71XrxgZfTdh5Hfg+XykTaZHC6znd+iP3cfqbTSntwMHGZSxuCyZ1iPJqelnbocu4n/S+PH&#10;XZ+mwEiBUa8NnyNPC2OfEPmKPte5WDyQHpaeFK/eBZ4Ig0r3vMKiYFz8j4IGMDS6Ynup0dx+PPhM&#10;XpdHcJJ8C6cj2x4mf3gKg50Jm9e157PV2jdr6OYa3OqqPOpXZvIrWXnC6/hJT3nI2IfJv8PsJnae&#10;RLuPvKzdTYElUoDM7KxzfjCbX+53hM/ZHxZZqtZlJ559EmPwWuYBr/55wsTCw1V9yZzOPhcN6Jwn&#10;f/gK14JZ6KTcJRtP72FcnksOXaXFLW0ysbzondGb+fAH/u5A+pasqwyTga+e5aNsysMEm53Xki77&#10;3rvv3Jk51rXsP5338c5NwrPabgoslQKweNRzB58f+Nr9JcvRh+LreD1+AwPgT87eLJkH5TwR2REG&#10;wtvg3YvTWi460CfkHTmUmz/sRTP0Ej/68PKbwniO3CwsXTb5dtxLfRBtpQHXk1/SC04r67wH/6a1&#10;Ttu8S7i050F59PvjxZim79XTd6k8uevVFAgFotOG037BanuJ6FjtE7NWSY4sPJrs7B9aOm8pXJ7w&#10;FZ4Fo+HhNx95qOTQr953b+Fs5GZyK7wWhol8HNw2p4Gd/IOr4tJrk2uDpeToYO3laKw9qmwrrI8M&#10;LR9nmIP1s878/bUPv+YLU/jLpdvvrh4zmnYnR7vwsLabAkulQPA4+8OC06+++up6LRSfdzYWb4cH&#10;8CUy2tL5EcwjawafC98medj8hd4fbXzH6oXnnyuawEw6a+GDn2yGX96Rs7nhaPZrkZ/fe8P15XcY&#10;+ipbMJ8N880FlMX5KZjPtp7tO5jSTJm04dLbrut3clh5LWi9VJ7c9WoKhALBZ3awOe+cvyU/k+ec&#10;s4IncABGR2a8FuPypPKEoXAsOKje8E/dYa3nZ37w/cJnNILV7he778t37/mmhP1d9nShGYwXPvHY&#10;jzz4QM2B4GjWnsVFZ1h7UD0zT1Kmck/lffaZpystmJz15pxfl6c0hVemg9Lv98vGt7PevuFTbTcF&#10;lkqB6Lf3w+cXfvh8nceh36brdh8kHIg56+P7oPKrJ5yE0zDaM+wUL3jLJpfC3uen70zYO2Yt2dzG&#10;9ydzxwv8jdtcJzIzN5kZRn/p8/9YactHegeVL3I9nbpy+Q61dKUnL3sHPv/Zz1QdYDMj7Vozn8p8&#10;UPr9vvH5NPeBpfLkrldTIBQ4f37eHxac5s/Pz75u+4jJYfAF73eXBR3pYeS70zy2D1M2cqZ6wkoY&#10;7Bkmqj+cCz5Kq8JMOA7Ls2csuO698N964vE994PAYvKt9WY4au7jW57mANFBC39QGYVRFrIw7HVm&#10;io5cujD6nju/WGkUNk9pw3Blk66yH5R+v298Ps19oJhU/zUFFkwBWAyHN/H5jTder1o780vGs45J&#10;HnN/Fn4fOfI0j99tyxb8te+LTht2wuvslYOPcBkt0GTEbe/Eeeq731mfVZvPk893ssFoegmYas4T&#10;3A9tD4Of0b/Ly75s2Jwz685QKW/WI1Ie5S88n/B6W/p0/Mbva9kHFsyWu2pNgQMp8JvfvFFh8H7y&#10;GDkaptgPBZfw/IxPbjgVzCiZbYVZ/ArfVnpieBfZVHxxGfJj0hXfO89MsA/mJF928uOf8Gzhx7Q9&#10;Jw3xuOUnn6SfMOJJj7/0uYXzXrmTf3TewngHt7/zrSdLvz3rHW4qmpGPmXl/9vydKFhqrdkaAtrI&#10;M3pn2Jz5T8qmDOjmOXTmJ29797IGYS5Fr66c0mzTNFhqHziQgXWApsDCKUCufu211/bc9wlTcg+V&#10;fVAwydiHEzDLXZgwJPgVvgBT4EXwjgwHV+CR8PZR+Wbj1+77SmG/tVv3aH76k5+o9VOyoPe+4eCO&#10;zR8+92ztu5LGiOPyHeVO72CocvDPnqg15k3xxVnXY3qusk31EUc4hgysbM5TfeWeu6uM5ihoQP51&#10;Zwn8pf9nyMazfeNqr9a8x45saw8ZXbY81V2Zzk3faM5zyhrM58+NfuqgTsrI3/OTjz+2ngPQcXzk&#10;g3+/pnXo33Zj9BL7wMJZb1evKXBZCkR+ZsNga9B03GzGmR0YCydgCCyLPjW4yD8GFr780ot733j4&#10;wdLHwjDp+GaTPcZfvutLe48+8nDtiYbDTPZbWUuV3223fnzvlg99oPDPXMEZJ3gOL+E47HvisUdr&#10;//TT33+qdMfu6XDG2DMZV12i5yW7csM/sqyw8JixF1qczE2sFc9rxjeXzh/eKr968PdMfs0+MGvM&#10;5Fr+vhspTbIvbJWn+Qx7nCPgo56VET0Lk6eyRcZG13PnflLv3JGSe9Llwf3ctEcteSyRJ3edeq6R&#10;PnBZ5tUvmwI7QIHc/Xn+/PmS98hovrEU3OG2b9mYgSdwhIwH7+AQG8bBX7IjzCIbu+MDvkTGZbuv&#10;C17Bl6THhlfBMGnyg18/evmlwlM4/shDD5aMS2dMriV73/6pWwu74Tc/a+fKAMuiczbf4IapZGFh&#10;hGfMG+A/7KWvnrF33teVPV7iSYPuP9h83f/+XxWezE03EJ2CugV31UOdzW8Yz+Yx6omODD/4rL7i&#10;Cu9ZeuIoo7Ld+O7rqvz0C+IkbfHaNA2W2gd2gP12FZsCl6WAc1f5vf76rwsb4Fv2dAfrnA2CGXAE&#10;tliH5QfXYOKdX/hcycWwZS1br2RE/ANuwR9xPQvjOXjDH9bDbrb3+R6id7BNWOnDsOCZdBlxmGB9&#10;0vAc3JQf/6SnHGRcuP3eG95d+BvdgflJMDm4/Z/+6I/2/vA//uHeu97x9spHvvQJyoU20peXPLnD&#10;N72XJ8PNXxh1Us9yT2mxvZcuXUPmFdoAraUpTPJI+m03Ri+xD4Qvtd0U2GUKjGejydHWS+mWyY6z&#10;HPn+eibLWf+0Tg3TnAOmM4aXcAN+cEcGDM/wLoYfNxxKPLjFH+7Au2BxdOlJm81PPox4kTU9S5Mt&#10;LbgL58pvwORgtbjmAt7DVsad5JGnYTJ8httoASvtofvPf/zHe3/x5+9al1N6yZfNKKf8ub1XT2WC&#10;xfL1XtlSr2B0aOBOFPnJH/2VyT77pI0+6i18m6bBUvvALvPkrntTIBRw1orsPJ7B8s4+4eh5Z1nu&#10;5tL10ivDHVhYcupkwwwG/jDe4xvxZ8MpNpzxTnwYJWziBl/5SYd/4dlkV5wJ42Bb8C1xvZOu8Eye&#10;E5ftvfQr3JQGt/jspMmGfe5qoRfIvmlyNTkWbr/n+utqnVvdhU8Z5Ft5TP7yC/6nrMrEeMce8611&#10;8yk+v+zRk585kTtCg+tFw1XZk17bjdFL7APhT203BXaZArB58+fMFSxiYASchhvu4IAhwVp8AXaw&#10;C+MmjAn+wC3+wpMR4VUwV/xgJr/gT+ImTTbMi+193ME9foXLE24lrDBJix8z8jDPZFzhpJN4wcwq&#10;81Ru+6ezfyx0CG7akwbL1VM64iRPbv55HvMeyyued/yEt388Ogu2Ned8Z6vmAysMD23HdNvdOL2k&#10;PrDJk/q5KbBLFKDX9r3JcY+Y+pOP7Ymy1yvniD53x+21Hry5x+s08wO4Cz8Z84PgZ/Tm/OB6ZNJg&#10;abAcHqovDIWT9M0MutDx033z9x5eZg6CJvI4iDb22gWflcF+uhuu++v1fMAcyRq8dMxt2MLXPGiq&#10;20Hp9/vG67PcB3aJF3ddmwKXosD58+dLt+2clX1e0ePCaPpdZ6JgF7xi4N0rr5w79fgA88jI7OAs&#10;7A12wjr1gdvcbNgHaxOu9n2t6g1/7am2n5pewdwFrZwng7XyQSdYKp2DeKM8hGXL35707FOz9m9v&#10;eK2jT3MI79MGwmcucVAe/b4x+qz2gUvxq/ZvCuwKBXIGWn3vns5IwR1rzXDHmqszwmRMeAB/gmVn&#10;AR/MI+AmPIaD+JRyR46Gw56dH/OtKWesnb3O/ISMnD1a9obZEwdDrcujDT/0Es6Z7OicpXkYfFYm&#10;NEVf58CTrznRvffcVeWFz8qr7CWjr+YQ4pxVvtvl7jnDYfrArvDgrmdT4FIUoOP2gw/0ttHdWmv2&#10;neGSKScsgAfkNjJkYdxkH2aMnYYwZGTlty8dZisTP/vP3Q2mrvT3Dz/w9fU3I4Up7JzkYPWG8c55&#10;u98EdtrHnj1jaAZb3bONNuIGqy9Xfxie8LDf+ja52ZlzdC96TzYZXjhp8mtsbny7XL9ayrtL8az2&#10;bwrsAgWyX/vnP/tZYQOMIQvalwSb4QG9asnNE57FHbw77XzA2m3JnCt8ji7bPZ5wECY7ywQn1a2w&#10;b3KP9eK/+U54NJEOXQMZWnp035XHlJ+0xnT2c8NZuGueENlZevakVbknbE7+8gxeSyvzjP3Sbb/G&#10;7yX0gV3gwV3HpsDlKACj3aNFdos+l64W/sAa+EFmhhfx2w/HTiM/UG7lSh3ok8mp6kunrR5wDgYK&#10;U/WaMFNdha14kWOntKy5B6uznu2utNANDa3Vo9th6CE/YZ3joke33u+sMzorl/yVhRnLkvnEYfLo&#10;MI3VZ7UPXI5v9bumwC5QwPpyzvPACHuGw//pWOl14Qisi7wXHfdpH/fKWfurJtkTDrrb8/Of/Uxh&#10;n7IHv9WPCQZWXac4wW1hQwNYiT7BT2HgM103fLU2nbQOoo/87r/3nlpTID+TwenQk698GOEyL9AG&#10;jHIclH6/b2w+y31gF/hv17EpcCkKWHvOdxLntc+b9/7pRy+v8XkTA+BExjsZL+7TasMxZWPDZnMP&#10;z/BX3ewd8wz72Oo3YiKcrfgTRqqv9/yED4bCad/sQD/7xWCse8OlI+7ljLSEpx+Hz8qYuUHmAcKY&#10;W5T/Cpu5U7bLpd/vLk//ps/pps+l+Fb7NwWWQoGsMbPjzp5t/Mn3MHJHlnVQe5Hwfvrds86/4Ckd&#10;gG9XkmvVqTB4hdvb1g9Gw2E2fM7ed+vS5gT8zQGEkTdchfPx980PcnfmRu5+ERYeN/6ebuzYtu90&#10;/IPbdyk8uOvRFLgUBYLJ3p8/f74wmu3ne472IzH2IMOy4Ae98FnnITAOTtoP7a4vuBj5lHvb+kkD&#10;3rPz/StysDPk8k3+kaU9l9+EweZB1sJnTH9PfVdTeXI2W7rblq/jH4wBTaPTS6NiUv3XFFgwBUZ8&#10;Vs2cp+Lvfo35Pqx5LzNZL3gTTDnL/EsdrK/bfwUX1c8cJDi9bd2kmTTcuQabrUXbxy3v4DGaRj9O&#10;jlYOe7Sz9xtGu4eMTlscc6Mx7eTR9unFkm6bo2+bBbPlrlpToChAVo68PJKEDhUuwGfGN5az5wm2&#10;LEF+I8Paf3XPnV8sXIZ7WVNX/2156oi/vv8Ib+EzWTr0Mx8QDj4rT3Tc1sKFpdv+2C0fLtqjf96L&#10;t235Ov7RY0bT9ORoOvKrdjcFlkaByM6Rmcf6WSN1lyS9tjVQeEWuhF8wIvhylvmR+rgTzN0r3Ayc&#10;ZI4C/zbxOfIzfEY3NEy+ns17mJdferF0F+gvjnX/zBu8V7Yl0P8s950u+8nh8KVoPfKrdjcFlkaB&#10;4LNvYMStjtzWPmEzY98wrIENbFh9FPh1qXF3Uv7qctutH687v9QHVsqbHMtsW46kB0s/c9snSx9B&#10;J+F8tbz5s5lgLj/7wuzJo7cgP8Nr/qE/e9uydfxrjy/dBtu1wdL4cdenKTBSIHpt+Dz+4POMze8v&#10;naz7KmFycGQJe8PwRphn37Z7N9UPJgcvjwqf5cGY78Bb8jCZHXaPeQXL6bDNh+jCrYtbtw4u01uM&#10;5Wz+vh1/b/qdbfqNPKvdTYGlUiDfj1S/6Lqdu3UvCUx57JvfWOu0YQXsCp6cZR4H68i19mJVvaa6&#10;BU9h4bZ1IxNH1nVOjSwMd33DOfI6OtqTHQx+afqGJAxHfzZZOliubMLZ2x1997Zl7PhnG6N2uf2W&#10;yo+7Xk2BTQpElobP3LAkeOKbD/gAnIgcbY/xWecNsA5W2h+WuznVCQ7mXrSSV6dw7uusPVyTO7I1&#10;O3jOHSyWRvCWjW7WkrMf3h2fwo/yc+39mvDcWWw6cIb8DMeFK2ye4tT6/8rvrNO/y99zg236wCYP&#10;6+emwJIoEExWp6w/s3/5i1+s9w6T4V744fNrLCZXwhtYtc3YOg1xnWX69pNP1P5o9YKl/NjwEi5m&#10;TzecTt1hJryElcHhvOOvbsKwvXevCLkZRtNJ5I7OyMXBauHd121ehO7OYQXDC5+ntBKW/2mgYZeh&#10;MfZa9YEl8eKuS1NgkwLBZDg9uuFGzlaxYZMxCGuil4UT12pcHlW+8BXuuZ8EhgYL6Y+Du/xgdeH2&#10;SkYOFie8ZzRCN3QpOk3P/D3bD0a/feO7r6u98DBf2OCzMtBHSMNeeWv/8Pzr999X5RNOmNhHVf9O&#10;p7H1LPeBTX7Wz02BJVEg+8Jgc/BZ/bIG6vwtA2+MY1gTXDnL43osO9ylv4eLL05rv/TacJV+ACYK&#10;C8cZeIwW3MFjfsIIG+MZnTKHIQ8Hd31/Q7hge8ri29PkahguPLrbtya/4LJypQwpW+K33Vi7a31g&#10;Sby469IU2KTApfD55RdfKP3qjM/vW+ND8AZeBJfOMk+AxYWjEwZa9/3A3/5NYTVMVFeYCb/Jz8HD&#10;6K09w+ngNTc/GCpNz+Tku774+drrNesjbqrvVno/4j9akp99R0M4um0yvbykHxqbEzQ+Nw6nP+y6&#10;vcnP+rkpsCQKZK82/TaTn3Fv33Z03ORK2BOM8n4J+Awn6bJho7rZt0W3nP3VpZ+G1ZOBt/Bc3eHm&#10;Jr5Ki/HeO/vJpE1upttGS/eSwHvpJm10jKEHt4fMdyjrO57THEG5gtHipA1iy69N02AX+0D4VdtN&#10;gSVSYNRpj/j86quvFq4En7/zrScLF4IjsGEJ+EBGVg+4Cvtg53PPPlNnrsiv7u3653/60XptGN4K&#10;n3iRZ+E1GRuPhMve+4YkjJ3Xkt9T+8KscctHPFifvOGv+M5UzefabqxzVd6jeeR85RSWn3e7yJO7&#10;zj0XSR9YIk/uOjUFRgoEl2PnHZwIPj/y4AOFC9Htwogl4AOcLB3yhKeZe6Ru5iTuCfng3/2f2kf9&#10;zUceqvXpUYaFl9nfDdvFdU7LN7JzTso+L7T8yAf/fqbhlKdw5HF5SoMbntNrM9YVrIkrm/fke7bw&#10;wvJfAv3DZ9tuzL2aPhBe1XZTYKkUiI5b/UZ5GjbBCRj90Y98aK3ThRPBsKsZU1cSRz7yY+Aiwy+6&#10;ZVjlWZrBV25+ZNhg2tqP/2SCbRVuFTYycTBTXuK5W9P9LGRh69OwFj08f+2+r9Sa8TcefnDvqe9+&#10;pzDVWgD9uHNUdNto6Bzz97/33TW2mhcoQ4znJx57dL0vzNqCvNs0DboPXLoPLJUnd72aApsUgM1k&#10;6MjR8MI6KDyCMc5Aw7PCyAn7gl/HyT/odWGxvGAYNxwlqzIl/07+cFg5gnfB34T3LjjPrR6wXTh4&#10;TB6VhzD8xCOzjvH4y5semmxrrZr++74v37332dtvqzNU7gq1fmxOQw5mM08+/miVV16ZE3CnzPIn&#10;b2fNn8yeOgjTpmnQfeC3+8AmD+vnpsBSKRDZOXd9/vSnrxS2WD/1rQb7kIMnsOMk8Fk+cJgNq+Hx&#10;v0zrwYVzK/k4ZYKdmzKweMFDbkZcOLyJySWLT2kIU++nvNTRs3fBc+/kKV22Z2WjD7f/C71yzhlW&#10;P/TA19bham16mOOk7PLw/UnzILj+6U9+Yp2+MG2aBt0HfrsPLJUXd72aAihAtx08DkX4BavdXxU5&#10;kL6W7rZk0gljYMpx8wx4LB8mmAyDuWFnYfJGWYQNJpN1hau4U7gRv+HzJlYLyz8YnHwLy1fh+al3&#10;ykDPQMdAhw1fo3NANzKxsiT/pK0c8uAvPdj/iY/eUvMh69VfvutLjc89Lzn28XXc4/e40w/Parsp&#10;sEQKwOFf//rXl6waHW/2N8Eee5zsYYYzkR+Pcwwmn2BicDe4Fpz0vJ8RPnHH9+IFF4PxqQd/Rtw1&#10;nk5usi852RyFXtt3pcjKdNJoxEajnI9y10ilM2FxymkPWMqU8ghjzgPfYbp5kPVs4VKmtn9bdmqa&#10;NE0uybj6RVNgIRT4zW/eqJqcP3/+Ilk6MjS9q/O7DDnRtxHhFtn0uHkkPAyOySvY6V6tu7/0hdrz&#10;TN8dGdl74cim8Us8eBds5Jd0C0O9W+m2Uzfnqr73nW/XOacv/OMdNTeBn+RjWAxP0cOd2u77ss7M&#10;fvuf/dnen7/zHaWHj5zMNq9RH3mjHbdyyp/8LO6MzzeWrly4Nk2D7gOX7gMLYcFdjabAZSkAixm6&#10;bTjt5zm67+htyYn2JD/+6DdPRL6Da6VznvTOZEx7qd2PqTzKQdYkr9pr7htUj33jkboj0/1ncHuN&#10;vStZ1Fq2u0uf+cH3C3vNNezDpsf3fWaYmz3X8Fb6bHg837k5y8jy5wdPvXdWWtw3/Zs37735d9+6&#10;91d/+d/W+ms6+vDYYDI8Ng8wR8i8QTrB5x889b16l3htX5pHN212lzaXZWr9silwxikw3u+ZqsDn&#10;EaPhNIyEW2RoOEWvCw+PmzfKF5aRZe2Tlr+9asGx4KQyMcrI5BnmxQg7YiDslc5mGtFTj/H4Ja7w&#10;ymGPtW9foQEaweh//2//w97vvOkte2/70z8peVzZvVcPOGx+YM3AXMP8gfzMX5jkp0z5vtVx07fT&#10;311sW0Lbh2e13RTYRQoEp9UdnsAQ+AT/4BtZtuRb69Er/XDplqfnyIrkRH5kxXo3YVVkx8KnVTz8&#10;grxrjVZc4emX6ZZhrvyCk+T4uSyzPBvshG0po7DKGbwd8TvpwHppe6a3Fnd+zj6veX35tls/XvvX&#10;7dGmpx7pkn4BryM/028r/0E8EO3U+fnpzjLlkz+D1oeJf1D6/X47/E3fRcfoObjTx+OnDUddTflP&#10;/brpvx39D6Jfxl7bTYFdpQDZ0M869SMPPVjyazAMTsIld2/kLLIxFX4VNxtPY5MdGe7S865kS3Hg&#10;lbPEdM2wlpwuD4ab3Bo5WBk2sRjGXcDkGbth8HtvuL7SmLH6go7aeeWP3fLhmgOoG7093bJynDv3&#10;k8JhWBw8jo0eo9vzVeHzNHdBB/r2zBnUSf6Nz8fL29H9IBN8TlukX8cWP26YzM0v+H1Q+v3+4Da4&#10;HI2Mu/41BXaVAtk7Nu7xto85d3DASzjJOLNrfRhvosfF09x9Sa7Gu2DyuJ6Ml8EhuO6+D7pi925Z&#10;x4VR870oF+RjfjGwTJ4XY/EsK8fvAlbP38gMriszeZi+nNz66i9/+VvNO54xU/cRiz1nzjJGvBp8&#10;xnvQyd1jyhe9AHoFEy7Hn/rddvz9IPoFezfD8ddG+q/+rq3GsI3Px9suaY9x/LW7KbBrFHjjjdfX&#10;VR4xmtx7y4c+UBgKMyPLsu+a9lXDPWMI/8LH8Ct+7sn86n33lrxqT5bw5GL3etin5fuK1nFnfKZb&#10;nveBCccNl4X3TL4e15CDx+LCOfpqWJxn8cUhT4snjcwFyNF01+5kyQ9GM6+99lq8yg5Wv/76xefS&#10;rgafg8P0+GM5s24dPtT2yfD7TTpbZ9EWaSf9OHic/q2PZ72Gn7A1J2399oH6iU16X+nzRQOzH5oC&#10;O06B7OcmV3Pfe89dKz30fD8HjHTeCD7CRnrqYCn8+sxtn6w49lnTiUfeDg/E59y35a6ye+++s/Tp&#10;cNN+KXpncubsfqrWpuc7r79X8rf03KP5wNfur7NX1sZ9rxHeKwt5nH0B6+d19FnnPcuuym+92/ct&#10;/Mb5iWdYHXz2PP62wWf6gwv4/L61PHal/KrDHy2Ow1pyMbqSkWM880+/9Rzcjj9s7/Y42vbYpOc4&#10;/trdFNhVCuyHSfzoeX2LEsZFfg3e0YH77pW1VTIGvhWdbdz86cBHuYT+PPyPHIIHCi+scMUTJ//D&#10;rA2Kg8dmvxkZHn7TxZOdydjKrczwMfI1Gd39I/LPb6QB2Xl8FuZq8Fm91NWdJ5Hvlcceubzb5En9&#10;fLw8f6Rv9lREPtYmJR+TkSeTvfjc4gWj08/HtNp99O2Wsdl2U2CXKUDPG9l5pAM/Z49hmzun4RrZ&#10;Gf7hbbAWz7If2XPxtpXeDw/zzA5+wkNh8cFzP/l/hY/4Wvik8JFLhIPt2WsGi617s8URVjoMP+HZ&#10;4sN4afJzl2b03NGXw0h1gtt08pGjMycZaRD31eAz2iinssBneZLv6Qj4N08/ep5+JTStfrfaw6c9&#10;GP01fS39TTumr0nfc/rhleTXYa+svTP22m4K7CoFgkmwmCEzs2GWdWMYFh02/bFvLuJVkSFGGRjf&#10;4u99cMmzMHCTnMIfbxt5Y9LzHg+Dr7D5IrlmSkM6ZaY0xME/pcvPnWNkZ3eSWG9WZnjozlJ7xvnb&#10;NwabrVHTh3OTse1b80OL/MxZxt/V4LPylz5gKm/0DuY4dPro0Pz6yvj1UdNLG2ifnDlIn7Iu88Lz&#10;z5VuiO3MnXfCCa8c6atHXaZO70KfGMdfu5sCu0qB4FLuM3H2CBaTleEcHINn1lEjz8LibXkJnger&#10;4Su89syNB0rfPZn8PMP5PMNk94Q5M2XNm67dOrQ9aO7OtlbtzhNph/+mrO4eI1OrG8ycz13ftHf/&#10;vfdU81t7R4/I1OkT++GzMtGB4vORteRZdZr8lDPzksxxyPLffOSh9fwm5Wr7Al8OLWBgTOZ9bCbz&#10;tITVL/klHH99iJ93+pe1GH3GfMw+R/M1+yD1H/07baRPRNcRXYv+wk84fc03wu/49Kdq3mdP5Lee&#10;eLzWMZRXf8j8S/78lEt5qm9MftX3J3/lTFjvU37x0qf4p55sYZjRb4nujL22mwK7SoHgUc5akVvx&#10;IfiMN8Ew/MuequJ3E+9hB6e34QuwE+9KuvAXrwr/wcPilg/ehr/iqXDOXi/PMDfxpCFN5RM3/nid&#10;NOApt/1oeG3mIfTPzoDlt3nGaj98Vp6UTz70/fiq+mROARc8289ObkdP8wN124Z2uxI38zb9crO/&#10;mPuQbbV3vVu1B9r6nvnDD3y98HPWA104H6Bfz+cDbqw+7hkmw2D6DcYYEIatzYSZx8N8TiDzOu+Y&#10;hNen7JuE/V+//77a52i/gf6YMuoP+o421F/SR/WltKs6eScOEzznn36dsEu1MxbbbgrsKgVqr/a/&#10;/mtV376oD/zt30z85qY1j4KF8Kx4wsQv8Al8MXi3LW+QHswMD5KPtPEsPE1e8Pdzd9xeeEpehqPr&#10;cFOZhAvPw9M8S5ef8rGlGdnFe+Gce6LfDk/GWzfPW6Vf7IvPeOhUzvDY8FCYwp8Mr17KkPNm+Lhv&#10;kgizLe2WHh/ttD/6asO0JzqrO6yKTgW96XesY2grsrB+HPycbc+zXzBZ25t/zs83FiZzix85OnG1&#10;HeO9eZ3+ws0Pto94Ls6so5nPEFpzcR7iu9/+VvVFdVOf6j9T2dVHPUsfM9n6R9V9eidcMFk8cTwv&#10;vf0z9tpuCuwiBbLGev78+T1ufI2Mh1/hTc4v2WM18hB846iwBWYGS8lH4TnceBI+TO+Mz+G7cBo/&#10;xqPwZvHxqOAiO3IWuUo5pRk+zw5vF8+7Rx95uPAZP8WTydXR8499Yj98lgYeqg7SYoLVcXunrHSg&#10;8sDLrYkvnbceRf20H3qipXZnp78Eq+21M99BW30XfeGktmSCnWx4Su/CcOtT5n32VEjHuoj+QPaO&#10;/kTfN4/zHXA2fBXePNHddHTdwXZ5KIdntrmAMlzA8Flvbg5MP24txr4JfVI99Wf1TL/Sb1JPYRg0&#10;4H9UY/Ao2um40hjHX7ubArtGgeCzemefdnicPdrkzfBF/MM4xK/wBlh3FOMy+km8iewgTXwIL/zE&#10;R2+pcuFh8sWr8Gf5B7/HuUPxuSkcP3zMc8ocHA2PY0sDr4OXkX3sJfOzR2787YfPaFD8ciqPdCqv&#10;FZ6oF5rRbf7wuWerHuY9+La8rBccBf2WnIY209b6obZK+5szOttHtwP7yMCwEF3hLhpHVw2L6S6E&#10;F3/s89rXs70Gm+09tv3oNpetPZSTzmlMix5KH/Ztb9gNt1MuuM0oK6Oc9Dbpc8pongD7tWf6eOYi&#10;+tZaHz717fTdJbe9uvWvKdAU2Kv9SuFn+Jv5PVyGLzCTm64Wv/SMDx0Fb8B78ZrwYXlI13lha4b2&#10;8cjbe/7B1mAvfIwswU95g815ZuPLbCa8Dr/D/zxbx8bfZxnr5n27xH74LC+0CO9ke1bO6CmtQYYP&#10;zzLVLKeT1Y6ChktOQ9sHi9CW/sR3wSMbwzU4h6782PqveZ09eJu/8+fPF7bCVTqSPI/hYC9/v/3u&#10;eo1cPca5nFvfcycP/bayBbPnOcT8TRhl10forPQze9fsN0ufZ0sHDdj6OT3Rktte3frXFNhlCuBT&#10;MCrz+sgizz7zdI19+LnGtcldeLjyg2vb8gf4hv9Kl1t65Eq8ihzi2fvCwCk/bn4VfuJRwV38Coaz&#10;C39XZeNW/qQjvnxipMM4lxW+6X40v00+vB8+45fySDrySZ3Uw/qAdcp5X9h8hxlZfdwHL06b/Wmg&#10;bzLaf14fmL87Nu/ps5/rPSt8vqkw2Z5+v+BrPaye+Y1G+2ZvZMLtZwtHtmbSJ6QT2Zkb1udZGvyy&#10;35KdeN6Zt5mzkf3hcnTis9x/U/UV/X/Wwd9cc0drLvqx/p3xyL30foNe/WsK7DIFyKmwiRyCX/jG&#10;k3Ff8t+EZcE483W8Ev7UHH6Fp9vwCLiWtMJ/6Jedk5J/sJYb/gpbfj++oE++yG/y9xzMT9ryUc7g&#10;Kbd6yFN67iOlP8ATyTXuTNv87YfP4ku75gVT3vJVVvvXpAU/0Dbys3mAvOENWm5Du12Iq42s0aJh&#10;7sfh1lbmkmisvwb/gpGx47/ZlpvP8FRYOBtzmLjyEdeP7Xkz3vgcd8rHNldzl521j8jRxiLczjzE&#10;c/RJua8PbZbeBzbbqZ+bAkukAD6wub7GD45kXQyG0Ccb83AG9hz3+JePPApHJ3nAvhz4CEfz7rjL&#10;ACvpC8i4+CE6jPJQeKozM77/zPzlf/2Loo9yZz6QdVLfzcoeYbK4+tBtWk+HydFJZM5w3PW7lunT&#10;T6cfodNF85lpXgRjzLu0t/V6bYEu2t5aLLqhIRyGUTDZnMdeCX1lCb/gurq4C8VaeeZ26hsZ2ziN&#10;0RfdX+8+WzQ1J0Qz9Kx+ONE2Yyh0Nw9FY+GE1y/4iZ+xxp0+zX0t+468+9cUWDoFMr/fxGf+8Ghc&#10;d41clzF9EuMTT4nezh4e8jPegHccd/7ygA8Pfv2rhaPzmuCN6y4R2pnLWJOHzb/31j/Y+y/vemeV&#10;T9nxNgbt7AtCU5gC58l66iMfYfBHZ6Tx0OOu22lIP7wfncL7lSt4YJ8X/4v0IxNttAdcyp4vcydY&#10;Zc+z+NolbbNurDPo0K/82OP4VDdYbR3dfET90YNbv9LHYDWZW7+0f8LaPNrQcxlPaGyuo+8Zz9rA&#10;+9IhTTTWB0v3s/JP+7DHNuK+VuYMNmkXuSlwRRQY+RhZkLHvxR2T9ITGO2O919g0fo1Hss9Jjkt5&#10;O7fijCheknIcZxmCz76nFSzA78Yf3ml/r/248Pmtb/n9vXe+/e1FG9iOD5K/6b/hcfgmPLFHCW/E&#10;C4UjP3s+N909zj7Oup2GtNVZW8IBRhtHvqs2nrBDOYVDS3vdrc9rA/Ky/mnOhJb0D/llbTfPZ90O&#10;ThurcY/n8PUvMrNxemE+PX5bdf6unDXtO7/wub3nJrkaPfWx0N141t/1wfh5Dh5rD0Zb8DsN/fOs&#10;t2uXvylwOQrAYvPyjHl6Wz/POf9hXo4nGo9kwIxL4/u4efzIH/AFa42+Ec3/uPOWvrqSNaz/Za7C&#10;7YdXRrftOfj8O296y9473va2eS4zldMdVfSRs7w3n3v1TP7BB9VFHkywiF/44knU81rloY4MOpCR&#10;8f/gMz+yXtFn8re3Cy6TEekfzHM800loB+3B+C0Fn1Of2Jeq21hf31zVF997w/XrOaW5jP5nHqMf&#10;ox9dQ7Aa7eGyMZY+OOJ02kQfNe61zbXqM2O+1dj91xRYMAVqv8uE0X7RoZHfzMWNY2PaHZnGRfHQ&#10;FZbgpeNYOQ53cCpzAfKzuy/hZnjJceSbNGGHfOgJ4QF62FsbWmU+45n8ApvJ0ORncxmyPl0jnog/&#10;SuO2Wz9eZ9HQTz2CT/KhEwhmnYR+IPW8Vra6po0zPwkNCpsnesAJd4PQP6AfOjLmOM7Zpc9qA/fb&#10;Za7p+az/Mv8b8XmzTsIknHfj3gh746zRR67WD4PR9A780dLeMuMKPdftMM0Rg8vaaewj+upJjP8x&#10;z/3cm7To56bA0igwjn1u/I2MGv2hcx3OAhm3eGX4qbXB/cbMUfqZD+AR+AEss5cVL/G8yTOOMt+k&#10;RU6QJ5ltxufr6760sQ8Eo+kY3vy7b937g9//d7U/zB5zGEKOEZ9x15k0o4dQB3zOc+4jiRzDTjmW&#10;autThdFTGwcLMvfKnMy6CtplfUE7kA/hd/pu5MclYfPYx+JWX3OQ1Dd9T73XftNcW5jx5705tjkk&#10;XJ7NfF8LuqJvzvi588w82J052mfT6Iva6iTG/0H9fqxju5sCS6OA8Z0xnrp5nvWI1vZuqrNM8AMm&#10;Gi/4Z3SOB42fbd/DZ/IUfoCPwza82dr4SeAz3mT/VmQOcwN8MDIbvkd28QyL3/anf7L3P//Hfy+Z&#10;ZD6vOt/hqMy+I60u8Fi6aIo+/NDUvjA05g+bT4N8sm37HRRfHdVZf2KEz7O7aNylGTy54bq/Ll0E&#10;vWxwWZ/d7L/px0uy9TGYm3p75mbHpL78Ey6YnXex7XvI2fusV7OZ6Ce4haEvsrfMfEm/jX7D2Dyo&#10;fY/7ferTdlNgyRQYMUc96XOjk3X211iEh/YX46mvvHKuxulxjz9YhSdkbiDv3LV0EvhsXgCbYS1d&#10;IB1gfpHV8Efh7P0Kf5v1ifNZH9ics1PqotzwGL8Lz1Ov6CW8lx6/46bvtU4/srK6oo1+hiaw2f1p&#10;aI+WjPmPe7T90Bz9M0+CR9yZL3m+FDal/c6CnT6mrKM7+LtZB/5oM/7yHVTxudnjnMa8UR/Vd9Eb&#10;Ps/z0fnuMno09Kcnt2/eubXMpa51/xnr2e6mwBIpYKyO4x0m0iEao9ZO3W0NL8Y9IZvPxzVO8Wxp&#10;lxy9krHIlmQo83q83Hwev1C+YNoaz1fYDvOEgQfSk270yPEr2XYVnp+06KizTgcf+KNXcME6vb3d&#10;aBWeRlcIqz3bf4OfZZ/T//2XC3vek+9x0e40pKu+mUepL3e100Tn8HhtwZ0+JRydNvqlH8KIrPvD&#10;nxFfljgmT7JOIy3dGQqrYfTcj/MN2Vmu5uceGDpwuo2se9X4XI1D40obGk+lC5ls7a6dPWt/Rntr&#10;d+8yXrnFTV85qA+fJJ06r6bAtaCA+TR8DkbD4/BFtrEDs40348oYOmjcHPX7jFfjGW7a+2y+b/+L&#10;cgW/M+bZGefKog4lo01xucMPKvwU9hc//3mlQT8AU+B+6IAG9An2CaNR5DJ3KsJs5RCGIWeEdykX&#10;utFbj/wrcw7lO2o6nbb0wnvRPrw37cHmhzb6FXqglzaFzTnTbH7k3Lvf5rrqtRgvS8oz2Kxfj/NO&#10;fdZdRPbkRX+hn9OpaQ/zz3m9+n11toNcbX+98aR/p73ZxTumcauNR16i/fkJk76QcT72Ee5LmSW1&#10;RdelKbAfBYxNJnox54FgTdb9oss2zow9Y8iYOgl8MX5hMh4uf+MbT+fvHkO4aS+bvSr8jGNli2yc&#10;Obs40olR9vACfkmXjcfYG0Nms+YZ7EUHP+dOfXcQ34pOUBhyh/s5lVN5lSP6a1jNeK53eNhkLsV3&#10;luKPnuigbRjtUHOiieb80USYhLOvgOyWvgcD7Gvycybfr3Bkn30T9bL/rpgCGf+JaL4+/vRZbUBn&#10;pV3CG0YZO+cbzE2tbcPqjLmx7fnFP2PRc8atPqEv8DsMfxnL2e6mwFIpYIxmXLoXcMae9xXmjDhy&#10;2HFzVPhirGbscsO+PNMZ21ttXQw20rcFd/F95c54TzrKnzoEn4XhdsfDPXd+seRfvCe4TMdPfkMj&#10;Ye2B5Qe/w6Pcz0TuPnfuJ1U+vEeayguPuMXFq7iV76hodJrTCb3VO3OW4HPwGi3Q5MnHH6t+N54B&#10;ik57lJuznqo9+nc0FMiaQXhAUjUXQu/M3X/+s5/V3m54nDWcyNX03uEb9B/GpXEDq8dxGPzNeNBH&#10;0ieMWfMBfeMw/TrlbLspsHQKZGySR+c58k2Fe8ZP8A0f9XyYsXMUYSLbwjnjlm1cSzvfs1Qe65Xu&#10;RoLTZFs6UnckBQfJ01kXsx5MThNHWPuzYQL5wNzE/cbqb62N/lq6fviM5/E7QniTe6DxFXmhE1vZ&#10;4JGyKa+8KwwZfnof/6Og0WlOQz21YdV3pS9I/c2vGG0Km8nK6I63aw/3lPtFbq6H/jtSCpjj2EsR&#10;PXcS33zmD6NhdeZFvhFDB27MwWXtFqz2DL+dLTSXNabs6zSGxvYPLusfYz82jjLOR/9Nd8rbdlNg&#10;6RTIuLPXOLIj21gZZb7Me/HdzfFyHM/JxxiObti4tkYWGdk78it5Gl93x5ezIfiFOmReD1/p4Kwl&#10;f/6zn6n9qOLkLKfvKpCL8RY4TE7Ak3xngKz8nuuvK54jjDzwGrRJvZVVOfgpa+Y1aMatnGQDc43E&#10;WbKtfdQZncKL0QYt0ID7yccfLdqiqfZCc+fEx1+dL5hkufEXOXr0a/fVUaDk5wmnwwMiL0uN29w9&#10;7/hxj/S39gN/c4cMPThcjoxt/M3tO9+Rbh3ImKvxO/WR0TYe9JWMycuND2XpX1NgqRQwzsZxp57G&#10;Az6ZMeVOIbiDzwZf4M2IS5cbQ9u8w8flLT88PmeEYVzGLzwURj7CiOO9Ma68yrmf8a7iTHHFS53x&#10;FnXHa8i9sMKzu8PYwpkDKJP4wd7QQxz5e1YWtjD85MmPSfm3oc9pjxvaaJ+0kbpz0zFY1zTviaGz&#10;QNvswYscFzvjMLqePLd9dRRA100s9hy/2FIf24DMPb7zPm3205++Unvt3aFgbqxNjanoxMe5/7bn&#10;q+Xbv6bAUikwjkV1xPfsf4JBWQfMui5dJMwj9+CvwafjxAhYJ33YFt22vDNPgH3KEzlNOM+FAVNZ&#10;PXvneSyn5/hlvzDZGv6qN9lZ/WAF/jLrtOfvCVtTk5b4yscOFssP1qes0ihaTWUQ1juG/0nQb6zz&#10;tXCHLlXfiQZ0Cton55v1MzpQ+MxNX5r5Ys6w6Zf88H/9c/T3rn/bUSBzHTQeMTj4633aZDMn+wLG&#10;9tBG4gnPkKvtIYDV0X+To2H03ObvK7nauLua89Wb5ennpsCSKLA57oLX9kBFL3zHpz+1xhP8Fc7A&#10;PLz3uHl++Lr8CmsnXJOnvAvrVvMEGEmOZrxPGQsLp7jeS8M72C5da2HWxfAGvAL/oJOz3uy81d1f&#10;+sJaR4cW8NuZKmkl3eOu/2lPv+YcqzYwD2HG+ZH+wo+N/qGb74qbB6EruuPZ2QumD444saTxtot1&#10;SVvaO2lvC72UcUamNu8NbhuD5sJXcr56F+nZdd5NCpgnZ67sjJX9OsaMNaTScf94XkOET3DjJOS/&#10;8PzYmRMEt2EBP4YbDgS7ldF55mBc4eqEFS+/9GLtK6VvwxsYumt1tdeFztU9VeEbcMQ7a9DKkXnC&#10;SdQ/ZT+tNnqYE6U92Jm/hN7aY9Tr01egd7AZn+7zzcvkOeEpamfe5dnPOA1Wmx8z0dnNuH2489WV&#10;WP81BRZKgeDxZvXopcxts2fHGiw+i+fS3eLLJ4EZI2/fxABlwfeZwuSpTMrFnee8F5fbnm0YDBui&#10;s4a/sBp/CI+AH+Rl7/jZMycNOv6kJb2ToMFpzoNMnHbRHjHagb/n6DKst8Nh/Nd8h93nmzdH3rKe&#10;6eciP6sZXXgwOv7m1Vd7vnpZ1OraNAUupsA4v/UmukV7M+m44RRdFDc5Keur+O5J4Ebx9onPw1tr&#10;3+PcADYEI7mNc+VTrmB08MF+UZhAJqYPyFme4DE/bphtPRReCwPL3SMGb+QtD+VIHidBg9OcB/rD&#10;YfRGH+7MYdBsnC9lnzZcRmvtEZ12n2++eFwu6QlPgdP5cQenYTReI4zflZ6vTpptNwWWSoFRhjZe&#10;7PFg6CHx0eiesk8MD4absOq4sSPy2JgPP2Uo2W3CZWWBD+QzeGGdy3t3gPnWMkwmL5tnzDrr+ft6&#10;6hUdK1nZupj1aGeszEfsaYlOO3nJQ/qZF4zl2kU3/E290y6e+UfvjWbWmzP/mdceb6pvYxtTfb55&#10;qZzl4nqZgwWHvRkx27N3sDr+hzlfLV7/mgJLpsDm/DZ1hdEwCo6Ro+2vjFyKB8Os8ObjtguPYfJk&#10;4AB8VBbu2Mpg/5a7vMb9ouQ0Rj3sP6GzJyd/7o7b6z4S30kid5OLa215qlfWsdUxMjn5kN5ffrDn&#10;JOYnx03XbdNHm8LliU7OvmmX6FnI0d45F4v22gD9zYmsl+hf+XFH3xm/8Xxt/NpeDgWi58Z/RhlB&#10;DWH02P7G3X7nq5dDja5JU2B/CmS+yjZWMl6Etk+M7jdnItzzZM+VfbgnIUPKI1icuUHyxfvtW1NG&#10;Mm901JGXlZmZddqz7Ay77Q+D8/AYDkvPd3hgTXSymXvAZG55wTJh+SmLNLbFtyXEjw479EMvZ2DR&#10;yf1s4zq/tnjgq/ev5aRgcuz00PDuPLd9Ninwq1/9al1wbers5tjWeE1+oz/99/hOmMznxvPVidt2&#10;U2CJFDAmMg5iq2cwm589UvS/5B521l+DYceJMfBQPnTY3O7stGZJD50zGvSmypg1ZTjNRKftnq+n&#10;v/9UYWyltyGDSxv+wlxzj8jonhNeGTzDoqxzez7Oup+FtEcaoA3Z2ZwHNrufTRvMeosbq43sAxj5&#10;cMaU/ob/4uHjedq8b/vsUmDkK6M7NdqUnePPPuh89Ri23U2BXaQAmZkcGt0kvINnMfANpuHV/OLG&#10;r2FM+U34Rr4SBr6z8yw8Awu9i2wunrs3ncOYv50z39UJe+lK8X5lYuYzGc5Uznu8fLf5icce3Xn8&#10;3Bbjx3lJ2lLbMdos++XgsfbKHTbay5yJvAyf9R/7w/xg8X4YvYtjq+vcFGgKNAW2oYD5rX3MWceF&#10;hw9O33uFp8HSEWPhsnf4dXg5G39POO88C8vN/Ojll2pPGrlLfrAWBs/66ZvLxvPxejyfvzDKZT+X&#10;b1vAc2UK3m+LT7sev9prmlvBae7QQ3sWnVf+oTf9g30K0W1oP0bb+v1/9u6sx47iDOM4nyDKRb5w&#10;oiAiULiICJsBY+I4WBarMbaJAbOGgHITwGCikA+QzWCL20n/qv0MlSOPg2eJNDNPSz1VvZ5znu7p&#10;f71LVYfLKfdyX/bYKlAFqsBxViD+KLkacsTkXel7hJP6suKwZ/Zg9W172bOabcyuVobT9suy5zWW&#10;vvbKS1vPPn1i2L9Y67me/F7tAGMJ+Sz28WovG3vzl4MB8ru8h8pYkey25Gv5PDxRhictd37H/d20&#10;oaE2VNph2df6XEs+D3q7ntpK+qel3eRayoHns3YPJYbof0q7r1MVqAJVoArsTgF8TixaXFGMN/Yr&#10;TntfMt+mZ7UcK2zGZc9s6zy31cV/5eyKG4the347T8aoUF/jxg8PHmMz+9jsGc8mMzazdzRjQ2LG&#10;PjOs8Dn68sT3mrZDmNLy3hlNT9dU+yc8pjdtXXfXV924L65Vrq22FFbfuPHvceOlnWchfZ1zX40d&#10;+qcKVIEqUAV2rQAbSEyXbxmb814Dz2V50XK35Adh6BwzXsejWPsc47Jnd3KGUncOfI7dheNvXHx9&#10;+EVxAANwAmPDXZxg28Vet42dN/i8cCP2dLl871yOZmFy4hPaRdpp1rsO1l84/8q4ntpR3r8pX1t8&#10;ApvZy+Gw+yd1tnPqu74he2AVqAJV4JgrEJ+kvhGeqWyq5GjF98zeZVuveVorZ8NxzLXdcvgcW4uN&#10;9cSjj4zxro2hyQbGW+w1p44XWQ6nsQEnlLhsO37Ut717HofLKWmba6FuPf3prZ+auD8ua2et1371&#10;deRfBodnP/bsj5nXZ/+WVaAKVIEq8MMUkMfjOTr7JzH6X8t4AeLGOIu7OOs5jdfi1DjMjsJxbOa/&#10;DpMdJ79M3Dg2rue9ObZx+DDnmtmW/cLi+LltmzniuPAk52q5O27HVubHoLFr4PrN1xefXd/LFy9s&#10;31ib44K5h5IXNt9P2we0UgWqQBWoAj9Ygdg4GcsnfVRzAs9s+daezeynsFocco4h81cb4xEzw1m8&#10;DJNjJ3v+q2eZv9z+OGx2TLjLTg6/xzHLco6zn3OVybtjcnSjZ7hsfDCxi9+dfm60v1xz7bL4tK99&#10;/tm4LXLPWAiPZ1926mV0/otaVoEqUAXuXYHZtz0/T8USZ7vasnEyw2ScNvN/fvLHj4adjJf817F1&#10;PfvDgZZ74+isH50zJ35Mc7O2TdpI9sk1UHcO7SXbc3zaOxh98bVXh48Ek8NmMQ394cWkTe4D03yv&#10;jBX9UwWqQBWoAvuqQOyfnHS2jbLOs1geNf92Ys3yg15+4dzWl8v4m57xiRMr5QJbhwUzV1rfH0aH&#10;rcr4GsJfGofJ9MfdMNg28Yb4JZTWGVeEL1vby/XN+734tPVvM7kHwubNMvdJyypQBapAFTg4BWJP&#10;z58gFu25zZYSb2Y365sc37NnPBZYTu7WvM32zgejQfi8zeTbfZnpjcWJGViOX0MbyrjmcvBd18SW&#10;1bXBXGM+bv5u09xmi+865XyftF4FqkAVqAL7q8D8/M2ZxaPZ1uwm+V6e4fyeSvFoPPC8jz8bl5PL&#10;JaY88rRv22dl88GwOczVFlLngx6+i0V33A67bWNH6x8nv0s+vTYWFivl9qlrf+lXd/2La+M2yLsP&#10;Ulo5c3kzPyz3TssqUAWqQBXYuwKet4kzzzHF+DC9E1rOdp7lz//2N9/HLhcOxF8a/2qYgN+x6crn&#10;/eVzYs2xh+lMdz4MtrH3V2O28b7yrhHtKtdxzbdfc/Ctc13ZzfL9vLvTlPtBfY5/uCfKZ6p0qgJV&#10;oAocvAKzP3t+9vpkvDbeZ57tnuH6TOEBFoTJw7e9LLOZcYEdzZYrl/fOZRpHZ3qGzbGP8TixBD6M&#10;a599OsZ8e+yRXw3bmD3MRsbmlJic8Wfk3Rv7zX0wX//4VEbcefGjhNP2Sf3g785+QhWoAlXg+CqQ&#10;5zAFPHtnG1pfm4zRKZ/X+ylwN7zAY8zACpxIrNN2rMDtMnpvjL4Tn8Pm6M53/cF77453ZGtLsYfZ&#10;yeIRGVNk7R+3rvfuKeN1es+u6W68vdO2+Z4ZJ+ifKlAFqkAVOBAFYhPFVsqHPHfy6eH/9Kz3zPfu&#10;IvYb9saGVseH2NOYEb9r+F1G757R/4vPZ8+cHmNtih0bNwaHc73SF068WdyZnZ28gjAWf13/TO6B&#10;TVt6ZrRtjs3xOa5lFagCVaAK7L8CeUd6bGfPXs9sftDV7npoy/uWYxezlc1YjM1YbXlwe+G1OiZj&#10;NqbbL9vCG+Vx4PbXt8df8VvTdolWeDk0vR0/nvOt+SKirTxqx2vvaPvob84vzVZOfpf+Ua5VYhGY&#10;7L3enapAFagCVeBwKhAmz98em29+++2wxzzvjR9l7Gx8wZDEQPFi2NELZ2zDGqU5zLYu+6e0HW8w&#10;+6gz2m8Og9Xz260bGixspqm67ZiNyzmGxtHz/XeuDluZXSyenLYTP3bG4rxy+dLWrVu3Rvsq75Ga&#10;r23rVaAKVIEqcDgUwOIwOjnbvrmxOuMflUskDzi5YfgxmLHwVcnWM2MLe5HdbL2Z7YfV2INB4XXY&#10;pDzKczjLZjbTAXNpRRe/PXaxfc3W0U6pn7JxvYzTxlYWT5anFzvZ8onHHx26u25zvt9ct61TFagC&#10;VaAKHD4FMDqc5t821jL/9jqm1Dru9jrm9i+2Tp86ufXiubMjpsmu9p6jbTtvYfZsU4e94RSbOQwK&#10;s7PPUSz9RjM2y62jTfgcP7c2jdl227R/HKNN5BrI0QuTxZlxmu3svY9yvHLd5jhxbefD9z/Yb1wF&#10;qkAVmBXYzPPhG83z3hie7DN9rNJ3FjPEP73f6NKF82OsktW3+vAYc+r1869uffThB4M3bOrEXzGZ&#10;TchuDLPUjyKT59/kt+Y3x5/Pv2B9xhKhTfhtXz5qXF5zr9fcPPl5mIzNcr1mFrteludrmfedzNe6&#10;9SpQBapAFTg8CvBv57nuGe9ZP48XdeqZp8Z4zNiwxj0fGBxmX2NJfLP8sLj99pXfbzkmfld9svjK&#10;2YQYhNFh9nHoI43Jg9ELk2M30wCTx9guiz0dHfmx2cm0NgZ22kRYLcasn7JpjkPMd5praVLmWs7b&#10;W68CVaAKVIHDpcBOcUrrjeEodzv9aZOXJCbNfpafLS4dn/Vflzoe4RKGX33rza2TTz057D45xxhu&#10;u/0xe7Y1j2KdP9tvxWCz35hlummryLPmq+DHTlyZT0Idr+c87J3sYu0qcxh9uO7AftsqUAWqQBXY&#10;VCB+Us92U+KWWZ/y3atvDXuOXbzad/dvj39x/uUXtz5bxnZmFya+HEbHZsZtdrQ+1Xy0mP/V9S+P&#10;PJ9jK+M0bfgM2M3Y7H2dYgeJJ6/+7HVMbFw2Pmf0T+kasZ8th8nW3Wnayc6+075dVwWqQBWoAodT&#10;ATzg915j0g8u/usHh72Xd2Yo5Rh756T4M7ta/Dl8in3Nfvz80z+P/diLxve2LvZlfMBYlvWOHXxb&#10;GJd1OW/s0+zvc51j3t8xBzWP7+vzlu87vudSapPEVvY97UOLkR+2bJdT98yJJ0afKDrSLuNt4rVx&#10;sHfyaRzOu6ffugpUgSpQBfZbgdhgiVE7P/aJMcsl5oPFGCW7mg0YPy1ee58G+1o+GRucf9u4oRhk&#10;TErjaGA6X7jz4hmO8X3Lo4ovODlVOGsf/EuJh5kT07XN+Q6KyzkvLofH+f6+Ox777n4LPqvzF5z5&#10;zanbXBZjvn9olVywq29e+T4XYLGRZ833+7r2fFWgClSBKnD4FeDznu05MVBxTowUW07+kphp8ozZ&#10;hGLVGCR2zV9rHV9ufOT2NVtnP7ajd1e+/+474z0P+k4Pm3PhLO6asc6Mibbxo1vGb3zEy3DbtnD0&#10;oEqfZ3b+0aZYNPHdLPtevov18trpY6wXOmjLmNnNcugSV7h18+b2DUPjTlWgClSBKlAFdlJgkxOx&#10;qbM/v7fYMp8t9uCvXG/29dp/euVw8r9nJmMzfmMXXjle3b5sdLwW22aPhr9hMP7iXxiOg5bx0Ta5&#10;VwfF5ZzXZ4ut86v7zH/+4++jHWHZ93jryhvb7ZFo4/f7zWLweUeF9s+mztG3ZRWoAlWgClSBOykg&#10;9owdySGzz7w8c4Ud6P3Dcpv4tr0rScw6tnVyoLK8+sfXfr22saMx23r2N5bxlzuPvlv84LiLw3jN&#10;b4yPltnX4Sae/z/sZ5/ve/jctBt8v48/+sPWk4/9erDZb+FjUPotzz59Yuvbb765a36XNpDc+U5V&#10;oApUgSpQBe6kQGKgm/16sh5DZj47B45v2tj2cYx5c3/8//D997bOPX9my3uLMZk/PLY3ZofVbGx2&#10;J/7jLw7zsyfWi5WJWxv/I7w+qNJnOXdKMWa/w3fGYr+FD9tvUWpHmKKf+k562dapClSBKlAFqsBO&#10;CswsCVtTOsb22bae6zg9H7/5Gdi8ObEtL7/+2vaY03zBWGfGbXY2G5sdiuvD771w+S9fXR8+Zcz+&#10;erFhY9ceFJvn87Kd5cBpP/huyvj5tTn+9MnH2z8zv5mGg823/RN2iN2cbdsHtVIFqkAVqAJVYEMB&#10;DAljlanPOWObnJn57XQ5JqfGqPl4+8/rwifrjHEid4wtal594g9u29TyxL3bCS/Zp8kVU58ZehB1&#10;bQD9yeb3V6zfc83/euWlF0buV9op+c2WZ438Tus6VYEqUAWqQBU4DAqEYfiPt/LF2NH3/+yn27a0&#10;vCs2q/HJ9K2Wl8XnjdNmx4048WLjKvnFcTV9scJ16x071i/7OodtSvYxm9y5cv4vlzFN+drx2OeL&#10;qWs7sJ3ltn1z48ZhkLjfsQpUgSpQBarArhWI3ekEctDeefvNwcU5Lo3TZuNYY6rcar5uTMVpbMbW&#10;MHfY2Qt3sTfz2IbrmLww3HrH6SuVZaX3hOi7jccZWwSjff71L64Nf4E2RacqUAWqQBWoAkdVAb7x&#10;Td8vf7BJzJc9jY184OnDdfbM6dHnCW/NGGvGZH2fwmYctj4ctmxbbGx12/+29N1yHvnjfNlsZDlg&#10;YswYLT9bXlimOSaQdS2rQBWoAlWgChw1BTZt0XmZjYyNGB1bFj/VvVeL7Yut7GgzFjuGHRwW47G6&#10;7dssX1gdTjvHlTcuDZtde4BP22doD+j79d13321t5rjHN3/UrkV/TxWoAlWgClSBjKtFic0cKtti&#10;R7Ox2bb8y/i5MvShMQ6IftODswuXMRif+b4xG6dtSx2bE2fWj1sdl9cxOFcms5fj1/aOi3yH+Wpt&#10;snre1noVqAJVoApUgaOgQGzl2KMZX3T+bfhs1udZfya2NKauY4z+fMSK5YHj7bCVF9sYk+O/to6N&#10;PLYtpXHCjQt+4vFHx5ic3/uz1xxy22YG87/rC+47ZMr3zXLLKlAFqkAVqAJHSYFwLjHo8Dq/cc4d&#10;yzpjl7GlcVVetTpW4zbmvnju7MjxYltfvnhhjI/tPR5ywNd9HxjHOUb/a8fxaWO/HHET+51f2zR/&#10;J/WZ02OH/qkCVaAKVIEqcIQU4DsO+8LpmX3Ztuljtq/3Y2EtXzS+YnWWcdd65cxw+V6WsZiPXF2J&#10;y2zqTM7vs/P5WZ9y8/tkfcsqUAWqQBWoAlVgVQCn4+tWYrV3d4TVWByGJ//bPtadPnVy+MSdKe2D&#10;6loFqkAVqAJVoArsTYHY33zR+k7xZ+edmMYKZR/L89Y3y7Jc7EsXzo+4tE+ebfXZj177eG/XpUdX&#10;gSpQBarA8VZg9j9j6szbub6pEls5250jse/sV1s6SrSsAlWgClSBKrD/CmDv3ViL6fN2y7Wd9/86&#10;9IxVoApUgSpw/BTYZComx66e+0hRxr6b/bf+i8/TOyw2berjp2x/cRWoAlWgClSB3SnARz3zdT5L&#10;2Gy7/cLs7BP/trhzttlX3bZbN29m15ZVoApUgSpQBarAPSqApfLDwuMcPtu/4e6dWI7H4fNcz3la&#10;VoEqUAWqQBWoAntTAF9xORzG7tTnM4fXm+vm5djX87rWq0AVqAJVoApUgSpQBapAFagCVaAKVIEq&#10;UAWqQBWoAlWgClSBKlAFqkAVqAJVoApUgSpQBapAFagCVaAKVIEqUAWqQBWoAlWgClSBKlAFqkAV&#10;qAJVoApUgSpQBapAFagCVaAKVIGjp8CP7rvvvp8ss+nHy6z+HwAAAP//AwBQSwMEFAAGAAgAAAAh&#10;ADT3IpzgAAAACAEAAA8AAABkcnMvZG93bnJldi54bWxMj0FLw0AQhe+C/2EZwZvdJLVpidmUUtRT&#10;EWwF8bbNTpPQ7GzIbpP03zue7GmYeY8338vXk23FgL1vHCmIZxEIpNKZhioFX4e3pxUIHzQZ3TpC&#10;BVf0sC7u73KdGTfSJw77UAkOIZ9pBXUIXSalL2u02s9ch8TayfVWB177SppejxxuW5lEUSqtbog/&#10;1LrDbY3leX+xCt5HPW7m8euwO5+215/D4uN7F6NSjw/T5gVEwCn8m+EPn9GhYKaju5DxolWQLtmo&#10;IEl4sjxPowWII9+fV0uQRS5vCxS/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CRO13lWwQAAAoNAAAOAAAAAAAAAAAAAAAAADwCAABkcnMvZTJvRG9jLnhtbFBLAQIt&#10;ABQABgAIAAAAIQCAP7ZvnqsBADibGAAUAAAAAAAAAAAAAAAAAMMGAABkcnMvbWVkaWEvaW1hZ2Ux&#10;LmVtZlBLAQItABQABgAIAAAAIQA09yKc4AAAAAgBAAAPAAAAAAAAAAAAAAAAAJOyAQBkcnMvZG93&#10;bnJldi54bWxQSwECLQAUAAYACAAAACEAjiIJQroAAAAhAQAAGQAAAAAAAAAAAAAAAACgswEAZHJz&#10;L19yZWxzL2Uyb0RvYy54bWwucmVsc1BLBQYAAAAABgAGAHwBAACRtAEAAAA=&#10;">
                      <v:group id="그룹 27" o:spid="_x0000_s1170" style="position:absolute;left:63;width:22403;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71"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86" o:title=""/>
                          <v:path arrowok="t"/>
                        </v:shape>
                        <v:shape id="Text Box 14" o:spid="_x0000_s1172"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4F73695F" w14:textId="6E68C496"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I</w:t>
                                </w:r>
                              </w:p>
                            </w:txbxContent>
                          </v:textbox>
                        </v:shape>
                      </v:group>
                      <v:shape id="Text Box 1033" o:spid="_x0000_s1173" type="#_x0000_t202" style="position:absolute;top:17653;width:22371;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69293CE7" w14:textId="77777777" w:rsidR="006D7011" w:rsidRDefault="006D701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3C2EBF35" w14:textId="3517B67D" w:rsidR="002E5800" w:rsidRPr="008F328C" w:rsidRDefault="000E0B7C">
            <w:pPr>
              <w:pStyle w:val="a3"/>
              <w:numPr>
                <w:ilvl w:val="0"/>
                <w:numId w:val="25"/>
              </w:numPr>
              <w:rPr>
                <w:b/>
                <w:lang w:val="pl-PL"/>
              </w:rPr>
            </w:pPr>
            <w:r w:rsidRPr="008F328C">
              <w:rPr>
                <w:rFonts w:eastAsia="Times New Roman"/>
                <w:b/>
                <w:bCs/>
                <w:lang w:val="pl-PL"/>
              </w:rPr>
              <w:t>Wprowadzić wstrzykiwacz do miejsca wstrzyknięcie.</w:t>
            </w:r>
          </w:p>
          <w:p w14:paraId="686A34E9" w14:textId="77777777" w:rsidR="002E5800" w:rsidRPr="008F328C" w:rsidRDefault="002E5800">
            <w:pPr>
              <w:pStyle w:val="a3"/>
              <w:rPr>
                <w:lang w:val="pl-PL"/>
              </w:rPr>
            </w:pPr>
          </w:p>
          <w:p w14:paraId="4D7CCBA0" w14:textId="69C0A563"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Przytrzymać wstrzykiwacz, tak aby było widoczne okienko.</w:t>
            </w:r>
          </w:p>
          <w:p w14:paraId="479C9211" w14:textId="1E95A7D9" w:rsidR="002E5800" w:rsidRPr="008F328C" w:rsidRDefault="000E0B7C" w:rsidP="00BE3C8A">
            <w:pPr>
              <w:pStyle w:val="a3"/>
              <w:ind w:left="4117" w:hanging="180"/>
              <w:rPr>
                <w:lang w:val="pl-PL" w:eastAsia="ko-KR"/>
              </w:rPr>
            </w:pPr>
            <w:r w:rsidRPr="008F328C">
              <w:rPr>
                <w:rFonts w:eastAsia="Times New Roman"/>
                <w:b/>
                <w:bCs/>
                <w:lang w:val="pl-PL"/>
              </w:rPr>
              <w:t>b.</w:t>
            </w:r>
            <w:r w:rsidRPr="008F328C">
              <w:rPr>
                <w:rFonts w:eastAsia="Times New Roman"/>
                <w:lang w:val="pl-PL"/>
              </w:rPr>
              <w:t xml:space="preserve"> Bez ściskania ani rozciągnięcia skóry, należy wprowadzić wstrzykiwacz w miejsce wstrzyknięcia pod kątem 90 stopni.</w:t>
            </w:r>
          </w:p>
        </w:tc>
      </w:tr>
      <w:tr w:rsidR="002E5800" w:rsidRPr="00A5286D" w14:paraId="064C4B8C" w14:textId="77777777">
        <w:trPr>
          <w:trHeight w:val="8391"/>
        </w:trPr>
        <w:tc>
          <w:tcPr>
            <w:tcW w:w="9581" w:type="dxa"/>
          </w:tcPr>
          <w:p w14:paraId="7640551E" w14:textId="77777777" w:rsidR="002E5800" w:rsidRPr="008F328C" w:rsidRDefault="002E5800">
            <w:pPr>
              <w:ind w:left="104"/>
              <w:rPr>
                <w:rFonts w:ascii="Times New Roman" w:eastAsia="Times New Roman" w:hAnsi="Times New Roman" w:cs="Times New Roman"/>
                <w:b/>
                <w:bCs/>
                <w:spacing w:val="-1"/>
                <w:lang w:val="pl-PL"/>
              </w:rPr>
            </w:pPr>
          </w:p>
          <w:p w14:paraId="4AE01083" w14:textId="2AA0D191" w:rsidR="002E5800" w:rsidRPr="008F328C" w:rsidRDefault="00F2584C" w:rsidP="004142DA">
            <w:pPr>
              <w:pStyle w:val="1"/>
              <w:spacing w:before="76"/>
              <w:ind w:left="0" w:right="2736"/>
              <w:rPr>
                <w:rFonts w:cs="Times New Roman"/>
                <w:lang w:val="pl-PL"/>
              </w:rPr>
            </w:pPr>
            <w:r w:rsidRPr="008F328C">
              <w:rPr>
                <w:rFonts w:cs="Times New Roman"/>
                <w:b w:val="0"/>
                <w:bCs w:val="0"/>
                <w:noProof/>
                <w:lang w:eastAsia="ko-KR"/>
              </w:rPr>
              <mc:AlternateContent>
                <mc:Choice Requires="wpg">
                  <w:drawing>
                    <wp:anchor distT="0" distB="0" distL="114300" distR="114300" simplePos="0" relativeHeight="251658293" behindDoc="0" locked="0" layoutInCell="1" allowOverlap="1" wp14:anchorId="0552CB11" wp14:editId="2AAEB9A8">
                      <wp:simplePos x="0" y="0"/>
                      <wp:positionH relativeFrom="column">
                        <wp:posOffset>32385</wp:posOffset>
                      </wp:positionH>
                      <wp:positionV relativeFrom="paragraph">
                        <wp:posOffset>203835</wp:posOffset>
                      </wp:positionV>
                      <wp:extent cx="2052955" cy="4870450"/>
                      <wp:effectExtent l="19050" t="19050" r="23495" b="6350"/>
                      <wp:wrapSquare wrapText="bothSides"/>
                      <wp:docPr id="3941" name="그룹 3941"/>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26" name="그룹 26"/>
                              <wpg:cNvGrpSpPr/>
                              <wpg:grpSpPr>
                                <a:xfrm>
                                  <a:off x="0" y="0"/>
                                  <a:ext cx="2052955" cy="4870450"/>
                                  <a:chOff x="0" y="0"/>
                                  <a:chExt cx="2052955" cy="4870450"/>
                                </a:xfrm>
                              </wpg:grpSpPr>
                              <pic:pic xmlns:pic="http://schemas.openxmlformats.org/drawingml/2006/picture">
                                <pic:nvPicPr>
                                  <pic:cNvPr id="171" name="그림 17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bwMode="auto">
                                  <a:xfrm>
                                    <a:off x="0" y="0"/>
                                    <a:ext cx="2050415" cy="4697730"/>
                                  </a:xfrm>
                                  <a:prstGeom prst="rect">
                                    <a:avLst/>
                                  </a:prstGeom>
                                  <a:noFill/>
                                  <a:ln>
                                    <a:solidFill>
                                      <a:schemeClr val="tx1"/>
                                    </a:solidFill>
                                  </a:ln>
                                </pic:spPr>
                              </pic:pic>
                              <wps:wsp>
                                <wps:cNvPr id="15" name="Text Box 15"/>
                                <wps:cNvSpPr txBox="1"/>
                                <wps:spPr>
                                  <a:xfrm>
                                    <a:off x="1333500" y="4724400"/>
                                    <a:ext cx="719455" cy="146050"/>
                                  </a:xfrm>
                                  <a:prstGeom prst="rect">
                                    <a:avLst/>
                                  </a:prstGeom>
                                  <a:solidFill>
                                    <a:prstClr val="white"/>
                                  </a:solidFill>
                                  <a:ln>
                                    <a:noFill/>
                                  </a:ln>
                                </wps:spPr>
                                <wps:txbx>
                                  <w:txbxContent>
                                    <w:p w14:paraId="53A35740" w14:textId="1E282CBF"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6" name="Text Box 1036"/>
                              <wps:cNvSpPr txBox="1"/>
                              <wps:spPr>
                                <a:xfrm>
                                  <a:off x="0" y="4114800"/>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AE7C0" w14:textId="77777777" w:rsidR="006D7011" w:rsidRDefault="006D7011">
                                    <w:pPr>
                                      <w:jc w:val="center"/>
                                      <w:rPr>
                                        <w:rFonts w:asciiTheme="majorBidi" w:hAnsiTheme="majorBidi" w:cstheme="majorBidi"/>
                                        <w:b/>
                                        <w:bCs/>
                                        <w:color w:val="FFFFFF" w:themeColor="background1"/>
                                        <w:sz w:val="24"/>
                                        <w:szCs w:val="24"/>
                                      </w:rPr>
                                    </w:pPr>
                                    <w:r>
                                      <w:rPr>
                                        <w:rFonts w:ascii="Times New Roman" w:eastAsia="Times New Roman" w:hAnsi="Times New Roman" w:cs="Times New Roman"/>
                                        <w:b/>
                                        <w:bCs/>
                                        <w:color w:val="FFFFFF"/>
                                        <w:sz w:val="24"/>
                                        <w:szCs w:val="24"/>
                                        <w:lang w:val="pl-PL"/>
                                      </w:rPr>
                                      <w:t>Następnie powoli liczyć do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038" name="12-Point Star 1038"/>
                              <wps:cNvSpPr/>
                              <wps:spPr>
                                <a:xfrm>
                                  <a:off x="73660" y="617220"/>
                                  <a:ext cx="865493" cy="805276"/>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B6" w14:textId="77777777" w:rsidR="006D7011" w:rsidRPr="009A2CB5" w:rsidRDefault="006D701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Pierwsze kliknięcie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1040" name="12-Point Star 1040"/>
                              <wps:cNvSpPr/>
                              <wps:spPr>
                                <a:xfrm>
                                  <a:off x="53340" y="2697480"/>
                                  <a:ext cx="861059" cy="80010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6ADC3" w14:textId="77777777" w:rsidR="006D7011" w:rsidRPr="009A2CB5" w:rsidRDefault="006D701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Drugie kliknięcie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552CB11" id="그룹 3941" o:spid="_x0000_s1174" style="position:absolute;margin-left:2.55pt;margin-top:16.05pt;width:161.65pt;height:383.5pt;z-index:251658293" coordsize="20529,48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n3m0gBQAAYBUAAA4AAABkcnMvZTJvRG9jLnhtbOxYW27jNhT9L9A9&#10;EPpPLPkdI84gTZrBAOmMMUkx37REWUIkUiXp2Ol2CnQLbYGuqN1EzyUlOXYyzQNtigbzEYdv3nt4&#10;7rmkDt+sy4JdC21yJadBtB8GTMhYJblcTIPvL8/2xgEzlsuEF0qKaXAjTPDm6OuvDlfVRHRVpopE&#10;aIZFpJmsqmmQWVtNOh0TZ6LkZl9VQqIzVbrkFlW96CSar7B6WXS6YTjsrJROKq1iYQxaT31ncOTW&#10;T1MR2w9paoRlxTSAbdb9avc7p9/O0SGfLDSvsjyuzeDPsKLkucSm7VKn3HK21Pmdpco81sqo1O7H&#10;quyoNM1j4XyAN1G4481brZaV82UxWS2qFiZAu4PTs5eN31+/1dVFNdNAYlUtgIWrkS/rVJf0H1ay&#10;tYPspoVMrC2L0dgNB92DwSBgMfr641HYH9SgxhmQvzMvzr59YGan2bizZU5b8WbC7plmeQILhgGT&#10;vAS3/vjl1z9/+o2hofblf+NclccT/NUHjNKdA344EDDLLrUI6kXKR61Rcn21rPbAxYrbfJ4Xub1x&#10;cQXWkVHyepbHM+0rG8yjUXQb9J9/Z9QC1GkODfOTODl1ruIrw6Q6ybhciGNTISahFDS6sz3cVbd2&#10;nBd5dZYXBbGQyrVviN8d/t8Dj4+tUxUvSyGtFwstCrippMnyygRMT0Q5F+CQfpc4g/jEWC1snNGG&#10;KTb+CGPJ0FsdzsqNYeSCQfiw+eo7lYCFfGmVk4JHhk/Yj5rwGR6MRj0XPm0QAEJt7FuhSkYFmAqL&#10;3PL8+tzUtjVDyGqpCDDYzCeFpF+jijxpQHS6Kk4Kza45FNGu/TlsjcLeNNP5SZ7VRThKoQeZNs05&#10;oHbnJJ6kRBcZrwS8oWVvsQt4+Ii+JJn5Rq0ZIIJL9TBSK2bXaK95RO3e0kY7WtGKer3eIITykzyN&#10;uv0+yg6cRsBG0UG/0a+oPwy9fD0f/y246WBasFdZboWj/RbczTm1B9fgv/GKSnY9Xzu9Gx00UMxV&#10;cgMktAIt4KGp4rMcG55zY2dcI42hEanZfsBPWqjVNFB1KWCZ0j/e107jcaboDdgKaXEamB+WnGSl&#10;eCdx2pRDm4JuCvOmIJfliQKvoA6wxhUxQduiKaZalZ+QsY9pF3RxGWMvELEpnlifnJHxY3F87AZ5&#10;dTqXFxU0LXLkJ2Av15+4ruqwsDjP96rhE5/sRIcf68KhOkaAnuUudAhYjyJIThVw25XqPPhShA97&#10;bRLbUJ4an0d6AEt0j6L+eJfuW/l6GI36PRdZ/xDfHyMvxHcGLg4Rl+4sd4nPJ8Jd3Gp52w4DY28K&#10;4cXto0gREO5i4g6WrowbaeNxDNlv5K2QGE2jvKg/fmI9nqZ6q56yazvD7aykbSeXuVTaeb8DWXLV&#10;mJz68TUxa7+3lGDspGzD4VehBLHVL6QFLuDvRn8tA+1l+99JcWEPDyOf5KLu3kzl0rILyzWLqGc7&#10;7OvaZzLcqDcc+oBHOHe7O+ltPBz0D3r+ej7GXX3kNOXz4Y63mo66jpk7Ekp3EBdnT71PNAluKzPu&#10;0P5vLyIPK4A3eGfNRgGc0RlPhL/z4DbgRREgtDMQZWTmfSLhE0470i/SrI2jwcSXFomi1bVHiITT&#10;ky8i8cwLw38rEn0E9v0igZ6niMSg16O1cCvo4pGBawHNRkqr3+LjYRQODhqVwIcI1/9FJXx4t7H/&#10;ilWi29DpFT0qXu4qQc9uelakDz4r8BnPsaj+5EjfCW/XUb79YfToLwAAAP//AwBQSwMEFAAGAAgA&#10;AAAhAMRe0t5xegEAUJwhABQAAABkcnMvbWVkaWEvaW1hZ2UxLmVtZuyd+7N1R1nnX+ZS82cYiJTo&#10;TMkAAirOKBdnIAmX4FSFcAkqQkhUVAiCKJBwNRcSiRm5hqjjQLg5liCIYykaIKOAF5AANUpuMFVT&#10;MyXxh/kR9pzv3u/3nO9+Tvfaa+2z33P2Oeezqt63e/Xq5+mnuz/7eVb3WnufB505c+Zndv75+D8P&#10;OnPmhf/CZ2fOPO8hZ8488LQzZ8770af+hzNnHnTmGe9+8Jl/vnN5p9rScfW/OnPm+3fknrVz4c+X&#10;rpw588kf/pdn/ub//bMzF++U/827Hrx7tbblC/93R8eLdnQ9Y6fgYTv/Xrnz71ln5c4787kzvq5r&#10;//ts3QedOW/nbK/e/OTsf+d9x/kz/jEG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HD8GXjwed85WzWPY+qs0sH1488Kc8gcwgAMwMC5ZWBqvJ1an/k7t/PH+DK+&#10;MAADMHDyGfjwB26f6fj2t789T52/7d3vnL3hmqtnxOaTzwCfc+YYBmAABraLAcfee+/+2m5sdnzO&#10;gi9+4W9nF11wwcp9cOZ3u+aX+WA+YAAGYOD4M9CKyxmjlb/3nruJ099x/OeazytzCAMwAAPHgwGt&#10;ox/zfY+p4XjpPPe/P/HxP2DfmzjNfgoMwMAJYcB7qUcVs6e2P7X+Qfu1ifam6lD9IRnF7A+9/31L&#10;z6YzaF9x+YsO9fOZtmY+x97lTvPaQfLnQt+mdR6kf8gej3tp5ol5OgwGqm/K88xv2pYxurNO5mVL&#10;PV9VVuvX83X7d/5DHnpOY2O1U++R5RracVrxO/tQ5fLaJvPZTiufZWPadX2nVSbLM1/r9c4t47TW&#10;65XXej6fWt9ypPh3GICBMQzYxzitMr1y11t13fWcDtXPa85nDHSZdY1Jq0w9l45W2ZBu11ea+SEZ&#10;X3N9n/fSrJd5raf/6YEH9sXpBx745nx/XPqyfuZ7bU0ptz6nQ7K1js+dDske5jXb43Rq2+vKTW2H&#10;+vh0GDhdDPR8S69cfAxdS37G1ksZ5y3rNNt1mVPLOG2V1zKfO7WsU5fX1NeV+tpQPuu38tbhtOqq&#10;Mq7n72R5De00v4/lulXHuTqv7eV55rOPtTyvjbHT8k7HyGQbq+R6111e07HtU+90+Vnmm/neFANv&#10;fN01s5tvunFWv/PjGHDnpz81e+uNN8z87HOVj5Jc3Ze989N3LO3JVturzmc/61k7Nr1lpu8Z5SG9&#10;skfXHv2oR3d1Wl9tR+ePfcxj99knvX+301atLz3653e53C+nLZmqw+fuh2WV9sal2q9zvSOmw/LW&#10;90cf/9g+u93mJtPnXHrpTN/RrseXvviF+XxozlrtZV88r5LJfizGYjGvGmvrSdnM+/pB0wuf8pS5&#10;7XpP3ods0T89RxBnB20DeXw1DMDAKgaqf9O54u6Yw75UqWKSYnXVl+27fup2LBqSk44rX3z5PG5J&#10;tqXH5b4mP5o+Pe3o5XU/0jsUvyVX7XzFVS/riczk51OmytqOlgKPi+v0UvXRfW7p0f1Kr92ezinl&#10;uo/71re+NW+6ZYfKXvHyq7rxTMyor62jpa/Oq/vm1LbXc5evSjWeH7z9vUvmuH9LhWdP1P9VOrmO&#10;H4YBGNgEA/JPY/xly3fKZal8yGe1fJzaW+VPvUbLdjNvvS5zqjWQ1ni9sXG7SvVP61HLWqdTxRnX&#10;T32yrSdT11oteelqHdoT0LWUybxtUBu9Q3ZVGyy3iVS8fPOb/9hsPsfE+yy1Tc9rU8HZQumxLqf3&#10;3XvP7NJLLtkdnzou9by22zvXPVWum2WC26z5s+bNr9f383r6KcdPwwAMrMuA/Jr3TO1/1k3tP6st&#10;LX2ORbWuz8f48ZZel+ndqbrX2vLhijdDh+ywTZlq/6B3tNbCrbZb8i3ZbNd6htqXXl133ZTfRF7P&#10;u+uRMc3XvJ+QbXpeW/XHlLXmNfWvk181lu5PK+3xsY4dyODHYQAGKgNa//aOT3zso/vinNZGNabb&#10;t/biS0u/6yqO1Fiitat1OrWOalNrz9Qyep6uGFz7nOet/lteqfy36qeNGddd1/Y5HXo27vZdN1OP&#10;i+s4zfZ175HtZl66fF7vUazroKnjbNqtfMaruo6X/a3nA7ZVTKW9rXl1e1rzag5yTNbtk/tiO9zG&#10;2FRyr4w9/U3YtG5fkMO/w8DJY6C3hnjPu97RjW3yQ4olrSP9rHlp1ZN8y5/J92qtpKP6TT0vt86a&#10;at8x6zu/aj9S71e5bm3T5blvLpvlk1cdQ3v/tr2loxejJePxasWV1t5zxky3uYm0Prd1P3LdbFvd&#10;nubV3xXzuFquxnPLKO29u+55zXYynzpq3vVkr45qj861r57P05XvfVZ0z6A2rLe2x/nJ85vMKXN6&#10;rhlIf6I1i/yk/um9afl7vyvVs6P3nlX6NcvaF2f6mU/dseTXZI/+1XWt/afWWdbnNPugsnymaDm1&#10;mbHDskrzfiBtq/kaQ3T/0jqyzda71dXelo68d6n10+ZsS3o0h/XQvU72d1P53EexHUp746x+tPbH&#10;Za/2RWRXq68uHzOvPfmhPoth259jp3G74MlPbo5dL06PuScbsoVr+HwYgAEzsMqf+brTKqfY1vNV&#10;2s90fafp/5SXX+w9j7b/r77Ta9mWTS7rxfcaY21Xa0/da/i0ud4f6HtCPmRnS0b3ORon2+Y2M7WO&#10;TFvraOtQWvsoWcfitEvlsi3vmawnbVgnLxt9qA3PVS9Gqw3Pq+WctvZdqp1vev3ieYzbsWzOa5VZ&#10;1S/VT4ZTdy/eSqZ1LyR7KiOr2uc6/hgGYGAVA1P8mtfaWh+2Dvu4ls9t1Xcssg1Oa7yTXq3th/pi&#10;Wa39W4d8cUte+6X1kK9N363rsslt6G9A+nCftadc7VadjI+t9q0nU4+L67tdn2d8tJz3tBWzfNi2&#10;cxE7bIPbcJtDMVrjU+v35kV9zX7rXkdHT951nXqsVqVVp/TLztp+1dOaa5VNbb/q5RyfDQMwIAbS&#10;l/Ty8ovy+dqLbB3yZ9Vn1vhi3lryWkdn26qb8S9lhuJM1eH4mrbZ79a+6/loPRRX/bw3r+mddbWV&#10;cdDXJSMb81D7Kqv2eUyUtg6PYco5rxiYh/uo+yfVqddVV3U0l9nuQfOO0bbFdvRidNrlupL1Prfs&#10;cR9r3rZ6Xt2m0t68WmYo1f2c5tL/PH/q2ypbev0fao9r+F4YgIEpDKQfkpzPta9Yf8sr/WLm5W/9&#10;T/5SMbZlQ8o471iUbff2EfX81/Y5bbWjMsX+1lHjlH4bJeOFZVRPMVdHXtezS+m3L3d9pSnjcsnq&#10;HiD7V2123Uxb42K51vPTjFOql7HM9isODdlh/WPTGqNkv9pSLM75cV7zalvcV517/d9r1/K6rnm1&#10;jkzrvPZ0rVueNliH+2873CdfJ8UXwwAMbJoB7VHn7zHa/zi1H2qlilu9NZTsbB0Zi1RHvrAXo8fG&#10;GOmw/6xtVvtaa2XFN+mQ36+H+ig7FRPzkIzKWzIau6Hv5aQe51vjIv3613p3Su89+7pSjVWdM9uY&#10;9Q6Sr2Ps9uoYu43+vC7ue1SvFQstr2t6x7B1+N2uIXnr2VSqeXCfncq2TelHD/4dBmAgGZBvzdhj&#10;v+O05RtVX/Gg55dTf0vesSh9a8+Xe72VdaW/dd5aR6sf9T317K/t872AdOf9iq6rvu5j6mHbJNPa&#10;f8jrOSbKt47WuKiu1/ZVRuXWq/FIG3P+/J5AHTPLTklrjLZNPRZWzeuqtmVzL0avu46u41DPezap&#10;j61j0/dBvfYpx3fDwOljwO9OpU/PvH2SvherOOY9bfm1Mb7N8pk6Fok368j4knW1hnWdVXzKV7aO&#10;lOu14zimuq3vV3mcpN/jk++xt9awiu3ZduZbdua4qK773dpjt27XsW6Nge1zqnuFWs/1x6Qp24uX&#10;5iLtVl7v5NuO7POqec02s0+pY4ztvTq6d9Cc6RmC/36M90uyD2mH5qfVl6HfE+i1T/np87XMOXM+&#10;hQH5Hv0eVh7yP/ZB+v6QfJh/4zN9VW1n6Frqd77GIutrrW+9Rsk2lM9zyed+s/8egvqiNbGuu77i&#10;lQ73U/ka74Z+pyTl1Kb19mK/YoHruJ9KW4fHJetnv1Im40nqdf+yrvuX9abmbZNs9JFj4XW066X+&#10;nFfLeF6znvPWobTXf8urTta3jlWp5ti2uD9KtZct7i0v3boXU3utQzr0foPrk+KHYQAGNsWA1jit&#10;o/U7TmrTvjDbb5Xl9Zb+ViySTGu9KPlc46bubFvfa5W/rH433zmTrHxtrVP767hQ62VfWt8Ja8Ui&#10;73enrbKjdXhcdN31FS9ah591u57HxfcK1XbXd71eWvXVeo7R1q9U/3IdLZnU0/t+gO//ahsp3/pO&#10;uMYj9wayrZauVpnaHnO4n1k3y/R8paWfMvw0DMDAQRiQX9MaL/2N/ZDXRNafPlDxS2ts+Wr9Pqdi&#10;SPXPllPaOjIWZd187pp25fd0XN82Oc13qrLN7IviV+p1vXyua/29dZNlcn/TNrTuMfS7ktaZqfVk&#10;WsdFent2aB7crlPrb90r9Nbdlqlp1enz3OvOsfQ4u17q687r2XfxVLclp/Kc12xviLlseyif45Tz&#10;kPlss5ZL/ijeWxvqE9eICzBwMhiQT5Rf9WFfpFQ+teUzVeZnta5v+dwfTEZ83ankWrHIMoppVbdk&#10;/f2ntMt5rYNbMl4fW7d0+Mj6Ge9ct7VnbFmljuu2QXIZi7KufyfNupW2Do+Ldfp9q7RVcq14axml&#10;LdulQ/1MG3p569L1zOtcNuqwTU4do1OnZZW2Yq1kxY3rpazymr/WofKUyXzVMXTu+x/3obaV5ZlX&#10;PcVnz6vbdzrUJtdOhv9kHpnHc82A/Yn9VPon+Z8ac+XfW39PQb5L9eu707Y/9TqvtZiv2w6fOy65&#10;rlO1o9iktbBlVLf1LrdkZFONG62+qsxtW6/Oe88rbY+e5Wd9yWiMWofHMuu36in+ZZ2898gYkb9X&#10;mfXdj94Y2g7XG0pTr/ZLph5Vd9qkvrg/SvX7dbnvvZjX/e9nqW7Oa9pY2xtz3rsHUF9tX/bbZZon&#10;rePVvm1wOqZd6uDfYQAGxjAgv1LXfvZD6ZtW5Yd8f0vW60XZ2PJt0jd0jLGxPsPOPYPUrbaqDTpv&#10;vU9nudazaI/3qvsA17OuTD0ual/xXvFIR+3v0HrYfbFsyuf9iO0Ykw7NR7VtbvDOfy29VU9P1jpa&#10;qefV/VQ7mW+12yur9qg9jZs+E9qLqPapzPsnPZ2U43thAAY2zUBrb1T+qvqoeq46rX3XtE916uFY&#10;lPVqPtdurXarTp/Lx2odVvW1/LFkcl1eZWRn69B4qW4rNvTa8XNLt9HSq/asM9+Vyv6PGTu1UdeI&#10;1uEYZzuyH247rylf+yRd1pf9yLKqw+fSlfWqvK8pdV51evNqveukeh9bR7aj89x/6Y3JOu0hg++G&#10;ARgYy4B9j9OMCfJTPqr/crlS+dtV7WV958fEGdmleJLvKFk+0/Tlul/wnrv7ZftqvJWc/L6vt9K8&#10;T8g2W+9Iuz3ZnIfHz8/T3U7WcT7HJX//0teVyibrGEq13nPb+V003V/Y1pSvZXme42CdaVMrn7pr&#10;XmNU5yN11DY0r0N7B1X/mHP1L59NZJuslfGjYxiiDpwcBQOKu/Lj6bPsP1Wma/LZjoWyMf15tdmy&#10;mWYsqvXruXTLp6vN3Ee2fdIlm3PtU3Vs4nyoj0P6Uy7zOR7OrxoXyVuH09p2La/nrt8r1/W8lnld&#10;6z3/X2f89c6V5i7n1WOhe7PDmFfdp9VD7XqcSPHDMAADR8VA9b9pR+uay2qacjVf/Z/Oh2JRT7fL&#10;q/6h85aMy5wOyddrQzK+VlPrcLnPp4xLlbUOpUPXst7UfNXrc81d62jFaMsMte06TrNPLnM6pGfd&#10;a1qj56F7P73Dtq4+5PDnMAADm2ag5QNbZUPt9uqn/3N+KEYPteFrvbZ8PdNW3VZZyih//kMeuuSn&#10;WzIuq6l1udznmXosMh0alyFdLXuzrVa+p69Xbh2tGK241vu+8pC+eq2eu81Np9mO9oXWOXIfZ9P2&#10;oQ8fDwMwYAbsr5y6XGktq+etOimvfOsYikVVvrbRsuGgMlN0uq5Tt+3zmlb7XX/KuFinZYfSXt1e&#10;eeoaquNrrRitvmgd7Tqpc1V+isyUumPb7b2H0ZqfVtlUllfZxXV8MwzAQPV19XwdRno6DsOv9dpW&#10;P4auTeln6unlp+gbMy7ZTtVdr9XzWv8g56lbsbj1znhvHT3Uburt1XMdp71665bXd/w8L14n6zzz&#10;vu5UMfpc2bZun5DDx8PAyWPgXPkZ+7JMh9Ye69rRk+uVi+Ghay3Gp9Zv6XBZjofzrXEZarN3rVfu&#10;tjeRKlbns9x1YrTsGGPrmDoH6ZPHf520NWcHsQXZk+dbmVPmdFsZkG9trUHSr51r/7utY+N44PFR&#10;muOyrXZXu7QOVaxuvTNW627LeWWu9V6552dVehznbFvmATuIXTBw+AzY/zlt+Tj82mae0x81357j&#10;mh61XWPaT5t7f5erxW4tg+XD9zFj5pc6zAsMHJwB+0nG8uBjeVhj2JuzXvlh2UU7x4ch5oq5goHt&#10;ZyB9euZP29wd574fZ9sPytlp7vtBxw757ffPzNHJnaOe75paftoY6Y3PNo7DcbJ1zPhtoj+b0DHG&#10;VuqcXN/J3DK3MLDdDBw3P3/c7D0X/HsMnJ6LNtC53Z9b5of5Oe4MtPxXq+y493Oq/cd5DNL2zE8d&#10;g8Ou37O1Vz7GvoPIjtFPHWIADMAADMDAGAZqPKrnY3QcdZ1N2rxJXUc9LrSPD4ABGIABGIABGIAB&#10;GIABGDhKBlrrq1bZUdpI23xGYAAGYAAGYGDcb14yTnxWYAAGYAAGYAAGYAAGYAAGYAAGYAAGYAAG&#10;YAAGYAAGtpEBnkHD5TZyiU1wCQMwAAMwAAMwAAMwAAMwsK0MaB2tv91427vfOXvM9z1mtq12Yhef&#10;IRiAARjYHgYOsgd7ENnTwoDHSHHZxwMPfHOmv7fsMXAdnx9m2mvb5U4PYtMqHQe9Pta2Vju1rJ4P&#10;6Z5Sd0gP17bHHzIXzMW2MiB/c1Q+Z6jd1rVWmca1V36urk2Zy5tveotD9DxVnL7wKU/ZjdNTdGXd&#10;oT5nvXXyqTvzPV2qM6ae5Wvdeq56LlPqvOVbadbJfKvu2LKpelzf6Zh2sm7mx8hSh7gCA6eHgan+&#10;oVW/lvncqXhy3qkZ87lTl09NW/JZlnnrbpX52lBqOae9ujffdOPsm9/8x91Y/ZlP3bEUo1fJV72u&#10;77Re13m9Vs9TZuha1nO+1ve5U9dTmmWtfJal3Nh8T17lvWtDulsyrbLUMeV6q67KWuXZBvnT44uZ&#10;a+Z6EwxM9Sm1fp5nXrbV86n2tuSzzHmnQ/pbdcaWpV7tcWsN7cN73i1dKdfLW66mWd/XXJbnztfU&#10;dTN1HZVlPs9b5bUs66f+KfmWziG9rfpZlnnb4TKnLnfaK/d1pbVOnvfyKU8ePw0DMFAZSN9Rr7XO&#10;a/1V59KRdXr5Wq/VtstSh8tqOqbOkEzK9/JVPs8to/fGdHz729+eaQ/c5U5TZkxecuc/5KFLa3LJ&#10;tfS5zOmqer3rQ+W6Nub62DrW10qH+pHXWrIuq/XquesNpS2ZLKv5PJfeej7UFtfw2TBwehg4l74h&#10;dWe+x1evTpZnfqqeXv0sb+lvlaXMUN6yTlX3ja+7xsvoeYwekp96LdtJ2VZ5lmXecq0yX1Pau57l&#10;mbesy5y6vJW6jtNWnVVlU2RX1c3rmR+yYWy9IR1cOz0+mblmrsWA13G7wWInc+89d+9bi63iRe89&#10;5aG1oY777r1ncC2VcpaRXLUh/VvmX/Hyq+bxLfeNJa/j777wt/Nr3kfOPqQO53u23PnpOwbHI+XU&#10;rvvR6sMFT36yqswP19PJh97/vqU2bFPavCpvGaeqr/xbb7xhrl/tZJtuV2t4vW+ecqva8nWNreS/&#10;9MUvSN3SoXGzbttiubHpFZe/aK6j2t3SrTIdWddz574prfNlo1232mbZlMs2PM+uV+V1rnF6z7ve&#10;4abmqXQMMdrSQxl+GwZOFwNLTuPsiX3OFBbSf6XOVbpWyfX8nny3/NvY448+/rGV30e2Lel/pT99&#10;d8sey6luyrrvKXPRBReo2r5DMdr1nE4Z/1ZdxcfekXa6ju8Tavv1XG1p/B0TLa+06vW5dD/6UY/e&#10;7WPL3lqm75GPOfTMQLJ3fvpT+9pvzV1vDrJutUXnnmf3ybZ5nlsyKsv9EsmkvPO61+zJU366fDLz&#10;zXwnA/Yzma7yOSnvvP1X6lF+la5Vcq34UH2e2rGvU753yJbWmnpVH8b67tpuq++KDy1bHR9ty0HT&#10;Vvys9rXOdd+z6rdV6npQelp9Sv26rvG49JJLRsWiGp97+l2u+q0+t+aux1yrbs5DT641z5bTWOYe&#10;j+116jHSPY9kzLtT6yHFb8PA6WTAPiLTIZ/T42Qd/yVdU+VeubPeWOewT9Teey8G9WzZpO92G7bH&#10;fVk3Rrd8ueyt+ofO85ry2rduzbPauvWdb7fJu6nlne5eOJtxuVLFq6H7JLU7Zo6tU0308rrWmjvP&#10;ga7n0aqb49CTG/q8DN1Ppt26d3NbrTn1NdLT6aeZ99M77+mjnB/yOT1W1vFf0jVF7rGPeezS94pt&#10;r1L51/T92jv8pwceyCq7+V487NmySd+tNtI32yjbtI5/Thntb7f0qx1d8/xJJvfCq0zWtYzGtHd8&#10;4mMf3R1/6e7thUtefPn5d9rudobW0GmXxlLjpqPaPy/c+a81d4cxz+6L9uFtm1PZ5v151cs+WY70&#10;9Ppk5p65TwbsyzLdthhtP54xxfbK78mnZ5+cV8z2kf5RZfLTruf0MHx3r40P3v7effbYrrGp4l7+&#10;Nkr2Pe9fPJ7S24u7Wu9mu3XP1rqV6jdZVFd6U7fyjqFZX3nfk1gu28q94ZR7wzVX79qU7dS1as71&#10;Ucdo9z9tUp9a/OUYZP+ynDz+GwZOFwPpA53fthhtJrVPXQ/5897eteS0vtOhOKL3m71mafnAXvxs&#10;+XnbpLQnV8ex1ab1+JpTl09J1cfW4RiaurKd+u6d48krrnrZbkyscfBb3/rWvCm9iye9qS/zuqZx&#10;kE7rtY16x73W1VzqqHV1nvZnXjo0R62jNXe9+WrVzXZ6cnWeUyb3BLJP0pX16jjkNfKnyycz38x3&#10;MtDya0M+J2Uzv47/kvxYuedceuk+vy3b9f5S2jHG1/Xq9GzZtO+u7a86z/4N5TMe5LwqFg7J+bdU&#10;dP/if7W+dWecURu5PpdM7YvKany3ba37pdYcqE0x2dLtMulqHa25a7Uh2VbdHIee3NDnRb/zmofH&#10;L58/ZxvOu18+J8Vvw8DpZCD9h/NDPqfHyTr+S7rGyMlfaZ+zdeR3VuzXnNrWeu7ymvZsORe+u2dT&#10;r7za2jr3HrHjgMZrnbm0DU7VlnVLp/X33i2rtvXWxlq/u67b6s1B1rVMple++PJdu2Sjj9bc9dpo&#10;1c02enJDY6zvg7UO6UrdynsMnNbrnJ9OH828n+55b/mPIZ/T42Ud/yVdY+V6+7h6N2mKTxuq27Nl&#10;0757yIbe+K4qt+2On07T9intZt2q28z4PYCs27Oz7qdLh+J+re+23IbTVf0QB3m0+u+2xrThupn2&#10;5IY+L7K7dUhX6iZ/uv0w88/89xho+Y8hn9PTs47/ki7J2Z+mLdWGD3/g9ma9lBmTd1vp892nXh+0&#10;FnIdpTUm5W+HpQ21D6lj0/l8Py5tyHezWraPsaPGP+vPd5NX6dF4e+wtr3O/S+Ax7fHQmq9ssz93&#10;dyzNnWT6dZfnOfUPyWmebX+VIUbjeysTnMPEFAbsLzNdJ7b0/N4qXS05+e4q5/dj085evhULat2W&#10;z2/ZIjn/7cj0w5n371a5Xae1D1PmZWrdjKNuX7Y7Rqe96+hOndKrw8+TpW+Vfscq63GqMU/Z3hy0&#10;5iv7MUVuSt3ahuy27YtR2HuekP2wnPvtuk5lg+uQ4rNhAAZ6DNhnZLpObOn5vaqr+rExcpKp6+jq&#10;J9P+zPfqtXz+WFvqWHbl7v7aOffDHk+9U9c6HKOrzXluHVmmvMv1rLd1aB3tOlU2z1WnF6v0nfes&#10;29uTaM1XyvXmoCVX65qRymrqVx+qnMdkSK7Xb+lK/eTx0TAAAy0G7GcyHfI5LR0qG+O/Wv68ytlf&#10;+m9xuL3ee7tpt/KWd1qvu04rdlVbLHvv2Vjbsl/2ZVzJdtcZR/d3amrbs33Z72fGPX29PmV5bx/d&#10;urOu2qnnKsvn0WljtUv9yOueg1asTVn33/WdtuR6dVfNV1duh49Wn2UfMRq/m5ySh4epDNiXZbrK&#10;V7Xa6Pkv6a310585vlW/XG3Q70PWOjrP97prOzrX33HIwzr0Xem0Q3Wn9CHb6snVPqTMpvLZh9bv&#10;lwy9D52yq+xpvdfd0t3S6Tnw2Hs+WvIey1q3FWvTZstZt9OWXKuu20udmVe/LOe6akP5ej+ZcsRo&#10;fHLyQB4epjJgX5bpOrHF/iv1OO/v0Lb8t+Ts8/y7GJKrvjX1u77q+Zlo6lbe514DpozytinHK9uQ&#10;7jxa9S2bbWQ764yjdU5N1V9/h9l22xa9l+XxaOnNa5nPuvqtEuuTfue1x571LO9U1/T9aNe3bUrz&#10;nTPX9z2brqdM5SHbVL43dy25Xl212Zpn2+Z5Vr087tlZR1d7fE6MxiebBVJYWIeB9DXOrxNbhvxe&#10;rlnt72yrfsuqdfg9LdeTXN0vlQ+vPtj6nbb2yPU73tab6VAffC+Q9Z2vfXBsqba5/rlKW33V2CpG&#10;ttr0GGn9re86S17/Wt9ncx/dN8+Z97tb+l0mnnRUWY236zjNOcj6q8Yy5eaNnf2vJderK5H6m2we&#10;I6X+3dS0S/l879/13R+13zpafbcMKb4cBmDADLT8x6ZjtPZJW+sT2eC1n/2e01xj2dbe71X1YlCu&#10;e6xXae9dpyHfLbnaB/vjvHfI8Ww983ZfNpXaBunTejn3pG2LnqdnTEgZ3T+1jtY+tPS0jqH7F41B&#10;6+j9Prnfka8yrVibY9ibu5Zcr67bHDPP5kkyQ/NMjMbXJqfkTycP9rm9dIgL+6VMh56vpS63p7JV&#10;fk+xI3254kn67/R5siWfM7sdpb04objr79rKHrXVOmRH7v1ad6sP1Sbpyz6oz77HyLYsl3Vz3M5l&#10;XutAt582aU7zXkbPiDVmvSPr2t78fleV0zgotnk8VbcXnzQHGjvrzVQxumV/K9amXI+/llyvrvrk&#10;tnPuevPsMahr7x57rp/tuCz7Qv50+nHm/WTOu32i06nzbB9h36RzraOH9OlavT7k99yG02zLZZm2&#10;1vFuT88/vVa0Hqepo1Wm6/l3IupYqQ8tOcUyv4/Vut5qV/Xr94pqe+fqvLeut529Prh8aP+6F38s&#10;69RtKa1ll15ySTM+azzMUZWpsdY8eAwtV9vLfehVdfXb72Krtl3Psw09N8l7Q9lV9yZa8tKRh22r&#10;/XI56cn038zr6ZjXg3yu00/Yl4xdRydf6SNTp+Jt/l0Bt5F1lHe5Uq2ha5/yXGu0Vpy2Duuu57k2&#10;tL5Me32Q3NAa0vZne3VtlWN1rvO6Nxgz5h6nTL+48xvavXsLjZX+ZQzKPltPlmVec6ZxHOq/5iBl&#10;rLPG6KpjSM5zbJmhefZ3wW2DU9mRedvl9Xa20buPsUwrtW1OU5/LSE+HP2eeT9Y89z7LvfI6//IX&#10;1ff4+8BZt+qr5z2/5zW5/JbbcWpf5XP58IzPtQ3Z4zK1J7895tC6clVskG4/C7U91u3YLv+t/tSj&#10;1s99+hzDw8xrnKbECvVBvxPj8a22nv+Qh85jq69rX1vj7747rWOjc13T2jzXm1W/z3sc1RhtO6bK&#10;qb7aaNn7pte/bt5HsVLnuVW/N89Tx11j5H6Qniz/zHwyn5WB6rvq9Xqevsd5+adaT+fW7TTr9Hxr&#10;6pKPlv+q/k8xVOWpr9WGr+c1xU2v62S/+6A9SOns+VHraqWp39ddplR66/2B+iA7xsQh6zysVPbm&#10;s3/FBB+Ky7Lba+fsp+zzec3bdsVq6W/tr2stL91iw3qUOm8dTnvlvt5L15VLfanD+TrPYmvB6o3z&#10;792nvPKWy/LKicZdejQmPZmUJ4+Ph4HjzUDLL0yZU/tqxzadZ1wdq6sXo8fsmw/1Yeiabcs6mff1&#10;TIeu965lufNOrVvnLnPqa0eVVjvq+Sq7XN9pq/7QNdd3Hacqz7zrOR265jqttCXXKmvJqmxV3d71&#10;VrnLcq/BnzWljtFj2u3ZS/nx9t3M3+mbP/uFKZ/79BvOj43R2V4vRq/SlTqcd2qG67nLp6Sb1FF1&#10;+dzpFLsOWjfbzHzVm9ecdzpUN6/16qtOvbbqPPW28lU+6wxdy3rOZ/3M+/pBUutzWnW11tE1RlcZ&#10;zk+f72bOT+6c93yD5nzqkWvplG2V19g7JUbb5kwzP4XXdeWmtHEc6vp5cbXV41PLp5yP1eF6Tqe0&#10;kXUPKp+61smvan/V9Wxz6jp6iu5sh/zJ9fHM7cmd24yzm8hnrD5IjIa5k8scc7s8t/pt0/ougD5H&#10;ej+RsVoeK8aD8TjpDNR78E3E5arDcXooRruOZGu9kz4H9A8/02JAsVrvtvuzofNWPcrgBwZODwM1&#10;vh703P5lHnvvXv47Atrrzutuixh9enjDt6yea/1+i2J1vjPGuK0eN8aIMTopDORa2nFyk6njcI29&#10;vefRY97rPiljTz/wIzAAAzAAA6sYyDi9qu4mrq/T3joym7AVHXx+toUBPgOwuC0sYsfJY7HlX1pl&#10;de7H1KkynJ88fk7jnMI+HJ9G7unz4XCPfzmccYbnkz/OfJZO/hzzOWaOj4IBfAvcHQV3tAl3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LA+A1+//74Z/xgD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Dg+DNx/370z/WPOjs+cMVfMFQzAAAycbAa+8fX7Z/fd&#10;ew+x+f6TPc98jplfGIABGDi+DChWe/6UZ019fOfS80jKHMIADMDA8WfAMdmp5/SOT/7pbtx2Genx&#10;n2/mkDmEARiAgePPwNtuuZkYzR44DMAADMAADBwRA7mnnXndY1389KczL0c0L9zjHv97XOaQOYQB&#10;GDgIAzUm+5m00s9/9i9n533H+cRoYjQMwAAMwAAMHDEDjs+O+drnJkZzD2geSGEBBmAABraDAcXr&#10;Ky5/ETH6iO+b+Dxsx+eBeWAeYAAGjoKBXDs7r/3vr375rnl8Zh0Nl0fBJW3CHQzAAAwsGHBs1nj4&#10;+fRv33YrMZo1NM+fYAAGYAAGtowBxelnPuMZxOgtmxfuKVlXwAAMwMDpZEBracVmpX/1uc/uxmf2&#10;uk8nD/gB5h0GYAAGtoOBjM+aE7/PrfhMjN6OOeKzwjzAAAzAAAzkPveDz/vO2VMvvJBnEex5wwAM&#10;wAAMwMAWMKDf5/b6WenPXnkF87IF88L9M/fPMAADMAADr3vta+YxWmvoh33X98xuuuE6YjQxGgZg&#10;AAZgAAaOiIH87tUjHv7ImeKz1tD/6ZnPJEYf0Zxwv8z9MgzAAAzAgBhofSdacfrVr/olYjQxmntn&#10;GIABGICBI2TA73Vf9tzn7D6LfuQjHjWPz+x1cx/HvTwMwAAMwMDRMaB19F9//nO7z6G1z335C3+K&#10;GH2E9018Ho7u88DYM/YwAAPbxsA1r3n1Uoy+9k1vJEYTo9nfggEYgAEY2AIG9K6Yv3Old8VuvP5a&#10;YvQWzMu23cthD+sLGIABGDhcBvLvZyhOv/LlV+3GZ55HH+5cwD7jDQMwAAOniwF/t8qp5t/viSl/&#10;8dOfvruGftwPPG4pPhOjTxcr+AbmGwZgAAYOlwHF44zPGn9/3+oP/+Aju9+H1hpavyt20w3Xn/13&#10;3TxeM1+HO1+MN+MNAzAAA6eDgRqbNe+Kzy6/8sWX766hv/th/3p3Db14Hq1Yze+M8Vk5HZ8V5pl5&#10;hgEY2CYG6t+g/PHLnnf2XbFFbFZ8JkbD7DYxiy3wCAMwcBIZ8N62189Kf/FlL91dQ+u3uf19q1xD&#10;E6P5PJzEzwN9gmsYgIFtZqCuoX/s4ovna+Yan4nRcLzNHGMbfMIADJwEBnL9rP7471vpPTH9Nvfr&#10;r37t7rNoxWW+Hw33J4F7+gDHMAADx4EBvyem9Ktf+fIsf7NksYb2M+i91HH6OPQPG/kcwgAMwAAM&#10;HHcGFKNvuPZXd59Dax39hmuuPruGdnz2Onpxftz7jP18bmEABmAABraZAe1199bQXi9rj1vfjV4+&#10;57tX2zyv2IbfgQEYgIHjy4DisudPcbq3hl6Oy15Ps4722JEe388Ac8fcwQAMbCsDfldM9n3lri/t&#10;ew6t2LyIz4t4nPnFupp19LbOLXbhd2AABmDg5DCQ34defpc797czz2+YwP/J4Z+5ZC5hAAa2lYHP&#10;f/Yvl94TW/4+9OI59N53rrzXTYze1vnELnwNDMAADJwcBrSG1tpZ73Evv8u9iMPLz6P9Xjcxms/A&#10;yfkMMJfMJQzAwDYyoL9t5dis1Gvoxd+3Wo7Hfgad6Tb2CZv4rMEADMAADBwXBvzdqpa9lz33OfMY&#10;rXW0/raVf5c74/BQvqWTMj4bMAADMAADMLCagXx32+Plst++7dbd+Kw19E88/7Kl3/wcis2+Zp2k&#10;q+eCMWKMYAAGYAAGxjDw1S/fNXvi4x+/u8/9yEc8avIaWnF6TFvUgUkYgAEYgAEYGM9A/b2Sl/7c&#10;S5q/I+b1ci9lzMePOWPFWMEADMAADCQD3tdWmfP+25PnP+Sh83X0jz7xSUt73K3fKiFGw1VyRR4e&#10;YAAGYOBgDCgm5+99ajxV5vfE9Axa74q95pdfdTZG+zdKnC6+X9WLzypnjg42R4wf4wcDMAADp5eB&#10;GqM//IHbl74L/exnPWvf38lgHX16ecFXMPcwAAMwcDQM6G9DP/x7HzHyPbHl3xPrraWZy6OZS8ad&#10;cYcBGICB7WfA62Q/a27Nmevkb3Jrn/ulP/9zu8+h935LbPw+N3vd289HiwfKmDcYgAEYOPcMKPb6&#10;mXPG6Mx7Hj7+0d/fXT8rPj/1wgvLM2j/pti49bPX1dZPeu7nmzFmjGEABmDgeDHgNbLmrRWbdb1+&#10;F1q/J/aGa66ex+i99bPeD5sWn1lHHy9W+GwzXzAAAzBweAwoJjsuO/X469zr7Je/9BeW1tAv+qkX&#10;7IvPNVYvn/ff73Z7pIc374w1Yw0DMAADx4eBGp9z7vQet79jpVTfhc74u8hPXz+z1318+EgeyDNv&#10;MAADMHB0DOTet/a4H/HwR+5+1yr3uBcxVrG5xmfeGYPfo+OXsWfsYQAGThIDQ2vo+lsl+R63YnSu&#10;px2rva5evsZe90lihr7gA2EABmDgcBmosfptt9y89Az6ogsuaKyZ92JvxuTMe0+7l+Y85xo+y8kf&#10;LguMN+MNAzAAA9vLwB2f/NOlZ9Dr/k2r3lrb8Vrvhrc48P2C01YdyraXH+aGuYEBGICBzTDgd7c9&#10;nnoG/aQnPHF3Da3f437ly6+av8ft2Dplnew98P3x+rr5d6zdruOx19I6d951SDcz54wj4wgDMAAD&#10;289AKwZecfmLluLzj1/2vMYe97T3whzbM1Xc1ztof/eFv23G4pZtMLX9TDFHzBEMwAAMbIaBuna9&#10;4do378Znfc9K6+lcBy9i7NT4XN/7XjzDftwPPG6m71nf+s63735Hm3ndzLwyjowjDMAADJwsBvz3&#10;rLS3rfjcewY9bZ+7/U7ZC1/wk7MfetwPnd0/v372iY99tPlcmrX0yWIMn8F8wgAMwMA0BrSW1jti&#10;+h60YrP/7f1N6L04m3vVU/IZ1/WemPa48xm3rmvPO+fOa/wsIz9tbhkvxgsGYAAGjjcDX7nrS7Nn&#10;PuMZ89jsNfRLfvrK3XfEMr4673R1nPa++N5+t/4Wx6WXXLJvD/0973rH7Gv/8PfNZ9MwdrwZY/6Y&#10;PxiAARhYj4HnP++5S/H5xy6+eDc+t58/O+6OXV+7/vXzv2WpNfS1b3pjaWPxeygf+b3f3Y3RY/a5&#10;x9SBi/W4YNwYNxiAARg4HAa8b6yY5rzGvv496MU7YmNj7/56i/X1XkzOdbbisuLz4rfK9tbVWj9n&#10;vb+48zPzOJ12wsnhcMI4M84wAAMwcHgMOM611pv1d8T0nvV1b37TUrzM2Lk6v4i7itO/9hbH6b04&#10;rj3up110Uehf1Nf3sX/9127cLVdeZT1OWn3p1aX88FhjrBlrGIABGNgMA799262774bpHTGtb/fe&#10;Edtb466Oy3u/2Z3PqJfX09fNv2O19574sn7N6af+7JO7MVptam2tct9j9OadeL0ZHnrjSznjCwMw&#10;AAOHx4BiXv1bk4rRr37VLy3FyP3fid5bD4+J25J3nFbs93vce3F8L057/n/3g+/flVEbOvc1pavi&#10;ddYlf3hMMdaMNQzAAAxshoHWd6x+9sorduLzImY6ro6Lw+24LR2pR3voP/H8y+b3AI7RTtWOYq/W&#10;w3d/7R/m6+e8Jntbc0+83gwPrbGljLGFARiAgcNn4M8/+Sfz3yXRutnfsVrE50WsdVzNGLl+rF7E&#10;fL0jrhi90LO3dk69YsFx+qtf+fLslrfetPQ3L//685/bfde7ckOsPnyO6hxwzhzAAAzAwHoM+Hmt&#10;4rN/o8TxefEd5eX4vBc72/F073rKeT3t/e3FueK/9rj3v4e2rDvnVjFXMTnb0TtkXyy/byIZ4vN6&#10;TOR4k2cMYQAGYOBoGdB+8cO/9xFL74jld6C9fs64eJC1tGTbz6AVu5fjs9qsfOi+QjanPW//z78+&#10;/32TWreeE7ePlrU6H5wzHzAAA6eZAcckxTXnczxaz58zPmccbOVb8dv19uL4Iu76XN+D1jvc+nsZ&#10;rjuU2l71wet+lf23D31gvudtG/w7ZK4/lLbGYqg+1/AjMAADMAAD54oBxaSMb2pH32fy/rZ/g3sv&#10;Pi/vS/dj6Op6js1eI+v5s35btK/Te+OLtDcm9917z+wD7/uv87W32xgTpz0WxGk+bz22KIcNGICB&#10;w2Qg47Pyrfi8iJta866Ou8Pxte5X7537HbHWb332dHqcZLfjq8v0+917v0O2sNvfnXYd992ySonP&#10;fP7MBykswAAMbBMDrefPXtd6PbqIl3uxtRc/W+V7OhbyPtf3q7RunxKfpb+OnWOty//h7//n7LZ3&#10;v3NpXa598BqbVf9/fePru+U6J1bz2TRHpLAAAzBwFAxkrNLvk+j9ML+7rT3uxf52rp0VW/N8ee+5&#10;FZdbZY7NSvUO98O+63vW+q0yjdlQLNU1radvfefb53bblv/ym+9pvkc2pOso5oc28QswAAMwAAO/&#10;9Z5377677Ridz58XsW3d2Lwst4jPi3W0/kbG3m+JLtdzPB1KFVN9n2GOW3E29719f1CfT1c91kfK&#10;5wMGYAAGYOCoGLjh2l+dr50dm7V+3vv+c8ZN7287nb6GdnxWqu9Yfc93/5vZz8x/q8y/3T1Ndx2z&#10;Vnx2WcZpx/2M0614X/VzzucUBmAABmDgsBiof19S8fklP33l7m91ec25zv72nqxiuWP9IvV3oBfx&#10;eVpcdnxVOnWc9Hx67z2yxT2GzvU7J15HO6ZP1U19PrcwsMyAP1OrxmVxf3zP/PN8/32LdJXMvus7&#10;74267P6dZ2DOZyp7+Hy3xybHifxmxmgM/5VHn+vvN1789KfP97dz/Zy/75mxsJd3HHa6XG8Re+s1&#10;x2fdC9T6te7y9f3r9lUsLT77i8+uP5/73yO7fv73LVu/R9bSnzpb1ynbDN+M48kZx56vmn8mM55G&#10;nB0z/6nXefu4Vpz2tTG6qXNy+DvKuTSXY21QfX236vE/8iO7z5+1dt57Juw95/3xsMZLx9PW33uu&#10;dX2u+Kz3w1r3Agt909bUY/td62nf+/3v/Z2l98hko95rr59jx2SPdb1edXPOZxsGRjKw44/msfRs&#10;qs+W1g8f/+jvzz7+Bx+Z/529G65980zP45b/vXl+7Q936qjuV3Zk/DnV2N+3o+8bEfv12c3PbeaZ&#10;q5FzFePJmI0bs+Qs+fT4+Xpe099srL/tqd8NUex0HJ2SKj6/5bprl2Qdu1OPyrx+bsVn7YXv7Yev&#10;vj+wbve1l6rv2X/X89js/U3LvTbr37V0bLas0pbOvE5+HMOM08keJ3/Ocp6zTPH4wx943+x1r33N&#10;7LLnPmffvp7WD97nU5p5Xav/pEO6pPPLd921u9/9jfuXf4dQ9qQdaR/5k83kYc6v7w1rDMn4kRyK&#10;3WRe+Sc+/vFnv5Ps58V7scpxsJcq7u7FY8u318Gr4vNCz57snt5he9YZ7xwTjd2f/vF/X7rHUH/1&#10;jPord31p9zNe2/HY13LO+XzDwH4G8jOn8dH6t74L4/hb4271Wa16LnNqHWpDbanN/MxWn8mc7Z8z&#10;xmQzY2LuMtXY5mdCseb5z3vuvnvOxbvbi7jomOi0F5d75ctye7FW9V/6cy9Zen9bZYv6GdeXZXrt&#10;1PIpHOWYOO/fLdHfy9LfyEr9+juXf3HnZwbj9JT2qbsZ5hnH4zuO8kX6LX7H0FaqOJux9tJL/+NM&#10;/5797CfP//m8yqaMr7nsp6948XwP/f57755/nv35h6Xjy9JxmjvHZ9ss/nyfqHtI/Y0KM6s0v++0&#10;iEkZHzM/vIbNeLbYq1Z9yy9SvRemNuv724rRy3F6Slt7dd3nqanHR3IeP/mPvd8kcz+um2nvW8+v&#10;p7ZBfT7/MLBgQO9jfvD2985++N/9+yVfZL/0hCf84OznX/bk2TVvfvTs2lseNLvld87M3vb+cf9U&#10;97odmat3ZH9hR8fTnvaEpTYcp5920UXzOM2c8Lk8CgYclx17dO7vPetzYE4Vr7XvXGPpcrzdi4Fj&#10;yvfW0HtxTXKXv/Cnyu+HTdM7pu11xzrvoz12ShWLFZPdtvumv2+ptfa67SGHXziNDHzqz/9spt/0&#10;0+fplS+/al/svPJnLpj92nv2YvFvRFz+jdv3ylfF65RTXen8xVc9afbIf/vwpTavfvWvzN8LtZ88&#10;jXNCnw/XF2Ws8djr3WR/r8r3qUqfeuGF+34P2zFIn6HMO0ZNTxdxWr9RpnfFX/srv7wb7/Z0Lcfy&#10;g7TtPm861R639r4XY+I9+etmH/m9311aU/uz7nTIDtdR2pq3IVmuHe7nivEeP97JsvO6n9V97fyz&#10;veNbtCbQ+6Xpj94asXlVDF73utbY2abuE/SZlm36fovs9eeSOR8/54zVtLFKn/+2W26e/20Kr5vN&#10;5wtf8JMRK/fHyL34ebC1rv4mxpOe8MSZ3hW/7s1v2lDc79u0aVZyLPXO6e/81m0lTl8//3z/5f+4&#10;c1+c1eedz/w0djc9f+g7mvE39/rtgcV3GhefWd3nfuJjH53f1+q5m/yRfdO6cXeqnH2gUj3Lesdv&#10;3HLWF14/X+Prcw43R8PNcR/3sfd3+nz81ec+O//ugvk3l3vfq9p8XPa626ni/A9+/w/urte9Bt1U&#10;/G/pORdz7HHXuEr/n/zxH81uvinfJ1uMpfbw9Pl2/ZYt1pHX7M+yjDw+4jgzoM+AnjlrfWp/4Nj8&#10;/9k78+97ivLOn/lPDB5nokfjKAKKZEZF4MsiICKroCBIYhITtxAzepQMOgrucVxGE2NGR0MkhJwY&#10;xSVxRFBcJkYWzZmJgGPG/BKW/CDmB7hzX92f9+13P7eqb/fdPnepPufep5annqp6qup5d1VXV1Mv&#10;3oEGo90+DVnLHorL4icP2UKo9nhTNo1p7iN0fhH1KOOzjMW+Y1F9JWJA9DN39u9VaRywb3votx5T&#10;ONgVpvEID+9J842M5ll3nP8u/z6hry778EW9Kg3tABbruVrUR1z/Jh1plF7Uw3J5ibfQYie2qQ+w&#10;j0OYxzz1+3/3vUn/52xPMBpcdLwUjq6aep7CaMbfXeN7ivpc4Pqcwb//4Q+qMhNXxmcZf33HH30l&#10;2nb5eZ5y9plntvo9+My+MJ67OJasek7rWL3qvLxeffXYl0+6jfwKR+e8k+X1pTzYJ2wQ6VLjO4ZJ&#10;Xsyn+Itt2MY+UO+zvL76Bqy/A6Gzt+nvca077vNaFVY7RnMmGfqlPIxJyqrz+7kHL+OyjL95xp/b&#10;d9zc7+k8Eu9/uOu587WTuSxY4pgpd8QYx7153JIn+W0Zy58/S/48+uxKg375+Vh1/RPOuGburDKI&#10;UnftRSEPT6c8ZRvkL7TYhF3oAzpbQGvGU3Uaj6m41r0qTHa5rHVrXRH7yH20xqXGOGtkGsOMbcVP&#10;1WE8pktY0UFXH6BP/fHH/6DaExaxuT13bvYhs+4c8VN+9ct56bLkzJs/6br01TdOY1JjNpUuFTe9&#10;/l3fi6AX1vuYc7tsuVPyS1gZ+9vYBxgX9Ou//e53q3cT5VddODf7Jwf3vJpHy3atcx4tnNZadywn&#10;9xbsRWfPm8peaBmTffsAY4D7v0suvmhyT6g+B33ZpZckzvMEL4TPcR4b/fG58TB/jdW5vIbJGorX&#10;fXU4D18KlyXH4xjb9bNq6VX0uur9LdqOse9pJKfQYgd2tQ/E/h4x2ue7q3TrngBbKYxG514+3PEe&#10;2uN3tY1KvRa3P+zXjufaqs/xjlN9Hgk4mMNI8EKYIZ7V4uZQnF2Ev28fW+V409hm3qx3Qtt1qvek&#10;8MyOuXcscyyb5MEX42La4l98jBUdrk6H9F/6MzSH0V3z6Xn3frtM2UsoZfAylbZfXdtvqm7dptI3&#10;ZW8jnVV+bPnrX/PqybzZ+xnr2ulvR+0O9rYxLl8v16N07GHu9nhvJ+eZxy1ZyMfNGTJprK7PieH9&#10;UZ0DrrS5fL3MzhPDJUc0xnva4t4/u3SYbU6fpD+mMFoYPMHUIWeLRd4Dv2RJtttOykBZNE4OUy8l&#10;7/WMQ2/rlF2cFU87OQ/YzDtM8fuR9DO+u1yva7MnLI9b+xR3w6c/1Tr3q0+/T7VTn3Q5nihP7dms&#10;gU+3Fc8HwHHWwVPf10KGy8UtublyxHBPH+OKfz32oei53jup96MdL4WhEVNz697iJ97dzq9wl+l5&#10;Vhg9trllbOxX/5/V3m5bo+3VGAabOV+bObL3KbnPOfvs0bXXvKXC5k3Yq7VJ9wFgXWo/qeParDZS&#10;Owyl3rae1vPmecVNn70huXdPbcnzbM429vdWXJ7yyfUfeMXjebuM4t4vu7Qp7Q0+U5bUPFp4K0wV&#10;3kb/JDzOncFrO+O7khcwXDYUShkoi8q0KToq5Vjf2BQWYC/dZlb9YjwX8raAl7kWz5u1B4x+JDf0&#10;jNNOO8Dm+pmybPomYeSmlIXzwKKevT3kjjzeJkPdLlP46W2vMOTyzhzz5tQ6uLerr4WrPJ6Pwgpd&#10;37guup5P12AhffcfDaNl3/juxTt+/9+Mrnn7MaPXv+Gk0W+/4fmjyy4/dfIdygsuPLn1DSulE+by&#10;fSt4+GYl36skLTKQhUxkk4fbVDCaslCmgtPztem2jQW3nVVfHGMzdaj6AH3zwE+Y3MTRV65+3WuT&#10;c2b6FPvB6nNItN+rWS91e74p+Hi45Wh0xHxUc1FhpdrI8dLbY5E+J5meh8sjXDwezvNonWtct6ff&#10;g9Vu3jn9zKf+e/UO170/+ofJ/V2Up7wln3i5C90PO7TR7QweHtg84atoxF3HU4+TWzSmj+EuR7xQ&#10;7G41Xsbl2WidjfGilG9xHbgtlC1Gr3J7vPT9iT/82Ih1a+833r9OOvH5o6vDGWHgn3DZ7fnh4mJz&#10;z3CY5bjt1q+1zmhhDzvYxjcvpHO1ifuX6VZ7IzPV5p6/4kV5xvE3X/5SdT5Tlx5pdzCdtQLSqPye&#10;t8IKXXxsFx0uT4fMV2/96l9XZ/nnsLMrXLbS7aTCIs3xKPz4Zx5flaXMoZfXvts2VrCZscw8j+Rc&#10;sKc99emtdWzvX3zLUc+bo60uuJy/HxiNr/vvu3f00Q9/cPKOme5n2E+mM3jBxE3EMy8Xz9Q5vyy1&#10;Ft70iXqODQ+8zMe1bqB+t4n1VNkK3T/byD1lag+s7B97cPguH7/Xvvo3q/7/4fE3CPgOAf2c++1v&#10;3/HNiuLm95Uv3VLFVTwHfKSVnNy+HvKkLH6fW/rkfvRJt7W0OdjAmWCXvuTikfpipHxfmbM73/p7&#10;10zNBRub3OCTsKeOa9Z3U7z7EgZGcz3yyCOjP7/xTyuclp6gzKlTz6lT49Lvr9yd4l1VGP2IH98k&#10;+Mubb5qB103f4Jt7POtmf0Msu/omZcY9tOzC/Cg3JSfKl19pRT2teBQmv6jCnabkeHzOPW+6nLwS&#10;3m3facN4vsORk08e74/9LxXWPvbYY/UAXvK/5ILn7MUlT82lobzXuqy269un+vItUi707fm4u69c&#10;0sSx53Ld7TI9nefr4ZLr8ZKRCvM4pVVYF428KjP0xhs+U/VJ5swRk+XX+81Dvq8s3BH2Rv+scMXv&#10;GtVY1BDn3ui/vv+9B++mNfcxnJvPeYVqV+8P7o5tK/5V0lSe6lPkyz0/9xn1WWYNLqstvS/ITX2Z&#10;Z3OuCus4ysPrGuvkcbiVRmWRP6bDT5zHu1vxTiUj8im8D/XydvH35UPGEN6uPHc9boie3Ba++Y3/&#10;SUM1SX98/33VnJl5M2tEmjf3oZSp63rzm944scnY4D5t1KeesQ/jVzqPUzjUw/uUw3mUXnmIwiN3&#10;lE+4wkThx+1xykdyxKNwqMfJL5mSJb/SKVx+pYNGXufx8tE3Uvwqj3hdtmQJl3/pKU+d9AHhse7d&#10;8J97zjmtZ821PW1wRDbXqWxuHRZ5o3/afrusXXQzJiNOM6dmb0iqvtVZX2McV9ulqNo8FbeqMOWp&#10;fhb7tMLZO/bN228bUY9mTVz9AJo6S66Ohx+cv+Xzn5vMuZl3e52UjyhxuMXj5VQYVOEKc7+7FR/T&#10;eB45HoXn5Ck+R5UOmssvl7aET8+Xpc8u3WAbZQuh99x9V9VXtFbNt2yvuPyyyRz3mKOPqdarX3HF&#10;yyfr1lq/zlHxgruyt/Aimz7/5S9+oeq/99x1Z6sslK2r7Km4rn5DXEonq+hvqXy8vF159k07i4/8&#10;cvpQ/pIhShqezTFvwPakfryDypogNpyf3LJb7KPFjqV++oYZz4055+sFp58+etITn9xqd/URUfYo&#10;XHXlFdV52m28TeGpbG0dN5s/JWO/wuJ9s+M1z6k/9pEPBayuMYx29+e43oe8rx+W2/t+HPsexxyb&#10;uXIbs+kDEavVt9rh3sfU53mXuxobYyxn/vLdb3+rGkvoi7w9f+knFaY4KPHScY5X8Z5OaaG5+Mi/&#10;qJ98+OXKuaj8bUsvXUj/Q/SidW7s4TOPe+bo/BefOzr66c+ocBn85PkUfeyrf/2VioKnhM/zA/dd&#10;1s1/9tlKDhgOfpP3ccceV9lrykPZZrXFrLp6fNSTy5buRD1uqDuVj5cDt/sln3SsJQofRfU9FChr&#10;F9jGrh+2BlvxyU98vAMn23YmNV9SWG2D0vapOcfaca3hlYx3vO2t470Mv1U9O372s549wWThsN8n&#10;4qYP8pxZZ2m7HZTM5VHK218fy8vXdXZ4bsfkiNfys/eb9W/awduCZ9XcmwmrNX7Uv+VXH1819bHl&#10;ecutcqkc8iuecNb6wWzWuRlHdXvXfdrr3rfPeJraXfc1bKgwHfoXN91Yj2vm6OMfc/36Hrn+HpLP&#10;1ymvyk6Z5RYlzOvk/O6WHmZRyUK+0itMdJaMfY33NpEOpEP5u+iJz33uxF6Ck8yBwE6eRzPXle0E&#10;P5lPg6f0Le0XG4LVmmcjS3IJY42bPHkvwtfdn/uc58zEaOqW0oHC1H/kZx9Jam5IWIOJ9fyxCwc9&#10;TuNMmBgp8fX8scYCzqlMY5vbaeEcYdNuH/fYkMY/jTVNnPNFuXXesiFtHGrLdHltPsm/vlqPpq+w&#10;15p+RXs7HrtbfYG2B5d53hLlyp/P23Xkeux2T8tr11X57jIVDs+irH/zfXd0EftJhdXje0fWkTXm&#10;RLvsz7rjcmXCPhAnqnLh58dcGxvBuBd2Y/ty/aLpV3W/dH/jTvfNdHy+fwvrZXdkj7Cnbqdwa24P&#10;5fl8zhZ6OHvl0QE6cf0pTLqK1Hlj3D75pYdZ+srpBByUvTzh2SdU9vTC88+rcJg5L88Y/epzz+38&#10;0e3pH37ooWpeDd6z7o0tpwyy58c+49jWfab6nlP2YjZ9WvZVtMGdmqcdXo+vfN/Pjb9Fw9/7rlQ5&#10;UuM1VzbCmzjVjXI1usi7ldZ5mzrVcps45VPnqby8DXAzxzrtyJHqPGxhrvqV/KIezrvMYHnE5Sb/&#10;qJe+uovp2n7VQ7po6i+9LScfl7up7jhGc37GLr8HH3xgxDtZqTZ6/3veXe2l1vtaObuzrnDZR+WH&#10;H1sZw1PxblPdDa/k4BZ++xoX+Mi40LMdtX3T79TPcv2yHd5OX6d1WcSn/bWcVFulwpRPF435tHnb&#10;doL+EG3FPvqxM9K39AdVWFuH7bbn+wKynVDWSR1Hc+N1aLjLlFsUWbi5t/OyULausqfjpAthi+ob&#10;/QqHtuNch+k8PK3GRhOm9E3alPyaP7aR0sbwRtZ1kz6v+2ZR9X3sQ3W/PL5vjvfRrKER5/fJKbfs&#10;ENRtWrRVxHOPxRzYsVftqDBR7sG4B+SejPVvr1feHdu01meXjhpZ0r2nadw8F6ef6Twy6b/fWkfT&#10;5k1+2xfWdyz7eCUNz6rB6lTd0SPPZOlb9JFV/lJ4mwrrW4YhaX08+DhJ5cXzAI011uwmY3M8JjU3&#10;11gG29v9uxkDHu7uVDusO2y6PBp/2zculq876UJt2U8n2EnZUyhzZy6NR9Eq8OAvFebxOfesdOTt&#10;Zelvw72u0/VXvxGNum/CGx3CwxxduNdFua+ZjLcDXJzCyPE41PiExnX1Ou671XO9LhshmyCKLXB+&#10;D3c70cWTi8vJklzqEN9dFhbTjry7zHmcYGAfTG7aIdWeahuPm8/9jrddO9mvRjlZj+e5d52/+s/y&#10;8ov9bdP8ufHaN/y+e38UsFo6rNsHvOH5rq+Dx77lfTD26ZRffdBplOlxu+DWfF12RDZEezXjWrb2&#10;pbjt0j0AYR9433vCfUB+PGls1H23a2x4nLvzsjdtPKy+PO3x0Sc/4SL2VRjdd3wuyue4HTE64l7O&#10;r76qvpun393Ls1GwXdEGRnvmPM6LO/JiK9ivoH7j9Mwzzhj92yc8sdrL0Kfv1TxdfXbYOE/hPPd6&#10;3CPwrJs94pSX+fyvj/eVz3cfuFv2ZtExrPTMq/W8ur02Vbch657ghj/fFHbGPub9EZ4Yr3SRet/t&#10;mybK2EW/60Jj2nXVVef63kB7WZv9a76/VftaG1tc82PTc3Z7X8KZr/Ec5Hv/SzpMvy+Tx63vtGzt&#10;ujGa8S2cph4+D+vqN4qjn/2/f/zJFAYp3qn6ZBz/zrMvbteF6jxLL8JmX9dWe7GXABwEc5mTsi+b&#10;+WnEwPb9eI11CoOmMNbtfcOTw+72fjXtIWc+D0azt5wy7dNa9qx7JWHsIlRjGBkPPPDP1X4k5mnt&#10;vJs2Y58TZ2zTp+h/6nvCEvqn3MSrv0a3+m6kzh/jdtnvOuuq51D9OH/MgziP78p3H+PQF7+oo6jH&#10;Lt34PIizSXy8LTJu+6T1vOI8uqvMHkfd+9RXuvK0++LO6Uf9Bio3vHJD2f/DvFl77oXL6jdgXzzv&#10;Cxzk3WfWuy976aVjXLy2Za8di93dtum5+er1FcZyL8B9AWvp5CU8Zo7M/QF70ernzHHPQI0VTb4N&#10;duh+oInLlWF3wvuM0748Pp7ZB/797/1t9byo3a6u7+uqfVWshfv7W95fvT96uMauwtRnFb4r1Osl&#10;t3Tifuob/YRJPx4v3Yhf/hyVjD788IhP6XJy9yFculBd5e+rG/jc5jKXPazLMZoyqU59KXVXvUVz&#10;aWfF59JtW7j6wxDdiJd1K75jkTrLnfZhbjr9DYv2uvUbfvv11TeqxK/9WXrvGdtd46Hs9vXVPBx8&#10;5Xf5y15a4S2Yy3mxvCsI7iOPewY97+Y8lDQeSz6YqjzaYRGPVZ4Y3saZgtHRTjg+exzh//TTn1br&#10;4NNz61qP0jXPSXknSPNr9d847jR+iRcPYXLD7+6Yfh/8sf7S2Tx1j7JSMly+3H3SpWSVsPY+S+ZD&#10;2Dwo8+jDurg/0NwMOrSdvF+4e6icXeKXHlQnjRlRwsUjyncsLrn4olZbqF3oJ7yvJzyMuIWtlb31&#10;OObVrDNfdMEFFa6Csy5Tbijr5MTrxzo6eMxzbuJ/8d89qcJqcFuYr3uFOu/6PqFdDt07NNTL5/it&#10;8Hb63cFk1U90HeNd+P2v//rzam5df7vDddrcP6lc7DVjv/Nd4/dzYz+N/Vd++rDcnkb9f5+p62VR&#10;PchWLCqnpG9jcU4fwmfs32FhNGOYvN1W58qbClf/g+b6j3hy8Sm5uxKW04ts2q1f/ZvqXDedN0I7&#10;eL/Az5w1jc053JMNbuxvN+41fGBm5JUfPKYczLNZZ+cda/Ac7MZNGPvBhNuy+aKSI79oEz6dt3h2&#10;ka4Co4XJOdnE8571d751x2QtvNG/+g207hOckcI7hayJ//Ceu6sxrvGsMRr9Ct8FKpuVqmMqbFV1&#10;VjkkH38MIy4VpjT7SF0fOXeXXoSL2ORNWOsWNnhdusqvOPj1U78VHSpLMneJRl189k8+Xa1ls34s&#10;nasvOEafc/bZ4YwRx1KtGwvXRGVno78On7bH4nPZaXedVvzK57rq+5Q8n37pJS+ZzNWF2837X/Vz&#10;8Zh/TuYuYnKsUw5HFw2fhdMuX3gd37eO7aSys+eMPeJgts5LYYzTx/dtrPetb1++lM2TbqMNSfEq&#10;TLzy7ytdRO/Smdvnw9jXrbHq82jKpPLNS0sfaa+j8HyZdexX/spVk/1fjsmOy8ynmafW+7Kn8VC2&#10;sqbCUtGIw+3wdlrnnc2ntDnbrXhRviut965YB6COrJuzTs4z7Df97hsme9n6ypTsXaEaf5tCf/az&#10;n1XffmY9vP5GJv1CfUNU92Z1HJitsy95h0XfrpDtkC0Q1ih8FVR5uew++fax5c7j+bjb8y3utg2U&#10;Plahr1XIVHndTh8mRvueMcqk8q2Cos/Y3zWOPNzz9vBZ7TErHrmSJ+ppFKb8VV7xeLy7xQ8Fk/l2&#10;GPu+XnjWWa3nCN7mcvP9KdaJ6/1c0RbKJm4fFfaKso+N+w/tO2eujVvPth176zTT9yiS5bzubse7&#10;LqdlebrDcG8KNns5fA5+//iMFL7pwX6ytn5cr/RL99d6Jo3OGGLODX5rP5qPQR83KbfGmMah82hM&#10;KgxeD1NaUfg83tPJDe2S4+nd7elX5V53fovWw/W+qKxVpZdOvawKI0/ZaOhhPo8WRmte36UPr0sX&#10;X4yj3qTl5zqQ3+US7zxRlvySKb9TyfWwLn7lF3minH/4P/97bG/8PIHvVN9Duf7tb6vmh//hhF+u&#10;1q+lS29jdzNfZh8Xc80cHrXt4vZhNOVvY2ZTB8J5bs2cmjV9vb/FnJv7lfp9atbH3f436aPsrnwa&#10;3igr+tvyV61/x8ZNd//8549Ua9vs/W4wu9Zf//5b4zd7zJHBj71pOlPDz5Jwe+BuH89ya4xq7Ioq&#10;HqrxLVnul1v8s/zwSY6o0iqvVLjzLOKO5VtE1jrSUl704eVetn5c9iJ1UlklA5stW+7Po/1edtVj&#10;l7yE0cIQlU/1FpWe++hXvJIlKln4Z/F4Pn7mrjCyOVunPuMTHWq8T+jBOdny+zeW/Xw+2Qw/r7ex&#10;+7UtYv2ZPVPM+1izFa6oDUWlR29f3Jy1RVrNlyVftMGS9WLFqrHI6+V1bcJr/fKut9bH9V04dAyG&#10;v+rXXllhejo9+tI8WbStwzqdMFm0i6cdtwodrXpsL0O+bJEoMnHzDjZnkd7+9Vur7+g237pO67/R&#10;Xzu+ac90m5BO35fSGJ18S/Lg/N96ns59c3PvrDX3aHNlf9y2uLvLLsmGQZEj2ZIpf86uefq+bpVN&#10;efRNt0l8qyq761m6p95D8xO/dC3dEe42XfNoHwvLGGN9ZIBtXhbv6zUONn2fe13GhDCvi+q8eo0t&#10;aMRF/IzBxl7nbKPGsI9xhdVpmvGOv80nG93wKL6RQZxwGKzgDBCwWM9TI+a63/VHOD99x6KZE8Z5&#10;ZTvves6ocuX0sD3h0nWkstd1eKMDhYsSzz0R7UAbsDbO+gNtwpq5v+utNE6Vbx2Wz8fTrNPdZ2we&#10;Jk+0RdHvZXPc5ju0rJHzXNv3onl7NO6mXTyscTdjhrDp8Dq9h7fbu5HP+MrZIj1T9zO43bbF7+Fo&#10;ftC2j42dlJ1fFhV+OBYtS/Yq5ai8ORxcNG/hNLRe4xx+3qe3JfNV/+aDbDmUuMO6uD9wjGnbKe/j&#10;KSzshxkaQ6LtPDQOp/OqcSufRy1P6Rp883zk5juM2PyrD+bCmg8zZ9Oc2Nsk55auROHjHSRwBJmv&#10;+c1XTZ3/pTI09VaZu+qer3cjZ1N5qF/THk15m3o3YU0dpvUk/dQ84LKeaYPX0jt7ymnbtsx0/l15&#10;pOLaMpuyLhp+WOM9le8s/E2lGRrGueLMvXnvCwxn3RxsBMc/+uEPVv0FndZt0N1P3C7M4p9u05xs&#10;9Zcmfjpt0/6eb8MnGQ3fvP1E6wfMY9hzGuc3fr+xqW6VGcoa5by66Jeuabe+/N6GpGnasW4/xwDN&#10;o4f2+2Xwx7Vu7/91Xb3u7p6vH0a9TOdxXbWuCd7px1yKn/yiCgcfwdqzXvCC8e+M6ufzX9e13I6x&#10;Obd4nYILvA9MGXie2jWfa9q8rbeUDhre+fTar18ehux23VXOpr7p+NgPXWdKy/5x2oBn2Nxn0Y5Q&#10;/Nwr8cxbvMpXtAnP5b9aXS1j7C5LhmO0u4fK70rbFad8Hn300dFDDz04Yr+afqynf/1r/7PC9a98&#10;6ZYK08F14bv6SdOeTbvVYW3cdL5pt3i9T9TublnOM23r1efmpy7fy9bUdX7Zq5LR6FK6W3YZvf0k&#10;e7G80G2jX7f7hzmPnsZo2kz6nW4/3stgjPT5cb+sn8aZjzniuD9hPHKPzb22xibuz/3Fn1dnVoO9&#10;rq/odoyNcfLneDzc3dh6YfFVV15RzdPqd6LaOkn1k3Z/aY/ZLn6l237a9PNUXTSOZumiiU/La+Lr&#10;NuF8cvaPc/+kM1aYb6f3j9cy+5YlVY9FwoRLu0CFv6LUyd2qo8JEFe78qTjxdcWJB+o2RG6twbs9&#10;whbh17p8yqZxL8A8NbZ10/fatrIJb9uJmL6Pf5my+uS3Pp70eB6W/zJkqI0aWd4HhB3QTcJo7+ur&#10;csexFv2er+IefuihEffRfGfi/Bef24nZrtuUG7vNPFsYjE3nGTTrpY7DGiOiw/oQ7a+2v76SO2tu&#10;N1y++ti20UYv7To39s517u6Gv+GtwySz1gVp+LHOwflnvs+P/Xt6rg2mt+W35TT5LVfH3seLe/s1&#10;IDvFfjrdFyxCOSNG9xC6r9hGytxM9VhEH7m0Prdbdi9y7IgYrfaeJ8+haeM8ep48DyMN+w1u/rPP&#10;jt78pjdW331wfcrt82KFiYLR2GnH5//8ljdP3S9jo2sbPm2727a9seHgApiPbOZw+nYVeebWxl2W&#10;u9sYEXGpybPNV8K79KG5Nm3D/Rr9hHUT4fb0s+2UPlNt4X3E3dPpD2PMlDy3SwOs/fs11LZ72l12&#10;r0ovwgpoxOh59Zkqq8JEo+xtxWivB3Vj7yCYnZtnp/A6FebtghvbDbZeeP551TtAYCw/9p5p//cF&#10;57244oGXNJqng9E8L2W/Whrn3c532/Sue4UuPCpx0/jo90C4tUbO3jOfb/OdkTNOO63aC0Fb+/lo&#10;0msjy9tS93XknW5X77/FXTSQ00DObuf4Ny08lj/6N628Xh7HgiEY3aeO4hH1fKN7FzA61kn15r0y&#10;9kdiX0895ZSZ6+MRs6OfNlMYe8eYH/P+7qUvuXiyVi7b3aaNnZZNF23zRTxp0nXzxXTF30dfTRtE&#10;PeO/vsJk7rG41+I+jXsvvwdjbxpxzLv58Y43+TZy224vU+yzxb99GpCdWUfJlRdU7nXku0geXk53&#10;LyLT07pMdzvPIu4ujE7llwqL+TuPuyOf+7cdo1VPUdUt+hVOfZlvg91XvvzyEXNgb4voFibHcPwe&#10;V78PPd5PPL4f8Gfajc1uz7Mae13jQ23XhRUeVvC20dXydBFxtK1/Yavao85XaVhHAZPBZ86L450C&#10;9jaoj2gdBVxnPZ35Oe8gQPmRrly7oYGcndmN2i1eC9dPXLtfXHpbwrLlazxD+86jWc/156+OEZJ3&#10;5OSTq7VVePtc24rR3vaqZ5+wyON+dBF/YPk73/H2Cs+l46j36IePde94RpZsfA5zFC+a4yvhy8bq&#10;NhZH/Xa1Rx3XTi8MB8fZryZ8Bpv1U58ttGigrwbcVvVNc9h8qy7zKuXL3kNTGB3zvvmmGyf36Z5W&#10;7hRO8E6BX1EmcduK0V6vWfdPqXqnwlxmzn3P3XdV72K85WCvWkrvqTbh2SbPOlk7rb+xjF1vz63f&#10;+y75RX3+1saBiCPFPwS3++syhcEpXadxvN2Oni7Xv0p40cAsDcxru2bJXXb8qsu5avmy49AURru+&#10;OJMHPvCAtVTeQeLyMsqNLHgkn7SKc5ly7wJGqy5eT3en4hW2KI171YTZorTD4496wqQ91C5gNvNs&#10;MFv7yYUHbToEewqv4+BQd4OzwtYGy5s46VhxolofV3w3XbTflfT7owG3Ze7eHw1M13QdepCthuYw&#10;WuXAnmPzWefmAhdYg33fu9854ptL/DhbhDCtccOL7GOOPmb0Lw8/PF3Jg5BtxWjpRhWLfoXnaI7f&#10;w+WGyp2Tp3B/jzs+63bcpm3czzNMzbNZK23j9Hw4MBSj9pVf+Cudz9ZD0x553sgj3K+xW/2l0M3U&#10;QN/xvpmlL6Vahgb6YrTm0Dxn5hKmXnLxRdWzLd+P8pKLLqr2GrMey0Ua8mHenetzkqfyVAnL31I0&#10;gM65P/ryF78w850wx2vagn3j7DfKfz8iYsDseZywKI8r03O/edIMkb+vvEvpYEXIyjUguym6igxX&#10;KXsV5d0XmcJEaG4ejS4++Pvvq3CW9365zj7zzMpuT9vO2ma//LLLRq9+1W9UmEwa5DO/zl0Fo3Oa&#10;WSw8Ne4IY54NZtMm7CunfcBnYbSo+of72SfMniP2IoFt7T5Qt387bBpzhYkNH+kc75v5XsOTlyN5&#10;hQ7T0WK9q6RehwY0hkVTeXqc3KIp/hgmXtEYX/yHpwHZYGgXRn/oA++v7Ldw1tPl3MyxuUgDDzTX&#10;BwpGr6cPpPSvMNogYnZsW8dqxbF3nHd0/Zl2G2/BDcffGkccext3GuOb+GEYVDC7W1/r6XUll0U1&#10;MGs/quRrLIsqvA9VGtE+aQrP6jUgOwvtwmjHWUqFra7tX5zv1DaWOdZ5576owuSYNlWrgtEprSwW&#10;NmSspXj97BX2IqivRJyOfq2P8/yD8y6bfeNNX3HszOFvHa400xjvMoq7G4tz+lmsh5XU69BAamyS&#10;L2thXVcuXS6N+GfJzaUv4avRgOzuUIyGP/W+pc5GYN/R6aeeWhVaGM1cPHcVjM5pZrHweP+tcSip&#10;0U94Koxw9hd86o//qPVuvPefiNUex1ybczaYa7MXTZghHJY/Nd8mbhrHC2Y3OpsPn0lfru3UAN8J&#10;YH+n9vzEWuTGcOTD77zI4378x/ffl2ItYYegAbejQ+fRPJMEp3UegtMURoPVzfVY4xy7Cka31LEU&#10;j489BEa/ZxLjoj/Fy9599gGyn197xx2n3e39DDdxPNem/+g7XA0+F/xdBv72keHtWtzbowHGDOOo&#10;wum77py74BrnUPAZech97at/a26ZJeFyNeC2M4fRtB/4il3VXJh02NjUjzMJmTeddOKJFS7EZ9mp&#10;GhSMTmlleWEai30k5ng9XG5RyaUd6Su8G+/r497PoltYzhq59qORvp5vC6+15s2cUWHzzx/74Nc+&#10;8KjdCt0ODTDeoq3kvH7OFdYVx6TCU1S8pNd38TQ+c3iQklPCVqcBtQc01SZqQ61Xay7s6XLu/3jC&#10;L1cYHdOmahP7XYqnhK1eA2pvzykV5vFd7upslfHZdOzt1/7xXH/JhYPb7Em76sorqu987QN2rquO&#10;XW1X4tajgb7jS3y8B5kaK47TqZIrfYwjXUoe43XWlZPZlW6eNF3ydj3O2yaF0ap/xFnSvez4Z41/&#10;xx9Q3M8aXfZsfsePLnrO80bnnH5GjdHj59DwC98l02nBaNfGbrnjmGRN7ZOf+Hj1XPv8F5+btA/e&#10;L1Nu1uQ0537Vr71y8h7YcrBN83TR3Hx9VnwuncJjel8rEM9q6W71tM2tTRwDsaSKj1R8CufZEuNB&#10;a09xbMzCackThd9luRvZOktS/ItQ1WERGfuY1tt4KEZf+ZRfGLV/R42ufPI47MmPq3D6vPE71FwR&#10;31N6Lhid0spuhcUx6n72kFe4Pf7GdcTtaDe8z0Y363XCbuYbvF/A97/i3rTpPWjCwgYnp3nquBge&#10;ZTf3CY0src83aSM+p/bFqUyro7vVwza7Nt7f3a1Sp8IUByVe50F1jYkUTkfZ+Gd9e4GxpTOrlL+X&#10;J+dWXqLOpzBRjyvutAbcxg3H6McdYPQBNj/lwD/GaebTYPS4KxSMTqt+r0JzY5LwVBxhP7jn7uo5&#10;G+vk4G3u+XaXvVL/hkffbmRvo/C7/cxbONngZ4OpigMv63jH5obPcTnN22D4NPZKjmgX7zLi9qoT&#10;HmJldTZy3yLEcYFfmKr+Hil9XWFas0yNLcrAHiEfG3KnaArzU/XI5UW41z/Hl5JZwkaTdqJthmM0&#10;c2abS1ducPqoat37vDPPqlRc5tH729Ny4zEVrjBRtOZu/Ix1+il9irPg9WxOtkk2Bn8MU1yKar8a&#10;c3C9P8h7YszDecebuXjzPbAGW8FS4aloxE7CSduET8/HPW3tdv4mv0bGcsLQablWqwH6LH2Ob9Th&#10;jn3ac8/FPfTQg9We61yfToW/ebwmxRVlEp76vg5lTMnhuZLemY6yVPZcOPXVNxt4xpXjk5xCpzXg&#10;9mowRo/XtNtr3Q1m82y6YPS0vvcpZJ7xmEqTCot6jNh9xeWXVfPulM1RWKQaCwqXP1LeWQDL9dP7&#10;hzovAKp5+tVjjAfn+eFmDh4xWBjuOL1sLM7Ji3os/uVrQM+Q1Y/Yi8Wzna4r9nnNc5AR+2f0Kx/C&#10;9f0j5SW8TMnxdHKLkr/KJCqZ0U/4t+/45mSPqMqnZ9spfskqdFoDagPoYIzW82ifS4/n0OB2wehp&#10;XZeQ1Wiga8xz/489ZJ2Q9T1sFDYytW4uW+JjIhXm8e6exUs83ydhTh4x8zDwmTKUa/UacHz1/kI/&#10;7LK5KtmsObTLxB37IfN3xkgffHZZLoe5NOXQFcec/GAz98eSIxlQx3nJKXS2BqRLaFd/UT+DcsFf&#10;z6FtLm1YzX7vOI/+0Aeae7FYMvL2ssT44t9+DWgcp2rSFRf5xSuq+OgnPBXm/Ky/0fd45kbf1rNv&#10;tzPql25vFAZVeHQ7j7u5P/Cz1iJer9MvXRS6Og2Axd5HvC/gZo9k1zNfMDamSfm78tBes1S6vmHC&#10;+pSmKL/2eubKgR7KNVwD3j7zYfTB8+jJuneN2al5NBiduwpG5zSzP+FdeIoWcvG58GVpjrk4/ZP5&#10;ON9oBcv107wc+8P6NpTfLJuIHWPvmuNxey5dnkcvq/0OW86sviAbfOopp1RY7f1Zz7LFI5rDQcUv&#10;myq/+DwdbKbcffLj3tQvr6eHF3dbA67bhTBa694HNIXRmoO3S1D7CkantFLCdkED2CJwHuz28Yab&#10;Z9rtte8ubG7i2ng+//6xXdDvJteB9WHhm6j6AP4YRhyYx3uI9BnO2xO/aCqN4lZNOSOUcnFuf997&#10;Dy8TabkKPvfvta6/gtH99VY4iwbm0QD3qT7mcD/piU+u9pT5nLp2T+8vU/g073w4PU8dSpppDeQw&#10;J849uvA1xvEM2PuKx7vbedbhjuWKeXrZoht9SFei09osIa4B12/BaNdMcRcNLEcD0RbxDDw1B+G8&#10;02nsjTjdzKWneYfj9HJqWKRIA7GtU/dkbnNxO46l/M4feT1u1e4+ec/i6VpLlQ4LbWvA27VgdFs3&#10;xVc0sCwNRNtdrWMefLvIxyDvdV17zVsSWC38LRi9rDZZthy1sSjyU2vVtHcOy3Lh3kc20e3ldncs&#10;K/oo1zANuA4LRg/TXeEuGlhUAzzXi++BsfbN+SmaJy/r2bPkOV20/CV9WwOOz8Ror7Pb2XndXdg3&#10;r8y+6frk3cWjOPQRddTWYPFFDXgbFYyO2in+ooHVagB7xdq3bLlsGePynLPPDvvJNJdeHl1t7Yp0&#10;2tHb1O2tu8UTqfP0lRXTrNM/q/yURVfBammim3r7FYzu1lWJLRqYRwNui9ztslj7vv7tb6v2CMnO&#10;MTb5Rojepa7n03o+vRyc9jIU93I1wHkebl+Hur0fpNLOik+lmTdsnrxyabpwZrktsBvSvM26dKe9&#10;D3rmT7qpc0Dt/avy7tVu9I9Si+VpIIfPHs55iXHtm7HGGeK+Rr0s9/Jqt5uS/GytoTXk/Sm3r/vq&#10;jljN8x3v80P0uo/vbnm/yWE0+nSMxk+6K/WdK8PmGrf1TY3pb1Pm2oa8vSxD2q3wFg3skgY4J0Lv&#10;Urt9O+nE51f7yfz59KJz613S2yrqIv3zLIIzarCD/LBXXfYSO8eZdW7T9tEt/anu+Fkv6rqkW/TM&#10;+b2MhQvOe/HkmUEOQ7pkbnOcdAdN9TnpwzGa+sI/wWidASo6xmzm0Reec87osUfb+J7TFXl7WXJ8&#10;JbxoYF80oDHn44Lvc7E3tplHL7b2vS+6nLeep5x00gQbvB3kFgaBI68Z79OnzZg/s8593rkvatk0&#10;pdk3Kh2p3tzvYO/RE/riXBQ/ezfyk05hnO+yb5f0Bk1hNPoAp2UvoPifPn5OdsUx/378bcrHjV4x&#10;mU8335HmvO6XXnxxpU5Pm9NvweicZkr4PmhA98LU1d333HVn8qzFF73wheP9ZNeOsZp3seqfz68b&#10;DO9+br0Pul2kjvr2qeOE28zoFpbE8OJ/fOt+ZZaecvHcC3H5GFmkfbchrfedHEZTD+Esaw9cnFN8&#10;7pFTR1c87RdHV1TzZ31b46jRy8dhp554YpUGXqWF5q6C0TnNlPB91wDP4Pjmr49V3Dy3ftPvvsHm&#10;1ODxsPen9123s+ovvYMZwg3R2B4KF43xxd/G6Xn0Ae7s2+V6ymE09yyOs/ixGy+/7GWV3XjhGKvP&#10;OvmU0VknnTw68tznVWGsx8ET06Lf1D1Qweh963mlvhoHoq6RVNis/WQ+j3Z315za8yzuaQ3I7rmd&#10;xJ3D4Vx4TL9vftdLl1txoq5rwrrmedOttxsh3lciRj/22KOTSqqvSkeyIQ89+GC1Rn7HN26rnsHc&#10;cfvto4cffrhKN4by6vK0Sqc4ZVAwWpoodJ81oPGR08GP779vsp9MYxfbdfwzj5+cT9YXn8HucnVr&#10;gO86RZyQ3nPU8SXHs0/h0oforLp38XV9w7O7Jbc31vUVMdpr9aEPvK+6dwRvU3ZEmEtc/WtSsz7+&#10;+F94Quc9UMHoRl/FtR8a0DgSTdU6F6f7Xh+/7Cf7dTufrGv+rLhUniWs0UC0S65vuR1T3K34QvPr&#10;DugmpbNUGLxdGNW02m65vP901V82ATp9NbjM1Dnale60tbQ4FqbzKCFFA7ungThWqGEqLFXz3Lc5&#10;XnD66b3PJ0vJLWGNBnhe5zayuBd/pryIDnkvcd8u11cXRjMXhjeN0d1aKxjdrZ8SWzQwrwbAEN43&#10;9XkHbs785p2Wer6sfWSizV7vefPdp3RuI13PHl7cq8dudK+r732s+LeZet/KYTT66IOzKT14Wu0J&#10;T/GVeXRKKyWsaCCvAbdT7Cfz7/piz/hdeP55iTl1g9V56SVGGtBZ6m4rC1avHpNd37h533wfL9dD&#10;DqPRizC6C2dz+lNaKJfbFqUpGC1NFFo0MEwDGk/MqTlHgzEtDIGC3b/z+tdN3tHyPWXDcto/bnSb&#10;OvPN7WZxrx6v6ce0A+2h/r4vvdH7VwqjpY+Is330E9N24XvB6D4aLTxFA2kNPPpo8w4G5zf5nFpj&#10;/GWXXhLWvsu+7rQ226HxTE/d/0ivha4eo9Ex7SBMEW231G76vH9FjHY9gK/0Td4h9/A+WiENaYXR&#10;qfQFo/tosvAUDfTTAHtr/IwsjfMTnn3Cwbkn9Xp3P2n7y4Wt0vwEHRZ8Xg8eq7867cKPXe6hroOI&#10;0V7vH9xzd7WGxtlGrKn55Zjrbnj4boy+49Mlv2C0a7S4iwZmayCOtVQKxxeNdXBGc+pUmhLW1gDP&#10;+qU7aMHpw8Fp2mEfL+97XRiKPdDeCb5BEnE6pTt4SEOfPnLyyRVLzq4UjE5psIQVDQzTQBxf+Lm/&#10;1tj18f785504TPiecrttKvh8OPhMv+3Cp13umj5mZ+mAsa45MZjLPTppUj/i4EE+z8ZI61e0Jcjw&#10;sjhvcRcNFA3014DGVqSaUzvO9Je6vZxRD7NqwtyC71ahL57Tpe5vXIdut4p7dRhOO3B+unAnzhPV&#10;zrPad9vivU/Nwmjqljs3weW4G5wmzayrYPQsDZX4ooHhGoh2i3HG9xY1RodL3M4UUQ+qBc/tv/zF&#10;L1R2n33DrhvpSLTg8urwVzrO0ZzuwRfaDdxmLbzrjJNcH1Bf2FTqOslhdKpunJvKPSb6Sf2IS52t&#10;mpKFbgpGb2oPKeXaVg3kxhrzD+1V3ta6DSm39MDcGJvEmS/YLLd9ObewQdT5UmEeX9zrw/TYFrQv&#10;ffzmm24c3fGN25PdRf0iGblBgd6Pchi9juIWjF6Hlkse+6aBlB1S2GGO93W1g+rKfcnTxt+8d3sX&#10;3dHOe3yMi37nLe7lYnNO1woXzen9mKOPqfYu0+fUH9bV/5aRj9frMMdswehltGaRUTSQ18A22qd8&#10;bYbH6Hm82zy5Z9l58YnCPzSN0ha6HAyP+o9+6Zl1Ey7v/+4e3pPWm0L1gEaM9nrk3LNKm0vn4cgo&#10;GD1LkyW+aGBxDcRxt7jE7ZHAs0rsnGy5qNtAhYl6XHEvB1uH6jHVFjHM/e4mr65n1NvQe11fEaNV&#10;fo1rUcLdLb5InUdu0chbMDpqpPiLBpajgdyYW4707ZLCPhm3ebijTY/+WfwxvvhXi+Vqn0hd74pj&#10;H7guxsE2jgWvVw6jqaPqJqp696FKI5pKUzA6pZUSVjSwPA1o/IkuT/JmS/L6/uT//ngKo90G5tyy&#10;+bn4Er5aXJ5Xv9s+h2Zked1zGE0f935OuugnLF6RJyVHaQpGSxOFFg0sTwMag6LLk7y9kphbpTA3&#10;hskfqdtMd8P3/ve8a/TZP/n0lHLQ/403fKaKP/YZx7bsbpSBP3V947Zbs+mG8qfyTJVd/YY6Ec/+&#10;K0/rbur/q1e9oiqK0uHBTXrnjW7pzNORdlY6yVEbyQ9lzWQXLq9TDqPXUc+C0evQcsmjaKBoQM+l&#10;ZftS9j2GPf6oJ3RizPvf8+5e8xZp/08/8z+S9wmUibxT16owGuwdcnXhpjA6ylMa6VWU+pLGsVlu&#10;zpE+/dRTs3p3Gam2vOeuO2MxttKvukELRm9lE5ZCFw0UDQzUgN6PdjvvbreL7k7xgJ3CFVEvTgyT&#10;/67v/112Xurp5V4FRiOTS2WCutvjKsYDXsrOekDUxyt/5aqp9KTjnsT16G6Vwb/dRhruHZwv5uVx&#10;7oaP9t2Vy+tWMHpXWrXUo2igaKBLA5xrIdsXbX/Or3BR0gtfyEvYlss3hX9gXaocKRnLxmgve9/y&#10;e7lUdtdHnEdLJ47Rzv/W37smqbf77/3RRC/ST4q6LHfnzi3x8m+L2+tdMHpbWq2Us2igaGCIBoQV&#10;nkZzabeBObfbf/Hk1ojJ633vfmcLY1gL1xXL4vNF5SNep8vCaPKIZfcyxfLg93h3E6cyQyNGq/xa&#10;65buRO+/716xVFSywW7xiCof+XNUc2jJamWwhR6vZ8HoLWzAUuSigaKBrAainXY/9q6v3Xc7ifu4&#10;Y4+rzq5yeSrERRdcMIUvpLn69a8TS4s++OADU+VoMRx45sHoVP1Yo47fo1B+KntM9zuh7Ko3clw3&#10;EaPFl8Jo7mN0iQ//7V9v742LZYl+zx/3YeKY6rNM6vU7zLqRt5dlmXUssooGigaKBhwHpA1902qW&#10;3SfeeeI8VPI0B3Ve7Jr8d47XtlPX1a977YQH3tQ1D0a7TVU5HBs9n1llZ22bK+qRew/lEzFa/BGj&#10;uU9gT5hfkqv7BMkcQo+Mv7Gxa5fXv2D0rrVuqU/RQNGAa0A4oDC+seE2sMstnIXnls9/TiJamNW1&#10;D5l0H//Yf6vSgYf6ES7ZohPh5lgEoyU3ll3i0csZp51W6cJ54dcvV3bFQ1MYTR5xj7ZkKX9Rf24t&#10;ubE80S8+qL7jFNtZ8reRev0KRm9jC5YyFw3srwaWYYuZe2EHu2y/20ncca2Ycvz4/vsmeBb5h/pT&#10;LboIRnv+4GXUG8+FxTNED0ojGjFa+UDJg3sYfroUj581/653x5VHju7iHBq9eH0LRqORchUNFA1s&#10;kwbczg8pN9+1176xiEvudzf20jHG8xOGRn63sX3dLlduyU/JEI9T+FUWUS+79AaNssWfyqsrLGI0&#10;5VE+uFkvJ694waO19i75MU7lFKU9c+9Fezli/u7vy+dpVun2OheMXqWmi+yigaKBVWsgZV8VBuXH&#10;GSapc7uxhbL1orKP8kMvPP/8ZDVS67RKP5SmMog46jL78l984YUtzJRu4vNi1dfz6ONOYbTKprzk&#10;d7rIPD5VVtpX54Cq3ZVfrhwe7m6lOyzqei8YfVitUPItGigamEcDfW0pfP/y8MMjvk/51F96Wmv9&#10;0G1gHzc4lMoXnEvhRR+ZkSeli2VgdA5DU2Wfpy45+Sl9eR1J5zqYJ2+lV1oo7U2760qVIxUm/k2g&#10;qhe0YPQmtEgpQ9FA0cAQDbiNdbfL+OQnPj56+tOObuGA2z7Z9VyYx7PvOHVtyzyaskc9rXMeHfPm&#10;3kP6FfV2WNRNu4PVumL+MTwXL751U69/weh1a7/kVzRQNLAMDbhddTf7fI8c7AlzWzfLLayAyk0a&#10;3Ox/9kv5ffHzf1XdA4hfdFZeqXiXL/ci82iVxZ9HSy70S1/4fKvsqTL1CYvzaOlG720pT4Xjp0x9&#10;ZHfxqH7O42G46Qfa961yQL0sHr4pbq9TwehNaZVSjqKBooF5NCB7iy1j/5Dbabd1Obfzuzvy691e&#10;5Qfl3eeuNFFGlz9V90UwmrxUtrive5lljxitejBPZ09Y6vrDj35kIYxWvVL6TMXRL759xzdbRfF2&#10;bEVsgMfrVTB6AxqkFKFooGhgLg1gZ9knpL3abtvcnbLbHt/Hfctf/WWyjHy7cRnyU8IXxWjVq6vs&#10;4pmXdmE0Mv29cuoobNSebulOdEg5cmly4Vdcfln1vlxK15sU5jooGL1JLVPKUjRQNNBHA7Lz0FNO&#10;OmmhOZnbw+h2Ww+meL6UE/+sc6aZw9595/er87yRAabFfPCnrnkw2susfHLzWcouflGlgVJ21gpI&#10;nyv7LIzm/WfeI09d0l0qb4WJUh53ezmHuI+M1791qT3l3xTq9SkYvSmtUspRNFA0MI8GeOe5a2+Y&#10;27tF3MyXfc1Y9l3ndCA7Yoh/V0N1Ix2YHcsieeKDzsLomCbH7+dwKg2Usp925MhUWShbxHWl07ev&#10;VH6+TRkveH1PGnvuUrojHeeCS5b0F6niF6X0E/oLl+oT3VXkIf95PQtGH3JjlOyLBooGFtYAdvfo&#10;pz9jyta7rRviFkbENBG3VHCwTnNC0oCJf/QHH53ggOMBaa695i2TssJPfpEHvhTmqmzExyt+m8LL&#10;36fsyKbs8dxOL5vXE/mz5tEqQ+r7IsjlB86rXtKH0ol6vMJm0ccf9YSJnh2fo942ze/1Khi9aa1T&#10;ylM0UDQwRAOy83E+jU2fx64rTaSym8wjHbPcnSp3jOf5LLIkX3JTaVMYrbSRn3y+cdvXJ5gkPsmH&#10;aq+1yiQaZaX88KrsLlMY7bJw+zxa/I79zk9+Xd/ViLqSvL404rPn7e5UvQ8jzOtVMPowWqDkWTRQ&#10;NLAMDUT7Kpxe1KZ3pWeeCXbGvPvUB4wkfUp+Kn0Oo7HhXJTBy5HjV37kzVxbaStHx5/LVtmFH5Ip&#10;jI5ibrzhM637BaXzexyXz1r4MnFa5Yv4HMuJ38uRil93mHQFLRi9bu2X/IoGigZWqYGvfOmWFjbI&#10;Vrvd6+tOpVVYXDuOdt79uOO8UnJUFnTiafDnMJc0qSvyxzyUl8qu/ERdpofFsksO8iNGK13ufBfe&#10;jfZn056nP9tXHotQyvflL37Bs8i6Ve4swxojvM4Fo9eo+JJV0UDRwNI0EG2q/NCbb7pxIZwWts2i&#10;2FLwDjxKXWAb8ccde1yrPG6D5Vb5XU7EXPFGqnIq3P1yi4oHStkoY7woi8rO3NvT4HZZPEtW2UWR&#10;57ju/FFWHz/p55HB+SVeJtVTYZEq/rCp66Rg9GG3Rsm/aKBoYNkawPZGnHa718c9Dyb0kSueKB8d&#10;CDOkjz4YLTmikj+UevqcO8qET/PoWHbHaNK5zJQcD3NedzvPLLfjcyyb9Lup1OtWMHpTW6mUq2ig&#10;aGBRDWCn3d5tsjvWFVzpg9GHVSdhp8+jvQ4Ro1ddTpWHfFLnf3rZDsuduld44IF/Ht1/749Gf//D&#10;H4xuu/Vr1e+yl1460g89Kvw737qj4oWfdKkrlce8fNwfeLtJTt88xL+JdEgdcry5cK9vHx7nl3ve&#10;dEpfaNHAJmvA+zff1nA7s6lu9Onlxr/JGC09ah5Nef0CW4SbokqzSkp764r6VPiyaE6+wkXJT+5/&#10;+ulPq317N3z6U6P3vPO6OX7Xt9J87CMfGiGLfRjC8EceeWRSReU7CZjhcP4cRkuE8yrM6YMPPjD6&#10;/+yd7dN+VXXf/5c6nWmnLzKC5h9IjA/tm0yiYjrTjoLaZKYxY9NJZ5JO0k4Th98tiAQRqFSD0foA&#10;IqCCSooIIopEo4iQiKBRMC+C4AvxDXP3/pzD5zrrWvc+5zrX89O+Zu577ce1115nn/Xda5999nnq&#10;bD7BPoOGnoWdb0DZvwi967N3NH2gHx//6F9Pwsbp4zy6uvLk8pfKd7oyDZ7+xbaQQdnu//K9TViZ&#10;mRP94he/iF3rDc/SSV/FeevNW76v3ZpeNbBpDTh2oYb/9E/+uMHpTWLFvDhU0lMfRtMP+xbr9ZWf&#10;V5Yx5dXlrvjRyMw3pId+JZ0Nle/LG8MnliHMeW2zsEYcmcajk9M2vcOb6Xxx3nLET5q27vzM7Q1u&#10;/9NPn5l0Jctl/MUXXzxX5mtffWAyz0K/2d8HYyPOffhD/2cEluZ+KLfpxu3XhZH978pH/XQ6lX8u&#10;l9NjvA1n/Tt3QL/o4Nvf+majG/ZC8lOnTST9i3kxHIvldOI5LZav4aqBfdaAY/s1C3wLawxWLVpG&#10;jJNGHSvz0PvOsbzhTWK0/S750ci/6bVuru8mf14j2uwLkweuddis/ZeKPy1ugHGlP9YGSL/+2msa&#10;/I0YZDjjCDgd89539VWnYMq3/+5b53zCKD8y++M7JF5naORnOLbTpYmD0xiX8bKLX5jq90du+lAT&#10;t9/MAzhzfpk//OQ7Pv2pqXairv/yqiub/kWZ6I96lU738fx8gvy4toFvzhh45umnVevUeJkk1kDV&#10;wJFpINod/ehob3YtXLo8zNGVUyw3Xiq/SYxWHjE66hvZNo3R6OXPZvjRJZ2tK4315v939xcmuNbZ&#10;9pNT8OBTn/z46T13f/H0b7/x0OlPfvyPpz/+xx81f3wjxnBMj2HK4JdTlzZuP3uPATzj7NkOV8QX&#10;8LLDa+UAn1gbZz06Xzt1kte6rQs/sYzvdEesA0fBQ/H0mw9/4/SbDz/cyEr48e892nwHxz5K6RN9&#10;5M8weepDavl5aKyrHkl7+ic/Pqdr85GzlR35v9Gc30OfwHnnDuK2uuj04xylpeZDxW+wm/kS+F36&#10;5WtiXFqqU9OqBvZRA6x/Yr/FFDFulyiylX59mEv50r3aV36dfWWtu/Tz/eh16r3EO653qyNpSc5F&#10;0+QpjXx45gxudTa7xTTSWD8WX8AJMSGGS/mmlWjEoB888f2mDfCE9sSHTpZp/ABvWbsFL/Jz7IzR&#10;zAnAK9ooydGXpnzSUjmxuZS3SNpQW/KzDJQ/r4X5QzSWZb6EXphzcRYfeuf7q63Op9cSuuvgvKml&#10;YPenb/lk8xyc/YPMneqvauDQNSA+rxOjjo13CRe3oYMhOSJOxzFewtOYv4ow/hG4KDZK8XfH2nzK&#10;iQHixzx1c9nGDzzD7IgbrVzt3EEZWQ9Hzmdf2jOeMVqZMn/ToYbFP8tGDDRPSpkYto5UnsbH0DF1&#10;KGO7pfIxz3Bs2/qlupQj/Ynv/0OD3+jVeVP7zGJ6ruT1AMMNX/Pe9zTzJ8YUuM0cyjEMNcy4jeFV&#10;jOPKo2pg3RpgDU7sGLLnlqn0ZRN9jdHFGJ2OKTOmrUXKcP3jbx02LPLEfuKPdn5Sa4PBRfysaNuH&#10;wmCBtp9yJWwYql/KixiCD3z/vV9q9nplWcVq0nl2/cW77pwaEyXeUcZ5ZLWfkWeUM6YTHsrLZbMc&#10;1o3ppuW6xGO5Un6sS7hUPpYp8SCNuRPXQuxmzJauSbwu+Ntcm4cf+vop6zX1VzWwjxrYp/eit4lj&#10;i2DfPtXpe09abJU6xnOc9FKa5aU8U8Tnwb7qA0F5dlmy3302e5PpyCVe33jDdWeyu/Y67d+98x2/&#10;P/mmnPL14U9fuvUqbfccDOmBa8Lze3CbvXIl3G5xvL1erH2wRu7eAsfkEJ01pmfll3hTZ5F6JV41&#10;7TA0EMdDDO8TPot3i+B0rBPD8jxWmnWxbpzmvZvs+7B3Czs7ZIu3nZfxlOfRt978iQaro9/mvOPt&#10;b71s8hwafKc+1DD9Ibztfh1K+/H6gNvsY2AvXt7nkMfe/77u2sbPdm1cax9tpGnSRfOsX2nVwFgN&#10;RHzOtnofMGtemectvw86WIWMWS/4GaXfGNsUy8Qw7xNjMzOeYUOxqWJWtLW7jh9gLLKz78l3kToM&#10;aPejgxW5T2KzdNf7uevyZT2i7x/98KlG7+qe5yecW4Ov7RpOd626tRBsIu/Q5f37jmUp94dhaeme&#10;iWm5XI7HsjV8vBpwXER8jnYee51tdsyv4fmeQ++rvqI/7ZjhrjHcR/vurBI+g23af+ys9pS0GLbM&#10;rtAoG2Fkb7D6bL31vN0/ad4bcx6yK304JDni9bBfpTTzoOf3BXY47btyzB/Zu8aZNo73eA/ksW4Z&#10;acwvpcX8Gq4aiBp49JHvnL78Vy46h8URn3cdp5eRb5m6+4q588rN+OD74v7G2Ji+MuzZabGrfSaI&#10;zxnfqcJminXRju5y2DlFprwnPL2+iu0/afaIV5ye/Xx53muesZjrkXnkMuRbjjz2krMXjXfwGZt5&#10;rYexy94z/HDWxPnFsR7D3i99dJ6yfTxq+mFrALtbwmds+C5j1yNna1Wr+nGfcJbIvLh1yOVL1/6i&#10;l198ynyu9Iu2JoYtaxrvwUTfEhvIuqPYhr3M+Kz9zLZ2G/GSfVeO2AfTpPd96Z7J+ndr89u177hn&#10;fYi3fCodxvWhsaJ+h65T1i91eK+d/Yvt/rO8N7CNs87EvjPOKPfnmDcuLaWX0ixf6XFqwDHBGZBi&#10;Tckul9Isv03KOVyr/FWMHl6zdxwwXvp+jqm+fPZvg8/6JeJztovGo73FVsa4ZTZNo31XnlKaeBDl&#10;w6fu3rFu/Wn2xz35gyem5iixTg0PY3JJP3GslK5DqQ5psWzp2lKGORXr3dPX0XXxDr9v+uCNzd4z&#10;3832Pa/SPVJK67uHavrxaeD55547fffl75rg9DZxd2zb4MUf/dc/XOnFqhjdYrRYXLoWnG3CeFnU&#10;prA+qA89Dz732dRdSGddlHV63vVhbZR1bc+6ZC8S/TROHrZ72h87OeXdrbruPT8WD13/iLelcmCw&#10;c6uIx6WyfWnMueKaeJx/9r2Lxz3AOQDgPPjNvFX8XqlBq8wOTgOM03f+wTvmxuohm16y86tK+9VX&#10;/OrpvN/JGbpoFaOn/WivK5RxwfhY5se7SeIzFBuV7WiO99nGTadrw2O7rF175go+FWd+c5Yl74yx&#10;/4g/bDgYblwKnmOrXU9AH6ylwt+2pLaZ46ZXulpsH6PPOE69LlB8bDCba+keBJ9rxLEfr3tMF7/B&#10;bs5YAb+xcYvOiZe5X7fR5jLyHkNdrwnnF7710rdMYbX2ug9fZ+X31Vs2/er3XDE1fu2D1yvHTS/R&#10;Y8XooWvHOGA8LPJT91LeO9Ue4VeOsYXbKIP91e7SfgwTx9/F/nIeJXuGWKfuk5O6mZ884fPBD9ww&#10;0Qm6AcPlFXHAtEo3j8djdF66zqTxx/jgusbz0Np18m5dvMPs7lsr3itiPOsvzAnBb7/lGc+H9x71&#10;fuuLmw7NZc0rpZfSLF/pZjXgtbj7C3edvvbVr57C6hKmDtn4UvlVpuFLs/bKT7lzOMZjGdL9kX6s&#10;GB2vh9fyNWfPnMGfZX/qm7W8zg5dmOzh1raNsYObLBPxMWIs9hb7ypp2aW2a/ign9WJd06Xk4Wez&#10;Fq495l1d86WUMxz5m1bpdnA7X9t4bWLY6xOvo2mPPfrdBr9ZU/I8U8ZXvFcYG8TF6tIaOtjNuxJ8&#10;5+/vH39scO3cezLTvnvdcuQbzrSvbk1fXAPqeBYHynF+Bft5S7Y8pm06LJ7k59L2jXdtlcmyxjOd&#10;lZ/LH2qc/f2+B60eGSMxPGvMWD7WAe+1LWASNgo7lu2ctmtXKXb0Yx/58ET+LKd2GMqZGTmfeLTf&#10;lOM9cTEaCm7Lp1S/pm0Hk7PeS9coXlvLl9LIs76UNMryRxrjAP8bO8baOWtP0+ea6nPjj7c+udgu&#10;nse1c7/jWfK9x9zTsUy8t73fY34Nr1YDWd8l7viq77/m6ims3iVcY+4Zf/aJtfBdknNXsF2dSJmD&#10;cf/n/WDqMep2TNh60vhsDh9UG6X9wiYZ1rbtCo1ysQcsviulXUX+aGuH+pfL4Y9rU8Fo1kRjm7ui&#10;hyrH+bmB10madeS4KOWTRn7Oy+Mj8yTOe6cPPvCVqX2K7XpMt36u/x0pYf44o9x9a74v5t6eMfc3&#10;Zby3pWPr1XLjNKBepbmW6VDDlMGG78r3KsUXKd9+jj/l5pkf2Gi5iJOltJh/DGH3apd0Nyst5g+F&#10;tQ3QXcegaDOjHcV2In+2mSU7G3nk8sTla16cw+AzlXhSdoz9lmel5zF1HTrhmpSuS981XNV1zG0S&#10;Z77Hu9zcY55NPu17+47Yeeo80XVz95yP+Q63tnbIBtS8xTWQcbiPk9cB+qpf+/XJOvI2cUyMlfad&#10;axLXvZXXOsRj2PxjoFzHWb+x46OPzw+fenJqLRc/NNuXWZi2DtvaxzPLFsuJ0ZRRZinl+sLkxTq5&#10;LGvozmNY04x8Yvs1vBncHdJzvo6xrGNHGvNimOsrH2nML6WZH8dGDJsPlb9h4tx3viPI85p235pn&#10;Fbhufh67GZfZ72a/efwWd9+9X9M3pwHxmRb7zvXeFqZFfGUPWcZpZSf93772tTsxt9iWrkrt+vyZ&#10;a6uucpg4v5jfpsz+z7lL4o8YF+0J4Vk2LZdfZzzbvRjnvBHGUbSBJVlyf3I81iEvYjQ+dSwfw7Fe&#10;DW8Hr7kes67JrHyvXSwXw+b30TgmLVNKM2+Id3zu7fv97f1aXjeP9zLPu9nn2Ow1P3u3sr7nPdse&#10;rrOE9pk9vyVbv0tpcd1budENa/VveuMbd1L+ONfYhC5tj+u5yl/UN3z5ZhB7WlhLY91NuwHNdmXI&#10;lsR62wpjw8BT5MyyK1Nfeqm/1oEvtg8dgdFDPKxT6XYw+lj0PsHus/HON1f1u92fFrE6h1kv/9wd&#10;t0/e8S7Zl2wnFi1DvTG8Svz3Oa2vz9GH1sZLN4Er87QRcTpfiz/6w/8yhdO5D8Rz2jxtz1t33vLz&#10;yDKm7G1n52+s48c44jr4rAv80caBQxGTh3DPOpuiypWxErvF3hwoZfrKRTljGcPmE6cN5i6tji7M&#10;nANYt9KK0escA3Hsx3uVNXPOTGCuig/dPu8eXisHw/G5wQ+fc//yly/0mhzsRh8G9VY6y1ikzhC/&#10;Xc0r9dM0fehtY8os3FG+0pne9uXP/+f/aHDYstLMu5RumjTXMT6UP5Rn/XVTZZjlS6uzRcbs/V++&#10;d4I/8ewS8Snj1jrtzhjeykVZZTMNim3Cp3ji7PywmD+Gt2WizQPvncNgy7B/2kf5W6/SisubHgN5&#10;DBKP49d83hPjPe94xlr2r4k71qEZt/MzbuyOtkeqDTKeqfnHQu0//WW/gTZd7DAuNX2bNMtSwmmv&#10;n/40dazHe632m3e37Iv5+IWlfMtBqRe/Cc+etd99+9uadNv+5Mc+OuEd6246bL9K54nZT2VehPLt&#10;PtfHuC+xMdzj4pB007Zn3va0RdRj7Q9/Op4LRnosI3/7Zx5xwqbDK9qy0tko8qq0YvS6x4DjMlLH&#10;bmw7j2PyrGM55p/uU2MNrX0/rN2X1mL1+TC4zT3BO2HsTSv9sl0yLi3VOaS0vn6+7bJLJ5iiXY94&#10;UkqL+dsMl3CafvJOYN5Hxj5kfxGjlT+uofv+dex7zJePOo372ZBJnrtAOfcz/pRZGvPGhK3HPpI4&#10;f+YsBe5h73vvde/rXaHI1Scb6cxpsDmsDWCH7E/sWw7nvrFuGG2V747HcpFvTK/hitfbGgP5vhga&#10;o5RFTsoQ9mxU1qPYX156N8x7Asof+I6Pju149tl/npgfbcwk4QgD6gB7BI5ELMrxnLcLuBNlwG8t&#10;/RgrsRwYbb/FaPsGjRic84n3/eRJPuFdwmj7x/6u+Isyx/RZ4VyPdzfcN5ZxyHtXui2709euNkY7&#10;IyUdn5fxg53hfBP6xrupYG8fP9Op2+3Daf0J/A7zobHtUjyWreGK2ascA96P0CG+5ufyjt2nf/Lj&#10;meOY50bR3+ZeateW2jPUxGzXm/C1Of8SX9u95NnmzLJRh5Jvv6MPHfGMMPZdGy/NZXYlrh9rv7xO&#10;rEMr4zRGXzlJN79vrfuVF79y8h0u+MLndy65pKmPrx6xnXwxepd0dtlb3oxoK/lFHTMH9v6CgmHe&#10;20P3/7bytDe0n+Xsy2OOD14z59fGgN342aSB3+RztgR7Z/DBtT1QnofM6m+WZVb5ml9xe9ExIMZa&#10;P8YZh2PHYqwHL+Jj6mIj+LYcz7eZy3qvaEdinPuNeypi9kqM2I4z0cY++sh3zuGUeBXpLmFNlCuG&#10;wUp/9g/qGSf0wbVu0vWTIw/OrfcX8/9b+p61+Gzd+C1N6ovR5u8Kzb60fV2G8mzeewvK2W/Mnee5&#10;Z7UVm6LaEWi0MzGsLJY1DqUc36nk3Cco/jXjjPWc91757qCPk8YGxbo1XLF118ZAaYwro/cIdKic&#10;5SMt3U8x3zDrTs355S/Ng6M9ueoK3+Vu6TK2ah/revbnEAYP5a0De5ZpT186XgueSyunGE1+xGDb&#10;7MPouM4d+ckXio32twmMVuYoQwybLyWP6+3PeYzxRSl8eOcizn2ZG/sOk/ehNN7zpkmpw73KH89g&#10;8E0X+QMz5QOV/yxasimkKbP1LafNoj38aWxLq4fWnrhH3HqVVnyuY2DcGGDuyxod74DFdalF7dQ+&#10;1sPORJteCkf7bn5Oy3HLLUPxicHF9u/KZh81Oi5hX2wfHy7/wJB//6Y3NX0tYXSsH9esI4bjG/mD&#10;R+yb9ZHNX0nOWGedYeWhDcNS0rjuq8Rn+gw/MCriNGtUJXxszhw+e2eLdWHuv7h+zL1I3DVk5j0T&#10;jI7hGdgtX3jdeMN1E79W/qQ3fM94Io/PmDMWY09zmnN+7Af7YuAZ5/0+m0cG9tDAQ0yv9nmcfa56&#10;Ok49le4T7z9sCffsMf30oRfFi2j3F+XRVw+MLuEIGBrrKIM0+ruxvs+keffK3y2f+NgUL/hGPzxi&#10;dOQLRtOebVKPcBw/68bo2Lb6iGmEY9wy0OhLo4uoJ3WzCOX9R7BPvNKf5JtqfMPePVTXX3tNg23g&#10;r/5u3k8lNs5rq4fucXjpp/tdId/3dP8pVPzm3W/3qdunaeoaXLsnzDzOFKWuspdkMq/S48Siet3H&#10;X/d8/yxim/axDv2OdnvRcB8OrIIfZ3v6E0dYZ+bZr/xz+xEnrQv9vf/09qZO9KOzPwxP+PsTo2kj&#10;f8f6da95TcPP9nftebRyqadMuf7L/Lwe8iDO+46cEyg2+9602HXtX773lO/ej7FPzp0pS3hMnViW&#10;/lkvhilTipuOP93sQT2bP+AjM59QfmnXv/j+50mz/5s5h8/ilVk5jFc63j5XXR2Xrrg3vebeNzGN&#10;vGP6/fz55xt7hO+Ab3XJG14/wT5serbzMR7D2f6vKo6fhe3PeOD3KG1HWdjH1ffDL6ecGC1P2pBP&#10;9JXJF6PJB4Pj77vf+XZzNjg8/93rXte7r1veq6L2FX4xXIrb5htf/9vN9eU684yX6+5PPRCPYfOH&#10;qOXZM3bnZ25vsCyudRtmzRfs4v7yvvM+NC3iJmW8L6WWi/XGhOXbxyemZ37Kyhqb+FymJ6eX/8X/&#10;avaogvG8jxJ5DbURy9XwceFRvd7jrrf2wPtxyCYdUp72NfeJdPb+stf93Ze/65SzL7T1mWaMyPmL&#10;xuXLeZ7+srysJYObsWz+Fqp1WN9WFjEavubbRqauj9tGfN5sXajhWH/da932R9mMc724blw/8HjM&#10;ryT/UD37zJm87BUr4Rbrvawjcw5ZCaO876Kd8h60vJQyMRzr9IXlL89YDl6kD5WJ5fGLefbM+1Xt&#10;mvj0Grd+tXMSylCe59bwsZ3Is4bH2eeqp6qnfA8N2aZDycs22Ximsb/YNewO9ge/TEzIGGH6slS+&#10;YqqyRZkI53TjUsroD8MTfubxPJqf8Sby0j+eS9MH5YAyJ4jPq2N51siVlfRNYDTrHlyPv/ni5xsM&#10;i/IYLvXNvGUo36TkrIGMz+yf4nmD+OT9pa3NmGlcarlIl8Vn64uVUrFaapuxvGmRsl7PugCYTX/F&#10;ZnTRhU/Oxt2VTRmftcs38qrhikF1DMw3BpaxW/tcdx5b7rlk4rA4ZnwZmnnl58B9Ou6TX6xVpoij&#10;+Mn8sd4df2K6dTIlPz63Bo9ZS497wteN0ehplp/cp5PY10XCzAmm8ah9LgtmZWwu4VIJj0vlFrVd&#10;i/AqyRTblydUjDefMSZed3qZ9rXzvMW6lc5nn6u+jk9f3nte+0Vs1rHVufsLd0386Ixf64jHNe95&#10;dM0zY3zfdchU4vnVr9w/EW+dGO08Bqzkty4snnTmpUDct+36LpjEfm32P+d7yXvqmCj+Ne+NoZf8&#10;h8/tc/mSTmbNE0p15k2jjaF2SnOQeduo5Y8PRzd5zbNdqvHzGmB9tYRRq0wTh+BJ+E1vfGNxnVl8&#10;kiqt71VFPquUT7kiz0360bTLO03r/qlXzs1tz+UWe9pvyuIfbvL+3HZbJXwrpfEcHt864zRx9ovz&#10;3rRzGukm+oasfe2RV8ov9W8TstY2KtaXxsC6bd4h8GdPUsSmdeKg7dgGa9OcJ8J7WeKHOgUjWYfW&#10;d7ZO5mF81bSE0VmGVbYZ33POulAnq6DT+Nyu4TJPY4232u/WjpawDfvCs+iSX43+WHuI+ovhkm1a&#10;Rxpt9rVLOnjeh+nrkKfyrLg8awyswqYdOg++zQDWrAt/5Csd01Ysm3FwKC+XnRWPvGKYehGj1/n9&#10;aNtlD/c6sZlx3OFz93wVzInPnbmnsON9tn7WPbdv+eJa7DNhfGf2VbKfHR3xBxZz3hpnnXXnDrd7&#10;y0j3fLNt6EDslUYZxOdjuaax7zW82/OEQ8fXVfTvNb/xG1N+NPgkbszCuHnzS3xjWl+41E4sW8pf&#10;ZZptSVfJW15ch3X8xH32xbm+7X5l1m/7bFjJ1veV3ef02E/mKr7vwD5u3gVn/Z93qjljlLUG3t0i&#10;zh6/bi98+6yAOpRBH5vEw1Jb9Ets3ufrU2XfbYxd9vqsw+YdGk8xYtt0nfg3pm997ef0HB/De2yZ&#10;dY2tuD/MZ6oZn4/Vpotv99z9xeb9Ks4O5Wwy08Vw49km5efU+NN5XSLXWXU8Y7Ey2w7+PesBxis9&#10;bNzbp+u7Lpt3KHy5l8fixzrLZdwzLo1tl9Ji/rLhIf5Decu0K1/urVX+9KHBH31nMDrjM+1q5/uw&#10;aJ/u+3lkBU/Zy84f3+bpqyvulfTT4nT3/ACc7+Oz7nTk9FrSFusA7ttn7rHu9iv/iv/zjIFV2rtD&#10;5MV6nfiwDMYM1V2W/7L1h2SLeZtqJ7YZw7Q/6x3pRcYg525HfAaLNu3nzXPPbrIs/iXvUDlnEYel&#10;88jCurhrFNBN4WGcMyg3lL5xzm4rUzt/oK/12lcMnWdcr7vsIjbtmOpwxqQ4AUaMwakxZeR5bLSk&#10;m1Jan14+fcsn5xp++slDlfguht/DwEazF2rd990u8Y8YFuUCq9AHz5/Ftpg/Nmxd+emzMhcay2NM&#10;OdsZKqv/TJ/oG/js/AzKenfF6IrRQ2No03lDtqvmnTb7VDNeDGHKUF7mc6zxko5KaVE/5rNv2N8Y&#10;/LVsiVIfH7qz0yfNuuem78Fdai/iNevRt978iaVxVFykn5xpEvWNLxvbnFcX4HLkH+uXMBv8xZ+P&#10;uMz8jHHFPrdYfxm5Ip8arpi/zBgo2a6a1mkgfnNanBA7YrwvbNlKX9asR0Q9oZMYj+GsL/Pe+Qfv&#10;aC7OKvAZRn6/CtzATnMvYZv77P4y99q+1KXv933pnkYf+pTqA2o/Yti0TGMZebBnzHULzqUdqpPz&#10;SnFxOreVyzIf4Bpzrdu/dn379ltvOX3y7IwV68uvhPGZZ41X/F33GGgMXv3Xq4H8HSyxQhqxJKfl&#10;eCx7zOF59WJ5KNdjlb/OXl9o1nS537TV6773do1/7DdYdv+X753MVcStVcjMuWPqnXDkKS5CDcf8&#10;vjCyWyf2gzTinrkesZm1bt4Xy+VpY562+2Sq6RW/VzEGVmnvDpHXxRe9YvI8WlyNmEEauIF/h13j&#10;HAf2NT363UcGv3Mpr2Okb7vs0kY/6MlzL975jt+f6Ev9ohvDUq7Hsj4047RZ5z77JphYAT3G7zWJ&#10;YeISeMVeLtcUtDGki1tS8+al7KNW76va320/It4iF/5x3lNO27TrGgHlcr15+1TLVzxe1xg4RFxd&#10;ZZ/ACb5NyVlj2C3OjAZb4v7iiBkxnM8QPUY8jn0WZ9GLv6gv06DgBDpG5/wxD/IboeT31SOv9CuV&#10;f+D++yZY4f6lY7TVYq44zNrvOt4Vtp0Oo08arFzWtonPkcKTORfX1XV1Ke3HNkvXvJQW69RwxeRN&#10;jYGSPatp82sADMg4EPeER6w69jB6GfplPQ6VXSbPZ9HsH2IfkRi1qXtvV9thbYM14CH55sEw9Wod&#10;MRq9r9KPjvJylpn7tvXZOePMfWHKEusQ7kvP5Wq8YvSmxsAyNu7Y687CEta7jx2PS/1HL6XfLH3O&#10;yi/xjGmxPuH2nSv2D53fz33Mtpp1C/ZXaYP0f42jm5xm3hiKjy5uljB6Wd2zdzzjM/70Y49+d9Kn&#10;MXLWMhWHd2EMRBtWw6vXgBjlOq/xTGfl5/Jj4/KVjq23SLmhNsyDbuMnPkuRocPoC0f9zlXGRPDT&#10;dWNsVAxbVhptWCkt5hvuzg250Kypl+rFNq1XSjNPyj438V/K82jOEC+1Y71KKx7v6hjYhr08pjZ5&#10;hio+iXs5Pis95/fVt1ymlpfm/FXGh9ogD31s6xfxGRkiRvMMFhsODnCvSnf1vl2nXPic8czPMdiW&#10;y2T9GecZMdjp+8n4vORRP/OIfbR+TMvh7jzX7sxRrivl4C0Paa5f4xWnd3EMbMteHku7vl89hF1i&#10;pGWkpMew5aRDeZaRzlPWOrNo5BnDQ/XiN6A3OQYyPtN253O1e5ey7R7CjF28l5eVyf7id+Z9VfAm&#10;3zKxrVJazEevlIHe9dk7XvJzWxxlb7V56j/zy3H5KRMUmcV9/WfwX94leWJaDVd83tUxsEk7eYxt&#10;sf8mYlbEshiOZQzH/Bg2fwxdtJ6856k/VNa8j9z0ockwKOHmJHMDga/c9+XJuijPYL1HxQAxw/RD&#10;prGvPLflea5ngEV9xDD6ED+l6shyMc4+LvETCq6Sn8tap4/aFvUoA5+Wb+c/cwZLqb5tSUtlalrF&#10;610aAxswhUfdBO8PgXdi1Bjss2zpu9XWn5fKU1lifBYvysbyUS7TpZlXTkcf28DmUpvtOaDtd43Z&#10;N1b3FHV4CcaB0w8+8JUpX1S/VHzss2WxHGH85en3oLr30eUxxLMvr8XnDpvj3AK+1pMql21WWvF4&#10;18fAUQPoBjr//HPPTfnRGcNKcd7F5sx/cMW18lK5sWkZJ8fWo5x1pX/23/+k0drdX7hrcubIPPx+&#10;/vzzG9B6fxMZq6Nfx1lUu36/rls+sYx2eEedczvZe+03qmL+GFnARPZrtfjcncGZ37+GL2XhGdsw&#10;bB75hjv/uX2+DT7jqw/JJb/czlCdmldxfJtjoN+a1ZxVaQC/U4yTlnANbH7oaw82zYolP/rhU6cX&#10;vfziczg/xKfEexVpL/+Vi06RJ/7wi/N5qX1tvfbVr45VNx5Wp1IE4Dtanm0R17u3eU9us23wL+IY&#10;/i/zRXQDBoKLxH3POMsqfprO2oT7uNvnxScNXlMul7UONOdFmQj7bQ7mWPDVf7Yc1DYMw5ewZWJ7&#10;NVxxeFfHwMYN5RE2yDmhGbcixuIrg3V9P842i+UzrzFx16eX4YOdzj/xDvln+fx+DyPzWHdcGUvt&#10;fPvvvjX1jNTnmNGu7+q9uwq55sErnk+Dz5yxzVgAH8FG/Gz+wG/2mvn30Q//1el7r3z3lH5vvOG6&#10;qTM4+/pQksu0iM/K4PvcGdvhH9MIy6ev7Zpe8XqXxkDJbtW01WoAewaOio9S1o2zX1pqmfXyki89&#10;BpspA3aCU7MwdIgf7SNH6RcxEPvX104J40v8Np32gevfP8ERZOSM53yPZjtPvvbevGz7Tc+8xsQj&#10;r1l8cj7xWH9Me5bJvEzvo7xLhU/NH9gJPnNmG9gdnyMQZr07npHdxzOnR5loJ/LFh3YdPtaLdWJ6&#10;DVf83bcxsGl7eGztgV885xT/WC/+0z/54wYDoi7EOal5xvP+cPlBxfyYZth91H18SnVNk8ILPvJQ&#10;tj5KOe4DsJr+Kgt68DeWl+XXSVtfuts7xju1YFy288Yz/lmW/JyHHkyT9pXTdliOeC6rDJYt0Vi/&#10;lN+XZlu5jRwv1ceP5Rnz9ddeM8FQ17bBVPLE55J8uW3LSGnT8z1bvu0aN+seY+QryVzTKl7vwxhY&#10;p+2rvFsNYGfwQ/HRSr7oEF7FPNerxbwhCr5yLnas7/XgGexQ3ZgHH9rNv8i3FDbtued+1vSb/qMH&#10;0zO/bcfb80y6/cH4hBEfuJeJgwfiSUzzXh/CC+vJB5rbgE/mYT3bi9R2I831Y14Oy1tays9pxPGf&#10;0RHr24xrfduIn6SRl59dl+RTJ7aVy7C2Mb3vrPuWqHVLupRfpRWP93UMbNs2Hlv7QxhlnlTdGAdb&#10;o28bsTSH83cr5CG99eZP9OJ0bkNe1lUuqGnSmBfzc7gUz3U3Gf/Zz549fd/VV51hjf70hQaDvK8z&#10;ZuS45fqo+IG/CWbxzQoo53m1tF0vtr7ljdseVEwyD2p582PerLC8Y7koE2e9cPYIeMxz5/Pr2N3c&#10;psXqkwabwfAom/yz/LZPunn2xzqsnzsPgCKLebGNRfof+dRwxfJdGwObtIO1rbIG+vCtVJq93xlD&#10;weeYdtvZWq2/yDuGyR/yp+XHnu1Zv8zXuDTX70vP5TYVV57HH/veS2dVncfpjBl997F4Qz445/NZ&#10;fU0ozy3cZyUlTT8RX5Ry5H3mtlsbHuCduI4PG9tXNil5UY5Yti+MnPrA4mwbVxcdjVhJ2HJ8Vwrs&#10;RM6h9mMe4Sx3jiObbdIWerEflI382N9hXqUVbw9hDGzKDtZ2ZmtArKBkX5j90/rM4KhYCmU9ed5n&#10;vpSnnjwzjfvNo0y5N0N5uT+57i7Elb/b5935huBkxJKICzGd94zY9+w54OAsz2HBV/xn60UMwobE&#10;uPz0Y/FfP3/nZ5t9WGL7eT/2wjnMF/tnUfG4nUN0fTZdbOxoW0Y8Z15BHznrRHsYMTOmxX6aDi2V&#10;Nx09dG1faJ53+1w78iDcp99crsYrdu/TGNgF+1hlmNaAeDGd2sXy+8jgM3uz+r752NU8H6Kt751h&#10;C/XFe3F6lg89S87zrbUp1pP2ldtEekmGaZxu/UewSP9QLOA+pyx+Hu8UXXXFSYOlYDK+bsYe41Lt&#10;RMQu/UDKxPQYph5x08AsMR0Z9bfzOrplIn3i7HwR+IHlHRbqM3c+MpjMs4A3/8f/cPo7l1xy+upX&#10;vWoQk+FJH2JfY9x0qH0xzbr0a3o+ctLom/z8l+vm/Bo/r7Oqk/3QySbsYG2j00AJE7rccSHsuDgK&#10;xQ8GZ5f5ge9xDzZ8sZ2r+Nln6Sp4rpsH2MsZWy1u6V+23974wp2fO2XvN74nGML6bn7/J2KGthB9&#10;mi6+kmea5UqUMrGOZSJP0xah+PmsAeTnvh1ut2eE/eff+93Tf/2v/k0z/mynJJd50Ni/krzmZz7K&#10;os+OfJFvDMs384hlang/MKlep+nrtG5bV/mvRgMR3wj7DvLFF71itP8ceUSpTAenXfeG/7H87H/u&#10;70+feeb0pg/eeIbTYrR+ZbtfGVzbN3silpXkdh6A/8pagL416wMRqy//iz9vfGl5yDNS8+ahEV+Z&#10;88Q2kWUeXrXstJ2v+thffWS7VOO7pwExRIqE2DO+xez6dsyLPehLj2UIW+7RR75z+rbLLl2ZD53b&#10;2bW4/ZZG+cBo1nf148Rq/LvSOSe7bAcZL2JollM/lvQYJs6aPesE9j2uK4Cb4LnYLs38x8at361x&#10;t3MD1ipIk49YLjW90v3FoXrt+q9dtEk1vJ8aAF/44yfNPTFdGvNJK6XHMscWZq27fReLNd4WK9i3&#10;nNe098W2ROwtYXXOt1/iIFjNXjjnK1KeB6CrWN+6i1D4tHOC7vsb+6rzRfpf6/Rj1bHq5ths7zH1&#10;tw93+9KPSTf2NeuCOJgT11kJ4zPqO5cwbpftB7gXZTYeZY5pMRzLEGYfWt4Djp/ruj91c52heCxP&#10;uN3H3a2ts2ZBOn+xD0M8a17FuUMaA9qqSndTAxlDlDKnx3gMW57zvsCZ0i+Xf/HFF0vFjiKt/aa0&#10;PlxLebdIjODeJ7xPNkBsgyq3Yan9AiPZm8Vedfrt+15Q4qR/8a47X3pOr55OTlljEKcjT9sbouoT&#10;6jvizIvAfvx3+FkGPjk+xLvmVbze9zFwFIZ3jzs5L15mvKXrnD96yRte3+zFHdoLFuvG8B6rby7R&#10;u7PGxJ7ps8YOARvAOjEUynNeMJn5G+vXfEeS71qBxfy173G1Z6H5rjZr0WB2XmvAv/b59Lx2EbnY&#10;p9bybP1o2o+yRp6mx7Qarnh8iGNgLiNWC29NA4tiJvjM3jLf1eId6CGc3loHt9ww+gWnIkZwBmb0&#10;3/L9P5SXy+5aHCwFA/FV6Tf4GPdlzeqb+eC5z6bRHb42+DkPhlKWtts19HZ+RFidyYs2Cdu2+ZVW&#10;bD7kMbBl01ibn0MDs3A652d8FqehQzid+cwh4t4Wffihr0/5hfiKYoP3v9ggNX3fKM/bwUCwmbVk&#10;5c/9NX0W7eY2Lb6yXj6rTs5nvhD98r59YuI09ReVN7dd4xXjd3kM7K1RrYJPNJAxlfjPn39+yn+O&#10;+Gy44nSrwhdeeCHs4W6/c8w9u+9YnO0OmMbaAFgIzfmLxsF5nkeLsez/nocXPjT+vPXB/Hnq17IV&#10;Yw95DEwMfQ3srAYiBscwAhuPNPrP+XxP8dl0vmUdf/KJvGP+PobtkzT2gbQH7r9vgg+s2+oHHhJG&#10;g89+f5l17VXbtOgHo8Mnz74l2ddG9n9jXXAa/ecyfbxqesXnQx8D0V7V8H5qIGJPxGfxeBbN/nTk&#10;t58aGS81PnR35uf5bx4ewv3PXIM/1rf5horxVfUNPMWX1g+G3vele3oxOrcbn0NXH7pibh4fxx4f&#10;b81qyV3RQB+Ggs9v+O3fmuwPA5vxl/WZh7D6WHE6vguN/8f7Q4fow+E7g4XrXBuIz6V5nj9kW9Ex&#10;siBXt+fspPrQZ89YhvRW845PP7uCO1WOfg30YbLp0BI+R0xeBKf7Jdq/HHWVJecb2vp/fLtKDBND&#10;DsUm8t4xeLiO+Ye6atesT06vuHB5825WSXe5/fg+NHOInF/iUdOOD6eO+Zpnm1Xju6uBiDOGxef4&#10;flXEZn3pSGO+2P2yf/EvZ74/vbuaWUwy1rnFZ3y5e+7+YoMRYs6h4AV7sugnds45yDpsHu9Zt/o8&#10;aXz2oTaQgzWLzoeefhd9qG7Nqxh9TGNgMetWa21TA+IzMszavy0GZxpxOofzuvc2+7quttHh3z/+&#10;2BRGP/7Y9ybrjIeCz9gyziHxOe865x/5W1V9dlTd3nrzJyb6Z1+35c03XmnF5GMeA+uygZXvejQQ&#10;8Xns/jDxOfrSMS2mi9d5v/d6erNdrnE/N+ush2oH8G99Poz/Kk6vur9xf7ZzAtqImBvD8X0rzj5Z&#10;tTyVX8X2QxgD27WStfUxGoi4THnis/xnsXYZOuRPZ5nG9GPXyvAer2uzYpj3dMQS0/aVgp38Kf86&#10;+gbPPoy23Uinfe6TyVnfsUwNV4ytY+BHu2Y2j1KeiHcxjDKMRzrWfx6Dz9mfto7p2Z9Wjijbrl80&#10;ZZYq7weuf/8ZRp80z0Qjhh2SXRA79VOJr+uZNN+oYs7DM2bCfXpEhrjOndcwyO+rW9Mrbh/bGNBe&#10;Vbq7GojYskp8Fo9n0exPR3l2V2vnJctytz4051eenH79wa+ew65DwQrOBGHtOfdnFVgdeYC16nRo&#10;zkOd9lyy9tsZrMVHuyvPLG8sU8MVq49lDJy3ZDVl2xrIWKI8s96vmoW1pXz8ZX3mUr5p+47T6lSK&#10;TuOeYs8WO7T7HpzjzC+wE7oO3INnPMMEvUZ9irlQyrbr3N03ojn/jHTLrUPGQ7uutT/HM0fR/le6&#10;PQ1E3IhSmA5dBz6Lv9BFcDrKug9h9YmsP33mmYnPB36BE4do98Q91p71bU1bRX/l5XtX7bznpPmO&#10;VeYvDt9+6y2N7inrO9HyoQ7hitPHg0F5nNT49LXfB9t6LDJGDDEsPg+9/xyxdpGw+CyNPEw7pPen&#10;0elTT/5gghOsdYsf2oeIGabtIxXrmIOwvsw7yavsh/y7M8ZOiuvq6hfKN6rbNfGT5luW6lpeq5Sv&#10;8pq291Uf+6ePY8G/feqn+IzM696/LQZnGnE6h/O69y7rNuoyhn94htH6fNBDtV3g349++FQzB+GM&#10;Ft53WjVOd+vc7fo155lF3DWMjj1PxefWpW9QiueHek1qv/YPJ7d5zXbZvh6jbBFHNrU/THwGiw1L&#10;xeccz/u9d/laRZ0qZ17rBme8DyOmmLbP1P6Afezv5hsiJWxctI8f+8iHJ88NmAOAw/Cy3cg3v3P1&#10;xPf/4dzaNvWqT11xLI6bYw5rsyrdngYyhhBft/8s9i5Dh/zp3Kftabe/ZX05aNzjtEl7UMIx218V&#10;TsnHtsBJsJT16b5+W1ZZIo151HfdGuoz71g+hsnn2QJlOas75tVwxeU6Bs6PgX4LVnNWpYGIVzEM&#10;f+ORbsp/HoPP2X+2junZn7YfsW+r0uOq+bTvR7fv87IOjH2I+LMJe5Hxcx1tlvqErwtegtVgJXu+&#10;Zu2bi3wIw4P6vmP+vquvmvjQff1gXtA+YzjM74D29bumn8eeqpNxOlm13av85tdAxLVdwmfxeBbN&#10;/nTsz/za2FyNeI4G+57BHTAzYtG67cgm2prVBn4156yBt/xx/hr4TTp+Ms8B8lwCfI7frAKn+TZ1&#10;SV+2D48W03kn/UJv+RKPmjbOnlc9HZ6eNmcRa0tqoA/D1v1+1SysLeXjL+szl/JN2zec5hp84+tf&#10;a7CiXau9MOUDiivrtnliH+2sq03nHbYltW8xzve07//yvQ1G4/Pyp6+snjLFL2a+I79M5f/k2fvZ&#10;+tDw6Ftnz/Vr/PBwp17T8ddU3Kh0fRrow2TTobuIz+IvdBGcXp9Gx3OOOs61nn32n6cwOj5LFVc2&#10;YUvE5nW0CU/5S2OfbNM8aSwTw66PR6zlXSr3icWyhuFJO+2z6+7skqE61q10vC2vujpMXWW7VePr&#10;04B4QQuGxed1vv8csXaRsPgsjTxM29f3p287O0/jiguXN89U8RcPDTfEx1n2GwyNeB7D7L3Gt45n&#10;fcZ9X+iM8rQxhPHwaH3wFqdnyVTzDxNz6nWd77quD5Eq5z4NiM/k7/r+bTE404jTOZzXvfv0sAvp&#10;7VkmnW/ntyCGsGYTNmZV7fdhZ8Rg+kN7/Fke3I3PqcXkjl5o3uPKurB+lp/4XZ+9o5kLgdOsoee6&#10;NT6f7a76Og597YKdPCYZIj7vy/4w8RksNiwVn3M87/fehWscdY88xuPeMfCDMzi2bf/wXVd11oi4&#10;SZ/E4Yih4DHr0Oz5Yu/Y9F6w9psjrf/b7oHn2r7q1359UEexTXXJu9nyqRh9HPjita908eu9C7bz&#10;GGXYNXzOGCv2LkOH/GnxcReu/c9+9uwp7w2JH9ASPpbwDdtTwqOSTRpbDry88YbrGnlYXwY3mTe4&#10;xyrzyfHYNv2gHn88S+YPrHQ/WOxzF+7WFUzj+TMy/dZv/uapYyK2MyZMm/rhn7nt1kGMH8Ovllnc&#10;7lfd7Y/udsFGHroM4pGU/r778nedvu2yS0/feulblv7TZkIXwdpYh/ArL37l6WVvefMoufr6YDq+&#10;WfxFHcT0bYWV5/HHvjeF0TybBt8y/onT2DjC0R/V7pXSzINmnqYhA3gsLp6n7beuSQfv/vqvPjjB&#10;WjFXGut2+7u6+l1a+x4U5du0aXyGH+9O/9NPn2m+3xnHSuxTXzj2FV4tRp806959dWr6/uBHvVbr&#10;v1bbso213dVpYFFsjtgew8wbxv7EuFnlY7kYnlVvk/nTe5rAqpNmr1TEmWyTyIu4bX4fTpsuTyhz&#10;AdbbSxjZYm2HrcjUX67D24jR0zw6DM44zVoC70aDycwXWF+IP76xHceJfZ1F7TNzCuX6/J2frX70&#10;2Xxtlu5qftVRvAdreD0ayJiU48u0Cq9oN6OfE9PnCYPRL7744jJiFesiq32XFgtuMfFzd9z+Eo6I&#10;he3eKN7tjfZSbCZNvBWLSIvhGKcse7FYc8Znvv7aa8I7w22bGTtjXHyOaeDe+fQWi2M5/FgwmL+v&#10;3Pfl5g8s5vsiL7zwwkTr8doYhorRjrGojzHh1o9u5xHsHxtTp5apGHXsY2ByY9bAWjQQbRwNGF9l&#10;Y+CvdnMeLO4rO48fHfsxtm+Wk0YeuxAGvyK2gYE8FwajsBcRn7UfGZNNh8Y8sP7mj//fiT+pX9n5&#10;x9N7tMzP8pje0c4/Jo396fSDb4fE35DOc55xqRjtuIl9HBPOGB31MqZ+LVPx+hjHQLx/a3g/NbAK&#10;jI4YvyhGz6M97f48dTZZlvO2+D5Uh4Gt/8d6Lfuv9J2xGTkMDn/z4YebfV74y3wXinri7E0fvHHi&#10;92b+xC0nbZ/hduvYXXqb1sanMTrWwW/mTLVnz85s8Rf1H8M5P+aJ0Y6Vee1lxGj0Mm/9Wr5i9DGO&#10;Ae/JSjergWj7lmkZPvo1kWpHY9qYMPXYLzbPb1V9mafNTZTleSz+aAlH8avBvnvv+ZtTnq2Kw2Ij&#10;eERdsMg92bxPhY0hjbO5KOMfafmP9eBJ2lkbt5+dtxL3iTGHEJ+lytrhuGv2LYbT3re/9c3TX/7y&#10;hWZNJ1+7GM9hMdpxNK+9pG3nIPV5dMXbecfPsZbfhK2rbXQaiHavS10upM2ULoPP8FjWjy71sZS2&#10;XK/XU7skJz51fjdLLASrwVG+m/W333ho6vsT2BR97NL6eLQ5rPvOs/Yby4P9+PbMBZAFLPTbFWJ3&#10;h9mt7w2+P3D/fb1KLOkhY7R9i/0YCovR6A45h8rWvIrhdQy0Y6D3Jq0Ze6MBsXlVdFmM3hvFjRQ0&#10;YrRYBway92sddqQPq0kX6yM+xnCUh+9V3fele15aC8hr4S1W833O/My6Ty0Zo2NbY8IdRrfvXvX1&#10;cwyvYyrjdafPfddaffTpNKZnHsalsax8h9q23lCZyMdwrGdapefnZn33Y03fHw2sCpvlc4wYXfIb&#10;GQH521isZXMOF/i3aXuCTYv2mvajnTM/PgsHF/m7+j1Xnq0zT+O08w38WuYh6kCa74BVYTTt1rXu&#10;87Z42fEUsbUvTBs5zzFEOn/GHU/GzZOW5CXP9FJYXlkO60Qa68f0Ywvn+7DG908DYuuq6DFidOmq&#10;t+dL42922MYz4XXYiGi7sm2M7Wm3Ynn8eeT6yE0fap73sv7us3DyWAeP3wphTd7zPlucbvsHTg/9&#10;lsXo7nyWk0a+2K8a7sdsx0PWkWOBdMJxTMQ886GWmXo+crbXgWcPXB/mc3HPg3O8SClHef44U4Dx&#10;VDqXL7abw8Rn/SnrrHKHnj90T9a8/dDAqrBZPhWjT1/6/kO7HuyzZ+xRtAfZDsa8RcPw1N7GcOTH&#10;vnGePbufDbzlbM0HH/hKg8XZtkU55Q0/v3ER/Wm+MdL3WwajkQmbblvY/NinGu7HrHg947VUZzk/&#10;l3nk7IwczqURgx3P52k7V4vzNsrk+HS9bv5KOvNDrm2D32djlHmfYy7LpfxQ+mC5mF7DP+q7HWv6&#10;HmlAbF0VPXaMvvMznGPS2R6ePeOLakvWZTf6bJS2jfV1ztpGHnC5OQ/spTX3aKeVL6bJQ1toGZ5X&#10;21dsMc+n/eU172UwmvY4F1b7ztq7MlTaj8/oxmunnuJ1NT9eV8YJexiZwzFW/Paq8yOp16Kl7v+f&#10;Xjcyb5p2c9cyr5aHeVB8c9Z6GEPxW6bIn/tjPyttx4X3Y6X7q4FVYbN8jgmjMw5x7gf2SPuCjYvr&#10;eNrLaBOXsSVj+LEuCTYjE2eG9p0jHuXos3um2y51wPoWp9t5CWePZb1wdyyK0bbJPEe90l5cf4+y&#10;1/B5zB4ab+SBy8yBeKevxdMWR9H3VVd0882YZ9iz52771M3NuTfs92fNCOp5dMQNf/qWTzbvHbqO&#10;Ix8pbbbXObfbzQOYYzKmnftyzYf6eMxjYn+RqUquBsTWVdFjwmh1CGVdTjsDFZ/FM6h4E8OrsB99&#10;/HjWhxz4IWCnbZVk6rNxmTdx68uPNcq27yen2ODSb1GMtg2ejUf9rmtfvO0dIo3XmDDPPNxbgG7j&#10;HMiwFCxmPsb78Zz/OusX52kxTL0c55sr8ATLeYbSh9/x+htmfFOevjAfzWPzEK/jPH2adZ1q/u5r&#10;YFXYLJ9jxGjeP+IdaO0Z9kP/WVzOdJ77bFbZaHsti83CfkFNK9FV2DSeH2oz0UPptyhG4y/jM8lf&#10;SlqpPzXtvB+tTrjW4BjXi7HR6rLzT9Ut45i51kNfe3Dmu3UZb7n2Mc2wtDQ2+tKeefrpZk7A8yOe&#10;oyjfNNXfbvshXtd1lrrW3Teu9i1dbF0VPVSMjjYmhrne7HPxuSz2A39ATNY+bpKKz3FdO8qzClym&#10;P/CBb7cO3drJ0j0whNFZHmVlvxI+unMfKfqO65yb1O0utaWelMnrkfVJPnsFz891Onxj3IKFrLfE&#10;b6SUruW20p49O4+W9aqI2Y6Jadxu1+rBa/ZMlPAa3ak/qXocoiXdDpXfdt62rlVtd3UaWBU2y+cQ&#10;MTpjstonvX0G3fki+nfbupd5toiPJD5rt9dlK+APXmIjtZfqB6ru8MkcI1Dl6dNT+5y748kciH6R&#10;bt1jp/HaRpyJ4fN+c4tfLaadNPNL1q93FZfjWMph1q84g6CdI0/3i7HIH8/ToeA17y5EnfWNnzgm&#10;Y7iv/C6nZ53V+P5pINrNVYQPEaP7ripncnfz9/Z8km3cr9GO+P6pckR7TTiWtcyyVIxWFyV94Udz&#10;zqxnzdImsiifcuHzcH65GCLFDjP/WFbWQ62v/mL/eGbf7RUQw1rMYv9gfq7sfKp0/badFmWLYeQi&#10;zr0oXjtXZF7Xhdv+804Afc94rf7imIy6NOx4Nb7rdNvXrba/vAZWgcuRxyFjdLYN+T0rn0Fv6r7V&#10;nkhpF19TLCvZE23RqmSkDc4mE5+h+YfewIs4Tmhf+ZSfte0bb7huwqu1ryfN89NVyXtIfNCfuov9&#10;Yp6D3xifvxhmzIJn8ZfHdczb5XCf3BGv47hsddCu7zO2uFeY08b9h+o06lMdr/reiW2sK7zL16/K&#10;Nk4D0W6uInzIGB01Ou1DX2jude9h7+l13XfyzfaEfdy8P5PTiVNHav1lqe2M9aPj+Mqy8Awfmxlt&#10;Kt/uoE/qdVl5j6G+z/A7PbaYBGbjN/9/9s70276iPvP26j8kukwvlRhYYGe1rXY3CJpuh0ZJOmCi&#10;RsV2wBkFZwYjKPdCREAmGYKgAQRRUQFxQEFEGRziRKJhcMyLAP1GeOXp8+z6Pae+u27tM9197z3D&#10;56x1VtWuXbt27aeeqqe+VbVrd+laV3jk/CL5p81vqdfu92V8kn0t7sm+ll6X3IzHrtvLwslFKjPy&#10;Mh8Csd3sw7/qGq22Qf+81+dG863ouC7F2rXbmiCt1Jhw2X7ouAzrK29KV1h43k/3r/1qdrTzoDn8&#10;9phkmjeImDquXOEb2814bt38xkGu+jltDdpsuKkx4Pir6VstLF6zqP5Z8q35a61naK8R97o5zwWk&#10;+lza1+bdsvFrUcuNfE2PQB+6HNNYZY12e6D1NfH7y6rPqrtRB9127kad9n2l0Zp/9L0dXuZB57vO&#10;lXGnOda7s9aGad6P1py08iANjut9nEZcd+dncT76zrvTXVbX5Zjff/McbNrX/JFHHh7ZzuavWofo&#10;j62Fw+3Gc3vh36l86J1s7adW6rU5mNy0z4Hqt+evl40ne1Fm3LNfBKK+9uFfZY028uV+JXpfpdSS&#10;vajLyoPG8Dwf3ZUHtetu27vizBIex6hLm82Yle9eae4+7Z8hOybpivo95fvcymeJbXk8S15XMa40&#10;pBy71fsG8TeL1s0SN95jWf2yr7Ne5z5OG9PN5vtvtq+XhYPLWibkOyPQhy7HNFZZo912fel67cmd&#10;xsY0/+t2X/XWmtKnBjr9aVzNO/rbjc5LbE+cx2nSUpxJzyFNNRZyy/VIZprfvXrOoYcNjn3rW5pr&#10;bKvIlf2/22vupsVgL+O5DLvykPTZupI4qT4kv8kIuD7b1RX18XCPgxvn9B6gvkUzLWddB8v6FI9n&#10;rZtdnIjhk1EgxqIjEPW1D/8qa7TKUvU5j49tNnOxZTsa612sLzvl9/3larxbdq32rHC7EO8b4zq8&#10;zK+PS7cWX2PV1tquuWjhdvONNwxO+cDJQZvzPKCu07i371fLt++9Tq7wGIeF7eeEf5p7lsbw6wcB&#10;7XOW56+zPuc+aeKw+pean9F6vRo/d0J7a/ephfWDBKnsJQJ96HJMY9U1WnPRuY5uNO8d1erGboTF&#10;9ju259I8z+nW8hHj1s47zG2LXYXHe8Z3rqQTtt+iXSK7WvPVETOPbcuVzkybH+drXVxjbdc4yS31&#10;WXuwSp8j9nvZrqzavaN97T6p+0aZ25vNeJDqnupC5KnLUGEqP59TuI9dvj7Xh7tq5bCOzxP1tQ//&#10;Kmp0bPf0/kqukxvN/se1etdH/Zo2jVj/dY33GtM+iF31PrYL8T4xLcfxeR8rjuzetD9GsiU0thBx&#10;kj/tweZxwuzqOq1xUj678ud74qZ9l429XOuzeSh9ls3nXywHh+HOj0CJp/VauLsM5JaaLZ7rm5rl&#10;eHjUZfG7rAOxDm6X//M/NVcuCgJ96HJMYxU12mWluvrA/feNxnZVL8v6td06Nc/1br99req4+vEa&#10;87ZO+1wZtzxWvDLMx3Ldflxz1T+22qdoQ8t2li2f2i+Paac1N3FNmNNy3ux2hfv8urnGX7jU9DmO&#10;b5d6Yu7iTodAiV88jn6npvWi2hcm6bW5nvuj1nCPh0uvXZ7isf2xbvXJb+cTd3kRiPrah3+VNVql&#10;XNrRqk97qSll3XZe5Ko9kE5rb834bcrYNrg9cFvh49pzyXaWxpbfGdZYttsv3ae0L9ROafxP18d0&#10;Y97l97HdmJd19qsshUnSZ8+LbjQ4W5+N//K2RIuX8xqmCovh0d/Wa9vV4/XaZSt+q4z75vnioUqO&#10;ZkWgD12OaayyRqs+tjV6c0/1OdZna3MMk19rx6SP0kmt+ZbGWivLuGUa0njF1/X+znBeL5faHunx&#10;Q8PvEen31ZtvKmznjeY6raWptUW+H5rc/T1JlVHW59zuC3e94xs1Yta6T/x+EKiVwTR6rbHxC849&#10;p6lfcb1Zn/Whnycklb1EIOprH/5V1miVk8a6PX6lOtZnfSo1c5pj69ykuNJlrVH1GLTsa/mvuOzS&#10;xpXf/zTPvNHMNzfvcg3njrVeXHrtZ7ertkjr6NLe5W2bQXaf7tuVxxp2tbBJz7bq52vj28w/72Wr&#10;Odu9//nen4Xx8HYdSfWovT68nL/eDr9nyymxFxGBPnQ5prHyGn1fe83Yoq976tJHtQPS3a3/u5u5&#10;bGml2ga70nfrsl3NQT/22KP7dD/PxenbQtLz7bQt63StMa49c9bnNMYt+znq8yK2KeQpI1Da2G37&#10;Os9bpPVmWb/VT+7j/eucE3zLikDU1z78q6rRsa5Zo+Rqj2Tp4KLbf1Grp8mr48sOzt+KzG2I9Fn2&#10;s+3yhEna28Fj2zXNISyPa08qh6zPaYyb8e3lamXdZtgtc6/+vfa6V7mq/pQ6nb7TlcazNN8Ux8Nj&#10;PXL7E8PsL+/J8fIh0IcuxzRWVaNjyUZdUjuqtja2t/K7juy1a621q/yUdToex3h6/zmNe2cbWW1J&#10;qc9uW/RdSc1/7/Uzr8L9oz6rrdY+qcw/x1q4fH5rtd34BG37OvWFU72KdW/296/jPfAvJwJRX/vw&#10;r5JG1+qSwspxX9maDz5w/2hceFE0IvYVol/5K4+jNut5skZsDs7YOK3p56u/r/24tW7O/RTrs9aU&#10;6bpFefZlykfsIynfwt7ts1zps9dvL2crQ65LBNSOlO2LjzV/rf2GbV+nMSrb2Vmz1X+e9P51eV+O&#10;lw+BPnQ5prFKGq3SdL2JJav20vVGbjn3WurfXulF1N1JeVCepbHaW0Tryay98TmTX21EaiesI7Kf&#10;f/Hzfxnp/qI8/6RnXpTzxktu6htlfD2+HfmHf7kQqLUh454gxm/b11mfy3opvdZ4uNaZmE/iN7/l&#10;RyDqax/+VdJo15XSVaknOzLVGdmQqg+qG6VNtCg6EPNRanfU5rLujz/ebPYuZ3w7zzFHnGf1W5/d&#10;97E+m3/L39qs1xN0ldss4TFuW69tV+c1Iq6rUa/XC/HVfNo+dDmmsUoarRKPdSQyQN9xcp2Qq/XR&#10;bpNLDXT4XrmxXx3zoDznMe2tdb3blk5x1TeJ+rwM/ZP4/IviVx/pumuubvgU9Vnrt7v4F7mIf/ER&#10;GFeO487pyWrnp9XrxUeGHE5CIOprH/5V0+gu/LSmWXaOdUx2dWzzu3Qxxtlpf62voLEwjYmltWBJ&#10;a/0Msc8hv+JIwzX+LT3XOlTlWZqiPUbl7vQzrHr6wlBzBRn7zdb+YV38IxwEjMC4968dB3d5EehD&#10;l2Ma66LRKnF9MyLqW7Slx2lLTb+tp7VztTCn7+t0XLNjpQHfvePbjdZGXc6akHVa89Das+Q7374d&#10;/R3iaYz7dl1mKpu0f1ueZ1S/j/Vhy9ue7nbOSxu7tK93Oz/cr38Eor724V8njZYtrTW30jtptfax&#10;7mrPrbNya1rq813Xx/Da9T6vdl8am/fvTPskpL5E3jPBGn3mGZvN+8/e22iWfPieuLPredbn1EdS&#10;eWgshv1J+m/jVjVF67Pd8jml1/yWH4E+dDmmsU4arbqRv7+Y9E/jwlGz5tE863hMJ/rjeY0/e0/t&#10;8lsX1uHSPesjZzTfdJaWK92o+bbx4v3wz67Bwsxlb3ztqj+kvdhSuSQb+hOXXtzsCbP8LQpPsFcI&#10;WKvt7lU+uG+/CER97cO/ThqtkpAtre9MxDHve+66s9E+a6nb6mm0zhrpa3TsMLkaT9f72frWVDl2&#10;nd5jzuOmUQMuPO9jg88Nv2WrcW/nw+nGY9/XYbjz6bNwM74RU5Vf1udkQ8t+Fo/4gUBfCKDTfSG5&#10;9+n0ocsxjXXTaJVg/BaWtFrzuuPGjt12W/9iG+4wudrPS3uN5nHrPHcc9TfbyVmfNa+pbzzLxvae&#10;4rqP7l3ez+Hx3vjn1+aIXcRW6+z8brnLT32t3//+96OGgLZ1BAWeKRGAM1MCtaTRor724V9HjVYd&#10;ufvO74a1uRuNTkebVe222+voKly6KR3V2LPGymVXSefVnnseOetwnr/MYZuD8845q9HkrvVe7hfo&#10;3lFDnK9aeBmP49l0O5az+lm5vFIZ6lth/tHOGgncaRHo4kxX+LTpEm+xEOhDl2Ma66bRsT5o/75o&#10;J0lfZSfJpo4aqT25NObZ1uOa9ios28a5jU97h+i9qGnXkluLnQ/rrXXE5+WWcRwXdzaNFl56f1x9&#10;rjgXonLUOgb9zJ8ud7FaC3KzqAiYP4uaP/I1PwJRX/vwr5tGl8iXe3lbV7X+O9vH1uOa/vpcdnXt&#10;ZZdc1Ozh63eU59XL0l7u0uOu8Hnvu47X6ZskaTwkl6XmIDSHMe5HezsOHc6BwHoh0IcuxzTWVaNj&#10;u6p3HtQWW5+T63Hr3F7n81Gr07dt9J6y5i+jtkWbN4bjn92+jZi532J8Y/8k+nVNeRzTiX59c1Dl&#10;G+1nrS3k3ef1al95WhDYLgJRX/vwr6tGl+Wgdbq333brvvenowa3222349rLQuu7NA6utt66Edt9&#10;6UMtPMbBP7teW3dLbI23XWPr+Dr2NQ7TvEbal8R9sVT2n73206zdLisJxyAAAhMR6EOXYxpo9FbI&#10;7x9+y1Hzj5+6/LKRbW37Su25xkTd/ne50gL9rQVd8QifXaO7MDPWk3DXd0k177x1XVjSZ33PU784&#10;1rKVJYSAAAiAwFYEor724V9XjZ7U/nqvE2uz7Odyv5MurbBGyHUc64ePcbevzRFf4VkeKyzi7vN6&#10;P65851nlq/UHHtuexI+tNZMQEAABEBgM+tDlmMa6anSNS26XNT8dtVnriOIeX9bX2P5bIxQmLbAe&#10;OC7u9jXZGHdh6fIQ9vY7rvby1PrA9j4yec2B122LF+aB3RpXCAMBEACBGgJRX/vwr5tGx3Y3+o31&#10;Qw/9e2v9WNzfxO29Xeuw9cD67GPHw+1Hn8fh6LKIcaTLd9z+rdF3JGUr53fjkj7rXbuHH37IxY8L&#10;AiAAAttCoA9djmmsk0ZHTY5+F4jCPveZa8L63s1mXZjb/agDNVvN8XB3XpOFsftExtvfJ/nC565r&#10;rQOLYyLWaWmz9pvjBwIgAAJ9IhD1tQ//Omn0pHJ44P77WmPcWlPk9r9mG1uza+dqYU4Ltx8NF/7S&#10;Za2v17tv1t+2JrfX6Gu9trTZfTS7k7jBeRAAARCYBoE+dDmm8epXvXKa265FHLXfqZ3faN7B0trf&#10;SXqKFvejt8bZ/R4dl9jGY60PyLoc349ra7LKU2vBtFa7NqaNRq9F1eYhQWDXEJC+PuHxfzxaOxb9&#10;UXun9a+rHR3bZvnVfmf7a3O0hjtqhnVEWhHDo3Yojs/ZLc87nXV0jUl89hhmbKPruNqz7aYbvlis&#10;+/J7zWmuWWUoTdb6MK39e+yxrd+nimW/axWXG4EACKwFAtbe7Wqz01lnOzq21Xd+546RDS3by3uT&#10;SB+sF/JbT+xaPya56HTGbhxWxtWu4up99Cs/efmwfLwOe35bOZZ59K9F48FDggAI7DgC1la529Vp&#10;Xb+OGl22zTqO49waQ40aYU1RmLXWruP5OMaVX+GO43O49fHxEiftrXrpRReOxjdkI595xuYgfXd7&#10;o/kOeNcYtipiWc5dlXPaeF3XEw4CIAACRsAaHfU5+n1+nOv4cjXWvY5tVPnM2pvZc9Hau9l6Ye3V&#10;cam3jmMtRnvr2mtcIl7jwrQGLL/HnGxmz0PI1Tcit7Mmuyx71y1cEAABENguAvrusNovu6Vfx+P+&#10;8TrFk/2o37q0W13PKX22Dsgv++26a65u5qW1Pkn7OltXrNXWb4fLLcNquhTjr5O/hpvx0fps7eOm&#10;99FTOcTx7M3mnXXtM+J1X13lOK5+zXPNuPQ4BwIgAAKTEJi33YnXRf+k+y3zeT+nXT2L/V+9+aZm&#10;vtNzntorUt979jej1Z+Rdmu/bmm3bO3yW9DWoHXS3VmeVXpcYqR5f60DK78JmcY00ne3y29Dusym&#10;4WJX3Bge/dOkSRwQAAEQmAYBty12p7lGcWaNP226ix5v0nNrDNXaYFtO70jLxrMW3XPXnc2aYem3&#10;v5ckV/tmyN6OcXVNqUlOZ13d0m7Wt7YT5nF99kbzXtV2tHnRuUj+QAAEQAAEZkfgS9dbp5NmSKsv&#10;OPec1n5j1l7rrNYdy67WOz+KL82W/R3Hx31NzZZ0OtZzuQ5bRTfPN8fx7IQ3+3/NzlmuAAEQAIF1&#10;QMB29g+//72wZ7ff99lo5vn9zWjbg9bQeCx7Wna2xm+l176mFrfUbH03UfGc3qLq9bh8Ke/Of3yW&#10;rM35XWbb0FGbXQ5214F7PCMIgAAIgMD0CDzyyMMD6YY1xK7sZI3PSoP1vYauvcisvdKliy88v9Fr&#10;abd1Wq51znGtZz6Wq3+8ZhH8zl9XXvxcfh7N2wuDiKH91mb0eHpuEhMEQAAE1hWBUis0J+r3sjxH&#10;bX3x+jLPR2tvK+nRj4ZrwEudkj7Lrv76V26eqLm6ttTm8rhLH3crvCs/fm6d175gGv/PeHnOOa0F&#10;++d7f9asjYiY21+668pHnhsEQAAEQKCOgHVCZ6XVbbt661yqNTtpUu18GuPV+2+yw2VjS8dqulrT&#10;6Vq83Q6L2iy/NVn5cJ61VlvPl7U5zxeov1OuBSvRj7iX5zgGARAAARAAgS6d0Pu5spdr9qHtbLnJ&#10;337n2hrueNYwvdel9eOyta17dndbgyfdr8yXjqM+a+1cXKttHD521pmD22+7tSFWxDb6a6ybdL52&#10;DWEgAAIgAAKri8C0uiC91tptabZsbOmQdVeu9clhpTan8La9rfFw2aBK1/o3STf38rztaPUvtP7d&#10;zxpdvXv+6KPp2xZd2Drc7uqyiycDARAAARDoC4EuzegK133/7Xe/bfaq1H6Vtb/2y2qPm3uetu3K&#10;vtb8dfnO9SJosvNQm3N230R72HlfsHnLYxzO86bJdSAAAiAAAiAwDQL6fqL2TvG6NNmf1rhoi8q2&#10;9tz1NPZ1LY7CauHWW7u2jXXsOebynPfujHm0X/MAD9x/3zSPTxwQAAEQAAEQWCgEumzD3/32t824&#10;ucbMazotDbRWW2vlljpqPS1dxy3Ddez0aueiZuu8xrW9N6p1Wa7y7fVgXc+4UAVBZkAABEAABECg&#10;A4FxOib7Oo+He87a7sbg89ddO/C72aWG1nS2FiZd7tJmh9vVPTyunfsPOT+ak3/ssTTnXHvccc9a&#10;i08YCIAACIAACOwVAtYsuzEfMUzzuXkf8TgOvjnQdz9k09b0N4ZJX0sd97HdMn48ll/fvYg2s/3q&#10;R5RzzjH/8bnwgwAIgAAIgMAyIRD1LPr1DPE4a7XfNc42rHTS68pk95a6W4bZNo46HK+J57UXeR7X&#10;9r03mvlz2dVlPmOem5PFczgMFwRAAARAAASWDYGaxsVneOihfw9j4GlPFI0963vXmguW7lqT7TrM&#10;mhzDFVbqs441jq7xdNvLerfbfo1rj3uXys9gN+YfPwiAAAiAAAgsOgLj9Mvn7NaeRfPVeW1Z0k+9&#10;W62x76i51uUuV3GjZnu9ttKyJtvVeu3f/uY3tex0hukZxj1H54WcAAEQAAEQAIE9RGCcdsVz0R+z&#10;K1u2tt+ZwvSd65ouS48dbi2Xqz1T9A3smjarL3DXd78Tbz2zv+sZZk6IC0AABEAABEBgiRAov3nt&#10;PUf9HWt958PvVlufFab9wrUHaZxvts1s96pPXbFlTdgSQUNWQQAEQAAEQGDPELB96rFvaWt6N8rr&#10;u/I8cj6X9jPzO1SOb13WsdahaY80fiAAAiAAAiAAAtMjYF0ur9DYt/YZ1dh01Fv7k7tVs888I4Xp&#10;Wxh6zytqc9e9yntzDAIgAAIgAAIgkBGwftrNZ4bf0vz+9wYaA/ceo7aZ23q90djL+uaF7HD9lJbT&#10;K92YPn4QAAEQAAEQAIGtCFg7dSb6t8bMIeW3PfzuVI4xfVrxGvwgAAIgAAIgAAJtBMZp87hz7VTy&#10;0TzX5KvxgQAIgAAIgMB6I9Clow63K5Sif1rU5rlm2rSJBwIgAAIgAAIgsD0E0Ont4cfV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q43A+R87e8AfDOAAHIADcAAOLB4HHv9HTxzwBwM4&#10;AAfgAByAA4vHgdNP+/CAPxjAATgAB+AAHFg8Dvzqlw8O+IMBHIADcAAOwAE4AAfgAByAA3AADsAB&#10;OAAH4AAcgANwAA7AATgAB+AAHIADcAAOwAE4AAfgAByAA3AADsABOAAH4AAcgANwAA7AATgAB+AA&#10;HIADcAAOwAE4AAfgAByAA3AADsABOAAH4AAcgANwAA7AATgAB+AAHIADcAAOwAE4AAfgAByAA3AA&#10;DsABOAAH4AAcgANwAA7AATgAB+AAHIADcAAOwAE4AAfgAByAA3AADsABOAAH4AAcgANwAA7AATgA&#10;B+AAHIADcAAOwAE4AAfgAByAA3AADsABOAAH4AAcgANwAA7AATgAB+AAHIADcAAOwAE4AAfgAByA&#10;A3AADsABOAAH4AAcgANwAA7AATgAB+AAHIADcAAO9MGBXz74wEDp/PpXv2zcPtIkDbgJB+AAHIAD&#10;cGA+DkQ9tt9aDabzYQpu4AYH4AAcgAM7yQHr9bVXX4lNPRxb2EmsSRt84QAcgANwoMaBLptZ4dLp&#10;D5x4AvqERsMBOAAH4AAcWAAO2H6WnkunDz3kEMplAcql1r8ijH43HIADcGD1OWBbunRvveXrg8f/&#10;0RPRaDQaDsABOAAH4MCCcUDj3Gj06vfR6IdTxnAADsCBxeaAbehYToccfDAavWD9plg++Be7TlE+&#10;lA8cgAN9cSDOQytNj3NjR8OxvjhGOnAJDsABODAbB6zNpR3tcW40ejY84R94wQE4AAfgQN8csFYr&#10;Xem11nNLn9FouNY310gPTsEBOAAHpueA9dnubd+4ZaTPaPT0OMI5sIIDcAAOwIGd5sDxbz92pNFP&#10;efKfsN6edWNwAA7AATgAB/aQAxrflh2t/wH7HzjS6L948Ysplz0sl53uj5E+fX44AAfgwOJzQNos&#10;ndb+3E94/B+PNPqE974HjUaj4QAcgANwAA7sIQe8rvuY17220Wfp9EEHPm3wkdM3KJc9LBf6t4vf&#10;v6WMKCM4AAd2gwP33HXnyH7WWrHXvPpoNBp9po8GB+AAHIADC8CB8845q6XRHzz5JDR6AcplN/pn&#10;3AM7AA7AATiwuBzwO9Gei37B857X6DNj3YtbZtQnygYOwAE4sB4cuPGL17ds6GPf+hY0Ghua8S04&#10;AAfgABzYYw7IhtZaMdnQea3YJhq9x+VC/3g9+seUM+UMB+DAOA5orZjHuOW+4uUvG+kzY91wZxx3&#10;OAc/4AAcgAM7y4HTT/twa5z7lA+cjEZjQzO+BQfgAByAA3vMgXt/+pPBgQcc1Gi0bGjtKybbOf7p&#10;I+1sHwl8wRcOwAE4AAdqHPjEpRe3xrnfddw7WvrMWDe8qfGGMHgBB+AAHOiPA95HzHt+yhW+hz37&#10;0JENLf/fb562T6NZMwb/+uMfWIIlHIADcGAyB6TV1mftza39xLxe7E3HvL7R51KnwXUyrmAERnAA&#10;DsABODArB6TH1uTy2pe/9G9Ga8U0Jx3noOW3VpfXcQwP4QAcgANwAA70w4FynFu4lnuWvPkNx2zR&#10;aGs25dBPOYAjOMIBOAAH4EDJgdKOlmZHG/opT/6TwWmnntLS6GRDpznpMj2O4RgcgANwAA7AgX44&#10;4Dlou6UNXe5Zkuxn1ozBv374B47gCAfgAByYzAHb09GG3u8pTw02dNZlz0VLr8F2MrZgBEZwAA7A&#10;ATgwDwekzdPb0JujtWIfOZ2x7nnw5hrqKRyAA3AADkzLAeuz3L992UtH71q156GTHsd5aNaMwbFp&#10;OUY8uAIH4AAcmI8DsqP175qHjuPa0uXyGNznwx3cwA0OwAE4AAem4UBpQz/5SfsNNj506r613HF8&#10;u71XN/PR8GsafhEHnsABOAAHZueA56Jv+MLnR/uV1L4/mca1rdV2k16D++y4gxmYwQE4AAfgwLQc&#10;OPSQQ0b7fh504NNGa7nLcW3GuuHUtJwiHlyBA3AADmyfA/q2lfbl9l97imVtts2c37tKNnUe86YM&#10;tl8GYAiGcAAOwAE4UHJA34c+YP8DR2u5ZUNHDc5anTU5npe/TJNjeAYH4AAcgANwYDYOaF1Yidnp&#10;p314ZD9rHrr2fehSk8vjMk2OZysX8AIvOAAH4MD6cqCmzQq75647R3PQGufWnLT3JZnGfrZWw631&#10;5RZlT9nDATgAB7bHAa/dli7Lbzy956e/D/3Bk09qxrln0WfGurdXNi4LXHCEA3AADqw3B6JWX3v1&#10;lS0b+iVHHtmah7aNPI0Lr9abV5Q/5Q8H4AAc6IcDsqW1TuyQgw8ezUO39/zU2rDuNdw1zaZs+ikb&#10;cARHOAAH4AAc+MCJJ4z0WfPQbzzm9Y0ue4w7udPrNJyCU3AADsABOAAH5ueAx7lv+8YtrTHuw559&#10;aGE3+33o7netSluacpm/XMAO7OAAHIADcMAcePHhh49saI1xe52Ydde2tI+ncZ02LjyDA3AADsAB&#10;ONDmgNdq2y3xcfgZG6eN9Flj3K94+cvmXicWtbu8H8ft8gEP8IADcAAOrCcHrL+Tyv/WW77eGuN+&#10;5n99Zi/6LK2edG/Oryc3KXfKHQ7AATjw4KB879mYKNz+I170opYN/f73vBuN/iX1x/zAhQtwAA7A&#10;gb3hgNdxe6+SNMY9/brtOK5d81Oue1Ou4A7ucAAOwIHl4YDGvUub+sYvXt+ynz3GPc/asJo+M9a9&#10;PPygLlNWcAAOwIG958CDD9zf7Pl5789+OjjwgING89BPftJ+gxPe+559Y9zY0XB177lKGVAGcAAO&#10;rBsHbE8f87rXtmzo17z66N7moKNNvW748ry0KXAADsABOLAdDpx3zlktfX7h858/1GfvT9KfDX3s&#10;W98yWpcW16hF/3aeg2upB3AADsABOLBMHJj0vpXfs9I70Pp7P27PQduNtvC8/oMOfNpIo4WhbXi7&#10;y4QreaUdgANwAA7AgVk5EDW5tE/LY30vQ9+Btj7Lfddx7yjmoGe3p5Out+1vrQ/XGrSvfeXLrW9e&#10;Or92Z31e4lNH4AAcgANwYJk4UGpxzHs8V34T2nuJZdvZOmudnn5f7pzGxmDjQ6c29rn0/+wz/775&#10;llZNk2thMe/4qYdwAA7AATiwShywJkv/ov/kE97fsp81Bx11db7x7Kzp6fqk7Ur7L484YrQG7fJ/&#10;uKSxpUtNdv5WCX+ehfYEDsABOAAHzIGoc/JbB2P4ZZdcNPAeJRrf1jzxaaee0qwTm0+b6/a1NF+2&#10;c5rj/uBIo7Ue7as33zTKm/OOC4/hAByAA3BgVTlgPdbzlfrsc+Uasf2e8tTwHnRda/Ma767zZXiy&#10;pzXGLf33N6ej/p/z0Y8M/umHP2jWkMW8rmrZ8Fy0O3AADsABOFByINrP99x152ifEq8Te9ub3zSy&#10;b9NYt8erpbvyx+NSi8vjdtyXHHnkIH1zuh3PY+qXfPyC1jrvMu8cw2c4AAfgABxYRQ7Ibo72qfYR&#10;i9+DlkbX9uLeqtNtfY22cJc/jnGf8oGT9/UBkn5f/9nPjPoEuv7z113LmDff66CvBgfgABxYOw7Y&#10;hpZb6vNfvPjFjVbapu3S2+7wts0c42luW2Pc3qss3kP9oUsvunB07zPP2Bzccfu3qmXj/K9iH4pn&#10;wjaAA3AADqwnB0pte+c73t5aw/2sZz5rpJEayz5j47ThcbfmRv1N/va7WFGDlY6+bfmcQw9r0vQ5&#10;u7LvNQ+td7CcrvyemzZnPX+uYz+PXcfBXU9+U+6UOxyAA8vMgahvx7/92JY+ax+R006Na6w1lt3W&#10;XGvnZNfX2d0YvOmY1zfruLVeLOlyW/uNq9au5fQ3B5qb/tdf/Lyxp2tarLD4XE4Hl7oKB+AAHIAD&#10;y8YBadrpp32opc96B+qDJ58UNNna2tbRrJ3tuehSc8tjpa176H0r281lWhHHz3z6qpFOK/5Vn7qi&#10;NYeuuDW9jmngp27CATgAB+DAsnDAmqZ9Qrx2W660U9+alBZaP+0mHZ1Fp7N2Ow3NQT/j6c8Y/PVR&#10;R410N+tzTls4Oo/yy37O8TYGWlNWxqkdK4w/GMABOAAH4MAycUDjwZ+49OKRPmuvEuuztNCaOtv8&#10;c9bkqKc5rY2B1qDV3rNyfMctsdT49lkfyXPTiq9x8HJcuzwu0+GYegoH4AAcgAOLzoGoz7ajNUds&#10;rdyONltny7Q8B532KnM/INvOOf5Gy/a17pZryBS/a633ouNP/mgj4AAcgANwoMaBcnxbGt3WZ+tn&#10;3S6OWtrlL3Vac8+6j8bR8zV1fdZ55dvaHJ/hO9++Pdj4G826b6/1rsWP4+UxHfzUDTgAB+AAHNhp&#10;DkyjQVG7xulzqatZS6fR6qS3tTSkyxpHL/sB49Lvwk3PEtd6637eL1RYxGeVX/9pMOq6H+HUYTgA&#10;B+AAHJiVA6Uelddbq+zq/M6Nb0d7OPo3mve39B5XfY1Yt/aXz+Pntd7e9KUv7LPH0/307vSP9u3r&#10;XV4btTriUcbjmHoIB+AAHIADfXBAWvPgA/e35m1jutY0h5X7k9TGt8fZtbVzyWaO72UlfwyXPut7&#10;kzX7upamw5zv+BzWZ5+L72TpurjHibXYbnmt08ClPsIBOAAH4ECfHCj1JuqY7yNtcrzjjn3baP22&#10;14e9+Q3H7NPNqLHddq21s+22beaswylca7jTXij6nuVsafs55Ma+SHwunbNOu1+gtd/j5qeVlnU7&#10;3gM/dRQOwAE4AAf65oB12K7T1/G9P/3J4JjXvbalz/rG5Na9Q9paO52eWtutvTkN6WXUZ+vndOmm&#10;9OJzlLqsc1FnrdMp/c2RPS0Mymvjdb4HLvUSDsABOAAHdoIDpQb5HtLn+H0Mvf/c/gZ01lhp6Gw6&#10;aj0u3aSv0md9K8PvWFmbZ7mHnyNqavSX50udlj192zdu2TIXUPZlnA4u9RMOwAE4AAd2kgPWMK17&#10;PvSQQxr7Wdrs/Une/553N2POSStt/9q13vp4GjfrvHX4jcN3rJ/8pP0637Gq33vrvSJONXs4nrf/&#10;umuuDmPq6XlqOu34uNRHOAAH4AAc2E0OyJ488ICDRvqs+Wd9vyrZtPPo8Fb9tD1c6m3UZ5+zaw2f&#10;1p0GM/dJFNf28de+8uWg0ynvwiTG7UrbaXSdJ5y6DAf2cWA4jyQsfjn8/2rol9vUn33hxkn17sEY&#10;V/Gn+Cu9rjobw2t1NobFuNPclzjTlQ84bcVJXIvcKzHSufM/dnZr7ln6rH03t36/aqvujtfOrfay&#10;tDfpb9J97yHW3qNk1vvk+OXzlcfjsJDtXD6P3gv397LKtMpj6vVW/pUYcbzaGNXaG9W5WDca7R2G&#10;2RUnol/x9f/e3XcNbvji9cNv93y4+WuNzMtf+jdj/294/esGm8Nv/eh7PzcOr1UaVc6FdrGWZ10T&#10;24qY/2p6U/QfuG61uT9r+bpe2K1dr7nn2rtVmheOOirdmt2unWx7v+bVR7f2+i71cZ7j2nPWwlz/&#10;XPfsqk6n/b3dv9hs+jDj1nzX0ieM+rjuHIh1zP4aJr/ep28/+8mPm70Y3vmOYwcH7H9ga0xPdoPm&#10;3vx+ySyuxgel79rnQW1e1GTny/W/lj/HqZ0jjHq+XQ5EPsa0NPfstWGR+7Ps6dWtoVnfyjjWevUD&#10;2mvRsi1cXjPLcXzGml/1zZjYLeNJjy++8PyWTa13qD1HHeuz/PEdrzItjqnD68iBsm61jod1sMFk&#10;nytt1nfoPde2HT2edK3uoXdKpdW/GtbdUb725UXHyhu6TL3dqXprbnVxTeHqT2r9dOyLas/Ndw73&#10;xtY3MbINLVt4sj3c1lBfnzQ3p5Vtcb9fdeL73juHfT5ey6fBNeq04xs318/7/vUXA41z+9nct7jy&#10;k5c3Y9+u207L6eBSt+FAmwOuKy1chpqouvMPF3988KdP3b/VFsV2Sf5nH/KMwUte8ueDVx39vwbH&#10;v+ewsf9XHf28wVFHPXfw7Gc/s7G7o/0R0z3wgAMH1159ZaPHo7YyaHOZ59g+tJ6DMe76XAK4zISL&#10;+aW+o/qrJW+1NuzvTjqx0SNrkbVpVtfX282ar/09T2m9/+y0U9xZ+wJ1rZ5Uf4yF4o2rh45X7h2q&#10;PGv+/p677hxd7zpud1IeON9uw8Fj9fBw/amV7b0//XHzHXfNM2ssTdoZ26TD//chg+Pefdhg45z/&#10;MDj3qscNzpvlf2WK7+s2zn5co+mHH35otR9w2ze/0axdUz6V59gmRL/OU79Xj6c1fu50mHhW1g8d&#10;a5xWY9uxLqhuyKa1VibXdnDWzNk1NF2bdTrps/oC2j9s40OnbukPxLjt/NS1uCvOJHzLeuZ66PpZ&#10;q4uao9ZYd+xv6P7Xf/YzA9nbk+7Jeer2OnIg1ik9v2yEuB/Bu48/rqXPspU3zvmPSZf3ae15Q9d6&#10;O4tWnz/U9fK6j17yuMErh7Z4tKeVh08Mx8vc53Y5lW2ow3Gpy31ywDw775yzWrwUR+vfkyp1eTZ9&#10;jBpvzZWrNdvS5rI/EON0ae6s4X3g57bF+CnNcuzbz2qbuo/7kgb1fxU5oPciojar7lz1qcubuaRo&#10;Q1uDz7U+77OfdVzqreN2uY5fpqX41mjZK2l+bzgP1+TpisG9P/vpaPzb7cAqlgnPtBhtjew/vasQ&#10;OSm/7NkPnnxSYT/X9Dhr9qxaaZtT/VTtTfKKl79s3/22k2Ytj+2wneae3qPWNy3dvzAuV//jJ9M6&#10;lKGed+Uhan6MU9r28Rz+bjzBZvGx0Xfb0xhUqqfSaq+t1rtRNY3u0t2+wt0eytX+RbH/ENeGwq/F&#10;59delFHZXs/brst2juskzcuXHHlkoc07o5lJwzabtWn9rBVva7G1sXR3o8zUxsT1ZM6D6rfmr2P/&#10;2+UZw8o8uowdtzzPMW3FMnJAc72qG2oLLr3owsEPf/D90ZyuOK+64nZJbl8aPCkd31N29A1f+HyT&#10;p7JO33TDF0d9beol9c/1T1wo2+vIj/Kcj3293G/e8rWW7Ww+ah331m9iTKd71qD53J3pA3TlJWKx&#10;k36Vi2zq9rvUCc8Lzj1noHfbXJ4uw1p5+dxO5pW0aWN2mwMaw3MdlZ2q+0euy2872m1UbVx6kt7O&#10;c17387oc5UH10nnTGhPnW2MAtTq721hyv8Wrv+JL5E3Jb5eZeaVjvWOovXXM9+jKdi6/UyEe2tY1&#10;J1fBNTY76apsXD6ap45jZRFD2drfu/vuUX98J/NE2otXj9e5TDzOZH2uYSEb1lopdx69neea2DZK&#10;o93eOo+fv+7aoU6nvYtiG4teU8fEEfMlcsNh1gVzyZwRz/QtDPPd/UTZzqM1EaM9ONu2czmvGjVm&#10;fn9cG766drTxV3nIbrjk4xeM+uAZu81mXFznXW4uZ7mxTGN6MS5+2oZl4YDbLfNf68UixyPnSzt6&#10;Hr2d55pSoyO2zn8aH9sYrTFxeIyLf33rZckHt91luN4XiGvCzD1p9UuO/KuR7dylwzm8Xx3N6e6+&#10;rb7X9UbvuGmtt9uo7HZrddmG7fUzcP/1bXv6KvvIabVbbsNi+nul0dGWUR6Up7JtdZjzHZ8nPgP+&#10;9aor0/BAXNL6hpNPeH91XFvvOPlbklkf2rZzDre923V+nvAyzX71P+e9nredrjOuy3Z1P5eb67Ns&#10;B62HyetZjUFyZW97X9GYX18fw/CvVxuwauVtTsf6Ir/CrdHSTP13cz7a9ow1urafb5l3H69aGfE8&#10;87Ux5nHET2GbHz61ul5b7zvrGxXRhq3pWTqftCL6a3HnCYtptvNinapr6zz3ql0T8dotf2x/4j23&#10;arWfPfVjZG9LyxVP13WlE9PEP199Are9wS1yOvpVHtZo6+U849bzXKP72Za2Rkd+KJ9lXnUejd4b&#10;DsWyWRS/+FHyQXtsa87ZfI7uXx5xxGhcW2sdatqVw0o717rRj9vWZY9195N2fobu9DTGoHLsqmdl&#10;GZc4l+fnOS7TrGm1cXKfRmtryjlrpVPjwjx54hral0XigL7zvBcaLVvd+qw2VHnwd6oXCR/ysnv1&#10;tWyva9i7z1Zrj6M2m1t29Y1n7eHl9n4aDVv1OBpfttZZ40rMjbfCu/zlNfMeOw9ypdV6J6trvlpl&#10;o3N6p8t9DY3BOY92nZfIregv4zk+7u7Ve7Aej7X4euOE96P7GPuupRHtG32fmrIaX1arhE9sJ+Nz&#10;xTazK47i65zjRm0Wp6zL8j/j6c8YaP+uVdfb+Z9vsxlDFpYR01gm8vt86S/jzXMcy7mWhztu/1Zl&#10;H5T2GIj2LtM+EL/4+b9U2xFzxfmfJ59csz7t06KUtepDzY6WnjZ7eNoN39I4+/LHNd/Y0Hc2Jv0V&#10;N46BxzRLO7rZc2jYFiwKNuRjd8rCbXJsp42921W7Cnc82U76FswhBx/c0mT3+/Qu1RuPeX1Vm7Gl&#10;4/h30jq9o2l7NOLtshhXTo6z067yp30TvL6sXo6bzTvY2lPBc9fOe8xf+YyKY27FePh3px0A5zE4&#10;D/vP5Vj38cPvTh7zxuG3JYff1tD3NdzubddVWkpTaeseSs82jzRaY91l3aHsxpTdkvdpusq6bCtj&#10;G6uxWa3T9t6d5o+5KW3Wfpqeuyzb8fJ4fvsz6txy+j921pmtPoz21pbNGutcrYxqYfGaef1luY9L&#10;R2u9r7js0lb+a2V51aeuGNnXtXz7nrVz4+7PudVtlxaxbGvf+on66fbviU/4TzPrdXlN2aY6beVh&#10;EbEhTztTF8s2UcduL2uY6xvjx7zuta1+nbkjt63N0sw8Fmq9Tm14Dq+16esU9m+/++1A8wTGyv0X&#10;6ZptUJWFyyqWkcNqZTVLWEwn9sXkH8cH30O2teakNTft/McyzGW/Obj4wvObuP/0wx+02pryXjFP&#10;vg/uzrQD4DoG12EdED4aL3Rb16WfXeG+bhp3XBo+p/0ZladfL7l9CO/G8C6Urdtkt/12jZ/2HTn3&#10;7I92rtEW77R++9i3vqWxp9pttNdkS5PR5ahb9g+Gv8cee7TRLYfZ1XiytM9lYXen9MvpWpd9rPs6&#10;TH5zRK7j+Ly0V2Ph5TqzNi/SmIeeT+vDZY/HMX6n5efFna4ug9PO4FSOcavNk17++XOeM/i/R7+q&#10;4fr5Q/v2s9d+evDdO77d/O/8zh2DP6hyT/gpjuL6OqWhtFR/lPb/fO5zR30D31eu8kR570x5Lxqu&#10;amO9FtdtrtpI2Xa2mcWJ2l/fV/bendaVrW7W5mxPLee49NZn2/5zxCqsb8Hmse+Mm+apS7uzbx5Z&#10;a+1OSl/xSi0tj5VnzZ+lPUfz83ThqHap0ezhujNr9qR8cH492qm9LOfYDj7toP/cfGdAbaZ+1mG7&#10;sT7P63dadnUv6bbu7XZYedpLTLj33tQ7jWUf//ZjR/PM5kN0NZ6tbytP9z3nLg2b3F53teOrFu56&#10;/Ic/pBr56KOPNv3x2nPKPo3j3131pNTKaXW3K73thuv++oaK7GWN4Xu9We0ZHab+nOKpfyKd17V+&#10;R60rP9P0GyIW0e80HRYxdJjjlK7i1uI4rOt8LR2Hxfs7rHSdfhm+SsfT4LDd5y3vEXFVv1ntn8eZ&#10;tf6i/P3kxz9q7ODPfeaaZFMP+5qaN5YdPM1fcdU/1V9pyKZWmuVP945tsfqxZd6NRXwGh/XpKv3y&#10;3jr2fctz5b0drwzf7nEtX/OmWT7DdvPs9Ow6X0pX30HV94zUxsX/7bfd2oxji0d/+tT9W+VvLpib&#10;L3z+80fj2W5HJ7t5rLs21tl1/Sxxu9JYlvCyHupYeq224aILzmvmD+KzePx7Fi6KEyUvxI/tcs4c&#10;m8V1vsVH9Tk0Px2fT3MiHm/JPGiHWbtlc2vM7+tfubnhteZlJj2TcHCciInzVXsWxxsXJ+Lp+Arr&#10;8sf7OF3nK57T9T5fhsdj/Nuza2rYC9PLLrmo1S7efed3m3WSmtvzOLRctaEKs9bK/cqXbxyNYXss&#10;u3QVJ16jNJRWTFth0mfd2+2x2meNdW633GvPXQvTfcxF89HxHF7Gcd5iHXDYPK7T8f3LNHxe4TFP&#10;Zbzaedk+URvVlsRjtVeyFZr/8Fvd+l5363h4TvaE/yov++WqjNvtXGm/JrtVbd6J73tvswenNNc6&#10;3OVqbEV8sc3stjPda7ItHOPn9jblzccxjtL1sc+Pf67yOZfvuKbRDpNN/a1bv1mUbdIrlblsS/HN&#10;cxWTuGgO263F7zss1iff13Xb99L71HpPS5rd/hZX5m3JA/MkcyaXvc4JH9cRpSstV51SG+m65/kD&#10;50tumTfl0WGOF4/jNfG8/X5Gu7q2ds7hMW3fO97DYU5v1V1jZVx2+3njOPcB+x/YjDef+P73Nfau&#10;9vcRn9Qei28KV3v56le9snHl72pbHa448RqlobSUptL+5i1fG3xu+O1Jtdtqj5/+X54+StPj3REb&#10;42V3GrxKfsVro19plcfx3vFeMU3FKa9TXI0DuC52ucJgpIvD+qt63NTloJGq36rrURejX+cuOPec&#10;fe1ou7/vdmVWvYntz+S1VvV72h7Rvl7igDR5v6c8dVS+5oj7ZXY1lq3vN+u6lP/YTk7WZT/zONfP&#10;V8eln3uMu/8inbMej3MffvihgfYHaXMh4dRo9XD+NtaBWG/K+uFzdmO92g1/vG9X3pQP9Vu1Xk62&#10;supYd5nV+OI6kXXb15eci8fWdddvjcu3+svDNkJ5KtsT9bnL+fP4nBFXl5PP241tmuP7nNx4neP6&#10;vOOvorvbzyhsjbXwjO+XHvVX/6eZq5FdK720DSNd1Xi1eKO+pnRFf60F+3+PPNJZtXUurhfTtUpD&#10;aVnv/+xpf9bc5+1ve2tz71L3lceY39IeLLlaHqufb3sw6p/7tD4nV/XB/d5xrtefxLq1tf5111HH&#10;jW5Ky3XdbqzftfRyPOelnU77et3P8XJbG9N1enJjuNLxsePEtJP/tFNPGbzruHc07yX/9VFHda7D&#10;thZbo+U+65nPanR5lu9PRfy245+E2XbSXoZrPQ/tilweO1zuA/ffN/j4+ecGPmRONVq9z66OddZ1&#10;uNbO71abXmtnHWZXeYn++AwO15y2tPurN9/UaOeVn7y8aTM09r2VR64zxsjHqQ7luri1LsW0xsUT&#10;v2Jc8619TXrfrNamtfoCwzbQ7WFpJ5T9BLX/ZVs77/FucWA793H5ixPyy53GBpsXE3FM/S7hfMSL&#10;XjRwW6m283/8t//e2LVeMxbr50759bxa7334C18wyovypG8GmnPZbfM8h2/lef2cr58c3zy3q/Si&#10;3zqnsBw+uf7V81WmnfKX0q2lmcK60mqH+5nLa9rH6nuMq8ey58u6qjqt+nzSsB+n70ip3KIGR795&#10;Zld2tb475XHsrfjWMfGzZczHlWV+xmniTxPH918VN9Zr67PdeC76tb4gzlVHnkqrZevV1pa5fdtO&#10;eznPtW5jdW30O63Y9jos5lXnHR79MS35k4anNRe2AzwOprqlOpY5luplPM6ccp0dx+1x5zLvU5pO&#10;L4Znf85DPc1Yvrm/rrg5jZz3ehrLe353nzGXRbrvsW95c9Omui1t3qnat74z1kn7VXcn1V/Hje40&#10;1+nebr+VH+WtXq7m22QutLkV47dxNy52y/u2w9O1OaydVrq2Fhbvn/01XVSY+7jyN/3b4fi3672P&#10;rZl5/Cv1v2r9N7WZsX1xmxPbIoeVbmyLYhrq6/3ty146KrdSo12ecvU9C8WVrd2Nb1fZdoVnHMs0&#10;tx7HcttsvnulPoLG1tN+obHMon+Weyxf3FhP5Y/1O/rLeDqOWp3qQ8ZNtqX0qRyDFbcin0qu9X1c&#10;3ivyV36fd3h57PyW52v59LW1c07HrtLTfHSqq6neuj67fnucPbYFwnUrtzPvcruUw1J816FcRu10&#10;fL68rnac0ui+V+0awtp4ZzwyjrlsYlhsR2Vbd/0m1deu62J4LQ2HaSw8tvHxeXJ+bVvlZ4nxSr/X&#10;X5rjdmu62Mz97LMLVVdaeuhxoH3hNQ2MYdKuHxX7GNXqret9eS7WdcXRcVdc13m54+I4Hd/L9yiv&#10;+c2vfzWyGRzXaTsfcrXvjfQt8sd9Pemx5pSlfVprsLX8avx02fpcLGP77ZZxfc149+9OOrEZi3/B&#10;857X5LtZK17pC8b8lpxatWPXT9VD10WFRX+MUzsXtbpmW6m+qX5HPu2W3zyP9ys5H8/JP+l8GT8e&#10;+1q7vr9dx60d+xrHsVuGl9cqnvRe7Y7aIbv2e7yr0X63caFNc18gtotuK+3Gc7kO5PqYw8bXweWM&#10;137OPtuHmFb0J5w2m7HN2MZKo2t103W0Vj/juS7/pDR1ne4d8xI1T+PzPjZvZ3HNcbk1fpdplfF8&#10;veKV18djx4thZdrl8aS4Ou90dW30l2n5eFKcWdKMcZWu3mGufZdZY92ykTVHIY3W/HSsj1v5V6vL&#10;7brg69O1s/TzU9padyZbWXudqD+hPEqfFVbmz/eyO11+a8+wXGFddXae8B9+/3ujtWVb8dts3jfu&#10;sq3N3Un1wXWgFs9hkbNOF3d77wbtFH55LEFzBLmdd3u/SG7q+6Qxj2lssL4wi7o4zo6ep87Ock2p&#10;0X093zql8//ZO9Nva47qvP8vZpEYx4mXsQ1exJ8CQgPCrICQBF6GMBkMCWY0wYBBmMF6X5BAliFg&#10;jDDzJDODwdjGlsSsMEkCYgZJxhL5EiQ+CH9h3dxft57TT+9T1d1nvOecu3ute3cNu3bt2lW9n67q&#10;6jryUWNtHsPwUnnWFX73dx7be9+sscOc2TFPmMj+w3lfXceweV5htmi9LHj8zGc8/Xj+fnHzjIBu&#10;4LLee3f7xOsyhM+luWCXN6X8/vAsco9O5b31hz9o1qE6m7X91/ZvG+bdLO9oWAvXeITy5+NYcU/z&#10;8VnDY8l03gzvJk6rr2p9fNL9Jv2kR23MKX/dVH4Wmhi9m2O41ueMnTh+Ii/5i44pl8l36v/1EY9o&#10;1ji0lq0xw5xZ75fd/+KbwWcwkj9+g4q9YZGn8+FTMI13yK9ofgcaeZw1Bv6iA/rwHQLze9Kp2/ei&#10;dftcwAfNx/u43z0fKF10im77yzMVd5fh45stzqnRXvDXvbZse9ZR+QaDc1N8/GocipKnsRz9+TLj&#10;3OvK8H75vpPqrzgWt6GH/G1i9P6N0einxsaLxtdYOeY2vG8urWkzToS7YGyHbeBUi4GOveApWEo5&#10;8JQ5NnvHSAff+XvhHz6/OXebNegnPP5xzTz4gQ94YLM2TV3aM46MB/3mg44edv75DRYjoz2vW76/&#10;1aGvk3R0ng5Tu+eG04HJ3jeEN3XF91uMqU99/KP3jpHO/q0+ne1n8+t78Tpir8YwY51xzJ/SRMfG&#10;99h9kvnb94Xqu121vfTT2FJ8G/ri9/SX8+jtj81t9LHqKI0vH2tDv/3IHBq8ZD05+nnFwTthXh8n&#10;Wx8MHvMNPDgMbp/z4Ic0eMz7a8LgtzD6/HPPnb1LvviiRzW4Do8/NxC+6JGPnO0XZ56t+tGp06HD&#10;AOnqtOOL2HH48XVjdMTmKJ+zy9hj1p2JUnp2avuL77g+enzG0dB+M8avxrWoxnvSw/ZnJ9m/jLVt&#10;jTfhMzQxer/HtOMt49fjhOXPlA7lPLmXv/SPZ+fZ+HhQ2LE54lmMM5d+7ZnLDcflgzucbMt0ccfL&#10;GHb5Hj7z6lc1c3Dm3pyZAs6jL7r+9oUXNrjN/Jz35F4u1t3ltfp08cPHZ2x9khdr4V/98peavatt&#10;v2usRNu3fcO3F5yNDcafpH/OujfrJ+Wf0s6tneWHoYnRmx17mxhz8Vkuxhnv/CmdMN9aPP85z57h&#10;msaA3jeLMtdt3zf3fec8jkW8jfF2ThvxUXg8L6/vo8nnj/eZKlOjnFXGN1/Cbc3/maOD53wL5mVr&#10;OjnPIYdXxeixeXNNfix3110/ac4l5Hd3sHd5THTj8Korr2jOBtTZAPHe0niP6RnfPx93kn3mvvOk&#10;9JB/Toze77EbfRJxpTFXfsOfvf7oGb//tNm+bOGw+l9x9l7xvri/5wrMbPGxwzThpfym4vP+tSsz&#10;n9fin2T0sTliY9lv98uoLuflOQN85pmDeTZtZt7N/jLyuj3pXRti3Ycar2HoutIdiz08JJ/1cPaP&#10;8f7azzPTWKn1BXvPeP4Et/lOpnR+ykn52ax3v/3rSfaffHRi9P6NIZ7xNHb8eY89spyLzu+ScCa7&#10;8Nf72sPsyer/jkUf92o+kXTHwjEf2snpY3KUEeNduXm9Wt4xbO3n8/zBOXa0WfvCocTZhzb/fDJf&#10;75BO+5Q3hJW7kvfjO+9s1sSZY//5Va+7dx1EfSpa66OzzRmc4DfvtjnHg/fbfHdbwnC/p7i39Jyr&#10;+2xZWpOL/JhXq8N5V9Vr1fI1Hded7noqHOm66xyTN7W/xuR4vtpUSnNfrbXuqc+7q97DXg91uy7o&#10;OsUW4im10du7THiKTPFA0cWp16l0pUlvxeu/F9J+18+8oHdW4L3nBF3zljc3c9xn/vdnNPudsWEJ&#10;k2Ma2M16cOl3LBbByH3Co5Kuaivzae1Xw4bMt7U+Pv9t9Rgu1PCini49SjpuMm3Ve/gkyt92/P31&#10;9ce/tQVmX/36K2drPG6nac9uXX/4efV+LpfwHEzXb0nqnhX1e1n+QHlQ+YWYFvNcjvK8DGHJL8mM&#10;vKW4ly/lL5smuSof26L0VajaLLqKrEXK0ja1b911S65oSS/5big46bi5rfuPOv28bnxkSdepaUPt&#10;dRndGTZ+vo3OvG7T/LezmrP0js8D1Zl6ojo3n3Pz+J64dH4ee1S1Xuy+pB7u48ArX35Z850ROMJv&#10;oWiPVA2TSdef+pi1XtZ8OROTevFjesd7UhhRb3/nPzfFIz+utotSn84ow2b8piZrDYSf+pQn3/uO&#10;vtPPy83r6msG/T7teGvpbR3z8of5O7mdjrW0bd3j66xHPkr0zjvuaPaR8VvX7BefXx8ft0Nrn9au&#10;rb2HbNzmcU/7GZmEZz7C/AR+tTufs/M1/G41/qiEZ44FHhb/VB/n/m7VslHWUHxZ/cZklmw1VGZd&#10;ebEPNik31uV+XPPodd5PU2XFebTwT3NHcDBiXy3OfpLpeCgfyn2n8NR7usRXv7fnfa3Witsy7ENm&#10;PgcO8K6Ub420FjsFi9WXUDBF71zbb4hd105HdOp8Upde8+mnNZ31b747Y26td9r0j85M6d5pY2fZ&#10;UeOpjc/3v/i8b7y80kt8pTTxT6dT78994RNuQ5lvs57NOSq8owa/wVHH4248q69a+/f7Snlucw/X&#10;7K1ybX6UWa675dW8Hh9X83O8e5/5yXvX1Ybi2l9Xel7o5ivt73YtGm9l3jhba1gnlrosYX97hmj3&#10;vLOovqvws7YyZOdF8kq/iRz72/26MFrjfJv3pTBacz6N3w4/SuPc7432ntF9ICo5JVrm6d9X08u5&#10;Lm2YuRiYC0aCv+zFYh6MX2dOBoYKg9Vu749auMT7oOOzPXxtlraV29fp2eb37VZq7+Gn9f2t7Caq&#10;9nscTC6/07544J029XR1uf1VR6Rep/JKacpblG7zHl+2rkX9kfgjjfXznpvfxGZ/GnNwsJwzb/Gb&#10;jufYW+tNdfvO+40p/evyun7txkiXX0rr7uWOr5/WySTdZXi4X6Ymayxd7e3qXH8dYzpsNt/b4+Hl&#10;7dfZqi7DcUAYzVjW+I7jet1x6uGPuh172vHU2qHfDtkG2s/XGGn7SXz1tvfLz/Mzd3r2M//H0SWP&#10;vmju963dbquEvc3IifEom/kxZ3dofxPPAJ195v0EtujbpbWHyojOj+15e8zzDNl2f/M6m8zbs8vr&#10;2temnZ29i+DZi37S+rj2j8/3hWzcUsnp21k6iHb19vmWS1/3/bxuedEPxXitvql8tfKkSwaUvwbT&#10;f/iDZn7OHJ1vu4XtvBPj222wXX+aI7X9pL7u91O5z/s8fT8V86bEY90aSzF9iqwhnr7c0r2yypjt&#10;5KmeIV3Wk9fVKT+KXNlNdD11dXL7dQgDwAZhtMbm0PhdR57Xw/qBdIEyzvU8qzHP/VD64/mXPSRQ&#10;8jnjgOdj7qOhP85QiJfr5Hm33HxTs+bEWdB8nzSGpbRhCo+3WWHef+LnmRfj33VuJuNbY6ZPfaxo&#10;/LZpLV8/f5X75JDKzttm3r5q7xBvd2/Jzi1lHYW+ox+1XuL7x0t70VRPS7t7P8al16rUx/i+hHWP&#10;QhUe0118kdbKlfiG0mpylK6yit9zzz2tb7rXT/E7JO6r3M/JrykNX0dYfnGMyo9qnb82xpYfS/I5&#10;7Xjd1FjlPutke7i7T5ZvQ12G1yn5Yzafms/3hfRlxDD1NVS4AGXf1ravn//8502VWuuWPtIjjm2l&#10;O53C4/y1sMvxMPwxzjMFe0ae/MQn9Gwo/UWHcBocZv/Xc5/9rGZNvP3mR37ex3ub1o2V/nhq072c&#10;h4U7Z5s62DMGZsSzPDT2Tit1G3oYe3hcYdEuX33S2b7lUfqZI52NpncdmmszDkhj7Zy9gUN9EGUO&#10;8U7Jq90Lu54e78dF9I1lY3wRWfAuWl78omP1iU90jN/zlynj5RcJqy7Oo2meNybMk/y5ZFL4Xpml&#10;+dUiui7Kq7YtWm4d/MISqObR65C7qIwaRrucaKcYd95lwpInOlUG/H/3t58+Ovunr2rOo3abKiys&#10;FlW6KH6aP72z1txZvzfBmnbJ58pnO2bAy3xfWOBzOL2z7u9x6nCkraPDmVKdpzut/vyuvnD7dP1S&#10;tinPZeor9qA5but9BmNgU/0ydYwnX1ogLXAyFhBGQNeB0Yvim1o9BaPFuw+UNQnm2Vobl51rGK38&#10;Mfrv7nu/Zt2U35x4xMMf3vyms/Ad/055MFlzM/Yit/hexggwpIQtYEI/3ct7OOJ7xh2jp4bd1o7b&#10;7C3UPnL6lXh8/yH8dhleb5te7rN9uJdSx7TAabaAY0INo5fF3UXsemgYHdt++223Nt9/aH0cjJXt&#10;a7hdS1c50f/4y//pCHmsu7fr5REn27lf58Pn/XWXF8sSL80d52U4LmS4ZMfF07xfeNbiLHK+DQCr&#10;tT7C/gX2EfJbIuA3azHw8ld6f+J9E8dpxtMCaYHdsoD8PLSE0RGfPc4+KuaLvJulrP99+5abF2ro&#10;IWC024bGx7gbRHm0+yPHZxSC3S99yYubM0biO+6pWC0+7SfWb0h0ft6xuoSx879Z1flz5/fw4rjT&#10;ycyyi9lCdtczUxsHh8Fj3o+A0ZwfB2azlvKL//6Xes+CzMlZU9fai4/JDKcF0gK7Z4ExjJbGwhTi&#10;4Al7m71sKQwPvH65HE/fd4xWu0TVthhXulPxiHqewnffdVfzDMT37ez3Ou+hDy3aXzjt/eGYPb+X&#10;uFvTbrFcOOD4KUzopy2GL142w8vYTv0j2pfR9ttYHmMHPNd5ORpfSdMCaYHdtID7cnBy7HrKk57Y&#10;YANYAE4wVyONuZ/CxB1D+L4YjBnCoH3HaOxWat/UNNk98se4+KDYVHvVsL33ZQw7dpcxu+bjS/jc&#10;4XofJxJ7F7UHmNri6rztaumldw91XvUV/Tv//OXjKcNpgbTA7lnAffkYRr/m8lc3OMD8mPPsuYYw&#10;BB7Ntyk7dO0zRg/ZYMxGQzZR3pB8zyOMHVm7GMJsx2vCYPaFF1zQlGGO1eHMvE/v8uYxJfOWscmY&#10;jcvPSPO2HpJTl6ExljQtkBbYTQuMYbQwgDPExSssBws0X5bfhzJvJo+y/lsZnLtau/YZo2ttWiRd&#10;dqaMhxeRUeIVZrO2oT5SPw5R7QtvMbvu4+exYhmcyjKtHVuc9TlxG55Pd37vAy/r6V1YfdnKLI2Z&#10;TEsLpAV2xwLup4W9Je14Dwov8zMuMBgsZq01XqQxf6YMl+Z0ijeJ4d9px+hgjmJ0Wez2cvG8NO//&#10;oTD7jB5zycXNeSvtt9VD87bE3A4T67bo8DTaMsb7MijXle3nldazXZdYrjjQMnEnLeD3sYdRNsYX&#10;bYDKiy5aPvk3ZwH3y0MY/carr2owGmzmYv48xA9OM3fjogz1qGyTGP4lRgeDbCkKZnNGYPyOW+PC&#10;594KQ/nuh/NQ2Evs33tFDHB8ULjl0XwuYozenypdeFXnl9ykstl0uqVhltWsyQIlDFVapGuqciZG&#10;8knw8IwhAxuxgHwxdAhzI87Cr6vUX8hKjJaFdp/qTFZh9suOvwPTN9zCZvrcwz529E6bb3/0Tjti&#10;sfCb3xBSWFTzP5Up463wWhhUl1Mur3JJZZ/dH5mpoSxQ8rO1vCFelRF1Xg8rP+nJWsD97BBGax4N&#10;5RJG1/o0Mfpk+3WZ2kt9yR4C9v6B2bzb8PHieF0KM9fWeZZjZ2lErBaGdBR87jBZmN7RFnc7OYnD&#10;ne3qtlhmnGSZk7OA36ND/noVDdlD5PUgK8ZXkZ9lF7OA+9xSn6tvmEfjh6GkCaNrtSVG1yyzm+nq&#10;Z2nncQ/7916skzAOhM+inuZh5trai8Zvandnhnfz49I8Wrgr2uFyLOdY1OVNwarTyqP+Tro/FuB+&#10;5F0i9xbnHuny+9TDyq9R8UJfc/mfNnLHvttRmZrMTF+fBehn/ZUwWjVprTvOo5UP9X7j7LFc63br&#10;HEbY+1gtYtwwPvjdJn1rJ2x23FaaxhuUc6/47ovzLTvc7vBVmC0KlnZY7Zjs4a78acXeqe1WHybd&#10;Dwvo/tP3NNxDjtO0QjyiU1vGWpnuUeTrcjkeVn7SzVrA/WUNo+kXn0ejEeX8in2X82i3zu6GY78N&#10;aTqVV+vj/A4Y6+MRp33MySd42q/+yv2b86g5d5rzsObXyX3N27E5w1OxWXxD/Z15J28B3XOiaMQc&#10;1+8XwjWcntoCykeZ/h2O1z9VZvKtxwLeLyWMVt9oHg3lohyX8puI/UuMNmOcsmBpTPCOi3ue/eM+&#10;B2AcTcFwzp1mnVzvt/v70hKbhbmL0lM2NPe6udxXP7377mbtqXTPRJye2ljKleSxxsW7LV2l+1p5&#10;STdngTGMVs01jFZ+pInR0SL7Gdd9KTrWCvFB9Vcqw73PGGFcsUYObuMnSr7Cx2gM40f0jlu/ub0o&#10;Tp1m/lLfZNpmLaB7pFTLUB783C9D9wjvFx1XKRNlKg7fc5/9rN78OcrWnAw5fkmGp2V4MxZwn1ea&#10;R6vWxGhZIuk6LeD3+l13/aTD7cJ8W2M1+hHFReETdjPv5l038+7S74l0+Dz1HfYi6+ydzP479C6d&#10;+vt58/FOx/WvF6yzL1NW2QI+xssc/VT4S2W4P3y/h98PPvYvvuhRzXwbqSU5pIPP/p2Gl5dcKO+d&#10;dD6kZDn1MHKnXio3lf8083l/JEaf5pGwW23XPQxlXLJOzpnvOrPOxy1h+RjRmO88+Dl+u/GiRz6y&#10;+a1l5t/sV/uTl73UzioXVrZ4qj1rosLNiK9Kn6d9XJ7PF/5O5RP/anS3ev3wtNE45pwgn98qPba4&#10;lg5f6Z1xHOf3+YX7NvNi8Nfr83pYLwfHVVb3jKjSdc9Qb9QrxpGvNFHViR75blvWWJx6fyRGL26/&#10;LLF5C8R7nhp5tme8sr7D7y2yxlfyMfIzPs5rYZXXN2Lt+aeXNDiufefsYev2n3f4GLFbGEz6GI7X&#10;ykrGJunmey9rYJwy5ljbYbwyHx66SuP99tturY5vjWeNX+KEwelYF3gJPjuv+CWnRPm9Br9KOno+&#10;YeqivbQbmUP4EstmvLOA98eQDXOtu7NZhjZvAfkA0VKNyhOFR9jNN4J86wl2xz1qPublq0Q9T+FS&#10;XkzT3Jx34/pjrg7OK/7whz2sd27qPPb6Ovp25tMlu2baei3w4Ws/0GAU40njhrmp1pDHamN8s9dy&#10;ynhEvuqAgtOcHcgFzsf1bfFKtqjSRfUdrevq952n0y6+42KdXPKg73r725wtwxMt4DZMjJ5otGTb&#10;qgWiL4jxqIzyRZX/7VtuPuK7fZ43+dNvnvs94GH5J6WNxZ0v8iqPOTr+Vuew+Bz7JObTsk3SzViA&#10;Majf9C2NCbBsDKs1Dy+V17iK1HmZx/KcoPls5K3FJQPK3xA+YD3aUdsjTnm+xcxrcQt4/wz1Qc6j&#10;F7dtllifBSLeEi+lUaOne7ikjeffctO3Gj/E96fCceYPvAPX+zv5Lb9vPM3DzqOw8tnLNjyP7tbR&#10;5/nWl1eySaat1wKMIfU/VGPA03huq/lf34NRKutyVg1LvqjLK82lsRR6D2GzZKi833PrtfRhSpP9&#10;oLUxQssTow+z/3e9VWP381g+7avxeLqH3Sa1dO4V/vjuG8qeGO4R1tiF7075vkx+T5TzzH2fWs6j&#10;3fKHE3YfOxRmXIBj7od15iflNG6GZJTySuVKaSo7lKczQukd9IzPH5JRo7qfRA+nlzfXErelj41Y&#10;Y2J0tEjG98EC8gWim9J5SL7yWG/UtzPyg790v19uvg/3ubKvf3v6JsKbssehyVUfql2Kiyo9UtZ/&#10;1dfytbW4p4N94OHQXgrJ2zR1vfgtvL//7GcWxmbpqHfj2GnMdtGWy5YpydmnNNkOmhi9Tz2Xuu6j&#10;BfBRvm9H9x+/xc1vjIzNpdeN3/tow23r7Fji4ZIeMd/nwerrIep46HxKF/W8bYTXUS8ysAdXtFPJ&#10;lkoTr6jSTwv1/k2MPi29nu08SQvwTQrv73Tvyf+x9t2ds+L7un2/t77bXs876ZO0w77VvQxG8O5D&#10;/Syq/lZ8jC7KPybvJPNZj5UdRYfGwRSeofKHkOf9lRh9CD2abdglC9R8DOnMKVj7xgfLD0PZI8R8&#10;WXNq0Vzr3n7Pxv6LcddIeaLkLfq+VuPA/bLCyhNV+rbpMvWrDGN7mUs2FV1Gxr6W8f5NjN7XXky9&#10;98EC8i+i6MzZENoz7vfib194YfH3tdeN0/tgt33R0fsVnYnrfTIYJZzyfq6FndfD4i+lKW+TdNV6&#10;eSZd9Ip2XbT8vvN7fyZG73tvpv67ZoEx/6L80je0fEut3/cCm9f9LhqZeS1uAfXZUEl4OHPT/Sth&#10;YZyop0XeGF+mTJSxaNzrVNlSmvLGKGXHvgcfsqvypvSBePeduk0To/e9N1P/XbSA/IkoOnpYOnP/&#10;lc6Z+G+P+93Ct9T5Plp22wVa6k/Oy3H/uo4wGCeMFF2H3Kkylq3Ty/G94jJXycbLyNm3Mt43idH7&#10;1nup775ZoOZnlM5+Mr6l9vuSMPvJXvnyy+7Fat9PthpW75v9tq0ve5zwi0O+saaTvleNfVmLO47V&#10;eJS+CK/KrIuuWjd2WfRSHyxTdtG6do3f+21oHGq8yUaUG7qQxX4Jrli2VA5+16XEk2lpgX22gHC4&#10;1gbP50wUvx8Is/bNb3TpHNF1vJuu6ZLprQXUB45L7HviOQq/Rj/huzhn1vuP0n7GtuScVur2wy7x&#10;4ptE7Ig92QsPD/ihPZVuN8pGW0d5hxT3tmOj0oU9Is5SjqtmK2QlRpesmWlpgWkW8G+p3cfx2xx8&#10;Sz0NozXnFu3Pu6dpcnq5+Jbdbe9h950K864CDOe32LRfTHmnlcpmotiFbw85L182Ut6YjeiP03a5&#10;TWoYjU30nZ/m0di29j06uM0ZOSWMHsJ01+W09UO2Ny1QsgBr39pP5vcHWOD7yTq8brE47i+LcfGX&#10;6sy0zgL4MLd7hu+zlD30u9Zuv6m47GWEKV0PHX7I2z+E0ZpHg9VcrEmwDgFOU87/PvKha5u8z37m&#10;bxpeytIfwvcSTlPedWkK5r+0QFqgsQD3Eveb7hHuJ/4ee+mls/3e4LD+hMGRtljdzanTvMMWkN+T&#10;3Uu0hDWltFLZ05TmNvGwbFBKUx6UfH5vtoQfw72437lugyGM9nm0bMRcmXUdnm1ECfPnc2yNc2F0&#10;yWKJ0SWrZFpaoLMAc2rWB/2eJfxb//m3jl7yRy+s7ifr43b/zLJOeoZKFsDvjWGH8CP2S8brc+6S&#10;TT3Nw25HYYgwqNRnh5bm7a9hNPao4axsJVqyT62s8yZGuzUynBaYt4DusXe87a0znJYvYz/ZU5/y&#10;5Nmc2ufPce7sefO1ZIpbgO+E3EdODatfpvIfMp9sITq1rSV+fs/jtF1urxpGYxPhrNa6ZSf5DcVL&#10;1OfgpXzSEqNrlsn0tEC3N1P3W9xPJn92zoMfcnTm1a+q7Cfr1riF02nbYQtEvyQ7u99UeChPPEm7&#10;ubXbS2HRmp2GMGq4J/c3120x1H5hNDRe8hsxXfFS2Vgm3gsqmzQtkBYoW4B7qLSfjDk1364Ih0Xb&#10;+XTu6y5bs57qPnJKeAxnpsg4TTzRXjHutqj30uHmePtLGC0sFc4OzaPFG62lsiV8F29itCyRNC0w&#10;b4HavQUn9472k7l/a3/v8hUNVpfwGezOq1ujiLaQzd2m8pelNOUl7ebK67CF29r7SP3jaYcYdhuW&#10;MFptnoKz4o3Uy9bsmhgdrZbxtMB0CzTnkx3Pnf1+Jlz/RqudT0+v4XRxup9iD6zbVZgh6nkZXi8+&#10;uz3ph9LlfVXK3/c0t0HEaG/7FJyt2cLL1ngSo2uWyfS0wDQLcL+yp0Zzar+3H3PJJffuJ9O+7vbd&#10;9DTJp5vruc9+Vg+jZdfE6M3hsWzslG8a/HJ88vRDC7sNIkZ7W4dw1m3lYZXX9wtaJy/xJEbLWknT&#10;AqtZgN8VinM/7vMH/eaDjv74RX90vPbd7R1brabTUVp7Xt1XZnh7+KxnITAoYkeM+4gcynO+XQ/7&#10;WBvCaJ0fXDprdayNeg5FRs1uidFjVsz8tMCwBfzeIqx7Vve4znp6wuMfN9tPNizxdOfKnu96+9vm&#10;5tHCDdk26WYxG3uD0X6pfzyNMOm1vMi7D3EfW0MYzbO5ePnNtakXZ82r3NDvhiZGT7Vo8qUF5i1Q&#10;80l8o3XpxY+e3YO6F/kdLebUefUtULJj9E2yYdLN4rLsq+ehIXxSL5b6T3n7SmUHaMkG3mbOQYfv&#10;N37tN4q80QZgud6Nvey47NAV74Mh3sxLC6QF6hbwe1ZcelfF/SufxzdaebUWKNlMtvnwtR+Y2Uz+&#10;UjZUPOnm8ZpzLWuX95+Ha/z7lO5jK2J0bCt7Ry++6FGzZ3J+gySeAcp7MNLIQzZjmfBdd/1k0CyJ&#10;0YPmycy0wEIWiPcuhW+56Vtzc+qFhB4os2yFj8IP8Y6A+Uhp/cH9ZYY3j8slG4NB9A/9RH8JW9SP&#10;hzZM3QYRo0tt/enddxfPTXA5HuaMBbB97EqMHrNQ5qcFxi0w5qe4F/ldAt2j4xIPjwMb8d4Nn8P6&#10;Ants+B2/VebGXtbDsvOqNMqM8WXlj8lRvij1eHiResfKjeUP1UX/0Y/0J78VEd+rjt0XuzzKvd1j&#10;GO3t5F6Hf+jPsdnLluyBHNelxJNpaYG0wHoswDnU+LXTcv3oX25vfl+XdT69f3N/I3wQ9bx1hCVX&#10;dB0yo4xlZY+V83wPx/qnxL28h4fKTuWLMuhnvtdinghmRwyK8V29F7xdYxhNG5Zp15QyidG7OkJS&#10;r0O1gD9DH2obaZf8z/nnntubB7jvWzU8FUfEJ7pqvUPlF61jiD/mxbjrUcvzdA+rrNJESa+FVWaM&#10;Un7fn0W9jUMYrXHuY37KfT21XGL0FGsmT1pgeQv4vbi8lP0q6W1m75f7O8KOATFvmfgi8iJvjKt+&#10;T/ew8kt0Kp/KTuEXj6jKQvVdn6cpXOInr5Ye80p8MS3GVTd0aK/ZPoxmb0sJo32Me3tq6VN4SmUT&#10;o91yGU4LrNcCuudE1yt996Wp3eeec87Gcdp9qocdRzxc4/F0wrFMjJd4oox1xlW/qMsupXn+ULhU&#10;tpRWkhH5+B24eGksxPRdjXs7Sxgd9V6mfVPKJEZHS2c8LbBeC0y5D9db425Jo/0f+dC1cxjtPnAb&#10;4Ygjy9S5DhnL1LtsGde3FPa0WMdQXo1XZdhDVhv3tfTdGrVHvfE6BaM3pX9i9KYsm3JPuwX2xRdt&#10;qp+8/byD53dGar49pi8SBxeuuvK1Rx9833uapni9JJBO/gN+/QFz9cd6Srb4wg3XVcstyh/rQ68P&#10;vPfdMzHSHdrqfUVzLkYsF+O//9Tfm8nwALLhFXZ6OdKoQ3WqHHGVK5WVrEglm34+hD0Xag+0hNFu&#10;Nw/LjlOpl/WwyidGyxJJ0wJpgU1aoHSei/tB+XxPGwuDcYtcYNKQzJKsKRgt3wod4lfdr7/iNaWq&#10;qmljetcweqhcLKM28N3zw84/f9BOakepz+jnQ7jURmgJo7fVxsTobVk660kLnG4LcMZDaS7tvrAU&#10;dhzwMFi46AUO3fytbxbn1MguXUOYuyg/7UOe8LBUvpZ20ze/cfTABzywiJ0RbyVjCKM/f31rv6gL&#10;zz2lfohp3hfK47urQ5hDYz+1CZoYrRGVNC2QFjgkC0T/73Np94Elf+9pHqac8GWKraIOlAHvSvWX&#10;5K0To2t6l3SULp4X9VYbwGjxiVK+htGvfPlljXjnJeG2W3/Ys4vk16j3C2G+iT6Uy9ucGH0ovZrt&#10;SAukBbBA9P2yCnMs931TwhEHhta34xzwqiuvUNVzOsEbZZf0XhajXTbtHNb7ip5dSrzSjTZFu2ke&#10;LR71QQ2jwWLnFf+r/uSyOdmxLsVj+0iP54zNjL+HAbUTmhi9hx2YKqcF0gJLWYDf+XH/R7jk7yMP&#10;cX5XSOdEx8ofe+mljVzJEv2fz39eZG3iP/nJ/5vTo8S4LEa7/ovorXIlvcFV2i8etfHpT3tqD3OF&#10;vxGj4a+9C//CDdfP5Er+IpSzvA/p8rYnRh9Sz2Zb0gJpgSELMNeS/wMzhDNKE1W6KOk1fCHd+aIM&#10;1oj9Eoa94Bi/VQ5aulbBaMnWvFj1qh70jroqDv3WvXrHcujtfJpHSy6UMo7R6KJnBckThV/POC53&#10;LKz2wac5tMtE7r5e3vbE6H3txdQ7LZAWmGIB+W1R/d6u/KD7eqVBY/qnP/WJWXWSRcKFF1zQwyyX&#10;Qfiat7y5wSywUn/Oo3pmwi2wCkarDtcb0dI97p+WHpQj3Ol9xb16d+vczusYLdlQ3i1ccN55M9sg&#10;z+tvIsf/HMul81SKHppDq27J3Wfq7U+M3ueeTN3TAmmBkgWiv/b47bfd2uCG44yH3T96uLTOrX1O&#10;U8q7rFK41I5VMFo6ud6yw6J6SxZ6KyzqGO1toC7q4VmAP9XtPOimb8clr2SbobRbbr7JRR5E2Nub&#10;GH0QXZqNSAukBSZYAJwAo887/v0v94NjYTCmdLFXells8XKES9cqGE2banpHua7LmC1iPu+jaxf2&#10;Zq2f+koX6wrIW6Z+yvC9Fb9vdmiX2zgx+tB6N9uTFkgLlCzA2ivfX/3qr9x/hs9TsAEe3peW5oGl&#10;ddopMt0HC6NKOkcs9XJT+NG7dJX0dtmlcK1dtXl0qV5P01y+VNciafQn/erfRpf6yuve9bC3PzF6&#10;13sr9UsLpAVqFpjqi9/5V9fMnWFSwpxSGv6yhEPUfe3731ucB9bkuO+N4VIbl8For7ukN/VMwWiX&#10;Q9jjrnutDrWn1EekUU5yarKVP0Ypzxk19LOuWG+Mi8/pFB7n31TY25sYvSkrp9y0QFpgGxYY8qv8&#10;RuF5hXVtxwQP4xs9Tpi/33nMY3rzaNXJ2dLOL9+qNFGlR/meXrLVMhjtMtG7dE3BaMkptUF50IjR&#10;sg31KiyqNL61klxRl7lKmP7md1T88vqlg+fX0iLPtuLe/sTobVk960kLpAW2ZQH82lOe9MTZPM19&#10;Xg0TaumUrb3XZc+0y54aLtVVss0yGO2y2VfN5RhFeExvyRClXR72dkaMVjtq35yRjz1dxirhml70&#10;/1e+9MVGHW+/9IPW0p3nJMJuj8Tok+iBrDMtkBbYhAX4TtaxGf+tP/d7hGu+PfIpzrkjXPLr0Nr5&#10;mCpTqqdWb8key2C0103Y93WrDuld06Wkd5SreA2jmavr22zVK/rWv3jTwvZXfVHnGBefKOMhfj+t&#10;PpQ+u0alOzQxetd6J/VJC6QFxizgPpYwe3tf+uIXNXMz99kedr8Xw87nYeerfWdc+60JykqWqOTF&#10;OOmlax0YPVXvkk7Sd4gOYTTlPvOpT86ea7yNfobKkPxSXtTV4wqLqjzjQ3vAffy4TrV059lGWDpD&#10;E6O3YfGsIy2QFli3BeRP415t+bfoo5XudIzH831OqLpp0ysue9kMi122wsxjmbeCScjgWyXlufyS&#10;fdaB0a6311HTWzqhN2eNUZ4/sFh50h9awmjso/10nC/GHm63mfTg9zVc1rrCrqeHtQec+qM+MS4d&#10;T4K6HRKjT6IHss60QFpgXRaI54a5f6uF3W87TyldacyXfd1YPl3ndLgchYWP4lWb41ozdUQeeNeB&#10;0ZwR4npLB+mt9klnqPQWr6j0dt4SRsPv++nYu1bSAT7OBnd5i4alv+hYeZ1LRt0lm5N+0pe3ITH6&#10;pHsj608LpAVWtcAyOO1+cGrYscv9O3jnc0JwUWdfltrmvKq7xLcMRpewijl86eI8F/+9qWX0rmG0&#10;7x1HJ875jpdsiAzZAVpqg+cvE0am43PUZZtxtbtWp7fv0DB6rO01m2R6WiAtsH8W8Pvd94q5j8M3&#10;L+vzVU4UufqtiSFruV6Rj/fDrpNkRz7ii2P0/O9HST5zYF1D+tV4anvBI0ZLtjBa9WO70nOL+Md+&#10;V8PleP8OhVUGeunFj67O5dXmbVK1mzo9TFxtQu8vfeHzJI1eUcZogQkMPB9IF+i6L9e5Fl6lTpfp&#10;cmrpzlMKL1uuJCvT0gKnxQK6bzhn6pJHX9TzKfLR+BcPu9+ZGlZ51rzBTupV3djaw7J9TAMndT51&#10;rFdlnC6O0df12imdqcv19joIu54eFt+Q3hGjJU8YHdupZ4VYD2vhwmnXm/IxHmWW4l6GceHnkKld&#10;J0FjuxUXRSdvj74fi7qKXzTmryO+aYxGR/SvtaGWPrVtU8uP8Y3lT9Un+dICp9kC3Ec/vfvuOZxe&#10;1ser3H1+4b49nyn/WVv3rt3PNcxSPaVyUzBa5aBD/KoHvVWG8eJhjR+lQaW3Y55sAC1hNHJq5fg2&#10;Wt+xqT7R2374g+q307X6XZdSeNfmz2qrbExcYVHaofaW5tHiK8lS2jroNjAaPWN7amnraNOQjJIe&#10;4h/KE0/StEBaoLuf/Z7xsM+n5edKvnssTWVrVOXBPPDIL+lDOvlx7iyZkgEtXWOYSznJEvU0yfc8&#10;pZX0Rgd0l976rqxUXnLGMFp8NRm19LFyyq9R5DJ/9r1q6peSrXcpzdsETrrepbCnrbMdm8LoRfRd&#10;hNfbvmw5yVB5UaUnTQukBcYtEO8bxUXB6Uc/6lHF+a/7v1pYuCFa4yO9xuPptbDkkl+6ahjt8iSj&#10;RsUrWtLZ82pyaukljKYfavPokpxS/UrzdQyllWTENL6zYl2FC300Nkp2Psm0kl7eFnBSl3i31Z5N&#10;YbTaA53aFrXdyy4SHisf82N8kbqSNy2QFpi3gN9ThPldYX5nwf3dIuEhPKjlxXTiMS3qoHxa5G0g&#10;XsPoKGORuOoTnVJ2iDditNogjK7JH5I5lFeT5+n0+7dvuRkTztm0Sdzxf7QFG/DnGF1SW/YWLfEs&#10;m7YpjF5UV/GLLtqesXLKj9TrUZ6nZTgtkBZY3AK6l6D4af8tSvfj6wxHTBmLl+qW3t7iRTE61luq&#10;hzTxidb4pqRHjJb+/n30FDnr4gGfeT7b9etnP/vZEe/fb7jun46u/6d/PHr/e97V/L3v3e88euEf&#10;Pv/o8le98ujK15w5etMbrp7liYcy/H33O99uZCBrE9cmMPqee+5pzrSh7XyzKPrNb3y9aRO/ya72&#10;OcVGH772A3O2kE1EsZ/CTv/+s5+ZyUWWZFPfV7/8paNb0ef4r6HHeqFn6Z7chJ1TZlrgNFlA95Xo&#10;LTd9a6X59LqwY0yO+kh6Ex/CaPE7HeIfq3/ZfGG0641OY/PoZeurleN5Y9v4HNvsfVHK+/Gddx6B&#10;FW950xsb/AWDr3zN2aMrzl5ucdIW//vzq17XYBPywTvqkg6irt9YmDI1jEZ2g63HmPbdb98ywztw&#10;j9+aAxuFlehFG5dpU7/MOmS4XcfkdfmyLe3iOYF2gu3C8009I6nfRMf6TPmL8qtc0rTAtiwQxyg4&#10;/Wv3//Wl171ruLBqus9jS7YZwtwy//z30avqOFYejJa9RdFtmxiNHVkvifNn16dkr22lgWdgljC5&#10;jz0tbpRxuozfLa/nefhMD/OpFzxBB13RLjEuPr778v4fwtp5/TuM8zwPux26dJWDKuzYOjXclpVc&#10;0VVkdjI6G3dpZ4/efs1fzp6TwHFsfucdd8icRVqzfWQe4hvKi3IynhbYRQuw5r3Ku2n3U+sIOzZL&#10;nuzm99viGH1dz6dK9iap5tHSX1QYXWrrqvpEmTWMli5uU6Wtg9bkKp35FfNaxyIP4985b/4db3vr&#10;0cc/8qGjv/nEx44+/cmPN39fu/GrR/wRb9KPz74h/NcfeF/DTxnJ6nBiHr/I83zmgazt1r5/c7vw&#10;3ZfbusU3PQ90VHpE2tY7DWevfv2Vs3a986+umYXf9fa3zcK0XfYZo25LeLGX/lw+afRBq/u8rm47&#10;4XupXaU0twdrJ8zDGQ83fuXLDX4vO//W+PK+UngoTzxJ0wInbQEfp+zxfsh/eXCDXe5vVsWJdZfH&#10;Zujtuk/BaPFDh/jXra9sWcNo3kevu86SPOkB5TmMb61kE9nUKeFVL+SrDtEokzlUaU37z153RYOz&#10;X/z8DUc//MH3m9/N5Pe4+P3Mf/3RvzS/zUVcf6QrDBWP0n/w/e81WP53f/vpBueF3cIWYYfijhvw&#10;Rrz29vg8GvuWZJDmmNfD0ePniuv/8XONfnrm+NqNNx6hs9qk9igOdVuonZ4/FlZ5lVW8Vg4doh6t&#10;vjce635j0wY9J7Eugd34fdWSPTqs78/j3e4e1jo62E1f+HpHHFNT4/Sh9+PUcsmXFtiGBTQ2ofjr&#10;ePZYyc/vSprwZhF9VEZ0kbKb5JU+ouusa0imzhTTOGDMeXidY9Dleph1Ts255I/BZuZzjk81zFC6&#10;MEZxpxFTPI8wZ9bi98HMbp6oefb8HJj5NXvQ/Irvo4WzyI71jcXVFtGov9KjHPHV8iP/onGXr/CY&#10;DPFB0Qu78MxF/37sw3/dYPi8zWV70Thn72M6zwGf+vhHZ3NuH1+1MH3ned6XGU4L7JoFmD9zxtQ6&#10;sWGTshx3PFyqcyy/VGabaVG/GF+XLsgtyQan/dvobY1N1o/beWzf3zLnYm9Vzffj5+X3nUe4JOp5&#10;HiZ/jEeYjX7t/E8YAVX4TDP35xnj3/7tZ7M9Y7Kx1+nhUt2xPYqLxjKkK008XsfUMGW9vGROLe/8&#10;0snlSQ58SlfYy4oPu4Phjt+s6/Ps1s3D9cxUw2/S2/fdPHchc8q7Co37xG1ZIumuWEDzZ/kW0XVh&#10;Q8q5T+/dwZB9h/KWtWNJZkzTfFpjclN+SnLBYO1h7nzvmcY3l3w3Ply+Xf5cdIh/jId8YYd4Y/z7&#10;3/vno+s+9w/N+9E+VggjzjRtYU/B/X7xP8yecyWnpp/qg0Yej3tY+pIm+S6nJCvml+KxDvHU6vB8&#10;lY1UPJFKpvjJ9zD54lFZvaMAcz/6oWub9wVXXXnFHHZrHaZP22cq3qV88mMfbfbxg9kaixrzSdMC&#10;u2qBfVnfdlzx8Dqxa1lZ+1xOtmQdhfWUdV/yhaL4WZ+L4k9Z69SacPTP8tNOh3jIw+dDI59jgYcj&#10;n9flYZ4t0L+/Nqt59dnmO+0nPP5xDVZ7OcKqT7rF/BgXv8q6jh6O5VaNryK7VNbbMaabyscytTjv&#10;G9irx/tv1jx4R1LCZ8Zbfz2kXQMBs5ER96NprK77Xkh5aYGSBTTeIoV3W78lvc8Ydpp0f+mLX1Qa&#10;QgulMc401rwg68Hs1W19qHDtTPOdFXPVEhaN+fRt5UeMoF7WZNu1+m4+rWcPfvOc99PCnG3pmfXc&#10;3rwnAbfZ+z/fP95XbVjYzdhk359/K+/jtzSmPX8o7GU9PFQm806XBTQuRGl94nO7Bn2aMHisrcyp&#10;I077mNFd42keVn6kzFP4HtbnOLxnZB8zuCIsE901rJFewmriCjP/f++73tFbG9D6PensR/f2qJyn&#10;Zbjbm7+ILdQvXgb7ev+Qp3fcEbOFzz4uCbMuznoJeM3lY9zDcZyX4uIXjfJiGeeLeRk/TAuU+hw/&#10;7P5a652eti/hKbpP4dmX9m5Cz2ifiNO6M0pjSXk1yn6H9t1zN4cprW3vE3YJBxwb/vdXv1Kct3lb&#10;nT/Dy+FyzW6O12NjSfNs9id2+Nyt7XRp7V4D9oyzJu7j38OM/Riv3Q9D6S7Dw0NlMu+wLEC/v+wl&#10;Lz61+ByxaBN4t28yZRNR6c86i1/yGaKeVwszf2buonklvg+/qG+q3Je6j6354V1IFz5Ld1HN3Tjf&#10;WvuZWl9/tnlPqjUDtWFf2it9d53SD+qbqKtsDVU/wQM/2EvftGsh3XOk47TeYZDG+a2sif/fH7dz&#10;7NrYX+Q+iTKGyg7lRTkZ3x8LqF85PwEfHP2xp5Xy5Ld3kUpfUemo80LUdnqLMP5TPKedymai0R5v&#10;vPqq4vzAbep3QUzv3j+3vo/vj+Uvox+t+dfId1Jx9KPuIf2lG3vL2nXV/twMLBBG1ORIRtLp82z1&#10;jduslDZme/KZY3/og++3/Wf9/Wb+vKkzVfj+7v989zu9M1W4F+L9EOND947nxfCQnMib8f2ywHP+&#10;4JlFfHIf7eHos3c1Lp1F0VMYTQ/5mL7qytcWbbCrbdu0Xm4zr4v05zzrD5oB7vbzcJMZ7Ku0eDYJ&#10;eO0+1MPCq13Daffz0lF+XvpzthbvO/XHmjdh1go4o8PnY/h34bTKJ52OxVNspTEU+0v9Br39tlt7&#10;Y1G86m9R9hqw98z38dOHjtMKQ1/32vaZjPfZjHfeabOuwnloeret+yNpWqBmAdZpnvKkJx48TjlG&#10;uy0So8f3yv3ek5/UzCfcboRL+Bx5iPP9afcO+mxvfVt+Vn5QcdFauvJPijI3Bl9ZC7jmLW+eYS/+&#10;mzmz/nTWp7DZfThrpnwfpO/MTqoth16v8HhKO2vjzdORx5o4Z8hyvun8uSrdGnnb3/31E40FqOM3&#10;z7H8Hlg8Y2XqfVa69zJtvyww1NeMt/PPPbe47s18qja/8rnWLocTo8exOPbfeQ99aOOHfJRrDIl6&#10;Xi3MHhvHpjFMwh9qLjPFr26TB2xm7RP/in9mbqR5ckkPbwttYl/3Jz72kRmmI4d38qWymbbeOfUU&#10;ezqeOy6PlWVMMxZ4Zmv3ngmXI+3wu8NqrZ/383jOY4yB3TqPXN9uL3L/1e7LTN9PC7AHYpd+5yri&#10;xrLxxOjpGE3/Mw7WcfEddDeHPtP4MPzdrmKw++KoI/Nm/a4H8yjHXy83JRzXvX3NW/WKLoIVU+pO&#10;nu1gP89zvOsAu/0scj2vgtEe7jC7j9WldNbO9XvcjMUpvyeyDVzfRh3r8Ev7LoPzpViz43eFwcR9&#10;n0PThsToDqNr/Ul/0+9+vtiq99w3v/614zmj5hJnmjXCXcaIiIeKM0/CV4Kl0h8MXRSnnV/vNfHT&#10;hCXXeZSWdDu4ui47x7GhcaS+/eY3vt7g96ePf9/M8buEx6RNw/KzR3/xv94we/etuXdcO6/hk9/r&#10;Hq7xryt9m3WtS+eTliOb8dsKh3K2SWJ0h9H+3CW8pp/xH35pHHjaomHOZZR/4b3tunzgtuRoLsua&#10;I7/tsGq98t3IAe/dJ/McoPpWrSfLnxymex8Km2Oax2NfMQ44l47xxto5a97duaZaF9dzr6hwvIt3&#10;Y6tNY+7N/cja+W23/vDozjvuaG5nv889TGaM6/6vpcf8Ib6hPMlJOmwB2ZBxxp7ekm8nbR/+EqPn&#10;10PA5yc/8QnNvtbhkbB8Lnti5CuYL8gfyXcpvuuUNrA3G73dv6odnrZIWzSXRr6eAZAlucjy8CKy&#10;k/fkcFrjJPbd1HGi8t6HlL3xK19u9oYzVnhu7J+7EnE64nU/rmdnngG0bs43Y6vsORdmRI+xaHos&#10;n/G+BWr2ZA/4ecf7iPYBk6OOidH9Z6lzzzmneVb3nvd+V1jU+aaG2d8ifIYyN3Cfhc+JeOQ+6STC&#10;rp/Xj/4eX1eYeZJshM9dl9yUc3L4PNX2wuvSmFPekCzn4d03exd97byde/dxWWOtpW1ei9XiEz3T&#10;zN/Bbn0vxhmB8Sr5B6VF6mWV52kZXs4Cbku+IxT2aY1U8V2nidHz82h8Q+nyPi/lT01jH4v7hO/c&#10;cnODyY7L6OC+ZsgnbTNPflO60Q7V7/orX3mLUuZDshHzmVXlLVp/8m8Gy2v96OkaY6V7QHn0D2WI&#10;1/jGZILdvFfR74H52o3GHlTz6uG0s837br7VYM7Gmvk999wz5xJqPqSWPicgE6oWqNmQ9Ndc/uoG&#10;o4XPoruOz+iXGN3Oo9Vn0Hi+Z3VQLJkRMVq+RL7G/ZCHdwE3pKt0YU2RM6fQU/rLd0ZelRmiKtNi&#10;dPuOkW+p3Q7iGZKTeZvB2HXY1ftyqjzvc8I1GRqDLjfye9kYhvem4/fejGmtm/t3/h1O6/03e80V&#10;7ubamoPrO2/edbPPvLRPTdgiuqRbyWIVC7DXl32/7uP3AZulY2L0/Dya/mRfoO4Z0coQWDiZ+1X3&#10;Ove/+wn3LbsUdt/n/lJ+rKTrMu1SGebOshHr3qpTeohPtFR/pu0uTpf6Rn1cyvO0OAaUNzQWkK38&#10;SClfSpNcUfasCbs5t/xNb7h6NkY1Vjva4XWX1n07pvPV+L6j9jufCzuWLDCzgPts1keEd/tA9SyB&#10;roQTo/vvo9WH9CuX9/VsACwRcDktRrfP3mCRfECNDvmumCdfgyzleVqpjrF8LxN52S/G+z3/jtn5&#10;S2HJkH4lnm6/7vyesaFyJVmZtl9YvW/91ayZH59lyvMq97PGrubSEaPn01s8pyxr5Xwbxrlqfrn/&#10;8PQMdxaQjUTJYQ69r+eaCKuf/rSndo20UOksUJURFZ4N0SHeobwhmZvKkz5Q5tL+PbSZZuUgGK37&#10;lGcB90nCL0+bEqZcxK5lZUU5MY4+LhsfxXrfdZ/7h15b4FNZ0Vi21DbmKp1fOzt3JqjqdpklOZmW&#10;2HxSY4BnV+4LnbHG+5r2nm/XxhnfXbxL83FPeDbfPv5unN8Qc/yRI1KaKOkeFt9poWo7lN87kl/f&#10;FG6sW27Ud9l5NOVYp3V7MAY+8N53H73g+c8rri1ceMEFzbOmxgplX/nyy4q86273VHmyDxT8VPuk&#10;M7SU5vljYd5H87sCuke5n+VL7vjXH83CUzEo8gnDJHMKjTJUxtMJ12TjjzifmXVp9sBR3suqnKep&#10;DvHCQ76vc8dnGHgly8tnOPF4l8aAxrJ00phlvZz94DqfRXNuYbOe3RV3Sh5nE/Kdw+evv655v60z&#10;UN3nrOqfXNa+hmWDcx78kJ3Cl2VwaCpGO3Yxx+aSHdSPikM1D1c5dPvCDdeJtaHwffB979lZG7JG&#10;wntpXWqf4stS9o34vehndOle5t72+9zTazjn/PINUyjlvKzC1EPYZShe0oHvXPTNFPSLn7+hV1Zt&#10;cnkKq07m4n7+Gt/MiGeovPNkOPH6JMeA7g2NaXTxNNcNHp5p+f6S/eXMtyNuO04r3PmPs0dvv+Yv&#10;mzVyzmjDt6zLTy3r33alHN/HTcXEk+ZznIy6TMVoyiGHObJfL3jec2d2YN3c14eJe31eTmHm4s6z&#10;C2HZC0o/c2nci0r/GFf6GPW5ImHdx/G+9rjf2+KPaYrLJyguqnTkKg2qdE+L6ZTxcirjaZTB5zBP&#10;YA6Mv9FZZKxh8xuVvm7g9eFjmIvL/xD+/vf+uVen82c4sXgXxoCPf4V1b6AfYaVHfcVHvsLwsAec&#10;+0Xzbd0TLe32ngmzea597ZnLm+db9pLjt3ivvcq5K2M+bNfz+S2sXcCTKTowVwULH3vppT2dwaBF&#10;MVpzYbCJ726QoT90oS5dzIGk38POP79JFqZRL3mki2cXKG1xPehnXdJd8WUpcrh/uvvrTPPeSvev&#10;389+33rYeSgX47U01REpsmsyPF06lNIkQzzUwdyadQLGAs8i/mxC+6PP8TjzcGS5PNUR9c944vWu&#10;jgHuFR/DUU/l+dj+/+yd669uV3Xe/5SmoZVAfKiAJP9BgFZRpQgDiSo1CiSVWqkhpWqlqqnSRIKE&#10;szEGywHbtYsCJbgGY3yJzS2F2Nj4CogYYy7GNgIf8wED+WD7y9Hu+a15nr2ed+y51rve+3rXGq+0&#10;95j3y5hzjmeOeVs+vgiPH+vk7G/zfTnmvy4/hOGtW3uuHMye249vH7kcH7vZcZN9DMfqIRgt3BKt&#10;1Zd0tAau/oBcVhxhtPzGhs21Oqns+taVMFpUdRlKPR77SLzzrzGFvskYZDxqfGrs+pheNt7dvxbf&#10;01pmVjk8XM3N/bvMKpfHx4y+gJ4tPhR60qz7bVr+rrKke+L5tvtAV19Vv/f8usISxsdHjONpkQbf&#10;c5WurbdPhdU+12VMzeHn8vXNR/bup2O02uq2W29p5hlDMLqGX7iByV+49x4l2VDn07XXfOBsLnNM&#10;GC1sVr1p701/zhelBT5FbPK9aR+jMjM2hW2c02KMcueDP/aA2c9CV4Xyx3x7cbzqrNpJ4yfdVpRz&#10;pEoPSh78oQ9LfrisULmcKpy7yazyU27yWqx/Od/q75cTL8q0aFfaSRN7j7kPxHEV+7nbZY5jjb0k&#10;xm1cr5LMmQNlbx/ZHeW45PkYKRhdwwje0+Fcde2nM1+1+oDrtfdyPB3S/vU3/ProMXpoO6JL13jo&#10;dXazwoq6n8z4sXYVcQqsBRORN805UFsr1hoX8x/hqjCVtPgub8HVxxuzdHPJLo1t7LRRDK91adLU&#10;Xhj56BwLFLv2mAlPfkrfqfAdSnp333H7FdnRrsN53Ukb7PY00py4m32gvw/4mHZegd+MPcbxHH6S&#10;tX/4znec4U7Er2Xyfpl/TG9b9poevazNIkar7FEfVjrij3CfsisOZu5dKQxxjmmtm/LzHayhP9Uz&#10;0hhf/vfcdafhdKvnov9yvw9M5Mwn+CU8ZFz6vFvzabn7WMXs41jxFCeG7bNzHoy5eoPll3EXrNY6&#10;G/MHygoeM5fVupvjcDEXjG79T5o1ANbuPO9YPq8D4aK/x01zv1xP/kybP4wN7nFqjETZMzW7ZCln&#10;lsHoN7z+145Ol457xcvayDHasRb9TfwQ5TxaV3jFdWwn3r9685tPX/Wr/7xzvrOt+UlMR+WRO/bo&#10;Jj8ofqwH0O5+Zl11dz7W3NzfzYRlT5r3TLjzeB7HLjS6q+vUy+Sq8DliWS2exq78anEII3c3EyfG&#10;xw2dXWvvf/2/b7pcJ9eX27mH1xU815pBV7oqYyyD3JNOG2+yfVdvX8kC8c5lz5TNksFQ5DXyCN3h&#10;3e/6o9O3v/Wqc3hTk/01N8eEXZp/49d+ozlfO6SNHHNVJsruWM8Zb/f7N7/7uwtJY5c/mOy/Q+vR&#10;Xe3wtqvecvqf/9MfN+2KLlj77pzqof4gO7TmVvPnXHcXNqOXoqdGvVLjbVUqnCVeDVv70iO8sNHj&#10;RhngaeCHvt9isbC61Z+1R876NmtxfWvyyj/m6eXx/NO8ukxPnk2DZ3GMqF1dBk3R3CV3ozt25Dpn&#10;dU7+8r2N7iWMGhP1O86xDmq/GkZTBz9jxro2uI871O9lOX73rbV35bNLfgmf0Y3/9E/+e9NetJv/&#10;uviiMNE/2hUuUt4Y8/PcvvbLnQr2hzWuoBGHfAxijmHlJurx5eZxamaF87i1sshf4WNa3INmHqtv&#10;/wmXhd2L9pPTm2+8vpmb1PKKaZN3V74xbNqngT/Zjv3t2Dceoxyaot1lMGa3e33dXeYnn/iHBgd2&#10;iTurps39q75zX13YCb6xtq2f6ig7lDUG15PHhNGse9AeQ3/UL9ZxmV1pezi+JdueD5NeWd4iYA83&#10;6pFRHgmP+Fa5zAoT7XLvo6vE8bAySx6Qx1C8JC6Yzfp9Ofu2yAdhN368l0jays/rUnNz/zT3y/Lk&#10;zzT5w7jwcentLJk0Veqytsvsdfcwckc2SX9bFU93FR6crpWVMndhNGWhHpwHl96sOkI/9IH3n+nW&#10;qm/XuXLC9+Wz7XpTHtpBP6+7m2v+cuuiMb7beesHHBYGiYJFfgaMMbUMf/r8a36M2a5x62N4W2bH&#10;a8/X5YfKSd3Ba9a7pVMXWrAb/tBesWzKw9OPYdI+TRzKdj3frj62uvjTJbfSvXAAeX3H7bc1a8LC&#10;rW3jzyrpeRnA1NrPsdPDKx/c3N3NCuPUz3XDD+zuvy8z+xD8HEMbhw3+9aXF92HjvjM4xPsuq2JM&#10;xKau+F3uwsaucbyue8xP9qH5se/O/nuXbs38RufKSHuITFq3LhnvPAYkT8bPk66xJvcNxNtsoiJ/&#10;9oVDq+YjfVhYA/X3R1ZNrxbez3XT6L4WXgu/KzfuMumn+sq+bcr709KZRTkPtmxd+xhlomRBLHuX&#10;u8JFf/TmgtWLbxKja+ttUMWFaj7gbmMxx7qNpVxZjvFj7rbbaNuybYrpvfuP3zUaPTrin58hE+/R&#10;r2O4Te2sj+uc9KEwmnbgt0t8Jm3Obfu6LRjNui5jb2qym/oMxUrpwZEHsrP+zR/fumctR3Mb8ZLz&#10;Zwq7bTk2ND3VQXX2+sssOjTNDDc/3NxnmzdCL//1coA3MBzjlq0Ne9ipmKkzd43Zn+Yu1iF4oLdI&#10;wNFd4DRp1vRnvrnImJRc3+f43Fdeq+IS6wncj2Ytm29cgcecR8TOH9/cE0a3tLx3Qp3Ib19183aL&#10;9ZSflwe3GG5fZc18Eu9jH+gFp/RssEDvYh4Cl4Zg/L7KdYh3S1R/zRF2gc3q5uw/O55gFj4zbiTH&#10;JcPjWDpmew2rvD7y58w2a/6sX7O2wPq29ps9vHjFXnXL07IGzhl5D3toc+Jx4uKh+2Bf/pJPSbs5&#10;AE4IB0WFHWOjKp/o2Mq3aXm6W2l9H3Cfdfx4Pgx8Yex0yXDhUN/4Oia/rnpSB/Rm9GP2m8FpYfaQ&#10;+hEXTHes1pn4IfE3DRPL6vWUH2sCzD24Fz61dt2Ufxn/sHOY9SXbPGI++e0nzvB5U3zZZXzHZDfv&#10;Ik+lL7qLPLrSjO+VbKsXgj+OIbrji3xCjktuu3mqsssxjDoyVwFjOc+uOgvbZPc44hV+MoPTZV+6&#10;6NI3fPi60229xaYy1Ki3l8qsMhGecvGNXrX9nZfvcHicWprpdljMmhv/tyXjppoOmNCFF3N0PwQu&#10;i8/kvQuMjnvQfONJ8tzlgWR3zc/DHbuZ+ulNf+Ezeq/X23GO+oo3Mtd40L4DU3Aa3bUWbttuKhtl&#10;9jrE8uhsW23tfttlyvQS54f2gali67bqxX0fYcQcqTBZ9NA8YK11m3vSfBvD17hJn7ET5fnQ8XRs&#10;4SLWqvxgGbiM/oyuKXeocK4rrodRPIXljrv0adKW/66o8NnTR3+P6ybo0ej2+1yD9zKlOTG7qw9s&#10;C8ummg4yewgujQXDhpT1EGHgTxePutxVTvenPbbxE86DP1rnhPLtRmFQ15iZujv1B8fAUO3Jq86b&#10;zl1409z5zbqI0t6EUi7NA0jHzUqXepEf7weUMrTvmfJtEPaiCUu4ufcB8Szp4ecO25B3U07Dvznt&#10;WCH8cBr9o93DpvlV1blPF8/kTnvwE8Zu0vdIw/UpzMhm4VBNzk9RZqnOXjfWofm+tLthroWNYfrs&#10;8JR5lnCafQWl6/HW4b3KFuPiTtrgsPKVLk9ZXHdW2FqZvHxpPjx2zaUNNpFxc4jrGA2uCiv6MJYw&#10;3OXVt6r7ws7BD344317/ujc03xVzNzc7T6K7MHrTvgc+810SZLbkNTqjy3c3z0EeCJ/QJ9Ghn3ry&#10;2+cwGp4o3Cr88XjgsvjOvMh5u0qaHg+z5yE/3KgPZ7aVp3CaOYjrzpvkrfySJnZvuw9sKuumHt/x&#10;ws2/87a3NjjDPJw/1tAeffihBXbofTLiHfJusZd7DGbHWbAS3ukdSfb/8edb0LWygtmb/C5dutRE&#10;J9/Fs2InZ9iz7TF2LOkJo5irROykDmCzwqxTJ+KSBjp6wcmTs3zkt2q6MZ7sUNJiL4P5hvKD+hq+&#10;wilfzT9kT5qYe+g+sIm8m0Pc97/vLxoM/tIXPtdgsN7DRMYv+4HdUQ+s4c7c3ODL0B/fymTuA/+J&#10;R3us8lM7iXrcB+6/70x2g0mcZT70eDxU/o5VfAubM8+48Sds9jBDy1nDvBajLzQYXQuzSvq1cpEm&#10;cw3pzFDWS+hD4LbyFB2aX4ZLzN53H3CZleZ+DkQ5H+2KLfe/++LnG13QcXqO+nSsM3zRT7zC7mb5&#10;u3uXv4ddZvY0wKJr3l/ODWGWvK7J/H2Py33lR50dh8mXs9ecncPs/iqT+CT7EOo85d1uYSdzI+Wv&#10;dGRfJx+lUeYB7Zkw8tPatupEWOWlePLz8sovaeLzIfrAMpmW/qtxQBgApT2lIztOy20OtFZv5GDX&#10;T/yL/jX3mluM12e/9ZOfuLIXfdKsvx5i/I0hT+ESZQGbOPe8zTvCEQeZD+kMABjt+W+DH56+5mDM&#10;C5S246/njbuX1cMpbtLE6X33gT4Zln6FA5tggZ8bq+HVHHHa+9UqvCWswot6WquawWitgfa9obXv&#10;MXno/OCJzlKpLJvilcdnvVl6NPqu8oA6RoKf7rfMTJnB/IL/rQ7t98e8HLX0HLNr/umWGL3vPrCq&#10;XMvwq3HAz4VvA6O3kcam84JNyuDnxVbj5PZDf/a2T51hhb49ue/xN8b8wDndRxKmicbydrnHcMJb&#10;0hU+g6XY5RfjdKUtd4+ns9vSz9GfORvWtfesNGKeaU8MHlsf2L7kyxSdA+gMNUwcgnNdYbrca/n0&#10;ua2TTi3OKm4nf/neM13Y+bRPs3Rwzowh0/ljD1Zjc67yW/VGt413o/v0S+IJL5WGeCkqd9dzwVDi&#10;6d1Rha1RpS8/t9fw2c+GefkUP2li8bH0gX3KxjnmdcdnPn3ubLcwTdRxtOaGP+5dfh6/y6y4ol3h&#10;+tzj2S/CKj3Rvvj43XH5mwX8hJP77hOeb7l7xZroSYPTjNm5yfNafZ+5/MYYGKdvSApf4Y9jo2Rc&#10;zU1+HofvfGp/mHmR1rmJ73l4XDcrH4XF/vQPvn96843Xn7UhOjp2cNvDKZ2heSl80sTyQ/eBfcvI&#10;ueXHd7OW4Vb0B+9e9y9e38hJ3vsQ/onG8EPt68b3eJQH+Q1Vvu6Pm+yi7vbkE/9wkC7g2KwCvHDx&#10;4pW9y/KNhyeu3MlBtgsPDj0+d51/Vz1ZI6ad0af1lokwT2WKdrlHSh7wtr2nXO4og6MedlX8ZC6h&#10;t0nK+vnJ2fcllW6tfkPLrTSSJk4fsg9IXiXdHQcco7pwTe7/8k1vatZduRfMDz3c4wv3RBVvGV01&#10;fFd6rAnzo3yU7c1vfGMnVsc0KMPYfv49Dd6KPORYPETecT4iOxQMZZ8e3RfKOzN9ZRT2OS4Kn8sb&#10;2TrHdXL60IMPnEurFl/5KU2V7zw+t/qz4jhVfFH3S3Ni8Jj7wNhk5hTLM+TcGFjHGSb9XO9zHAT3&#10;toW3EUP77OT5pt/8TRVvgbJ+Hcvoaam8vM126J/zlbLce/edlzGo6NHoeVG3G/PY3VbZhI1KTzgo&#10;O3o073eiV7NGzZ4y69Scl+bM13ef+s4C3io+eMh6OXHEY/C+by5EnFie6Ibd9WfS/+hNNzZtF+Oq&#10;Drh3+SlM0sTqMfaBQ8vMqecPJvzp//iTM13TsQvz2996VaOP9vEBOUdYYV1MY5mddXN0Xl+fXhbH&#10;/ZVv116ycA9/n4/ENOADP4Xvq/O2/JSXqKeLG+vdLX5cONsjZazOUaZTZzAwyiq5gde83QpGg9X8&#10;+Rq287JmHnp+PuKyl6e8PVPmVeQBPrMv7WFk7mrDvvQVN2li9hj6gMusNO+GA6wPO15hBsuQdUN/&#10;/+4P3nkuDWFnTNvt4DJ74vyg6+J0vDNVwzzVhXrVsFrr5Ao3Fqp70jrPxF7sGMbmocqwCa6hV4Pb&#10;NXwG1+McoCsvuYtqjuDfrqrhs7BX4bt4SLpKuytMuidGj6EPjEVOTrkcYJZwc1VsFl94s1pp1GgN&#10;rx2flY5wWuFFa2m6m88n+vBZ+UAp87vf9Udn5Y7fHPGwhzRHXVrngrvGp8t/5LxwgfDyE1UaChPd&#10;5V+jNQxROjG8h415yE9UcWM43LvSxy/GVzrMacBO1sLPY/NJ4w52K/y6NL6/jf6e958TR9ftT8cS&#10;75CycU55/8/L67zIP/2G4pzCQ/07Wo6fNXMNn0mDfL9zeb2yS5+uYTbzinXKS378qDf11/dIcNsk&#10;PeJv60c5+GM/ocWXckZKYzhiWbSDXbjJXVTxnUacU1hRhY3h3D2Gld8Qd09XZlHSkZm0ZFb6UM5q&#10;gbfoxLd84uO969xgKOGIQ9yu8il98vMwbgaL2/Yp58KFzzGe0kua+D2FPrAtWZfpDOcAmMBPtC+m&#10;h/nRc8+e6aQ1LBVWs8et9e2utJF/hKulE90Iy8/L0pXukDBdcQ/tXtZoy11p8EB7p45Vjhu18R/9&#10;ZQfX0AN5N5p3R7WXy/o/95twA8/4I+zXH3v0DCNJQzgkcy1vd1O+ojU/uZF2g7uXy9CUj3JcKQ88&#10;UFmFkYtnwNp9Yflf96FrmnrU9ohVHuepyqG6KYzcOcdX9rx1LvxCw0v5e3ilIb+kidPH3gcOLRfn&#10;kv8m2OVxOXcVMdTt4K7ubYm3ih8pei3hhe01qnNeSquPxvQVVu7YZRZVmDHQF1/82anfxQKLwE/0&#10;QJf9bmb8R7wBU7inxPqvzh9D2fcWDuPPt6WE3XInDrhd3uUo31PEDk5yVqoJdxk/+XZYif/46eOP&#10;PtKYwXW/4+2yyXGMPOMf5/0K9hYcFA7LTVQ4LH/28DGDoeA5eyLKN/JFvFJZoDIrTrTjrrmT8mYe&#10;oXCiiq883J7mxOlj7gNjkI1ZhuEc+Mdf/vLUv9PhuOr4vAwD5Q+ev+2qt5zDaXCf8+DIQP8pnru5&#10;eZm/hx2j+eLzz1/B6VZnY59V2Kex7tiAmftHrJeDJ2AWmAyeRn2Y+B43pgeu4S98A+9Jo9Fzr+jZ&#10;pOv6rfRcaNkTbssesRWco2weBzNuLe6iGysN0UV9+T1//mfNWjd4yZpzrIfsoqpTrLvqqXCiCkdd&#10;hc1Q5jkK41ThRd0vzYnRx9wHxignp1ymVTFM4Z0ihx2bMYPPvt8rHiqe7DUKTkufdp2cfPSL6Syz&#10;Kx40hnW/sZgpo8r50xcuLujT0hXRY3V/GmwBm3RWijc68Oe9S8I4VmCO2IvM8DCryBClV4sT/Txf&#10;5SfqZQDzHQsX8bpgNv3hX//Wb52+5tWvbfof8SPGKj+VjbxUJs/X/WWONO5B3/Dh65o7VrV0yDeW&#10;JaaX9sTqY+wDY5GRcyuH8GBIvWNYdGl0XOE0Z7pq+NyXdkwTnPYzaZwp05q5h+0y9+UlP48rtzFS&#10;yvnKKy9fWWNd1B+vvebq0xs/8len7LmCWWB0fH8rYkXErSgnhGG41/Anhl+WXl86MS/P7+nLd4zZ&#10;M2d9v8XrokcLs9/33vecvuW3f/sMo2PZsNfK5/l6+Tx/xYUyzwGT23JcOOV9dYVRvMhr/PmL+ck9&#10;aeL0sfWBMcrIKZfJccrNXXX2MDJD9UboKvvFXXm4O+mB/X13mVUOjzfUvEncoXlsM1x7d3oRq+FP&#10;HOvCC+GH/IUX8pd7pDFe9Mcew8iutEVjXIWL7jU7YcFI8Fr74o6VmP/bf/0vp9/9zpNnPIj59tlr&#10;ZYluzH08T33fm3QJG9OP9cB/WZgYJ+2J32PsA9uUZ5nW7jgQsQ27r0VvK2elG/PbVvrHlE57H6vd&#10;k+VsVNSbxziuu8ok7IJGrIs4qTQ4m8aetWMmZngBjitcV3z5D6Xsvbf74ReavIfGzXCJs1PrA8ck&#10;M7OsixzYFY7uKt3F0o/DFusq+z13te94g0es9bIGHPeaj0kedOmVNfca3nJmm3mh4ye8YS4DH5RO&#10;xP6hPCIef5xf03yAeYDr656W8nO3NCdGT60PjENSZimWcUDYQTg3L4u3zH+baS3La8z+zofynY1W&#10;dwafv3rf35/pi8iAY8GHGtbGsmOvhXNZpzDPXL6Hxvmysj/d8ohvbnj4dc3t2kXZW+Bc97ppZbzE&#10;6yn0gTHLzSzbeQ44lpz33dxF6YtunuJxpKD6RoxAj+PeFWM94ljEurHKA+Grl8/LTr24O8Y8hH3g&#10;9g7X4h48ui16tO5tSdcVZd1bPPL0Pd8uM+E5swa/lR7fyugKn+6Jv3PpA8chQbOUwpBdcmIfeeyy&#10;/OumrXqDU+CDzjCDFzpLDPaAI6tiz1jkiMotqnKBy9prhnI2i287swetME65D8V+MXMZnf92ndrv&#10;Snu8PjNlgr/o4sJnKPl4PMKp/JoLuH+aE7en2AfWlWsZb/8cEJZEuo2SeJoybyPdY0iD+r788st2&#10;J/rklPvO0p+FC4x/YfWxywLwD52YP3CaffZldVLdRQnP+TndH4eyl+z8Wpam/NlzdnwG//EjLcdj&#10;z1txkyY2T7kPHIMMnXsZd42ZSl90TvxWnf2MWLP/bOeVu8a/Y0dXmDG6s57NGgFr08JA4arqJEr5&#10;u3BRcXhr7INXt/eo/az30PrHN1R0Toy8n//Jj5fOH4bmk+ESz4+tD8xJHmdduzkgrOoOMV2fZ5/5&#10;YaMLSo+TDuc4dWzjuqu8YCF3nlnX7woT3YXj0V12/Mt577J/jVl+yyhxow5NGWM8zQdEo3/aE3un&#10;2gemK3mzZsmBYRz47G2fOltnRb/k7PKUxju4xnyDPWTwc8i69qr15w1U5jjay/d96S5clXurQxdd&#10;XDr0qmXI8InTU+wDw6RYhkoOTJMDvKHq2MJdnynpz8JBcI/5RzyHtU2ZRvpai6jdmdJcgTy9XCVO&#10;+X5WTYfeZhkzrcTxY+sD05S8WavkwHkO+Hq+zHzjURgBlY4JTgtHjm1Me3lVB85rC/+2OQdx3PVz&#10;3tovUFk8nNyg+q6VzoYzl1CZPVyaE1vn2gfOS7J0SQ5MiwPCY9XK7Tfd8JGz9Vlh2NRkAZjHGjf3&#10;yHYx9xCmMg9gngPeco/L5wLCaIUVjzk/X+ZIF87mEPjFcAqfNLF6bn1AcitpcmBuHHjxxZ+d4QM4&#10;wVuXjitTkQVgM+vQ4J6wclt18/S4w6X9aPjpecBXnc8W/nL+W/gM3eU6vJclzYnzx9QH5iaXs77z&#10;5YDrz5jBLn97mneuHHOOaRz3lVXfxOgLsw2/grllXxn9WFhM2m5WXlobB5/R8+P8qBZHcZMmzs6l&#10;D8xXYmfN58IBx2avs7/7WfvW5BRkADjH/WXuRKs+uEU8lN8mVHvLYO4yfnL3y3Vu2kJ5q2yJ0YnD&#10;6hNzpi6z0pwcmBoHuvCZevq3ocGwXWHXoeUL+8S1c9bbKpcwFR4Kd9mP7kofPrdn9cqdap3VI47S&#10;64qf7ondc+oDU5PJWZ/kwBAOgN1/de0Hr+yHnjSYoXE/NaxmDXrZebht6Kx695v9g5hfxF2+l6G9&#10;6HgGXO2QNLE4+8CPhoizDJMcmAwHXK8WRkA5rwSObAOrxiRXqA914x1tylWrH24RQ2vhavVSOKif&#10;0f7yl754To9WWO5XFX27vFnC+yddZavlmW6J3XPqA5MRvlmR5MASDjg+8w2NiNEa9xGv5H7MlHPd&#10;7AGrbsLLWCf5Q7vCxDiEi+fv/J0xD0+6nP923sd33VQGj5fmxOW59oElYi29kwOT5MBzzRvd7feR&#10;9f6k49KUsIL9aNaUqV+sF3bVO/otk4sK73vR6NMxnvKF3vKJjzcYjS5d+07WumWJeaY9cX0KfWCS&#10;AjgrlRy4wgHXnXGS3TEarNBYFuZgF1bI71gpdeJMFro0e9PCy1p95Addpf7cnZJufPunbz390XPP&#10;LsQXX0mz9mao8lK4WtnSLTF3jn0ghXlyYI4ccIwGW8CIKeKD14v1Z3RccDrKOmGkuw/lR7kX3a5J&#10;PPTgAwv4rDTJo6yJt2H1bonyqpVD8ZMmRs+xD8xRPmed580BdOlXXvH96JPqG1dTxIsnruA0695a&#10;30fugZHr1Jc40qFZj8DcJ0fjXvS6+fblkX6J5VPqA/OW1ln7OXNAa7PQh7/24AK2rINXY5QL0k8p&#10;G3XCzhkt7kax5gyN37FYpe68j9Ly8eSUM9p98clP4eMdapVVdIz8zDIl/u+7D8xZRmfdp88B7T/X&#10;atre572w8A7XvsfgkPwibtVwMIZRurjXwoPNwmrObnGujHdDFS9SpSPKvEZ4C9X9LuJ5fphVNsIo&#10;jr99FvNKe2Jh9oHSB2qyK92SA1PjgLBalPrde/edZ3gR8UWYsi854TgW84xlqYUVbiquMDK6yz+m&#10;Cd6C1zffeP1lnpw0lDkMuI2uzFud4PfXH3u0obxddu01V1/hX7nnrPtWKp/KoDyhwmfWxVn3dr80&#10;Jy5nHzjfB6Ymi7M+yYEhHACruS9cMGMRY/YtJ8Ay4ZkoZYg4OrRcpLEs7jJ/znKB23pHFPwGs/nT&#10;/rN41+DtlXNofXkv3qE+afB+aJ0y3HnZnTyZB0+GyLMMkxyYKgd4DxSMAW/AoT6M2ZdMjPiJvQ+7&#10;3V/hYhoqu/y9nnJTGI/raeu9Mv9WGLyrrVl7GkqX+PCZOPzJPek8sCbbeb12nqrszXolByIHfJ1b&#10;5gfuv+9s/RX80F2gfcmTiGWyOzaqLDU3+TntC6f0FV5YHXEaf4XlbpXv3Rf9mftTJ2f3uBRW8Wrp&#10;sW6uuJxXUxmSrie7k2/z4FuUY2lPDkydA8Jn6vnSSy/ZtzXKuSfOPffh3C5kY8yvhnHkG7EQNw+r&#10;dGrh5ObhPb782QMAl3kPzN8bEb6Cze/58z87t1atdEWdT6TtGA3mu3+a54E32c6rt/PU5XHWb94c&#10;cDzu4gS6tNa7wSGtee9DnnThGeevWEOWXi/8XFamWnqKIz/S4o88OAfGdyLJi28++3cxWkwuOjP2&#10;9733Pae//3v/9vQ1r37twtzA81D6chOFr+A7vF72fWnFSbq6TE+eTYtnXXIr3ZMDU+SAMFtUdVxc&#10;yy3fVhSm7UvmgW282Xn3HbdfWRMuZ9nQZSkfeij6Lbgt7KZsxFMZiQ/u4s9dZeLwR3z+/O6TY7D2&#10;iN3NzTfd8JHTz972qQabf+WfvOqUvxp/5CbqZQOXy1zopDkrrjAqe9JpYUu253baUzIqaXJgzhz4&#10;xS9+vrDmjb6H3reOnAGXVsEfYTNYWtaWCzY7RrbmoodSPrkJ9wpt39mUv9PFsG0aHqaYT5pvcLDG&#10;8MLFi03XeOShrzXYLIxelTc+D6Kuq8bP8NuR+cnH4+LjnOVy1j054Bz46QsXz+E0b2aim7o+WJNx&#10;7g8+O07Lr4bbWtNu933PY7DjZ8ThiLnRX3gLlZ/iKF105Fs/+YlmzfuxRx4+5S3zuM6APTH6uGR7&#10;rZ+m2/G1ocuoNCcH5s4BdEbuYzmmcR/Y15aRc8LdaHZ7Vxj2ftEphcvCTmGm9mxdV279yt7w+Tiu&#10;P7f6MdjL35e/9MVTdGL+OBMGDv/85y82zR3xuKsPPPrwQ2d69D/9lX+2sh6cevTx4UNi+uHbrGs8&#10;pntyYK4cuPj882c43eJlOUvm36GI8ssxOfrxLQtwnjVeMFMYK7qIwY630dzir8cp6RQdHDN58DYY&#10;74YIi4e0Zx9eRz26ti4Q6+32xOjDy3tvjzQfR3sMGbcZJjkwFw4Io15++eUG5woOav254CX71Hr3&#10;EjknbAa/wWGwkfczwaRyRuukOS+NnbjcaXJ8XTQXDK5jt5cjYrXbPVwpM3mzjs2+Oz/Vs7FU7HJ3&#10;KoxGh2ZPWvUeKusTo48DE4a2Z4bbT3v6GExzciA5UDggDAPXtPYtnVo6K2vVrIN/9KYbG8zFLhxG&#10;X+YtTa2Ra48aucab1/iD4wpDONz1176NXc5wu7vmANLJyXPxfc6oe7d26djf++5TDU6rnn3trjCs&#10;dQufu85198ntxOj9yPS+Nki/42uDvrGZfsmBOXNA2MRasb8Zqn3iD33g/adfuPeeMxyW/OvTL/Fz&#10;vK6F7XLzeMorUrCe+1nc3/J7Vq1e3urprIezL137qe7uhx4NRgunY97L7InRx4cPy9o0/Xffpj4G&#10;05wcmDMHarjEmvc9d7Xfx2JdGrzjvPfTP/j+yuemkGnC4L79XIVxGRjdor0WljPpX/rC504/9tGb&#10;O9fX0cuH/LTWnXevdi+XvS3TPG9+DxmbGSY5MEcOvPLKy83a9eKe9Emz37xtuSm8jbgt3Tm6k7/i&#10;qCyc126+VXV5Hb1d/z5p1sGxg9N/8/G/PjtP7vvgt3/61lPmI32/bWI0er7KnXQYBqkPiPbxLYaJ&#10;faUWV3EUtryH81hz91Dh8VM4uUWq+HJXeFHc3axwojF+DF/zV9wp0r4xmX7JgTlxQHo0dBGfy34u&#10;+806K4aM2aasUHq1NOUX5Q8ylHVtzqHd8OHrzs6l8T1JsDqW1dNhL9sxmvV7cNp/4ofc1sFo8pSM&#10;5c6Z9gmYM8T6pP08VnubdfGHPiM+i9fu5n2Kc406D6E7gLSF7gEu9on2HIPaTf46e0Fc5lvt+YvH&#10;z9pb+aps2J//yY/Ptbv8u+oq/676T91d4y9pcmDuHBAmoU8ieySPoOzt9t272oaccFkk+aZ03Q/8&#10;Za2dNXfKxVo1eKwwxMUc7XJXmsQB272enJHr+q2D0Z6nzwsot8qR9Dw2iyd9/UBh1M7Rzl7MQw8+&#10;cPYW7LXXXH02R4qYW/qA7gaIthjdnmeQWwyDvb1PwBlGxpCw+6knv930x1gflXmZu/u7WfGnTLvG&#10;Y7onB+bIgRafW3nDuW10VpcD+5ATMQ/e30b28cd3MFjbVpmQ04SP8tr9ZRYlLPW67kPXnMluzsZ1&#10;rXmvg9EqF3kytyiyvvBW5Ujaj9HOQ/HK29nbnXkkc7Z2jtn2Y5+LncfciL0Rg1t/xRVtsbkrDnHL&#10;ngtrNaz91Oa7qlOtvqq36JAwCnvsdI5yOOucHKhxAD0a2dbKnqI/g2OSH7se71H2IH/BNnCZb1Kg&#10;F7lM9vLEuPJzd8z84SczZ8FLnYuM7dKl18FolYEyk4/jBO+ryD9pN06LN7V2pw3BO96Ro4+0eClM&#10;rVO9/wqe8/bc448+0pzx55y//zFO3P4s/s8+07yNo3frWNPhjoC3bZ9Z44vysk9D/1Yd1Tdlh8Z6&#10;Y3f/qZtrsirdkgNz5AD3lR2rbr7x+gX9WbJCMkJ0mzJCaSKrMKN3sPeH7uF+tTzlX/OLbpKFitN+&#10;k+pCI2+17u/9YF2MJi/mOXfeftuCHKdOsVxpP4/VtJHaC/6ob4Bt5T2c8/qrcBCsBI/vvfvO5g0b&#10;8LXWtt7O0T/a+8K++OLPGgwHv8mznfN6Gd3cviMPztMnNCdW35x7n3B+pzk5MEcOIIPQ6TT3R75F&#10;fHbZKHm5CxmiNKHIN/Ztn/nh0+ewTOEkv1Qm2fsocRVelHV0r3+tH6yD0aTPGaWi45U1T3Q98uLM&#10;Ul8506/Fa7U3/ATH2nME8NIxr6xt3/GZT1ffgRXeiqqdo13u69CYFnsn6OIPfvX+Dn37/Ho8uvlX&#10;7/v7hTkydXc+zKV/rNMGGSc5MCUO6I0SYZSf33Y5IPngbtswCyeVFnbWAMFndAq5i8ZyKL6owjl1&#10;PzcrrbgOXWvfdTDaz4k5f3H38qW5xeMuXoDNmuu4niy+8n1v1r35RZz09uzz83A187pxYzzOUrDO&#10;jo5fq4vPOxq8Nv0a/qjfdvFqSu61dki35MCcONDupRV9xPfH9jnWJXfAS+YJNXzeVXmE0ZKXtfav&#10;YbTKHMuF7t+eW2r3RHEDR7rixXSmbq/xwedQ1J+2Yb6mthEmQ//X9R9u9pJr5/wiLtbadAxuzJE5&#10;A1HrL6Wu7ToBeF0bn5Fnka/u735ujn2tzy+G3aV9DG2UZUgO7JIDNVl16dKlJkvW4Fzmob8y3nxM&#10;73L8kbZkgfJEVqEzyb7r/ElfGC39pdYeNYxW2Sir6sFb48wxnK+YOYuu8EmL3iy+wTvxT5Q5Gv1x&#10;EacKXqF/sj8zhZ+PT775wrvwLV4Ln6HFzFyFuwi182a1MdPnFv2ifQz9dAptnHVIDqzLAWSdxr50&#10;V5eX+xijkgvki1xGJu8jX+VBvi1GF50XfiI7XX72YbTSAocXsbncuQFPVE/CYna74s+NCo/FC+yY&#10;0RVr85wpYbP6WI3ixvmzLv3a1xTgk+O1eBj7kniMu8KI/wob7XI/JIUX+UsOzJED7Ik5nqC7+vjd&#10;x7hEJrhcACvRIfaRt/IQJrjc8/4gnO7DaOYWrEM6PzFz7ph1b/FVeUJdZrr7nMw1HpT32Nr9AfjI&#10;vXXuR+mnNpE90mX+MfxY7F3lZj2c+pc5tc4eFh7Rb9V3wWvuQjDH0biq8bjmNtZ+N5a2yXIkB/bB&#10;AZcBZR+6nCnlLI6PUY1vd9u1mTw5A71vjCZfznB98OrCC/hS+4HR+uaVvh9NXPaX9X1OrUkgMzkT&#10;FHkm2Qg9BI9jecZghw/wo2uewxltMIqf999aGx2b29D6EE5hf/rCxbPzZupvcW6Iu+vX4vGyPrfM&#10;/xD95djaNMubHNgGB9j38nEtPDk0dqDbI1v2LSu4ayZ+cK+Vn2SizOwT6ptXUOQVcwrKq7hgM3bW&#10;A1yeCZu9XnLzcHMzww/4wLudagPphOjOXe/JNA00k3/eD1VluXXhdeGh9rIvnO1fM8+E5+L7MfQ3&#10;1TlpcmAuHGB8I/uEK1B0mENghmOW5AU6vb6HIbddUfJHD4YHkmvf+uY3znUFeKa1bnTp17z6tc0Z&#10;MI+HGX2at5m9vJKHovjV6u1x5mSm73Fuu+VleXfkhYsXF+ZJ5xplgg7CXqqG2e1yU7WjH/zSfS54&#10;qT/NeaRzM4dkPZw3+46hn6m+SZMDU+VAHMvU0/dOMTNWD4HRUUZQBvYjdb48+u/C7neYkWe1ezzw&#10;jD2+17/uDaf/8T/8+zP5JzkIpczgjZexhsU1N48zJ7Pjs3jJXsdLL70Ey1f+1fr6yomMIMKm9ejC&#10;a/FY81HwmvH2xOXvy9DvGH9jkAM+BkbQHFmE5MDOOMBYr413jVUobx1rfPrY2KdZcgH8Yr0bGYJ+&#10;62VQGHeTGT/iKoyo/GuU8GCEr1VrnTs2CPuhvBfqfHOz9gqUT+Lw8jdJWCtx3sNP8FlzpFq/je2S&#10;9uUccLxudepWz1Y/Zv0KvO5bwxrarxVuyDjUmOmiy2uYIabEgbmOe683eKNxyfoXe6qMD42raO4a&#10;O9t2ZzzzRznQbVn/VB5yl120SwZ4XQgb7YrPt6ZbXlxo3myM/Z23l9kbbcPp7caTpozsPXv5usqk&#10;POdEu3jBXbSIz5wNW1d/jm2W9vMcQAYIr3n7xfszZunWUN5areG12pPx5Gb16a5xNtRf4Zyer0m6&#10;JAemzYH4bgnjgfHm487HyK7NGuueD26cIdKat4dRWQk/pMweRmYo+kKRU+Vsjc5zaz6DPEOva2VZ&#10;q3uwn+d6vtL1OqS51aXVfuJ7xGfWL8R3Rp+bpz0ad1s78VHUcxNe+30u4bSPC/Tru++4/Ww9nH6t&#10;9ox9HPcuvxh2qN3LnObpccD7ppunV9PhNSoY3Z751FhhbCFD3S7zvinl0F4la8yYNf5VxppdfrG8&#10;LjcI873vPtW8/ay1Pygyix/9JJ6pk8xiziBsJh3+nv/Jjxf4FvNOe4vV7Htee005By/e+/4CvM9x&#10;OnwsDwkZ+RntpMH+0j133XllvaiVDer3mqdKv2YdJPZrjTHGhMy1MF1+MazsQ+qYYZIDU+KA69HI&#10;ScaCxo0obow1jZN9U3CPPMFmvunI24esf2PH3cvpZXP3WH70Zvbe/bwca/3wgG8S8WMvFMzQGVjJ&#10;Js5r+30qT7vL7OWaq9nbA/4Ln8VXx+cpjbGx1MXx2M195QOv+U7t4v5Ou4aktpN+7W/o0d78+ZhQ&#10;H8DN3YeOib6ypt90OMA3cd7+1qtOf/mLX0ynUmvWxDGa8VYbK4wlja2a/77d9LYJeMqaNGe0wExh&#10;to993AjPOWxwnfVq1lb5492vsn7d6grYkV/cGXc/6XnIK0/f6y6ZhBthFG5MvPPyHsqM/lxb316z&#10;C2e0FTkQ8dntbo7JLurXizjN+ChjpLx3W9u/3kZ/i2VK+/Q4wFkUvT3xO297ayOLp1fLeo3i+MPO&#10;d+6FPzWM3ie+CNMYy0PyZZ0ZfGbNueDpotzQHB8//sBo3jhFhyN94rmOjK6A7sw6N2bJHCi6O1hP&#10;PP4oq+g2ZM9c0oD34LP3OenPsX/We3G6bsqBZXyO/jU7+0O0W9SvvV0Zf13nwxk76/T5Teue8cfN&#10;Acdn4fTc9WnwSFgGXulu5DrjZxtxHKf70qvh49C46NblnYxWf0bWwAvhc8uT8haJdHTKJHzGvK6s&#10;6avbVP2YU3XpzxEHJEm63OWfdDgHnJdurqUw1J9w6NfgNfNYn/OWMaR7D+fxWmNHdEi/r5U13abB&#10;gRo+C6ffdtVbTv/xl7/sPZ+yrM8eA5e66sBY0vzX7/Y65q0yjoaMtU3CUBYvW19aMSxr4hEnhM/s&#10;pTk2I2/QtcHnMdW/r76H9FObRF5hr82LOJeUv2lxQHjdrkMtrm1JznTp195/1Z/cbVrcytqIA334&#10;HHFacRzP3Cz/Y6axPuzPC5s4D+VjAnOUudF/33bGLmUSVflEVR4PA0awRyYZofqyBn7x+eeb7w/L&#10;DWwmHPistJK257GH8kLt8fTl97fLd0bKugW81fr2MY+jLHs/Bxb3r7VmJdpidxdeq/9onNPv8jcN&#10;DjgGgT/+fSJhco3W1r0vXbo0Dab01CLqj7pP5GNkqFzedTgfr8Jg5el+mHEnzP1f+fI53Rk8Bjfu&#10;+8r/a/a0Cz6363Kc+SYNT1P5JB2G1/Aung9LfO4ZiBP2cv2asRbnypof63y477lJDjHu8jctDqA/&#10;C59FwWY3R6zmHNmUz3v7/EWt/corLy+MGd7bGjMOCX+XlZHzYYz5uEfWygdhcqvfISv07WzSj/OA&#10;ZXmmf4vfyNmu+1W1fqj+mPT4OdDXvugAffvXwuva/evj50zWQByorW/3YbNjtfanlVZff1OYY6Re&#10;L1/vZr927Fjjc2s3U24wlvGtsX6eCptZb5O54DRxo+4c0x87b8ZQPp3fdt7X9p+9Dx7jGMoyL3KA&#10;9lSbii6GWLRF/dr7i5u1Hr4YO23HygFf3+7D5S4/3MHpKevT3raMJe5SlDHRYtUYZH0sQw0/tabK&#10;fnM5D0YdSj18nGOWDg3lzTLdy8Iv959bHTjyfYhd6xvgM2d8C69LO3CvPP6GyPAYJ+3HwQHatqt9&#10;u9wX96/b/Woft8dR+yxlHwd8fdt143XMc1v35q1eYRjz1iFy+ZBhwAJwuaxn+5g+j8+6H813n7Xf&#10;LkyhDn63Crv8cq17OG7Ds0X9uaxRgM9dcrlvLKffNDmgvhCpaot71/1rhUl6nBzw9e0uHVlYvcxf&#10;4ThHtuxe1jFxqzYu5FbOjgnfTk7/7oufb3Aa2TuG9V6wlbVo3u+M96eivsw+KOH0ZucYyn/I+cw+&#10;8q7da8vz28ckHXZfVska0a4c5Q/19fCu8Ok+fg44Pgtft0W1P61+U+NGn18t/Fjd2u/eXGhwMOqX&#10;yPou3XJVHHTs97gyo5OByaxBd+vK2k++cPqhD7z/9JP/52O937zdB1Ydcx7eJphrdam1P2fn4zwp&#10;8XmsozzLlRzYLwd2ic/CeeG0auaY7Gb5Hytlztqeo7rQ6KIut6PMFp5G9yF2xRVFD+O9zlZPRqeX&#10;Xt/uJbdYcNLg8m233tK8x608I4Yoffkn7V6/Fu9imzteRz/mUWoT7ZUkPh+rBMhyJwc254Bjop8P&#10;E57uis7l/jTfQ5bMhXIXSzIaKhktN2Ge2yXr5Rep1q3ZT+bb0J5fnxkM4F4zWI6erXSVdy1f+Sls&#10;0m6Mdt5EXsLH6MYah8/paLsH7r/vbJBrrIqeeaQhOZAcmDwH/HzY0P3lIfjdl9aUz5FJjvJdifYt&#10;v6LH6o1QZDRy/EfPPVvdo5a/4yLvTKEjc3aIs9Q6e+3nfoXL0sNEcQfDwWTSqKXveTnG1DDF/dN8&#10;Hqtr/BWf8BOv2QNZ/K5nObPHmQZ+6kuikxdGWcHkQHJggQO7WN/uw2bH9r5174VCHqFFMvX8tyVO&#10;GpkM3iKzJcsxS25LloOlYDoyXPvIwmPHXvA32j949UnzvQthstIUVV7CCy9HDCN70vNYvIwn4q/4&#10;DeUPd9YvytpHuw/BnI59kvwlB5IDyQFf3x6Kq46xQ81daeM+h/vTP32hfKNROi4UHZj1aXC46MeP&#10;n30fsnxLyu9ALTeTXnMv6vJ6+lNPfnsB+8GRGgYLX4QjfWGEMYqTdDW8dh5j5u6a3g7TvEvfJEEy&#10;aY4XaUqt5EByYB4c8PXtoVi7q3BTXvdWb6rp063+2+pRjuN+zqsNe+EUHRm9+tP/95PNO9nCVuEA&#10;+ClMlc7mmOrh3d3Nio8b4RXHw6R5OU6Lj94Od99x+5VzA+UsPRjN/Iq9kdovcbrGlXRLDkyXA76+&#10;3aXjbguPh6Y/tfvTtd6DDPa3QhfxWOvVdbxGt+YNSNZBHRuHYqdjhMfHrDREo3/al2PxEB61a9uL&#10;6yJ5drs2WtItOTBPDjg+bwuHt5WO9qelN9RaqM+vFn6Mbs8988PmLXzWNuNZXtedP3Ldtc37J7pb&#10;LZ1sCB5kmO3g6lA++vym1k6cC/A5Gboz7f+tb35jjF00y5QcSA4cgANjxmfhvHBa7HFMdrP8j53+&#10;/OcvNme7tCcpOY5MB5uR/ZL5bh6KHRludayu4a27iadqF+xudn/OG+i8n9oWyto2+x/5Sw4kB+bL&#10;Acc0Px8mPBwrncP9abUNsrrVpcs+M2uiwgRkf2Lz6jgrnFyHiufEVTuIxvQIW8NnsJn7cS0ut++4&#10;6d6z+oDofCVV1jw5MG8O+PmwofvD+8DvvrLM4RzZl7/0xUaGS4fmHk7funYXTkTcSPv2ML2Gv338&#10;5a2wMu9a3HMGq2/95CfOdOcaLtfc5i25svbJgelzYIzr233Y7HODvnXvY2859qTbvedyl1n4LAwQ&#10;JovKPen2MHhdXqpNeGtEb6HrLlXbruD0ySlvt+tNklq/TWyucSXdkgPT54Cvbw/FRcfIfZm7yob7&#10;VO9Pt9+vPGnuyfKmp+S+qK+5giWr6nTr4k/Ga9e41QbiPfMoYTLfdl7EY9edCzazrq07VTUsdjc3&#10;T186ZQ2TA/PmgK9v7wtrd5XP1Na9Octb9inLHqXeB+3CRjBbWNEVJt13p1sLl1mrbveXCx5rn8Ld&#10;WeuO57X78LfPb95SLGufHJgmB3x9u0tH3RWerpru0PJN6f50+W5luQfNvech+CrdWnRInAyzGW5z&#10;7qt868L142gu7Qh+P/bIw6ec04+YK7uoS52am/unOTmQHJgWBxyfV8XLWnhhaKS1sDU3xav5reoW&#10;96ePqeUki7lv4zoX66ZDsFR6tKjH0TqsqPvN2Rz50Te/UVh0ZtY1Fu9LFRwuOnPBaHRl1rE5V5C/&#10;5EByIDnQxQHJfui28VkYKpwVlfsyumr4Zenh7/vTqju8cXMXr8bgjvyXrGc/U9gAljqGyF0UP8xO&#10;hb9yi2nIf85UPBXvunjB+23ozLx7TvuojZhPFfNJc15burL3pWPpe17mNCcHkgP744BkBHP/bf2B&#10;h46xbh6CpTHMm9/4xo3KxptbqtvDX3twgbmXLl1q7OLDgudILCqb72mCCcIM4awwRe6iwhhhttxF&#10;l/kr3Nwo3/6kzs5fmXFnPZs2qWEy+My+xINfvf/0xRd/tnQeqDYeSZfLYiQHkgMH5sAuZYIwWTRi&#10;7hC74kL/8J3vWCrjauyMdYz2WpxDu6mMol4eX+cGG9DfIu4Kbx1PHVfcXfjT5x/Dz8EunsKXGm++&#10;8fjjjV7s2Ny2Tfl+6Pe++5Q3XWNWm0Z6LmA6JAeSA8mByxyQrNg2MxyDhbXutoqZ+H/wjt9virhO&#10;eWtxam7b5sE20vNyYtYb3cKDa6+5utmf5uwY34nmDVDWCbhPC7YIT4U5skPlX/PzcHM0C5edwgf0&#10;5vNvjJT9Ztrkc397V3PuK7a9t6P8am7yS5ocSA4kB+AAckJ/2+SIMHgb+ExawuhVy3iscrCr3NyD&#10;Fj5D0eNuu/WW5nvC93/lyw1GgyE6s4SZbxlytoy4NbwVVovWwszNzect8CVis+vPzJv8HrP3UbWj&#10;qPulOTmQHEgODOGAyw83D4nbFQZcdXx2s/B7Fcpa9zq/bdVnnbzXjaMyi8Z0eI+7YESrv4HJ4AhY&#10;Cr6AK8/88OnGDd0aHZvzTJwzw9xg9pXvVCr83HB4SH2//tijFb25nM0Gm9lr1hsjsZ3UfpHGcG5X&#10;WHdLc3IgOTBPDuxSHqyCv7WwjumY18XoIS0rPogOibOvMF1l4s5OWfdevG+L3iysrmHQU09+u8Fn&#10;cJq3J1kjR8/GvRZ+rm6uN7vO7G9zdmHzKn2jq31XSSPDJgeSA8mBVTlQw91N3HaJ0avWbSzhee/C&#10;zxQ7loDV6Mq+ZiuzKPjL3rXe2XB8X3fdW2lDSUP2ddPbZI6gMtTSULnw87KxH8D8RfsIvq/AGkTf&#10;u9lj6RdZjuRAciA5sIwDm+BxLW5idDfHuXNb06nR+dCVwRz2qn0/2jEKnOLtDdbEwSFw/+kffH9B&#10;r47hHddkdkzEzeO4Xw0zt+nmeasMospHYZ7/yY+bclJ/zVVaXC57CfCka7+5u1XSJzmQHEgOjJcD&#10;NZzdxC0xut7WWitl3RUccaxe3LMueMOeNPryXZ/9TIPJYDfruvp79OGHTj/20ZtPP3rTjWdr5sJX&#10;xznhsjAv0mX+Mfw27V5OpdtVHuYin7/3b5u9+hab2T84aeYrwmbxud4K6ZocSA4kB46LA5vgcS1u&#10;YvSw9n/ppZdOH3/0kebtDP+mkq+DFyxqz5s5ltfCgencKeKsmjAv4qDsNSzs81N626bkyZ/K42bc&#10;sLMXoPPvi/h8oXnPs7bfnFg9rB9mqORAcmDcHKjh7CZuidGrtzdve6MHsnYNBrX4W76X1WJ4wWv5&#10;i0bcwn7Dh69r1oQfeehrZ3jdha/gIH7CxK5w23Zflm/fWe17775z4X5zYvLq/S5jJAeSA+PnwCZ4&#10;XIubGL3Y5o4dXWbF0Funz14+C87eNW9+f+qWv2mwm73W81jc6tjyK7i9iO3sdXMmnHNU4KywUZjr&#10;2Cx9Vn67pJ6Xl0lvamtuojpRR+Yxte9bOG/hZ7SLx0mTA8mB5MAxcaCGs5u4JUbXW78PM9zPzaQU&#10;7bXUf/rCxQbTP3vbp5p9bunXomCbcO7mG69v1o4de8FHx2n325dZeM15OPbiF+cc5T3tPKtda/10&#10;Sw4kB6bMgU3wuBY3Mbq/t3Rhbpd7f2p1X/RMdPDy/erFe9nCPnAQPOScNDjseqzwcl/4TD6chdOe&#10;s88tOFvHPsAQ/gwJU+dYuiYHkgPJgXFyoIazm7glRo+rndnrZu+2rJWzNr64Ps46OFgd73BFfI64&#10;7ZiusB7GzfKvxeFNFu3Da/4gGvecx8XZLE1yIDmQHNg9BzbB41rcxOjdt9k6Obzyysun3/rmN5r7&#10;WhGn0VvRYXknRXjqFLwVvorKX3YPIz+5RSp/3fMWJotyPp09+fiTniwa/dOeHEgOJAemxoEazm7i&#10;lhg9zh7iuAb+SXfVPrXwkXdUtP4NlgqDMYO1onKXm+xQYbKwWHaFYV2bt02Vp+YMrGtzVs7LKm7W&#10;3OSXNDmQHEgOTJUDm+BxLW5i9Hh6yjJcY98arI44zfo3OCqMdSq85d0v3IW7HgazsFvu2MF+3mQR&#10;JheMLmvvrGtzZ1y/ZWVXuKTJgeRAcmDKHKjh7CZuidHj6y3L8I7z0v7umfRb3jaLWBv1ZGE2WPyj&#10;555dCO9+rKMvngkr2My6drxLpfKKwlE3j4/DWaLkQHIgOfD/2bu33CaCIAqgWQHigwWAxG7ZCUJi&#10;F4SHED/AL7AAWEJMylHByKrEE1fSjjvHktWTzpTbc7qlqxm/7kegk8dVrYy+n3m660fdzbx4vfrt&#10;m9eL689X37MZ176X3x+eubub3dW5c/TFd6hEDmfu57lzvIctfi9y93lUx7lmn6pOHwECBE5doMrZ&#10;Tp+MPq0VkfmXbbwenHka18DjHp/TimvUkdWZ0XkNe3mtO7e/Xn4Xaeyf581xbXt5PT1yP34LbPeW&#10;z2G3P//O/2eb/VoCBAjMKtDJ46pWRp/OSsmsyzafeXzPV177vsrW/Iz1q23uxu9OxXuy43u0v3z+&#10;vN2OvyN747XszPjdNj6v7XtIUllLgACB/QJVznb6ZPR+84e+R2R2XPuO93FFzv7P6fxsdbZX2Z3n&#10;yNlW2Rzn59VvXzx0C8+PAAECxxTo5HFVK6OPOZt3N3aeW//583ub1XFefV0GL69lZ57H/vEbXHF9&#10;3I0AAQIEDhOocrbTJ6MPm4djVGUOL8fe7cu/o41r4Pn7XPGZrbweHu8Ji+vccd4d7wP79fPH9iGz&#10;dvn4tgkQIEBgvUAnj6taGb3e/pT3PCR/D6k5ZSPPnQABAl2BKmc7fTK6OyMPq77K1apv37POmmz3&#10;7e//BAgQILDZdPK4qpXRj2NVRdbeNm9z/2wfh5SjJECAwOECVc52+mT04XPxECszT7O96Tmu2Sfr&#10;b7Nv1mgJECDw2AQ6eVzVyujTXkFrsnPNPtcpdGqve0z9BAgQmFWgytlOn4yedaU4LgIECBAYLdDJ&#10;46pWRo+eQeMRIECAwKwCVc52+mT0rCvFcREgQIDAaIFOHle1Mnr0DBqPAAECBGYVqHK20yejZ10p&#10;josAAQIERgt08riqldGjZ9B4BAgQIDCrQJWznT4ZPetKcVwECBAgMFqgk8dVrYwePYPGI0CAAIFZ&#10;Baqc7fTJ6FlXiuMiQIAAgdECnTyuamX06Bk0HgECBAjMKlDlbKdPRs+6UhwXAQIECIwW6ORxVSuj&#10;R8+g8QgQIEBgVoEqZzt9MnrWleK4CBAgQGC0QCePq1oZPXoGjUeAAAECswpUOdvpk9GzrhTHRYAA&#10;AQKjBTp5XNXK6NEzaDwCBAgQmFWgytlOn4yedaU4LgIECBAYLdDJ46pWRo+eQeMRIECAwKwCVc52&#10;+mT0rCvFcREgQIDAaIFOHle1Mnr0DBqPAAECBGYVqHK20yejZ10pjosAAQIERgt08riqldGjZ9B4&#10;BAgQIDCrQJWznT4ZPetKcVwECBAgMFqgk8dVrYwePYPGI0CAAIEZBS4uLjaZsy+ev9xuZ5v9+9rc&#10;P1sZPeNKcUwECBAgcAyBzNbI4tzO9rb5HPvL6GPMojEJECBAYDaBPI9em8lVZi9rY1tGz7ZKHA8B&#10;AgQIHEtgef5cZfBNfct8zv1k9LFm0rgECBAgMJvAMmeX25m5a9usjYyO83M3AgQIECBAoCcQGZz5&#10;ujaPl/tF7bLeeXRvPlQTIECAAIEU+Pj+fJP3Tx/e/9vOvjXth/N3m6z9/u1rPrSWAAECBAgQuCMB&#10;16jvCNLD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jcK&#10;PDk7O3t2eY/b08t7bP8FAAD//wMAUEsDBBQABgAIAAAAIQCbvQ2A4AAAAAgBAAAPAAAAZHJzL2Rv&#10;d25yZXYueG1sTI9BS8NAEIXvgv9hGcGb3WxitY3ZlFLUUynYCuJtmkyT0OxsyG6T9N+7nvT0GN7j&#10;vW+y1WRaMVDvGssa1CwCQVzYsuFKw+fh7WEBwnnkElvLpOFKDlb57U2GaWlH/qBh7ysRStilqKH2&#10;vkuldEVNBt3MdsTBO9neoA9nX8myxzGUm1bGUfQkDTYcFmrsaFNTcd5fjIb3Ecd1ol6H7fm0uX4f&#10;5ruvrSKt7++m9QsIT5P/C8MvfkCHPDAd7YVLJ1oNcxWCGpI4aLCTePEI4qjheblUIPNM/n8g/w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JifebSAFAABgFQAADgAA&#10;AAAAAAAAAAAAAAA8AgAAZHJzL2Uyb0RvYy54bWxQSwECLQAUAAYACAAAACEAxF7S3nF6AQBQnCEA&#10;FAAAAAAAAAAAAAAAAACIBwAAZHJzL21lZGlhL2ltYWdlMS5lbWZQSwECLQAUAAYACAAAACEAm70N&#10;gOAAAAAIAQAADwAAAAAAAAAAAAAAAAArggEAZHJzL2Rvd25yZXYueG1sUEsBAi0AFAAGAAgAAAAh&#10;AI4iCUK6AAAAIQEAABkAAAAAAAAAAAAAAAAAOIMBAGRycy9fcmVscy9lMm9Eb2MueG1sLnJlbHNQ&#10;SwUGAAAAAAYABgB8AQAAKYQBAAAA&#10;">
                      <v:group id="그룹 26" o:spid="_x0000_s1175"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그림 171" o:spid="_x0000_s1176" type="#_x0000_t75" style="position:absolute;width:20504;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VkwQAAANwAAAAPAAAAZHJzL2Rvd25yZXYueG1sRE9Li8Iw&#10;EL4L/ocwgjdNW0SXahRZWHCPPhD2NjZjW20mJclq9dcbYWFv8/E9Z7HqTCNu5HxtWUE6TkAQF1bX&#10;XCo47L9GHyB8QNbYWCYFD/KwWvZ7C8y1vfOWbrtQihjCPkcFVQhtLqUvKjLox7YljtzZOoMhQldK&#10;7fAew00jsySZSoM1x4YKW/qsqLjufo2Co80uh5MtvtebSXl9msQ99M9MqeGgW89BBOrCv/jPvdFx&#10;/iyF9zPxArl8AQAA//8DAFBLAQItABQABgAIAAAAIQDb4fbL7gAAAIUBAAATAAAAAAAAAAAAAAAA&#10;AAAAAABbQ29udGVudF9UeXBlc10ueG1sUEsBAi0AFAAGAAgAAAAhAFr0LFu/AAAAFQEAAAsAAAAA&#10;AAAAAAAAAAAAHwEAAF9yZWxzLy5yZWxzUEsBAi0AFAAGAAgAAAAhALGMBWTBAAAA3AAAAA8AAAAA&#10;AAAAAAAAAAAABwIAAGRycy9kb3ducmV2LnhtbFBLBQYAAAAAAwADALcAAAD1AgAAAAA=&#10;" stroked="t" strokecolor="black [3213]">
                          <v:imagedata r:id="rId88" o:title=""/>
                          <v:path arrowok="t"/>
                        </v:shape>
                        <v:shape id="Text Box 15" o:spid="_x0000_s1177"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53A35740" w14:textId="1E282CBF" w:rsidR="006D7011" w:rsidRDefault="006D701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J</w:t>
                                </w:r>
                              </w:p>
                            </w:txbxContent>
                          </v:textbox>
                        </v:shape>
                      </v:group>
                      <v:shape id="Text Box 1036" o:spid="_x0000_s1178" type="#_x0000_t202" style="position:absolute;top:41148;width:20529;height:6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GdxAAAAN0AAAAPAAAAZHJzL2Rvd25yZXYueG1sRE9Na8JA&#10;EL0L/Q/LCN50YwUpqauI0KA9tDUW8Thkx2wwO5tmV43++m6h4G0e73Nmi87W4kKtrxwrGI8SEMSF&#10;0xWXCr53b8MXED4ga6wdk4IbeVjMn3ozTLW78pYueShFDGGfogITQpNK6QtDFv3INcSRO7rWYoiw&#10;LaVu8RrDbS2fk2QqLVYcGww2tDJUnPKzVbA5HnbvP5ncZx/3z/GZsi7/CkapQb9bvoII1IWH+N+9&#10;1nF+MpnC3zfxBDn/BQAA//8DAFBLAQItABQABgAIAAAAIQDb4fbL7gAAAIUBAAATAAAAAAAAAAAA&#10;AAAAAAAAAABbQ29udGVudF9UeXBlc10ueG1sUEsBAi0AFAAGAAgAAAAhAFr0LFu/AAAAFQEAAAsA&#10;AAAAAAAAAAAAAAAAHwEAAF9yZWxzLy5yZWxzUEsBAi0AFAAGAAgAAAAhAM92EZ3EAAAA3QAAAA8A&#10;AAAAAAAAAAAAAAAABwIAAGRycy9kb3ducmV2LnhtbFBLBQYAAAAAAwADALcAAAD4AgAAAAA=&#10;" fillcolor="black [3213]" stroked="f" strokeweight=".5pt">
                        <v:textbox inset="0,0,0,0">
                          <w:txbxContent>
                            <w:p w14:paraId="1D2AE7C0" w14:textId="77777777" w:rsidR="006D7011" w:rsidRDefault="006D7011">
                              <w:pPr>
                                <w:jc w:val="center"/>
                                <w:rPr>
                                  <w:rFonts w:asciiTheme="majorBidi" w:hAnsiTheme="majorBidi" w:cstheme="majorBidi"/>
                                  <w:b/>
                                  <w:bCs/>
                                  <w:color w:val="FFFFFF" w:themeColor="background1"/>
                                  <w:sz w:val="24"/>
                                  <w:szCs w:val="24"/>
                                </w:rPr>
                              </w:pPr>
                              <w:r>
                                <w:rPr>
                                  <w:rFonts w:ascii="Times New Roman" w:eastAsia="Times New Roman" w:hAnsi="Times New Roman" w:cs="Times New Roman"/>
                                  <w:b/>
                                  <w:bCs/>
                                  <w:color w:val="FFFFFF"/>
                                  <w:sz w:val="24"/>
                                  <w:szCs w:val="24"/>
                                  <w:lang w:val="pl-PL"/>
                                </w:rPr>
                                <w:t>Następnie powoli liczyć do 5</w:t>
                              </w:r>
                            </w:p>
                          </w:txbxContent>
                        </v:textbox>
                      </v:shape>
                      <v:shape id="12-Point Star 1038" o:spid="_x0000_s1179" style="position:absolute;left:736;top:6172;width:8655;height:8052;visibility:visible;mso-wrap-style:square;v-text-anchor:middle" coordsize="865493,805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ZdExgAAAN0AAAAPAAAAZHJzL2Rvd25yZXYueG1sRI9Ba8JA&#10;EIXvhf6HZQq91Y2tiEZXkZZCqYeiRrwO2TEbzM6G7Nak/945CL3N8N68981yPfhGXamLdWAD41EG&#10;irgMtubKQHH4fJmBignZYhOYDPxRhPXq8WGJuQ097+i6T5WSEI45GnAptbnWsXTkMY5CSyzaOXQe&#10;k6xdpW2HvYT7Rr9m2VR7rFkaHLb07qi87H+9gflWHyabC55m7vhhi76Yfg8/aMzz07BZgEo0pH/z&#10;/frLCn72JrjyjYygVzcAAAD//wMAUEsBAi0AFAAGAAgAAAAhANvh9svuAAAAhQEAABMAAAAAAAAA&#10;AAAAAAAAAAAAAFtDb250ZW50X1R5cGVzXS54bWxQSwECLQAUAAYACAAAACEAWvQsW78AAAAVAQAA&#10;CwAAAAAAAAAAAAAAAAAfAQAAX3JlbHMvLnJlbHNQSwECLQAUAAYACAAAACEAxImXRMYAAADdAAAA&#10;DwAAAAAAAAAAAAAAAAAHAgAAZHJzL2Rvd25yZXYueG1sUEsFBgAAAAADAAMAtwAAAPoCAAAAAA==&#10;" adj="-11796480,,5400" path="m,402638l119246,324480,57977,201319,203248,189107,216373,53943r132371,57006l432747,r84002,110949l649120,53943r13125,135164l807516,201319,746247,324480r119246,78158l746247,480796r61269,123161l662245,616169,649120,751333,516749,694327,432747,805276,348744,694327,216373,751333,203248,616169,57977,603957,119246,480796,,402638xe" fillcolor="black [3213]" strokecolor="black [3213]" strokeweight="2pt">
                        <v:stroke joinstyle="miter"/>
                        <v:formulas/>
                        <v:path arrowok="t" o:connecttype="custom" o:connectlocs="0,402638;119246,324480;57977,201319;203248,189107;216373,53943;348744,110949;432747,0;516749,110949;649120,53943;662245,189107;807516,201319;746247,324480;865493,402638;746247,480796;807516,603957;662245,616169;649120,751333;516749,694327;432747,805276;348744,694327;216373,751333;203248,616169;57977,603957;119246,480796;0,402638" o:connectangles="0,0,0,0,0,0,0,0,0,0,0,0,0,0,0,0,0,0,0,0,0,0,0,0,0" textboxrect="0,0,865493,805276"/>
                        <v:textbox inset="0,0,0,0">
                          <w:txbxContent>
                            <w:p w14:paraId="75E178B6" w14:textId="77777777" w:rsidR="006D7011" w:rsidRPr="009A2CB5" w:rsidRDefault="006D701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Pierwsze kliknięcie </w:t>
                              </w:r>
                            </w:p>
                          </w:txbxContent>
                        </v:textbox>
                      </v:shape>
                      <v:shape id="12-Point Star 1040" o:spid="_x0000_s1180" style="position:absolute;left:533;top:26974;width:8610;height:8001;visibility:visible;mso-wrap-style:square;v-text-anchor:middle" coordsize="861059,8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c1dyAAAAN0AAAAPAAAAZHJzL2Rvd25yZXYueG1sRI/RagJB&#10;DEXfhf7DkIJvOtNipd06ihUsRSmi7QekO3F3cSez3Rl169ebB6FvCffm3pPJrPO1OlEbq8AWHoYG&#10;FHEeXMWFhe+v5eAZVEzIDuvAZOGPIsymd70JZi6ceUunXSqUhHDM0EKZUpNpHfOSPMZhaIhF24fW&#10;Y5K1LbRr8SzhvtaPxoy1x4qlocSGFiXlh93RW1iby/vn78r8bF824+Nl89TNq+bN2v59N38FlahL&#10;/+bb9YcTfDMSfvlGRtDTKwAAAP//AwBQSwECLQAUAAYACAAAACEA2+H2y+4AAACFAQAAEwAAAAAA&#10;AAAAAAAAAAAAAAAAW0NvbnRlbnRfVHlwZXNdLnhtbFBLAQItABQABgAIAAAAIQBa9CxbvwAAABUB&#10;AAALAAAAAAAAAAAAAAAAAB8BAABfcmVscy8ucmVsc1BLAQItABQABgAIAAAAIQCzZc1dyAAAAN0A&#10;AAAPAAAAAAAAAAAAAAAAAAcCAABkcnMvZG93bnJldi54bWxQSwUGAAAAAAMAAwC3AAAA/AIAAAAA&#10;" adj="-11796480,,5400" path="m,400050l118635,322395,57680,200025,202207,187891,215265,53597r131693,56639l430530,r83571,110236l645794,53597r13058,134294l803379,200025,742424,322395r118635,77655l742424,477705r60955,122370l658852,612209,645794,746503,514101,689864,430530,800100,346958,689864,215265,746503,202207,612209,57680,600075,118635,477705,,400050xe" fillcolor="black [3213]" strokecolor="black [3213]" strokeweight="2pt">
                        <v:stroke joinstyle="miter"/>
                        <v:formulas/>
                        <v:path arrowok="t" o:connecttype="custom" o:connectlocs="0,400050;118635,322395;57680,200025;202207,187891;215265,53597;346958,110236;430530,0;514101,110236;645794,53597;658852,187891;803379,200025;742424,322395;861059,400050;742424,477705;803379,600075;658852,612209;645794,746503;514101,689864;430530,800100;346958,689864;215265,746503;202207,612209;57680,600075;118635,477705;0,400050" o:connectangles="0,0,0,0,0,0,0,0,0,0,0,0,0,0,0,0,0,0,0,0,0,0,0,0,0" textboxrect="0,0,861059,800100"/>
                        <v:textbox inset="0,0,0,0">
                          <w:txbxContent>
                            <w:p w14:paraId="7AE6ADC3" w14:textId="77777777" w:rsidR="006D7011" w:rsidRPr="009A2CB5" w:rsidRDefault="006D701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Drugie kliknięcie </w:t>
                              </w:r>
                            </w:p>
                          </w:txbxContent>
                        </v:textbox>
                      </v:shape>
                      <w10:wrap type="square"/>
                    </v:group>
                  </w:pict>
                </mc:Fallback>
              </mc:AlternateContent>
            </w:r>
          </w:p>
          <w:p w14:paraId="10E65998" w14:textId="79EC893F" w:rsidR="002E5800" w:rsidRPr="008F328C" w:rsidRDefault="000E0B7C">
            <w:pPr>
              <w:pStyle w:val="a3"/>
              <w:numPr>
                <w:ilvl w:val="0"/>
                <w:numId w:val="25"/>
              </w:numPr>
              <w:rPr>
                <w:b/>
                <w:lang w:val="pl-PL"/>
              </w:rPr>
            </w:pPr>
            <w:r w:rsidRPr="008F328C">
              <w:rPr>
                <w:rFonts w:eastAsia="Times New Roman"/>
                <w:b/>
                <w:bCs/>
                <w:lang w:val="pl-PL"/>
              </w:rPr>
              <w:t>Wykonać wstrzyknięcie</w:t>
            </w:r>
          </w:p>
          <w:p w14:paraId="7007D430" w14:textId="77777777" w:rsidR="002E5800" w:rsidRPr="008F328C" w:rsidRDefault="002E5800">
            <w:pPr>
              <w:pStyle w:val="a3"/>
              <w:rPr>
                <w:lang w:val="pl-PL"/>
              </w:rPr>
            </w:pPr>
          </w:p>
          <w:p w14:paraId="77642993" w14:textId="6E550459" w:rsidR="002E5800" w:rsidRPr="008F328C" w:rsidRDefault="000E0B7C">
            <w:pPr>
              <w:pStyle w:val="a3"/>
              <w:ind w:left="4117" w:hanging="180"/>
              <w:rPr>
                <w:lang w:val="pl-PL"/>
              </w:rPr>
            </w:pPr>
            <w:r w:rsidRPr="008F328C">
              <w:rPr>
                <w:rFonts w:eastAsia="Times New Roman"/>
                <w:b/>
                <w:bCs/>
                <w:lang w:val="pl-PL"/>
              </w:rPr>
              <w:t>a.</w:t>
            </w:r>
            <w:r w:rsidRPr="008F328C">
              <w:rPr>
                <w:rFonts w:eastAsia="Times New Roman"/>
                <w:lang w:val="pl-PL"/>
              </w:rPr>
              <w:t xml:space="preserve"> Przycisnąć wstrzykiwacz </w:t>
            </w:r>
            <w:r w:rsidRPr="008F328C">
              <w:rPr>
                <w:rFonts w:eastAsia="Times New Roman"/>
                <w:b/>
                <w:bCs/>
                <w:lang w:val="pl-PL"/>
              </w:rPr>
              <w:t>mocno</w:t>
            </w:r>
            <w:r w:rsidRPr="008F328C">
              <w:rPr>
                <w:rFonts w:eastAsia="Times New Roman"/>
                <w:lang w:val="pl-PL"/>
              </w:rPr>
              <w:t xml:space="preserve"> do skóry. Kiedy rozpocznie się wstrzyknięcie, rozlegnie się pierwsze głośne „kliknięcie” a niebieski tłok zacznie wypełniać okienko.</w:t>
            </w:r>
          </w:p>
          <w:p w14:paraId="589BDB38" w14:textId="77777777" w:rsidR="002E5800" w:rsidRPr="008F328C" w:rsidRDefault="000E0B7C">
            <w:pPr>
              <w:pStyle w:val="a3"/>
              <w:rPr>
                <w:lang w:val="pl-PL"/>
              </w:rPr>
            </w:pPr>
            <w:r w:rsidRPr="008F328C">
              <w:rPr>
                <w:lang w:val="pl-PL"/>
              </w:rPr>
              <w:t xml:space="preserve"> </w:t>
            </w:r>
          </w:p>
          <w:p w14:paraId="6E35E60E" w14:textId="4E94C656" w:rsidR="002E5800" w:rsidRPr="008F328C" w:rsidRDefault="000E0B7C">
            <w:pPr>
              <w:pStyle w:val="a3"/>
              <w:ind w:left="4117" w:hanging="180"/>
              <w:rPr>
                <w:lang w:val="pl-PL"/>
              </w:rPr>
            </w:pPr>
            <w:r w:rsidRPr="008F328C">
              <w:rPr>
                <w:rFonts w:eastAsia="Times New Roman"/>
                <w:b/>
                <w:bCs/>
                <w:lang w:val="pl-PL"/>
              </w:rPr>
              <w:t>b.</w:t>
            </w:r>
            <w:r w:rsidRPr="008F328C">
              <w:rPr>
                <w:rFonts w:eastAsia="Times New Roman"/>
                <w:lang w:val="pl-PL"/>
              </w:rPr>
              <w:t xml:space="preserve"> Mocno przyciskać wstrzykiwacz do skóry i czekać na drugie głośne „kliknięcie”. </w:t>
            </w:r>
          </w:p>
          <w:p w14:paraId="24C7AAD0" w14:textId="77777777" w:rsidR="002E5800" w:rsidRPr="008F328C" w:rsidRDefault="002E5800">
            <w:pPr>
              <w:pStyle w:val="a3"/>
              <w:numPr>
                <w:ilvl w:val="0"/>
                <w:numId w:val="0"/>
              </w:numPr>
              <w:rPr>
                <w:lang w:val="pl-PL"/>
              </w:rPr>
            </w:pPr>
          </w:p>
          <w:p w14:paraId="1AF0ADA1" w14:textId="3C89C2C2" w:rsidR="002E5800" w:rsidRPr="008F328C" w:rsidRDefault="000E0B7C">
            <w:pPr>
              <w:pStyle w:val="a3"/>
              <w:ind w:left="4117" w:hanging="180"/>
              <w:rPr>
                <w:lang w:val="pl-PL"/>
              </w:rPr>
            </w:pPr>
            <w:r w:rsidRPr="008F328C">
              <w:rPr>
                <w:rFonts w:eastAsia="Times New Roman"/>
                <w:b/>
                <w:bCs/>
                <w:lang w:val="pl-PL"/>
              </w:rPr>
              <w:t>c.</w:t>
            </w:r>
            <w:r w:rsidRPr="008F328C">
              <w:rPr>
                <w:rFonts w:eastAsia="Times New Roman"/>
                <w:lang w:val="pl-PL"/>
              </w:rPr>
              <w:t xml:space="preserve"> Po usłyszeniu drugiego głośnego kliknięcia, nadal dociskać wstrzykiwacz mocno do skóry i powoli policzyć do 5, co zapewni wstrzyknięcie całej dawki.</w:t>
            </w:r>
            <w:r w:rsidRPr="008F328C">
              <w:rPr>
                <w:rFonts w:eastAsia="Times New Roman"/>
                <w:color w:val="211D1E"/>
                <w:sz w:val="20"/>
                <w:szCs w:val="20"/>
                <w:lang w:val="pl-PL"/>
              </w:rPr>
              <w:t xml:space="preserve"> </w:t>
            </w:r>
          </w:p>
          <w:p w14:paraId="1E41B895" w14:textId="7291171D" w:rsidR="002E5800" w:rsidRPr="008F328C" w:rsidRDefault="002E5800">
            <w:pPr>
              <w:pStyle w:val="a3"/>
              <w:rPr>
                <w:color w:val="211D1E"/>
                <w:sz w:val="20"/>
                <w:szCs w:val="20"/>
                <w:lang w:val="pl-PL"/>
              </w:rPr>
            </w:pPr>
          </w:p>
          <w:p w14:paraId="5A52DD5B" w14:textId="0AD7A74A" w:rsidR="002E5800" w:rsidRPr="008F328C" w:rsidRDefault="002E5800">
            <w:pPr>
              <w:pStyle w:val="a3"/>
              <w:rPr>
                <w:color w:val="211D1E"/>
                <w:sz w:val="20"/>
                <w:szCs w:val="20"/>
                <w:lang w:val="pl-PL"/>
              </w:rPr>
            </w:pPr>
          </w:p>
          <w:p w14:paraId="3802D2DC" w14:textId="0C016D70" w:rsidR="002E5800" w:rsidRPr="008F328C" w:rsidRDefault="000E0B7C">
            <w:pPr>
              <w:pStyle w:val="a3"/>
              <w:numPr>
                <w:ilvl w:val="0"/>
                <w:numId w:val="20"/>
              </w:numPr>
              <w:rPr>
                <w:color w:val="211D1E"/>
                <w:sz w:val="20"/>
                <w:szCs w:val="20"/>
                <w:lang w:val="pl-PL"/>
              </w:rPr>
            </w:pPr>
            <w:r w:rsidRPr="008F328C">
              <w:rPr>
                <w:rFonts w:eastAsia="Times New Roman"/>
                <w:b/>
                <w:bCs/>
                <w:lang w:val="pl-PL"/>
              </w:rPr>
              <w:t>Nie</w:t>
            </w:r>
            <w:r w:rsidRPr="008F328C">
              <w:rPr>
                <w:rFonts w:eastAsia="Times New Roman"/>
                <w:lang w:val="pl-PL"/>
              </w:rPr>
              <w:t xml:space="preserve"> zmieniać pozycji wstrzykiwacza po rozpoczęcia wstrzyknięcia.</w:t>
            </w:r>
          </w:p>
          <w:p w14:paraId="5F6023DA" w14:textId="2DD016D0" w:rsidR="002E5800" w:rsidRPr="008F328C" w:rsidRDefault="002E5800">
            <w:pPr>
              <w:pStyle w:val="a3"/>
              <w:rPr>
                <w:color w:val="211D1E"/>
                <w:sz w:val="20"/>
                <w:szCs w:val="20"/>
                <w:lang w:val="pl-PL"/>
              </w:rPr>
            </w:pPr>
          </w:p>
        </w:tc>
      </w:tr>
      <w:tr w:rsidR="002E5800" w:rsidRPr="00A5286D" w14:paraId="2208525A" w14:textId="77777777">
        <w:trPr>
          <w:trHeight w:val="6463"/>
        </w:trPr>
        <w:tc>
          <w:tcPr>
            <w:tcW w:w="9581" w:type="dxa"/>
          </w:tcPr>
          <w:p w14:paraId="37FAFC2C" w14:textId="77777777" w:rsidR="002E5800" w:rsidRPr="008F328C" w:rsidRDefault="002E5800">
            <w:pPr>
              <w:ind w:left="104"/>
              <w:rPr>
                <w:rFonts w:ascii="Times New Roman" w:eastAsia="Times New Roman" w:hAnsi="Times New Roman" w:cs="Times New Roman"/>
                <w:b/>
                <w:bCs/>
                <w:spacing w:val="-1"/>
                <w:lang w:val="pl-PL"/>
              </w:rPr>
            </w:pPr>
          </w:p>
          <w:p w14:paraId="16B149C0" w14:textId="769479CC" w:rsidR="002E5800" w:rsidRPr="008F328C" w:rsidRDefault="00661032" w:rsidP="004142DA">
            <w:pPr>
              <w:ind w:left="104"/>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244" behindDoc="0" locked="0" layoutInCell="1" allowOverlap="1" wp14:anchorId="4AA1999C" wp14:editId="6851099D">
                      <wp:simplePos x="0" y="0"/>
                      <wp:positionH relativeFrom="column">
                        <wp:posOffset>-11430</wp:posOffset>
                      </wp:positionH>
                      <wp:positionV relativeFrom="paragraph">
                        <wp:posOffset>77470</wp:posOffset>
                      </wp:positionV>
                      <wp:extent cx="1905000" cy="2247900"/>
                      <wp:effectExtent l="19050" t="19050" r="19050" b="0"/>
                      <wp:wrapSquare wrapText="bothSides"/>
                      <wp:docPr id="23" name="그룹 23"/>
                      <wp:cNvGraphicFramePr/>
                      <a:graphic xmlns:a="http://schemas.openxmlformats.org/drawingml/2006/main">
                        <a:graphicData uri="http://schemas.microsoft.com/office/word/2010/wordprocessingGroup">
                          <wpg:wgp>
                            <wpg:cNvGrpSpPr/>
                            <wpg:grpSpPr>
                              <a:xfrm>
                                <a:off x="0" y="0"/>
                                <a:ext cx="1905000" cy="2247900"/>
                                <a:chOff x="0" y="0"/>
                                <a:chExt cx="1905000" cy="2247900"/>
                              </a:xfrm>
                            </wpg:grpSpPr>
                            <pic:pic xmlns:pic="http://schemas.openxmlformats.org/drawingml/2006/picture">
                              <pic:nvPicPr>
                                <pic:cNvPr id="172" name="그림 172"/>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16" name="Text Box 16"/>
                              <wps:cNvSpPr txBox="1"/>
                              <wps:spPr>
                                <a:xfrm>
                                  <a:off x="1123950" y="2108200"/>
                                  <a:ext cx="781050" cy="139700"/>
                                </a:xfrm>
                                <a:prstGeom prst="rect">
                                  <a:avLst/>
                                </a:prstGeom>
                                <a:solidFill>
                                  <a:prstClr val="white"/>
                                </a:solidFill>
                                <a:ln>
                                  <a:noFill/>
                                </a:ln>
                              </wps:spPr>
                              <wps:txbx>
                                <w:txbxContent>
                                  <w:p w14:paraId="1C6DC4CA" w14:textId="3978AD58" w:rsidR="006D7011" w:rsidRDefault="006D7011">
                                    <w:pPr>
                                      <w:pStyle w:val="af0"/>
                                      <w:jc w:val="right"/>
                                      <w:rPr>
                                        <w:noProof/>
                                      </w:rPr>
                                    </w:pPr>
                                    <w:r>
                                      <w:rPr>
                                        <w:rFonts w:ascii="Times New Roman" w:eastAsia="Times New Roman" w:hAnsi="Times New Roman" w:cs="Times New Roman"/>
                                        <w:lang w:val="pl-PL"/>
                                      </w:rPr>
                                      <w:t>Rysunek</w:t>
                                    </w:r>
                                    <w:r>
                                      <w:rPr>
                                        <w:rFonts w:ascii="Times New Roman" w:hAnsi="Times New Roman" w:cs="Times New Roman"/>
                                      </w:rPr>
                                      <w:t xml:space="preserve"> 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AA1999C" id="그룹 23" o:spid="_x0000_s1181" style="position:absolute;left:0;text-align:left;margin-left:-.9pt;margin-top:6.1pt;width:150pt;height:177pt;z-index:251658244"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rS/aBAwAALQgAAA4AAABkcnMvZTJvRG9jLnhtbJxV227cNhB9D9B/&#10;IPQeS1rXlxW8Dly7NgI4yaJ2kWcuRa2ISCRDcldyPqi/0D70i9qf6BlKWmftAKnzsNohORzOOXOG&#10;PHvTtw3bSueV0YskP8gSJrUwpdLrRfL7/fXr04T5wHXJG6PlInmQPnlz/tOrs84WcmZq05TSMQTR&#10;vujsIqlDsEWaelHLlvsDY6XGYmVcywOGbp2WjneI3jbpLMuO08640jojpPeYvRoWk/MYv6qkCB+q&#10;ysvAmkWC3EL8uvhd0Tc9P+PF2nFbKzGmwX8gi5YrjUN3oa544Gzj1LNQrRLOeFOFA2Ha1FSVEjJi&#10;AJo8e4LmxpmNjVjWRbe2O5pA7ROefjiseL+9cfbOLh2Y6OwaXMQRYekr19I/smR9pOxhR5nsAxOY&#10;zOfZUZaBWYG12eznkzkGkVRRg/ln+0T963d2ptPB6V46VokCv5EDWM84+L5WsCtsnEzGIO3/itFy&#10;92ljX6Nclge1Uo0KD1F6KAwlpbdLJZZuGIDOpWOqBDEns4Rp3kLz//z5179//M1oBszQHnIbNnEC&#10;dWvEJ8+0uay5XssLbyFbRCDvdN89DvdOXDXKXqumoUKRPWKDxJ9I5Bv0DPK7MmLTSh2GfnKyAUyj&#10;fa2sT5grZLuSwOPeljmqjF4OgGSd0mGosw9OBlHT+RXy+A25U9682C3EpB/zJEQegmOr7p0pEYxv&#10;gonN83LBZfPZ4ewoEjXJBow6H26kaRkZyBwZxfB8e+vH3CYXylob4i9qttE04U2jyonTeBPJy8ax&#10;LccdEvqhLHteAEs7I05CNpoASj2Fi81PZcHoWWFe1Lt3NbcSaCjsV2I7nrR2T435i+lZfkysjG7U&#10;3yz0mB9lRfNDpo+0jW2e57PD+RE6mho6z05xyw6Fnlr+5DRHzw8dnx/OT4b1Xdu+mP89uqkwO7K7&#10;WgU5FnfPa6jTrnAT/4+oyAr9qo+teHo4UbEy5QOYcAayAAJvxbXCgbfchyV3uPgxiccsfMCnaky3&#10;SMxoJaw27su35skfNcVqwjo8JIvEf95wumWatxrVRsgwGW4yVpOhN+2lga7QW8gmmtjgQjOZlTPt&#10;R7xxF3QKlrgWOAtCnMzLMDxneCOFvLiITsNldavvLK64PIqfiL3vP3Jnx7YIqOd7M+mJF0+6Y/CF&#10;konKgbdxADVHK75JsPYeva/H0evxlT//DwAA//8DAFBLAwQUAAYACAAAACEAa+j7eNq/AAD49w8A&#10;FAAAAGRycy9tZWRpYS9pbWFnZTEuZW1m7H1ZuGVFmeWlqvvrx37qr7ufWqUohkIpsOxSoGyTZFAZ&#10;ClKETJkKxQkVMJFRJBMkM828KQgkAqUCClYBMoqoKCKCAplJqqAkTiiTaD+0Y7f6ArvP2vuuE//+&#10;d+zhnHuGfc5Z9/vOjXn6Y0Ws/UfEjr3D3Nzc+zs//v1qh7m5//pXdM3N/ZdXzM1t2Glu7mUHHHrg&#10;3NwOc3/583+e++tOcCda7m/1f5qbe+1/mJtb3gl4IBcyN3f///qPc9//f381d0TH/+xOev75suj/&#10;604e/61Th8M7Hrt0fmcjYCHdy+YenWM4wmjfYe5liNWNlzmy/0nn7/nnntVPMhAGhAFhQBgQBlqC&#10;gT/+4Q+gZ/VHS/pDz0l6ThQGhAFhQBgABsTPwoHmAmFAGBAGhIH2YUD83L4+0ThRnwgDwoAwIAyI&#10;n4UBzQPCgDAgDAgD7cOA+Ll9faJxoj4RBoQBYUAYED8LA5oHhAFhQBgQBtqHAfFz+/pE40R9IgwI&#10;A8KAMCB+FgY0DwgDwoAwIAy0DwPi5/b1icaJ+kQYEAaEAWFA/CwMaB4QBoQBYUAYaB8GxM/t6xON&#10;E/WJMCAMCAPCgPhZGNA8IAwIA8KAMNA+DIif29cnGifqE2FAGBAGhAHxszCgeUAYEAaEAWGgfRgQ&#10;P7evTzRO1CfCgDAgDAgD4mdhQPOAMCAMCAPCQPswIH5uX59onKhPhAFhQBgQBsTPwoDmAWFAGBAG&#10;hIH2YUD83L4+0ThRnwgDwoAwIAyIn4UBzQPCgDAgDAgD7cOA+Ll9faJxoj4RBoQBYUAYED8LA5oH&#10;hAFhQBgQBtqHAfFz+/pE40R9IgwIA8KAMCB+FgY0DwgDwoAwIAy0DwPi5/b1icaJ+kQYEAaEAWFA&#10;/CwMaB4QBoQBYUAYaB8GxM/t6xONE/WJMCAMCAPCgPhZGNA8IAwIA8KAMNA+DIif29cnGifqE2FA&#10;GBAGhAHxszCgeUAYEAaEAWGgfRgQP7evTzRO1CfCgDAgDAgD4mdhQPOAMCAMCAPCQPswIH5uX59o&#10;nKhPhAFhQBgQBsTPwoDmAWFAGBAGhIH2YUD83L4+0ThRnwgDwoAwIAyIn4UBzQPCgDAgDAgD48fA&#10;L59/LrH9IH4ef5/Y/pBd/SEMCAPCgDAArhY/CweaC4QBYUAYEAbahQHxc7v6Q+ND/SEMCAPCwOxi&#10;4Llnn0nXt2n+3z/+McGfMDG7mFDfq++FAWFAGGgXBqA//+H3vxc/P9euftE4UX8IA8KAMDCbGIDu&#10;TP35hRd+KX4WP2v9RBgQBoQBYaAFGCA3Q3/e/sQPxc8t6BM9K8/ms7L6Xf0uDAgDMQyApx/+zrfF&#10;z+JnPTcLA8KAMCAMtAAD0JvBzQ/e/83kgfvvEz+3oE9iz0/y03O1MCAMCAOzhwFw9IWrzhc/i5v1&#10;zCwMCAPCgDAwRgyAj/kcRv156ZIlyb33fFX68xj7hX0ic/aekdXn6nNhQBiw3Ew8fPXuu5KXv+xv&#10;ki/f9UXxs/i5++xGfMjUvCEMCAPCwGgw4Dn6rA+dnrzsf+yY3HHrF8TP4mfxszAgDAgDwsAYMWA5&#10;eo9X7Znqz7d94Sbx8xj7RM+no3k+lZwlZ2FAGGgjBiwvo36fu/Yzqe4M/fn2W24WP4uf9dwsDAgD&#10;woAwMEYMkKff++53dfn57i/eIX4eY5+08XlOdZKeIQwIA8LA6DGwbeuWlJtxNgz688PfeVD8LH7W&#10;c7MwIAwIA8LAGDCAu0igO8O86orLu7ozOPoHjz8mfh5Dn+jZdPTPppK5ZC4MCANtxQD4Ge88Q28G&#10;Nx968MHJj7Y/IX4WP+u5WRgQBoQBYWBMGAA3451ncDN/K089Jfnxj54UP4+pT9r6HKd6SccQBoQB&#10;YWA0GOD69hkrP9jl5r32fHVyycYNyY+f3C5+Fj/ruVkYEAaEAWFgTBj47qNbu9wM/fnEE44XP4+p&#10;L/RcOprnUslZchYGhIFJwMDG9R/r8jP2nj+6elXKz09q/1nPjHpOEQaEAWFAGBgbBnAujO9U4VwY&#10;1rbxe/yx72t9W7gcGy4n4dlWdZQOJgwIA4vFAN+hosn8eF8Y+fnsMz7U5Wese+OPcWUKh8KAMCAM&#10;CAPCwOAx4LkZMl52+OHdtW2eC8v05/lkyyMPi5+lP+v5TBgQBoQBYWAIGOD5bPu8Qz//TtUHTn5v&#10;V3cGR4ufB/+MZPtBdslXGBAGhIHZxQB05lj/g6OPP/aYru686y5/l1w8v97ws/TnmNzkN7tjSX2v&#10;vhcGhIFhYoB8bd+pwt7zCccdu8DN812elv4sLA4Ti8pb+BIGhAFhIGAAejPkcebpK3O684Z1a1N+&#10;tjr01s2PaP95CHsOwmPAo2QhWQgDwoAwkGEA+rPVnXEfyYqjj+pw83xXf+b5MPGzxo3GjTAgDAgD&#10;wsDoMADdme9TgZ/XXHhBl5sz/Tnj6ke3bJb+LP05en5B43V041WylqyFgenFAM9ro4+97vyWI45Y&#10;4ObsThLo0VzjFj9PLyY03tW3woAwIAyMFwOWm9EX+A6G1Z0vumC142fwdKY/b9u6Rfqz9Gfpz8KA&#10;MCAMCANDxgB0Z8vNuJuEXBzMTI+GDv2Dxx8TPw+5T/T8Ot7nV8lf8hcGhIE2YMCe2ca+M3Rnu9+c&#10;nQvjOveGZPsTPxQ/i5/13CwMCAPCgDAwRAw8eP830/epqD/7fWfuOdMEV//0Jz8WPw+xT9rwzKY6&#10;SHcQBoQBYWB8GMAeNO4fgc6MH+4KW792TbrvHPiY58L4ntWG5Gc//Yn4Wfys52ZhQBgQBoSBIWAA&#10;3Ozv2f6X44/rntH2a9pwk7PFz+N7ptLzrGQvDAgDwsD0Y8B+o8rqzjFuph84Wvw8/djQ+FcfCwPC&#10;gDAwXAzwXm0vZ37fmWvb7zrpHebMdjgLRl62pvh5uH3m+0puyVsYEAaEgenFgOXpHz+5Pdlzj726&#10;+87Z9525z1zNzeBp8fP04kRzgPpWGBAGhIHhYwB7zDE5X7jq/C4349z22Wd8qPJ9Kqs7i5+H32+x&#10;PpOf5C4MCAPCwPRgwOrML/zy+QR8zfepuK69/35L0/Pa4N3s/Fe9Hi39eXowovGuvhQGhAFhYPQY&#10;oP4Mk/bjjz2mqzuDo+P3eFavcYufR9+XGj+SuTAgDAgD04cB6tE8E8a7SOrep/Lr2nSLn6cPIxr3&#10;6lNhQBgQBkaLAejN4GeeCSM340zYhnVru2vb5N4mpvh5tH2oMSN5CwPCgDAwvRg4+T3vzq1rrzzt&#10;1O5+MzmZ94/QXWaKn6cXJ5oD1LfCgDAgDCweA1y39rKkP01/T9ihBx/cl95MvhY/L77vfJ/JLZkK&#10;A8KAMDAdGCD32v6EH8+BwR92rGsvXbIk1Z2xtr3Lzrt179gm3/Zqip+nA0MWO7KrT4UBYUAYGBwG&#10;LEdbbrb+/tuR2T1h1eez6/ha/Dy4PtR4kCyFAWFAGJhuDFBvtjx968035vacD1i6/8K6dvgWVR0X&#10;x8LFz9ONJc0V6l9hQBgQBoaHAZ7X5j0ku+/2yuSjq1ctat+ZXC1+Hl6/aUxItsKAMCAMTD4GrK6M&#10;/rTr2oXz2qeeMhBuBkeLnycfOxr/6kNhQBgQBoaHAb7bzLVtyvrKTZfl1rWz89rZmjbv8KQu3I8p&#10;fh5en7IPZUrGwoAwIAxMNgY8N/v7tXEPyfq1awamO5fpz74ewtVk40r9p/4TBoQBYaA/DFg+pN2+&#10;S8V9Z3ybqh8dGWli95XAj/qzXU+3/Vjmb+PI3l+/S26SmzAgDAgDk4EBcDP50O85n3DcsQvc7L9J&#10;VX9+m+vggaOZx3zy2Pe+m+BPGJkMjKif1E/CgDAgDIwOA5aXYbd7zriHJHw3MvBqr3o0Odqnu+PW&#10;LyQvvfRSjp+pw/NZQVgYHRYka8laGBAGhIH2YAA8SE7k/Z389sWuu/xd6Z5z0Ieb3VHi4+ObV7d9&#10;4aZUf37qZz8VR3fOzWtcSAbCgDAgDAgDHgPbtm5J9txjr4TcjH3nxew5U1f2ujPcay68IAH3P3D/&#10;fSk/33XHbSk38TlBurPw6fEptzAhDAgDs4iBH21/Ill2+OHdd6nA0fb+zjzHcp27md58ycZifNzj&#10;veLoo5PNDz+U8jO4/HvbtnX1R/L0LPaF2qw5SBgQBoQBYYAY8Hdrv+WIIyJntf1ZMO+O87Vf18b3&#10;KPnN6K2bH+ny81VXXJ78/KmfpRwt/VnYJDZlCgvCgDAwqxi4cNX5Xb0Za9r77rNvdM/Z86x3cz27&#10;ysT701jXBkcj3qNbNnf5Ge6b/u2Grg7tORo6td0rn9X+Urs1VwkDwoAwMJ0YIM+hfz937WdSbuae&#10;82677m64uZl+XMXHPgz3j+FHbseaNv4QL/ObT+6792tdjrYYtHxt7TaO7NOJWfWr+lUYEAamFQOW&#10;z2i/58tfyunN0GvP//C5ySc+3i8vV6c75X0np+va0KHJxU/99CcpP192ycUdjg771D94/LEoR/PZ&#10;QvvTGqvTOlbVLmFbGJgtDJCT2e+4u9Of1f7Aye81HJlxLfVcrwdbd5M4+N4V+P8scwcZ0j3zi5+n&#10;7z9/b9ujqQ7NfLkXDR4mJ7Puzz7zdJS7GS5ztrCt/lZ/CwPCwLRgANyM81m8txNmxs3x813kzCrT&#10;c7R3Y097xdFH5daxkR/4GX+QLfR5W8b1112T42HqzHjWoH1a+kTt0PwiDAgDwsBsYoD6s/+WM7g5&#10;nNXOr097jrXcae1ZvJDWp3vb8uXJPq/bJ8e9TG/5GXXE+TC7zo37S4BZ6tDi5dnEr+Yt9bswIAxM&#10;KwbAa+DmI/75n3N685HLlhmd1uvPgXPJp3HTx+M+8nx6Thvr2hddsDrCz/Nd/Zm8i/errvnU1bm4&#10;0Pf5fDGt/aN2ae4RBoQBYWA2MVDPzXmO9TpwnJczPrf6M+x0f+Tcc3LvUsXy4P6zxeXjj30/ufwT&#10;F3fPeCM/3GNi48Auzp5NLHscyC0cCAPCwKRiIMbNWG8u+5Yz+TXGp3G/jNuzdBlnr197UbqmjTu2&#10;q9JwfZv6M2WcPy82n/J12ZlupgFf+3wYJlPjVxgQBoQBYaBNGPDcjPec937t3qXcHOdSv+4dcwf9&#10;Gzx92CGHpO851+VHfga34ly21Ym//a37c9wOnRq6NePQ9PKmv7haY9FjQ25hQhgQBtqAAcvNvH8E&#10;evOGdWtzvFfHob3q0zgP1vQZgPwMLgWvWhMyxHczbP3A0dCjycGIIx7WeGvDeFMdhENhQBiIYYDc&#10;hjDwFdaH/VmwqjVty4FFezjvVQyze9Ab0ve0wnmwoFOXpeP+s+Vb3z6c4Q7p59PzYzhHVsfLVXn6&#10;MuTWuBIGhAFhQBgYJgbAWVgX3uNVe3bPaXNNu1e9OXAi17MDT0OntvvNiIs7tcHNOBcGdxO92+rP&#10;qLvlVGvPc/SGlKN//KMnazm6jsOH2RfKW2NdGBAGhAFhgBjA95QtN+P9ZnzL0XJz4FbyLfk3bpbz&#10;bNCPcS8ouBl3eAZeD+HBL18G9WfU/4VfPt/lW8vNbJvlaNSJa90Mj5mxfGLx5KcxJAwIA8KAMDAM&#10;DEBP/Ow1n87dCwa9Gd90DrpsnhszzqznUKbPeJp5hHTg5l123i3l5nwcxi03qT9TJl6Hpj/NwNFZ&#10;+f7MGOPJ1DgTBoQBYUAYaAMG8B0qngHjvZ3hXrCw1uz507tjem6IQ04OJvXmd530jgW9mTo545Rz&#10;M8oiP0PPJTfXrUmXcbTth7o8bFzZNYaFAWFAGBAGhoGBM1Z+sLvXTG6ueu848G01d1qujqXBmjnu&#10;8c6eA8jLWZ6x+DY/2snPvcolcHRoA/bdwfNa09Y46xVPii/MCAPCQAwD/ep6eH/q+GOPKXDz+3Pf&#10;oQr8RU4sN/McG4uX8e58+v40zoNbHT0Wv86vX36GHGMcjfexyuQJf3G3xmBsDMpPuBAGhIEYBri2&#10;GwujH+OQX3AntX1/Cmvb2AM+e+H7jeTROn4sC/f6r3XzbrDFcjPKbsLPMV6lHKAzh7pla+o3//vn&#10;E7x/RdnBRHymsf6ya0wKA8KAMCAMVGHAckeV/ocw6I3+jDa+5Yy94DxXNdsDjnN0ljbkl+nheHcq&#10;rGn3opvH4zbh5yq5QR5bHnnY3NedrQHgGxv2PlDK1Mq5Kl+FabwKA8KAMCAMEAPkELrBJfSDCfeF&#10;q84vrGfvv9/SAd7XGV/jBk+vOu/D6TtU2ZnweLw418e5uan+7OVh5cIwcPFVV1zeOaMWnkkuu+Ti&#10;9F1wcjJliTT0Y3qZGofCgDAgDAgDZRiI8Q7jfvfRrcnhhx1WcUabfBnMXrgyryeHPOgPbsb6eTin&#10;zTPh5dzbpPwm+jOfTWhCJlZW9Mea9vXXXVN4/xrflLbr3UiLu74pW5kak8KAMCAMCAP9YODWm29M&#10;sH7Ns9kwd9t19wTnwMCf5FDojpk96JBNOLIuDu8Fw90jLGtQ5TThZ8qsTOe1XI2493zlbsPR2fMD&#10;dGvceYpw8jntzF+mxqcwIAwIA8JAHQbAOTifHVvPxrlp7DUHXiUvL0aX9ZyeuT/QeQbgs0BWno+3&#10;mDKbnQ+zsgK30u152YaBizddeomRUVZPnO+mLm15mnnK1NgUBoQBYUAYqMIA7um057OpO+PMtL2r&#10;M3B0kSep61bFKQtDWnyHCnd2Zs8CGS8vJs9YWb3oz1XyioWF9W77TDGf7lNvfvihLs/H0nq/mO4e&#10;8/Pp5NY4FwaEAWFgMjHAOZ66HMyN6z+WW8vmejZ02RjHDcKPvAsT/H/owQcn0NMvumD10MpEvQfJ&#10;z1Z/5niAfO+792tdXZrtxF7AjZ+/Pl2joOxtGu+HMO8XK495yJzM8ah+U78JA7OJgdh8Dv7gvE+d&#10;2d/TCZ5cc+EFXZ78+Ib1Hfug9Vmukc+n3586ctmyAZ4JL+r2fKYYJD9zXFGedMP80fYncmfHyNO4&#10;v/ueL38p+cXPnyqclff5sK+QH5+rbBmyz+a4Vr+r34WByceAnd9tf+I7iRvXryvozNCbTzzh+C4v&#10;k9Ngkl+sX//2sP7r8/Xu/suIc/Sg+Jlcak0rY9gRhvtMwMm+HTg/9u0HvtVd82Y+Ng/4Wbfskz8m&#10;1YfqQ2FgtjEQm+uJCehuS97whsJ7U3u/dm9zBoy6reW4mJ8Nb24vcrDVzQN3e04bhHsQ/Bx77qnS&#10;b7Evnd0NyrbR3JDbm/Z8bPNkn/o47FeZsz3m1f/qf2FgcjGA95lPfs+7ozqz/7YF+ZPmIHixLXkM&#10;gp8tV1oO5fggf8O07z3jTpP8+9J8pplP/b+3bVt3zdvnyzxZhszJHYvqO/WdMDDbGKCehXem7Pkv&#10;u9eMe8Dyd3QGvgh8Sr056HwhjPF7MzPeZ742bczPhi/ePgh+9lxJWWPM0c44MPGzYTjLnd09VmxP&#10;uu698F0sjmGbJ/1kzvb4Vv+r/4WBycUAOAHfaF66ZEmqM1texjtM737nSemeKLkyzrl5Th6cPh3n&#10;4eq6FLksXufqeIPg57JxUcWj5GibFnvTdTz91M9+WuB3m4fskztG1XfqO2Fg9jDw1bvviu4x4/wX&#10;3mdev3aNOa+U52DPeeRkmj58se5h5VtWr374mbyLsWTtgxhb2JvGmYA8T4c+wdky3HGCdZBBlMc8&#10;7PPCoNvEMmTO3tyjPlefTwMGMD/aORJtsm7MmdZd1mY7t4KXY99nBi9jLfushW9BlnHXLPiTn63c&#10;KOsmfmX9MAh/6tNcR8ibG5IbPntt7vsbxAzr36QObKM3m6RVHM29woAwMEsYsBxMO+bOF375fFRX&#10;47xKGcENXj7umLcVzmSDl/FtRnvPyKj11bZxPvkZZ7EoQ5qUP9y0Q760M96gTJuvtYOnP/OvV3XW&#10;OOw+QLBTp7bfs7R1Zv2QJ/Fi7QyXqblWGBAGhIFqDMTmTj+vcv6mCZlW6cvYY7bffsp4Mqybto03&#10;R1Uf8jPuXMG6MuRoZeqxyr5hHPaLj9eru0l+uNM7ey/Lvn+OPgxcDR7/5r1fT+9DYd1YZ9s2hrGe&#10;LN/GZZjM6vEq+Ug+wsD0Y4BzJPqadj+Pws0wxIMb577w7Ufoxzz3RRO8jPelsj1m8bHnffDzSy+9&#10;lHIcwvC+E/Z2vdwpa8geP4TH4ixmnPr8WI7NE3FQPzxLXP3JTebcAM/Bkavnk2s+dXXyja/fk8Yn&#10;ZpCedpo2f9mnf55RH6uPhYH+MGDXsf18bWWavSe1Lt1HtrwMO35VvIw1bb+X6XlrVtzUn9FeygTr&#10;xVhTtvKG3fPlIPnN543yfP9bbmXdtjzycFentn3m9y3A1Vhf+WHnnWumtfkzb+/HuDL7G8+Sm+Qm&#10;DEwXBvy8zzkT/rgj+8zTV6YcTC62Zp6XyTnUrejO9Gg/h9v5fVbs5OdPXfXJgi5607/dUHpOOsan&#10;/Y7DWH/TD33P/kf+3s54uL/7wfu/mdz8759P2+H7lm6YOBt++y03J3jvmt+6ZD6+DbY8Hyb3dM07&#10;6k/1pzAQxwDmQcyRnA/tfAldGWvYse89ch2b5774rhTnY/Is3Z/4ONc/A2czziya5Oc///nP6Xem&#10;vAygS+P7U+PGLXFh62ExwnCY4Fzo/3i+8O2Jua/99L+m6+XY37b5yx4fq5KL5CIMzCYGMOdy3r31&#10;5hsrdWXozXhPauVpp0bnYXJycU7WPjRlQn5OFv7wrZArLvtETp6QI/al/floO0bJj9aPdvYn3TTL&#10;/Bm+WBN1gl7dC1dDLmgr9rfB19Svq9rHeiJOkzY1icM8GZcm/cvMpvHK0lf5WxmgHOuuShcLW0za&#10;WH5t8IvJvk3tZJ+xnnQPQ3YsY5B52/paO8uArIdRLvMvy3tQ5bJNZeWwHk1Ni70yO/NqUibywPlc&#10;rF/vucde3bNedv0adqxh416R/r6NXKU/zx5vW37GOTH8/elPf0ruvO2WHEeTz9E/vMPL9jn6mfiC&#10;3YcRB9ZEnCa4sGl6sdv6MB3WtL94+63p2TL7/Gbt/HYo2gx/rIeDs7F/Da6P6dllbWkiB9YNZi/x&#10;Y7Irq4cto1875clyafaan61jL+3ttZxRxx9WW7ycvbtJO5GGcmc9aTZJ3zQO86TZNB3jIR3rSj+Y&#10;bDNNG0a7DWMe1o/xvBmLE/PzbaqLY+MzLk1fB7hj8RmPYUxPN8PrTKbDWjTmL//D9yjwji30Evsj&#10;D7zzHW9Pdt/tld19Za5bWxO6Mt5dXr/2oih3kEOKpufdortsfi7mNV3r4pafF1To1ABXI+zTV19Z&#10;kDXWvMFV1C2BDfR/U8wgHvFSh6tew8vyjfljrQB8i2eOTZde0m2nxYK1Z1ggdjITvE19+56v3J08&#10;8tB3Uuz7tQbKhzLy9Snzj7Wfca0cbX4si2Ysj379bDnIw7tj+do41t40fSzPNvmxP9geumkOoq6U&#10;2yDzRL36zY/pWC+2EW6G0a+JadMhvc/X51FVRl1anxfcvkybP+w+3NaX5dGM5U8/zDkZN25LMk4M&#10;XAk3zrtibk05sjOfwOy6F7iTcw7uZ/J2nIONcZafx7zbpsE3KHDfNfjW68bejX1lvB9FXZn5Zibn&#10;yt44k3nYOtHOMG8yfNrMMn4mV2Nf+qFvP5j2OWVCGeD9JvCbx6rFNnFJkxiuisO4gzZZNk2fPzgV&#10;e+04O+bvF83aXo63IJtiHOrfGEt4FuDzKcrCWOWzK55tUSfOBZQRTdbbummHyXDkATvDfDv7dTP/&#10;XvNmPWx61rHfurQxHds56Lb5fClH69+rPHrpQ5YXK8PWgXb7Dk4sTcyPaWNh9EM9WBeaDLMmw6A/&#10;eD0x5sYcxjEJLkz5sMONlhdh91xIN03eoZTNj/l5APODPftUN59wjrV5hTmmN75DHiyvmMd8cnbn&#10;Hk1w7KEHH5yuTXsOppu6Mjh5xdFHd7+/zDxZhq1zvh3l9WYeTJt3l6drmv+kxgM/Q1fm2jZ52Zu/&#10;/e1vkjtu/UKHp4k77hPMp1wGjNsxUmbHOOT4KYszCP+yMuBfNxewjhzfGLtoO8ah7ec8hiiXMizF&#10;wy2mvR3rFBz7NHHmzc4ltGPdnnOPfS6HfbHypDxsPmXytXFi9ibyj6WbJD+2sV8Z+bYyP/rH+oNh&#10;VabFfS95oPxsXZQ63zbzXBn0P+IvM7elz7rEZ535pTtvL2AdmKeOaM3s2Tmbf/JjsDj26sLteA52&#10;zm1ZfmV5lPnbfDK7rWs2D4S0+Xkh87fl58ND3mVttfFtPhlHn/7B05ITjjs2OeyQQ5J9XrdPVD8m&#10;D5OXYe67z745TrZ3QrGN5IbQtmIdY/VnfJr5OLY9yI9t8v7Nysrn3f40dfozeZr8jfh4h6mIow3p&#10;ni7uA7Hr3pwvepkPmGaQpp2bmC/9vIlw+vm4cJO3v/3At9JnbOjEmEtwDpxYzWMtw1LeL4+NmDyb&#10;YKmYp8etd+fLRRnk/ioT70+g3zHPWr2ibt7NhXd0EuCD87h9jqDfpJtYE4npXzk5LKxT9uqHZ7MY&#10;Z1X1m40PO575iDX0fRE/RXzEcViPqyxdk3icc1F2Fj/Uy7pjeTFtMV7Io7pNVh75tsbKy2QWTxOP&#10;H5cD6826Me18ro/Zt3w+gRvPMh47xBz8Y2Pozs6ZG3Cy5Vxr95yMM17Qp7GfjLVr296iXFl3tqV3&#10;s5hnHptrLrzA6EaZ7GJp8v3Xez3alt7zM3mYvFxmYh8l9s402oe9XOAEccBz+PWz5kVuHLRJ7o3p&#10;NwijP02UzzRldfFxsVbOcdIdSx1+As9xzPk1dIuNPPby+M/CwvgOcYOfzWvw9nx9mubPemfx+8uj&#10;aVnjihf6AnPDcPojL8emcxDlTbNpuqbx2FaavbY/q1e+bXV5MTwzmTbfB/X15zoVOZAmxylNfDcv&#10;Hcsl+8LgSI75MpPnUjif2PmGcwvmEobTj/HoTzfnJqbhPEQT4RvXryuctS7jY+w7f+TccyJ6BmWd&#10;9WsYX0U8Qf7sixCvvh/4bIY0SI93pfF8AD0fzwt8dzrL0+KlSd6TGcfyM7mZZhk3W//HH/t+9AwZ&#10;ZQ3dElglrog3mhZH9BuGGSs/Vjb8iP1YGlu3WHobbu1N8rWcDpnZfTGcPcPcAB0qNn+EcTAs3Nrx&#10;mX+2DWXXjwHOnTR7SdvWuLG2xPwGVf9h5t2sjuUYs3Wz5y7IcVUmua+wPrOAffucG/gvW2vP3Nae&#10;rbvH1vLsuLR2jneOfxtGO8cx3TSr0jCONXuZO5i3rx/dNl/aEQY58t5rqyvv+Iqd0vejsOeMd5N5&#10;tgt9n/VfnHNDOMZ5eRxiyGKBfnUmzqbhOxnQ3VHnA5bun5zyvpMdN3OeKdahLv9JC7f8bHm3Vzt4&#10;uuo+EJwrBN/Y8eIxWoZ9Yk5m/Z0IlCFlG86LFvcJsb6M86Ldea9q3bUzR0J/qJpfm4ZN2hipr2+Y&#10;J3Bmsqkceo1nzx406jPfn50+xBjsdV8B8e29uMSWxmP9eByGjMjLMGN9sW3rlnSP2XIy7TjXhfef&#10;oJOCA/M6KXmPZsA1xkA13zIuzbr4WRn+bBrX1cHRfG6oLpd1nU5zUPxMPkd+2TkyK6/QZ+hn6NQ4&#10;z1SFXWIQccg5sfgxfMbizZqflV9Z26vk6tP4uaBJ/j6PaXZbHFr7oNps+8r3RZMybJ2svUlaxGGZ&#10;tt/7yadpebMWj7KkfOmGHGCnv3UzDsPwHGXvvrZr2OBjcCG5DryMO0TAh+F7y3aezq+XZc+oMT/M&#10;8zadnfczO8pEeSgfvItycd4MzwyoF9yoA3Rn1g95Bnsxz/pn5ulIMyh+5po4zd/85v+k5zfDXWRZ&#10;HwaZZ+e+cdaBz+bEGU3iz45V60fcWj8bd1bstv2QHd3WvhhZMD/mwf6hu85kepqM7930n1ST7elV&#10;PnXt9fmxnLp0PpzpfH4+Xpm733Rl+cm/qH+zjyAbyJs/umMywzr2ye95d/fsl+Vl8C84Mcy71Guz&#10;+RicCa7M3pk6KuXQwI3NODLLez7BGS7khzVzrJ2Dd/EO9W677p7WbemSJakf6oN4cV63XG/t08G3&#10;vT5XDIqfoT+Tm6lLw433p7H2jbU8PoOFOob+x14V1k+xBwuMEpfEK/2AT/rFsOr9ZmVOse2EnTKy&#10;/l42vbit/JGO+feSh61LP+l7KWvUcW3bhlG27VPkT3dTOQ6yfjavpuUPQybTlCf708oW7fPyZXjV&#10;Nymgl+6y827JiSccn65lc74lj9JNE/7nnHlG+v7Uq/f6h5RLwatY/wbP4od3smiCd1+/7z+luvff&#10;7rRrGh/PBPjhjjHk8cYDD0yWH/XW5IOnfCD56OpVES4u5958Pcvjsf7TbA6Knz03k6Ot+asXXsjp&#10;1Fk/FJ+LyNV2DZy45NxUNjZtvLI4s+BPOXB8001zMTJYTB5IyzqhDta+mDq1MS3aNoj2LUbelIuv&#10;x2Lz9PmxHJlFnbhOJrG+oB9N5gFdmfdfc0/ZmuBl7DFDl83zHObZ+eTjG9anZn7uzXMg16Lf31lz&#10;BsdbjoYbd32esfKDqV5OXfisjj4MnRhnucDlRy5blurO0N9RP/A9eJ3xqzk16G3xeKG++XYUuSSe&#10;fnLiDYKfLTdbu+Vmb8e5pa986Yu5ezUzWeZlj3cfcC4G51r4vhaw6nFL/M6yOWqZNJ2jES9WtzL/&#10;SezDWFuayqff9sZkWpUX49t60a8qHcNsOvrJ7J2Pq2QWwxG+m/vR1ecnWB+2a9fkZfiBl8GjPO9V&#10;5GZyUphfi+vLCMtzY+A/my7LK5TBMPI/y8pMnEcDd4ObwdHYc0bdYS47/PDUH/o7udSWGew2z3wd&#10;mW4azUHws+feMncZd2OtBlyNvWrfH96N87E4X4ZzxzgLXje/1IVXjZVJCrNzZxvbbOtn5Vrmb+NM&#10;or2NfWDlOKj6DSofWzfZn03w7UboqOBk8rA1ydPQS6HngpuyuZJcSbflNdpDnDinef4j7/p03o38&#10;6UeTZQaTc7rlbOx/o314nwr6v3/vyz83sN7Mi+5pM4fBz2U8XMbb8Gca6tWx73LYvme/4L0t7Fun&#10;+vXC/dXTOuf3Mm8NWwbMv5/5uZ80vbR9HHFH2SbInuWxH0bd5nGVO+p2jqo86MhXbrosOf7YY6J8&#10;bLmZ91/z/aMyTuIcifAyeyytjRvCy/k2xAkcXO3n+T9Lt2Hd2gTr5FgHwHMH2oy2Yh8c96bgfLfN&#10;N17PpnWYjHjD4OcqHq4LI08j3q9/9avkOw8+kN4rGfqFfVuOF5xF410/uLeAd/ZwrDWdWzgHMl0T&#10;E2nK8q8KK0vDMhFelZ7x6kzm00/bWEeadWWNM7yf9vVb30H0S1nZTWXt43m3zR9hw5JPVbm2Doux&#10;s4xYGxDGcF9GLL6NU9ePNr212zya2rGPvHH9x1I+xreULf/G7NjHxdow9MpsLuQ8OBk8E+bvYn3z&#10;PMt2Zaa9rwRcDTlgTQH74ODyoLMV80WZ+bxDnDL/UM9QD8o7hIV8hu3XBn62nAxe9m74/eUvf073&#10;n3G/MfjXyzdzk7NpBjkinHdHpPc8dO5qwBjBN0/B4fx2lB1fGOcYh3Ys2rHP8FiasrBnn3k6fe87&#10;lo/1s2UyfxtOv37MWN5V+fhykR5+veZTVcYgw8ZRPyuLMnsvbfQy7yUt4to6xNIyf5qxONaP/c34&#10;zJ+mjUs709ANk+lp2rAyuy8jltb6IT7cPh3zL/NnON43wbxQdo8Lzq0W7odxd5zZO/6w/4rvUhyz&#10;YkWy5A1viHIx16stN1NPzt5FCnNZ2VrvsLlilPlzPvfzPNYMcAZtxdFHdfexoWvDDRnn99+tzILd&#10;5xlrF+KUfW+MdUO6JnnF8m/q1wZ+Bv/yL8bNCPP+nq8tZilbLz/rX5RP4HSsmfNuJ3sXPb8HSU7H&#10;OOa8QBNjvGxuKJsXOJ9wfqgyy/KoSmPrY+tZlaYqzOZXFW+UYZShlc8g2tprG/op09bZltdLXrH2&#10;1+XVS/7Mi3WtS8t4SOfj0o04/k7bcG+nve9uW4LvqqScSB6ESXvnnjQ8a/M7NRy71iRfZnfeUzfi&#10;nB3cdu4Nc0QID34hLfzAC9DnwB1cn+W7SpZzY3ZyM3RDrOXiHBV4KMz9YW5CWcGfdZgWMy/nYl/k&#10;wyELrImDlylzyHfv1+6dnh/ntz1CnzE9zbzcglytvIM9Hp7PI5Q1GP+28TN5OmZ6jvbupzt3l4Ez&#10;8b1q6MixPewg4zr5hX7Jy9z2rbVn44bzAOYG2jF35OaWhXsXw53BxWd1zofetHObDytzc+6Ohdt5&#10;NBYe86vKLxZ/2H5sQxvqxbr00mb0aSxd0/YgnuW1TO+zd1Fbe+C9GCYLeuECVuFPviOu6bYmw7ju&#10;GMZbbDzF/OrGJcJtujK7zSeMU9Qn1MnGydsZh/HBvzhjDF2W7xyBS7lPCl4gz8Y42PshruVjv7ca&#10;5hzbPtaR7YmFMc50mOyHanlkbWVc9BHe8cI6OGSM56RD3vzm9LmnXs6UbbX8srKGL/828LPn2Rg3&#10;e7+yNN4f7v/9618laOejWzan+9m4fxTfSozxd37sl/cRx20+flnfZv3IPiWOgLmQT74sGycWj2v1&#10;dm6ssnM/Pn1WWNA7us8NZg6Ozs9GT7Hhjzz0nRwvWI4YrT3wD9ckv3nv17PvPNa1bQDh1NvITegH&#10;a6/qFxuG777lMdJ0/Pt4eRwyz2ZYzeMwzIvBP2AzX46NG+LE0sGPaX3dQ3ybX1M728ryMR9jvvY/&#10;vq8Lf+hZ0L94BwfmcpwjxvyOu6+qeBdhVeHkZe6bohzsIcfv7MjkEvqJMsrLhG1sKpNJjMf+C7II&#10;Mghhwa+sjYjLPWzs32PPAH2C5yo8Z6H/szXxahyOS+Zt4GfPvXR7roV/zI/xaTaJ4+NCDvhhHxrf&#10;dYYOzrNp4PIin5f1Z9G/rG8Dzoppingrxgnp63Ea8svyKatTiNckz2KdekvfpIxmcYIsbPuapR18&#10;nTmvNpWPrXPTNPm2sT+9HNg2+sOkPTb3Mb41s/jldSyGo262HdYeq3fez5ZNO56lOQ6xNkY7zMsu&#10;uTg59QPvTzm1CVcyDk1yKEz40Z+mDS+z27iY+8EFnP/tWnWQPdepg2wYBpN2tp9m5o80IR3DpssM&#10;7fPywL6wbStlRdnk3cRWNiYRhv7Amjj3sNF3vAcc76qF72sybWYy31HKvo387PnVu8mtvZo2H2tH&#10;Pi+++GIuO++2gUyL8+Xk9Wee/kV6fg2cbn/Ys8Yc4ueUTHfP48z3u8VDsFus+PR5PFkM0+7zoX+V&#10;maWxZZF/6surynfwYe2ol5XXYuRt82kuqzAP1aWB7m55rs4OLFts8xkWpn2mRRw853bHBp59O+MD&#10;+0+pX8cOE+7f/vY3dmg1tnMMMgHdv/vdb9M7CvHN46PfemT0LFYZxzb1hw4G3fqwQw5J9W7o35ke&#10;dlFuXcD2fZnd91F9PGKc45Fm28ZiL/Vhm6rTcDwEGRXbzjCamXyZfzE+51z0H9Y20KdY64ivd1TX&#10;z/flINwYJ/rLS4BjPe87fBfLxZyVm9s4ry2YmNfwDTnMiXa+rLJzTb9uDu4lPL4/MHoMcxxw/MKN&#10;uvlnol7a1ktcyNb3hXdX9Q3DcHYCPEbuqsKAD8M9903+iDGaTdIMIs6oy2OdsTd/5223JKs+cl56&#10;JzT1XJplnMxwzNPQh7H2nd+7jM31xH5VWHkc6HXY40ZZ2NtG2cT2NJt23Pp25nmWaw6ZDH1YPi05&#10;Oci7Oj7jZSb6AvsQ0LGx1wGc4D049Av6B/3Es+L5cvP5LDYM41x/koAkIAlMqwT4bADT83WMn8nN&#10;DPNufO8JnE39GXoXfzi/HfY0OVfn+Ro8Tx7GXVnIC1yM8nh/Fr+3iPmd/NULv2S8kC93sVwx2+nn&#10;0+cz9Av7DP3F5zf0P/q+bG28XHa2j+wzReYvfp7WWUntkgQkAUrAcjT9YIKv8e4W1sPx3YcyTqY/&#10;Tc/Z3s25+1Wv3CM9P8zvHcOf6+NvW7481cXA59DXsNZa5GDM05zDY+F8BoDJeNZP9nJubCqbIFff&#10;P+Bj6NngZ+x58PwZ9rPx3AV/7n/gXTA+a5XXKetvliN+tqNVdklAEphmCZCnq9q4/YkfJtizwLvS&#10;4Ow3HXRQKW/HeJkcDtOHY87GubGVp55SsT4a+ADzeH5OD2Gcw+O8HOKVc0FTfprteHn5QxaZbOHP&#10;n5cxnrlw1gz8bN/DAx7wfjZwgOczhPObXkiDX3a2P5O5+LlqpCpMEpAEpk0CTTg61mZ8kwd3h4G3&#10;8YPedNLbT0w5HDyOH/WnKo62vA09i9+DsO/5BO7Nc2PeP9On8342vjja8+Yg3HF5W1lbO/sj+PE9&#10;enAzfjjrD77mj3sdwMndd90Zg6L8JAFJQBKYOglYbrb2sobG4sT8bPo//P736ff1qH/jfgzq0TQt&#10;f5OvEVbk62x+95wAd+YX5n1wj483CD5SHuRYmmGfgfIu9kW+X8plaONZe1YWzovqTxKQBCSBaZdA&#10;Ha/69tv4tNP0ceFmGE0bB2vmd95+a3qO3K6Xk5tjJvwsX2d71HkOLueHfLxyfiDnyKyXUcafcZmT&#10;swPHFjm72CfMK18289qQvsthcSS7JCAJSALTKgFyJ80m7YzFjfk1yYtx7Dnygw44oKtfg5NjP+rd&#10;WD/HeijOHHGfkjzAuZ5mfs4X//Yvj8C5+Ty8f7Wb/YQ88n3EdIGXs3Lmxc8cMDIlAUlgJiXQhGtj&#10;cayftUOI3l0nWKyJ8xx5L/eqgK+PXLYsPYuE97bi8764Oc+r/ciDHNosbb4fmCbPvz5O5g7lwK3z&#10;YXUjR+GSgCQgCQxPAjEuxz1o/fA17gvHeWGcCbb3qQQuyDjCcwHPJNMM8cktwawKK+qGIV1d2OI5&#10;NF/WNOQnfh7euFPOkoAkIAk0kYDlaGtn2t//7nddvl5+1Fu7a+Bc98aa+I6v2Knrb9fI8V4uzgnj&#10;3R18izrjrbwu15TLityc1/eq8rHPBMV8po9bq2TRNEz8zBEgUxKQBCSB8Usgxs+slQ3buvmR7jva&#10;lo/J2TR9GN6/5R52cU3c8mTgXvIJeZVcS3cWjvjFNEwLM8Tv7/nA5jULdvEzkS9TEpAEJIHxSAC8&#10;a7kXtbBuay+rId7PTt/L7tx98ppXvybVpcnRNC1X027vqMS7ubjnCjwbuNRydmaPhcX8yKFZWD1/&#10;M77MTM7i5zK0y18SkAQkgfFKwPKytaNW3u1r+uT2J9J70FZ3vg2CM+Jl69/kbhuOc2e4Xxx3rmBd&#10;3HIv7TTjXBrXo8nTebPI//E8Zy+e+NmjWm5JQBKQBNotgTpuRu19HLuHDd4lL0OPLrNTx0Y43sXG&#10;ujjvo+yfQzPurub32ePimDzFz+0eh6qdJCAJzLYEPM96N6QT86uTGtJgD/uGz16b3ptS9h625W7P&#10;5eDsZYcfnt4pnp0/W5OePwvcSz2apt2DFgfHONn6iZ/rUKxwSUASkATGKwHyL81B1Yb50YSOzX1s&#10;6Ni4m5Q6tDUtZ9NOc5edd8t9u+mszvq45RzZmz+XiJ8HhXTlIwkMRwKcO6tyt3GsPZamLpxpyuJZ&#10;f2tnulGYLJfmKMqc1TL4DU57n7jXoy13l9mxp43vW+NdL35zkVwd9O0y7gr6d+yMeFV6hmUm86GJ&#10;8qzdll/mb+MM1y5+ntVRp3ZPkgSa8JCNY+29ttOmpd2byJN+vebfb3xfnndX5dtL3Kp8FJb1+/PP&#10;PZvc+7WvpufFsR/9xgMPbHxe3PM39W18x4vvaUPnJq+CPz++YX2pDk7etfHLeJ9x686nl4Vn9ch4&#10;O5Q3PI4WP2vESQLtlkAZt1h/2mk2bdGw4zetxzDj9drGYdZl0vOukiW/2/X5z12XrDrvw+nZb8/F&#10;1s31cJoIg926wd24XwVnyfHdbPywz233usnFgVOr3w0L8QOvgmvJt9aej+v1ae8O+eXT9e8vfp70&#10;EaP6z7IEqubLmFzq4ttwa7d5WX9rt3EGaR9FGYOs7zTnhb6I9UfMD3KAP9bHuae9qvOulz87bjm7&#10;qd1yOO40xbeTweNvW7481cHB41xDJ5/zeyJV3Gk5Gnwfi5vF4TNAPE4sXT9+4udpHk1q27RKoGw+&#10;RHsZhjucMS/it/nhh9IfzuvCDRN+OA8U+2MeNG2+tNuwWB7D8BtkmYPMaxhtbVueL774YqMqNZEr&#10;4mCNHFjE+fErN12WvrfVy7dBmnJ5WTzL8YgDfgfP4/7y9WvXdPVp8ip5mW6Y5HPrN0i7+LkR5BRJ&#10;EmiVBPwc6N9t9XOSn4sQbv2wh7hx/br0jmc21JcB/5gf4w/TRLmoH3Qv/lBn2utMxD3p7ScW4g+z&#10;ztOat8eAd6PdMT/Kg2FlJuJR577ztlvSPW7o3eg/7nMT3xbD9PPYpj/j0iyLB3/o5LhLLc+11JWp&#10;O/e/bp3Ptzwf8TNRI1MSmDwJ4IzOytNOTTgHeTM2F1k/Hx9u3A2J+RC6TdUf59eqOIMMAwezvnVt&#10;YDyYPq51D7J+056X72/v7rX9TE+T6en2JsLph7UhrgFB/8bZcvzsM1js3TD2PU3ixLvpjzNr5NKY&#10;/sywYZniZ6JCpiQwORIAd0KXKJtXOL/E+MmGebvPD/Pd9id+2ArBkJ99HX0benG3omETUAnwIrnR&#10;V7fM38ezbp/Gu21cb2dcmj68zA0cY9z4H/Z58C3P9O7yyLMu7mC56ILVKU/79WzvHjRPi5/LelP+&#10;kkC7JMD5COu8MQ4Cbx122JLktNPfmHzozAOT8y54fbJh0w7JmefuX/idce4BydpL/nty3urXJ6d3&#10;4r73fW9O9ttv72i+KAtncvHHOoxDMuTnWNv79RtHO1RmuyUAfdzr3ljvxjpVxr9hfZv8TLPsTFm/&#10;vC1+bjdWVDtJABLgyZxnn3m6wKGv+8dXJ285cv/0169uiXR7/f0eyRFHLE2O7OT1yt13z5WD+ars&#10;LNmoekj8PCpJz145/rkTujbOqtnxBDvWu+03tD3vZjyNferA4T5OL27x8+xhUS2eVAm8lL5XSl1x&#10;57/dJeVQO4cgzLutX1UY82X8XXbO8qf7+uuuKQjOz2uFCAP0ED8PUJjKKioBi2e8z433uIl/mljv&#10;xnezybOBk/05r8VztPg52k3ylARaKYF3nPgvOb0Wc4b9kX9pIgxr3itWHJT+lq84MFnese+/dJ8o&#10;j9u8vP2ySy7uysTOY13PIVvEz0MW8IxnbzENO904Q467Se14wDez8U4AORomeZqmDevXLn6ecVCq&#10;+a2XAOcJPM9jHwzzhOVf2A87NNt3Xr3uNeme8+U3zCVX3jSXfPLGzITd/qz/pdfOpWmwX233oXd8&#10;+U65Oen1+/5Td84ah9DEz+OQ+myVybHGVtON9734brYde3xXOuNf3kPK97C8Pt27W/zMnpApCbRZ&#10;Ai+l507t3LDX37+qc+7rgOTSazo8vMC/5F26ycl0M5z+MfOKDqdfcvVcytW2PDwX+D/OX95/GG7x&#10;8zCkqjytBIjnsrtYNq7/WO6ZFWMCunT2ja6MlzP9uXcujunY4mfbO7JLAu2TAOeMLY881NWbwZub&#10;rs/rxORay8W0I4zcTJPxadq49Ftz8ctz+rqVDutl/YZpFz8PU7rK2+PZuykhvI/lz3eDp0847tju&#10;+W5w7SB4WvxMqcuUBNotAdzHYNe2LeeST2tNs94d42OmJ4fj/SyUyV/ZnDUKyYmfRyFlldFEAniX&#10;IYZH+650TB/u1U/83KQ3FEcSGL8EcK8CeRImuXSYpufncUohNh9aefRjH2d7VPbkSwD3AnjcYb0b&#10;3+aQ/jz5/asWSAJNJSB+Dvd7+jmxX3dT2SueJFAmAb4r7TGIb2KGd6X724+W/lwmdflLAu2SgPhZ&#10;/NwuRM5ubfw+D9a77b1+PFeJfWqcHbPvXPWiV4ufZxdjavlkSUD8LH6eLMROV23ByZ6XfQvvu/dr&#10;0bNjuHfMcnTTfWjxs5ew3JJAOyUgfhY/txOZ010rz8ne7VuPewpiZyXCvWP2Pazqd6XFz166cksC&#10;7ZSA+Fn83E5kTn+tLCdbe1nLEQff2cCeNNe6Yff3jtWtdYufyyQsf0mgXRIQP4uf24XI2apNE172&#10;ErFnx8jTMJcuWdI5O7Ymdz9obM1b/OwlKrck0E4JiJ/Fz+1E5nTXyvKytde12sa1Z8d4zhu69MpT&#10;T6nkaPFznZQVLgm0QwLiZ/FzO5CoWvQjAdwvFLt37C1HHJFsWLc2x9M8SyZ+7kfSSiMJjF4C4mfx&#10;8+hRpxIHKQGcHVt52qm5PWno0/g+1jlnnlG400T8PEjpKy9JYHgSED+Ln4eHLuU8Cglwzfver301&#10;qkvjPaxsHzr7drT4eRS9ojIkgcVLQPwsfl48ipTDuCRAbqaJb1biG9Lcj6aJ97A+cu45KU8//Yuf&#10;j6u6KlcSkAR6kID4WfzcA1wUtaUSID/TxHtYsX1pfA9L+nNLO1HVkgScBMTP4mcHCTknVALkZlQf&#10;9ie3P5Ec/dYjC7r0N75+z4S2UNWWBGZLAuJn8fNsIX76Wmt5Ga2zbtivuuLyHEfffded0ycEtUgS&#10;mEIJiJ/Fz1MI65ltkuVmCgF+0KWPOvItKU/ff983GCRTEpAEWiyBzQ8/1H22xh1E/O7zJ2+cSz55&#10;01xyZcek3yBM5KvvP7cYEKra1EqA38PCM7n+JAFJoP0SaKI/p1wd4emUv8HhNT+kRxya4uf240I1&#10;nF4JgKf1JwlIAu2WwIud6tXxMznV8mtqr+BkmybG3eLnduNCtZseCcTWu6endWqJJDCdEnip0yyM&#10;Xc/Pddxq+RZxe4mfpk3Xt+e6a+p4P3Ocf7Fv9vGd0X7NcbZHZUsCXgLiaC8RuSWB9ksA43ZrZy/K&#10;8lCqG3M92qxJW162cby9LJ5dC5f+3H5sqIaSgCQgCUgC45FA9kz9UoLzYfxGHXja8yvdMT055sf4&#10;1mQ8crT4eTx9rlJnTwLSnWevz9Xi6ZGAXd+257ctv156zVwyv6lz7vryv07Wb9ohPX993gWvT848&#10;d//kjHMPSH+wr173P9Mw8G/668TfdMPCOXCzXy1+nh78qCWSgCQgCUgCw5GA5Wfoz+9935uT5SsO&#10;TPbbb+/curddA+/XfthhS5IVKw5KTnrnm3J5D6dlzXLV/nMzOSnW5EqAOjTNyW2Jai4JTJcEOCZp&#10;+tZdevHGHFd67uXaN00f3tRdlh7+WGMf15/4eVySV7mSgCQgCcymBMr4GNJAGH7gphhv0o9mjIPf&#10;eOCBaXrkcdLbT0y/mYP7+KvSVIVtXL+u21FVde9GGpBF/DwgQSobSUASkAQkgUVJgNyH79tY3iV3&#10;gq+u3HRZemcv1r7xw92A+GNab4+54Yc/6MbIY+vmR9J8wcOWE3d8xU7deiDOqP9sXaw8FmMfdRtU&#10;niQgCUgCksDkSsBzK/RfctCbDjooufO2W3L8a1uKtDa9D6ty2zBrxx1Gn//cdblv4K087VQb5f+z&#10;d+ZftxXlnf9X1LS91DB4QbL0aq/uRPFG4xCD4EWUQQE1RkWNs7b26gSFixINipqJ1pC0AyIOERFn&#10;RY2hTRTQdOIAmjb9Q0fJDzG/wOnz2ed+z/me563aZ+9z9hne9z57rfd9aq6nvlX1fKtqD2cj7uTn&#10;jcCclSQCiUAikAi0ICCOvevOO6bczL751ltunstFPHtefveGvbT2vHAZZ9mS/A48bqTCFSd51RVv&#10;acqAiymTsnWhj/bx2r//6733VtcCyjekRE+tU4aSQ+qXZSUCiUAikAgcPATEx5JqIXwrLuKe8edu&#10;vWX0xje8fvr7Nrq3TDo4mr+v3/bVhl/hWJ1X6+xaUnFIwvidWeWnfLhQvxmPm/I/9YmPTXVBp5tu&#10;vEFqbkQmP28E5qwkEUgEEoFEoIKAc7SfbR869bTRkTPPbPax/O4c3CpO9T2x+LyvVBkvf+llTbns&#10;l7/4+c+OqIu9NbqcesqhhqPZQ7/sJS+utGA9wcnP68E1S00EEoFEIBHoj4Bz7Aued2mzjxVnw6fs&#10;deFo9r/aEy/zmzc/vufuaf6P3vChpkzKfsbZT2/4GAlfX3TB+dM9NHps8kp+3iTaWVcikAgkAomA&#10;I+B7Z8LFj+JpONPvC3vedbrh/2cePTrlZvR501iXTV7Jz5tEO+tKBBKBRCARAIHIy0KFZ7XhQj2T&#10;pfBaesUPLamPd6q0TkCfTb9jlfw8dK9meYlAIpAIJAJdEChxLmfW4makp3F3l/JXTYMu4mfkpq/k&#10;500jnvUlAolAIpAIgIDzrdy+ZxUnKm7TqCU/bxrxrC8RSAQSgURglxBw/hU/aw+9LT3RKfKz67kJ&#10;vXL/vAmUs45EIBFIBBIBRwCuK/GdcyIcvc0LXdBhW2uF5Odt9n7WnQgkAonAiY2AOFrS+Vnn25tG&#10;yHURN29jrZD8vOmez/oSgUQgEUgEagjsAj+jGxy97bP25OfaKMnwRCARSAQSgU0jsCv8TLu3rUvy&#10;86ZHX9aXCCQCiUAiUENg25zoem1bl+Rn7410JwKJQCKQCGwTgW1zord927okP3tvpDsRSAQSgURg&#10;mwhsmxO97dvWJfnZeyPdiUAikAgkAttEYNuc6G3fti7Jz94b6U4EEoFEIBHYJgLb5kRv+7Z1SX72&#10;3kh3IpAIJAKJwDYR2DYnetu3rUvys/dGuhOBRCARSAS2icC2OdHbvm1dkp+9N9KdCCQC60JA32SS&#10;LNXTFldKn2EHD4Ftc6Ij2qZLn7HaJ63Xvyw/65tn/ttbcnv56U4EEoETE4E+NmlRWsVLgmjNfWKi&#10;fXBa3caJaqX3vcLaZCl9DJNfkvKW0eWzn/n09DcpxZOS4shl5LJleD53t+nQJd0b3/D6KeTCTHIa&#10;kY5EIBHYaQQ0ZyWjsrVw0pXiSmGxzPTvXwS6cOLQrdOYklT5i3Tx9O6+6SMf3sPR4sMu3EfarulU&#10;rstV8no57laZSHGzt1mYlcIUlzIRSAR2B4H77rtvTpna3K2Fk7kWVwufqzA9+w6BRZwYG6RxIBnj&#10;u/pL+dt0UXqk3F7XR2/40JSjnedWcYsj+5axbD7qiXlL3Fxqv2OR7kQgEdhdBLrM35qd65KXlndN&#10;t7sopWYg0MaJNYRi37vf3bX8Hu7pa7oojaTnx61w30eLUyPfKbwkPa3ckqX0CqulqYUrX00q3xtf&#10;/7rY1KlfbZacRqQjEUgEdhaBZebrMnl2FoBUrBcCNU7sWkgcO9FfK6eUrk2XUvpYNmlKHF3jwVq4&#10;+LEWXwpfJk+pHIW1cXNsd/oTgURgfyEQ7Zn75Zb0lpXCiK+Fe9507z8E2jhxUWt+fM/dI57Pevc7&#10;/3Du79pr3tH4b73l5tG9P//5omKm8avoMi1k7BjirFt8KyneLEmlkSylWRTmeZ2bmXdx7skv6W1P&#10;dyKQCOwuAthM7Nz177tuhJ3k/hXvjfD3jLOf3tyjky2I0m3I6ac9YnTpxc+d5pUNxh5Tvq60EUJi&#10;f8q+nEh//+u99zbjysdLm/uqK968h6dL46aPLqX89IDC++yjfR7ITXvc3dY+T6s8US7Kr3jdb/a2&#10;7M+RlVonAvsLAdkOyVW1x57Bm8xpca/m+RBSNkZlRf+vP/7xDX+jw4c/8Jej791159Q+1tqmtkdZ&#10;S5/h60WgDyeiyc9//rPRE44cadZ5jAvWcFq7ad+M/6or3jI3Jhmfi/bSfXWpIaOxBUfHMauxvGm5&#10;SA/ifd9ca1uGJwKJwG4gIDuDNtg2zgvZixw95+ypfWyzM7IJkm1ph4p78H94yOjss84avfMdfzC6&#10;6847WoH09nlCwmtxng5313QxX/onCPThRLCGjxkr8O13K+sx7xPK5yyGPMfecvkUdk+jwD66KE9N&#10;qnzfR2seSA415heVU6tP4cj/+rrX1pqS4YlAIrBmBGQvqCa68XuYVIHf2ItgC30uyx4oTH7JWrji&#10;F8lV81O+ynjoQ3559LxLLh597tZbmjVGqZ1qr+KiVHzK4RHow4nwMX0L3+JmL/2G176mCYtj6tCp&#10;p035WHUwJu65+0dzjVBfE6h0KmsuYQ+PypR0jlbZ25aaH+ihfbP0jbJH0zNpIpAIDICA5iBFyY2E&#10;kzkb5Oy4ZkN8btfSrCPc63W316VwSY/Dfe4zzhl98C+vb2x7FxgdG6VXmPwpl0egDyeyVqRfdY/0&#10;Na98xeipT37S6IrLf3909VXHRm87dsVYXtn8/d5/e1NzDg43cun+y0033jAd71HrPrrEvHFMyC9Z&#10;4ujaGI1jdkh/rFNYxvakPxFIBDaPgOwFNcvNM11//j/+rJWTSzZCc13S03iY3Eh3K73C5G+TtbSl&#10;8FKYyuYc/FnPfOboIx/6wOY7IWucItCFEzVO4Wf6D8mF+4UveP7oJS/6ndGLf+eFo8te/KKpJOy8&#10;c88dXXTB+U3amLcJDP+66BKy7PFKV49QWImjNR43KTUvtG+WrtJT/pSJQCKwfgQ07ySpETfPQr/8&#10;pZdN98mat5KyGdGv8JpUej23zT1r7CN/3MP+5je+PvrG125r/uTGNvInP+sF0vPMz8te8uLmObC2&#10;Pb10Ud2SMVx+l+LqT37so+vvjKxhDoE+nOgcy/ilD+HfC89/9lTi1t9ZT3va6PxnndfUp7yMJy6f&#10;C03A+F8fXZSnj6RO5+g4Rn1MrsPt9UVuju0o4RPTpD8RSASGRYDnvLARPAPr8xV7EP3RRiheUvEX&#10;P+ei5rkxOBUbt+g52ba53xYnJO664zvT916xv1Ef6RVlTBf9pCfsBc+7dMQ5KOcKfrlu7vY06e6H&#10;QB9OFMciuegvnWcj/Xwb/6tf8bujZ5/3zCYtvEx68tb6ro8uTaH2z8t0tyWZOp2j4xhdl9/HunOz&#10;6+ruqbLpSAQSgbUjAGdim/Qs6yI7oPksqfRnnH7G6GWXvaQ5D8eecXWZ14vSEK80km2gxDRf+sLn&#10;Rr/9/OeNDj/ycGOHpe+qkvuW4ObPgqtuyTY9M64dgT6cSD/Qn0iuODajn7RPe+pTm7Qxb6nv+ujS&#10;FLrEP9W7DY4GD7/fLF2WaEZmSQQSgYBA1/nk6fryMnM42jk4ijNq8XFQa+e8P/nxPaN3/eHbm2fB&#10;aM8Qf2DC+Tr2jfsC8YxAmEsCiru7grRMnq5l72K6Lpx4f4PlqLnXQV/CtePlXNOvPBfme+iJexLG&#10;82PaP0d+LmHRRZdSvr5h6mM4Os61ZcfqonKI931zX50zfSKQCCxGoOtvRFES87/Lftnntty848x5&#10;dXwfZbGG20khmxdrh0fhU96xOvmkU1bmauGDHdU5QukcvKaP61dLUwv3vAfF3ZUT77//voaXxc+0&#10;P3KZ943ifvMpT26g2iV+RiH1se+jpb+k2rBI1tIrHJnvNzfDIP8lAmtBQPO5S+HYvCNnntnJfmnu&#10;M4fhcr7hoLPcUp0e5u4ueq07TRd9eP4MXn3YQ0/qhQ84yd4JM5fnPP2s5oyBe+Pxcr3klvS0pTCP&#10;P4ju7vw8Gr3b7iGDhePvfePup+0gP6ufJZ2jvU2ruB0D7ZtVX5QHcVxlmxKBTSPAvNLcKtXNPg7u&#10;6Tuvec6ab/rraqtDaXZdltoQzx6++PnPjp5z4QWj//jgh7Zyr/CUzYuSeA9jnfOm8Tk4dpdvRS9z&#10;lfRfppxdz9OFnznLHu84w/n2/Q3ml5z0wNElJ4e/kx7QhF14+JGjZx892kCw7f1z7E/5JUscrTGl&#10;8ddFxjx+v3nXx0LqlwjsVwQ0j2v6cxbd5Szb5zhzl/1k6arVp3DJUt5thnXRK6bhO1TYb51/RxsX&#10;+dcxlLstD+sf+sfPwaMONX8M3ya266i7Cz+rXnHstde8vQkCe3HzxSc9aHQpPN1w84Mm/PzoR43O&#10;P3puk1Z5kbWrjy61MhaFl/pTYSWO1vjqIzUWtW+WTqpH/pSJQCKwXgQ4i9a3kbrOYfZ2uq+8aM7G&#10;ePkl19u67qWjj3SS9NwxLPpJSxg2sst71o617GGUpFGY0lM232djXSQdJF3fE8XdlRPZQk85dnzO&#10;jR9MLzl5wsWXnDzeM485uuHr4/vniw4fHp1/7m7sn7v0p8afxkocOwqvSU8fuTnWfyKPuYhF+hOB&#10;dSDAnizOVc1RSY9nvyxeRp84R93v7qh7W1xMu03/snqSDy7oex5Rwtzxj27eVaNPWBPUngffJn6b&#10;qLsLP3O+TZ9cO+4TMKRv8ONueLnZN3PGDUfPzro5396V/bOPRXeXMF5mH+1jz7nZ63J3qd4MSwQS&#10;geUQ0NxCch7Lmanbe5+fHt7YsHFa368tp8H+yOU4raqx3k2LeK7LzzkIa67SM2artmVX83fhZ3SH&#10;o/V82LuOfwOMMa/z7cm++ThHHz/nvvDwo3bm/nNX/DV+l+FoxqXfb1ZZXevOdIlAIrAaAtgz9nVt&#10;fCz+IB3zPK/VEFj2uTv1g8su/Ub6yTn4m5t3w6S97G1Nkk5xylOTXdPV8g8V3pWfqW96vn38HjI4&#10;zfFzeE5sP/Iz7VTfMHdr4yWG4/d9M+XklQgkAsMjoPkZSy6dZ9dsP98TiWemsbz0d0NA/cF71F3v&#10;TfNNb+8b3NGmKn5ROOssnsvHXuv+hHSKsluLdidV8nO5L9SvXfbRjJ98v7mMY4YmAkMioHnpZcKz&#10;rI3bbLxsPe/11p7J9jLT3R0B7xP64pUvf9ke7hX+Lk895dDoda959RynL+Jizy93zFP65qi3Jr5H&#10;5nG75k5+3tsjGm+S4miNA0mND+2blT7KvTVkSCKQCHRFQPNJ6eVH8v5s6fnsOEc1V3mfV/lVXsrV&#10;EXBMWf8Ib2SpLzyMd8s5I+f8Q++ne3zJ7WG1OghnP889R34XjEt6Sqrl7ne34rclk58nyMc+kV9S&#10;HB3Hnd9v3lYfZr2JwImGAPPyu3fdWXyG2G23u5m7PDemS3Nb/pTDIMBvYwp3SdlN98uN5N6pLvbg&#10;nJVjW2vPiCuvykWWwmK8zsH9XWvVq/EgqfBtyuTnefTb+iZytPbNKqEtr9KkTAQSgdUR4L3m0w6d&#10;PmeTS/ZZe2vFwc85T1fHv60E3z+D+5Oe+MS5/bRzprt577x00dc8LxD70vPKrX6Wv01SHuXqe62q&#10;e5fGR/KzeqVdqs84i6HPa2NJpSi9/CkTgURgNQQ0p1gn157RdvvMngz75mGXXvzc1ZTI3AsRiJzC&#10;mggOrD075v2z6DySfS/9//KXXjbH+V6Gu9v42eMYTzoHX/abowuBWSJBxLKtiIP8/LbmPu13dwkP&#10;MNPlad2t+JSJQCIwHALxDMttrNx814J0XLJvstk63865OlyfxJKEufpDmHNurT2w4kpyEUd7fToH&#10;r3F/qfwuYZyDv/+6P5375qjXuyl3xLKt3oPMz23tVlzOaSGRMhHYPALiZnGt21mFsQ/y88po38QV&#10;69C+Zh9q4TUd+qavlbOt8Brmahf8q75Tv8kvSRql79oO+h2OKq0BYj3Rr3pLEu7v8/ve6N1X91ob&#10;I5a1dIR35+fxdz7H3/jcr+8/t2GQcYlAIrAZBNzGlbg52ljsMns0v3hWyW3uOvmZel1n10Nuxeuc&#10;FpvKXg29OHu/+DkXNW78Xf/gDsrBlutSPfjdrfh1ysgpjrl0EZd438T+5B6i0nfVV+mFL9j2ecYM&#10;faIe7m++OTp+l4/xGMcaOqr+rvouShexLKcfrwfGEdfq9yXHknfI0FvfJ5n9NoZ/33P/fT+s3P4M&#10;TQQSgW0ggL1jXxTtuNtM4krcTF5/Vol0zhXrbI/babmR2PWj55w9bU9sR4kfvO0lt5cBF8HXP/nx&#10;PXuaJz32RAwcEDmlhvlNN95QxMHbUzrrju2QX7LUHM7BweUJR45M63QsqdPrdXetT0hD23gvLD4P&#10;3qYL+rXFe1zEstQ2uHk8tKb7Z77DzYXe4mdkw9H8Xsb09yWTnxug8l8ikAgsRMDtkhLDzexZoi2V&#10;XzbS9zJeTrRvNa5QfctKr7NUBnpwThrtvrdDbslaWsVHqfSS/A6U4+J6LdLX0/Z198G8dC5Cu9QG&#10;3M7RbXrHuOinHYQxpuBUnYN7XRHTPn6dg7MWqF19v40Sz39K5cLNXDqTQHKhu/Oz3JfyOxljvs7z&#10;7Qam/JcIJAILEJAtlSQ532qMZ5Oypb/0oAc39sdtd6yCsvpwRcy/rF9tkGTfFu282gFH0AZsKueT&#10;SP1Fv8KjZM0RcVJ9cAZ8pAudpJek4oaSfTGHo4WH9HZJHM9q1a5Sm2Lban5+S4V3cugD3tdTvSV9&#10;SmFKHyVrSr1rXVsj1dpDuPSN5z+1PHC0zrd9/3zxcS4WN8/9/vM+/H2MWvszPBFIBNaLgGwStWA3&#10;F50Dx+8PlLSL+4917Z+p2/XHz3s61BdtN2escMIydptyaxc8DM9Qn3MJvMO3XKJ+0V8rt2945Gd/&#10;py3WKT94uM6xDcRxHq70JZ1inPvdrbylMPiQ9dSRM8/co0/UKfZrm/6sw9iz1357q6QLekYspXtJ&#10;XnvN25u+v/aayf750KmnjS569OG9e+jmfPsBo2c9/kizhqAs1ny0B1m7+uhSKyPDE4FEYP8jAK9F&#10;e+f28Jynn9WJ3+L+Y138LPvqMnIzeypstF9K72GrurkXqrqFIftr7aOpcx31Su9ox7tiLo5GZ+nt&#10;fc46w9ug+laRwiFKyuT8hn17xNJ1KrlLuisdcXA/66jP3XrLXD+UdIhY1tpKXnEs++jxarFZzxw6&#10;9dDo/Mc9fnTR4cPNeTZn2vyd9+tPHD18HMe6jUt5k58bOPJfIpAIBARkn9i/tNm40rNgoaip3Yv2&#10;rStXxPL6+GkH935lk5HxnLlPecukRQeef3Yd4Oih9+wl3VbBXPejXW93w9FtbdAYcr1KYR5fcsc8&#10;1Ilu8GrpXkLbeHX9S27OwVmbxGfM0CtiWdR1HIi+JY7966/f1uh8/rnnNr/1/OyjR0cXnHdeE3bX&#10;nd8Z55uUWMob6+qiS8yT/kQgEdg/CMju1eQi+ww3c/bd9Yo2ZRP8HOuEm/tyStf2eTph6mE67xYv&#10;wAWldJ5nVXdsf1/MS/frpT8ylrfu9pTwYB+PnoxH163N3cbhiqM89r86JxCWikeXWntLHFtLG9tU&#10;yhvTSBe1McanPxFIBPYvArIVkmqJ/Nyb095E9ki2ANmc0Y7T9LmiTYm2vU9ZXdNSh+stW9uWn/vk&#10;rE2wk21/embs+vddNyJPG++rPjjZ9QETLuGudEPJVTFHr7j3l/4aF8fecnmjrtogOVQbYjlt5bPv&#10;5b5FxFk6u5T+HhbdSsO67kW//YLpWRLhbRdjgzST8+22lHvjkp/3YpIhiUAiMEEAntFeRPYp2i3x&#10;Sh/MVuWKPnWRNtaH3eOK9h0/bSaeM1tva639CpdUHvbI3CutXdSjdQ95+HZ11KeWd5nwiEGXNVFJ&#10;nzgeYrv1HpPnlRsp9zJtWDYPWOubo7V3remD2JZamPpY6VkHsB6IbcNf4tiYrtYuOJ26KIM8pXyx&#10;X2tlZXgikAgcLATazjSxTcs+VxVtSheuWAVZnimXLYUTsdd+ye6xp+Y5IdnfX3nEr4ye/Bu/Mbrw&#10;/Gfv+bvogvP3hJ37jHPmfm+Cuth/ly7qlO2Wbvp+ifQp5Vs2bCjM47oichjP2zm+aovksvovylcq&#10;38PkRtLPYK+1hvq7JtU/i+IpjzMEP5tRHw+5f1ZbwCT26yKcMj4RSAT2DwKa65LSPM77aJv0HlXM&#10;R/5SmMpFxrLXyc/o4t9SYc3BFXWEUzi7xBbDq69+xe+Orr7qyk5/bzt2xYi/q6861qT/729644hn&#10;2YWZ7LXqlKROpUGy3un7rYymMR3+DYk57XG9o5szZV1qq/xDSi8bt/u9nlo4adj3soaKv72lNtW4&#10;uRaufIwh5ojO1+FpXW36KA1S3O55PR537NcYn/5EIBHYnwjU7AS8UXvXFPvDPsH3SH1bH23KOvnZ&#10;uQSbWnrXFRw4jyb+8CMPj6588+XHefnYlHcn/Ot8PeFi5/C3XglHz9KcN34+lzLh/drFe8hgSrqX&#10;veTFTbJav9TK6BK+CuYlfVhLSG9xkks/Wynl76Jz1zRevrs9v4fLLenpdA5On6k99E3JrTCk0iDd&#10;rTSUByY6I/E6a27xs/beJX1jv9bKyvBEIBHYfwj4nJebMzrZFUnZHX/fddnWRpuyLn6mPfHZc+ms&#10;tuJnD6V2sm8WF8/LCR9rn6w4+Fhh7J8VjoTnTz3lUGOvS/dlqVs2mPrXhQP1LIO5Y0QZ0c96QrhF&#10;yf5xV36zOepNW3TFOPmRvIcMp3IWIs6N7cTfFleKZy3Y5dL9JcZI7Vwl9muXcjNNIpAI7E8E4nyP&#10;9ohnlEuX7FopLobFOtbBS9KnC//pNyEe/ahHT/nV98Ez3t27Z56km/GyzrgluU8NhjWbDG+7fY9Y&#10;DeUfCnPhil6cocDDrr+PFz/nHqodpXJcp1L8ojDllyyl5/1BxglrklNOPrW4LnEc3C1MCAOvrnto&#10;7eFvveXmqUpRx9iv04TpSAQSgQOHgGyC2xS5h+LRaFOGKrfUGV34WWnOfcYzmvvO7KFX/XvV8TJe&#10;+ILnN7acNkbbir4Ri1IbhgiL9QyFOesLjQ9JeEj8RL1cpbYP0a5tlBGx9HbLXZJgonOURXqzDqYM&#10;np1o+7ZA1GVRuRmfCCQC+wOBaDPFU7ItsrGyE5wDD3FFmzIUV5R08zaV6gEDpfmt3/zN0VOe9KRB&#10;/p765Ek5ek5MdUfMIxalNgwRFuuRPsuW7e1gT6mxIqkxxHrvoF0RS/bDnINz7ye2XzggH/qQX272&#10;4I6H46hwjUfK0r1nxUUZdYnx6U8EEoH9j4DOKt2e4Ja98d8qKtmUPghEm7IqV7TVLVtHW2r1kIZ2&#10;8h7V7Cx79pzX/Fl3t3Ddh37NK18x3T+X9IxYlNIMERbrqWGxTF3cZ+bcVmNHY0b+RRyzTJ3bzONY&#10;0lbmA88h6j2B2H5wOOlhJ0/xASvw59lAJH8XP+eixi/MkHpHQm0tzTvXhTx5JQKJwMFCgHmv55fd&#10;Psg9pC0HuWhThi7fe6crP9NW+Hn2rFc3Hl7E3ZxzU3atjREL131Id6ynpk+fOp0vdM5d4qb4TnSf&#10;OnYxbcSStW18l9pxoP2cPTEWxeGaW0onSThnDv7evOMc8Yi6xPj0JwKJwP5EQPOe71zJXriUzdD7&#10;u0O1MtqUIbiiplsbP6v97O9o92T/PAwvw9twve+fVZ8kOkcsau1YNTzWMxTm3hbKBEeNGx9LfBv0&#10;oFyOJW1lbettdTfxuucsrJhPlFH60z0k0ip9G26uC/XmlQgkAgcDAc1/2VW3K3Lrex5DtjjalKG4&#10;oqRjjZ/VdqTS8Kz1UPtnlcNzZmBZa2PEotSGIcJiPTV9VqmLdV6JmxXm3LNKPdvOG7GkfWqj5o0k&#10;v5mmsbaK3rUyoi6r1JF5E4FEYLcQ4PccZEui5D4Z9xZrtmHZlkSbsg6ukG7iXtoW61G7lAZ+XnRe&#10;3TcefsZ2x7qlX8RC4UPLWE9Nnz71Cj9J8vpeUpwlWXvHrE+du5DWsVTbNHfcz5l32+W4taVri3Nd&#10;0CGvRCAROBgIYB/0/SrZF5fw1hA2JKIVbcoQXBHrkF/cS7u8HrULqTQ8f/u4X3vsoH+PefRjmvUP&#10;OJeuiEUpzRBhsR7HYojyhWd8zlB8heRPe+gh6txWGRFLnzO4aSdr2020NeqyLUyy3kQgEeiHgGym&#10;ZMzt376MNoZnVErvXdbKimW3+aNNGZorvG5xb+TnUpqznva0ld979vemeTZM659aGyMWrteQ7lhP&#10;TZ+udbaNA8c8jiv20G15u9a/iXQ1PSOWsY34dc9ZetbKUvyyMuqybDmZLxFIBLaLQLQRfhYpG6P9&#10;jp4fJY/ySa7aimhTVuWKNn2cK7web4s/Hza5bzzcM2Lx/rPXi94Ri7a2rBIX63EsVik35qV9et9K&#10;Y0ljS1L7SmEhGcvapr+kk8LecfVbq/eEaCP3nHUpj/xDy9ivQ5ef5SUCicD6EMA+lGwENlL2Mkp9&#10;U8LzuXtVbaNNWRdXoGeNn70NSqP3n/veY25Lf6K8X+V4MlaEKWMLnnauJm7I8eR1r9vNmVPt+560&#10;1e85q42S69AtzqV11JFlJgKJwPAIuF1wNzXxXHa0m7Kl/ttDpI15CVvlijZlF/gZLGbvPw+zf2Yv&#10;/tpXvXLu/nPEMmKxCq5teWM968Jc7dN9aOdlubk3SzyX0rfpvgtx6Kn3nGvzhucXdDYgndfdvtiv&#10;qjdlIpAI7C8E3FbUvpOwiW9JRJuyLq6gd3wfF+sRHkqj+8/6drbfS17WTZ3Yc74PVboiFqU0Q4TF&#10;eiIWQ9QRy9DvL2ndh9Qf90+Ef8y3C37pJolO8X6Q1htqk+45k8fzeXtq4Z6mjzv2a5+8mTYRSAR2&#10;D4H4m4uyL9ibTXyLMdqUdXKFuJc2lurBXnoa0kW7K3xWkQfx+e1FXNN2D0XnwIvK2Obscd1qc0Zj&#10;Qt8J8Dyb0D3OpU3UmXUkAonAMAiU7AU8JbsSZTyfG0aL+VKiTSnx5nyO5X3OvbV6PE3EY1W/uL5W&#10;d8Ri+Za254z11PRpL6VbrMYcMu45hSe4DP1dum7adUulNpAaPWu/fUE7tNZoK1nl1X7HuS1vW1zs&#10;17a0GZcIJAK7g4BsgmvEb+1gI8Ubbi839Xu90aaskyuce70esBE+nibiInxWlQdx/+zjquamr2uY&#10;as9Zy7sL4brnrP4vtYU1rY+nTeod59Im6866EoFEYDkExD0xt3NRtDm6fxbzDO2PNsV5c+i6vL21&#10;epTm6K/+2uiSkx846N+Fhx/VrIdqdUcshm6/yov11PRR+iEl7wNorLnkObFdv9j/w8klXlZbttmG&#10;2K/b1CXrTgQSge4IOEfLLVsZ7U3pnaruNfVLGW3KOrlC3IstrdWjNMnP/fpxUWqNOd4HAH8fc3Lf&#10;esvNTTGkVfpF5a4rPtaP3tIz6i9uRm7zinNpm7pk3YlAIrA8AvF7YW57OGuUfZJcvqb2nNGm1Hiz&#10;vZRuseJe7GitHqVJfu6GaZdUPobanhPjd608bZeyh05D/dJBMs4V52OfN8nPQ/dGlpcInFgIyObA&#10;Q7ItkrI7elZHadeJUPLzDN2IxSxmWFesp7ZWGbJWH0vUp7GG1PjbxTNuvmtbO2dC9/h9kiEx61tW&#10;7Ne++TN9IpAI7AYCPGfqNlJ2Umfbm9Iy2pR1coX2xrS1Vo/S5P55PSMAnr7pxhuqZ9yMB7+c1z18&#10;3W7V+/KXXrZnnmjesK74o3e/ay5+3Xq1lR/nUlvajEsEEoHdRMDPGLV3kc3Z9HO00abUeHMIJMW9&#10;yc9fm+OUdWJe6jcffxp3SMaif6+6lHcTYeLm91/3p3M4ua64GU9x/G5Cv1odu6RLTccMTwQSgXYE&#10;9H2FyM3YnLvu+E575oFjo01ZJ1ckP086b5OY14ZL6fyG8Xf0nLNrWTYaHu85x7nCOIXHv/mNr89x&#10;+EaVDJXFfg3R6U0EEoEdRkD7At5t1l7A7Y7u/yndJpoSbUry8+y7l+vCf5OY19rga6U4FvnNq21e&#10;vOese87SzaV/MzxiuU29d0mXbeKQdScC+xkB7IvbG7l5v3OT3AyG0aYkP58Y/Bz3pxqDrBc/esOH&#10;ptNr0+ORin39Kr1cMmZ1xfGr8G3IXdJlG+3POhOB/Y5AzS5if9wu0s5N2MZoU5KfTwx+Znz5OhFe&#10;/qUHPbhZN67jHnRtLMdwvZ/tfOxnTOz7/Yrj1+M27d4lXTbd9qwvEdjvCGCLdO/Z7Y/c+jYh7Yx2&#10;a11tjzYl+flg87OPKz0b7fyHW9+w9rSrjL+u5bStXZkjPjZVZhy/q+i5at5d0mXVtmT+ROBEQUC2&#10;hPbWfqOg9F6V51sXVtGmuA0cuk6/51mrR2ny/arh0K+No7bno4erfW9Jro/c3PM+cuaZ03exfc0A&#10;N+ues9JTKu44fvfWtrmQXdJlc63OmhKBg4NA7blZeDteboti3FD+aFNqvDlEfeLeuBfyspUm+dlR&#10;Wd3tY0nub3zttuJzEPQP42Kdl3RQHdxzjpyMHvpDn5iHvHH8qrxtyF3SZRvtzzoTgf2MAPbFbZC7&#10;r3/fdXP2p2SL1tH2aFOSn2ecsA68KXOTmFNf21gS/0XJfeC2fJQ71MXYj/W7nzWbrqhTxFLptiF3&#10;SZdttD/rTAT2IwKyKW3315jbXEq7qXZGm5L8fPD4uW0slc5zWDe+8fWva8vWO642rjUnfK3q3Kzx&#10;WMsfx29vxQbMsEu6DNisLCoROCEQ0LNhJVsUAajZo5huVX+0KbKHq5Zbyq+za+xvrR6lyfPtEoLL&#10;hbWNpfg8hMZmrX+W02CSS3pI6tvaqtN5GbfuOXudyquwOH4Vvg25S7pso/1ZZyKwnxG49pp3TM/x&#10;3CZt69kwsIw2ZR12WX0m7k1+3u73PZ3jvE/oFx+Xnk59uIqM5fl7zl6veJqxWbq8HB+/lNF2eb62&#10;dMvGuS60Yd31LdJzHfWXylSYZE2vRfHkK6UphdXqyPBEYFkE3B7JBiHhxNIYLIUtW3ctX7Qpyc8H&#10;73zbx5G7GROx/31c8h2voa5Yr7/nLG6WRAfWDW3Xfffd10RH/ZUn1ie/ZEwXwxXfRSpvfN5OeRUv&#10;f5vsk7ZWjpfh7lp6hXdN25auFqdwSep0t3SohdfSer50JwLLIsD4gvvc/slds0WbGJPRviU/Hzx+&#10;1pgtjad77v7R3J6ZMSmeZGys49I9Z41/rxO31qslfaM+cfx6fMwf/Z62jzuWI3/UReEq2/243U+a&#10;Vf2qZ10y6te3Hs/v7kXl9Em7qKyMTwQiAhpf/r0mt02ce8dLeWL40P5oU5KfDyY/l8aTwiI/amx+&#10;9jOfHnq4jdiTP+HIkeI6lXrPOP2MJk2sWLre/cMfjL79d387uu0rXx595UtfHP3Je989es0rXzF6&#10;9St+d/TaV71y9MG/vL75+8Bf/HkjSfPVL3+p+SPv3T/6YSy68at8Rbrf3YpHxnDmktY2tGXZy8t1&#10;t9cZw0tx//Zv/zZq2ky7l/j7xS9+0asJ0klSmaM/hnu8u5UuZSKwCQRkB30OE8a83taV/DxDPmIx&#10;ixnWFetZ55pokebYw/hbFBqfnOsMZS8ph7/aPR7VCTZe5z//9Kejz916y4hvqbzt2BWjq686dlxe&#10;OXbr75i5FdYu3/mOP2j4m7L/5q+/0fAXWHndi7CL8eiudiAXlUU8HCju/NEPfzD6++99d7r20Lri&#10;U5/42EjrDdYfcqv9wkX+iZxgMolrx2I+35VTnB3rWTkT/P/4PddO10JaE2nNhN6sodSuyPOOi7sj&#10;nm3+ZfO1lZlxJy4CfLtTcxdO9j/mtV+MvU2Nv01yhT+LVOMkpcnnt31ErNdNX/h4lLt0rrOKJn7P&#10;WXX4nPD6sO3Yfbhjxg3imTofz9IqjSR53a2y5stnHQBn//1372q4s09741wSvyLFqUjWBhM9S2sN&#10;6RN1nfmVt86rKmPWxpi27qce6TWrcx67SZp6GeV6tSaiXznXgM85z2BdklcisE0ENHdljySxU9v8&#10;PT/pJXtZ480hsBP3UletHqVJfh4C8VkZpfWewi5+zkVTfvZxyV5XaWYlLefye85eRxx3nMne+OEP&#10;VrkUToCf4Hq49OMf/cjo03/1ieIfcaThj3EV+WQvl094xcPJC4+wj1906beo1b55Titz1rxOEz6c&#10;1T/J84d/8LZpO9Qe5Ec+9IFJuz/1yam8+ZMfH31a/jEu37r9b3r83T76X3/zzePpbx95WY0bnMdl&#10;44ZjXZc//aP37MF3vv3ifOEwz/20WfzNeQGYc5bwf/95gvtQ43BRH2b8iYlA5EHZJWTt2sSYjHrV&#10;eLOmY59wcW/y83bfr4p9Rr/AKeIVjc2hxsKi33M+7dDpI96Fxh5jo8XBsu/wE1z0lS9+odnX/uTH&#10;94zi3z/95Md7wkgTw9kXw1nskT9x040Nx1B+iSdjGGe6n7/1Mw1Xl+Ymc0kYIpUf7oG/xGdTXj2+&#10;ruC5b+fRH3z/H+faEtsQ287ZHGmQMa6LP5Yf/aUyanVKjzu+/XfTNmn9xLoLDMpcLt6eSV+n6Dzd&#10;z87jOE5/IrAsApEHZQPb+HnZuvrki3oNZZNLOiQ/T1DZJOalfohh3i/il7Y1VMy/yO/3nFW+JPVw&#10;1glfis8k4U04+Yc/+P7S3FPillLY9+66s6kL7uSZs4kOvsebPzOGL7hv/bOf/cu0+bFfI8+W6j3R&#10;wrSGQGqtRB/D4Zz9w98TXo777Rlva3wgSc/v8sLb3BNpu9c97aiKo7TmqiTN4AOGgPYozsu4S98m&#10;2WTTo01Jfp49G7Cuftgk5l3aIH52zsTddyy4fZPb7zmrfEnG/1uvvGIE17nNxY2tFr9pr7YuLhNn&#10;ePkNX4/XDfC17699Tyce4TyWe6ixX708ubvsTZX2IMuIg/bdajN9/63bb2/WTJynw8OM0zhO5v2T&#10;9RTjib26OLttDjBONVY9nYe5u5bGw9O9/xCQDXR+XsYGDt3yaFP62uQ++jgGtXqUJu8/90F2tbTC&#10;3HmTccq3uWu2yWuspfF7zhr3Xgflz9vXKxsuZC+NnY42XLa7Fq74ZaSvAWL5xHEGjc2/5u1XN/s7&#10;cTNSbnjhzMc+rrmXTzujHuKg0nogpj2o/oitt1Nxwkl+T4Obe+TNnnt8LxzeVp/MjyXtvyecTTrG&#10;FfdQtMf2cavv3fi4dren9fB0HwwEZANlpyQvvfi5W21g8vMM/ojFLGZYV6yntlYZttZ6abfecvP0&#10;vqnGpWQ9V3uMvq2tcqI8+aRTRldc/vtz/My5Mu/l1OxytNPr8MOdztVeh3gVrub5KPb+k3vk4oLJ&#10;GSzvYT/m0Y+Z8nOpPSrLyz/IbsdAbfcw2q5w4RD9Mb3SIeFd+oVzcrj4HVfzTIH3y/y9Cudr5153&#10;l0b4ovhSngzbbQToU/Gz7x+wWdu2zZvkCmHQ1m6lyf3z5sY0ds35U2MU2cUeldL4PWcvW26+J+L7&#10;HZ61dhsdbTNxbfbZbfUqbq8DHdyP2/Xi/il8MDv/dj64sjkb//4//sOU78kby1xF1/2UF+z0h96O&#10;ozBxrNU2Ya44z+dp5HZJ/7DPZmxNnimY52gff6y3eJ6AdSVXaUyXwprE+W/fIyDekX2STH6e71rh&#10;lPw8j8s6fb5GEzdrfC5TL/ecvRx3U+6F5z/7ODcfa/Y5rA9kV2WP5d+UlP2nPvFFdJd0IS33Sud5&#10;evYsE2evtE+8ovZJlso80cIce+EivPpg4eUon8ohjrUSYx2+js+QT+5RTJ4B5D4FZ+E8byZOllxm&#10;PmSe3UdAvBNtVZ5vz/edcEp+nsdlnb4aPzNWu9glpUF+d/wctLi9JB/3a4+dcjM2knPJki1VWMnm&#10;Km4bsqQPYfAAz5mXeBrbz3NmSofe4o1ttGFX6hSWYCG369aGUUzvfnfXsKZs1lXsr+mbyXn4ZF0l&#10;rmZ/zft+PP/HOOXd/LwOJgLwTuRm7Bffhtjm5bYZfda5nxf3ttWjNMnPmxsVGgOl8dlHi/ies8qT&#10;fOhDfnl6zxmbqOez3Sa7GzvbZqM97SruaM9jWYqXLpIxncJ59pvnz/38FDfrkUVtjmWeiH7hrbYL&#10;Vw9XmNJ0kZ7f3crLsw+lvbX3400f+fCe9+r6zJFMu5sIiHe0p5DNWicfdkFCtll6rVMfx6BWj9Ik&#10;P3fpvWHSCHONAY3Nvu/+LbrnzO9YaC8pm7hrEruN7S/Z75quykO88wZ7s9m96cnerI2j+9RZ0yXD&#10;9367pgsmEXvuXfP7MDxH5vzsbs7B2VvD6/rOGTNS50nDzM7+pWy7/v4abz9HtIGyhbxjwiVMJTel&#10;cfLzDOmIxSxmWFesp7ZWGbbWemk+NsXNjM+aXj5G5b7+fddNz7W9DLkn95yPNe8oYS+d07rYz3Wm&#10;kW2WTvKX6nT+VTrC/s8//WTK657mO+PvaMV7nTyrxFm4p1NdHqbyFZdyOe7ti1vEvTkHH78Lz5nI&#10;3nNwnjmbPHfG2pPnzHhfm3evORPnHjaX5kl9FrbHrJq/vfSMZS2GzZO9cvc20dkkVzgP1Gy/0uT+&#10;eXOjQphrzaixWeojtxNy+3vOPr5V3uSe87HGvsE/2D/nob72c9PppTP1wqtf/sLnw7dBJ89t676l&#10;JHst3OA7s+sTW86+rK0d+wmftnYcxDjev9Z7XLP99IynFTYZB5OxwX1s+J39Ntz9v//+e1PuLs10&#10;za1SXFtYl3xd0rTVcRDjeIZTtktS9qvW3k3gmPw8Qz9iMYsZ1hXrKfHgsDW2l1biZ8Zml2cX9Z4z&#10;YzqOa8rQPWfOeXXvdRe5R3smSXjF9WQf/D+vf39z1sl+GPvMN7MJr3GQ8pOG384AZ+duvuVNGtWp&#10;9LXyMnwz+2dwVp8Ic/WTpMKRfOeM5715poJ11+yexmQtpnXahLdnYXo/m3NyuJsy9M0zzsuj/Y9+&#10;ZrWHubt9xs9il8kzy31wXNEmuy2jlTWcauFDIRP1WidXOA/U6lGa3D8P1cOLy3n5Sy+bnk3DqRqb&#10;9FFp/HkYHK51pqTyIyfvOR9r9pzYsl3lILfHssEKY7+MbeW3m3j2i3D+vC1KK7sd4+65+0cj9t4T&#10;2z2x0bj9nDuW6WWo3JSb42hhrX5Aej+7W2kliWP91nznbLyW0+99zbh6/l15cfWEw/Wt92PNt2/J&#10;C283v1M+/j3Of/mX/9dMas1DSQLdXZr5ipcspTkRw/TeiWyXbBkSjixdm8Aw+XmGfMRiFjOsK9ZT&#10;W6sMW2u9NOpnXPrYxO2/x6yxKElpWkv5WPYy9J4z6Uq2THZPNm1bEj2i7UUXwvSMF3tgT4Pb9ZXf&#10;26kwpcOPzZYNRnKvkjxK627yeXkqJ+V6OVp9sQjnmM79uEt9RxjnSM7d7J3bnkObjZd5Toe39dsg&#10;zb3uMXd3uXwOd0l/oqTBjrn9kl1zfo7YRf/QWG2SK9ye1zhJaXL/PHRP18vjGUWNRR+f9EVt/Pn9&#10;GuWVpIwnHDky5SF9G0z2rma7FL8NKV50m4qb+8bYUtcp2mGPk1tpkHKrbL7fgs3VvemYR/6U6+Xh&#10;rvh6/5XcCvPy1Nce5ulwxzSE6Te9OOvWPe7J84V+Lu7vae8N57wc7uZ34Zo99/gZtX//91/MzeXa&#10;vK5biYMfI/sVJe/U+bVJ7JKfZ8hHLGYxw7piPbW1yrC11kuL41H+OC5VAu85n3H6GVNOV3rJQ6ee&#10;Nn3PGR6K/IZdkq2SdDu2DXe0l+iI3n/2x++dcrP0lkRP3H30JT1rm8meCNt6bPqNFpXbt8w+9Wfa&#10;fpwfx0UJvy79VSqnNPZL6VQnZziMSc5cSve69Tya1n6TMTb7lp2eUfP73P77qJrfJ6rUPkV7FEn2&#10;Kbo2yc3UuUmu0N4YO17jJKXJ/bNGxLAyji+4VrwaJWOjdNF3Ma37P/mxj073ztgM2Zf9JrGFnDt2&#10;sb9tbSvld9sJX7flz7h+nHqi4TU9Lx/vl+f33DNunnH23v02cey39Wx56Xe0S3agFOb2xd1KWwpT&#10;3DYlevmzNOJm7BrfddjWlfw8Qz5iMYsZ1hXrqa1Vhq11VprPEeni41FunmmKl9ZPzsfu5uyWZ1nE&#10;P5zN7Td7qX0N79HoPSjf14hvJbu0j7Qql/R+vxGb6nHEq74Y3qWuTJN8rjFwx3jP/fXbvtrwNhzs&#10;405zdF5OznRYV7PfJg/7bZ2TR3vgfrcrHo67FFcKi/lKfvItm7dUnsJqtk3fKCHdOupV/SUp+ywb&#10;u06u8PbX6lGa3D+Xemv1MB9fuDnDVt9HSW2kUR72eTENfvE5z4Fz8cyK5jzvJMlW7BcpLsW28Yy1&#10;9HaudLfiu0ry+jdL9IwY+Ylz3l+lnq76ZLr9zedtY4Sx5OOJvsbPewi8F8baUGfl+s6K5m5ZHhv9&#10;0bvf1bwPpve4//mnP23mPf/cXkwDCw7ZFOUpJFkY5GUsTLwgAWWxt3B75rZO2YesU2W2yeTnGToR&#10;i1nMsK5YT22tMmyt5dJ4RtvHodxHzzl75L9ZH+85i5OVnm+BkoaLNfdkbh9r5r/sf7QTCt8FiW4l&#10;O8d6kferpLukvhe2jO6UMXuf5lhjJ2M50kf1xfj0729OHbL/4pqOsn3cxHEtv/J52snzabc397h5&#10;rpx15OS+dvszacx37bVv/+Zf7/n2SonXSmHYj1J41zDyL3vV9h/YON6/ch1wu3/ZOhfl2yRXaG9M&#10;e2ucpDS5f17Uc/3jNZ5c+j0XcS0y3nOhvzw+uvmGmK4JP0/uc7E+H9IWrass2SwvnzDm7Hvedc30&#10;2yoe73bNw0tuT8tzPlq/IPF7PPlL+pTKzbDkacaOuLZtPGhMSWrMxbyEK47ycPONceaC7m9jp30M&#10;T9zz97sJ4zyd+9o6H5ftka1w2RandF3SKG1f6c/ixP2HPysrHST71tMnffLzDK2IxSxmWFesp7ZW&#10;GbbWSWlxTJ126PQ53mVc8ufvPuOO49X9nAtxqWzW3Zq7JX72ud9mT7YVF+0X53/sI/z7Z7RB6frq&#10;yftmsmd+fu7l7DpGrmu6t79G0Hj0MSk30seTu73vlJ6wmCbGyc8zlNyf9jNy7bclGesz97GGs//q&#10;4zPObozHgn+yLQuSrRzNOaDvPWTnjr3l8pXLXqaATXKF9sa0v8ZJSpP752V6s18e5qGPRXcz57ji&#10;+CCNxixu7bN9/sDJ4h/Wz9E+uE3YRbdsk2wQOmJ/4FL2EPj7tEnlIb//j//QlCN7Rbk1DLz+WpoM&#10;3z43brsPNL6iHrXwmA6/jzXyLRrfSqOyVBf5eG6De0LaazNvZA9mcv458vf92Z+M+N7tt//2WyO/&#10;n+0WTTZG0uOGcr/sJS+e2kS3c/6M2FB1dSkn2t8ab3Ypa1EacS92vVaP0iQ/L0Kze3xtPLc9G8az&#10;25z3nH7aI/aMV41bv+fs2vCtac1D5qZ/w1Lzeb9It1twM+OTvTTfFWM/7fFtbZI9870zHM3+g3yK&#10;Vxmyd5IKT5l83DYGuowXT1Mbv6QhTmnb0tX08Tzc19Zz5KzZZ78XMzsT15oV26Fnx2/7ypdHd3f8&#10;LprboGXdzG/ZN0ntW/R8zbJlL5Nvt/n5QaNLTn7g+E8St/4eYG6FjeVJ7p7Pd+HhRzVcU1sbRCyW&#10;wbNLnlhPTZ8uZfVJE3n6jW94/ZR7NQaR+t1n9PLw6PZ7zl423zwQPyPhMuawz9fanO4SLrvRtzzZ&#10;nEV1yCbFdKqX9uj5a2wN+wS4m/vInifqRz63QTpb8DzpTv49EcYAc4N9NnOCNStzwW1GyU0azvX4&#10;lukvfjH/PbQ+drCUVvZLtjlyM7bv1ltubrIqbamcocOkj2zvOrlCe2PqKtVDu5Xm6OOPzPgXzj0J&#10;Pja+bfxw8fGw47x86SnjdNP0xtVjXr/gMf+pWRtRtzAeVzm9IhbTiIEdsZ4SFgNXWSwu3muhXxiX&#10;nFnXnuvWuNU9ZwqeYTkDc/YM95Wja95+dXOuW+PHyGPud7fzpod3sWeqO5bhftxKR5kepzq8XvbP&#10;8LLsC2NXz2XjBiNsCpJnzCbvr0y+ocy5AnsKlZsyefkgjwHNG82v0tyi/bqfjf1gDvl6dsbZkzkk&#10;vi4atxUCxYVRXnXFm1codbmsm+QKcW/kZ+w7lv3+++4f6Xey//Phw2OeNT7Wvtn3x9Ow43vpaVw5&#10;33lPfkqzHwRn6rvPyXnsj1gsh+jiXLGeTfCzOFTaMV/i+BP3XnH57+2J87S656yySpJvEE3m02Qu&#10;+XcymYear26TCONPc9jjhnC7TVA9fcst5XN9Fa/vKHM+N9lr+/22Y9P72H3rz/TJ4/t9DDBHYhsU&#10;5nMJN/OIPfYnbrpxemY14ezZfCrZn2XCZCOxx9g72UPZPt459UvpPWxo9ya5osbPtGlClZN3ynTP&#10;8/zHPb7ZQ18KD4+5t5FTTp7fG19c4mbj94se+Ygp3nfe8Z3jMM72ewRELI4nGlzEejbBzzTCx1Pb&#10;vedTTzlU5ecjZ545+td7750rK5YtP3WIo5H+DDTz0/kSv+Yobt4v5vtdrKf5zj9nyHzHQ8+csHbu&#10;88dzWORt/sa/E8m+l7J1/9ftRdRLuol75Vc66e1+yvczhNm3H2a/tel1pjt596COAc0PtS/6CWfu&#10;eHj0k4Z4nmXRmdWfvPfdjX3B3qx6uW28/n3XVe0fOvjl+Tx8KPcmuaKVn5sGwc+T3y1k7fLwMU9c&#10;/Kv/ZcLRnFuLmxs5v0d27m64enr+/cDRc894+OgpT3xig7m4EFwn2M44OmIxFMaxnFiPdIrphvKX&#10;xlD8zWetER/20JOm6xiF+VrS7zkv0o97RHDo7FzqyubZZdbD4jLuJcGR8Zv/b73yitF7r33nlIPF&#10;q0ieMxG3isPlr0nuW035eVyGuJ19vfTjDJpwcbnqkf2QzrITXjdtovxJeydr+3g2x/gnj+xUyuTk&#10;HAPlMSCulizxNWHfH78Pserl9hF3/C1o30frvp7nWbX+tvyb5Io2fkZHMeX999/X3J8WL1z6W2c1&#10;HDvlZ+NqePnSkx8wmuyfH3RcTvbWz334Q0YXPPE3RodOnewH+c2ln//8Z1bT5EydurkiFpPQ4f/H&#10;etbNz2qBxhSSMwofd+JihUkqHKmxqfIWSerhXQnnLHEhz2++/W1Xjblx8j4k93DhUPgLzna75bxI&#10;uPyS/5+9c3u2L6vq+58SIyEVK0+J5VNMUpYiyXMSi/IhKaKVKq0yWlYlVYkm+hAp+R0Q6WppQAja&#10;2IFqG5pubrZgUBpabs1N5KJCd1sKeQloHhpeqJPzWas/e409zlxrr309+zJ21TljXsecc6y5xneO&#10;eVsx7ZSbd72VRx3g94E6LL+xsam3+8Dou/gZR/D8/vijTy5w3TZBlzF5mIOjfZ6fpo6WOVXfimvr&#10;7pLLacnF96717uVnaRpofEfkIY35VumhOfHoKv74Qfk+btR9uues7c0pb26aQ2LFFD4rm04+N//+&#10;5mYP8C839he3cEPZQY2XGsf5Nb/3YFmOB5RVloXhu6a5nEPgs22mLazxZ/lMyY447G15SMfkYjzf&#10;nOXuoGFudzhLAZaB0eBWfNfye5njon8Td3znc/4cF/3sNWVeTRv5vte8OuDzgMO01fUx+jvpWUOL&#10;7Yp8cx3Kf1rYU89r/eclBrdkN+fdiGngtcufumvsbAt603NWpt1l+ZnXIbFiCp9zvfRTv5//ueHM&#10;uHgbaQtrjAeX3/XI78puiWb5ZlksJd6hJ5dzCHym+ra31femZBjPOcsj8suiAZe5O58zjNG21I1N&#10;ynxwtCdb7+pUmO94fFfH0pvWePwxH/6cxrTQGKcb3LU9U5S71GhrLC/yLvf6+r1kdnky871rPfus&#10;fzb1q9ug7lMWRyKNd31uWtbcfIfEik3weW47dpEuy2IXPFs8cjmHwmfrku/0jH2v5V5nzZm5ab5v&#10;08KsRx95+NYZ4db7doxhWT+wT4W5eHAaDG7fkTTMFxDPXMHUmSownHKkxyiHqtPlYeOxP3P12i4p&#10;GD22BnjIu8QOiRWFz30POqTMc5/l248tDCZMG1pKGGuuc37PP//80nclIz6z3wpcEndO2ZYUp22L&#10;uotw1q/Ba9esl9eiB6xeJQ8xWt5FCxOrD4z3gTn6aW4abWjSt+YZ1Z08j0P8DokVhc/9Ez2kzCnR&#10;PgfFVo9YbH+TRmzmLto5P846t+aywXb2U0csi276+CljddSZuV18X5d9ZuwJdz1avNYPTjPH38Lj&#10;Vlgsr9zj+rpkc1mymaOjNkkT9XTUi+jKQ91VEutAufucay187nvJIWUe+yV6SxyGxj4X3cSx5sw5&#10;51U/vhs37InqbUTmcsEmMIYyxRr9hLFXL/qPWae2xhCx7mKz6WIc7WKMAhbHOQX3zHG3Gmtdx9z+&#10;qttl4d2pPe9VOmqb+HzHonqSNcJD/A6JFYXP/RM9pMxjH+IbaRGfpzA6rjlrf8tLP3uzsQW1B8Ef&#10;bOapNVbe/Yxnx64PMt7G+k7FxXS4salv43Q/pmENe5v9crms8hemXkofUC9tS9VrkU+851hsVoey&#10;T6yVJ+bf1n1IrCh87p/WIWUe+4f3stm/cn8zPJ9ztg9+97vfXbATm3s7sD9T9MTNmWF0wirMWhV/&#10;CnrFNmgzr6qz6cjH+GX4RvawLs37kb+xsYpvxRcOX3ofWCilHTjUdbDCzXsb7Rh0pnoT23rfv0Ni&#10;ReFz/zQPKXP7D2M9+5U09zv8nr+P/RQeGZv7udr+3C/nmGkTegL8EYtafsJi/Knolqk65zbbJvay&#10;M8//9ofeuvg+Rpxr6N0DPiNTZFkYXZhrHyq6ui+o4/ZF0YnaLpmi9/b5OyRWFD73T/KQMrfvuI4i&#10;NksjRpPGs/fmg0asBm9cOwVPWGvOeKJtGan4Jj1nvcO36dnDDdYyn835589/7rO3xi/Ihzlt93v3&#10;Y562TM9ZXtW21RhUMhqXUdRV+3DzPXtxOepNwsb2a0WduU2dDokVhc/9kzqkzCkR29n+lWnsb645&#10;j/Ut7EExZAybz12PjI0vwFr2gYG19HMweR1ZgOPRnoaPe7szH8c9OXwbPzzH2gbfr97cc8w3hLjf&#10;dJtyKu84zpRsNpPNNvg3Ny/froq6MrrR52M6cy7/sXSHxIrC5/4pHFLmlKjtnLE5+vOac+4vfOuC&#10;M1RiCPuOsQmndPo56htxLGMke7Ddt45MTDdXBqTPe8fy3aeR1y7lbluklGMbcDPu4N11bOZcQKxP&#10;uTfDlpLb9nLLumoffm2ciMvqz2hD7xqnD4kVhc99zzmUzOkr9iv6Uu5b+uecc+7v0WattF9zZg73&#10;UnRLxCrbHPERXOWcM7i1Li5nfnxPyzVqvuGV98LHcs27T8oYQVyWYtvvs8zivT1mXZIM94HHLZ7R&#10;zlF3itHo9PzbBVYfCiuoe+Fz/wQPIXP7xkt++EeW5rZzv1q15gyfb3z96wtcRkez9zjaWueuC6ba&#10;yno8/Zr536l0q2RkXs5gMQYSo8F+8mZcNr10Ff858ZEX3wNxXZy6WB++uUvcHH6VpnD2EH0g4+K+&#10;/No66lApGI0e9afulRq+CT0EVlivwudeEvuWuf0i3uUZ+5JjPqhrzj6jSOXjWSp0NHO4rItmvDjE&#10;e3hXZYhbmYJTyCPjlenWqa/yJG+c54Y/cYSbZh2+c9PKH8raOeX29rLf5rrq1p6Jn8uz0hU+H6IP&#10;RJ21Tzf60O9OZn2KH/z2p+7UvyndN1bEehU+99I4hMz5zvWq72DENeex/sS3qNDTvf1079ozzod4&#10;746ljDF85C4W7GdxU+wy/ab1Z57cuWQo67+ZVy4zx6/jF5ufufnmRxwb+Nyxo/Me/XX4V9rC6X32&#10;gYgx+3BH3RhtHuybiNPcL/Gtm+8i84t5tqnTIbDC+hU+95I4hMy5Hzb2nWgz4x475+yzkn7+s59Z&#10;wgrmcff5rh0jb/FLTKSO7pkaq29MO5ZmLJzyBvv1XjcGMO222C+fSOEJ/jqfHccG7NmOaXHbtn3U&#10;JZdV/sL2VX1AXXUoOvYNA/QtendX2Ex7DoEVyq3wuZfEvmXOnHXGY/30oR/8Jz/YnXOe04+GfWH9&#10;3Z35XdFmzOHn7sfOZC5BrNp1e7HNXYfeZznU++N//NTSeAB8Zn8+4bldtlds1p/Tlb9w9VB9QHzZ&#10;N1VfRv0dbSDdxI/95DEWn8NjWejwuFc8p93WH+8y3Wc569ZTmaGPlDGy2NdvFzK3ztYx+h3ficmR&#10;/vN/+s9G15wjD/n2ONHPb1/i3HZLx4BJni+L8bscq4jPYHSWey4Hfw6L9Zpy8z3MaC+zjoEdnfeN&#10;T/GouMLiu+wD6qp90qwbp+4UW/V9aHlJp+q9C6yY4m8cdTlm+5n6xXtixOc5MrSNc+mmMs91yX7K&#10;Z0054jFuxxw/8P0/0Nl7OV/2x3a47gxOfOypj96yp+7yvTxU2dlGZJ0WuWyKibne8NEeNY7nKG6C&#10;oYZLY3rzGxcpcWPxrbXmRx95+FZZkV+5C4uPrQ9EfXUIN/oSGbDerG6NehY3WMdvTLeOhef6b4oV&#10;mc8cf8bnuXWcw3sXaZSFMt8FzxYPyxFH58wlzJEVOjt/A8My7DOr+MR43OCyOPGZp5++pbvR/cf2&#10;vu6rPsiXP9aesW8tR6yExjDdc6hylE6tP6/iBw/5kNb6mY/xxXDO2vu/r64/8uE/ulX/yMf8RQuj&#10;j6kPtHTsvsPQjQ89+Fu3bKGob6fOxsyt3yZYMZe36dT50bYDR47tF8cPq+Yotqn7NjJXlpYf/eC8&#10;Y4vYT3DH83mtvIRFXqYRm6Gf/tQnF/r7mN7PQ9RF7AWvMj4TJgZuimfypy3MLUe5u3+7xTuHyUeq&#10;bKwf+/v6fWDDuIuxQOsuuMxbXkULn4+pD6ir9kVbetEwcCLrWvzo4Ze+5CWz9/mM1X0brBjj2Qqn&#10;PZQV8YNnfEw/7tGyfnNs2k3rvkuZ20/i2KLVXyjTn3nwt9yGQQecuFrC56z/j+l93XddwE/Wn1vl&#10;iIOtuKkwsJA/8nPHdS/3HkPJNwcrW2nic2KPNv0E3q5bxLNT5t+0DVPtq7jC9H31AfXaoaj6kfK+&#10;+IU/WWCGuKz+BUt+6b/94mS1Iq9Wwl1iRYt/Dot1Z47wWH7IifVZ64ce29dvXZmveoZfurlzqtU3&#10;bMurXvmrHQ6v4tNq75ve8MCNPn/h+86NdVB1+r7evWPja3vpH9q1uY6kERdNn9O0/OR59pmvLe2l&#10;Zo048iNf9ssrh1sH4rlDhe9pDeOte50dzV0zkec69bXcooW9d9kHWnprH2Fj+jPue856GH+8t8R6&#10;jfEyXrouVphvHRrrEve9cRfLsfzyuXPWDmK9d1nPbWSe68T3IOO9sPSHF33vixfjjLH7O1e1x3Ie&#10;fttDC1uLvUPq/EvX455Jat3bgYzWlY/pH3/0HUsYyhgg8lP+q/SheaDUMa5ng9GMjVvYPJf/qvIr&#10;vjD7UH1glS7bZbx6MfPM89zOw0o3xZNtsCLXcY4/32HaGlvM4bPrNOCYstzn2jP13lTmrb6Rz1LZ&#10;BillbfP76JMfXsyHYjMe6p07hXK8BzN/SxKs3QTn2J8V7du4B015iOP6pTHcssVm5uIjX2xy85lW&#10;f9HC1VPrA9vot13l5T2K86/OXUrZb4UtxS/qcd3SXJ9NsSLzmeO3DtHei/Wew2ObNJafeXDni3KE&#10;PnZjw4ylzXk38WeZ/+S/f/mCzTrlXv3qKxZjilh/3buYo3/u2WeWdLv2YsQD3+dWmHFQ4jfFA/Pm&#10;Mgy3nMg/pzWNlPhVaUwrhX/Mgx2NnPkDp7VJTd+i5M/15HtgA4ZedfbuOmeQ5WfdoC27OWJzq24V&#10;Vvh8an1goTzv2KHtqf6Faifhxu4To1dVVRzIWLHPfVHWKbdjU3uVNvgn7zFqe43Xn+vCd7iNM+2u&#10;6SqZW77U8qM/1zv3iR/71//KbGtRy5CSme8+gx3sKYrroWLB3Pc5Y1vMl/ElxolnUN0xPrpbdWqF&#10;kWeqPpGnbtNbV8KtD9jMd72QE9944ruMhLlGbbpI5TvcEdLvB0PO2NKxHNO2aE5HGcM+bc9P3eue&#10;nflti/6ihcun2gfWUnB7Sqy+/OWb/WBRF2e3+8VM36qOcdB8J8e+8dmy4zo0Ywz2Tv+/v/3bWdgo&#10;j1bbDBtLE8NZc47jG2TpmbWYTp67onPxuVUe9crPLPcB5iSQ5bY/ZcA3IAbb7t4130AEA3yf1fUR&#10;J6KbdDG9+TKNeaI75s/h8iA8lhHdpiGsFW78GB0rM6cnHWeLsanBXOanOWes7JhnJsw/cDyuC/d7&#10;qq+uN/m2dmw/NvzyGaqrBTbblk3kkNtb/sL0Y+gD2+q5XeZHZ+a16KyfxeipctW9q7Biise6cZZJ&#10;Pr6vFNsBTuIXH9flHdPHcmK4bspuzQ1jkx7il2W+zvw28gF/4zPPYwz4+1slC9NFmvPwTZbhnpKr&#10;Dl/U8+KCdBu9T97Mx3JaeiDGmdd08tEPNb00xq3jzvmjH7cykMIbN7iJPf2hD36gs7EHmfY2bmc3&#10;39jc69SllRb8d0wAxR/rQh2tZwxv8aqwwuBj7wNRdx2DmznsrKOjvsbNOznnl7HiUPYzdRvDml/6&#10;xV/o9Eer/t/97ne74IwhBBJmuDTywKYEg9k3njEtY3Mrf+S1jXuOzFvlc47K557rrz9+M3KdOrbK&#10;i2Ha0L2N139TKeKS77B6X3+mMc8UNsR0LZ5TeafKNG6d/OaJdCx/rDfpv/7Xf9XhLWvB7M1mnTpi&#10;p+54DtlyMi/DpyjrD/DUFofvnDXxKZ4VVxh9zH1gHT13iLToTXR16/u+6mkwmvnbVb85WLGKx6bx&#10;tIOxhnZ0rDtu1lDZuwXmUM/4xxwv84jQqfA/+MATnU5kPl1scyxjeRGbIyZF96ZtbOVbJfNWuYwt&#10;eN7W2TZADXPepJW/VY8YtirP888/f+1ZaDEF+bfeW7BLbGnhmPE5biy8VQZh66S3PuTDncseK8Pw&#10;uWWZTjsZvBwwuT9HrvygzG/n71PF+s2tJ3lY7468KRdstu3WLbZJd9HC4FPtA1GP3bU76lFwJerp&#10;llvsifmiGx0b8+3Lfo5lZhkShy6J9ZjjFpdIG93mbYUZB2UvWJxPj3WM7lzfbf0tfJ4qzzHMVHv+&#10;w0/+RLNaU3xzBtJOpefujKj/wRb3c8d3O+JLDNf9l889u8BWwsQNeHHHN2MqMIs13PznnivLncIv&#10;46yPOGU91qXc8QHu+sc8tfUDhxlHDlg82LDKzLmHBS7ftG9Xti3yiPPl3EWSZUT7see3lcO6cqv0&#10;hf377ANZj92Vv6U718HoVr3zXqN94XOr7ByG3mD/G3ZuC4taYRFvY3x0xzS4sdeRW0ueuU778Lfw&#10;eawcxg/Ud6o9jDNYUz/Ej3uaM86AmfH9E29zWPTjZmzIPud+vbQ/U4QbrOOOS7EvUvZIk0YcZIyA&#10;n3DSkY+5eDEUCk6JSVLKF79zvbL/mZs9X/D57f/5pqW2RzmAuc4pS8VlKfvDaNvYvEMud64fjFce&#10;ljVWBu2f2+655Ve6wt+77AOH0HvblMG8Zsag7B9bl1wHK7ap45y84iX2ImeQmdtmvBDnpadwKrdZ&#10;P/jF/nBkEO3lOXXaR5qWzG075el2fX6qzWA38vJnXv37oO9/z+NLa5xgAjjbekcjFnCeF+x8+0Nv&#10;7Ww91kbJB5ZkO3IMR8R++X7ly1/qsJMxgjguhoPbEct77Bq+CyGWzaHwWb4fc4zPcEYKe5Z81At8&#10;b8lnTlhuc87juS7bQXmkiWORnKf8hann0gf2oeN2yROdPHbuKur21vpkCyt2Wbc5vMQU6VSeOWmm&#10;8se4XfKKfFe558hcbHaMAY3PEj/jFu5n97fv9kT+3CuW7UdsOHEITOEP2xW86M/73OuwGSwFq8XY&#10;MSye0h8t7JFPKw5elhf5tsJiPG755fbG+WSx8b/85/90/ZIf/pFur0DkDQ/5ZP5z/S0e7tuzfMYD&#10;kd+2ZUZe5S5MP8Y+oP47ZoruXGVHo9/ZGx3trTlYcRftjljQKn9VfCuPYdvklcc2tCXzWCf29cU5&#10;g4jRujts/tMvLKoR80f3IsGOHJE3c9393SXL+54418u3UcHrPKcLZrUwI4dFbItu0umPbvVGDJNn&#10;DjO/eeZQeTgnn+eTxUcw+2d++qc6fI58LdM6EWdYTLeOmzFOPD+Nm7l4eFjOtmWsU59KW/h9F31g&#10;R6ptb2yizgR/1eFjNM6JtrBibxWdYBzbQLLsn8g6Kyrzy/5ZTHaUaErmzMFnO5nnGMO45zXO04+1&#10;ZSx8k2aM8frG17/ewOh+jvd97368acttghnijdgjD8OlhpsOaphp1CGG65+ipCW/eaB8D5v1ZLA5&#10;29avfMWvdHP5lh/zTpWzThy2chwXxO9zW891+FXawtdT7AOb6LO7zDNmR6vjodpfU1hxV20Yw4Jc&#10;n7npYj7ybJIv8tjW3ZI556fi2MpnFcdYi+cW5rRjXQ7RrlgGZ65cixYnwKk4zx3f94xxGS9JK66s&#10;wjPzmj7zNhyepo11mQrP6VpprR+UtXPm8Pv16eW5BDA0r623+K8KszzT5XltzlbbZmXRqrf5ixYW&#10;n0sfiDrwVNz5mw/o9pbOf+Ur/seSvX2X+7ejbCMOGE5YK9z4VTTnzf5V+XcVn/H5x1/2ssUZ8IjH&#10;un1unAePaxOHrj/lWSbYDPZoN0rZ78Xdz/HdFzcIi+6YZswdsTW6x9Jbxqq0EcOmeM2JsyxwWHva&#10;8Qrz3YxXPOskP/Pon0upN/erMpfdy7znT9mb8pxbdqUrTD/GPrArvXxoPq2zV+p6qRggPRZ8RlZi&#10;QZbbWHhOF/2b5In5d+nO+Pz3X/x93Rhp7JnwbOKahG2RxrrFsOiOabZ1f/vb3+6wecCge90688ee&#10;+miHvy2caOFyDtMvjXwMQz/E8KgvYhrCsz+HjfGJPOe4KQde8mOPXF6fBk8jRpt2Lv9Y936/9mCn&#10;xz158mu13biihbPn1Ae21WeHzq9ehoLRq/Yaic3QY8LnfclN+eyL/yq+GZ+j/HFnnGa9ItrN8D9k&#10;G3JZD7/tobDuea/bmx2/hdjChhYetcLm6o1cRssf+ef4ueXEdNio7A/jjHU8w+UeLfYOMKcA5b1r&#10;YfQ2di7tAYsZF2k7Y6/HOpa7sPfS+sAqfXvs8a2zOhkTxIUf/qEfWmBB1svH3s5jqN8cmaG/W/Jv&#10;haHjj+mX1z3Zq82e4YiFp6ofxjCc82CeMQZ/mcMnDKzkD7sY3GV/lmGsR4Od7F+P8wzkRz7IS5lR&#10;7ljZUZak8Zwa8+aMCyg3pil34fOl9YFj0o+b1gX7i3s6xIBso0X/v/jRH+3utM5lgT0t/GmFkXcs&#10;PPM9N3+r3YR1e8BeuEsmyttnEilzHthgh/rFOkd3LP+5Z59Zwhq/vQDOzMGXU9AbsR3YyoyPaCff&#10;Y85YSFoxNsog8qDNb/udB1+QW7+vnTEO4eaXtuQTeTEmiGeu4RPjW/krrPD63PtA1FGn7Ebvsm8s&#10;Y0P0R3ecV/W7UVPtj3o9uqfynFLcNm0Ca1vfMwGTkXmUO2vNnp/apsxdyDaW338fo/8WYl5PjTrg&#10;lDEDnGU+ANsXbAajxc/YLtKJzbZdjDbc9OD6MNc92L2mM7+UfOaNYQOPe9dveN39t8o3bdHC5Evq&#10;A7vQc3fJI+pY6vHB3/+9lWvSYgaYgl6o3yCBLM8h5vacAWvNfN9Z21gclhoOfdH3vrg7Y4WdzW+q&#10;nFjmPty57Kc+8uSS7cw3LMSjU9cFESfBUuxl5wZabcvt1h/5kE8/1HVj57q9gzPzj3liXG8792Mj&#10;eDz5hx+6heExfbkLoy+lD+xD/90lT3QveoBvHkV8EDOkxOlmznvVfKs6fY6tfZft36Zs2yht8VK+&#10;zD8gP2UojTJXxoeez871nmoPabknzDNUrqHm9z/bfDn+mP3iInYza+qr2kJ60kjntA25ic+MeckT&#10;y4lu+VmvaDub1zRFC4svuQ9kXXbK/qyH2asU93dHDIluMWUMpzPfU5bRqrpPtRV92roLHVlGeUY3&#10;e+Z5v+QrXVWPfcTHsnUP36zq10+xBc9RH/BtS+4YYX47tw/snMLjMZwWX+HHXHlcP+bbHrEc+Rtm&#10;Xta+wXX3bGNLm6ZoYfOl94F96MFD81TXxnINQw+AEWLwHDqG05H/pbiRIzLk/q+Iu7qlWa6Mi7in&#10;+hh/9g3qpt0HPrzlTW9cwoaWzXeK+oLnRzvBwlx/2yheQg0zbcRW3a00zkGA08xRmz9Ty7BeYnPZ&#10;zoXHua9cuv8Y9ecmdYo6t5Uf/RRt6YwnLT84jQ3u94dXldEq95TD+H721NhmDJt//ud+dnGO7Vja&#10;33p23/rWNxdzsue87skZKfa8oevE4YyvxLXC5uhHMZt3xTnuuAYd+Vo+lHqZHozWdiYu5plTh0pT&#10;2H6OfeBY9Och6sE5rLH7u1v4HMPIx34ofy193woz/SGp9ciUOhg2Vh/2b6FnGZvE9uNu4XEMIw8y&#10;WlXGWNn7DG/VifHHYPPd684YiQviyDm885xV2tddH8hLmTkXAeZGfI4yNC1hjz7y8AKfPe8c42O+&#10;chf+XmIf2KdOPDbe6mju+P2Jl798gTcRYzImRT/pXvqSl1w/cP99nR0S2ydvaYzTHeOi23ipcVLC&#10;ozun09+irXw5HfMDj918gwC7N7c3+nG3ZNWay55Tbq7Hvv3UKdaLb11qv4Etvv8Rcww7VUpbwOYP&#10;ffADi/bZll2OQShnCZ/f/96FrW55UG1j0oPJvfyvujoSRhppzFfuwudL7AP71onHzB9bL8/ftvAn&#10;YlSM5ywva2arzvNGTIhuZWOYlPAxd86jP+Yxb6YxLXMJ4FPG5DEMjjIwDbhM+53/j/yP2a1cfvP1&#10;r+vw4dX3Xnn9xA2exPd/l9gV+d6Fm/kQ973tC/uQ1xI+39wxZltzmaSNZ6qYw/jCzVy36YsWFlcf&#10;6PvAMevRfdVN/Sz/Veus4lHGqOgHq5gD55wW+if/YpnRndNt4p/Lj/EIeMq4Io4zYjvGwk1DvLic&#10;783epO6HzJPlpO0MFb94dvyhH6SnrivAzfj9ZNqVMXPTNkZenKt2vWBsfttyvFMU2ZPPcOmu6ie/&#10;ooX5p9gHDqkf77KsrJtbdYk4HXGq5SYshoNf0c9aLLYpeAguimXWQ2o99EsNb9FWmhyGTY99zJ1q&#10;4LH4OkZj3cfS0Cbm9r1jxLrFsqPb+GOkzz3ztcXcNhgRv4Fxiu/xVJ3BZ/rgvsYb8o3jHc5bxTqB&#10;t2I596SYFjxnfVwe5il8Ljy1L1wyPUbdue86ZQzRL0VXYAtjJ7awahWWjcXDj3tT/vsv/NcOt7G1&#10;0ZvoMvF7btvBX/LyxxiAP+7ymsLiVr1iWHTbbsLgGe9vQU7Kam59jyWd9V7G56uFvZxx4hx0A7Ys&#10;f/vCPPhin/e2c3+OPH5vUhmS7i+fe7Y75yU+n/vYyLYXrfHGJn3gWPTmIeqhbqasMXesR7dv6gZD&#10;xbwWfolj69ApPlNxljGWZizcfNBWmlaY8/Vf/MKfLEQSZbYITI45aVKWg3nj3W+f+sTHF3uT7nvN&#10;qzt8Fr/ODaMZ/8U5ZNq5qzbKi/V7MdezXFkfKV/2q5k21yvnKX/h2iX3gYMpxyMpaAw/xsKtNvYq&#10;c8Wtc0cR/6bcLRycSr9p3CblmIc5+Wgr237lk6nxkZomht2V27pIrcdHn/zwAiPYP3XuOoD5Feec&#10;wWaxclftBmfFXNaW5dsqZ9i33Z/DaqUxf9HC50vuA+qrovMlIFZrV2ccFetyOP4cl/2tPK18Md0c&#10;Hq00hGkng8nrzrHPl9hxpQSrIz6zPitGSHdlXx6LbgGbPWNMnWznuvUjX87LeUXuDHNvWLw7LKZF&#10;pvFOEvLgV9bSbeq3bnsqfeH/MfeB49Kcx1mbbHvFWqJTwDbWq7GtWzgYsTRirWmlOV1M24qL8VM8&#10;Yl7SsU7tvjXbMtVG05w6jW2M+NyynyOuHPP7O6du4h7zyti57IUzzPz6pYZLCUcm0JyGe0bi2jN3&#10;fJue/OaDcg5bO5vxgukyT8stWvh5yX3g1HXuMdQ/6n30DHjNXHj+hlbE04iZ27rFZmks51++9KXX&#10;P/+z/3EJj2N9kV/2H4NM91kH2hvxmXu3xQl0gVhxDhhtW2gX7Xn85h4acNG57qj75rQ3ywmsF2+x&#10;h72nLPPSP5yruurOS0d56zZtrFu5C6cvsQ/sUw+eI+9NsAydhj7EZr361Vd09uvLfuzfLPaGi6vS&#10;jNdj4abDbueeFc9zcRcY5bV+m9S/xedUwsbau7x/+97CxlMHRFwz7Bwo2GdfZF4/4rRtHsNH46Wk&#10;g4f4jA296pwa74Dp2VMuryjbsfJjmnIXXl9CHzgVPXuX9Yw6Hnf0W69WWI6LaaIbHcXZ64899dGO&#10;eubK81PoUMNIh3+X+6pjXahz9tuOU6Wt9vyfb3xjgRPgBeugERei+5z0QMRD7vACL/l797ve2fWr&#10;1vcnY/uVC/T33vvuIMOrjgdpiaOcWBbu/txzf/4KmXsnDHlMK41llruw+FL7wKnq3Luod9Tzc9yt&#10;OsZ8rfgYZlopcdEd0+L2/FBME90xfQ7P/pj2nNyxnb9x368v8IU7MrIOEIty+Cn7W21ibAI+M88P&#10;bkKZh8a+RS7gKOebof3f09fvffdjC9mRB4wHf5VNqxzykpY/bO04FiB9K4/8ihZGX2IfOCfde0pt&#10;iTgxp95j6Q2XtnjluOxv5bmEsPe/5/EFVoAvvP9gxLnZcLQnYp9Y2GonYeAoe7DBZ9aTmcOOf8gq&#10;7tcGb8F45Zf1qGWD9eIza+Bj6QnPdc48y194fQl94BL08K7auC2urcq/Kp52zEmzTXv3zX+buu06&#10;71e+/KUX8KKfcwWXzvGdj2MOsZJ2jrlznDL5zNNPd3ay9q9Yyzw5vCI/88Qw9qaJ6+C9aVp0jF8r&#10;bYUVVp9rH9i1zit+JYFTksCb3vBAhxlgzdhdVruw5Vq2qjolYhjuqbTmkca08pGSRn5S80Wa2xfz&#10;kw78jfvAxOW4DzznifxxE9/zYCw0rFXndOUvrK0+MPSBU9KlVdeSwK4lwLyseANlTjfrh1XYk9Ov&#10;8o/xIzziLXwydo7xNl+Ld4uvfMynH8q8AvPbzG2DwVE+ulmjdk6bPNazxU/eEeNbcjZd0UE/lywu&#10;Wxa71nfFryRwahKIuAH+5HluMUe6rs40X8TO6DYeKpayRx+7lT1UhsdyzRPDonsq3rLZz0VbKYv7&#10;s9kT1q8ts4dr2GfdY3Lvf+UrfuX65f/u3y7GMNY3lp3d1gU+3jFG23K68l82FtXzv/38T02XVn1L&#10;AruWwHDWqr+jEpvxCzd2tbiC3ojuTfVI5iFORn5gJvdxiYngGfebYW9i07IGTJoxXDScdGAve7LI&#10;yx/jEP7e/MbX37KJxc2+3H6PtW7i2Ov+4y972fX3/YN/2J3bj3W2HbRPd6S6I788Bor8yn1bT5dM&#10;LlMmu9Z1xa8kcIoS4Fx5j1HLGB31Ijgjxoo5MX6V++t//VdLNmPk9dW/+PMOQ8fmk8U26W081d4d&#10;7sE2rdT2uUeL8IFPn18/FCz/gw88cc34BfnEe+liW2M7lIthUsKtB5Txg3GRV7kvE4fqubef+ynq&#10;0qpzSWAfEuC8Fbj066/useq+1/xaN8eM7gBLxJOI06v0imkjjXmw071zM+LXmFv8bMdnjNavPZz9&#10;ht/rsBi7/amPPHn97DNfu/7Od769EDF7+rkfJ95jF9uQ3bY1hjP+GOp81Z2nJl1MU+62ji65XK5c&#10;Fi9hOUoCJYFrMXrAknsdfsa7N8TpOXqTtNlu5i4QbFPWenu8jTav7jaWRnwe3H1a/ENYj73MS7Ou&#10;/PDbHuraxr3j/HG/KX/gcOtMXQ5jjfpF3/vixZ20rbaLy7nN+LGXo0xdV2/xqbDLxaN69svPvlRy&#10;SeDSJSAWSeM9GmIKWOqeJvBmHdvP9Ky5cofr8t4r8XiwZeP8s+X3tI3ZrTTgMfurv/Wtb856vLZ9&#10;LPHU/PYqnYqsuH/MNjCGWJWn4pf1dMnjMuUx9j5WeEngkiXw+c99ttsTtYx9/T2W4rT2YsTqxX7o&#10;m/1Y3r3lmjLnq7Gb3/jAb3R2brZ1c1nZv176Acs54828AOemNv0xv+33WKDr4AXyQS62h3ZEma3D&#10;q9IeFqccWyL3Vn83vJ7Lfp7Lpu9r5SsJnLsEsD2xQ8WVnvb27n2veXV3n8nbfufBDnMjBrvfGjsc&#10;XAIX0XPqMOa3+XNfNRTMJy1//V3XTy/deU08Z6D4JgXp3/PYo1254D3r5EMdB1wewrTNr67Baua3&#10;n3/++bUe3zb4TLsjPjM/oCyK7lavO+7JFDkTZrj+OfK374rVUnkYrz/zHCszhuc85e/7xVovaSUu&#10;CZyZBJzXlebmEZ7vMBH3WNt91zt+d4HB6pSorwyLNOq3GK6+Il4ehpkOv3GGyQ8M5AyW69vL8+TL&#10;8+jUHZz+9reX94HR3pYsNsVn68p6s3KDUlfrX3R7jG71C8Jy/0HWPhPjol+3zyT7DZcaLzUcKv8Y&#10;FtNFd0xT7qE/ZH1U/pJASWCQAPj14Fve/AK2DBjHnuu4ZyzqFPVSS/8QRryUfKvSR966zaNfGsNx&#10;g4N8D/yB++9b4GOcJ8ee5vxU/mWM3hSfrRftdd2d8gufBx2sjDah8Xnb3wyTzuFrXtPG/hndxmdq&#10;fsvUTzrDzGNcDje+6NA38ntZ/pLApUpATJKCW/393MP8MHPJ7GWOuiXqrxiunsnx6ifjpa28xBE+&#10;lse8xDNeAPeY/+asFHPf2qysfdOW+1/7mkWYceAm6+3xpwwM2xafacNQ3r1u7t66Fx308bqysF9A&#10;p/rJWLz5KTf2v8grukkX8+T6Ghd55TTln/+8ff+KlgQuWQIZj8Bm5oAjpoBx+V4xdE3WReqoMT1E&#10;fNR5OT/5Io/ojuWBx+Am89nUjbqy9o2fe0XiXWPmgxcYHrHbNv7ZV77cdQG/Ix77wzb4bFtdo6e8&#10;j3z4j2p+++Y5j/WRdcJz/1He8sAfw3j+3X6Gm3GcayH0h/5eueX9C8NcSz93xDMkLX/us2BPBDz5&#10;s8zYZ3HnOrbCzFt06BfxHSx3SaAkcN3N92ZsRheBh6v0inop66Ooc9SVppmTJ5bLGS3ONINz4DL2&#10;ctaNuYxYvrzQq2IzNjS29dh5rE3x2XpQfj8m6PU8dY51Kvegk7eRRZQ3fOgXyPrtD731hbvVe/wV&#10;d6V9P1iOG/qG80dQ8TumNaxPx1lEnjXl0lfz/kjqZd/fpq2XkLf0cUmgJDBIoGU3c05qri5QP4q5&#10;rXziI3FT6WJexgbg6Rted3+nZ9kb/pUvfbFZL+sQdWB0R77YUVEPcw6r9dsUn2NZjikoD3eMK/du&#10;8Jk+Qd+Isu4xeBlD4zOP7mW8jrg87p7O05eL3c0Y4UMf/EC3llLPe97zbr2LFVYSuEQJsBcsrzev&#10;g83b6BwxtcUDDHVeMdrJrbSbhA26vLdtWzb0GD63cH9szIE9JRZg929S10vO05I18hCT+eZnL99p&#10;LBZPOTvIH2sN+V4575d77tlnFnfNEfapT3x8kZbxIvn7eZFx/B5s7iEN/Zl+R98eG2fGZ02fsl9J&#10;Y7xu4qbeJdOdCr1EPVxtvjwJ5PXllgSynhGbW3qxFbbJOx/1SeaJzYwOw2ZmnhD+Oc0mZcY8lE85&#10;6HXtLHRw/o3hs3VSZ+b6Gf7MzfmqKF/KotxYl0t2KydloBylhpPOsLjO4binRVm3eOydj3Q4DMa2&#10;xl/5eev3vZEaDs1hf/M33+qwHKxnHqZ/3p556McM9jHHCGA3bsZrzgkpC9upHxlEtzKJlDymMX+M&#10;PzV3lHe5SwLnLoGsU2wvukHdhr7ALojvsu/9Pt55eEa+uMEudBb4/NWbb0sQht7JaWMdN3XDl/V1&#10;2+8cd5TVFD5PlUt92e/e36GybNftYy5gqi7HGieeWL/sNxyKPDnj7ne6B5xzfNVT8Jhxlmfn4rOM&#10;bvt/pnPSkGcqnXHY4GA2dWJfR1/n2BcGd8Zq2hvbr3tKRqY5B5qfS/lLAucqAfWF7dPP95riHBy4&#10;mG079YF0V+8++ifzFJu13y0r66rsN906VB7D3PNVNyZQRtIpfJYH5UY37aAN4r6UuU3mNdep57mm&#10;jfKijfQFwnKfIAxcZi5FOUrFaPCPc3Jj3zzhWdrnfa6RGieNcbgNl+b46J9Kw5gBvHY+ZRmvo53d&#10;739kzTrOgbdkY//I8jT8VGmUablLAucmgawn8Mcw15zVcWAH94Xl9znqTNy71gPyQ/dwjye6yzKl&#10;uU678IsHAz7f6+YO6AdRTlP4nPUl9eIcWn9eZ1hzBE+Yl/jqn//ZzuW3C1ncJQ+ff6bUifkH7WUx&#10;Wcp+iac/+Ylb98C13uP4PGN8KzyfsSNNTqdfGnninhPO+8eYgnv4bFNPl21qwuIc+Niz8l1RjmPp&#10;TiU8y7T8JYFLkIC6g70xUS8wzz317vLe/+Vzz+4cX8Q4bE7GCNFeUNdIp+q3aRxjAuUAhubfFD5T&#10;pjiPG5nG+WzGPrQJnNm0fuecLz9X/MiTPqCNybNBjo4jeUbxThn7M89NtzQ/yxwe/dGd80XerTjD&#10;VvEwXaZgNWPjiNV9e13DHsZ6Eat9d+wjyk//KdMso/KXBC5FAuyTGdbD7i1s1vw+R/2Jex/vv2WA&#10;Yaw55zrgFwOzPmqlXSeMslv2c+wHq/DZ+nPfhTgvpqBLwRrSmC6616nruabNz5YxDmOaKEvc2Mus&#10;x/CbwsFWXAyL7vicV/E1bc6vXzrGJ8bLq0XbdvVtnGZdir0TzP27JrXr9+Mu+1xLNhVWEjhnCagj&#10;4p4wdF9rXvsQ76aYRVngJH+53Ky/c/y2fteJsVewX/JvFT67Zi4miyvg9bZ1O/f8Plva6Zq9dnIv&#10;x6tuHBnt5fx8jsHveyVdVaeYTnem8FjG6mHe2z4W9454ZkusPvW+s0qGFV8SODcJoAPYQ+MdYejC&#10;vBfrrt7rDp9v5potf9+2gGMDbFz1HHt38u+TH//Yre8/m5dxTW/rad9cdf7aA3b7DoqIxT5j6TM3&#10;Z9BaZ5jZT7/u90Dz8zsX/zJWM9+9vJ8sYjZYrV1NX43vUnQr/ylqXydN5jWVb9u4c3lu1Y6SwCoJ&#10;ODYnHbbI8C63bef4Tm77nq3Kr74An+eOFdapX04b/dga6DltNu5jzD/m3b/n77zo+u9+z9/rqO1B&#10;/y3ryKtuX9hdzUVYr1OhPnfkxR6w/hn0mMP4kWcR+218LmPhMc05u8Vq1uLjuzy4B+zu7OqbNYO5&#10;drXP5a770Tk/v2pbSUAJZF3W70HpMQmbhfdRzJIe6h2lPMvimxboafSC9cg6Yiw8p2v5c17Kxc7t&#10;dVovD8/nIDPlFue3wWj0HN/IGnRhv3eHOxzVgbmsVn0uOcw+x1gx76djX1i+R8RnYZ++ZBplgRtZ&#10;cd4bucUxjmNOKf01z4G3+ilhvpNS+qrhrTz76MuX/Iyr7ecvgfge01r90V5ctWd7H++dPPO7Tzj4&#10;DE7jHtMD6nb5bELlzf4a9Rf6TRnZO/CLz//4H33/9c/89E/dwmX0nuvmsU2b1Ouc8yhz2wg299/8&#10;HNZVGTtiG8afz0Qa4y7Bndud/cqAcO4xE6vpl+K1fTyOKRlPshePMWV8NvH9Ity4GO4z3Ce1XUVL&#10;ApciAe44jO+qZ5kO/e7xXvPei2fqAHAOnNzHe09ZX//rv1qUyR1evb7q8SHuQULXqQc//If/+wVc&#10;HubB1XP57JTt2Ef9T42nzzY+a+UzrNsP54a8u23qXfSZTKU517h1265d/eBb3rzo58O7P4yJ6Mti&#10;Nff1jfUzn118rmNpdxF+rs+x2lUSQAKt95mxtdiC7RLfo0O9d7FM3Lz3ls1YHhsau54wdULM0wqL&#10;8dEt3xiGm3DGAcqC9U7mtuMPOy6fESe9Ngn7yriLJPKG71i9Y7pLcOfn5HNGZvn8FN+bqN9tCfgO&#10;Z3o75XQIWM0+R/u8OC2Nc2p5Djz35/xc99WXp1tUsSWB85MA+5Pd08S7yrvH+yU91Ls39k5TD/Q3&#10;OAjlPhRsXtLvsm7s+RKboXnfNudsl7/n1eMyuMK5qS9/8U+XcDm2R1nGsHL3+7mXsbmfj8BunsIf&#10;487vbZzfopYMWmGZYysNWM29a71dvWxHx3cCd2tv2aH6d25L+UsC5y4B1vccM/PuiRvaNvrviloP&#10;9m1RT+zXrA/m4nTOZ5uY03/tr71qgc/gcFzzjGOYqK/AZfd/yQs6Vk5Mc8lu5dOa02Y+p367k0AL&#10;j6e4OweuXR37+7K7v5ue95J3wGe6z349Ve+KKwmcowTAZN+7vKdJbNznO7cOb9aHmetGd7S+9zSG&#10;07EdpuGsDrrlbb/z4KL9ysEzVWB0S08R5pmpQ+ildWR0TGmRjfLO9VrG5hfW+z/7mdFXbF2cGWVU&#10;EbMkgLzZWxbnwIc572hj9270yL7PV8+qeCUqCZywBLKe87wktmnrfquIbVnH3oX/mZt7KxhHcAaH&#10;9V7cn/7UJ68Jz/URH5h7Zg84aTkHBcaja8DmB+6/b7F+DD6/792Pd0+X7wrF+0577L7q1sEpR964&#10;j01GWQ7H5mffHesCztsg27wXL75iuc/GuHLvXgLKW0oJ0a7un9vy3kifJbQ1Bz7VB+eOcXff0uJY&#10;EjheCfD+8b063y3sQt8V7R79U+/XoeLEQfdcs2bM/SX9fV/9vl/ta8JsF/veaBvY/AcfeKJbx2ZO&#10;Lt5PRVrS8AMrBmzu7QP4aTPTXuui+1AyONVy7EfLdnP/zOKcdsSE+OaMhcc05T6MBPLeMuedfN+k&#10;hHdY/cIc+Ni7Et8l+4lp8auLDtO6KqUkcDwSGNZWrzq7Uv0f3xPDjoGOvcvWF/3P3Dd/MW2sO2ki&#10;pqNHwGbms8Fm9Y0UHeM6s7pCftlveNHb+/fE5qi/6wzV8eiCXJNVYyLiD3m+Otev/CWBc5JAfN90&#10;/9lXvryER55/PkZ8aWGhYVDdse45jDXn4SxPbxuPYTM40przj2N6ynJsEMu9RHeUA3KPchKbHfOw&#10;vlD7tI9Tu6gb1q2dc+D7Ol+9bn0qfUnglCXAe4jNOOjMe936asa07D827BELIh5Qx1hv7F/s4NhW&#10;3C1s1r5jr3irrZZnXPYbfmk0ypu2K5flM1TMaV8t1vl5f6bwYCrulN+9Y617lHd0x/rm8OwnbZ4D&#10;952SDnvNbs+Bj73HsQ7lLglcigT6+7d7vcm8r7iiPSQ1/C5pxoCxusQ6c7dJ3o8ENj/04G9dP/WR&#10;Jxt3jlx1e7szb8oWc4ibW5fM55L8t7F52IPXer/U9dJWmgrbrwSQ/Rz5t9K0wsDqXZyv3m+ri3tJ&#10;4PgkwPuU11yPeY474q5uacY95rL7vdr9PqRsO+Pvx/PxvMi9UWxulSNGt+JyfS7Fryxuz2nf6+a0&#10;x94Cdbt0LF2FH1YCu3wezoEzb9V6H4ew2+erD9vqKq0kcBwS6Oe4B4zym45iT7QZV2GMeXK6MR5j&#10;6XP+ll+e8gAXmMdmXjri8jCnNuC0uCxVL4Dp8m2VWWHDd5yRt7JXLvpbdnNrL9gudf9xvE1VizkS&#10;4Lmve756Dt9KUxI4FwlE3YjuFKOYC+Y8sfpXqg4eo3NwTf0tHeNl+Jx01A9bjb1ccR474rI4PIT1&#10;+9Xj96rAZsuVzinftJdGkQ33rWYZIce+Lw1jPrHZPic9l3ep2jFfAj57KTmjXX37Xe3nueaXUClL&#10;AuchAd8RvmMlPkO9SwzMyfp3FQ6RHsyck66VZtV4QN5gMt9R6M9KDVgQ26Gbs86PP/qObu6afJQL&#10;n8hrqp1Tca02nHuYcrOdymfAZtcOpue0eYvsg+fxRlUrtpVA3lvmO7wt38pfEjg1CUTdGPc3Y4d6&#10;5lcdPJequ9XZMV8rLKbH3UoDD9bF0f/Mv7fnrweMvu81r+72a3sOOtZBdywHt/Ugfqoe5i86zHUj&#10;i9vf9lrep827EftbdJ/ae1P13V4Cq54/8fF89fYlFoeSwOlJwPfkuWefWdy5xZgVvN4UpzLeiWUt&#10;fqaN+Eh678hm3nq4T2S4V3CYq+7XlcFk9p189tNPj2K89YBaXsRp462T6VppTHtJdEwOT7z/vd38&#10;i3OT9J/Ph/u07WO+HdlveNHzl0A9+/N/xtXC3UuA92Y4a9VjHndoimOb4FDEObGuxY90zDtzFkr7&#10;OOOv81wDveq+O8Ud4tYTPqyJWtYYnhDfimuFbdLuc82jfKS0k+cVn0nE5qiLozv23rHwmKbc5yGB&#10;+KyjO7Yuh2d/TFvuksC5SSD39+hnPon7qtW3fIfC9dpNMAcs9r7smJ+584899dHr33//+zqb1/KW&#10;6WArx3C+/4hNzXcxIk8wg/Iidqxyx/jIC7fjCGmOv1S/cmYPIXMscRyFm/4y9Yv9Lbqn8lTc+UiA&#10;Zz7nuc9Jcz5SqZaUBFZLgHcin4dmLZrzMqvwaAzrwDfWgfkWB/p8WDsWf4d144jDvfvq+g2vu//6&#10;sXc+0uH5nDXxKTwdq2Nsm2mkMa7c/ZozewGGNYd+roVvirBGUr+SwDoSKBxeR1qVtiRw3d0jEbES&#10;O5o55Dn4hP3kPq6swyPPwb2Mz2984Deu3/PYo6PfjZxTh0qzvHdrTB5zxiB5vMPzZczm+AmbGWzm&#10;m5yla0t7lARKAiWB/UlAHRvPRIul7L8Cp7Fj0e3Y2uzbZb65vxMoYq328XAviHzU7a/9tVdd/9ab&#10;f/P6vY+/q5sXFQug8G+drx3Dmgqfh8nryIlnEDGc73Nyd3J8jjz3559/foHN9p/99dDiXBIoCZQE&#10;Lk8C6lYp54ujLo7uuO4Yw3Xfjr/q7Kz/9dbfvn7yDz90/dW/+PMl3R9xAAwRq9fBk0q7GqOjXB0H&#10;GZafgc+B8djbH3rr9a+/2jEXGH3V7Sfk/jl/9hv9RUsCJYGSQElgfxLgnBPzlz3uqp+xiZftKHF5&#10;oP3a8aOPPHyz/vz0Yk+1GAoWiAuGQWO47hZuxDzlXo3LWUbItCXf/Ex4du4Z6MdcfR/g2+Fjv8Lp&#10;MclUeEmgJFAS2FwCLd2KjcS3ntg7vYzTPUZHW/mB++/r9oJpH2ujZXyY8ovHm+Sd4ltxPY6Ly1Ee&#10;OYznx7pFfLY8+24f2DNf6zqYfUWae91YeE5X/pJASaAkUBLYXgLcv/e5z3x66RwWeps9Q5xfVudn&#10;fW94ts8Ml4rN+KPb+KLr28pRlmNjnvhc2N/HnkDHYj29d81Z8zifPdWbCpunpFNxJYGSQElgewlE&#10;PYsb/dzPdw/z2+zTZh5c3R91PdiQ/YWxm2HsLuQ2Nm6CN+fghm+GDGsZPO9PfeLjiz1guVfFPrJO&#10;XE5b/pJASaAkUBLYXAL9Pu1hT7bfo1wXOzJOjNnKhe27xXLHUPF5YS+/+Y2v7+xl57Nda8ZmZs5k&#10;6jeFz1P5Kq4kUBIoCZQE5ktgSteyJ0j9zZznptgcsaHcm+FvHM/kMYwYLEXGcTwUvzUynGUexlw8&#10;W/YaMCdSv5JASaAkUBK4ewlMYTM2lDYV+ps5be/zyvhQmLsZ5k7JLWIt7uhv5YvxPCfvjHEvtmvK&#10;Up8tuMy59vqVBEoCJYGSwPFJoIXT+b4S7+WOONDCiQrbDVZHezm6kS/PIMsZTOacefxuqFjc02H/&#10;AH7WLSIut/rA8fXUqlFJoCRQEjh/CbT0sWHf/Ob/XdrL+/ij77iFBxkfyr8bXM5ydJ46Y7ThfDeE&#10;dQft4XFMvrp+8C1v7s7Nub7s85aef6+vFpYESgIlgdOQQEsvE/b0Jz9xg8/u5726Zv0S3NBuy1iR&#10;MaX8+8FqnwG2Mndv8i2RZTxeXlMGj0nHdyy4k5NffubZfxo9t2pZEigJlAQuUwLodfU+9zxmvBWn&#10;c3j594vLjJO4n21sjxc2NPPWnI1iDsRfxuDsN13RkkBJoCRQEjguCaivpf1dnv16Jd/D0G4r/N0f&#10;/o7JlrEQd27mc26On3hWv/n613V3uDlvPda7fL6bxo/lq/CSQEmgJFAS2L8Enr25y3HQ/fe671WJ&#10;HWU3Hxaf+XYY94fE5xHdnFXGpl71A5ensHlV/Cr+FV8SKAmUBEoCu5VAS2c/d4PP/V6j5bVMcIK5&#10;7ife957um5Pu5xa7oeB3XJuObtO1woyDroqPaU/Fve64hjmL/lzU8p5rbGXu9mJvfctWbj3P3faY&#10;4lYSKAmUBEoC+5bAmC4n/F3v+N1gs10t7trmTC34zFyr+IGb/cPsQ/rC5z/XzYVvirGb5jsVnI71&#10;pK0Zt8HluOcrjpPuf+1rrrkvJt+HPfYc991/in9JoCRQEigJ7E8CY7odDGDulLnU4dzO1fV7Hnu0&#10;+46zOMM+Yu5w5rvRnLsFW9i7hPtDH/zANTa2NrXUvNKIyRmvTHOK1PaOtclw2o8MGe9EPHYem/tD&#10;Pvnxj11/5zvDd5ftEfH5RbfxRUsCJYGSQEngtCUwptvBXXGip70t7Z4xcFM7UPrM177azX9jU4M5&#10;4DVu1lLFLPFWjNIvHQs3/hRoHHdY39wucLnf95Xnsfv7Nhnf+Gykq3ra3HSr+FR8SaAkUBIoCdyt&#10;BKb0OXGc1em/X+V6dI8lfI/wife/d3E2WgyCikNQ5ry53wTbGrwmD3Z3K71hLWwz7tSo4xbqbbvA&#10;3fZ+7H4vNvH5N/acxsJz/vKXBEoCJYGSwHlIIOp9ztI6371sT/eYzd3cfAua+yIjDmW39iI2Nfa0&#10;2AXVfWr4O1ZfsVgZMFbh+xPMJfTn1xzvQK+672t732aUvW6obnpYdJ9Hj6tWlARKAiWBksCYBFo6&#10;P4axt3sKp8FusJe93u9+1zu7vWTcP8n5XbC5/3u6s6Gxv9mH3MK3iG2t+FMLY76AfXWuEcQxjvu+&#10;WF+Oso7PyHBpjMMdw6M7pyt/SaAkUBIoCZyXBNT5UnB6eY93tAXH3P28eGsPFPY3eI5NfWrYO1Zf&#10;5/iZV/j/7N3NbhxFGAVQPwFiwVPDmyAkJJB4ARAg9qDAhl0cVmTlbfD1cOlvyj1W7DGJZZ+Rouq/&#10;6Zk+sXSnqquq81vkuM58GCe11x/7ef3luBoCBAgQ+BgC6eedNtktqztn96mMPr195nbq6BnLNe9T&#10;z/bvU/Xrecyp3HzI9mTtqc/s+ZrHXU9bwWEM2rzmw28U45c/xl+rzyRAgMDLEGhdel7t5evXN/3J&#10;UmdMxmbeyW181sypveX2Yd4yPu/NWK1kdXJvzcjmZrOx683Ic8uet7m/fv48f4/JfF7p+zV/b7Rd&#10;O9fy5vJykh21TR/tsEKAAAECBM4U2Mvqua3LKdM23tfbt3/f1L+/+/abdxnnezvTthxPG3HawF/9&#10;9uutnJ452Uyd2x6y3Kyf52sGd1vLnP/4HnO+9/Y7I9c2r7vXX5esz+XuVxIgQIAAgccSuE/OzGOz&#10;nLplxnOdGnvUflWZZzR9zpKLa512XX9INve8M3+zbV1vXv/y80//tWXP9oKMS8v15DWv9S7r9z3u&#10;rnPYR4AAAQIvW6BZ0nJqdFvLuW9d3jsm80vnOdRpI5910bYVp0yOZ6xwM7h52fVzy+TxPOfM/iyn&#10;Ln/7+RWHenPmT8v9+Xltc7kGe9u6T0mAAAECBB4qsObLur6et/vXMsd1W9/T9dzXTp+q1p/XMmOK&#10;Z1+yc3O57282r7m815bd75R7zH+9Ob7H3OuZZa9tbrNMgAABAgSegsD7ZNQ8JvXRH3/4fpnP7HCP&#10;es550nw9t5zt2c3qvX7ZadPOPebMP7L36jW0XI+Z2+fyepx1AgQIECDwFAROZVVyOmOHj+cdPeR0&#10;6tJ/Xs8Bfm42r+9PnTl149aTWyab7zOO+dQ1PQVv34EAAQIECDyGQO5Rb2Ovt77eme8k45zWjJ31&#10;4e5b2667fZYZ35V5vprJLTOGbB0v9RjX5RwECBAgQOA5CPzx+6t/87NjqD+/mbOr46Zn1s7lmc1z&#10;e5fz/vk85uby7Jcdv7VOvK4/B2PXQIAAAQIE7iuQPMxY6r15QbKt84bO+vOpbE69O3Nl35776zCm&#10;+euvvtx9FnO+s1y+7/+c4wkQIEDgJQhcXV2923tmde4Rp/9YsjXZuz2r4/DMjjzzMvetT2Vy6s0Z&#10;55V6+nzNPJ7L8xjLBAgQIEDgpQk0E1v2+tOPOv2p2x59eDbF1va9bd/uWZ/alvPsPfexn6UkQIAA&#10;AQIEjgXWXJ5708c7c3dtc4CvWdy8bjn3f3HT72xvvNRdnzk/3zIBAgQIECBwt0D6WGcMVPpbt149&#10;5+HMPeqMncoxe5ncsyebZz7P5R6jJECAAAECBD6MgBz+MM4+hQABAgQIECBAgAABAgQIECBAgAAB&#10;AgQIECBAgAABAgQIECBAgAABAgQIECBAgAABAgQIECBAgAABAgQIECBAgAABAgQIECBAgAABAgQI&#10;ECBAgAABAgQIECBAgAABAgQIECBAgAABAgQIECBAgAABAgQIECBAgAABAgQIECBAgAABAgQIECBA&#10;gAABAgQIECBAgAABAgQIECBAgAABAgQIECBAgAABAgQIECBA4P8T+OTi4uKz6395fXr9L8v/AAAA&#10;//8DAFBLAwQUAAYACAAAACEAvfZa7eAAAAAJAQAADwAAAGRycy9kb3ducmV2LnhtbEyPQWvCQBCF&#10;74X+h2WE3nSTSION2YhI25MUqoXS25gdk2B2N2TXJP77Tk/1Nm/e8N43+WYyrRio942zCuJFBIJs&#10;6XRjKwVfx7f5CoQPaDW2zpKCG3nYFI8POWbajfaThkOoBIdYn6GCOoQuk9KXNRn0C9eRZe/seoOB&#10;ZV9J3ePI4aaVSRSl0mBjuaHGjnY1lZfD1Sh4H3HcLuPXYX85724/x+eP731MSj3Npu0aRKAp/B/D&#10;Hz6jQ8FMJ3e12otWwTxm8sD7JAHBfvKy4uGkYJmmCcgil/cfFL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P5rS/aBAwAALQgAAA4AAAAAAAAAAAAAAAAAPAIAAGRy&#10;cy9lMm9Eb2MueG1sUEsBAi0AFAAGAAgAAAAhAGvo+3javwAA+PcPABQAAAAAAAAAAAAAAAAA6QUA&#10;AGRycy9tZWRpYS9pbWFnZTEuZW1mUEsBAi0AFAAGAAgAAAAhAL32Wu3gAAAACQEAAA8AAAAAAAAA&#10;AAAAAAAA9cUAAGRycy9kb3ducmV2LnhtbFBLAQItABQABgAIAAAAIQCOIglCugAAACEBAAAZAAAA&#10;AAAAAAAAAAAAAALHAABkcnMvX3JlbHMvZTJvRG9jLnhtbC5yZWxzUEsFBgAAAAAGAAYAfAEAAPPH&#10;AAAAAA==&#10;">
                      <v:shape id="그림 172" o:spid="_x0000_s1182"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90" o:title=""/>
                        <v:path arrowok="t"/>
                      </v:shape>
                      <v:shape id="Text Box 16" o:spid="_x0000_s1183" type="#_x0000_t202" style="position:absolute;left:11239;top:21082;width:781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1C6DC4CA" w14:textId="3978AD58" w:rsidR="006D7011" w:rsidRDefault="006D7011">
                              <w:pPr>
                                <w:pStyle w:val="af0"/>
                                <w:jc w:val="right"/>
                                <w:rPr>
                                  <w:noProof/>
                                </w:rPr>
                              </w:pPr>
                              <w:r>
                                <w:rPr>
                                  <w:rFonts w:ascii="Times New Roman" w:eastAsia="Times New Roman" w:hAnsi="Times New Roman" w:cs="Times New Roman"/>
                                  <w:lang w:val="pl-PL"/>
                                </w:rPr>
                                <w:t>Rysunek</w:t>
                              </w:r>
                              <w:r>
                                <w:rPr>
                                  <w:rFonts w:ascii="Times New Roman" w:hAnsi="Times New Roman" w:cs="Times New Roman"/>
                                </w:rPr>
                                <w:t xml:space="preserve"> K</w:t>
                              </w:r>
                            </w:p>
                          </w:txbxContent>
                        </v:textbox>
                      </v:shape>
                      <w10:wrap type="square"/>
                    </v:group>
                  </w:pict>
                </mc:Fallback>
              </mc:AlternateContent>
            </w:r>
          </w:p>
          <w:p w14:paraId="2A67166E" w14:textId="40F49CB1" w:rsidR="002E5800" w:rsidRPr="008F328C" w:rsidRDefault="000E0B7C">
            <w:pPr>
              <w:pStyle w:val="a3"/>
              <w:numPr>
                <w:ilvl w:val="0"/>
                <w:numId w:val="25"/>
              </w:numPr>
              <w:rPr>
                <w:b/>
                <w:lang w:val="pl-PL"/>
              </w:rPr>
            </w:pPr>
            <w:r w:rsidRPr="008F328C">
              <w:rPr>
                <w:rFonts w:eastAsia="Times New Roman"/>
                <w:b/>
                <w:bCs/>
                <w:lang w:val="pl-PL"/>
              </w:rPr>
              <w:t xml:space="preserve">Wyjąć wstrzykiwacz z miejsca wstrzyknięcia i zaopatrzyć  </w:t>
            </w:r>
          </w:p>
          <w:p w14:paraId="4FD43EF8" w14:textId="77777777" w:rsidR="002E5800" w:rsidRPr="008F328C" w:rsidRDefault="000E0B7C">
            <w:pPr>
              <w:pStyle w:val="a3"/>
              <w:numPr>
                <w:ilvl w:val="0"/>
                <w:numId w:val="0"/>
              </w:numPr>
              <w:ind w:left="471"/>
              <w:rPr>
                <w:b/>
                <w:lang w:val="pl-PL"/>
              </w:rPr>
            </w:pPr>
            <w:r w:rsidRPr="008F328C">
              <w:rPr>
                <w:rFonts w:eastAsia="Times New Roman"/>
                <w:b/>
                <w:bCs/>
                <w:lang w:val="pl-PL"/>
              </w:rPr>
              <w:t>miejsce wstrzyknięcia</w:t>
            </w:r>
          </w:p>
          <w:p w14:paraId="1C809519" w14:textId="77777777" w:rsidR="002E5800" w:rsidRPr="008F328C" w:rsidRDefault="002E5800">
            <w:pPr>
              <w:pStyle w:val="a3"/>
              <w:numPr>
                <w:ilvl w:val="0"/>
                <w:numId w:val="0"/>
              </w:numPr>
              <w:ind w:left="471"/>
              <w:rPr>
                <w:b/>
                <w:lang w:val="pl-PL"/>
              </w:rPr>
            </w:pPr>
          </w:p>
          <w:p w14:paraId="0BE4B43B" w14:textId="032C05ED" w:rsidR="002E5800" w:rsidRPr="008F328C" w:rsidRDefault="000E0B7C">
            <w:pPr>
              <w:pStyle w:val="a3"/>
              <w:ind w:left="3937" w:hanging="180"/>
              <w:rPr>
                <w:lang w:val="pl-PL"/>
              </w:rPr>
            </w:pPr>
            <w:r w:rsidRPr="008F328C">
              <w:rPr>
                <w:rFonts w:eastAsia="Times New Roman"/>
                <w:b/>
                <w:bCs/>
                <w:lang w:val="pl-PL"/>
              </w:rPr>
              <w:t>a.</w:t>
            </w:r>
            <w:r w:rsidRPr="008F328C">
              <w:rPr>
                <w:rFonts w:eastAsia="Times New Roman"/>
                <w:lang w:val="pl-PL"/>
              </w:rPr>
              <w:t xml:space="preserve"> Spojrzeć na wstrzykiwacz i upewnić się, że niebieski tłok z szarą górną częścią wypełnia okno całkowicie.</w:t>
            </w:r>
          </w:p>
          <w:p w14:paraId="5FE2EE3C" w14:textId="4AEBFD7C" w:rsidR="002E5800" w:rsidRPr="008F328C" w:rsidRDefault="000E0B7C">
            <w:pPr>
              <w:pStyle w:val="a3"/>
              <w:ind w:left="3937" w:hanging="180"/>
              <w:rPr>
                <w:lang w:val="pl-PL"/>
              </w:rPr>
            </w:pPr>
            <w:r w:rsidRPr="008F328C">
              <w:rPr>
                <w:rFonts w:eastAsia="Times New Roman"/>
                <w:b/>
                <w:bCs/>
                <w:lang w:val="pl-PL"/>
              </w:rPr>
              <w:t>b.</w:t>
            </w:r>
            <w:r w:rsidRPr="008F328C">
              <w:rPr>
                <w:rFonts w:eastAsia="Times New Roman"/>
                <w:lang w:val="pl-PL"/>
              </w:rPr>
              <w:t xml:space="preserve"> Wyjąć wstrzykiwacz ze skóry.</w:t>
            </w:r>
          </w:p>
          <w:p w14:paraId="1FDA537C" w14:textId="77777777" w:rsidR="002E5800" w:rsidRPr="008F328C" w:rsidRDefault="002E5800">
            <w:pPr>
              <w:pStyle w:val="a3"/>
              <w:rPr>
                <w:lang w:val="pl-PL"/>
              </w:rPr>
            </w:pPr>
          </w:p>
          <w:p w14:paraId="15C16DCD" w14:textId="5A685437" w:rsidR="002E5800" w:rsidRPr="008F328C" w:rsidRDefault="000E0B7C">
            <w:pPr>
              <w:pStyle w:val="a3"/>
              <w:numPr>
                <w:ilvl w:val="0"/>
                <w:numId w:val="0"/>
              </w:numPr>
              <w:tabs>
                <w:tab w:val="left" w:pos="3153"/>
                <w:tab w:val="left" w:pos="3294"/>
              </w:tabs>
              <w:rPr>
                <w:lang w:val="pl-PL"/>
              </w:rPr>
            </w:pPr>
            <w:r w:rsidRPr="008F328C">
              <w:rPr>
                <w:rFonts w:eastAsia="맑은 고딕"/>
                <w:lang w:val="pl-PL"/>
              </w:rPr>
              <w:t>•</w:t>
            </w:r>
            <w:r w:rsidRPr="008F328C">
              <w:rPr>
                <w:rFonts w:eastAsia="Times New Roman"/>
                <w:lang w:val="pl-PL"/>
              </w:rPr>
              <w:t xml:space="preserve"> Po wyjęciu wstrzykiwacza z miejsca wstrzyknięcia, igła zostanie automatycznie osłonięta.</w:t>
            </w:r>
            <w:r w:rsidRPr="008F328C">
              <w:rPr>
                <w:rFonts w:eastAsia="Times New Roman"/>
                <w:b/>
                <w:bCs/>
                <w:lang w:val="pl-PL"/>
              </w:rPr>
              <w:t xml:space="preserve"> Nie należy</w:t>
            </w:r>
            <w:r w:rsidRPr="008F328C">
              <w:rPr>
                <w:rFonts w:eastAsia="Times New Roman"/>
                <w:lang w:val="pl-PL"/>
              </w:rPr>
              <w:t xml:space="preserve"> ponownie nakładać osłony na wstrzykiwacz.</w:t>
            </w:r>
          </w:p>
          <w:p w14:paraId="389E1C54" w14:textId="77777777" w:rsidR="002E5800" w:rsidRPr="008F328C" w:rsidRDefault="002E5800">
            <w:pPr>
              <w:pStyle w:val="a3"/>
              <w:rPr>
                <w:lang w:val="pl-PL"/>
              </w:rPr>
            </w:pPr>
          </w:p>
          <w:p w14:paraId="24B1879A" w14:textId="55B48F0E" w:rsidR="002E5800" w:rsidRPr="008F328C" w:rsidRDefault="00F2584C">
            <w:pPr>
              <w:pStyle w:val="a3"/>
              <w:rPr>
                <w:lang w:val="pl-PL"/>
              </w:rPr>
            </w:pPr>
            <w:r w:rsidRPr="008F328C">
              <w:rPr>
                <w:rFonts w:eastAsia="맑은 고딕"/>
                <w:noProof/>
                <w:lang w:eastAsia="ko-KR"/>
              </w:rPr>
              <mc:AlternateContent>
                <mc:Choice Requires="wpg">
                  <w:drawing>
                    <wp:anchor distT="0" distB="0" distL="114300" distR="114300" simplePos="0" relativeHeight="251658291" behindDoc="0" locked="0" layoutInCell="1" allowOverlap="1" wp14:anchorId="0AE0F00B" wp14:editId="47766671">
                      <wp:simplePos x="0" y="0"/>
                      <wp:positionH relativeFrom="column">
                        <wp:posOffset>47625</wp:posOffset>
                      </wp:positionH>
                      <wp:positionV relativeFrom="paragraph">
                        <wp:posOffset>358775</wp:posOffset>
                      </wp:positionV>
                      <wp:extent cx="1889760" cy="1805940"/>
                      <wp:effectExtent l="19050" t="19050" r="15240" b="3810"/>
                      <wp:wrapSquare wrapText="bothSides"/>
                      <wp:docPr id="3942" name="그룹 3942"/>
                      <wp:cNvGraphicFramePr/>
                      <a:graphic xmlns:a="http://schemas.openxmlformats.org/drawingml/2006/main">
                        <a:graphicData uri="http://schemas.microsoft.com/office/word/2010/wordprocessingGroup">
                          <wpg:wgp>
                            <wpg:cNvGrpSpPr/>
                            <wpg:grpSpPr>
                              <a:xfrm>
                                <a:off x="0" y="0"/>
                                <a:ext cx="1889760" cy="1805940"/>
                                <a:chOff x="0" y="0"/>
                                <a:chExt cx="1889760" cy="1805940"/>
                              </a:xfrm>
                            </wpg:grpSpPr>
                            <wpg:grpSp>
                              <wpg:cNvPr id="22" name="그룹 22"/>
                              <wpg:cNvGrpSpPr/>
                              <wpg:grpSpPr>
                                <a:xfrm>
                                  <a:off x="0" y="0"/>
                                  <a:ext cx="1889760" cy="1805940"/>
                                  <a:chOff x="8890" y="0"/>
                                  <a:chExt cx="1889760" cy="1805940"/>
                                </a:xfrm>
                              </wpg:grpSpPr>
                              <pic:pic xmlns:pic="http://schemas.openxmlformats.org/drawingml/2006/picture">
                                <pic:nvPicPr>
                                  <pic:cNvPr id="173" name="그림 17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bwMode="auto">
                                  <a:xfrm>
                                    <a:off x="8890" y="0"/>
                                    <a:ext cx="1889760" cy="1550670"/>
                                  </a:xfrm>
                                  <a:prstGeom prst="rect">
                                    <a:avLst/>
                                  </a:prstGeom>
                                  <a:noFill/>
                                  <a:ln>
                                    <a:solidFill>
                                      <a:schemeClr val="tx1"/>
                                    </a:solidFill>
                                  </a:ln>
                                </pic:spPr>
                              </pic:pic>
                              <wps:wsp>
                                <wps:cNvPr id="17" name="Text Box 17"/>
                                <wps:cNvSpPr txBox="1"/>
                                <wps:spPr>
                                  <a:xfrm>
                                    <a:off x="1142365" y="1574800"/>
                                    <a:ext cx="756285" cy="231140"/>
                                  </a:xfrm>
                                  <a:prstGeom prst="rect">
                                    <a:avLst/>
                                  </a:prstGeom>
                                  <a:solidFill>
                                    <a:prstClr val="white"/>
                                  </a:solidFill>
                                  <a:ln>
                                    <a:noFill/>
                                  </a:ln>
                                </wps:spPr>
                                <wps:txbx>
                                  <w:txbxContent>
                                    <w:p w14:paraId="771190D3" w14:textId="5D63A580" w:rsidR="006D7011" w:rsidRDefault="006D7011">
                                      <w:pPr>
                                        <w:pStyle w:val="af0"/>
                                        <w:jc w:val="right"/>
                                        <w:rPr>
                                          <w:noProof/>
                                        </w:rPr>
                                      </w:pPr>
                                      <w:r>
                                        <w:rPr>
                                          <w:rFonts w:ascii="Times New Roman" w:eastAsia="Times New Roman" w:hAnsi="Times New Roman" w:cs="Times New Roman"/>
                                          <w:lang w:val="pl-PL"/>
                                        </w:rPr>
                                        <w:t xml:space="preserve">Rysunek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946150" y="647700"/>
                                  <a:ext cx="875030" cy="8453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CCEB2" w14:textId="77777777" w:rsidR="006D7011" w:rsidRDefault="006D701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AE0F00B" id="그룹 3942" o:spid="_x0000_s1184" style="position:absolute;margin-left:3.75pt;margin-top:28.25pt;width:148.8pt;height:142.2pt;z-index:251658291" coordsize="18897,180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HUzFYBAAAEQ0AAA4AAABkcnMvZTJvRG9jLnhtbNxXW27jNhT9L9A9&#10;EPqf2LIt2xHiDNKkCQZIZ4xJivmmKcoiIpEsSb+6nQLdQjvArKjdRA8pya8EmCQFBkU/olySl+S9&#10;h+ce0mdv11VJltxYoeQkik+6EeGSqUzI+ST6+f76zTgi1lGZ0VJJPok23EZvz7//7mylU95ThSoz&#10;bggWkTZd6UlUOKfTTseyglfUnijNJQZzZSrq0DTzTmboCqtXZafX7Q47K2UybRTj1qL3qh6MzsP6&#10;ec6Z+5DnljtSTiLE5sLXhO/MfzvnZzSdG6oLwZow6CuiqKiQ2HS71BV1lCyMeLRUJZhRVuXuhKmq&#10;o/JcMB5yQDZx9yibG6MWOuQyT1dzvYUJ0B7h9Opl2fvljdF3emqAxErPgUVo+VzWuan8f0RJ1gGy&#10;zRYyvnaEoTMej09HQyDLMBaPu8npoAGVFUD+0TxW/PiVmZ12485BONtGHSbinhoisknU60VE0grc&#10;+uuPP//+7TNBR5PLN0gO6SP5HS6vzk8LluKvOWNYj87467WAWW5heNQsUj1rjYqah4V+Azpq6sRM&#10;lMJtQmmBeD4ouZwKNjV1Ywd7POrv4/77F+J7ALyf493qSdQndavYgyVSXRZUzvmF1ShLsMV7dw7d&#10;Q/Ngx1kp9LUoS09Ebze5oYSPSuAJeOryulJsUXHpar0wvESaStpCaBsRk/JqxkEj8y6LwWJolQOV&#10;tBHS+fhoap3hjhXezBHHR8Tu494bCEHv4vQZWRQUma1+UhkWowungjgcFdQxd56uqSTpDkehpraV&#10;AVCNdTdcVcQbCB5BhR3o8tY24bUuPnCpPIQhnVKGpFQpshbWILb8sjRkSSGTbl2fDDLceWFvPzOk&#10;6pNrTOTq6xHabduTQevR2bxInu4Kqjmy8cvu862l273H6Qe1BuHqQg9uXsKIW6O/YZafXkfaCspW&#10;yeJ40OsPk1C3cTIajLuNZrUnMEqGvTHGvaj1+nD/l/jvAVmf3RbsVSEcD4VwAHeN9t7BtfjvsvKW&#10;W8/WQQTHgxaKmco2QMIo0ALKZDW7FuDILbVuSg3uNnTivnYf8MlLtZpEqrEiUijz61P93h9nitGI&#10;rHBXTiL7y4J6oSnfSZw2lnStYVpj1hpyUV0q8ArlhWiCiQnGla2ZG1V9wjV+4XfBEJUMe4GIrXnp&#10;6hsbzwDGLy6CU61Xt/JOQ+XiQH7P+Pv1J2p0UxYO5/letXyi6VF11L5gsoeyxq1pgM3Baq7Db0Xx&#10;bh8Y1XfZjuS+E5XrY0Q1vITmp4NhnABPkHg4GI2OST4eJd0+hj3Jx4OkPz5teNjKVKsgzxSZA5If&#10;acps/oSmeJITEHDYR5QHMtWwnaY8POEaTTvkvnWbkvtZpfzIc1RBeKIEcfOPx52eUcag/u3+wdt7&#10;1WL+/ImNv59aR/WSXbczws5Kuu3kSkhlQvZHkGUPbch57d9ws8n7sPyTliL/o/JnzvwHBADvbgB/&#10;8LDfb4dD2f2SOf8HAAD//wMAUEsDBBQABgAIAAAAIQBtm7Q2VkQAAMgPDAAUAAAAZHJzL21lZGlh&#10;L2ltYWdlMS5lbWbsnemTLFeZ3lvGDn+ZsP8BRyAhcIztYdGKY4zAaAbpSozAHrRdsWoBBjwxCK0g&#10;riyJRTuS0YoYArEIkAYJRhEzYIklHB7QxnyYQQvfBiTmi8OO0dVE+JvvTdeT3U/1U6dPZmVVV6v7&#10;Vv8yovo9ec573nPOr7LyyXMyq/qwlZWVPx69vP3vw1ZWbh+9vL33VSsrJ/+rlZXD33baSSsrh608&#10;8S9/a+UVo8JwaV2v/ucrK//+n66snD0q+J+uvGb/x1v+2crf/N9/svKfR/t7RvW9lW05//+MYtwx&#10;ev2nUcZvj16fGL3+5l+s1jt85a9XXK6y/7Xme9jK4aO9db92Z+1PwwY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ktB4ODBgxPjKPcnCkc7+/e/2Nz7&#10;5S81n/v0Nc0Rh7+6OfyVR0683n7KKW35gw98u6w6se92uqydn/nF37bxzjn77Il21O5HPvyhtkx9&#10;2symNspxaH/aGKa1+cgP/rLt3/HHHr+BlcYjjmq73MzE+epHrX96D9ggAAEIQGB3E5BmSEsuv/SS&#10;DVpR0+nUE+lQbqk/mS59Hv/ZX7UanLHclm2WSa+6tLqrHbd5262fnxiX4+sawNu0GPKzj/ouDXYc&#10;W/U30+6/uHb1XXHRaFFggwAEILD7CFhXPPJyX/nSWetJaozTaZ22v+ype/a0Gp+xu9Jqr9TMjOX4&#10;tlmmOXxtXqqY2rLN1ZzVdQHNcx2njPv8r39Vref6pf3O/d8ax1LMMl5XXl/f0eiSMvsQgAAEdheB&#10;mn4pL+fO1htb69oQKx2s6WfZbupzVztd+erHccccN6gdt/vQn90/oanlWG679ZbqgeD6Wai1bdfv&#10;66N9Siudfmn//gzZptHoDUjIgAAEILCrCUiDPlGsbVt3Smutcb73Syv9fOH5X3dyfeT7fzHWuLKu&#10;rhVS43MtPNtVWlqnteOajpaNaz1bbWWMbFvXFtpqsZwnq/Y8H3csWb0++kcfHvddvtJy+drP7R35&#10;qtc0n73m6rKLrHVvIEIGBCAAgd1FwHrjUef6tjUktezaz1zTao39ZZ8e3bPWvDP9My1NuvySi7PK&#10;WPukcW88/o3Vur6nXfZRgXQf2m2k5uXzVK5n6w6ov65rmzGc1rWDNteXddqxunjleLOOrjfcZmm1&#10;vp4b8+ikQRoCEIDA8hNIvShHK42QblijUkM0/9McNrcylvRHc9ms57RiPvbTyfqKZR0q29T8uYzv&#10;tpWvV1dbqXUZw2lfT2j+6v55Xu19WfXBm+t6X1Z5f3DqqeMYrqt1g75nwXwfQfqu11f+9J4MO06b&#10;jePa5nXI2JkEBCAAAQgsNYGcm1oPZKXPud4sCNYsW4PRmrbXfh3D+puaZ3/ludxW9bK9sg2336Vh&#10;nn+7Dft7Xxqabak9xSrzlJ967/qO9+zTv6he0+jeun2yTl+6Nsau8aHRfSQpgwAEFkGgdk5aRFxi&#10;zEcg76taW21rmtfXivxdt7T5bJSOgVLP5b/3rLP6wo/LXnzxH6rt6PtP3srjrKZ76oO2Wl889jKO&#10;/MtnuT1W3XceutXium6tr2rDGt1X1zGwEIDAoUlg2uc7yzM9dLS1OrW8ofHwWyyB8r3IZ5OtNbLS&#10;LWnhLJv03jE8N5XWlWvdXlu3r62eWcv+daXVJ//Gidtxn7O/WV9r2va1dXu1dQStp3dtXdcij//s&#10;pxP9V/3sQ1e8Mr9Lo/VMABsEILC8BPJ8kenaiKeVD6nTFaMrvxaTvMUTSP5fuOXmDboqDfP6dPoO&#10;6Ynqac3Xz12VdRRP97ety2m9Vqw6Xe06X89OW2szRs7X3bbW4eVT+nuurOuUskz+5bWF4+lZ7Jp/&#10;rY3sW1lH+3rlb6eojS6N9jza/TALW+djIQCB5SGQn+9Me4S1PJd12bJOuZ/1+srSj/RiCJS8y2em&#10;rCPSr9J3MT1oRhr907HGuT1pWdlm2X7ul/22FtbuI+d3sO0n6+e7FNfr3dkfzbO9Zduaz2acWdKO&#10;b6u6ut7IbZpGZ1+yHmkIQODQJ+DPt61HVO4rv5Zn/y7rOl3W9Vyu/Uy7HPvyEOh6RrprHryIXpXz&#10;aOuV5vTafDzYZpvOKzXaMWrr89Zf6aH9ynUC67jK7SN/63j2wWvj9ittl2bbL/uh9JB5tOrKz+Mv&#10;bfaPNAQgsDwE/FnXiDKdI+zKT5+h6UXGGtomft3vbepJaojmurNs+b46ndZpxfR3hbM99UO6mX59&#10;7ev5srK+YpRb3m9P//L5LvUpy83F6+EZV3kur9lanPTLcqXLNeyuebSfiRvKKPtMGgIQOHQI+DNu&#10;W/bc+bZled++69jWfLMs0zVf8hZP4MCBA+Og1g7rhm35nehxhQGJIe+p57ZuT/2wBk1rQnPbrOcx&#10;qL7bti3n2/JV27VNuu9YtmWfFHeo7pdt5DN1iu8xlNcBXRqtOrXNY62VkQcBCBz6BPRMzVNPPN48&#10;/L2Hmi/eeXtz8w3XNxecd27zwfPPa197Tjppw7nL57C08st6N99wXXP3Hbc1933t3ubJxx9rfvPC&#10;84c+rCUZgc/r+f5ZM5TX9bzU0OE7vm1Zr/zdUfcjvx9d1vG+NCz7qrraz2fO5Nv1/HipiY7bNT8u&#10;r1ee/9XfVT8PXXEd3+sHHqttOeY+jS7n/1183SYWAhDYWQT6PrP6z8HPPfOL5ptf/2pz1ZX7Wv31&#10;eWIRtjxv1mLK5+wzz2jbl3br2mByG/2W1FqGrXYzPenP3mYIeD6b75Xeo1KXNtNGWVfHaNdcdMh6&#10;t3/jqzzeyufFUnPTV361z0k5zzUTr0VnndqcW3N2bemXY8/+OHZtTt+n0W4j45KGAAR2DoGuz780&#10;TGWrWrauaM8983Q7j73oY3/SXvvnucppW583bLvyXZ7WvrZZVkuXfpp/aw7/xGi+bUX2WG2V75Gt&#10;5pWjXX2f1v27z5c75x3d3p5Y7/Qe6T3x++L5WrJUT7Vf5vWNoM9X/8PS7eUx0jcf9fNa6a90TUel&#10;f2X8aRqna4QytuKUz4516ajya1vXHLqc+4tX/m+usv8ea9mfWpvkQQAC20Mgz3uZVm+0/9yzzzQ3&#10;X39do7VnfaZrn/Nannz37j25OXvvSc2FF+9pLrvi95tLP/m21t54x2FN3+uG21/RXHnNCa2v6uml&#10;WHod/YbXT5z3utr2ufGYo49trtq3r/nxDx9Z04PUBemyldqp9f3teUcOnVbL48WaVL4nNZ0s6/aN&#10;uss387WeXh6f7of+N0WuAWteL331MZJW/5ujnEPnPD19Sw3N/mg8quc+TKvX9Uy8fhdcGurYnj+X&#10;cWvarz5Y/0t/96eWr367PcVggwAEto/A+LN4cPXZH+3//ehe712je7/WZX+ebcvPtbRTOnzNdce1&#10;2nv3AyvNXaOX7Ph1fyUvyyvpu0Z1XL+Md8s9K83nPn/4SPdH+n3Oyc1Rr3/dhnOu+2krvdZ9bd3L&#10;btV5NFZtGvMqh/W5tfNbB/5UCYyPnbVS/58JHye20m5t6Z/pteoT5c6zrfm7zFb/V8JtpvX7n3ld&#10;af0/q3LztUfWsSa6X2mdVhz5ZT2l89kx++p3u2u+Zd2ufa9VlH23Rpf1+n47JdcH3L8yLvsQgMDW&#10;E/Dnz1bPYl2171PtOaXrvKZ57Hnnn9Lsu/rNjXSy1eM1LZWOSldLPbXOzmrLOF2a7fwvfGWlvU74&#10;yH85dcN8uzxH6Rm2n/zo0Wb1ueR1bRYL8yjfga780m837NdYlPNNH0Oam/q7xrV6tTwxlGbpXq3m&#10;jnoNefasnGe6D7Y6DjLtfbVV+45Y17NiXg+f9l7re9rZntM5r1cMMdD8vk+nXdd9ti3n89kna7Tq&#10;Zn2N6917905cP2S5rhm8db0/LsdCAAKLJZCfuYMH/l/z8yefaJ+h1me+9jrm6Dc00r1rbzliPK8d&#10;a7P1Oea81mJr53i/Mld2WZdNnZ7pGmDUn1u+tNJ8fDS/P/HE3+287jjl5JObh7/7YAv44NpagnYm&#10;GK3Ntxf7LixntC6NkXYm09ros9zaksejNESaPW2T/nWtZTte6pHmyV33ZD03T3/FqOl5rV9D7x27&#10;rp7zrvW9bF99EIvyebxkqJjiWKsrjVZb+QyBYspXr65rkDK++42FAAQWT0Dfk7rowo9VdVmfV82X&#10;r73llRO6bC1N7XReWuuzbZYNSbue2xnvx7WANdvxyn3lO+/WkV5/5KOndM6vNa/Wc+F5Dsr04ukv&#10;X0TxKuexOo70knbX1pHN2FZUpJd6Bsx10yp+bcv6Lpc+yr82X5QOqkxa5bq2qp9px0s7rTxjDPHN&#10;2EprzcAsPX5pp/4npvIf/cH3J/qoNuZpR6zLZ+d0XSIu3uaJ67pYCEBgPgL6rrE/+2m1lq1ntP7b&#10;aN04tc/p0loDZV1W6mmW2WcW21Xf7cwS6477Vpp917ylOfGt9bm17lfn/1Lg/DTb8aVzftdcWmve&#10;5byvjC5t0P3aPCadVtyu+W4Zx/uLev+GxKn5ZF6m3b/N2qExS79yX/3IvExvto/UhwAENhLo+oxJ&#10;f8464/QN50BrszRsFs2zb6mjG/Zj/us6Q2zqcKazbubX0pnneurfp68/tnnrf9yo1XtGz7DreXa2&#10;+Qh4nbq2xiq91dqyvhOUm9Zdy3mjtdlW5WwQgAAEloVATadLfdZ5VM9kW5utrWMb2lrTOmuerGL4&#10;O1WfG927vvSK1e9aaV5+4UV7xt+f8veouqy+r3XO6FltlX/0j0+d+A6Wnx1XO2rPfbLN/rTptf5n&#10;eablo/7pufDUlKOPOmb8W2Y1jstyjGzVOPTcsLQ1mWbaumvbVyYffTdp1jn0Vo2NuBCAAAS2goCe&#10;jcrz5jve8dbm1nvW7tmOtKpL06x70m3p4g0jfWx1d6Tt0tN3vvPEDfNyn3sXZX0Ot824eiYs9Vz6&#10;rWe8x/2O6wznyaZWy18xMq5+Py03tDppTE/n/12svW+1vOSvtHykz3l/dHrLeEAAAhDY2QRqeiLN&#10;8Tnw6KNevzoPXdPm1KvUMemd9FjPj5W/H+JzqGPW9rNsaNrn7tKW9VVe+nhfvuqvdFf917zeawXW&#10;59paQeq0fq/MW42ny7DdBLzuXb53Q/d1bxp97uZLCQQgcOgRSD3JtJ5d9rlR69upxdIr6bTmk/uu&#10;eXM7P069c71Z7NkjfdSatdet/Ttj0syhL2mm5uqrduPvjE3rj8dgq7UDtV1+t9ssVOaY4pVbssx8&#10;0v0EdK+5fHbYjG39/nhfz4fl/WfY9zOmFAIQOLQI5DnN6dToy0a/z+W5s+aX+64+YWLN2udMW507&#10;nZbV+rK0V/eZpWuab2sN/E7dI16bm7fz1UhbB6dZ11f/Ml3WU5ue56sP0vHf+73/MNZYn+9t3X/v&#10;awyXj+rpusQsrNHy/dAF5x9ab/oO662Pu+yWdNfPhpXvh9a0VVb+FmUtTsYkDQEIQGAZCExo9BUn&#10;td+v+ujot0lSf61fOn/6HCot01q35sHSxPZZrbV5d6mbG/Yrz2xt8Cl03HrZ+oVO370WK+tbwzNP&#10;afVTv4Wm8fl7Vh5bbbwan/Xe4855NDox/yfA7GwdyfulLcu9j4UABCCwzARSo0877a29801plv6v&#10;RX5PutRB709oaqG39pnXthqcOh3xu/S51pbmynomvO93QqXNuh6xlqdGL/NxsZVj69LfaW3OW29a&#10;XMohAAEI7FQC0hzPEa1DtsrXWvHV1x2/4dmqmuYd6nl6hsxrCLV5tfLO+8D7d+pbSb8gAAEIQOAQ&#10;J+C5iIah3y7R7whak22lzdIqzTNTdzVH3cr5cba1nWmt2+se9BuK70eLz+tfd1Tzy+eePcSPAroP&#10;AQhAAAI7ncCZp79rwxza2lxbM059zvR26umi2q6N11pdfr9M/8/Svw2a/3Njp7/f9A8CEIAABHYu&#10;gZxDq5c5b5YO6fmoLs3r0uSu/K44OznfOu0x2Wo94R2je/VaX/B9gaeeeGz8RpdcxwUkIAABCEAA&#10;AgMI1HQkNUffkZJ+WpfKtLU1y523NDaeEc9xWrvzmubJJx4fUZ/v/woNeLtwgQAEIACBXU4gNUdz&#10;aGuR9MnppdHfePZ72pg8dlv7i9f6PFoazQYBCEAAAhDYGgLWaNm+dW5rlO3EHHOJ9DzH5bGmtT6L&#10;l+fRW/POEBUCEIAABHYzAa191zR61jl0OddMTTsU0306nbyeGq11H9zNBxBjhwAEIACBLSWQmjPL&#10;PPpQ1N5F9Dl5SaPZIAABCEAAAltFIDUHjZ78LnhN05MXGr1VRyVxIQABCEBABFJz0Gg0mk8FBCAA&#10;AQjsHAJo9HRdzvl08mIevXOOY3oCAQhAYBkJpOYwj56u18kLjV7GTwRjggAEILBzCKTmoNFo9M45&#10;MukJBCAAAQig0dN1mbVuPicQgAAEILAdBNBoNHo7jjvahAAEIACB6QTQaDR6+lHy8nvUflvevegr&#10;s4/tEF/5dPl15Tt+WvvaZtlWpDfbzmbr18bkmLZ9Pi7r87UPFgK7lQAajUYv+tjXOTfPu5ke0tYQ&#10;f/vIOl2LXZblfqbLun1l6Wu/0sqnlpf5GaeW7qqfMeyTeY6VZc5bhO2K6/zSZpsuyzzSEIBANwE0&#10;Go3uPjpmKynPv9p33ttPOWXiu/g67j76Rx/ubMD10uHBB769IYaP35q/62bZIz/4y+beL3+pOf7Y&#10;4zfE2nvWWW3ZM7/423G/s67jlfbAgQNtVlds/ca7Yz89iu1tSGz7Kva1n7mm7XP+Zvxtt97SfOf+&#10;b9mtTZtJ+tkh27RfWr0n6eN6pZVP13gV75yzz25Z5njLGNp3W7Y1H/IgsJsJ5OeT57qn63Xy4rtX&#10;Gz85Xefa1Ghrx0c+/KE2gOvYbozaNC+++A9VXfX7oTpZP9Mqe+ynf9Xqhv1L6z45//JLL2n2739R&#10;VcdbGdMFj/+sP7ZjyqodxdZ4tJUxtZ95z//6V404lf0rY0oTn336F61G13zLttRGxnDa70nbuUr/&#10;lK/xvnvv3mp9x0l7+SUXb2Dp+LI53swnDQEI8Dtj+cz2kHSee9Do4Z+g1GgzLPWgjJbn7s99enIO&#10;WepQ1s16Sj/0Z/dX9UQxyjjum6z6XJsHOn5f7IxTptXmqXv2NJqve1Msx1We0tLc4445rrePjq2Y&#10;WhvQGoHyynFlO05nXafzPcn+uI7m7PadxYpljlfxMn6m3RYWAhBAo4focvrkeQmN3vgJ6jrXpkZb&#10;P4auq2reJu6uZ5t56kmtba3H5ns2NO021O9yPu22tiK2x6A2k1mOtWsM7nOtfOM7NfnZd53UaI/T&#10;dcvx1trry/uDU0+tsnR8LAQgsJGAP5uyrHWz1r3xCJktxxpT1tK8MY81pa0HWSfTjlGrW8ayb1rp&#10;XN53Tv3Q9UHO66Q/6av49td94HLrW3vXuHL+rdiaD2dM91/rA7XN957tl1ZzZW/qh9cY0kdp91/p&#10;3My49JG/35P0V7pkmW0lS8WusbR/13jL9tiHAARWCfizI4tGo9Gb+Vz43O8YuZ9zQmvHkHm0127z&#10;OK2l3Wbarrq6H1zbtLZcxnZfdV84tyGxc/y6HnCsso0ytvZLH+9rTaG2lf0p26rVccy01ujsu+pm&#10;/Iwtlva1lb+uUTJupsvxyp8NAhCoE8jPDhqNRtePks3npkb7mLMelNF9ru/TKsewXmQM11ebLre/&#10;5sqaE9on6yktzZGvNEmvr/zpPaVLu18bj2PLoRa/jK34Nd/bbv18Vd/s31Yq/qg98fQ404pBbUsf&#10;p7vek2njrcX3eMXQPGtcanXJgwAEVgn4symLRqPRW/W5qJ3ja3qQ5/Ca5pSaq+NWeVlPY9C8NY9t&#10;p6V/XVsZo8uvFlt96IvdFauWr2e0PS73W1bXFtq6+qk15uST6bZi8SdjO117T2rjlf+Q8WZfu9JF&#10;t9iFAASCgD+bsmg0Gh2HxkKTQzXajfZ9Fzq1x8ev69l21X/0B9+3S6fWpZaMnSPh2GU/pJFDtjJ+&#10;7r+0f3/12kK6PW2ThptHaWt1Sx/tW6OzTx5v6e/x2te2bKvMn7Zf1mcfAruZQH7u0Gg0eqs+C7No&#10;tLSm5q+15E+srUXncat0nveV1tpq6aN93c9NX4039zNtFmWeYpf6rNj6DnZuWc9pW/nV0s//6u/G&#10;sbMNrRt7cz1Zp11WcnMMl6et8bFGp1+ydLzaeFUn+5PpjFdLz+Jbq08eBJaVQH5O0Wg0equO81I7&#10;dNzV9EDtd92P1Xwun2FOvXC/fa6XX5bncd6VL5+usuzrZ6+5uqr/rlvabDvT9svY5ffM7F8+D+1x&#10;atyZ1nN4rpPWfNJmudLqT/bFvn7G3P2t1Svz+vZrbbgtLAQgMEkgP0toNBo9eXQsbm+oRnc9/+y1&#10;3lIfrRvZU2mWdSWPb6XtPy2/9EtdyeuEMo73s36msw/Oz9jW6DJOqdEeb+qz8hQr23Ac+6d1Wdrs&#10;i32HjDdjZNpjzLwhz/O7bSwEdjuB/Oyg0Wj0Vn0ehmq0tNjn9SNf9ZrxnNDfOZJGuzyP3bLfs+hK&#10;LV7GVtra1af/8stYmXY859lmbI2h1GjXS40udTn3NzOPdl8y3up4Pz1+H9wf2xyH82QzP9MqM0uN&#10;N9vSPhsEIDBJID9XaDQaPXl0LG5viEbnfc88LlOfurS37GlXrIw7Szr7oO8SlbqTsWpltTzXydhd&#10;z1DLR3o2TdNqnNVObXP7aWv6mePNcWQ6Y9TS6ZvjVb+mjanWd/IgsFsI5OcJjR6u0Trn3Pe1exv9&#10;Huhues37uahpR+qBvgudv/Plc7ryVOZN5/c8Zp12ua2eOXZZWj3X3acJfjba7buuNN9bV2w/52y/&#10;0jq2Y9pmbPuo/eyD1hfcb9tafNexdRu1Oi5L6/ck/R/5/l9UWS5ivOUY2IcABCYJ5OcTje7X6Lvu&#10;X6meq8rzYTJdtvTk0TN8zxqdrLQu682/d5G85Gv9smYM0Wj5StcVSzGyTcdzu6XN3xrLeprfetOz&#10;19lPp6fF7pojZ2y1YVaO635Iv/s2Xzv4HoHrKU5tc/y00mizVh2lX3j+1xvGq9jleLOe6mpc2Qe1&#10;o/1yvPJlgwAE6gTy84lG92u0/rdG8rrqyn3NF++8vbn7jttaq/QyvzROb+X52PldNnXH523P2TRP&#10;c17y1f9g0JZtDdFo90Fzz4yndE2D7C+rdV35ZX80ly+3vG/uNsrYZR1pmn3dhn7HO8endI4x+1Fq&#10;Yhlf9dI/2yp9tZ/lTvs9yT7Jt4ulytJXae97vNknsXS5rWKwQQACdQL+bMqi0cM02vOU3fh/r8rz&#10;arlfP8om54Y+Z1sPrN/O17GotLTbm9tJ/cpj135pu357Q/+rUptjOl2b56oftd/TKv/fpfvu2I4p&#10;q60WW/2vxdb3rHNsme6ag3b1x/1a7cXk34zrtN+TSc+mSZaOqTrKr23l73W7TjnefA9qcciDwG4n&#10;4M+mLBrdr9Fa6/a5Rryk0bv5HDPL2K3DebxJDzxvzXylu7RiiEZnv7JdvXd+/6QVWju2r+d87of9&#10;NO/rWmPW/+PKmK6j2Pq9sFps+6gdx7Zfnos0/rIv3ldfXUf/90rtucw221FebbNv2uTuNlw3WWYd&#10;s7Sf+le2L3+P135lfOdjIQCBdQL5WUOj+zW6XOtOjd5t55tZx6vze3ne9jm/zNcxmc+JrR+tzcQ6&#10;cB676aO0+6f5nLQhfTOdbWfaPn4uyvGyHc1pHTvrZlpxcj/T+bukGVdt5X1x96WMVdtP3yyv9b/0&#10;1X7fd5fF8o3Hv7HKMsdVi6s8syzHmvukIQCBSQL5eUKjh2u0zkm7ca07j57aeT/LM5167PO5bR6D&#10;SmseVm5ua9o82n5ZX2vH1tJsK9vPtH3KddyM7bS+z5yxHcfWsUrr2I7j/npftuu70mUs74uNOSsv&#10;++D4aV3PVv6eR7sf6a+0+qR76Bnb9WvWfnkPQHEyfqZVxgYBCKwTyM8VGj1co8UtNXq3nWfK8Zb7&#10;60fYaiq1Q+x87rb1cSg/ry3XYk7T6Gw362tenuvHbi/74jw9H1X+9nbGLdN9sR3TVrGlc7llP5Wf&#10;+5qre03dMWrW1zXiVzKVf22rxbFG1/ydp+e8u1iWMfeedVY7Xo3J47J1PCwEINBNID9TaPT8Gt1N&#10;mBIRSI22hsg67ePQ88ukluf0WTQ6YzgtfZSeuT1bzYWVX1uPdd1pdmjsHM+0mC7/zv3fGq/zm5nW&#10;nXU/P+8LJGePTba2ZbnTQzTascrxul9iqX5thqXbwEJgtxPwZ1MWjUajt+rzUGqHz+d5/KU+dOnY&#10;ZjVa4+uKvVVjz7hu27ZWlnl96VqMkrP51uK4LG2+B7U6znPbpVW58+yLhQAE5ieQn080Go2e/0jq&#10;r1nTjtRppbu+V5SRF6HRijeLjszim30t63nfNn270kN806fGWZ/x2paffaenaXS2pZjlftnOtPLS&#10;n30IQGCSgD+bsmg0Gj15dCxuT9phTbbNY0/aO2RblEYPaWtefVG9rrpd+UP6Y5++GFut0e5D2r7+&#10;yG9aecYiDQEITBLI8yQajUZPHh2L26tph7Va9y/9nFitxTzHL0KjM57byzynS2vfPus6fT7zlg2J&#10;XeOsz3hty8++09Pm0RlnWn8OHDgwdp/mO3YkAQEITBDwZ1MWjUajJw6OBe7kPDqPOem0ni8qt65z&#10;+iI0umyrb9/9sO3zddksvqqT/pl2vNL2+bycGp39Up/6+pW+pCEAgeEE8nyJRqPRw4+c2TxL7fAc&#10;Wvl9W3neX5RGl3HLPmR5pku/cj99M136eb/mU8uTfy2/zCs5+/Pt9tK6LO20eXTZXsYjDQEILJ5A&#10;fj7RaDR68UfYasQu7Si/Kzyt/UVotHXGtqvNaeVlvZp/La+sp/0+vyzLdC1OF+eab372ne7T6Glt&#10;19ogDwIQ2BwBfzZl0Wg0enNHE7UhAAEIQGCRBNDo6bqs3+n2K3nl74wt8j0hFgQgAAEIQEAEUnOY&#10;R69rsTW5tMkLjeYzBAEIQAACW0kgNQeNRqO38lgjNgQgAAEIzEYAjZ6uyzmXTl7Mo2c71vCGAAQg&#10;AIHZCKTmMI+ertfJC42e7VjDGwIQgAAEZiOQmoNGo9GzHT14QwACEIDAVhJAo6frMmvdW3kEEhsC&#10;EIAABLoIoNFodNexQT4EIAABCGwvATQajd7eI5DWIQABCECgiwAajUZ3HRvkQwACEIDA9hJAo9Ho&#10;7T0CaR0CEIAABLoIoNFodNexQT4EIAABCGwvATQajd7eI5DWIQABCECgiwAajUZ3HRvkQwACEIDA&#10;9hJAo9Ho7T0CaR0CEIAABLoIoNFodNexQT4EIAABCGwvATQajd7eI5DWIQABCECgiwAajUZ3HRvk&#10;QwACEIDA9hJAo9Ho7T0CaR0CEIAABLoIoNFodNexQT4EIAABCGwvATQajd7eI5DWIQABCECgiwAa&#10;jUZ3HRvkQwACEIDA9hJAo9Ho7T0CaR0CEIDA7iFw8ODBicGW+xOFo53U6BtuP6y5+4FVzbrr/o3a&#10;lXl3rfnJ/8Y7XtHceLvsYc011x3XXHbF7zeXfXL0uuJtzQfOO6XZu/fk8eucc06eaNPtH3H4q6v5&#10;Lp9ms42z19pTPy4d9ePSUT/2XXNC2z/1Ua8771tpcjwed82mX/bjqSceK3E2yTvTGxzJgAAEIACB&#10;XUWgTxO6yqQ51kdpV6lRN450+3O3HNFq3YUX7xlr7dFveF1VUx0rtWxonuvU/LOsLC/37Zu2z+ec&#10;czSuk5qPj8YnXb/62mPb6447vrF+neJrkozz1BOPt5pstqXNg89lmUcaAhCAAAR2L4FSF7xvKzKp&#10;OVdd+8bmymve3Jx73p7mxBN/t9XgLLfm1fJc1mWzTqbtX+blfqbtL9uVX5bV/Gp5jp1lR7/h9c15&#10;F5zaXqPccs/KBJOnnnyiPbjEc3L1Yvcec4wcAhCAAASmE0gdbjWkWAN3BOuRbZe+dZVb12yPOfrY&#10;5oLzzm0+dMH5rb3owo81X7zjtubuO29vvjh6yT783QebJ0dzUM1Da68v33N3c9nFFzVXXbmvtdd9&#10;9jPNz0d6mL5PPv6zRhqp9eaf/OjRNrbacRuqq3588Pzz2tcpJ9fX2N3vHJ/zpln1YVWbRxpd8PV+&#10;ac0dCwEIQAACu5PAEF14+HsPNWee/q52XtilRalbZ55xeqt1N99wfau5933t3lYfpZu/eeH5Kuhx&#10;P8ala4p28ECb4/ImZqFXj7RVsXOTPktrtU3OV62Q6b3qte63UT/3739xTfMfa/58dL1gbbee9/FI&#10;Jie86YTmG1/9SrN///6yA+xDAAIQgAAEJgisa956dpknvdtz0kmtNqfepC5Jq+4ezUmlvy8U+qt4&#10;6/q32k65r9yDazq83hOnSm9r6MG2PWlebu7/c88+086RV2uXMdZrZP/k5frrHkq5zdXcMqbqvDTS&#10;Xc2TNS+/6GN/0hx3zHHV6xkx1NpBXleUbZb7k31hDwIQgAAEdhuBmi5o/VdaXGqzNEZlP/7hIxPa&#10;aiVMrbOe1eKvMl7XvwMjnT4wbQ24rbRa5+Ybrut9m1ze9ic8631x78NxLbnq73Lbdb/VnLW/0X9d&#10;J6gPvsbJ6xqldW0jbc+t3rf0IA0BCEAAAruFgDXB1uO2PqeuSGt0b3jjtlG3Sp+ax3qbI80dV1hP&#10;jbOKxGq9g6vz5DVNXI+17qw5bddW8+/0HRV0+U/2dnLP8VRX1zO65548lT5rdE+ADQIQgAAEIDCU&#10;gOZ/qSXl2uzQOEP9rH+2Q+t5ntzlP628q94s+bP0Wb66H1DOq3Wvnw0CEIAABCAwhICe80qNlmbP&#10;spW65f3SZsy+svTLtPQu7+uqzHF8Pzr9M22/WfOG1su4ZVrr26nTzKVLQuxDAAIQgEBJwPpz8tve&#10;Nr4HrTXvcrNfmd+37zq2fb6zlOl6QuvI3hRf2u3nup0/i631UXm1fMUt88v9Wtu6Z5DXQX7WfUjd&#10;WjzyIAABCEBguQjU9KBc5/7Ro/996qBrcbLStPL0zXTWy3T6KK21Yl1L6P6z1rfLuXXpP8t+V7tl&#10;frk/rQ3Npa3ReiZvkX2e1jblEIAABCBwaBLwOre/I1TTHufJOl0bbV+Z/DXf1Uvf72p/S2TtN0Xa&#10;7y+NfstEc2H/vomet9J++XK+bZa7rm1Zpn39Zoq+N6Y2/XK/nnz8seYfX3qpd4y1cTuvNv7MU9t+&#10;Zv7sM89wNSwEIAABCECgSkDr3Ee+6jXtHG/oOrd1R9bp5555utVf6570UDqq5888f5Qu+be9NP+1&#10;r6zWgq3f0kqnUz/zt8QybR9blzmOrcr//KHvTFwfqB+p5e6r+u389ndZRn3UGrti5ObxD8nzerd1&#10;+oXnf53VSEMAAhCAAATWdXX0bJj1Qtrkde6a7hib1sa11qy5qDTMz0LptzS1L81TmfUsdchxbbX+&#10;a11NK42VnqWGl+m7bv9Cb7n99Zsnip06rX214XvCHltalamOxqFY1nI97yVW1nDpt9vI+rV0rncr&#10;xje//tWaG3kQgAAEIACBVndy3igk1k/j8fPS0l/5Sovb39hem1eqPOtpXxqo+62pbapvfVOcvDZw&#10;H4ZY17OdVmeon+Kof+qnrzXUf43D+p5sfvncs+045SMeHpus9FwMkku7M/qT693yZYMABCAAAQgk&#10;AWuN5sDWsFzn1nxP2qRyzRdVpvmk8rVpjikNkj6pTJqWa9qOOU0/Va71cK9/5z1mXwf43rGt2pzl&#10;5f5Ze9Nmn93X7HumXS6r/qp/Xi/QOr828REnabTYHX3UMW065+te73a8LGuD8AcCEIAABHYtAeuz&#10;5rvWCWmR1rmlMdI/aZf0Unoj/5xL13TNcWS95p0aqziei1rn/Qa4P7bOn9c6ju0scXTdoZfWwX0d&#10;YI33/xdJ3c60xi79Vz3FUPuaa6u+yq7a96n22kbjT16sd8/yDuELAQhAYHcQ0FzPWqH5nnTU+io9&#10;/fvfvNDqjfLsl1YaftP11441KeeDffroMtuSdi2/llfW037Nr5ZX1h3i4zpeQ5C2avy5hpCarf+x&#10;IX3W/XjVUVrXN1qf0PWLWWq9W+3P0gf3BQsBCEAAAstDIHXA2itdkU5IU6TTmud57mcdkYYrT8+K&#10;aU6dcV4uOrO0uQhfxcg4mdaYy33psNYivM4tdmKrl9bGVS52Yv3O004ba7T8VMYGAQhAAAIQMAFr&#10;iOxpb397qxOa4+VatuaI0m1vpW45v8uWOtblV+a7nq3KM136D9lX/YzhtG1fjJpP5mXacbTerfVt&#10;8fVL6+C6BvrUJz8xzlOZ1i3YIAABCEAAAiZg3ZB98IFvT8ydNdfTPVltNf2p5Tluzc7qn+3OU7fs&#10;QxnD+7b2976t8/ts+mbadbTWffHHL2w12WsWmjcr7fdA963ZIAABCEAAAtaRXM9+9ZH/eqwXmuv1&#10;ba4/xKf0zX2nbWvx+spq/srLOpku/fvKSt/cz3pO26ZfmdZ6hO4ZSJt/59++dsxbz38PqV/GYx8C&#10;EIAABJaTgDRBa7Gex8lKO777nQc2DHgr9MMxbTc0uoCMrYyt7jm+beZ1df+vn3pyQp/FXfcX2CAA&#10;AQhAAAIikJpy9dr3gqzV0+bQ0nW2bgJ6Jkz3m5Nxevu6yOvcuqcgfzYIQAACEICACaSGSCeGarT8&#10;sq7Tto6/W62esas9/2U+0mjrs1j26fluZci4IQABCEBgfT4tXZlFo7vYWYe6yndDvlj2rTXoOTyz&#10;Lq93dgMfxggBCEAAAtMJWE9lF6XR01tdfo8ujTZvr3VLnzWfZoMABCAAAQh0EUiNlmZMux/N3K+L&#10;5Gq+fnutttbtWioTZ693K9/6bR8sBCAAAQhAwATmnUentmTacXej1e+JDV3rZh69G48QxgwBCEBg&#10;OAFpq3TF90iZRw9nV/OsrXXn9YvXunMeXYtDHgQgAAEIQEAE5plHp+5AcZ1ATaPXS5sN30lXGSyT&#10;EGkIQAACEEgC82h01ie9TmAejV6vTQoCEIAABCAwSQCNnuSxmT00ejP0qAsBCEAAAiUBNLokMv8+&#10;Gj0/O2pCAAIQgMBGAmj0Ribz5qDR85KjHgQgAAEI1Aig0TUq8+Wh0fNxoxYEIAABCNQJoNF1LvPk&#10;otHzUKMOBCAAAQh0EUCju8jMno9Gz86MGhCAAAQg0E0Aje5mM2sJGj0rMfwhAAEIQKCPABrdR2e2&#10;MjR6Nl54QwACEIBAPwE0up/PLKVo9Cy08IUABCAAgWkE0OhphIaXo9HDWeEJAQhAAALTCaDR0xkN&#10;9UCjh5LCDwIQgAAEhhBAo4dQGuaDRg/jhBcEIAABCAwjgEYP4zTEC40eQgkfCEAAAhAYSgCNHkpq&#10;uh8aPZ0RHhCAAAQgMJwAGj2c1TRPNHoaIcohAAEIQGAWAmj0LLT6fdHofj6UQgACEIDAbATQ6Nl4&#10;9Xmj0X10KIMABCAAgVkJoNGzEuv2R6O72VACAQhAAAKzE0CjZ2fWVQON7iJDPgQgAAEIzEMAjZ6H&#10;Wr0OGl3nQi4EIAABCMxHAI2ej1utFhpdo0IeBCAAAQjMSwCNnpfcxnpo9EYm5EAAAhCAwPwE0Oj5&#10;2ZU10eiSCPsQgAAEILAZAmj0ZuhN1kWjJ3mwBwEIQAACmyOARm+OX9ZGo5MGaQhAAAIQ2CwBNHqz&#10;BNfro9HrLEhBAAIQgMDmCaDRm2foCGi0SWAhAAEIQGARBNDoRVBcjYFGL44lkSAAAQhAoGnQ6MUd&#10;BWj04lgSCQIQgAAE0OhFHgNo9CJpEgsCEIAABJhHL+4YQKMXx5JIEIAABCDAPHqRxwAavUiaxIIA&#10;BCAAAebRizsG0OjFsSQSBCAAAQgwj17kMYBGL5ImsSAAAQhAgHn04o4BNHpxLIkEAQhAAALMoxd5&#10;DKDRi6RJLAhAAAIQYB69uGMAjV4cSyJBAAIQgADz6EUeA2j0ImkSCwIQgAAEmEcv7hhAoxfHkkgQ&#10;gAAEIMA8epHHABq9SJrEggAEIAAB5tGLOwbQ6MWxJBIEIAABCDCPXuQxgEYvkiaxIAABCECAefTi&#10;jgE0enEsiQQBCEAAAsyjF3kMoNGLpEksCEAAAhBgHr24YwCNXhxLIkEAAhCAAPPoRR4DaPQiaRIL&#10;AhCAAASYRy/uGECjF8eSSBCAAAQgsHzz6IMHD27b24pGbxt6GoYABCCwlAR2wjx6iK4O8el7g1zf&#10;Nn1reVk+NI1GDyWFHwQgAAEIDCGw0zT6uWefab545+3Nhy44v9lz0knN4a88cq7XEYe/ujnm6GMb&#10;je+m669tfvKjRydwLEqXMyganTRIQwACEIDAZglsp0anTj783Qc3pcl9Wi69Vrk0++47bmte2r9/&#10;s9iq9dHoKhYyIQABCEBgTgLbqdHq8nPPPN2cfeYZc82V+3RZZdbm0k9a/eMfPjInse5qaHQ3G0og&#10;AAEIQGB2Atuh0Z4/a+5c01Fp6NVX7mvnvE898Xgz6+vnTz7R1rnva/c2N99wXXPKySdXrwFUtsgN&#10;jV4kTWJBAAIQgMDLqdHS5tRnz2+t07r/LN3e7OY2Mo503mN1e7JX7ftUum0qjUZvCh+VIQABCECg&#10;IGDdkl7qWa2+TT6L2KTDpT5Pa3tou6U+e99WbWuenjq9qPk0Gj30XcIPAhCAAASGEHg5NNr6qP78&#10;8rlnW420RsuWc2fdK9b8Vn3z64Lzzh2nnTfEXvzxC9v4+ZyYnh0/+qhjJnQ6709nf4cwtI/6o/l6&#10;16ayHHeXH/kQgAAEIAABEZCuWDemzWXlN8tW0zpprduTTX2Wdp51xunt893f/PpXN9yHfvLxxxrf&#10;a/Y9auXp5X1b++qetMbo58TcJ10rSKfdF5Wnjs8yTvui0SaBhQAEIACBRRDYSo12/6SLepXzSK8x&#10;q0zzWOnkN776FVdrpNk333B9+11pabu+My177vvf17z33ec07znnnOZ973l3c94H3r9hjq3Yqm9N&#10;dvyHv/fQOL6uD7zmLa3WNYr9bcfOAxJo9ABIuEAAAhCAwGACL4dGuzNad8556z++9FKriZ7Tek6t&#10;+exFF35s7Os681i16Xak2Z5Pq0/SYY3fOq0y57eJGf+g0TMCwx0CEIAABHoJbJVGl/NQ6a41Vpqo&#10;3xKxj+bGnsNKT7Xebd08/Q//sNXrT1x6STP0JX0/413vGsdQPK9jaz6t58e9lXP7vC9tn6EWjR5K&#10;Cj8IQAACEBhCYCs02tor67TWmK3RstJibZ7b7t//Yrvv+9X/5rf/XfNfP3VFc+vNN45eN61Zpftf&#10;t9x0w9hH9V/7O69r21Vcb2ee/q6J++D5/Wmtrc+7odHzkqMeBCAAAQjUCCxao63JZVu6P2yN1u+K&#10;2U/PdF01+r0SbZ7TTurzjU3q7jSNLsul056TK742PY+mubb7oGfI3TfxcH7rPPpT7ju/tGh0SYR9&#10;CEAAAhDYDIFFa3RXX7Id/Y8Lb9JuP0/ue9B7zzprPBcuNXeWObXr6vky6XReC6g/3nSdYI32PWmX&#10;zWLR6Flo4QsBCEAAAtMIpHZaK7vqSMfm3braSV3z/7laX+NeXdeefx59UzsH131s9d33oTWfVrve&#10;PH+3Tjt/VptjqdVdVDu12ORBAAIQgMDyEejSztpIt1qjrZFem+7ad/4QW8bSuPQd67w/vSjtRKNr&#10;Rw15EIAABCAwL4GdpNHWU61Rzzd37n62zHouTvp9E43b95nR6HmPHupBAAIQgMBWEthJGm0d9X3k&#10;zdhS4x1buixN1u+heJNmu1x23o159LzkqAcBCEAAAjUCO02jNZdOfc30NM1e9V29B136WoPFwPNo&#10;89Dat8vRaFPBQgACEIDAdhPYaRotjZS+rmtzXXNLDZ62bw0W75xHa16NRm/3UUj7EIAABCBQI7BT&#10;Ndrfsfr8jfpNku77zJPabD/b1d8/kd5LozVH1yaNzmfGNK/2vXDm0bWjhDwIQAACENgOAjtRoz/w&#10;vve2/zfD9v3vfU+j9JCX/t+GXvZ13VKjNW5vzKNNAgsBCEAAAjuJwE7VaGvsvPbc963rtGKUa92p&#10;0TzXvZOOSPoCAQhAAAImsBM1enL92r/PnevXzttota69fi9b97VXfdBov+NYCEAAAhA4VAjsNI0u&#10;n+uWXqfm1vV7Xavt29r2/2usPnOGRh8qRyT9hAAEIAABE9hpGi0tzWfErLnTtHlVy9e1elLbb2Kt&#10;2284FgIQgAAEDhkCO1Gj9fval49en7zs0sH/M7r2v6Uvv2T9f04zjz5kDkk6CgEIQAACawR2okZb&#10;T23ze1HO67L2La39NWw9I6Zxe+OZMZPAQgACEIDATiJwKGi09XURVuzR6J10BNIXCEAAAhDoIrAT&#10;NXrPCW9uTn7TmxvZPW86YdUqPePrlBPe0taRtb6LAxrddTSQDwEIQAACO4nATtToD772iGbRLzR6&#10;Jx119AUCEIAABIYQQKNX59XWcNl5N7HUHL1rW9R976745EMAAhCAwHIRQKPR6OU6ohkNBCAAgeUh&#10;gEaj0ctzNDMSCEAAAstFAI1Go5friGY0EIAABJaHABqNRi/P0cxIIAABCCwXATQajV6uI5rRQAAC&#10;EFgeAmg0Gr08RzMjgQAEILBcBNBoNHq5jmhGAwEIQGB5CKDRaPTyHM2MBAIQgMByEUCj0ejlOqIZ&#10;DQQgAIHlIYBGo9HLczQzEghAAALLRQCNRqOX64hmNBCAAASWhwAajUYvz9HMSCAAAQgsFwE0Go1e&#10;riOa0UAAAhBYHgJoNBq9PEczI4EABCCwXATQaDR6uY5oRgMBCEBgeQig0Wj08hzNjAQCEIDAchFA&#10;o9Ho5TqiGQ0EIACB5SGARqPRy3M0MxIIQAACy0UAjUajl+uI/v/s3c9vHGcZB/D8BYgDd5K0SCC1&#10;SIkbCSQoEqhJw4GqJA2p1AKtTVQOUNorRT3SSDlRqvYE5depTUlv/LyShB5pwxU7/QMa7t7Bz9jv&#10;djye9dq7T73Lq89Im9md2Xln3o8f6etnvI7NhgABAvUIyGgZXU81mwkBAgTqEpDRMrquijYbAgQI&#10;1CMgo2V0PdVsJgQIEKhLQEbL6Loq2mwIECBQj4CMltH1VLOZECBAoC4BGS2j66posyFAgEA9AjJa&#10;RtdTzWZCgACBugRktIyuq6LNhgABAvUIyGgZXU81mwkBAgTqEpDRMrquijYbAgQI1CMgo2V0PdVs&#10;JgQIEKhLQEbL6Loq2mwIECBQj4CMltH1VLOZECBAoC4BGS2j66posyFAgEA9AjJaRtdTzWZCgACB&#10;ugRktIyuq6LNhgABAvUIyGgZXU81mwkBAgTqEpDRMrquijYbAgQI1CMgo2V0PdVsJgQIEKhLQEbL&#10;6Loq2mwIECBQj4CMltH1VLOZECBAoC4BGS2j66posyFAgEA9AjJaRtdTzWZCgACBugRktIyuq6LN&#10;hgABAvUIyGgZXU81mwkBAgTqEpDRMrquijYbAgQI1CMgo2V0PdVsJgQIEKhLYBkzevXUF5ofPHhi&#10;+PHA1vZ4TNr/4Mnmyhd371899fnm+Gfvax/x1fvnrZtNzHs0GrVfzHhd9sd61iXGjLEmLVnnmTS+&#10;7QQIECBQl8AyZfSlixeaE8fvb1a//o3tDH4g8vb4Pnm8O4u3c3vr/W2G7xy39TzGi+yNucZSMrp8&#10;JbOyU0YXUWsCBAgQyBBYpoy+dvWVNksvfeux3Tk7sWfendGR52s7PXZZR25ffvzxdtw3Xnu1Jetm&#10;9ObmZvPe7Vvt/tJLz+oqo2eVcxwBAgQIDAksU0ZvrK83D62cafPyhe9+b6t/PvlxVkf27uTv5Pvc&#10;kdlbx+xkemT2j556uh3v9KmV5sO7G+397cjoK2urYw599JjCEwIECBBYIoFlyuj46fCN62+Ne9rn&#10;nn6q+eGXT3+c05G9B8rqk81zX/lS8/3LT47HuvHO22P1bh8dG2X0mMYTAgQIEFgigWXK6KbZ/gzX&#10;61v3pMt95/j5dNyrfuzsueb8w19rHv3qwxMfsf/b57/ZPHnhwvj4+05+rs39Qh6fE4t722vPPuMz&#10;YwXFmgABAgSWUmC5MnqbaDTabG7f3L4fHVkdOV0y+zDrmNvtm//Y4z7UR3fPseeAA26I88XYk5as&#10;fn3S+LYTIECAQF0Cy5jRIRwd9Whz1NzdWG9zNvLtMI84LrJ+59erdn3RYpyYd1l8ZqxIWBMgQIDA&#10;Mgksa0Z/kkb9jI7X3f581nPro2eVcxwBAgQIDAnIaJ8ZG6oL2wgQIEBg8QIyWkYvvgpdAQECBAgM&#10;CchoGT1UF7YRIECAwOIFZLSMXnwVugICBAgQGBKQ0TJ6qC5sI0CAAIHFC8hoGb34KnQFBAgQIDAk&#10;IKNl9FBd2EaAAAECixeQ0TJ68VXoCggQIEBgSEBGy+ihurCNAAECBBYvIKNl9OKr0BUQIECAwJCA&#10;jJbRQ3VhGwECBAgsXkBGy+jFV6ErIECAAIEhARkto4fqwjYCBAgQWLyAjJbRi69CV0CAAAECQwIy&#10;WkYP1YVtBAgQILB4gcyMHo1GEyc06TyxPf5+c3fZb5zu+2Z9/t7tW02ct5yn+/ejTxy/fzxs2T/e&#10;MOXJ0Fy6h3TPE3+v2kKAAAECBPYTmJSdQ8ccJFci14aybeg88b5rV19p3njt1fZ0Q8eV69hvX3nP&#10;tHUZI7IyrqcsWdkpo4uoNQECBAhkCAxl56Rxp2V0ycCh41/8yfNNHB+PeF6WyOeXf/ZSedmu++P0&#10;X+968z4vJh33+9/8es81lGv7zhMXB0ecNFb3zTK6q+E5AQIECMwrkJnR5VqG8iyyuOTguUceKW9t&#10;7rz/r2bl9EPj1/0nQ2P133PY1zHnG9ffGh/24vM/buIed//7h/KGg16DjC5i1gQIECCQIZCd0ZPy&#10;rH8/+d93PhjfE1979pk997snjXPYOffHies4fWqluffRR+35/3vv3vh7h8jo6LFj6R/Xbpzyj4ye&#10;AmQ3AQIECBxKIDujy8lLxpV1bI9+ufTS5f527L/zwfvt9lh3398fq7zeb73f8aVnf/edt8dDRD9d&#10;euhYb6z/Z7xvaKzxzoEnMnoAxSYCBAgQmFkgO6NLrsW6+zwuMHK5ZHTkYWRyWd794/U2w//w2zfH&#10;x5V9B12X88X7u8/jdfTPZ1bONC+/9NN42S7RS3e/bwiLeRYZPY+eYwkQIECgL5Cd0f3xu1l5d2N9&#10;nNGR1f3PZ8XvRMXPqq+srTbR63YzvD/uQV7H+f72lz+1n+GOLC79c7mmyOvSQ8f1RI7Ps8joefQc&#10;S4AAAQJ9gU86o/vn6352LHKx29fGeyM/I0vjs9+Pnj27K9NLDz5tXXI3+ub4WXf8jDl65u4S28o4&#10;8f5wmHeR0fMKOp4AAQIEugJHndGRlZcvPTHOxzant+6BdzO09Lnd6zzo8/2OLfvi+4SS43H+6LE/&#10;vLtx0FNMfJ+MnkhjBwECBAjMIHDUGR2XGPewo8ctfWys4753915zydPDTGnaMXHvuzvfOG9kdfe8&#10;hzlf/70yui/iNQECBAjMI9DNrOgv91si07KW8hnrbk7H87iev//1z+1ppmXutGspx8f3BHFPvX+u&#10;eN39Pelp403bL6OnCdlPgAABAocRWFRGxzXG/eVLFy8MZmfJ67i+WR7xc+g4Ln4XOsbq3tuO13F/&#10;O35HO3OJ8+3Xk8e+OHd5ZJ7bWAQIECBQn0DkSsmMo+yjQ7L0uXHeyMx+jvZfl+ucZd0d69rVnzfx&#10;f5d0r6F9Mec/MnpOQIcTIECAwC6Bo87oksvdi4ht8Zmx13/5i+b8uXPj7xm6WdzN2O72ac/LcfE9&#10;QGRz/Ey6LOVayrpsn3Uto2eVcxwBAgQIDAkcdUYPXUN/W+Ro/J8m0V/P+/jdm78avKddcrms+9cw&#10;y2sZPYuaYwgQIEBgksAyZvSka1327TJ62b9Cro8AAQL/XwIyOu/rJaPzLI1EgAABAs2u3xc+6s+M&#10;1eYvo2v7ipoPAQIEFiugj87zl9F5lkYiQIAAAX10Zg3I6ExNYxEgQICAPjqvBmR0nqWRCBAgQEAf&#10;nVkDMjpT01gECBAgoI/OqwEZnWdpJAIECBDQR2fWgIzO1DQWAQIECOij82pARudZGokAAQIE9NGZ&#10;NSCjMzWNRYAAAQL66LwakNF5lkYiQIAAAX10Zg3I6ExNYxEgQICAPjqvBmR0nqWRCBAgQEAfnVkD&#10;MjpT01gECBAgoI/OqwEZnWdpJAIECBDQR2fWgIzO1DQWAQIECOij82pARudZGokAAQIE9NGZNSCj&#10;MzWNRYAAAQL66LwakNF5lkYiQIAAAX10Zg3I6ExNYxEgQICAPjqvBmR0nqWRCBAgQEAfnVkDMjpT&#10;01gECBAgoI/OqwEZnWdpJAIECBDQR2fWgIzO1DQWAQIECOij82pARudZGokAAQIE9NGZNSCjMzWN&#10;RYAAAQL66LwakNF5lkYiQIAAAX10Zg3I6ExNYxEgQICAPjqvBmR0nqWRCBAgQEAfnVkDMjpT01gE&#10;CBAgoI/OqwEZnWdpJAIECBDQR2fWgIzO1DQWAQIECOij82pARudZGokAAQIE9NGZNSCjMzWNRYAA&#10;AQL66LwakNF5lkYiQIAAAX10Zg3I6ExNYxEgQICAPjqvBmR0nqWRCBAgQEAfnVkDMjpT01gECBAg&#10;oI/OqwEZnWdpJAIECBDQR2fWgIzO1DQWAQIECOij82pARudZGokAAQIE9NGZNSCjMzWNRYAAAQL6&#10;6LwakNF5lkYiQIAAAX10Zg3I6ExNYxEgQICAPjqvBmR0nqWRCBDYK/CpY8eOfWbrEcuntx7x/H8A&#10;AAD//wMAUEsDBBQABgAIAAAAIQAB6Yo13wAAAAgBAAAPAAAAZHJzL2Rvd25yZXYueG1sTI9BT8Mw&#10;DIXvSPyHyEjcWFJGB5Sm0zQBp2kSGxLiljVeW61xqiZru3+POcHJtt7T8/fy5eRaMWAfGk8akpkC&#10;gVR621Cl4XP/dvcEIkRD1rSeUMMFAyyL66vcZNaP9IHDLlaCQyhkRkMdY5dJGcoanQkz3yGxdvS9&#10;M5HPvpK2NyOHu1beK7WQzjTEH2rT4brG8rQ7Ow3voxlX8+R12JyO68v3Pt1+bRLU+vZmWr2AiDjF&#10;PzP84jM6FMx08GeyQbQaHlM2akgXPFmeqzQBceDlQT2DLHL5v0DxA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Aqh1MxWAQAABENAAAOAAAAAAAAAAAAAAAAADwCAABk&#10;cnMvZTJvRG9jLnhtbFBLAQItABQABgAIAAAAIQBtm7Q2VkQAAMgPDAAUAAAAAAAAAAAAAAAAAMAG&#10;AABkcnMvbWVkaWEvaW1hZ2UxLmVtZlBLAQItABQABgAIAAAAIQAB6Yo13wAAAAgBAAAPAAAAAAAA&#10;AAAAAAAAAEhLAABkcnMvZG93bnJldi54bWxQSwECLQAUAAYACAAAACEAjiIJQroAAAAhAQAAGQAA&#10;AAAAAAAAAAAAAABUTAAAZHJzL19yZWxzL2Uyb0RvYy54bWwucmVsc1BLBQYAAAAABgAGAHwBAABF&#10;TQAAAAA=&#10;">
                      <v:group id="그룹 22" o:spid="_x0000_s1185" style="position:absolute;width:18897;height:18059" coordorigin="88" coordsize="18897,1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186" type="#_x0000_t75" style="position:absolute;left:88;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92" o:title=""/>
                          <v:path arrowok="t"/>
                        </v:shape>
                        <v:shape id="Text Box 17" o:spid="_x0000_s1187" type="#_x0000_t202" style="position:absolute;left:11423;top:15748;width:756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771190D3" w14:textId="5D63A580" w:rsidR="006D7011" w:rsidRDefault="006D7011">
                                <w:pPr>
                                  <w:pStyle w:val="af0"/>
                                  <w:jc w:val="right"/>
                                  <w:rPr>
                                    <w:noProof/>
                                  </w:rPr>
                                </w:pPr>
                                <w:r>
                                  <w:rPr>
                                    <w:rFonts w:ascii="Times New Roman" w:eastAsia="Times New Roman" w:hAnsi="Times New Roman" w:cs="Times New Roman"/>
                                    <w:lang w:val="pl-PL"/>
                                  </w:rPr>
                                  <w:t xml:space="preserve">Rysunek </w:t>
                                </w:r>
                                <w:r>
                                  <w:rPr>
                                    <w:rFonts w:ascii="Times New Roman" w:hAnsi="Times New Roman" w:cs="Times New Roman"/>
                                  </w:rPr>
                                  <w:t>L</w:t>
                                </w:r>
                              </w:p>
                            </w:txbxContent>
                          </v:textbox>
                        </v:shape>
                      </v:group>
                      <v:shape id="Text Box 1031" o:spid="_x0000_s1188" type="#_x0000_t202" style="position:absolute;left:9461;top:6477;width:8750;height:8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76wQAAAN0AAAAPAAAAZHJzL2Rvd25yZXYueG1sRE9LbsIw&#10;EN0j9Q7WVOqOOAQVlYBBadVKbEN7gGk8xKHxOI3dJNweV0JiN0/vO9v9ZFsxUO8bxwoWSQqCuHK6&#10;4VrB1+fH/AWED8gaW8ek4EIe9ruH2RZz7UYuaTiGWsQQ9jkqMCF0uZS+MmTRJ64jjtzJ9RZDhH0t&#10;dY9jDLetzNJ0JS02HBsMdvRmqPo5/lkFA5WmfD6/vq+zURbfeGD+XS2Venqcig2IQFO4i2/ug47z&#10;0+UC/r+JJ8jdFQAA//8DAFBLAQItABQABgAIAAAAIQDb4fbL7gAAAIUBAAATAAAAAAAAAAAAAAAA&#10;AAAAAABbQ29udGVudF9UeXBlc10ueG1sUEsBAi0AFAAGAAgAAAAhAFr0LFu/AAAAFQEAAAsAAAAA&#10;AAAAAAAAAAAAHwEAAF9yZWxzLy5yZWxzUEsBAi0AFAAGAAgAAAAhAN4envrBAAAA3QAAAA8AAAAA&#10;AAAAAAAAAAAABwIAAGRycy9kb3ducmV2LnhtbFBLBQYAAAAAAwADALcAAAD1AgAAAAA=&#10;" fillcolor="white [3212]" stroked="f" strokeweight=".5pt">
                        <v:textbox inset="0,0,0,0">
                          <w:txbxContent>
                            <w:p w14:paraId="7EDCCEB2" w14:textId="77777777" w:rsidR="006D7011" w:rsidRDefault="006D701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v:textbox>
                      </v:shape>
                      <w10:wrap type="square"/>
                    </v:group>
                  </w:pict>
                </mc:Fallback>
              </mc:AlternateContent>
            </w:r>
            <w:r w:rsidR="000E0B7C" w:rsidRPr="008F328C">
              <w:rPr>
                <w:rFonts w:eastAsia="맑은 고딕"/>
                <w:lang w:val="pl-PL"/>
              </w:rPr>
              <w:t>•</w:t>
            </w:r>
            <w:r w:rsidR="000E0B7C" w:rsidRPr="008F328C">
              <w:rPr>
                <w:rFonts w:eastAsia="Times New Roman"/>
                <w:lang w:val="pl-PL"/>
              </w:rPr>
              <w:t xml:space="preserve"> Jeśli okienko wypełniło się całkowicie kolorem niebieskim lub jeśli lek nadal jest wstrzykiwany, oznacza to, że pacjent nie otrzymał pełnej dawki. Należy natychmiast skontaktować się z lekarzem.</w:t>
            </w:r>
          </w:p>
          <w:p w14:paraId="49ABE48E" w14:textId="77777777" w:rsidR="002E5800" w:rsidRPr="008F328C" w:rsidRDefault="002E5800">
            <w:pPr>
              <w:pStyle w:val="a3"/>
              <w:rPr>
                <w:lang w:val="pl-PL"/>
              </w:rPr>
            </w:pPr>
          </w:p>
          <w:p w14:paraId="626BEB9C" w14:textId="5B0B150A" w:rsidR="002E5800" w:rsidRPr="008F328C" w:rsidRDefault="000E0B7C">
            <w:pPr>
              <w:pStyle w:val="a3"/>
              <w:ind w:left="3937" w:hanging="180"/>
              <w:rPr>
                <w:lang w:val="pl-PL"/>
              </w:rPr>
            </w:pPr>
            <w:r w:rsidRPr="008F328C">
              <w:rPr>
                <w:rFonts w:eastAsia="Times New Roman"/>
                <w:b/>
                <w:bCs/>
                <w:lang w:val="pl-PL"/>
              </w:rPr>
              <w:t xml:space="preserve">c. </w:t>
            </w:r>
            <w:r w:rsidRPr="008F328C">
              <w:rPr>
                <w:rFonts w:eastAsia="Times New Roman"/>
                <w:lang w:val="pl-PL"/>
              </w:rPr>
              <w:t>Delikatnie przycisnąć wacik lub gazik do miejsca wstrzyknięcia (nie pocierać) i nałożyć plaster, jeśli jest to konieczne. Może wystąpić niewielkie krwawienie.</w:t>
            </w:r>
          </w:p>
          <w:p w14:paraId="613A9936" w14:textId="77777777" w:rsidR="002E5800" w:rsidRPr="008F328C" w:rsidRDefault="002E5800">
            <w:pPr>
              <w:pStyle w:val="a3"/>
              <w:rPr>
                <w:lang w:val="pl-PL"/>
              </w:rPr>
            </w:pPr>
          </w:p>
          <w:p w14:paraId="201488C8" w14:textId="6F73AE79" w:rsidR="002E5800" w:rsidRPr="008F328C" w:rsidRDefault="000E0B7C">
            <w:pPr>
              <w:pStyle w:val="a3"/>
              <w:rPr>
                <w:lang w:val="pl-PL"/>
              </w:rPr>
            </w:pPr>
            <w:r w:rsidRPr="008F328C">
              <w:rPr>
                <w:rFonts w:eastAsia="맑은 고딕"/>
                <w:b/>
                <w:bCs/>
                <w:lang w:val="pl-PL"/>
              </w:rPr>
              <w:t>•</w:t>
            </w:r>
            <w:r w:rsidRPr="008F328C">
              <w:rPr>
                <w:rFonts w:eastAsia="Times New Roman"/>
                <w:b/>
                <w:bCs/>
                <w:lang w:val="pl-PL"/>
              </w:rPr>
              <w:t xml:space="preserve"> Nie</w:t>
            </w:r>
            <w:r w:rsidRPr="008F328C">
              <w:rPr>
                <w:rFonts w:eastAsia="Times New Roman"/>
                <w:lang w:val="pl-PL"/>
              </w:rPr>
              <w:t xml:space="preserve"> używać ponownie wstrzykiwacza.</w:t>
            </w:r>
          </w:p>
          <w:p w14:paraId="4ED0242B" w14:textId="77777777" w:rsidR="002E5800" w:rsidRPr="008F328C" w:rsidRDefault="000E0B7C">
            <w:pPr>
              <w:pStyle w:val="a3"/>
              <w:numPr>
                <w:ilvl w:val="0"/>
                <w:numId w:val="0"/>
              </w:numPr>
              <w:ind w:left="1024"/>
              <w:rPr>
                <w:lang w:val="pl-PL" w:eastAsia="ko-KR"/>
              </w:rPr>
            </w:pPr>
            <w:r w:rsidRPr="008F328C">
              <w:rPr>
                <w:rFonts w:eastAsia="맑은 고딕"/>
                <w:b/>
                <w:bCs/>
                <w:lang w:val="pl-PL"/>
              </w:rPr>
              <w:t>•</w:t>
            </w:r>
            <w:r w:rsidRPr="008F328C">
              <w:rPr>
                <w:rFonts w:eastAsia="Times New Roman"/>
                <w:b/>
                <w:bCs/>
                <w:lang w:val="pl-PL"/>
              </w:rPr>
              <w:t xml:space="preserve"> Nie</w:t>
            </w:r>
            <w:r w:rsidRPr="008F328C">
              <w:rPr>
                <w:rFonts w:eastAsia="Times New Roman"/>
                <w:lang w:val="pl-PL"/>
              </w:rPr>
              <w:t xml:space="preserve"> pocierać miejsca wstrzyknięcia</w:t>
            </w:r>
            <w:r w:rsidRPr="008F328C">
              <w:rPr>
                <w:rFonts w:eastAsia="Times New Roman"/>
                <w:sz w:val="20"/>
                <w:szCs w:val="20"/>
                <w:lang w:val="pl-PL"/>
              </w:rPr>
              <w:t>.</w:t>
            </w:r>
          </w:p>
        </w:tc>
      </w:tr>
      <w:tr w:rsidR="002E5800" w:rsidRPr="00A5286D" w14:paraId="5EFB5C48" w14:textId="77777777">
        <w:trPr>
          <w:trHeight w:val="5329"/>
        </w:trPr>
        <w:tc>
          <w:tcPr>
            <w:tcW w:w="9581" w:type="dxa"/>
          </w:tcPr>
          <w:p w14:paraId="344BFA2C" w14:textId="77777777" w:rsidR="002E5800" w:rsidRPr="008F328C" w:rsidRDefault="002E5800">
            <w:pPr>
              <w:ind w:left="104"/>
              <w:rPr>
                <w:rFonts w:ascii="Times New Roman" w:eastAsia="Times New Roman" w:hAnsi="Times New Roman" w:cs="Times New Roman"/>
                <w:b/>
                <w:bCs/>
                <w:spacing w:val="-1"/>
                <w:lang w:val="pl-PL"/>
              </w:rPr>
            </w:pPr>
          </w:p>
          <w:p w14:paraId="61C93BA8" w14:textId="77777777" w:rsidR="002E5800" w:rsidRPr="008F328C" w:rsidRDefault="002E5800">
            <w:pPr>
              <w:pStyle w:val="a3"/>
              <w:numPr>
                <w:ilvl w:val="0"/>
                <w:numId w:val="0"/>
              </w:numPr>
              <w:ind w:left="471"/>
              <w:rPr>
                <w:lang w:val="pl-PL"/>
              </w:rPr>
            </w:pPr>
          </w:p>
          <w:p w14:paraId="0002756D" w14:textId="43F958C2" w:rsidR="002E5800" w:rsidRPr="008F328C" w:rsidRDefault="000E0B7C">
            <w:pPr>
              <w:pStyle w:val="a3"/>
              <w:numPr>
                <w:ilvl w:val="0"/>
                <w:numId w:val="25"/>
              </w:numPr>
              <w:rPr>
                <w:lang w:val="pl-PL"/>
              </w:rPr>
            </w:pPr>
            <w:r w:rsidRPr="008F328C">
              <w:rPr>
                <w:b/>
                <w:noProof/>
                <w:lang w:eastAsia="ko-KR"/>
              </w:rPr>
              <mc:AlternateContent>
                <mc:Choice Requires="wpg">
                  <w:drawing>
                    <wp:anchor distT="0" distB="0" distL="114300" distR="114300" simplePos="0" relativeHeight="251658245" behindDoc="0" locked="0" layoutInCell="1" allowOverlap="1" wp14:anchorId="06CEDFA7" wp14:editId="576156C8">
                      <wp:simplePos x="0" y="0"/>
                      <wp:positionH relativeFrom="column">
                        <wp:posOffset>112395</wp:posOffset>
                      </wp:positionH>
                      <wp:positionV relativeFrom="paragraph">
                        <wp:posOffset>36830</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2FA9F858" w14:textId="22A8DE54" w:rsidR="006D7011" w:rsidRDefault="006D7011">
                                    <w:pPr>
                                      <w:pStyle w:val="af0"/>
                                      <w:jc w:val="right"/>
                                      <w:rPr>
                                        <w:b w:val="0"/>
                                        <w:noProof/>
                                      </w:rPr>
                                    </w:pPr>
                                    <w:r>
                                      <w:rPr>
                                        <w:rFonts w:ascii="Times New Roman" w:eastAsia="Times New Roman" w:hAnsi="Times New Roman" w:cs="Times New Roman"/>
                                        <w:lang w:val="pl-PL"/>
                                      </w:rPr>
                                      <w:t xml:space="preserve">Rysunek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06CEDFA7" id="그룹 19" o:spid="_x0000_s1189" style="position:absolute;left:0;text-align:left;margin-left:8.85pt;margin-top:2.9pt;width:175.25pt;height:231.3pt;z-index:251658245"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oRHJoAwAAEAgAAA4AAABkcnMvZTJvRG9jLnhtbKRVwXLTMBC9M8M/&#10;aHSnTtImKZ6mTGlph5lOydAynBVZjjXYkpCU2OWD+AU48EXwEzzJdkoamEI5xFlJq9Xu27e7Ry+a&#10;qiRrYZ3UakaHewNKhOI6k2o5o+9uzp8dUuI8UxkrtRIzeiscfXH89MlRbVIx0oUuM2EJjCiX1mZG&#10;C+9NmiSOF6Jibk8boXCYa1sxj6VdJpllNaxXZTIaDCZJrW1mrObCOeyetYf0ONrPc8H9mzx3wpNy&#10;RuGbj18bv4vwTY6PWLq0zBSSd26wR3hRManw6MbUGfOMrKzcMVVJbrXTud/jukp0nksuYgyIZji4&#10;F82F1SsTY1mm9dJsYAK093B6tFl+tb6w5trMLZCozRJYxFWIpcltFf7hJWkiZLcbyETjCcfmaDQa&#10;T6ZjSjjORs/3p+NhByovgPzOPV68euBm0j+cbLljJE/x6zCAtIPBw1zBLb+ygnZGqr+yUTH7YWWe&#10;IV2GebmQpfS3kXpITHBKreeSz227AJxzS2Q2oweUKFaB8d+/fP3x+Rs5CFQL+kGlvcBCQJeaf3BE&#10;6dOCqaU4cQaURSEF7WRbPS63XluU0pzLsgxJCnIXF+h9jx6/gaal3pnmq0oo39aSFSVC1MoV0jhK&#10;bCqqhUAs9nU2RIZRxx4BGSuVbwvHeSs8L8L7Ofx4C9+D3yzdHESn7/wMETmQ7XH0mu6Px4eRXhuS&#10;AEPr/IXQFQkCfIUPyAxL2frSdd70KmG7VOHrdCmzHrrYbMRpacmaoU34pkV/SwsPhpsxnDaAKCKe&#10;UDboXa5HH6sd/P+pPK8LZgRCCGbv+DREI20JdRNq76VuCLZi0Ua1UMLEN9jv2BOu/wHq4fjg+cEA&#10;7TDU7HSCEu5qtq/qCTb7oh5Ox6PJf4K+BXfIxgbsupBeRLJvwd3nSemQpJZTEf+7qILkm0UTq+1w&#10;0kOx0NktkLAaXECEzvBziQcvmfNzZtHbsYl55d/gk5e6nlHdSZQU2n763X7QR05xSkmNWTGj7uOK&#10;hUZSvlbIdhgsvWB7YdELalWdavAKJQRvoogL1pe9mFtdvccYOwmv4IgpjrdAxF489e3Ewhjk4uQk&#10;KrX96FJdG3SxYWR8APamec+s6WrBI59XuufTTkm0uiB1gLLFrVuAzVGKYwfS1lz7dR217gb58U8A&#10;AAD//wMAUEsDBAoAAAAAAAAAIQDj49UZn2QAAJ9kAAAVAAAAZHJzL21lZGlhL2ltYWdlMS5qcGVn&#10;/9j/4AAQSkZJRgABAgEBLgEu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QwAMCAgICAgMCAgMEAsLCwwPDg0NDhQSDg4TExIXFBIUFBobFxQUGx4eJxsUJCcn&#10;JyckMjU1NTI7Ozs7Ozs7Ozs7/9sAQwENCwsOCw4RDw8SGBERERIXGxgUFBceFxggGBceJR4eHh4e&#10;HiUjKCgoKCgjLDAwMDAsNzs7Ozc7Ozs7Ozs7Ozs7/9sAQwINCwsOCw4RDw8SGBERERIXGxgUFBce&#10;FxggGBceJR4eHh4eHiUjKCgoKCgjLDAwMDAsNzs7Ozc7Ozs7Ozs7Ozs7/8AAEQgCWQHp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hury2so/NupFjXtnqfYDqfw&#10;rFl8WRuxjsLaSdugJ+UfXA3H+VAHQUVzDXXie86FLRD2AAP/ALO1N/svVJPmm1KXPsXYf+hrQB1N&#10;Fct/Y99/0Epf/H//AI5R/Y16eG1GUjuPm/8AjlAHU0Vyv9hTf8/0v6//ABdH9hTf8/0v6/8AxdAH&#10;VUVyv/CPg8tdSE9z/kmj/hHl/wCfmT/P40AdVRXLL4ct94Z5pGYEc8f4GupoAKKKKACiiigAoooo&#10;AKKKKACiiigAooooAKKKKACiiigAooooAKKKKACiiigAooooAKKKKACiiigAooooAKKKKACiiigA&#10;ooooAKKKKACiiigAooooAKKKKACiiigAooooAKzdY1mHS4sDElw4/dx/+zH2/nUGr+IEtWNnYDz7&#10;tjt4+ZUP9T7fnVKw0t1lN9qDedcud3zfMFP+P8qAIoNMuL+T7drDl2blYumB2Bx0+grWjjjiUJEo&#10;RR0CgAfpTqKACiiigAooooAKKKKACiiigAHUfWtOswdR9a06ACiiigAooooAKKKKACiiigAooooA&#10;KKKKACiiigAooooAKKKKACiiigAooooAKKKKACiiigAooooAKKKKACiiigAooooAKKKKACiiigAo&#10;oooAKKKKACiiigAooqlqOr2emJmdsyEZWJeXP+A9zQBbkkSJDJKwRFGWZjgAVzl9rd1qchsdGBVO&#10;jzn5Tj2PYfrUDDUvEDiW7Jt7MHKxr39+ev1P4VqW9vDaxiKBQij06n3PqaAK+n6XBYLkfPMR80h6&#10;/Qegq7RRQAUUUUAFFFFABRRRQAUUUUAFFFFAAOo+tadZg6j61p0AFFFFABRRRQAUUUUAFFFFABRR&#10;RQAUUUUAFFFFABRRRQAUUUUAFFFFABRRRQAUUUUAFFFFABRRRQAUUUUAFFFFABRRRQAUUUUAFFFF&#10;ABRRRQAUUU2SSOGNpZWCIgJZjwABQA6q93f2linmXUqxjsDyx+gHJrDuvEN5fSG20WM4HBnYfqAe&#10;B+NR2+iKz/aNRkNzMeTkkr+vJoAkn1/UNRJh0eExp0M74z/8SP1NNs9Fjjf7Ret9pnJyS2SoPrzy&#10;T7mtJVVFCIAqjgADAFLTAKKKKQBRRRQAUUUUANWRHZkU5aMgMO4yMinVXuYn3C5gGZYxjb03r3Q/&#10;096lilSaNZYzlWGR/h9aAH0UUUAFFFFABRRRQADqPrWnWYOo+tadABRRRQAUUUUAFFFFABRRRQAU&#10;UUUAFFFFABRRRQAUUUUAFFFFABRRRQAUUUUAFFFFABRRRQAUUUUAFFFFABRRRQAUUUUAFFFFABRR&#10;RQAUUUUAFcxrF3JrF+NKtWxBE2Z3HQkdfwHQe9aHiHVWsbcW1uSbq4+VNvVQeC317Cq2lWAsLcK3&#10;Mr/NIff0+goAswQRW0YhhUIi9h/M+9SUU0uisqMwDNnapPJx1x+dADqKKKACiiopriKADecs33UU&#10;bnY+wHNAEtFVfKuLnmcmGPtEhw5/3mH8l/OoN9qCTvuEiDbRNvdoiR15LNxnjJ4pgaNFVxaqwBE0&#10;pB54fg/iKPsMB++ZH/3pJGH5bsUgJJbmCD/WyKh7Ank/QdTVWGby7okRulvcMMM42/vfYHkAgdx1&#10;+tWoreCH/UxqmepUAGieETwtETjcOCOoI5B/A80wJKKitZTNArtw/KuPRlO1h+YqWkAUUUUAFFFF&#10;AAOo+tadZg6j61p0AFFFFABRRRQAUUUUAFFFFABRRRQAUUUUAFFFFABRRRQAUUUUAFFFFABRRRQA&#10;UUUUAFFFFABRRRQAUUUUAFFFFABRRRQAUUUUAFFFFABUF5dw2Ns91OcKgzjuT2A9yanrltQuG17U&#10;hZwk/Y7Y5dh0Y9Cf6D86AE0yGa/un1i8+85PlL2A6ZHsOgrXpEVUUIg2qoAAHQAdBS0AFMmhjnTZ&#10;KMjOR2IPYg9QafRQBWSWW2cQ3J3IxxHN0yeyt6H0PQ/WrDusal3IVQMkk4AqC+mijgKSgP5gKqhI&#10;Ab1yewHc9qbDZABGunNw6AYL/cBHcDpn3PNMA8+e54tRsj/57OOv+6vBP1PH1qSOCG2DSE5YjLyy&#10;HLED1PYe3SlmuY4MBss7fcjXl2+g/r0qJbeS4IkvMYBysA5Qe7f3j+lACZkvuFylt3bkPIPQdwvv&#10;3q0qqqhFACgYAHAA9KWikBWNo0RL2beUTyYyMwn8Ox9x+tAvFQ7btTA3TLcxH6N0/PBqzQQCMHkH&#10;qKAEBBGRyD3paydTmtLAbbYFLl/upESo57lR8v6c1Euo6nphRNWhJSQblfjfjv04JGehwaYGnbfL&#10;NcoOgmDD/gSIT+tWKr2YZke4cFTO+8KeCFwFUH3wMmrFIAooooAKKKKAAdR9a06zB1H1rToAKKKK&#10;ACiiigAooooAKKKKACiiigAooooAKKKKACiiigAooooAKKKKACiiigAooooAKKKKACiiigAooooA&#10;KKKKACiiigAooooAKKKrahfRafaPdS9FGFXuzHoooAzfEeptBGunWuTc3PB29VU8fmelN06xSwth&#10;EOXPzSN6t/h6VT0m3luJn1e85lmJMeewPGR+HA9q1qYBRTY5ElBKHO1ireoI6g06kAVHNMkEZkfP&#10;UAAcsxPQAetOkkSGNpZDtVRkk1BBG80gu5xtPPlRn+BT3P8AtHv6dKAFgt2O6a6AaWRdpXqqqf4B&#10;/U96yNQ1KfT5TY2b/IgBBYbmTPOwE5yPqK27mdLaB55PuopP19B+JrljBJcGF5OZb6cn6KDtz+JJ&#10;/KmI6LTISlqk0nzTTKHkduWOeQM+wPSpprhYSN6vtI5ZVLKPrjJ/SpAAoCjgAYApaQxsckcqh42D&#10;qehU5FOqvLa/OZ7YiKY9T/A/sw7/AF60+3nE6EkbHU7ZEPVWHb/A0AS1m6jqvkMLSzHm3TnAVRu2&#10;k+3c+1MvtTllmGnaYPMnc7Sy9F9ce/qe1amj6JDpiefMRJcsMvIeQueoGf1PemBUsNLh0iF9W1Zt&#10;9wBuJPzBSew9W7fyqlaxza1enVL0fuVOIYz93jp+A7+ppb24fxDqAt4iRY25yzD+I9M/j0HtWsiJ&#10;GgjQBVUAADoAKAHUUUUgCiiigAooooAB1H1rTrMHUfWtOgAooooAKKKKACiiigAooooAKKKKACii&#10;igAooooAKKKKACiiigAooooAKKKKACiiigAooooAKKKKACiiigAooooAKKKKACiiigBOnJrlbudv&#10;EGp+Uh/0K1PUdG9T+OOPar/iTUnRF0u05uLnAbHVUPGPx/lS2FmljbLAvJ6u3qx6mgCcAKAqjAAw&#10;AOlLRRQBWuI3if7XAMsABKg/jQf+zDt+VTLLG0QmDDyyu7d0GOuafWfbwG4LjObMSs0a/wB89Tn/&#10;AGQ2cDv9KYE0ateSC4kBEKHMKHjcf+eh/oPxq1RVXUr5LC2Mp5duI19W/wABSAo6m0mpX0Oj256s&#10;GmYdB35+g5pfLjl8Q+VEMQ2EIjQem0Yx/wB9MavaBYfYbSTU7z/XzKZGJ6qn3vzPU1R0ANKLm+k+&#10;9PMc/qx/VqYGvRRRSAKx9SeebUVsNPO2adAspHAx1GfTAzk+lak8yW8LzyfdRST/AIVh6VqtpZPc&#10;aldZlupiRHEvYHkkk8AZwPXimB0mlaTbaTDhPmlYfvJTwT7ewrL1zWkuUOl6YTLJKdrun3cd1B75&#10;7npioJG1rW/+Pg/ZLU/wDIJHuOp/Hirlva2WmRZXCA4DSP1OfU0gH2FmllbLAnXGXb1Y9TVigEEZ&#10;HIPQ0UAFFFFABRRRQAUVUvNTtLIYlfc/aNeW/wDrfjVONNb1rmEfY7U/xnIJH16n8MCmBqtLHHgy&#10;OqDP8RA/nWrWFB4SskYPPNLMwIPZQT+RP61u0gCiiigAooooAKKKKACiiigAooooAKKKKACiiigA&#10;ooooAKKKKACiiigAooooAKKKKACiiigAooooAKKKKACiiigAooooAKrahexafaPdS9EHyr3Zj0Aq&#10;zXL6pI2s6uLFSfs1oT5hHdhw368D8aAE0i3lnlfV7vmWckpnsDxn+g9q1qQAKAqjAAwAOgApaACi&#10;kZlRSzkKoGSTwBVXMl9wMx23c/deQeg7hffqaAFdmvWMMRIgU4kkHG/HVF9vU/hVlVCgKowAMADg&#10;AChVVFCIAqqMADgAUjukSGSRgqqMkngCgBJpo4I2mlbaiDJJrN0y1k1y+/tG6XFpA2IkPRiOg/qf&#10;yqNEn8SXflR7o7GE5dvU/wCJ7eldTDDFbxLBCoSNBtVR2FAGf4jufs+kTYOGlxEv/Auv/joNVNKh&#10;8jT4U6EpuP1b5v61H4oc3FzZaap+++9x7E7Qfy3VceWGEqjsE3cLngHHagB9NkljhQyysERRkk8C&#10;mXFxFaxNNM21V/Mn0HvWOkd1r0vmzZhs0PyqOp/xPvTAS5ubrW2NrZJtt1YF5G4Bx0z/AIdav2Oj&#10;2tlh8ebL/fYdPoO1XIYYreMRQqERegFPoAarozMinJQgMPTIyP0NMgl8+LLDawLI69cMDgio5z9m&#10;nF1/yzcCOb2wfkf9SD9faiVJIZTcwDeGA82MdWx0Zf8AaA/MUgEaB7YmWzHy9Xg/hPqV/un9DU8U&#10;qTRrLGcqw/H3B96IZop03xNuGcHsQfQg8g1Co8i7Kj7lwC/sHXGfzB/SmBZoprukaGSQhVUZJPAA&#10;rJa7vtZmNppSlIhxJOcrx9e3060gLl3q1lZkrI+9x/AnzN+PYVUSTW9Y4s4/ssB/5atkZH1xk/gK&#10;1tO8PWFgA7L583eSQZAPsOg/nWpQBkad4bsrMiWf/SZ+u9/ug+y8/rmteiigAooooAKKKKACiiig&#10;AooooAKKKKACiiigAooooAKKKKACiiigAooooAKKKKACiiigAooooAKKKKACiiigAooooAKKKKAC&#10;iiigArlLvzNC1aaaRC1rdsWDL2JJbHpkEnj0rq6bJHHMhjlVXRuqsAyn8DQBhLq+msNwnUfXIP6i&#10;q1z4gtIwRbhp37YBVfzPP6VsNoGjsSxtVyfQsB+QIrO8QCz0yxFrZQpHNdHZlFG/Z/Fz15yB+NMC&#10;rpMlxqZknvTvijYeWmMJu6njvjjGa1pHSJGlkO1EUsxPQAck1DYWos7SOAdVXLH1Y8n9azPGt21n&#10;4W1GRM75IDAgXJYtORCAMc5+egDIsdE13xyo1651KTT9MldxZ2MYlG6JTtWVyk0PzEjPOeOlWJ/h&#10;cWXbbanJFzlv+Pokn1BN4QD7kH6V2elWSabplpp8Y2ra20UIA5+4oX+lWqQHnqaF8QvDcf8AxJ77&#10;7bbx8i3m2XQb3YskEi++0sTWr4a8drql8ND1q1bTNUIOyNt3lS7Rk7dwDK2OdrDOK62uR8eQQi88&#10;NXaIv2oeI7GJZQP3nlNvMi567flGaALN8fN8UoO0MI/9BY/zar1w8McLvcY8oLlt3Ix9Kz1PmeJ7&#10;x/7sePyEa1XvpH1a+FhC2IITmVx0yOp/DoKYEVravq85kbcljEx2IWJ/AZJ/H07V0CqqKEQBVUYA&#10;HAAFVYZQI1h06INGg2h2OyLj0OCW/AfjTmkvIRvlRJEH3vK3BwPUA53UAWaKbHIkqCSMhlYZBFOp&#10;AIQGBVhkEYIPINVgs9nxGDNB2Qf6xB6DP3h7dfrVqmu6RoXkYKqjJYnAFAEPk291i4Tcjnjeu6N+&#10;Ox6Z+hFMvtTtrBf3h3SEfLGv3j9fQVRuNXuLyQ2ukoWPRpSMYHqM9Pqap3NmLVltwTc6hcEc9Qmf&#10;TP8AEfU/XimA+3+2+Ir5YXJSBTucL91VH82PQV2FtawWcKwWyBI16AfzPqaraPpkel2ghGDK3zSv&#10;6t6fQdqvUgCiiigAooooAKKKKACiiigAooooAKKKKACiiigAooooAKKKKACiiigAooooAKKKKACi&#10;iigAooooAKKKKACiiigAooooAKKKKACiiigAooooAKKKKACuW8z+19ekuesFp8sfoSCcH8Tk10d4&#10;JWs51g/1phkEeOu4qdv61zGg3VnDbtBI4im3ksH+XPYYz9OlAG1XO+LF+2XWh6ODxeaxC8g65itw&#10;ZnH6CtqfULK3XdLMg9gdzfkMmsDTrr+3fH9s6R4h0nTJ5VZsZ33DLF+BKg0AdN4ju9RstNM2mRvJ&#10;KZY1cxRm4kSMn5nVACWI9gcdcHGKwINR1OCASTa7KspVcrquntY26tjn5zbW/wAuff8AGuzpCARg&#10;8g0AYuha9c6hdz6dfQok0EYkS4gbfbTpuMZZM/MPmXvn69cZ+v8A+neOPD2m9UtEvNQlHf5VEcR/&#10;77NdHaadYWBkNjbRWxmbfL5KLHvb1O0DJ5rnNHxf/EDXL/qunWVnp6N6mTNxIB9GHNAEUk5g1HVr&#10;gHDIGVT7lgo/pTtGtRJBsb7hw83+2TnYh/2QOT9ar3alrjWB1bzM8dMCUH+VaGiSDydn95I5B7gK&#10;Ij+RjpiNMAAYHAHQUUUUhlVh9kuA6/6qdwrr2WQ/db8eh98Vaqjqd3bwqsMjhSzozf7KqwbP144F&#10;Un1C/wBUcw6ahii6NK3B/Pt+HNMC7f6tbWOUJ8yXtGvX8T2qillqGrMJtQYwwA5WIcH8u31NXbDR&#10;7azxI/76brvbsfYf1q3cXEVrC08xwqj8T6AUAVLma10az/dIFJ4jQdWb1Pc+5qXw9pciZ1W+5uJ+&#10;UDdVU9/Yn9BVXSbGXWbv+1b5cW6HEMZ6HB/UDv6munpAFFFFABRRRQAUUUUAFFFFABRRRQAUUUUA&#10;FFFFABRRRQAUUUUAFFFFABRRRQAUUUUAFFFFABRRRQAUUUUAFFFFABRRRQAUUUUAFFFFABRRRQAU&#10;UUUAFFFFABWfe6Fpt+5lmi2yHq6HYx+vY/iK0KKAMmDwvpELbjG0uOgkYkfkMZ/Gsjwgkd14i8Ta&#10;rGoVBfRadEFACKLSMK4GPUtk11M80dtBJcSnCRRtI59FUFj+grnPhzDInhS3u5/9dqE1xeyd+ZpG&#10;Yc/7oFAHT0UUUAFcp8PM3WnahrbfMdW1e8uEb1jVvKQD2Gw1seJb7+zPD+o3/eCzmZe3zbSFH/fR&#10;FReD7D+zfC+l2ZGGSyiZx6PIPMcf99MaAM2KJW13UraQZWVXJHsxH/xVUkkm0ib7POCPLYtDLj5S&#10;D95T/snjPoa0NV/4l/iGO7fiK5jAZu2QNh/LAJrRkiinTZKqyKezAMKYFJNd05ow7SbDjlSGJH5A&#10;1Wm1ya5f7PpULSSN/ERk/UKP5mmarHplopht4Va5k+VVGW2574yefQVu6Fpv9m2Ko4xNJ88vqCei&#10;/gKAOWbTLoapDa35zJNiSQA7iB82QT0zhe1dNHGkSCONQqqMADgCqfiS3nguYNZgXeIRslA7DJwf&#10;/HiM1GfEGnCLeGYtj/VhTu/Pp+tAGhJIkSNJIwVFGST0FZFvBP4kvNzAx2EDc9tx9PqR+Qp1vZ3/&#10;AIhlEtwDb2KnIHdvpnqffpXTW9vDawrBAoSNBgAf560gHRxpEixxgKiAKqjoAOgp1FFABRRRQAUU&#10;UUAFFFFABRRRQAUUUUAFFFFABRRRQAUUUUAFFFFABRRRQAUUUUAFFFFABRRRQAUUUUAFFFFABRRR&#10;QAUUUUAFFFFABRRRQAUUUUAFFFFABRRRQAUUUUAc/wCPr1rDwfqkqffktzboB94m4IhwPf561dJs&#10;l03S7PT0G0WttDDgc/cUL/Suf8d/6ZPoOiD/AJftZhkkHXMVsDLIP5V1dABRRRQByvxHYy6FBpCN&#10;h9X1KzsgBkEh5A7dOgwnNdSAFAVQAAMADgAVyviDN9428O6bjMdsLvUZvX5FEcR/77NdXQBV1DT7&#10;bUoPIuQcZyrDhlPqKxh4XvEHlxai6xdlww4+gfFdHRQBl6b4fstOfz+Z5/8Ano/b6Dt/OtSiigBC&#10;ARg8g1WXTNOV/NW1hD5znYvX16VaooAKKKKACiiigAooooAKKKKACiiigAooooAKKKKACiiigAoo&#10;ooAKKKKACiiigAooooAKKKKACiiigAooooAKKKKACiiigAooooAKKKKACiiigAooooAKKKKACiii&#10;gAooooAKKKKAOUuv+Jh8SLKH7yaRpE9wT2WW5cQ4+pRc11dcp4UxfeJ/E+rnkC9h0+P0AtIwrgfV&#10;mya6ugAooooA5PScX/xC1q+GSum2Fpp6E9Myk3DgfQjmusrlPh7m6sdS1tsMdV1i7njcYwYkbyow&#10;MdhsOK6ugAooooAKKKKACiiigAooooAKKKKACiiigAooooAKKKKACiiigAooooAKKKKACiiigAoo&#10;ooAKKKKACiiigAooooAKKKKACiiigAooooAKKKKACiiigAooooAKKKKACiiigAooooAKKKKACiii&#10;gApk0qW8Mk8pwkSM7H0CjJ/QU+sDx7fHT/B+qTg4Z7YwLjrmciEY9/noAr/DmGRfC0N5MMS6jPc3&#10;sgHrNIxHp/CBXT1T0eyXTtJstPUbRbWsMOP9xAp/lVygArN8R339maBqN/3t7OZ1HTLBTtH54rSr&#10;lfiQ5l8PxaSjFZNX1GzsVxnJ3yBz07YTmgDR8G2P9m+FdLtMYZbOJ3Ho8g81x/305rZpFUKoVRgA&#10;AADoAKWgAooooAKKKKACiiigAooooAKKKKACiiigAooooAKKKKACiiigAooooAKKKKACiiigAooo&#10;oAKKKKACiiigAooooAKKKKACiiigAooooAKKKKACiiigAooooAKKKKACiiigAooooAKKKKACiiig&#10;ArlPHmbuTQtEX/l/1mBpAe8NuDLJ/Surrk7zGofEjT4Mbk0jSbi6z2WS5cQY+u0ZoA6yio7i4itb&#10;eW6nbZFDG8kjeioCzH8hXOaf8QNJvp7aCW3urP7ZKkVu86IEZ5M7FO12IJx6Y5HNAHT1yniLN940&#10;8OaZgGO3N3qE3qPLQJCf++zXV1yelbdQ+Ims3oyRpmn2mnqT0zKTcNj6EYoA6yiiigAooooAKKKK&#10;ACiiigAooooAKKKKACiiigAooooAKKKKACiiigAooooAKKKKACiiigAooooAKKKKACiiigAooooA&#10;KKKKACiiigAooooAKKKKACiiigAooooAKKKKACiiigAooooAKKKKACiiigArlPC3+neKfE2rk5Vb&#10;uDT4/RfsseJB+LNmuollSGJ5pDhI0Z2PoFGSf0rmvhxFJ/wjEd/ONs2p3N1fSe5mkbB/75UUAdOy&#10;q6lHAZWBDKRkEHggisODwT4dtrmG5hgkUW0qzQwmaZoFdCCjBGcgYIyB0HpW7RQAVynw+DXNpqmt&#10;Odx1PWbuWNh08pGEUY+g2GtvxDff2ZoWoah3t7OaRf8AeCHaPzxVXwXYf2b4U0q0xtYWccjj0eUe&#10;a4/76c0AbVFFFABRRRQAUUUUAFFFFABRRRQAUUUUAFFFFABRRRQAUUUUAFFFFABRRRQAUUUUAFFF&#10;FABRRRQAUUUUAFFFFABRRRQAUUUUAFFFFABRRRQAUUUUAFFFFABRRRQAUUUUAFFFFABRRRQAUUUU&#10;AFFFFAGB48vv7O8H6rcZwWtWhU98zkQj/wBDrS0WyGm6PY6eBj7NaQxEd8ogU/qKwfHubs6JoiEZ&#10;1DWrcyA94YMyyfyFdXQAUUUUAcr8SHaTw6mlxsVk1a/s7FMfePmSBiB+CGupVVRQiDCqAAB0AHAF&#10;cr4jzfeMvDeljlIHutRm9R5SbYj/AN9muroAKKKKACiiigAooooAKKKKACiiigAooooAKKKKACii&#10;igAooooAKKKKACiiigAooooAKKKKACiiigAooooAKKKKACiiigAooooAKKKKACiiigAooooAKKKK&#10;ACiiigAooooAKKKKACiiigAooooAKKKKAOTvv+Jh8SNNtiNyaTpVzeZ52q9wwgAPvtGRXVkhQWY4&#10;AGSTwK5XwwPtvizxNqxOVS5t9PiH937PH+8H4s1aU9tDq+tyW96gmtNPt4WWF/miaeYyEllPDbUR&#10;duc43GgDYBDAMpyCMgjkUtZM/hzS0jkk09Bpk+GZJ7T9wFbk7iq4RhnqGBB71a0i7l1DSbK/nTyp&#10;bq0gnkj5+VpEV2XnB4JxQBz+mY1D4i6vecldL020sFJ6bpibhse/GDXWVyngAG5g1fWn5Opa1dyR&#10;t/0yiIijH4bTXV0AFFFFABRRRQAUUUUAFFFFABRRRQAUUUUAFFFFABRRRQAUUUUAFFFFABRRRQAU&#10;UUUAFFFFABRRRQAUUUUAFFFFABRRRQAUUUUAFFFFABRRRQAUUUUAFFFFABRRRQAUUUUAFFFFABRR&#10;RQAUUUUAFNlkSGN5ZDtSNSzE9AAMk06sHx1f/wBneENVuQcE2jwqfRpsQg/m9AFX4cRyHwyuoTLt&#10;m1S7ur6TpkmWRgCceqqKw/Evii/0TzbjS3Cyalqd2XkZRJtjsxFZhFDZABaNjnB6H1rstKt49D8P&#10;Wtu+QthYRh89f3cY3E/iDXkvi+aU3VlazMPMt9OthOg+6J5QbmU+vJn/AEq6UeaaT2FJ2R1Gh+Mt&#10;Y1zStVtbtYzItpsgnRdpEkxEChgCAfmcEYx3rstauo9F8P3l0nyrZWMrR+uUQhB+YFcB8P7NXtkO&#10;Cftmr2yMD0C2Mcl7u57bygyO+PTjqPiRI7eG/wCzIm2y6re2limOpMsgJA/BTRUSUmlsmC2L3gmw&#10;/s3wnpVoRtYWccjD0ab98w/NzW3TURIkWNBhUUKo9AOAKdUDCiiigAooooAKKKKACiiigAooooAK&#10;KKKACiiigAooooAKKKKACiiigAooooAKKKKACiis/V/EGi6DF52r3kVqCMqrnMjf7qDLN+AoA0KK&#10;841P416NbkppVlPeEcb5SttH9RxIx/ECsn/hZPxB1n/kCaQBGwyrxW89ww99xOz/AMdoA9doryTy&#10;vjbqfLNLAh/2rO2x/wB87Xo/4QT4qXnNzrRj74kvbkjPToiuKAPW6K8k/wCFQ+KpubrWoyR935ri&#10;T69QuKB8D7wjL6vHuPJ/csee/PmCgD1X7Xa/89o/++1/xpRdWpOBNGSf9pf8a8u/4UZ/1G//ACU/&#10;+6aD8DDg41vJxxm1wP8A0pNAHq1FeSH4IX6fPDq8e8fd/cun6iQmj/hT/ieL5rfWYw/Q8zx8fUbq&#10;APW6K8k/4Vd4+hP+ja5GM/e/0m7j+nSNs0f8IB8UoPlh1w4PJMd9eKM/ii0Aet0V5J/wiXxei+RN&#10;VkcDo322Rs/i3NA0T40J8ou5CBwD9pgOfxJz+dAHrdFeSfZ/jig3Zk+UZ/1mnMePbcc0fbfjhH87&#10;JIwHVfKsDn8FXP5UAet0V5J/b3xmi+d7KRwP4fs0TZ/74GaP+Eu+LsPzvpMkg6Y+xSt+Pyc0Aet0&#10;V5J/wn/xSg+abQzg8DzLG8UZ/B1o/wCFnfEOL559DjCd/wDRbxPpyZSKAPW6K8w0f4wXX9pRWPiT&#10;TltEmdV86Pehj3HAZkkySuepB6eten0AFFFFABRRRQAUUUUAFcp4+zdLouiKedR1q2Eg9YYcyyfl&#10;gV1dcpf/APEw+I2mWxG5NK0u5vSewe4YW4z2zgZH50AbHiQ7tHnthnN40VmNuc/6TIkBxjkYDk57&#10;da8b8Tz3F5rt9fGICBruZFkLLHlI2MUZxJ5YOVUYwxr2rVrOe8tQLUqLiCaK4g8zIjLxsGCtgEgE&#10;ZBIHGc1wFx4OnRnWJb3T0aaR9ohF4Rvbcdj21yMgZIHmJ9aqMnB3WjE1c1fANti30zdw0WnXF264&#10;AObyYJAxGTz5dsR19aueJf8ATvGHhrSuqQy3Ooy+3kpiI4/3zWn4d057KJ5GiNurR29vbwuVMiW9&#10;smyPftyAxJZiAeM465rM07/T/iLqt395NK0y1sl9A07G4bHvgYNJu+ozq6KKKQBRRRQAUUUUAFFF&#10;FABRRRQAUUUUAFFFFABRRRQAUUUUAFFFFABRRRQAUUUUAFFFcb4/8f2/ha3NjYlZtVmT5E+8sKnp&#10;I/v/AHV79Tx1AI/iD8QofDEJ03TGWXVpV9mS3U9HYdC391fxPHXmvDvwu1HxCRrvjC7mVrnEggBz&#10;cuDyC7NkIMfwgZx6Vc+Hvw/muJl8WeKQZriZvPt4JfmYs3zCeTPUnOVH4n29PoAxdK8G+GNFC/YN&#10;OgV16SyL502fXe+5h+BraoooAKKKKACiiigAooooAKKKKACiiigAooooAKKKKACiiigAooooA8k+&#10;MwDa7o6MMqYWBB6cyDNet15J8ZP+Q/o3/XI/+jBXrdABRRRQAUUUUAFFFFABXKeGR9t8XeJdVzlY&#10;5rbT4vbyI8yj/vpq6W8u7ewtJr26by4LeJ5ZXPZUBZj+Qrl/hnPFc6BJdl1+1Xt/dXtzHkearTOS&#10;pYdeUCkHuMUAddRRRQAVyngEfaY9Z1puuo61dNGf+mMREUY/DBrc12+GmaLfagSR9mtJpRjruVCV&#10;A981S8D2P9m+EdKtSMH7IkrD0abMzD83oA3KKKKACiiigAooooAKKKKACiiigAooooAKKKKACiii&#10;gAooooAKKKKACiiigAormdW+IvhLRruWwvLtvtMDFZIo4pXKnrjOwL+tYWr/ABk0GKxlOjJNPeFM&#10;QiWPZCGPGWO7OB1wBz04oA1fHvj218J2v2a22z6pOmYojysYPHmP7eg7/Sua8AeAp9UuB4v8V5ne&#10;4fz7eCXkyMx3CaQen91f6cVF4B8D3HiG6/4TLxUTcLcSGaCGTnzmz/rHHTYMfKvf6dfWKACiiigA&#10;orNvtesbK4+wxh7y+IBFnar5s4B6F+Qsa/7Tso96gx4ov+S1vpER6KAb67/PMcSH8HFAGzVW71TT&#10;NP5v7uC1/wCu0qRe/wDEwqj/AMIzaz86ndXmoHuJp3jiP/bODyYv/Hat2miaNYHNlY21ueu6OKNG&#10;J9SQoJNAFX/hK9Bb/UXJus9PssU92D06eTHJnrS/8JDG/wDqLDUJfT/RZYc+n+uEX69O+K1qKAMo&#10;a1fMf3eiX7A8bi1ggH1DXgb9KBqmsNwNGmU4OC89qF/HbKx/StWigDJ/tHXv+gR/5Mxf4Uf2jr3/&#10;AECP/JmL/CtaigDJ/tTWRw2izk/7M9oV/DMqn9KP7Y1McNoV8T/syacV/DN6p/StaigDJ/trUBy2&#10;h6gB3O7Tm/Rb5j+Qo/ty5/6A+of9823/AMk1rUUAZP8Ab0g4k0vUEPb91G//AKBK4o/t/wD6huof&#10;9+P/ALKtaigDJ/4SO372eoD2+x3P/wARR/wkloPv2uoKPX7DeP8AokLH9K1qKAMn/hJdO/546h/4&#10;LdT/APkWj/hJ9J6N9qQ91eyvkYfg1uDWtRQB4t8VtYtNR8R6b9mZvLt7dC5kjkgILSsTxIqHGFHO&#10;K9oBDAMpBBGQRyCK8P8AH1je6/4nvruzUy41GDSbeMEDdIsOWXJIH3gfzrStf+F12dtFaW6SrDBG&#10;sUalLByFQBVGWDMeB1JoA9foryT7T8cfST/v3p3/AMRR9p+OPpJ/3707/wCIoA9boryT7T8cfST/&#10;AL96d/8AEUfafjj6Sf8AfvTv/iKAPW6K8k+0/HH0k/796d/8RR9p+OPpJ/3707/4igD1HVLIalpl&#10;3pzHaLu2mgLeglRkz29a8n0m/wDD1rapZ6pHc6Xc6eHtDqViHmtJPJYo8nyqJY9xGSU2knknNPud&#10;S+Ndnby3dyXjhgjeWVzFp2FRAWZj8nYCqmixlNLtyzFmkTzWJ6kykyH9Wq4R53bbQ5cbi/qkIz5e&#10;ZuVrXtpY7PTtR1icAaJrtjqy9NjyKJB6fu2UyHP+1MK0Brni23wLnRhLg4Z1YxgjuyiI3p+gJBrg&#10;LjTdPuixuLeN2YYLFQH/AO+hg/rRHZPboEsr29s8YwYLmdCMemXI/SqdGXkc0M5oS+KMov0TX5nR&#10;ePvEWq3PhufTxpz2xvZIYAzGYO251OxA9ugZiBjGema9BhRYoUiRdioiqq+gAwBXhdvZePNT1A6l&#10;ocl5qkem3TRwT3cqXOyZFXfhZyVyN3B21ufafjj6Sf8AfvTv/iKyZ6UXzJNbNX+89boryQy/HGX9&#10;3iQbu+3To/1wMfnR/Z3xtn/1k0ke3p++slzn/cY/rQM9boryT+zPjZB80c8khPGPPtG/H52Ao+0f&#10;G+z++kkgByRssZs591DH8jQB63RXkX/Cf/E3SudT0jeg6vLaTxjt0ZGVavaf8brRmCatpkkOOGe3&#10;dZee/wAriPH/AH0aAPT6KxND8ZeG/EWE0y9R5iM/Z5MxT8cn5WwTj1GRW3QAUUUUAFFFFABRRRQA&#10;UUUUAFFFFABRRRQAUUUUAczefDrwlqGoT6nqFo1xcXMhkctLKq546BHQY4rzT4n6FpWla7YaRoFm&#10;IHmtlkZYy7tI8sjRovzM39zj617jXknjn/kq+h/9ddL/APSg0Ad/4W8RaJrNhFBpjCCW1iWKSwk+&#10;S4g8sBNhU4OBjGQMVuVh634M0HXpRd3MLQXq/dvbVjb3QOMA7l68dNwNZo8P+OdL40jX0vox92DV&#10;Yd5/GWPMh/KgDrqxr65u9Tvn0XTJTbpCFOoXiY3xhxuWCLII81l5JP3VIPUiswax8Q7PAu9Atb8D&#10;7z2V2sI+oWYEn6VHb+LLvT/M87wrq0JmlaaU20a3m52wC2Q4z0x9MdqAOnsNNstLg+zWMSwx5LNj&#10;Jd2PV3YkszHuSSTVmuU/4WLpaf8AHxp2q2/tLZyDnuOC3NH/AAszwqOHe5Ru6ta3G4H0PyGgDq6K&#10;5T/haPgYcPqJRh1Vre63A+hxCaP+Fo+BP+gn/wCS93/8ZoA6uiuZ/wCFkeCP+grH/wB8Tf8AxunL&#10;8RvBLsFGqxZPqsqj8ygFAHSUVz//AAn/AIN/6C1v+bf/ABNOTx34OkOF1e1GBn5n2D/x7FAG9RWJ&#10;/wAJt4R/6DFn/wB/k/xp6eMPCkgyusWIwcfNcQof/HmFAGxRWT/wlnhX/oM6f/4FW/8A8cqVfEfh&#10;51DJqlkwPQi4hIP/AI/QBo0Vn/8ACQ6B/wBBOz/8CIf/AIupf7W0r/n9t/8Av7H/APFUAW6Kqrqm&#10;mOwVLuBiegEqEn/x6pPtdr/z2j/77X/GgCaimJPDKcRyK5AyQpDH9DT6ACmySJFG0sh2oilmJ6AA&#10;ZJp1YXjm/wD7N8I6rdA4b7I0Sn0abEKn83oA8/sra61Ox8PQwTNaX2u69qOricKJHj8oMN+DweAC&#10;M12X/CLeLP8AobLj/wABbf8AxrO0CxMfjDT9OxhNA8MwxsD1FxOVDH2JXNd5QByn/CLeLP8AobLj&#10;/wABbf8Axo/4RbxZ/wBDZcf+Atv/AI11dFAHKf8ACLeLP+hsuP8AwFt/8aP+EW8Wf9DZcf8AgLb/&#10;AONdXRQByn/CLeLP+hsuP/AW3/xo/wCEW8Wf9DZcf+Atv/jXV0UAeb+NdH8S6b4duJLjxHNeLO0V&#10;sLZreGJZPOdUKllyQMEnj0rJVQihRwFAA/Cuh+LF7Hb22kQT58hr9p5NuSf3EbFTgckAvk/Suchm&#10;huEEsDrIh6MhDD07VtR6ni505P2Ss+VXd+l3YfSMQqlj0AJpapa1J5el3OAWMkflKB1JkIjH6tWr&#10;dk32PJpQ9pUhD+aSX3s6TwZ4Y8Rz+H7e/tdel01b8yXTW0dvFIoMjE53OcnIANbf/CLeLP8AobLj&#10;/wABbf8AxrotMs107TbTT0+7a20UAx6RqE/pVmuQ+wOU/wCEW8Wf9DZcf+Atv/jR/wAIt4s/6Gy4&#10;/wDAW3/xrq6KAOU/4RbxZ/0Nlx/4C2/+NH/CLeLP+hsuP/AW3/xrq6KAOUPhrxrF81v4rcnus1lb&#10;yKfbOcj8KydYj1qyQy+NNEsdf08D95fWMeLyJR1dkYBv++SAB3r0GigDyu/+Fui61Yx634HvfLEi&#10;iSGORmeEkdg5/eIwP97OD1xTfCPj/WND1UeFvGu8bXESXM3+tiY/dDt/Ghzw+ffJHTotOjTwj40k&#10;0lMRaV4hRrizQcRxXcWPNjUdAGU5/ICq/wAWvDC6tof9s20YN5poLsQPme3/AI1Prt+8PQZ9aAO8&#10;orkvhn4jPiDw1Es7bruwItp8nLMFH7tz9V4J7kGutoAKKKKACiiigAooooAKKKKACiiigAooooAK&#10;8k8cf8lY0P8A666X/wClBr1uvJPHH/JWND/666X/AOlBoA9booooAKKKKACiiigApCARg8g0tFAE&#10;P2S1/wCeMf8A3wv+FI9jZSKUe3iZT1BRSP5VPRQBU/snSv8Anyt/+/Uf/wATTX0TRpQBLYWrgdN0&#10;MTfzWrtFAGf/AMI9oH/QMs//AAHh/wDiKjfwv4ZkO6TSLBz0y1tAT+qVqUUAZP8AwifhX/oDaf8A&#10;+Atv/wDG6jbwX4SYljo9lknPEMYH5AAVtUUAYn/CE+Ef+gRZ/wDfpP8ACov+EA8G/wDQJt/yb/4q&#10;ugooA55vh94MdSp0mDB9N6n8wwNRf8K38Ef9AqP/AL7m/wDjldNRQBy7/DPwNIAG0tRj+7LcJ/6D&#10;KKZ/wq3wJ/0DP/Ji7/8Aj9dXRQBweueGIvBdk3iPwg0tobErLdWJlkltbiEEeYCJGchgOc5/WrXj&#10;e4j1ex0DToCTHrWq2bEetuo85z+GVNa/jb/kUdY/7B8//oJrmYLiOXXvDxl+aHQvCz6lJ6AyxpDz&#10;74XI/OgDV8G5vdc8T60eRNqi2SN222SeXx7fNXWVy/w2tnh8I2k83+uvXmu5T6tLIxB/75xXUUAF&#10;FFFABRRRQAUUUUAZXiLw5p/iWxFnfb0aN/MgniOyaKQAgMp/HkGvNtS+HniLTZHeK2GoI2QbvTpP&#10;sd1jk7niLKrNn0Jr16imnYmUFNWf4O35Hhj23iCJwNmqW5Q8x3NgZdw7YKIOOvOa0/DnhrxNrWs2&#10;r6lDcwaZDOk8/wBpgWzB8oh0RVYu7bmAz6CvYKKbk3oZQwtKEuZRV115Y3+9K4UUUVJuFFFFABRR&#10;RQAUUUUAc/430WXWdDdrLI1Cwdb2xdfviaH5go/3hkfXHpVzQNXtvE2hW+pIoKXUO2aI8hXGUljP&#10;0II9xWpXG6S3/CL+M7vQH+TT9c3X+n9lWcD/AEiIfXG4DsMetAHGaK8nw5+IsmlTMV06+dYgzH5T&#10;DKcwSEnurfKT/vV7LXn/AMX/AA4dT0VNbtlzcaYSZMdWgfG7/vk4P0zWx8OvEZ8R+GoJZ23Xdp/o&#10;1zk5YsgG1z/vLgn3zQB1FFFFABRRRQAUUUUAFFFFABRRRQAUUUUAFeQfEO5hsvidpF7dN5cEH9nT&#10;SOQSFRJ2Zm4BJwAelev1ieJ/COj+LLZYNSQiWLPk3EZCzR564OCCPUHigDWt7m3vIEubSVJoZBuS&#10;SNg6MPUEZBqWvIZfhz478LzPP4U1Azxk52RSfZpG/wB6Nz5bf99H6UD4h/EfQPk17TPORess9vJC&#10;Tj0ePbH+QoA9eorzC0+OFm2BfaVLH6mGVZf0ZI/51rW/xj8ITY8wXdvz/wAtIlP/AKBJJQB3NFcp&#10;F8UPA0uP+JlsJzw8NwuPx8rH61bj8f8Ag2TG3Vrcbum4sn57lGPxoA6CisVfGnhJmCjWLLJ9Zo1H&#10;5kgVMvirww7BU1iwZj0AuYCf/Q6ANSiqCa9ocjbY9RtHPos8RP6NUyalp0pxHdQuQMkLIjH9DQBZ&#10;opkc0UufKdXx12kNjP0p9ABRRRQAUUUUAFFFFABRRRQAUUUUAYnjb/kUdY/7B8//AKCa87gvSfDn&#10;ifWly26w0zRrcDrkQxwzKPxfOK9E8bf8ijrH/YPn/wDQTXn2iWJHhXwtpLAh9a8QfbZh3aKAndn6&#10;qimgD1LSrJdO0u009elrbQwj/tmgX+lWqKKACiiigAooooAKKKKACiiigAooooAKKKKACiiigAoo&#10;ooAKKKKACud8b6PcanpAu9OGNS0qVb6xYDJMkXzFPcMoxjucVrX2saTpiltRvILUD/ntIkZ/JiDX&#10;OXXxAgvt9l4OtZtavT8okRGjsomPAaSRwowM544PqKANzRtSs/E+gwagqBoL+3Ikib5gCcpLGfXB&#10;BFeZ+BBL4T+I954YMhNvcGWEbuN2xTPA599mR+Nei+FNGbw14dt9Pu5VaSFZJbiXhYw8jNI+Onyj&#10;djPtXmsl/aav8Y7e70mQTRG5hXzYz8r+VAFkIPcYUjPftQB7JRRRQAUUUUAFFFFABRRRQAUUUUAF&#10;FFFAHOah8QvB+l3s2n3+oeVcW77JU8m5fa3plYmB/A1X/wCFpeBP+gn/AOS93/8AGK6uigDlP+Fp&#10;eBP+gn/5L3f/AMYo/wCFpeBP+gn/AOS93/8AGK6uigDh7vxt8Kr8k30ltcE9TLZTSH82tzWVcX/w&#10;Quc+YsK5z/q4L6Hr/uRrXptFAHkcsHwOk+5cyxc5+Qagfw+aNqrSaZ8Fnzt1a8jz02pcHH03Wjfr&#10;XstFAHibaL8HSp2a9fhuxMcjD8vsI/nUT6H8JypCeI7sN2Jt5mH5fZh/OvcaKAPCH0H4Zkfu/E86&#10;nPVrO4YfkIlqF/D3w+IHl+LGU992n3Tfy2177RQB8+SeHvBQx5XixW9d2nXi/wAt1M/sfw5D8tt4&#10;rjCnk/6Jfx8/QRmvoaigD55+zWUXyQeLYwnb93qafXgW5FL510nyReMIwg4X59YXj6CzOK+haKAP&#10;nn+2NcUbV8XvgcDE+qgcen+jil/4SvxMvzDxLIxHIHmXZzjtzDj86+haKAPnk+PPGEfzrrcjkdF5&#10;OfwaID86cnxL8cI24ao5P+1HbsPyMRFfQlFAHgKfFTxyhy2oK/HRoLYD/wAdiWpo/i340TO64hkz&#10;/ehjGP8AvkLXvFFAHhqfGLxggw32V+erREH/AMddamT40+K1XDW9g59Wjmz+k4Fe2UUAeHal8XNb&#10;1bTLjS7yztRHdwvDI8QlRgHBBK7pHAP1zVrw7rWrazLpl5YTaTp58N2ptYI9TmkRZPOj8tpAFAJO&#10;E5wRXrmrf8gq9/69J/8A0Bq8Y+HF14Kt4b4eLVty7PD9n+0RNMcAPvxhGx2oA7f/AISHxp/0E/Cf&#10;/gRdf/F0f8JD40/6CfhP/wACLr/4uov7T+DX9zT/APwGf/41R/afwa/uaf8A+Az/APxqgCX/AISH&#10;xp/0E/Cf/gRdf/F0f8JD40/6CfhP/wACLr/4uov7T+DX9zT/APwGf/41R/afwa/uaf8A+Az/APxq&#10;gCX/AISHxp/0E/Cf/gRdf/F0f8JD40/6CfhP/wACLr/4uov7T+DX9zT/APwGf/41R/afwa/uaf8A&#10;+Az/APxqgCX/AISHxp/0E/Cf/gRdf/F0f8JD40/6CfhP/wACLr/4uov7T+DX9zT/APwGf/41R/af&#10;wa/uaf8A+Az/APxqgCX/AISHxp/0E/Cf/gRdf/F0f8JD40/6CfhP/wACLr/4uov7T+DX9zT/APwG&#10;f/41R/afwa/uaf8A+Az/APxqgCX/AISHxp/0E/Cf/gRdf/F0f8JD40/6CfhP/wACLr/4uov7T+DX&#10;9zT/APwGf/41R/afwa/uaf8A+Az/APxqgCX/AISHxp/0E/Cf/gRdf/F0f8JD40/6CfhP/wACLr/4&#10;uov7T+DX9zT/APwGf/41R/afwa/uaf8A+Az/APxqgCX/AISHxp/0E/Cf/gRdf/F0f8JD40/6CfhP&#10;/wACLr/4uov7T+DX9zT/APwGf/41R/afwa/uaf8A+Az/APxqgCT+2PFzjDeIPDkWcZKOzlfXG5+f&#10;xpj6jrpbbceN9HtCccRx2rkD+9+8lHNJ/afwa/uaf/4DP/8AGqems/B2MbVj00jOfms95/NoCaAK&#10;0tzEc/b/AIhq+B832RbWHr6eWz9vSqU0/wAPSdup+KdV1NiSPKaa5kjY/wB0COEAZz61sf8ACXfC&#10;a04hFkpTkCKxfr7EW+P1pf8AhavgSyGLQSkYxiC38vryfvbKAMyxk8BW5DaJ4Vv9Uk7SG1kuEJ/v&#10;Fp3YD1zit6PVPHV2gg0jQLbSYQMRyX84ZQP+uUIDD6VkXHxt0FR/othdyn/pp5UQ7+jyVlXvxs1C&#10;4XydJ0pIpXO1Glka4OTwMIqR8+nJoA29e0U2unSat8QdblvbeMZTTrXFnbSOOVjwp3SEnoeCPXFY&#10;Pwk0aXUteuvFMsKw21v5kduqDagll4Kp7JGSPxFNsPAvjLxvfJqnjCeS1th0WTCz7eu2OIALGPcg&#10;euDXq+nadZaTZRadp8Qgt4F2oi/mSe5JPJJ6mgCzRRRQAUUUUAFFFFABRRRQAUUUUAFFFFABRRRQ&#10;AUUUUAFFFFABRRRQAUUUUAFFFFABRRRQAUUUUAFFFFABRRRQAUUUUAFFFFAFTVudLvAP+fWf/wBA&#10;avHvhj4M0XxVb38urpKxtpIViMbmMfOHLZwOegr2PUv+Qddf9e03/oBrzv4H/wDIP1X/AK+IP/QW&#10;oA2P+FQ+Df8Anncf9/m/wo/4VD4N/wCedx/3+b/Cu1ooA4r/AIVD4N/553H/AH+b/Cj/AIVD4N/5&#10;53H/AH+b/Cu1ooA4r/hUPg3/AJ53H/f5v8KP+FQ+Df8Anncf9/m/wrtaKAOK/wCFQ+Df+edx/wB/&#10;m/wo/wCFQ+Df+edx/wB/m/wrtaKAOK/4VD4N/wCedx/3+b/Cj/hUPg3/AJ5XB/7bN/hXa0UAcX/w&#10;qPwX/wA8J/8Av89H/Co/Bf8Azwn/AO/z12lFAHF/8Kj8F/8APCf/AL/PR/wqPwX/AM8J/wDv89dp&#10;RQBxf/Co/Bf/ADwn/wC/z0f8Kj8F/wDPCf8A7/PXaUUAcX/wqPwX/wA8J/8Av89H/Co/Bf8Azwn/&#10;AO/z12lFAHHp8J/BKY3Wkj4P8U8wz7cOtXIPhz4KtxiPSojyT+8aWU8/77tXSUUAZVt4V8M2Z3W2&#10;lWcbYxuEERb8ypNeceJ4IpPi3pNtAgRYJbA7UCoBsczH2r1yvJRm++N5zysUp9wPKtPf/aH50Aet&#10;UUUUAFFFFABRRRQAUUUUAFFFFABRRRQAUUUUAcRrfxX0XQ9VudJubS6kltZNjvGIthOAeMyA9/Sq&#10;P/C7fD3/AD43n5Q//Ha7S48OeHryZ7m70uynmkOXllt4ZJGPTJZkJNRf8In4V/6A2n/+Atv/APG6&#10;AOQ/4Xb4e/58bz8of/jtH/C7fD3/AD43n5Q//Ha6/wD4RPwr/wBAbT//AAFt/wD43R/wifhX/oDa&#10;f/4C2/8A8boA5D/hdvh7/nxvPyh/+O0f8Lt8Pf8APjeflD/8drr/APhE/Cv/AEBtP/8AAW3/APjd&#10;H/CJ+Ff+gNp//gLb/wDxugDkP+F2+Hv+fG8/KH/47R/wu3w9/wA+N5+UP/x2uv8A+ET8K/8AQG0/&#10;/wABbf8A+N0f8In4V/6A2n/+Atv/APG6AOQ/4Xb4e/58bz8of/jtH/C7fD3/AD43n5Q//Ha6/wD4&#10;RPwr/wBAbT//AAFt/wD43R/wifhX/oDaf/4C2/8A8boA5D/hdvh7/nxvPyh/+O0f8Lt8Pf8APjef&#10;lD/8drr/APhE/Cv/AEBtP/8AAW3/APjdH/CJ+Ff+gNp//gLb/wDxugDkP+F2+Hv+fG8/KH/47R/w&#10;u3w9/wA+N5+UP/x2uv8A+ET8K/8AQG0//wABbf8A+N0f8In4V/6A2n/+Atv/APG6AOQ/4Xb4e/58&#10;bz8of/jtH/C7fD3/AD43n5Q//Ha6/wD4RPwr/wBAbT//AAFt/wD43R/wifhX/oDaf/4C2/8A8boA&#10;5D/hdvh7/nxvPyh/+O0f8Lt8Pf8APjeflD/8drr/APhE/Cv/AEBtP/8AAW3/APjdH/CJ+Ff+gNp/&#10;/gLb/wDxugDkP+F2+Hv+fG8/KH/47R/wu3w9/wA+N5+UP/x2uv8A+ET8K/8AQG0//wABbf8A+N0f&#10;8In4V/6A2n/+Atv/APG6AOQ/4Xb4e/58bz8of/jtH/C7fD3/AD43n5Q//Ha6/wD4RPwr/wBAbT//&#10;AAFt/wD43R/wifhX/oDaf/4C2/8A8boA5D/hdvh7/nxvPyh/+O0f8Lt8Pf8APjeflD/8drr/APhE&#10;/Cv/AEBtP/8AAW3/APjdH/CJ+Ff+gNp//gLb/wDxugDi7v4z6BcWs0C2V4DLE6AkQ4BYEf8APT3p&#10;nwP/AOQfqv8A18Qf+gtXb/8ACJ+Ff+gNp/8A4C2//wAbq5Y6XpmmK6abaQWayEFxbxJCGI4BOxVz&#10;QBaooooAKKKKACiiigAooooAKKKKACiiigAooooAKKKKACiiigAooooAK8l8JH7f8XdVucZEEl+Q&#10;c7uEcQA59wa9aryX4VD7T411y+65jn57/vbhX+n8FAHrVFFFABRRRQAUUUUAFFFFABRRRQAUUUUA&#10;FFFFABRRRQAUUUUAFFFFABRRRQAUUUUAFFFFABRRRQAUUUUAFFFFABRRRQAUUUUAFFFFABRRRQAU&#10;UUUAFFFFABRRRQAUUUUAFFFFABRRRQAUUUUAFFFFABRRRQAUUUUARXMvkW0s3/POJ39fugn+leXf&#10;A2HnWLg+log9P+WxP9K9D8T3H2Xw3qlz3j066YZzgkRtgce9cX8EYNuiahc4/wBZfCPP+5Grf+1K&#10;APR6KKKACiiigAooooAKKKKACiiigAooooAKKKKACiiigAooooAKKKKACiiigAooooAKKKKACiii&#10;gAooooAKKZLLHBG00zrHGgLM7EKoA6kk9K871b4lahrGpDQPAVv9puGYqb2RcxgDALqp4CjP3m49&#10;ulAHokssUKGSZ1jQdWchVH4nFRWWoWGoo8un3EV0kchid4XWVQ4AYqSpIyAw4rldN+HcM7LfeMLu&#10;XXL04YpK7CzjPoiDGRz349hXWWlnaWEItrGCO2hXpHEqxoOg6KAO1ACXl/ZadEJ7+4itYi4QSTOs&#10;abjnAyxAycVJDPDcRiW3kWWNujoQ6n8QSKbc2lrewtb3kMdxC33o5VWRD9QwIrlNR+HVmjtfeFLm&#10;XQr7qPs7N9lc4wA8eSAPpx7GgDsKK83034j6roGojQfH1v5UqkBb6JRtZTwJGVcAqcdV/KvRIJ4L&#10;qFLi2kWWKRQySIQysD0II4oAkooooAKKKKACiiigAooooAKKKKACiiigAooooAKKKKACiiigAooo&#10;oAKKKKAOe+IMwg8Gas5OM2pjznH+sZYwP/Hqx/g7B5Xg/wAzH+vvp5PToEj/APZKsfFiXy/BN2n/&#10;AD1mtk/KVX/9lqf4Xw+T4H031f7Q5x/tTS4/TFAHVUUUUAFFFFABRRRQAUUUUAFFFFABRRRQAUUU&#10;UAFFFFABRRRQAUUUUAFFFFABRRRQAUUUUAFFFFABSEgAknAHJJpa4X4s+Jn0XQ10y0cpdamWQspI&#10;ZYVx5h47ncF/E+lAHF/EXx5P4jvDomjux02OQJ+7zm5kBwDxyVz90d+vpj0fwF4Qg8K6OiyKDqF0&#10;qvdydTnqIx/srnHucmvJvhjpceqeMLMSgNHaB7tlIyCYh8n/AI+ymvoCgAooooAKKKKAOe8beE7b&#10;xZpD2xULeQBpLOboVfH3Cf7rdD+favLfAHje78J6j/Y+qlv7NeYxyo+d1tJkguvoM/eH49evudeC&#10;/FfTE07xjO8Ywt9DHd47Zbcjn8WjJoA95VldQ6EMrAFWByCDyCDS1wHwh8SNqmjPoty26fTNojJ6&#10;mBvuD/gJGPpiu/oAKKKKACiiigAooooAKKKKACiiigAooooAKKKKACiiigAooooAKKKKAOA+NFwY&#10;vC1vCP8AltqMQP0WOVv5gV0ngmHyPCOkJ66fA/r/AKxQ/wD7NXG/HCdVsNKts/NJcTyAc9I1RT7f&#10;8tK9A0WH7No9hb9PKs7ePHT7qKP6UAXaKKKACiiigAooooAKKKKACiiigAooooAKKKKACiiigAoo&#10;ooAKKKKACiiigAooooAKKKKACiiigArwb4sak1/4xuIMkx2MUVugzxnb5jH/AL6cj8K95r5v8ayv&#10;L4u1hnUqRqFwmD6I5QH8QM0AdH8F2VfFdwG6vpkwX6+bAf5A17bXzn4F1ldC8U2N9K22EyeTOeMb&#10;JQUJOewJDfhXrHjn4j23hR/7OtYDc6i8QkAfKwIrfdZjwW6dB+YoA7Ss+58QaBZsEu9Ss4GOcLLP&#10;DGeOv3nHrXz7rXi/xF4gdjqV7I0bZ/cITHAAe2xcA/jk1j0AfTNv4i8P3bbLXU7Odv7sdxC559g5&#10;rQBBGRyDXytWto3izxDoEitpl7LGi4/csTJAQOxRsr+QzQB9KV438bXQ67YRg/OthuI74aRwD/46&#10;a6zwL8SYfFMw0u/g+z6jsLAxhmgkCjLEdSh9iT9a8y+Iusprfiy8uIWDQQFbWFhnBWLhj+LliPag&#10;Cb4Xai2n+M7MD7l2JLWT6ONy/wDj6rXv9fM/hpiniPSnXgrqVoR9RKhr6YoAKKKKACiiigAooooA&#10;KKKKACiiigAooooAKKKKACiiigAooooAKKKKAPJvjVuuNU0ayX7xjmwBycyPGo4/4DXrCqFUKowA&#10;AAB0AFeTfEUm9+JOh2BOUH2BCO2ZLh9x456Yr1qgAooooAKKKKACiiigAooooAKKKKACiiigAooo&#10;oAKKKKACiiigAooooAKKKKACiiigAooooAKKK83+IvxKbSpJNC8PuPtg+W5uhyIsj7idi/qe316A&#10;HUeJPHPh/wALgpfT+ZdYytpDh5j6Z5AUfUivBfEGqLretXmrJEYFu52lEZbeVz2zhc/lVGSSSaRp&#10;ZnaSRyWZ2JZmJ6kk8k02gArvLCa1+IWiQaFeSrB4h0yMrp88pwt1EB/qWJ53AD+vrXB0qO8brJGx&#10;R0YMrKSGBHIII6GgD2Hwx8HtOtI0uvEj/bLg4b7NGSlunfDEYZzn6D613dnomj6fGI7Gxt7dR0Ec&#10;SL/IV5R4b+Meo2Ea2viCA38a8C4jIS5A9wflf8wfeu80r4leEdXnitLe7aK4ndI44Zo5EZnchVXI&#10;VkySf71AG3d6NpF/GYr2yt7hCMESRI/8xXEeJ/g/pV9G9z4db7BcjJ8hyzWzn05yyfhke1b2r/Eb&#10;wnotxLZ3d2zXMDFZIYopHYMOCM7QufxrhPEfxlvryNrbw7bmyRhg3M2158HP3VGVU++TQBVuhb/D&#10;bRpbGGVJvE2pxbJ5IzuFnAeqgj+I/wD1+gGeAp0sss8jTTO0kkjFndyWZieSSTkk02gC5o1+ml6v&#10;ZalJGZls7qGcxg7S3lsHxnBx09K978NePfD3ijEVpN5F2Rk2s+El99vOG/A59q+eKVHeN1kjYo6E&#10;MrKSGBHIII6GgD6porzH4dfEt72WPQfEUmZ3IS1u243ntHJ/tejd+h56+nUAFFFFABRRRQAUUUUA&#10;FFFFABRRRQAUUUUAFFFFABRRRQAUUUUAeS62Re/GizgGf9GltAeg+5ELjj/vqvWq8l0xftfxruJc&#10;ZEElwTjp8luYe/ua9aoAKKKKACiiigAooooAKKKKACiiigAooooAKKKKACiiigAooooAKKKKACii&#10;igAooooAKKKKAOX+Ifik+F9AeW3YC9uyYLX1UkZaT/gI/XFeBQw3WoXSwwI9xczvhVUF5HZvzJNd&#10;l8U9Sn1vxj/ZdsDILMR2kMa9WlfDNj3LMF/CvR/AfgW08KWSz3CLLqsyfv5+uwHnykPYDue59sCg&#10;Di9A+DF9dRrceILr7GGGfs8AEkw6feY/Kp+m6tLxJ4G8A+ENJXUdRgvLpTMkI2zASszBj0/dr0Un&#10;ivTq4L4zxPJ4ThdekWpQu30McyfzcUAcbYaL8N/E93FYaTc6jpl5cEpFHcIk8RbBP8JY/mwrN8Uf&#10;DrX/AAwrXMii8sh1uYASFH+2vVfryPeoPh5KsPjTSnfGDcFOfV0ZB+rV9DsqupRwGVgQQeQQeoNA&#10;HytXq3w7+GkTRWXifWJJFlEkV1aWyYUDYweN3OCTnAOBj3qp42+Fd4mqR3PhaDzLa9kw9uCFW3c8&#10;k5OAIz+nT0r1PSHQ6fBCJIpJLeKOGYQOJESRFUMmRjofUCgDz34hfDRLlL3xLpMsjXWWuLi2fDK4&#10;HLmPABBwM4Oc15HX1FfywxWsglkji81TEhmYIhdwQq5Pqa8l8G/Cu/k1iR/FFuYrSyYYjyGW4bqM&#10;EE5Tufy9aAOb8L+ANf8AFOJ7aMW9nuwbqfKocddg6v8Ahx71sX+hfDrwrdSafrd1qGp30AUSw2yL&#10;BEGYKw+9jsR0c17ZHHHFGsUShERQqooCqoHAAA4Ar5++JkqzeOdUdegeBPxSGJD+q0Adl4Y8F+AP&#10;GWmzXmnW97aCKcwHfKPMBCq24f6xcfP39Kpa78Fr23Rp9AuxdBRn7PcARyn2DD5SfqBW18E1I8OX&#10;r44OpMAfcRRZ/nXolAHy3dWl5pt09rdxvbXELYZHBR1I/wA8Gvdvht4rbxNoQS7fdf2BWG4J+864&#10;/dy/iAQfcGrHjfwVZeLNPbCrFqMKk20/Q5/55ue6n9OteW/De/ufDvjaLT7wND9qZ7C4iY4w5PyZ&#10;HQnzFAH1oA94ooooAKKKKACiiigAooooAKKKKACiiigAooooAKKKKACiikJCgsxwAMkngUAeTfD/&#10;ADe/E7W7xvmC/wBoOCfm+9cIqgE9PlPHtXrVeS/Br/S9c1rUSMFo168kedIz4/8AHK9aoAKKKKAC&#10;iiigAooooAKKKKACiiigAooooAKKKKACiiigAooooAKKKKACiiigAooooAKKKKAPIPh1pi61471X&#10;XLkb1sbieZc5x508kgQ9eyhsV6/XC/Cy1FqmvoQQ6a3PC2ev7vA/mxruqACuf8e6S+teE9Qs4lLS&#10;rF50QHUvCRIAPqFI/GugooA+WrS5lsrqG8gOJbeVJYz6MhDKfzFfS+i6tba5pVtqtoQY7mIPgHO1&#10;ujIfcMCDXh3xG8KSeGtckkgQjT71mltmA+VSTl4v+Ak8e2Ks/Dvx63ha4NhqJZ9LuHBbGWaB+hkU&#10;DJIP8QH1HPUA9u1CzXULG4sXZo1uIXiLoSrrvBXIIIIIzXzjaarr3hW+uLewu5LSaGV4pljbMZaN&#10;ipypBU8juK+kLW7tr63ju7OVZ4JVDRyRkMrA9wRXz14/jSPxlqyoMA3bNgerAMT+ZoAp6jrmv+Jr&#10;iKPUbqW9kZ1SGNiAm5jgYUbVBJPXFfRej6f/AGVpVpp29pDbQRxl3JZmKgBmJPqa+evBcKXHi3SI&#10;5Pu/2hA2OOdjBwOc8ZXmvo24ube0ge5upFhhiUtJJIQiKB1JJwBQBDqmo22kadcandtthtYmkc9z&#10;gcAe5PAr5n1G+m1PULnUbjmW6nkmfnOC7FsfQZxXY/Ejx+PEsv8AZOlkjTIJNxfkGdxwGx/cHYH6&#10;+lZfgHwrJ4o1yOKRCbG2ZZbx+g2jkR/ViMfTJoA9f+HOlPpHhCwhlBWWdGuZARggzHeoI9QuAa6a&#10;kACgKowAMADgUtABXkPxX0yPRvE2m+JYFKrcOjzbQP8AW2zIc9uSuO/avXq4P4v2a3mjaZFzvl1m&#10;CAEYziWOYH+QoA7yiiigAooooAKKKKACiiigAooooAKKKKACiiigAooooAKq6pL5GmXc4/5Z2sz/&#10;APfKMe/0q1WL40l8nwlrD+unXCev30Kf+zUAcT8Dodtpq9x/fltk/wC+FlP/ALPXqFeffBWHZ4Zu&#10;pj1l1KQDpjCxwgfqTXoNABRRRQAUUUUAFFFFABRRRQAUUUUAFFFFABRRRQAUUUUAFFFFABRRRQAU&#10;UUUAFFFFABRRRQBzmh2NzpvinXYjE/2S+NrfQzbT5e9laOVN3QtuTOPQ10dFNSSOQExsHAYqSpBA&#10;I4I47g0AOooooAzfEGg6f4k0yXS9RTKSDKOMb43H3XUnoRn+leC+K/BmreE7ox3aGW1diILtAfLc&#10;dgf7rY7H8M19GVFc21veQPbXcSTwyKVeORQ6MD2IIINAHhvwru9YHiWGysrqSGyw897HnMJjjUnJ&#10;BBAySBkc81zniDURq+uX+pqcrc3csicY+Qsdg/75xXpHjf8A4RzwFZXll4dj8jU9bjCSKrs3kwZO&#10;8jJJQNkgD/CvJ6ALWk3x0zVLPURk/ZLqGfA6ny3V8fpXX/Fi91dtfNvPdyTaZNDFc2MY+WHY6gE4&#10;AAJ3A8nJrhq9T8Bv4e8b6fZ6H4jjEt7ou77KpYp5tucYU4wWC4AIz0x70AcN4Y8I6v4ru/I0+PbC&#10;jAT3L5EMY789zjoBzXvfhvw5p3hfTE03T14HzSytjzJXPV2/oOwq/a2lrYwJa2cSQQxjCRxqEQD2&#10;AAFTUAFFFFABXNeJbC41XXvD9mIWa0truXULiXB8tWt1AiUnGMln6egNdG8kcS75WCLkDLEKMk4A&#10;59SadQAUUUUAFFFFABRRRQAUUUUAFFFFABRRRQAUUUUAFFFFABXL/Ey4+z+CNTYdXSGMA5/jljU/&#10;oTXUVxPxfmEXg10Jx515bxgZxnBaTHv9ygCT4SweV4KtpMf6+e5k9OjmP/2Suyrm/h1B9n8FaVHj&#10;GYGk9P8AWSPJ/wCzV0lABRRRQAUUUUAFFFFABRRRQAUUUUAFFFFABRRRQAUUUUAFFFFABRRRQAUU&#10;UUAFFFFABRRRQAVx2rafq/hS+m8QeGYftdjcMZdS0oZyW/inh64b+8AOfT07GigDA0Hxz4b8QoPs&#10;l0sVxj5rW4IhnU8ZGCcN16qTW/Xzh42/5GzVP+vt/wCleieBf+QXb/8AXsn8loA9HnuILWMzXMiQ&#10;xr1eRgij6kkCuB8V/FvStNje08PkX92QQJufssZ9c8bz9OPeuF+I3/H9bfSX+a1yNAE99f3mp3cl&#10;9fzNPcTNukkc5Yn+QHoBUcMM1xKsFujSyyMFSNAXdiegAGSTTK7L4S/8jlB/17z/AMhQByNzbXFp&#10;PJa3UbQzRMVkjcFWUjqCDS2l3c2FzHeWcrQTwsHjkQ7WUjuK7X4x/wDI2D/rzi/rXC0Aey+E/i7p&#10;1+iWniTFldDCi4AJtpOOpxyh/T3FegW91bXkQntJUniYZV42V0P4gkV8tV1Pw/8A+QjL/up/7NQB&#10;9A1h67418N+Ho2N/eIZlGRbQkSzt2xtB4+pwK5Txr/yDJv8Arg9eW+G/+Rg03/r+t/8A0NaAPZtM&#10;s9Y8ZXkOs+IYTZaRA4lsdLbO+Vh9yaccZx1Vf8ns6KKACiiigAooooAKKKKACiiigAooooAKKKKA&#10;CiiigAooooAK85+NsuNBsIP7+ob/APviOQf+z16NXOeM/wDj3g/7a/yWgC94Vh+z+GNJh6FNNtAc&#10;Zxny0LdfetWobT/j1h/65J/6CKmoAKKKKACiiigAooooAKKKKACiiigAooooAKKKKAP/2VBLAwQU&#10;AAYACAAAACEAOisUQt8AAAAIAQAADwAAAGRycy9kb3ducmV2LnhtbEyPT0vDQBTE74LfYXmCN7tJ&#10;/6QhZlNKUU9FsBXE2zb7moRm34bsNkm/vc+THocZZn6TbybbigF73zhSEM8iEEilMw1VCj6Pr08p&#10;CB80Gd06QgU39LAp7u9ynRk30gcOh1AJLiGfaQV1CF0mpS9rtNrPXIfE3tn1VgeWfSVNr0cut62c&#10;R1EirW6IF2rd4a7G8nK4WgVvox63i/hl2F/Ou9v3cfX+tY9RqceHafsMIuAU/sLwi8/oUDDTyV3J&#10;eNGyXq85qWDFB9heJOkcxEnBMkmXIItc/j9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O+hEcmgDAAAQCAAADgAAAAAAAAAAAAAAAAA8AgAAZHJzL2Uyb0RvYy54&#10;bWxQSwECLQAKAAAAAAAAACEA4+PVGZ9kAACfZAAAFQAAAAAAAAAAAAAAAADQBQAAZHJzL21lZGlh&#10;L2ltYWdlMS5qcGVnUEsBAi0AFAAGAAgAAAAhADorFELfAAAACAEAAA8AAAAAAAAAAAAAAAAAomoA&#10;AGRycy9kb3ducmV2LnhtbFBLAQItABQABgAIAAAAIQBYYLMbugAAACIBAAAZAAAAAAAAAAAAAAAA&#10;AK5rAABkcnMvX3JlbHMvZTJvRG9jLnhtbC5yZWxzUEsFBgAAAAAGAAYAfQEAAJ9sAAAAAA==&#10;">
                      <v:shape id="그림 4" o:spid="_x0000_s1190"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4" o:title=""/>
                        <v:path arrowok="t"/>
                      </v:shape>
                      <v:shape id="Text Box 18" o:spid="_x0000_s1191"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2FA9F858" w14:textId="22A8DE54" w:rsidR="006D7011" w:rsidRDefault="006D7011">
                              <w:pPr>
                                <w:pStyle w:val="af0"/>
                                <w:jc w:val="right"/>
                                <w:rPr>
                                  <w:b w:val="0"/>
                                  <w:noProof/>
                                </w:rPr>
                              </w:pPr>
                              <w:r>
                                <w:rPr>
                                  <w:rFonts w:ascii="Times New Roman" w:eastAsia="Times New Roman" w:hAnsi="Times New Roman" w:cs="Times New Roman"/>
                                  <w:lang w:val="pl-PL"/>
                                </w:rPr>
                                <w:t xml:space="preserve">Rysunek </w:t>
                              </w:r>
                              <w:r>
                                <w:rPr>
                                  <w:rFonts w:ascii="Times New Roman" w:hAnsi="Times New Roman" w:cs="Times New Roman"/>
                                </w:rPr>
                                <w:t>M</w:t>
                              </w:r>
                            </w:p>
                          </w:txbxContent>
                        </v:textbox>
                      </v:shape>
                      <w10:wrap type="square"/>
                    </v:group>
                  </w:pict>
                </mc:Fallback>
              </mc:AlternateContent>
            </w:r>
            <w:r w:rsidRPr="008F328C">
              <w:rPr>
                <w:rFonts w:eastAsia="Times New Roman"/>
                <w:b/>
                <w:bCs/>
                <w:lang w:val="pl-PL"/>
              </w:rPr>
              <w:t>Wyrzucić wstrzykiwacz.</w:t>
            </w:r>
          </w:p>
          <w:p w14:paraId="795F7E75" w14:textId="77777777" w:rsidR="002E5800" w:rsidRPr="008F328C" w:rsidRDefault="002E5800">
            <w:pPr>
              <w:pStyle w:val="a3"/>
              <w:rPr>
                <w:lang w:val="pl-PL"/>
              </w:rPr>
            </w:pPr>
          </w:p>
          <w:p w14:paraId="5F83409F" w14:textId="4FCEED9B" w:rsidR="002E5800" w:rsidRPr="008F328C" w:rsidRDefault="000E0B7C">
            <w:pPr>
              <w:pStyle w:val="a3"/>
              <w:ind w:left="4297" w:hanging="180"/>
              <w:rPr>
                <w:lang w:val="pl-PL"/>
              </w:rPr>
            </w:pPr>
            <w:r w:rsidRPr="008F328C">
              <w:rPr>
                <w:rFonts w:eastAsia="Times New Roman"/>
                <w:b/>
                <w:bCs/>
                <w:lang w:val="pl-PL"/>
              </w:rPr>
              <w:t>a.</w:t>
            </w:r>
            <w:r w:rsidRPr="008F328C">
              <w:rPr>
                <w:rFonts w:eastAsia="Times New Roman"/>
                <w:lang w:val="pl-PL"/>
              </w:rPr>
              <w:t xml:space="preserve"> Wyrzucić zużyty wstrzykiwacz do specjalnego pojemnik na odpady ostre zgodnie z zaleceniami lekarza; pielęgniarki lub farmaceuty. </w:t>
            </w:r>
          </w:p>
          <w:p w14:paraId="4952ED9A" w14:textId="77777777" w:rsidR="002E5800" w:rsidRPr="008F328C" w:rsidRDefault="002E5800">
            <w:pPr>
              <w:pStyle w:val="a3"/>
              <w:ind w:left="4297" w:hanging="180"/>
              <w:rPr>
                <w:lang w:val="pl-PL"/>
              </w:rPr>
            </w:pPr>
          </w:p>
          <w:p w14:paraId="0D71FE9F" w14:textId="53641935" w:rsidR="002E5800" w:rsidRPr="008F328C" w:rsidRDefault="000E0B7C">
            <w:pPr>
              <w:pStyle w:val="a3"/>
              <w:ind w:left="4297" w:hanging="180"/>
              <w:rPr>
                <w:lang w:val="pl-PL"/>
              </w:rPr>
            </w:pPr>
            <w:r w:rsidRPr="008F328C">
              <w:rPr>
                <w:rFonts w:eastAsia="Times New Roman"/>
                <w:b/>
                <w:bCs/>
                <w:lang w:val="pl-PL"/>
              </w:rPr>
              <w:t>b.</w:t>
            </w:r>
            <w:r w:rsidR="007C75D2" w:rsidRPr="008F328C">
              <w:rPr>
                <w:rFonts w:eastAsia="Times New Roman"/>
                <w:b/>
                <w:bCs/>
                <w:lang w:val="pl-PL"/>
              </w:rPr>
              <w:t xml:space="preserve"> </w:t>
            </w:r>
            <w:r w:rsidRPr="008F328C">
              <w:rPr>
                <w:rFonts w:eastAsia="Times New Roman"/>
                <w:lang w:val="pl-PL"/>
              </w:rPr>
              <w:t>Gazik i opakowanie można wyrzucać do domowego pojemnika na odpadki.</w:t>
            </w:r>
          </w:p>
          <w:p w14:paraId="6941CCC9" w14:textId="77777777" w:rsidR="002E5800" w:rsidRPr="008F328C" w:rsidRDefault="002E5800">
            <w:pPr>
              <w:pStyle w:val="a3"/>
              <w:rPr>
                <w:b/>
                <w:lang w:val="pl-PL"/>
              </w:rPr>
            </w:pPr>
          </w:p>
          <w:p w14:paraId="1C5A2F9C" w14:textId="507E390F" w:rsidR="002E5800" w:rsidRPr="008F328C" w:rsidRDefault="000E0B7C">
            <w:pPr>
              <w:pStyle w:val="a3"/>
              <w:ind w:left="4297" w:hanging="360"/>
              <w:rPr>
                <w:lang w:val="pl-PL"/>
              </w:rPr>
            </w:pPr>
            <w:r w:rsidRPr="008F328C">
              <w:rPr>
                <w:rFonts w:eastAsia="맑은 고딕"/>
                <w:lang w:val="pl-PL"/>
              </w:rPr>
              <w:t>•</w:t>
            </w:r>
            <w:r w:rsidRPr="008F328C">
              <w:rPr>
                <w:rFonts w:eastAsia="Times New Roman"/>
                <w:lang w:val="pl-PL"/>
              </w:rPr>
              <w:tab/>
              <w:t>Zawsze przechowywać wstrzykiwacz</w:t>
            </w:r>
            <w:r w:rsidRPr="008F328C">
              <w:rPr>
                <w:rFonts w:eastAsia="맑은 고딕"/>
                <w:lang w:val="pl-PL"/>
              </w:rPr>
              <w:t xml:space="preserve"> </w:t>
            </w:r>
            <w:r w:rsidRPr="008F328C">
              <w:rPr>
                <w:rFonts w:eastAsia="Times New Roman"/>
                <w:lang w:val="pl-PL"/>
              </w:rPr>
              <w:t>i specjalny pojemnik na odpadki w miejscu niewidocznym i niedostępnym dla dzieci.</w:t>
            </w:r>
          </w:p>
          <w:p w14:paraId="4AE13F6D" w14:textId="77777777" w:rsidR="002E5800" w:rsidRPr="008F328C" w:rsidRDefault="002E5800">
            <w:pPr>
              <w:pStyle w:val="a3"/>
              <w:rPr>
                <w:lang w:val="pl-PL"/>
              </w:rPr>
            </w:pPr>
          </w:p>
          <w:p w14:paraId="3E4B0493" w14:textId="77777777" w:rsidR="002E5800" w:rsidRPr="008F328C" w:rsidRDefault="002E5800">
            <w:pPr>
              <w:pStyle w:val="a3"/>
              <w:rPr>
                <w:lang w:val="pl-PL" w:eastAsia="ko-KR"/>
              </w:rPr>
            </w:pPr>
          </w:p>
        </w:tc>
      </w:tr>
    </w:tbl>
    <w:p w14:paraId="6C103109" w14:textId="52BC8774" w:rsidR="002E5800" w:rsidRPr="008F328C" w:rsidRDefault="002E5800">
      <w:pPr>
        <w:pStyle w:val="a3"/>
        <w:rPr>
          <w:lang w:val="pl-PL" w:eastAsia="ko-KR"/>
        </w:rPr>
      </w:pPr>
    </w:p>
    <w:p w14:paraId="25A54987" w14:textId="51029875" w:rsidR="00094D21" w:rsidRPr="008F328C" w:rsidRDefault="00094D21">
      <w:pPr>
        <w:pStyle w:val="a3"/>
        <w:rPr>
          <w:lang w:val="pl-PL" w:eastAsia="ko-KR"/>
        </w:rPr>
      </w:pPr>
    </w:p>
    <w:p w14:paraId="6B9FA73A" w14:textId="66DF5D65" w:rsidR="00094D21" w:rsidRPr="008F328C" w:rsidRDefault="00094D21">
      <w:pPr>
        <w:pStyle w:val="a3"/>
        <w:rPr>
          <w:lang w:val="pl-PL" w:eastAsia="ko-KR"/>
        </w:rPr>
      </w:pPr>
    </w:p>
    <w:p w14:paraId="220ED950" w14:textId="2EB3A1F0" w:rsidR="00094D21" w:rsidRPr="008F328C" w:rsidRDefault="00094D21">
      <w:pPr>
        <w:pStyle w:val="a3"/>
        <w:rPr>
          <w:lang w:val="pl-PL" w:eastAsia="ko-KR"/>
        </w:rPr>
      </w:pPr>
    </w:p>
    <w:p w14:paraId="3C583FCA" w14:textId="20940CCA" w:rsidR="00094D21" w:rsidRPr="008F328C" w:rsidRDefault="00094D21">
      <w:pPr>
        <w:pStyle w:val="a3"/>
        <w:rPr>
          <w:lang w:val="pl-PL" w:eastAsia="ko-KR"/>
        </w:rPr>
      </w:pPr>
    </w:p>
    <w:p w14:paraId="6ABB6424" w14:textId="31FDB336" w:rsidR="00094D21" w:rsidRPr="008F328C" w:rsidRDefault="00094D21">
      <w:pPr>
        <w:pStyle w:val="a3"/>
        <w:rPr>
          <w:lang w:val="pl-PL" w:eastAsia="ko-KR"/>
        </w:rPr>
      </w:pPr>
    </w:p>
    <w:p w14:paraId="2845AD43" w14:textId="77777777" w:rsidR="00094D21" w:rsidRPr="008F328C" w:rsidRDefault="00094D21" w:rsidP="00094D21">
      <w:pPr>
        <w:rPr>
          <w:rFonts w:ascii="Times New Roman" w:hAnsi="Times New Roman" w:cs="Times New Roman"/>
          <w:lang w:val="pl-PL"/>
        </w:rPr>
      </w:pPr>
    </w:p>
    <w:p w14:paraId="1414B996" w14:textId="77777777" w:rsidR="00094D21" w:rsidRPr="008F328C" w:rsidRDefault="00094D21" w:rsidP="00094D21">
      <w:pPr>
        <w:spacing w:before="76"/>
        <w:ind w:left="39"/>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Ulotka dołączona do opakowania: informacja dla pacjenta</w:t>
      </w:r>
    </w:p>
    <w:p w14:paraId="7A206596" w14:textId="77777777" w:rsidR="00094D21" w:rsidRPr="008F328C" w:rsidRDefault="00094D21" w:rsidP="00094D21">
      <w:pPr>
        <w:spacing w:before="13" w:line="240" w:lineRule="exact"/>
        <w:rPr>
          <w:rFonts w:ascii="Times New Roman" w:hAnsi="Times New Roman" w:cs="Times New Roman"/>
          <w:sz w:val="24"/>
          <w:szCs w:val="24"/>
          <w:lang w:val="pl-PL"/>
        </w:rPr>
      </w:pPr>
    </w:p>
    <w:p w14:paraId="47E6313D" w14:textId="77777777" w:rsidR="00094D21" w:rsidRPr="008F328C" w:rsidRDefault="00094D21" w:rsidP="00094D21">
      <w:pPr>
        <w:ind w:left="818" w:right="77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Yuflyma 80 mg roztwór do wstrzykiwań w ampułko-strzykawce</w:t>
      </w:r>
    </w:p>
    <w:p w14:paraId="64FBD3D7" w14:textId="77777777" w:rsidR="00094D21" w:rsidRPr="008F328C" w:rsidRDefault="00094D21" w:rsidP="00094D21">
      <w:pPr>
        <w:pStyle w:val="a3"/>
        <w:jc w:val="center"/>
        <w:rPr>
          <w:lang w:val="pl-PL"/>
        </w:rPr>
      </w:pPr>
      <w:r w:rsidRPr="008F328C">
        <w:rPr>
          <w:rFonts w:eastAsia="Times New Roman"/>
          <w:lang w:val="pl-PL"/>
        </w:rPr>
        <w:t>adalimumab</w:t>
      </w:r>
    </w:p>
    <w:p w14:paraId="2BFAC16A" w14:textId="77777777" w:rsidR="00094D21" w:rsidRPr="008F328C" w:rsidRDefault="00094D21" w:rsidP="00094D21">
      <w:pPr>
        <w:spacing w:before="18" w:line="240" w:lineRule="exact"/>
        <w:rPr>
          <w:rFonts w:ascii="Times New Roman" w:hAnsi="Times New Roman" w:cs="Times New Roman"/>
          <w:sz w:val="24"/>
          <w:szCs w:val="24"/>
          <w:lang w:val="pl-PL"/>
        </w:rPr>
      </w:pPr>
    </w:p>
    <w:p w14:paraId="4DDABEF9" w14:textId="77777777" w:rsidR="00094D21" w:rsidRPr="008F328C" w:rsidRDefault="00094D21" w:rsidP="00094D21">
      <w:pPr>
        <w:spacing w:before="18" w:line="240" w:lineRule="exact"/>
        <w:ind w:left="108"/>
        <w:rPr>
          <w:rFonts w:ascii="Times New Roman" w:hAnsi="Times New Roman" w:cs="Times New Roman"/>
          <w:sz w:val="24"/>
          <w:szCs w:val="24"/>
          <w:lang w:val="pl-PL"/>
        </w:rPr>
      </w:pPr>
      <w:r w:rsidRPr="008F328C">
        <w:rPr>
          <w:rFonts w:ascii="Times New Roman" w:hAnsi="Times New Roman" w:cs="Times New Roman"/>
          <w:noProof/>
          <w:lang w:eastAsia="ko-KR"/>
        </w:rPr>
        <w:drawing>
          <wp:inline distT="0" distB="0" distL="0" distR="0" wp14:anchorId="4DD722B6" wp14:editId="515B9109">
            <wp:extent cx="203200" cy="169545"/>
            <wp:effectExtent l="0" t="0" r="6350" b="1905"/>
            <wp:docPr id="8" name="그림 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Użytkownik leku też może w tym pomóc, zgłaszając wszelkie działania niepożądane, które wystąpiły po zastosowaniu leku. Aby dowiedzieć się, jak zgłaszać działania niepożądane – patrz punkt 4.</w:t>
      </w:r>
    </w:p>
    <w:p w14:paraId="5BDD2A86" w14:textId="77777777" w:rsidR="00094D21" w:rsidRPr="008F328C" w:rsidRDefault="00094D21" w:rsidP="00094D21">
      <w:pPr>
        <w:spacing w:before="18" w:line="240" w:lineRule="exact"/>
        <w:rPr>
          <w:rFonts w:ascii="Times New Roman" w:hAnsi="Times New Roman" w:cs="Times New Roman"/>
          <w:sz w:val="24"/>
          <w:szCs w:val="24"/>
          <w:lang w:val="pl-PL"/>
        </w:rPr>
      </w:pPr>
    </w:p>
    <w:p w14:paraId="4EB54F3D" w14:textId="77777777" w:rsidR="00094D21" w:rsidRPr="008F328C" w:rsidRDefault="00094D21" w:rsidP="00094D21">
      <w:pPr>
        <w:spacing w:before="18" w:line="240" w:lineRule="exact"/>
        <w:ind w:left="108"/>
        <w:rPr>
          <w:rFonts w:ascii="Times New Roman" w:hAnsi="Times New Roman" w:cs="Times New Roman"/>
          <w:b/>
          <w:lang w:val="pl-PL"/>
        </w:rPr>
      </w:pPr>
      <w:r w:rsidRPr="008F328C">
        <w:rPr>
          <w:rFonts w:ascii="Times New Roman" w:eastAsia="Times New Roman" w:hAnsi="Times New Roman" w:cs="Times New Roman"/>
          <w:b/>
          <w:bCs/>
          <w:lang w:val="pl-PL"/>
        </w:rPr>
        <w:t>Należy uważnie zapoznać się z treścią ulotki przed zastosowaniem leku, ponieważ zawiera ona informacje ważne dla pacjenta.</w:t>
      </w:r>
    </w:p>
    <w:p w14:paraId="1CADBAF8" w14:textId="77777777" w:rsidR="00094D21" w:rsidRPr="008F328C" w:rsidRDefault="00094D21" w:rsidP="00094D21">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Należy zachować tę ulotkę, aby w razie potrzeby móc ją ponownie przeczytać.</w:t>
      </w:r>
    </w:p>
    <w:p w14:paraId="4FEA6D79" w14:textId="77777777" w:rsidR="00094D21" w:rsidRPr="008F328C" w:rsidRDefault="00094D21" w:rsidP="00094D21">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Lekarz także przekaże pacjentowi „Kartę przypominającą dla pacjenta” zawierającą ważne informacje o bezpieczeństwie stosowania leku, o których należy pamiętać przed rozpoczęciem i w trakcie leczenia lekiem Yuflyma. Kartę przypominającą dla pacjenta należy zachować podczas leczenia i przez 4 miesiące po przyjęciu ostatniego wstrzyknięcia leku Yuflyma.</w:t>
      </w:r>
    </w:p>
    <w:p w14:paraId="6F768954" w14:textId="77777777" w:rsidR="00094D21" w:rsidRPr="008F328C" w:rsidRDefault="00094D21" w:rsidP="00094D21">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W razie jakichkolwiek wątpliwości należy zwrócić się do lekarza lub farmaceuty.</w:t>
      </w:r>
    </w:p>
    <w:p w14:paraId="317F5B92" w14:textId="77777777" w:rsidR="00094D21" w:rsidRPr="008F328C" w:rsidRDefault="00094D21" w:rsidP="00094D21">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Lek ten przepisano ściśle określonej osobie. Nie należy go przekazywać innym. Lek może zaszkodzić innej osobie, nawet jeśli objawy jej choroby są takie same.</w:t>
      </w:r>
    </w:p>
    <w:p w14:paraId="7DE8B3D9" w14:textId="77777777" w:rsidR="00094D21" w:rsidRPr="008F328C" w:rsidRDefault="00094D21" w:rsidP="00094D21">
      <w:pPr>
        <w:widowControl/>
        <w:numPr>
          <w:ilvl w:val="0"/>
          <w:numId w:val="5"/>
        </w:numPr>
        <w:ind w:left="567" w:right="-2"/>
        <w:rPr>
          <w:rFonts w:ascii="Times New Roman" w:hAnsi="Times New Roman" w:cs="Times New Roman"/>
          <w:lang w:val="pl-PL"/>
        </w:rPr>
      </w:pPr>
      <w:r w:rsidRPr="008F328C">
        <w:rPr>
          <w:rFonts w:ascii="Times New Roman" w:eastAsia="Times New Roman" w:hAnsi="Times New Roman" w:cs="Times New Roman"/>
          <w:szCs w:val="20"/>
          <w:lang w:val="pl-PL" w:eastAsia="pl-PL" w:bidi="pl-PL"/>
        </w:rPr>
        <w:t>Jeśli wystąpią jakiekolwiek objawy niepożądane, w tym wszelkie objawy niepożądane niewymienione w tej ulotce, należy powiedzieć o tym lekarzowi lub pielęgniarce. Patrz punkt 4.</w:t>
      </w:r>
    </w:p>
    <w:p w14:paraId="6348746E" w14:textId="77777777" w:rsidR="00094D21" w:rsidRPr="008F328C" w:rsidRDefault="00094D21" w:rsidP="00094D21">
      <w:pPr>
        <w:pStyle w:val="a3"/>
        <w:rPr>
          <w:lang w:val="pl-PL"/>
        </w:rPr>
      </w:pPr>
    </w:p>
    <w:p w14:paraId="6DA78FAD" w14:textId="77777777" w:rsidR="00094D21" w:rsidRPr="008F328C" w:rsidRDefault="00094D21" w:rsidP="00094D21">
      <w:pPr>
        <w:pStyle w:val="a3"/>
        <w:rPr>
          <w:rFonts w:eastAsia="Times New Roman"/>
          <w:b/>
          <w:bCs/>
          <w:lang w:val="pl-PL"/>
        </w:rPr>
      </w:pPr>
      <w:r w:rsidRPr="008F328C">
        <w:rPr>
          <w:rFonts w:eastAsia="Times New Roman"/>
          <w:b/>
          <w:bCs/>
          <w:lang w:val="pl-PL"/>
        </w:rPr>
        <w:t>Spis treści ulotki</w:t>
      </w:r>
    </w:p>
    <w:p w14:paraId="503FD961" w14:textId="77777777" w:rsidR="00094D21" w:rsidRPr="008F328C" w:rsidRDefault="00094D21" w:rsidP="00094D21">
      <w:pPr>
        <w:pStyle w:val="a3"/>
        <w:rPr>
          <w:b/>
          <w:lang w:val="pl-PL"/>
        </w:rPr>
      </w:pPr>
    </w:p>
    <w:p w14:paraId="3C83500E" w14:textId="77777777" w:rsidR="00094D21" w:rsidRPr="008F328C" w:rsidRDefault="00094D21" w:rsidP="00094D21">
      <w:pPr>
        <w:pStyle w:val="a3"/>
        <w:numPr>
          <w:ilvl w:val="0"/>
          <w:numId w:val="123"/>
        </w:numPr>
        <w:ind w:hanging="760"/>
        <w:rPr>
          <w:lang w:val="pl-PL"/>
        </w:rPr>
      </w:pPr>
      <w:r w:rsidRPr="008F328C">
        <w:rPr>
          <w:rFonts w:eastAsia="Times New Roman"/>
          <w:lang w:val="pl-PL"/>
        </w:rPr>
        <w:t>Co to jest lek Yuflyma i w jakim celu się go stosuje</w:t>
      </w:r>
    </w:p>
    <w:p w14:paraId="14A2FF8E" w14:textId="77777777" w:rsidR="00094D21" w:rsidRPr="008F328C" w:rsidRDefault="00094D21" w:rsidP="00094D21">
      <w:pPr>
        <w:pStyle w:val="a3"/>
        <w:numPr>
          <w:ilvl w:val="0"/>
          <w:numId w:val="123"/>
        </w:numPr>
        <w:ind w:hanging="760"/>
        <w:rPr>
          <w:lang w:val="pl-PL"/>
        </w:rPr>
      </w:pPr>
      <w:r w:rsidRPr="008F328C">
        <w:rPr>
          <w:rFonts w:eastAsia="Times New Roman"/>
          <w:lang w:val="pl-PL"/>
        </w:rPr>
        <w:t>Informacje ważne przed przyjęciem leku Yuflyma</w:t>
      </w:r>
    </w:p>
    <w:p w14:paraId="4C32B597" w14:textId="77777777" w:rsidR="00094D21" w:rsidRPr="008F328C" w:rsidRDefault="00094D21" w:rsidP="00094D21">
      <w:pPr>
        <w:pStyle w:val="a3"/>
        <w:numPr>
          <w:ilvl w:val="0"/>
          <w:numId w:val="123"/>
        </w:numPr>
        <w:ind w:hanging="760"/>
        <w:rPr>
          <w:lang w:val="pl-PL"/>
        </w:rPr>
      </w:pPr>
      <w:r w:rsidRPr="008F328C">
        <w:rPr>
          <w:rFonts w:eastAsia="Times New Roman"/>
          <w:lang w:val="pl-PL"/>
        </w:rPr>
        <w:t>Jak stosować lek Yuflyma</w:t>
      </w:r>
    </w:p>
    <w:p w14:paraId="506D34E0" w14:textId="77777777" w:rsidR="00094D21" w:rsidRPr="008F328C" w:rsidRDefault="00094D21" w:rsidP="00094D21">
      <w:pPr>
        <w:pStyle w:val="a3"/>
        <w:numPr>
          <w:ilvl w:val="0"/>
          <w:numId w:val="123"/>
        </w:numPr>
        <w:ind w:hanging="760"/>
        <w:rPr>
          <w:lang w:val="pl-PL"/>
        </w:rPr>
      </w:pPr>
      <w:r w:rsidRPr="008F328C">
        <w:rPr>
          <w:rFonts w:eastAsia="Times New Roman"/>
          <w:lang w:val="pl-PL"/>
        </w:rPr>
        <w:t>Możliwe działania niepożądane</w:t>
      </w:r>
    </w:p>
    <w:p w14:paraId="0892591C" w14:textId="77777777" w:rsidR="00094D21" w:rsidRPr="008F328C" w:rsidRDefault="00094D21" w:rsidP="00094D21">
      <w:pPr>
        <w:pStyle w:val="a3"/>
        <w:numPr>
          <w:ilvl w:val="0"/>
          <w:numId w:val="123"/>
        </w:numPr>
        <w:ind w:hanging="760"/>
        <w:rPr>
          <w:lang w:val="pl-PL"/>
        </w:rPr>
      </w:pPr>
      <w:r w:rsidRPr="008F328C">
        <w:rPr>
          <w:rFonts w:eastAsia="Times New Roman"/>
          <w:lang w:val="pl-PL"/>
        </w:rPr>
        <w:t>Jak przechowywać lek Yuflyma</w:t>
      </w:r>
    </w:p>
    <w:p w14:paraId="71713194" w14:textId="77777777" w:rsidR="00094D21" w:rsidRPr="008F328C" w:rsidRDefault="00094D21" w:rsidP="00094D21">
      <w:pPr>
        <w:pStyle w:val="a3"/>
        <w:numPr>
          <w:ilvl w:val="0"/>
          <w:numId w:val="123"/>
        </w:numPr>
        <w:ind w:hanging="760"/>
        <w:rPr>
          <w:lang w:val="pl-PL"/>
        </w:rPr>
      </w:pPr>
      <w:r w:rsidRPr="008F328C">
        <w:rPr>
          <w:rFonts w:eastAsia="Times New Roman"/>
          <w:lang w:val="pl-PL"/>
        </w:rPr>
        <w:t>Zawartość opakowania i inne informacje</w:t>
      </w:r>
    </w:p>
    <w:p w14:paraId="1E87F3A1" w14:textId="77777777" w:rsidR="00094D21" w:rsidRPr="008F328C" w:rsidRDefault="00094D21" w:rsidP="00094D21">
      <w:pPr>
        <w:pStyle w:val="a3"/>
        <w:numPr>
          <w:ilvl w:val="0"/>
          <w:numId w:val="123"/>
        </w:numPr>
        <w:ind w:hanging="760"/>
        <w:rPr>
          <w:lang w:val="pl-PL"/>
        </w:rPr>
      </w:pPr>
      <w:r w:rsidRPr="008F328C">
        <w:rPr>
          <w:rFonts w:eastAsia="Times New Roman"/>
          <w:lang w:val="pl-PL"/>
        </w:rPr>
        <w:t>Instrukcja stosowania</w:t>
      </w:r>
    </w:p>
    <w:p w14:paraId="12F8082E" w14:textId="13CA462B" w:rsidR="00094D21" w:rsidRPr="008F328C" w:rsidRDefault="00094D21" w:rsidP="00094D21">
      <w:pPr>
        <w:spacing w:line="200" w:lineRule="exact"/>
        <w:rPr>
          <w:rFonts w:ascii="Times New Roman" w:hAnsi="Times New Roman" w:cs="Times New Roman"/>
          <w:sz w:val="20"/>
          <w:szCs w:val="20"/>
          <w:lang w:val="pl-PL"/>
        </w:rPr>
      </w:pPr>
    </w:p>
    <w:p w14:paraId="51F296FE" w14:textId="77777777" w:rsidR="00CC4159" w:rsidRPr="008F328C" w:rsidRDefault="00CC4159" w:rsidP="00094D21">
      <w:pPr>
        <w:spacing w:line="200" w:lineRule="exact"/>
        <w:rPr>
          <w:rFonts w:ascii="Times New Roman" w:hAnsi="Times New Roman" w:cs="Times New Roman"/>
          <w:sz w:val="20"/>
          <w:szCs w:val="20"/>
          <w:lang w:val="pl-PL"/>
        </w:rPr>
      </w:pPr>
    </w:p>
    <w:p w14:paraId="505E9876" w14:textId="77777777" w:rsidR="00094D21" w:rsidRPr="008F328C" w:rsidRDefault="00094D21" w:rsidP="00094D21">
      <w:pPr>
        <w:pStyle w:val="a4"/>
        <w:numPr>
          <w:ilvl w:val="0"/>
          <w:numId w:val="124"/>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Co to jest lek Yuflyma i w jakim celu się go stosuje</w:t>
      </w:r>
    </w:p>
    <w:p w14:paraId="580BD935" w14:textId="77777777" w:rsidR="00094D21" w:rsidRPr="008F328C" w:rsidRDefault="00094D21" w:rsidP="00094D21">
      <w:pPr>
        <w:spacing w:line="240" w:lineRule="exact"/>
        <w:rPr>
          <w:rFonts w:ascii="Times New Roman" w:hAnsi="Times New Roman" w:cs="Times New Roman"/>
          <w:b/>
          <w:lang w:val="pl-PL"/>
        </w:rPr>
      </w:pPr>
    </w:p>
    <w:p w14:paraId="5998A723" w14:textId="77777777" w:rsidR="00094D21" w:rsidRPr="008F328C" w:rsidRDefault="00094D21" w:rsidP="00094D21">
      <w:pPr>
        <w:pStyle w:val="a3"/>
        <w:rPr>
          <w:lang w:val="pl-PL"/>
        </w:rPr>
      </w:pPr>
      <w:r w:rsidRPr="008F328C">
        <w:rPr>
          <w:rFonts w:eastAsia="Times New Roman"/>
          <w:lang w:val="pl-PL"/>
        </w:rPr>
        <w:t>Lek Yuflyma zawiera substancję czynną adalimumab, lek działający na układ odpornościowy (obronny) organizmu.</w:t>
      </w:r>
    </w:p>
    <w:p w14:paraId="5050BE3C" w14:textId="77777777" w:rsidR="00094D21" w:rsidRPr="008F328C" w:rsidRDefault="00094D21" w:rsidP="00094D21">
      <w:pPr>
        <w:pStyle w:val="a3"/>
        <w:rPr>
          <w:lang w:val="pl-PL"/>
        </w:rPr>
      </w:pPr>
    </w:p>
    <w:p w14:paraId="449ED971" w14:textId="77777777" w:rsidR="00094D21" w:rsidRPr="008F328C" w:rsidRDefault="00094D21" w:rsidP="00094D21">
      <w:pPr>
        <w:pStyle w:val="a3"/>
        <w:rPr>
          <w:lang w:val="pl-PL"/>
        </w:rPr>
      </w:pPr>
      <w:r w:rsidRPr="008F328C">
        <w:rPr>
          <w:rFonts w:eastAsia="Times New Roman"/>
          <w:lang w:val="pl-PL"/>
        </w:rPr>
        <w:t>Lek Yuflyma jest wskazany w leczeniu następujących chorób zapalnych:</w:t>
      </w:r>
    </w:p>
    <w:p w14:paraId="109014AB" w14:textId="2475C7DD" w:rsidR="00094D21" w:rsidRPr="008F328C" w:rsidRDefault="00094D21" w:rsidP="00094D21">
      <w:pPr>
        <w:pStyle w:val="a3"/>
        <w:numPr>
          <w:ilvl w:val="0"/>
          <w:numId w:val="5"/>
        </w:numPr>
        <w:ind w:left="660" w:hanging="660"/>
        <w:rPr>
          <w:lang w:val="pl-PL"/>
        </w:rPr>
      </w:pPr>
      <w:r w:rsidRPr="008F328C">
        <w:rPr>
          <w:rFonts w:eastAsia="Times New Roman"/>
          <w:lang w:val="pl-PL"/>
        </w:rPr>
        <w:t>reumatoidalnego zapalenia stawów</w:t>
      </w:r>
    </w:p>
    <w:p w14:paraId="027594D4"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łuszczycy zwyczajnej (plackowatej)</w:t>
      </w:r>
    </w:p>
    <w:p w14:paraId="73DB3F09"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ropnego zapalenia apokrynowych gruczołów potowych</w:t>
      </w:r>
    </w:p>
    <w:p w14:paraId="3D0E3B0D"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choroby Leśniowskiego-Crohna</w:t>
      </w:r>
    </w:p>
    <w:p w14:paraId="65FC3929"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wrzodziejącego zapalenia jelita grubego</w:t>
      </w:r>
    </w:p>
    <w:p w14:paraId="1829D920"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nieinfekcyjnego zapalenia błony naczyniowej oka</w:t>
      </w:r>
    </w:p>
    <w:p w14:paraId="187B6470" w14:textId="77777777" w:rsidR="00094D21" w:rsidRPr="008F328C" w:rsidRDefault="00094D21" w:rsidP="00094D21">
      <w:pPr>
        <w:spacing w:before="10" w:line="240" w:lineRule="exact"/>
        <w:rPr>
          <w:rFonts w:ascii="Times New Roman" w:hAnsi="Times New Roman" w:cs="Times New Roman"/>
          <w:sz w:val="24"/>
          <w:szCs w:val="24"/>
          <w:lang w:val="pl-PL"/>
        </w:rPr>
      </w:pPr>
    </w:p>
    <w:p w14:paraId="50C8DEEC" w14:textId="77777777" w:rsidR="00094D21" w:rsidRPr="008F328C" w:rsidRDefault="00094D21" w:rsidP="00094D21">
      <w:pPr>
        <w:pStyle w:val="a3"/>
        <w:rPr>
          <w:lang w:val="pl-PL"/>
        </w:rPr>
      </w:pPr>
      <w:r w:rsidRPr="008F328C">
        <w:rPr>
          <w:rFonts w:eastAsia="Times New Roman"/>
          <w:lang w:val="pl-PL"/>
        </w:rPr>
        <w:t>Substancja czynna leku Yuflyma, adalimumab, jest ludzkim przeciwciałem monoklonalnym. Przeciwciała monoklonalne są białkami, które wiążą się ze swoistym celem.</w:t>
      </w:r>
    </w:p>
    <w:p w14:paraId="451CF374" w14:textId="77777777" w:rsidR="00094D21" w:rsidRPr="008F328C" w:rsidRDefault="00094D21" w:rsidP="00094D21">
      <w:pPr>
        <w:spacing w:before="16" w:line="240" w:lineRule="exact"/>
        <w:rPr>
          <w:rFonts w:ascii="Times New Roman" w:hAnsi="Times New Roman" w:cs="Times New Roman"/>
          <w:sz w:val="24"/>
          <w:szCs w:val="24"/>
          <w:lang w:val="pl-PL"/>
        </w:rPr>
      </w:pPr>
    </w:p>
    <w:p w14:paraId="02B47C51" w14:textId="77777777" w:rsidR="00094D21" w:rsidRPr="008F328C" w:rsidRDefault="00094D21" w:rsidP="00094D21">
      <w:pPr>
        <w:pStyle w:val="a3"/>
        <w:rPr>
          <w:lang w:val="pl-PL"/>
        </w:rPr>
      </w:pPr>
      <w:r w:rsidRPr="008F328C">
        <w:rPr>
          <w:rFonts w:eastAsia="Times New Roman"/>
          <w:lang w:val="pl-PL"/>
        </w:rPr>
        <w:t xml:space="preserve">Celem adalimumabu jest białko nazywane czynnikiem martwicy nowotworów (TNFα), które uczestniczy </w:t>
      </w:r>
      <w:r w:rsidRPr="008F328C">
        <w:rPr>
          <w:rFonts w:eastAsia="Times New Roman"/>
          <w:lang w:val="pl-PL"/>
        </w:rPr>
        <w:lastRenderedPageBreak/>
        <w:t>w układzie immunologicznym (obronnym) i występuje na zwiększonym poziomie w chorobach zapalnych wymienionych powyżej. Dzięki połączeniu z TNFα, Yuflyma zmniejsza proces zapalny w tych chorobach.</w:t>
      </w:r>
    </w:p>
    <w:p w14:paraId="6111D45D" w14:textId="77777777" w:rsidR="00094D21" w:rsidRPr="008F328C" w:rsidRDefault="00094D21" w:rsidP="00094D21">
      <w:pPr>
        <w:pStyle w:val="a3"/>
        <w:rPr>
          <w:lang w:val="pl-PL"/>
        </w:rPr>
      </w:pPr>
    </w:p>
    <w:p w14:paraId="040CE2AF" w14:textId="77777777" w:rsidR="00094D21" w:rsidRPr="008F328C" w:rsidRDefault="00094D21" w:rsidP="00094D21">
      <w:pPr>
        <w:pStyle w:val="a3"/>
        <w:rPr>
          <w:b/>
          <w:lang w:val="pl-PL"/>
        </w:rPr>
      </w:pPr>
      <w:r w:rsidRPr="008F328C">
        <w:rPr>
          <w:rFonts w:eastAsia="Times New Roman"/>
          <w:b/>
          <w:bCs/>
          <w:lang w:val="pl-PL"/>
        </w:rPr>
        <w:t>Reumatoidalne zapalenie stawów (RZS)</w:t>
      </w:r>
    </w:p>
    <w:p w14:paraId="7D611775" w14:textId="77777777" w:rsidR="00094D21" w:rsidRPr="008F328C" w:rsidRDefault="00094D21" w:rsidP="00094D21">
      <w:pPr>
        <w:pStyle w:val="a3"/>
        <w:rPr>
          <w:u w:val="single"/>
          <w:lang w:val="pl-PL"/>
        </w:rPr>
      </w:pPr>
    </w:p>
    <w:p w14:paraId="10CDD313" w14:textId="77777777" w:rsidR="00094D21" w:rsidRPr="008F328C" w:rsidRDefault="00094D21" w:rsidP="00094D21">
      <w:pPr>
        <w:pStyle w:val="a3"/>
        <w:rPr>
          <w:lang w:val="pl-PL"/>
        </w:rPr>
      </w:pPr>
      <w:r w:rsidRPr="008F328C">
        <w:rPr>
          <w:rFonts w:eastAsia="Times New Roman"/>
          <w:lang w:val="pl-PL"/>
        </w:rPr>
        <w:t>Reumatoidalne zapalenie stawów jest chorobą zapalną stawów.</w:t>
      </w:r>
    </w:p>
    <w:p w14:paraId="43274536" w14:textId="77777777" w:rsidR="00094D21" w:rsidRPr="008F328C" w:rsidRDefault="00094D21" w:rsidP="00094D21">
      <w:pPr>
        <w:spacing w:before="11" w:line="240" w:lineRule="exact"/>
        <w:rPr>
          <w:rFonts w:ascii="Times New Roman" w:hAnsi="Times New Roman" w:cs="Times New Roman"/>
          <w:sz w:val="24"/>
          <w:szCs w:val="24"/>
          <w:lang w:val="pl-PL"/>
        </w:rPr>
      </w:pPr>
    </w:p>
    <w:p w14:paraId="54970321" w14:textId="77777777" w:rsidR="00094D21" w:rsidRPr="008F328C" w:rsidRDefault="00094D21" w:rsidP="00094D21">
      <w:pPr>
        <w:pStyle w:val="a3"/>
        <w:rPr>
          <w:lang w:val="pl-PL"/>
        </w:rPr>
      </w:pPr>
      <w:r w:rsidRPr="008F328C">
        <w:rPr>
          <w:rFonts w:eastAsia="Times New Roman"/>
          <w:lang w:val="pl-PL"/>
        </w:rPr>
        <w:t>Lek Yuflyma jest stosowany w leczeniu reumatoidalnego zapalenia stawów o nasileniu umiarkowanym do ciężkiego u dorosłych. Pacjent może najpierw otrzymywać inne leki modyfikujące przebieg choroby, takie jak metotreksat. W razie braku zadowalającej odpowiedzi na te leki, pacjent otrzyma lek Yuflyma.</w:t>
      </w:r>
    </w:p>
    <w:p w14:paraId="405FF303" w14:textId="77777777" w:rsidR="00094D21" w:rsidRPr="008F328C" w:rsidRDefault="00094D21" w:rsidP="00094D21">
      <w:pPr>
        <w:spacing w:before="17" w:line="240" w:lineRule="exact"/>
        <w:rPr>
          <w:rFonts w:ascii="Times New Roman" w:hAnsi="Times New Roman" w:cs="Times New Roman"/>
          <w:sz w:val="24"/>
          <w:szCs w:val="24"/>
          <w:lang w:val="pl-PL"/>
        </w:rPr>
      </w:pPr>
    </w:p>
    <w:p w14:paraId="3BFA94C1" w14:textId="77777777" w:rsidR="00094D21" w:rsidRPr="008F328C" w:rsidRDefault="00094D21" w:rsidP="00094D21">
      <w:pPr>
        <w:pStyle w:val="a3"/>
        <w:rPr>
          <w:lang w:val="pl-PL"/>
        </w:rPr>
      </w:pPr>
      <w:r w:rsidRPr="008F328C">
        <w:rPr>
          <w:rFonts w:eastAsia="Times New Roman"/>
          <w:lang w:val="pl-PL"/>
        </w:rPr>
        <w:t>Lek Yuflyma można również stosować w leczeniu ciężkiego, czynnego i postępującego reumatoidalnego zapalenia stawów bez uprzedniego leczenia metotreksatem.</w:t>
      </w:r>
    </w:p>
    <w:p w14:paraId="172981B7" w14:textId="77777777" w:rsidR="00094D21" w:rsidRPr="008F328C" w:rsidRDefault="00094D21" w:rsidP="00094D21">
      <w:pPr>
        <w:spacing w:before="11" w:line="240" w:lineRule="exact"/>
        <w:rPr>
          <w:rFonts w:ascii="Times New Roman" w:hAnsi="Times New Roman" w:cs="Times New Roman"/>
          <w:sz w:val="24"/>
          <w:szCs w:val="24"/>
          <w:lang w:val="pl-PL"/>
        </w:rPr>
      </w:pPr>
    </w:p>
    <w:p w14:paraId="2E61F58A" w14:textId="77777777" w:rsidR="00094D21" w:rsidRPr="008F328C" w:rsidRDefault="00094D21" w:rsidP="00094D21">
      <w:pPr>
        <w:pStyle w:val="a3"/>
        <w:rPr>
          <w:lang w:val="pl-PL"/>
        </w:rPr>
      </w:pPr>
      <w:r w:rsidRPr="008F328C">
        <w:rPr>
          <w:rFonts w:eastAsia="Times New Roman"/>
          <w:lang w:val="pl-PL"/>
        </w:rPr>
        <w:t>Lek Yuflyma może spowalniać postęp uszkodzenia stawów spowodowany przez chorobę zapalną i pomóc zwiększyć ruchomość stawów.</w:t>
      </w:r>
    </w:p>
    <w:p w14:paraId="7F15817A" w14:textId="77777777" w:rsidR="00094D21" w:rsidRPr="008F328C" w:rsidRDefault="00094D21" w:rsidP="00094D21">
      <w:pPr>
        <w:spacing w:before="10" w:line="240" w:lineRule="exact"/>
        <w:rPr>
          <w:rFonts w:ascii="Times New Roman" w:hAnsi="Times New Roman" w:cs="Times New Roman"/>
          <w:sz w:val="24"/>
          <w:szCs w:val="24"/>
          <w:lang w:val="pl-PL"/>
        </w:rPr>
      </w:pPr>
    </w:p>
    <w:p w14:paraId="7715170F" w14:textId="77777777" w:rsidR="00094D21" w:rsidRPr="008F328C" w:rsidRDefault="00094D21" w:rsidP="00094D21">
      <w:pPr>
        <w:pStyle w:val="a3"/>
        <w:rPr>
          <w:lang w:val="pl-PL"/>
        </w:rPr>
      </w:pPr>
      <w:r w:rsidRPr="008F328C">
        <w:rPr>
          <w:rFonts w:eastAsia="Times New Roman"/>
          <w:lang w:val="pl-PL"/>
        </w:rPr>
        <w:t>Lekarz zdecyduje, czy lek Yuflyma należy stosować z metotreksatem czy bez metotreksatu.</w:t>
      </w:r>
    </w:p>
    <w:p w14:paraId="6C0CDC00" w14:textId="77777777" w:rsidR="00094D21" w:rsidRPr="008F328C" w:rsidRDefault="00094D21" w:rsidP="00094D21">
      <w:pPr>
        <w:pStyle w:val="a3"/>
        <w:rPr>
          <w:rFonts w:eastAsia="Times New Roman"/>
          <w:lang w:val="pl-PL"/>
        </w:rPr>
      </w:pPr>
    </w:p>
    <w:p w14:paraId="4460E3CF" w14:textId="77777777" w:rsidR="00094D21" w:rsidRPr="008F328C" w:rsidRDefault="00094D21" w:rsidP="00094D21">
      <w:pPr>
        <w:pStyle w:val="a3"/>
        <w:rPr>
          <w:b/>
          <w:lang w:val="pl-PL"/>
        </w:rPr>
      </w:pPr>
      <w:r w:rsidRPr="008F328C">
        <w:rPr>
          <w:rFonts w:eastAsia="Times New Roman"/>
          <w:b/>
          <w:bCs/>
          <w:lang w:val="pl-PL"/>
        </w:rPr>
        <w:t>Łuszczyca zwyczajna (plackowata)</w:t>
      </w:r>
    </w:p>
    <w:p w14:paraId="5410671F" w14:textId="77777777" w:rsidR="00094D21" w:rsidRPr="008F328C" w:rsidRDefault="00094D21" w:rsidP="00094D21">
      <w:pPr>
        <w:spacing w:before="9" w:line="240" w:lineRule="exact"/>
        <w:rPr>
          <w:rFonts w:ascii="Times New Roman" w:hAnsi="Times New Roman" w:cs="Times New Roman"/>
          <w:sz w:val="24"/>
          <w:szCs w:val="24"/>
          <w:lang w:val="pl-PL"/>
        </w:rPr>
      </w:pPr>
    </w:p>
    <w:p w14:paraId="1450F1D2" w14:textId="77777777" w:rsidR="00094D21" w:rsidRPr="008F328C" w:rsidRDefault="00094D21" w:rsidP="00094D21">
      <w:pPr>
        <w:pStyle w:val="a3"/>
        <w:rPr>
          <w:lang w:val="pl-PL"/>
        </w:rPr>
      </w:pPr>
      <w:r w:rsidRPr="008F328C">
        <w:rPr>
          <w:rFonts w:eastAsia="Times New Roman"/>
          <w:lang w:val="pl-PL"/>
        </w:rPr>
        <w:t>Łuszczyca zwyczajna (plackowata) jest chorobą skóry, która powoduje czerwone, złuszczające się zmiany skórne z tworzeniem strupów, pokryte srebrzystą łuską. Zmiany łuszczycowe mogą również występować na paznokciach, powodując ich kruszenie, zgrubienie i oddzielanie się płytki paznokciowej od łożyska paznokcia, co może być bolesne.</w:t>
      </w:r>
    </w:p>
    <w:p w14:paraId="0059CBCD" w14:textId="77777777" w:rsidR="00094D21" w:rsidRPr="008F328C" w:rsidRDefault="00094D21" w:rsidP="00094D21">
      <w:pPr>
        <w:spacing w:before="13" w:line="240" w:lineRule="exact"/>
        <w:rPr>
          <w:rFonts w:ascii="Times New Roman" w:hAnsi="Times New Roman" w:cs="Times New Roman"/>
          <w:sz w:val="24"/>
          <w:szCs w:val="24"/>
          <w:lang w:val="pl-PL"/>
        </w:rPr>
      </w:pPr>
    </w:p>
    <w:p w14:paraId="71C862FE" w14:textId="594B4EC7" w:rsidR="00094D21" w:rsidRPr="008F328C" w:rsidRDefault="00094D21" w:rsidP="008E70FE">
      <w:pPr>
        <w:pStyle w:val="a3"/>
        <w:rPr>
          <w:lang w:val="pl-PL"/>
        </w:rPr>
      </w:pPr>
      <w:r w:rsidRPr="008F328C">
        <w:rPr>
          <w:rFonts w:eastAsia="Times New Roman"/>
          <w:lang w:val="pl-PL"/>
        </w:rPr>
        <w:t>Lek Yuflyma jest stosowany w leczeniu przewlekłej łuszczycy zwyczajnej (plackowatej) o nasileniu umiarkowanym do ciężkiego u dorosłych</w:t>
      </w:r>
      <w:r w:rsidR="00347CF2" w:rsidRPr="008F328C">
        <w:rPr>
          <w:rFonts w:eastAsia="Times New Roman"/>
          <w:lang w:val="pl-PL"/>
        </w:rPr>
        <w:t>.</w:t>
      </w:r>
      <w:r w:rsidRPr="008F328C">
        <w:rPr>
          <w:rFonts w:eastAsia="Times New Roman"/>
          <w:lang w:val="pl-PL"/>
        </w:rPr>
        <w:t xml:space="preserve"> </w:t>
      </w:r>
    </w:p>
    <w:p w14:paraId="2F8A994D" w14:textId="77777777" w:rsidR="00094D21" w:rsidRPr="008F328C" w:rsidRDefault="00094D21" w:rsidP="00094D21">
      <w:pPr>
        <w:pStyle w:val="a3"/>
        <w:numPr>
          <w:ilvl w:val="0"/>
          <w:numId w:val="0"/>
        </w:numPr>
        <w:ind w:left="660"/>
        <w:rPr>
          <w:lang w:val="pl-PL"/>
        </w:rPr>
      </w:pPr>
    </w:p>
    <w:p w14:paraId="7327E1BB" w14:textId="77777777" w:rsidR="00094D21" w:rsidRPr="008F328C" w:rsidRDefault="00094D21" w:rsidP="00094D21">
      <w:pPr>
        <w:pStyle w:val="a3"/>
        <w:rPr>
          <w:b/>
          <w:lang w:val="pl-PL"/>
        </w:rPr>
      </w:pPr>
      <w:r w:rsidRPr="008F328C">
        <w:rPr>
          <w:rFonts w:eastAsia="Times New Roman"/>
          <w:b/>
          <w:bCs/>
          <w:i/>
          <w:iCs/>
          <w:lang w:val="pl-PL"/>
        </w:rPr>
        <w:t>Ropne zapalenie apokrynowych gruczołów potowych</w:t>
      </w:r>
    </w:p>
    <w:p w14:paraId="5C0BBD11" w14:textId="77777777" w:rsidR="00094D21" w:rsidRPr="008F328C" w:rsidRDefault="00094D21" w:rsidP="00094D21">
      <w:pPr>
        <w:spacing w:before="9" w:line="240" w:lineRule="exact"/>
        <w:rPr>
          <w:rFonts w:ascii="Times New Roman" w:hAnsi="Times New Roman" w:cs="Times New Roman"/>
          <w:sz w:val="24"/>
          <w:szCs w:val="24"/>
          <w:lang w:val="pl-PL"/>
        </w:rPr>
      </w:pPr>
    </w:p>
    <w:p w14:paraId="49611203" w14:textId="77777777" w:rsidR="00094D21" w:rsidRPr="008F328C" w:rsidRDefault="00094D21" w:rsidP="00094D21">
      <w:pPr>
        <w:pStyle w:val="a3"/>
        <w:rPr>
          <w:lang w:val="pl-PL"/>
        </w:rPr>
      </w:pPr>
      <w:r w:rsidRPr="008F328C">
        <w:rPr>
          <w:rFonts w:eastAsia="Times New Roman"/>
          <w:lang w:val="pl-PL"/>
        </w:rPr>
        <w:t>Ropne zapalenie apokrynowych gruczołów potowych (niekiedy nazywane trądzikiem odwróconym) jest przewlekłą i często bolesną zapalną chorobą skóry. Objawami mogą być tkliwe guzki i ropnie, z których może wyciekać ropa. Zmiany najczęściej występują na określonych obszarach skóry, takich jak w fałdach podpiersiowych, w pachach, na wewnętrznych powierzchniach ud, w pachwinach i na pośladkach. W zmienionych chorobowo obszarach skóry może również dojść do powstawania blizn.</w:t>
      </w:r>
    </w:p>
    <w:p w14:paraId="2BFCD8F4" w14:textId="77777777" w:rsidR="00094D21" w:rsidRPr="008F328C" w:rsidRDefault="00094D21" w:rsidP="00094D21">
      <w:pPr>
        <w:spacing w:before="13" w:line="240" w:lineRule="exact"/>
        <w:rPr>
          <w:rFonts w:ascii="Times New Roman" w:hAnsi="Times New Roman" w:cs="Times New Roman"/>
          <w:sz w:val="24"/>
          <w:szCs w:val="24"/>
          <w:lang w:val="pl-PL"/>
        </w:rPr>
      </w:pPr>
    </w:p>
    <w:p w14:paraId="1E1BD6A5" w14:textId="77777777" w:rsidR="00094D21" w:rsidRPr="008F328C" w:rsidRDefault="00094D21" w:rsidP="00094D21">
      <w:pPr>
        <w:pStyle w:val="a3"/>
        <w:rPr>
          <w:lang w:val="pl-PL"/>
        </w:rPr>
      </w:pPr>
      <w:r w:rsidRPr="008F328C">
        <w:rPr>
          <w:rFonts w:eastAsia="Times New Roman"/>
          <w:lang w:val="pl-PL"/>
        </w:rPr>
        <w:t xml:space="preserve">Lek Yuflyma jest stosowany w leczeniu </w:t>
      </w:r>
    </w:p>
    <w:p w14:paraId="2D062EC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dorosłych oraz</w:t>
      </w:r>
    </w:p>
    <w:p w14:paraId="613DD3B9"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młodzieży w wieku od 12 do 17 lat.</w:t>
      </w:r>
    </w:p>
    <w:p w14:paraId="1BF03FF8" w14:textId="77777777" w:rsidR="00094D21" w:rsidRPr="008F328C" w:rsidRDefault="00094D21" w:rsidP="00094D21">
      <w:pPr>
        <w:spacing w:before="10" w:line="240" w:lineRule="exact"/>
        <w:rPr>
          <w:rFonts w:ascii="Times New Roman" w:hAnsi="Times New Roman" w:cs="Times New Roman"/>
          <w:sz w:val="24"/>
          <w:szCs w:val="24"/>
          <w:lang w:val="pl-PL"/>
        </w:rPr>
      </w:pPr>
    </w:p>
    <w:p w14:paraId="6AD2C5D0" w14:textId="77777777" w:rsidR="00094D21" w:rsidRPr="008F328C" w:rsidRDefault="00094D21" w:rsidP="00094D21">
      <w:pPr>
        <w:pStyle w:val="a3"/>
        <w:rPr>
          <w:lang w:val="pl-PL"/>
        </w:rPr>
      </w:pPr>
      <w:r w:rsidRPr="008F328C">
        <w:rPr>
          <w:rFonts w:eastAsia="Times New Roman"/>
          <w:lang w:val="pl-PL"/>
        </w:rPr>
        <w:t>Yuflyma może zmniejszyć liczbę guzków i ropni spowodowanych przez chorobę oraz ból, który często jest związany z chorobą. Pacjent może najpierw otrzymywać inne leki. W razie braku zadowalającej odpowiedzi na te leki, pacjent otrzyma lek Yuflyma.</w:t>
      </w:r>
    </w:p>
    <w:p w14:paraId="32FBA9A9" w14:textId="77777777" w:rsidR="00094D21" w:rsidRPr="008F328C" w:rsidRDefault="00094D21" w:rsidP="00094D21">
      <w:pPr>
        <w:spacing w:before="18" w:line="240" w:lineRule="exact"/>
        <w:rPr>
          <w:rFonts w:ascii="Times New Roman" w:hAnsi="Times New Roman" w:cs="Times New Roman"/>
          <w:sz w:val="24"/>
          <w:szCs w:val="24"/>
          <w:lang w:val="pl-PL"/>
        </w:rPr>
      </w:pPr>
    </w:p>
    <w:p w14:paraId="7BA87DDA" w14:textId="77777777" w:rsidR="00094D21" w:rsidRPr="008F328C" w:rsidRDefault="00094D21" w:rsidP="00094D21">
      <w:pPr>
        <w:pStyle w:val="a3"/>
        <w:rPr>
          <w:b/>
          <w:lang w:val="pl-PL"/>
        </w:rPr>
      </w:pPr>
      <w:r w:rsidRPr="008F328C">
        <w:rPr>
          <w:rFonts w:eastAsia="Times New Roman"/>
          <w:b/>
          <w:bCs/>
          <w:lang w:val="pl-PL"/>
        </w:rPr>
        <w:t>Choroba Leśniowskiego-Crohna</w:t>
      </w:r>
    </w:p>
    <w:p w14:paraId="09F0FCA6" w14:textId="77777777" w:rsidR="00094D21" w:rsidRPr="008F328C" w:rsidRDefault="00094D21" w:rsidP="00094D21">
      <w:pPr>
        <w:pStyle w:val="a3"/>
        <w:rPr>
          <w:u w:val="single"/>
          <w:lang w:val="pl-PL"/>
        </w:rPr>
      </w:pPr>
    </w:p>
    <w:p w14:paraId="7D1927DF" w14:textId="77777777" w:rsidR="00094D21" w:rsidRPr="008F328C" w:rsidRDefault="00094D21" w:rsidP="00094D21">
      <w:pPr>
        <w:pStyle w:val="a3"/>
        <w:rPr>
          <w:lang w:val="pl-PL"/>
        </w:rPr>
      </w:pPr>
      <w:r w:rsidRPr="008F328C">
        <w:rPr>
          <w:rFonts w:eastAsia="Times New Roman"/>
          <w:lang w:val="pl-PL"/>
        </w:rPr>
        <w:t xml:space="preserve">Choroba Leśniowskiego-Crohna jest chorobą zapalną przewodu pokarmowego. Lek Yuflyma jest stosowany w leczeniu </w:t>
      </w:r>
    </w:p>
    <w:p w14:paraId="491B7F5C"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choroby Leśniowskiego-Crohna o nasileniu umiarkowanym do ciężkiego u dorosłych oraz</w:t>
      </w:r>
    </w:p>
    <w:p w14:paraId="3EF1D53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lastRenderedPageBreak/>
        <w:t>choroby Leśniowskiego-Crohna o nasileniu umiarkowanym do ciężkiego u dzieci i młodzieży w wieku od 6 do 17 lat.</w:t>
      </w:r>
    </w:p>
    <w:p w14:paraId="5E8EB025" w14:textId="77777777" w:rsidR="00094D21" w:rsidRPr="008F328C" w:rsidRDefault="00094D21" w:rsidP="00094D21">
      <w:pPr>
        <w:spacing w:before="16" w:line="240" w:lineRule="exact"/>
        <w:rPr>
          <w:rFonts w:ascii="Times New Roman" w:hAnsi="Times New Roman" w:cs="Times New Roman"/>
          <w:sz w:val="24"/>
          <w:szCs w:val="24"/>
          <w:lang w:val="pl-PL"/>
        </w:rPr>
      </w:pPr>
    </w:p>
    <w:p w14:paraId="2308689D"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14A21B77" w14:textId="77777777" w:rsidR="00094D21" w:rsidRPr="008F328C" w:rsidRDefault="00094D21" w:rsidP="00094D21">
      <w:pPr>
        <w:spacing w:before="15" w:line="240" w:lineRule="exact"/>
        <w:rPr>
          <w:rFonts w:ascii="Times New Roman" w:hAnsi="Times New Roman" w:cs="Times New Roman"/>
          <w:sz w:val="24"/>
          <w:szCs w:val="24"/>
          <w:lang w:val="pl-PL"/>
        </w:rPr>
      </w:pPr>
    </w:p>
    <w:p w14:paraId="2A046233" w14:textId="77777777" w:rsidR="00094D21" w:rsidRPr="008F328C" w:rsidRDefault="00094D21" w:rsidP="00094D21">
      <w:pPr>
        <w:pStyle w:val="a3"/>
        <w:rPr>
          <w:b/>
          <w:lang w:val="pl-PL"/>
        </w:rPr>
      </w:pPr>
      <w:r w:rsidRPr="008F328C">
        <w:rPr>
          <w:rFonts w:eastAsia="Times New Roman"/>
          <w:b/>
          <w:bCs/>
          <w:lang w:val="pl-PL"/>
        </w:rPr>
        <w:t>Wrzodziejące zapalenie jelita grubego (WZJG)</w:t>
      </w:r>
    </w:p>
    <w:p w14:paraId="0537FA53" w14:textId="77777777" w:rsidR="00094D21" w:rsidRPr="008F328C" w:rsidRDefault="00094D21" w:rsidP="00094D21">
      <w:pPr>
        <w:pStyle w:val="a3"/>
        <w:rPr>
          <w:b/>
          <w:lang w:val="pl-PL"/>
        </w:rPr>
      </w:pPr>
    </w:p>
    <w:p w14:paraId="4F8AF3AE" w14:textId="77777777" w:rsidR="00094D21" w:rsidRPr="008F328C" w:rsidRDefault="00094D21" w:rsidP="00094D21">
      <w:pPr>
        <w:pStyle w:val="a3"/>
        <w:rPr>
          <w:lang w:val="pl-PL"/>
        </w:rPr>
      </w:pPr>
      <w:r w:rsidRPr="008F328C">
        <w:rPr>
          <w:rFonts w:eastAsia="Times New Roman"/>
          <w:lang w:val="pl-PL"/>
        </w:rPr>
        <w:t>Wrzodziejące zapalenie jelita grubego jest chorobą zapalną jelita grubego.</w:t>
      </w:r>
    </w:p>
    <w:p w14:paraId="20B33686" w14:textId="77777777" w:rsidR="00094D21" w:rsidRPr="008F328C" w:rsidRDefault="00094D21" w:rsidP="00094D21">
      <w:pPr>
        <w:spacing w:before="17" w:line="240" w:lineRule="exact"/>
        <w:rPr>
          <w:rFonts w:ascii="Times New Roman" w:hAnsi="Times New Roman" w:cs="Times New Roman"/>
          <w:sz w:val="24"/>
          <w:szCs w:val="24"/>
          <w:lang w:val="pl-PL"/>
        </w:rPr>
      </w:pPr>
    </w:p>
    <w:p w14:paraId="163F8421" w14:textId="77777777" w:rsidR="00094D21" w:rsidRPr="008F328C" w:rsidRDefault="00094D21" w:rsidP="00094D21">
      <w:pPr>
        <w:pStyle w:val="a3"/>
        <w:rPr>
          <w:rFonts w:eastAsia="Times New Roman"/>
          <w:lang w:val="pl-PL"/>
        </w:rPr>
      </w:pPr>
      <w:r w:rsidRPr="008F328C">
        <w:rPr>
          <w:rFonts w:eastAsia="Times New Roman"/>
          <w:lang w:val="pl-PL"/>
        </w:rPr>
        <w:t xml:space="preserve">Lek Yuflyma jest stosowany w leczeniu </w:t>
      </w:r>
    </w:p>
    <w:p w14:paraId="1DBCAA7A" w14:textId="77777777" w:rsidR="00094D21" w:rsidRPr="008F328C" w:rsidRDefault="00094D21" w:rsidP="00094D21">
      <w:pPr>
        <w:widowControl/>
        <w:numPr>
          <w:ilvl w:val="0"/>
          <w:numId w:val="114"/>
        </w:numPr>
        <w:tabs>
          <w:tab w:val="left" w:pos="562"/>
        </w:tabs>
        <w:suppressAutoHyphens/>
        <w:ind w:left="567" w:hanging="567"/>
        <w:rPr>
          <w:rFonts w:ascii="Times New Roman" w:hAnsi="Times New Roman" w:cs="Times New Roman"/>
          <w:lang w:val="pl-PL"/>
        </w:rPr>
      </w:pPr>
      <w:r w:rsidRPr="008F328C">
        <w:rPr>
          <w:rFonts w:ascii="Times New Roman" w:eastAsia="Times New Roman" w:hAnsi="Times New Roman" w:cs="Times New Roman"/>
          <w:lang w:val="pl-PL"/>
        </w:rPr>
        <w:t>wrzodziejącego zapalenia jelita grubego o nasileniu umiarkowanym do ciężkiego u dorosłych</w:t>
      </w:r>
      <w:r w:rsidRPr="008F328C">
        <w:rPr>
          <w:rFonts w:ascii="Times New Roman" w:hAnsi="Times New Roman" w:cs="Times New Roman"/>
          <w:lang w:val="pl-PL"/>
        </w:rPr>
        <w:t xml:space="preserve"> oraz</w:t>
      </w:r>
    </w:p>
    <w:p w14:paraId="69E4BE8B" w14:textId="77777777" w:rsidR="00094D21" w:rsidRPr="008F328C" w:rsidRDefault="00094D21" w:rsidP="00094D21">
      <w:pPr>
        <w:pStyle w:val="a4"/>
        <w:widowControl/>
        <w:numPr>
          <w:ilvl w:val="0"/>
          <w:numId w:val="114"/>
        </w:numPr>
        <w:tabs>
          <w:tab w:val="left" w:pos="562"/>
        </w:tabs>
        <w:suppressAutoHyphens/>
        <w:ind w:left="567" w:hanging="567"/>
        <w:rPr>
          <w:rFonts w:ascii="Times New Roman" w:eastAsia="Times New Roman" w:hAnsi="Times New Roman" w:cs="Times New Roman"/>
          <w:lang w:val="pl-PL"/>
        </w:rPr>
      </w:pPr>
      <w:r w:rsidRPr="008F328C">
        <w:rPr>
          <w:rFonts w:ascii="Times New Roman" w:hAnsi="Times New Roman" w:cs="Times New Roman"/>
          <w:lang w:val="pl-PL"/>
        </w:rPr>
        <w:t>wrzodziejącego zapalenia jelita grubego o nasileniu umiarkowanym do ciężkiego u dzieci i młodzieży w wieku od 6 do 17 lat.</w:t>
      </w:r>
      <w:r w:rsidRPr="008F328C">
        <w:rPr>
          <w:rFonts w:ascii="Times New Roman" w:eastAsia="Times New Roman" w:hAnsi="Times New Roman" w:cs="Times New Roman"/>
          <w:lang w:val="pl-PL"/>
        </w:rPr>
        <w:t xml:space="preserve"> </w:t>
      </w:r>
    </w:p>
    <w:p w14:paraId="076ECB7E" w14:textId="77777777" w:rsidR="00094D21" w:rsidRPr="008F328C" w:rsidRDefault="00094D21" w:rsidP="00094D21">
      <w:pPr>
        <w:pStyle w:val="a3"/>
        <w:rPr>
          <w:rFonts w:eastAsia="Times New Roman"/>
          <w:lang w:val="pl-PL"/>
        </w:rPr>
      </w:pPr>
    </w:p>
    <w:p w14:paraId="408150F4"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3C0B729D" w14:textId="77777777" w:rsidR="00094D21" w:rsidRPr="008F328C" w:rsidRDefault="00094D21" w:rsidP="00094D21">
      <w:pPr>
        <w:spacing w:before="15" w:line="240" w:lineRule="exact"/>
        <w:rPr>
          <w:rFonts w:ascii="Times New Roman" w:hAnsi="Times New Roman" w:cs="Times New Roman"/>
          <w:sz w:val="24"/>
          <w:szCs w:val="24"/>
          <w:lang w:val="pl-PL"/>
        </w:rPr>
      </w:pPr>
    </w:p>
    <w:p w14:paraId="1E38BFF0" w14:textId="77777777" w:rsidR="00094D21" w:rsidRPr="008F328C" w:rsidRDefault="00094D21" w:rsidP="00094D21">
      <w:pPr>
        <w:pStyle w:val="a3"/>
        <w:rPr>
          <w:b/>
          <w:lang w:val="pl-PL"/>
        </w:rPr>
      </w:pPr>
      <w:r w:rsidRPr="008F328C">
        <w:rPr>
          <w:rFonts w:eastAsia="Times New Roman"/>
          <w:b/>
          <w:bCs/>
          <w:lang w:val="pl-PL"/>
        </w:rPr>
        <w:t>Nieinfekcyjne zapalenie błony naczyniowej oka</w:t>
      </w:r>
    </w:p>
    <w:p w14:paraId="022817EF" w14:textId="77777777" w:rsidR="00094D21" w:rsidRPr="008F328C" w:rsidRDefault="00094D21" w:rsidP="00094D21">
      <w:pPr>
        <w:pStyle w:val="a3"/>
        <w:rPr>
          <w:lang w:val="pl-PL"/>
        </w:rPr>
      </w:pPr>
    </w:p>
    <w:p w14:paraId="572AD2B6" w14:textId="77777777" w:rsidR="00094D21" w:rsidRPr="008F328C" w:rsidRDefault="00094D21" w:rsidP="00094D21">
      <w:pPr>
        <w:pStyle w:val="a3"/>
        <w:rPr>
          <w:lang w:val="pl-PL"/>
        </w:rPr>
      </w:pPr>
      <w:r w:rsidRPr="008F328C">
        <w:rPr>
          <w:rFonts w:eastAsia="Times New Roman"/>
          <w:lang w:val="pl-PL"/>
        </w:rPr>
        <w:t xml:space="preserve">Nieinfekcyjne zapalenie błony naczyniowej oka jest chorobą zapalną pewnych części gałki ocznej. Lek Yuflyma jest stosowany w leczeniu </w:t>
      </w:r>
    </w:p>
    <w:p w14:paraId="20E27460"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dorosłych z nieinfekcyjnym zapaleniem błony naczyniowej oka – zapaleniem w tylnej części gałki ocznej.</w:t>
      </w:r>
    </w:p>
    <w:p w14:paraId="2A9752B4"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dzieci i młodzieży w wieku od 2 lat z przewlekłym nieinfekcyjnym zapaleniem błony naczyniowej oka – zapaleniem w przedniej części gałki ocznej.</w:t>
      </w:r>
    </w:p>
    <w:p w14:paraId="0A4C9657" w14:textId="77777777" w:rsidR="00094D21" w:rsidRPr="008F328C" w:rsidRDefault="00094D21" w:rsidP="00094D21">
      <w:pPr>
        <w:pStyle w:val="a3"/>
        <w:rPr>
          <w:lang w:val="pl-PL"/>
        </w:rPr>
      </w:pPr>
    </w:p>
    <w:p w14:paraId="37303E01" w14:textId="77777777" w:rsidR="00094D21" w:rsidRPr="008F328C" w:rsidRDefault="00094D21" w:rsidP="00094D21">
      <w:pPr>
        <w:pStyle w:val="a3"/>
        <w:rPr>
          <w:lang w:val="pl-PL"/>
        </w:rPr>
      </w:pPr>
      <w:r w:rsidRPr="008F328C">
        <w:rPr>
          <w:rFonts w:eastAsia="Times New Roman"/>
          <w:lang w:val="pl-PL"/>
        </w:rPr>
        <w:t>To zapalenie może prowadzić do zmniejszenia ostrości widzenia i (lub) obecności zmętnień (mroczków) w oku (czarne punkciki lub nieregularne linie czy fragmenty pajęczyn przemieszczające się w polu widzenia). Lek Yuflyma działa zmniejszając ten stan zapalny.</w:t>
      </w:r>
    </w:p>
    <w:p w14:paraId="50C78142" w14:textId="77777777" w:rsidR="00094D21" w:rsidRPr="008F328C" w:rsidRDefault="00094D21" w:rsidP="00094D21">
      <w:pPr>
        <w:spacing w:before="10" w:line="240" w:lineRule="exact"/>
        <w:rPr>
          <w:rFonts w:ascii="Times New Roman" w:hAnsi="Times New Roman" w:cs="Times New Roman"/>
          <w:sz w:val="24"/>
          <w:szCs w:val="24"/>
          <w:lang w:val="pl-PL"/>
        </w:rPr>
      </w:pPr>
    </w:p>
    <w:p w14:paraId="10B6931A"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7E1ACD3B" w14:textId="792FE917" w:rsidR="00094D21" w:rsidRPr="008F328C" w:rsidRDefault="00094D21" w:rsidP="004142DA">
      <w:pPr>
        <w:spacing w:before="18" w:line="240" w:lineRule="exact"/>
        <w:rPr>
          <w:rFonts w:ascii="Times New Roman" w:hAnsi="Times New Roman" w:cs="Times New Roman"/>
          <w:b/>
          <w:lang w:val="pl-PL"/>
        </w:rPr>
      </w:pPr>
    </w:p>
    <w:p w14:paraId="3E0E0E1E" w14:textId="77777777" w:rsidR="00CC4159" w:rsidRPr="008F328C" w:rsidRDefault="00CC4159" w:rsidP="004142DA">
      <w:pPr>
        <w:spacing w:before="18" w:line="240" w:lineRule="exact"/>
        <w:rPr>
          <w:rFonts w:ascii="Times New Roman" w:hAnsi="Times New Roman" w:cs="Times New Roman"/>
          <w:b/>
          <w:lang w:val="pl-PL"/>
        </w:rPr>
      </w:pPr>
    </w:p>
    <w:p w14:paraId="654044CC" w14:textId="77777777" w:rsidR="00094D21" w:rsidRPr="008F328C" w:rsidRDefault="00094D21" w:rsidP="00094D21">
      <w:pPr>
        <w:pStyle w:val="a4"/>
        <w:numPr>
          <w:ilvl w:val="0"/>
          <w:numId w:val="124"/>
        </w:numPr>
        <w:spacing w:before="18" w:line="240" w:lineRule="exact"/>
        <w:ind w:left="357" w:hanging="357"/>
        <w:rPr>
          <w:rFonts w:ascii="Times New Roman" w:hAnsi="Times New Roman" w:cs="Times New Roman"/>
          <w:lang w:val="pl-PL"/>
        </w:rPr>
      </w:pPr>
      <w:r w:rsidRPr="008F328C">
        <w:rPr>
          <w:rFonts w:ascii="Times New Roman" w:eastAsia="Times New Roman" w:hAnsi="Times New Roman" w:cs="Times New Roman"/>
          <w:b/>
          <w:bCs/>
          <w:lang w:val="pl-PL"/>
        </w:rPr>
        <w:t>Informacje ważne przed przyjęciem leku Yuflyma</w:t>
      </w:r>
      <w:r w:rsidRPr="008F328C">
        <w:rPr>
          <w:rFonts w:ascii="Times New Roman" w:eastAsia="Calibri" w:hAnsi="Times New Roman" w:cs="Times New Roman"/>
          <w:lang w:val="pl-PL"/>
        </w:rPr>
        <w:t xml:space="preserve"> </w:t>
      </w:r>
    </w:p>
    <w:p w14:paraId="6D9C2365" w14:textId="77777777" w:rsidR="00094D21" w:rsidRPr="008F328C" w:rsidRDefault="00094D21" w:rsidP="00094D21">
      <w:pPr>
        <w:spacing w:before="18" w:line="240" w:lineRule="exact"/>
        <w:ind w:left="108"/>
        <w:rPr>
          <w:rFonts w:ascii="Times New Roman" w:hAnsi="Times New Roman" w:cs="Times New Roman"/>
          <w:b/>
          <w:bCs/>
          <w:lang w:val="pl-PL"/>
        </w:rPr>
      </w:pPr>
    </w:p>
    <w:p w14:paraId="1A06B901" w14:textId="77777777" w:rsidR="00094D21" w:rsidRPr="008F328C" w:rsidRDefault="00094D21" w:rsidP="00094D21">
      <w:pPr>
        <w:pStyle w:val="a3"/>
        <w:rPr>
          <w:b/>
          <w:lang w:val="pl-PL"/>
        </w:rPr>
      </w:pPr>
      <w:r w:rsidRPr="008F328C">
        <w:rPr>
          <w:rFonts w:eastAsia="Times New Roman"/>
          <w:b/>
          <w:bCs/>
          <w:lang w:val="pl-PL"/>
        </w:rPr>
        <w:t>Kiedy nie stosować leku Yuflyma:</w:t>
      </w:r>
    </w:p>
    <w:p w14:paraId="0EF410A4" w14:textId="77777777" w:rsidR="00094D21" w:rsidRPr="008F328C" w:rsidRDefault="00094D21" w:rsidP="00094D21">
      <w:pPr>
        <w:pStyle w:val="a3"/>
        <w:rPr>
          <w:b/>
          <w:lang w:val="pl-PL"/>
        </w:rPr>
      </w:pPr>
    </w:p>
    <w:p w14:paraId="442F1CAC"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 ma uczulenie na adalimumab lub którykolwiek z pozostałych składników tego leku (wymienionych w punkcie 6).</w:t>
      </w:r>
    </w:p>
    <w:p w14:paraId="5E6BDC0F" w14:textId="77777777" w:rsidR="00094D21" w:rsidRPr="008F328C" w:rsidRDefault="00094D21" w:rsidP="00094D21">
      <w:pPr>
        <w:pStyle w:val="a3"/>
        <w:numPr>
          <w:ilvl w:val="0"/>
          <w:numId w:val="0"/>
        </w:numPr>
        <w:ind w:left="660"/>
        <w:rPr>
          <w:lang w:val="pl-PL"/>
        </w:rPr>
      </w:pPr>
    </w:p>
    <w:p w14:paraId="6AE602A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czynna gruźlica lub inne ciężkie zakażenia (patrz „Ostrzeżenia i środki ostrożności”). Należy bezwzględnie poinformować lekarza, gdy u pacjenta występują objawy zakażenia, na przykład gorączka, zranienia, uczucie zmęczenia, kłopoty z zębami.</w:t>
      </w:r>
    </w:p>
    <w:p w14:paraId="15011E16" w14:textId="77777777" w:rsidR="00094D21" w:rsidRPr="008F328C" w:rsidRDefault="00094D21" w:rsidP="00094D21">
      <w:pPr>
        <w:pStyle w:val="a3"/>
        <w:numPr>
          <w:ilvl w:val="0"/>
          <w:numId w:val="0"/>
        </w:numPr>
        <w:ind w:left="660"/>
        <w:rPr>
          <w:lang w:val="pl-PL"/>
        </w:rPr>
      </w:pPr>
    </w:p>
    <w:p w14:paraId="66EBDBE0"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umiarkowana lub ciężka niewydolność serca. Należy bezwzględnie poinformować lekarza o poważnej chorobie serca w przeszłości lub obecnie (patrz „Ostrzeżenia i środki ostrożności”).</w:t>
      </w:r>
    </w:p>
    <w:p w14:paraId="015F0ED3" w14:textId="77777777" w:rsidR="00094D21" w:rsidRPr="008F328C" w:rsidRDefault="00094D21" w:rsidP="00094D21">
      <w:pPr>
        <w:spacing w:before="13" w:line="240" w:lineRule="exact"/>
        <w:rPr>
          <w:rFonts w:ascii="Times New Roman" w:hAnsi="Times New Roman" w:cs="Times New Roman"/>
          <w:sz w:val="24"/>
          <w:szCs w:val="24"/>
          <w:lang w:val="pl-PL"/>
        </w:rPr>
      </w:pPr>
    </w:p>
    <w:p w14:paraId="36C85E17" w14:textId="77777777" w:rsidR="00094D21" w:rsidRPr="008F328C" w:rsidRDefault="00094D21" w:rsidP="00094D21">
      <w:pPr>
        <w:pStyle w:val="a3"/>
        <w:rPr>
          <w:b/>
          <w:lang w:val="pl-PL"/>
        </w:rPr>
      </w:pPr>
      <w:r w:rsidRPr="008F328C">
        <w:rPr>
          <w:rFonts w:eastAsia="Times New Roman"/>
          <w:b/>
          <w:bCs/>
          <w:lang w:val="pl-PL"/>
        </w:rPr>
        <w:t>Ostrzeżenia i środki ostrożności</w:t>
      </w:r>
    </w:p>
    <w:p w14:paraId="3FCE5CFE" w14:textId="77777777" w:rsidR="00094D21" w:rsidRPr="008F328C" w:rsidRDefault="00094D21" w:rsidP="00094D21">
      <w:pPr>
        <w:spacing w:before="9" w:line="240" w:lineRule="exact"/>
        <w:rPr>
          <w:rFonts w:ascii="Times New Roman" w:hAnsi="Times New Roman" w:cs="Times New Roman"/>
          <w:sz w:val="24"/>
          <w:szCs w:val="24"/>
          <w:lang w:val="pl-PL"/>
        </w:rPr>
      </w:pPr>
    </w:p>
    <w:p w14:paraId="6AD249E6" w14:textId="77777777" w:rsidR="00094D21" w:rsidRPr="008F328C" w:rsidRDefault="00094D21" w:rsidP="00094D21">
      <w:pPr>
        <w:pStyle w:val="a3"/>
        <w:rPr>
          <w:lang w:val="pl-PL"/>
        </w:rPr>
      </w:pPr>
      <w:r w:rsidRPr="008F328C">
        <w:rPr>
          <w:rFonts w:eastAsia="Times New Roman"/>
          <w:lang w:val="pl-PL"/>
        </w:rPr>
        <w:t>Przed rozpoczęciem stosowania leku Yuflyma należy omówić to z lekarzem lub farmaceutą.</w:t>
      </w:r>
    </w:p>
    <w:p w14:paraId="2069DD4A" w14:textId="77777777" w:rsidR="00094D21" w:rsidRPr="008F328C" w:rsidRDefault="00094D21" w:rsidP="00094D21">
      <w:pPr>
        <w:pStyle w:val="a3"/>
        <w:rPr>
          <w:lang w:val="pl-PL"/>
        </w:rPr>
      </w:pPr>
    </w:p>
    <w:p w14:paraId="185B268B" w14:textId="77777777" w:rsidR="00094D21" w:rsidRPr="008F328C" w:rsidRDefault="00094D21" w:rsidP="00094D21">
      <w:pPr>
        <w:pStyle w:val="a3"/>
        <w:rPr>
          <w:u w:val="single" w:color="000000"/>
          <w:lang w:val="pl-PL"/>
        </w:rPr>
      </w:pPr>
      <w:r w:rsidRPr="008F328C">
        <w:rPr>
          <w:rFonts w:eastAsia="Times New Roman"/>
          <w:u w:val="single" w:color="000000"/>
          <w:lang w:val="pl-PL"/>
        </w:rPr>
        <w:t>Reakcje alergiczne</w:t>
      </w:r>
    </w:p>
    <w:p w14:paraId="7BE260FC" w14:textId="77777777" w:rsidR="00094D21" w:rsidRPr="008F328C" w:rsidRDefault="00094D21" w:rsidP="00094D21">
      <w:pPr>
        <w:pStyle w:val="a3"/>
        <w:rPr>
          <w:u w:val="single"/>
          <w:lang w:val="pl-PL"/>
        </w:rPr>
      </w:pPr>
    </w:p>
    <w:p w14:paraId="36AF901E"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wystąpią reakcje alergiczne z takimi objawami, jak uczucie ucisku w klatce piersiowej, świszczący oddech, zawroty głowy, obrzęk lub wysypka należy przerwać wstrzykiwanie leku Yuflyma i natychmiast skontaktować się z lekarzem, ponieważ w rzadkich przypadkach takie reakcje mogą zagrażać życiu.</w:t>
      </w:r>
    </w:p>
    <w:p w14:paraId="0838B062" w14:textId="77777777" w:rsidR="00094D21" w:rsidRPr="008F328C" w:rsidRDefault="00094D21" w:rsidP="00094D21">
      <w:pPr>
        <w:pStyle w:val="a3"/>
        <w:rPr>
          <w:b/>
          <w:lang w:val="pl-PL"/>
        </w:rPr>
      </w:pPr>
    </w:p>
    <w:p w14:paraId="01D35F25" w14:textId="77777777" w:rsidR="00094D21" w:rsidRPr="008F328C" w:rsidRDefault="00094D21" w:rsidP="00094D21">
      <w:pPr>
        <w:pStyle w:val="a3"/>
        <w:rPr>
          <w:u w:val="single"/>
          <w:lang w:val="pl-PL"/>
        </w:rPr>
      </w:pPr>
      <w:r w:rsidRPr="008F328C">
        <w:rPr>
          <w:rFonts w:eastAsia="Times New Roman"/>
          <w:u w:val="single"/>
          <w:lang w:val="pl-PL"/>
        </w:rPr>
        <w:t>Zakażenia</w:t>
      </w:r>
    </w:p>
    <w:p w14:paraId="24F5C31E" w14:textId="77777777" w:rsidR="00094D21" w:rsidRPr="008F328C" w:rsidRDefault="00094D21" w:rsidP="00094D21">
      <w:pPr>
        <w:pStyle w:val="a3"/>
        <w:rPr>
          <w:b/>
          <w:lang w:val="pl-PL"/>
        </w:rPr>
      </w:pPr>
    </w:p>
    <w:p w14:paraId="034B23FB"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zakażenie, w tym długotrwałe lub miejscowe zakażenie (na przykład owrzodzenie podudzia), przed rozpoczęciem stosowania leku Yuflyma należy poradzić się lekarza. W przypadku wątpliwości należy skontaktować się z lekarzem.</w:t>
      </w:r>
    </w:p>
    <w:p w14:paraId="74B002A3" w14:textId="77777777" w:rsidR="00094D21" w:rsidRPr="008F328C" w:rsidRDefault="00094D21" w:rsidP="00094D21">
      <w:pPr>
        <w:pStyle w:val="a3"/>
        <w:rPr>
          <w:lang w:val="pl-PL"/>
        </w:rPr>
      </w:pPr>
    </w:p>
    <w:p w14:paraId="1F6218BC"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Podczas stosowania leku Yuflyma może się zwiększyć podatność na zakażenia. Ryzyko zakażenia zwiększa się, jeśli pacjent ma problemy z płucami. Mogą to być poważne zakażenia, takie jak:</w:t>
      </w:r>
    </w:p>
    <w:p w14:paraId="115BB5E6"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gruźlica</w:t>
      </w:r>
    </w:p>
    <w:p w14:paraId="065DE49E"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zakażenia spowodowane przez wirusy, grzyby, pasożyty lub bakterie</w:t>
      </w:r>
    </w:p>
    <w:p w14:paraId="5B182D61"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ciężkie zakażenia krwi (posocznica)</w:t>
      </w:r>
    </w:p>
    <w:p w14:paraId="4991D3FB" w14:textId="77777777" w:rsidR="00094D21" w:rsidRPr="008F328C" w:rsidRDefault="00094D21" w:rsidP="00094D21">
      <w:pPr>
        <w:pStyle w:val="a3"/>
        <w:rPr>
          <w:lang w:val="pl-PL"/>
        </w:rPr>
      </w:pPr>
    </w:p>
    <w:p w14:paraId="7A7E13AE"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W rzadkich przypadkach takie zakażenia mogą zagrażać życiu. Należy koniecznie powiedzieć lekarzowi, jeśli u pacjenta wystąpią takie objawy jak gorączka, zranienia, uczucie zmęczenia lub kłopoty z zębami. Lekarz może zalecić czasowe przerwanie stosowania leku Yuflyma.</w:t>
      </w:r>
    </w:p>
    <w:p w14:paraId="51C5EFB3" w14:textId="77777777" w:rsidR="00094D21" w:rsidRPr="008F328C" w:rsidRDefault="00094D21" w:rsidP="00094D21">
      <w:pPr>
        <w:pStyle w:val="a3"/>
        <w:rPr>
          <w:lang w:val="pl-PL"/>
        </w:rPr>
      </w:pPr>
    </w:p>
    <w:p w14:paraId="318978A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poinformować lekarza, jeśli pacjent mieszka lub podróżuje w regionach, gdzie bardzo często występują zakażenia grzybicze (na przykład histoplazmoza, kokcydioidomykoza lub blastomykoza).</w:t>
      </w:r>
    </w:p>
    <w:p w14:paraId="01E745BD" w14:textId="77777777" w:rsidR="00094D21" w:rsidRPr="008F328C" w:rsidRDefault="00094D21" w:rsidP="00094D21">
      <w:pPr>
        <w:pStyle w:val="a3"/>
        <w:rPr>
          <w:lang w:val="pl-PL"/>
        </w:rPr>
      </w:pPr>
    </w:p>
    <w:p w14:paraId="206B22A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poinformować lekarza, jeśli u pacjenta występowały nawracające zakażenia lub inne choroby zwiększające ryzyko wystąpienia zakażeń.</w:t>
      </w:r>
    </w:p>
    <w:p w14:paraId="491E1779" w14:textId="77777777" w:rsidR="00094D21" w:rsidRPr="008F328C" w:rsidRDefault="00094D21" w:rsidP="00094D21">
      <w:pPr>
        <w:pStyle w:val="a3"/>
        <w:numPr>
          <w:ilvl w:val="0"/>
          <w:numId w:val="0"/>
        </w:numPr>
        <w:rPr>
          <w:lang w:val="pl-PL"/>
        </w:rPr>
      </w:pPr>
    </w:p>
    <w:p w14:paraId="22775886"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Pacjenci w wieku powyżej 65 lat mogą być bardziej podatni na zakażenia podczas stosowania leku Yuflyma. Pacjent i lekarz prowadzący powinni zwracać szczególną uwagę na objawy zakażenia w okresie stosowania leku Yuflyma. Należy koniecznie poinformować lekarza w przypadku wystąpienia objawów zakażenia, takich jak gorączka, zranienia, uczucie zmęczenia lub kłopoty z zębami.</w:t>
      </w:r>
    </w:p>
    <w:p w14:paraId="578BBECE" w14:textId="77777777" w:rsidR="00094D21" w:rsidRPr="008F328C" w:rsidRDefault="00094D21" w:rsidP="00094D21">
      <w:pPr>
        <w:spacing w:before="11" w:line="240" w:lineRule="exact"/>
        <w:rPr>
          <w:rFonts w:ascii="Times New Roman" w:hAnsi="Times New Roman" w:cs="Times New Roman"/>
          <w:sz w:val="24"/>
          <w:szCs w:val="24"/>
          <w:lang w:val="pl-PL"/>
        </w:rPr>
      </w:pPr>
    </w:p>
    <w:p w14:paraId="2723D288" w14:textId="77777777" w:rsidR="00094D21" w:rsidRPr="008F328C" w:rsidRDefault="00094D21" w:rsidP="00094D21">
      <w:pPr>
        <w:pStyle w:val="a3"/>
        <w:rPr>
          <w:u w:val="single"/>
          <w:lang w:val="pl-PL"/>
        </w:rPr>
      </w:pPr>
      <w:r w:rsidRPr="008F328C">
        <w:rPr>
          <w:rFonts w:eastAsia="Times New Roman"/>
          <w:u w:val="single" w:color="000000"/>
          <w:lang w:val="pl-PL"/>
        </w:rPr>
        <w:t>Gruźlica</w:t>
      </w:r>
    </w:p>
    <w:p w14:paraId="24508240" w14:textId="77777777" w:rsidR="00094D21" w:rsidRPr="008F328C" w:rsidRDefault="00094D21" w:rsidP="00094D21">
      <w:pPr>
        <w:spacing w:before="4" w:line="190" w:lineRule="exact"/>
        <w:rPr>
          <w:rFonts w:ascii="Times New Roman" w:hAnsi="Times New Roman" w:cs="Times New Roman"/>
          <w:sz w:val="19"/>
          <w:szCs w:val="19"/>
          <w:lang w:val="pl-PL"/>
        </w:rPr>
      </w:pPr>
    </w:p>
    <w:p w14:paraId="3FA198BB"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koniecznie powiedzieć lekarzowi o przebytej gruźlicy lub o bliskich kontaktach z chorym na gruźlicę w przeszłości. Leku Yuflyma nie należy stosować u pacjentów z czynną gruźlicą.</w:t>
      </w:r>
    </w:p>
    <w:p w14:paraId="356D22B7"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otrzymujących lek Yuflyma obserwowano przypadki gruźlicy. Dlatego przed rozpoczęciem podawania leku Yuflym lekarz sprawdzi, czy u pacjenta nie występują zdiagnozowane przez lekarza i odczuwane przez pacjenta objawy gruźlicy. Będzie to dokładna ocena dokonana przez lekarza obejmująca wywiad dotyczący przebytych chorób oraz odpowiednie badania przesiewowe (na przykład zdjęcie rentgenowskie klatki piersiowej i próba tuberkulinowa). Informacje o wykonaniu tych badań i ich wynikach należy wpisać do „</w:t>
      </w:r>
      <w:r w:rsidRPr="008F328C">
        <w:rPr>
          <w:rFonts w:eastAsia="Times New Roman"/>
          <w:b/>
          <w:bCs/>
          <w:lang w:val="pl-PL"/>
        </w:rPr>
        <w:t>Karty Przypominającej dla Pacjenta</w:t>
      </w:r>
      <w:r w:rsidRPr="008F328C">
        <w:rPr>
          <w:rFonts w:eastAsia="Times New Roman"/>
          <w:lang w:val="pl-PL"/>
        </w:rPr>
        <w:t>”.</w:t>
      </w:r>
    </w:p>
    <w:p w14:paraId="36D985B9"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Gruźlica może się rozwinąć podczas terapii, nawet jeśli pacjent otrzymał profilaktyczne leczenie przeciwgruźlicze.</w:t>
      </w:r>
    </w:p>
    <w:p w14:paraId="51EBC95F"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natychmiast poinformować lekarza, jeśli w trakcie leczenia lub po jego zakończeniu wystąpią objawy gruźlicy (na przykład kaszel, który nie ustępuje, utrata masy ciała, obniżenie aktywności, niewielka gorączka) lub innego zakażenia.</w:t>
      </w:r>
    </w:p>
    <w:p w14:paraId="5D992012" w14:textId="77777777" w:rsidR="00094D21" w:rsidRPr="008F328C" w:rsidRDefault="00094D21" w:rsidP="00094D21">
      <w:pPr>
        <w:spacing w:before="11" w:line="240" w:lineRule="exact"/>
        <w:rPr>
          <w:rFonts w:ascii="Times New Roman" w:hAnsi="Times New Roman" w:cs="Times New Roman"/>
          <w:sz w:val="24"/>
          <w:szCs w:val="24"/>
          <w:lang w:val="pl-PL"/>
        </w:rPr>
      </w:pPr>
    </w:p>
    <w:p w14:paraId="56703538" w14:textId="77777777" w:rsidR="00094D21" w:rsidRPr="008F328C" w:rsidRDefault="00094D21" w:rsidP="00094D21">
      <w:pPr>
        <w:pStyle w:val="a3"/>
        <w:rPr>
          <w:u w:val="single"/>
          <w:lang w:val="pl-PL"/>
        </w:rPr>
      </w:pPr>
      <w:r w:rsidRPr="008F328C">
        <w:rPr>
          <w:rFonts w:eastAsia="Times New Roman"/>
          <w:u w:val="single" w:color="000000"/>
          <w:lang w:val="pl-PL"/>
        </w:rPr>
        <w:t>Zapalenie wątroby typu B</w:t>
      </w:r>
    </w:p>
    <w:p w14:paraId="29B687A7" w14:textId="77777777" w:rsidR="00094D21" w:rsidRPr="008F328C" w:rsidRDefault="00094D21" w:rsidP="00094D21">
      <w:pPr>
        <w:spacing w:before="4" w:line="190" w:lineRule="exact"/>
        <w:rPr>
          <w:rFonts w:ascii="Times New Roman" w:hAnsi="Times New Roman" w:cs="Times New Roman"/>
          <w:sz w:val="19"/>
          <w:szCs w:val="19"/>
          <w:lang w:val="pl-PL"/>
        </w:rPr>
      </w:pPr>
    </w:p>
    <w:p w14:paraId="5A7ED12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powiedzieć lekarzowi prowadzącemu, jeśli pacjent jest nosicielem wirusa zapalenia wątroby typu B (HBV), jeśli choruje na zapalenie wątroby typu B lub jeśli sądzi, że należy do grupy zwiększonego ryzyka zakażenia HBV.</w:t>
      </w:r>
    </w:p>
    <w:p w14:paraId="4E29D96C"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Lekarz powinien zlecić wykonanie badań w kierunku zakażenia HBV. U osób będących nosicielami HBV, lek Yuflyma może powodować uaktywnienie się wirusa.</w:t>
      </w:r>
    </w:p>
    <w:p w14:paraId="3686D66E"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W niektórych, rzadkich przypadkach, zwłaszcza u pacjentów przyjmujących inne leki hamujące aktywność układu immunologicznego, reaktywacja HBV może zagrażać życiu.</w:t>
      </w:r>
    </w:p>
    <w:p w14:paraId="6DDD1DC3" w14:textId="77777777" w:rsidR="00094D21" w:rsidRPr="008F328C" w:rsidRDefault="00094D21" w:rsidP="00094D21">
      <w:pPr>
        <w:spacing w:before="11" w:line="240" w:lineRule="exact"/>
        <w:rPr>
          <w:rFonts w:ascii="Times New Roman" w:hAnsi="Times New Roman" w:cs="Times New Roman"/>
          <w:sz w:val="24"/>
          <w:szCs w:val="24"/>
          <w:lang w:val="pl-PL"/>
        </w:rPr>
      </w:pPr>
    </w:p>
    <w:p w14:paraId="56CBBFF1" w14:textId="77777777" w:rsidR="00094D21" w:rsidRPr="008F328C" w:rsidRDefault="00094D21" w:rsidP="00094D21">
      <w:pPr>
        <w:pStyle w:val="a3"/>
        <w:rPr>
          <w:u w:val="single"/>
          <w:lang w:val="pl-PL"/>
        </w:rPr>
      </w:pPr>
      <w:r w:rsidRPr="008F328C">
        <w:rPr>
          <w:rFonts w:eastAsia="Times New Roman"/>
          <w:u w:val="single" w:color="000000"/>
          <w:lang w:val="pl-PL"/>
        </w:rPr>
        <w:t>Zabiegi chirurgiczne lub stomatologiczne</w:t>
      </w:r>
    </w:p>
    <w:p w14:paraId="618F755D" w14:textId="77777777" w:rsidR="00094D21" w:rsidRPr="008F328C" w:rsidRDefault="00094D21" w:rsidP="00094D21">
      <w:pPr>
        <w:spacing w:before="4" w:line="190" w:lineRule="exact"/>
        <w:rPr>
          <w:rFonts w:ascii="Times New Roman" w:hAnsi="Times New Roman" w:cs="Times New Roman"/>
          <w:sz w:val="19"/>
          <w:szCs w:val="19"/>
          <w:lang w:val="pl-PL"/>
        </w:rPr>
      </w:pPr>
    </w:p>
    <w:p w14:paraId="57965171"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W przypadku planowanego zabiegu chirurgicznego lub stomatologicznego należy poinformować lekarza o przyjmowaniu leku Yuflyma. Lekarz może zalecić czasowe przerwanie stosowania leku Yuflyma.</w:t>
      </w:r>
    </w:p>
    <w:p w14:paraId="3CBF4207" w14:textId="77777777" w:rsidR="00094D21" w:rsidRPr="008F328C" w:rsidRDefault="00094D21" w:rsidP="00094D21">
      <w:pPr>
        <w:spacing w:before="8" w:line="240" w:lineRule="exact"/>
        <w:rPr>
          <w:rFonts w:ascii="Times New Roman" w:hAnsi="Times New Roman" w:cs="Times New Roman"/>
          <w:sz w:val="24"/>
          <w:szCs w:val="24"/>
          <w:lang w:val="pl-PL"/>
        </w:rPr>
      </w:pPr>
    </w:p>
    <w:p w14:paraId="1054E88D" w14:textId="77777777" w:rsidR="00094D21" w:rsidRPr="008F328C" w:rsidRDefault="00094D21" w:rsidP="00094D21">
      <w:pPr>
        <w:pStyle w:val="a3"/>
        <w:rPr>
          <w:u w:val="single"/>
          <w:lang w:val="pl-PL"/>
        </w:rPr>
      </w:pPr>
      <w:r w:rsidRPr="008F328C">
        <w:rPr>
          <w:rFonts w:eastAsia="Times New Roman"/>
          <w:u w:val="single" w:color="000000"/>
          <w:lang w:val="pl-PL"/>
        </w:rPr>
        <w:t>Choroby demielinizacyjne</w:t>
      </w:r>
    </w:p>
    <w:p w14:paraId="246A332E" w14:textId="77777777" w:rsidR="00094D21" w:rsidRPr="008F328C" w:rsidRDefault="00094D21" w:rsidP="00094D21">
      <w:pPr>
        <w:spacing w:before="4" w:line="190" w:lineRule="exact"/>
        <w:rPr>
          <w:rFonts w:ascii="Times New Roman" w:hAnsi="Times New Roman" w:cs="Times New Roman"/>
          <w:sz w:val="19"/>
          <w:szCs w:val="19"/>
          <w:lang w:val="pl-PL"/>
        </w:rPr>
      </w:pPr>
    </w:p>
    <w:p w14:paraId="193A29E7"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lub rozwija się choroba demielinizacyjna (choroba, która wpływa na otoczkę mielinową nerwów, taka jak stwardnienie rozsiane), lekarz zdecyduje, czy można u niego zastosować lek Yuflyma lub kontynuować podawanie leku. Należy natychmiast powiedzieć lekarzowi, jeśli u pacjenta wystąpią takie objawy, jak zmiany widzenia, osłabienie kończyn górnych lub dolnych, lub drętwienie, lub mrowienie w którejkolwiek części ciała.</w:t>
      </w:r>
    </w:p>
    <w:p w14:paraId="6766539D" w14:textId="77777777" w:rsidR="00094D21" w:rsidRPr="008F328C" w:rsidRDefault="00094D21" w:rsidP="00094D21">
      <w:pPr>
        <w:spacing w:before="14" w:line="240" w:lineRule="exact"/>
        <w:rPr>
          <w:rFonts w:ascii="Times New Roman" w:hAnsi="Times New Roman" w:cs="Times New Roman"/>
          <w:sz w:val="24"/>
          <w:szCs w:val="24"/>
          <w:lang w:val="pl-PL"/>
        </w:rPr>
      </w:pPr>
    </w:p>
    <w:p w14:paraId="5BA29FED" w14:textId="77777777" w:rsidR="00094D21" w:rsidRPr="008F328C" w:rsidRDefault="00094D21" w:rsidP="00094D21">
      <w:pPr>
        <w:pStyle w:val="a3"/>
        <w:rPr>
          <w:u w:val="single"/>
          <w:lang w:val="pl-PL"/>
        </w:rPr>
      </w:pPr>
      <w:r w:rsidRPr="008F328C">
        <w:rPr>
          <w:rFonts w:eastAsia="Times New Roman"/>
          <w:u w:val="single" w:color="000000"/>
          <w:lang w:val="pl-PL"/>
        </w:rPr>
        <w:t>Szczepienia</w:t>
      </w:r>
    </w:p>
    <w:p w14:paraId="08DE2489" w14:textId="77777777" w:rsidR="00094D21" w:rsidRPr="008F328C" w:rsidRDefault="00094D21" w:rsidP="00094D21">
      <w:pPr>
        <w:spacing w:before="4" w:line="190" w:lineRule="exact"/>
        <w:rPr>
          <w:rFonts w:ascii="Times New Roman" w:hAnsi="Times New Roman" w:cs="Times New Roman"/>
          <w:sz w:val="19"/>
          <w:szCs w:val="19"/>
          <w:lang w:val="pl-PL"/>
        </w:rPr>
      </w:pPr>
    </w:p>
    <w:p w14:paraId="4D2C62A7"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Pewne szczepionki mogą powodować zakażenia i nie należy ich stosować w czasie przyjmowania leku Yuflyma.</w:t>
      </w:r>
    </w:p>
    <w:p w14:paraId="3AD17410" w14:textId="77777777" w:rsidR="00094D21" w:rsidRPr="008F328C" w:rsidRDefault="00094D21" w:rsidP="00094D21">
      <w:pPr>
        <w:spacing w:before="11" w:line="240" w:lineRule="exact"/>
        <w:rPr>
          <w:rFonts w:ascii="Times New Roman" w:hAnsi="Times New Roman" w:cs="Times New Roman"/>
          <w:sz w:val="24"/>
          <w:szCs w:val="24"/>
          <w:lang w:val="pl-PL"/>
        </w:rPr>
      </w:pPr>
    </w:p>
    <w:p w14:paraId="105E6A06"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Przed zastosowaniem każdej szczepionki należy poradzić się lekarza.</w:t>
      </w:r>
    </w:p>
    <w:p w14:paraId="1116245A"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Zaleca się, jeśli to możliwe, aby u dzieci, przed rozpoczęciem leczenia lekiem Yuflyma przeprowadzono wszystkie szczepienia zgodnie z obowiązującym kalendarzem szczepień.</w:t>
      </w:r>
    </w:p>
    <w:p w14:paraId="197D3EB4"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Jeśli kobieta otrzymywała lek Yuflyma w okresie ciąży, u dziecka może występować zwiększone ryzyko zakażenia w okresie do około pięciu miesięcy po przyjęciu przez matkę ostatniej dawki leku w okresie ciąży. Należy koniecznie poinformować lekarzy dziecka i innych pracowników opieki zdrowotnej o przyjmowaniu leku Yuflyma w okresie ciąży, aby mogli zdecydować czy dziecko może otrzymać jakąkolwiek szczepionkę.</w:t>
      </w:r>
    </w:p>
    <w:p w14:paraId="74DB4718" w14:textId="77777777" w:rsidR="00094D21" w:rsidRPr="008F328C" w:rsidRDefault="00094D21" w:rsidP="00094D21">
      <w:pPr>
        <w:spacing w:before="14" w:line="240" w:lineRule="exact"/>
        <w:rPr>
          <w:rFonts w:ascii="Times New Roman" w:hAnsi="Times New Roman" w:cs="Times New Roman"/>
          <w:sz w:val="24"/>
          <w:szCs w:val="24"/>
          <w:lang w:val="pl-PL"/>
        </w:rPr>
      </w:pPr>
    </w:p>
    <w:p w14:paraId="1B435D68" w14:textId="77777777" w:rsidR="00094D21" w:rsidRPr="008F328C" w:rsidRDefault="00094D21" w:rsidP="00094D21">
      <w:pPr>
        <w:pStyle w:val="a3"/>
        <w:rPr>
          <w:u w:val="single"/>
          <w:lang w:val="pl-PL"/>
        </w:rPr>
      </w:pPr>
      <w:r w:rsidRPr="008F328C">
        <w:rPr>
          <w:rFonts w:eastAsia="Times New Roman"/>
          <w:u w:val="single" w:color="000000"/>
          <w:lang w:val="pl-PL"/>
        </w:rPr>
        <w:t>Niewydolność serca</w:t>
      </w:r>
    </w:p>
    <w:p w14:paraId="026311A9" w14:textId="77777777" w:rsidR="00094D21" w:rsidRPr="008F328C" w:rsidRDefault="00094D21" w:rsidP="00094D21">
      <w:pPr>
        <w:spacing w:before="4" w:line="190" w:lineRule="exact"/>
        <w:rPr>
          <w:rFonts w:ascii="Times New Roman" w:hAnsi="Times New Roman" w:cs="Times New Roman"/>
          <w:sz w:val="19"/>
          <w:szCs w:val="19"/>
          <w:lang w:val="pl-PL"/>
        </w:rPr>
      </w:pPr>
    </w:p>
    <w:p w14:paraId="2DA940A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otrzymującego lek Yuflyma występuje łagodna niewydolność serca, lekarz będzie kontrolował stan zdrowia pacjenta. Należy bezwzględnie poinformować lekarza o poważnej chorobie serca w przeszłości lub obecnie. W przypadku wystąpienia nowych objawów niewydolności serca lub nasilenia istniejących objawów (np. duszność lub obrzęki stóp) należy natychmiast skontaktować się z lekarzem. Lekarz prowadzący zdecyduje, czy pacjent powinien otrzymywać lek Yuflyma.</w:t>
      </w:r>
    </w:p>
    <w:p w14:paraId="51234D92" w14:textId="77777777" w:rsidR="00094D21" w:rsidRPr="008F328C" w:rsidRDefault="00094D21" w:rsidP="00094D21">
      <w:pPr>
        <w:spacing w:before="14" w:line="240" w:lineRule="exact"/>
        <w:rPr>
          <w:rFonts w:ascii="Times New Roman" w:hAnsi="Times New Roman" w:cs="Times New Roman"/>
          <w:sz w:val="24"/>
          <w:szCs w:val="24"/>
          <w:lang w:val="pl-PL"/>
        </w:rPr>
      </w:pPr>
    </w:p>
    <w:p w14:paraId="5263BC45" w14:textId="77777777" w:rsidR="00094D21" w:rsidRPr="008F328C" w:rsidRDefault="00094D21" w:rsidP="00094D21">
      <w:pPr>
        <w:pStyle w:val="a3"/>
        <w:rPr>
          <w:u w:val="single"/>
          <w:lang w:val="pl-PL"/>
        </w:rPr>
      </w:pPr>
      <w:r w:rsidRPr="008F328C">
        <w:rPr>
          <w:rFonts w:eastAsia="Times New Roman"/>
          <w:u w:val="single" w:color="000000"/>
          <w:lang w:val="pl-PL"/>
        </w:rPr>
        <w:t>Gorączka, siniaki, krwawienia lub bladość</w:t>
      </w:r>
    </w:p>
    <w:p w14:paraId="573A81ED" w14:textId="77777777" w:rsidR="00094D21" w:rsidRPr="008F328C" w:rsidRDefault="00094D21" w:rsidP="00094D21">
      <w:pPr>
        <w:spacing w:before="4" w:line="190" w:lineRule="exact"/>
        <w:rPr>
          <w:rFonts w:ascii="Times New Roman" w:hAnsi="Times New Roman" w:cs="Times New Roman"/>
          <w:sz w:val="19"/>
          <w:szCs w:val="19"/>
          <w:lang w:val="pl-PL"/>
        </w:rPr>
      </w:pPr>
    </w:p>
    <w:p w14:paraId="7A973949"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U niektórych pacjentów dojść może do zmniejszenia wytwarzania komórek krwi pomocnych w zwalczaniu zakażeń lub hamowaniu krwawienia. Lekarz może podjąć decyzję o przerwaniu leczenia. Jeśli u pacjenta wystąpi nieustępująca gorączka, siniaki, skłonność do krwawień lub bladość należy natychmiast skontaktować się z lekarzem.</w:t>
      </w:r>
    </w:p>
    <w:p w14:paraId="167D9DB5" w14:textId="77777777" w:rsidR="00094D21" w:rsidRPr="008F328C" w:rsidRDefault="00094D21" w:rsidP="00094D21">
      <w:pPr>
        <w:pStyle w:val="a3"/>
        <w:rPr>
          <w:u w:val="single"/>
          <w:lang w:val="pl-PL"/>
        </w:rPr>
      </w:pPr>
    </w:p>
    <w:p w14:paraId="6C17E9B7" w14:textId="77777777" w:rsidR="00094D21" w:rsidRPr="008F328C" w:rsidRDefault="00094D21" w:rsidP="00094D21">
      <w:pPr>
        <w:pStyle w:val="a3"/>
        <w:rPr>
          <w:u w:val="single"/>
          <w:lang w:val="pl-PL"/>
        </w:rPr>
      </w:pPr>
      <w:r w:rsidRPr="008F328C">
        <w:rPr>
          <w:rFonts w:eastAsia="Times New Roman"/>
          <w:u w:val="single"/>
          <w:lang w:val="pl-PL"/>
        </w:rPr>
        <w:t>Nowotwory</w:t>
      </w:r>
    </w:p>
    <w:p w14:paraId="6C6DFDD3" w14:textId="77777777" w:rsidR="00094D21" w:rsidRPr="008F328C" w:rsidRDefault="00094D21" w:rsidP="00094D21">
      <w:pPr>
        <w:pStyle w:val="a3"/>
        <w:rPr>
          <w:u w:val="single"/>
          <w:lang w:val="pl-PL"/>
        </w:rPr>
      </w:pPr>
    </w:p>
    <w:p w14:paraId="52AF7AAB"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U pacjentów przyjmujących lek Yuflyma lub inne leki blokujące TNF w bardzo rzadkich przypadkach występowały pewne rodzaje nowotworów u dzieci i dorosłych.</w:t>
      </w:r>
    </w:p>
    <w:p w14:paraId="3101C511" w14:textId="77777777" w:rsidR="00094D21" w:rsidRPr="008F328C" w:rsidRDefault="00094D21" w:rsidP="00094D21">
      <w:pPr>
        <w:pStyle w:val="a3"/>
        <w:rPr>
          <w:lang w:val="pl-PL"/>
        </w:rPr>
      </w:pPr>
    </w:p>
    <w:p w14:paraId="2BF1F9F0"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osób z cięższą postacią reumatoidalnego zapalenia stawów, chorujących od dłuższego czasu, ryzyko wystąpienia chłoniaka (nowotwór złośliwy układu limfatycznego) oraz białaczki (nowotwór złośliwy krwi i szpiku kostnego) może być większe od przeciętnego.</w:t>
      </w:r>
    </w:p>
    <w:p w14:paraId="7D0E4114"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przyjmujących lek Yuflyma, ryzyko wystąpienia chłoniaka, białaczki lub innych nowotworów złośliwych może być większe. W rzadkich przypadkach u pacjentów przyjmujących lek Yuflyma stwierdzono rzadko występujący, poważny typ chłoniaka. Niektórych z tych pacjentów leczono również azatiopryną lub 6-merkaptopuryną.</w:t>
      </w:r>
    </w:p>
    <w:p w14:paraId="26E394C1"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poinformować lekarza, jeśli pacjent przyjmuje azatioprynę lub 6-merkaptopurynę z lekiem Yuflyma.</w:t>
      </w:r>
    </w:p>
    <w:p w14:paraId="03CE6697"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przyjmujących lek Yuflyma obserwowano przypadki raka skóry niebędącego czerniakiem.</w:t>
      </w:r>
    </w:p>
    <w:p w14:paraId="2042645B"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poinformować lekarza, jeśli podczas leczenia lub po leczeniu pojawią się nowe zmiany skórne, lub jeśli istniejące zmiany zmienią wygląd.</w:t>
      </w:r>
    </w:p>
    <w:p w14:paraId="2E10C50F" w14:textId="77777777" w:rsidR="00094D21" w:rsidRPr="008F328C" w:rsidRDefault="00094D21" w:rsidP="00094D21">
      <w:pPr>
        <w:pStyle w:val="a3"/>
        <w:rPr>
          <w:lang w:val="pl-PL"/>
        </w:rPr>
      </w:pPr>
    </w:p>
    <w:p w14:paraId="5464ADA9"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Przypadki nowotworów złośliwych, innych niż chłoniak, występowały u pacjentów ze szczególnym rodzajem choroby płuc zwanej przewlekłą obturacyjną chorobą płuc (POChP) leczonych innym lekiem blokującym TNF. Jeśli pacjent choruje na POChP lub jest nałogowym palaczem, powinien omówić z lekarzem, czy stosowanie leku blokującego TNF jest dla niego odpowiednie.</w:t>
      </w:r>
    </w:p>
    <w:p w14:paraId="356704BC" w14:textId="77777777" w:rsidR="00094D21" w:rsidRPr="008F328C" w:rsidRDefault="00094D21" w:rsidP="00094D21">
      <w:pPr>
        <w:spacing w:before="11" w:line="240" w:lineRule="exact"/>
        <w:rPr>
          <w:rFonts w:ascii="Times New Roman" w:hAnsi="Times New Roman" w:cs="Times New Roman"/>
          <w:sz w:val="24"/>
          <w:szCs w:val="24"/>
          <w:lang w:val="pl-PL"/>
        </w:rPr>
      </w:pPr>
    </w:p>
    <w:p w14:paraId="4C2D800E" w14:textId="77777777" w:rsidR="00094D21" w:rsidRPr="008F328C" w:rsidRDefault="00094D21" w:rsidP="00094D21">
      <w:pPr>
        <w:pStyle w:val="a3"/>
        <w:rPr>
          <w:u w:val="single"/>
          <w:lang w:val="pl-PL"/>
        </w:rPr>
      </w:pPr>
      <w:r w:rsidRPr="008F328C">
        <w:rPr>
          <w:rFonts w:eastAsia="Times New Roman"/>
          <w:u w:val="single" w:color="000000"/>
          <w:lang w:val="pl-PL"/>
        </w:rPr>
        <w:t>Choroby autoimmunizacyjne</w:t>
      </w:r>
    </w:p>
    <w:p w14:paraId="0896782C" w14:textId="77777777" w:rsidR="00094D21" w:rsidRPr="008F328C" w:rsidRDefault="00094D21" w:rsidP="00094D21">
      <w:pPr>
        <w:spacing w:before="4" w:line="190" w:lineRule="exact"/>
        <w:rPr>
          <w:rFonts w:ascii="Times New Roman" w:hAnsi="Times New Roman" w:cs="Times New Roman"/>
          <w:sz w:val="19"/>
          <w:szCs w:val="19"/>
          <w:lang w:val="pl-PL"/>
        </w:rPr>
      </w:pPr>
    </w:p>
    <w:p w14:paraId="0F8CF6B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W rzadkich przypadkach, leczenie lekiem Yuflyma może powodować zespół toczniopodobny. Należy skontaktować się z lekarzem jeśli wystąpią takie objawy, jak uporczywa niewyjaśniona wysypka, gorączka, bóle stawów lub zmęczenie.</w:t>
      </w:r>
    </w:p>
    <w:p w14:paraId="2DE1B64E" w14:textId="77777777" w:rsidR="00094D21" w:rsidRPr="008F328C" w:rsidRDefault="00094D21" w:rsidP="00094D21">
      <w:pPr>
        <w:spacing w:before="15" w:line="240" w:lineRule="exact"/>
        <w:rPr>
          <w:rFonts w:ascii="Times New Roman" w:hAnsi="Times New Roman" w:cs="Times New Roman"/>
          <w:sz w:val="24"/>
          <w:szCs w:val="24"/>
          <w:lang w:val="pl-PL"/>
        </w:rPr>
      </w:pPr>
    </w:p>
    <w:p w14:paraId="471B906C" w14:textId="77777777" w:rsidR="00094D21" w:rsidRPr="008F328C" w:rsidRDefault="00094D21" w:rsidP="00094D21">
      <w:pPr>
        <w:pStyle w:val="a3"/>
        <w:rPr>
          <w:u w:val="single"/>
          <w:lang w:val="pl-PL"/>
        </w:rPr>
      </w:pPr>
      <w:r w:rsidRPr="008F328C">
        <w:rPr>
          <w:rFonts w:eastAsia="Times New Roman"/>
          <w:u w:val="single"/>
          <w:lang w:val="pl-PL"/>
        </w:rPr>
        <w:t>Dzieci i młodzież</w:t>
      </w:r>
    </w:p>
    <w:p w14:paraId="07806105" w14:textId="77777777" w:rsidR="00094D21" w:rsidRPr="008F328C" w:rsidRDefault="00094D21" w:rsidP="00094D21">
      <w:pPr>
        <w:spacing w:before="10" w:line="240" w:lineRule="exact"/>
        <w:rPr>
          <w:rFonts w:ascii="Times New Roman" w:hAnsi="Times New Roman" w:cs="Times New Roman"/>
          <w:sz w:val="24"/>
          <w:szCs w:val="24"/>
          <w:lang w:val="pl-PL"/>
        </w:rPr>
      </w:pPr>
    </w:p>
    <w:p w14:paraId="6316B1D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Szczepienia: Jeśli to możliwe, przed rozpoczęciem stosowania leku Yuflyma u dziecka należy przeprowadzić wszystkie szczepienia zgodnie z obowiązującym kalendarzem szczepień.</w:t>
      </w:r>
    </w:p>
    <w:p w14:paraId="78B25C33" w14:textId="77777777" w:rsidR="00094D21" w:rsidRPr="008F328C" w:rsidRDefault="00094D21" w:rsidP="00094D21">
      <w:pPr>
        <w:pStyle w:val="a3"/>
        <w:numPr>
          <w:ilvl w:val="0"/>
          <w:numId w:val="0"/>
        </w:numPr>
        <w:rPr>
          <w:lang w:val="pl-PL"/>
        </w:rPr>
      </w:pPr>
    </w:p>
    <w:p w14:paraId="6D880676" w14:textId="77777777" w:rsidR="00094D21" w:rsidRPr="008F328C" w:rsidRDefault="00094D21" w:rsidP="00094D21">
      <w:pPr>
        <w:pStyle w:val="a3"/>
        <w:rPr>
          <w:b/>
          <w:lang w:val="pl-PL"/>
        </w:rPr>
      </w:pPr>
      <w:r w:rsidRPr="008F328C">
        <w:rPr>
          <w:rFonts w:eastAsia="Times New Roman"/>
          <w:b/>
          <w:bCs/>
          <w:lang w:val="pl-PL"/>
        </w:rPr>
        <w:t>Yuflyma a inne leki</w:t>
      </w:r>
    </w:p>
    <w:p w14:paraId="166CD97A" w14:textId="77777777" w:rsidR="00094D21" w:rsidRPr="008F328C" w:rsidRDefault="00094D21" w:rsidP="00094D21">
      <w:pPr>
        <w:pStyle w:val="a3"/>
        <w:rPr>
          <w:b/>
          <w:lang w:val="pl-PL"/>
        </w:rPr>
      </w:pPr>
    </w:p>
    <w:p w14:paraId="68DFD37E" w14:textId="77777777" w:rsidR="00094D21" w:rsidRPr="008F328C" w:rsidRDefault="00094D21" w:rsidP="00094D21">
      <w:pPr>
        <w:pStyle w:val="a3"/>
        <w:rPr>
          <w:lang w:val="pl-PL"/>
        </w:rPr>
      </w:pPr>
      <w:r w:rsidRPr="008F328C">
        <w:rPr>
          <w:rFonts w:eastAsia="Times New Roman"/>
          <w:lang w:val="pl-PL"/>
        </w:rPr>
        <w:t>Należy powiedzieć lekarzowi lub farmaceucie o wszystkich lekach przyjmowanych przez pacjenta obecnie lub ostatnio, a także o lekach, które pacjent planuje przyjmować. Nie należy stosować leku Yuflyma z lekami zawierającymi substancje czynne wymienione poniżej, ponieważ zwiększają ryzyko wystąpienia poważnych zakażeń:</w:t>
      </w:r>
    </w:p>
    <w:p w14:paraId="6DC16F1F" w14:textId="77777777" w:rsidR="00094D21" w:rsidRPr="008F328C" w:rsidRDefault="00094D21" w:rsidP="00094D21">
      <w:pPr>
        <w:pStyle w:val="a3"/>
        <w:rPr>
          <w:lang w:val="pl-PL"/>
        </w:rPr>
      </w:pPr>
    </w:p>
    <w:p w14:paraId="30D0FD1C"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anakinra</w:t>
      </w:r>
    </w:p>
    <w:p w14:paraId="5C8AF6F5"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abatacept.</w:t>
      </w:r>
    </w:p>
    <w:p w14:paraId="5A310266" w14:textId="77777777" w:rsidR="00094D21" w:rsidRPr="008F328C" w:rsidRDefault="00094D21" w:rsidP="00094D21">
      <w:pPr>
        <w:pStyle w:val="a3"/>
        <w:rPr>
          <w:lang w:val="pl-PL"/>
        </w:rPr>
      </w:pPr>
    </w:p>
    <w:p w14:paraId="2535E463" w14:textId="77777777" w:rsidR="00094D21" w:rsidRPr="008F328C" w:rsidRDefault="00094D21" w:rsidP="00094D21">
      <w:pPr>
        <w:pStyle w:val="a3"/>
        <w:rPr>
          <w:lang w:val="pl-PL"/>
        </w:rPr>
      </w:pPr>
      <w:r w:rsidRPr="008F328C">
        <w:rPr>
          <w:rFonts w:eastAsia="Times New Roman"/>
          <w:lang w:val="pl-PL"/>
        </w:rPr>
        <w:t>Lek Yuflyma można przyjmować łącznie z:</w:t>
      </w:r>
    </w:p>
    <w:p w14:paraId="1F8781E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metotreksatem</w:t>
      </w:r>
    </w:p>
    <w:p w14:paraId="2C906ABE"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niektórymi innymi lekami modyfikującymi przebieg choroby (na przykład sulfasalazyna, hydroksychlorochina, leflunomid lub preparaty złota do wstrzykiwań)</w:t>
      </w:r>
    </w:p>
    <w:p w14:paraId="3B5BC85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steroidami lub lekami przeciwbólowymi, w tym z niesteroidowymi lekami przeciwzapalnymi (NLPZ).</w:t>
      </w:r>
    </w:p>
    <w:p w14:paraId="4B21E98E" w14:textId="77777777" w:rsidR="00094D21" w:rsidRPr="008F328C" w:rsidRDefault="00094D21" w:rsidP="00094D21">
      <w:pPr>
        <w:pStyle w:val="a3"/>
        <w:rPr>
          <w:lang w:val="pl-PL"/>
        </w:rPr>
      </w:pPr>
    </w:p>
    <w:p w14:paraId="6F09C3A6" w14:textId="77777777" w:rsidR="00094D21" w:rsidRPr="008F328C" w:rsidRDefault="00094D21" w:rsidP="00094D21">
      <w:pPr>
        <w:pStyle w:val="a3"/>
        <w:rPr>
          <w:lang w:val="pl-PL"/>
        </w:rPr>
      </w:pPr>
      <w:r w:rsidRPr="008F328C">
        <w:rPr>
          <w:rFonts w:eastAsia="Times New Roman"/>
          <w:lang w:val="pl-PL"/>
        </w:rPr>
        <w:t>W razie wątpliwości należy zapytać lekarza.</w:t>
      </w:r>
    </w:p>
    <w:p w14:paraId="64A3BA0D" w14:textId="77777777" w:rsidR="00094D21" w:rsidRPr="008F328C" w:rsidRDefault="00094D21" w:rsidP="00094D21">
      <w:pPr>
        <w:spacing w:before="18" w:line="240" w:lineRule="exact"/>
        <w:rPr>
          <w:rFonts w:ascii="Times New Roman" w:hAnsi="Times New Roman" w:cs="Times New Roman"/>
          <w:sz w:val="24"/>
          <w:szCs w:val="24"/>
          <w:lang w:val="pl-PL"/>
        </w:rPr>
      </w:pPr>
    </w:p>
    <w:p w14:paraId="78258393" w14:textId="77777777" w:rsidR="00094D21" w:rsidRPr="008F328C" w:rsidRDefault="00094D21" w:rsidP="00094D21">
      <w:pPr>
        <w:pStyle w:val="a3"/>
        <w:rPr>
          <w:b/>
          <w:lang w:val="pl-PL"/>
        </w:rPr>
      </w:pPr>
      <w:r w:rsidRPr="008F328C">
        <w:rPr>
          <w:rFonts w:eastAsia="Times New Roman"/>
          <w:b/>
          <w:bCs/>
          <w:lang w:val="pl-PL"/>
        </w:rPr>
        <w:t>Ciąża i karmienie piersią</w:t>
      </w:r>
    </w:p>
    <w:p w14:paraId="52358C19" w14:textId="77777777" w:rsidR="00094D21" w:rsidRPr="008F328C" w:rsidRDefault="00094D21" w:rsidP="00094D21">
      <w:pPr>
        <w:spacing w:before="9" w:line="260" w:lineRule="exact"/>
        <w:rPr>
          <w:rFonts w:ascii="Times New Roman" w:hAnsi="Times New Roman" w:cs="Times New Roman"/>
          <w:sz w:val="26"/>
          <w:szCs w:val="26"/>
          <w:lang w:val="pl-PL"/>
        </w:rPr>
      </w:pPr>
    </w:p>
    <w:p w14:paraId="6B4C71EC"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Pacjentki powinny rozważyć stosowanie odpowiedniej metody zapobiegania ciąży i jej kontynuowanie przez co najmniej 5 miesięcy po przyjęciu ostatniej dawki leku Yuflyma.</w:t>
      </w:r>
    </w:p>
    <w:p w14:paraId="6EBB5894"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pacjentka jest w ciąży, przypuszcza że może być w ciąży lub gdy planuje mieć dziecko, powinna poradzić się lekarza przed zastosowaniem tego leku.</w:t>
      </w:r>
    </w:p>
    <w:p w14:paraId="24420AB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Lek Yuflyma należy stosować w czasie ciąży, tylko jeśli jest to bezwzględnie konieczne.</w:t>
      </w:r>
    </w:p>
    <w:p w14:paraId="14A11BEB"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Zgodnie z badaniami dotyczącymi ciąży, nie występowało wyższe ryzyko wad rozwojowych, kiedy matka przyjmowała lek Yuflyma w okresie ciąży, w porównaniu do matek chorujących na tą samą chorobę, które nie otrzymywały leku Yuflyma.</w:t>
      </w:r>
    </w:p>
    <w:p w14:paraId="03B8C444"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Lek Yuflyma może być stosowany podczas karmienia piersią.</w:t>
      </w:r>
    </w:p>
    <w:p w14:paraId="624E1987"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pacjentka otrzymywała lek Yuflyma w okresie ciąży, u dziecka może występować zwiększone ryzyko zakażenia.</w:t>
      </w:r>
    </w:p>
    <w:p w14:paraId="69362C0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koniecznie poinformować lekarzy dziecka i innych pracowników opieki zdrowotnej o przyjmowaniu leku Yuflyma w okresie ciąży, zanim dziecko otrzyma jakąkolwiek szczepionkę. Więcej informacji o szczepionkach, patrz punkt „Ostrzeżenia i środki ostrożności”.</w:t>
      </w:r>
    </w:p>
    <w:p w14:paraId="5E44F105" w14:textId="77777777" w:rsidR="00094D21" w:rsidRPr="008F328C" w:rsidRDefault="00094D21" w:rsidP="00094D21">
      <w:pPr>
        <w:spacing w:before="15" w:line="240" w:lineRule="exact"/>
        <w:rPr>
          <w:rFonts w:ascii="Times New Roman" w:hAnsi="Times New Roman" w:cs="Times New Roman"/>
          <w:b/>
          <w:sz w:val="24"/>
          <w:szCs w:val="24"/>
          <w:lang w:val="pl-PL"/>
        </w:rPr>
      </w:pPr>
    </w:p>
    <w:p w14:paraId="15DF4827" w14:textId="77777777" w:rsidR="00094D21" w:rsidRPr="008F328C" w:rsidRDefault="00094D21" w:rsidP="00094D21">
      <w:pPr>
        <w:pStyle w:val="a3"/>
        <w:rPr>
          <w:b/>
          <w:lang w:val="pl-PL"/>
        </w:rPr>
      </w:pPr>
      <w:r w:rsidRPr="008F328C">
        <w:rPr>
          <w:rFonts w:eastAsia="Times New Roman"/>
          <w:b/>
          <w:bCs/>
          <w:lang w:val="pl-PL"/>
        </w:rPr>
        <w:t>Prowadzenie pojazdów i obsługiwanie maszyn</w:t>
      </w:r>
    </w:p>
    <w:p w14:paraId="31DFB2E5" w14:textId="77777777" w:rsidR="00094D21" w:rsidRPr="008F328C" w:rsidRDefault="00094D21" w:rsidP="00094D21">
      <w:pPr>
        <w:spacing w:before="12" w:line="240" w:lineRule="exact"/>
        <w:rPr>
          <w:rFonts w:ascii="Times New Roman" w:hAnsi="Times New Roman" w:cs="Times New Roman"/>
          <w:sz w:val="24"/>
          <w:szCs w:val="24"/>
          <w:lang w:val="pl-PL"/>
        </w:rPr>
      </w:pPr>
    </w:p>
    <w:p w14:paraId="6DDED3E7" w14:textId="77777777" w:rsidR="00094D21" w:rsidRPr="008F328C" w:rsidRDefault="00094D21" w:rsidP="00094D21">
      <w:pPr>
        <w:pStyle w:val="a3"/>
        <w:rPr>
          <w:lang w:val="pl-PL"/>
        </w:rPr>
      </w:pPr>
      <w:r w:rsidRPr="008F328C">
        <w:rPr>
          <w:rFonts w:eastAsia="Times New Roman"/>
          <w:lang w:val="pl-PL"/>
        </w:rPr>
        <w:t>Lek Yuflyma może mieć niewielki wpływ na zdolność prowadzenia pojazdów, jazdę na rowerze i obsługę maszyn. Po przyjęciu leku Yuflyma wystąpić może wrażenie wirowania pomieszczenia i zaburzenia widzenia.</w:t>
      </w:r>
    </w:p>
    <w:p w14:paraId="18744785" w14:textId="77777777" w:rsidR="00094D21" w:rsidRPr="008F328C" w:rsidRDefault="00094D21" w:rsidP="00094D21">
      <w:pPr>
        <w:pStyle w:val="a3"/>
        <w:rPr>
          <w:lang w:val="pl-PL"/>
        </w:rPr>
      </w:pPr>
    </w:p>
    <w:p w14:paraId="3FE883DF" w14:textId="3E0C52E6" w:rsidR="00094D21" w:rsidRPr="008F328C" w:rsidRDefault="00D71C09" w:rsidP="00094D21">
      <w:pPr>
        <w:pStyle w:val="a3"/>
        <w:rPr>
          <w:b/>
          <w:lang w:val="pl-PL"/>
        </w:rPr>
      </w:pPr>
      <w:r>
        <w:rPr>
          <w:rFonts w:hint="eastAsia"/>
          <w:b/>
          <w:bCs/>
          <w:lang w:val="pl-PL" w:eastAsia="ko-KR"/>
        </w:rPr>
        <w:t>Yuflyma</w:t>
      </w:r>
      <w:r w:rsidRPr="008F328C">
        <w:rPr>
          <w:rFonts w:eastAsia="Times New Roman"/>
          <w:b/>
          <w:bCs/>
          <w:lang w:val="pl-PL"/>
        </w:rPr>
        <w:t xml:space="preserve"> </w:t>
      </w:r>
      <w:r w:rsidR="00094D21" w:rsidRPr="008F328C">
        <w:rPr>
          <w:rFonts w:eastAsia="Times New Roman"/>
          <w:b/>
          <w:bCs/>
          <w:lang w:val="pl-PL"/>
        </w:rPr>
        <w:t>zawiera sód</w:t>
      </w:r>
    </w:p>
    <w:p w14:paraId="5617D196" w14:textId="77777777" w:rsidR="00094D21" w:rsidRPr="008F328C" w:rsidRDefault="00094D21" w:rsidP="00094D21">
      <w:pPr>
        <w:spacing w:before="12" w:line="240" w:lineRule="exact"/>
        <w:rPr>
          <w:rFonts w:ascii="Times New Roman" w:hAnsi="Times New Roman" w:cs="Times New Roman"/>
          <w:sz w:val="24"/>
          <w:szCs w:val="24"/>
          <w:lang w:val="pl-PL"/>
        </w:rPr>
      </w:pPr>
    </w:p>
    <w:p w14:paraId="6AD03D95" w14:textId="391A1790" w:rsidR="00094D21" w:rsidRPr="008F328C" w:rsidRDefault="00094D21" w:rsidP="00094D21">
      <w:pPr>
        <w:spacing w:line="200" w:lineRule="exact"/>
        <w:rPr>
          <w:rFonts w:ascii="Times New Roman" w:hAnsi="Times New Roman" w:cs="Times New Roman"/>
          <w:sz w:val="20"/>
          <w:szCs w:val="20"/>
          <w:lang w:val="pl-PL"/>
        </w:rPr>
      </w:pPr>
      <w:r w:rsidRPr="008F328C">
        <w:rPr>
          <w:rFonts w:ascii="Times New Roman" w:eastAsia="Times New Roman" w:hAnsi="Times New Roman" w:cs="Times New Roman"/>
          <w:lang w:val="pl-PL"/>
        </w:rPr>
        <w:t>Lek zawiera mniej niż 1 mmol (23</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mg) sodu na dawkę 0,</w:t>
      </w:r>
      <w:r w:rsidR="00791828" w:rsidRPr="008F328C">
        <w:rPr>
          <w:rFonts w:ascii="Times New Roman" w:eastAsia="Times New Roman" w:hAnsi="Times New Roman" w:cs="Times New Roman"/>
          <w:lang w:val="pl-PL"/>
        </w:rPr>
        <w:t>8</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ml, to znaczy lek uznaje się za „wolny od sodu”.</w:t>
      </w:r>
    </w:p>
    <w:p w14:paraId="513DEB14" w14:textId="7B40721D" w:rsidR="00094D21" w:rsidRPr="008F328C" w:rsidRDefault="00094D21" w:rsidP="00094D21">
      <w:pPr>
        <w:spacing w:line="200" w:lineRule="exact"/>
        <w:rPr>
          <w:rFonts w:ascii="Times New Roman" w:hAnsi="Times New Roman" w:cs="Times New Roman"/>
          <w:sz w:val="20"/>
          <w:szCs w:val="20"/>
          <w:lang w:val="pl-PL"/>
        </w:rPr>
      </w:pPr>
    </w:p>
    <w:p w14:paraId="7266AE0E" w14:textId="77777777" w:rsidR="00CC4159" w:rsidRPr="008F328C" w:rsidRDefault="00CC4159" w:rsidP="00094D21">
      <w:pPr>
        <w:spacing w:line="200" w:lineRule="exact"/>
        <w:rPr>
          <w:rFonts w:ascii="Times New Roman" w:hAnsi="Times New Roman" w:cs="Times New Roman"/>
          <w:sz w:val="20"/>
          <w:szCs w:val="20"/>
          <w:lang w:val="pl-PL"/>
        </w:rPr>
      </w:pPr>
    </w:p>
    <w:p w14:paraId="4F70401F" w14:textId="77777777" w:rsidR="00094D21" w:rsidRPr="008F328C" w:rsidRDefault="00094D21" w:rsidP="00094D21">
      <w:pPr>
        <w:pStyle w:val="a4"/>
        <w:numPr>
          <w:ilvl w:val="0"/>
          <w:numId w:val="124"/>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Jak stosować lek Yuflyma</w:t>
      </w:r>
    </w:p>
    <w:p w14:paraId="2058C7A5" w14:textId="77777777" w:rsidR="00094D21" w:rsidRPr="008F328C" w:rsidRDefault="00094D21" w:rsidP="00094D21">
      <w:pPr>
        <w:spacing w:before="9" w:line="240" w:lineRule="exact"/>
        <w:rPr>
          <w:rFonts w:ascii="Times New Roman" w:hAnsi="Times New Roman" w:cs="Times New Roman"/>
          <w:sz w:val="24"/>
          <w:szCs w:val="24"/>
          <w:lang w:val="pl-PL"/>
        </w:rPr>
      </w:pPr>
    </w:p>
    <w:p w14:paraId="08EFCB61" w14:textId="77777777" w:rsidR="00094D21" w:rsidRPr="008F328C" w:rsidRDefault="00094D21" w:rsidP="00094D21">
      <w:pPr>
        <w:pStyle w:val="a3"/>
        <w:rPr>
          <w:lang w:val="pl-PL"/>
        </w:rPr>
      </w:pPr>
      <w:r w:rsidRPr="008F328C">
        <w:rPr>
          <w:rFonts w:eastAsia="Times New Roman"/>
          <w:lang w:val="pl-PL"/>
        </w:rPr>
        <w:t>Ten lek należy zawsze przyjmować zgodnie z zaleceniami lekarza lub farmaceuty. W razie wątpliwości należy zwrócić się do lekarza lub farmaceuty.</w:t>
      </w:r>
    </w:p>
    <w:p w14:paraId="3106FA39" w14:textId="77777777" w:rsidR="00B2198A" w:rsidRPr="008F328C" w:rsidRDefault="00B2198A" w:rsidP="00B2198A">
      <w:pPr>
        <w:spacing w:before="10" w:line="240" w:lineRule="exact"/>
        <w:rPr>
          <w:rFonts w:ascii="Times New Roman" w:hAnsi="Times New Roman" w:cs="Times New Roman"/>
          <w:sz w:val="24"/>
          <w:szCs w:val="24"/>
          <w:lang w:val="pl-PL"/>
        </w:rPr>
      </w:pPr>
    </w:p>
    <w:p w14:paraId="73BA3A4A" w14:textId="29771E23" w:rsidR="00B2198A" w:rsidRDefault="00B2198A" w:rsidP="00B2198A">
      <w:pPr>
        <w:pStyle w:val="a3"/>
        <w:rPr>
          <w:lang w:val="pl-PL"/>
        </w:rPr>
      </w:pPr>
      <w:r w:rsidRPr="001E41EB">
        <w:rPr>
          <w:lang w:val="pl-PL"/>
        </w:rPr>
        <w:t xml:space="preserve">Zalecane dawki leku </w:t>
      </w:r>
      <w:r w:rsidR="00407CE8">
        <w:rPr>
          <w:lang w:val="pl-PL"/>
        </w:rPr>
        <w:t>Yuflyma</w:t>
      </w:r>
      <w:r w:rsidRPr="001E41EB">
        <w:rPr>
          <w:lang w:val="pl-PL"/>
        </w:rPr>
        <w:t xml:space="preserve"> w każdym z zarejestrowanych wskazań przedstawiono w tabeli poniżej. Lekarz może przepisać inną dawkę leku </w:t>
      </w:r>
      <w:r w:rsidR="00407CE8">
        <w:rPr>
          <w:lang w:val="pl-PL"/>
        </w:rPr>
        <w:t>Yuflyma</w:t>
      </w:r>
      <w:r w:rsidRPr="001E41EB">
        <w:rPr>
          <w:lang w:val="pl-PL"/>
        </w:rPr>
        <w:t xml:space="preserve">, jeśli inna dawka leku będzie </w:t>
      </w:r>
      <w:r w:rsidR="00C169C2">
        <w:rPr>
          <w:lang w:val="pl-PL"/>
        </w:rPr>
        <w:t>konieczna</w:t>
      </w:r>
      <w:r w:rsidRPr="001E41EB">
        <w:rPr>
          <w:lang w:val="pl-PL"/>
        </w:rPr>
        <w:t>.</w:t>
      </w:r>
    </w:p>
    <w:p w14:paraId="511B2800" w14:textId="77777777" w:rsidR="00B2198A" w:rsidRPr="008F328C" w:rsidRDefault="00B2198A" w:rsidP="00B2198A">
      <w:pPr>
        <w:pStyle w:val="a3"/>
        <w:rPr>
          <w:rFonts w:eastAsia="Times New Roman"/>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8F328C" w14:paraId="7D0AEC11"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1C12170C" w14:textId="77777777" w:rsidR="00094D21" w:rsidRPr="008F328C" w:rsidRDefault="00094D21" w:rsidP="008A03B2">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Reumatoidalne zapalenie stawów</w:t>
            </w:r>
          </w:p>
        </w:tc>
      </w:tr>
      <w:tr w:rsidR="00094D21" w:rsidRPr="008F328C" w14:paraId="3871D19B"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270F37AC"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0DD77FC1"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1F4CC06B" w14:textId="77777777" w:rsidR="00094D21" w:rsidRPr="008F328C" w:rsidRDefault="00094D21" w:rsidP="008A03B2">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5E7E9047"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213BEDBF"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0182EAAC"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16718747"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3860004" w14:textId="23269EDB" w:rsidR="00094D21" w:rsidRPr="008F328C" w:rsidRDefault="00094D21"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reumatoidalnym zapaleniu stawów</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podczas stosowania leku Yuflyma nadal podaje się metotreksat. Jeśli lekarz stwierdzi, że stosowanie metotreksatu jest niewskazane, można podawać sam lek Yuflyma.</w:t>
            </w:r>
          </w:p>
          <w:p w14:paraId="16BB622D" w14:textId="77777777" w:rsidR="00094D21" w:rsidRPr="008F328C" w:rsidRDefault="00094D21" w:rsidP="008A03B2">
            <w:pPr>
              <w:pStyle w:val="TableParagraph"/>
              <w:spacing w:before="13" w:line="240" w:lineRule="exact"/>
              <w:rPr>
                <w:rFonts w:ascii="Times New Roman" w:hAnsi="Times New Roman" w:cs="Times New Roman"/>
                <w:sz w:val="24"/>
                <w:szCs w:val="24"/>
                <w:lang w:val="pl-PL"/>
              </w:rPr>
            </w:pPr>
          </w:p>
          <w:p w14:paraId="2DB20378" w14:textId="77777777" w:rsidR="00094D21" w:rsidRPr="008F328C" w:rsidRDefault="00094D21" w:rsidP="008A03B2">
            <w:pPr>
              <w:pStyle w:val="TableParagraph"/>
              <w:ind w:left="102" w:right="12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pacjent z reumatoidalnym zapaleniem stawów nie stosuje </w:t>
            </w:r>
            <w:r w:rsidRPr="008F328C">
              <w:rPr>
                <w:rFonts w:ascii="Times New Roman" w:eastAsia="Times New Roman" w:hAnsi="Times New Roman" w:cs="Times New Roman"/>
                <w:spacing w:val="-1"/>
                <w:lang w:val="pl-PL"/>
              </w:rPr>
              <w:lastRenderedPageBreak/>
              <w:t>metotreksatu z lekiem Yuflyma, lekarz może zalecić podawanie leku Yuflyma 40 mg co tydzień lub 80 mg co drugi tydzień.</w:t>
            </w:r>
          </w:p>
        </w:tc>
      </w:tr>
    </w:tbl>
    <w:p w14:paraId="131C7DBC" w14:textId="77777777" w:rsidR="00094D21" w:rsidRPr="008F328C" w:rsidRDefault="00094D21" w:rsidP="00094D21">
      <w:pPr>
        <w:spacing w:before="10" w:line="240" w:lineRule="exact"/>
        <w:rPr>
          <w:rFonts w:ascii="Times New Roman" w:hAnsi="Times New Roman" w:cs="Times New Roman"/>
          <w:sz w:val="24"/>
          <w:szCs w:val="24"/>
          <w:lang w:val="pl-PL"/>
        </w:rPr>
      </w:pPr>
    </w:p>
    <w:p w14:paraId="4710601D" w14:textId="77777777" w:rsidR="00094D21" w:rsidRPr="008F328C" w:rsidRDefault="00094D21" w:rsidP="00094D21">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A5286D" w14:paraId="7FBFB73C"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5A440D51" w14:textId="77777777" w:rsidR="00094D21" w:rsidRPr="008F328C" w:rsidRDefault="00094D21" w:rsidP="008A03B2">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Łuszczyca zwyczajna (plackowata)</w:t>
            </w:r>
          </w:p>
        </w:tc>
      </w:tr>
      <w:tr w:rsidR="00094D21" w:rsidRPr="008F328C" w14:paraId="30ADC1D6"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78E57EB1"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173A3CEC"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303FDD83" w14:textId="77777777" w:rsidR="00094D21" w:rsidRPr="008F328C" w:rsidRDefault="00094D21" w:rsidP="008A03B2">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1D21B1C6"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272C8323"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14F1FE78"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22BBFF43" w14:textId="77777777" w:rsidR="00094D21" w:rsidRPr="008F328C" w:rsidRDefault="00094D21" w:rsidP="008A03B2">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(jeden zastrzyk 80mg w jeden dzień), a następnie po upływie jednego tygodnia od podania pierwszej dawki,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13C73A0"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 jest niewystarczająca, lekarz może zwiększyć dawkowanie do 40 mg co tydzień lub 80 mg co drugi tydzień.</w:t>
            </w:r>
          </w:p>
        </w:tc>
      </w:tr>
    </w:tbl>
    <w:p w14:paraId="71AFB086" w14:textId="77777777" w:rsidR="00094D21" w:rsidRPr="008F328C" w:rsidRDefault="00094D21" w:rsidP="00094D21">
      <w:pPr>
        <w:spacing w:before="7" w:line="90" w:lineRule="exact"/>
        <w:rPr>
          <w:rFonts w:ascii="Times New Roman" w:hAnsi="Times New Roman" w:cs="Times New Roman"/>
          <w:sz w:val="9"/>
          <w:szCs w:val="9"/>
          <w:lang w:val="pl-PL"/>
        </w:rPr>
      </w:pPr>
    </w:p>
    <w:p w14:paraId="7C140A93" w14:textId="77777777" w:rsidR="00094D21" w:rsidRPr="008F328C" w:rsidRDefault="00094D21" w:rsidP="00094D21">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A5286D" w14:paraId="54AF8BF4"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27E69A05" w14:textId="77777777" w:rsidR="00094D21" w:rsidRPr="00AD57EB" w:rsidRDefault="00094D21" w:rsidP="008A03B2">
            <w:pPr>
              <w:pStyle w:val="TableParagraph"/>
              <w:spacing w:line="251"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Ropne zapalenie apokrynowych gruczołów potowych</w:t>
            </w:r>
          </w:p>
        </w:tc>
      </w:tr>
      <w:tr w:rsidR="00094D21" w:rsidRPr="008F328C" w14:paraId="085C2834"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6D98FD2F"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2135E358" w14:textId="77777777" w:rsidR="00094D21" w:rsidRPr="008F328C" w:rsidRDefault="00094D21" w:rsidP="008A03B2">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2B5F76C5"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5D893340"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527F150D" w14:textId="77777777" w:rsidR="00094D21" w:rsidRPr="008F328C" w:rsidRDefault="00094D21" w:rsidP="008A03B2">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70577C78" w14:textId="3DCB81B9"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(dwa zastrzyki 80 mg w ciągu jednego dnia lub jeden zastrzyk 80 mg dziennie przez dwie kolejne datys), a po dwóch tygodniach dawka 80 mg (jeden zastrzyk 80mg w jeden dzień). Po kolejnych dwóch tygodniach należy kontynuować leczenie stosując dawkę 40 mg raz w tygodniu lub 80 mg co drugi tydzień, zgodnie z zaleceniami lekarza.</w:t>
            </w:r>
          </w:p>
        </w:tc>
        <w:tc>
          <w:tcPr>
            <w:tcW w:w="3096" w:type="dxa"/>
            <w:tcBorders>
              <w:top w:val="single" w:sz="5" w:space="0" w:color="000000"/>
              <w:left w:val="single" w:sz="5" w:space="0" w:color="000000"/>
              <w:bottom w:val="single" w:sz="5" w:space="0" w:color="000000"/>
              <w:right w:val="single" w:sz="5" w:space="0" w:color="000000"/>
            </w:tcBorders>
          </w:tcPr>
          <w:p w14:paraId="674F053F" w14:textId="77777777" w:rsidR="00094D21" w:rsidRPr="008F328C" w:rsidRDefault="00094D21" w:rsidP="008A03B2">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Zaleca się codzienne</w:t>
            </w:r>
            <w:r w:rsidRPr="008F328C">
              <w:rPr>
                <w:rFonts w:ascii="Times New Roman" w:eastAsia="Times New Roman" w:hAnsi="Times New Roman" w:cs="Times New Roman"/>
                <w:spacing w:val="-1"/>
                <w:lang w:val="pl-PL"/>
              </w:rPr>
              <w:t xml:space="preserve"> przemywanie zmienionej chorobowo powierzchni skóry środkiem antyseptycznym.</w:t>
            </w:r>
          </w:p>
        </w:tc>
      </w:tr>
      <w:tr w:rsidR="00094D21" w:rsidRPr="00A5286D" w14:paraId="73C7B2B6"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14178596" w14:textId="76D273CD" w:rsidR="00094D21" w:rsidRPr="008F328C" w:rsidRDefault="00094D21"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Młodzież w wieku od 12 do 17 lat,</w:t>
            </w:r>
            <w:r w:rsidR="00B2198A">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656C75F9"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 mg w jeden dzień), a następnie po upływie jednego tygodnia dawka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CF6D14A"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Pr="008F328C">
              <w:rPr>
                <w:rFonts w:ascii="Times New Roman" w:eastAsia="Times New Roman" w:hAnsi="Times New Roman" w:cs="Times New Roman"/>
                <w:lang w:val="pl-PL"/>
              </w:rPr>
              <w:t xml:space="preserve"> na leczenie lekiem Yuflyma 40 mg co drugi tydzień jest niewystarczająca, lekarz może zwiększyć dawkowanie do 40 mg raz w tygodniu lub 80 mg co </w:t>
            </w:r>
            <w:r w:rsidRPr="008F328C">
              <w:rPr>
                <w:rFonts w:ascii="Times New Roman" w:eastAsia="Times New Roman" w:hAnsi="Times New Roman" w:cs="Times New Roman"/>
                <w:spacing w:val="-1"/>
                <w:lang w:val="pl-PL"/>
              </w:rPr>
              <w:t>drugi tydzień.</w:t>
            </w:r>
            <w:r w:rsidRPr="008F328C">
              <w:rPr>
                <w:rFonts w:ascii="Times New Roman" w:eastAsia="Times New Roman" w:hAnsi="Times New Roman" w:cs="Times New Roman"/>
                <w:spacing w:val="-4"/>
                <w:lang w:val="pl-PL"/>
              </w:rPr>
              <w:t xml:space="preserve"> Zaleca się codzienne przemywanie zmienionej chorobowo powierzchni skóry środkiem antyseptycznym</w:t>
            </w:r>
          </w:p>
        </w:tc>
      </w:tr>
    </w:tbl>
    <w:p w14:paraId="4F1FDE1C" w14:textId="77777777" w:rsidR="00094D21" w:rsidRPr="008F328C" w:rsidRDefault="00094D21" w:rsidP="00094D21">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8F328C" w14:paraId="44AC43D3"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1498CAE4" w14:textId="77777777" w:rsidR="00094D21" w:rsidRPr="008F328C" w:rsidRDefault="00094D21" w:rsidP="008A03B2">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Choroba Leśniowskiego-Crohna</w:t>
            </w:r>
          </w:p>
        </w:tc>
      </w:tr>
      <w:tr w:rsidR="00094D21" w:rsidRPr="008F328C" w14:paraId="371BBAB9"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1FB2DBEF"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2BAC10FB" w14:textId="77777777" w:rsidR="00094D21" w:rsidRPr="008F328C" w:rsidRDefault="00094D21" w:rsidP="008A03B2">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031426A8"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55E486EB"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7E3A0E1F" w14:textId="433C5FF0" w:rsidR="00094D21" w:rsidRPr="008F328C" w:rsidRDefault="00094D21"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Dorośli, młodzież i dzieci</w:t>
            </w:r>
            <w:r w:rsidR="00B2198A">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143CBD7D"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80mg w jeden dzień), a po dwóch tygodniach dawka 40 mg.</w:t>
            </w:r>
          </w:p>
          <w:p w14:paraId="793E328F" w14:textId="77777777" w:rsidR="00094D21" w:rsidRPr="008F328C" w:rsidRDefault="00094D21" w:rsidP="008A03B2">
            <w:pPr>
              <w:pStyle w:val="TableParagraph"/>
              <w:spacing w:before="11" w:line="240" w:lineRule="exact"/>
              <w:rPr>
                <w:rFonts w:ascii="Times New Roman" w:hAnsi="Times New Roman" w:cs="Times New Roman"/>
                <w:sz w:val="24"/>
                <w:szCs w:val="24"/>
                <w:lang w:val="pl-PL"/>
              </w:rPr>
            </w:pPr>
          </w:p>
          <w:p w14:paraId="62268318" w14:textId="77777777" w:rsidR="00094D21" w:rsidRPr="008F328C" w:rsidRDefault="00094D21" w:rsidP="008A03B2">
            <w:pPr>
              <w:pStyle w:val="TableParagraph"/>
              <w:ind w:left="102" w:right="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jest konieczne uzyskanie szybszej odpowiedzi na leczenie, lekarz może przepisać pierwszą dawkę 160 mg (dwa zastrzyki 80 mg w ciągu jednego dnia lub </w:t>
            </w:r>
            <w:r w:rsidRPr="008F328C">
              <w:rPr>
                <w:rFonts w:ascii="Times New Roman" w:eastAsia="Times New Roman" w:hAnsi="Times New Roman" w:cs="Times New Roman"/>
                <w:spacing w:val="-1"/>
                <w:lang w:val="pl-PL"/>
              </w:rPr>
              <w:lastRenderedPageBreak/>
              <w:t>jeden zastrzyk 80 mg dziennie przez dwie kolejne datys), a po dwóch tygodniach 80 mg (jeden zastrzyk 80mg w jeden dzień).</w:t>
            </w:r>
          </w:p>
          <w:p w14:paraId="7A802654" w14:textId="77777777" w:rsidR="00094D21" w:rsidRPr="008F328C" w:rsidRDefault="00094D21" w:rsidP="008A03B2">
            <w:pPr>
              <w:pStyle w:val="TableParagraph"/>
              <w:spacing w:before="17" w:line="240" w:lineRule="exact"/>
              <w:rPr>
                <w:rFonts w:ascii="Times New Roman" w:hAnsi="Times New Roman" w:cs="Times New Roman"/>
                <w:sz w:val="24"/>
                <w:szCs w:val="24"/>
                <w:lang w:val="pl-PL"/>
              </w:rPr>
            </w:pPr>
          </w:p>
          <w:p w14:paraId="61BA7750" w14:textId="1BA90257" w:rsidR="00094D21" w:rsidRPr="008F328C" w:rsidRDefault="00094D21">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498030FF"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Lekarz może zwiększyć dawkowanie do 40 mg co tydzień lub 80 mg co drugi tydzień.</w:t>
            </w:r>
          </w:p>
        </w:tc>
      </w:tr>
      <w:tr w:rsidR="00B2198A" w:rsidRPr="00A5286D" w14:paraId="110574A5"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1AD77AE0" w14:textId="569EFC7C" w:rsidR="00B2198A" w:rsidRPr="008F328C" w:rsidRDefault="00B2198A" w:rsidP="00B2198A">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Dzieci i młodzież w wieku od 6 do 17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5791A6E2" w14:textId="4FCBA95F" w:rsidR="00B2198A" w:rsidRPr="00D97EE5" w:rsidRDefault="00B2198A" w:rsidP="008A03B2">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Pierwsza dawka 40 mg, a następnie 20 mg dwa tygodnie później. Jeśli jest konieczne uzyskanie szybszej odpowiedzi na leczenie, lekarz może przepisać pierwszą dawkę 80 mg (jedno wstrzyknięcie dawki 80 mg), a po dwóch tygodniach dawkę 40 mg. 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9BC1F32" w14:textId="2E41C66C" w:rsidR="00B2198A" w:rsidRPr="00D97EE5" w:rsidRDefault="00B2198A" w:rsidP="008A03B2">
            <w:pPr>
              <w:pStyle w:val="TableParagraph"/>
              <w:spacing w:line="246" w:lineRule="exact"/>
              <w:ind w:left="102" w:right="57"/>
              <w:rPr>
                <w:rFonts w:ascii="Times New Roman" w:eastAsia="Times New Roman" w:hAnsi="Times New Roman" w:cs="Times New Roman"/>
                <w:lang w:val="pl-PL"/>
              </w:rPr>
            </w:pPr>
            <w:r w:rsidRPr="00D97EE5">
              <w:rPr>
                <w:rFonts w:ascii="Times New Roman" w:eastAsia="Times New Roman" w:hAnsi="Times New Roman" w:cs="Times New Roman"/>
                <w:lang w:val="pl-PL"/>
              </w:rPr>
              <w:t>Lekarz może zwiększyć częstość podawania dawki do 20 mg co tydzień.</w:t>
            </w:r>
          </w:p>
        </w:tc>
      </w:tr>
    </w:tbl>
    <w:p w14:paraId="3B18CEDF" w14:textId="77777777" w:rsidR="00094D21" w:rsidRPr="008F328C" w:rsidRDefault="00094D21" w:rsidP="00094D21">
      <w:pPr>
        <w:spacing w:before="7" w:line="90" w:lineRule="exact"/>
        <w:rPr>
          <w:rFonts w:ascii="Times New Roman" w:hAnsi="Times New Roman" w:cs="Times New Roman"/>
          <w:sz w:val="9"/>
          <w:szCs w:val="9"/>
          <w:lang w:val="pl-PL"/>
        </w:rPr>
      </w:pPr>
    </w:p>
    <w:p w14:paraId="41C51143" w14:textId="77777777" w:rsidR="00094D21" w:rsidRPr="008F328C" w:rsidRDefault="00094D21" w:rsidP="00094D21">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A5286D" w14:paraId="25DAA209"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4033FF6C" w14:textId="77777777" w:rsidR="00094D21" w:rsidRPr="008F328C" w:rsidRDefault="00094D21" w:rsidP="008A03B2">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Wrzodziejące zapalenie jelita grubego (WZJG)</w:t>
            </w:r>
          </w:p>
        </w:tc>
      </w:tr>
      <w:tr w:rsidR="00094D21" w:rsidRPr="008F328C" w14:paraId="618E3121"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4F86F7E7"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07E14172"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679874CC" w14:textId="77777777" w:rsidR="00094D21" w:rsidRPr="008F328C" w:rsidRDefault="00094D21" w:rsidP="008A03B2">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5EC5B3C3"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2FAF679D"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26FFB168"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3A45A445"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(dwa zastrzyki 80 mg w ciągu jednego dnia lub jeden zastrzyk 80 mg dziennie przez dwie kolejne datys), a po dwóch tygodniach 80 mg (jeden zastrzyk 80mg w jeden dzień).</w:t>
            </w:r>
          </w:p>
          <w:p w14:paraId="1CBBBB78" w14:textId="77777777" w:rsidR="00094D21" w:rsidRPr="008F328C" w:rsidRDefault="00094D21" w:rsidP="008A03B2">
            <w:pPr>
              <w:pStyle w:val="TableParagraph"/>
              <w:spacing w:before="17" w:line="240" w:lineRule="exact"/>
              <w:rPr>
                <w:rFonts w:ascii="Times New Roman" w:hAnsi="Times New Roman" w:cs="Times New Roman"/>
                <w:sz w:val="24"/>
                <w:szCs w:val="24"/>
                <w:lang w:val="pl-PL"/>
              </w:rPr>
            </w:pPr>
          </w:p>
          <w:p w14:paraId="301150CF" w14:textId="02B17065" w:rsidR="00094D21" w:rsidRPr="008F328C" w:rsidRDefault="00094D21">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355DA96"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 dawkowanie do 40 mg co tydzień lub 80 mg co drugi tydzień.</w:t>
            </w:r>
          </w:p>
        </w:tc>
      </w:tr>
      <w:tr w:rsidR="00094D21" w:rsidRPr="00A5286D" w14:paraId="04D33226"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7726B192" w14:textId="77777777" w:rsidR="00094D21" w:rsidRPr="008F328C" w:rsidRDefault="00094D21" w:rsidP="008A03B2">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22772F71" w14:textId="089FD9EC" w:rsidR="00094D21" w:rsidRPr="008F328C" w:rsidRDefault="00094D21" w:rsidP="008A03B2">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w:t>
            </w:r>
            <w:r w:rsidR="00E60CC1"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w:t>
            </w:r>
            <w:r w:rsidR="00E60CC1"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0 mg w ciągu jednej doby), a po dwóch tygodniach dawka 40 mg (jedno wstrzyknięcie dawki 40 mg).</w:t>
            </w:r>
          </w:p>
          <w:p w14:paraId="5163D033" w14:textId="77777777" w:rsidR="00094D21" w:rsidRPr="008F328C" w:rsidRDefault="00094D21" w:rsidP="008A03B2">
            <w:pPr>
              <w:numPr>
                <w:ilvl w:val="12"/>
                <w:numId w:val="0"/>
              </w:numPr>
              <w:ind w:left="102" w:right="57"/>
              <w:rPr>
                <w:rFonts w:ascii="Times New Roman" w:eastAsia="Times New Roman" w:hAnsi="Times New Roman" w:cs="Times New Roman"/>
                <w:spacing w:val="-1"/>
                <w:lang w:val="pl-PL"/>
              </w:rPr>
            </w:pPr>
          </w:p>
          <w:p w14:paraId="46C6FFF2" w14:textId="6C317BF9" w:rsidR="00094D21" w:rsidRPr="008F328C" w:rsidRDefault="00094D21">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5B55C77F" w14:textId="77777777" w:rsidR="00094D21" w:rsidRPr="008F328C" w:rsidRDefault="00094D21" w:rsidP="008A03B2">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r w:rsidR="00094D21" w:rsidRPr="00A5286D" w14:paraId="2C5D9FC2"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35379B92" w14:textId="77777777" w:rsidR="00094D21" w:rsidRPr="008F328C" w:rsidRDefault="00094D21" w:rsidP="008A03B2">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3157F99F" w14:textId="3906BF09" w:rsidR="00094D21" w:rsidRPr="008F328C" w:rsidRDefault="00094D21" w:rsidP="008A03B2">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160 mg (</w:t>
            </w:r>
            <w:r w:rsidR="00E60CC1" w:rsidRPr="008F328C">
              <w:rPr>
                <w:rFonts w:ascii="Times New Roman" w:eastAsia="Times New Roman" w:hAnsi="Times New Roman" w:cs="Times New Roman"/>
                <w:spacing w:val="-1"/>
                <w:lang w:val="pl-PL"/>
              </w:rPr>
              <w:t>dwa</w:t>
            </w:r>
            <w:r w:rsidRPr="008F328C">
              <w:rPr>
                <w:rFonts w:ascii="Times New Roman" w:eastAsia="Times New Roman" w:hAnsi="Times New Roman" w:cs="Times New Roman"/>
                <w:spacing w:val="-1"/>
                <w:lang w:val="pl-PL"/>
              </w:rPr>
              <w:t xml:space="preserve"> wstrzyknięcia dawki </w:t>
            </w:r>
            <w:r w:rsidR="00E60CC1"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 xml:space="preserve">0 mg w ciągu jednej doby lub </w:t>
            </w:r>
            <w:r w:rsidR="00E60CC1"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w:t>
            </w:r>
            <w:r w:rsidR="00E60CC1"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0 mg na dobę przez dwa kolejne dni), a po dwóch tygodniach dawka 80 mg (</w:t>
            </w:r>
            <w:r w:rsidR="00E60CC1"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0 mg w ciągu jednej doby).</w:t>
            </w:r>
          </w:p>
          <w:p w14:paraId="17100A7A" w14:textId="77777777" w:rsidR="00094D21" w:rsidRPr="008F328C" w:rsidRDefault="00094D21" w:rsidP="008A03B2">
            <w:pPr>
              <w:numPr>
                <w:ilvl w:val="12"/>
                <w:numId w:val="0"/>
              </w:numPr>
              <w:ind w:left="102" w:right="57"/>
              <w:rPr>
                <w:rFonts w:ascii="Times New Roman" w:eastAsia="Times New Roman" w:hAnsi="Times New Roman" w:cs="Times New Roman"/>
                <w:spacing w:val="-1"/>
                <w:lang w:val="pl-PL"/>
              </w:rPr>
            </w:pPr>
          </w:p>
          <w:p w14:paraId="796038FE" w14:textId="7E3949D5" w:rsidR="00094D21" w:rsidRPr="008F328C" w:rsidRDefault="00094D21">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Następnie zwykle stosowana dawka wynosi 80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7B775750" w14:textId="77777777" w:rsidR="00094D21" w:rsidRPr="008F328C" w:rsidRDefault="00094D21" w:rsidP="008A03B2">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Należy kontynuować przyjmowanie zwykle stosowanej dawki leku Yuflyma, nawet po ukończeniu 18 lat.</w:t>
            </w:r>
          </w:p>
        </w:tc>
      </w:tr>
    </w:tbl>
    <w:p w14:paraId="1EC6AD85" w14:textId="77777777" w:rsidR="00094D21" w:rsidRPr="008F328C" w:rsidRDefault="00094D21" w:rsidP="00094D21">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094D21" w:rsidRPr="00A5286D" w14:paraId="3B181319" w14:textId="77777777" w:rsidTr="008A03B2">
        <w:tc>
          <w:tcPr>
            <w:tcW w:w="9288" w:type="dxa"/>
            <w:gridSpan w:val="3"/>
            <w:tcBorders>
              <w:top w:val="single" w:sz="5" w:space="0" w:color="000000"/>
              <w:left w:val="single" w:sz="5" w:space="0" w:color="000000"/>
              <w:bottom w:val="single" w:sz="5" w:space="0" w:color="000000"/>
              <w:right w:val="single" w:sz="5" w:space="0" w:color="000000"/>
            </w:tcBorders>
          </w:tcPr>
          <w:p w14:paraId="46FB8B34" w14:textId="77777777" w:rsidR="00094D21" w:rsidRPr="008F328C" w:rsidRDefault="00094D21" w:rsidP="008A03B2">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Nieinfekcyjne zapalenie błony naczyniowej oka</w:t>
            </w:r>
          </w:p>
        </w:tc>
      </w:tr>
      <w:tr w:rsidR="00094D21" w:rsidRPr="008F328C" w14:paraId="485E57E5"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25A16B51"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C9ED5F9"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3483793D" w14:textId="77777777" w:rsidR="00094D21" w:rsidRPr="008F328C" w:rsidRDefault="00094D21" w:rsidP="008A03B2">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32CEF373" w14:textId="77777777" w:rsidR="00094D21" w:rsidRPr="008F328C" w:rsidRDefault="00094D21" w:rsidP="008A03B2">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094D21" w:rsidRPr="00A5286D" w14:paraId="244529F2"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665ED337"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5ED9DBD1"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80mg w jeden dzień), a następnie po upływie jednego tygodnia dawka 40 mg co drugi</w:t>
            </w:r>
          </w:p>
          <w:p w14:paraId="66D2BDE9" w14:textId="77777777" w:rsidR="00094D21" w:rsidRPr="008F328C" w:rsidRDefault="00094D21" w:rsidP="008A03B2">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tydzień.</w:t>
            </w:r>
          </w:p>
        </w:tc>
        <w:tc>
          <w:tcPr>
            <w:tcW w:w="3096" w:type="dxa"/>
            <w:tcBorders>
              <w:top w:val="single" w:sz="5" w:space="0" w:color="000000"/>
              <w:left w:val="single" w:sz="5" w:space="0" w:color="000000"/>
              <w:bottom w:val="single" w:sz="5" w:space="0" w:color="000000"/>
              <w:right w:val="single" w:sz="5" w:space="0" w:color="000000"/>
            </w:tcBorders>
          </w:tcPr>
          <w:p w14:paraId="3DCC7D72"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Podczas stosowania leku Yuflyma można nadal przyjmować kortykosteroidy lub inne leki, które wpływają na układ immunologiczny.</w:t>
            </w:r>
          </w:p>
          <w:p w14:paraId="68F5442C" w14:textId="77777777" w:rsidR="00094D21" w:rsidRPr="008F328C" w:rsidRDefault="00094D21" w:rsidP="008A03B2">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 Yuflyma można również stosować jako jedyny lek</w:t>
            </w:r>
          </w:p>
        </w:tc>
      </w:tr>
      <w:tr w:rsidR="00AD57EB" w:rsidRPr="00A5286D" w14:paraId="27925577"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05F0B25B" w14:textId="76A63B75" w:rsidR="00AD57EB" w:rsidRPr="008F328C" w:rsidRDefault="00AD57EB" w:rsidP="008A03B2">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Dzieci i młodzież w wieku od 2 lat o masie ciała poniżej 30 kg</w:t>
            </w:r>
          </w:p>
        </w:tc>
        <w:tc>
          <w:tcPr>
            <w:tcW w:w="3096" w:type="dxa"/>
            <w:tcBorders>
              <w:top w:val="single" w:sz="5" w:space="0" w:color="000000"/>
              <w:left w:val="single" w:sz="5" w:space="0" w:color="000000"/>
              <w:bottom w:val="single" w:sz="5" w:space="0" w:color="000000"/>
              <w:right w:val="single" w:sz="5" w:space="0" w:color="000000"/>
            </w:tcBorders>
          </w:tcPr>
          <w:p w14:paraId="7DF6FB23" w14:textId="47490B3F" w:rsidR="00AD57EB" w:rsidRPr="008F328C" w:rsidRDefault="00AD57EB" w:rsidP="008A03B2">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70D62C2" w14:textId="6F48C230" w:rsidR="00AD57EB" w:rsidRPr="00AD57EB" w:rsidRDefault="00AD57EB" w:rsidP="008A03B2">
            <w:pPr>
              <w:pStyle w:val="TableParagraph"/>
              <w:spacing w:line="246" w:lineRule="exact"/>
              <w:ind w:left="102" w:right="57"/>
              <w:rPr>
                <w:rFonts w:ascii="Times New Roman" w:eastAsia="Times New Roman" w:hAnsi="Times New Roman" w:cs="Times New Roman"/>
                <w:spacing w:val="-1"/>
                <w:lang w:val="pl-PL"/>
              </w:rPr>
            </w:pPr>
            <w:r w:rsidRPr="00D97EE5">
              <w:rPr>
                <w:rFonts w:ascii="Times New Roman" w:eastAsia="Times New Roman" w:hAnsi="Times New Roman" w:cs="Times New Roman"/>
                <w:spacing w:val="-1"/>
                <w:lang w:val="pl-PL"/>
              </w:rPr>
              <w:t xml:space="preserve">Lekarz może przepisać dawkę początkową 40 mg do podania jeden tydzień przed rozpoczęciem stosowania </w:t>
            </w:r>
            <w:r w:rsidR="00A92FC5">
              <w:rPr>
                <w:rFonts w:ascii="Times New Roman" w:eastAsia="Times New Roman" w:hAnsi="Times New Roman" w:cs="Times New Roman"/>
                <w:spacing w:val="-1"/>
                <w:lang w:val="pl-PL"/>
              </w:rPr>
              <w:t>zazwyczaj stosowanej</w:t>
            </w:r>
            <w:r w:rsidRPr="00D97EE5">
              <w:rPr>
                <w:rFonts w:ascii="Times New Roman" w:eastAsia="Times New Roman" w:hAnsi="Times New Roman" w:cs="Times New Roman"/>
                <w:spacing w:val="-1"/>
                <w:lang w:val="pl-PL"/>
              </w:rPr>
              <w:t xml:space="preserve"> dawki 20 mg co drugi tydzień. Zaleca się stosowanie leku </w:t>
            </w:r>
            <w:r w:rsidR="00407CE8">
              <w:rPr>
                <w:rFonts w:ascii="Times New Roman" w:eastAsia="Times New Roman" w:hAnsi="Times New Roman" w:cs="Times New Roman"/>
                <w:spacing w:val="-1"/>
                <w:lang w:val="pl-PL"/>
              </w:rPr>
              <w:t>Yuflyma</w:t>
            </w:r>
            <w:r w:rsidRPr="00D97EE5">
              <w:rPr>
                <w:rFonts w:ascii="Times New Roman" w:eastAsia="Times New Roman" w:hAnsi="Times New Roman" w:cs="Times New Roman"/>
                <w:spacing w:val="-1"/>
                <w:lang w:val="pl-PL"/>
              </w:rPr>
              <w:t xml:space="preserve"> w połączeniu z metotreksatem.</w:t>
            </w:r>
          </w:p>
        </w:tc>
      </w:tr>
      <w:tr w:rsidR="00094D21" w:rsidRPr="00A5286D" w14:paraId="676E5A41" w14:textId="77777777" w:rsidTr="008A03B2">
        <w:tc>
          <w:tcPr>
            <w:tcW w:w="3096" w:type="dxa"/>
            <w:tcBorders>
              <w:top w:val="single" w:sz="5" w:space="0" w:color="000000"/>
              <w:left w:val="single" w:sz="5" w:space="0" w:color="000000"/>
              <w:bottom w:val="single" w:sz="5" w:space="0" w:color="000000"/>
              <w:right w:val="single" w:sz="5" w:space="0" w:color="000000"/>
            </w:tcBorders>
          </w:tcPr>
          <w:p w14:paraId="0C66FA37"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w:t>
            </w:r>
            <w:r w:rsidRPr="008F328C">
              <w:rPr>
                <w:rFonts w:ascii="Times New Roman" w:eastAsia="Times New Roman" w:hAnsi="Times New Roman" w:cs="Times New Roman"/>
                <w:lang w:val="pl-PL"/>
              </w:rPr>
              <w:t xml:space="preserve">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6599C687"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57620BDF" w14:textId="77777777" w:rsidR="00094D21" w:rsidRPr="008F328C" w:rsidRDefault="00094D21" w:rsidP="008A03B2">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przepisać dawkę początkową 80 mg do podania jeden tydzień przed rozpoczęciem stosowania zwykłej dawki</w:t>
            </w:r>
            <w:r w:rsidRPr="008F328C">
              <w:rPr>
                <w:rFonts w:ascii="Times New Roman" w:eastAsia="Times New Roman" w:hAnsi="Times New Roman" w:cs="Times New Roman"/>
                <w:lang w:val="pl-PL"/>
              </w:rPr>
              <w:t xml:space="preserve"> 40 mg co drugi tydzień. Zaleca się stosowanie leku Yuflyma w połączeniu z metotreksatem.</w:t>
            </w:r>
          </w:p>
        </w:tc>
      </w:tr>
    </w:tbl>
    <w:p w14:paraId="0F894D34" w14:textId="77777777" w:rsidR="00094D21" w:rsidRPr="008F328C" w:rsidRDefault="00094D21" w:rsidP="00094D21">
      <w:pPr>
        <w:pStyle w:val="a3"/>
        <w:rPr>
          <w:lang w:val="pl-PL"/>
        </w:rPr>
      </w:pPr>
    </w:p>
    <w:p w14:paraId="21637259" w14:textId="77777777" w:rsidR="00094D21" w:rsidRPr="008F328C" w:rsidRDefault="00094D21" w:rsidP="00094D21">
      <w:pPr>
        <w:pStyle w:val="a3"/>
        <w:rPr>
          <w:b/>
          <w:lang w:val="pl-PL"/>
        </w:rPr>
      </w:pPr>
      <w:r w:rsidRPr="008F328C">
        <w:rPr>
          <w:rFonts w:eastAsia="Times New Roman"/>
          <w:b/>
          <w:bCs/>
          <w:lang w:val="pl-PL"/>
        </w:rPr>
        <w:t>Sposób i droga podania</w:t>
      </w:r>
    </w:p>
    <w:p w14:paraId="7F268B7B" w14:textId="77777777" w:rsidR="00094D21" w:rsidRPr="008F328C" w:rsidRDefault="00094D21" w:rsidP="00094D21">
      <w:pPr>
        <w:spacing w:before="9" w:line="240" w:lineRule="exact"/>
        <w:rPr>
          <w:rFonts w:ascii="Times New Roman" w:hAnsi="Times New Roman" w:cs="Times New Roman"/>
          <w:sz w:val="24"/>
          <w:szCs w:val="24"/>
          <w:lang w:val="pl-PL"/>
        </w:rPr>
      </w:pPr>
    </w:p>
    <w:p w14:paraId="04C1F502" w14:textId="77777777" w:rsidR="00094D21" w:rsidRPr="008F328C" w:rsidRDefault="00094D21" w:rsidP="00094D21">
      <w:pPr>
        <w:pStyle w:val="a3"/>
        <w:rPr>
          <w:lang w:val="pl-PL"/>
        </w:rPr>
      </w:pPr>
      <w:r w:rsidRPr="008F328C">
        <w:rPr>
          <w:rFonts w:eastAsia="Times New Roman"/>
          <w:lang w:val="pl-PL"/>
        </w:rPr>
        <w:t>Lek Yuflyma podaje się we wstrzyknięciu podskórnym.</w:t>
      </w:r>
    </w:p>
    <w:p w14:paraId="1FE10301" w14:textId="77777777" w:rsidR="00094D21" w:rsidRPr="008F328C" w:rsidRDefault="00094D21" w:rsidP="00094D21">
      <w:pPr>
        <w:spacing w:before="18" w:line="240" w:lineRule="exact"/>
        <w:rPr>
          <w:rFonts w:ascii="Times New Roman" w:hAnsi="Times New Roman" w:cs="Times New Roman"/>
          <w:sz w:val="24"/>
          <w:szCs w:val="24"/>
          <w:lang w:val="pl-PL"/>
        </w:rPr>
      </w:pPr>
    </w:p>
    <w:p w14:paraId="163CF676" w14:textId="77777777" w:rsidR="00094D21" w:rsidRPr="008F328C" w:rsidRDefault="00094D21" w:rsidP="00094D21">
      <w:pPr>
        <w:pStyle w:val="a3"/>
        <w:rPr>
          <w:b/>
          <w:lang w:val="pl-PL"/>
        </w:rPr>
      </w:pPr>
      <w:r w:rsidRPr="008F328C">
        <w:rPr>
          <w:rFonts w:eastAsia="Times New Roman"/>
          <w:b/>
          <w:bCs/>
          <w:lang w:val="pl-PL"/>
        </w:rPr>
        <w:t>Szczegółowe instrukcje jak wstrzykiwać lek Yuflyma podano w punkcie 7. „Instrukcja stosowania</w:t>
      </w:r>
      <w:r w:rsidRPr="008F328C" w:rsidDel="002C2858">
        <w:rPr>
          <w:rFonts w:eastAsia="Times New Roman"/>
          <w:b/>
          <w:bCs/>
          <w:lang w:val="pl-PL"/>
        </w:rPr>
        <w:t xml:space="preserve"> </w:t>
      </w:r>
      <w:r w:rsidRPr="008F328C">
        <w:rPr>
          <w:rFonts w:eastAsia="Times New Roman"/>
          <w:b/>
          <w:bCs/>
          <w:lang w:val="pl-PL"/>
        </w:rPr>
        <w:t>”.</w:t>
      </w:r>
    </w:p>
    <w:p w14:paraId="3BC7D014" w14:textId="77777777" w:rsidR="00094D21" w:rsidRPr="008F328C" w:rsidRDefault="00094D21" w:rsidP="00094D21">
      <w:pPr>
        <w:pStyle w:val="a3"/>
        <w:rPr>
          <w:b/>
          <w:lang w:val="pl-PL"/>
        </w:rPr>
      </w:pPr>
    </w:p>
    <w:p w14:paraId="7B86667B" w14:textId="77777777" w:rsidR="00094D21" w:rsidRPr="008F328C" w:rsidRDefault="00094D21" w:rsidP="00094D21">
      <w:pPr>
        <w:pStyle w:val="a3"/>
        <w:rPr>
          <w:b/>
          <w:lang w:val="pl-PL"/>
        </w:rPr>
      </w:pPr>
      <w:r w:rsidRPr="008F328C">
        <w:rPr>
          <w:rFonts w:eastAsia="Times New Roman"/>
          <w:b/>
          <w:bCs/>
          <w:lang w:val="pl-PL"/>
        </w:rPr>
        <w:t>Przyjęcie większej niż zalecana dawki leku Yuflyma</w:t>
      </w:r>
    </w:p>
    <w:p w14:paraId="6E166701" w14:textId="77777777" w:rsidR="00094D21" w:rsidRPr="008F328C" w:rsidRDefault="00094D21" w:rsidP="00094D21">
      <w:pPr>
        <w:pStyle w:val="a3"/>
        <w:rPr>
          <w:lang w:val="pl-PL"/>
        </w:rPr>
      </w:pPr>
    </w:p>
    <w:p w14:paraId="6C7A87F9" w14:textId="77777777" w:rsidR="00094D21" w:rsidRPr="008F328C" w:rsidRDefault="00094D21" w:rsidP="00094D21">
      <w:pPr>
        <w:pStyle w:val="a3"/>
        <w:rPr>
          <w:lang w:val="pl-PL"/>
        </w:rPr>
      </w:pPr>
      <w:r w:rsidRPr="008F328C">
        <w:rPr>
          <w:rFonts w:eastAsia="Times New Roman"/>
          <w:lang w:val="pl-PL"/>
        </w:rPr>
        <w:t>W razie przypadkowego wstrzyknięcia leku Yuflyma częściej niż to zalecił lekarz lub farmaceuta, należy zgłosić się do lekarza lub farmaceuty i powiedzieć o przyjęciu dodatkowej dawki. Zawsze należy ze sobą zabrać opakowanie zewnętrzne leku, nawet jeśli jest ono puste.</w:t>
      </w:r>
    </w:p>
    <w:p w14:paraId="33BF49FA" w14:textId="77777777" w:rsidR="00094D21" w:rsidRPr="008F328C" w:rsidRDefault="00094D21" w:rsidP="00094D21">
      <w:pPr>
        <w:spacing w:before="18" w:line="240" w:lineRule="exact"/>
        <w:rPr>
          <w:rFonts w:ascii="Times New Roman" w:hAnsi="Times New Roman" w:cs="Times New Roman"/>
          <w:b/>
          <w:sz w:val="24"/>
          <w:szCs w:val="24"/>
          <w:lang w:val="pl-PL"/>
        </w:rPr>
      </w:pPr>
    </w:p>
    <w:p w14:paraId="4C85D2A9" w14:textId="77777777" w:rsidR="00094D21" w:rsidRPr="008F328C" w:rsidRDefault="00094D21" w:rsidP="00094D21">
      <w:pPr>
        <w:pStyle w:val="a3"/>
        <w:rPr>
          <w:b/>
          <w:lang w:val="pl-PL"/>
        </w:rPr>
      </w:pPr>
      <w:r w:rsidRPr="008F328C">
        <w:rPr>
          <w:rFonts w:eastAsia="Times New Roman"/>
          <w:b/>
          <w:bCs/>
          <w:lang w:val="pl-PL"/>
        </w:rPr>
        <w:t>Pominięcie przyjęcia leku Yuflyma</w:t>
      </w:r>
    </w:p>
    <w:p w14:paraId="44EF8B3D" w14:textId="77777777" w:rsidR="00094D21" w:rsidRPr="008F328C" w:rsidRDefault="00094D21" w:rsidP="00094D21">
      <w:pPr>
        <w:spacing w:before="9" w:line="240" w:lineRule="exact"/>
        <w:rPr>
          <w:rFonts w:ascii="Times New Roman" w:hAnsi="Times New Roman" w:cs="Times New Roman"/>
          <w:sz w:val="24"/>
          <w:szCs w:val="24"/>
          <w:lang w:val="pl-PL"/>
        </w:rPr>
      </w:pPr>
    </w:p>
    <w:p w14:paraId="34BD87F1" w14:textId="77777777" w:rsidR="00094D21" w:rsidRPr="008F328C" w:rsidRDefault="00094D21" w:rsidP="00094D21">
      <w:pPr>
        <w:pStyle w:val="a3"/>
        <w:rPr>
          <w:lang w:val="pl-PL"/>
        </w:rPr>
      </w:pPr>
      <w:r w:rsidRPr="008F328C">
        <w:rPr>
          <w:rFonts w:eastAsia="Times New Roman"/>
          <w:lang w:val="pl-PL"/>
        </w:rPr>
        <w:t>Jeśli pacjent zapomni wykonać wstrzyknięcie, powinien wstrzyknąć następną dawkę leku Yuflyma, gdy tylko sobie o tym przypomni. Kolejną dawkę należy wstrzyknąć w ustalonym pierwotnie dniu.</w:t>
      </w:r>
    </w:p>
    <w:p w14:paraId="6614E7CA" w14:textId="77777777" w:rsidR="00094D21" w:rsidRPr="008F328C" w:rsidRDefault="00094D21" w:rsidP="00094D21">
      <w:pPr>
        <w:spacing w:before="18" w:line="240" w:lineRule="exact"/>
        <w:rPr>
          <w:rFonts w:ascii="Times New Roman" w:hAnsi="Times New Roman" w:cs="Times New Roman"/>
          <w:sz w:val="24"/>
          <w:szCs w:val="24"/>
          <w:lang w:val="pl-PL"/>
        </w:rPr>
      </w:pPr>
    </w:p>
    <w:p w14:paraId="4B0D15E9" w14:textId="77777777" w:rsidR="00094D21" w:rsidRPr="008F328C" w:rsidRDefault="00094D21" w:rsidP="00094D21">
      <w:pPr>
        <w:pStyle w:val="a3"/>
        <w:rPr>
          <w:b/>
          <w:lang w:val="pl-PL"/>
        </w:rPr>
      </w:pPr>
      <w:r w:rsidRPr="008F328C">
        <w:rPr>
          <w:rFonts w:eastAsia="Times New Roman"/>
          <w:b/>
          <w:bCs/>
          <w:lang w:val="pl-PL"/>
        </w:rPr>
        <w:t>Przerwanie przyjmowania leku Yuflyma</w:t>
      </w:r>
    </w:p>
    <w:p w14:paraId="500E6A34" w14:textId="77777777" w:rsidR="00094D21" w:rsidRPr="008F328C" w:rsidRDefault="00094D21" w:rsidP="00094D21">
      <w:pPr>
        <w:spacing w:before="6" w:line="240" w:lineRule="exact"/>
        <w:rPr>
          <w:rFonts w:ascii="Times New Roman" w:hAnsi="Times New Roman" w:cs="Times New Roman"/>
          <w:sz w:val="24"/>
          <w:szCs w:val="24"/>
          <w:lang w:val="pl-PL"/>
        </w:rPr>
      </w:pPr>
    </w:p>
    <w:p w14:paraId="540D2F92" w14:textId="77777777" w:rsidR="00094D21" w:rsidRPr="008F328C" w:rsidRDefault="00094D21" w:rsidP="00094D21">
      <w:pPr>
        <w:pStyle w:val="a3"/>
        <w:rPr>
          <w:lang w:val="pl-PL"/>
        </w:rPr>
      </w:pPr>
      <w:r w:rsidRPr="008F328C">
        <w:rPr>
          <w:rFonts w:eastAsia="Times New Roman"/>
          <w:lang w:val="pl-PL"/>
        </w:rPr>
        <w:t>Decyzję o zaprzestaniu stosowania leku Yuflyma należy omówić z lekarzem. Po zaprzestaniu przyjmowania leku Yuflyma mogą powrócić objawy choroby.</w:t>
      </w:r>
    </w:p>
    <w:p w14:paraId="18E6D659" w14:textId="77777777" w:rsidR="00094D21" w:rsidRPr="008F328C" w:rsidRDefault="00094D21" w:rsidP="00094D21">
      <w:pPr>
        <w:spacing w:before="12" w:line="240" w:lineRule="exact"/>
        <w:rPr>
          <w:rFonts w:ascii="Times New Roman" w:hAnsi="Times New Roman" w:cs="Times New Roman"/>
          <w:sz w:val="24"/>
          <w:szCs w:val="24"/>
          <w:lang w:val="pl-PL"/>
        </w:rPr>
      </w:pPr>
    </w:p>
    <w:p w14:paraId="6AB9D3CB" w14:textId="77777777" w:rsidR="00094D21" w:rsidRPr="008F328C" w:rsidRDefault="00094D21" w:rsidP="00094D21">
      <w:pPr>
        <w:pStyle w:val="a3"/>
        <w:rPr>
          <w:lang w:val="pl-PL"/>
        </w:rPr>
      </w:pPr>
      <w:r w:rsidRPr="008F328C">
        <w:rPr>
          <w:rFonts w:eastAsia="Times New Roman"/>
          <w:lang w:val="pl-PL"/>
        </w:rPr>
        <w:t>W razie jakichkolwiek dalszych wątpliwości związanych ze stosowaniem tego leku, należy zwrócić się do lekarza lub farmaceuty.</w:t>
      </w:r>
    </w:p>
    <w:p w14:paraId="75FF0D2D" w14:textId="77777777" w:rsidR="00094D21" w:rsidRPr="008F328C" w:rsidRDefault="00094D21" w:rsidP="00094D21">
      <w:pPr>
        <w:spacing w:line="110" w:lineRule="exact"/>
        <w:rPr>
          <w:rFonts w:ascii="Times New Roman" w:hAnsi="Times New Roman" w:cs="Times New Roman"/>
          <w:sz w:val="11"/>
          <w:szCs w:val="11"/>
          <w:lang w:val="pl-PL"/>
        </w:rPr>
      </w:pPr>
    </w:p>
    <w:p w14:paraId="54A96FE8" w14:textId="3FC9AA89" w:rsidR="00094D21" w:rsidRPr="008F328C" w:rsidRDefault="00094D21" w:rsidP="00094D21">
      <w:pPr>
        <w:spacing w:line="200" w:lineRule="exact"/>
        <w:rPr>
          <w:rFonts w:ascii="Times New Roman" w:hAnsi="Times New Roman" w:cs="Times New Roman"/>
          <w:sz w:val="20"/>
          <w:szCs w:val="20"/>
          <w:lang w:val="pl-PL"/>
        </w:rPr>
      </w:pPr>
    </w:p>
    <w:p w14:paraId="36A015E6" w14:textId="77777777" w:rsidR="00CC4159" w:rsidRPr="008F328C" w:rsidRDefault="00CC4159" w:rsidP="00094D21">
      <w:pPr>
        <w:spacing w:line="200" w:lineRule="exact"/>
        <w:rPr>
          <w:rFonts w:ascii="Times New Roman" w:hAnsi="Times New Roman" w:cs="Times New Roman"/>
          <w:sz w:val="20"/>
          <w:szCs w:val="20"/>
          <w:lang w:val="pl-PL"/>
        </w:rPr>
      </w:pPr>
    </w:p>
    <w:p w14:paraId="0336FB2A" w14:textId="77777777" w:rsidR="00094D21" w:rsidRPr="008F328C" w:rsidRDefault="00094D21" w:rsidP="00094D21">
      <w:pPr>
        <w:pStyle w:val="a4"/>
        <w:numPr>
          <w:ilvl w:val="0"/>
          <w:numId w:val="124"/>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Możliwe działania niepożądane</w:t>
      </w:r>
    </w:p>
    <w:p w14:paraId="6F4E329A" w14:textId="77777777" w:rsidR="00094D21" w:rsidRPr="008F328C" w:rsidRDefault="00094D21" w:rsidP="00094D21">
      <w:pPr>
        <w:spacing w:before="12" w:line="240" w:lineRule="exact"/>
        <w:rPr>
          <w:rFonts w:ascii="Times New Roman" w:hAnsi="Times New Roman" w:cs="Times New Roman"/>
          <w:sz w:val="24"/>
          <w:szCs w:val="24"/>
          <w:lang w:val="pl-PL"/>
        </w:rPr>
      </w:pPr>
    </w:p>
    <w:p w14:paraId="25F82E91" w14:textId="77777777" w:rsidR="00094D21" w:rsidRPr="008F328C" w:rsidRDefault="00094D21" w:rsidP="00094D21">
      <w:pPr>
        <w:pStyle w:val="a3"/>
        <w:rPr>
          <w:lang w:val="pl-PL"/>
        </w:rPr>
      </w:pPr>
      <w:r w:rsidRPr="008F328C">
        <w:rPr>
          <w:rFonts w:eastAsia="Times New Roman"/>
          <w:lang w:val="pl-PL"/>
        </w:rPr>
        <w:t>Jak każdy lek, lek ten może powodować działania niepożądane, chociaż nie u każdego one wystąpią. Większość działań niepożądanych jest łagodna lub umiarkowana. Niektóre jednak mogą być poważne i mogą powodować konieczność leczenia. Działania niepożądane mogą występować co najmniej przez 4 miesiące po ostatnim wstrzyknięciu leku Yuflyma.</w:t>
      </w:r>
    </w:p>
    <w:p w14:paraId="3D1F3B61" w14:textId="77777777" w:rsidR="00094D21" w:rsidRPr="008F328C" w:rsidRDefault="00094D21" w:rsidP="00094D21">
      <w:pPr>
        <w:spacing w:before="15" w:line="240" w:lineRule="exact"/>
        <w:rPr>
          <w:rFonts w:ascii="Times New Roman" w:hAnsi="Times New Roman" w:cs="Times New Roman"/>
          <w:sz w:val="24"/>
          <w:szCs w:val="24"/>
          <w:lang w:val="pl-PL"/>
        </w:rPr>
      </w:pPr>
    </w:p>
    <w:p w14:paraId="7235D5BF" w14:textId="77777777" w:rsidR="00094D21" w:rsidRPr="008F328C" w:rsidRDefault="00094D21" w:rsidP="00094D21">
      <w:pPr>
        <w:pStyle w:val="a3"/>
        <w:rPr>
          <w:b/>
          <w:lang w:val="pl-PL"/>
        </w:rPr>
      </w:pPr>
      <w:r w:rsidRPr="008F328C">
        <w:rPr>
          <w:rFonts w:eastAsia="Times New Roman"/>
          <w:b/>
          <w:bCs/>
          <w:lang w:val="pl-PL"/>
        </w:rPr>
        <w:t>W razie pojawienia się któregokolwiek z poniższych objawów należy natychmiast powiadomić lekarza</w:t>
      </w:r>
    </w:p>
    <w:p w14:paraId="1655F49A" w14:textId="77777777" w:rsidR="00094D21" w:rsidRPr="008F328C" w:rsidRDefault="00094D21" w:rsidP="00094D21">
      <w:pPr>
        <w:spacing w:before="10" w:line="240" w:lineRule="exact"/>
        <w:rPr>
          <w:rFonts w:ascii="Times New Roman" w:hAnsi="Times New Roman" w:cs="Times New Roman"/>
          <w:sz w:val="24"/>
          <w:szCs w:val="24"/>
          <w:lang w:val="pl-PL"/>
        </w:rPr>
      </w:pPr>
    </w:p>
    <w:p w14:paraId="7A95874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ciężka wysypka, pokrzywka lub inne objawy reakcji alergicznej</w:t>
      </w:r>
    </w:p>
    <w:p w14:paraId="55742FC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 dłoni, stóp</w:t>
      </w:r>
    </w:p>
    <w:p w14:paraId="655A802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w oddychaniu, trudności w połykaniu</w:t>
      </w:r>
    </w:p>
    <w:p w14:paraId="5BF2FFE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duszność podczas aktywności fizycznej lub po położeniu się, lub obrzęk stóp</w:t>
      </w:r>
    </w:p>
    <w:p w14:paraId="144F3EEC" w14:textId="77777777" w:rsidR="00094D21" w:rsidRPr="008F328C" w:rsidRDefault="00094D21" w:rsidP="00094D21">
      <w:pPr>
        <w:spacing w:before="15" w:line="240" w:lineRule="exact"/>
        <w:rPr>
          <w:rFonts w:ascii="Times New Roman" w:hAnsi="Times New Roman" w:cs="Times New Roman"/>
          <w:sz w:val="24"/>
          <w:szCs w:val="24"/>
          <w:lang w:val="pl-PL"/>
        </w:rPr>
      </w:pPr>
    </w:p>
    <w:p w14:paraId="3F2D9197" w14:textId="77777777" w:rsidR="00094D21" w:rsidRPr="008F328C" w:rsidRDefault="00094D21" w:rsidP="00094D21">
      <w:pPr>
        <w:pStyle w:val="a3"/>
        <w:rPr>
          <w:b/>
          <w:lang w:val="pl-PL"/>
        </w:rPr>
      </w:pPr>
      <w:r w:rsidRPr="008F328C">
        <w:rPr>
          <w:rFonts w:eastAsia="Times New Roman"/>
          <w:b/>
          <w:bCs/>
          <w:lang w:val="pl-PL"/>
        </w:rPr>
        <w:t>W razie stwierdzenia któregokolwiek z poniższych objawów należy tak szybko jak to możliwe powiadomić lekarza</w:t>
      </w:r>
    </w:p>
    <w:p w14:paraId="52372DFD" w14:textId="77777777" w:rsidR="00094D21" w:rsidRPr="008F328C" w:rsidRDefault="00094D21" w:rsidP="00094D21">
      <w:pPr>
        <w:spacing w:before="10" w:line="240" w:lineRule="exact"/>
        <w:rPr>
          <w:rFonts w:ascii="Times New Roman" w:hAnsi="Times New Roman" w:cs="Times New Roman"/>
          <w:sz w:val="24"/>
          <w:szCs w:val="24"/>
          <w:lang w:val="pl-PL"/>
        </w:rPr>
      </w:pPr>
    </w:p>
    <w:p w14:paraId="29EC1E7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zakażenia takie, jak gorączka, złe samopoczucie, zranienia, kłopoty z zębami, uczucie pieczenia podczas oddawania moczu</w:t>
      </w:r>
    </w:p>
    <w:p w14:paraId="6259E07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uczucie osłabienia lub zmęczenia</w:t>
      </w:r>
    </w:p>
    <w:p w14:paraId="2D04631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kaszel</w:t>
      </w:r>
    </w:p>
    <w:p w14:paraId="1C5B000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mrowienia</w:t>
      </w:r>
    </w:p>
    <w:p w14:paraId="6A1C60E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drętwienia</w:t>
      </w:r>
    </w:p>
    <w:p w14:paraId="5DBF959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podwójne widzenie</w:t>
      </w:r>
    </w:p>
    <w:p w14:paraId="19DB1A8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osłabienie siły mięśni w kończynach górnych lub dolnych</w:t>
      </w:r>
    </w:p>
    <w:p w14:paraId="0596526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guzek lub otwarte owrzodzenie, które się nie goi</w:t>
      </w:r>
    </w:p>
    <w:p w14:paraId="72E37E8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i oznaki wskazujące na zaburzenia krwi takie, jak utrzymująca się gorączka, siniaczenie, krwawienie, bladość</w:t>
      </w:r>
    </w:p>
    <w:p w14:paraId="1C79BD5D" w14:textId="77777777" w:rsidR="00094D21" w:rsidRPr="008F328C" w:rsidRDefault="00094D21" w:rsidP="00094D21">
      <w:pPr>
        <w:pStyle w:val="a3"/>
        <w:numPr>
          <w:ilvl w:val="0"/>
          <w:numId w:val="0"/>
        </w:numPr>
        <w:ind w:left="660"/>
        <w:rPr>
          <w:lang w:val="pl-PL"/>
        </w:rPr>
      </w:pPr>
    </w:p>
    <w:p w14:paraId="056254CE" w14:textId="77777777" w:rsidR="00094D21" w:rsidRPr="008F328C" w:rsidRDefault="00094D21" w:rsidP="00094D21">
      <w:pPr>
        <w:pStyle w:val="a3"/>
        <w:rPr>
          <w:lang w:val="pl-PL"/>
        </w:rPr>
      </w:pPr>
      <w:r w:rsidRPr="008F328C">
        <w:rPr>
          <w:rFonts w:eastAsia="Times New Roman"/>
          <w:lang w:val="pl-PL"/>
        </w:rPr>
        <w:t>Opisane powyżej objawy mogą być oznakami wymienionych poniżej działań niepożądanych, które obserwowano podczas stosowania leku Yuflyma.</w:t>
      </w:r>
    </w:p>
    <w:p w14:paraId="285C2945" w14:textId="77777777" w:rsidR="00094D21" w:rsidRPr="008F328C" w:rsidRDefault="00094D21" w:rsidP="00094D21">
      <w:pPr>
        <w:spacing w:before="10" w:line="240" w:lineRule="exact"/>
        <w:rPr>
          <w:rFonts w:ascii="Times New Roman" w:hAnsi="Times New Roman" w:cs="Times New Roman"/>
          <w:sz w:val="24"/>
          <w:szCs w:val="24"/>
          <w:lang w:val="pl-PL"/>
        </w:rPr>
      </w:pPr>
    </w:p>
    <w:p w14:paraId="72A80C03" w14:textId="77777777" w:rsidR="00094D21" w:rsidRPr="008F328C" w:rsidRDefault="00094D21" w:rsidP="00094D21">
      <w:pPr>
        <w:pStyle w:val="a3"/>
        <w:rPr>
          <w:lang w:val="pl-PL"/>
        </w:rPr>
      </w:pPr>
      <w:r w:rsidRPr="008F328C">
        <w:rPr>
          <w:rFonts w:eastAsia="Times New Roman"/>
          <w:b/>
          <w:bCs/>
          <w:lang w:val="pl-PL"/>
        </w:rPr>
        <w:t xml:space="preserve">Bardzo często </w:t>
      </w:r>
      <w:r w:rsidRPr="008F328C">
        <w:rPr>
          <w:rFonts w:eastAsia="Times New Roman"/>
          <w:lang w:val="pl-PL"/>
        </w:rPr>
        <w:t>(może wystąpić u więcej niż 1 na 10 osób):</w:t>
      </w:r>
    </w:p>
    <w:p w14:paraId="33E1C806" w14:textId="77777777" w:rsidR="00094D21" w:rsidRPr="008F328C" w:rsidRDefault="00094D21" w:rsidP="00094D21">
      <w:pPr>
        <w:spacing w:before="14" w:line="240" w:lineRule="exact"/>
        <w:rPr>
          <w:rFonts w:ascii="Times New Roman" w:hAnsi="Times New Roman" w:cs="Times New Roman"/>
          <w:sz w:val="24"/>
          <w:szCs w:val="24"/>
          <w:lang w:val="pl-PL"/>
        </w:rPr>
      </w:pPr>
    </w:p>
    <w:p w14:paraId="77C36E9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odczyny w miejscu wstrzyknięcia (w tym ból, obrzęk, zaczerwienienie lub świąd)</w:t>
      </w:r>
    </w:p>
    <w:p w14:paraId="1F774E1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dróg oddechowych (w tym przeziębienie, katar, zapalenie zatok, zapalenie płuc)</w:t>
      </w:r>
    </w:p>
    <w:p w14:paraId="3EFC505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głowy</w:t>
      </w:r>
    </w:p>
    <w:p w14:paraId="70A27D4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brzucha</w:t>
      </w:r>
    </w:p>
    <w:p w14:paraId="24AD1A0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nudności i wymioty</w:t>
      </w:r>
    </w:p>
    <w:p w14:paraId="1FCC8DE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wysypka</w:t>
      </w:r>
    </w:p>
    <w:p w14:paraId="056BDCF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 mięśniowo-szkieletowy</w:t>
      </w:r>
    </w:p>
    <w:p w14:paraId="1607A1C1" w14:textId="77777777" w:rsidR="00094D21" w:rsidRPr="008F328C" w:rsidRDefault="00094D21" w:rsidP="00094D21">
      <w:pPr>
        <w:spacing w:before="9" w:line="220" w:lineRule="exact"/>
        <w:rPr>
          <w:rFonts w:ascii="Times New Roman" w:hAnsi="Times New Roman" w:cs="Times New Roman"/>
          <w:lang w:val="pl-PL"/>
        </w:rPr>
      </w:pPr>
    </w:p>
    <w:p w14:paraId="3DD5364A" w14:textId="77777777" w:rsidR="00094D21" w:rsidRPr="008F328C" w:rsidRDefault="00094D21" w:rsidP="00094D21">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osoby na 10:</w:t>
      </w:r>
    </w:p>
    <w:p w14:paraId="3790922B" w14:textId="77777777" w:rsidR="00094D21" w:rsidRPr="008F328C" w:rsidRDefault="00094D21" w:rsidP="00094D21">
      <w:pPr>
        <w:spacing w:before="14" w:line="240" w:lineRule="exact"/>
        <w:rPr>
          <w:rFonts w:ascii="Times New Roman" w:hAnsi="Times New Roman" w:cs="Times New Roman"/>
          <w:sz w:val="24"/>
          <w:szCs w:val="24"/>
          <w:lang w:val="pl-PL"/>
        </w:rPr>
      </w:pPr>
    </w:p>
    <w:p w14:paraId="40445AE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poważne zakażenia (w tym posocznica [zakażenie krwi] i grypa)</w:t>
      </w:r>
    </w:p>
    <w:p w14:paraId="1961381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jelitowe (w tym zakażenie żołądka i jelit)</w:t>
      </w:r>
    </w:p>
    <w:p w14:paraId="41B1F68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lastRenderedPageBreak/>
        <w:t>zakażenia skóry (w tym zapalenie tkanki łącznej i półpasiec)</w:t>
      </w:r>
    </w:p>
    <w:p w14:paraId="634BF5B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ucha</w:t>
      </w:r>
    </w:p>
    <w:p w14:paraId="741DF7F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w obrębie jamy ustnej (w tym zakażenia zębów i opryszczka wargowa)</w:t>
      </w:r>
    </w:p>
    <w:p w14:paraId="3CBECF6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dróg rodnych</w:t>
      </w:r>
    </w:p>
    <w:p w14:paraId="7F280C1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zakażenie dróg moczowych</w:t>
      </w:r>
    </w:p>
    <w:p w14:paraId="3E65C95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grzybicze</w:t>
      </w:r>
    </w:p>
    <w:p w14:paraId="61EA04E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stawów</w:t>
      </w:r>
    </w:p>
    <w:p w14:paraId="69CB7DF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nowotwory łagodne</w:t>
      </w:r>
    </w:p>
    <w:p w14:paraId="3EAB66D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 skóry</w:t>
      </w:r>
    </w:p>
    <w:p w14:paraId="5094E2E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reakcje alergiczne (w tym alergia sezonowa)</w:t>
      </w:r>
    </w:p>
    <w:p w14:paraId="7AD0A1F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odwodnienie</w:t>
      </w:r>
    </w:p>
    <w:p w14:paraId="30E32EF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wahania nastroju (w tym depresja)</w:t>
      </w:r>
    </w:p>
    <w:p w14:paraId="168E963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niepokój</w:t>
      </w:r>
    </w:p>
    <w:p w14:paraId="7725DB4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z zasypianiem</w:t>
      </w:r>
    </w:p>
    <w:p w14:paraId="025A131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czucia, takie jak mrowienie, szczypanie lub drętwienie</w:t>
      </w:r>
    </w:p>
    <w:p w14:paraId="549AA97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migrena</w:t>
      </w:r>
    </w:p>
    <w:p w14:paraId="4C64848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ucisk korzenia nerwowego (w tym bóle krzyża i ból nóg)</w:t>
      </w:r>
    </w:p>
    <w:p w14:paraId="473D7D1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widzenia</w:t>
      </w:r>
    </w:p>
    <w:p w14:paraId="1CF4EF3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stan zapalny oka</w:t>
      </w:r>
    </w:p>
    <w:p w14:paraId="7B88ECB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powiek i obrzęk oka</w:t>
      </w:r>
    </w:p>
    <w:p w14:paraId="4EEEE28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zawroty głowy (wrażenie wirowania z zaburzeniami równowagi)</w:t>
      </w:r>
    </w:p>
    <w:p w14:paraId="3D74529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szybkiego bicia serca</w:t>
      </w:r>
    </w:p>
    <w:p w14:paraId="329161F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wysokie ciśnienie tętnicze</w:t>
      </w:r>
    </w:p>
    <w:p w14:paraId="0E691FC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zaczerwienienie skóry z uczuciem gorąca</w:t>
      </w:r>
    </w:p>
    <w:p w14:paraId="71F4A1E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krwiak (gromadzenie się krwi poza naczyniami krwionośnymi)</w:t>
      </w:r>
    </w:p>
    <w:p w14:paraId="50F3225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kaszel</w:t>
      </w:r>
    </w:p>
    <w:p w14:paraId="1A79F35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astma</w:t>
      </w:r>
    </w:p>
    <w:p w14:paraId="537A561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duszność</w:t>
      </w:r>
    </w:p>
    <w:p w14:paraId="174543E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krwawienie z przewodu pokarmowego</w:t>
      </w:r>
    </w:p>
    <w:p w14:paraId="574B2B2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dyspeptyczne (niestrawność, wzdęcie, zgaga)</w:t>
      </w:r>
    </w:p>
    <w:p w14:paraId="79C2FAB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choroba refluksowa przełyku</w:t>
      </w:r>
    </w:p>
    <w:p w14:paraId="4818206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zespół suchości (w tym suchość oczu i jamy ustnej)</w:t>
      </w:r>
    </w:p>
    <w:p w14:paraId="609F1F8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świąd</w:t>
      </w:r>
    </w:p>
    <w:p w14:paraId="538A36CB" w14:textId="77777777" w:rsidR="00094D21" w:rsidRPr="008F328C" w:rsidRDefault="00094D21" w:rsidP="00094D21">
      <w:pPr>
        <w:pStyle w:val="a3"/>
        <w:numPr>
          <w:ilvl w:val="0"/>
          <w:numId w:val="16"/>
        </w:numPr>
        <w:ind w:left="660" w:hanging="660"/>
        <w:rPr>
          <w:rFonts w:eastAsia="Times New Roman"/>
          <w:spacing w:val="-1"/>
          <w:lang w:val="pl-PL"/>
        </w:rPr>
      </w:pPr>
      <w:r w:rsidRPr="008F328C">
        <w:rPr>
          <w:rFonts w:eastAsia="Times New Roman"/>
          <w:lang w:val="pl-PL"/>
        </w:rPr>
        <w:t>swędząca wysypka</w:t>
      </w:r>
    </w:p>
    <w:p w14:paraId="7864EA0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siniaczenie</w:t>
      </w:r>
    </w:p>
    <w:p w14:paraId="5272F80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skóry (takie jak wyprysk)</w:t>
      </w:r>
    </w:p>
    <w:p w14:paraId="1FA28E3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łamliwość paznokci</w:t>
      </w:r>
    </w:p>
    <w:p w14:paraId="3A37CEF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potliwość</w:t>
      </w:r>
    </w:p>
    <w:p w14:paraId="0A0BCFE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wypadanie włosów</w:t>
      </w:r>
    </w:p>
    <w:p w14:paraId="023348D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wystąpienie lub pogorszenie się łuszczycy</w:t>
      </w:r>
    </w:p>
    <w:p w14:paraId="047DAF2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skurcze mięśni</w:t>
      </w:r>
    </w:p>
    <w:p w14:paraId="64B63A1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krew w moczu</w:t>
      </w:r>
    </w:p>
    <w:p w14:paraId="3DDFBF5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dolegliwości ze strony nerek</w:t>
      </w:r>
    </w:p>
    <w:p w14:paraId="4BBD521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w klatce piersiowej</w:t>
      </w:r>
    </w:p>
    <w:p w14:paraId="3903072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obrzęki</w:t>
      </w:r>
    </w:p>
    <w:p w14:paraId="443587D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gorączka</w:t>
      </w:r>
    </w:p>
    <w:p w14:paraId="54A8C01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zmniejszenie liczby płytek krwi, co zwiększa ryzyko krwawienia lub siniaczenia</w:t>
      </w:r>
    </w:p>
    <w:p w14:paraId="68DEC1D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zaburzenie gojenia ran</w:t>
      </w:r>
    </w:p>
    <w:p w14:paraId="44BE725A" w14:textId="77777777" w:rsidR="00094D21" w:rsidRPr="008F328C" w:rsidRDefault="00094D21" w:rsidP="00094D21">
      <w:pPr>
        <w:spacing w:before="10" w:line="240" w:lineRule="exact"/>
        <w:rPr>
          <w:rFonts w:ascii="Times New Roman" w:hAnsi="Times New Roman" w:cs="Times New Roman"/>
          <w:sz w:val="24"/>
          <w:szCs w:val="24"/>
          <w:lang w:val="pl-PL"/>
        </w:rPr>
      </w:pPr>
    </w:p>
    <w:p w14:paraId="5935B119" w14:textId="77777777" w:rsidR="00094D21" w:rsidRPr="008F328C" w:rsidRDefault="00094D21" w:rsidP="00094D21">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7BD7F414" w14:textId="77777777" w:rsidR="00094D21" w:rsidRPr="008F328C" w:rsidRDefault="00094D21" w:rsidP="00094D21">
      <w:pPr>
        <w:spacing w:before="14" w:line="260" w:lineRule="exact"/>
        <w:rPr>
          <w:rFonts w:ascii="Times New Roman" w:hAnsi="Times New Roman" w:cs="Times New Roman"/>
          <w:sz w:val="26"/>
          <w:szCs w:val="26"/>
          <w:lang w:val="pl-PL"/>
        </w:rPr>
      </w:pPr>
    </w:p>
    <w:p w14:paraId="26BBA7F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oportunistyczne (w tym gruźlica i inne zakażenia, które występują, gdy zmniejsza się odporność na zachorowanie)</w:t>
      </w:r>
    </w:p>
    <w:p w14:paraId="08277C9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układu nerwowego (w tym wirusowe zapalenie opon mózgowych)</w:t>
      </w:r>
    </w:p>
    <w:p w14:paraId="6DE32F6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oka</w:t>
      </w:r>
    </w:p>
    <w:p w14:paraId="3F9E630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bakteryjne</w:t>
      </w:r>
    </w:p>
    <w:p w14:paraId="3A48D61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uchyłka (zapalenie i zakażenie jelita grubego)</w:t>
      </w:r>
    </w:p>
    <w:p w14:paraId="1749D0B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w:t>
      </w:r>
    </w:p>
    <w:p w14:paraId="05D9350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nowotwór złośliwy układu limfatycznego</w:t>
      </w:r>
    </w:p>
    <w:p w14:paraId="78D435F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czerniak</w:t>
      </w:r>
    </w:p>
    <w:p w14:paraId="0028330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układu immunologicznego, które mogą powodować zmiany w płucach, skórze i węzłach chłonnych (najczęściej objawiające się jako sarkoidoza)</w:t>
      </w:r>
    </w:p>
    <w:p w14:paraId="213B7B9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naczyń krwionośnych</w:t>
      </w:r>
    </w:p>
    <w:p w14:paraId="020087E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drżenie</w:t>
      </w:r>
    </w:p>
    <w:p w14:paraId="696B68E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neuropatia (choroba nerwów obwodowych)</w:t>
      </w:r>
    </w:p>
    <w:p w14:paraId="58A590D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udar</w:t>
      </w:r>
    </w:p>
    <w:p w14:paraId="62B3385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utrata słuchu, szumy w uszach</w:t>
      </w:r>
    </w:p>
    <w:p w14:paraId="1084409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nieregularnego bicia serca, takie jak wrażenie wypadania kolejnych uderzeń serca</w:t>
      </w:r>
    </w:p>
    <w:p w14:paraId="3CAE871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serca, które mogą powodować duszność lub obrzęki kostek</w:t>
      </w:r>
    </w:p>
    <w:p w14:paraId="0E80897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zawał serca</w:t>
      </w:r>
    </w:p>
    <w:p w14:paraId="74258DF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zawał serca·„kieszonka” w ścianie głównej tętnicy (tętniak aorty)</w:t>
      </w:r>
    </w:p>
    <w:p w14:paraId="5FC4155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i zakrzep krwi w żyle, niedrożność naczynia krwionośnego choroby płuc powodujące duszność (w tym zapalenie płuc)</w:t>
      </w:r>
    </w:p>
    <w:p w14:paraId="0074B2D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zator płucny (zablokowanie tętnicy płuca)</w:t>
      </w:r>
    </w:p>
    <w:p w14:paraId="17FE512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wysięk opłucnowy (nieprawidłowe gromadzenie się płynu w jamie opłucnej)</w:t>
      </w:r>
    </w:p>
    <w:p w14:paraId="127B231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trzustki, które powoduje ostry ból brzucha i pleców</w:t>
      </w:r>
    </w:p>
    <w:p w14:paraId="18FE5FB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w połykaniu</w:t>
      </w:r>
    </w:p>
    <w:p w14:paraId="71A9F72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w:t>
      </w:r>
    </w:p>
    <w:p w14:paraId="207C9B2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pęcherzyka żółciowego, kamienie w pęcherzyku żółciowym</w:t>
      </w:r>
    </w:p>
    <w:p w14:paraId="67591DE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stłuszczenie wątroby</w:t>
      </w:r>
    </w:p>
    <w:p w14:paraId="60DE097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nocne poty</w:t>
      </w:r>
    </w:p>
    <w:p w14:paraId="411E7B3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blizna</w:t>
      </w:r>
    </w:p>
    <w:p w14:paraId="496ABEE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nieprawidłowy rozpad mięśni</w:t>
      </w:r>
    </w:p>
    <w:p w14:paraId="1F2AABC4" w14:textId="77777777" w:rsidR="00094D21" w:rsidRPr="008F328C" w:rsidRDefault="00094D21" w:rsidP="00094D21">
      <w:pPr>
        <w:pStyle w:val="a3"/>
        <w:numPr>
          <w:ilvl w:val="0"/>
          <w:numId w:val="16"/>
        </w:numPr>
        <w:ind w:left="660" w:hanging="660"/>
        <w:rPr>
          <w:rFonts w:eastAsia="Times New Roman"/>
          <w:spacing w:val="-1"/>
          <w:lang w:val="pl-PL"/>
        </w:rPr>
      </w:pPr>
      <w:r w:rsidRPr="008F328C">
        <w:rPr>
          <w:rFonts w:eastAsia="Times New Roman"/>
          <w:lang w:val="pl-PL"/>
        </w:rPr>
        <w:t>toczeń rumieniowaty układowy (w tym zapalenie skóry, serca, płuc, stawów i innych układów narządów)</w:t>
      </w:r>
    </w:p>
    <w:p w14:paraId="430C3DB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snu (częste budzenie się)</w:t>
      </w:r>
    </w:p>
    <w:p w14:paraId="47A97D1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impotencja</w:t>
      </w:r>
    </w:p>
    <w:p w14:paraId="4C2F9CE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stany zapalne</w:t>
      </w:r>
    </w:p>
    <w:p w14:paraId="59A294A5" w14:textId="77777777" w:rsidR="00094D21" w:rsidRPr="008F328C" w:rsidRDefault="00094D21" w:rsidP="00094D21">
      <w:pPr>
        <w:spacing w:before="13" w:line="240" w:lineRule="exact"/>
        <w:rPr>
          <w:rFonts w:ascii="Times New Roman" w:hAnsi="Times New Roman" w:cs="Times New Roman"/>
          <w:sz w:val="24"/>
          <w:szCs w:val="24"/>
          <w:lang w:val="pl-PL"/>
        </w:rPr>
      </w:pPr>
    </w:p>
    <w:p w14:paraId="4D2D5229" w14:textId="77777777" w:rsidR="00094D21" w:rsidRPr="008F328C" w:rsidRDefault="00094D21" w:rsidP="00094D21">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5EB5CF07" w14:textId="77777777" w:rsidR="00094D21" w:rsidRPr="008F328C" w:rsidRDefault="00094D21" w:rsidP="00094D21">
      <w:pPr>
        <w:spacing w:before="12" w:line="240" w:lineRule="exact"/>
        <w:rPr>
          <w:rFonts w:ascii="Times New Roman" w:hAnsi="Times New Roman" w:cs="Times New Roman"/>
          <w:sz w:val="24"/>
          <w:szCs w:val="24"/>
          <w:lang w:val="pl-PL"/>
        </w:rPr>
      </w:pPr>
    </w:p>
    <w:p w14:paraId="7FD41B1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białaczka (nowotwór złośliwy krwi i szpiku kostnego)</w:t>
      </w:r>
    </w:p>
    <w:p w14:paraId="0720B34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ciężka reakcja alergiczna ze wstrząsem</w:t>
      </w:r>
    </w:p>
    <w:p w14:paraId="0C8B586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stwardnienie rozsiane</w:t>
      </w:r>
    </w:p>
    <w:p w14:paraId="58CA5F0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dotyczące nerwów (takie jak zapalenie nerwu wzrokowego i zespół Guillaina-Barrégo, który może spowodować osłabienie mięśni, nieprawidłowe czucie, mrowienie w kończynach górnych i górnej części tułowia)</w:t>
      </w:r>
    </w:p>
    <w:p w14:paraId="66AD391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zatrzymanie akcji serca</w:t>
      </w:r>
    </w:p>
    <w:p w14:paraId="1E73BFC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zwłóknienie płuc (bliznowacenie płuc)</w:t>
      </w:r>
    </w:p>
    <w:p w14:paraId="59913DB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perforacja jelita (przedziurawienie jelita)</w:t>
      </w:r>
    </w:p>
    <w:p w14:paraId="33FA4C9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wątroby</w:t>
      </w:r>
    </w:p>
    <w:p w14:paraId="2458D09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lastRenderedPageBreak/>
        <w:t>reaktywacja żółtaczki typu B</w:t>
      </w:r>
    </w:p>
    <w:p w14:paraId="7E45F56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autoimmunologiczne zapalenie wątroby (zapalenie wątroby spowodowane reakcją układu odpornościowego pacjenta)</w:t>
      </w:r>
    </w:p>
    <w:p w14:paraId="5CE39EF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naczyń skóry</w:t>
      </w:r>
    </w:p>
    <w:p w14:paraId="23567F5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zespół Stevensa-Johnsona (do wczesnych objawów zalicza się złe samopoczucie, gorączkę, bóle głowy i wysypkę)</w:t>
      </w:r>
    </w:p>
    <w:p w14:paraId="4860E28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 związany z reakcjami alergicznymi</w:t>
      </w:r>
    </w:p>
    <w:p w14:paraId="47DE794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rumień wielopostaciowy (zapalenie skóry z wysypką)</w:t>
      </w:r>
    </w:p>
    <w:p w14:paraId="3CDE9F4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zespół toczniopodobny</w:t>
      </w:r>
    </w:p>
    <w:p w14:paraId="43908F5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naczynioruchowy (miejscowy obrzęk skóry)</w:t>
      </w:r>
    </w:p>
    <w:p w14:paraId="1BD84A8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liszajowate zmiany skórne (swędząca czerwono-purpurowa wysypka skórna)</w:t>
      </w:r>
    </w:p>
    <w:p w14:paraId="53AF3CC2" w14:textId="77777777" w:rsidR="00094D21" w:rsidRPr="008F328C" w:rsidRDefault="00094D21" w:rsidP="00094D21">
      <w:pPr>
        <w:spacing w:before="10" w:line="240" w:lineRule="exact"/>
        <w:rPr>
          <w:rFonts w:ascii="Times New Roman" w:hAnsi="Times New Roman" w:cs="Times New Roman"/>
          <w:sz w:val="24"/>
          <w:szCs w:val="24"/>
          <w:lang w:val="pl-PL"/>
        </w:rPr>
      </w:pPr>
    </w:p>
    <w:p w14:paraId="04BACF06" w14:textId="77777777" w:rsidR="00094D21" w:rsidRPr="008F328C" w:rsidRDefault="00094D21" w:rsidP="00094D21">
      <w:pPr>
        <w:pStyle w:val="a3"/>
        <w:rPr>
          <w:lang w:val="pl-PL"/>
        </w:rPr>
      </w:pPr>
      <w:r w:rsidRPr="008F328C">
        <w:rPr>
          <w:rFonts w:eastAsia="Times New Roman"/>
          <w:b/>
          <w:lang w:val="pl-PL"/>
        </w:rPr>
        <w:t>Częstość</w:t>
      </w:r>
      <w:r w:rsidRPr="008F328C">
        <w:rPr>
          <w:rFonts w:eastAsia="Times New Roman"/>
          <w:lang w:val="pl-PL"/>
        </w:rPr>
        <w:t xml:space="preserve"> </w:t>
      </w:r>
      <w:r w:rsidRPr="008F328C">
        <w:rPr>
          <w:rFonts w:eastAsia="Times New Roman"/>
          <w:b/>
          <w:bCs/>
          <w:lang w:val="pl-PL"/>
        </w:rPr>
        <w:t xml:space="preserve">nieznana </w:t>
      </w:r>
      <w:r w:rsidRPr="008F328C">
        <w:rPr>
          <w:rFonts w:eastAsia="Times New Roman"/>
          <w:lang w:val="pl-PL"/>
        </w:rPr>
        <w:t>(nie może być określona na podstawie dostępnych danych)</w:t>
      </w:r>
    </w:p>
    <w:p w14:paraId="0DA4C5EA" w14:textId="77777777" w:rsidR="00094D21" w:rsidRPr="008F328C" w:rsidRDefault="00094D21" w:rsidP="00094D21">
      <w:pPr>
        <w:spacing w:before="14" w:line="240" w:lineRule="exact"/>
        <w:rPr>
          <w:rFonts w:ascii="Times New Roman" w:hAnsi="Times New Roman" w:cs="Times New Roman"/>
          <w:sz w:val="24"/>
          <w:szCs w:val="24"/>
          <w:lang w:val="pl-PL"/>
        </w:rPr>
      </w:pPr>
    </w:p>
    <w:p w14:paraId="0549665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chłoniak T-komórkowy wątrobowo-śledzionowy (rzadki nowotwór krwi, który często powoduje zgon)</w:t>
      </w:r>
    </w:p>
    <w:p w14:paraId="6BE80A9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 z komórek Merkla (typ raka skóry)</w:t>
      </w:r>
    </w:p>
    <w:p w14:paraId="3FEC48A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mięsak Kaposiego, rzadki nowotwór związany z zakażeniem ludzkim wirusem opryszczki 8. mięsak Kaposiego najczęściej pojawia się jako fioletowe zmiany skórne na skórze.</w:t>
      </w:r>
    </w:p>
    <w:p w14:paraId="66AB44C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niewydolność wątroby</w:t>
      </w:r>
    </w:p>
    <w:p w14:paraId="537B06B2" w14:textId="77777777" w:rsidR="00094D21" w:rsidRPr="008F328C" w:rsidRDefault="00094D21" w:rsidP="00094D21">
      <w:pPr>
        <w:pStyle w:val="a3"/>
        <w:numPr>
          <w:ilvl w:val="0"/>
          <w:numId w:val="16"/>
        </w:numPr>
        <w:ind w:left="660" w:hanging="660"/>
        <w:rPr>
          <w:rFonts w:eastAsia="Times New Roman"/>
          <w:lang w:val="pl-PL"/>
        </w:rPr>
      </w:pPr>
      <w:r w:rsidRPr="008F328C">
        <w:rPr>
          <w:rFonts w:eastAsia="Times New Roman"/>
          <w:lang w:val="pl-PL"/>
        </w:rPr>
        <w:t>nasilenie objawów zapalenia skórno-mięśniowego (objawiające się wysypką skórną, której towarzyszy osłabienie mięśni)</w:t>
      </w:r>
    </w:p>
    <w:p w14:paraId="31BCCA88" w14:textId="77777777" w:rsidR="00094D21" w:rsidRPr="008F328C" w:rsidRDefault="00094D21" w:rsidP="00094D21">
      <w:pPr>
        <w:pStyle w:val="a3"/>
        <w:numPr>
          <w:ilvl w:val="0"/>
          <w:numId w:val="16"/>
        </w:numPr>
        <w:ind w:left="660" w:hanging="660"/>
        <w:rPr>
          <w:rFonts w:eastAsia="Times New Roman"/>
          <w:lang w:val="pl-PL"/>
        </w:rPr>
      </w:pPr>
      <w:r w:rsidRPr="008F328C">
        <w:rPr>
          <w:rFonts w:eastAsia="Times New Roman"/>
          <w:lang w:val="pl-PL"/>
        </w:rPr>
        <w:t>zwiększenie masy ciała (niewielkie u większości pacjentów)</w:t>
      </w:r>
    </w:p>
    <w:p w14:paraId="32B2A484" w14:textId="77777777" w:rsidR="00094D21" w:rsidRPr="008F328C" w:rsidRDefault="00094D21" w:rsidP="00094D21">
      <w:pPr>
        <w:pStyle w:val="a3"/>
        <w:numPr>
          <w:ilvl w:val="0"/>
          <w:numId w:val="0"/>
        </w:numPr>
        <w:rPr>
          <w:lang w:val="pl-PL"/>
        </w:rPr>
      </w:pPr>
    </w:p>
    <w:p w14:paraId="0A5E1F04" w14:textId="77777777" w:rsidR="00094D21" w:rsidRPr="008F328C" w:rsidRDefault="00094D21" w:rsidP="00094D21">
      <w:pPr>
        <w:pStyle w:val="a3"/>
        <w:rPr>
          <w:lang w:val="pl-PL"/>
        </w:rPr>
      </w:pPr>
      <w:r w:rsidRPr="008F328C">
        <w:rPr>
          <w:rFonts w:eastAsia="Times New Roman"/>
          <w:lang w:val="pl-PL"/>
        </w:rPr>
        <w:t>Niektóre działania niepożądane obserwowane podczas stosowania leku Yuflyma nie dają objawów odczuwanych przez pacjenta i można je wykryć wyłącznie przeprowadzając badania krwi. Zalicza się do nich:</w:t>
      </w:r>
    </w:p>
    <w:p w14:paraId="57D8A5BB" w14:textId="77777777" w:rsidR="00094D21" w:rsidRPr="008F328C" w:rsidRDefault="00094D21" w:rsidP="00094D21">
      <w:pPr>
        <w:pStyle w:val="a3"/>
        <w:rPr>
          <w:lang w:val="pl-PL"/>
        </w:rPr>
      </w:pPr>
    </w:p>
    <w:p w14:paraId="2D5AE980" w14:textId="77777777" w:rsidR="00094D21" w:rsidRPr="008F328C" w:rsidRDefault="00094D21" w:rsidP="00094D21">
      <w:pPr>
        <w:pStyle w:val="a3"/>
        <w:rPr>
          <w:rFonts w:eastAsia="Times New Roman"/>
          <w:lang w:val="pl-PL"/>
        </w:rPr>
      </w:pPr>
      <w:r w:rsidRPr="008F328C">
        <w:rPr>
          <w:rFonts w:eastAsia="Times New Roman"/>
          <w:b/>
          <w:bCs/>
          <w:spacing w:val="-1"/>
          <w:lang w:val="pl-PL"/>
        </w:rPr>
        <w:t xml:space="preserve">Bardzo często </w:t>
      </w:r>
      <w:r w:rsidRPr="008F328C">
        <w:rPr>
          <w:rFonts w:eastAsia="Times New Roman"/>
          <w:spacing w:val="-1"/>
          <w:lang w:val="pl-PL"/>
        </w:rPr>
        <w:t>(może wystąpić u więcej niż 1 na 10 osób):</w:t>
      </w:r>
    </w:p>
    <w:p w14:paraId="13BCA2ED" w14:textId="77777777" w:rsidR="00094D21" w:rsidRPr="008F328C" w:rsidRDefault="00094D21" w:rsidP="00094D21">
      <w:pPr>
        <w:pStyle w:val="a3"/>
        <w:rPr>
          <w:lang w:val="pl-PL"/>
        </w:rPr>
      </w:pPr>
    </w:p>
    <w:p w14:paraId="46C3264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krwinek białych we krwi</w:t>
      </w:r>
    </w:p>
    <w:p w14:paraId="479F626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krwinek czerwonych we krwi</w:t>
      </w:r>
    </w:p>
    <w:p w14:paraId="488E0A1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stężenia lipidów we krwi</w:t>
      </w:r>
    </w:p>
    <w:p w14:paraId="0C26E37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aktywności enzymów wątrobowych</w:t>
      </w:r>
    </w:p>
    <w:p w14:paraId="4AEFFE8D" w14:textId="77777777" w:rsidR="00094D21" w:rsidRPr="008F328C" w:rsidRDefault="00094D21" w:rsidP="00094D21">
      <w:pPr>
        <w:spacing w:before="10" w:line="240" w:lineRule="exact"/>
        <w:rPr>
          <w:rFonts w:ascii="Times New Roman" w:hAnsi="Times New Roman" w:cs="Times New Roman"/>
          <w:sz w:val="24"/>
          <w:szCs w:val="24"/>
          <w:lang w:val="pl-PL"/>
        </w:rPr>
      </w:pPr>
    </w:p>
    <w:p w14:paraId="74055045" w14:textId="77777777" w:rsidR="00094D21" w:rsidRPr="008F328C" w:rsidRDefault="00094D21" w:rsidP="00094D21">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0AE55A3C" w14:textId="77777777" w:rsidR="00094D21" w:rsidRPr="008F328C" w:rsidRDefault="00094D21" w:rsidP="00094D21">
      <w:pPr>
        <w:spacing w:before="14" w:line="240" w:lineRule="exact"/>
        <w:rPr>
          <w:rFonts w:ascii="Times New Roman" w:hAnsi="Times New Roman" w:cs="Times New Roman"/>
          <w:sz w:val="24"/>
          <w:szCs w:val="24"/>
          <w:lang w:val="pl-PL"/>
        </w:rPr>
      </w:pPr>
    </w:p>
    <w:p w14:paraId="1BC36A5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liczba krwinek białych we krwi</w:t>
      </w:r>
    </w:p>
    <w:p w14:paraId="32D279F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płytek krwi</w:t>
      </w:r>
    </w:p>
    <w:p w14:paraId="4F9D0E8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zwiększone stężenie kwasu moczowego we krwi</w:t>
      </w:r>
    </w:p>
    <w:p w14:paraId="57444F0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nieprawidłowe stężenie sodu we krwi</w:t>
      </w:r>
    </w:p>
    <w:p w14:paraId="7298998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wapnia we krwi</w:t>
      </w:r>
    </w:p>
    <w:p w14:paraId="6346D60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fosforanów we krwi</w:t>
      </w:r>
    </w:p>
    <w:p w14:paraId="2F8D289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wysokie stężenie cukru we krwi</w:t>
      </w:r>
    </w:p>
    <w:p w14:paraId="555B6AE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aktywność dehydrogenazy mleczanowej we krwi</w:t>
      </w:r>
    </w:p>
    <w:p w14:paraId="2F21A47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obecność autoprzeciwciał we krwi</w:t>
      </w:r>
    </w:p>
    <w:p w14:paraId="38AE728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potasu we krwi</w:t>
      </w:r>
    </w:p>
    <w:p w14:paraId="176D2321" w14:textId="77777777" w:rsidR="00094D21" w:rsidRPr="008F328C" w:rsidRDefault="00094D21" w:rsidP="00094D21">
      <w:pPr>
        <w:spacing w:before="13" w:line="240" w:lineRule="exact"/>
        <w:rPr>
          <w:rFonts w:ascii="Times New Roman" w:hAnsi="Times New Roman" w:cs="Times New Roman"/>
          <w:sz w:val="24"/>
          <w:szCs w:val="24"/>
          <w:lang w:val="pl-PL"/>
        </w:rPr>
      </w:pPr>
    </w:p>
    <w:p w14:paraId="50E95A4A" w14:textId="77777777" w:rsidR="00094D21" w:rsidRPr="008F328C" w:rsidRDefault="00094D21" w:rsidP="00094D21">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2339B6A8" w14:textId="77777777" w:rsidR="00094D21" w:rsidRPr="008F328C" w:rsidRDefault="00094D21" w:rsidP="00094D21">
      <w:pPr>
        <w:spacing w:before="12" w:line="240" w:lineRule="exact"/>
        <w:rPr>
          <w:rFonts w:ascii="Times New Roman" w:hAnsi="Times New Roman" w:cs="Times New Roman"/>
          <w:sz w:val="24"/>
          <w:szCs w:val="24"/>
          <w:lang w:val="pl-PL"/>
        </w:rPr>
      </w:pPr>
    </w:p>
    <w:p w14:paraId="7821027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stężenia bilirubiny (próba wątrobowa)</w:t>
      </w:r>
    </w:p>
    <w:p w14:paraId="2568EC0C" w14:textId="77777777" w:rsidR="00094D21" w:rsidRPr="008F328C" w:rsidRDefault="00094D21" w:rsidP="00094D21">
      <w:pPr>
        <w:spacing w:before="13" w:line="240" w:lineRule="exact"/>
        <w:rPr>
          <w:rFonts w:ascii="Times New Roman" w:hAnsi="Times New Roman" w:cs="Times New Roman"/>
          <w:sz w:val="24"/>
          <w:szCs w:val="24"/>
          <w:lang w:val="pl-PL"/>
        </w:rPr>
      </w:pPr>
    </w:p>
    <w:p w14:paraId="45344739" w14:textId="77777777" w:rsidR="00094D21" w:rsidRPr="008F328C" w:rsidRDefault="00094D21" w:rsidP="00094D21">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019D3EC3" w14:textId="77777777" w:rsidR="00094D21" w:rsidRPr="008F328C" w:rsidRDefault="00094D21" w:rsidP="00094D21">
      <w:pPr>
        <w:spacing w:before="14" w:line="240" w:lineRule="exact"/>
        <w:rPr>
          <w:rFonts w:ascii="Times New Roman" w:hAnsi="Times New Roman" w:cs="Times New Roman"/>
          <w:sz w:val="24"/>
          <w:szCs w:val="24"/>
          <w:lang w:val="pl-PL"/>
        </w:rPr>
      </w:pPr>
    </w:p>
    <w:p w14:paraId="087D654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białych krwinek, czerwonych krwinek i płytek we krwi</w:t>
      </w:r>
    </w:p>
    <w:p w14:paraId="4DA3359A" w14:textId="77777777" w:rsidR="00094D21" w:rsidRPr="008F328C" w:rsidRDefault="00094D21" w:rsidP="00094D21">
      <w:pPr>
        <w:spacing w:before="15" w:line="240" w:lineRule="exact"/>
        <w:rPr>
          <w:rFonts w:ascii="Times New Roman" w:hAnsi="Times New Roman" w:cs="Times New Roman"/>
          <w:sz w:val="24"/>
          <w:szCs w:val="24"/>
          <w:lang w:val="pl-PL"/>
        </w:rPr>
      </w:pPr>
    </w:p>
    <w:p w14:paraId="094C2E00" w14:textId="77777777" w:rsidR="00094D21" w:rsidRPr="008F328C" w:rsidRDefault="00094D21" w:rsidP="00094D21">
      <w:pPr>
        <w:pStyle w:val="a3"/>
        <w:rPr>
          <w:b/>
          <w:lang w:val="pl-PL"/>
        </w:rPr>
      </w:pPr>
      <w:r w:rsidRPr="008F328C">
        <w:rPr>
          <w:rFonts w:eastAsia="Times New Roman"/>
          <w:b/>
          <w:bCs/>
          <w:lang w:val="pl-PL"/>
        </w:rPr>
        <w:t>Zgłaszanie działań niepożądanych</w:t>
      </w:r>
    </w:p>
    <w:p w14:paraId="4A8D7816" w14:textId="77777777" w:rsidR="00094D21" w:rsidRPr="008F328C" w:rsidRDefault="00094D21" w:rsidP="00094D21">
      <w:pPr>
        <w:pStyle w:val="a3"/>
        <w:rPr>
          <w:sz w:val="10"/>
          <w:szCs w:val="10"/>
          <w:lang w:val="pl-PL"/>
        </w:rPr>
      </w:pPr>
    </w:p>
    <w:p w14:paraId="3044C5C6" w14:textId="77777777" w:rsidR="00094D21" w:rsidRPr="008F328C" w:rsidRDefault="00094D21" w:rsidP="00094D21">
      <w:pPr>
        <w:pStyle w:val="a3"/>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Działania niepożądane można zgłaszać bezpośrednio do „</w:t>
      </w:r>
      <w:r w:rsidRPr="008F328C">
        <w:rPr>
          <w:rFonts w:eastAsia="Times New Roman"/>
          <w:highlight w:val="lightGray"/>
          <w:lang w:val="pl-PL"/>
        </w:rPr>
        <w:t xml:space="preserve">krajowego systemu zgłaszania” wymienionego w </w:t>
      </w:r>
      <w:hyperlink r:id="rId95" w:history="1">
        <w:r w:rsidRPr="008F328C">
          <w:rPr>
            <w:rFonts w:eastAsia="Times New Roman"/>
            <w:color w:val="0000FF"/>
            <w:highlight w:val="lightGray"/>
            <w:u w:val="single"/>
            <w:lang w:val="pl-PL"/>
          </w:rPr>
          <w:t>załączniku V</w:t>
        </w:r>
      </w:hyperlink>
      <w:r w:rsidRPr="008F328C">
        <w:rPr>
          <w:rFonts w:eastAsia="Times New Roman"/>
          <w:lang w:val="pl-PL"/>
        </w:rPr>
        <w:t>. Dzięki zgłaszaniu działań niepożądanych można będzie zgromadzić więcej informacji na temat bezpieczeństwa stosowania leku.</w:t>
      </w:r>
    </w:p>
    <w:p w14:paraId="7006B285" w14:textId="131E276D" w:rsidR="00094D21" w:rsidRPr="008F328C" w:rsidRDefault="00094D21" w:rsidP="00094D21">
      <w:pPr>
        <w:spacing w:line="200" w:lineRule="exact"/>
        <w:rPr>
          <w:rFonts w:ascii="Times New Roman" w:hAnsi="Times New Roman" w:cs="Times New Roman"/>
          <w:sz w:val="20"/>
          <w:szCs w:val="20"/>
          <w:lang w:val="pl-PL"/>
        </w:rPr>
      </w:pPr>
    </w:p>
    <w:p w14:paraId="06DB471C" w14:textId="77777777" w:rsidR="00CC4159" w:rsidRPr="008F328C" w:rsidRDefault="00CC4159" w:rsidP="00094D21">
      <w:pPr>
        <w:spacing w:line="200" w:lineRule="exact"/>
        <w:rPr>
          <w:rFonts w:ascii="Times New Roman" w:hAnsi="Times New Roman" w:cs="Times New Roman"/>
          <w:sz w:val="20"/>
          <w:szCs w:val="20"/>
          <w:lang w:val="pl-PL"/>
        </w:rPr>
      </w:pPr>
    </w:p>
    <w:p w14:paraId="4BFB8E41" w14:textId="77777777" w:rsidR="00094D21" w:rsidRPr="008F328C" w:rsidRDefault="00094D21" w:rsidP="00CC4159">
      <w:pPr>
        <w:pStyle w:val="a4"/>
        <w:numPr>
          <w:ilvl w:val="0"/>
          <w:numId w:val="124"/>
        </w:numPr>
        <w:spacing w:before="18"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Jak przechowywać lek Yuflyma</w:t>
      </w:r>
    </w:p>
    <w:p w14:paraId="0C8D29DC" w14:textId="77777777" w:rsidR="00094D21" w:rsidRPr="008F328C" w:rsidRDefault="00094D21" w:rsidP="00094D21">
      <w:pPr>
        <w:pStyle w:val="a3"/>
        <w:rPr>
          <w:lang w:val="pl-PL"/>
        </w:rPr>
      </w:pPr>
    </w:p>
    <w:p w14:paraId="1E8B9306" w14:textId="77777777" w:rsidR="00094D21" w:rsidRPr="008F328C" w:rsidRDefault="00094D21" w:rsidP="00094D21">
      <w:pPr>
        <w:pStyle w:val="a3"/>
        <w:rPr>
          <w:lang w:val="pl-PL"/>
        </w:rPr>
      </w:pPr>
      <w:r w:rsidRPr="008F328C">
        <w:rPr>
          <w:rFonts w:eastAsia="Times New Roman"/>
          <w:lang w:val="pl-PL"/>
        </w:rPr>
        <w:t>Lek należy przechowywać w miejscu niewidocznym i niedostępnym dla dzieci.</w:t>
      </w:r>
    </w:p>
    <w:p w14:paraId="6B940633" w14:textId="77777777" w:rsidR="00094D21" w:rsidRPr="008F328C" w:rsidRDefault="00094D21" w:rsidP="00094D21">
      <w:pPr>
        <w:pStyle w:val="a3"/>
        <w:rPr>
          <w:lang w:val="pl-PL"/>
        </w:rPr>
      </w:pPr>
    </w:p>
    <w:p w14:paraId="28BEB522" w14:textId="77777777" w:rsidR="00094D21" w:rsidRPr="008F328C" w:rsidRDefault="00094D21" w:rsidP="00094D21">
      <w:pPr>
        <w:pStyle w:val="a3"/>
        <w:rPr>
          <w:lang w:val="pl-PL"/>
        </w:rPr>
      </w:pPr>
      <w:r w:rsidRPr="008F328C">
        <w:rPr>
          <w:rFonts w:eastAsia="Times New Roman"/>
          <w:lang w:val="pl-PL"/>
        </w:rPr>
        <w:t>Nie stosować tego leku po upływie terminu ważności zamieszczonego na etykiecie/pudełku tekturowym po skrócie EXP.</w:t>
      </w:r>
    </w:p>
    <w:p w14:paraId="3737B4B1" w14:textId="77777777" w:rsidR="00094D21" w:rsidRPr="008F328C" w:rsidRDefault="00094D21" w:rsidP="00094D21">
      <w:pPr>
        <w:pStyle w:val="a3"/>
        <w:rPr>
          <w:lang w:val="pl-PL"/>
        </w:rPr>
      </w:pPr>
    </w:p>
    <w:p w14:paraId="6F1BADE2" w14:textId="77777777" w:rsidR="00094D21" w:rsidRPr="008F328C" w:rsidRDefault="00094D21" w:rsidP="00094D21">
      <w:pPr>
        <w:pStyle w:val="a3"/>
        <w:rPr>
          <w:lang w:val="pl-PL"/>
        </w:rPr>
      </w:pPr>
      <w:r w:rsidRPr="008F328C">
        <w:rPr>
          <w:rFonts w:eastAsia="Times New Roman"/>
          <w:lang w:val="pl-PL"/>
        </w:rPr>
        <w:t>Przechowywać w lodówce (2°C–8°C). Nie zamrażać.</w:t>
      </w:r>
    </w:p>
    <w:p w14:paraId="13EAB12A" w14:textId="77777777" w:rsidR="00094D21" w:rsidRPr="008F328C" w:rsidRDefault="00094D21" w:rsidP="00094D21">
      <w:pPr>
        <w:pStyle w:val="a3"/>
        <w:rPr>
          <w:lang w:val="pl-PL"/>
        </w:rPr>
      </w:pPr>
    </w:p>
    <w:p w14:paraId="2D9B47B0" w14:textId="77777777" w:rsidR="00094D21" w:rsidRPr="008F328C" w:rsidRDefault="00094D21" w:rsidP="00094D21">
      <w:pPr>
        <w:pStyle w:val="a3"/>
        <w:rPr>
          <w:lang w:val="pl-PL"/>
        </w:rPr>
      </w:pPr>
      <w:r w:rsidRPr="008F328C">
        <w:rPr>
          <w:rFonts w:eastAsia="Times New Roman"/>
          <w:lang w:val="pl-PL"/>
        </w:rPr>
        <w:t xml:space="preserve">Przechowywać ampułko-strzykawkę </w:t>
      </w:r>
      <w:r w:rsidRPr="008F328C">
        <w:rPr>
          <w:rFonts w:eastAsia="Times New Roman"/>
          <w:highlight w:val="lightGray"/>
          <w:lang w:val="pl-PL"/>
        </w:rPr>
        <w:t>z osłoną igły</w:t>
      </w:r>
      <w:r w:rsidRPr="008F328C">
        <w:rPr>
          <w:rFonts w:eastAsia="Times New Roman"/>
          <w:lang w:val="pl-PL"/>
        </w:rPr>
        <w:t xml:space="preserve"> w opakowaniu zewnętrznym w celu ochrony przed światłem.</w:t>
      </w:r>
    </w:p>
    <w:p w14:paraId="391A03F4" w14:textId="77777777" w:rsidR="00094D21" w:rsidRPr="008F328C" w:rsidRDefault="00094D21" w:rsidP="00094D21">
      <w:pPr>
        <w:spacing w:before="13" w:line="240" w:lineRule="exact"/>
        <w:rPr>
          <w:rFonts w:ascii="Times New Roman" w:hAnsi="Times New Roman" w:cs="Times New Roman"/>
          <w:sz w:val="24"/>
          <w:szCs w:val="24"/>
          <w:lang w:val="pl-PL"/>
        </w:rPr>
      </w:pPr>
    </w:p>
    <w:p w14:paraId="36167963" w14:textId="77777777" w:rsidR="00094D21" w:rsidRPr="008F328C" w:rsidRDefault="00094D21" w:rsidP="00094D21">
      <w:pPr>
        <w:pStyle w:val="a3"/>
        <w:rPr>
          <w:lang w:val="pl-PL"/>
        </w:rPr>
      </w:pPr>
      <w:r w:rsidRPr="008F328C">
        <w:rPr>
          <w:rFonts w:eastAsia="Times New Roman"/>
          <w:lang w:val="pl-PL"/>
        </w:rPr>
        <w:t>Alternatywne metoda przechowywania:</w:t>
      </w:r>
    </w:p>
    <w:p w14:paraId="173BAB53" w14:textId="77777777" w:rsidR="00094D21" w:rsidRPr="008F328C" w:rsidRDefault="00094D21" w:rsidP="00094D21">
      <w:pPr>
        <w:spacing w:before="14" w:line="240" w:lineRule="exact"/>
        <w:rPr>
          <w:rFonts w:ascii="Times New Roman" w:hAnsi="Times New Roman" w:cs="Times New Roman"/>
          <w:sz w:val="24"/>
          <w:szCs w:val="24"/>
          <w:lang w:val="pl-PL"/>
        </w:rPr>
      </w:pPr>
    </w:p>
    <w:p w14:paraId="67285941" w14:textId="2AC6F392" w:rsidR="00094D21" w:rsidRPr="008F328C" w:rsidRDefault="00094D21" w:rsidP="00094D21">
      <w:pPr>
        <w:pStyle w:val="a3"/>
        <w:rPr>
          <w:lang w:val="pl-PL"/>
        </w:rPr>
      </w:pPr>
      <w:r w:rsidRPr="008F328C">
        <w:rPr>
          <w:rFonts w:eastAsia="Times New Roman"/>
          <w:lang w:val="pl-PL"/>
        </w:rPr>
        <w:t xml:space="preserve">W razie potrzeby (na przykład podczas podróży), pojedynczą ampułko-strzykawkę </w:t>
      </w:r>
      <w:r w:rsidRPr="008F328C">
        <w:rPr>
          <w:rFonts w:eastAsia="Times New Roman"/>
          <w:highlight w:val="lightGray"/>
          <w:lang w:val="pl-PL"/>
        </w:rPr>
        <w:t>z osłoną igły</w:t>
      </w:r>
      <w:r w:rsidRPr="008F328C">
        <w:rPr>
          <w:rFonts w:eastAsia="Times New Roman"/>
          <w:lang w:val="pl-PL"/>
        </w:rPr>
        <w:t xml:space="preserve"> z lekiem Yuflyma można przechowywać w temperaturze pokojowej (do 25°C) nie dłużej niż </w:t>
      </w:r>
      <w:r w:rsidR="00091741" w:rsidRPr="008F328C">
        <w:rPr>
          <w:rFonts w:eastAsia="Times New Roman"/>
          <w:lang w:val="pl-PL"/>
        </w:rPr>
        <w:t xml:space="preserve">31 </w:t>
      </w:r>
      <w:r w:rsidRPr="008F328C">
        <w:rPr>
          <w:rFonts w:eastAsia="Times New Roman"/>
          <w:lang w:val="pl-PL"/>
        </w:rPr>
        <w:t xml:space="preserve">dni (ampułko-strzykawkę należy chronić przed światłem). Po wyjęciu z lodówki, przechowywaną w temperaturze pokojowej ampułko-strzykawkę </w:t>
      </w:r>
      <w:r w:rsidRPr="008F328C">
        <w:rPr>
          <w:rFonts w:eastAsia="Times New Roman"/>
          <w:b/>
          <w:bCs/>
          <w:lang w:val="pl-PL"/>
        </w:rPr>
        <w:t xml:space="preserve">należy bezwzględnie zużyć w ciągu </w:t>
      </w:r>
      <w:r w:rsidR="00091741" w:rsidRPr="008F328C">
        <w:rPr>
          <w:rFonts w:eastAsia="Times New Roman"/>
          <w:b/>
          <w:bCs/>
          <w:lang w:val="pl-PL"/>
        </w:rPr>
        <w:t xml:space="preserve">31 </w:t>
      </w:r>
      <w:r w:rsidRPr="008F328C">
        <w:rPr>
          <w:rFonts w:eastAsia="Times New Roman"/>
          <w:b/>
          <w:bCs/>
          <w:lang w:val="pl-PL"/>
        </w:rPr>
        <w:t>dni lub wyrzucić</w:t>
      </w:r>
      <w:r w:rsidRPr="008F328C">
        <w:rPr>
          <w:rFonts w:eastAsia="Times New Roman"/>
          <w:lang w:val="pl-PL"/>
        </w:rPr>
        <w:t>, nawet wtedy, gdy zostanie na powrót umieszczona w lodówce.</w:t>
      </w:r>
    </w:p>
    <w:p w14:paraId="11F5051B" w14:textId="77777777" w:rsidR="00094D21" w:rsidRPr="008F328C" w:rsidRDefault="00094D21" w:rsidP="00094D21">
      <w:pPr>
        <w:spacing w:before="17" w:line="240" w:lineRule="exact"/>
        <w:rPr>
          <w:rFonts w:ascii="Times New Roman" w:hAnsi="Times New Roman" w:cs="Times New Roman"/>
          <w:sz w:val="24"/>
          <w:szCs w:val="24"/>
          <w:lang w:val="pl-PL"/>
        </w:rPr>
      </w:pPr>
    </w:p>
    <w:p w14:paraId="7FD1A543" w14:textId="77777777" w:rsidR="00094D21" w:rsidRPr="008F328C" w:rsidRDefault="00094D21" w:rsidP="00094D21">
      <w:pPr>
        <w:pStyle w:val="a3"/>
        <w:rPr>
          <w:lang w:val="pl-PL"/>
        </w:rPr>
      </w:pPr>
      <w:r w:rsidRPr="008F328C">
        <w:rPr>
          <w:rFonts w:eastAsia="Times New Roman"/>
          <w:lang w:val="pl-PL"/>
        </w:rPr>
        <w:t>Należy zapisać datę pierwszego wyjęcia ampułko-strzykawki z lodówki oraz datę, po której należy ją wyrzucić.</w:t>
      </w:r>
    </w:p>
    <w:p w14:paraId="28BDEDFB" w14:textId="77777777" w:rsidR="00094D21" w:rsidRPr="008F328C" w:rsidRDefault="00094D21" w:rsidP="00094D21">
      <w:pPr>
        <w:spacing w:before="14" w:line="240" w:lineRule="exact"/>
        <w:rPr>
          <w:rFonts w:ascii="Times New Roman" w:hAnsi="Times New Roman" w:cs="Times New Roman"/>
          <w:sz w:val="24"/>
          <w:szCs w:val="24"/>
          <w:lang w:val="pl-PL"/>
        </w:rPr>
      </w:pPr>
    </w:p>
    <w:p w14:paraId="195F8CBA" w14:textId="77777777" w:rsidR="00094D21" w:rsidRPr="008F328C" w:rsidRDefault="00094D21" w:rsidP="00094D21">
      <w:pPr>
        <w:pStyle w:val="a3"/>
        <w:rPr>
          <w:lang w:val="pl-PL"/>
        </w:rPr>
      </w:pPr>
      <w:r w:rsidRPr="008F328C">
        <w:rPr>
          <w:rFonts w:eastAsia="Times New Roman"/>
          <w:lang w:val="pl-PL"/>
        </w:rPr>
        <w:t>Leków nie należy wyrzucać do kanalizacji ani domowych pojemników na odpadki. Należy zapytać lekarza lub farmaceutę, jak usunąć leki, których się już nie używa. Takie postępowanie pomoże chronić środowisko.</w:t>
      </w:r>
    </w:p>
    <w:p w14:paraId="6D90DC65" w14:textId="2DBECCFF" w:rsidR="00094D21" w:rsidRPr="008F328C" w:rsidRDefault="00094D21" w:rsidP="00094D21">
      <w:pPr>
        <w:spacing w:before="18" w:line="240" w:lineRule="exact"/>
        <w:rPr>
          <w:rFonts w:ascii="Times New Roman" w:hAnsi="Times New Roman" w:cs="Times New Roman"/>
          <w:b/>
          <w:lang w:val="pl-PL"/>
        </w:rPr>
      </w:pPr>
    </w:p>
    <w:p w14:paraId="0BCB2489" w14:textId="77777777" w:rsidR="00CC4159" w:rsidRPr="008F328C" w:rsidRDefault="00CC4159" w:rsidP="00094D21">
      <w:pPr>
        <w:spacing w:before="18" w:line="240" w:lineRule="exact"/>
        <w:rPr>
          <w:rFonts w:ascii="Times New Roman" w:hAnsi="Times New Roman" w:cs="Times New Roman"/>
          <w:b/>
          <w:lang w:val="pl-PL"/>
        </w:rPr>
      </w:pPr>
    </w:p>
    <w:p w14:paraId="6963F2CB" w14:textId="77777777" w:rsidR="00094D21" w:rsidRPr="008F328C" w:rsidRDefault="00094D21" w:rsidP="00CC4159">
      <w:pPr>
        <w:pStyle w:val="a4"/>
        <w:numPr>
          <w:ilvl w:val="0"/>
          <w:numId w:val="124"/>
        </w:numPr>
        <w:spacing w:before="18"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Zawartość opakowania i inne informacje</w:t>
      </w:r>
    </w:p>
    <w:p w14:paraId="3A6654E6" w14:textId="77777777" w:rsidR="00094D21" w:rsidRPr="008F328C" w:rsidRDefault="00094D21" w:rsidP="00094D21">
      <w:pPr>
        <w:pStyle w:val="a4"/>
        <w:spacing w:before="18" w:line="240" w:lineRule="exact"/>
        <w:ind w:left="468"/>
        <w:rPr>
          <w:rFonts w:ascii="Times New Roman" w:hAnsi="Times New Roman" w:cs="Times New Roman"/>
          <w:b/>
          <w:lang w:val="pl-PL"/>
        </w:rPr>
      </w:pPr>
    </w:p>
    <w:p w14:paraId="02D3DEC4" w14:textId="77777777" w:rsidR="00094D21" w:rsidRPr="008F328C" w:rsidRDefault="00094D21" w:rsidP="00094D21">
      <w:pPr>
        <w:spacing w:before="18"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Co zawiera lek Yuflyma</w:t>
      </w:r>
    </w:p>
    <w:p w14:paraId="1515A533" w14:textId="77777777" w:rsidR="00094D21" w:rsidRPr="008F328C" w:rsidRDefault="00094D21" w:rsidP="00094D21">
      <w:pPr>
        <w:spacing w:before="18" w:line="240" w:lineRule="exact"/>
        <w:rPr>
          <w:rFonts w:ascii="Times New Roman" w:hAnsi="Times New Roman" w:cs="Times New Roman"/>
          <w:b/>
          <w:lang w:val="pl-PL"/>
        </w:rPr>
      </w:pPr>
    </w:p>
    <w:p w14:paraId="7A6F5E82" w14:textId="77777777" w:rsidR="00094D21" w:rsidRPr="008F328C" w:rsidRDefault="00094D21" w:rsidP="00094D21">
      <w:pPr>
        <w:pStyle w:val="a3"/>
        <w:rPr>
          <w:lang w:val="pl-PL"/>
        </w:rPr>
      </w:pPr>
      <w:r w:rsidRPr="008F328C">
        <w:rPr>
          <w:rFonts w:eastAsia="Times New Roman"/>
          <w:lang w:val="pl-PL"/>
        </w:rPr>
        <w:t>Substancją czynną leku jest adalimumab.</w:t>
      </w:r>
    </w:p>
    <w:p w14:paraId="1D898EED" w14:textId="77777777" w:rsidR="00094D21" w:rsidRPr="008F328C" w:rsidRDefault="00094D21" w:rsidP="00094D21">
      <w:pPr>
        <w:pStyle w:val="a3"/>
        <w:rPr>
          <w:lang w:val="pl-PL"/>
        </w:rPr>
      </w:pPr>
      <w:r w:rsidRPr="008F328C">
        <w:rPr>
          <w:rFonts w:eastAsia="Times New Roman"/>
          <w:lang w:val="pl-PL"/>
        </w:rPr>
        <w:t>Inne składniki leku to: kwas octowy,sodu octan trójwodny, glicyna, polisorbat 80 i woda dowstrzykiwań.</w:t>
      </w:r>
    </w:p>
    <w:p w14:paraId="413CCA94" w14:textId="77777777" w:rsidR="00094D21" w:rsidRPr="008F328C" w:rsidRDefault="00094D21" w:rsidP="00094D21">
      <w:pPr>
        <w:pStyle w:val="a3"/>
        <w:rPr>
          <w:lang w:val="pl-PL"/>
        </w:rPr>
      </w:pPr>
    </w:p>
    <w:p w14:paraId="5434573F" w14:textId="77777777" w:rsidR="00094D21" w:rsidRPr="008F328C" w:rsidRDefault="00094D21" w:rsidP="00094D21">
      <w:pPr>
        <w:pStyle w:val="a3"/>
        <w:rPr>
          <w:b/>
          <w:lang w:val="pl-PL"/>
        </w:rPr>
      </w:pPr>
      <w:r w:rsidRPr="008F328C">
        <w:rPr>
          <w:rFonts w:eastAsia="Times New Roman"/>
          <w:b/>
          <w:bCs/>
          <w:lang w:val="pl-PL"/>
        </w:rPr>
        <w:t xml:space="preserve">Jak wygląda lek Yuflyma w ampułko-strzykawce </w:t>
      </w:r>
      <w:r w:rsidRPr="008F328C">
        <w:rPr>
          <w:rFonts w:eastAsia="Times New Roman"/>
          <w:b/>
          <w:bCs/>
          <w:highlight w:val="lightGray"/>
          <w:lang w:val="pl-PL"/>
        </w:rPr>
        <w:t>z osłoną igły</w:t>
      </w:r>
      <w:r w:rsidRPr="008F328C">
        <w:rPr>
          <w:rFonts w:eastAsia="Times New Roman"/>
          <w:b/>
          <w:bCs/>
          <w:lang w:val="pl-PL"/>
        </w:rPr>
        <w:t xml:space="preserve"> i co zawiera opakowanie</w:t>
      </w:r>
    </w:p>
    <w:p w14:paraId="7703F0AA" w14:textId="77777777" w:rsidR="00094D21" w:rsidRPr="008F328C" w:rsidRDefault="00094D21" w:rsidP="00094D21">
      <w:pPr>
        <w:spacing w:before="12" w:line="240" w:lineRule="exact"/>
        <w:rPr>
          <w:rFonts w:ascii="Times New Roman" w:hAnsi="Times New Roman" w:cs="Times New Roman"/>
          <w:sz w:val="24"/>
          <w:szCs w:val="24"/>
          <w:lang w:val="pl-PL"/>
        </w:rPr>
      </w:pPr>
    </w:p>
    <w:p w14:paraId="6D348F5C" w14:textId="77777777" w:rsidR="00094D21" w:rsidRPr="008F328C" w:rsidRDefault="00094D21" w:rsidP="00094D21">
      <w:pPr>
        <w:pStyle w:val="a3"/>
        <w:rPr>
          <w:lang w:val="pl-PL"/>
        </w:rPr>
      </w:pPr>
      <w:r w:rsidRPr="008F328C">
        <w:rPr>
          <w:rFonts w:eastAsia="Times New Roman"/>
          <w:lang w:val="pl-PL"/>
        </w:rPr>
        <w:t xml:space="preserve">Lek Yuflyma 80 mg roztwór do wstrzykiwań w ampułko-strzykawce </w:t>
      </w:r>
      <w:r w:rsidRPr="008F328C">
        <w:rPr>
          <w:rFonts w:eastAsia="Times New Roman"/>
          <w:highlight w:val="lightGray"/>
          <w:lang w:val="pl-PL"/>
        </w:rPr>
        <w:t>z osłoną igły</w:t>
      </w:r>
      <w:r w:rsidRPr="008F328C">
        <w:rPr>
          <w:rFonts w:eastAsia="Times New Roman"/>
          <w:lang w:val="pl-PL"/>
        </w:rPr>
        <w:t xml:space="preserve"> jest dostarczany w postaci jałowego roztworu 80 mg adalimumabu rozpuszczonego w 0,8 ml roztworu.</w:t>
      </w:r>
    </w:p>
    <w:p w14:paraId="146CA1F4" w14:textId="77777777" w:rsidR="00094D21" w:rsidRPr="008F328C" w:rsidRDefault="00094D21" w:rsidP="00094D21">
      <w:pPr>
        <w:spacing w:before="11" w:line="240" w:lineRule="exact"/>
        <w:rPr>
          <w:rFonts w:ascii="Times New Roman" w:hAnsi="Times New Roman" w:cs="Times New Roman"/>
          <w:sz w:val="24"/>
          <w:szCs w:val="24"/>
          <w:lang w:val="pl-PL"/>
        </w:rPr>
      </w:pPr>
    </w:p>
    <w:p w14:paraId="106944C7" w14:textId="77777777" w:rsidR="001B153D" w:rsidRPr="008F328C" w:rsidRDefault="00094D21" w:rsidP="00094D21">
      <w:pPr>
        <w:pStyle w:val="a3"/>
        <w:rPr>
          <w:rFonts w:eastAsia="Times New Roman"/>
          <w:lang w:val="pl-PL"/>
        </w:rPr>
      </w:pPr>
      <w:r w:rsidRPr="008F328C">
        <w:rPr>
          <w:rFonts w:eastAsia="Times New Roman"/>
          <w:lang w:val="pl-PL"/>
        </w:rPr>
        <w:lastRenderedPageBreak/>
        <w:t xml:space="preserve">Ampułko-strzykawka z lekiem Yuflyma jest szklaną strzykawką zawierającą roztwór adalimumabu. 1 opakowanie z ampułko-strzykawką zawiera 2 gaziki nasączone alkoholem (1 zapasowy). </w:t>
      </w:r>
    </w:p>
    <w:p w14:paraId="27EE654C" w14:textId="77777777" w:rsidR="00094D21" w:rsidRPr="008F328C" w:rsidRDefault="00094D21" w:rsidP="00094D21">
      <w:pPr>
        <w:pStyle w:val="a3"/>
        <w:rPr>
          <w:lang w:val="pl-PL"/>
        </w:rPr>
      </w:pPr>
    </w:p>
    <w:p w14:paraId="3C9F7E2A" w14:textId="6D20B113" w:rsidR="00094D21" w:rsidRPr="008F328C" w:rsidRDefault="001B153D" w:rsidP="008E70FE">
      <w:pPr>
        <w:pStyle w:val="a3"/>
        <w:rPr>
          <w:rFonts w:eastAsia="Times New Roman"/>
          <w:highlight w:val="lightGray"/>
          <w:lang w:val="pl-PL"/>
        </w:rPr>
      </w:pPr>
      <w:r w:rsidRPr="008F328C">
        <w:rPr>
          <w:rFonts w:eastAsia="Times New Roman"/>
          <w:highlight w:val="lightGray"/>
          <w:lang w:val="pl-PL"/>
        </w:rPr>
        <w:t>Ampułko-strzykawka z lekiem Yuflyma jest szklaną strzykawką z osłoną igły zawierającą roztwór adalimumabu. 1 opakowanie z ampułko-strzykawką z osłoną igły zawiera 2 gaziki nasączone alkoholem (1 zapasowy) alkoholem.</w:t>
      </w:r>
    </w:p>
    <w:p w14:paraId="225E7FCB" w14:textId="77777777" w:rsidR="00094D21" w:rsidRPr="008F328C" w:rsidRDefault="00094D21" w:rsidP="00094D21">
      <w:pPr>
        <w:spacing w:before="13" w:line="240" w:lineRule="exact"/>
        <w:rPr>
          <w:rFonts w:ascii="Times New Roman" w:hAnsi="Times New Roman" w:cs="Times New Roman"/>
          <w:sz w:val="24"/>
          <w:szCs w:val="24"/>
          <w:lang w:val="pl-PL"/>
        </w:rPr>
      </w:pPr>
    </w:p>
    <w:p w14:paraId="1E594E10" w14:textId="77777777" w:rsidR="00094D21" w:rsidRPr="008F328C" w:rsidRDefault="00094D21" w:rsidP="00094D21">
      <w:pPr>
        <w:pStyle w:val="a3"/>
        <w:rPr>
          <w:lang w:val="pl-PL"/>
        </w:rPr>
      </w:pPr>
      <w:r w:rsidRPr="008F328C">
        <w:rPr>
          <w:rFonts w:eastAsia="Times New Roman"/>
          <w:lang w:val="pl-PL"/>
        </w:rPr>
        <w:t>Produkt Yuflyma może być dostępny w ampułko-strzykawce i (lub) półautomatycznym wstrzykiwaczu.</w:t>
      </w:r>
    </w:p>
    <w:p w14:paraId="631481F2" w14:textId="77777777" w:rsidR="00094D21" w:rsidRPr="008F328C" w:rsidRDefault="00094D21" w:rsidP="00094D21">
      <w:pPr>
        <w:spacing w:before="18" w:line="240" w:lineRule="exact"/>
        <w:rPr>
          <w:rFonts w:ascii="Times New Roman" w:hAnsi="Times New Roman" w:cs="Times New Roman"/>
          <w:sz w:val="24"/>
          <w:szCs w:val="24"/>
          <w:lang w:val="pl-PL"/>
        </w:rPr>
      </w:pPr>
    </w:p>
    <w:p w14:paraId="24C9FB5B" w14:textId="77777777" w:rsidR="00094D21" w:rsidRPr="008F328C" w:rsidRDefault="00094D21" w:rsidP="00094D21">
      <w:pPr>
        <w:pStyle w:val="a3"/>
        <w:rPr>
          <w:b/>
          <w:lang w:val="pl-PL"/>
        </w:rPr>
      </w:pPr>
      <w:r w:rsidRPr="008F328C">
        <w:rPr>
          <w:rFonts w:eastAsia="Times New Roman"/>
          <w:b/>
          <w:bCs/>
          <w:lang w:val="pl-PL"/>
        </w:rPr>
        <w:t>Podmiot odpowiedzialny</w:t>
      </w:r>
    </w:p>
    <w:p w14:paraId="73BC8EBF" w14:textId="77777777" w:rsidR="00094D21" w:rsidRPr="008F328C" w:rsidRDefault="00094D21" w:rsidP="00094D21">
      <w:pPr>
        <w:spacing w:before="12" w:line="240" w:lineRule="exact"/>
        <w:rPr>
          <w:rFonts w:ascii="Times New Roman" w:hAnsi="Times New Roman" w:cs="Times New Roman"/>
          <w:sz w:val="24"/>
          <w:szCs w:val="24"/>
          <w:lang w:val="pl-PL"/>
        </w:rPr>
      </w:pPr>
    </w:p>
    <w:p w14:paraId="23BD3A89" w14:textId="77777777" w:rsidR="00094D21" w:rsidRPr="008F328C" w:rsidRDefault="00094D21" w:rsidP="00094D21">
      <w:pPr>
        <w:pStyle w:val="a3"/>
        <w:rPr>
          <w:lang w:val="pl-PL"/>
        </w:rPr>
      </w:pPr>
      <w:r w:rsidRPr="008F328C">
        <w:rPr>
          <w:lang w:val="pl-PL"/>
        </w:rPr>
        <w:t xml:space="preserve">Celltrion Healthcare Hungary Kft. </w:t>
      </w:r>
    </w:p>
    <w:p w14:paraId="2D7B6B11" w14:textId="77777777" w:rsidR="00094D21" w:rsidRPr="008F328C" w:rsidRDefault="00094D21" w:rsidP="00094D21">
      <w:pPr>
        <w:pStyle w:val="a3"/>
      </w:pPr>
      <w:r w:rsidRPr="008F328C">
        <w:t>1062 Budapest</w:t>
      </w:r>
    </w:p>
    <w:p w14:paraId="72C74816" w14:textId="77777777" w:rsidR="00094D21" w:rsidRPr="008F328C" w:rsidRDefault="00094D21" w:rsidP="00094D21">
      <w:pPr>
        <w:pStyle w:val="a3"/>
      </w:pPr>
      <w:r w:rsidRPr="008F328C">
        <w:t>Váci út 1-3. WestEnd Office Building B torony</w:t>
      </w:r>
    </w:p>
    <w:p w14:paraId="622556D2" w14:textId="77777777" w:rsidR="00094D21" w:rsidRPr="008F328C" w:rsidRDefault="00094D21" w:rsidP="00094D21">
      <w:pPr>
        <w:pStyle w:val="a3"/>
      </w:pPr>
      <w:r w:rsidRPr="008F328C">
        <w:rPr>
          <w:rFonts w:eastAsia="Times New Roman"/>
        </w:rPr>
        <w:t>Węgry</w:t>
      </w:r>
    </w:p>
    <w:p w14:paraId="4D80A69B" w14:textId="77777777" w:rsidR="00094D21" w:rsidRPr="008F328C" w:rsidRDefault="00094D21" w:rsidP="00094D21">
      <w:pPr>
        <w:spacing w:before="15" w:line="240" w:lineRule="exact"/>
        <w:rPr>
          <w:rFonts w:ascii="Times New Roman" w:hAnsi="Times New Roman" w:cs="Times New Roman"/>
          <w:b/>
          <w:sz w:val="24"/>
          <w:szCs w:val="24"/>
        </w:rPr>
      </w:pPr>
    </w:p>
    <w:p w14:paraId="5B846CDC" w14:textId="77777777" w:rsidR="00094D21" w:rsidRPr="008F328C" w:rsidRDefault="00094D21" w:rsidP="00094D21">
      <w:pPr>
        <w:pStyle w:val="a3"/>
        <w:rPr>
          <w:b/>
        </w:rPr>
      </w:pPr>
      <w:r w:rsidRPr="008F328C">
        <w:rPr>
          <w:rFonts w:eastAsia="Times New Roman"/>
          <w:b/>
          <w:bCs/>
        </w:rPr>
        <w:t>Wytwórca</w:t>
      </w:r>
    </w:p>
    <w:p w14:paraId="02512AFD" w14:textId="77777777" w:rsidR="00094D21" w:rsidRPr="008F328C" w:rsidRDefault="00094D21" w:rsidP="00094D21">
      <w:pPr>
        <w:spacing w:before="12" w:line="240" w:lineRule="exact"/>
        <w:rPr>
          <w:rFonts w:ascii="Times New Roman" w:hAnsi="Times New Roman" w:cs="Times New Roman"/>
          <w:b/>
          <w:sz w:val="24"/>
          <w:szCs w:val="24"/>
        </w:rPr>
      </w:pPr>
    </w:p>
    <w:p w14:paraId="7EEAD112" w14:textId="5376B186" w:rsidR="00094D21" w:rsidRPr="008F328C" w:rsidDel="009E0A16" w:rsidRDefault="00094D21" w:rsidP="00094D21">
      <w:pPr>
        <w:pStyle w:val="a3"/>
        <w:rPr>
          <w:del w:id="110" w:author="만든 이"/>
        </w:rPr>
      </w:pPr>
      <w:del w:id="111" w:author="만든 이">
        <w:r w:rsidRPr="008F328C" w:rsidDel="009E0A16">
          <w:delText>Millmount Healthcare Ltd.</w:delText>
        </w:r>
      </w:del>
    </w:p>
    <w:p w14:paraId="1163A358" w14:textId="1239343B" w:rsidR="00094D21" w:rsidRPr="008F328C" w:rsidDel="009E0A16" w:rsidRDefault="00094D21" w:rsidP="00094D21">
      <w:pPr>
        <w:pStyle w:val="a3"/>
        <w:rPr>
          <w:del w:id="112" w:author="만든 이"/>
        </w:rPr>
      </w:pPr>
      <w:del w:id="113" w:author="만든 이">
        <w:r w:rsidRPr="008F328C" w:rsidDel="009E0A16">
          <w:delText>Block 7</w:delText>
        </w:r>
      </w:del>
    </w:p>
    <w:p w14:paraId="367E1E7E" w14:textId="7B6DAB12" w:rsidR="00094D21" w:rsidRPr="008F328C" w:rsidDel="009E0A16" w:rsidRDefault="00094D21" w:rsidP="00094D21">
      <w:pPr>
        <w:pStyle w:val="a3"/>
        <w:rPr>
          <w:del w:id="114" w:author="만든 이"/>
        </w:rPr>
      </w:pPr>
      <w:del w:id="115" w:author="만든 이">
        <w:r w:rsidRPr="008F328C" w:rsidDel="009E0A16">
          <w:delText>City North Business Campus</w:delText>
        </w:r>
      </w:del>
    </w:p>
    <w:p w14:paraId="1F64921B" w14:textId="3DC59675" w:rsidR="00094D21" w:rsidRPr="008F328C" w:rsidDel="009E0A16" w:rsidRDefault="00094D21" w:rsidP="00094D21">
      <w:pPr>
        <w:pStyle w:val="a3"/>
        <w:rPr>
          <w:del w:id="116" w:author="만든 이"/>
          <w:lang w:val="en-GB"/>
        </w:rPr>
      </w:pPr>
      <w:del w:id="117" w:author="만든 이">
        <w:r w:rsidRPr="008F328C" w:rsidDel="009E0A16">
          <w:delText xml:space="preserve">Stamullen, Co. </w:delText>
        </w:r>
        <w:r w:rsidRPr="008F328C" w:rsidDel="009E0A16">
          <w:rPr>
            <w:lang w:val="en-GB"/>
          </w:rPr>
          <w:delText>Meath K32 YD60</w:delText>
        </w:r>
      </w:del>
    </w:p>
    <w:p w14:paraId="7045D07A" w14:textId="3E6B85DA" w:rsidR="00094D21" w:rsidRPr="008F328C" w:rsidDel="009E0A16" w:rsidRDefault="00094D21" w:rsidP="00094D21">
      <w:pPr>
        <w:pStyle w:val="a3"/>
        <w:rPr>
          <w:del w:id="118" w:author="만든 이"/>
          <w:rFonts w:eastAsia="Times New Roman"/>
          <w:lang w:val="en-GB"/>
        </w:rPr>
      </w:pPr>
      <w:del w:id="119" w:author="만든 이">
        <w:r w:rsidRPr="008F328C" w:rsidDel="009E0A16">
          <w:rPr>
            <w:rFonts w:eastAsia="Times New Roman"/>
            <w:lang w:val="en-GB"/>
          </w:rPr>
          <w:delText>Irlandia</w:delText>
        </w:r>
      </w:del>
    </w:p>
    <w:p w14:paraId="415BBAC7" w14:textId="3DFAD895" w:rsidR="00094D21" w:rsidRPr="008F328C" w:rsidDel="009E0A16" w:rsidRDefault="00094D21" w:rsidP="00094D21">
      <w:pPr>
        <w:pStyle w:val="a3"/>
        <w:rPr>
          <w:del w:id="120" w:author="만든 이"/>
          <w:rFonts w:eastAsia="Times New Roman"/>
          <w:lang w:val="en-GB"/>
        </w:rPr>
      </w:pPr>
    </w:p>
    <w:p w14:paraId="5AB76C60" w14:textId="77777777" w:rsidR="009E0A16" w:rsidRPr="007E66D4" w:rsidRDefault="009E0A16" w:rsidP="009E0A16">
      <w:pPr>
        <w:pStyle w:val="a3"/>
        <w:rPr>
          <w:moveTo w:id="121" w:author="만든 이" w16du:dateUtc="2025-09-09T06:15:00Z"/>
          <w:lang w:val="fr-CA"/>
        </w:rPr>
      </w:pPr>
      <w:moveToRangeStart w:id="122" w:author="만든 이" w:name="move208323369"/>
      <w:moveTo w:id="123" w:author="만든 이" w16du:dateUtc="2025-09-09T06:15:00Z">
        <w:r w:rsidRPr="007E66D4">
          <w:rPr>
            <w:lang w:val="fr-CA"/>
          </w:rPr>
          <w:t>Nuvisan France SARL</w:t>
        </w:r>
      </w:moveTo>
    </w:p>
    <w:p w14:paraId="49C5841A" w14:textId="77777777" w:rsidR="009E0A16" w:rsidRPr="007E66D4" w:rsidRDefault="009E0A16" w:rsidP="009E0A16">
      <w:pPr>
        <w:pStyle w:val="a3"/>
        <w:rPr>
          <w:moveTo w:id="124" w:author="만든 이" w16du:dateUtc="2025-09-09T06:15:00Z"/>
          <w:lang w:val="fr-CA"/>
        </w:rPr>
      </w:pPr>
      <w:moveTo w:id="125" w:author="만든 이" w16du:dateUtc="2025-09-09T06:15:00Z">
        <w:r w:rsidRPr="007E66D4">
          <w:rPr>
            <w:lang w:val="fr-CA"/>
          </w:rPr>
          <w:t>2400, Route des Colles</w:t>
        </w:r>
      </w:moveTo>
    </w:p>
    <w:p w14:paraId="3969C27F" w14:textId="77777777" w:rsidR="009E0A16" w:rsidRPr="008F328C" w:rsidRDefault="009E0A16" w:rsidP="009E0A16">
      <w:pPr>
        <w:pStyle w:val="a3"/>
        <w:rPr>
          <w:moveTo w:id="126" w:author="만든 이" w16du:dateUtc="2025-09-09T06:15:00Z"/>
          <w:lang w:val="pl-PL"/>
        </w:rPr>
      </w:pPr>
      <w:moveTo w:id="127" w:author="만든 이" w16du:dateUtc="2025-09-09T06:15:00Z">
        <w:r w:rsidRPr="008F328C">
          <w:rPr>
            <w:lang w:val="pl-PL"/>
          </w:rPr>
          <w:t>06410, Biot</w:t>
        </w:r>
      </w:moveTo>
    </w:p>
    <w:p w14:paraId="29574EF1" w14:textId="77777777" w:rsidR="009E0A16" w:rsidRPr="008F328C" w:rsidRDefault="009E0A16" w:rsidP="009E0A16">
      <w:pPr>
        <w:pStyle w:val="a3"/>
        <w:rPr>
          <w:moveTo w:id="128" w:author="만든 이" w16du:dateUtc="2025-09-09T06:15:00Z"/>
          <w:lang w:val="pl-PL"/>
        </w:rPr>
      </w:pPr>
      <w:moveTo w:id="129" w:author="만든 이" w16du:dateUtc="2025-09-09T06:15:00Z">
        <w:r w:rsidRPr="008F328C">
          <w:rPr>
            <w:lang w:val="pl-PL"/>
          </w:rPr>
          <w:t>Francja</w:t>
        </w:r>
      </w:moveTo>
    </w:p>
    <w:p w14:paraId="157C2DFF" w14:textId="77777777" w:rsidR="009E0A16" w:rsidRPr="00494296" w:rsidRDefault="009E0A16" w:rsidP="009E0A16">
      <w:pPr>
        <w:pStyle w:val="a3"/>
        <w:rPr>
          <w:moveTo w:id="130" w:author="만든 이" w16du:dateUtc="2025-09-09T06:15:00Z"/>
        </w:rPr>
      </w:pPr>
    </w:p>
    <w:moveToRangeEnd w:id="122"/>
    <w:p w14:paraId="771931D7" w14:textId="77777777" w:rsidR="00094D21" w:rsidRPr="009958EA" w:rsidRDefault="00094D21" w:rsidP="00094D21">
      <w:pPr>
        <w:pStyle w:val="a3"/>
        <w:rPr>
          <w:shd w:val="pct15" w:color="auto" w:fill="FFFFFF"/>
        </w:rPr>
      </w:pPr>
      <w:r w:rsidRPr="009958EA">
        <w:rPr>
          <w:shd w:val="pct15" w:color="auto" w:fill="FFFFFF"/>
        </w:rPr>
        <w:t>Nuvisan GmbH</w:t>
      </w:r>
    </w:p>
    <w:p w14:paraId="1C9A053C" w14:textId="58F3DF1A" w:rsidR="00094D21" w:rsidRPr="009958EA" w:rsidRDefault="00094D21" w:rsidP="00094D21">
      <w:pPr>
        <w:pStyle w:val="a3"/>
        <w:rPr>
          <w:shd w:val="pct15" w:color="auto" w:fill="FFFFFF"/>
          <w:lang w:val="de-CH"/>
        </w:rPr>
      </w:pPr>
      <w:r w:rsidRPr="009958EA">
        <w:rPr>
          <w:shd w:val="pct15" w:color="auto" w:fill="FFFFFF"/>
          <w:lang w:val="de-CH"/>
        </w:rPr>
        <w:t>Wegenerstraße 13</w:t>
      </w:r>
    </w:p>
    <w:p w14:paraId="5BC799A6" w14:textId="4F7F1580" w:rsidR="00094D21" w:rsidRPr="009958EA" w:rsidRDefault="00094D21" w:rsidP="00094D21">
      <w:pPr>
        <w:pStyle w:val="a3"/>
        <w:rPr>
          <w:shd w:val="pct15" w:color="auto" w:fill="FFFFFF"/>
          <w:lang w:val="de-CH"/>
        </w:rPr>
      </w:pPr>
      <w:r w:rsidRPr="009958EA">
        <w:rPr>
          <w:shd w:val="pct15" w:color="auto" w:fill="FFFFFF"/>
          <w:lang w:val="de-CH"/>
        </w:rPr>
        <w:t>89231 Neu</w:t>
      </w:r>
      <w:r w:rsidR="00190E6B" w:rsidRPr="009958EA">
        <w:rPr>
          <w:rFonts w:hint="eastAsia"/>
          <w:shd w:val="pct15" w:color="auto" w:fill="FFFFFF"/>
          <w:lang w:val="de-CH" w:eastAsia="ko-KR"/>
        </w:rPr>
        <w:t>-</w:t>
      </w:r>
      <w:r w:rsidRPr="009958EA">
        <w:rPr>
          <w:shd w:val="pct15" w:color="auto" w:fill="FFFFFF"/>
          <w:lang w:val="de-CH"/>
        </w:rPr>
        <w:t>Ulm</w:t>
      </w:r>
    </w:p>
    <w:p w14:paraId="135E60C1" w14:textId="77777777" w:rsidR="00094D21" w:rsidRPr="00494296" w:rsidRDefault="00094D21" w:rsidP="00094D21">
      <w:pPr>
        <w:pStyle w:val="a3"/>
        <w:rPr>
          <w:shd w:val="pct15" w:color="auto" w:fill="FFFFFF"/>
          <w:lang w:val="fr-CA"/>
        </w:rPr>
      </w:pPr>
      <w:r w:rsidRPr="00494296">
        <w:rPr>
          <w:shd w:val="pct15" w:color="auto" w:fill="FFFFFF"/>
          <w:lang w:val="fr-CA"/>
        </w:rPr>
        <w:t>Niemcy</w:t>
      </w:r>
    </w:p>
    <w:p w14:paraId="26B291B9" w14:textId="77777777" w:rsidR="00094D21" w:rsidRPr="00494296" w:rsidRDefault="00094D21" w:rsidP="00094D21">
      <w:pPr>
        <w:pStyle w:val="a3"/>
        <w:rPr>
          <w:shd w:val="pct15" w:color="auto" w:fill="FFFFFF"/>
          <w:lang w:val="fr-CA"/>
        </w:rPr>
      </w:pPr>
    </w:p>
    <w:p w14:paraId="2B8D363B" w14:textId="36A1B137" w:rsidR="00094D21" w:rsidRPr="00494296" w:rsidDel="009E0A16" w:rsidRDefault="00094D21" w:rsidP="00094D21">
      <w:pPr>
        <w:pStyle w:val="a3"/>
        <w:rPr>
          <w:moveFrom w:id="131" w:author="만든 이" w16du:dateUtc="2025-09-09T06:15:00Z"/>
          <w:shd w:val="pct15" w:color="auto" w:fill="FFFFFF"/>
          <w:lang w:val="fr-CA"/>
        </w:rPr>
      </w:pPr>
      <w:moveFromRangeStart w:id="132" w:author="만든 이" w:name="move208323369"/>
      <w:moveFrom w:id="133" w:author="만든 이" w16du:dateUtc="2025-09-09T06:15:00Z">
        <w:r w:rsidRPr="00494296" w:rsidDel="009E0A16">
          <w:rPr>
            <w:shd w:val="pct15" w:color="auto" w:fill="FFFFFF"/>
            <w:lang w:val="fr-CA"/>
          </w:rPr>
          <w:t>Nuvisan France SARL</w:t>
        </w:r>
      </w:moveFrom>
    </w:p>
    <w:p w14:paraId="63664EF9" w14:textId="62C498C2" w:rsidR="00094D21" w:rsidRPr="00494296" w:rsidDel="009E0A16" w:rsidRDefault="00094D21" w:rsidP="00094D21">
      <w:pPr>
        <w:pStyle w:val="a3"/>
        <w:rPr>
          <w:moveFrom w:id="134" w:author="만든 이" w16du:dateUtc="2025-09-09T06:15:00Z"/>
          <w:shd w:val="pct15" w:color="auto" w:fill="FFFFFF"/>
          <w:lang w:val="fr-CA"/>
        </w:rPr>
      </w:pPr>
      <w:moveFrom w:id="135" w:author="만든 이" w16du:dateUtc="2025-09-09T06:15:00Z">
        <w:r w:rsidRPr="00494296" w:rsidDel="009E0A16">
          <w:rPr>
            <w:shd w:val="pct15" w:color="auto" w:fill="FFFFFF"/>
            <w:lang w:val="fr-CA"/>
          </w:rPr>
          <w:t>2400, Route des Colles</w:t>
        </w:r>
      </w:moveFrom>
    </w:p>
    <w:p w14:paraId="66F0829E" w14:textId="4B7EC2A2" w:rsidR="00094D21" w:rsidRPr="009958EA" w:rsidDel="009E0A16" w:rsidRDefault="00094D21" w:rsidP="00094D21">
      <w:pPr>
        <w:pStyle w:val="a3"/>
        <w:rPr>
          <w:moveFrom w:id="136" w:author="만든 이" w16du:dateUtc="2025-09-09T06:15:00Z"/>
          <w:shd w:val="pct15" w:color="auto" w:fill="FFFFFF"/>
          <w:lang w:val="pl-PL"/>
        </w:rPr>
      </w:pPr>
      <w:moveFrom w:id="137" w:author="만든 이" w16du:dateUtc="2025-09-09T06:15:00Z">
        <w:r w:rsidRPr="009958EA" w:rsidDel="009E0A16">
          <w:rPr>
            <w:shd w:val="pct15" w:color="auto" w:fill="FFFFFF"/>
            <w:lang w:val="pl-PL"/>
          </w:rPr>
          <w:t>06410, Biot</w:t>
        </w:r>
      </w:moveFrom>
    </w:p>
    <w:p w14:paraId="33CFD146" w14:textId="11F0E353" w:rsidR="00094D21" w:rsidRPr="009958EA" w:rsidDel="009E0A16" w:rsidRDefault="00094D21" w:rsidP="00094D21">
      <w:pPr>
        <w:pStyle w:val="a3"/>
        <w:rPr>
          <w:moveFrom w:id="138" w:author="만든 이" w16du:dateUtc="2025-09-09T06:15:00Z"/>
          <w:shd w:val="pct15" w:color="auto" w:fill="FFFFFF"/>
          <w:lang w:val="pl-PL"/>
        </w:rPr>
      </w:pPr>
      <w:moveFrom w:id="139" w:author="만든 이" w16du:dateUtc="2025-09-09T06:15:00Z">
        <w:r w:rsidRPr="009958EA" w:rsidDel="009E0A16">
          <w:rPr>
            <w:shd w:val="pct15" w:color="auto" w:fill="FFFFFF"/>
            <w:lang w:val="pl-PL"/>
          </w:rPr>
          <w:t>Francja</w:t>
        </w:r>
      </w:moveFrom>
    </w:p>
    <w:p w14:paraId="0D321D69" w14:textId="614D9C46" w:rsidR="008D1574" w:rsidRPr="00494296" w:rsidDel="009E0A16" w:rsidRDefault="008D1574" w:rsidP="008D1574">
      <w:pPr>
        <w:pStyle w:val="a3"/>
        <w:rPr>
          <w:moveFrom w:id="140" w:author="만든 이" w16du:dateUtc="2025-09-09T06:15:00Z"/>
          <w:shd w:val="pct15" w:color="auto" w:fill="FFFFFF"/>
          <w:lang w:val="fr-CA"/>
        </w:rPr>
      </w:pPr>
    </w:p>
    <w:moveFromRangeEnd w:id="132"/>
    <w:p w14:paraId="569EFD0A" w14:textId="77777777" w:rsidR="008D1574" w:rsidRPr="009958EA" w:rsidRDefault="008D1574" w:rsidP="008D1574">
      <w:pPr>
        <w:pStyle w:val="a3"/>
        <w:rPr>
          <w:shd w:val="pct15" w:color="auto" w:fill="FFFFFF"/>
          <w:lang w:val="fr-FR"/>
        </w:rPr>
      </w:pPr>
      <w:r w:rsidRPr="009958EA">
        <w:rPr>
          <w:shd w:val="pct15" w:color="auto" w:fill="FFFFFF"/>
          <w:lang w:val="fr-FR"/>
        </w:rPr>
        <w:t>Midas Pharma GmbH</w:t>
      </w:r>
    </w:p>
    <w:p w14:paraId="2C5E55CE" w14:textId="6CD996A0" w:rsidR="008D1574" w:rsidRPr="009958EA" w:rsidRDefault="008D1574" w:rsidP="008D1574">
      <w:pPr>
        <w:pStyle w:val="a3"/>
        <w:rPr>
          <w:shd w:val="pct15" w:color="auto" w:fill="FFFFFF"/>
          <w:lang w:val="fr-FR"/>
        </w:rPr>
      </w:pPr>
      <w:r w:rsidRPr="009958EA">
        <w:rPr>
          <w:shd w:val="pct15" w:color="auto" w:fill="FFFFFF"/>
          <w:lang w:val="fr-FR"/>
        </w:rPr>
        <w:t>Rheinstr. 49</w:t>
      </w:r>
    </w:p>
    <w:p w14:paraId="3A0E8C43" w14:textId="7274733B" w:rsidR="008D1574" w:rsidRPr="009958EA" w:rsidRDefault="008D1574" w:rsidP="008D1574">
      <w:pPr>
        <w:pStyle w:val="a3"/>
        <w:rPr>
          <w:shd w:val="pct15" w:color="auto" w:fill="FFFFFF"/>
          <w:lang w:val="fr-FR"/>
        </w:rPr>
      </w:pPr>
      <w:r w:rsidRPr="009958EA">
        <w:rPr>
          <w:shd w:val="pct15" w:color="auto" w:fill="FFFFFF"/>
          <w:lang w:val="fr-FR"/>
        </w:rPr>
        <w:t>55218 Ingelheim</w:t>
      </w:r>
    </w:p>
    <w:p w14:paraId="5B27CAAB" w14:textId="77777777" w:rsidR="008D1574" w:rsidRPr="009958EA" w:rsidRDefault="008D1574" w:rsidP="008D1574">
      <w:pPr>
        <w:pStyle w:val="a3"/>
        <w:rPr>
          <w:shd w:val="pct15" w:color="auto" w:fill="FFFFFF"/>
          <w:lang w:val="de-CH"/>
        </w:rPr>
      </w:pPr>
      <w:r w:rsidRPr="009958EA">
        <w:rPr>
          <w:shd w:val="pct15" w:color="auto" w:fill="FFFFFF"/>
          <w:lang w:val="de-CH"/>
        </w:rPr>
        <w:t>Niemcy</w:t>
      </w:r>
    </w:p>
    <w:p w14:paraId="2096E448" w14:textId="77777777" w:rsidR="008D1574" w:rsidRPr="009958EA" w:rsidRDefault="008D1574" w:rsidP="008D1574">
      <w:pPr>
        <w:pStyle w:val="a3"/>
        <w:rPr>
          <w:shd w:val="pct15" w:color="auto" w:fill="FFFFFF"/>
          <w:lang w:val="fr-FR"/>
        </w:rPr>
      </w:pPr>
    </w:p>
    <w:p w14:paraId="57C04FAF" w14:textId="5017CA35" w:rsidR="008D1574" w:rsidRPr="009958EA" w:rsidRDefault="008D1574" w:rsidP="008D1574">
      <w:pPr>
        <w:pStyle w:val="a3"/>
        <w:rPr>
          <w:shd w:val="pct15" w:color="auto" w:fill="FFFFFF"/>
          <w:lang w:val="fr-FR"/>
        </w:rPr>
      </w:pPr>
      <w:r w:rsidRPr="009958EA">
        <w:rPr>
          <w:shd w:val="pct15" w:color="auto" w:fill="FFFFFF"/>
          <w:lang w:val="fr-FR"/>
        </w:rPr>
        <w:t>KYMOS S.L.</w:t>
      </w:r>
    </w:p>
    <w:p w14:paraId="07BDC8E4" w14:textId="7875890E" w:rsidR="008D1574" w:rsidRPr="009958EA" w:rsidRDefault="008D1574" w:rsidP="008D1574">
      <w:pPr>
        <w:pStyle w:val="a3"/>
        <w:rPr>
          <w:shd w:val="pct15" w:color="auto" w:fill="FFFFFF"/>
          <w:lang w:val="fr-FR"/>
        </w:rPr>
      </w:pPr>
      <w:r w:rsidRPr="009958EA">
        <w:rPr>
          <w:shd w:val="pct15" w:color="auto" w:fill="FFFFFF"/>
          <w:lang w:val="fr-FR"/>
        </w:rPr>
        <w:t>Ronda Can Fatjó, 7B.</w:t>
      </w:r>
    </w:p>
    <w:p w14:paraId="16D07DEA" w14:textId="3130BC26" w:rsidR="008D1574" w:rsidRPr="009958EA" w:rsidRDefault="008D1574" w:rsidP="008D1574">
      <w:pPr>
        <w:pStyle w:val="a3"/>
        <w:rPr>
          <w:shd w:val="pct15" w:color="auto" w:fill="FFFFFF"/>
          <w:lang w:val="fr-FR"/>
        </w:rPr>
      </w:pPr>
      <w:r w:rsidRPr="009958EA">
        <w:rPr>
          <w:shd w:val="pct15" w:color="auto" w:fill="FFFFFF"/>
          <w:lang w:val="fr-FR"/>
        </w:rPr>
        <w:t>08290 Cerdanyola del Vallès</w:t>
      </w:r>
    </w:p>
    <w:p w14:paraId="577B3E7E" w14:textId="0F6B686D" w:rsidR="008D1574" w:rsidRPr="009958EA" w:rsidRDefault="008D1574" w:rsidP="008D1574">
      <w:pPr>
        <w:pStyle w:val="a3"/>
        <w:rPr>
          <w:shd w:val="pct15" w:color="auto" w:fill="FFFFFF"/>
          <w:lang w:val="fr-FR"/>
        </w:rPr>
      </w:pPr>
      <w:r w:rsidRPr="009958EA">
        <w:rPr>
          <w:shd w:val="pct15" w:color="auto" w:fill="FFFFFF"/>
          <w:lang w:val="fr-FR"/>
        </w:rPr>
        <w:t>Barcelona</w:t>
      </w:r>
    </w:p>
    <w:p w14:paraId="2E19425D" w14:textId="77777777" w:rsidR="008D1574" w:rsidRPr="009958EA" w:rsidRDefault="008D1574" w:rsidP="008D1574">
      <w:pPr>
        <w:pStyle w:val="a3"/>
        <w:rPr>
          <w:shd w:val="pct15" w:color="auto" w:fill="FFFFFF"/>
          <w:lang w:val="fr-FR"/>
        </w:rPr>
      </w:pPr>
      <w:r w:rsidRPr="009958EA">
        <w:rPr>
          <w:shd w:val="pct15" w:color="auto" w:fill="FFFFFF"/>
          <w:lang w:val="fr-FR"/>
        </w:rPr>
        <w:t>Hiszpania</w:t>
      </w:r>
    </w:p>
    <w:p w14:paraId="469C3728" w14:textId="77777777" w:rsidR="00094D21" w:rsidRPr="008F328C" w:rsidRDefault="00094D21" w:rsidP="00094D21">
      <w:pPr>
        <w:spacing w:before="14" w:line="240" w:lineRule="exact"/>
        <w:rPr>
          <w:rFonts w:ascii="Times New Roman" w:hAnsi="Times New Roman" w:cs="Times New Roman"/>
          <w:sz w:val="24"/>
          <w:szCs w:val="24"/>
          <w:lang w:val="fr-FR"/>
        </w:rPr>
      </w:pPr>
    </w:p>
    <w:p w14:paraId="71FCD35E" w14:textId="77777777" w:rsidR="00094D21" w:rsidRPr="008F328C" w:rsidRDefault="00094D21" w:rsidP="00094D21">
      <w:pPr>
        <w:pStyle w:val="a3"/>
        <w:rPr>
          <w:lang w:val="pl-PL"/>
        </w:rPr>
      </w:pPr>
      <w:r w:rsidRPr="008F328C">
        <w:rPr>
          <w:rFonts w:eastAsia="Times New Roman"/>
          <w:lang w:val="pl-PL"/>
        </w:rPr>
        <w:t>W celu uzyskania bardziej szczegółowych informacji dotyczących tego leku należy zwrócić się do miejscowego przedstawiciela podmiotu odpowiedzialnego:</w:t>
      </w:r>
    </w:p>
    <w:p w14:paraId="0B45B530" w14:textId="77777777" w:rsidR="00094D21" w:rsidRPr="008F328C" w:rsidRDefault="00094D21" w:rsidP="00094D21">
      <w:pPr>
        <w:numPr>
          <w:ilvl w:val="12"/>
          <w:numId w:val="0"/>
        </w:numPr>
        <w:ind w:right="-2"/>
        <w:rPr>
          <w:rFonts w:ascii="Times New Roman" w:hAnsi="Times New Roman" w:cs="Times New Roman"/>
          <w:b/>
          <w:lang w:val="pl-PL"/>
        </w:rPr>
      </w:pPr>
    </w:p>
    <w:tbl>
      <w:tblPr>
        <w:tblW w:w="5000" w:type="pct"/>
        <w:tblLook w:val="04A0" w:firstRow="1" w:lastRow="0" w:firstColumn="1" w:lastColumn="0" w:noHBand="0" w:noVBand="1"/>
      </w:tblPr>
      <w:tblGrid>
        <w:gridCol w:w="4702"/>
        <w:gridCol w:w="4702"/>
      </w:tblGrid>
      <w:tr w:rsidR="00094D21" w:rsidRPr="008F328C" w14:paraId="4D864BE9" w14:textId="77777777" w:rsidTr="008A03B2">
        <w:tc>
          <w:tcPr>
            <w:tcW w:w="2500" w:type="pct"/>
            <w:hideMark/>
          </w:tcPr>
          <w:p w14:paraId="0C44A59E" w14:textId="77777777" w:rsidR="00094D21" w:rsidRPr="008F328C" w:rsidRDefault="00094D21" w:rsidP="008A03B2">
            <w:pPr>
              <w:rPr>
                <w:rFonts w:ascii="Times New Roman" w:hAnsi="Times New Roman" w:cs="Times New Roman"/>
                <w:b/>
                <w:lang w:val="en-GB" w:eastAsia="fr-FR"/>
              </w:rPr>
            </w:pPr>
            <w:r w:rsidRPr="008F328C">
              <w:rPr>
                <w:rFonts w:ascii="Times New Roman" w:eastAsia="맑은 고딕" w:hAnsi="Times New Roman" w:cs="Times New Roman"/>
                <w:b/>
                <w:lang w:val="en-GB" w:eastAsia="fr-FR"/>
              </w:rPr>
              <w:lastRenderedPageBreak/>
              <w:t>België/Belgique/Belgien</w:t>
            </w:r>
          </w:p>
          <w:p w14:paraId="40925432" w14:textId="77777777" w:rsidR="00094D21" w:rsidRPr="008F328C" w:rsidRDefault="00094D21" w:rsidP="008A03B2">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Belgium BVBA</w:t>
            </w:r>
          </w:p>
          <w:p w14:paraId="48B4EC0A" w14:textId="77777777" w:rsidR="00094D21" w:rsidRPr="008F328C" w:rsidRDefault="00094D21" w:rsidP="008A03B2">
            <w:pPr>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Tél/Tel: + 32 1528 7418</w:t>
            </w:r>
          </w:p>
        </w:tc>
        <w:tc>
          <w:tcPr>
            <w:tcW w:w="2500" w:type="pct"/>
          </w:tcPr>
          <w:p w14:paraId="5FD0085C" w14:textId="77777777" w:rsidR="00094D21" w:rsidRPr="008F328C" w:rsidRDefault="00094D21" w:rsidP="008A03B2">
            <w:pPr>
              <w:tabs>
                <w:tab w:val="left" w:pos="-720"/>
              </w:tabs>
              <w:suppressAutoHyphens/>
              <w:rPr>
                <w:rFonts w:ascii="Times New Roman" w:hAnsi="Times New Roman" w:cs="Times New Roman"/>
                <w:b/>
                <w:lang w:val="en-GB" w:eastAsia="fr-FR"/>
              </w:rPr>
            </w:pPr>
            <w:r w:rsidRPr="008F328C">
              <w:rPr>
                <w:rFonts w:ascii="Times New Roman" w:hAnsi="Times New Roman" w:cs="Times New Roman"/>
                <w:b/>
                <w:lang w:val="en-GB" w:eastAsia="fr-FR"/>
              </w:rPr>
              <w:t>Lietuva</w:t>
            </w:r>
          </w:p>
          <w:p w14:paraId="4ADD8B43"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0345B03"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3945B7A" w14:textId="77777777" w:rsidR="00094D21" w:rsidRPr="008F328C" w:rsidRDefault="00094D21" w:rsidP="008A03B2">
            <w:pPr>
              <w:autoSpaceDE w:val="0"/>
              <w:autoSpaceDN w:val="0"/>
              <w:adjustRightInd w:val="0"/>
              <w:rPr>
                <w:rFonts w:ascii="Times New Roman" w:hAnsi="Times New Roman" w:cs="Times New Roman"/>
                <w:lang w:val="en-GB" w:eastAsia="fr-FR"/>
              </w:rPr>
            </w:pPr>
          </w:p>
        </w:tc>
      </w:tr>
      <w:tr w:rsidR="00094D21" w:rsidRPr="008F328C" w14:paraId="70BD7CC6" w14:textId="77777777" w:rsidTr="008A03B2">
        <w:trPr>
          <w:trHeight w:val="619"/>
        </w:trPr>
        <w:tc>
          <w:tcPr>
            <w:tcW w:w="2500" w:type="pct"/>
          </w:tcPr>
          <w:p w14:paraId="341AF566"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hAnsi="Times New Roman" w:cs="Times New Roman"/>
                <w:b/>
                <w:bCs/>
                <w:lang w:val="pl-PL"/>
              </w:rPr>
              <w:t>България</w:t>
            </w:r>
          </w:p>
          <w:p w14:paraId="09451609"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A6B11CA"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Teл.: +36 1 231 0493</w:t>
            </w:r>
          </w:p>
          <w:p w14:paraId="389646E7" w14:textId="77777777" w:rsidR="00094D21" w:rsidRPr="008F328C" w:rsidRDefault="00094D21" w:rsidP="008A03B2">
            <w:pPr>
              <w:rPr>
                <w:rFonts w:ascii="Times New Roman" w:hAnsi="Times New Roman" w:cs="Times New Roman"/>
                <w:lang w:val="en-GB" w:eastAsia="fr-FR"/>
              </w:rPr>
            </w:pPr>
          </w:p>
        </w:tc>
        <w:tc>
          <w:tcPr>
            <w:tcW w:w="2500" w:type="pct"/>
            <w:hideMark/>
          </w:tcPr>
          <w:p w14:paraId="782AE18F" w14:textId="77777777" w:rsidR="00094D21" w:rsidRPr="008F328C" w:rsidRDefault="00094D21" w:rsidP="008A03B2">
            <w:pPr>
              <w:tabs>
                <w:tab w:val="left" w:pos="-720"/>
              </w:tabs>
              <w:suppressAutoHyphens/>
              <w:rPr>
                <w:rFonts w:ascii="Times New Roman" w:hAnsi="Times New Roman" w:cs="Times New Roman"/>
                <w:lang w:val="de-CH" w:eastAsia="fr-FR"/>
              </w:rPr>
            </w:pPr>
            <w:r w:rsidRPr="008F328C">
              <w:rPr>
                <w:rFonts w:ascii="Times New Roman" w:eastAsia="맑은 고딕" w:hAnsi="Times New Roman" w:cs="Times New Roman"/>
                <w:b/>
                <w:lang w:val="de-CH" w:eastAsia="fr-FR"/>
              </w:rPr>
              <w:t>Luxembourg/Luxemburg</w:t>
            </w:r>
          </w:p>
          <w:p w14:paraId="201C1C65" w14:textId="77777777" w:rsidR="00094D21" w:rsidRPr="008F328C" w:rsidRDefault="00094D21" w:rsidP="008A03B2">
            <w:pPr>
              <w:tabs>
                <w:tab w:val="left" w:pos="-720"/>
              </w:tabs>
              <w:suppressAutoHyphens/>
              <w:rPr>
                <w:rFonts w:ascii="Times New Roman" w:eastAsia="맑은 고딕" w:hAnsi="Times New Roman" w:cs="Times New Roman"/>
                <w:iCs/>
                <w:lang w:val="de-CH" w:eastAsia="fr-FR"/>
              </w:rPr>
            </w:pPr>
            <w:r w:rsidRPr="008F328C">
              <w:rPr>
                <w:rFonts w:ascii="Times New Roman" w:eastAsia="맑은 고딕" w:hAnsi="Times New Roman" w:cs="Times New Roman"/>
                <w:iCs/>
                <w:lang w:val="de-CH" w:eastAsia="fr-FR"/>
              </w:rPr>
              <w:t>Celltrion Healthcare Belgium BVBA</w:t>
            </w:r>
          </w:p>
          <w:p w14:paraId="717A0277" w14:textId="77777777" w:rsidR="00094D21" w:rsidRPr="008F328C" w:rsidRDefault="00094D21" w:rsidP="008A03B2">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 xml:space="preserve">Tél/Tel: </w:t>
            </w:r>
            <w:r w:rsidRPr="008F328C">
              <w:rPr>
                <w:rFonts w:ascii="Times New Roman" w:eastAsia="맑은 고딕" w:hAnsi="Times New Roman" w:cs="Times New Roman"/>
                <w:iCs/>
                <w:lang w:val="pl-PL" w:eastAsia="fr-FR"/>
              </w:rPr>
              <w:t>+ 32 1528 7418</w:t>
            </w:r>
          </w:p>
        </w:tc>
      </w:tr>
      <w:tr w:rsidR="00094D21" w:rsidRPr="008F328C" w14:paraId="56DBDC04" w14:textId="77777777" w:rsidTr="008A03B2">
        <w:tc>
          <w:tcPr>
            <w:tcW w:w="2500" w:type="pct"/>
            <w:hideMark/>
          </w:tcPr>
          <w:p w14:paraId="3068A759" w14:textId="77777777" w:rsidR="00094D21" w:rsidRPr="008F328C" w:rsidRDefault="00094D21" w:rsidP="008A03B2">
            <w:pPr>
              <w:tabs>
                <w:tab w:val="left" w:pos="-720"/>
              </w:tabs>
              <w:suppressAutoHyphens/>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Česká republika</w:t>
            </w:r>
          </w:p>
          <w:p w14:paraId="39E8DF11"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7F99A0BB" w14:textId="5EFAB766" w:rsidR="00094D21" w:rsidRPr="008F328C" w:rsidRDefault="00094D21" w:rsidP="00494296">
            <w:pPr>
              <w:tabs>
                <w:tab w:val="left" w:pos="-720"/>
              </w:tabs>
              <w:suppressAutoHyphens/>
              <w:rPr>
                <w:rFonts w:ascii="Times New Roman" w:hAnsi="Times New Roman" w:cs="Times New Roman"/>
                <w:lang w:val="pl-PL" w:eastAsia="fr-FR"/>
              </w:rPr>
            </w:pPr>
            <w:r w:rsidRPr="008F328C">
              <w:rPr>
                <w:rFonts w:ascii="Times New Roman" w:eastAsia="맑은 고딕" w:hAnsi="Times New Roman" w:cs="Times New Roman"/>
                <w:lang w:val="pl-PL" w:eastAsia="fr-FR"/>
              </w:rPr>
              <w:t>Tel: +36 1 231 0493</w:t>
            </w:r>
          </w:p>
        </w:tc>
        <w:tc>
          <w:tcPr>
            <w:tcW w:w="2500" w:type="pct"/>
          </w:tcPr>
          <w:p w14:paraId="43B82E01"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hAnsi="Times New Roman" w:cs="Times New Roman"/>
                <w:b/>
                <w:lang w:val="en-GB"/>
              </w:rPr>
              <w:t>Magyarország</w:t>
            </w:r>
          </w:p>
          <w:p w14:paraId="0BC9B0D0"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73B73792" w14:textId="535ABA24" w:rsidR="00094D21" w:rsidRPr="008F328C" w:rsidRDefault="00094D21" w:rsidP="00494296">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Tel.: +36 1 231 0493</w:t>
            </w:r>
          </w:p>
        </w:tc>
      </w:tr>
      <w:tr w:rsidR="00094D21" w:rsidRPr="008F328C" w14:paraId="5A9BE606" w14:textId="77777777" w:rsidTr="008A03B2">
        <w:tc>
          <w:tcPr>
            <w:tcW w:w="2500" w:type="pct"/>
            <w:hideMark/>
          </w:tcPr>
          <w:p w14:paraId="4B946895" w14:textId="77777777" w:rsidR="00094D21" w:rsidRPr="008F328C" w:rsidRDefault="00094D21" w:rsidP="008A03B2">
            <w:pPr>
              <w:tabs>
                <w:tab w:val="left" w:pos="-720"/>
              </w:tabs>
              <w:suppressAutoHyphens/>
              <w:rPr>
                <w:rFonts w:ascii="Times New Roman" w:hAnsi="Times New Roman" w:cs="Times New Roman"/>
                <w:b/>
                <w:bCs/>
                <w:i/>
                <w:iCs/>
                <w:lang w:val="en-GB" w:eastAsia="fr-FR"/>
              </w:rPr>
            </w:pPr>
            <w:r w:rsidRPr="008F328C">
              <w:rPr>
                <w:rFonts w:ascii="Times New Roman" w:hAnsi="Times New Roman" w:cs="Times New Roman"/>
                <w:b/>
                <w:lang w:val="en-GB"/>
              </w:rPr>
              <w:t>Danmark</w:t>
            </w:r>
          </w:p>
          <w:p w14:paraId="177D01E2" w14:textId="77777777" w:rsidR="00094D21" w:rsidRPr="008F328C" w:rsidRDefault="00094D21" w:rsidP="008A03B2">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Hungary Kft.</w:t>
            </w:r>
          </w:p>
          <w:p w14:paraId="31BE0834"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tc>
        <w:tc>
          <w:tcPr>
            <w:tcW w:w="2500" w:type="pct"/>
          </w:tcPr>
          <w:p w14:paraId="624D8935" w14:textId="77777777" w:rsidR="00094D21" w:rsidRPr="008F328C" w:rsidRDefault="00094D21" w:rsidP="008A03B2">
            <w:pPr>
              <w:rPr>
                <w:rFonts w:ascii="Times New Roman" w:hAnsi="Times New Roman" w:cs="Times New Roman"/>
                <w:lang w:val="en-GB" w:eastAsia="fr-FR"/>
              </w:rPr>
            </w:pPr>
            <w:r w:rsidRPr="008F328C">
              <w:rPr>
                <w:rFonts w:ascii="Times New Roman" w:eastAsia="맑은 고딕" w:hAnsi="Times New Roman" w:cs="Times New Roman"/>
                <w:b/>
                <w:lang w:val="en-GB" w:eastAsia="fr-FR"/>
              </w:rPr>
              <w:t>Malta</w:t>
            </w:r>
          </w:p>
          <w:p w14:paraId="539599AF" w14:textId="2D28A50B" w:rsidR="00094D21" w:rsidRPr="008F328C" w:rsidRDefault="007F4EDB" w:rsidP="008A03B2">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Mint Health Ltd.</w:t>
            </w:r>
          </w:p>
          <w:p w14:paraId="2D35A9D7" w14:textId="0B5064B4" w:rsidR="00094D21" w:rsidRPr="008F328C" w:rsidRDefault="00094D21" w:rsidP="008A03B2">
            <w:pPr>
              <w:rPr>
                <w:rFonts w:ascii="Times New Roman" w:eastAsia="맑은 고딕" w:hAnsi="Times New Roman" w:cs="Times New Roman"/>
                <w:lang w:val="en-GB" w:eastAsia="ko-KR"/>
              </w:rPr>
            </w:pPr>
            <w:r w:rsidRPr="008F328C">
              <w:rPr>
                <w:rFonts w:ascii="Times New Roman" w:eastAsia="맑은 고딕" w:hAnsi="Times New Roman" w:cs="Times New Roman"/>
                <w:lang w:val="en-GB" w:eastAsia="fr-FR"/>
              </w:rPr>
              <w:t xml:space="preserve">Tel: +356 </w:t>
            </w:r>
            <w:r w:rsidR="007F4EDB" w:rsidRPr="008F328C">
              <w:rPr>
                <w:rFonts w:ascii="Times New Roman" w:eastAsia="맑은 고딕" w:hAnsi="Times New Roman" w:cs="Times New Roman"/>
                <w:lang w:val="en-GB" w:eastAsia="fr-FR"/>
              </w:rPr>
              <w:t>2093 9800</w:t>
            </w:r>
          </w:p>
          <w:p w14:paraId="7EC159B8" w14:textId="77777777" w:rsidR="00094D21" w:rsidRPr="008F328C" w:rsidRDefault="00094D21" w:rsidP="008A03B2">
            <w:pPr>
              <w:rPr>
                <w:rFonts w:ascii="Times New Roman" w:eastAsia="맑은 고딕" w:hAnsi="Times New Roman" w:cs="Times New Roman"/>
                <w:lang w:val="en-GB" w:eastAsia="ko-KR"/>
              </w:rPr>
            </w:pPr>
          </w:p>
        </w:tc>
      </w:tr>
      <w:tr w:rsidR="00094D21" w:rsidRPr="008F328C" w14:paraId="635B31B3" w14:textId="77777777" w:rsidTr="008A03B2">
        <w:tc>
          <w:tcPr>
            <w:tcW w:w="2500" w:type="pct"/>
            <w:hideMark/>
          </w:tcPr>
          <w:p w14:paraId="29D44986" w14:textId="77777777" w:rsidR="00094D21" w:rsidRPr="008F328C" w:rsidRDefault="00094D21" w:rsidP="008A03B2">
            <w:pPr>
              <w:rPr>
                <w:rFonts w:ascii="Times New Roman" w:hAnsi="Times New Roman" w:cs="Times New Roman"/>
                <w:b/>
                <w:lang w:eastAsia="fr-FR"/>
              </w:rPr>
            </w:pPr>
            <w:r w:rsidRPr="008F328C">
              <w:rPr>
                <w:rFonts w:ascii="Times New Roman" w:eastAsia="맑은 고딕" w:hAnsi="Times New Roman" w:cs="Times New Roman"/>
                <w:b/>
                <w:lang w:eastAsia="fr-FR"/>
              </w:rPr>
              <w:t>Deutschland</w:t>
            </w:r>
          </w:p>
          <w:p w14:paraId="2D5B1FFC" w14:textId="77777777" w:rsidR="00171E41" w:rsidRPr="00171E41" w:rsidRDefault="00171E41" w:rsidP="00171E41">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Celltrion Healthcare Deutschland GmbH</w:t>
            </w:r>
          </w:p>
          <w:p w14:paraId="5D25F80C" w14:textId="3B92D1D4" w:rsidR="006A381F" w:rsidRDefault="00171E41" w:rsidP="00171E41">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Tel. +49 (0)</w:t>
            </w:r>
            <w:r w:rsidR="0023510F">
              <w:rPr>
                <w:rFonts w:ascii="Times New Roman" w:eastAsia="맑은 고딕" w:hAnsi="Times New Roman" w:cs="Times New Roman"/>
                <w:lang w:eastAsia="fr-FR"/>
              </w:rPr>
              <w:t>30 346494150</w:t>
            </w:r>
            <w:r w:rsidRPr="00171E41">
              <w:rPr>
                <w:rFonts w:ascii="Times New Roman" w:eastAsia="맑은 고딕" w:hAnsi="Times New Roman" w:cs="Times New Roman"/>
                <w:lang w:eastAsia="fr-FR"/>
              </w:rPr>
              <w:t xml:space="preserve"> </w:t>
            </w:r>
          </w:p>
          <w:p w14:paraId="417A3075" w14:textId="77777777" w:rsidR="006A381F" w:rsidRDefault="006A381F" w:rsidP="006A381F">
            <w:pPr>
              <w:rPr>
                <w:rFonts w:ascii="Times New Roman" w:eastAsia="맑은 고딕" w:hAnsi="Times New Roman" w:cs="Times New Roman"/>
                <w:lang w:eastAsia="fr-FR"/>
              </w:rPr>
            </w:pPr>
            <w:hyperlink r:id="rId96" w:history="1">
              <w:r w:rsidRPr="009F265B">
                <w:rPr>
                  <w:rStyle w:val="ad"/>
                  <w:rFonts w:ascii="Times New Roman" w:eastAsia="맑은 고딕" w:hAnsi="Times New Roman" w:cs="Times New Roman"/>
                  <w:lang w:eastAsia="fr-FR"/>
                </w:rPr>
                <w:t>infoDE@celltrionhc.com</w:t>
              </w:r>
            </w:hyperlink>
          </w:p>
          <w:p w14:paraId="24191CC9" w14:textId="77777777" w:rsidR="006A381F" w:rsidRPr="008F328C" w:rsidRDefault="006A381F" w:rsidP="00171E41">
            <w:pPr>
              <w:rPr>
                <w:rFonts w:ascii="Times New Roman" w:eastAsia="맑은 고딕" w:hAnsi="Times New Roman" w:cs="Times New Roman"/>
                <w:lang w:eastAsia="fr-FR"/>
              </w:rPr>
            </w:pPr>
          </w:p>
          <w:p w14:paraId="4882DD88"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p>
        </w:tc>
        <w:tc>
          <w:tcPr>
            <w:tcW w:w="2500" w:type="pct"/>
          </w:tcPr>
          <w:p w14:paraId="5F7989A3" w14:textId="77777777" w:rsidR="00094D21" w:rsidRPr="008F328C" w:rsidRDefault="00094D21" w:rsidP="008A03B2">
            <w:pPr>
              <w:rPr>
                <w:rFonts w:ascii="Times New Roman" w:hAnsi="Times New Roman" w:cs="Times New Roman"/>
                <w:lang w:eastAsia="fr-FR"/>
              </w:rPr>
            </w:pPr>
            <w:r w:rsidRPr="008F328C">
              <w:rPr>
                <w:rFonts w:ascii="Times New Roman" w:eastAsia="맑은 고딕" w:hAnsi="Times New Roman" w:cs="Times New Roman"/>
                <w:b/>
                <w:lang w:eastAsia="fr-FR"/>
              </w:rPr>
              <w:t>Nederland</w:t>
            </w:r>
          </w:p>
          <w:p w14:paraId="54A22D3F"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Netherlands B.V.</w:t>
            </w:r>
          </w:p>
          <w:p w14:paraId="6CAEAD77"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+ 31 20 888 7300</w:t>
            </w:r>
          </w:p>
          <w:p w14:paraId="0441976F" w14:textId="77777777" w:rsidR="00094D21" w:rsidRPr="008F328C" w:rsidRDefault="00094D21" w:rsidP="008A03B2">
            <w:pPr>
              <w:rPr>
                <w:rFonts w:ascii="Times New Roman" w:eastAsia="맑은 고딕" w:hAnsi="Times New Roman" w:cs="Times New Roman"/>
                <w:lang w:val="pl-PL" w:eastAsia="fr-FR"/>
              </w:rPr>
            </w:pPr>
          </w:p>
        </w:tc>
      </w:tr>
      <w:tr w:rsidR="00094D21" w:rsidRPr="008F328C" w14:paraId="46ACFF77" w14:textId="77777777" w:rsidTr="008A03B2">
        <w:tc>
          <w:tcPr>
            <w:tcW w:w="2500" w:type="pct"/>
            <w:hideMark/>
          </w:tcPr>
          <w:p w14:paraId="3C8E7898" w14:textId="77777777" w:rsidR="00094D21" w:rsidRPr="008F328C" w:rsidRDefault="00094D21" w:rsidP="008A03B2">
            <w:pPr>
              <w:tabs>
                <w:tab w:val="left" w:pos="-720"/>
                <w:tab w:val="left" w:pos="4536"/>
              </w:tabs>
              <w:suppressAutoHyphens/>
              <w:rPr>
                <w:rFonts w:ascii="Times New Roman" w:hAnsi="Times New Roman" w:cs="Times New Roman"/>
                <w:b/>
                <w:lang w:eastAsia="fr-FR"/>
              </w:rPr>
            </w:pPr>
            <w:r w:rsidRPr="008F328C">
              <w:rPr>
                <w:rFonts w:ascii="Times New Roman" w:eastAsia="맑은 고딕" w:hAnsi="Times New Roman" w:cs="Times New Roman"/>
                <w:b/>
                <w:lang w:eastAsia="fr-FR"/>
              </w:rPr>
              <w:t>Eesti</w:t>
            </w:r>
          </w:p>
          <w:p w14:paraId="40B52D85"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1A01A0B"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7613B97C" w14:textId="77777777" w:rsidR="00094D21" w:rsidRPr="008F328C" w:rsidRDefault="00094D21" w:rsidP="008A03B2">
            <w:pPr>
              <w:tabs>
                <w:tab w:val="left" w:pos="-720"/>
              </w:tabs>
              <w:suppressAutoHyphens/>
              <w:rPr>
                <w:rFonts w:ascii="Times New Roman" w:eastAsia="맑은 고딕" w:hAnsi="Times New Roman" w:cs="Times New Roman"/>
                <w:lang w:val="pl-PL" w:eastAsia="ko-KR"/>
              </w:rPr>
            </w:pPr>
          </w:p>
        </w:tc>
        <w:tc>
          <w:tcPr>
            <w:tcW w:w="2500" w:type="pct"/>
          </w:tcPr>
          <w:p w14:paraId="6DBFD1AA" w14:textId="77777777" w:rsidR="00094D21" w:rsidRPr="008F328C" w:rsidRDefault="00094D21" w:rsidP="008A03B2">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Norge</w:t>
            </w:r>
          </w:p>
          <w:p w14:paraId="72DB69A8"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6713875"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p w14:paraId="208FC609" w14:textId="77777777" w:rsidR="00094D21" w:rsidRPr="008F328C" w:rsidRDefault="00094D21" w:rsidP="008A03B2">
            <w:pPr>
              <w:tabs>
                <w:tab w:val="left" w:pos="-720"/>
              </w:tabs>
              <w:suppressAutoHyphens/>
              <w:rPr>
                <w:rFonts w:ascii="Times New Roman" w:eastAsia="맑은 고딕" w:hAnsi="Times New Roman" w:cs="Times New Roman"/>
                <w:lang w:val="pl-PL" w:eastAsia="ko-KR"/>
              </w:rPr>
            </w:pPr>
          </w:p>
        </w:tc>
      </w:tr>
      <w:tr w:rsidR="00094D21" w:rsidRPr="008F328C" w14:paraId="5D68C0DE" w14:textId="77777777" w:rsidTr="008A03B2">
        <w:tc>
          <w:tcPr>
            <w:tcW w:w="2500" w:type="pct"/>
            <w:hideMark/>
          </w:tcPr>
          <w:p w14:paraId="75D15AE8" w14:textId="77777777" w:rsidR="00094D21" w:rsidRPr="008F328C" w:rsidRDefault="00094D21" w:rsidP="008A03B2">
            <w:pPr>
              <w:rPr>
                <w:rFonts w:ascii="Times New Roman" w:hAnsi="Times New Roman" w:cs="Times New Roman"/>
                <w:lang w:val="es-ES" w:eastAsia="fr-FR"/>
              </w:rPr>
            </w:pPr>
            <w:r w:rsidRPr="008F328C">
              <w:rPr>
                <w:rFonts w:ascii="Times New Roman" w:hAnsi="Times New Roman" w:cs="Times New Roman"/>
                <w:b/>
                <w:lang w:val="es-ES"/>
              </w:rPr>
              <w:t>España</w:t>
            </w:r>
          </w:p>
          <w:p w14:paraId="7B997EF2" w14:textId="77777777" w:rsidR="00094D21" w:rsidRPr="008F328C" w:rsidRDefault="00094D21" w:rsidP="008A03B2">
            <w:pPr>
              <w:rPr>
                <w:rFonts w:ascii="Times New Roman" w:eastAsia="맑은 고딕" w:hAnsi="Times New Roman" w:cs="Times New Roman"/>
                <w:lang w:val="es-ES" w:eastAsia="fr-FR"/>
              </w:rPr>
            </w:pPr>
            <w:r w:rsidRPr="008F328C">
              <w:rPr>
                <w:rFonts w:ascii="Times New Roman" w:eastAsia="맑은 고딕" w:hAnsi="Times New Roman" w:cs="Times New Roman"/>
                <w:lang w:val="es-ES" w:eastAsia="fr-FR"/>
              </w:rPr>
              <w:t>Kern Pharma, S.L.</w:t>
            </w:r>
          </w:p>
          <w:p w14:paraId="4AA8161B"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+34 93 700 2525</w:t>
            </w:r>
          </w:p>
          <w:p w14:paraId="2D64DDF4" w14:textId="77777777" w:rsidR="00094D21" w:rsidRPr="008F328C" w:rsidRDefault="00094D21" w:rsidP="008A03B2">
            <w:pPr>
              <w:rPr>
                <w:rFonts w:ascii="Times New Roman" w:hAnsi="Times New Roman" w:cs="Times New Roman"/>
                <w:b/>
                <w:lang w:val="pl-PL" w:eastAsia="fr-FR"/>
              </w:rPr>
            </w:pPr>
          </w:p>
        </w:tc>
        <w:tc>
          <w:tcPr>
            <w:tcW w:w="2500" w:type="pct"/>
          </w:tcPr>
          <w:p w14:paraId="11A3B2CF" w14:textId="77777777" w:rsidR="00094D21" w:rsidRPr="008F328C" w:rsidRDefault="00094D21" w:rsidP="008A03B2">
            <w:pPr>
              <w:rPr>
                <w:rFonts w:ascii="Times New Roman" w:hAnsi="Times New Roman" w:cs="Times New Roman"/>
                <w:lang w:val="de-DE" w:eastAsia="fr-FR"/>
              </w:rPr>
            </w:pPr>
            <w:r w:rsidRPr="008F328C">
              <w:rPr>
                <w:rFonts w:ascii="Times New Roman" w:hAnsi="Times New Roman" w:cs="Times New Roman"/>
                <w:b/>
                <w:lang w:val="de-DE"/>
              </w:rPr>
              <w:t>Österreich</w:t>
            </w:r>
          </w:p>
          <w:p w14:paraId="500F6885" w14:textId="77777777" w:rsidR="00094D21" w:rsidRPr="008F328C" w:rsidRDefault="00094D21" w:rsidP="008A03B2">
            <w:pPr>
              <w:rPr>
                <w:rFonts w:ascii="Times New Roman" w:eastAsia="맑은 고딕" w:hAnsi="Times New Roman" w:cs="Times New Roman"/>
                <w:lang w:val="de-DE" w:eastAsia="ko-KR"/>
              </w:rPr>
            </w:pPr>
            <w:r w:rsidRPr="008F328C">
              <w:rPr>
                <w:rFonts w:ascii="Times New Roman" w:eastAsia="맑은 고딕" w:hAnsi="Times New Roman" w:cs="Times New Roman"/>
                <w:lang w:val="de-DE" w:eastAsia="fr-FR"/>
              </w:rPr>
              <w:t>Astro-Pharma GmbH</w:t>
            </w:r>
          </w:p>
          <w:p w14:paraId="7A298E6E" w14:textId="77777777" w:rsidR="00094D21" w:rsidRPr="008F328C" w:rsidRDefault="00094D21" w:rsidP="008A03B2">
            <w:pPr>
              <w:tabs>
                <w:tab w:val="left" w:pos="-720"/>
              </w:tabs>
              <w:suppressAutoHyphens/>
              <w:rPr>
                <w:rFonts w:ascii="Times New Roman" w:eastAsia="맑은 고딕" w:hAnsi="Times New Roman" w:cs="Times New Roman"/>
                <w:lang w:val="de-DE" w:eastAsia="fr-FR"/>
              </w:rPr>
            </w:pPr>
            <w:r w:rsidRPr="008F328C">
              <w:rPr>
                <w:rFonts w:ascii="Times New Roman" w:eastAsia="맑은 고딕" w:hAnsi="Times New Roman" w:cs="Times New Roman"/>
                <w:lang w:val="de-DE" w:eastAsia="fr-FR"/>
              </w:rPr>
              <w:t>Tel: +43 1 97 99 860</w:t>
            </w:r>
          </w:p>
          <w:p w14:paraId="274A032E" w14:textId="77777777" w:rsidR="00094D21" w:rsidRPr="008F328C" w:rsidRDefault="00094D21" w:rsidP="008A03B2">
            <w:pPr>
              <w:tabs>
                <w:tab w:val="left" w:pos="-720"/>
              </w:tabs>
              <w:suppressAutoHyphens/>
              <w:rPr>
                <w:rFonts w:ascii="Times New Roman" w:hAnsi="Times New Roman" w:cs="Times New Roman"/>
                <w:lang w:val="de-DE" w:eastAsia="fr-FR"/>
              </w:rPr>
            </w:pPr>
          </w:p>
        </w:tc>
      </w:tr>
      <w:tr w:rsidR="00094D21" w:rsidRPr="008F328C" w14:paraId="1BF0DF50" w14:textId="77777777" w:rsidTr="008A03B2">
        <w:tc>
          <w:tcPr>
            <w:tcW w:w="2500" w:type="pct"/>
          </w:tcPr>
          <w:p w14:paraId="16BBF797" w14:textId="77777777" w:rsidR="00094D21" w:rsidRPr="008F328C" w:rsidRDefault="00094D21" w:rsidP="008A03B2">
            <w:pPr>
              <w:rPr>
                <w:rFonts w:ascii="Times New Roman" w:hAnsi="Times New Roman" w:cs="Times New Roman"/>
                <w:b/>
                <w:lang w:val="el-GR" w:eastAsia="fr-FR"/>
              </w:rPr>
            </w:pPr>
            <w:r w:rsidRPr="008F328C">
              <w:rPr>
                <w:rFonts w:ascii="Times New Roman" w:hAnsi="Times New Roman" w:cs="Times New Roman"/>
                <w:b/>
                <w:lang w:val="el-GR" w:eastAsia="fr-FR"/>
              </w:rPr>
              <w:t>Ελλάδα</w:t>
            </w:r>
          </w:p>
          <w:p w14:paraId="441627C2" w14:textId="77777777" w:rsidR="00094D21" w:rsidRPr="008F328C" w:rsidRDefault="00094D21" w:rsidP="008A03B2">
            <w:pPr>
              <w:rPr>
                <w:rFonts w:ascii="Times New Roman" w:hAnsi="Times New Roman" w:cs="Times New Roman"/>
                <w:lang w:val="el-GR" w:eastAsia="fr-FR"/>
              </w:rPr>
            </w:pPr>
            <w:r w:rsidRPr="008F328C">
              <w:rPr>
                <w:rFonts w:ascii="Times New Roman" w:hAnsi="Times New Roman" w:cs="Times New Roman"/>
                <w:lang w:val="el-GR" w:eastAsia="fr-FR"/>
              </w:rPr>
              <w:t>ΒΙΑΝΕΞ Α.Ε.</w:t>
            </w:r>
          </w:p>
          <w:p w14:paraId="21001765" w14:textId="35138F17" w:rsidR="00094D21" w:rsidRPr="008F328C" w:rsidRDefault="00094D21" w:rsidP="008A03B2">
            <w:pPr>
              <w:rPr>
                <w:rFonts w:ascii="Times New Roman" w:hAnsi="Times New Roman" w:cs="Times New Roman"/>
                <w:lang w:val="el-GR" w:eastAsia="fr-FR"/>
              </w:rPr>
            </w:pPr>
            <w:r w:rsidRPr="008F328C">
              <w:rPr>
                <w:rFonts w:ascii="Times New Roman" w:hAnsi="Times New Roman" w:cs="Times New Roman"/>
                <w:lang w:val="el-GR" w:eastAsia="fr-FR"/>
              </w:rPr>
              <w:t>Τηλ: +30 210 8009111</w:t>
            </w:r>
          </w:p>
          <w:p w14:paraId="1B8E2FF9" w14:textId="77777777" w:rsidR="00094D21" w:rsidRPr="008F328C" w:rsidRDefault="00094D21" w:rsidP="008A03B2">
            <w:pPr>
              <w:rPr>
                <w:rFonts w:ascii="Times New Roman" w:eastAsia="맑은 고딕" w:hAnsi="Times New Roman" w:cs="Times New Roman"/>
                <w:lang w:val="el-GR" w:eastAsia="fr-FR"/>
              </w:rPr>
            </w:pPr>
          </w:p>
        </w:tc>
        <w:tc>
          <w:tcPr>
            <w:tcW w:w="2500" w:type="pct"/>
          </w:tcPr>
          <w:p w14:paraId="38D3125D"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Polska</w:t>
            </w:r>
          </w:p>
          <w:p w14:paraId="14744863"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C09C632"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2E0549E7" w14:textId="77777777" w:rsidR="00094D21" w:rsidRPr="008F328C" w:rsidRDefault="00094D21" w:rsidP="008A03B2">
            <w:pPr>
              <w:rPr>
                <w:rFonts w:ascii="Times New Roman" w:hAnsi="Times New Roman" w:cs="Times New Roman"/>
                <w:b/>
                <w:lang w:val="pl-PL"/>
              </w:rPr>
            </w:pPr>
          </w:p>
        </w:tc>
      </w:tr>
      <w:tr w:rsidR="00094D21" w:rsidRPr="00A5286D" w14:paraId="436C7318" w14:textId="77777777" w:rsidTr="008A03B2">
        <w:tc>
          <w:tcPr>
            <w:tcW w:w="2500" w:type="pct"/>
          </w:tcPr>
          <w:p w14:paraId="02B3C2FA" w14:textId="77777777" w:rsidR="00094D21" w:rsidRPr="008F328C" w:rsidRDefault="00094D21" w:rsidP="008A03B2">
            <w:pPr>
              <w:rPr>
                <w:rFonts w:ascii="Times New Roman" w:hAnsi="Times New Roman" w:cs="Times New Roman"/>
                <w:b/>
                <w:lang w:val="en-GB" w:eastAsia="ko-KR"/>
              </w:rPr>
            </w:pPr>
            <w:r w:rsidRPr="008F328C">
              <w:rPr>
                <w:rFonts w:ascii="Times New Roman" w:hAnsi="Times New Roman" w:cs="Times New Roman"/>
                <w:b/>
                <w:lang w:val="en-GB" w:eastAsia="ko-KR"/>
              </w:rPr>
              <w:t>France</w:t>
            </w:r>
          </w:p>
          <w:p w14:paraId="454BAC2A" w14:textId="2633F601" w:rsidR="00094D21" w:rsidRPr="008F328C" w:rsidRDefault="007F4EDB" w:rsidP="008A03B2">
            <w:pPr>
              <w:rPr>
                <w:rFonts w:ascii="Times New Roman" w:hAnsi="Times New Roman" w:cs="Times New Roman"/>
                <w:lang w:val="en-GB" w:eastAsia="ko-KR"/>
              </w:rPr>
            </w:pPr>
            <w:r w:rsidRPr="008F328C">
              <w:rPr>
                <w:rFonts w:ascii="Times New Roman" w:hAnsi="Times New Roman" w:cs="Times New Roman"/>
                <w:lang w:val="en-GB" w:eastAsia="ko-KR"/>
              </w:rPr>
              <w:t>Celltrion Healthcare France SAS</w:t>
            </w:r>
          </w:p>
          <w:p w14:paraId="03189BB5" w14:textId="77777777" w:rsidR="00094D21" w:rsidRPr="008F328C" w:rsidRDefault="00094D21" w:rsidP="008A03B2">
            <w:pPr>
              <w:rPr>
                <w:rFonts w:ascii="Times New Roman" w:eastAsia="맑은 고딕" w:hAnsi="Times New Roman" w:cs="Times New Roman"/>
                <w:lang w:val="en-GB" w:eastAsia="ko-KR"/>
              </w:rPr>
            </w:pPr>
            <w:r w:rsidRPr="008F328C">
              <w:rPr>
                <w:rFonts w:ascii="Times New Roman" w:hAnsi="Times New Roman" w:cs="Times New Roman"/>
                <w:lang w:val="en-GB" w:eastAsia="ko-KR"/>
              </w:rPr>
              <w:t>T</w:t>
            </w:r>
            <w:r w:rsidRPr="008F328C">
              <w:rPr>
                <w:rFonts w:ascii="Times New Roman" w:hAnsi="Times New Roman" w:cs="Times New Roman"/>
                <w:lang w:val="en-GB"/>
              </w:rPr>
              <w:t>é</w:t>
            </w:r>
            <w:r w:rsidRPr="008F328C">
              <w:rPr>
                <w:rFonts w:ascii="Times New Roman" w:hAnsi="Times New Roman" w:cs="Times New Roman"/>
                <w:lang w:val="en-GB" w:eastAsia="ko-KR"/>
              </w:rPr>
              <w:t>l.: +33 (0)1 71 25 27 00</w:t>
            </w:r>
          </w:p>
          <w:p w14:paraId="621A2E11" w14:textId="77777777" w:rsidR="00094D21" w:rsidRPr="008F328C" w:rsidRDefault="00094D21" w:rsidP="008A03B2">
            <w:pPr>
              <w:rPr>
                <w:rFonts w:ascii="Times New Roman" w:eastAsia="맑은 고딕" w:hAnsi="Times New Roman" w:cs="Times New Roman"/>
                <w:lang w:val="en-GB" w:eastAsia="fr-FR"/>
              </w:rPr>
            </w:pPr>
          </w:p>
        </w:tc>
        <w:tc>
          <w:tcPr>
            <w:tcW w:w="2500" w:type="pct"/>
          </w:tcPr>
          <w:p w14:paraId="189DFA92" w14:textId="77777777" w:rsidR="00FA20FC" w:rsidRPr="002F72A3" w:rsidRDefault="00FA20FC" w:rsidP="00FA20F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FA26EC1" w14:textId="7DD2F13E" w:rsidR="00FA20FC" w:rsidRDefault="00FA20FC" w:rsidP="00FA20F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157FD967" w14:textId="207DC944" w:rsidR="00FA20FC" w:rsidRPr="00494296" w:rsidRDefault="00FA20FC" w:rsidP="00FA20FC">
            <w:pPr>
              <w:rPr>
                <w:rFonts w:ascii="Times New Roman" w:eastAsia="맑은 고딕" w:hAnsi="Times New Roman" w:cs="Times New Roman"/>
                <w:noProof/>
                <w:lang w:val="fr-CA" w:eastAsia="fr-FR"/>
              </w:rPr>
            </w:pPr>
            <w:r w:rsidRPr="00494296">
              <w:rPr>
                <w:rFonts w:ascii="Times New Roman" w:eastAsia="맑은 고딕" w:hAnsi="Times New Roman" w:cs="Times New Roman"/>
                <w:noProof/>
                <w:lang w:val="fr-CA" w:eastAsia="fr-FR"/>
              </w:rPr>
              <w:t>Tel: +351 21 936 8542</w:t>
            </w:r>
          </w:p>
          <w:p w14:paraId="7E05E699" w14:textId="77777777" w:rsidR="00094D21" w:rsidRPr="008F328C" w:rsidRDefault="00094D21" w:rsidP="008A03B2">
            <w:pPr>
              <w:rPr>
                <w:rFonts w:ascii="Times New Roman" w:hAnsi="Times New Roman" w:cs="Times New Roman"/>
                <w:b/>
                <w:lang w:val="pl-PL"/>
              </w:rPr>
            </w:pPr>
          </w:p>
        </w:tc>
      </w:tr>
      <w:tr w:rsidR="00094D21" w:rsidRPr="008F328C" w14:paraId="45BD5C78" w14:textId="77777777" w:rsidTr="008A03B2">
        <w:tc>
          <w:tcPr>
            <w:tcW w:w="2500" w:type="pct"/>
          </w:tcPr>
          <w:p w14:paraId="32882EC5" w14:textId="77777777" w:rsidR="00094D21" w:rsidRPr="008F328C" w:rsidRDefault="00094D21" w:rsidP="008A03B2">
            <w:pPr>
              <w:rPr>
                <w:rFonts w:ascii="Times New Roman" w:hAnsi="Times New Roman" w:cs="Times New Roman"/>
                <w:b/>
                <w:lang w:val="pl-PL" w:eastAsia="ko-KR"/>
              </w:rPr>
            </w:pPr>
            <w:r w:rsidRPr="008F328C">
              <w:rPr>
                <w:rFonts w:ascii="Times New Roman" w:hAnsi="Times New Roman" w:cs="Times New Roman"/>
                <w:b/>
                <w:lang w:val="pl-PL" w:eastAsia="ko-KR"/>
              </w:rPr>
              <w:t>Hrvatska</w:t>
            </w:r>
          </w:p>
          <w:p w14:paraId="2D77073F" w14:textId="77777777" w:rsidR="00094D21" w:rsidRPr="008F328C" w:rsidRDefault="00094D21" w:rsidP="008A03B2">
            <w:pPr>
              <w:rPr>
                <w:rFonts w:ascii="Times New Roman" w:hAnsi="Times New Roman" w:cs="Times New Roman"/>
                <w:lang w:val="pl-PL" w:eastAsia="ko-KR"/>
              </w:rPr>
            </w:pPr>
            <w:r w:rsidRPr="008F328C">
              <w:rPr>
                <w:rFonts w:ascii="Times New Roman" w:hAnsi="Times New Roman" w:cs="Times New Roman"/>
                <w:lang w:val="pl-PL" w:eastAsia="ko-KR"/>
              </w:rPr>
              <w:t>Oktal Pharma d.o.o.</w:t>
            </w:r>
          </w:p>
          <w:p w14:paraId="4A5DC0E5" w14:textId="77777777" w:rsidR="00094D21" w:rsidRPr="008F328C" w:rsidRDefault="00094D21" w:rsidP="008A03B2">
            <w:pPr>
              <w:rPr>
                <w:rFonts w:ascii="Times New Roman" w:hAnsi="Times New Roman" w:cs="Times New Roman"/>
                <w:lang w:val="pl-PL" w:eastAsia="ko-KR"/>
              </w:rPr>
            </w:pPr>
            <w:r w:rsidRPr="008F328C">
              <w:rPr>
                <w:rFonts w:ascii="Times New Roman" w:hAnsi="Times New Roman" w:cs="Times New Roman"/>
                <w:lang w:val="pl-PL" w:eastAsia="ko-KR"/>
              </w:rPr>
              <w:t>Tel: +385 1 6595 777</w:t>
            </w:r>
          </w:p>
          <w:p w14:paraId="09BDF633" w14:textId="77777777" w:rsidR="00094D21" w:rsidRPr="008F328C" w:rsidRDefault="00094D21" w:rsidP="008A03B2">
            <w:pPr>
              <w:rPr>
                <w:rFonts w:ascii="Times New Roman" w:eastAsia="맑은 고딕" w:hAnsi="Times New Roman" w:cs="Times New Roman"/>
                <w:lang w:val="pl-PL" w:eastAsia="fr-FR"/>
              </w:rPr>
            </w:pPr>
          </w:p>
        </w:tc>
        <w:tc>
          <w:tcPr>
            <w:tcW w:w="2500" w:type="pct"/>
          </w:tcPr>
          <w:p w14:paraId="579AB04F" w14:textId="77777777" w:rsidR="00094D21" w:rsidRPr="008F328C" w:rsidRDefault="00094D21" w:rsidP="008A03B2">
            <w:pPr>
              <w:tabs>
                <w:tab w:val="left" w:pos="-720"/>
              </w:tabs>
              <w:suppressAutoHyphens/>
              <w:rPr>
                <w:rFonts w:ascii="Times New Roman" w:eastAsia="맑은 고딕" w:hAnsi="Times New Roman" w:cs="Times New Roman"/>
                <w:b/>
                <w:lang w:val="en-GB" w:eastAsia="fr-FR"/>
              </w:rPr>
            </w:pPr>
            <w:r w:rsidRPr="008F328C">
              <w:rPr>
                <w:rFonts w:ascii="Times New Roman" w:hAnsi="Times New Roman" w:cs="Times New Roman"/>
                <w:b/>
                <w:lang w:val="en-GB"/>
              </w:rPr>
              <w:t>România</w:t>
            </w:r>
          </w:p>
          <w:p w14:paraId="646A9FDD"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983C0F7"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7E8EC235" w14:textId="77777777" w:rsidR="00094D21" w:rsidRPr="008F328C" w:rsidRDefault="00094D21" w:rsidP="008A03B2">
            <w:pPr>
              <w:rPr>
                <w:rFonts w:ascii="Times New Roman" w:hAnsi="Times New Roman" w:cs="Times New Roman"/>
                <w:b/>
                <w:lang w:val="en-GB"/>
              </w:rPr>
            </w:pPr>
          </w:p>
        </w:tc>
      </w:tr>
      <w:tr w:rsidR="00094D21" w:rsidRPr="008F328C" w14:paraId="0AD56B86" w14:textId="77777777" w:rsidTr="008A03B2">
        <w:tc>
          <w:tcPr>
            <w:tcW w:w="2500" w:type="pct"/>
          </w:tcPr>
          <w:p w14:paraId="0C91531F" w14:textId="77777777" w:rsidR="00094D21" w:rsidRPr="008F328C" w:rsidRDefault="00094D21" w:rsidP="008A03B2">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Ireland</w:t>
            </w:r>
          </w:p>
          <w:p w14:paraId="3E2E727A"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Ireland Limited</w:t>
            </w:r>
          </w:p>
          <w:p w14:paraId="16EA7E3A"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Tel: +353 1 223 4026</w:t>
            </w:r>
          </w:p>
          <w:p w14:paraId="3CF92A9F" w14:textId="77777777" w:rsidR="00094D21" w:rsidRPr="008F328C" w:rsidRDefault="00094D21" w:rsidP="008A03B2">
            <w:pPr>
              <w:rPr>
                <w:rFonts w:ascii="Times New Roman" w:eastAsia="맑은 고딕" w:hAnsi="Times New Roman" w:cs="Times New Roman"/>
                <w:lang w:eastAsia="fr-FR"/>
              </w:rPr>
            </w:pPr>
          </w:p>
        </w:tc>
        <w:tc>
          <w:tcPr>
            <w:tcW w:w="2500" w:type="pct"/>
          </w:tcPr>
          <w:p w14:paraId="3DE4EE67" w14:textId="77777777" w:rsidR="00094D21" w:rsidRPr="008F328C" w:rsidRDefault="00094D21" w:rsidP="008A03B2">
            <w:pPr>
              <w:rPr>
                <w:rFonts w:ascii="Times New Roman" w:eastAsia="맑은 고딕" w:hAnsi="Times New Roman" w:cs="Times New Roman"/>
                <w:b/>
                <w:lang w:val="pt-PT" w:eastAsia="fr-FR"/>
              </w:rPr>
            </w:pPr>
            <w:r w:rsidRPr="008F328C">
              <w:rPr>
                <w:rFonts w:ascii="Times New Roman" w:eastAsia="맑은 고딕" w:hAnsi="Times New Roman" w:cs="Times New Roman"/>
                <w:b/>
                <w:lang w:val="pt-PT" w:eastAsia="fr-FR"/>
              </w:rPr>
              <w:t>Slovenija</w:t>
            </w:r>
          </w:p>
          <w:p w14:paraId="129ABAB1" w14:textId="77777777" w:rsidR="00094D21" w:rsidRPr="008F328C" w:rsidRDefault="00094D21" w:rsidP="008A03B2">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OPH Oktal Pharma d.o.o.</w:t>
            </w:r>
          </w:p>
          <w:p w14:paraId="54F8C089" w14:textId="77777777" w:rsidR="00094D21" w:rsidRPr="008F328C" w:rsidRDefault="00094D21" w:rsidP="008A03B2">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Tel.: +386 1 519 29 22</w:t>
            </w:r>
          </w:p>
          <w:p w14:paraId="65FF365D" w14:textId="77777777" w:rsidR="00094D21" w:rsidRPr="008F328C" w:rsidRDefault="00094D21" w:rsidP="008A03B2">
            <w:pPr>
              <w:rPr>
                <w:rFonts w:ascii="Times New Roman" w:hAnsi="Times New Roman" w:cs="Times New Roman"/>
                <w:b/>
                <w:lang w:val="pt-PT"/>
              </w:rPr>
            </w:pPr>
          </w:p>
        </w:tc>
      </w:tr>
      <w:tr w:rsidR="00094D21" w:rsidRPr="008F328C" w14:paraId="03BB7179" w14:textId="77777777" w:rsidTr="008A03B2">
        <w:tc>
          <w:tcPr>
            <w:tcW w:w="2500" w:type="pct"/>
          </w:tcPr>
          <w:p w14:paraId="388AB013"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b/>
                <w:lang w:eastAsia="fr-FR"/>
              </w:rPr>
              <w:t>Ísland</w:t>
            </w:r>
          </w:p>
          <w:p w14:paraId="3B918BD0"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9AD8C45"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Sími: +36 1 231 0493</w:t>
            </w:r>
          </w:p>
        </w:tc>
        <w:tc>
          <w:tcPr>
            <w:tcW w:w="2500" w:type="pct"/>
          </w:tcPr>
          <w:p w14:paraId="71EB0782"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hAnsi="Times New Roman" w:cs="Times New Roman"/>
                <w:b/>
                <w:lang w:val="en-GB"/>
              </w:rPr>
              <w:t>Slovenská republika</w:t>
            </w:r>
          </w:p>
          <w:p w14:paraId="608BFB43"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75332F0D"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7A0ED46" w14:textId="77777777" w:rsidR="00094D21" w:rsidRPr="008F328C" w:rsidRDefault="00094D21" w:rsidP="008A03B2">
            <w:pPr>
              <w:rPr>
                <w:rFonts w:ascii="Times New Roman" w:eastAsia="맑은 고딕" w:hAnsi="Times New Roman" w:cs="Times New Roman"/>
                <w:b/>
                <w:lang w:val="pl-PL" w:eastAsia="fr-FR"/>
              </w:rPr>
            </w:pPr>
          </w:p>
        </w:tc>
      </w:tr>
      <w:tr w:rsidR="00094D21" w:rsidRPr="008F328C" w14:paraId="6CC0E5F9" w14:textId="77777777" w:rsidTr="008A03B2">
        <w:tc>
          <w:tcPr>
            <w:tcW w:w="2500" w:type="pct"/>
          </w:tcPr>
          <w:p w14:paraId="48FCD6AB" w14:textId="77777777" w:rsidR="00094D21" w:rsidRPr="008F328C" w:rsidRDefault="00094D21" w:rsidP="008A03B2">
            <w:pPr>
              <w:rPr>
                <w:rFonts w:ascii="Times New Roman" w:hAnsi="Times New Roman" w:cs="Times New Roman"/>
                <w:lang w:val="en-GB" w:eastAsia="fr-FR"/>
              </w:rPr>
            </w:pPr>
            <w:r w:rsidRPr="008F328C">
              <w:rPr>
                <w:rFonts w:ascii="Times New Roman" w:eastAsia="맑은 고딕" w:hAnsi="Times New Roman" w:cs="Times New Roman"/>
                <w:b/>
                <w:lang w:val="en-GB" w:eastAsia="fr-FR"/>
              </w:rPr>
              <w:t>Italia</w:t>
            </w:r>
          </w:p>
          <w:p w14:paraId="26C4424D" w14:textId="3F0D2708" w:rsidR="00094D21" w:rsidRPr="008F328C" w:rsidRDefault="00094D21" w:rsidP="008A03B2">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Italy S.</w:t>
            </w:r>
            <w:r w:rsidR="007F4EDB" w:rsidRPr="008F328C">
              <w:rPr>
                <w:rFonts w:ascii="Times New Roman" w:eastAsia="맑은 고딕" w:hAnsi="Times New Roman" w:cs="Times New Roman"/>
                <w:lang w:val="en-GB" w:eastAsia="fr-FR"/>
              </w:rPr>
              <w:t>r</w:t>
            </w:r>
            <w:r w:rsidRPr="008F328C">
              <w:rPr>
                <w:rFonts w:ascii="Times New Roman" w:eastAsia="맑은 고딕" w:hAnsi="Times New Roman" w:cs="Times New Roman"/>
                <w:lang w:val="en-GB" w:eastAsia="fr-FR"/>
              </w:rPr>
              <w:t>.</w:t>
            </w:r>
            <w:r w:rsidR="007F4EDB" w:rsidRPr="008F328C">
              <w:rPr>
                <w:rFonts w:ascii="Times New Roman" w:eastAsia="맑은 고딕" w:hAnsi="Times New Roman" w:cs="Times New Roman"/>
                <w:lang w:val="en-GB" w:eastAsia="fr-FR"/>
              </w:rPr>
              <w:t>l</w:t>
            </w:r>
            <w:r w:rsidRPr="008F328C">
              <w:rPr>
                <w:rFonts w:ascii="Times New Roman" w:eastAsia="맑은 고딕" w:hAnsi="Times New Roman" w:cs="Times New Roman"/>
                <w:lang w:val="en-GB" w:eastAsia="fr-FR"/>
              </w:rPr>
              <w:t>.</w:t>
            </w:r>
          </w:p>
          <w:p w14:paraId="52305831" w14:textId="17BCC793"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 xml:space="preserve">Tel: +39 </w:t>
            </w:r>
            <w:r w:rsidR="007F4EDB" w:rsidRPr="008F328C">
              <w:rPr>
                <w:rFonts w:ascii="Times New Roman" w:eastAsia="맑은 고딕" w:hAnsi="Times New Roman" w:cs="Times New Roman"/>
                <w:lang w:val="pl-PL" w:eastAsia="fr-FR"/>
              </w:rPr>
              <w:t>02</w:t>
            </w:r>
            <w:r w:rsidR="0032285D">
              <w:rPr>
                <w:rFonts w:ascii="Times New Roman" w:eastAsia="맑은 고딕" w:hAnsi="Times New Roman" w:cs="Times New Roman"/>
                <w:lang w:val="pl-PL" w:eastAsia="fr-FR"/>
              </w:rPr>
              <w:t xml:space="preserve"> </w:t>
            </w:r>
            <w:r w:rsidR="007F4EDB" w:rsidRPr="008F328C">
              <w:rPr>
                <w:rFonts w:ascii="Times New Roman" w:eastAsia="맑은 고딕" w:hAnsi="Times New Roman" w:cs="Times New Roman"/>
                <w:lang w:val="pl-PL" w:eastAsia="fr-FR"/>
              </w:rPr>
              <w:t>47927040</w:t>
            </w:r>
          </w:p>
          <w:p w14:paraId="23B42FF0" w14:textId="77777777" w:rsidR="00094D21" w:rsidRPr="008F328C" w:rsidRDefault="00094D21" w:rsidP="008A03B2">
            <w:pPr>
              <w:rPr>
                <w:rFonts w:ascii="Times New Roman" w:eastAsia="맑은 고딕" w:hAnsi="Times New Roman" w:cs="Times New Roman"/>
                <w:lang w:val="pl-PL" w:eastAsia="fr-FR"/>
              </w:rPr>
            </w:pPr>
          </w:p>
        </w:tc>
        <w:tc>
          <w:tcPr>
            <w:tcW w:w="2500" w:type="pct"/>
          </w:tcPr>
          <w:p w14:paraId="529FBF63" w14:textId="77777777" w:rsidR="00094D21" w:rsidRPr="008F328C" w:rsidRDefault="00094D21" w:rsidP="008A03B2">
            <w:pPr>
              <w:rPr>
                <w:rFonts w:ascii="Times New Roman" w:hAnsi="Times New Roman" w:cs="Times New Roman"/>
                <w:lang w:val="en-GB" w:eastAsia="fr-FR"/>
              </w:rPr>
            </w:pPr>
            <w:r w:rsidRPr="008F328C">
              <w:rPr>
                <w:rFonts w:ascii="Times New Roman" w:eastAsia="맑은 고딕" w:hAnsi="Times New Roman" w:cs="Times New Roman"/>
                <w:b/>
                <w:lang w:val="en-GB" w:eastAsia="fr-FR"/>
              </w:rPr>
              <w:t>Suomi/Finland</w:t>
            </w:r>
          </w:p>
          <w:p w14:paraId="1FFEF6AD" w14:textId="77777777" w:rsidR="0032285D" w:rsidRPr="00F47393" w:rsidRDefault="0032285D" w:rsidP="0032285D">
            <w:pPr>
              <w:tabs>
                <w:tab w:val="left" w:pos="-720"/>
              </w:tabs>
              <w:suppressAutoHyphens/>
              <w:rPr>
                <w:rFonts w:ascii="Times New Roman" w:eastAsia="맑은 고딕" w:hAnsi="Times New Roman" w:cs="Times New Roman"/>
                <w:lang w:val="en-GB" w:eastAsia="fr-FR"/>
              </w:rPr>
            </w:pPr>
            <w:r w:rsidRPr="00F47393">
              <w:rPr>
                <w:rFonts w:ascii="Times New Roman" w:eastAsia="맑은 고딕" w:hAnsi="Times New Roman" w:cs="Times New Roman"/>
                <w:lang w:val="en-GB" w:eastAsia="fr-FR"/>
              </w:rPr>
              <w:t xml:space="preserve">Celltrion Healthcare Finland Oy. </w:t>
            </w:r>
          </w:p>
          <w:p w14:paraId="60707CD6" w14:textId="6972F0E7" w:rsidR="00094D21" w:rsidRPr="008F328C" w:rsidRDefault="0032285D" w:rsidP="008A03B2">
            <w:pPr>
              <w:autoSpaceDE w:val="0"/>
              <w:autoSpaceDN w:val="0"/>
              <w:adjustRightInd w:val="0"/>
              <w:rPr>
                <w:rFonts w:ascii="Times New Roman" w:eastAsia="맑은 고딕" w:hAnsi="Times New Roman" w:cs="Times New Roman"/>
                <w:lang w:val="pl-PL" w:eastAsia="fr-FR"/>
              </w:rPr>
            </w:pPr>
            <w:r w:rsidRPr="00F47393">
              <w:rPr>
                <w:rFonts w:ascii="Times New Roman" w:eastAsia="맑은 고딕" w:hAnsi="Times New Roman" w:cs="Times New Roman"/>
                <w:lang w:val="en-GB" w:eastAsia="fr-FR"/>
              </w:rPr>
              <w:t>Puh/Tel: +358 29 170 7755</w:t>
            </w:r>
          </w:p>
          <w:p w14:paraId="5671F495" w14:textId="77777777" w:rsidR="00094D21" w:rsidRPr="008F328C" w:rsidRDefault="00094D21" w:rsidP="008A03B2">
            <w:pPr>
              <w:autoSpaceDE w:val="0"/>
              <w:autoSpaceDN w:val="0"/>
              <w:adjustRightInd w:val="0"/>
              <w:rPr>
                <w:rFonts w:ascii="Times New Roman" w:eastAsia="맑은 고딕" w:hAnsi="Times New Roman" w:cs="Times New Roman"/>
                <w:lang w:val="pl-PL" w:eastAsia="ko-KR"/>
              </w:rPr>
            </w:pPr>
          </w:p>
        </w:tc>
      </w:tr>
      <w:tr w:rsidR="00094D21" w:rsidRPr="008F328C" w14:paraId="6FA87D91" w14:textId="77777777" w:rsidTr="008A03B2">
        <w:tc>
          <w:tcPr>
            <w:tcW w:w="2500" w:type="pct"/>
          </w:tcPr>
          <w:p w14:paraId="3F43663C" w14:textId="77777777" w:rsidR="00094D21" w:rsidRPr="00DA01FB" w:rsidRDefault="00094D21" w:rsidP="008A03B2">
            <w:pPr>
              <w:tabs>
                <w:tab w:val="left" w:pos="-720"/>
              </w:tabs>
              <w:suppressAutoHyphens/>
              <w:rPr>
                <w:rFonts w:ascii="Times New Roman" w:hAnsi="Times New Roman" w:cs="Times New Roman"/>
                <w:b/>
                <w:bCs/>
                <w:lang w:val="es-ES" w:eastAsia="fr-FR"/>
              </w:rPr>
            </w:pPr>
            <w:r w:rsidRPr="008F328C">
              <w:rPr>
                <w:rFonts w:ascii="Times New Roman" w:hAnsi="Times New Roman" w:cs="Times New Roman"/>
                <w:b/>
                <w:lang w:val="pl-PL"/>
              </w:rPr>
              <w:t>Κύπρος</w:t>
            </w:r>
          </w:p>
          <w:p w14:paraId="17B5F17A" w14:textId="77777777" w:rsidR="00094D21" w:rsidRPr="00DA01FB" w:rsidRDefault="00094D21" w:rsidP="008A03B2">
            <w:pPr>
              <w:tabs>
                <w:tab w:val="left" w:pos="-720"/>
              </w:tabs>
              <w:suppressAutoHyphens/>
              <w:rPr>
                <w:rFonts w:ascii="Times New Roman" w:eastAsia="맑은 고딕" w:hAnsi="Times New Roman" w:cs="Times New Roman"/>
                <w:lang w:val="es-ES" w:eastAsia="ko-KR"/>
              </w:rPr>
            </w:pPr>
            <w:r w:rsidRPr="00DA01FB">
              <w:rPr>
                <w:rFonts w:ascii="Times New Roman" w:eastAsia="맑은 고딕" w:hAnsi="Times New Roman" w:cs="Times New Roman"/>
                <w:lang w:val="es-ES" w:eastAsia="fr-FR"/>
              </w:rPr>
              <w:lastRenderedPageBreak/>
              <w:t>C.A. Papaellinas Ltd</w:t>
            </w:r>
          </w:p>
          <w:p w14:paraId="39FD9B74" w14:textId="77777777" w:rsidR="00094D21" w:rsidRPr="008F328C" w:rsidRDefault="00094D21" w:rsidP="008A03B2">
            <w:pPr>
              <w:autoSpaceDE w:val="0"/>
              <w:autoSpaceDN w:val="0"/>
              <w:adjustRightInd w:val="0"/>
              <w:rPr>
                <w:rFonts w:ascii="Times New Roman" w:eastAsia="맑은 고딕" w:hAnsi="Times New Roman" w:cs="Times New Roman"/>
                <w:b/>
                <w:bCs/>
                <w:lang w:eastAsia="fr-FR"/>
              </w:rPr>
            </w:pPr>
            <w:r w:rsidRPr="008F328C">
              <w:rPr>
                <w:rFonts w:ascii="Times New Roman" w:hAnsi="Times New Roman" w:cs="Times New Roman"/>
                <w:lang w:val="pl-PL"/>
              </w:rPr>
              <w:t>Τηλ</w:t>
            </w:r>
            <w:r w:rsidRPr="008F328C">
              <w:rPr>
                <w:rFonts w:ascii="Times New Roman" w:hAnsi="Times New Roman" w:cs="Times New Roman"/>
              </w:rPr>
              <w:t xml:space="preserve">: </w:t>
            </w:r>
            <w:r w:rsidRPr="008F328C">
              <w:rPr>
                <w:rFonts w:ascii="Times New Roman" w:eastAsia="맑은 고딕" w:hAnsi="Times New Roman" w:cs="Times New Roman"/>
                <w:lang w:eastAsia="fr-FR"/>
              </w:rPr>
              <w:t>+357 22741741</w:t>
            </w:r>
          </w:p>
          <w:p w14:paraId="51418B94" w14:textId="77777777" w:rsidR="00094D21" w:rsidRPr="008F328C" w:rsidRDefault="00094D21" w:rsidP="008A03B2">
            <w:pPr>
              <w:autoSpaceDE w:val="0"/>
              <w:autoSpaceDN w:val="0"/>
              <w:adjustRightInd w:val="0"/>
              <w:rPr>
                <w:rFonts w:ascii="Times New Roman" w:eastAsia="맑은 고딕" w:hAnsi="Times New Roman" w:cs="Times New Roman"/>
                <w:b/>
                <w:lang w:eastAsia="fr-FR"/>
              </w:rPr>
            </w:pPr>
          </w:p>
        </w:tc>
        <w:tc>
          <w:tcPr>
            <w:tcW w:w="2500" w:type="pct"/>
          </w:tcPr>
          <w:p w14:paraId="69CB324C" w14:textId="77777777" w:rsidR="00FA20FC" w:rsidRPr="00D86615" w:rsidRDefault="00FA20FC" w:rsidP="00FA20FC">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lastRenderedPageBreak/>
              <w:t>Sverige</w:t>
            </w:r>
          </w:p>
          <w:p w14:paraId="717C5545" w14:textId="339D2AC2" w:rsidR="00FA20FC" w:rsidRPr="003C52D4" w:rsidRDefault="00FA20FC" w:rsidP="00FA20FC">
            <w:pPr>
              <w:tabs>
                <w:tab w:val="left" w:pos="-720"/>
              </w:tabs>
              <w:suppressAutoHyphens/>
              <w:rPr>
                <w:rFonts w:ascii="Times New Roman" w:eastAsia="맑은 고딕" w:hAnsi="Times New Roman" w:cs="Times New Roman"/>
                <w:noProof/>
                <w:lang w:eastAsia="ko-KR"/>
              </w:rPr>
            </w:pPr>
            <w:r w:rsidRPr="003C52D4">
              <w:rPr>
                <w:rFonts w:ascii="Times New Roman" w:eastAsia="맑은 고딕" w:hAnsi="Times New Roman" w:cs="Times New Roman"/>
                <w:noProof/>
                <w:lang w:eastAsia="ko-KR"/>
              </w:rPr>
              <w:lastRenderedPageBreak/>
              <w:t>Celltrion Sweden AB</w:t>
            </w:r>
          </w:p>
          <w:p w14:paraId="49E02F6D" w14:textId="77777777" w:rsidR="00FA20FC" w:rsidRPr="003C52D4" w:rsidRDefault="00FA20FC" w:rsidP="00FA20FC">
            <w:pPr>
              <w:tabs>
                <w:tab w:val="left" w:pos="-720"/>
              </w:tabs>
              <w:suppressAutoHyphens/>
              <w:rPr>
                <w:rFonts w:ascii="Times New Roman" w:eastAsia="맑은 고딕" w:hAnsi="Times New Roman" w:cs="Times New Roman"/>
                <w:bCs/>
                <w:noProof/>
                <w:u w:val="single"/>
                <w:lang w:eastAsia="ko-KR"/>
              </w:rPr>
            </w:pPr>
            <w:hyperlink r:id="rId97" w:history="1">
              <w:r w:rsidRPr="003C52D4">
                <w:rPr>
                  <w:rStyle w:val="ad"/>
                  <w:rFonts w:ascii="Times New Roman" w:eastAsia="맑은 고딕" w:hAnsi="Times New Roman" w:cs="Times New Roman"/>
                  <w:noProof/>
                  <w:lang w:eastAsia="ko-KR"/>
                </w:rPr>
                <w:t>contact_se@celltrionhc.com</w:t>
              </w:r>
            </w:hyperlink>
          </w:p>
          <w:p w14:paraId="0C4C8C21" w14:textId="6B745AC5" w:rsidR="00094D21" w:rsidRPr="00FA20FC" w:rsidRDefault="00094D21" w:rsidP="008A03B2">
            <w:pPr>
              <w:tabs>
                <w:tab w:val="left" w:pos="-720"/>
              </w:tabs>
              <w:suppressAutoHyphens/>
              <w:rPr>
                <w:rFonts w:ascii="Times New Roman" w:eastAsia="맑은 고딕" w:hAnsi="Times New Roman" w:cs="Times New Roman"/>
                <w:b/>
                <w:lang w:eastAsia="fr-FR"/>
              </w:rPr>
            </w:pPr>
          </w:p>
        </w:tc>
      </w:tr>
      <w:tr w:rsidR="00094D21" w:rsidRPr="008F328C" w14:paraId="502C30E7" w14:textId="77777777" w:rsidTr="008A03B2">
        <w:tc>
          <w:tcPr>
            <w:tcW w:w="2500" w:type="pct"/>
          </w:tcPr>
          <w:p w14:paraId="2DE60AA1" w14:textId="77777777" w:rsidR="00094D21" w:rsidRPr="008F328C" w:rsidRDefault="00094D21" w:rsidP="008A03B2">
            <w:pPr>
              <w:rPr>
                <w:rFonts w:ascii="Times New Roman" w:eastAsia="맑은 고딕" w:hAnsi="Times New Roman" w:cs="Times New Roman"/>
                <w:b/>
                <w:lang w:eastAsia="fr-FR"/>
              </w:rPr>
            </w:pPr>
            <w:r w:rsidRPr="008F328C">
              <w:rPr>
                <w:rFonts w:ascii="Times New Roman" w:eastAsia="맑은 고딕" w:hAnsi="Times New Roman" w:cs="Times New Roman"/>
                <w:b/>
                <w:lang w:eastAsia="fr-FR"/>
              </w:rPr>
              <w:lastRenderedPageBreak/>
              <w:t>Latvija</w:t>
            </w:r>
          </w:p>
          <w:p w14:paraId="6D328C24"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737301F"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Tālr.: +36 1 231 0493</w:t>
            </w:r>
          </w:p>
          <w:p w14:paraId="2B3DF698" w14:textId="77777777" w:rsidR="00094D21" w:rsidRPr="008F328C" w:rsidRDefault="00094D21" w:rsidP="008A03B2">
            <w:pPr>
              <w:autoSpaceDE w:val="0"/>
              <w:autoSpaceDN w:val="0"/>
              <w:adjustRightInd w:val="0"/>
              <w:rPr>
                <w:rFonts w:ascii="Times New Roman" w:eastAsia="맑은 고딕" w:hAnsi="Times New Roman" w:cs="Times New Roman"/>
                <w:b/>
                <w:bCs/>
                <w:lang w:val="pl-PL" w:eastAsia="fr-FR"/>
              </w:rPr>
            </w:pPr>
          </w:p>
        </w:tc>
        <w:tc>
          <w:tcPr>
            <w:tcW w:w="2500" w:type="pct"/>
          </w:tcPr>
          <w:p w14:paraId="256C8B64" w14:textId="5819CC65" w:rsidR="00094D21" w:rsidRPr="008F328C" w:rsidRDefault="00094D21" w:rsidP="008A03B2">
            <w:pPr>
              <w:tabs>
                <w:tab w:val="left" w:pos="-720"/>
              </w:tabs>
              <w:suppressAutoHyphens/>
              <w:rPr>
                <w:rFonts w:ascii="Times New Roman" w:eastAsia="맑은 고딕" w:hAnsi="Times New Roman" w:cs="Times New Roman"/>
                <w:b/>
                <w:lang w:val="pl-PL" w:eastAsia="fr-FR"/>
              </w:rPr>
            </w:pPr>
            <w:r w:rsidRPr="008F328C" w:rsidDel="008B7230">
              <w:rPr>
                <w:rFonts w:ascii="Times New Roman" w:hAnsi="Times New Roman" w:cs="Times New Roman"/>
                <w:noProof/>
                <w:lang w:eastAsia="fr-FR"/>
              </w:rPr>
              <w:t xml:space="preserve"> </w:t>
            </w:r>
          </w:p>
        </w:tc>
      </w:tr>
    </w:tbl>
    <w:p w14:paraId="03BDDB4E" w14:textId="77777777" w:rsidR="00094D21" w:rsidRPr="008F328C" w:rsidRDefault="00094D21" w:rsidP="00094D21">
      <w:pPr>
        <w:numPr>
          <w:ilvl w:val="12"/>
          <w:numId w:val="0"/>
        </w:numPr>
        <w:rPr>
          <w:rFonts w:ascii="Times New Roman" w:eastAsia="맑은 고딕" w:hAnsi="Times New Roman" w:cs="Times New Roman"/>
          <w:lang w:val="pl-PL" w:eastAsia="ko-KR"/>
        </w:rPr>
      </w:pPr>
      <w:r w:rsidRPr="008F328C">
        <w:rPr>
          <w:rFonts w:ascii="Times New Roman" w:eastAsia="Times New Roman" w:hAnsi="Times New Roman" w:cs="Times New Roman"/>
          <w:b/>
          <w:bCs/>
          <w:lang w:val="pl-PL"/>
        </w:rPr>
        <w:t xml:space="preserve">Data ostatniej aktualizacji ulotki: </w:t>
      </w:r>
      <w:r w:rsidRPr="008F328C">
        <w:rPr>
          <w:rFonts w:ascii="Times New Roman" w:eastAsia="Times New Roman" w:hAnsi="Times New Roman" w:cs="Times New Roman"/>
          <w:lang w:val="pl-PL"/>
        </w:rPr>
        <w:t>.</w:t>
      </w:r>
    </w:p>
    <w:p w14:paraId="2592F536" w14:textId="77777777" w:rsidR="00094D21" w:rsidRPr="008F328C" w:rsidRDefault="00094D21" w:rsidP="00094D21">
      <w:pPr>
        <w:numPr>
          <w:ilvl w:val="12"/>
          <w:numId w:val="0"/>
        </w:numPr>
        <w:rPr>
          <w:rFonts w:ascii="Times New Roman" w:hAnsi="Times New Roman" w:cs="Times New Roman"/>
          <w:lang w:val="pl-PL"/>
        </w:rPr>
      </w:pPr>
    </w:p>
    <w:p w14:paraId="11D5E319" w14:textId="77777777" w:rsidR="00094D21" w:rsidRPr="008F328C" w:rsidRDefault="00094D21" w:rsidP="00094D21">
      <w:pPr>
        <w:numPr>
          <w:ilvl w:val="12"/>
          <w:numId w:val="0"/>
        </w:numPr>
        <w:rPr>
          <w:rFonts w:ascii="Times New Roman" w:hAnsi="Times New Roman" w:cs="Times New Roman"/>
          <w:b/>
          <w:lang w:val="pl-PL"/>
        </w:rPr>
      </w:pPr>
      <w:r w:rsidRPr="008F328C">
        <w:rPr>
          <w:rFonts w:ascii="Times New Roman" w:eastAsia="Times New Roman" w:hAnsi="Times New Roman" w:cs="Times New Roman"/>
          <w:b/>
          <w:bCs/>
          <w:lang w:val="pl-PL"/>
        </w:rPr>
        <w:t>Inne źródła informacji</w:t>
      </w:r>
    </w:p>
    <w:p w14:paraId="5575FEB0" w14:textId="77777777" w:rsidR="00094D21" w:rsidRPr="008F328C" w:rsidRDefault="00094D21" w:rsidP="00094D21">
      <w:pPr>
        <w:pStyle w:val="a3"/>
        <w:rPr>
          <w:lang w:val="pl-PL"/>
        </w:rPr>
      </w:pPr>
    </w:p>
    <w:p w14:paraId="2AB88027" w14:textId="77777777" w:rsidR="00094D21" w:rsidRPr="008F328C" w:rsidRDefault="00094D21" w:rsidP="00094D21">
      <w:pPr>
        <w:numPr>
          <w:ilvl w:val="12"/>
          <w:numId w:val="0"/>
        </w:numPr>
        <w:rPr>
          <w:rFonts w:ascii="Times New Roman" w:eastAsia="맑은 고딕" w:hAnsi="Times New Roman" w:cs="Times New Roman"/>
          <w:color w:val="0000FF"/>
          <w:lang w:val="pl-PL" w:eastAsia="ko-KR"/>
        </w:rPr>
      </w:pPr>
      <w:r w:rsidRPr="008F328C">
        <w:rPr>
          <w:rFonts w:ascii="Times New Roman" w:eastAsia="Times New Roman" w:hAnsi="Times New Roman" w:cs="Times New Roman"/>
          <w:lang w:val="pl-PL"/>
        </w:rPr>
        <w:t xml:space="preserve">Szczegółowe informacje o tym leku znajdują się na stronie internetowej Europejskiej Agencji Leków </w:t>
      </w:r>
      <w:hyperlink r:id="rId98" w:history="1">
        <w:r w:rsidRPr="008F328C">
          <w:rPr>
            <w:rStyle w:val="ad"/>
            <w:rFonts w:ascii="Times New Roman" w:eastAsia="Times New Roman" w:hAnsi="Times New Roman" w:cs="Times New Roman"/>
            <w:lang w:val="pl-PL"/>
          </w:rPr>
          <w:t>http://www.ema.europa.eu</w:t>
        </w:r>
      </w:hyperlink>
    </w:p>
    <w:p w14:paraId="03192652" w14:textId="77777777" w:rsidR="00094D21" w:rsidRPr="008F328C" w:rsidRDefault="00094D21" w:rsidP="00094D21">
      <w:pPr>
        <w:spacing w:before="4" w:line="100" w:lineRule="exact"/>
        <w:rPr>
          <w:rFonts w:ascii="Times New Roman" w:hAnsi="Times New Roman" w:cs="Times New Roman"/>
          <w:sz w:val="10"/>
          <w:szCs w:val="10"/>
          <w:lang w:val="pl-PL"/>
        </w:rPr>
      </w:pPr>
    </w:p>
    <w:p w14:paraId="051DC382" w14:textId="442AC3B5" w:rsidR="00094D21" w:rsidRPr="008F328C" w:rsidRDefault="00094D21" w:rsidP="00094D21">
      <w:pPr>
        <w:spacing w:line="200" w:lineRule="exact"/>
        <w:rPr>
          <w:rFonts w:ascii="Times New Roman" w:hAnsi="Times New Roman" w:cs="Times New Roman"/>
          <w:b/>
          <w:sz w:val="20"/>
          <w:szCs w:val="20"/>
          <w:lang w:val="pl-PL"/>
        </w:rPr>
      </w:pPr>
    </w:p>
    <w:p w14:paraId="37A2DAC9" w14:textId="77777777" w:rsidR="00CC4159" w:rsidRPr="008F328C" w:rsidRDefault="00CC4159" w:rsidP="00094D21">
      <w:pPr>
        <w:spacing w:line="200" w:lineRule="exact"/>
        <w:rPr>
          <w:rFonts w:ascii="Times New Roman" w:hAnsi="Times New Roman" w:cs="Times New Roman"/>
          <w:b/>
          <w:sz w:val="20"/>
          <w:szCs w:val="20"/>
          <w:lang w:val="pl-PL"/>
        </w:rPr>
      </w:pPr>
    </w:p>
    <w:p w14:paraId="61E1FD02" w14:textId="77777777" w:rsidR="00094D21" w:rsidRPr="008F328C" w:rsidRDefault="00094D21" w:rsidP="00CC4159">
      <w:pPr>
        <w:pStyle w:val="a4"/>
        <w:numPr>
          <w:ilvl w:val="0"/>
          <w:numId w:val="124"/>
        </w:numPr>
        <w:spacing w:before="18" w:line="240" w:lineRule="exact"/>
        <w:rPr>
          <w:rFonts w:ascii="Times New Roman" w:eastAsia="Times New Roman" w:hAnsi="Times New Roman" w:cs="Times New Roman"/>
          <w:b/>
          <w:lang w:val="pl-PL"/>
        </w:rPr>
      </w:pPr>
      <w:r w:rsidRPr="008F328C">
        <w:rPr>
          <w:rFonts w:ascii="Times New Roman" w:eastAsia="Times New Roman" w:hAnsi="Times New Roman" w:cs="Times New Roman"/>
          <w:b/>
          <w:bCs/>
          <w:spacing w:val="-1"/>
          <w:lang w:val="pl-PL"/>
        </w:rPr>
        <w:t>Instrukcja stosowania</w:t>
      </w:r>
    </w:p>
    <w:p w14:paraId="35B42B11" w14:textId="77777777" w:rsidR="00094D21" w:rsidRPr="008F328C" w:rsidRDefault="00094D21" w:rsidP="00094D21">
      <w:pPr>
        <w:spacing w:before="9" w:line="260" w:lineRule="exact"/>
        <w:rPr>
          <w:rFonts w:ascii="Times New Roman" w:hAnsi="Times New Roman" w:cs="Times New Roman"/>
          <w:b/>
          <w:sz w:val="26"/>
          <w:szCs w:val="26"/>
          <w:lang w:val="pl-PL"/>
        </w:rPr>
      </w:pPr>
    </w:p>
    <w:p w14:paraId="5BE4EFE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Poniższe instrukcje wyjaśniają jak wstrzykiwać podskórnie sobie samemu lek Yuflyma, stosując ampułko-strzykawkę. Prosimy o dokładne przeczytanie instrukcji i wykonywanie zawartych w nich zaleceń w podanej kolejności.</w:t>
      </w:r>
    </w:p>
    <w:p w14:paraId="78D3A097" w14:textId="77777777" w:rsidR="00094D21" w:rsidRPr="008F328C" w:rsidRDefault="00094D21" w:rsidP="00094D21">
      <w:pPr>
        <w:pStyle w:val="a3"/>
        <w:rPr>
          <w:lang w:val="pl-PL"/>
        </w:rPr>
      </w:pPr>
    </w:p>
    <w:p w14:paraId="69C4CBD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Lekarz, pielęgniarka lub farmaceuta nauczą pacjenta, jak samemu sobie wykonać wstrzyknięcie.</w:t>
      </w:r>
    </w:p>
    <w:p w14:paraId="3DCD1B93" w14:textId="77777777" w:rsidR="00094D21" w:rsidRPr="008F328C" w:rsidRDefault="00094D21" w:rsidP="00094D21">
      <w:pPr>
        <w:pStyle w:val="a3"/>
        <w:rPr>
          <w:lang w:val="pl-PL"/>
        </w:rPr>
      </w:pPr>
    </w:p>
    <w:p w14:paraId="00A7A4C8" w14:textId="77777777" w:rsidR="00094D21" w:rsidRPr="008F328C" w:rsidRDefault="00094D21" w:rsidP="00094D21">
      <w:pPr>
        <w:pStyle w:val="a3"/>
        <w:numPr>
          <w:ilvl w:val="1"/>
          <w:numId w:val="4"/>
        </w:numPr>
        <w:ind w:left="660" w:hanging="660"/>
        <w:rPr>
          <w:lang w:val="pl-PL"/>
        </w:rPr>
      </w:pPr>
      <w:r w:rsidRPr="008F328C">
        <w:rPr>
          <w:rFonts w:eastAsia="Times New Roman"/>
          <w:b/>
          <w:bCs/>
          <w:lang w:val="pl-PL"/>
        </w:rPr>
        <w:t>Nie należy</w:t>
      </w:r>
      <w:r w:rsidRPr="008F328C">
        <w:rPr>
          <w:rFonts w:eastAsia="Times New Roman"/>
          <w:lang w:val="pl-PL"/>
        </w:rPr>
        <w:t xml:space="preserve"> podejmować próby wykonania wstrzyknięcia zanim nie zrozumiemy, jak je przygotować i wykonać.</w:t>
      </w:r>
    </w:p>
    <w:p w14:paraId="3A693FFC" w14:textId="77777777" w:rsidR="00094D21" w:rsidRPr="008F328C" w:rsidRDefault="00094D21" w:rsidP="00094D21">
      <w:pPr>
        <w:pStyle w:val="a3"/>
        <w:rPr>
          <w:lang w:val="pl-PL"/>
        </w:rPr>
      </w:pPr>
    </w:p>
    <w:p w14:paraId="72C86A4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Po odpowiednim przeszkoleniu wstrzyknięcie może wykonać sam pacjent lub inna osoba, na przykład członek rodziny lub ktoś znajomy.</w:t>
      </w:r>
    </w:p>
    <w:p w14:paraId="0DA23941" w14:textId="77777777" w:rsidR="00094D21" w:rsidRPr="008F328C" w:rsidRDefault="00094D21" w:rsidP="00094D21">
      <w:pPr>
        <w:pStyle w:val="a3"/>
        <w:rPr>
          <w:lang w:val="pl-PL"/>
        </w:rPr>
      </w:pPr>
    </w:p>
    <w:p w14:paraId="237B3813"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Każdą ampułko-strzykawkę stosować wyłącznie do jednego wstrzyknięcia.</w:t>
      </w:r>
    </w:p>
    <w:p w14:paraId="4922F2FD" w14:textId="77777777" w:rsidR="00094D21" w:rsidRPr="008F328C" w:rsidRDefault="00094D21" w:rsidP="00094D21">
      <w:pPr>
        <w:rPr>
          <w:rFonts w:ascii="Times New Roman" w:hAnsi="Times New Roman" w:cs="Times New Roman"/>
          <w:lang w:val="pl-PL"/>
        </w:rPr>
      </w:pPr>
    </w:p>
    <w:p w14:paraId="1E34EB5F" w14:textId="77777777" w:rsidR="00094D21" w:rsidRPr="008F328C" w:rsidRDefault="00094D21" w:rsidP="00094D21">
      <w:pPr>
        <w:pStyle w:val="a3"/>
        <w:numPr>
          <w:ilvl w:val="0"/>
          <w:numId w:val="0"/>
        </w:numPr>
        <w:rPr>
          <w:lang w:val="pl-PL"/>
        </w:rPr>
      </w:pPr>
      <w:r w:rsidRPr="008F328C">
        <w:rPr>
          <w:lang w:val="pl-PL"/>
        </w:rPr>
        <w:br w:type="page"/>
      </w:r>
    </w:p>
    <w:p w14:paraId="6F366FF4" w14:textId="77777777" w:rsidR="00094D21" w:rsidRPr="008F328C" w:rsidRDefault="00094D21" w:rsidP="00094D21">
      <w:pPr>
        <w:pStyle w:val="a3"/>
        <w:rPr>
          <w:b/>
          <w:lang w:val="pl-PL"/>
        </w:rPr>
      </w:pPr>
      <w:r w:rsidRPr="008F328C">
        <w:rPr>
          <w:rFonts w:eastAsia="Times New Roman"/>
          <w:b/>
          <w:bCs/>
          <w:lang w:val="pl-PL"/>
        </w:rPr>
        <w:lastRenderedPageBreak/>
        <w:t>Ampułko-strzykawka leku Yuflyma</w:t>
      </w:r>
    </w:p>
    <w:p w14:paraId="1671D8AE" w14:textId="77777777" w:rsidR="00094D21" w:rsidRPr="008F328C" w:rsidRDefault="00094D21" w:rsidP="00094D21">
      <w:pPr>
        <w:spacing w:before="13" w:line="240" w:lineRule="exact"/>
        <w:rPr>
          <w:rFonts w:ascii="Times New Roman" w:hAnsi="Times New Roman" w:cs="Times New Roman"/>
          <w:sz w:val="24"/>
          <w:szCs w:val="24"/>
          <w:lang w:val="pl-PL"/>
        </w:rPr>
      </w:pPr>
    </w:p>
    <w:p w14:paraId="28925A90" w14:textId="0E61FFD8" w:rsidR="00094D21" w:rsidRPr="008F328C" w:rsidRDefault="00992D0A" w:rsidP="00094D21">
      <w:pPr>
        <w:spacing w:before="3"/>
        <w:ind w:left="1786" w:right="10920"/>
        <w:rPr>
          <w:rFonts w:ascii="Times New Roman" w:eastAsia="Times New Roman" w:hAnsi="Times New Roman" w:cs="Times New Roman"/>
          <w:sz w:val="20"/>
          <w:szCs w:val="20"/>
          <w:lang w:val="pl-PL"/>
        </w:rPr>
      </w:pPr>
      <w:r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0" behindDoc="0" locked="0" layoutInCell="1" allowOverlap="1" wp14:anchorId="2D00EFD5" wp14:editId="75F98CE0">
                <wp:simplePos x="0" y="0"/>
                <wp:positionH relativeFrom="column">
                  <wp:posOffset>1295400</wp:posOffset>
                </wp:positionH>
                <wp:positionV relativeFrom="paragraph">
                  <wp:posOffset>1635125</wp:posOffset>
                </wp:positionV>
                <wp:extent cx="665979" cy="365760"/>
                <wp:effectExtent l="0" t="0" r="1270" b="0"/>
                <wp:wrapNone/>
                <wp:docPr id="77" name="Text Box 77"/>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51E82"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00EFD5" id="Text Box 77" o:spid="_x0000_s1192" type="#_x0000_t202" style="position:absolute;left:0;text-align:left;margin-left:102pt;margin-top:128.75pt;width:52.45pt;height:28.8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uOlaQIAAFAFAAAOAAAAZHJzL2Uyb0RvYy54bWysVN9P2zAQfp+0/8Hy+5oCooWqKWKgTpMQ&#10;oJWJZ9exm2iOzzu7Tbq/fmcnaRnjhWkvztn3+8t3N79qa8N2Cn0FNucnozFnykooKrvJ+fen5acL&#10;znwQthAGrMr5Xnl+tfj4Yd64mTqFEkyhkFEQ62eNy3kZgptlmZelqoUfgVOWlBqwFoGuuMkKFA1F&#10;r012Oh5PsgawcAhSeU+vt52SL1J8rZUMD1p7FZjJOdUW0onpXMczW8zFbIPClZXsyxD/UEUtKktJ&#10;D6FuRRBsi9VfoepKInjQYSShzkDrSqrUA3VzMn7VzaoUTqVeCBzvDjD5/xdW3u9W7hFZaD9DSz8w&#10;AtI4P/P0GPtpNdbxS5Uy0hOE+wNsqg1M0uNkcn45veRMkupscj6dJFizo7NDH74oqFkUco70VxJY&#10;YnfnAyUk08Ek5vJgqmJZGZMukQnqxiDbCfqH600qkTz+sDKWNVTI2fk4BbYQ3bvIxsYwKnGhT3ds&#10;MElhb1S0Mfab0qwqUp9v5BZSKhuG/Mk6WmlK9R7H3v5Y1Xucuz7II2UGGw7OdWUBU/dpeI6QFT+G&#10;knVnT4C/6DuKoV231HjOL6YDAdZQ7IkXCN3IeCeXFf29O+HDo0CaEaICzX14oEMbIPShlzgrAX+9&#10;9R7tibqk5ayhmcu5/7kVqDgzXy2ROg7oIOAgrAfBbusbIAqc0EZxMonkgMEMokaon2kdXMcspBJW&#10;Uq6cy4DD5SZ0s08LRarr62RGg+hEuLMrJ2PwCGxk41P7LND1lA3E9XsY5lHMXjG3s+1x7ZDrLzS2&#10;id/9iol74eU9WR0X4eI3AAAA//8DAFBLAwQUAAYACAAAACEA2LFUTN4AAAALAQAADwAAAGRycy9k&#10;b3ducmV2LnhtbEyPzU6EQBCE7ya+w6RNvLkDrOwPMmxWo4lXVh9gYHoBZXqQmQV8e9uT3qrSleqv&#10;8sNiezHh6DtHCuJVBAKpdqajRsH728vdDoQPmozuHaGCb/RwKK6vcp0ZN1OJ0yk0gkvIZ1pBG8KQ&#10;SenrFq32Kzcg8e3sRqsD27GRZtQzl9teJlG0kVZ3xB9aPeBTi/Xn6WIVTFi2Zfrx+LxPZnms9CvR&#10;12at1O3NcnwAEXAJf2H4xWd0KJipchcyXvQKkuietwQW6TYFwYl1tNuDqFjEaQyyyOX/DcUPAAAA&#10;//8DAFBLAQItABQABgAIAAAAIQC2gziS/gAAAOEBAAATAAAAAAAAAAAAAAAAAAAAAABbQ29udGVu&#10;dF9UeXBlc10ueG1sUEsBAi0AFAAGAAgAAAAhADj9If/WAAAAlAEAAAsAAAAAAAAAAAAAAAAALwEA&#10;AF9yZWxzLy5yZWxzUEsBAi0AFAAGAAgAAAAhALyW46VpAgAAUAUAAA4AAAAAAAAAAAAAAAAALgIA&#10;AGRycy9lMm9Eb2MueG1sUEsBAi0AFAAGAAgAAAAhANixVEzeAAAACwEAAA8AAAAAAAAAAAAAAAAA&#10;wwQAAGRycy9kb3ducmV2LnhtbFBLBQYAAAAABAAEAPMAAADOBQAAAAA=&#10;" fillcolor="white [3212]" stroked="f" strokeweight=".5pt">
                <v:textbox inset="0,0,0,0">
                  <w:txbxContent>
                    <w:p w14:paraId="2C251E82"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2" behindDoc="0" locked="0" layoutInCell="1" allowOverlap="1" wp14:anchorId="3DFDC2DF" wp14:editId="4B29C4C5">
                <wp:simplePos x="0" y="0"/>
                <wp:positionH relativeFrom="column">
                  <wp:posOffset>2763520</wp:posOffset>
                </wp:positionH>
                <wp:positionV relativeFrom="paragraph">
                  <wp:posOffset>917575</wp:posOffset>
                </wp:positionV>
                <wp:extent cx="533400" cy="467995"/>
                <wp:effectExtent l="0" t="0" r="0" b="8255"/>
                <wp:wrapNone/>
                <wp:docPr id="11" name="Text Box 11"/>
                <wp:cNvGraphicFramePr/>
                <a:graphic xmlns:a="http://schemas.openxmlformats.org/drawingml/2006/main">
                  <a:graphicData uri="http://schemas.microsoft.com/office/word/2010/wordprocessingShape">
                    <wps:wsp>
                      <wps:cNvSpPr txBox="1"/>
                      <wps:spPr>
                        <a:xfrm>
                          <a:off x="0" y="0"/>
                          <a:ext cx="5334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775F0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DFDC2DF" id="Text Box 11" o:spid="_x0000_s1193" type="#_x0000_t202" style="position:absolute;left:0;text-align:left;margin-left:217.6pt;margin-top:72.25pt;width:42pt;height:36.8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xbtaQIAAE4FAAAOAAAAZHJzL2Uyb0RvYy54bWysVE1v2zAMvQ/YfxB0X5y0TZYGdYquRYYB&#10;RVssHXpWZCkxJosapcTOfn0p2U66rpcOu9iU+Pj4IZIXl01l2E6hL8HmfDQYcqashKK065z/eFx8&#10;mnLmg7CFMGBVzvfK88v5xw8XtZupE9iAKRQyIrF+Vrucb0JwsyzzcqMq4QfglCWlBqxEoCOuswJF&#10;TeyVyU6Gw0lWAxYOQSrv6famVfJ54tdayXCvtVeBmZxTbCF9MX1X8ZvNL8RsjcJtStmFIf4hikqU&#10;lpweqG5EEGyL5V9UVSkRPOgwkFBloHUpVcqBshkNX2Wz3AinUi5UHO8OZfL/j1be7ZbuAVlovkBD&#10;DxgLUjs/83QZ82k0VvFPkTLSUwn3h7KpJjBJl+PT07MhaSSpziafz8/HkSU7Gjv04auCikUh50iv&#10;kooldrc+tNAeEn15MGWxKI1Jh9gJ6tog2wl6w9U6hUjkf6CMZXXOJ6fjYSK2EM1bZmMjjUq90Lk7&#10;JpiksDcqYoz9rjQri5TnG76FlMqG3n9CR5QmV+8x7PDHqN5j3OZBFskz2HAwrkoLmLJPw3MsWfGz&#10;D1m3eHqbF3lHMTSrhhLP+XTaN8AKij31BUI7Mt7JRUmvdyt8eBBIM0IPTnMf7umjDVD1oZM42wD+&#10;fus+4ql1SctZTTOXc/9rK1BxZr5Zauo4oL2AvbDqBbutroFaYEQbxckkkgEG04saoXqidXAVvZBK&#10;WEm+ch568Tq0k0/rRKqrqwSiMXQi3Nqlk5E6ljX24mPzJNB1DRuo0++gn0Yxe9W3Lbaralu37kBD&#10;mwahWzBxK7w8J9RxDc6fAQAA//8DAFBLAwQUAAYACAAAACEAg9Q7DuAAAAALAQAADwAAAGRycy9k&#10;b3ducmV2LnhtbEyPy07DMBBF90j8gzVIbBB1EhIaQpwKKiFgwaIpH+DEQxzwI4rdNvw9wwqWM/fo&#10;zpl6s1jDjjiH0TsB6SoBhq73anSDgPf903UJLETplDTeoYBvDLBpzs9qWSl/cjs8tnFgVOJCJQXo&#10;GKeK89BrtDKs/ISOsg8/WxlpnAeuZnmicmt4liS33MrR0QUtJ9xq7L/agxVQlmG7xtB58/ncvly9&#10;4mO6e9NCXF4sD/fAIi7xD4ZffVKHhpw6f3AqMCMgvykyQinI8wIYEUV6R5tOQJaWGfCm5v9/aH4A&#10;AAD//wMAUEsBAi0AFAAGAAgAAAAhALaDOJL+AAAA4QEAABMAAAAAAAAAAAAAAAAAAAAAAFtDb250&#10;ZW50X1R5cGVzXS54bWxQSwECLQAUAAYACAAAACEAOP0h/9YAAACUAQAACwAAAAAAAAAAAAAAAAAv&#10;AQAAX3JlbHMvLnJlbHNQSwECLQAUAAYACAAAACEAdfcW7WkCAABOBQAADgAAAAAAAAAAAAAAAAAu&#10;AgAAZHJzL2Uyb0RvYy54bWxQSwECLQAUAAYACAAAACEAg9Q7DuAAAAALAQAADwAAAAAAAAAAAAAA&#10;AADDBAAAZHJzL2Rvd25yZXYueG1sUEsFBgAAAAAEAAQA8wAAANAFAAAAAA==&#10;" fillcolor="white [3212]" stroked="f" strokeweight=".5pt">
                <v:textbox inset="0,0,0,0">
                  <w:txbxContent>
                    <w:p w14:paraId="5B775F0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7" behindDoc="0" locked="0" layoutInCell="1" allowOverlap="1" wp14:anchorId="1C6E98A7" wp14:editId="59E30566">
                <wp:simplePos x="0" y="0"/>
                <wp:positionH relativeFrom="column">
                  <wp:posOffset>3335752</wp:posOffset>
                </wp:positionH>
                <wp:positionV relativeFrom="paragraph">
                  <wp:posOffset>3079579</wp:posOffset>
                </wp:positionV>
                <wp:extent cx="665979" cy="375858"/>
                <wp:effectExtent l="0" t="0" r="1270" b="5715"/>
                <wp:wrapNone/>
                <wp:docPr id="24" name="Text Box 24"/>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ADECFC"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C6E98A7" id="Text Box 24" o:spid="_x0000_s1194" type="#_x0000_t202" style="position:absolute;left:0;text-align:left;margin-left:262.65pt;margin-top:242.5pt;width:52.45pt;height:29.6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PFaQIAAE4FAAAOAAAAZHJzL2Uyb0RvYy54bWysVE1v2zAMvQ/YfxB0X5y2SJoEdYouRYYB&#10;QVusHXpWZCkxJosapcTOfv0o2U66rpcOu9iUSD5+6JFX101l2F6hL8Hm/Gww5ExZCUVpNzn//rT8&#10;NOHMB2ELYcCqnB+U59fzjx+uajdT57AFUyhkBGL9rHY534bgZlnm5VZVwg/AKUtKDViJQEfcZAWK&#10;mtArk50Ph+OsBiwcglTe0+1tq+TzhK+1kuFea68CMzmn3EL6Yvqu4zebX4nZBoXblrJLQ/xDFpUo&#10;LQU9Qt2KINgOy7+gqlIieNBhIKHKQOtSqlQDVXM2fFXN41Y4lWqh5nh3bJP/f7Dybv/oHpCF5jM0&#10;9ICxIbXzM0+XsZ5GYxX/lCkjPbXwcGybagKTdDkej6aXU84kqS4uR5PRJKJkJ2eHPnxRULEo5Bzp&#10;VVKzxH7lQ2vam8RYHkxZLEtj0iEyQS0Msr2gN1xvUooE/oeVsaymRC5GwwRsIbq3yMZGGJW40IU7&#10;FZikcDAq2hj7TWlWFqnON2ILKZUNffxkHa00hXqPY2d/yuo9zm0d5JEigw1H56q0gKn6NDynlhU/&#10;+pR1a09v86LuKIZm3VDhOZ9MewKsoTgQLxDakfFOLkt6vZXw4UEgzQhRgeY+3NNHG6DuQydxtgX8&#10;9dZ9tCfqkpazmmYu5/7nTqDizHy1ROo4oL2AvbDuBburFkAUOKON4mQSyQGD6UWNUD3TOriJUUgl&#10;rKRYOQ+9uAjt5NM6kermJhnRGDoRVvbRyQgd2xq5+NQ8C3QdYQMx/Q76aRSzV7xtbbuutn3rDjS0&#10;aRC6BRO3wstzsjqtwflvAAAA//8DAFBLAwQUAAYACAAAACEAAPmFuuAAAAALAQAADwAAAGRycy9k&#10;b3ducmV2LnhtbEyPy07DMBBF90j8gzVIbBB1miZtFOJUUAlBFywa+gFOPMQBP6LYbcPfM6xgObpH&#10;d86ttrM17IxTGLwTsFwkwNB1Xg2uF3B8f74vgIUonZLGOxTwjQG29fVVJUvlL+6A5yb2jEpcKKUA&#10;HeNYch46jVaGhR/RUfbhJysjnVPP1SQvVG4NT5Nkza0cHH3QcsSdxu6rOVkBRRF2GwytN58vzevd&#10;Hp+WhzctxO3N/PgALOIc/2D41Sd1qMmp9SenAjMC8jRfESogK3IaRcR6laTAWoqyLAVeV/z/hvoH&#10;AAD//wMAUEsBAi0AFAAGAAgAAAAhALaDOJL+AAAA4QEAABMAAAAAAAAAAAAAAAAAAAAAAFtDb250&#10;ZW50X1R5cGVzXS54bWxQSwECLQAUAAYACAAAACEAOP0h/9YAAACUAQAACwAAAAAAAAAAAAAAAAAv&#10;AQAAX3JlbHMvLnJlbHNQSwECLQAUAAYACAAAACEA7YTDxWkCAABOBQAADgAAAAAAAAAAAAAAAAAu&#10;AgAAZHJzL2Uyb0RvYy54bWxQSwECLQAUAAYACAAAACEAAPmFuuAAAAALAQAADwAAAAAAAAAAAAAA&#10;AADDBAAAZHJzL2Rvd25yZXYueG1sUEsFBgAAAAAEAAQA8wAAANAFAAAAAA==&#10;" fillcolor="white [3212]" stroked="f" strokeweight=".5pt">
                <v:textbox inset="0,0,0,0">
                  <w:txbxContent>
                    <w:p w14:paraId="2AADECFC"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6" behindDoc="0" locked="0" layoutInCell="1" allowOverlap="1" wp14:anchorId="755305E0" wp14:editId="0D154AD4">
                <wp:simplePos x="0" y="0"/>
                <wp:positionH relativeFrom="column">
                  <wp:posOffset>2004792</wp:posOffset>
                </wp:positionH>
                <wp:positionV relativeFrom="paragraph">
                  <wp:posOffset>3082123</wp:posOffset>
                </wp:positionV>
                <wp:extent cx="665979" cy="375858"/>
                <wp:effectExtent l="0" t="0" r="1270" b="5715"/>
                <wp:wrapNone/>
                <wp:docPr id="29" name="Text Box 29"/>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55196"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55305E0" id="Text Box 29" o:spid="_x0000_s1195" type="#_x0000_t202" style="position:absolute;left:0;text-align:left;margin-left:157.85pt;margin-top:242.7pt;width:52.45pt;height:29.6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pvaQIAAE4FAAAOAAAAZHJzL2Uyb0RvYy54bWysVE1v2zAMvQ/YfxB0X5y2SJoEdYquRYYB&#10;QVssHXpWZCkxJosapcTOfv0o2U66rpcOu9iU+Pj4IZJX101l2F6hL8Hm/Gww5ExZCUVpNzn//rT4&#10;NOHMB2ELYcCqnB+U59fzjx+uajdT57AFUyhkRGL9rHY534bgZlnm5VZVwg/AKUtKDViJQEfcZAWK&#10;mtgrk50Ph+OsBiwcglTe0+1dq+TzxK+1kuFBa68CMzmn2EL6Yvqu4zebX4nZBoXblrILQ/xDFJUo&#10;LTk9Ut2JINgOy7+oqlIieNBhIKHKQOtSqpQDZXM2fJXNaiucSrlQcbw7lsn/P1p5v1+5R2Sh+QwN&#10;PWAsSO38zNNlzKfRWMU/RcpITyU8HMummsAkXY7Ho+nllDNJqovL0WQ0iSzZydihD18UVCwKOUd6&#10;lVQssV/60EJ7SPTlwZTFojQmHWInqFuDbC/oDdebFCKR/4EyltUUyMVomIgtRPOW2dhIo1IvdO5O&#10;CSYpHIyKGGO/Kc3KIuX5hm8hpbKh95/QEaXJ1XsMO/wpqvcYt3mQRfIMNhyNq9ICpuzT8JxKVvzo&#10;Q9Ytnt7mRd5RDM26ocRzPk0TEa/WUByoLxDakfFOLkp6vaXw4VEgzQi1As19eKCPNkDVh07ibAv4&#10;6637iKfWJS1nNc1czv3PnUDFmflqqanjgPYC9sK6F+yuugVqgTPaKE4mkQwwmF7UCNUzrYOb6IVU&#10;wkrylfPQi7ehnXxaJ1Ld3CQQjaETYWlXTkbqWNbYi0/Ns0DXNWygTr+HfhrF7FXfttiuqm3dugMN&#10;bRqEbsHErfDynFCnNTj/DQAA//8DAFBLAwQUAAYACAAAACEAAtdx7eEAAAALAQAADwAAAGRycy9k&#10;b3ducmV2LnhtbEyPQU7DMBBF90jcwRokNog6KUkahTgVVELQBYsGDuDEQxywx1HstuH2mBUsR//p&#10;/zf1drGGnXD2oyMB6SoBhtQ7NdIg4P3t6bYE5oMkJY0jFPCNHrbN5UUtK+XOdMBTGwYWS8hXUoAO&#10;Yao4971GK/3KTUgx+3CzlSGe88DVLM+x3Bq+TpKCWzlSXNBywp3G/qs9WgFl6Xcb9J0zn8/ty80e&#10;H9PDqxbi+mp5uAcWcAl/MPzqR3VoolPnjqQ8MwLu0nwTUQFZmWfAIpGtkwJYJyDPsgJ4U/P/PzQ/&#10;AAAA//8DAFBLAQItABQABgAIAAAAIQC2gziS/gAAAOEBAAATAAAAAAAAAAAAAAAAAAAAAABbQ29u&#10;dGVudF9UeXBlc10ueG1sUEsBAi0AFAAGAAgAAAAhADj9If/WAAAAlAEAAAsAAAAAAAAAAAAAAAAA&#10;LwEAAF9yZWxzLy5yZWxzUEsBAi0AFAAGAAgAAAAhANNeim9pAgAATgUAAA4AAAAAAAAAAAAAAAAA&#10;LgIAAGRycy9lMm9Eb2MueG1sUEsBAi0AFAAGAAgAAAAhAALXce3hAAAACwEAAA8AAAAAAAAAAAAA&#10;AAAAwwQAAGRycy9kb3ducmV2LnhtbFBLBQYAAAAABAAEAPMAAADRBQAAAAA=&#10;" fillcolor="white [3212]" stroked="f" strokeweight=".5pt">
                <v:textbox inset="0,0,0,0">
                  <w:txbxContent>
                    <w:p w14:paraId="7BC55196"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5" behindDoc="0" locked="0" layoutInCell="1" allowOverlap="1" wp14:anchorId="04E46296" wp14:editId="48A6D77A">
                <wp:simplePos x="0" y="0"/>
                <wp:positionH relativeFrom="column">
                  <wp:posOffset>2697464</wp:posOffset>
                </wp:positionH>
                <wp:positionV relativeFrom="paragraph">
                  <wp:posOffset>2777417</wp:posOffset>
                </wp:positionV>
                <wp:extent cx="665979" cy="375858"/>
                <wp:effectExtent l="0" t="0" r="1270" b="5715"/>
                <wp:wrapNone/>
                <wp:docPr id="31" name="Text Box 31"/>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F91C4"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4E46296" id="Text Box 31" o:spid="_x0000_s1196" type="#_x0000_t202" style="position:absolute;left:0;text-align:left;margin-left:212.4pt;margin-top:218.7pt;width:52.45pt;height:29.6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waAIAAE4FAAAOAAAAZHJzL2Uyb0RvYy54bWysVE1v2zAMvQ/YfxB0X5y2SJoEdYquRYYB&#10;QVssHXpWZCkxJosapcTOfv0o2U66rpcOu9iUSD5+6JFX101l2F6hL8Hm/Gww5ExZCUVpNzn//rT4&#10;NOHMB2ELYcCqnB+U59fzjx+uajdT57AFUyhkBGL9rHY534bgZlnm5VZVwg/AKUtKDViJQEfcZAWK&#10;mtArk50Ph+OsBiwcglTe0+1dq+TzhK+1kuFBa68CMzmn3EL6Yvqu4zebX4nZBoXblrJLQ/xDFpUo&#10;LQU9Qt2JINgOy7+gqlIieNBhIKHKQOtSqlQDVXM2fFXNaiucSrVQc7w7tsn/P1h5v1+5R2Sh+QwN&#10;PWBsSO38zNNlrKfRWMU/ZcpITy08HNummsAkXY7Ho+nllDNJqovL0WQ0iSjZydmhD18UVCwKOUd6&#10;ldQssV/60Jr2JjGWB1MWi9KYdIhMULcG2V7QG643KUUC/8PKWFZTIhejYQK2EN1bZGMjjEpc6MKd&#10;CkxSOBgVbYz9pjQri1TnG7GFlMqGPn6yjlaaQr3HsbM/ZfUe57YO8kiRwYajc1VawFR9Gp5Ty4of&#10;fcq6tae3eVF3FEOzbqjwnE+PBFhDcSBeILQj451clPR6S+HDo0CaEaICzX14oI82QN2HTuJsC/jr&#10;rftoT9QlLWc1zVzO/c+dQMWZ+WqJ1HFAewF7Yd0LdlfdAlHgjDaKk0kkBwymFzVC9Uzr4CZGIZWw&#10;kmLlPPTibWgnn9aJVDc3yYjG0ImwtCsnI3Rsa+TiU/Ms0HWEDcT0e+inUcxe8ba17bra9q070NCm&#10;QegWTNwKL8/J6rQG578BAAD//wMAUEsDBBQABgAIAAAAIQD6H42J4QAAAAsBAAAPAAAAZHJzL2Rv&#10;d25yZXYueG1sTI/NTsMwEITvSLyDtUhcEHUaQpKGOBVUQsCBQwMP4MRLHPBPFLtteHuWE9x2Z0cz&#10;39bbxRp2xDmM3glYrxJg6HqvRjcIeH97vC6BhSidksY7FPCNAbbN+VktK+VPbo/HNg6MQlyopAAd&#10;41RxHnqNVoaVn9DR7cPPVkZa54GrWZ4o3BqeJknOrRwdNWg54U5j/9UerICyDLsCQ+fN51P7fPWC&#10;D+v9qxbi8mK5vwMWcYl/ZvjFJ3RoiKnzB6cCMwKyNCP0SMNNkQEjx226KYB1pGzyHHhT8/8/ND8A&#10;AAD//wMAUEsBAi0AFAAGAAgAAAAhALaDOJL+AAAA4QEAABMAAAAAAAAAAAAAAAAAAAAAAFtDb250&#10;ZW50X1R5cGVzXS54bWxQSwECLQAUAAYACAAAACEAOP0h/9YAAACUAQAACwAAAAAAAAAAAAAAAAAv&#10;AQAAX3JlbHMvLnJlbHNQSwECLQAUAAYACAAAACEAi/06MGgCAABOBQAADgAAAAAAAAAAAAAAAAAu&#10;AgAAZHJzL2Uyb0RvYy54bWxQSwECLQAUAAYACAAAACEA+h+NieEAAAALAQAADwAAAAAAAAAAAAAA&#10;AADCBAAAZHJzL2Rvd25yZXYueG1sUEsFBgAAAAAEAAQA8wAAANAFAAAAAA==&#10;" fillcolor="white [3212]" stroked="f" strokeweight=".5pt">
                <v:textbox inset="0,0,0,0">
                  <w:txbxContent>
                    <w:p w14:paraId="015F91C4"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4" behindDoc="0" locked="0" layoutInCell="1" allowOverlap="1" wp14:anchorId="43A54BFF" wp14:editId="376145F6">
                <wp:simplePos x="0" y="0"/>
                <wp:positionH relativeFrom="column">
                  <wp:posOffset>2697024</wp:posOffset>
                </wp:positionH>
                <wp:positionV relativeFrom="paragraph">
                  <wp:posOffset>2188144</wp:posOffset>
                </wp:positionV>
                <wp:extent cx="665979" cy="468172"/>
                <wp:effectExtent l="0" t="0" r="1270" b="8255"/>
                <wp:wrapNone/>
                <wp:docPr id="63" name="Text Box 63"/>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627CB6"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3A54BFF" id="Text Box 63" o:spid="_x0000_s1197" type="#_x0000_t202" style="position:absolute;left:0;text-align:left;margin-left:212.35pt;margin-top:172.3pt;width:52.45pt;height:36.8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1OFaQIAAE4FAAAOAAAAZHJzL2Uyb0RvYy54bWysVE1v2zAMvQ/YfxB0X5xka9oYdYqsRYcB&#10;RVusHXpWZCkxJosapcTOfv0o2U66rpcOu9iU+Pj4IZLnF21t2E6hr8AWfDIac6ashLKy64J/f7z+&#10;cMaZD8KWwoBVBd8rzy8W79+dNy5XU9iAKRUyIrE+b1zBNyG4PMu83Kha+BE4ZUmpAWsR6IjrrETR&#10;EHttsul4PMsawNIhSOU93V51Sr5I/ForGe609iowU3CKLaQvpu8qfrPFucjXKNymkn0Y4h+iqEVl&#10;yemB6koEwbZY/UVVVxLBgw4jCXUGWldSpRwom8n4RTYPG+FUyoWK492hTP7/0crb3YO7Rxbaz9DS&#10;A8aCNM7nni5jPq3GOv4pUkZ6KuH+UDbVBibpcjY7mZ/OOZOk+jQ7m5xOI0t2NHbowxcFNYtCwZFe&#10;JRVL7G586KADJPryYKryujImHWInqEuDbCfoDVfrFCKR/4EyljUUyMeTcSK2EM07ZmMjjUq90Ls7&#10;JpiksDcqYoz9pjSrypTnK76FlMqGwX9CR5QmV28x7PHHqN5i3OVBFskz2HAwrisLmLJPw3MsWflj&#10;CFl3eHqbZ3lHMbSrlhIv+Dw9XbxaQbmnvkDoRsY7eV3R690IH+4F0oxQK9Dchzv6aANUfeglzjaA&#10;v167j3hqXdJy1tDMFdz/3ApUnJmvlpo6Dugg4CCsBsFu60ugFpjQRnEyiWSAwQyiRqifaB0soxdS&#10;CSvJV8HDIF6GbvJpnUi1XCYQjaET4cY+OBmpY1ljLz62TwJd37CBOv0WhmkU+Yu+7bB9Vbu69Qca&#10;2jQI/YKJW+H5OaGOa3DxGwAA//8DAFBLAwQUAAYACAAAACEAv9aROeEAAAALAQAADwAAAGRycy9k&#10;b3ducmV2LnhtbEyPy07DMBBF90j8gzVIbBB1koY2DXEqqISABYuGfoATD3HAjyh22/D3DCvYzege&#10;3TlTbWdr2AmnMHgnIF0kwNB1Xg2uF3B4f7otgIUonZLGOxTwjQG29eVFJUvlz26Ppyb2jEpcKKUA&#10;HeNYch46jVaGhR/RUfbhJysjrVPP1STPVG4Nz5Jkxa0cHF3QcsSdxu6rOVoBRRF2awytN5/PzcvN&#10;Kz6m+zctxPXV/HAPLOIc/2D41Sd1qMmp9UenAjMC8ixfEypgmecrYETcZRsaWorSYgm8rvj/H+of&#10;AAAA//8DAFBLAQItABQABgAIAAAAIQC2gziS/gAAAOEBAAATAAAAAAAAAAAAAAAAAAAAAABbQ29u&#10;dGVudF9UeXBlc10ueG1sUEsBAi0AFAAGAAgAAAAhADj9If/WAAAAlAEAAAsAAAAAAAAAAAAAAAAA&#10;LwEAAF9yZWxzLy5yZWxzUEsBAi0AFAAGAAgAAAAhAMdnU4VpAgAATgUAAA4AAAAAAAAAAAAAAAAA&#10;LgIAAGRycy9lMm9Eb2MueG1sUEsBAi0AFAAGAAgAAAAhAL/WkTnhAAAACwEAAA8AAAAAAAAAAAAA&#10;AAAAwwQAAGRycy9kb3ducmV2LnhtbFBLBQYAAAAABAAEAPMAAADRBQAAAAA=&#10;" fillcolor="white [3212]" stroked="f" strokeweight=".5pt">
                <v:textbox inset="0,0,0,0">
                  <w:txbxContent>
                    <w:p w14:paraId="07627CB6"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3" behindDoc="0" locked="0" layoutInCell="1" allowOverlap="1" wp14:anchorId="29C5BD6B" wp14:editId="22007D8D">
                <wp:simplePos x="0" y="0"/>
                <wp:positionH relativeFrom="column">
                  <wp:posOffset>2697024</wp:posOffset>
                </wp:positionH>
                <wp:positionV relativeFrom="paragraph">
                  <wp:posOffset>1430819</wp:posOffset>
                </wp:positionV>
                <wp:extent cx="665979" cy="468172"/>
                <wp:effectExtent l="0" t="0" r="1270" b="8255"/>
                <wp:wrapNone/>
                <wp:docPr id="65" name="Text Box 65"/>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17459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Korpus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9C5BD6B" id="Text Box 65" o:spid="_x0000_s1198" type="#_x0000_t202" style="position:absolute;left:0;text-align:left;margin-left:212.35pt;margin-top:112.65pt;width:52.45pt;height:36.8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PaaQIAAE4FAAAOAAAAZHJzL2Uyb0RvYy54bWysVE1v2zAMvQ/YfxB0X52ka9oGcYosRYcB&#10;QVusHXpWZCkxJosapcTOfn0p2U66rpcOu9iUSD5+6JHTq6YybKfQl2BzPjwZcKashKK065z/eLz5&#10;dMGZD8IWwoBVOd8rz69mHz9MazdRI9iAKRQyArF+Urucb0JwkyzzcqMq4U/AKUtKDViJQEdcZwWK&#10;mtArk40Gg3FWAxYOQSrv6fa6VfJZwtdayXCntVeBmZxTbiF9MX1X8ZvNpmKyRuE2pezSEP+QRSVK&#10;S0EPUNciCLbF8i+oqpQIHnQ4kVBloHUpVaqBqhkOXlXzsBFOpVqoOd4d2uT/H6y83T24e2Sh+QIN&#10;PWBsSO38xNNlrKfRWMU/ZcpITy3cH9qmmsAkXY7HZ5fnl5xJUn0eXwzPRxElOzo79OGrgopFIedI&#10;r5KaJXZLH1rT3iTG8mDK4qY0Jh0iE9TCINsJesPVOqVI4H9YGctqSuT0bJCALUT3FtnYCKMSF7pw&#10;xwKTFPZGRRtjvyvNyiLV+UZsIaWyoY+frKOVplDvcezsj1m9x7mtgzxSZLDh4FyVFjBVn4bn2LLi&#10;Z5+ybu3pbV7UHcXQrBoqPOeXpz0BVlDsiRcI7ch4J29Ker2l8OFeIM0IUYHmPtzRRxug7kMncbYB&#10;/P3WfbQn6pKWs5pmLuf+11ag4sx8s0TqOKC9gL2w6gW7rRZAFBjSRnEyieSAwfSiRqieaB3MYxRS&#10;CSspVs5DLy5CO/m0TqSaz5MRjaETYWkfnIzQsa2Ri4/Nk0DXETYQ02+hn0YxecXb1rbratu37kBD&#10;mwahWzBxK7w8J6vjGpw9AwAA//8DAFBLAwQUAAYACAAAACEAFCmLGOEAAAALAQAADwAAAGRycy9k&#10;b3ducmV2LnhtbEyPy07DMBBF90j8gzVIbBB1GvpIQpwKKiHKgkXTfoATD3HAHkex24a/x6xgOTNH&#10;d84tN5M17Iyj7x0JmM8SYEitUz11Ao6Hl/sMmA+SlDSOUMA3ethU11elLJS70B7PdehYDCFfSAE6&#10;hKHg3LcarfQzNyDF24cbrQxxHDuuRnmJ4dbwNElW3Mqe4gctB9xqbL/qkxWQZX67Rt848/la7+7e&#10;8Hm+f9dC3N5MT4/AAk7hD4Zf/agOVXRq3ImUZ0bAIl2sIyogTZcPwCKxTPMVsCZu8jwBXpX8f4fq&#10;BwAA//8DAFBLAQItABQABgAIAAAAIQC2gziS/gAAAOEBAAATAAAAAAAAAAAAAAAAAAAAAABbQ29u&#10;dGVudF9UeXBlc10ueG1sUEsBAi0AFAAGAAgAAAAhADj9If/WAAAAlAEAAAsAAAAAAAAAAAAAAAAA&#10;LwEAAF9yZWxzLy5yZWxzUEsBAi0AFAAGAAgAAAAhAJ/E49ppAgAATgUAAA4AAAAAAAAAAAAAAAAA&#10;LgIAAGRycy9lMm9Eb2MueG1sUEsBAi0AFAAGAAgAAAAhABQpixjhAAAACwEAAA8AAAAAAAAAAAAA&#10;AAAAwwQAAGRycy9kb3ducmV2LnhtbFBLBQYAAAAABAAEAPMAAADRBQAAAAA=&#10;" fillcolor="white [3212]" stroked="f" strokeweight=".5pt">
                <v:textbox inset="0,0,0,0">
                  <w:txbxContent>
                    <w:p w14:paraId="6B17459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Korpus</w:t>
                      </w:r>
                    </w:p>
                  </w:txbxContent>
                </v:textbox>
              </v:shape>
            </w:pict>
          </mc:Fallback>
        </mc:AlternateContent>
      </w:r>
      <w:r w:rsidR="00094D21" w:rsidRPr="008F328C">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31" behindDoc="0" locked="0" layoutInCell="1" allowOverlap="1" wp14:anchorId="07DD4F3C" wp14:editId="63D77481">
                <wp:simplePos x="0" y="0"/>
                <wp:positionH relativeFrom="column">
                  <wp:posOffset>2699842</wp:posOffset>
                </wp:positionH>
                <wp:positionV relativeFrom="paragraph">
                  <wp:posOffset>424561</wp:posOffset>
                </wp:positionV>
                <wp:extent cx="665979" cy="365760"/>
                <wp:effectExtent l="0" t="0" r="1270" b="0"/>
                <wp:wrapNone/>
                <wp:docPr id="74" name="Text Box 74"/>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C0C4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7DD4F3C" id="Text Box 74" o:spid="_x0000_s1199" type="#_x0000_t202" style="position:absolute;left:0;text-align:left;margin-left:212.6pt;margin-top:33.45pt;width:52.45pt;height:28.8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b8VaAIAAE4FAAAOAAAAZHJzL2Uyb0RvYy54bWysVN9P2zAQfp+0/8Hy+0iBtawRKWKgTpMq&#10;QCsTz65jt9Ecn3d2m3R//c5O0jLGC9NenLPv95fv7vKqrQ3bKfQV2IKfnow4U1ZCWdl1wb8/zj98&#10;4swHYUthwKqC75XnV7P37y4bl6sz2IApFTIKYn3euIJvQnB5lnm5UbXwJ+CUJaUGrEWgK66zEkVD&#10;0WuTnY1Gk6wBLB2CVN7T622n5LMUX2slw73WXgVmCk61hXRiOlfxzGaXIl+jcJtK9mWIf6iiFpWl&#10;pIdQtyIItsXqr1B1JRE86HAioc5A60qq1AN1czp60c1yI5xKvRA43h1g8v8vrLzbLd0DstB+hpZ+&#10;YASkcT739Bj7aTXW8UuVMtIThPsDbKoNTNLjZDKeXkw5k6Q6n4wvJgnW7Ojs0IcvCmoWhYIj/ZUE&#10;ltgtfKCEZDqYxFweTFXOK2PSJTJB3RhkO0H/cLVOJZLHH1bGsoYKOR+PUmAL0b2LbGwMoxIX+nTH&#10;BpMU9kZFG2O/Kc2qMvX5Sm4hpbJhyJ+so5WmVG9x7O2PVb3FueuDPFJmsOHgXFcWMHWfhucIWflj&#10;KFl39gT4s76jGNpVS40XfPpxIMAKyj3xAqEbGe/kvKK/txA+PAikGSEq0NyHezq0AUIfeomzDeCv&#10;196jPVGXtJw1NHMF9z+3AhVn5qslUscBHQQchNUg2G19A0SBU9ooTiaRHDCYQdQI9ROtg+uYhVTC&#10;SspFnBnEm9BNPq0Tqa6vkxGNoRNhYZdOxtAR1sjFx/ZJoOsJG4jpdzBMo8hf8Laz7VHtcOsvNLSJ&#10;3f2CiVvh+T1ZHdfg7DcAAAD//wMAUEsDBBQABgAIAAAAIQD9Ypzq4AAAAAoBAAAPAAAAZHJzL2Rv&#10;d25yZXYueG1sTI/BTsMwEETvSPyDtUjcqNOkiWiIUyFE6IFTS0Q5uvGSRLXXUeym6d9jTnBczdPM&#10;22IzG80mHF1vScByEQFDaqzqqRVQf1QPj8Ccl6SktoQCruhgU97eFDJX9kI7nPa+ZaGEXC4FdN4P&#10;Oeeu6dBIt7ADUsi+7WikD+fYcjXKSyg3msdRlHEjewoLnRzwpcPmtD8bAfqaDPVX8l7pz4PZbk/1&#10;VL29ciHu7+bnJ2AeZ/8Hw69+UIcyOB3tmZRjWsAqTuOACsiyNbAApEm0BHYMZLxKgZcF//9C+QMA&#10;AP//AwBQSwECLQAUAAYACAAAACEAtoM4kv4AAADhAQAAEwAAAAAAAAAAAAAAAAAAAAAAW0NvbnRl&#10;bnRfVHlwZXNdLnhtbFBLAQItABQABgAIAAAAIQA4/SH/1gAAAJQBAAALAAAAAAAAAAAAAAAAAC8B&#10;AABfcmVscy8ucmVsc1BLAQItABQABgAIAAAAIQByab8VaAIAAE4FAAAOAAAAAAAAAAAAAAAAAC4C&#10;AABkcnMvZTJvRG9jLnhtbFBLAQItABQABgAIAAAAIQD9Ypzq4AAAAAoBAAAPAAAAAAAAAAAAAAAA&#10;AMIEAABkcnMvZG93bnJldi54bWxQSwUGAAAAAAQABADzAAAAzwUAAAAA&#10;" fillcolor="white [3212]" stroked="f" strokeweight=".5pt">
                <v:textbox inset="0,0,0,0">
                  <w:txbxContent>
                    <w:p w14:paraId="56BC0C40"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v:textbox>
              </v:shape>
            </w:pict>
          </mc:Fallback>
        </mc:AlternateContent>
      </w:r>
      <w:r w:rsidR="00094D21" w:rsidRPr="008F328C">
        <w:rPr>
          <w:rFonts w:ascii="Times New Roman" w:hAnsi="Times New Roman" w:cs="Times New Roman"/>
          <w:noProof/>
          <w:lang w:eastAsia="ko-KR"/>
        </w:rPr>
        <w:drawing>
          <wp:inline distT="0" distB="0" distL="0" distR="0" wp14:anchorId="76AB8F2D" wp14:editId="32D36AB6">
            <wp:extent cx="3708400" cy="3490072"/>
            <wp:effectExtent l="19050" t="19050" r="25400" b="15240"/>
            <wp:docPr id="3944" name="그림 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 name="그림 3944"/>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719250" cy="3500283"/>
                    </a:xfrm>
                    <a:prstGeom prst="rect">
                      <a:avLst/>
                    </a:prstGeom>
                    <a:noFill/>
                    <a:ln w="12700">
                      <a:solidFill>
                        <a:schemeClr val="tx1"/>
                      </a:solidFill>
                    </a:ln>
                  </pic:spPr>
                </pic:pic>
              </a:graphicData>
            </a:graphic>
          </wp:inline>
        </w:drawing>
      </w:r>
    </w:p>
    <w:p w14:paraId="11A90781" w14:textId="77777777" w:rsidR="00094D21" w:rsidRPr="008F328C" w:rsidRDefault="00094D21" w:rsidP="00094D21">
      <w:pPr>
        <w:spacing w:before="10" w:line="240" w:lineRule="exact"/>
        <w:ind w:left="5040" w:firstLineChars="450" w:firstLine="901"/>
        <w:rPr>
          <w:rFonts w:ascii="Times New Roman" w:hAnsi="Times New Roman" w:cs="Times New Roman"/>
          <w:b/>
          <w:sz w:val="20"/>
          <w:szCs w:val="24"/>
          <w:lang w:val="pl-PL" w:eastAsia="ko-KR"/>
        </w:rPr>
      </w:pPr>
      <w:r w:rsidRPr="008F328C">
        <w:rPr>
          <w:rFonts w:ascii="Times New Roman" w:eastAsia="Times New Roman" w:hAnsi="Times New Roman" w:cs="Times New Roman"/>
          <w:b/>
          <w:bCs/>
          <w:sz w:val="20"/>
          <w:szCs w:val="20"/>
          <w:lang w:val="pl-PL" w:eastAsia="ko-KR"/>
        </w:rPr>
        <w:t>Rysunek A</w:t>
      </w:r>
    </w:p>
    <w:p w14:paraId="1C919464" w14:textId="77777777" w:rsidR="00094D21" w:rsidRPr="008F328C" w:rsidRDefault="00094D21" w:rsidP="00094D21">
      <w:pPr>
        <w:spacing w:before="10" w:line="240" w:lineRule="exact"/>
        <w:rPr>
          <w:rFonts w:ascii="Times New Roman" w:hAnsi="Times New Roman" w:cs="Times New Roman"/>
          <w:sz w:val="24"/>
          <w:szCs w:val="24"/>
          <w:lang w:val="pl-PL"/>
        </w:rPr>
      </w:pPr>
    </w:p>
    <w:p w14:paraId="17F68078" w14:textId="77777777" w:rsidR="00094D21" w:rsidRPr="008F328C" w:rsidRDefault="00094D21" w:rsidP="00094D21">
      <w:pPr>
        <w:pStyle w:val="a3"/>
        <w:rPr>
          <w:b/>
          <w:lang w:val="pl-PL"/>
        </w:rPr>
      </w:pPr>
      <w:r w:rsidRPr="008F328C">
        <w:rPr>
          <w:rFonts w:eastAsia="Times New Roman"/>
          <w:b/>
          <w:bCs/>
          <w:lang w:val="pl-PL"/>
        </w:rPr>
        <w:t>Nie używać ampułko-strzykawki, jeżeli:</w:t>
      </w:r>
    </w:p>
    <w:p w14:paraId="66AB41A6" w14:textId="77777777" w:rsidR="00094D21" w:rsidRPr="008F328C" w:rsidRDefault="00094D21" w:rsidP="00094D21">
      <w:pPr>
        <w:pStyle w:val="a3"/>
        <w:numPr>
          <w:ilvl w:val="1"/>
          <w:numId w:val="3"/>
        </w:numPr>
        <w:ind w:left="660" w:hanging="660"/>
        <w:rPr>
          <w:lang w:val="pl-PL"/>
        </w:rPr>
      </w:pPr>
      <w:r w:rsidRPr="008F328C">
        <w:rPr>
          <w:rFonts w:eastAsia="Times New Roman"/>
          <w:lang w:val="pl-PL"/>
        </w:rPr>
        <w:t xml:space="preserve">jest pęknięta lub uszkodzona. </w:t>
      </w:r>
    </w:p>
    <w:p w14:paraId="53027723" w14:textId="77777777" w:rsidR="00094D21" w:rsidRPr="008F328C" w:rsidRDefault="00094D21" w:rsidP="00094D21">
      <w:pPr>
        <w:pStyle w:val="a3"/>
        <w:numPr>
          <w:ilvl w:val="1"/>
          <w:numId w:val="3"/>
        </w:numPr>
        <w:ind w:left="660" w:hanging="660"/>
        <w:rPr>
          <w:lang w:val="pl-PL"/>
        </w:rPr>
      </w:pPr>
      <w:r w:rsidRPr="008F328C">
        <w:rPr>
          <w:rFonts w:eastAsia="Times New Roman"/>
          <w:lang w:val="pl-PL"/>
        </w:rPr>
        <w:t xml:space="preserve">upłynął termin ważności. </w:t>
      </w:r>
    </w:p>
    <w:p w14:paraId="6FC81433" w14:textId="69BBCA28" w:rsidR="009278CA" w:rsidRPr="008F328C" w:rsidRDefault="009278CA" w:rsidP="00094D21">
      <w:pPr>
        <w:pStyle w:val="a3"/>
        <w:numPr>
          <w:ilvl w:val="1"/>
          <w:numId w:val="3"/>
        </w:numPr>
        <w:ind w:left="660" w:hanging="660"/>
        <w:rPr>
          <w:lang w:val="pl-PL"/>
        </w:rPr>
      </w:pPr>
      <w:r w:rsidRPr="008F328C">
        <w:rPr>
          <w:lang w:val="pl-PL"/>
        </w:rPr>
        <w:t>została upuszczona na twardą powierzchnię.</w:t>
      </w:r>
    </w:p>
    <w:p w14:paraId="20A160E5" w14:textId="77777777" w:rsidR="00094D21" w:rsidRPr="008F328C" w:rsidRDefault="00094D21" w:rsidP="00094D21">
      <w:pPr>
        <w:pStyle w:val="Default"/>
        <w:numPr>
          <w:ilvl w:val="2"/>
          <w:numId w:val="21"/>
        </w:numPr>
        <w:ind w:left="360"/>
        <w:rPr>
          <w:rFonts w:ascii="Times New Roman" w:hAnsi="Times New Roman" w:cs="Times New Roman"/>
          <w:color w:val="211D1E"/>
          <w:sz w:val="20"/>
          <w:szCs w:val="20"/>
          <w:lang w:val="pl-PL"/>
        </w:rPr>
      </w:pPr>
    </w:p>
    <w:p w14:paraId="6A0EE93C" w14:textId="77777777" w:rsidR="00094D21" w:rsidRPr="008F328C" w:rsidRDefault="00094D21" w:rsidP="00094D21">
      <w:pPr>
        <w:pStyle w:val="a3"/>
        <w:rPr>
          <w:b/>
          <w:lang w:val="pl-PL"/>
        </w:rPr>
      </w:pPr>
      <w:r w:rsidRPr="008F328C">
        <w:rPr>
          <w:rFonts w:eastAsia="Times New Roman"/>
          <w:b/>
          <w:bCs/>
          <w:lang w:val="pl-PL"/>
        </w:rPr>
        <w:t>Osłonę zabezpieczającą igłę usunąć bezpośrednio przed wstrzyknięciem. Lek Yuflyma przechowywać w miejscu niewidocznym i niedostępnym dla dzieci.</w:t>
      </w:r>
    </w:p>
    <w:p w14:paraId="59169DE7" w14:textId="77777777" w:rsidR="00094D21" w:rsidRPr="008F328C" w:rsidRDefault="00094D21" w:rsidP="00094D21">
      <w:pPr>
        <w:rPr>
          <w:rFonts w:ascii="Times New Roman" w:hAnsi="Times New Roman" w:cs="Times New Roman"/>
          <w:lang w:val="pl-PL"/>
        </w:rPr>
      </w:pPr>
      <w:r w:rsidRPr="008F328C">
        <w:rPr>
          <w:rFonts w:ascii="Times New Roman" w:hAnsi="Times New Roman" w:cs="Times New Roman"/>
          <w:lang w:val="pl-PL"/>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094D21" w:rsidRPr="008F328C" w14:paraId="2A0C97AD" w14:textId="77777777" w:rsidTr="008A03B2">
        <w:trPr>
          <w:trHeight w:val="2684"/>
        </w:trPr>
        <w:tc>
          <w:tcPr>
            <w:tcW w:w="9634" w:type="dxa"/>
          </w:tcPr>
          <w:p w14:paraId="53B49177" w14:textId="77777777" w:rsidR="00094D21" w:rsidRPr="008F328C" w:rsidRDefault="00094D21" w:rsidP="008A03B2">
            <w:pPr>
              <w:pStyle w:val="a3"/>
              <w:numPr>
                <w:ilvl w:val="0"/>
                <w:numId w:val="0"/>
              </w:numPr>
              <w:ind w:left="580"/>
              <w:rPr>
                <w:lang w:val="pl-PL"/>
              </w:rPr>
            </w:pPr>
          </w:p>
          <w:p w14:paraId="513D674F" w14:textId="77777777" w:rsidR="00094D21" w:rsidRPr="008F328C" w:rsidRDefault="00094D21" w:rsidP="008E70FE">
            <w:pPr>
              <w:pStyle w:val="a3"/>
              <w:numPr>
                <w:ilvl w:val="0"/>
                <w:numId w:val="125"/>
              </w:numPr>
              <w:rPr>
                <w:lang w:val="pl-PL"/>
              </w:rPr>
            </w:pPr>
            <w:r w:rsidRPr="008F328C">
              <w:rPr>
                <w:rFonts w:eastAsia="Times New Roman"/>
                <w:b/>
                <w:bCs/>
                <w:lang w:val="pl-PL"/>
              </w:rPr>
              <w:t>Przygotować materiały potrzebne do wykonania wstrzyknięcie</w:t>
            </w:r>
          </w:p>
          <w:p w14:paraId="3BB11CD0" w14:textId="77777777" w:rsidR="00094D21" w:rsidRPr="008F328C" w:rsidRDefault="00094D21" w:rsidP="008A03B2">
            <w:pPr>
              <w:pStyle w:val="a3"/>
              <w:numPr>
                <w:ilvl w:val="0"/>
                <w:numId w:val="0"/>
              </w:numPr>
              <w:ind w:left="580"/>
              <w:rPr>
                <w:lang w:val="pl-PL"/>
              </w:rPr>
            </w:pPr>
          </w:p>
          <w:p w14:paraId="14AB2C9C" w14:textId="77777777" w:rsidR="00094D21" w:rsidRPr="008F328C" w:rsidRDefault="00094D21" w:rsidP="008A03B2">
            <w:pPr>
              <w:pStyle w:val="a3"/>
              <w:ind w:leftChars="100" w:left="220"/>
              <w:rPr>
                <w:lang w:val="pl-PL" w:eastAsia="ko-KR"/>
              </w:rPr>
            </w:pPr>
            <w:r w:rsidRPr="008F328C">
              <w:rPr>
                <w:rFonts w:eastAsia="Times New Roman"/>
                <w:b/>
                <w:bCs/>
                <w:lang w:val="pl-PL" w:eastAsia="ko-KR"/>
              </w:rPr>
              <w:t>a.</w:t>
            </w:r>
            <w:r w:rsidRPr="008F328C">
              <w:rPr>
                <w:rFonts w:eastAsia="Times New Roman"/>
                <w:lang w:val="pl-PL" w:eastAsia="ko-KR"/>
              </w:rPr>
              <w:t xml:space="preserve"> Przygotować czystą, płaską powierzchnię, taką jak stół lub blat, w dobrze oświetlonym miejscu.</w:t>
            </w:r>
          </w:p>
          <w:p w14:paraId="05DB165F" w14:textId="77777777" w:rsidR="00094D21" w:rsidRPr="008F328C" w:rsidRDefault="00094D21" w:rsidP="008A03B2">
            <w:pPr>
              <w:pStyle w:val="a3"/>
              <w:ind w:leftChars="100" w:left="220"/>
              <w:rPr>
                <w:lang w:val="pl-PL" w:eastAsia="ko-KR"/>
              </w:rPr>
            </w:pPr>
            <w:r w:rsidRPr="008F328C">
              <w:rPr>
                <w:rFonts w:eastAsia="Times New Roman"/>
                <w:b/>
                <w:bCs/>
                <w:lang w:val="pl-PL" w:eastAsia="ko-KR"/>
              </w:rPr>
              <w:t>b.</w:t>
            </w:r>
            <w:r w:rsidRPr="008F328C">
              <w:rPr>
                <w:rFonts w:eastAsia="Times New Roman"/>
                <w:lang w:val="pl-PL" w:eastAsia="ko-KR"/>
              </w:rPr>
              <w:t xml:space="preserve"> Wyjąć 1 ampułko-strzykawkę z kartonika przechowywanego w lodówce.</w:t>
            </w:r>
          </w:p>
          <w:p w14:paraId="40F5E8BE" w14:textId="77777777" w:rsidR="00094D21" w:rsidRPr="008F328C" w:rsidRDefault="00094D21" w:rsidP="008A03B2">
            <w:pPr>
              <w:pStyle w:val="a3"/>
              <w:ind w:leftChars="300" w:left="660" w:rightChars="100" w:right="220"/>
              <w:rPr>
                <w:lang w:val="pl-PL" w:eastAsia="ko-KR"/>
              </w:rPr>
            </w:pPr>
            <w:r w:rsidRPr="008F328C">
              <w:rPr>
                <w:rFonts w:eastAsia="맑은 고딕"/>
                <w:lang w:val="pl-PL" w:eastAsia="ko-KR"/>
              </w:rPr>
              <w:t>•</w:t>
            </w:r>
            <w:r w:rsidRPr="008F328C">
              <w:rPr>
                <w:rFonts w:eastAsia="Times New Roman"/>
                <w:lang w:val="pl-PL" w:eastAsia="ko-KR"/>
              </w:rPr>
              <w:t xml:space="preserve"> Przytrzymać korpus ampułko-strzykawki podczas wyjmowania go z kartonika.</w:t>
            </w:r>
            <w:r w:rsidRPr="008F328C">
              <w:rPr>
                <w:rFonts w:eastAsia="Times New Roman"/>
                <w:b/>
                <w:bCs/>
                <w:lang w:val="pl-PL" w:eastAsia="ko-KR"/>
              </w:rPr>
              <w:t xml:space="preserve"> Nie </w:t>
            </w:r>
            <w:r w:rsidRPr="008F328C">
              <w:rPr>
                <w:rFonts w:eastAsia="Times New Roman"/>
                <w:lang w:val="pl-PL" w:eastAsia="ko-KR"/>
              </w:rPr>
              <w:t>dotykać tłoka.</w:t>
            </w:r>
          </w:p>
          <w:p w14:paraId="34EE9DA3" w14:textId="52DBA04C" w:rsidR="00094D21" w:rsidRPr="008F328C" w:rsidRDefault="00094D21" w:rsidP="008A03B2">
            <w:pPr>
              <w:pStyle w:val="a3"/>
              <w:ind w:leftChars="100" w:left="220"/>
              <w:rPr>
                <w:lang w:val="pl-PL" w:eastAsia="ko-KR"/>
              </w:rPr>
            </w:pPr>
            <w:r w:rsidRPr="008F328C">
              <w:rPr>
                <w:rFonts w:eastAsia="Times New Roman"/>
                <w:b/>
                <w:bCs/>
                <w:lang w:val="pl-PL" w:eastAsia="ko-KR"/>
              </w:rPr>
              <w:t>c</w:t>
            </w:r>
            <w:r w:rsidR="00992D0A" w:rsidRPr="008F328C">
              <w:rPr>
                <w:rFonts w:eastAsia="Times New Roman"/>
                <w:b/>
                <w:bCs/>
                <w:lang w:val="pl-PL" w:eastAsia="ko-KR"/>
              </w:rPr>
              <w:t>.</w:t>
            </w:r>
            <w:r w:rsidRPr="008F328C">
              <w:rPr>
                <w:rFonts w:eastAsia="Times New Roman"/>
                <w:lang w:val="pl-PL" w:eastAsia="ko-KR"/>
              </w:rPr>
              <w:t xml:space="preserve"> Należy upewnić się, że są dostępne następujące materiały:</w:t>
            </w:r>
          </w:p>
          <w:p w14:paraId="41223D2C" w14:textId="77777777" w:rsidR="00094D21" w:rsidRPr="008F328C" w:rsidRDefault="00094D21" w:rsidP="008A03B2">
            <w:pPr>
              <w:pStyle w:val="a3"/>
              <w:ind w:left="720"/>
              <w:rPr>
                <w:lang w:val="pl-PL" w:eastAsia="ko-KR"/>
              </w:rPr>
            </w:pPr>
            <w:r w:rsidRPr="008F328C">
              <w:rPr>
                <w:rFonts w:eastAsia="Times New Roman"/>
                <w:lang w:val="pl-PL" w:eastAsia="ko-KR"/>
              </w:rPr>
              <w:t>- ampułko-strzykawka</w:t>
            </w:r>
          </w:p>
          <w:p w14:paraId="59919B59" w14:textId="77777777" w:rsidR="00094D21" w:rsidRPr="008F328C" w:rsidRDefault="00094D21" w:rsidP="008A03B2">
            <w:pPr>
              <w:pStyle w:val="a3"/>
              <w:spacing w:after="120"/>
              <w:ind w:left="720"/>
              <w:rPr>
                <w:lang w:val="pl-PL" w:eastAsia="ko-KR"/>
              </w:rPr>
            </w:pPr>
            <w:r w:rsidRPr="008F328C">
              <w:rPr>
                <w:rFonts w:eastAsia="Times New Roman"/>
                <w:lang w:val="pl-PL" w:eastAsia="ko-KR"/>
              </w:rPr>
              <w:t>- gazik nasączony alkoholem</w:t>
            </w:r>
          </w:p>
          <w:p w14:paraId="4201816B" w14:textId="77777777" w:rsidR="00094D21" w:rsidRPr="008F328C" w:rsidRDefault="00094D21" w:rsidP="008A03B2">
            <w:pPr>
              <w:pStyle w:val="a3"/>
              <w:ind w:left="720"/>
              <w:rPr>
                <w:b/>
                <w:lang w:val="pl-PL" w:eastAsia="ko-KR"/>
              </w:rPr>
            </w:pPr>
            <w:r w:rsidRPr="008F328C">
              <w:rPr>
                <w:rFonts w:eastAsia="Times New Roman"/>
                <w:b/>
                <w:bCs/>
                <w:lang w:val="pl-PL" w:eastAsia="ko-KR"/>
              </w:rPr>
              <w:t>Niedołączone do opakowania:</w:t>
            </w:r>
          </w:p>
          <w:p w14:paraId="4ECEC8C7" w14:textId="77777777" w:rsidR="00094D21" w:rsidRPr="008F328C" w:rsidRDefault="00094D21" w:rsidP="008A03B2">
            <w:pPr>
              <w:pStyle w:val="a3"/>
              <w:ind w:left="720"/>
              <w:rPr>
                <w:lang w:val="pl-PL" w:eastAsia="ko-KR"/>
              </w:rPr>
            </w:pPr>
            <w:r w:rsidRPr="008F328C">
              <w:rPr>
                <w:rFonts w:eastAsia="Times New Roman"/>
                <w:lang w:val="pl-PL" w:eastAsia="ko-KR"/>
              </w:rPr>
              <w:t>- wacik lub gazik bawełniany</w:t>
            </w:r>
          </w:p>
          <w:p w14:paraId="6DF94B23" w14:textId="77777777" w:rsidR="00094D21" w:rsidRPr="008F328C" w:rsidRDefault="00094D21" w:rsidP="008A03B2">
            <w:pPr>
              <w:pStyle w:val="a3"/>
              <w:ind w:left="720"/>
              <w:rPr>
                <w:lang w:val="pl-PL" w:eastAsia="ko-KR"/>
              </w:rPr>
            </w:pPr>
            <w:r w:rsidRPr="008F328C">
              <w:rPr>
                <w:rFonts w:eastAsia="Times New Roman"/>
                <w:lang w:val="pl-PL" w:eastAsia="ko-KR"/>
              </w:rPr>
              <w:t>- plaster samoprzylepny</w:t>
            </w:r>
          </w:p>
          <w:p w14:paraId="0FC47D8C" w14:textId="77777777" w:rsidR="00094D21" w:rsidRPr="008F328C" w:rsidRDefault="00094D21" w:rsidP="008A03B2">
            <w:pPr>
              <w:pStyle w:val="a3"/>
              <w:ind w:left="720"/>
              <w:rPr>
                <w:lang w:val="pl-PL" w:eastAsia="ko-KR"/>
              </w:rPr>
            </w:pPr>
            <w:r w:rsidRPr="008F328C">
              <w:rPr>
                <w:rFonts w:eastAsia="Times New Roman"/>
                <w:lang w:val="pl-PL" w:eastAsia="ko-KR"/>
              </w:rPr>
              <w:t>- pojemnik na odpady ostre</w:t>
            </w:r>
          </w:p>
          <w:p w14:paraId="001112D8" w14:textId="77777777" w:rsidR="00094D21" w:rsidRPr="008F328C" w:rsidRDefault="00094D21" w:rsidP="008A03B2">
            <w:pPr>
              <w:ind w:left="224" w:right="1248"/>
              <w:rPr>
                <w:rFonts w:ascii="Times New Roman" w:eastAsia="Times New Roman" w:hAnsi="Times New Roman" w:cs="Times New Roman"/>
                <w:b/>
                <w:bCs/>
                <w:spacing w:val="-1"/>
                <w:lang w:val="pl-PL"/>
              </w:rPr>
            </w:pPr>
          </w:p>
        </w:tc>
      </w:tr>
      <w:tr w:rsidR="00094D21" w:rsidRPr="00A5286D" w14:paraId="6F4A0C8C" w14:textId="77777777" w:rsidTr="008A03B2">
        <w:trPr>
          <w:trHeight w:val="3969"/>
        </w:trPr>
        <w:tc>
          <w:tcPr>
            <w:tcW w:w="9634" w:type="dxa"/>
          </w:tcPr>
          <w:p w14:paraId="40238BF6" w14:textId="77777777" w:rsidR="00094D21" w:rsidRPr="008F328C" w:rsidRDefault="00094D21" w:rsidP="008A03B2">
            <w:pPr>
              <w:ind w:left="224" w:right="1248"/>
              <w:rPr>
                <w:rFonts w:ascii="Times New Roman" w:hAnsi="Times New Roman" w:cs="Times New Roman"/>
                <w:lang w:val="pl-PL"/>
              </w:rPr>
            </w:pPr>
          </w:p>
          <w:p w14:paraId="2EBD21C1" w14:textId="1238CBE0" w:rsidR="00094D21" w:rsidRPr="008F328C" w:rsidRDefault="00094D21" w:rsidP="008A03B2">
            <w:pPr>
              <w:pStyle w:val="a3"/>
              <w:rPr>
                <w:lang w:val="pl-PL"/>
              </w:rPr>
            </w:pPr>
            <w:r w:rsidRPr="008F328C">
              <w:rPr>
                <w:noProof/>
                <w:lang w:eastAsia="ko-KR"/>
              </w:rPr>
              <mc:AlternateContent>
                <mc:Choice Requires="wpg">
                  <w:drawing>
                    <wp:anchor distT="0" distB="0" distL="114300" distR="114300" simplePos="0" relativeHeight="251658314" behindDoc="0" locked="0" layoutInCell="1" allowOverlap="1" wp14:anchorId="658622DE" wp14:editId="0A9F08E3">
                      <wp:simplePos x="0" y="0"/>
                      <wp:positionH relativeFrom="column">
                        <wp:posOffset>-1905</wp:posOffset>
                      </wp:positionH>
                      <wp:positionV relativeFrom="paragraph">
                        <wp:posOffset>635</wp:posOffset>
                      </wp:positionV>
                      <wp:extent cx="1659255" cy="2203450"/>
                      <wp:effectExtent l="0" t="0" r="0" b="6350"/>
                      <wp:wrapSquare wrapText="bothSides"/>
                      <wp:docPr id="79" name="그룹 79"/>
                      <wp:cNvGraphicFramePr/>
                      <a:graphic xmlns:a="http://schemas.openxmlformats.org/drawingml/2006/main">
                        <a:graphicData uri="http://schemas.microsoft.com/office/word/2010/wordprocessingGroup">
                          <wpg:wgp>
                            <wpg:cNvGrpSpPr/>
                            <wpg:grpSpPr>
                              <a:xfrm>
                                <a:off x="0" y="0"/>
                                <a:ext cx="1659255" cy="2192468"/>
                                <a:chOff x="0" y="10982"/>
                                <a:chExt cx="1659790" cy="2192468"/>
                              </a:xfrm>
                            </wpg:grpSpPr>
                            <pic:pic xmlns:pic="http://schemas.openxmlformats.org/drawingml/2006/picture">
                              <pic:nvPicPr>
                                <pic:cNvPr id="80" name="그림 80"/>
                                <pic:cNvPicPr>
                                  <a:picLocks noChangeAspect="1"/>
                                </pic:cNvPicPr>
                              </pic:nvPicPr>
                              <pic:blipFill>
                                <a:blip r:embed="rId100" cstate="print">
                                  <a:extLst>
                                    <a:ext uri="{28A0092B-C50C-407E-A947-70E740481C1C}">
                                      <a14:useLocalDpi xmlns:a14="http://schemas.microsoft.com/office/drawing/2010/main" val="0"/>
                                    </a:ext>
                                  </a:extLst>
                                </a:blip>
                                <a:srcRect/>
                                <a:stretch/>
                              </pic:blipFill>
                              <pic:spPr bwMode="auto">
                                <a:xfrm>
                                  <a:off x="0" y="10982"/>
                                  <a:ext cx="1658620" cy="2022101"/>
                                </a:xfrm>
                                <a:prstGeom prst="rect">
                                  <a:avLst/>
                                </a:prstGeom>
                                <a:noFill/>
                                <a:ln>
                                  <a:noFill/>
                                </a:ln>
                              </pic:spPr>
                            </pic:pic>
                            <wps:wsp>
                              <wps:cNvPr id="81" name="Text Box 81"/>
                              <wps:cNvSpPr txBox="1"/>
                              <wps:spPr>
                                <a:xfrm>
                                  <a:off x="939800" y="2057400"/>
                                  <a:ext cx="719990" cy="146050"/>
                                </a:xfrm>
                                <a:prstGeom prst="rect">
                                  <a:avLst/>
                                </a:prstGeom>
                                <a:solidFill>
                                  <a:prstClr val="white"/>
                                </a:solidFill>
                                <a:ln>
                                  <a:noFill/>
                                </a:ln>
                              </wps:spPr>
                              <wps:txbx>
                                <w:txbxContent>
                                  <w:p w14:paraId="32A024E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58622DE" id="그룹 79" o:spid="_x0000_s1200" style="position:absolute;margin-left:-.15pt;margin-top:.05pt;width:130.65pt;height:173.5pt;z-index:251658314" coordorigin=",109" coordsize="16597,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5HTigMAAAwIAAAOAAAAZHJzL2Uyb0RvYy54bWycVdtu4zYQfS/QfyD0&#10;vtGlsWMLURZu0gQLpLtGk2KfaYqyiJVIlqQtpx/UX2gf+kW7P9FDSoovSdHtPlgeksPhnDNnyMu3&#10;u7YhW26sULKI0rMkIlwyVQq5LqJfH2/fzCJiHZUlbZTkRfTEbfT26vvvLjud80zVqim5IQgibd7p&#10;Iqqd03kcW1bzltozpbnEYqVMSx2GZh2XhnaI3jZxliTTuFOm1EYxbi1mb/rF6CrEryrO3IeqstyR&#10;poiQmwtfE74r/42vLmm+NlTXgg1p0G/IoqVC4tDnUDfUUbIx4kWoVjCjrKrcGVNtrKpKMB4wAE2a&#10;nKC5M2qjA5Z13q31M02g9oSnbw7L3m/vjH7QSwMmOr0GF2Hksewq0/p/ZEl2gbKnZ8r4zhGGyXQ6&#10;mWeTSUQY1rJ0np1PZz2prAbz+31pMp9l48pPB7sv5qjLye54PDw+SkkLluM38ADrBQ//rRfschvD&#10;oyFI+1UxWmo+bfQblExTJ1aiEe4pyA/F8UnJ7VKwpekHoHRpiCiLaAZkkraQ/ec///ryx98EE6DZ&#10;7/BO/RbqId0r9skSqa5rKtd8YTWEC3K9d3zsHoZH560aoW9F0/hSeXtABpGfiOQVcnoB3ii2abl0&#10;fUcZ3gCkkrYW2kbE5LxdcaAx78oUlUI3OyDSRkjX19Ma9gvyDa1kneGO1WPe+9w8CguZkVX3syoR&#10;gG6cCi3zqswO5HIgtdk0G8WSZFma9ASNYgGTxro7rlriDWSMrMIRdHtvfX7Q1eji2ZLK8xbybuTR&#10;BBz9TCDbZz2YAOG7BFeVHWnG6AXR/6sbH2qqObL0YQ+kA6p76Tx6/D+qHZkFtIOb71jidpgfZOLn&#10;+0z3dAyNO/9hPkvAm+/QZHJxDjtgHom9SOfzsQnT82kyCevPPbjn7CtptaoR5ahIz/d1Y8iW4gbu&#10;auF4EDXNj7z+hf49KG+53WoX+mo+8TH81EqVTyDCKFQbCK1mtwIH3lPrltTgJsckXif3AZ+qUV0R&#10;qcGKSK3M76/Ne3+UFKsR6fAyFJH9bUP9ldG8kyg2QrrRMKOxGg25aa8VoKJ+yCaY2GBcM5qVUe1H&#10;PFoLfwqWqGQ4q4jcaF67/n3Co8f4YhGc+pvnXj5o3Fdp0LQn9nH3kRo9lMWhnu/VKCean4i+9/Uq&#10;t3qB3rsVoSP2LELjfgBpBys8ObCO3rTDcfDaP+JX/wAAAP//AwBQSwMECgAAAAAAAAAhAAOq/Y7x&#10;kQAA8ZEAABQAAABkcnMvbWVkaWEvaW1hZ2UxLnBuZ4lQTkcNChoKAAAADUlIRFIAAAGPAAAB5ggG&#10;AAAAi2ECdQAAAAFzUkdCAK7OHOkAAAAEZ0FNQQAAsY8L/GEFAAAACXBIWXMAACHVAAAh1QEEnLSd&#10;AACRhklEQVR4Xu2dhXdUy/K2v7/hd/XgkoQQdyd4kAjuETxIiBOB4ATXJLi7OwR3d3d3PRw4fu65&#10;99bXbyXDDWFHZjLRqWetWsAws2fP3r377aqurv5/itPK3oiJiYmJiRXSoBv/783Lly/pxx9/FBMT&#10;ExMTy9egF9kC8v/e4AVBEARBKAjohYiHIAiCoBciHoIgCILeiHgIgiAIeiPiIQiCIOiNiIcgCIKg&#10;NyIegiAIgt6IeAiCIAh6I+IhCIIg6I2IhyAIgqA3Ih6CIAiC3oh4CIIgCHoj4iEIgiDojYiHIAiC&#10;oDciHoIgCILeiHgIgiAIeiPiIQiCIOiNiIcgCIKgNyIegiAIgt6IeAiCIAh6I+IhCIIg6I2IhyAI&#10;gqA3Ih6CIAiC3oh4CIIgCHoj4iEIgiDojYiHIAiCoDciHoIgCILeiHgIgiAIeiPiIQiCIOiNiIcg&#10;CIKgNyIexcB///tf+s9//kN//vnnV/bHH3/Q77///o3961//YtO979///jd/HscRBEEoi4h4GBl0&#10;+hCE9+/f04MHD77Yndu36dixY7Rvz96vbP++/XT+3Hm6dfPml/e+fPmSfv75ZxYSQRCEsoiIhwHA&#10;g/j06RO9evWKHj54yB3/5UuX6dSpU3To4EHanZlJ69aspbmz53yx9JlpNCQpmaIjo76y2OgYGjtq&#10;NM2cNv3Le5cvW0Y7t2+nA/v307GjR+n82XN05coVFqBnT5/Ru3fvWFwgVIIgCKWBiIcBfP/993T1&#10;6lXasmkzpc2YQYmDE6hHWC9q1qQZ2VlZk01dK7K2rEtWFnW+Mkszc02ra27x1fus61iSjfq8rTqO&#10;l5s7tWvVmnr37Ekjhg2jZUuWsqjcv39fPBNBEEoNEY8CgJfx4P4DOnrkCK1YvpzGjR2nvIVY7sw7&#10;tmtPLf2aUX2feuTm7ErWdR2pRk17qlHLiarV9qCq5g2pqkWjbGtMlS1bUmWroK+tbgBVqdM0x/uU&#10;mdXjz1ev5Urm5k7kYGNHHi6u1LhBA2oT1IqCu3SlAeH9aPjQFMpIT6dNGzfSOeWdIFQmCIJQEoh4&#10;5AKhoF9//ZVevHhB165do4MHDtL8uXMpKSFBiUUHcnZ0IbPaVlSjhhVVr2lH1Wo5qo7eVXX4HlTF&#10;oiFVqetPVSwDlDC0o0o23ZR1pco2XaiSdSf6zjaM/mnf62uz60nfqffxe9R7K9mqz1h3Vp9vr4Sl&#10;rRKc5urYnlTNzE19jzN/X/WatlS7lrXybmypScNG1DOsO4e+ICKYP7l/7x59+PCB515k0l0QhOJA&#10;xEPxJTvqX/+iz58/s6exetUqioyIJF9vX3JxdCZbK1uytLDiTrtabTflIfipzr0N/dMmmP5u34f+&#10;6hRBf3GOZvubY3/6h0NfFodKtsFU2bqjEpU2ylopa/2NVbbqoN7TOUs47ELV53rT3x0HqmPieDHq&#10;z0j6m0M4/cOuhxIaJUbqONXMG1DNWnZkblaXrCytyN7Gnrw9vKhT+440IXUcHTx4kF4qAfztt984&#10;e0tERBAEYyLioUCaLOYxTp08SQvmLaDYmDjq0LYdebl7UO2aFlQDYmHeUHkB/vSddQdlHVUH3k55&#10;GKrzV15GFeUdVLZUYmLZhCrXaaw8kAbq/b6qg6+XZWY+yryz/8S/NezL+33UZ+uxF1PZopE6njom&#10;H7+FEhrl0WSLzXc2nemftl3VubTj/8Pxa5k5kL2tI/k1bkJhwSE0euRI2rJ5ixLD++yFyAS7IAjG&#10;wqTFAyNyZC3du3efdu7MpFEjRlJQQBDVMbdRo3obqs4hKXgZzbjT/s66E/3DVnkG6s/KSjQwj1G9&#10;tg/VqOWm/nRR5podwnLnMBbCTRCCqkpMqqj3Ym6jSh2/XKZeU/+H90BwqioR4M+pY2SFqtyUeLkq&#10;81DHVwKkRKxKnRbqXNorj6eH8kbClJB0UcISpI7RSL3Hg2rUtKOa1S3I1cmFevfoSYsWLKRLFy/S&#10;x48fWSgFQRCKikmKB0I4MMxtIGspLW0WNW8WSI52jmRhZqVEw56qWrbkENE/7XoooWjN3gE65eo1&#10;61KNGjCIi4t6vb7qzJVHot77D/ve9DcOX8XSX1zj2f7PdXAuS8hlX/+/7nN/cYmjvzpH0t8d+mbN&#10;m9RtpcSliRITT3UO9tnnYKmEy4GqK4+map1A+g7ChvO1aqte8ySzWnWproUl+Xr7UGxUNJ0+fZrn&#10;QuCBSBhLEISiYLLigd969cpVGjNqrPI2WpFVXXuqZQ6vQY3+lUdQzaJhlieAcBI6bHgEHLoKVJ5H&#10;e/qnbWf2Qv5u31N18P2y5idcIADJ9H9uKfR/7sOKaOoYbkOUkCQoQYqivzsO4LmVf9h1V9/bjb7j&#10;CfVAda5NOeRV3cxLnXtWuAseUZU6zdWfEBt3qmNhR/W8vKlfn760asVKunf3rngggiAUCZMTD4Sq&#10;fvrpJ7p48SKlzUwnH896VFuN0KvXdFBehI/qfDF30YKq13ZTngVSbpWgmNdTr/nTP21C6G+OSiQg&#10;EJodfsnZX1yTlKhEc7ZWJeVpQDSqmSG911mZW/bvCGDBQ8ovssMsaplTWLdgWr50Gb188ZJ++/W3&#10;7KsiCIKgHyYnHsg+unfvHo1LHU8uTm5kXsssu7PNEowaNay5o8U8QyWrVpw5xWEolwTusP/Pbajq&#10;vI3hWRTR4N3gXJSQ/cU1UZ1fvDrXgVTJpnN2iM02K7RV01H9NsyrNKGa1c2prkUdat+mLe3Ytp1e&#10;PH+efVUEQRD0w+TE49Wr1zRp0jTybx6YlUmlPA6MzHl0rgwT199ZtaF/2IbQX50G5hAMjQ68jJnO&#10;G+GUXqsOPBmP31cNczO13fk31qxuSS4OjtQrrDsd2LefxVTmPwRB0BeTEg/8vlMnz1BAy9bK47BS&#10;HWkd1bkq4aitOtdaTqqzbaI63lAexZcXwdC2FPZG/u7QhyorAcHEPotkbS/+s3YtS6prXodmTp9O&#10;T58+5VX0giAI+mBS4nHjxk1KS5tN3h7eVLMGhMOWalS3IKyRwLoJLMb7P9XplpnQVJFMnb/yRCCE&#10;31l1Up6HD4fjICRIKa5VvRZPoG/ftp0bgSAIgj6YlHjs3LWfuncfwKuxa1arxfMbVc3rZwmHc1RW&#10;ppRmR1y+7W9KFP9p04WzsarXdGYRqVmtBvk3a05TJ0/h9F1BEAR9MCnxWLhoJXl6+pFF7TosHsiw&#10;+qdtN+VxxGh2ukWznBPaWfZ/brDSCYdh0v87687KA/GgWtVqK6vJcx/RgyLpzevX2VdIEAShcJiU&#10;eKTNzCBLCxuqXcOMarLX0VAJx6Bi6tCH0l/csiaw/66+42/K/uocR39xSdJ4bwkYfqNzPKch16xR&#10;V10DczKrUZsr9KIGliAIgj6YlHjMnJ6uvA5LqlW9thqBexKq2fLCPq3OtqjmmsTCVKluIKHWFVud&#10;RpzJhfRfnlvJ/Rm3FHU+CfRXrC5XZvQwmvJ8vrPuQtXVb6+lBLRWtRrUpVNnEQ9BEPTGpMQjI30O&#10;WVs5qhG3merIG/Oq7eJa8IeV4f9w6KM6ameqWa0m1ayuvJ3qCJU5EvbwQF0qlDKBR/I3pwFKUPrR&#10;39T7/2kXQt/ZdlN/9mJPRevYBpvbEPqHOi5WntdUAmpeszaFdgvmbW8FQRD0waTEY8nSNeRbP4Dq&#10;mNXl9Rwom87rOLQ62iJaTvGogcwupMvWwMI9S6qurCqvXK/PHXnV2l7Z+3RYq/+rS1gljvIiWPSn&#10;dWyDDeJh20N9byMWMid7B4qMGESvZc5DEAQ9MSnx2Lf/CA0YEMcFEFF6BCvI/+ISq93RFtFyigcK&#10;GaISLsqIcOmTmi4855K1AlwJChuKHTooL6W2+tOKqpk3zgpvaRzbYOOwVXte04Jsq8CW/jRz+gwu&#10;Ry8IgqAPJiUe9+49oIULl1I9r3qq87bgVdd/c+jH8xOana2+5jaUw2B/cR1MnB5rF6pESglVbTeq&#10;ZNNFvYaNogZwhVzsBshrTJS4ZBU0RLn2AOV52BSPeOC81DlhjxCErGpVr0FRgwbR/n37udaXIAiC&#10;PpiUeGAl9ZUrVymgZRCZ1TTnTroST2AbIzyEye7BvAPgP2178LazmNvg0u0sHl3pr87Ky1Gd+F+d&#10;Y6iqEq4q5r6qQ0cJd2RhZZVhx14exSEef3WKUufThj0uCIdZjVo0Z9Ys3vf8zz//zL5CgiAIhcOk&#10;xAO8efOGZs+aTa2DWnPWFVZcV7ZsRX936K86b40MqMKaWwp7Ft/ZhFDWJlFuVIPDQ+o7vohH1gQ4&#10;5lmqmHty9tVXWVduQ6iqedZKcGOKx98dBiqRbK9+q6s6H3Nyd3ahyIERdPTIES7NLrWtBEHQF5MT&#10;DxQCvHvnDk2aMJF8PLzIohYExFmNyoN4vwyM/v/PdQiHoLQ64jyNxWMQVbZqlzWHUc1MiUBd1VnX&#10;ompm7sobCVUeRjy/t/jFI2uBIjyhrHThtkrAPKhWjdrkYGNLIV270Z7deyTLShAEgzE58cAuethB&#10;8Py5czRZCYiXmzsvGkSWE+ZAsEc5ewhI4eVNnQpZ4yqXeKCSbRXLIA5bVTGvr4QAdbOy0oKLVTxw&#10;zuo4CINh46iqZjierfKyzLgYIoRj2ZIl9O7dO/qXFEQUBMFATE48AMI033/4QBfOn6cpkyZTm6BW&#10;SkBqE/b9rlbLlTOisIAQk9vImiqUF5JLPLAX+Xe2IcqrcaDKSiR4MWL2cYpNPNRx/+Y4iP6pzr0S&#10;bwTlTTWq11G/rRZ5uXtQTGQUrV+3jj0vmecQBKEomKR4AAgIPJB7d+/RrPQMauUfRG7OLmp0bkE1&#10;4YnU9qBKdYPoH1jMp0Tkr87R9BdnbDM7RLvjzi0eFr70T/te6jjOSoyacMeue69xxEMXmkrgCXh8&#10;998delMl9f1YPV+juiWZ1zQje2sbaly/AcVERdGRw4fp7du3/NtlnkMQhKJgsuIBsCXtH7//zlVl&#10;sS1tQnw8NaznS7WrY0U4qu7Woeo1baiq6owrW7bkPcvzLGeiKR69i088IBzqs39XAoX5Gng68HLg&#10;aeDca6nfgEWAnTt2pNWrVtHjR4/4ZovHIQiCMTBp8cgJ1jocP36cVi5fTqljxlLH9u3J3cX1SzgL&#10;i/iqmXlR5Tp+anQfRN9Zt+OKvP9QAoFQEXfkTgONLx7qtb8qj+dvjlFKKPqq7wzmhX6VrAKokmUz&#10;9X6UWXdU54iaXbXIpq4VNW3cmCIjImhWRgbt3LGDHinhQJqyeBuCIBgLEY9coJN99uwZLV64kCIH&#10;DqKglgHUQHkjro5OZGWBUBBG9WZqhG+tRvoevLgPoaK/2/fkjr1ynRaq80f5E8PFo2b1urwP+T/U&#10;8f7mEE7/tAvjiXysUueQVA3rbO+iBlmamXMGlbe7BzVr3IRCunWjMaNH09GjR+njx48iGIIgFAsi&#10;HrlANhYEBKGsF89f0M2bN2ndmjWUNDiBWjZrTvY2dmRWEyu0a6kOHKXdlVeCelRcl8qKV42jEGKR&#10;xINLlNhwyCzL1HFr1lXfhZCUGX83QmsWtc2ovk896tW9B28pe1wJxtMnT3gtCzwphKhEPARBKA5E&#10;PAoAi+ieqA755IkTtGHdOlo4fwFnaA1NTqbw3n2obevW1EB14I52DuwF1KpWna1o4qGEqYYlexdY&#10;h2KvPAtPN3dq1qQpde3UmWKjomnc2LE80b9yxUrau2cPXb92jT0NQRCEkkDEowB0mUnwSGCYZEch&#10;QXgkmZmZNGf2bBaSvr36UJB/IIe36iiPoCjiUbumGVlbOVED30bUvnUb6hnWnZBmO25sKq1YvoLO&#10;nD7NC/zgIeF8cF7/hYmXIQhCCSHiYQAIB2Gl+qdPn3ixHTpyeCeZuzIpIS6ePF3diiQetlZ2FBjQ&#10;njas30QPHjygJ48f0/Nnz7h0OsJpCElJWRFBEEoTEQ8jgY78yuUr7B3U8/Iukng42DpShw4hdOLE&#10;meyjC4IglC1EPIyEiIcgCKaEiIeREPEQBMGUEPEwEiIegiCYEiIeRkLEQxAEU0LEw0iIeAiCYEqI&#10;eBgJEQ9BEEwJEQ8jIeIhCIIpIeJhJEQ8BEEwJUQ8jISIhyAIpoSIh5EQ8RAEwZQQ8TASIh6CIJgS&#10;Ih5GQsRDEARTQsTDSIh4CIJgSoh4GAkRD0EQTAkRDyMh4iEIgikh4mEkRDwEQTAlRDyMhIiHIAim&#10;hIiHkRDxEATBlBDxMBIiHoIgmBIiHkZCxEMQBFNCxMNIiHgIgmBKiHgYCREPQRBMCREPIyHiIQiC&#10;KSHiYSREPARBMCVEPIyEiIcgCKaEiIeREPEQBMGUEPEwEiIegiCYEiIeRkLEQxAEU0LEw0iIeAiC&#10;YEqIeBgJEQ9BEEwJEQ8jIeIhCIIpIeJhJEQ8BEEwJUQ8jISIhyAIpoSIh5EQ8RAEwZQQ8TASIh6C&#10;IJgSIh5GQsRDEARTQsTDSIh4CIJgSoh4GAkRD0EQTAkRDyMh4iEIgikh4mEkRDwEQTAlRDyMhIiH&#10;IAimhIiHkRDxEATBlBDxMBIiHoIgmBIiHkZCxEMQBFNCxMNIiHgIgmBKiHgYCREPQRBMCREPIyHi&#10;IQiCKSHiYSREPARBMCVEPIyEiIcgCKaEiIeREPEQBMGUEPEwEiIegiCYEiIeRkLEQxAEU0LEw0iI&#10;eAiCYEqIeBgJEQ9BEEwJEQ8jIeIhCIIpIeJhJEQ8BEEwJUQ8jISIhyAIpoSIh5EQ8RAEwZQQ8TAS&#10;Ih6CIJgSIh5GQsRDEARTQsTDSIh4CIJgSoh4GAkRD0EQTAkRDyMh4iEIgikh4mEkRDwEQTAlRDyM&#10;hIiHIAimhIiHkRDxEATBlBDxMBIiHoIgmBIiHkZCxEMQBFNCxMNIiHgIgmBKiHgYCREPQRBMCREP&#10;IyHiIQiCKSHiYSREPARBMCVEPIyEiIcgCKaEiIeREPEQBMGUEPEwEiIegiCYEiIeRkLEQxAEU0LE&#10;w0iIeAiCYEqIeBgJEQ9BEEwJEQ8jIeIhCIIpIeJhJEQ8BEEwJUQ8jISIhyAIpoSIh5EQ8RAEwZQQ&#10;8TASIh6CIJgSIh5GQsRDEARTQsTDSIh4CIJgSoh4GAkRD0EQTAkRDyMh4iEIgikh4mEkRDwEQTAl&#10;RDyMhIiHIAimhIiHkRDxECoi//73v+nXX3+ln376iT5//kyffviBXr9+TS9evCiyvX/3jn5Qx8Nx&#10;Yb/88gs/R0L5QMTDSIh4CBWRn3/+mZ49e0bXr12jixcu0OlTp2jt6jU0f+68ItmCefNpx7btdOLY&#10;cTp/7hwf+8H9+/Sf//wn+5uFso6IRw4gABhhvXr1ip48eUKPHz+mhw8e8INz5vRpOnTwEO3bu5c2&#10;bdxIy5YsYZuTkUETxo2nMaNG0aABAymwRUuyrWtF1Wq5U2Wr9lSjph3Vqe1F9rY9yNmuN7kqc7YJ&#10;ozq1HMmytge52IbxazAX9Z46tZzV+y3I3dWT+vXtR6NHjuJjz5w+nRbOn8/fuWrlStqyeTOfz4nj&#10;x+nypcv08OFDPl8Yzv3j99/T77//LiM5QRO0CwgDPIAbN25w+z64/wCtWb2aFi9cSLPTM2h86jhK&#10;GTKU4mNiadDAgTQgvB+F9+5DnTt0oDZBrYpsod2CqU/PXtQ/PJyPHRMZRaNGjOQB2PSp02jJokW0&#10;ft062rVzJx0+dJifw1cvX/J5//nnn9m/RCgtKqx4wN2GEHz69Ik+vP+gGt0reqkaHkZR9+7do7t3&#10;7tDtW7dUg7xOVy5dogvnz9N5ZQcOHKAN69bTyuXLafnSZdyAZ0ybTqNVox4cF0+REYMopGs3CmjR&#10;gq2Rtze5WlqRc/Va5FKtBjkrc1TmVMOe3M0akk81a2pRw5G6mTej7ubNqZeyHrWbUovqthSg3tPd&#10;rCm/xq+b+VH96jbklH0cHA9/d6xWk7wdXahJw4bk37w5tW3VisJCQik+No6GqYd78sSJtGTxYj5f&#10;2Mply/mBg7BgVIffht+I34vffe/uXXqkxAbXAkL5/v17+vjxI1+v3377TR7MCsbv6p7iOUC46fGj&#10;x3T79m26cuWK6pAP0do1ayh9ZhoPUmKjoqlj23bUrEkTqufpRXXNLahWteolbpZm5uTq6EQt/Pyo&#10;S8eOLFh49vAcQkwOqfO+eOEi3bl1m9sxBAXt97dfs9quDJhKhnInHmgYcG1hEAg0Fti//vUv+uOP&#10;P3i0DUMs9ap6QNCB7s7MVCP2pWrkvoDS09IoIS6OItVICiOerp06UaDqkBv51GOr7+lN9dzcycfV&#10;jc3b2ZU8HZ3Jzc6BXG3syNnahhyUWNib12Grp6yNWV3qVc2CBlS1oH7Kulc1p8iqdSm1qj1Nr2JL&#10;s6o40LyqzjQ/2+ZVdVKv2dGcKvZfXoPNVa/HVLGiXurz/dVxcLy+yoKrmpFPDTOyNbPI+l4LS3JU&#10;3g3Ox81OiZSDE3m7uP7vnJX5enhSAy9vaujtQw3V7wpUQtevb1/+3XExMTRq5EhKmzGTr8u2LVvp&#10;yOHDdPnyZdW5POIH8Q91DXE9cV1huMa43jBce3lAyx64JzDdc6F7Jp6rQQKeA3is48aMpf6qHWAA&#10;0rhBQ/J0cyNXJ2dysncgBxtbsq5jyZ23Ra3aVLt6Dc3OvbgN32tWsyafB87H1sqaHGztWFC81LPp&#10;q9p0u1ataaDyVtCOl6qBE7zwBw8eZLVd9Zt17VV3TQTjU+7EA5Nqb9++VaPne3T+7Dk6qDyFHdu2&#10;0bq1azmsM37cOBo7ejSNSBlGUcpL6NenL/UIDaMOakTVVjW4wJb+5Ks6VTRCL1dX8rK1p8YWdSmo&#10;mhkFVa1N7ZWFqs47nDtvyy8WV8WShle2ohGVrWl8ZRtKq2zHNl8Jw5pqTrS9kiPtUrZT2VZlu5Wd&#10;qORCZyu50oVC2nn1/j2VnGhb9rF0x9tcyYEWZH/fTGVT1PenqvMYoc4nqUpdJTjqHGHqPMOr1qGe&#10;6tw7qt+B3wNrVFV5LrXrkJezC/9ujCqbNmzE1wLXBZ5U3169lbBEUEJ8PA1PSaGJ48fT3FmzabHy&#10;vDA6RUjjzOkz7KlhtIeRrFC2gFjgvsDDPHjgIK1asZJmTp9BQ5OHqOegD3Vq34G9Cg810ECnbFaj&#10;pmbnXR7MxrIueapBEtpx+zZtqU+PnjQ4No69cAyIMndl0vXr1+nDhw8sIoLxKXPigRuNkcNn9RBA&#10;JJ4/e87x/Js3b9Klixd5hLx18xZaMHcepapRVGx0DPVWDadju3bkpxqSo0UdcqhZm1zVSN1bdZy+&#10;yhooa6rMT43gWygLUBakBKKNstBqdSihuhVNqWZLU6pY02zVMa9UHfTWyg60o7LjFztayZmuqA7+&#10;aiU3evCdO334zqsQ5m2AaR3nf/ZO2fPvPOleJXd1Lq50WgnOocrOX85zq7J1le2VV2PDvweWooSl&#10;fxULalfFnFqp34zfj+vQXJmfui4Ns69RPWXu1WqRa/Wa5G5uSQ2VyDZv0pSvbWx0NI0ZmTX3snTx&#10;Etq7Zw9dvniJbioxeXD3Lj19+pTDIt9//z3HpOWBLV4wmsbo+qcff6K3b97SI+UxXr50ifap+zI7&#10;YxbFqecC8woYrdepbabZAVc4q16df69/8xbKuwpn4dy1cxe30/v373OIFn0cRFYoOmVOPBByQid0&#10;9swZ2rh+A8djhyYnU1hwCDXwqcejDTc1gnaGm61cWTvl0mIUhfisvbImqtPrbG5Fg8xsKbWqNU1T&#10;nee8Kra0XnWo21XHuk+N7OENQARuqg74lrJ7lTzoEew7D3qs7KmyZ8peqE5aZy+Vvck2dODfq46+&#10;NAwC8159/9vsc3mlDOemO08IC84dvwO/B3Zfid0dZfi9MHg5e9V1gHcEkVxS2faL2CQqz2WQEpjO&#10;1czJrpYZdzy4trjOCGs42dmTi4Mjj14b+9an0HYdKD4ykiapEd+KZcvpwP79dEsJPdI7heID4ow5&#10;KniCmKPDnAXmB3Bf8Gwg1GOp7pt5zVraHW0FNXhTaLPwTBCKg5fdOiCQvZKlS5ZwRiRCW0LRKTXx&#10;QOPH5OyTx08402Pnjh0cu5w6eTINSUqiAf36UbfOXSjIP4Aa1W9AXk7O5Km8iuZmltSllhX1VZ0c&#10;wjVDKlvRaOUtTFQdYIbyGJZVc6KN1V1odzVXOs5hIxe6qDrLW6rzvJ/dqb7iEbx252wK9kb9fojK&#10;Q2X31HW5+p0rXVQGL+YAi4q6hpUcKKOSHU1W1zVVXV+E7OIr16UByoMJUR5MO3guNSzIy9qO51da&#10;NmuuPJT21Kt7D4qOjOIEg4y0NA55QVBuXL/BE/My6jMcDKyQHYWB1fq1a2nCuHEUNWgQPydNGzUm&#10;Rzs7zQ61KGZrZUX1fXzYkKyB70KYs3tIKGdKDY6Lo5TkIYWyoUnJlBg/mLMSkWmF43Tp2ImfcSSD&#10;eLt78AAF8y1a52KIQUwwuMQ8SYc2bTmUjZAsQnpIE4bHjOsqnrL+lLh4YLIVI6Zn6qadPXuWbyJG&#10;TX169iT/pn7kqUa2TjVqk0e1WuRbtRY1rlqbmilrhwnp2jY01sKZFtZ2oS1VHOlIJWcWhtuqA8SI&#10;W6ujFCuawat5qLyy6+o6n1TXG/MwK5RIz4KgVKlLHapkhcAQFkT4y0fdM9eqNchOmY+zK7Vr3UaJ&#10;SSQnKiAOfef2bU5mkHz+woHQ1A9qpIz0a2TNbdywgZ8XCDVG11odZmENXokVwrzKg3dzdiZvNQho&#10;VL8+NWvSlFPOW6lOHfOF8PxhUydNopXLV9CaVas562nH9u0sZJhbKIxdu3aNzp87z4OJNavX8HEQ&#10;Ap0xfTqno8fHxrIgYW4msGVLnp9p3KABd/yebu7kqM4T56v1W/QxeGatlDcCMcOalQvnL3BoHCFX&#10;hMylbRaOEhePf6mbgywoxGUx4vBRDdZZCYY9socsLMmvtiX1rm1NI6vZ0Hw16sXk85HvnOnCdwgz&#10;qZFyZU96XMmLnqlODR3baw7heHEoR6vzEyua4boiTAdvBSEyiLQuJHZXifY1ZSe/U56e8lbWVLan&#10;GUpUBlepw4kH3jXMyBqdk7UNuTk6qdFxI0ocPJhTROGBSBaMNroMIXRiCLEgkwjzTW0Cg/h5QegQ&#10;nahB2VDqM/gcDMdp6deMBSI5MZFTYeEpHj58mG7euMEd6ovnz+nNmzds8Bwh/Fhljol53apwRBAK&#10;a7/+krVanY+hDL8Px8X85utXr9izwsASc5yHDh6kzRs38YLCMaNGU+8ePXiCHFlYut9gyDWAN4JQ&#10;LMQIC3rbt21Lw4YOpczMTP6dOgGR9pk/JSoeaDxYW4BwBh4EPAD+1c2pn+pshlSxoqlV7GiJ8ii2&#10;VXWmI5Vd6XIlNw6rPFcdVZZAaHdwYqVnmIOBqEBMMJ+CMOF+JSRrKzko78SWRle2VmJSlzoq76Re&#10;LXNq6uNLI4YN49RRdD7C/0BnBVFFhtDZM2dptRqZIykE6xz8Gjfh8IshnSU6W8xTwZvoGdadEuLi&#10;adKECZy6Dk8GC19PnTzJi/CePH7M349QTmmOwPH9OA+kGcNbhde1b+8+Wr92Hc2bO1ed/0QWPGQJ&#10;IovSx9PLoPkdCAnm8+Dh4NrAq8PaLrRPrAuDkAjalKh4fP/2HR1RDSCsS1eyrlaD6letSaOUaOys&#10;7EgXVKfzRHVAGOl+m2WU1UlpdV5ipW+6+5PznuE+voR3ogYAp9S9nac8kt5VzMlV3fMWjZrQWDWS&#10;xGp4CRFkhXKRYIDR962bt2hP5m4eabfOHmDpm1ILsYBXgcliv0aNOVtuYL/+vGp786ZNHDp68/o1&#10;fye+WzfKzm2lidb56M4VoTxkmGGhI0qczJ41i1PMkbKL34vfDbG0MkBsIdDIMBySmMTXCqE2JPD8&#10;IhmE31Ci4vHw+g1KTxhC/t6+nCKKtQtnKrlyCAqT2BJ6qlgGTxEe40tlCHHt+c6J50hczCyoVUAA&#10;Xbhwgb1RU0XXKaITx9oZhIxQogOT30g51Se+rwvhIBxT39uHvZWMtHTav28fd4AYwUOcPv3w6Ut5&#10;D3x3eQTnDQ/t119+4fAZCiy+fPGCw2wH9u2nWekZXE4FcyaYF9JdG63rltvwPp34Nq7fgNeJoVzL&#10;jevX+brlFFpTp0TF49bZczSiczC1tHOk0CoWvChOJrpNw5DddlMJyJjKVtS8ai1e9Y6V/4h3myro&#10;jLCgD6EYLMzspjxyhF/0yTaCWLg7u3xJTJgyaRItX7aMO9GbN27SO9WxmopAo0NHe0KqOGphYeEw&#10;qiggTbdLh448v6HPtcV73V1ceCEtPJEVy5fzWjOEWyG+pk6Jisf1k6docMtW1NLShgZWsWSPQ6uj&#10;EauY9kTdbyxg7F5VjY5VJ7lm1SpOlTQlEPqAaGBiGCv2586eQ51VxwYR0OrAtAzrGDDZi0oJmDsc&#10;1H8AzZszl06eOCHp0LlAR4/5EmR1Ia04yN+fRQQZV/AwChsStLa0ZG8Zab6YD0H2G46N+2mqXkjJ&#10;iscJJR7Ng6i+pbXyPOqIeJiYPVX3e0tlB+pdtY7Jigcyja5dvcplNFoHBvKiV8TZtTqsvAxrLrAO&#10;ChWWzyoBev78OU8ul/dwVHGAzh0ZXkjDfao6fCQiQEgQHmzoW7/Q6c66kCDmUlAQdcqkyXRaDYbR&#10;Z5rqXEjJisexk5TQpCX5mtelbiIeJmcQj22VHamPEo8GJiQe6FyQ0oqQBxbCYnIXiyoLkz2li8Fj&#10;AV2n9u05pXTRwoVc0w2FAFHGR8SicEBY4S3cv3ePyxyhUCRSoLFYESvzcZ217kFug4gENG/BJWAW&#10;LVjACQimGH4tUfG4ceQ4JdVvSvVr1xHxMEEzNfFAp47JcGTrYLOjieMn8CrtwtSaQjgF+8JANBAu&#10;wUgZE7copw/vRTAOKLC6bs1aXnmORZFYR4PU3cLMjUD8kd2F/Xyw8BGT9rjfphLKKmHxOEbJ9SAe&#10;Fiwe6Ex0aZ26xWj5me59MEnhLVnLnY6b815o3aucprtfmPNALa2KLh7oOGAY6d69c5dWLV/BZT3Q&#10;MRUmgwrrFdCBoXTHtClT6fjRYzxafvf2LXdOMllrPHA9sd8PtiI4fuwY73LYPSSEq08XNB8CrxD3&#10;E14LtnaYMnkyJ0CYioCUmnh0rWKRXVvJgxeW7amUVaRvcx62Q/3/iUrOXH8Jhf1Q6A/rQrDKXBYP&#10;Fq9BNLDCHAUjeVV5JTe+B7gfBys5ZZWN17hnsO2VHOi4et919ZlbyvBaRRYPdBiYsMaEODbkmpA6&#10;jroqEbC3tinU5KyHqyt1UR0RRrNYXY1qDFjVLZPgxQvuG9J+sVka6uxNVNcf4SzMSRUmnIUSLwEt&#10;WtKwoSm0dcsWrnIMEanIlLB4HKckXz/yVeLRuooZHVKdSqbqfJZVtqXJVaxoTJW6NDIPG69sSRVb&#10;Wl7FjstgoCIsPn9MicmZ71zpqurUICgQJFSVxapnjHrFMym8QYRRqRfVeSHMWN2P9NpL37nRie9c&#10;lFDgfjnypPdadQ+WqvuRUcWaJqh7p3XPYKnKFqj3bVIiApFZpO419kupiBPmGG1i0hrrDbZu3kw9&#10;u3dnMcjd0eQ2hEhQEBATuLqJcIRAZHVz6YES7kihjhwwkEu4ODs4kkUB4UadJ4IK4KtXrqJbN26y&#10;IKFdYH1IRaNExeP60ROUyBPmluRQtQa1r2pGkVXqKGGwouWqU9mhOhhUdc1pKHWxu3LWPhWrqtjT&#10;Yu6wbGi06pSwR0UbFOVTQhSu/j6lMo5jx14MCiYiLIZFalodpdi3hjphdyu5cwFEbEA1q7I1Da1i&#10;ST3UtW2urnFwFXNKVP8ep649SrivVPdjjbre2/K4b3vUPYPQLFaCn6Q+11kdo09VC/KrWot8K6B4&#10;/Pj5M++pgYrCWOgHb6MwsXPMa2D/CRQavHXrFk++SoG+0gVb2iJDCym5O7bv4HUeWLle0HwVBAQh&#10;R1QJTkpI4LVM6FcrYqixRMXj1umzNLJ9V2pkY09O6kJ3rVqbpqtOCF7EOeVB3KyUtdFSTsNeFOjQ&#10;ECo5x5VdMQJ2om2qU1qqRr/TUT9JjX6nquPMV8KySNkC1VmhrhJ2/JtdyZY7QoRObqoRNCbpTbkc&#10;Owze2Ftl8CzOq2uK67+8kj1lqGuWrmyOMngI8BhmK5uh/o6S93OVUKxT1x3lZA5Xxr4oWSHEGxr3&#10;DYb7hnAV7hk22BqiRKe1uudu1WpRs/oN6dCBAxySqQhgpIpwRXJCIk+iFiQayNhBZ4TaTNOnTuX6&#10;Uq9evTLpFfdlEYSzUOPq+LHjvJYGniGq/BYkIha1aytP0pciIyK4EjEGBcXdv5Y0JSoej67fpLkJ&#10;Q6mVty95VatJEWoUiuwbhJoQKnnNnkLWJLpWp6dlCE0hxAJxwf4d2E0PdZSSKltSQJXa1FWNdoeo&#10;Ue9c1QluUh3fYfUeFFzE3h6YL8H3mcKcCa4TQnmoiHtDdeqn1DXIVNcKntok5fkNVN5FN3Wt+lW2&#10;oHHKg1tZyY49CHhwEHB8Xuu4WgZxwiQ5ri2uMe4PhGaJEvuGyutwqWtN3Tt1pru3bme3jPIHOhV4&#10;BkjBRYhp5YoVvKNlQWs2MO8Bj6R506YUGxXFOzK+eP4i+6hCWUWXbg2Rj4+Lo+Z+frx/SkHFGLGY&#10;Ezs6Ir0a63t+/ilrLU5FoETF47MaZV48eYpi1EPmVrM2uSgBiaxah+c8jinP4Ap36u4cd0dnBcuZ&#10;1aMzXcZPVieVNZmrKxeOjuqusqvKyzj+Xdae4NhFcLbyTAYrEUG8fVCVOmp0bcMjYggXRCvruFkd&#10;X+6O8H/29XfrLOf7i8tyfl+W5X8eOV/Hb0Nl4stKCDaoa4G5iEAlFP2VeE/MDhliPgL34NJ3WRtn&#10;PVDvxwQ5On9cX1zn/x0z67tz3hOd4Z7h/RgMYHIdCQ6b1HeOUN/ZSnkddtVqUIfWbWi+GsWhBHd5&#10;JKdwIAU3ZcgQTvPEpGl+k+IIabg5OdOA8H60etUqzszhPSR+/z37yEJZBfccAgJPGZPqCDFi/xFk&#10;WuXnZepSrps0bEQjhw3nRZ3YnwXHK++UqHggjvvh/Xvaoty4mOBQ8q5Tl5pVN6duqkOPUh17kurI&#10;RlS25nATwiRpalS8oZID7+mBbCvE0bN2B3TlETHCUPAg0NGhs8rdeaITQ6lw7PWNjaPWqGPNVMee&#10;pL4D29NmqL+nqe9ZU8me9yiH94KRec7y7+gM8Rr+D98LQ6jnkjJM0GNyHh1pzu82tuH4+H34ndg2&#10;F79ddy44D3TSEEBdOA7njvcjkw3/j7DUEnUtJ6rfja1mJysbrq71fPUaNneCV3BPXUsIMK5bzu/G&#10;NYQo674b1xLhQ3w3QoEQHdwfTIhz6Et5LOPVNR2rri12H4yrXJd6Kq8G8xxu5nWoXbMWlDZlatYo&#10;7Oefs1tG+UK3VfL+vfto9MiRvIFSfiuVeaGfuQXXnxo3ZizHwZGNU9plzwXDQOYb7j8WaqJSAFKq&#10;UQNL697rDAKDcGZiXDxt27qV7z/EqDxTouLB6q1ctndPn9LBdRsoql0nCqrfkLxd3cnNwYlcbOzI&#10;Sam0g+pk7GqbkU8NM/YU+qoR8gBlyTxZa8UbDs1WtlJ1VptUx7VZ2cHvnOm86gCRGXRddaa6zCus&#10;LUDnh44xqyP04Dj9atVxYjTcQx0/Tnki2BlvQ2UH3uP8hBp9I4PrnDrWafUnRAud44oq9tmTxPbs&#10;zaDjhSidV+/Bd2LEju9FZ47OFt+d03A+eB3e1WV1bGSI6c4x53swF4HjwHDcs+r4CLfBi8J8w3p1&#10;nkgegMGTwHkcU14WzhXnjPcjCw0bNOE8J6rfOUhdv57KIJr71TFQKh3zP5gkh9AguQBCi+/GzozY&#10;5AnXE8fZp34jBGK1ut4LlTDMVF4c5qpwLxB6xP3pqa5jh2rm1KCmubp/FmwullbkaedAnmp0hkqv&#10;7ZT7njFhEl05e5Zd9/I4+sIACGm4e3fv5u12Mdmdn7cB0XB1cuKNz+bNmcOjVsxrQDQqwujTFMF9&#10;gyEVF/ufLF60iHdA9MhO68VgQastYCMuG9W/oVLvurXrsvYLKcdeZ4mKB/ivemj+9fsf9OnDB3p8&#10;9y7t3r6T0mem0fChKRTdfwD16dCJujZoQm08vMlPdTwu1WuTY7Ua5Fi1Brko86hakzyVeSurp0az&#10;DarUZmuszL+KGXWtYk7xSmSmqlEvtkvFyBjhKUzqwkuAJwEhQSeOUTTSTyEGM1WnCnFCtV8/dRxY&#10;M2UtlfVQx8SWq5iQX1bFjieSp6v3p6j3IxMpSL0nsrIljVTfidH9DGVLVCeLdSuY04FhfQPOZ7F6&#10;fZ7qeMPU5waqz+A1/B/eg/evUP8PYcRxJijDPu04h7bK+qjPjFT/1mU6IW05Tf09XolfC/X/unPG&#10;35EZhR39ZqjzxGQ1hATeAgQJ4SiEBp9X8uRJbXhSEEgO76nvxJxHlPpsgDpOk+xri2vsWzVrm1lc&#10;f5i7MtwX3B/X6rWomaU1tXVxpy71G7FFq8HBhEHRNEMJBtYsXL50mV4+f06/qHZWHkfc6DCw0xxG&#10;jp07dOAQVEET40i/RTmSo0eO8K586HDE26gY4D7Ce0Sp+xPHT9CMqdOoSYOG+bYJCAvmQbCocM6s&#10;WZzNVV4HESUuHrnBpi43rt/gncwO7d1HmZs205Yly2n9/IW0NH0WTZ88hYuQjU8dxzuHxcXEcK1+&#10;TE6GtetAXZs2p7ZevuTv6EKNVOflU9OMGlWrRUGqkwtWo+FwNSqOVR3uUDVKHqs60pmqc8bI/bDq&#10;LDEHgAyvi8owObxeeRcZlWxpjOq8dZZaCRlbdrRR/R+8DAgRQlzwAtap12ap/0tV70NGErKUFqqO&#10;eoH6Exlfc6rZU0INawqvbskL4/rVsqUBZg7Uz8KJvC2sqAG23FX/F1XDioZVt6ap1Wx5Yh+ZTjgO&#10;DOc7THXoE9V3zMs+j0Pqu0+rc8e5wFOCB4bz1J0zQkZp6nfgdZwnPBFMkuO3nlGfwVqNlUoopqv3&#10;jVDXBTv9DVTn111dr3ZKIFqoa9dQeX2+FnWpga09NXP3pM7NW1LnVm14pTSuP8plYEe6CePG8f2Z&#10;oe7Tohkzac2ceer+LWM7uGETXThwiK5dvMSjrPIcpkFNJJT6Xrwwa5SJdRl5jjCVYT8IVMudqq4L&#10;hAOxclkZXjFB54+5qytqcARB6BEaylV78xMRZwcH3qRrVno6nT9/nr3R8hbGKnXxKCyYnEScEBvp&#10;ozLmvt17aNvipbQmdSLNi0mkyd37UGLr9tS1SVNqoUZ79b29ycvFjdzUTXSyrEv2tc3JqmYtcq5W&#10;k7pVNeNJ46Wqc8aIG2EshGsQxsGIPHfcvyDDHMmt79w4iwvH2lvZmRZXdaBhNWzJz9KGbK3syNrK&#10;iXydfKm5ux+19GhBvm4+5OHkRh527tTExo061XWiGCUu06siK8ye5yEwXwGPCeEkhNy0vlvLcP46&#10;D+uxsivq3BD2QlgO4SZ4FRBXD+Ut2Knr4mxpRa7qOmHyD2EYhJgCGjWmQYFtKLFzMKVGRNHySVNp&#10;5dx5vEcCJv2uXL7M24NW9NRSiB28BQjHvNlzuCCeVmegM4SwICydlGeyYtlyenD/QfaRhIoOBgdY&#10;o7Nh3bovq9PrmOWd0ot0X6wHGZ+aSnfv3uXOGO2tvHgi5UY8oMroqCAiOE9kLGBb2/fPX9Cbx0/o&#10;hXpIn9y+Q3dv3KQrFy/S8cNHaOuKVTRv2Cga1TmUIus3oU52ztSwtgW5KgFxq1qDfFUH2kSNtLtX&#10;Mafxla1opxrVY3SOrCGtTjkvQ2eNCWt01g8redD6mq4UWdOWvGqaUyMvb2reKpQCQsdQ216TqWOf&#10;6dSx9xTqEtyPOnUbSB16jKPwLkOpb5Nu1L6OA7WrWVd5A9Y8KY2JehxT3/3bcf7IOkOm0zIlkP2V&#10;WDRVv7NBdsjJWf12a9V4m1vbU3iDJjQmpCeljx5Ly5Ys5bUK2Bfi9o0b9FCJw5O79+j5w0f07sVL&#10;evfmDT8cP6nrj8luDsGU80m/gsDkKHbiQ2i1QT3ffFNxdcIBj2zfnqx1GxW9RIXwP9Dxo73gvqNO&#10;FrLw/Bo3ztNDxetY79O0YSOOqKDqMvo4EY9SBDfwp8+f6dWjx3Tn1Bk6s3kbHVi0jDamz6IFEyfT&#10;6JRhFNW7LwU3a0mN7RypgRKUlqpj7ac6WcwzIHyFUb8+VX91AnK9kjuNNHOi1k4NqV7TLtS6dSfq&#10;3D2OOkctoi6xy6lr3ErqFrOUeoQPpu79hqq/L6a+A+dST4iLf19q7xVAfaw9aUI1ByUgbprflZch&#10;2woeFEJZWPAXXxml782psRIxXxs7atewMfUJDuHODaOdpTPSaffiZXR22066cfYcPXzwkNNnIdBC&#10;Vqjq+rXrNGPadM6Uym9iHNlWKLM+Ytgw3sXvrRLa8p5NIxgGPJCPanALAZk8cRLvRW9rZa3ZbmAo&#10;aYKNvVJHj+HPYGBWHtpOhRQPKDcMIwGMjJHh9W8lKH8qw77Hr16+pAv7D9L6idNoRFgv6trCnwv1&#10;uVvZcLYQFsvNVp0vMpiyJpez1lPk7KizxALZW1nVYu8pjwNzJ5sqO1E7C1uqr4SjY8Qs6t47hsLC&#10;h1JXJRgQjtzi0TVWvR67Qtly6hK1hPp0SqJ2Pq3IpzZqeTnQHXXch+r4yIZCVlTW2pevzwWv4Vxu&#10;KOHYUsmRS4j4VTfjrDVPZxdq36gJJXQNofkjRtPezVs43ITrAJHFNcH1wXXSuczlZeRTXOD3w2PA&#10;XNycjFkU2KJlnsKB0SPCD3jP+LGpvHYDzxESQwTTRPcMQUSuXc3yWlsFBHLZEq02BMNiQ1QcwFqQ&#10;68rTRRvC81iWqZDikR9QdKRb/vjDDxzyenLnLl08c5a2rltPI4K7K4/Bjetu1atak2LVyB11m7Do&#10;EKGjnAICQbmqxOJIZVfaVNWVMmo4UkJ1G+pcoy7Vt7WnJgHdlRjMpx594pRIpChxWJa3eGS/Ds+k&#10;Y++p1LhZGNnWrkPdq1vRxBoOtKSaM21TonSqkkv2/MfXHhFEBam/EypZU5sqtTkjzcfckjr5Nacp&#10;EybSwb176eHtO/T6yVP6+OF77hhlVJw3OR96LO7KL1SFUWPDer68ney9e/fKzahRKH4gIL+gUKby&#10;6FetWEk9QkI125DOMAhpXL8BRwaw+BQJJmUZkxMPLRBnfP38OZ3asp3mpY6n8OBQ8rBTAlCtNoey&#10;Jle2oY2VHXkO4bYSDKT8PlSjfGRCTbL1puV+HWhRl140a0AMjY9PpJAOnahNl0jqGr2IevbVRzxW&#10;UIdB8ymgayI1b+RHQzspbyGkLy0K6EQzXRvRIjOIlQuXNn9QCXWjsP7DmVZUtqdhla24HIuXGt20&#10;bd6CRsYNpg3LltPli5fo+w8fsn+pUBAIVd28cYNmTJvGoaq8ahjB40BeP/Z+QM2jG9evy6I/QRO0&#10;CyROrFm9mtd4oN3kVdYEg5FGvvU5hIW90styFpaIRw4wUnj37Dkd3rKV+nfuQr7OLmSnbqZb9VoU&#10;UtWcplax5kV5h75zpr3KUGk2rHkgbRs7hc6u3kgPT1+gx7fu0Hh147v3G0bd9BQPnQVHTKaB4RG0&#10;c9EyurJxO+2dmkEju3WnOFdfSquWtS4ECwOXq3NJqVKX2lU1IxvVGB2sbahdYBAvxLt97Xr2rxIK&#10;Azr935RHdvNGVlYVynBrPdwwM3Wt7W1sqVePHrRmzZoyP0IUygZYD4Ltb5HqjTVCeU2kQ1iQ9Tg8&#10;JUWJzv0yW4lBxCMn/yX6Qyk9sriuXbxIC9MzKKxde3JVo3n7ajXIu2otaqQMC/H81CjfqmoNSoqJ&#10;ozcPH9GPb9/Tr59/pHev39Ck8ROKJB4hEVMoclAMnT56jH5694HePnpMGZOnUtcWAdSghgU1rlqb&#10;s8SQPYWFel5mdSjA3ZPGDk2hPZmZ9PTRI3aXhcLDWVVXr2aFqho0zDdU5eLoyMKBxYLoECRMJRQG&#10;Ls/04QMdPXKUkhOT8l0rxGm8qh3Gx8SyV1sWEfHQAKNQjCbv3LxJm9euo8lKDLAoLrRLN+rYrAU1&#10;cHYlSzU6qK1u8qgRI7lR6Pj48SNnWBRVPKKj4uiiEjCAc1k4fwG1zQ6juNa1phbe9Si4bTsaqNzg&#10;UUo0lmXMonMnTmRl+fwpi9H0AaEBLGLEFqSd2nfIt1IqQg59e/emjRs20LMKuIWuULxgPg0CglRu&#10;FFb08fTMN4SFNVdzZ8/mku74bFlCxCMPEMKCiEAYsBsYUja3bdxEyyaqjr1rCLla25KFuuklLR5W&#10;5hbUsXFTSo2MoY2LFtOZY8d5Q6Xff/udR8C6TA+hYHCdcM0gHCiNHtotmB9YrQcZoSpUR+3dsyet&#10;XbOGPv3wg8xvCHqjez6xIv3UqVO8P4i7c95FFbFKvX3btrRwwQIujZOzryltRDwKQNfBIO74/u07&#10;zlhasXAR+fs149z+khYPeytrGpk8hE4cPMST/J+VsOH/RTD0Q3dfcb+w1zg8DpSUyCuM4OroRN1D&#10;QzlUhYe4rI0ChfIFwqTwQI4dPUbJSUncl5jlkQ6OFF8MbFDd4bl65svKsy7iYQC7duygtq1a8U0t&#10;cfGwsaVpU6ZyOQPpwAwH1+7Hzz/S/n37ODUSXoWWcOiyqsJ796FNGzfS82fPso8gCEUDbRAeCDaY&#10;io2O4XImudufztAG+/TqTTu3b+cV7GVhnk3EwwBEPMo/SMnFBDmEw8vNPU/hwMR5j9AwTrMUD08o&#10;DtBnoDgivIv8EjWwSj1pcAIdOniQq0CUdthUxMMARDzKP2fPnKGI/gOonpd3nms58CA3a9KUlixe&#10;TE+fPCkToz2h4oEQFjyQtavXUM+w7mSRR3vExDrKmGAVum5Bamki4mEApSEemKQNDQ7hrU5FPAwH&#10;1wzlH6ZOmUKeyuPIq2w2wlhtg1rRzOkz6PrVa3yPxesQigsIyP3792np4iXUuX0H3vNDq12ivQb5&#10;+1NGejrduX2HP1da7VLEwwBKWjxw/L1796rXosnJ3kHEw0DgOWBfjfS0NAoKCMgzRRKvN2vchCaO&#10;n8B10HTCIeIhFBe69nX/3n1avHAhBbb0z3Ngg4xAVOLdvHEjV7kurfCViIcBlLR4YHSBDYUSByeQ&#10;s4OjiIcB4MHEGpjDBw/xHAY8C60H06xGTQ4Njh09hs6dPVcmYsuC6YD2dk892+PGjqVmTZvm2UbR&#10;fvuHh/MWCqU1FyfiYQClIR7Hjx+nIUlJIh4GgM4fxSBPnDhB8bFxXPpB66GE6XYA3Ll9B99LmecQ&#10;ShoICOpajUgZlueOhBAQH08vGpqczBuVlUbfLeJhAHmJBzop5G5PmjCRBaNb9IJs8VAiEbM4S0CU&#10;QVR69I2n7uFD1OuLvryOsuywkIjJIh5GBNfv4cOHlDZjJlnVscxzLYd5rVq8U2BGWhrdvXNHPA6h&#10;VIAXgWf74P4D1KVjRxYQrfaKdhzkH0CLFyykBw8e8ECnJD0QEQ8D0BIP3DSUucBq7wmp45QwJFNI&#10;ZAb17BOjBCSeQiOmUeigmVmm/t6zTxQLi+71kEFpFBw1m4Kj51HYwHEiHkYEHgQ2dMJmTVoPIQwP&#10;IvZTSBk6lO6XgUwWQXjx4gVl7txJHdq0zTMjEBPr7Vu3ocxdu7gSRkkOeEQ8DCC3eMDNRImLC+cv&#10;0Ib1GzgXu2ffWAobMI569R6khCKWug9U3ojyKNgGTlCvR1Iv9R78Ha+FRUxSojFR/an+X3ktEQMG&#10;0aqVa+jOnXsc0xTxMAysBkfpkW6du+RZegTCgXuZEB9Phw4c+CoMKQilBQajWBA4feo09jC0EjwQ&#10;vrK3seEdLBGWRV9RUoh4GEBu8YDinz51iiuy9u3Vh3r37JMlDuFJ1KfXQCUS8dRj4HjqETExy5Rn&#10;0btPlnjg71mvpVKvfiOoZ3gK9VJi07d3P4qLTaA1a9ZzvF7EQz8wAoPHduzYMSXEA/KtHwRRQXYV&#10;Fl8JQlkCz/jVK1d5l0p4GRCL3O0XrzVu0IAmT5zIYfOSmqcT8TAALc8DLua6teuob59+1D18KPUY&#10;MJZ6R6RS+MDhFB6Romw4DYgcThHRw2lQVAoNGpRAAyIS1evDqG/ECGWjKHyQEhCISf+R1H9gMk2Z&#10;kk6HDh0V8TAAXBts6oRr5ePhme+mTm1btab16t49f/Y8+9OCUDbAIAjVEPbv20/9w/uRu4urZjvG&#10;AKh7SCjt27uP3r55m/3p4kXEwwByiwc6d3gfO7Zvp/79BlA/JRYDYlIpMm4sRcePpNj4ERQ3eBgl&#10;JA6npORhlKwsKUn9O2EYxcUPU/8/jGLih1N03GgaGDOa+g8apgQmmebMXUhnz55j91XEo/DA48AI&#10;bME8lFhvn2e+PMIA2DNhnBrVPXnyhO+jIJRF0D5RIgfzG5Zm5prtGavPhyYP4S1s8QwU9+S5iIcB&#10;5BSPIYlJ9Pr1a3r8+DFtWL+eIgYMpOioGBocn6AEIpkSE5KUWAyh4cOG0/DhI7419frQoSn8noSE&#10;RPW5wfz5qEGRlJGWTocPHaJXL1/xhFhcTIwsEiwEEI4zZ85QcOcuZGmu/aDxPIe1Dd8/rKEprVx5&#10;QSgMGECij0lR/QQ8abTf3G0a3jWSPlavWlUiiwdFPAwgp3h0bNeeZmfMoqmTJvPuYKi+2q9vOA1Q&#10;LubAfv1pgDL8OUiJyqCBGqZeHzhgAA3sj/f248/169uXjxMXHUMjlLhMnjCRBsfFUxv1nVLbqmBO&#10;nzylrnk/rlKq9ZDB4Ob7NWpMmzdu4rpCkpYrlGXQPtE/I6EDuwtqedNo6yjtHjVoEO3OzGTvozgR&#10;8TAAhKdaBwayeDRu0JAiB0Zwp48VnzCdcBhqEJys4ykh6dOX9zzGwrUG9Xx5tCzioQ28ByyYmq6u&#10;D/aIzsu9hzVVwoFJyNu3bmV/WhDKNnjekX21ZtVqTjvXqpKAUGyj+g0odcyYYt88SsTDALZv20YB&#10;LVrwzWvoW587etTjj1MjgpjoaF7FDE/BUIuPi6O42Fg+ZkxUNEUPiqQunTqRr7cPl2UW8fgWZJi8&#10;e/eOC8a1UsKe+6HKaXXNLVjwH9y/L/McQrnj+vXrNC41lRqpvkerfcO6dOxEp0+fZq+6uBDxMABs&#10;yNImMIg9D5RQ3rJpM+8zPGbUKO74hyQPoWEpwwy2oUOGUmJCAg1WIoTV6vi+aVOmcAxfqupqgwKG&#10;mTt3UUjXbmSvvDOtBwqGkVlwl660csUKLpIo11Aob2DR6xklDGHBwXlmEfp6e9OQxES6cvly9qeM&#10;j4iHAeSc80BHtHzZMpo6eQoNSUqmqIhB7IFg4ttQi1OiAQ8Gxxo9YiStWrmSxo4ezfMrMufxNbpU&#10;xiOHDvPGTvntxoZ8eIgvVpsjjVeun1AeQbtFUggGlC38mmmu/cDch1/jxrRl82beb7841n6IeBjA&#10;TohHUJZ4INUTIZCB/QdQ/77hPEeBP4tqmDTnY4WHU6QSEayQ5jkPCVt9AdlRiOnevHmTpkyaTB4u&#10;rpqrcHWGa+ffogUdPXKUr51kVwnlEbRbzO9hYfLwoSksFJrZV2bmNGH8eN4xszhWnot4GADmPLAh&#10;C28Y1Ko1byw0RnkGyLaC14HS6fi7ocYhK+WBIAQ2LCWFpquRMo4b6B/AIRkRjyyQTfLu7VsWjoAW&#10;LdmFzyu7CtYqIJCWLVnCuwIKQnkGngTmMzau38B7e2htX4tnoXPHjrR86VLu6I2NiIcBINuqVUAA&#10;i0f7tm0pbWYajUsdR0OGDOGJ7vi4eEpQnb+hppswx58jR4ykjPQMShg8mFoFBknYKgfPnz2jbVu3&#10;cjgvv72f8RCh/k9sdHTW9p0//ZR9BEEo32BOY0hyMs9xaLV9dxcXSlKDUVTdNXZyiIiHASBs1SYo&#10;a8Lcv3kL9g7gLURHRXGaLdZo9O3Vu8iGBYfI3BqmXNPwPn2oedOmkqqr0IWr9u3dS2HBIeTsoF2y&#10;WmfwSJAdN3fOHAlXCRUKLAbEIldkY2rNfcA6tG3H6z6QumvMti/iYQA5w1ZIl+MFftlrMtDJDxoY&#10;QdGRUQYb5jhQzI+P2TecBQnuZ32fepKqq0AtsePHjrOoolxLXuVHdAaRR9XRU6dOyWJAoUKBuQxU&#10;9B6uBrBe7u6aYVtsGpWcmEiXLl4U8ShtIB6BLVuyeLQODOK9rnHzUD4kMiJCuYmJlKI6NkMNqb4I&#10;U0FI4HJOmTiJ/47Rsyl7Hmj4EI779+/T+NRx1NKv2TcPSm7Dmg7EhNevW2f0kZcglAV++/VXbt/Y&#10;XllrYayNZV3uO1BNAZlXxhpAiXgYwI5tmPMIZPFAiZFTJ0/SmlWruCTy0CFDaOzYsTRB/d1QGzdu&#10;HI0aNYrDYXNmz6ZzZ8/SkkWLqE+vXia9zgON/tmzZ7R50yZ+GPJy03Oah6ur8uDCuViceB1CRQSJ&#10;I9j5csa0aeRgY6v5HMD7njh+PN24ft1oabsiHgaA/a11cx7RkZF0XnXuy5YupdQxYykpMYknuceq&#10;vxtqo0aN5sWCyLzCHiHYz3jp4sUcEnO0szdJ8YDHgOJwmG/C6tm8HpLc1q51axb2F8+l3LpQMcGg&#10;6KeffqJdO3dyJASD2tzPAQqEhoWE0No1a4zWb4h4GEDORYKooY+9ILDwbMTw4ZSclMzFDEeNHGWw&#10;jRg+gsUDiw4REsMiwfHKG+naqbPJZlv9+suvdOrECa6CCzc8v5RcGGdYWdtwKBELAvFwCUJF5vq1&#10;azR65Ehq6Ov7zfMAL72elxf3UaisYIyiiSIeBpBTPJo39eNOHiEm3Bh0/qOV52AMQ+gqS0yGU69e&#10;vahJo8YmOeeBhv7s6TNKih+cZznq3IbFgghtzZszhxu5hKyEig4yrw4fPMSDTK1nBK+hIsbNGzfp&#10;x8+fsz9lOCIeBpBTPIICAmn8+PE0ZfJkmjJlCk2bNs2oNnXqVJo4cSJFRERQ82bNTHKRIOK5C+cv&#10;4LTo/Crl5jSk52Iv+aOHD9Mfv8ue5ELFB5lXWACL9Uzom7SeCwx2F8yfT/fv3cv+lOGIeBhATvFo&#10;17oNzZw5kzIyMorNcPzY2FgK8Pc3qbAVft+b1685TovRFJIFtB6I3Aavw9negVYsXcYT7KYU3hNM&#10;G4Rn58yaRYEt/TUTSlydnDkr6+SJk0XOPBTxMAARj+IHDRsPwv59+yhqYESBazlyGiYMkcaLTaEQ&#10;rpL0XMFU+P031Lw6zTWvtCru4jlC9GLrli3cfxTl2RDxMAARj+IHlXJR0A2Vcut7+3zzEORnWNeR&#10;OnoM3VPXSBBMCaThYsMoZH8iI1HL+8Br06dO45IlRdksSsTDAEQ8ig+MhPC7sOHNnFmzecc/fbwO&#10;GPb0OHjgIG8OJQimBJ4fzH0c2L+f/Js3J1urb9N2YbFR0fyen3/+OfuT+iPiYQAiHsUHfhP2Klix&#10;fDkFNG/BablajT8vw3wH0nNxjOLcglMQyioQkKtXrlBSYmKeXnv7Nm1owbx5nLZraOhKxMMARDyK&#10;jx8+fqQN69dT3969ee6iMKvIdQYPpXH9BjRzxgxO75X0XMFUQegKC2ohElrPipO9A2dloTK1of2I&#10;iIcBiHgUDxgFnTt7juuDebl7aDb6/Axl2Xv36MHbAguCKYMacI8ePaKB/frnuVVt5w4d6cL58ywC&#10;hiDiYQAiHsUDJsjx2+p5emk2dhgWOuW1WyAmCDFRfv7c+ewjCoJpopv7GDlsOKetay0aDGrpz8US&#10;nz9/blDoSsTDAHKKBzJ7sN84Nm4qLouNiaGQbsHUsH6DClmSHSEmVLxdtGAh78mc18ZOFmoEld/k&#10;uZuzC21SDwPmOwTB1EH/gGcKA1ytxbUNfOrRuLFjedAm4lFC5BSPxg0a0qABA3kDKBjcROxpjhLq&#10;iCli+9i4WOwMWAhT742JiqaoQYMoIsee6NgYCsUAG9WvX+HKkyC18OPHj7wjIKoG5zXHAdGo5+XN&#10;AqH1/3Ut6hC2oj1z+nT2kQXBtMGzdfjQIRocF6+ZeOJkb8/FEo8cPiziUVLkFA9UsRw/bjyvR0Dn&#10;nzJ0KI0aOZJSU1NpwoQJWSVLpk7lUiPTYdOn/8+yX+NSJOo9KHGCUiejR4/hwojYnRA7Ccar40JM&#10;WgUGVriwFRYCXrlyhUKVZ4XFS7kbOAyC4mRnTz1Dw6hNUCtNgfHx9GSxvnHjRvaRBcG0QcLIkydP&#10;aP7cuTxBnvuZwYAMteKwxYEhfYmIhwHkFA94CZcvXeZd6vbs3k1rVq+mtBkzuSw7On7s74G/p45N&#10;pUlKHKYp0cAcBsQDwgKxGDNmDA0fhhLsiVxkcawSj4y0dFq5YiVlZmbSmVOnOXUVXk1FK8l+9uxZ&#10;Gql+u7e7R54FDxvU8/2ytW/zJk2147f+AfyQ4GERBCFr3gPrOHZs38FZiLlDV3iOME+I5wZrovTN&#10;ThTxMICc4jFKCQMmpmDv3r7lssj79uzlMuoQAJRqnzJ5CpdWH6c8FIgIxGKMEojUsWN546dJEyey&#10;55GelkYL5s3nEu+HDh7ihXKYC8B6hePHjythSeJtVyuCeGBvjkePHlG6ElKUkMaOfzkbtq5xQyyx&#10;Je/KFSuoR2gouTu7aIpHz7Aw5X4foe+//z77GwRBANisrlunzuSoURvOyqIOjR41iq5cvqx3mXYR&#10;DwPILR7o3KHyUO5/qw4dNwGvISRz69Yt2qvEZOniJTR50mT2LOBBxEbH8L4faarzxLoGxOqRm417&#10;gM/iGBAHHBN/r0jigWv1VgntgvkLqFP7Dnl6HBCUDu3a0SrlgT16+JDfq/U+WExkFD198pR+USMt&#10;XD8tw/UyJLYrCOWZq1evclRDa8Eg0njh0W/ZvIV+/fXX7E8UDhEPA9ASDy3Q8aNGE0QBdWRuXL9B&#10;Fy9c5DDUuXPn6LJS+9tKXBBqQYYQvBetLSIrmnhAOA7s20dhwSGcRpi7QcMgHI1869PiRYvovLpW&#10;J0+c4NRCrffC8GD069uXoiKQrBCpaSuXrzDaFpyCUF5AmXYMXhHazf3cIO29VUAAzUpPp5/13DBN&#10;xMMACisexqKiiAc6bnhjx44cpREpwzgElbsx6xp0kwYNeddAbFxz985dWr1yFde50np/YS2kS1c6&#10;cugwHTxwgKv1iokVhyHkfPzYMTp75gxdUAOf0jYM1GZnZHCZ9tzPBLx+T1c3GpqUTJ8+fcp+UguH&#10;iIcBiHjoD8JFcIvv3LlDE8aNIw8XV801G8ikwiReQvxg9szguV26eInGjU0ln3wWDxbGcNwWTf3I&#10;y82dr6OYWHGYr5e36qhbUkjXrtSre49St+4hIdSxXXtydXTSfC7wzPUM687zhfpMmot4GICIh/7g&#10;GqGODibIsWgJsVatuQ5c0/7h/Wjr5i08EsJvRK464rLODtohrsIaHhJMEGql+oqJGcvgOWNdBUKy&#10;bk7OpW4uSjSQqlsnn104UaoE87P6VNkV8TAAEQ/9efHiBe3auZM6t++Q53oOFELEiG31qlWciaUD&#10;G9e08PPLd+U55kh0hofELI8SJmJiYt9aq4BALtGO7M7CIuJhACIehQfhKsx17FcNc9DAgeSizl/L&#10;48BrzZo0oTGjRvP+yvjN+CwM2VZYJKhV0wqfw6jKw82dPN092FycnHgfA/Na2gICzwMhM3g/YoaZ&#10;rlQM7gmEWqwMm2rvWs9cTkM4F2vJcg7aCkLEwwBEPAoPqnveuHad5yy8PTy548ndcNG4EY9NGTKU&#10;Ll28yJPqAPFXrAfB2hd4FFqfs7asS82bN6f27dsr68Dm7+9P9bx9yErDU8FnkHWCzKy46BiKj40V&#10;M8CQGt2/Xz/q1KEDVz4QK7vWolkz8lXPg6OdnfLKtSvsNqznS5MnTqLr6lktbDq7iIcBiHgUDBog&#10;Uo8fq5HMnIxZPM+h1WgxIkIYq0/PXrz/QM7fhL9j5SsWWmp5HZZKUFydnalTp07UR4mBzrp27UrN&#10;m2EXNeuv3o/4b3CXLrzfx/Zt2+jQwYM8nyKmv8GT3KHuF1KpZ2VkiJVhGzNqFNew8lOefV6p8ci4&#10;iomKojOnz4h4FCciHgWDBoj1HCiv0ly5xAhzaDValEzwa9yE50Pw/pzZHhCfmzdu0Ijhw9ljyP1Z&#10;m7pW5KtGTBCLwogHMk8wsnr//j17NLrKAGKGGa4hFmViklWsbBq8eOzZMXL4COoRGkZNGjbSDGFh&#10;9Xln5UUijV3EoxgR8cgfCADCVZm7dlH/8HBOkc3dWHXWXnkk8+bO5VgrOqScDRcd0949e2hg/wGa&#10;4oEikX5KmLoFBxdKPLDJFFJ/cT0FwRRAejy8iaTBCdS7R0+uPK31LCELEaGtHcojF/EoRkQ88gfC&#10;cfHiRRo2NIXdZK3GislWrLfAfgIP7t+nX9VncoOOHpPlIV27aY6WnB2dKCgwiELDwgolHtjbvCx7&#10;a4JgTCACyJ7CAAyVuZHu3rZVa7KqU4dq53om8Xwh2xF19UQ8ihERj7xBZtWTx49pREoKb5SlJRxo&#10;qMi6GhwXx24yrp/W4iSs81i0cFGe9a+wtwcmyrv36CHiIQi5wDOFQq1IfR+SPIQG9OvPiwU93Nw0&#10;E1AwoMN78QwXRkBEPAxAxCNv4EWgAi7qUGltQANDfBWbWyGs9frVq+xPfgs2iZo8YSLvLqglHu6u&#10;rjxZLuIhCN/CKfL79tGM6dNpxIgRHLbt2qkzNW3cmPuunM8GDAM9LOJ9+eJFoZ4TEQ8DEPH4FpzL&#10;x+8/0qYNG3liGvMRuRsnDKm67ZTrjPLzr16+zP60Nh/ev6ehyclc7kHrWJ7uHjzf0aNnTxEPQcgB&#10;vA7MIcKTwF5BY8eO5Wyq0OAQatu6jebmUBAPhJFv3bxZqD5NxMMARDy+5cfPn+n0yVMUGxWtuZZD&#10;1ziRLjt10mSuNFzQdXv/7j3HapFGqHU8Hy8v6tW7N/Xu00fEQxBygHaOOcO5s2erdh9LEydO5D+5&#10;1lVYGHloPFMiHiWAiMf/QGyUFwJev86VObFjWe5GqTOc+yjlPp88eZJHRVrzHDl5/fo1F3VDJojW&#10;8ep5e38jHCIegpCVbAIRSJ+ZxvMdU1WfgTlGrKfqowZcWLCb89mAITSMxZ+Yh0Sab0GIeBiAiEcW&#10;6Pxxbnfv3KGlS5bwKlWtSrkwZF0Fd+nKpaoxl1GYCTl4J+3btNU8HkZJ9dX3iXgIwre8UQOvfXv3&#10;0vRp03mnwGnTpinxiKe+vftQ//79qZ5GKBji0VuJy6aNm75UecgPEQ8DEPHIAueFTayw0UzrgMA8&#10;Cxeio+8eEkobN2xQjfoNn3dB4oH/f/nypaZ4oJHbWluTX9OmIh6CoMHDhw9p4cKFHK4aP368EpEs&#10;8ejfN5xi1XPQwKfeV88GTMSjBBDxyAL1/1HmAw0SJUa0MqKQEoiKuLPSM3ib2N9/+y370/mD3/zo&#10;0SO+zrmPCTHC3uYtmrcQ8RAEDa5fv859EybKp0yZQtOnT2fxGKi8jmTVjzRq8G14WcSjBBDxIG5c&#10;KGKICW2tvZFhCGEhU2rkiBF0+vTp7E8WDhz/ypUrFOT/7e5nEA8sEPRv6S/iIQg5gMeO/gi7GCJ5&#10;BSErCAfSdSEeqGyN7KumjRp99WzAIB7dOnehFcuW85xJQYh4GICIB3HNqdkZs1gc0JnnbogwLATs&#10;ERZGZ8+e5YamD4jZ7tm9m5o3bfrNcUU8BEEbrO1AKPnAgQOqvcdS6thUSk9PpxkzZhQoHjAs7MVO&#10;nx+//z77iHkj4mEApiwe+K0oYLhk0WJeraq1EBAjGISr+vTqzRs54f1o1PqANSAoltisybfigQq7&#10;7i6uFBgYKOIhCDlAX4H9cDZv2sThqYkTJlJGRkahxQPZkqljxnBIuiBEPAzAFMUD7jAEABVpUSun&#10;X5++miUOYEitbak674ULFvD7cf76kq941KrNqYZtWrcW8RCEHCAFHp7+ooULafjw4TRl8uSvxCNy&#10;YASNHj2aK1nnfDZ0JuJRzJiqeGA9x4Xz56lXWHdyd3bRnCCH+aiOPWNmGl27eo3PvaD1HFrkJx48&#10;l+JTj+taiXgIwv/47ddfaXdmJk2dOpVSU1M5RTeneMRGR/McCAZ3OZ8NnYl4FDOmKB7wOs6fO0cT&#10;xo9ncchrFXk9Ty+KGhTJE3Y//PBDgSm5eVGQeDTwrU8dOnQQ8RCEHKAEO0JW48aNowkTJtB0JRo5&#10;xQPPQFpaGpdmz/ls6EzEo5gxNfHA73v54iXNnjWLRyx1zMy/aXTwQlDSGeGsrZu38KSdocIBRDwE&#10;QX8gHhvWr6cxSgAmTppEM2bOFPEoS5iSeEAAsLBv9cpVFNKla54eBxYI+jdvTiuWLeM0W30nyHMj&#10;4iEI+qMTj7FjxtKEiRNZNEQ8yhCmIh4QDjQi7Fndu2dPnufQanDIfkJpknlz5tDtW7eyP100RDwE&#10;QX8gHtu3b+eV5Qhd5Z7zEPEoZUxBPLik82+/0bmzZznvO6+N82He7h5c7vn+/fuc7WEMRDwEQX+w&#10;r/whNdjLSM+gUaNG8epyEY8yhCmIB0QAtaUmjh/P28XCu9BqbHgd1TrPnz/P4SpDMqu0EPEQBP1B&#10;X3T50mVeJT50yFCaNHGSiEdZwhTE48WLFzR/7jzq0KYtd9ZaDQ31rLC/+Mb1G7hSrjHPR8RDEPTn&#10;z3/9SY8fPaatW7ZSfGwcjR837ivxiI2O4VRd/+Ytvno2dCbiUcxUZPHAPAd2BDx04CBXtHXIY0dA&#10;TJBj9IKV5vfu3ePPFSW7KjcFiUc9n3rUrp2s8xCEnCBRBQO5QwcP8t4cqWPHflWeJFq9NmnSJGru&#10;5/fVs6EzEY9ipqKKBzp/ND5MkCclJPI8R14LAVFzaqxqZDzP8Ztx5jlykp94IFTm5uom5UkEIRd4&#10;htHGL5y/QAnxgzllN3dhRBQqlfIkpURFFQ/MWdy4foO3okQj0gpXoeN2dXSilOQhdOLECW5AxUF+&#10;4mGmzsHFyZn8/aUwoiBocevWLa5rhYyryZMnfynJXlBtK7/GjWnShAnsvRSEiIcBVDTxwGgFv+Hh&#10;g4e0YN58ahv07R4aOnO0taPQrt1o29atXK6kqOs58gLFFA/s308tmn7rXktVXUHIn8ePH9PyZct4&#10;whwCotsMqqCS7K0CAmlWejpXhygIEQ8DqGjigQwpdNY71e8K8g/g35W7YcGwQDCgRQvasnkzPX36&#10;lD9nzHmOnCBf/eaNm9QqMPCb8xDxEIT8wfOM8PPM6TNopOqjdNvQFiQe3UPDaN3atfTj54K1QMTD&#10;ACqSeEAAEK7ak5nJm8c42dnnuT9HYIuWyqWdyCWf4XUUJ/htT548Ude59TfnUVudn521DTXz8xPx&#10;EAQN8Ew/uH+fMtLSKSkxidd7IPuqf3g/GhwfTw19fb96NmAQD9lJsJipSOLx888/88ZOI4cN5/Uc&#10;WsKBeQ5s7DR8aAoXPIRXUBK8evVKcw9zWB1zc2rUsKGIhyBogHAyBGD+vHmUMHgwF0nE3uV9e/eh&#10;COV91PP2/urZgEE8+vbqzZEFEY9ioqKIB7wOZEuNG5vKBQ/zWs+BCXLsfbxn9x76WTWq//zbOAsB&#10;CyI/8ailGrqvt4+IhyBooJvHXL9uHY0aOZIzI5Gm26dXLwoPDydvT8+vng0YxGNgv/6UuSuTB5UF&#10;IeJhABVFPJ48fkJr16yh1oFBvOAvd2OCYafAjm3b0bYtW+nF8+fZnywZ3r55QwOUm41Qmta51fPy&#10;op7qYcgtICIegpDlfRw5fJgy0tNpxPARNGhgBPXq0ZN6dO9Onm7uXz0bMEQd0MecPnWqUNEFEQ8D&#10;KO/igUaFOYvt27ZTRP8BXEo9d0PSNaaWfs04de/d23fZny45UNZ9eEoKF13UOj9vTy8KUw9Cr969&#10;RTwEIReILCBld93adTQkeQgPxLqHhFLnTp3I1cn5q2cDhud9fGoq3b59u1B9moiHAZR38cB9vn7t&#10;GsVFx/AKcriruRsSXoOoTJk0SXkoj4v9N2pRkHh4qNFTFyUUPXr2FPEQhFwgdIVn6OCBg7xgMLx3&#10;HwrpFkxBgYHkqOHNQzymTJpMDx8+5D6nIEQ8DKC8igcaE46FFNhRWGXaUHuhEMxNjUziY2Lp6JGj&#10;XCQRo5iS5oePHykjLY3DaloC5+biwvWtuvfoUSjx6K1c9ls3b3GjFwRTAFV2z587TylDh1I/9Wx0&#10;7tCR5wqtLet+9WzAIB7z583nBYKFWb8l4mEA5VU80CBevnhBa1evJncX1zwr5eJ3de3UmfPE3717&#10;V2xrOQripx9/og3r1lOP0DBN8XBxdKLWrVtTWFhYocQDtbjmz51LZ86c4TTg58+fcwFIseK1Z8+e&#10;0cMHDzgcIlbyhvVbyLQKDQ7mxBg8F1rPfl1zC1q7dm2hn3cRDwMoj+KBBvHrL7/QujVruBIuGkru&#10;xgNDJ43/X750Gb1584a/u7TEA5ld27dt4/RBjIpyn6uTvQMF+AdQSGgoT5rrrEuXLtTMr9k3czlW&#10;FnXIx9OTunTsRDFR0ZyFMmb0aLFitNGjRlFycjJn+aDjat6kqVgJW4N69dSzYs/9FZ4BrWfJ0syc&#10;J9G3bt4s4lGclEfxQOwTmRfRkZGceqs1kkfDauhbn9JmzKS7d+4abWMnQ0HGxwn1u+NiYjUbvFUd&#10;S/J092AvIygo6Iv5NW1Knh4eZJmHQOK+eanPNWnYiJo2biJWnNaoseq8fLndarU5sbJhGGi1bNaM&#10;dmdmingUJ+VNPNAJX7p4iYsZQhy0Gg/M082NJ5VPnjhRrKVHCssfSrzu3rlDo0eO0hQPdEYYMWHy&#10;D9kjOnNUHom1pSWZ1fz2M2JiYt8aKmiHBQfzAFPEoxgpb+Jx7+49WjhvPmct1VGdrVbjQd2qdq3b&#10;0MEDB3h9RVkAvw+lodNmpuU5PwMBQZVd/L/O8G8Z5YqJFd7qeXmrvmwEXb50ScSjOClv4rF540bq&#10;FdadN3DSajgwdLqNGzTg1NxTJ08afWdAQ0AjxrVdumQJpxRreR/6GI6BKr0QUSwwFBMrTavv48M7&#10;+mHQ1qVDx2I1LPRF1CGvxcAI4c7OmEV3bt/JfvoKRsTDAMqbeKBRYOIMq8XzG5HznIfqWLH7GEJX&#10;b9+85VS/0g5fbdqwkRqphp/XJD+ED+ErnL9VnbwtsKU/b8uZnJjI4TkxsdI0rL3Auop5c+bSsqXL&#10;itWw1UK/Pn3Jx8NTsw/wb9ac1q9dx1mIhUXEwwDKm3jcuHGD5s6ZQ0Gq88xr5AHTzSFgjQdSdZFx&#10;df/e/VIXj7179lCXTp00t8TFOSMBoEmDhhTk70+tAgLyNGxyhfTc58+ecUl5MbHStGfKUL8N5dPf&#10;v3tfrIZ9zVOGDOFnW0s8OrRpS+fPny/UPh46RDwMoLyJx+fPn7ly7uqVKykmMpIaq44Wo/XcDSin&#10;oaOGgEyfOpWOHT3Kcw+lFcY6feo0JSUkkIer6zfnid8B1z9ZXZtVK1ao0dPaPO3M6dOlsthREEoT&#10;9B8vX76kwbFxmqFrPEMoWwIx0yfDUsTDAMqbeMBzQKeJrCuUKsBqU4SnkJ6XXxgLcwxNGjZU7nU8&#10;HT1yhBd8IYxV0h3wndu3ae7sOZqZYpjo79iuPa1YvpwrgeKa5GWFWTUrCBUN9OtXrlyhPj16fvP8&#10;wBCNiIoYxF6HPlEGEQ8DKG/ioQOd56dPn+j6teu0bMlS6tqxU57zCDrD/8PVRYmQubNm80ZQxf17&#10;c/P69WvavXs3LzLLfX4QOB9PL5oxbVqJ7TMiCOUJLPbdsW0bdVKDLK3nBwPEiePH04+fP2d/onCI&#10;eBhAeRUPHRihY7/yDevXs1eB+QKbut/WuslpmAtp36YNTVCNDGVL4AaXFDjfa1evsoehFW5DIgDi&#10;uYgd41oJgvA/sKNg+syZXCE797MDz71b5y7sueu7O6iIhwGUd/HQgRDUVeXODhsylOcNCgpjwTA5&#10;jRXfmTt38XoQHKMkwkHwPlAVNHfJEZ1hE5sb128Uagc0QTAlLl26RDFRUZxplfu5QWQhNjqGDh08&#10;qHdFCREPA6go4oFOH6P6Rw8f0srlK7jqLEp+5G5gOQ0jfxQkbN+6DaWOHlNiHfb79+9p9MiR1Kh+&#10;A02B69yhA6f0vn71OvsTgiAArBoPUINDpLLnfm7w2sTxE+jOnTt69yciHgZQUcRDB0Tkwf0HtGXz&#10;Fg7/oPpsfgsKYfAAmjdtyh367szdnAJbnNfh0w8/0OKFC7mktNZiweZN/XiB44MHD7I/IQimDSa/&#10;kSWJ3UI9Xd2+GXRhIIj5zKWLl/CiYH0TYUQ8DKCiiQca2X//81/2IO7du6eOP4VHKkjX1Zpj0Bn+&#10;D5ka2I0Q29Q+ffKUPZniqIuF4+7ft58iB0ZonpOHejgG9OtPVy5flnRcQVDgOUCKPgZVWuu7MEBE&#10;EsruXbsMemZEPAygoomHDnggyFjCZPqWzZupT8+e5KWx13FOw2gGRdXatmrN54W1FOjocW7GFBBc&#10;Y+xwNmHcOLKoVfub88DEHyb+kYqMeRhBMHXwDGJuEoM7rXC0m7Mz9Q8P52oShjyrIh4GUFHFA6AR&#10;4fuQTbVj+3beBjbIP4B/a361pTCKQfmPYUNTaOuWLfT48WPO3jCWgGBkhPa5ZPFicnd20RQQzMXA&#10;BX/29Fn2pwTBdMFzjPVRqCyBwVXu5wXzh1MnT6GbN2+KeJQUFVk8dKAxwRO5dOEipc+YSW0Cg/i7&#10;8wtjwVzUe5D6t37dOp6EQyjMWNlYOKdM5WKjkByufe7vhms+XIkXRlKCYMqgb/j86RMNTUomR1s7&#10;zSSTNkFBtGv7Di6RIuJRQpiCeAA0KLQJbCGamZnJe5p7u3sUOA+Cxoo5E+zDgRRAlEcxBjifi0rM&#10;xqjj5pV2iLUgK5cvz/6EIJgm33/4QKdOnKTQbsGazyvWbfXp2YsTTAztv0Q8DMBUxEMHfh8W4O3b&#10;u5eLC3Zo246zNHI3SJ1hlIPG2axJU64eCi8EeynjOEWZzIZ4ICS1ccNGzq7K/b14SBDSGjt6NDfs&#10;kro+glDWwPwg9uvH+q3czwksa/+OkbzDqKGIeBiAqYkHOm10+piIxmT6gvkLeESDMFFBYSysXEeY&#10;acH8+fTk8eOsMJY6b0PcZHwGn0dGVYd27fKcg+nfN5yzxjBxLwimRpaHfoEGDRxI3hoeOoyrZi9b&#10;xuWKDEXEwwBMTTwAGiTmLjAJ/vLFS/ZCRqvfXs/TS3PyWmfo4O2UyGC/gIS4ODp06BC9fvWKxcgQ&#10;AcFvfvH8OUVHDOL5Fa3vhFitXrmK154IgimhG+TtVH0U9unXmiiHIRHm7JkzRcpMFPEwAFMUj9wg&#10;jIWY6uQJE9UophOXLcnPC8F8BOYpogdF8pzE9evX9a6lowPVP+fMmkXtWrXW/C6MtgYNGEjXr17L&#10;/oQgmAboKzBHmZGWpikcGMyhFtzCBQu4YGJR+hARDwMQ8cjyRLAm5NmzZywGPUJDeRVrQVV6zWvV&#10;orbKM0ibMZM3qUKb09cLgeggoypx8GDNLBJ4Qlifsn/fPh5ZFWWeRRDKE3gmd2dm5rmYFpUhmjVu&#10;whusIZJgiPevQ8TDAEQ8skDjQzE1hKHQmaPWlVbZ9NyGBty0YSOKjYqiXTt3shjok86L341Cidhe&#10;F+tLtAQE34EU49s3b5X6dRKEkuLHzz/S1EmTedtmreeiQT1fzla8evVq9icMR8TDAEQ8vgVtBzHU&#10;9JlpFNq1GznZ2ee7qBAuNdJ+UQ131cpVdO3qNa6vU5iREDwJiNaWLVuohV8zdsNzH99CHb9vr960&#10;dfMWWXEumARIiUeVbKwaz6s2HUK9B/Yf4MFXURHxMAARj7zBboO4Pl06dOQJbYvatTVHQDpDiAlp&#10;gzOmTacL58/TT6oNFtYLOXv2LIeuPN3cvjkuvhNzLJPGT+A5En08G0EojyCbccmixRTYouU3zwMM&#10;z1rfXr3o3bt33KcUFREPAxDxyJvf1SgfE3GocTVp4kQKbNlSsxS0ztDJY02Ir7cPb4W5ft16evf2&#10;bfbR8gejJ8xroAqw1rFxXHg2ly9dMtpCRUEoq8Dz79enL691yv0sYP4DXvr0qVN5XsQY84AiHgYg&#10;4pE/aJhooJcuXqR5c+ZQr+49NFeE5zakFmJPEYyeLpy/wGGs/EZICF09efKEHxitqqEw1OVaMG8e&#10;v08QKiJ43vCsYGdQFAfVSlrBa9GRkZxib6x+Q8TDAEQ88gfzFjCcH1J6d2zbzl4F0nnRiPOaC4EX&#10;Ai8FD8DIYcPp1MlT9EZ5FxAJrbkQvIZ9l1FyukVTP83jujo5KfHqzp5Qcd8nQSgN0D9cuXyFqz9o&#10;7bSJ5wqVr+fMms3ZkcbKPhTxMAARj8KDc4eAnD51iuYqLwQL+FD7KncDz2kQmAY+9ain6vTXrF5D&#10;9+/dy7PBQ1iOHjlC8bGxmnnteM3Xy5tWrljBiwYLMyEvCOUJZCvOnzOX2gS10nwG4JVjohz7diB5&#10;xFjPgIiHAYh46A/aFqrsLlm0iOch6itxwJxE7oauM3gR2IyqR2gYZ3AdP3ZMc6IPE+FIFV44fz6v&#10;dtc6prWlJcVERtF+5bIba9QlCGUBzOVdv3adF8Xiecnd9mEN6/lS6pgx6n3XjDp4EvEwABEPw0DH&#10;jdpUiLuiYGJenX1uq+flRZERESwgqBaK65H7ITh86BAvVESKcO7PQ4gw5zIhdZzea0oEoSzz6OEj&#10;niPMqwCiWc2a1LVzZ97HvChFELUQ8TAAEQ/DQIePc37//j1nQC1dvJh6hnXneY780nktzS149XpI&#10;127sYWCjKUzI5wQlGeDVYPWs5jGUSOG7jh4+wt8vCBWBE6pfwHORV503DJqGDxtGz54+NXo/JeJh&#10;ACIeRQexV3T469as5VIKmOMoKKUXk4Gd2negtBkz1ENzglN1dR4INr7BOpHePXuSnfW3G0XBGjdo&#10;yHuMYEGilvciCOUFPPsYRM2bM5c8XFw15zrwzPQMC+MsLHj8xkbEwwBEPIoOOm6Ej5BiiPLRifGD&#10;ya9RY14Zm9/KdOSrI2srOSGR9mTupu+//56vP0Ji8CimTp7M+exan8VKdJRF2b5tG3+vzH8I5RFd&#10;+HfTxo28oZNW6BfPEPqnmdNn0N07d7gPMTYiHgYg4mE88Nuwp8Ctmzc5dts9JLTAbCwICNaEYE+R&#10;qZMm0a1bt/geYD7j9OnTNCQ5WfNzOu9l1IgRdPqUpO4K5RN47fA6hiQmcYkfrZCvi6MjhQYH08ED&#10;B4ptnk/EwwBEPIqH+/fu07q1a2lwXBw1b9I0331CYEhBbOHnR5MmTKBDBw/Ryxcv6NXLl7RqxUpq&#10;UE87DIYRWauAQMpIz+C9m0VAhPLG82fPaMOGDdSuTZs8nxH/5s1p0cKFvKNgcSHiYQAiHsUD3PGf&#10;lTt+4/p1mqgEAaMqqwLCWDpvAqvMUaoEtbVOnDhBCfHxea5qx2fCgkPo5ImTHL4ShPKALuHk2LFj&#10;1KdnT3Jz1t4KGvMfKAqK/cnhdRQXIh4GIOJRfMC9RjwXe55v3riRV4e7u3xbqyenQVxcnZypY/v2&#10;NGXyZN5FDSXiu3TspDmRCEOacKISGFQhFYTyAPoBeOezlNeM7EOttg1PpEPbdrzZE/rz4kxLF/Ew&#10;ABGP4ge/GRPgEJDkxCQKbOmvWXo9p2HiEEUSU4YO5QKLWDiFLC4tz4XLoDRsSCuWLaOnT5/K2g+h&#10;TKNLLlmzajXPC2pt9IR2jpTd8anj6MKFC/TvYu4fRDwMYMf27dQ6MFDEoxiBi44wFn47VsbOysig&#10;gOYt8tz8SWe6B6iVfwDFRsfwpHpeCxEhIP3D+9HWLVvYvZfsK6Gs8vPPP9PtW7eof99wss5jEIX+&#10;qHVAIGXu3MXee3Gnoot4GMBGNapt6FufU0Ynjp8g4lHMoF3ev3+fO/k4JQgIUeU3mY5RGR4k3CPs&#10;nIaicHnlwbs5u1Di4AS+nnhABaGsARHAPCC2OIC3nNfgCYOrRQsWcC04eCoiHmWQlctX8Oi2ScNG&#10;NGf2bO7cixNTFw+A34raVvv27KWU5CHs+eFaaD1EOoNgoK4VFg3mJzbYPAdpwhAofE9xP3SCUFgg&#10;Ai+eP+fCnvAqbNWgKHf7hZg42dtTTFQ0e+nFsSBQCxEPA8BkFEIenTt2orVr1xZ7Jy7ikQVnYynv&#10;AOmHc2bNom6du3CmlVb8N6flF+aCoaAcqv0iHCmLB4WyAtohwqk7t++giP4DOPNQq/1ikIRJ8sWL&#10;FnGHXlLtV8TDACAeKBveVXVe69evF/EoQfBgoK7Vo0ePaLvq7OGFoGpoXllVhTGID0Jbg2PjuGgj&#10;yrwLQmmD/hiVqBGq9XB10xwEYY4PbTcjLZ37hOKOguRExMMARDzKBtju9vix4zR+3DiueYWV6QV5&#10;IXkZHkLEk8eMGkX31LWV+Q+htEDYFM88qi7Aw27aqLFmm4V5ubnzFgenTp3Kc9O04kLEwwBEPMoG&#10;eFBwDSAia1av5tATSrJrpeYW1rBt7Yply7nUtYSvhNIA8xw//PADp+ViPRL6Gq22inaObEJsVfDh&#10;/fsSn6sT8TAAEY+yAx4Y1PrBLoGHDh6kEcOGU8tmzTUftsIYSp60DgyizZs28wS9XGOhpMEGT+vW&#10;rOG9/zG3qhWuQgJIUEAgpael8WZopRFqFfEwABGPsgkmF1GqfcqkyTyBiIw4Q7wQzJ9ER0bSrh07&#10;eQtdmQMRSgoMWLBx08B+/cjNKe/yIyjDPm5sKp09e5b7h9JAxMMARDzKJggzoaPHPiFblOeAlbhY&#10;i2NRO/8Ci1qGDKzw3n24jhBWusPDKemwgGA6oG2h7aK9YYLc28MzzyxBDIrCugXzRlAlPc+RExEP&#10;AxDxKNsgGwsVc48fPcYVd1F5t6DSJrkND259bx9KHDyYy7cjNCbiIRQXWGh88cJFmjh+fL77+8Pr&#10;QFFPrHeCV1yaiHgYgIhH2Uc3ksN2tzOnT+etOj3d3DUfyLwM8WasUp88YSKdP3eORUkm0QVj8+Pn&#10;rJTcGVOnUbtWrfPMGISgoKbe/HnzeEK9tJ9/EQ8DEPEoXyDtdtvWrVy2Xd85EHggKA0/bMhQzurC&#10;CBHCJF6IUFR07QjlRJYuXpJvSi4M6zmwTz+2HSgLgxgRDwMQ8Shf4Pq9fPGSUxpnz5rFKb1Yma71&#10;gGoZPBBsTjU8ZRidO3uOQ1jigQhFBe3oxvUbNDs9g/ybt8i3TTZpgDVIo+nixYucGFIWBi8iHgYg&#10;4lE+gQfy6NEjmjd3LvUM605e7u55xpZzG+43cu4nZYewUD9IyrgLhoK+9vat2zQ7YxZ17tBRs83B&#10;4PlidXl8TCxvXoY9+8sKIh4GIOJRPoG3gGuJ7CmUIYmMiOD9PiAgeWW25DSEvFAKJWXIUH7wsesh&#10;jikhLKGwoL0g9Hnr5i1aMG8+bxebV2kdtDckevTrG05bNm/mzrosDVhEPAxAxKP8go4e1w2ZKqdP&#10;n+aRX4/QMA4ZFGY+BPe9aaNGNDQ5mc6oz0sWlqAPSOJAqGpWejpXM7DJJ1SFdR5YQb518xae5yhr&#10;nq6IhwGIeFQMMAK8e+cOrVqxktd0wAvB/IbWg5zT4Kn4eHrS2DFjWEAkC0soDOhf7965mxWqat8h&#10;z6wqDGJcnZx4hfmqFSvo+bNn2UcoW4h4GICIR8UBo7kPHz7QubNnKSkhkQUEYYSCwlj4fyzWih4U&#10;ydvY6nYiFC9EyA3aBLaEvXP7Ni1euIiaNWmap5eLdgVvJKRbN67XxskZZXRuTcTDAEQ8KhbwQDAR&#10;iUwq5NBjMt3d2UXz4c5pqC/k6+VNgwYMoN2ZmfTh/Qe5J8I3IFHj1MlTnGyBPfbzW7CKnS17hIXR&#10;po0b6emTJ2V6MCLiYQAiHhUPPKSIRz948IDWrV1L0ZFRnB6Z12SmzjCCRFuIUe/fuWMHvc1eCyII&#10;aFOoVXXq5EkaO3oMbxOr1YZgHKpydKJePXrQqpUreffAso6IhwGIeFQ88KDDcE3xHJw5fYZLRaDG&#10;UN08KpvmNOs6lhTcpSsdOniI3rx+zfesLI8aheID9x3hUIQyUek5JiqK21FeWyGjbVkrbyQsJIRD&#10;VVg9Xh7SwEU8DEDEo2KDuYsfPn6kK5cv09IlSzgby0WNCrUefJ3p5kCQHYP90G/fukV/qvsmmB54&#10;Xl+rAcTypUupf9++vD4oPw8WIdLQ4GDatGEDz5+Vl+daxMMARDxMA4SxUGBx7Zo1FBkxiOr7+LCH&#10;odUB6AwZNF07daY5GbPo4oULHLYQL8Q0gLeAvTiuX7tOq1eu5MV/2N1Sq53AEKrCgKNn9+6cVVUe&#10;QlU5EfEwABEP0wAeiC78cEEJwfCUFGrauHGe4QedYZSJrK342Fg6sG8ffVRejAhIxUUXpkL/eeni&#10;RRo3dix5uXvkm/YN4UDZ/7DQUFq7ejVXLChvz7OIhwGIeJgeiEOjQu/sjAwOMSBjJr95ELSPel5e&#10;1L9vOC1euJDvFzoIEZCKB+7pw4cPaeOGDbyJWJOGjQrcS7+Rb31KGpzASRZPHj/OPlL5QsTDAEQ8&#10;TBN0EsjVX7liBfXt1Zv3XcBkulbnoDPsqd6pfXuaN2cOp2siFi73rWKA5xJe5dXLV7jabZ+evchR&#10;3W+tdgDDYAP9BoQjOTGJJ9Oxxqi8IuJhACIepguu+SflhVy/fp33S4eA5DfK1HUYuuJ2u3bu/JJN&#10;I15I+UQXpsLaIBTJxEJRbBxW0OJS9kY9vWhC6jjeYEy3sLS8IuJhACIepg2uO56VK2rEuWjhQura&#10;qRPn6Gt1GDB0KOhY0HFga9zpU6fSqVOneHJVypqUP7Do78L587Rw/nzql51Nhf5A697DcP/trKw5&#10;Ew/tBYkU8DggQOUZEQ8DEPEQdCC1ctmSJdQ/PJxHn2gX+Y0+ka2FwoqjR46kPbt38w5y8ESEsg06&#10;ei7p//ARHTxwgCaMG0/t27QtsBYa2oOnmxv1DAtT7WQpPXv2jEuOVAREPAxAxEPQgXuD5+bI4cO8&#10;irhBPV+yUgKRn4AgWwspmthydPLESXTuzFkurohjiSdSdkB4Cob7AoG/dfMmJ0zgvsHTLKiUv4Xy&#10;NjGgGNivPx1V7QNbAeCZrSj3WMTDAEQ8hNygY0Bxxblz5lJYcDCLg1aHojN0OvbWNlwkL0J1LphQ&#10;RxgME7BC2QCdPEQdWXYIN6FkDUqMIASVV2FDncHDxL75M2fMoJMnTnwRjoqEiIcBLFm8mBsQto5c&#10;tHBRse/pAPGAq4x1A072DiIeZRR0NI8fPaKVK1ZSRP8B1NC3fr5F8HSG9/g3a668kImUuWsXj3Cx&#10;uLCihDfKE3iO8Vyhs799+zZnROG+YOvighaIwhDGQhIF5raWL13Gm4aV97mNvBDxMIA1q1aTh4sr&#10;N5QRw4YV+8QnCu1t27qVwvv04VRAEY+yiS4LByvTb964QaljxpJf4yaanUxuQ8YW2lPzpk0pMT6e&#10;Du7fTy9fvsw+slBS4P5hPQ72u8f9a97Ujz3EgtZtwBCORJhqzKhRdEl5Kwh14RktzoFlaSLiYQAY&#10;jWDzIGflBXQPDaU9e/YUW742j2YfP6ZhQ4dyeQx3JVprVq3ihinx8bILBhRXr1ylFcuXc8VdL7fC&#10;7ZeOHQ1xn4O7dqXhKcO4zMW1q1clnFWMQDDwnGFr2E0bN3Hnj5Ihfo0a8/3Ib15DZ5jriooYRKvV&#10;s3n1ypUvwlGREfEwAOwGhnmPFs2a8cgkMSGB9quR4vPnz7kRFtVNhSggVAVBuozifEuXUkBLf15w&#10;hsqtJ46fyH6nUJbBiPP1q1d0QLWNlORkat+2Ha/3KCherjM3Z2fq0rEjTZ08+etwlmpjQtHAM4bO&#10;Hc8YMt4OHzpEGekZ1LtHT97+tTCeBgYDeG9AixY0bMhQ2p25u1wv+tMXEQ8DgFt769Ytio2K5hEH&#10;Qlh9evemZaqTv3//Pn3/4XtO6zPUPn/6xAX54OGMGjGCPNWo1aZuXU4NXL9mLT17Wja3pRS+Rhc/&#10;xz198+YNhx5jo6M5UwfrPgoSEfw/EjMwaAjy96fkxETedOrhgwf06y+/cDgTAxV8T0UNjRgTXCNc&#10;L1w33BPsY39w/wEaNzaVWgcGslePeY2C7gs8EV39MpSf2bRpEw8occyiDhzLEyIeBoAO4ZPq4A8f&#10;PkxD1YgStfrreXlT21atadDAgZQQF88PuqGWOHgwxUXHUPeQEI6ZY1tKVGqdN2cudxxopEL5AiPd&#10;ly9eKK/xOC2YN4/6qsEGQlmFGeHCOJzl7cOeJ9rXrLR0Onr4CD198pS9XQlhFgwSEJ48eUJHjxzh&#10;ciLIXgwLDqGmDRsVWKtMZ7hfEH+UIsFe5MeOHuWIA1aLmxoiHgaCEQbi0MuXLeNCaAUtFjLUMAqy&#10;tbLi0hZ79+wp9yUNTB2MehF62rplCyUlJFC71q3J292DPQyt+69lGB03rt+AkhMSOfMPHur1a9fY&#10;I0WbrOix9sIALwOhX/Rp8OIR8sNanKWLl/AArU1QEFkW8ppDVHB/IPatAgK5HMmWTZt5waApP4si&#10;HgaCholRzKz0dB4RFmYy1FBDFge8mjmzZtG7t2/5u4XyiS6UhVHwq5cvuUMbmpTMe6EXVOo9p2EE&#10;jA7N1sqaP4tqrpiHO3P6NP0kzzFfZ0QHbirRWL92HXvyjRs05P01cN3M9bjWutIyifGDafu27ZwF&#10;B+8f99GUw4UiHgaAzhvx0rlz5nBdI+wyF+gfwIsGQ0JCqXtYGPXo3r3oFtad2rVpw3MeCI316dWL&#10;dmzParxC+Ye9ENWOUCdp9cpVNESJSCvVjgqzCC2n1TEzIx9PT2odGER9evSklCFDabYaaGCO5cL5&#10;CzzfUtGBGKNi8bWr19hDnzNrNo1IGcZzEh3bteewsj7eHQzRhJbNmtHguDhes3FaCfOLFy/4von3&#10;L+JhED98/IHOnjlLIV278oOORolMmn7h4TRo0CCKjoqmmJiYolt0NIUpMfJVng1KXvio0Q/i3dhw&#10;RqhYYJR8+uQpSp+ZxvH0ln7NyNPVjWPx+giJLsSCUTbKxqOC67q1a+n0qVOcQnrv7l2O0X//4QPP&#10;lZQ3EC6GUCA89/LFS7p/7x6nMh8/eox/J9ZAIWUWabZ4NrWuUV6mu3Zuzi7UrEkTng+ZMmkSz20i&#10;i0o8/q8R8TAA7Okwf+48alS/AYcP4NZiVzCs/oZbzGZnX0Sz+3I8TJYipIFaOehQkLYpVCzQKaIz&#10;R6eI1NG1q9fwnEhQS3/uBNHOCjOhqzO0SWtLS24/SCdFViDKpoxISaHFCxdxxYIHyNpS34lFjRhN&#10;o3NEKObff/6bzwej69IIy+B78f0wnA/OC+eH84TIPn70mCeqVyxbzmsykF4LsUXWIzLT8Lzg9xf2&#10;euF9uL74XEOs1xgUyVUCUHYfXhvmGXEuphyi0kLEwwDu3b3HDyDKT2BjlxjlaczKyKBxqakcbuoe&#10;VnTrqR6IhPh4NfKZTIsWLPxS+hmdwfZt27LPRKiIcFbQ4yfKuz1DmzdtokkTJnAHibaGTlGrAyzI&#10;4L1gUWuj+vV5/qxHaBjPk4wcPoJmpWewWGFQcvTIUV5bhN3t0FGj0y5psMAO1YoxyY0NtDJ37uLF&#10;dyhKiFXfcTGxfD2Quo5MKYijviEpneFzPh6e1FM9c+PUsbEl7Iljx3lhrqml3uqLiIcBPH3yhDau&#10;38BZVl06dqL169ZxvPXipUs0bfp0mjJ1apFtxsyZtH37dh6FohHD02kT1Io7ABGPig1GuDrDqBeh&#10;JogI1vx07dyZiynCAy3MmoSCDB5tQ19f6tyhIw3sP4AzuFDpd+mSJbRz5046cvgIT8Ij5HXjxg0u&#10;u4LSONh29fmz598Y5uMwHwgP6sP795rvgaE0+V3VtnFM2BUlWBfOnefw2o5t23mOIX3GTBoxfDhX&#10;pe3Yvj0P1uDh6+OBaRnmMtydXfj57da5CycsbFi3Xv22m195GeJp5I+IhwHgAcHew3iIsf5iw/r1&#10;7N5eUg/A9BkzaOq0aUW2mWlptEN9Bx5UNOgF8+bziFHEw7RACAejfyxMRRtDKAXZQ9j/ukVTP+5M&#10;ISBF6VDNa9XitFWIEUI39uqYaGeuakSPhXMYmaOThfc7oF8/Xh8Bb2je3LnfGDp9ZCShNhQmrhfM&#10;n6/5PkxoIyyHY2LNS+cOHah5tihiHQVCtg4I2VpZ87wPPAR9Q3c5DZ/DdUKWVdNGjdnrwv4auo2Z&#10;cH3/+D1rIlxEo3CIeBgAUizh4qOxi3gIJQVGxPBCkSKOkNb2rVvZIx0+bBi3Q4Q19Yn1F9ZwPMwl&#10;oGPHWgfMn6AsD7K7chtCSVjIiLASJpzbaLwHhvUSWKGNY7q7uHA41tDQU35mVaeO8jAa8i5+WN+R&#10;rp6rTRs20okTJ3jBLUJzgmGIeBhAXuJx5epVSs/I0BQDfU3EQygIjJARHkJICbsZwiMIUR03OmbM&#10;bWAuAJPt+qwfKc8GzwJeCjwXCBy2TEBp9LGjR3Ml7HNnz3GWWWnM41RERDwMIC/xuHX7Ni1dtozS&#10;0tM1BUEfyy0e8+fNozYiHkIu4I0gCwlVfDHH8OzpUzqjvJLFixZxIgfmyRDfh/egM62Ot7ya7jdB&#10;IFE6HYIRGRFBc2bP5gWY2F8F1wV9GxIRJGvKeIh4GEBe4oGOftXq1UbxPiBAe/bupYeq8UM8kMmF&#10;1GCsJt6TuTv7TATha5DaimwlrH/ADna7duzksvBpM2fSsKEpvGgOoSVURdB3HURZMAgFwltYNIvw&#10;F9bEDElMoulTptLyJUt5YSTWfGATJmzohDRfEYviQcTDAHKKR0DLlrzT2D7V0W/ZvIUmTJhAycnJ&#10;FB8fXyRLSkqiecrb2KW+B5OPvXv0ICd7e86M2bdnb/aZCMLXoKPMbfBMvv/+e95fBGKCyggoIY6O&#10;F7W1sIoamUcI9aBTRtgHE+eYQC/pkBfEAdlQ8CLgZWPthq+3Ny/ag1fRtlUrCu3WjRIHJ/D8xdYt&#10;WavoUb9KJxS5TSgeRDwMIKd4YBSEsAAWF2ElOFanotEjW6QohmNgchIbAyF+bWedVbICE5e7tu/I&#10;PhNBKBhkEMEjwYJAhLcQ90dq+Yvnz+nB/fu8YHDtmjUsKhPGjedFcu3btOH9ulG0EZPwMCxS5cWq&#10;OQwZUDC0zcIY3pv7GDAcH6KBiXPsptitc2dO0UXJlpnTZ7BHgWq4V65c4TUwOH9kSWH7Anjm4mGU&#10;PCIeBpBTPDBaixwYQTOmTeP0RaQA9uzeg0KCQ4pkqGuFMAM20Efp5xZ+zXgk2MLPjx92QTAGEBWE&#10;d7B26e7tO3Tl8hX2dJGKvnXzZl6ct2jBAja0cWy7PDwlhQ27W8ZGx3AoDJlVBRkmr+NjYr58HjZm&#10;5Cje7Aqpu5inQarv5o2baM/u3TxngayyG9dvcHo8vCcIBcRQKH1EPAwgrzkPrErFwr45agSnNY+h&#10;j2He5LR6cDC6+vmnn9QorB+5ODhSaHAwx7IFoaSBx4JFgjeuX2dDTSnsT4IV4PBcCjIspkXb1X0e&#10;hgWQeHbKY50tU0fEwwDyEg+Mjg4dOkTz1ShNSxD0MREPoayhy+zKafAEfv7pZw6HFWQ/KsP7c34e&#10;abPwfsSbKH+IeBhAXuKBOOzRo0dpwcKFmoKgj4l4CIJQlhHxMAARD0EQTB0RDwPIKR4ojIh9BCAc&#10;Ih6CIJgKIh4GgEVY586epYAWLTmdccb06Vxv6O3bt7zb2KJFizQFQR/LmDWLrl69mh1TFvEQBKFs&#10;IeJhAJjkw0Y6KP3QwLc+JScl8R4fSCW8fOUKLVm6VFMQ9LHZc+bQvXv3+PtQDE/EQxCEsoSIhwEg&#10;MwSZVe1at/lKPHD9sP/GsuXLNQVBHxPxEAShLCPiYSCY30CNoJzigT0B0OEvX7FCUxD0MREPQRDK&#10;MiIeBiLiIQiCKSPiYSAiHoIgmDIiHgaiJR7o5LG384qVKzUFQR8T8RAEoSwj4mEgWuKB+jzY2H/V&#10;qlWagqCPiXgIglCWEfEwEC3xQO0frAFZs3atpiDoYyIegiCUZUQ8DERLPADmPdatX68pCPrYnLlz&#10;6f79+5wW/EkJUr++fUU8BEEoM4h4GEhxise06dNp4cKFvBARm9zgu/r26kVuzs4U3rs3nTl9mr9L&#10;EAShtBDxMJDiFA/UtULoCyVPcE+w7wE208Ee5uNTx9GNGzf4uwRBEEoLEQ8DKU7xmDV7Nm3YuJGe&#10;PnvG+yBcuXyZQrp1I7/GTWj61Gm8il0QBKE0EfEwkPzEY+OmTRx60hKGwhgmyzdv2ULPX7wQ8RAE&#10;oUwi4mEgOvGoX8+XkhIT6e6du7wBP8QjMzOTBWDK1KkGGT67afNmevb8OX369IkuX7pEwV27ingI&#10;glBmEPEwkLdv3lBYSAh5urlTkH8AjRg2jNJmzKCpkyZRZEQEhQaHUOdOnQyyYOVl9AsPp7GjRtPk&#10;iRNpSGIS1fepJ+IhCEKZQcTDQN69e0dRgwaRm5MzmdesxX/W9/HhSW0vJSiujk7kZO9gkDk7OJK7&#10;iysLhq+XNzna2pFFbTNq1qQppc+YSXfv3s0+C0EQhNJBxMNAsHfH2NFjqEnDRuSsOvxJykM4dPAg&#10;Xbp4iZYtW0bjx4+n5OQhBtmoUaMoI2MWHTl8hHbt3EmD4+KonpcXBbb0p+XLltOTx4+zz0IQBKF0&#10;EPEwEKz63r5tG4X37kOOdnaUODiBjhw5wnMehw4fpkWLF2tOhhfGsEBQN2F+4vgJ6tq5M3l7eFKf&#10;nj3p/Pnz9MPHH7LPQhAEoXQQ8TAQ7CaIOlZTp0zhMFPzpn40b85cvqDGEo+nT5/Sti1bydrSktyd&#10;XWjk8BH04+cfeWJeEAShNBHxMBB04L/99htt3ryZ2rRqTW6qc08dM5ZTa40hHkj3xcT42jVryMay&#10;LrXwa0bpM2eyxyMIglDaiHgUkb179lDXzl3IwcaWhqcMM4p4zJs/n3bu3EnXr12jJYsWk21dKwru&#10;0pVWrVzJlXsFQRBKGxGPIqIlHoePHCmSeCxesoQOHjzI6zvmzZlDdlbWNLD/ANq5Yyd7O4IgCKWN&#10;iEcRyS0euIanTp+mlUXY02PpsmV07OhRunLlylfisUvEQxCEMoKIRxHJLR7ItkJG1Jo1azSFoTCG&#10;VN/jx4/T1atXRTwEQSiTiHgUkT27d1OXTp2/8jwuXLhQpA2hRDwEQSjriHgUkd2ZmdSpfQeyt7b5&#10;Mudx9NgxWrJ06bfCkKuGFf79zXuUiXgIglDWEfEoIhCPju3afyUeWtlWk6dMoXHjxtHYsWO/WGpq&#10;Kk2YOJH/L+d7RTwEQSjriHgUkSzxaJeveEAcUK4kISGBoqOjKTY2lm3w4MGUkpJC4ydMEPEQBKFc&#10;IeJRRAojHuOUcCQmJlKrwCBq2qQJtW3ThoICAql1q1bUtUsXFhARD0EQyhMiHkWkMOKROm4cxcXF&#10;UcsWLclfWZ8+fSg0JITatW1LrYKCKCk5WcRDEIRyhYhHESmseCBE1bFDB+rVqxeHsUaMGEHh4eHs&#10;hYh4CIJQ3hDxKCIiHoIgmCIiHkWkOMRjxcqVdObsWa5tJeIhCEJZRMSjiPAK806deJHg0OQh9OHD&#10;Bzpw8GCRxGP16tV0RXkd15R4zEpP58KIgwZG0O5dmSIegiCUCUQ8isiJ48cpOjKKt6GNUX/eunmT&#10;MpU3UhTxWLd+Pd26dYtOnjzJZd4hHskJiXTs6DH6/fffs79ZEASh9BDxKCLnz53ncJWXuwdFKu/g&#10;0sWLtGvXriKJx4YNG3gvjwMHDtDQIUM4bAURQZXdf/3rX9nfLAiCUHqIeBQRdOjo2H08vYwuHqib&#10;lag+B/GYOX063bt7l/7888/sbxYEQSg9RDyKiIiHIAimiIhHESmMeIwaPZrLknTu3Jn69u0r4iEI&#10;QrlHxKOIFEY8hiuh6NevHwUHB1NERISIhyAI5R4RjyJSGPEYNmwYexw9evSg6JgYEQ9BEMo9Ih5F&#10;pDDikaLEA/WsevfuzTWuRDwEQSjviHgUkaKIB7wRVNZNTEoS8RAEoVwh4lFEDBUPTKL37tWbmvn5&#10;UXx8vIiHIAjlChGPImKoeGCPD4iHj5cXRUdFi3gIglCuEPEoIoaIh24Pc4iHk70DDYqIEPEQBKFc&#10;IeJRRAwRD93rIh6CIJRXRDyKSHGIx+YtW+jJkycsHnExsSIegiCUOUQ8ikhxiMdO9fnvv/+edu7Y&#10;yft4QDzSZ6bRgwcPRDwEQSgTiHgUkdzigX/v2bOHli5d+kUM9BUPiA/2BVm+dBl16diJbJV4rFix&#10;ggXlP//+d/Y3C4IglB4iHkXk5o0blDZjJjWo50t9evaiQwcP0r59+2j1mjVfxMAQ8Xj//j3NmzuX&#10;2gS1YvHYsnkz/fHHH/Tf//43+5sFQRBKDxGPIvLk8RNat2Yt+TVuQp07dqRVK1fyPhybVGevE4Oi&#10;ioedtQ2HsCAcIh6CIJQFRDyKyMsXL2nb1q3Uwq/ZF/E4qLwPTHrrxMAY4rFr567sbxQEQSh9RDyK&#10;yOtXr1THvpNaNmuep3gMGTKEiyJCPHKuJhfxEAShvCLiUUQKIx4JCQnUtWtX9j6SctSxEvEQBKG8&#10;IuJRRAojHghVtWvblvr370/Dhg//8rqIhyAI5RURjyKiJR6HDh2iLTrxmDqVYmJiqHXr1rwR1KhR&#10;o76IhJZ4TFOWmZkp4iEIQplGxKOIaInHsWPHaKd6bfr06TRNWWxsLLXJFo/Ro0fzazDMgWSJx6Av&#10;r6Wnp3OqL9Z5iHgIglBWEfEoIrnFY+3atXT//n26e/cuLxbEanF4H6EhITR27Fhavnw5CwssZehQ&#10;cndxpQnjx3957dSpU/T48WP64YcfRDwEQSiziHgUkdzisWH9enr9+jV9/vyZHj16RPfu3aO1a9bQ&#10;oIERtHjRIjp54gS/BstIS6N6Xt60fNmyL6+9ffuWfvnlF/68iIcgCGUVEY8iklM82rdty0LwQHke&#10;nz59Yu/h48ePtHtXJsXHxtGmDRvp9q1b/Bps2ZIlvDId60R0r+FzEI5X6rhYuR7Y0p9rW4l4CIJQ&#10;lhDxKCI5xQP1rfr26k2TJ06ieXPmss2dM4eSEhKpVUAgRUdF0cQJE778X0T/AeTs4EiD4+K/vKYz&#10;CEdocAh5uLiSTV0rEQ9BEMoUIh5FBN4CQlFtAoPIwcaWmjZsxGIAAZk2ZSpNnzqNRo0YSdGRUTQs&#10;JYUmjBvPr8GGDR1K4b370KjhI768BpswfgIlJSZR00aNyd7ahur71KMD+/dnf6MgCELpI+JRRFBr&#10;6sXzF9Srew9ysrOn+t4+ynOYQ6dOnqTr167RjevX+c9rynT/1hleu3b16jevHz1yhL0PeDPwPCAw&#10;58+dy/5GQRCE0kfEwwigVDrCTPA+kHqbEB/PGzl9+uEH+vHz50Lb50+fOEV3d2YmhQYHc0gryN+f&#10;Vq1YQU+fPMn+NkEQhNJHxMMI/Prrr8rTOEVDkpLJWYkH5jfGp6bSyRMn2WO4cOFCoez8+fN0+PBh&#10;Tt31cHUlbw8PDoHdvHmTb5QgCEJZQcTDCPz3P/+hP37/nTZt2EDNGjdh7wNZVGEhodQ/vB9FRgwq&#10;lCGdF5s/NarfgEUIk+8b129gcfqP+g5BEISygoiHkcDcB1J0Vy5fzkKA+QoXRyees/B0cy+0ebi6&#10;UUu/ZhQ9KJK2b91Gz54+o3/L7oGCIJQxRDyMBMQDHsKLFy84dXfyxIk0QHkd+lpMZBRNmjCBMnfu&#10;4rUegiAIZRERDyOC0BK8hN9++41+UtcSE+Z626dP/FkcQzwOQRDKKiIegiAIgt6IeAiCIAh6I+Ih&#10;CIIg6I2IhyAIgqA3Ih6CIAiC3oh4CIIgCHoj4iEIgiDojYiHIAiCoDciHoIgCILeiHgIgiAIeiPi&#10;IQiCIOiNiIcgCIKgNyIegiAIgt6IeAiCIAh6I+IhCIIg6I2IhyAIgqA3Ih6CIAiC3oh4CIIgCHoj&#10;4iEIgiDojYiHIAiCoDciHoIgCILeiHgIgiAIeiPiIQiCIOiNiIcgCIKgNyIegiAIgt6IeAiCIAh6&#10;85V4vHr1il8QExMTExPLz6AXOvE4nf0XMTExMTGxQtj/O/P/AWs/Spftxr7yAAAAAElFTkSuQmCC&#10;UEsDBBQABgAIAAAAIQA3B+Yw3QAAAAYBAAAPAAAAZHJzL2Rvd25yZXYueG1sTI/BTsMwEETvSPyD&#10;tUjcWscNFBTiVFUFnCokWiTEzY23SdR4HcVukv492xMcZ2c08zZfTa4VA/ah8aRBzRMQSKW3DVUa&#10;vvZvs2cQIRqypvWEGi4YYFXc3uQms36kTxx2sRJcQiEzGuoYu0zKUNboTJj7Dom9o++diSz7Stre&#10;jFzuWrlIkqV0piFeqE2HmxrL0+7sNLyPZlyn6nXYno6by8/+8eN7q1Dr+7tp/QIi4hT/wnDFZ3Qo&#10;mOngz2SDaDXMUg5ez4LNxVLxYwcN6cOTAlnk8j9+8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4h5HTigMAAAwIAAAOAAAAAAAAAAAAAAAAADoCAABkcnMvZTJv&#10;RG9jLnhtbFBLAQItAAoAAAAAAAAAIQADqv2O8ZEAAPGRAAAUAAAAAAAAAAAAAAAAAPAFAABkcnMv&#10;bWVkaWEvaW1hZ2UxLnBuZ1BLAQItABQABgAIAAAAIQA3B+Yw3QAAAAYBAAAPAAAAAAAAAAAAAAAA&#10;ABOYAABkcnMvZG93bnJldi54bWxQSwECLQAUAAYACAAAACEAqiYOvrwAAAAhAQAAGQAAAAAAAAAA&#10;AAAAAAAdmQAAZHJzL19yZWxzL2Uyb0RvYy54bWwucmVsc1BLBQYAAAAABgAGAHwBAAAQmgAAAAA=&#10;">
                      <v:shape id="그림 80" o:spid="_x0000_s1201"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CuwAAAANsAAAAPAAAAZHJzL2Rvd25yZXYueG1sRE/LagIx&#10;FN0L/YdwC91pxhbEjsZBCqWKSNGq60tyOzN0cjMkcR5/3ywKXR7Oe10MthEd+VA7VjCfZSCItTM1&#10;lwouX+/TJYgQkQ02jknBSAGKzcNkjblxPZ+oO8dSpBAOOSqoYmxzKYOuyGKYuZY4cd/OW4wJ+lIa&#10;j30Kt418zrKFtFhzaqiwpbeK9M/5bhXogx8/r/u69x+jflm83o7B8lGpp8dhuwIRaYj/4j/3zihY&#10;pvXpS/oBcvMLAAD//wMAUEsBAi0AFAAGAAgAAAAhANvh9svuAAAAhQEAABMAAAAAAAAAAAAAAAAA&#10;AAAAAFtDb250ZW50X1R5cGVzXS54bWxQSwECLQAUAAYACAAAACEAWvQsW78AAAAVAQAACwAAAAAA&#10;AAAAAAAAAAAfAQAAX3JlbHMvLnJlbHNQSwECLQAUAAYACAAAACEAXjSArsAAAADbAAAADwAAAAAA&#10;AAAAAAAAAAAHAgAAZHJzL2Rvd25yZXYueG1sUEsFBgAAAAADAAMAtwAAAPQCAAAAAA==&#10;">
                        <v:imagedata r:id="rId101" o:title=""/>
                      </v:shape>
                      <v:shape id="Text Box 81" o:spid="_x0000_s1202"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vaxQAAANsAAAAPAAAAZHJzL2Rvd25yZXYueG1sRI9BawIx&#10;FITvBf9DeIKXUrNaEVmNIqLQepFuvXh7bJ6bbTcvS5LV7b83hUKPw8x8w6w2vW3EjXyoHSuYjDMQ&#10;xKXTNVcKzp+HlwWIEJE1No5JwQ8F2KwHTyvMtbvzB92KWIkE4ZCjAhNjm0sZSkMWw9i1xMm7Om8x&#10;JukrqT3eE9w2cpplc2mx5rRgsKWdofK76KyC0+xyMs/ddX/czl79+7nbzb+qQqnRsN8uQUTq43/4&#10;r/2mFSwm8Psl/QC5fgAAAP//AwBQSwECLQAUAAYACAAAACEA2+H2y+4AAACFAQAAEwAAAAAAAAAA&#10;AAAAAAAAAAAAW0NvbnRlbnRfVHlwZXNdLnhtbFBLAQItABQABgAIAAAAIQBa9CxbvwAAABUBAAAL&#10;AAAAAAAAAAAAAAAAAB8BAABfcmVscy8ucmVsc1BLAQItABQABgAIAAAAIQCRN6vaxQAAANsAAAAP&#10;AAAAAAAAAAAAAAAAAAcCAABkcnMvZG93bnJldi54bWxQSwUGAAAAAAMAAwC3AAAA+QIAAAAA&#10;" stroked="f">
                        <v:textbox style="mso-fit-shape-to-text:t" inset="0,0,0,0">
                          <w:txbxContent>
                            <w:p w14:paraId="32A024E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v:textbox>
                      </v:shape>
                      <w10:wrap type="square"/>
                    </v:group>
                  </w:pict>
                </mc:Fallback>
              </mc:AlternateContent>
            </w:r>
          </w:p>
          <w:p w14:paraId="28C4A43C" w14:textId="77777777" w:rsidR="00094D21" w:rsidRPr="008F328C" w:rsidRDefault="00094D21" w:rsidP="008E70FE">
            <w:pPr>
              <w:pStyle w:val="a3"/>
              <w:numPr>
                <w:ilvl w:val="0"/>
                <w:numId w:val="125"/>
              </w:numPr>
              <w:ind w:leftChars="100" w:left="580"/>
              <w:rPr>
                <w:b/>
                <w:lang w:val="pl-PL"/>
              </w:rPr>
            </w:pPr>
            <w:r w:rsidRPr="008F328C">
              <w:rPr>
                <w:rFonts w:eastAsia="Times New Roman"/>
                <w:b/>
                <w:bCs/>
                <w:lang w:val="pl-PL"/>
              </w:rPr>
              <w:t>Sprawdzić ampułko-strzykawkę</w:t>
            </w:r>
          </w:p>
          <w:p w14:paraId="1ADD5157" w14:textId="77777777" w:rsidR="00094D21" w:rsidRPr="008F328C" w:rsidRDefault="00094D21" w:rsidP="008A03B2">
            <w:pPr>
              <w:pStyle w:val="a3"/>
              <w:numPr>
                <w:ilvl w:val="0"/>
                <w:numId w:val="0"/>
              </w:numPr>
              <w:ind w:left="580"/>
              <w:rPr>
                <w:lang w:val="pl-PL"/>
              </w:rPr>
            </w:pPr>
          </w:p>
          <w:p w14:paraId="37862B48" w14:textId="77777777" w:rsidR="00094D21" w:rsidRPr="008F328C" w:rsidRDefault="00094D21" w:rsidP="008A03B2">
            <w:pPr>
              <w:pStyle w:val="a3"/>
              <w:ind w:left="3577" w:hanging="337"/>
              <w:rPr>
                <w:lang w:val="pl-PL" w:eastAsia="ko-KR"/>
              </w:rPr>
            </w:pPr>
            <w:r w:rsidRPr="008F328C">
              <w:rPr>
                <w:rFonts w:eastAsia="Times New Roman"/>
                <w:b/>
                <w:bCs/>
                <w:lang w:val="pl-PL" w:eastAsia="ko-KR"/>
              </w:rPr>
              <w:t>a</w:t>
            </w:r>
            <w:r w:rsidRPr="008F328C">
              <w:rPr>
                <w:rFonts w:eastAsia="Times New Roman"/>
                <w:lang w:val="pl-PL" w:eastAsia="ko-KR"/>
              </w:rPr>
              <w:t xml:space="preserve">. Upewnić się, że zawiera ona odpowiedni lek (Yuflyma) i dawkę. </w:t>
            </w:r>
          </w:p>
          <w:p w14:paraId="3137373C" w14:textId="77777777" w:rsidR="00094D21" w:rsidRPr="008F328C" w:rsidRDefault="00094D21" w:rsidP="008A03B2">
            <w:pPr>
              <w:pStyle w:val="a3"/>
              <w:ind w:left="3490" w:hanging="250"/>
              <w:rPr>
                <w:lang w:val="pl-PL" w:eastAsia="ko-KR"/>
              </w:rPr>
            </w:pPr>
            <w:r w:rsidRPr="008F328C">
              <w:rPr>
                <w:rFonts w:eastAsia="Times New Roman"/>
                <w:b/>
                <w:bCs/>
                <w:lang w:val="pl-PL" w:eastAsia="ko-KR"/>
              </w:rPr>
              <w:t>b</w:t>
            </w:r>
            <w:r w:rsidRPr="008F328C">
              <w:rPr>
                <w:rFonts w:eastAsia="Times New Roman"/>
                <w:lang w:val="pl-PL" w:eastAsia="ko-KR"/>
              </w:rPr>
              <w:t xml:space="preserve">. Obejrzeć ampułko-strzykawkę i upewnić się, że nie jest pęknięta lub uszkodzona. </w:t>
            </w:r>
          </w:p>
          <w:p w14:paraId="2E4EB69D" w14:textId="77777777" w:rsidR="00094D21" w:rsidRPr="008F328C" w:rsidRDefault="00094D21" w:rsidP="008A03B2">
            <w:pPr>
              <w:pStyle w:val="a3"/>
              <w:ind w:left="3577" w:hanging="337"/>
              <w:rPr>
                <w:lang w:val="pl-PL" w:eastAsia="ko-KR"/>
              </w:rPr>
            </w:pPr>
            <w:r w:rsidRPr="008F328C">
              <w:rPr>
                <w:rFonts w:eastAsia="Times New Roman"/>
                <w:noProof/>
                <w:sz w:val="20"/>
                <w:szCs w:val="20"/>
                <w:lang w:eastAsia="ko-KR"/>
              </w:rPr>
              <mc:AlternateContent>
                <mc:Choice Requires="wps">
                  <w:drawing>
                    <wp:anchor distT="0" distB="0" distL="114300" distR="114300" simplePos="0" relativeHeight="251658338" behindDoc="0" locked="0" layoutInCell="1" allowOverlap="1" wp14:anchorId="7162A6B0" wp14:editId="70A1A452">
                      <wp:simplePos x="0" y="0"/>
                      <wp:positionH relativeFrom="column">
                        <wp:posOffset>748665</wp:posOffset>
                      </wp:positionH>
                      <wp:positionV relativeFrom="paragraph">
                        <wp:posOffset>104775</wp:posOffset>
                      </wp:positionV>
                      <wp:extent cx="763905" cy="13716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763905"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346537" w14:textId="77777777" w:rsidR="006D7011" w:rsidRPr="00120AE9" w:rsidRDefault="006D7011" w:rsidP="00094D21">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2A6B0" id="Text Box 82" o:spid="_x0000_s1203" type="#_x0000_t202" style="position:absolute;left:0;text-align:left;margin-left:58.95pt;margin-top:8.25pt;width:60.15pt;height:10.8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8+FcgIAAF4FAAAOAAAAZHJzL2Uyb0RvYy54bWysVN9P2zAQfp+0/8Hy+0gLooyKFHUgpkkI&#10;EGXi2XXs1prj885uk+6v39lJWsZ4YdqLc/b9/vLdXVy2tWVbhcGAK/n4aMSZchIq41Yl//508+kz&#10;ZyEKVwkLTpV8pwK/nH38cNH4qTqGNdhKIaMgLkwbX/J1jH5aFEGuVS3CEXjlSKkBaxHpiquiQtFQ&#10;9NoWx6PRpGgAK48gVQj0et0p+SzH11rJeK91UJHZklNtMZ+Yz2U6i9mFmK5Q+LWRfRniH6qohXGU&#10;dB/qWkTBNmj+ClUbiRBAxyMJdQFaG6lyD9TNePSqm8VaeJV7IXCC38MU/l9Yebdd+Adksf0CLf3A&#10;BEjjwzTQY+qn1VinL1XKSE8Q7vawqTYySY9nk5Pz0SlnklTjk7PxJMNaHJw9hvhVQc2SUHKkv5LB&#10;EtvbECkhmQ4mKVcAa6obY22+JCaoK4tsK+gfLle5RPL4w8o61pR8cnI6yoEdJPcusnUpjMpc6NMd&#10;GsxS3FmVbKx7VJqZKvf5Rm4hpXJxyJ+tk5WmVO9x7O0PVb3HueuDPHJmcHHvXBsHmLvPw3OArPox&#10;lKw7ewL8Rd9JjO2ypcZLfj4ZCLCEake8QOhGJnh5Y+jv3YoQHwTSjBAVaO7jPR3aAqEPvcTZGvDX&#10;W+/JnqhLWs4amrmSh58bgYoz+80RqdOADgIOwnIQ3Ka+AqLAmDaKl1kkB4x2EDVC/UzrYJ6ykEo4&#10;SblKLiMOl6vYzT4tFKnm82xGg+hFvHULL1PwBGxi41P7LND3lI3E9TsY5lFMXzG3s02eDuabCNpk&#10;WidoOxx7yGmIM9v7hZO2xMt7tjqsxdlvAAAA//8DAFBLAwQUAAYACAAAACEAKRz7XNwAAAAJAQAA&#10;DwAAAGRycy9kb3ducmV2LnhtbEyP3U6DQBBG7018h82YeGeXnxQpZWmq0cRbqg+wwAhUdhbZLeDb&#10;O17Zu/kyJ9+cyQ+rGcSMk+stKQg3AQik2jY9tQo+3l8fUhDOa2r0YAkV/KCDQ3F7k+ussQuVOJ98&#10;K7iEXKYVdN6PmZSu7tBot7EjEu8+7WS05zi1spn0wuVmkFEQJNLonvhCp0d87rD+Ol2MghnLrtye&#10;n1520SKPlX4j+k5ipe7v1uMehMfV/8Pwp8/qULBTZS/UODFwDh93jPKQbEEwEMVpBKJSEKchyCKX&#10;1x8UvwAAAP//AwBQSwECLQAUAAYACAAAACEAtoM4kv4AAADhAQAAEwAAAAAAAAAAAAAAAAAAAAAA&#10;W0NvbnRlbnRfVHlwZXNdLnhtbFBLAQItABQABgAIAAAAIQA4/SH/1gAAAJQBAAALAAAAAAAAAAAA&#10;AAAAAC8BAABfcmVscy8ucmVsc1BLAQItABQABgAIAAAAIQBM68+FcgIAAF4FAAAOAAAAAAAAAAAA&#10;AAAAAC4CAABkcnMvZTJvRG9jLnhtbFBLAQItABQABgAIAAAAIQApHPtc3AAAAAkBAAAPAAAAAAAA&#10;AAAAAAAAAMwEAABkcnMvZG93bnJldi54bWxQSwUGAAAAAAQABADzAAAA1QUAAAAA&#10;" fillcolor="white [3212]" stroked="f" strokeweight=".5pt">
                      <v:textbox inset="0,0,0,0">
                        <w:txbxContent>
                          <w:p w14:paraId="5D346537" w14:textId="77777777" w:rsidR="006D7011" w:rsidRPr="00120AE9" w:rsidRDefault="006D7011" w:rsidP="00094D21">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v:textbox>
                    </v:shape>
                  </w:pict>
                </mc:Fallback>
              </mc:AlternateContent>
            </w:r>
            <w:r w:rsidRPr="008F328C">
              <w:rPr>
                <w:rFonts w:eastAsia="Times New Roman"/>
                <w:b/>
                <w:bCs/>
                <w:lang w:val="pl-PL" w:eastAsia="ko-KR"/>
              </w:rPr>
              <w:t>c</w:t>
            </w:r>
            <w:r w:rsidRPr="008F328C">
              <w:rPr>
                <w:rFonts w:eastAsia="Times New Roman"/>
                <w:lang w:val="pl-PL" w:eastAsia="ko-KR"/>
              </w:rPr>
              <w:t xml:space="preserve">. Sprawdzić termin ważności na etykiecie ampułko-strzykawki. </w:t>
            </w:r>
          </w:p>
          <w:p w14:paraId="1CC07942" w14:textId="77777777" w:rsidR="00094D21" w:rsidRPr="008F328C" w:rsidRDefault="00094D21" w:rsidP="008A03B2">
            <w:pPr>
              <w:pStyle w:val="Default"/>
              <w:rPr>
                <w:rFonts w:ascii="Times New Roman" w:hAnsi="Times New Roman" w:cs="Times New Roman"/>
                <w:lang w:val="pl-PL"/>
              </w:rPr>
            </w:pPr>
          </w:p>
          <w:p w14:paraId="1EF892C0" w14:textId="77777777" w:rsidR="00094D21" w:rsidRPr="008F328C" w:rsidRDefault="00094D21" w:rsidP="008A03B2">
            <w:pPr>
              <w:pStyle w:val="a3"/>
              <w:numPr>
                <w:ilvl w:val="0"/>
                <w:numId w:val="0"/>
              </w:numPr>
              <w:rPr>
                <w:b/>
                <w:lang w:val="pl-PL" w:eastAsia="ko-KR"/>
              </w:rPr>
            </w:pPr>
          </w:p>
          <w:p w14:paraId="412284F3" w14:textId="77777777" w:rsidR="00094D21" w:rsidRPr="008F328C" w:rsidRDefault="00094D21" w:rsidP="008A03B2">
            <w:pPr>
              <w:pStyle w:val="a3"/>
              <w:numPr>
                <w:ilvl w:val="0"/>
                <w:numId w:val="0"/>
              </w:numPr>
              <w:rPr>
                <w:lang w:val="pl-PL" w:eastAsia="ko-KR"/>
              </w:rPr>
            </w:pPr>
            <w:r w:rsidRPr="008F328C">
              <w:rPr>
                <w:rFonts w:eastAsia="Times New Roman"/>
                <w:b/>
                <w:bCs/>
                <w:lang w:val="pl-PL" w:eastAsia="ko-KR"/>
              </w:rPr>
              <w:t>Nie używać</w:t>
            </w:r>
            <w:r w:rsidRPr="008F328C">
              <w:rPr>
                <w:rFonts w:eastAsia="Times New Roman"/>
                <w:lang w:val="pl-PL" w:eastAsia="ko-KR"/>
              </w:rPr>
              <w:t xml:space="preserve"> ampułko-strzykawki, jeżeli:</w:t>
            </w:r>
          </w:p>
          <w:p w14:paraId="645336C4" w14:textId="77777777" w:rsidR="00094D21" w:rsidRPr="008F328C" w:rsidRDefault="00094D21" w:rsidP="008A03B2">
            <w:pPr>
              <w:pStyle w:val="a3"/>
              <w:numPr>
                <w:ilvl w:val="2"/>
                <w:numId w:val="39"/>
              </w:numPr>
              <w:rPr>
                <w:lang w:val="pl-PL" w:eastAsia="ko-KR"/>
              </w:rPr>
            </w:pPr>
            <w:r w:rsidRPr="008F328C">
              <w:rPr>
                <w:rFonts w:eastAsia="Times New Roman"/>
                <w:lang w:val="pl-PL" w:eastAsia="ko-KR"/>
              </w:rPr>
              <w:t xml:space="preserve">jest pęknięta lub uszkodzona. </w:t>
            </w:r>
          </w:p>
          <w:p w14:paraId="6768EAE5" w14:textId="77777777" w:rsidR="00094D21" w:rsidRPr="008F328C" w:rsidRDefault="00094D21" w:rsidP="008A03B2">
            <w:pPr>
              <w:pStyle w:val="a3"/>
              <w:numPr>
                <w:ilvl w:val="2"/>
                <w:numId w:val="39"/>
              </w:numPr>
              <w:ind w:hanging="567"/>
              <w:rPr>
                <w:lang w:val="pl-PL" w:eastAsia="ko-KR"/>
              </w:rPr>
            </w:pPr>
            <w:r w:rsidRPr="008F328C">
              <w:rPr>
                <w:rFonts w:eastAsia="Times New Roman"/>
                <w:lang w:val="pl-PL" w:eastAsia="ko-KR"/>
              </w:rPr>
              <w:t xml:space="preserve">upłynął termin ważności. </w:t>
            </w:r>
          </w:p>
          <w:p w14:paraId="1F7F732E" w14:textId="77727669" w:rsidR="009278CA" w:rsidRPr="008F328C" w:rsidRDefault="009278CA" w:rsidP="008A03B2">
            <w:pPr>
              <w:pStyle w:val="a3"/>
              <w:numPr>
                <w:ilvl w:val="2"/>
                <w:numId w:val="39"/>
              </w:numPr>
              <w:ind w:hanging="567"/>
              <w:rPr>
                <w:lang w:val="pl-PL" w:eastAsia="ko-KR"/>
              </w:rPr>
            </w:pPr>
            <w:r w:rsidRPr="008F328C">
              <w:rPr>
                <w:lang w:val="pl-PL"/>
              </w:rPr>
              <w:t>została upuszczona na twardą powierzchnię.</w:t>
            </w:r>
          </w:p>
          <w:p w14:paraId="3F085066" w14:textId="77777777" w:rsidR="00094D21" w:rsidRPr="008F328C" w:rsidRDefault="00094D21" w:rsidP="008A03B2">
            <w:pPr>
              <w:pStyle w:val="Default"/>
              <w:rPr>
                <w:rFonts w:ascii="Times New Roman" w:hAnsi="Times New Roman" w:cs="Times New Roman"/>
                <w:color w:val="211D1E"/>
                <w:sz w:val="20"/>
                <w:szCs w:val="20"/>
                <w:lang w:val="pl-PL"/>
              </w:rPr>
            </w:pPr>
          </w:p>
          <w:p w14:paraId="3D012089" w14:textId="77777777" w:rsidR="00094D21" w:rsidRPr="008F328C" w:rsidRDefault="00094D21" w:rsidP="008A03B2">
            <w:pPr>
              <w:ind w:right="1248"/>
              <w:rPr>
                <w:rFonts w:ascii="Times New Roman" w:eastAsia="Times New Roman" w:hAnsi="Times New Roman" w:cs="Times New Roman"/>
                <w:b/>
                <w:bCs/>
                <w:lang w:val="pl-PL"/>
              </w:rPr>
            </w:pPr>
          </w:p>
        </w:tc>
      </w:tr>
      <w:tr w:rsidR="00094D21" w:rsidRPr="008F328C" w14:paraId="0B9A2AE7" w14:textId="77777777" w:rsidTr="008A03B2">
        <w:trPr>
          <w:trHeight w:val="5669"/>
        </w:trPr>
        <w:tc>
          <w:tcPr>
            <w:tcW w:w="9634" w:type="dxa"/>
          </w:tcPr>
          <w:p w14:paraId="06D03C77" w14:textId="77777777" w:rsidR="00094D21" w:rsidRPr="008F328C" w:rsidRDefault="00094D21" w:rsidP="008A03B2">
            <w:pPr>
              <w:pStyle w:val="a3"/>
              <w:rPr>
                <w:lang w:val="pl-PL" w:eastAsia="ko-KR"/>
              </w:rPr>
            </w:pPr>
          </w:p>
          <w:p w14:paraId="7DAC6064" w14:textId="77777777" w:rsidR="00094D21" w:rsidRPr="008F328C" w:rsidRDefault="00094D21" w:rsidP="008A03B2">
            <w:pPr>
              <w:pStyle w:val="a3"/>
              <w:rPr>
                <w:lang w:val="pl-PL"/>
              </w:rPr>
            </w:pPr>
          </w:p>
          <w:p w14:paraId="58FAE140" w14:textId="77777777" w:rsidR="00094D21" w:rsidRPr="008F328C" w:rsidRDefault="00094D21" w:rsidP="008E70FE">
            <w:pPr>
              <w:pStyle w:val="a3"/>
              <w:numPr>
                <w:ilvl w:val="0"/>
                <w:numId w:val="125"/>
              </w:numPr>
              <w:rPr>
                <w:b/>
                <w:lang w:val="pl-PL"/>
              </w:rPr>
            </w:pPr>
            <w:r w:rsidRPr="008F328C">
              <w:rPr>
                <w:rFonts w:eastAsia="Times New Roman"/>
                <w:b/>
                <w:bCs/>
                <w:lang w:val="pl-PL"/>
              </w:rPr>
              <w:t>Sprawdzić lek</w:t>
            </w:r>
          </w:p>
          <w:p w14:paraId="2BA03715" w14:textId="65A6CA81" w:rsidR="00094D21" w:rsidRPr="008F328C" w:rsidRDefault="00094D21" w:rsidP="008A03B2">
            <w:pPr>
              <w:ind w:right="1248"/>
              <w:rPr>
                <w:rFonts w:ascii="Times New Roman" w:eastAsia="Times New Roman" w:hAnsi="Times New Roman" w:cs="Times New Roman"/>
                <w:b/>
                <w:bCs/>
                <w:lang w:val="pl-PL"/>
              </w:rPr>
            </w:pPr>
            <w:r w:rsidRPr="008F328C">
              <w:rPr>
                <w:rFonts w:ascii="Times New Roman" w:eastAsia="Times New Roman" w:hAnsi="Times New Roman" w:cs="Times New Roman"/>
                <w:b/>
                <w:bCs/>
                <w:noProof/>
                <w:lang w:eastAsia="ko-KR"/>
              </w:rPr>
              <mc:AlternateContent>
                <mc:Choice Requires="wpg">
                  <w:drawing>
                    <wp:anchor distT="0" distB="0" distL="114300" distR="114300" simplePos="0" relativeHeight="251658315" behindDoc="0" locked="0" layoutInCell="1" allowOverlap="1" wp14:anchorId="0429DDB2" wp14:editId="2C34AE42">
                      <wp:simplePos x="0" y="0"/>
                      <wp:positionH relativeFrom="column">
                        <wp:posOffset>150495</wp:posOffset>
                      </wp:positionH>
                      <wp:positionV relativeFrom="paragraph">
                        <wp:posOffset>40005</wp:posOffset>
                      </wp:positionV>
                      <wp:extent cx="2171700" cy="2838450"/>
                      <wp:effectExtent l="19050" t="19050" r="19050" b="0"/>
                      <wp:wrapSquare wrapText="bothSides"/>
                      <wp:docPr id="83" name="그룹 83"/>
                      <wp:cNvGraphicFramePr/>
                      <a:graphic xmlns:a="http://schemas.openxmlformats.org/drawingml/2006/main">
                        <a:graphicData uri="http://schemas.microsoft.com/office/word/2010/wordprocessingGroup">
                          <wpg:wgp>
                            <wpg:cNvGrpSpPr/>
                            <wpg:grpSpPr>
                              <a:xfrm>
                                <a:off x="0" y="0"/>
                                <a:ext cx="2171700" cy="2838450"/>
                                <a:chOff x="0" y="0"/>
                                <a:chExt cx="2171700" cy="2838450"/>
                              </a:xfrm>
                            </wpg:grpSpPr>
                            <pic:pic xmlns:pic="http://schemas.openxmlformats.org/drawingml/2006/picture">
                              <pic:nvPicPr>
                                <pic:cNvPr id="84" name="그림 84"/>
                                <pic:cNvPicPr>
                                  <a:picLocks noChangeAspect="1"/>
                                </pic:cNvPicPr>
                              </pic:nvPicPr>
                              <pic:blipFill>
                                <a:blip r:embed="rId102"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w="6350">
                                  <a:solidFill>
                                    <a:schemeClr val="tx1"/>
                                  </a:solidFill>
                                </a:ln>
                                <a:extLst>
                                  <a:ext uri="{53640926-AAD7-44D8-BBD7-CCE9431645EC}">
                                    <a14:shadowObscured xmlns:a14="http://schemas.microsoft.com/office/drawing/2010/main"/>
                                  </a:ext>
                                </a:extLst>
                              </pic:spPr>
                            </pic:pic>
                            <wps:wsp>
                              <wps:cNvPr id="87" name="Text Box 87"/>
                              <wps:cNvSpPr txBox="1"/>
                              <wps:spPr>
                                <a:xfrm>
                                  <a:off x="1447800" y="2692400"/>
                                  <a:ext cx="719758" cy="146050"/>
                                </a:xfrm>
                                <a:prstGeom prst="rect">
                                  <a:avLst/>
                                </a:prstGeom>
                                <a:solidFill>
                                  <a:prstClr val="white"/>
                                </a:solidFill>
                                <a:ln>
                                  <a:noFill/>
                                </a:ln>
                              </wps:spPr>
                              <wps:txbx>
                                <w:txbxContent>
                                  <w:p w14:paraId="4F048325"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429DDB2" id="그룹 83" o:spid="_x0000_s1204" style="position:absolute;margin-left:11.85pt;margin-top:3.15pt;width:171pt;height:223.5pt;z-index:251658315;mso-height-relative:margin" coordsize="21717,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MA6jwMAADYIAAAOAAAAZHJzL2Uyb0RvYy54bWycVdtu2zgQfV9g/4HQ&#10;eyPbcWzHiFO4SRMUyLZGk0WfaYqyiEokl6QtZT9of2H3Yb9o9yd6hpLsOCnQy4PlITkczpw5h7x4&#10;3VQl20nnldGLZHgySJjUwmRKbxbJ7w83r2YJ84HrjJdGy0XyKH3y+vLXXy5qO5cjU5gyk44hiPbz&#10;2i6SIgQ7T1MvCllxf2Ks1FjMjat4wNBt0szxGtGrMh0NBpO0Ni6zzgjpPWav28XkMsbPcynChzz3&#10;MrBykSC3EL8uftf0TS8v+HzjuC2U6NLgP5FFxZXGoftQ1zxwtnXqRahKCWe8ycOJMFVq8lwJGWtA&#10;NcPBs2pundnaWMtmXm/sHiZA+wynnw4r3u9unb23KwckarsBFnFEtTS5q+gfWbImQva4h0w2gQlM&#10;jobT4XQAZAXWRrPT2fisA1UUQP7FPlG8/cbOtD84PUrHKjHHr8MA1gsMvs0V7ApbJ5MuSPVdMSru&#10;Pm/tK7TL8qDWqlThMVIPjaGk9G6lxMq1A8C5ckxli2Q2TpjmFSj/39///P/XvwwTgJh2kFO7hVNJ&#10;d0Z89kybq4LrjVx6C9JCSuSdHrvH4dF561LZG1WW1Cayu8pA8GcE+Qo4LfmujdhWUodWTU6WKNJo&#10;XyjrE+bmslpLVOPeZUP0GEoOqMg6pUMrHe/ER+QbZeSDk0EUfd6H3KgKD4qxdf2byRCAb4OJcvlx&#10;ik0mp7PRWQSnJwpQdD7cSlMxMpAtMorh+e7OU27gVO9CSGlDmMWcS83qRTI5BWtpxZtSZT2g8RKS&#10;V6VjO47rIzRtT468ELnUXaOoxM5ExSQn3Gm+7wlGL7ryQ7K9L7iVyJLCPuHZtOfZA2nyjWnYbErw&#10;dG4kbRYazHecovk20wN+ncKH4/F0RmImLU/OR2PYEaVe7dPh+fQMNzqJfTieDFqt7xV7QPk7G3EE&#10;N3VoD3ZdqCC7Lh95EdpPOtjjf6iKrNCsm6jC8z0Ua5M9AglnwA9U6K24UTjwjvuw4g53PibxjoUP&#10;+OSlASlMZyWsMO7Pr82TP3qK1YTVeEMWif9jy+mCKd9pdBshQ2+43lj3ht5WVwa8grCQTTSxwYWy&#10;N3Nnqk943pZ0Cpa4FjgLROzNq9C+ZHgehVwuo1N7T93pe4vbbRhJTcA+NJ+4s11bAvr53vR84vNn&#10;Mml9oxzsEkq9UVFDBGyLIkhOA3A7WvFxgnX0+j0dR6/Dc3/5BQAA//8DAFBLAwQKAAAAAAAAACEA&#10;G06OnEDdAQBA3QEAFAAAAGRycy9tZWRpYS9pbWFnZTEucG5niVBORw0KGgoAAAANSUhEUgAAAgoA&#10;AAKBCAIAAAC51BQZAAAAAXNSR0IArs4c6QAAAARnQU1BAACxjwv8YQUAAAAJcEhZcwAAIdUAACHV&#10;AQSctJ0AAP+lSURBVHhe7L0HnBTVuvb73fvdc/beboGZTpVjx+numc45TSJnEAQFAckgCJJzEERR&#10;tzlhFnPEjKJgAgRBJKPkODNMZnK+b1XNjAjsM+re5xxx1v/3UFRXd09VrVrrfda7KvT/aUIgEAgE&#10;4jKQPSAQCATiCiB7QCAQCMQVQPaAQCAQiCuA7AGBQCAQVwDZAwKBQCCuALIHBAKBQFwBZA8IBAKB&#10;uALIHhAIBAJxBZA9IBAIBOIKIHtAIBAIxBVA9oBAIBCIK4DsAYFAIBBXANkDAoFAIK4AsgcEAoFA&#10;XAFkDwgEAoG4AsgeEAgEAnEFkD0gEAgE4goge0AgEAjEFUD2gEAgEIgrgOwBgUAgEFcA2QMCgUAg&#10;rgCyBwQCgUBcAWQPCAQCgbgCyB4QCAQCcQWQPSAQCATiCiB7QCAQCMQVQPaAQCAQiCuA7AGBQCAQ&#10;VwDZAwKBQCCuALIHBAKBQFwBZA8IBAKBuALIHhAIBAJxBZA9IBAIBOIKIHtAIBAIxBVA9oBAIBCI&#10;K9Cu7aGuqbaqqQJU3VRZ01QFqmuqrmuqaWiqa4Q3m+qbmhqaGhubGpvqG5pq65vqFMlv18tqkD5x&#10;qeBr8Jb0sfqmWvhzsJq6X34A3pXeaqitq62tq6mtr6ltqKlrhDUoH4fNAFXWNZWDaiVVNG8xAoFA&#10;/E/Rru2htqmmsqkMVNVUXi2ZREVtU1V1Q0VVfXltXVVdfXVjQ11TIzhEU0NDsx9coouDfqsUe7hY&#10;YBUQ9cF5qmslVYFqYKahobG+vlm1kpo/VQl+ILvCBVCNpLLmLUYgEIj/Kdq1PUAcr2kRJAtKvgDR&#10;XHKExiZwhZZg39QIagCTkAJ5XV1DTU2dIpi/XPInmxqUwC8vqYfs4zKktbRIWpeUpVxmMy1CIBCI&#10;/2Hatz00NtW0SBpOUhKCVmNQIrTsG431jY2NDbIgiiufkGeuKOXdi9SC8hdkNTQ01DfU1TbVy/mJ&#10;sjr4Kqy9VUrmoQiBQCD+h2nX9tAajqWQ3hKjWy1BUm2zGmvrG+prQI0N8KI5zZBmLlNji5qXyJ+U&#10;ljTUNoDkP1JfV10Hqq1ufr/VHmqbGiCRuXgDWoVAIBD/s7R7e5AHglr775Kae+z1TXV1DTXVdVVV&#10;tZUVtdWVEM3raqtAtTWVNaDqiuorqaqyrKK8tKL8QmWFJHhZVVVeKS+Ulsgv4bvwR2prqmqqa2pr&#10;wDMgmYBNkbzhF/bQYk6SEAgE4n+Wdm0P0sDPxcagqL6hoa62rqqisrSo+PzZ3NPHzxz/8djhAwcP&#10;7N2/b/ee3d//sGvHju++3b5ty5bNX32x6bNLtGnjho2ffwpTELz88ovPv/5q0+Zvvty+bevOHdt3&#10;/7AT/siPh/YfOXzo+LEjZ8+ezc/PLysrq62B9AI8SXYFZA8IBOIPwJ/THurr62tqahqlMaN/ijT4&#10;X1/b1FhzkaobG6oa6isa6iFi5509d/jAge3ffLP+w49ef/XVFx5/4ql7/3H/7SvuWLxk+Zy582+Z&#10;cuuIkTf3HzjoMg0eeN31/QZc16fvgH7wevCQG4eNGDNu4uy58+fOW7h46fK7Vt/z6GNPrF378utv&#10;vvXxZx/s+GHbyXPHSkoLKqsvNEDuIA1J1Tc1yIIMpr6hqa6hsQ526Gdgy//rXUMgEIh/nT+tPdTW&#10;1spngxuVeAoLlXlA+Qy8bKivqa0uvVCSl5936sypn44c3rN/3/adO776+uv16z956/U3n3362Qfu&#10;vX/54mUzps+4ZeTN4wcNvrFX7wE9evXr3LVnJJphS3VRjHC5aFYkKA4jWJxkGVZvMFkdLl+Xbr26&#10;du/Ts3f/6wbfMPLmcZOnTJ8xe87SOxY9+MR9L73+/HsfvrVh48fbv9u8Z8/O/Xt3HT60P+fk8bKC&#10;goaKiqbaOthuxRIUZGNr3ikEAoH4b+JPaA8QOuvq6iCMwjxMwSdkU/i50w0zynxtXWVxac6Ro/u/&#10;2fz562++9MBD9yxcOn/SrZNuHDms/5BB3fv1yezRPZqV5Y1GXcFEqreLKTWht0YN9pjBHuctIcbo&#10;v7IMflrvUwTzvDnULEtItEaMqYkUV1aar6sz1MWbmR7p3iWrb+8e1/UfNGLYxFsnz1k87/6H7n1+&#10;7dOffvr+gX07Cs+faqguaWyohK1tpXVfFOSdRiAQiH8zf057AJTQCWFUmYcpzMO7MC0uLj569OgP&#10;P/ywectXH61ft/bFZ1bfs3La9CmDhw7K6Jzl9Hn0KVbaYCQFAymaKL2F1FsYo5O3RGlDEMSZI4I1&#10;zqdEYYloTVwiIQWcIyqkxERrXH4Z4ywRxhSi9AH4LmMMsaYwCGYooxczmiUZTITeyFutaT5vJCN9&#10;6PAbJt0yYfmyRU8+8fAH77753ZYvDu7defLkyfPnz5eXl1dXV4PhKfag7BTMKDuOQCAQ/0b+hPag&#10;REwAZgBYAvOQTwBVVVV5eXk7dux46aWXVq5cOXnKtCE3jurT/4bO3fpF0nu5A9nm1ARvjtCGCMZH&#10;MSFOGrtw1p6crQ9r681Ye9Ip3SVZe3D23iA+tY/BNeAS6Z39RUdfvbOfwdUfJDr6yR/uBeLT+giO&#10;vqKzn5DWl0/tzdh7ErbOuDULs6TrjBHMGGIsAcEWTvXGfeHMREbXnj37DLvxpum3Tlu+dBls8Jdf&#10;fnn8+PHS0lLYCyUlginslLKPCrCnzXMIBALxr/HnPPcAKJagOAR0unNzcyFj2LZt27p16x588MFb&#10;b721b9++vkDMmOIXDF7e4OEMIVYfxLkwKSRYUzfS0JMy9mFTBvP2G1gbaDDnGMilDWBTQf251AG8&#10;YyDvuI5Lg4W/kPQBe3+YwmdAMMPY+zHKkjT4ykDBeZ3gHART+INkan/S3pew9Sat3cmULqQpRhqj&#10;nDkoWgK8wcULVpMJMopw5+zukydPvvvuu995552tW7cePHjw3LlzJSUlik8ge0AgEP8d/GntAVDi&#10;Zk1NzcmTJzds2PD444/Pnj176NChPXv2TCQSTqdTb3QyQpDmQqwYFc1dDSk9BUs/IeU63jKUMd/E&#10;WkZx1glMygTcOF6rH6Y19dOZ+8NUY+wLgnmdZYDa2PdSGfqo9L1/lqEPfBi+hVkGwOelb8kirNfh&#10;1sGYfQRmG47bbqTsQ5jUIby9H2ftzVuy9dYswRShWQdF2w0Gl9MRCYfD3bp1g42/5ZZb7rnnnvXr&#10;1x86dKiiogL27mJ7uHgegUAg/hWubnuAaKj0l2FaLyPNNDTV1DZVVjSVX2g8f7Zw93d7Pnz7/btu&#10;v3P40JtCoQyDMZUze0RbgEkJEEY/aQxSxjBjiQn2bIOjq9HZS5/WU7D34m29OVsfztqPtvQlTX20&#10;hu5JhqxkkDEbpipjZ7W5i9rcWW26XF3Vpp5qUw9Z3UEaSzeNpas2pasmpbPGkq22ZMrK0KRkUtau&#10;VEoX2tqFtXflUrsJad0EmLFm8dYsLiWDNsZoQ4QxQT4Rx/gQKYZ4Y8jpzhg4YOSqZXe++fKbO7d8&#10;e/zHw2XFxbXVMnXSuQilEC4uEKWsEAgE4jdxdduDEgeVmdZoCPZQVdNUWtx44ljRpx9sXLl41YjB&#10;w3tm9Yj4onp9Gs1YSKOfs8dIW4KyxTm7JMYaoyxREGmOSSM8pjhhTIBwfQITJWkN6UpY16RkaVOy&#10;ddbOOltnzN6FSOt2ifDU7ri9L27vI6uXpNTumL0bZu+ss2fqbBlaWxyksUY1KRHMEJAVxI0hwhQm&#10;TVFYO2fLktWZt3fh7V1ldePsfTlrD9qQzvJ+mzXWLaPHTYNHLJ4195Vnn9+/a9eFkhLp1Arsu1wg&#10;l6MUFwKBQPx6/iSDS81RUI6DNTVN589XHdh77IN1G5bMXdotvXsKbxEpg561sGwqJ7g4Szpvg557&#10;Z8rehUnrTqV2I6xdtOZstSEzWcxIFjNV+myVvrNK30Wt76rWd9foe2hM/TW24VpZOvtNWOoILG0k&#10;7hhFe8ZeIso9jnROJJ0TZMH8ONI1hnDejKXCt4bpUm/U2Ydo7ddrbYM1KQM0hi5qSZ1B8kqz1IZs&#10;wtqDsPUg7T3p1F5Mam82rQ/r6ENDNgPzlmyK82FkKkcZTaItPRy9ZfyEZ55cs2P79pKSkpqGhpKy&#10;Sx/9DWUCxtH8AoFAIH41V332ABlD6+lZmNbU1OTmlmzZvOfxR5+dNH561/SurhRXmjE1RW83i6kW&#10;S9Bii/LWTNqUjhkztcYstSlbY8rWWjpjKd0xaw/c2puQ1Iew9iNt/SnbQCZ1EJM2mEobRjjHEK6x&#10;JMg9jvKMpxW5L9dE1nMr65kqa4ok7yTGM4F0jyHdNxOuUbhrBO68CXMOwx03MGnXMWkD6dQBlB1W&#10;1xdWjaf00pq7N8vSTWsGddeYuyULWaS5m2DvbrCl681hi8lptTgd1tTsRMawIUNuX75848aNZ3Jz&#10;C4qLoRDAD6AclFxKKRa5tBAIBOI3cNWfewBvAGAeQiHExPPnz+/YvvPJx54aeeNIr9Nr5IwCpTdy&#10;VovBnWIKWqyZppQs2tAVFzvr9D1Uxj7Xmvp3NF+XbB2sSb1B5xiOu0YR7pvlUC57gHci65vM+m+h&#10;vLdh7oUg3L0I9ywivEtI7xKYwVwLL9Mi3L0Mdy+VtUTWYkke+OICzD1f556rc83VumZjrpmsbxrr&#10;u5XxTqE9kyj3RNI9FneN1thvVNuGJlsHdUoZ0NHc71pT72uNPbUpPQlbT9renbNl8da4McVntHhF&#10;wWTQm202W4+ePVbffdeW7VvP5p6VRpnq6pRigfJRHAKBQCB+K1f94BJEQCUIQjQ8d+7cN99888hD&#10;j4wZOSYaiFj0FrNoNYt2k+g0iB5B8DNCghbScbE7ru9JmAZg1qHqtJFqx0iNc5TWNVbnHou5x+Oe&#10;SaR3CukDTSV9t5LeaaRvGuaZpXEv1rqXaD1LdJ6lmHcZ5lsmTS+TzrNM616udcMUtLRVuPTuEpDO&#10;s0jrWah1L9C655Oe2aRnFumZSXqmk17QFNJ7C+GdgHvH6dw3q503qdJuSEq9vpNtULK5Z7Kpq8qQ&#10;pTXECWOMN/tFi19vtLO8SdQbXR7PwMEDV61e9cHHH+Tl5ZWXlytl0lo4zYWFQCAQv5o/gz0oneXC&#10;wsItW7Y88sgjI4ffFA2EUowWk2C0GB1mo8tsComGCMVGdGwWznUhjNfRliGkZZgudYzaM0Xtmarx&#10;TtP5b8MCM7DAbBAemIsF5ur8c3W+uVrvPK1nrtq9IMm1LMm9LNm9PNmzXOVdofauUHlvv1zJHpiu&#10;bBF8plla/x0a/0qNb4Xap3xyuUoyEtlCPEt13kU63yI8MF9e7wytf5rWP0Xjm6j2jld5xyS7R6ls&#10;/ZLMPTsauqiMmTpzJmWO0Clhvc1H6+28KUVvtlhs1n4D+9159yowyOPHj1dXVyuFg+wBgUD8Pq76&#10;wSXwhvp66Qmru3btevLJJ4cPH+5zea1Gq1FMMQpWQfTwoo/Vxyl9JqHvhpsG0tahjGMs6xhHpU3Q&#10;OaeofLNUvtlq/xxNYJ6shbIWafyL1P7Fat9itXcJKNm7OMm3SNbiJL+kZHl6JS2Ct36pJZICS5tn&#10;/EuSfLK8S9WeO9WeVWrPHWrv7WAbGv9ieb1z1f5Z6sAMdWCaStIUdWAy4RuJuYZp0garrX2Tzd1V&#10;xoTKEMMMPsLo5cxOzpDCCPo0p6Nr965Lly7dunWrkkBA4dS09eRaBAKBuCJX/alpCIJgD9Bffuml&#10;l6ZNmxYOh/W8wSxa9KJNL9p5fYDVh2ljFmnsQVoGUPbhrHM055nCuqfQzqmYZ4YqMF/WAlVgocoP&#10;WixrqaxlKv9yFXT2fbcn+5cmBRf+Oi24TMryRUmBVi2WBKvw3qPy3q3yrlZ5V6l8d8hrXCptSWCe&#10;KjhHFZwp6zZ1aBodHE8GxuDeETrnEJWtvzqlq8rUWa0P4qYgY/awRjunt+iNRpPF0r9/fyiKw4cP&#10;X7hwAUoGZQ8IBOL3cdUPLgEQBzdt2jR9+vSsrCyLxcIxFj3nZrgAwwcxfTZh6qmzXq9NHaF1jNW5&#10;p2Le6Zhvjs47W+OepfLMSQ4skLUwOQC9/taOP/T0lyX7l0sCb/CtkNKC4KxfpxlJoemybksKgma0&#10;LJ+dFJiTFJgra54k/8Jk753J3lWyVib7VsorXZocWCxvD2zVvOQgCHxiNhmaQQSnY/4pOu9EjXuc&#10;1jVc47hRBWmEKVtniNDSc0FcetEq8ha/3z9nzpy33377yJEjtfJJewQCgfgdXPXZQ2Vl5alTp154&#10;4YXevXubzWaj0agXUgXOS3Ehig/jhm6UtT/pHEF4xuPeKZhvBuafpfPP1frmqD2zk71zf2EPki6z&#10;Bz+kDv9t9uBbley7Q9YKWMtF9gBbAps0XxZs5Bw8cBsWmI4FpkkOEZiM+8fgvpt1qf3V5q5aPdhD&#10;QDB6Bd5KUwa73T5gwIAVK1Zs3bq1oqICighlDwgE4ndwddtDfX19fn7+999/f99998ViMY7jDAaD&#10;qA9wfDYh9KAMvXXW4VjaGI13mjowJzm0sGNoccfQko7BxR0Dizr4F3b0z5e757J+9gmQcsIATKLV&#10;JxZLAz6/StDZnyFrpio4Czr+qsBcWfL4VWCRPHi1BCSfkACBGVwsxaUUKRuzMNm/QOWdL8kHmqvy&#10;z9X4b9P6p+uco9TWwTpjd9qYwRuiPOugCUifLOFweNy4cR999BHkVWhwCYFA/D6uens4duzY+++/&#10;P2/ePJ/PR9M0y7KcEBD0PVjzQMF2PeUaT3omq/2zoLcOrvD34JK/B5dK08DiayWTWJAcnNOsADgE&#10;SOmwQ0RuHWiSfcIHMX3BrxM4xCxZYAxzJGPwz5e1SAV/xLdE5Vuq8i1TeZcn+yBRUDypVWAG8hQS&#10;i4vlW6jyLgIl+0ALwC1gjzT+mYR3POEcQdsHsObOrBjlGSdL23mehyyqf//+r7zySk5OTnV1NbIH&#10;BALxO7i67QFi344dOx5++OFRo0Y5HA7wBoZhWD4iGAcK9hEG1xjGP4MAb/Av/Lt/8V8Dy/5D0vL/&#10;DC79a2jpNeGlHUML5A6+0seHUA5SMgCI8gulgC5J7uz7lmh8y36dFmv882Ut0PgXavyLNL6lsm7X&#10;eFdovCs13js03lUaz53SpbGwXknKqiHDaF27sgEt2+BbrPbfrpKGuW5P8i9LCiyDz6j98wn/rbRv&#10;Eu8axll60nycZ7wC65FKgGW7dOmyZs2aQ4cOFRYWIntAIBC/g6vHHiDEXawGSRXlNV9s2rJ86Z2D&#10;Bw1PS/XxrIlnzbShK20bxbgmc96pmHe21jsnybewo39JB/+ya6Xpkk7+RbAEQnCyH9KFubKU1KE1&#10;e5B66C2S+u8d/cuv9d+t9qzG3Hfxqct4+xLeNo1NnUy5xuCesZhvHO67jfTNYtzLcfeKJO/qDv6V&#10;14aWXxNecE1kfsfQwqTgYq1nhcZ9h9Z1V7L/rqTA6r+Eb/9bcMlF6/1na1c0XxecoQ3M0gTmqSW7&#10;Wqb2SRfCYr7FhHcu7b6FThtGpPQjDJmYEAd7gAQiOzv7gQce2Llz59mzZ5E9IBCI38HVbQ+V5fVf&#10;bPx2yaK7rhtwk90a5BibwKZSpr6EYxLphXg9Q+2Zo/LMlcZk5LMIkAeo/Ut0voU67wLcO0/jg4h8&#10;8djOP1WHwIq/BB9Ue+7DnfeZzUtNhgUm/Wi96UbW3pdw9tO5++OusZR7Mp+2lHKu6uh99JrAvX8J&#10;r/q/8QX/NzEPHOLa0EKNe4XasUrruLtT4O6Oobv/T3zp/40sumQt/1xz8eAELHCLLjBD41sIOYra&#10;C8nHnTrfKp1nKe6eRbonEI6bdNbeyYbOHMfp9fqsrKx//OMf27dvR/aAQCB+H1e3PVRVNnz1xXaw&#10;h359bkgxe1k6BewBN/fTOm/ReWdivllJnrmdPPM6SfeyLU2STjJL54R/hz1cG1j8n5GVKt9SnXuJ&#10;IWWqYBgviH1ofVcsJaayxjrZYypbH13qdZx9PJc2hXbMw923aX1Tk4Njk0OjMf8YwjOOs9/CpExl&#10;U27DXLMgp/lbePo1wWmXrOWfa642eIsmcKsmMEslnX5YLl8Re6fGd4cW7MEzm/JOotyjiNT+Gkt3&#10;SB1EUczIyLjnnnvAHnJycpA9IBCI38FVaw+yystqvv7quxXL7+3XZ6jJ4GQoi0FwECkDNK4pWt8s&#10;nX92J++8jt75Hf1LOgWWgS62B8I7T/vr7SG46D8jt6v8i3WehWLKJEYcSbNddVxCZfB1MHqvMXmv&#10;NWYnm3qQppvolHG07TY8bbLWNT7Je1OSb7jOfRPuGMlYxlKG8bRhsi51Kuaafk1oyt8Dt16yln+u&#10;eZrgFHVgmjowO1m6Mfv2JN+dILVvpUZ6jtMs2j+Z8Y2mXQNxWy/IHsAhEokE2MPOnTtzc3ORPSAQ&#10;iN/B1XZq+pf2cKG06tutux564Mkbho42G500aTaIabhtYLL7VpV/tjowp4N//rU+6Psv7RhYDkqW&#10;b4f+XfYw9z+js1WhW3WByWLaINrUk+C9Gj5NZbR2MFn/brZ1NHpUpgBpSOeN2TZ9D5Oxm97SlbVl&#10;s/ZsMSVbb842i52NXBcT14MzDxBSh+r8IzT+MZes5Z9rvio4Mzk4Oym4QPa5lZ38d4LU/hVq32LM&#10;N4PyT6R9oyjnAMzaU7GH7Ozshx9+eN++ffn5+cgeEAjE7+DqtoeK8pofDx5f98766dPmp9kDFGHS&#10;C3bM2j/ZPUXln6kOzOrgn3etb/61gSUdA8tAv98eAnP+MzJLFZqCBycZnAMZSw+C92h5h9biUFnd&#10;yXaPOiWkNgdxIULzUTObLvIJTkwQ0tNV44whxolxIxsTqLhIZdKG3rxtkM73G+whKTBf9oY5nYIL&#10;5R1Z2dG/qqP/DrV/udq3EPNNp7zjKM9wIrWPxtwF7MFkMvXt2/fFF188ffr0hQsXkD0gEIjfwdVm&#10;D63I9lBf11BYUPr9zv133Xm/3xenCD3PWnQpfZI9k1SB29TBGR38kEDM7RBY3DG4tGOw1R4W6bwL&#10;Ce98rU++TOhXqENgzl9DM7WhSVRonMnTh7Nlk3o3ZnDh9iDmiGGuDDI1gVnCJO+laJeJdPK0h2H9&#10;GBfC+DDFBmDeQHt4wsOTPlLszNn66ryjtP7xl6zlnykJBHlDcGEn2IvA7ZI9SFqhCS7R+Odi3ltI&#10;zyjSOQSzdlcZ0gVBSE1NHTZs2IcfflhSUlJbW4vsAYFA/A6uInuQT0Y3q9keGhqaamvqT5/KfeLx&#10;Z7MyurO0kWNMhLWHxjVK65uIh6aoAjM6eqd3Cs5PCi7q6F+c5Fuc7Fus9S3WeRcR3oVa36WBWJEq&#10;+PN8kn9+kn9ep8C8joG5eGASFxyX4unNWdJxwavVB3QpWbijF+kZyLn70fYejD5CsX6O8XL6BG3s&#10;rDP2wEy9KEMXWp9p0EcZJkAzftzYg0kbrPZNVvmntq7lvxbYQ3JocVJoSVJwWafg8k6B26UhJv9S&#10;rX8OFphJ+iZQrhvI1H6YKUMlhKxWazQanTFjxtdff11ZWQnegOwBgUD8Dq4ie6hvkWwPMg31TY0N&#10;TQX5pW+8vu6mYWOcjoBetGKmzCTrdcmO4YR/nDZwa5Jniio4VxVamCTd7gD2sETrW6LzLcF9izU+&#10;5S7lS6UOLVQFQdK8Yg/J/vnJnnm4awLnvdns6E7pIzrOpxEialMPLHUw5Rkpem/kHIMFUyYlRFl9&#10;RLT34tKuI1JvJB03camDWWtfozWbESOUEMJS+jLuYarAzOTArItX2oaC4A1LkuQT7KCkwKJk/0Kd&#10;fwbun0p5b6Ycg/CU7hoh2IF0uN3uoUOHPvbYY/v371d+9QHZAwKB+B1cXfZQ16LmHKK+vqGxobGs&#10;rGrbtzvuufuBQdfdmJbqIXm3hg9rjJ1ZZ3/aOxL3jNL5p2KhWdrgfE1gsSYAne5lWp8kte/Kdx5c&#10;bg9q9xyddTppvpFLGWiwhGnOBfagEzNVpiFa+wTcPZP1TqTSRtOmbpi+s87WEwyD8E7SuGfqvPMo&#10;zyQybSRn647r4zoxpE4ZSLpHNv8yxGWrvrL8C5K9i5K90tM1pAdsSPdjz9T6Z0DeQLhH0o6BnK0b&#10;bYoRbKqGsEDqoDyPLy8vD/3YAwKB+N1c/fbQ2Fhf35ibk79p49fLl92RmdFVMPl1XEDNx2hrN9o9&#10;jHSP0Hkn4cGZutB8bXCxNgj2sFzrk6SGZOKSQCzrcntQOWepjbdo+YGE0JMTPSSTinF+zNBZZb5R&#10;m3oL7pnLeqdQaeNocw+doasutS/lH4v7b1V752v9SyjvNNI5hrX3xAwJnT6stl5HekZJz8aQHsn3&#10;i/X+U/kXyM9cWqgCb/BJj9MAb5B+3s51s85xA2HrjRviOs4rGD0Od2L48OHr1q0rLCyE1KGurg7Z&#10;AwKB+H1cRfZQ29RUIwtmWk2iOfbV1tafPHnmjdffHj9uciwYs4omEjNwtJVP6czbe1PO4aR3IuG/&#10;TX4U0iKVf4Xav0LlXyU9jfWSQCzrcnvQpU1h+CE0HeVZj8gzHEuQ+lTSkqGyjlA7IVIvIwO3aZ2T&#10;ddZunczdOjkGa8Eb/AuS3HepvP+g3PPItEmCrTulD1Oii7T0FpzDcPcynec32APuXYh7F2DeeZh3&#10;Fu6DvGEi5RtPpg4kUnoQ+rCWSMEw0e/y3zRk2EMPPbR3795aKBEwzwbJRJFDIBCI38HVaA8gxR5+&#10;Pg8hDTFdqPhh156nnnx28uhxncNRA5fCEHpSiDDmzkTq9ZhzjNY1JVn6jYf5yV7wBtkeAr/eHiaz&#10;/HUcE9LzTiP8VU5HGaxUSkJtH6F2z9D6lxGB6VrnRK21S0dzl5/twbVa5bmPds2jUieJ1q60GKSF&#10;NMgw9I6hpGsJ5r5y7nIF+ecTnoW4Zz7mnqNzT9e6pmKu0bhzFG7tq9Fn4oKfFRypdt9Ng294YPW9&#10;27Zty8vLA29Q7AF5AwKB+H1c3fbQCLYg0dRQ31hXW1+QX/T9zt2vPPnE/HEju4YiaYKB572MENbq&#10;e2gsQ1T2sR3TbuvknNPJc3uy/47kwN3JgdsvDcSyLrcHIm28Uehm4h12o9luSTLpr6FNAmULqtOG&#10;qb23aULLsPA0lWecKjWjQ0pWsvN6DJIJ/xK16x9az0O8az6XOsmckiUKbj1v1huzrakDxbQFrOMX&#10;K/2vBPbgnIs7ZmlTp2lSJ6psY9XWIWrLIK0hqwPhYURPNNJ59PDRT91//w/ffF1UVFRZWakYA3II&#10;BALxu7m6zj20CpIGSbI3AE1SDGyQHKK05MLBXTtee/KRW8eO7Z5Id9iDougi+RCpz6TNvSnbUNo+&#10;nLSPoR0TBO802jdT552NB+bhwQUa3zw1KLBIHVyiDi1LDi1PCi3vEFx+bWD53wPLNa4xvNErCB6L&#10;IZBicoq8FTOm4vZ0jfcmlW8OJCK4f57GOV1rS+9kyVA7BuP+qbrAApVnlcZ3D+2dQzkmCtZujD7M&#10;ii7a1E2679o1F3fP/7sf/viya6U73ZZ2DC5VBRergou0oYWa4DxtYLYuMEsXmCmdY/DeanLczKfc&#10;yJoHM+YBuL4nLqYzpkzW6KcFhzcQHT169BOPPbzz2y9LC84olqAUmeINUgEhEAjEb+QqsodfS3lJ&#10;4aEfvnv71ZfuXL70pqHDQ96wgbfThJWhHKIYNZkyDaZuBmN3k6UPYx2msU/BXbcRnplq50yVc5bK&#10;s0ATWKYOregUuqNjcNU1wbv+FrjrL4HVndyjyBSBFvx6fRejvg/HdNUYQ1had11opMq3QOW7l/Qu&#10;xxwLCFu6ypyhSQN7mKwLzE7yLVUFVhK+WZhrIm3vQ5oySWMEs/SmHddj3tka/wL4y3+FVQTvvDZ4&#10;R4fQSlVIcgi1f47KO0PjnqpzT9a5J+qcY3WpI22mrkYh3Symm/VRhnRhWgNDmh1pnm7duk+/bcoL&#10;Lz75/Q+bC0tO1dUXNZcCAoFA/Gv8Ce2hoa62przk/JnTu7Z9u+aRx0feOCLkj1vNXr3o4jgvz/v0&#10;xoTBlCEY0llLP9Y5jvdOEnyTae8UyjuVCsyggrMwP8TuuWr/vCT//I7+BR38C1Xuob/WHkwZmtRB&#10;rfaQHFiJ+2bpJHvoTZoySGOIsPTknINJ3wwiMCcptDQptDg5BCnLfMgYdIEZWOA2KjiVCUxmAxM4&#10;72jGPYJ23kilDjbwET0XNIlhsz5oFH1mo9vliPTpPWDJkmXrP/noxMnDZeWF9fXlTU2VzaWAQCAQ&#10;/xp/QnuQbparq26oqizOy/1uy7YXnlm7fMmdt0ya1b/fTfbUdB1mwwiXoI8YTOmcpQ+RMgy3Dsdt&#10;N2msI9XWUerUcVrnZNx3m9Y3U+OfpfLPSfLP7eSfp3Ff/yvtQW3K0KYOIi62B//sZnswZ1DGEJkC&#10;9jCI8s8gA7PV4cVqaShpviYAhjRT552idU9Wp43Spt2kS71Rk3JdkqFPkthDJXQT2SBLeVjKZTEE&#10;02N9J4y7bdXKBx579MnPP9t05szpyqqymtryuoaKpibpPjgEAoH41/kz2kNjg6S6uoaamsryiryc&#10;3H17D3zwwfpVd9zdf+BQW6pHNNoNFodgSGVFLyXECD5GCHHa1JlL6c7Z+3Bp/QXXINZ1Peseyrhv&#10;pD3DaM9w2tHl19uDLnUQ2WwPy5IDd0AuonVPolPBHuKk3kOaMjl7T8o1jnGPZbwjGc9NtHsY7RpC&#10;O69n0/oz9j64MYsyZ5HGOCYEtIwHYz206BM4O2QMafZgeqLHlMmzX3t13d49P509k1dcVFZbU9/Y&#10;2NQidJoBgUD8e/gT2kNjQ31jg+wQUryEXKLhwoWyw4ePbtr41Zonn1205PbJU2def8OISDzbZA0y&#10;QghnAyDaEOctWZy1K2vtRtt6kLZepL0Pae9Hpg0gHQPJtIxfbQ/pOvt1pG+yzj+rk29ZUuAOnWIP&#10;ab1Ic4wUXbghRlmyMdtNmH0YZh+I2wfgtv6ErQ9p7U1bu1GWzlohTBgipD5ICl7G4LOkxb3Bbj26&#10;DRw/9tbFi1Y9cP8T695ef+jgsbLSasUHQcoTqGB36+ubT0ojEAjEv8if0B7qa+vAEhRjqK+vh8BZ&#10;W1tTXn6hsCj/xMmj+w/s+XrzF08/u+bW227p3btPOJhwpvlTLE6TyWEwpHGCneFsrOhgRBejd0N0&#10;Zk1+1hxkUpy/0h40pnTcPpDyTcYke1ieFFilDcyR7MEB9hAmBDvOe0l9SGfsqzP2AA+g9EFaH2AN&#10;fs7oF0we3uDiRZvRnGa1OlJTncFAqHfPniNvGnHnqrs+/OCj/fsPnjx56nxeQWVFdX1dszf8rPom&#10;WIhAIBD/Fv6M9tB8sT/Eyvq6OoiX0LWGPrV0q0R9fVVVdVne+dM7dm598+2XH3vkwdWr7lyyYNG0&#10;KbeOGDaiV4/e4XDCbncL+hSaM5GMkWRNFG+hBCtlMGkNNMl5TabuIt+TIrO1pvA/tQfbAMo3Ceyh&#10;o295p8AqTWCOWrKHnrQljHNmgncQvDOJTtdwcYKxk6ydZKwkY+FEu83u8fmjXbt0H3L90MkTJ86d&#10;NXPl8iWPPXTfy2uf/eqrL48fPy49gVVKjJpzBWVGmq9vfjphy22CCAQC8a/yZxxcukgtCyCHqAU1&#10;NlXVN1RUVRUXF5/LyTl69tThU0cPHdqz8+vP1699Zs3yRfPGjx7Zv0+v9HjU53W7HA5HWprdbk9J&#10;STFYzTojQ7Aei6Unz3YniEzMEtWldruiPZC2AbRvEg724L+9U/BOTXCuyj2RTOtOW4IYK/IGh97i&#10;pQ2Z5tQuthRnWqrHkeZxOtyhYKRPz14jhg2ffdutD9139/vvvLZ988ZDe787c/xAfs6xoqL8srKS&#10;2trqRskEWsaRWvdTMQZkDwgE4t/HnzF7aL2pujlgSvZQX19bX1/T2FDT1Fjb2FjTUF9VX1fZAKqv&#10;qK0qLcg7fWDvzo2fffTm6y8++cTD96xecfvyhQvnz54189aJ40ffMPS6Lr26mP0Omvcbjd0ErgdN&#10;ddaZwxpbl39iD/1p70Swhw7+2zsG71QF5ya5JxJp3QiTm+A4p8uX3aVn737jRoyaMWn85NtuvW3e&#10;nHmLFy5etfKORx96cO3zz67/8N0d2785dfzH0qKcmurihvqyxsYK2P6GhrpGSBOkfYIUogFyI2QP&#10;CATiv492Yg8Nij001Fc31lc3gWSfqK+tqKkqqa0qqaksrriQX1qcW1RwNj/vVO6546dO/Pjjwd07&#10;v9v8ycfvPrnm4VnzZ0R6ZLL6kKjvohd6skxXrSmkSsm+oj1Qtv5Msz2s6Bi8SxWcl+SZSDi6EUYn&#10;IwrZnbveOnX6qjvXvPji+xs3bNy2Zeu+3XsOH/rx5LHjeefOFObnFRfmVlcU19eWNdSVNdReaKi7&#10;0NhY3tBYB/bQooseldHqEK1CIBCIfwd/TnuQBpJaHAIkhU0ldCr9a8U95FO78Kq+qaFOGrqvBzWA&#10;IBA31smDNzVV1WVnz538+utNDz7+UM8bBgqmiCBkG/R9BK472IPaegV70JrSaWs/VnpALNjDyg7B&#10;u5JD85J9k2l3D8KUZkwxDLth8OMP3//5J18fPngiL7foQmllXW2DNGLUKD0kRF49bAmkCZLA22Ab&#10;6xvr68DLautqZS56klLrLik7qgiBQCD+DfwJ7QHCPqQGUnbQYgRSEJUDrTQ2A2qxB+n+uUYQuEFj&#10;nXTVj+QQNfXVNZBnNEG6UV1XX11WXrJn365nXnpuwKgbBFMU7MGo78uz3XTmyBUHl362B9+sDj7J&#10;HpJC85K8kylXd9yYmpJqnjRu9Nuvv3Rw75ELxVUV5TVVVdKPMkib19hUWw8ZjeQU8jbCJskb1tgA&#10;ki0OPiMNKwEtD1ZqNYaWXZKEQCAQ/wb+lPbQUKMMHrXESwitUuyvlUxDet6rklzUNtXUNVU0SKps&#10;lO42Vt6pbmgAwbeq66W4XVVXe/DwTy+89vLAmxV76Gwy9OWYbpglesUrl8AemF/Yw+qk0PwkzyQ8&#10;rYtOtKakmqbdMnb9e2+cPHyipqKmrqGpWZCtSKuWBNsAW1IlPx8DNkzawpY8QpL0/EHpXIp8UZZi&#10;DNJWy4IvgRAIBOLfwJ9ycEkaLIKut9KvBkk9b6WrfXGHWx5LgsiqWIii1q/Iki4WrayuOvjjoRde&#10;e2nAqCG8MSSKnU3GPizdGbOECSfYw00q3zyV727SuxRzzCNscbUpnbANpHyTdP6ZHfzLOwTvUAXm&#10;qdyTcGsPjHemWO233jLh0w/fOXHsaFVlRYM0oHT5dv1ikyRJ93C0JECyPSgJxEVfku2uWQgEAvFv&#10;4E9oD/9eKioqDh069NIbrwwYNZg3BgyGbLO5D0NnYZYg4eqmCw9X+eeq/KtJ3xLMOYewx1TmdE3q&#10;UCxwiyY4s0NwccfQcq1/ntZ1C5MykBaitpTAlMmTP/34g+NnfqqoKW1eBwKBQPzxQPbQBsgeEAhE&#10;+wTZQxsge0AgEO0TZA9tgOwBgUC0T5A9tAGyBwQC0T5B9tAGyB4QCET7BNlDGyB7QCAQ7RNkD22A&#10;7AGBQLRPkD20AbIHBALRPkH20AbIHhAIRPsE2UMbIHtAIBDtE2QPbYDsAYFAtE+QPbQBsgcEAtE+&#10;QfbQBsgeEAhE+wTZQxsge0AgEO0TZA9tgOwBgUC0T5A9tAGyBwQC0T5B9tAGyB4QCET7BNlDGyB7&#10;QCAQ7RNkD22A7AGBQLRPkD20AbIHBALRPkH20AbIHhAIRPsE2UMbIHtAIBDtE2QPbYDsAYFAtE+Q&#10;PbQBsgcEAtE+QfbQBsgeEAhE+wTZQxsge0AgEO0TZA9tgOwBgUC0T5A9tAGyBwQC0T5B9tAGyB4Q&#10;CET7BNlDGyB7QCAQ7RNkD22A7AGBQLRPkD20AbIHBALRPkH20AbIHhAIRPsE2UMbIHtAIBDtE2QP&#10;bYDsAYFAtE+QPbQBsgcEAtE+QfbQBsgeEAhE+wTZQxsge0AgEO0TZA9tgOwBgUC0T5A9tAGyBwQC&#10;0T5B9tAGyB4QCET7BNlDGyB7QCAQ7RNkD22A7AGBQLRPkD20AbIHBALRPkH20AbIHhAIRPsE2UMb&#10;IHtAIBDtE2QPbYDsAYFAtE+QPbQBsgcEAtE+QfbQBsgeEAhE+wTZQxsge0AgEO0TZA9tgOwBgUC0&#10;T5A9tAGyBwQC0T5B9tAGyB4QCET7BNlDGyB7QCAQ7RNkD22A7AGBQLRPkD20AbIHBALRPkH20AbI&#10;HhAIRPsE2UMbIHtAIBDtE2QPbYDsAYFAtE+QPbQBsgcEAtE+QfbQBsgeEAhE+wTZQxsge0AgEO0T&#10;ZA9tgOwBgUC0T5A9tAGyBwQC0T5B9tAGyB4QCET7BNlDGyB7QCAQ7RNkD22A7AGBQLRPkD20AbIH&#10;BALRPkH20AbIHhAIRPsE2UMbIHtAIBDtE2QPbYDsAYFAtE+QPbQBsgcEAtE+QfbQBsgeEAhE+wTZ&#10;Qxsge0AgEO0TZA9tgOwBgUC0T5A9tAGyBwQC0T5B9tAGyB4QCET7BNlDGyB7QCAQ7RNkD22A7AGB&#10;QLRPkD20AbIHBALRPkH20AbIHhAIRPsE2UMbIHtAIBDtE2QPbYDsAYFAtE+QPbQBsgcEAtE+QfbQ&#10;BsgeEAhE+wTZQxsge0AgEO0TZA9tgOwBgUC0T5A9tAGyBwQC0T5B9tAGyB4QCET7BNlDGyB7QCAQ&#10;7RNkD22A7AGBQLRPkD20AbIHBALRPkH20AbIHhAIRPsE2UMbIHtAIBDtE2QPbYDsAYFAtE+QPbQB&#10;sgcEAtE+QfbQBsgeEAhE+wTZQxsge0AgEO0TZA9tgOwBgUC0T5A9tAGyBwQC0T5B9tAGyB4QCET7&#10;BNlDGyB7QCAQ7RNkD22A7AGBQLRPkD20AbIHBALRPkH20AbIHhAIRPsE2UMbIHtAIBDtE2QPbYDs&#10;AYFAtE+QPbQBsgcEAtE+QfbQBsgeEAhE+wTZQxsge0AgEO0TZA9tgOwBgUC0T/6M9tDw69XQ1FjX&#10;rIYW1ddKqquTVFtXW1J6cu/eV19/tdeYkaTVyVq9oi0L48MqQ1+NfYTaNyvZvzA5sIwMTMfck4iU&#10;bhpDV8J6PembrA3MuCa45Jrwio6hRR0807W263ViuskamTT51vUfrz9x6mhl1YWmprqL1dBUVy+v&#10;GFYPqpFVLauxqelXCoH4dwJVqqGxqb6hRY3Sy4sr3CVqaGysq2+srZNV36h8GKZ1DdJyWdJLxNUA&#10;soc27KG+pPT03r2vvf5az7GjCbuDsbsEe4ZOCCUbBmnsY9S+Bcn+RcnBpWTwVswzgUzpqTV0p6zX&#10;U77JOskell4TWdkhvPha7wyNfahWn2m0xSbdMm39x5+cPHWsqqrsv7CHVmOoktXa+toUAvGv0HgR&#10;8usmyRIguEOsb9V/4RBgD/UNP6vVHmB5i5A9XC38Ge2htaa2pZrGxvKmBkUVF6lSVpWswpqyH44c&#10;eOWNV0fdOMwhmt16q18fsuEuI9XbrB9uSp2lT5srOhfYnJMttrFWobue6ao3DTK6JnCeaRrPAq1/&#10;KeGbSzgmC+YBIhvxGH1zx03c/N67hUcPNpUVSf7UqsZf6lIrQyD+JwBXaGhoqJepq6trBG+4rOEo&#10;4f7KuuQzUoen/tKFIMTVwJ/QHqDT8ysF9lDZ2CCpxRIuNoZme6gu++HwgZfeeHX4sBttelOaIcVt&#10;CJoJp8D01BuHCY6ZrHMO455vck/Wp4416rszXFfGMojzTCB80zr5FiQFl2gCczSuSXRKP4YPpZm9&#10;MyZM+OKDdbnHD9RVFP7CHi7RpW6BQPz38nPGIM8rJtEAeYMS0FtDPAg843IpTtBiAM1DTJfbg/IZ&#10;xNXAn9AeLu5ytyG5ykpWIb+sl3XxcE9tU1NJVdWen3564a3Xrrv5BsFqNFjNZpuP5lM1hm5Y6lBN&#10;YHpScFan8HwsPEXtG6+19e5g6XmNe8i1scl/Tdz2/yQW/J+MJf+ZmPkfoQmd3L2TUvy80zV2+th3&#10;P3/7x9z9JfWFFzWbX0rZlIuFQPw3A35wuT3U18ghvh76KK119TJjaJVsDPJ8Q0NdfQPYg/JFZXnz&#10;u7CkeS2IPzh/Tnu4JLT+MzWAA9Q0NbaoAVR7keqa6uuaKi9U/7T/p1dee+O6kSMES4ohxWa2Bine&#10;oTb00KbeqArM6Bic0yG8UBOenuybpLL1/7u579+dwztGbr0mOvv/Rhf9v/Flf4vO/qt/osrRV20K&#10;iqnecVMnvv/p+z+d+6mktrQO+lItam1cki43idbG2aYQiN9Fqz3ATF1dXVVVVXl5eV11TX1tHZgE&#10;zFRXVlWUlZeVlFZcKIOZS1RZXgGS3rpQBjO1VdXwxbrq2pqq6uqKShAsaaiVUwdUS68S2rc9QHZQ&#10;8UtVyqqSVS2pvrjm1J7Db77y9nUjxwiWNEOKw2yNULxbbeilSRueHJjVITj/2sgSdWRWkm9qsm3w&#10;383XdXDcnBSecW1k/n9Elv5HbEWHyNxrfZN1qf11hojRHpgwZeqHn6w/fPZ4SW2FvAZwKEmwLc1b&#10;BVICvWISipQlv0YIxO9C8QaYgjdUVFQUFhbm5ubm5+Sez8nNO5tz7tTp40eOHty3f/fO7/d8/8Pe&#10;XZdq/+69+37Ys+f7XTB/aN+BE0eO5Zw+k5+bB1/PPXsu71xO0fmCyrJySCnk+o24Cvhftgeoi0ql&#10;vBhlIQC9GIXmN/4JF39Smr8oqNY3NdY3ypLH7xXVQecIPgrzEIwhMFc3NFbVNyiC+ZqGuqq6qvLq&#10;2mrpvFxp8YU93+954dnXbhg0ySYE7JzPa8oyEn6G7iVaRxL26brU2TrXAtY1g06dyuqvJ5lBHD9S&#10;SLlVSJvPOJcSjmWCfabBOsVhut5KxOPmjLmjZmx8Zf25g+cqCqpKaqtBpbU1pXU1F+pqy+vqQJUN&#10;9eW1dRW1tdWwnUpuAc1JumJEuVhQSfbldEO61km+3LBl3+DdiwtEKkR5XpnW10NJNJe2slCZvxjp&#10;a5dxxU8i/reAwwERHIBD07xIpvUlzCgfAODDcNxrZeBlTU1NdXV1ZWUlGAAkBwDMwEslVwBKSkrO&#10;nz9//PjxvXv3fvfdd9u3frt9y7ffbt7y1aYvPn7/g1dfevmZNU+uefTxJx+7gtaAHn3smSefeu2l&#10;Vz587/0vP9/47Tebt23Zum3z1p3bvzu0/8CZk6eK8gsulJaWlZUpq1PWDsBWAbCF0oiWfFYcNhVm&#10;lD1S9qL1JQBLUM387+Z/2R6gEii1Fg48HGzleCszgFIhgP+6EsC7FyOfyZW+AJLmYUnLwrqG+lqo&#10;efCn4XPwAWhN4Bs1DdUXKksLSgpy8nPP5IBOHj+1f//BffsOHDhw6Lvvdq5b9949dz48sNtoOxNI&#10;pf0BQ7ZFF+SInuaUm0XnLNY5n3YvNrhmCfZb9eJQnrnewo22Wm6zpS0yOW4XU29Psc62W6Y66f7W&#10;TsEoFb6lz9hXVz+7/YNv927e9+3e3TsO7N99+KdDp04ey805U1iQU1yUV1JSDM2lvr6msRFSCuks&#10;CGxss8s1q9keWtVqD+AclxXIJbQWmlK2SmEoXPG7LaWF+KOgHBeF5kUyrS+Vty4BjjVUKwj9J06c&#10;OHz4MFTunTt3fv31159++un777//zjvvvPLKKy+//PILL7zw9NNPP/LII/fee+/KlStvX7J0xdJl&#10;y5csXTx/4ezbZk4eP2H0iFE33zTy5hGXCpaPhpmbRo4ddfMtEyfNmTFryYJFyxYvAS1fvHTl8tvv&#10;uXP1Iw8+BO6y9oUXYEVvvPHGe++998knn2zcuPGrr77avHkzuNH+/ftPnTpVXFwMViGFgJa6B9OL&#10;66Hy8uIliP8O/ojZwxVRPqnQvKilloC7KF0P6G4AdTW1DaDaOunkmHSKDCSdJZMGT8srqssrpbFU&#10;+WVJdeXZ+oqjNYU/FJ/85uS+DQe3f7jr63XbPn/583cfffP5e9c+/o8XHr/zqQfm3bN8+MwZ1u6D&#10;O5hdKouLdoaSjY6/mCJJ3r6dEmP+Hh9/TWKiOjqiU2Co2p6VZMkkbX0p9zAqOE4XmqIOTMF9oynP&#10;MNaWjfFO0ezM7N1v8tz5Cx9+4q4nnnnuoYdfWbPm3Zde+vy997Zt3Lh727cHvt/50/6958+erqqA&#10;dKKqVZKttajhYlXX1ldU11fWSFejw57CB2Rae2FKK2ouLxmlDBWUdxWUJa0fUBYqf0pZjvifRzkW&#10;rVxxIaAsB1oPGfS65OMvAS+hXZSWlp4+ffr777+HcPzqq68+++yz999//6JFiyZPnjx8+PBBgwbF&#10;4/FYLBaJRILBoM/n83g8bsDh9DrdPrfH55LmnfZUe4r1ikq12kDKfJrNDh+Gb3mdLo8sr8sd8HhD&#10;/kA0GI7H4llZWb179x46dOj48eNvu+22+fPn33XXXY8++ihY1KZNm8AkcnNzIbForcawO3KOUam0&#10;cWXvlB1XSqCVS5bIpYL4nfwh7OG/QPmMEqqUJZcDdQVy1cLCwry8vJycnFPHTx778fCRA4d+2n/g&#10;0J59e7//4ftt3323ZeuWL7/66vNN32z68tuvN3/52cb3337nxbdeffK9lx5+45m7n39k2SOrF9y7&#10;bM6qhTOXz50yb9qoyTcPHX3D0FFDr7/p+v7X90v06s0HspJFG2a083Y3rrd10Ps62TL/7hrwF9eg&#10;v7qHJLv6Jqf1wkxBjRAgxHTC0htPHaxKG9bJPkxrHUjY+gqWKM3aRNHkCoa69u3b46ZRA24adcvg&#10;odNvvGnemHHLbp1299x5Dyxb9vDKlY/efdfaJx5/+6W177z68rrXX/n43Xe+2PDx5o1ffvP5pq8/&#10;2/jNxi+2f71lz3c7D/6w96e9Bw7+sAd07OCPeSfPlOYVlBcW5+fnX7hwAcqkuXTk0oNpa4FDu1KW&#10;wBTmlVACKMtbC7z1LWiNrV9H/A8DJX954cMS5QAph6z1AzADhwzaAsTWo0eP7t69e9u2bZAfbNiw&#10;AZKDtWvXQk4ACQHE4kmTJo0ZM2bIkCE9e/YEVwAzcDgcNE0TBIFhmE4GZuAlieM0TjIExVI0RzM8&#10;wwoMCy+vLBKmJC0LZlrnWZJiSRrelV7iBIETFEUZDIa0tLRwOJydnd2jR4/BgwePHDnylltuWbhw&#10;ISQuTz31FGQY69atg/Tiyy+/3L59+549e2Cnzp07Bz4HdVLZcaB1RuHi8oGpUjKI38cfxR7gQF6M&#10;0t9RYhbMQLxTxihhCrUf6kdJSQlkoEBBQcHZs2chWYbGAHUIUtSP333/jefWvvjEU8898sRTDzzy&#10;yOp771m2YvGMObMmTZ05ccrsybeCJt508+CefXpnpvfJjPSKB3tE/D0Cnh5+d2+vu6/H3c/h7Gu1&#10;9zGn9DdZ+xlS+gqmLL01zWC3UYyTYUIC62NJO8NZeZNBcOoFt8HgdxvSfIbUOEsHKcpNCS7e7tB7&#10;zPqwQQynCB674HRzfBqhdZAdnQbcnyakemx+h3WYYB0m2oYbUodbHDdZXcPSPDc6PENc3hsCwaGh&#10;0KBgYGgsOq53z5nDb5w9dfptk6ZMmzB55i23Lp0z/x933PX4/Q89++gTzzz6+No1T7/98qsbP/rk&#10;u6827962Y9euXdCKwCSgiKCgACg9pQCrqqpgqsxA2bamXDDf2k1rPS7KgVAWwktlOeKPQOvRUZoJ&#10;HE1oGuXl5XCswRgOHTq0devWd9999/HHH7/jjjumT58+atSovn37ZmZmKpmBX8br9YIl2Gw2s9kM&#10;kRowGo2iKHIcxzAMy7I8z0svwRUkMTzNgDGILKfneDCJywXmofiHJBokfUX6Ls2ILK/nBJjCX4CF&#10;DA3/GPj7er0e1g7bkJqaarfbYep0OsGrYDvT09M7d+4MGcYNN9wAnnH77bevWbPmvffe++abb378&#10;8UfoBUL1Vs5ewO5DOUhB5KJaCvNQb6GIml8jfhf/y/bQinJ0FeC4wiGH0K8kBCdOnNi3bx9EvZ07&#10;d3777bdffPHF+vXrofa/+eab0L94/vnnn3zyyQcffPDuu+9esWLF0qVLF86cPXP85CkjRk8aPmri&#10;sFGjB984tFe/3umdu4UT3SLpPaIZ3SKJhNvvMdkiFN9DR/bSUb11zCCCH0rrR9CmUaTxZp1hIm66&#10;hbBMwy3TMcttOss0zDYZT5umM8/QGeZh/DxcuA0zTcWsE0nPBMI7iQrMo52LGOcqnF+KcbMwwwzK&#10;MY31jWciY6joRDowhfHOZMwzaP42ipzEMuM55gbeMIwzTGRSxlGW0YRxOK6/QccP0DIDdGx/RuxJ&#10;sVkYEdPq0gmym9HQz+HoEkvPCscyQtHO0UTfLt1vGDBo9I03jb9p1LjhIyeOHD1j0pQls+fdtfT2&#10;e1feec899zz22GMvvPAC5OmvvfbaW2+99f7770MX7KuvvgL73LFD8o8DBw4cP34cOmLnz58H5wCT&#10;gIYEJQ8HQmlUyktlCeKPABwLOCiSV8tZHUzhqEEbOX369N69e7ds2bJx40Y40NAiIEUAV5g1axZ0&#10;xvv16wdBNhAIQBSGiA9BWRAECMowD0C6oKD4AZgBhGzFHpQlMC9FfFrKGASGA8mhv9knrqhme5CT&#10;jF+8xfEggeUk8TxshrIueUOkDVNWp7wEFPNISUlxu92JRAJ2BHYHrA4a+MMPP/zSSy/BzkIogPQI&#10;KjMUAriF0umBUmouMsS/zP+yPUAVl0cUm6+jgMwAgJ4vWIJy4QQENegyPPfcc1Dp77//fqj3c+bM&#10;mTBhwo033jhw4MA+ffpAWtq1a1foGUF3A9JkICsUzfKEYqnuhMOb7QlluAJhq8NntIH8JrskacYW&#10;tKQN4WxzNKb5WvMCbcoKLHUV6biPdD9EeB7Dvc+RwRfpyMtE+FUi/A4d/5BIbNTGt+pC32q8O9T2&#10;XTrHd5h3i87/FZH4Eot/iSV+wAJ78cAxlemA2rQVs39D+b+gox9Rme+TWeupxGd0/BvW8w3n+IpN&#10;+Zi1vUtbnmccT3Gu1SmRO1PCK8yBRSbvPL1ruj5tmj5tstkxxmgdLpqHiMZBgqG/IPbmBXeK3WW2&#10;SbLYvLa0QJor4vJmBCMxbyDq9sd9QTAPsJDOMWhKCYgI3bp1g2Lp2bMn5OyjR4+G/te8efOg9P7x&#10;j388+uija9euBX/dtGkT2K3SusCJlTwDjgIcCzgicGhaswrkE/+7QPnDUYDD0ZoowJGCRAGO3YYN&#10;G6B7BEFz2rRpw4cPhzAKbSEajYbDYQisVqsVUgTwBoi2P0f8FgNQvEGJxRCvW6Oz8hlAiuCSGUgZ&#10;g4EXIQOAeSVFaA70FwnehY/Bu8pAE0tSMK+4AnyepWhFkE+wkGrI67pkMwCYoWRgubJVkNZYLBYl&#10;sYCkJxaLQUvv1asXpESzZ89evXo19IQ+/fTT/fv3nz17tqCgAAIIZFSSi6Ls4V/mt9gDdCgbGuvl&#10;a2lq5Cv0JZSL9pU7y+qbahqkGwYaKmuaauqbamVJl11KwQUOlCT4C3UNNeU1FwpK80/nHTp2dOeh&#10;fd/s2r5p29effbPp442fvL/+/Vdef/HZ55989NH7IR9YtnjuzOmTJ48fOWbkkBE3DhjSt2v3dIj4&#10;9liKKcNkyBLEbE7oSfO9KHEgKV5HGa6njBM03G2dyBkdyVmdqIXJ3KJkYWkn7vYO/B0dhdUdxHs6&#10;iA9cq3+wo/GxTpZXk1M2JFs3qGyfqWxfqNO+0jq+0Tm3Yu7vSN9O0v89GdhF+kF7qOAhMnyajJ2l&#10;omfJ8DkimEOGzlGRs2TkDBWH5aAcMpJLRvIJfy7hP0sGz1CR03T0BBU/TsVPUrFTdOw0HT5Dh07T&#10;gRN04BgV+IkKHqCC39GB7bT/W8q3mfJ8Tbg3Ea6NhPMTIu1DPPVdnfUtjfm1ZONLncTnOvD3dLLc&#10;LWtVJ/OKjsbFHQ2LOorzVYY5SeJtSfytSdyUJHZSEjOxE9ONFbtyYmdeyOD5hChELYaE3dIl5u+Z&#10;He3Tv/OgG/sOG3v9zdNGTZgz/o47lt/7j9WPPf7wc88//drrr3zwwXuff77hiy+/3PLt1l27dh88&#10;+OPxE6fO5xdB+t5YWifdDiJfZavcHCIdZagBcERhKs9Il1BJH5FQGicylX8GtKRa+ToDpYwUwUKI&#10;Z60vpSVyUt3UUNdYX1NfXVFWVHD25PED+/bs3LHtk0/Wv/rqKw899ODCRYvGTRjft3+/eEa6w2Cx&#10;CgYTw+tpVqRYjmRYghY5g8DpeYjenAEEoZ5m9TzDc5LAJzgaPsjyJMfpOFbHc1qR1+h5tZ5LlsWw&#10;8A7J87QggCD5YASeBhOAJZfIyNAmhjbQlJ4iRZrkGYpnKU6gOZGmRIoUKFwkQZhIkvAGWIacacCW&#10;CBSvp3gTxpp1rFXDWNVMqopJU7EuNWfEGJ6kBZIRYaNp1kBzJo4TKcrMcQFHao/MjBGDr5sxacLt&#10;8+c8+NA9z73+7HufvvPlto279u04dvKnouLzVZVl9TXVzReCK09BqGlsqpU8QypZVD/b4vfYAxRy&#10;das9lNU2VUie0Fgt2UNlQ1MxfKqytqmqrqkK3qpqqqpqkE+TQke0BvqitQ01VbVlBRfOHD514Lu9&#10;b37w3iNrn11+313TFs2+ecq464Zf36N/j6yuifSsSDzuj4TdIX+qz23xOIx+lyngMvrtgttIelks&#10;xGDZHNNf1A8xmG8WLGNF6xTefquQOkNIu4exPU2lPEdbX6Btr9FpbzDOd2nXR7T7M8b3JeX7mvJv&#10;IwPbyeBOMrSX8B/GPKAjuPco6TtG+o9TkmDmEp0mAoVE+N+rfDyUQ4HNhMBOTpOBU4T/OOE7RviO&#10;kL6fSO9B3L0Pc+7Rpu3SpO7Upm2G/IOOf8XENjLRT+nwe3RwHeV7hfK8SLmfpV1rKMdjVOrDlP1B&#10;0j7KbL/JZL3eYOorgk+wMY4KcYSN19pEzGKjLC7eGjDYohZ7us3tSfUHXJGoPz092q1b58GDB466&#10;eeSUqVPnzZ9/z733Pfvc2g8/+mT7dz8cOXqy/nxVY3FDHRzV+qYSOObyHYRSzwxaXXUd9AbqINmo&#10;ramRns4jNTml7Skgn7gcuSU1S7KBxkbpzuKqytp6aCO1IJiBUmu2h/qahpqK8qL8Yz8e2PTpx08+&#10;/sjyJQvHjh193XX9s7IyA6Gg0+M2pVggbFsozkxxJpI1EIyeZASSFUiOp0UQxxpY1sCwBoqRJAV5&#10;RuAgMZCGjniC5XGOV3OsmudUBkFt0qsthmSLHsRwBMsRHE/yAogSRBokRfTLZGaoFEaamhjKyFEi&#10;Rwk8BH6GN7KUkSaNFGakdEZSayQJ6T2R4UVGSkcEPSWYCN6GCamY4NYIbhXnS+L8nbhARy5Fy4jg&#10;cASthykOokScMJCkmaZtPOsyGQI2S9SZmu51RuPezgMyR91y0+K7Fjy99okNX3x06Mc9xYV59VWV&#10;jZXVTaDymqYKqMGS1SpjUEq1hCm8BJRDg7iY32QP0o0CEBMUG1a6is3ZRK38VGwwZrlfCb2duoa6&#10;strK/LKik4Xnfjx3fN/JnzZ//+3nWzZ98umH695+/dVnn3nqvvseXH777bfdNmvs6AkDBgzNyBjo&#10;9vY2p/Ti9NnXqjL/0rHPf3Ya8DfVsL9pRl2Lje1A3PYf2IL/D1/2n9SKv7J3/4V/6O/GZzrZ3tB6&#10;3sMCn2iDG7ShrzSRbzTRrZrYZir8DR/aIoS2CuEdQvR7IbZHiO8XEj8KGUf5jGN8xiku8zSXdRbE&#10;JnLYSA4bzeWieXwsj4/nCXFYco4JX6Jc6tLg/q+rAKZMtICJ5tORPDqSS4fPycrhY+f46BkucpqP&#10;nOIjJ/nwSS5ygu98XOh8TOx8WMw+xGfu4dN/4OLf8fFtfGyzEP2Kj3zBhz/nQ5+xofVE+EMs+Lba&#10;+1InxzPXpkBB3f83/e1/ZZb9lZl/DT37GnL6NcSUa/Ap12BDOlHXd6IGdiL7gTTsANY8xOIc4g2P&#10;TGRP7D9ozuhxd8yZ9+jqu194/Il3Xn3jg3fWvf/ZJ59s+XLj3h07jx48lHOquKCwsrSs8UJVU2Ud&#10;pI3gFlAX5LRB8gMAFgHIHq6IUkQKzYsuAgqtsrIyLy/v2NGje7d/t/nzzz94883nnnhixeLFo4YN&#10;65qV5UxN0wuicpURQRDK+IxGz0HHXwcSOUzkIAqTopIkyLAcL58bEBjWjBOgFJywYWQaRrq0lEdL&#10;eTvhgWQyoWKytUJ3nb4XZuiNGYckMzdIYm9Ugbhhal6Shh+uES7RmCRhXJIwJlkYnSzcrBJGqoUR&#10;GmGYVrhRKwzWcoM0TH813VdF9k4m3BhlJSkzSZpIQk8SAolzFE4zBM2RBA8ZBoUZaJDOSGNGGjcy&#10;uIGGhTi8BR+Aj0FSArsFzkZRPEHyOMFjBK1S6wki5HQM7N598s03r1iwYM2DD77/5ptbv/xq7/e7&#10;Thw+WpCbV11Wrjxj/HKk6ou4jN9uD/IIg2IPUKIN0PbrwH8bG0ANjdX19eV1dSUVFwouFJ0tzD10&#10;6siXO7e88sGbDz3z2OKVi2+ZccuNQ67rnp3RORjo7PN283q7pKVlpqSkC/p0TujKiv0E4w1iygRj&#10;2i0mxzyDc6HZc4fZt9oS+EdKcA3vW8sH3tBH3zLF3zckPjJkbDRmfS1mbRGydrDZ37Od9zFd9jNd&#10;DzFdf+DSvxOjO8ToTjG2W4zvFRMHhMQhLv4jEz9CxY9S8RMkKHGSTJyhojlMuFlsJFfWz0suUt5/&#10;hz3gofNEKI8IgnJkQRoBAjc6y4TPsOHTXFhxiFNc5BiVfpROP8pkHGbSf6QTe+nYbjq6W0jsEuI7&#10;xPg2MbZViG0RomAV3/LZW/msb/isL4XMz4WMj/XpHxnS37NmvW3NeCkl/rQp9Jje9wDvuo9zzNO7&#10;5gjOaWzqeNoyAjMMwsUBuNiN0XdnjdkGS3aKPdPuyHK5s72+XlnZA3r2HDxsyPjpt8y/Z+XDzz/1&#10;0ro3d23fceqnI9V5RbUXqmsra2qq66rrpMvMoCMG0U1KFC+6OB1xCUpIAuToJAHzreVWUVFx8uTJ&#10;TZs2rX3hhZWLFk8ePWZgr97dMrM6x9OjgaArLc2eYjXqDUrYF0VRufRIbeDVel4LElmdwBI8S4Ih&#10;CBzYgshKMrKsmeNSeOiqYzYMT8MIl4706qiwlo5q6fQkKlvN9NGK1+GmGyjrCDp1JJM2g0ubxTtm&#10;887ZgnOO6ALN1bvnGTzzjd5LtEzw3i54l4nepaJ3id67SO9daPDOFJwz+LQprH0ynTKeMo8hjDcT&#10;hgySD1Csl2TcJJ1GkFbIBihCoDCOwmgWowSShAQBEg4zQ5howkgTBprU07SeAbGidOIb7EFgGdgj&#10;AwvJCW9iBRPN2jjeZTIH7KlhpzvdH+ySSFzXq/fksePvW333R+++t++HPXnncqSHQcnVshUo9uZD&#10;griM32YPkuRHnML/UlcRcoVaCAtSeddBf6eq6mzOuf2HDqz/9qs3N65/bt1rDzz3xNJ7VkyZOXn4&#10;yOv7d8/oEvVmWsQoS2ZSWHeG7M1Sw7T0SDU9LpmekMTMTOKWaYz/wKxrGc/rrH897v8UD2zWBb7V&#10;BXdogz9qIqex9FwyK4/MPo9l5usyi3VZpZrMC+rMyuTMqqSsWlCnrPpOWcW6jBwqXVEelQHKpzIK&#10;yPQCIr0ATy/E04swRYkCPJonBehWSZFa1sULJUEcvyS4/+sCe8jXBc4rwoKgPDyYizdbRQ4ZkkSF&#10;c+hwLh0pwuPFRLyYTBSRiUIifp6I5uGRPDKeS8ZyqNg5WWdBZKxMlSlJk1WqzSrFsouIzkVkZyi3&#10;c2TmCTzxkzZyQB3cneT7oZN3g9b3idb3gc77ps79vDr13k7G5X9jZ6nF6SphDCaMwIXBBN+PYHti&#10;VIDFgwIZTNV3jnsHDeoxedyIudMmP33n3W89uubLl9/Z9t6GnV9s3b/nwPHTZ8EclGAHDQ+sAoId&#10;zDfXH8QvUQpKAWJWc7pw7NiuXbs2btz48ssvr1y58pZbbhnQb2AoEDYIBoZieVbgOYGhID4KHMvL&#10;J48F5awywzAdLPoOZjHJxKv0rFZgSOhoM0QKTVgp3IlrvZg2QmDpJJ7NUP0IegDBXI+zw3F+DC5O&#10;1Rlu0xqXJJlWJFseTLKvUbvWaryvqv2vqwPrtf5PdcENICz0GR76HA9/ToAiG8lL9bUuslkX+QaL&#10;fI1FvsIjX4CIyAY89AkW/EDre0/teVvlejPZ+XpS2mq1dYnWOldnma0zTcaNY0n9MFrsy7DdGDrM&#10;k34OswlaM6cW+WSaTyYFFSmoaUHLCBgrEpxIS+fBpV0XWFbyCJoSaErU44JVK1oxPciE8UaM1xNc&#10;imAKeYPXDxo8e/bs+x568JXXX/t002c7f/j++PHjhYWFyhlsZA//Bb/dHlpyCOgW1jc1VtTWVDXU&#10;1TbWV9ZUnj1z6ovPNjz7xOOz58wePXbMgP59umVndo1Huga8XVxpGRyTwZD9KfJGQZhoNE0Fifrl&#10;dMrdnONhwfO46Hte8L2hD31sin8hxr4WYj8w0T1M7CcqBv39k9Df14E9xHJIcIj0XDyRh0OgzCjG&#10;0ou1iVJN4oI6vVydKFclKlSJIm08H4uflxTLb1EhnigmMoqJ9GL4oi5eKAkWRgupiCQynE+E8qE7&#10;Lyl4ufLx4CXB/V8X2EMBFiqUVYSHi4hIkbQlEdgScKPzZPhilWCRUjxaSsRKyXgpGSsmooVYJB8D&#10;gwnB9LyksKISXXqxLgHFUqhLFOjieZgsOiOHTj9DpUNJHieiR4nIETxykIztI6I/0LHv+cQ2ffqn&#10;+ui7bOAFQ/Bp0fcPvecuvXupwTGbs04lDddzTH+KyKbxzgLd1Wrs47D3dzlH+GPj4p2ndBswa/CI&#10;FTPmv/DM819s3pJ3Pg96vkqnGNoe2IMy31yFEApQIlAq9XK6UFtXXVVVUlySc+7cd9u2r1u37h/3&#10;/mPqlCkDBwxMjyd8Xl+q06M3pygj9ZwA/WeeIClKvtRH4AVRkAT+AMIEHpfOKfAiz0GW4KAZN83E&#10;MCKhw7updX202BCcGsXw43j9PL19gT51mT5tldF1n9H7uN7/lD7wGht8k418Qsc2selb2MxtdNZ3&#10;dNYuLLobhMf2gIj4XjKhaB91qX7EEj9hiR/xxCEQkTgAgo/R6aAfqMQuKr6DjG4nItvw8AY6+iEb&#10;e5sNv8GEnucCawTfg3rvSoNrsT5tqtE6jtNfzzD9cKybTh0i1W5a46Q1LlqbRmN2GrfSlJEk9QQp&#10;UKx0EoQ1CJxR4C1GxmwiTQbCABJJUSAEjgAjFVJMKR63JxwOJzLS+w3sP27i+FV3rnrzzTe3b99+&#10;7ty5srIydDnsf8FvsQdo4y0OAWpobKiXfjynvqyxOvdCwaHjhzas/+CBlSum3jisXywjPdUV4vQh&#10;WujM6fvyxusYcQTOjCbYOQS3Qkx52Jz2pMX5lCntLdr9MRf8yhD/xpDYykd3cNH9QuIolzjBJqBf&#10;nEfEinXRUl2kTBvJxUJniXAOFYXpWSx0Dg+fp2L5IDKaT0Tz8WgBHlEEXynTxi9IipVqYyWKdPEL&#10;WKIEixeDK2ijBZoIqEgXKSGjxUSkGOI1FizQgQIwVUL2pfplcP/XBd5QoAkUakHBIl2wCAvBlkg+&#10;gYcLJecI5rcI0osSXaBUF7yAh8qIcDkeLsdCF+ClNnBBEygDaQPl2qCiPCwsCZeUCyIiOUQkl47l&#10;0NFzdPRssyJnqEg5kSjUhM4m+8/oQmfo+BEh/SD4hCHxjRD5WAy9rw+9ZQiu5d1PEvZVButiRpxC&#10;0uMIaiTNDKe4ITp6sIYbgun7MSm99WkDYtlTJky6+/77N27adOjQIWh1Un1pGTBB9nApUCL1DXXV&#10;NReKS86dPrNv956Nn33+zptvPfCP+xbMnXfD9UMiwZDJYJSuB6UZTDToBBET9ISop/QG+dQwL6UN&#10;AMtxNM1RlJ5ljBxnwGgLzjoIIUSJGYyhD60fQOtHQX6g46ZpmLk6biVlvF+wPWZ0vCi4XxY9b4i+&#10;9wyhT4zRr6D1GdJ3cYk9bPoROvMEnXUG0k0sKwfSdE28QBsvlHsbStpdjGe05N+/0AVNepkm/YI2&#10;vVRWMUiXXoRDnyyjgMjIJ9KhSwcdO1AhllWky87RZZzRJn7UxfZgke1EeBMV+ITyvc64XyRSH8Mt&#10;92v0q9X8FIq7ieOGsNwgmu5F0V0IKp1k/DjtxOgUkrdIZ8oNAuw6Y+I4C8ulMKwJxPFgjiaW1VMU&#10;Bx6q1xtEUQQ3NZlMwaB/wIB+06dPv++++956663NmzcfPHgwNzcXTKL50CAu4jfYA2QMksXWN5+L&#10;hpbf0FR/oam6pLHq4NkfX3/7pVXzZk3q2au/2TZYJdyoEsdqTFNJ2wI6bRXjvI9xrhV8r+oDH3Ge&#10;DYJ/i+jfLgZ2ioEf6egxJnGSyzjJpp+i4yep6BmIYlQkh4rkkaE8EnrugfO4H3SOCp6lQ2cZCGSh&#10;M1TwDBWSX0rD9LJa3qJDBUTkAhYrlVWCRYuxaBFkCSAiVgBGQkSlkRl5cCYfj5Tg4WJF0IVvUfOS&#10;i1QIuiy+/4uSUgdwBdkYLl0vzMsq0kmCjxUQAVAhCQoWEcFiPAAqAWGBC7LKJAVhqhQCSCqf1iJq&#10;efnzcjpUQYThi0Vaf6HOD4Z0Hsqcjp5hY6eY6FE2doSN/8QnDnKxfUx0qz70Fe9/n/e8wTmf4x1P&#10;sI6HmLQVmG2hyjRGYxik5hOUkOl2Xzegz6JFC6H/m5OTo9QZCIMKyss/PeCFytA2zMNeX9wnVd5S&#10;SkMaiq2tKy0sPvLjT19+vvHpx9fMmTlrxI3DOmdkxkIRd5rDrDcKDMtRDNiDWhTVgqDhOYxlcU66&#10;YwASBQh+ZhrMgLBodVaNzqHDXDjZ8z/xvn+lbriWH68yzcDsK4i0u2jnM4znBdr9NildvPcF4/uW&#10;D34nhvYz4QNM+BAT+YmJwbE+wcRPMokzVPwcGc8jEqB8PFGAxUFFcgsqkZpSi/CL5i/SBV2sTCdN&#10;Jf3cAKXPF+GQqbeIiFWqE7XJ6dWqRGVy/IIqVqyO5Wtj53TR01jkKB4+jIcOEMG9eGAP4f+Y978i&#10;ep/iXQ+T1tsx8xy1OFEtDE1m+iZRGWomqqJdOi5Nx9pwgWP0OvBRXq/jRZwTcMixaI6kWUa+m0+6&#10;rY9kDAxnFQyeNGc0Gu3SpcvQoUPnz5//8ssv79ixIy8vT8khlMOkzDcfORnlwDW/aDf8FnuQHaLV&#10;HqQz0U31RU3lBQ1lW/Z/e8ddS27q0bVfiq0nxkzsKM7W2lbSnvvF0JNi+GUxss4Q+0JKEeK7+fA+&#10;PnyYDR5jgieZ4HlCGvYpIEDxAiIm5QGQDZBh0HkqeJ4KgPIofx7tP8cEz7Ih0JmLdBrEhU616KSs&#10;82S4VKrQkopx2RtkV4C/fF5WHhXNlZVPSPbwayT16C+L7/+qWs2gRT+vEYNd+FklGMRuqSjyQWSg&#10;AEyCCBQRgWIQHigFtZgECAqkWUr5yAUlFZ3soKBzLSrHfGWS/BckgdMES/BQEREpJCLysYidJ+Oy&#10;wL9jx7jobjGyXQhvFEMfiaF1YugZLvAI4VrAuSZQKZ1Jzi/wEZ9zQP9+99577759+yorK5XGBrSf&#10;dqUEF5jCvBJQACXQwEKYgZcVFRVnzpzZt2v35+s/fe6pp1csXTZxzLgeXbr63R6zaDAJop7leIpR&#10;xFKMShTUAt9sDxDuSJIlSQtFWUkyDSM8OBmk6HSWz+DFWzqYpnWyLNCk3kl6HuZCL/KR18XYZ0Ls&#10;CyH2HRvZw0Z+ZCPH2ehJFloBHFzIvKWjDMdaEcRuiOOKikGYokjJr9MFyPJ10lQSFimVJb0FCT0O&#10;aXGLiEhtUrSpY6ypU6yxU6whKVaXFKtVxarUsUpNrEwruQuYirRqPLafj23Vxz7TRz5kfWsZz+OU&#10;407aMZuyTSIsQ5iUAZQpgzFFSNFLigIrqsBHRUEjClqe13HSBbk0JFmcIDKcSLMGkjGSrJlkjax0&#10;P7bBYHA4HN27d58yZco999zz0ksvff755/v378/Pz4dM4vJzZvKRRPbwz5F+uwbKB7yhRrp8tVG6&#10;MruuoLHkVGXOe5+9NXn0kG4cO/BazaROzOud7J9ovJuJ8E46vp+KHyUTZ6n0fHlUp1wdLleHqtXB&#10;GnWwFqaqaI0qLtUMdbRMGy3RSaMr+ZA0kMEzTOA04z/J+Y5zvmOCrwgPVGpCFSCtpHJZZSBd6MLF&#10;gi45/AUicl4RCVmIpFyQnJSAztHNOk9cGqD/mf477KFA2k5JBfI8bLYysiStUbKEn00C7OEsHQCd&#10;axUVyKECubLyQGTgvCIiAAXSrJZSAkmFpglBAbaqSgOW4z5PugtITyHhKca9JZgPfKJKE6hSB+pU&#10;ofrkUGNSpLGTpIbkaH1ytEIdKdVE8nRh6OUdx6I/4JEdRPg9Q+wZwXsbrR+IYV1pzOdImzx58qef&#10;fgoJRHV1tRIuL+mI/YmBPVU84OL5i6cQd44ePbrh0w0PrL532qQp/Xr0igdCPofLbjTrIYpRUidX&#10;IGlelkAxsISnGT3FminWjtNpOtLfSevvoOnWQdenI3ZDR2KsipmG6+czKUt4+/pk/wZ18EtdeBse&#10;/4HK+InOPEZn5mDxXCxeoo2WaaLV6midOlqvjjZ2CktKCtcnhWtV4Sp1uFITvqANl+qUsU2pWkLr&#10;gJ5WLhnKpf7NkrLb5qQ2nEPBKqQVKU1Aqvm68AVZZbpwhSZSoY4WaqL5Guls2X4yvI2LfsKF3+YC&#10;T+oDD7HORbR1uloc24nqpsZdBO7EJTlwIk0SlYrTqQRrJ3k7xacQnBlnTRjLY5T0qEFwWcjAzGaP&#10;xxOLxXr06DFp0qTHH39827ZtkElA1VWOF6AcWZiBJcp8++E32EMVCMpKuSmuEmbqmhpqc2sLdp3e&#10;++hz91/XMyNTpx2WTC7m0jbSke+EjP36zj/qu5zgs8+x2UVc51I8cQGLV2uj1ZpInSZcpwnVa0LV&#10;qmj15fZAXGoPxwVfMRaAiNYa3SSf0ITKQYpJtEonjdJIyUeL8mRBFcylpLoIUm4vAJ0n5HPCv0JQ&#10;cS8J7v+6pBYob6GULckmIS1X1ohJ7aTVJGR7CILOtYoK5lDBXDqYQ0vTXCqYp4gMtloCFI5SSpcY&#10;gyIozDzanUe58ylwCHcRAfbgvYD5FHuoVYXqkkMNSeGGTqAITCGOVGkicIyga5lHxHOo9CNsxk98&#10;9tdp3d5NzVhl9YwVxN4UZub5wYMHP//88wcOHCgvL7+kjbUTYH/BF5WnksA8FALMl5SUnD59evv2&#10;7WvXrr19+fLhg4akh6IWQa+nWRMnQpcWXAGm8m3Nkgw0Z2SkSzaNtHSnm5VgXDgdINguONeDEG7E&#10;xdGEYRplXsSn3mXyPmQNPZYa3SV2/UHsuk/selDodljsdprvcpbvUkBkFOLpZbp4hTZao47UqcL1&#10;KjimIUlJobqkEBzrKrVUJS5oQ6XQfPCQdE0dCVm4pN9mD7SsSxZeptNM6JSS2kIWS0s3h+ZRoXwi&#10;VCC1R2lMFTYDBG25Uhut1cTLsHgZnp7LZZ4SMg+ZOm+zZH1pzXrXmfW6Pf1Ra3i16FrMWEcK5u4G&#10;U2fRkMkJYZLxY4RTi6dqcLuGsGGMDWdTCN6Cc0ZMup9cOXGjXO5F0zRYBbwMBoM33XTT6tWr3377&#10;7W+//fbIkSPgE5Dq1chPh1VobzX5N9hDeVNTRas9VEAOUddUX3u86PhHWz5auGhq/6jnRpxeipnX&#10;CqGfqOBZJpLPxAqoKMQ46AhUYbEaXbRWF63RRap1kQosXAbLcagNkMkmivC4MihZQEQLCOnSHal2&#10;SsMp/vO0NLIEgswAwtM/E1hOqyCYwtcvVoGsQpB0fWqoqEUwXwDdll+ji8L6v0tgCTnQe5KuW5Ws&#10;K49q9gnp3ZasRRloAp2npDGxVimDY7l0NOcinZNP21xSMq2qvEx5jBsc4jxIMglvAektJH3NA1Zy&#10;E4Xum6xIqSpUog4Va8Il2kipLlqhjVVp49AbLdclTvGJfWL0I5PvCdGylCDTeL5nz56QrX/99dfQ&#10;upRhlnaCZINy+IBp61ASpAtgk2AMEHFeeuml+fPnDxkypEt257DLa9ObIC2A6J8iGExgDwQtmQHD&#10;GygWloNgxkxxmUlkZges69+xAdfgI5P5uWrTMsL+BO54AXe9h7s3kv5vqdBuOrKXiebRiTxK0nky&#10;nk/EC+Sx/mIsKl3fAQdOEy5Vh+FQXlBJkVdJtaUDjYWgyUjjirjcQFrai9J2pFOAcuVsU1CHpZos&#10;V2ZFyvLzF0vuDx3nQkfE0FEhdJQPHQfJY8LKKOg5JpTT4jHnKch6w/XqSA20a22kTB6nypeeZBM6&#10;QQUP8+HDQngPH9hBuTdjqetox7Os42HKdrfGMDuZm3gNfv3fdD2v0UHR+dW0W8OYSMFAChyt56Vn&#10;D0pXe4EltD7xCWYMBoPT6czMzLzhhhsWLVr0wgsvfPPNN2fOnAFfV2xeOcrtit9gD2XgEIo9QBIB&#10;c9W1TXU1e0/ufX7dcxPHD+nlsY2hhXsZx1v62FH5VMF5GnoEwQKtr1jjh+pYhUWq8EgZHrkgjT9C&#10;HJRqXg4ZyyUTufL1+3nSpUrS+QDpik+pHxEowv3FrZJO1UYu1s/jnhC/LpLU/ZF7IiCpusv1XuqV&#10;yB0TaAlKkwDBQuU8R9u6KKz/uwR/E5JrkJTKyGmNlOi0jDUpWYsy0ARSTqq3Sjq1DiKjuSAqmiPr&#10;nKSLikVWa3EVgfBI4UWSBpfk7EGxh/OkN5/yKYNUysW1sIWSyEguFs7BwrnwFemLkOeBPcQqIZ9Q&#10;R3PI8BE2tNUSetvkeIBkXIKQnZ0NreuDDz44deqU0q7aSdOC3QRLUGYUoO959uzZnTt3vvvuu/fd&#10;d9+kSZOgcFJTUy0msxGyBFIaNTLRvJkVpGdg4JTkCmTLYyRIBuwhheIHqLhBydywZGGSxjCXtD/I&#10;uJ8UQx8K0c+F2A42dpCOH6PjZ4jYWRzqQySPiEi5snzdWh4WypOvdZankfO6cH6LlMxAkdQbu0hS&#10;n6ml4YDyQUo1aEvKYJQkZb5luVSfW4VLOkeFzjDN10dA9nCWas4hwBIgjYCwAFsFUzAn6KNUSKMC&#10;wVKNfA2F1n9e58/V+XJxnzS+SgdPM4FTtO845dsthDYbIuvF0DuU6zEydbXGNEtnHKMzDNKJ6YQ+&#10;gIHpCgIlUJxBum38Ilj5EYTgFsoDawGbzaack7j33nvXrVsHvg41GTy+Hd7E8xvs4QI4xGX2sPv4&#10;D0+9vmbcqAF9nJaJOPcIkfaJED/FePMYbwHtyyc8BVpXkdZzAQ9cgIMNVUfuX5xkQkfZ0GE2dJSL&#10;H+PTT0hXssbPMPFzVOw8GYUoBt0Eebg8WCsNdATqVRCzIqfYmKLTICZ2RtZZEB0716IcOgbRvJiQ&#10;zQAPlYIwqZcE/lQuV7VKrTSuAqrWSG/9omvzzwV/85Lg/q8L/uYZNtw8CNvy6I7ci92o1SSwcKku&#10;XgLC4sWyCjHoG0o9xPMgyVzjuZSkHEoqEKVkFJ0CyYV2EsTFTlykItJdCKI8BZQH7CGX9uUy/jNs&#10;8DQbhN7cCQ56dpFjICHykxD7SYgfFeLwF3IZ6bqUam2soUOgMQmOUaAA9x/WB77k7M9dq/bxQlZW&#10;1rx589577z3oebV2opvr0J8a2E3FHmCvlaRh//79YAwrV64cO3YsJFWRSARCjxSJeOjJMtKoEc3r&#10;CckPwAmkR+mBYciuAPMpvN4uGr0GyzTCPod2rhD8jxgiz5nTP9QnPtWn76YTP0KigEEOF69VxRqv&#10;DTX9PVhA+CWBu1PBfIizdCiPCUNf+zQVOkVHJDVXBjiUYdAxIXxcemRL+LRcA6X+vlzPocpB2loK&#10;+b186ks5ydymlP5HcataOijw1gX5xHWryrThclBzbiqNLsgn2KSVKuf5oPvY3EbkceZ82CPcX4T7&#10;ijBfqc5bgfmqcX+t1lurdtcmO0D1yY5KrR++fpoIH9UFvqKD6ynfs2LwLoN/muDqr09Lp4wiq2cZ&#10;USMacel+OskSFDOAGXipLAEUz7BYLOFwuFu3bsOGDbv99tvhIB48eLCoqKi9pRG/wR5qpZ+qbJAv&#10;W2psqpGy5pqG2h9PHHz6hSem3zBwaKptqo55lEn70Bg9g/vzdf6CZgUKsWAx1DlJEWnsCDqhhNRN&#10;Bp1g5QrKhk5BUgkVmggWYcFyTaBKE6xLCtR1CkAMarhWEvRiTrNSPT7T0t1WajP0VqBX8nMklc4T&#10;SH0f6c4yonmsU0pX5Y4J5CWQMVyQz1JUgj3ofm3PSFrFv1vwN6V0QelwyWpdV/PqlHMesF+YdI6u&#10;XBr6j1yQhncixZAkyQ2ysCUnkK4JkZbAJ8PlIG0YGuEFrXSiDxoelAz8HfjjShdPWW8x4SuSVUj4&#10;CnBfHojw5ZD+c6T/LOU/A6IDp2UVYlmg82RGHpnIo+KwOil2JPvAv4t0obNE8BAf+opyvfR3JoM1&#10;9k1kL5s1b8O6D86fzVHu/JLvoJQqDghmQBBE/wSNDCKF4gRKyJCe51Nd31RdV3a+8PiPR77bsu2Z&#10;l16cuWhBZr8+znDIYLHaGGMqoQ92FHydBLtOtEg3MggEy+g4WicShEgaaJ2T0GVrsZuSqalq4Y4k&#10;wz/UlvXJqZ9pnN8Q/h10aC8fPwzBnYufJqPnyCg0JYjCUB/KNKEyNVT7oCxldEgeFIU2It3233zE&#10;pfSCAkGu2XweDtTajpTqp1Q8pTX9JrVW11b94gNQCVukJMStkha2fKz5u8pmSA1BSmgKCHA+edfw&#10;YBEeLCFCF0B4sFS6GcgPuqDzg5HkSA9FDp+mwoeZyEE28r0Y/UIIrmM9jzH2VRrxFg01Nkk7NFnT&#10;GSPTGL2NFlNIzojTBozWY5QeZkjWAMkFLV0gIMI8DdYhimmpXfv3v23hgqdfeGHT198cPXqsqKCo&#10;pqISQqFUiZXaXAdRUeoDKZXhz9Qf+g32ID2aW1Jz+65plO6JO3Lip6eefnzO4IEjbKnTtMxjXNp7&#10;lvA5XahQEyrUhgp1cLAjhUS0kJSuLgUV4dEi5apT6X63KPRVTwrBM1zwLBs8T0s14AIWqFb7IWNo&#10;6uBvutbf9Dd/0199TX/xgc1IF2jK57JyoVtEhaB/BLWniJCGTSEPKGtJESBpgIahnIuWnlzEhk9B&#10;/wj66ay0BFIBCJelunCFfJ1Ga0X8IwuaTbUmXKUJV8rdLuhwwZYr5ySkfZEFHT3peg9tqCkpBJ36&#10;xmTp0qM6VahGHarRNF/rBVmUMsrcnFoR0NKCJfItFEV4oBBEBPIJ/3nCn0f6c1tF+auTu4BKtFmF&#10;ugx5XBu2Cv5UsIyMFFDRM1TkIB/7hvK92cHYjbZcF81eMX3u52+9n38mByoMNBjoccnXQktqNYmr&#10;ugHBTlVVVVVXV7eGA5jW1dQ1VdZX5hUf2LLjladfWDp3Ud8bhvqyMsSgj7ZacU60qni3Suz6H2LW&#10;X0WX1mTFDCIlagUu2cB0MmMqI2bkVBFaOwwn7lALz+hSvk5K+07tPt3JeSbJdU7lydX687EgdHEu&#10;qR5IIOgyQjNXcnHwCXgJ7f0oGzzA+rfw7s9o+1pav0ZH363RjcZoP210k6ID42w6xoaxVoKzkrx0&#10;nx2IEsyUYCR5I8FRFJtsEAWXw5eVOfDGYfOWLX/lldd2frezvKikrrxaejC4VK0bpUdT10hdBKUa&#10;KDNSr+jqP/H2++0BkonqhvqjR358es1jcwYOHJmSOk3NPMamvWcOH4FDRYVPwVTKZ6OnWFDsFBeV&#10;JM1HT7coh4qcpyK5dCSHjpxlI6fZyEk+AmnvESF8QAzuF4K7hcAuwf+94D9LBiC0KTeLQWiTTie0&#10;DJJKD8OQnkIhn0YjpQFTyCGkUU7pLmspz1BGb5T0GexB6rNAViv3rC+pZH9MSdf8ySlFa/e/NQNQ&#10;+n2t47xQDpCKSdmYnJCdVqTc9EBLWdQ5yKVkSXkVZFcg6eoUqWSkvmTzj1JIOgViQidl5RJdQKeY&#10;rBNsxjE+foKLQFOED5/nYmf5+BEuussQ/4wLvJhkyqZN/cOZy26d9ekb686fOttUJ99kBKHzz2UP&#10;khm0GINCZWVlUVHR8ePHt3z+5XMPPjZ7xPie7oidNZhInuNFjGHUDE3RnMCIdsqQQusZUZB6pzSE&#10;J9JFUN1UeB81MSmJWqjiH9WZ15GOL/jAHiFySIw11wGpGoQUe0AOcbmUdiG1FPlqDikpwWFJKJcJ&#10;H9NHjxij35oDm3jHOsbyiNY0p6NpYpJ+VAe+i4bJ1NBpNG1mKJajaJ6hBeXGQ8HEgEQjLQoYy+lo&#10;q2Dqkeg8ffzkx+578OvPNh7au784v7AB4mHz8f9FdYaKUSPT/Pqq5bfYQ0N9E/ihYg/10PAbaurr&#10;j/x48KnHHp7db8AIs/3WZGlwaZ0pcpgKnyDDJ2Aq6zgNipwEY+DAJCSdblEOZL54KAfMn4TABJ+J&#10;HAd7EKOHDbF9xsheY3iXIbTTENxhCJwlgxfky91KQC0mIeXR8iCSZAxKyKMke4D6UQjCpRwih5QH&#10;o2QpwVRKY+W+NtShSyrZH1NS6FdsQLEEquVCEWVkoGVwQH43dIyXdAKk3CcoW8UZ+ZZySLwutodz&#10;WFASHjpHhKD8JVGR02ToFBk6KV0c0iJI18guoFNs1gku45gA9gCHMnJGSucl+/+JjuwUop/Svuc7&#10;GrMIQ59AYtEt0z9+5c2c4ycba6Xnjyr20GoMcu/i6raH5pAgA7GgrKwsJydn957dzz777MKZc0YO&#10;uL6PP+5njDaCT+OMDC3dooUJPMOLgqC3skYTqycElmEZA8N4KTbOisNI/RjWfLfRs8bof8cU/soc&#10;+84c36+PHRSixVS0iJQexqUMOSJ7uKLy5bFTaPXQtKXcWk6voeOYQ4aOC+Gjhsj3KeHt5uAms/ct&#10;Y/BxffwOMTiXclxHm7pqmVQCN5E4Kz0fnCJ5mmUZnuWMtGBmRCtjsFCiiZBSCrfJnhGIDOjee/rk&#10;KU8/sWbXjp3FJSVSjgDJccv9PVAfYAF0HWAKL5ury1XLb7EHaNeNF424wau6xqP7Dzz94EOzew+4&#10;yWCfmsQ+RDvfNsVOUnHpMiT5oUm5ePRnEdEcInqOiJ4lm1WqjlUkxyvUiQpNejmWUYZnXiAzi8jM&#10;Qkp66uo5Kv0MnThNJ07RiVKddMNEpSZSoZFuzizVSaevpft7lbveqMg5JnJWFkT/Cq080gJ1Rak6&#10;SvSUzzAXgD20nHyD6cU17A8rqPfQWz8lD5Qpo2RKEt36cxStgoXHBOl88gk+clLq40sFAiUjjThD&#10;iJGe6SSdNlROGJbrMhSVQcljGReg8PGMIp30dJ1CLFEgKx+EJ3Klx+9knSYzTpFwLGLniDCYemFy&#10;oFQbLtBGz+liP9LpW/HwO9dYswhjr0BiweRpH7z8xjnZHqTWIg8uKYLqc9U3Grl7KNlebW11dXVh&#10;YeH+/fs/+eSTJ55+6sZJY6PxWKrR4iP1LhXtTKJcOs5Mc5AqUHpOp2c1elon0phIkaLOymIJmh6v&#10;ERboLO9cY1/f0XUkOXxKG83D4+fY2Gk+ekgIHuSkAaVmIWP454KuHrT3cq3U9mvUkmrV4Sp1qFwd&#10;KtBJj0M+QQdPMKEjYvgkGz+DJXYS4c9VrtW4ZUEyOwAns0nCw1MpAiVyhMCQ4BR6krFgjFtFu7Wc&#10;BxPScN6OS7+2ZBONGfHEhIkTHnni8fVffL77p4OnCvNKqiugnit1A7wBUOavdn6DPUg/9ADNXH5Y&#10;q9LWG2sbj+zZ/9T9D87q2X+43nZLEns/7XoDej1s9DAdOUyHIY04TIRkBQ/pfKCDOt8BnW8/5tsH&#10;wn1HdaETusgpLHoaj58lEueI9FwyIwdPyLd6QlSC2JSuqBiLXgBLkKVcplmIyye6my/m+/mmaKgo&#10;kj3IDqFcCKEMyyhXBCldMEgs5JPYv6hhf1hJ9sCGTzHymXnFGOTbTZvVkhuB5NtQIznKGUhSumlc&#10;ulCYkK9kVa4kabn8Fwozn80+z2Tl0Vk5dOZZMv20pMRxPHYMRMSOyjoCImMHtdED2ugePLwbD+4h&#10;/Ad0nh+17uPJ7tMa/wks/BMR3SVkbGSjr6jSMiljz2Bi/uRp77/8xtnjJ6WLGSB1uMQeIHFQdDUD&#10;/USwh4KCgu+//x6ShmnTpvUZ2D8tHtSbjSxB2nS0i+DdpJBKcpAiiNKTpxmaJSga11OkhaV9ItVV&#10;5EcaUu5kHU8Jge+04d26aG5SJF8VKdbAgQvnsuGjYvCYEMjT+kHndYHmkaXLqgcSCJIGSBeg1Zdp&#10;pZvAQeAQyum6Ikx6wOVpKght56QQzWGkC/+OULE9RPAN0fcs41hkSptsSBmoN2bp9X6WsVGMBSdN&#10;OJWC0U4tbddSNg1l0pFG6acoaJ5mTCZjKBoecP2gaXNnPfH8s5t37Th9Prf1ylclgWiuJVc5v8Ee&#10;pPEk5TfhFHuoke6PO/rDvqfufXBGjwE3iGnjk4R7WO9LKRkfcp71tHM95VhPOj7F0z7VpW7QpX4m&#10;KW0DlvYplraeSPtY1jrS8Q7l+pByr6e8XxK+rbj/e13gR1XoaHL4fMdoYcdY5bXxmg7pDddmFOpi&#10;0m1ftHSBv3JTWB4lPUBJeWJrgfxsJUXgCmAPypVzypV5l1wtd9UJIoKSMUB+AH6Qp6RB8nLF9pQR&#10;J8UtGpKikpKjdbJqQSrpaQpVIE20UlYFSBv9TkxsF+Lf8tHNbPgrKrCJ8m8ifRtwz6e45xPCsx5E&#10;tgjzfIx5PiRdH5KOD8nUTzHbRp3ti46WzerUrzDP55T/PUPsBX3obtweY009Q4l5t0x/75U3z544&#10;1QBVpiXb/DlvuPrtAQJBcXHx0aNHN27c+Mgjj4wZMyYUCjEirxZpziyyPMMTuJllLSIvshTLk3qR&#10;Noq0gyS8BNmDEK5jjZNY/SLB+rDB8ykvPWKgWJ0oVSUa/x5puDbU0CFQpvYV63xnGO9ZxqeMJrWe&#10;dVB0SQ1BAkEDV67UgOZfIV/KUa4KgqSBBOhKQm+JCJ0hAkU6f63WX4YHi4ngj2x4Nx1YLwZf5r2r&#10;mdRpjHU4JmZgbFhNpOoIG0ZYCNyA6/QExtOEwFIMR5Gc9ON2jFEw2q2BePSmsaMfevzR9Z9tOHDg&#10;gPI0DrAHZZSpua5czfwGe6htqq1tlB7FJ52grpXtoabp+J5Drzz+7JwBNw4yOIYl8QvItEdTEqsZ&#10;4wqMXpFMrFKR92nYhzT8o2r+CY34pFa/Rmd4AjM8QRgfIyXdTosLKG6RjlqkplYm0/equcfU+le0&#10;1rcw8BIXGMZOMryHiR1i0/cL8X2G2EFD7JA+dpiPHeGix+jIKUq+vA+LFkiXQkmP7y4DyddZS9fz&#10;6ELFLZIeidqSLjRHVUlSMysiI62S3v3jtT3YYIj+0KOEGaWXVCpfvCTtoDZYID3EOyidgKEj55lo&#10;bZKkGlWsUh2r0MSgWIqx2HkqnkfFz7Lxk2z0KB0+RAYOEP6Xzf4Xjd7nROcaxvoIbrpPK96r4lZe&#10;S6zsQK5Kpu/ScPdg4r2E4R+U8VHcDHqIMD5E6B8ihMd03Bot99jfyUevIe65ll6t0d9ucM6xusfo&#10;rX7e1CuasWD6zPdff+v08ZPKL8bVNTQ024PiCjAHr//wzQcaOdA6iKzMK33DoqKi7du3P/3009On&#10;Tx8wYEAwGDSZTBRD62iCN/C8nqN5ihGlH1jGRRwXdQZOl0rqunXUDVExy9X2B1nf26x/PRf6ho/t&#10;ZxNHmfQiTbRYHa1WRapVoWpVoEzjLdV58wlPPuH9RU1A9vBPJOVbLSfhpGYuN5MibRAknZCAD1Dh&#10;XNkeckhvIe0poXylpB+iBISFM2TiABn7Ggu9TAcfxJ3jaev1ai6iIRwaLUdrWFbL8RijJymR0PE4&#10;CBcZCg6xyBsMBo/H2793v1tvmfryyy/v3r27tLS05p//CtZVl1j8BnuoaaqtudgeZJ3Ye3jd86/N&#10;v2H0IItniFqcorXcznmnc9xkCp+C6W4jiEU0ezsj3EFBYmH4B2e6lzPdw5vuFkx3iea79OapJnG0&#10;kb2ZJUZRugm4bhpBzifZ1azpAT7lGdr+PJP6Ou14m3W/x3g+ppwbaOeXjGez4P+eD+3hw4fYyDE6&#10;epqSfu2nAIvLT5VJVGvTy6TnTYaLW56GDZIcQjqV3ZxDtHa6m+2BipbQMRDMwMs/ZtuDzYbth9oM&#10;uTN0jioha9ZIXaQyTahEK/2sUAEVyWdjhXy8plO0JilWpY6XaxPFmug5Xfi0NnSYDB0gAjtwz2ad&#10;Y5PGvkFj+1RjvTsldbXFvspoXS6aFrHiPIqdSzJTkjVT1dpbdfgMkp7D8fP1hgUG4528GbRCMK4Q&#10;9CsEYRXHr2a51Ti7Uk3OUVMzKGGCxXa9zZptEJ2cvkckfcH0WR+89c7ZU6eV68ChrSh2IDWZq8ce&#10;oDEDsAdKawd7ALMrLy8/fvz4119//fjjj48dOzYej6elpen1evnOKoZhKJolwRtwPYkZyOQUItmE&#10;aQ0aq0DEOWa8WliAWd9UBzZQicN0+jE64xSdkUOm5xHpRdpokSYipbzaYIUuUK7zlUtPSPSW4r+w&#10;B6R/JvAGyLCVE3LKxRrKs3BaGzsshM/k0OGzrO+04CygXMWEuzHJ39Qp0NQpUZmUOK9K38lkbWAS&#10;q8zhWXRqX0YfoSleui1CR4parajViDq1HtfoCY1AkpAV8iykEyLDOwzWRCA6efLkZ555Ztu2badO&#10;naqoqGiuQ78EqhDUpeYXVwO/wR6qmmqqGmuks9MXZQ+nfjz58ZsfLpo4vb8v3p00DdIZbyatd1Om&#10;RzjrC4LzNb33Pc67nvZ9Tvq+JvybCf8WzL8Z83+N+7/EfaB3Bc9bousVPu0l1r6Wtz8vpD6vT33a&#10;kLpGb3tITLmfM95FCytJdjlOP9CRfPJaZm2S8Caesp52beKlJ9f/IET2C7EjTOwokzhDS8+FzaXS&#10;z1LRU3RI+kEI6T476QfgoDcBne4r2YNUsSBpKKZarg+R322tc38UKbew6qQRs0p1uLpZ0mm3C1rp&#10;A7ls5BwfPSHGjuujuw3x3cbE9+bENnPsK33oY9HzPu96TXA8R1se1PF3qcg71OSdOLuaEdYlmSQl&#10;m99VWd5TW9/VWt/V2dbprO9itneJ1Pdoxwec6yPe87Hg/Yb0g75kfF8w3k2s90vW+xXr/Zz0rNc5&#10;XiQ9a1jPEtE9mjT3SKYcjNgjkbVs7oINH3wMuTa0B8ULfrYH5TW0kT+8PShIu9ByAWtVVdXRo0ff&#10;fvvt5cuXX3/99X6/H4yB4zhKhqEoIwVdTELAMZbUsrSWFbQCp7Wx2u4iP8Fse4LxvM6FD6gTx7QZ&#10;1Z0SVcnpFdqMYjKziMo8x8Tl292lB07kUsFC6Sky/nKtpF/UBKR/onPUL87PnZHPwzU/seaXOib4&#10;91s8p3hPDu1pvNbf9Hd/03+EGv4Sqf97+jm882G2yxup2U8Zw3Ms7pFGS9TIuHgshUzmyCSeUrEi&#10;wepJkidZjmFohtNSvJYy6zgro/d6vUOGDFmxYsX7779/4sSJ1lEmBaX+KDRXrKuB32QP1VWN1c32&#10;IHsDqDS3dNfm7x9aftf1sS7pWq57EjMUMz3E2F62+D9xZnzh7rzFlvWdOXOPKfugmP2jmP0Tn/Uj&#10;n3mQz9zPZ+zjM7bZMrY4Mr92ZnzpTP/MmVjvjL3vjL5q972Q4n7cnPagPuVOTn87zS0mqHs74o9e&#10;Qz7dgVmr0r+pMr2nSVmvtn2pSduide3SuPdofT9qA0ew0AksfJKWr9iBiMlG5X5E6DwWKMCCkjdc&#10;yR7++Cq4oj2oQqXJgRJtsICEPY2cZEM/sYEDrO9bU3SzIfQ55/2IdrxD2F8hrS+RKU+QpgcxYZWG&#10;WqrGl+rI2xlulWj4NMn6WbLtc03ql7jrG9q3hQ9uFcI7UxI7UhLfWdMl2Zp1QMg4KGTsNaTvNabv&#10;MSf2mtP3m9N36dO389GPTRmvm9NXir5RGn2Pa4k0Wri+V78nHnx457fbCwoKaqWOd3P28HPeAN5w&#10;9dgDAM0bWjvszr59+15//fWZM2f26tXLbrfTNE0QhJI1ACLHpbCcmaIMBCFSmIElzEbKZqR9eqqf&#10;Xphqtj/D+t4HC9dlncOy665NgENUqNILpesv4ifICOgUG4G4liM9vlS6UbFc+hHAwCWVAemK+vX2&#10;cETw7wF74Hw5rK+xY6Dx2kDjf4Qb/zPS+LdEHpZ1gu3yblrntebYUrt/kjWtm90YN/M+gUzhcTOH&#10;6fWkaKB56a4VTs813z0H9qDHpLslII+EijFv3rw333xz//79Fz/w9aozBoV/zR5qmyorGk6dzHtx&#10;7avX9xuUSglONZnJmp6E3ijp3srHduszj9CZZ7CMIm1WjbpLvbprY1KXn5XcpbFDpPHaYENSuC4p&#10;AoGvWBXMVftOaL1HtZ49uOsHzPEtlvqNzv6lzrpeZ/9Ql/q+1r5OnfJGsunVjvq11/JPX8OAnk0S&#10;XtJZ3uCc64z+D1JCW83hfcbwT4bIYUP0JBeGTOIcHsjDg2AMiqAySQ7RYg8F8nk/5dRfa237Q0nZ&#10;WpiCvRXLJ99K5GQIkmVwwSP6yB5TeJspsNHk+cTofBacVbTdT+rvVjP3qJkHtMKjuOEp0vw0aXmO&#10;SnmRsb/COd4Q3W/pPZX/n7PyP1xVf3HXXOOr7yAdhcbkSH1ypC45XJMUquoUrOjoLwd18NVfmwBV&#10;dYqXJ8dKVNIoeZEmls90OY1nbuWzP2DTV+pcI//O9/074+KME0eO/vi9D04fP1laWlpdU1MPfSjZ&#10;F646e1CaNADecPLkyY0bNz744IM333xzIpEAbxAEAewBgoKSQIBJgD1YaMaFUSE12bsDOTiJm5As&#10;TNEaZmjEOUns4iT24WT9WjLtM8a/hY8epuOHmcRRNnGciUsiIyDpoWHyNRf5pHQqVbrk7LLKgHRF&#10;QesogBYt63zLo9Kk3qEsmFfeAp2lQseZ0Bk2ksPG8knpqWU5eOwUGT/Cpu8U07/kwi/xnke1lqUq&#10;dkkSu0JlWKg1ztKIIzHhejWV0BIhHeGgaCvNmmneRAtGRjSQokhJj28yGo0OhyM7O3vChAlr1qz5&#10;6quv8vPzld/FurhGKfNXBf+qPVRVN5WUVm388puZ02dl+SIh3hSh9asx0xOk9XXa+SEf2MxE9lDx&#10;w0T6aVX8bHI8PylRkJxeqMoo1GQWarMuJIfKkwPl6mCZ/AQk6aca8OBZPHCGDBxngsfo4BE2+BMX&#10;+kkI7RKj28ToN3x4E+39EEt7S2V5qZP+sb+SD/0n9sC11OMqYQ1leVZIfd7k+oh3bqUdP7CefXzg&#10;GCvd1QV/MBcPKtXoF/Ygx1wwhvO6QPOFgxdVuD+OwMaU024wA5kEmARM84kQeMNxNrSH933DuzZw&#10;qW+zltcZ08OM+X5cvFtF39ORvL8Ts0ajfw4zv8043uc8n+mDX5tjW6Vxp/RtpkRZcqBMFShXBcug&#10;/JWfiGi+1itUrAsWagP5at95tTdP5S1RpZeoE3na2FldBPKzo1joJzy0n0v/Vhd4jQ4+TLrHqY09&#10;OjFdOUuPeOaqxct27/i+vPSCdI5OPhMHutQeapVFfywuab2w7bAL0AE8derUp59+es899wwfPtzn&#10;8xkM0m8XN1uCKII9yM+EpgWWNVKkF6OzMH6UyjAFt63A0+6iXP+gnXdpzXckC/cni49jlpcx65tE&#10;2mbCt40M7JJ+0TN6mI2fpuJnyNh5AqQ8lLf5iu3zl1UGpCur9XF+8oXsUrtWbqWWJTUcue2A8qT7&#10;QMPyM/Djp+nYcSK8nwjtooJbmdDHjO91LPVhrXH1tfSia7CVf6fWqGwPE477adc80TmFNPUmhEyM&#10;cROURUfqdaRAsiLNC5TAU9Kj/cAhoNMAJuH3+0eMGKE81v7w4cNlZWXKRQ3SMNNVda/cv2oPFeAQ&#10;dQ37j59c8+wLk8ZP6pHIdHGGwTw5lMHH4vh0hruTs6zhHS8yzncJ94eEZyPh30QGv6LDX3MQ62P7&#10;ae9PtPsI5TlKe0/RvnNMII8NFVDBAjJQigdLsUCZTvqd/Qpt4DT0triMfXz6bvgiF9rA+Nax7hfY&#10;1DWs9V7RcidnXMALc1huOss8omHeS+I3as1bKcdBxneUlX6YOld+SBlUo1Z7kM5cgfAQGEPrpeV/&#10;zAQCKrfy2KjmOx5oKX0+xYT2Up7tRNp63Pyyln9SQ92rwe5Wax+lzE+AU9LWV+jUdxjX55T3S9q/&#10;Bw8dJKJnpDvdMkp1mRWarEp15o+870dB0iGQ6D8I0vsPGAL7Df69et9u0bOLd+/kXTs55xY68A3t&#10;38B4PmZc69i01xj7S6z9Ec5+h1YYw+gHCfpUA8u5jLZ+6TNnzHjzpVdPnzjZUAsm0ARtoka+Le6q&#10;sAel9bY6RG1tLTTsY8eOvfnmmwsXLhw4cGAgEAA/ACdQRpPAHsAbYIl04oFhwDTMPJfBGG5g7at1&#10;3qfo2OdY+iYi4zMi+g7pf5FxP2Z03q+3LeGFRQR9H65/kjC/RqV+RXq/Z8I5uth5TL45VJMo0yYK&#10;cOlBvFDnIX5dUhmQrqgynfRcMumSDfmhZBdanwKrXOkn3zQnXeGqC1eoozVJ6cVYRh6e/h0X+Yry&#10;vco5nqRT7iX1d+HCHTrubi0PR+cJ0vIW5vghKfItnviaTn/ZmL6GDdymd49ibZkE79BSeg1Ok3DY&#10;eZIVKEb66QioD+AQyhQcYvDgwUuXLn3ttdf27dvX+qMRrbXrquA32ENdU12ddN9Dg3R9otInlG6F&#10;kEJAXmHx5m+3PfXkU7dOmtw1kd7HntpVEDprie5a6kbSOIG1T2NSFzKupZxnNRe4mw/+gw89oI8+&#10;bIiv0Xue1rue13vWGr2vG/1vG4PvGcLr9eENYuRrIbZFn9guJLbz8R1c/Bgu3Sh3nkgHncPip/DY&#10;UTK2l4tu58PvGXyvsql3c4ZFODVVq1mEEXfT/KOs8Wm9/S2D+32jb6MY+EYIfidE9vLxA0LGj1zG&#10;ATq2H49sgwbMp7/PRd5hQ2/wwXfE8AYh+g0b/Z6IHNJGjmij0q1hVOIQl36cSc/F4mew6Cld+BQW&#10;PktKv7VwHrp4WOSsJnBGEzhCh3+iwzto33bMswcLHKaiJ5n0c4TU3c5Xhws1EdB5bSQHet945Cge&#10;OUCE95HhvUJ8txDfyce3colv2PgmJn0jk/iMjm+kY18ysS1sdDsX+56P/sBHD1Lh/Wx4txDZZgh/&#10;ZQh8YPSsMzhf5q0vMKancX5NMvnYtdrH/qp69C/Jm5Nd32q8O4ngXjZ2UMj4Scz8SZ+1n4ruJ6MH&#10;yOjBZsUOkbFPTLH1pthH5tiHlth7KdE3LaFXTYEXLP7nLL4nU7yPmlwPGh33mxwPmJ13sJ6VrHcp&#10;517IOWax9il0ykTKPJwxX0+IXThDptES9ri79e0xavqkV155Zce27UUFhY3ycGt9Q0NNnfw0S6hA&#10;8E9xCMUk/nebibIx0vY0NNTVg6QZ2Fzll7HrG+rr6kqKig/s2//Wq6/Pmjytf9eePluamRcFmiEY&#10;EmNJNYdjPEnpaSNDmUjSR7BZFD9KR80jDA+wzvVkcDOTOIVnnCEzT+iiB+nILiG0wex7m7c9RLH3&#10;qPB7koQHVIbHdSlridTXGc96xreBDXwrRHfy0b187CAf/0mIH+MSx9l4MZZeiKXnY4kcIn6WiB+j&#10;Y0fp2CF9+j4hvoOPbOYCXzC+zxnPZ4znDbP7TZPrbaPrXb37Q4PnM9G3Se//Vghu54M/cMG9XPgg&#10;G/mJjR5ho7l4IE96/GJQeqIloZzZgvQxWK4J/vzzgmpJFViXcqxLqS67WJdZqEvP18XP66RrBfPl&#10;p8oX6eLFukSJFpReqglf0ARLtMFibaAQg1xcWoX8Y3Phs3TkDAWKnpYUK8CCJTp/kfLkG+mPJEq1&#10;maWq9DJVRqk2vUSXnkNGTxLBH0nPdjH6hTH9U33sYz78gRD6QAx/YIx+ZIp9aIx+KEY+EMKwfIMY&#10;22RMP0DG8lSRAk1M+ms62Jj0UnW8FLwWZjSJYk08XxM9r47mqqH1xXexmdDcPidDrzPel0jnE3Tq&#10;A1rTXZ3Y+zvyj6kMr6lt75Per9jwD6z0AyonmdhxJrqLi22lAm9xgTWEc3aSOCyJ7tYRc2C4jSDA&#10;HTheeg4HSPqNIfAHmtELojPN0atHj9tunfbi2rV7fthdlF/QUAfxU6598hWuSl8E+MM+nek32MM/&#10;A3ayqqqqoKBgz549b731FqRUEwYPuy69S0aKK8iaI7Q5QVvScVMXzNwdtwzA7YPItBsIx3DSdRPp&#10;GkYahlHCzbRhDG2aTFum0ymzSOsSKm0l7XqA8T0mhJ8VY2sNiZf16Xs6evP+w3XhL77Ka0L1fws3&#10;dIg3JKeX6sAwErsMsa360Mt27xOWtDtTLPNTTNOshplG/Uy9uITVL6f1/8BNa0j7S7T7PSr4ER3+&#10;HAt/qvZ/fK3rmU6u29Xumbq0qVrbeCJlCmlborU/qHK83sH12V/dW67xb00ObcfiX/PpPzAZp7Tp&#10;R7Wxn7TRn7DIMQoaavScLpKrDp1I9h1V+b5nw99S/tdx2yudTB8lObdioT104qgmcjQ5dL5DqCAp&#10;UtApci45ekoT3Y9Hf8CjX5PhjUTwfSbwFuV/CfM+ofU+kOy6o5N7ZUfXyk7uVR0d93RyPKpKexZz&#10;v0l732MDW5JcX6idH+KOtYz9Edq0hOXmU9RsCl9Ek6sp5klSeBk3fKQ1faq15P81WHBNKL8j2BK0&#10;5PQzZMZpKuMQm9jHxL9jIt9QgU2k9xPC9THufFQfeUgI3cv7VrGeZbRjDmWbhpvHkcaxlOkmzng9&#10;LfQjmd4k3Ydhe5G2XpS9O23rQqWkE6YgJnq1vJs2hAy2dG+wf9cet0yY+PCDD3300UcHDx7MycmB&#10;6g6VXoq3SrT9AyIZgzKVTAz080xjU21l1fmc3J3btj/39DOzpkwfmNkjbvekkrwBp40USwq0ViA7&#10;6DGNgcAMhJXEnRTVHeNGEcJjGu5NImUj5zlMBE+R4Vp1tE4Tq1WFyvBwARver/d9y6e9LRhfoQ1r&#10;SNdjlPMhKu0eynYXmbKKNN1JGh+mU55lU99inRtZ71Y+uI8JHWKiZXjXErxrAdHlLNX5JJ29T8ja&#10;LWRtFKIfsoEXScejWtPdyfztSfSyjtTNHD6axcfT+FSKnEXTtxPcKlJ4QXC8Ijg/4DyfCYEt+uhO&#10;Q/oPxowcEgJ3iz1Agq4OlKv8tcnBuuRgQ5L0I6PSQ387hZo6hapVvSpVvcvUPUrV3Yq0XfK1Wee1&#10;mfl4ZgGeVYxll+iyy7SdyzWdKzRdatSxOk20ShepgE46pOlUOF86Sxw6w4al3xfhY8f59GN8xjE+&#10;q5gA1/GXSE8jjxZhmSWa7DJV1+qkbrWdulequlxQZZ0gIgcJ/zbK+bI+eL8xcofgW0ymzsJTbsNM&#10;0wjLrbgZNF1ruk1rWqBLWU45V3O+j3SBQx0CJzpFz2kySrSdL2i7VGq6VOm6Veu6lWu7lKizzqkS&#10;pzpFj3YMf6UNPUv7HsHS7k223KEy3qkx30uAZ6euIR2v4q73SP9WLPw9mThCZJ6hYiW0p4T0lhC+&#10;Asyfq/Ee0vm367xvatNW6yxTVWwmjocwraDHBIEQWR6k5yQZeMHAiya9wWlPzU7PmHbL1JfXvvj/&#10;s/cWYHFl2drw8/3ff/9779zpjiHlCoW7V1FYiHtwd5cSHIIGCCSBEAghCRAhIe7u7u4uQHAITkGh&#10;/9rnEJpO99zpmUlmpju8Wc/JrkPVqVP7rLXetbY+une/tfkTCkQwesDGS6MB04A/Mj3gvxB8QVdX&#10;V0VFxZ07d9YVFKbEJwR6+jjMW7hw6ox5plZzDPnz9U3n6fAWanJttE0dtExtVI3nsbTnK6jMZyvN&#10;pbHnUBjzCPSFcnRbWbqbLMtTXiGYoCygqMfRdJMVjNI53ARt/VgD7SwdvVx9w+3qJofV+JcVzW9R&#10;ePcI3OfyvJcEszdEs1cEs5cE/hWyyQGK3k4Ztc1/Zq//D+q6/0tZ/x+UTT8olMuobpNTL5dX3yKv&#10;tllepURWacWPCgn/zQz/kRE8ge4pS/WWoYZNosRPoOX8yFr/Z/aWCUob5VU20zSLlHTK2XqnKEaH&#10;6UYHWcY7lIzLlY3LlYzKOUblCkabFYy2KHHztU2zlAyC6Rx/OXosWX0ZS3+1EreEbbSRZbSfYXKE&#10;xTtGNTxBMzhJMzhG1z9C09tP1dlF1SqiKBeQlFbKc9JkOUsmscUTFECipyhHTWTH/MhImkBbJscu&#10;pKmUKGhuoapuoigXyysWyTDzJ5BX/YmQ+5+yRf9N2vwDfd8U5dMk7Ss0o7tM3n2W2T3F6Xc5028q&#10;Wl9RtDqvYHFc0fwox2wrU38TU28dS3c1Q3MlXT2LrppJVRHRtcIoan7yiu5TmE5T6LYytMWy9Nly&#10;lHkU5lw2Z44iZyaHM0OJM1NF2VbdxFaDu1iTt1ibt0iXv9DQbIGRuY3VTPd5tuG+AVkpabu2lj+6&#10;96CttU0ikYwqPXDDvy89QAYMArc2RlAa0TfQL+2rr665fOFiwao8Xy9vawsrbTUtDpXJlCOy5MlA&#10;D3QIDqkkEp3IohCVyET+JOIMWbq/jFIyWeMwQ/cyi/tA0fwjxQxyx15siuLQBF7fFB74zUaIo8lG&#10;z2l6j2j6F5mmp2nGh4m622XVSn9k5f8PZfV/kwt/pG2YzNoiy9lNUjtI1TpO1TlJ1z3G5h5lcw+z&#10;TQ4oGO9XMNqtaLRT0XAjU2c9VWMVUTFzCi3pB0Lsf8tE/9fk+P+YALLkPyak/Mek9P+SWfFfcjl/&#10;ImyUUdgsq7hDXmUfSeMIVecEw+A0y/AY2+i4gvFptsl5Nhdu+Cqde51m8pDJh1z2MRL+qLyT47+X&#10;578lmr4m819QTZ/RTZ9COkvnPqJxH9N4j6m8ZxT+c/gT2ewNmf+Wwn9FNX1J5b2g854xTECeoKzF&#10;+DmD+4LBe83gv2GYvWNYPFE0ecgxvMkxvq5ofFGBd5HJu0jnX2NYXKNZXqAanyLp76Np7GKqb1VU&#10;3UzRLJXRKpyklvsnhfT/pCX9X2Lc/yMf/f/IgCT8H7mU/0vK+g9a7n+zCv5HcTVRJYetnqegma+k&#10;s15Vv0TdeIsWd6u2KUiZJnezukmJimGxkt56ju46inrhBPaq/6Jk/1/Cyv+XUPhnRtkUlUNkPXgi&#10;d6imjyj8DwQzSPua5Kxa5PmdBLT7UDdq5ea1y3I/EvivyeZXGeZbGUbpBDUHMmv2FKImUV6VSGDR&#10;6J8F8QSLjoRBoQJPWPLNgSE2l2y8feNm7cdqfMwrmAY2ZxQZyL+pjXwVehgF/NrW1tbq6uqnjx/f&#10;un7j7ImTR/YdOFC+a9+mbbs3bCrPKyrNzF2XkFEUt7RQnLTMVxhj4xFn4xi1YFHo1OmeBlwXNW0H&#10;tqojXclejmk3he48geb8I83zR7rfJHawjNJiJnU6R86WKudEk4+SJadNphX+ibbvf5TO/ah5/086&#10;T38w/PAD9+Mkft0k85f0qXc41lcY/HMko6Oy2gcna+ydor5XXnMfWWcnWWs7RWsLTRNkM0NrPUNn&#10;Nd1wGccwXcUoTssgXl0/VVlnhYJ2EU1rI1F9s7zaWpLyGrJSJkMxn6RUPkmlVE61mKSeQ1FZKsNI&#10;lqEvlWdD3JdJVs2kacQoaoXTlG2IlMWTif5EjpimHsfUWkpWSyeqrpFXXU/UKJmstGmKUpmM8lZZ&#10;5a1yylvklDYSlArpymsYavlszVyOfq6SUbaq6XJV01wty5WqvOUcg5UszVyWRiFbfT1HcyMIW6OE&#10;rrqRorwJbkZeabu88nGKzhmawRWGyW02/x7b7D5qp+KfYfCPU7n7CfrbpmiU/Ki0+gdW7p+ZyX8i&#10;Jf6JFP1novgHovBHQugEQuhEguMPFIcfyLY/kG0mkO1kGc4MFS9VXVdNPV9j09CZs6NsbONcXJK8&#10;vdIC/AsECWvFSetj0rakrNi9cu3Bok3HNm4/sX3PuX2HL584c/fK9VdPnjXV1ff1jOx/AMqAGwBe&#10;/nfEz+lhaHBosK+/v6e3p6u7rrrm0vkLK7OXuzg4mhgaKXOUWHQWE9vsk0OmK9OYTBqVjtZ/JilR&#10;yZo06mwC05GlvkSRW6BqfpbDvaVk/phjiWbhEPiSH3m9P3KHfuBKfzSWTDRukjNqIBhV0I3fMrl3&#10;OVNvKlhcZpmeZBgdpujuJGtsJ6ltJaluJapsJShvk+OUTWGXTWBs/DNt5Z/IK5CQsv9EyvofUibI&#10;n0lraGoFdLXVIEz1fJZGPlsjX0GzGAIIsnIpWXkjWWUzRXUrVW0bVX0T0IOMwqaJrNIf6MX/TSn+&#10;T9KG/49Y8CNjLZyZorRNTm0PUeswUecYUfcC1egi1fgy1fjSqNCMH03WfzxZ76GM3n1ZvTvyejcJ&#10;ujdIuleJOlcJOtcIetfk9W7I69+U1b8la3Brii7ITRmdGzLa12S1rspqXpXTvC6vdYOgfVtO+46c&#10;zn1sDPojGd3LFPWzNNUjVLUDJNVdBPUdsmrbJ6vvmKC+7X+US/6bvvb/Ja38k0zuZEIumVIqr7pN&#10;RmcrQW8b2XATRb+UoreerLuOpA1SStbdRNbbStQrk9Mtm6K1nKwcxWCKyNQweWKoLCFMliCQI4rk&#10;SGJ5UhSBGktmJNIVUtlK6YqqUGmbCOqlssolYIxyaruBg5kmlxT4dxQsnjIsXtEsqgkWtQSLFlmL&#10;VtRcptslayCRNeqWM+2U5dUSzd9RLW8rTjugYrWWwwtR0XWmK3EZdB0qBWgA8gagB7TkK5lCIZKo&#10;JDJaHZxMVVJQtOCbQahRsGr1qePHq6qqIIoCA8Hyh5Fl4UfU8t8M/yg9wG/7wgWAU2gf6G3t68FE&#10;0tLb3dTZXtvS9Kbiw6PnT2/euX3l2rVz587t37+/uLh4/ZqCNTkrs1KS40VCoa9vkKubv4Oj2+x5&#10;9lOn2/DM5xmYzNbUn6muM0NV20RdQVOVrMWW02XJWzBJMxjUhUSyL4UtZqhlkDRWUHU3UYx3MM0O&#10;sSwvUSzvypvfJ1s+oEy9R7e8TTO7TuVeJOmfldc6Ka92Ql71OEH5BFHlJEX1npxO5UTuG3mIjMwe&#10;MPn36LzbVKO7ZMOHRP178jq3pqiflFU6MpldLsfYLKewTkY5i6SSRlfzYivPlyXySZTpisoLdYzn&#10;65jM0+VNMzS30ucb6HMNtI0stLizDMznGlrMVTeYydG2Z6i4M1RFNJVkMqSxHDDXbVMUDk9gHZvA&#10;ujJB8epEpesy6rcJeveoEL5ZPGJZoiPT/AGNd5cEhqd5bZLShYmK21hqO+lqB8GuCFpXCboP5Ywf&#10;y3MfEczukMwv0y2PsS13K5iVKPGLOLwoXVOhplGAsrYbS8WOyppLpc+m0KyZDGsW01KJbaGmaKGp&#10;ZKGjYqmnOkNTb46u0UJjvq2ZlevMOQH2jmJvn4jAwMQIcXZaamFebun6ovItm3bvLL927PTtUxce&#10;Xbr++s7Dulfv26sbej+197R0SNs6pZ3dfZ2SAUnvUP/g8ABKk0HjR1QBAwqN/g21H+5ocHiob2AI&#10;9TqMNDEBvTXU1uHc4GBjp6+to8RWYLLYZAU22oyYzlCiMiB7YBEgjZBXIpH0SVRzCtODoCJUMFyr&#10;PG27+sxTLD4kbbc51k8ZU5/TrOqIVo2EqZ1TLLonmvX8YNr3Z17/n3nDE/j9k80a0QBWtHhiNYlX&#10;RUIdVy/Ixtfkdc7Jax2SVyuTVSyaSM/+gbD0TzKhP0wK+/Mk4Z8nRfxpUvR/T078z8nJ/zmlaDK7&#10;VJazk6B+mKp3hmVyhWN2TdniA9H0PdH0DZH3gmTymGR8m2x0k2x4Ul7zqKzqzimKG3+grflPuRX/&#10;Z+Ky//ND0gR26iTFbBmVXDn1QnntDfLaJfI628gG2yiGW6mGW6gGm+kGG0EYBjsYSjsYnDIGZyOD&#10;s56hVMBUymMqr+Jo5Slp5ynp5nFA9Fcr6ucr6q9SMFylaJSnYJjHNihgG6xl6q1n6G6l6W6n6RyS&#10;Vz8iq3ZmovL5HzmX/6x4QJ6zk8TZQuRsJCislVfMl2XnyLKXTaYvnUBJ/h/ZxP+enPLD5GWyhFwK&#10;9dAEpet/0rg1Se8hAZIV8ydMy8csq4cM8wd0s8cM88c0s8ck03syhrcn6O6UU80msZNkKNE/yIT8&#10;eULwnycG/jgx6IeJIT9MivxRJmEKaaUss4DEKSap7KFpnmfqXmXq32QZPmeYvGTwPkJWh0Ywcltk&#10;eW2ykCWYdsjyO9BqNKaNZF4zmf+JbN5EtmwgWb6nWr9gTLvBmXlUY3aZ5oxkbYtQtu5sqqIpiaHI&#10;YiuCrjCYkDQAKzCpdAaVhrUyMeE8KBKok7O9w9KUNPB+lZWVeAMsrozgM/HCvxu+WvaAewGcLSRD&#10;gz3DQz1osNMQlDv7+1p7u1slXc2dbfWfmmqaGqpqa169e/MQsoyHDx7evXPn2rUr586dP3HizOEj&#10;pw8cPL5rz6Gt2/cWbyzLW7M+c/nqxNSVsUuWBPmGOi7ymGFpyzdcpKc5R5kzk0KZL0eylaV4TaD4&#10;TqBF/JkRN1ExdaLyuh/U9vyofUzO+Czd/BrH+rrStJtKVtdZvKt0o+tUvRs0vbtU3Xs0vft03XdE&#10;o6bJ/FqCeQ3J4h3D/A2d/5rKe00yfi1v+FJe77mc7i2S1nWixmma2lG69g6q/hqmXi7HwF9Ze6E8&#10;1ZKuuEDLyNl8lovVfFfrRQ4z7e1m2s+bYz9vhs1ii4XO0+2cp9k6cGfM1eDaMTXcmJqxinrZLB3I&#10;Vw6StU6QtW/Kad6W13xO0H5B0H1JMnhNNnlD4b2lWbylmr+mmKHh8HQQ07cUo5cEncdyWifYOqdZ&#10;epdZhrfoJvdRUm/2mGpxi2pxnmy6i2BYIKe1dJKSaBIrZALTkaFkS1NcSGHPozDn0Fgz2QqzFDkL&#10;DfXtzXge82eGujvGCQLSEyOXZyQUZ63ctrpwT/HGA5vKDm0tP7l338Vjx88fP3H17Lk716/Bc3ny&#10;6MGL50/fvH7Z/OFjS1VtZ21jb1PbYIdkqLcfbZLVjxZnHMIFYqC+gUFpH2jAiEJ8Bq4YIy/+fQB3&#10;BLc9Qg8YN/RKm+sbrl68vDIr297GVk9LG8ybRqKAsVMUUDsBvGQTKSwCGdEDgQAMoSlHNJQnL55E&#10;9yAoJxN0V1GNdpL0D9FMTjL4V6lmN2hmr8iWH6hTGwhWLTIW7ZPNJRPNeieYDUw0l04BekDr6TYQ&#10;ufUEbi2BW0nivieZPKUY36MZX2EYHWfq76Npl9E0NlJUVzGU8xjK+XSVtTSV9VTVLWS1MrLafqLW&#10;EYrOOZrRdSbvLtv8kYLVYwWrerJFHdmihmJRSTN/SzF9QuM+pJpcpxtdoRmcouoeJmvsllfZJqdY&#10;JqNQTNMvpupvohhsIetvJehuk9HeNkVrp5zuTnndHUS9bRCSk/Q2U3Q3UXU3MBTXMxQL6Ap5dMXl&#10;dE46XSmFrhRPU46jq8TR1eJoavE0jXgqJnTteIZOAkM7ga6VTNNKo2hkktTXUrWLaTq75TX2yakf&#10;n6xyeqLShR85x2SVD8mr7JNX3UNQ3U5U3wqZOlmjhKy2AYSkXExR2kxTLmer7eFoXCfpPZc1fkEy&#10;fUu3eMua+pZt/UYBHLTFc7rZS7r5a4bFG5rFazL/FdH0AtVwJ0NnE129mKyST1NeTVNZzVLLZ6oW&#10;MFU3MNQ3MjT30XUOMvRO0AzOMwxusAweKRg/4/AqmKYVdG6NvHG9vDG2PzbayLKFwG8lmn0imTWQ&#10;0fbslTSzKqrZO7L5ayL/HpF/hWh6gGhSQueuYBgFs3RcCIpmMhTdyQQ6hToqkECAoDIZbS8EwQUo&#10;EqQUwBC2ixZnZ2efPHny48ePeCsTKOMXEfa/D/5ResAbEHAXAGU8Xeoe6u8ZRgwhGR7sGurvGJC2&#10;90s7hvo7hwfg2D7Y1zrQ+6mvp1kqae/t6ejp6ZBI2rq6W7u6PnV04NLU3l7T3Pzu48fHr17dvH//&#10;0o0bt0p3XE5eVS6Iz/cMinP1CFi0aPGsaTOszSyteDxTfX0DTX11ZV1lBT0F1kIyy5/AjqCqLFHQ&#10;yVcyLFXjHVAxPc8xvaNgiqbDUEx6ZY36ZIyGJxpgm5UaD/+PyfCfjYd/xGSC0eCPhv0/Gkgm6ndP&#10;1m+S02+U1/tI0nsB+QfNYifLfLOKlUjT0pmmNVPTzMHCxn2+r7+9IMQlJsg1zs8p2s0x0t1W5L9Y&#10;HOYcG+Yc4zs/0M7MwVlzmpeqVYra1CKOxX6W2UOiyWsCt2uSYddkw25ZQ4mMoXSK0cAk46FJJsMT&#10;uMM/mgz/yB3GegUHJxkPTjLqn2zYM9mwTg6ciGk1tsL2UzmTCwTjU3KGxRSDFSQdIVndkcyZRWFz&#10;mWwjloKZuqaZhralrv50Lm/BtGm2ixY4O9oFC4Mj4qNSczMLtxXvPH3o5L3Ll17cffrqVWVNbWNr&#10;a3Nbe3Nr66f29vaurraOzo6u7q6eXlwkvdLevn6IdPr60AxojP0HURTQPzCEBrANIg+LiKG/v0cq&#10;lfSiv36OEqAwoiX/hkD0MIgG3mHcIOnsqq6sun7l6qqVOWDAGqpqLBod7BmETqdTWSwGjcEgU9kE&#10;ijKZocpmaygraaop66soGXIUZ5CYs+WZnpMVQmSVUmVUsoiauVTdQhrEzoa7mNyDbP55utktivlT&#10;ovlHWcs6GcvOiVZAFc1k4xaicRvaWd24e4pxN5oAZPJJBtjCtIJq/oxt8ZBjeVXF4oqy2VU29xqL&#10;d5OF9lx6yOC/opq9pppVyJnWoLFDlp3yUyVyU3unWPVOtuz8EfSK1yVj1kGwaCVa1JLNasj8N3TT&#10;V3TTxyzTB2zeHQXeDUXeDQ73JtX0JoV3m8S7TeDeljG6NdHg5gS9qxP0rkzUOyejf0pW/yhB/wBJ&#10;fz9ZP15FNVpVTaymKVDXCdLQ99M08dLiOWmYOmia2muaY2KBFxZr8xbrcG21uXZaXGcNrqeKsb+S&#10;cRTbIJ5lsJqsXUTR2UnQPEjQPCGvcWOC1r0ftB/+oPtwgt7DSQb3ZY1uE4yuU4yu0U1usEzgJp8y&#10;uC9oxu9IRrVoDDo2EYTEb8SGC9aTTOuIXBBsUggaPdhIQNvXf5Ljf5Ixr5Hlf5QzfUk2fUE1e8I0&#10;f8Ywf84wf0cxryCbt8qYt01BM9U/yZhUUPRqyQaNZMMueaMuOePeKcY9U0zQ0t8EbiOB+5bKfU01&#10;fsQ0vsk2OaXIPcE2OcYwOkAx3E3Q3Sivs1ZOK1NOI1JO1VdGcS6BNUOewaWyjJiKWuoaoDaqHCVI&#10;FIAPcJ4AbgAVwtiCSiWR2XSGlobm4sWLMzIyTp8+XVFR0dPTA5YCljWilv9m+EfpAX4YsMIXjgCt&#10;wgZ+AxeILEfW/0YLNknRKuAoq8DTC3gDeBjgTiRYPIreOTTcOzjcPTjULpU2dXXVtLRUNjZ+evL6&#10;0+X7r89cfnj09PmjR48c2Ld9z/b1mzcsz1+5JDEuMNDPc5HNQjOL6eo6Vky2BYk4TUZuHpniQ6KH&#10;kllpBPZGqsZxBcPHNKOXVONOGeNegunwZBPJJMMWGcO2KYbtMobdU4y6ZdAEi045ozaCURPRqJFk&#10;9JFqWEUz+sAwfszin6RZbGJbrFObLjSe56VtvXiqg5ddSIDnkhDfpcLAbEHQimC/ZV5eqV5uSaHu&#10;S0W+2UL/rGD3JE9bccBM37CpHsmGi3OUrMsYZndIpq9pll1op2uTappxDdmwnmjYTjTpJvGkMiY9&#10;k4G6uL1TjCRwV7KGLXKG9XL6tbJ6aFgt2eKZvMk5Wd2DkzVWTlFe8l9k3yl05ym0GbJUvjzVjKk0&#10;U9/Ybur0cHef+GDBisS0kvzC3Vu2Hdy77+ihwyfOnDpz8fylOzfuvHjy7OP7d5/qKzuaW7u7Jf0D&#10;+OKKUO3YQGUI9tHQZTR6+bNAGX8u+BuQoFAA8/54Cz5qnPks8HEsUPilVvyrALfxK3cCJ+AXoCXq&#10;QQYb6+ovnb+Qu3ylo529vo4uGDOK+6ioiQCERWcpUpnADUwZogqFqaejZWVtMddu3tzFc2bOtZ5j&#10;YmSuojJNnjZjItHpR7L7FLqXHMtPnhVIUIgiKi0hqWbLqZaQdPdRTS6QeNdJZs9JVq9p1m9Y3Hd0&#10;4yqqSROJ10bk98iadU/ht0/gtk4xbZI3r0YZgOVLhsULhvl7SCVp5pAQfKSgzKCRZNlEsmyRNW+T&#10;Q0s29chaSqdYSidZSCeZt00yaZ/MbZeFEJjfSuBjLpWPLeXEr2SYfWCavWOZvWWbvVUwe0cxfk82&#10;/kAy/kAwrpA3fi9v8k6e+1DW8IGc4VWKyUU67wSLt5dhWE7V9VBQd+VouqgbeehZeHLnepjbuVk6&#10;OVm7O1h72E/zdJju5TDDy36au+1U1wXWCxdNX2A7Y7HttMV2lgsdeXPdjOe4KZg4k7QjZTUyWdwt&#10;HLO9yhbHlM0fkPgvZUw/TORVTjKtncSvkTGrIpi9ofBfQ/rO5L9lmdVR+Q0E0xa0k8/nCW4EtHha&#10;A3ZsJJrAmZGT2KJqTQSTdjm+RNaylWDZQrT4SEO1945l+Y5p+Z5pCZVZS7HokLXokrUYmAymZ9pI&#10;MmgmGLTIG3bLmXQTeBKSWTuJD5TzkmL8iGp0XsHoFFNvF1OzlKG+kqWRSVVOlWPHT2ZFT6CF/kj1&#10;/5HiNom+cAp1mgzFhMowV1K1MjaeZ21tt9hm8YKF062mGujoqihygBgg3eSwFVBvBJUGL6GAHRla&#10;WloODg7AEMePH6+trQVLwWMv0Mp/t7jqqzUu/Qw/9xdIPv8PzgWqAQT3SuB9xr4TxaNwHuhhaLh7&#10;aKhrcKhjcLB9cLBtcKC3WzrQ0dvbKZF0dDV2tdd2tlZ0fnrX2vCg4vWFixe3l2/fkLEyLUAknONg&#10;N83awsLATE/VTEd5Nps+l0TwlSWmyDNL6RpXqQZ3KYZNkw265HmDE00+yeq/ZxgAB9RQDZtJRs1k&#10;EOMGinEt3eQ93egN3fA53eAZCMPwGs14u6xRDsk4R8U6YpqrYKa7m5MowC8lOCw3JDQvLLQgPGxN&#10;cPBqL7/lnp6Zwd45YQF5oUGrgwJW+PkuE7knxbkkZM4MzFSZlSdndGaS3kMSv3WyUb2M4QOWwVOW&#10;4WumEXxjE53bRTLuJBhJiCZtBMNmgmEdxRj44zVQGtmgahLvtZzp5Um6pT9yVvzA9JGj2/4gM43F&#10;nqGmOlVPbyaXZz9rrtDLPyM6Yfu6zSd3H3p49U7Nm6r2+paOlo72lo62DkgLutokPe290o7+vs6B&#10;AZDPUxt/ogd4COgh4Y9jhAqQAGH/8p3oqeIPFRf8U+jsvxfG0sNP5geaBwzXPyDp6Kyrqb12+cqq&#10;FSsdbOx0tbTBpGkkMgg+CoVNZSjR2BoMRQ0aW5OuYKZtsHDRfP/wwIisJcJl8UGpEQECXzuXRYus&#10;zOcZGjho6ttp6C5S1ZzHUZnJYM8l0xcSae5yDBFROY2ssUZOq0Re9xCJe5phdp1teJtu8JBq8IFs&#10;UgMMMZHb9qOJdKJZ7ySznslotH6brEUj2q3PolMWTZTrApEx7waZYi6ZbN6LSR/IJPN+TAYmmbfL&#10;m+LSCvJ5+5PP0TfaHKUBW7EDpJ2k107Ua5fXa5MDMfhEMGommrwjo5Xer9NNzjNNDikYl7P0i6ma&#10;85SN5qqbLjSa42jl6Do30M0m0tUh3tkl1dEl1cE11cl9qbNHmoNrko1j7DxH34UuvnYeIXZuwTb2&#10;AbbzvR1me9rpzp7N4nkRdKM4Fvlq1iXq03ZoTH9EnVZBmNYyxbptylTpBKveSZYSGYtmAr+BzK8l&#10;ow1dwIP3TjId/sG0Q5bbjCa0juwqD9LyWfCNhEf+SjLplDWVQr3JmnfImdeTzWvJiFBBqmgWtSTz&#10;ehJWhzKIHnpkTDvkDTtkDTtkDNsnG7ZMNqiTMayQM3pGMrpA1j1K1ipV1FrLUktlKAgpdFcKzYlI&#10;diSQHUh0VxrbWUHFSUndTkNnsYHRYr7ZgtkznOxtPAN9hFGi7IxMkJiISBcHRyszc8gkgBUgY4BQ&#10;g0mlQRnUSYHJQj0TTKahoaGtrW16evqlS5caGxvxrYRAM4EnIFMHwoDyv8No129DD7gjGXUnmKAZ&#10;ddhupEhGI9Ox7/n8J/RXjCfgHPwRSzggwkNJBuQi0sGhrqHBzqHBjqHB7qHB1l5JY3Xt26cv3ly+&#10;ff/Qmasb9+wpWl+0KisrMVrk5+5saTpNiT2HRrGRl/chUDLoyqvZWnsZeqdU+DdVLO9xTB8pGL9l&#10;mHygo5n3DUSsFZjCe8s0e6xodl+Rf5tteoNufINsuINuKKZru7B1A03neHuJvPyj54akLBJl20Wv&#10;sY9c6xS1zjm6yD6iYK5g+Zzg5XZhaxwj1jlGF9tFr1scudZFtMpHsDLUI87DeJELRW+JjPJaBaMT&#10;ioYnFYzOKZjcVrF4pjr1A5NfQUZ7aHeRTDvluc2yRrVyRu/hThhmjxUs7iiYlbKMcmnaMWQlZyJt&#10;pjxBn0Pj6ajYOMwPCvTJTEzcujL/zIbyF+Unag5dqbz3sulllaSufaCjf6hncKh3CGSwDxO0PB7a&#10;MhwX3Pkjr45C/pGaH6l3vOo/CxD26FMC+X3RAw6gBDA5LKtBttcvlfb3Snu7Je9evzm8/2BywpLF&#10;8xcAN4D1gklTiCQ6mcqmo25GNoWuSKRr0RXN1HXtps2ODxUXFRftOXlo/93ze+6d3X731PYrhzae&#10;2L5pV2lRaWFOVlZyQnx4aLCnu/OiBXOmmXH5ulpmykpWDNYMIg0N2iYohJFUIyiqmUTFXJJyMV3r&#10;MNv4vBLqZX1KNasloam8rTLmnZPNuiebS2UspLKW7XJmbZi0yCNpIiBpIJrVE83qUPORWQ3FrBqT&#10;ejKvHtsiEE3YxLYIRHvHyvNasc0BO2V5XSDYdrzNVNUmqmojRb2OolFN0X5D13/BNLqqZn5CwbhQ&#10;QT+DpR2prBukpuetrjvb1H7RdG9Hm0g352QXt2xn73yXgPXOwZscgzc6hpQ4h5W4CDY4hqyxDchd&#10;5BtjExDtGJbiGJZmE5hm45Nq55Vqvyhi7lR/Bx0bZ80FAZxp4WyreI71Fqb5UQXrl8yZ71iz2mWn&#10;oslrcmYNZF41lQvG+I5h0kDitcjxeiebNhO4dRS0Lzpa9QDjg1F6gHITEfsT2QTe0ybLk042k0wx&#10;65ZBddUqh2qpkWjWgK2q1EgyayaafSKYtcIZCr+ablZBN3tHM31I5d4kGpwk6u4jaRdTNNOInAhZ&#10;hiuZ5kimzqaS+SQ5TaqssTJzmoHm4qlm3rbzRQHe4FeWZaSsys9Zt3lDyZ7yLYf3bjt1+MD5U7eu&#10;Xb9z4+a502e2lG5MiImdP2euhooqSU4e4gygB5Q6QCaKJRBkMpnFYuHTqvFWpqqqKlBLUFEgCWAI&#10;PILp7e0d0d1/Hf559DDiV37ySZiMfc/YP4G3wv6HE/gfewf6e/r7ugf7uocHOocHu5AMdQ8OdPZB&#10;PNzd39ENRDHQ0ttf19VZW1f79sXDqxcOlJVmRYX7zZvpoK+9mMWwJRD9J8mHTSblyCtu5hge17K8&#10;rMa/yzZ8BRpJ5zYQePXy3I9yJq/ljR4SjW4xuDfYptcV+FfoJpeJhpvoBr5s7UUqBr4zbT3DE5xD&#10;46eGps4UL18QV7QoZp1t7Aa7uHWLotfMEK+YFr58vrBwUXTx4viNCxJK58cX28cWukble/susePb&#10;zKfrhRNVlqtxd6oZ7VTUP8Y0uqRoelfR7BWN+56MNqXoxOihSda4Rs74NZn3lMy9RjY+TTRIZ+oE&#10;TaY5TiHNYtCnqihYTee6+Nhnr1u5ff/2ezeuf3r5of/Dp8GKrqHq3sHmnqHWPqDQ4Z4RakWF0ceB&#10;n8Hkc00jbvjJv4/W+OhH+n7RuPT5gyPAPz4q/5YAk8OB80S/tA/S0KoPFUcPHo6NjJ4+1VqVowSB&#10;Ht6FCJbMxmY2wRHoQYXC4qpoO02flx4Zf2rXgVfvXjV2tX7s73w/0PFmoP1Df8sHaXNtT0NVW82j&#10;l8/PXrm4/cCewo3rUldkhIlD3T2dFs+aNsfYaKaaxiJFNXtFdReqkrMcI+jPcqIfCMmTGeuJGrtZ&#10;ELPzb9PNXsiafJDhNU3hAz1ADtE/yaxvklm7vFmbvFmrPPJu4OPA39V/poQqGnJzHxhm7zGppfJq&#10;Kbx6ysg+smhrcSLaVLxdjtcti/Zp7wWZwpNO4TXRlRrpSvU01RqaegVN8ylD7yFT/wjHeAddO42p&#10;KWaoeilr2mtqL9LWXTQn0N05LjAoNzBkjVfQerfgTR6CHU6CnQ7h2x0EW51EW10iNjsKNtiGFNgE&#10;JTqEJblGLXeLznWOXO0iWu0mzId82s0tzX92uBvP3Utltg97aijbaiXZcDPT9B5rxguF2Z/krD5N&#10;4bfLQNLA+0jjvmaZvGGZwK9oJvAgzG+CiI2KvD9wAJ5D/IweSCb1FPRXeE+bHKKHnilmPTJmnbJm&#10;HbKoxppkefWyJvVy3Hp5XgMRbX0PUkUyfU3hPaNwH5GMLxL1T8pqlcupr5msuOQHqt+PBMc/T5kh&#10;Lz+HRp2hqjhVS4Vvor1onrW/j3NMTHhubub2XWWnzp+49fjO04pXH1rqqnraPko7Kvvaa3raIQ2V&#10;Qnbe0vrmxasjBw8lxMYtmDNXR1OLw0LtS2xIGqhYbxboGI1GIpEUFRX19PRmz569dOnS8+fP19TU&#10;dHd3g3LiAI3Fj/9afPvGpVEZ611+EmxzIVzwhAIJCm6HhgZ+1qqNmpwwvyaFUBaTAbBzFO9CbtED&#10;VDE8BITROTwklfYMt35qrXpf8eTBravnDuzamrcyPTrM33nezGmqKsYk0lwy011VR6jHL1Y3u8bk&#10;PaOav6VC1GZdIz/1FWnqDYr5AapJEcNgJU0ni6mXp8Ir1bRO5c6cZW5hOnX6Yk9fm5iMaaHx5iGZ&#10;c6IKbKKL7SM3OEUVO8SutYnKnx6xbGr4sllha+ZFFC+I3TwnbgvI/LiNNvGlThF5cxzDLC0XOVhM&#10;D1mwOGKaRaiOzjKids4U9Q1TNE7I6d+im32kWVXTp9ZRrSpoU1/Qp15nWp8k80tl9ZdPVDfR0lBm&#10;0rQ1VOYumBUiCs4pWrX3xIEbd6+/ev2sraF+oLN7WNI33NE33C4dce6/Kj+v/LE1/lM9o9ztl4LR&#10;9S9lDH7t3L8LwNLwpAEvQwFeNjc0njt1Oi05Ze6s2WrKKiPjTFCgx4C8AewZbzJWYLL1dfVdbR1y&#10;0zIvHjz28emr1uYmSU9353Bf23Bvy3APVH0vGoQh6Rvore+SvK6tu//69Y3Hjy/cvnXg1Iny/XtL&#10;t5WtyMtJSIoXCEO9vN3nzZlhYWI0jaNuxeBYU9kLqWxnloqYrhLDVCti6e5SMLrIMX2maP6ObV5D&#10;4lYTjfGtc0FqQSimNRTTaqrpR5ppFc20km5aMSoMU/CV4EYbMGkkI+8JLhW1yRBMWjFpA5E3aZc3&#10;aaCqNtDUaxg6H5j6zxlGlxX4pxTMM9n8FAW+p9FcB2v76TbeXNdAXffA+c5xrv5ZvuJin4jNroKt&#10;juHbnUR77YR7bAW77IRbHcVlLhHFjsI1dqErHX1T3QPS3UUF7pHrHaI220aWLY7abiMoA3HzX2vn&#10;lGU/O9LWKsSO5+2taRauw92pZHlcdVqFLL9uCq9jknE9yaiGZvRMEclbFreSxmsi8YEzgPMgK0L5&#10;BCRDaBfIEcF3m4ecA/4K74EkqXcK2j13YJLp8ATT4R+R9P3I7f0RJRYtBNMKmuk7Gu8p0+SsEq9U&#10;3TRP2SiDqRlKV/YhsRZSmdMpDD6dxVNWtTY0XjR3fqCPX3xcQmbWMjC0kh2bdh/ff/jiyfN3rz2q&#10;ePWuubams6Wlv6d7aBA5pKEhcEhoy9zP0tPV/f7N28MHDmalZzjZOxjo6H7ue2CgRksKFV+2i8Fg&#10;QIHD4SxYsAAfy/Thwwc8dQDlBPxh6QF3KXhjxU/yc9/0WQZ+ks+tHngjyCA+kP6zDPQNDvQN4TLU&#10;j0ZSoh5wZPKDqMVpaBAMFBgCEgtpv3Swp2uwq7W/s6Wnu7W58ePDhzd3bilOEIW6TZ06VVFppjx9&#10;HontztTIpuscImpfkTe8R+a9kbd4SbC4TTY/RuauI2qn0jTiWJpLNE3yLObuWOhZ6BrgZe84Z6Gt&#10;s3+IQ9yymcEJ00Oz7WLWOUYUu4g2uIs3uEYVOopXzxZmzgjJnBe8ZpGw2CZq84LoLfOjtiyK2mgf&#10;U+oWkW/vGbNooVeIvVtGiGC5h3PctGlZGubpFO3MSZyNE1WOkA0f0fjPmBbPKPx7FNMrFN5BKm+T&#10;rG76BBXxfzGUmXR9TXWbhXNTkhIOHNz7/PXzT52trZ2t3d0dA72SAWlfX09fb3tvb7tkqH8Yqz8k&#10;qEEPF7zSRhv3MBlT9T/VM2Jl9Ah+LvCXMQzyk2AKjNvFmBP/dsApAY4AMLyurq6GuvobV6+tWJZl&#10;u3CxrpY2kAEaj0hFI0yAIaBMJZGBLSB70FBTnzN3XnZaxu2LVyT1LUPd0v7enp4eSfdwX/tQb+uQ&#10;pHuwSzLQPSzt7u/r7RgYbOmVfurpaZdK2/v6WiXdzZ3tdZ+aX7x9dfnGlf2H9hWuXxOXEO3r7eFg&#10;br3QgDtLVWsOQ3E2hekwieAykZBKUCggq+yjal+jGz5iGL8nG70nGTZgI3bQoB0iGreDhu5gDfSj&#10;bDEqiBhIJo2kkSMIMEQTRNmEkZYZnCpa4CVJrZmsUU/Tq6QbvqSZXGaan2SaR03WjiWbePNsfRcH&#10;OQXGzxOnTY1ItfNOdQvM9hKs8xZvdBWUOYaXOwp3O4j22It2O4i3OkeWuUUXu4gLHMNXOHmnuvun&#10;ewjWeIjXO0RsXhyxdVHUjkWCbXYRO72FWzyDNgR55QQ6p3vPiwo0mhmqy9tM5+5nmlVMRkshdU00&#10;biIY1lPQopAg7xncKiqvmcivQ4ucoxazBsiEPreS4dIix/sEOQEJ/RXe00SAJMm0e4qpZAq2v/pE&#10;0/6JptIp/F45s09oJ13TZ3Tj+2S9SyTN7TStTKZmJEkxYCJ58WSCjTx5Dltxlqr6LANDu1mzg318&#10;01OWbt289eyZC4+fPq3+VNvQ3tzU3dLY3dooaWvtl3QO9YFIgBuwETQ9aKI9mBDWcYrMANlQT5ek&#10;4t37y+cvrMAGSetr6ygrcECvIHtgYQu7Aj1ADkGlUgkEgoaGho2NDTDEuXPnGhoa8L4HUNQR3f2X&#10;4pvQgxQTvGUCj1l/chyjjmTEnYwNbkdkEPUvSCFfQAzwWbqGB9uw/AAK/fA4gEj6B4al/cPSPrRU&#10;IBpIg04CffQM9fSA0QKLD/d0DPe2DnRXddTdfXLv0KH96zKWR7r6uGuYzZJVWjxZyU9WMUqWli3L&#10;WUPS2ELULyXrZ7P0I1X0fExNfb0c4jJisssLio+Xbz+zr2z3toy4JE+3QP/AyMCoHEe/FEeP5YGB&#10;RaKA0ki/DbF+GyJCCgSBqzwDlrp7pft6rw0I3BgUstUvtNwneJtPaJlf2Gb/oDXeHqm+rtEr4tPP&#10;7jxw5+Dek1tKSgrzV8ZER9nYinSNREoaKxW18lUNcpmaaTTVSDLHi6bsQOVMpXP4NDaPbx4cGLJh&#10;9dpLB47XPngx2Ng13A3qOQDEIB2StgxJ64alb4elr1F1QH4FfIkEUiyoUKh/YAdMRqoYp2aouC8E&#10;rbo4RrAqRjIy+Az/GC4jj++nR4qf/rdQ6r8MsDpI4aurqy9duLg8c5kDmt+go8hk0cmIFSDEgwLW&#10;xEQGeuCw2MAccxcsWJK97PipU8Aog+APkGJitTLUNwzhI4hEMtwtGW6TDHX2AunidYH+iJ4BNnRv&#10;YKi7p6eupfl59Yfrzx8dvHGu/MShdSVblueujo5f4uPjNXf2TCtNFRMGeR5B1k1eLlqOuFqOtpWs&#10;eIaieo2u3YYNxu+QN+2URX22EhnTHvCAk5ETHJxkOjTRdBgE4uUJpu1YfgBZAnAAMAFiCKxdvpZi&#10;Uk0z+UgzqaKbVIIwTKSTdfum6EvQGH+LSvmpN8izzpBmpxBnpynYBk4XBbhl2ovXTovbYBy7zjE4&#10;yzUkyzW8wF20wS2izFm83VG0wxGO4nJncYlb5Aav6HyPiOWu4WlenksDvLP8wtb7ijY5RuxYHLFn&#10;XtTBuZEH58cetY/cay/a6SMCQyhxccsOmuEYxLMqJhnuIXObfuT3TLIY/hO3b6JhrwwaJAJSR+E2&#10;EXldsnzUX03iA098IvA75fhwpkdmRDqxmWufiPwmInrPO4bpU0XTN0zTd0ws2SKhPvl6yLTopo8V&#10;uDcYettZqusItKWyskEE4lwq3YxM5tMoPH1NmwWzvML9xGkJyWvzVpdv3Xb8xOkrt+4+eVP5obmt&#10;VQKeGg3NHESxFq7h4LlRpIG/ADfXMzwsGUY9fAMQAoM/QwPhhgaHeru6G2pqr126nLN8hZuTM8/I&#10;GLiBJEdAykanjy76SyaTmUymtrY2Ptr1zJkzHz9+xGfMQUAzorX/OnwTehjrg0DGeJLPvmRUPtf5&#10;WBmNZMc0PA1IIXsfGRqLZSPArkDUnwXVJZaT9Q8OgLvsG5JKh/t6hqUSdOzvHujp7Olqamp8fvf+&#10;7tIt8Z5Biw3MZyvpLWSoOhCYHnJsPwInlKgWQlH3oKs7qWgHzJmXl51x6crZ9w2VDd2fGjqanz5/&#10;smFNYVBATEBQcoB4lbP/UnvvJI+g5YGh64KCtoQE7AwO2eiPWmbjnP0TPAJzfcI2+ArKvMJ3eYbu&#10;9gzb4R2+1Tes0Nt/aUhI8vaN5Q3vq4baW3vr6ypfvLxy6HB+bEKI5TQ7jroXS8VXUcOdrGgnz1xA&#10;YM6kKs5kqszU1LPjW0VFx+zcsfPpg0eNFdW9TW1DEuDFIfBTg/39fYN93UP97cP9TZh8WZs/r++x&#10;MjZ7+FUZrXyUPfzqhcbQw5gT/zrgWgE3MVbQmZGTA339dbW1165ezcvNBW4w1NVTYLKYVMQKwA1o&#10;bjSUUSsTeqmnpb14wcK0pUvPX7vysaZG2isdgogFixVRrYDqoo7+/uG+vmFQt27pUE8fsmgQ+Evf&#10;8EDv4KAUYktIpeHtUAQ9hJSip6mnvaGrrf5T25sPFZevX99aVpaYEO+9aOF8rsk8jvI8Mt1RjhIk&#10;R48iKWbRNYs4hndJRk+pvHdUfh2B3yJn1jsZdUgMTDDtm8CTTjLpnIJWSG0gGNUTjWqpJjVk4waC&#10;cTPBGPEE2j/KpJ7CbaSZVtO4VSSjGopJA4VbRzLunKzbLWvYQjCupZo9o5kfolmVM2bE6rglmgUH&#10;umQGBBe4xBQviCmyEuU6Bme4hC5zCc93E61zjdjsHLHdSQz0sMNBBPSwyS2i1DOyyF2Y6xya6e6b&#10;4hOQ4SNY5yPa6CzaYS/ebRO5zyZqj03MHoeIrQ7iLV4R23yEW939iwNtBH7TnNNo3Fwq9xHJrIpi&#10;1SrL75I365Dh1cnzmigWnygWzcCIMtxP8uDl+e3y/DYZXudEbuckbqeMaRuwAgESC9NakilaCJbE&#10;qyHy3tFMXrJNKhi8KgavEcu0agn8N2T+I6rpEZbxFpJGBF0hgEBeQJazppDMFDlWWloLzc283JzS&#10;05K27i6/dPvGi48VFU2N9R2drV09HZI+aS9ETGgoEQAfvD/ybJGjwRq1QcDNYVEwSs1Rg8nwyKK/&#10;iD8GpT09jfUNF86dy4YkdbENpKEMGo3FYNKp6EilUMlEIiozmWwmS1NdY8G8+RlL0yFwaW5s6seG&#10;uuIk8S/MJL5N38O/JaC6W1tbnz17duDAgeXLlwsEAk87R1uetbW6vhFdSY+mqM9Q0merGCtrOM6a&#10;v25l3qPrtzsamod7+4d6+6s/VJSWbggKSvYPyPYNXeXqv8wxNNpZkOIRWeAWvtst5JRn2F630B3O&#10;gnD7EJFDeLqreI17xGY34X7X8IPugn0ewp1ewkK3oFR/QcKuPQc+tbSByx3s6ev82HDnzMXsuKR5&#10;/Km6LGUQPbayJk0BCla6RrbWs31tnZMFkRtW5B07duzJkydtbW3wK7BoBnRzHL/ASLiAswL2Euq5&#10;rx+ttdc/IJX0NNc33rhyFQI6ZwdHY31DFMqh1iQ6NtEBFVjYmjkKDKamqvqCOXMzl6afPnmqsrIS&#10;H0YCNY9/zz8IuKmugb42SVdNY/3z58/Bg+zetHX9yry0sEj/efaL9PgzFbWn0lRnMjSdlA03kjUP&#10;soyvsc3fUC3qSVYDkyyHJ1oM/8AfmMDrmWLcQDT8QNV/pKD/gKP/SpH3mmEMNNBEMO4k8LrkeR2y&#10;JrXyhs00fi3NtIZo3Ezhd5Mt2mW5LVMMWuWNqwg6LxhGF+l6K+W1kylGrjzvgHmRTv6r3QTrXGOK&#10;nSPzFwal2wWkOIdmuIny3cRFzuJSR/FWp4gdzpG7nMQ7XcRbIZ/wjCh1FxQ6B+c6BSxxC07yFKz1&#10;FJa4CnY4C3c6i3c7Rm51jNriHAVXK3GD9wt3eAj2+bgtc50v9mObB1ON97C4l5imz4HeSFb1k83r&#10;J1h2EOd0Eqe3yPLbZYHkTNuIZj2yZpLJPMmfjbt+NG6XheSAX0VDMyReMU3f0nnvqbyPJN4HqtFb&#10;un4N1aSezmshmTeSzD+SrB6QLU7Km2STdUSTFflMFpejqGSozp9u4eXltWTJkqKiot27d1+4cOHF&#10;ixeNjY2QVuJh+8hD+ocBRiqRSCBVPX36NGQGDg4OOjo6kDfQyRRc8UjyBFA8vGFTSUFRV1PbxcFx&#10;bcGa29dvNtU39EOUO4Ye8DIAv/g/B98RPYBtw+Pv6ekBkgCFOH78eHF+YYYoNsjedSF/qoWWvomy&#10;pq6CihZLaY751BVpGTcuXGqurQcnPijtq/oG9NAv6a1/W3H+8PH4cLGZrpEKhamjoGKioW2qpT/X&#10;3DrIzStrSUr5+pLrp89XPHvZ3NwM6osFMSNa8hX1+I8DqBJcgBjwVklscgOEcv290k8NjQ/u3Nuw&#10;tsjB1g4yAyW2AlmeQCWSmFiXA8YTNBAOS8FAR3fh3HkpiUkXz56vr6mDmsfrHA/oRr7rHwDQgwRy&#10;voG+nj6kkB3t7c3VdR9fvb1x4lxpdl6km5+r5ezZmsZWbM3pLLVIIjudpl6qYHRKwfwW26qKYF4r&#10;b94jZ9EjB36T20YwbiIafqTqf6TpVwI3UAzr5Q1b5Iy75Lgt8rxmOZPn8gZvGKZPOeZPFMyec6xe&#10;s62eUniXOKYXVUyPKuruUzVcr6QbTFL3oOgssvRzWxxt77/aJazIPXKDp2i1Y0C6nf/Xpwd3r+WL&#10;F0bYKJo5MIzzVbnbVHhHGPqXWOZX6RY36NPusWc/ZFo/oPGfM02BA94xTZsoZs0kU8lErmQSt28K&#10;amVqlTNtICKBNKJFHjU6dciiAVpN2EoYz+hmt6m8I0zuRrZxClndXpYxT47OU1GdwTVZZLc4Nj62&#10;vLz85s2btbW12EIBXcD94BngiNsXPKCv4ovhIvhA1fr6+itXruTm5i5atEhZWRmCD9A3BpU2MgIC&#10;W8KPRUerNvGMTXw8vQpX5wNDtLe0jt4AFOBSgK8VoPxGfEf0AFUMSgBPCwpgk1VVVU9v37t94vzp&#10;nQd2rC3JS8kQePnNt5xmpKY9y9wqOzX92vlLn+obh9AU8IGPFZXfgh5qXr8/c/BoTKjQ0pDL1dJz&#10;nLcoIjA0Jy2zNH/t0V37bpy9+Or+409VtQMdXaBqAPyH4GUA/nIcPwGqBBeUN2ADrnAZGOxsbX/2&#10;6En5lrKQgEAjPX0WDS22TCGS0GQlBgt1SkOaj5kocIPdYpulySmnjp1oqK0bxOeHY/qDuw/AqN3+&#10;fRjExgqA9KOlYocGwIl0dPe0tLdW1Dy5fPPUtj3lKwuzBLG+MxfP1zDymEIOmEhKnMLeRNQ+RjN5&#10;RuC9I5u3yZi2oxkMJu2yhq1y+vUE3TqCzkeaUTXZsEnOsE3OuFuO2yzHrZMxekHjPWPyb7FNr9KN&#10;L5D1z03ROvmDajFBuZikkk9gFiioL1fW9mVqu3KMF84IdraPtwvIdw5d6yFe7yNc7RqQYf8N6MHD&#10;L9fGPnaRmpW9Mj9Hx2yNsuF6OU7pBKWtE9X3TDE8ROSdIBqfIxvfZHHv0Y0e0Y2qKbw6iikkED2T&#10;eQOTTbsncdsmGTdPMWmW4bbJcDum8HonoUkSfTJmLSQLyBtuUrnHZLQL5FQTZBTcfyRZTybaqev4&#10;2NmnRkVv3rLp4sULT58+bWpqAm+LP0oc8HDhCGfgAcERf4k/r78Po3oCbqempubixYvLli1zcnQy&#10;xNQPAhFlRY4CE+keaCDoIQjkEFxDIy93j62bt7x58QqCQiAtuAjWxDWyqg1+8X8OviN6wAHPDH/2&#10;aPRJR2dvK1p2tLu59d3zl7u2lgtDQq0tLGdNn5GZkXH58mV4PPAReHNFxYevTw890o8fKk8ePRYh&#10;EFryzefMmJmyJOnAnn3VFVVtzS09nd29XRKQ/p5etKgRpiJj9eOfrCi/D4zSw89F0tn98unzHVu3&#10;hQQGmRqbKDLZ2OhVtPwyh8VmM9CKacAWwA06mlqL5y/ISE07f+ZsY139gLQP2AVXGDiib8DK8CDw&#10;L/z7ABeChwdXhOeKX3aUxgbgmX9qrX1bcenkmaykNJdFtjNMjHiKClY0hgdLNVbdaIu6+WGj2TdZ&#10;/EdM049k1LvQLWfcP1l/YJJeC8GgRU6/XcagQ86kHW1axXtOMD6lZHZIybRYk1+gYZqtapKpZAwy&#10;S0NjjrbWfG11FwtT9xnW00ynWprNsnaIWeCbsSi0yDG8yFu4LjgsL8Avw+Eb0INXRKltwIrZ1g4L&#10;ptlF29iGT53qpsKxpTGdmEr+SobhmvwkbbNsA8sCI4uNano7lbVvsI3ucyAT4rZP4Q79wBv+EYkU&#10;db2YIploOjDRVPJnftf/WL6lTH9Bn16sZblU2XCxpoY+h8lQommbGbmF+a9Zu+7cuYvNlY3SLilk&#10;DGBN8BzBcQOggD2WnwAPBezrq5gYXAq+Cx8Qce7cuYKCAix51QHdw1IHNBQCEllQSCRYgMLn8qLF&#10;kXt373n+/HlrK8ohcMClACPX/afge6EH0IDR+gVAGekH6maEv6GepU91DSeOHIuPjp05bfqMadPS&#10;wEGcP1/f0AAuWdLT8+btm69OD32S3sr3H44fOSYIDTc14cL3Zi7NOHf6TGdrG9wY6t36fL8QwML9&#10;A6A88nuwXzRSGsco8K508LPIAWMViJbplla8e79/954IocjK3AL4AOX1DCZujZDp08kUCoEI5/W1&#10;dYEb0lNSz5w4BXkDXASN8kUJPVoVB6980Jx/PMeHC8GzhKsgwsc1Ew6QpsBZ7J77u3saq2qunj2/&#10;qWiDyN93vqmpJVNhEZHpSVbMIKqsUzA8Sze6QTN5SzZpIvO6SNw+WeMBWaNmgv4nOf02GYM2OZMW&#10;Oe5LEvehvOFmWdVSslaRrsVWa5vtC933Ovgf8xCsiosrTE4uXppUvmplSVaGMEjk7Ow/zyvVLiTH&#10;TljsJFiP04O/3zfJHtyFG+yDchxtAyJDEw7lF5wsWL03OWFHXMLO2MSdoqRNARFbXAI3zHdaxZ1a&#10;oKixUUH1Ikv/NofXIM9rkeH2/8jtn2Q2MMWiT9aiV9asW4aPBrNONm2dYFb/P/ybk7mn/qyzhKDs&#10;P4XGpZD0VBSs51uHJUav27316vVbVZU1Ax19KGsbY0dQhqcJj2Dk9TcD5AEVFRXgVbIzlrk5u+jr&#10;6EICAYpHxaZV07CV+/BREhyWwnQr67CQ0CNHjrx//x4IDN0xds9Qxq/2z8H3Qg9ghni8gKsCYKyR&#10;Q7m2tvbgoYNCsdhiqpXVNOuk1JQz58/VNTZIIZ6TSt+8+/r00Nvd8/rd2yPHjglEIhNTnpW1dUpa&#10;6vGTJ+obG3qk0r7BAWk/YolBIK/RGBPT5lHgZ8bxE8bQA3KyPdLu9s6ayqpjhw5HCkVTLSw11dSB&#10;FZApjkx/Q/QAcRyEbEZ6BrYLFwM3XD5/oam+ATw3Nl4LTeEBgKrgFQ5aBNqCf9s/ArjaqBIC0MSV&#10;3l5sr4whULnegf7e/v5P7W3P377ZvGtXiEg0Y8YMS119vqLSIhLDnaWcraC9TlHvKMvgNtP4Jd2k&#10;lohGLtWRDOqIBg0E4zoKv5LCv8bgn6aaREygL2HpLLNx3p6Ufnz9xss7998/fvba8xePKqve1Xz8&#10;2Nhw+9HDzDUb3QSJ8wWr7KLX2UaX2UeUeIjXBwjy/L5N45JreLFdYJ6TV2RW7sZnTx80N1fXNbz9&#10;WFfxrvr9oyfPzp+/eHrH3u05eSv9A5OMjTI01feoG5/UtXjDtKikmrfKmbcQLFoIlpUU83cU/mMq&#10;9wHZ+C7Z6DzNbC+Jn0XQif4f9kwiw4qhoK6nbmE7R5S/bP/da3drP9Y0tXVK+oe6hwZ7fmY7UIb6&#10;h2cx8vrrAX3NmKcMZdRT/fHjpXMXCvMLnOwdtNQ1PievZGxVV9S8CZpJJZI5bAWesUlKSsrZs2cb&#10;Ghp6sIVd4Zrj9PANAQ8JHtWoKoCOQAmkf2iwpr5u34EDoYJwM0sLnB7OXrxQ21Dfh4YkDrx7/66k&#10;ZH1gYJJ/QNZXowdJz5t3b4+ePC6OiuTyTafNmL4kOenk6VNNLZ+AG+CW8J0GUd8HlkeM3DOmcKMv&#10;x/EzjKEH5G4lPVUfKo4cOJgUv2TW9BnKihx86CqFSEKtSYghUGuvEltRR1PLfrFtRtrSU8eO132s&#10;howBJR9YzzbSkjEAevgKrgRu8OfPEa6InjUIuIDBQTQmdgiN4W7r7n7y8u3ufQdTktN8nVzm8Piz&#10;2ZxZNFYQmRVFUsiRV9wqr3KMpHWTrHefZvScrP+KavSGwn3FMH+hMPWMytS9DBP3PxEi1Y3KktLv&#10;HD7+8s79ypdvm6rqGrokXfh8ooHhd+8rc4q2OQfGLRYWOMYU28ZstYsodRGv8xas8gz8JvTgKdzo&#10;HFzg7huXV7i9svLdwHBv/3B313Bv22BvdWv725q6D89fP7587UjR+jw722wzbrme2SGT6U/VZ75U&#10;ml7JmPaGPvUFzeIqk3eeZrSfpruTpLlZXiWboBYpp+oqw7KdQLVWVHGeau0f7J+Zn3vw2sU3Lc2f&#10;+qE+0e9F64/1/pNsB3/EYMR41ze8BECUWvux+uK58xmpSxfOnaevrQOhCYVAAmJAM6s/b0EKEQwE&#10;LnZ2dsuXL79161ZbWxtcCvCroQlcdqT0tfHd9T2MBSIGTKTDgx/ra/ccOhAuFllOswZJXpp24crl&#10;yuqP0gGI4RE9FJesD8DowS80zy0gyyk81kWY+g81LvVK31dVHjt1QhgVYWBiPG3WzNjEhNMXzjUC&#10;PQwPQgjZNzQI2Q0EkuOtSL8VQ8ODEPVj9NDV1t7c2HTy2HFxuHDBnHmGevoQpoHhASWAAElQiSQQ&#10;JbRfvOacGTPBXMFoa6uqJZ1dkHkgjsGn33wL04Nr4vIZiB4wVUSzGtE6MSPSMzjU1dlTX9d89cqt&#10;wvzCsMBgO2trKy3NhQqKNlS61xSieBIpQ55dTFYto2udkFe/QNO/TDe+xOZfU5+xR3dmkSJ33mSK&#10;wHzGpWMn6mrrGjo7m3ulLX39UmzmBv59Fa+qVq/Z4RmQaBO+xjGqZHHM1kURpfYR61xFq5xDMuy/&#10;xcBWwUaPoEIvv4T8wh0fKt/3DUt7hns+Dfc1DQ9W9/U19A909EjbWtoeXr5SHh+7xsluk+WsbRaz&#10;L+rMPq9ifZlleVrB4gjbtFjJKJ+tnaigGkljB5Npc+kME44iV13NQldn0exZS6Kjdu3a9ejJ09rG&#10;5pYOCZqRAroB9ICWZRip838JgDF6Orsq3r4/efRYWlLy/NlzVJWU8XSWTqZgaQQViAGNbqLSDAwM&#10;bGxsioqKXr9+3d3djbdwAnCqGGWF0cJXx3dND6An+NTusfQAqYP19OnpmRnXrl+vranBEo6B9+++&#10;CT0A/Zw5dzYyNtqIazJj9sz4xCWnz51t/PQJPNxP9ABfP3K/4/hrgAixtw8xRP9A3ceaa5cuZ6al&#10;z54xU1dLW4HJAjJA62Rg67ACQ9Cx2dHKCorTrazjY2JPHDkKqQYkHIgbMN+NzYBFacTIxb8isOsj&#10;+QycHkDweAVXSyTwHmyG3ae6lgc37x/ccyB/+Yo4ochv4SIHU9P5ikoLSTRHIt2bwPCVZyRPoS8j&#10;Kq0kqq4ka65mGqYqc6PZ+hYUduCcRVeuXG3plrQPDnYOD4OgvbqAfCTDw93D1U8r1+dtD/BOdAhZ&#10;4yousYnatihio23Eeidxnn1o5jeZ9yAo9QjK9/GNXbOmvOrDO0iWBoYl3cMDHcPDzcPDbRhBSvv6&#10;Xj96sik1ZamL8zKr2encqfnKptlU3Wx5zWSyRhxNw4+j7spUnMGkTaWTrdg0IxMtY5tpC3ydAuME&#10;uXk5J04c+/j6XXdrd59kYKAHzGmEGIAX+/6l5oSce19/T1d35bv3h/YfiImIsra0AoZg0dDsB1BI&#10;UFFgCDTGmkan0Wj6+vq+vr5lZWXPnj0DhsC5AZwSjrEk8S0wTg9IcHrYe+iAQCyaOs16xqyZy1es&#10;uHv3bmN9A3oU/QMfvgE9gCOrqau9fPUKsIIJjztz9uwEoIezZ5o+fRoAFcLal8BrSPshJx7HbwPQ&#10;g7Svt0vS1txy58bNgrzV7s4ukL8jS8O2foOgDHJ5vF8ayiqKHL4JNywoZP+eve9evYaEA0wXb5uC&#10;6HoIo5l/Dj1AEZ7yFySBBL69Ey2+OygZ7Gnv+dTQ8vLZ80vnzq/PzY0PDXWbNh0tqqqibsNWWkhl&#10;BchQgmSoIT9Sgv5MDp3A8CIoe5BVdOQorjPnnwd66JW2Dw+DCwYBVkCrQcCxa7juSWXpqu0hXonO&#10;wWs8RKW2UeWLIzbZRm5wilhtF7bsW9FDcL6vb2zhmvLqD++G0dJ2kq7h3q7hoYaBYbhJlDZJ+54/&#10;eLQyOjpo9qwgLSMfJS2hvErwRFbIBJanDNOVpDBfWXkGR8GQwzBWVbA00prmOs82U5S6rXD7jZOP&#10;Xj6ta6wf7Owdlgyh3wgCRAgpObbUQP83eJ6/HeDNUdgxONTTLXnz8tWu8u3B/oEWfDN1ZVWkmVgT&#10;E1rThUimU9CiTBwOh8fjBQcH7927t7q6Gm8bHyWJcXr4hviJHoYGq+tq9x08IBSJpk+bBhnfmtzV&#10;Lx4+6WhoHkLLdAxUvP0m9NDU0Hj39p20lFRTU97cOXOSkxJPnzr9qfkTevb9A9iI++F+cFL/UoX+&#10;PQEcOxheV/eHN+92b9/p7+1jasJV4ShBno73+yky2cAKEKCR5QmQRpib8oP8AraUbnr59Hl7Syvw&#10;Cp55gKACUMUv+h6+DuCauHwGPOKfCXwtLgPY4sQYV+Djmro6JR+rau7ffXj40PG1a9YtTc2IFsf4&#10;evjaLLCdP9N6pjlvpo7edGWNaSwVC5aqJVudRaItnrfwwvWbXX39oOqogQUFHXBBYJ2B4e6Buqfv&#10;SldtDfWKcw8s8BaUOInLHYSbnETFbsJ8p6Dsb0EPLhEbbAW5Hv5R+YVlte9eD/d3D/d3og1Jhoa6&#10;BkZa1bql0gcPHsTHxc2dPdtCQ4+roD6drj6DoT5bQWeGpuEcU4v5C+Y7Ojt5+vmIoiKysrIKy4p3&#10;nDt048W9yrZ6ibS7b0CK+lUgWYDfKOkflvSh9a+gDn9W6/8CYPSAmi4Hevu62juA7EvXF4OiGusb&#10;qCgqQY6rwGChoXSQ6VKobAyKiopTp05NSUm5fPlybW0tOAf8Ov8Ehhjve0DSNzRYU1u7/8ABkVA0&#10;AyKy+Qs2FK599+KVBPw4RJO9A1Vvvj49DEj7Wz+1PHn0OCtzmTnfbMG8eSmJyWdOnmpp+oSGOaJd&#10;8kGNhuFt6EbH8RswCLFV/wCQ7vnTZzOXpluZW6CkAeuFhqAMBHX6kYAbiCQ5eTVlFTdnl40bip8+&#10;fNz+qWWgVzpCBrhA2D4ycunr297ol/zsBTzlUcGTCGzI9SCwAlZAAq5gcLhH0tfR1tXc1FpX2/jh&#10;feWdW/f37DqwOq9QFBnu5+PubWPjMWPOYn0el6GsKUNhkmkLET3c6O5DgQZa5AyuCa4Ygo/e/iFJ&#10;f+2zt6WrykK9Yj0C8n0Exc6ickfBJmdhibugwDlw+bfomnaOXG8jzHEPiFy9dkvdu1fDfV3DfR3D&#10;A2iKSfcAtt/w0FB7t+TWrVtxCfEzZs/SY6to0xXnqBg6Gll7Ws4NsHWNCAhNSkkpWFe05+CB67du&#10;fXj/ofpT/ceupqbetta+zl6ppH8AQj606PNIveHdSHheOFLv/xogeoCHCAYu7YOjVNLz6N790vUb&#10;HGztDHT1IIJBPWRYPwSbwaDRaGQyGXIIDQ0NOzu71atXA0O0t7ePHWY9Tg/fCqMmCckeGth64ECE&#10;UDR72gy7BYs2FxVXv37X39oJycVQz0D1N6CHQWl/V2vbm+cvcrNXWPHNF89bkJaYfPbEybamT6hN&#10;4TM9DI3Tw28GvrDSzavXkxMSHWzsNFTVCDJyqLvvMz1ARAZlFo2hpqQy3WpqSmLS7es3OlvbJJ1d&#10;/dgMuC8F0cPXr33cR43Y9OiLEV3EZKRpCX7RUMdAH0TTUhSloFgR5RCILVASAHcnHRxu7Oh/8qHh&#10;6sPXhTdOZh/duXLH5pUb1kXGxM2eMVeNo0ahMeYuWHTh8rWeLilqW+kaHu4YakcuGaLrHghiq16/&#10;Wp+/KcgnxjMg30+wwV1Y7ha22Sus1D+k0Mdv5begh8WxRbOiVziGiHM2bKp7/2K4r3NY2o56H/r6&#10;Jdiit5KhoU/d3ZdvXwtOjNeZPZOsqKyqo+/u6Jm6JH3N6nWbtu7cefDo4fMXrz58XPGupvNT93DX&#10;0HBn/3CHdLi7b7irZ6ivZ6C/twct8wyX7u8ZHuhFTIs9UKhV+IJ/HcCbI00DnkLTXFDwAWnr/dt3&#10;C1fnO9raa6qqYWtEomQXMl0KhUIikRgMBofD0dXV9fDwKCoq+vDhQ0tLC+jCyBW/JcbpATPJQUQP&#10;Bw4cEAtFM6dNt1u4eEvxxqq37yUt7Sh8kw5UvvtQtLHENzjeOzDVT5Dj4p/uGLzETZDpKSrwCC8D&#10;bvAKL3MPLXUOjbYPjrULT3cWr3aLKHYX73AX7vIQ7PAML/MKK3ALSPUNXbJj98FPrZ2QFkp7ezpa&#10;214/f5mzfIUFZA9z5qUsSTp1/ATKHvpR9jA4nj38ZaAo7HMAhZfBYPqk0rrqmo3FJXNnztLV1FJk&#10;sfG1V1HegK2nBMKmM1SVlCFdCw4M2r5tW+WHCnwIbL8UPDB4EHxoLLJbTD8wn/K1AVfE5WcvcF0c&#10;0cgRATKA2+rDc1zQCIgbUBSM3gP0ALcpHRgGt98iGWjqlL4b7HrW3viqsfZVVeXxkycjxVEzrGco&#10;KHIWLra5fPV6b08fiqOlaHNZcJrdqAVNgtNDUcGmAJ9ot8B8b+EGF9E25/BN7uElPqFrPP1XfAt6&#10;cIwsWiRa7hwkzl2/6eOHV0OocalrqBetDgBhMVQ//N5Oac+N+zfDE2KNZkyjKypxLayWLc06e+r8&#10;i2evqqrrqxuaaj61NHV09Ur6ByHdQP0o/cPdUjREFmoEud7+3uF+ybC0e1gK3ADMP0IPUKtQe/86&#10;gLr2QZ6KHveImsFDbW5sunH1GgQr06ZOVcV2pqJRqBy2ApPBpEAawWIpsNkMOgOUNkIkvnrlSsWH&#10;D709PfBZlCHB7xrRpK+P75oeRgHPDKcHkUhkbW29aNGizZs3v3v3Dlga9zuvKipWl231FEa7hUUH&#10;RGU7+ic6+KZ7h+d5hxX4Cgv9RGv9RPmeYTmuQZmOQRm2gkxHcY5b1BqvqGLvyFJvQYl32HqfkAIP&#10;/wy/kLTyPUc/dfT0D/VJpN2fPn169uzZ8uXL+Xz+7NmzExISjh8/DifhfvBWRbi3Xx3pPA6MEZBZ&#10;4PQAR4lE8uE9Gg0SGhikq6mNdT7jgRgaB4LnDcAWQA96WtouTs7FxcVPnz5ta2vrxVZjxS+CXfv3&#10;itGq6Ovre/DgwZIlS0CpVFVVQZ8vX76MD73H34P2qQB6GOiGwLrqzeu1hVt8/aKdQvI9xBscIrfZ&#10;Czc5i0o8BGtcg5Z/i4GtvoIiz+DlHgGReeu2vK96P4glSkN9wHyoJxDlRuDw+3puPbgWHRsF9shi&#10;sSwsLCBwfvToEVjHPydw/mcCflFFRcWePXuEQqG5uTmNRiMSiYqKisAQaFsqbFFhKpEMucX8OXNX&#10;Zi2/fOFi26eWz51kaPL9yIW+NsbpAQFsZiw9LFy4EOgBkjh8Ngq4j/vPnq0s2eglinEPi/aPWOYc&#10;sMTRN80rdKVX6Cqf8NW+gnwfQa5nyHLXwHTHwKW2YemOwuVuEXmeEUVe4vVeYeu8Qtf6ha72DswM&#10;DF+6efv+ytomSX+XdKD3C3oAez5x4sQ4PfxNAGcHR3CIdXV1B/buE4SEWpjywa7QAFZsHRvI02n4&#10;dvDY6pjqyipzZszMTM+4ffs2PN/ResbrHLvk7xXwE8bp4fcIeCidnZ3gCrZt2+bn56ehoQH0QKej&#10;xSJBaSH3pZEpwBPKihxjA0MHG7v1a4tePX/R2y1B7R79aHWAkQt9bYzTAwI8nrH0MH/+/I0bN+LZ&#10;Azy2jx8/njh3Lm11gZcg2i000luQ5uyf4OCd4haY6R643CNohWfwSo/gbNeATGe/VAf/VJuQVPuw&#10;TKfwFa7hq93CCtyDCtwD8zwDVrj7pXoHJq5aU3L5+p0P1e/aOlubm5shgM3OzsbpITEx8eTJk+P0&#10;8FsAlQPAuQHqqrGx8dq1a2nJKVMtLBVZkJazgCFwVmAzmHibEhgbmuUw1XpJbNzJ48eBTvC6xesZ&#10;LoVf7fcLvELgOE4Pvy/AEwFVbG9vhx9YUFAAzwueGtAD1gOBFnOF1AFyXyhzWGxznmmkUHRw7773&#10;r99Ie+BJora0kQt9bYzTAwLYzFh6mDdvXnFx8Zs3b+rr66uqqq5cuVJUXBqVmu4ZKnYNFHoGx7v4&#10;xzh6x7n4Jrr5p4K4+6e5+ae4+iU5+y5x9FtiF5RoH5ziGLzUJSjLJSjbLSDbzX+Zh99SN594d5/I&#10;+KSMks3bLlw597G2qqmpCacHMzOzOXPmjNPDbwdUC+7pAF1dXffv3wf34enuYaCjhwyJxQZ6IMsT&#10;kYGx2GBgaDIqkwXBV1hwyNFDh6s+VMCncEcDR7gIftnfNfAKgeM4Pfy+AE8EHhk8IAhZzkEkmpY2&#10;c+ZMDgdtT433VEOgA1EO0AONRNFSU4f0Ny4q+tjhI01oYha2NMq3wTg9IIDN/Co9wNN68eLFnj17&#10;lqSkBUTGuAeLgB7cA2Pcg+Jd/RJcfRPdETcghnDzT3bzT4KjS0CyY2iyY3CKU3Cac2CmS+Ay94Bs&#10;j4BlPkEZ3gFJXn7R4eK4lKXLdu/f9aHqfUNDw+PHj3F6mDt3bnJy8unTp8fp4bcAd3NQgIr68OHD&#10;rl27goODLczMVTnKWFstGqpEwbb6UWAw4QydTNXT1nF3cS1Zt/7Ny1f4Vlz4pUadJv7y9wv8V8Bx&#10;nB5+d4CHAr+rs7MTlPnIkSNCoZBrYqKhogr0ACEOxDdoLie2rxyNTNFUVbNbbFO0pvAt0uT+Psgh&#10;vg3G6QEBbGaUHqZNm7ZgwYLS0lJ4Ts3NzUAPW7duFUVG+4SIvINFnoFCn+CogPB4v9AEn6A43+Al&#10;vkFLfIISQXyDk/xCkn1Dk70Fyd5hKV4gIUu9Q9L9QjL8gpf6BSX7ByX4BUYFh4nEUTFbt5dVfqwY&#10;p4e/G1A/uLODDA8CrpSUFCsrq9EuB2AFyCFwwYctqauoOtrZF64uuH39RlszmlkCHx8FXuFQGLn6&#10;7xPwK/DfMk4Pvy/AE8EBxt7T0/P+/fuNGzd6eXmZ80yVFBRBmRWZbCYVzaZm09F6w6Dn5qb86IjI&#10;MydONdbW9XR2jVzoa2OcHhDAZr7omobHU1VV1dXVBSSxbds2YUSUT7DQJ0joFSDwCYoMFiYEC5YE&#10;hMExKSg8OSgMk/CUYEFqsDAtMCItULQ0QLg0QJAeEJ4eEJbuH5Li7R/rFxDtFxARGCKIiI7dsWt7&#10;VU1VY2Mj0ENWVhbQA6Qs4OPG6eFXAZaD+7XRl7g3hwd069at1atXu7i4qKurU0hkyBXAeBAlUKio&#10;Ww+b5aCiyDHn8eOiYy6dv9BQUyvtluC7OOAXAYyt8N8v8CqCI9DD/fv3ExISZs2a9fuiBzSMtx8N&#10;QP1MD5Gj9LB27dqHDx/+UelhbGNpe3s7PC/QagcbW3VlFVBmoAcaCS3Yh/dUQzKhoaq2aP6ClVnL&#10;b1270dqM6gT/LFwNrgNXw8v/IMbpAQEqdJQeIAiF7GHDhg0vX74E7wMksXPnzviE5OCwKC+/UDev&#10;IDgGhIiDw6NChTGiyERhRBKIQJwcLkoOF6aEi1LCI1PDI9PCI9LCRGkhguTA0CX+QbHeviK/AGFg&#10;kCg0TJi2NP3o8SMVVRWQnQA9ZGZmAj0AJwE9jI9c+lWAroPLG/UL8BLKeJy1fv16e3t7fX19RUVF&#10;Jh3twIWNUEKtSWjkEp2hxFbkm/C83T03bij5WFHZJ+nt7+lFLbZ/REDNgNqM0sPMmTN/L/Qw3DeI&#10;5nlgszzg4eD0EBUTMUoPhYWF8KNw6xj5tX8UwBMBMwfATwN0d3dXVlbevXs3KT7B1JgLwQ1EORQC&#10;UZHFphLRaAsGBe2Ibqir5+bkvGXjpsp3Hzo7O8EiAKOmAYWRq/8DGKcHBHgko/QwdepUCOTz8vKu&#10;X7/+9u3be/fulZWVJSWmCQRx4Nz9/MMCAsNCwkRhArFAFBkRGSuOiBNHxIvECULhEqEwEUQUkSSK&#10;SAYRipLCBUtCwmKDgqMCAoQhIaLQUFFQcGhcXNyOneUPHj14/vz5+fPn4aWxsTF8aVJS0jg9/CWM&#10;rRNAb2/vu3fv9uzZEx4ezufz2Ww2DUBF20fj69VAGsGmM4EkwLpcHJyKi9bfvXW7u70TNSuB+/kK&#10;tvPvCJwAfo/0MPg5exjCsgeJVHLz/tWoGJQ9MJlMc3PzUXoANRj5tX8U4M8FZwi8DP69ob6+dP0G&#10;f28fC1M+BD1keYICk4V0m0yBoAcPg3hGxolxCZfPX4AoFixiNISC41eppXF6QIDnMUoPlpaWoJHg&#10;qcH1nD59eu/evTk5ObExCVHg9IWxgvAoQbhYJIoAiMVidBRFikAEMcJwkDgkwniRKAGTeIEgNjQs&#10;MiQ0IjREFBYmDA8DkgiFb1m1Kmf37l27d+8uLi4OCAgwMDCAlCU1NXW8cemXgHoAm8HNBi9D5TQ1&#10;NZ06dSoyMhI8oLq6Or40DYOORojjzUrADcAQyoocPpeXmpR8//ZdvMsBmzo7Tg//pvQwsvL20HB3&#10;rwSyh4TEOPgJQA+QXgM9PHjwABLur+L4/t2AazUY+6iGd3d13bp2o2T9Bk9XN3UVVRqJDBkD5A3A&#10;ECxsIQCSPEFJQdHd2bVk3fqrV6/iazEBSSAjGRyExz1y6X8A4/SAALU5tnEJQhVw2RkZGbm5ucuW&#10;LYuJiQkPFQlCYsJDIsJDxGHg4EOCw8ICBIJAkTBYKAgRCsIE4PpDQOANEcLQSFFYpCgcJEIIeUZI&#10;WHhYmEgoxD4VEh4eFi4Ii46OTEtLzcrKSklJcXJy0tfXB3pITEw8duzYOD18ATykggIcAfASqujO&#10;nTtA23PmzNHR0VFSUgJ6gOSBha3UzcHmPUAyzmYwLfnmwQGB+3bvaaprGOjtA1YYGkQL7kP94hf/&#10;gwHqB9Tm90sPA70/0cODZ3eyVyyzs7OD5/uHpwcAPJdRwBPs7u5ubmi8df1GypJEMy4PtFqRyYKk&#10;AdsQAi0PA4QBAZCVuUWAr19ZWRk+jwfSDtx1AEau+w9gnB4QoCrHNi4ZGRnNnj3bzc0NSCIoKCgw&#10;MNDXO8DLPcjPOyTAN8Tf18fPx8vfzz0gwCPA3yPAz9Pfz9vPx9/X29/XKwgkwDso0Cc40Dc4yC8o&#10;0C/Qz8fX39cvMMDf28vT29vL19fHyxsVAgMD/Pz83N3d4RvBhsHTLRmfNf1rGEsPUCctLS13795d&#10;t24dVJ2mpia+6DEFAxqnREX9eJA9EGXlNFXVwHLKt2x9+/KVtFuCFujG6AEcI/JAf0TgVfR7pAcg&#10;iOEBtEwSTg+9/dJXH56VbioBG9TW1sb7Hv7wXdMjrzGAC+jv6a2prNpUUurp5s41NIKkAY1wpaOB&#10;2jhDQAFoQ09LOy0t7fHjx5A6/PI6/wjG6QEBKnRs4xLE8vPmzQsLC0tOTgaXDQV/36AgH6EwJDJS&#10;EA0ZgVgQEiEKiBAHiIV+IoG/KDxQGBomCAkTBItAxCGiiFBRZJgoMlwQKRCIIK0ICw4LCQgFCQZ/&#10;5e3l7SEUClNTU+Pj44ODg2fMmKGurg70AF939uzZcXr4AlAPYD9QAK8nkUhevXq1efNmf39/Pp/P&#10;YDBIJBLqdUD9DlQ6DRkMPtJDlaM0b9bs1bmrnj583NvVjTKGvn6UOvQP4Etm/iHxO6aHAUQP0q4R&#10;eugf7K+qf3/w8P7Y2FhjY2PI6desWQP0AMEBbhd/JMATAXuH488AP7N/sKOt4+rFywWrVrs4OHHY&#10;CkAPEANBAoGNX2JQiSQygQgnPT09d+/e/ebNm87OTvwRA0au/g9gnB4QoELHZg+mpqYQ10O0AmfA&#10;E6WkpAgFEdHihOSEtPSUjPTU5LSUpPS0hGUZSVmZScsykjPhbNrS9FT8r5lZS7Oy05chycjMysjI&#10;TE9LT0tOSUpYmpaSkpwoFosEwvAVK1bA44Trg9J7e3uDAYzPewD8ulrDCRT1o0X3mhobL164mJSY&#10;OM16mrqaOvABmUSmQdIAREGnM7Alu5l0hrqKqqWZuTBMcPjgoca6emxpmgEQoIe+XunIkpl/REDt&#10;gdr8VnpAS6X2Vr1+vXbNZl/fKKfgPA/xOoeIMnthqbNog4dgtWvQMruAJKfQpa6iPFfxWidxiYO4&#10;zDFih1PkLkfxDmdxmWvEFo+IYjdBgVPwSseAeNfgJfApD9FaF+FmJ9EWp4htDpGbHaI2OUUVO0WW&#10;uIq3uIq2ugt3+AgKPIOXIXooKntfWYF1SQMnAD0M9UnAUw6hxzU4UNtYffrMKYiLIQ4AeigoKMDp&#10;4Y+XPYwCng7YOzw+PAmAiujpklRXVJ0/fTY+OsZQVw9bhJiCdoPAdoagoTJVSUFxzuzZS9OWnj1z&#10;tqG+vh8+LUVXwA3nS/lbME4PCPAkxvY9AD1ASgv0sHfv3o0bNyYlJYWHh0dERIC9AVVA1A8ArV2K&#10;AQr4GfgT/teMjIz09HT4E34SPp6YmAhH8P5wBYFAEBoampmZWVZWtm3btlWrVrm7uxsYGAAtwfu/&#10;80U1kEmM6WYAoPIAxPxDg9K+T41NN69eW5m13GbhIjUlFSYVDWNVRBtsoS4HBoVKIhIpFAqLxdLS&#10;0nJ1dd20adOjR4/a29uxa38XgBqDOvyr9IDC9SEITiVAD9WvX69fsynAN9I1OMdLvNY5YpOTcL2r&#10;qNBbuNI9KM0uMMEpPMVVnOsaucYpotghYotjJKIHB0QPW1wjN3tEwptXO4VkOQbGuobGe4gzPKKy&#10;XSJznaLyHaOLHKKLHaJLnKJKgR5cgCEii90jN/iIV3iGpngExOQVbX9fUYfa+ZAMDYPfh9uD+wcX&#10;OThYXd94+sxZMCVzc3MLC4vVq1fj0+K+F4uA+ujr727v6O+VVrx7v75wrb2NrY6GJrACioGwxcTQ&#10;xE8KFTjD1ITrZGe/oWjd25evujs6+yQ9YDI/UcJY+VswTg8IYDNj6cHExMTJyQmy2qysLPDpwA2Q&#10;TAQGBoJbhzL4d4BQKIQ34y+hIBaLIyMjo6Ki4AhlOANvgL+GhYXBp+AIZSiEhITApSBdgE8BYQCA&#10;dRYsWKCjo2NtbQ2McurUqfHsAQC/HQeU8U0AINh9+fTZ2vw1jrZ2elrabDoT6AFYQYHBwtcbQKYC&#10;2QOdzmazzczMoG6vXLnS2NgIbnHk6t8B8Kr7mvQQkOwUmu4qzHcVr3MSbXIQlTuKdztF7HUQ7XEW&#10;lbuKt3mIS10FhU5BOY7+ya7BqR7ClR4Rq1zEhU4R6x0jSx0itzhEljlFbHUSl7kAnYg3u4s3+YhW&#10;jtPDX8fQMORQfT1SUP6GuvoTR44mxsXPnj5Dia3IoKDlACAqwjqoKThV8E24CTGxF8+eq6uukXR2&#10;jdPDVwPYzCg9gJs2NjaeP38+OPGRfmlfXyh7enp6YYACwMfHB87jR7wHGycPOPpjABrA3wCfhSO8&#10;hE9BGU7i14Ez8Db404wZM7S1tadNmwb0MN41jfgAAxRG0I/66Oqraw7s2evv42ugq8fBVtkDemCi&#10;njqUZQM9oMGsTJaioiJwrZubW3l5+YcPH8An4tX4nQBqC37vV6WHpc4h2a7CtW7iEmfRVkfRLkfx&#10;fqeIg46iA86iXW7inZ7iMjfBBqegfEe/DNegZZ7CfE9xoYu42Em8ySlyK6QajpE7nSJQX4WreIer&#10;aLu7qNxHlDNOD38d8JzACAaQl+9s73jz8tW+XbtDg4K11NRB5xErYP0QNBIZhCxPUFdWcbJzWFe4&#10;9v7tuy2NaJP8nyhhrPwtGKcHBLCZUXoAXQRnDS7b0dHRw8MD/Dj4dBy4rwcvD+ehDMCYAtEGnAe/&#10;j1MCvMTPA+CdACjASVdXVyjjb3B3dwcXZosBvlFDQwO+cdmyZWfOnPnO6QF+OPxk/LcDwEYgeqr9&#10;WH1gzz5BaJi5KV8JLazEQNyACRrOgTEECJ1KU1JSAmrPzs6+du1ac3MzXAougF/qewD8WKi6r0kP&#10;fsucg3NcBRvcRJucheWOwt2Oov1O4oOOwgPOwj1uot2eonK3sI1OgWsdfVa6+q/yDNvgKYR8osxJ&#10;uN1JtNtRvA/RCXxEuM9VuMdVsNtdsMtHlDtOD38V8JjQWDuwg8Ghvp5eSUfXs0ePV+essjIzByYA&#10;SkAjXD/TA+QTHLaCGc9UGBp+cO/+2qqPaK/JkYr9ufwtGKcHBLCZUXoARdTX17exsREKhYmJibGx&#10;sZATQHIQHBwchiEkJATKeJMRHHHAyb8K/CIAyEgEAkFMTExkZCR8FtyZrq4u0ENmZub4tDicHsA0&#10;oAw10NPT097aduPK1fjoWHMeX01JBV93D+MGbMU9tKoSHRJtRSaLQiYDtcNDPHnyZGVlJb7SAH7Z&#10;7wQ4AXxFerD3y3YJXuUmKHYXbXYGjy/c4wR5g/iQk/Cgi3Cvu2iPFyQEYZucA9c5+eS6+a/2Civx&#10;Em5yE2xDI5dEe53EB4BLnEUHnYUH3IT73AR7PQR7fEWrxunhrwIeE0YPaA/UAWnfYP/Ap6bmIwcO&#10;+Xv7WvLNQOFxhsCFRUOdcKpKynNnzgIKefn0Gbz/Z6wwKn8LxukBAWxmlB6mTZtmZWUFXnvdunV7&#10;9+4tLS1NSUkBhoA/RUVFgU8HQAEAzBH3GfGfAWU4j2P0T3CET0EBTgIxwNUyMjI2b968Z8+etWvX&#10;Qs7B4/GAHtLS0sYbl5BVfOYGiUQCz+XW9RvrC9fiy5OBVQA9KDDQKsfADXQKFe+mw8+rKqvMnTu3&#10;sLDw7du3+BoDeB1+P4Cqg5/8FenB0T/NNTjLQ5jvIV7rKtrgLN7oElHmGrnNWbTVTbTZI2Kzt7jU&#10;I7zINXC1i89yD/8c77Aib2Gxu3CTq6jMRbzdOWKHc8ROF/EOF9SstM1dtNVTVOY73rj0WwB1gnED&#10;2vAHG3Qn7Zbcv3M3f1Weu4urtoYmA1vcG+UQYAsUKtADHLXVNYVh4WdOnKyuqPyJEsbK34JxekAA&#10;mxnb92BpaQkefNOmTcePH9+yZcuSJUsg5Ae3Hh0djft6KOAAksALOG2A94cjTh6A0T9BGRIF+CAU&#10;8P4MoIeysjKgB/BlPj4+JiYms2fPHu+aRsyAAfdxjY2NT58+3VC0LsDHj2/CAw6gEklo911s5Qwg&#10;BrSEBjZ4A5IJZQWOhZk55HxHjx5tbW3FLzKePfwqPfQNDUkHsUlofT1ADxsKN/t6iVxDcj1FhU4R&#10;G4EeXIRrvAQrED0EpLgGZ3gIV3lEFKCpDxEbXCJKXSM3OYs3uYlKPCJKvETrPcILXANzXXyWefgv&#10;9w4r8BaucxeWuIo2Oou2OIu3OkdscxGXuYi2uIs2uYs2eopKfUUrPEKS3f2icHoYADXHBi4PDQyA&#10;DAI39PdLBwbG6QFrWcIqB1soDGiz6n3F8SNHo8URpiZcbEkx1C+N0QNqXIJ8AkjC0da+uGj99ctX&#10;0KYmwC5juQHkb8E4PSCAzYzSA3CDgYGBjY0NOHTw18AHkElAgB8QEBASEoI3LoGLH20p+i3A3wye&#10;Cz7u7+8PlxKLxWC9iYmJcHLBggV6enoLFy6El9959gCeC3dh4ODa29ufP3++b9++0OBgM2zhe2UF&#10;RdB+sAEmak1iAU9QicgeaCQKWZ6ora7h6eEBpPvy5cvOzk64DtThd5h74bX3v9ND7+BAT38fhKMD&#10;kq6Pr15u2rDN0y3MQ5DvKVwD9OAs3gD04BGW7RmS7hwU6xaa4CFa6hWV5RG90jUqxylipUtknmtk&#10;nnvEKndxrodguXtopltwurt/smdgind4NiQHXsAlEWucRWucgG/Ea13Ea1xEBW6iPDdRrocox1ec&#10;5RaU6OYbuXrdjtdva3p7BwbhH9zeQD9Iv7S3f2Cgp6/vY33DmXPnvmt6GBXw8mja4OBQX3/luw9r&#10;VufbLFykoaIGURGHxUY5NJmiyGSDRcBxqrmFOFywa/uOlsamAXwGKJ6F4IW/BeP0gAA2M0oPVlZW&#10;QA9z584FSoiIiIAz4NyhDCE/FOCI+/dRqviNwNuUoIBfB14C/cARrgY2rKGhMW/ePKCH8ewBAAXw&#10;ZdXV1ZC9Qeo2c/oMFUUlkhwBEgUWtuYMm8FEy5NhcRPwBG4klnyzxIQlly5dampqgkqD60AFjtPD&#10;X8oeunol7c319RXv71++vCZvg7enwD0szz0831FU6iRa7ywocA/N9ghe6ugf5RIY6xKW5CZMcxFl&#10;OIoy7AUZ9sJljsIsZ0GWc3iWa0imS2Cas3+qm98SD/8lnqHp3oIsD1Gui2iVo2CVAyaOghxHwQoX&#10;QZaLINNNkOEVvtQ9OMkjIHrZqo3Xbjx8/6G2ufFTV3v7YJ8UmeJAP9xij7Svsqbu9NnvO3sYFUQP&#10;iCGG+ge62jshgYiLjpluZQ0ZM9gChUhio63UmUAPkFJoa2jaLbbJX5VXX10j7ZbAx/Fx4WgQFMrU&#10;/gaM0wMC6OQoPeCzpj08PJKTk1etWpWdnR0dHQ2eHagCazGKggJ4drxrAbUo/QbAm8FW4YhTAgC8&#10;XhYGuAhkKtra2rNnz4aT3zk9gF/D/Re4+KtXr0LlA2tqa2oBK5Dk5D/TA2pKgqSBRcO2RsGGLRno&#10;6jk7OG7C9vjD/SBgPHv4S/TQJe39WF/z5MHtiyeP7SwtSY7P8HANdfDPdghYsShk7eLgfFs0j2Gp&#10;s1+So2+ks3+0c3C8c2iiY3iSfXiybRhIql1YmmPYUsfQpc5BwA0pTr7JLt4xrj4xrgGJbkEpziEZ&#10;DiGZtsGZi4IyQBYHpS0OSrELSrQLSnAIinfyj3cG8RaJ47JKNu08dPjk9as3Prx9J+nogPsbGgQ3&#10;Ngz08KG65tTpM+P0gNHDTwwh7ZU+f/y0vGyrt7unhqoavswGmAMTmwOBG4iRvkFMZNSLJ09bm5pH&#10;G6bQUNdxevg7ADYztu9h2rRpQAOlpVvBu+4AAN0kSURBVKVwZvv27cuXLwcXHx8fn5KSgs+IRpOk&#10;MaB50r8B8E74FAAoB89IcnNz9+3bd+jQofXr10MCYWhoiC+qceHChe+ZHvBfDY7s4cOHhYWFrq6u&#10;QJxKCopAAAwKFSIjrL0VdTmgkUuYYcB5ZUXOnBmzlsTFnz19prW1Fa89cIJQdeAoRy79feA30sOn&#10;zvYXb16eP3W0bEPRypRkcXisr7fIzifTzi97QdCahYF5NgErHPzSnHwTXf3S3QIy3IKXuYZkOYdl&#10;OYZlOyBZ7hC60iU0F8QtaJWbf66bb467T5qHT4q7f6Z7QJZL0ErHoBz7oNzFgStAbAOX2QZm2Aem&#10;2QekOAYkOQcsgezB1TfCLzQ+MSU7Z+WaHdt23r5xs6muDtK9wf4+0PuevnF6wPulUdf0Z4HnN9Tf&#10;0/upoenuzVuJ8Qm6Wtp4Mg3ZA9gCHWyEwSTKyoPJeHt4QpLx9uWrvp5e+BROEuhqfwvG6QEBbGaU&#10;HkARZ8yYkZeXd+fOncrKyps3b+bn50PUn5iYuGzZMsgnAEAYUM7MzMQzgL8KiIJzcnLgmitWrACa&#10;gXRk48aNYMDv378/f/58UlKSpaUlvh0QvPye6QE8F6C6uhpYGViTx+Ox2WwaxgeoF3rMaCUQxA0Y&#10;Pehqavt5+WzbvOXZk6ddXV1Qbz09PXAcp4e/RA91n5oePX9y5MDuvKyM2LDQQJ9wP28x+HTnkFV2&#10;gg0OwnUuggKPsOXeoZneITneIbmeYbnuYbluglwXEOEqp/BVzuF57uFrPMILvULXegev9Q5cGxCS&#10;ExS60j8szzdstZdgjbug0E1Y5CIsBEGTroV5aEK1YLmXINs9OMUzNMXFJ8LFWxgcFh0Tk7y2oOjC&#10;mbO1VVXwzAb6pANDg719/RU1dd87PaD+hs8MgaUR4OgHpf0DvdK6j9XrC9dOtbBUQCvKoEHeqI+a&#10;SlNgsqhEkgKDtWDOvKz0jHMQMDV/wvIP7Dp/GzuM0wMGsJlRejAzM4PsAXQR6AHc95UrV8C5h4SE&#10;gFtPS0vDfT3kEDiAJH4j4INAKvBZuI5YLF6zZg1c+dmzZ6dOnQLiAe2fPXs2/Ok7n/fQ29sL3HD0&#10;6FGoIqBMcG10Op1KJqMBfNg4JZwkWNgKS2AVKG5iMM24vOQliTevXm9saADPCO4P6AGuhntD/Mrf&#10;CX4jPTS2t0L2cOLwvpzMNJG/n7dboI+X0CN8tYdwjXPkJreojV7RG/wjVwdGrAwM3RIQusU3dLN3&#10;6CaPsE3ugk3uws2u4Zvdwrd4hZf7hO/wC93lH7zbP3B3SMjG0NCSgNCNfqGbvMPKPMO3egjKPYTl&#10;HqJyT9FmT9FGH1Gxj2i9n6jIMzTDOzzNxUfs5CkIDImMiUlaV7j+8vkLzfX16P4G0KxI8IEVNbUn&#10;T5/+rumhfwBjCCzqx+gBZ4ih/oH21rZjh48E+fmbGpsoQvKAdU0DPaBFBFA/BMvUhGu/2KZ0Q/HH&#10;DxWD2FL2cBGUQPwtGKcHBNDJsX0PVlZWgYGBQAa5GOLi4oKCgoAhhEIh3vEQhU2AgPPg0H8L4J3w&#10;QXB5cITr+Pr6wpnCwsKCggLgGBcXF3ye9vfVuIQUfRD5MwzwEn5v9ceP586eTUtNnT1rtoa6ugKb&#10;DfTAQuvusXHtBzOAI5NKp5PRlnActoKKImf29Bn5uavev37bK+nBqwtPGkau/D0Bfi9U41h6UFFR&#10;Wbhw4aVLl4B68b/CsXdooOFT443rF4sK8qLDwwP8wgODoj3Dcz2Fea4Rxe4RG7wji/zFeYGinMCw&#10;jf6hpT6hJd6hxR5hxe7hxe6CYrfwEvfwUq/wzT7hZX6h2/xCtvkHlweFrA8KKfILXucTvN4zpNgj&#10;pMQ9bKN7+EZ3wUYPQbGHYL2XYK13+Bqf8IJA8crQqBV+IUm+QfHiyJRlmav27Np//+79jtZW1PGA&#10;xrf2S/ullTUfT54+hdMDAOjh4cOH+Ez4kV/7x8av0QN6ggOD/b3Szrb22zdu5WSvcLC111TTAHNQ&#10;ZCEDQQyBTRHVVFUz1jfISE17+fSZVNKLlivGOqhHLv7bME4PCGAzo/QA3GBsbLx48WJgCOADOCPA&#10;Bh2FYcvqwUtw8XhvM/h9CPx/C4AM4FJfAL+sn58fEIOGhoa1tTVYwneUPYDy90pB9UFrB6T9g30D&#10;7S2tt67fyFuZs2jefF0tbciaKdha9kADqKfh50IlkuFPasoqXEMjP2+fvbt2N9Y3IBP6vvFLeuBw&#10;OPPmzYOwAzKqUXroHpZ09nc9ev8sf9OGsLgYP2GkT3hUoCgNiSA7IHy5f2iOf8gq/5A837AVPuHL&#10;vxA/4Up/Uc5vEZ+w5d5h2V9IeFiOODQnPHhZkG9qWFBK7oqNly/cq/7Y2COB/Aa0Hai9u6+/ta7h&#10;9ekzxyHtBm7g8XgQTj148KCxsRFMY+TXfn+AZwdZIBSA7CsrK48dOwbuSF9fH00UxSaH0khoopwS&#10;WxE1MTFZ/j6+1y5dbqqr72xtA4ZA41z/FozTA8JYerC0tDQ0NLSxscHHF6WkpEAagWPp0qXgwfEu&#10;h+y/BcuWLcMbo8YCrgbMASkFBHejK7Z+Rwt6o2wXHSEa6pP0dLV1vHjybMvGTZAv62vrQK4AQRBq&#10;TcLWk/mCG0Dw9lagB5sFC1dmZV+9eKn1U8s4PfySHvDs4fLly3j2AHoFx97h3u5Byeuad1v27oxP&#10;XxoaGecbFhEoSAoUJAeELvUPSfcNyvAJyPAOyPQKTvIOSfYJS/UTLA0QZQRFLAuOzApGx98k3qEp&#10;cIUvJCw0UxiSHRaY5u+9JDQosWB12f27rz596sJGtILa9w0Odkv7Wmvr3pw+fRxsZ5weRjH6BMEt&#10;dHV1vXjxYtWqVRDRgiGAObDpDLxbjsNiUwgkDkvB0c5+x7by54+ftDQ1Az1IJajR9bdjnB4QfkkP&#10;9vb2UVFRoJq5ubmQ1ebn5+d9BrzEzwAKfhvgnfinxgKeKzAHMAR8l4GBwfTp04GBvqNpcXjKPIi2&#10;b+tu76x892H39p3hwaHWFlbg+oEY8KGrWDSERrJ+IWhaHJGsoaomChecOn6i8t17SWcXuuD3jV/S&#10;g5KS0oIFCy5evDjaXQ/H3qHejr7Op2+fb95Znpi+NDwyNiAsIliQECJYEhyeGhSWGhiSFhi8NCA4&#10;PUAQFyiKD45YEhadLIhNFSekRyzJEMUv/Y0SIIzzC4/5QkTCjCjRclFYeqBfQnBA3KqckhvXHtXX&#10;tfT29KO2k4H+/gGJpLftY83bk6cQPZiZmQE9rF279uHDh01NTd8zPQDwR4xXQnt7+/79+93c3EyN&#10;TbCFyGj4cD4s8yYpsRWsLSwT4xNOHjveUFsHhtbf04tf5DdinB4QoLrH0oORkZGTk1N8fHxOTs6a&#10;NWtALwGjjn7U10MB/9NfBQQ+cJ0vAB9fuXJlcnKyg4PDKD18R9kDRIp9I9u3NdU3XL9yNSE2Dq1G&#10;qaKKj1DC8wPUnPrr2QPaSdHEwHDVypw3L18BN/T3SsFuRi7+veKX9KCsrAz0cOnSpbH00NMnqWus&#10;vXD5wuqC1dGxsaKI6Kjo+MSkjOTkzOTk7OSUFakpOWmpq1JT81Iz09Oy0pdmZ6Yvz8xYkZWZk70s&#10;ZzkUfqMkZ6YlZaR+KYlZSQkrE2KXiQRJwUFRyYlZO7cfeHD/aVNjK6SSqOt1aKC3V1JdU3Xy5AlI&#10;1sfSQ3NzM24X3y3wRwyAAjzTq1evpqen2yxYpMpRRqM26NhkIBqdgsYvMXU1tewX264vLKp4+36g&#10;r3+8a/rvAdT1WHowMTFxcXEB64LUASgB9+a/Sg/4n/4+wMdXrFgB2YOdnZ2enh6+38N3NC1uaHgI&#10;9BXrcrh/++6GonUONnb4VifACpAxkOWJZHnCr6YOIGwGExJqu8U2O8u3f2poRAP+sM63kYt/r/gl&#10;Pairqy9evPjKlSt445IUw6eWpidPHu3cuSM1NQV0PiY6Li0tfVnmyuysnOVZeSuyV69cviZnRWHu&#10;yrU5+ctX5mevXJ0FsiIva3nesuWrkED5t0j2qsxfSmZmTnpablrKyvi4dEFYrFgYn5G+8sD+o8+e&#10;vm5v65Ki7fQHuru7q6qqIJnOyMjg8/lcLhfoAR+5hNvF9wl4gjigEqCaJBLJixcvIIEQhITqaWmj&#10;uUHYHkG4BdEpVEggjA0ME+MSHt27P7JH0N+CcXpAgLoe2zUNuujq6rpkyRKgB4wOEHCfjpPEaBkv&#10;/BZAAvEF4ONf0MN31zXdI+2T9Lx58bKoYI27s4uJoRFqVsJW3KMSyZAdY6vvofkNX3ADiJqSysxp&#10;05MSllw6d74d63VAAzPG6eEX9KChoQH0cP78+ZaWlra2tvr6elD1l4+fnjtxakNhUXJcQpRQlBAT&#10;k5mWlpmakpmanJGSlJ6cuDRpydKkBJC01LjU1NjUlNiU5JjkpOikpKikxCgowMvfKilfytK0tNSU&#10;tJTktKTE1OioOJEoOjZmSWHhhlOnzr94/q7yQ231x8aqyvonj18dPnQUjGIsPcCvwO3i+wT+fKEA&#10;R/AMgKamJkiqstIzTY1NgB4UmKiPGgrAEGBEwBbKCpwAH98zJ05VV1aNNy79PYC6/oIe3NzcwHGP&#10;pYdR/E2sMArEKj8HXAqun5SUZG9vr6uri3dN/yHpAQt3fsLImcEhCGea6xvPnjoN6qutrqmsoAjp&#10;MKg1MAS2egwatzp22NIoT0CGAbGSl7vH5pJSCIs6W9tQpzQa/Dfe9/AlPSgrK8+ePRt0+/Xr169e&#10;vYLzd+/ePXPsxI4tW1dlr0iOTYgRRcRGRCbHxaUnJS5NTExbEp8UF7MkJjI+ShwfKYqNEY6VmBgB&#10;CBTiYkW/RcZ+dlQSE5fExy+Ji41PSkxOXJIcFwsvE7OWrSjbsv3smUtXLt+6cf0eyNkzl8vLd4KB&#10;8Hg8MEmIqIAe8FnxI7/2+wM8X7zXAQe8hFywurp6XeHaGVOnsdDeumh9ATQrCKwEW4sJCk529ju3&#10;lT958LCjpQ2ZHgb843jhL2GcHhDG0oOlpaWxsbGzszNYV05Ozt/NB38VcNmVK1eC9js6OgI9zJkz&#10;BwjpD0kP8ENwRcR/F35moH+gvqb26MHDsZFR1haWSmxFRSYbIwOUGo8VNp2pwGDBn/AOCShASqGl&#10;rpEUn3D31u3qisrujk5ED7h838Ar+Qt6APcKqXBRUVFJSQk42eLi4sKc1Tnp2elLklJiE5Jj4pNj&#10;Y1NiY+MjhAmRwiVRwsQYUXKcOCU+IjUhIjE2ITF2ydeVJQnxaFH8mMi4uBjQ+aSk5Pj4hKVpGStX&#10;rCrIX7d+3cbSkm3rizatWF4QHR3n4OAACZCZmRlYIp49jPWP3zngWYN/gMd9+MBBQWiYkZ4B2meX&#10;zsAnkOKj/iCBmD7VGvLs44ePNNU3wEcAoCfwccwox+nhrwHqa5wevh1wdcR/FH4GFLr1U8vl8xeT&#10;lyQunDtPV0sbOIBGQjOiR3OFUYGYCFttCfW5gYC6K7LYFqb81Tm579+8hdQBzZ/ABkGBvuPX/26B&#10;1/NYelBVVVVTUwMdCwwMDMeApnOKY2JFUXGiyITIGKCHpNjYxOjoWLEwTixEJBElWhIjSowVJ8VF&#10;JMWlJMenfl2Jj4uNjo6IjBRHx0TFQx6RkBAXGxcVGQNkEBUVFyGOiYLUJSohLCzS3d1z+vTpwHAW&#10;FhZ49gDWMU4Po4BnjdPDtUuXly/LAlPS1tAEeoC8AW+YBWOBl8YGhv7ePmUbN9VUfsQYYQSjFxkt&#10;f4FxekCAChqnh28N+CH4bwFtbmxsvHvzdkHe6gVz5mqoqnGw/UHRghl4fvBzwXMI0HJ80B7ER3pa&#10;2o62drvKt7e3tA72D6BBUCBoc91xeviSHoAbVFRUbG1tfXx8AgICvL290br0Xn6B3r7Bvv6CoJCI&#10;MEGkQCAODYsUhEcJw6NF4TEiQWyEIC5SGB8lio1MiotK/roiFosFwrCw8JDw8FCBIBwkLCwsKCg4&#10;NDQsNCTM19c/wD84LEwUGBhqZ2sPeQOHw7GyssLpYTx7GAt43FAbYFbPHz/dsbU8yM/fWN8QbIRO&#10;pigw0OKVKJmg0VU5yrOmTc/OyHz78jXOBLie4GXQFrzwS4zTA8I4PfwTAD8HB1g42Hnx+vUBvn4G&#10;OrqjOQEQACQK6PhzAW7AaAOVGRSqmpLKjKnWEQLhuVNnpJJevE3pMz2MfNd3C9zsx9ID+FYtLS0g&#10;htTU1MzMTNC3lJSU5ITE6Mio8JDQYPDBQcGC0FBhaHhsZHRcdExcdGw8SExcQkx8AvwfE/fVJSoK&#10;bbMoFouEQvjm0M/7ZQVFR0clJSXGxqHVkaEQESkGMps9ezYwHGQPYIkPHz5sa2uDHzjya7974I8b&#10;XETtx+rL5y8kxiXwjEwgbwCTUVHkQDrOYSng0ZWhrl6kUPTgzr3u7m7wLfgHcVYYp4e/AqipcXr4&#10;1gAVBPT09Lx58+bIkSNBAYFWZhZKCop0CpVGQovuQZiDNSJ9KYgeKGi+Dwi8TVdT28PFNX9V3sO7&#10;9/vwzbBABrHlLcfp4Rf0oKysDAF4enr6jh07jh49CjV/9uzZUydOlm/dtnL5ioT4+NjomCXxS1KT&#10;UzPTly1Lz/os2UgyIOLMzFj2lSUTrVCJlhJIS0uDm8S34F29etXBgweuXgUvd/bMmZPHjh/ZvKV0&#10;afpSLy8vsA5zc/O8vDygh/b2dtwuvk/gRgQYeY35LvAVUknPu9dv1uTlW1tYgUGBQCwF9ABRF5Qh&#10;qNJQUfVycz9x9FhFRYVEIoErwAfxmgQPM/aCYzFODwhQTeP08O0APwRT6aHRhWLAW1lbWqkqKaNE&#10;GKMHCpEEZdBmSIq/ECxpwObHYRuecA2NosQRh/YfqK6oGujrR8uWjdPDZ0AlQ22PpQdVVdUFCxaU&#10;l5eDbwXXUFNT09XV9bHm481bN7aVl69YuTI9IzN7+cpVeQV5eYWrVq1dtWodktz1uOSuyc4tzPq6&#10;krd6dUF+UUFB0apV+VlZy4EusrKydu3a8fTpo7b2pk8t9bV1Fa/fPDl3/vjGTSURERFGRkZAD2CJ&#10;441L+POF48jrz2cGBwbbP7Xu3bnb0c5eS10DkgbUVIvtQT2STHCU5s+Zu25N4a1bt6AO4YNQjTgx&#10;4MCv9gXG6QEBqncsPeCzpsG6wH3j9PAFRhz8zzHyt8/44uQXZfwlPu/BwcFBR0cH3y3ud08PoGYj&#10;+oYAZTiD/xbQ4JZPLTdu3ADStbOz09XSxraJRrqLOhWwkdpoLWIm5MMs4ImxQgcWoVJp2Jre5jzT&#10;pSmpN69e62hpHRoYHOj9vJvuOD38Gj1QqdSFCxceP368rq4OiKGzsxMeR9OnpgcPH+zavTt31Srw&#10;zitW5KzOX5O3ujAvb21eHnhtEGAIRBI5BVk5a5Z9XQFOys3Jz1uVn5OTB/SAr3V/8ND+isp3g4PS&#10;waHegcHujs7mZ8/v79u3Jz4+nsvlAj0UFhY+ffq0ubkZft3Ir/3+gD9fZFljgCytf6C7s+v0iZOh&#10;QcFTzS0hw8b77ehkCr6upRJbwcrMPGUJ2q64vr4ePgVqADX5y6uNxTg9IEAdjdLD1KlTDQwMbGxs&#10;IOFdunQpPvUBeAKcGr6+HpSxPYEQ8FWY8DK8EwB/BV2HN+N/gjPwEgBlOIlfB/8g/CkjIyM6OnrR&#10;okX4ZqJgCb/7WdPgpvsHBnqlIGj1YHDZg0P90r7+XmlHS9vTR49L1q13dXTSUlPHMoOR4aogwA14&#10;17SmqrqOphbwBJVIgr+yaAwalYp2fcCOCgoK1tbWGzZsaGhoGPnGcYwB7j7G0gOLxQIFO3r0aHV1&#10;dWtrK7gGUDDws+fPn9+8eTPoc1pa2jJsn6vMXwP8Cdz31wVcEwAXx5amHEFZWRncM9xbY2MjPFzA&#10;s2fPDh48CL/CxMSEz+eDGT558gR+wh8gn/7qGOob6JH03Lt1e3XuKlcnZ0gg0NxSbIYpyrnJFDAo&#10;vgnXy92jpKTk/fv3I5/ClvYbp4e/gi/oQV9ff+7cuYGBgSEhIVFRUaCg4MSBLaAMgAIAcl4AXgbA&#10;G0YB78ELcB7fkhoAhVHAeXhPZGSkWCz28fEBf6ehobFgwYKkpKTf+5pLaBklfEvbsYKtePHxQ8Wu&#10;8u2hgUHmpnxIfvH2IjxvGBGsP83KzGLOzFk6Gpqg0+ivoNxUKoPBwLkBmNvZ2XnPnj14gjyOL/BL&#10;elBWVp42bRqkqsAQoF1QdXv37i0tLV29enVyMjaISCAATQYVheT1l4DsFtTy6wK+FwC3B1+K2wLc&#10;AJxft27dzp07t23btnv37iNHjuzYsQPiKl9fX8itIXuAhPvx48ff0X4PfxMGBqU90rcvX+/fvUcY&#10;GqavrQsZA95dhwIsbA6ErqbW/DlzgZ5fvnwJSjKKcXr4K4A6Gtu4BOoIzhofUwHH8PBwoIqAgAA/&#10;Pz9/f398ayA4A4DyKODNOOCveAE/CS/xM/hF4ApwhDP4fg+g/WC96urqEOKBzRw/fvx3Tw/AB6Bv&#10;cO/Yzukgvd2Slsam86fPiMOFfC5PTVkF2zkdzWnAZ3WiliUaXVVJ2UjfwNHW3tfTy9SEi3MG6pmg&#10;UplMJo1GU1FRmTVrFvDu2bNnOzo6Rr5yHGPwq/Sgq6sLagwROsTskKGCUwY9B90D/cS1EQqgkOCj&#10;IWT5AqOxzlcEiqewAEsoFMKN4bcB1jG6XxaEUOnp6XD/cG/z589XU1MDqwR6ePDgQVNT0zg9/Aqw&#10;HP1TQ9ODO/cy0pYa6uljTbUjowEhhyDLEzgsNtfIGB49VCNoSG8vWtwKPgo685cYYpweEMbSA8Ty&#10;oIvguyGWKSwshPgFsm9QXNBgbwygsnjABSoOxgZKjOOLOAtewl/HmgFcwcvLy9PTE6gC4jK8nQpS&#10;bHd3d7xrGk7+3ukBNS59IQOD1RWVN69ey8lePmvaDBWOkpKCoiKLjQ1JQqENTg+QN5jxTBfMmefn&#10;7RPo6wdl0G+cIfDsgUwmg5twcXFZtWrVjRs3Ojs7R75xHGPwS3rQ1NTU0tICxQOfm5KSAgoJBdBn&#10;cP1QBqrACQMASovH9V8APvXVAZcFA4E7hO+F28A5A+4E2AgsBV6CLYDVuLq6Tp8+XVVVFd9M9N69&#10;e5A9gGmM/NpxfAZaklLa1yfpqftYs65wLYqufkrNsQUuCUQoa6io+vj4XL16Fcynu7sb9y1Qn+P0&#10;8L9hLD3MmDEDUgfQRfBB165dgyQXsl1wSaDQYFfg63HdBRVfunQp3ooK+Rr4+hUrVoC7hyMASAXO&#10;gOuH9+CWAB+Bj4P2gxnA+U2bNh06dAiSfbg+GImxsTGYAZjH735Bb1AzIAVp33A/alPqk/S2NX+6&#10;dukyqKy7s4u+tg6+eAbu9ylEEoVAhMwXEmETA0MvN3dIL0IDg+wW2Rjo6mG0gfok6KDlDAaBQNDQ&#10;0ICYd+fOnU+fPu3q6hr5xnGMwS/pASIPACSp8BJCctDG1NRUUEsA5BN4BwCcH335BXD1/roYuTT2&#10;1aMF/IvwO4SADOwL6MHDwwPyRaAHfGAr0EPL970k318Cooe+/sH+gbaW1t3bd86bNVtNSQViLyqR&#10;jC+tgTohKFRlBUUnJ6eDBw9WV1cDQ4Bvwf3MOD38b4AKGqWHadOmAT1s2LDh9evXlZWVz58/h1zs&#10;0qVLENfv27evrKwM/pSPrcUNFgV+HwAKjbMFKDdoNrwEMgBrhD/BS+AJYJeSkpLy8nK4AvDB+fPn&#10;wXrh+m/evLl79y4YBo/HAzOA9//uu6ZBzfBdRwZQf0NzfcODO3dL1m0I8PEz0tNXVuRA3oB3moHf&#10;h4gGcl6gAS11DUdbu4K81ZtLN4rCBTwjY0gy4J3wHmAOBp3BZDKBHsDNQX1C7AMPS4ptqTiOL/BL&#10;egDfCvUGKS8kB+CF4Qh1CIoKJAFaCsE7RC1whNAEXmLq/DP8pZTiH8HIpTHA9XGABcFdwR3igNuD&#10;FAefFqesrAz0UFBQ8PDhw+98YOtfBHh4TCSd3edPnwn2D7AyM0eTirBeB7whF6yJw2KDcyssLAT1&#10;aG1thZoEVflL3AAYpweEsfQwderU+fPnl5aWVlVVdXR04JuoSCQSyGqBLR4/fgxUsWfPnqKiIoh6&#10;UE7+2bRAxUH14QhnIHMH5YYCBETr16+HgPfcuXNPnjypq6uDp9Le3g4XhCvX19eDxoNVAD3MmzcP&#10;TOJ3P7AVT3J7ekFT+3ql7169ObB3X2xk9FRzCzq2GD0IhUACTcUnxEHaq66sCn+Njog8d+r0xXPn&#10;o8WRKooc4AyIdECnUY7MYLJYLBKJBDkWZHUvX76EvBivnHF8gV/Sg4qKipGREWS9ENBAmAIKiY/B&#10;A2WDRBYUHgDqCroKPPFL4Or9LfDFN4LhgEGNjuuDRBzireDgYKAHJSUloIe1a9dC1gjW8TuziH8O&#10;BrGFAwaHeiU9d2/dTktKcbS111RVY9LoYGWoCRcJ2mNx+vTp8OghQm1sbAQ9gTBrnB7+CsCixtLD&#10;okWLgB4gugcPDn+F6gOAUnZ1dTU1Nb1//x4c/Z07d4AnDh8+DAkBPtxi69at+HHLli2QZOzYsePQ&#10;oUPwGG7fvg1qXVFRAc8DroD7NfyCbW1tL168ALs1MzObM2cOsMvvnh7grvv6+3ulA9K+tk+t506f&#10;iY2Mmmk9TUdDi40WXmWy8ZGsFHzbdDIkEDxjE3jP4f0HHt27f/702UA/fzTcgs7gsBRAm4FIgB5o&#10;NFBzOmj25s2boRqhTsZDyF8F6NUX9KCoqDhjxozi4uILFy7cuHHj4sWL169fB7WEXHb58uV4xgCR&#10;O7gM/Ai5BfhlABTg5diI/msBaAAyZjjCV8C343k2sALYy61bt65cuQKWBfcJlrVmzZrQ0FDIfvh8&#10;PpTBjiB7GKeHX8EQ2rO9X9rX0y158vDR9rKtHq5ukK9TiWhhPuAGCpEEZqXAZIGrAdIFlwV+DPRk&#10;5ON/AeP0gPBb6AEHqGZvby94eUgswLmDK4cM4MOHDxDSgu4CbQCg/O7du+rqauASeBskCvAROMLD&#10;wD0+/o3w8g9ID1h3NJrD2dL64O69glWrbRcu1tHUAncPTACBDCQEcESjWrHFWXU1tXw8PLdt3nL/&#10;zt1njx4f3LvfzcmZilpLqcANaMo0jc5kMCB7UFVVtbe33717N76dJF454/gCoKJQM2PpQUFBYeHC&#10;heB5QSFBbyF5heObN2+AIUpKSiCZAH8NR3xqDgCfuzPaiwbhPJrO81WBXx8vwFfjbLF9+3Z8YBIA&#10;TADw6tUrMEn4FaamppA9jM6aHqeHXwGkDlhkJu3pfff6zbFDh4Vh4Z/pgQLWBwWgB8jd9fX17ezs&#10;ioqKwEdBTeJubeQiv8A4PSCARf3v9ABvAH+Nu2wAXqcAKIMpgr2Bowe3BcCVG+/2wd+DfxAvj34c&#10;zvze6QH/RSMvPgPfPhoy3BdPn20uKfX19DbSM8AalIhkeSLeBgrEgI9n1dfWdXN22bC2COKdjxWV&#10;d2/eKlm3fuG8+TiRwHvQyDwag06jcTgc8BEQSJ48eRIqbeTLxvELwBMBtRlLD2w2e+7cubt27Xr+&#10;/DkEjA8fPoQ/Xbt2be/eveCgIXuIjY2F4B0CefDRkCuAEsIH8fYfKMAbvjrgsklJSXiOAikLfDsA&#10;mOngwYOQasPtQaT17Nmzq1evQjoeFRWFT4uD9AL4Y7zv4VcxiA0oB3oY6OtvqKm9df3GsvQMEwND&#10;fGYcGCA+iwgEwiwulwt5IbAv7md+acWjGKcHBKim30IPcPwl4Dx4cDBIHFKpFHIFKMCfkPv8TA+A&#10;0bdBGT//u6aH0TvEAb8IXg72D0D8UvW+Yv+evRC/WPLNVTnKyMVjK8BAQsDAVhvmsNgaqmqQWOTn&#10;5gErtDZ/qv1YffrEyaz0zFnTZ+CtpUAkKHWg0sgkMuj0/PnzIcy8fv36+IyH/wX4UwAdG5s9WFpa&#10;gm89fPjwsWPHysvLy8rK1q5dm52dDcQgwBAZGQnluLg48MXwMvjnU3a+OoDmwdBisCG20dHR8O0R&#10;ERHARpCpQEIDprd169YdO3ZAGTIbLy8vLS0tCA5weoAI7N/WIv6FQL19/YMD0j44drS0vnnxsnjd&#10;egtTM+AD3O5Q4o7W2KBCuADBVnh4OKRiUJMA0JmRq/wC4/SAABb1VxuX8HcC8Jc4Rk79NeBvRt5z&#10;jN//I9ED/Dp4CV5pqH+g7mPN8cNHE+MSZk6bDtwAqgl5wKivpxBJoKOaqurTrawTYuMunj3fVNcA&#10;yl35/sOenbuixRGWfDN4P9oyl4LmUYOQCERwED4+Pps2bXry5AlkZqPfO44vgKvZWHrAo0Vw/WvW&#10;rFm3bh042YKCAjxRgMgdongAKB4AEgg4A9E9vBmAZw9YFvGVARfH8xX8G/F7gDIwFjAEmAOkNfn5&#10;+cuXLwfmsLW11dDQAIYrLCyE1KehoWF80NovIZX04PQwPDDY09VdX12zZwca3qrCUcJ6pNG6rTg9&#10;4AsQeHp6XrlyBUxpvGv6rwMs6n+nB/B94KbhCBj1TVDA2HcEUNEAsEz8T/hHAF/UPrzEz8Ab/jCN&#10;S3Cr8Nu7u7vbsD3gUpYkLZgzT0tNHfgA4wZsghu2OCuVSFZVUp5qYRkhEO7avqPi7Tvghn5p35uX&#10;ryDe8XJz19fWhfejjmtsuRhED0SSkZERhJnHjx+vrKzs6uqCysG/dxxfAJ4IPIux9KCurq6tre3t&#10;7Q0VCGfgCK55KTbLAe8fhgJQBQDKAPwkHLOw2TzfAvCN+LcD4Hvxm8HZIjU1dZSuIL3w9fUFuwCG&#10;s7KyKioqgoC3sbERNG3k147jM1DeAA6jrx/oAcodLW3HDh9xcXDS1dRCwwXpaGsg4AkwQBqNBgyB&#10;z36oqan53wcBjtMDAlTQX21cGovRT4HvhiPmJ0fwxUsccBJ0GpwalPHPAn7v9DAWcKu9vb0QjLx+&#10;+WrjhhIHG1tdTW1FbNtbDjZ9AacH3O+bGBq5ODptLil9eO9+Z2v70ABaD+D5k6crs5cvnDsf4h0q&#10;kQTZBr7EN+g0lULh8/ngO65evVpfXy+RSMbp4S8BV7ax9KCiogLuFdxBaGgo3owD54VCIT7BE1ww&#10;Dojo8fUz8NAeVBHi+m+E0aQkNhZNFAVAYeQ+Ps+ghtsLCAiwt7c3NzdnMpmmpqaQ9Iwv6P2XANyA&#10;BrZi65uBQfV0Sc6cPOXr6WWop4+2cMdad8EYwaAALBbLzs5u27Ztb9++7ejo+MIvjcU4PSCARf32&#10;xqWvhd87PeBBHNwnhPNwkxCGQO6/fetWUVi4sb4hakpC2/ugAdeoywFbgA8IQ11FFRKLzLSlD+7c&#10;7Whtg2AHpE/a9/Tho4TYOK6hMba/FUqHkU5jGTGJSORyuWvXroXUob29HXgIv4Fx/BKgqF/Qg46O&#10;joKCAk4PISEh+PJKYrE4MDDQH1tADI4+Pj4Qp+P9DV8ArSz2DQBXxm/Gz88PvhruARAWFga8BawA&#10;gDfAeQcHB8gbOBwO3rg0Tg9/EdjqNWh4az/qo+7u6Lxz81ZcVMyi+QuwRQpoikwWlURWAKui0SgU&#10;yqxZs1auXHnlypWmpibwcn/Jv43TA8I4PfwdwJvRoGbgVuEmq6qqjhw5EiESz5k5S1mRA54d+ABS&#10;WghbKAQS6CVwA+iolblFSmLSiaPHPlZU4rPnhvrRXld3btwShwv1tXWxtZho8H4IdnB6YNDo8FDw&#10;GQ/4+OBv9ET+AIBq+YIe1NXVDQ0NMzIydu7cuXfv3t27d8OxrKwsNzcXsgSI3EHnAZA0QAj/S+AR&#10;/dfFaNaCfztQAhwhO1y/fv2uXbvgPgE7duwoLi5OTU11c3PT0tLCB7Y+fvwYn+s78mvH8Rm4HQE9&#10;wBHooaez6+Hdeyuzsj3d3NWVVfF4C5uOSgcAPUybNm3p0qVnz56FdBzirb9kTeP0gDBOD38foFrg&#10;PkG9ampqTpw4sWzZMvD+akrKEK1A9oCSWTTRgUaWJ3KwvMHYwDA0MPjoocPVFZWgwXhG3N8r7Wxt&#10;v3j2vL+3L6gy4hUKFYgEMg+cHpQ4nAULFoBTw3sd8JrBK2ccXwCeCNTMF41LoFrHjh0DDccHXsPx&#10;zZs3586d27hxI+geuInMzMzVq1fj8x6+ALDIVwfErTkYli9fno6tQwP3UF5efufOnbq6OggCAHC3&#10;T58+hYcOvGViYgIGAncI9DA+7+FXAXYEeQNGD4NgVr3dkpdPn23dtEUUJtDT1gGDAmPE1zfD6QHo&#10;NjIycv/+/R8/fhynh78CsKhxevg7AHcIugUWe+3aNeAGOzs7NWUVcOgQpIB/x9s60RgkbPFIfR1d&#10;P2+fsk2bXzx52t3eiYIdFPIMSjq7Gmrqjh485O7soqSgiCbyYPTAoiF2gZxDW0vLycnp6NGjo3kD&#10;fC9eOeP4AnjljKUHNhstswMPCFck+Cu8Bx7ZvXv3IFSHkBweHLjpwsLCtb+GNd8A8KUFBQVwXLVq&#10;VXY22nQaANb3/v177PGinyCVSiHmAA6DvAesA9wZfAToAehtvGv6lwB6QMOWgB4g5BoYhJCr8v2H&#10;40eOJickGukZADGADYJloeX5wKooFCMjIx8fH/Byb9++hfqEOh+50M8xTg8IoI7j9PC3Am4P3FBn&#10;ZyeEotu2bXN3d9fQ0FBksVBzEJUG3AC6CBrJpjM5bAXw+wvnzS9dX/zs8ZOWxiZQX7QbBEYPHS2t&#10;b1++2ralzMHGTomtAB8BVkCNS9ha3+rKKuZmZgEBAZAIwzfCg8CP3+KJ/AGA189YeuBwOAsXLrx6&#10;9SoQOSgVPkQCnOzt27d37NgB+QE+ZgkK4K9/CYjZvzqwtCQPCpBJ4LOmARDJVlRUwP3D7cH9w91W&#10;V1efOXMGbg+4wcLCAnhlnB7+EvAsfKQHYmBoqK+/sa7+xpWrK7KyTQyNCLJyYJKQ06PUHKMHLS0t&#10;8HKQxj179gyPukYu9HOM0wMCWNQ4PfytAAPu7u4Gbti9e7dAIICfAHkryhUoVGxVDBStUIgkNp2h&#10;p6U9f/aczKXpt67faG9tG+jHd5TD6GFgENji/u07a/LyF86dD/SAT6BjM5hAM3A1+OziRYvA0924&#10;cQOeAtTJeNvC/wK8isbSAzgCW1tbnB5G9Qp07M6dOzg9gGuGEB4P6n8J3KF/XYzSA2QPoPzw7XDc&#10;t29fZWXl6P0DwCTH0gN85OHDh0AP8KeRXzuOz0D0gJZJxjZnxLbham9pffXs+frCtWY8U6AHJhax&#10;oTyeyQR6UFZWtra2BocDVfq/1Oc4PSCARo7Tw98KCOLgVk+ePBkWFsblclVUVJSUlBSZLPDvQAzg&#10;3EEd4ajIZFtbWC2Jiz9z4mTFu/eSzi40vgLfVA7oYXCouaHxysVL2RmZs6fPAHoAbgBVxmZL0Dks&#10;trG+oZenJ4Q5Dx48gKcA1TLuHf4XQBXh7nVs38PcuXPBz+LTCUGdAM3Nzbdu3dq6dSvoXmpqKjBE&#10;QUEBlH8JNE/hGwCuDM90+fLly7BpFpBDQAL68uVLuH+4PWAy0K6qqiowh4yMDOAGYIicnBz4UeMj&#10;l34V/397b+GXxfL+cf8Pz/P8vkc6brobJCQERFRUBLtFsVuxG7tRsQNb0QMWoiJ2YIAgKAqihFLS&#10;Xef5zFy390GOx4ONMB/3tc697M7OXjtzvefamG2oY99W+cAG1vEqLynNzsw6fCDE1clZ7n9/oDWx&#10;LhfHg5KSEmJKOzu7WbNmwaQCD/8hgYfPC4VBMdBiZYVBA87Kyrpx48aSJUvoe14SiQRxq5ZEg93+&#10;YgPqsRc1NdUlTg4dpkyYdPrEyaw36RUlZbVVNX+hDtNbPJjXN+Rl51w4e27RvAWd3Tphc3ZVSjoC&#10;BxuPz87aZtyYsYcPH0aYgp1i12QcKoZQE6Giwj6N8QBH4OnpuW3btnv37qGr+OjRozt37kRGRh4/&#10;fhz99wULFgTwz7QtWrQIc2wyjw9Nj5/ABk7ujxB/+YG9LD2ffyYLO4UQvoSGhkZFRSHQQQlv3ryJ&#10;trB9+/bx48e3b98erRKhjBhz6V8F//SPqaayKvT4CTQrtCbWV+OfFwUbQAi0Vvq4FuoDaovMv1H9&#10;kf0UeGCCRQQe/lMwAlUdlK2srOz27dvBwcGDBw+2tLQEGBQUFJSVldWU2TUlwgPqoqWZ+cC+/bZv&#10;3fbwfgyLG+obpHWXD+wqjR6yc878GTYnYFanjq7ACXtgib8vjc1Rp+1s2k+eNAmOIy0tTeDhP0Xn&#10;qAkeENtNnz5969at8LDog6OrDr8MKkyaNGnMmDH0kgFCQFT+qfxrzzP4+3FYgZ5t/e5C5igP9oUC&#10;wPtj7/Q2BpajCQBLdDsEIEGRevXqpa+vT7emnzx5gtbRclpECxI1q4+n2sqq8FOne3bzYs1KVY1d&#10;s1VhNx7Yq3HKyoj1R40ahVbceJQaWRunnwIPTLCIwMPnRUaAUJ7CwkL05ffu3QvPAtejo6ODLkm7&#10;du0ACbh1sAG1UEtdw8TAqLd3r7WrVt++fhMhAquyH6hA1Ze/wtPwNiPzSMihcf6jHWztsCGvx+xx&#10;WLo13cHWfs6s2RcvXsQJEnj4T+EEwT6N8YDAztra2s/PD711xAf0fgORABhgbx/wFxGQxp9kAQT4&#10;gfV/kBA6oKpjL9gd9k7vcqNIhCX8xJz+hGJ37twZjszJyQkBEN2a/szFkLYr3qCaTIgeLp67MLj/&#10;AGMDQ20NTRkeIHl5ecQQAwcOhMOhUQ5Rc1g2H0S5CjwwCTz8p6hIsEN1dXVqauq5c+fgTdzd3TU1&#10;NTU0NFRUVBA9IAGHrs7uN6gb6el7uLotmDsv6tLlrDcZ1RWVqK/sqbuaWnbXgVffuqoa4OF16qvg&#10;LVv79+5jbmIKKiDsYFdI2cTuXjg7dAhctuzu3btgksDDfwonCPZpjAddXV0rK6uRI0cu5R+7pev+&#10;NEckQW8hrF69GiEF5khD7JWEH/CZhybCjlAG7BSFob1jp1hIz7lCaA4ILLy8vEA4Z2dngYfPiTeo&#10;JhPwcONq9MSx4+xt2utr66LfhgZF7z0AD+jL+fj4wOllZWWhUZO3YTlxUVrggQmmEXj4vFAYlASC&#10;m7527VpgYKCvr6+pqSmqGgsa+NNy7D/+/JyuprZzB8cJY8cdP3I09cVL9gYcvbPD8MBvSvPqW19d&#10;21DP8LBhzdoeXbuZGhoRHlCJ6elYdHZcnZw3bdyYlJSEGkyVmCQtltDHQkWFcRrjAV1vRA9jxowh&#10;Fwy/vGHDBvZM0oenkughIijog9i7CT9StHeSdJdcW7duxV+pSGgUCC+Ah+7duyM8dXBwwAr0Wpzo&#10;HHxCH5DQeAIeHty7v2DO3M5u7ggg2LBLyip0axpSV1fv0aPH4cOHU1JSKioqZH6msbsTeGBCixJ4&#10;+LxgAXTe0Xd7+PAhGmrv3r0tLCwQOoAKqGrggrKyMgIIuqXc3sraf4RfyN59ifEJxe8L6/gbcKzK&#10;fnxxiQ0AADykvFq1fEVnt06mhsbsYVZV9j1qJPhFKjX3jq67du7MyMiANYAHWAMlIcsI/VNknMZ4&#10;MDAwsLe3nzBhAqoZhB464YGQACENpwzXjNPKPfYPF5GgiRAcbN++PTg4GIVBGqsh3Bk/fjyiBxCO&#10;8JCQkIAmI87+J8QbVJMJeEiIe7JmxcpePXoiNFfmeKCeHGIIiUQCn7Nr1y4aJB+NS5oTF6UFHphQ&#10;4QQePiOUBBYoKSlBTUJ3Y/To0WZmZlTD0BkBGNATQZpdX1JTN9TT9/Lssm7V6iePHleUldfV1Nbz&#10;Z1j/JgR+Ahi19ai+wENK8oslCxe5dHA01NVn0YOauoaqOhscRkEJnPBwddu/b19ubi4KIPDwnyLj&#10;/DN6wClD9LB27Vq4XThf1ofnSGgsWkiCL5ZJuuh7CyUBnBAo0LUm/MRC/ATAaIVVq1ZNnTq1V69e&#10;xsbGbm5uO3bsePr0KVpHC+kwtSx9QELjqbay6llC4uYNG/v59rE0NQMe0OtCa6UrSxoaGqgeOO/o&#10;8KFpy/AAoRZBSAg8MKFFCTyQ6GCxa5pTAj69vrYuO/Nt6LETwwcPMTMy0dXS5iN1sy/80P1k1Dz0&#10;TRBJdO3aFU397t27OTk5KLw0h3+qDvW3DuSIe/ho/OgxgIoqZwO9aI2qTLXZw839xPETxcXFZAdk&#10;Bctg/uk827xgFhi8MR709PRsbGzGjRsHt4vz0gQDLUcyDhEnMA8MDJw8ebK3t7fsyaW4uDjxtbjm&#10;Cy0lKSlp3759I0eORKzPLykpKcuz584xof2i7xW4eMmVi5feZWSh04a+Gg3cxF9LYp05gQcmtCiB&#10;B5lwsLR3mRpq67Oz3kZFXl66cFGnjq5a6hrggaaahJw48IA6pyyvoKelbWdrO2HChPDw8LS0NLIe&#10;2/xT1mtAHPABD2NG+etp66jwj+KyYYfp07hKytoamt27dD0VGkqj0rOtBB4+K5gFBhd4EIJgKODh&#10;wIEDo0aNAh4Q3LPLSnzIS8w11dTdnDsunr/gwplzAg+fE1qUwINMOFj4F+yXjhrp8uLSu7dur1q+&#10;wte7l4mhEaoX9fQV/minJCdP3lxTXdLRyXm0v//OnTufPn1aXl7OzSb15pRzY9Ujfxwi8PDo8agR&#10;fiABw4OKKo1KT3Psq3/vvmfCwmVfiINNqGCfzFMIZhF4ECKhGsCJHT9+fPz48ZaWloQHtFx0vIAH&#10;tC9XJ+f5s+eEn/pT4OFzEniQiQ4WFYvcMeYFBQXPnybt37N36MBBNpZW7AFqXsNQveQ5HtANQa/f&#10;2txixNBhYMOtW7dwCNgQQuGR1Setx0Yexr+6+scPHo4cNpw/l82+dwgwgDTIFktsrWxGDhsRceFC&#10;RUUFWQNzgYfPCGaBiQQehCBUg/T09PPnz8+cOdPW1pZdWVJmYFBTYo8FopURHsJOnRZ4+JzQogQe&#10;SNgvDpa5do6H4uLixETpwPGOdg46mloSFTZaBnr6WuoaKgpKdHHJSE/f26v7ssVL7t+79+7dO9RL&#10;8uPIBIlPW6+e1cLaquq7N28NHzxER0OLPXWnpIIMkTPiEl1NLSf7DhPGjL1y6TLwQJlQtpSB0D8F&#10;K8FEAg9CEFpfbm4ujXzj5OSkqqqqpsYaLzU0tDIXR6c5MwNCjx0XePic0KIEHkjYL7kYqLq6OiUl&#10;BWYZO8rf3cVVV1MbnQ7OBoYHVDINVTbsNrr5Hq5uSxYsPB9+JjcnB1shB+RDWUnz/aca/qosLS/M&#10;y488f2Fg3358MD4lVT7msJZEo93//U9HQ9PV2WXKxEnRV6/SiYBQKuEdPiM6dwIPQhAMVVhYGBMT&#10;s3LlShcXFxUV9tIDwMDxwAatsbexnTx+wv7dewUePie0KIEHEvaLOY4X+0Xx7t27t2HDBjfnjkZ6&#10;BkCCsjwbTwl+HGCQ/6Md4lOwwdTIePTIUefDz+ZksXEvqPAUQCArWaKp6huK8t+/eZV26sTJ3r18&#10;NNkzS/IADwgBPPzx//4f8ODm0nHqpMnXoqMFHpopnDiYSOBBCEJHDU340aNHq1evBh6UlNinRCV8&#10;MDQ0YYTplqZmo4aPCNq46W16psDDvwotqg3iATmTGh9deXk55liYk5Pz4MGD4ODggQMHIm6gN5lR&#10;t1jFkldgjxjxbzmADX18fLdtDkpKeFpN345uJGQlSzRVfUNh/vuU5BdHDx7q1b0nHwmcvfSvLM/G&#10;A0fka6irh5BlxpRp16OvlZaWynKTWUbon4J9BB6ESGgp7969QysGHuBhlJWVGSEQ9/NBkTVU1cyM&#10;TLy9eqxZuerl8+R6PtoN5qAC/2C1wMMHtU08IH8GB36HgI4Raczxs6ys7OXLlwcPHhwxYoStra1E&#10;VZ3FDfzBU1X+VULEEIpy8ga6ev169wnesvXR/Zj3/Btw2Fya+3+q4a+P8SChN64pRtFQUzfSN+ji&#10;0XnBnLm3b94iPFDmZBzKQ6iJYCLYR+BBCEJNyM7ORk1Yu3YtDCjFAx8xkz1qqKZuZmTc06v76hUr&#10;m+ABkQS9xCrwwAQ7tkE8kCthfOAvr1EaC+GLU1NTz58/j8ZJg3WDCoQHeG12a5oPuG2op+/m7LJs&#10;0ZJHMQ8qSstQsdhXHL4VD+qYY1/qyqrGBoY+Pb1Rd2Pu3weuqLTYDnOBh38TWUngQQhCTYAzgYeB&#10;6ZydnQkPiP7RnKktI/Tv0c1r1fIVL549F3j4V8GObRkP2BcdIOb4iYA0MjJy/vz5bm5uWlpaqFXw&#10;3ahPrN/BLlyycbZ1+AtrE8aOO3n0+Nv0zNrKKoQObPCM5tvpU3hA/mpKwAN7Jw51d3D/AduCtsQ+&#10;fkxvUZBByDiUh1ATkZUEHoQgVAY0nIyMjL1797q7u6Ofx+5Os1Ev1dGWpXjo2m1V4HKBh88JLarN&#10;4kHGBghpND80wvXr13t6eqJZAg/saQdlFSU5eX7rmEFCV0vb3qb9jClT9+/e8yzhaWVpeU1FZXV5&#10;xbfjATvCRHuxMDEdOWz43p27EuLjq6qqUEgqKuaQNBOhj0XnVOBBCKLGUlBQcPToUTRndXV1NGV1&#10;Pt4+i9SBB0Oj7l26rVwm8PBZtWU80F4whwsuKSm5f//+gQMHhg4damRkxCqTujp6HMryCsr8A58q&#10;Ckrw4x3s7IcPHrpnx87YBw8ry8rZ2BjVNVS9kCll/t/6FB5ABfbODn/p39LUbMwo//179iYmPKWH&#10;ZWEKzBkcBB7+RXROBR6EIDQT1Ac06tDQUOCBNWRlNkKaprqEvRbHRyXw6tJ1xbJAgYfPCS2qbeJB&#10;JvjfwsJCGOHQoUMTJkyws7PT1dUFG2jsXzhriaqajqaWjoaWqSF7VGlV4Iqrl6/kZ+egStVUVmFi&#10;9YlVqW/CAyCE4BcTCGFlZj7Wf/SBPfsSnyY2xgPmAg//JthH4EGIhA4fWkppaempU6dQExS40JD5&#10;YJqN8LBU4OGzapt4qKmoYlWhHh3y+rrqmvS01xfPXRg/ZqyneycDXT10MRB+qvM7DUr88+Xa2tq6&#10;Ojogx+zZs+/cvoNylpeXk8tm9kFWNDVTn8IDOjWMDfzlO0tT89EjRx3YszfpaSJdXKJ9wTKQNBOh&#10;jwX7fBIPY8aMQTXbtGkT8ADB1bZAyfCAEjbGg7GxsYuLC/4k8PBFIjcCPISFhSF6ABvQ02O3pvnj&#10;45ibGBgKPPy32iYeWD3gL8LUVlUX5b+/ff3GmhWrvDy7mJuYso48uz/MxmaBv1aBu1ZUlEgkYMOo&#10;UaMOHjz4+vXrsrIy6p5IM/sg+vnf+pd7D+r8O3Ef4SHxbzxgOzIO5SHURLAS7NMYD+h6t2/fnqIH&#10;4AFeGJ53W8sTEQJCIUECzJctW4ZAtkePHgYGBk5OTig28CC+Ftd8UWVAOw0PD4d7YePxQf/Eg7i4&#10;9HnBiG3x4hKPG2oqKvNzcuMfxwYHbfX17mVubCpRUZP/3x+N8aDOv/mDTtzQoUP37t0bHx+PLkn1&#10;h4/zUG5U5i8wlMDDDxCsBPs0xoOOjo61tTXwsH79evhcONmNGzdSDNGiRGWj4gESmC9dupTwAMKh&#10;gWAF4AFNhtqF0H+KKoPAw7cKRmyLeKitQ+hQXFD49En8kYOH4IvNjIx1NbUodEDtgadmd6SVlFVV&#10;VNBEYRb0QO/du4cAn+KGxmahMn+BoQQefoBgJdjn3/AAt0tXb9hFnBYmWakoesBPRA+TJ0/28fEx&#10;MjJC9EB4KCwsFGe/maLKIPDwrYIR2+LFpfqG2prazNdvzpz+M2D6jI5OzogbPnwDToXVIQVFRTl5&#10;hgdVVTc3NxQvIiIiPT0dZmkcN5DwEwX+AkMJPPwA0VlojAcDAwNbW9vx48fTBzvRT4fzpQ57ixLQ&#10;1TiBeWBgINqjr6+viYmJi4sLlgAPaB0/sEW0LlFlEHj4VsGIbRAPtVXVOW/fXb10eenCxd06dzHQ&#10;0aOrSXxAVvZ2JdiAhJ6WDvwL+nGwT3JycklJCQr2HWwi8PADBCvBPo3xgK63jY3NyJEjlyxZgv74&#10;Cq5VLU+yUlEC89mzZ48aNapbt24gHPAAZohb018kqgwCD98qGLEN4iHvXfadG7c2rF3X16e3iaGR&#10;uooqQgcleQXpyKn86VJdTS1bK+vhw4fTN+BQYLgeWAPF+1abCDz8AMFKsE+Ti0vGxsZ9+vSZNGnS&#10;hAkTMAfpMW9pQtObzjV16lSaA2koNsCgpaXl5OQk8PClosog8PCtghFbNx5QfuRDXhXziooKNrDS&#10;i5c7t20f2LefvU17HQ0tZT6UI3fQqvJ/tMMcaV0t7dF+I4ODg69evZqTk4MikTVIlPlXquGvgrz3&#10;L589P8LxIFFVU/hDTklOQUdTS0OVfUwUeBg+eMjObcFxsbFN8IDEt+69lQpmgX0a40FPTw/udfDg&#10;wXDB6IwPGzYMsMd89OjR48ePHzdu3BiusWPHYoWJEydiIdL4q7+/P9bHEghcwXJaH0ICS5qIViBJ&#10;F02YIFufhDQyx+6QAKUgyhzCHrEc8xEjRvj5+WHvKOeQIUM8PT1RfkdHR+AhISFBXFxqvlAZUBPy&#10;8vKOHj0K96KsrCwnJ6fBx8UhPBjp6Xfp5BG4eOnL58kNjfEANgg8yIQW1eqjBxwCsqI8wYaMjIwL&#10;Z87Omj7DuYOjnpa2Cr/NwF5x4B8HJVRoa2g62Notmr/g/r176enp8NGUDzKBvtUmFD08f3H00GGf&#10;nt6a6hLsFJOupjZQodhOzszIZGDf/kEbNj16+Ih2TXjDrgUe/k10dhrjwcTExMLCIiAgYPXq1VgC&#10;vwznO2jQIMzhlKdNm4Y/LViwIDAwcBHXkiVLli5dumzZMiyBkCDRz+VcWOEzkm7QSCtWrFjJhQQy&#10;QT2HsKPFixfPmzdvNhdQQZAAusAG/EQAAXj4+vrSg62EB/Fga/OFmlBSUpKWlobQH26Nvd/Kx1xC&#10;+0J0Ln0tzrPLiqWBqckv/qqtb4QHPgk8kGDHVh89QMgKQrZZWVlRUVFzA2Z7eXZlbOC3GZTlFVBj&#10;kNBS10DcADa4OjlPnTjp1PETwAk2pEwg5AAhIc3969TwV1H+e0Qwxw4f8enhrSXRAJBUlZTZV0VV&#10;VIEHY32DXj16rlq+Iub+fZwI7E6GByS+de+tVHR2GuNBV1fXwcEhKCjozJkzhw4dWr9+PZyyjAEk&#10;OG5UQmjt2rVYYeMHbdiwAfNNjUTLkRt/yKip4MGbCCsjE3oqCVvhJ/InrVu3btWqVaAFCgBsoDwo&#10;FZrA/PnzsXzbtm07duxAkYAKS0tLZ2dn5CDw8EVCNUDEHxcXh9Nqb28PNkgk7Oox8KDKh+RjA3p3&#10;81q5LBDN8K+6xngQ0UMjoUW1bjyQP8W8uroa+d+8eRM1xtO9k6mhMbsdrajMn1Zi47Gg9sBHAw/W&#10;FpYTx44PCz2FngU25GT5e2xXlO1bbcK/Fpf2MuX44aPAA6IHdmlLSUVbooE5KGWgq4fId+Hc+Xdu&#10;36ZvTWPvbDsuykOoiWAlGKcxHrS1tTt16oS6nZqampycfO/evevXr0dGRoaHh4eEhMBxwy+j844w&#10;gnr08NeIM+C+AQM4dBJWg4gQEJZwHHwkwAA+HXP6SRvKliOBHIAKVDyKPxCyzOFCyII9bt++HfQK&#10;DQ29cOHC7du3Hz16dPfu3ePHj6NswBs9uRQfHy/w0HyhscOtPXz4EPi3tbVlo3mjAybHPqaCHiGa&#10;G/Dg7dUD0cOrlyloj+Lew6eFFtW68UBZYV5cXAzHgRY7ZMgQ9g04PjyqurIqwICEQjs54EHhDzkj&#10;fYO+vr13b9+Z9jK1qqKyvo55HIjygTVQqm+1SW198fvCzNdvTp8I9e3ZC4ELw5KSCr9HraQsr2ig&#10;o+vm7BIwfcbNGzca4wEJKobQP0XGaYwHAwODHj16XLt2rby8HP6ipKQEdeD169dPnz7FQrhjdNLR&#10;W0fdQy+euvAQhRTw2vgT5ujpUxCAmhMcHMz9/6cFJ85RImUJDzY2AgnIhC4ugQ3IHxEMXcjCQuR5&#10;8ODB8+fP37lzJykp6d27d4hWUc6MjAw0BxTJyckJ0QPyJDx8lxbRFgRDwZioCRQ9KCgoyMvLs08x&#10;SjTo0URzY5N+vn3Wr16LZv5X/V8NdQ31NexjogIPHwktqtVfXEJuVVVVL1++3Lt37+DBg9GbYA+w&#10;KtIzrMqY4JHl/2iHuAEd+d69fDasXXfr+o3S4pIGVlH+FvKBvgMe6hrKS0rzc3IvnD3Xv09f7JQe&#10;l6ILo+AEogdnhw7TJ0+5ce06fe+BTMFL8f1PR+sQLIOz0xgPurq6wAMiBiAWBkQdACSQhp/NzMxE&#10;JX/y5Al661euXEH9P3z4MJw1Agh06mfMmIGQApmgmw9vDreOigpfDwBQQNBEhAcCA1hCV5AoSkAE&#10;EBAQMGvWrHnz5oEKWG3//v0gU0RExI0bN1DU58+fp6SkoDwoFYqHA8EhZGdnR0dHY7/AA4ScUVTx&#10;5FLzhZog+1ocPIyioqKcnJxiO3ltiSbhwdbaZvTIUft3732TmgYYyL413VDLvjst8CAV7Njq8QCP&#10;kJubi/Y2adIkY2NjhJkaqmqYeADBCIEAAq5ZX1vX3qb9ymXLb9+4mZ72urqyCl0JFAY5oDwoDNot&#10;le1bbdLwV01lVXlxSfSVqKEDB+loaknxwOIYFvka6uk7OXSYNmnK9Y/xIPQZ0WlqjAcdHR3U51u3&#10;bsHt0p/o9MlQgTl663C7iYmJ6L+jFVA8IevjYw4vj3gCnhqdffwJkKDgoLEAAwQZqMyyQAFCQnYv&#10;GjlgBYDk2LFjly9fTkhIyMnJKSsrQytDMSCUjRIoHkqVlZV19epV7NSRS4YHrCY9WqHPCmaEW7t/&#10;/z7OgoODg4qKipKSksIf7bQ1GB7QEezo6DRr+oyzf4alv3r9MR7qGhBANDQIPDCRHVsBHph3+HBz&#10;CQl2juvq2Seg6+rzsrOvXIxcunBRty5d9XR0FeUU2OjvSkpqqqrqYIQSS2tINDp7dJ44YWJ4WBhC&#10;ezhltFIUACUhIzSWdJdfLV4F62pqY+7eGz54qLZEA6ACrpTk5EEIpIEHRzv7SeMmXIuOpotLEEpC&#10;5YGk+Qg1EpmoMR4QPaA+o5MOt4u/EullarwVjeiOXjzqJBwxUIHaeOrUqQMHDsD7w7kjpJg+fTq6&#10;FwgFKKqgy1Ak/MRCrDB58mSEHQgUgAfAANHqiRMnLl68SHcU4uPj09LSsCPUc2AJFYyKhGLws8qE&#10;UwxhHVAEORMeUAaBhy8S2TAqKgqnBnhAc2ctXhFNnc0lEomzszNCuj9P/5mVmQVfR9WAVQsk6lhC&#10;4IEJRmk1eGj4gAcWIfJriOgLoJP+OOZB0IZNA/v1t7aw1FBTV2gnR59zkJeX5+PAK+CniYnJxIkT&#10;0XmMjY1F2Rq7EukOvqPQTwHD6uof3Y/xGzqM7kjTo1OAhIqCoo6GprW5xchhwyMvXgQeaCPyHZiT&#10;cYSaCGcKlmmMBz09vcZ4wF//7WxiOc44/DWEml9QUJCenh4TE3PlyhX49507d9LFIvh9VNTGUQVF&#10;CViC5fO5sBwroyKdP3/+5s2bcOtv3rxBhjiPKBvtAgk6ldgvFUmWxnKU5N27dzI8OPExl5APWscX&#10;tYi2LBgKZ/Ds2bNgto2NDUIH9mQr/ygQ0mjvYMaMGTOOHz8O70dNjOyPBJ0LgQcm2KJ14IGBgU8A&#10;g5QNdfVVZeXxj+P27947YsgwG0srTXV275dd31dTQy0BIaiumJuboww4cHgEdCTRgFEGZEkVhbL/&#10;nqpnD88BD7EPHo0eOUpPW0eVf6JEmT94B0ioKSnr6+j29u4V/mdYWVkZFQYlQYKfkB9QpN9fMAvO&#10;11fjAX+VrQA7o/5TSPHy5Uu45vv370dHRyMOCA8PP3ny5OHDh/fv34/gAPODBw8ePXo0NDQUzgh1&#10;+Nq1a1g5Li6O7iigSiMryplEu2si2QoCD99FsCfsf+TIkdGjR5uZmaGZo8mzF6dVVdHqAQl7e/uZ&#10;M2eC/Tk5OWjv2ITsL0sIPDDBjq0KD2hlwEMtw0NFaVnm6/Rjhw7PmDLNuYMjuuTqyirq/IOCiBjQ&#10;lUCMCRkYGHTv3n3OnDlo2Lm5udg1jp0cCnzNjzh8KifwkBAbN3n8RFNDIzVlFYCBXVzieAAttCWa&#10;3bt0PX3qFPBAZcCcLEPGEWoi2AeW+To8wLDYECLb4ic2QRo1EL4D9QEdzJKSEooqkpOTHz16hGwB&#10;DNQZhAjx8fGgCHw6iFJaWor1kRU2gZCgs0a7wJxKggQJu8BPCMshgYfvIhgqMTER/B4xYgThAWAg&#10;SBAeXFxcEPNduHAhLy8P5wWbkP1pc0jggQn1svVcXKqtY2DgbKirqX2bkXn/9t1ZM2Z28+xioKNL&#10;r9TDEWuoqaOiAA+oMQgdbG1t0Y+IiIhITU0lp4A5hPxQkh9x+AwPyLi+4VlC4pyZAbZW1loSDZRN&#10;oR177x8xBKIHLOnq4Rl64iTcDVkDJUGCRNkINRbZB039K/AA4U+N/8rNzPCAOiBdxOstPD4YAPf9&#10;+vXrtLS0N2/eIERAD7S4uJi8zL8JuWFzypBEu4CwX5pDtILAwzcKUI+NjQ0ODh46dKiFhQV4AMnL&#10;y9NlAzR8T09PWPXu3bs4mzA4NqFzQZtDAg9MsEirwUN9dW1DTS3mtVU173Pzbl27Hhy0tXvXbiaG&#10;RuzxJFU1sEGJO19QAXjA3NLSEhUIQSiMIOuns2ryQ10wwwPCh4aU5y+WLlrs6uRsqKsnUVHjeGCv&#10;7VBpO7m6HTp4EL0bnAuUhx3gBycizUeokcg+X40HEq0mWxNzSpCoZqJaIkM4IAi7w08kZHVVtglW&#10;pvUb58Dz/sRJlC1EPthK4OEbhTNy//79devW9e3b18TEBGxAe2/Xrh3hAXNUjN27dyckJCAopHNB&#10;p4Y2hwQemGCR1hM9oEteW1dTUVmU/z4+Nm7rpqD+ffq2t7JWV2avIiNoAB6QYK8oq6mhuiDqBBt2&#10;7NgRFxeH+kS7hpAbpX/EsTMhV/54dVpK6urlKz07eZgZGbNb08ADH/QJDMPcyaHDju070EtFB0fm&#10;4KQ5CP1DZJ/vjgeqErSwSZWgv2KPjdcn/44EbYIEiX5CsjTLl4uW8LUEHr6PcMZv3bq1ePHirl27&#10;6urqEhKAB/QIgQpED7169dq/f39SUhKic9qETgqlIYEHJljkd8QDSsVOZqPTyZaw6KGurKjkWcLT&#10;QwdC/IYOM2XfgNNmQYMcGzADfXOgQlmeje5rZGTUo0eP1atXo5cB/4vj5cfKRLmRKPPvrIa/2KO3&#10;9Q2vU19tXr/Bp0dPCxNTQIvAgBKqKCgh4eLotGb1GhQPtqKOKsrT5KiFSHT6YBkYKjY2FtWpU6dO&#10;2tra8A7R0dFYiL+SI5Zu8C/CCqQmPxuL/gTRT+xUtpCWkGgJJP39WVEmkMDDV4hMR2lYEi0FeEC3&#10;AD7NwcFBR0dHkQ/oTY+iUBp4OHbsGBwdrE0bNs4EEnhggjV/XzzIysZKiV+1dbVV1Rmv35wPPzN7&#10;ZoCbsws64xIVxJPsvWhVPto7vDA8LzoU6F3Onj07PDw8IyMDO/qpDa/hLzaGcH1D5us3u4J3DBkw&#10;yM66PX8nTjp2LH+RW8HZwXF54PLr169T9IBKj01x1GQcocaSVVckHj16NH/+fMKDl5cXDNh8PPwq&#10;UWWGUA8FHr5UZDpZGgZEe4mKiho5cqSlpSWqAd1vUFFRARsgDQ2NAQMGnDt3DnaWbdhEAg9MqJe/&#10;HR5QJOpKU1oqbFhdk/s2+9qVq0sXLe7SyUNfW4e9Gs1eNGMT3ZfGXFNd0r59+wkTJpw6derly5d0&#10;pNgpz/unCAXn9x5y3r47evDwuNFj2NdM+ViS7L60MvugKXjm0N5uwfwFFy9ezM3NldmEjpWyEZKJ&#10;Th8sg7P54MGDefPmAf/wC6jPN2/epItLWIdWa4ESePgWwW5kQOlv7jrOnz/fp08fPT09wIAuKEkk&#10;EnaHWlkZvUM/Pz+EF9RvkG7zsQQemGDW3xQPlJCtjHRJYdH9O3c3r984oE8/M2MTsIF9YEdNHROQ&#10;wPyvkjKWWFtY9uvXb9u2bU+fPi0rK6OK9VMbHr27X9+Ql50TFnpqxpSpLo5O7I4I+5qpIrtzzocL&#10;bG9pNXXKlBMnTrx580bm11BUiNJCMpFNMEeDBx7mzp2LSqWlpUV4QGWms0xVpQWKigcJPHyF6Mxi&#10;Lv3Nx60KCwvr1q0bkKCuzp5UBBWQpgSYMWbMmHv37pEb+aQEHphg1t8RD/QnrImOIW1SUVHx6mVK&#10;yL79o4b7Odl30NVitxxABczRK2cOV5GNa2Rpaubbs9e6deuuXbtGu6NjpD3+JH249/A+J+/i+QsL&#10;5813dXIGFaioKCRiHSQsTExHDB8eHBycmJj4mXosRKLzCEPFxMQEBAR06tQJXgD9x1u3bjV+tZBW&#10;bmmS1UOBh68Q7EYGpDQMWF5efuzYMXd3d8CA7jogIXuq1dTUdNKkSagnInr4D8GsvzUe4A4ot+Tk&#10;5PPhZ2ZOne7SwcnYwJCP3KuooqCkrKCo2E4OaQodunfttmzRkjt37mRmZiITOkCIcv5J+oCH0sKi&#10;uzdvbVy7zsuzCwAGKgAS7B4Jv9BkrG/o08tn+fLlVI+l2wr9i+g8wlAIF9A3bN++va2t7ciRI2E9&#10;gYdWLLIbRGk4BLDh9evXO3fuhPUUFBQABsIDBDxoa2s7ODggvoz98KVeyqeJBB6YflM8UG8aCayJ&#10;dFpaWkRExNJFi7t6eOpoaNEtB2V5BVVFZVBBSV5BoqKqp6Vta20zefzEc2Fn8vPzZdejaV8/VezW&#10;NLu4VFVZlRifcGDvvkH9BmiqSSQqfBBZRSWUH5ww0NXz9Og8e/bs69fZuK3SbYX+RaymNjTAUJGR&#10;kf3794cX6Nat24wZM54+fYrIkvDwC85184SCUfkFHr5UZDpZGucahrp3797q1attbGzatWsHQgAP&#10;FDqoqKgYGxt7enquXLkSHUrYU7ZtEwk8MMGgvyMeaAUIXh5Z3ecj93bx6GxubAIPCySgA46Esjz7&#10;zg+/L61mYWo2YczYUydOxj58BKLQoSEfyorcx88Ru/HAb03XVFRmvklHkQb06ccfslLVUucfFlVk&#10;F5oQ6zjY2/v7+8PfEcxQVJlxhBpLdjbRH0RF6t27t6Ghoa+v74oVK1DN6AokVvuZZ/mLhOLRIQg8&#10;fKmY6WgsbrSMuvqaqqr0V68vRVycO2u2rXV7VSUVNWXWmtCs6MaDmZnZgAEDduzY8fz588/YU+CB&#10;Ccb97fAAUUOCSkpKUlJSDh06BF+ATje63soKiqgN8Lbsw5zt5DCBDZpq6o52DksWLLx/525h3nu6&#10;2kCZUMv8mVdvsFewAVNtVXVh/vvICxHDBg1hYFBmeNBQVQceUJu1NTRNjI379u175swZgYfPC8Yh&#10;+8BQcKzAg6mpKeZr165FNaPeAFaD9Wj9liaqhBAqJAop8NB8saYk+5IPH8M/5XnyyWPHJ40bb2Vu&#10;wa/ZqsADoO9FeEBIMW7cuCNHjrx8+fIz9hR4YEK9/B3xgBXQ5uELUlNTjx8/Pn78eBMTE7n/+wOx&#10;AggBMNBtXqACTpb6DjYWlmNGjkK9efUyBUeH46JMsJcfdJj/JnpsqaGm7q/auqqKyjs3b40fPdZA&#10;R5fflGYffqA6DU6oqap5eHicOHGivLycLPOTi/q7iMwCEwk8tDnVN/AvgP5VX8OC8uryiqdP4oOD&#10;tgwdNNhY34ACcYmqGiYFBQVVVVV4ufnz50dERKSnpws8/IdQL3/T6AHroNk/fPhwyZIlXl5ewIOm&#10;ugRRAuoBvXUMPIAKbHzWP9h3pOF/3V06Tp889ejBw2/evEEB4EogwgPt8SeJD+jN3oyrqautrol9&#10;8HDG1GkWpmb8shJ7dw+HwB5vVVFVkJeHffbt25efn4/4BscrzUHoY/F6KvDQJoWGyyb2EbD6uvqK&#10;0vKH92IClyz17dlL1uVCU8KkyN+XRn8LteL27dvZ2dmfqQ8CD0yol79p9IC/QogQUeCRI0daW1vL&#10;qgJ8K3uMlT8kiknu//6nLK+gq6VtZmzSpVPnSeMm7Nq1Kzo6Gt2HCv4tNmQIt0I5/wxhh/TiNEKX&#10;mtqncfEL5853cXRCCVFOHALwQGxTVFCwtbXduHEjDrOgoIBOitA/RRUVtULgoc2Jt6a/EJBX19bX&#10;1pcVl9y4em36lKldPTz1tHVkDoGNRMAfcu3atev27dvj4+PRoMjPfFICD0ww0G+KBzgCrFlcXPz0&#10;6dO9e/cOGDDA3MTUUFdPS13Cr89Ih6bQUFMHIagzjrqCvwISPj4+aHuRkZGpqak0FPNPdRyEh9o6&#10;4KGupvbls+QNa9b59PBGwdjTVvTRaY4HVRUVCwuLuXPn3rhx4/Xr12VlZdIchD4WVVSqFQIPbUtw&#10;Ffy+dF1VTX1tXUlh0SV2M2+wo72DJrsByRo+xwO78QA8oO0fP378zZs3dMFWmsk/JPDABAP9dnig&#10;VkQtqrS0NCcnJyEhISQkZMbUaX18fC3NzIEBZf6iA93jZX6W1w+KKhTbyRsZGaGWzJ8/H1y5efNm&#10;VlbWz48e6JopKnRG2pv9u/eMGDLM1soaeGBgUFZVUWB4UFdTQ1H9/f1DQ0NBQZBMmoPQx+L1VOCh&#10;TQrtSIqHarSmooLC8+Fnu3ftxjpbCoo8HAceVND2FRQU1NTUBg0ahH4h/A91Cqli/FMCD0yol78j&#10;HmgFJHCOUVR0BHJzc6MiL60MXO7r3cvW2kZfRxfuFa4WPQi4Wuk1fc4JLEQtMTQ0xPEOGzYMZbh2&#10;7VpeXl5JSQlFJBAddeM0iXbdeMnXqI7fe+BXSxFD5Lx9d+HMubkBszo6OinJKyjJyaPACIAkqmry&#10;coxkcHOrV6+OiYmRDT4s1EQ4I3RqBB7amgCGmqpqtKa66ho0qOysdwf37XewtdPR0FJEU2JvEamD&#10;EOgyInTQ1tYeNWoUmhIsSY2dKsY/JfDAhHr5O15ckgnFw8oQVs57l30j+tq2oC3TJk3x8uxqqKeP&#10;7gODBHriyuxb/2p8LCMWW3Dp6OjY2dn17dt3yZIlJ0+exFHTp6NkR00loTSJ/gRJf3+dCA88HG6o&#10;rS/Iy799/eb6NWs93T0U27G76Axm/M0+eTk54MHDw2PmzJmIcmRfjhNqIjopMI7AQ1sTw0NlFQKI&#10;2qqaipLS54lJm9att7FgH5YHHtDktdQl6BeiNaG9W1hYwNHFx8fD1FX8Ey/SXP4hgQcmGOh3xwMk&#10;3YpfeXz5PPlc+Jn5s+d2cnXT09LWVJOgZqAzTuMvARVa6mwERzk5OXl5eRUVFV1dXTTCfv36HTt2&#10;7OHDhyAE9osMSZQ/SbrLbxfhoYZ91Q69nrKS0mcJT4+EHPT26tHu//s/FtwosYtjbK6krK+vb2Vl&#10;NXz4cPiL4uJimXGEGotOECwj8NDWxOOGWuChuqIqO/Nt9JWoBXPnWZqZa6ipIxBHk0e/EB4Ak4mJ&#10;SadOndAXRJWAqQUe/lsw0O94cYkk/S0rJ5pYbV1lWfmbV2kR586vWLps5PARDu1tDXR0UUvoZQjW&#10;m5BoIMwEGyAajAUhp7W1tZ+fH7xJVFTUmzdv0E9HMWgXKAxKQsJC2fKvF3+wtb66BuEwqjVC49y3&#10;7y5diOjfu8///T//L7uZpsy+O62KhJq6pqamRCLp2rXr6dOnCwoKvsPeW6PY6Rd4aJv68N5DVUXl&#10;y2fPD+0/MGHMWDMjY0QMyvKKaEpIoNUDD5aWloMGDdqxY0dqaioMLqsVn5TAAxPM9Jvee2haNiTZ&#10;HSp2Qb+mojIvOyf2wcMzf4aNHeXfqaObvo4ue5yJv1iA7jnwQCOxIAE8YI4YAoFnjx49Fi1adPbs&#10;2eTkZJRQVoEwR6lk+mi/XyHCQ00tJl7meiDt3q3bo4b7oULTyEuKbCwQFXU1pnbt2tnb2+/evTsj&#10;I+PzXZ42K1YVBB7apNB8qEFVlVegya8KXDGoX39DXX0ggV1JZs8rsieX0KxsbW1nzpwZFhaGdgSD&#10;k82lufxDAg9MsNFvigeocfFYqg5xJn/8GVNNbUlR8ZvUtOOHjyxZsLB/n75ODh0M9fQZIZQYD2R4&#10;wFxOTo4gYWBggH56QEDAvn37bty48erVq4qKCjiX7+xWUGTq8lDNZkirS4h7Midglrmxqa6mFsCA&#10;ms3qNy/VH3/8AWe3fPnyhw8f5ufnozzSfIQ+iFcEgYe2qAb0sWA89kJc2fWr0RPHje/SyYON588f&#10;QkF7V1NSUVVkg7B16tQJlrx//z4aEQwu3f5fJPDABDP9jnigdSBZ8djCKnatBhUFbMC8rrauoqT0&#10;bXrmnZu3dm3fMX7MWJcOTga6eogkJBIJqKDEP1AOMMjLyyNNS+hWxIABAwIDA+lTo7m5ubIxmmhH&#10;lPh6YWscHyaWaPirtg6cSEl+sWHNOk93DxNDI97lYQMLKiooqKuro3h6enpTp049f/484mIQS5qP&#10;0AfRSUF9EHhoayI8oINVWlR8/szZvr6921tZa0s0gAT+vCIbgAAJDVV11Ifjx4+npaWhOVN9+IwE&#10;HphQL3/few8k2cJ6dMbxi02gBKa/4DDqamtzsrPv3b0XciBkzuw5Pt69bKystSQa7D6Eioqqsor8&#10;H+3k/veHRE0NaXpbAl0PG0srn57e06dOPXzw4N1bt99lZVVVVLIwluOnjl8UYpWylo2KQcvZ1ExJ&#10;C0kTi4sxf/P6zZHDh4cPG97epr26GnukFWxAkVSVlRXayZkYGfsNGxG8dWvsw8flJWWcf+wAP5ra&#10;sKgmCDy0QbHx+NjoljXZmW8Phxzs1rkLe1maXyRAH4vGp2F3HNU1Bg8eHBUVJXt+narEv0nggel3&#10;xMMXCVnBOyDn5OTkyMjI1atXDxw40NzYFP0LRJ00/h0qkLaGJhJK8gr86r+qjoamlZlFZ/dOE8aM&#10;3blte8yde+8ys6rKyuura2oqKkEFuGP2yERVdR3DA5r1t96QyMrKggXmzp3r5uamqalJ177UVdjo&#10;GgwPBoY+PbwXzpt/6/oNBNHYNaaP2PBNO//tRRUV51rgoc2ptq6+tr60sPhZwtMtmza7uXREo2ad&#10;PyV2O5rjgX010sTAaNy4cQ8ePICpychkcGkm/5DAAxOM1brxQK4BguPAkV6/fn3Hjh0Txo7zdPdg&#10;96vV1GkUPxCC8IBJRUGJPTGtpKyvrevQ3nbIgIFrVq46Gxb+/GliUX5BtSyMQItGLx5uGr++GQ85&#10;OTlxcXG7du3y9vbW1tZWpXvmfKh6EAvhjoOtnb/fyIhz50uLS6Q8kBGCxx/SjNqk6BSj2gg8tDnV&#10;1tVU17xJTbt04eL82XPtrG0YGHifj70Nxx9bMtIzcHVyWbJkSVJSEowsczJISzP5hwQemGCj1o0H&#10;EjKEj8BBwQujipz5M2zJgoVdPTob6RugZ4FqpKKgCEgADHQ7C5CgscGx0EhP39XZZaz/6H279jyN&#10;e1JeUlqJ/ruMELLp2wwFg8ApRERE9O/fH9ED8AChGKyiK7NPyOlp6fTs1v3Y4SMF+e+le+QvXbNi&#10;sHvyzGJtVryeCjy0SdX/VVle8fjBw+1btg4fPNTU0IhdVuIjJoATgIRERRXMwJ/QL0xLS4Opydqw&#10;M+bSTP4hgQcmWKp144HKT9lSuqKiIjkxKfJCxJoVq4YNGuzq5MzHhWckQD9dGZzgt7PgmlX5YPFY&#10;oqGqjjACnfed27bfuHotNflFOe/CwymzgcCqa5in/jZDoVTl5eX37t0bNWqUjo4O2KCmpqYoz97r&#10;YXhQYIOCdHR0Qvj8Iuk5EFUPJNSwZ7QEHiBWTQUe2qbqG8pKy65cvDR7xszO7p10tbTRUjCxZ//4&#10;TWk0585u7ovmL4CXy8rKgnlhRpiabC7N5B8SeGCCjdrIxSUSllRVVZWXlOXn5MY/jj168BBqVZdO&#10;HjoamnraOuh3KMsrsFpFT8Upq3yoZyoGOnodbO379+k7a8ZMdqEpMam0uKSG7j3wm2PsIs83iPwC&#10;Ipu5c+e2b99eS0uLPVXFH29FYTCBXjYWliht5PkIhNK0X5CJ7Rds4BZrs6KTi2oj8NDWxB5hLyw+&#10;dfzkkIGDrPjL0mgprKvHHzNBvwp9O58ePXcF77hz5w6NiQDB1LAz5tJc/iGBB6ZWjwdkQnlSAkvg&#10;LP5CxairLyksSnwSH3bq9NJFi/v37oMIlA3kp8wuXDKPzPod7J0ailKRQDfEzMi4W+cu0yZN2bkt&#10;+M6Nm+mvXpcVl6CC1n/zvQcydXp6+tatW7t3725oaKiurq7K3/ZEFcfeNdUlRvoGg/oPQEWPe/io&#10;prKqgb96zcgk7j1w4fwKPLQ1VZVXFOa9D9m7z8uzi46mFuvV8UF0lOUJD4qaauoD+/YDP16+fIma&#10;QN4AG2JOteKTEnhggrHayL2Hj2pDHft8eW1VNSKA9LTX0Zev7ArePrj/AEc7e20NTdQnNk6LMrup&#10;xT4aocCuOGGCm9ZUkxjrG1qZW3h7dV+2aMnFcxdSX7wsel9QU1EJ/sjyRwJ7/ArTIfg9duzY2LFj&#10;HRwcED0wMrEysDgGlR708nTvtGDOvBtXo6vKytntB35ZSfpEbxsWTE02F3horYJxyC00bstIo/Ul&#10;xT/dsHadk70DG8Af/To5eTQZirnRcIz1DUaPHIUmQ59L4WaWbkuJT0rggQk2agt4aCpUDPT3+UWh&#10;mqrqtxmZsQ8e7t21O2Da9O5du9lYWOpqatPzDwggyEGDDZj4uzbshoSRnj4IsWTBIvRKYh88yn37&#10;rpbffkCZIfgjOoovsh7WZ8OSR0XBL8AmEomEAmT+DAa7O62lrmFrbTNy+IhzYeGIWvg1JX7jgd+g&#10;bsvi9VTgoTWL7IME7ENBANI43RlpbyLOnZ89I8DawpJ9/ktVXUlOgX3mgb8vrael4+zgOH/2nKdx&#10;T3g2zZXAAxOs3EbxQLdzG9jTR/W1dTUVVRmv31y7ErVhzVqEohYmpqhbYAOiVLqaCe9MN64ZIfgt&#10;Ch0NLecOjv5+I4O3bL157XppSSkqK4Rik91I0j02Q6j0paWlqampBw8e7Nevn46ODnaKifeJ2B1y&#10;Jb7TLh6d9+3ek5+dU11ewQb1k15ckmbSNkWmRrWB/QUeWrdkeIDKy8sfxzzcvH7jwL79TY2MleTk&#10;WZeOt1bMQQhLM3P8acfW4LfpGdLtmyeBByaYuC3iAceEiSDB3kAGIuBdGuBz79y4tXVTkN/Q4YhV&#10;TQ2NETcQJ1DtkKAJPxXbycn93x9Io/4N6j9g1fIVV6Oinj59WlBQQEaTSbrH/xLWhM1R7+Hgrl+/&#10;Pnr0aENDQ84hxiRQCmn6GoS1ucXqFStfPHtekJtXVV5BB8KmNiwyNaqNwENrFdkHCdiKzAVDFRcX&#10;R16ImDh2nLNDBwNdPeABjYWG7kcjlaiouXRwnDVj5rmwM4V57ymfZkrggQmGbpvRAxECYKilJ1Pp&#10;In5NLXwu4tBTJ07Onz23dy8fXU0tdn2JrmPSx+b4B4XYxU1ODk01dQsTs64enhPGT9i6deuDBw9w&#10;FFVVVXBJOJDmWw+HXFFRgTmOOj4+fu7cuXZ2dloamioKiFrYF7OxI+waeDDWN5gycdKlCxEpz5Mr&#10;S8vZsbCrTN//NP1GoooK6wk8tFbBOOQWyFBIoJXl5OQcCTno08PbWN9QV0ubImz6PBzDg6pa967d&#10;0Nt7cPe+wMPXCBZvi3iolQ4CzLvefGr4q7ayugFts7qmtKj41YuX58LPrApcPqjfADdnF0NdPbAB&#10;tQ2cUPijHYMEv2kMl82frVbW0dCCNx8yZAgIgb7/y5cvcSxwVc23Hg6Z1sfhp6WlBQcH9+vXz8rc&#10;AnEDC5lVVLXUNfjlVGV9bR2fHj3XrFwlHWBDeu/h+5+m30i8ngo8tGbBOI1PHywGgyBeX79mbUcn&#10;Z/44iYSuAKN5gg1oODoamkMGDDwXFp7x+k1JYZF0y+ZJ4IEJVm6LeEC3vpZ5VfhWCiOACvbtNuZq&#10;6+uqayvKyjNfv7l36/bxw0fnzZ7j4epupGegp62jpS6Bs0bQqiSnoMgvdAISiCGwXFdH19LSslev&#10;XgsWLDh16hQqbl5eXvMPAYcMURvIzs4+f/78nDlz2AfvtHUU27GQmb2sx6MWbYlGeyvrYYOHnD4Z&#10;WlZSyoIecWuaCwYUeGitgnFkpw9phNopKSlRUVGzps+0trCkl5M+3BdkF2O1JZqIsyeNn/A45mFl&#10;WXltZRVt20wJPDChXrbJew/wJay6waNI8YDDZBOl2VRXUwvnG//kyZ+nTi+YN7+3r6+Dnb2Bvr6a&#10;qqq6qpqyoqKivIKSAiZFZUUliZq6tqYm5vp6ep4enQNmzDh86FDMvfvpr9+Ul5b9nS2O7sNDF5hD&#10;ZF5WnA9pHDWMk5iYuHv37j6+vjqa7IvqmuoS9twUj1QQOCNY8XBz37E1OD3tdVV5hXSIQC52dG1P&#10;dOywocBDaxWMQ1bCHIKDevDgwebNm/v59jEzNuFPcCjRRWC6V2ego+vq5LxyWeCLpGe1NbXsgsGX&#10;SOCBCYZui3hotsrKyjIzM69fv75hw4ZBgwZZW1tLJBJ1dfYZN1U+ap7sQxGolwgs4MQNdfU6Ojr5&#10;+41cv3rt1UtX0l6mlJeU1VaxK1eIUdhgGPw+AdmWhEPGnPaINIyfn58fERHhN3y4toamYjs5QIJe&#10;59ZQVadekq2VzeL5C+/cvJXz9l1NVbXAA4RqI/DQugUTka1KS0svXrw4bhy/Ka2ji9aHdsFuCnJC&#10;AA+IsP2GDT+0/0D6qzSGh7ovaxoCD0ywtcDD54XyFBcXo6sSHBw8evRoT09PPT09EAJUgFTYJ93Y&#10;B4XQx2fv4/DXFCQqqhamZr2691wZuDz02PG4h4/gxKsrKimGaGJVpGXeASILsCf2Hj+ePTMAtRx1&#10;XUtdwh7lpu+qo/7LKxjo6I0YOuzgvgNP456wdyAanSVkIk21GclMJ/DQugUTwVY4oenp6Qivvby8&#10;TA2N0WdiT7LyoZYACTU28IFqj67d1q5afevajYK8fBZef+GzGwIPTLC1wMNnBHdD5UFv5fnz52Fh&#10;YQgjunbtamlpieiBPjMHQmBOnRd+i4x18LXUNazMzN1cOvoNHR4ctOXe7Tu577KryiqqyytqPrwb&#10;gWwhMjIkSyOBFdAAdu3YMWzQ4PaWVtoSDQqfgR/sBWEK2gAyXzh33pXISwX572V4wOYoMISEdFEb&#10;EDebwENrFtkHgq2ou7Zo0SIbGxt+3VURrQO9KFABCXZHUEnFf4Tf2bBwdvW1rEJ6i/FLJPDABFsL&#10;PHxeKAb5l6qqqtTU1CtXrmzcuHHixIlubm4URqipoUuvLkHllFdQbCfPnprgTzShmqqrqFqamg3u&#10;P2DDmrWXLkQ8T0zKz85BdmRVzHGwEP2kBIQ9wgJ5eXkR584HLl7q6e6hqcYe5UbQgAlVX1mePcBn&#10;amQ8dOBgBBCZb9JpE8oHaYjSbUTcbAIPrVkwDlmJmuGJEyf8/f1NTEzQyjgS2IOFSAAVWhINIz39&#10;ebNmP7r/AIF1A//aqMDD1wgWF3j4vFAeOB0qUnl5eUZGRkxMDGrn7Nmzu3fvbm5urqmpqayszDr4&#10;CooK7eToEVhlpP9oB1Sgd2Nhaubt1SNg2vSQffsf3rufm5sL81KGMC8dLxLk0ymBJTDRo5gHB/cf&#10;6OvTW/rmNhvYg791we5RK2mpS9ycOy5bvOTerdvv8/LRbLAtFZiyYqVvG+JmE3hozYJxYCUIdoiO&#10;jkboAL9haGhIjw6ioVHogI6UubGpV5eu24K2vHqRUstvy0mnL5HAAxPMLfDwGeHwUR74F8ypYCgV&#10;ypmcnHz27NkVK1YMHjwYDRi9GC11DXbxh3/0HFUWeIAfR8DLHqhQVjHU03fu4DhqhN+WjZuirlxJ&#10;SkqCBZAb8secRP4dogMHit5mZN6+fnPC2HEGOnr62jpoA+zeBr+0ijRQYWpoNNpv1NGDh5KfPy8r&#10;K0MmsjJjzo+gTYibTeChNQvGgZVggdevX+/fv79fv35odOzLKPxeNL+gxBKIG1wcnWZMnRZ26nTO&#10;23cNtbJHE6X5NFMCD0ywuMDDZ0SHjzlVTcyRhh8vLi5GNb19+zbMBdMhjNDX0UEdlaioof/CQod2&#10;cujvkxNXVVRG919PS9vepn3/3n0WzJ9/7NgxGBkOnfKkzMmL0b4wx5LKsorkxGdrVq5yd+loYmiE&#10;cAGwYS/+8LGYEEwY6Op16dR54dx50Vevoki0FeXQYl3hjxCzmsBDKxJMQXUYCdkSnEf4jQcPHgQG&#10;BsIyqqqq6upsKAHE6xRVo+eEFuHb03vvzl2P7seUFhUzPPArS7XVNZRPMyXwwIRzIPDwpUIJ4YZg&#10;ovz8/NjY2EOHDi1YsMDXu5eddXsdDS1ED+jFwInzm9WqYAO7D8FfeNaSaFiZWXh06gRrgxCPHj3K&#10;ysoCbHC8EFlbJuyovq4+80368cNH/Ef42bJHmNjtDSX+GTvFdvxr2Dq6yHBg3/6HQg7Cp6BgFRUV&#10;bEP+dAcvbJsQWQxHLfDQOgRTsCbxQWQcxNMvX74MDQ0dN24czq+CggIb9J4Ps492gd4Y+k/mxibj&#10;/Mdci7rKbshVVjfUSF99ZVeZvkQCD0wwvcDDl4rMAqGEdCDR0dHbt27zHzHS0sxcQ1UNfhx9GebB&#10;paMzsXfZEFIoySmgKuvq6NjZ2Q0aNGj58uURERGIQlDv6ZBx7PBlyBaZ8z39VZCXfyP62urlK7t5&#10;dkEIgkxYKK3CcqMrrdoamq7OLiuXrwBsCgsLaVB75NZ2XAlEpwNHLfDQakQGgWXIISCN6n3t2rWl&#10;S5d269ZNW1tbUVGRvX6kqEzXddE6jPQNvDy7rApcnvL8Bbspje1qaulrKAwSXyKBBybYXeDhSyUz&#10;C+YoKjrsKHnsw0cH9uxDN9/VycXKzFxPS5veVGBXgfgNCfLp6PJL1NUlEomBgYGnp+fcuXNPnz4d&#10;FxeXm5sLSOCQG1sA1bqkqDg5MSks9LS/30gEzsiE3XjgA7giW/4UExukb6Sf3+HDh9G3QiaNS9hG&#10;RMcLowk8tALBDnSmKAHBPjh2mCUkJITuOgAMysrK7LlB/hA5a1Yqqu0trceNHnP4QEhBbj77DDuM&#10;Khs4R7z38BWC3QUevlRUSCon7IM5ilpUUJD2MuXiuQsrA5cP7j/Qyd7BQEdPS6KhJK8g/792cOua&#10;6hIEFqjEWpqaqNaqqqq6urqw+YQJbKjX69evI4xAPmRzqREa/qqpqHyfm/co5sHSRYvtbWwRLtDF&#10;VuQD2AAViEiwFw9399mzZ1+9erW0tBSbo5BUQipwqxcZDRYTeGgFgh3oMQ2YhSwDmyB0iI2NhU3g&#10;Maj5YM6kzDpMCNM11dQ7u3das3LVlYuRxQWF7FMoOOc0gQ21X3bqBR6YYH2Bhy8VmaWJaior4cpz&#10;st5ei7oatHHT6JGjOrm60bfR5f7vD7hyulONeAJVmgbkgBBG2NraDhw4cN26defOnUtJSUEsAguQ&#10;2PAbfPSn9FdpIXv39+/d19TQiAclrEkAPBSRSFTUzE3NvL29ce4yMjKQA8oD68EtSkvc2kWnANVG&#10;4KEVCHbAecQcpiBXUFZWhvN46NChUaNGGRsbq6io0MtGDBLK7L60lrrE1Mh45PARZ06HPY2LLysq&#10;+fuRVmSAAELg4SsE6ws8fKlQQplZyEQQnHh9bV1Fadm7zKz42LjQY8cXzJnr06OntYUlIl/VD5+v&#10;UlVSVuNsQBVH5abrp+bm5r169Zo6deq+ffvi4uKKi4thARx+bXUNEaIwLx/UWbJgYVePzvR2KDCj&#10;8IcccuN3qpW0NTVtbGxgxsePH2dnZ7NtBR4EHn5PwQ5kEJkryM3NjY6OnjFjhoeHh6amJtqOrI/F&#10;ekjyiojUnTs4Ll246FlCYn52LhoOH0iD46EOoUM9I8SXSOCBCdYXePhSoWBUwo8EN15fX1NVBU5U&#10;VlSkpqRcOHd+0YKFQwYNtre109bUkqC7o6qmoqSsrMgGeQUkJGpqSgqK8u3ksNDIwNDVxWXs6NG7&#10;duy8e+dOVmZmaXEJG42VXzktLSp+nph0/MjRcf6jzU1M0SSAB8QNmOjeBjJBDqNH+R85fDjpaWJV&#10;RSV7Na6mljUPPjWwoQD5Rdjvfz5/vaii4qQIPLQCwQ58EGLW5YKjr6upefE8ef/efT2797CysNRQ&#10;l6ipqKL5qCihc6SkoqyMn9aWVmhohw4ezH77rrqyil1NYhOv7aj2aET4+SUSeGBCvRR4+F5CsanD&#10;jkRJSUlaWhq6PCEhIZMmTbK3t5dIJOj1KCgowJvDuUsQPCiyvr+SHHtQFUsMdHQ72Nr19e2NsCP0&#10;+Imk+ISSwiKGh/qG6orKkoKih/diFi9Y6OrsoiXRwPoaauqK7dgYscjw//6f/1dPS8fD1W386DER&#10;584j2pDelEPXiTcShgdOGoGHFiiUnA5B4AGCHWgQvbrqmqqyivc5uVcvX0HobGNppcdeDmVROOo8&#10;HyCZDZasp6fXrVs3OJP79+/DsZD3+EYJPDDBlAIP30uwlcwB4RDgqgoKCmDMEydOgBBubm5mZmY6&#10;Ojqo3Grso6RshAx0/+mxVyxhr0OrqOpqark4Ok2bNPnQ/gPgQVZ6Zjl9Eq6u/m1mVsjefSOGDrM0&#10;NQce2H1vOQX29TpFJeQDWmCJo539pvUbnj1NrCyr4JdcP3SdCAysS/UdGk9LE1VUsrnAw28vnCxe&#10;Yxtq64sLCh/df7Bl4+YRQ4ai/4Q2wl8LZe8VKXI8qKmpWVlZTZw48cKFC7AbKgCd62+UwAMT6qXA&#10;w3cUWYxaO37CjGVlZQgjIiMjN2zY4O/vD0hoaWjCobOaraQs4R8opRFYtSWa2hqammrq+to6CBFG&#10;jfBbsSzwbFj4u4wseHngoSj/PYCxY+s2nx7emmoS/jwfG6cPYMBPzJGnsb7hzKnTLpw9l/Yytaq8&#10;gjUzgQeBh99LMAT/biMi4Kw36Yf2hwwdOMjepr22REOVbuPx6AFdIvSr9PX1PTw80LjgtXCiZU3v&#10;GyXwwARrCjx8F8mKDYshjcLLaioShYWF8fHxe/fuBSHcXd2szC2AAUYIZRV2y5r3iRA66GhqYTka&#10;AFy/hYmZT0/vZYuXXLpw8cWz57lvs/Ozc1+nvroZfX3GlKlGevpoG1gTE38Lj31cF40H0XefXj6r&#10;l6+8HhVd+L6AfRSPIeHDhOJ8//P568XrqcBDaxEMUVdfW1VdXlIa++DhkoWLHNrboXWgD8Se7OBj&#10;jinLK6DJoEvk4ODg5+d3/Pjx7OxsmA76LlYSeGBCvRR4+C6CD0LJm5iLDIgDgdsqLi5++vTpyZMn&#10;A5csHT54iKWpucIfcvL/+0NFgQ1HTDeZ4etZ1MwHzNDR0LI2t/R09xg9chSC63u3bmdnZuW9y05K&#10;eLp5/QYPN3eQAIDhhJCO4YFwW0lOAVwZ2K///t17wJKqsvL6mloGido6+lydwEMLlMDDR0JPprau&#10;tLA4OenZ8SNHRw4bYWxgiKqOXhQaC3WJ2JUlRSVdTe3+/fuvW7fu3r17BQUFZL3vYiWBByaBh+8l&#10;lBmiCkp2I+EnfFZVVRX+VFZWlp6efi3q6pZNmwf3H9De0hpBACIGuusgjQb48JMfXpJQ1ZZoWpmZ&#10;9+nlu3blqquXLj9/mvjsaeKJI0cnj5/Q0cmZje/EP7ELuiATdqNbXgGRh0N729kzA6KvRGW+fgNC&#10;EB7qqqqlA1i2OpGpYX+Bh9Yg2KG6JuP1m7Nh4bNmzHTv6KqrqUXtguOBJVDnsRD9pxkzZly4cAFO&#10;jAa4hA1hTGk+3yCBByaYUuDhewm2Qpkhau00p+V0UJhXVFRkZWQ+inlwOOQgPDh7McLcUot/K4K5&#10;eH43QkNVjfl6/kQT0npa2jYWlt27dA2YNuPowcN3bt66cTV6/569/GadHvpQtD4jCr9OBa4Y6xv0&#10;8fHdtG793Vu32biVKEhdfR3CCH4Pg0rbmgQLQ7CwwMPvJRxyk5OCJTXV1SWFRY8fPNywdl03zy6G&#10;unro8aA5aPIxx1i0zS40qVubW3h7dQ8KCoqPj8d5J9NRDpTVt0jggQn1UuDhJ6u2qrqitCzzdfrl&#10;iIvLly7r6+OLzj4YALcOPLBogIIJFVUEB1jCOkpa2mgkLh2cEDTs2bkr8nzE+fAz82bNdrSzB1ok&#10;KuyuA8CgpS7BVsryigi6O9jaDx04OGTv/uzMt3XVNfV8jAF2x0/goeVJ4IEsQEtKSkqS4hOOHz4y&#10;fvQYEz5MgKa6RP5/7TSAB3mGB9R2AKOrBxvKPjIyMisrCxvK/Abl840SeGCCQQUefrbqG+pr6sqK&#10;S95mZMbcvbcrePvEseM6u7lbmJiCBAp/tEMkAY8PSOCnkpw8ekxggKaaBJBwsncYMmDggrnzNq5b&#10;v3Du/AF9+4EQ+JNiOzmsTAEEPSkL3jg7dFgwZ+7923ff5+ZVlpX/VU94aKEu8ltEFRXVRuDhdxQd&#10;OIREVVVVTk5O6LHjM6ZMde/oCjCwT6egKfBgGl0o1HbMTQyMJowZey7sTEpKSnl5OTbEWf6O51fg&#10;gUng4ReIPdDN7gTU19aVl5Y9fRJ/5OChqZMm+/To2d7SSkdDi8IIdJpACHqAj+OBdZ2wxNjAsJOr&#10;24ghQyeMGec/wq971276Orp0YerDpIKGhOZkoKM3qF//vTt3PXkUW5Rf8Be/vvSl30X5LUQVVeDh&#10;txMdNQ4f5wjC6cvNzX0SF7diWaBnJw9UbB4NK7BX4djTfWyQMQBDV1PLzaUjekhpL1PhqWQ50PnF&#10;T8r8WyTwwASzCjz8bNX/xYah51d74K+L8t8nJz07f+bs9i3bpk6c5OHmDreOxsBaghp9WYg1D/ap&#10;uA/MMNDRtbWy8XT3AFG6dvY0NzFll5X440+cEyzsQAINqYOd/Vj/0UcPHkpLScW+6uB8alqhVami&#10;otoIPPxeokOWHT7igISEhJMnT47zH21mZEJXWdnz37xKI4EJtdrO2gYrhJ/+syAvH1shH+RAmSD9&#10;Xc6ywAMTbCrw8LMFi2KqZy+sNdTU1lRWVZVXvM/NS3zCrreCEG7OHY30DdBFQktA9CD/Rzv23pyS&#10;9A0JxBbsBWl1iZGevo2FpY2llamRMVZmdyCkb9uxdbCyhqq6tkTDwdZu5tTpkRcicrLeAkts161O&#10;VFFRbQQefi/RUZNghKysrNOnT8+eNQtdH9RwVH7EwYrt5NArQhNADUettjIzHz54yJ4dO+Nj49io&#10;Mx9MJ82RG1Oa+gYJPDDBlAIPP1uyN9RQsel1BD76RWlh0fOniWf+DFuxNHBAn742FlbaEk04ehUF&#10;JTQP/hQTIgh2F5puX8P162hqsXetJRo0jCtWADmQYL0tZRV67BV/7dHNa+2q1TejrxXk5rNdtzpR&#10;RUW1EXj47YSjxiFXVVXl5+ffu3dvyZIlbm5uRnoGYAPv8TA8IIZATdZUkxjrG/ZEZV65KubuvaL3&#10;BTVVbAiNJpLm+20SeGASePgFkuEBE0vXY2qoZ+NTVpSVv8vKunXj5oa16wb26+/k0AGRAb/bzF6d&#10;oyuwFGLD+2M55srSN+PYl+PAA02Gh78/UcdCDVV1W2ubYYOH7NganJyYxAZz5V4SRiY74xRT4vcV&#10;VVQchcBDyxWr8FTbpX0jNHVMDXX1tTU17/Pz42Jj9+/dO2jAAD1dXVXUYSUlFfokogobfRJz9mhG&#10;B8eJ4yeEnjj5NjMThmIjAnwQrEdmlP7+Ngk8MMGgAg8tQThqOnB6cuP27dv79++fHRDQ06u7ga6e&#10;GntulR575dOH+8+EAXajgj3m1HRiROGXmPS0dOxtbCeNm3Au/MzrV2llZWVkZ/hN7JrSVIzfVFRR&#10;cSACDy1XHAl/jwDGnt+rZa/019ZVl1ekJL84evDwOP/RtlbWrH/DP/jzxx9/KCgoICEvL6+kpGRi&#10;YjJkyJBdu3bBGvS00o87oQIPTKiXAg8tQWRqEg6/uLg4LS3tbHj4skVL6JtC+mwo4w9jgMvzUcH5&#10;Vx84M6TRQ5MJFJHxQ19Ht1tnz0XzF0Scv5CZmQkIwc5wprJdUzF+U9EhwG4CDy1XOAOyiQXN0qm2&#10;qvpdRubF8xdmTZ/paO+AuqrwhxyQoKqqCirQGPjt2rUzMDBwdXVdsWLFgwcP4D3IRdBp/RESeGCC&#10;lQUeWo5gbbIA3BwIgZ7+zejrO7Zumzh2fGc3dxMDQ34rgl1ckuEBCYV2ckpyCk3YIJ3ADxZbsG9T&#10;mxkZIxZZEbj85s2bcEA4xdgLWZsM/vuKKiqOQuChxaqBhwtgQwNqHB8HDOn6uvqC3Lxb166vXBbY&#10;zbOLlkRDkd+CBhUQLigrK2tqaiIhkUjgJSZPnnz69OmsrCycZdk5/UESeGBCvRR4aAmiA4fI5qSq&#10;isrigsLU5Bdhp07PmTkL3X+4eG0NTXbXQYl9RlFLXcIeaeVRRVMw8ItLbGK3H9gITppq6hamZoMG&#10;DAwODr5//35BQQHaGFmbDP77isyFoxB4aLHC6an78Oq+DA+lRcXxj2O3btrc16c3e5KVh8I6mlpA&#10;gqIi+9SPhoYGwggLC4uxY8ceOnTo8ePHcB04yxA1Fmnu31sCD0yolwIPLUpkc1IdWlFdfV1VdVpK&#10;6rmw8MAlSwf1629vY6urpY0AQrGdHOZABXpbaFdN2ECTsryiEn9VgqX5M+P2tnb+/v779+9PTEws&#10;KSmBkbEj6b5/W5G5BB5atHAK+IiQ7NV9flmpvLgkKf7poQMho0b4WZqZoxNDD7AiJqaPsSsoKIAN&#10;+vr6Xl5ey5cvl31HnfKD0crLyyn93SXwwAQTCzy0BJGpIRw7DpxEN+7YwPfFpTlv3z28H7N3566x&#10;/qM7u3dCGIF+lpKcAnsVjg9E05gKsonaG93KxppoeFoamnZ2djjdiNNxogsLC390nP4TJDOdwEPL&#10;Fc4A2EB3pGvrME95nhx67MSUiZNcHJ1YTMyHC0OVRoIuKCGA0NLS8vDwmDNnTnh4eF5eXlVVFawk&#10;Mxd+SjP/3hJ4YIKhBR5agsjUEI6dDp8vZV2tmsoqNqZebT0i8YTYuOOHjwYuXjKwb38rM3PprQj+&#10;2CsmGu4YJOBzetiJPQiLOU+zPykpsCaH7tiSJUsuXryYkZFBt6lpp1QG2vlvJCo2DkHgoSWIjkX6&#10;QybCA6/PFSWl+dk5Vy5eWrJwkae7h7G+oaaaOn/LRw11WENNHXEDaqm6urq5ufm4ceNOnjyZnJxM&#10;h09nGVb6xC6+nwQemGBrgYeWK3q640Ofq7q8oqyoJOtNxt1bt7duDhoycJCtlTUfo0kNrYvFB3xQ&#10;GvzkDzLRsPhNJxUldrvP0tKyR48eK1asiImJgdlxusnmMD6EBM47LfktRBUVBRZ4aAnCgcgqDx0X&#10;JK3GtXUVpWXvMjJvXbu+avmK3r18DPX0UWlRM7XUJRJ2fYkFEIgbdHV1zczMvL29g4ODwYaysjLK&#10;8OdI4IEJZ1HgoeUK7qzRc+LsPkRNXWVZOVrX/dt3D4ccnD97rk8PbxMDI8CAvp+lqS7RUFVnn42T&#10;V6BrSk0m9rSrigoidxCiT58+OAVXr17NysqCzSF4Ulkf7TeyP1VUlFngoUUJx4XDIbF0TW1JYRHV&#10;3nWr13h372FjaYVYQbGdHA05jAmBL7udJpEgbujVq9eqVavu3LlTWFiIzaWZ/hQJPDDB6AIPLVeN&#10;8fBhQhcM4Xlh/vvXKa+ir0StXrGyF38xQk9bh19iAgOUFVh7k//kyxDq6KApK8vLyyOGQO8MZxw+&#10;9Pbt2zk5OTjpvCEzH4pTQGfhtxBVVBRY4KHlCIeD48LhyOY1VdVv0zPu3rwVHLSlX+8+Rnr69JI/&#10;HzNGCVTAHJOWRAOnD25h6dKlN27cyMvLwxnE5tJ8f4oEHphgdIGHliu6uARjyPCAdD0bD7y+pram&#10;oio7M+ta1NXNGzZOGDO2S6fOBjq66HyhvfHRNST8iaZ/xQM6aBoaGiYmJiNGjNi9ezc96grL0xn/&#10;Qaf+B4lKi8ILPLQQ4VhwUCRK1/G3o18kPdu9fcegfgOszS3oG3D0ag6LehFGyMmjW6Mt0XR1dZ00&#10;aVJ4eDi8E06fzCf8NAk8MMHoAg8tV7A9TYAEH7bvLxq/j37WN9RV1eS+zU6IjTsScmjapMmdOroZ&#10;6upRSwMh6NZ0k0lVmT0vCKmrq6uqqqqpqTk7O0+YMCEkJCQpKamqqoqM/4NO/Q8SlRYlF3hoCcKB&#10;NG7I+IlTgCaf9jL1wtlz6MrQEPQIHRT+kKMODUIHFUUl+f+1AyosTc1Gjhy5c+fOhIQEGgCGsv2Z&#10;EnhggukFHlquiA2YpGFEo4kt/KuhrqG2sqq0sCg56dm58DNrV60eOWy4k30HHQ0tfiW3KRvYxB8q&#10;V1RUBBsgFRUVPT09FxeX8ePHHzhwAG6osLCQ7flHDmjz3UUVFdVG4KElCAfSuCFjjsD0RXLykZCD&#10;M6ZMde7giPiAXQXlk/qHsWFUFBSRtrWy7t+7z/bt2xHO5ufnwxHJMuF5/yQJPDDB6AIPLVfEhibT&#10;x3iohz+prqmqqHyflxf36PH+PXvHjBrt3MHJSN9Ai71fzT8opKCkwgbyY48tIXpgw9koq4AMSPBJ&#10;TVdbx8XZefLESceOHn3xPLmyoqKO+yk6HVQHkKbz0gJFFRXFE3j42aI6KZ1wDmji9YYackNDeVkZ&#10;2HDxQsSUCRNdnVz0tLTZq/6cDVoSDUS6Ek4IzE0Mjfr69g5csvTWrVswAs4mzh0ZB2npHn+KBB6Y&#10;YHqBh1Ygshs6/uhzHTx4cNGiRb6+vlZWVrq6umABYgVECRAbqECB3QZksYV0nFc2/qtERc1QV8/d&#10;pePMqdNPHj3+NO5JcUER8IM86a0I7AKno8WeEaqoMILAw8/W32yAfesbauvZS9G19ei1YAnmVWXl&#10;aSmpJ48dnz1jpoerm4mBIX+Agg0CRnMV9F0UlLTUNcyMTbp36bp86bIrly5nZmaWlpaSH8CcEj9T&#10;Ag9MsLvAQysQLIYzhXlJSUlGRsbNmzfXrVvXr18/BwcHIyMjDQ0NdXV1NTU1JTaGvhIbgolPLLrn&#10;jxKCE1ioq6Xt4ug0zn/Mgb37kpOeVZZX0LlAzrKEdH8tTKyaCjz8EhEYmkxovuhb1NaVFBalPH9x&#10;Nix8+uQprk7O5sYm4AENH0nRA3taiV1WUkKw6929x9JFi69cjMx8k4FqjLNGe5A5hJ8pgQcm2F3g&#10;oRUIFoO54BzR2UciPz//zp07u3btmjVrlre3t7GxMUIHZWVlEEKipsbeQuJgoIlHD+zLEFhuoKPX&#10;0cl50vgJxw4fSXjypKCggFwqeViIfrY0UdlgBIGHny0ZEuoa2ITj4B9AJDY8e5p4+kTonJkBYAP6&#10;H5pqEnrJH9Eq8ICKp8G/b6itoenq5DJv9pxLFyLeZWbVVrOXb+iUYS5zCD9TAg9MsLvAQysQnSlY&#10;jB49gg3R/0pNTYWXWbFiBU6riYkJAggQQpl/j1pZHpMCH2+Dv1zNnz1n4xmoqulp6Tg7dEAMsWv7&#10;jri4OMT4lDn2gpxlfboWJSohiifw8LMFu2IiNnzAQ11VdUVp2ctnyadPnJw5bbqbS0ddTS11/rFb&#10;xA2oY5hQ3xTZ6Huqelra9ja2o/1GoUfyJjWttqqavf75IVrFnBLS3f0sCTwwwfQCD61A1ISaCKjI&#10;zMyMjo7evHmzv78/HA2iB0X+ChLhQZnjAaED8ICQn018CD9tiaabs8u4MWP37t376NEjkAa50V5a&#10;poel40XxBB5+tmDXev6YNWMD+wk8VJSUvnqZEnbq9KzpM1GRECuw0YL5G3DAA7ugpKgs939/KLaT&#10;Q02ztbLxGzp89/ad8Y/jqsorwAb2Tg9/e59cARlHurufJYEHJphe4KEVCLZCi6KGRDYkM4IQOTk5&#10;8fHxoaGhs2bN6tSpk4mRkb62jpZEg6J7dn2JPzRCYYQ6/+Y7wn9DXX3nDk5Dhw6Fb3r48GFhYSGq&#10;RMsMHSCqqDhegYefLY4HdkGJD9MNz16Qm//i2fPTJ0KnTZrs5NBBR1OLjyjMHlpFvaLnIFDZsERX&#10;S7uDnf3I4SP27d6T+CShtKiYMkEAwesvq8B04pD4yccu8MAEuws8tA6R6ch6JFoOM5K1T548CTv3&#10;69PXvr2toZ4+Anz+JgTDA+agAvDAhkVTUZX/o538/9qhPVtZWQ0ZMmT79u0xMTGoJxUVFY2rxI+o&#10;G18nKhUOWeDhx4lKKJNsCYsY6tinfmoqKvPeZT+6H3Pq+MlZMxA3dNTgz1WzNzR5hIo0XcBEAKGp&#10;JulgazdiyNDgoC0P78eUl5SxKARmqKmrqWw6TDdsgjMr/fFTJPDAhHop8NC6RU2rtLQ0KysrNjb2&#10;8MFD40ePdXdxNTYw1NFgbycRGBDv0yOGLIzgn59jFwQ0Na2trXGC5s+ff/fu3YKCgvLycvK2kMyp&#10;YRfSnf0iUTFQHoGHHycqoUzSJSg4JhqHNTMr5u69rZuDhg8ZamNhiQCUX1BiQwhTFwTdESX+OQdt&#10;DU1zY9ORw4Yf2LvveWJSXnZOTVU1w0NtHZu+v8v5Ygk8MKFeCjy0VrHGy0XnEV6yuLg4Pu7J0YOH&#10;li1aPHTgIHTf0ICV5OSJCiyG4GEEXQRgHxpSVtbR0TE2Nu7UqRMIERERkZKSAkLQOaKcMf/JPbt/&#10;ig6QSiLw8INEJYSkv/kS9vok4obKqqz0jGtXrm5evxH1yt7GVlNdwqqQvCLm0tCBDbenjPBUT0sH&#10;8evYUf4H9+2/d/tOWXFJbXUN3cBoYN+/Yl+U++USeGBCvRR4aK1irbcO7ZeJfiJRWlKa/up19OUr&#10;G9euGzxgYHsrax1N9sUIBBBABSa0ZBZGECH4Nx0hNTU1Ozu7gICAM2fOpKenl5WVISvytsiWztcv&#10;FKumAg8/RSgqlZbSVVVV8O+Zb9JRo9auWj2gT18LEzNECWyMbtbtUKToAXPUK0SrJgaGDu1thw0e&#10;cmDPvhdJz4reFzTU1PHLSmjwdQwPdXxEgF8tgQcmnGCBh1YsOoMQpWFYCH29jLQ36Ovt3BY8efzE&#10;Lh6djfQN6OYhvf2AXh51+gAG9iYd/+ov5qgh06dPDw0NRQ2pqGAvzeEcUea/VvwQBR5+hlA8iOyJ&#10;YqO38Twx6cyfYUsXLe7j42ttYYkqBDAg9ES4wG5u8VsOPK2sr83ihtF+I/fv3hP38HFJQVE9/5R6&#10;AxtfEtmxew9s+vUVSuCBCydY4KHtiE5oAxtauRIdt4y011cuRi5btLhH125GegYIHRA0YEIkgR4f&#10;2jmiB4BBlQ/sioREIrG1tR0/fnxYWFhmZibdh5A5i18oOixUG4GHHypZCZHAz8LCwmdJSQf27ps6&#10;aTIfMMOIP+/A3sPHhAT6HPSpHxBCU11iZWYxZMCgwwdC3qSmVZSWoRKyR55w6IQE2YQA4ldL4IFJ&#10;4KEVC5aEZ6T2LLMqe3bww2OImAry8q9HRW9ct37k8BEdHZ21JZr8TrUqiyH42K4QG9lVlX0dHgIn&#10;4LNQWw4cOHD79u2MjAxUlR9RSb5IVFFxgAIPP04oHq9HjA2w85s3b1DIbVu3jhrh5+rkbKCjp4Fa&#10;w55uYGEoehjAg5K8gmI7eaSNDQwd7ezH+o/et2tPYnxCZVk5ixga/qquqES4QFWRQYI4werpL5bA&#10;AxPq5S/BA/odSUlJq1ev/iQeqAoKPHyjPn36sABtsLautordD6yrqc15l/3gfsz+PXvHjvJvb2VD&#10;g2iyOxCKSmqqahJ1CdigrKSkqsIuNoEW2lpadnZ2/fv1Wx4YCAeRCUJUVOC0SRs59sj3C2+NCWna&#10;49/TD9CHHQo8fCfhpOHssXPKziCKx0qI2oJqU1NbXVWVnZ0dFRW1dMmSAf36uzg6mRoZ62hqaalL&#10;eOigBDwgQRNiUCN9AzfnjsMGDz5y6DDYkJeTW1JYhKzY8VZWMTzgqNlNaX4T4odVki+SwAMTzvov&#10;wUNBQcHTp09XrVoFPHh5eQEPkZGR+fn59FfoB+1a6JMqLy+Pj4/fu3fv+PHjcTrat2+vqampIC+v&#10;JKfAIMF7gnTdiaX523OWZub9fPssW7wk/NSfCbFxiEJqKqvra9h4O9QfrKuuqa+p/bvBs4vLP6rl&#10;U21BZRZ4+D4CC2pqq8oq6qrZGaytrAYVkOBvNuQkxSdcOHNu+dJlPbp2M9Znj0drqktYxKCiyr9D&#10;xUbZQ9CA0EFXU8va3KJb5y4B06Yf2LsvMTGxuLgYh4ljpEOW7q7lSeCB6VfhgaIH4MHBwQHRw/z5&#10;8y9evJiXl0d/RamQaMm1p5UJDhTe5/nz54jhgoKCRowYYW1tra7Gvv3LxmJiY6ipssvK7KEmRTR7&#10;zOERjNErdOk4cez4ndu2P7wfk5P1tqayCm5FekGZHmCnCZDgA/IIPHxSLQ0PzJQ1vEdfxwborq+u&#10;ra2qriyryM/Oiblzd1fw9vFjxnq4uhkbGKIaoG6ghqCqsEryIe4EKvDT3NjE26v7onkLLkVczHj9&#10;BoeAE4TDxDFiLt1Zi5TAA9MvwQN2WlJSgr2g9drb27u7u8+aNevs2bM5OTn4q8DDzxfzBjU1NALH&#10;3bt3t27d6ufn18nd3drCUk9LW/pytfRSshx+AhWYAAkNVXWXDk4jh4/YuHZd5IWIVy9TSgoK2Vuv&#10;cHc4jdy/MDCwz6Dyb6AKPHxKKDkdQgvBA7vCi3ABNsMZQ4mqagAGBA1XLkYGB20Z7TfS0d5BV1Ob&#10;MeBDTWA3n3nowIbzUlDU19G1s2k/sG//FUuXXTh7Lv3Vaxoqgw6Tjle6sxYpgQcmnKdfggfkn5aW&#10;hnoPPDg7O0+aNOnkyZMoCf4kwwPNhX6C6ERDcEBwQw8fPjx8+PCCefO9vXrYWFiyoRHQN1RlzzKp&#10;f3grgt97VIEj0NHUam9ljU7i7BkBJ44cS4h7UpCXT2CQ4gFUoIm7mx8hKjwqjMDDd1FtTS1jPD+D&#10;9dU1FSWlCbFxh/YfmDZ5Sm9vn/aWVnraOlrqGqgAqBhaEg0WPbAxu1T5kI4KqCfmJqYD+vTduHb9&#10;jehr7zKzqisqURNwgLIjpR3JEi1NAg9MOFs/Hw/IEy0WbWDHjh1oACDEiBEj9u7dm5mZifIIPPwS&#10;ydotEojtEhISzoSHr1q+wm/Y8A529joamtK7DhwPCvxRRdZVVFCU+98fcAoGunodHZ0njh2/d+eu&#10;2zduZqS9KS8p/ehmo2z6AZKVXODhu4hdG6xvqK2uKX5fgI7/7es3tm7aPGaUv5tzR5xoeq1BS12C&#10;fgOFknSPChP+BHJ0dHL29xsZtHHTzehr2Vlv6b4Fux3FH6WTtWs6ZEq3NAk8MOFU/Xw8QNgvqvv+&#10;/fuxU2tr6759+wYFBaWnp6MCQVSBZNVI6EercbvFGYeTzc/Pz8rMfJaQGHrs+Mxp0zt1dNPX1kFX&#10;UY1TATxAQhPhhKKyEpwFfvKXrtGv7NPLZ07ArGOHjzx+8DA/JxcdT3YJm3sHcWv634SS0yG0HDzg&#10;rL3PzYt/HHv00OEpEyZ16uhqZW5hZmyioaaOs4+agGqAtLqKKjoK7DKjmrq2RFNfR9erS9f5c+ae&#10;/TPsadyT9zl51eUVdPbRV8BhUjXDkSIBSffX8tSm8UB1EUJdzMrKOn369D/xgL/iRELSbb6fKOei&#10;oqKDBw+6uLhYWlr6+Phs2LDhzZs3aAAQ7fRH7Frok+J1Qeq5USWkbqjhr8ryChDi8IGQaZMmd+vc&#10;xZqNs6aHAIKeS4FfYIPqKLKLzqAFFuKnjoaWk0OHqRMn7du15+7NW8lJzwCJj16A+liNd/3VokxQ&#10;YQQePiPaxWcSJBSguLAoOTHpxtXoQ/tDZkyd5sTuNLDnVnHqJfx+A+asZyDPPhACVGA5KoaNhaWn&#10;u8fsmQEnjx5LfJJQlF/AvjhN1xUx8fsOsiPFmRJ4aKHCSUIlwBwVrgke9u3bl5qaWsU/QI+/fmON&#10;/KRQOZB5SUkJ8ODg4GBiYuLr64vooQkesBqtL/RrhBZdU1tcUJj2MvXmtetbNwcNHTTYwdZOR0NT&#10;hQZ2VWbfDVZWUJSosGec8BNeAyGFiYGRk30Hb68eM6dO27NzV8zdezlv31WypyRrGmrYyYVkJxdp&#10;VAZKf7WYvxF4+C/xtsUGQaGmjSW0R3Y+eL8e1kO/MCcn5/atW9u3bJ0xZaq3V3c76/bG+oYf3mlg&#10;w78DBnxiwyjRSUfcYGdtM2zQ4K2bglBV0lJSS4uKK8vK6/lzsSxkJEL8PhLRAxOqBV1cmjx5squr&#10;q7e3986dO9GiZBeXsAJt8t1FeKDoAXhA9JCens4rsMBDyxBOQF09CFFVUYkI4M7NWyDEpPETunh0&#10;hr9QZyRgHwqGj6Drzsx98AH9QQt9bV1zYxMXR6dRI/w2rl135s+wuEeP87Nza6qqcX7hnmQn97vU&#10;MWRC+Qg8fEbIGaK9UFZIwzhIY3lpaWlGRkZcXNzFixeDNm/2GzrM3aWjvrYO8M++58PPL841+gF8&#10;UqYHE8AJCxMzz04e40eP2bpp87Woq2/TMxF0sueU6MEEGJ4//oS9UjF+C4l7D0yoFogeTp06NXHi&#10;RHjq7t2779ixIzExsaysDFWWJF31uwrZFhQUHDhwADu1sLDo1avXxo0bxb2HliW4VHZNoJ6NtFxb&#10;B0I8eRR7PvzsysDlvj29DfX0gQEQAp1H5jj4EH7oS8JxSB9tUlE10NWzb2/bvUs3QGL9mrXXrlzN&#10;eP0GVQuxKbkkVr24uG/8+t4AbY58BB4+I9oFEtzkbI/YF4yDNLqDaH1RUVFohv7+/l08PdtbWuP0&#10;SfjLLuyCEn+5ge454cyCDViuoapupKffo2u3ebNmnz4R+jQuPu9dTk1FpfQhZjRfzgaGh5q6+hqB&#10;h99EqBlURVDhMjMzQ0NDgQdUROBh3759KSkpaMNUb6g+fXch5/z8/JCQEGdnZyMjI+Bh27Zt6Lyg&#10;vkL4K9ZBglYW+jXCmaevgFVW1VWxeVlRMfz75YiLq5ev6Ovja2tlbaRvoKulranGrkpjoodf4UoQ&#10;RmCCK4EH0VLXQCTR27sXuHLqxMnr168nJSWRs8OJxllGTaOTDn1dfcNWEDYXePiMuIHZjmgvSFRU&#10;VOTk5Lx48eLmzZtHjhxZvnz5wIEDraysJOrq/DxKP+tG95bYAwhKyjTmClCB896po9vwwUMCFy9F&#10;dPg65RWCBkQMtZVVCB1kYKDpk7edWrLEvQfpvQfgAdHD5MmT0ZHv0aPH/v37X716RZ98QQWSbvC9&#10;hf2iDezZswe139jYuE+fPkijJNgpFYzW+XEFEPpvwZXUsk4fuzKAuoDTUl1TUVqWk/XuyaPHR0IO&#10;zpg6ratHZwMdPRV2+4EjgY+6AZ/Cwgj+Gh38CBIaqmomBkauzi59fHymTZu2d+9e+LvS0lKcX6qK&#10;ONcQnfqvOOnYhLISePiMaBcQ8oFN0MazsrLu3r27e/dunBQfHx94ADMzM4lEoqrCxk1BFKjYTk6h&#10;nRzAIDuzQAUCRJxuF0cnBA0njh57dD8m/VVaRUlpfQ371huvLR9edoHVG0+/jwQepP217Ozss2fP&#10;zpw5093dvUuXLuvWrbt3715BQQGqkXTt7y3sFHX9wYMHgYGBDg4O9vb2o0aNOnbsGCor/kQFw2qo&#10;xJQQ+jXieJA2dd4BBCoQQ7CeYG1dVnpGxNlzyxYt9vbqYWlmbmzA7l4CBsoKivAj/EIT+3K1proE&#10;nU30Q/En+f/9oSivAJc3cuTILVu2REZGxsfH46QXFRXBW0ECDz8UDyTkD4O/efPm4cOH6BeuXr16&#10;+PDh2JG2traSklK7du0UFBTUVNnjSQzwcvIgBDDPQkMeTBjo6tnZtEcsuGTBooiz51+9eFlVVlFT&#10;gfiymn3YR3pZ6eOJ2PCj3MkPUVvHg6xG5ufnoy4uWLCgc+fOqItTpkw5efJkWloaVkBNalIjaRNI&#10;+vu/JF270fpIV1VVwS8cPnx49OjR1tbW2O+cOXPOnDmDVoE9Qtg11hR4+MWStWqcBDTy2nq0/9rK&#10;6prK6oba+tLCotTkF9FXorZv2TppwoSOTs7soXjuU9iFaekAbWrogfK3IpQlavihislAX9/O1s6r&#10;m9dIv5ErVqwIDwuPffy4rLSsoqKimt+4RrWjOkNCjZFNMvGfshJKhdrSevBw6fKypcscOzg6OTpt&#10;2rjpSdyT9/nv0eeXmaLR4TeepH+i3CBZGrtA5uxqUnZ2XFzc2TNn169fP9LPz83NDRGDro6OlpYW&#10;+6oHAgVVVXVVNbn//UFvMwAJRH2cUHQCPN07TZ8y9dCBkEcxMW8zM8uKixFTorsgwwB1IyjNFvJ7&#10;V5wT0oP9LdSm8cCdMGuEqDS5ublPnz7dvn17r169bG1tu3btClRERUWhWwc/jhUaC5tgQ0o0R7Id&#10;0X6RoCfnwsPDEc8iWEHV9PX1BSoQTCDaRfNG5rQy1Dgt1EKEkyirAOhbINY8cuTIvHnz+vbta2dn&#10;Z2hoqKmpCRejwsW+FKGqqsw/K6SoqKikyB6DAUI01dTNjEx6dvOaN2v27u07oi9fiX3w8HXKq/c5&#10;ueXsMgV7k662qpo9OE9j+WHO75DjT+wiBjwO9z7skhdW5kKpWg0erkReXr50mXMHRxdHpy0bNyXE&#10;PinMe19XVcO97UddclhAOpEv5n+qQzbw2jxdX1dfUVKal53zJjUtITbuUsTFXcHbZ06b3qt7Dysz&#10;C/ZuI39GGTEfGEDvMYDiEE4fgIGQQl5e3sDAwMXFBad49uzZJ06ceME/F4jSwrbSY2hdatN4kAn1&#10;sqysLDs7OywszM/Pz4bLx8cH3TrE/unp6fDmqAEk1AZqZtjqi0Sbo96jSqWkpFy9enXhwoUeHh5G&#10;Rkbm5uYTJ068efMmmgT+itVoF6TGaaGWIJwROqd0alAl3r9/j3N6584dMH7GjBnoXuCcamhogAdE&#10;BUrA3cDXsI9GKLEr1+iTaqlrgBAerm79evcZP2bs8iVLjx0+EnPnXtab9Iqy8trqGkzAw9/uj5CA&#10;iUUzPFHHOqqgCApDBWvleJD1ypkROCRYV72uvhrI5LeIuLnAAzYhJxinuha4TXn+4lrU1f279y5Z&#10;sHDC2HG+3r2cHDqYGhprSTRUFXGSFPmLLNJXGdhdaAVFnDWAAYTAXEdHp1u3brNmzQoJCbl27dqr&#10;V6+Ki4tharJqq1RbxwNVRwg1Egx4/PjxmjVr0JG3trZG8+7Ro8fixYvPnj0bHx+P2vD27dvCwkL0&#10;7iHgBIIrb46QMzZBdU9LS0M+sbGxp06dwo4GDRpkZWWF0AFtODg4GJ0R5IkKJyMQqXFaqCUIZ0Tm&#10;yyBaghOH6pGamhoaGjp//vyhQ4e6urqiv6mrqwv/Iicnh7gBhMBcrl07uo8NPMANwTfBQ+nr6Fqa&#10;mnt5dp08fsKmdRv+PHkq5s7d5KRnb9Mzi/ILaioqP/i+j294sn609MIFqfXjQRo98AlxFU3sJ48b&#10;ajlEEWDxj8Vi/czX6S+Snj+4e+/0idA1K1f5jxjZ2b2TjaWVjqYWMz49i/zhmQJ1ZRUN/iILUKEg&#10;J48Th9MHV4CIEG5h6dKl6EEmJyfjRKOEZGqyaqtUm8YDzivVSKSpX48A4sqVKytXruzevbuenh7a&#10;tru7+6hRoxYsWLB582Y0+4cPH7558wYVNysrKyMjA/PmCFzByjExMX/++ScwQL6jc+fOlpaWaMCA&#10;0MaNGx88eJCfn0/FkJVKqGWKag6lkaBThnlVVRW6AugBIBDEuV6+fHmfPn1witXV1YEHdEXpYgU6&#10;pcADewaGvy1BHkqiAp+kikjC0d7Bw819QJ++c2bO2ha0JSry8tO4+ILcPPZNMbg/VA04QLhIfqUb&#10;vWb64hB7qooLJWndeKitrG7A8SKGACm5QZgd+HUk/kb6hw9s1DUU5r9/8jg2LPTUhrXrAqbNGNx/&#10;oKuTs6WpGRsTRUVV4Y92Cn+w55FU6HkkFXbHiJ4xAyTYQwTtGNFpMDS02SNHjqD7iIYMNpAxqaiY&#10;Sw+g1amt35qWnV308VEj0bZx+qOiolAbOnXqBDxoa2sbGho6ODig7zBjxoydO3eeO3cObS8iIgJR&#10;RfN18uTJLVu2TJ061dvb28bGBuzR0NBAxwT4wb7u379fWlqKvfMqx0QlFGqZalxz6HxBRAgk8Cec&#10;ytzc3OvXr2/YsGHgwIEeHh7ogero6IATSkpKiuw9W7qCIf2GBHVg0WNlzzjhL/IKWuqSjo5OwwYN&#10;Xrpw8b5de6IvR8XHxr1KSc3JeldcUMieqeduEaiQXnSSutY2gIeqajpksgDBgOxQVVZR/L4w9202&#10;DPXkcVxU5KVd23dMnzylmycbKUtfWxemhm2V5RWV5NhHAJnl+XUkIAGnA/bny+U11STG+oaW5uYu&#10;Li5+fn7ovcEnZGZmwrAoGETlbCzpMbQutfXoQdbIyTWjCZWVlaWlpZ06dQow6Nixo6ampkQiQcMG&#10;JBBgenp6+vj4ABXw8ogw0PFvjrAyepFeXl6Ojo4mJiZADrHB2dl5/PjxISEh9CpceXk5FUyohUtG&#10;AulvLvyUOTj8hCtB4BgXF3fhwoXt27dPnjwZlcfY2BgBBAjBn3Nlj71y98QH5ODMoMtN8F9IG+kZ&#10;2FrbwDn26tFztN/IWTNmrlu95uSx4zejr79Nz2BfKkYPml9IQejwF/scMlOrxwNCBCkaeeTEnyKr&#10;gimqyivSX72+d/vO6ZOhG9eumzZpCuDq3b2Ho509fL22hqaWRENbogGz89sM7BkkLNSWaMLmhAd2&#10;uU9FFWBub2nd29tn5rTpu3btioyMfPLkydu3b2kENphRWtwPojJLf7QutfV7D7J2TpzAuS8oKEhN&#10;TUWdWL58eZcuXbS0tMAGNDM0bCMjI0ACQgJevvnCto03R1CCbCFXV1d4jX379iUnJxcVFdEXaKUl&#10;a9Qtlf4WamGSVR6I0hBcM9L0V5rjzAISBw8enD59OvoKiEQtLSzglehFXHorgm6NMk4o8Bfo2HIN&#10;VUWldv/f/4AKiYqarqaWhYmpV5eus2cE7Azefj787N1bt18kPct8/Sb37Tt0mdFxxr4glAGO7NKl&#10;SwAD6h7hISkpCQWjuoQVWOkbiQ4Bkv7+L0nX/kJJN/4g6dJGy1EwWtIED04OHUCIj+494O9VNZWl&#10;ZTjw/Ozc7My3aSmpsQ8ewizbt2ydMzOgr4+vjYUlwQDen1044hZW4K8vIM0uIinygTGUVWQRg4Gu&#10;nomhUXsr6z69fBbPXwASA6uy91FQQpSNjEwFRgJFlf1sfWrreICoRlZUsNYFBx0fH//nn39OnTrV&#10;w8MDrQtssLW1RRpC769r167dunUDNjpzYUkzhU2wLTKhDa2trYEHMKNDhw5jx47dsWPH/fv3S0pK&#10;0LClxfpQFzGX/hb6PQUPkpubm5iYeP369SNHjixZssR/lD/7RrG+gQZ//5ZfVmLDvfEYgg/09uGV&#10;OiyhSALA0NHUMjMyceng1KNrN79hwyeOHbdw3vwdW7ddOHM29uGjVy9eog4jAAUGMEfI0rdvX/RI&#10;+vXrt3nzZtRq/FVWl1iN/1jkmv/tr18tcqzInGpyY2EJSfqbr0wJLITR8vLybkRfXxW4ooOdfQdb&#10;u6ANmxLjEwrz8msRKyBgKCt/l5n18H5MWOjpXcE7ViwLnDZ5yuABA708u3R0dLI2t4C5AFp2t5lZ&#10;kl244/EZfyRJXkFRTp4CCEwsrahkamiMk+LvN3Jl4PKTR4/dvn7zxfNkdBZhTBm3UDCkyUptQW0d&#10;DzjldO6p05eTk3Py5MmAgIBOnTrRAyfq6upWVlbw73SNiK4s9erVqycXljRHWLN79+7YFsK2Xl5e&#10;6ELK8kd6+PDhe/fupbFaURhZ2ajx0E+h31E4fRDqGMCPzgcCU/Trd+/aDV/Wv3cfd5eObNA3HV0N&#10;VT68j6q0kwtvBS/GronzZ2nYXWuOCvg79oyTtg5oYWpo5N7RFZwIXLI0ZN/+M3+GxcTEIExJSUlJ&#10;S0s7evQoap2enh7q7YYNGxA9wPlKy/Qh7oGo89ukjuGnbAVKN1GT9T8j6QYfs0G66GNhOe0OQqnQ&#10;HhE9REdFrVga6Ghnb2/TflXg8ugrUU8ex6Ykv0hOenb/9p3w039u3Rw0a8bMYYOHeLi5W5ia6Wnp&#10;IBpD0AArScMC/gYDJgZg/rQYeAwqM07wbzcZ6upZmVsAur7evaZPnroreHv05SupyS9ZQFZRiWJQ&#10;qXAsmKOc+EmH1hYkLi6x1xFw4llTqKt78eLF4sWL3d3dtbW15eXlFRUV1dTUDA0NQQgIXX7IxsYG&#10;aUsuWv6fsrCwMDU1xYbt27dHDuz9TF1dVVVVOTm5du3aaWpqghDz589HF6+yshLFkFVHEhVV6HcU&#10;Th/qGPwdnVZUtrdv3yYlJt26duP4kaNweaOGj3B1cuaEYJ+zV2MfLmavRPA0G68Jrg2ODBNdG5H/&#10;Xzv5P9rxK06q2MrG0gqesa+P79CBg8aNGzd79mzA4MCBA4sWLXJyckI1RrC7bt06urhE3o18MRVM&#10;9pOKSgkS/YSkvxtJ+odvkzSvRoJxqDAoFSyGkOvqlSsrly3v6ORsa2UzY8rU7Vu27t6xc+O69Qvm&#10;zpswZuzg/gN69ejZqaMrjAAvD4spySkotkNYwCIwmI69qU73nBXZuEmY8CfZ4wAwLB9Qz3XMKP/V&#10;y1ceO3TkWtTVl8+SC3Lz2ZW66tr62qZXjVA2lFD6ow2ord+axslGs2G1lTfdR48ejR492tjYWCKR&#10;gArOzs5ubm4dOnQgJEBAAny9+RcKPAAeiChIIwfkSTkjT+wOfx0zZkx0dHR2djY1Y1kJIUoL/Y7C&#10;6cPZRNWS+T44vqrKqorS8rcZmXdu3tqzc9f0yVN6dvNydujgYGtHb2nRFXOGBznm41gMwe+asosk&#10;7HKTAlwhfhI2sCa6zDoamoABKljnzp0RjPbp0wfVjJ7Mnjt3bmRkJKKKrKws+FwEMUVFRfSkHEpF&#10;hKCyQdJyf1DjhUiQ46aFzRHWp/ylv7lkmciyxQpYgiJBKBvihoyMDDTGkP0HAqbN6GBnb2JoBASO&#10;9hs5fPDQ7l272VnbsBBKVV2T37mBTRAZwErcXNJrcTARXUqCifAnGA2rYbmeto6ZkbFDe1t3F1ff&#10;nr1mTp22d9fu29dvZKS9Ye+X0GNR9F56rTRQ4KVui82wreMBQgvBHBUUiXv37g0bNgwe3M7ODm1s&#10;8+bNe/fuDQwMnDRp0tixY0GOUaNGjfwgvy8RNoSQQP7IatWqVejibd26NSAgAP07IGTo0KEXL15E&#10;q6AAonEJKS30+4oqGJ1NqI6/2QtP9D43Lznp2c1r148eOrxp3QZ0kH16epsZmTAwoPNL10N4SEFu&#10;DpBAAh4Qy/FXTFiNPCPbRElJQ0NDT0/P1tYWQSqiUh0dHXQ+vL29FyxYsGfPnrCwMHRBHj58+Pz5&#10;89evX+fn51fxAWOkxfpUTYPXxgqUxgqomdReaMl/iuf6t5ospDTjJb/yhsoPhsXGxl66dCk0NHTj&#10;xo1j/EcDBuz73krK7a2sO9jaW1tYmpuY6mlp49jZ4Ib8VjMFVQp/sHFVldhNBRZvARLEVFgPK9Oa&#10;MKalqZlvT++A6TMQi/x58hSMj1OQl51TWVpeV1VDbGAvT7BnhT8SFb5NSeCB1Xiqo6j3Dx48gN8H&#10;G+CyV65cGRcX9/bt2xs3bqBpbdq0CWE74vQ1XGvXrqVEM4UNadsVK1YEBQVFRUWlp6cnJycfO3YM&#10;2EB7Bo3QxUMLKS8vR2Eal5DSQr+jcPrIucjOI6tp1dV/wQexl7nq62rqaqprit8Xvnj2/Hz4mQ1r&#10;16GP3L1LVxdHJ1srazNjE0M9fU32Eq8iusb8sgm7Wa2pxoeA5TGEbFJXVwceAAnEvki3a9eOHqJF&#10;HOzq6jpgwIApU6YsXrwYlfDIkSOnT5++fPny/fv3ExISUA/pjsWbN29QA1Hnc3JyAI/3799jXlhY&#10;WFZWhl4L4lr4cSQqmi1EAyUlJcihoKAgLy8P2SI+Rv4QdpSampqUlIQo4c6dO2gRKBIKFhwcjEKi&#10;qD4+PlYWFjh8OPd2/9//tCUa7Da+sirCBYkKC60wIT5AlEAvi2AhDAIkwFaAAWihqqispa6hp6Vj&#10;pG8AKjja2Xfp5IH4Y9XyFWfDwlOTX5YXl8D4oHU9gwFOFXvvmh6Wra9mX3mTnTvZ6WtTEniQClUf&#10;7fbx48dw1ojQEZIvW7YsMTER1Rp42LVrF3r6IMT69evJ0SMhSzdHQAuETdA4t23bduvWLbSWly9f&#10;njhxAnu0sbEZPHhweHj4s2fP0BRREmmxPkhaYqHfUziD6IVQR4T/5lNdAzwRHBPSSOS8ffc2PSP2&#10;waOIs+cP7tu/ZuWqyeMn9PXxtTAx1dHQVJZXQL8YDpHdpmbOkY3axC6qKLJr6DQpKymrqqjIy8ur&#10;KCurqakpKipqaWmxUZ5U1RBGIJ5Are7evTuCCaAC0SoqHsLi2bNnwx0jRN6/b/+hQ4fQbT9//vzV&#10;q1fhsmNiYuC74+PjX7x48eb166ysrHdc2e+yc7Lh6T85fSSwB8EKgvKbN28iT3SALly4cPTo0f37&#10;9+/csRPxwZIlS6ZPn454GkIPCbF1//79vby8UFTEPexWvLoEoQAdO4sP/qD7BwwM+CsLoXj8hAQL&#10;ocBIabDFLrthOQsXzMwRgkwYM3bd6jXHjxy9HHHxwb37b9JeV5SUSd8aqaFw4cM4Jeylig/n6GPx&#10;tviPpa1XAg9/Rw8Qoge0mfbt26MJoZuP6AF9H7hyNBv49NWrV8O5Uwwh8/jNFFoCAg4IiZCQEOwo&#10;NzeX8DB69GhED4QH9OMQPVCHheYoJxJUYKFWLJxr9M1RCdE9R+f69u3bqHWoMHCaiGVRQ0xNTY2M&#10;jPT19TU1NeH9afgmzJGGgAF0luE0md+kT5lyNwr/iJ61hiq7Fs/maurog4M3cLtIo3NtqKsHB+rQ&#10;3m7IgEF+w4ZPGDtu9oyAwCVLN6xZt3Vz0I5twfv37A09fiLi3PmoyMvXrkRFX77CJiQ+nq5FXcV0&#10;9dKVqMhLlyMiL12IiDwfcfzwkX279gQHbd0WtGXLxs1rVqycP2fuuNFj/IYO69+7T2e3TlbmFvra&#10;OqxImlpI6Gppa7EoQcLiAGX+tU7+ziAYQBhgDJA+nPrh48/sp4oKYMlHxkXYRJfU0MlzcHDw9PQE&#10;csA/xCUAFRpdTSsdXfVHSOChKR7QGk1MTNAg0Z968uQJ2io6UKdOndqxYwfaKvBAEQBEkGi+OB3W&#10;IgQ5ePAgaiqiB3TKgIcxY8bY29tjv+i1IdwWeGibklVFzBFBghBJSUmokKgVqDCobwEBASNGjEDP&#10;ukOHDhoaGnCFYAP5RMyVlD5ccCc8SF+hUOJXXdhVeCwnT8qYgfiD37DFmkhra2jqa+u2t7QGJJw7&#10;OHZ2c+/epatvz16IXXp79+rXu8+QgYNGDR8xeuSoMaP8x4xk09hRo5tM6J4DLXD9Y/1HY7XRfiP9&#10;/UYOGzSkf5++fXr59vXtjXx8evTs7N7Jyd7BwdbOxsLSWN+QXTf7cGMZhUFAIE2wwIhNWEKhACMf&#10;vznP4ydGDtqQhQ7yigry8rAAwInG6+LiMmjQIJgLjW7fvn1hYWFgLeJyRDP0EoPU4kL/JYGHpnhA&#10;C7SwsOjZs+fKlSufPn2KvkZiYiKaKOoZ3X5A95/cPaWbKR5CsPURhRw7dgzgKSgooHsP/v7+dnZ2&#10;CPbPnTuXkpIi8NDGRXUStbG6uhq9E6ACfi0+Pj4iImL79u3weugOOzo6IsY1NzdHNxnxhLa2Nrvf&#10;QA/qfBjBiVGB0wJLmLfl74XR1RhCBfPFNAgd98twuOR8WVQh0QAzdDS0EGSwSaKBtK6mFvr4mPNJ&#10;u8lkpKdvpG9goKunr6Orp62jp6WNCVvxGwPqjEBYrqXNnPuH4StQMLoDLyskKwbHAFZDAIEl+CtK&#10;SKVFAiSgTfAnLEScAbCZGBhZmJkhVkCvDlH4tGnTgoKCLly4gFaWkZGBhlZRUUFXj6mxSw0t9F8S&#10;ePg0Hry9vZcvX/748WO0T0ACLXP//v1w7gSG1VwUDXyRQIitW7cePXo0Li7u/fv3jS8uDRkyRFxc&#10;astidZGfdBKdesxRP+HaioqK4OkSEhKuXbt29uzZXbt2IZ6YOXMmehWenp7W1tYGBgbwwuRn4V7Z&#10;jWt+/5ZIgDlDhfQmNrs6z0jArzthIX5KAw7eH2cI4V1yup4Dd6zIvqbJJqTZEjmFf07k3BtDCBOW&#10;K3z4UDMLAogH8sy5y5DAvLw6G1+EX/5iVJBN0sPhwJASgn/5WUlOHn8FihDxdPXwHNx/wPSp02CQ&#10;AwcOoBFduXIFET/MVVxcjPYLY8KSZFWIDCvUHAk8/CseVqxYATygZcKJR0VFoeYheiA8sEtLX3hx&#10;CWzAHDkEBwcjYiA8vHr16tSpU+PGjUPHB11CNHvsS+ChbQrnGqEqKiGddzr1mFPNxJ8g1EZ6HCgn&#10;JycpKYm9gL1794IFC0aOHNm7d29XJxeH9rZWZubmJqYmhka6WtpwrOzNYf7yBLy2LFCQdsnJ8374&#10;+g2fyGXzjjyfyCnLJgYeflfgUxNBSDqxPPlEabbwQzTD8uFL4OupeFgi3TUDACMTKMImDh4UFTvV&#10;0dA00NFDoICjs7Wy7tTRtbd3rzEjRy1esHDntu0R5y8gwHr37l1JSQnsAyvBXLCkzJhkPRE9fJEE&#10;Hpriwc/PD30xX19f4AF9EPQ+4LKvXr0aEhIC505enkTXi5qp9evXY46Yd/v27cADwIMW/uzZM3qw&#10;lV6zEPce2rKoEjbxX0jLhGqAv0JIVFVVoXuRlpaGfsaNGzcuXLhw+vTp4C1bVwYunzl12mi/kf17&#10;9/FwdYcb5ZeYmIOG56WYAG6XfHGTSRo9yCZ+cxsTaMFWYA6d38OQevmmE/LnXp6mj/DACvBhOcUu&#10;tJyFAnw4PMahD9vy9ZEhwwnLUFlFhw9H6Obs4tuz1/AhQ6dOmrx00eJtQVuOHjp8PvzMrWs3Ep8k&#10;ZLxJR4AFA0qN9UEyM+JPIASsR0uEmiOBh09ED+bm5l5eXvPmzaNB3u/cuRMaGgrPvnTpUvTUFnIt&#10;WbJk2bJlmDdT2BbrAzkAzM6dO6Ojo1+8eBETE4Pe3+DBgy0tLQcNGoToQdx7aLNidfFj0UJUS6oA&#10;tFAmLKQeMeagBapNfnbOs4TEqMhLhw6E8OdiJw7o08/B1s7extbG0srS1MzU0MhQV99AR5c9uSTR&#10;kF2MYhNFCU3xoIg5d9nsqhTmtBp37n+DgaaP8PABDDwEwRJ28YoS7PIRD0HYqxuq7NUNTXUJAh26&#10;paGnpWOoq2esb4iimhmbWJiatbe0cnPu2M+397TJUzasXYdDu3j+wqP7DzLSXpcWFVeWlleXV9RV&#10;19bXSQcIgaQG4k2bWjesh+W0ArO1UPMk8CAV6g3a4cOHDxGnGxkZWVlZeXh4jB07dtGiRePGjYMH&#10;79WrV48ePbp3796zZ0/Z9x6+QsgHuU2YMCEgIGDq1KkDBgxwdHQ0NTWlew8CD0JfrZrKqtLCoqw3&#10;6YnxCbev34g8fyH89J+7tu9AR3vtqtWL5y+cPmXqWP/Ro4aP6Ovbu7Obe3srazMjYyM9fW0NTc4D&#10;+oCd9G4E5nDi5NabTBpq6owTPI0EtkUEQHHGPycWK3w8IYIBIbQlGtgFQhktdQ1rcwt3F1evLl19&#10;enoP7Nfff8TImdOmBy5esnHtuu1btobs3Xf6ZGhU5OX7d+4+eRybnva6MC+/spS9tUCvKbAXF5AW&#10;+t5q03ggcTqwjgZFD8OGDdPU1NTQ0NDX13dxcQEG7O3tbbnoQRG4cgs+7BISmDdTiA+wFQ2+BPY4&#10;Ozt36tQJc7qpiH0NHTpURA9C36KGWvbZfUCisqy8rLikpLCoqKCworSsIDf/1YuUB3fvXTh77ujB&#10;Q3t27lq5LDBg2gy/YcP7+Ph27ezp3MHR2sLSyszcwsTMzMiEJlMjY/Ti2fNIegZNJnTwDXRAFfYk&#10;EnX5DXT1mqxDE4IVTEb6BiYGhsjQHAGBiZm5sSl2Z2ttAyrYWFgCDP179xk3esyMqdMWL1i4ad2G&#10;Q/tDLl24+PBezOuU1Oyst3nZOUXvC8qLS2sq2FDe1RWVmNinkBgb2NuFAg8/SAIPUhEeYmJiRowY&#10;YWJiAhggVpg1a9a2bdtWrVq1YMECf3///v37o+/v4+PTm6tPnz79mi1ECQMHDhw0aNDw4cMnTpyI&#10;oGTlypXz58/H7lxdXUEORA9nzpwReBD6eqGy8N40exm4rr4eE/uQXH19TW15SSmc7JvUV8mJSQlx&#10;Tx7HPLgRfe1c+JkTR48d3H9gNyKMzUGb129YGbh80bz5C+bMnTtr9vTJU8ePHjuwb79/Tuw9Bp/e&#10;vt69unX2dHPp2KmjW/cu3eDim6yGqV/vPv379B06aPBov5GTxo2fMWXa7BkB82fPXbls+ZZNm3du&#10;C96zY+fhAwfDQk9duhBxLerqnRs3UbakhKcZPEQABnAIsom94cyP6O8jZQfbwBaKNvIDJPAgVWM8&#10;wFl3794dSLh69Wp2dvbLly/v3Lmzf//+NWvWLF26NDAwcDkX/HszhZVpQ5Bmx44diBLi4+PT09Pj&#10;4uL27duHPSJAGTx4MPCQlpYm8CD0dUKHWjrOKOGBXCofNwIJ/LW2qrqmqrqahxelRcWF+e8LcvPe&#10;5+Xn5+YBHvDI8Msxd+/BR1+/Go1QA/DYtnnL1k1BTaaNa9ejj79u9ZrF8xegyz9z2vSFc+dvXr+x&#10;yWqYgjZsBHj27tx1/PCRc2HhUZGXbkZfu339Rvzj2Kz0DOy6IP89ilH0vhDlKSspBcbKS1G4ssry&#10;ChSVjThCDEALICRIwYCjrf8LR8oOlq/AW4rQ95W49yAV4eHhw4dw1sbGxp6ennDocN9YCEIgcerU&#10;qaCgIHp3QfbkEht3qXnC+rQteADqZPCh916/fn3ixImxY8c6ODggsAgLC3v16pXAg9DXScYD7i6l&#10;nrS+ho9N/fGEFejb/Y3XrK2sLiksyn2XnZ319m16ZtrL1GcJiY9jHv5zirlzFxS5d/vOtStXI89H&#10;XIq4iFjk4b2YJqthenjv/qOYB/GxcclJz16nvnqbkYn883NySwqK6qqqmYv/GwDk5aWFoYkCoH9O&#10;DHg1tQ04EMIDrS/0vdWm8QC3CwEM5ItBgsePH48bN87KysrFxSUgIODRo0f4a35+Pjr7wMNGPm7S&#10;5s2bMYfI6TdHWHPTpk3YfMuWLSEhIdHR0QBDQUFBUlLSoUOH/P39O3ToQHgQF5eEvl4fvCqbEDSA&#10;BNW1/IKMdDjSBtR0Hlj8vRoWcm/7F9Zhvri+rrqWxRk1tTXVNdVV1ZWl5Z+aylg3v7gEXX4Qpayo&#10;uKK0DAsbrSCdKkpKMSFRjWigogrhC6jAEEXFkOEBJeFBDysPu31SXcO/GMpIQCVvNLGFnA04rr/p&#10;IqKHH6A2jQe4fghUgBeGkECUMG3aNEdHR1tbWz8/v6ioqJqamnfv3lH0QG9Nw8VjDjwgFGimsH5g&#10;YODq1au3bt165MiR69evp6Wl5eXlxcbG7tq1a/DgwTY2NkOHDr1y5QoWCjwIfaX+9pXc7/Pp7yWy&#10;qZ4FCiyGIHcMZtA67CoN+2vjlSmT/5g4iti8yfJPTdgR8MOAJN0pu/ZFzGDAaLI+lqBUbC69lMRg&#10;RmihzVkO4t7Dj5KIHqQfE4Wqq6uTk5Ph97t3725gYODl5YVuPviBbj6ih9DQUH6V6O8Bvdfw0Vub&#10;KdowKCgIeLh9+zYNBYPoZOXKld7e3ohXEEPExMQUFRVJCyckJCT0SyXw0BQPcOK9evUyNjYGJK5e&#10;vYqQ4v3793Rxibw8+IF1kP6iAOKfeMjPz0di0aJF4BDwMGHChCdPnlRVVUkLJyQkJPRLJfDQFA/w&#10;476+vqampj169IiKigIeCgsLk5KSTp8+TV4eVCAwfDseEJ3Mnj27c+fOwMPUqVOxdxRDWjghISGh&#10;XyqBh09HDyYmJogerly5ghUqKipSU1PDwsI2btwIL7+Gf0kUHp9iiGbqk3hAdDJr1ix3d3fgYfr0&#10;6diLtGRCQkJCv1oCD5+499CzZ09jY2MvLy/gAavV1dVlZmaePXt28+bNMjzQbWqp72+GPomH69ev&#10;Aw9ubm6WlpYzZsxISUmhggkJCQn9cgk8fAIPiB5MTU2Bh0uXLtFq2dnZ58+fh3P/jnh4//79zZs3&#10;AwICOnbsKPAgJCTU0iTw8Il7D71796YXpyMjI2mdnJycCxcuEB7oQ0CbNm1CWur7m6FP4uHGjRsz&#10;Z850cXEBHpAQF5eEhIRajgQe2NtwYAN+1tXVPXv2bMWKFQCDoaFht27dKHrA8rdv3wIPmzdvhouH&#10;4O7p00Dk+psj4AFQQQ6hoaEJCQm5ubmISK5fvz5nzhxXV1dzc/NZs2a9fv2aSiIkJCT0yyXw8GV4&#10;oCAA7v6L8EBbAQ+IHk6dOpWYmIjQIS8vT+BBSEioxUrgoVl4ePfuXUREBF1c+mo8QFu2bAkLC3v+&#10;/HlJSUlhYaHAg5CQUIuVwEOz8JCdnR0ZGQnnTr4e86/Gw5kzZ+iD0iCEwIOQkFCLlcBDc/GA9Nat&#10;W+nVB8yBh7XNfi1OhgfkIPuoQ2lpqcCDkJBQi5XAQ7PwkJOTc+XKlW3btoEKcPdfjQdED+Hh4S9e&#10;vAAbiouLBR6EhIRarAQemouHqKio4OBgGR6gr8NDWFhYcnIy2CDuPQgJCbVkCTxI8QAhgX79mjVr&#10;ZHi4fPkyVsPyrKysyMhIRA/w9aACHD04AadP3v8/RXhAzkFBQYgeUlNTy8rKBB6EhIRasgQe/sZD&#10;dXU1ogc48Z49exoZGXXp0uXixYtYge49IHrYsWOH7NUHRA+YS91/MwRCEB7OnDlDn4QrKioSeBAS&#10;EmqxEniQfi0OqqysfPr06cqVKxE9NMFDbm5udHT0zp074d8FHoSEhNqCBB7+jh4ID8uXL+/atSt9&#10;7+HSpUu0Dt2apujhKy4uQQIPQkJCv5cEHv7GQ01NzfPnz1etWgUwmJmZYR4REVFdXY0V6NZ044tL&#10;SEgdf/Mk8CAkJPR7qU3jgaggw0NdXR0c97Zt24YMGWJjY9OlS5fQ0NDCwkJEFXl5ebdv396/f39w&#10;cDD5enFxSUhIqHWrTeOBRCO2IoFIIisr6+DBg5MnT3Z0dITX3rdvX2ZmZmlpKVx5bGzssWPH9uzZ&#10;QyMvkbuX+v5mSOBBSEjo91JbxwPcMahAc0QP6enp4eHhs2fP7tChg5OT05YtWxITE3NychA9JCUl&#10;Xbp0CcCAr1+7di0Rglx/c4SVEW0g+Lh48WJGRoYMDzNnzuzYsSPwMH369JcvXwo8CAkJtRC1dTwQ&#10;GyhBePjzzz/hsp2dnT09PRFJwJUjeigoKIiPj4+IiNi1a9fq1atXrlyJefPxgDVXrFixePFiJMCY&#10;/Px87LSsrCw6Ohr7cnNzs7GxAZPevHlDpRISEhL65RJ4+AgPgAHhwdHR0d3dHbHC69ev0c2HUlNT&#10;r127FhISAne/hn8wrvnCJps3bwZRtm3bdvPmTYQOhIcrV65MmzaNPgdEX4sT0YOQkFALUVvHA5DQ&#10;GA+ZmZl0ccnJyQlee+vWrYmJiXlcT548oegBocNSruXLl4MTzREFHIGBgYDExYsXsRcQIjc398yZ&#10;MxMmTECkYmVlNWvWrFevXqEYVDAhISGhX6u2jofa2lryyDI8hIWFBQQEgA12dnZIIFwIDQ09derU&#10;nj17Vq1ahSXjx48fN24czcc0T/7+/qNGjcImCBHWrVt38uTJyMhIsAHM6NWrF3bk4OAA3mRlZVGp&#10;hISEhH65BB4+wgMcNKKHuXPnokevqanp6OjYvXv3Hj169O7dG3NXV1e4chsbm/Zctra2+NkcYU1s&#10;hbm9vb2Hh0efPn0owy5duhgbGyN0QGLTpk3Z2dkoDxVMSEhI6NdK4IHhoYELeHj79i369atXr3Z3&#10;d5eTkwMhrK2tO3XqBG/u4+PTtWtXNze3jh07Ah5OTk7o8ndonrAmEQKoQCYDBgzw9vYGewwMDLAL&#10;RCp+fn5HjhwpKCiorq6WlkxISEjol6pN4wFIkLEBAirKy8tTU1NDQkIQNMBxKykpobN/+PDhW7du&#10;nT9/fu/evStXrpw9e/bUqVOnT58eEBAwq3maOXPmNC7EJcj8/v37p0+fxvKePXvS0LAAUnR0NPCA&#10;YkgLJyQkJPRL1dbxIHPHSCB6qKqqys/Pj4qKGj9+PHr3urq66OzDlScnJycmJmL5oUOHNvNhl9bz&#10;F6f5Y6v/LaxMCg4Ovn79em5uLgixatUqxBBmZmZDhgw5evRoUlISPdFE5RESEhL6tRJ4+AgP1dXV&#10;lZWVz58/h+sfOHAgfHenTp3Id4MQN27cOHLkCPBAw2lgnU3NE4EE8507d96+fTsvL+/OnTtLlizp&#10;0qWLubn5lClT7t27V1xcjFBG3HsQEhJqIWrr9x5kAh7IO0MZGRmHDx+eNGmShYWFvb39rl27YmNj&#10;QQjgISQkZM2aNStWrFi9ejUS4ERzhGgDsQI22bp1K6KHt2/fIhAJCAhwc3MzNjaeM2fOixcvACeU&#10;oaamRlogISEhoV8qgYe/JSNEVlbW6dOnZ8+ebWlpaWNjExwcDDykpKQ8ePDg2LFjcPcAA10s4peO&#10;miWCBLK6desWfT0CeOjYsaOBgQF2hMzpLgj2Li2NkJCQ0C+VwENTER7OnDkzf/58eoZ1586d8fHx&#10;aWlpcXFxx48fZ++5cTzwwOALhOghKCjo5s2beXl5165dmzVrlqurq6GhIaKHly9fUvQAScshJCQk&#10;9Esl8NBUwAO9Oz1v3jxra2vgYceOHU+ePAEeMD9x4gS8PAQ80A3qZgpEWb58+caNG+nWNPAAKnh4&#10;eJiZmS1cuPDVq1cibhASEmpREnhoKsLDn3/+OXfuXBkeEDfAgwMPJ0+elOEBAQEIQaL4gLSBD+lK&#10;q0FYQiuvWrWK8FBYWBgdHT1x4kRHR0fgISAgICUlhcYVF5AQEhJqIRJ4aKrGeKBXnZvgAXEAnD4x&#10;gG44YwkxAAs3bdoUFBQEDGAJuwjV6PY11ty8efONGzfev39/8eLFESNGIHMrKyuEKcic8FBXVyct&#10;h5CQkNAvlcBDUzUfDySQgAQwwPvTY6yy2AJzShM8du7ceefOndzc3FOnTvn4+IANTk5OYExGRkZl&#10;ZaW0BEJCQkItQAIPTfVFeAAJMCcA8FCB/Ukm/CQwQMBGcHDwwYMHHz9+DDwcOnTIw8PD3Ny8c+fO&#10;W7dufffuncCDkJBQi5LAQ1M1Hw9w+k3uOpCIBxwfUnJAQUFBu3fvPnHixNOnT/Pz8/fv3+/s7Gxq&#10;atqjRw8sz8nJEXgQEhJqURJ4aKovwsMnBWZgToEFRHhA9LBr167Q0NBnz569f/9+7969HTp0AB56&#10;9eqFNPBQVVUlLYGQkJBQC5DAQ1M1Hw9w+vSRn8WLF8+bNy8gIGD69OkzZsxAetGiRfSxIOIE5lgf&#10;+SB6SExMRPSAiAF4MDMz8/Hx2bNnT3Z2NvDAX3sQ7z0ICQm1CAk8NFVNTQ19UrQJHl6/fp2QkEDv&#10;PVB8gATwMGXKlJ49e3bu3NnNzc3Ozg5Ov0uXLgMGDAAqVq1ahaABAhsAiZ07dx4/fpzwACQ4Ojoi&#10;eujTpw+Wv337tq6ujh5ekpZDSEhI6JdK4KGp4KMRPZw9exYxgb29PQgRFBT04MEDRA8yPCBuAB7A&#10;hvnz5w8aNAjrQA4ODhYWFlZWVtgKqBg5ciQCC4CEWEIXl2TRw969e52cnICHvn37Eh4ABuxaWggh&#10;ISGhXy2Bh6ZCLz4nJ+fKlStr1qxxdnaGx0cQcO3atefPnyOGoItLiAbg7pEAHnx8fLCOh4fHUC64&#10;ewQQlpaW/fv3p+tLshhC4EFISOg3ksBDU9XX1xcUFNy5c2fbtm3u7u7w4AsWLDh//jxCh9jYWOAB&#10;0QDwsHnzZsQECxcu7NGjB/AwYMAAggGA0aVLF/L7FDcAD4g/BB6EhIR+Lwk8NBXwUFxc/OjRI3hw&#10;OHoTE5NZs2adPn368ePHwMOpU6foyhLcPebz5s3r3LmzoaEhYgXAYOPGjUuXLvX19TUzM+vduzeB&#10;ZMWKFVgu8CAkJPR7SeChqerq6oCHuLi4gwcPduvWDXgICAgIDQ19+PAhFv7555+gAggBj485YgXg&#10;wcjICHhYzd+DQ6jh4+Njbm7eq1cvAsPKlSuxpsCDkJDQ7yWBh6YiPMTHxx8+fLh79+4UPcjwEB4e&#10;DjwAA5iDB3PmzPH09ESsMHjwYIoqAAxvb29ra2vgYfny5du2bUMAgeUCD0JCQr+XBB6aCngoLS19&#10;+vTpkSNHvLy8EBkgeoBbf/DgwePHj5GAuwce1nLNnj0b0QO8/KBBg/ATGFi4cGHPnj0RPfTp0wd4&#10;2Lx5M9bHnzAPDg5GngkJCQIPQkJCLV8CD01VX19fVlaGPv4n8XDs2LGNGzdyNLDhNCh6aIyHRYsW&#10;AQ+IJ+D3gQesLMMDIgnCQ15e3r59+wQehISEWrIEHprqx+Fhx44dx48fR1wCPIjoQUhIqIVL4KGp&#10;fhwedvExl5Bzbm7unj17BB6EhIRasgQemurH4QFIOH36dFJSUk5Ozu7duwUehISEWrIEHprqx+Fh&#10;37594eHhz549y87ORiQh8CAkJNSSJfDQVD8ODwcOHDh79uzz588FHoSEhFq+BB6a6ovwMHfuXODB&#10;2Nh4wIAB9DLE4sWL6Suh8PtAxerVq7EQ2rRp08GDB6OiopKSkl68eLFlyxZHR0cbGxs/Pz/sCMAA&#10;HsQXgYSEhFqOBB6aqvl4gNOfN29eYzwgRFi6dGm/fv3s7e2xZMGCBStXriQ8bN68+dChQ9evX0fO&#10;8fHxWNOBa8KECadOncrNzQUeKioqpIUQEhIS+tUSeGiqb8TDsmXLhgwZ4urqOnjwYMIDggxIhgew&#10;AflgZSDExcVlxowZ4eHheXl5Ag9CQkItSgIPTfUV9x5MTExk9x4CAwNHjRrVtWvX4cOHz507d/ny&#10;5VgNfwIekCHwEBsbe+/ePSy3tbX18PCYP39+RETE+/fvgYfq6mrMpeUQEhIS+qUSeGiqL8LD7Nmz&#10;6da0bMwl4GHs2LHe3t5+fn6ABzCAhYgVNm3adPToUeABmdy5cwerAQ9dunRZunTp5cuXCQ814mtx&#10;QkJCLUYCD031FXgwMzMbMmQIfkLLli0bN26cr6/viBEjZs6cCQxs4GM0YSvg4caNG4QHYMPe3h7b&#10;InHlypW8vDzst66uTloIISEhoV8tgYem+go8mJuby/CAaADRQ+/evYGHadOmgRYyPGDbW7duxcbG&#10;Ag8rV67s0KGDh4fHihUrgIfc3FzsF5IWQkhISOhXS+ChqWpra4uKip4/f37w4EG4bxMTkxkzZoSG&#10;hj569IjwsIl/RnT16tWrVq3Cn7p37444ADAgZoAHY8aM8fb2pugBtFi/fj2Wb968maKHuLi4e/fu&#10;YVsHB4fOnTsjerh8+TLhAdGDuLgkJCTUQiTw0FTAQ2Fh4YsXL0JCQjp16mRhYYEg4OTJk4SH48eP&#10;Ex7Q/Ydnnz59uo+PT8eOHUePHk14CAwMBB569Ojh5+eH2ILwAG3ZsoXuPQAPMTExhAe6uAQ8yC4u&#10;CTwICQm1EAk8NBXcdHFxMfBw6NChLl26WFlZTZ48+fDhw/fv3yc8bNy4kfAAEoAcffr0QZAxfvz4&#10;dfwJJYEHISGh1iGBh6aCmy4tLU1JSTl27JiXlxeiB0QGu3btunXrFuEBvh4YgH+H6586deqAAQOw&#10;2pQpUzZs2ABCCDwICQm1Dgk8NBV8NPCQkZERFhYGL29kZAQAwPVHR0cTHihKgH9fvHgx8DBo0CCs&#10;BjyAAfgT3L3Ag5CQUCuQwENTwUdXVFQUFRVdvXq1d+/eurq6PXv2RExw6dIlwgPYAAzAvy9atIjw&#10;0L1790mTJtHylStXCjwICQm1Agk8NBV8dE1NTW1t7cOHDwcOHKitrd2tWzcEChcvXoyNjQUe1qxZ&#10;Q3hYuHAh8IB1vLy8xo8fv3r1aoEHISGhViOBh6aCj4aQgB8fMmQI8NC1a1eQ4Pz587LoAYJ/p4tL&#10;wIO3t/e4ceOADWDgk/cegI1NmzYdPnw4Ojr60aNHsgdbPTw8gIfGr8UJPAgJCbUQCTw0Fdw0hATh&#10;QUdHB9GDDA8nTpyArwceECvA9RMefH19ET1g4caNG+m9h09GD8eOHUP0gBDk/v37sugB0cbVq1dl&#10;eKAyCAkJCf1yCTw01Y/Aw4YNG4KDgxF53Lhx48mTJw8ePAAV7OzsEJcgH4QU+fn5Ag9CQkItSgIP&#10;TfUj8IBNgoKCaFCNhISEhw8frlixwsbGpnPnzkhERUWJ6EFISKilSeChqX4QHjZv3hwaGhoTE/Ps&#10;2bNHjx5hc0QP7u7uWP/yh0E1aL9CQkJCLUECD00lc9PfFw9btmxBDomJicnJyffv31+5cqWjo6O4&#10;9yAkJNRiJfDQVD8CD/gToofIyEiEDgkJCQgX5s2bh+ihV69e2OTWrVuFhYUNDQ21tbXiySUhIaEW&#10;IoGHpvoMHmJjY0+ePEnRwJo1a+D6p02bBjzAy0+aNAnAAAYCAwP9/f29vLwGDx48ffp0wgNW3rRp&#10;U0RERFJS0oMHD44fP47127dv37dv3/379z958qS4uBhgEA+2CgkJtRwJPDTVZ/BA0QMYQHhAoDBz&#10;5kxgwMfHZ8aMGVgCrVy5cvTo0YgesBzwAC0QH2CTLVu2EB7u3bt34MABRBi2trb9+/dHhi9evCgp&#10;KQEYBBuEhIRajgQemurf8HDhwgUZHiDCw1Q+JF/Pnj2RWMW1fPnykSNHAg/YFnhYsmQJVsbyrVu3&#10;Xrx48dmzZ/fv30fEQHjAOqdPn05NTS0rKwMbaL9CQkJCLUECD031STwsWrQIzh1LTp482QQPiAD+&#10;iQcsGTZsWGM8BAUFATAUPRAe7OzsRowYcebMmdevX5eXlxMeRAAhJCTUQiTw0FSfxANFD1gSGhpK&#10;t5pXrFixePHi6dOnDxo0yNfXd+bMmVhOtxnGjRvXt2/fUaNGBQQELF26lAb63rx5Mz25JLu4ZG9v&#10;7+fnd/bs2Tdv3lRUVAg8CAkJtSgJPDTVv+EhIiIiISEBnf0tW7bA4wMP8+fPnzhxYp8+fXrwAb3Z&#10;nQd+7wGuv3fv3ogeJk2aNG/ePLAE6+/evTs6OjolJeXhw4fAw+jRoxtHDwIPQkJCLU0CD031STwg&#10;CLh+/Tr8+I0bNw4ePLhnz56NGzdiId17oFvTYAAWIoAAKgYOHDhy5EjgYcGCBYgbduzYgbDjwYMH&#10;WVlZT548CQkJ8ff3t7GxAULCwsLS0tLExSUhIaGWJoGHpiI8wE3Dj8N96+rqdunSBSS4c/t2wfuC&#10;V6mpN65dvxwZeepk6M7tO5YtXTpl0qQpkyZvDdpyNvzM+bPnTp8M3bBu3Yxp0zEtnL8A65w7e/bS&#10;xUhs/iol5X1+fsKTJ4dDDo0e5W9jbT18+HDg4dWrV4QHwQYhIaGWI4GHpiI3DSF6gPvW09Pz9PRc&#10;unjJ7Rs3S4qKK0pKs7Pe5mS9e/HseVTkpb27dm9Yu27ntuBrUVcz0l5nZ2a9SHp+8fyFHduC+fLt&#10;16OisfxdZlZ+Tm55SWlFaVlSfMKRg4fG+o+2tbZBhBEeHg480MUlaQmEhISEWoAEHpqK2ADFxsYO&#10;4d97cHd3nzt7ztmwcCDhXUbW+5zcqrLytxmZt65dP7T/AEgAd//o/oOi9wWVZeV577Lv3rp9JOQg&#10;lofs2//g7v3i94VYXlZUXFZcUpj3/nHMg/279472G2Vn0x54OHPmTFpamsCDkJBQS5PAQ1MRG5B4&#10;9OgR8KClpcUeMRo+YuO69WdOh0VfiYLHBycexzwMCz0VtHHTmpWrQIIrFy8hbniTmpaU8PR8+Nnt&#10;W7atXbV6y6bNiCRSnienv0pLS0lFIjkx6crFyM3rNwwfMhR4QHRCt6bpvQcqgJCQkFBLkMDDvyou&#10;Ls7f319fX9/MzMyrm9fcWbP37Nh5JOQQJoDh1PGTO7YGL56/EMsDlyzds3MX4HHhzLlTJ06CCksW&#10;LFwwd97SRYt3b99xLvzMhbPnLl+MBCow7d6xc8aUqV6eXcyMTYcOHSrwICQk1DIl8NBUPHhgnvrZ&#10;s2dz5szp0KED8ODi5Dxt8pRtm4N2bd+xYc3alYHLly5cPHtmwOTxE8f5j5k0bsK8WXNWLMPSZQAD&#10;vD8WThw7btL4CYAHX3nRskWLMWEF/Kmzm7uFqZmRvsGYMWMuX76cnZ1dWVkp26+QkJBQS5DAQ1PJ&#10;nlxCp37Tpk2+vr7t27e3sbIeNnjI+tVrD4ccxBSyd9/Obdu3btq8dXPQpnUbNq/fELxl687g7du3&#10;bgsO2rp1U9CGNeuCNmzcsHYdVtgVvB3xBNCyfvWaZYuXDOrX38rMwljf0NLMYtasWffv3y8pKaHB&#10;+MSA3kJCQi1HAg9NBR9Nzhqd+lOnTk2dOtXNzc3c1KynV/cVS5dduRj5PDEpNfkF5knxT58/TUyK&#10;T0h8kvAs4ekznsaExNMn8UkJT5/GPUnkPxPxM/7pjehrB/cfGDNylLW5haWZeTfPLmvXrk1MTKyu&#10;rgaQZPuVlkNISEjol0rgoakoekCitLQ0Pj5+586dffv2tbKwdHboMHHsuDOn/0xLSc16k57+6nXm&#10;6/TM12+aM2H9Vy9Srl2JQkjRv3cfU0Ojjo5OkydOOnnyZEZGBnZXU1MDSIANAg9CQkItRAIPnxbc&#10;NPryJSUlN2/enD17tmvHjlZmFl06dUYAEXn+wtVLl6MuXb5x9dr1qKvNmaIvR505HbZu1ZqhAwfZ&#10;WFqZGRkPHzxk946dT548oaG8wQZIum8hISGhFiCBh08I/po+3Aalp6fv3bvXf9Qo9PctTMx69/JZ&#10;OHfegjlzF8yZF7hk6dKFi5szLVmwaNb0Gf18e9tZ2xjrG3R2c1+7cvX9O3eKiooAIewRu6MrS/RT&#10;SEhI6JdL4OETIjeNOdLFxcV3797dvi14yICBFiamZsYmzg6O7S2tMTnaOTja2TdvwpoO1uYWVmbm&#10;YMPMqdMunDn7Nj2jyddD6+vrRQwhJCTUQiTw0FTw1+SyKVFTU5OTk3P/3r1tQVsmjBnn27NXN88u&#10;bs4d3ZxdPNzc4eubM3m4unVydevetdvwIUOXLFx06sTJ50+TSgqLZEED7VrgQUhIqOVI4KGp2I1p&#10;/mArHDf5bhAiPzfveWLSjavRRw8e2ropaMumzTSBGc2ZtmLljZv37tr958nQOzdvvU59VVJQVFNR&#10;Rbug3ckkLYeQkJDQL5XAQ1M1wQMtqamuqa6oLCooTEtJjY99Eh/3JOFJ/JPHsU9i45ozYf1niUkp&#10;L15kvkkvyH9fXVnVUFuHHWAvst1BVAAhISGhliCBh+YK7hthRFlZWWFh4fv37wu+UEVFRSUlJeXl&#10;5VVVLGgQMBASEmrhEnj4AsGnw7PXcvHQ4oslAgUhIaHfRQIPX6ZvdO7YFoSQskI8wyokJNSCJfDw&#10;BSLn3ljSP/yXmmwohYPAg5CQUAuWwMPXSOrmP37i6POSbikkJCT0m0jgoVmS+viPvTx+SinRDEm3&#10;aZQVJF0kJCQk1PIk8NAswZXDxX8Xh05ZiYtLQkJCLVwCD0JCQkJCn5DAg5CQkJDQJyTwICQkJCT0&#10;CQk8CAkJCQl9QgIPQkJCQkKfkMCDkJCQkNAnJPAgJCQkJPQJCTwICQkJCX1CAg9CQkJCQp+QwIOQ&#10;kJCQ0Cck8CAkJCQk9AkJPAgJCQkJfUICD0JCQkJCn5DAg5CQkJDQJyTwICQkJCT0CQk8CAkJCQl9&#10;QgIPQkJCQkKfkMCDkJCQkNAnJPAgJCQkJPQJCTwICQkJCf1Df/31/wOiQlDDq6U1QAAAAABJRU5E&#10;rkJgglBLAwQUAAYACAAAACEA61svdN4AAAAIAQAADwAAAGRycy9kb3ducmV2LnhtbEyPQUvDQBSE&#10;74L/YXmCN7tJ10SJeSmlqKci2AribZu8JqHZtyG7TdJ/73qyx2GGmW/y1Ww6MdLgWssI8SICQVza&#10;quUa4Wv/9vAMwnnNle4sE8KFHKyK25tcZ5Wd+JPGna9FKGGXaYTG+z6T0pUNGe0WticO3tEORvsg&#10;h1pWg55CuenkMopSaXTLYaHRPW0aKk+7s0F4n/S0VvHruD0dN5efffLxvY0J8f5uXr+A8DT7/zD8&#10;4Qd0KALTwZ65cqJDWKqnkERIFYhgqzQJ+oDwmCgFssjl9YHi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c8wDqPAwAANggAAA4AAAAAAAAAAAAAAAAAOgIAAGRy&#10;cy9lMm9Eb2MueG1sUEsBAi0ACgAAAAAAAAAhABtOjpxA3QEAQN0BABQAAAAAAAAAAAAAAAAA9QUA&#10;AGRycy9tZWRpYS9pbWFnZTEucG5nUEsBAi0AFAAGAAgAAAAhAOtbL3TeAAAACAEAAA8AAAAAAAAA&#10;AAAAAAAAZ+MBAGRycy9kb3ducmV2LnhtbFBLAQItABQABgAIAAAAIQCqJg6+vAAAACEBAAAZAAAA&#10;AAAAAAAAAAAAAHLkAQBkcnMvX3JlbHMvZTJvRG9jLnhtbC5yZWxzUEsFBgAAAAAGAAYAfAEAAGXl&#10;AQAAAA==&#10;">
                      <v:shape id="그림 84" o:spid="_x0000_s1205"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UWxAAAANsAAAAPAAAAZHJzL2Rvd25yZXYueG1sRI9Ba4NA&#10;FITvhf6H5RV6a9ZKKcG4hqQQLL2UGknI7eG+qMR9K+5G7b/vFgI5DjPzDZOuZ9OJkQbXWlbwuohA&#10;EFdWt1wrKPe7lyUI55E1dpZJwS85WGePDykm2k78Q2PhaxEg7BJU0HjfJ1K6qiGDbmF74uCd7WDQ&#10;BznUUg84BbjpZBxF79Jgy2GhwZ4+GqouxdUo2BRlfjpsv0bzjdP2dJR5HEe5Us9P82YFwtPs7+Fb&#10;+1MrWL7B/5fwA2T2BwAA//8DAFBLAQItABQABgAIAAAAIQDb4fbL7gAAAIUBAAATAAAAAAAAAAAA&#10;AAAAAAAAAABbQ29udGVudF9UeXBlc10ueG1sUEsBAi0AFAAGAAgAAAAhAFr0LFu/AAAAFQEAAAsA&#10;AAAAAAAAAAAAAAAAHwEAAF9yZWxzLy5yZWxzUEsBAi0AFAAGAAgAAAAhAAkLBRbEAAAA2wAAAA8A&#10;AAAAAAAAAAAAAAAABwIAAGRycy9kb3ducmV2LnhtbFBLBQYAAAAAAwADALcAAAD4AgAAAAA=&#10;" stroked="t" strokecolor="black [3213]" strokeweight=".5pt">
                        <v:imagedata r:id="rId103" o:title=""/>
                        <v:path arrowok="t"/>
                      </v:shape>
                      <v:shape id="Text Box 87" o:spid="_x0000_s1206" type="#_x0000_t202" style="position:absolute;left:14478;top:2692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4F048325"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v:textbox>
                      </v:shape>
                      <w10:wrap type="square"/>
                    </v:group>
                  </w:pict>
                </mc:Fallback>
              </mc:AlternateContent>
            </w:r>
          </w:p>
          <w:p w14:paraId="3C6DEA82" w14:textId="77777777" w:rsidR="00094D21" w:rsidRPr="008F328C" w:rsidRDefault="00094D21" w:rsidP="008A03B2">
            <w:pPr>
              <w:pStyle w:val="a3"/>
              <w:ind w:left="4297" w:hanging="180"/>
              <w:rPr>
                <w:lang w:val="pl-PL" w:eastAsia="ko-KR"/>
              </w:rPr>
            </w:pPr>
            <w:r w:rsidRPr="008F328C">
              <w:rPr>
                <w:rFonts w:eastAsia="Times New Roman"/>
                <w:b/>
                <w:bCs/>
                <w:lang w:val="pl-PL" w:eastAsia="ko-KR"/>
              </w:rPr>
              <w:t>a</w:t>
            </w:r>
            <w:r w:rsidRPr="008F328C">
              <w:rPr>
                <w:rFonts w:eastAsia="Times New Roman"/>
                <w:lang w:val="pl-PL" w:eastAsia="ko-KR"/>
              </w:rPr>
              <w:t>. Przyjrzeć się lekowi i potwierdzić, że płyn jest przejrzysty, bezbarwny do bladobrązowego i wolny od cząstek stałych.</w:t>
            </w:r>
          </w:p>
          <w:p w14:paraId="5FCA5ACF" w14:textId="77777777" w:rsidR="00094D21" w:rsidRPr="008F328C" w:rsidRDefault="00094D21" w:rsidP="008A03B2">
            <w:pPr>
              <w:pStyle w:val="a3"/>
              <w:numPr>
                <w:ilvl w:val="0"/>
                <w:numId w:val="0"/>
              </w:numPr>
              <w:tabs>
                <w:tab w:val="left" w:pos="3861"/>
              </w:tabs>
              <w:rPr>
                <w:lang w:val="pl-PL"/>
              </w:rPr>
            </w:pPr>
          </w:p>
          <w:p w14:paraId="710AB261" w14:textId="77777777" w:rsidR="00094D21" w:rsidRPr="008F328C" w:rsidRDefault="00094D21" w:rsidP="008A03B2">
            <w:pPr>
              <w:pStyle w:val="a3"/>
              <w:numPr>
                <w:ilvl w:val="0"/>
                <w:numId w:val="17"/>
              </w:numPr>
              <w:ind w:left="4297"/>
              <w:rPr>
                <w:lang w:val="pl-PL"/>
              </w:rPr>
            </w:pPr>
            <w:r w:rsidRPr="008F328C">
              <w:rPr>
                <w:rFonts w:eastAsia="Times New Roman"/>
                <w:b/>
                <w:bCs/>
                <w:lang w:val="pl-PL"/>
              </w:rPr>
              <w:t xml:space="preserve">Nie używać </w:t>
            </w:r>
            <w:r w:rsidRPr="008F328C">
              <w:rPr>
                <w:rFonts w:eastAsia="Times New Roman"/>
                <w:lang w:val="pl-PL"/>
              </w:rPr>
              <w:t>ampułko-strzykawki, jeżeli płyn jest przebarwiony (żółty lub ciemnobrązowy), mętny lub zawiera</w:t>
            </w:r>
            <w:r w:rsidRPr="008F328C">
              <w:rPr>
                <w:lang w:val="pl-PL"/>
              </w:rPr>
              <w:t xml:space="preserve"> </w:t>
            </w:r>
            <w:r w:rsidRPr="008F328C">
              <w:rPr>
                <w:rFonts w:eastAsia="Times New Roman"/>
                <w:lang w:val="pl-PL"/>
              </w:rPr>
              <w:t>cząstki stałe.</w:t>
            </w:r>
          </w:p>
          <w:p w14:paraId="426A24C1" w14:textId="77777777" w:rsidR="00094D21" w:rsidRPr="008F328C" w:rsidRDefault="00094D21" w:rsidP="008A03B2">
            <w:pPr>
              <w:pStyle w:val="a3"/>
              <w:numPr>
                <w:ilvl w:val="0"/>
                <w:numId w:val="0"/>
              </w:numPr>
              <w:rPr>
                <w:lang w:val="pl-PL"/>
              </w:rPr>
            </w:pPr>
          </w:p>
          <w:p w14:paraId="7D10E124" w14:textId="77777777" w:rsidR="00094D21" w:rsidRPr="008F328C" w:rsidRDefault="00094D21" w:rsidP="008A03B2">
            <w:pPr>
              <w:pStyle w:val="a3"/>
              <w:numPr>
                <w:ilvl w:val="0"/>
                <w:numId w:val="17"/>
              </w:numPr>
              <w:ind w:left="4297"/>
              <w:rPr>
                <w:b/>
                <w:bCs/>
                <w:lang w:val="pl-PL"/>
              </w:rPr>
            </w:pPr>
            <w:r w:rsidRPr="008F328C">
              <w:rPr>
                <w:rFonts w:eastAsia="Times New Roman"/>
                <w:lang w:val="pl-PL"/>
              </w:rPr>
              <w:t>W płynie mogą pojawić się pęcherzyki powietrza. Jest to normalne zjawisko.</w:t>
            </w:r>
          </w:p>
        </w:tc>
      </w:tr>
      <w:tr w:rsidR="00094D21" w:rsidRPr="00A5286D" w14:paraId="3CD74BE2" w14:textId="77777777" w:rsidTr="008A03B2">
        <w:trPr>
          <w:trHeight w:val="5669"/>
        </w:trPr>
        <w:tc>
          <w:tcPr>
            <w:tcW w:w="9634" w:type="dxa"/>
          </w:tcPr>
          <w:p w14:paraId="346C871B" w14:textId="77777777" w:rsidR="00094D21" w:rsidRPr="008F328C" w:rsidRDefault="00094D21" w:rsidP="008A03B2">
            <w:pPr>
              <w:ind w:right="1248"/>
              <w:rPr>
                <w:rFonts w:ascii="Times New Roman" w:eastAsia="Times New Roman" w:hAnsi="Times New Roman" w:cs="Times New Roman"/>
                <w:b/>
                <w:bCs/>
                <w:spacing w:val="-1"/>
                <w:lang w:val="pl-PL"/>
              </w:rPr>
            </w:pPr>
          </w:p>
          <w:p w14:paraId="4287F093" w14:textId="77777777" w:rsidR="00094D21" w:rsidRPr="008F328C" w:rsidRDefault="00094D21" w:rsidP="008A03B2">
            <w:pPr>
              <w:ind w:right="1248"/>
              <w:rPr>
                <w:rFonts w:ascii="Times New Roman" w:eastAsia="Times New Roman" w:hAnsi="Times New Roman" w:cs="Times New Roman"/>
                <w:bCs/>
                <w:lang w:val="pl-PL"/>
              </w:rPr>
            </w:pPr>
          </w:p>
          <w:p w14:paraId="7425021A" w14:textId="780FEE19" w:rsidR="00094D21" w:rsidRPr="008F328C" w:rsidRDefault="00094D21" w:rsidP="008A03B2">
            <w:pPr>
              <w:ind w:right="1248"/>
              <w:rPr>
                <w:rFonts w:ascii="Times New Roman" w:eastAsia="Times New Roman" w:hAnsi="Times New Roman" w:cs="Times New Roman"/>
                <w:bCs/>
                <w:lang w:val="pl-PL"/>
              </w:rPr>
            </w:pPr>
            <w:r w:rsidRPr="008F328C">
              <w:rPr>
                <w:rFonts w:ascii="Times New Roman" w:eastAsia="Times New Roman" w:hAnsi="Times New Roman" w:cs="Times New Roman"/>
                <w:bCs/>
                <w:noProof/>
                <w:lang w:eastAsia="ko-KR"/>
              </w:rPr>
              <mc:AlternateContent>
                <mc:Choice Requires="wpg">
                  <w:drawing>
                    <wp:anchor distT="0" distB="0" distL="114300" distR="114300" simplePos="0" relativeHeight="251658347" behindDoc="0" locked="0" layoutInCell="1" allowOverlap="1" wp14:anchorId="6103979C" wp14:editId="5BEC4203">
                      <wp:simplePos x="0" y="0"/>
                      <wp:positionH relativeFrom="column">
                        <wp:posOffset>125095</wp:posOffset>
                      </wp:positionH>
                      <wp:positionV relativeFrom="paragraph">
                        <wp:posOffset>104140</wp:posOffset>
                      </wp:positionV>
                      <wp:extent cx="2124710" cy="2768600"/>
                      <wp:effectExtent l="0" t="0" r="8890" b="0"/>
                      <wp:wrapSquare wrapText="bothSides"/>
                      <wp:docPr id="1027" name="그룹 1027"/>
                      <wp:cNvGraphicFramePr/>
                      <a:graphic xmlns:a="http://schemas.openxmlformats.org/drawingml/2006/main">
                        <a:graphicData uri="http://schemas.microsoft.com/office/word/2010/wordprocessingGroup">
                          <wpg:wgp>
                            <wpg:cNvGrpSpPr/>
                            <wpg:grpSpPr>
                              <a:xfrm>
                                <a:off x="0" y="0"/>
                                <a:ext cx="2124710" cy="2768600"/>
                                <a:chOff x="4506" y="0"/>
                                <a:chExt cx="2125222" cy="2768600"/>
                              </a:xfrm>
                            </wpg:grpSpPr>
                            <wpg:grpSp>
                              <wpg:cNvPr id="1057" name="그룹 1057"/>
                              <wpg:cNvGrpSpPr/>
                              <wpg:grpSpPr>
                                <a:xfrm>
                                  <a:off x="4506" y="0"/>
                                  <a:ext cx="2125222" cy="2768600"/>
                                  <a:chOff x="4506" y="0"/>
                                  <a:chExt cx="2125222" cy="2768600"/>
                                </a:xfrm>
                              </wpg:grpSpPr>
                              <pic:pic xmlns:pic="http://schemas.openxmlformats.org/drawingml/2006/picture">
                                <pic:nvPicPr>
                                  <pic:cNvPr id="1058" name="그림 1058"/>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bwMode="auto">
                                  <a:xfrm>
                                    <a:off x="4506" y="0"/>
                                    <a:ext cx="2125222" cy="2607310"/>
                                  </a:xfrm>
                                  <a:prstGeom prst="rect">
                                    <a:avLst/>
                                  </a:prstGeom>
                                  <a:noFill/>
                                  <a:ln>
                                    <a:noFill/>
                                  </a:ln>
                                </pic:spPr>
                              </pic:pic>
                              <wps:wsp>
                                <wps:cNvPr id="1059" name="Text Box 1059"/>
                                <wps:cNvSpPr txBox="1"/>
                                <wps:spPr>
                                  <a:xfrm>
                                    <a:off x="1371600" y="2622550"/>
                                    <a:ext cx="719758" cy="146050"/>
                                  </a:xfrm>
                                  <a:prstGeom prst="rect">
                                    <a:avLst/>
                                  </a:prstGeom>
                                  <a:solidFill>
                                    <a:prstClr val="white"/>
                                  </a:solidFill>
                                  <a:ln>
                                    <a:noFill/>
                                  </a:ln>
                                </wps:spPr>
                                <wps:txbx>
                                  <w:txbxContent>
                                    <w:p w14:paraId="489BA11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60" name="Text Box 1060"/>
                              <wps:cNvSpPr txBox="1"/>
                              <wps:spPr>
                                <a:xfrm>
                                  <a:off x="1162050" y="7620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B734A" w14:textId="77777777" w:rsidR="006D7011" w:rsidRDefault="006D7011" w:rsidP="00094D2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03979C" id="그룹 1027" o:spid="_x0000_s1207" style="position:absolute;margin-left:9.85pt;margin-top:8.2pt;width:167.3pt;height:218pt;z-index:251658347;mso-width-relative:margin;mso-height-relative:margin" coordorigin="45" coordsize="21252,27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P87WwQAAPwMAAAOAAAAZHJzL2Uyb0RvYy54bWzcV8Fu4zYQvRfoPxC6&#10;b2wpsZ0IcRZp0gQLpLvBJsWeaYqyiEgkS9Kx098p0F9oC/SL2p/oG0qyYydFN2mxhx7WOyRnyJnH&#10;N4/K8dtVU7N76bwyepqke8OESS1MofR8mnx/e/HmMGE+cF3w2mg5TR6kT96efP3V8dLmMjOVqQvp&#10;GDbRPl/aaVKFYPPBwItKNtzvGSs1FkvjGh4wdPNB4fgSuzf1IBsOx4OlcYV1RkjvMXveLiYncf+y&#10;lCJ8KEsvA6unCXIL8dfF3xn9Dk6OeT533FZKdGnwV2TRcKVx6Hqrcx44Wzj1ZKtGCWe8KcOeMM3A&#10;lKUSMtaAatLhTjWXzixsrGWeL+d2DROg3cHp1duK9/eXzt7YawcklnYOLOKIalmVrqH/kSVbRcge&#10;1pDJVWACk1maHUxSICuwlk3Gh+NhB6qogDzFHYyG44RtQkX17SZ4lGXZk+BBf/ZgK6P1oM0UqV87&#10;pgrQbjiaJEzzBgT745df//zpNxanupJeUONuro/KfDZTnv/3ZVolcvzrbhvWk9v+565AVFg4mXSb&#10;NJ+1R8Pd3cK+ATEtD2qmahUeYpOBgpSUvr9W4tq1gy300eQb9H/+ndA/pNaiKHJswziVdWXEnWfa&#10;nFVcz+Wpt2hR3CB5D7bd43DrzFmt7IWqayIl2V11aOeddngGoLbVzo1YNFKHVjucrFGo0b5S1ifM&#10;5bKZSfDJvStSkBK6FcAo65QOrVB4Jz4iX+TKcx+cDKLq897kRlV4NBSbLb8zBTbgi2CiOOw01OeR&#10;bTyc7KPB6Jy+LQCk8+FSmoaRgYSRVDyB3195Sg+uvQvlqg3BFtOu9dYEHGkmYk1JdyZqoCaDJvse&#10;ZYye4Pwi2bmpuJXIkrbdYs9Rz55bardvzIr4c0QVd64kTyyssNIxhebbbDeQdCqV7k9S0iASnGyc&#10;ZaNRp0d9K0/SownYGQUrPRgP2/XXY+tNrYqelQT6We3YPcd7s6xUkN3FbXn9zR1sqiIrrGarqG5H&#10;sZVoamaKByDhDK4cFXorLhQOvOI+XHOHdwuTeIvDB/yUtVlOE9NZCauM+/G5efLHvWI1YUu8g9PE&#10;/7DgJB31O40bx5ahN1xvzHpDL5ozg1LRLsgmmghwoe7N0pnmE57oUzoFS1wLnDVNQm+ehfY1xhMv&#10;5OlpdGoV6ErfWOhWGolNwN6uPnFnO8oH3Od703OK5zvMb31jn9pT9N+Fim2xQRFEpwH4Ha3u4fti&#10;pB8Di1YyH5Eek68kfTrOiMhE+gnMHcofjg5HGVbpjU6HByn64t/pyRab47eaXLN+Nm/FHAr5uDNq&#10;zcDH8T6yfE6AeC7j11onX3Q1bYNHKzzUkqJq/VGWaIr4NRIvl74TN2dzISDu/fnRm7xKiN9LAjt/&#10;Cm2zeknwOiKebHRYBzdKGxer34GsuOtTLlv/jpy+rZsg2KjBWhj/R2oggvtCehCbvkXuiQLgExtz&#10;W9/wj8fRf/NHy8lfAAAA//8DAFBLAwQKAAAAAAAAACEAEmhIyBgOAQAYDgEAFAAAAGRycy9tZWRp&#10;YS9pbWFnZTEucG5niVBORw0KGgoAAAANSUhEUgAAAgAAAAJ0CAYAAABky5stAAAAAXNSR0IArs4c&#10;6QAAAARnQU1BAACxjwv8YQUAAAAJcEhZcwAAIdUAACHVAQSctJ0AAP+lSURBVHhe7L13WFR32j7+&#10;+3uT3WxiNEqx0nsvgooVe0XsBREQBAQBafbexd4r9t57ib333o0xvSe72Xd3v+/7/D73MxwykjMI&#10;CgjOc1/Xfakwc2bOmfE899P/P4VLiveEQqFQKBSaDWH7/797M2bMoE8//VQoFAqFQuE7zpycHFK2&#10;/z4LAPxAIBAIBALBuw/YfBEAAoFAIBCYGUQACAQCgUBghhABIBAIBAKBGUIEgEAgEAgEZggRAAKB&#10;QCAQmCFEAAgEAoFAYIYQASAQCAQCgRlCBIBAIBAIBGYIEQACgUAgEJghRAAIBAKBQGCGEAEgEAgE&#10;AoEZQgSAQCAQCARmCBEAAoFAIBCYIUQACAQCgUBghhABIBAIBAKBGUIEgEAgEAgEZggRAAKBQCAQ&#10;mCFEAAgEAoFAYIYQASAQCAQCgRlCBIBAIBAIBGYIEQACgUAgEJghRAAIBAKBQGCGEAEgEAgEAoEZ&#10;QgSAQCAQCARmCBEAAoFAIBCYIUQACAQCgUBghhABIBAIBAKBGUIEgEAgEAgEZggRAAKBQCAQmCFE&#10;AAhKFf/3f/9H//3vf+nf//43/f777/Tbb7/RTz/9RD98/wN99913+fz666/p8+ef0/PPPis+nz+n&#10;r776ir779tv84/34ww/0808/8+vhdfH6//u//8vvRyAQCAQiAASljP/3//4f/fLLL2ygnzx+TDeu&#10;X6eTJ07Sgf37afeuXbRzxw7m2jVraM6sWTRtypRic8a0abRq5UrasX07H2vP7t109MgROnfmLL/e&#10;40eP6AclCP71r3+xGBEIBAKBCADBawKeNDxqGNTf//k7e/XfKg/8ixcv6NnTp/Tw4UO6c/s2Xb1y&#10;VRn8E7Rv7z7avGkTLV+6VBntqTRqxEjKzsyizPQM5sDYWOrcsSO1admy2GzXujVF94+ijLQhfKxh&#10;Wdk0Yew4mpUzk5ap19u0cRMdPnSYLpw/T9evXeP39eDBA3r27Bl98cUX/L7x/v/xj3/Qf/7zH4kU&#10;CAQCs4AIAMFrAQYSxvLXX3+lp8rgX7xwgfbu3kO5K1fRbOXJjx41ihLjE6hPz57UvWtXCu8URp3a&#10;d6C2LVtRaJOm1CSkITWsV59C8hgcEEjeHp7k6epWbHq5uVOgnz+FBNfjYzWs34CaNmpMzZs2UwKh&#10;FXVs1566hnVW76UXRfWLpKTERBo5fLgSCDm0bu1a2r9vP509c5YeKlGA1IGWLhAIBIJ3GSIABK8E&#10;DP0///lP+v777+n5Z8+VoXxIt27eYo/66NGjtHH9epo9cxYNyx5KsdEx1LVzODVr3JiNc+3qNcoN&#10;69SoSQ42tuTt7kGNQ0KoixIFCXEDaeSw4ZQzfQatyc2lA/sP0LmzhtTBo4cP6csvvqCffvwxP30g&#10;kQGBQPCuQASA4E+AkTMmvPzPPvuMTp08RWtXr6HpU6dSZtoQio7sT507dmKvvlnjJuyBB/j6sYF1&#10;dXIiu9p1dA3x26RNzVpkX8eGXBwc+X1y5KBefY4YtG7RkqMU/fr0pdTkwTRzxgzasX0HXb54ib78&#10;8ksuKERNg/G1EQgEgooKEQCCfMC4/c///A/9qDxeGHzkyi9dukSHDh7iUPnkiRMpXnnMMPoI38PD&#10;h1etZ2grMl0dnaheYF3qFt6F6wpmz5zJ9QtHDh+hy+p6PLh/n7548QXXDUhhoUAgqKgQASDIB4w/&#10;wvzXrl6l9evW06QJEzhE3r1LV2oV2pw9ZT9vH/JQht/Jzr5cevglQdtatcnR1o4FTpB/ADVqEEKt&#10;m7egXt17UEpSMs3OmUm7du6ia9eucQEh0iMCgUBQ0SACwIwBg4+e+adPnnDO+7j6/Ldt2cLV84MS&#10;EjkcXtfPnz3id9HTLy7dnV04zdGzW3fuNoAQ2LhhIx07epRu3rjB8wh+/vln+re6rpIeEAgE5R0i&#10;AMwYCGFfunhRefvraNyYMTQgKpratmpN9YOCydfTi9ycnDlfjry5nkE0N+I6IPKByECAjy9fJ3Qa&#10;xERF0aSJE2nnzp10984dvq4iAAQCQXmHCAAzwn/+/R/2+FHFj0r3rcrbR09+Ynw8dWzXjoICArhK&#10;Xs/4vS4ROdCMJkRFUEAgh9Rb5LfoteNq/O7hXQzs0pVD7ZF9IyhuwADFWIqLGcAFh/3Uz8C+vftQ&#10;T/WYLp3DXyJaDTu0bUdtlIhp1aIlNW8WymmLAD9/bjFEJAPhfb33+bq0UccLDgykzp06UXpaGs2f&#10;M5d2KSGAtkjUCmDC4b9+/z3vExAIBILyAxEA7zCMq9XR145q/iuXr3Alf1pKCvfHI6Tto4yji6Mj&#10;e/t6Rq64hNHXCEER6OvHBj+sY0c27HjtsaPHcOvd0sWLOQKxdfMWJqb57du7l86cPk337t6l+8qI&#10;3lFe9eXLl+n06TN06tRpOn78BO3ds5fD7xvWb8jn2jVradHCRTQzZyZNUcJmjHoNpDJ69ehJ7du2&#10;pZD69dV5GtIZGmuDOudQHOK6QVxA4GC+AWYfDB86lFatWEFn1Pv95ptv8ocLaRQIBIK3DREA7zDQ&#10;v88e//0HdPrUKdqyaRNNmzyFBiqvOrRxE85pl4RHjFQBogfo/W/Xug3PAejbuze/TnpqmjL2oyln&#10;2nRaMH8+5a5axUb+8KFDbByvKMMOQ4+ee/DJkyf0+eefcycCquv/6Ez4iV588QU9//wFPX32Gd29&#10;d5+uXLmqhMGVfF68eIlOnDhJhw4dpn37D9COHTtp1cpVNEd55ZMnT6ZhQ4dR4sB4FiEYCtQ1vAt1&#10;UCKoRV6kAELoTa+HXZ06nB7AhEKkVCaMG8/XHREBDExCegCfi0AgELxtiAB4h6B5+jCaMDI/K2Nz&#10;VRnG9WvXUeaQdPb40b7n5e7BYfni5vbhMeM5MJLoAIDn62zvwD306J3PSs9QXv105fmupL27d3N9&#10;AYweWgoxIvirL79kbxidBjCE2BGA3npU0aOdTiMMPt4/zgNT+f6hHvPNN9/SM2X4nzx9ls/HT56+&#10;xEePn9CDh4/onhI84J279+jmzVt07dp1uqzEwvnzF1ggHDhwkLZt204rlTiYOXMWjRgxkgbGDaT2&#10;bdpyhwPOC+eH8wQ5UqBzPfSIx2rXxdPNnRrWr88RgXFKBCE1gGgGBgvh/GTksEAgeJsQAfAO4f+U&#10;Qfnt11/phfKg4XFu27KVpk+Zyp54S+XlwuN/nTA/jBoMIQwaPGV4+cjTx8fGUVZGJhv91bm5vIQH&#10;Xj0q4j979owN/OsARhEiACIBOwUQvTh48BDt2bOXDh0+QqfPnKWbt27Ts8+ec0SgqMTjIRQgDq5f&#10;v0Fnz53n421VYmCFEi1TJk+hlOTB1L9fJNcYoJ4AA458PL2ozmsWQmopENQ6YLgQZgps37qV5ytA&#10;DEHwyNhhgUDwNiAC4B0Ae/553jIW3Hx67BhNmTiRC+rg8SNE72Br99oeP3riPVxceRYACvIwEGjD&#10;uvV0/uw5XqaDNAOMNWoMsFAHRg3vBR786wDng+Mh/79jxw4aN3YsZWdlU2ZmFk1WRnqlMtafHj/B&#10;xvwzrBDWMfZ6xGNBCAGkEfD8h48e0/0HD+n2nbt0TYmCc0oU7Nu3n9asWUvTp02nIWlDWPDAo4cI&#10;wvXgiEARowJ4LKIJiLjgGiIi0Kt7d5o2dSpdvHiR5whA7Eg0QCAQlDVEAFRgwGAgTw6D++jRIzb8&#10;y5YsUV55BoV36sS5aBgePcNUGGHwfb28OKePaXjIm6NNcOH8BbRl82Y68elxunP7Dhuv0vBeIRww&#10;hXCpOpchaWnUqUNHbk8EkbcfGBtHCxcuonPnL3AtgJ6xLy41YYA0AqILiA7s33+A1q/fQNOnz6DU&#10;wSm8cbCbElVYZuTj5U2Or3Ft8XlgtgLqJEYOH0G5q3J5xDJSJfgcBQKBoKwgAqACQwuVo2Bu9+7d&#10;lDlkiDKSrcjZwbHYuWtjYrseitgGDxpEixYs5HW+2Kf/+++/8+vBu4fwKC2vFcfev28fdencmfy9&#10;fTiMruXj4U3Dk06IT+A8/sVLl3UN+uuwYIRAqzOAyLh67TrXDixZvIRSlBhora4PUgN61+9VRBQB&#10;5wGhBVEzbsxYLopE1EMgEAjKCiIAKiBgeH/+6Wd6/OgxHTp4kObOmUvJiYN4mQ089+IafoS3GwQF&#10;8z5+zPqHQcIefUMh3yWuyi/LynW8FjoFkH+Hx1zwfPB+kadfvXoNnTlzVteYlyQhBpAqgAj49NPj&#10;tGHDRpo1azYNHzqMUyKdO4XxCmLUWBi/z6IQrYOYuJiZnk4rli1XYuskvXjxglMpkhIQCASlCREA&#10;FQwIj8MTx+567N8fmplF9esGsVcMr7KoeX48DgWBMLB4fmREBG/5O3DgAN27d+8lj1/z9ssKEABY&#10;voPWQr33DgHQp3cfWqy88ePKYOoZ7ZKmcd0AOg1QM3D27DnatWs3TZ06jaKjY6hxSEO+nriuRY3A&#10;aJ8D0jUd2ral8Up8nThxgjsnkBLA5y1CQCAQlAZEAFQwoJ3u1MmTtHjhIoPX37wFG52iGn4QoWeM&#10;scUEvtTBg7mKH7n9s2fOcBEh5tmXpcdfEJoAQK5c7/2/DQFQkGhJRDcBZhEgNYCWwvHjxnMEJVxd&#10;V0QEMBxI7/3rkesuPL248yAtJZWWL11K58+d588bAkwgEAhKGiIAyjngecMLhDcIw3zi+AmaMmky&#10;L6TBPnt4j0X1NJFLR0dAg+Bg6t+vH02fNo0X2aAADXUEeA0Y39LK7RcVFUEAgFpUAIWDiAhgUuHW&#10;rdu4nTA6KpqaNGyU14FhyyODa9f487loxGeofUbuLq7cZjl39hyuv8DcBIkGCASCkoYIgHIOFNyh&#10;n/76tWu0bs0aGpadzTPv6/oHcJhZz5gUJB6HKXctmjXj3v2pykBt2rhReZjneGYABvHAuJQXVBQB&#10;YEyIARQLXrp8hSMCq1bl0oTxE3iXQcvQ5nz9izODAZ8vOgVGjRjBnxW2NaLNEtEAEQECgaAkIAKg&#10;nAJeOG72yMXfv3ePVi5fzl5hvcC6RQ754zF4rJ+XNw+iGZKayvP2keOHV6n16sOglCejUhEFgNY9&#10;AKJ7AGIANQIbNmzgVsZ2bdpSgK+hLdO2dh3d8zImPjvUdDRp2JC3Da7JzeW6D0RqcH3Kk2ATCAQV&#10;EyIAyiFgjBHyRZ+9IeQ/ifr26s2b9GD8ihLyh9ePdr5uyoscMWw4V5gj3P9AGRG0m6G4r7x6khVR&#10;ABTkUyUCUCOA8cPbt++gObPnUFpqGnUJ72L4HB0ci/Q5orMAw4MGREfT7Jmz1Gd4jIcvoUtAIBAI&#10;3gQiAMoZ4NnBOGONLBblzJwxgzfMITdc1Fy/VlCGmQBTJ02ms6fP0FdffpVfT4DjI62A6AKm+OFP&#10;/BtV/+XBs6xIAkDz/OH1w+Dfun2Hrt+4ybx79x63D+J3+DeWE02cOIm6d+tO9YKCuT4AXr7eORoT&#10;nztSCO1ateb6jzNnznDqBhEiiQQIBILXhQiAcgYU+mHK3pZNm3miX8e27bjFryghfxgKP28f6tCu&#10;HdcKrF+7li6cP09ffvkle4wwrDD2t27epNWrcrnlbGhWNk0YN47WrF5N586eKxfDaCqSAIDxxyhh&#10;bCLEXILx6loi5J8xJJ3mz5tPe3bvoatXr/FiIjwG0wWXL19BI0eMpB5KCDSoV5/slbjTO09jQtQh&#10;lWOYGZBBu3fupK+++koiAQKB4LUhAqCcAJ4cwv5Yibtl8xZKG5xC/j6+usagIGH4kVvGZLqunTtz&#10;4diRw4c5X4w8vwYU+92+dYv35kf07p1fmIZpe/36RvCoX6zmfdtFgRVFAMD7h3d/4cJF2rJ1G08I&#10;bNq4MYftPV3dqHfPXjwjAOuJIQC0yYL4O4QAugUi1HUPDgjkz68oER58XkH+ATRaCYhTp07JvACB&#10;QPDaEAFQToAQPObfb1y3nhLiBnLYH0ZBzwgYE7l+FwdH7h/HZr7clSuVJ3+WQ8QI9RsbcniMmB+A&#10;9bQY/qOlFeBdwghF9YvkWgGkHl53k19JoCIIAM34I+S/KjdXGf/B1KZVK/JwdSU7ZaRhqFHJ37tH&#10;T1q4YCGvIUZhICIGEAFYPHTk6DFapq43PHqsai7K3AB8Xvi827RsxTMc8H2BaIPYK8thTQKBoOJD&#10;BMBbBvK4COM+uP+ANm3YSENSUrnS/1XeoJbrR2V56xYt2Ovfv3cfPXzwkA2/Xi//kydPKCU5mQ1N&#10;wdwzXg+iAIt/1q1dy2mDtzUPAAIAg4lwHfRSHxAAfZUAWLJk6VsTAOj/h0E/dfo0jVDXHp6/h/L6&#10;jT83vqZBwTRy5CieGHjj5i1+bn7HgDoGdhls3rKVhg8bTq2atyBvRGUgzF6R8sFnD4GEFcMb16/n&#10;tA5EG66dRAIEAkFRIALgLeO3X3/jnP8GdRNHj36jBiFs4PRu+saEEYdxwSz6xYsW8wf5/LPP2AiY&#10;8gQfP3pECQMHmpwfgKK0Zo0a05hRo5RXeY/TB2/Dq4QR27ljB7VsFsrebkExhOsT2TeCd/ifOnX6&#10;T8a5LIjhP6fPnKW1a9fxXgIM74Hnb/w+wSAlYoZmD+XFRfD6Cx4H9QOXr1xlgTBr5iwaEB3DXQJO&#10;r/gO4JogQoR1zxFKDC1dvIQjN2jvFAEgEAiKAhEAbwnw/GH84bHD809PTWMPXO9mb0wYb1cnJwpt&#10;3ISN//Jly/Jn92seuykD8PjxY0oeNIgNh55njZ/BuPbr25cOHjzI7WbGNQRlBVyb48c+5bW/OE/k&#10;1B2Ux4uwupv6O4QPWupKehtgUQjvXfP+MfVvlPLu4bkXvJYag5UAGDZ0GLcCohNA73iIBuB4WGyE&#10;dAHqApooIQZRUZThQXhcrBIOy5cuo2tXr9IvP//8Vj43gUBQsSAC4C3hH78ZPP+NGzawoQsJrsfe&#10;rt4N3pgoLmvetCkNzcykvXv20N27d+nnIvb1P1eGZuzo0ew1mnotCAxMrhs3ZgyvqH0btQCoW3ii&#10;xMr27dtpxPDhnO+up8QRiiLbt21Hg5OT2fu/fOUKe9AFjWppEsYarX0QHjOmz6CO7TsUWqzZQH2u&#10;kyZOosOHj/C4YL1jQgRoa4dPnjpN69dvoGHDhlM7da4Bvn6v7ABBOgc1HCg6XLJ4MV25fIUFoUAg&#10;EBQGEQBlDBg3jHTFVLeN6kY/RHmyMBJ6N3ZjomAPxh8b47D3f8e2bTwroCiGX8M36vErli2jfn36&#10;UKAyLHqvA6LdrEtYGM2ZNYvrBsp6PgDOB9cIFe67d++mkSNGUGJ8PEVF9ud8O8bsnjh5ij1xPYNa&#10;mkTh35Wr19T72kPJScnk7elFjjrFmjDark7O1L5NW1q0cBEPBHqVWIEQQGrh5q3bXBcAEYDFQl7u&#10;Hvz5F3yNgkRXB6JCK5ctpzt37uR3BwgEAoEeRACUMWBMUe2PsD9y/ghnFyXnDy8zXBnlaVOm0JnT&#10;p3lnvGaYiyoA4M3juTkzZnB+Xe91QBgbGJNB8Ql0/NPjnApAXr6sgPPB66E48vPPP+ewNlbkYsb+&#10;8eMn6JLyvrWKej1DWpp8+PAR7d23n1v4YJyR99ctVHRwpObqGqekpLJYuH//AYsHvWNq1NIBEAGo&#10;Czh46DCNHz8hP8rwqkgA0gUQdljtvHPHTi7kxHdEIBAI9CACoIyAvPYvP/9Cj5QXuGHdevb8G9Vv&#10;oHsjNyaMMbb+devSRRmdyfTpsWOvHZZHtODz589p/969ypuO5OPa1dGfRIciM7SmLZw/ny5cuPDW&#10;DAkEDt73jz/+RC+UENEznGVBLUx/7dp1LrqMjOjH4k3v2oGo5sdGwAULFtI55f3rHbMwQixACKDO&#10;YUTe0CCkQYrSKhgcGEijR46igwcO8HpnfHb4/gkEAoExRACUAeDRwohpE/6wMx4tbkXy/L19eLjP&#10;jGnT6OqVKzy693W9cRhTDPlBeBhiolP79rwvQO91QRicAf2jaP26dVxY9jZQXgQAPHPk8I8d+5Sy&#10;M7O4x7+wzw/Ff9gGiF5/U7n/wojXA68qwYFIwNw5cykhPoFXDJvq4tCI+o5mjZtQanIyHVAiABEc&#10;pAMEAoHAGCIAShmozMfNF+HY7Vu3UVZ6Bt/E9W7cxoTnj3n+Pbp25bA/PP/ffvst76hvBoiIPbt3&#10;04hhw6hxSIjJ0DKq7xs3CKHpU6fSD99/n/fsskV5EQCoN0DqYcuWrRQTHWMyJ4+CPHxuWOWbm7ua&#10;8/nw5PWOWRQiEoDagaNKSGDwEQpGUTOClk291wcRvUE6AB0UE8ePpyOHj/AQKEQB3kZbp0AgKJ8Q&#10;AVDKwE0XW/0uX77MW/ka1m9Q6M1bo6+XF3UJ68zG9/q1a/TjDz+UWBgXggS5dRQSdgvvwkNlCvba&#10;g/A04eVirwDO4W2gvAgAGGIUHi5duoz69Oxlsj0PbYrhyviPGzuODinDi+e9Sa0Cnotj3Lt3n1MJ&#10;S5cspcT4BCXcGuq+vkZ8ntghgRZFDIm6dvVafs2IQCAQACIASgkI+3PeH4V3Z87Q/LnzOJQPY1tY&#10;MRc8S4T9u3fpwsYfnj/a/EoS8AJhVK9evcpjaFGLoBfOhgDA+x2amSUCAALgxEmePoh2Oz0BgIJA&#10;pE0y1DXdvHmLEn1XdI/1ukQk4dNPj3MkILp/FBcGFjYwCJ8fojjhncJoyaJFb33Es0AgKF8QAVBK&#10;0EL/aGWbN2cOr3JFe52ep21MVN9DKEyD568MNLbzlXQBF8QJ3t+zp09p5fIVNCAqmkVHwfcC449w&#10;9thRozlt8DZQnlIA586d541/KAAsKAAwuhfef9vWbXiYD3L36BjQO9brEtEApAPwPmbOnMWFgahF&#10;MH4fBQmx6Yu2TiUCZs3I4e+jQCAQACIASgkwWpjQt3XzZho4IJbDsabCxiB7/j7w/LvS9GnT2PPH&#10;gpfSBI6PdcHYAoilNRhBi/Y1GH54jqFNmnJf+fq163hN8dtAeREAmNuPSX4HDx6i0UoQtWrRkvx9&#10;/fh6ebq5U7Dy/Lt0Duexv3v27GVv/U1C/4URIgCthWhFhAjwUQYekxL1vlcgvlsQnzFRUbye+NnT&#10;Z1IUKBAIRACUNOBdgzCYWGgTGxNDjRo0eKXn7+Xuzp7/1ClT6MqVKxyqLWnPvyBwfBQWIj88K2cm&#10;z5RHdwKMBYr/khMH0Y5t23nbHIzw20B5EQBoA0Qa4BaG9GzeQqNGjqRuXbtSXSWaWioxgPG906fP&#10;YOOPVkEYfzxH71hvSkQjsIUQ6QDUGmA6IlZB632vNCIdgM6AoVnZtHvXbvrh+x/yv6sCgcA8IQKg&#10;hAGD9d2339Klixdp/NixvFwH3rTeTRnEjRm93W1btqKpkyfTceX5l3W4He/35ImTlLsqlyZPnMhj&#10;gFF/sFUZugcPHnCkoLTFiCmUFwGgEbMAzp49R1u3bqXZs2fznP+JEydxv/++ffvZ+D94+KjUjD+o&#10;iRG0F2JiICISSD2gHqCw+hJMFMRkwsnq/d68cYNbO9/W5yoQCN4+RACUIOBNYQnL1StXafmSpexR&#10;w7gXdlPGYp4GQcGUpLztkydPcuSgLKfuAXi9X3/5lQv9vnjxgqcMom0RXiIqx/H7t9U+Vt4EADz7&#10;R48e0x1lfLHdD62BGA2M9MC9+w9YIMBDL00BAGoi4MbNW7Rv/wFKTEikQP8A/j7pfc9AiE3MCOjb&#10;qzdt37aNHj58yKkAiQIIBOYJEQAlCBhL9FsjZ47tbFi6g5uu3s0YhDDAwJiUpGTatGEDT+kTvIzy&#10;JgDKEzURgIJDdAbExsbx90nvu2ZMpHeGpKTStq1b6dtvvuUogIgAgcD8IAKgBPHNN99wv//Q7GzO&#10;o2MojN4NGITxd3F04ups3IghHKQw688QAWCaEAAgCg7PX7jIS5JQiIjvXWE1J4gSoOAU7Z3YS4E6&#10;EFxngUBgXhABUEKAB3Xx4kWaM3s2D9cxNSlOI7oCMN8fI35vXL/ORk5uwn+GCIBXE2kJpB8+PX6C&#10;xw+j77+wokCIA3Sk4Hu6fNkyHjGNxUsCgcC8IAKghAABsH7tWurUvgN7/4Xl/UEsksmZPoOHs2B3&#10;O54vYdg/QwTAq6lFAu7evUdHjhylnBk51KKQbY8agwICKKJPH1qdm/vW5jwIBIK3BxEAbwgYqC+V&#10;YTp/7jyPXA3KWxJjKgSLyAB2ASQlJNLePXvoK1nZWihEABSdvK3w+g3eIIiiUowLRppJ73sIYiR1&#10;SL36NHrkSF65/Da7PQQCQdlDBMBrQvPYYZwuXbjIffQ9unYrdNgPRAG272Ew0KoVK+nB/fv0/6QA&#10;q1CIACg6EQVAOuDixUvclhgTFU2Bfv6630WNNrVqUWTfvtwV8OjhQ77WAoHAPCAC4DWhGf/vv/uO&#10;Nm/azC1/IcH1TIb+YfzhcbUMDeXRwNevX88P/QtMQwRA8Xnn7j1eRDRjRg61a92GI1KFpaQwqyI9&#10;NY1279pFv8quAIHAbCAC4DWBvniETLFbH0NzArCYpZAebFRmY+nOwNhYOnb0KFf8w7iJACgcIgCK&#10;T8whQFEgxgXH5bUGOhby3YQwbRLSkKZPmULPnz/n6y3fS4Hg3YcIgNcEhuNg1v/6desoXt1kC8v7&#10;gxgIhLn6a1evpocPHr61wToVDSIAik+kAnh50fkLhlRAdAxvDtT7XoKYVeHp6kbxcXEcBXj86BFf&#10;d4FA8G5DBEAxAc8IxhuFe1jYk5mRwTvXCwuxYlELpv3NmTWb7t+/zxv+xMMqGkQAvB4hAu7du08n&#10;T56i2ep7h+VF+B6aEqmIULVp2YrGjBpNR48c4YmW8h0VCN5tiAAoJnBThEH69ptvlDe/htv+sMJX&#10;76YK4qaLrXqoyt6/bx8bfwmxFh0iAF6fT548pdu379CO7TsoOSmZlwFhFLDe9xTCAGmsLmGdeTYA&#10;llEhyiXfU4Hg3YUIgGICN0QU7924cYMmTphA3h4eujdUEDdVD1c3Hgu8elUu3b17l6MHMGqoAcDc&#10;/++//56JY+Lf//znP7kzQGCAngBApTta3pDnxgz+S5ev0NWr1+jGzZt0vwzn8b9talX/GAeMFcHY&#10;T4AFQSAKAfEz/A6pgIULFlJ0VHShYhWpAG93Dxo1YiQ9e/aMRYCkqgSCdxciAIoJCABM7ps/bx71&#10;6dnLpEcFoigQhX9TJ0+h69eu87Id9FnD2KN4cOuWLTRv7lzmsiVLuBULWwR/UsZOYICeAOCNfOfO&#10;81reSRMmcqFbZkYmTcUGw61beSwuxMG7LgBg/B8+esy9/yj4W7FiJe8EAHNzV/PPtEVFBw8eovHj&#10;JxS6KwCCFd/nmP5RtG3rNrp/757MBRAI3mGIACgG4A0hLHpg/36KjoxUN9NAk/P+4U0F+vpRz27d&#10;aevmzTxqFYYMf2IV64YNG2hwUhK1b9uW2rdpox7XjVKTB9Oi+QuUCLhEX3/9Nf3262+cizVnL8xY&#10;AHz+wmD8b+bt5B8+fDivUUb9BYrcOrRvT6NGjuK2zIuXLrOBfJdEAM4FRHQDK4dv3LxFJ0+dZmM9&#10;URn3+IHxFK2MNzx9hPynTJnKhh8CAI9dvXoNdWjbrtANlfjeohZgxLDhXAuAa4/vn6QCBIJ3DyIA&#10;igGE7eG9r1beVesWLdhbMlVUha4AzFqfPnUaXVDeKgw5Cgc/++wzWjBvPvXu2ZMah4RwSBZE/hXR&#10;gs4dO9HgQUm0cMECOn/uHH2hvF7chM0VxgLgs+fP2aOFZzti+Aged+vl7s7X29HOjvy8vVlQpaWm&#10;0fbtO3hJDoylnjGtiITxhwC6qzzzTz89TmvWrKGhWdn8PcO1aBBcjz18EBP+enTvQXNmz+GZABAB&#10;GBM8ftx4XhiE1r+C31mNGGWN+QErly9X1/1HKQgUCN5RiAAoBmD8b926RVMmTy50whpEgbcy6hlp&#10;Q+iQ8sBg9GHIfvn5Z7p65SolxsezF6YXPcCoYAiC7l260uxZs9TzD3LtwDdff831Aea2utVYADxT&#10;1xELbxbMX6AEVK8/TV2EV+vu7EJtlfFasngJ58FhMPWMaUUiDD9C/bdu36FzSkzu3bef5s+fT6mp&#10;qVzYxyJUR4gGBQTSEPUdXLduPa8MBnfs2EnZ2UMp0D/AZBQA1xUCYezoMXT/3n0WAfgcBALBuwUR&#10;AMUAWvhyV62iAdHR3Detd/ME4f1j5/pc5X09e/qU163+R3lRn3/+OR0+dIgXsJhKHeBmDhEALwxR&#10;BuRjx4waRdu2bKGneccyp5uxsQBAQdvOXbtpxIiR1K5NWw5XF7x+uK4h9RvQ9Okz6NKly1wIp2dU&#10;KxIRxUCh4y517tOnTae4AbEU1rEje/mFefK+6jvUP7I/zZs7j+sicC2QGpmr/t0itDnvCdCLYOFn&#10;uI4DoqJp08ZNdE8JUEQBBALBuwURAEUAjBBugCdPnKAhyutq0awZOdnrT1bDzTNYeV4RvXrTzu07&#10;6F+//84eO57/QgkAePQRvXvzDHa95xekh6srhSovL3VwCm3etImuXr3Km9uQjjCH2oCXBcBTWrNm&#10;rRJgMdRQCSxTHiw8X+S/YewqugBAG9+Zs+fYix83dhz17N6D6x0KmzqpESuBI/r05TkA6ASAkEBa&#10;ZMuWrRSlhAFSBnaF7K5o16o1jRo+gk58epy/bwKB4N2CCIAiAAYI4f9NGzdybtTdxcWk8YHn1K1z&#10;OM2cMYMuKq9L85xgyFAAePvWLRoUn/DK+ewa7erUYS8P64NRwDVp4kQ6d+4cff3VV1yQ+K7DWAA8&#10;evyYFixcRB3bd2DvVs97BevVDaJ58+bnt8HpGdaKwgMHD7HXD9GDeRI4b8yWKMp3p65/AA1WwhHF&#10;f6idQCoBhZFIo2BPANIoroVEEJDmQn3Blk2bOf0kEAjeLYgAKAIwvOfO7ds0S900Udmvd7MEcVOG&#10;sR6SmkaHDx2m53m5f2N8pQz3THUcGHPsY0choV4o2xR7dO1KK1es4GVCiC6869AEAGYl3L13n6ZN&#10;nUYN6zcgJyWg9K6PNnhphbpGMHh6RrUiEN466heWL1tOfXr1pnpKABb1e4Icvr+3D3VVxjsnZyZ3&#10;AmA2gHZs1AIglZKRnkFe7qbnWECkQkzNnzOXvnjxgotYZS6AQPDuQARAEYAivp07dtCQlNRX3jAR&#10;/p89c6Yy/s/Zayp4w0QUAB78ksWLKTYmhmsFUBCodzw9apvb9u7ebRab2zQB8PU337DhwqhaH+UF&#10;63nAMJB+yvB179aN1q/fUGEFgFb0B6M9YcJETmkg5G8q4lGQKCKNjOjHxv+QEqI4jnExJFoIERGA&#10;mIJQ0DsGiGvs4eJKw7Kz6cyp0xx1KihoBQJBxYUIgCLg5o2b3M6HyvzCBv/UC6xLfZW3tm3rVpMh&#10;U4TtMRDo2rVrtGrlSsrKyOAwK/KxhfVna4RHFhkRwUuIMDnwXYcmAF68+ILz2NlZ2eSujJLetUHx&#10;ZJOGjSghIYGr3SuyAND6/IcPHVbodw60UcLHy82d6qvvRsvQ5tS/XyS3/8HzR+dAweNrtQCrVuVS&#10;h3bt+bmmogv2NjYUpY6HSZa3b9+WwUACwTsEEQCFAMV74JnTp7nyGjfYgq1nxuzaOZzmzJxFFy9c&#10;oP/5l37vPiICqAuA8UZXwAVl1HJXrqL0tCHUVBkveHqFiQBzFQCIwhw/foKvE1r99K4Nrh3qAzAj&#10;4MCBg2YjABB5QldESvJgrvBHtwAmJZpqg8TxUQuwb/8BvlYQAc4mXgPCoG2r1upxw7kI9t/qsxAI&#10;BO8GRACYgFa5DyOL8H/HdoYJaoW1TSUlJNKRQ4d4jnpRC/R+/fVXun3rNkcNUHGNCELrFi251kCv&#10;z72N+t3IESPokHqd39Rz33VoAuDBA+y3381LlUy1vsFQ9urRk3Jm5Kgv9vEKLQDgoaPmYcb0GVzT&#10;gLZT4+8e9vsjHdW0UWPq0a07T0DE+F9MBsQY5KLMP4BIwFArjFI21daK71xdf38eXIXv6D/MrA1V&#10;IHiXIQLABCAAsAzlwf37tGjhQmrUoIFJzxxeEozPuDFj6Im6ccOoF/UmiZAq6gIw+hcDfw7s28/p&#10;BggBTzfDlDvtNeDhojd7x/bt9OjRIzaM7zo0AXD9+g02cGhfM+URQxhg9/3SZcvpzJmzFVYAgPDQ&#10;EarHyGNEPRDa12ZH4LuAVsB2bdsqMTiSNm7cxNERTPt78OAhPw/P1zuuMZEewPMQBUB3QcHrqRFC&#10;NCS4Hi1etIiLMc2h+0QgMAeIADABCICvvvySDh44QCOGDeNRvXo3R3hlyKHCE1u8cBFPTcMNEs8v&#10;DmDo0Gv9Qt2YEWpdungJpSQlsxDAnoDIvhE8QRCrWpGLNZfpbJoAOH/+Aue14e2a6oHH5kW0vaHP&#10;/fKVqxVaAGg8ffoMzz4YiehQ7z5ch9Krew8alDiIJk6YqLzybVzQh5RBcc8XUQbsVZgzZy6PEoaA&#10;MlVoiC2B48aM5aVWEAECgaDiQwSACcCAI+y8YP58deNV3riJEGmdmrW4LQ2eObb5aa1SxRUAeLxW&#10;H4DIA+oDrl65Qp8eO0a7d+3ixSwoHHzx4kX+SGBzaMnSBMAJJYowCKdT+w7kaGun+1kgJA5vFjPv&#10;YdjeBQGAbgCcC0L72IGwVRn8bdu209Fjn/IKZC3P/zqLj/AczElYv249RfWPogb16udHGQoS4iA+&#10;biDPBHj44GHepyMQCCoyRACYAAwy5vajSj+0SROTXqetumFiLOuM6dPp7JkzJRIexWtr9QeYG/D0&#10;yRNeCoTUAn5uDoZfgyYADuw/QCnKuw9t2sxkISba3yaMn8DRAgwBehcEAIjzwPlACGgz/e/ff6D7&#10;2OISx96vru2Y0WOoU4eOXFugd21RaIgi12lTpvC2SoFAUPEhAkAHMMAwPKdPnaJePXpw1bmp/D+M&#10;0YCoKF4R/Pjx4xILy2vvAYICRh9/4t/4uTkBkQ6kRrDnv0/v3twTb6plDfsTUDQHQwnP9l0SAFpN&#10;AM4LLEqOvyjEsc+ePUcrV66iATEDTBZY4nvepGFDSkpIoKOHD/P30Ny+iwLBuwYRADrQvO89u3dT&#10;+9Zt2ODo5Ubxc6QGhmZlcQHfjz/8YFbeeVng30r4oEgSMxNatWjBY5j1PgsstsFmvEULF7F3DGP5&#10;rgiA0iSu0bXrN2jfvv2GFksTMxYggFEHEN6pE23dsoX/j5SU2BUIBG8HIgB0AIPz5MkT3vzXrEkT&#10;3RsiiGp0VEfnKK8Tefv/IvwvXlGJ4l//8z88innunLkU4OurG4nBzzC3HhMAUTCH4jYx/kUjrhPS&#10;CxiyNHbMWE6jmCoEhODFToqlS5bw990culAEgncZIgB0gCrnM6fP0JRJk3lCn97NEDdJjFGFR7Ry&#10;+XK5GZYSfvn1V2WkntOUyVPYA9X7LCAAGoU0pNjYWG6bK0oPvNBACABcr5s3b7HIatkcURb9KACI&#10;7/z0KVPp0cOHZjGISiB4lyECQAfPlcHBHvTBSUncb613I2Sj0yCEBsXHc18+QqKCkgfGJmMGwOiR&#10;o0x2YqAQs3XLVpSRkUG7du+p8BsAy5IQACDaCLFyOBqrlus3KLQdcFhWNp04fpy+ePFF3qckEAgq&#10;IkQA6OCh8m7mzp5NPbt35x5/vRshwqGYDjhVeaanTp4yhP8FJQ6MAD508BClDk4hNxMjgFGg1q1L&#10;V5qqPNPDR45y/l/P2AlNE1GAvXv30ehRo9X3ur1uqgXEcqD42DhuHXz44EHepyQQCCoiRADoADv7&#10;MfynRdNmJqfOoV86oldv2rxxE927e1eWpJQS7t65S2tWr6HoyP4mtyZiCVBMVDQtX76CJwCKACg+&#10;ETU5qYTskiVLeZOgqU4LFFtiGBHqXtAmKxAIKi5EAOjg8uXLFBcTQz6eniYHo8DowBM6ffIk9+pL&#10;9X/pAMOP5s2bR7179uJedL3PAoOBsCMAEwAvXrpcYi1y5kSIJkxP3LFzF08ZNPW9x7WGMMZq7NOn&#10;Tud9SgKBoCJCBIARjPv/wzuF6d4ANWIwUMaQIZwuwPQ/6YkuHVy4cIEmTpxIndXnYWoYE36ePiSd&#10;199iHr4IgOITdQBYPnT6zFleuWxq2BLqLbCoqnf3HnTowIG8T0kgEFREiAAwAgbOYCnPjm3bqF2r&#10;1ro3QBAGJzggkCaMG09fvHjxWrP/BUXD8ePHKSUlhVqEhnLURffzsHfgWfkwXhiNC2OmZ+SEpql1&#10;A2AmAKYCmhIAqA1AKqZls1DasX1H3qckEAgqIkQAGOHXX36hWzdv0pJFi6h506a6N0AQhYHYkT5/&#10;7jz67rvvxPiXIvbv28eraIMDAwudU48RwNeuXefZ+SIAXo+4blgljMJWTL80VQeADoEg/wBav3ad&#10;DAQSCCowRAAYAf3/p06cpCmTJlHjBiG6Nz+wXmBdiuoXyTdADKkRlB62bN5MzRo1Zq9TrzUNOem6&#10;yhjNzJnJIWyZAPhmhIBaumQpdWjXnltgTbUD+nl7KwE8l5dW/fbbbyKCBYIKCBEARvjm6695/C9G&#10;+9avG6R74wNDmzRVj8mmfXv38UQ0QckDXRUYroQhS9jyp/c5wDjhdy1Cm9OSxUs4hC3G/82IKYoo&#10;psTiJawINtUOiHkAE8aNo0sXL/KsBhEAAkHFgwgAI2Dj3sYNGyh5UBJ7lXo3PrB9m7Y0feo07v/H&#10;2GBByQLGBMLq2dOnlDN9usnJdAhRY1JjRN8IHmIj7X9vTrQD7j9wkKZMmcqFl6bSLhjKlJmeTgf2&#10;7efBWSIABIKKBxEARnj+2We0bOlSDu9j5KnejQ/EWtQVy5bT9WvXuANAULJASyVaK8+dO0ejho8g&#10;VxMb6uzq2FCbVq0pIyOTdu7cJQKgBAgBcEIJW8xU6Nu7j0kBgBqB+LiBtH7dOh4LLAJAIKh4EAFg&#10;hMePHtH0adOoc8eO5GliAiDYt1dvHv+L9b+yA6DkAQEA73/3rt2UkjzY5DAmdAV079qNcmbk8ATA&#10;ZyIA3pgQUVgPvH79BorqH2VSAKAmo39EP1qyaDHdvXNHBIBAUAEhAsAImOiHCYBNGzUyaXTAAdHR&#10;dPLECc59ogVQULJAVTk+i5XKC41RRqiw/v+oyP6Um7uaTp8+I/3/JUBcQwxTQkRl4IBYk+2AGMrU&#10;LbwLTZ86lW5cvy6DsASCCggRAEZAC2BSQgL5enqZvPGBSYmJdOvWLfrnP/8pLVClAFzTa1ev0oxp&#10;03jsLCr99T4HCIA4ZaSwARDrbEUAvDlxDa9evUaHDh2mxPgEk/8PHNW1b92iJQ3NzKSLFy6IABAI&#10;KiBEABgBY2cR1oTB0at+RtU5QqKZ6Rn02bNnec8SlDTQAXDu7Fkanp3N8xYK80JRsLlv334eYysC&#10;4M2Ja3jnzl3eqZCWkkr2JoYv4TNp1KABJQ4cyJMzRQAIBBUPIgCMcPXKFerTs6fJ1ifc9ND+NHrE&#10;SPr8+ed5zxKUNCAAkGJJTkykZo0bm8xDOzs4UsaQdDp1+gzdun1HWgBLgLiGjx8/4YmKw4cOIwcT&#10;0Rd8JvXq1qUB/aPo5PETIgAEggoIEQAKKGDCRLPz585Rjy5ddW94IAqf6gcF0eSJE+nFixd5zxaU&#10;NCAADh08SL179KS6fv6mN9MpATB82HC6eu063X/wUARACRHXEcWAo0aOMpl+wWeCVFnPrt3o6OEj&#10;IgAEggoIEQAKKOTDRL8j6kbWpZAlQBgB3Cq0Oc2eOZO++vLLvGcLShr4PHZs284TAB3t9A0QiPbA&#10;cWPH8fAatK/pGTPh6xGpgNGjRpsUACAiYtgJsHfPHhEAAkEFhAgABSwBwhCgXTt3Uqf27XVvdiA8&#10;ng5t29KCefN4aZCg5IDCP7RUfvPNN3Tjxg0etOTj4an7OYAIQft5+9DUKVPZW5X8f8kS13PKpMk8&#10;DrgwEdCwfgP+fyMCQCCoeBABoPDPf/yDHj54QOvWrqV2rU1vARQBUHqACMNipePqOzhuzBiexWDK&#10;+0cxJqYDNmvSlGbNms0RABkCVLKEAFi0cBGFdQoz7AQwURcjAkAgqLgQAaDwj99+477z3FWrqG2r&#10;Vro3OhB70Ht060Yrli1jT1Xw5oDhQM4fS2WOHD5MkydOoo5t25GPElumijEhALABsGGDEBqaPZS7&#10;AK5cvSZRgBIk6gByV+VS/8j+FKKMvKk6DBEAAkHFhQgAhaIKgJB69SlxYDxt3rSJNwdqQBEhiJsg&#10;QtnFJZ4HmuM0NRh/7FM4efIkpaelUavmLbjWAmN+9T4DjTBIKMrs2L4Di4Bdu/dwHYA5FQLiXCF6&#10;EP0oCeJY2vXDn2vXrqOBcQOpccNGJjsxGqr/Ezt37ODvsUwDFAgqFkQAKBRVADRRN8LMIek8ovbH&#10;H37k5+Kmh9z1zz//TE+ePKHLly5xN8HZM2eKRDz2mvJenzx+wmtVzQ1Y+nP//n1avmwZdWjTlo26&#10;Kc+/IPE4hKexunb+vPncDYB1tuYiAnCuBw8eopUrV70xMU3x8OEjfEwcG9cQ44ATE9CK2cSkAAgJ&#10;rkdbNm3moVgQcyICBIKKAxEACkUVAKHqRoje6P379nPXAADP/YcffqAHDx7Q5s2baeTw4ezJpiQl&#10;FYlZ6ek0edIk3nv/ed5WNXO6ib74/HPlQe7kzXLBAYFFNv4aYZiwEjg7K5u32F27fsNsUgE3btyk&#10;EcOGsxf+poSRR0fFdXVMHLuoAgBrs/H/5puvv+E6DhEAAkHFgQgAhaIKgOZNmtKoESPpoDI0mgBA&#10;yxpmocODTUtJ4SLC5k2bUpOGDYtEtFGFdwqjrIxM2rd3Lz17+oy9KXPB/Xv3aXbOTOrRtRuvmNW7&#10;7q8ilgINiI6hlStW0pmz5zicXdBYvou8du06b+TTuybFJUb7pgxO4THAOHZRBUCQEm2LFi7k6Nev&#10;v/4qAkAgqEAQAaDwJgIAXs/WLVsorENH9mAxntbB1paNUpFoa8fPwU125PAR3FP9jRl1GFy9cpWG&#10;pKRS4wYhJpf+vIroR+/SOZwmTpzEM+yfmslMgPIgADCoaeaMHLp54wb9+MMPIgAEggoEEQAKbyoA&#10;Vq5YQQGv6Jd+FX29vKl/3whauniJWe0ZOKc89kh13ij8M1Vp/irCOKEOYIQSUOgIMJehQOVBAAQq&#10;AZAzfTpdv3aNU2EiAASCigMRAApvIgB+//133omOufRoT9N7XlHo7uLCrz1pwgSeSWAuOHXyJA9f&#10;Km7u35gwTlgalJWZRbvzugEKGst3kSIABALBm0AEgMIbRQCUAMBcAEytM7W1rijE83t2607z5syh&#10;p0+e8LHNAeiE6N29B1f/v0kEoH3bdjRs2HDau3efCIDXoAgAgcD8IAJA4U1TABvWraPmTZvxpkBb&#10;daOEIYNHWxTisbi5op0K61fRDYCxxOaCS5cuUVJ8AtULrPvaKRQIr86dwriK/YD6bEQAFJ9vLACu&#10;XxcBIBBUMIgAUHgTAYAtgvBiJ44fz7lsVPZjY2BQQECRiBasNi1bUqIyguvWrqObN27yTAFzwe3b&#10;t2nyhIlcRInpfnrX/VWEAOgX0Y8WLlxEJ06eIukCKD5fVwAE+QfQ/HnzuA32F/W9FQEgEFQciABQ&#10;KKoACFUCYOSw4XRg/4F8AYAJaF999RV7sosXLaKEgQOpf0QE9enVi/r07PlKDoiO5tkBa1evoYcP&#10;H/JQIRzTXPDs2TNat2YtCyAUUha3jgJRFFdnF0pVxmvHjp10+fIVs5kDgJkHKcmDWTi9KVGEihoK&#10;iAocu6gCAJGblctXcNQK7asiAASCigMRAApFFQBNGzWm7IxM2rN7D/34o2ESIAYB4caH3QBXrlyh&#10;3bt2cVsgxgUXhTu3b6djR4/RzZvm5flrQNj48qXLNG/2HGrXug25K2Ne1FoAGH9sBMTzZs6cRefO&#10;X6C79+6z8SpoLN9F3ruPBVbraPTIUW9MpE82btzEx8SxiyoAGgTXow3r1/NER8zEEAEgEFQciABQ&#10;KKoAaNQghD2u7du2s+ECcMMDtT0AuAkWlxihaq6z1HH+MB5HjxyhhLiBnBLBXAS9629MGH88rq0y&#10;/kPShtD27Tvo8ZOnbLjMRQDgPFHvgG2IJUEcS7t2+HPduvUcmWlaiADAfgzjXQAiAASCigMRAApF&#10;FQDId/br04dWq8d9++23ec8WvAlgOFBH8eTxY9qpjPio4SPUZ9CaCyph5PU+BxijBvXqUZ9evfM9&#10;V3j/sg2w5AgBgP0A0VHRvPHPVFRGtgEKBBUXIgAUIADu37tHq3NzCxUAvp5e1KFtW1owbx59bUbT&#10;+soCWiTg2LFjlJGWRm1btuLhQJiWaPwZwBC5u7hyjcXcuXN5Gc6Dh4/MpvK/rAgxtWzZcurZoyfV&#10;qxtkUoyJABAIKi5EACig8O7rr76ivbt3U1j7Dro3OlAEQOlBiwR89tln/KVct3YtzZ45k/r16Zs/&#10;IhhGCDnnfn0jKCcnh44cOcIbAGH8zaXyv6wIATBj+gwKUQYeRYKmijNFAAgEFRciABRgfHgn/YmT&#10;1LVzuO6NDkRYunWLFjR31myu/BeULLQ6CgiBn378kZ4/f06zlKGHx4/rb4d+/46daMqUqTzyF6tr&#10;JexfOsR1HTN6DNdZmDL+iMZgQ+YeJZxFAAgEFQ8iABRQuIQQ9IXz56lH1666NzsQN0PUAaDnH2ts&#10;BaUD7fOAKFu6ZCl5uhm2BKLfv1uXLjR79hw6cvSohP1LkRAAo0eNNjmcCcbfz8ubenXvTseOHBEB&#10;IBBUQIgAyAOMzpXLl9UNrYfuDQ/ETc/FwZGGZ2fT888+y3umoDSgVZSvXpVLXu7ufP0hALp37Ubz&#10;5s2no8c+lbB/KRHXFdEVLFcyJQDwWTQOCaHE+Hg6c/q0CACBoAJCBIARrl29xjln3Nz0wp74GSrQ&#10;M9PTOVctKH2syV3NqRfN6PTo1p3mz19Ax0QAlArh+WOWwqVLlyljSPqfijA14rPA1MukxESehCkC&#10;QCCoeBABYATsNI8bMICH0ZjqewZTkpLo/v37nKuWG1/pQgRA2RIC4Pr1G3T06DFl3AfxNS/4/QcR&#10;GcBo7CEpKbzSWf4fCAQVDyIAjHD3zh3KSs+gBsHBhQ6jGRAVTSeOH+fpf8hVC0oPIgDKlhAAGKe8&#10;Z89eio+NMykA0JkR1rETTRg3nq5euSoCQCCogBABYIRHDx/S5IkTqX2bNuThaqg812PvHj153C/2&#10;9qOFUFB6EAFQtsQ1xVClTZs2U4wSuqYiYS6OThTRuw8tmDef7ty+w/UaAoGgYkEEgBGePX1KCxcs&#10;4AlzPp5eujc+sHuXrpS7ciWnDLAOWFB6EAFQtsQ1PXXqNE8BxLwFUwLA1cmZYqNjuEjzwf0HIgAE&#10;ggoIEQBGePHiBQ+gSRwYz3vO9W58YMd27WnOrNl07uxZblUTlB5EAJQt0Vp5+MhRmqW+3xC6pgSA&#10;h4srpQ1OoV07dvJGRxEAAkHFgwgAI2C4z45t27n6GeNP9W58YMvQ5jR6xEg6fPAQ/frrr3nPFpQG&#10;RACULbFQCWuVh2YPpTatWpvcAeClPhNsEUQLIKZoigAQCCoeRAAY4bvvvqNjyvsZP3YcjzjVu/GB&#10;2FiXMDCetmzabJYrfMsSIgDKlo8ePabcVbnUCzsAgoJN7gDw9fKiWTNnch0M/g+IABAIKh5EABgB&#10;N7KrV67QvDlzeQe63o0PxAS08I6daOnixfTD99/nPVtQGhABULbEYqWZM3LI38c3fweDHgN9/Xh7&#10;5m+//cbtsAKBoOJBBIAR/vnPf/KAnw3r1/PMf70bH4hpgIgCTJs8hb788sv8XeiCkocIgLIh1v8i&#10;/H/9xk3eAYBrXfB7rxHDgZo0bETbt27L+5QEAkFFhAgAI8CQ/+v33+nY0aOFbgVEWBTDgoZlZ9OT&#10;J0+4FVAEQOlABEDZ8LPPntOdu/e4AyArI9OkAMB338fDk7qGdaYD+/blfUoCgaAiQgSADi5duEiR&#10;fSN4DaqpIih4QUkJiXTp4kVOA8gglNKBCICyIQYAXbl6jXbu3EVJg5JMVv+z9x/SkDtlMAxLIBBU&#10;XIgA0MGN69cpc8gQali/vsk8KIxR/4h+vAv98aPHHD0QlDxEAJQN0f53+sxZWrUql6L6R5kUvpiQ&#10;iZXME8eNp0uXLuV9SgKBoCJCBIAOMOd/+tRpFB4WRh6uhlW0BQkPKbxTGBcMXjx/gf773//mPVtQ&#10;khABUDaEADh48BBNnjyFunQOJxsTAsDN2YWiI/vTimXL6e6du3mfkkAgKAjEhMt7YlgEgA4w2AQT&#10;zgYOiCVfL2/dG6FNrVoU2qQppacNoX1790oldClBBEDZ8NHjJ7Rly1YalDiImqnvtd42TNDLzZ2/&#10;84cOHJSV2AJBIfh/yvqXdxEgAkAHWPJz5PARGjNqNAUH1tW9EeIGiVaobuHhSiyskp0ApQQRAKVL&#10;VP/D+7+tvPnFi5dQpw4dTYpeEL+bOH483bpxk76XFliBwCR+Udb/1zwRUF4hAkAHmO537949WrJ4&#10;MTUOaah7IwSxErWuvz/lTJsuOwFKCSIASpcQAA8fPabLV67SxImTuP/f1PAfMECJ3gXq+v/www/y&#10;nRcICsHz//0/+gICoByHAEQA6ADe/Lfffkvbtm2jNi1bmiyI0toBh2Zm8UKUn378UboBShgiAEqX&#10;EAC3bt3m+f/ZWdkma17wXfdUv+vUvj1t3riRjb/UvQgEpvG9MgU/SQSg4gE9/bi5HVfXo0tYZ+4E&#10;MOUVwSjF9I+i/Xv30aNHj0rspoj3UBjNBeYuAGCgTVHv8cUljnPhwkXauHETJcYn8Ja/gt9xEO1/&#10;TRs1puRBg+jYkSNm9z0UCIoLGH6wPP8vEQFgAvDkL168SEmJg6hBcD2+AerdGNENAJEwd/YcunD+&#10;PP3nP//JO8LrAzdWHAdjVlGP8OjhI3r65Cl9/fXX/DNzajk0dwGAc8SEvlu379Cly1fosuK16zfo&#10;/oOHuo8vLiEAjhw9RtOmTedr62Tv8KfvOIj2v27hXWjGtGl0Wdr/BIJ3AiIATABG+O6dOzR96lTq&#10;Gh7OoX69GyMiA6GNm9DgpCTuBkBo9HU8I82jgnH/n3/9D/34w488ZfC8EhXYULhvz146d+4c/ww1&#10;Cv9VAuF1XqeiwVwFgOblP1CGHuN5j6rz3bp1G21T34W9e/fRufMXWARAHOA6vE5EAM/Bc1H9n5iQ&#10;SE3V99jehNBF+19C3EDasnmzEqQP8z4dgUBgChIBqMCAcX3+/Dlt37qV0lJSyNfTS/fGiG4Af28f&#10;at+mDa1csYIXCiENUFzjjIgDWgnh5V+6eIm2qZvyjKnTKCsjg+Jj43jqYGZ6Bi1euIg+hfFTQsAc&#10;Wg/NVQBgMh+q82H4ly1bTqNHj+EQPbZQDk5OpgkTJtCy5cvpwMGDdO3adXr48FGxRQDEA8b/Ll60&#10;mDq070DeHp4m+//R/ocV2Phuoj5GIBAUjn8oE/BPRREAFRAw4D/++KO6uV6jWTk5VD8oyGRvNNID&#10;uEFOmTyZPv/8c/rHP/5R5GJAzfD/8ssv9NVXX9G5s2dp/rx5FBszgBoEBfM4YiwfcnF04r9jCtuk&#10;CROVCDjGr/Ouw1wFAIwzPPwVK1ZSdFQ09+YjCoXvgoeLKy/j6d2rF02dMpV2797Defz79x/w8yAe&#10;iiIG7t67T+fOnafx48ZTXf8Ak3Uu+HldP3+aN2cOffXll1L9LxAUAV/+53/pm//+H/1vOY7UigAw&#10;AQgA3OiQg9+0YQO1admKiwH1RABukBABKcmD2TAjclDUWgDk9DF58PChQ7R4wUJexNJTGbmQevW5&#10;zbDgawUHBFJE7z60bs1a+umnn/KO8u7CHAUAjPc9ZcyvoDVPiT2E5t2V0de+e/gTYjAoMJA6dwrj&#10;OpWcGTkcykdqACt9i3JtUFOwZfMWSk5KJq+8a1yQeC0s/4HwxJZMCFWp/hcIXo0LP/6bLv38H/pP&#10;Oe4DFAFQCCAC4KGjG6Bvr97k5+VtsiUQ7NG1Gy2YO4+LpEwNBtKOCYGA9cNPnz6lHdt30Mhhw6lV&#10;8xbs5cHQmYo2wANsVL8BRyW+/+67vKO+uzBXAYDWvBMnTtKQ1DRyVp95we8BiO8IxCfy8x3bd6Cs&#10;zCxav34DRwMQ2teiAaZeA+mFaVOn8TWFoNB7Da3GJXXwYBapsvlSICgatjz7J+38/Hf6twiAio2r&#10;V67Q6JGjqEObtlwNrXejBDE0COOD9+7eQ/80EZ6H9wTPHV7/TmX4p06Zop4zgNq0aMmGrjCBAUIA&#10;NKxXn2bOmCECwAwEQFpKqsnKfI34zmCAT0slICP69KWh2UNpxYoVfI0w4a/g8XHdIA42bNhIfXv3&#10;4WmXuLZ6x8bPe/foQQvmzVf/D66WSJeLQGAOWHn3F1r34Ff6n/+KAKjQePz4Ma1fu46roE0NSgFd&#10;HZ2oofLOlyxazJPS9IoBkVZ4+OCBMv7bKSkhgUKC67FR1zueHhEhaN6kKc2dPVsJgHd/FKs5CwDs&#10;5s9Iz+Dwv6niPD1iXG9cXBwtXrKEzpw9x8WExpEAzP1H/n/27Dk82U/vGBqR9kodnEKHDx7i2f+y&#10;9VIgKBoWXvuJlt38RQRARQeMOVYET5s6lQKUp6V3owQxEwDGasSw4VzM9/VXX//phvmd8tpXrVxJ&#10;MSjsatyEQ6+mdq/rEc9JT03jKAPaAd91mKsAwHheeO9z5sylsA4dXzmi15iIGDRq0ICio6Jo6ZKl&#10;dOLkKTb42vFvKnFx6NBhGjF8BPmY6G4BedS1nz/3/kO0Iv9f1OJWgcDcIQLgHQGq9GFsMQK1WePG&#10;hqFANfRvmjBS/fr05XWpN2/cyA+ZIhKAv6OHOk15VO4uhly/3jGMiZs+bsSo/Ib4QIoB0YhbN2+Z&#10;RTW2OQoAECIARN//0KHDKDysM4sARJnsbWxeKQZQH1AvKJgyMzJpw8ZNPDxIO+aZM2dpiRIGA2IG&#10;cHRB7/kgxEG71m34+4ZiVcn9CwRFx7JbP1PuHREAFR7w4mG8jx09SnEDBnAO3tRkQNyYm4Q0pKT4&#10;BDpw4EC+kcbzv/n6azp54gRF9YsskvEHEfKH6IiNiaGcGTNoj/L87929Sz98/71ZVGObqwDQiEr9&#10;PXv20vx58yljSDp169JVGfYgcnVy+tN3pSD9vH24hXDBgoV04eKl/Nz/rl27aXDyYGretJlup4nG&#10;1i1a8p4LfO+l9U8gKB52fP5P2vfFv6QIsKIDng8Ij37OrFnUu0dPrrzWu2lqLVotmoXS8qXLeGgK&#10;Kqf/8+9/84wAiAJ0FBTmwaGoC3UByM92bNeeUpKTOW1w584dXsGKiARCsebgkZm7AEDu/vHjJ9ze&#10;h2gANvb1i4igFqHNuT2vMAMODx5FfrNmzebnI62AqYLw/tu1acv1LKa+h/g5hCq8/9u3b5vF0CmB&#10;oCRx/uf/0OVf/kv/Kcf3aREAxcCXX35Jp0+dopHDR7B3pXfjBGHAYbxHqcedPXOGB/wgivDbr7/S&#10;9WvXuZjQ1IIh1AMg3N+2VSsanj2UcpXhRxvig/v3uXtAM/7mAnMXACBEAIYCYWUvcvdr1q6lSUoI&#10;xA2I5WhUwe+QRuTvkwcl0apVufzc69dv0O49e2jkiBGcHrAzEYXC9xfdLsOHDqWrV6+yiJXef4Gg&#10;ePj63/9L3yrKIKB3BAiD4ma4YvlyQ/jUxGAgEB48BvagI+D69essAGC4v/ziC57kF9qkKYsITPjD&#10;zRZRA1Rvo5WwS6cwFg/ou8acAHMOv4oA+IPI36OiHz3+R44c5RHByOPXV8Yc3yUM84F4BDHWF/n7&#10;yZOn0J69+9jzR1sh0kh9evU2udsC32f8DguwMJESBbAQnZL/FwiKB20PQHn+nyMCoBiAEf/99985&#10;jJ8QF6eMdYjJXD48+Xp1g6h/RD/u98fzUAeASurjx4/T7FmzKHbAAGrbujW1DA2lsI4dabDy1mbl&#10;zKTdu3bx7IEvlFgwt+1/BSEC4A9CAHBK4MlTruQ/e+48LwhCpwCK/fpH9ufr071rN4qJjqaxY8ao&#10;79JuunL1Gj9+06bNbPwDff2U96/feYKoFDpNsHtiz+7dPKwK3z8RAAJB8VDejT8gAqCYwI0QHj3m&#10;ovfp2avQHn4YrPpKBMyaOZM9+V9+/sVQDPjNN3Tl8mWOJIwdPZqGZ2fT5IkTafOmTfzzn3/6Oe/V&#10;BCIATNM4NQAhgOsyRXn84MKFi2j7jh3s+aMF8OSp0zR9+gyOFhT8nhrTwdaO+vToqb6bK+j6tWv8&#10;fRUIBO8mRAAUExAAX3/1FZ0+fZr7/T3d3HVvpCC8KRRqpSQl064dO3mVL7wphPQRWn3y+DHdunWL&#10;bqgbLQr8PvvsM/65qTHC5ggRAKYJAYCUAETAVeXlIyKA4UEnT56ic+fP0zUlVFH4hw4AFP7FxcZx&#10;mqng91Qjvq9IH2QOSeclWN8qoWrO0SeB4F2HCIBiAgIA4XyE55epm2pokyYmZ7WDGMqCSn6sUj15&#10;4iSHVMWrKjpEALw+cX2wGGjfvv2Urow6RgWbilgh948aArT+LZg3L7/gVEL/AsG7CxEAxQRuiPCK&#10;kJvfv29ffi1AnZr6xYDwqjxd3fjGipA/WgExVEhurEWDCIDXJ4w/vH9MAwzr2IlbV/U6T0BU/mMZ&#10;FTpPDu43zK8Q718geLchAuA1AS/+xo0btHTxYoqMiCi0HxvE5D+EVg/s30+fP38uAqCIEAFQfGrF&#10;glgnvGH9BkpPG0JBAYF/+k5qhChAF0p0ZH/asmkT3bt7T9r+BAIzgAiA1wRa+n788UfO4U+aMIG9&#10;/MJm+jvY2rKHlZ2ZSefPnZOZ6kWECIDiE8YfC38OHz7Cof/Qps243bTgd1IjxGuQfwCNGTWa5038&#10;47d/yPdTIDADiAB4TcCDRxTg559/po3Ky+oS1pkC/fxNzgWAl+Xl5s71AKtzc+nZ06cyX70IEAFQ&#10;fKIo8OzZc1z4F94pjFyVd29biDjFOmC0q65ft45z/wKBwDwgAuA1AcMNLwkV++fUzXb6lKksApBL&#10;1bvJgogQoAc7I20IzwZA1b8IgMIhAqD4vHbtOq1evYZSBqfwQB9TeX+N3cK70PJly7i9FQWuAoHA&#10;PCAC4A2BQqnPlCH69OgxXtbi6+llclEQiKl/7du0pRHDh9OJ48c5jSBz1k1DBEDRiZZADPzZu3cf&#10;DcseSm1bt+F5/wW/gxqxWRACAYV/Z8+e5WVV0qEiEJgPRAC8IeDBo2Iahnzp4iXUunkLNlimvC6k&#10;CJCPbdOyFS1ZvJju3L7NaQQcR6IBf4YIgFdTW/OLgT9HlBCdPXsOhXXoyC1/hUWkYPyxT2Dd2rX0&#10;xYsXHM36P8n9CwRmAxEAJQQYb0QBRg4bTm1btS60IBDEgKD42DjKXbmKHjx4wJ6XFF79GSIAXk0U&#10;/WHgz5mz59j4R/aL5FRTwe+cRogCFP5179KVFi9aTJcuXuJ6FIFAYF4QAVCCQE7/6JEjlJw4iNuq&#10;TBUEgtjEFuDjy61XRw4f5ijA2x68gteGCAHLS0SiPAsAzfPWqPeY0iZeF7sBrl2/weOAIyP6cdgf&#10;16rgd04jNlFyLcqQdDb+WDEtoX+BwPwgAqAEgQE/z549o0ULF1LXzuG8EriwAixECZqENKQJ48bR&#10;USUCMF3wba77xWtDiGBhkba86G2LgPIqADSv+979B/wn8u/4md5jS4t4PRh/zPvfsGEjDR06jJo0&#10;bPSn71lB1gusSwOiomn1qlz+zkn0SSAwT4gAKEHgJgrDefrUKZoxbTp17tipUE8MRCFWi6bNaGhm&#10;Fl04f57+8Y9/lPkQFs3z/0UZf+wrAL/77rv89/I2owHlUQBohhcFd5i0BwOM1jv8rCwjAXgfECDH&#10;Pj3O/f4NG4QU2u+vsXPHjsr4r6JbN27waOq3+fkKBIK3BxEAJQx0BTx//pyOHjlKw7KyqWH9BpwO&#10;0LsRg8jHYogQ+rUXzJ9PFy9cKLNebBh9eP1fffklnTxxgtatWaOEyzSaNGEizczJofVr1ykxc5pn&#10;FrytToXyIgBg2GFwYeg/PX6C1q5ZSzk5M2nE8BE0ZsxYmjF9Bu3csZMuX77CI3hLUwjg2Dh3FP1h&#10;zn/OjBwK7xzOo34Lqz1xd3FlsTlqxAi6cO4cfffttxL6FwjMGCIAShiaN428Kgxqv759OeSqd0M2&#10;pr+3Dz92yaJFbHDLwiuDd4/iL4iOkcOHU7vWrdnYokDMyd5e/bsNjVPG7fChwzwd7m14iuVFAGhe&#10;P3Ltixcv4UK7RiENueUTK3SR7hk+dBjt3bOXH4PHl4YI0IQIJv1hz/9MJUK6q2uC1y+s5gQMqVef&#10;0lPTaPu2bfStMv4S9hcIzBsiAEoJSAVcuXKFli5dShG9e7+yJQsbBREtiI2JodxVq+ja1atcU1Ca&#10;QK4fw19WLFtOPbt3Jz8v75dSFvh3p/YdaP7cefR1Xo+4uQoAvBYM7m5l4LMzs6hxw0bsUed/fvYO&#10;FB7WmcaPG08HlWCCWICh1jvW61Lz/BH233/gIM1Vn0tUZH+qVzfI5JY/ECLFz9ubp/1t2rCR7t65&#10;y6F/gUBg3hABUEpAKuBXZWCx53+iMgohwfXI3dlF9watEeFbjGWN7t+fli5ZQk8eP+be7JL21GDE&#10;cUxsJty8aTOlDk5hI1KwYBH/hvEYkpJKj9V7gagpa69x3Zq13C0B8aQJgAULFpa5AECR3/HjJ7ht&#10;rk+v3rzm2fh64f1h137X8C60alUu3bl7j0WA3rFeh8bG/9y58zRr5izq1bMXf26FCUvDml+MoG5H&#10;UyZN4ln/b7PQVCAQlB+IACglwMjCY/7+u+9p3969NGLYcB7+AyNWWKgWnlyj+g0obsAAjgRcvXKF&#10;/lHCPdoQJyjwQ4Ri7OgxPLegMHEyKCGBhQwiEmW9Inb//v1scDUvt1/fCHVdcunMmbNlLgAgOhB9&#10;gAgxjpSA+Ewd7ew5LYClOsjNozhQ71jFpRb2R87/gPL80esf1T+KxSKKSI3fhzEhUBCZaKu+dzD+&#10;nx47Rj/+8EPelRUIBOYOEQClCIgAePAoCjymbr4pSUmc60cftt4NG4QhQSSgflAQRwKWLV3KVfns&#10;fZeQ8cXkwhcvXtDuXbuoT8+ebPz1vEjtvSQlJtLNmze5RbCsBcDly5dp+vTp1Ld3b3VNgil5UBLt&#10;QLHdlaslHmIvjBAAn356nBYuXEQ9u/f4kwBgquuFdAVECjz0EydOskh5k/epef4w/hA9s2fNpj69&#10;+/C1wGdWmJiE8W+Qd81Q5CljpwUCgTFEAJQyYDBRaPf06VPOZycMjOd0gN4N25jw7PC4gQNiadXK&#10;leytl1TeFoYA3uCkiROpedNmJivH4XEHBQTQ2NGjeb4BhENZh47Rp37mzBlauWIljRk9hv88d/4C&#10;h8JhHPWMZmkQRvj8hYu0fv0GzrvrCgBFpEzwuUUrDx2PvXXrNhfs6R2zKMTrovOAPX9l/OH5IxpS&#10;mOcP4jPF+0gbnEIbN2zgz09C/wKBwBgiAEoZiAKA8OBv3bzFrXV9evbifm2bQnK3ILw7hHmj+vXj&#10;bW3I2b+JEcb7QOU/ugzQcthbvQ8U+um9Nojce7cuXbgeAaJBO5eyBNIoED6PlRGFB3zt6rX8fvuy&#10;FgA31ed3YP8BSkkebDJqAuJzg4c+bcpUOnnyFNcD6B2zMGrnB88fwmPO7DnUu1dvCn5Fzh+EOMFS&#10;KnzPtm7ezOITKZ+38fkJBILyCxEAZQQY3u+/+45uXL9BC+bN44rsun7+ujdwY0IoIB2ApS0rV6yg&#10;K5cv8838dQAPEBvfjh8/TsmDBilPsi6HifVeF0YMtQEzpk+nUydPvrWqcURQkEZBFwKMIXrsyzL0&#10;rxHGGK998eIlmjNnLqcBggICda8dCGGVmJBIq1au4ufoHbMwQnBA6MDzn5Xn+ddXHj12++u9nkZ4&#10;/vhcMY56dW4u3b51i7s9pN9fIBAUhAiAMgbSAZcvXaIlixbzuGCEcl/l0YGIBET27cuRAFTkoy+/&#10;uFP6UEx4/do1WrZkKRt3vdcBYfwxCyBGGR2Iha+++qrMDQjOCZEOCI8ffviBnisDfO/+fQ6HI6QO&#10;A1mWEQCNEAF79uylieMnUMf2HUyOesbwpw7t2vOgoMOHjxSpLVDz+lFvALGDtsN5c+dRzx49+fN/&#10;1fcExh9Lpnp060abNm7isP/rikWBQPDuQwRAGQOG9JtvvqFLFy7SPOVJIhJQ2OY2jYgEwLPDTIHJ&#10;EyfR4UOHeFwvvPqiCgAMf1m7eg3FxQyg4EK8V0wmbN2iJb8ONhXCiJR18R/EDdIm95XR3717N61Z&#10;s4aWLV3GC29QXHfjxs23EgmAIT9//gJt2rSZBsbG8SwAexvbP11DGGNEAbp37UbLli2nC+rzhnjR&#10;O6ZGGH/sFbhx8xbPG8CQH9QbwPjj8y+s4A+E8Y+NjmGRCKGHrg3x/AUCgSmIAHgLgMHG3H1sYlu8&#10;cBF16xxOHsqQmCrGMyYeF9qkKY0fM1YZlQv05Zdfcl1AUQz0c2UwR48YSfXzWur0jg8jgzbE1MGD&#10;aeuWLfTjDz/mPbvsAM8fYWvkrnfs2EFDs4dy8eQAZdyGDxtOS5YsZa8aBvWp8pb1jGlpEaIDUYCz&#10;587TuLHjqGmjxuTp5q57LUHs3J8wfgKH8m/dvqN7TBh+RDRg/C9dvkL79h+gKVOm8oS/V/X5g4hC&#10;IOKAyY2YJHnn9m36+aefiiwMBQKBeUIEwFsCPPdvEQm4eJEn7UX1i+SiO70bvDFR4IV1rx3atKXM&#10;9HQe5PNMGUEYzFfd8DFYCIbdVNoBhgSh/x7Ka92wYQPdu3uX/qW88LIGvP9bN2/yVkXMIGjRLJTH&#10;2NYLCqbQps2oW5euNH3qNC6wu23CqJYWtRA9FgGtWbOWBicPpqaNm/zpWmqE9w7RgtZFU3MBcEyE&#10;/M+ePcdDhFJTUqlzpzAK8PMv0nIfiDns9p82ZQqdOX1a2v0EAkGRIALgLUHLceNmjVn8ixYspG7h&#10;XTiMa6rFzJi46aPSHG1eu3fuohvXr/P+gcKm9T1+9IgSlSdtKtKA+QRB/gGUMWQIFyviWGUd+gcg&#10;ALAeuX9EBEcrcD0QmdAIbxcRAZ4HoDxmPaNamoTBRh0ClgItXbqMCwIxBEivHiBICYDsrGzasnUb&#10;XVfXtOCxcByImKPHPuWCQUxlxDAhLPZ5Vcif0wzePtShbTsWRCfU+8FiJ3z+4v0LBIJXQQTAWwYq&#10;3L/79juOBCyYO4+iI/sX2pqnEcYGIqBpo0YU2TeCcqbPoCPKaCJsDgOqh6dPnvBYX6QR9ESGv48v&#10;RfTuQ0sWL+Z0AYz/2zAkyFvv3LFDef7N+BwLGkJ0LvTvF8ne8ukzZ/9kVMuCCNkjpI/hQBkZmRyd&#10;0PPWsQhKiwCgbqHgcVDot1MJOMxk6KWEBPZBIELzqnQQfo9Wv0HxCVztj1XSKNb8/Z+G9b4CgUDw&#10;KogAKCdAJACFgQsXLODuANzcMVTmVV4gQvkwGKgjmDB2HO3ds4cNPab2wZAaRwO+ePGChQI8Rn8f&#10;Hz4+no8iNoiCzh06sid5XH0PfvqxbFYS6wHve/OmTSbbJCEAMA0PW/mOnzj5J6NalsRAIuwmiOjb&#10;lxo3bMifBdIoIKYC4lpjVfCRI0fp9p27XEOAQkLMBkB74JYtW2ncuHHUrWvXQtdGa8T3AZ8bhEXP&#10;bt1o7Zo1XO2P7hIx/AKBoDgQAVBOgJwt5gQgErBw/gKKjYrmcPyr0gEwCDDiEAzNmzSlhIEDaf68&#10;eXReeYQF+7/x79OnTtHc2bOpN/rY1fEx0AZdCFhig9Y25JAxK+Bt5pArkgCAMT967BgXJqLvv2Xz&#10;Fjysp35wMA9aQqHg3r17OVqAx4KoH0BR4MyZsziV0Uo9x9fLi2yLUARqCPt7c58/rhFqJdClgWsm&#10;AkAgEBQHIgDKGX74/nuuCViuDEpMVBQ1adiIDd6rIgEgHoOcee+ePWmOMvIY4PPw4UOu5EenAIw6&#10;BupcOH+BZs+cSUnxCdyGiDDyjGnT6eCBA/TtN9/mvZO3h4okAODRw5s/ffoMv5/MzCyKi42jeGXY&#10;Z8yYQdt37KBr12+w4UcE4NSp07R58xaaNHEST/ZDcaODrZ3ueRoThh8RgsYhDTnls2b1avb8IeoE&#10;AoHgdSACoJwBNQEYfIPte3t276aRw4ZzKxgMQFFEAAr5UEOAPn70hKO48OyZs/T1V19zTh9CAMd/&#10;+OABbxqE2Lh65Srdv3efH4Pfv21UNAEA444q/gsXL/HGwIMHD9HBQ4e4qh+V/2jvQ6EfT/VTXn9f&#10;9d4h7LA+uKjiDikaRHhGDB3GaR7MR9A8f4FAIHgdiAAoh0AoFzd3w8a+3Tx7HquEkVPWKuL1jIQx&#10;8TgIgX59+nLeHyuJ7ypRgbkB2oCY8hoyrkgCwBRRJIg5BfD+T5w8yYODJk+aTP0i+pGPp5fueenR&#10;2cGRUzRdOoXR0Kxs2rNrFxf7va3RzAKB4N2BCIByCBhmbRIeRADqAhDSR+8/cv2vGgwDQiRABODx&#10;oU2a8FjfyRMmsPcI7x+h4/LaLlaRBQBaBEF4/Sjy2759Bxf59YuI4M2L+DxeVddhzJB69ShSPRd1&#10;HefOnaMXeQuh3kZ7pkAgeLcgAqCcA8YQ3t55dfPHdrko5UE2bdiIx/UWJRIAIn0AYxrWoQNlZ2bS&#10;yuXL6cTx4/To4UNOByDtUJ4MSkUUAEgFPHz4iNf/Ykog9gUsXrSYZwCEh4VRoL8/Odq9OtcPQuBh&#10;HgSmDCYlJHJbJj7/n376ies4pNhPIBCUBEQAlHPAS4dxRlvfZ8+e0Y7t2ykzPYNTAmgH0zMgeoTX&#10;qVX8t23VioakpvJ2wWvXruWLgPKCiigAMB0Q4f7DR47SImX4h6QN4WVBgX5+5O7iQvY2RUvdaG2d&#10;YR060phRo2nXzp1c7Gfc1ikCQCAQlAREAFQwYJofRMD4seN4cEzjBiFsEIuSFtCI4TrNmzal2JgY&#10;mj5tGs/8P336NI/+RY0A0gOmhgmVBSqCAIDHjxw/hvucOn2G9u7dx1sWx44eQzFR0dSqRctCdwQU&#10;JKI0EGgoDkTdxtTJU+jg/gP06OGjt/pZCASCdxciACoYUBfw3bff0rWrV9lwp6emUXBgIBt1PcOi&#10;R3iiGFTj6eZGdf39eVhNeloaLV28mIcAPXnyhF/nbaEiCAB4/FeuXOWK/4ULFlL6kHT22gPVe/ZS&#10;hh/Fe8URZdzip8QcRjtvVwLv5o0bHJkpbLSzQCAQvAlEAFRAwCBgcuCD+/dp+9atNHL4cOrbqzd7&#10;j/A6i1oboBGeJxbu9O/Xj0apYy1euJB279rFeeeHysvF0iIYIniiZRF+hgDYps4LWwn1CuYgANAL&#10;v2LFSu6r1zPQJUltUx/y+1jre+jQYdqwYSPNmT2Hhg0dRv0j+1NrdGl4eP7pvZoiPiMIBIgF1HTA&#10;6x83Zoz6PLfx7Abk+yXULxAIShMiACogYBi0LoGvv/qKbt++TevWrKW0lFSeKofaAOwKKKoQwGMx&#10;PwC5avSmN2vUmDcCYgbBhnXreXAQBgihNRFFaKhJgAjR8tElbahwbnt37+auBxQ7aueiEd5ybMwA&#10;bq3Dbn49o/061Cr4QYT4QRj/e/fu09Vr1+no0WO0Xl2PcWPHUoQy2C1Cm3NVP3r0nYqRhsE5QNjg&#10;PDCvAVGc9WvX0d27d3mhE6r8y0psCQQC84UIgAoMGAh4yzDMt27eoh3bd9CUSZN5giAMC0bGwrDr&#10;GaHCiPQAZgi0bdWaEmLjaOyo0bRowQLavHmzMoJH6crly/To0SP69ttvuXiwpHPUON6li5dowrhx&#10;7OmjGh5LcjA1D6102Jo4ZfIUOn78BI/V1TPmxSWMvubpY2IflvQgt3/g4CHKzV1NU6dOo2FKEGHc&#10;L1b1BtetS65FmN1fkLi2/t4+XIg5MDaWOzvwud2+dYs/R4FAICgriACo4IAXDo8crYIYI4xowL59&#10;+2js6NEU3rETz/tHgZneqlpThIeK5yDUDg8cYgD5+E4dOtDgpCQeLLR18xaeT4DpgahQhxBAdACC&#10;BAZcixK8ToQAz0NkA33vK5Yvp7SUFBoYF8cjdrMys2hmzkxus8MiHuTi9Qy6KRp7+DD4ICb5wfBj&#10;pO/lK1d5zS829GHVL2b5Y3If9vrD20eKBfUW8OCLek1xPREdwHPQhYG2QHw+GL2MCYzfffcdf37l&#10;qRVTIBC8+xAB8A4BhhMV/GgXPHbkCHvtGWlDeIpc/aDgYncLFCTnq5U3Dg8c+wPGjBxF8+bMpXVr&#10;1/KkQewewFhhRAdgwPFetJRBcQDBAIOItAPGFW/fto3WqtdYuXIVbVLCA4V3MNQw4npG3hTxeAiG&#10;Bw8ecuQAo3sxpW/f/v08n3/J4iU8rQ95/dTkwRQV2Z/C1bXD5r3iCChjQkjhuqE+o1f37pSVkUGL&#10;Fi7k1c3Pnz9nr18Mv0AgeBsQAfAOAYYTxgReOOoDMDL2+KfHab4y0gilIxqAvLOWU9czWIURz4NB&#10;QxgbXjCKB1H41rpFC4qOjKQRw4bRgvnzeZc/9tM/efyYixW12gG8r/wIQV6UQCPEizG188Bzf/zh&#10;B/pcGfAHDx9x6x28dRhyzZtnGuXsC/JJ3hY+PO9unpePfP6WLVto0eLFPKkvISGBOnXoSP4+vuSm&#10;zgu9+BBMONfXEU2a148ISsvQUEpKTKTcVat498JXX37JAgfnh3MtboREIBAISgIiAN5hwOh+rozj&#10;BWV0Nm/cRNOnTqWUpCTq2jmcvVoYuNf1bI2JIrgGwcHUrnUb6t2jJyUOjKehmVk0Ydx43jqISXZr&#10;V6/m1j6MIj554gQXFsIYXr92nZ4+eUJfvHjxEiFeUGOA9ALEzI8//kSfq59DBNy8eeslohf/mjrO&#10;5ctX6PSZs+pLfZyOKAOPSMGOHTtp3dp1PJwnZ0YOTRg/QQmV4TQkNY0Gxg2kvn36UFjHjtSscRPy&#10;8/ZhgaN3jkVlvscf0pCvRVZ6Bs2bM4d279zJrX1YtVyehi4JBALzhQiAdxzwLjWPGt74qZOnaO7s&#10;OdSzW3cuRivONMGiEJ5vHSUqICxAHB81BDCIHdu1o6jISBo1YiTXEcxUBnn50mV0+NAhOnf27Eu8&#10;fOmSMu4388PkP/zwI3v6N5TBR+vfiRMn8wmDf/jwEa4LWLduPc8HmDt3Lk2bOo2ysrIoqn8UtWrZ&#10;ir17VOtr743fax71zuV1iKLLpo0a0cABA9jjx7wG9PNrUQ7x9gUCQXmBCAAzAtrLnn/2nMPzWzdt&#10;pjmzZvF6WUyuQ8U/xtaWhiCAUUQoPEAZYAy7ad+mLXXpHE5dw7vw/ILE+HhKGzz4JWIwUVZGJo0e&#10;OZKmTJzE0YTRI0dRpvrZ4KRkSh6UlM+kxEFcnT8wNo4i+0VS7569qIcSOOFhnamNOi/s0OfVuw6O&#10;JRLxMCaOh+vWrk0bXr+M94s5Ctjad+P6da5j+Nfvb2+okkAgEJiCCAAzglYjgNTA70ZFdps3bqSR&#10;I0ZQ965dKSggkPPfMNpapXtJeMg4Bo6FvDjC5Dg2CMGBPDs8c2MiPcF0cOB6AxdHx/yf4b3pEcdx&#10;ANUxQRwfr2WjXrMkDL92DjguXg9tgBAWuG4w/Fs2b6YbN25wASTSFsjxa56/QCAQlDeIADBjIBeN&#10;FrT79+7xCOAN69fTzJwcXjaEokHMEkDrG4xdSYbJKyohRAzLlFpzKgN1Dqhx2LhhA29XxGRGhPsR&#10;aZFQv0AgKO8QAWDG0CIC8FRhtFBt//TpU64TWLFsOQ3NyuaCQbSwoV4AYXwtOgDP+l0VBfDycX44&#10;T3RNoKgP59+8SVPq3b0Hp01yV66is2fOcrHizz/9xNdP8/hxXUUACASC8g4RAIJ8oD0PBXfYCIjJ&#10;gogKbNuylZYsWkyTJ03iFcL9+kbwKmK0FEIM6BnQik4Y/Xp16/KSpKh+kRwRwcQ+FCzu2LaNuxgw&#10;cAlDkBBFgdEXCASCigYRAIJ8aJ6r1jUAQQCv9vvvvuM59YcPHmIxMCwrm4v3WoY2pwBfP8OEPFc3&#10;ngsAUYBcvFY/oGdg3yYRteCpfDa27OFr8wy83D24WwEFfUh9RPXrR6NHjKSVy1fQp8eO0eNHjzm8&#10;r40+1nL74u0LBIKKChEAglcCRg/9+J999hm35p0+dZr27dlDG9dvoKWLl9DUyZM5H47pgBG9+1D7&#10;1m0oJLieMqruXIxXXoQADD8ECroRmjRsyB6+NrcAQ4zQmgiDj02EB/fvp3NnzrCn//nnn+dPNRRj&#10;LxAI3hWIABC8FmAIIQywthZFhJ8ePcbDhhbMm8/GdEBUNIV16MCrbuvXDeLiOQzaQbQA0wPhcbu7&#10;uHK4HURFvVbhr1XxF4VO9sqLV0ZdOw5TefSISHir18DroVIfrx9Srx61Ud59r27daVBCAlfuz50z&#10;h9/3mdOneSARcvkCgUBgDhABIHgtQAAgFP5viIAff6QXn7+gR5jSd+MmzxlA2Hz/3n20Y9t2XimM&#10;osLZOTNp4vgJvAgnOzOLEpTnjRkEYESfPlxw2K51awpt0oQ99FcRewk6tmtPfZQXj66FmP5RfKy4&#10;AbG8AwFzAzA/YOaMGZS7ciV79rt37aJDBw/SyePHeRIhpvNhdwHG88LLxzkJBAKBOUAEgKBUgTw5&#10;euKx5x5tcpjwd/b0GTp04CDv1se2P3Dh/Pk0dcoUnkeA7X+DBw16JVOSk1lMzJk1mxYvXMQiA8da&#10;s3o17duzl06fPEWXLlyke3fvcgpDIBAIBH9ABICgVKFFChBahxHGfH/Mw3/x+edcWAdRAN65fYcn&#10;50EgYA1wwdHApnjlyhXepX/3zt38Yz16+JAnHmIgD14PaQrk7wUCgUDwB0QACEodEAEFiciAKaLC&#10;vqjUe74xjV9TIBAIBH9ABIBAIBAIBGYIEQACgUAgEJghRAAIBAKBQGCGEAEgEAgEAoEZQgSAQCAQ&#10;CARmCBEAAoFAIBCYIUQACAQCgUBghhABIBAIBAKBGUIEgEAgEAgEZggRAAKBQCAQmCFEAAgEAoFA&#10;YIYQASAQCAQCgRlCBIBAIBAIBGYIEQACgUAgEJghRAAIBAKBQGCGEAEgEAgEAoEZQgSAQCAQCARm&#10;CBEAAoFAIBCYIUQACAQCgUBghhABIBAIBAKBGUIEgEAgEAgEZggRAAKBQCAQmCFEAAgEAoFAYIYQ&#10;ASAQCAQCgRlCBIBAIBAIBGYIEQACgUAgEJghRAAIBAKBQGCGEAEgEAgEAoEZQgSAQCAQCARmCBEA&#10;AoFAIBCYIUQACAQCgUBghhABIBAIBAKBGeIlAbB9+w769rvvhUKhUCgUvuPcsWPnHwJgRs4sOvbp&#10;SaFQKBQKhe84c2bO/kMAjBo9jjZt2S4UCoVCofAdJ2y+CAChUCgUCs2MIgCEQqFQKDRDigAQCoVC&#10;odAMKQJAKBQKhUIzpAgAoVAoFArNkCIAhEKhUCg0Q4oAEAqFQqHQDCkCQCgUCoVCM6QIAKFQKBQK&#10;zZAiAIRCoVAoNEOKABAKhUKh0AwpAkAoFAqFQjOkCAChUCgUCs2QIgCEQqFQKDRDigAQCoVCodAM&#10;KQJAKBQKhUIzpAgAoVAoFArNkCIAhEKhUCg0Q4oAEAqFQqHQDCkCQCgUCoVCM6QIAKFQKBQKzZAi&#10;AIRCoVAoNEOKABAKhUKh0AwpAkAoFAqFQjOkCAChUCgUCs2QIgCEQqFQKDRDigAQCoVCodAMKQJA&#10;KBQKhUIzpAgAoVAoFArNkCIAhEKhUCg0Q4oAEAqFQqHQDCkCQCgUCoVCM6QIAKFQKBQKzZAiAIRC&#10;oVAoNEOKABAKhUKh0AwpAkAoFAqFQjOkCAChUCgUCs2QIgCEQqFQKDRDigAQCoVCodAMKQJAKBQK&#10;hUIzpAgAoVAoFArNkCIAhEKhUCg0Q4oAEAqFQqHQDCkCQCgUCoVCM6QIAKFQKBQKzZAiAIRCoVAo&#10;NEOKABAKhUKh0AwpAkAoFAqFQjOkCAChUCgUCs2QIgCEQqFQKDRDigAQCoVCodAMKQJAKBQKhUIz&#10;pAgAoVAoFArNkCIAhEKhUCg0Q4oAEAqFQqHQDCkCQCgUCoVCM6QIAKFQKBQKzZAiAIRCoVAoNEOK&#10;ABAKhUKh0AwpAkAoFAqFQjOkCAChUCgUCs2QIgCEQqFQKDRDigAQCoVCodAMKQJAKBQKhUIzpAgA&#10;oVAoFArNkCIAhEKhUCg0Q4oAEAqFQqHQDCkCQCgUCoVCM6QIAKFQKBQKzZAiAIRCoVAoNEOKABAK&#10;hUKh0AwpAkAoFAqFQjOkCAChUCgUCs2QIgCEQqFQKDRDigAQCoVCodAMKQJAKBQKhUIzpAgAoVAo&#10;FArNkCIAhEKhUCg0Q4oAEAqFQqHQDCkCQCgUCoVCM6QIAKFQKBQKzZAiAIRCoVAoNEOKABAKhUKh&#10;0AwpAkAoFAqFQjOkCAChUCgUCs2QIgCEQqFQKDRDigAQCoVCodAMKQJAKBQKhUIzpAgAoVAoFArN&#10;kCIAhEKhUCg0Q4oAEAqFQqHQDCkCQCgUCoVCM6QIAKFQKBQKzZAiAIRCoVAoNEOKABAKhUKh0Awp&#10;AkAoFAqFwiJw4+ZtBbiVNmzSp/Hj9I5VHigCQCgUCoXCIhCGfe36TbR67XpambuWlq3IpSVLV9DC&#10;RUtp3oLFNH/hYlq0ZBn/fNXqdfxYEQBCoVAoFFZAwuiv37iF1m3YTLlr1tPS5avY0M+aM4+mTs+h&#10;CRMn06hRYyh76DAaPmIUjRs/kaapn8+dv4gfu2btBn4ujqFFBvRe521QBIBQKBQKhTqE0c5ds449&#10;/ClTZ9DQYSMoIWEQRfWPpn4RkdSrV2/q3rU7hXcOp44dOlLnsM7UrUs39fM+1D8yiuIHJlBa6hAa&#10;O24CzZm3gCMDiAqUFyEgAkAoFAqFwgKEgV6tvPcFi5bQmLHjKTp6ALVs0Yq83D3I0daOHGxAW7IH&#10;69gY0ZZ/7qAe4+7iSgG+ftQ1vCtlZmZTzsw5tCp3LUcEIAL0XrcsKQJAKBQKhUIjrlm3keYvWMSG&#10;PzZ2IHXu1JkaN2pMPp7eZKeMfO3qNYpE21q1WSwEBwZRu7btqU/vvjRoUDJHBOYvWMx1AnqvX1YU&#10;ASAUCoVCoSK8fnjmyN2PGDma+vaJoLr+AWRTsxbVUaxdvSbVUoa9Fv9ZkLXyaPwzPLYG1alRi4/h&#10;7OBIgX4BnCIYOWoMLVi4JD8doFHvfZUWRQAIhUKhUKiIkD/C9BmZ2dSta3dqEFyfnO0d8j36WjVs&#10;qUZtT6pepy5Z2TYkK/vGik3I0rE5WTi1JgvHFurfzcjKrhFZ29RTj/WmmjUclAiow8/XRED94HoU&#10;HhZOyckpNGXqdFqybGV+kaDe+yotigAQCoVCoVlzozK8yMsvWryM0oZkUKeOncnPx5dsa8Fw53n2&#10;NepQ9VqeysA3Vca+M1V17UufeEQrxlBlrwSq5JNKH3snURXPWPrEPZKquXQnS/uWZF3bj2rUdGUR&#10;gOMgioDUgJuzC7Vq0YpTDBMnTaHlK1dz6qEsowAiAIRCoVBo1oThnT1nPmVnD6POyjMP8PUnRzt7&#10;ql0Dht+Oqiuv38ouhKo5d6Aq7n2psudANvYf+6Sw4f/IN4M+8s+mj/wy1b/T1M8H08dKFFRx70+f&#10;uHYjC8fWZG3bQB3HQx0PNQQGEeDj5U3NmjajiIh+NHToCJq3YFGZFgiKABAKhUKhWRLeNkLvy1fk&#10;sgFGSx+Mv03N2gbPn42/F1naNVUef29l9BOVsU9Xhj5LEQZ/6B/0zyP/G78D1eOUOKjsGUfVXHoo&#10;EdGYarAIsFeszbUBEBrBdYOoS3hXNsiIBJTVACERAEKhUCg0S8L4r1q9lmbOmsNeeN2AQHLinL9m&#10;/H2V996GqrhFUGWvQVSJjb8y7P7DisGhVMk7TYmARBYRFo5tqbpNMNWs6cLRANQFuDg6Uf3g+tSv&#10;XxSNGTuBawJEAAiFQqFQWEpEuB3teMOGj6TmzUKV4c8r9qteh2rU8lAee1Oq7BGjvPhMgzef7+nr&#10;GfpCiOf5ZnN6oIrnQLJ06pQvApAOAJ3tHalpk6YUHRVD03Nm5Q8M0nvfJUURAEKhUCg0S2KeP4w/&#10;Kv4R+tcEQM2ajmRp30x57H2U956sjDi8/tcw/Mbk1ABqBFKpikcsVXXpxp0EtTgSUIdrAjzd3KlF&#10;aHNKSRnCo4ZLe06ACAChUCgUmhW13D9G/GLCH3rz4YEb+vZrc96/qms3+tg7hY22rkF/bUIIZLGw&#10;qOYcTjVsgpTgcM4XHx6ubtQlvAtlZQ2lRYuX5s8J0DuPN6UIAKFQKBSaFTeg8G/lapo8ZToX38H4&#10;wwOH8a+hjL+VfShVcY9W3noGG2t9Q/66hABAOmAIVfGIIQunMKpeJ4DTDkgFYLQwxgdjTsCEiVM4&#10;SgGxonceb0oRAEKhUCg0KyK/Pnf+Qho6dBi1bN7ij9B/DXse4oOKfbT5GXL+eka8BIgoAGoCPAaQ&#10;pUNzqlHLTb2+bf57CQqoS4MHp9KceQt5QJHeebwpRQAIhUKh0KwIgwrvPz4+gRqFNMo3ujVqOlI1&#10;p3bctveR8tBLVQDkpQKQZkB3gKV9C6pe2z3/vXh5eBpSAdnDaMmyFbrn8aYUASAUCoVCsyKK64aP&#10;GM3Ff4F+WvFfbeWFuytj3F0ZZRh/hP5LUwCAQ6mSbyZ97DWIRYC1TRDVqm4YFISRwSH1G/Da4Zmz&#10;5pbKbAARAEKhUCg0KyL/j618DRs0JDcnF2V00ffvxK15Vdwj8tr+Stv45xFzBTAsyGMgWTq0UiLE&#10;U70fW65JwHyAVi1b0egx42jZilXctqh3Pq9LEQBCoVAoNAtq1f+Llixjzxptd3a16/BUvhq1fZQB&#10;bkGVPWOVYS4j429EtAdWdelB1naNqIZRVwCmBCYlDaacWXMod8163fN6XYoAEAqFQqFZEAIA4f9Z&#10;s+dx+B9jeOvUqEk1a9go778+VXPuQh97JSqDXPYCAFEAvHZVl65UvbY3oSURAsDH05u6detBQ4eN&#10;pKXLV+qe1+tSBIBQKBQKzYLoqdfa/zp1DGPvH0a2Zg07XuNb1a2f8sQH6xvo0iZaA5UIqOIew4uD&#10;8J6QmnB1dKbGDRtTTEwszZ23kCMYJVULIAJAKBQKhWZBCIDFS5fTuHETqEO79pxnZwFQ0573+Vfx&#10;jFNGeIi+gS51oitgKEcBLBzbUfU6fryPwCavFqB9uw5KuEzjDoaSmgsgAkAoFAqFZkEYTqzcHT58&#10;BLVp1dpIADiQhXM7qqyML7xwfQNdNqyEtkCXnmRl1+SlCYFNGjam4SNG0ZKlK0qsGFAEgFAoFArN&#10;gus3bubNf6mpQ6h5s+YFBEB7qszDf96yAPDFhMABZOHYgdsSNQHQILg+JSencEtgSQ0GEgEgFAqF&#10;QrMgBMCMnFlsSEObhr4kAKo5d6KPvVOVACjp2f/FJFoCvZK5I6B6bR/1/rAtsAYF+gfwyuIxY8fT&#10;ylVrdM+vuBQBIBQKhUKzoCkBgAmAn7h2zTP+b6EDwJi8NTCLKntEGQYD1TAMBvJy96B27dpz9GLJ&#10;spLpBhABIBQKhcJ3nsj/owVw4qQpFBs7kBqHNCKbmrUMAqCWkxIA3ZUBfsvG34iVPQdyZ0LNmq48&#10;p8DJ3oFnAvSPjOIthnrnWFyKABAKhULhO8816zbS0uWreARw7159qF5QvXItANANYIk6gDqBvCQI&#10;8wqwKbBTh040d94C3XMsLkUACIXCMie8MdyQ0ZM9f8FimjlzDvdmT52WQznq7/MXLqZlK3JpzdoN&#10;pbYLXfjuEd8VtPqhSh5T81Axj61/02fMomHDR9LAgQnUNbwbNWnchDxd3am2MqovpwDKYv5/0fix&#10;dzJVc+5G1W1DuEYB7xMioG2rNur/yGw+xzf9vyECQCgUlgm1mzOYu3od5zH5xjxsBCUmJvFo1qio&#10;GP47btbTpufwyFYIhQ2bDMNPRAwIC1L7XmiGf826DbQyd40y/Is43J+ZNZTi4uKpjTKcGP3r4uBE&#10;jraG/noY1VrVayoB4ERVlQCoxB0A5UMAVPLBlsA+ZGUfqgSAU74AaNWiFU1RYhkCB+esd02KShEA&#10;QqGw1IkbNLx+ePxz5i2gUaPGUkJ8IvXpHUFhHcN4JzsWs2DiGf4e1qmz+l0fGpSYTCNGjKbZc+bT&#10;qty1Jb4MRVjxuW7DJlqxag3nxWfkzOYq+fT0TIqLHUg9e/SiDu07UGizUPLx9Mr3+A2syUt3kGO3&#10;tg2mT9z6ljMBkEafuMeQpUNbfo+aAGgZ2oLGTZikznm1CAChUFh+qXlmWGUKA44bdIa6OXcN70q+&#10;Xt485tTZ3oE9Mvs6NuRgY8t/x8/cnJwpODCIK5/T0jKUcFioPLu1fDyJBJgfjT19iEmDt2/I68+c&#10;PU8Zs7G84a97tx7UtElTCvDzJ1f1HULxnIP6TtnWqsOjdQ2b/+ooo2rPffZWtg2pmlMYLwGqVB66&#10;ADT6pvNgomrO4fnzACAA0L0wctQYWrx0BV8HvWtVVIoAEAqFpUbcoBCqnDd/Ed9sUH3dsX1HCgqo&#10;m9+CZUx7RVflmeFP/NvJzoH8fPyoQ4dOlKhu7qgRwPEkEmB+1IQkokj4Pk2ZOoOjQ8lJg6lfv0jq&#10;HBZOLZq34Ep5dxc3NvrG362aNRyoRm1Pql4nUBn9ELJwaK4Mfwf6xKUnVfYYwCF3Xs1bXgSAXwYP&#10;Jqrm0lW97z8EQDMlbpAiW7h46Rv/PxABIBQKS42YWLZo8TIaMWqs8sx6UoP6Ddi7t61Zi+qoG5qN&#10;oq2inaKjorcy/g2Uh+aV93P+vRIK7i6unB4YPDhV3fiWlfhaVGH5I3v8yujD8LO3r75L7O3Pmssj&#10;cWMHxPJ8/HpBweTi4MgRJNvadbiyv04NVPcj3I8wP7x+w7pfa7tQsnAKp0/cIg1b/3zS83b/Z5Uv&#10;4w+aEABNGzWhrKyhXDwrAkAoFJY7amFaVPNnZGRTjx69qEG9BmzIcYN2Ujczf+ua1Mq6NvWzsqPB&#10;Vo400tKZJlu60ExLV0q1cqAw6zoUaF1LCYGaZKdu7l4enhTeuQtlZGZzHQGOj9fRe31hxSUMPz5b&#10;iEesv501Zx6NHTeBhgzJoJjoAdSjew/qoAx/k0aNyd/Hl8P8WjsfWKu6DWGGfo3a3pzbt7RvTBaO&#10;rZQhheHvR1U84pTxT+YQOw/d0TO+5YEmBEDDBiEshDHSeO36jbrXsKgUASAUCkucuIEjPzth4mTq&#10;3Kkzh/HhoWk3aV9l/NtZ1aFMSwdabeFGpy286XG1APqyWl36SvGghZcSA04UZmVDDtaG52B1K1IH&#10;nZUIGDt2gqQC3hFquX3j/D4+28VLltPU6TmUnpFFPXv2osbK4MPYwwgavkfqT/V37M1HJb9GVMxz&#10;mN++hTKePaiyRyxVYmOvtfiVY6NvTBMCoH5wPS5wnDJ1Ov8f07umRaUIAKFQWOLExLXZc+ezp4LQ&#10;PQqx4KUht++pbtI9rWxpjoUr7bTwpAsWPvSgmr8y/oH0bbUg+k7xVjU/FgETlQjoam1LAUow2Knn&#10;wwBggAtaBkePGc+rXfVeX1hxuEEZfMy2X7BoKU2fMVMZJUOHCIw+xGOrFi05zI8WPkSCNBFZm4v5&#10;7KhGLTdl8P05r2/p2IIsnDtSVdceHOav7JnA2/U4zO+PEL+OoS2vNCEAGigBEJ+QyG2yIgCEQmG5&#10;I3r8UancS93EvT08Od8PuijjH6Ru3JlWjnReGflnyujD4/9W8Xtl+H/II/79Qv1unxIIEAGdrG3I&#10;SYkAG3UDdLSz5zGuEAFTps2gdes3secID1LvvQjLDzUvn3P6ynjlrllHy5av4u6QUer7kpQ0mFv3&#10;0P1hX8eWDb6W16+NvH6N2oYK/hq2isrTr+3DVfyWju24Z57X+Xqn8UKdl/P6FcTrN6YJARBSP4SS&#10;kgfzwCxJAQiFwnLHOXPm81Cfxg0bkbO9Ixf5wfh7KLqrv8dZ2bOHf8/Cj75Wxl4z/MaECLipRMKu&#10;ap6UYelITa1rq+cqEaCMAaq80eqFCIM2I0AEQPknt4OuXsdV/BMmTqGs7GGUkDBICcXe1LZ1W65w&#10;DwqsS84OjkaevoE1a9jk5fXr5eX121BVZRyruPfl9bkfeyX9YfgrosEvSJNFgI25DgbXUIoAhUJh&#10;uSGMMHK4GOvbtk1bcnN24Sp+F3Xzqq88/3pc4V+T+lrZ0SoLdzpn4UNfKE9fTwB8pwQAagJuKxGw&#10;zNKVBqjnhFjX4s4ARAI8XN2oS3gXQ0X0wsX8uhs3S1FgeaBxPp89fWX00b63QH1OmP6YrQw/CvrC&#10;OoVxUZunuwfXeOC7YvD2ladfXfP07QijcKvX9iJr+2Zk4Wwo5qvsMdDg7bOnn+ftc1HfO2D8QQgA&#10;nTkAzZo2oxEjR9OiJctFAAiFwvJD3JAwoWzEiFGc+8dNvY4y+MHKcMOAJynPv7/6c5D6c5SlE22z&#10;8KRn1QJ0BQBSAqgHeK4EAooEl1q4KeFgy1EARBRQVBjo50+dwzrT6DHjlIHJlaLAckDN+MPb19r2&#10;UK+RmpJGkZH92ehj2mNIvQbk5+1LrkokGuf20bZXs6aL8nr9lLcfYijmc2rPs/qruPenyp7xPCe/&#10;ks8Qg+HXM57vACv5DqEqngPJwqkT1zloAgBTDWUQkFAoLHdE69a8BYsoNW0Ih3L5pqXYyroO5Vi5&#10;0AorV5pr5UzDrRwoQhnzecqzf6AEAAy9KRGAVMDn6jEXLHxprJUThSoD4ZFnLEBfbx+uioZniRnw&#10;kgooe7K3n5fXx7TGJctW0Jy5C2j8hMnqu5BOfftEsNFH297LA6BQ0W+YzIeCvlo17KkGRvPa1CMr&#10;h9bK++1Bn7jHKoOfV8jHnr7y8DWWuLeP4yKS8PZrByr5ptEnHjFk6dhWCYA/RgFDAKBQEtdYBIBQ&#10;KCw3xEz2adNmUGxsHAX4+hluWooo4ltj6UGHLbxoj/L6xyrvP9S6No1Qf16t5scdAAj5mxIBqBN4&#10;WM2fdqjnjrJypOZKUGhGBIOFQps0o9iYWB4JiygADJLe+xOWDnng05JlNG3GTB7SMzAunrp07kKt&#10;W7bmwTVo3/Ry9+ACTu1z4yE9NdCz72Jo27Nroowd8vrhVMWtr/L2leHnor5UQ26fq/hL2SArw4/I&#10;AubwV3rL9QSGZUARZGXfnOca8P8lJQCwDGjS5KlcS/Gm33MRAEKhsMSIFb4Ix/fp3Zd8vLwNNy3F&#10;7lZ2tM/Cm25Z+NE1xRnK86+rBMAgKwc6oX7+zMKfPX09AaAR3QK31eN2W3pSjJU9eVgbRgYjZ4xJ&#10;cM2bhtLw4SM57Izws977E74ZYXC08D569ZF2QS46B1X8mMWfmMSz+JHXLziKF8REvlqc17dno1ad&#10;i/oaKMPfXhm7vhzeL5vQPjx9UIkK38w8o5+iBMcgqqK87ioe0ervCepnEB9vJ83wMQoAnbtxGgRj&#10;jHH9kPbCECR0AEDovmm0SwSAUCgsMWL/emZmNs9lh8eHmxYEQC9lsI9b+NDzagH0meJqC3fqpLx4&#10;TPyDV3/DwtdkN4BGLRVwVT0WqYNIazslIjD2tSaHlVEP0LtXHy6QWrpspe77E74ZYXQQ4l+waIny&#10;QqdRRkYWRfZDXr8zNQ9tTiH16pO/rx+5ObkYivnyDL8hzK+8/VoeVB3hfeXVol//E9ceeXn9gfl5&#10;/UowuByC1zeMJcOh6nVg+FP5tau6RfBCIEv7UGVw6xt2BWBPgFukQQToHqN0CQFi4dCaWx1RDIlF&#10;WUh34Ts+d/5CFmIiAIRCYbkhFpQkJ6dSm9Zteewv5vm7KU89Thn6i9V88435HgsvGmhlRxnq54uV&#10;MT+h/m2qG6AgIQI+tfCm2ZYuPCkQY4XxOmgdw0rhfhH9eaDMauWhvmmO1FypFfLB4CO8j9QOJvNh&#10;LO/ESVO5fQ+LnTp1DKO6/oF87SHENINv2LiHVbsOiujXV4a/jp8y/E2V4e+sDG4/Q8++L7z9Mgqx&#10;K2GBsD7C+xAbVTwGsoGv5tyFrO1bcBoCUQlDlMKO/23p2IEFQn6Xgd5xS5oclciiyh4xPOOgZg1H&#10;vp7oqGnauAkNHJjAn4Xe51ZcigAQCoUlxgULl1BiYhK1bNGSb1iY+tdOefrjrZzpRjX/fCN+XBnw&#10;cVaOlKUEAAoCN1u6c2TA2NCb4tdKKKAe4Eg17/z5AG4QAbVq83rh5s1CKTV1CM9Kl6VBr0cYfxj+&#10;ZStW8URH7NjHdL7uXbtzXr9xSEMKDqzLO/Yx5dG4sA+jeWvWdOTpfNZ2jckSxXw8h79Pfmj9Y+/B&#10;ysgZj+fVMYQlTBQSVvGI5fdRTYkQK7umZF0nQL1Pb6pZyy3P0BpqS7gToYYDVbcJUmKlNz8XEQO9&#10;45Y41et87J1Kn7j25msIQYL3hGvduXM4t73ic9H73IpLEQBCobDECAEQHz+IWoS2YAHgr26kEda2&#10;NF9563eMBMBFC19aoTz/bGX8I61saYH6O3YBoODPeCKgHrXH3FfHW2HhRgOt7Hk+AFoDkW7A5EG0&#10;BmKqHJbITJ06gzl9+kyanjObt6jBo0XFunQMGIjrgLy+oYJ/Jc1T1wiz5lHQh2FLEX37UWiz5lzX&#10;8XJuH4V8mrfvzNXq1Wt7chgd0/mqufakT9yjlbc/SHneGYZ8eqlV8IM4tvKgsdffdwgbbhQSVvaK&#10;o6rKoKKlzso+VBn2YPV+XZRx/SNqUadmLbJ5qUOhBp8PwvBIUxhSAaUvVrC3oIpnrHqvHfMHAIEQ&#10;XANiYvMLAPU+x+JSBIBQKCwxFhQAAUoA9FMCAAb+rpEAuGPhRwcsPZX370QtrOvQaEtnFgjfVHt5&#10;JHBhxKhgpBVWKhHQQ70Gog08H8DGVokAL6pXN4gnEWK6HNiyeUteHxsXF883UewRkLkBBiJVsnjJ&#10;Ml6+M3z4KIpPGMR5/UbK069XN5j8ffzU5+nK19Y4tw/vlL392gjvY9Wu8Rx+9OsPpo99MJq3jLx9&#10;CAvfDH5d7Piv5tKdJwZa2jUgaxt/ZVA92KgjNaF5+yDSFxA2SGW8fH426ty81DFaKiGRlwoo5XOo&#10;pN47iv+08L/2Xho1aMgTAOer/2NvugNAowgAoVBYYiyqAHiqvP3L6Ou3dKH6SgCkWDnSBWXMYdS/&#10;f0UxoEZtX8BZ9bxxSkB0trLhFcNaJEC7cWrETHlnRycKbdqMoqMHcFgbvdS4mSLkrXc+7yJh7OHt&#10;r1i5mhYuWsp5fUxuRGgZ8xR6dO/JPfte7p4FriG8fWXwuVffJS+vb1jCY6HN4sd0PuUpG8LlpW3s&#10;DblyRBYMef0kJTriqIpHfxYhFk7tOQVRg4vo7JQx/8Oww+A72dmTp5sHBShxUz+onvrONqdWLVux&#10;4Plj8RDOuQ6fZ1XXbhxNYDFTGi2JfD6ZfA0x/KhGLS8WIBAkaHVt16Ydz1VAlKakaltEAAiFwhJj&#10;UQUA+v4fq3+jHbC+dW2Kt3KgwxbevBXQ1DyAgoRQgAjAcQxFga4UZm3D+wYgAl42XoabPkK8Lo7O&#10;PJAG8+exrhiRAHMqFkRuH1PkJk+ZRkOGZFJERCS1UcYF3j6MIaInqOLHFEfj68dLeDChr04QWTo0&#10;V14q8vp92dPmfn0f5MmVceQwfykYyIJUr4HXq+yVRFXcY9T76cpRCGubIGX0vRXdODqBCnqD8f8j&#10;3I9zC64bRB07dKKo/tHqOmTwiunxEyap728idWzfkVNJhsfXVILHiarb1udzRqtgqUQC/JD7T6ZP&#10;XHupc6ir3reNet81OSqBDYDotsDei5KccyECQCgUlhiLKgCw9hciYKmFO7W1rkODrB1om6UHXbfw&#10;LbIA0Ij2QYwTPqZEwFhLZ+ptZUutlRBopo4LNlEMUSLDB9sE8wwAiFG0UZFRHAnA7IB3qSbAuIof&#10;+WLk9efOW8grZDGnAYa/f/8Y6qQMYAN1Hf48jhfLdzCD35nz0NXr+CijFEyWqOJ36mQw/Fi1i/A+&#10;G0Mdg1bShLBQBh/rfVFTAOFhKOgLV4KkLc8TqFnLXQkV1CgYGXt1XhB9KKJDHh0zCpAOwnRCXIeJ&#10;k6ZwXQiu0+q169U1msn1I82aNGPPGx44Tyqs6UpWdg2pqmtPPnfUGBjqDd5QCPAxMjn0j+tqad9S&#10;ef+G0b8g3neX8K7cebF02Qr1+Zbcd1QEgFAoLDEWVQAgzw/vfYuFJ8VZ2VG2EgBrrNzovIUP/9zY&#10;wL+KGCOM2oGHSgRg1sB6Cw+apV5vkpULTbRypjFWTtxu2NXKhpyt/xAATnYOPDsgom8ErxXGWloY&#10;zYooAvCejYnz0Ir6MJIX3m1iwiA2JM2bNae6AYHk6+XNrZoIhXPxW42abPjZ+FevTTykx66RIbzv&#10;0l0Z3P7K+0VeP4nD/KW7eU8dUysWzGMlH3j7iVTVrb8SIV0MxXx1/AwV/Cjoq2GviCK+l0P9Hq7u&#10;1CikEZ87vPvsocN5hgG8abTTaQWhiAKBuGbTpuVwv31QYBB/T1hQIP2BMcVKaGAhUWVPRD1Q2PgG&#10;IgDP4zRG3thfDv17qM/gDzFWLyiYUlLSuBsD0Ru9z/91KQJAKBSWGIsqAECE8LESeLSVI422dqS5&#10;ymAfVV48jLnx44pKLRJw08KP2wwPWnrRAcU9lp7cZjjJ0pl6WNlyygFzA3BzRfsaCgRhGBAShxdY&#10;0QoDNYMPIwZjhlkMWMCDfDHy+gPjE9iYYYRsgK+/8oadCvTso+/dnovjYPSr2yCvXz9v3S4G9URx&#10;mJ1H4+oZsZImG0XDdD4u5lOio7JHlPKOeylvP0wZ/pbqPdZX79eTPXPtPHBOCO2jFdTP24fqK8OJ&#10;zXnhnbvQgAEDeQPhVGXYFy5elm/wce30rikiQng8phoGq+Og1VGLBNRU1wkiAK2E6A742CtZvV/U&#10;BRRTBHDOP4Ofj+2GFo7tyVoJGsM51eSCS5xHeOdwnr1Qkrl/jSIAhEJhiVFPABjaAPUFwBnlsS+w&#10;dKFxykvHjP/tynt/1URAU9QiARgo9Jni0zyivRC1BaeUKMAEQtQbYDgRCgUNHqIbD1hJSEjiCmvM&#10;DjBlGMoDNS9fM/wwCvAMMYVxRs5sGjZ8JA/pCesYxsVtvp7eXOwGw29fB1X8xj372LznTDWU4bG2&#10;a8bT8BBWr+wZS5W8B/Ecfh7Wg6I+zuvrGLISocHL14w/+uDRRYDxwOgsQKFh9dq+HBrHYCEUIhoM&#10;pWESJIhJeYhooJaha5duPLcAW/MQ0l+waCkbdQg8REZeFelZu34jjzjGFkOIAEMkAHsMECXBmmJH&#10;rjNAFIJHGHNxoHaNIASMmXd+xuTzhPEfRJ+49lPHaaaO56nOzfAa+GxQgwDjj8p/FGsWJlhelyIA&#10;hEJhibGgAMAcgF7WNjSnwBwAEAIAnQDrLN2U8XeiKGs7WmbhxjP/jR9XEkTK4al6/ctKcCxSYqSn&#10;lS3Vy5sdgBwxREC7dh14gBC2Cmoeot45vm3ifUGkYNwxNi+idQ9z+PHesWO/a16Y38/Hl2fHa8be&#10;QFS1OyhD6q4Mji8XzMH4YOJdVZfePCjnY6/BykCVQRU/E8Ywiz5CFb9XXhW/ez/1XropMdKO3xsX&#10;9dV0ZYNv3LePc/NSRhKLhmD027RqQ926dmfxgzA/vH2IIoij4hpOCAREgiAIMzOHUs/uPblmxNXJ&#10;OW9WAK4jWgS9ydJBCSfnMPW+UReBzYVIkaAgEjUCSJNgJkEG/xsb/pDrh7hB9KCqSxceP4xWQxwP&#10;ggxRDBh/DFxKU5/prNlzKbeE+v4LUgSAUCgsMRYUAD7qhtZFCYAZls50W0cA3KrmR7ssPWiIpSM1&#10;sq5NE5RQ+KKUBACiAyg8PKtEAGYHRFnZkWueQUEqALsLGjdsTElJKVwlX14jARAn8xcu5lkG8A77&#10;R0axsUBVu7c6B3j62LqHtsc/DL/B28fAHm7ds29JFs5d6BMOYcdzYZ3B04fBMvZi9Yx2SdFg/PG6&#10;GLdbzbU3F/NVt22gBIqX8oZRwQ9P32AYjc8FRKtea2X0+0VEco4cQ5/mzV+kPP2VHC6H4dcq5ov7&#10;OeLxICIBEFrjxk/iokGMmjZEArRrimgA0ifuXLlv6dCKhdQn7jFUxRMTD5PpY+wbwOhh9W8IrKpK&#10;4Fg4hfEkQsOcf3WOedP+QIgMiBlM1JypjD8+b5yD3vt8U4oAEAqFJUaEKpMHp1LbvF0AruqG1kh5&#10;2kOtHOmaMvYvG+W69KhaAG8DHGrpRIFKACRaOnAdwGllpFEQiGl/SAkgvF/UAUGvItoGz1fzoRwL&#10;wy4BP/X+bJUQgOflpt4z5ttnKK9vVgm3XBWXMEB4fQiRRYuXcV5/woTJ7N1iHjzy+h07dKQmDRux&#10;J4xBNi/n9m04ZI4K/uo2AcrghLC3CW/1E7cIZYwMPfsGL7UsvH1MucOQnlQOfWtV/FVdwsjCsTVZ&#10;2zZicVKrpot6/39ELnBOEDQ4xwbB9Tm6ge9X7169OeoxRhn+GTNns7df0lEb7TPA9R81agxHWFq3&#10;bEV1/QJ4A6U2ApmFAI8/9iUrdR4o5sNqYwvn9rz0CH/i35aOrTiqUb1OsPpsUMPwx1RFRDSwQrtt&#10;m7Y0KDGZZzOgpkPvfZUURQAIhcISI6qqsSEuLKwze2jIszta11DetoMyun8WAC+UAMAmwImWzhSg&#10;DDEM8gQlFnLUvxcpA31CiYDnymtH22BJCQB0GXyljnnQwpNfCwOEHPMMDcK7mHoHD2zosJFsfF/H&#10;gywJ4nXx+ijqg3cLjxC57SaNGnNrGFrUYBhhOFCg9rLxxzx+N8MsfqeOyrvupQz+AA4/GzbuISSd&#10;l7PO9/j1jXZJEq+P94FWOowKrm4TSDWwMAijhOHpFwjzg3a1bcjXy4ejSjDA+FymTJ3BUZDlK1ez&#10;p/+qor7XJY6niQC8DoYm4fvdozvqAupycaB23fG+uaZCnYfhfNBGibXHecS/XzrPWvw5aeeJiBm2&#10;aGKb5tx5C/j1SjsNJQJAKBSWGBF+xfx4TJPTBqlABPSxsldeve9LhlwLyz9SHvlcC1cKta5NzRSR&#10;MoiztqNhSjQgX7/fwotuK/FQ3PbAVxHphz1KBIyzdKJOSgRAgNRRN3Fne0fDoCDlYY8cPZYNTWlH&#10;AnCjx2uszDVU8SOvjwK2lJQhPLUQhh8LloIDgziyAqOoGQ7Dql1DGNowma+e8kAbk4VTW2VoYfhj&#10;qDLvtkfPfmkW8mlEaB9Degzevpbv/sStN1Vz6qTeW3MlTELUew1QxhDb9/4wgkhbOCnPGtcfef3W&#10;rVpz+17//tHK20+nCROncJgfhr80Q+OmiNTCrFlzabgSIdHRMTwuuWnjpuy5OyoxYLwU6VXEuWLo&#10;EtIKiCr06tmLsrKG0ezZ82iVep2yEJ0iAIRCYYkRN+axY8fz8hh4bbjRQQD0UgIAPfoo8DMe9AMR&#10;8LnyxtdYuFNPZYQbKiPsrYjhQJgPkKKEADoEDikRAK8dUQNjI/4mRGrhSbUA2lcNIsCRow/21jXI&#10;Rnl0SAfUD67PFeCoBMeNHwZa75xfh7i5w3iB7F0qTx9zCGbNmsODemJiYqld2/YUXDeYPUNMg3O0&#10;tVNGA96+MjJYwMMepGFrHcbdwtvHql20lBny+ti4h0I0ePrGFep6RvtNCIOvEREFFL2lK+M/mD7x&#10;iFbvKZysYPTh7ecN6kEtArzgOuo8EL1A5AXFmDhXzCjAhL7Y2HgaMXIM5cycwyF4hMMREcH1gmDC&#10;tSsLI2lMvC66CPA9hxDBfIVBiUksBAL8A3iCIiIy+P5ADLxM9TP1c/yO003OrizqBgyIY9GMFA8E&#10;NHcplLLnr1EEgFAoLDFivjz66eG1wovTBEB3Zcz3W3hzW15BTx6iAKt9p1o6U6ry+mMUs60caZqV&#10;M8Wr5/WxsuXuAHQRYPa/8XPflIhA3KjmRzssPClTvS4ECFYLI6wLYxRSP4Ri1Q0aIedlK3J1z/l1&#10;CIOP4jKEenFs9Oujer1vn74UHhZOTZs05R5whPiNvUbk9dGCVrOWJ4fPMZnO0qElVXPGdL68Kn42&#10;/Mjrl9aQHmPi+Mro84Q+VLfH0Seufbm63SK/ij9YCRQvqlHTURn9l3P7msFHG2b7du2pZ49efB3g&#10;CSMHjqLS8jabAaIDQgARCLQKos1w6NARvGSqrxK+iNZgwmK7Nm154mBok2Zs6DHLv0P7DiwWuqnH&#10;oHgxbUgGDyVClElrUdR7zdKiCAChUFhiROhyes4sHqyDKXt8o1fsooz4VmVkYcQL9vnDCCPEf0R5&#10;+bssPWmLpQftU4+F1z/Y0oHH+WJb4FH1b/TzI2pQUvUAiEZgbsAd9forLNEZYMsiACODbZVniqEy&#10;bVq35dGwM5V3XlyvU/P0tRA/jAa8WK2KH/nemJgBbCA8XNy4gh+5ffS0w2P8w9OvrWjLU++q1wlU&#10;3n5zquYUTp9gSA8m0nG/Pubww9PXDH9pGP+847Knr17HL28Rj1cidxSgwJAX8NTxJUO/Prx9Q84b&#10;k/TgCcPTx5AbVLsj/M09+wmDOOUxQ3138qfz5VXxa96+3vV9W9Q+V+0zhfGGQMTnilkM4ydOZq8e&#10;OwaSBiVTenoWRzPGjp/IAhmtfUj1LFfPMe5WKOvzFAEgFApLjPBsMXo2OTlFeXZ18wVAJ2sbWmPp&#10;TtcsfOnLAgIARhiFfhgUhLw8PHK0DOLvcyxcqb+VPSUp73yalQsv/YFgQC2B8TFelxAS6DBAGuJ0&#10;NR9apl4v1tKOtwo6K8JgoSiwg/JOM5WXjsVBuGHrnXtBwkjgxg7jgOlzMAyj1T0W+/WjomKoe9du&#10;7BWiqA8V7ppnbCBC+7Z5Vfz+vF8f3jSmxVV16cphfnjbhn5zGP3SMPY65LG1Q7hnH9EGQxV/Z67i&#10;t7JvQtWxxKYmwvwvRy60IT1Y0QyvOKxTGPXt3ZcGKeM4cuRo3lGADhIYfhj84ois8kK8Z238MkL5&#10;EAMoGpwxYxaPHcYwIrSXQihoqYy3LWxEAAiFwhLjmnUb2LNJT8/kxSu4+UMAtFcCYKnysM8rAVCw&#10;z99ghA2b/YyJnv3DyuufqQx/tLUd9VTHWGXhTs/Uz0tyWJD2+ogEQITMtcRWwdoUkDctEDlqzAhA&#10;H/hE5bXj5q537iBu6MbePm72WMIzTnl+MPxdwrtwyBvGEEZRyxUjF26YAJfn7fOwHg8ulrN0Ukbf&#10;tY8yuMrge6f84eWzFw6WlbeP8bxpPJq3qhIglk6dDN5+bW9l9BHe1yrb1XnUMIgnnB/OE8VumMeP&#10;4lC07qGYD0N2tGI+Yw8YhrSiCgBQOw98D5jq3LQoRsFzfNvnKQJAKBSWGA0e71oaoby6+sH18gVA&#10;K+s6lGNpmPX/ebUAXUNckBABiALszsvPd1UCYIylI+fr8XO957wuIQIQVUCNAVIP09V7RVGgtjMA&#10;uXjkqaOV546cr3ZD184bN3L8DN4fPL8pU6dzuxpa9/ooTxc5YeybD1LGHwV9Lw/pqam8fbSKYb9+&#10;oPKkGxXI66OKfxB97J1mMP66xrqEqUQFIguG8P4g9R6i6RPXHlTNqQNZODTnWfio4odIMfSyvzyo&#10;BwIHW/cQ4ejerTsNiInlcPiYsRMoZ9bc/EgKvi9v2wiaM0UACIXCEieWlzQOacjGAAIAefwxVo60&#10;x8KDF/boGeGChFGGp490AMQDugT6W9vSCCUGICQgEEqyKwDEaz5V7++ihS+lKLGB7YEcBVAeLdrT&#10;Gqpzyh46gkO4WrU2DD+8WBj/ufMX0eix42lgfCJ1aN+Re8ULjuPVNu7lV/FXr6MMqZcyqujZDzNM&#10;5/NOUkYYy3eU961noEuU8PKNqV5TGX+08GF6HaIPhp79YCVUsHXvz61uiJIYKt0VlbjBiuGIiEga&#10;OnQ4D+lZtmKVGPpySBEAQqGwxIl1qpjW5ubkTHbKKGAf/2Are1pn4c6td3rGtyBh3JEugABYZelG&#10;Ker5iAKEKyGA5UIXLHzYWOs993UJAYDUAyYUrlDvNVa9ZgP13m2Ul45wtq+3L/eko8gLhk3bupee&#10;kUVRkVHcs95OnXfjRo25N5xnxyvjqBlKTIzjnv3ayuDb1FPePvbrY+teF+XtR1BlruJP5jx72VTx&#10;K3KIH/voU5TBj1cCBLP4uypPvzVZ2jVmw48JdzV45a4tixbtfFDMp4X3EeXAdD4M60EKCHv258xb&#10;yMYfe/ZFAJQ/igAQCoUlzpxZc6hbtx4U4BdAjspIBCgD2kcZbxjuB0U02sjLY0jQOWXoVysBMFR5&#10;/q2t65C/dS1KVn9fa+lOV9XvDKOCEQ3QP05xiePgmBgXjJ0BvaxseZohIgEI32NKIPr009KGKKYr&#10;QRDFnQLYuKd5wWhx47w+V/HXVp4z2vfslKePlbt+yrBiJG9XZWyjCetg2eD75uX1tdy7nrEuCeZ7&#10;+ZjDn65eO0WJDoT5o8jCpbsSJS2VwQ8ibAk0GHtDTh/ng84E5PQxAQ8dCxA5WDMc2a8/byFEoSO2&#10;7hWsbBfjXz4pAkAoFJY40d8OI9mkcRNDa5synvWUIRlm6cgevZ7hLUgM/tlr4UkTrZwo1tqO2ivj&#10;r00LbKf+HoeIghIBNy18ua6gpAQACEGBNcInlAjIUu+5vhIdLuocYAAxhhfzAZo1aUahTUO51sFb&#10;/QztbZpnrG2Lq6m8ZsPynUZcKV8Vc/hde7Kx/RjT+fKL+jTDr2OwS5iGCX3w9uN4lS0W01g6tDCs&#10;3K2DYT2YUe+kzuGPUD8G9WDITaB/ADVvFsoja7GECN0eMPyTp07n2gcU9a1DakSMfoWgCAChUFji&#10;xAAXbGhr1649uTu7GoyIYrSlA12q5sutfIUZbPwe4X20AYZZ1aEmyugjjdBcsbVisDLITZUIGKnE&#10;wU4lEiAq8By09Okdr7jEe4MIwNyBeZau1FW9B7QG4jzg3RvnvPF3eMdcBZ8/A96ZsN+9um19ZVzb&#10;8EhebLwzTOfLG9LDoffSNPyap68EBmb/+6QZvH31PjCatxpP6AulGhjJW9NJefuG8L5WxY/aBcwk&#10;QBrD18ubxVznzl14Qh963DGyVutjR6U76iGMK9z1vhfC8kURAEKhsMSJzWzoBMBkN7TQaZ5kXys7&#10;OsITAQO4iM+U8UWdwEULH8q2dKLGyuBHW9rxxsAuVjYUpIwURADqAbpb21KqlSPtU8dEcWHBIUNv&#10;SswnwL6AMeq1WyrBoZ1HQRo27yGvH0zWdk2Vt99WefpdqYobtu4N4L55Q16/rHr2YfzRs59Blb2S&#10;qbIHJvT14h37lpjOZ1uPrOv4KZGCnn0H9f7h7RsEDohIR6BfAIf3uYp/QCyvHkY74/QZswwT+nLX&#10;GgohjbohhBWLIgCEQmGJ0zASeDqPBIb3qBmWHkoAbGOP3Y89dj2jCy/+qoUfbbP0pDgrB/b+J1s6&#10;c/sfdvi7K0+8nzL8Q6ztub2wjRIF8yzcuFbgsTLYaOcrqUgACgIxvGi9JXYV2Oafh8FTxoQ7B/ae&#10;0QtvbdeMLJw6UzVXZfQ9E/I8fRhiI7K3D+oZ7TckRxSy1Osir6+8fe8kquwZy1X8mBrIg3pqexB2&#10;B/zRiYAK/tpczIf6BrTvQbDV9Q/kMH9CYhLvJpg9dz6tXLUm37svSL3vgLD8UwSAUCgsceauWcdT&#10;0BITB3GhmGY4Oysjmmvpxm12pob5QBgg94+2QSwEilZca+HOq4HjlSDAsqCh6nfoDEBNASr1ExQn&#10;WbrwwiEMCvpGUe/YxSWiFJ9VC6Dj1XxYjNgrL9mGc/tuXMXP/fpOHamqSw+qwmN54/OK+spq894f&#10;rOSTrrz9RPrEI4qqufTkKIQVtu7ZBHAVP8YIY7qgwds3fB51atZSRt+N6gfV4+VDffpE8Bhn7CYY&#10;P2ESj6xdtGQZYUshivr0PmthxaUIAKFQWOJEXzzGnmL4S13/gHyD005567OVof7UwsvkREAM41mm&#10;jDsm/yUq4z/Z0omOVvOmK9X8KFkZfD8lAKbyMbxpo/LMsUQogmcE2PG0wTNKBCCFUJI1ATeq+dNw&#10;9T4Cq9ch5xpOVLNOAFk6dsqr4kd4P73sDD57+obcfiXfIVxIWMl7EFX2iFFCpLuhZ9+2MdWo5aOM&#10;/R9pC+5MUAYfWwVR0Ofp5s7iDHv2sfp4cEoaTzrESF58fhLaf/cpAkAoFJY4DcNxNnCxWHDdoHwj&#10;hIFAw5X3vtPCg+fvGxtZCABU/qMHf7Iy8CHK0Gcor3ubeiz2A1w1EgDj8wTAOUWMC55q5cRzBhIR&#10;CbBwppP5kYCSqQm4rwTAEktXirR2pAY13cnGJoQsXPvysBxU1VfiFr5SCu0XpDL+MPzaAp6qzl0M&#10;O/ZtGuTl9T25+4AX8Rjl9THHwNnRiULqN6DOnTrzPAMUao4cOYamTsuhufMX5rfw4fOT0P67TxEA&#10;QqGw1Dhx4hRq3jSUR+liml6QMt7I3y9VxhSrgY2NLLz158r437Two2xl0N2sa9Io5d2jawAFfleV&#10;EU5SAsBXHWOMlTOdUMb/kYU/t+uhUA91At2tbSjSypbTAxgUhCI+49d4XeL1kZYYb+VKbWt4kK1t&#10;A6qmjK/B6y9Nw6+OjWK+vLw+hgShm6CKeyRVc+lGlg5teVFQzZqu3IVgXMgHg48WTC83D14t3CC4&#10;HjUPbU4RffvxYqMp02ZwlAZTDcXYmydFAAiFwlJjzsw5FNEnghrUq08OtnbkpAwThgIhnF5wIBDC&#10;/wjdw3CnWzlysd9kHhzkz+mCS9X8KDEvAjDBysUQ6rcI4KgBPPQ91TxpiJWD8tJtOXKwUokArPk1&#10;fo3XJdISZ9XrLbV0pzBrJ6pV25uqufZWRlnbu69nvN+UecbfZwjXFmADoIVzGFkpb9/KJoiqq/eA&#10;bYG8iMco1K/R092DQps1px7de9DAuHhl9LNpwoTJPKQJC5tQqIlQv3j75ksRAEKhsNSIjW8pqUOo&#10;fbsO3E+uGScU1F1WxhlV9lqeHgIA4X8Y9lRl6BEBmGDhTDeq+tJtxYNVvSjK0p78rGrxsh5U5yNi&#10;gNQBiDTBQiUYkApA/cBwdYwz1Xx4y5+plsOiEgWLdy38aLelJ/VX790Ja3odOyjDjJW8KPiDCHjT&#10;SAAMPhbwGPL6CPGjhfAT9z5UzbkzFxxWV4a/Zi207v0xdAi5ffTsuzo6k4+XN28bxHCiDuqaxynD&#10;jzQMxhYvXbYy39hr3LRFDL85UwSAUCgsNWIewKhRY6lnj57k4WIYCAT2U0b6oIU33bcwDPCBkS0o&#10;AJytalBaVXvaWdmNtlV2oblVHCnMog7VVQJgiYU7T//72ijEj9kCp9Qx5ygRgGLDPlZ2tNXCk+4o&#10;w40ogfa41yEEBIQEuheGW7lS4xqu5GRTnyycOiojDRGASMAbFgEit48Jfep4VV178+5/TOezruND&#10;NWp7KG/fRXn79nnevtE8fmX8MY+/aZOm1Lt3H96xPzR7OC9kmjN3AS1ZtoI3NKJnXzx9oTFFAAiF&#10;wlIjesenTc/heQDeHp5ssGpZV6fuVrY8y/+yMvYwrJqRva+8+OPVvCixmi3ZVLWgjh9Xp4wPa1Ha&#10;h0o0fFSdgqpYkn+16rSyqht7/cZGGkOAkEKA0e+qjt/D2paW59UCFCw4fF0+VMdfoY4/0NqdGtX0&#10;JlubBmTlhLW9/Tg3j0l/lXywsvcVYoAL+QzePjb/4bmVPaIIK3ctnDqQlV1TntBnGMlrMPQgpg4i&#10;leLu6kb+Pr5ULyiYmjdrTuFhXdjbHzV6LLdfLlu+Sir5ha+kCAChUFhqhBFatGQ5V5v7evuw8Qc7&#10;WNVRnrqhkl8zzhAAN6v60Z6qHtT/45pU9aNKVOuDD8np/b+Tg6LNX/9Oln//kDwqVaXlVVz+JACQ&#10;SoAIwDHTLB0o0dqOUwLHLL3psxISAKgFuGDhR6vUMftV9ybfWl5kV9uLqtvUJUvHtlTVLUIZ9cGv&#10;TglwqD9NefuxVM2lB1k5tCRrdYwatX2oZi1X5ek75VXx/+HpYzwvlvD4KcPfumVrXrebNiSDxo6b&#10;yCH+BQsX07IVuVzUpy3iEY9fWBhFAAiFwhInDBDCzgsXL+PRsbGxA3lbnlU1C7KoWpXqVbWihKo2&#10;tKyqC134xItufeJLV6p4046PXWnKx7bU6u/V6O9//Su99/579Jf3/pLP99W/HT+oRDkf29PDT/zo&#10;i6p/3ix4ycKXplk6Uba1A02xcqatlh6cWij4uNch0hXoCDinRMAcK18aWN2T2tdwpcCaHmSPMcDK&#10;kFd17aY8+hhl4P9Y9MOtgsrgV/YapH4XS1V45W535e2jir8RTxKEwTcO7SO372zvyJETTOZrHNKI&#10;2rVpyz37WMIzZtwEXre7MnetDOkRvhZFAAiFwtemcUGZMWH8Z8+Zz2Nkk5JSqH37jspA2lHlSh/T&#10;3z/4gGr9/SMKUp58fKWatKKSA22s5EQrPnKgzA9qUKu/VibH9z+g95TBB40FAFjz/b9xWuBoZXd6&#10;oIRDQSN9y8KfVlm40TgrJxpiZU8LLF3objW//GLBgo8vDhFlgAj4XPGW4iHLujSzRj2KrhVEgbW8&#10;qHYtD2XMfXm7XhWPmLw5AZjQl0yfeAzg1j1U8aOYr0Ytd+XpO1OtGvZ5LXx5q3fzBABy+0GBdbmY&#10;L6p/NKVnZNGkyVNprjL6iKpwFb/07AvfgCIAhELhaxNhZoT5l6/MpXkLFitvfyaNGz+JsrKGcesZ&#10;lgG1VV5rgH8AWVla0gcf/I29+kp/fZ+qf/B3CvmgMvX/wIriPrCmyA8sKVQZf7v3/0pV3nuPjf8H&#10;H1aiSh9Xo79+8GG+ALBSv4/5uxWtU6LhRhWfPxlptA3ut/CkaZbO1NfaloZZOdK5vG4AFBoWfPyb&#10;8KlFMB2zbkCLq9ej1Ore1Km6K/nWcCZbrAB2bKMMfheOCFRzDiNLx9ZkbReiBIKXMvgOLxl7u9o2&#10;5OJo2LqHfv1mjZtSu7btqF+//jxNcfyEyWz4V61ep/s5CIWvQxEAQqGwSDT28GH4sf4V0/4wTAaF&#10;fukZ2RQZGcUz5bEvH0VqHq5u5OLgqAxeTfroow/p/fffZwGAUP4H6u+fKMKjr62IP6sp4/6hMv5/&#10;hQBQf69qWYdq2njRx1Wr01/UYyEAqqk/u/ytGs360JYuVPb6k1eP2f0XlcHHGt821nUowsqOVwbf&#10;U8IA3QAlEQnQ+LXiZ0oE3LYIotOWdWmhlR+FV3cj75quZFPLTRl7d0VX5e07Uw3k9VHFjxa+Glgh&#10;XJOJzXu4TvXr1ecFPPEDE2josBE0Zep0NvpLlq3kML82oU/vsxEKX4ciAIRC4SsJow/jAyOEtjKE&#10;9ydMnMKGKik5hfpFRFLHDp2oUUgj8vb0Mkz+q1mLC/5qWllTzerVqXZt9e9atah6jepUuUrlfI/e&#10;mO/97UP620eW9P7Hten9T5zpE9tGVN2lHX1c3Y/e+9BaiYAP6aP33if/9z+i2A+s6cDH7lw8aGzQ&#10;MVvgoTL2GyzcqZe1LW8gnGjhzFsIb6mfo+iwpCMB3yi+UELghGUgTbLyou7VncijOnr1//DyQRh8&#10;TOiDwUe/fuOGjah1y1bUrStW7sZx5GTqtBm0YNGS/GI+Ce8LS4siAIRC4SsJjx/GH97+xElTuKq/&#10;a5duFBLSkKvSMeQHFeoONrbKo63Nhs7Y8OH3DUNCqFGjRhQUHEx29vb0tw/+VkAAvE9//7g6fVLd&#10;mz6q3ZT+Zh9OH7rFUCXPBPrAPozet/Cjv3xoxamBj957jwL+WolWVXKiL6q+POgHxh15emwPHGXl&#10;SH2UCOhkXYcyLR1pn4UX3VLHwfwALRKgR2PjXhTiOagPwDri0+r4Uyxdqb56TeNrAGLtrpuLK/fs&#10;9+zZm4v5xo6bQDNnz+VBPfD0kdeXKn5hWVAEgFAofIkwPPD2Uci3eMlyHueLVrP09CyKix1oyOu3&#10;bktBgUHkogw7PFrNwMHwQwS48gx6d/L29CVvr3pUN6gFhbbqTm079qYOYT2pXqM2VMs+gCorY/9X&#10;ZZTft1B/WgfSh8rwV3bsRB+59qW/e8TTh96p9KHPEPrAOYL+WrMZvfexTb5gcHr/Q5r9kR3dr2Lo&#10;BihouG8rb3+LhQdNtHSi/koERFvb0VArJ2WcXWi+pRutsXDn1ABEwUHFQ+o9HFbEIKKrFr48QAjd&#10;A4gYQFBoEwsLI6IP2E2wTr1uF2sb8rSuSbZGAgDV/PD2ExOTaOSoMTQ9Z5YSVctlHr/wrVAEgFAo&#10;fIkw/ijsm79gEU2YOJmNFXLTmOfv4uDE4X1UqOt5+vgZwtvBgXWpWZMm1KpVGIW2iaTQtgkU2j6F&#10;OvbIpOiBIyi8VwYFNksg24ABVMktij5wi6W/eyUrg59GH/mmK2bQh75Z9KFftvozQ/0+jv5m24ne&#10;q+KYLwDs3/+Axn9ow3UAz6r6KwHwclgf+f7HSgQcUsZ9opUj9VYiwE8ZZI88traqQwOsbCnFyo4y&#10;rRwoW3GYItYVb7L0oAOWXnROiYG7yqAbxgm/bOz1iOgDiA2FqVb21My6Fu8/0K4PKvqnTZ/J3j6M&#10;Pqbz4XqLty98GxQBIBSaMWF0ENpftmIVr4OdPGU6ZQ8dTgMHJnBev2uXrtSyeQsKCqjL3n5BYw8x&#10;4OHqSn5e3hTo60f1g4IptElT6ti+PfXu2Yt69Iqh1h0HUf1WaeQdmkl+rYdR4/CRVLfdcHJsmEHV&#10;A9N4/O2H3kO4X15vaM6Hfln0d88k+sCxJ71f1S1fANRRAiDj7zXowMdu9OATtPm9LAAMg4EC6XY1&#10;P+4KwFCgLEsnSlJGPl4xhQ2+I41WHG/lRGMVx6i/T1R/TrNyVn93ohGK09XzVlq68+ji6+pYKDI0&#10;fh09XqzmS/OVkOinxAWiANo1a9+2PRf3Ye2uFPQJ3zZFAAiFZkIYe1AL8SPPDE8fYX4UnmVlD6Oo&#10;qBhq2aIVuTm7kLODIznB27ex5TB/nZrGleu11e8dyMfTixo1CKG2rVpTWIeO1F0Jhr69etOAqGhK&#10;SR5MsfEZ1CZ8CPmEplP1etlUte4wqhY0jP+s7D+UKvECHGX4TRh/JqIASiD83bU/va88a00A1Hzv&#10;bxT7Nyta95Ej3ari8ycBAGrTATHBD4WBCO0jxH9UGfPtFh6Ua+nGWwNBrCiG0Ua0IF1572FWNhRs&#10;XZuaWteh7ta2PFcAhYTXuYbA4OmbqhlAKyLSCiOU4AhQx9AEQKuWrWjkyNE0b/4iGd4jfOsUASAU&#10;mglh+BFyhvc5a/Y87tfHXviBA+OpV49e7J02btjYMLO/QGgfdLZ3IC93D6rrH0Ah9epT00aNqWXz&#10;5mz4e3XvQdH9oyhuQCwbf/yZlDiIEhJTqU//dGreOYMcG2WRRWCe0dcz9KboN5Q+9Mmkv7sPpL9a&#10;B9Nf/laZ/vL+38jqvb9S+F+r0swPbehiFW9dAWBMRAMQysfSIIgBGHKE+CEITiueVDymhAE2/m1Q&#10;Hv9MJQiGKQOeaoWxwvaUZO1A2ZaOtFCJhL3VPHnVMGoD9AQAthRiWyGOUc9IAGCaX0LCICW4clh8&#10;6X1OQmFZUQSAUPgO0tjTh9FHmB/DehYsWkoTJ0+jtLR06tO7L7UIbcEGHVX6jrZ2L+X28addnTqK&#10;Nvw79PU3bdyYOrRrTz2Vwe/TsxdF9OlLkX0jaEB0DA1OSqa01DRKUIIiNmaAEgEDKCE+gZKTUql3&#10;VAYFt84k2wbZVDngNdbmQgR4JtFfa4XSXz6qQ3/5ayX65L33qeH7lSj9gxp0orIHfVdV3xhrRDQA&#10;RMcACEGAoj1jQiCg6A9hfnjxV5WR3628/rnK6CdY21GYtQ31s7alkUoIIM//XD1WTwQgQoBjrLTw&#10;oGbWdfILAbUiwBEjx0jhn/CtUwSAUPiOEUYFhh9T42DwMaQHBmfw4FTqHxnFeX0sk6kfXJ88lUeP&#10;PL5xMR+MvaebOwUFBFKTho2oSaNG7O23a92GuoaHc24/KrI/G/mBsXEUq4w/vP5BCYk0ODlZGfwk&#10;SkxIYAEA4ufRsSnUqVcGBbTJpmpBryEAFNER8DfbjvReVS/6C3YFvPcXsn3vbxT+t6q0q7IrfVW1&#10;5Pr7YdBR9AdBgBoCRAZWWLix4e9nZctcoLz7k+rnT5RQKCgAIDS+Uu9ltxIJA6zsqX71WmSnri2E&#10;Fjb4obBy+Ypc/pxEBAjfFkUACIUVnJrBR04Z3j48S6yDxS740WPHs7EJ79yFGoY0JHdnV/bykdO3&#10;qVmbvXz29NW/8XMYfz9vH+XpN6HwsM4U1T+KoqMU+/enGGXk4enD2MfGxFCi8u4R5ke4P0Y9Dr+L&#10;j4uj1MGDKUVREwf4fVysEgTx6dS6ezbVbIA0gL6RL4wf+qTR3xx70nvWIfTeRzW4DuB9Rf+/VqI1&#10;HzvR558E0LdVS04AGGiIFqCG4G5eXj/NyoHnCmDPwDIlAlAYqNUDGD8fz0NqAQWF3a1tuBsAQgsD&#10;knopETV/4RLZ0S98qxQBIBRWcML4L1+5mubOX0STJk/jYr6YmFjq1q07tW/Xnpo1aUqB/oFc2Adj&#10;r3n6NurvKPRDaL+J8vDbKg+/W3gXiozoRwnx8TQkLY2GDxtGw4YOpcyMDA7xx8cN5N/Bw08YqP6u&#10;/g0PH4TBHxgby7+DMBikBAJEAjNB/XtQCnXpM4S8m2dQzXpZxa4F+NAnnT5w6U/v12710jwAz79+&#10;RIsqOdCDKn70ZdWSWftbkFo04KaFL62ycKdsK0ceMZysxABmB3xRTYkPZfCNnwNRcE2Jg3WWbpSo&#10;xIKbUTcA2irRDrhi1RpO1eh9rkJhaVMEgFBYQQhPETTO7WNqHLbC5cycTSNGjKIBsQN5Fj9C+5qx&#10;YSrPU8vra8SMfkzxa9WyJfVXHn56ejpNmDCBpk+fTrNnz6Y5c+bwnzk5OTR58mTKzsqiQYmGMD8I&#10;Yw8PP2VwCmWkZ+RHA7TUAAQDOgGQEgAHqd/37Z9MzTumknuTDKpSzFqAD33zCgHtOtN7VRzyBYDb&#10;+x9Szod2dLWyN32usx64JIk6ARQPrrX0oDArW2qlPPv1ShA8tvDnvL/xYxE9QLHhUQsvGmnlRF4F&#10;2gHHjBlPixYvk24A4VujCAChsIIQxt/Qs59Ls+agin+iMr5pvDGuS+dwnimPML+fty852GK3vMHY&#10;IOSMMb2+3j7UrHETrtwPbdqUWrVowQV9kZGRlJmZRePGjaNp06bRzJkzXxIAs2bNohkzZtD48eNp&#10;2NBhlJqamh/+Tx4E4468fzIlqb8jEpAYH6/+TGABoEUNIBYGxsVRVFQi9eiTQvXbZVDVusWsBfA1&#10;zAP4m2MPeu8Tp3wB4PT+32nUh7Xp6MfKEH/i/5IRLml+owTAM+XtH1Fef7ylPXVTImCphRtdsvDh&#10;gkDjx0IAoBDwioUvTbFyJm/rP3b9Y7ZCuhJN6MZYp4Sc3uctFJY2RQAIheWQf3j6yOtv5II+5PWx&#10;HQ5h/vSMTIpUhj+0aTOevIfxu/DwtRwz8vno4cdIXrT11Q+ux8Y+VnnoMN5o2UNeH956+pB0mjhp&#10;Ehv5WXmGvyAhBPD7SepxSAeguj81JZWGpA1hzx5GHmIgdXCKEgaJTPwbggC1AagR4MhAXDzFDxxM&#10;Lbumk3W97OKlAfyyuBDwA+d+eQOB3mMBYPf+B5Ty9xq0rZIL3fvE9yUjXBpEfh95/zGWTjxJcLal&#10;Mx2y8OQRwAUfh0LAhxb+tMDSjQKVALDJEwBYAoSxyhgKtFbaAYVviSIAhMJySISF4e0vWrKcZuTM&#10;5q17cXn79RE+huGHUUdfPht/ZfQ17xL9+hjO07lTZ4qMiKTk5ME0atRomjptOs2dO48mT57CRj+Z&#10;Q/mDOXw/csRINu7w9k0JAPwO6QFECrKzsrnljyMAivD0IQggAFAbEAdjr8RGfGwcJQ6M53oARAyS&#10;BiXTIMWOPdPIuVEWWQUNpY/1jL0ulVjgNEAcvW/pz62Af3n/r1Tn/b9R1AdWtOIjR7r5ic9LRri0&#10;iD0DcyxdKN3agaYr736bpQfdVz8zfoxWCIi2QqQM2lvVIe/qSqCpzwgTE3v37ktjx07glcp63wGh&#10;sLQpAkAofMuEt4+cPgbD5CpPHwV98+cv4mExI0aO5nW7XcK7UoPg+uzt23IFv/ImFVG9j3A/Cvy8&#10;3D15JC8K+vpH9qfhw0cqoz1HHXMt7dq9l/YfOES79+yl5ctX0IjhIzjnn5WZxQIAgmDUqFHs5cPY&#10;aymAgoQImKZEwPgJE9RzhnDPP8L/EANpqaksBLSuABAiQIsMpKak5KUKBlHXPikU0CKDbBtkFWsu&#10;QJXAoVTVL4kq1Q6hDypZ0Xt//TvVwECgv1WlnA9t6UoV75eMcGkRxn6V8urHWRtGB+PvEAUFHwcR&#10;gNqAXRaeFGNlSyHWtXgmADot2rVpR9nZwyh3zTrd74VQWNoUASAUvmVCAGANrCG8P5WNQnT0AC7m&#10;axHanBqFNCR/Hz/uIX9p854SABAEDYLrKYHQhSf6/f/tved71XmS5bmvp7umqtpVIaRKi/feeydA&#10;GDkEAuQASYCElYS8Rx4JeS8hhEs8CQnpMyuru6dnuqdnprt3ZndMPzu98+xOz7P/Q+z3E1c/8qK8&#10;ZJJZOHHjxXnIFEJIvyt0TkScOJF7Jk+qq2uku6dPrl67Lnfu3ZdHjvi/+Oq38tXX38jnX34tQxeH&#10;3fudkezsbKmoqNC5Pma9/Px8Nfth+nuaAODteAQaGhqkuKhYST1nhPwZLfhX/LT/8QXwsT0zICZC&#10;tgQSUk5IeFS2zN6YK79ypB6I7EfjT5cUyaR1xTJ3Q5ZMnRchb707Rf7oj/9UQv7gD2Xdz/5ECn/+&#10;jvzVn839Dgm/CHAlkCjh8676L3cioCt0uvzduIUB35cuwBchc/XY0Paw9zQPgHXLxQsWSUbGMfd6&#10;XA74fWEwvGiYADAYXiIge197/5pcuHhJ+gaGpLO7V+rqz0leXoGkpx/Rap+QHv+VPWb7kD9mPkif&#10;DH4O9GzbGqFHe8rLK6Wvf0Bu3rojn3z6uXz129/J7/7iXz2Bb/78L+Xrb/5cLrq/9zRVuyNvCJ/x&#10;AJU5XYDKyko1Aj5NAAB+D5Ggo4CCAsk7k+sInq2AIzrnp9VPxc92AOC/6Qz4VgfxAByVlIPHJW5v&#10;lizZeiagGZCxwK8d4Y9fXiRvrSqS9zeUyeyISgmPr5a45DIJ35YgCxYtl5DxofInf/AHMusPfyFp&#10;Pw+Vr/50tlbdIBAZPy8QJwypQ/w5YZOlygkBDgAFel8EwJ+HzJOm0KmyN+x9mfQb3zYAIiAlKUW9&#10;HXxfBPp+MRheJEwAGAwvERj6uLzX3NruSPusnDx5WhISEnVff8Pa9bJi6XJtD0+fMvUx+QPa/Mz7&#10;2eknhpfKusKR/vnmFukfuCDXb9ySBw8fyaeff6nkD9n/+V/+1RPwRMDw8OURAZAlDY7sa6prpLCg&#10;UPLz8tyvBer2/z4BABgF0AWgg0AXgAAgKn7a/R7x4y94nAyY4YsHTk9L018PHaILcEpW7syRkGXf&#10;PQT01ooimb6hWK8Gbt1bLknHGyWnvEdqmoelqW1IsnNLJMYJpYmTJsnP/uBfyK//4A8l4l/+ShMB&#10;/+evfYd6ApHx8wJz/X8VMl/6x8+U/WETJC10knwzLrD/gM/lr937Drr3TQubKFNG1gF5TRP2J2pa&#10;owUCGV4FTAAYDC8A/DD3ju8w1+cAT1d3nzSdb5HyCkf8p7IkMSlZtm7eKgvmzlPHPlW+R/i4+GdN&#10;m66VPln9zPWjI6Nd9ZyhLf5BJyI+evixfPHl198h+h/C5ctXlfxp3UPigMofEcDby0pKpdlV+E8z&#10;BAJvFFBbV6fzf2/vn60Ar+LXtcCRlj+/r0mCmiLohEB6pqSmnZR10TmuykcAFGouwFurSmXa5nJZ&#10;GVMtUUl1cvBYg+QWN0trx5B7prflwUcfq5+huaVV0tIPy4yZ354HXvqzP5ZLfzJN/vHXi+SfX1Ag&#10;kAdCgf5dyEK5MH6WbHNVfYwj9k+dACACeHT3AQHwd+59746fLadCJ8t0TwC8P0H2xu+T1rZOuwtg&#10;eCUwAWAwvABA/npqt/+CJr4VFha76vewxMXGSfjGTergX7xgocxhhc9Vghj6PPIH/F5MVLSkpaZL&#10;fn6B1NU36FwfQ9+t23fk4cefypdff6Mt/UAk/33AG1DgyD4vN0/q6+u15V/nfi0qKlKDHm19Lw8g&#10;EPkDBIAaAt37kRTIjB8hgDGQGGDGAIgVDIGsAeoKIP6AkRTBY5nHJCPjpGyMzZbQFQXyKycA3l1R&#10;KBvja+RYYbuU11+Qtp7rMjB8R67deCD3Hnwin3z2hXz2xVdy/6NH2vk45D7ujJkzHguAeU4ANP7J&#10;JPnXv54n//QSAoEg9UtOAGx3AiDaCYBH4+ap4Q8R4P++CID/w73vF+PxAUx5QgDs2b1HGpuaZWj4&#10;sgkAw0uHCQCD4feAV+nj4mdtj2hX7uuTw19T26DEn3k0Uy/AsfuNU9/fyMecnzheju8sWbhI18Oo&#10;9hP2J+ifbWltV8L+6NEn8tvf/UVAQv+xuH7zllRUVEpxcbEm/9EBaGxqkvIRLwDCQBMBf8ALANga&#10;qCiv0G0C8gEwAyIimPMr+buKXzMAHFnzNn7PGwuQHxCxJ0veX10g7yzPl1nr8+XAifMyMHRN7t57&#10;IJ87sse8CDAy3r1334mqa9LR2S05Z3IlOjpGJkyc8FgAzPjZH0nhH78rD381U/7rr19sIBD7/VwL&#10;vBkyRyLDJshOh3vjvr0O6P++dAT+a8giPT1cFjpNZowIALo8rGpW19RJ38AF/T4K9D1mMLwomAAw&#10;GH4P8EMbUx8t3M6u3pGQnnw5eCBV17xWr1ilV/Vo5TPX54e+/619nP1rVq1WFz+EWFpa5irvVhkc&#10;HJIbN29ru5vKl2qfGX4gQv+xuH3nriP9c0rczPDZ/8fUB+lD5Oz4lzhxUFtT84MCoPl8s9S49ysp&#10;KVEBQCfAOwfsASHAOiC/Uv0zZqBLQJhQ1N7TMj+8QOasz5NV23Ilp7hTHjz8VL748rfy9Te/k0/d&#10;1w7x9/YNSGVllRx1Yio6KkZWu2c2Y9p0+dWv/uyxAJjys19I5h+9Jdf+jECgwI785wWq+v/H4dOQ&#10;ebIrdKKOAa6G+LIA6A74vy8C4B/HLZa/DlkgFeOnPb4JwJllwplY9eQwkAkAw8uGCQCD4UeAH9LM&#10;9b1kPhz8DQ1NUlpWIaezciT1UJrEuMp0zUpHUFOmPSZ6Wvzevj67+iuWLpN1q9dom//w4aPuH2KF&#10;dLmPRXVOm5vW/vMi/NF48NEj6enpk7raeikuLFIRQMAP4wC6ABgBOQRUWVEprS0/IACam/XPISYQ&#10;ALT+vW0AJf/Dhx87/xEAHBKiA4A34Ih7v71JJ2Tr7nyJ3FciyUeqpLZxUD56+ImuLxKQ09nVrZ4H&#10;woz2xu/VlUiIn0NGIb/6tfziFz9/LADe/9nPJfGPQqX7z6bIP7yEREDwjavq9zsBsNMJgMGQWXr8&#10;h8uB/u+DAPgnJwD+o/u9Wn8B8O57sj1iu25/0DEyAWB42TABYDD8CNDqx8VPa55jLqdPZellN3bx&#10;ly5aog7+OTNmybRJU55Y42Pey9U9MuCTkpIl24mFmppa6erqkSuO6O7c/VDn+pA/rX7c+i9KAHz2&#10;+ZfqI2hra1cjIOY/OgIE/FDNIwAg7dLiku81AgJ+30sH1GAgR/AQ/eH0EfLnLsDx40r4iADuAXgC&#10;QcOC0jLkaGaulJQ3SmfPJfdsr+hxo+rqWjmakemebaymGi5duEjmzZqt4xLvuYaOC5Ff/uIXjwXA&#10;W3/4L2XnL8dJ/Z9OlH/3khIB/8JV9WwA7AmbIH3jZ8q/DngTwHdDAONgm3ufWX4CYOuWrZKT47sJ&#10;YALA8LJhAsBgeAoge9r77OtztY0f0rT4CeqhFc0KF21+SN8jeg+QFGt7y12lT9W6fdt2SUlOkezs&#10;HDX0sboH6bO2F2hl70WCNUFa64wZCAEqLCyUqqpqNQLiB+BtEDXmPr0P8AzbAAgH1gG13e8Inj8P&#10;4asA8NsEQFh4XYIDTghxj4D343Oorz/nRNVZ94zOyL59+2Xd2nX6DL/djnhb2+Z0VnjmHDd6++23&#10;5Zd/9Ev5+c9/Lu/8/Jey7U9CpPrPJsrfviQB8G+cADgTOkVSwyZK9/gZ8k3IPD0WFOh9Qff4WTJ7&#10;5CgQiY7hG8Pl5IlTuh3C91ug70OD4UXBBIDB8BTQ6iehjx/OkD439mOiYmT92vW+St+REzN8nev7&#10;kT/g7Tu379A5N5G8593HuHjpity+c09d7Mz1Mbe9yFb/0+AFAt28ddsR/Hlt3xMNTBVPNc88H+KG&#10;lBEEP5QMiEDAR8D8H8c/h4E09Md9DAj/qPv/I+m+ip+sAF+CYJYkJSRKfNxuvWQYHRkl2yK2yfo1&#10;a33bETNnaegRJOk9U8YohCDhq2AckOwE1bKly+Ud9/bx40Jkyp/+SiJ/9Rup+fUk+dtfv5wRwL8f&#10;x6W/qZIbNkm6QmfIpyFzdd4f6H3BEwLAiUQMn9x4qG9oMgFgeOkwAWAIetB65YcvRr5+VxW3d3RJ&#10;Q+N53dfPOZMnaam+9b2N6zc64l+g7X2PlDD0cXwHk9/qFSs1uneHq/YTXAVb6CrptvYOXd279+ED&#10;JfxAhPyq8PDRJ3Lp8hVH+k1q/kMEMM/nJgBzejoAVPaIgh8yA9bX1WsaYHpqqkYC6ybAEV/FTyYA&#10;vyY7wj+UckDNjimu+o/YvEU2OAJcvXKVLF64SGaxEvn+hG+frcPMqdP19yB9ni2vA0IMUYV5Ljo6&#10;VubNnaeegKkhobI55G0pCZn81FS+542/H7dQ2kOnS0nYZGniKFDIbPkv3yMAhtzvrwt9V2bQzXCf&#10;M18755yrq+tMABheOkwAGIIOrO75gx+87Ox39w5oFn9WVo6297ds3iqLXDVKGxrzHmE9tKD9d/ap&#10;4pYuXiKRroI9fvyE1NTWqZmPuf5dR/oc4GGu/7R0vlcJPidig3t6+yQ3N0/y8vK0C1BaWqqGPtYE&#10;MQjSBfghL4AnAFj3g/xPOtANQAzgMaDi37snXiK371CBBPHNnDpNnymkTxeFZ+kfhgSpr1m1Rvbv&#10;S9DExLLySr2M2NM3oD4BbidgoNzghBmvz+Swt2Rp2NtyfPwk+cuQ+d8J5HkR4ABQr6v8S8OmSIUD&#10;R4H+U8jTVxDvhMyRA6ETZFXYOzLl7Xdl2ZKlEr9nr4pNxk2Bvl8NhhcFEwCGoAM/aGnHs6/PXL/K&#10;VV84sTMcWSUlJusRHrL4aTf7ExJENXv6DCX8jevWK5Htidujbf7SsnLp7OrR1T121l9Hwh8NbxRw&#10;7YMbrvJvkLLSMm37KwoKpLioSMXA950J9uAJADwAXBckEZCKn9hiLhPSsueZLXeER4sfwvZ/trT6&#10;WZPk6NFaR/qbwzdr8iE389mwgPgJVSJrwXsdMWPm5hboLj0dGI7szHSVdUroRPnaCYD/5Qj3RYuA&#10;/+QEwBVH+lwEpAvQM36G/MeQp68gPnQC4GToJAkPe1emIgAWL5Xd7nuIWGgTAIaXDRMAhjcaXpXv&#10;tfn5ITt08ZLGr2I44zZ9XNxuWblshcybPccR/EwlIg61UO1zcY+Kn/+GZMjiT0pMknxX1TY1npeh&#10;oWEhh3/0XB9yfdmz/R8LPj8+z0cffypXrlyTc+catVKHvKn+GQEA8gGeJgAYDYA6JxKo+jNYaSwp&#10;0yyBuJhYXXVk5ZG4Yxz8o6t9ni3kz3PnNdgVG6fnj0tdtd/c3CbdPf0argTxX3VCxb9NzhU97unT&#10;QkdUvOcEALf2d7sKm/18wnpGp/I9b9Duvz9+jrSGTpciJwDax0+Xv/8eAfBJyFzJDZ0sEWHvyTQT&#10;AIZXDBMAhjcWED9GPgiEHH4ieWkj4zJPd5UqrVey+Fnf8589686++38If83KVe59tsguR2aph1L1&#10;3C4rc2Tx4+InrY5qPxDBjgUgAr50ooW7AlwTLC0pHQkD8iX75ZMKWFX1HQHgET8GQXwDCIVkJ4xi&#10;o2Lcr8na7ufZzZ05S4lfxZRfxc/b6KRg+uOiIUmJ6WlHpKCwWE2Xvf2D+tp931ycLIb6hkbtEkCk&#10;3seOcgLgniNaLvaNTuV73vhv7u/4ZPxc6QydIVmusq8fP03+w/cIAEyCnAXeNiIAli9ZJvHxjACq&#10;TAAYXjpMABjeGPhX+wAC4QhPc2uHlJSU66ldyAbiwWU+3ZHQlAmTdB8b0oegqPghp/muYsWVTlgN&#10;53IJpLly7QO9uOer9L+Wr0fa/K97pf998LoAiJibt++qaZGYYE4FA3ICzlZWSkuzTwBA+ogBVv9Y&#10;EWQ8wKiAnf+t4Zs15IjRCc+WSp85/uNnOwL+f6kj7L1OgFHtV1RWSXNLu8bhQur4Ma5dv/n49Qz0&#10;WgNOKp9vbpUTJ07JimXLHwuA7aHvy5WQWRq8Q1pfICJ+XsDx/0XIPOlwlX+6Ex7F46fIv31WAeCe&#10;DTch8JucPVsj10wAGF4yTAAYxjwgCaonXPzc129t75Sq6lrJyyuUzMzjkpyUIjHRsdq+p6qnuh9d&#10;jWLG2rRho0TujNQfyBlHM6WktMzn4r98RT68/5Ga+SDLQEQ61qGjgE8+Uz8A8b4Q/8ljx+V4ZqaU&#10;lbLGeF4J39sSOHPmjGRkZLhnm6RrfFs2hcuiefN1dALBe8+WVv/0ycz2F+jKG8l3u9z7H3ZirKS0&#10;QhqbXLXfN+ie8dUfHYSDUGBjgyCdVStWPv47tzoB0DN+pp7g5WxvICJ+Xvjv7uNjOOwJmSHx7u89&#10;Nn6S/FXI0zcQ/AXAFPc9iMGUcCg8KAjWQF+nwfCiYALAMOaBAFDyH7m8l+t+mMbH71MHOZU+hE8L&#10;mlmzP/F7YH5MNXom54w0nGvU9j5rex9/+vnji3svOp3vVYOvi6+RYKIBV4kXuGd43IknjvkQF+xP&#10;/hB/XFyce76rZNb0Gb7tiJEuyuhnO8X93uIFi2THjkj1W1RW1Qg3ExjLQOAIN69j833VfiBAmN29&#10;/VLgPj/uKXh/56bQ96TJVeS/1VCeFysAiP39O0f4gyEzVXjsC50ov3tGATDZfa58P3L2GUHE8wj0&#10;dRoMLwomAAxjDpAFAT0YxGgBn62q1Rz+AwcOSfzueNm+bYcaymZNn6nE7xED1SgBPRznidiyVfbE&#10;7dZ99OzT3MVvdAJiUD64flMNfZj5IMQ3lfADga+VUQCbDG2t7XIm+4wk7N0nB1MOaLRvcmKixEZH&#10;S/jGjbJ86VJt9UP8/qKKewfs7dNt2bl9p67wkZpIkNK5xvNK2Bj6nsfOOx+D74OzTlRsWLv+8eew&#10;wZFrXeh0+WLEBxCIiJ8XiPf9h5CFMhQyS7aEvS/xPyAAvnaihHsAce59p458vphOOftsAsDwsmEC&#10;wPBaw5sDf3Djls5IqfqYE3M8Bec0M+T9+xO1AiSQZ/L7Ex+7zKlI+RWS4m1UqxjT4nfvGQnp6dR9&#10;fdr7VL5U+9763u/e0Fb/aED6Hr5xgodnwLEgThCzvx+1Y6cSPnv782fP8W1HUO2/49uOGP2MGbFw&#10;DOmYq/aZ7be0dagPA9L3TH0/ttX/NHjfG9zTD9+46bEAWBf2rpwNnSqPxs9Rkx6rgC9qHTCQAOBA&#10;0P83bmnAv5OTwL3jZ0hK2ESZ/hufcDIBYHhVMAFgeK3BD0Wy+Ns7u6Wu/pwUFpUouehcPypG98Ux&#10;Us2cNuMxAZDOR9vfFxu7UiN5E51IyMw45oi/2FWiTboKiIufIBxI702d7f8QvKofY+Ot23f1RkFd&#10;XYMeK2K2r6eMHfEjnib5bUpQ9ZOIOH/OPI1GjoqMkr3x++TI4QxN6YOUqfYRay/a3X6+uU1vLfD5&#10;8XktCXtH0hzBQrQk9f2zI96XJQB2OwHwuSP5p60gchKYsCBuB5AGaALA8CphAsDwWsBX5Y/s6rtK&#10;kYrx4vAVXd8jljd/JIt/545INexB7lSj/NBntj/x3feV9MmPZ6a6ZOEi2eSqQkJoSkpK3cfpcX/H&#10;bV13Y3XPm+1T9QZLtQ+00ndfL1876390PvA7XLl6Te8V5OSckfg98bLCiSr8E14nxav0ed7M9WdM&#10;na4rbNsitvvOGZdVSHNruxMQQ0r6VPvefJ/XNtBr/rxAmFNsbJzMdp8vIx/O7RK0kz9+inw2bp78&#10;n+MWyz86osYQyK1+VgO55/88RAEC4H93AuDiiADY5QTAw5C58t/d3xloBfFvnQC4On6WHA5zz9AE&#10;gOEVwwSA4bUAxA/pQyD8QK88W+2q0DP6g3HP7j1KNOvXrNMsfj0S48jIq0YhJxLktoZv0WS+9LR0&#10;JbKzZ6u0zU8Wv+fiZ64fiBiDAR7xU+1zb39w6KKcO9ck+fkFvucct1sd6VT9kBJtfe8Z87w5gLRp&#10;wyaJjorRMKRjmceloLBEd/G7evp0Hs/r+KIJfzQQiax4rnPfH3zek9znO9cBo90JJwLqxk+XAVd1&#10;3x0/R6/1UbH/jxGC/n1FAB8Dsr8dMke2OwEQHTpBbo+fLf85ZJF2AUa/PwLgmvv9IyYADK8BTAAY&#10;Xjq8ap8KkR96SvyDF6Wjs0dqaht0rYtI3o2ObBbOX/B47gwJaRXqqjzexvoep2FZpYqJjJas09nC&#10;SVna+xD+F19+re1trfQd+Xmz7kDk+CbCv9rH1MhWw/0HDzX1r90JI4h/7959eq7Yu2pIN+WJ5+yq&#10;fZ4zKYk7tu+QjIxjGs3LbJ+Vy9GVvodAr/uLwoD73ikqKtFgJ1YR33/rbU0EnBj2lkxxWB72jq7o&#10;nQmdLG1ODHzoyJorfvgDqOB/HyHAn6Ob8PG4uRIZNkEinQCA4IkDDpRBYALA8DrBBIDhpcJr89Mm&#10;ZkbMHjjt4xPHT0liQqJE7YzSq28Eu8yZOVsJiJm+V4mSIc/vMfPl/cnvz88r0Ep2YHBIHewfPfpE&#10;W/zBRPaB4K313bn3oT4bKvUzufmSnnZYtyW2bN6i1T7PlMAe7xnzzBFVVNSxMbGSlJSs/oniIt9s&#10;31ftX1byD/Qav2wQCNTS1ilnnHDcsWmzzJ8+Uya98233YprDkpGxAO77o6GTpHz8VBkOmSV/HsKI&#10;YFHAdv2Pwafj5kmUCQDDGIMJAMMLhX+1D2Hoyd2RsJ6zZ6v1yhuV29rVa7W17/3QxsxFKp/nLuf3&#10;IKp1a9bKvn37JTcvX0N6rt+8pWQfzK19r7NBtc9zoOvx+ZdfqxBie6Kjs0sKCgplv3tuBObMgPDd&#10;s/V/1ngomO/znMlFoPty8GCq+wFRqRsXkOyraO8/C/j+4nur9XyrHE06IFtXrpF502eoJ0S7Gk7c&#10;+K8qsn63yJFvWqjPKPjbkXXBfx635Cd7A55VAPyNEwCXx8+UdNsCMLwGMAFgeKGANAYuDEtbR5fU&#10;1p2TvPxCSUk+oJfeiOVlf5ssfo7B8IPa+yFNFcoBmfXr1kts7C73AzJNc/irq2s1/e3ipcvq4qet&#10;DelBfoHIMRgA+dPmx9x49959V51f0o5Irqv2Dx445NuW2BSu5klElGYj+BHi3JmzZdP6ja7a36WH&#10;dVitLC4uk/qGJp2vE9rzsgx9PwV8TnyfDbrvs8b6RinIyZNU93XH7dqtyYOrV6ySWTNmqhjg653g&#10;QFdgddg7sscRdsX4qXrH/9+Om68jAa4IjibuH8KzCoC/CJmvY4j97n0tB8DwqmECwPBc4FX6/CC+&#10;cu26VvpcayPmlbk8Ln7c4hA/7WWPfDxQkTLX54chLn4uyBEkg6GPKrS3f8AX0OMq22Bv7XvVvjfb&#10;x9R37/5HjqRvuGq/W0pKyrRtv86JJ2b7j5+zI32eM0RIZgK/x3pf+MZwNdGVlJbrbH+QC4evIdE/&#10;KzAjshrI983p09mSkJAkG9ZvUKPoDPf9RWdAOyB0PtxzwSxYHDpFboTM0rVBTH2s8P2YTsCzCoAv&#10;Q+ZJpfu7YsJ8QUB8HgRWWRKg4VXABIDhuQDC8Mx8/PAlpOeU++HrVaBUmITJ4CSH6P3JH7ByRjpf&#10;wv4Eva9fXFyiKX/9A4OO2K7Lhw8eaoXLAZ5gFwCQPy1+AnuGLg5rtY9xkme9y1Xxmx2hc3ffS+rz&#10;njH/zdvWrFyts33en0M6CIbGxmbp7Cai95K+jmNZADAOoBtAUiRnn2trGzQ/AgPj3vi9smHdBl+u&#10;gRNC7//mbZkf9rbG+JLj3xYyQ74eN1/+pyPvH9MJeFYB8LkTAKVOAOxUAfC2rlMSWZ11Oue18VQY&#10;ggcmAAw/Gl6175vpX9Uftj29A2roK684KydPZUliYpJEbN4qSxb5Vsree8t3EQ6zGQJgpqs+582a&#10;ra7tpQsXaVjP6dNZmsWPYY32PnvqXnsfQPzBRv5eta9zfSeAHn78qT6b4eHLGtfLbP9AygE9ZDSX&#10;pL6Jk7Sq5FkzUtFcBEd2dF2WL12m54+TklI0EKnxfIur9i9p5Unnxmvxj2XyB97XwNcD6IzQkSJM&#10;CmGaeihNMyLYMPFWSic7Ml4V9o4kOGLuciLg349bqJf+/pcj8WfpBDyrAPC/BTDVvU4L5s6XHdsj&#10;VaAwZgn09RgMLwomAAw/CvxghSwgDUiffHduuB8+nKE7+CTzUWEuWbRYXfzeD1ivCuVwzMoVKyU6&#10;KlrS3A/inOwzUlFeIc0tbXLRkdqtO3c1rOdNvrz3Y4AAos1PB+SSE1u48M+cyVUfxY5t2101u16d&#10;/F5Sn7a2R54163s4+eN2xSnpcS+hrKxSg5U6u/uU/L3ZfqDX+k2B9z1LsFSPjqQaJTe/UPbtS5TV&#10;q1brs5vgntt098yWhb0tqaETpWX8dM3t9zwBPyQCfooAmPb2u3o3gUuVjF9MABheNkwAGJ4Kr5Li&#10;BxNtYdrD3GzHhIdBrKioVNuqmK1w8dPGf+y2Zr76rqtynACY7X7AYuhb6kQBlSoVK3vbhPSQOU9V&#10;C8n5V/nBWO0Dr9pnfe/ho0/k5q07KoxaXLXPeWLa9oiseXPmPuFs51lziAf/xLzZc9XJz7PGyU91&#10;ec4Jh97+Qe3aeK+rPwK9/m8S/L9WvpfJMIB08Qf4AoSmqVAlP2Bl2DuyL/R96Q+ZqZ6Af3Ii4HkJ&#10;gPshcyQzdJJsCHtXpjoBsGzxUtmzO147EyYADC8bJgAMT4XP0HdDBi5clNa2Dr26lnMmT5Jd9YmD&#10;n5U8dvJpY3pBMh4h8cN0rhMEa12FtTtutxzLPCYlZMS76pO5Plf3COvBwPbV174s/mAkfH/w9bPS&#10;SAeE9EKt9glFciQVtTNSq31ElDraXbXvPWvWJTGSrVi2Qv0WOMqzXLUPqTSdb9W8BW+2/6ZX+88C&#10;r4OFR6Cmpl5SD6WrgOW5IgDoBCwNe1uyXaWOMZDQIEYBo8ncH88qAIZDZsvG0Hdl5m+cQHb/Rrha&#10;yTErki85dhXo8zUYXhRMABieABUSPyCZmfb0DTgCaXHfJD439YGUgxLlCIZ1Mv+2PpUoFSgOaxLj&#10;aP9D/Dj+CZ0pL6+Qnt4+PTbzmatsca8HIsBgAoLHq/YZdzxwpM/zIcWQar+osFgOHTwkW7ds1Wpf&#10;jZN+FT+zfjouC+bNl+VLl0vElghJ2J+kq39U+/2DQ0HR3v99oGOBS1elsrJakyfXOkHLc2aMMiHs&#10;LYkMe09KQqfIg5C56gf4f8ct+Q6hIwx4+wNX2WPsIwr4piN5woX8o4B5P8KGOsfPlFlhvjEN/4a4&#10;YkmXpqa2Xj+fQJ+nwfCiYALA8AQQAMxKac/n5RW46n2P7pCvWr5C28rsjNPW928/80MTkxmt6eSk&#10;ZMk6nSVVVdUaQHPp8hUlNm+uD/lDfIFIMZjgkT/PBZNac2ubnMnN0+e3dfMWPVvM88a1P3q2j9ha&#10;tXyl7IqN02o/50yuqyBrfNW+q2qp9q+4CtczwQV6nQ2+ACFEEqMRIqiTkw7IkoWL1TvxnnvOc8Le&#10;lojQ96Q+ZJr8NmSe/BcnAvzJH0D+/9mR/VVH+hFOAHAM6JETDP+kwUI+AcD4gPdjlNCiAsD3bwcB&#10;wG2F48dPqoHWBIDhZcMEgOEx+GE47Coi1viyc84owVBhMlt+gvBd9YmDn4t7CAMIi2jZ06dOS319&#10;gwxcGNJAGgg/EPkFI7yEPmb75PF/cOOmDLrnxAU+1vDS0tIlYus2JX3/WF5IgueNEFjkfm+Fq/Y3&#10;rt+oQoFshfpzTdqpGeure68KXseLzIqi4jKJjYl73OFitDLDkXWSI3XCezAFkhHg3wkYfQ54j3vf&#10;L0N8a4Seb4Bf/y/35/5DyAKpHj9NPyavLUKOoKL8/CJp7+g2sWZ46TABYFBo5X/piu5N0+4Pd5UJ&#10;VT3VJz8IPUKiEsV1vit2lxw5fFQKC4t0Vk3rmrk+gTQff/qZmvogvUBkGCzwNzNC/o8+/lRNj+eb&#10;WzTKOCEh0RHANm0DL56/UN3oo8UWK5RUpZxB5hwyLf6qqlppbmnXkKULI2t8RP4Gel0NPwy+9/G6&#10;tHf2SGlphSYiEpdMYiKpgQvD3pFYR+5t42fIv3EkzjgAUgcIgL93AuDCiACIdwLgt+59CBLyyJ/2&#10;PyeDH46fI9mhU2TaiADAMxMTHSNV1bXahTABYHjZMAFg0AqIChLy51gMa0kzp814TEKkxrGuBFFF&#10;uGr/0IGD7gdlubS2trs/d03n14EIMBgB2dPeZ9SB34H0Qqp9jI8YIBFMaYfSNPeAZzqVdvOocQo+&#10;iqVOZBGcxNGjhP2Jkp19Rurqz0l378Djvf1Ar6XhpwHy5d8Az5f7FOGbwtV74b0uc5wIOOTIvTtk&#10;po4DPE/A/+3w147w+9zbI0PflwPuff7C/b9H/P/D/T5+gIchc6TGVf+7wybIJCcAENX8u9q3d7+c&#10;b2nT9ELr4BheNkwAGPQHX1dPv+7zR+6MkkXzFzzh6F+5bLkcPHhIilnda2tXhzphNByboaVNdRuI&#10;DIMR3mz/k08/l+sc4unokrz8Ag1G0jx+R+ysRJLJ/ziSduQ5IwRo81MVYp7Mzy+U6po6aW3v0v11&#10;LvD5qv3XM5N/LMMbBVx2/xaYxyO4mM97rw+dABIDo0InSPP46fKNEwH/zRE7QuCL8XM1NyDBkXvO&#10;+MkqCMgOQCD8w7iF8siR/9nQqRIe9p7M+Y0jf/ex+PfFuiZdHVZr+bvtNTW8bJgACCJ4P+Qg/L7+&#10;C2r0o6rk8AtVz57de3Sur21/R0aY/ZhJJ+zbL/UN59yfu6o7+3Zq91v4O/nv3X+gLf6e3n6N5yVt&#10;70j6EYncEalzZWb5Htm//7YvEREnP7G9ONC3hG/Wav9MboEeTkKUWWX4csGz5hYCVfmhg6l6PRGx&#10;5r1uGPiSnQhodNX8vfGz5bOQuXIhdKYj+CmS6gRAvhMAEP5vQ+bLbfdr1/iZUurInzPE3vEfMN+J&#10;wIiIbSrySNMM9LkYDC8aJgCCCFSOrPfhFGfv+NixExLtqk2dQTuiZwbN3NNrSbNzTjZ/VVWNmvrI&#10;n/dc/CYAfOBZfPrZF7rpwHni/IJCJXFayBA77fwZU6ZptT+61U9+Aut7OPnz8oucGGvU07ucS8aP&#10;4Wv13zQB8BLBs/bMsLV1DRp0tXb1msc+GNYDZzsRsCn0XTkWOlEqHPGT7Hc6bJIccQIgO3SStDhx&#10;UDp+ikSFvi+rwt6VJWHvyEz358gY8F5/oohPncqSpuZWuwFgeGUwAfAGwzfXvKYHejA4kd5HKlxm&#10;xnFX1SdIxNaIx0djICTIH0yfPEXb1ITPEDvLDv8XX30dkACDBd5sX538jvBx8nvVPl2U/Lx8ST2U&#10;KpHumXHJEPOef1YCXRXEAMFJBPowaklMSFISqK6pl86uXhVnkI8R/qsH/3ZIC+S1Jf+CXIs5s2bL&#10;hHffUyHHOeGNI+ZALvtFO0SFvaeV/gEnBCLdrzNHXnvAn8H1P2/WHPex1qjoazh3XkO2zM9heFUw&#10;AfCGANIYjauusmBFrL6hUc19HIFZv3adtp1nTZuhrU1ICejbpvvehiiIdkR2LCNTamvr5JKrRjnM&#10;AwkGU+Xvfb0e+dP9wPNw01X7ED9xxsz2qebmz5mrzw9jl16ZY43Mr+JHZO3YtkNnvgUFRVLriIXr&#10;ewMXhpX4qQJttv/6gNeB7suFi5e1E0C3bHP4Fk28hMip5ic7kBrojxkOsxym/ebtJyp+vieIad7u&#10;RLfv6FWTjndM8BleJUwAvCGAPAiUgVDYKebgSXFJmYaMQFJUpmSeY/CDrKhoInfslKSERElJTtG4&#10;XnaSN67foG3p/Xv3SubRDCkuKpaurm7NpdfZvyPCQGT5JoLTw4w9mO1fvvqBq9J7pKamTvJctY9J&#10;j4NGK5eveGJGDOnTTZntBBXVPuIA4mcswMleEt86OnuUWKzye/0BQWPSg7A5ncz6KzkM/Dvy93SM&#10;Bh0fjmEtW7JMOz47t++UvXv2StbpbG37Dwxa5W949TABMEbhVfkQv8/Yd02vu3Gdj13xZFft+7f4&#10;qU75lfb0ju075Pix41JbUyt9/QPS1zcg1e6/qUySnFiI3xMvifv3ywEnDNJT0+Rs5Vnd8f/4k8/e&#10;2N1+/0qfr/Hrb36nX+/tO/eks7NbiotL9IjR5k2b1dBHRgLRx8z2aQtrfKyr+rl2uHDeAgnfGC4p&#10;KQclL79Q6lwFCenzQ5/oWap9XjOr/F5/8BohrHndurp7NTEQIUBWACKAbkAg4PCnY8CYh1yNisoq&#10;jXjGfGujHsPrAhMAYxD84IBEqCI560r2O9V+ZuZxV9FzOCZKjX209plFg9UrVkpsdIwcOXxESkpK&#10;paOjUy5fuaoEd+2D69La1uYq1DO6grZzx073gytRuwO7YmLk9MlTKhTuffhA2+CBCHQswyN9nPyc&#10;3b189Zr7Yd8j1dU1kpOdI4cOHNJqn2eIkKK6+7bae9uJgTnu91apOOD5car35MksOVtVq90YXid+&#10;4CPWAr2ehtcfvHaYMhFxBF8VFBTriWU6Z9y84N8MiIqMcv9mdun3wClH/OUVZ/XUda8jfi+/wYjf&#10;8LrABMAYAT80vGof8ufYy/kWTsSWy9GjmbItYrvO8WdOna6VKbNoAGHRBSC8p7amToaHL8v9Bx/J&#10;w4cfy4OPHsrN23ccQfFDrcl9nKPaIVi9YoUkJyc7EZAg4Rs2SkpSspw71ygfuEqIMUAgEh1r8K/2&#10;+Zq4SnjLiaG+/kEpK6uQFPe8WMvTSn/qNK3sdbb/9rs+uGpfY3rdM+YGwiF18heq34LZPgl9rFt6&#10;xG8/9Mc2/P/9QeR0BAYvDOtrTdeN0Q5gVNDW0SU9vQP6PeD5O/hz3veBfS8YXheYAHjN4f3Q4QcO&#10;7UN+2BQVl8qx4ye0zR8TEzuycrZMyUrT45wYYKefdj5zx33xe+XkiVNSU1MrF4cvaSV/8+ZtueIq&#10;XfLoO7q63MdtdO9zQm/Ib9rou9m/1/05vAJsA5w6eUo6O7uUKCFOCDQQsY4FQPrM9u87AXT5yjXp&#10;6Ox21Xq1ZLtqPzU1zVftu+eIoPI38tHu1zHKMt/9A6p97slzehcnPz/42SGHIOyHfHCAf5t0eBDk&#10;gDGcVfqGsQITAK85vIqDm+5Ul0czMmXLlq2ycN58mfT+RK1CmT9j7NuwfoMcPHBIKirOSq97/6vX&#10;iPdt12MzZ87kqTeA+N4LQxeVzJubm6XJVf6QP8jPL9D5P0ang64C3h0XJytXrNA9aLYCyl1l/ODh&#10;IyXQsSwAqPgffPRILly46J5VpaYcbli7TgUUBj7vEMy3bX4HJwS4ub965Wo19JGayCEffvhT6Y+u&#10;8OyHf3DA//UejUDvbzC8TjAB8JoBIqFtSPQrs0ba0eyKczOceeNGV6FD/ovmL9RLfD7H/j45duy4&#10;lJWWS0tLm1y8eElu3bojd+99KAMDFzTI50DyAdkVE6tZ9G3t7XLekT9tf4/8QWlpqRw+fFj279uv&#10;5B+5c6dWuhvXr9f594ljJ3T3nT14ugCByPV1AiLFq/YhfD53ThRXnq3Sy4U8E2a2CByq/dFhPRC+&#10;3j/YGiFxu+L0NTh9Okfvx7e2d+rGhUf8gV5Lg8FgeJ1hAuAVg0rBa/MzL2Y3GGNfVXWdrvDF7dqt&#10;caRq6Js8VWfR3CunRb1/X4IUFBTqmh7z+U8++UzJGeBg//D+RzJ86bLU1NbJjm3bNdwnLS3N/X+t&#10;1Dc0SMO5c08IgLNVVZKbm6vt/y2bNyv5M0rYsilc5syYqZHAXV09+nFfRzMghO8/2//qa99s/+6H&#10;D2RgcEivrtHi3+K+Lp4nM30c23RQqPip/AFhSBj9EAYpKYc0y7+h8bx09/TptoX/TDfQa2owGAxj&#10;ASYAXjHU0DcwpOddK8/W6BESkseio2IkfOMmPcTDWhn75lT7zPRx8hc64ue63KAjNpz8Hz38WA/Q&#10;qLHPVf9Xrn4gQxcvPnaz74qNdaJhpbb2WWmrrqn5jgCodcKgvKJC0g8flvVr1+rxGsTAju3bNR1w&#10;R8R2KS0pVVHxOpoBIX6t9t2z4Otv7+iU8vJKOXnylLqyme1D6lx5g+S9Sn/iu+/7ApCWLtNqf0/c&#10;Hn0NsrJzpKamXqt90hRp9RvpGwyGNwUmAF4yvPkg1b5vt7hPL75B/ImJyVqd0uLHzY/hjP+m1U8L&#10;mvdpampW8969D+/rfXlIn4r/4aOP9W0QX29fvyO/Dmk6f17b/FT2KSkpst0ReVJSkpw8dUqJfrQA&#10;4P/r6uvl2DFf/jkC5MiRIxITHa2rhOvc28gFaG1t00Q8r+IORMYvGt7frZX+yDEeDhVhbsTJX1F5&#10;VoUS9/Y5uwvBezv7E955T6t/glymTZoi8+fMc1/bWol34opnzCEezsJ61/c8J7+Rv8FgeJNgAuAl&#10;AxKhkuzo6tW1MSpNZvPskFPlc4CHoBnc+PG74yXjSIYUFRbrdbl+R2w3HMF5xE86H0d6rt+4KZcu&#10;X5GBwQta8bPT39h0/jGxV1Vz+OeY7N27V30E7PjjBRgtAABvy8nJkRhXLZMeyDpgdFSU+5yWyJpV&#10;qzQ9sLSkTLPwId5XIQD4OxlB0IWg8/HBjVtO8HTpzvWJ4yckcV+C3ttft2atVvsY+7yzroARysrl&#10;K/XWfnz8Xk31y87J1Q5MS2uH7npfccTPa2VmLoPB8KbCBMBLgm/W77s3zoy/uKRcCZZZNHvm7O77&#10;VsyWqzEtM+OY1Nc1qKEPkqPK/8xV3YD//ujhI231s9bX1d3tiKt1xNT3pLEPMPPPLyiQw+mHNQWQ&#10;qjg7O1vq67/rA+D/i4sJOUnVNcCYGIKBdkjE1q2ydvVqWbl0maYIkgzI5/KyBIDO9UdIn+4DbX4y&#10;+an2a2vrdTuCr41qn0qf2f7jmf67rtp3IoAuBp0VOir4J4jmJZMfMUY3hkp/tJs/0GtpMBgMbwJM&#10;ALwkQCy0lFvbuzQalB3yxQsWKfkvcVV/xJatknrwkK7i1TtS4tgMJIt7/fMR0ie8586de7reNzQ8&#10;rK3+js5OaW5p+Y6j3x+09SvPnpWsrCwlfyrjTEeYjAb4Pf/3RQBUVFZKdla2dgrWr1uvYwm6B4wE&#10;WDckIZBYVDLyX9Y2AMT/6JPP1Mmv1X55hWRmHtPPka4EIws+N/98dhz9PN+li5bItq3bZN/e/Vrt&#10;Q/zV1bUjs/0h3bqw9r7BYAg2mAB4zvAqRwiFihKT3/Dlq3r2E6Mf++M48qn2aUWze07iXMbRDG3f&#10;k9L3+RdfqYOdC3xa8X/6ub79xo1bcmFoSNqY7zc3P0Hcz4KSkhI19LFVwO67Zwb0fx8EAB2DsrJy&#10;NQAiThhHpKWn6+dNsiDBQBgLIWNm8IEI+6eCjgKighY/IwZMfTj5MTpeGBrWYzx0R2jxz5877zsH&#10;WZjxU+2TgsgzZlsiJmaXnDyV7cROo5545TUxwjcYDMEOEwDPGR75M+eHbM43t2kQT4aruAnZ0Sra&#10;EddsR6Sc5qV6xZ2ecTRTU/mY7SMA+PVDV2HfuHlLXfcDA4PS09ur5r5AO/zPgrLyctm/f79si9im&#10;lTPueIJw/N8HAUBXAGFw9MhR7RbgjE9LcwLAkS4ji61OsJw8cVJ6evqe6zqgR/4QP4Y+/A50GspG&#10;qv29u/e4Sj5Cd/M98qfF75E/zv5li5fq50mL/+iRDMnLK9BM/ubWDn09vNAea+8bDIZghwmA5wAI&#10;H2AcY5bM4Y/Wtk5HPDVyOitH3eVrHZFCWlSmONJZ7+Pa3glHpMzaIVgEAPv7zPzv3L2nx3p6+/r8&#10;5vtPEvqPBWOAoxkZ+vdhBqTCLyouDvi+CAGuA0KmeBLYIuDYydLFS2TjuvWSsD9BzjU0qlj5fcYA&#10;Otv/nS+PnzHH/Y8e6WyfAKMG9/G5vIZXgk6EP9nT3mfOjwiYOXWa5hQsWbhY4uL2aDQvuexdPf26&#10;tx/oNTMYDIZghwmA5wBa/cyR29q79OznsWMnlPTJ5Ge9DGMalfMqnOfubRBvfl6+xvTi7oeQid+t&#10;ra2ToYvDI9V+n3R2dSn5E9fbGICkfyyo6rlln5qaqpV0pCN3gn8CvS8CoKCwUA4cODgSDxwrO3bs&#10;kM3h4ZoPEO1EQUlxidy9+6GKgEDk/iygg0C3g2q/s6tbkw+PHs3Q58fcnmqfACPGJd+m9L2t63vk&#10;IxBWlJCQqB0Wqn3N5HevA3cTfMa+GwFfM4PBYAh2mAD4kaB1TAuZVjI58L39g1rtcyccc1ly0gHZ&#10;Eu7b5Z83a7bO+Pnv1ctXyF5HpBycIcDn4vBlXeHrd2RPNU1bPis7W0UAKX2BSPn3hWcG5LAPo4gN&#10;rpI/ceLE42RA//dFAJAVwIngxMQk2bhhg0RERGhE8I5t22TLpk1y8vhJGRoaVqNiIHL3B+19QLX/&#10;xVe/lY8ZcTx4KNccQff2DUhNda0cP35CYmNidQ0Sx76u7o2QPsl8M6a4Sn/mLL3Dvn7NOomJjpVM&#10;J7Yg/c6uXhVh3s6+58UI9BoaDAaDwQTAjwakAvG3tnVotX/qVLYj8CQlfS7nLVu8RCvTxQsW6pU+&#10;LvGxm86svc39Gdb6rl79QImPQJ9WV+Gnp6VrByAlhRvip5Wk/cn4eQFSr62rk7z8fPUeIAL4u4uK&#10;ir9jBgS8rbSsTJISE7UK5/3pXsRGxzgCXiupBw5Jc3OLriMGIn1/eMY+qn1a/Gw5lLtngvchzn3t&#10;m93HpkOi1f6kyU+0+wHPlO5JYkKSHMs8rvfYEV2IL5IUqfZttm8wGAzPDhMA3wOv2icNTqv9vkFp&#10;GZntM2dOSkrWtToiZJnr0+Zn5YwZOS1yTHSVlWelu6fHfbxbmtRHVO+t23dG5vtc+GtQM15CQoJE&#10;R0frryUlpd8h4+cFRADbAPv27tP9fk4G8/fzeY5+XzoGdAcOHjyoxEz7nyyB3bviVOzsd+KGUCC6&#10;GRC8fyaAV+2zyYCvgW7HlWsfqHGQvX1WIXe5j8NGAoTvET1VP2Y+1vd4nouckMLYF+uq/ZMnEUfV&#10;enb3ghNS/pW+h0Cvo8FgMBi+CxMA3wNvts8pXlbIsk77DH3s7LNeRpVPix/z2bq165RUsxyxna2s&#10;krbWdhlg5ezKNd3bp9onm7+/v18FAW5+9vch2cLCQklLTdMKG9MdFfpoMn6eYM//6NGjsm/fPtmz&#10;Z4+G/lDpj34/xAIC5cTJk7J92zaJjYmRAwcOOOLeJeEbNspuV7mfOHZcujq7ta3vvxEA+WPqu3P3&#10;Qz2iQwfkiBNEdDo09XDZct3bZ7bvn9I3ecJEjeYN3xiu1T4HkYqKStxzOiftnT3q5Pda/Ub4BoPB&#10;8NNhAsAP/tU+53hbHIlzSpc7+mlpR2Tn9p1aCTOHnu+qU8x9nMllje/I4aMaTkOFSx4/p3jvuaqX&#10;/XXIv39wUEkfN7+/o1/n8q76Jl1v4/oNKgJOnTql7Xd+z5+Qnxf42Ll5eWoGxNmPwS/fiY5AFwIB&#10;KYIQPyuEe3bv1tsAO7dvl7iYWElJTFLBwzVCqnxc/Hfcr4w4urt7pbamVlcGuSqIaKKyf2J17933&#10;tHuCGMDpjy+B2f6RIxk6YqHah/CtvW8wGAzPFyYA/AD59/QOOCJs1Jz+gwcOydbwLbJi6XKt9gmW&#10;oUJlzs8aHTf4y8u4wd+q7n3y+Gnts7fPSh8rfJzqhfjVzc9xnlHkCunW1dXLmTNnNKQHVztt9sKi&#10;Im2/+7/v80JdXZ12AUgDXLdmje76YwZEGIw2A4Ly8nI5ffq0CoDwTZt0dEAyYPyePdoFYNRRWlou&#10;5841SksbVw3xRpzWU8ZsQfC8aOc/nu0/cXN/hmzZvFWNhqxEFheXSUNDk3R0dusFPi+il3Z/oNfM&#10;YDAYDD8NQSkAvHkxxOKr9gccQXc4AqwbqfYPu6o4TtavXa8tfip+SGztqjVqVmNujnGuublV0+mI&#10;7KXi16M8jvz7Rq7xEdgzmkyfBvbxGSHQTUhMTFQyJKo30Pv+vvDMgFlZ2bJpwwYVAUePHJGysjJ9&#10;++j3520YE/ECIBa2bN4su3fvlsidO2XD2nXqg9gzkiuQ7sQLa42bwzfLXEf6HtHr3v7IbJ+tCHwT&#10;xPdGR0br2iTVPsbKQfc8eV0CvW4Gg8FgeH4IGgHgkT6gmrx67Yar0ocdwZ2XfKr9g4e0HQ4pLZq3&#10;QImftjTEz1yePfMyV+W2trQ5gh9wFf+lkUr/opr5OMgD6XMq15fN/+01vmcBM3I6CiT0xcbGavAO&#10;hBzofZ8HEAF0GajkaekzDqALUeUnOhhVkEFAh4Pb+pgF6QAgAlgL5EIgITxqgHTPi/EIK3r8N0TP&#10;yV1PAED+PNN1a/BK7NeAn5LSCjl37ryu8A2414JWv8X0GgwGw8tBUAgASB9iGRq+onv7OPk5BkO1&#10;z3EYjGlrV6+VhY68IDBIn8o2ckekpCSl6C48V/YI6CGaF1z94LqKAAJ7NNDHj1x/CjjZS/BOamqa&#10;uu0hZcyB9fX1AefyzwPs+WMGZPNgnxMC3P5nDNDW3iEdnV3S6762/gHEzrBcvnJNI43pUKxds0aW&#10;LF6sxI+Bj7Y+s/xvg3pcxe/ezi4/z5QLh3gb6Kqkpx/Rj8NdhMGhS9beNxgMhleEoBAAGMhoLWMo&#10;42vMzDwuO7btkCULF2mVzxx66qTJWqGya44ooNrHyX/BVabM9jm7q3P9/n7pdNV+W3v7yFz/p+Xy&#10;jwaGP1r+kPCKpctk/dq1OnevcYTcEGAu/zzA30fVj8EvYssWFQGcCOZr/eC6z9T38NHHDp9o2M95&#10;97UePHBQjwPhhyCGl4CeqZOnqBjgvz0BgFcC09+e3fHq5OdWf+P5Ft2ogPj9M/lBoNfNYDAYDC8O&#10;b5wA0Pa+qyppJ/cNXNDZPnv7VPs4y+Pj98rWLRGydNHikdn+Uq32icYltIc1PvbUcfNfvnxVrl+/&#10;qS7+waEh6erpUdJvPB+4vc+snAqabQBu6peWlqnZ7lnMfGoGdCKANjtzedbsMlx1zs5+oLn87wPM&#10;iHwdjCoQF6QTMsfH1NfY2OQEz1W99McK46VLV4QrhTwTNhW4BEiHhPU9PWPsnlt0VIzs3hMvkZFR&#10;ss09Wz4We/sIqcKiUiV+zu5isgz0mhkMBoPh5eONEwBUlVSXnd29auo7ejRTZ/grl69UwqdSBbj6&#10;ybQ/mHLwsaGPCp/ql2CbQUdY3T2+63seWUKcgQjVA218SB8ST0tLU98A5IogCPT+/qDNDxgDsJ/P&#10;ah6V+emsLBUVgf7MTwHdCmb6jC5o7bOy2NTUrDHF+A+aHVkT74vPofFckxTkF0rCvgTd26dDMt0R&#10;P7P9KRMmKfFXOnHFxUOed7P79Vxjs3te7dLR1avjFkyWvmrfWv0Gg8HwOmFMCwBaxx7hc4Gvpa3D&#10;kXCdFBQUSaarVhP2JyrJM9fHee7tmVPF4ljX0J6z1TrDv+DI//LlK49X+Kh6W1rbvtPeh6Sp1mtd&#10;VU8LvbS0VHfq2XVPT0+X5KRk2bt3n64Jxu2Kc2S+X3Jycp74GN8HTvZmZGToXB4RgDmvsvLJk73P&#10;AtYN+dwRLogYTIqsJQ5euKCbCmwsEOGLn6GlpU3Jf1dMrN7aP30qSzKdcEpOTHbPKkoP8tDyx+S3&#10;asUqHQHg3s/JztWjO1T2ns+C14IOjLX1DQaD4fXGmBMA3swYUFEq+fcNuiqZ9vlp2b07XtasXiML&#10;5i2QWa7SnzJhos7316xao+7z3Nw8JfYLQxfl2gfXlfD7+geks7NTc/m9St8jfq8y9+CRP6RMeM6x&#10;Y8dkv6vY2d9n5s1oAZHBcR82Coi65dSv9+dHE/Vo0EXg47Jyh9Oe1D1ExrP+eQ8+936LdjH8Z/qc&#10;Giah7/MvvtT/JqWwrr5BBQB/3/IlSzWJb/b0merkZ3efzglngDFFEnhEMl9jU4uSvz/Z+782o183&#10;g8FgMLxeGHMCwJvvd3X3CTffOQF79Ag37vfpPBoSVuf50mWarMfRm/2O+I8fO6HGPkx7ED6kiLlv&#10;YPCCVsc6239Kte/N9Yno5bAPsb0J+/crkpKSdJWOK3YxUdESEx2jb09OTpGtW7aqAEhOTlbH/bN4&#10;AZj3V7j3xQyIEZDQnVzW85wwCBTS4+F8s1fp9+haIgKHr4+MAtII79y9p7+S2EeLv72dTYgayc7K&#10;duSfoL6DRQsW6HjEI3xyEDBLxrtnm5Z+WH0UtXUN0tHVoxsVVPxG9gaDwTA2MWYEgFdZQv7dvQO6&#10;SsYZXdrRtPdpUVPx4+qniuXC3KmTp9W8pnv7jvSY7ff190uHq/Zx8VPtE9bjzfa9Ktsz5EHYZ8+e&#10;VUPf6dNZeht/5/YdegiHv5N9+Li4OK3W6QTQ6i8uKdH9/YKCQnXVI0IYA6gXwBH7aOIeDf5+RMDJ&#10;kyclfONG2R4RIZmZmfpxR5sBESw+nFcRw60BuhoQPUeHOMIDqPQ5QMTM/9y5JiXy5MQkvWmAoQ/C&#10;Z2WPin+Oe450S3Dvs6uPgbK5tUPn+ereH9nVNwe/wWAwjG2MGQHgzfoxnGVln5E9e+K12meuzwW+&#10;Da5a5QJfckKiHMs8JsVFJY5MG7UihviAf7UfyNAH6UPSGPG4zc+OPK3x/Y7AiaqFyKn0ScAjtndv&#10;fLy+jxK/uv5LlajJDTji3k6wEPNz3PUIiGcxAwJEQG5urrb/yQPADJjtPh8ECZ93a1ubdHYx0+/X&#10;r+niMGmEN/TwDm3+D+9/JLdv39Wzw729/dLQcE4KnSDJOJqhXwtV/crlK9QISaXP58gIIzZmlyRx&#10;bvfYCfd1lKl73zu+YwY+g8FgeLMwZgQA5M+BntzcAo2ZZU7traJhVMO8VlfXIH29A3LdiQUy+QcG&#10;fIT/tNm+V+l71T6t92xH5hpn66p3SNELBmKTAPLk9zjWg0jggh4RuZgBAUdzjh8/IQlONCAQECjL&#10;ly7VQzjs27MSOJrsA4HPjfW/w4cPa/4+sbtHHXl7IT39A4O6qnfj5m259+ED3dOn0ufWPuR/3YkB&#10;Qnxqamp1dQ/RwtEi7ZJMn6HpfRrSM2+B+zx3Smpquvvci9zzaJTu7j517g+7j+9V+pC/VfoGg8Hw&#10;ZuG1FwAQDyTEzL+4uFQd9rTfITLIefu27XrUhlY/u+s3bviS+kjpo/qnWh492yddD8KmWj/jKu3j&#10;J07IoUOHdKQQ76p6CDt+T7zsjotz4mKn3r9nre+kI35InkofE2CJ+xVih5xpqZPlv9v9Wd+f59fd&#10;KiSOHz+uY4FnXedDAFRV16jZ7tChVB0jpCQnS7sjfxL5cO97lT6/XndfMyOOjo4uPU4E6bPlwOe9&#10;aeMmFTBU+hw14swuDv743fFK/Aiq6toGae/oloELF9VjEeh1MBgMBsObhddeAFB9Uolyj3+/I2hM&#10;dbj6OceLyS49LV2qqqrl4sVh+fyLr3T+TYXMjN+f+CFVr+qn2icHnwt4GPQiIyM1rhZhQWs8YutW&#10;SdKDPCek0BE+nQH+jNctqK6udkRbpp0ADgPRKfDuBrABgADIzDympkE6BPxZ7+/3J/rvA3P98yqA&#10;YqAAAA38SURBVM2t2tlY4D72nl275dLwZXn08af6deLkZ7ZPWA+GPjwRh9OPyCYnFqaOJPSxr08G&#10;P52S9Wt9GfynTzNKqBfy9zHyscLnX+VbpW8wGAzBgddeAND67+7pV+MaefKaK79howbX4Mg/dfKU&#10;dgCaHGF+9vmXTgDcHcnnJ5SmUcmXe/vk6hOtS1sdcqdCj9u1S38leIdfmelTOTMr9wx9Xnuf/XzW&#10;8/g7D6Sk6M58bEyMVvl0Cvh/Oghpqal6CpdwIcgfwfB97n2AERHBwsoe2fs4+Mkl6B+4IEWFxWrW&#10;S9yfKA3153T239nZraLnxPGTcujAQfcs9qo5kURD/BCIEc7w4kHAzMdZ46ysHKmorJam8606SvHO&#10;7BrhGwwGQ3DitRcAzKNJlyNWdv7cebrel3ooVQ11zMPz8wskKjJKf2UGTvufuT/zfvb1ab3n5eXp&#10;zXpa9JyyRUSsWL5c1+wQAazc8T7cvadNj9veAwIC8seEx/qfHg5as1bn6SuWLdP5OqIC1z8X/bi1&#10;D+F/X8Xv794nX5/1PUJ6yCRgTe+Gq8Y/uHbdiYCLUn22WpKTUvQoEf4CzIRcDYTcZ06bIZNdpU/u&#10;PnkH7OwvWrBQwkk4PJgqJaVl0tTcqnf1hx3h+yp9c+8bDAaDYQwIAM7EEukLAXJmdt3qNZKTfUbJ&#10;n4x+hAAteJz/OOHZ8Ye0qfaTk5K0Oo+NplLfoyY+QKVO65/kPs/Qp5n9jvwBLX819J1w1f6BA9oZ&#10;oNqH/BER3Lun8uf3WNfjz589W6WC4fva/I8r/e4eGRh0VfjwJRkevqxXBjs6OuVcQ6OUFJdqCt/B&#10;5APqyGezAZc+wAtAF4Q2P6MKkvmY628J36KfW4r7M5nHTjgxVOg+F/b1fWd2PTNfoOdrMBgMhuDE&#10;6y0AXJU64KrXqqoarYLJomfdr7CwSON67z/4SOod0dEiP5Cc4gi2xVX9ddoNINxmw7p1jiiXq2+A&#10;QCD29cnpLy4qfnykh4ofELRDBY83IMtV2VT1jAU4zbtuzRoF639E87IiiBGQ0QBdBq/NP5r8qfLp&#10;RED8rB5S6Xf39Gh7n9k91T4Hhzq7ekZa+if0iM7iBYt0Jx+j4yxX5fPf3t193sau/rIlS3UbgtXE&#10;kydPu6+nSlrbu7Ta9+J4bbZvMBgMhqfhte8AMKtuc8SWgRlu7nwlvoMpB6TBVcv37t1X5zvdASp8&#10;qnNid5nB065nto8QOHTwkDrj8/LyHXGXaQJeXV29tuu12neCAcMfs30q7p3bt2vAD3+eMB/S/lIP&#10;uY9x/LgUFBToqADxEIj0PeJn7ZDAIVr7ZBB8mzrYI81OqFRzofBMrhxJP6JJhQiUjevWy/Kly9SM&#10;iKGQOwbs7EfujJKoyGhFXGyc7N+XoJsH3DyoqqqV8y3t0tM3YHN9g8FgMDwzXnsBAKHhVofsli9d&#10;rgY3ZtxnHHmyB8/6W6H7PQ7vzJs9Rw/9EMSDYY+5Ph4AyNp/pk+1zxofJr+srCwdBSAeiBKGePEZ&#10;REdF62og1/gI+eHP+Ff6HgJV+q3tXMPrkt5+bt8PKfmzvtflKn06FHzuKU7EQPCE8ZDER6XPr0sW&#10;LtJ0w91xe1T05OTkatwxe/qgrKzSfR7npLO7T1P5rNI3GAwGw0/Bay8AIDZIjkhadv4XO4KkQsb9&#10;rlftrt/ULsDh9MM6E+ftzNi9ShtyhqR1fa+mRrcBTpw8qfN73fOPjHRkH6X7/6T+eR0DZvv4ADxj&#10;4NOc/Hx8Ng5o7Q9euKi+BAj/wsWL0tHZ5f7cOR050IHgOiFufeb4jCUgf0DmPlU+fz+kzwleKnsc&#10;+3Q/2NHv6OxRsBGhpr7LV/XZBHpmBoPBYDD8EF57AeDhfEubVs1c2GPPnQq9q6tbM+5v3rqtUbcY&#10;4zhuQzoeeQCs03H5j+qd0B7O9hLdq9f7tmxxJLxC1qxapZsBiYmJahykY/A0M59/pU+Ln7v635r6&#10;Lmj6IMd3MPchQFg/ZI+fuT6fGx4GMgxI4fMO7mwJ36xfF2uODeeaNHP/CoFGAZ6BwWAwGAzPC2NG&#10;AHT39ktBYbG63Tn6Q/u8rKzckfywfOgIv7q6VrZvjdA1OQyCFy9e0jwAsv1p8cfGxupxHa7rMS7A&#10;yc9sn9+jI6DVvntfr9ofLQC00ndigl19yJ6VPQj/8pUremyIbgP+Aq4OEg7EZcAtmzbLmpUcDlqg&#10;hI942bkjUvbtS5DDh4/oKKC84qz7u85Lu6vufZX9NXPsGwwGg+GFY8wIAPIA2GlPS01XMl3lKup0&#10;99/N7m0k4pGGxwlewnEqK6v0LgDxwCdPnVZDH2t0eARovxMn7DPRFei1v0DVvn+lT4ufSp98Acjf&#10;uyzIr319/VJf3+DIPE/2xe/Tv4e8Aqr8mVN9p3VJLcRbEL9nr2Tn5OpWQ3tHl/sYV2xmbzAYDIZX&#10;gjEjAIis7R8Y0hO/GAEh1s2uwsbBf//BQ7l06YqrpivlyOGjepOfrQAqcdrrySkp7tcUOXTwoDr5&#10;iegtKSlV8g/U7of82ztw8A+og59Kn9k+I4XOzi7fHf3sHDmYctBV+jGu0g+XtavW6Dx/9vQZ6uQn&#10;phgjX+qhND2rW1hYouY95vi9/U5EOPK3e/oGg8FgeFUYMwKAtjiEyUEg2ursw2P6owuAEfDW7bt6&#10;/Y/bAAvmzde0vngnAmjxn87KlqLiYt/e/ijC9+b6zS2trtJv10of857v1O6QVvn82t3VI+cazklR&#10;YZGuGGJIXL5kqW9Hf9p07S5wnGj5kmVOgMRKRuZx93eWybmmZl3R8zL3jfANBoPB8DpgzAgAiBPX&#10;O0a5pMRkzbqnCwDJ9/T0aQQwxr/jjngx2zHjpzVPYiCA6L2YXn/yp8Xf2dXlqvshV+V/IB98cF0r&#10;/v7+QR0vVFSclWPuY1LpMz5gjo95b64jfITGiuUrZIcTA8nJB3T8UFRU6kTGOScmOqWnd0AGhy5p&#10;MI+3phfoazMYDAaD4WVjzAgAD1yxy8svVEImj3/b1ghtyWPK4yZ+ofu9tatW69odFwJv3IJ4b8nA&#10;hQta3Xugxc9hHdz6mAWZ7dNB6OrslsbGJikrLddxA2IDMx9ig2p/3uy5mtTHPYGILRGyf3+inDqV&#10;JVXVddLu/qyXwgfZ+yPQ12IwGAwGw6vCmBMAZNvjmqfipu2+fs06dd5jAuQaIFU7x4LwBjCvv+Yq&#10;+gcfPdIb+vgEAPG712/clJs3b8vF4WHtAJAMSIAQN/RJ5ENEMMtf5Kp8Rg0c2dmwfoPsjcdAmOk+&#10;fpGcHdnVR5QQWUwwzwcjoTyBPneDwWAwGF4XjDkBQIXNrvzx4ye1FU80cGxUjFSUV+qtfFYAy91/&#10;cy+ANUEqe64E3r//kWbvsx5Ie7+3t1/a2jrUkc86Xnpqml4VZI6Pg58xApX+Ss4Pb9wku5wwYHWP&#10;u/uQPkKEub5V9waDwWAYixhzAgAjHcRbWFwqmzaFy0JH2NwI4Nzvnbv31K2PmS8rK1tv+9POZzRA&#10;VgDVf1PTeT3dS2Jg5PadsoH8fSciSBdkfQ8nP3N+jHyph9Il50ye3tFvbGqRji529Yc0c9+7sGcC&#10;wGAwGAxjEWNOAABIl3O37PMzi+cePiFAldzjr62XmuoajfPlSiDGPCp9DIHcDOD4DkFA69as1da+&#10;196n3U8G/67YOElLOyy5uQVSU9ugmfus7Fk4j8FgMBjeJIxZAYDL/vTpbNkesV3jdVnFo11PAh8e&#10;ADL3qew3bwyXXa6a37Jxk/4/LX68A1T7jBC2RWyTxIQkdfoXFZXolkFnd6/09V/Q8CFGDlbpGwwG&#10;g+FNw5gVAMTmEqxz9EiGhDuSX7JwsWYDQPLhGzbJssVLfbfzZ856XOkzLlixbIVsXL9Bz+8mJCTq&#10;Lf2y8kpt8Xv7+oH+ToPBYDAY3iSMWQHgnQkmHphDOqzrbXJV/tJFi7UbMGXCRJn47nuKaZOnaHhQ&#10;3K7dKhgIE6pvcJV+V4/0DfgqfTL4meubg99gMBgMwYAxKQA8IASGhi9LW3unHtVhMwAhEB0VI9u2&#10;bpOtm7doTkB0ZLTO9TkmVH+uSU/qDl+6am19g8FgMAQtxrwA8LYCcOazmkfOfld3nzSeb5HqGmJ/&#10;m5xAINp3UDsGXlCPzfUNBoPBEMwY0wLgaYDYfYLg4uOjO9baNxgMBoPhW7yxAgB4+ftW6RsMBoPB&#10;8CTeSAFgMBgMBoPh+2ECwGAwGAyGIIQJAIPBYDAYghAmAAwGg8FgCEKYADAYDAaDIQhhAsBgMBgM&#10;hiCECQCDwWAwGIIQJgAMBoPBYAhCmAAwGAwGgyEIYQLAYDAYDIYghAkAg8FgMBiCECYADAaDwWAI&#10;QpgAMBgMBoMhCGECwGAwGAyGIIQJAIPBYDAYghAmAAwGg8FgCEKYADAYDAaDIQhhAsBgMBgMhiCE&#10;CQCDwWAwGIIQJgAMBoPBYAhCmAAwGAwGgyEIYQLAYDAYDIYghAkAg8FgMBiCECYADAaDwWAIQpgA&#10;MBgMBoMhCGECwGAwGAyGIIQJAIPBYDAYghAmAAwGg8FgCEKYADAYDAaDIQhhAsBgMBgMhiCECQCD&#10;wWAwGIIQJgAMBoPBYAhCmAAwGAwGgyEIYQLAYDAYDIYghAkAg8FgMBiCECYADAaDwWAIQpgAMBgM&#10;BoMhCGECwGAwGAyGIIQJAIPBYDAYghAmAAwGg8FgCEKYADAYDAaDIQhhAsBgMBgMhiCECQCDwWAw&#10;GIIQJgAMBoPBYAhCPCEAUlIOSXlFlcFgMBgMhjcccL4nAP5m5D8MBoPBYDAEBf63v/n/AUcy2Szn&#10;OwzHAAAAAElFTkSuQmCCUEsDBBQABgAIAAAAIQDwiBna4AAAAAkBAAAPAAAAZHJzL2Rvd25yZXYu&#10;eG1sTI9Ba4NAEIXvhf6HZQq9NatR09S6hhDankKgSSH0NtGJStxdcTdq/n2np/Y0PN7jzfey1aRb&#10;MVDvGmsUhLMABJnClo2pFHwd3p+WIJxHU2JrDSm4kYNVfn+XYVra0XzSsPeV4BLjUlRQe9+lUrqi&#10;Jo1uZjsy7J1tr9Gz7CtZ9jhyuW7lPAgWUmNj+EONHW1qKi77q1bwMeK4jsK3YXs5b27fh2R33Iak&#10;1OPDtH4F4Wnyf2H4xWd0yJnpZK+mdKJl/fLMSb6LGAT7URJHIE4K4mQeg8wz+X9B/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gP87WwQAAPwMAAAOAAAAAAAA&#10;AAAAAAAAADoCAABkcnMvZTJvRG9jLnhtbFBLAQItAAoAAAAAAAAAIQASaEjIGA4BABgOAQAUAAAA&#10;AAAAAAAAAAAAAMEGAABkcnMvbWVkaWEvaW1hZ2UxLnBuZ1BLAQItABQABgAIAAAAIQDwiBna4AAA&#10;AAkBAAAPAAAAAAAAAAAAAAAAAAsVAQBkcnMvZG93bnJldi54bWxQSwECLQAUAAYACAAAACEAqiYO&#10;vrwAAAAhAQAAGQAAAAAAAAAAAAAAAAAYFgEAZHJzL19yZWxzL2Uyb0RvYy54bWwucmVsc1BLBQYA&#10;AAAABgAGAHwBAAALFwEAAAA=&#10;">
                      <v:group id="그룹 1057" o:spid="_x0000_s1208" style="position:absolute;left:45;width:21252;height:27686" coordorigin="45" coordsize="21252,2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shape id="그림 1058" o:spid="_x0000_s1209"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UwxAAAAN0AAAAPAAAAZHJzL2Rvd25yZXYueG1sRI9Na8JA&#10;EIbvBf/DMgVvdZPaFkldQywKQk+1heJtyI5JMDsbsqtJ/r1zKPQ2w7wfz6zz0bXqRn1oPBtIFwko&#10;4tLbhisDP9/7pxWoEJEttp7JwEQB8s3sYY2Z9QN/0e0YKyUhHDI0UMfYZVqHsiaHYeE7Yrmdfe8w&#10;ytpX2vY4SLhr9XOSvGmHDUtDjR191FRejlcnJS+f23OVBizs7/KUjtPSXnZszPxxLN5BRRrjv/jP&#10;fbCCn7wKrnwjI+jNHQAA//8DAFBLAQItABQABgAIAAAAIQDb4fbL7gAAAIUBAAATAAAAAAAAAAAA&#10;AAAAAAAAAABbQ29udGVudF9UeXBlc10ueG1sUEsBAi0AFAAGAAgAAAAhAFr0LFu/AAAAFQEAAAsA&#10;AAAAAAAAAAAAAAAAHwEAAF9yZWxzLy5yZWxzUEsBAi0AFAAGAAgAAAAhAFRDBTDEAAAA3QAAAA8A&#10;AAAAAAAAAAAAAAAABwIAAGRycy9kb3ducmV2LnhtbFBLBQYAAAAAAwADALcAAAD4AgAAAAA=&#10;">
                          <v:imagedata r:id="rId105" o:title=""/>
                        </v:shape>
                        <v:shape id="Text Box 1059" o:spid="_x0000_s1210" type="#_x0000_t202" style="position:absolute;left:13716;top:26225;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1rxQAAAN0AAAAPAAAAZHJzL2Rvd25yZXYueG1sRE9NawIx&#10;EL0X+h/CCF6KZttasVujiFiwvUhXL96GzbhZu5ksSVbXf98UCr3N433OfNnbRlzIh9qxgsdxBoK4&#10;dLrmSsFh/z6agQgRWWPjmBTcKMBycX83x1y7K3/RpYiVSCEcclRgYmxzKUNpyGIYu5Y4cSfnLcYE&#10;fSW1x2sKt418yrKptFhzajDY0tpQ+V10VsFuctyZh+60+VxNnv3HoVtPz1Wh1HDQr95AROrjv/jP&#10;vdVpfvbyCr/fpBPk4gcAAP//AwBQSwECLQAUAAYACAAAACEA2+H2y+4AAACFAQAAEwAAAAAAAAAA&#10;AAAAAAAAAAAAW0NvbnRlbnRfVHlwZXNdLnhtbFBLAQItABQABgAIAAAAIQBa9CxbvwAAABUBAAAL&#10;AAAAAAAAAAAAAAAAAB8BAABfcmVscy8ucmVsc1BLAQItABQABgAIAAAAIQB5+s1rxQAAAN0AAAAP&#10;AAAAAAAAAAAAAAAAAAcCAABkcnMvZG93bnJldi54bWxQSwUGAAAAAAMAAwC3AAAA+QIAAAAA&#10;" stroked="f">
                          <v:textbox style="mso-fit-shape-to-text:t" inset="0,0,0,0">
                            <w:txbxContent>
                              <w:p w14:paraId="489BA11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v:textbox>
                        </v:shape>
                      </v:group>
                      <v:shape id="Text Box 1060" o:spid="_x0000_s1211" type="#_x0000_t202" style="position:absolute;left:11620;top:762;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RR8wwAAAN0AAAAPAAAAZHJzL2Rvd25yZXYueG1sRI9BT8Mw&#10;DIXvSPyHyEi7sZRNVFCWTQNt0q7d+AGmMU2hcUqTtd2/x4dJu9l6z+99Xm0m36qB+tgENvA0z0AR&#10;V8E2XBv4PO0fX0DFhGyxDUwGLhRhs76/W2Fhw8glDcdUKwnhWKABl1JXaB0rRx7jPHTEon2H3mOS&#10;ta+17XGUcN/qRZbl2mPD0uCwow9H1e/x7A0MVLry+ed997oY9fYLD8x/+dKY2cO0fQOVaEo38/X6&#10;YAU/y4VfvpER9PofAAD//wMAUEsBAi0AFAAGAAgAAAAhANvh9svuAAAAhQEAABMAAAAAAAAAAAAA&#10;AAAAAAAAAFtDb250ZW50X1R5cGVzXS54bWxQSwECLQAUAAYACAAAACEAWvQsW78AAAAVAQAACwAA&#10;AAAAAAAAAAAAAAAfAQAAX3JlbHMvLnJlbHNQSwECLQAUAAYACAAAACEAouEUfMMAAADdAAAADwAA&#10;AAAAAAAAAAAAAAAHAgAAZHJzL2Rvd25yZXYueG1sUEsFBgAAAAADAAMAtwAAAPcCAAAAAA==&#10;" fillcolor="white [3212]" stroked="f" strokeweight=".5pt">
                        <v:textbox inset="0,0,0,0">
                          <w:txbxContent>
                            <w:p w14:paraId="75EB734A" w14:textId="77777777" w:rsidR="006D7011" w:rsidRDefault="006D7011" w:rsidP="00094D2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v:textbox>
                      </v:shape>
                      <w10:wrap type="square"/>
                    </v:group>
                  </w:pict>
                </mc:Fallback>
              </mc:AlternateContent>
            </w:r>
          </w:p>
          <w:p w14:paraId="4ACEA352" w14:textId="77777777" w:rsidR="00094D21" w:rsidRPr="008F328C" w:rsidRDefault="00094D21" w:rsidP="008E70FE">
            <w:pPr>
              <w:pStyle w:val="a3"/>
              <w:numPr>
                <w:ilvl w:val="0"/>
                <w:numId w:val="125"/>
              </w:numPr>
              <w:rPr>
                <w:b/>
                <w:lang w:val="pl-PL"/>
              </w:rPr>
            </w:pPr>
            <w:r w:rsidRPr="008F328C">
              <w:rPr>
                <w:rFonts w:eastAsia="Times New Roman"/>
                <w:b/>
                <w:bCs/>
                <w:lang w:val="pl-PL"/>
              </w:rPr>
              <w:t xml:space="preserve">Odczekać 15 do 30 minut </w:t>
            </w:r>
          </w:p>
          <w:p w14:paraId="745C4EA3" w14:textId="77777777" w:rsidR="00094D21" w:rsidRPr="008F328C" w:rsidRDefault="00094D21" w:rsidP="008A03B2">
            <w:pPr>
              <w:pStyle w:val="a3"/>
              <w:numPr>
                <w:ilvl w:val="0"/>
                <w:numId w:val="0"/>
              </w:numPr>
              <w:ind w:left="471"/>
              <w:rPr>
                <w:b/>
                <w:lang w:val="pl-PL"/>
              </w:rPr>
            </w:pPr>
          </w:p>
          <w:p w14:paraId="1441B8DB" w14:textId="77777777" w:rsidR="00094D21" w:rsidRPr="008F328C" w:rsidRDefault="00094D21" w:rsidP="008A03B2">
            <w:pPr>
              <w:pStyle w:val="a3"/>
              <w:ind w:left="4297" w:hanging="180"/>
              <w:rPr>
                <w:lang w:val="pl-PL"/>
              </w:rPr>
            </w:pPr>
            <w:r w:rsidRPr="008F328C">
              <w:rPr>
                <w:rFonts w:eastAsia="Times New Roman"/>
                <w:b/>
                <w:bCs/>
                <w:lang w:val="pl-PL"/>
              </w:rPr>
              <w:t>a</w:t>
            </w:r>
            <w:r w:rsidRPr="008F328C">
              <w:rPr>
                <w:rFonts w:eastAsia="Times New Roman"/>
                <w:lang w:val="pl-PL"/>
              </w:rPr>
              <w:t>. Pozostawić ampułko-strzykawkę w temperaturze pokojowej na 15 do 30 minut, aby się rozgrzała.</w:t>
            </w:r>
          </w:p>
          <w:p w14:paraId="385D63EE" w14:textId="77777777" w:rsidR="00094D21" w:rsidRPr="008F328C" w:rsidRDefault="00094D21" w:rsidP="008A03B2">
            <w:pPr>
              <w:pStyle w:val="Default"/>
              <w:rPr>
                <w:rFonts w:ascii="Times New Roman" w:hAnsi="Times New Roman" w:cs="Times New Roman"/>
                <w:color w:val="211D1E"/>
                <w:sz w:val="20"/>
                <w:szCs w:val="20"/>
                <w:lang w:val="pl-PL"/>
              </w:rPr>
            </w:pPr>
          </w:p>
          <w:p w14:paraId="71CF680A" w14:textId="77777777" w:rsidR="00094D21" w:rsidRPr="008F328C" w:rsidRDefault="00094D21" w:rsidP="008A03B2">
            <w:pPr>
              <w:pStyle w:val="a3"/>
              <w:numPr>
                <w:ilvl w:val="0"/>
                <w:numId w:val="41"/>
              </w:numPr>
              <w:ind w:left="4297"/>
              <w:rPr>
                <w:rFonts w:eastAsia="Times New Roman"/>
                <w:lang w:val="pl-PL"/>
              </w:rPr>
            </w:pPr>
            <w:r w:rsidRPr="008F328C">
              <w:rPr>
                <w:rFonts w:eastAsia="Times New Roman"/>
                <w:b/>
                <w:bCs/>
                <w:lang w:val="pl-PL"/>
              </w:rPr>
              <w:t>Nie należy</w:t>
            </w:r>
            <w:r w:rsidRPr="008F328C">
              <w:rPr>
                <w:rFonts w:eastAsia="Times New Roman"/>
                <w:lang w:val="pl-PL"/>
              </w:rPr>
              <w:t xml:space="preserve"> podgrzewać ampułko-strzykawki za pomocą źródeł ciepła np. gorącej wody lub kuchenki mikrofalowej.</w:t>
            </w:r>
          </w:p>
        </w:tc>
      </w:tr>
    </w:tbl>
    <w:tbl>
      <w:tblPr>
        <w:tblStyle w:val="ac"/>
        <w:tblW w:w="9634" w:type="dxa"/>
        <w:tblLook w:val="04A0" w:firstRow="1" w:lastRow="0" w:firstColumn="1" w:lastColumn="0" w:noHBand="0" w:noVBand="1"/>
      </w:tblPr>
      <w:tblGrid>
        <w:gridCol w:w="9634"/>
      </w:tblGrid>
      <w:tr w:rsidR="00094D21" w:rsidRPr="00A5286D" w14:paraId="288E9D1A" w14:textId="77777777" w:rsidTr="008E70FE">
        <w:trPr>
          <w:trHeight w:val="6523"/>
        </w:trPr>
        <w:tc>
          <w:tcPr>
            <w:tcW w:w="9634" w:type="dxa"/>
          </w:tcPr>
          <w:p w14:paraId="146C27DE" w14:textId="77777777" w:rsidR="00094D21" w:rsidRPr="008F328C" w:rsidRDefault="00094D21" w:rsidP="008A03B2">
            <w:pPr>
              <w:ind w:right="1248"/>
              <w:rPr>
                <w:rFonts w:ascii="Times New Roman" w:hAnsi="Times New Roman" w:cs="Times New Roman"/>
                <w:lang w:val="pl-PL"/>
              </w:rPr>
            </w:pPr>
          </w:p>
          <w:p w14:paraId="1442279F" w14:textId="234DF3E9" w:rsidR="00094D21" w:rsidRPr="008F328C" w:rsidRDefault="00094D21" w:rsidP="008A03B2">
            <w:pPr>
              <w:ind w:right="1248"/>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52" behindDoc="0" locked="0" layoutInCell="1" allowOverlap="1" wp14:anchorId="565CAFCA" wp14:editId="3CD0CCE6">
                      <wp:simplePos x="0" y="0"/>
                      <wp:positionH relativeFrom="column">
                        <wp:posOffset>40005</wp:posOffset>
                      </wp:positionH>
                      <wp:positionV relativeFrom="paragraph">
                        <wp:posOffset>47625</wp:posOffset>
                      </wp:positionV>
                      <wp:extent cx="1824355" cy="3219450"/>
                      <wp:effectExtent l="0" t="0" r="4445" b="0"/>
                      <wp:wrapSquare wrapText="bothSides"/>
                      <wp:docPr id="1061" name="그룹 1061"/>
                      <wp:cNvGraphicFramePr/>
                      <a:graphic xmlns:a="http://schemas.openxmlformats.org/drawingml/2006/main">
                        <a:graphicData uri="http://schemas.microsoft.com/office/word/2010/wordprocessingGroup">
                          <wpg:wgp>
                            <wpg:cNvGrpSpPr/>
                            <wpg:grpSpPr>
                              <a:xfrm>
                                <a:off x="0" y="0"/>
                                <a:ext cx="1824355" cy="3219450"/>
                                <a:chOff x="0" y="0"/>
                                <a:chExt cx="1824658" cy="3219450"/>
                              </a:xfrm>
                            </wpg:grpSpPr>
                            <wpg:grpSp>
                              <wpg:cNvPr id="1063" name="그룹 1063"/>
                              <wpg:cNvGrpSpPr/>
                              <wpg:grpSpPr>
                                <a:xfrm>
                                  <a:off x="0" y="0"/>
                                  <a:ext cx="1824658" cy="3219450"/>
                                  <a:chOff x="0" y="0"/>
                                  <a:chExt cx="1824658" cy="3219450"/>
                                </a:xfrm>
                              </wpg:grpSpPr>
                              <pic:pic xmlns:pic="http://schemas.openxmlformats.org/drawingml/2006/picture">
                                <pic:nvPicPr>
                                  <pic:cNvPr id="1070" name="그림 107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71" name="Text Box 1071"/>
                                <wps:cNvSpPr txBox="1"/>
                                <wps:spPr>
                                  <a:xfrm>
                                    <a:off x="1104900" y="3073400"/>
                                    <a:ext cx="719758" cy="146050"/>
                                  </a:xfrm>
                                  <a:prstGeom prst="rect">
                                    <a:avLst/>
                                  </a:prstGeom>
                                  <a:solidFill>
                                    <a:prstClr val="white"/>
                                  </a:solidFill>
                                  <a:ln>
                                    <a:noFill/>
                                  </a:ln>
                                </wps:spPr>
                                <wps:txbx>
                                  <w:txbxContent>
                                    <w:p w14:paraId="3AF39B4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72" name="Text Box 1072"/>
                              <wps:cNvSpPr txBox="1"/>
                              <wps:spPr>
                                <a:xfrm>
                                  <a:off x="520614" y="2301240"/>
                                  <a:ext cx="1233377" cy="73762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542705"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7869ABB4" w14:textId="77777777" w:rsidR="006D7011" w:rsidRPr="003C136D" w:rsidRDefault="006D7011" w:rsidP="00094D21">
                                    <w:pPr>
                                      <w:rPr>
                                        <w:rFonts w:asciiTheme="majorBidi" w:hAnsiTheme="majorBidi" w:cstheme="majorBidi"/>
                                        <w:b/>
                                        <w:bCs/>
                                        <w:sz w:val="10"/>
                                        <w:szCs w:val="10"/>
                                        <w:lang w:val="pl-PL"/>
                                      </w:rPr>
                                    </w:pPr>
                                  </w:p>
                                  <w:p w14:paraId="08ECFDC6"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5CAFCA" id="그룹 1061" o:spid="_x0000_s1212" style="position:absolute;margin-left:3.15pt;margin-top:3.75pt;width:143.65pt;height:253.5pt;z-index:251658352"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rs4RdBAAACw0AAA4AAABkcnMvZTJvRG9jLnhtbOxX3W7bNhS+H7B3&#10;EHTfWJL/GiFOkSVLUCBrgyZDr2mKsohIJEfSsb3XGbBX2Ar0ibaX2EdSkmMnQ5Mg2NUuohySh+R3&#10;Dr/zkT56t27q6I5pw6WYxelBEkdMUFlwsZjFP9+cv3kbR8YSUZBaCjaLN8zE746//+5opXKWyUrW&#10;BdMRFhEmX6lZXFmr8sHA0Io1xBxIxQQGS6kbYtHUi0GhyQqrN/UgS5LJYCV1obSkzBj0noXB+Niv&#10;X5aM2o9laZiN6lkMbNZ/tf/O3XdwfETyhSaq4rSFQV6AoiFcYNN+qTNiSbTU/MFSDadaGlnaAyqb&#10;gSxLTpmPAdGkyV40F1oulY9lka8Wqk8TUruXpxcvSz/cXWh1ra40MrFSC+TCt1ws61I37j9QRmuf&#10;sk2fMra2EUVn+jYbDcfjOKIYG2bp4WjcJpVWyPyDebT68d7MyRj02Js56DYe7MDpGwEmcF/piBdA&#10;kEyGcSRIA3b99ceff//2JfJdbTyvEeBjMEn+ygEqTnP8tYcM68Ehf7sYMMsuNYvbRZonrdEQfbtU&#10;b8BHRSyf85rbja8tMM+BEndXnF7p0Lif9ykKapv3378i7+hC3t0s5ximERfWpaS3JhLytCJiwU6M&#10;QmXi7Jz3YNfdN3f2nNdcnfO6dlx0dhsdqnivCh5JUKiwM0mXDRM2SIZmNQKVwlRcmTjSOWvmDEzS&#10;74sUdIRcWXBJaS5s0AdjNbO0cvuXwPEJ2B1ukvcDHvQWp4vIoKai+eonWWAxsrTS68PTaio9zKZd&#10;TSXTyRiNsGE3XWljL5hsImcAORD55cndpWmxdS4OtZAuf1iC5LXY6UAQrsfjd4hbEwG4OoMmmy7d&#10;aD1I+LNk57oiigGlW3aHRkh6oNGNU5Uf5NoRyVOjdXXyFNk1RlrKuP6AthOLXqXSNBkdJmCm06Nk&#10;OhzB9oF3ijVND6ed7KSjSRL0qlcdsPV5uTWy5kVHTzf3tNbRHcF9s6q4Ze3B7Xj9yxlso3KWXc/X&#10;rcD5CFzfXBYbpEJLnDlCNIqec+x4SYy9IhoXFzpxGduP+JS1XM1i2VpxVEn962P9zh8Hi9E4WuEi&#10;nMXmlyVxIlK/FzhyLGk7Q3fGvDPEsjmViBVnCDTexARt684stWw+444+cbtgiAiKvWax7cxTG65j&#10;3PGUnZx4p6BFl+JaQcFSz2yX2Zv1Z6JVy3mLA/0gO1KRfI/6wddx3agTVN8593WxzSKY7hoguLfa&#10;m++/Y332GOszRxcHCwXyHNaPs2SSjjzps2GSZqM90qfZcDicTsNlOx1OJ5nf6ZVY719rrOf9fBF0&#10;Ham/Xxu1iEDIyRAF95gEkZz591orYC4JocS9ZTc1C/L1iZUoC/8e8afrXorbvQml0Plu/1rA23kF&#10;2X76xNbfTQ2onrNrP8PvLIXtJzdcSO2j30tZcdtBLoN/y04T4nYpuKcHvTb+rwcv0AMhnR6U39QD&#10;vLhxCjtP+vttf0Lb3zDH/wAAAP//AwBQSwMEFAAGAAgAAAAhAOOnyTzq6wAAuJ8HABQAAABkcnMv&#10;bWVkaWEvaW1hZ2UxLmVtZuzdZ7guRZUv8PaGZz7e+9xR5n6ZK0FMw4FBDChIGMQ0ICBZEAlHQEFU&#10;DKAoQZSgBMWcc0AwgAFBUFSUJAZQFBCOjAqKYQRRZyR4318d/j1FUzucI+zA6f08tatq1Uq1atXq&#10;qup+ux/Qdd2Bk5S///WArrtkkvL35//TdWut3nWrb7n1k7vuAd2X3v933X+fNFYoBfXIv+u6Df9H&#10;1+0yafh6iO/Kz9/0f3bf++N/67ab1Dec0OdvKCvw/z3hcekkbTsBPHySDp2k89+3nG717ttd2rWl&#10;/IBu9Untv/BK5a5/f/3rX7sxjTYYfWD0gdEHRh8YfWD0gdEHRh8YfWD0gcXkA6s/eK1uTKMNRh8Y&#10;fWA2PjCMbWiGsLE+XgNHHxh9YOgDrVjRgg3pxvroS6MPjD7QihUt2Ogro6+MPjD6wNAHWrGiBRvS&#10;jfXRl0YfGH2gFStasNFXRl8ZfWD0gaEPtGJFCzakG+ujL40+MPpAK1a0YKOvjL4y+sDoA0MfaMWK&#10;FmxIN9ZHXxp9YPSBVqxowUZfGX1l9IHRB4Y+0IoVLdiQbqyPvjT6wOgDrVjRgo2+MvrK6AOjDwx9&#10;oBUrWrAh3VgffWn0gdEHWrGiBRt9ZfSV0QdGHxj6QCtWtGBDurE++tLoA6MPtGJFCzb6yugri9UH&#10;7rzzzrv9nlw9sNtvv/0ebXfcccfdYIu133OhdytWtGBzocsoY4xR94UPJF4kVtTxIW1y8NTvCz3u&#10;jzxbsaIFuz/2fezTqhGvxI3EjMSHOucHdT24o3/M7B+tWNGCjbac2ZajjRamjcSPrD3O/8p53UsP&#10;fnH3pH/Zoltj9Yd0a625dvfQtR/RbbP1Vt1Rh7+6+7frf9rvbcbxnHk8W7GiBRttObMtp7KRa1va&#10;cp1LPWvm1INbXwNrmqnKoR/m8DN3tLX4D2mG9chMXreH37Cthtf4w/6mLfjD+hCe9mGfhnipy1M+&#10;4zOf6tZ+yMO7h6z10BI3xA9JPfkGj3p0d/2y68p4oRvqG170qMvR67bbbmvC0558SFvXh2M/FU3g&#10;85m3YkULNp86LnbZ//mf/1F8qvYR5fiJ8l/+8p89zm1/+Usfb/Q9uHIJDK0Ufw1c/T/+488FJ3zS&#10;Zs5FZvLZ2BZPePWcHdJFRnSrc2U6Ra+6LbzBanj0k0v4BwZPHW3dR+3sSE/w0Ib3fs9dWuKEWPHc&#10;ffbubXnrrbd2z9tv3z6OnHD8cZ0xC136Hfny8IdDj7Spp1zbJLzSlrEIL+2RE1+I34QmPFp80zbX&#10;eStWtGBzrdf9RZ6xjl9k3APjF/ENPgiuHjw2iC/VbSlrr8s1bXgHVtfju7WcqewNp8YLvxoOhl4e&#10;fVMPHpm13PBJDFAPLPJCW/OKLQOT1wmP4NR8yPnCmZ/tLvrWN7trrr6qt1vk/vqmX3UPf9gjy7rk&#10;2bs9q9cV7/AJbq1n5MFJu/IwptQ6aksdjXJNG1gtt+Yf2oWQt2JFC7YQdF2sOvCHn//s37qPfPD9&#10;3dve/KbuHW99c3fF5d8vfvPDKy7v3v6WUwrsfe9+Z4H96U9/KnV473zbW7orf/iDu/nwN87/amnX&#10;9oH3vrv3PfYhyxz+3ncu63lcduklZT6QFZ6XXHRh78Ozsas56Zp74Tcv6Pm+6+1v7c76/JndjTfc&#10;UOTiE5+v589Xz/1y6Qd9yT9zso/47W9+XeR/+APv6/nRGf2vfnljscm73/G20nbtT64pcH0L/+is&#10;/oOJLemCt/SVc8/pbv7974tONT6d1G/4xc+7j3/kQwX3/e95V4c/3hs+bsOyBrGHqWNQ9DZ+6OuE&#10;ji5f++p5hR89vvC5M3p7RM86x9tYvOedby92ofO5Z3+pu/UPf+j7F75f/NyZfb/Ykey01Tznq9yK&#10;FS3YfOm32OUa68999tPl2mafnf238r5L9ylnec7wpFe8/GXFb3/3u98WP84+3b49/mwOn/j640s7&#10;msc99nH/1TaZH+bOVk9/euEXvvIXPP95nbmKp8RnZ2tbffjkxz/abbzRxoUv+pwXRMbxx7y2u+Xm&#10;m+82t8wH13I4+i0F/1Hrb1DmDz78Dc+rr/pxoTe31MHh61M9Z5XZ4xc//1mxIVx40QvPTTZ+YnfB&#10;187v6WI/83GdRy7p9SCDXiccf2z32Ec/tsDRs01kRu9nbLXV3eDsAkdcevpTn9rLF4f+/Ofle8ih&#10;jX95443dPnvtWezn3Jas6M6+Xz//K33cw/tFB72gxzn6yMMXVOzQt1asaMGGdhjrd183T2UPc2jJ&#10;OusW3+Lf222zTVmDvPqVr+h9lQ9ZO7sm4vP73/978RlwYyH+hD+fsj9Pm/ihjS//5Jqru3WXrNf7&#10;29b/+q8lThx26CE9LP4qfuAVvskDk+MJfuxrjy66Zh7V87SGPefZuxfdw+Mtbzq5pyNXesmLX9S9&#10;9ZQ3dk/ZcsveJuDme+isJ/QbXH7+eecWPbRHL2cDu+68U+Fv/h04iY/6dMjLXto94uH/VODsLibF&#10;Pj++8ofFzvjS+7VHHVloDjrwgIIPLuEXXeTR41+f9rTeXrUu4hSa2EJZzA8P8pXF/l122rH0W7+2&#10;2Xrr7qQ3HN+9/thj+r0Tna3pslY6+EUv7OW/7jVH9fIzXvOd68dQhxZsiDPWZxc/7B34k7TH7rsV&#10;P4pfZT2gjY+e/cXPl+vqysQPPK1f+LDxswap1/Ann/CG0pY5Mt36I9dVY3zaJz7W6y/GWe//5tc3&#10;lbng3PGjH/pAiY9kiis77bB99+///rsSew543v69zONed3QnJSbp41Of/OTCG99nbrttP99mih/6&#10;al4ljomPYEn2dGKnNZfrubWH9MpDXl7szAanfuwjRRc0+ilG4pexCFw+VfzAU39eNrkfjI4NxHNj&#10;YG0ZfeTwvvSFzxUZ1h1oyBUn8LF3NWbOce2Xco704rvWH3iP8WN2c+7+FJu+e9llxf/4DF/QN/7E&#10;b372b9cXX+O3/MN1DHxl4ge+m22yaeGHl2t/8c/JNY9/OjMEz1zgozPZGZ39Bzrzw74pPOWJBaec&#10;fFJ5hgKeuSMOajd/I/P0Uz/eSeCZd696xaG9vtYu7KJ9uvih3R4g81V/LvzmNwpPttMupUxH8sA2&#10;32yzPkY4Y7IeCL61CV7hG13ksdlw/ZH+r7fu+n3/jXH2JeJ3dMFH/MQfP+e42sDDp+BOdFKP/HH9&#10;serFjPik3Lk+/+I3zuXsUZyl8g/nhHxJEkP+lvXHH265pcggh/9+9lOnFf/M3DFX7BEiT/yIj9b6&#10;xp/58FU/urLwopu48NNl1/XzLXzhgUeu66d+4HPyCa8v8ugjtknOH9BIzkyyXtp+u+36eTRd/MD3&#10;u5d9u9BlLl537U/6mBTe+kTH9PH6u3TU/5xjwIUnF2/sHTIWoZODiYPD+IH2m9/4emmny7N22aX7&#10;9Gmn9uNgHxJ95Acd8Pw+Fl97zdVFt7pdmbzAlMf1x6odP/jYJz764eJTWWfI7f8PP+yVxff4pzV8&#10;zjmcn/LHJPcr8ImvWwdo49M5/7j+p8t63wf3nCU/DA1ftJ9AR/50+xe4kjMauPSzDglcXs9Ndfcf&#10;bvrVL++mp33ODs98Zj+/yBYv8BRn7OfA9N3aHR/61vGDbH3Rlvmljk7S15STR2e09jFov3XBN3r7&#10;6It4Cp44qEwHtPio00WOT3jV+NrtGeFrv/jCb5Xrhf6ImfoYGXTf/VnP6vmjgRdda93ZKGNen586&#10;ryFzISX2H+rTgg1xxvrsxjF+aH6bs875Mqf4XPxH+YxPn17GwvlB/Fg+vG+Y81N+5qzfWFjT8Fl+&#10;aPzMZ7Kzjoez4/bb93PBPePWGKKR+Lv7EfTC014j8ahFV8PS58j//Bmf6d544htKMqfq+x+ZR+Z5&#10;eAzjh2u6NvIlsSD2YQM85NE1OXjWNXiGxrkrfnVflbfc4km9feo+hF/WH2mztmRzfD2bFvsc8tKX&#10;9Lpcv+y63p777LVXgcMPT2W6GzNlid7OSugofmgD23vP5/TxLnEseWw313krVrRgc63X/UVefCq+&#10;aj6DWWO4xsQ35Fl/5PyDL4GfcvKJ/dxC66wv/mf9gbfrqXkJn08754Qb+Z55cL1DB2eq9UfmBjp8&#10;IsdayZikfbrxgRPZ8hbNlT+4ojwDqo9kuP8ZvGH8cH/CPNEuuW8bvcwr+JEHz7lD2q0P0Hj2df31&#10;HlXmYZ7vAM85pWdY2AU/SVv6i5c2Oma+ytk4892+DA34ued8qbedOB2439eEv+d/EtvRuE8XXnCc&#10;V+lTfU6s/be//U2vm/boON143Jdt7DLk34INccb67Ncfztafv/9+ZX0sNmTc+QifYG8+ai/Nrtm/&#10;gD3yEeuUfTf/0oZ26d579TTWMmB81H3I8LMWr2nEi8jhn1Odn9bz5gkbPqH39xVZf9ATH89lvfwl&#10;B5d71q69kuci0v/cDxHXpjs/tcZiq8Re/F9zxOH9fHvTSSf0NtDmWRV2YL+s6dzv9bs5cP13/wVu&#10;dHV/Cjx0tR0SP3JuQg/t2z7jGcWmYnieNQcXk/KszFOf/OT+uX37rvB35pxYhCZ7XDrwlch3/oEm&#10;axRnRtl70T22TF/mOm/FihZsrvW6P8k78tWv6ufhbrvu2l2/bPmadv99n1vg7M0/vv/d7xR/cP3M&#10;3libdYB9j2uo+6nxZ+d94GzFj6xf4Et8Dn9wexl+mTW+tunOT2N7z2qgww8vPh2/Dk4rNy/MIXsq&#10;tPF9Zc9+aL/04ouKjmBkkBVe9foDrXZ9lltPBM/+Sl/YyrOZ+vred72j4IF7DkS8is5nn/WFok/6&#10;9J1vX1rmohhT64k2NHKypexf6C+e0U2yx6jxlQ+b7PfCU6wCo59YGPnukRnTb19yccGFbw3pLByu&#10;foof4OElpx8enm2pY2rsMpc5fYbyWrAhzlif3fqDndzHyJ4/Y2/867nhOs0vJeuPtMF78xtP6n0m&#10;vhx6MYNvSn/84x/L80nGL+2Rt8Xmmxff1Yb3dPuX+HquiWS690k3fi0pB0/Zsyzmo3Me7dEpa4xa&#10;b2V6yemp7Jnv0NTPn8I54lWH9XhihudO2NWeQeyo91nhK3evC0+4crHEGUJswxZo1cViZzDKUnSR&#10;q9NDe9YeeXYH3HqnlqNsXOggbfrETfpn0+ksroFnLPCQyPnYhz9YeMXGB7/woIKr3e937L2U9dvz&#10;75E7X/NRH4ayW7AhzlifffzgC1f9+Efl2vm0pzyl9wf+Yq163pfP7seAPwx//2Jv7jko9w34jjlk&#10;TolLxiHzmm+7dpk3nl8yjnzVtdBawPqb3+IxXfzAk85yz3XRU8z51Cc/0cvK+NPX/drEOzL1B1yi&#10;k/2bdZJkrQ+HDq7nnonSj8QjNMPfvzhPdv5CBhq/B4Iveb7GHIt8+z3rAXtBvOpYps4+znLFUzro&#10;G3w83W9ll+HeLr9PytwmV3zwWya/0bEnxbseC3LwQouf94rEpnT2/Fh0FsOcc1zw9a/1fMJPXA0f&#10;61K/P8q7S+y5gpfxmOu8FStasLnW6/4kLz4sT0r/0pY63wyMbySBBSf738wh8Lo9NPGt5M7/zBkx&#10;ZDhHwhtPZTTmvnsn5hgafu6aJ57Bsd6xn3JN5DNwnDHYu9AnOtX6DMuRNRU8emnHT17TpBy8Gkdf&#10;wjfrhvAJXV0HC30NT1kOJ7yCH151W/qeMQqP1JODJ6FPCn5ycHaVR8eUQzMfeStWtGDzodv9RSZf&#10;0ZfkGf/ab8ACT1mOrq7Hn+q24Az5gYNFrvW3+CG5pmmDU6fwwN880eY5sMQQ18ysYcCk8HQdF1PQ&#10;oA+vYV63Rzd5+pl2eeZqeNQ4oU1bXQ+tXHvqKde5cuQnhx9+bCVZfwQW+lofNOl38OQS/NAkhy+p&#10;h0/d37TVtOEV/MgJr7nOW7GiBZtrvUZ5d5/X94Y9sv4w36daf7Tk8FXPYFg3ixf8o44bYorfr7oH&#10;Ef9u8VlssMzb7DNy/yXwxdaf+0LfVqxowe4L2SPPez9GTGdTv/fMeaHr6XS4aauvb8offN97yr49&#10;94fc183v7s2rGj88FnOuT+KHmOue+P0pPt4b49KKFS3YvSFr5DG38aJlb2cnKzoH4GddnnUz3vV1&#10;OOWsv1uyFxMsZw36Fb0TG2OLwFflvBUrWrBV2Ub3t77H/+u5MVUfExe0Bz954oqYkXJ4T8VvscD1&#10;J/3UJ3qnb/LEksXSn/tKz1asaMGG8mPbwF3XUp6PPPpkrOdDh4Uuk42S6LoitoIb/PCIzfGqy9PZ&#10;IbR4pbwi9NPxvrfb6Bc9w3u2/Qz+/T1vxYoWrGWH+FT8qoUzVzA6uA7OlbxRzsrtxRIzxnm4cvZb&#10;aH7XihUt2ELTu9an9slxXbkw/dK4SLmeG7OFcN2p/Wgsr7jvtGJFC9aybcZfnvOmFt5cwOKP8jGG&#10;rLgfzMUYRYa9bnwn45a2MV/YYzccn1asaMGGdMYdzPOIfgvpt8l+JzafiR6e61523bXjPmYyNsMx&#10;m696YgX5/Mbv7/1mxDMoflvmvc/g8an50nOUu+I+04oVLdjQtnfeMXmnwm13dPs/d59ujTUmzzdX&#10;zyHmecS5yh9cnmfyW6WHTe7Tr9VdetFFC2buDO2mbj5JmTPy3Pes51pNG5rAatqUg2P9BZYcjXry&#10;uhx+0+Xhmzz04QeunP2JesrBDa3c92s8w5rnV/1mxTtNWjqEPjmcyIv8Fl1warl4SGDhV5fDr25L&#10;u3woJ/zqHE5olNmhzsO7xoMfmsiJ/VKHvxBTK1a0YC3db7vt9vLepY0nv+da+k9LuucuWX1+0roP&#10;nshdo9t9U7+JWqu7aIHHj9p34nvxn5adAwtu8qn41L4HN7xzvryiPhl56MIrssOrblOmQy07fZB7&#10;r2FiR55nda3xPq8aT7nmoQxW6zDET32oT+hq2vAOjRxMqvdYiQE1XsrhF15ybYGHNvXCe3LOHzy5&#10;pD104Q0e+sAWWt6KFS3YUO/b9XniI0v32afb6NGP6fZddxI71llzXtJ+S9buli5Zq3v2pv/SrTlZ&#10;C108ebfEUN+FVI/vxGdSp2Pm+FDf+Fho+FXKwQ0fecpwpNTlgYVupjxy6pz8+HbkRQZ+kZG2Ib52&#10;7+lKHPGMp/eHTqULfDwiI3xb+GlLHr3rOl7RscUDDD6c0E2Hl/7VeoZ/zSO8AqvzlMlRrutTyZ5v&#10;eCtWtGBDPe8oPnpHt+/kvY+P++cNun2XPLSsAawD5jot/ac1u/0m8Wv3zRZH/PB7de/WyO+ynAH4&#10;Toz3D/Ovoa3V+ZL2/Mbc78Z9DyG/4Y9fhh5v5wveUwGGHp/8Hly7c4iWrBoWWvTR1/sBopN2351I&#10;W76VFzrvx4ku9FH2niTtvmFpH5OU70QN5V/+/e+Vcza0+uN5efMVHj41fmC1TuzkfUWt3wXD9y7F&#10;6Fa+I3nr8veLiGeBx861LLK94+2cs75YfsdvTOjnuxyJddGP/fw+P/x+NPlehDYJrneT6J/vX/rN&#10;v295pi+1zIVWbsWKFqyl95133lH2LxtOvkU41zGjlrevdc9k7/Tsyf6F7nylpe8QljkVXxy2p177&#10;QGArmltX8FO/wXKtteenq3V71vC+HecdPJEXGere3+E9NOYaOr9jybzzHtXQJA9vv9kIH3m+B0Au&#10;WXXbTOWcZ+U9XPDJ89u59MH7TGo+3t2Rtujkd6xwvDcDLMk7xEKLr/Hx7qS06zMd9Nt35sQmeOlz&#10;1m7e0Qwvv3sjX/J9hbxnMGPvd4HpV/T0bjF6mM9pExfB0EWed3pss/VWvX70wkPuPUHw41vo8t5r&#10;/fH+EO3hFVtEXmwEZyEnfRnq14INcdQXc/yIH8il5f1Z7ovxSXnag9Oyw0wwtN4Z49058Y/k8bfU&#10;fRfW901q2a7T3rUZnORoJd+X8X6h6G0egcObLn54bx7dIiv0dR67wMOTb9xX8cP6g2xzznuC8+6+&#10;9EUeHcxRccI5RfT1DiDvKNBGz9pO6uDiDnz9sU7w3rGav5jj/UX6XccPMZpesdf1y67rvAuqloG/&#10;On6uBfZnxoI8ufdAa6fLGD8Wd/zgH3whqRUD4peZQy2cmWB4uLb47bvrJ9/hX94X7N43H/VeYb6X&#10;5DtL3tHHX9G7Lx0/Pebo15Q1szNI/ogGP98ecD2mjz7Fl6eLH/ZM0T/zIvXk5CvLcz2/L+MHWfrt&#10;eQDy9GOjx2/U73nMO/1NPMi3LcSRvF8NnffM3nDDL4recGIntPm+rP0EPmyr3TfovH8xfR7GD7pZ&#10;v5BlLYMXOmsk7xtDZ+3r3WZ0sMa0lgGXxvXH3ddSi3n9YTwTO3KNyJxJDq4Mbyqc4E6Vo807j/mp&#10;3717h3Dky9F656f9Seao739oc+bhGgme349nrmv3HAWfdZZBx+jKr8mbKX6ElzkrtfoRvuYLnvdl&#10;/NAnZwreF0uW+e3an/sh9HVeZO9lnRb9rb/YCI3kGaD0R+6bLPT2DkXvW0TnLAiufkn53mRsUMcP&#10;cQuN5HuZofONzsjJWH7l3HMKP/r4Ni9+cMb4cf+JH8b0iOq96PyHr9YJzDwE4yfxqxXN835OfOxD&#10;+CB/4m/xSfnxx7yu98u8G9dZZXTyHtPEtOgQnw0ffJVnEz/MweDjk2/dRl5y72/HM3PmnvHjuNJG&#10;pj0F3OhnTmZ+yvHQJzjZ80dOvjPnvDS2l/s+ZXjGbviDxYZiMvnmrLVe8LRL4g8a5eRiQh1z6KMN&#10;rXwYP9JmvRH9vLs9OsjROgvNOx3tWaOncyL9l8RE/JLYKWOGt++Sp20h58ZuqF8LNsRRX8zrD/rX&#10;3480pvHj5GD8S928aNlgNjB+Za/A18xZ/sTP4lfaPYPp+3B8h1zneuBHH3nE3fxKe3BSpqOy+YBG&#10;wkOabv2R+JE+WJOn78nxyH2R8GzFj/i+7zyEnz56l3zokuc9xFPFD9dvuOlfnSdG6LOkf+yY78Gg&#10;853IxIDaxtGLfZTZSz/RyBM/0l7Hj5yfavOMNdnoclYPHll4sxFdpdznyvpDf/J9Yrh0dc6MX1Js&#10;FJ0Xas5uQ91asCGO+mKPH77vaixzrp+xS27s2QKO+BG/atliOhi6et2QMr9xTpjv0JNLHrnu1eBZ&#10;n33Qky7RK7jowGqfjH/PFD/IyP4k73dP/5OLH3SN3GH8cA5DFzLdj0j/zKesP7QnucdJbit+oLEX&#10;qc+KlPHW99govOhibeHbsIHtvOMO/VjRm/2T8M9YrUj8gIvO2qK+7tjLRAbekv6zO13pfMvNNxfa&#10;Nxy33E7smDUYvdDAoT98ed0efRdiTtehXi3YEEd9sceP5X1YPn6t/hnX+J28hTMbWNbOcPmaaxZf&#10;2us5e5Q5GZ+RmyfOU+NXzk7AJd9ydU2UPCcgX7r38m+qas83C8hR57/TxQ9rovQr/Wz1J3bAk28M&#10;40fu35oX1u3Bx9O5Yj3nlXNv8h7x4677L86CyEq8sq9Lvz0/secezy5ty221Z+mD/QveknswdEhK&#10;fKz10s8VjR/o0fluAjnkW5cMbeg5k8ds8JhiK/dh0MBhJ/bTN9+5qm0tfkR/OM54Iq/GW2jlVqxo&#10;wVp6L/b4YS6nX/GB1OVgNbwu13izKfMFPu57LPE9uTkiKfMr35Fyvzbyrf/5ojbrcjrU88D9SH7s&#10;XNa5ozbzBT6e08UP+5e6j1P5a+RlPg/jx4mvP76XR26en8D7+mXXlTlDF4muYqK2VvzQb/1In/HL&#10;fV16SM6B+Ch98h1I91JqO7o3Gxui8a1a+yL3eDNeKxo/YnvxP/3xzVBwPGMnz6DRmz6+lweu3f4l&#10;43LoZNzqdYtnSbRJ+hYbRdeFmrdiRQvW0n+xx4981yxjGp+oc2tnfuA6Hz9p2WI6GP/xDQR88ZIi&#10;05rCvUrr1WsnZyD4xE9Trq/vnnHkd54nO+boo3pe+b41GvIiI/HD/RzX8O222aboQb69keu5ayia&#10;+HndF7okzpr7+oAnWPw/+vEb7fZB9HM/+egjDy99Tb/lfj9HhmuuOjp54gSZ1md0lJw5O0MFd12m&#10;Bxp5zlZd833rChyNee07NdZ++giWcXVOK3b4hhNY2pyLWteRI9V0voMT27KTNRA6CZ377Wg8s+pe&#10;Oj3cQ/KcKTptiR+hs64S59wT5gOxEZ3siyJPvlCTfg51a8GGOOqLPn5MzsGMWfxHv+sUuPEcPlfZ&#10;ssdUMGv4eg9v/jmrMMcyN/lXPYdTl6PfY/fden/NPKArHcUEvz3LnKZH5oW1Ah6exYrfpk3flZ3t&#10;RI9hH6KH9si1Pwgenev1h/gmfsSu5njkoHc+gga/nBlaO2nz/Gnk6bP4mPu4eKS/GaOcEeAnTngu&#10;Hn+8yB321xg4+4Svz4lD8GtcfaOHeItGu/GK3tpu+MXPy/Mm2tK/vJMeL3R1XEaTOKvdWlQ/0IdH&#10;dD7ogOeXNWRsEVsvxFwfhnq1YEMc9cUcP4zNl790Vv97hOyv69z1J/Xh/baWPaaCXXH594t/xl9d&#10;W/giHTLnrYn5FV/ih67d2oKX30d4Rsr4wHnhCw6crN9PLPOw9jU0ePFr33yhV343Y37xbe3WBvqn&#10;b5Ez7AO+Enj9HUf10OS3Jtp9+9qey3fi87ztLjvtWOaLOVP/xtZ3OmNjuXtQ+MYmyp7x8OwGfSWx&#10;0vX++mXXFb1q/dChsbbYZ689exrPc4kXOXeBp8++2c2OsRW+9MBD8q3IjL9ny8AiT9+tOcTLnXbY&#10;vvAwLr6P7Zu/9klw4aGTOxdmIzTij7WHs2ffI6XDrjvv3FknwqVjTR+dFlreihUtWEvvxR4/jJNU&#10;n2/W/TSG2sHybGfdPtuy56HNZT7CtvbiNa355tkx7fx515136uU6y8i8qN/xFr34WM1LWZtYRaa1&#10;Ah6B+85qrpfW2rWPtnjVsODGXtGLvOgTWZEnR1cnsJpWPXQ1L/CkjIV2vOiQcs0PXnDhKcvh2CfU&#10;NrQ+EK+Nidx6KHqGz1C+eq2rcury2EE+1AMteK1DdAuP1NO31KPHQstbsaIFa+n9l4kt9pv8/nbD&#10;9R89+f3ampPf4M5XWqt77uT3t8/eZPPiBxdN5kVL3xZsLsaHDHv4xA/Xf2cvrm3O/6wpsiYwt+0H&#10;6IpuKv1qePDir2jNB0n8yBzik66N0SPXY/j2CzXP2lbx5eTRrcaJDnUb/Bon5cjRHpyad81juvKQ&#10;X40bGcFp5dYpbJR4WseP4Memrf7VMqYqh09NH5gcPDZIPbyS1/gLrdyKFS3YUO8779T3Oybv/9i7&#10;2/BRj+6Wrud3+/Pz/iC/v126ZI1uj8n7P9Yo7w+6sOm3wz7MRT3+4ffY66/3qDJ3M39zL4b/sjlf&#10;du/WXF4Z3SJLjic5iR/48VPPu1ubZN5k7phLLX8FCxw/dDmTTVxaGV3R1Pcs6eFcc2V5rSgdW9g/&#10;nffls8vZEJt4ViVxTJ/Fd32WvnDmZ+dMtxXty3zit2JFCzbU8c47Js/S3H5bWX88fhI/rD2WrrPW&#10;vKT915ncH5nED+8Povslk7OEob7zVc/ck3sOkU96Ft7vbM1Fvmlt4rlN9+yyN1gZfcmIvMSH3GvN&#10;NU7uHOIpW25ZZJs3zhScRYZ2KDtzKnNJTAKTxJAh/mzr7t8mftEjz7nOlv5vwUufor/47owpNpQb&#10;q6wLx/jxX3vJ2u6tWNGC1TTKt0/ef3rH7cv3L4/fwPsLHzGJIWvMS9pnIne/ddfodttks27ttR/W&#10;XTQ59xrqO191fljPtZQzV+Ov9r/x5ZXRNfMBv6wL8Az/5PDwr+uBTSU3uPLQRsZUNLOBxxZwZ9Jh&#10;Nvxmi5P+RGZdT7nO51q/2fZjIeC1YkULNtSV/3gH2dKlS8v7k9f4x38s1360c50e/P8mMteY7Pcn&#10;stda86GT5zsXzv6F3eq4EJ8F56N1HtwaB2y2qZZTxmcSKyIDz/rcTr3GF2tmWvsM51RNP1sdh3g5&#10;N7w3eA15T1ePXRJj2QMsdbTBGZan47uqtbViRQvWsgubOz+1rs061Lp5rlP281mzT/cezVY/Rtjs&#10;Y9Roq9FWtQ+0YkULVtOk7Jrh3qR9/fXLriv3s93TnuvkOSzP/0bu33KvNX0b83GejD4wsw+0YkUL&#10;NpUtrfGGa+GpcO8reNae4lm95ryv5I18Z/ar0Uarho1asaIFa/lDYsdCmLMLSZeWrUbYqjGfVrVx&#10;bsWKFmxVs8vY33G+jz4wsw+0YkULNtpyZluONhpttKr5QCtWtGCrml3G/o6xYPSBmX2gFStasNGW&#10;M9tytNFoo1XNB1qxogVb1ewy9neMBaMPzOwDrVjRgo22nNmWo41GG61qPtCKFS3YqmaXsb9jLBh9&#10;YGYfaMWKFmy05cy2HG002mhV84FWrGjBVjW7jP0dY8HoAzP7QCtWtGCjLWe25Wij0Uarmg+0YkUL&#10;tqrZZezvGAtGH5jZB1qxogUbbTmzLUcbjTZa1XygFStasFXNLmN/x1gw+sDMPtCKFS3YaMuZbbmq&#10;2Mj7EvQ1v3nO+xPy/rK5fpfYqmL3hdjPVqxowRai7qNOcx/T8q4GMSJxo44n45jM/ZjMp81bsaIF&#10;m08dR9kLyyfFi7y31NjUcUQ58WQct4U1bvfFeLRiRQt2X8geeS5O//LdBd+V9C0Z33tMuuzSS2b9&#10;rudx7Bfn2A/HrRUrWrAhXernnHNud9onT+tOPfW07pOf/NT8pInsUz9x+kSH07tPTso33XTTovDj&#10;7AXYUjkpth3mU13Xc94QfsnDd8hnWA/+MA99vb74xEc/3C1ZZ93yzmzvq/bu7Ly32nus+Y5v37Zk&#10;hP+wLfWp+pd2+VQ8arhy6slr2sAiL/VaTqscvFY+hLXoA4M7Ff5M8PCYTR5eLdzp2lr4U8FasaIF&#10;G9Lfad062QNvsukW3T/8wz90D3yg9KB5Sn/frbba/+0e9KDVJulBkxhy+j38d6j/fNczJ+mhPIwB&#10;Q/2Md2hSVq9h4HVbeMrBWzwDz34kNOEjT7r2J9d0+WaeuPG0pzylfGPJd5Z8114ceeQj1ikxxdok&#10;upGLf76NAB45tU6RM1V7cLUrw5erS6EPXvoUvMDltfzwq9tb5Zp/aCK3xocXm0d28FKHHx7KNbym&#10;VYYXfUMDf7oUPLxr2siJDHjhU/dhtuVWrGjBhvzEjzsn35B64iabl/ixZMn63brrzk9a75/X79aZ&#10;yF/7oQ/vHrTawo8ftV8bv9y3GNq4rscH0CqnDif08QXfidZe+1DNqy7X34QJz+Twop/c/sT3Nd/3&#10;7nf235dPTID7soNfXNYfvuXhG3v8stBPdI5MvOPDgdV59EYn1W3KtbzomRx+zVs58thEPbYHTxrK&#10;aNWHdOlX5LFjdDMe4HUfgpec7Ng+sMgNXQ1Puc6Vp0v4+RZBbKAOH//ISr2GpW02eStWtGBDXiV+&#10;THTZxDcj11ire+OJb+hOPmG+0vHd6489ttt55127B/79apN9zKd6+wz1Xgh1Y5Vxk9OJz8VvWjoG&#10;L7Rwav9XDj3cJLD4/nR8gx8cdJGRsnpdznyJbh/+wPtK/LAO2XKLJ/VjUNNETg2LTG3grbYaR1/V&#10;p+JV08dGwZWjpTu8wMN/ujy0NU2tb10OH7DEk5o+4xW85HCGeoWOzul78KfKgxddh3k9di29p+I7&#10;hLdiRQs2pBM//vpX64/NJt+fe8jy+PGG47uT5ymdNPlmvfix2mqrlTOQob4Lqf7dyy7rXv3KV5Q5&#10;Zq6x98YbbVyu2Z8/4zP9vKt1dmZ59JGHd4977OPKt7qe/tSndocdekh3yUUXdu9/z7vKnsGe4uyz&#10;vlD874dXXF7wnEns/qxnlXlS81PmN7/73W+7T592anfwCw8q33qlj+98H/aKQ7svfO6M/hpZ+9tF&#10;3/pmd8Dz9u82feImRcY2W29Vvp8rfqC3/nj4wx7ZzwO04BJ96Ol73UN91F/+koN7Hscf87p74NAZ&#10;njnpe9dvedPJHflk4rv5Zpt1rzzk5d2PrvxhkZ9+6mN02G3XXVcobkRP/VD+8YT3a444vNvhmc8s&#10;cvHdYPINaGuu4153dLfsumsL/17Xu2LVRz/0gT6+ZpyDEz3P+vyZvZ3wtTeEI5Hv28PgfGa6xB6X&#10;f/97fbwRP9CzEXrt9Anv9HFF81asaMGm4mv9seaaD+lOev1xk/XH6+cliR3WPjvttGv3oAf+/eQM&#10;t+2bdR8Sj6eznzZ46PhrTb+iZbx+cs3V3fP336+Mn3HMd/OUUzeuvqV96x/+0Ps/Hewb4GSeyI2T&#10;fJONn1jK5uwfbrml6PmDy79f5PAV84W+6bPc9em3v/n1ZO5tXWjhxa/Clzz65vqJx5e/dFaR6bvS&#10;NR49xBMwdHjFdnLwuu3Mz3yq7x/+7HPDL35e4g5auOxzzdVXlbbMXXh0dxbju99kRR6a2GedRy7p&#10;vvbV8/oxO/3Uj/f2eNYuu/TwqcaRzmTKJXLFpOftt28vL3IjM/ZjG7EUTfTFwzfK07c6fsLRLh5u&#10;tsmmfR/wFz+0RU/fQycvsuTRQzkJDh9IH0KvnZ3kH/vwB3u/SPuK5ngNaVqwIU7qiz1+6Ef8Q16n&#10;jH/6ujJ5xt638awxjHX8jS/yD3E38UG79JIXv6jME3Plqh9dWcabXz5mg8eUswd7Z+uAnXbYvudp&#10;TZL+XP697/a+lPjBl/QJjtyZJ10kMejbl1xc+n/GZG4ntvEzfg//T3/6U/ekf9mi99c9dt+t8+0/&#10;MeukyboTDR3jw+m7nE9J8XXxAzw2VmYLPGobnTi5NtR8lF3fnePSm6zXveao7tZbby3x0JolMrbY&#10;fPOy/9fflYkfZGX+Xf/TZcX2eEv6aS3wtje/qeh9yEtf0utOJ/34wHvf3c8t49iKH/qvjaxjX3t0&#10;4R0Z+Lg3nv7rh/jBjvp+wvHHFtnsNkzofnnjjb2NyUCPJ3r5GD+Wr3dWZv2ROWT8lFsp45a8hTMb&#10;mLGzLs9c5XvWqWhr+V8998v99RdOnqf4zrcv7efkSydnlLU+rjH48jn7FLL4fGv9EV3RW9+4Dxta&#10;6/uaL1+3z/KcR+Bnf/HzRQ9zgw9ev+y6Ig9fcnfdeefCL/4ZOjmYRE++O4wf7PCMrbYq83Kv5+zR&#10;41vT0LW21dvfckppp4d7QNYvmefwTv3YR4re1jOx78rGD7pL9ibkxV5vPeWNBR7+cMRX967h6Ksx&#10;ZCO60Sv7O23D9Ye9RuJG5MjFBbzRS+JH8HyztW4Ljpxe2qJf2sb4cc890srGD+cJxtI4yYcpvi7n&#10;P4nhGYvZ5s7ArafjVy98wYGFV8Y+Y2weWJPQg8w3nXRC8ZmrfvyjUkfvmho93FNwjeETkvhBJ3xa&#10;8SNy0F8xiTvkRCf7BH4OJ/6Ol3VO5J1y8kkFn6xddtqx983sP8wp/KJP+iePbWNT8QN/8rQ7rwmO&#10;8xzrC3Vjc+nFFxVcePBffNALigztrvsZB3qmj5Gd+orGD33CFx/7CrL0S+7cgyxt0Qlu7OCMKvrr&#10;S/rpvCE8hvFDnxI3YiN5K37QocSmyZoo/YsudR656Yt65MvH9cfftv5whmksMl5s2kracz/SGKxo&#10;si/AN3KyHzDW5mrmp7o28cUewtkmWeBiAx58jP/yqwu/eUHZ26QPrk1w0YgPkVmfn2rnc/Y+6DLf&#10;Tzj+uHusgV3nrYP5GR2PPvKIgq8f9j7k0D8yzdHoQnbgcvC6rT7/wDtnwPS54OtfK3FUX/F58xtP&#10;6u2Al70eONxdd96pf/6VTaJzys4s6DlV/IiOcOoEnrn5jfO/WuRFJl0zZjWNMpo3HHdMr9+LJnEB&#10;TLL+YDt2ED/IkJyL5Zm87bfbrjviVYf19K34QQ/JnmooP/XIjE6RhY4ObCueBX9lc30Z0rZgQ5zU&#10;F/P5x+GHvbL4YOaQftcp/sLe1gXp84rmn/3Uab3/4elaa3wzpvHF1OVgcrLkv/n1TR19XXdynZLT&#10;TcJ3q6c/veCb02RE/2duu20Pjwxni6HTZ7iSMhmhhZO4xK8j75ijj+r10xf6nvHp00t77FnrH7tG&#10;ZvYvcNCSoT8bPX6jch13f0KdHvYw1lqR8+zdlsfSWkd8ySVHObSfOf2Tpe91/DBHyc0ck7fGNGNg&#10;DuOdfuVMt0UDJt7QA75+ZQyz/gBP/7XlTBb8Wxd8o2NbZf2YKn7gP138iO0jO/3FN7w/9P73FhvA&#10;mcoG2qZL9Bi2t2BDnNQXa/yI/uzGtrW90xabw6nX9Gmfbe4aztf5Qxn3Zdf18iIjOhRZk7Vz4Oq1&#10;jtaizkVcA60Bdtx++zJX8M35KXzrD/KkR62/QT9XorP9jTa+hNY1k6/SVb507736ueh6j85+Kjzd&#10;IwKjZ3K07gHpq1S3kSGh11bvX6wvwOjivJT+t9x8c9mrxdfPOeuLvY+715zY6fyYvnWiO37kWaPR&#10;r44f7rWCkVOvn8CSMh5yZ8P4had1Idrg1jn8K3/4g96u9NQOLn7E5taXeIhvsckrXv6yEkvdAw5M&#10;v9BGhngUPaaLH8EPrdzaNnzZxvmvs6XghGZFcnyG+C3YECf1xRw/XF+k9GWYG9+kv8XG73nn2+82&#10;bj9dtjx+4I1veCePHmmjoz24uJFzztDW5x8777hD35ecq/I1c9B1DV905syf//zn8syCNjhfOfec&#10;0kYmeXyZr0k5h8n5KXzJfZDoId9nrz0LPO3pj5xPSfHfxA88Atd27WQtT086Xnzhtwo/Oh541/Os&#10;2tgzNNYiZEuhO/RlLy109f3sOn6gZY/QRE/0dYotsh+JPTyLU+OlHD7uLUc/OqQ98QMf/XeulWdo&#10;PPfvXhbc1x51ZN9vMTl8ta1o/ECjn85aXUfYUkyjn3KesallRN/Z5PgM8VqwIU7qizl+ZD0ef9fv&#10;OoGzsfH2HMTK2tj+BY/wM7drnw9fsMQzsKx5lA864PmF3rnc+eed24+ZZ8nxpjcd8UB35Q+uKLqn&#10;b85dTzn5xHKd9gwHvMwLONs+4xllH25c/XYldrCXMcfBxTD3eeGT6VyFz4tF7mOC0y8y0y+04Rda&#10;84cOru2xzd57Pqf0Hzy0OU+mxy9+/rMCd18lz9Hh++53vK3seejiXi4Z8I0vXuSf9omP9XK0ez7W&#10;ea/ru2fuIg+ucujU3/X2t/Z9pqvnx8CHKXqLTfyGnKdsuWXBw7OOH2Lgho/bsOCYz+wXfscc/Zpe&#10;nvOcWrfZxo/QyPnUwS96Yc/TPjc2N158pe4vPUIfnabK2X/Y1oINcVJf7PHDGOtvcuUkNuYH6vs9&#10;d+msbRrbJL/ga+eX8XIPBi/zN+Nj3OqxS12e+GHPwsejI72iI/2SzAUy8eYTcOCa58GXu08Kz3z0&#10;rGn4ZU9AjuSa6IwZbnS018i9hfCPjUKHn5T+81/zWYID3/qdnvZf+IDXa3U0ZJpn8Onmt794sov9&#10;Gf1c37VJ+EQXZc/NRG8xMXq5z6ydPnLzKXjk0st9Jzm4dVf4w1ev8emU+1RonJNGZ2uy2EH8CFzs&#10;wJP+eNoToYUrBoINbaJttvEDbvwn9+LwZAPxz3Ug9jjowAP6/vC1+n5NdJ8qx3PY1oINcVJfzPHD&#10;3GBD42ishkmb8QZ3bU+fVzT/9U2/Kn4S3/bsc3yTH0rqkmeI7On9Fs0ciU/xBc+rGxt86BZ/oJ/7&#10;EHleiH71+Yd7K+4DpD9yz5fBO/ecL5VnKOLX2tjDWtf5yo033FCuX9HPs2Jiac1L2Tr8Ix98f29L&#10;MPzTv9iWHMn6w14FPHHF8yaZv6FNHISTZ1/gaBeHsw7BJ7zpLl7EdnRQh0Mv9nCPKzFB7vkLPBO3&#10;ojce9iNo4aH3LA/c2CQ6qytnzYTG78KCm/hh3KKvsvVG5MG9N+JHdMPPPe7Ic3ZER8/1uJ7pj3T1&#10;VT/u7RVaOfrpEv2H7S3YECf1xRw/9IGNjF36U+fgK2LLmrYu42FPy66SufDFzy1/fgxeZHjOYb3J&#10;b5iNtWvr9cuu6/0q1xJ7ZvdTralz1un5MjwiM/zUMx9cU87/ynnlGu/eoT1H7feu1a7/Et1u+tUv&#10;72aXmj+7mFPmJHxngLl+1jxbdg0Mv9g3efTHI+X0JXno5ZKzCGsZ9rCP8Xsg96rwSBrqjjd72tOw&#10;IXr2mEoGPn7vY54lRr33Xe+4m4540sf6DI4xtLbz3DG+2sQP8Kw55E/Y8AklRkc2PvdG/EjfXY/I&#10;lNwjtsejCzn6Dk5fa1Q+Yh2lTartFtgwb8WKFmxIl/pijh9snH60bFWPKbwWTuiny/mqtYFnv40X&#10;P5S7r2H+OZdwPyN+p50PoYvMjHldzzpTW/qiHFwwZTQ1fMg37fI6pU/hnbzGCW1w5XV74LV87YHT&#10;pdUGxpflwUVHh/BPW/QKXp3DgR/cYTm42oMTWC3HvPPbFOMmWYu4D+yZOmcUh0zObNddsl4/hnBy&#10;fzR8xP3Qho81m/a6X/dG/NAHz89nzURenpnVpq+ea/z/7J33f17Fsf/3P7gXq9pykVXd6d3BpgYc&#10;IKFjqsGWZEghhHJvEvq9NIsOAdxwIPRuwAHjgjEdbDqm2VaxDSlAqCHtm/ud95xn5OOHfaRHTz2S&#10;zg/ndc6zzym7szOfnZmdnSV+13DR7EOjA/UyWqQ6+7DCV5bq+b6MH6nalOty6wf0dWxNcML6jH7l&#10;GppbGbGI33zzjfad8V6u61To99Fmw0fOjPmFrkO23yMWjXkgk336i4PftIk+5BrdEV0jue/MfrFn&#10;6Gcf9oV1BnQE6s27kGt8NUbHjrb1Wu5rV7Jvi7l94uvtPZz5Nv0AxlBv7BnsXr6TXHffNyjzYYWv&#10;LNXzMX50bx9CNxvvjVfgwwvPO1fn3+El+m+nHXZSHzm2Q7j/6EeeT0X/vlBOG0zm4H0Om7/tC/W3&#10;OtIv9CG+EtY+EJeHrGCH4A8FW1jT9tFHm7r6TPtP7ALega5h7T/x+ONS9in6B3zBveAH7+DbvAP8&#10;gJb8b7aR1S98Rp+1+zgn28t2L7zFeiP7Hu15/dUt/VB2r+/swwpfme9ZymL86Bk/6H+jn2GJnY0n&#10;+d98/lyHy+3ZvnyGBnZY+/pae8w3QN+E+8d+0z7iZMPtoszGDcrD7+C/8L3J17yXMruP99i77JvG&#10;R8nPmm1LOfdavXgXh/3PtX2He+399s3k9yb/9mGFryz5Ofsd40f3+GH9zNn6zs5WZv1HufUf9KU8&#10;jClG8754pi3W3r5a/3C96StrE+XWp1zTh/Y73GYrs//tufB77Xl7zs48m3yf/Zdcbr/te/zmmvvt&#10;2v6zcv5LhSn2Pt/ZhxW+suRn//1v5Ib8Y3u56upq1zxjumtpbinK0dzU7Ga2zHR777Wv5A+S/KeS&#10;Bz65vsX8TR/x/eSzryyZJ6zPi1n/XH/b6JDr9xbifYbvqdoQLre+Q0ewuoX/t7Lks+8eynzlyc8m&#10;/05+xuoUvi/Mc9Y+333hZ+zahxW+Mrs/fP6X0AX8KCur0Lzn5ZL/vBgHed/JW1hRUan539nDIVzP&#10;+Lp7HSmmT0yfTHnAhxW+suT3//vf6KOy7nrBbe7SS1sTxxVyLvxx2WVXuksuSdThsiskNmFdjB+i&#10;7yT3Wfw7pkmuecCHFb6y7r6LrgOWaE529PRCH2JL/T/ZS4J6/OtfgZ+hu/rG/8VyFPNAbnjAhxW+&#10;smR6h+0xrtWGAkOKcJjfhzom23vJ9Y5/54ZvYjrGdIQHfFjhK4v5JeaXmAdiHkjmAR9W+MqSn4t/&#10;x7wU80DMAz6s8JXFvBLzSswDMQ8k84APK3xlyc/Fv2Neinkg5gEfVvjKYl6JeSXmgZgHknnAhxW+&#10;suTn4t8xL8U8EPOADyt8ZTGvxLwS80DMA8k84MMKX1nyc/HvmJdiHoh5wIcVvrKYV/y8YvFq4Xi6&#10;qNHK6hi1ekWpPjGN/PzdUx/5sMJX1tN7BuL/xnNRxQ7qFawtCNZtF6uPjE58n/Wd1KlYdUn13WDt&#10;w+b8Gqnui8u3xBkfVvjKYrptSTfoQR589vR6/LFH3Kef/FlzDpNrPSoH9bJ9Voots6xh52BvR/IW&#10;k585KnSiHp9++oljT8977ry9K3dYzPPf5flkmviwwleW/Fz8+/8ceQjJz0+eWnLWkWOXvJNROdir&#10;jv2ZotRX5GwnT3pUaGT1YE8qcA16FRtro9RfPdXFhxW+sp7eMxD/J6f61VfMkqPVwX/kowRDonIY&#10;fkTJvrI9H6JGK/qMPYXZlyFsbw1Evu5Nm31Y4SvrzTsHyr3sGcJ+z+gg7MnOWBYV7KAeTyx6VLGN&#10;PVKKLROM6RzIKEfUaAW92EuDfXKLTau+JD8+rPCV9aU2FbKu5ORH52XvtChhB3Vhz3p0I/ZTKrZM&#10;8H0O9qNkf8co6h+MA4seXRgpe6+QvJzJt3xY4SvL5N0D4Rn0cWyYKOLHyhXLVT/qaG8rqkyE/QmM&#10;8WBu1PQP9qeP8aNnf2myTPuwwleW/Fz8O6A18y/oH+yZETX9g7kOsK1t/bqi+gRN9+BMfdjvMmr4&#10;Qd/F+BHjR6FxbdEjDyt+sO9q1HRy9tNlr2jmiZDdQtMm/D3DELD2gXvvjhx+4P8G2xb//rGiYm2Y&#10;Zn3h2qdr+Mr6QlsKXUdk4rlnVirfcY6a/sEe68gE+6UVGz8s1oMx/rGFD0UOP8B+fEWLH19UdFoV&#10;mo+z+Z4PK3xl2XyjPz/7wnPPqv7x7NMrIocf6B3gB9hW7D5ob1vvOMAPxvio6WrYU7H9EtsvhZaT&#10;l154XvEDX0PUZIL9upGJpU8+UXT8eOetNx0HeLZsyeLI6R/r161V/QNaFVtXKzQPZ/M9n67hK8vm&#10;G/35WcZ4bPrlS5+MnP7BmErd8NEUuw/A18Cf2+qeXfl05Ghlutrzzz5TdFoVu696830fVvjKevPO&#10;gXRvh+jkjKnEWkTN/0FM/Y3XX6tx2eE51EL3D+M5sbAc6EOrX3k5cvrH+++9Gxlbr9D9k833fFjh&#10;K8vmG/352ajjB2tNiLcoJn7Q/8SMcUR1rjvGj977PuhXH1b4yvozBmTTtijjB/6Y2xbM1zUd2bQx&#10;22fRP9DROMAP1i1HTVeL8SPGj2z5PJPno4wfyCixWsxLFlP/+OrLLzUOhViUa6+6QudhouZrjvEj&#10;xo9M5D+bZxhXyWnBmIqcEoMUpXEV/ynxDKzx++yzTwvuF7R5DGhi+sf111ylNIpa/GmMHzF+ZIMF&#10;mT4b6Oat6huMEnZQF2SUuBR8lszlZtrGbJ6DPjZvC4aw9hbdI8aPzOQ1m77Ix7M+X4evLB/f7i/v&#10;RD6ZW4iaTk59iKvHfiEGtZD0DucpJI4eHYiD9YYxfvQP7ICffFjhKysk7/W1b4Ef2C9R0z+Q0zXv&#10;vK32VaHjGvC3gCH05VNLl6gOBJ0WPvRAbL8ITfoaj6eqrw8rfGWpnh/o5Wa/9HZNqeU7BHO4xneC&#10;Ts8R9qNs2rix67f9ny5OgR/BurBWzYMa7ivzTYTLcn0NhvAddDPzfyx54vGgjYl8j+m0ZUt6BDTi&#10;ubANZPTb0NnZpd+En+vpO7H/IzNM82GFryzXvNVf3mf4gYz0xKPh/+Ftk++NIuedHW16bOhs1/JO&#10;ydnB3M4mkZPO9vVaxv12hN+V6tref8vc2Y4jTPNC4Id9g5xB1119pR7E+yP31C1VvcPl5OUI3x/Q&#10;Qmgk5foOeQ80UrqBxUJX8Jj/eI7cJ+H3pbqO8SPGj7B8FOo6E/wweTD+Z8ykbGOXriHypePrRsEU&#10;5CyY10EXgf/THVftvocfuE99IOSIhy7U2WQ7H3QKzxX/9a9/1W8zd8tBnkfakC5+mJ5mZ2jx0aZN&#10;7uOPPgpwRd/VqTjBOzs7hJZSBvaaXpcKM8LlMX7E+JEPWejpnZngB3zO8dEmwYzONrf65RfdPXeJ&#10;jn/1te6ccy5w58px0YUXu1vmL3DLly2Te9oVM1i/atgT5v1U14pJIkvsS4D9wLpXww0799S+TP7n&#10;3Wa7gBf4PSzvKXWlXoZtqepu5dYG00PWr/1AbLGFbvbNc9xFF13szj1X6HXuhe66a29wjz7yqPvg&#10;3beVptCWZ+15e1+qM/jBPDxrczJp80B9xmer+MoGKn16anem+EHu9ptvnut22Hl3V1ZW5kpKBrnS&#10;0hJXUV7uysvL9BgkZRUVFa6+vsGd9vOz0x6zTUZsjCe3Ivgx56bfdMWR5RM/jGZgCPYKMWOsa+VQ&#10;vSBhu1k9uzujh4Ed6Gin/uQMV11dLbQqcVtt9Z9Cr0FdtIJ2lHPssvtkd+tttytG8Wx377f/3n93&#10;TYwfGfh1fVjhKzOeiM+b9TwbYxlfsRFMXo0nOTP+dYqusXFDcH7yqRXu1B+f5rbdbkfh/XLFi5LS&#10;UldVWenqhg1zY0eOcONrRrjR1cPciKohrkz+Kxd8KSspdWPHjnennvpTzZWIXPG9djnru9XO2XLv&#10;CBt7WZtOHcEQ8vjQh2EbIx99ajoI+YiZP0YP4UCeU+segd0GvTYk6Pb8c8+5E6dNdw2Nja6irEJp&#10;MVjoVj98uNJqnNBr7Mjhrl5oVym4W1oe0Ku0tMxtLzQ++8z/cqtefVXtwA3SB/RJKkyBRnH+oM38&#10;nQ5f+LDCV5bOuwbiPcxRovfiPzV5DeMHMt4hMvPySy+5yXvt58oHoWts5aqHDna7NNS4A0fXuWnj&#10;a9z08bWuRY7m8SNd07iRrnmcXI+rcyfKcYRcf6+x1g2vGizyU+5qamtEHznLffDeGtHVO1wbvlY5&#10;h79r13z/j3/42N16yzzFj1dXvaI2jM2t5rvP8J3iu4U2HNSHw+oXPneKfHe0t4u/uM3df/+D7qCD&#10;D3PDq4cLhla4kUOHucmjat2RQpvNtKpxzROgE3SrcycJrY4fWys0rVfaDhtS6coETxrqG93MU3/m&#10;1qxZoziyUeoR/q5d4+Ml10EhdLN8071Q7/dhha+sUPXpa98hN7GOW+JbMD4Mn9tFVl58/gU3YcK2&#10;YqeUiF5R5X4gmNE0fpRrEl5vniB4IZhhZ7vmN8eMsfxf41q4HlfjpoxucDVDh4pMlbnqkSPdGT8/&#10;w23CHuhG/2AOArm47uqrdE+YQsgH+s0333yjusfCB+9XnQO9w/DDh7X4RT9c96FrajnFVYo+hk1S&#10;P2yEO3hsvbYfOih9hF4zwNkE7WZQPq5a6dQ8gXvqhFa17uRxjW7KmDrR4yrdoEFbuV12mejeevst&#10;pVe4j+ya3PDEt/U1HixmfX1Y4SsrZh2j/O03Xnu1y743PgyfOwRfdt19kmBHqdtnVI3wfb3wd7Xq&#10;GTMmjNBzs/J/gBNN6CATwBd+IxOCI4kjwJFaGX9HuIkNdWL/lLhSsWv2n3Kwe//9976DXyajzFW8&#10;+PxzGv/J/mrQsxD2ywdSJ7CVGPqw/gGOWN3CtFojsr3nnvu6EsGNMSOq3AGClQGNoJthLddGk1rB&#10;ENFBhH4BjQIcaYGe4G+CfscJnmxfO0LoVeomTdpb/dHh79o1+5Amz3NHmfeiUDcfVvjKolDXKNYB&#10;nyDzkvjtbU6xXcb7j8U/ynzrz356mmBHudu9IeD/6QmeDvABjMj8OG58o9uuplp9AjvvOtG9/ebr&#10;bqOM4dgA2DXIKboH9WJ+wfbK+/rrr/OOH+CTYdbbb77xHWxDZtUvJDTCl/P2W2+4nXfZXXwcpW7n&#10;esHICfWKk9nQp+vZCYLXYufsVF8jelu5++V//yqY72U+PGHLoBcRA0hfFkI/iyIvZ1InH1b4yjJ5&#10;90B4hj2XsQuY48BPibwiD+vWfii6eruraxglMlHiThjboGPizLGmW2SOG8gFekzzmBo3TWSjYfgQ&#10;Vy4+gqOPOdG1C3asw0+Y8DVQH7MbmH9hLoR54Hz3Df6Vxx97RH1Dqfwd6CDt64O8yocfMdVVVA5x&#10;jdIWtVPEtjsZmmWBr/Ys+sl0sQOPHVMvWFvqGkeNdWs/eFfxS+d2pL+oI7H1+Ji//OKLvNMn3/Qv&#10;1Pt9WOErK1R9+tJ3GKewmfGfkj/T9GB4khim1tYrxYYvV19eYK+Lni08bHyd1Vl8IejnzYIfR4p/&#10;oGZYlasSH+OCBbeKXEj8VGKeAxlFNoilekTlo1WxLt9jLO8n79nsG2/ooovRx87MsawTzD3xpGbx&#10;dwwWH+kQd5Rgxgxp00z8PWJ3ZEUjw55x9fIubMFat31dtfRJhZs/b77iqsXUUCd0SewtaNWX+LCY&#10;dfVhha+smHWM6rf/9rdvld/QedE9dJwXPgQ/OtvXuR133MUNqSx3J8i8QODrE7t868Cnka1c4Cec&#10;IXMRZv8fIXrNkIpSV19b5+69/wHFL4u/NAxhHT1zDORqRb7zhSHYLhzoZezPB10MM8LndaIHHXX0&#10;cTInVSJzS5XuWPF3onvMFNslW/ps8Ty0kve2CJ4cK1hbJnEjk/fcW+d50BWtTi8896zqH8wzR5Xn&#10;olYvH1b4yqJW7yjU5y9/+UzxA53XYgqw6Tdt+siddfZ/qc905/qROi8b+PMC398WvG1jZK/Pon/o&#10;nAN2ULWO1QeOrZFxXGJKKga7m2bPVb0D+QBHkBH0EGyY229dkDfssH750x//oLTBhjH55AyWYVtx&#10;vlL0M+ZmBw8udz+UujNngh8UH1GL6Fc6r9JrunjsQubDeT/vEizZoW6EKxHMWrL4SbeuU+qSqNeq&#10;l19S/ABnrR3xuft4EB9W+MpiOn6XjvgWsF2wYbpkYwM5N1a5IcRqyBzrEegeqjt7+DoXspF4h+kj&#10;O9fXyDxDhRs9eqz74P33uzBE5VbkBH/NDdde7f75j3/kFUPwmWILMKabHxd6gR1g7Buvv+7q6hpE&#10;7xjiDhuDb5l51/zQaPP8FTZRtWBVrdgwpa6pqUX6TdbabQzWFIEb+Ieoc8zv3+V3H018WOEr8z07&#10;0MtsPzXDj2CMb3e/+uU5GiNGPOnmMTQ3dktKGROfQZPo5tPFZzBKYlfLZA60qekU1yZ2FXqH6iFi&#10;R2DjMw8DnuSz/1YsX6bYSlw434JWHMR4tMuc9pFHHSsyXKbxGerHER+FxXekbGOm+IKe1qWrBfFn&#10;1RJDM278eKlLm/ic16v+yHwzsbLMN+eTNv3p3T6s8JX1pzbnqi02XhE3wNjKmpaNon8cMOVAWZ8h&#10;8UqNEsfUxfNBzEfOZSPxfr7DHEPz1iPdiRKfVlVZ5kbW1OhaMuTX7JgXnntGdfQ3X38tbzKCX+XR&#10;hx9U/wd0Md0nwNcOyaX4vhsq2FotPo8ZMq86g1gNiXmZHpLxnNMpgSHoIvhBtpW4d2Jyli5d2mV7&#10;grPgxxOLHs0bbXLFe1F5jw8rfGVRqW+U6kFOQPRd9jUxGSH2ety48RrzMUXk2GKY4Nucy0T4neI7&#10;QA6JU2XuYrcG8ROKfMyft0Dlg/pxmF1BvEo+Y8iIlyd2Hd8LGKI6UEIPuvKKazRmZbLQBx9ws/hL&#10;lU7oUOE25ei6yzYSDOE7YO1+o+pcqawrmjr1mC5/TIAfs3TeOUp8FuW6+LDCVxblNhSybjZngeyx&#10;lgQb/87f3ar+D2Rl2bLlIreyzqt0K3e8+ABn5kgG0pGrAKNknkF8hVPlu6yV2Xuf/dTGZ30MPl58&#10;EWAefpBc0c1wyOZ08K0w90IsuPmFNgltOMhxspvEug0WH82xyLP4PaaDIVJfjcMtEL2mjmsQG69M&#10;49XekHHA8P+mG65zD9x7d85okysaR/U9PqzwlUW1/sWol2EI+9oz92K5Txm/yN1RKutAd67DH8iR&#10;nzE1GU+IA0EGZ4j9gjwyf7Gt1IE1vkuWLNX1deq/FB8q+tJvrrsmbzKCLIKrSxc/oZjVKXF06mcQ&#10;X8Nd99wnclvqdpAYU13jk8COJnQP0ZuS25Wv38z11AwbKvQpc5fPulL1I7AuXgOTnt/U5M6HFb4y&#10;uz8+b147snLFcvVFGn4wth9y6BEy7pe4Y8aOSczbFgY/wKkWcIPxWzAE7DpEYtXIkTHthJNdh8Sk&#10;Wnw9cZbIN/PPue5PsJU1QeAqedfBVL7bKXoHx2GHHaV1OlJjuoJ6BuuNC4cdYBJ02lHmqobIOr2p&#10;xxzfpX+wXx92V67p0l/f58MKX1l/bX9v22W6B88R28B+SPjbGNvBj+0k50SDrP1qGjdGxlOwI3/z&#10;kuGxWXUP1uMxngt+BLZAnasbXuUaGhrdWomnZ3zlwIfKvDNzI71tf0/3//3vf3PMvYBPrLlRv4fk&#10;FOSbHCNGBLlNFDOgDTRSvwTXhcEQpY18a99RDaor7r77Hl36B7oZMTI9tTP+P9BTfFjhK4vpFeQN&#10;DdOBfICtl13qfv/oIzovid4+ZMgQWdOWkGGR5ULZL2Es6boW38Lu9dVi45e7+Qt+q/ND4Nxrq1fp&#10;PAPyjO/CcoGEsTHczp6u7Xnu430LZb0++scmiatgzpbcYVMOOlgP8qvt0UjsfWFwtYsW6GWJA1tv&#10;+thqd7jEgWw1aJDkZRoX4JzoSvffc5diH+0wv05P7R/I//uwwlc2kGmU3HbjK8ut9YTgCOPs00+v&#10;VJ/lxMZ6yT2B7lEo22WzbJiMcGbN+49kPUmp2FPNEgtia+osZwn+CZP9TLED2tizJnPMZ5MnADwl&#10;3uOF514QXK3So0L8DYdLnWxeKlzfQl3js0VfO17WIOKrIgfC2xI7Rn0flDW46E7Wx9DH2pfMB/Hv&#10;/4v3jxL+7w0fGC9xZqy6/JKL3TMrnlLb5eqrr9M8g1PE79AiNsQM+FRxxC/f+ZaXFrWfGmVd2mCN&#10;R21vW9cVR8a6Nmx92m5y3xs6hO8N04R868y9QBtsJWKzTv/F2TrXwXxHo9hTzeNZV1tEbBW6zNB4&#10;9hrxoVYq5t8m+VLBj8cWPqS6E3Np1q5wW+PrLeXFp2v4ymK6BXRD1oyvWBvGerRnn35aZGWD++lP&#10;fy5rT8plDSlzCyNERjbHf+QbK/zvx0aocZPEXiBH8ymnnib1bFdfDXOrjLP4K2ystXZl0tf2bGAb&#10;zXLLlixO2ARtbpttt5e1+ZV67C1xF0G8WPHsF/U1k8dJcGSPRpnnFpvqrLN+KfVt17WF+IbQ0aAD&#10;7TL6ZEKX/v6MDyt8Zf2dDum2D34yWbltwTzFD3KMs0/LD390qOZDPllxQ+K5yJkVsrv9Mp4/3UTn&#10;R+X7R8lcB3Omg4cMc6teekFjupY+uVh9IMyNmP5h7UqXFuH7eBZdn7V5+D6MJk/IWt+KCsEOiafn&#10;OF51D/y7+Wt3T3TG/9Gk65JGuqOlPszhHj31ONWXVixfqrhK7iPalw1NwvTpr9c+rPCV9df2Z9Iu&#10;4ynm+bBfXl31suofO+20q+RFJv+NrJnTNfvEZBR7nK3RNTH1w4dKDtAS9+tfnaty8vKLL6qcs+YU&#10;GmQzxvIsNCGvGfHf4AfjN/Fqp57yE1kLNMhNHFWvx3SJS1HsKNBciw9L+D65ZMlzeKJga9XgSrfn&#10;XvuK/tHpnn8miOkB/zLhjYH2jA8rfGUDjS6p2oucGH4Qa3TF5ZdqHOpG4b1Ro8e40SOGCXYIZkh8&#10;EvpxMfEjyJmDvNa6nSXX+3/+x3+4Aw/6kVv74QfuPZm7RdbZj5a2mh81Vbu7K4ce//znP9VeIbaV&#10;OW2NWRf/xx6T9nKDxaY7btxoPZi3JU5l87qgwush4Ae57sGWkwU/amSt9Pbb7yh41ylrp5/XmB7s&#10;O9PLumv7QP/PhxW+soFOJ1/7kRNkcM3bb6rtPFTWdG5fJ7q5jK2s6yCPVjNYUixdXfX0YLyfMrrW&#10;DZbcII2NozXfBboB9V8oc62Gh3b2tTWdMnKwkUuJHMTgR9v6tbLf00jZn2WYxNQ36mGyO71YNLHv&#10;Sr9gxxCHOkH226mrr5d8Qu06t31V6yx3z523K12gSbZ0SYd2ffUeH1b4yvpq+/JRb+OpQFcnTmqN&#10;zFE+r+vVJsqa2wA/WKdVXPxQO0HmGZok5xk+mcoK2ddOYkEefOBhtWFY44YOhe6QjYzYs6x7hya2&#10;7mXunFt0Pop1ctRF65OQWXIJFg1XwRBic8BXoc+OkuMJ//KHsn7/TVmXjF+Z+Wdrl53zwUt9/Z0+&#10;rPCV9fV25qL+xkeckTnGWmz99959191xx13Kg/uy54DM2baAHTJ/W1QZsbE2cd5z1HCJHS/XPezY&#10;H/Yh0T2Qlc8++zRrHwj2D3H84IfOvUjs2AnHT5PYClnjWlQf0HftI8UxrRNzyNVusmA+cW2LH3+8&#10;y64Lx4DQ39b3ueCj/vQOH1b4yvpTm7Npi/HR5tyFraqrX3ZZq/gJS9yBxEaJ/WLxUWBJVDCEfe7w&#10;Rew6cQ/N/fm0rN9hrpI4slzY+sR9g6m67kViKbbdbgeJryCH0ndluJg00fkXq5PoIPtLvA6xKXPn&#10;zNOYe8YEDua2DTus37Phnf74rA8rfGX9se2Ztgle+vqrr1T24DNiT38hMVLEfhyemBfE/4F/fwte&#10;NZ4t0pn6bCN5cwYPHuLe++ADzQWCvoDco09lSg+wh1zS+E7BI/J4rRY7AFtpp4Q/qJh48d1vM3/L&#10;Ifqh4MePJG8bewxfdOHFatcR00O/fv75X2K9Q3zr3fGFDyt8Zd29YyD+R35geOw68UHii2yZ+RPh&#10;wVJ3jPjzidmynBZFjbNMwqmTZc3HXrI3LLEgd959n6ypX9cl859++km3fNJdH4OnxJqi8xPX2tnR&#10;5m6+eZ7YBGWy557lno+QDqL6odRH8GOG7OV3uOSuhyZnnvnf0o4N2q/keDSamA7SHQ0G6n8+rPCV&#10;DVT6+NoNP6FzMHbPm32zyg77EJCTd5r6Bckljv4RIZmhLjLWspcsY+0555yvMffkAUFW1smcLu3y&#10;tTedMsvlqL5TsV1O//mZGvdxmOTpiRKGbtZFAt8UtuZU6TPsl+bmU3UsuP7aYF6NPka3Sqf9A/Ue&#10;H1b4ygYqfcLtDssX85Po6sxhEPd88A8PU7kM2/qBny46GNIi/tzjxL4it/IRRx6tedCJwUdvePnF&#10;F7KSFfIhQg/e0y5yN2XKQap/TBN9DBndLLfFv+7qF7FhuJ4mPlRi2I84cqrShLhAbJiOtvWKqdnE&#10;xoT5pz9e+7DCV9Yf255Nm9hjiHH7XskDSN6PiRMnu+Gydn8LOYmQ75R6zRiD7NZKTpChbpttttO9&#10;cslBgM+TvemyocdCmcsxmesUG6CxcZRrlFg6Yte2oEmEdDLFkQSGoJMRW0euNNYPY5uyn3d4zMiG&#10;Pv31WR9W+Mr6a/szaRc6Lfo6PPboIwt1jenOO+/m6ocjL4k4hwR22DxMFGSoJbGeb/u6atlnqtJ9&#10;+OGHErfyrPpAstl3HhljzEbuWLf66qrVag/sUm82QrTmsbGngn4SH6rYdFyz7mC3RB6hO267VXUp&#10;8mPDH7H+kdqH6sMKX1kmcpbuM30N46nvW7I/EvixKJF7bPToMRJnKfm/QuMr2BEl3Z39EdiHfq9R&#10;tRJLVunuk1yk+D0sjuWbb77JSAf59ttgH0/yDuMzmH3zXPEFlbnvi69W2x8xPUzjxugnwQ7D9bqh&#10;VW6XXXZXXRIfDn3LGroo86avblbG2a7TlcNM7vNhha8sk3en8wzYbu20czrPFeseG4vIvc7al8d/&#10;v0jzerH2ZYzYBcaPUTwH8doj3QFjatygrUrdpRdf2jVvgg8E3SETurKGF3kjjxK23K9/fZ7E0sme&#10;lLKvXECHzXIaRbpQpzHVw92YMeMkLqZDcwgxF41PJ+o8Sf3Id49OzPpF1jZxTRl9abHF+WqHDyt8&#10;ZZnwVbrP0La+4ue2elru9dWrV7kNsnafmIrt6orvG+xOPmfI/C37vx4uaz4qZP+E0352uubMsfH2&#10;PVm/km6fhe/DTwB+4DsFS0444STVP44hx0ZIH4vy9XjRHdEhWYO7UHw54MeKZUszokeYNvm+NtlZ&#10;/crLuhaB3E1//tMfu+oNv+YLO2ibDyt8ZfmiA+178L57dB0ouavy9Z1cvpf+AD/oK2ItyVtF7Cl7&#10;z0ZZRnQtn8yFTBMbBn/hYYcfpfqC7Ru9fOmTGdH/+WefUfxY887bQosO9/39p4h9VCExMMH+e8Vc&#10;g5xuf2xbU+1Y/4gORj5s9DF8y7nkm1y+Cz3YdGFsaerLAe6xdod4Ptpi412+MMSHFb6yXLY9/K6n&#10;n1qmbabt4Ej4vyhem7311NIlOv/Cfm6vv/a6zv/tKuuw0uXXYtyn+Yw05rLGDR882E3cYy+NdyD2&#10;iz21M91T6uEH7tM+3CBxY+AHcet1I4YLLSTHxtaCqXwz4nrIToL9xO+QIxbcgB/ZgzNfcpcL3qZu&#10;HOAdc+fkXoQv0QWJ4yM+iTXW6IS5+J7vHT6s8JX5nu1tGW1F/lhvga8N7KCN+O3hXWiA/836zLCz&#10;t9/J5/3UieNJyatFPyF7S5Ysk/G83E0Sv2SU5YTYlGDeocaNrh7qxk/YRtbyb9T1O3fctkD3lEqm&#10;ufVFMk2tnDPjHfM3xG52SI7VmhrWxIMfxc2/1pu+2ElsT3y+7W1r3crQOmJrZ3L7i/mbOtlBPcg1&#10;AC/ir0F+7Ddl4CD7I9KvNvZls1Yhud0+rPCVJT+Xzm/aSJ2t3pzxO9IusALswAbA7mYekXLTGaPY&#10;b9Zm6sbeL8R/kDNi+bJlOl85aVT0x1nDj60l50XV0GGyv3awt/aihQ8qr33x+ec6VqVL/3/84++q&#10;ezxw711iC20SeqxTXYy9mdB3dJ18xHUPcGYPibNnTmq5jN/Prlypc1LE1tHn6dLC+KOQZ3ABvR1Z&#10;QvfAlib3G/oHfi3sGf7DR2VtoT25apMPK3xl2dLEMI84ATAR/OBM/iva/Kast2I+gzbzLbAm22/m&#10;83n2cLv2qiul7hvdww8vlLGrxO0jeS56M+YV/F5yXnCIvOwkthYx2xtk7Q5j1jOyFnfWpZfofi3w&#10;VrIeYrQM8x3Xn37yZ5U15l7a1q93v73lVrUDJjYG+V+J4y94OzPAq0kNxLCXuqdlLHhJcjvCm+jF&#10;vnZbWbHO1gfWT6YLY0fi8+hoW697eC1+fJGMy8+oXN19x+/yIlM+rPCVZUIra59hB7EG9At4CX6Q&#10;u2ad7IvGnB8+OLAS24bnjEaZfLcQz2B/gfGbxH6ZM3e++k/3HxNt/CDnJ7JMXpLdkRfxob4ge7N8&#10;LDy36mVk5grVD6FfOvTnHvaYQ2987pmnxZfS4ebNma/v3VPGc2JPA99p9PWyPSUHCPRYIWP46sS+&#10;6Ix1xkup8NT+L+TZ+oYzB/uFIk9zb75Rx2IwpL1tvfpDuMZ+4X/zp5o85qLOPqzwlWX7LejPfiPg&#10;B/llaBN+f7ADHwLySBu5tr4yOmX77Vw+T52oH/6a2bLuHV1xzlzJsyW8d0DE9Q+VZcEQ8CPY06HU&#10;rXxqhegfnW7tB++pnmv5UKFZKvobDaAD4xv4QQ5H+u7HP/6Z2C+lEjsGlpI7MfrYAaZOahB9TPIv&#10;LF/ypOjCr6tteuP116akQS55Ktt3MdcC1tEPzDnTD2AFfgH24cHHz3/YY/SZ9V+23+V5H1b4yjL5&#10;ltWV+tIGsIMcVfhN//Dxx9pO1r6jl7AO9I7bfqs6Fs9l8r1CPgP+zbnpRrX55yTG3P0lx2iUdXVi&#10;QdFBwI99xNdbJvkG7pUYVPADGxJ9kP1fu6O/YQr3cCx65GHVG8l1Ct82N7Wo/XKA6mLEjbEXTvTj&#10;x74v9WUMmDN7ruwL/I7iB/xq7S0kb2XyrS+/+ELzuCBHyBPjMn3KOi3m5W2ODH2RNuWqXT6s8JVl&#10;0iaewY+BvgQ+0jbmmGgXNjcH14zl9BVtC38nV20MvzPba5Mt2oM+1SGyp/HawnvsOxdl/Ajysddq&#10;XoEDpK7s2zhHYs3x4WyUvsBGxp9tsYupaBXuF+ZddO5Fnlf8aJ7ZJ/ED3bFM6LFg/gLNZ4suDE8y&#10;tqeiQ1TKDQ/YDx1fqe39h2wxPhNbRpwS7aGvuD9X/kUfVvjKsqEV7aLu6E/ou6x9R79iXpp4W+Yx&#10;Fsybs8W4F+bRbL6d62etXtiaty24xW2UNsy67ArZY7bUHRRx+wXfabCnVbVgXZ3ix/x5t7iPNorP&#10;TfaZZB9w+ok5GGunj35gKGMCZ+7H540fqC/rH/tL31VKTO6cm+fouIa+jyx+9eWXkccP+sgwn3GN&#10;mA9kjv5AxtD1lz75hOKKzXf6+jWTMh9W+MoyebdhnPk2ONMm0z+4Zt04PAhGhr/RHf+G7yv0NfVC&#10;bsBxdP12We99/jkXiCyWuEMkj1WU9Q/mbmck/BHIC/o6+AGPoX+wjy9yg84LXa3/kmkMDTjAGe5H&#10;p+R5+rNJ7Bfsor5mv+D7JiaXHKjwp+EHeW6T2x+139YfnNk/FN2J+UHT8TkTL018CJiYaZygr90+&#10;rPCV+Z5NLkOuOCi3NgXrRFrVN4yfmL5B90AHMb0EvTn8bPg6+RvF/m0yBX/puCvtOe+8CzR/9yGy&#10;722U8UNzfup69Wr3gzGNamfMmU3+I/G3ib1sfjb2XuupDxjv0B3hR/ZtYA6HPm1qmunKxQ+5v+w3&#10;xx4v7NMUpRwGqfoHvCP+FDwlHxS+U9rG2A0vF5vvwt+nPmE5479wGfFjjMnkmDA/CHKHDwT/I/hC&#10;n5mM2rvC30j32ocVvrJ03md0Nt4jj26wx9IsjW0BB2kPfMaYhw8S24Vxi/fznL3Dfqfz3ULfQx3p&#10;A+ah6Rfwg1iKqOOH5oIXHypzIvuRB1X0hLvuvFvXnG6QPmDOjxxAC2X9GDgZ7gsfjW3uBdwhjoT5&#10;2+knN6leM0X0myBWLeKYKhgHpuD/AD/mylw8/Mg+vvAmNPG1vdhl9E1y/9BnyBD1B/sYl5E5fCDI&#10;Hesbmfukj4mVsPWSNiZm0iYfVvjK0n03bTL8IP6GeoITyJm1g7YQs08biTcN08IwJFyW7rfzfZ/1&#10;F2Mv+gc6Ilh43rkXBOvRErnXU41xxS5v1lgumU+V8x4S30XM/fKlSzWGFp5DL8QPxZEOLZl7oQ+h&#10;AWM2eszpp5+pcrifzEWR773o+0Ql8KEn2oMf7KPN/At8im5J27Dl4Ml06FHIe9hbAv2PuEv6zfxR&#10;1AE+XShjADoI+j+yB44wZjMXg5+LnC/Y4NnGgviwwleWDm2MztQ/yK/TqnMutJM+MR7F18H4DbZ8&#10;8uc/deEHOMiBz9tk1d6ZzvcLcQ/1Cuz+Vo1hp2/OP+/ChP8j2mPtzAmyHlZy+ZAHdTfBD8bbV195&#10;SeQ/mAdDf7A9oOiDVLxlfQLO4K+jX/GfMo9z029+o/HrxPKbv4VzT/Jb7P8PkrzSxJ+2tl7l0MUY&#10;19A/yEFmvFgI/kr3G8Q6oNsjR4xl+BFZv07fIENgCv9x4Ccw+SN2Ar0jWF83S+M3uT/TNvqwwleW&#10;TrvCdWAOiXaBj/AXBxjIsejRhRpTi/5vfmPajVyiq+Aj5mCtTDrfLfQ9xGzDW8QNq/2S0D8Ojbj+&#10;0bT1CDcdH69gCHs2shfdpo3tbv26tcpv6IXot/Qb/AZdDSuMxuE+5j50ZO1b+lh0kIUPPST2i+xR&#10;Je/XvOvQpA/Ef9B3+E/RJWkPPIrs4bMLt9noUMwzsR7oD8RDMKeJnoS84Ds1/AD7wXf41NbFIHuM&#10;5aw1o4x3cM6mfT6s8JWlSy+wDExgPTjzE/Ch6U9gIm246YbrtM2GDzzD+9EZLZceZ/QvZDXdbxfq&#10;PvZ7pG6MUX0JP5plH9wZIif4M7eR9XPVI2tk7rZDbXzDeHgLvRCfBnzl4y3K0BtZr6RzLyJv0KFT&#10;1u9/+N47so9WpduxTvBDcUO+1wfxw3w7+AzgKx8dCsVvyd/54x8+VowH66G72VqM2eG6YqvQl2AM&#10;cojsMUYwl8tzyCH6Y/L7e/PbhxW+snTeaXoQ+hKYiK4EZlBX6o2djO3Cf+hPYd2D2DHwHhwl1oXc&#10;k8goMe7pfLuQ99Am2kD/0Dbzf0Re/xA7QtfAiP1SP6xK8nTsqOtlja/gsaDvZmnbUtGUMY44d/pn&#10;pay76xS+5FAM6mxzo0ZJLkfJB0j8ehDDHv3402T9A70D/Yp5ilR0KFZ5R9t6pT11g//oM3CC+iJj&#10;yCF9xB5nrZddov+xzgz/B//jE2E9LvlNkDf6PVnPTLdtPqzwlaX7PnCate3IF3YWbYWvDEfASHCC&#10;37yTevPMrbKPCn7hN8XeoZ3vyrPcx5x1ut8u1H2seVHekrr1LfwIfBInSR529ove/4ADtX+w98mb&#10;s3FD4KtHL2ZMS0VP+JNYd2iAf0DHBvBD3rFJ3jF58t5u6GD2sqiVOVzym4Mj0faBJOMHvAsPo99n&#10;Klup6JdtORiAXQIOIPvIF+MyeL5Q/Ka8H5niwJ8FtqxYLmO5jOHcy/PYBvgokTHaaDZAb+vmwwpf&#10;WTrvNdwDB6gf9QUnGN+oN22FN/FxhNvI//QV/nzkkfuCdZ2tui43nW8X6h7aGMxzXqX6Vd/CjzrJ&#10;B1btjh7XoL7T5uZTtI+gN0fgA92g/UP8Qyr/KbYL/AtfQgv6GQzi4D1HT5W9+CQWfJrmPw3WwEQe&#10;P8QvxB5S58q+fLQDvkUeGQttjCsUj/X0HewX6ob/jXpyQHfkCjkiJwvvoN7Y2mAEOGKyCM9in7Lm&#10;HfsFWyBTjPRhha+spzbxP3iHnoROhH4LZoQP6my4afjImTX7lJM/0zAywA/Wha9MOQ6mU6d83IO+&#10;SP/hK+hL+EEuDnKQ7dfYILlyyt2119ywRf/QV7QHHKcP8bX56MfYDE/a3Eu4j7m+8ML/1bnhg8i/&#10;LvEmgR0Tbf2D2GH8vuSONzmjj/Hv+GhQzDLmxtD9iB9Q3EfvkwM9gjkZ6m+Yh3yx1oL5Gu6xPuaM&#10;3Jns8R5rE8/YdU9nH1b4ynp6D/8zNpv/DV9wMl+Bd+CErZOjnrSTtqEPcz+2C2f0YmiELySdbxfi&#10;HurLEdStVeeH+hJ+tGjsWK3brb7ODRq0laz1fuo7fQTt8WlAe/xXvnHJ8iXjl4NXk/v57rvvdSWD&#10;StxkcoBsjc8l2vPa6EYHyXrCcln/MuvyVrdJ9Cn6FZ5kfqk38lQIPuQbzE8Q44buzkE/YOvj02Z8&#10;M16l/7iPHJMdbeu1XdxL+4gz5hnGAvo0XPd02+zDCl9Z+N3dXRMji/3CnGAyX+EvBtPRv/CdUkfa&#10;R9vM3sE24zlwAx5GZ+nue4X8z+oLfqC7Y3P2LfwI5l/Y56qmZqSMXQmfp9A73FeWY5L5v2Q+4jdj&#10;Fv1IzAG8G36Wa+KOq6qGufEjxXYRe6mpD+DHARLvRv7CuRI/praYtAv8YK1Ipr6BfPImuIYvAPqj&#10;O3DGd4jM4OsI9xv3GdbAr/QR94Mz4Ae8TCxF+Jl06+7DCl9ZOu/D7kLvpa6mR4R5i3xqtA+/MO+j&#10;vl9/9ZXyIv1Em6x9QXzqLH1POt8u5D2vv7pa24GO1Zfwg/iPk8Y3apzllCk/cB0e/KA9+DQYk7Cl&#10;sZ+TaUv/0o+MWfBuuI+55h3f+94kN0Tk8eTxI8R+iXZeA/SP/cXWKi0p0/xpGyUODl4EP/HrZyJX&#10;yTTL9W8wHl2ecRZ6M+6iVxBTCh7go+KbzCPxm3gW/qdd1kc8x1hgsWj4u3z6Znd192GFr6y7d9h/&#10;HcJ38BW+D/NjhHmLuXR48rXVq7VP6Bd0ZJ4xX4K1Ddsa/Ld3R+FsfERdkS/8APTBOeeen1j/ErX1&#10;t+QwNr9DsM/rfqNr1Ddx4YUXSbxXMBaF+4j2cKATogszD2a0p/3wF+MZfcZ4Z/wYfkdnR6c744yz&#10;XJn4Iw8UuSTepEXqwaF7z8r8cdTmZDT/R2L9LXPR8C86Mb4Da3+UzuwRpbggvirqavLG2AZvYluy&#10;Hx0yBM4w1xLuI5Mz+tBi0MAg+tf4PJ32+rDCV5bOu4i5oe7o9z6+MnwxmxKMRA8G500H4znyJ/Ge&#10;cC69dL5fiHugLTof8oOezpzleYn1c4dGbP2+7j2r623FB4Hsih3ROGKoGz5smHv9jTcUJ3w8BS+i&#10;z8J3pgvTbg7Wo9JnHPQnWJP8jk7RQVa9skr1HPK867fxo6ovVeqSOEdpTiYZP2gX4zLjmLW9EPzV&#10;m2/gJ2DOBZlBfug36k1cB/0TzMfMUgxM7iN+G+7Y/Yzvpn/Yuaf6+LDCV9bTe/if/B7Um3r58IM6&#10;w5foINhehnvYAdg7tJ1nbS4b3Yu+S+fbhbjH+Ii4HfCDtVW0E589sc+Rix+T+RbGfnJ+tAh2TBol&#10;8y4yx3D4kUe7DaKjE2+ezFdmj5iviv7C/re2o3OBK5Srziz9lfyOTRtER5b37/+DA8WnUOaOHtvg&#10;msZKDAiH7H0XrMs1vSga52T8gA8tb00heKu336BP0I/QE5EbfIrwItfMgTInyxiMrDEvQ3uS+4n7&#10;KWcc5F78C+E5+3Rkz4cVvrJ02gdWc9AGDl990f2RPeoLH4LxjGPmE6ZNzNlyD3RIpw3p1C1X91Af&#10;WyNCvVkzdv4FF+ma9YO79ouOhkwEeTcEP0Rmj5VYrvKyCsnRN8jNmXOLW98e+NyS+4jf9AH2NWOB&#10;jb9GP3QvfFxgKLzHvcnvoGyt6MKXz7pa7LoSt6vkej9lXL0elgNe18Z02VbFp5cPP8BI1lHQ9qjx&#10;IfiBzxD7BHqb/sE1soRfw2SMuQxfP1m/0Y/0NT5H9I7e+It9WOErM/7p7gxfEbfIuOTDD9qFbw77&#10;mfqCjdhr3GvjHte0HfxAJ+nue8X6L4ivlb3nwEjprxtvuFHWfFS4KUXMn2w2QYAZgTw2s95WZbTG&#10;TWwgX2GZGzN2nGtbt05p7huT4Cn6wuJv6Kdvv/22yy62vRKJwTWsMT60M+/tELq8/+67rqGhwQ2v&#10;GuKOGT9KD2wo1vVjW9kRBTtG88FKPhSdf5G6w4cLJZaT9rNWPmr4gZwz/4XMWZ9RZzvoH9a3EA9C&#10;nBljnfWPnekn7Sv5D1lE7ngvR7rt9WGFrywdWQXvmL8F62iH1dPO8CX/EfdCXD76IVjD/3Y//9s8&#10;TRRzx0Fb+oO2Yuez5ys574q9fwP+SPVP4luQmAt+B8dIzatYKbktiI+67trrhdboskFOCOsbO4Px&#10;XHO2HFzwIv1P28npMkf2rYDvzOa0Z+2sPCn6Db8vvEB0M/GjjpB4do6jZP3e9AkjXLPgCLkEgrX9&#10;zPEWVwfRfI6yfn/+vPnKi/Aq4wT48fnnf4ncOIZ82xyl0T18pg+Yp6DviD3FtxH+366RO3zk4Afz&#10;aaZ7FAM/TP+g7oYHVk/O6FG0GZ82fGjzF+F7uDb8iGq/gX/g+gahfVTwgzX56i+V/Rk0z5jKY42M&#10;+Q2uWmIxhg0b6q664irpl44uv4Wvjwz7kR/iyLAx4Sv4ifwS8Bm4b89yf3L/8R/l+p+sp9t7n30l&#10;nmyQHiNlz8xjxZZpkjkY9A5yGoF76hMp4jpd7BfWBJGPnnrjTwjkM5jDBjvTGUMLdU9P+EEfmB1A&#10;X1p/hfuKMg7iyND3yXdouJFue326hq8sHbowj8L8M/gRrqddM4dEn4Aj1qbwvXbN+E57oogf0IH8&#10;kvinooQfyB/7M2CvkB8I+TxkTIOsY6uU8b9S8+Kgd7BHrcVHWb+Ez9YH6B/IEbYmB31nuYXwT/G/&#10;L8aHd/FcoFcGOuh7a952Rxw1VY+KyipXPbTKHS4YMgM9SfSlGWMD/SPYX6I4esi+7P8i+sfvbr9D&#10;eRP+tHzStCUd/i/kPT3hB/0INpiOqFgufRPua8MPkzcw0/CDs1131y4fVvjKunuH/Ye/CR3E6hWu&#10;q13bf5ytjfxnv2ln0B5/7JJ9q1hncJk1xPitmGNg3wPds1HynwY5xwvA/6JrBGtbEzaKzoeKX4G5&#10;DRnPp01oEH9Htc59DBtRLTY9exKIXyNhU+g6WaG/9Un4DP3pC8qQG/InhP1V9DH3IF/h58LX4T6m&#10;fIPEg8DHHFfMmiWxqVWyV0KZ21P2fGuWtcDgh2JeYn/NYL5X2iM2TmDfBDRl36t8+UrYj489jJcu&#10;XaZ+LdoQ4Eer2gDF4rdU34UP0dOxo8O0t2v6CIzvqZ+4n3HB5+cpNH4g99SD+A3jQWtPumcwxfTG&#10;qPo/8Hur/iEyiT94tuQwrxT/aT73n9siBw+2iuDEyej+IlMtMi+K3/RkKT9U1nEMETkgt2k58dhz&#10;0MfbE/rAluNPOn0CH7KGAHuT/k3nmeR7VOeR9/Au/M3/+z+yvk7WmlRWVrptayRPiOAdmDEdfQT/&#10;qrQLTGmWeFnFD8XLQFfJF36wVqdC9t18crHkg5U6wr/BXOF39zVLJdOFLAc/gvwd7OHuHwuS+yH5&#10;N9jCQTxxpnFyPl3DV5YObYI1K5vnVJLrm85v4pMMP4idTgcD06lbLu9h3zmNeRMf5Eey99Js8Z9W&#10;iDzgg8sXf6uvIOEnsG+oz0DWl5Bj4ySZa5kke1JWDRmssbANjaPcNVdfLzpHkOs+Hdr77gHPkXt4&#10;FF7LlFfb1q+XcTxY679pY6e77NJWV1Mb7OFdO7xK9p+tkVh3oZ+0p4WYt63FvzoW/SShzyUwxNqe&#10;6/MkmZ+qkFiV5cue0rh+2mm5rrDdcsk/uXgXcmF2NHqGr+96KuM5+hf90nJq9LZuPqzwlaXzXvQO&#10;Ymrxu2XKZ/AqewDjp6Nt6Xy30PcQE0Hsjs1hPPHEYtF9y9z3JM4h13wdfp/JkvoJmP+UOZbjJO/v&#10;ZNlrpaqywpVLHbbbYUf3i1+cLeseiC1H5gNbI9P+sOfgNa7BkJ74Mvl/wyD6luftHexTfchhR7rB&#10;Ys+Qe2Ok+EUmixyfKG0iVhW/6hY+kf/P3pm/2VVVeX//A/2+kppT85ihqpIwJYRMzFM3ATIwCoSk&#10;UomKiIqiTIIiQoL9qjh1t1OrgNrt84igjbZ2MwmCIBDxdYAMVUm031YUEX27eX95v5997ipODvve&#10;e+6pc29VYv1wnnPPvufsvdfea3332mutvXcVMWSp1iTXKTbmqSef8vRR12gd4XYfp19rHktTHrES&#10;kR78eht2sg9Cz8xPsUV63632NExTZvKdEFaE0pLfhZ5tLRx+6VB906Zh74cm8xuGypqqNHAfGzE6&#10;n9Gz8/lf+PWmxGrH5T3X3wXZQZ44l+m0eXPcUFeba2mO/LJDg8PuesXR73pBeyFzHqXmLKxDt7Ep&#10;smdWPn8BM7iQJ+gFC4zutHe+pXwun4+e2atol+Z+1PV5xT+yhmj+/CHR0ywdqskdKyxeLRqZ10Cz&#10;17VMF6nCfbC7w3V1dak++4RvUUwB+9Fgx8c/MVX8Vqpc4reJP03bD8n34A10LHxsYGWpsor9F8KK&#10;UFqx75Pp2BVZs5isa9pn+Mv2PrV9QpJlTOUz/nHiH9D3GEe9fEpWl684zs1uadL61sKeOZL30cJZ&#10;96/DkYKf0sdP+TgN6eoeF7CLRvo6tlD2Oo723tFd4/E6nW93dF+3fCpN3tfImVVLlixzt9663e2R&#10;nz9tG0/X93Yp3vjG993s92XlbAn8qR2ajy3R3OZc2UV8W+CfVpuNMNcptNWo2sr2eOe8O8743Uzb&#10;671QnOsWb6eNfFTYWi5WPpR1yqlnHOCbIr6AcYyY26nkuWTZjGFcYAfx2x6ThcdZ+pW9lMFIvk2W&#10;k+Y5hBWhtDR5YdMxH0wWWvgGebS1yawNTFNurd+x9R/UFR2Ju62hO07jpj+zUfP4A2ye8TETWfDy&#10;gEzgY4j8DD4uE95nvbv+3yAZWS1dfpnkp7utw9tYGnTmwtGLj3Hvfvd73WOPPCT7xq5J8U/WfqrG&#10;d+g5Y8Lksd073Rc+/wV37vkXuQWLDpc9p9HVHVbn+jq63QqdW3Muvl+1D7bWzWqjqP2EF8JYm/eA&#10;GwfMfWLtz/tRvG6X26q4WHQd9jv6sOJjvCyqHuhZzMfBD9aP1JrHSpUHdvA/dgt0ENotS39AK7E8&#10;2ByIsS1VZrH/QlgRSiv2fTKdGFh8MH5tagZMpC3YGxq/FOt5k/lP9TMYCU+Bk/QZOjn48bOf7nBt&#10;kvFmdBCdLbtVvoQRxVmyZ6CNk3Yf0Z4Y+Eu4olgv7TMsf0M0Zmo8HOxwq+b3uLr6w9wbtE8Ya0ga&#10;Gupcj/Tr9914s9v9QhSLTNnEdER2mGzjTxa+q+Y3+JixoePXIh5h/9597qqr3uPj3xoVX46NAt2k&#10;RzbX4+fKVz3cIZxQG9PO+Gx0x24S7bXG79d0utfan/fRU3rcurlzfNt2dfWoLcej8UAxMh7L1L6M&#10;zfidpprvkuWDIcgI8p9lTkkf8h1zBfRp+DpZRprnEFaE0tLkxTuspQU/iBvIwmdgImtz6Tf0RsPa&#10;tOVX+z3mL+C14YfFYsFvl20c9XHsh/d2uwsH57mN0h3gZ+Nbu7Onn9etPQ/3uwt0P0t4cYJ8iMPa&#10;G6xFujT+1ybFSHQKM0444WT3nvdc457e8YxfV7LXr2/VGCncor2oQ9YxKEsfVesb+NnoIFYEfBwX&#10;rePycz0ufrrm2uv8vkQt+Jjka52lmNZW2UuGZXc6Ub6n9WrHS/y8T3YT7aXA/NH2DLC2t/vI0IA7&#10;XdiBz4W5yzvfebU/w9evaVJ70q7QCR8Sx15tvqo0/z++/LIfx9irNmt/0N7sg2j7aVRaB94PYUUo&#10;LU3erP2l38FFzkaBrgkeV38Yb6ShFwzCv52m3Fq+g54Hfeyri/0DHoceaNv1wi/dmjXrvC+Gs1Tn&#10;d7e7E7Vfz2rxMnuDnCn7xanghHRwdObh3k7XPrtZWFHvY5dYg9epeK/jjj/JXf6WK9x9937L50/e&#10;xH/B0/Q5vymT8q1N7Z6mbafzO943I3r93dMY8Y3HyQLdP/3JT9znPvN5t2X0zW7lqhPc7Nmtwu16&#10;347sC90u++sCxZUsUzsfL1whLuccYfla7SPAOZXH62zNOZ1806C4ndnujRdfOrGXAVgctXFULmPF&#10;dORD6gi2mZxl6VP2n2AuTh7TRf9AvtDvibGCB8APaOVKw+OGN9hh8W/XEhvSlGVn3xL7Z2NUvO84&#10;h/5//e1H3EmnnO6xgLgyzjIgPgR7Z0sz8RmN/urt63erxP8XXXip7Cfvd1/+0l3a8/wXwgZwIvLp&#10;WxvGy/hL/m38Ecl5pH/hv/niP37Jvf3Kq9yZq9e6FSuPd7Rt1M7CCLW9tT99Qexad49ssuddJNlh&#10;b4zX2w+sb/GPwsvTTQ9mfme23az8YH4K9vtKw/uhd0K6Rigt9G0yzdoY36at0aQf0uCGtQH8wfvM&#10;y7AvJ8uYymfoIyYW3ahYLCb6CDoY/kns9/D19dffpHNFblTc5S3ae+Mz7qtf/WftW/C0dIvIjmFz&#10;IOwYE3q7cMjzsNqikvazdjxU774tCvoJ2DounYSxiTgX2iuSe8095BNjLv21r37N3XHHJ9QHN7rr&#10;tM8TZ0vcdddXtIfB8z4WlrYPtdWY5JOywI9SZ2lNFT/mgR+MgfAyPJeVjhBWhNLS5G86ULR+Norf&#10;iPq2+F41ob6j3/BLEaeVptxavgN+mE0tVHfS4GtwBF5mHwxiMbBZ+KuABzZ+8i4x3YyBYA66R/Qc&#10;6Wv8X4zHi5V/KKcb1sJXXBOx+WpD+IY2p82wK/Ob97Gh+DaUfXSfLsuD/4mJ9f8lcMTyYgxjPKwl&#10;j6UpC9syfIi/Imt/o9+zXg2bnslumrLj74SwIpQW/6bYb+qADYR4G3ANvQhss76mT8rRSp/yDvhB&#10;nJbpNMXKrHU68xfmjGBkiBbqb5jp5yDwtOiBdsYMfAvoHZ5v9S7pjJ17dmuuJ3nw/mDdyZv3uadp&#10;t1BdDsW0qL32TLQNbQtewGdRm0b6iLWdYQnP3oaktXz0C+n0BWcBGM/F24t0xgD8o+jS040PGcew&#10;w2HbDdU/Tkux39gIWIsBbVnpC2FFKC2NnBqGRf4Txd08+MAE/yMbxeiIp3v50xzGYsTTlFvLd+Ap&#10;cJ+1mfF6z/wOzwMO1naxccDm4rXksbRloTugQ6TBD3DXZIs7F/svs99XVuygniGsCKWlocnqgW8J&#10;/ePb937Tj6nGQ2nGUXsH29B0tHsbfhg2Gm0z90MLP+hnbHGsc8IGkob/a/kOYzW6ETFkJjNpeJBx&#10;HOxgrSv6i+0NZfuOVUpDCCtCaWnyNT2IO3vfoRvFaYv/LkYrtEXrDrb7dXhpyq3lO2PSg73dW7pV&#10;GnqK0TmTPr3xxvqW8Zn+trGxlrxWriz28QYD2H8wLT9BF3M3sIcxnjhPmzeUKy/0fwgrQmmhb0Np&#10;1s7sSeL3+BMeUGe70tBp+z5Nx/UvEX5EsW3GY2lomnlneuNFsn8Yx0iL9lzbNq30D5Mx4uvBANar&#10;J+sfejZ+jXTo6AyfF3/7G09bVgwJYUUoLYQVyTToMtqIHcVOgI8ZPRB6rE9CtFkaNi1iO8H8l//w&#10;h4n8kmVN1fMEfhRsO1bvmfvBhQ/l+sv0/Hu0Bzt8bHw9VXyXLBd5Z198xmhbA4MNuRxdYAhnHoA7&#10;zH3IdzK0hbAilJasf7FnwxD2XKGOxN6AG2ntp9CH3wXb8GToKla/yabP4MehhRPF5A0dH75F/yAG&#10;dbJ8k/f3yAYYgn2XGHSwA73CdIwkXfF0OycS2w71mi7+W+piehB4wdwMHIAu6InTkKTPnpmPgan0&#10;W/wsrLzbP2t+M/jxl4Ef6MxgSGT/mF7zF3jXxmnOeEVXZ70ZeEedTd83meIeH7+JPSAGwfwTJrNZ&#10;ZCKka4TS0uZtOsOrr/63j01BB8EeCm1p8AN9kW+IHaTMydCWts6VvDeDH38Z+IEcInfMpdE/jK8r&#10;4ZVqv4veQLwQ47TtQxbHiTh+IHt2Md9hTmbr2ydDWwgrQmlZ2oIYdLCRekIXGBKnid/QZOnYg8BF&#10;aCM+xjA2S9nV+Ib6UF9o4lzpJC0zz4cOtpis4UMkfqwa/JQ1T5N37ujozF/AEOwaxeTMZA3dhJha&#10;3sc/YTKWdZwOYUUoLQut37r3Ho8FxMhZfyRljHTmbtyJqUA22es7qz86Sz3TfkNbY9Ol7b/z7ftm&#10;8EP4n+zPQ+XZ5tzsk212grR8Uov3TN65Mw/hnF7kDTkK9YGl2x7FjNMvvvhbj4uGR1nqHcKKUFqW&#10;vC1Ghb3+rP5J2vx8raCbcK4KdD3479+fNF1Z6pvmG3AN/Qi9thhNSRpnng8+nKFvGauxxdHXk5Gx&#10;NHxV6Ttx/LCzztH3qXeIL00vwa8B/3I2ruVhOkildeD9EFaE0rLkjS0UfQL9D5psThmXJ9LM7gPW&#10;g6PYS6BpOuogtAOxcdi9Q/0Up23m98GHG9ZnyNvY7l3eFoeuabKWRQ7y/sawzOR+p/aNBefwVRhO&#10;GB12Jx1+ZUzHngMmWr0sP3uu5B7CilBaJXnau9Eawe0eQ4rRBX38x4XdFNqIAbE8ptPd+guc46LO&#10;1j8z94MXK0J9B3ZYfBZxntOJD6lLXObhQ/R27CDFeNLr+dKnoAX9A50FTOSK51UpnSGsCKVVmi/v&#10;UzfW6KCDEGNrdtJ4f1naC4W9am+/7UOeHqPJ7lnKr8Y30ERMC1gfp2Pm96GFH4zVpuvjG60GL2XN&#10;My7z/MaOsf3WW/zYW0onBltYkwbWMLZnLT/+XQgrQmnxbyr5zVn12BtZ029YkZQ16GKvHegCa8h/&#10;uuGG1Yl6geHU1daIJ+mZeT74sQRefewHj3h+ZD15JTxfq3cNRxh7iSXFhwt+hDCENGjCd8tcJ686&#10;hrAilJalPGQNvQP8YJ+TkG4FXaTTBsxfuDiHKkt5tfgGmuAr5lk7dL7EDFYc/FgR6kNkjXMb0J/R&#10;/WvBW1nLYA0tdkOwAVpCcubTNX8htjvPff1CWBFKy0rbK6+84udb9yguLKR/QCvp3LFLgjXYg6y8&#10;6aSHUBcuxiPwg34L8d5M2sGPKewfBM9iK5jO4xlyAm4gN+BdMeyAJxmrsZHk6U8KYUUozeS50js6&#10;Vqlzbsz/gq8MPy/9RbyZxa7zfaVlVvN9fEL0EfMX5jH8Nn3R7jP4cWjgh8UT2DyhmnxVad4mF//v&#10;1VclM5HfgZhteK8YhsCfyBd799r3lZabfD+EFaG05Hdpnq2O5q8IyRe02rof4szMt2RjfZpyavkO&#10;9SKGDPzg7I14X4Xom8GSgxNL4El89NN1HSeyxcX4y9wF2we8xnMxnsOfhJ7C+fZ5xUaEsCKUlkVG&#10;DT9YC8dea3FZMxpJs3lNZO/e7uecnAORF41Z6l7qGzAEetAbZzDj4MQH479id/qVGCv2BzQ+LsUT&#10;U/EffEisJWOZ7acZkjFohJ7nFDvGu/gy+DaPOoewIpSWpSzqyGU+Z9b6FOsv6Abz0VXQsaB1Ovcb&#10;sX7s0Wr4Yfdi9M2kH1w4g2+NeQE6sfFxFhmo1jdWJ9Z6WCxBfCxO8hv8SewYNP30Jztyk60QVoTS&#10;srYDGADeUW/OtTVdIylvPHPhx2UOw/lu1kZZy877O+pDntCEXxo/mK2TSNKT7L+Z5+mNH9Z/2OGY&#10;A7DvFePYDx5+KJdxOm9ehAd/97sX/XyE9S/GXyZH9hy/M29BtsDGvOoTwopQWpbyTP536BwH5l1P&#10;/eiJCTpLYeWdX/yCt7liG8pSbjW/MZrQG8HEHfLhmv8o3lczv6c3XoT6B9mDL7l/U+MD+EH/VpOf&#10;JpO3nZMSl6sQXZZGHD40EW9mY+FkyufbEFaE0rKUY3UE75h3sadhvI9MFzH6uI/p3fu/da+XTcb2&#10;LOVW8xujifhf+sLO74GuOB0zvw8u/LAxgDvrwW2NO3Nu6/Nq8lWleVMndGDipXbtfKEs74GLFsv5&#10;5z//+aCYv0Ajeha+dPCDvZKQK2gpJl/898QPH/P4gQ5ZabtW+33jJc4eBj9Y2w3PzeDHwYUXSf6L&#10;4wfzF+TSxupq81SW/OFD7B7gXJKW0DP0se4Cuz8ymaXM0DchXSOUFvo2TRo+lD/96U8eD/B3ol8g&#10;a8Vkzv4jZuQrd34pNzrT1DXNO/Qb12/+8/94msBF+msGPw5u/KD/7CJmGp8otgL20bM+T8MftXoH&#10;+WH+jK4ewotkGrThj/6HT38yV3pCWBFKy9ouYB0XcW92VlY5WeP/r3/tK759Xnrp9xP00o9Z65HX&#10;d/E6YD/1+w3ILkx/0afJfpt5PjhwxXRi+hA/BeMCvkD4Jt7nefFRJflY+YzF9psYMHQkfBLl5Ake&#10;hD78hcQcxPOppB6hd0NYEUoLfZsmDXq5iLvH51lOnsZ27/K0Pv3UU97mans0gkHTIR7E+g/aI1/z&#10;dm+rtz4qR9/M/9MbT5AzzlNhbEffz1PXTyMvoXdsDOY/+I/YbOYu8J/hXjm+4j3GO2KxyCcvWQph&#10;RSgtRFeaNJM35iLmp4ZWMDOEm+AH6ayBQX/82t13HkCv5Zem7Gq/Y3v7p7HrlOvfmf+nFldMd0TO&#10;mGfjL2SfcvhtOvEcPslo7rLN1xN5sbqX4yF0KmjKUy5CWBFKm2yZ2H5Zy2i00k8h/LAzcPgfPy4Y&#10;gv3E8HI6jAfWFt/77v1eh7xH66xCtJTrz5n/pxYzku1vfYjeAX5gvwc7pgPPxevAPsHMXZhnISdJ&#10;OkLPjMfYg1ljlycehrAilGYyU8k9Xk9iUOkT/GFgCH1l/RWnl/bgf+J4iN1Bj8S/TV7obfE8K6lL&#10;Nd5lXxnqNx3i2A/AZfQ7XfsK7RzHatrc2ph25zfXmHwOY3p/XJf1B+9avqRF/bXXv8e7/Le3kM5/&#10;dkXfR897x1mTEZ1Lgl/DxgfS9+1lT0uVt+81GSAP3uOKyqsNxlgbUa7FQBOnCd/EZbcafJQmT/ie&#10;MZS6EHOKf4H2p43ifWR9l7yzNoSxOG+fZggrQmlpaEy+E5d1Yl3Aj3gMapLG+DNtQvwHdlfkk7zs&#10;SpYzVc+2Zwn7DlD3WvJ7vK34Dd8jA9yJt7G67JdsksY1JpndI3k12UV+jf/2jkff71PsA/IMPtD+&#10;4DgYsc/4tHDfvesF5anzziiT8mMX73Pt0fdjyvfXvyZPxccUvuWbvSrD8IeyTRaoJ3UyeU7SWa1n&#10;yrS2gOewi/MMb8X5eCp4DcywOlAn5Ii91n3fqJ/StImNdcTDWV550BLCilBa1rIMu8EN9CdiO4xX&#10;aIsk7fANaZ631Db3FPZgmI57ov7x5ZfFZx/yOggym6Slps9qS9MdwAywgTaEx57/+c/dV+7+J/fB&#10;99/s3vrWK93Za9a7Y5etdIODQ66jo9011Ne7xoYGV19f5xrq6t0s3fv7+9wRRx7lTj7ldJ0r8mOP&#10;B+gOyPcNN97slq043g0vWORaWlr1vb6LXY0NjW7OnDnuqKMWu5NPPs1dfMll7uqrr/HXhz/8Efew&#10;9O+9YI/qzAWeRf0tfUj19VhTwKCatqHKRM/HTkC/soZzOuAHdTA5wu+CHsH6MPqCPqHtyrVTdB51&#10;FGt2MOGH7eMBjczZ/u173/W0Gu8k6aZNDEO4P/v0j7180m7TpS/jWIquS39ydk+Sllo/M+bvEv9/&#10;+7773M0fuMWdf8HF7vAjjnbNzbOFD42uqaFJct7gGhsbXbdwY15Xh1vY0+WO6ut1x/T3u8W6L+7X&#10;74EeN9Td6XpntwtTGt1VV13t9u3XuhD14Zjkfs6c+e6wN/xPN6ejxR3Z1+GO7us+4DpSz8Ndna6/&#10;vdPNbmpxdXXgS/3E1ah69PUPuBNPOs1dfvmV7qMfucM99uijfr5Fm0FHhCvl5SLPNobfbI0ZOm+8&#10;n6f6NzJP3Gg8ZszaiHu5dsBWx/hN3JJhUR40hXSNUFrWsmwNC/oD+IH912gN0Q2emt5MfzKuMz/A&#10;90teedKelab4d8TvMFZhqzG6puJOW92+/SNu3vxh9z/+6g0eJ+ols81Nwoy6Wa69rcUd0dfuTp7X&#10;4y6e3+82D/a5keEeN8o11O02D3e5TbpGF3QpvcttUfq6wTmuqbHOrVl7rtsj7BiXnvD4Dx+XftLg&#10;WqRvXDI8z40M9epbvn/t2rqgR3noeWG326Rr3dAct2pgwF/gUkNDvfJtVN0adDW6ej036Hnt+gvc&#10;Aw885McP+p245Vq2JboP65qI0Yz7KaYDz1EHxih4jXUsY2of5Meucu1ka1+IpzJfRJyPs/4OYUUo&#10;LUv+8XriQ0EvZF1tOVrj/9M++En5lvNk8tS9stAU/4a6cFYNuA6+I8Pxuufx2/gD/Y38/RzF2yci&#10;++P993/Hbdiw0Q0NDUsuG/xYz1ykt71D+kSPO3X+gDvPY8Xr5Twu8xO/h8AQYcoCyb/kvrN1tlux&#10;8vjCXHvc3X3nV6STNLie1pYIMzz2vIYdE/nE8ARssgtc2jDc586a3+NWze1zQ11trq2l2c+fGpVv&#10;a2urO/HkU93t2z7snnrmGY0fOntdPLBbes/43sI6AdlL9us38x4/35G+Mtm2pm1pa3ADmzgxqPQ1&#10;fTwd8OO//uv/ej0XXiM2Kg290OP1eeEiexZiN4GWPOkJYUUoLS43lf62OoPr7AmXhvb4O+zLhu7C&#10;HkvgUKXlV/N96kPdiJelr+L1zvW3MIMxGT3g4YcfkU1hoxseXuTnBC2Sv87ZrW7xQK87a2jAyycY&#10;gKxulj4xulDXcOcBOkJYzrv1XrfXS9BBRof63LzuDrdg4RHenwN9t35om2uSznBELzgDLqTBJfSR&#10;3sIV6SZe71HaqPSX0eF+d6Ew5aR5vW5QcyrwDx0Fe8yqVSe47bf/reY0yELky8G+Q1vk3d7IG3JG&#10;f7LnqY1Vdq8mH5XLG92DesVjqMrx1wR+CBuJv8JnAy150hPCilBaOfpK/W94RwwqvifoKkd7/H/e&#10;J/b2tls+6M+9KVVWLf+zfsAGUkksYJy20G/otTZC7+DCH/voDx5x559/kWttwy5R59qam92R/T1u&#10;9SAyaTqDMEA6xIj0ghE/F+EZOe1LhR9bvN7R53WQLcKg4a52193TM2GbeNdV75Fs17kT5/R7/BhN&#10;gR+jQ8Iy1YGLuQ26CNgzqjs4tdnrMNSPS/Mr6UvHzxkQlnQJS8CRenek7Di3b9/u9Q5ww9sNC3aS&#10;UBtmSaPNWY8Gn8JH1r/J37XkMcpCfrDHMHfBDmi8UYpG4yHait/wJ7KXd91DWBFKm0y51g/EkoKf&#10;0INMlKLf/rO2Iu4F/Qs7yGTqkve3zNGIjcOGOqYx0eo9mbv1PXnQ/8TMvOXyt7nOji5X11jv5sn2&#10;uXqw310GJhSuLQs0vktOTa/w8w/J4gjzEa+HvPafvRO6R/Is+wh4JF3k6L5u4UWT6FJ/qd9GN79J&#10;Os8st2ZwUBggjIqVGcrPp3k9JZrDkD/Yttl/V6iT8iEv8GQzcyfhCGWjO10ifWppf7ebLR0LW+4x&#10;S5e7++7V/F/tgp3M+GMy7c231ubEeH/j6/80oePDu3blzTtp82O/DvgLnzLzqjQ0Gz2GH+ju6CAm&#10;i3ZPW4di74WwIpRW7PtS6dbuVld81swtocnP5XUv1+9mU8D2Qd/yPW1jeZYqvxb/MTYQD0j/4qMu&#10;R0/of+QA+zJ0Gb379u9VrMYe97GPfdIdvXipZEc2DeHGmbJ9jqAjHGBfyO/Zz1+8LAt7FvW4pQPd&#10;snU2C+/VV6rfyMgWb5td6zFAWOCxIb/yk3ShV4EpFwsn8Qs1NzW7ZtlazzrrbPcv998/US8/Hnld&#10;TfYS4UGlF23/i5//zPOXnd9eC/4JlQFvx22H8BdjJ3sppqULeuJjNPzJnkih8iaTFsKKUFrWMpAv&#10;wxFiUIlh5/yUA2SlRH/TBryLvso+beAH566Qp+WdtW55fWf7PhPbl7Z/D3hP9IGpzOmhd7dshjt1&#10;XXHFla5FfpO6WcKO1ma3ccFct3Go020ZTGNzyCjT4IIwAZ8MOsHSfuk8s+rdv//b930d1649z+PH&#10;Bd5ugb6AXpGxrBTfMffarHp4W47suSfM7fFzmgb5hfv657qnn37S1wubiPfdqQ0PaNsSvJV8D7uk&#10;xSjlxRuV5mPjIrxt37LHjNdvNc4k61zsOY4f8BVyYz4lK8Pyn8w9hBWhtKxlWDtwx8cJfhAXjN08&#10;jo/F2sHGY9oDHYTYQM6JieNz1rrl9d2Y+ofxgXWbxegolQ6NzFG4+7hzzRVuvOH9rkVxG3WHvcHH&#10;aFw6xJwC3EDnr6LMgh+Sa2woW3RfNbdXeNGouJ3ved/PWWet9fhxmeYYXqZTYMDk8AX7KvYS0a05&#10;D/dT5w14ezH1OuaYZbILPernMvhjwJFSbV3sP/gL/GeOgB6SF29kycfGRr7F3wp22N4XyIzJRDFa&#10;4um8b3oVe7STJ/nnhSEhrAilZWkHq6t9C26Ag8ToxGks9Rv66VvaDD3/HsWj4stF358uGEJcD+MW&#10;dStFS7H/oM3HfGuOQEz4299+lWS03vVpvvI38+Z62+jIAvwn2EEZjwt2gyrKbiSvXe44jx8N7vuy&#10;P9EXq1ev8XOprR7PCjaLKtZjZBA9qMdtEp5FehF22263QXoP/l/iW4aGF3rbMuOsxa4Wa+ti6fAY&#10;sTz4OPI6W9r4PuudMRdMQ2aI22bMrcTmA03QazGYrCOzuhws+EF9ra6RHrXN2wvQ14v1ZTzdy1YB&#10;Q0gnbpc+roYuZm1b6R36sAt/8fOf9TSZbpV2nNirthjfo3WF6u9rr73ex3H0dbTKDyF/heKvvP0T&#10;myJ2CV2Rn6I6cwZvtxQeILPYXlfO6fXxqt/713/1OH6m8IM4ky2yR3hbq9eHqlMXrwf5/M0XTTnY&#10;gwttojqcNFc+GtlDFsrHjJygv8XbfWxPejs9Pg7040r7P+/34ScbG/EX4HdFXrjABMOFuJyEftu7&#10;0X6g2yZiWvKsb0jXCKXlUeaLv/2NH6dtv4wQzaE0awfGP/CXNiUmldh4a+c86jeZPIgbwL5LHY1/&#10;0/YzY+au3Xvcxz/+ST+e9ne2uUs11x8hfnMQ3b2K9o4yusMq4Qd4gf5B36w+a42Pz9iMHuTnUdXX&#10;hUrNf/BLnzhPNl7pIcuWr3I/+8UvfT3pB65K5jO2x5XNuSfDD5P51sZb+Id5se37aeNSGr7iHWuD&#10;6KyAbV52JlOv0LchrAilhb6tNA15R88nnhQZS9MOSTzhG3y55ENMTaV1qNb7VifW5DJO0NfJuhd7&#10;xhf5jXu/7foHBnws5kXyzY4Uxn9sEN4HUUbOS8nYZP6b7vixSe2EPnJsf6e3Fy1adIR74okn/PyW&#10;dt2zu/ze5PQLfcY8ARt9tXgkTb5gh+EHsR7UCZ0beUF/T8tXhh+Mt8Suo7NzXgx1sPzT1KfcOyGs&#10;CKWVyyft/9g/8UNX0g5xnKEdsaMaDtn6vLTl5/lefJwiRpY6ca5DpXrm86KnQzFa9VqnslJxU8g7&#10;cwc/39fvaH1K9eYIpfBluuMHttVNmuMQh9I+e7abVXeYG93yZrd75wsFn3i6+Qs2RmynZmPMk0+y&#10;5IWME8tmOi08xXogw4ViY5Glm8ygg9hZNtVYTxzCilBaljYIffP3n/qE31fMxw+KNqO32B284LL/&#10;rV3QNbE52Pq8UFnVTjMcZw7Fum8wHl3R6hqvt6WF7pdffoWb9YZZrrut1V3q9Yxovj/CvAX7YZVt&#10;DAc3fjB/4uqVPRUMbnS9ff2FNSKyH6bgMfoE/MfPYXtVVZt3SuUPX7FOlrkLsWzwEThQyfwFmpAV&#10;vmVujc/B+NXupeqQ9r8QVoTS0uZX6j3qzd5w7CGPv9KwICRT5dJsj1vWr5Gv6QJ5tk0pWuw/yuNi&#10;HQz6B1hPX/s5jPouRCNpXOiWO57d4Tq11p35++nyJ2yUn8VsmKXkunr/KY7V22gjHzH2U9bfP/jA&#10;g6Jpt1u77gJvD7lUa3O9j0bzh+rVJYXORV3li2Get0k+ocP72I+kwV2yYZMbK+yBUo6X+P8Bxbcg&#10;r8wRrG+n6s6YiB7EeJR2rVySRuM78AO7Pus/oMf4NS/aQlgRSsurvG/f+00vZ/hfkbMk3WmeaRPw&#10;h/HC9ldmHmMYklddy+UT7wvKNh8M/r9ytEHDPvlrN4+8ycvnYq1H27JAMR7M571tMoXseF0l3/dY&#10;z8KcAHncqHF9cV+3929EPqLdil/f6n3L6xVXznr/rR5r8q1DJXiEbubX/ihuxd/lp5ojv3dne7t7&#10;8qkf+33R0vCUneX2yiuvTLlNHvyAlxhn09Q99I6NUfAh2MHZL/AzPFuOryv5P4QVobRK8iz1Lmf4&#10;YhPCTuBlSNgfor9cGu2CLoNextw1Lst5t1ExeuJl8g5rcLHvUHf0D+42DsTpoe6kP/+Ln7nevj7F&#10;ebQqNmpOYRzXeD6lY7rksYAJ+GiXaE0v4zn1Rf/YNLJV+xA1unM01rMuDgypRN7zfxf7Kb6ggo9K&#10;ushq6Uas8bviindonUy6MYoYT2R2OvjziNOGr/FTprUTxvnLfts4C0/eo9ikuFzkNdaGsCKUVkyG&#10;Kkmn/uAGeiJtFJIto73U3b5Dt0MHoX0YN8g/r3ZJSxflWbnowGAj8fnMTei/EEaSxv8f+MAtmq/X&#10;uZM1b7c5fCQHUyeTjOfEnnpskI6xqLfTdXZ2euxAB7nyynfKf9vo9yGKdJUpnr8Iv6I6ozdFdcee&#10;2qV9RIaGFyge5DXbWSmeIsYCXZa+5Erb/3m/99vf/KfnIfiIM1LL6bHFaOI7sAe7HPJGvFScrrxw&#10;MoQVobQ82on6s34QmcemY2N0sTYolm52JO70+/Zbb/H5Isu1xg9rF2iz9RNxH0yo//fv0z6Dimta&#10;u2adtyVcOKg1LQvxIUSxUfmP0eH5BXYW9gfbKN1/k37zPCL9f5Pqs1l7cmyaP+SGe7rdfN3RPfZo&#10;znj9tdf6/cJWSi+J7B9RHIj/rW83yt67aYrnNOhES7QXY6NieB986MHX6bc2/sA/4Dg+920fusWf&#10;hT5VMUXwD5edfcdae9NTi8lBqXSTLXgReWP/U+PVPO8hrAil5VEm7YPdAjtjln1Aku1F/zNmoH+w&#10;ttfqSDn2u5b3neJDxg18MPCoHwOwcyTmaKxlHRd+LNT+w+zvRZwYe214n62fx9dI/1BZWzVW25oa&#10;7B7sR8geIFuwSWp+MqerxS1adKRoYc30fnfbbdv9PqqHSy/x8fT+G/mcsdt4XaC2GBjCWvZLOlVx&#10;/3Xyh99884de1/4T+KG+Qc6wwWOrfEz7q8AvteQfyrIxj9/wM/tsETMG/4TGnyQ/hZ6hkQteRP8A&#10;l6ohCyGsCKXlUTbt8/vf/87P7aApRHeaNGtT7vjd0D/QQ/CBTEU8iPGb+WCwxUEHvGm8GqeLsw4e&#10;e/SHfl+co2Q39TIgWcZmiQ4Q7esV1hlC8pI1jT1KwS0v98KLKKa0x50rW8Lpc/vd8r4B1yK/0MpV&#10;J3g6iAW/+y72L6x3XW3N2i+s363WfgKXFuy9vu6yi4wU1sZkrVce312kfRvZX5X1wvG25zd9Au9Y&#10;3zz2g4ejeafsaCbLefB72jyszJf/8Acv68gGMWPUjzEyWf80zzZ3vkd2D8Zr8ktbn0reC2FFKK2S&#10;PEu9i20ZrLd1jmnaIvkObWMYgowSzx75up6sef/T9+CHYQg2c+pDnY0/k/XfpzWit912u/waDe6v&#10;xeemdyB/0V5c1ccOL6PMM3ycWo98LQOKXevTutY2H59OzHpzc4vr7u5xH3j/B/36PnR99jhZseI4&#10;1ySbarPW0LMvSXOz1rBpX+R1spf4fZOneP6CP3erMLCnbbZbIB0v2f6GHYYj+ASRWdZXYBeo5Rhk&#10;2AH/2BkLxMBSN3yU8Hey/pU843th/kLflZLLrP+FsCKUljX/5He006c+/jGP96x3qqQt7F2TS7NN&#10;Mn9lDoMNnfJMlpNlV+M53v/kb/tnMm5wGc5Z3aP7XnfhRZdoX406dwF+DMlbdNVo3gJO+Uu6h8pe&#10;L+wYaJ8tHGh0g0ML3Ih8tB/96Md1DsS33C81JkdyFvnJ/G/tL/CjZ592X/7yXe66a29wp5/+19of&#10;rFV4WO8W9XS4DfiSCjQxN/K4OFGmlV29exTv36WzJdgrpNH99LnnPJ9ZXyCTNj4jV6yNJ87T+rIa&#10;fFIqT/iVsi0mkjk+daS+xuMH8k86n+XY7l1+XGVOjd5fqg5Z/wthRSgta/7J72irO78YnWuL3pil&#10;XZLfIKfs646eRnsny6zlM3tFUQ/m0kX7Xnxx4omnaK3LbNkap9B/oTnTes09mpp0ZlRdvbv8zW+V&#10;fep58W005kV7CqTwf2qsZK3GsLAHvWWRdBHiySObahRPksecJG0efl4mG8hx2qMV/Lj7roKt3uYD&#10;BbkEC7mIiWZPGWTYZLmWPENZ4Bhrf4k/9Psg6Rk+zzx/kUzgB4QXwQ+LXc+brhBWhNLyKBfdkP6x&#10;MRqeS2JBlmd4gDXKtD/ym0dds+bBPBNd2GwgNubF6UIuFy8+Rvp1+0SsRVrZyPM99iFdqj0BZ7e2&#10;uSVLjpVPSGOe/CzgHm3KGMg9XvfQb86F4TzKj9/xCfmjdYaEYi/eWLCBpNofNWfdxPtxpf+cLtsM&#10;e7nf8bFPSD4jncPOpjK6GKORL+yV8CZXXr7NtDxEmcRFMaffofMlwQzqRz+E+CfUB8k0vo/2xdvm&#10;5SJtXSp9L4QVobRK8y32Pm0VnWWjPpPPJEl3lmewm7hjdNCpPjeMusCPjGn0Yaj/SZs/f9DNV1zF&#10;1MaKyUbQ3ubXjNxwzQ2qa6QXgxvMveFffpfrE7AD+dy1e6dbfuwKr4OcNj+Kx/AxoZLlPHGvXF7g&#10;xyZh49naPwX8uP76G0VHdN4DbR8f01nvgtzipyjGs7VIZ+7NHBw8o72Nd0L8U64/+J9+w3eLXRCb&#10;XLVoCGFFKC3P8tm/lDGa+NE0bVHuHdqai7VGtNdU7h+Fnght6ELF9spGTjmX4AjFKEzETeY8BpeT&#10;Mf4/V+ckcA5Et9bfPPuT58Rzkc5s8xZ4l3Yt1/6cablfvt2xPbvc448+5GbLBnuE9++a7aO2dh1i&#10;3zhv5kLpQPXaK549n/fvi2wJplOZXHIeETyDXRger7XuQZm0MfyCzmq8TD2Lzn+FD+X6BIxkDQ1x&#10;Ldh38pTfeF4hrAilxb+ZzG/6B70KGWNdD+M18z3aIw2vhtqN7+AH26eNM3apI7pOrW1ilMdYAn3F&#10;9lNmvG6Qnr+4n3E5ir8Y0Rku/kwD8X6UVmbMxm8C5sjXEMVdlHlf7+KT8Lq9x6pe+V/7fCw651vv&#10;VUwb+58l29fkzPg61EdxPuf9Jces1Fp6zqfjHAZkOa2Nh3cLbSL9IbKflKYL26zfB01rlcEN22+Z&#10;drlI/iDOodo0Mup+JfoMO+xOXcEOLtbGwy9ck+Hvct+ajSVejq0F9funBfog2SdpnqEN+wC+l2ru&#10;aRLCilBauXZJ+z/th30ZvCVmw7AjzoNp2if+Dlhr37NnAv6dV1/97ynBD/jC9olnv/24rmx1Bj9Z&#10;U3K0/ANbFOfpMQAc0MVvfBeGK8XukWxx/lIULwKGRPuBFb9vKMimH59lN12svdUbZF9kbzFiS61+&#10;8Tt4EW/f+H/2G17lisbM/Trj6mLlO0vyK5nGPuyxrni9kvX2cSTQ478zPC1yB2c8XdYWlAdO9soG&#10;M1f4WOfWn3uhX6tIHeO00A/MeeFFs83VQv9ABpAXysJXDL/iZ7X2zONOv2GLZRxjrUha+az0vRBW&#10;hNIqzTf0vuH7H156yeMitMFzvl8nYSsa2x2dJUw+EZZv8zGF1MHKDNWnWmmPP/ao7zf2SaJOSX54&#10;9plnXHtHh/wvLYqbaHfD3V3+GtI8gnPrD1fMONhS+tI7vd2K0+5xywb63Sr5Gspf7JHRp7UrA+60&#10;+TrbVjrC3HmD7tc6a2a/dKJkPe0ZGrhMB7F0u/OfySV2qBtvvDlaU9zX5W2YK+forNsU9cNfwrVc&#10;cShLZNc9Ut+XboOojTi3c4HO2RyW79i3Z69+d7dqHa7W8sunvHEj85dozZHHw4J9GJsH/gn0xVrz&#10;iekhxCyj/6ArFGtfa+dK7uSFLRAZe/KJxw8Z/DCZhS7sjKydnWy7GX+jg/xc62sYT0xnqzVfUF60&#10;P1p0Xi91S/b7nvFx95Y3Xe76+6RfSw9hr3XW0UXXLN3rvd0P21/RS3aLJslGk2LQGvSbvcsalEep&#10;q1m6fL325+Ib1obU6bs1a891+7BfiN+weyTrar5E6OA3eJ98h2ePIQV763d11gM2EPY0QX6bREep&#10;ek38Bx26oIeLOhalv9A2nG3F+XiNujc16Iw6nZXTqOdmYXO9dKvhoUVup9ah/Vy+TPaZZb5MfaHX&#10;9lvH92JjjfFnte6GG6bncO46coAuhM061LZZ0ugPcBFs2vHsM4cEflgfIWOcpwdtFkNm848sbWVz&#10;IJNVdEG/N5l0Q9NLq8UPyXzhD/aOMr+76UbGs15Otaactfuf+9wXtN/6DfIP3FS4bnTXXfc+97a3&#10;vUM2v9EDrs2bt7iJS/9tVozX6Oib/P3c8y7UeWxr/d7G7G/82kXaWnem/0/3c9b555NOOd0ds2yl&#10;P4vhfz+3w/Mse4WG7B/UlzGS/V2xKxkd8Tu/kUv6kPexw+IzXaYyjl2+0p25+hxfblSXNaoPdXx9&#10;fc86O0rjvmHDJrd161t8G0ArF3bQ17ULbaHrmvdeq7a7wd1w/fvctdfd5N773uvdDTpD53GNvXuF&#10;1+gf7M1uehb1ZB9e1smb7wW+TPZn3s9WBnd4Exsg83hwOWq7MD7TxpVcyAI+QGQMe4GVmzc9oblK&#10;KC2vco0OMB8ZQ9eHVtqOq5I2snfNxkAfwMPogmA6ccl51buSfMAQ+g76OPPGcM3og5/HRPNe1dWP&#10;+dBd7tJeWsS97+McetpL/EScF/EaYBRljOs5fu0pjLV+7x/5VvGPUM54IX2f7EbMN3bzrPSQ/kEb&#10;Myek7uiKxNcY1hs91g92R0bH9T6YxPp56KVMu6j3fsWwxuvKb0/POPqBdDY9c+Hbgd6obinaydO3&#10;U2N5FPvr66J6wBvkH92j+RhnSrN2Cp21kv6dzLumf5AHvmP0cOIY4GHjE2vHydyhE9sp+IFteDJ1&#10;LvVtCCtCaaXyqOQ/ww/irJDx732HM0yj/jS+rLTdkB++sT7YtfMF327kD49bmZXUczLvUp7FAzG2&#10;0ZcmaxH/jntZ/LtP/7175zve5Ua0J0+5a5PGXsbgi994qTtbZ7Cs9mN6pGvYuM3ZTvHrnLPXuVOk&#10;ayxffpw/28DrA9IJOOfgWN3POONM6X9P+fa3cTnU9vgBSYcGfls/8Wx0xb9D3rfderv0jxUqZ4Vb&#10;6q+VuqOPrFL5x7nlK44/oK7U+yzpJZ4W/T5bOgg6FffVZ57jzlmz3l22CZ0sRVtt2iLd7M3SR25y&#10;T/7oR5FcgiseQ6L5JL/hD+a61ZSvEB+BIX98+WU/viDjyAL1QY/OC0NY04FuxRiGLyFUjzzSQlgR&#10;SsujLOTKZJm1qmAjsajF+DDOk6V+Gw/TB/wGT4gtYR20nTOVR/3T5AF96KXslQ9vsCeZ0We8sVP6&#10;5KrjTnJt2uOmof4wXdgwSl/YAbBXcOGT5MwkYsVZv8adZ2K1D7waXJv2JO9qa3O9inXt1f7MPe1c&#10;ba67VXFjsi8gz+gJtK/VL97WYAUY6NtVOgT4wW/eNbri7/P7s5/5rK9Ha3OzYmxVdnuHj7Ul3jb+&#10;+8C6Nvr6QI/RAl3+gkbZhLALlWsn/udMOtqL362i/9Of+jvpI5FsUmdowiYAfjB3MFtEmv7N4x14&#10;BL0b/sBfSJvF2zTZnlmeo/MAtvs1NXnUuVgeIawIpRX7vtJ0ww++w2/FWhh4kT4N8W+atqPteY88&#10;rB/oH+IK4Q/z5VJmvPxK657mfcufO/oxl9lnfB2lpz6m81qRk4U9nW6tYhQuUnxEueuN3h/Zo7Vp&#10;UcwZcRW2Vve19WkH+kj9ul725MAn7H2c8gvL3xnFvPY59vBobmlW/fZrjqD5tfoh2d70CbJGzB/z&#10;GGzDvGP4Ye/7dlc6GP7Wt14p2a3XHod9vlyLOZnwy074Zg+sr8WxRO+ZXxb/tNYH63qjvivXTvx/&#10;odqI2LEziF+X/fZs6S67d0lHLdBH3cFB5g7YL9P0a57vwBvsf4NugE3Jxj3a0HjZ2jXrnf4if2zE&#10;edY9mVcIK0Jpye+yPtN2JmPYh8Ffw4282s7ygz/QcZjjU1/KrfbabKONO7oVYwz8YTYa7IzYs5o1&#10;Ni/pFwbUcP1cFJsFhihWQjEmy/qJP53lPvOZz8v+oX0mAvgBJlN/+JD9OEN9BG3sLYSN4vlf/tKd&#10;fc56H5e2QfFjHrcs1s0wrOp34k663MXCL3DsEsXH7RF+RPaVyA5JbA76B3sEWp9l5elKvkPXYa9N&#10;5haMbcxdsmJEqe+wd8P71T6PIoQVobRK2qjcu8z/eAf5og0no3sUa0N4mrgZ2hCMh0fsqra+avTR&#10;h/AJ9jkbY6gvMoguDn5sIu606vJEPBpxmtGYbuP7SYoFqVd81XnnX+TrRx1D7Um6/RfCD/Cay/S/&#10;JUuXa86kPaE9fkBfTP+pAa3Rfspd0lf6/Dxm8+Y3aY5mY3s09yI2gtgxxhPrr3J8m8f/8OAOrZED&#10;u9BNbawLtftk0vBPwPus5TC+z6P+yTxCWBFKS36X9TlOi525gb0zz3aM83jclwufUH7Wuqf5zvLn&#10;zpoK+pC5FHMY6oX+MS7/bXNTszvSx68zH4nku9p31tuy3xj6Bxhyvvb9IOakXXaJ5579ccG/c6Cf&#10;kDobLhhOJPna/se/88NHHvR7gRzeE5UxFftBR+dfdLnzhB/YQPBz7x1jfgt2RPiBf58zDWrBE3G+&#10;oTz2KIQv0H1ou2R75vFMGei+8bKr8TuEFaG0PMo22bK80K2Yo4HHtFlc7ifThvSJjYfoIJSB75Fy&#10;qUOyHlafPO5xfnzxxd96PiGO2OhBL8LXMXfufDfY1ap5RO3wA8zA/sGeQawZYZxmn/Im2V6vvvq9&#10;bo/W0Fo97W7tSN/EdSj7n7tfdyea8CXj10FmT1WMK7H4W7wOUlv9g/h19oNm/S321+sVU7NvnHkY&#10;cXL7/J7k6IXMx+CFauujcb566aXfe37Erk7b5TluxvuEcRMbC2XDk/E65Pk7hBWhtLzKjMuXnfmI&#10;r5N2zAs/aEfy4sKPBQ7fo30gDTuqiR+Wt90/ecdHHXYewzTqBK3HLD3WdUh2OSe72npHsfzZK/lE&#10;nR3BWpWe3j73wCOKxQEHPF/vmbA5Ej/yq19pnCxgiOd5/fYxLIpHGZPtlW82bdysvOpFV5PO4RyI&#10;zoHwttsa0+htzN3ulPman0m/+tSn/0HY8doaB/YSZkyptm0AmTE+ML5nTSVlE1Mel/fJ/DaeMh6j&#10;f5ibwfNWbl7ym8wnhBWhtOR3k32mXcFifCTEeeWpx5EXbWrzdtahMN985Y9/9GNNtccb4xnaiBhH&#10;8Av+oD5+T0uN8+vWn+fn5hsKPopiMl7NdGyMl0k/WDLQ55obm1xPT69797uucc8++6zbA2YQTy08&#10;GVd9fQyY0oyOX//Hf+hstzEf3/WPX/iiO/W0M7RvELHq9e507X0erWGTnsN6Yr+muDZzNN9erMOV&#10;H2ap5of4cR966GHf9lEM2riPOYIfmFPSR/H+mixfx7+P58tvLvbGxeaHjFss/WSww74lP+N75kXo&#10;V8T6UWY1+T2EFaG0eLvk8Rtc5GIeyB4MxXRja59K7mAHF9/QR+xLiy+GWFDqXu0ztw3z6bvoTKlt&#10;3u9pNOIPIg6qSfsOrx/U+tsa2T9eV47mMeyzM7pAGKK1uPg66xsOc22yfZ5y6hnu7e94t3zNP/C+&#10;I2w26Iv7hc2s1f3GP3/dvVnx5UNaX8Ia3jrZg2drXc2Z0mdG/ZwlOgMiOlOytvoH/l7masNaU9es&#10;dTHwAPLFBU8wLqMDsFcLfZQHP4fygA8snXIYL+F3bBPUhbi1Svi62LtGFzwPhjzz46f8eImOY3Jm&#10;9cj7HsKKUFpe5Sb7C/8t8zSTrWJtVEk67Wn6DG3KPj70W/yMmLzoCeUDjXaxLoqy2V8RGqDzVxrT&#10;b/ngbZLXBq2DLfg4pwBDGKO3Cj+wp3LW7Ynyx/QqtqxZ9ULv5+wG4q9uuulm1Vuyp7bE37jkmBVu&#10;1mGsbSNerd6fk7Cop8etGxxwWxbp/G/tPQpWIcN+b46a06YzwEVPt2hZuPBwP5bAEzamwG+sL6CP&#10;4jIe6ss802g7eIExxWS9Er4u9m6cNvJF76Ac5u551j+UVwgrQmmhb7OkmVzZt+j3xIliV6Qd/j97&#10;5/3nRXX9//sffD+yLMsiCywdpAiCWEGsqBgLxAqKBqTkE/zExAJYUWHZtbfYUyyJJhZsEZFERUOa&#10;qMRegKXEmkTzSFRiyfc8z7zP7uyb+959l5l3YeeHecy873vmzp17zn3d0+65mfoo33LrW2ztvIe4&#10;12LwDN/JN7InALKP6mjyjep/EZvBmjW/Vzsj6+81dwcxEqJPBHk9ijNfBzZUwQ+Zr1vsMGI7ICf8&#10;YYJrE2UPmJ6yxn/8hIkt+H73nXcL7nV3dbU1su9mP3eMyE+nylhVPUXkmO9ge0AnA5ekHAxBT9pO&#10;9okRU8CO6aLDsC53ylRZX5zCbcYWsh9jC76DD+KU7aE/77CYI9Nlif+xtuTL177nbPwwT6K/EANN&#10;G4wXbcxFefZhha8syneG6zLdAl8nferrlyjKiJ3EDoEOY/QMtyOua/gTXyE2VL4D+YN4cdaFjRo1&#10;RmyNsv+c+EEUO5ivsRWIXlHM8dbmXTLug3xh7D8ne9n36eVGjNxV2h7ohEuXNIi/ptaNGShyRinb&#10;2S7+SI6ToX0l1r9a1uE06bxk/nNiaeED7JhG8zjHl72DmDHeS55342eb2+x3vmeVaUVvCXx7m/Ud&#10;2E95d/p8be2J6uzDCl9ZVO9Lr+e1V19RXRR60g/59mFHzxFjgvyB7pnehrh/m4zF3BeWs2ZhA6np&#10;JnO47Lske1jqXM2cXcJxGcSQS95BjRPp60ZIjP2AgQMVP4hPXbDwPI19Gz8QWYk2F0dWaoNx7WKH&#10;2F0E93YR28fO4t96Zd26QFdIybe2rjG8pj0uedTq5UwuY9bqsWcJ8yRHeF1DR/zb3v/gkGEHYwj7&#10;LDxXjHnShxW+srjGWLAOsUltWu31UaH/YQ+xuB36uxhzDn3Ge9Y8/5zas7CFKH6oHNLsVqxY4aq7&#10;SB5lySPG+ECfwKda7HjN8NjUNkheZdU9RBYZK/oV9lHkD/BjlsRi1cjvo8A8aXM54sfxon9hlzls&#10;8pFqa4L2ZkMlRzH6JPJAMXiAd4AfxFrj81EbtGAHbYpK3qYe013Yw53vYz7m3XHrZz6s8JXFhR/0&#10;re0dVyhGtPc8fUwcOzIItIzre3z1ImNBU+Ye6EzcxFbxf26UeM2Ro3ZzrFNlz/iZI3prvFVJ5Q9s&#10;FWAYNpFhvTQ/Ir4V/LesH/mO5DFiTQl7VQY5V8tP/hg/qF5zny1b2qixKcYX9D2+fObnsGzgo1kU&#10;ZYZPnLG54LsFN2ysc44KQ5A7kGds3Qs4Zd8YpxziwwpfWRT9makO1tqjGzJHGK3jODOOoSO2Jeya&#10;Rl/r50ztK7QcnmHusfVnNh+SQ+c00WGIkdy1vp87Teb9wPdYujGpPpOUXjJzV4mhGChjUeylYAf+&#10;F/KQ4HeZKrIJdlG13XSgT4Tlm6ivZ4v+dJpgL3GuMzlG9nb9JWdAH9m3lzgW/EaMUXiLs62JNpoa&#10;D9jvqM/wFr43/MXY0OPga+qEp8AQ248CXzHfYtgR13f6sMJXFnW/Wn18F3GAjOkoY/LS6UT/wj/k&#10;i4OW6BTIdnH1q32f0RD8ACdph9GbWOq1L/zZ9e7dR2JBurqDUzHfxVyTu914VlwQbOAsuLCP4EdV&#10;VbWsRVyp8yZra7uJXfJkibufrbJK6bAuaLvYYUReYl3PqaK3jBR7b5X4nk8XXN4s2IGt2vCafmf+&#10;YD2ByfXQP04eIGYRWyb8TRxBOl9G8ZvvQ5bhICeG7aHGd4EfcX6fDyt8ZeHxEPU1+UKRP8LrRKLo&#10;13Ad9C39jHzHWMYfQr8yP8TZv1Y3e4CBXYYftKd5g+SkEEz7gcRpIYPsLLk4psmaDcvrsd3YLsY8&#10;n1prr7ZcwZCJskcM61mIWSB+k7yl4Mds9lsR/GAviJK0M9UX2F+QgchHMEHytnftWqNri14WP9vG&#10;DZLbUdoMH9DfluucbwnT3WgUNV9TH/4edGbiTWhDmCejumZeRPYglzA4ZbaPOL/L+sqHFb4yuz/q&#10;M9/IQUwPfs6o+tRXD/3MOjrsLdgj8I/b+6P+rnB9vMNyFVi7FM9SPoG333lL90xh79hd+/XTtV+l&#10;GpPgBu9GjyL/EHsvdJPY9qdWSu5k6T/yDBITPlv8o9hsVAYpBq5lekdKj5oisgc56MmrctVV16rs&#10;sUnsAdhtoDu4HcRlNjpyc0GfuPVW3kEsBvIuc6PNHcYDUZ3t+3gHPh5s9PBcMb7RhxW+svB4iPqa&#10;b8WvxpgmHxT9Qd9G2d/UaUeQuznIrcK3WF9H/V1WN/WT0xnZmZjAdL6B3vgTp0w93tXI3L6vzPkz&#10;JS5rtqxBY4yWMh5kwqBgDSt7TNFucruDH2pjpW1F9t8ibwTYFvir+M1e3X161rpePXu7666/frv+&#10;NV4yOwT70sdBa1+dzIngB2v20ume72/jY3se2YMy9jQgnjtOfk7/Rh9W+MrSn4vqt30r9mJ0GGzj&#10;jCWjeVQyH/0LHmFHI58PNMWXx/utDVF9k68eYopZK4itx+hu5+YNwdrQN15/1dXW9gjsk9hSJRZ8&#10;NrbMIuYYSpd7yhM/REbaRQ6Rj/Ahj+5fL/vMdHOzZs/Zrm/pY2gPHxGrCN3hLx+Noi77/PPPW3Jo&#10;kveRdhjNCz1Tlx3wNL49vo35txj8bH3lwwpfmd0f9dnGLzlK0SuwTRBrA6aqjC9jvtC+Dj9Pn4Mj&#10;6KPYI1hLV4z+Zv5BvkLOCreHa74TWyp7MixefKnI4dVuYO+ebjp6vWBHkE8r0CvSx3fcv8sNPyyH&#10;mtpfpH8OElmtqstObrcxe7iXJFYMm2l6/0Jz+jjYq6mxaPnWWR/HnAjdrQ3pbcv3t/ExvMy3ke8D&#10;3YW50WzDUY9VX30+rPCV+Z6Nqgw9lAMZ32JE8WWbXJZvH6c/p3iUsjlgj0Cf4BsMw6L6nvR6oKet&#10;4fPZiMEO9HSLEZ//f2eKzaHW1bMOVuwMM0WPiRsnMtVfbvhBO0+XWN3TJP5kjwF9Ne8A8fVrVj8n&#10;+QQ2u/XscSM4HD4YaxzkcGU827qQdDpF/Zt4Y7CDHOHwcrhNhV4bflAvsgc+HmT3YmIH/eXDCl9Z&#10;1H0brs++mRhzZHxwFFs5fVRoP4efpz7DEOxa0BY/eZzyh2ETMibyJXZi2uT7NnghsPlsdg2yzgS/&#10;LvlJh/Wpk1ye+DmCY7baHUweER+I2kiiWqMm78CvInViS8WnwX4KT618StuN/4V8ZcSqqJ9Z7JeZ&#10;sCf3cr6h9cB+G6zllTaR04OYepE5Dh4i6/pk/R45IPfZe4Lu/cheXEGfbi+vQnPmI7Ab+ZZ1+2H+&#10;i+ra+MjOrLeF5uylqnwXkSxtvGOyB/5axgx7KYX9SlF9V3v1+LDCV9ZeHYX+B37Q53y7rVHEz2ox&#10;/WEMiOoaHx74AV2N3oV+h+95qxtZFt5ljjC6Z8IR+IPjvnvvc/sfcLDm1qiVdTIHSm6NIJ9GsL+8&#10;jikZV1oWkR8Vf2yw5h7bAjl4ZI6XcfrSiy+KbrDRTT/5NI0/PVHi17HrYp/JHSf8z6Cnoa9pzlSJ&#10;6Zijv4nnD/K2si6Y9Tjda2QfGIlhO+6E6e4tmWegIf3FmSOdR6y/kTnxb/roFEcZMUbIuOS/TW9T&#10;Ib/tO/muYK/lRuXljz/6sCg+pXBf+bDCVxZ+Jo5rsIN6WQ+DjEl8ho8XCun38LP4yKEteoW9O47v&#10;sjr/8Y+/K42Zj8BF5BHob3NJuG2Ub5F9H8lH/M4br8q+c7LmRGJAa2Ucj6jv6WYMH6C+VXJ8Bv7W&#10;QFaIYhwTN4YMQL2sxR/bT2QgiVe3/TLZA4/c8cfI+n6zRUTxXuogv/OckZJPSTCEumeO7Otmay6R&#10;PhLvOiTYg1t8P8SW3vfzeyQeJbAb4VemPzPxC+XNoktgL6f/DdONNnGc4SnWSzBHse6J94dpXMg1&#10;/GGyKjHNyB7E5Rfju9L7yocVvrL056L6zTfT15wt1vbee+5q0WEK6ef2niUWAPywWIC4+/6fn36a&#10;0s2ubOF1sCPAirb6us0v4f/POutc11di3IkzG9S7l5s0RHL+pHIfqoxPLKiMuYIP6knFhZ0u8/3u&#10;A/q14Afr58ibhj5zhOgvgSyEvBDBe6UO4tGCHCjBt8wW+eMEwco9Jb9iD/aUk7xGEyYe4FY+ucpt&#10;kDzqYNpWzaku+CD4sVXsSGCzj+78T/wvNvqoeNdXj/ERZ+LVwSv8PWFa+tqXS5nWlfpO8tow3yLf&#10;FmMeTP9mH1b4ytKfi+o3/Wx9bnXinwe3safm0q+53GtyH3lB7L1xnfk+dDTw6vJlS9VGDp+DE/BC&#10;ervBFJVPUvfo/Cm6w8sSy3jiidNdD8kJRm6c7jKOR4h8MFlkAc3bE9U4VvlD4thER2GPvAEDBkgO&#10;VPZfanZnn71AZKEat/9gMCNq35DIPRLXeqLEvuwrcWuDe9XqWl/W640aPUb2obxJ+2sjPhaxN7PP&#10;Ln1Fu/QseILNMr0/+c3/+NuIA46LztQb5mdyfeDn490+OvvamU0Z38t9yDVgB3thmQ3RbAFxfmO4&#10;bh9W+MrCz8R9TR/ccevNaiugn8J9H77Opq8z3UM9+HqWSy7MdPyK4/t4B/jBQQys8nwKHzK1MVxu&#10;340dcO0La9135/2vGz16rMZbVsueuOQD261/H3e4YMl0yQNmtlaL7wrirpjjU7qBzO22vxN2B13z&#10;K7YM8gdwD7LAzBGD3cBedW74CMkfJP3FWrRlDY0anzJOMEX1F7VpIoOkDo1/T9lnFF/AGPKREZfP&#10;O+U+ntGDdW+iJ8n7vy3HfgP7iWzVU9bOVitGde/ew+23/0Hutltv19wB1gfhfsnlGp0YP2cc9A3X&#10;aWMZnwiyNHOB6hspmSGXNrd3L/kosKnBE+H3F/PahxW+smK1yeZq8hgwV2NHpQ8L5Z10OlAfGMX8&#10;EKfcF56P+B7wIxyDytyU3rZMv+FBDviFe9gPafUzz7j588+U+Idxsi5FZHyxK7LHds/aWjdK7AQH&#10;DR0kOZpFPhFs0DiSkL+kJf+PlGE3xeZh9ga9HjZI1uTUuIkyhsE7jrvvuVftH3V1tZKnBwwBNwK8&#10;COJUBJ9SttwgD0HfIB4fO6u2gXjRvm7ykL6yNm+QG1Lfx9VKHmlsKuQVqZO1s5OPOMpdc831Yvt5&#10;Q94Z6HbsX1soD8SNH4Yb0Jw8+/gSsU8ga5q8mYm2uZTDM8xBYAf7yBRrbPre48MKX5nv2bjK6H9s&#10;IcTjEv/bLDIpvMO4Yfzk0teZ7qWeR5c/qPIfts04v8XqBjugOfoZ30MbssUP7ocnmcsYx5rPWDDE&#10;frO27ZnVq92CBYvc1CnfdnvssafsjY3NQPIci92AfVn6STzJsPreEjfRT3w5A1XvOUZsKMeKfHCC&#10;nE+S40Q5yO1x5NB+unaf50455TRpr9gWtm51r77yivpjaqTe/cWPerToOPiWTxLs0UOw6DiRM44S&#10;HWSS7F+9j+ghu4mONVRsNhx1gmvVov90q+6u6/D69+/vxo/fT95xqrvpltvc+nfeUb2kmf4RnYnv&#10;5L3Q0fZfyETTjsrjxg/4FlpzXvN8kDOKNeXQGJoVin/2ffDNQ/f/Un1J6GvGX6U4+7DCV1astpks&#10;QFwotgkwnHULjBP6PyoaQAvboxw/fVzfZzxF/WAh/kPWZPIdufIU48eegYcY0zamtsrvd2Ud3vqN&#10;wR4z7Bf9B9l7YdbM013/AQNlvIIjtXpUdxUZpUuV69Kli/piu4tvGP9wNevP5D4wo6amSu75f5pn&#10;/eorr9FxbPaG0ZLzqFrsmVUSm1Kb8qUSP45Ptaus30EGIn8717U1tYI3teqDJg8R+ymw18z4fSe4&#10;6667QbHiXRkDm2V/OHSkzVs26Tdslbli4/rAJor9kX1cbfzke44bP0z+gNboFugvrMsAP+DfbOeK&#10;jr4PHmAeIpdJ3HuRdDQufFjhK+uonqj+D4835A3Gm+XNiJIGjF/yCWEfx05ruMU53IYov4u1TXwP&#10;Ph/DQXihI37hf7uP5+ygzORirhlz5CRSW6fik8gnUs64f+iB5e7aa65xP/zBWe6EE6a5Aw6apDbJ&#10;QYMGu7q6OrU34FfpKmO/5851bpdhw92+MsZZb/umrMsBq2gH715yWYM78JDD3RjRmQJsAjPkkOfB&#10;jvq+9W7Q4KFu730muMMnH+VOnz3PnX/+RXrcIjLG2rVrW76BOqEzvhQwkRhck630O1PvDPBye1tz&#10;Nn1n83/c+GG88uknn6htjbgu2me4wfdk017fPfYsdT3z21XKt8x/xrf27mKffVjhKytmuwxTGcdB&#10;7uErZMy90KLH+Po3nzJoQk457KjQ3OYP3hslXQyPsN3hVwI/aK/xRD5tz+cZeE9zv6fseTZmiTMB&#10;c/i9RfKMqV9Ur5vVn6HYpHgkNpDUeAjuQbcIxjt2CjsCDJM1kCJL2LP5tDfKZ2gH+IHNK05ehtZB&#10;nswgV7LhnmFIPt8En9jz6PLsiYos+9lnn8Uy1+XSPz6s8JXlUmeh99rY5UyeQWQ1/Nz4uKMac9SD&#10;PEMcGTIINLf4E9pvbSj0W8LPkxsK/Fgn+4XbuDK+yIev8n0GDOD7W9sg9j2zMaTslWBB88bAL2p9&#10;xfus/3mWA1kBvGh7BDZPxg7/c1++bY3iOftWdArif8M0ifIa/iHOh3guW6cAfe3I91t4HtygH5GV&#10;4Vfm0zh4NNf+8GGFryzXevO93+ZqkwWox/oM+jPm86VD+DnjaeR/9EhkEHRs3s+7rR35fofvOXz1&#10;0J6YVxuHdg63LbZrwQwbS/r9Oq6JpQgOcpzyP1jANfvV85/1FboF1xx6n2JQoHdYefg/7L12X2zf&#10;hJzUwQGNwbLl4quPO36deQg7ucWs2/fbuaO2Zvqf51nDTd3IUfCn8WgpccSHFb4y33iIo8zXF8hp&#10;zBvQHiyhLzP1c7blYLrJluTkYFwjH/ztbx+3kUOi+EajtflfiF0Lvz/bNhd6H+9s23dBPwZjP9DT&#10;uQ5khuA3z/Bee87wgXKtL/Uf/9th7aR/7bqUZ5tz0IWRZaOgqdUBvxp9wSniW5mPgj5tK3dZH+ba&#10;FzwXyMlB/BDP8357t7WlFGcfVvjKStE26yPOrFFGLoT+5DgwX26+NLFxwBn7PrZN5APoFDVdjL9o&#10;Owe+e8Ye48vGZ648ldzfsdxhfWR9bfjhm6Py4W+b/+0MbuAvRAYBS/LlTWu3nWk/djrmOGLiw7J5&#10;Pu2O8hkfVvjKonxnrnVBH/athT6MvxW/fqyFNvnSiLELBhmNVjz+qNomwBH4Kw4aIT+BUegvCW5k&#10;P/6NRvmeoTMySLAepcmREz1XHvTdD58YFmHTgr7IyeSh8Mkf+baf+Y25E2yC3w2vfG0qdpkPK3xl&#10;xW5X+H3QCNsUYxrdDz2gOWVPypcmPActGMfQGjwBn7BvomcaX4TbUcg1bYe/aPvbb73Z5t2FfEPy&#10;bMc4BJ2hr80R+NoKoWX4WcYyufNa5jaZh+Ap46so6PP86mdV9sD+V07YQT/4sMJXFu6zYl4zjukz&#10;G8/YnZFB6FP4grGfD41s/oeveJ7fzBvEvOIfw+YS5XfCs2AH+GTvpP0c+bQ/eaZj3LA+sj4mHhEM&#10;Rx6JgrbGl/AktMU/b3mv4EvjMWtHvucgh3uT+tIT/PhvXrQzfYLcc4xBcjrZOMyXLuHnDIfAJXhs&#10;9dO/1XYafsFvhdCOdoN7tD383uQ6exzIt68MP8g9Cw2QXaPCD2QP1lAx58CPxpOFzg3YT/he+JLY&#10;BfQiw6so2h5VHT5Zw1cW1fvyrcf6jjNrsIkDitpGZfRCFsWfy7oY3mfYxXW+7ceXaT6efMdB8lx+&#10;WIPtA1mAtSjgB/anfOkYfo65BT8tda5auaKNzSNf/DC5heftGp+O7dkcns/CbSnVtQ8rfGWlap+N&#10;Wc4cxKayxyd2SMaTzS1RjC3mDmjGXguMdWQQ05usHbn2gz2HDQy5hrkkirYmdWSPJWAHGGJ+emyd&#10;udLRdz/zitk9TO4olC6GGdRDnchKyKz4DKwNxpP2u5RnH1b4ykrVRsYf/RWWAfCPMb6xQxZKL3se&#10;WnHAa6yvR15En7VY+kJoxjdgW2Geultycds7k3P2GFBIXyGngh/k24FvsI9Hwc/MCYxtZAP4Jl+Z&#10;I/3bqIsysARZCb4hfoExYPNRFO2Pog4fVvjKonhXVHWYvcrWkaT3fz6/jf4WM8leIfAG8qnRLV/a&#10;8ZzxLrawfNqXPFMY1jC2mW9MrjRezIWmdq+dbe0U8YDMPVHgB3XYPAbNwTrww9aI27ut/aU++7DC&#10;V1bqdobfz1yOvZt1iPR3VGPLeIAzciOxIOie//rXv/Ker6A3h+VbxYcYVXuTerLDFHiEuZxcGYxF&#10;W28NXbKVK23c2pm128RkkJM5HEdUKE2srdTDNTo08xjyE++294fHQymvfVjhKytlG9PfTY52+pS8&#10;j/BFoTSz55FBkHVNfmR9NHYWckgVQjueNR8+Njx7X3LObvwX2k+MQ7OhMh+QswvcyHUsGg8Qi4Ru&#10;i44LJkXJg7QV/mMO47vhcXjdYlZoQ7aYlz5u4vjtwwpfWRzvzrdO+g/aEU8TFe2gm8odKVs9tKOM&#10;eDXmGWTUQtprNhti1wsdD8nzueEOdDR64rdjbWyu+GHjlufMj8O8YvXaO6Kgjc1f1AmP4ws07MqX&#10;B+N6zocVvrK43p9PvdAQ3QI+MD95oXRDBgU/TBYFl6BjsO/1UpV78923DPtJsIY4iAEqtK3J87nh&#10;B/0Fn0Bf5gNkh3z5juewgRNLTm4xxji8gnwTFV2M96ibHO7k+gjjVz5tj+sZH1b4yuJ6fz71gh/k&#10;diJW1LA6Ktql14N8iqyDHkNOS+hIm2lDtm3nGfRk6oi7ventT34HWEO/My6DvYXazudG0/boyT0c&#10;rK8EO4ghiKNvTY5RfUswD/8wdlpro53ba2sx//Nhha+smG3q6F30IXuZolfAE3HQkTqpG3nkuWef&#10;Ubs9ujO2F6NhNhhivhv2B2PeS/Ajd9khCvpCS8YmccvYUFmPaXxm9LTfmc7EpuO/ge/wq0bRLl8d&#10;yEq0lTM8R/7OTG0qdbkPK3xlpW5n+P3Q2+zScdoTkHehY/OG9Y6139ixLI4nW56j3dyLvsU84uOX&#10;pCxeTIGGRkv2A4GOzAtGm2xoyVxhazeXSx6iOOcBcIP6A39RYwvPhcdAuVz7sMJXVi7tNZqv/fOf&#10;dC7gHNf4g+9s3oL/iB0lpzb0heey4Tu7hzmPOKO42prUmxmDGIs23i3nPjGCYALyYUe8DQ1f/cs6&#10;lVvQmcP790Td77TT+A4ZhzgFbHDG98ZPHbW5WP/7sMJXVqz2ZPueQJaUvhXdImoaZqqPGB5wAHkS&#10;3oOW2dCTfBPMeY89/FDR2prpGzpjOXMAcYGc10nsOjRk3umIdoYt2M1tXbbJu4zxOPuS+omPhG9e&#10;fnFtC8ZlozNnO4aiuM+HFb6yKN4VZR3QDl20mPFYzA3BeodGzXOYDS2556MPP1DbKbpPnDyX1O2X&#10;QWysI0My/psalrSsbTKMSOdNmxtYX8t+X2AONnBkT3CII47+NtmDui1nIfn2rH3Z8JzdW4yzDyt8&#10;ZcVoSy7vICYU2Q57WBx09NUJ/9m+Yk+teCIr2Zdvws+H7wWbTZR+Pl8bk7LtMQTcb94QxHnR/2E7&#10;FrFgmeQQxir/4bMBPxjH1r+mD9nvqM7Ua/hEvhLey28bG5naav8X++zDCl9ZsduVzfuwTRNfExXt&#10;OqqHuQH6YgcFu5CJw/NXJtoGMnOwbqujdyT/bz/+C+0Tkz/sjC4C38Bj0MxHNytH9tA4dbGZMn9Y&#10;fFBc+EEb7UDfRcYO+/yyGRfFvMeHFb6yYrYpm3dBX3QJDvDZeIOz/eYMne2/KPiQusAD8IMYAOYv&#10;m6cytRubHfe/9spfImtLod/SmZ6HZhw25uEZfOnwEPhv+AEtoaFhB3TlPuI/WXun/CT6SyF9lw0/&#10;qv9F3oOdDfkjPEdl4rFSlfuwwldWqvZlei80Zg9h/CHsraj8IX3OHBHwSeA/R15t3rC+IJobv1Av&#10;9fEufCnwVViPyUTncOwpvGH1JefoZQ1fn0Iv+IIzGADuI1MYXoTxn2t4Dv5inTexYnHY2BQjUrpK&#10;0K4g98wm9tyRfXbgWcO5TGOgHMp9WOErK4e2WhtsfkA/RJdFL1W7gvCH8oqMcfhkg+whrfvGRzRm&#10;qdvsZ7wT/IAPWZtPm6x94TPlYA26lvGvj8eTsnixBH6g/+ET8BxcYG9D4yU7QzvmgU8++YfGjZOX&#10;ENrwfFQ0Yv8/2mF7gbLXH/v/6TtSGMde4vDMA7+8z8tXYR4r5bUPK3xlpWxj+rttjghyIzS6p55c&#10;kdpDbYM777wL3Omnz3V3/vRn7r0tGyUG5x05olmbAP8ZhoAj4MKSSy7W9RC0KZP8QdwRORfhD3IP&#10;RMWHST3ZY47RDjmEeArs2ZTBWyZ/hDEE+wj54p547BGN4zLdp9A+V/lYeAf8IP8Q9RInRr3Nwqe0&#10;CX6lDJ33icceTfBDaJSOAYX+hubIANiXoHVT01Vul11G6D7wVVU76X7yQ4YOc8cdP1385y9FNmbB&#10;AA7obDFFtAF+gP9830V+3Z/9+HaVXXiuUB5Mns8eN6yvwnojOaHABsvJE6YZNCRui//DcepR0Q2Z&#10;w/jnvvsecNOmn+pGjBzl6nr1diN3He1mz57nXnrpZUd+EdpgsWPhNpbTtU/W8JWVU5t1nvj6G/f+&#10;+++7yxZf7MaN3d1Vd612O/esc4cccqj79rePdeP33c/tvHNPKe/mBg8a4u668x6lG3Ii+81vlb3h&#10;jbfyPcOTyEDME6znQ/4A12w+o8+IH0DHwlZjc0++70ueK5xm9CG4D03ICQiNTO6AbtCQNf5gB7EB&#10;4Ea+sgd6CfozeMH8Qj2bmje5NYJfe+69r8xx3fTo27e/GzNmrOvdu174tcb1FD4+dcZpylevvrLO&#10;OyeVy3j0YYWvrFzaSzuMzl9+uc3tuec+rqpLlRswcLBbtOBcjQ26sqlR+KNJ8LvBTZ061dX2qHW1&#10;tbVu6ZKlbjP21YjsIfAifIGMCz8SL0jbjCfhxY8/+lB1bXJFRDWHJThSGI6A4/g1yCVpMqNh/h9/&#10;v0bnfWyX6BDQLF+6YQtVXpM68PvCK48+8qgbMGCA4ERXkZdHulNOnuGuEt65+opG5d3Jk7/lunTp&#10;4qqrq91JJ06XfYj+neBHxPqLzRfffP2lO+jgSa579+5uwoSJrmnZUne16LXMHYxn9ApkwO997wzB&#10;9t6KIzffdFNK3yxcj9C5SbAIPZYcDdjawus6wRFix5BPiB2Db5OxX9jYj6r/yMmAzBieF4lJhIb4&#10;bLFTBfJCAfNNSu4Ah6jr0YcflnlukOsq2HHSiSeqfRQcg0+xxxjPzpsz21V36+p2H7dXC76F21lO&#10;1z5Zw1dWTm0GP2y+uPDCSwTLu7g+ffrqOIUGVwpmGC0Yu9DnrB/8wNXV1alOs/Syhrxl0nT+NUxA&#10;FuY9+HPJ2W66TLDOL1hvoXgjfJReR/K7+JiCPQq7lM1F0Iv1BYxjYozROaALZ8a+/c6FVtAbHWZT&#10;c7DuZtjwka57TTc3ffop7krBDeY7eMYwJODVJnfoYUeI/NHVfXfefOFzv02tXMajDyt8ZeXSXmuH&#10;Ycizz652tSJ/dBN574JFCxQ7AppAl/DR5I488mjXtaqrq6mpcXffeafKk1u3NLuPxY8HjXPhDbuX&#10;tZjIphzMXfjcwjIIuIKvEFsv/IQ8Ys8m5+LjBn2uesTyB5U/TBdmv1LGL7Gp+WCFj5abN+FP2eLe&#10;fettN+OUGSJ3dHF77jVBdZVW3EDPDmRlcOTKpgbXU+a5bt2q3XXX3ui+iVh2t/ET1dmHFb6yqN4X&#10;RT2GHcwZ2774wo0eNUZoUy120+Ok/1vxvA1+iFzCuqmh4qOp6VbjRu+2u8boID/AT1uFr3w80F4Z&#10;81IwxwT7bxOPcrnMKax7om3EJ1EGX6LjUFeUtpf22pb8l5me0A17NnQhBgSeJL81ei/7dvB/FP2n&#10;vCE0v/66G8W/Uicycr274PxFMsc1tMxtYAftQF5G9pk7e47OcejkW0R2MXtaFOMmjjp8WOEri+Pd&#10;+dYJfoTjxp947DGxbfRwI8UPdpXgB/Rogx0ih1x7VYDzF5y3SG2t3cT2PW36DLGnio1caJyvP8b2&#10;i4HfwCFs98ggyBu0E9sq84rhTFS8GQV/d9Y6oAG6CjyCPAi2QyPsHtAwun7Z7K684irVReC3md+Z&#10;qbZS3gVWBPIG+BHYPrChTpx4gKsSGXm/iQe6b74Wf95X2efJzHc8FfKcDyt8ZYW8I+pnzfbBHE/d&#10;X3/1Xzdhv/3Vpr3o3HO8+HF5w1KlWZOcVQ4ZOlxkxO7upz/+qdo185E/wAT4DRkG/QW5d53ml8D/&#10;s8yxXzNrGCz21DAmOv7MPMcm72i/b7BnM36xgTDfYE8F85uxdUbkn3vpxRfdwEGDRb+ucQcccHCK&#10;L5sUL+BB8MvsdLRl2ZJLXd++/cT/UuUuuWSZ4IesrUrwo42NOwosMf3F6sLGdHnTFWLX6OYmTz5C&#10;6QK+IxsG9IFmyCTBwfUPz/y++HRFZhkx0q1/h7VRwX6jjDvmJ7Ah2zEIv4EdPMM1PkCTR7F9YOc3&#10;nsyl3mzfn9zXPlak9w+04iAmGHsH9AE7uA/a81/6M9n85ll8tjzPnDJl6nGBrjx6rGu47BL1DQZy&#10;cSAfoy/Bi8orIoN857TvqN+2XuJBPvzgfdGBJbdAKh7AeL3czj5Zw1dWTu1O8CO38ZIN73emexL8&#10;iC4e3IcVvrJywo/0tnwpGI0dDPsU/nWTO8B2O7a3h1zhJk06VPxpNRozvFnWPFqsoJ3zHVPIGOjU&#10;2E5Z+2L7fCODRKtfJziSD43AD2jEulqL88innvRniPPQMvG5/OKeeyVWoIcbInoyPIgc2upnafUL&#10;Yu/H5s5/e+65r9pOb735FrGbpnTz1Dmd58vltw8rfGXl0l5fO75SG8jX7sADDxabRjf3wx+cqfQy&#10;G1U6dgR6Z6OsfbtI40Hq+/YTfmpWWxrjmzUKLbwg1+l80tFv5FjwjPuw0/HbnslXNrbnk3Pu9Ejv&#10;M8MP/GTkJCyE1uG6N21K5XcQuh/xraNFn+6uftvGpUsEQwJ9enteDOY4dJjaHju7IUN2cV99+YXo&#10;/EFeI8MRH9+XQ5kPK3xl5dDWTG34Yts2jbO57NKlYruuckcccaTqlGC6D/OhIXMC5wkT9lff7/my&#10;bhcfDPMSuivrp8O8ke01z4IX4BCxIcSTaX0pHErsH4WP/2xpkek+owEyIvZTcnFnujeX8sCGLutb&#10;nn9e1mL1dP0HDBb+C2SLTHxo5d+d913h3Wo3bdopKnuUe9yHjUUfVvjK7P6yPH/zldiavnF/++h9&#10;V1+PDjNEsQHaZJJBjG7IIHV1vWRNwiD34to/t2CI8Vgu/MO96CjMb/ASe42wljPfunJ9d3J/dthk&#10;9ADXyU8YVQ7dTRuD3AxHHTVV7aa6tkXmqCtEtrhK5qvAlt+qu9g8hg6zl+guxECuWrlSYz7wMaqf&#10;MYk/jdz/ko5hak8VP9c33/zXHX/8NNEhq8SWPVP8tEslTrgtvUx+NFpCu2OOmaLxfkN3GS4Y8qKO&#10;/0L0DPiTuALN1x3SXZLxnd34jrufDD94D9foMdhCWJdLWba0D2TNVN4feW6T+PCefGKFrMeqccPF&#10;rxf4+/z8Z3zIPZdcfJHGRO+xx17uS+HhdP4u598+WcNXVs7fQNvA6q8EQ1atfFJwvJuuPYI2wRqD&#10;QFdppVlbml6+bInr13+AruOdNWtuSndptVnkws/s1fH0b1ZpTiHmtjCv5lJPcm+8WANGmJ5JX+O/&#10;Za0B8R/Z0syex14W6C4b3beOnKJYMGvmzHbWUrTlP9ZVkH/iskuXuK8l5rDcx1q4fT6s8JWFnym3&#10;a4uxISYVf/m4cXuLH72bO2P+99RulWkeMN8MssiJJ5yktu+6Xr3cS4IBmzbmt1b2hT/90a17+SW1&#10;f2TLhwlWxIsV6f3LuEfPVPlBzvzmGpsV1+n3Z/wtsgs4ZDb3G6+7VuTYGjds+K6qP2ear8Ll6NcD&#10;JfdE7959WmLpy218tdceH1b4ytqroxz+Q/awuJDzz7tQYvh2EvvVQNU5gzUxbTFf/Wa6DiHwrRHL&#10;U9erXmLKurtFiy5oiffKyDsy52T6D15kPgI/uM50X1KeuQ/j7JtMOGF71GWrv4BB2Nm5/4033nA7&#10;i/+EPDPHHnu86i7knwljhe96/vwz1Gd44IGHyJqMIP9UOYynbNvgwwpfWbb1leI+1sujv/BuMGTN&#10;c8+7GtFBWcM4d84c9eVuTztb9xjoNsgg/3fGfIk1rnV77zNexn7r+m1wwI6O+NpkDpvH7HdHzyX/&#10;Fw9LoIlhhNHV6GXnbOhBHZs34W/b6hYtvEBspt3E77KzxAUsVv+e2ejb8l6rHZW4j8MOm6xyL/HT&#10;xsOlGEP5vtOHFb6yfOsv1XPjx+8nOkyV2333PUJxw21lkDBdzZ66997jdb3TzTfd2qIHo9/mohdn&#10;w3vJPcXDi7j62tZMwRu77TZW5YhDJJ8VsWIBP/nsbpQF5Q2XLnb9+w+UuMe+7rN//0vnPua/Uo2Z&#10;fN7rwwpfWT51l/KZO26/Q20gNTW17ryF53YoRzJXsIZqwTlnKx9MlPVOW2R+QQ/JZU6Ki1eTessP&#10;b9BN4Y0brr9BY4jq6vq4C89fmOI1H3YE81cQe7RM7HR7yXPd3KxZc0T2aN3HqpTjJtd3+7DCV5Zr&#10;vaW8n3hU8oIcduhklSn33//ADvGD+cLW3I0bt4f6cO6/X/bWFfmU+QUZJLFllN8YLj2ubnbj95uo&#10;/DJv7jzls8vF7kG8aVi+DV+DH6zl32mnLq6H2EyIO7J8MZWmw/iwwldWSjzI9d34wLCnvrd1kxsk&#10;66d7SG6QhssuTfPFpM0Pgh/YVDnO+N731HbC+klytX/04fsJdrRjLy79GC4NrmE7eeCBhzTmeS/J&#10;4x3Y6VvtG6anhLHDYhrRd8iRfPjh3xJeDex3laa7MC59WOEry3UMl/p+w/ETxC+LXWuG5MOHjswN&#10;0NVnG0cGUQyRe/CnkSd76xb8fMGamET+KM04LVd8Yt3M/PlnarziNMlpGsaJzNdN7lKJFyO/GHmU&#10;G5Y2qr2D2ANkkErDEB9W+MpKjQe5vN+wg/Ndd94lskSN7vNgeeOYA8xeuj2dBVvE/rWv7B9DTM9D&#10;DzyoPjp8fuXKx0m7SoNr+F/Gig0DHQRM2J6XfPb6JnfSSdPV7sGaiY8+eE/9LpWGGzYefVjhK7P7&#10;K+EMLTjAj23bPne7jRmnayHPl/zK6J5gR2DDaktfk034f67ossgtp5xyqvr6PvzggwQ/Eh2mDQ8s&#10;f2i52j322WdCltjBWv0lbpdhI0T+2Fli3Z8Q2QNdO1irjwxSCeMr3EYfVvjKws+U+zW4AX78R/I3&#10;cd247HLNbXiA2FEDuSPN9iF6DXpL4K8P4kLYA6Je8omMkHUM2E7XvxvkP07m+tLM9eXY79Omnyb4&#10;0dXNmzs3a/zAxsreDEcffazsTSh2D7Eh2HiqRBnEhxW+MvvGSjlDC+LKaO8/P/3UDR68i+T6qJX9&#10;Li8SrAA/tseQdPlzwnjW9neRHB4rZd4JYpzLkY+TNsWPaRZz1iw6yyaNG2uWfVEHS4zzAMWOYO5p&#10;K88yVxELwp5mgdzb6Mao3bSb8NSTOrchf1TKmPK104cVvjLfs+VehlyI/EE7p510smABewJOUzlD&#10;11RnWJtrOMJ+EORUXXzxksCHK3yTjNX4x2o59jG2czBki+QWI+bjsUcf1/WW7HsY+FSuyCyDiM7c&#10;KPmSly25TO0e7PP+5Zf/SdlKE/woZxwBPzgeWS66qthRx+4+TuM8Aj2m7XxhuGFn8pjhYzv55NPU&#10;BoIeU468nbSpeHRB9mDdywUXLNb4RNa6mJxhfBM+m72N2KLjjztB9GjixeZWtMwRHu8+WcNXFn6m&#10;Eq7RXUyfVF1GbFPEpldVdXEnTz/Zaz8N051r+IL1uORl+KvkJoN3krFavLFaVn0ttMcHxz6Ff926&#10;2U069HDFj8UXXZhZ7hAdGbsaeWjYI3vgoCEai/T6a6/rOn2TjSthPGVqow8rfGWZnq+UcnIL3X6b&#10;xLTLvsTdZY3cuWefpTYQnx/GcOQKof1Y8d30kDWVb70he4PkucdlWY2DRIbKaw5grQtyB2vltsi+&#10;lOTqHiZ+FOMV3xne0rUwYoufNXOWxplNmXKcxjYGMY6t+nWljKP0dvqwwleW/lyl/UYG2fbF527U&#10;6DG6vmXC+EBvhb6s3cff4uOBSYccqjb2ZQ1N6odJsKBzyh/EemD3IF/7/b/8lfptD5Q1UkEcot8W&#10;j/yKrR7+Ih8Z+y4/+8xq1adNNq60cZTeXh9W+MrSn6u039ALebGhoVHiBat176iLLlikOkqAG34e&#10;mHbSNI0jmyRraRL9pXNiB3MG9lPwg/WUCxeer2vuZ8w4VW2ntv/kdvOP4Mc1sg7mOLGRkM/qkEMO&#10;Ux6EDw0/7Fxp48na68MKX5ndX6lnaMaamL///W+ub7+BOhccffQxKnNY3Fg6/bGrq79e/Db9JVbQ&#10;ckYkMkjnwxH1vQiOcJ4xY6b4Ubq6Beee6wI/nn/uQTZZImv0q7pU6/0NIsNajLrhhsWOVeq48mGF&#10;r6xSv8/abb5cMOSaq69Wv+zw4eS4xQeTif7L3KIF56r8wTrrLZsT+2lnxU5kD2SQTbKe8pBJh+v6&#10;FY3tEBuHL/YDvgJbpk49VuweXV3vPr11/oEfTf4wDDEercSzDyt8ZZX4beE2G81MDjlU9JGuXavc&#10;HMlPBv2J8UmXP8AVbOf4cJlvfrNqVV62t8465nak7ybPGLEfnMeOHSf7XPf38ksrlgRrNLmPnJgz&#10;Z85xX5X5XnLh8ZLttQ8rfGXZ1lfO94EdhiMrHn9c40FGjBgdsoGkx4MID8gcwjo65pAEPzqf3tKC&#10;gfjuRXchnwN7xI0Y6c+RjM2UWA/OJ5xwourJ9fX9dG+IStdVfGPbhxW+Mt+zlVRmeqfJH+xtPnH/&#10;gxRD5s6ZncH/EuAH+/ogf6xK5I9OK3/hv2V/l40b3nV1PetEBtl9O/nj6iuCmCH8tldfTrzHYMmH&#10;2ss98Ktf6b4AX3/dutalksZOe231YYWvrL06KuE/dE0OW+PIuqVHlj+sa2yRR/02kCDuGPkjwY9O&#10;LHsIdpDLcrPIH+Sj6yqy6G67jdkOP9irMvDFNLrpEqNo6+S2fSHrsL7Bfl9562s7Gts+rPCVdVRP&#10;pf3/tdLzKzdc9upgz+1LJY6Q/Kfor3bgl1lwzjnCB1WKH2+9+UannX9b5HjGUic8iB1TGWTD224w&#10;+ovEc2A/xWZGHnV0lmuuJN6Uo0HiDsmn3N3dddc9ih07gq3UN8Z9WOEr8z1byWXQE1/MGfO/r76Y&#10;o446xrFPOnorsggyKNfz5n5X+KCr8oz58Drj+Ons3wztdZ+o5ncFO0bJ2tshgcwqPGI8w5l49QvO&#10;W6hx6kOGDnef/P3jHSbWwzfefVjhK/M9W8llxLN/I3sTI5eSq7CuV2+37LLFYgdp0LnE/G/kYMb+&#10;MXv2vCT+oxPKHYabGn8qMshmWQNz4EHEJFe7pZdeksKOVrs7+DFp0qHqs1t88SWqL5PnI5E/dizb&#10;T+CHCeIA582bLzJGtRs0eKjIIJe26LXII+zP0V/2xn3t1Vc0/tD4KTl3Lj0G/cXW8J+36ELFjylT&#10;vq3r4gLbWSCvLrnkYs1nOGToMMk780/199m+cjsihvhkDV9ZJcsamdr+tdiz8Mt88N5fdQ9S4kEO&#10;P3xyIJeKDnO47A3GmoWZM0/XuGXWXia40blww+iN/BHoMBvdiy+84Orr+8q8MkhkkMUpfsH30uAO&#10;ldgy4oUWnLOwZY2++f4y8WEll/uwwldWyd/YXtsDO8hX7szv/1DXRLH/4A/P/L5jbVSN5AsZPXp3&#10;985br7sN69cLdoj9vRPL8J3527Gd6h5Asq86a3DPPnuB+lfIZYq9g/WXC885S3Lc1am8+vePP3C2&#10;r3t7/Ffp//mwwldW6d/paz/YsW3bNp0n3nr9dZE762RPn50EN7rL+X/kqHL333d/at55V+zvifzR&#10;WTGEuFP0F9bP6Tqo5vVu1KhgLXfPup6S326623XkaI0znDbtZLF3iL92B4z3SB9HPqzwlaU/tyP8&#10;NrkSHCHf0MIFi3RdQ3V1jfr3r7v2+mDNg/BN84b1giOdU3bvrJgR/m61n8oamGaRP9BjNgtPrFq5&#10;yu0+bm/N64HOstP/7CTyR0/3xK9/rbZ5bPQ7wjhp7xt8WOEra6+OSv3PdBfO+GKI7zlv0UJ3/qJF&#10;7u2331J9BZkD3IBvWEMV5qnkunPhKXqLrqET7Ngqa2E2iQzC+bZbf6x7pY4ZM9YdJzkK4SPs85U6&#10;LnJptw8rfGW51Fmp94Ijb7/1psZ+LH/w/ha8YL7R+CHiDxP7R9IHKR6wmJB3ZK4hRxBxh2++/loL&#10;dsBPlToWsm23Dyt8ZdnWV6n3octY239x951qUyfeFL0FzLD12wl+dC6Zoz16m0/mgV/eq3POc888&#10;rTxkuGFn46sd8ezDCl/Zjvjt4W+C1rY2hnmFWMKf3/UzxQ2wg7L2eCn5r/PhCnxBXBCxhvfec5di&#10;h81Dif6y49t+0vGD30b/u3/2E5VH33jt1RbZI7F/dD6M6GheeOj+X4rucqV7XfjkP//Z1hJn2hlk&#10;D8aLT9bwlYXH2o58zbyBHPLyi2tVh3nskeXqrzNZtSN+Sv7fMTHG/C+csaFC5w3r33U33XCdu+3m&#10;Hyl2pI+LzoAhPqzwlaX3zY7422ROZBBojwzCmlxkELWhJv6XTqvDQX8OsANbOjjyyEMPqJ6LDrMj&#10;jodsvsmHFb6ybOqq5HtsrghjCPzCGm3sIIlcsWPKFdnS1XRXOwfyaaO77+d3t9jNKpn/8227Dyt8&#10;ZfnWX0nPme2DNoMjHE89+YTaQcAQk1uz5bnkvh0Lc3T9vsgdnG/50Q3u+muuch99+EEbn0sl8XsU&#10;bfVhha8sineVex0mg9BOu/7888/dj66/Vm0h2MpMjwFLTKYFJ8LXCW5UPm4Qpw4dkTfCtq+N4s//&#10;1b0/V374/e+eVz4xXil3/o6jfT6s8JXF8e5yr9PsIC/86Y8qg5Bjat3LLylfffzRhy2+XfgMfkvk&#10;k8rHjXTsN7sp5cQWYiuFDzjDH+bzN7233Hk66vb5sMJXFvV7K6E+m1dYG/Pkrx9XDEFuxVeHDIvM&#10;wRneSuSPHQs7oCd0NTmTWMKf3nGbxpliU6fc5hf4xHilEvg6yjb6sMJXFuU7K6WuMH8wv7z6l3XK&#10;P+gzxBrCX8i3hh2J/LHjYIjpLND2t0+tbIlPf+zhh9TmEZY3EvxoGyuW4EfQH/AFGALewS/8BiNu&#10;vvF6jTm866c/dn/6w+9b5A+zzYMryVHZfQBuQNvbb7lJ5c4f33aLxnsYH9jZsCOMJ5UyP0bRTh9W&#10;+MqieNeOUAd88u9//9s9teIJtaER537rTTe6Z5/+TYusazIvGMI8xtnkYfud4Etx8cVkRPof+lgM&#10;B+XYrjjzH2vhkDGCOaJJ5Q5kTbNz7Ag8HOU3+LDCVxblOyu5LuYbMIQDnnvisUc0xowcmNjU8PeG&#10;eRXeNP6kHL5NsKO42GF9Dj6YvhnGdq6xi+NXIe8+tMTGsWrlCslh+mmL7FnJfBtX231Y4SuL6/2V&#10;VK/pMna2tn/yyT90vsIuD++xlht5xHiUOGeu4ePmDcF6Xn4nR3H6AMyg78FxpUMqjhjbN7Zw1lsj&#10;RwZ71za5Xz/6cIvOajRm3rDr5Nxq7/Bhha8s6bNWm4jpvMZT4Mm2bV+4P6z5ncog8CH8eON116gs&#10;bD5f5A/j4QQ7ioMd9DNyh8p+ghvoLuToePo3q9xPbr+1ZZ8f5I5Hlz8o+1Oub/GlmKxp9E7GQCtu&#10;WF/4sMJXZvd39rNhhp3T+wMswdeHHoO/D5mEGPg7br3ZPSw5idY8v1r5F342eZr5kWs7zA5rfJ9g&#10;TSvW0G/WH4YJ4d92bX3Jb2SM3z232rEWEsxgvT0HfjRyd6z985/UppVOS35norPv3s5Y5sMKX1ln&#10;7Jt8vhl+M/sIZ+Y7/H/YRtBtTEbG5nr/fb/Q/+BfdBwdD+g4qdgSxsD7772n5TYuOvvZcNf6iv6l&#10;TwyD6S9soM/8dpXDP4YdA6yw/QRZL7vi8UcV4z/77DPVSdL10Xzo3lmf8WGFr6yz9k+u3w1+GD8a&#10;llAHWPK3jz9y6156sUU2wU4SzIXY7BpVXgFrwBIbD4wPxkpnx43w9xuGYEsCY/mPM36SO39yR0us&#10;BvojGE35K+tedsQMp9MzkS+210nS+6i93z6s8JW1V0fyXysNwIlwf8CfdlAOtnAPZaytYQz88fdr&#10;3IO/ui+1zqbRXXf1lSproweZ7yY8fjrzNXZQ000+eP89vV799G81TgObE/oiax3ffON17Wf8rtb/&#10;nKGB9X+YTsl1Kw/n0hc+rPCV5VJnZ78XjIBXfXxqcQR2pq+4jwM8YT144MdpVNnb4ko6M2akf7ut&#10;GcDWGeSqbRQb01KV394V3cX61PiQvrX+NtmQ/8LXdm9yzg1HfFjhK0v6Nbd+zaW/4G/uh5/hc/LR&#10;/H/2zmdFaiAI43kC8eAzi+w8g4gKnkTwpKh4UkRx8bCLF3dn2bt7WV/A/Dr7QTuUSXrZdGeGb6Dp&#10;TCUk6frzpaq60sEPH2oRjjpqH79/+5rimCiWUb51184O4T/jJYZjjIpbwIg8p0ScQn6U95TkY5Tw&#10;38feXrcjrIho5vHteTzFu1znc9+F+IX5AfIk+OZgCrlWxTTYleL/Q8CKaAw5XuJvvH/7Jq27AU9Y&#10;dxTcwG8Tj+Vn6L/75fQW3kZYEdEsh2XlsMtffBLhyp/r65RzxWaYCybG+Xl6kp7J8j1yO4vscJ9p&#10;jPHL50+pRg+fjLlw3k1RbSi8A3flx+3y0v+X090IKyKaZbCcDHLeKm8CTXE7NNrV1e+05ibzwDTm&#10;J8m94ofsMz6M3ftJP29CzYbq8Riv4hTlL4Qbwtucn95eVm8jrIholsOycpjir2wDWyF/SN5wyLNu&#10;UlzD2gKqG8EeeWYT26gfs9FW+3Rv+E5sc/+6Z2p5idcYIz4H76Lgh03xyfvr6mmEFRHNcqkrl11+&#10;gxtgCM9e7ftxfJxyAfgim0cPO9ZJww7Jj5Ar0Htj/NecRSusiK6bsKKfj+U+lRulJ8dBPQy1djRq&#10;N4SfGrv7tvoo/kdYEdF0vPs2csN+5K+zLZ+dmjTeNwdDeE7zTQF8fnBE+VX6NeZHwA8a2AK+nZ/9&#10;Su/AEquAH3yD+LLHQXSOMRtD2ujemM1HWBHRxs7hfcvLVbaTY4d8EnpskLqpITdylLaZB4au53vk&#10;A7SkgR34RtTb4nNQN0eOmHWqVSsqnFRvXVte10p4HGFFRCs5p4+9exnLfnIcyfkMnUYehPmZoXZk&#10;071+9bLbnp+l5zs+ScKTm76mT4J/oRgK3ODa+EXD9x+p4x/mVZiz1lyKxqRxigf67/7u9ayUpxFW&#10;RLTS8/r4+rLF3lT/AE6ollXf0JP9sq8mdnAtxSpsp1zpxTbVixKrsEYg7yX/DzesS/V1aS7PI6yI&#10;aHPP5+PayFrPamEIPbIg90hM8OzJ438wQ7nVWvELuCHs4JofP7xLPhLrcHCfYAfYp3FAs7/RRpdK&#10;bDjCiohWck4f20buwgzxH5uExnd8iQ+Yr8EP4Pkve66BH1yL+SAa21yTmnNwLZ9P4r6NGW10RzpT&#10;2kdYEdFKz+vj6+qBsAP7o/Fftsh8DPkQ4gTlHtTXwI8Ur9zkP9jme+TgGev5KGZBX7hnNY3BelRX&#10;j0r5HWFFRCs9r49vL3dhCM945jbINYAlYAZ2XAM7dC3iJcVMrN/D/CzzLrmeCO9ymrfb69GYDCKs&#10;iGhj5/C+dcoY/FA+lbXFeXeG706oLkSxxNI4kscvXPvF86cJz3Rv3Kd1aJ06NCWXCCsi2tR5vH99&#10;8lcsQE+eklpwcET5D8Uw2PeSDXy6vNimxvqCvDfLumDyN4hhrD/r0585MomwApqbeWAdsA7M0YE5&#10;OONj9vP5YLlZbtYB64B1wDpgHbAOWAesA4eqA/e6rnvQN373+8b2XwAAAP//AwBQSwMEFAAGAAgA&#10;AAAhAGaDJpPeAAAABwEAAA8AAABkcnMvZG93bnJldi54bWxMjsFKw0AURfeC/zA8wZ2dpDFRY15K&#10;KeqqCLaCuJtmXpPQzJuQmSbp3zuudHm5l3NPsZpNJ0YaXGsZIV5EIIgrq1uuET73r3ePIJxXrFVn&#10;mRAu5GBVXl8VKtd24g8ad74WAcIuVwiN930upasaMsotbE8cuqMdjPIhDrXUg5oC3HRyGUWZNKrl&#10;8NConjYNVafd2SC8TWpaJ/HLuD0dN5fvffr+tY0J8fZmXj+D8DT7vzH86gd1KIPTwZ5ZO9EhZEkY&#10;IjykIEK7fEoyEAeENL5PQZaF/O9f/g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XSuzhF0EAAALDQAADgAAAAAAAAAAAAAAAAA8AgAAZHJzL2Uyb0RvYy54bWxQSwEC&#10;LQAUAAYACAAAACEA46fJPOrrAAC4nwcAFAAAAAAAAAAAAAAAAADFBgAAZHJzL21lZGlhL2ltYWdl&#10;MS5lbWZQSwECLQAUAAYACAAAACEAZoMmk94AAAAHAQAADwAAAAAAAAAAAAAAAADh8gAAZHJzL2Rv&#10;d25yZXYueG1sUEsBAi0AFAAGAAgAAAAhAI4iCUK6AAAAIQEAABkAAAAAAAAAAAAAAAAA7PMAAGRy&#10;cy9fcmVscy9lMm9Eb2MueG1sLnJlbHNQSwUGAAAAAAYABgB8AQAA3fQAAAAA&#10;">
                      <v:group id="그룹 1063" o:spid="_x0000_s1213"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그림 1070" o:spid="_x0000_s1214"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okgxwAAAN0AAAAPAAAAZHJzL2Rvd25yZXYueG1sRI9Bb8Iw&#10;DIXvSPsPkSftgiBl0jboCAhtQuKwAzDE2WpMU9o4XROg+/fzYRI3W+/5vc/zZe8bdaUuVoENTMYZ&#10;KOIi2IpLA4fv9WgKKiZki01gMvBLEZaLh8EccxtuvKPrPpVKQjjmaMCl1OZax8KRxzgOLbFop9B5&#10;TLJ2pbYd3iTcN/o5y161x4qlwWFLH46Ken/xBurV16R29ZbPw+PL7Pzjhtvi82LM02O/egeVqE93&#10;8//1xgp+9ib88o2MoBd/AAAA//8DAFBLAQItABQABgAIAAAAIQDb4fbL7gAAAIUBAAATAAAAAAAA&#10;AAAAAAAAAAAAAABbQ29udGVudF9UeXBlc10ueG1sUEsBAi0AFAAGAAgAAAAhAFr0LFu/AAAAFQEA&#10;AAsAAAAAAAAAAAAAAAAAHwEAAF9yZWxzLy5yZWxzUEsBAi0AFAAGAAgAAAAhAMuKiSDHAAAA3QAA&#10;AA8AAAAAAAAAAAAAAAAABwIAAGRycy9kb3ducmV2LnhtbFBLBQYAAAAAAwADALcAAAD7AgAAAAA=&#10;">
                          <v:imagedata r:id="rId41" o:title=""/>
                        </v:shape>
                        <v:shape id="Text Box 1071" o:spid="_x0000_s1215"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0NxQAAAN0AAAAPAAAAZHJzL2Rvd25yZXYueG1sRE9NawIx&#10;EL0L/Q9hCr2IZq1iZTWKSAu2F+nWi7dhM25WN5Mlyer23zeFQm/zeJ+z2vS2ETfyoXasYDLOQBCX&#10;TtdcKTh+vY0WIEJE1tg4JgXfFGCzfhisMNfuzp90K2IlUgiHHBWYGNtcylAashjGriVO3Nl5izFB&#10;X0nt8Z7CbSOfs2wuLdacGgy2tDNUXovOKjjMTgcz7M6vH9vZ1L8fu938UhVKPT322yWISH38F/+5&#10;9zrNz14m8PtNOkGufwAAAP//AwBQSwECLQAUAAYACAAAACEA2+H2y+4AAACFAQAAEwAAAAAAAAAA&#10;AAAAAAAAAAAAW0NvbnRlbnRfVHlwZXNdLnhtbFBLAQItABQABgAIAAAAIQBa9CxbvwAAABUBAAAL&#10;AAAAAAAAAAAAAAAAAB8BAABfcmVscy8ucmVsc1BLAQItABQABgAIAAAAIQDMOZ0NxQAAAN0AAAAP&#10;AAAAAAAAAAAAAAAAAAcCAABkcnMvZG93bnJldi54bWxQSwUGAAAAAAMAAwC3AAAA+QIAAAAA&#10;" stroked="f">
                          <v:textbox style="mso-fit-shape-to-text:t" inset="0,0,0,0">
                            <w:txbxContent>
                              <w:p w14:paraId="3AF39B4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v:textbox>
                        </v:shape>
                      </v:group>
                      <v:shape id="Text Box 1072" o:spid="_x0000_s1216" type="#_x0000_t202" style="position:absolute;left:5206;top:23012;width:12333;height:7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FDwgAAAN0AAAAPAAAAZHJzL2Rvd25yZXYueG1sRE/NisIw&#10;EL4LvkMYwYtoqoe1VKOosOgePNjdBxibsak2k9Jktb69ERb2Nh/f7yzXna3FnVpfOVYwnSQgiAun&#10;Ky4V/Hx/jlMQPiBrrB2Tgid5WK/6vSVm2j34RPc8lCKGsM9QgQmhyaT0hSGLfuIa4shdXGsxRNiW&#10;Urf4iOG2lrMk+ZAWK44NBhvaGSpu+a9VkKZ+Nyd/dvV1nx9GX7Sdno5GqeGg2yxABOrCv/jPfdBx&#10;fjKfwfubeIJcvQAAAP//AwBQSwECLQAUAAYACAAAACEA2+H2y+4AAACFAQAAEwAAAAAAAAAAAAAA&#10;AAAAAAAAW0NvbnRlbnRfVHlwZXNdLnhtbFBLAQItABQABgAIAAAAIQBa9CxbvwAAABUBAAALAAAA&#10;AAAAAAAAAAAAAB8BAABfcmVscy8ucmVsc1BLAQItABQABgAIAAAAIQCgGfFDwgAAAN0AAAAPAAAA&#10;AAAAAAAAAAAAAAcCAABkcnMvZG93bnJldi54bWxQSwUGAAAAAAMAAwC3AAAA9gIAAAAA&#10;" fillcolor="white [3212]" stroked="f" strokeweight=".5pt">
                        <v:textbox inset="0,0,0,0">
                          <w:txbxContent>
                            <w:p w14:paraId="35542705"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7869ABB4" w14:textId="77777777" w:rsidR="006D7011" w:rsidRPr="003C136D" w:rsidRDefault="006D7011" w:rsidP="00094D21">
                              <w:pPr>
                                <w:rPr>
                                  <w:rFonts w:asciiTheme="majorBidi" w:hAnsiTheme="majorBidi" w:cstheme="majorBidi"/>
                                  <w:b/>
                                  <w:bCs/>
                                  <w:sz w:val="10"/>
                                  <w:szCs w:val="10"/>
                                  <w:lang w:val="pl-PL"/>
                                </w:rPr>
                              </w:pPr>
                            </w:p>
                            <w:p w14:paraId="08ECFDC6"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v:textbox>
                      </v:shape>
                      <w10:wrap type="square"/>
                    </v:group>
                  </w:pict>
                </mc:Fallback>
              </mc:AlternateContent>
            </w:r>
          </w:p>
          <w:p w14:paraId="48F6CC89" w14:textId="77777777" w:rsidR="00094D21" w:rsidRPr="008F328C" w:rsidRDefault="00094D21" w:rsidP="008E70FE">
            <w:pPr>
              <w:pStyle w:val="a3"/>
              <w:numPr>
                <w:ilvl w:val="0"/>
                <w:numId w:val="125"/>
              </w:numPr>
              <w:rPr>
                <w:b/>
                <w:lang w:val="pl-PL"/>
              </w:rPr>
            </w:pPr>
            <w:r w:rsidRPr="008F328C">
              <w:rPr>
                <w:rFonts w:eastAsia="Times New Roman"/>
                <w:b/>
                <w:bCs/>
                <w:lang w:val="pl-PL"/>
              </w:rPr>
              <w:t>Wybrać odpowiednie miejsce wstrzyknięcia</w:t>
            </w:r>
          </w:p>
          <w:p w14:paraId="3F119270" w14:textId="77777777" w:rsidR="00094D21" w:rsidRPr="008F328C" w:rsidRDefault="00094D21" w:rsidP="008A03B2">
            <w:pPr>
              <w:pStyle w:val="a3"/>
              <w:rPr>
                <w:lang w:val="pl-PL"/>
              </w:rPr>
            </w:pPr>
          </w:p>
          <w:p w14:paraId="202BB765" w14:textId="77777777" w:rsidR="00094D21" w:rsidRPr="008F328C" w:rsidRDefault="00094D21" w:rsidP="008A03B2">
            <w:pPr>
              <w:pStyle w:val="a3"/>
              <w:ind w:left="3397"/>
              <w:rPr>
                <w:lang w:val="pl-PL"/>
              </w:rPr>
            </w:pPr>
            <w:r w:rsidRPr="008F328C">
              <w:rPr>
                <w:rFonts w:eastAsia="Times New Roman"/>
                <w:b/>
                <w:bCs/>
                <w:lang w:val="pl-PL"/>
              </w:rPr>
              <w:t>a.</w:t>
            </w:r>
            <w:r w:rsidRPr="008F328C">
              <w:rPr>
                <w:rFonts w:eastAsia="Times New Roman"/>
                <w:lang w:val="pl-PL"/>
              </w:rPr>
              <w:t xml:space="preserve"> Wstrzyknięcie można wykonać w:</w:t>
            </w:r>
          </w:p>
          <w:p w14:paraId="482755F6" w14:textId="77777777" w:rsidR="00094D21" w:rsidRPr="008F328C" w:rsidRDefault="00094D21" w:rsidP="008A03B2">
            <w:pPr>
              <w:pStyle w:val="a3"/>
              <w:ind w:left="3757"/>
              <w:rPr>
                <w:rFonts w:eastAsia="Times New Roman"/>
                <w:lang w:val="pl-PL"/>
              </w:rPr>
            </w:pPr>
            <w:r w:rsidRPr="008F328C">
              <w:rPr>
                <w:rFonts w:eastAsia="Times New Roman"/>
                <w:lang w:val="pl-PL"/>
              </w:rPr>
              <w:t xml:space="preserve">- przednią powierzchnię ud </w:t>
            </w:r>
          </w:p>
          <w:p w14:paraId="2819A805" w14:textId="77777777" w:rsidR="00094D21" w:rsidRPr="008F328C" w:rsidRDefault="00094D21" w:rsidP="008A03B2">
            <w:pPr>
              <w:pStyle w:val="a3"/>
              <w:ind w:left="3757"/>
              <w:rPr>
                <w:lang w:val="pl-PL"/>
              </w:rPr>
            </w:pPr>
            <w:r w:rsidRPr="008F328C">
              <w:rPr>
                <w:rFonts w:eastAsia="Times New Roman"/>
                <w:lang w:val="pl-PL"/>
              </w:rPr>
              <w:t xml:space="preserve">- brzuch w odległości co najmniej 5 cm od pępka. </w:t>
            </w:r>
          </w:p>
          <w:p w14:paraId="7B4F7FA2" w14:textId="77777777" w:rsidR="00094D21" w:rsidRPr="008F328C" w:rsidRDefault="00094D21" w:rsidP="008A03B2">
            <w:pPr>
              <w:pStyle w:val="a3"/>
              <w:ind w:left="3757"/>
              <w:rPr>
                <w:lang w:val="pl-PL"/>
              </w:rPr>
            </w:pPr>
            <w:r w:rsidRPr="008F328C">
              <w:rPr>
                <w:rFonts w:eastAsia="Times New Roman"/>
                <w:lang w:val="pl-PL"/>
              </w:rPr>
              <w:t xml:space="preserve">- zewnętrzną powierzchnię górnego ramienia (TYLKO opiekun). </w:t>
            </w:r>
          </w:p>
          <w:p w14:paraId="33E0766B" w14:textId="77777777" w:rsidR="00094D21" w:rsidRPr="008F328C" w:rsidRDefault="00094D21" w:rsidP="008A03B2">
            <w:pPr>
              <w:pStyle w:val="a3"/>
              <w:rPr>
                <w:lang w:val="pl-PL"/>
              </w:rPr>
            </w:pPr>
          </w:p>
          <w:p w14:paraId="452BB76B" w14:textId="77777777" w:rsidR="00094D21" w:rsidRPr="008F328C" w:rsidRDefault="00094D21" w:rsidP="008A03B2">
            <w:pPr>
              <w:pStyle w:val="a3"/>
              <w:numPr>
                <w:ilvl w:val="0"/>
                <w:numId w:val="18"/>
              </w:numPr>
              <w:ind w:left="3577"/>
              <w:rPr>
                <w:lang w:val="pl-PL"/>
              </w:rPr>
            </w:pPr>
            <w:r w:rsidRPr="008F328C">
              <w:rPr>
                <w:rFonts w:eastAsia="Times New Roman"/>
                <w:b/>
                <w:bCs/>
                <w:lang w:val="pl-PL"/>
              </w:rPr>
              <w:t>Nie należy</w:t>
            </w:r>
            <w:r w:rsidRPr="008F328C">
              <w:rPr>
                <w:rFonts w:eastAsia="Times New Roman"/>
                <w:lang w:val="pl-PL"/>
              </w:rPr>
              <w:t xml:space="preserve"> wykonywać wstrzyknięcia w skórę, która znajduje się w odległości 5 cm od pępka lub jeżeli skóra jest zaczerwieniona, twarda, tkliwa, uszkodzona, zasiniona lub jeżeli znajdują się na niej blizny. </w:t>
            </w:r>
          </w:p>
          <w:p w14:paraId="392867D4" w14:textId="77777777" w:rsidR="00094D21" w:rsidRPr="008F328C" w:rsidRDefault="00094D21" w:rsidP="008A03B2">
            <w:pPr>
              <w:pStyle w:val="a3"/>
              <w:numPr>
                <w:ilvl w:val="0"/>
                <w:numId w:val="18"/>
              </w:numPr>
              <w:ind w:left="3577"/>
              <w:rPr>
                <w:lang w:val="pl-PL"/>
              </w:rPr>
            </w:pPr>
            <w:r w:rsidRPr="008F328C">
              <w:rPr>
                <w:rFonts w:eastAsia="Times New Roman"/>
                <w:lang w:val="pl-PL"/>
              </w:rPr>
              <w:t xml:space="preserve">Jeśli pacjent choruje na łuszczycę, </w:t>
            </w:r>
            <w:r w:rsidRPr="008F328C">
              <w:rPr>
                <w:rFonts w:eastAsia="Times New Roman"/>
                <w:b/>
                <w:bCs/>
                <w:lang w:val="pl-PL"/>
              </w:rPr>
              <w:t>nie</w:t>
            </w:r>
            <w:r w:rsidRPr="008F328C">
              <w:rPr>
                <w:rFonts w:eastAsia="Times New Roman"/>
                <w:lang w:val="pl-PL"/>
              </w:rPr>
              <w:t xml:space="preserve"> należy wykonywać wstrzyknięcia bezpośrednio w uniesione, zgrubiałe, zaczerwienione lub łuszczące się miejsca na skórze lub zmiany skórne. </w:t>
            </w:r>
          </w:p>
          <w:p w14:paraId="5E23EF54" w14:textId="77777777" w:rsidR="00094D21" w:rsidRPr="008F328C" w:rsidRDefault="00094D21" w:rsidP="008A03B2">
            <w:pPr>
              <w:pStyle w:val="a3"/>
              <w:numPr>
                <w:ilvl w:val="0"/>
                <w:numId w:val="18"/>
              </w:numPr>
              <w:ind w:left="3577"/>
              <w:rPr>
                <w:lang w:val="pl-PL"/>
              </w:rPr>
            </w:pPr>
            <w:r w:rsidRPr="008F328C">
              <w:rPr>
                <w:rFonts w:eastAsia="Times New Roman"/>
                <w:b/>
                <w:bCs/>
                <w:lang w:val="pl-PL"/>
              </w:rPr>
              <w:t xml:space="preserve">Nie </w:t>
            </w:r>
            <w:r w:rsidRPr="008F328C">
              <w:rPr>
                <w:rFonts w:eastAsia="Times New Roman"/>
                <w:lang w:val="pl-PL"/>
              </w:rPr>
              <w:t>wykonywać wstrzyknięcia przez ubranie.</w:t>
            </w:r>
          </w:p>
          <w:p w14:paraId="23A15604" w14:textId="77777777" w:rsidR="00094D21" w:rsidRPr="008F328C" w:rsidRDefault="00094D21" w:rsidP="008A03B2">
            <w:pPr>
              <w:pStyle w:val="a3"/>
              <w:rPr>
                <w:lang w:val="pl-PL"/>
              </w:rPr>
            </w:pPr>
          </w:p>
          <w:p w14:paraId="7F6D8B86" w14:textId="77777777" w:rsidR="00094D21" w:rsidRPr="008F328C" w:rsidRDefault="00094D21" w:rsidP="008A03B2">
            <w:pPr>
              <w:pStyle w:val="a3"/>
              <w:ind w:left="3577" w:hanging="180"/>
              <w:rPr>
                <w:lang w:val="pl-PL"/>
              </w:rPr>
            </w:pPr>
            <w:r w:rsidRPr="008F328C">
              <w:rPr>
                <w:rFonts w:eastAsia="Times New Roman"/>
                <w:b/>
                <w:bCs/>
                <w:lang w:val="pl-PL"/>
              </w:rPr>
              <w:t>b.</w:t>
            </w:r>
            <w:r w:rsidRPr="008F328C">
              <w:rPr>
                <w:rFonts w:eastAsia="Times New Roman"/>
                <w:lang w:val="pl-PL"/>
              </w:rPr>
              <w:t xml:space="preserve"> Miejsce wstrzyknięcia należy za każdym razem zmieniać. Każde nowe miejsce wstrzyknięcia powinno znajdować się co najmniej 3 cm od wcześniejszego miejsca wstrzyknięcia.</w:t>
            </w:r>
          </w:p>
        </w:tc>
      </w:tr>
      <w:tr w:rsidR="00094D21" w:rsidRPr="00A5286D" w14:paraId="39C41ACF" w14:textId="77777777" w:rsidTr="008A03B2">
        <w:trPr>
          <w:trHeight w:val="5945"/>
        </w:trPr>
        <w:tc>
          <w:tcPr>
            <w:tcW w:w="9634" w:type="dxa"/>
          </w:tcPr>
          <w:p w14:paraId="022DA705" w14:textId="77777777" w:rsidR="00094D21" w:rsidRPr="008F328C" w:rsidRDefault="00094D21" w:rsidP="008A03B2">
            <w:pPr>
              <w:pStyle w:val="1"/>
              <w:spacing w:before="76"/>
              <w:ind w:left="0" w:right="2736"/>
              <w:rPr>
                <w:rFonts w:eastAsiaTheme="minorEastAsia" w:cs="Times New Roman"/>
                <w:lang w:val="pl-PL" w:eastAsia="ko-KR"/>
              </w:rPr>
            </w:pPr>
          </w:p>
          <w:p w14:paraId="2C6D239D" w14:textId="25D8F703" w:rsidR="00094D21" w:rsidRPr="008F328C" w:rsidRDefault="00094D21" w:rsidP="008A03B2">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16" behindDoc="0" locked="0" layoutInCell="1" allowOverlap="1" wp14:anchorId="31515857" wp14:editId="18B6D1B5">
                      <wp:simplePos x="0" y="0"/>
                      <wp:positionH relativeFrom="column">
                        <wp:posOffset>-20955</wp:posOffset>
                      </wp:positionH>
                      <wp:positionV relativeFrom="paragraph">
                        <wp:posOffset>100330</wp:posOffset>
                      </wp:positionV>
                      <wp:extent cx="2407920" cy="3092450"/>
                      <wp:effectExtent l="0" t="0" r="0" b="0"/>
                      <wp:wrapSquare wrapText="bothSides"/>
                      <wp:docPr id="1080" name="그룹 1080"/>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81" name="그림 108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82" name="Text Box 1082"/>
                              <wps:cNvSpPr txBox="1"/>
                              <wps:spPr>
                                <a:xfrm>
                                  <a:off x="1670050" y="2946400"/>
                                  <a:ext cx="719758" cy="146050"/>
                                </a:xfrm>
                                <a:prstGeom prst="rect">
                                  <a:avLst/>
                                </a:prstGeom>
                                <a:solidFill>
                                  <a:prstClr val="white"/>
                                </a:solidFill>
                                <a:ln>
                                  <a:noFill/>
                                </a:ln>
                              </wps:spPr>
                              <wps:txbx>
                                <w:txbxContent>
                                  <w:p w14:paraId="7E17DF3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515857" id="그룹 1080" o:spid="_x0000_s1217" style="position:absolute;margin-left:-1.65pt;margin-top:7.9pt;width:189.6pt;height:243.5pt;z-index:251658316"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JRJ3AwAACwgAAA4AAABkcnMvZTJvRG9jLnhtbJxV23LbNhB9z0z/&#10;AcP3mBQrX8SxnFHs2JMZN9HU7uQZAkERExJAAEiU+0H9hfahX9T+RM+CpBzZ6eTyIGoBLBZnz54F&#10;zl/t2oZtpfPK6HkyOcoSJrUwpdLrefLb/fXLs4T5wHXJG6PlPHmQPnl18dOL884WMje1aUrpGIJo&#10;X3R2ntQh2CJNvahly/2RsVJjsTKu5QFDt05LxztEb5s0z7KTtDOutM4I6T1mr/rF5CLGryopwvuq&#10;8jKwZp4AW4hfF78r+qYX57xYO25rJQYY/AdQtFxpHLoPdcUDZxunnoVqlXDGmyocCdOmpqqUkDEH&#10;ZDPJnmRz48zGxlzWRbe2e5pA7ROefjiseLe9cfbOLh2Y6OwaXMQR5bKrXEv/QMl2kbKHPWVyF5jA&#10;ZD7NTmc5mBVY+zmb5dPjgVRRg/ln+0T95is70/Hg9ACOVaLAb+AA1jMOvq4V7AobJ5MhSPtNMVru&#10;Pm7sS5TL8qBWqlHhIUoPhSFQertUYun6AehcOqZKtEJ2NkmY5i1E/8+ff/37x98sToFm2kWO/TZO&#10;ad0a8dEzbS5rrtdy4S2Eixgkz/TQPQ4Pzlw1yl6rpqFSkT1kB5E/EckXCOoFeGXEppU69B3lZINE&#10;jfa1sj5hrpDtSiIj97aMgHjhg5NB1HRghYN/BVgC+tlCRPkIjFLw0Bhbdb+YEozwTTCxX75bY/ns&#10;eDI9ixrbKwUUOh9upGkZGYAKRDE83976AdvoQqi1IcKAmReNPphATJqJ+AnxYCIBag/cUX7kF6Nn&#10;DH9XG97V3EqgpLAHuslH3dxTl702O1JOTloYXKldWdhhZdAIzfdox+bZd+3k5DTL0JMM/ZnPpifT&#10;bOjPsYNPJ7PTY9zS1MCT6Qn59sUcSzMS943cetOoctQj7b1sHNty3L9drYIcgh94/U8NHrMiK+xW&#10;u6Gz9lysTPkAKpxBzZGit+Ja4cRb7sOSO1zkmMTjFN7jUzWmmydmsBJWG/f7l+bJH4XFasI6PAzz&#10;xH/acLo1mrcaJUfIMBpuNFajoTftpUGu6H2giSY2uNCMZuVM+wFv1oJOwRLXAmfNkzCal6F/nvDm&#10;CblYRKf+8rnVdxZX1iQqm5i9333gzg51CSjoOzOKihdPpN/7kta9XaD7rlXsC2K2ZxFKpwEEHq34&#10;4sA6eNI+H0evxzf84j8A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CXFKi84AAAAAkBAAAPAAAAZHJzL2Rvd25yZXYu&#10;eG1sTI9BS8NAEIXvgv9hGcFbu0lDtI3ZlFLUUxFsBeltmp0modndkN0m6b93POlx3nu8+V6+nkwr&#10;Bup946yCeB6BIFs63dhKwdfhbbYE4QNaja2zpOBGHtbF/V2OmXaj/aRhHyrBJdZnqKAOocuk9GVN&#10;Bv3cdWTZO7veYOCzr6TuceRy08pFFD1Jg43lDzV2tK2pvOyvRsH7iOMmiV+H3eW8vR0P6cf3Lial&#10;Hh+mzQuIQFP4C8MvPqNDwUwnd7Xai1bBLEk4yXrKC9hPntMViJOCNFosQRa5/L+g+A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tD4lEncDAAALCAAADgAAAAAAAAAA&#10;AAAAAAA8AgAAZHJzL2Uyb0RvYy54bWxQSwECLQAUAAYACAAAACEAndx4OEWIAACY6QkAFAAAAAAA&#10;AAAAAAAAAADfBQAAZHJzL21lZGlhL2ltYWdlMS5lbWZQSwECLQAUAAYACAAAACEAlxSovOAAAAAJ&#10;AQAADwAAAAAAAAAAAAAAAABWjgAAZHJzL2Rvd25yZXYueG1sUEsBAi0AFAAGAAgAAAAhAI4iCUK6&#10;AAAAIQEAABkAAAAAAAAAAAAAAAAAY48AAGRycy9fcmVscy9lMm9Eb2MueG1sLnJlbHNQSwUGAAAA&#10;AAYABgB8AQAAVJAAAAAA&#10;">
                      <v:shape id="그림 1081" o:spid="_x0000_s121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UhwwAAAN0AAAAPAAAAZHJzL2Rvd25yZXYueG1sRE9LawIx&#10;EL4X/A9hBG81q4ciW6OIfbBtT2u9eBs242bpZrIkcY399U2h0Nt8fM9Zb5PtxUg+dI4VLOYFCOLG&#10;6Y5bBcfPl/sViBCRNfaOScGNAmw3k7s1ltpduabxEFuRQziUqMDEOJRShsaQxTB3A3Hmzs5bjBn6&#10;VmqP1xxue7ksigdpsePcYHCgvaHm63CxCt70h5fV6X18kibtu/RaP39XtVKzado9goiU4r/4z13p&#10;PL9YLeD3m3yC3PwAAAD//wMAUEsBAi0AFAAGAAgAAAAhANvh9svuAAAAhQEAABMAAAAAAAAAAAAA&#10;AAAAAAAAAFtDb250ZW50X1R5cGVzXS54bWxQSwECLQAUAAYACAAAACEAWvQsW78AAAAVAQAACwAA&#10;AAAAAAAAAAAAAAAfAQAAX3JlbHMvLnJlbHNQSwECLQAUAAYACAAAACEAUKjlIcMAAADdAAAADwAA&#10;AAAAAAAAAAAAAAAHAgAAZHJzL2Rvd25yZXYueG1sUEsFBgAAAAADAAMAtwAAAPcCAAAAAA==&#10;">
                        <v:imagedata r:id="rId43" o:title=""/>
                      </v:shape>
                      <v:shape id="Text Box 1082" o:spid="_x0000_s1219"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NdxAAAAN0AAAAPAAAAZHJzL2Rvd25yZXYueG1sRE9NawIx&#10;EL0X+h/CFHopmq2KyGoUkRZqL9LVi7dhM25WN5Mlyer23zeC0Ns83ucsVr1txJV8qB0reB9mIIhL&#10;p2uuFBz2n4MZiBCRNTaOScEvBVgtn58WmGt34x+6FrESKYRDjgpMjG0uZSgNWQxD1xIn7uS8xZig&#10;r6T2eEvhtpGjLJtKizWnBoMtbQyVl6KzCnaT4868daeP7/Vk7LeHbjM9V4VSry/9eg4iUh//xQ/3&#10;l07zs9kI7t+kE+TyDwAA//8DAFBLAQItABQABgAIAAAAIQDb4fbL7gAAAIUBAAATAAAAAAAAAAAA&#10;AAAAAAAAAABbQ29udGVudF9UeXBlc10ueG1sUEsBAi0AFAAGAAgAAAAhAFr0LFu/AAAAFQEAAAsA&#10;AAAAAAAAAAAAAAAAHwEAAF9yZWxzLy5yZWxzUEsBAi0AFAAGAAgAAAAhAAk+c13EAAAA3QAAAA8A&#10;AAAAAAAAAAAAAAAABwIAAGRycy9kb3ducmV2LnhtbFBLBQYAAAAAAwADALcAAAD4AgAAAAA=&#10;" stroked="f">
                        <v:textbox style="mso-fit-shape-to-text:t" inset="0,0,0,0">
                          <w:txbxContent>
                            <w:p w14:paraId="7E17DF3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v:textbox>
                      </v:shape>
                      <w10:wrap type="square"/>
                    </v:group>
                  </w:pict>
                </mc:Fallback>
              </mc:AlternateContent>
            </w:r>
          </w:p>
          <w:p w14:paraId="71FC0BBC" w14:textId="77777777" w:rsidR="00094D21" w:rsidRPr="008F328C" w:rsidRDefault="00094D21" w:rsidP="008E70FE">
            <w:pPr>
              <w:pStyle w:val="a3"/>
              <w:numPr>
                <w:ilvl w:val="0"/>
                <w:numId w:val="125"/>
              </w:numPr>
              <w:rPr>
                <w:lang w:val="pl-PL"/>
              </w:rPr>
            </w:pPr>
            <w:r w:rsidRPr="008F328C">
              <w:rPr>
                <w:rFonts w:eastAsia="Times New Roman"/>
                <w:b/>
                <w:bCs/>
                <w:lang w:val="pl-PL"/>
              </w:rPr>
              <w:t>Umyć ręce</w:t>
            </w:r>
          </w:p>
          <w:p w14:paraId="6D5B2A00" w14:textId="77777777" w:rsidR="00094D21" w:rsidRPr="008F328C" w:rsidRDefault="00094D21" w:rsidP="008A03B2">
            <w:pPr>
              <w:pStyle w:val="a3"/>
              <w:numPr>
                <w:ilvl w:val="0"/>
                <w:numId w:val="0"/>
              </w:numPr>
              <w:ind w:left="471"/>
              <w:rPr>
                <w:lang w:val="pl-PL"/>
              </w:rPr>
            </w:pPr>
          </w:p>
          <w:p w14:paraId="5D6721D5" w14:textId="77777777" w:rsidR="00094D21" w:rsidRPr="008F328C" w:rsidRDefault="00094D21" w:rsidP="008A03B2">
            <w:pPr>
              <w:pStyle w:val="a3"/>
              <w:ind w:left="4117"/>
              <w:rPr>
                <w:lang w:val="pl-PL"/>
              </w:rPr>
            </w:pPr>
            <w:r w:rsidRPr="008F328C">
              <w:rPr>
                <w:rFonts w:eastAsia="Times New Roman"/>
                <w:b/>
                <w:bCs/>
                <w:lang w:val="pl-PL"/>
              </w:rPr>
              <w:t>a.</w:t>
            </w:r>
            <w:r w:rsidRPr="008F328C">
              <w:rPr>
                <w:rFonts w:eastAsia="Times New Roman"/>
                <w:lang w:val="pl-PL"/>
              </w:rPr>
              <w:t xml:space="preserve"> Umyć ręce wodą z mydłem i dokładnie osuszyć. </w:t>
            </w:r>
          </w:p>
          <w:p w14:paraId="5889CE81" w14:textId="77777777" w:rsidR="00094D21" w:rsidRPr="008F328C" w:rsidRDefault="00094D21" w:rsidP="008A03B2">
            <w:pPr>
              <w:spacing w:line="252" w:lineRule="exact"/>
              <w:rPr>
                <w:rFonts w:ascii="Times New Roman" w:hAnsi="Times New Roman" w:cs="Times New Roman"/>
                <w:lang w:val="pl-PL"/>
              </w:rPr>
            </w:pPr>
          </w:p>
        </w:tc>
      </w:tr>
      <w:tr w:rsidR="00094D21" w:rsidRPr="00A5286D" w14:paraId="1B1438DF" w14:textId="77777777" w:rsidTr="008A03B2">
        <w:trPr>
          <w:trHeight w:val="5945"/>
        </w:trPr>
        <w:tc>
          <w:tcPr>
            <w:tcW w:w="9634" w:type="dxa"/>
          </w:tcPr>
          <w:p w14:paraId="01A527F4" w14:textId="77777777" w:rsidR="00094D21" w:rsidRPr="008F328C" w:rsidRDefault="00094D21" w:rsidP="008A03B2">
            <w:pPr>
              <w:pStyle w:val="a3"/>
              <w:rPr>
                <w:lang w:val="pl-PL"/>
              </w:rPr>
            </w:pPr>
          </w:p>
          <w:p w14:paraId="1B18BF82" w14:textId="720301B2" w:rsidR="00094D21" w:rsidRPr="008F328C" w:rsidRDefault="00094D21" w:rsidP="008A03B2">
            <w:pPr>
              <w:pStyle w:val="a3"/>
              <w:rPr>
                <w:lang w:val="pl-PL"/>
              </w:rPr>
            </w:pPr>
            <w:r w:rsidRPr="008F328C">
              <w:rPr>
                <w:noProof/>
                <w:lang w:eastAsia="ko-KR"/>
              </w:rPr>
              <mc:AlternateContent>
                <mc:Choice Requires="wpg">
                  <w:drawing>
                    <wp:anchor distT="0" distB="0" distL="114300" distR="114300" simplePos="0" relativeHeight="251658317" behindDoc="0" locked="0" layoutInCell="1" allowOverlap="1" wp14:anchorId="3897C6E6" wp14:editId="31B63D99">
                      <wp:simplePos x="0" y="0"/>
                      <wp:positionH relativeFrom="column">
                        <wp:posOffset>74295</wp:posOffset>
                      </wp:positionH>
                      <wp:positionV relativeFrom="paragraph">
                        <wp:posOffset>139065</wp:posOffset>
                      </wp:positionV>
                      <wp:extent cx="2256458" cy="2921000"/>
                      <wp:effectExtent l="0" t="0" r="0" b="0"/>
                      <wp:wrapSquare wrapText="bothSides"/>
                      <wp:docPr id="1083" name="그룹 1083"/>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84" name="그림 108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85" name="Text Box 1085"/>
                              <wps:cNvSpPr txBox="1"/>
                              <wps:spPr>
                                <a:xfrm>
                                  <a:off x="1536700" y="2774950"/>
                                  <a:ext cx="719758" cy="146050"/>
                                </a:xfrm>
                                <a:prstGeom prst="rect">
                                  <a:avLst/>
                                </a:prstGeom>
                                <a:solidFill>
                                  <a:prstClr val="white"/>
                                </a:solidFill>
                                <a:ln>
                                  <a:noFill/>
                                </a:ln>
                              </wps:spPr>
                              <wps:txbx>
                                <w:txbxContent>
                                  <w:p w14:paraId="2C29ACF8"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97C6E6" id="그룹 1083" o:spid="_x0000_s1220" style="position:absolute;margin-left:5.85pt;margin-top:10.95pt;width:177.65pt;height:230pt;z-index:251658317"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11+x3AwAACwgAAA4AAABkcnMvZTJvRG9jLnhtbJxV23LbNhB970z/&#10;AcP3mJKiS8yxnFHt2pMZN9HU7uQZAkERExJAAUik+0H9hfahX5T8RM+CpGzZ6ST1g6gFsFicPXsW&#10;OHvb1hXbS+eV0ctkfDJKmNTC5Epvl8lvd1ev3iTMB65zXhktl8m99Mnb8x9/OGtsJiemNFUuHUMQ&#10;7bPGLpMyBJulqRelrLk/MVZqLBbG1Txg6LZp7niD6HWVTkajedoYl1tnhPQes5fdYnIe4xeFFOFD&#10;UXgZWLVMgC3Er4vfDX3T8zOebR23pRI9DP4CFDVXGoceQl3ywNnOqWehaiWc8aYIJ8LUqSkKJWTM&#10;AdmMR0+yuXZmZ2Mu26zZ2gNNoPYJTy8OK97vr529tWsHJhq7BRdxRLm0havpHyhZGym7P1Am28AE&#10;JieT2Xw6Q5EF1iank/Fo1JMqSjD/bJ8of/7GznQ4OD2CY5XI8Os5gPWMg29rBbvCzsmkD1J/V4ya&#10;u087+wrlsjyojapUuI/SQ2EIlN6vlVi7bgA6146pHK0wejNNmOY1RP/5r7+//PkPi1OgmXaRY7eN&#10;U1o3RnzyTJuLkuutXHkL4SIGyTM9do/DozM3lbJXqqqoVGT32UHkT0TyFYI6AV4asaulDl1HOVkh&#10;UaN9qaxPmMtkvZHIyL3LIyCe+eBkECUdWODgXwGWgD5aiCgfgFEKHhpjm+YXk4MRvgsm9st3amw2&#10;m6B7o8YW8+niNGrsoBRQ6Hy4lqZmZAAqEMXwfH/je2yDC6HWhggDZp5V+mgCMWkm4ifEvYkEqD1w&#10;R/mBX4yeMfy/2vC25FYCJYU90s1s0M0dddlPpiXlzEgLvSu1KwstVnqN0HyHdmieQ9eOZ6/nC/Qk&#10;o/5cLKans74/hw5ejE8XQwOPp/NRt/5ybr2pVD7okUi/qBzbc9y/TamCjJKGUh57/UcNHrIiK7Sb&#10;tu+s1wMXG5PfgwpnUHOk6K24Ujjxhvuw5g4XOSbxOIUP+BSVaZaJ6a2Elcb98bV58kdhsZqwBg/D&#10;MvG/7zjdGtU7jZIjZBgMNxibwdC7+sIg13FEE01scKEazMKZ+iPerBWdgiWuBc5aJmEwL0L3POHN&#10;E3K1ik7d5XOjby2urHFUNjF7137kzvaaDyjoezOIimdPpN/5kta9XaH7rlTsC2K2YxFKpwEEHq34&#10;4sA6etIej6PXwxt+/i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BZPVbbfAAAA&#10;CQEAAA8AAABkcnMvZG93bnJldi54bWxMj8FOwzAQRO9I/IO1SNyo4xbaEuJUVQWcqkq0SIibG2+T&#10;qPE6it0k/XuWExxnZzT7JluNrhE9dqH2pEFNEhBIhbc1lRo+D28PSxAhGrKm8YQarhhgld/eZCa1&#10;fqAP7PexFFxCITUaqhjbVMpQVOhMmPgWib2T75yJLLtS2s4MXO4aOU2SuXSmJv5QmRY3FRbn/cVp&#10;eB/MsJ6p1357Pm2u34en3ddWodb3d+P6BUTEMf6F4Ref0SFnpqO/kA2iYa0WnNQwVc8g2J/NF7zt&#10;qOFxyReZZ/L/gvw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Co1&#10;1+x3AwAACwgAAA4AAAAAAAAAAAAAAAAAPAIAAGRycy9lMm9Eb2MueG1sUEsBAi0AFAAGAAgAAAAh&#10;AOw+MKDGfgAAmOkJABQAAAAAAAAAAAAAAAAA3wUAAGRycy9tZWRpYS9pbWFnZTEuZW1mUEsBAi0A&#10;FAAGAAgAAAAhABZPVbbfAAAACQEAAA8AAAAAAAAAAAAAAAAA14QAAGRycy9kb3ducmV2LnhtbFBL&#10;AQItABQABgAIAAAAIQCOIglCugAAACEBAAAZAAAAAAAAAAAAAAAAAOOFAABkcnMvX3JlbHMvZTJv&#10;RG9jLnhtbC5yZWxzUEsFBgAAAAAGAAYAfAEAANSGAAAAAA==&#10;">
                      <v:shape id="그림 1084" o:spid="_x0000_s122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2XpxQAAAN0AAAAPAAAAZHJzL2Rvd25yZXYueG1sRI9Ba8Mw&#10;DIXvg/4Ho8IuY3U2yghp3DACpb2Usm6wq4jVOCyW3dhr0n9fFwa7Sbyn9z2V1WR7caEhdI4VvCwy&#10;EMSN0x23Cr4+N885iBCRNfaOScGVAlTr2UOJhXYjf9DlGFuRQjgUqMDE6AspQ2PIYlg4T5y0kxss&#10;xrQOrdQDjinc9vI1y96kxY4TwaCn2lDzc/y1CfKke28O1/i95Xoa3SE/+31Q6nE+va9ARJriv/nv&#10;eqdT/Sxfwv2bNIJc3wAAAP//AwBQSwECLQAUAAYACAAAACEA2+H2y+4AAACFAQAAEwAAAAAAAAAA&#10;AAAAAAAAAAAAW0NvbnRlbnRfVHlwZXNdLnhtbFBLAQItABQABgAIAAAAIQBa9CxbvwAAABUBAAAL&#10;AAAAAAAAAAAAAAAAAB8BAABfcmVscy8ucmVsc1BLAQItABQABgAIAAAAIQD3c2XpxQAAAN0AAAAP&#10;AAAAAAAAAAAAAAAAAAcCAABkcnMvZG93bnJldi54bWxQSwUGAAAAAAMAAwC3AAAA+QIAAAAA&#10;">
                        <v:imagedata r:id="rId45" o:title=""/>
                      </v:shape>
                      <v:shape id="Text Box 1085" o:spid="_x0000_s122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spxQAAAN0AAAAPAAAAZHJzL2Rvd25yZXYueG1sRE9NawIx&#10;EL0X+h/CFHopmm2rIqtRRFpoexFXL96GzbhZu5ksSVbXf28KBW/zeJ8zX/a2EWfyoXas4HWYgSAu&#10;na65UrDffQ6mIEJE1tg4JgVXCrBcPD7MMdfuwls6F7ESKYRDjgpMjG0uZSgNWQxD1xIn7ui8xZig&#10;r6T2eEnhtpFvWTaRFmtODQZbWhsqf4vOKtiMDhvz0h0/flajd/+979aTU1Uo9fzUr2YgIvXxLv53&#10;f+k0P5uO4e+bdIJc3AAAAP//AwBQSwECLQAUAAYACAAAACEA2+H2y+4AAACFAQAAEwAAAAAAAAAA&#10;AAAAAAAAAAAAW0NvbnRlbnRfVHlwZXNdLnhtbFBLAQItABQABgAIAAAAIQBa9CxbvwAAABUBAAAL&#10;AAAAAAAAAAAAAAAAAB8BAABfcmVscy8ucmVsc1BLAQItABQABgAIAAAAIQCG1+spxQAAAN0AAAAP&#10;AAAAAAAAAAAAAAAAAAcCAABkcnMvZG93bnJldi54bWxQSwUGAAAAAAMAAwC3AAAA+QIAAAAA&#10;" stroked="f">
                        <v:textbox style="mso-fit-shape-to-text:t" inset="0,0,0,0">
                          <w:txbxContent>
                            <w:p w14:paraId="2C29ACF8"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v:textbox>
                      </v:shape>
                      <w10:wrap type="square"/>
                    </v:group>
                  </w:pict>
                </mc:Fallback>
              </mc:AlternateContent>
            </w:r>
          </w:p>
          <w:p w14:paraId="1F77A483" w14:textId="77777777" w:rsidR="00094D21" w:rsidRPr="008F328C" w:rsidRDefault="00094D21" w:rsidP="008E70FE">
            <w:pPr>
              <w:pStyle w:val="a3"/>
              <w:numPr>
                <w:ilvl w:val="0"/>
                <w:numId w:val="125"/>
              </w:numPr>
              <w:rPr>
                <w:b/>
                <w:lang w:val="pl-PL"/>
              </w:rPr>
            </w:pPr>
            <w:r w:rsidRPr="008F328C">
              <w:rPr>
                <w:rFonts w:eastAsia="Times New Roman"/>
                <w:b/>
                <w:bCs/>
                <w:lang w:val="pl-PL"/>
              </w:rPr>
              <w:t>Oczyścić miejsce wstrzyknięcia</w:t>
            </w:r>
          </w:p>
          <w:p w14:paraId="4BEEF79A" w14:textId="77777777" w:rsidR="00094D21" w:rsidRPr="008F328C" w:rsidRDefault="00094D21" w:rsidP="008A03B2">
            <w:pPr>
              <w:pStyle w:val="a3"/>
              <w:rPr>
                <w:lang w:val="pl-PL"/>
              </w:rPr>
            </w:pPr>
          </w:p>
          <w:p w14:paraId="299DA9C3" w14:textId="77777777" w:rsidR="00094D21" w:rsidRPr="008F328C" w:rsidRDefault="00094D21" w:rsidP="008A03B2">
            <w:pPr>
              <w:pStyle w:val="a3"/>
              <w:ind w:left="4300" w:hanging="250"/>
              <w:rPr>
                <w:lang w:val="pl-PL"/>
              </w:rPr>
            </w:pPr>
            <w:r w:rsidRPr="008F328C">
              <w:rPr>
                <w:rFonts w:eastAsia="Times New Roman"/>
                <w:b/>
                <w:bCs/>
                <w:lang w:val="pl-PL"/>
              </w:rPr>
              <w:t>a</w:t>
            </w:r>
            <w:r w:rsidRPr="008F328C">
              <w:rPr>
                <w:rFonts w:eastAsia="Times New Roman"/>
                <w:lang w:val="pl-PL"/>
              </w:rPr>
              <w:t>. Oczyścić miejsce wstrzyknięcia gazikiem nasączonym alkoholem, okrężnym ruchem.</w:t>
            </w:r>
          </w:p>
          <w:p w14:paraId="20865703" w14:textId="77777777" w:rsidR="00094D21" w:rsidRPr="008F328C" w:rsidRDefault="00094D21" w:rsidP="008A03B2">
            <w:pPr>
              <w:pStyle w:val="a3"/>
              <w:ind w:left="4387" w:hanging="337"/>
              <w:rPr>
                <w:lang w:val="pl-PL"/>
              </w:rPr>
            </w:pPr>
            <w:r w:rsidRPr="008F328C">
              <w:rPr>
                <w:rFonts w:eastAsia="Times New Roman"/>
                <w:b/>
                <w:bCs/>
                <w:lang w:val="pl-PL"/>
              </w:rPr>
              <w:t>b.</w:t>
            </w:r>
            <w:r w:rsidRPr="008F328C">
              <w:rPr>
                <w:rFonts w:eastAsia="Times New Roman"/>
                <w:lang w:val="pl-PL"/>
              </w:rPr>
              <w:t xml:space="preserve"> Pozwolić, żeby skóra wyschła przed wstrzyknięciem.</w:t>
            </w:r>
          </w:p>
          <w:p w14:paraId="5CC4D844" w14:textId="77777777" w:rsidR="00094D21" w:rsidRPr="008F328C" w:rsidRDefault="00094D21" w:rsidP="008A03B2">
            <w:pPr>
              <w:pStyle w:val="a3"/>
              <w:rPr>
                <w:lang w:val="pl-PL"/>
              </w:rPr>
            </w:pPr>
          </w:p>
          <w:p w14:paraId="06A9A22A" w14:textId="77777777" w:rsidR="00094D21" w:rsidRPr="008F328C" w:rsidRDefault="00094D21" w:rsidP="008A03B2">
            <w:pPr>
              <w:pStyle w:val="a3"/>
              <w:rPr>
                <w:lang w:val="pl-PL"/>
              </w:rPr>
            </w:pPr>
          </w:p>
          <w:p w14:paraId="34BEE998" w14:textId="77777777" w:rsidR="00094D21" w:rsidRPr="008F328C" w:rsidRDefault="00094D21" w:rsidP="008A03B2">
            <w:pPr>
              <w:rPr>
                <w:rFonts w:ascii="Times New Roman" w:hAnsi="Times New Roman" w:cs="Times New Roman"/>
                <w:lang w:val="pl-PL"/>
              </w:rPr>
            </w:pPr>
            <w:r w:rsidRPr="008F328C">
              <w:rPr>
                <w:rFonts w:ascii="Times New Roman" w:eastAsia="맑은 고딕" w:hAnsi="Times New Roman" w:cs="Times New Roman"/>
                <w:lang w:val="pl-PL"/>
              </w:rPr>
              <w:t>•</w:t>
            </w:r>
            <w:r w:rsidRPr="008F328C">
              <w:rPr>
                <w:rFonts w:ascii="Times New Roman" w:eastAsia="Calibri" w:hAnsi="Times New Roman" w:cs="Times New Roman"/>
                <w:lang w:val="pl-PL"/>
              </w:rPr>
              <w:t xml:space="preserve"> </w:t>
            </w:r>
            <w:r w:rsidRPr="008F328C">
              <w:rPr>
                <w:rFonts w:ascii="Times New Roman" w:eastAsia="Times New Roman" w:hAnsi="Times New Roman" w:cs="Times New Roman"/>
                <w:b/>
                <w:bCs/>
                <w:lang w:val="pl-PL"/>
              </w:rPr>
              <w:t xml:space="preserve">Nie </w:t>
            </w:r>
            <w:r w:rsidRPr="008F328C">
              <w:rPr>
                <w:rFonts w:ascii="Times New Roman" w:eastAsia="Times New Roman" w:hAnsi="Times New Roman" w:cs="Times New Roman"/>
                <w:lang w:val="pl-PL"/>
              </w:rPr>
              <w:t xml:space="preserve"> dmuchać na miejsce wstrzyknięcia ani dotykać go ponownie przed podaniem wstrzyknięcia.</w:t>
            </w:r>
          </w:p>
        </w:tc>
      </w:tr>
    </w:tbl>
    <w:p w14:paraId="5040D4E5" w14:textId="265DE9E3" w:rsidR="00094D21" w:rsidRPr="008F328C" w:rsidRDefault="00094D21" w:rsidP="00094D21">
      <w:pPr>
        <w:spacing w:before="9" w:line="110" w:lineRule="exact"/>
        <w:rPr>
          <w:rFonts w:ascii="Times New Roman" w:hAnsi="Times New Roman" w:cs="Times New Roman"/>
          <w:sz w:val="20"/>
          <w:szCs w:val="20"/>
          <w:lang w:val="pl-PL"/>
        </w:rPr>
      </w:pPr>
    </w:p>
    <w:p w14:paraId="7BE26A33" w14:textId="77777777" w:rsidR="00B053A4" w:rsidRPr="008F328C" w:rsidRDefault="00B053A4" w:rsidP="00094D21">
      <w:pPr>
        <w:spacing w:before="9" w:line="110" w:lineRule="exact"/>
        <w:rPr>
          <w:rFonts w:ascii="Times New Roman" w:hAnsi="Times New Roman" w:cs="Times New Roman"/>
          <w:sz w:val="20"/>
          <w:szCs w:val="20"/>
          <w:lang w:val="pl-PL"/>
        </w:rPr>
      </w:pPr>
    </w:p>
    <w:tbl>
      <w:tblPr>
        <w:tblStyle w:val="ac"/>
        <w:tblW w:w="0" w:type="auto"/>
        <w:tblLook w:val="04A0" w:firstRow="1" w:lastRow="0" w:firstColumn="1" w:lastColumn="0" w:noHBand="0" w:noVBand="1"/>
      </w:tblPr>
      <w:tblGrid>
        <w:gridCol w:w="9209"/>
      </w:tblGrid>
      <w:tr w:rsidR="00094D21" w:rsidRPr="00A5286D" w14:paraId="7FF65702" w14:textId="77777777" w:rsidTr="008A03B2">
        <w:trPr>
          <w:trHeight w:val="5669"/>
        </w:trPr>
        <w:tc>
          <w:tcPr>
            <w:tcW w:w="9209" w:type="dxa"/>
          </w:tcPr>
          <w:p w14:paraId="62342E48" w14:textId="77777777" w:rsidR="00094D21" w:rsidRPr="008F328C" w:rsidRDefault="00094D21" w:rsidP="008A03B2">
            <w:pPr>
              <w:ind w:left="104"/>
              <w:rPr>
                <w:rFonts w:ascii="Times New Roman" w:eastAsia="Times New Roman" w:hAnsi="Times New Roman" w:cs="Times New Roman"/>
                <w:b/>
                <w:bCs/>
                <w:spacing w:val="-1"/>
                <w:lang w:val="pl-PL"/>
              </w:rPr>
            </w:pPr>
          </w:p>
          <w:p w14:paraId="06E058E0" w14:textId="77777777" w:rsidR="00094D21" w:rsidRPr="008F328C" w:rsidRDefault="00094D21" w:rsidP="008A03B2">
            <w:pPr>
              <w:pStyle w:val="Default"/>
              <w:rPr>
                <w:rFonts w:ascii="Times New Roman" w:hAnsi="Times New Roman" w:cs="Times New Roman"/>
                <w:lang w:val="pl-PL"/>
              </w:rPr>
            </w:pPr>
          </w:p>
          <w:p w14:paraId="67BE3F3F" w14:textId="0FCB9351" w:rsidR="00094D21" w:rsidRPr="008F328C" w:rsidRDefault="00094D21" w:rsidP="008A03B2">
            <w:pPr>
              <w:pStyle w:val="Default"/>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18" behindDoc="0" locked="0" layoutInCell="1" allowOverlap="1" wp14:anchorId="3765DA78" wp14:editId="66773178">
                      <wp:simplePos x="0" y="0"/>
                      <wp:positionH relativeFrom="column">
                        <wp:posOffset>55245</wp:posOffset>
                      </wp:positionH>
                      <wp:positionV relativeFrom="paragraph">
                        <wp:posOffset>76835</wp:posOffset>
                      </wp:positionV>
                      <wp:extent cx="2354580" cy="3086100"/>
                      <wp:effectExtent l="19050" t="19050" r="26670" b="0"/>
                      <wp:wrapSquare wrapText="bothSides"/>
                      <wp:docPr id="1086" name="그룹 1086"/>
                      <wp:cNvGraphicFramePr/>
                      <a:graphic xmlns:a="http://schemas.openxmlformats.org/drawingml/2006/main">
                        <a:graphicData uri="http://schemas.microsoft.com/office/word/2010/wordprocessingGroup">
                          <wpg:wgp>
                            <wpg:cNvGrpSpPr/>
                            <wpg:grpSpPr>
                              <a:xfrm>
                                <a:off x="0" y="0"/>
                                <a:ext cx="2354580" cy="3086100"/>
                                <a:chOff x="7721" y="0"/>
                                <a:chExt cx="2355012" cy="3086100"/>
                              </a:xfrm>
                            </wpg:grpSpPr>
                            <pic:pic xmlns:pic="http://schemas.openxmlformats.org/drawingml/2006/picture">
                              <pic:nvPicPr>
                                <pic:cNvPr id="1087" name="그림 1087"/>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7721" y="0"/>
                                  <a:ext cx="2355012" cy="2907030"/>
                                </a:xfrm>
                                <a:prstGeom prst="rect">
                                  <a:avLst/>
                                </a:prstGeom>
                                <a:noFill/>
                                <a:ln w="6350">
                                  <a:solidFill>
                                    <a:schemeClr val="tx1"/>
                                  </a:solidFill>
                                </a:ln>
                              </pic:spPr>
                            </pic:pic>
                            <wps:wsp>
                              <wps:cNvPr id="128" name="Text Box 128"/>
                              <wps:cNvSpPr txBox="1"/>
                              <wps:spPr>
                                <a:xfrm>
                                  <a:off x="1612900" y="2940050"/>
                                  <a:ext cx="719758" cy="146050"/>
                                </a:xfrm>
                                <a:prstGeom prst="rect">
                                  <a:avLst/>
                                </a:prstGeom>
                                <a:solidFill>
                                  <a:prstClr val="white"/>
                                </a:solidFill>
                                <a:ln>
                                  <a:noFill/>
                                </a:ln>
                              </wps:spPr>
                              <wps:txbx>
                                <w:txbxContent>
                                  <w:p w14:paraId="2D98C47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765DA78" id="그룹 1086" o:spid="_x0000_s1223" style="position:absolute;margin-left:4.35pt;margin-top:6.05pt;width:185.4pt;height:243pt;z-index:251658318;mso-width-relative:margin;mso-height-relative:margin" coordorigin="77" coordsize="235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BKiogMAAEMIAAAOAAAAZHJzL2Uyb0RvYy54bWycVdtu4zYQfS/QfyD0&#10;vpHkxHYixAncpAkWSHeNJsU+0xRlESuRLElbyn5Qf6F92C/a/Yk9pCTfEqBtHiwPyeFw5sw55OV1&#10;W1dkw40VSs6i9CSJCJdM5UKuZtEfT3fvziNiHZU5rZTks+iZ2+j66uefLhud8ZEqVZVzQxBE2qzR&#10;s6h0TmdxbFnJa2pPlOYSi4UyNXUYmlWcG9ogel3FoySZxI0yuTaKcWsxe9stRlchflFw5j4WheWO&#10;VLMIubnwNeG79N/46pJmK0N1KVifBn1DFjUVEoduQ91SR8naiBehasGMsqpwJ0zVsSoKwXioAdWk&#10;yVE190atdahllTUrvYUJ0B7h9Oaw7MPm3uhHvTBAotErYBFGvpa2MLX/R5akDZA9byHjrSMMk6PT&#10;8dn4HMgyrJ0m55M06UFlJZD3+6bTURqR3VZW/rrbPE7S0YvN8XB2fJCRFizDr4cB1gsY/p0u2OXW&#10;hkd9kPo/xaip+bzW79AxTZ1Yikq458A+9MYnJTcLwRamGwDRhSEihxqS82lEJK3B+29///P9r68k&#10;TAFpv8s7dtuoL+tBsc+WSHVTUrnic6vBXcTwDI0P3cPw4MxlJfSdqCrfLW/31YHnRzx5BaCOg7eK&#10;rWsuXScqwysUqqQthbYRMRmvlxwVmfc5WskgaIeatBHSdQqyhv2OfIOarDPcsXLIe5ebr8KCaWTZ&#10;/KZyBKBrp4Jqjph2zJg9su34MrpIpslpINuWLwDSWHfPVU28gYSRVDiBbh6sTw+ug4sHSyoPW0i7&#10;kqSZRZPTcRI2WFWJfMA0XEf8pjJkQ3GRuLZrC832vBC5kn2vfJW9iaK9sHC72aEtGL1ozP8S8GNJ&#10;NUeWPuwe3Ua4azu2PXnEflEtSTGH6npHL3PiWiz0xPLzXa6D4rZqTycpEIawIdzRxVmSAJeA09CM&#10;aXoxHeNEL/z0bNKvv70Ve1B2PdrC3ZTC8aCDA8A7vPd6OHRgV5W3XLtsezmeDVgsVf4MKIwCRVCi&#10;1exOgC8P1LoFNXgAMIlHzX3Ep6gUeKF6KyKlMl9em/f+aCtWI9LgQZlF9s819VdN9V6i4QjpBsMM&#10;xnIw5Lq+UaAW5IVsgokNxlWDWRhVf8JbN/enYIlKhrPAxcG8cd2zhreS8fk8OHU31oN81Ljn0sBr&#10;z/6n9hM1upeIQ0M/qIFSNDtSSufrtWL1HHq9E0FGHtkORfDcD0DvYIWXCtbBU7g/Dl67t//qBwAA&#10;AP//AwBQSwMECgAAAAAAAAAhADDJQcKp+QIAqfkCABQAAABkcnMvbWVkaWEvaW1hZ2UxLnBuZ4lQ&#10;TkcNChoKAAAADUlIRFIAAAI3AAACvAgCAAAAnD0J4gAAAAFzUkdCAK7OHOkAAAAEZ0FNQQAAsY8L&#10;/GEFAAAACXBIWXMAACHVAAAh1QEEnLSdAAD/pUlEQVR4Xuz9B3gWVffvjT/X9b/e/znvOb/feR6V&#10;ENJ7pyUhPYReVOwNKQpIrwrYu4KKNAWR3nvvHUKHQCCEhN4hhPSQ3sv7mVl3xpsAHhGQRPeXzWTP&#10;nj179t6z1vquNTP3zL8qFRQUFBQUaioUSykoKCgo1FwollJQUFBQqLlQLKWgoKCgUHOhWEpBQUFB&#10;oeZCsZSCgoKCQs2FYikFBQUFhZoLxVIKCgoKCjUXiqUUFBQUFGouFEspKCgoKNRcKJZSUFBQUKi5&#10;UCyloKCgoFBzoVhKQUFBQaHmQrGUgoKCgkLNhWIpBQUFBYWaC8VSCgoKCgo1F4qlFBQUFBRqLhRL&#10;KSgoKCjUXCiWUlBQUFCouVAspaCgoKBQc6FYSkFBQUGh5kKxlIKCgoJCzYViKQUFBQWFmgvFUgoK&#10;CgoKNReKpRQUFBQUai4USykoKCgo1FwollJQUFBQqLlQLKWgoKCgUHOhWEpBQUFBoeZCsZSCgoKC&#10;Qs2FYikFBQUFhZoLxVIKCgoKCjUXiqUUFBQUFGouFEspKCgoKNRcKJZSUFBQUKi5UCyloKCgoFBz&#10;oVhKQUFBQaHmQrGUgoKCgkLNhWIpBQUFBYWaC8VSCgoKCgo1F4qlFBQUFBRqLhRLKSgoKCjUXCiW&#10;UlBQUFCouVAspaCgoKBQc6FYSkFBQUGh5kKxlIKCgoJCzYViKQUFBQWFmgvFUgoKCgoKNReKpRQU&#10;FBQUai4USykoKCgo1FwollJQUFBQqLlQLKWgoKCgUHOhWEpBQUFBoeZCsZSCgoKCQs2FYikFBQUF&#10;hZoLxVIKCgoKCjUXiqUUFBQUFGouFEspKCgoKNRcKJZSUFBQUKi5UCyloKCgoFBzoVhKQUFBQaHm&#10;QrGUgoKCgkLNhWIpBQUFBYWaC8VSCgoKCgo1F4qlFBQUFBRqLhRLKSgoKCjUXCiWUlBQUFCouVAs&#10;paCgoKBQc6FYSkFBQUGh5kKxlIKCgoJCzYViKQUFBQWFmgvFUgoKCgoKNReKpRQUFBQUai4USyko&#10;KCgo1FwollJQUFBQqLlQLKWgoKCgUHOhWEpBQUFBoeZCsZSCgoKCQs2FYikFBQUFhZoLxVIKCgoK&#10;CjUXiqUUFBQUFGouFEspKCgoKNRcKJZSUFBQUKi5UCyloKCgoFBzoVhKoRagoqKivLy8rKyMJSjR&#10;QUbKJWOqqqBw/0C0wO9LkSFspnWFvwqKpRRqATAQAmyEGBQypqIqmKoqKNw/RK7uFCpgqmEmhKZ1&#10;hb8KiqUUahPMoyhTkYLCAwNxgqVEunQmqigtLdXdIRMQOVNVhb8ciqUUahMwIpgPjAh5sR1iU4BU&#10;UFC4X5gEqKLCYCkKES0gFAXIS2WFvx6KpRRqAcSIGCguLs7Ozs7JyYGx2GrwloLCn4AQkoiQiBYo&#10;LCzUZe0ukL0U/jIollKoiahmDjAi+LPi6kJOFy9ejImJuXDhAqaErYqlFB4QRrSUmZl59OjRQ4cO&#10;IV0wFqJlEBhLjc1UUPWXQ7GUQk0EFgHDYXAPpqGoqCgvLy85OTk2NnblypUzZszYvn17VlYWdbAm&#10;ynYoPAgQIZE3HKBZs2aNHz9+9erV6enpCFhBQQGbqKNY6nFBsZTC4wZMZEoVRsIeaBGS3HUq1xgr&#10;Py8vLS0tLi5u+fLlI0aM+Oijj+bPn5+UlITVgMCU7VD488DRKSomTC8vKz9+/PiXX37Zq2fP77//&#10;/mR8/LWrV7Ozstkk8omYCZkJ9F1NkJYUHgUUSyk8bpgoioiporKsXEuQU1l5eUkp+YrSsrKS0tLC&#10;ooyU1BPHjs+bM3fIkCFdunTp06cPPq+wlDITCg8EBE9PpUXF8cdjP/vok7YtW7/y4ks/jPxuy8ZN&#10;KTeTy4pLy0rLyvWENCJyAnbFlzIP+hUeBRRLKTxuGCxFQvH1DCyFyagsLSOPh5ublX0y9sSi+Qve&#10;G/JumzZtWrZs2blz56lTpyYmJprfOVBQ+BNA2EgaSxWXxB49NnTwkMYNGgb5N3mxw/Ojfxh15GBU&#10;SmJSVkZmUX6hJpl6ZC9XCNkX2SOjJPCRQrGUwuMGzFRFTtVTeQXea86tLChq9oyZfXv2bh7RrEGD&#10;BqGhoV27dp05c2ZKSoqyDgoPCKJ2QnaEraKk7ETM8cEDBrq7uHq4uDb0rt/x1dfGjx67c+v2Kxcu&#10;5ufkaiF+WRmOUUlJibCUtnsVUcmqwkOHYimFxw253mJOTrrHCj8VFxZlpqafOBYzb9acQf0HtGga&#10;Ud/Hx9PTs2nTpt27d4elkpOTlSer8IAoLy2Fn7TLyyWl8bEniKW8PTw9Xd293T0DfP1fffGl70eM&#10;3L1jZ/KNm0V5+WXF2g+qEDmROslLQG9qTuFhQ7GUwuNGmRlLlWv8pHmspWUlhUWpN5OiDx2eO3PW&#10;kAGD2rVu49eosZeHh7u7e3h4OLHUlClTbty4oW4MKDwoIJiy8srSstKiYmIpWMrL3cPDxc3Nydnd&#10;2TXIP6DLm53GjPoxctuOxGsJxQWFQkiInOEhyVIaU3joUCyl8LhhxlJaCFVSVlpYVJRfkJ2ZFXMk&#10;evb0GUMGDGzdvIW3uwdWw83FVViqS5cusBSxFAZC2QiFB4Iue7AUjhGB+7sDB7u7uDo7ONpb2zrb&#10;OzTw8okIC+/42usjv/4Worpx7br8nByRMzwkgak1hYcNxVIKjxtmV/yIosqKigtz87LSM08cOz5n&#10;xswBffq1bdmqgbcP9sLF0cnN1dXDwwOW6ty587Rp09LS0mhAPYmu8EAQCSQuKik7HXfyg6HDiKU0&#10;YXNycbSzd7Z39PbwDAsK7tKx05gffty6afOVK1fy8/O1/ao8JIE0pvDQoVhK4fEArRYl1y706yxV&#10;XlqmPXdeVJyWlBwXEzt35uyBfftFhIbX9/R2d9Z8W6yGq4sLsVRYWBgsNWPGjNTUVJzZ4uJiZSMU&#10;/jyEpfRboafjNZbydvd0dXR2d3ZB6pzs7F2dnOt7ebdoGgFRjfx2xJ49exISEgoLC0uq3iop0IRZ&#10;BxlWTY0rPDAUSyk8Hvym2PqvdyWQKi8uycm8FXMkesGcee8NHtK6RUsshYuD5tXi0pJxcXI2rvjN&#10;nj0blsJSKIug8EDQ4/jKcu1hv5Mn4oa9+56XmwcsRfiO4GkSqMdVjes3aB4e0fnNTuPHj9+5c2di&#10;YiJEBSchfgYz6ST1G0spyXwoUCyl8LghNgJftqQ0OyMTMzFnxqzBpntRnvbWNq6OTsRSLg6wlKOL&#10;k5NiKYWHDJHAO1gKeYOidD9Ji6jI+DZoGBYS+tprr40aNWr37t3JycnEUjRQVFQkGXMIaZlWFB4A&#10;iqUUHjMkliovKctITTtx7PjCefMH9RvQomkzHw8v4icnewdPV3cPVzcyTnYOTjCWYimFh4t7sJRc&#10;ZBaWcrS1I7Hq5eEZEBDw5ptv/vjjjzt27Lh+/XpBQQEUJVf/JJAyoCTzoUCxlMJjRllJSVlxSVZG&#10;5vGjx+bOnPXuoMFtWrTy8fA0PQrs4url5k7G0c5esZTCI8G9WMreQe5OuTppee35HQcnd1fX+vXr&#10;h4SEvPHGGyNHjtyyZcu1a9fk7ekGRSGTgIypfYUHg2IphccDuR6CbpfqFBV3PHberDmD+w9o3bxl&#10;Ay9vvFf8VhIGwtXRycnOHpZycXRyVlf8FB46fo+lnNy0i36ueEssybu5uAI3N7egoKDOnTuPGjWK&#10;iCohIUEeNEUURbARS0Tb1L7Cg0GxlMJfBFFg04r+RR/5GEd6alrs0ZhZ02f079O3ZURzbw9PjY0c&#10;HPUbA05O9g6OtkRR9prJwKVVLKXw0HEPloKiNJbSf9vr4epGcA9XuTq7ODo6Ojg4eHp6hoWFderU&#10;6fvvv9+4cePVq1cRZqRaa0//KZViqYcFxVIKfxHwNNFhg1HQYbT61q1bp+NPLl20eFC//k1Dw7AC&#10;GiHpFOWhea+mG9faA346dTk5OCqWUnjIuAdLacETobyTs1x5JmnxPaGVu7uTkxNc5eLi4ufnB1GN&#10;HTt27969ly9fzsnJkQt9yKS64vewoFhK4WFDdP6OhAkoK9E/qqs/K1FSUJieknr+zNm5M2cN6NM3&#10;NDDI293Dyx3roF3fg5O0a3365T7ysipLqlG5a6fO82fPyUhNqyjT71HfcbjalErLKkuxkWajqNlg&#10;wnEO5ME28gJ9Q21NFaVl2qu5yiviYmKHDnmXgN7WytokgbcnWMrTzd3T1R0OY7WBl0+LiOYdX3v9&#10;h5Hf7di6LS05pVz/3Ex51a8AFR4ciqUUHjZu138jiRXQ8mTKynNvZR2PPrpo3nx56ByFJ1SSByXk&#10;rrVhF8yTvKk6LDjkrU6dZ06bnnDlKsyXn5OHaTA/Vq1J+uvjNBOpv5NbKyktK84vMM1kTYWJl3QQ&#10;MUBXuTpq6VkoLSrOy84pLSxGLOOOx3447H3fho0c9R/z3pkkptcvA2q/oyLAonJEWHi3Ll3Hjvpx&#10;z87IpMSb2g/V4aryirIiLdBnigAZ0/Qp3CcUSyk8bOjRkp5uswVSqLuZpQU5uWdPnZ45dXqPt7qF&#10;BYWg89Z1LSEnWEqzAvaOeKzVrIORfDw8w4NDe7zdbf6cuSlYBPGC9U8E1cqkk7d50uaqZqNMh05S&#10;t6Pa0GpRqpr8+BNxn3z4kX9jX9t6VtUETxIU5aA9kq45TPhS2tVpJ2cvd48g/yavvfTyyG++3bFl&#10;W1pSivYilfKK/OxcoSiZMaDo6k9AsZTCwwZKSGSgfVbuNn7SvoxQql3oy0hJxWNdOG/+gD59w4KC&#10;vdw89N9C2Xu4unm6usFVv8dSjs7UDwkM6vJmp19+nnA8+hitZaalpyUl18aUfCMx8XqCpKSEREqK&#10;Cwq1uarZMFncsrLMzMxrOlJSUtLAHQOsFSkjNS0tOSU1Kfna5Ssb160f2Ldf4wYNbSzvzlJ4URJC&#10;ebq6I6Xaqh5aebi4Bfo36fjqa6O++373zsiUxCROJdIuMwYzCVeVqo923j8USyk8bBgsVUVRmq+q&#10;X9QqLynLybwVf/zE3Jmz+vfu0zKiWSOf+pAT2k5Cz7ECGks5OGIFzE2Dkajs4+nVuH5D7V01Hd/8&#10;cNjwb7/8+qvPv8CH/e7bEbUxjfjq65FffzP6h1GTJkxcvnjpqRNx5SW14Nkw7Gx6evr27dvHjh37&#10;+eeff6FjRO08C9988dVXn33+zRdffv3Fl4P7D3i6TbuG3j7VBO+3pN8c1SQWxtLfhyJP+rg5ucgd&#10;085vdPx+xMitGzffvJ6gSb4OmTH4CZaCq6RE4Q9CsZTCwwYaqAVS+pUrnaUwu6VFxaTsW1knT8QR&#10;RQ0ZMDAiLBytru/phdpDS6LweiClPXEut6bvTLAXREUGM6HRVYOGJDL1vbwbePvUutTIp0EDLx9I&#10;t2lI6AvPPjf83ffw5XNvZZlmsqYCI4u1vXDhwvjx49u1a9dAh5eXV33vWnkWRH58GzZq0tjXt0FD&#10;b3dPGMhc6syTXJGWH0iQNHGVX/7qMZanq1twQODrr7z67Vdf79q+g0Df+MyHMW+Kpe4XiqUUHjY0&#10;ZtKXesKdLCsqLsrLz0xNOx59bMbUaQP6ah/j8PbwRNUxB9obJfSfQ6H8cvFErqJUsw6mpNkIBwdb&#10;O/2TCto7k+TVNWySgKx2JUZhY1nP3trGx8MLonqnW/dVy1fkZ+eYZrKmgpigqKjozJkzI0aMCAgI&#10;sLW1dXR0tLOz48RVG2CtSMI3iBynA9ESaWR5m+BVJYOlSFpcJU+f4mNpz6Y60IKXm0dwk8DXX371&#10;x+++37R+w/Xr12/dusWMMW+QExnJK/xxKJZSeCCgeAaMIi2QqkrlpWVCUadOxC+YM7d/7z7Nwps2&#10;9PYhKkLPMQq6N2p67hyfVP+NlJMQz92T9nNLLaM5sHqJPG1VG5P2W1FXN083dxz5lhHNe3V/Z/Xy&#10;FUW14Rk/AoKLFy/+8MMPwcHBUJS7u7urq2u10dWWhAhpZ0GP0cVPkthIpOteCXqT00d97WIALCXU&#10;5eSsf48q5K3OXb76/IuoqKgrV64UFBSIjghLAZlGMlIuE6twVyiWUnggiI4ZiidF2n0pKEp/eqqk&#10;sDj5RuKRg4e0N533H9CyWXMvN+23Jh4ublgEWErMxD8zYd0wdhhEb3fP1s1b9OvVZ8WSpTX/SXTA&#10;6Yalvvvuu8DAQHt7eyjKyclk8f+ZScbO2XS21y5c1/fybt404uXnXxg1atTmzZsTExOJPqF25k2e&#10;oZA5NC4AGpDpVTCHYimFhwOTkgGJovgHSZWUZqVnHI8+Onfm7HcHDW7bslV9Ty/tlyiEEfrzEai0&#10;YinFUn+DpP0UXX/qR3v5pCbebr4NGoUHh7zyyisQ1d69e69fv56VlVVcXGyawdshjMXStK5gBsVS&#10;Cg8NBkuVl5QSRZUWFWempsXFHF8wZ+6QAYNaN28pH+PQWcp0mU4ulVRT+H9OUiz1t0nakxQOjvhe&#10;JBcH7e4pQu7l7uHv7//aa6+NHDly06ZNV69elYhKQijm0KQy+tUIxVL3gmIphT8PQ81M6zpYLSsq&#10;LisqgaKOHY6eN3vOe4OHtCGK8vLG03R31t7OJy8715RZsZRiqb9F0i706V9NRLbJyCMYbk7OjRo1&#10;8vPze/bZZ7/55ps9e/akpqbm5eXl5+eXlJTItT6DtKrpkYIBxVIKfx53ahd57BexVG5WdtzxWP1e&#10;1MD2rdvU9/TSdNjF1dNN+y0kCiz8BFEpllIs9XdI8lCPLtKabHNmnZw9Xd08PDyYHF9f344dO44Z&#10;MyYyMjIhIaGgoEAUB6BEBmOZJlfhdiiWUvjzQLXMtYs8+lZYWHgrLf1UXPyCOfMG9evfpkWrRvUb&#10;YL+0x/l0owxFOUoer1Pdl1Is9bdInEc5ldokODoRVGkU5epma2vLzPj4+ISFhb366qvffvvtjh07&#10;bty4QUQFPzGTqE81PVKoBsVSCn8e6JWhWpgteetoZkZm7LGYpQsXDxkwqFlYUx9PL+0dsjo54WZq&#10;V+31Z3YpcXd2tbexxVJXU/h/TlIs9XdKBE/aUnuLiisUJXdegaOjo7Ozs6enZ5MmTSSigqguX758&#10;69Ytg6gEMrcK1aBYSuGBgLXCDWQJ8vPzU1JSzp87P3fW7P59+rZp0bKhd30nOwfU1d3FVbufXPUj&#10;J7RXs87yZJSKpRRL/Y2S7n5piTzn18PDg/kBLi4u5OULv8ybPExRon94HiiK+h0ollJ4IKBgcneK&#10;DCx18+bNEydOjPz6m/Zt2jaq3wDj62hnj96StEf77lDpf3hSLPW3T25ubnZ2dsYUQVQtW7YcMGDA&#10;woULmUB0R+MoxVK/C8VSCg8EFEwoCjUrLi5OT08/d+7c99+O6ND+GQIpTzd3FFWu+CmWujMplvrb&#10;J0IoBwcHbXJctE/Re3p6tmnTZujQoStXrrxy5QospV3p0ylKcdW9oFhK4YGAXhnaBV3l5ubeTLy5&#10;cO68IQMGtm7RsnGDhtpbZEzfhlcmrHpSLPX3T/rMODtrdEUgFRYW1q1bt/Hjx+/fvz8lJYVpNE2o&#10;Yql7Q7GUwgMBvRKQR80Ip3JycuJjTyxZuGjo4CHtWrVu6O3jpD93rpnjagr8j0+Kpf7+ydWVEIpw&#10;yt3dPTQ0tHv37j/99NOOHTuuXbuWn59vUh4zmOZXwQyKpRQeGtAxwqnSkpL8nNxL5y4smr9gyMBB&#10;7Vu38XL3wBy73+OTUf/kpFjq751cnJyZFljKzc0tJCTkrbfegqJ2796dkJCAPyeBFEu0RvHT70Cx&#10;lMLDAWqGvgH+VJSUFuYXnIyNWzRvwecff/JMW+2zcnKPSiXzpFjq751gKRcXF29v76ZNm3br1m3C&#10;hAl79+5NTEwsLCzU4qYqlTHu7JomV+F2KJZSeDgQZdM1r6K4oKi8tCwrIzMu5viqZSsG9RvQNCS0&#10;vpd3NR1WSbHU3z55enoGBQW98cYb33///c6dO2/evEkUpamJ/tYJecZPUxp9CUzzq2AGxVIKDwei&#10;Yxo0lipkWVKkfbMj5ki09jDFwEHtWrVpXL+hk509ydvdw8fD09XR2d76/n7Vi00nYQ1lLzf9p1fy&#10;JgsytS4RX2o/rHF0auDtA0sN6td/47r1RXn5pjmtweA8X7p0acSIEY0aNbK0tLSzs7O2tnayd6g2&#10;wFqREEhEyMHGzt7GljwCZnq1+R3i9ztJnhJiL5J8kgbh9GvYiCjq7bffHjt27Pbt269fvy4X+gxO&#10;Esh8CmR6FcyhWErhYQNNQwf17x9CV1npGdpX5OfO79erd1hwCOZYV2Zn/VUUjl5uHtW0/fcTewnP&#10;ae9Jc3bxcnMXwoOl5Bt0tS7Ji6Ma+tRv2az5gL79NqxZV5ibZ5rJmgoigKKiovPnzxMfECg4Omq/&#10;XdXCqTtGVyuSCJL2PcOqtxxRaGdtU032fj9xHjWXS28N9wvya+hdv1lYeMeOHZmlyMjIGzduQFHM&#10;HhRVVlYmM6nwR6BYSuFhA3cQltI/JF9WVFJZXpmXkxt3PHburNnvDRrSof3Tjes3gKXkQ/KOdtr3&#10;Dqop/O8klB8jIq+iwSJgGjQrb++AiSEuqXWJ4dtZWQtLNQtr2qv7O6uWr8i9lWWayZoKXH6I6sKF&#10;C/KtXnt7eycCEjs7eZtwrUvIjxaO25u+0osDpDlD+qtS/niqYint7ZQ04u3h2SKiWZeOb44bN27n&#10;zp3p6ekSKhkwTaXCH4BiKYWHjdtYqriyTLv0l5J4E6JasWTpkIHay/0wyiTtXZz1rLAI1RT+95Nm&#10;Cl3dSVgTjIujrRZXYehrY2IsTAIWrYmvX8uIZvoX5VfmZ+eYZrIGg2hAWCosLEy7I6X/ZNXJQfvJ&#10;Qe1L9o74TPpLJt04IxJgySuO/nhiR/3irTMsRXwfFhzSs1uPUd99f+jQocTERLnKRywFu5tmUOEP&#10;Q7GUwkOG5ijq3+rVPtdbVl5RWlZeXFpSWHQrPeNEzPFZ06b37dmrdfMW2GXti1PO9/d4Ojal6lqf&#10;R31P70b1G/g38g3w9fdv7FsbU4CvX5PGvoF+/s3Cwp97+pn3Bg3evGFjaWGRaSprMLC2Z8+eHT16&#10;dNu2bRs3btxER7XR1ZYU4OffpLEfGZY4TzAWUZHE6388aRcM9fie4CwkMKjrm50mjP9p947ItLS0&#10;wsJCKKqkpASWMj1hpGKp+4FiKYWHDDSwtKhYIyqJqIpLYKnKsnIiquyMW+fPnF26cNGAPv0iQsN8&#10;PLzwXqtp+x9J+K0NvHywBW1atHy6Tbun27Z7ocNzLz73fK1LLzzb4Zm27Z9t1/61l17G9f72q693&#10;bd9RK56egKUuX748Y8aMrl27ttfRrl1tPQv4B+1bt32mXXtOB/4T3g9E5XG/P+9z1L7PC1c1DQnr&#10;1qXr2FGj9+3ek56cIhRlzkwQFYwleYU/AsVSCg8ZwlLlJaXCUmSEpbS4qqy8qKDwzMlT82bNHtx/&#10;QNtWrSGb6tr+u0m/3OfWwMs7Iiy8c8c33x867OvPv/zmy6+++uzz2pi+++bbEV99/e2XX435YdSU&#10;X35dtnhJXMzx4oJC01TWVIjNTU9P37lz5/jx47/8khPw1WefffblZ59VG2CtSF9//gVLXITvvh3x&#10;7qDBbVq28nL3uN8o393ZxcfDE7Hs1f2dX36esGvHzqSERAReLvFBVGSErmApdd3vvqBYSuFhQ7/W&#10;d1uqiqsqSrWIKj0lNe547PIlS4cPHdayWXMfTy83Z+0j3NqTEfrzEXK3wNwEmCfc1QA/v5dffGnk&#10;tyO2bNwUHXUk9ljMsSPRtTEdP3os+vDhwwcPxRw9dvJE3PmzZzNSU7UZq9nA2oKioqLr168fPXo0&#10;KioqWsfRI0eqDbBWpJjoo7I8cihq0fwF3bq8hUz+3tMTzs4uTk4uWka7dyWZ+l7e4aGhXTt3GT92&#10;7O7IXTeuJxTlaz/dNWaMoEoeQ5cShT8OxVIKfxF0/1tTWpZ5eXmnTp2aNWtW7969cV19GzaCnLQb&#10;Tui8/kz5vVjKGZby8GjatGmXLl3YPSUlBc2nQd1s1j7IhPxtYBpVbYPpNmp5JXE/vsKwd9/TfiDh&#10;WF32TMnZ9AJZQEZeI+vt7R0UFPTmm2+OHj2a+PLGjRs0y4T8zc7v44JiKYXHgNLS0vT0dLzvBQsW&#10;9O/T95m27RrXb+DubPopJaEVAdNtpqEqKZaqyTCNqrbhvliKyAkIS8lrZL28vMLCwt5++20oKjIy&#10;MiEhQV4ja5oUhQeGYimFvxooMCgrK8vIyDhz5syMqdPfGzS4bctWPp5ehFBOdvaujk6e98lStRem&#10;SflbwDSkWoj7ZSkgD9+7ublFRER069Zt3Lhx27dvT0pKwgPTGlR4eFAspfAXwWQOqjxu8hBMZmbm&#10;iePHF89fOGTAoDYtWzXw8nHRb1AplqqNMA2pFuKPs5SzoxZCyeU+T0/PkJCQ7t27//zzzzt27Lh0&#10;6ZK8RtY0HeqK30OCYimFvwgETwC9NViKZVFRUX5OTvzxE3NmziKierpNu4Y+9d2cXe71hNW9WMp0&#10;DAWFPwHE5w+zlJODo52dHSzl4+ODHHbt2nXs2LHyAqS8vDxE2pBzGlZPnD8UKJZS+ItQqgPtNUCh&#10;RlclpenJKceORC+cN3/4u0OJqOp7ervf49cqiqUUHj7uh6WIpYCXl1ezZs169uw5fvz4nTt3JiQk&#10;4G+JHBpyTp5C/QAKDwTFUgp/EcTHJAMzocbib2ooLSspLM7Nyr547vyieQv69uzdomkzv4aNqlkH&#10;SYqlFB4+7oel3Fxc69evHxwc3Llz53Hjxu3evZsoCjYibJIrBOYsJQKv8IBQLKXwF0EjJF11WaLP&#10;otIaSsu0h6zKyrMzb52Ki1+2aMnQIe+2bdXa28NTswuO+tvVnF2xGtpLa5xdPD09YSlsxMyZM5OT&#10;kxVLKTwo7sFSXu4eyJ6In7ODo6OdPQJZ39s7PDz87bffhqLkw/DydgkISURaF20tozVcayWTnpt3&#10;nryMy1g133ovSLU7Ydp8O0zbdJiKqqBYSuExo4KYSv/Zb3F+YVZG5rnTZ+bNnjN4wMBWzZo39KkP&#10;S7k7u2ApXBy07wA5O2oXW8xZCh/2TrFWULgPID6ku8ZSmvhpbwTWfmlu7+Dj6RUeEiq/i5KHzgsK&#10;CrDdCOHfLGyqxhayKkTFSCVeJAOkRDJAagJZvSukQXYx2qGQDNPIkrzsLhXIK5ZSeNwQG6G/mras&#10;pDQ/Jy/2WMzCufOHDBj4dNt2Ph5ehFCwlJuTi4OtnaO99vMUxVIKDxMigXewFPLmZKd9L0p7k6yz&#10;CxQVERbetVNn+aThzZs3Ddn727OUgBKNZMwg1e6EUE7ePZCfn5+Tk5OZmZmWlpaampqenp6RkSFL&#10;ytlqXoHWFEspPG5U2Qh5kVJ5WXlWeubJ2BML5swd/u578vZPLzd3kvYVVCdnxVIKDxlVEliNpdz1&#10;z3USynu6umkUFaq9RnbMqNH79++XxyUw05CTbpY1mFr7e0HYCMgYJSObyDB8FNCIh2SV+DIrKwuO&#10;YZbuxPXr1y9fvnz+/PmTJ0/GxsYeP36cZVxc3KlTp86dO3flypUbOsicOXOGcppVLKXwuKHbiIqS&#10;svLiEi1TXlFaWJyZmhYfe2LJgoVEVC2bNW/g5aPfHnBxdXFRLKXwkKFL4F3uS7m5u2qv7HKS70VB&#10;UT+NGRu5fSdSV1hYiEWGqLDI2GhTO39HaASlQ+OoKjBkoaKUlBQYBeIB165dE/qBb+Ce6Ojog3cD&#10;HL9r1y6C0U2bNq1bt27NmjVr165dv3795s2bd+zYsXfvXqm2Z8+ebdu2bdiwgXlWLKXwuCEshStW&#10;or06XQuntKf+ivKyc86ePLVw7ryBffu10ojKW/vaoaOjYimFh4x7sBTy5mhrh3sUHhL6dueu40eP&#10;2bdr943rCXn676KQOgwoMIy4qbW/BYxBGZByMlBUbm5uUlLShQsXCIOioqJgF+gEylm9evWyZcsW&#10;LVq0YMGCefPmzbobUNsZM2ZMmzZt6tSpU6ZMmayDDKCQTVKNDBV+/fVXxVIKNQAmG4HSa0/6aRkt&#10;r30+sSAn93Tcyfmz5w4b8m6H9k83qt/A1VnFUgoPGyYJvAtLebq5Nwtr2qdnr0k/T9izc1dy4s2S&#10;omLjsVLNeOugBGMqjf09IOzL0CRP5JSdnZ2RkYHGJSQknD17llApMjISclq5cuWcOXNgmkmTJv38&#10;888//fQTy4kTJ/7yyy8T7gE2UZld4CGDriihnB2lDhlKgGIphRoAFAFy0pLOUiS57ldcAlflZ+fE&#10;Hj02d9bsdwcNbtuqtY+Xt2IphYcMxId0B0tpX9oMCOraqfPPY8fv2RmZcPVaUX6B5kLpt2c0sqr6&#10;EgdC+DdjKW2QOhhXTk7OzZs3JXKCmbZs2bJmzZrFixcT8Ui4A5dAKkJREAwl6Cax1JIlS5beAQrB&#10;ihUr1q5du3Hjxs2bN7M0QrHly5cbFShhk2IphRoK1EP0n0xhYSEasmDBgp49e7Zo0aJJkybh4eFd&#10;u3adMWNGUlKScV1CdlRQ+NOAbDDE7777rru7u6OjY+PGjREzzO7OnTsx01TAYtbS10mgIGgK/Qei&#10;LKwyXrmpRh4Y5YwR5OXlZWZm4gheuXKFadm1axcsQtBDxDN+/PgxOsaNG6dHPlroA2MRVEEwq1at&#10;Wr9+PQSze/fuPXeAQik/cOBAVFTU0aNH5emJ48ePHzlyZP/+/WzlWHv37pWt9EexlEJNBAoj6iSZ&#10;W7duHTt2DB0YNGhQ27Zt27Rp8/bbb+PKpaSkIMSG4iko/DmIpGGysZhDhgxp0KBBYGDgG2+88eOP&#10;PxI9XLp0iXhCqiFvsktthPRfhiDjNbTMAPyUnZ2dkJBw+vTpQ4cObd26FdYhMJo8eTKh0tixY4WZ&#10;oKu5c+cSGxFXEQ9B5FALHCPUEhMTA+ucOHEC+rkT8TpOnjzJIc6cOXPu3LnzOs6ePUshewEqsJVN&#10;9FaxlEJNBNqCdJovMRPI8cKFCyEqPNx+/fpBWmlpaWxC2ahj2lNB4T6B8BjGGvs4bNgwQvYuXbpg&#10;jqGojIyMaqbctFttAz1HWRgLy2qraBDklJ+fL4+PX7hwQfhp0aJFv/76K/Mg5ASEnyAt4qodO3ZQ&#10;DUKSJ8ivXr16/fp17WFzHfLU311hVDCvQ4k8Lmharyqhn4qlFGouDEUigyJlZWVhRNCQb7/99osv&#10;vsCPS09PFx2jgmkfBYX7hCFj5HHtR4wY8c477xBF7dmzB6NJocihVEPY9J1qHxiF9J+BGKslJSXw&#10;061bt6AEYpcjR47InaclS5bMnj170qRJMBMh1NSpUxcsWLB8+XIip02bNhE2HT58mKiI6AdKg1GS&#10;qnDz5s3ExEQhIaGZO0EFyVBBagpk1aggq/RTsZRCTQSiCSSDLomBEF8vPj5+3bp1cNW2bdvQLsqN&#10;ygoKfwKIkCFFGFzM8c8//0wkkZycnJeXR6HOUCaKwqybdquFkDEKGIj85glqgWwOHDiwdu3a+fPn&#10;y2Pi+s0m092muXPnrlq1isiJOkROeIpw+cWLFyV+Anrkc82gGTIUstUoMYdGRzpM6zrgJPNGhKLI&#10;0w5dVSylUBOBaBpOK3lshOgVhTAT7lt0dDR0BW+Jb8hWqaygcL8wwgt4COnCEO/bt+/y5cvCTEAE&#10;DEiJ7FW7YN5/9Aj2TU1NZYwo0cGDB6HkpUuXQkiETYAQavr06TiCBE8bN26En/bv33/s2LGTJ09e&#10;unSJvaATiXgk6IFO7iQYAflqMG2oqgykHdkkhdKslNBtxVIKNRGIpjithmppSqbni/Qf/MuLv6hT&#10;XFyMlWGT7KigcL9AioR7yADCC0RLvrorIicZ6gBWZa/aBUNxcnJyGB2BDqwD/axYsQI2mjVr1uTJ&#10;kyV+gp+IJtetW7dz586oqCgiJ8jJCJ6EjYRODMiqzjgmUGLwVjVoO1fBWCXDXkJO5qCEmVcspVAT&#10;IUbByBjeLkuxFCwxKGRYKpZSeBAgPyJshpgJECqRK5aUs7VahccL6R6otgruLIGi0tLSkpKSCIZi&#10;Y2N37969evVq+Imwafz48XJlD65atGjRmjVrCK3gJ6qdPXtWgifhJ4NUyJtDaMYAq/qFwNsepjCg&#10;7a9D9pWagE3QktQxQAmdVyyloKCgUPsgvhpGXFZ1MtIgVArkd8cgLy/v5s2bxEPET9u2bVu8eDGc&#10;BD/9+uuv8hqIOXPmQFoET4cOHaIO/AQ5wUxG8GQijccBRqRYSkFBQaH2QTjJHFJeol/AhKuys7NT&#10;U1PhmJMnT+7fv3/Lli1Q0dy5c2GmcePG/fzzz3AV4dTKlSs3bdq0b9++48ePy5U9CZ4kxFEspaCg&#10;oKDw54ERl8hJMhJdkSF+wsTHxcXt3r17xYoVM2bMgJwmTJgAOYEpU6YsWLBg7dq1bD169Kg8Uw4z&#10;QUhy2U2/GqeBEsVSCgoKCgoPCpipsLAwKysrLS0N437q1Cnip40bNy5atAhOgpnGjx8/adKkmTNn&#10;ys2nHTt2HDx4kGoETEJO8qAdzCQlOkc8fiiWUlBQUKjFgJxK9TdHyNc0zp8/f+jQoS1btixdunTu&#10;3LnTp0+Xm08QFfxE4aZNm/bu3Xv48OHY2Fgo6uLFixIwmTihiqUgLQOmDY8JiqUUFBQUaiXgJ8hJ&#10;fpYLr5w+fToqKmrbtm3Lli2bMWPGBP03uVDU5MmT4afFixevXr16+/btR44coSbkxC5wAJxk3IUS&#10;rpIlcZVAsZSCgoKCwp9BcXFxenr6hQsXIJ5du3Zt2LBh0aJF06ZNM968R37JkiVycQ8Ckx/CmwdP&#10;wkDk78TNKjx2oqrFLFVaWVRSWVBWWVJeWVJZVqmlErNUpn/7tbKkrKqaaTcFBQWFvwpYWGBauQeo&#10;IE89GA8+SB7Iviy1HxvrKCwszM3NzczMlIf3Tp06tW/fvlWrVs2aNeuXX36RJyNgKfhp3rx5a9eu&#10;lRfunThxQh6OML+4p5PRbxf6BFIIyD/2KErA8GsrS5VU5hdX5kJC5ZXFGkWV4lqYJRNLFZdWFujV&#10;KFJQUFD4S4GFBaYVM1AIGwGpYDCTFAIpB1KZTaVV33E/d+7c0aNHIaeNGzcSKs2dO1cejgCQ0/z5&#10;81euXElcZbw5Ql4Ie/nyZZPVr21g+LWVpcorC8srCyoqivEzTCx1RyzFpooKaKygQitSUFBQ+Euh&#10;E809WUq2msOcoqAliZyysrIyMjISExPhJwKjrVu3ymuNJk+ePHbs2J9++mnixIkQ1Zw5c5YtWwY/&#10;Uef48eOEWZCTPFwuMFn92gamovbelyqqrCyshKIqSk0sZZ60a4Dl2qYKoqhCvUhBQUHhL4XwjWnF&#10;DBQKG5nWq6BX10DwlJeXl5KSQgx05syZAwcOREZGrl+/nuBp1qxZv/76K8wk5EQstXz5cshp+/bt&#10;8n1byIy9zJ8mVyz1mFBeoieoqILAqqK8sqyiKpVroVZleYW+qUyrVgFrKSgoKDw2CP0IjJhJyiVs&#10;ys/PlxcakUlPT4dmTpw4sW/fvm3bts2fP3/27NlwEswkv8yV18JCWhs3boTDYmNjISd2IeSSR8nl&#10;FhQgIzBZ/doG5qf2slSpnqAizrPGR1r4JEkvMSVojGqQmIKCgsJjgkZNVeQk959YlU3koahbt26l&#10;pqZeuHAhPj7+2LFjkNOmTZuWLl0KOU2bNk0+lQs5TZ48ec6cOZSvXbt28+bNBFiHDx+WD2rAQ1BU&#10;cnKywUzCUgBbL8vaCCaq1rIU55i4WEuVxRWVRRWVBZVVSS8hsQlZkJqmvRQUFBT+WugMpVGU9oCE&#10;/hyEEBWZgoKCzMxMKOT06dMxMTEbNmwgPJo3b97UqVOJluRrT0BeGzFr1qwVK1bs2LEjOjr61KlT&#10;BE/Gxb0rV66QEejE9Bsw9Dd0iNGvdagFLCUn2Dxj5EGpnoorK4oqKgrMUrFeSAxVphGUtptpB7Om&#10;gLSmoKCg8OAwmZU7zBSEJICc5IHy7Oxs7C/sAs1ATrt27SI2gp+InOCniRMnQkvgl19+mTFjBqS1&#10;evXq9evXb926de/evUePHjV/MgL6IYQSgw6MvFAUkNXaCyawFrAUZ1cyAskXlZfnlZfkFOYVlhaX&#10;lRWXlBQWFeSQCvOz83NvFRTmFpcWFZYV55UV5+Oy6HcjxX9hd5Z4MdKUgoKCwkMBJgXbYhgW8sXF&#10;WCcNGBxWhZ/gFWhm//79sM6yZctmzpwptDR27NjROsaNGwc/wVhETps3b4bDjh8/Ll8jlMfKq/3y&#10;6e8N5rOmsxSnlnNMhr4KpDCvpCgxM+38lQvxp+Nijx4+sCfyYOT2I3t2Hd2/h8zeyO379+0+ePjg&#10;idPx11Ju5hUXiqwAUyu3y5OCgoLC/UIsCTCtV5WYVqqIKjc3NyUlBV45c+YMkdDu3bs3bty4fPly&#10;eZpc/6WT9lPc6dOnz507d8GCBYsXL5avacBPUVFRBFsXL140/xrhP4SfBMxnTWcpoRYynG/hFaDd&#10;bMxKP3/+1IHNG1bMmLrwiy8nDhgwpXvP6T37zOzd79cevcb37Tdh2NApP4xct2ThiRNH09JSCgoK&#10;cGfwZcSpkQZpSj+IgoKCwn1DzBEw8rqV0gwLS0yNPBYBqcTGxsplvUWLFs2aNWvatGnyBXdCKCgK&#10;foKZ2BoZGblv375Dhw5BZgRPp0+fPn/+PBSl31cy3VjSruJVQUr+3mAyax9L5efnc3qOHT64aunC&#10;iZ9/+mmP7l8++9ywiBaf+od84h/ysW/QcN+gQSFhA1u07P/yS1+/O3j2tEm7d27jTOPR6NeEtc+Q&#10;S4O0ph9EQUFB4YGAPcFSiSssz0RgYeGY+Pj4AwcOrF+/nshpypQpv+iAomCmGTNmzJkzZ8mSJWyF&#10;nw4ePCjX9ORVsAYJSYal9tyeDrYCMlLh743axFIsNZoqL8en2Llz59QR3378dtfBweF9G/qN9fD/&#10;2Ttwgb2vpJn2jUe5NPrYyectV8/ODRv3aNd2xAcfrFu3jnhZIipFTgoKCn8OWA9zA0Je7BIwgids&#10;FORE8ITZkWf24Cd5VA+KgpyInIynIeQjGvCTfCcX+sE0JyYmystezcnJAIUCseN/bzDDteC+FKCj&#10;cqWuqKgoJiaG8z3klVc6BQd3c3Dt7ez5i2PjaW5N1lo3Xmvtu8G+yXIb34n2Db+09uhiaf+shVVr&#10;Z+dOTz/9zTffbN68GekpLi42FzIFBQWFPw6hJSOPXcL3zc7Olh88XblyBX7av38/JDR37txJkyaN&#10;GzcOezVR/4gG/LRo0SJ5CeyxY8fi4uIItqAl+AbuIcPusop11q7x3bhhTktSaBAYed2M/81RC1hK&#10;QCBFHM0yLy9v27Zt/fv3f8s/sKtX/Y8dfb7zDthoH7DJrknck35nLANP1vE/+O8Gy57ynlLH4/16&#10;rj3rOb3h6vFKaFjXrl0Rl+jo6NzcXIYtMLWuoKCg8MeA3TBYSixSSkoK1HL8+HECI/nBk/GeCIIn&#10;eUmE3Hbavn27vCfi9OnT586dI3KCgYR4ABaZdoDQEqsaTelUJBmBefk/AUx4jWEpOKOCmInzr/3I&#10;Sd7Ghyxo8qC95KistKikpCA/PSlx5fLFr7/24luOToNd3Ka6+S9uHBHrHBHr0PSGddOb9s3P2IRG&#10;Wfgtt2ww09L7OxuvL+29P3Fv1LNRwGsRzT/t13/P+g056RkV8ttv7WhyDBKMRQ9ML7QwdUlBQeEf&#10;A91xNQH7oJmIqgwgL9XIy82n/Px8+UHuqVOncH8hIYInAiaYCYcYipo2bdqcOXOEnwiejhw5Qph1&#10;4cIFPS66bjywJ7ZYiEeLm8wiJ6Nc8gLZKjAV/a3BzNcoltJ+pFtSWV5UWZ5f9Y5Y7Z5UcaX2gY6C&#10;kvyUpIvHD8+aNu755yKG16v7k6PTHpcm0Z5hmVbNsm1a5NRrkWoRfsI2bJ+l/2Kr+nPqes2w9plr&#10;13Chne+3Tg26uXp90uGFA3PnF9y8WVlSontE+uv9SBolIoIwVVlBZWmhejWtgsI/DHAPgREQQpJV&#10;IyN5WRV+SktLIxKCnHbs2LFq1SqoaObMmZMnT5aHI+AnSjZu3CjP7EVFRRE/nT17FmYiVPrnEMxD&#10;AdNee1gqrzDz6qVjO7dM+OGLZ9sEf2ZZb5qj6yHngBj3sMx6EVk2zW/Va5FsGXHCsekuS7/5Fp5z&#10;63ottG+8wilgjUPgd04Nuzi7D2v/zM7pM7KvXS0vLtLkjQMqllJQUKiKkISNTEVV0OnJdP/p1q1b&#10;KSkpcIw8HLF8+XLIadKkSRMmTJBvD7K6cOHCNWvWwE9Hjx49efKkPEpO2CTMxFICJjHBCv9XMPk1&#10;jqVKK8uLK8uhqCJhqfLKypKKyuKyyuy8xJNxWxfP//aDQR2aB3xfz3aho2eMc3C8a1iGZdNb1s0y&#10;rFvctIqIdWm2tU7DGf92nlPHY6VTwGa38O1OYT86Nero4DKgRav1EycmnT9bUpCnuUgcUy73aVxl&#10;YqmiytJixVIKCv88CBtJ3jyWIngqLCzMzMwkDIqLizt48ODWrVtXrlw5Z84c+YIGIdSMGTMgpxUr&#10;VmzYsAH2kjfAmr8k4oZ+80mu3SmWui9wFmocS+lf2iCc0iIoYSntW4bFZeXZuZeiDi2ZMP7Tnm+9&#10;3ixoipXzRocGZ51CzzuFZViE36oXkWzT/LpNxBHXiHVPev36v2xn/dtlvX3AXrdmhxwifnL0fd3B&#10;5Z3wpktGj7oUdzw3O7O4vKxE5yXtsMJS2n2qMihKsZSCwj8NQkgG5DdPsoSfIBj5yBMkBBvJz56I&#10;n+Ti3vz58wmqduzYAYEdO3bs9OnT8kA5VMTS/IURAp2kFEv9UdQkltI+s1FaUVlabvoklPZ5XRNL&#10;QV4lZWVZOaciIyd//umw1158u1nYYhuv/Y5+Vx2bXnMIT68TmmnZNNGu+VW7Zofcm658wmPi/7Ce&#10;+b8dN1k3OezS/IRd88kuAa87u74VEjLr229ORkdlZKbml5USrhFHcVRzliqpLCWZeqSgoPDPgMFS&#10;kikqKsrLy8NEwjexsbHyHY0lS5YQM8FM8kKjmTNnUrJu3brt27fv3r07JiZG+AkegtWMJ8XNmQnA&#10;W0JgugVW+L+jBrGUxhIaRUFUSIp200ijLJ0+ylgvLSvOyo7ZsPHHvv0GN2/ZPyR0i3XDePuAVPtm&#10;yTbh6U+GZlo0vWbf/JJDs32eESvqeP3yP21m/W/HrXX9jzu0uGzXap57aGdXj7eCgqd98XnMoX0p&#10;aUm5paX5woK3s1RpZSnJ1CcFBYV/DCAnubiXk5OTmpoKx+zdu3fz5s1QEYRE/DRp0iQoCn6aNWsW&#10;hfAW0dWJEyfOnz9PwCSAgTCswlIG5FqfcJViqftFTWQpLcLRHr/TbxPpLEJCgAqzsqJWrvqiU+fe&#10;foEDfAN212t80Tb4ll3zdKvwjCdDblmEX3VoftGp+T7vZqusGkz5L4e5/+W8w8Iv3r7FTbt2S72a&#10;dfPweTsoeMqnn0Tv252UciO7tDhf+xy9djz97pSJpcoqS0mmPikoKPwDUKq/MyI7O1t++XTq1KlD&#10;hw5FRkauWrVq/vz5MNOYMWN++umnqVOnsrps2bL169cTP0VFRcXHx1+6dAn6McImLVzSQZ4SKTc2&#10;sZRyhT+OmsVSWhzDorxcu8zH3zKNn4rlYb/yspyM9H0LFg9u2ba7jdvHXgFHbQKvWQVn1g29ZRGW&#10;Wyc8r26zBKeWl51b7PZsusa60awnXBf9x2OXhf9J22Y3rdoscQzpYefWyz94+vsfRm3bknj9Sm5x&#10;cYFiKQWFWg5MmAF8Wf2hce1lelIiq5QblckDMlLC1uLi4ry8vPT0dCKho0ePbtu2benSpTNmzJDI&#10;ST5FOHHiROKnNWvWEF3FxMScOXNGfpMrT+5BReZsZI67lijcFzhZNZelKsq0+0ZFlRV5leWFxUUp&#10;iQk7ZszuF9LsHUuXr71DTtgGJ9QLzqwTkl0nLN8iosCyeYJzyysuLXd5hK+1aTTnKfclT3rttmgS&#10;bx2RaNlquWNoX0evvn7BkwYO2b58+cUzp7KKCu7KUlXxnIKCQi2AxkV3QHgICEWRMa9MiXxNA2bC&#10;CF64cCEuLu7IkSM7duxYuXLl7Nmz5ck9+AmuYnXhwoWUb9my5eDBgwRPkFO1aAkkmn2HUOHhglNW&#10;g1hKewoclhKm0D+1C33kV5ZnVpal52SdPXdq/fiJA/zDhtVxn+QZcdIu9Jq1xlJZdcKKnoooqtMs&#10;2b5lgkOL/W7hm2x859fxhKW2Wfgdsw6/bN1yg2vzL539PmgQ8muXXut/nXbmUFRWTnZxBUdQLKWg&#10;8PcEbGQEUlg6eWEEJfBTcnIyZHPs2LHIyMj169cTPM2bN2/atGkSOcmTe/DTunXrtm7deuDAAeKn&#10;kydPEj9dunRJKAoYgZEQleQVHjpqOkvhAsFS6ZVl11OTDkXtX/jVyL4Ngz6s4zHNs9kp+7BrNiGZ&#10;FqFZFlUsZdciwaH5QbemW2z9FtT1XvKU19Y6vkesQi9atdjk1uI796CPG4SOf7nLklHj4nbvzc7O&#10;LoGU5OkJxVIKCrUZWoikw7SuQ2KmgoICCZsgkqv6c+HwzaFDh7Zv375mzZr58+dPnToVWpLgiYzc&#10;fFq1atWGDRvgJ5gMcpLnHYBk9Et3Gkx21Oz+k8JDB6e1BrFUYWVpEdSkUVR5ZWFlBURVUVlQUZFS&#10;WXY68crGbRumvvdhXw//b57wWujULNYx/JxjaJplaIZlWMmTEaTMes1TrZvHuETstm2ypF79xU95&#10;rbZoFGkTHGPffLNL80l2QT94hE1p13H5Z9+d37a3ODuvoozgXzuEui+loFCrIRQFzFeJnHBGCZtg&#10;ptjY2P3798NMRE4rVqxYsGCBPLYHOcnXNAie5s6du3z58s2bN+/du/fIkSPET6dOnTLeWQ6EqIDJ&#10;fCr8JeBU1lyW0h6c0FiqMqm85Pjls0tWLfmp3+C+7n4jn/RZBEs5hZ9zCkurF5ZRL7z0iYiSJyJu&#10;wVJWzY+7NNtrF7TMuuHiOt6rLBrssAo8Zt9so1PEJNvAH9xDJ7Z4ecHwL89t2VWSnac/O6gdQlvC&#10;Utp/xVIKCrUVBE9FRUUwU0ZGhgRPhEEEQ8arymfNmgUh/fTTT2PHjpUXwv7666+TJ0+eN2/eypUr&#10;4SfjyXL5Ha7wk9hK4SdWtat7ZpGTzl8mmIoUHipqFktp79AzWKpAf0VSRWVuRfnVkoIDZ2JnLpw9&#10;pkffwR5NJtT1W+vU6ph7RLxHeJJteKp1ePl/Ikr/0zS3TrNbdZudcm5+2C5kla3v4rreiy181tv4&#10;73Vqusmp2Tyr4J8cQib6Pz37nffOrNhcnJFTWaQ/7X47S2lPcCiWUlCoJYCZBBI5YdROnjwZHR29&#10;a9euLVu2rF69evHixQRJU6dOnTBhAswEoCjiJwKphQsXrl27lmr79u0jeCLeOnPmjNx5oh2oCOJh&#10;afzaSVaN3z8BqlFoEJhmUxUeNmo0S1UUaZfjcirKLhZl7zlxZMqsyT++1fM9z8ApVoGbXNvEukWc&#10;dgu/aRueYh0ORRX/Jzz3qYhbFhFnnJodgaXsfBdZ+iy08F5r7bfXselW52aLbEJ/cggeXb/FxE59&#10;YhatKUzLLi/UP97BgbXbU/zRrvipd08oKNRAoKiarlZBVoHcecrLyyN+IvSJiYnZtm0bgREkBC2N&#10;GTPmxx9/HDVq1A8//PD999+zlMfKZ8yYsXz58sjISOoTbwn9YBAhGxoxB4UGGwkP6fSkgbyUK5Z6&#10;pOAs1xyW0l6JVMIfOAOa+O33UuVJ2el7t20YM3zId+Etv3dqsOQp70OOYflPRVT+O+K6XfhVh/Ab&#10;9sGJdkGV/wkqfSIwqV7ASSu/+T6+U9x8xjh4zLZqcNC22SG7ZjufajLNKeD7RqGfdOuybv3SqzmZ&#10;SZVl+RoVajfAtKuLpZUVpRWF2gtnOayCgkINAqaqrOrzGbJaWlpaVFR069YtuOTYsWM7d+5cv379&#10;kiVLpk+fDhXBT7AUXAXkKh8lhFCzZ89es2bN7t275TvuZ8+ehWBM5lChRoJzXaNZir+w1M2s1MiN&#10;q0cO6vtVUPh3jj4aSzmE5j0VUQFL2YZftTexVMV/gkp0ljpt02Shj98UZ68frJyn1/Hcb9v0sGOL&#10;3XWDpjk2+carydDXX1m6bM6l7LSkylLFUgoKtQKYKlgKZhKuKi8vJ35KSkq6cOECfLN27VrCI2jp&#10;Zx2wEYCcYCzKgWTmz5+/devWgwcPxsXFnTlzRt5sJJfvTBZRoeahdrDUjYzkzSuXfNHjrU8bBoyy&#10;91lVp/5h2xBYqvw/ETdsw6/bhyfaB9+0Cyp/IqjkyaAUq8CL9oGrfAKm23uMfMJ20n87RdqEHXZt&#10;vdc6dKq9/2eODfo/037erEkXM2+map+S0hjKnKWKK8tKFEspKNQ8yM2nYh25ubmEUPIRwpUrV06b&#10;Nm20jkmTJs2dO3fx4sUQEpmZM2fCTywXLVq0bt26Xbt2ycMRcoFOv1CnfdDdZA4VaiRqB0slpCet&#10;WzLv/Y6vfujZaKxTw431fI/ZheU+FVEqLGUXnmgXfNM2qPSJoCJYyjroikPI+vpBs2w8RvyX1c//&#10;r90Wq+Aot9Z7bcKn2Pl9ZO35TvNms38ddzH9RppiKQWFWgWIqrCwMC0t7ezZs3v27IGfiJAmTpxI&#10;/MRy1qxZy5cv37hx47Zt2zZs2MBWuIoK8+bNg6IOHTp06tQpeThC4idhKaBuKdVk1CyW0rjpDpYq&#10;gaXSbq6aN3PwCx3ed/Ke6OS72zbolF1ETp2I4icjbtpCUeE3dZYqqhNUUCcozTr4ukPoLq+QJVZe&#10;o/+39c//03a1TeBet1Z77JpOtfP/uJ57r9CwOeNGXU29nlVRUiQspR+O41aUVZRpD6MrllJQqFmQ&#10;q3xEUenp6fHx8Zs3b4Z7pkyZ8pMOAib5iAYUxXL16tUrdEBUa9askZcbQVHm7yyHpdSDD7UCNZ2l&#10;tOiqsvx6SuLS6ZN7t275npXLZEe/Q/Zh52ybZdeJKHwyIsk6/KZN+E3b4Js2QfkWQbkWQek2IQl2&#10;IQfcgtdaN/jl346//pfjMpsmO12b77ZvOt3e/1NL916BIbO+G3Hh6vlbxflFFeXVWEp/h6BiKQWF&#10;moWysrK8vLzU1FQoCioiQpowYQLxE/y0YMGCVatWbd26dfv27WwinKKEKAqK2rlzZ3R0NLvIy42M&#10;Z/ZgKYG63FfzUbNYCnIou4OliivLriZdX/jLz91CQ4c8aT/d3jfGtunlehFZdZrm14lItdJ+L5Vs&#10;G5xsE5RVL+hWvaAMm5BE6+BYh+Bd9RrNfcJ9+n/c5tr7b3JrtssxYpZDwJeWnv18g2Z/+vmZE8dT&#10;MlIKy7Qv9urvnpBk6oWpTwoKCjUDJSUlycnJQlHTpk0bN27czz//PHXq1EWLFkFREkVt2LBh7dq1&#10;rMJPZHbs2AFFyU+g4CdAzCTMJCCPEVSxVA1HTWKpCv2Dh6aQysRSReUV+aVFF65fnDtu9FsBge/+&#10;23aOnV+8TcR1i6aZdZrmWESk1wtPtwpPttFYKt06KM0qMK1eULJ18DnbkMOWfsuf8p71lOdU+8Yr&#10;nUIjnZrNcw75qo57f58m0wYPO7xzZ8K1K4WlpbBUuf5BKxNLVWghlalPjxucHnOYSh8lOEq52Tuk&#10;gX5kDaZ1Mxjl7CIoLS0tLi4uKioic1dga1jKY1rSSDVIO6YVhX8kDPFAEnQR0x46z8rKOnv27ObN&#10;mwmexo8fD0v9+uuv8+bNI3KCllasWLF06dIlS5aQgasIqmJiYqA0doGijA+6CzmZjJ8O46KfaV1B&#10;RzXaZtWAqej2QgPGJplVIIVGiawaeVkFnBdZvRMIQM1iKS2YqWKpsvLKgrKy9Lzs2DMnZnw3spt/&#10;wEdPOC51DLpg0yL5qaYZdZvesoy4ZRl+q154qk1wik1Qsl1Qsm1gSt2AdOvQJKvwkxZNNj7VcG4d&#10;7zF2PnNsfHc4Ryx2b/r1k26D3HwndOm5ed7Cy/Eni0pKJHTSjkviD9xIemRgxsUQ69qnwSi/E1RD&#10;Yw3IjoBNstdDBy3LgUzr9+4wkEIy7IIdkSev0tPTk5KS0u6BjIyM7OzswkKC2N+IymgHaOO8N4cp&#10;/BOAKyMCIA4N4oHMnD9/fs+ePbNmzRo9ejQUNWHChMmTJ8+dOxdygqgE0NWmTZv27dt37Ngxg5nE&#10;AgJ1fe+uECYAwhwG2GRMl/lWKTEH1aQFICVkqGnEr1LCGZGTwqrekoml5NRIXCsl1YAw1EiWIsDR&#10;WSq3tPRGesq+w/snff5Zd98mXz7lutYp7LpNq6ynWmTUJZCKyKobnl03PM06ONU6KMEh6IadFktl&#10;1Au5VSf8ap3g3XX959Xx/qKe6y8WXpsdw5Z6NPvR0meoc+Mfn319yeif43fv18ylfjTt2UISh9de&#10;41dTWApI5WqgXPb6KyGdMQ5NBguCQSFyysvLw9WFhBCpM2fOxN4DJ06cYCuSmpKSQv38/HyITRox&#10;mIlDiGF6LGNUqAmAnOTsC0shYFi0/fv3L1u2DHIaNWrUT/r7I3755ZcpU6bMmTNn8eLFcn3v4MGD&#10;x48fN3+FOQKpWc0qogKy+s+EaQpuB1Mkc2VAYwazQlm9K4xmqcaco9o6MWkZcPnyZc6FfI6Lynpj&#10;Wob64jEAacGA0FU1IAw1iKXgCE04haU0sqjILi6+dOP65h2bx70/vHtDvxFPuW1wIE5qVVindYZl&#10;RJpVRE7d8Ny64enWwWnWQVedgq45BGVoH/ANLvpPeFqd8GirkAUWPu/Vsf3h345rbYOWezabaOv3&#10;kbPfN6Htfx326aFVG/Lz8nHb5EF0UyceMUvdC5yJu8K0+S+H6fA6qpVAIbBLTk6OvNATWYR7YKDo&#10;6Oi9e/du2bJl3bp16+8GynF18YipCWmxFyJLdAVdGe6ztK9Y6p8MyEkEAIoif+vWLbiHOOnXX3+V&#10;QGratGmQE4HUggULVqxYIfETEij8hEwSzWtGVIfJ/plFBv9MmKbjbjDVqILGHreHR1ICYbBklUL4&#10;BsW/dOkSJHThwgV0+eTJk3FxcZwpAtkjR44cPnw4KioKg3Do0CFxT6nGLuwr7Zg3BThxLLXD3wEk&#10;oQY9PaEl/pux1K3CwrOXL67duGbU4CHd6zce+YTbRpvgFIsWZXXaplk1S7aOyK0Tnl/HxFIXnYMu&#10;OwZlWgXfqhNU9l/h2XWanbKNWGzZsL+F9Vf/ZbPM0neZW9MZziHfuAV93iBi1Nt9d89ekpuTgzOf&#10;X1FRaOpERWVJmZYeGMzsvSBWuBpQyLvirrtQYjrMw4YcrhqMTRwaOsnNzcUKnD59GlmMjIzcvHkz&#10;FgR/FpOB4Zg1a9b06dOxI3di6tSpbJo3b96iRYuoz17sjkzTGpxnTlQCOa7CPw1IghAVIJDCqOHZ&#10;IFpjxoyBopAigiq5+UQ5RjAmJubs2bM475g5saoKd8LggzvBJtmqB0ImGOXVwOlgCd8w5/Hx8Uw+&#10;TueBAwfQZfmZGnq9dOlSdFwMwpIlS3AjoCuqwWSwmtH+nYcw9fV2YApqCkuZgGnSLsBVVpZDFuXp&#10;+fnx586sWL38+wED36nv++NTnputg1OeaFb+ZBtYKskmAooqrBOeYR2cbh103iXoklPQLauQ7DpB&#10;lf9veN6Tzc/bNl9u4zvQ1vGr/9gvrNNgsXPoXLfwUR5hn7gFffFCpy2/zMq+lVVUUppbUZ5vOvpf&#10;wVJ3hejknTBtvgOmwzxsmFo3a58+YDIwFpATcQ8eENKJowQ5yacQpkyZ8vPPP2M+fvrpJ7xdjAiE&#10;BBvdCTZRAUyYMGH8+PETJ07EI165ciXii5+VlpZWWFjI4UwHVvinwmAplllZWbjh8lwfLDV58mQs&#10;IPyEn46Hjihi9eAnMXBYPcO8ioET6AbQBFPRPw/3GjvlKDVLmT25UkeQhEqC8+fPM8mnTp2SUAnE&#10;xsbiWUqcJI/+r127Fi3GGshvqFFweUkVNmHs2LGo+ezZs3EsqLlr1y55fSIN4uaa/zzACLDuBOao&#10;5rFUsYmlikvLU3JzouNj5y6cM6JP3/6+QZNsfCPtm6b9p1n5v1unWDVLhKWeCi98KjzDKjjdKuiM&#10;a9B5Zy2Wyq4TXPk/wvP+3eyiVfPVDgFDPb2/t/JYaNFgvn3gfNfwsR5NP7RtPLz5c2u+n3grLbOw&#10;uCS7oixXP7JmnYsfGktpJHMHDAKQCqaI6R4QeiguLjb01tj9LwDH4qD5+fmZmZk3b95EWI8ePYrH&#10;tG7dOiIh+AmTgQjKy9MQTUooX7FixerVq+GwO7Fe/wDdwoULYSx2ZK9f9E+j4nbhbR0/fhxJ5XAM&#10;3NQDhX8kdEXRRB3hx37hpyNXCBjyhrGT+BvqwsAZhCTmzGApWQWaGb49jJCSfyDMJ8EcMoFkmDoo&#10;H1pibqEQJhn3kVB1//79EiehwoRKsFG1CyeosEAcUPRaVHvSpEl4rvKcC04GlaGx5cuXY0B27NgB&#10;Yx08eJCjwH/QIdRIB+4KJKGGsRSe9G8sVZack30g+vDk6b9+3bPXu0FNZ7uGHnBtlfGfZhX/3VJj&#10;KduIgqfCi54Kh5k0lnLTwimdpUIq/0fTvP+OuFQvYp1z8Md+/uOcGy6s23COtf8857Cx7uFD6/oM&#10;CGi1+PNRGSlphcXFWRVlOX8VSxEu5OjIzs7GT7ylAxpIvRtSUlKSkpKSk5Pl6Tjqsxf7Qh6mwzxs&#10;SLdZAo5C/MTRMQe4P0gVHhNCiQjiKCF8CCWBFCWERNDP1q1bca+wKQhfzN0AybEJAcX5MniO1n74&#10;4QcyuFrIK6Nmiji6qUMK/zyI+JFB/CSQQsawevg3CE98fLx58ATI4N8AMcQs4SdWDaIyN9Cs/jPB&#10;2GGgO0FAwyQT3BAnoaRHjhxBSWGmnTt3wky4j2vWrCF+hWAIiSAbIiTUH/pBczEC8hgLIANgJmwC&#10;NXE9cSmwDLIXm9gRsBfKDsNRAXcWoyHPZHJ0uoErfCewSDWGpRDL0sqKkorSktKyispC+KKiLD0r&#10;/diBvcvGj/v51Y4jfZrMtfTa5xCY4tQ83SIotV5ImlVopmXoLcvQDKuQdKuQZJuQZOvg9HrBmfVC&#10;cyzDb1mGJdUNvlDH/2idRistvX6s6/B9Xecp3oFjG4YOtnTu7uP7U48+R/btunr5fGppXk5leUFF&#10;RXZpUUlxCXbaiF1MfbsH0CWx6caqlAAJhiSDS5iXlwcbYYJxDZAMzgfKhtXGVdmzZw+uCupH+Lxl&#10;yxYJO8hIHikhQwWsv/gdSBUCB2lhzaWf0gGhLukDkLx0RuvcHaDcqMa+NCUlAgI4Oow5IELHTOBA&#10;IW3Q0pgxY0aPHo3MIbX4RPSZvsk9UhE1ieVFAe4Em06cOMHAo6KiUAMcKwwQso7cI7s0yFa4mRmT&#10;jsk06v3VIH0zrdwO2aQPV4OpVKF2gjPI2UTCcY+waFg3xANbiRbg72NzhYF03rmNeCAkYFqpghQK&#10;TEU1FfKJRSOPk0oGNZQSAzJ8gTEu2dEYIzNDgMJ0CQ8BtI/5hIfQVmYStcXsYF6IkFA92Ahfk0nG&#10;G0C7cSLlXb0ESZAQ7MJZQP1//PFHuY4H93BqcDfR4pWrVq9et379ps3bdkRG7t67Z//BfQej9h+K&#10;2nfg0K69+zZt2bZ85epZc+b/8uvUcT9NHPuTFl1BZrTMITgWfAZj0RNcYQgSmwNgL7miiAWoeSxV&#10;qj1jV6DFVOUZWelHd+1c+t33Ezq8/KOn3zwLj332/imuzZIsm6TVC86wgp9uS+lQlyVxVWimdRir&#10;qXWDbj7pf/3/NNpU12tEXduvLex+8fYf2zjkXWuXt70afPNax5WL5sZEH0zIz8itLM+vqMirMD2t&#10;oPWh6nloc9BNCsWmC0NQTfKYdWwrQLVAQUEBoQ+ATghHEBrEBb+A2edMIBwwkOGk4HEgBxIs46SI&#10;nwIooVzcE04n0sO5hLeQM+IbrDmNE11xUHrCQemhZqF1SIcFMsHVoJn/qqczDFAiz+8h/TAiDEr8&#10;NGPGDPGVDEcJuUSAGAucxKCgH2J2ucQshgO9uhNsZSkXu9EcCIn2iauYAfiPUaMYjA5Fgs7phvQH&#10;mHr8B1jKgKlUoXZCBBgZwLtH/DCOCB6iiMghQmKdgWGg/zaQQaFBLIWlyMiNIgFmRDQIsMpsyGU6&#10;QDnKaPiI5I0IKTo6mqkTWkLFDE6CYzA+sAW0gY6jg3I/SQgJaO+ZHz0aWmITFgA9lWt3REKrVq3C&#10;iOGkQidRR6KPxeKinjlz4dKFK9cuXb1+6WrCxavXz1+6cursheiYE7v3HVi3ccviZStmz1swdfpM&#10;LAmtaZZOt3Ucmg7QE+whzdI9QPcWLFhAIRagZrFUeUkFtl9YqqiyPP1W2sEtG2d9+unoNs+O9vBb&#10;VM/7gENAsktEUt0msJE5P0mCpWAmYxOZ5DoBENUOy/o/WtiP/I/tr04Nf/EJ/tLGo7+Lz5fN243/&#10;8MPIFcuupSYUVpYUVlaQcMLFwKMnYiIFojZaN6tMZzUmgCcw7jAHthhxwcQjFjgscBI+ApOOjuEy&#10;iJOC4omHgkwgBPIJUeGkaqCQTQgNNVllR1pARBAy5INDIJSwIBRFB+iSAbok83ovUEEGYl4TwmMI&#10;UAiSByNCSBwUGaUDmAmEZv369YyI4yL9EtWhV6JgmsH4XVDT/LIMCkbniauYH0YkV7GZFo4LgaWn&#10;p4sTYD4WMua9Vfi7Qk460kiAjlnEXLJEiVhFeIyrebpY1UqWotsMRCCjEGA9BOTNWQpdEwbCsKAd&#10;8sA3ugP9HDx4EG2FgXbv3r1z5060SX71gYnA5uBQLlmyBP0CYvQJj9Bl+AaewKowt6Lg4haLtaGQ&#10;mAmQoRousjz+AMlhdnAusWwcGiMgpHjh0mU46cr1xISklKTU9OS0DJY3U7R0Iyn10rWEU2fPQ2P7&#10;Dx2J3Lt/y/Yd5gQpdCUmThiLvgEyrFKIHaixLFUBS6VlpkauWfXzoEEjIlrDUstsGxxyDExyCk+y&#10;8L8XS6VYBEJUZGSVPCW7bBqNref0/ZN2E+29f/EK+s6x4SDX+u81DurRvv28cWPPX7+QX16Yr33/&#10;sBKbXVRSonWnyogLdPP4m63UiUCjMWaQVZw+whrMLtLDKcTFwNQSDkMqGF+hIk75qFGjEAhWAScG&#10;sCoOC0qIKHDa5s2bBw+xJE8J8iTmm7MowkSeXWiBTdREdDioEBUhnag3kK7+PqTnEooxltzcXCiK&#10;1pBFBBrp4YgIrrg5BD3wE34Z2oL7Jp6d6BhL9IrhG06fSRdvB8bFYCkpYS8YHWUjMuOIDA3CZrxo&#10;GmpJmMiI6KRMtT4sDabe345qm8jL2TGtK9QqiBgjmZhCDBlyiC6gVhhoyAnzXdtZChVAWQBagxYY&#10;XKURVBUkTpK7A+gdtCQ3jSAkNBFC2rp1K4RE8AGFyBMNchMIK6FFQDowO5IRvkGdMf0oGgaEWaWc&#10;JXwAdWGvaAHLgxst5IHi06D8YgSzIHpNx+itQMYCrly9fvlawtWExGs3kq4nJpPIXONE6Vx1Iynl&#10;+s1ktl65fuPytRsEWJxHxgKt0n+5m2Bc+afzAjoJ6G2NYqmKytKK21mqLC0jZevSJT/06Pl1UMRY&#10;D7819r5HHIOS7cNT/28sxVbyktLqhRyw9Z9q5THpSecZll7znPznOPp979Dwczufzi5ecwYPvRAT&#10;XZp9q6CkGJMG5xTpv+pFSTQiMjP65MXwoTwSNiFGGFMRHeQGLeKM4rOIw8JpFl8AcAIgFUgLCWAr&#10;7GK6nrtyJbvIdTxkTlwVmmJJHtu9bds2yiVIpz47oq4AWcTdwKBzIBrBtYE8srKy4Cp9NjVIz4Fp&#10;/W6QMTIo9sUnOnToEK0hNMgHEswQOCL8RH+wF6eqPs8jKgTIi3YJRGSNTDVgVoSldB00yTqKynEN&#10;akRnwMKFC3EP2ZqXlyfTDkyD+cMsJUMzrSvUKsjZRNGI2lEcbBZagyJgrxEhIoy/AUuhPqIFMgRz&#10;7UAjsONYFagIN1QCIwyF3DfCwqCVkApzIvYdOsEUoK2YGgmAUCJUGLODlYBysDwYDYwPe7E7jWBM&#10;aE2CLWyRNEgFQJuAamzFX8QmEMDRW7qH0UtPT09LS0tNTcUz5kRQSM8TEm8m3ExOuJkCIRE8EVGx&#10;CldJSWJyamJymsRYyemZSSlpjBH3lLOJ8cStl8c0MINCtxwakGfIGB90vyaxFJFAaUWx7gDDUgUV&#10;JSlpSRsXzv+mS9fP/UPHezZZ79Qk2iEo2TY0wzIQ+qlGUSSDmcwT5VH2AXMcG8608p5l6T3P3m+R&#10;a8h498AvbLzfsHf94bXOm5ctuXHmVGZ2FoZQiArrhpJU9cvkywNc+4KCAiNswhdgcpEVoQ25tgsz&#10;iS+AxJBHehARph5RQ80QO/bav38/p4cWOE/yuAHGWrPcVbZb8hoP6EwAqEBNqALzTVNIFYdDEDkK&#10;0ol9R5qhTORGblBJtwUykGpgmgFbqZmfn4/XBinSLEOgWfqPfNNtCukqYorm0BnUSbcMGpBO6Seg&#10;h1IikD5XAxVMMn375UFWOTpqyeSgKkwaeoWGEGOhCcy5TL6p3/dAtSGTN21QqLVAkrHUaBBCjo+P&#10;+sTFxYlBF7ERWaq9YBToBeqDduvXIC4ROaEIEAMuL5YaRYBpADrOEtUAovWAPOXGKoCcYClskbjC&#10;hClQEYYe44ClggwwPjSORqNcBGeYIPwAdByugu3QfXwCfERIkZkngBPTJL0VFZbrkNVwMzlFv76X&#10;RkokJZuSXPQjA1fBWBp1aex1U0aNPaFx474a9i1W/zEW3QMcHfNIB1DnGsZSZRXFhCuVlfmV5fnl&#10;JcnJiRvnzfumU5cvfEMmegZscQo8Zh+UahOaQyB1N5YiyXMT1YjqiH3QEteA5Xa+yyx81tZtFOkY&#10;utolZHodr/ctXUc0CB7Xu/+BOfOvX7hYXlhUUlGhXTWrsuwYO0w5zJSdnY0HgVYwm8wj9hTm53Ti&#10;eogYYdOhDblwRyFKhYhw7nEHEBHqy5VcTgMWH1nk3AgDcfpF2YwzJ5A8gisExpJoCS3l6HgfRMo4&#10;RBwFqUI66QDHRdoQcfppXCgD97LXOKq5ubmZmZkcGmFFK3CgaAfRxy6QZ4B79+6lQciPbtA9+glE&#10;tVhCOUaHyQApvxdksAJZZUle2mRCGBrqwTSie8whVolR008oyjgj9wLVMGrEXgxK3hDIwO81doVa&#10;AU4oWoPpRMKxuYgo6iNSJEskUBOmWgiRf1FqVAzLACvggMpdJewG8o8mSkjEDIh5gbTgEjZBQug+&#10;c4J7Kku5NgMnyQ0k2sEayD0kWo6KiuIQHAgmwPhgRqABfGWOCG+haDi+ElqxL7tQGXVmeuEkiZnk&#10;Kis9p1DKzZGYlEwIVUVFWtKCKj2E0ngrWTbBT0l60p5jZC+apXHiMyIzwCrlTIvO19qjWByRCmhx&#10;TYulyotKS8xZasPcud+82fnzxsHCUjGwlHVIXr2QTKvfYymSOUsddgha5h602jFgRd366ywa7nEM&#10;2+QWPt+y4ec23u9ZOL0TFDbrg0+OH4oqyMwqKC3PLzZFGAD7CEXJC+s4tbt27UKGICe5bit+DZJE&#10;Bn7C92GrQUg4AgBOQjKQRegNQ4zFB+Q5DWLcOSuAk8FpQwhkFSHmiNUgW9kF4UbUhK7gEoiKGB/Q&#10;MeSSljHTxhD0qf0Nssq4MOsEhXSMDrMjagBFMSgGgtwzEIRbPCmjP5o46sGQ3kdToSazVXezBZoW&#10;3g3Sc9nRaMG0Td/KXKFdhJ7C+qgNHWAsOAp0WDpvDIcBUgj0mFB725sh6Ewm7GvsKDAIW3aXpkC1&#10;VYXHDuOMoHqoksRSBNlEA7hTyInIDzLDuRbhocSAlPxpmFq5HaZtVTCV6jAVmRWa56uBbtN/gJKK&#10;0wlbyCUZ3Fn8TuNiPiZl3Lhx6CP+IgwEf8jlLwmJUHP2gmNgGqaIeEgiD0yNGBwUBxOBqbmg/2AW&#10;U8OSPGAT9VE0WE1IjuOi7zRIgMW+1KF7KLLou4C8AFIxeItyGXtC4k3jQp/GT0nwk5ZuZ6xUPdgi&#10;tEplX2lBIEZD8mR0v1fz4Gm/hrJUYUlxSWWFdl+qoiwp6ca62bO/eOX1j738Jrj4bbVvctq5aZpl&#10;UJFl6K3byen3U5RD8HzXgKVWDVc96RP5RMNj9QKP2odF2QYvcQsZ/X+cejh4/PJKly0LlyXEn72V&#10;U1CqG3GccVw5HHNmDR8Eky0xOB4NtARQHkQKpwYTj/+yYcMGRAefBUVCUBBB4SFRJ4CMioCKvFaD&#10;VKCygLxu8O9u8RE42mGJlENUxB9Y9lGjRuFzIXMEQJxseZJCTDNgRFLCTDMu+InG6SSiiaSiD+wu&#10;EQytwVtQICLOUYz+mI79CED7LOkPLM48ozxyMRPDhAYyFvjG6LyMhSFAS2xiX+aZHTlH6Ngh/afy&#10;NILSSsDKLNF5VCun6lWB+qxo0CemOnRZVHicwLeQEwFLYU8lqpCLwCgXlgtRQTKRGSwdeXPFAQ8i&#10;q+wrkKbQX1FYNomlFm9StgLZRB+kGwKjHSqwO/IJMP1CS2gWVgIpRXN37NhBELNEf9OYMJN22a7q&#10;Njbyjy4Q3BAVoQhINbOBkDMJtIOREULC5eVA0jcB0i7uGoXkWTIQ1AEaY1+OjrdNs8ynXBLEsmE0&#10;2EQn6Tb1gex+J2TOAXk5HDVhqWs3bl5NSLyemKzdf0rPhJwuXU0gctLvV2k3qPSk5Qm8cCjZkRaM&#10;WTVcTFrWzoQ+4VKOMNSwpydgqdISE0uVlybcuLpi6tSPnn3hA7dGsNR2h4CzsFTdoKK6IbfqVaei&#10;30kHHYJmu/gvsqy/8knv3U82PG4ZGGsXdtwudLVb6C9PuPa0df++xbPTvxsdtXH7tYTk4jLtKh9G&#10;kJlCDuAefA08GnwcmEkCDuJuTjDMhJwhN7H6m6kw64ijYdmBzLWcWjkl+vzfHSLWAvJSaFq/HZSL&#10;rIh1RuKJqFBjLDv2HZqh2/SfaImBiEU2ggky2Gt6gtCjIfPmzWNEkC5KwoiQXQw9wxF51aVRg3nf&#10;HgVksOgSqoKXh34y1XgAaDJb8RVkIHSeQbHK8NE6uopfySjQN3bhHOE3cGpYsor3wIjwQDlHNMsQ&#10;jIcGWeKFGNZQlz5tZoxVhccI40TgiyDeRBK4XwAfEWOKlklwgGCImlQTTlal/L4ge1UDkm++1XSA&#10;28kJyFYDsouAVbgBhYJgEOatW7cSD0kQI7KKwjI0uSQzevRoVhF7vF6YA71GbiUkArARWgkwMsYM&#10;oMgCzAvQSENnKYFYCXaB1aKjo2E7YiasmTybQFjGfGK+6CHt0yCVpSnzNqtBCEaOInlqpqSmp2Zm&#10;JSanVXFVEvGTHktptCSP/FHIVhKUxl6GSdSn0ATjoGyVCgBhqFEshR0yY6my0uvXLi/6+echLdoM&#10;d/T51cV/l2PQRedmGXUCi54MunWP+1J3TXscAic4N55Z12v5U96Hnmx4rm7AFavga9Yh+53DVj3h&#10;9b6V51eegZ917bV07K+xsWdw3DFnnDPOKxaT6ARawsFBjBAmyIASbB8Ch6FH/hAaKhvSSQbpER9K&#10;gh4RaymU1TvB6ZF9BeQ5Z7K8E3Iu2cpxOQoESUiERYZv6CHGet++fVTAoHOCgc5TmolH7dPT0/Hp&#10;6Dk+FHrC0GRQSK24bMirxB8ciKXRZzn0I4KMnSWqCPegxnQJt4D5p7dEfvQczzpN/4QVdVAteks1&#10;nFD4DCeUs0NEyFiAnCx0/scff2QTTIzOYyYYGnrFtDAVTAgzo8udCUaJwuOFnA4yOBOIIucOa855&#10;nDFjBh4JocDp06eRfKQFsbxTRygByMkfR7VG0C9DxUw1bodRnwzagQ4ikwgqHcNBhFkJ5bEeiBzC&#10;jG4iq0bMBA+hp4ioiCsURdjE0ORWEyKN7wufwU/4oBxLeqLzggbDdgPyQkVGh6mAhBt9o2NyHYg+&#10;4KvhzEFRdAPdx3wdOXKEPsshNE7Q7xJJRtq/E9SkjuTJGER4/UbiNY2Eki5euX763IXY+FPH407G&#10;xp+OiTtJ5sTJ0/Gnz546e/7M+YtnLlw6d0F7XEKuc4h54WwCMmIJpQ80SwlDQBhqCktpgllcVsVS&#10;lYWVlUXlZTeuX5k3Zmyf4PD37DwnuzbZ6xyisdRTAUVPBN6yvA+WinQIHO3UYHId96V1vKPr+F6o&#10;G5hQLzjZJizGvXmktf/Xjo0/sfXp3qz9mMEf7ti+L/FGKucPJ50zivSgHnKBGPccP2jnzp1yWQ8H&#10;BCeFc6yLhAZNUqpgKjLzDgBTL1vvCirTmkZZOsibN24O5E/UA7BKNbQCz4jeIvdYbfL0TUIQschk&#10;8vPz6QBeFWrPWOQKAwrDXoRf8BMCDeFxaDkKzSJGwrVG4SMCA+EoSCqHg4EkNER70Vg6TLcJDZki&#10;fAKUja3411AsI9VZSQOURgmqDhgRmyCqH374Qa5kwtzQMOeUswZPS5QpM2PAcOEVagg4I/glmHs0&#10;EWuOuHIeiQbE4RAd0VRFhyiFpjN6oWTuF9KIyCTyZt6OebmAEiQWRYOZJFoi+pFfpCCi9JloHuJB&#10;1yAnhFnICbEEjAUJZzhIMlYFziCsgdKwPNgW2A51oH2OIgeFEoBmvM0ohHKjY9SkRCrQbXaXiw0b&#10;9debETyxJI/6UIhOwRPUEQMibepjMhkrKbkTVOBwAurQJQo53JWr1wihribcPHfxyuGjxzdv27l8&#10;1drFy1auWb9p3aYtm7bu2LZz9669+/cdjDp4ODrqSDTDlBtpdJKeMIcA3acpDiGDpWP0kHJ0syax&#10;VFHJbSxVVgpLzf5hVA+/wHdt3Ke6NjngHHbFudmtJwNK7pOltjkFfu1S/6c6LostvWMs/a7UDUit&#10;E5BjFXbBtXmsfchE16Cv63q+1iD441ffnjtrycF90cTjuDyIlPzyAPHCAiJ5cucJiWR+5aIws8w8&#10;Gp4UJZTLVjaZQ2J245RUA1vNWwBGU3eCTeK1AXZkdzQZ3aCTBBCYZhSDcIpjiTCJJLELWkQUyNC+&#10;//77b7/9lppYcCQYXw9uoDVpmZ7QYfLwllAXMB37EYBjsWRWBXKrjMkH9A21R2/pBiPCB8Ra0W36&#10;/91335ERhYdx2QU9hIqwDuTF+2Y2YCmjMtVwaVEP8VKxgPKEhVCUXAw0iaPC4wbngpPCCcJU4Roi&#10;0sgDmojFx3cRpwrJQcixblhbTih2DSDz5HWT+0chOwp0C2wiJLSGlsV5MpRUVEMkFr2jJ4ioREsE&#10;K7AOfpJxdwAhBHhR5I2wibFQDdcQb5KhQRuMhcYZqYyCLumkYIJ5D/X+mrayKvVllTz9ZEJojY4R&#10;kMHoaBD9QSPQHTkQdbAJcrFOGjRYSjtA1dGNo5iDQmN+hKXIMD8XL10+d/Fy/Olzh44c27xtx+Ll&#10;K+fMXzRr7gJ4asXqtavWrl+zfuO6jZs3bN62aev2Ldu0F6LDypgjuoRFBWTos2i6ZhT06cUowWeI&#10;QU1kqeLKivyK8vySossXz08fMaJ74wBYarpbwAGX8CtOzW49EVD6xP1d8dviHPi5a/2xdVwWWfnE&#10;WjW5Wjcg7Qn/PMuQi45NT9mHTnUP+aaO+/MuDXs2ffrTD7+e+ussbB92beTIkT/++CO6gXWTYByv&#10;BzJAIqErJpolvgnzKG6UhNU47HhGgDw1DcgunI9jdwNbqcO+W6peOAsQYuTsTqClbMIzIs+SXZB4&#10;eog+fPbZZ8OHDx8xYgTKgM5QE5BBWCkhKPzmm28++uijoUOHfv7558JS6AwSLE1JfRoHZFA8YBzr&#10;EYFRM1g5NKt0lTmne/QTgkHb0XmAqn/11Vcf6vj000/Js5WaovyoIjOANs7X34uIoyquK3txKj/+&#10;+OP33ntPZoYGqcOMccowPZmZmXINECiWqgnQTIEOHAhcB8JobBYSggBzrjl9hCAoI2KJIcaWYd+x&#10;vIZ9B5qtvR+wi1hh8mKFaQ2KomWcNiIPNBQzimFFhVFt7ADeHi6RREvIG11CROUmE4IH0Cy6imRS&#10;gWp0GFVCx42YiTbpPIQHr8CF9AGjj+kH+iBMkI4JMRhdFYaQyrIVxwsvk2aRag6EynNEQFfRL6gU&#10;5wyKReCN+ElAOzCWXLujKTmoQDvwHTBt07fSDjMPbR+KOrx5+04ipyXLVy1aumL56rUbNm/dHrkn&#10;cs9+EpltO3fBXhu3bKd8wyaTiRODQ29RRoAVosN4mQCPUzKUoJg16b5UcSksVVBaXFRRllVWlJmb&#10;derE8UmffwFLDbXxmOkedIhYyjEi+4nA8ieCs+7n6YlNroEfe9QfVddlgU39EzYBVy2apP+7caFF&#10;8EWroDNWAdNdAkf8x6W9tccrXoGvv9i5f6/BAwYM6Nev3+DBgzGImEssO0GV+EQYPjIifyzJI4UY&#10;erkRimhSIkBSWbKLQKSWmpyAO4GHSAvYVhqBFAXUvyvYJBfEUAmaZZUlcQP9HDRoUI8ePeg/dplV&#10;7Dj48ssvsfgMp3fv3u+88w7L/v37U0IF9qKfovw0iKaRpw/SDfJA68q9O/PgkLEYR6FLn3zyCQPp&#10;06fPkCFDYBfyjIg+03MKWYVlqUM4KG6EMeHMg/SZPHMOK1MBPhs2bJjs3rdvXzLQ1ddff01ldAAF&#10;RtMwhfITK5M0Kjw+ENoKS0FRWCjOCzYRm45dwwsRUWEJN0AVuHcHDx7EDccHx+JDKhhNcK+LFncF&#10;lSEk9pIgiabgD/x6WiaCF2YS04/dxMXh6AiqaDdL0RHRGsBWCBWzgF6zC8xECzCTXMqDTgg+oECd&#10;DU3cIwQgPCEw8kIJQFargX1pjWaZAbxkpoh+Qp8cGtmGyBkCg0LCOSKVOSIELMdld+MoZASy+jtH&#10;pJzdaY3jMmkySxs3byV+mrdw8byFSwie4KSDh03vnz1x8syx2Pgjx45Tsvdg1O59ByL37COChDsN&#10;VxgqBXSbuYXvmT2MoYSADERjqVLt2+2V5RVaKiuvLC4xZVDYvzIhmIUEUmXlxWWlheVlGcVF1zLS&#10;th/aM+Kj9zv7+r9v5brUOSDOJeyGfUhKPb9bNv4ZVnd5Q9K90g6noO9dGo2r6z7bpv5B24CztiHJ&#10;dYMy64Yctmmy/SmfIc6eb1nYNLB39HV2C2sS0a7FMy1atGrZonXbtu2ff/7FV1559fXXX39Tx2uv&#10;vfbqq6907Ph6586dOnV+842Or73++qtvvdUVYujUqdMrr7zyxhtvUJnMq6++SmW9/qsUAvIdO3bs&#10;3r17z549oQpBrypgRjG7mE4sL1b1Cx1kKLkT1CHOI0SAZmAgqskuH3zwAW1ylLfeegtzjGUHAwcO&#10;hHEpp5BOdu3alQ5QLkdkL2mTpmiT6EraFxibgOQfBTgQ7csoGA78Cg/RyW7dujFdLOk53ZZVyhkO&#10;Feg/NaX/5t0jL50H5HEycDXeffddyIl5pgWa6tKlC6cM0qIp6qDPWCWcSrGPaAUZsZisGkZTSszB&#10;Jvx92cRe4K7VAOVUlqZYJfM7lf9mkLEb+WqQcnMwMzJRsJRMlLykH/7A3HOyZs6cCTHAE5gz7Npi&#10;/edEROFyAYMAC2o5qr9b4Q+C+EMuZmDlsZtYTIlF4CQaJxLCuTT8SAhJ/CFxiYQvhZAICOjGli1b&#10;sMJ0AwcoKirq+Im4uPiTp8+eO3/x0mXo6XqCHvTdTEpO0V7ZkJRMllVJifBEUjKbklJSpYKUU6jX&#10;vK0y7Zy/cDH66LGdkbvWrd+wdPmKZStWrlm3fuv2HZTs3bc/+ljM6TPnLl+9dvVaAsfVWiBQu2mW&#10;kpISbiReh7O0Q6QkJctB9aPc1HqSrHUjla0J9I2S5BQyV69d57gn4k8eOBS1dduOVWvWLl2xavkq&#10;Br9R+Ck2/tTJM+dO4ipcunrh8tVzFy+fuXDp9LkLFMafPnvi5OnjsSeOHY+NPnbsSPRRI+0/cHDX&#10;nr07Indt27GTIZDZvXffvv0HkIF/FZdWluipTP+cemFRZWm5topc3T3pfPbQU2lFZWZl5S2dsYrL&#10;KjKLy86npSzcu3n48MGv+TX+2NJpk0OTy67hKTZNrjk0vOrcINU6qBoV/U464BA61TFgklX9qdb1&#10;t9r4xzg3vW7bNMEieItjwPyn3J/1dmnr4+Ie0sgr2LdFcIunWz7TskW7Vi3bt27VvkXz1qGhTQMD&#10;g4KDg8PDw0NCQgIDm4SEBoU3JRsQFOQXEtqkVatWzz77bNOmTX19fcPCwqhG5dDQUMmTaaYjMDCQ&#10;cjItW7Zkl7Zt27Zr1+7pp59+Rgek8v77748YMQLfn+hHjKxQ0V1BHbk9wy5GZSwy9IM1xxzrDKXF&#10;H7RM/AGqGXd2MbX1uCG3jmQg0Mynn34KqdBtiARAS+TpuVyyo/MMUyhcRk0L7C5N3RXwEPXZkbHT&#10;DuQE7TFLuB3t27fHe+CIGKOYmJjCwkI8d3HhxWJiK+Ehc7BJgPKwWlRUJCZYCqkvGQNsNSCrUpl9&#10;Jf+3h8yhZPRp0OaBecvOzs7IyEjRf9CDFy+XsMgbbr549Kzi/l++fJmIAbcdCpFr1yL/CI883ARb&#10;wF6QFi756tWrN+rvBPqDICaDkPDc4RvYiPYlWhIeImNAwn0AYxEtsRfMBC1Bn4erflorVyDpsH5D&#10;6/Lla9orVq9cv6G/jPWmPJOdYPr16x9NVb83Mla1Z7svXrkWHXNi45btxDHzFy1doD+usGPXniPH&#10;YmPjT58+R9R2/WqC9oY9eQOs0Zp5kp7oP7mVtxlpP8Wlh9cph7RSM5LTMm4kpVJC/xnI2QuXiJCi&#10;omN27t63ftPWFavXcVjip01bd+w7GEXkdOnqdW13rf7NuyamQv+0R/UEn901ITD/Kq8oLieAKSsq&#10;LS0or0A/i8u1VFpRXqancj0hX6RK7XWwFcWPIpVVFOdWFuRoN6SKysqLCsoKrqZfX7Z7zcfv9e3U&#10;qMFXdV122AYmOERk1A26ae13w9Y37X5iqaP2wUsd/OfU855dz2OLTcMop8CzNoHnLPzWOPvOt/Xu&#10;0tS/7/OtuvZ/u//w/t++99EPn3w9csSP33z9/ddfjRw29IM33ujUrl37F154AQeckOiZZ59u/3Tb&#10;Zzu0f7ZDu2eebdvhuXaQAVa1c+fOUM5LL71ELAVYxQgSu5Anw1LYiHLqYzExyoZtJTNt2jSUBO1C&#10;CdGZFfrbSlglfy+wVUCe+oAWfvrpJ4knaBYLbmC0/upY1G/RokXUNHasCSDkB/SHjtE99H/s2LEw&#10;kMRJDAQzJB4rXIKHq491BTuyCzZCu1igT9q9IE4x3i4mjHaYCiI2gFsABXJaCbA4Fk1hNAsKCrCh&#10;2FMDYlWrgUI2wWcQGyaYPFZYM8BVVFQN0o6QnLm91qz43x0MVlhKZoBVXAF4iCCG8IVTKb9sk/CF&#10;PDLAiaYEvgFy7oBxbxWp+EQH7gXnEVWCsTitiA3yP3nyZJjmvoDISYQkV4/JADJy15P4ieNCgfLU&#10;Ax0m3iJu2717tzCTXB48o/+K3LjrA+kC2FYYAjIwcYz+FgaDJP5I0mnD9Hohea0DbEeYEnPi5PbI&#10;PVDToqWQxcZtkbv3Hzpy9HjcuYtXLl1NoA6Vde5JI1OtTfNk9uY901uOtGNBhNoRk9k9KTWd1s6c&#10;v3gsNm7P/oNbd+xau2ETh1y1dv1G7VmIvQcPH6UzREvQGC2Y2E5vyjiKkfSpuHuqVlMSAvOv8rKc&#10;irKcsuKs/JyUitK8spKcwrzM8tKCsmJJRXoqLisilZQV55aVZD+KVFqSlVuecasoqbwgvbz4Vn5h&#10;6qUbp5dsWfjxwG5dG/h8V9dtj03wTdtmWU+GpNQNuGnpf9evIN4rxdkHb7T3W2rltdDKfbO1936H&#10;xnHWfvGWjZa7NFrk1mjwy23GDOv165wJazYtO7px29Ftu/btjdq2NXLzpu1LFq/49pvvBgwYJHfy&#10;8eIHDiQ66TVwUL/BQ/oPGtx34KA+aAVCjKoMHToU+sHHR4uoLIAwwGeffSZX3tiEVqCcchk9Todk&#10;RMoBvtjZqjcqmS6c3w42CchLHXk+8OjRo5s3b5Y7ulhkgGKj5Og/5fv27UOXqMku+Hp6SzUC4nWy&#10;ZET0cI/+aUR6Di3R+fX6F62io6NPnjxJZXpeDezIUpq6K+S5LBpneejQIRrE5MHo2CaMEecUZwLv&#10;YcyYMZwInPe8vDy4Jz8/nwwuP1TEUmIsoRlARmyuVECRgNSsVg1QAqS+ZKQ+EDv+9wbDZOBkWDI/&#10;DD8rK+vIkSNoDRwzZMgQiZWJdPH20BGCXUAhmyhhKRnqsLVPnz5s7d+/P7H1hx9+CFdxBmkHPwPS&#10;Io8mQlfEWPcFPDk0V2J08tAehTAiLIUHCUXJZT1CNKSRzqO/6KkhuiKHUFSC/vg4LAXkLg72uooD&#10;tJfa3UxNx+jfF1FptKG/p5U8kQ2NEGHARlDUyjXrlq1aQ0yz/9Dh+NNnKSdSgVH0yEk7blV4dM9Y&#10;iq3CZFUsJUnjEtq5fP0GiUDn1NnzUdHHCNQ4IpxI/LR81VrCuANRRwitzlcdl67K0KTPeuP6qM2S&#10;9OceSduxWkJ+/lVWnJqRev5W+qWkG6cy0y6lp1y8cfVUVsb19OQrerqmJ1ZJCenJl6nwKFJayoWk&#10;rLNXbx7PvnEqJ+lc4rX4YzG7Zi2Z9H6Pjt08vcZaeEZZhadatsj777BbT4WmPRmUfrcvd9wrXbAO&#10;jLJqvNHSc5ml62obz02ODXY5+u128Jvh4z8nMPyLgV3n/TJyy+71x+MOJew/fGr7ng3rty5csHT+&#10;vMWzZs775uuRgwYNgX5w6tGBwYMHDhzUf/j7737w4dChwwYNebf/2LFjJk2ahGRTB1qS58rkbiqe&#10;uzhlCP3w4cNRNnRg9uzZ2EocLrncgcOVnp6emprKkpK0tDQKARlZvRNUFrBLZmYmS/QBDYmPj8e/&#10;k6dlJBRDqYxHXdEiORagfXY3Nfe4QX9u6SCPzuOZQlRyHxiLwComAGWnz9RkvAImB+ij0T4lcC+w&#10;VQZL++Thqv3792/bto2ZYaI26a+0f/vttyMiIlhiNyFIHGR5KB96u379uuwLYwnBGNBZxhQSGXkh&#10;Jyk0IIVSAUstFcSC/xPAwBm1LJnGnJwc7DtBCerw8ssvP//88y+++OIbb7xBUNuxY0dK2rdv37Zt&#10;2w4dOuA9cFIoB910sArIvPPOO8Jt4vxJTEwjtEAF7U5vr17Cdn8EPXr06Nq1K7u/+qp2ExqX5a23&#10;3qIdjgIpwogDcFQHDYIUCfGhLhxN5IcoCocPCdGYqOp9P8JPWhhVdQHTPFIxkkESfzhplKN9+SIt&#10;AzI4Hn9q+649sMWipcs3bd0Of5w+d/Eq/KizAoSkX1fUjL6JcnTWub3B35LepapO0ludSwinrlxP&#10;PHvxckzcyT0HDm3etoP4SaeoVURRGzZv3bV3f3TMiTPnL11JSKwiGNNnpaqS6Q0U1RKFEhdWS3oP&#10;2Vo9ITn/KitNPXxww/Gj26KjNh85tCk6asu+XWtjj0VGR22PPkTaqadIPe2KPkS1LY8oHT6xac+B&#10;FfH71scf3LR/56q1q2ePm/Tt4I4vvO3q/pOF95F6TdPqtCj8r6Z5TzXNfCIk435+L3XVKvCEZeNt&#10;dT2W13VeUs9lma3HGvv66+wb/ujqPTW02Q+fDlqzaPK+IzuPxR44uXbzpmlzvv3mh2FDPxo29MOP&#10;Pvps8OD33ulhetyAZffub7/Ts/uAgX0GDuzbu0+Pnr3e7tu3z/vvv4+vB+AqYSm5nA1XyYNAlKOT&#10;SDyNUBIZGXnt2jVMrVhYzdBWfbUFk4p8GyzC8k5IHUAFYTJaw6TCRhh3KGr58uVCURyIAAujAIdR&#10;Xyw7LaA8rEprNQEMn44xLgiJcIqwb4cOOi/kSh22CmQXYFqvgqn0DsgmZpslLBUVFcW0yA0J8swY&#10;Zs7X17dFixYYO1wNzp08OkzUBesfO3aMXuFVwFUFBQUSVLHE4LKK5SWfm5uL8QXZ2dkUGiAmA1Qg&#10;hpAwQrhKWEpWxZT/jSFDFpZiihBF5vybb7557rnngoKCmHZYCpKQB1tee+21Nm3atG7d+oUXXoBp&#10;Bg8eDBsJIQknoYPQBqdMQB3I7Omnn5bbxngbMByrtPnSH0bLli3pCTLQsGHDRo0a+fn5+fv7G0sB&#10;+cDAwNDQUCrDYfisiEdcXByqJ9p0V8BXVabZ9DJWkhEY/fEkJAcTENbExp+O3Lsfpli4ZNmK1WuJ&#10;ZqCoS1e1jxDq5t50F4pDCEtpoZL2NULt8xl3Jo1dTBGV6RBXb2i3js5dvEz8FB0Tu3XHrsXLVsya&#10;u2DO/IVkIEX46ejxE2cvcMxEacQ0QC1i+41y9KPfXxKOrJY0liooK/pm1HffjPr+uzGjvxw58rsx&#10;Yz//dsTI0WO/HTXm2x9I4779Yfy3P/xUlcZ8O+rHR5S+GTf+8xHf/zRi7E/fjf/6yxEffPxJj8H9&#10;32jT9g1HrzEWDQ5aRSRZNMv/d1iuZWiGReB9xVKJlqEX6gRtq9twroXHOEuP7208R9o1+s7er4dT&#10;w/fD2g3+4L2xUybMWbNy8bq1G36ZP+XLMUMGD+vVs1/Pd/oO6D+4f/9Bffv2R1vee+891KNnzx59&#10;tCt+ffv17wVL9dHv8bMJwFWjR4+GnCbqT4eTIZbC5LFKLAWHibLBWDjsZ86cQYgxoOJwYabFngJY&#10;B2j29R4wKA3LjukkgxklWiJsIv4giqJ9wgWCBgmhxNdjFwlB5Fg1CsJSdBIWkWeu9u7dK74qhWyi&#10;88yMqfbt0Cbr3tMlW432mSiCMxrfon/agEMQrnFqmjRp0qxZM+wd5wii0m5b6cB3lofdOZsEwUuX&#10;LmVu2ZfpZbYhOVrDOcAhkLtfgCgBkpMrrgsWLKCEMwIjMi5OhPmbc/85LCXDZLyweHR0NBpBmNK0&#10;adPGjRvDK4Qv6NdHH33EiaAc9nr22Wdhgs8///z777//Sgcn4tNPP/3ss8/kohzg7JAnvoGoCMgg&#10;D/aC51BSWsMdHP6HAfnRCDTJQYEesL1NU7IKWCVWg89atWpFtzkQBIlqIwN4hwk68GM4vyzNQYkQ&#10;zG0spbNINQP9O4kdoRwo4cz5i4eOHCWsWblm/fJVawludu87EH/mHHRB3AM3UFm/7GY0rh2XDlTd&#10;nfqtTSMZLEU1op8Ll6+dPHP+eNypfQejdu7et3HLNg60cMly+GnVug1btkcSP8WdOnPxyjV2TErV&#10;vhyv76vtrh/ut5b1Uf+2ap70OameKJf5qZYQnn9lFhYHt2zdICgkpGWbRsFNm7Z91i+0hX9464Cm&#10;bfXUXk9P6+mZgKZtAiJaP6LUpPkzjUNatQl9tk14h6CAFv6BET7BwaFeDV+x8/qxTsOD1s1u1m2W&#10;/5+wXKuwDMuA9Pu5L5VUL+zKUyHb6vrOeNL966dchz/l9K6F55C63l3cA/qFtHu521udB/bv+eGH&#10;737+5Q/9Pv24+7t9eg8UlnqnR++eWtCvPdU9dOhQtKj/gH79B/QhlurT9x0oatDgvhSiMOgPGDdu&#10;3IQJE1gSP2HayJORWApNwFWnHfSNcAcvDHLC8sJSSDIZbCgwZ6l72WVhGuqQycrKokSMO6ZQnhfA&#10;jApFSQgl2sLhOBZt3qvZxwgGAujkqVOnDh8+DIvQfwZFz2U26DmQvOwiecBUACm8E+YVaA2WOq2/&#10;g4O5gmmgGTKcGtxk/Hd8CM4yDgenXJx6bChWCQLDPD3zzDOvvvoqtgwjiHHkpI/VX41PWICngqHE&#10;hW/Xrh0mjIwEBO3bt6ecvWiQmnv27KEPEFVZ1TMUYr7/9pCRAsQV5+CTTz7B4jdv3py5Za7QC9ho&#10;8uTJY8aMYWI7a7/z6MSJYMbmzZs3bdo0vL2ZM2eylFtEuAvyyMNU/Q3LtMb8wyIwE/yHW7BmzZrV&#10;9wPciCVLluBbCBYtWoR7MXfuXI4OyON5sIq/gqggGEjCK6+8ghjQB0SIcAotExFFywywij5jxyVM&#10;0aMNzRDfN0vpt4jOX7py+GjMuo2b5y5YNHfB4hWr1+09cEguuF1N0C6vJadlpmmvfBVu0CIbCuWx&#10;Ov1CnMZhdyaJeHSSSL18LeHkmXNR0cd27T1A+wsWL+NAi5et3Lhlu/58+enT5wigrl++pj2vqAdM&#10;JnrTDloVMkqbMkxtVd90W7qdzMyS3CGrnhCbfyUWl1jUf66OTwfLhs8/6fVsHZ/n/+32zJOez2vJ&#10;g/Sinl7S08tPerxg2vSw0xMeLzzh8daTbl2cHDs5OL1ez/l5C9f2//Zq6u4c0M7Bb4RNYKRDi6v2&#10;zTLqBiRa+9y0906zuo8n0W9atbhg0Xq1TcQYq4Betv6v2fu/6tGyi++Lr7bu/kaHfs16Dmsz4OPn&#10;Bn720sDPBnb+qF/n4X16DyD16zuof7/BvXv169O7LxJJqIT96tevT//+fQYN6q8TVY++/d6hHJ9O&#10;f0jim1GjRsFMOFksJaIiD4ilaAF/DZaiGkKPLYZCxDojzebMIcbXtHI3sAtL2Qv7i+GD83bv3o1H&#10;L8b3gP7+GKIoVIWaOjFpLMgqTh9KxSbTowV3gPCFjtGmpnP6FXb9mHcBbZpyfxj0VkYnYFVmgE0c&#10;i44d17+ADEvRfzm01NT3vkvegBTeC1KHBjnEuXPnmHwM2ebNm/HrmTH84qCgIKIosUrYPugHEsLq&#10;6dFzT3Gr4SfyVIbMcE3w/TGpnH02ybUgDCVON6vdunVjl44dO7755ptvvPHGCzoQACQBgiSiRfH+&#10;yrtTHI5jaTfHHtMtMekAS844wSgTiKGH+3ECyDCruG5wEu4d0044xewxvXCAPBrOEgg5GatkIC1Y&#10;6uuvv+Y0MfO4iZTjpa1fv57zK68yIbNu3TpUgzyEpD1OegfYRAXjF6a0QGQsTxiiqiylDgRJnE3f&#10;cDtYIgl4ooirRPwIsM5NtwHfsJot1iMqLSPEYL4JK4/116Kim/JkXQaF+vtbL544efpA1JH1m7Ys&#10;Wrp84ZJlRFF79h+EUaqurWmJ1oSioDSJq8TKy4F00tLCLOrcJADSQyuqcUTI6eyFy7HxpwjUIvfs&#10;27xtJwfiKMRPHIiS6JhY+In4CX4yDqen3zpvnoSlSNXK/1zSWOpGSWk93zes/TvZNOlUz/dNUp36&#10;r1s27mzZqIueulo2esuy0duWDSVJ4cNPdRt1rdtwUL36A93c+7h4vGPv3dmm/qt1fZ92cwmNqNfg&#10;M0vfLbZNL9uHp1s2SbD2uunkk3Y/v5dKtGp5waLtStvmo2yCejgGv+4Z0Sngld6t3unR6eOeb3/x&#10;7LCRz3846pUPfnh92Hfvdv96YPfP+vYZSBrQf8jAAcRV/WGpIUOGfPDBBwZLDR48YOCgvlAUiXJY&#10;CjUDsJSQE0tMEu6hTlIaS9FC79690U9YClOIcGMuMaDYLHNz/AcBQ6AVwj1QDtZ2586duIRoGi3H&#10;xsbK7Rwax3uVBweofF1/oTgEcPToUSz1XXHkyBE4D7qiMoegY+wOkdCaQMiJPtDm/XabdtjLAKv0&#10;UGbA4I9du3YdPHjw7Nmzpn0eDPTQ6KTMAEMj7sTuwFIcjgzmBouJfaQDzBvL+Pj4mJgYpgK+Zz7l&#10;l57yzDS2EhrDpMrj8p9++imOf6NGjbC2o0ePxpDheuOYi40jQ+XPP/8cy0uIwNnH8tIB4xkKNPAR&#10;waAlgfmxTNTxF4KDGiwFbRCRCEuFh4cTbkL/TD4WH/UhMBIawA9AiZhnUSgyhs9n5OW5JMiJ6X39&#10;9dcJv/AOOQXEPcwzNDZD/+UTIAOlyeO4dwX1qSCaC/NxcgnsCJ7oEnlaoDV6OHz4cP0xjm7yVAVn&#10;HL2DpUQfTdRkhjtZShL0cOX6DQiJSOg38tCZiaWYeGIRKIRgKf70uW07d69ZvxHaWLpiNSxy6Mix&#10;k4RRVxOqNSupKlbTohytNf1wNEiwJe2ThM+gEw5x6ux5oUDan79oCfy0bOXqTVu364+YayEUHEZv&#10;pRHzA/01CbH515WS0jp+fSyb9K8XMKCuf3/LJgPq+JIfUq/JkHr+pPf0NFRPw6pWH36y9B9ap8k3&#10;df2+cqn/qVODD+waD7T261k36A03rzZN7Zp8ah24yaHZRafwZCu/a3YeCS6eaTb3wVLXrFvG1Wsz&#10;27HFR44hL9Zv2T70xdc7vNuz8zfv9J3Qc8Cvz38y5cVPp73y8cSXh4/r+87I3j2+7NtnEIEUFDVo&#10;4Lt9+/TvXRVLoTl9+/Y2Y6mepN9nKTJAWArJhudgKSwXrhl2MDExERtt2P0/CCrLLijGlStXYB2C&#10;D0Io2sTEGxf6qEP7VDh9+jRmF9OM9Y+MjNyyZYuY3buCTVu3bt2zZ8+hQ4cgM1o7c+YMtpumOJw5&#10;S/0JVGMpATOAPkNL9JCBcGhmhm6b9nlg0FvpMD0nRpQZI4SCpZgQHGdYCqOJgSssLMSYApNp11Fc&#10;XJydnc3uMBxTwZzQyR07djBX8BA2EecDloKEmFgYiPaZfypzLCJXjgW9fffdd5i2V155BWlhX0Zd&#10;ov92WCONRwPzUZCnxMQYjwPSH5YM3GApAqmwsLA2bdpAS5A9lIAGQQPwzfPPP89JgQOgCnRKCAO2&#10;oEQKibpYolZoE1EX8Su7EA0zz1SDZiAwQGUiLRoHVNNvQt0FBM0oJhqKG0HfBOTpA6Cc3Ufqj6pT&#10;kxI2YQqoQwe2b98OSyFgqIYwkznuzVL6dT9TOCJ0oj2hDpGQgbcIXAhfjp2I33vg0NYdkUtXrFqw&#10;eOmiZSs2bdtxLDZe5yft+mG1Zn9LVRfW4BVak+t+FMrVOY576aopRIuOObH3QNSGzVsXLV0xZ/6i&#10;BYuX6fefdsacOAkRnrsIP2mP8N3W+F+bEJt/XSktq+Pf1zJggFXQIMuAQVZBQ+o2GWwVNLRewHv1&#10;mpCG6Wm4nt6vWn34ybLJ8DoBI+r6f+PS4HOnhh/Z+Q6y9u9VN7ijd6Nn23s2H+HaYqdHuytuzVOs&#10;/a/aul91cku1DqxGRb+Trtm0jLNqM8uxxTC7wOe9W3Ro/tpbb3wyoNeYnv0n9Rw45YVPpr3w6bSX&#10;Pprw0vBxfWCpd76Ua32DBw0dMnhov74DYCnkEmnWmKZvL4Ol+vXvSfrgw/8LS2H+kGad4bQXTKBX&#10;OGV43Pv27SOAwEYbZvQPwqiMKYR+MJrYx40bN0JUBAfi2VFHrCphlhDY0qVL8TFxG/EZAe4h3bsT&#10;OJVy6Z+Aj1AAWyzP2l26dAmbiypKB8hghTmQ9OQPQmclE1jVhq2PhXkg/pN3psGOMBakqO/xoOBA&#10;chQgtA2FECxCUZCxsBTn5dlnn8VDL6r6IpfJuOrAysNe+fn5cBWtQdXMA40AISEsY9OmTXFBmOqc&#10;nBz5oRWViWJZpQ94CRwOc4n97dmzJ9PLYIlQabnasR4iZCAGzAsl/1eCg/4+S8mvOKAB1KRjx44v&#10;vviiRCrmLCXMBOAhybOpGkvBJexFBSgKrkIl8S/xD/AhmPznnnuOAO5O0BMB+datW3fo0AF/gm68&#10;9NJLL7/8Mpke+rsx6TZnuVevXtgB6IqW0WuU60/EUiT90QPt6QM9sjE9OwCRsLx8LQEKOaI/X0dk&#10;M23mnJVr1q3ZsGl75G5I5cJlGEeLvcxbM09sMl3l09skBiLBVTATe1JCYESAJOS0ZPlK+A8WlPcb&#10;EVTFnIjXA7Xr8JMe52ltGu2YH+ivSYjNv24Wl9r6vu7QpJNTYBfHgC5OgW85+Hd1Cuhm79fV3pf0&#10;tp666al7VebhJzvfbpaB71g16eHR8C23hp2dGr9m7/eCdWC7Rg0inncPHe3UbL/L00mObbItQpPr&#10;Nk62aZx+P++euGYXGmcfNNXFd4C9W2tvv/Ztnn+78wcDen03sM/PA/tM7DRsYuf3ST90Gfbd4D6f&#10;D+rzcf9+QwYOeO+9d98f+t77A/oPgqUQ0KFDh8JVvfvATL31n/T2GzCgN+nDe7MUhk+0BQ1kdwT9&#10;k08+Qa/QJepgJTH9hBdCKmJV/wikMjqANd+/fz/8tE6HPHeOzmA95ak/rDAcg12AFDmieKOiw/Tw&#10;roBT6TBWgGqsQmyrV6827nURKNBbMf104H5ZCrCvRFS0IIoN28m1PvpPIAWFwK+m2g8DHAiQEWYl&#10;Ljx+/LiQOtMFf2PdWrRoMWLECPojfZO9GJ0BoxHpP6CQPFwFtbdr1w7jRf9pnHIYCOj7afPDGKEl&#10;hKF79+6Yyw8//HD+/PmcO/OH1B86aFwehecQcoFRAFuYqOMvxF1ZCkqA3Zk6OAa9wOILS3Xq1Alu&#10;oA5CCJBYlnCSiCXAyUOAWbIJbSI8pQUhNhTNnMMgv7fffhty4ijQYXh4OFHvnWigg4y/v39oaGir&#10;Vq0gKiiKNl944QU6w1nj3MF2MBYgnCL2whqgyMJSeD+AE10N92IpjD5Jy+sPf1+7of046dK1BLlF&#10;dPT4iT37D27evnPV2vXaIwwLF+/cs+/IseNnzl+EYCQw+h3CqGpce1TBdGWP6A3yu34Dhos/fe7w&#10;0eM7du1ds37T4mUrZ89bQFq+as2OXXuOHo87e+ESfYCcdE4ydZIekqm6kFj9cI86aSyVUFTypMfT&#10;Fl7P1fV+3sLzeQuvF550f87C88Un3Z7X04tPur70pOvLjzo94fry//Z65b89XrZxet7K6VkLl7ZP&#10;ujX/P17Bro6+ra0bfmMZsNOmRYJty6ynQlPq+qbZNsmwuo/fS12zC4mzD5jq0qivrVNLz4bt2zz3&#10;dqf3+/b4ptdbo3q99eMr/Ue9OmjUa4O/emPglwN6fDjgHZhpyCCNlT4YNvTDgQOG9OmtPeMnctm7&#10;d89+/TSWIg0YqD3s9/sshWqhTigPzhe7UxO9YokWYR/hErkrIxbwDwLbh0qIZYfqCHdoinBK3iF2&#10;4cIF6ISgZOXKlZATnjs9oQ8cEe3FpBIkrVixgr2E28xBodx9IaKi53KZhbGwumjRIix7VFQUh+Do&#10;dEOs+R+HGHqx8izJo8bQxvnz52EmCJU+MyLmhAGy1bTbA4BGdKYwUSnzDKlAD0eOHGGwTB10xRLr&#10;FhQUhGssVzsBpsccML1guxk2bdok104///zzkJAQzNnUqVNZpeWdO3dKXCi7EEhxLph/LJ38jgfD&#10;ylb6A8ScPQoQoXKmmOrc3Fy4CopC4YEwx18JDnrXWAraaNu2rcFShJtomTxvAhMwY+JXCevIUgqR&#10;Z5aoG8Q2fPhwojFhKeJaqcDSYCnCLFiHJXwDBd4J4R5AnqaInIiZ6AD9RPGJnAjXOMsciFCYOr17&#10;96af8iQUMoDEahz1Z1hKvwSn3zqCGKCHmBMnI/fsgzOEPAh0TL9Pio07f+mKfksp/Zr+ijz2ZbVa&#10;s5KEY0yNa69T0u6BXbyiPWJ+8PDR9drFveVz5i8khOJAm7bt2HvgkP6Ko/hTZzUapL7ObaYkkZn2&#10;IMa9f3T1SBNi86+03BJrl8Y2bn62bv7WLn6kuvaNrJybWDlJCtRTkJUjKfjRpXqOgf/x9n7S09vB&#10;0dvO0cva2dPSxf0pNxcvG6dnLFxGPdHogEWLdIt2Jf/dKuff4fkWzTLrhVWjot9JV20bxdm7THN1&#10;7Gf3VBsvl+fbt+7XadCQtz4c8uYX73b8smuPT7v0+OTNXkM69xw0sEvPAW/1HtD/3cGDhg4f9hFp&#10;4MAhffpon3uQK9HmLDVwUB/SH2cp7CBKhWSjPKgT6orrjdONqbovo0yoZE5RmEWsIUEV9vfMmTPH&#10;jh2jHG+dDhhRERESTLN48WKYZrf+/jEMNNxQDRJ+yasf5M4/LaDwNMJY5syZQ58l3MEC0uf76rbU&#10;F5YC5FFjwiYOSkzDcRkCRCsBDXNi2u0BwCFoB5aSg9IyBoXOHzp0iIFAM0wCARBmCCcaCmGYOOnM&#10;FadPwByypIRywGwATiiQPHMr96WIDL788ktOvcwVkHbIUA1Ty6nH/GF/CSAwnZw1zhcM/eiAv8Jp&#10;Yvg5OTmw1GOJogR3ZSnmgcCldevWXbp0Ma74Yf1fffVVoh8CXIn7DZYS7pFCKZHwSx6zNFgK1wpw&#10;gqgjz61ATnIFj1OM73knOGg1SDk6y5LYlzibNmmNMwiJ0n820cPPPvsMhUKohJPuxL1ZSnvGD37S&#10;Qpxr2k9o406dORarvfSI+GnO/EXTZrFYsnnbDv39DhfPX7oK92i/cq16vZBOHne/6CcsxVZIhfYv&#10;XL5G/AQJRe7dv05/eG/mnHlzFyxavW7D9sjd8OKFK9f0X1yZno+oalmStFlFVCnpxlH+sqSxVGZJ&#10;qUODlk6N2jg3auNQv7V9/VbWni0c6rd1bPC0Y33Ss3rqoKfnHl1yqN+hbkDzev7NPeo3c6sf4dIg&#10;3KlhiH3jAD/XRi/bNvypXvARq3YZlk+X/HfLnP+E5VqEZ9zP96Wu2jQ+aeM63cW5r51FKx+PDh2e&#10;7t1t2IB3PhvaY9TwHqO79/uuW/+RXQd8/Fb/Dwd3Gzyw+yDiJ1hq2LAPhw8jlhrcu7fmWGHLfmOp&#10;wf2HDBkwUH8DxX2xFN4iLCVyj7peuXIlKyvLYCnNit+OaoVYHCpfvHgRKsJhp4XVq1fjzeG5R0dH&#10;Y+Xx0HHnCYaImbCS0Ax0Ja9RoD5MEBMTAytgqe9qIiG/WP3VmfKoBXEALAhdzZo1i7EwLiIzgi2O&#10;Ap2IBTR6qNHC7flqkE1CGCwZCIEUwQ2RDbQBGAJDYyvxJYxi2u0BwOFoR1gKYDUYI0NjugyWgnSx&#10;RLAUlo4zZU5RgJNIiUZKVbQkFYyTyxnH7w4MDGzVqhU2CyZj5tlEfcwoNafpT45hMeEwamKCw8LC&#10;cNiZWE7EyTu+6fwQIfcREbDCwkIjkAIm6vgLwUHlYiNnQVjKeFsELCVXQc1Ziq0GSwEmkwlkKatA&#10;WArmQJsIdKAfIlS54qeTlMZSVOOMiGcggRQEw8zfFZx9ID8kYJUuETPJDwlYRXPpYa9evYj82rdv&#10;Dy9Cq6yS4TwitIiZxkl3hFPaOkZfoyUIIOmGFj8lsyR/PfHm5asJ2itcj8ft3rt/w6Yt2s2n9RvX&#10;rNuwZt3GjVu27dl/KDbu9OWr17HUeguma27ajSLtEpyWDFNunrSLdaZATXu0HYqKij4WuWe/1vj6&#10;jWs3bqbxnXv2RUXHxJ06e+b8pQuXr1KNyslpGUnaG9C1FqQpDkFTGi/efoi/MiE8/7pQUvZvv8FP&#10;BQyzCP6gTuAHFoEfPuH3vkXgJ3UCPq3T5LM6Tb6o0+TLOk2+quNP+vrRpSf9v/r/Nf38/x/2mZXf&#10;R9Z+w+39Bjr49XJq0inI8/mOjm1/tXs62ua5NMu2JU82y6kbmGV1f9+XSq0XlGjhP9epcV87lwC/&#10;wNA3Or005IfX3//lnSHzegyc+8ag2W++O7vLsKld3v21V48fenT7Ai1CLuEVgOjjjuEvV7GU9lEi&#10;tgJWAeJ7J0uJFSMjDjhOnzx8QZ2RI0d++umnlCDfsJTEUmJShYQE5MWmS6EssTuoRFRUFMy0cuVK&#10;CIOgBzt74MABKApSWbRokZhI1JieQFHUJHKCe2AgDkfsArvADWRo7a6gGu4hwBlnR2IvukogxUAw&#10;HAxtwYIFRG9QHTpodI/eMgry9yIY6gAyEkhxIDgDtoM+9+o/kOK4QirS1IODdgTkhaXMY1CJPiHj&#10;Dz74AJqBQgg34ePZOhivLME8/UOXrLIVnhbgAVDCLkhIUFAQwQEnVwrZRWqyl3HRFQcFi4kxhc8w&#10;wdu2bWN6mWRG/YjAqKGoIv2REKEKeAIIc/yVEJYCnHocpkGDBmHuYSkCUHlhBKcAgsF1Q+Nef/31&#10;4OBgTgdkg5ogzGQQPMRPBBv6kaCKcmYVBYRdOnToAG0QS7GVcvSOJYqJ0jHtBFKwFHTF/BugxADB&#10;lmRkE5GZAHpj2bNnT/pMhhMNS0F+aDFMxhHRQaRIWAqviyV5tEAUgVWGTF40Sy4Mig5ygk6dOnX0&#10;6FHkf+nSpYgN0rJ06fKNG7YcPHD41Kmzly9fu34t8UZC0o0btJNyZ0q8B0slpabL7S7YBQaCojZt&#10;3b5i9TqiKC04O37izAWY6Zr28J7+qEW13Wta0ljqUknpk359LAIGWgYPtggcXDfw3af8WA6zgLea&#10;DLdo8oFFkw8tmnxk4U/6+NGlp/w//n/CP/qfoR/a+A6z9X3Xwa+vo193pyZvBHt36OzabqrjszF2&#10;L6RbtSt+MiK7bpPMer73x1JWwTctA+Y5+fa3cw32DQh79Y2XB47oOPTnXoNm9xww+81BM94cMqPL&#10;8F/fGjqpX59RfXp9hUQi3PAKGDBgALKIWXlXfyuzOUuxCfw+S+F6ozDCUuyCQ40q4jOib/jySKpx&#10;xU8gpty0oq9KBouDfEsogFgTMOGTovAYOyIb+Gnjxo2EUBwXBWYJP2GIIRjUAGXAOl++fBn1QJFE&#10;Se7FUpTTK7GekBlHJOCABWE7DK7wLkODDjkoW9mlGrXAB5KpBuroyqsNliWNw0xQBZ2Ed0+fPs2h&#10;KTdv6qFAGhRjgUFhLFA7s8eh4QlICxNJfPPJJ59QQk+I7SgkQ3gHhwHyAsrZCgj7WELh8CuGEmuL&#10;mYOZKKQaS2pyIAkQhRc5L/jpBApdunRBBii/10Q9LOTk5OTl5RWbfYNYiEryfyWEpVgy5HXr1qEI&#10;REtNdWD0mRBOAayDmhAYwSWNGzcmPIK3hKXYxOwJSwEJpCgE0BKcwcTSDktCK4m0WKKMqOTn+mcw&#10;CZc5KD4lLoU50GWAFqPa4nSKUstWCmUr54vjkqfDLVq0IOBDWmA+LMOyZcsIW0W276QooSWUzsjg&#10;ZeLecfaRHOQQFZZ7mWgrKrwrcs/hqKOnTmoUlZBwk5R4I/lmYnV+knQvltJiKXnMITkVQtp74BDB&#10;07qNmzds1l6dfvKs/vye/sYKPRqrDSyVUFpar8lr1oEdbYLetAp40zqwcz3/TjaBb1k3kdTNukl3&#10;6yY99PSOtT+p56NI9fx7/u+Q/v8nqJ9j496Ojd9xadzVxfcNF//nQ7zadHFtMdWpbYxDh3TrNsVP&#10;Nc2q2yTjPlkqxSokwTJwnqPvIDvXpg39m3Z44dXuH3Xt913/fr/27zu588CJnQZN6DR0TJf3Rvfr&#10;+02/Pp8hnci0xFIILm4dkopomrMUeV2e785SLKEKc5aiKXYhipJq+OCRVe+cRcTFkpqsi27ogVhz&#10;lgCJx6Qi3HADkg2QabmxD9uhKvjvHBS9RZkl1oGfMP3wjcFJKIlA56O7Q1gKSmMv0SvyGHda43AS&#10;qwkRkscQcwjqSJ9ZQgbwrj6I6pDhiAJzFHQbg85wMOJEVByFw8k8ANM+Dwx6JdMrGXoLqTN1sBSd&#10;hylhfUxky5YtMUN0jNNB/AEYBXkZFEsDrDIEMUBkaJAdxURidHJzc6nAjswDh9OHq/ExY8RuvqG/&#10;+RtLShzMeB/pM36gpOobIui5wEQafzk4NOzIkslh5lEEuS8lT6K/+eabnAKEiugH60/40qBBA+YT&#10;NaFENIilwVKAPKAcQsLzI/wKDQ197bXXmFvkc8qUKeiC7Eg16tAOfEYABPNJBuJBE6kPyLAqJVKI&#10;5wGoRp5yomHCHQ5Et2EpyAmflVOJHSCWQgaQHOQB9WEpXMUSmOsaMo8K4/Pt27cPUUFn0dPFixej&#10;y8gkDg2ieObMucuXriVcv5l0M5X0OxRFuhdLyRPkchsp7tSZzdt3rt2wafO2nQcPR2tfKdToT7uO&#10;Z7p4WCtY6mZJSb1Gba0at7fybW/ZqH29xs/UbfC0VePn6jXsoKfn6zV8oV7DF/X0Ur0GpJcfRarb&#10;4OX/5dfpvxu/6eD1hr3Xq47eLzj4PGPfoKW/c8hrdoG/2EQcsWmbYtWy6KnwW5ZN0q3uj6WS6oVc&#10;sQiYZ994iI1bc69G4c1bv/hSn06dPujfffTAHmM69/vxzX4/vDbwq9cHfNmr50e9e70PM6FI2v3T&#10;oUPJE0gJabGEsQyWEofrXiwlGYOlIDkqv//++1RjEzKKjUZ2xZwBMc0mW6hbQylB4iEMbDoeOtyD&#10;z4XnhZRj3w2Kmjp1KqqLNk6ePBl1gv9QBgIdiZ+EbERVyIgiyeqdoD5WFaKSHUXTWEUVhSMhJ/qP&#10;8k+bNm3VqlWoHO4hHcasS88ZEd2+Ezr7aNEhLdMawyF2waM8efIkVMpRZBIEpn0eDHRGnACogiWH&#10;IHojrMF7hagYDnNLCWewXbt2mDbjDXsG0BBKoBM2QV10jCnC1tB/AinMCsyNt46pfeedd5gcYhdz&#10;kmMqGCwUxTniKEQJiBN5WJnumUc5jwi0D/TrfBpMpY8JdICzgMwwCfA6FAVat25NUMLkwOL4WMRS&#10;HTp08PT07NSpE4yCQgktwT1InXh+nClkD+YgeJ0/fz5baSEoKKhz585slaCEUyzOHKSIRsybNw+/&#10;EO2gAk3RDq2hmNK4RGYwGeCIAIUFkmHJ4WAUNBdC5SQS52EB8FBhMtpHEhAJAZKM+nDSkRNRunPn&#10;zp06dYo66Pvu3bu3bNmC/uKmIAZMBatoAVtxBNHWGzdguNSU5PTkpDQo6kZCEkvoypycjHQvlpLn&#10;1FPSbyUmpx2JiV2+eu2ylau37dylfafw4pVrN5K0X2jpD2JIqrZ7TUsI8L9SiorruntbeviwrOPq&#10;beFWv46Lj6V7QwvXBnpqpKfGFi4kXz35PYpUx8X/f7k3+2/XCDu7prZ2YTYOwVaOTSxdGvpYeTxX&#10;12NcXT/tnej1IgrrhN2yapJu43dfLHXDMuTcUwHzbBt/YOP+jKtPc7+gF8Nf6tT27f4vvz/4tY87&#10;vfPJmz0/frHPuy/1HtKtW/8ePbTrADDKEP3ba8giLEUegmEJS7EJGUXTqAZwA3+fpQD6RlNy2RDv&#10;DO3CumEfkWMsKbZPDLRu5E38JG44ZhTZjYuLQ5Qxr2gdIo5k79y5EyoSj2zGjBnoG5rGEfHsCBHQ&#10;CpgDapEoSkAeoDYG95C/K6Qmu5jW9RJag/boM4fGNAj7wo7oG8aaNiXykLHoHFEdsolDo8xQFPx0&#10;8OBBGqRloSipI5BdHhzCUhyUHjInEIZQFKOAaegwhIFlhGawVpCKfIMjOzvboBnOAqYHIyJXPvEM&#10;OAuMGi8YQ4kVw55iIlnC39QBMTokQ32sKlYY15tYCkkgKoXGYD4CHWGRRwThBjJCUcC8/K8HHeBc&#10;wCJ4bE8//TTRD5Bf9RKmSACEKhFLwVIUckaQMQpF0uSGH7In79bjFMijQzAQLgKRWc+ePeGSPXv2&#10;IFdMMl4IpxvFQdeoydmhBVQSCFHRrB6Sab+4kBhLwiyJtIARTnGW6Qx9Q9979+6NERg+fDiraAFM&#10;I5LMsTgoJx2JQrQQGPQFsEnCd/pM9xYuXEiGSUB/6aH51Xik9GYiYXoKREUIRUR1/RoO5n2zlBBP&#10;UmoGhLTvYNTchYsXLFm2Y/feM+cvQVIUUkEiLY2uagVLpRfk13N2Ilk6Odaxd6jr6GTh4GTl7FrX&#10;wVlPLnpyrWtPctOT+6NIFvYe/+3U+N8OjezrNbKr18DaxqeerWcdRxfPuvbP1HEcbdHggFV4klVE&#10;QZ3QTKsmaTZ+9/Wr3uuWwaeeClho5/eFnffrzj5tPRq+5N3sTd9nekV0Hdi215udB3TpPuSlPv1e&#10;7t23e/de77yjSSGMIhEVGVZhF9hImMZgKfLgD7IUuyDf7IvoL1myhAAfY41YYkkxymgvS4OiICe4&#10;AacMCUbuUTy5SIWFxeoRvqAYeO7Lly/Hy0PZOARKjs9IOVEXO8IrmH5g8JOAZqVcZ5/qkMrCTywN&#10;sIqVZ0nL+H10g+PK7QFhXJRNxsJAMOsaP9wBNnFcRo3tZgiYD4YGc9Aym6jA8MkYeX2nBwU0w3zS&#10;NwwBjIi9YBoxbRLIwkZ4AJ988klERARchdUAdIxJZozi8GJWMJEYNcaLtcJ4yRUhMpx3TuvLL7+M&#10;tX3xxRc/++wzXHKqYdFYEhwwP9REfl577TVYigoYNebzUfOTQLiBjFCUASn/68GhOSPILZwkkxYY&#10;GNi2bVv0AhmGSJBn+IPAKCAgYNiwYZwpfDIcL5gJleFcUEHICSuPr8A5AvgK8BOt0SYnhVXIgH0F&#10;TDh6QQuUoyNCS5wg4xwB1NNgJlFkTjGgn2ziDJJhE6cbIfn0009xWDmVcJv8+pBeAXpFb9FTvEnG&#10;KH4k8kY5Q4BZqUk3GMWmTZvQUwRP/DOAvqM1SKkWPOlEBTldv57451gqOS3juukdgFchp5lz5i9c&#10;smzvgajL2i+C5QMfGktpj8LXeIoiIcD/KijKdfNwcnV3cnFzdHS2c3Z1dHJxcPNwIWOWnEzJxdnZ&#10;xeVRJCcXFxt3LztXTx97Ty97DzcnDycXV1sPp4a2Nh0s7cbWq3/AJizJJqKgbmh6Pf8Ua9/7e/eE&#10;VWi8RfAyh8BRTo16Ofm84uDZyda3h1NIr/pthgS91Om1rt279Xqt/zuv93+nd+939HegaB/6hFEI&#10;pMgAoijYCB8QZ+q+WEoywlI0i8FC6NEcbD0WXwy6wVKSpxADigTLnZvd+svOUU72QgGgN7lWRiG+&#10;ITqGZcSMoopswoljR7nmgOijAJIHtCkgb1BRNVCINWerKI+UAGMVQJywJoYAw42iYlZQUYIM+MYY&#10;Dss7wVYax99kRLRAhgHSW9kLWjJnqXtdNvxzQP/pNpMJPzGNEsgSKuXl5XEisDvBwcHdu3eHehkU&#10;BgsTiXtO6AP3PPfcczj+7du3b9eu3TPPPPPSSy+9+eab3bp144RirQiScGVef/11yl955ZWWLVti&#10;djt06PDss88SJbRq1Yq95KU7H3/8MUaTE8Rxze8VPTrACqacnuegcpvKRBp/IYw+MHZiC+jhrbfe&#10;glf8/PyYWJw/xImzgwBj6NnUrFkzVIlzhPdDIaIu8asAo29g7ty5qMDbb7/t6+vr7+/P+eI8orZo&#10;Jc4H7MLZREHgJImcyAO8B2BktCt9OjgowBcB6CxgF3FNqMwqOs4SAvvqq684Lt4hzUpkBsjAWygj&#10;giQgT+H06dOhKII5Or9582ZcNPwz3DVRLnRKVEbXMUQ1JTkpTa74JbCamPInWApCOnvhUvyZc1t3&#10;7po5Z96S5SsPH40xIieWUBRcpd+degwvPbqvhOT8Ky87q9Mbrz37dLtOb7z+yosvvPzC86+hby++&#10;YJae/y298OIrL7z8KNLLL7z03MsvvPDi8107vPTmM8+/9OyzHZ57OqRNWERD71ecXEbX8z5gF55s&#10;1zzPAtYJTLVpcl8sddU6/IRV2AqHwLF29Yfbew9wqj/czv99G7/BzqFfBz0/tFe/rz/65KPRX38y&#10;5psvv/rk/Q+0JyaQdewUnAS19OjRgxJ5SA+aoVBuSgmBUY6Zg6jE8zLICalFZMkgx6gK+0Jp7EUe&#10;rTt//rwmj1UWWTKYaeRVmADriX7ilOEtivOIbUXDkW/0GVlH7lESlAcNJI/9NR6UEGaS6EfiJ3Ow&#10;6XdYSvYlb9ASMMrZEe2CYBgCBkLiBsIp+nPy5En4hrEwCsbCQIBOPdpPo2gEGmNQ8Cssdfjw4bP6&#10;99qNQEoge5lW7hNyLHMY5RyF7kGNGDsmk5mELbKysgoKCmBKzFmjRo1gI3yRoVXfl4KKMHkv6C/I&#10;IRLq1KkTzMSppwL1MVKMHRs0Z84cnHTynH12xFwiOZqbo4sNeZrCaCIhONG4z3SmUH+nrRhukxV/&#10;BKBx86PIqkAq/GWQQ8OOJSUlubm5+CWcArSmadOmPj4+LKGl7777DnFiMlEWCJ5CqIv4iZoUChnA&#10;H8Il0IZcnUPdiGmo2blzZ1wBea6dUEw0F53ljOBGcLLYhXMkREVrMAdKSmglvz3Q34o+gwxun0Q8&#10;BNAC+gCD0jfylNMZ8pxxTj31AS0IaE3ue6H4HAi9EP6jk/AZ5TRORMWIUBZ5XAJ389ixY/Hx8agG&#10;+qU5iFcToKWUZNy1dDISSJEn4ctpdJWYoiW5Klj14IP+U6ok0jX9U+5JqemXr92IO3VWe9OE/rGP&#10;jVu2nzh5+s7rexpL6e9AqskJ+flXYW7B0rkLpvw8cc3S5fNnzJ4zdcbiOfPmTpsxf8as+TNm6om8&#10;kSic82jS7LnzpsybNXntjOlLp/w6/ZfxEyaMevezwV06tH7Tw+MHS4/99mHJ9i1yLcJu2YSm2wWn&#10;388bki5Zhx2DpWwDfrLy+trWe6RnwM9uYWPtAj91CPi16Us/f/7ZmjmzVu/ZsH7f5hUrF/4yaTxu&#10;L8YFYLYQd4QejkHc5YofJayiA1IHh5r6AOOFzwUtIaxIKhkEVzJIKvuyCw0iuFhJJBLrjPkGOJgY&#10;U6wzeQw35js6Oho5hnhwLXHAoYS9+rdrMbVYusjISHRGHEOWuGz4aFh/YZRHAcgJwFss0Six+Hiy&#10;DA0NZCnXMNE0BiU0I0uhClqAlek/IRdgdJAETTHeP81J9wU6IHfUIHsxE5gGDg1R0RPObMOGDXHq&#10;u3btiv+BURODKMYFs8Ve7CJPzDMKTgG7c5ogbDwDJgSvgvYxOowOT4KpAFSGjClkvBgj6nDEIv3X&#10;S8IWwh9/exjjNb7Ez1yhF3gAsFSDBg0IZIlWiUQpIQDFY6A8JCTk1VdfxTmQcJatZARUe/7551mS&#10;pw60BEvhH+AZoGLoo0RRgFNJ3MPZhDZQRqgIgkF3EF25ZohmcWblGh1qhVSjR5w4zhquGODckec8&#10;AsoBFaiJLO3YsQNFZl/0lEZQVURr+fLltC9XF9EL1JOjo6dwJOyIOKGtwogQHjUlukK7OQo+3Lmz&#10;F65e0YgKQjJiKSgqNSXDnKXIaKumS3Ya8Wg/vDVxlfZtKljq6PG4LdsjV+Dfbth8ICr6zPmL5qa/&#10;FiWNpcpLyuOOxJ84HHft3HUycUfizp04Gx8dd+pY/KljLE+cOharp+OnYo7rJScfRTp5LO5k/OHT&#10;Jw7fiI25EI0sRG7ZvnbcrJ/6v/V6Ry/vkZaee+zCb9q1zK0Tccs6PN0m5L5Y6rx16MF6wSus/SbX&#10;8/7FtsEMj+CVbhErHMN+dghYHPzcjC+/iFq1IvbKyfNJl47HRG9YvwZXy/DXMGH4wsOGDfv8889R&#10;ACgKooJsAIERedEEtqIbZNAHYSkEVHwraQ2WYl9aowShxG5CTpgtgClnCQdg71BgzBwKsGnTJuQe&#10;oAmYPIhBTCFb0TFaxowi/TSOg4bOsEnjk0cDuFPiHvL4wnL1jCAPlZPr+ygeykYnqQMrmIeG7AhF&#10;YdnZZd++fWi+RFFCUUBqPiA0LroH6Az0SQyKJYLymT1mlc4wCnrC1HF+mzRpQsz00UcfMaW4zNgv&#10;pp3eCrtIwAel5efnY2flCW8jQ5QggQIMJC94Bfqj4BqoBihhk3E7SnYhI3b87w0ZMoCoGDWTkJSU&#10;xLSPHDkSaoFm4BuiVZgGQDkEoG+88cbrr79OjEUFglq8B/EOe/fu3bNnT9gI75A87qMEr6wS437x&#10;xRcoLKyAU4h2iIIgnygLroYwE0LLoVEig4cAuoPonjp1CnlAVlFDnEjkXJd6021dRIgSgGuCj4I8&#10;sxdChdeCkABoDB8FnkNyEDAOh2IiS4RQcBIKgrJAXWIQYCw6JtxJBZw8cUZ37953OOroidiTp08h&#10;nRfPn5NnBhOInOQyIAmKkkTQJI/q6UQlD+xp7zEic+Hytf2HDi9ftXbxspU7d++NP332kv4Oi9qY&#10;kJx/VRRXpF7LzE7OK8wqSr9xKys5Jy8jL/NmZnZKVnbKrewUMhl6StdS8q3s5OxHkbKSbqUmX05P&#10;vlKSmpybdCPhyrmYuKiZq+e816dbx/oNRlh67bINT7RtnVuneZZ1RJpVaPodVPQ76axVyO66Acvq&#10;NZpp5TPXvtFyz5Cd7s12Ozdb5NF0dcAzE98dHDlrxtFzx6+kXkMuDh86hKhBEsgNQgbBDB8+HHb5&#10;Wv9QDRYNbYFy5PdPrCJzAN2Arr799ltMNj4U8gdEHKErFBJWozJahOyiGCjqrVu3sNFy4xRJlGfN&#10;USEUiUPjl2EroSsoCn8ftaECdpPyqVOnchSOiLOP9NNVlATlEUZ5FEBXWWp3d/VwCtXhiGgj/qCE&#10;U4wUr5D+MxCGI2ad0bEjncchxS7AzSyxBRRSx4DUfECY2roDTC89x/pgROgwE4u3iwURD3rVqlX0&#10;H+PYqlUrfA6MC54yHZbxMgpa5jTl5ubCMZANRlbCAskYxlcgqxr/3A7ZarLZ+kMEwm1UNhX9MyDz&#10;A+BsBAlhYP6x0RhuxHjp0qUIPCdFriJwghB+ueKNhKMXlLMKyBDXyuljX5QL1UM9oSXUTS64oXSA&#10;VZSFkIWW5TqzhMIIIWcZhYKT0CwJiIWcAFSEGCPnCACgq0BTAx0i/1RG49hdfB0BDdIy7XMUZJ7D&#10;obwME7Wl/4wI8WOYCxYsYNTwE/SJ4tBhRsHq9OnT586Zv3jRspUr12zetG1X5N5Dh47EHo+HPXER&#10;byQkEUUZRJWYmJx4U3sZIHZcj6J++/0TERWR0/bI3XPmL1y0dEXU0Zgr129cu8cX5Wt+QmD+VVFa&#10;UVpYVl5coWWKyJSTKSsuI8YqLylDn8pLi39LJaV6+cNPHLGwKLeoKLeykFxhbl72hYTLi3asfX/I&#10;gDca+X9tWX+HTUSCTdtci9ZZ1i3SLJum3897/E5ZBW+v67/Mov58S69VNo22OgUctQ09YRO22a3Z&#10;Bs9mX736+pyPPl64Ztm2fbsit+3ZvF4L4UWeEPHPPvsMTw1XTmgJ/65Lly44cTh0OHG4cugGhAGB&#10;DdYBn5H/+OOPWcrv3vHQcfTEAUSj5s6di7nEyiPNLEWOIyMjUcVl+o9zEdaZM2fi/dEBVBSdxPoj&#10;9xhQnEE2oYQ4YighGaqhfmgI2mVSo0cAzZnUr/hhvlFgtDQ2NhbFYyyomVzNoCcMAXcSDsbHFGeT&#10;0WFN5EoIS0wMg2Uru4sTKnlqPiLQPmET08tMMr24HUyg3EUYM2YM5wifA88dx5yBYHQgNgiJwMiA&#10;MIowjRhZA2J5ZZNAyu8Em2hKmElWpbKY738IGK8xk8wG9I84YdaRBKITuIHANycnh5g1Q/9tuHyp&#10;i1XylLPMzMzMzs6W365RHyZAT2E4FAEhxNbLZTRogBMtWLRoEYKHEEIVclXNiJkQY6QaHhKpNiDS&#10;DkzSf/s9WiCr7AVMVfWfagBTEzooZIliwmcyTIQfdZZgS+54QVcSYwl++WXyxIkEW1OmTZu5cMGS&#10;tWs27Nixa9++g3DVyfgzhFZXryTIzSqNq4icTJ+n0j4lBUtd0z94ePHK9dj4U+s3bZ09b+HKNetP&#10;nDwjFwOrWf/akhCbf1WWV1aUVZYUVhQVlJeV4OlVlkNXKBTKyZ/S4jK4S0uFZWWF+irljyJBgMXF&#10;JYWVJeWlRSVZuTlnrl2au3X10MEDOvoGfmXZcJtVs+vW7fIs2mZbt0qtG3F/LGUdvMXCd+mTngst&#10;vTbaNNrl0OREvaCz9UI324csr+fbOyj0vXZPv9WnZy9Co97v9us1CDqBhyChTp06PaN/YqB58+bt&#10;27dv3bp1iI6mOsLCwsLDw1/Q0Ub/eg015X2UrJJp166dPOUl+1INnvtG/wqiCCXGHVsJyck1Q/js&#10;gw8+gNjIE5YRxrEVVws9RP1mzZrFLuIhItmYWnwxlBArLA6gqNCjgOihZDgQjiTajumHpTANdAkb&#10;gaWgP/A6fYMJ6LP09nv9mShcXYZD4EIhFahGZanPQKj8gOCI2r3sO0DjHBRPgm7gIsg8M8PEtR07&#10;dnxeR7du3eg/pItxhKKqkYeQCuYVwFjVoBOZdruFJauGFQZ37kKhNM7SgBzlnwAGK3PFtJBnNliF&#10;h4SEioqKjHIyMlcC8uaFZOAqmIZThl6gDngYmHsYC5nU7nweOAAnkcfdxLEjypcAmgriJ53Uf0gu&#10;Il0Nwj3VIJu0kOreMFW946Ek2YSGEnXBVXhOOGfwKw6cxFgbN24kKMQlhV9nzJg96Zcp48dP0D84&#10;PHHqFBR//oL5i9esXk90tXv3PjzAs2cuXLuqvSD9ZlLajeTUpNT0lPTMpLQM4ioCJu25idNn9+w/&#10;tGrthqUrVu/cve/0uYvybEU1619bEmf8X+UVlaQyIqiyijItUw5bEEmVVRSXVRSWVRSUVeTpKVdP&#10;lFD+SFJphRZWVZZUlJVW5JaUXkpPW3Ig8qMPPuzoH/aFpe/mes2vWT2dV6d9dr22qXWapVtWp6Lf&#10;SfFWgeufarDkP25LLb0ibRoftm1yySLopmXYXrvQ1f9p0MnN50Und/f6jTx8fIN9W7WO6ACjtGjR&#10;omXLlmTgJ3ktJiUwU2hoKKuSAZRTAVACe7GJvagpu0g5q9KgvBDzvffeIywjuhoyZAghmlxbhw47&#10;d+5MoMYq3j2bqANjyaMZGNYvv/wS3sLOYm0hBgRal+kZeGT/H3t/GWbHda2PvufLee4953/33iFb&#10;FlksM1sMxsThZAcc3kl2mB0Gh+2YRLYMYmaDLGZmBku2GLtbLWa2bN9f1VhdaYsiWd12y1mv2/XM&#10;qpo1a8IY7ztGrdJajJ4zlLdKhfudpFI0Uh/0h0QR1Iceekg/JSi/Sr9a94c//CG9N5wfp9/eGx9r&#10;U2KIl00gkk4J64XDLJ0ELbupu5tnnbnvvvtMvkDBJH/6058WQAgm7r33Xn3GFFgPaeLBjFKxIWkJ&#10;6jwTUv5MkNv/V4jGA6ceebciRgoxpSHYtpQp/RTvSOmZD8RZCPkHBZfbUjWMT2/69OmDy4FWWUHh&#10;2ooVK8hPSIL8TPIkd4k0WuIC8bCXPMTHUa+88ko89GPYp4KpQ5YYlXaB7HiGqADJlWkWBapRKVc5&#10;HkfcK24XORxXIpn6OWXKlPSJ9PCBA57r0b13x45dnnm6k6Sq/RNPP97uyQ7PdO7WtWf/foOGDR05&#10;edK0eXMXvvTSy69ICNdt2LA593XmkqqNBUVr1m+cPnvui8NGDHxu8LiJU5Ysf2W1BGxzYbxkcTH+&#10;MZv/68ix46wj/tjOoaOHDx09cOKNYyfeOHLijcMn3jh04g27/vanf3YdL/u/V984cuz11w8dPf7G&#10;kTdOvPrGoddeLzx4YPiSeX/581++eGuLP1e6eXSlOzZV/ujBD3xk/2X3nK9KvXRZw6Hvvbb/f9Z9&#10;ttJV06vdvOjyhgWVmuyqctviKz84rnLD/7nyhk9Uq137ymtvadzyG1/68V9+/wiCi7QmyDRYFd/h&#10;OOoS4hGUFySbcSKu/Otf/+qSeD3dblwreMfaLnQkzuJK1Cld++pXv/qlL33JNt5317KmhPwPPvhg&#10;fAgc73GQqDjSqlUrwsDZQK4gBFu8ePGWLVv4Q6In5QPuxNnCr9woVIr/6wPPxxHSIyGtpFDOZIxm&#10;iSqQZGNUdsSIjEL/jQIiTTQ6B5VdeIHQyKkg6ubfzJtYqv/n9CcoaZIumfDPfe5z5t8ymUNUFf+M&#10;KbgyKDXTnuDNsyNoV6JwUv1oAZTViVvE7r8PYgYCpSfBNhCn1FQ2jbGbncoOKsRnWgRJehQf5wjX&#10;6JD86aWXXlqT/qRWZquhARKXaem/gqdk0qkXX3xRdiV9GTVqFLmiVZFXBVwVYPbZEeVoExSiQiD1&#10;jwRROUPudIk4ZUfU1IJdfhQHFXSbXvKpuXPnT58+a/z4SSNHjhk6hLi+0KNH7w4dOrdr2/6JJ56i&#10;W9279RrQ/9lIraZOnTl/0ZJlr6xcv6lAqrSpcMua9ZtkTqPGTkh/5PDZ2fMW0rC1GzZLsMjYSex/&#10;sfxZ9/8rMQdmFH/sIPmTXDmY/UW6FX+lj5flX2KIB4+fOP7a0WOvvfr6G0def+PQsWOrVqzs/PeH&#10;v3l94x+/t06XyxsuqH3H5svv2vefjV99f4s956NSk6rd+vBl9Z/8f6u/8P6rV1ZuuOXSRjv/66YD&#10;72+46Yo7X6nV7Omrmv61ylUfv/Lm737o021bd5g4fjr+BbmCfDw+woUxY8YwaxCLRQHiM141o3JW&#10;cDCOC5FsVeNU8XwMpWJGuUW8sBTZBg4lbxRIUsLx8D4QoW7pK60EwClChdNVCLd0dyKhwDk5D08I&#10;byknhJeGd/Fqvm2AQlQUH5/3GJpO0iGdpMRGBERLqBuftBmOGcjQO/05jLKC1vShR48eJNzU0c4O&#10;HToQKpMW4YKOxfPGp9NXXUJH6eWAAQOM5cCBA6gz8QXG+GZpOUfkLkiRO5Qid+jNzUKc/TdB6SFH&#10;GWL3JOTOnW4OFazRrl27hGVkJvzCig8fPnzu3LnijCB9thpaAtn7PiED8ieeyFwZicuZjWtnzJjB&#10;g2TS6mROpJ0wdYVoLQ5CVDgVcTZD7uibj+cOnVI54I48i7Lqycvpj3pgj2HDhukw52K9XCl5M/Dx&#10;5LWsTp069+vXHwno/8vpv+vQ+eXLXzYVjvMHzMCw3VL/k3+auX17fA/u1q3b/CnEzLiv4+f+58LS&#10;Ze1t25a25i7prsZto9qO5N/yJ984E6Mzn6vXrDHVyWyn/0QsrorLk783z3PCOFu2WPr/K+zgHUei&#10;jYdOEKijx1979Q0J1RuHjx1ft3J1twce+dYNTX78/tqdajSYW/v2TTXv3PefjV57f4u95/NbvRMu&#10;b/CPqle1/z+XD37/1asua7j1koa733PTwfc3WF+r+Ss1mnS5uvkjVa/97DUNf/nJL/boNmDZ0uTx&#10;sRBsWYp4CwD4xqLTQYWoWRpxlYKmbJkOkRs4cCBrQ52ypXirQlwvnyA8iDUkh9lRxKlTpzJQMmCX&#10;jeJ3Nir5sMXFwkCtjR07lgWr7BZWM9a1/MCA3CVMjSOZDbfWN+orPjU0qhA5TXyWxpEok7Px1lbA&#10;oMoP4mXz5i5RGDp0KDIyvRybTJq0mFhBg94SLauA5vDUqlWrTs2B8qhosEBHjx5l51aQOLExSsNr&#10;rCkXC4FJ+S3J+8NiESmjVU74cfVqnjJv3jz1I8IToLAENsyPxo0bF9kY245G4ioFLQTPBhwvP0T7&#10;tm7NLHHI7Nmz2XN8wKbDfMrAmTQvwxt2HUxfYZ+SfcolcDQ6R4hByvPJJBCQkBWiArHreFQ4d7g2&#10;Xp0NJKJU8j2ZWVNxSmF7+g6zpaG71sjkWzuEYGtcjlDlbJlU3pn+2xVtBuJIRVIpOPZ6qNTxN944&#10;lKrU+tVrezzU+ju3Nv9ppfodazaYVavlhpp37n1P4xPnqVJTazZqV+P6Tv9Re/D7rl5e6daCSwlV&#10;g92Vmyyu1XT25Q0fv6bpA7Vv/GLj2//0zR8MHjpmc2Hy/jQ6BvMLLAbigfKpcCqqnYRoQVPqsDZu&#10;IAeKT/KxOSPD40L+sDDJPpPiSEzTimqTtzjiuEWNTEV9GQN71RREeseCVbPM4ZnlB+1D+I9+CvT0&#10;gYeTKAUu1KlTp1Ap1C/U1T114nOCmL2IE8sJJs0tTLt7uRE+4rS6Yd64MekSdjhrIBbFKbplCTp3&#10;7oywDOf4cUaXR8UFenj11Vd3797NlYQ+bIwrcR98x0cYQJho5nS2cQT9KVh6VhGITAVj8iwqxRKA&#10;i7FkdiLu5IOsSAu2mtJCWD5Em7blB+0H3C66rcNMlILSUebav39/8tw2/RLCeNeXbhmC1NAoUASz&#10;V23WrFmmJdRCa5l4BGhAFBw/L1COTKjsJtJUgqgAyu4Yw+GVZnv+/PkUlHbqp94Kuy2iKHzhwoWG&#10;ZqrV1+ZpW65AKpU8cHw1eb3wSKpScqljJ14r2ri5f9v2P2p656+qXdOxdsPplzdbV/OOPe9rcuL9&#10;zfeczzt+M+s0e6berd3ef8Xg91615P03brqkwdZKjXZVabqoVtNJla77R+0bH6x/y08+eW+HPz44&#10;aercoq27TW4Y5VuGFsxvmBoj4xJ8gG0Jf4hNfJ4kcxLWSUrIjHWKhYlrlR1hZEyTjFnaeBIoIYjY&#10;ijDwMcsc/zo1ripXGEsMJ8xON2gks7PlD3oivKVSNFg/HeTtfCyugpiNXFvlAB1zC/btLiacV+iD&#10;SebS9NI06ky2IlJb/sy95X+m1HCyf3Kbs8Y8KhhOnDhx8OBBCz1jxgyWhqCZmdhIJITmsvhDARQg&#10;nCIxvtTwSh+05VxMFHVyTIwZD67jKYVbUD4BlvquzRwzro3WygnR/wzu6HbuHqcQBVpHGjiB64l6&#10;MQO1NhuhWMrCsnj5nuIy7KzPmSBpLUMceQvIhCRmI2YpZEZBV5GSuNDqUFZkpT88DvWhiAcffDBi&#10;dEdksYZjUCq7xKJEfADKlkC+9dprr1UklTqeqtSrOZU6SqUKCgc88fRP7/jwr2vf+EzdRhOrN1ld&#10;6/bdlzQ99oFm56VSc2s361mvYd8PXE2l5rz/hhWXNVxVrfHq6k0mXN2i32VX/6TmVX++tfnffvbL&#10;wT36zFj00uqCZJYhJqs0UkM9Gblzb4bjVs42nME6WRIBIPTs2ZN3CecdZ0YoNRYm1lshVl0MhVsJ&#10;Elt0FZUSK1EmsaSFZ6bDhw/nY+yA7VIOV5UronvgXvoQj00i/OTShEo/GV8kKDpmaIw4ZsAlMSdv&#10;AyImGD16tDBZFmXGaBIHsKDmWU9s02f3yVdMmVUubZ7j30jlVarCwurs3LmTIHGlruk/kJI0iI2w&#10;mBW3rKUdlhnENuw2g93URnKfkbgQD1p91stOpCCSM35KqyL+Y7qaDS6OCwOpH5QLwkoz6KeD7q4Q&#10;p3SJv+szZscheICR8zgTEp9agdjLFBHdCIJfeeUVV2kn1AWyRAocPF+4KgQpUp9wcz1M5zj50VSL&#10;IoqV5prSkFL5U5BYdDLKtkIN6xjBgeEILl3LW8EYLcGUKVMEKBVQpV4/9sbrh15//dDx4+vXre/b&#10;7slffvATv69/K5UaX73RKip1abOjH2i2+7xUqlbTXvUa9r/02hfee9XM993wcqWGy6s2fqlKgxH1&#10;Gnd5X70f1Lqq1Qc/0bPdk3MnTF60cu2KDYlBmPTAv7TLqHAqnNKOSbdaLKlT+u3I3bp1s3K0R+xA&#10;h1RQ09KqnAUm7MCWLXIelSMDc6G4w7JxLcfJg1NaJhhWVFNxbTkhsb60fVtWyEPiCTjoTHwuLbjT&#10;TyZopNxDPxmx0YWruzZGWk4waRbLTUlmPFugUmaM3ese944ORB+4rvCZ5+gwVjKH8blUXqUqLKgU&#10;crRwLB/rsbF4rmBxS6uU9Y2Fzow2A/8KOKsyk8i8TyPxbACzswfeKo60K9zBldpXLaMC0Hi5wi0S&#10;6kkRd4xCdlbnubxuxyc9eivY6t69u0SKSQdMkQSRh3IHcS2/cIkLjZe0ZA/uUt05D4REuRzicl1C&#10;QYiOH5VOnkxj9CfyPP2hWFhLb23NMzV1PB5p6Lz61lTsO77k913tOljBVOrEG6/Fa+mvv7b7xKvb&#10;9u9fuHhx50db/epj//37axs/eUXjkdUaLK99+47Lmh+69PxUal6NJv1qNxhY6brn33f1+EtumF21&#10;0ZRaTcZWv/XJOjf9/bK6/3vTLY9/41tDn39eermiqGhlqi6ZfViDMPHUQs4VLmcQQj9mZEnok9Xi&#10;XRaPRFnRIO64SzRumzhTei9nWZX4TkxkFV2OVV3IZ5A+OwgWjqTeXdgf60nvXC6IjkUBIxiUvo0Y&#10;MYI5KrNR9CG3Y22GactzHGTE6hsjU45CtFYeMGlmxvyYHD1h3KaaWPJkk6OC+YGYZO7EVci/uZWh&#10;muqjR4/GS885a8yjguHV9Nv/RGmYDvchNenyokWLQqL4Gj+ysuFK3Ech1jq1jgTKwBSjTurcCZS1&#10;IKliw8J5hh3PAPkXI0HxjrtLSFogba9ckLtBitjlNRBjgeyg/ug238cA5iG0Aa1jf6nVk+mXtEVS&#10;1bNnT+4gYhNQii+N1LWaijZtE/E5N2SX2OqGDnBzHZg7dy6Xpyt4ST4qpKZJIBDUE47moLOq8Ud9&#10;RoA6bHr1TSfxmzUFZVfpfwQidh2sWCqVfDPT8deo1KETJ4oPH1q7pWjC5EmP//Xvv/zYf//husbt&#10;6zcaeXnDZbVv21a52YFLm+46s0rtvKzJSX/za1KpW/tXuvb5D1w7+tIbplZtOK52k8FVbvhb5Xp/&#10;qlb/53ff0+f3f5gyceKG9evWbt++Jn2uyg4SSymxyLCPc0FcpQXJEDa0eHiwdevWogYFCaxF5VRW&#10;WmXVIC7JbqFsISORikjEgmHeeLjnFF+KT1zoViRSGuTDcXm5QifdDlmI0XQpPm3WJSNlhWxLh5km&#10;BiEY2Yiib0aaelxZIiZQwQxIT7OImFsq8EnS5ZS7h5sp2CVLOs95LAq+U41K5T+XqsiQS3EZBo/X&#10;2BgeFG6HK1n9cB8VQNnBKCfGdwqymsoqsx9bZe2wZJrEqoU4iJUi4n0uzGAYkmoQtwuk7SU4afct&#10;Q8+zEdm1DQsvTQ7OBuzGKJQjREMaEhES26NHj2D/9un3iMZTHIPipOaQz2ISjkxmXBuzAeEjgTgS&#10;cxVHlONGNDuSJ4w0I/2G+NAnS8P38VXbtm3dERv0Tn9VixqJFy2WRvbt23fw4MHdu3drylQLAsyw&#10;eXYtQdVnqsYrQQHv6XYFU6ljrx8//OrR11/fd+zY6u3bpi1a2LV3z/t/+rMf3fOxX1/XqFW9W0fW&#10;abqwdovCyk12V/oXKrX90ka5v0qNd1RqvKRui/61bu51yZWDq9/8fJUbh1S/ZeA1zR+vfNU3L632&#10;l6a3P/2n+ycPGrBgyaJ1mzesKd6yKrWGc4fFg9xOiWFZS2tg/cgJNjTjphszRvTHENUMO4hLMuOL&#10;yxmcmI6qWW/XWkKBkiDIWY5kaVkhC2CUdsPUbNP7lwtST8k9tdN/hm5cjJ5eMj63plKUKRhEn1nt&#10;/PnzuUEysBIGKT1LFwhtxnRFx0A3aGd8HKVvZo8LWYXcBW+G6S2tUrp65MiRvERVZFApq8zy2ZhV&#10;w1+0JLJkxmCbemFiYGEbcfAcoX7IAzDvoHsqyMKRrOwkYkTm5I62mfm5Nm6qfF53LCu4u/vqtl5R&#10;DpkKR2DPPJQvCNcyuaIfkaY4QlGMzojUd6HLYyycNAQJomVzHsdt1dQ4BpuXvs0vTuVoOIoHESR3&#10;oYh83+q4i1ugLMkTgTelWogvZhQOgsKBAwdolRtpFnuoaXElfNGmVVZwCxRawd6eOPHGa8ffOPTq&#10;iYKdu6YsXTxo1MjW7Z/49Q9++KMPf/xX1zV8pM5NQ2o2ml+7eWHVZrsrNztJmUr/USnKFH9JLlWZ&#10;tjXrVf36Lu+rO6Dq9QOq3Tjo8lu6Xt3kkWpXfavWFW0/+4URvXusmjt7xdrVazZtWLdli6wkWf9z&#10;hrWEWObYjUTYvAsisvRCdG9pxfthFmpauVj+uDzALFzLSSyzhbfkQgzhhiMuZDr8xHKyDColdQjN&#10;00LYUzlB4/oWhksXEYTwR8gmkooHCAIrRin8NFJ9Zl5MWYdd5RIXxkjLBDFL0aWYOnPCM0WRJAqt&#10;xN1NY8zzqdDbESNGcFphZqjU4cOH80/8KjJkuqwo4jNUKMJQtsRhA9bUWVAIk4iD5w71M/BfdByR&#10;Phdm6sBghEGsPdwtkFngW7jjhSPtQgJ35w46puegHEnhlPQfBcdHVpSDVuEiNm/2HBRKYiSeQiSy&#10;V+yiBdAabjFep8g2cUJBGjQnLuT7wm7OrkHi9Ez6u1mkRbPIKl6FWLhwIa/fvn17fEkj/8qtZQkc&#10;EXxIrXbt2rV161Z9jrvolRshNx3TgYqlUq+/+vrxYye27z+4YMXKPiOHP9Gz+wOtH/3tT3/68898&#10;7re3tvhHvZufr9lgdp1mmy9vvrNai9P+coeDJx+vkujZ3BqNOlW+4on/qtG18tXdat/SqdbND119&#10;6x/q3/Ctxk06/vKXs2dMLircsLZw04oNa9dt2lyw5fxUKmwUlPmJguk2v1jbsvEosKKWNsIKFpBV&#10;toq2YWcBZ12rsktcyALEFFSBoTA+V2FkcZCzJIEQ2nU8/LP8oGM6GaNjN/RAvMMi420OpwRlDIvt&#10;RoLCt+OUvsWFZaVSWguH1JNo013MmDl54YUX9EofZs6c6WBUTi86GaFS/IqPZSp1Iv3uiZw15lHB&#10;YHWKi4s5QqiUAI4RItDwplhoZgYKds+09KeFyowKNBWNKIQnsiVEL50qnVHFHUEhg91cc28Xog8B&#10;u9FzsBsaQ2tJhSGYt7FjxwqU8UZkPCyfqzJ+gZ1xOct/KQTR4g5AJCRkJpmnEB7VhMXqC5pdqJHs&#10;yV40opr6Zsz86My2bdt2pj9LfezYsdAnzgXKYDUhK9MqNffu3btjxw6rHKOgW9Rr3759rqooKoUf&#10;Xjv22r69B9cUFI2cOrVNz+4Pd3jqocfbPPSnPz7w7e/+4+6PtbquyXO1Gsys02xjjRbbqjXfcZIa&#10;pX+ZSu2u0sxfSJSMakbVm568tHbr/6z2TOUrO9a7tW2N639T7/o/3NTkN/d+fkDrxxYtmV+0dTOV&#10;WrlelkMJzo/x2UTYKNKUwLIPihIfHT2ZfmEEj0KgbIV6Zc7gwlgMiLKDTllj9uFadtCqVSsGITNg&#10;amwucYX0NTb6x9rYHJ8JL3XroOxyQrgBuB1qYNMEWIDJmsmk4/FGYuSObFciKM0SnRlRzExZdc9g&#10;YwLNmDbd3eSI78ywSbNV1kM1nc26fRLiiV+oFNYzirxKVXDIpTiXKBtXygb4lIA9ODFszLKmzpQg&#10;VvncwZyyRCRrSsEuwxYLEipBIS7G2uL9uGncyLVwJksrV7hpILefQq+iSwFD4IbkSogskovUMD4B&#10;kgkhmfj4hzsb3Yvpb9rRG5zDlRwR9kUSpmZAfZlTfGJkTiJzQm6cTk8ojbQpFCjTpFjB2HXKUqpD&#10;vRTsxpEAuXI8oOyUSyqUSr1+/MiJoqJts5cs7T148N+fefLhjk+369zh6XZtOtz/p6fv/Vr7hnc8&#10;W6fhjHrNN9RqUVS16Y6z/FZvlWZ7qjanUvEBVfH7b51Y6drHL6356HurP1HtyieubviX6ld9t+7V&#10;f7r7w0/+7c8jB/ad/8riNVs2rC3YtG7zpi0bN2/JPbo7V2T8q8BEgq+DBGUVFjj+4QJmDB8IqK9y&#10;Bh7I7nGupATPok6uiEP5pDjIQddGBalMZGmaZXkOQjQS3SgPRIcZPaF109GjR+uYDixevJh7O+s4&#10;rnec7RJm9m3IpiLOxsxEUxeI8L0omxOdySQKlYjm5EknzfOpwG7clafxOjNJ7PMqVcGBwviIAE6u&#10;jCW5FRcToDA8NhYmwcbC0t6CsWlBO6AcLTAeu5wLy/No1sWq2Xyoo/uqmfn+W7hjGSJM3RCCDRzR&#10;H32L7nEHoS3eoK9z5szhmKJM9m84eCYe0XMEuiXElBgF0JcQ2VlEBCactvH6cDSCZ07MP/2LOFUa&#10;dODAAcvEiU6L3EKmVB/yEwoUR6D0kUAch4qiUvp3YO+hl5evHDpuwpM9evz16fZP9OnRbVC/vt27&#10;9m/Vpte3ftih+T3P1ms8nUrVbll4VpXKJVKVm5KoovfevPk/bxjzvivaVarVqlLt9jWvaXttw19X&#10;rvu1Olc+8oUvDR/Yd96MyUvWvbKicN36AhpVtH1TEaFKVv6cES+wMZEwa6YwatQoyynosMbCjXhH&#10;KBIpNVMXOBk8MCTKwnM/FsNumMWQIUOEcozMtRpXELNQqT7pvz3EyOFdbp32pXzhRtFDatS/f3/9&#10;1AEdc3cdM3CRJrt/7LHHjDrENfrGW4wx18qFwXgDcUdzy994TjxwMDnRn6hzpmkhrmYvHlxYKe0I&#10;7sIfcuaYRwUD+tu+fbtQLx4kWLh4tBs2Zq0tKxsLaoZY6HNEGCdrAddyRke0GaGhLbuaPn06dh4w&#10;YID7Tkm/0sx9z/dG5QTd1tugiIByNidZBQVjIbqmkVzxVskT++cIhB9fUaM2bdq0atWKC4MCOGK2&#10;6RaXIW8zZszgPrLJrVu3ypyEd6VTn3CiTG8cyZAdBAsahThYGnE2EBVsK4pKGUbhpi1TJk/v0q//&#10;w0899Y/OHXoOGzx4/Kghzw164cmn+v/gvk63fXRg3YbT6jffUPf2wupnVCn6lCVSsqhN/3H92v/n&#10;6uH/VaddldptqtdvX++GVtc3+lGlGvfWqf/4d78/e/rEVauXrSje8IpcyioXFGxft3nLmtN/5H4m&#10;sGlGYPnJjOzBKgpSIkcWm+BQSQbLYDoqpx6UgPVkiCOutfwuF6+5VgtcQqIgcNM4I9NCqBTzIhJ8&#10;hovGrTOjLFcwTfY9L/1mh+eff143dCBurWP8lmZQqUceeYTpi7Z0VZ/D8w0z18qFwb3AVLudW/Ac&#10;rMHZEJYjuqHOv7wXoY2QPFTKhdwsZ4h5VEjgh3379ll36ZQQTfhv4VhgPKJghJY1XIk/2sZCnyNc&#10;HghbDY8O02VsjrP8TKiERJyavXHqrEJcm2vu7YI7nhapi7wpRAuPsHVQV0OrmL3J5LOi6hfSf2ZL&#10;rkzso48++tBDDz344IO2ym3Td1WQkrjTJS6nT9Yi9Cl5Tlfy45+xUgqxGxqjHFCOg6DaqWezUxni&#10;CFQIldJL2eKyZa+8+OKwJ5/s0Lbdk1169B42dtykObPGjh/bv0e3jj//5V9v/2Dneg0nXnXHxhp3&#10;Fl/SbEuVZsVVmx/6QLMj72928JLGBy5pXHB548LqjXdWb77rsiZH3ttsX6WWm6vfNqtaw25Vrnr6&#10;PbW6VLqye61butRp8HDdBj+7tP63bmjc8ae/eXnp4o2bN6zaWrCieNOGzZs2bt60c+3GbWtPr1Kp&#10;ASSI3cw6lW35j4UnSDIMORD6kw9Z2gjwWTmjZyUcILyoNJMqQzw0kxPEa4ECxpEjRwrzqVeolK0y&#10;Q+GchNBZWbzL3T3ORmvlB6Ogo1PTl1AhPnlKHCL9VxTyKqd69erFslm8sCv0NWYsm7dzhPpmLIaW&#10;XWuWsnvxGUojaUMZ8XTREsRy/EuYZxMoeBQKIJ2XX345r1IVHFjsyJEj0in2b+2QKf8SncTLnNad&#10;bVhZpqLAxWKhzxGMSgsQlqYFBbuJZZeAJbNn7szyGR5mJ5CqgbPZtW8n4u6B3KHTIVejRL0gyvyL&#10;K3Ec4yJXklShZ8+ePeNBnxQq+bqz9JvX46EOf+cpO3bs2L179/79+w8dOmRFjqY/U4nAaUmslEIi&#10;R2/Oik6LRH9KIXf0dKgQKnXw4EGWMWvO3P4DBj3V5snOT3Z+cdCLUyfPmLNkyZTZM/s+26/Vr375&#10;w2YtWtW6efTVd22ufteO97YorNqi4PKWJ97b/I33ND/+/sZH399oXe1GG2o12lGj+c5KjV//P6Tr&#10;jrW17h5cu9FPatf983tr9L3kukF1mvWq1fThGg1+V+2mX9/+yd6/e3D1ipWMemWxv4LNqZHvXbdx&#10;1/rTM12sNMSuZWaaEXDZiuJZrcAEQeM+wNeYmlM5hUAzlSJRp6qUppgLO5A/UThWooB8eWAonLvw&#10;E7nLgpIvI+ct9C/cQ4MKuebKBzqpJ3PnznVfwiDJw/WGlszI5s0GyIL1n2y0atWqX79+Y8aMMfbQ&#10;zqgT7Zwj4pLwKIgjdiNpQxbcxhTxqyzEiwvPBahNMmqeOaRszMzztJwt5lEhgcXE7GJZi8X8+Fc8&#10;Trf6kU6xz2Be2/NVqTOBUWktygqCQt7Hx0U2HJAvhGM6mxrp+Vl4BYFx8ev41EqyiLLiqze6d+/O&#10;O0iUXIqn2OVro0ePlkSaBPVxjoxKeHeqIKWikxwJuSqNk2qeI95JlYrB6Dp9Fh2PHDO2a7ceT7d9&#10;ql+PflPGTlm0YMniFStmL1rw7JDnHv75fV+/6da/Vb5q6BW3bar5wV2X3lFYtWVB9ZbH39v8tfc0&#10;P/b+xkfe32hDzUYbazbaXqPZjssaH//PZnsuabmsWsv+VW74YeXqf/nPagMq3TiobvPutRo/XLfx&#10;365u8eBnv/7io0+uWbV6U2HhqmJ/BWFre9Zt3PmvVCpDHOceOFr/cbSFFOIJ0mVCw9KvJMmyDfUz&#10;cbItDcclUqwEs7MGliGdkpMh0yw/UIdLuMucOXPirWvRnF3+qUJZueVZoJ+secqUKVwUsxusEMyR&#10;mIoyVyk4aVCGbzLNEmLCUwJqobT+6EZMcq7eOcDE6mGolEbyKlXxEUQhcmeHorfevXvHv9FBqbwM&#10;aYaXRTjIWXIrfWGINsN0FURIPA6VC49EOWxP1BguoMJbsPCKAN2OMaKRGCARMqXoBZvF6xXx0jle&#10;UpZXGT4xU41379y5U45x+PBhSyOMSJUo9xwv6P1U5Fb0fPCOqZTBRKeNxzRZ+159+z3x5NMdn+gw&#10;7LlhS+YuWb1y7ctr1y5YtmTIqCH/uO9nX7zmuvs/UOfF+i021frQzkp3FlVtWUil3tf8tffmVIpE&#10;barRqLha4x2Vmxx7T/NdH2ix8LImvS+55keVqj3wnhrPV711UL0Wnas3eKhek9YNP/LUd34+oWPv&#10;tavXUqnVxf6SBZPn71l/RpUKxKLGuobAAJoTYuA7EmVFbQUjKFuUZ+3DZ8KIM5tQTgSqBLIi9QVo&#10;gkTsKSETsrGYCNa0gLKVMbJqTpFAGRVhcDBkLLblhOgwKY23+KgUGzVqpOAUlIdKgbmyNXxTxIUW&#10;l3ylCqWk0+QqdDqb0nOEKFg/BROdOnVCc6FSYY0568yjgsHSBP3t2bOHs7D/7MH4iBEjFi5cyAzY&#10;QLhDeNyFIzXbfyb0GucCQhzejanHjx/vvozHqagcV11ciG4Hw9jaNZMRNM+ePVtAjNbQUbyPbsIf&#10;T/8ZQK9evbihs+rwSvVda2lolTXKuD23eBeMd0ClErVNEcMwMCuN/h5/6ulWbdp179Bt0uiJa5at&#10;3rShYOX6DUteWT5i/MiHfvnze6+7/reX1Hn2ihara91dUOk2uVRRtZaH39f82PuaH/lA48MfaFRY&#10;vVFhtYZFVRoWV26855LmBZWaz6rcqG+l6/5Qpc7jl14xomaTQfVbPnHZDX+q26Dd3Z/t/tu/Tu3/&#10;/Lq166jU2iJ/yYJRKRK1/ZxVyi72VI4X8yzkY4891rp1awyITEkUYs3qcJ70ugTZtRANWmlGHy+g&#10;CxJRsOU3LaE9QdOUAO9TAjWZjnBGCJk1xYUUygm6oX2RoyQGO2B2ehlxqw5AmauU+jFXsasdbhMv&#10;nSMIHYgHfSGTUefcQaU4nmgggvFQqcwg86iAsDRBf0eOHLGCLI0ZWMF27dr17NmTYTDOsBa+UFYq&#10;BWGHYWO2DJ5fj0z/OZEwcc6cOSQztdMEccnFhTO5jxwRfWGY4Bz8TJuJUwhVvLwuyHNEyIiL4vm/&#10;1OrQoUOZN1kyCLeK3fRli1djTc8d74BK6WuiUekw9Hj37t0Cc9ll8jbJE+0H9R44d9qcTas2bt5Y&#10;tHrTpmVrVo6dMq71H3775Ztv+e2ldfvXb7q8xu0bL21RWKXFFir1/uZH39/8yCWND1/SaEv1RkXV&#10;GhZWblBcpfGuS5uvv6TJtEoN+l92/UO1r+1c/cYxdVsOrN/i0fdd+bvaNz/zya8+/0i7eUNHr1+3&#10;nkqtK/KX/FPeRKU2bNye/MPe08BylgajZLIgnBdTWC0rR6IQn2Q54gtn41qVET2kxpwYffiSgjoo&#10;WCqGLgUpLIDXxQdaDCUqayFUyr04BichA+qHDKhT3k/8IrwyKCplpPGRmPsaUTIX5aNSsTU/VEQA&#10;a074Sf/0F96mpv/+zPyUntK48FxQWqWMaNWqVfwqc6c8KiAsTcYYYnbsycBEdZxOThyvKbFA9pBb&#10;4zJCZl0c0K723YW/x8OMWbNmcYSw0jK/9duGEHWjCAQ1ZQM3LrPNASdNmsTxETXv5jjx5no8BpTR&#10;8k0eyrPMD6/XwrZt24QU8ZQiVjBDrOm54x1TKX1lcPv27TMkq87gWj/RvmOXbmOGjl6+cFnB6s0F&#10;GwrXbS5YvXH9lDnTnnjgL19p3PC+SrU717l1Xs2Wq6vdVlSlxdaqLfdd2nz/pc3Td/wa7azSaEeV&#10;hkVVGxZVa7K+WrNFlW4deekN/S+97pkaN/a//NbxdW7rW7fZX/+r9n31bnrma98d3rXHkmkz12/c&#10;sFEWUljIvoo2FxRt2rx148biM1ib1QLLFrvsEnFbP4snrIs1s3gSYbaLWFWwzGq6RMG1seoQdmDr&#10;CKrVjgXG71oIl5NIORiXB1TWgoPYWeXevXsPHDhw+vTplCB7HTxXtRwQAqlXEUUKXdmi4zEhUB4q&#10;pXGXR7MjRowQspEookKi6GV8HgAGDgq5K88BlJ5KmWp5IbqhUvFO7VvwnzzeHqTkliM7i4UB5dbZ&#10;+7SCeuYxZcoUVsoUud552cOZkFmXclA5gyRL7J/ZSC84IPvkmxe1SoEhxBaMFBLXSmFckiQks3Tp&#10;Un5nhimWGUB0AlaBtfkHWmUV0DgyNDnWQnZlmSQhsqu3kD+VxjujUmFwR48eLS4uxmWi46efeeaJ&#10;Z57p1a//9AnT1ixbXbSWDtCPovVFBbMWz33mkX98pWnjH11S46kaN8yu2WJtrbu2VG25jUpVar6/&#10;UvODlzY+cGmjXVUSoSqu3mTL5U3XVGs65wM3DX7v1b0/cFXHGjcOvLzBhNot+9Ru8qf/qPmz+jd3&#10;/e5PJw16fvXiJWRkY1EhoWKGWzYXbKFSmzYWbzqjSoX1x4qyVxJl5QQXlkceaMEIjPWLp2Gxxmra&#10;Bo3GhcAIZD92M6mz5BhTKvZ0+o/qteCSeFKcGE6JqoXFZJ/fUgKUTTy4CjOKxssDJIGBui+B5Jxu&#10;Gs4Z44IyVyktU3qMQFFIlAYhsig9cS93VC2dm9ysnjsylcJxZtsS5FXqIoIYF/ExAAYpVnvmmWfa&#10;tGmDJYXz8Zw8IpjcYl8AGGFYOBsL4tYyq+YFTFHEFgmcUxwTcpddVEBBZtIwjTEIx0FjSTy25ElP&#10;8F6cDcVasGABHaJGvJITIUCrIMjGYNYignXhOx5DblojVxKSeHmdr+UW8pzxznwuFXSgu8aPzoxK&#10;6ti+Y4cRY8asWLpi0+qNRasxX8H6gsK1hZtmLZ335KMPfr5pw+9UqvFE/VumXXHb0rp3FldtuaNy&#10;yx2XNd9Rufm+So33Xdro4KWN9l/aaEu1xhsubzynbpMxVW7s+d563f+r/vOXN5xQ97aJNZp3r9Hg&#10;T5fU++61t3T45a9nTpm0eOnidZs3bUD+mwuLNpGoRKUsUMHms6lULCdYWsGCLFBaQ1qolLTXLmKN&#10;dc1ddgpHuzZMQcFx9dm6SFA8ohE6N3PmzHjtIr7VojSiKWtPC/kk+6BtLpk8eTLudt9wFe1nCqd+&#10;HIzLU7/LxYahlHGqNFRwSVSLCjxfr+gTwYgPhLhrWjdXobRKsVS2e+4qpY576cxJ4zUzGpQ8aZMk&#10;u/vc9LfhozXI1Tsz1ElGmyIusS40SbOhUj179tTPUCk2GWaZR8WE1YkPNhDI8ePH9+zZYzVRIQe0&#10;lIBGIqNirtaUhSPHWHTGEL4QhpGBYWSmfioYpEtUsA2HUmbVbNKNIh51r/CvUxt/p1DaqWPUZ+lb&#10;nIXcforYjeOB7LjJBD7LE+VVOBAz4L1IrcQKSIxcKdAtR+L5B9IwV1rYu3dvqFS4W4ZY4lMRZ98B&#10;lQo7c2/SSpYNz3ieaN++c6+e4yZPWffK2i3ri7au37JlU/GmLcVrCzfPXb6wxzOPf/dj9/yszlWP&#10;179lYu1mi2vfRqV2UqnKzXdUab7vssb7KjU6lKhUw8IqDddXbzS7TuMRla7t/H9qdP5/a71QveHk&#10;K+6aUuu2rpffev/76377mps6/uo382ZNX7FmxfqCzVSqaHMhiSoOlUoe/p1epdgoWKewbBxqbeQ0&#10;Os9DOnbs+MILL6BR9B0Vcpe9GYxGI2FG0Rp1QZQ8LZ7wWlEJdTzEO1WlAuxjYfoVq6aOEXAYV2lE&#10;IKkDixYt0jd1KAd7covsptExR0KfINdiSceiWhxXDRQc1JrbiR9lHowyUpmoGZdkKkWfBFPnpVKG&#10;WVpTXcLzXRv/gpIG02OtSYDieU7usnOA1gw5kHYhadxYJGT0SWxh9viPgxf4RCKPtwEYg0rFkxg4&#10;evTozp07Wd24ceO4jyCvXcnXZhIqXsBUGFVYQtgYA2D/pe0hzp4JLleTE9lGU9qMD9FZDo9gkOTw&#10;TM7+DiJ1zcQ3Y9SB3LkLQ7QMGjQzhm8JaJU5j5fX+T7nEjEEMcaTQAuEo3g0v3aJa+MLlqRWFjTW&#10;lyhww9JwKpTinVGp1NhO7Nq1C6uGhT319FP9Br8wfc7czWs3bdu8defGbdsLtxdu3bZ+S8GCVUuf&#10;69f9N9/8ym9vadjq2gZDajeaVrf5liotd1/Wsqha86LqzXdXbrz7skYn3tfo6Psabq5865oajUZd&#10;3ahX5Sse+/9e9vT/XW3sBxrMrXv3tMtbdqx2028uqfO1W2594i9/mL107itbN6zbUrB+S+G2Df4K&#10;tm0s2Jq8sbFxYyJUp0G2NkGjs2bN4g/W4LHHHrNVnj59uuNR+Uw2EXajwO5tNYX046kFH5MYxZe+&#10;hOm7XXrRyXAtLeQhZCkePmhBwsE+KJY0nHzidFoVkhnthFVlLmfrFqAQvU3H96Z409m4RBwU2T2V&#10;4v+6V7YqpQXdAPVXrFhhXKiHOAkCTKyym64p+cfRucvOAXHfaNmurQnRT/MjDTXnbmH+ncq/41fx&#10;YXWCN2KZrBehwiEMhhd0795dEs8ZCRXzk2OFzbBh6xsak9p7zqQVwirYnu2ZEPWjpoLwMR4YuIX4&#10;hou5RWkbqwgIs4folW5zq/DEC4Q2bc0YEoPwfbdACKZCwC3CNj+Wg1whdsSI1hACUKxu6S854Css&#10;h6DEi5JduUqsqW2IU3hiabwzn0vpChU1Zt2VhVCpbt27Dx03dv6SpUUbiqjUjo1btxVsKyjeumFr&#10;4ZJ1Lw95ru9ff/Sdv7e84/Gbm71Yp9HUUKlKLQurNS+s3nxX5ca7qNR7E5UqqNJgdc3GI65p1LPy&#10;FY/8fyo9839Xm3hJo3l17p5StVmHajfdX/XK77W8rfOjD857ZdHKHZvWbilYR6XW+8up1IaijRvO&#10;oFLsNRaJXRJXrG3S471M68ErrJMFs2yBuOokZCoVTmKdzIC4wypqyhIiTQfDi+J2p0IjEJdzRVEM&#10;8WAWHFUUI8qTYzEUTbEbmkfPyKduh7G6MC6PPmSWV7rPDqrjiKs04hbUwjBHjx4deZ52okJsL0Sl&#10;sm7YYhxz61rD6dOnDxUxPxEXR+WztHNapHdOoOxG3MmEaJNKdUh/UYUiGkL4CeRsNI+KB6uDv6xU&#10;xmLKwosso2IwJAqZAHNlqxbXKd4UNsDAwiQUAsqpmZwRUS3KQhwmLYWKB1kyA+Yallm6WkWAzvBc&#10;ph7PJHUyPPECkc7iP+kClGPsnMs8uxFSMkuZVpkovBQvWaBKIFeOWCDBYrg2StyxY8eePXv2799P&#10;F6iDlT127BgB27dvn+V+B1QK2Nbu3buxJz7VaWMY9OyzE2fNXLJixZaNW4o3bNm+bsvWTcWbCrds&#10;KC58aePKF5/v+7ef/+Dhj37syRZ3vXBNswlXtaBSeyu13FSj+caazXdWabyzcqM3/qvRq+9pVFSt&#10;0cpajQfd1KhTrasefk+1rv9vrfmXNFtU465JlzbsUP3mB6649ef//aluHR+fvW7p4p0b16QqtXO9&#10;v4LtqUqtK964fsvZVMrCsHsOIO8x7zovsIpXz0MAQOWQolPhcpyooDKjd9WQIUOsHGaXF48YMcIC&#10;h1PFwsdVJyFrRB2NUMeFCxeKTTiqjlEs0Qr+ZSK2yg5OnTp1wYIFes52te/azNo0FWFRHJSJ27p1&#10;HOeHJEq2zqpAO6zKVSrYxuW2Dr5llTIEZ2VUOiYWG5n+UjXB1nnhKiOJiT17I+cC7cezRBMVnhMq&#10;ZZi8ImeaeVRghFBlSCPvJN6VUYk/pk+fLqyRIj/yyCPkSiDCBVgvsmb2jIethrkCe3Akcdcza1XU&#10;BFepE1k+ZyeHiEs4Fc88nI12cpe909BhvTJqoTMl4Pjx8CN3+sIQEwLKpSewdJmjRXY1f/58vGQJ&#10;OPXAgQOF41KrVq1aYTxplgXi5vHsx9pRLO6pBVQAhoBSMBvffGdU6vDhwzqh92J/OUSPHj1Gjho1&#10;a8niFevXF+vkhi3b1hUpbCwoWr+lYNmmVcOHPdvq/l+1v/cLne/+6IvXtZh4zW3FVOrSlhtrNN9Q&#10;s/mOKo13UKn/bPTqfzUqrNrw5RoN+9/QoEvda9teVrfv+65actltiy6/c8IHGnS8/OZWNzb/09e/&#10;1r93xzkbli3asWF1qNQ6fwXbNxRs3bB5bfHGdWdWKbMvUjChsgpcHM/ohAxhr7FOqqnMcOOqk6BO&#10;FBiNVUTr1ql169bUTtBBA3hC1MmaOhUqZO1AYhppZW26nGXEZ0g6ySz00C3IDFOQXZEB0oj6pURs&#10;QrdpgHGBy0MwuLRTRqo1QyN7ZINbRlqjfmajtuH2F6JSTsV08StX6a3L8YtYVSRoaNq31cOzNHJ2&#10;JF6VvlFp1JzWXeTBwgKzZEIIc16lKjgiecrKJMqShUpFee/evaw33voTPsaDJlTInNgtM2bMDICb&#10;sKKwB4YRdmUbdnISohqwT9U4jqY4AuPk9YyTeWsNpWrhTI28/dBhw2TnBICF83rubHJypy8MEdHG&#10;tMSR8EpbNwVlFUDBpAUp4Q3khoW4NteLj6xolWWyWB3TXw3WVbI6K/3ZKp1HJsJrB98xlZLHoTA9&#10;EPLoq3Rk4qRJi1etNJHbC7dt3UilklyKSq0t3LRs86pJk0Z2bfdQt+98p8tHPvHsdc3HX387ldp3&#10;acv1NZuvq9V8R9XGO6qESiVP/JZUvbnr9Td1vOr69jWvHlTphuWXtFxa/c7JlzTsVPPWNg1u/9v3&#10;/rf/wG6zC16ev3vj6uJEpXav85dTqTVbNxKqZO5PgelG7pSV3VPWyH6kF6YVvVoPdSzV2Y1VNXUs&#10;odasnKCellApYYUlJDAR9Kl5lqacijrAVsImIntjJYTH3DJNHiU50yyZUbCVt/ExW2VuxiZ4NQdm&#10;EyxDf8I+ELeY0UiFjeobLyg7RbpCeNxO93TDrfXhQlQqnJzP01HziWX0Wd/MtrEYkWtViELumvNE&#10;6lOJSumk0ZkN+g0K7rtz505MV5oH86hoCCnKFkjBkTho68ixY8dkVOwt0nFuhf54FqHq1auXpJl1&#10;8S+hIRsOb2USLEr57D4LqjFFno6yRGx8geNoJ0g5Hj/8y0beNuiMjvFWvSWovJJO6H/u9AXgTA4Y&#10;JGAGQCGjoziuM2iNO5t/neHa/E7HrBF9IldWCsTTklTu7xTgHDkMjhWIlKNKpV6fWFUUICvjBTxI&#10;nEiU/iWPkqZPe3nThvVbtuws2Lp9Q9GutUXbN27ZXFC4umDDkoJV0+dO7t+rQ6/7fv7EPZ/ofU2L&#10;Udffva5my+JqzYuqNdtSrdmuKo13VW70+n81PvaeRmurNphT5YZnrrm2Y71relS/dnjlm166rMWC&#10;WneNqdz06VoN2za8+6HvfOfZXl3mrl66dOuG1QWb5A7b1xXsSD+XKt64ed3WJJcy19YjYK5tg+CY&#10;pq6aVkkrfWWvlCCe/LokliRdtTMiVEo1y2YGCIa1adu2LVrnRVyIm51097MgDCK7qcYDGhE68SKp&#10;A6kIy6BMLEDaShGFM+743HPP6QCXMwrpF1maPHky4bQriuHYjIahqKnsrNaifffKVMrdbd2OFQqX&#10;XBLDiWCTeqXjSBCdzJA7mragZcNnly7UT/NMMl0bYOXulbvsfBDtK8QU6blFnDNnjlF36NCBSumk&#10;W+/ZsycC8zDRPCogQpBOXaBUqhKVsj169Oj+/fsFPSw/zCmCYDGl5WaZTCtCdYsedgWsorR1hc2A&#10;gxAFlUWifIQHaZY30QBeFjX5QlTLNXHBiGazspZ10qB0IzsSZ0+LqMCD5FJMnVcGR+VOXwC0HJOW&#10;IfqJhSDqQLibswoQVwUpxXMaWSn2s0a6Fx9ccUbxBC3ArgqBELDyVSl2w7CyQhhT0IF1RYi4Uid0&#10;Uewza87s1cVF64oKd68v2Lu24Mgq281bNm9aXbR+/tbV45fO6PFin6d/94dft/jw41fc0e+qj868&#10;rsWC65ocf3+TN97T9OBlTQ9Wavpa8oV+zZfWbTqhxk2tr7yyQ9W6E//jylmVbl5Uu/mE+nd0rdb4&#10;4RpU6iOPf/X7Lzz6xJwJU1csfVnytmbNhk3rNhVtKtxSVOBvc/HGTUlynxiumbU1ywooGNdbdRQv&#10;QEPEAjSEzuLPbjEnQWXQILq0SGZAzsuLRD3Y0yo6Beq4b+6ac0YoVlwYlgpiKDYhipFd8S7yYxQy&#10;pCzHMvmESuqDskHBEXVUsFVfP13LS5mXmdG+G4XlxX0VGJ+7uJwKGg7LizegYkTqRK9SY06grIVo&#10;JJIw8k+wsYB7mW3XJk1fGOIWUTAV7iWo1D7RxV/iOCtoULt372aWkFepiw5YBbKFO378+IEDByRV&#10;ljVLqqw1vnvmmWe4m8iMzQu5yAytYp+nqlSYSkAZvTLIadOmcQf2yVW1zJDCtKJalC8c4SZuCrGr&#10;ZT2MJw3u63gcySqfivBQlzBvLmnLv3ho7vQ7DUPQGROIMQQNtN8ykSvyj1QRrPyJaGESMSta4Jjv&#10;gEqJd1AnW4l0T1ew5+IlS0Kldq0v2LO24PAq20Sl1mzZsHjHuikvz+07fMATv/7t929u/tcqt3Ss&#10;dfuMq5ouvKbJ8fc2eeO/muy/rOn+Sk1ffX/zQ5c0X1y32bgaN7W64ooOVepO/o+r5la6ZUnN5mNq&#10;t3ji0pv+XO3GRxt+uM3XvtfvH23GDR05c9rMJUuWL1u2YtXLq9avXrdh3doN69eu27h63cbk7VVT&#10;yRQYMUQArsPCMRaPhU0linfQqbCnc4TKGmf3Uhwt8ByCp006QfDC3EFNdnYmKzwT1M8u0Yh7ZYhA&#10;hutif3oTsQzb5Xs8lqHwgbDpDA7Kacib+kyKYWlEU9F4jCK6qmxBxW4kTcwhemVwmjU5buqsOqXH&#10;oixMMUAzLELUB2bK/+XWWnA7LYcfXiCSqXyzSiEmt2P6IjWewPD0UC4VJppXqYsOGbfE2ikcO3bs&#10;yJEje/fuDaZm2IMGDeKwoVW2tIoBiMb4L3eQoLA3CO9jLewzNZxEDBxXRzpCnFxFqIRfmuUOUdlV&#10;kFhb2SHurv/x3Ew3eGI8tOQvLDnOlvapk+CUTo4fP54jh0qVyRO/MoRJ43qIhb+jPgLMMXUVK4qh&#10;DVbBeA3cmr5NKgVhRoIdU4/7sJJECk3rE3NZsXLlmuKi9SUqdWh1iUoVrV+6Y/2cNYsHjx/y5O/+&#10;8M3rG/3m0uufqnvHrCubLrmy8fH/avzGfzTed1nTfZWaHb2kxf5KLRbUbzaq5o2P1q/fsUrd6f9x&#10;zaJLG7xyeYux9W5vV6PBX+o3anv3Z5/84S/6PNr2xUHPDx82csSosaPHTpg8fjLFmjdn9qIF8xYt&#10;nb9kWfKvYsEyC7jmzp3LRllnz549UZs+YzfKj+VNMRNnMbmJPwcEV7IYQ+Y8EinA7EzfamVNMcGz&#10;W+FpUbp+YuZvhlvH3YHd67wxuim9ZCVWxEj1yrhswdiFkLrqqqzBKDiiBYgjdjmPFgg5CqBS/Jl5&#10;uUU4f9KhEsQlRucqMuamkrbn09cRXe6+bDerVlZwL9ATQ6a+AiOEpas66biwKWw1r1IXHYJboPTa&#10;KQOt2rlzJ3NiVBEGWXEujHO4MHdmdaIirscIOXuYK2vhR6yCeYvquAAjwVFyMnlYPD3jFGHVrFRB&#10;5fN11bNAm2H8eLI4/Xf9SEY/5RaUksO6o9vxoLT66aFCqBTeB0PgoblzFQC6BwpGGo4JIkiRLv4h&#10;V+ZZQTCNIizu26pSYTrCEEyBmhG0GCc+Zl+zds2aLUXrC5OXwnetLTiwumB3qFTh+mXb1y/Z+PLY&#10;meM7/+3v37ix8X2Vrnviqrtn1W/6Ut1Gx/+j0Rv/p/Gey5ruqdTs4KUtdl/WYu4VzYbVuPGhuvU6&#10;Vq475z+uW1ap0ZqqLUfXv+PRug3/eF2zJz/7P13+8Jf+7Z8eOGDQgOee79arT/fefQf0HTD4ucEj&#10;hw2bMGb0xMljJ09NPqExTQJtCyzLQaD6iXx1mIkzd/PIgmNyw6TOESqzflzJN/hJmzZtNMhbLIlF&#10;SswzRayiQu6yC4BG2MGpSKLH9es5QIAzg6XhgQw64EhIUfQnWosGoxCwazYMgXh36dLFRJkxubwW&#10;XO5sXGvLtdR30B3D/ylT//TrM/CISzCFKU36dz4Z6lkQt44Gtcx12ZuZlxDboidccOjQocxEw3Tz&#10;uNiBeUBMfPDgQVzPPq01d+7Tpw+t6pD+VKm8irkyA3aLkYTzfDD8gulGCIUKRFFhoi7Hm5wijJNp&#10;hfHbhpmVCRKPShtkmaB9LimxoKyIggE74rgK0Y1T4XJbNeUihAoqlErFAHM7JYqFGbinudVPJAAK&#10;FsJBXlm+KgWlC6+++qq4lSZJTbAz0u/bty/G1ycdWrelaENh4Y4NBYRq/9qCXesTlVpXsH7Fjo0r&#10;ilbPXDSzd6tWX7+16XcuufLBK1rOrNN4Wa0Gr/6fhm/8P412VW62u3LzfZVb7qh626yrmg+uccMD&#10;tet2vKzegv+4YeWlTTdVvn1o7ea/q3XDL25s8vQ3vj/w8fbDBw4cMXbMsPHjBg4eMuCFF194bvCQ&#10;F4YMH/LiqOFDR48eNnr0cMokU7ZlHOIXobcQrHXr1hKpXr16hayiWlMcNhrTfS6wHlaCP5iBTp06&#10;IXQNMiZBRDxDsCqgppajcO5IVz9Bbr+UBUQhd7RUzUDcK7ujI0knUmQDjGqxC9FslB20gjPSnyru&#10;mP4KNcfm4UYaFVSObdiiyhI1vKA+jsAUZpgv0S1Nxb2SXpYFYtTRbbc2z/rG4dkewrKOwu34Ej8m&#10;mlepdw2yd2FsadW+fftoFbrHNvKSeAbIqSP05ImIiFbxRGYMgkgGKXKKB322zJVEcVK2FJYcphUo&#10;Xb5AJA6T2n+0yYloJy6SSyEN2pmdCmc5FXGcSulzCBWVotNx9h1HjO4kOKjb0XOjC6Qzsbl8VUrr&#10;oJCpVLwtOnPmzAEDBrAPdCboRhwkCousL0pUatvG5KXwPcl7d5uLNm9aX7B+9faNa7esW/zyguee&#10;efqbzW//WpUrf3tVs2m1G71Uo8HxVKW2V262o0rz3VVu21rt9ulXt3yuxg1/q1W3w2X1Fv3nTWsu&#10;bV5w2R3P1Wr6o1pX/+jWpp1+9quxgwbOnTl9wSvLFqx8ZdbCRdPnLZg1ffa0ydOmTJwwefy48RNG&#10;+7O0EilbgiTYZ9OCL9aMgnVY//EsyovJhXSezxWu1TKKpHkCOj4QiVQ0GEsVKxRHzh1xbdafWOko&#10;Q9rTnCloOarFEbtENwkUSn3FQ0A5GokLIQ7G8di11X/Zp4kSfFhWkzZ//nwNZjXTxpKa/HzhwoWC&#10;APEpdsAUQlqzwaOQiCAxLskKF4is87GljqTRHdu2basDfB5/BaPlVerdgZR1ktXM7adHLPHhw4eF&#10;yDt27GCWjJNWhQVyQxbLE/m4gKl79+70wBZIF6aiXjKq+LiUDadmlQPrCgML846DF4hoKsAreZZY&#10;ChGJ5HiNDCNORc245CSEtYdKhVBFJhBnKwJOiptjRMFCOh/jyo5YvnJUqQypSCVGc+TIkW3btpk1&#10;FhD/lFW0Yvp0GjYItAsLt25KXgrftZ5WbS4q2LR+87o1xes3bFm/Ys2yUX16/+ijn/jGFTf95tY7&#10;p9ZpvJRK/b9UqvHWKs23V22xs+rtxZffMe2a2wbVuP6vtep0uKz+4v+8Zd2lLbZcdmf/mo2/UeuK&#10;bzVs0ul3v588avhLy5esKNy4Ymvhyk2bXl63YcXylUsXLl04Z87cWTNmzprqb9asWXPmzKFGmFck&#10;IpJivqxZt+M1B3wauZRup/N8rrAGbI7dc4k2bdqgS2UNkgdNleZoS3ghKhVGEN1LTKAEUee0cDvb&#10;tKV/ItrJLizdiPoQR/iS8JNLGxGft6wGFVMUjahjNwJDkR1tVtMM0H5TwQMRARYQ8Eaz5zuxZ0K0&#10;o7expVKk1FJSKb0VYB48eJBxpsyWICw2j4sFwS2lFy7WEXL7KexGTbDirGL58uXsMJ7nC5I4uICJ&#10;QT722GO2LCQ+vmIkiJ7P8lBmzDFdm5p/YlHKEKbFwhUuHKk/JdCmkI46zps3j0oNHDhQT3iQ4xwk&#10;V/t0iLMuFGpXTJVKSeVNEgVxPLeTDj8K1u7tUKnUZpLfLtu5cyeqEmgjpnjYRQPEs9HjjcnPEKZf&#10;T76xYNuGgi0bNxcWOLBxwxZ6tX7DhpWTXnz+gR/+8L57Pv6LOz86ul6j+XUbH39fi9f+o1nBZU23&#10;VGmxo/LtRdVun3JliwFVr/1j9VrtL6k77z9uXlmp5cbKd/Wo3fgLtet9tXHjp+///cRxI5e8smRl&#10;8ea1u7at27JlrZuu37RhTfJjtGtXrVy1+uWV/tJvvbNlnbRq+PDhwitGrMMWftmyZWwlTCHmMZns&#10;0yHGFQatrOBCNvfcc8+h8latWnXt2nXcuHEcxikVon5Utj1Ly6dFdAZy+yU4y8EMuaNnQK5SSTUF&#10;HQarGccNwVKan4hMOX88YYjwkyfbKsdnUYQZKaCDhx9+mErhgsGDB5uW8EAwt7ZxrwuHW0drmhV8&#10;9O7dm0S5L6UUmYqcGGekU5Az2TwuElgywnPSwqUreZqljOMnTpyQV+3du1dIxCYZqqhUXCVzEjfz&#10;SsBO/J3XDx06NB51MM6IuvhmmH3qr7lnHo6UicVmbWotWl60aBGliU8fcFFplVIzrjoJ0b1QKRIV&#10;T/wqzudSJ0FXAzH23NESOGLJyv2JH0T50KFDuiIPFbywBqGKHCVEHoslq1KAywrTXyNMfkcjkayC&#10;TYVFmzdJsYo2bN64esao4U/95c9/+urXf/6xT71Y99bZ9Zscv/SO197TYtNlTQtDparePrl+8z6V&#10;rv5t5ept31drzv/v5lcqtVxX5a6udRt/vl79Lzdr8tRf7p80aczS1ctWbi1Yk6hU8fqi4qJNRVs2&#10;uW/ygHFz4YZNBbkP/G1ZMBsdNmwYe40HUzrMZLPcn7lE4VRoIVIi7cQu6zHY7IEn9O/ff8aMGZHF&#10;x1UXF8IfgEuMHj26W/r1u4RKOWJPTqWagl3hiLGTKJOpDol66KGHCIarOCHDyIhAg+GHZYLooYJV&#10;0wEJsWCZBbJDOXF8KHW85Hev83gXwxKTKFvCpiBA2b9//+7duxkb85s8eTKT6NmzZ/wLGe4plpJ5&#10;I/r56ZdWsJbw9+CHzLshs7ELhzajtSiI3oT1RHTs2LERyTkY3hFp3Kk4rUpF1HgxwnqVr0oxhexj&#10;TIm2ZWYKuB6X4SZpxMKFC3FH/FhZAZkgTNZ6c0FhsvU/a9hUsHn9ls3rizaumTNpXLfHW//5Jz/8&#10;3uc/0/XKm0Zc3XDPZbfv/0CLDZc131yl5Z5L79h62R0z6rTs9/6rfnlJ1UffW2vKe25ZdPkdi2ve&#10;9VT9Jp+tX/9LzZs+/fc/z5gxacX6lauKC1ZsKVxXuGVDYU6lkntv3rSxaMPGwmSNzQ7js7R4jZrG&#10;v7cgKnaJCjsI04xtzGZpxMHsaUB6LPkglOmYAeG8GejUqZP4yAyE5UWdiwuGFr4k6eRLsiLjEoTy&#10;qNAnE8WZVZNF0WMSZd3jgVvr1q0FrQpiWO5E+1UO99NgmasUyI8FGZbSTWXzgg/aGSqVWWke72IQ&#10;JwsduRcoiE6OHj2Kmnbt2hVWykLCSlkysBN8xbY5PufFYPgqPDq8O0zrTIJxvojWoqxNHiHPo51U&#10;it7ERwMqnF2l4mxplZqa/rh2nL3oYKXePpUStghYBg8ebOHbpW/3SVPwX1WqAAD/9ElEQVRC4bdv&#10;327qCzcXFVCpf4JYbSryt3l9sb+NaxfNmDKoR+d//OHXX//cp9rVuWbgFTcVV2q++5IWGyq32Fz1&#10;tn2X3rm90p1z698x4ANXJyr1vlqT399gfq0759e+u129hp+sU/uLzRp3/Mff5s6dvrZg3ZqthcsL&#10;Nq4vkKYVbymtUls2EKowFLaoe/FSgPCKSg0cOHDu3LkMxSlIDCpFdLc04ngwuJqO2EqkXE6ZsDmm&#10;Zv0ax85heXHhxQXd5iqGtiD90jD5sXGZq3iAHhWKi4vJAyenCvIYnk+cGIBwVWURKydkCepkc6VQ&#10;JiqlnYBmObz51zEBspuiIVLqLqFSEWKH3ebxbkWmUrn9kuc9jkRqJa9iJ1IWtiqUxFRMlMWyGeY9&#10;ZcoUpwRkaCFIILMxnh4md4FgkFqLMs/iRILafv36USlcQXh0T4W49Zlu6qw6+kmiQqX0XC6YO32x&#10;wQKVr0pZflCwywLmzJnTq1cvHIGk4t1/gYm5js/M5TSFm6ROyW/lbihMftqdSm0p2LRt0/rtG9dv&#10;W7fmpfmzhg0e8OBDf/r4f3/oV3XrtLn6mhVVmpKoDVVaFlS788j77tr3gTuX1//Q0Etu/F2VWo9V&#10;qj+qcqOJ9e4cVf+OB+vd/MkaNb/arEn3R/6xdMGcTUUbN2wtWrlp40YKuLl4y8aiLRsTPSnYvGnd&#10;lg3ri3IPnSw2c8Rr7DVeRdPnRYsWhSWFKcQ8ngqn4qytmsbIvIxXa2yO6YPW5s+fzxCz54cXI/iS&#10;CaG+tNwsASmSNhmUs8YOixcvHj16tKXn8JZeKsMGzKfKjowaNSpmVf3Sk5a0fmHQTkDj5pmTUyYi&#10;avIjRFAnnvVlVprHuxgZI+X2S1QKlB0XsgimeaukSuREmXr06BF5P7Ppn/5yG0vGY2wp4rCQijMJ&#10;xvkiuEUhGhRXsdh4JB4xfeYXKpzppmHzEi/Xjku/ljOvUmdDZgG4YEv63X3xUAhDSaJXpV8qbEIj&#10;t5XTFFEp+lRYsKHINlGp4oJN2zdt2LFx/fZ1a1a+tGDKpFGtnnjo7k/c8f3Lqz5Qv97SSg3XVmm+&#10;oeptBdXvOva+u/e//64V9T88tmrDv9a6qm21q4dWunV4jWbP1Wry17o3fq5e/W/ffeeAx9u+smSh&#10;DGpjcdHqhAm3FIj1NxYVU6nkUeOmdcUb1m9JVCoh1zT7sdIRfccHaawzjMNZ27MbSgYDFHxJOOIf&#10;62hNmGYGtGYGNKVO7sqLCrptBgiSVCk+fDYuzky0LChYYtrMT+L1PxJl+BD6FGrtLFKIpmIqArl7&#10;XAA0EstkkvWE35rzUMfnnntOJ4VHkUsFwmjzeLcit8wlCMWC3H7JkdCqnTt3Cp6wvCA1bMYWaAYr&#10;EuJIVtaU/BbwmXjgfJFRgQL3wQ/Dhw8nkKQRe0Tk516B9IrTw+Wk1LVjxoyRTk1Pvwgmd+5ig3Up&#10;97cnFCz8gQMHrKi5xmIgQqFYIVEQ8XioFIlaX1iwdottqlKbN+7YsD75W7923eplCxbOaN+z/W3/&#10;fee9NS6978paMy9rsKx6843Vbi+8/O7X3nP3kffctbrWh6ZWa/rIlTe1vfy6vh+4vlulG56sev39&#10;9W/61o03/+4znx3TtcuG5S8Vbt6QpGuWe9OWok05lUo4rWDT2uIN65LEKvehqKUVxehwm/RLIuJf&#10;1aE2FcI69Tym8iTEuEAjdlUTebGbgQMHBkFLOLCz9jVFv9WMCy8uxAoa2rRp0+IFP4r+wgsvzJs3&#10;j0etXr2aa3ESAmb2aHOnTp3oNDCAUClHWEK85xmzWoZTkc2/ZsWh8SQn6GbIkCE4aNu2baFSYbF5&#10;/DsgeAnwUq5Uok8KWYVXX311x44dgkvRDBIYNGgQ2xZmoYKuXbtyZAdnzJixePHiiLbD5C4QYfy2&#10;3AdhMlGRMXONbxJwHJNwk9jGJaci/EjfXDty5MiJEyfGE/Xc6YsN1qIcVcqqn0i/CFIitWvXLvEy&#10;esJWghGR9axZs2Ki8YhJ37xpc3GoVFHB+qKCtcW26RO/TRu2r1u3c72/tQUbVq5YuaTrs93uvPee&#10;z17+gZ9cUWP6Zbe+lKjUHYU1Pvj6ez545L/uWlH9rmnVm7e65ta2Na7v9l9XPfVf9R95X70/Xnnz&#10;fS1u+8c3vjl9QP/NK14p2Lh+w+bNG631pi1bNhVv3Vi0NVOprRvWJYlVssyhUpYZr0n59Vxs4sjW&#10;rVt1OOySwKQzeTLYE2gB7KrPSthKJBwaVJCG43GahyvjqosOwj0DNApjiTf3LC4BoAfGS3uoF9Hi&#10;ZvF2r3U3CdRaKmM+yX/24Zw5h2hQIXeDC0MsgYLFsnDoRt/MfyylJA8NHT16lBvkTDaPdzVS9XkT&#10;suPxCXr28aSC8AV32UqqWDjSZ7Qs+bHHHnvkkUcYM6169tlnxZpCMRXC0i4Q4QWaEvkRPy1zH3RB&#10;peRVaAThxPYsPqICP+J6OszOqRTLjzzsYoQVKd8nfmC99+3bFw+F4qMLQbc8mmhllGRacz06HeKs&#10;FtRnDeb9j3/8430f//iXb7j+m5Vr/+qqW/pe88HeV945tHKLEVVvG1Ht9mcrN3uqWoMHKl//v5Vq&#10;/fcHKn+4erVPNG784x//GCHiRzG1O8YPl0HcojQcdCN1hFFiGbwm6od+/fpZb6YT/dHz015eGukd&#10;EqJE2QyOqaFyMyCBGDx48Pz582P4OPRfNlUxEe4knDQ0Tst1e/fuzW/N88KFC6env/AdL/VSL3pv&#10;PgmSAKV///6OR+IVTh6+p0ELHRFAmcD0ggVlb5I2Mmn+O3fuHKm84ClyqSyOziOPDLgLqNf+/fvZ&#10;EuvFAPFhFSsKA8YqfNlxMibuCU6zDfPjHeyZdwtGcc6ZgtoMqtm6BGNInrgSD5K3cSgxn3aiBbew&#10;ZdjJNafAcbaNbzEtf+RuWuNiudMXG94mldq9e7dIljLF5+foPt48NtfmPaWRM8YFGX0HlVt+3CcW&#10;/tNXvvzNRo3+t1rdH9e5rmPtph1qNn3+0qbDqt02vPodg6o2a1+twV8qXfM/l9T4zCVVP1Wv7rc+&#10;+YmHH35Yhs6MLJjWghCzxksj7qIQ0sIE9ZlFshXUdl4qFVDTVXKIYenPU3Xs2JFlo3WdCWu7eFXK&#10;RMWTtBHpa+hyKfLDY6VWEyZMMHXxkZ5TxD5CBOsuyuM8KvN2F3J+LsQGYlG0WVYqlc2qNs12PHu0&#10;mlYBp1jHvXv3xjuoeZXK41TgLlYBIVTsEycILhl29+7dCRUbBgkWSx46dCijWp7+FjCZiagrbI9V&#10;A6t2HM7i7447CxrhVgI7oiguR0R8RwXNRp2zM4a78LKePXtyNMwj4IbcuYsN5v/tUCkps1mWSFnO&#10;du3aiQ7IuygjOhESdaZJjwVWRwWwSAQP3fR5ot2DP/3Rrz/2yfvuvOcfje756013tLv6jqdu+JC/&#10;ttff/Zeb7vjVDc2/eUvjb912+31f/kLbB/6OJeNfJjGauNeZVtrBuGlE/ZJ6vNahQwdRP4Fkplln&#10;MuSuPAVORWVxEGE2A9pB2SwPZTPEuNG/tLkKC5PJLfnD8+n3zNJyyYrVoT1EXTDRqlUrs2fgZpLn&#10;WD5TMXbsWDrBvam1aclelwoPDK+O9i8QWoum3JoWjk5//qpNmza8l0Hu2LHj4MGD7DOslDOExeaR&#10;x6lgHtJuBsNsUBAq4MXC7uC0tm3b8mvGLxQWy86dO1cdfs32WDUSAKbIDpm3g3YTAz0FoWFquly0&#10;hyqFtvFPtYJ5MpWCM5GG4yrzLNrJxXRGg2eqXPHxNqnUtm3bpk6dipgsJyITICxevNjERawRONMk&#10;qgaWRwWFWCRLuHzG1AkD+w164KEOP/tl9y9+t/3Hvtip5ec63/a5Ti0/2+H2z7b78Bdaf+rL//jq&#10;N5/69W+e6/j0lNHJs6aIJsIIouXT3jRuxJhE3wxOcoBPdR7zWm98Gp0JnKmRgLNhncYrIEKRkVig&#10;S2YXdBw4SyMVGbq9bNkyWbL8OEJLsZug0qQRLRLVunVrrsLfRIKCFR5uIeKTKpWpF7W2mpxTa9kq&#10;l9WEaMRyK1h6kSla6dSpky7pLbEUHcdnD2GleZXK47RgGMBOGMnxFIcPHy4uLhafoTXhr6BH9Mn+&#10;WTXv5gKSrSlTpiCQ1ekXfmbGHLYd5dOCI4Tx4wf6RAXRzpIlS0S02uEg4SOpSJ3xW8TU5JVj0l+o&#10;4WICMldhztzpiw0mv9xVSrLsTqYsgo4uXboQeRxh1qy0GYfozWmRVUjXN1mVEKp1a1ctWjh3yqiR&#10;Q/r1e/6pjj0eatX9jw92u/8B265/fKDL3x/u/libHk8/9eLAAXNmT1+5MvmXs2l7/1Sps0D71Aiv&#10;kROGQllZnhSB2IStaCHrVRROC/eyZXmS7kikBPJmIFjbhYGofDHCWnAnAtwt/fFDozPGeJonupRF&#10;8RPzRofo06FDh8QlhJ9uOcUeeHi8zpt5ckxIIG5xIdBILIFbCH6FumGEZNKRI0eOZOKUV6k8TotE&#10;oFJQKcjKjEfUxbXjwyoWhSgYPy8AwdDAgQNFb7NmzVq4cCHNwCdh1QmLpQgTPQnMVR3uMH/+fImU&#10;uBYFRVrmOOZRJ2tEIa46CdlD+L59+5I6d+enkDt9scGEl6NKxXKKOwQU4mtcL9wQxuILoQGJis8h&#10;INedMyOqQW4/of61q1evWL1s2cuLFr08c87SydNeGjdl2bgpKyfPfGn81EUTpy6aOn3+zBlLFsxf&#10;syb3XfeloYWscFro84ySb/SJB1m6LXoK1tOTuDasJ73iNIj8XVMCq1A7iBnAkiqkXTjj5RUfTJ8T&#10;ctEQ4Oz7pB9++GG+2qdPH5pkpHv27Dl69ChLUGYJkUjxwLFjx76S/mRJNp8Qc1J6rd8ysnb4rdjI&#10;EkTAS1YRQSRSrJSt5lUqj1PBJAK5/VJwUFJ14MAB4RdbEr/SJCzxTPqzeUI0Fi4e5ezjx4+nVaQi&#10;e2DAa0JvTgVfUE0QP23aNHEtDxLkxae2EK6Rq3pm6Iwkj6M9//zzFBTZnul2FwVMdTmqFM/HTbt3&#10;7xYvP/vss5atY/r7TBIL806irJYFtjBnn0QLE9WUo6Yj6zFbYdHmLcUbi4rWFhSsLdi8trBgXVHh&#10;pm1bVxdsXuOSLVucWi+atqyFSRyhBRdqwX0VSjPjSVAHr5EW4YywiLQo6LagJi75lyqlBRBAyeEQ&#10;MQvu2rWrBILmiW5EOo6roKbLT9vCRQHzMGfOnHhhr3Xr1o+koFUclSRwMB5CougBl963bx9LUDk+&#10;5xNs8qVwXYh5yOakrFQq2owlMPlUCneIT7WvS5k4ZXKVRx4ZmERmFVHO4AibiZfX5VW0CqdRI9pA&#10;mcLZeUTEavES4Ny5c2mVamexbe7AVtVkrjQG7YhoHcSWzDjsWTUMBuEspwJTif9efPFFVKMcLhb8&#10;eTHCbJevSh08eNBtLJ6VQxA9evQYmf7ykJjaFIO5s2ZRjj6dCgsTKhVrE0csdGFhcWHxts1FxWsL&#10;CgnVmqJCf+u2Fq8q2LyuoHDz1m1FW7dtSr5nIvmqJVeFokQjCmcSGNAZKoVkpcxCbz0nrgsWLIi0&#10;XYXMzs7SCKjPKONDKWpHp3G0ZpG1EUUdlwdit8JCD406uprBKHhRz549BY+tWrUKlVLgmdxMSLh9&#10;+3aRCj2Ix318RmXzQDDirb9Y/WgfSt8ryheCaNBWEkyZLAHuiM/JHAyVAm6AcfJClcdZkBkJg7F1&#10;RCFMyG58Ze3WrVsFsox8zJgxXEDoxi8IlQSL2VMdTuEsrUKAp3oTW3XwpfQLqakdbWO02JKXZbwX&#10;1YLEOE7sBpTREWSXux2qCY7KwsGLDuWrUhZv7969QoP4HK9z584yqpkzZxIAUxb0ZK4jqTqLSp0W&#10;WzZKo4oLNhUXbC5et6V47ZbiVfQp/oqTI+sLk1OFyVdL2J5H44khbN6sk6NGjQpekwJadUyXq3EO&#10;iEYikZoxY4a8gdoxVpaK1h0sPQNhr7krKyr0MGIFvc1AhmWcIsdHH3304Ycfpk88s3v37pKkeNAn&#10;zAzHZgmmlNswA1NBrYV7ixYtyrVenrAKfFV45L5YQ8AkbDLtKIYDxJa5hlyF6eaRx/mC8TAhWsW0&#10;6JBICN0JiXi9sKxdu3aC3d69ewtYecf8+fORAB8JCQmwVdcuXbpUDsRKcQ5JI3vZZ+onwSV8MCtz&#10;Tw3yshEjRgwYMEBgjWzjFuG2UfOiQ/mqlDWLd9BRM7oH4TNiMnHB0XoQNA3nr1JFxRu3FPrbtGVD&#10;4Zb1hVvWbin5K0qObCxIThUlYqaQu+pcEOstotHbDh06oF2BP0plLrka5wCNsAwkrp3x48cT6XjW&#10;xEal8xKssJuLS6USYy/5DEnBIvJGozM/oVLxaJQq86vdu3cfO3aMDbAEBbEISzClnNascqH4nC/X&#10;evkgltLCmXM+79ZWQR/Ep8Le0Kf491I6SU3zKpXHW0ZEY4zqwIED27ZtC+9g81ye5LB5QkWukEDf&#10;vn0ZIa1ylqhwqCBABdwohOJE6sRjJxzC13IG/WYw7/BEFwKnY+qLFy8mcgTSfeelX1TmVNTJXXax&#10;oWxUSiuB3H4JrBkumDZtWrzTRaVkJyIIxAFmzRTrRDD1+apU8cbCbYlQFRVvkgsXbS4o2lRY8leQ&#10;HCncnJxSQTWHzh06xlYYkJVGaqiNxcgYVp3Pj10amjGyMHYW1GwGaBVOFys5lRpYbvjZVFRYRG9L&#10;m7uCCcH+nEF61Lp1a07IGx0pLi7mqNw1eB/sEuYJEyb0Kvmuv9GjR4tXHCzXgWuc65pwjGA15VJu&#10;bQk4s/iJPrHSvErlUSZAdxBaJSyTVAnUtm/fLk7FgS+m31hBq1CKYC4eLPEC2VI8WWGo3EHSz01k&#10;QvHRwMsvv3x2cnAKmYRX8kdsM3nyZIQDkjm3dko1ZyEuuejAK8tGpWJ5cvslz3DxFAqWheDoNulX&#10;NCIIKxFTBqY4FkA1iD6dIwo3bU6/5y8EKi2U/P2zXFLBYuYuOwfomABHRNOnTx+Uyp6ENnJnkpOr&#10;cQ4wLvbhElaIuw0/PkdFl5GTGW/MgHJWqLBI1ilF+IPOKwgVM/bneLTcruOHDx8OxrcNM+Cr8c+k&#10;uCi17t27N1+KeEV9zeZuU9bQslsIOLLPCQQKltIQ9u3bx2jZanQ1jDYKeeTxFlDafhSY/ZEjR2gV&#10;42dvnGXGjBkjRoxgh/yFF1AsujV48OBJkybNnz+fPgHjlELxKTKDgoJzzuQgiUOWgJ3TJE0hK9di&#10;WolURIFyAFt9yF12scFklr1K2VUWomIrMYL005IItIOjs/A5mdoSpCJ1fiq1WQPpD/oWFmwu3rS5&#10;eOPmbSV/WzcmR7YkP0ifVFBN5dxl54BYbzTavXt3KsWShg4dGrlzrsY5wKC0I7ox5G7dusUHNkIk&#10;lidRi/GqEKYTkxAXVkxk3QuVYvcKhEcIgvcJsBCEh4gH46XzMIOwhEOHDqnM/RhA2/RHcrP3PB03&#10;CeU6dreYM2cOv9VDqyliWLx4sUQqPjDL+pkhNeE88jhvlLYfheDAeLuVscUXLMmNZEjxAJDXgIJd&#10;yoRwyJjsStYVmRDRYr1s+EwO4ngQiGoCaz6FbHv16qW1SNHCuYJa8yqVQ7ZreSwMwhJBiAsshnRK&#10;1IAvcLQbm7iY4kBK2uenUuuKNq7dsnFj4cZNhRuLN20s3rhx+4bc37YNyZHCzcmp9Wm1DefzwRSq&#10;tcbx6kRIy7hx47Lc+RyhMhZ2lSheO9gZSzK+uelP/cbwFZhR7oKKDWtkq9uxXvxNz43FmlrZ1q1b&#10;S6Q4VfbSeVgCsASSsHTpUp4jK2UJtEqgp7Lha8pEnckJywTuMn369Hh7hUo9//zz1kX8lD3oA4QC&#10;2W4eebwFJAz4ZhPKjtgyMNEbXyAnIjZyIghmk8GNpAVP8qbevXsjHOSDKtUM7ziTgzgeHiQalo2h&#10;KfGfy8WLiNcpdTL/it2LEWav7N+esB7xWHbbtm2IDCtZCfkEvhZ9B0eD25u4QHbk3LG6eMOqbckv&#10;Fm7YsqF484biTRt2bsj9bd+QHCmUFG3ZsDaqFZ3HCtFR8Q46eyr9F6DxOf95fSgFSHz58uUysOxD&#10;+3irbcGCBWZABaOWzodKne/Y337orW286AHFxcV6Li8kTrJkKjVo0KAVK1bEs75A6qGvC1bU5Dbc&#10;T0ptKkg1D1SZ/0TjZ3LCC4eWaZKwFAu4O5XCDmY7615msXEkdvPI4y2gtEUphFFBlE+kIFT79u1D&#10;jOyfqFCUjukvR4uG4/Mq3hRUKeMPfmDDZ3IQxzkjPhHzMXJJGLIaPny4IBuJbU1/YCjenojKcdVF&#10;BxNYNiqlIWsQhVibAwcOYPbszWMsNnXq1HhxIHfzdOICuf3zwcbCTTKkTfizYFPh5uQPg2Z/dhNq&#10;LZBSRbXT3wJRRqxhOSGOyJRHjBgh9WnTpg3TsfZnf9MmNCZtKXkaBgpMRyJlyAbO+LAzubJLujKj&#10;ifppG8k39utAHMyOOxKNJ3OUzpIj8pjkgrcXcXedib4pCPQMx+JKE82S0RkyG2AAcqko2DIDQzYJ&#10;6gCtmjJlSnxcrE3tpCMrA//RSExd7MYq2DJCPt8l/Wp2W/GHCZRIhd0GdDWQ288jjwtDzp5KASVm&#10;BX5Bq1CKIH7kyJHiV5aJJRDOP/7xD+GUvIqboB2+oxozZrRh4crhL44gDX5EouKNiYEDBwrCxI58&#10;U7UgtKx+mXjZOwKTVvYqpWAldu3aJXMydyQqImgKb9IjOsjd/52GzkR/rGgsqlWXLEe3pQihLo44&#10;rmZcdRLiwqwpYBko2/DxI17Gjx06dBg9ejSjPFNOFmoELo+CI9Gr0lRul3Vmld9OuCkYGvAWGiwE&#10;MS7eJVMZP36842EAMmlbEDkKG2VOJJ+YderUSYZqEsLxos1saBcIjSQaVUqlLIdVY3KiS/0UsUrr&#10;Z86cKcY8SaXyyONtBoY8fPgw73j55ZdFe3IgAR+VevTRR3lKvLElPSJUq9PXzcJNskIYvF3mPWnS&#10;JHzFs8TTLjkpE3gXAJOUmUqBgtlHAYBPp0+fLkyIB6+yEzksjg4qz93/nYZlxmu2QcE6hkD1MxIg&#10;Pe/RowelEfurA7nLToELT2qHSmHnwYMHo2bGJ1YS71A7x3PXvBnZ5akw/VOZSpejpt0ovM1w37i1&#10;nkQYSL/NEo/iJPPmzRPZhRmEBghWdu7caepGjRolixIhEglSLfQLG9Ca0aUjKxuVMoGmMVqzJVGC&#10;Sv3k8CyQUPFkocPu3btZaWq2eeTxjoGniOf27NnDbiOiRTvdu3dnq/EvqwR/aHPatGmYJCgoItRw&#10;Q+qFqeJHc/r160eipF/awbFZrPbugIkq48+lQqXMvjkdO3YsCpORdOzYUdxtoiO8dSp3/3caQW1Z&#10;f3RPJ9lEJEDMReot0mEQUTmqnYpoxzaVmCS1wuMMiEhHIk/tRPHaOZMBOe7uoBBlW21qLYzyHYdu&#10;RGf0SgAoauvbt6+h8SvRHN+QPVt9JmV7PP11A5Js9mISpFNyGpOwouS7EKNB5di9QEQ7yVqWrKYl&#10;EFcKDviwpdRPREC3Dhw4oJM5e80jj3cCwZPx2Cm0ir+LYuPDqqefflpS1apVKwVaNXDgQArE6ZAn&#10;n0IOttKsCRMmECfmrYILidaa9OcFMhd4d6DMVEpD4fm2oVImK95BD47GVljDLSvaJKI29hEFKhJr&#10;Hx9jRCI1f/58xnF2qUi5MRmUYCeYV1MMq2fPnvGhPcuTbbCtM42deaFvrMrUXnrppXi959SbJkyc&#10;Irf/NkJnwOjMxoL0WySEIA8//LAxylcc379/P5fLbCC+W5YXmUy5FK1iA4bGALIGy1alYhvta9wS&#10;mHPZm3WkUpaARpr/gwcPRj/zyOOdQsqXCaIsqou3KriM6FY8R5zEdtijQ4cO3bp14z6CfgY8a9Ys&#10;7jY7/T5ZMTSr5onCRC4pUgx6KROHqjgwP2X/uRSGOnTokCl77rnnSJS5JvUmF0fjDvNYoSZRfzKV&#10;Eq2QlhfS36GgUsFry9Nf68CnUf9UuFAjoGyAtnhcTkbt4t/o2A4dOpT8OH6msbs1O2OgrrKNylrD&#10;ue6eXaUQiN23GXFr7B/Pcq2siM8siQF3795d+l8gsYEdO3aoxtkoRHwXfnwipZ0wA4WyVamYfGam&#10;rGVKrwODBw+mphaUMwsCtm/fnvUzjzwqCBgklzl8+PCuXbuKi4vFrJiHCPEdRESrxHlopE+fPrg0&#10;xKl3797Cr3jYI/jjlbiiTFypoqFsVEorMcvKCiQqXp0wj/GRDI6eM2cOhgoeqVBTSQNAQa8EMiNG&#10;jJAcsAnGgeCMwvKj1Oj5aeHCVKRyH2yyFfxIZjSFHDUlJac98WRZhdxlbwZRl8aJicyVHFR9eQCB&#10;ZK/kyoXq6MNZulHeiKFBCHD8Y15CJe6zshadAbAEUCBaem4s3Ax4l6yULxmIIWgq5vws2n++0Ga0&#10;pjPKklqrYD7dWqCgD6NGjXLqwIEDwimdDNPNI493BEGYUihb5XCcDKyUp+BMHhSfVInz2qZQRint&#10;2rWLh4FIZv78+TgqY4mzkMxFChNSlipla9737t2LiWbMmEGfTKupHD16tKlEW45H+Jy7/zuNoMtg&#10;TFudfP7550kLXhO/4N94FhzLf5Zuq+ByW0CF1IXGyB6QuNYUREaGr+aZGjEzK1asEBa9+OKLES7R&#10;Kruo1oW0wYUxezGBJyEaye2cgjh7gdCONMXoiA3JEdlxFS40efJkXcokig1IVvQ5Pt5ThxkYVHzp&#10;hnZUNktGFOW07TKANuOzZT1UFpBau7Fjx7p769atObayaseOHctZbR55vNMIl8nKQaG2Yj4sGr+v&#10;KHjlYpInQWF8hQ1Sffjhh5n0oEGDxo8fL5LGEsyeeXMBxp95fRQg8ZAS5A6VIHe0AsPMlJlKgSgV&#10;C5hfhEuZOnfubCqfe+65KVOmxAcSSMTWPObu/04jeE1Bl8Qj06ZNQ6yMgET17dvXLmIlP4RKnah5&#10;KuKzKOOKZ3Saijd24mFXt27dRPGORFNnMgunVJCBTZw4MV7aAeRO7Gkn2WOFrtV+qJT6gVON0hHI&#10;nU4rxC0uBNGyHi5btmzu3Ll0l5CL76SbvEjmFM4WlnD06NGlS5dyIeEekZbNyGkYQDhSOSFkz/zE&#10;qAmqQGHIkCERcMj8zCS3170w2jzyqIBgn+FKgE7jawAZNg+SNvXv379T+jN1tIpzISs8I/7jbq+8&#10;8grWDZYIuIrvB98ija1btwaDOZUQRCneqOAoM5UyoYH4FhBsi2ExFJqWtOK1eN5lmirU1ERP9Mpa&#10;otFx48b16NFDzMIUiKvlj8A8Y8D0opPhOAQ5RoGuyMNkGyxJg5plRvF5Se6aU+AuRG7VqlX0jKiz&#10;SFrFKBkiqqWXukck1Mk+dwl1zC5332w44FTUUY46FwItuwUht7IyPB1D/QRYgiJl2bdvX6ZSYQCc&#10;SoxC780kSVuwYEGWkpYTsjWK9YoPpSyiOElPqKme599Bz6OCg32WFqrjx48TKnE/7+ZoeACvohRW&#10;zbniuZ9ddi4UZvBLlizJPqHg+8ApOG/s2mbI+ME2daCKi7JXqSNHjhj2zJkzpQI0H0nJSSMVMNFu&#10;aYLi3hUBWZcsrT4TBvmBOAULW3W8hu+CoKP+aRHaELDqVERT7IYBMab4pnBhTphOrt7pEDdyR5Xp&#10;unnD7xKygQMH0jy872AWNNEzN8r6Hy1rIeuMI2VohdE3N509ezYFJcBUyhLrkj5wpPArDrZr1y4K&#10;QRWIPUeSxFAyfS5vZ4jpdRddNTPWTjZv9mI1ubeJzX8olUcFR6ZSgTjCaF999dX9+/ezbYaNGQYN&#10;GsQH2XabNm1apz+aY5eACXDnzZuHJVBExIUu4aEQ5XCW8BQI6YqDFRbmoSyf+CkcTr8HXfbQvXt3&#10;RGbucDQNME1owkzl7lwxoFeWyjrJVEaOHKm3lFX+h4hnzJhhpWNds9U9LeJspgoGS1HiI5l4dozK&#10;8WZUiEtOhUZickJXiPrChQv1YfLkyTrz7LPPkgTKJ8EXMbFUvO9GpjS7L2gkOhMNZogjF4Joh/zo&#10;D9LnHhaXqOsDWRKahEcdO3bMSPVQHSplJtWxq5rRme1cc+UA3YupULBwbmrmdcAqkMxly5bJ8OR5&#10;eZXKo+Ij6BTCVoNgme6hQ4d27NjBxZADXsUMgmDRcKtWrUKosASzF2GTqwULFmCJ7IMGyIQqPMU2&#10;fKeCw/DLQKUymErziCOGDh0az08Fs7NmzQpVN7mRmuRuXjFgtfRKJ4N8cavFtsZyZ922kNlanqnn&#10;cVw7sfAsQxSvEZlEh/QF6EWLFhl+6aZORZA4qBPf6We6qII0lFZppE+fPlJ7Vhi8T6gwb3xqGvKv&#10;G6FwcRe74DjELS4E0ZTOhJZzCQKg7HbZ231Wf8+ePfyHKqhDxqz+hAkTDN9YXK6fuebKB+kEJ0/8&#10;xJLxz6T0wYJyWrcWP/HzvErlUfERmhQIz+JiylHgcUJDrodqMJXgNd4AiNhRasX7Bg4cyD2nTZsW&#10;n2rTKi6A0DBMeEpGFBUfZaZSGgIzuHfvXgRqjrAYjibspsnUoDnTFIXczSsG9CdeBuvWrVuE/+Rq&#10;Tvq1+U6lvJfLgc7S86imgCKlZcOHD+/YsWOkkmzFkZAKLZypERVMjm3pCsoMiy2aQ0kMtpXUUyl2&#10;SQnchQbQV4IaDwDj2tLbsoK1kw/NmzfPgord+AMFEs3xluPpb/KCjMpNJ06cGBKljk66RP+NyxyW&#10;bZdOQrZGZsx0vZD+ozdq2qVLF/3cunVr5vCgkDPcPPKoSEh5NJc5BbKyQlaH08U/rmLtosBJkyZh&#10;A76JxOQG8RRHWaaFK6RcKsycOVP0hutCscrVGcsWxltmKkWi8JSEFG/27NkTSSGIYcOGRSbhZjEv&#10;weYVBLpkzTApPkVq+qzn+ixZlqNEuAFylKgcV50EFaKmYTIaIi310Ro2j09lxDKhQLHNXfZmaDza&#10;UVYtzMgR22hWhhppvgZlVN27d+/duze7ZJ0EzBBoFT1QjWIZFNE6VfbeMsyG9t3IiLiB2I1eGqmg&#10;hP/E6se7ncZOotq0aUOnx48fzyvIm57EWHLNlQMkoNp3I2PnkEIN/dQTXmre9C2sNHw+c/g88qhQ&#10;4EcQJspcM+ROl7Jh1Y4ePXow/d16ziWqFluLiVl+p06dgn9oFdgVUz777LP8Ue41d+5ccXPEtYjl&#10;TIxUcWDIZaZS5D0+38Nl8bivT/p7dwQcd8T9MiJ+m6FXEIVsVRQA+Y4ePTrI14rifQuJW+mE3qpm&#10;e3aVgqhpmNaerTAIORmR1prZ0FrcNGQjveJNSHuXe21PU+q4u212R2UmRYQIA0GSQjFH+kQSqMXQ&#10;oUOFS/EwWo4vSpBMGJf76g+ByZpSyJA1XhoOOpWVbWNoMS53oU+o38q6kZateKgUh9F5fRswYACJ&#10;MpmkVE9IVDzuK91yeSB6q0vszTxQ8bbpL0+OS79AMr67D3g4986rVB4VEyE/IVG5Q29G2HBpqC+v&#10;2rlzZ4TI06dPF8hiBokUHuatQLGUHcFI8aUBfFP+EA8D8VK4TzhpeGsc4f7BALH7jsCQy+xzKfNr&#10;pkj6mDFjcLR5kaCYMrpt+gwyODrG/DYj5t2tFTLJjFCCimA0rPr4448L/1E/fk8WqoTH02U6m7hG&#10;PKIyaUGRLACJRyKF1pG7DEO1LNi3BUdOLZyKyNKcdQvt6zOY5GXLlkn4TK/ZfuGFF0iCcIlCEEgG&#10;6iCmnj17NrnSJfWpBXO0DdnI7PIkOOhU3NQdHQmFRvQmSvvGxeitLN2SN3OPcCdyZZjxgVy7du2M&#10;XZkbuKl2Qn3PNMYyAX0yw9FPiyjgaN269fPPP2+WjOjQoUP8OfPwM1FAHnlcXAiTjgeAfHDPnj1S&#10;qyCiSZMmYYbevXuLLBEyj5BgoTi7PXr0GDhwoLh26tSpKAJFowi0gMrA5cEPETcHA9g9Ow2WH8pM&#10;pTRkpoxn4cKFQvuQbvG+7BJxxJhtg/jefoSKBPPqRhzBs/F0zvphXotn5aQIjjsLGau6EKJ8KrKa&#10;Fhgvx+f22iQbghpHosHs7knTJYgLz9I4qAMquzYQB/EyraKCzJHBmXbiUTq1olU6IJkA2om+qZoV&#10;EUCxSC1E+6URN4r+xI3YpSOM3mqGnLN4Latz8ODBY+lPSYnmtm3bJpESqVl6eq8n8ZKkOYlGouXk&#10;HuUDjTO/WFAaSaKsqUnQgfjwLKw0r1J5vGuQ2bMMIcATYd++fVu3buXj5EeoOn78eLSA3ETPgkjU&#10;xENt4x9aoQuUhfcwFa4WxXIZvh/8EFTAuezyYoFg6m1vKwyzzFQKYRmeEF7Ejcu6deuGGU2TaNqd&#10;jLa8eeosiFku3QdLGOGGlWvbtu2TTz4pHUG+VDYYPBCXQ6zWmeAsuJBmiF/iH11p2Wxg6uzxXWk4&#10;Egfj8mjnJJSuFojjcTBSK1bFtghPfCuERN5NyZK8ngn279+fWHbp0sVy4G5LQ8Bmpl+h6/JorTTi&#10;Lvpjm1mqFdSy1uiTldWOFoRs/CE85MCBAyTT7MUTBsO39ASDPUQLb4NK6bP2+WTfvn0t6COPPBLv&#10;Tehn9qJ85tWxm0ceFzWYcZh0bDOIyY4ePXro0CHZlRCNX7z88styJrQgfOS/8UQER8mu+GzIlYgW&#10;eyxJX8UKbrEN/0UFGlE+E1OVK4yuLFUKIw9Pv3OhXbt2Ro4jcKihGlukijHmtx/ZFNuCScfslsTa&#10;oNQ2bdpYKrTuiOWM8P/cEaOzxdRCEuJk+SE+mInhx32z+lGAOFj6bGk4qOfR+aiQ3SsaieNRx6Ck&#10;7fpPHohlaJUEiF3SKp2xNV7pBSqPBDe9yWmgcc2GaZqNkHPsL/6ScUpWKCIfSFwkXXeBG3WXSEWM&#10;5kZkTE+iBch6G+2XB9yF+Rk1w3v00Uf1RLigV4cPH6am0dUMOavNI4+LH+yZMkUiRZ8gyapShGjx&#10;UHHkjh078IOECUdJnlABTxF38hRAg8JZB52aMWMGDuHj2JvPbil5XM+dIedvbyMMsMxUinqjs2ef&#10;fRZPUSlkjQ1xdJBUcGvutm879CEoUsFEk5MFCxZYD6GErgorkDhNRawRPpTuqt0MuUNvRlZZziGH&#10;EMJrU7Riyd3F2fhECt27LwhSYrHjwujSaRt30FmIs+qbRkajQdtsSqMF0Hh8+MQcswTLorA5PSFd&#10;xCPe8ImPi9KbvAlxR81mt9ZU/IMt2Zjpsr523ctycwDrvnfvXnUMvHv37hGdCMoEbvGcMzqmwehq&#10;+cGoDZAq62fr1q2Zn8Hqg37yUg4cTpuXqDzeNWDMGVI9+ifiSJwCZV6wb98+qZWYkmNihsmTJz//&#10;/PPxDDA+mMeE8ZLFi+k3iMqrEAWeAS4W7hzu9nZC/8tApbSCAgTXQlcjNGCZBDqzi+wCbhZUBXHv&#10;txPRAVuzTC2w6vTp0/WwVatWbdu2Ra8yDFTubCxJ6X66KmHrEqk4LeIsThwzZowlx5KRnGlTaxTF&#10;TUkgqUDfDsZjQBe6i2tDGqOp0ih9UM3om9Yc19WsS7HNOpz0NW3TTUEh7kIdDVw33J2eORL1S0NT&#10;0bGsTOTIuTgrEin5mct37tyZPe7TJQZtMsVlrJw2z5s3jw9EO/oZBdWyHpYHSK9+DhgwQDeIpQU1&#10;XnPFOSECzNJ+m7PdPPK4aMGMw6Rz+29GdjYKYf+RbwndKBYGwEWT0l8L4jjCa0KFu2w5EQGLZ4A8&#10;C7NhDL4cVPM2Q//LRqUOHz4sphan90xf6ZY/GrnhuYe5iOEFz5YrVZ0d+qAnpluSIfbXVSolPxA4&#10;WAwMnlWLfkZX7RoCnGWFQjO0IJa3xpoV0VMsMxCNOEWfJk6ciOWnTJlCvy18zIkL8fiZGk97kYNe&#10;BVTOkKuX1owj0dVsGzphC4g7kjlHnMpdWQouIWy2WrOrGmVlr1JD5ivsMlFOHTx4kNFbdwIg2hox&#10;YoTxkihKNjz9uRN30U85Xza6aLD8YEoJZCSylkAUsmfPnvjnXDwTosMQ7pqz3TzyuGjBmDMdyh0q&#10;QZzKzmZlxk+luIPd+OetfDPYSZDXJ305mQcBoYrPq/BYPAPk6Srn/O1thG5fkErF+I0cW2kO9WMr&#10;4+zduzcdDpUysEB6xwQn7QYcwWhw2rOn4qRqynE5ckTHkUNEhSBocMREC/NN+uD0J1wfe+wxiZRu&#10;y21xt2uRqUaizUB6nwTRiIKD6ihnNWPXeIcMGYIiwXrTJGmHBp2iSexAgC/noN/Tpk1D5dFblyft&#10;vjk3igYhbf5ckfSyFLKDWovGowDp+X/OXoY4DuqYkHgsYCxZfmyMqD/NT5LHaPv372e+/Uu+XMqU&#10;mkyT73IDh2jKNneDC0Y0FStlK1uya1nJ0qBBg/SzTZs2zG/RokX6poeJj5YgLDYQBpxHHhcvcqac&#10;IneoBLmjKU7aTQUridKUOQhHlldxK67NiUSc/fr1k2YAb0Lmffv2FXpiszlz5iAEkhZkxc2DoJTj&#10;SOKfKZSRLQIpE8fXzzJQKUM9cOBAZBKCWcNDZ/ExT+4+b4YxQAwguCY+aInjGVQAhYStT4FZAIWo&#10;GUds413JOK5x5Yw0Fczy7Nmz9RORCfwxmlQ3EimXqxxNKZwW0VsFdSIpAQddpXF8TfzwtfxMDBIv&#10;tTvr7qotXbrUSg8cONAdyZUlj+d+moIYRXYXiPLbj7i1/pgTyTEDtaYGJbCSCBp1/Nsjxm3RrRrL&#10;dopBG3W8N5ENpDwQE6WTcRfLYQ4tK3U0sfHm0rBhw8y8fubMNI888jgDQqv48vbt2/kUUsKHCIo4&#10;kai2bdviya5du/bq1SueAcZzIJTF79SPDyAy+uKYEUE6ok4cvECUmUrFW16G0alTJ+kUmpg3b97q&#10;1atz93kzDOCkURlqjC0qgLMZcofejJTbc+QenJU1G9uoZirNqVhbZ6gI5SBRyBSlWoDWrVsTVD2n&#10;ImqCa2NyT4WzcSrunu3qOYnC6YRHOG9RzQByJ4dumvVNWTplZpApDZNfx7t2pZvNoM2TJuRtQ6yI&#10;/sRzUXIej/IIsIkSBMSL3cePH9+2bZv4y4hMJoMWghmUrDTXUPnAXJlMBVvQz0xNOVKoqVxZP/Uw&#10;Z6Z55JHHmREcLu7k2pFXSTCmTJkydOhQ7i/raNeuHaqMh2SSrXixAnehTZUzl0QdJ+EkWntrKDOV&#10;0t14CfuZZ55BFoJu/IW7c/d5M7KuxwjRtJpgVNlxyGgoBnwSsrPq202vSC7RTkb6CvTJjNOP8ePH&#10;m9/4mgYqEolUq1atCIYsR01wOb2kuHGLkxD9VEfLyb3T/Awb2oYESpVQpBXt3r17vOfm7tlwtI9P&#10;pRriFDeljgqh5dFbDUY3QNmRdwpGpA/xiRTeZ6CdO3eeNGmSg/v372fN1v3o0aMmxELHkFWgE9RC&#10;TJBrpXyQTU6yAOmDBQ5j5mk/d+JIQ4YM4T9iQ5aZM9M88sjjDIhPqiA+r83yKi7GlzGnMDT+cRHw&#10;ry7pF7+JR1FZvATIDYPiILwyEEdSr70glI1KGSElwMsGgP2linTYEQySu88ZEKNKWDlFjC1D7ugZ&#10;MpuooxDtqJYqXQL3pZokgVKSCgksfcJiAwcOpA2mmJoK/6kU/kXE8cGgJSEYrtWs3VOxdu1ajcd9&#10;FdwC1A+VojdUB1nH5yKTJ09etGiR4zqmftrlJBuLwF9/5HP6g+Ujg3ZWtXS4CdKb5Eb3NiP6iegN&#10;gdyaIrmU2SNau3fvJlGW26IfPHhw2bJlRuEs8zVki76i5LfXcm2VA2JOzLkCuJ2Z50hm/vH0R5Z1&#10;W6gRUgo5S80jjzxOh3CTk0CxDh06FI/00WN8RMK5qFT79Ldt7QoH+RqhCn8Pf0x5659wJPXaC4L+&#10;lI1KYWTpIYkyBuRLGDAvts3d583IjaBkDBgnnvgFlCUoIKfZtm2b3bjqJEQF27hWayFOZg3v03kC&#10;oEtkSX/kLuaU/ksIxN1ILTKAhx9+WEFNDCvZAvMOE04HdYyL7LnF8uXL6Y3bua/+K8+ePVsyYf1w&#10;JSG0i8RPUimwS7+nTp0aWZ3uUXe9JYEhkOrkRljCyG8z3JTY6L/ZCy1nkSaNTjNcoZYs6siRI2be&#10;bNAG0yiBHpz+SEcM4UzrXlYw4VY8yuZtxowZRFTOFy+tcKp9+/bpJ09jnzlLzSOPPM4KTB5IZCol&#10;duBEO3bsCELAVPiKsyN5QA69evXCpfHJRTAY9gj3tOWeZcJgOlM2KoVniQFGw1myEzqBqqKjZ0LQ&#10;mYEJh40wgPftOh7DC/lx5ExQH3sSCZKAnkgIPjWbL774Ig2QChAhuZ0sx1SSUuqydOlSIqG3NPWB&#10;Bx6wxXEhZtQFFE4Lp3CxsIKYTZs2TUqkKbcG9yVjGtEaroxvPSBRehijsI0RGZo+660WyIBmKSh5&#10;Q/H6nz3qLcM1Pl+YcGkTRY9/+sYozR5l3b59e2RRtEr0YCYdN17hlZqGr46RQrl2Oxq31U8w+W4d&#10;L6DrrXU35yFRkDPTPPLI4wxIxShRJluOE+A7cVAFZS6/Z88e7obWcGB8xxKii3cr+vfvzwcx2Evp&#10;1wXwzeABJFYmVHDeKuWCk2AMgmv5h4g7vpkGU8g2tH6mNCjGYMxkCbVhZ4xPRRD39OnTCZ6yMeNK&#10;ugKmJuBIBtVUpjfSI7JEPJC+hEkZe+oDUSEbBEDfqAhhkN6hsHjYaq7lPTosIqBSdMURlUeMGCE6&#10;UDgVjoMbQe7Q8OHKUgqL5I4WD1dauXiK6F7GaKTSDqOOBaNSCbmm36yl89FPQqXPBmIeHI8ULZBO&#10;2LnCLU5rFtnB0hXOdFAPjciEdE1/zNBWsmIU8UkPHDx4UMfMv27LYCiEUdilykYagy0/RG91QHwD&#10;IZZ8xsxbSqvP6nQy0ah8LpVHHv8K4dS5nRJwHCFpuA8/iiO0ivDgdpkAipMDxNP+zp07o4IxY8Yg&#10;ZGcJFfcMJ41Cac+F2D13uPVbVKmMAnCWhrBDqKsMRllf9S/ucSoMFevZ4vHsJX3jjHwFPxIDsbyU&#10;xXSkT+ASIHFi4LjK1Ahc0qdPn27dupkmUKCUGFMFNfEmhZOdmDV0pj/uCMiUShEYGYApNtfaDF0E&#10;ekYCqcWpwN10Ra+0r5MiCHc0alpozeIDRjMguNA3OXJutG9GunDJyukSQdKm1ozaQLSDcEmCFE0n&#10;o8+xrrqdCHsJ4uCpCF2MYdpVzm5qGwcD0YgjCmQJoqwFM2aqzaThSI5JOIFnoNY6Zf4kKNFzi0Wf&#10;SLJJsEzWUZ8jETxTdFKGMCL3IlEhlvH8wdILZYxCD8NWT3W/PPLI4y2D++/fvx9XiMKRVXwlDaKI&#10;aBUn0Crsih9kIEEswUh8NtsNFz53cOS3qFL8Pwp79+7FF1IK3UUWCJdC4Kyz90a/ARHjRNqA5oyZ&#10;cqBsUKYcBkzwToLjoEIkNIiJQoBCJDo0D/VrMx6gkSjMm00W6C0RpTcaQXBaU9m0qmwbhdMiHiqq&#10;TEimlHzvuFtTLJCZ4XQq1bFjR92QseWG+mbohs6gcgV90xM8a/iEzRC0Y6tLRkEsTaObErwYhUsC&#10;5u20yITHjViJC+PzM5c4KMuxjVvbgl1IjSfpkq1LdEkHaI9AyVgshxkL3n81/Tnm3bt303KJYzyh&#10;pq+SYPOjWvRBmzHY8oD2o+B2lsMqhKD26NFDAGGi9uzZIwwMW82rVB55lCH4FBKItypwSzwNCq1C&#10;fThQ6I8xEELQL0rhqkgp6AU/IJ/w33OHm56fSmXiFAU9jn80M3jw4Ihnsa0u4vqgwtx93gzH45Qt&#10;MjVarEdasH88xJM5IW6kE8qEiSAKkV0RCeQuAQJZDkI3KcHpSJlCiOu1bFKCf3UmZsd8KaggX3FT&#10;sh8pqmpkAPEF1Ub9k+C4s65F5Qbodu6rAzh96NChVuixxx4zCeiSTrt7OtaToZ3oUpQ1qMOW09iN&#10;juYhfStNrozXbOikoZki91U5FBfSHp0MZ3XSNgZIUHVPQumIgVMpthUzEFCGrEHtu0pPiDezEx8J&#10;jkyRJRZDWf1jx44JStzCKlhrdimFtfSWwBxqIcZVroi76LYZNjpdJZatW7cWHunGzp0748OzzErD&#10;bvPII48yQbiVsHXfvn3cEL1IJ0SKkaUgDZzwbPrr9dwTVfLThGtK3kKwPV+WcMfzVilIGSCBvrox&#10;Xuvfvz/OEoCjWuSIJUMbcvd5M5yKjhqkOsHUeB8XkxlEaeQawY+kCxQMOMqZJqnpEheGxkSbgbgL&#10;JBxcklvEcVuVsTYZ08ns8pMmMS48FU4l812CEC3DtyRdu3alUrgbXdLps6gUZJ3UZhQIlXFNSr/5&#10;EfOSK3ov26MHAdrsRqZCNfNjBk4F5VbH3dVPhD398UOTxlYM2V1iKqIPkN75n7xvOFoWCnVPf45d&#10;IsX+zE/2b48sN51TJ4ISGDBggLFbMvOWzXM2uvJA9FbBzJsTJieFBTEdk4h/cUxTxU8KYbR55JFH&#10;mYBPoYLkuX/6iQ9CEPvyO2kD4pJUPfHEE/Hvf/v16zd8+HBcJM7GP6iV52IJyJjnHOFGb12l7B48&#10;eJBUIFNkgdcoqvBfp/EdKjlTb1IeS5DtRu+NBJm6FjOGhBieLUWJMipXcEoFB21VdmE0lTb5T0Tj&#10;qbgkQmXrYNwlbgQKjuhnQH01o/KpcFadqB8tKwSzG3XP9Pdh8fuw9NVMfUtuf2ZkndSOO2qWsBmg&#10;1uIZIIWwzBSLElh+7ZteyQ2FIGBs4lRIwkA19eVkrh05ciRDoSLmzWDjpoFkwCnj2+oA+dFnQQDz&#10;kp1YTY0QxR07dkihGGUst8mnfE6RqC5dusRjaI3HKEqPq5wQHTYWZiaLjUTKVplJhDjprUJqsHnk&#10;kUeZIXOuIAS7hCq+slaOgRmQD6HCHoSKKEiqOGbkLdyW/yZMetZ3v0+Fu5yfSukchFDZlfQJ7WUP&#10;+oQs8CnlzDoU21OR8ljCNVGA6Hdu58xwSVyVFcC1ibCUvKFf+pTdZEpSRPuZSoXYZKeiJqaOx2LR&#10;4ElQJy63jcZDWiQxMpgePXqYAdpgqczJOaoUZLvRGQXX0hXsL1cgVGTJxGoZ5KwWPpKtU0HJgISw&#10;FZfQLYmOXAqhY3A9z2YmbmTXECD6wM7ckfZYTXjhhRdEBocPH7bix9N/mr5r1y4GF8tNpXSGHruK&#10;VLs82gxEg+UEHaaLJtkA9YRXmBnS7lRYpq7mVSqPPMoD/CtNVXLP0u3yNSyxc+dOzC8mRkT0KSgi&#10;PqmSxgRRxBOm4NJzx4Wq1N69e90eMz6e/lwF9kSvcpRoHQlG4bTIKBLiSJSDSeMI4rMb9Bq7oBAV&#10;ohwFI6cuUPo4JBeUsKdGAtnlIUila0Lp8klwKlpIr8iplPxj0qRJnTt3fvTRR2mDvCo+64o6JyF6&#10;Arn9EkSvdMZdlDWLiKmL1AoduwUWZgFTp06VXNueFjIwZ0lm9mjUcsjPtKarcd+4UYxFwfHIKSkN&#10;BZIIdujQoWPHjvGPnVWw1lb8yJEjhw4d0j0azPKs9ZNPPvniiy++lP4LiUz/bKMQgyoP6IM+mxkT&#10;ogOyKL2VXOqJmI5ZQupE+U+k8sijjBH+FYXwMlAOoZK0YFS+KTgmTvGcg1YhE9LlYOQw58sP2r8g&#10;ldq9ezdaJJvt0n9TKbbN3psAhdx9Tgdn0Q1k1bJdiBbiIBq1jd1A1CmNOJtKyT8RlcHZXL031wxV&#10;cCQO2kad9KKTEZcoRAXXKshRiIdgAbnj7oEDB5JtkxBRw6mIe0FuvwTpbZO+RSGdiQSxSwY0aIFJ&#10;jpAk3hM5FToTj0DjqkDp20X72W6MXX1XaZbW6v9T6Vcgsyo6h/etsuWW14uVjIuMWW7GJ1ySy5PS&#10;k24HWfsXjpM6DPrMHhYuXEhExQQ6oydSQHX279/POMN/wj7zyCOPMgS3Cs+y5WUhB8pRcOTYsWO7&#10;du1asWIFMsEhIloJTNu2bSlW//79Mcac9D31yGSCf8LBT3Jz5QzaPz+Vis4FlLdv3z527FicFa9O&#10;KOufdoO5cjd8FyFUyuiMsTj9nXiyYT1eeOEFdGkSBg0aJF6QXsRDsAtHlu2ZT0tLqzQOCqciLjlH&#10;6LytEWlfy7pNgSIt7tWrl7TMEOKfSVloKmXUxICMRbIlIpE1nu9NzwuZiNoqg4PKhi9Z5ANdunR5&#10;4oknevfuLWWU1uttvIOeRx55vJ1AEaBAF3AFocIeS5YsmTBhgqQKpfDTzp07K+MNic3ixYtVCO8O&#10;pbCNQrg5OBvQ8nmrFOiKFE9vtDVy5EgqJQDv06cPvhZca/fdrVIxtK1bt9pS5TFjxvTr1082aSVe&#10;fPHFeOZZVipVes3MqqRK40HcpyJqniM0pZ2E+wsL8f6MGTPiA6c2bdqIeubNmycEscrWGvXTAAnc&#10;kCFDxCLCIjJmrY1UI7nmygE6ZqpjsNFPBbtszN2Jk94yvOeee07/Dx48yCAFdJmhJpFU/rlfHnmU&#10;P0IXIMoY48CBAzt27JA2RWiLN0S3qKN79+7xnrqwOD6M4NRi8XB2CB7L/B00+FZUCmR2u3fvxhd4&#10;mUrRSWSB6eKxY9wvuOZdA+Oyjbmz3bZtm4KJFh0I6h977DGkKaWlW8ZeJvSt/UDpssZzpVMQV50j&#10;Qu0MRFmfJU/xAgiVYkYUaM+ePVSKwclRJI7xHiNVYG3ymIULF2rhfG96vjDYTKVsld2U6Ztn+Zyw&#10;oFOnTqNGjXKWQYamZoYaTyFiN4888ihX8LiICxXscr34mEC8Pif9rh/s0b59e3kVrRLWS29mzpwp&#10;9s2ex4SzB5QDvF6Db0WlFISuqIEe0knUJrgeMWJEvNuWa/5dp1JGFHSpXJR+lYPZNMtSENxNpWiV&#10;wGF1+ntRZTJ87QRy+ymCr9MJPhm5GucGOuoSAzEKuTmjwfsPP/xw9tzSXURDknemxpKsL/NiZ/Gd&#10;UoQt11C5IRtmzIACi2dgeiurI1Ego5o6daq0j1dkxhmGmopUXqXyyOPtQHicSNGWVtkKHI8cORJf&#10;VCHqHTNmTJ8+fVBlvMQguxo8eDDn5c5yG3QUbo6ORKKg4Ai60/L5qVQmlXv37tU0UkYTVGrAgAGC&#10;8eXLl2etB1K2eZcg6DJEwi5+x5hSClNv0tu2bdu3b1/RgYPOhphdINIpTBC72oT4mCp34s2IaucI&#10;w4kCWY2PeeSCjzzyiNUkt1LkSZMmOT4v/dpfiZTwxzApmaS5vD+RChhRolElKsWOza1ESmgm26Om&#10;sjr91D1pPcsMEw2w0kBuP4888ihPcMB49BIqFQjRIlfiXXHttGnTXki/xrpN+usZnTt3RjuEgwvH&#10;R0VBbuH1oIzxePFbVCkhNnkUX7slXnNvBB3/KOddr1Ixg/DKK6/g8R49ejz55JPBmHPnzo3pFj7k&#10;LrswpMJ0rshdcz4QVYhlxqXfhic1kRFaTQJAsaysg/379xeCEGADVIEkjx07dvHixdkq5xoqa2g5&#10;N8slasq0BEYMevz48boRidSUKVNYXfbtGHnkkcc7ArqQCtObXq+NXTh69KjEhhfz31Hp19RiGC5M&#10;qNDL6PT7vtEpOuL4QWXh76JSjbxFlaKN8+fPx8ud0m9ZHTJkiKA7EqngL7cpPwp7RxDDMYN40xjX&#10;rVv30ksvyVjjhYLu3bub/fhIUIXiMvoBC8FFhlSJyiBFC8RA2IHUZOjQocxFdEOiiBNBortyc4vr&#10;eOw6xarEPsIRY9SCCSm/JdZyIlApYpd1iQBmzJjB2My2LsnqFi1aZCB8IMwyjzzyeKeQ6lHODSmF&#10;RCqOgDIcOXKEtwqL0abwlwtHQEy0hg0bxrWdWpP+QhWv5+w0RRj6FlXKlkppFFnEu22SKvE1NtGJ&#10;TKggJZx3CWLuIApCeJMorkflpjv+Pa9JwPtRIXdZRYWV0k9p+KRJk1gJc7GOxkIDBg8e3K9fv3g9&#10;wXFRyKOPPtqqVSsCNnLkSGMU5oRqlt8Sxxy6hW3cDqjjhAkTJFJ61b59e51hafECOrPM2WgeeeTx&#10;TiNkIrzSNgNX3bdv39q1awW7okzxPXoJ5sE5Y8eOXbp0qbNYVMQfWdeJEyfeikq5bOvWrZMnT0Zk&#10;7uFOUjYyiEe2bNmCVkKlcnzzbkHwJkQZv5to8mwSMOYLL7xgWuPrgoJb46qKDKOQULMMCZNUSfIU&#10;LyMYl8WVYJFeVuKseMcwBw4cSNKM0eji5dFcQ+WAmG13UchEcdmyZQw3nmvrEsWSs2YhW85G88gj&#10;jwoM8kGoeLcoH8lIdTCPuNOWUI0bNw4FTZw4EbXGxxAc/K2oFD3EI5RJDtE2/R08fIFB0ng3+UaG&#10;d6tKxaCMUQFZm0rhALo0DzLW+PaHjFvjqgoLPcT+Ipfhw4ezD6lSvDTxUvp7hiDsmDVrljGq8Pzz&#10;z0uw6BnDcsrlMQnlN0wtm8m4i346YrtgwQI97NChgwye1cnmd+3axehz1plHHnlUeFAQPnvkyJFt&#10;27Zh0fiXvyiIlNgSrR49eohEIzh28LxVSutw+PDhNWvW4AtN0Lr+/ftPS39TKtGoVKUguObdhJST&#10;k0/2Il9E4tTenJoBk0uzZamYVJ34WorcZRUVIgl6M3fuXEIbn0gJZKRK2cs2xiJfJGPq0AOKRSQc&#10;caGzkS+W3zC1DO5i647uFR9Kyefk7hI7wrl48eK9e/eKnHLWmUceeVR4UCk+S3viH1Tx68mTJw8a&#10;NEiUjEjRaZs2bQTNCuJRB9+KSh1Lv6kJR+MLKqWhIUOGzJkzB0cHeQW/5MjmXQdjpFLr16+XVcTb&#10;22bTdvz48etKfkbEJCjkLqioWLt2rbRJqtSzZ09m0T79Gsb5JV8HaZiGYEQgImFJjlM1A3dtPO6L&#10;wUZr5Qe3IFHuSy/jQykSJfgy4fqTf7svjzwuLlApwhMgVNQkwuX4hjZERKIAqcY3KhGd81MpNzh4&#10;8CDWmD59enzkLjsbM2aMqBadoTacAigMcjTz7kKQJsoW10siZSFPpr/5P3XqVMcRN6gW24oMWdHs&#10;2bMHDx4sNRFtSAolUq+kv8HvrOWTSxmFQmhSDBzirK2zDiZtlQ8ycwK9Cjvu1q1b586d5fEEVceO&#10;HDlCpdgxy8zZaB555FHhERlVKNaePXv4+IIFC0aOHNm7d+9OnTph1AEDBsTP16l2fioFe/fuRXBj&#10;x47Fa+QOU2O3ZcuWiXYzWlF4V6qUoaFpI12+fPmUKVPE9bIQc2pmMX5QOe6OechdU1FhCPGPskmU&#10;aINNGIIEix6EMoUmKcdqgqGFdLncbrLS5TlMfYhbQIQFkleJlAkfNWrUyy+/vHv3biaemXvOQPPI&#10;I48KDK4aPst5bR2JF/+Ki4s5NV4lThMnTkRHK1eu3LZtm8rnrVKoYcmSJcOHDxfVooxnn3122rRp&#10;YvCIu4NT3sUqZZiofOnSpeYRxVMpWeqgQYMWLlwY4oTZK5RKJeuRdiYKEGWBRbzd99hjj0kHJVWG&#10;EM/3VKAQtsaipiEr2FWg0PHZm11ImitBHAmcdCR2Ibd/biitUvHwmpQ+9dRTrI4dWwVpfegT5Kwz&#10;j4qHWCDI7Z/1SGnkzp0ZuXqlkDtRgtzREuSO5vGOwkKQpSMpTqSvPvHio0ePEi0pEAri7Lybguzf&#10;vz8c/LxVavv27bIwUa2QVi6lsGjRoiTqLvksXevwrhQqI8LUBH/69OnZvy2l0wjUQQxuBmLgQesV&#10;AbEu0aVMYHSVSg0bNiz+ORShlWtbxzh77khWPUW29DF8RuZeUQdylc5zTqiUSCp6/tJLL9FR9qbD&#10;Xbt2nTp16o4dO1gwHDt2LE9AFRmJPqTIylYNPdnGLqQrmRxEVaAAuXNnRlwCcXnuaAnidqVPpd3J&#10;IY5kyB3N452DZaJehw4dklfBgQMHSFeYwXmrFO7AEf369UMZzzzzjKQKQQcHZRyHWQKx+66BEVEp&#10;jDl+/Hgz0KFDh/bt27/44oszZ85ctWqVU+qgadsoVwTEuui5QqiUgoRpwYIFIoy2bdu2a9cuXkaI&#10;f0uQu+zckKx6ikylApklKIAj5xu1RAuMTePCK70dOHCgmEAuZebFSdl394Udh3HmUZFhmVLJSGDV&#10;QpCgtMyoljtactzBQFYnys5GhazxOB6nYvdURGVQjpqlG8njHYfloFXAALL1Om+VQh9jxowRzz7x&#10;xBMdO3YcN25c5BCBoBg4L0q6WGBQ5GfhwoUSKWMX1+PNsWPHlv4Zixh4xVGpbF3QvV4p06pXXnkl&#10;3v6gUnj/hRdemDZt2ooVK+JB37kjGg/EEcMPOOJ2cUe7b0Gl9NMlJlbHxAF90m/17dKlixRQoLB/&#10;//4w4oR78ip1McAypSKSIFbtTMhdUAq5E6Vw6vE4EohbRDnOnnTfOJVHxUFuYVKctHveKoV3hg4d&#10;KpFCcChj4sSJGUO964FqUadAHr8TaaDW8W/FStO0rVmK3XccOhZ9S3OeJOlZu3btkvRnNHv37h0P&#10;0EaNGhXfk3u+udRp4RakRQIUz/3sxpxEN84RKodKaSQ+BYznq9K+yZMnywUPHTqUM+ES5Aw0j4qK&#10;sywT/RBERwpVWksyxMFEZ0rOlr4Q4ngchNK7CipEhJ5cn8LBXOnNF+bxTiHWEWJFbGNX+bxVCgEJ&#10;vfEFguvZs+fUqVMzGgrYzZA79C7C6tWrDdnA27Vr16lTp2effXbevHlIM3KFbMj0IAoVB5lKrVq1&#10;iiaNHDkyvs29X79+8RvPVOotLNmpS+8ush/pGtAYR9SJu+fqnQOiHbMavR0xYkTn9HtvX0x/qsPx&#10;eAc9M+g80VRYWJpAbv8MR2I1A3E2t1OCk2oq2I1yII4EkuvfjFylFEF/IYohXbnL8njnEIsCliPW&#10;S9kCKZ+fSrkSTaNm7IYyBgwYMGvWLJyChjK2Cn4JxJF3B4yLQovrR48eLYls3769XEQ5/q1YPCuL&#10;B1wKFXDssSK6R0JmzJgh1KCyTz31lNWUHUoHae35djvWHWI3biEHMiekRbOLFi0ifuYNHI9q54KY&#10;Ri3HS//xa/eEaty4cXRr9+7dyKW0QdvmbDSPCobSC2Rr1eL38QKHDx8+ePDggQMH9u/fv2/fvr17&#10;9+4pgVWGXSl27ty5ffv2bdu2FRcXh8nxOGXYmsLZHTt2qKayq5QdyQ5q1i3iRrYScfd196NHj+qM&#10;LkVX83gHwTYCuf1SR85PpazrsmXL+vfvjzK6d+8+ZMiQCGwhTCf4JdgKUsJ5l4ACIdzZs2fj92ee&#10;eQa/Dxw4EIHSLRRsBowXEceog2QrCGJddEyvgCDpthRKqAGDBw8mKpIeA4ya5w71Sy99suTpyw7T&#10;p08fO3bssGHDqDhFXLJkSeRVcdW5Q2/p3KhRo6R9cvf419PuhWIQX16cLgpYIysVBXpg7agIXQlT&#10;EXOgFKvMs5gNy2QzVlyuL4EePnw4KwI5dJ8+fZgBGxAfBzqmEGx17dq1V69e/JFvquxCW+wEWhgz&#10;ZgyzmTdvnrssXLiQwwrUuKo+6AndEvFEV/N4B5HI0ZtT3jgC/0KlolIUBB0W1TLH623MgiUhuCAp&#10;yJgl2AriyMWIlM/fpDTMOr5SqG/fvsidTuN3ph9v9xm+8SrEqE+69h1ENpB0QRKhQgr8tlu3bu3a&#10;tTMKi0hCotvnizQ+SRCrH7dAPePHj0cr7ASzKEyaNElqJSuSrtEqop4lnRmiBQe1EKdiSoVBqEdM&#10;0LZtWyQlPxMaB61kppyaah7lAHP72utvmGCzbKZPvJb8kZzcwfSv5Hh68PXXXj1x7MjRwwcPZX+H&#10;Dh48cuiwrSxp+9atGzdseHn58oULFkyfNm3cmLFDXhwyoF//Ht26P/PU060fe+zBv//9V7/45S9/&#10;/vOf/+y+n/3kpz/50Y9/9MMf/ugHP/zOt7/9uc985pOf+MSH77nnrjvuvPP2O+66446777pL4faW&#10;t919512f/PjHv/KlL33vO9/96Y9/4sKf/fSnP/2J63/yi/t+/sc//OGRhx9+qv2TnelZ5y59evUe&#10;/MILE8aNmzdnzsvLlq9bs3b71m379uyRx8nmDu7ff/DAQb2V4r167Pjxo8f8KSQDzA3ZnBhs+qec&#10;HjEniR3mKrz5rwQqBPJGe1pkkyOUCcREwb9QqYQG0jjIVtAhy0YTaFoIg4DEywKTk+jm3YGUbxPi&#10;RsFxBPnOnz9/6NCh8bivc+fOIj7MG9UqLHSPJBhFJgCWTIwpzqBSxkJR4nO1qBxXnSMISUgU2HU5&#10;EKFZs2ZNmDDBXQakIDPmilbNnDkzngFmeVtcolfRiHIIWJzVFHmLdxGfeOIJwbK0bN++fSyYTYYp&#10;hx1DarB5vEXEZELm8mBWTxw7/trxE2+8mupTbHOCVMLCpVWKhB07vnfnroKNm1a/snL5kqWL5i+Y&#10;O2v2jCnTJo4bP4wg9enbpUOn9u0eb/tYq0ce/Mdf/vinX933ix9//4c/+M73vv2Nb3753i98+uOf&#10;+PAHP3TPXXd/8M677rzt9tubt2zZrHmLJk2bNmx847XXXXPFlXVr1a5ZrXqNqtVrVb+8bs1atS+v&#10;eXnVav7q165764033da8RVx1e/MWLZs2d+2dLW//2D0fvvezn/vm/3z9u9/69nf+91s/+t4P3NSt&#10;H3v4kacef6LzMx369e7zwqDnhr84ZPzoMTOmTF04d76er1z+csGGjcWFRft27T5++GiM8cRxInz8&#10;DYONv5gHc3b81ddfPaGQm4oTpiI3OTGTYDJjbmOSc0fzOAecq0q9+uqr+/fvRx8zZszo3bs3jhMp&#10;SyzQdEJX7zqcxJ6OrF69evr06UZNooBIT5kyhXSpE5dUTATvG4J+KsgIZcNkwwrKCHv27Ek8LkSl&#10;ArGbzllyOwmT/EwaZIrkas8//zylMXXuS70IlQpR0wSGLJVuQYPiIRKlkalTp5rqxx9/XFgwfPhw&#10;R0RL/JxNhrenCpUgNdg83iISgUoRUxoHFUhUyr9pUoUJbJVTXj5+5Ji06dWjx3C3hOPoocMypz07&#10;dtKn6VOmvvjc8906d3m8dZt//O2BX9338x9+93tf+eKXPvWxjyfy0/K2O1q0pChNGzVucNPNt9xw&#10;U8Obb2l0S4NbbrjxuquuvubKq6654qqrr7jyyrr1r6hbr36duvVr16lXy1/t2jVq1qx2OYlKVOry&#10;GnVq1HLcwRrViFaNK+rUJWNXuahW7StdWNuFdbXg4I3XXd/wllsb3drglhtvcsfGtzZo1qgJDdMN&#10;nbnn7g9+6mOf+OoXv/Sj7//gL/f/8Yk2bXt07UZQJ4wZu2DuvMKNmw7tO2CY/o4fPnLs0GGDNeTX&#10;Xs0Js/mhzW9SqZirU1Qqmc8S5I7mcQ44vUrFhCpkE3r8+PG9e/ciF6TWvXt3HDdo0CCsvWLFioyk&#10;3jWIEWWMicGR+7L0K4U6deoU39c7ePBgqVUFlyjIRqGreJ/WSnQkJVZQQizRsYjZO4pq5i47Z5Re&#10;fbcIhOaZNKIiGRo3bhx9ci/3NW/yKtpDLOPFipNUSjk+GNfVxYsXm/N4B11sNHnyZPUPHTrEJtln&#10;RqmxTS03j7eIxOFT5PYzEnAg+ytRKYx89OChXdu2F27cvHHtutUrVi5ZsGjmtOkTxowb8vwL3Tp1&#10;efShh3/3q19//9vfRf2f/dSnP3jHnc0bN7n+mmvr1KxVvUrVy6tUpSvUJQSG5NSpUZMIOWs3cqPk&#10;L6kZ26pxVXJh1epyqZrVL699eQ1CVbdm7irH5VV0y6lqlaskZ6vXSCQtOVXNJXbTI+nlDqZ/ubIO&#10;1Kx1/dXX6uTHP/JRff7+t7/z0x/9+G9//svjbdrKtEYMGTph7LhZ02e8tGjxyuWvrFu1esvmwn27&#10;9xw/ctRUhDLlxOmfc5XqukIpxJQmlJpXqfPBv1CprECldu3aRZPGjBnTpUsXBIdu5syZg0pK89S7&#10;A0YEKb0nL0M7gk+x7ZAhQ9AllcKbmPell17K6LXCIkYRBYmL3FecITshtN26dTMiiyj4MEyImhcO&#10;05LNIQtZsmTJ7Nmz3TfLq8iVsoMvv/xypFOuUj/mMzoT76DrYXwX13PPPTdv3jwCdvTo0fBzKhXG&#10;qRyFPN4yYkohm9I0s0oSqVePHU8zieTRnxRK+fD+A1uLtixbsnTSuPHPD3q249PP/P0vf/3Zj3/y&#10;ja9+7Yuf+/wnP/qxe+66W5rSvHHTRrfcKlW64ZrkYR0dogfVK1f1RzlCmRKtSrKiRGBqVZcnJfqk&#10;WiIh1S93hBT5U6ZYjjsS+kRy1Em05/KkQGw0VbdmLXoTB9M6lzuuQXesdlmV6pWrZMqUNJ42ojVi&#10;5k8GJg+74ZprJVtNGjRs1rjJ7c1b3HOXNOvjn/v0f3/ty1+578c/ffiBf3R+puMLg56dMmHiKy8t&#10;21pYdGDvPgllmlkeffXIsUSrzJ+/VKUyxCRDbj9vrueDM6oUM41CTChq2LFjh3xiRPob6ohj2LBh&#10;CxYsQHApL717gCgBS9oiWdQpJ1i0aBFZ6tu37xPpbx7KDOIre0vnARUT6WiSHhqLxTKQ0aNH9+jR&#10;A+/LTuKLM96ySkXjgThiuuJ4lEGbJjAEcubMmaZRfCMRpzpsKR4ASrlUUDNrytbBadOmkTSRgcxP&#10;ZUd2l/oedAjjzOQqj7eM0KRsSrMZfu3VE4f2H9i5dVvR5oKNa9evWLZ80bz5k8dPGPzsc106dnr4&#10;gQd/dd/PidPH7vlIs0aNr7niqnq168hpsD+1qFerjm2JDCQC4zh5iN1EnNIPlkItEkVJVIqERIVU&#10;olK9UTP9S5QsdIggORuV41p/uWpO5SQqbTPVJDVT8ZNU5RpPupG27xK7IYr+opFUNRMRvaJuvavr&#10;XxnPDImWvPBbX//mb3/5q1YPP9KrW48RQ4ZNnTh54dz5FEtOuaN425GDh3JCFSqVvGuSE6uY5zze&#10;Ak6vUmGfCtn8Hkl/AHjp0qXECWV07tw5XvBDcOdLbRUc+JH2iNmDYR1Zs2YNukSsBk6levbsOXHi&#10;RIKNWPFvsGoFh04ai4FEdmL5qNSAAQOmTp0qIwyVMuTzXUr1AzEJIUugNduoA3E2hIomzZgxg1Yx&#10;JHmVpIpSOsK0dM/MR2smVsdUi3cRpe/mXCOHDx9GpmGiCmGcWSGPt4zU0RPErlCAyx88eHDvzl0b&#10;1q6bN2v2yGHDe3fv2frRx37/m99+71vf/soXvvjZT//3xz78kbtuv6N54yYSpuuvvgatI/r0MV21&#10;lO5DS6QyVS6vUjUVqkQ/Ej3I5TQ5HQqZSWUjO5VIi2vjzy5xohza1HJcUkpXkoOJ2OTqJ48Qk2ql&#10;BCy0LSdRJSoVf+nTxTSHi1u7JG1Tt5MnjelxLVxZt97111zb8OZb77zt9k989GNfuvcL3/7G/8og&#10;//qnP7dr3UZOOWPKtNUrVu7ctv3QvgNHDx6WdFKsQOm5zeN8cR4qtXXr1iVLlgwdOhRZY41Ro0bZ&#10;RXAIJeWidwmwpBEVFxdnucWKFSvQZdeuXVu3bv34448j1nhKhlLhIlKp+FCKNsiGZYR0V3JDOeiH&#10;wRpyjPfcoX4gUyntAMGzjTpOxVlb00WKCLxMlDhJSaWn5lOepGPZ0z8NWgKZeiTupp1WUbKdO3di&#10;z7DMJPLPq1SZwhyGOO3du9cKrl+/fuWKFXNmzBw5dJi06YG//u3HP/ghZWrepGk8wZM5XVm3vvwm&#10;yVSqJM/xEqlIZckfSSAVdCJTHX/oPv5KjuRUKlqIj51CIaKp3CXpZ1EhYNnlabXk2vRGiYAl98pp&#10;UnIkkZ9/fppVLVQt3U1krKRmcrkGE6HKqVRSzSmtJQ8kL68Rout4onyp+NnWrVVb1nhlvfq33HjT&#10;Rz54z/985au//dWvH2/dZvCzz8+eMVPGuX712sKNm7dv2co4g07zJvqWcbYnfjGzUWC+iAapPfvs&#10;s+3btydUo0ePfiX9dzZoJaWjMkAE4EFSSA1v8pbsVMaAjsfBQEqDOcRu9Aq0E02dFNqrAFH/JDjO&#10;P+NeynhT+D98+PBOnTq1TX9BP76kJ5o9UyMVB8k4U+2xtV7Tp08nTk+mXy5uIOIMA8nqnO9Y1M+Q&#10;O3QKTj1rXVatWiUR15nx48cPHjyYUOmVSc60ShDA2Pr379+mTRv5Kz2TbO3bt49BQphoICunlpvH&#10;m2Bawn+jzIuPHTuW/SPWdNr+OW/KUtVt27YJyyZMmNCjR4/HHnvsvp/8VOb05Xu/8LF7PtKiSbMb&#10;rr3uijr1MHgiRSWcntB6Ki3YvNplVapdVlkWok4oR0L3teug9eSTp/QzJNdSC1elapQ8oFNOjyd/&#10;6Rt9Kst7EjXKaUbkT6X+Qi1y25x+JE1lx3UmSYYqJzdy6+Rs3CW9UdLzrPPpNh1Oku3lulQt6Um8&#10;7K5+NJXWSWqmN6rpKhWuu/qaxg0a3nPX3Z/91Ke//pWv/vj7P7j/d79/st3jQ14YPGvadKHh9u3b&#10;zXzMNuSm+xTkg60z4fQqBZlxR8EM4pepU6cijlCpMWPG4BoHg+AuHIQEnQVjAi6jFjg0d/rNOJX7&#10;SuvQSYjKp0WuRim4tZuSKA3GQypR/HPPPWfIyL1Xr17yKtmA7kXl0zZScZDOZe4dv/jWiQEDBhjI&#10;008/PWTIkJdeeimGYJu7oNyQTHc6V7ZJnL5yJY2cP38+QyJC/fr1o1VCn7lz5+qnszSsT/pryLo6&#10;bNgwBw8cOBDGmcc5ImgRohyODHYjbYL4MggQ/4ljwtrp03e+852PfexjN153/fVXX3vNlVddVa9+&#10;/Tp16U3yaVPypkM8T0sFo0Qn0kdnyft4/lK6TyqgdbvVKlepWqkyAcP+Grm6/hXI/fprrtX+zdff&#10;2OCmmxvd2gDXN2nYqOEttza+tUHz9OWF21u0vL15yxZNm7Vo0vSOFi3P60/Op8HGtyZt+ovX0GWB&#10;hPbGa6+74Zprk7fe0zfXdeaKuvVIoz/KdEWdujRV5ykTQYoUKnQrUbhUqEhUpGvKdWvWvrr+leqo&#10;qcFbb7xJn+/9zGd/+bP7HnnwofjkFV1s3bp1x44de/bsMeexCpYjXaUcHInFypA78W+P81OpiekP&#10;1IptJRZmX8CL/sqK4DQV2Y+yFaUTRMKu4xmi5knInUvPZlRYGnqo5aDjOJvVPxUqqOnuCoJKpDmy&#10;5ItZu6Q/GxFfL+usFpLmLh6VorhyF9RvLB07dpS7kFtnnbLNXVBuSKcqQZQjCmFC5MeUjh07FjkS&#10;KqkV3Zo8ebJooGfPno8//ni3bt3inx4fOnQojDOPfwkcF54L2RHKFEF97HJqjFmc/pL3iBEjzPMD&#10;Dzzws5/97Bvf+MbHP/7xBg0a1Ktbt+pllalL8ndZZUoTz75Sdk4TnTf/5VKN9FUFSVXVSpdVqXSZ&#10;Cx2PV8llHjSP6nzkgx/69Mc/8blP//eX7v3CN7/29R9+7/u/+Nl9v//Nb//8hz/+6fd/ePBvf5eL&#10;9OzarX/vPv169e7ZtXv3zl369Ox17n+dnunw5ONPtH7k0Yf+/sADf/nrn/9w/+9//Zuf/+Sn3/7G&#10;N7/+la998fP3fuKjH7uteYtbbriJwFAgva1y6WX+jDE0VfmyD1xq4MYVH4lR3GRoyQdsqUrVTFLD&#10;ZDaqJame43JEikXwrr3yaur4kQ/d84XPfv4HP/jB/fffz+MGDRo0adIklEKoMkGKpQnEikCs2kln&#10;/51xfioV/3glvlHNjMeTsTIkuFCpgMYRE9AqiLwKQm9sM8TxQPCgClkdB5XjeNwFZes2xO5JiJrO&#10;2kbygTqfeuop2ty3b18BfnwlUunKUa6YiB6GSsmcRo0ahYxCcSUuBhgVTNGZZLusEDfK4EgshIjE&#10;fIo3iZM8T7ZKRxXidZX4/EysoDJKDePM418Cx3FbmnS85Afl7CrHE7+jR49Kofbt22fmJU8s/Le/&#10;/e29997bsGHDOnXq1K5du149ClW3Vq1a9WvXTT6eqZE83cLR/nIqlaYR6d8/VcpBKUh8ZiPxSl+Q&#10;u0J6YXv1FVfKY5o0aHjP3R/8wuc+/+1v/u/vfvWbR/7x0OOt23Tt2OnZ/gNGDx8xddLkOTNmzp05&#10;a9nipYWbNh/ef+A1jP3qiRPp6+9J+Zz/9u3as62oeMOada+8tHzRvAWzps2YNH7CiCFDe3Xr3qVD&#10;Rzf96x//9KPvfV9P6GWzxk0kQEnWeM21RFSOdVW9KyRVV9atZyzpZ1S5R5oGSICTp4iESvIU7yiW&#10;fLRmBgzfNn08mDzzNHuXX3759ddff88993z7299+6KGHhGJMndnv379f1BVfd2tFEKw1Ogm5tfy3&#10;x/mpFB7BcVSqa9euol0CsOX8Xww7CzS1Mv1GVzeStaBUGRs5dK+pU6dyp1mzZs2ZMwdnLViwYOHC&#10;hYsXL8a8r7zyiqtWr14tMLf86Ay0hgpDn5QdD8TZQHrPM8LotK8PIcxPP/10fJCjzUT9UtDOaL+C&#10;w8BtDccQgvqlKRIU82YeYqLOZU4uEHGjmDoFR9xRwTSKMWVUujRkyBCeTKVMeJs2beR8lsAS79q1&#10;K/tAJY9zBKaL2DxYD9Ditm3bRCfTpk17If2CRPokefr0pz/dvHlz+nTJJZdUqlQJt0L10goUIhQv&#10;DtSqnbwRXvJRkOPJo7Cq1SRPKlAjvI/97/3MZ7/19W/8+Ac//P2vf/uX+//4yIP/aN/u8e5dug7q&#10;P2DIC4PHjBw1ZcKkWdOmL56/YMXylzeuW7+1cMuubduLNhfsKN56aN+B5AuZdPyt/r127Pjh/Qf3&#10;7tq9c9v24sKizRs2rnplxYK58+bPmUsLp06cTBefGzBI4iVR6/DU060ffexvf/rLr37+ix9853tf&#10;+9KXP/+Zz95z1webNWpMsQwtefqXvIKRiFA1aWXyF0fSz8xCthM9q0HGZJCXfeCSSu//QKUPXGIa&#10;Sf51113XrFmzT37yk1Krv//97/Hx9syZM5HM3r1743vZY5lyK1eC4N7czr8rLjSXKkOVCsKiOiNH&#10;juzcuXO7du24EFHs169f/DvQZ599ll9ZXUSGuXRm4sSJnI2qES36sWzZMrkXrYLSuVdwYgBRQtwu&#10;7nsqnHJheDK6ZFIYU4wftK5C1rIkL1qryCBRlsmg6Lq8pH379iZWXmgFTZezhmBmVAgxKyfEXSBW&#10;BGI3WY8UVm3p0qWSV0vcu3dvEvXoo49SKQstBNmzZw+VOtWN8zg7Um3KPdxDiFZZNMChcOX//u//&#10;fuhDH7r11luvueaaK6+8UhZVs2ZN+ROtsq1evXqVypVDhEKlIl0Ipk7+0rcSkpyjXv2r5ExXXiVn&#10;anjLrR//8Ee++T9f/+0vf4X3e3fvOXLY8OVLX1qzYmXRps27t+84uHffkYOHjh0+cmjf/v179h7Y&#10;u+/gvv2HDxw8evCwg/FvY08cPXbi2PHXj7/q7zV/x9K/KJ/bX/KPkWUph474Uzhx9Lhm3Xd/3G7/&#10;QYmaW+/duYuG7d+9d/f2nevXrJ0/e+6o4SP69Oj5eJu2D/7t7z/54Y+++sUv06pGt9wq04ocS4Jl&#10;S56TR5qXVa6ePuhLpyWV8Jq5PDLNQZN3RkhUJKZwxRVX3HjjjU2bNv3IRz4itWrVqtXo0aNXrVol&#10;ApPaMm9MG+sFsXzBvVH+t8X5qRSajo8KqAiFwNF4DdEEDV0ggi7jPTQ6FLI0ePDgoUOH2gUFkGPZ&#10;jigBSaNYFlv6FRg3bhz+JTASr/nz56Nmyrd8+XItMwh9xo9udyaVchynUyORjrs/88wzTzzxBG3W&#10;AXIY12aNXBS5VKZStJzkx6/I4ynpqYE4ZQgWsbxVyoyFtKfa9E/EhAdUiBfQxQTUtHXr1ubfElu7&#10;HTt2yAMy783j7AimA5576NChWH0Ty5IffPDBH/7wh5/5zGdE9/Xr169atap4X/502WWXUaYQqho1&#10;ajhoG1+IJ3PCwklKkb4ZIXPCxdddfU3TRo3lTF/83Oe/9fVv/vC73//NL375wF/+9vQT7fv27DVs&#10;8ItTJ056afGSjWvX79i6TU5z5MAhYhP/3DX5qtbc9929+e+EHueSoWTXasdfVuG8/nJfP/jPBOuf&#10;p7K/km4cOXRYP2nVkgWLpk+ZOn70mBeefa539x5PtG33j789IB384fe+/+V7v/ip9PtwmzRoeFW9&#10;+jWrJQ8AQ7wpVuVLK1W5tFLVSol0JS+SVK1WrbL/q5lVW/MMymaVXJn8e++9VyLLGYVlc+bMETIK&#10;I0rLVbaOsab/tjibSoWG28Kr6Zvo2F+QS6Xi7QnTyvoRTdDQBUJTtnhKs0RCKgOCa6Hf3PQn9ajO&#10;jBkzaBgFopHUiD4RLQmWjEdygNp0LH5sRtJg7SPlQsdaoFjyLXwnMA+6zEgzieRLoA/ImrARPJmc&#10;eEdWh9PdUWeiTqRQqmlBIe1+xUXIT/BU9tacIMA0Sl+cMoRQC8hdUw4w1UTdNpsxBXAQzKSeECqr&#10;Y5UFIvL1yKfFCnpeXFycqVS4LpxU/jeFob/573XOW/LPcnft3Mlcp06ZIrLEiV/4whdatmjRqGFD&#10;KdT1119fu1btqlWqIFHKFPE+Dq0ClStTKSkVZUoJFxEnuQJxkjndcO31LZo0/fhHP/qtb3zzj7/7&#10;/ZOPtx/Qt9+IocMWzpu/8uUVm9avL9y0uWhzwdaiLfv27JEk5f6J66sn3tTPEKpT/iKF8pfsZpVL&#10;68q5/2nhVW2+/vqrydfjvunrzHN//6zprGTu6KHDhw4c3C9z35GkWVsKCjesXbdi+ctzZ80e9uLQ&#10;Ts90eOCvf/vh97//+c987rbmLW667oZrrsi9/SinrFOrdq14Gz79J1xyzUTRL7+8Zo0aSYbq/5q1&#10;alxeg1ApXnP1NTfdeGPjxo0/8uEPf+c732ndqvULzz+P94q3FO/ZvfvI4SMnXk0+qYrhJ/ZNt6QN&#10;uXKySU79e+BcVYq8b926Nf4JS6gU9qciZSVRZwL+kgCtSH+hfNmyZWRm8eLFixYtCtGiWJMnT5bh&#10;UaPhw4dLd5AvPPfcc5GEOSh+zJItwkZsiJaBRKalQY27SxbjK0QiJZOTRQnnyZ52SFRUCJINTkes&#10;0c8KC73V55AfXG/5DEqC8vzzzxtjqFSGGNrbDMqke3HrSKcsCgW1jiRKRiX8Z2xGkT3xS3w0RZSz&#10;wPPdjVNHqhzAs8mnOCUf5GDbfbv3bFq3funCRWNHjurZtbts4Dv/+y1JQIObbk4fWCUfn/ijPXQo&#10;+ZQl/XoIR9JXJNJ/C5V+4iK1ipcpSFrz5s0/9rGP0blvfetbv/jFLx555JF4xjAl/S1QCyeMwBU6&#10;CbkuXswI6gPj2rVrl+h59uzZmESox4n+/Oc/33fffabi85///Ic+9CF6c91115kr6h75qELlyskr&#10;gsl8pp9pxRv8ycv66fsXMclX17/i9uYtvvG1/7n/d7/v1qnLkOcHz5w6fd2qNbJP0p4oqP9o9+Gj&#10;rx45mpQJ6tHjJyIr/ffAeajUtm3bpDUE4MknnxSXWS2mid/Lldo0DpSDD7gXVmUrwm3SRUsIDKVc&#10;vny5noSAER6dpGHicWok+ZPzUSl5VXwfD5q2VXaEbqlAriLH0rKo0y2wuVM90t+HRZTSMlqoQipS&#10;OZWCVKfKMfkoE8QEKphA0xJfRSjIMHwDD5WKgbxTKuXWZjVyLCpla2UXLlwYS2D+Q1PN/4EDB+J1&#10;tUAYqgJbzXbfxeCGhl9aANJpSICwks9y0l+XSL6tfPuOgg2bJo0bT59+9+vffPFzn7/r9jsa3XLr&#10;9ddce0WderVLfpOJCNVN/oVQ8kAvYcxS/1jVrrLk4Morr6RPKPiee+75xje+8Ze//CX+PQb/euml&#10;l/iLFRS/7tu3r7REJV26+BFzm/Jf8iv4zA8HchPmin/EytgDOcj4//CHP3zta18zRTLU+vXr06p4&#10;VbIWjU//IXMaEMS3tifTS6vq1Ur+YZYMzJ+44ebrb2zWqMnH7vnwt7/xzVaPPDpy6LCXX1q2fUvx&#10;4YOHjllWyaXMz6SaWnN8/NXXJKZ5lWJq1kbBNso7duzAHfFRDZqTo9hFc+VNbcGhkNsvYd5A7lAJ&#10;HGFDeoXpeBFLols8SgpFq3SeVVGpeBEjki3HKZngXaAUCocf43ekqBSiFMhrJ0YayN0s7VuuVIGh&#10;k/pMg81D7969BRndunVDNEaKZTKVgtJDezsRUYiF0xmIdHbu3LnEiaWRVR2mqdjwcPo9fgwyrBSJ&#10;JKT4b5NLnX6YCXm9kbwvcOTYvl171q5cPWXCpOcGDHrwr3//wXe++8E77rz6iitF7lgSRRKkRIfi&#10;CxRSulRO/w1QolKJeqVfwXf91dfe1qz5R+/58Kc+9Sni9Mtf/vKhhx7q2rWr2JRbZQvh5iY/VkTf&#10;0qVICqfv58WGGJHIwABjROnIckOjysXFxaw03ki6//77f/zjH3/961+XWsk477jjjgYNGlx7zTVX&#10;1q1Xp2YtM1wt+VL2f35jU6xF8s+wUhkjXbVr1FS5eeMmX/vyV/78h/s7Pf3MsMFD5s+Zu3bV6l3b&#10;tid5VbLQ6WPMNLvyFz151+NcVQrkvHIO7NYhhUzfCuFu7JYjm3JARNmgAKlGJIhdiN1c7RR21Zd4&#10;oWDULOoBWRfvIqv6PHPmTHw9ffp0amQ48Y9JgbWFhgWVP/bYY7aIknppwb1yN7ioEPJjQsyA0C+y&#10;EwNEN1JG2kAVsponzeTbA/e1jdVMO5t0w/IxNgFE/Bvkp59+2mLJoRkhdmCNpa3UNuOOdzcM03hP&#10;GnLyCOj4q0cOHt5RvO2lxUvo05/+cP/Xv/LVD915d7NGja+7+pr0H/0kb0vHHzYkVLG1G4oV37yQ&#10;fKBSs9a1V1519x13/u/Xv/GH3/6uY8eO8dn+yy+/zJuszu7du+MTft3QBz3B40Hl0at/dqwEsXvR&#10;Qc+z0cXQjDF2pVZ79+7FMKJbpBGxFCBGM9a2bdvf/e53X/3qV2VXN1x7XfKeRfXLSVR8x1IaHyRZ&#10;bPrPrXJf+ESukiWoXee6q65pfGuD21u0/MRHP/a9b32n9SOPPtt/gLxqz85d6U8vnnj9ePLx3on0&#10;F1VyHX2341xVygrt2bNn2bJlI0eOtCTxEEZ4izi2lHzVXnkAc6UilUNwWaJLpRAHIVepBHFQBe0E&#10;/UWDbEuo/kr6A32TJ0+WTkmtJE+9evUSLbIztNiqVavWrVt3L/kdKWwejSR9ShG3DuQOVUhEn5H+&#10;8uXLpYySEoxvsMYlQTRLVCobxTsyljR9+ufHe/pgjUw4Y4u30jt37ixWlfuSVcPJong2GZQR9pma&#10;7bscRoof6XSMOo4c2n9ga2HRS4sWjx4+ssOTT933459+5EP33HTd9enju/RHKCJmL/n2VbKUiFP6&#10;fnn6ecnliTJddXXDW26967Y7Pv2JT37ja//zu1/9+snHn3h2wEBmI2Nw0+DoeP0sCsEMGU5aArsQ&#10;p3KHLjbEECDKxsv2iNO2bduYKPsU7OJDTCi0FexiEnyCFdktSqFV9//h/i9+7t5PfOSjLZs1v/mG&#10;G+OXTZKZj1ghecki+fdnySuU8bW2uW9HrF6tchXbBjfdHN+01K93n1nTpm9av2HPjl3HDh+ROicq&#10;dfzV6Oe7HueqUgr79u2jScF0VGrAgAHxaU1p7i5zpPz5T+SOpnDfQG6/hOCiJsRBFaKsgA1jNz7i&#10;Ilf6j6xlS2IikbtB4cQ2bdqwMIWIIrNEKrlZye004mDcLo5UWOihwdLa8ePHx9rFK4uSFafMiS2o&#10;GcN8RxBzqxv6QDuplEhiXvrvfEUPjz/+eN++fTm/JTt48GBYJuIIlQoe+XdAeGW4pO2RI0dkNgLt&#10;sSNHPfX4Ez/78U8++6lPI8Qbr73uyrr14jkSEUqi9ZKcKeHH9CU0B9Og/vL6tetce+XVd952+9e+&#10;9OW/3P+n7p27jhgydObUaZpFizt37jx06FDc1FTbJrR9ZuQ6mq6OTgZyhy425HqfgiozPPrEAufP&#10;nx/Rrchp8ODBI0aMkOjPnDkTkxB1dmvLdLkYDevTo2f7tu3+8Jvf0n7RQ8Obb7mibj2rkPtoME2q&#10;SJdFoUw10p959Jc8IaxchXrdcsON8qr/+cpXtdCrW/dZ02YUbNx0aP9BeVXyAPDfA+f69oTC/v37&#10;MUh8tiHhwBpjx47FdJFnlB+Cv3I7KXBZmizlsiVHsjrZwZR4c+KUXPNmwYs6DtpGU6TI0ARESDz+&#10;mY5EHi2KmEhaVA6RiwazRhSS1iswjG7NmjWlVYoYT5o0yRFn44WFGEUM822G6WVCOmBibWNWA7zd&#10;orC0eNNy9OjRKCDeoWCQeFABfZQmx3c3Eh0oeQwlqBd8iKL69+n70AMPfv0rX23WqHG8HFEv/dbU&#10;RKLSp0n0KT52Uk4k6vIa9evUvebKq0T3LZo0Fel/5Qtf+vUvfknnxo8es/qVldu3bN2/e4+YPV5n&#10;l0i5XQZsoAO6EcwQ5Qy5jpZQfNTJHbrYwLSMPfdC/65d/Gjp0qXUiB3Kn/r164cucKDkiW7Fq8Is&#10;WTVbYmZ14OWlL82YMlVW2vaxVr+87+df/eKXPvqhe1o0bXbT9TdcWTd5EpiksyVxA32yOkn6mzyP&#10;Tb/JN1nNOjddd8PtzVt893+/9Uz7J8eNGrNs8ZKizQWHDhzMdfTdjjOqFINjZAphbQoWbPv27bxC&#10;bPtU+hU7ggjLY0ky7s5w0m5ZIaXTBImwpMBldnOnT6dSQF3idWfl7LhdVqWsYAgIkSbFPydq166d&#10;0YmPBEesLS6BtLEccodS5A5VVJiTTKW6d+8eT/zin3+ZKMOPSVPzHRlLOHZ263RGE+iYyZ87d67e&#10;tmrViriKXuNNv7DJMNF3n0oZDjGIMUIcVAiFMF68iTTFT7jykUce+e63v/Pfn/xU00aNk2+Ni7ec&#10;U30iS/FMSaF6+qJ5sKEj1119TcumzT7335/5+U9+9kSbtgP79Z86cfJLixaL0+nT0YOHT6T/vElP&#10;Tppbu9Gr0gWIU1EIxG7UyR2qqIiu5nZKjRHjHT58WDaJKBYsWMB9hgwZkv0TF/okhBKmi5xWr17N&#10;hsOAMzBgWL96zfKlL82ePmPc6DHPDRzU8amnH/r7A7/46X33fuZzzRs3TfKqCCDSn7NKxSlZoOQv&#10;/dlG2ZWFu6JO3Svr1W/WuMlXvvDF3/3q17Rq9PCRa1atZgkxvQxDIes5xIhsnSo9uosRZ1Sp0wJB&#10;LFy4kEq1b9++S5cuFoxoYRkykOUZgdjNLdc7jejPSV1SZnxxhEQJkVieQSFEmaIoiQlKsJx1oS3e&#10;TC67CEGBxHRIbcKECZlKcbnFixeHa4VKVZz1ghAqpiUMkvm1bds2VErEGt+Mnvkh7r7YnfAkZMwC&#10;2TAVHDx69OiOHTtwInMVUf32t7/9zGc+07hBw/QV87qi76C8JEJPC3WTn3WvrUCl0N91V13d4OZb&#10;WjZr/umPf+IH3/muDEweNmva9HWrVu/bvefw/gNHDh46LoU6djx57zn9lzr/DsimOmYb6BMzo0+c&#10;4uWXX54+fTrbe/bZZ5kiZhg3bpwjQlj6FPmTbcR5J4ENF27cvHHtejO8ZsWqFcuWz5k5a9TwET27&#10;df/LH//09a987Z67k68KvOHa60QYNCmNIXIfIlo1aVYsKMWyoLaSqrtvv+ObX/ufhx/8x+Dnkx9d&#10;E3/HF9dGuFZ6FDG0EDCIwV6MOD+VsniC2YHpP7eMB0dWK7j+VOQWqsIg160S0J6gZv2ntfLC3r17&#10;GxdC7N+/PxJnAej7/8/eWfhXcXxt/L94W4h7ILi7OxSKS7HiXtpSvAUKxT24u7u7u7tTCm1JQghR&#10;JNjv/e48l+1tEmgoIQR6H/JZZndnZ2bnyHPO7t5duzJLR0MfGz5SlmJU5FLHjh1D38huCR3WrVuH&#10;+n3yLGVDLsbOq3BDUBQTAj8NGDCgZcuWFStWzJ07t76NZFybeeee+cOpuWfKTPJkfklqXUfKlS07&#10;Du6r+g27f9dt7KjRq5avgJ+uXLgU/ufdhNg4mOnFs+cvnr/4i5/0998A08s8S5dYPnjwAA3EQPbt&#10;2wc/rVy5kixq06ZNWM3evXvZjjURwsJPVjBlLlOzdOju33HvbtjdO3/8efvO3Tu//3nn95vXrp87&#10;debg3n1rV66aPGHigB9/6ty+Q+0aXxbMlx8hIkGCCUUbpFD8USbUsKRpHmRnb0hQMElV7S9rdu3y&#10;TWho6JYtWyBLCBXnzOBtOE7MnJrOzrH+EeLtWIqTx6eT8OpBuDlz5uwy75yVqBCJcekOSEgZAeiQ&#10;rUaOwRmwiitE4UjeORfOSN5QT2lzXpATR3EsAYsyqo8RjP/jZamjR4/CUmPHjiUqWr16NWfxX8il&#10;FBcDzo6yrjshRJzm1KlTO3ToUKFCBfgpICDAetuefi7q7YM7o2Bub1h05elm/fIpwNcvJChLkQIF&#10;a1Wv0bFt+xFDhq1dtfrk0WO4zviY2CcPHz9zzpz4M7/IsS73mT/HmD5pKBRgnlmSrUZFRZGtEg3o&#10;ZyrE4itWrMBFHD58GJMhTnK+Ri1PAqS3SWGY6fdbv9259dsft++E/f4n005qdePqtUvnzh/ad2Dj&#10;2vVzZswc8GO/Jo2+KluyVIE8+XKGZCctdr70Z56nsG4umqt/1qsUSbmyZclatHCR+vXrDxo0iHFe&#10;uHAhIiIC0+AUBDu+QYtYcnaOs/0I8XYsBZh52Hum+UbRtGnTcHZ4c1tsDollJH8HLI76O0uJexjz&#10;5cuXSQeXmt/l6aEJlPLQoUNspxrkRB1OUAeaxj4+cKYf6RU/WArXoJdyIRpC2nPnzv1HWIoTBPga&#10;YmQckK589u/fv3nz5iVKlAgODvYyL4QFVsIERZkHmvFlODJ4i42sBvsH5M+Tt3qVal07dwkdM3bF&#10;0mUH9+6/deNmzP2o50+emrfbGSpiLl/RkrXqXP4PQD6d2YaiwsPD0TEsheQJt0BgtG3btoMHD548&#10;eRJ+QiHl6GygqxjOa0PYO7/fZf9vt3//7bZYKuLPu+Iqtty8ev3CmbNktORVE8eH/tS7b9tWratX&#10;rZY7ew4kCCchVqINt88zQUv+3sjXF7GaX16bF7F7emXPnr1GjRrdu3cndmGcpHexsbEiJ4DmiJyk&#10;UTrZjxFvzVJhYWEEdBgMzg5s3LiRqUF4Sn4lMPk7iTAjwOIow1IaHgVdSiZTxgmijtOnTx89ejRE&#10;pWt9Z86c4YyUP4mlMs65/Atw7h8dSwHmHNUihphnXnA8ZcoUJEXM+F9gKcAJcmoJCQno4ZEjR2bP&#10;nt2lS5dSpUqRQvn7W9/W0/vLrdfwmLhbd9r1UV28W0hQcPasIUULFmpQp26/vj/CT2dPng7/4258&#10;TNzTx4mGnKz3qz57kvgi8Zn1GnJnZlJqpb//ADThzHZkZCS2v3nzZvwbNoJzQ/0uXryoKBzID9ir&#10;8ipS19ch7Pc/SKf+vH3nz9tWXgU/hf1hsZS18c7vt3+9RV51+fzFY4eP7Ni6bf6cuT/26lOtUpWs&#10;QcFkUQE+5gn1zzPDTNY3Qaxv+VvXA/kzSZU7CpA1a9aiRYuSVP34448YyHXzYnVIl/NSiKMTVOEj&#10;xVuzlN6TRI6p31qSC+PsmBrcujydWArh/aP80g0ajD02xsloSeo5ETQSx63fjeMI8N1nz57VFWfV&#10;58DU6GJGBuP/GHMpZKQxIxdYivR969atiOY/cl+KE3zw4AEzgK2R5bdu3bpkyZJ6h6k+BkEBJ2UB&#10;ujLfz/XIZL2GB4oifypXukyDuvW+6/LNlAkTcX9XL16OjoyyLu5Z3PM/6xZU4lP+XpobUTAW+ZN5&#10;R/ir14Qzo/r7bwAnfu/ePSgKHcOn6VdQ5K9ERbgC/IB9zR/NFEs5+wTKzqt/gY1kUb/dsdKpW7/p&#10;z1p99c74u3d+ZxdMxpbrV64eP3xkzYqVQwf90qp5i+pVqpYoUixH1hDiD4/MbojVCkRMlkzZuvrn&#10;boUpqIGfn1+ePHm++OKLnj17zp8/n8gbWyYvJH+yc6n/FktFR0cTXCBLvMaYMWPwd3oDRUZmKUGq&#10;xtjQMGj18uXLjByNhJ90rW/58uXoJWdB8iT3zSE6HaBGPkZ8jCzFeC5dunTixAniWTJdZIT56YNY&#10;/4VcCp/CaaKly5Yt69GjR/Xq1XFDOCOvvwOucnOzXroDS/mYJyZIqvLkyFnVfIdw6qTJ8BNu8WFs&#10;3OP4h48THlrv1IGAnj23Pjb4xHxKwyRMz/UyU8pQFAXr9erWm3isl/H8B4AuRUVFnTt3jpgVJ7B2&#10;7VpSKKJVxbJA1/zxHtJMPBvGwqr8ib3RUtwkuGOlULrQF/7HnxT4M+Rk5VIRf4aRY5FOWaR1+/df&#10;r12/dunyxbPnDh84uHr5ypFDh7ds1rxEkaLmY8HW45qiKwTtT9HdI9Nnn2fKlAkFIJ/WS4GJY0iq&#10;SB6wlLCwMBLxx48fc4JolLKrjxRvx1KIMz4+Hqd28ODBefPmjR49Gg+yZcuWI0eO6LKYvJ5khn+X&#10;pDIIFAGhVSxRwX379kFRcC1CnTJlCmW26NcPDB44DvvIwfkCpIPLI8hCasoaMUVWFSfqfDE5NNtx&#10;2CuwXRzmWE8viKVwFosXL0ZAE8yX4qBVRoj7Rg+ByImlIBXNmGB4uvNhDztFwLiEwAAvtnfX7mmT&#10;Jvfq3qPOlzVzZcuBh/I29yQsQvLEXTnetA1NEVN7eXr5+/vDZJUrV27bps3AgQOnTJ6MVd7+7Tda&#10;U++E1ZargqWcoITpVfmvPxuOkX0S4HSYYSIA58iGaSFnxTrw7FAUYYF+Sgg5yY8lZyAsxYSvf8Wv&#10;lv2kzFK/o7F//mE9Tmz91te8UplD2MLBYXfDOPjWr9ZPgO/cvkPN8PBwRIbmHzl8ZOOGjYTO33//&#10;/VeNGlWtWjV/vnx6zzpw5NPmMysoA7rBX6CvX85s2YsWLNS2Zathg4esW70Gwrt3N5zoxEqXnS7e&#10;ooRMAqDg2JSx8dYsBTlHREScOnUK9wFL4d/xd5CWwg2bpQBSNILKEGA8YimU6erVqzhognS9IxIn&#10;OHfu3G3btqGa5Bw6hU8GMiTOHUs4evQoGQkZ8LRp09aYlwVzsoiJvZw4FYA4CcjwbDiaSy8wDCIG&#10;/IVuSpH/6TH0+/fv65eMgnyN5U0ztj9leK9jKbZzRsCchHU7ikBwz46dY0aO+rpJ0/JlyubOnsP7&#10;1WPlAeYRCd9XbzyyfJOfPw6LvAqKqlat2rfffkvghXozgbg8GF3d0SzumKU6/W+CqWC2BedpwUCO&#10;HTu2adMmQlXcwqFDh3QvSlYghcRMICemFC6xcihDVDIuVXgDdKzq06ZCRryQInsqGAuz8jP2YokE&#10;yqg6+g9xwpqTJ09u3749ws2bN29QUBAsRQ4N/Hx8g/wCgs3vEEzgYr2PMTgg0EqmK1bq/t33SxYs&#10;PH/6TPT9KCs5fmEl6EDnzonbhK3Jych4O5bi9ACqzxSvWrVKTxwsXLjwwIEDODimm1nWXGMkqZFf&#10;+gAN0JCkBLodhb8eMWLEqFGj4CpcNmrKLsaccYadVuD0OXes7vjx4wsWLEBqpCZLlizBBpAjFdgL&#10;KGiWqAkosMqxpo30BgPQr/1tltJPegl7cSu2mVFALSmrkGGhAWucSYbKKmeETZH0PHr0CIls2LBh&#10;yKBfGtVvkCdHLhwQVORlPqOnR5P9zRbrWT7zZlI/L5/cOXNVrFixbdu2w4cPx8+SccbGxqojoC7o&#10;muliqU7/m9CE2GBCCA6ICc6bl2jDB+gYBH/u3DlYBCW09R+fAMeIbMQ3IDW+Qp6HpY5lKWOkfXiI&#10;fukLUCBERnAsIScKLCljsLt27SINGDx4cMeOHSGqfPnykTSLpcihrfeM6GKv0RCiGXTD7fNMAT5+&#10;pYoVb9+m7fTJUw7tP3Dn1m/RUQ84XwBL2VNh+PojuBL4dizFKcnSEAChR2ho6MiRI6F6Yl6sy3J1&#10;v/2GMBAMXkZyyjhgVFAp4pfvI6XAX0NRK1euJBfUhT7qcAqOAz4J6KQEMmDIibOGm2eb72ZhIQR0&#10;nDL2RpyI7JIcQlntpDMYEla6z3wWATUjGMKJYLREsnhzKaGsjrJWHTqaIWG5BAPHupOb0ODhp4iI&#10;CE4ZhWzatGnVSpXz58lrvYfU+lZewKv8yfrRDPFygK+fnjsP8g/IFpy1YYOGP//8M/zE4cgrMjIy&#10;ISFBM0P7UKDKdGrNlCudMqDMzERHR+Op9uzZg10sNq/Pxg/gJXRlSJA5UI2N4G09mw63PKMBq9ga&#10;S9I13A5edPXq1UTJUNG6deugSZbO5eXLl5MGTJs2bciQIV26dKldu3bhwoWDg4Oti35u1htpiVR0&#10;0U8/rqJAZMMfOVbh/AUa1q03dNDgjevWnz97Dh3jxO0ZsPTPQDOTkfF2LGWrOx4Nkp8+fTosRUZC&#10;JIK/Q7qIkHhBQnVIKQPABD3W7ShiFmkkycTQoUPhV5wgKQVxDWOmZkYb+btDRsISEKPhy/S0iN74&#10;fujQIVzbhQsXdIsYCToHiTpKh6u1dAM9KqTQj/MY86xZszBp0qm4uDj0EOtiKYUEH4Wx2TDOwcpv&#10;oBOyKMAk79+/H6G0atXKipfNpxz48/e2XiphRcrGGXmbLz6wNzggsGDe/NWrVGv9dUuiLdwZYSKt&#10;qVl8EEsmx77Io06Nd/qI76K/O5gEyAlQYGZQswMHDsAKxEDM4bFjxzB/NrIUo9hAQEng2PFG01AF&#10;25owMVgQV3nixAkYkR6hxvnz5y9YsAAq0nKRAX4JU121ahUxNESFy2LXlClTCEfat29fvXr1ggUL&#10;ZgsJCQkKtq74EbVYeuL4pqKlJK9+QpcnR876tesOHfTLiiXLCFKJYKQGhHqcPhryUejDv2QpzvbI&#10;kSOKcyF5CkePHlUYgkgQYUbz9QyJ4eGUcc16ZgwgeJwgvhuNlCZZ7vnTuuKHbXDunBQFnD5R28SJ&#10;E8mlhg0bpscamQH8I7twc/YdY80DoGxFgB8ov7xh3vmNByGqYNiYMeEnCd9jc2vK4iijkBgekIpm&#10;fGi0DBvgI2JjY3WVb/DgwQ0aNMifP7+/v7/Tm3I8PTK7WT+XMR/NM09PeFDOlytP3Zq1B/X/eeWy&#10;5adPnUJMkLc9FcDRmRPYaHGUi6XMm85ZPnjwgBANhwAfbN68+fDhw7odheIxnxSwBUEWQQCnGE4W&#10;Ye+SrqYI9sJMFFBaDtRzxcT0OEyUGYqia0ySMShnYteOHTt27twJhxFPAwrkA2whmNbnQubOnUuE&#10;3aFDh0oVK+bIGgJFebl5oCTWfSkTwbh/ngnNyRoYZG5Z+eXJkatGtS86tG2HvR8/fpyQyNYTWZBj&#10;ajIw3vqKH+dGQb/kUJzLlM2ZM2ffvn1swc0hDISXoVgKlWJguh0123yslqhk3rx5jB9yxRWifFRj&#10;2CxV/mSAnQAJBSpCywnYYWhiizFjxpCgYDBsxAaI74i2MFToXKbFUSxlk6ax9IOGzZhRKlIoAgu9&#10;6wSRXb9+XT+wl8+VvQGpaMYHQzUM5Xh7LBSFh+rfv3+tWrUCAwM/++wzb2/rRQPW+/cMS/mYu+Kk&#10;UFbBywenU75M2eaNrfeNbt246c6t3548dlwCpXGmBf/LUluSQAP4z8IxC4aooqOjmXm8P4kLVAF5&#10;oFe4At2R0m0L6SHKjzcj/maXIjlWAdupQwWjsCmDvRxIsxwII+oSH1GX8idSJVZxSiRVbGQksBSc&#10;RHqHX4JRsEds1rpzde7cpUuXsE1W2Q6T4XK7d/uBZLpY4SIhwVngJ5NCWb/v1mPrWQKCAn39FNZQ&#10;oUjBQl9//fWMGTNo4d69e48ePZKGsHTMTgbG27GUbQy4Caae2YT/hw8fjhPR728QBrJBeOnv14Dl&#10;2IzSsHRWIBTlwoUL8CjugIBi/PjxeGfiFxJ8PDIVpJT/4qJzxoeZEgdLYSc2T5OaEJQxIZjokiVL&#10;Vq5ciamsXbuW3EVytCVIAdiTaUMc9p5Ad3TKmBEQESUmjeD0+gnOglSecBhttBUy48Pyjq/AsHGU&#10;eAocHzPfs2fP2rVrk0Vlzpz5//7v//z8LOeiP+tGlJdFUW6fZ3LPlBmKqv1lzd49es6cNn3Pzl2/&#10;3/ot0VCUPQ8sIT8mB/6joF0UxFsayX8BZpqTKgZbmASW5OIoGJyBEyChIZFF59mC+cuDRUREsKrb&#10;tNoIT0APkBlOA6LCpUg/ATUFKssotB2wET/JseInaAlzo1Nsbdu2bRASfEMZfsIYAX4JAqMC9El3&#10;0JI6wjUBkShbYCx877IlS0cOG965fcdqlarkz50n0M/f69UnWnSJmATL/fPMBDdB/gE5QrIVLVq0&#10;ffv2GBGN00hCQoJmQzPjDHt7BsG/zKUwA/1Um0icXIozZ2ZxcM7eTWJLT9Cjekc/ECpLEiM2olWM&#10;DRUhGIeiJk+ejF+GVhGVDvyEwenLWgDKvXv3bgILWApoEshOiOPILDESCIy8CuPBQqiMVdgxI6A1&#10;GSFNUQgPD9cFEC3/EWY4b4GwsDA5CNSMQYpcoStIi4HJxqSWHwUYLeYDKEBR+EGcFyLo06dPpUqV&#10;9N5YX19fHx8fuMo8vGddvSFAhqtgKcLh/LnzVqtc5ac+fTesWXvt8pWEmNgXz56/xJ84/RTGBYFJ&#10;Biobx2uBLbA1/I3vOnnyJA4BiiJuO3HiBNquJAndRvdYovDyHniJy5cvUx/FwzoADEGoxHbZBVB9&#10;lBxi4yjagU7EKORD+/fvJ/4TCdEjdMUWGoTwIAwiRbaLn1ii51go1AWxnTdvXqcdGlQv6ohVa1SX&#10;Lu3duWty6IQuHTpVr1otb67c1mVh0u9MmfmzXqmu68MmEff19MqSJUuePHnq1KmDx8bwaQQjkkIC&#10;xxyZKAf9pKDZywj4N7kUUMpMnIukyaXGjh1LOMDUI06bJ4DxNukHREjv6IoKLCkjDAIlNAMNGDdu&#10;HDkE2oDXQzU11E8bUmsVkA4ygpPIS0JDQ4kw9u7de/ToUbJMIjsiSqQJFO5hvbpfhZRlkBbVvJpb&#10;tWnJ2CmWVAVgen5X0A4d0TURJcSJ1GAp4gzcBNZrv6zsYwG2g9UAAnlODZfHuXz33Xe1atXCd+hF&#10;Elp+9tlnRMR+3j6Obw55euXOkbNyhYrtWrcZN3rMpvUbrly49CDy/rMnif978fLF02cvnv+HkqS3&#10;gpwVMy9fzBKKioqKwu+j+dADeg4ZoGBKj6TVAGWWJwGs4kOoQ010D6sB2As0Q7TEXupQ37YFHcUu&#10;mOzw4cOY1Zo1a+gLwFVoMuSE88Ho8EKYm7bTIEPaunUrdqdDGBtei42EjLRG2C2fJlh93b597dLl&#10;Xdu2z501e2D/AY0bNipSoJB1lc+8N10ZFYkU+gNdWb+38/EhTSdlb9iw4aBBg+iUs8aNo5C2KWnG&#10;VM44eDuW0jkgb0KSR48eMVnM6ZgxY0aMGDFz5kz4GVmyEclJZpbA0xESnm5U2sOQayZoxS+PHj16&#10;xowZiAftwfmm/wjTH5oTCiyJy+AkTl85JXkJqZUuebMk3WQVC1FqpYAOZ8pcYZAXLlzgcCwZa2Ep&#10;g6FNgTKQfQJ1/S5Q4ywpY6KMgVERYRBnMGzOIjIyEiWUQjq0M8MDw8EjkIMeOnQIbWzdunWpUqWy&#10;Z8+u32mSS4mlMmXKZD5aaH0aitA4e5asVStV/r7rt3Nmzjp76vTd3/94FBf/IvGp4+VGiU9dLPU6&#10;oBsoiU1RlB8+fIj2kgzBNytXrsRlodiotJIVlE0KjOKh4aySGFkvj/jzT47CCuASSIV0B6KCUeAP&#10;jIJjdbiCKtQV709kDCFBNqgr+ROUs2PHDkyMsI8YiwOhKF1sV9qEAeKp2MsumInhEfdjgxxIp7Aa&#10;DepZXPrSwMLvhv1x+w5Z9cljxzetWz9q2PCmjb4qbm5TKQv3MU/6oUjQFUQFRXl7e7MkKvryyy8H&#10;DBiA96ZBfZtK00UUxURlNJt6O5YCnACnIXB6RAS4vJEjR06ZMoWZZa41g5bT+hBX/ICSblbRG2SA&#10;1AlJ5syZg4PDNaAxZNloA/FU+o8w/aE5wfCYDU4ZAaH0mBksRWCxcePGU+ar+RgqtE30hyFhTtiG&#10;7lRRgSWSxZ4he6wFG6MmpqJJdp5DemGjMfMU4KiUOtCsbY2MHBNlDGgacQY5MSNhu25NoZCCQ0Ez&#10;JBgeQyWQx+XBuBhLq1atSpQoERAQADPZwImwtN4faj4WRVxMFlWjarUfe/dZvmTp2ZOnoiOjnj56&#10;4ngtLCzFP3PRz9GNC38H0y6Woqz5J3XAIUAeMAQ+mnBHfkBqbCsqqzZpoWlSQliENAjuwTpgKREM&#10;qohNiTwwIgI+2ie2w3CwILwNHRH5QTwYGjSD5yFGwQZphESKXbhQWlC2hCXSi64u4rUYp7m6sYqO&#10;GC1BJAOmEaoxtt9vW18BvgPDXr957vSZjWstourUrkOFMuXy5MiJCvl4WD9m8Ha30il/6+35vno7&#10;Lcts2bKRxA8ePJhemAH7AVFsCqLKaNb0b3IppK5T4tyYUILcCRMmTDZfYbcvo9nyTk9I21ApuqaA&#10;LNEJQh5CEoaHX8Y761ofEZCyAceRnzqYEMwMM8CcCCT1MMLUqVMxNlZRUwkLS6MCNoMxYH4YJFak&#10;W7vU1HUJtmOHJM3YlUCzwJ5PmpJhJ8Fb6QNN0SaH4NZZxfh10Y84g2yYYci0UEUpJEuHjmZIYC9k&#10;UcRPzDYZYYsWLYoVKxYYGIjLAKIosihlVDiRID//rIHBhfLlr1ur9sD+Azav33Dr5q/xMbHWK2JF&#10;Uc/My8s5acofTzaZbpA+2LoBoCv9hpcgDIJBmclg8PgoMKaBpgm2+omlWApskXVwiK7jYUTz5s2D&#10;SERUqCgBHEEeHgaXyF6ZDBLHXthFBYgK+mEjA6AOxEN9mRKN0wsDYEkvbBSfUQeeQ/MhPOgKb0Z3&#10;IrzLly5du3T51vUbv9389ea16+TZ2zdvmT97boc27SqUKUtG5YsquXuSl7MM9POTdgF3g5w5c9as&#10;WXPIkCFYEwPQE+rMEmC6NI0ZBP+GpQRWExISYH5OkvAWGkAwzCCBNv4FoeKYJPJ0g61bUilGgiKi&#10;ELpSpCfEiIaUpNsa+cnDWJ/jRx4AkmZOoCimBdpGfAiRCpIXFWB32YliOl0bwUKYPeVVxF+YOjEg&#10;ZKZrERghjaDrHC4RJAdCcZRSAUlQo6JBRIY9MwaGTUZFHMrYIiIiFPdlQLtKAkJUTgSHRTzXsmXL&#10;4sWLBwUFKbAV8CDyHZStUDdL1hJFizX7qsmIocO2btpMyPz44SPHO8s5USeWcuVSKUL5k60b+F+c&#10;FYqNCNBhFIm85OzZs8Q6OCtbY9E6G9qCPqOHLCmjjSxZxTRoB3Mg/IU8aHCn+YUTS0yDxuEnTAZG&#10;0U0vHBEUhefB1tiO9RHQw3PaS4Pqjvbt60BsYTtHwYjYGn0J9EWWBhFu37597+49xw4fIcO+eO78&#10;9ctXoKvL5y8ePXhozIhRLZt/XbJY8ZzZsgf5B3hksu5RBfhY76gFVkpl3lfLMk+ePPXr1//ll18w&#10;aiaHKcqYpvRvnp6wy9AvMobwCbeJzQlyEQwhgK4ISajpCUSLwgF6R/8IcBAwoxoxYsTYsWMJfNAk&#10;nCk6ByxN/G/kUug94JSZGYTCtBCdEVWMGTMGokLv2cKMUQFpymg1h+IqjJlgEE7CMKiMWVrPzM6d&#10;S3zHKgZDloO9QRsYlcyeY5OD9h0DSgUQDfUZLQUapFm4kLiSeAhNo2tESYUn5oXfGZ+lYmJimCJm&#10;u1mzZoUKFSKLgoqUQsl3ALbo/ra/v3/ZkqXbtmw1bfKUY4eORNwNe/LwsePLGuYq318FF0u9Bs4s&#10;BYhmwsPDCXRgCJQfTUZdCX1QLekbCo86CZTlGaSE2oIF6YY3ZaIx7AK/B9NAVHowjxidMqB9jIK9&#10;GA4WIYrCgiAw6qC60BgmowTLzuRkpJTplwJb6Je92CAtUJkGYUF6hOHoBQOkrVXLlm/duGnf7j1n&#10;Tpz89doNoplL586vWrZiYL/+jerVL1+mbKF8Bfx9fL3Mr8JRMIIhlugYmobuUciRI0e1atUGDhyI&#10;q+R8celMl7Ofzwh4O5ZC9kAnwPLRo0dhYWH4fQKE0NBQ4kQKpFNIhRNmoo0CpB/oFDEDfCJjYCQE&#10;NQwMdzxz5kx8HJ6OkIEKthbqwE8emhlJBE7CiuBspgXyRmQYwAVzD1k2aU+OmUsLWAtHiauYRkWL&#10;hCbkNERhdnCH7ZF7UUcF4k2SLaIWsRdCMWNJFegdYK6UNSrUDEdPpwiUdIp+aTY+Pl6XKT6AUb3Q&#10;zSH9OTiDvxf4R3vji5dPE5+G3w07cujQ+HHj2rRqXaxI0aCAQG9PL/58vLzdM7u5u7nhP/x9/bw9&#10;PMmtcuXIWaFcuS6dOs+cPv3kiZP3wiOePH5isZFJCPjP9GKtqzu2ZiiHkkFgzZXxUfgrPdeHtqC6&#10;c+bMQXNQS1w/rgC9klE4a7t0j43OZRusYikiKpQcOxo/fjyREwy0bNmyteYpvhPm0Xabn/bu3Qu7&#10;QJCAChx16tQpOJJGGABtagx0x6rdnfMqXAUwJYwLWyM6pC+4atGCBYsWLFy2ZOmmjRsPHzx05tTp&#10;06dOrVm1OnTc+P79+vXq2atVi5aoXHBgUJagYPTNw83d093Dl3CI8Mjdw9JDD09Srvp16w4c8PO6&#10;1Wvv3Lr99EkirG7blBRPSzaa2U1vvHUupREDVhMTE6Ojo3ElhAlQFC4PUZFO4fIs2f5duukA9Yh0&#10;ET+KQoKM9owcOZIYFl+MaiJpfCXVUAtpxn8BnK/sTcEafAN/MzlMCyIjN0Jkx44ds+PK5OBYDIZZ&#10;hSo4nLmF2GgEeyMEk9kQQirEI66cPn06ASar0BgViGF1dcXRXKqhoFJleif+RY5oGmLFSjF1chRb&#10;J6Wi6Qfrstur79s6sdRfSc+Lly+ePb8fHrF/955J40Pbtmxt3S0I0t0CDy98hHkKS3e2rYDX3SPQ&#10;z79iufKd23dgGjlZjAsPK9fACXKa6tmFVEKTFhcXh/Lg3/XUA1k4SYxiMsxB2pUi5E9UoKagLRyO&#10;LdAmkkIhWRKr0TJOBvbCz0BC9IKKwk+YBtEVXeMnCd0gG44VR9KUlJwu5JrUvjPYyPjZyxLaw7ti&#10;g4cPH4Z0oT3i7ylTpmB09MIWzI2+ZsyYwZCwESylVatWpUqVst685e3rmdnNI5Ob9VSF+R2et7un&#10;Z2b3AB/fIgUK1qpe48devbdv3hL2x58JMbEQlWwKmpd9sfw4WIqx2mCVEyBDJE5BPHr+iikjVEEM&#10;SPGtYue0AiKna/SD7Ji4aZQBBYSHaO3YRGqh8icPTlMGxlmzJMSDZpgfhKVH83H92Bs24DggGTjQ&#10;fr6fOcTAoBxMkdwUsyTFIX7EQvACGAa0h81gJFgLWde2bduwKFTiX7OUxESndAcdYpPjxo2jfcgP&#10;Py4TkkKmK+AMUVSST7Cbv5fmGfEHkfePHToyYdz4Ni1blS1ZKluWrHrlGg5Cv2jxM+89sp479/LO&#10;nT1H9SrV+vbsNW/WbLzb/fv3dWpyEziIp+br4C6kEva86blKwjL0HG0kuZEqolr2MkWwC9jmI7Cd&#10;JVREm2gj5oNCLl++XE/x6SoiJkaQwRa6g0jgJ0yDsjhM/CSttntXL9qYBGwUoWrJFkwP5cfTkhVg&#10;CJgbLk5PWNAX6R3L7du3E3rimSGq9u3bV61alZyJkMj9c/Madev9+laoBEuhk4G+fnlz5v7yi+oD&#10;+w3YtmnLres3nrz6ihtax5L5/DBWZvB2LAUYqEavQaMEEBWzz2Th8pgRPemHy0NamuV0BipCpI9/&#10;ZDBjxowhrifLRqiI1lHDKMfrdOKTBCcr/eaUMRJCOURGroPIxpv3RWFCzvOTBBzlDE0dwNp1WQPb&#10;IzIgYYKNsFUCRmgPUND1d2piY47mUgG1LxtWgaCHOIO0D3Il8pg8eTKZXGRkJM7IoZrpDAdLKW36&#10;i5/Y8vLZ88RHj+/dDT9+5Oi0SVN0KzskKBinoEhWb5SQg8BrQFd5cuRsUKfe8MFDd2zZeuPK1fDw&#10;cD0Ywtnp4WAXS70tmK7Hjx/Hxsainzh0YiZIBcfNKgqsX0FJ2V4HVUD9pPAqo8aYj56egB5CQ0Pt&#10;r/+gnxgReyEwUiuoQoEaZWwB68Arqh30WRGY2nQGW5JAG1WZkdAFZ0GbsBHkxDB0MUPRIbYMXZG0&#10;YYYKJffv3z9x4sROHTtWLl8hd46cqB96SEJPHq9U3nCVG3FSruw5alT74pefB0JUt3+77fy2TMec&#10;fiC8NUsBm6Uoi6gQAEE0AtNvRRESE5T+LIU48WWIB7HBmnrTBKyJO9MdKVWTitia918AZ2qfLwVE&#10;A51gWsgLjz9hwgS0HOt9HZFwIJOWHEyjjI0KHEuzTDLQ1QkIDPbCaKUM9OtoLhWgQWAX6ILDaQ1R&#10;omCMGeGSvVFB3lzamK54dVnPoijHn1l9bmVR9yPuWRQ1eQpZVMmixbLph5bm6xt6o4T1pjXr1QBe&#10;gX7+BfPma1SvvqGobb/d/DU2yrrQp5PC0LAvmRtwdO1CKoBiPHjwAMXDTeMEABk/Si4/YD8KYSco&#10;yWFXQAOl6mxEsSEJdE8X1qAo2II4mKyF4Jjgj+6gEPwhLIWJ7dixAwLDQ6pfoB5pnDItUwYUtDc5&#10;2CXD5BAawb9xIqKlFStW0Dh5G5kTw5g2bRp+j8GwkTNlqLSM9bF34oQJXTpYb/zLEZIN9VMiZa42&#10;//UWLn8f35wh2erWrD1k4KAtmzeTF0LzUkLgmNYPgXdlKa3C2BADTI7XQ3IIjDlidjTL6QbEycyi&#10;JegH/ESioNvsJFI4OFwnFQDCRkdVdhz56UKnCWxL0OqFCxewNCIv3D0Thcaj6zCKjkoOsZHKHG4s&#10;y7I0PTtLgY3MsMAulhgJOgAo/GuWMv04TFpZMpaJmo0dO3b16tWIOy4ujmzjA3hwOrT/RFHkVeam&#10;VHx0zLnTZ+bPntuxXfsSRYpmCQjE/vEC1kvNvX34wym4f54JTxHg41cof4EmDb8aMWSo9cT5zV8f&#10;xsYlPnyk05GD+OCR7EeKh+arXboyRsIBW6DhCqGkWiyp8AaWogJ7xRDoOUuUGZLAcHQXFiwxj5XD&#10;RlgQvMUSsJ2NVMMXEQ7qKp+l0K9AjwxDjVMGbDR9pgD7EOyI1jgRTkePaehCOjkcvIj7JYCjU11X&#10;pDKgfWyH1Z07dkwaH9q1U5dK5SrkzJYdJTTXnK1XKEFXqKL5FbBVzpMzV83qNQYOHAgRcizqhx5K&#10;IT8U/uUVP+dBE+shQqYGUU2aNAl62LBhAwoBUTmmOb2AIIlZyHZnmu/mkSKgN0TfeGQFMpK3fKvK&#10;OvATBnOCpupknYHH37dv36pVq4gqRo4cyYwxUcePH3cc9ndQ37Ik0xSwiOgVWGW7qkFXTCxQNaCj&#10;bKhaaqBBUtCBIkIMkhHidHRriliEFPnevXsf5s2z4if92RT1/EVCbNx5KGrO3G7fflexXPlg/wDL&#10;Bbz6PB1/OAIoyjOzG+xVKF/+hvXqjxo2fNvmLbeu30x89Nh6spx2jKFhWUqkzEUX6y6LenbhHxEf&#10;Hx8VFYXhoy0QBp4ddiEIs9VSCgakYNK6JGCvlFzVCIlOnDixbds2eAhywnYIzWkZhmAVb0O0N2bM&#10;GApz5szBxRNRnT9/Xi3gf+idVYZEO2iyluyiZTMQBxx9/x3UgWkOHz5M77hZzggvR1MRERGcDr4X&#10;3mIMjIfTpGWRsX2yxIh4493bd5Dcf9u5S/UqVfPlyo1Oerl5wEze7tbXYUjr9QJAf2/fXNmy16pZ&#10;s3///nSH3REFMqUWU30grvo3LCVoFcvRe0eYxK1bt5K7ICcm8cCBAzC8Y47TCxKYyDI0NBRdQWxo&#10;BttxnUgUZ4ceMO8UpByOIz9dcJroq86UJasC6S8ef/v27cR9egyS2AKi0lFJYE8UU5cc2kUdYxQW&#10;aJ9VdtlplrarZmrAIYJGSzuA2JDoRykgvgBngd1SOTY2NgOwlLlN9ez5jSvXVi1b3qPbDzWqfpHH&#10;ug3g6eXmbp6SsG4A8IcvcP88M9kVnqJR/QbDBg/ZsWXrbzdukkVZb+QzhAc4IyjKmNpfcHTtwj9B&#10;CgOp6OEF9ESsYGsUBTRH2qtycrDdYhgD/D6JC+kL5ITJkMfv3r2bIAmqOHjwID5HP0AEFOiRvXge&#10;6AG1x9aouXfvXlQXj8SuY8eOia6ooN5ZUjPFkbCRyhwFFdER/McwaFyD1w0Ocju2k7qxHTNhwDI3&#10;ztTkVOYRwavX0LTQseM6t+9QqVx56wuKPr7W86Xevr6e3hZFZcpMFOVv3s6VK2fO+vXrjx07lqnD&#10;vTOlcvWa3nTGu7IUBUYfFxcXHh6Oj4OlODFdZxNLoSsSAOU368RbgWYhHmSAmFmFgVAjKIq4Zv78&#10;+bCU/dCEAigdBezeKaTJSDI4dJrAuQxQXGaGGSOkIC8B2DPajz2g0FRm0mwTSg3UrA3HVgPHpreZ&#10;bSobP+O4zMgq45Gn2LlzJyLWHVDMko36pJsUMv1gUxR/UMuLl9DMnV9v7diybeigX6pVqpIlMIiE&#10;ye3zTLAU6ZRHJjcCVbEU1JU3V+7qVasN/WXwpvUbbl2/kfj4ycsXL1++umZow9GXC68BU6RHSzRX&#10;uFHdSsEzECjDKNAJ6Q4BGVQhLbIhhZSCsZS+WcqXDFgE3gzrwFjmzZsHVUA58AG9cCABOjnHjBkz&#10;lEuhnKIoNJMuqKAr1bgmDofAWFJmCweKxljSlB7osBWeTtkOaIfKJE+E3bg1okkafPDgAeQBzxFo&#10;QlH4W4Z09uxZjuJYQe04cPvOH7/d/vXa9YN7902dOLlTu/Yk+tmzZLU4Ca4yX4ImkDJJlaevl7e7&#10;m1vu3LmbN29Oj5zLQ/P+JCVVmnZNOGDySfRVfk/4N/elkoDhohzMGmqhS22QBBNHIMPkwCVMFpJg&#10;KSVgI8t3hLQK0SIVCggYge3btw/PRe+MYfbs2cgPPUiT7j49MG9oPyEeXE7eqef1MR40kl1Mr4yH&#10;2ZPZpD8QK8oju2UYGg/OAmtctGgRLIW/IDDC+yQkJNg2k36gQ+e/5y/C/vjz2OEj1jcUGjTMmzM3&#10;1g4hmUckLLP3drcurVAI8g8omDd/44aNhv0ymNj2+pWr8dHWl6JMIy+tVx/BeS6kDsgdF2mzFIyF&#10;MgCCra1btxJ44b5JXHDrUma0COA3AKs20DfUTJomUOYQtlNTqQw+DQZC92jZpj32ks2Qx0ydOnXk&#10;yJEQFZkWwdOlS5d0OAqMoaG3pFyQGTXhTpqC6siByFTEVdRE2zUAjY0tWCJdE0rCtdQH+DRaJiWg&#10;MoEmu7BfWmP7SfM2Dc6OA1PAnd/DOMXfbl84e27rps3mq1Qdy5UqYz3XY75K5Wue99N1aU83dy8v&#10;63tUJUuWbNOmDVkH50gqAlEx20y1XWDOKQAjjfeFNGApwHDRDGgJCU2YMAGSQJyQFuJh3pGTJl0F&#10;ld8Rlpa9upqMwGiTKBvtId0mmcPtLlu2DBEiZsleNV1IAtSa1AQtHDZs2MSJEwn0UEe0n11MqWbY&#10;LqQzkJqUR+JjDEiT/I/8GLNEzWbNmqUruvptr0MX0w10SNLz7PnLZy/IgWLuRx3at3/KxElVKlTM&#10;kyMX/KSfQ/laH/m2jN88es4WHwis9pc1RwwZun/P3sjwiKePn+hjhhY5YfVWwdGDC6mEuErek3AZ&#10;TiJ8wafDUqg3Si4nYLkMp+v8UmyRlso2VAfyYO/169dxZfgTAl/cmk17aoECwTEdYT4jRozA9cnz&#10;cBTt2ApMTVgNHwWB4aYgKmIsQmroB/ZihFQWwbBUv2yhcWIyKlOTJR3hUfG08fHxFDiQwWALZFcM&#10;SdczrRNLCey6+/sff975/c6t365dvnJo/4FZ02Z0aNO2XOkyeXLkDCSVsn5E5Rng60cgRdLv7WW9&#10;wcvX17dAgQLNmjUjU8T0lKqKoggIRE5MO5Ag3hPSjKUYPf6CSIHzQVQkVSTa0D5zjZyYJgmMyXrD&#10;VKYekiIF2gSIE/EjclgK/4U+yX+pO9V0wRmSAvZANEdsoVcdzp07l1XUUXuBDOxDTSC9C5QZBkLH&#10;1BW6kjETva5Zs4YQEsf0YVgKx/js+bMniSRDF86cnRw6sVnjJnlz5cbUrR+geHoRpZqb0tb36Kz4&#10;1M0jZ0i2mtVr/NSn78a1637/7fbTx4kvnj6zvhGV+NQiKoxdROVC6mC7SDymvCdKgudR5rF582bU&#10;A+0l+UCLKLAXUABoFJCasbQ3Wppn9A1ABrQADcATZFEbN27EQOTWYD7CJrSRXtirh4pZopOnT5+m&#10;F7VD49QEuCnMjdyIPAzuoSkIhrgQpoFv2A7N6BCqwVtnz56lGmehh8uhKJQ/Ojr60aNH9+7dIwPD&#10;xTEkbAESZUgMxh58crDr9s1bf9y+c/fOH3fv/P7rteu7d+ycMG58p3YdvqhcNW/OXNZzPW7WQ6f8&#10;WUrrYb063cPDg4yqfPnyP/zwA+fFCHXpjzlnqoEK79v60uaKH6OEZpEoU8m8IyrCc0SLPAjMpQSA&#10;ghH9a6cy9bBVCtmjEHQkTcJ5QZOIFmWS1I1aviYL/g+DqWNasIdz584xdYgMlmLqsHBsjO1UQF5M&#10;L5WZah2VbrC05JUHAdrCMGTn+AUETTiCsiHoqKioD8BShlFePn0e9yD66qXLK5cu79S+Q4E8eXOE&#10;ZIOc9FwfiZRHJjfr1/5u7n7ePtmzhNSo9sWg/j9v3rDx5rXrD2PjXyQ+e/b4ydNHj61PcrzKpfSM&#10;nwupge0in5lPxePEoQ09Cy6KwgnI/KVR6A9bCGpx6xTw7Gg4FIKOqYJWKeDNqHzixAnoBDJA03Sh&#10;jwPZRQUOUXCsXAfbIUQmOqdfVFSqq35Z0qxWNQAaoWXyPI5lqPgrCImjGCr1qcBeulu+fDnnwvLI&#10;kSN0GhcXxzlGREQQf9MvtEHepquL7OVc5BLpJTnYDkuRS5FR/fEb5V/Pnz67c+v26ZOnftu5S6Vy&#10;5YP8A9zN0xPW1WkPTx/zwn7SqaCgoLx589asWXPgwIEQalhYGDRphQavrvvZSdX7Q5qxVGJiIieA&#10;y0NIBLkIjEiBvJup19wBySmtQLOAArqCb0XY9IvnQmNYVSIl/VN9F5IAtcZmCNCIxebNmxcaGorU&#10;7EsQGAxTxwRSU/OcnkB2dMqSMsOQEFllVIh7+/bturTLsLHSD8JS5mGHF48THl67fGX18hU/9u5T&#10;pWIlsihdPNHtKApYPuUAH9+QoCzlSpXu/t3361av+fX6DetjUY+fkIo5Hg40f2rz5dMP87a0jxFi&#10;KVwQvhI1kCvAA+B8Dh06hHqjM+g5oADw5niGY8eOoeQs8e/Sc7QLfaOgRxjgCVwZ3EAAh44BuAqK&#10;wi7EBxxF/A0jbtq0CQ7D+bCcb95RtGvXLoZBI0BK6wzpM4eLqKAiDuFAUiIGzMbL5iuInAWnAAnh&#10;ThkqfT148IDTfPz4MWNjLxSFqWIIjJPWGDyjYgnUS1Lc+R2KivgzLOz3P36/9dvtX2/9duPXa5cu&#10;79u1Z8rESe1atS5asJC/t4+X+e0UywB/6/ucpFMsfXx8cufO3ahRo6FDhzIY2tcvFMFHw1ICuhIb&#10;G8tMERSQSOnmNqJVYK65kzakCdAA2kQ8gNSYjJhOx40bh/MiPEGfUCZVk664kATQDxOIaBDZGfMe&#10;Cgh+zJgx2Bsh3kXzI2jkldFYio3QKiNE0KNGjSJ0Rd8+yBW/Z4mJTx4+IjIlMerbs9cXlavkzp5D&#10;P43UQxPm6XPKbtZzvdmyly9dtn3rNnNnzrp07kJcdAzJ0/Onz8yraU1ahqd9+uyF+bNeYutC6oCj&#10;RPR4yYSEBJSZsBjzJ/nA++MWpD+4CApSHupALTh3WAEC0OU7sQ6gsuyC2JpdSpJmz56NdeCd4R4x&#10;AU3RDnRCeEdfs2bNohq0QX2Yg7AJIrE9j7q2IX2mgINCk0VUsBHAidELYAtN0SlsxEhohyyKDAaK&#10;IpHSwxTU32J+HUUjOkGqMXjKjJBekoIs6s4f4X/gN61bUywpQ1cQ1e4dO0cNG9GoXv3C+QtmDQr2&#10;9/H19fTy8/Vzc3PLnDkzLOXh4cGyaNGiLVq0IBPgBBkG5MTMA7JYlg55vB+k2X0pQDZ67949IhTE&#10;hr/jfJhoEQYTBxCPJPfuIORBMCiNHnRZYn5VB0vZv5GSqCy9SDGy+M8jPDycKcLYEArmR8w4ybw/&#10;fsaMGYotkBpTZ9ODjko30CPDS94vGzFLrHfKlCmwFDoGY+nFrA5dfA+QK7S70OrD+ISIP+8eO3wk&#10;dMzYerVq58ga4uflQ86EhVs3nz08KYu0QoKCy5Qo2b5N28kTJh4/cuRB5H3iz1fX98wfBRxtYiLM&#10;53jYz4W/Q3PO0rHuBLwkHpxECloi/4Aw8AD4BLRaWgRwO2gyBbGUTQzUxF+RIbHdZiA0X9kMMRCh&#10;Nm2iYzQuGqMCwO2whe2kULg73R/CiMR8qKh8HQ1Kb52hFlSGz+hLd5jmzp1LCwDmY2zbtm2DotBt&#10;JS5QFDZL5kRlhkR3uqmhkdMge8EbWOqP2/xZlyP4C/vjz/A/70LgMNal8xdWLV/R/8ef6tepW6hA&#10;geCAwABfPy9PTzjK04Okyt+6+ufhEZI1pFzZsl2/+WbhgoVXr1yJj4t7/uwZ0dUL6xpACtbHmFOU&#10;179AWrIUePjwITPLLEMYOBHmnTQWqTN3AMnBLo5ZezcQNSAYWpbY0CdYiiXxCAEOYY5ERR35WReS&#10;gGmRUJhJpnHXrl0Y22iDpUuXHjEv55UBqLKO+uBArLqqg6zHjh1Lyo7EiexsCnkfoHEiRz3uDHSV&#10;Izoq6tSx49MmTW7bslXJYsWD/Px9PL1YkkK5fZbJPVNmCnCVv7dviSJFWzb/mqEyqzgdXCqH087r&#10;3K4LycFE2Y+bJwE+BwVAUcmq0Yr58+dDUSi2KAedQXuB4mNUGs9u322CDGAsVtF2KnMUBWJcmoIJ&#10;ppmvQuNPCNrQOrkU6tAIGRhJD1RBC7g7wnHqQzD79u2DBaE99YtlUUgR4jAqMB6aglwxQL3liKYY&#10;FcOIiYlB2ThxoDcnQF10p4cpGIOjrXcAZ60JYfBDhgz54osvsmTJYn2l07zNK9DXz4q0SK28vNHt&#10;rIFBpYuX7Nen765t2/+8fedJwkPyfrJ/TALRCA6pmLjLefVdkMYshQUiofXmHTakUwTmuD84A2GI&#10;8DUvmqB3gWRMXwQUiC00NFSJFOqla4yoCB3ZmupCcsiSmUmkQxaPecD0pFMUWEVqiIw6xsYzCksh&#10;TfzI7t27sWckDvAjhD7vj6XQajXOEmchikLPb938dc2KVd91+aZsydLZs2TFmM0vdq13o5FLkVGZ&#10;vMo7V7YcjerVHzF0GGNmGu3rJDRLjExr6sWFN4PpktdLjjjz+SgiANwOxIO3tW/V2LZv6zAqDcQx&#10;1LfyKZO16OIB7ZwxXxpcs2YNETa7yJbYgp/hKA6nWaoB3ZHC80BURMnQhn6bhTuCXfD7dE2PjMH0&#10;nxTay5IGaZmjlJNNnjwZ69OFPqj3yZMnKAknCEVhj4yTISm304MhjubeAYyBQdIU1M4YunfvXqVK&#10;lZw5c6LMXm4e1o/8zO1V8xYlL18v7+xZQxrUqTt25OhD+w5E34+ynkd9/oJ0yoaE4hBbGiHN7ksB&#10;BkdayrxjkEQ0uhtPzKKLpwiD6QC26rwj6AiF2L59O1w4YsQIYlVmmTQclbJVJImyuuAMTQ4TBamj&#10;o6tWrcJOmEkIAHvAOLFGzaTjgIwBXAl+ZN68eVAUkRBhLESLeTi0MK1By1ALBSgK9cZrQFHMyd7d&#10;e0YMGVatUmXrcQlyJnOtT4/zYdVQVLB/QM6QbDWqVhsycND2rdsYOQeqTYCx4INo07HuwhvBdBkf&#10;aN2CUgFQZgIjIyOPHz8OryxdulTPOKAhsnpnw5ca44XYiOZDVCRJhDi67UQZZ4LO79mzh42LFy+G&#10;LfBj+C48OPU5FjWjQON4GDSQOjgconAIkn71UyrIQxchdMjrYDsllpRpgdbgRRqB8yCkqKgoqQc6&#10;Q/4NacFMGhV96Srlm7tIJeidJadGg8SmDKBr164lSpSwLvqZ96Sg29ZPfc1v0ilDVAXz5mveuOn0&#10;yVMvn7/wOP6hdT/ViaWEtCWqNGYpbPjevXuIluCCfJnYnHCDsIV5Z04lEmfV+degEXwoOoFKwU/4&#10;VrpDU5lr+VZAX3SaVj1+YtAUAcqYLvYJ32Pno0aN0kzq8roqaJlBgAvApyxcuBC5jx49mtASB4Rh&#10;OLQwrYErxF9QwGXIceA1Dh06NHnCxDYtWubPnccjU2ZPN3e4CmYi3rQu9JkvdBB1Vi5foXf3HpvX&#10;b7h961Z8fDxsJycrG6YpVk0nLvwDxFKaMU0gYJUkAy1FddEHXI1u1YiKHOryd9jegDpEtFu3bsUv&#10;6ylz+IngDHViC01t3ryZnMwmPHRM98Jpn8QLLlGyBWFAb1QmbCKNo4zPEejldREebapZlugz6kQq&#10;xikwADqFdx8+fMip6UomFEV3ODq60x2Nixcvqv13h9q5e/cuw6Br2Ben3bBhw4L58gf5B8BSPubS&#10;H/qs6356eUqpYsW/6dR5+eKlN65ce5zwkFDOIScT1UlAjvW0QBqzFHqjBJwwBCmSTiE8dEjCe53M&#10;/gVoDUJCYAQXBNR0hJjJlNEhemev9AC8Tl//47BnhiXTdeXKFSycMA3XTwZsP+mnaix11AcHg5FV&#10;E1diTunDUmg1BbqgTDpFGD5nzpz2bdqWLVk6S0Cg9ayEuycGbJ6e8GMJabFaomixzh06Lpq34OrF&#10;SwlxcTQCICqWsuE0N+ZPGEwU08XUIQJNGgVcOSGp7g9h/jANGisNcaiLAVucYTkFo9U4EHSeY1Eh&#10;aIkW4KdZ5iuCsA4RMO3oEAyEpe4y0MXevXs5Cm6DPPBsgPqYjNIg9UhNCm9mKYCz4hAapHfGQCLI&#10;XgKamJgYemcV3tJTi/SISZJ1wSV4OaqliTtlDLQjloLv0W2cwMCBA+vVrlO4QEE9/uPr6eVlPocm&#10;luIvR0i2apWr9OnZa+PadWF//Gk9rfpKkynYkYS2vDvSmKUYHHZICMD8Mu/jxo2bMmUKgTkiR5+Y&#10;FCSt2XlHICdCIdSCwH/s2LF6tA+dQ+p05BxMWVrmIqpkQDtZoqBidGYM7SecnDp16sSJE6dPn75+&#10;/XpiRs2kKmcEyLCxVXyEzVLv+76U7I0uoCgmBK/RvXv3cmXKZA0Mhp+83D28zYvPzU/3Sac8ra9G&#10;5cvfolnzaZOnnDx6/MG9yGevvn2Qttb734GmTu6PVQoJCQnInVQGRV25cqWug+k6CjJCsYF0RgoM&#10;5AdQeOk8lfEh+/fvJ0EhmEbzcSZEvfCBLiRQR42oPksFc1TgEIJvPVVx4sQJ3aPatWsXzKdD1JeW&#10;yaHtEAOcd+rUKagIb0mzjIeO4Az8G0rOdk4N/uPssE28KCzCLk6Qw+0TfEfgk2nKzIp1mowHjz2g&#10;X7/6dermyZEr0NcPlrIeCPo8E+kUERjaHujnny93nto1vhwxZOjxI0ejox4kJibaNoh0QBrqeRqz&#10;lJSJdAqXh/vAiUAhixYtIviV1NOKpZAWUsRf6LkJcmFyVaSI/DTXzLtmnzJwHObCKzBLLKWdmh+F&#10;lrNnz4algCI7DClDTSCjlQEjcQap+1Lh4eG2hbwPSKsJ5Am/iGd//vnn2rVr58qRA4py/zyzt/nm&#10;qcVV5quGWHLenLkb1Kk7cuiwfbv3RNwNS3z0+LnTQxM0aBdcSD0kBU2d7izAEFAF/h1Xs3v3bjw+&#10;5g9QVxRbQGdslgKsqsBGauJGxDGEuZMnT547dy5Z0VHzFUE1pUbUAoqHRVABhwZL4W3YjluD5zZs&#10;2MAWCqzShfoFsrIUgXci3oLnyAU5nLNgGHTNeA4cOKAnO1avXs1GuIp+qXnhwgVOWdeKxHPvDtoR&#10;OEFWGTmnCVEtW7yk5w/dK5QplytbDjgJPfcwj616ZnZDwwN8/YKtr6MVaN+6LTWvXbkaHR2NUKTV&#10;GZGlGA1jsgssHz16xKnC/0S7o0aNIonGtuEtgpe0Yildq6VliHD8+PGEIcwsOqcZVx3pivMWF2xI&#10;KZkZabxshmgUC5w0aRKxxfz587EfNqqaOejDQywFm2LVaJdYKq1yKXlAx4oT2AhFxcfHo3VTpkxp&#10;1KhR4cKFgwMDyZ+sxyXMazqtr3K4uWO9/t4+1SpVHtR/wMZ1629cvfYoLl5vpBXUPksVXEg9mD2k&#10;oDkkkVJKDTcQTuEK4AwUQ9QCHOpiYNn/K7AqF4T+U+2y+XgNJEEuRXyGG9FT6ezCexCimcaswBff&#10;hQeDC2EOeqTAFqIW+AznRgtbt25lPDZLqS8KJEbqThanMnsZBi1wiChq6dKlFCBd2qELrA9wdlSg&#10;C5oliMS/kWzh6FhCV3YEac7MAo3L6SUHezkRlhoSUE220ILOUVuYWPR8x9Zt40ePadLwq8IFCkJI&#10;1oU+c1/KupqtJ9S9vLMEBFavUnXQgJ83bdzIueD2ERBcJRZ4an5u4RDeuyFtWEoPQVFglCyfPHnC&#10;yZOiInj8HXk0EQHiZ2aZETNp7woiCxIp/Cl+ipiaAAcRyqW6kHogDrSTAlqLniEjnP706dNJT5Gd&#10;3vVi2UEaSe3dIZay70ulLUuhukAFi1KMQwRodVxcHPNDhNu9e/cyZcpkyZJFj57DTISWVlKVKTOF&#10;kOAshfLl79i2/bJFSy6dOx99P+p5ovXLR9drzt8dEorEQfZMRIVXwaETDaMP8I28MBqigkNjnMBG&#10;gC9mKeLB3cMxqBDBGQnZ3r177ee8qE9NNJ/W4AMMQdf6oBO8Df4HitKTYqwyBngL80E5OUpdAKgI&#10;UHA2IrUJIB56RJNnzJiBuUFLNM5g6IVT27FjBz1CUfROC1TmlMmrUEKWlBkqp0BrpisLNE536iUJ&#10;VEFjE1jVsey1BmdcAS6UHjmRDevWTxof2r5N2zIlSmUNCoalCMWsx4LMY35QlBWceXoVyJvP+tj0&#10;iJGwqT5GivNnibzSMJ1Ke5aiwCpqRHQDkUAhcAnKRGB+/tWXwTRx7wKEREQzdepUGiejwp8yvwje&#10;sduFf4KkwBLVpCCWwvYwOeJKCGCmeW/mmTNnFKKagz48GO37YykBNcbAbMjw6BrXMHjw4Dp16uTO&#10;ndvDw8O6QO/u6evp7e/ji8V6ZMoc7B9YpEDB5k2aThg7/vTxE7EPop8/NRSFqboSpzQCEsEbEpKS&#10;c+DTcdn79+9HS3HlyCiJ800Cexf6LHd84MAByIl2cFCwAu2IolgC9AqnzyGoHKYBn1ET4JHZSz4H&#10;UeHWOBZSoQDnYUTiAMvrm75YqjUKhrMs0mIA0B5kwPgVFKLMeLMF5k1LxPc0RaecFA2K+ThltuP0&#10;5s6dyxg4fTiMpIe96ghwjrSvk00OdmlgDIYBaFSAXgDtMCGQLs0yLSuXLZ8xZWq/vj82bdS4RJGi&#10;pFO6BSttt4Iz81RFoK9/7hw5v27+NfZIU3h+oGBCcIjt3ZBmLMWSwaFDbIGrYmJiOG3Ig0QKGRCq&#10;IGOmgNSVaXJM2zvg+PHjpMMLDZAcMytROXa78E+w5wrdoowGo7iEEVjCsmXLpkyZgs1gfhikolRV&#10;/uBgtOjVe2UpqTFLu/Do0SMMmAlp3Lhx4cKFSaTcQWY3DNX61Km3D4kULJU7e45qlaqMGj5ix5at&#10;URH3rM/DY6TWzx7NnwvvAOPxLA+j9/XBTHhzFBUPYz/zJi9seWsDKYwzHDvM0+TQwL59+/AhOH2I&#10;inbwTlCCqqFmtptC+alMqkSKQ9i9fft2Docp0Q1iO90YI56DcmQpjIGjaEGNAJXZTn0GyRZa0G8/&#10;SKFGjhw5atQo0in8GE4S3WYXI9HpUBMqglNpnC6ogFWKLBk8wyYZwKkyZjpVF2bUSWHO25HSaWBs&#10;pD4FuoACaZzWNpgbbJzpxnXrN61bv2r5igljx7Vv3aZsyVJZAoPgJz8vH49M1k/XA3x8zZtWfAjU&#10;SpUs1bdvX2geS9R1PyTFEpE55PduSLP7UpZNv2IpCoyVdAoumTNnDq4EGRA1HH31cTBN3LsAyeFP&#10;CSiIcBUEsVGiciE1QAroqNRUZZZYAnyP/RNbkAQTW+zduxcN/u+wlFwhsJyiKZNI0T461rNnzxIl&#10;SkBRQUFBPj7W4+b6kSNc5f55Jj9vn3KlyrRr3Wbbps03r15/nvgUfnr57PkLCs9euFjqHSFxIAt8&#10;N5ETblQZzLFjxxT4OiszeJ0rYDvKLO8BOen2D2xBqoRe2X6cAq1BFZRpn9yC7kRmRHJ6tx6+jr24&#10;dcwEL6QLRWxRR4aYLNAUYAsjB2yhQRiRTtFhrIwgfubMmZwR2RgGyF4AE9MUDeLZ0HZoktwLrmLJ&#10;KW/ZsgVKY+QQJD4QoqImA6b9N7AUXWt41NSqnULhqDkFmA/WhLYZ2KH9+y+ePXfjytXjh4+QVLVq&#10;/nWBPHlReOtan7nKDUUF+vkTogX4+OXLk7dhw4acCN6DyRFLPTaf9nfI792QNiwFjGlb0BYGGhcX&#10;h4NjHseOHTtp0iSmgOBFqqCJexcwv8gPYbNESFevXkVCtoq48I9grqTWFFRGLkgHc8UGMJvx48fP&#10;mjULGyBWRaEdh31oMJL3ylK4HoACU2b59OnTyMhI9JbZqFevXrZs2fQhA+BlXaZ3/MFVBfPlb9Oi&#10;1fgxY6GohJhYcy/KYinr2xymrPZd+NdAxPHx8bgUEhecCVEv5IGHxRXIpaDGqAegkKKTYTuOHjqB&#10;DwjFCKBx9NAMPhqlogJHiR4oYxq4furLItA3iASHo3QBJcELQycMAxdHigN/0LXdrz0YrQI1LkrA&#10;rOADYkFMDL6BsaBeqIjuGAlchUOjdwpkjRvNpxcZhjYyA4T79IjmM364kxCKvTSOFTs6SwYNjAqA&#10;UdEU3UF4hKHMJ6fGMPRUIa0xmBtXr0b8GRYfE3s//N6BPXsH/zyocoWKwf4BQX4BEJX1MIW5NeWR&#10;2Y34LHu2bKVKlWrfvv28efOYE4IJ2Y7s6N2RBiwlMCDBLjNKRIUUFS8gD4TNFKeoQP8CTAcSJTJi&#10;xlmiPc464cKbwVyhr0ReiMOeNxSdySTMxIAVW6C1BAFsV4UPDob6/lgKpRVLqUykpVd8Tp48uU2b&#10;NoULF/b19fUw8PT09PGyHpqwfpzv6ZU7e456tWqPGzXm4N790ZFRVv6EHVjX+l5YS8oukno3IBSi&#10;XpgDB6o7Sbhp4ifcOiqBDkuNAT4HxXaoy9+Bl+AQ8iG0WjcL8M66ps1RNE4jqDpLWqAyxIPyQyHU&#10;X7t2LVpHIw8fPkQxICq9uAgKWbVqFSaDWppR/A0iPAoMjKFSn0ZgBfiAQBCiolkGgFe0vZk6BQwV&#10;UoQz0HA8J3TCRtVkwHAMJA3F0hQTwmzAvgyeFujOnO7foMFQgcNpmU6ZB0YCOUEtpIOMhGiMlsPD&#10;w4kG4qNjHsXFP3/y9PmTxN9v/bZiybKObduXLFY8e9YQf/OOFfIqz8xu7p9nsh5t9fPLnj17xYoV&#10;+/fvv3v3buwRCsckMSKH/N4NacxSzgUUixNGxlOnTsWbYOpMBFMpyb0jUCPCCqYeP4tg2EJfqIL2&#10;uvCPYK6SsBSrFACBm97oQWyBDaDQ2I+O+uBgeOnGUngi5gRf0KdPn2rVqmXJkoUUCopyc3NjqZ/l&#10;W5+P8vEtXrho5/Yd1q5afe9uWNyDGOtyn3Uvyomi0sZa/7sgPEf0eHn8CbkLtEEewBY5X5ZSY4DI&#10;cAUOdfk78NEoMwqjB+poBNdPFAJ/cLhsQXRFZcI1EhR1hxXAQzichIQENA2WiomJoc6ZM2eUiODf&#10;aYQtHK7xWP29ymDYohzIvrCG9sJtjASqgBhkieDevXuwCOoNOTE2dI/61FTuSApII7g7TpPuOJDT&#10;YS80w7lQ1lVBulPvzmAjLTOBjIHRkszRIAklh+OWOQs6pUJUVBRqz2yb73G81N/TR49PHj0+evjI&#10;xg0aEpCh8ObNSV5+Xj7WIxVuHp4mdMudO3fbtm05NVgwbT9MmmYsZcOQlGWUyJKxIkjoGn8HKJCr&#10;MtHMMp6FuTN65VA1zWbqkUQVnAsu/COcJ825jMGg7lgFHDBy5EgiDAwJ9UVMVEBMKgBs/l9I7R1B&#10;75gi1ssISfWGDx9Ogag2bVgKm8Q4zVMPlB/Gxl08e37R/AVf1W9QMF9+f29fX8zSw9M9k/X5KB9v&#10;Hy9Pr8DAwNKlS3fo0IHQGBdgP+CEGZi/VxTlYqm3ARNoC9S4E+uOFLSxadMmOIMlLhVXiL92Vkhb&#10;k3Udm+0s0WcASeCI0GQOJ29AZ/DL+CJ0iUYAdSAJCtTkcApQlOgBwBmYAMkcEQyDYalrj1AXWQ4g&#10;sCN4ojugMdAgZWxEQDdIMnCAJHCkPpAEVsaQOCnGSWUOoT5L4niapQJZGkQCS+3fv58xiIpOnDih&#10;BhknPZJRQTnQDDxKZc5I52J3rcFoFT7Wpc65BpwdE8IY2MUpP3jwgDQxMTERv80JvlJjy40nPnmC&#10;idHRiBEjihQpEhQU5O7mDi15eXl5Eqh5ePp6W3aRPUtItUpVvu3yzeb1GxLiE148/etyt3Xp++kz&#10;WrNM7O0/8pn2LGVDEQdTyURjw3g9InTkTd6KyJk7ZpA5lWw0my58cKDiRKloMPw0atSoKVOmEE5i&#10;kNJ4hCWnQDW2SHbpCXpEecRSEydOxGwoREZGpk3gBj+ZBAhbev702d071nd4Bw34uXL5CiHBWfRt&#10;Qy93DzfrKoeHH5zl5RUcHFyrVi2GsXPnTuYkbYbhgiEnLfGYurx26tQpkg+8PAqJd8axoIropA10&#10;A1BAT3C7gAIeBirCueP68eNQFFShB8dhDny96rMURdEmio3vxlPhr9Au+Ey3ox4/fsxgALFIdHS0&#10;Mi3oBF9PBcZDC3ZrtAMYD21CPCRGcAx5Br0rcWEjA5NZ2SzFIWwk3UGdIDPq0z4dsYpJQkUci3mK&#10;XDmQzImulZ+xl14YhliKpqjAJLCEnyAwZsC+QsghbNGVLc4F0oWfnCMDvLdEwPlqSV+MoWnTpiVK&#10;lPD39/f09NRnfN3c3LxZyezm5+VdpGCh+nXqTp04+dfrN+KiY54kPPrrvqyJ1QxLvfV3AN4vS0HO&#10;5LDMMrLBp+D4mE1CA2ZN+qSplFxZupARgEljz7NmzdKtKUxa93URmUAdLMGOMNIZjAQVwt0Q98Cj&#10;qFZ4Wr0hyWap5y8exz88ffzEqGHDG9StVyBPPizQI1NmHw8v/jwyuVmv7PMP8PX1zZcv37fffovv&#10;YCrS8KEmFwTmkywqIiICv0wuQiaEA8HF49zli+U3LKV8BdufyPWTrJC1ICC8M6zDEr+Po798+bLN&#10;EDAQykxNbcE74dBJUObMmcMScyDNginRMXwagKUYEsPA6ePuITxdNuRw2hEoa5UID3WFX+ldl/gI&#10;00UzeD9LoV+Brs2htxSHoeEzzIezdRsJRkTV58+fv868IAPy0/lSmQGwC/7m1BgJzTo3znnRGlbM&#10;1EF7kCXjYbR45qioKPiJ87L1lgKAkzhNle0CqSR+ADfeqlWr/Pnzo/ze3hY9ubu7e+t1tO4eWQKD&#10;ihcu2q3rd9s2bfntxs3H8QlKoew/WIpJVF+px3tkKQlV7y1GnJweXm/69OnIiShG+sFSU5lEYC58&#10;KCARBZIodGhoKEyAoRLcYVcKKeQIkJ1WHYelF+gXddq3bx/mOn78eDSK+C6t7kv9lUglPov4M2zj&#10;uvUd2rQrmC9/SFAWX0/4yXqNrP+rt0QHBwblypWrZs2apJs4AnkxjNnRlAtpAeaTiUXiogS8PI4Y&#10;r02KoFsGACVEFW21ZBdLfDeAIcgYdJ1QD1hDKigzCYetutQnysGtI0SWuG/1hdqjWvh3air+sFkK&#10;cBQ2YiclWAeH48RpHBLCv7HKRoYKJRDz0TWVIT92wV527xQEyrIplqzCQ9SfOXOmjgJQ0ZYtW6A6&#10;sRG8RRYFJ9ERBcgMEqICPXIKYikKDIkEi71MHZPASDiQXbrBppNyzLUBW5QsSpPZq2fuKSAI2JqT&#10;HTZsWJUqVbJkyUIuBXx8fPx8fP3439ML68iVLXudL2uGjhl7eP+BJw8fYU0WP71KpzIcSwlIlHkn&#10;EMCYR48ejddDrswdWsV2AQkxrUZqLnxgYCHnz5/HONesWYPIICrCTywN60JG7LXdgQqOw9IR2B5h&#10;9WzzrV6GR2iZxiz1/EVs1AMSqYnjQ2t+UcN69PYVM1Hw9bQ+H0U5e7bs2Gq/fv2IuiIjIzFsGbPM&#10;24U0AZMJQ0A2JEOiKGgA0pLfAOgDPhfNRBthDtwoG9lCqgRb7Ny5kyQDftLjfPh6IjDYS3rLElAf&#10;/aEAdXHU4cOHyTbw+Dh0pSzkEAwDKMPQkvowGc3izZQbUZnhMUgMhyjq9OnTbIEhGAD0ANnoMTxZ&#10;DUvAOIG2MAzGz6g4BZaYG/VpDXoD9AU9kAKqU7bQLGdE+5yRuBCKYpWyrj1iJgxADI0JQ7ooKnuh&#10;ZDuiAo6JdgIbbTWmAEvpbitnTcrB8Oi9RYsWpFPkUtblPm9vX+zCPJvuZ73cL6howULtWrWeP3tu&#10;dGSU9foVx4U+69Kfo/CWeO8shVBJLQlPCH7xKYD5YrqZRGSDPCQbF0tlBMh+sFV8AX5B724hfEO/&#10;CSyIAaljGxVLoAPTDfSIl8GAGduYMWPgUcaZZlf8jCFhV9cuX1m8YGHXTl1KFi0GLellSNZz527W&#10;1+K9Sap8/YoWKdq5c2fCbTkysRSWnKLlu5B6WL7TCU+ePMG54/rxy+ghZTy7rXssWUUzWeJJUEt8&#10;NL4Y5qAyZIOezJo1C8pRCqVISwdKkwFHSe0JzhAoCg9R4fHRq5iYGCUWAPkCCmxB6FAI/CfuIaFx&#10;fjCBAtshMAr4PVEUvIXToyOGKlqlAGyDEuQPaZD6sB29zJgxg1FBsbhNtkBO8MS8efOgH5gJ9uJ8&#10;4SqlcQwGUofkqMzeRYsWwWqcPjTG6esnt5pkTOYNVmPO2NJkLQXKsbGxjGHIkCE1a9bMmjVrpkyZ&#10;ICpP804//rCRAB+/ID//MiVK/tSn79mTp+6bl7BY5PT0uRUF0tjb28d7ZClzmhawYWaNmWK6yaWY&#10;YmJhZhNJIyHpFgXLCbnwQYG1IAhoAE7asWMH5g0TzJkzB3s79er9MbZR6ZB0Br0TtzKeyZMnMzZ8&#10;EGk6YVCasNTLp88wp0fxCXt37e7f98dqlavkDMmG7elrBVig9W4YN/dAP/+c2bJXr/bF6NGjUWPs&#10;VsEpLcijqTUX/h3kNJhPKIFVphTvgZuGctBJNFMBrnQV4Oh1B4gyu/DUuBdyDrgBH00agbPGZeP3&#10;qSBXI25AnWiEAwEH4uUhFbw/S7IQNiry0HgExsPAEDeUhh/DQCAPWsY00ARicWIm+mWoUAi90xpB&#10;OYTHKYhKaZauNX4GYPGSgdFuC2IpGoRUaBNVh/ZoEHBSMAR8g86TJAEmhE6hKMaDXYif2EJWxzDo&#10;nUFShvDoGkWF8h1n8oqlKNhzbsPeQkFluzKpFU0xkj59+pQuXdrLyytz5syeHh7+3r7YiJd50Z/b&#10;Z5+HBAW3bdV66cLFEJX5mO+r94TRpKPVt8D7vS8lGZOzIxLmF1aHpRAtekAIgCQ4YSSkJNeFDw7E&#10;hAkhF9Qd05o9e7beMIZSYsPKpYx9pXcKZYPhYY0Y3sSJEyEJdAmX9LbP+MnqWAJ7i4Wnz0ik7t0N&#10;W7FkaeuvWxTIk9f6qqF1R8q61mf95N7cnQoJzlK6RMkO7drjAQm3CU5tcnLlUu8OIwkHS1HAeyBx&#10;mIb8Rm5aAS7aiB+HXQA8IR+tq3xQ2syZM0mJ8DO6CKb6ANUVVVAQN7DK3osXL9IyPp3Uh4yKuOfh&#10;w4f2YJwHhqxJsBgDPAR/cBSHi/kYCXwAhcBP06ZNw3CoQGs0bozG8eAfPITH0zIsLIwlI2EvjQCG&#10;xKoaJF48fPgw8T0UhaozNliQLThPQIHGIWBOkBkAjIoZINni3KcawJHs5XQSEhKYTyHJGanAhAv2&#10;FhVURrGl2xxO1gEp4hzq16+fJUsWT09Pby8v621J5hOgWIr755lYrfNlzZ/79d+2afODyPv2rzus&#10;X3q8fUD5HlmK8+HEWCLXBw8eMIMoTWho6KRJkzhDnAtikPAQlXM04cIHBIJALtg/NkAsNmLECLIW&#10;4rKDBw/a8sLAsCIKjmPSEXSK6RJgiqXkJt7291JUtoz1lbmy1JYXz54nxMSeOnZ8zIhRNb+oHhKU&#10;BYrS7Sgoij9Iy9vdI0dItlbNv54xbToRd3x8vA4HKqhNF9IETCZsgdBxtdAPxIC/poBrZvKhBNII&#10;/PKRI0fIaWAyPAyuHI2FIVauXImToRruG62W0kqHpUgCZWiGRvQ0BEfhqcg5gAZgC5QCSgJrEhWR&#10;0kEAhCliKdqHomDKU6dOMQzUEpZiqDAWI4QdqQA1iiYpq1+NCmgLoA4j1C5WlU7Rpi4e0h2AhJgB&#10;8RPDgJvplxQK3qI7quFdIWnAVDAtsKB9Ou8OZgCJMAP09c033xQtWjQoKMjL05NITh9XI53CZLIF&#10;ZyHIq1+n7rxZs2/f/PXJw0diqRdPn2FpjrZSjfd7xU9Gy4nB5MgS+emGPCRPGXej/FcKhGxcyAhA&#10;FggLGyAkJJfSRdr9+/djYyInyYuC44B0BP0qsmZUY8eOJWaEPt+WpSzH8wociH46kPjst5u/rli6&#10;7NvOXciWgv0DrAt9Hp78QVFWwd0DOyxXuszwwUP2793HPCiL0nNQFLR0dOPCv4UlmFcBBJFudHQ0&#10;ctdzDagibhoXiacmT0Itd5k3/eiRBxz0+PHjhwwZMmfOnE2bNh0/fpw8RiyiCzZSWpY0CKAElrpy&#10;QKLGIbh16iu8dh6Jymx8ZN6jDfds3LgRSoAgZRewFFQKLy43z4tDeIyN3mlcxMOSmlrShenfgobE&#10;CAF7AVu0yl5q4ifhWlpjeDTOaTIDjJPuqMxemIxhbN26FYOFoUkDcLCEmJgJAyBD4HTeykDeANpB&#10;50mnCBGIFL/++uuCBQv6+pgH/Kwn/axniywz8fElyCuUv8Cg/gOOHjx8726Y9RgFGZUu+r0l3u/T&#10;E8hVRMWJkTARd6BGejQLATO5iJaJxtqRHKJyIYMAoRDBYRIICzLA5rEKCQsT+oAsRViD4WGusBRa&#10;RHCNfWKH/84IZXJySVb50ZOjBw8N6v9z9SpVc+fIqct9xIaebu5Yna+Xd6Cvf/7ceZp+1XjB3Hk3&#10;b9wgrOYojrVZStruaN2FfwvxgWZS3oMwF62DdSAnkh5AesEStWQLDhqiWm9e/Dp9+nSICleOtyGg&#10;QWEAmsPhcv3oLTAEYbEUe0mkSIzQdg6BVCIiImx1oncNQ2VGpefc8NEooa6EqxHYgjJjIHKid8YG&#10;i+DWLpvXnGM7gGrqnUPUuwpsYWAyK7awyoA1WkCZpErZEs3CjpA0aq8sSikUvAUvwo6cPhRFKglt&#10;M4CoqCi0lGHrFN4dTAKTg8IzWiZ/9OjRVatWDQoI1JPoZFGOdyaZB478vX3btWq9bPGSi2fPJcTG&#10;vXz2/MVT8yPft8T7ZSnZsEwXV0JEQMYK1eP7ECRClRohdWmSCxkB6B92omsaCAtFnDZtGuZx1fyg&#10;hF0yJ9lSOoPQkoHhC2ApxrZy5Uq0iFjbdiupgeV4jOvhKIWZrFKIiXqwZuWqFk2bQ0VB/gGkTea5&#10;c+vRPigKI8yVPceX1ar37dV707r1EWHh8qQiOTXoQpqAybT9hlYp4xmJdPEYOF+ETg594MABnDVu&#10;mrxf1/3IHnAseu5c/IGXFxM4FOjVtT4RALsgD9IUDoHhiMzIk/RDV3skGoPKjEosRU0oCj2kF6gI&#10;FqEAWdIITbGLwcAreqiBuIoxo7dsYZX6sh2NRGAVszIDdKR62q5xsspRGKDdFEvyOfJLThmnCjUC&#10;WGru3LkU2MLkREZGMmCAiuoU0grMD3EDs8c8k07lzZ0n2D8AcuJPJuNhvrhGalWreo3BPw/cunFz&#10;ZHgELPX8yVOLqN4S7/eKnyZIItebrxAkgTnBDrNJdkxIgpbo9wqSkAsfHGIpzIBokaBszJgx8AHG&#10;gPh0peIDshTuAH9EIg5L6eYwKhQba33KWlqXGlBZ9dFPClJUoqjL5y+Ejh1XqVx583k360YUf1gd&#10;fx6Z3TL/3+cF8ubr3L7jvFlzzp48HU9saKAWaI0l7ajswjuCWWUygSUqUyajwofcv38fd4H64Tfw&#10;2ixx39JGOIAEi5Ro1apVSmVQGFERFYBdoLIoAXWiGk5pnnlLHklPXFwcyYctRArOZYaBd+ZAOAnd&#10;w0fDkRAPtEFCQ7+wFJETDe7du5dUg414OZaYD2A7G1FgOtJILJ1+BUYlTqLALkZLUKhqQIOnGkss&#10;ERbkZBkDw6ZHzpquYalZ5rF7emdm4HXGzOwxdfZZvCPUIEscO3ZHfNCvX7+qlSvny5Xb27x82fpN&#10;oZc3Bc/M7uRSxQsXbdLoq8mhE3+9fsPkUs/4c7SVarxHlpJuAU3Qo0ePmGiky4RONG9LYoqJYgg3&#10;dMnYhQwCkZCsl2CCxBd5bdy4ES/gzFIg/YkKx4Rh4A5gKRgUHj1//rweYZDWpQaW2zPAelmyBd+E&#10;5a9ZsfK7Ll3z5c6DvZE5+bA0X+OFq0insLryZcqOHDrs0P4D98PvPf/7jxMZALC13YV3BNOIaORA&#10;jKwc12ZZPnnyBCIhpwFwBsC3xMTEIEGSGNwLekuSgWORzkhLWdosxSpkAL2RjkAbOCJcPHSCI6Ip&#10;+XTJ0S6ozGBQFQiA9qEouoOloKh9+/bBDQRPgAJARRcvXkxEPtsA/iDHYqmLgaRiDA+OZEgiJ4Zk&#10;GxRLjZO9ScCYSacOHTqEPdIg7a9YsQIr2Lx5M2fBuS9atAinipkwIZo3hq2lzuIdQVOaHwpIgakg&#10;devSqVOFsuWC/EinrGvjEBUF8+N375CgLMUKF+n+XbejBw89jI3T10EdbaUa752lWGoVYo+IiCCI&#10;QIR4PdIpJhR9QsYSkgsZBJAQ9oABEwNiCaGhocgLqek+IsbzYVmKKJLgkSERNqI/cOfbshSVAcqJ&#10;Tko/cU+7du0aMWRovVp1Av38yZzgp1eWZj1AQXaVM1v2pl81Xjx/4c2r16yfgKgVA7tNwXTiwr+E&#10;PYcq2EBeqiDHwha7DlsgDzQWlw1w4ngVOAD9BLgX0i8pLataAnKgA+ZnvByCesMc0dHRUKAaB3b7&#10;plurzC7qoHIcCEWhfsRMgDLOGmOhKRqELaAoVllSZgsVYBFYCsZilVznxIkTGBSDZDw2S2F39vDY&#10;wpJVADkBKnNeHMtoly1bRvuQq25TwVIQJC3Ty+nTp+/duydST6tH+2ww1bSpaaGL8PBwpmLUiBH1&#10;a9fJEZINS9EdXOu+lHnsiGgva2Bws8ZN1q1a/cdvtx/GJWTE30tJ5KxSIOqJjIzEHcycOXPkyJGE&#10;w6SrzKkEg6gkLWfxAG1xId2APTP/hGwHDx5EQGS9UAIGQB4MSWAt1EFSiEa29D6QXAHYQtfEy4Sx&#10;mCjcCUtt27aNcaJX0rHUQ5qJioqoOGWyxgZ16xUtVDjA1896+tx8ORuWsujK3SNX9hzVKlfp1/fH&#10;Xdu2R4aFm/e+/AVHoy6kBVKcUueNKgPKEiJlHAsJDbkFrHDSfC1QiirNAWgsUmap1Vu3bkFLZCHI&#10;naAHpoHJSKSkDzSIizedWFC/0paoqKhz585BFXCDnjPEoWEd0I/eczHPfFSQLSgnfEkv0CfswqhI&#10;1+ASqIuMCobTU/K6Ja+B3Xz1E1JxKrtYZTvBPZTGIOmUYxkzjcBPnDJBG+kg3UFasBdGSsiFRTB+&#10;KTkj5xQYvM7iXaB2aNPMijVFBAd0t3njpvat2xDGBfj4QUsemTJbFGUe9iPgC/YPqFX9y7EjRx3c&#10;uy8yPMJ6JP1VO2pW5TeMMP1YiiUkHBsby7QyxaMNcDdMq30dCfEAKZZxUBaMprmQftAFWCJNrAJL&#10;wPaIJzB+SAvjR1hIBzHJfnRImiOJAtAdW+gaTkJ/GIxYCqNly9velwIYmA7RhaPLly8PHz68RJGi&#10;2bJkNbejfMwX3iwzg6VYFi5QsE3LVnNmzDx36kxCTKx+pejCBwfuhYieZBpOwu/DEOvWrUuSo6Co&#10;0lUUmy1sx/vbiRSHwFWs0ghNAfmrFFkKDyaWghigKCUx5Ek4NLRx2rRpGAsJEwkNhIRnI+u6ceMG&#10;essSptEFRjqlPvEfZbbY1/0YqrQdTwgoME6OkiXu2LEDEuJYlB9apV8okBCfXdAhSRWgQfrSrTWN&#10;XyOn8LYGkiLMZPzVJpPPhMCIp06c7P/jT+VKl8mTI1eAj6+emyC2g7FIqgJ9/cqVKv1t5y6LFyz8&#10;7cav1tv8Mg5L6TSATowlkQiqQFiBJunhMVSEYESBDwokrQJJnJQL6QlZCFEesd6WLVtmmPdaYQNI&#10;SremkA7AhN6fdJIoAIrBFrpGVY4ePbpixQqGRESJp4CldAleWpdK2FYBw9EyNt+1a1eCQd34Nd8h&#10;9bbuS3l6scXf26dSufK/DBh4YM8+Eqmnjx473kjmwocGXoUgAy9P7IJXwYmjpTZFyZ8YkrJoAMVm&#10;C2V0GwpB6CgSbEF2znYcLp4dHyV/JcclqC8URiwFC8IH0AYtiHJmzpwJP7HEoUFRxHOoJQQDlA9J&#10;k1lVRgWxwTTkVbIpBqzMj3yOkagygNugMdiI+qRKZIochc5zsvATXeBLaY0xkGBhqjRFTklGyDht&#10;xwucz+JdkKQdyvRCXzev35g/e27Hdu0rlC0XHBBoPTfh4wtLWU9SmB/F586e88tqXwwZ+Mvp4yee&#10;JT7VsXZTKgOtJsf7ZSnkCtQ9S+IUZhB5kKgizvHjxyNaonUkh95IpQRUyoZjkwvpBQTBtGM5WAjR&#10;IkEilLBgwQLKbPmwLIUd4gJIwSdOnIjdokhYPqEPaiatSw2kmSzB/fv3iUbJzBo2bBjo6++Ryc3d&#10;fEfKYilDUboj1bhBwwVz5v5+6/bzxKfPnz5z5VIfHLYQo6OjcSBwA5RDVnHq1Cl5fPkT9EckQVnh&#10;F4pNfWqiRfAE6kR9ghUcLoClWNKsloJ6pDuxFLkU3KDkhswJJ4b+EHZThk5EUagrfdn8pN7ZiLpC&#10;LaRxdI1NUZ8B4/0YFQMGmBVl8icaIUzctWsXdTg1Ki9atIhhw08W+5nvkughDmiSkbA9IiKCESoj&#10;1Pg1cuezeBckb0db7oVHHNy7b/zoMfVq1YGlPDK7WXenPB1PycJSJFj58+Rt37rttk1bYh9EMzwd&#10;zpQCld+A9GMpQKjCJOIXCEbQqsmTJ+P+mHoCCrYgSBc+LLAigKmwJI6DEogZieAQ0+zZs7EE8hjM&#10;A6tTTeA4Mq1ByzJvwKqGBEspeISfYCniRwiGCnb8m0pgwLINFBLfgb8gkapUqVKAj5/1MTc3d+zK&#10;+pWieSlZ9qwh5cuU7f59t51bt0VHPSCLsp6mffbcxVIfEPItiI8lrhkHghvBleP9L1++rEBKygOk&#10;pagQS3YRaelO0pIlS2Aa9Nx+8TmtoUtqFrBFUKdssVmKFjgWJwZFjRs3btSoURDV8uXLyXL08B79&#10;0p0GABgDmiaiUvxHHgarMQxsCr7BrERRjJAWlHLRPoPk1Ej4Nm3aREzGgbqESB0OZCNcS4IFXd29&#10;e1eGgHpLw+2RpxXMZKTQZlxMzI0r11YuXd6y2dfZzFetsR1/wjw3d5ZBftZPD7MGBtWrVXv+7Dk3&#10;rl4jsGCSOZBBMtR/HGd6sBTQOCigDY/Ny2f1DMWYMWOmTZtGOkXUwEYB6QpSLBfSDfb8Y1cEmAR0&#10;+/fvV9ZLSEHIhtSIJzASKrxX6TAMY90WWLVZioCRlI4hwVIYJ0ar973+o6I7QzbMMiEhgTCWKLhG&#10;jRqFCxcO8PUni+LP39t6TsnbvOilYL78rZq3mDJx0rnTZx7Gxf/vuXkXmfnGh6M5F94/kK+ziCkj&#10;dDjj0aNHaAiEgSvHp5OXoCT4cZIYQfoDKEMPRDlQmm7wwBOsQlHSB7tZIJdlQ52yUSwlnhNLoTwj&#10;RozQs2D4McgDRRWRWLZk1FgjoQxLaSRYFpSDAjMMTAybQg9lcYSGUNRO80X5uXPnourYHSnU8ePH&#10;YTJoDFCZM91qfkTMGGiBYx8+fGifhaBhpwMeJiREhkfs37O3R7cfShYrHuTn7+XuYd+gCvYPpBzo&#10;61+xXPnBAwft3LadqUBwHMjMg38c6ntkKUD3TBzQOFhKIZA0UTACIAbBAyoIshyS02NjOCZBqy6k&#10;AyyrMkAQGANWcejQoQULFowePRpJTZ06lbSDaFHPUMjk3hM0BoFV1IAtSViKABPzJpRGqaRvqYR0&#10;Eo8TGRlJeNS3b988efKEhITASebZJOt2FGbGX7B/QNmSpX7u13/75i3hf9598vAR/GS9NNNavsU1&#10;RhfeEbgO+RCBMlxCvIv0cesQBh4fxUAz0RNIgqXNDSgPygx/4NlhF3QYbuAQyIb8AzVwbpyCfJQ2&#10;Ctolnbl//77aAevWrUMPYSn7IzIQIeqKokpvtdRIgK3JjBDWgWZoAUKiQUZ+0TwZRAoF25EhwUA4&#10;xi1btuzZswe15xA1JYriKKVZsB1nFx8fz4TYQ01nPH2cmPjw8bVLlyeOG9+8SdMiBQthO8R51tK8&#10;3w+DIrsqlC9/+9ZtZ0yZisji4uI40OIoY7yacNNYCkhXltIWoGcoiBGIQXB/zDWSkCCRK1JEHjhB&#10;F0WlM5h5wSIH86ZLzAbpIKPBgwdjipIUNoOpiKUcB7yKLZzL7wIa0RiAGmSJodI1/gXiJIYlioSl&#10;yKV0uUYKlkpQn9iTUyCy7tChg7cBWZRHZjfrI1KZ3T0zu3m5uWcLzlK1YqVJoRNIpJ4kPCSLsr40&#10;+vJ/Vjr1ltTowrsAeTm7EcoIHQnioIl3oQfcPf4aDYF40Ftn14HmEG/h2amAzuB2iG+OHj1KHZJp&#10;vKQat9tnmQR2p4psyHWgKOiEnEy51Lhx48h72EhHcmKoJWB4YebL93JujEQDU7yFKW3YsAEeYjBo&#10;MiOkvHTp0pkzZ86YMQOK0ksPdKDawe44EKWFlalGZRwpHp+xyePbo32voBczYRassrm6EPbHn6uW&#10;Lf+xV5+qFSubt/k53isGV7l/nsnt80zZs2StU7PWoAE/w9APHjzgQHvMLGnK0XoyvF+Weh1QDlJU&#10;3fPA9xGkozdEtSS8tmOSE6TM0oUPAswDFwAzmV8NjJ48efLs2bMx8s2bN+v6g4RlDNAyJA5hSVmH&#10;vwtoh5aT6IAi0G3bts03333GjLFtvMbbshSVCTzv3buHys2aNathw4Z+fn6wVKCvv7kj5bjrG+Qf&#10;UDBf/maNm2xevzEyLOKv21H2nwvpCKTmLGX8GiyFGzl48CC+HpY6cOAAqQwshUOXWuoaGm6dOqgN&#10;FEX+AaXh2VEt5R+O5lKCegRaxY06sxQgLRNLAZIqhkF3tKze0WE4yX5sj1VpNbuwHZiJwzEu1Bi2&#10;I39iySpZFPYFoWJ6ZHuiPZSfJZxH+3rkD5YiFTt37hzn+8h8hNM4/HRiqSR4bkwjLjr2xNFjC+bM&#10;a9OiZZaAQFiKsM/bw9M8RmHd6GUjaVazxo0506ioKEar+cd+3yyID8NSCJtUHWEjEt3zoEDgQCaI&#10;FCVIW6jyUC6kP5ACrAAt6YofBqlnbbErTB0rwik4S0qg7Dj+HaAGU2QpuoaldKEYhfkXLIV5cAi+&#10;g9D1l19+qVq1qq+v9fEBKMrXvNdZj89av+StVKXnD90P7T8QFx1jvjtgHu0j5uPvA3iD/zoMZTjm&#10;HSHindEKVAI5wkDQBl6bNAVvDqAoyhcvXjx8+PCmTZtQ44ULF+q3tGgU+YfURlCbSeDY93eW0hU/&#10;EqmdO3dCM1OmTME0AE4MpoT/ZBFoF9oLNAzAUGEUtjM26IcxMySsCWaCO1FpQkByI+gKuqUCWRQK&#10;r6YYsM7lyJEjVFi+fDl9UWZ7TEyMXLzFUR+UpR4nPPz1+o3tm7f2+P6HvDlzkUhZuZQH1mTFfD6G&#10;rnJly/Fl9RrknZwauUpiYqJ1uIGaShEfhqWYysePHyNOAhzEPGHCBJIqZh/xM+8Ihl0SNjAOyoV0&#10;haYdESiSGDdunJ5zwZZkVKtWrcLMkBexHpVlSJgfS8pq5F1AmzSVnKUYz44dO7BtsRR2i9f4dyxF&#10;azNmzGjZsmWhQoWsy30+Pt7u1k0p/WwelipWqHD7NtZl9KuXLj99nGh9ZtTBUi+tvw/gDf7rsBjj&#10;75xBjHLp0iX4afXq1XAG/mTv3r0kImxBTwho0FJAdgJRwSvQGKpl/3SBJS5e5eRQd0CrNkuRnMFS&#10;tA816teEui/FGPQYujgJQ6AvdFimIZWGe2AXxoMdYVBEfhwIP2FZmBUjJMci9qIFKgOO0oGcJgdy&#10;LtgjiZSemHBOBxkesEebnnj53PqC6LPEp/ExsZfPXxg1bHiZEiWzBgb5Y1UWOTne5OKeKXOAr1+p&#10;4iWGDRuGjMLDw5lPDv/HYX8AljJyt8b04MEDRAKvKp0ijiDqwTMiXZYIRr7JhfSEOAbDYIkIMEgI&#10;CVuaOHEi3IBZYicsieacMyodpcBC1PKOkGUmZykCYTqVzmCr2DxaBOu8WcuTAKuApc6fPz9w4MAK&#10;FSpkzZrVy8uLdEovm4ClsCh/b99K5SsMHjiI2DDsjz+tB9CfWaboYqkPCNt1AAmReBzFwI2sN59d&#10;x9HjxAHlBQsWEPuitCgwPhHyQKngmIcPH0phAIW3ZamoqCgSpj3mfeckNLDLrFmzcF+6SwQX4sTo&#10;SxEbS11+xEaI59gOjWE+jEpJ2MiRIzmWpAp+1S0PakI/HCJQBrTDXhJBkTG905qeTtTYGCTDA/Zo&#10;0xUvrXTqeeJTwri7d36fNX1G3Vq18+XKDUtZzyJZD836YFbun2eGtArkzfftt99yypwCuYqjhTfi&#10;A7CU7VMYIgECvgYPGBoaSkBBhKLYHPGgfDipNAnMXUg9nFkKEHtiVFOnTiVgxLSwEzyC7kLjEVA1&#10;okKYTKGijkoTkdEUOpCcpSBFekRVYCnGQMip32O+lXHimHBV+ItvvvkmX7588JOnpye5FCbEn8VS&#10;7h4hQcEN6tabM2PmxbPno+9HGTu0PuZrkRMZlYulPgSQsqAycoeoUAD8OIpBIqK0CVDG77PKEkHj&#10;Z+7evUtNRK8WcOiU36w5qgm0yiFiKYxCLLVhwwYoEFKEDkmqoCssAhs5deoUuooOYwss8WlnzpzB&#10;cDgKpdUPEKEoUgrUmKSKpjAigjx5PCk/oKAyPVKH0BCKIlkkOINu9euo5NBo0xVYR+LT509gqZcR&#10;YeFrVq7q2qlLhTJlA339dH3C3/qMr/nYvJd37pw5GzVqNHz4cHiXIMMxaANHa8nwAVjKUL7F+WgJ&#10;IkGfcDqIjeBi48aNiBMBK6MCck8upBs059iGyhcuXMAUsUDMafr06dg/gSQyQmrYJzkNlkNswUb7&#10;HpVp5l0h40zOUvqxPeMhrCFuZSN8I3VyqFcqwCEcSHjUpEmT7Nmzk0hlzpyZpY+ned+EeXa2UP4C&#10;ndp32LJhU2RYeEJcvDNLvXz23PXuiQ8CpOwsawoANxIfH68H6uCDqwZKSlBIyAmHHhcX98i8SdY+&#10;UAz371iKLByq2LFjBywoYAXoJNH2tGnTVqxYwV6IijEwABgUI4IpyfZI7/ByY8eOHTFiBG56tHlF&#10;3K5duzAfxkxN2/qA5f5e/QCDOqJDOiUh42Tx7zbj2tDkAA04/fDyf89gKazjxcv79yIP7z8wYdz4&#10;Jg0bZQ0M0pUJPZQEXbHMliVr2bJlO3fuTADBZCKUfxz2h7kvxbDQD5b6gC8yRrr4QQqIE6EiMKSF&#10;e0LMFFxIN9h2ojJBKMyk6A8jhCEwEl15g6gIAwEbCRIJBvELNqO8IxhAiix14MAB2AVtYTxouS5t&#10;S8sdupUKREZGEnqjb9WrVw8JCSGR+uyzz9zd3eEncikMKSQ4S8Wy5fr/+NOJo8eePn5ivXns5f/s&#10;K37WveKnz16STrmQvkDKSWRt+TYD/Ak8RLaESwGIODo6GlcOFamCKtsO0XZBaidFqCbQKpWTsBQa&#10;iObv37+fSI5EisgJpaKAH8MoyH4IqgBhHDkQ29k7bty4yZMn6+LEpEmTqEmOpbtQCvIEKTxukL6o&#10;wOGoPXQIn4WFhem87HMBGiFnBHW9+aTeC2CpJ4nYBYW46Jhb129uXr/xh2+/y5Uth6+nXoxpXaLQ&#10;rzsCfP0IDevUqbNkyRI8jOjW0c5r8MFYCigIIojAD5JOEWLgDSnj72yWsj2UC+kJ207gJGyDnAmL&#10;AmvXroW32I7UEBPCwswWL17MdmwVi1I8CKgj8dlNvRU4imNpRwVtIVLet28fys1IoEy8AC5DZmkb&#10;6t/Atr/+8EyWc6Jw5/adtWvW9unVu1yZskEBgd6eXpk+/9zD3Z2Ct6enj5d3vjx5Gzf6alLohMsX&#10;L/3VgnU7ykqhDF3BUunuC/7zsGT4d1kbR+IQBAUCc7hKaRN+HN1wVg8KWqXMFsHemxyqAFRW+1Ag&#10;RoG2Yxdo4JEjR44fPw4PLVy4ELWEqNBMEiYwc+ZM3RtTmgU/wUyYEgS2ceNGdk2fPh3zIeBDt8n5&#10;klzuIzUUHVJfd7yoSR2bojRIZzifYLpCoZuJ4Z48ehwbHXPqxMlhQ4YWzJ/f38fXPXNmLzIqDw+3&#10;TJko+3h5+fj4lCtXDrbGjegZxTdIAXwYlgKMiblGnwgNCJCRsSIRfBDCkGMy7s510S+9oWkHGAx5&#10;7datW3UfCMMjZhRLYUIEgBAVe5EdRKX7xpfNl5exJY4lNgQSJWCLCqkBlVXfGKyDrmgclsK85Qtw&#10;E8TODn1KEag9f3rYASt49sL6Te6Ll9evXJ04PrRV86+LFy7qa/00ysfLzbpiLmBCpUqV6tOnz6pV&#10;qzhHR1MufFoQ64B/zKgEu35cXNz169fJxYnM0PlTp07BJSzRxhUrVixatIicCUtBP+EkFFW/4iAE&#10;h5PIh+CzkwYQFQQGS1FGt6XhLNF5jIsuSJvgQnqhzdXmxe1UePjwIT79DQ79Q4EhaVSaJaJVnEb5&#10;8uWzZMniTvxnzMrNzU1lT0/PYsWKDRw48ODBg/pg45ul8GFYivNhTIwMkE6dOXMGMRBrIFFiDf06&#10;z9nBufChQNi4bds2hIK9TZ06VSwli0I6JDdHjx7VDzgwUQwVk0Nw7FUFG28rTbVAQYe/K0s9dxCV&#10;xVXPX5w9dXrAj/2qV6maJ4f1qw5YylNvcdavpvz8qlWrhluhL+jW0ZQLnxbkVY1HfVMUb8OuTCqD&#10;KsplwTrQlW6GEc+h/OgMcRvZD7sI3ebPnw9jwUZEPHv27Dl37hyGEBERwZJVMiS2Y0G6Ey9AUbRG&#10;pL5jxw66oA7GRcZGL6Rx9oU+x7AyBuzJcaz/73/kHgy+adOmRYsW9ff3t0zL1xeWAl5eXnBVvnzW&#10;k37U4WT11KXz4Unwwa742REBZYSEaPE7I0eOxBWSRyNyEZV8lgvpDDEE3AAx7Ny5E2IgMCRDJ7Ij&#10;cmQvuwB1UDJMCPYi4iMPpjIxICkIxqZGWMr23kqaHKXD342lDDNBUa9+kAtFJT56fGDPvo5t2xXM&#10;mz84INDf2/oxr9tnnwf6+RPlYUKBgYFNmjSBdNHAmJgYR1MufHLA/8i9yhG9GaoJHj9+TPh/5coV&#10;eAgSIqQmb5CWojDw0PHjx8l7ICFFb9OmTaMmW9B/1PWJ+YqVvjayfv16dmEylAkH4SGaxb70uyiO&#10;XbZsGZZFUxiCKCo1Q01/MKokNMMJMuy+ffvWrFkzW7Zsiv/EUiRSsFRISEijRo3ITJhATo0W3nBq&#10;H5KlWGpkyADvM2/ePAJYvA/CI5TQEzKWx3IhfSGGAHADUkDbYCBYCtFgVKfM93vEHIAC5LF3714s&#10;CqOlgoIMTI4WnC+1s3R0kApY3acJS1n89BdLPX38JDI8Yv2atV/Vb5A1KBiKCvDxI4vK9H+fBfj4&#10;YjweHh45cuTo2rXroUOHoCj7qTAXPgHIFQLHekpbXgfqWBxlHqBAMYjDSINmzZpFxoNa4qnQUl2p&#10;I26DcsixMATqTJ8+HYcG9+C4OVxNkZBRDX7CXsgn9Lj86dOndYtrjXlzElkU24n5aDw+Ph5VTM04&#10;PxRslmLJOBkwjgKGbtWqVa5cuRT/YV+AAkQVEBBQoUKFbt26cbIkl2rkdfhgV/x0VhQA6aEiC7Lj&#10;8ePHI5795m1JSB33JLflQjpA3AAwOZZMPmSDLJCIHliAio6aT0zZj7ewxIp0g0rX5cmoMDmCSolP&#10;EqQ1q4NUw4wijVjKSqcsliKRio2KvnD23Kxp07/8onqQf4Au90FUmT/73M/Lm0DPz8+vRIkSgwYN&#10;gp5RUZTT0ZQLHz+Qpu1zHJtSDR0LSGgemq8Dk+UQWLMk9cFZ3bhxA6MAEBWchAmQS2EvixcvJs7D&#10;Fh6Zb1WoKcqoNLH4pk2bYLK1a9dCSOi2rvKh4QsXLty8eTPtREZGkr3pzo0Oz5iwWUrpB2PGS2Ch&#10;PXv2zJ8/P7QECAEBjAVIrdjeuHHj2bNnMxUc8gahfMinJzgxnRsZH7EJqd/cuXPHjBnDuDk9RMhG&#10;+TgX0gfiBlgBI6RAJoTtkVUQ8REWQVTQlR6RYDv1xR8U2EIYuGvXruXLl8+cORPTxUoVY6pB6ryV&#10;KM1A0oilUH5DVM8Sn/55+/cdW7YNHjioYrnysJR+zBHo66evyGM5efLkqVev3tSpU+lajsnRlAsf&#10;P2ymoQAcW1MH+1hcFmkNCknSI4KBTvBdBGqQCsBxsYvtGAtBGxRFahVlXq5qN0ULpFYoNgkHFYjw&#10;UGaICtIiWGe513wYVj+0UNdJBsxqki0fFvYIxVKcLLkHJz5q1KjixYuLpZwBXQUHB1epUmXcuHH4&#10;eU7Tnp/k+AAsZZ8PwxKITe7du4eYEeqIESMmT55MGohzJCmWq3IhfWCo4W8shQJBS5gcoQNERWzo&#10;zFLYKnUosErygcnBT9OnT9drPREocSXRJYEkrZkeUgszkDRlqWcvnjx8dP3ylaULF3fr+l3JYsWD&#10;rdc2e2T+v89hKfNLKa+sWbOWKVOmQ4cOnGaE+WwVJudoyoWPH7gdZIr/sV1Q6kF9HQjQCvjj2LFj&#10;8AqmQWSGtu/fvx/TADvND94xgSVLlpAYobR3zWvLaUGN0BrDINtISEignUvmw/AcRe5Fg/g9HRIT&#10;E6Mn+nSIM2jH8psZKbtikIyKAqNSIT4+/v79+7NmzSpfvryu+NkX/UCmTJnYWLJkyWHDhuE64uLi&#10;3nB1/QOwlCUrcxoqAM4QLoWTVqxYMdYAn0hgTs6oAFxL/JS8p1ZdSHNYzPCKpTTV0MyRI0fWrVun&#10;52sxPCwKrYK9RB72UYDtBJXY7eLFiwk4tm/fjr2xHaJiKT5LJajPkjGoTF8saW3Hjh2MBIoiYyNi&#10;xZJtq0gO6wdSTm/eexifcOrYiXGjxjT9qnHRgoWD/PxJoTwzu/t6Wr+KJ68KDAysW7fu6NGjaZmw&#10;iWZp/OnTp47mXPh4IA8uCarMkoQGLSKJcX4MQRXkZFlqNblGscUG1WAd4hgclJ50QOfJgQjRAAX4&#10;BtZh17lz51BR2AgXrGYBrakjNuKd9cgf3u+CecksZsI4OUTPWWhgGoMNtQMc6xkA9njsAicIE5NQ&#10;fvXVVwUKFPD391cW5WaeRxdpFS5cuHv37kwgnkRTxPnqWJ04PM3yg13xSwKGhQIhXVzhmDFjSKcY&#10;Ol5J7olzABTkOikbV+ZCGoO5FURUFGCpo+ZVnnADQhFLYVEQj1hKlSlgXeRMZ86cId0h2iDjgdtI&#10;p9gIaPytWArQJmPQUaIr9AGtIKVjJPPmzSN6JZfCkmUVyWF+xmteuGf+EuLiD+7b/2PvPtUqV8mb&#10;M7efl+NX8dZXcAxLBQQEtGjRAorlLPAUtICpvCHEcyHDAsGhGPLyLKEKFBXOQGcuXrwYFhbGFphG&#10;FSy3mgyOhl4DjsIFkyvcMO9h2WNe0Ldy5UqW5EOK5MiTICHIBujGkt2suqARNrKLCgwGj0yblFE5&#10;BuZc/yMFJ4jr6Ny5c8WKFbNkyWJuSHlDUXCVr3l5Zr58+dq1azd37lyEYouDA225ICaWGYWlGBPR&#10;K8LG+4wfPz40NBR54yxQAjlBgJ7hrbRq/JgLaQxmWPgXLKUf8yIvpAY/QVSrVq0iKTl//rw4hprq&#10;JZWgzeQstXnz5qlTpzISWPDQoUPxb/6QtiEnx9MTL/8XHxO7fcvWtq1aF8qXP9g/wEOJlJc3uZTF&#10;VZ7WM+hdu3ZlzHRKMEsDqCXtqzEXPiKgEvh6gARhi61bt06aNGnw4MG9e/ceOnTo/PnzUWOkDCW8&#10;TnkgCUcpJXAULXM4mRntkAOdOnXq2LFjLHG4qCsEBuXQCPoDKAC7LwpJyilCFT5ecAqEBYMGDWrY&#10;sGGePHn0PLqHhwdZFGUKOXPmZNeIESMIbZlJJopZ5UCYmwKHR0ZGssxALAVtEpWsXr0afSKdWrZs&#10;GSkzjolIHAfnzFLGibmQ9mCGhbdlKZbYKkSlQ/bu3UvSs9z81Bc1ZYuqObpJHVJkKbJt1AMsWrSI&#10;gcElaPZr7ZnNpFJou2GpmAfR61avqVerTpBfgPnKdWaWfuabAtbbmj29goKC+vbte+nSJfwLzVoN&#10;GKgxFz4i4E+QIM4OttixY0ePHj3KlSuXN29egvf8+fPXrVt37NixkApOUPd+kHISIqGsQhJQQQ5U&#10;4Fi0BT0kYAK0Rk5g50OOSgbORzmD7SBJ74K917H+EYIgdc6cOd98802RIkVgJnIpUiglVbBU1qxZ&#10;q1Sp0r17d3ISgglmTCerS7KUcQIUMgpLMZTY2FjcECo1c+ZMWGrhwoUQLEm60imclDwdoGC5MRfS&#10;GkyswCSnhqVEIUYmFtQCUcXZs2f1ZODs2bN13Y9gU9f9Uo8UWWrDhg16TefixYvxMraLcahREtgs&#10;9ez5i8SnEXfDFs9fUK1SZdImEimPTJl9PLzMiyfcPc0HpYjsCLTpyHgGy6c42nHhYwO0gdN/8ODB&#10;zp07BwwYUKNGjZCQED3DSaFgwYJNmzbFyezatQs1g1HkE52FTlmFJKACLdt7WQXm0JRJSNWAY/01&#10;4HA161h/BdPwR8xSuIXt27eTTpUpU4b5h6J0xQ/AUlmyZClevHjr1q0XLFiAIJKwFKs4f7ZkIJYi&#10;EsHH4XrgJxQIBiZPP378+LVr1+Tg5D0BBVZdSHMwsQKTnBqWQrGA6guUOZC9hBekU/Pnz1+6dOme&#10;PXvOnDmDHB3dpA60/DqWmjhxIrkUuvFPLGVeifTi5fPEp7EPoi+dOz85dELFsuXFUl5u1nMTPh6e&#10;lEmkcmQNKVu2LOcYERFhuQcDRzsufGxAdigG4dHAgQOrVq1aqFAhEqkCBQpUqFChRIkSFMioKlWq&#10;BIGh3lFRUSRAeEMJ3Yajrb+D7aITQTWTw1H773DsM7CPdd71ugZV52MEc3vhwgXMitmGpazH+8xv&#10;5wFEFRQUhFzq1Kkzbdo0vIdty7pUy/LixYsUMhBLkSYT+1y5cmXVqlWjR4+eOnUqBdIptuD1cH/4&#10;KblCoFUX0hbMqsAMp4alBMfBBlALvMJGPf7EgbDUmjVrdIPKUSl1eANLAYIv2idklmE71OjvgJ/s&#10;9zTf+fW3nVu3D+w3oHTxEqRQ1k0pN3frawJu7l7uHiHBWUoULda8eXNGi13RIM3SAkssR6258BEh&#10;JiaGwCg0NLR27drZsmUjZi9cuHDFihVJqkqWLJk7d+7g4GB9PwJXo+8wEJ3YF5rA65RKsKsBuyYF&#10;AIfRDh4Whwa0Kwmowy5dFaRst+AMtSY4Nn1sfoGskQAA+Y1JREFUYOScZlhYGH7jyy+/9PPzs7Mo&#10;ZVT+/v6BgYFEhyNHjsTViKWYUrHU48ePkQuFDMRSjIbQGH+0bt06VAdPRLxMwo5vEkvJewqUjStz&#10;IS2hGdYSQbAU2SCRmTNnTpo0SSyluIEK5LjiDyB+QiPDw8PZePPmTWiJLGrlypUcBV2dNO9+tqGj&#10;3gCxFEsqq5dLly45sxQjIf92dhNJYLPUo/iEKxcuLl+8tFvXb4sWKiyW4s/b3QOWIrXKkzNX5QoV&#10;u3fvvnHjRhwcbeI7aIECHketuZABgeht2FuQ2v79+0eNGtWgQYMiRYpAUVmzZoWcWP36669Lly6d&#10;J0+eggULFi9eHP/4xRdf9OrVa+HChThERG/nSc4N2tAWwbHJaSNlDqQF4Lz938G07eBCx6aPDYyc&#10;U4iLi1u7di0BQUBAAOmUl3lDkljKz9ypIoAg5cWrYGvW2T53sBQJ7okTJyhkFJYSGBARzbZt2yZO&#10;nDh27FjSQLwbzg4/pTvz+E35L+PHXEhjiA+YXs0ws43qQAaw1PTp0+GGFStWsErcoJosdaAztAvo&#10;BhWBKixFWozjgGZ0FEu6QKaOY1KCPQYA/3EUmoA+ECAzEtyKWErxr0OBkoDt5kn0hLj444ePjB05&#10;6usmTQvkyRtgXjbhkQmW8vTz9vH18mZL44aNQsePP3DgQKz5RD0wDVhuQo25kAGBmAjAkZHl0Y0a&#10;EICjV6TvjRs3hopy5MhBtE4W1aRJExKp+vXr16xZs0qVKlWrViW6r1SpUr58+Sh/8803M2bMIP2K&#10;Nt9OJANQa4AC7aNmrqz6bSG5MJk7duxo2bIlU40s4Cg/68FaL6JDf28fbDB/7jw9uv1w9NDh+JjY&#10;58+eW1/YeU6A+TL8z7t7d+5CxBmOpSIjI3fv3q1PmMNSaBuqI6eGn8JhyYW58D5g84fKzPbVV688&#10;RyJww/Llyw8dOgTZsEt8owOdoUaEixcvIs3Vq1fDUlu3bj1mPnPAsdShF3EPcBz5dyRhKVo7d+4c&#10;fKkXTyxevPjo0aNvZik9NwFLxcXG7du9Z2C//nVq1soRks3X09v988yema0rfuZVft7Zs4R0bNtu&#10;/rx5KBsJPXpos9TrGnchI0ACQl5A5fv371+4cGHcuHHkSdmzZydOJ52CmZo2bVqtWrUKFSrUqlWr&#10;WbNmHTt27Nq1a6tWrapXr16+fHkYi9W5c+eSUT148ADp06CjDyeoC8eKC6kD7E6EShxQqlQpJOIN&#10;RTmzlIdn3py5v+vSdee27eF/3H366MkL8y3sp4+f3Lx6bcOadRmRpaKionCLixYtmmy+u7xy5Uqc&#10;0Y1Xb40DFN7g2lx4FzCrkIFdBtfNB982bdo0c+ZMWGqpeREwOQ3VkAUVVNkZbLQIylRAcOTsJMew&#10;FKLUa5P0LIzNhSk2YsPI3HpMg6M4du3atQxjypQpy5Yto+U3Pz3hYKkXL2MexGzduKlrp85lS5YK&#10;9PP3cnN3+zyTl7sHFuJtnkEnmuvbszcRH73YF8cdrbiQ4YEjA0gtMTERxdu3b9/QoUPhJz8/Pyiq&#10;TJkyZFGwFPwEdZFUde/e/Zdffhk2bFjfvn3btm1LLlW6dGkSrA4dOsybN49AivBfDdpQRxRcivG2&#10;YCYx1QEDBhAr5M+f39vL4ieISk/Y+nh45s6Rs33rtiuWLrty4WIC6VTi02dPEmMfRJ88enzOzFnY&#10;Y4ZjqdjYWJygboTAUoTM6JyuFMlh4dS0dLgxF9IOzKooxJ5kaObkyZOwy+zZs6EHxLFnz56zZ89S&#10;jb1ABzqDjUZQDklduXKF9AuBcqx+PsUWtqumoANThGnJqizC08/pSOxIsiGtf37Gz1w9eBB5f9Xy&#10;Fc2bNM2XKzcWAku5Z8pMwXrAL1NmuKpwgYJDB/1y8cJF4mhznMsZfUwwJOVgKTQTFR08eDCRe0hI&#10;CHkSKVSlSpVYkjA1bNiQnGnQoEGjDOCqHj16tG7duk6dOtSErnr27Im237t3j6ZoEO3SzRJHTy68&#10;JTSHly9fxmzJXIsXL+7lab3tBZbC7vwMV+UMyda0UeMpEyYdOXAwOvI+iRQsFf7n3Z1bt48YOizD&#10;sRSn9OjRI/Rs9+7dCxYsIGQmtNm+ffuZM2du3rwposKpaSkv5kIaglkV/TDDzDaFX3/9lcnfuXMn&#10;goClEAriOGU+MeU4Jhk4SqBMDkRTsBppCtkPRLXFfM+XFI3tQNWSw25B1QAR7uHDh+E51H3OnDkb&#10;N24kmtFbVVAbhwIlgfmx1POnz8L/+HPhvPl1atbKGhRs5U/m0T5jIdZj6NBVyWLFx40aHR4W/vjx&#10;Y+s4A7XhQsYHLAIQGVwVERGBxo4ePbpu3brFihWDeOAnCgCW+uGHH37++WeyKDDcAKIitWrevHmF&#10;ChVIvGrXrs0uImNUV/eiaNPFUv8azB5ziDNZvnw5EUC5cuU83D1slvL1tC79hQRnqVX9y0EDft66&#10;cVNkWPiLZ8+fJT69c+u3VcuW9/i+G1LIQCyFkqENhDDo2bFjx3BqsBQZ1YYNGwii8Wvym3guu+BC&#10;2oJZdWYptrCEDAhO4afQ0NC5c+dCM8ePHydo0CW75NDh7FUFlsjuyJEj8AoyJRmiNdrUs+w6JDlo&#10;RNBIAOHYgQMHaGHy5Mnz588n4LVfEvFaRnn5PzT+ccLDX6/fmDl12heVqwT4+llPTHh5Wy+bMBfH&#10;KUNdlctXmDZpclxcnN0aS0EtuZAxYctIBUB6fffu3c2bN5Mw1axZs0SJEvqxVJkyZVq2bAlFwUwj&#10;RozQEpB1derUqUaNGoULF86dO7eIasCAAcRDqF9UVBRe0rl9060LqQUGBchNd+3axZwTMbi7W/eD&#10;sTsHS3l5BwcEVipX4fuu3y5bvCTsjz/FUtevXJ09fWbrr1tmRJbilGJiYs6dO7dq1SpYatq0afi1&#10;o0ePXr16VQ4UF4bPUsGFtAWzyiTbxMAWyhcvXty/f/+iRYtgKZKYTZs2EUP8I0vhKaggMbEKLe3d&#10;u3et+egOdAXPQV3s1c+hkoNdgj0YOIkIl8OnTp3KYEjOrly58o8s9ezps5j7Dy6eOz9x3PiKZcth&#10;EvCTP6bhZt2O8vf2yRoYVCBPvro1ay2YM+/xI6s1oj/rUKONwOWYMjKQjgSEpHTRj8KTJ0/QDaLb&#10;Xr16kT+VLFmyYMGCpEqtW7f+6aefhg4dOmrUKJKtkSNHDhw4sFu3bk2aNClfvjwsVbx4cVgNouIo&#10;Eqx169YRH0dGRiqdciVV/wIYFJMWHx9/8uRJLLdOnTqeHh4mUrSe7oOlKAT5+ZcuXqJNy1azZ8z8&#10;/bfbz2GpJ4nY7ISx4+vXrpvhWAo9ALgeAm2UbJLBkiVLcE+wFA4L4MLwWfgvuTMX0hDMquZW3KAt&#10;0ANJjDNL6XmWN7OU9kpegPpnzpzZtm2bvruDQPEjznKkkGJZIwFiKY4ldqERWAqe013u1xIVLJX4&#10;LCoi8sTRY6OHj6hQpizMBD9hGHCVj4cndJUtS9aSRYu3bdV6+ZKlag1Yh7pY6mMA0pGAkBSCs4Wl&#10;T/CtWbMGTmrRogWJVNGiRatXr96hQ4d+/frBUmPHjh02bBhU1LhxYxIp3bWiDMqVKwdd1apV64cf&#10;fpg3b96FCxeImxNffVdCvdhQd85lF2wwJ7IgXDoOfMGCBQ0aNPDy9MQGoSixFIFjoJ9/kYKFvqrf&#10;YOrEyXd+vWWx1OMnZ0+eGj54SI2q1Z4mJmYsloI2pQpkiNu3b4ei5Bm3bNlyzXxrCm+lCN32Yi6k&#10;ITSxNsFoqsVSixcvnjBhwty5czdv3kwuBevokNSDQ2gHgtFlQ0gLmiEcoRd1ZFOaGYXjcy02S8Fq&#10;Bw8eFEvpbiXHwiuojW50O9TIGS9fPkt8GvHn3T07dv7cr3/ZUqXNoxMWS/l4eJnLDj4hwVnKlynb&#10;t1fvdavX6NqOC58AEGV0dDQZ/+7du0mbyJbgHlC3bt0uXbr079//559/7t27N9lV5cqVSbMaNWrU&#10;sWPH7wwok34BEqzvv/8elSOjunv3LspGPETL8rwsgbqT11LZBRvMCRMFHj16hEWvWrWKufXy9LLe&#10;nGl918084+fpFejrlzdX7upVqo4fM/b2zVvPIYHEpyePHf+pd18iS6w7w7GUEf2L+/fv61dTsNT0&#10;6dPJq/CV+C/bdQJ5NBfSEJpYZphymrMUpIK1r1u3DrMnyCUxOn/+PL2oUxuq7FhxeqhdLLV06dJp&#10;06bNnz+fXAofRIyG2jgH0c7AkTyOf3jz6rVVy1Z8903XIgUKeZq3Iuk96CrkzJa9RtUvhgz6ZceW&#10;bXggx5EufPyAUciBbt26hfbiSaAfKApOqlmzJgkTCVazZs3q1KnDFpadO3fu0aMHdb799tuWLVuS&#10;dbEdViPNgr0mT558+PDh8HDr4Rr7mrAzdF3LseLC38HMwDQkHlu3bmXa/f38MD2CRfjJxIvWbxaz&#10;BWctU6IUZnjjyrVnic/+9+z5scNHvv/m2/y582Y4lpKwwYMHD3BJOKOJEyeSUUHC586dk0d7809B&#10;XXgXaGLfE0tBNhcvXoScIKply5atXbv2yJEjIiGgrulUUrbLjt2vnp6A4WApPWpIKqZf4KI5r2Op&#10;hJjYc6fOzJkxs23LVvly5fHIZL2+z9fTunPLn7+Pb/7ceRo3aDQpdMKRA4dQP8eRLnzkUOCCQIni&#10;4aqrV68uX768V69eFStWLGpQtmxZUqhKlSrBQ19//XWfPn1+/PHHtm3bQl1NmzatX79+vXr1YK8y&#10;ZcqQUXXq1GnWrFmoa1hYGA3CVXJTdgrFMkUNdAEwOQgiISEBl040EJI1BLvD+uAnsZRuFefPk7dP&#10;z14XzpxLfJz49PGT/bv3YrOBvv6ksBnuvhRLzopsnbgbxSKKIZ3CN508eZLYGbflYqn3B03se2Ip&#10;GkSCRBs7d+5EoIsWLdq1a9e1a9doijSLjlQHQjKjSMpSMNzevXsXLlw4ZcoUwhdYimPj4uLkIIBD&#10;jZyAJj2MjTt59PiUCRNbNG0GIXlkdnPPlNm6Ji7b8PElwerQpu3i+QsunDmbPEZ24SOFLgKjG3Ip&#10;UAsxzfr16/v379+gQQNYKnfu3Hny5ClSpEiVKlVInn766Sc4rHbt2iVLloTAqlatClFBV2RUpUqV&#10;+vLLL8moRo0aRTaAuuoL0TT+1DyqnqLuuWBDImCuTp8+3bt374IFCmYNCta1dx8P/WbR+kBBjpBs&#10;33f99ujBw7EPYqLu3d+8fmOzrxpjpBmOpeRxWKIHFy5c0It5xo8fT+x86NChK+Ylpy6Wen/QxL4/&#10;lgIQlX72BN9s2rSJ4IMkiY1UoDvYSA8ZskrXWrLKxvPnz+tnW+TW6AMMh9+BpRTPpuwpXr58GBdP&#10;kjR25Ogmjb4iWEPp9fFDbMP6yZS3T4kiRX/49rsNa9bevHoNl+Y40IWPHAo45EwEPaFOPgTZ1K1b&#10;t2DBgjlz5syfPz8k1KhRo27duhHmk13lyJEjJCQkX758lBs2bFirVi0YizKg2oABA9asWYNCkhnQ&#10;OL2AlHXPBTP/miXK0DmeZPDgwRXKl8+dPSemZ16kaRGVp/XVbLdswVk6d+i4c+v2O7d+u3n1+vLF&#10;SxvVb0BAmYFYSucDKKNS8fHxJOk7duzAK5FL4Rz37NlDGE74LM8lF+ZC2kIT+/5YiiUNElLpt1Nr&#10;166FePQYBbvEUgQi6hoQkbDkEDZSjUh21qxZsNTSpUsZEtWIkdEWW3OS4uXL+JjYPTt2/dyvf83q&#10;NXJlz0EKBTlZEZynl3Xpz8u7VPESP/bqvWPL1ju/3qIpx4EufCpAMRArLhJfSTgfGRlJfDNy5MhO&#10;nTo1adKEJKl06dIkTF8ZVKpUiTQLogoKCiLZgplq1KgBUbEdMlO1H3/8keiZiNl+Hz9wcVWKUMap&#10;WaLMpI0dO7ZO7dqF8hUI8PF1+ywT5OTr6QVXkUuFBAW3a91mw9p1l85dOHvy9PzZc+vXqYuFZiyW&#10;0slQpkCoQnwNMxFx4xznzJkDY506dUpv4xaM63MhLaGJhRgopzlLwUBqnCwZaRKTwlLr1q0jndID&#10;nHCSWIolZUDwy5KjUAakr9cJTpkyRW93ZC9+5w3eAZWKuf9g07oNP3z3ffkyZbMGBhGa6Z4ttiEL&#10;KV2iZP8ff9q7c9cfv91B8RxHuvDxA91QFI+GqCxfGRUVhUrDVfiW3r17ly9fnsypZMmS+vpU/fr1&#10;y5UrlzVr1uDg4GzZspUoUQKKgq7YS1LFEmL76aef0FsMRA/vqFmX8iRHovkAB/PDErKBpQgxmzRu&#10;XKxQkUBfv8z/9znpFDyESfp4eGKerb5usXr5yjMnTh4/cnT29Jn1a9cl5cpwLIWwKaNPxCm4p+PH&#10;jxM1c2KwFPELzhF3hs9CP1g6nJ8LaQfNrV0QS+mxhdT/Xup1oClREZRz4sSJ7du3QzY0u2/fPrqw&#10;SMmwlCRL75CQCmxE7nS6/tXHGPU0TUREhHKp10WyL633zEavX72mS8dOZUqWwgysN/h9ngmT8Pf2&#10;NW9n8S5RtNiIIUMvnD0XGR7xOkcjN4Snw+qAumMp3+TcNVtUGbBKmQqqw1J1ksCur3Yo6IZ/ioiN&#10;jdV3JahGg85jSA6174zXbbdBU9ZQXg1G9VOE6oMkq28LnQKgoBNx7Hhn2K2xdC4jx4cPHzKTZPAk&#10;9N9//z08BBuVLVu2evXqDRo0gIeKmK9Subu7s6QMOVWrVk33qMqUKdO0aVOIinANzUQoCpXUvgvO&#10;YNptMEtXr17Fftu3a4fRWeRkPelnXc/gT7lU88ZN5syYtWfHTqLGKRMn1alZK8gv4z09gbJSQF9R&#10;I3JzPNGKFSvwSpzb6tWrDx8+rBDexVLvCSInuwBtUCDwfKt3T7wBdsKkh/2QqX75dPbsWbtfKogd&#10;YSkNg/o4FLHU7NmzxVK0cO/ePT3jh8Kk7CNe/i8mOmbNilUd2rQtWbSYyaU8SKEwD2I068/Lp1Tx&#10;EqFjxt7+9VZCbBzOzHHg32FckINvgFbpFMMjmgbyU3ZNVrUF2MTGgSzRcO21t2sjoAJb8HqcOHOe&#10;HOSgnDUmQAWcLNbLseolRTA5UBpLjZAu1KkG8DpoJByu0zFDey3s2TDzlDLUiM6U+ja0BVBWI4BV&#10;lo4j3wPoS5NAgVBYHmbAgAFfffVV4cKFc+TIQVJVq1YtkqrSpUuHhISQUQUFBVHQ2ytq167NXtKv&#10;hg0bjhgxAtVFHEQVGryjDxecwLRIvugAseb8+fO7fvNN6eIlzY+lvLFHbJA/WCrIP6Be7TpjRo5a&#10;vnjJiiVLhw76pUrFSlTLcCyFkVCQJmGHnBWZNV5p2rRpJFX4SryVXBiQ43MhDSFWUAEw1aziHPfu&#10;3Zv69/i9ARyiNrFt0ikID5aCe4g/iLNgI+rggiEqCuJIKrOkOzrduHGjWAp6w2sTx/wjS0U/iF62&#10;eEmLps0L5csf5BdA8mRdXnj1B1GVL112xpSpViL1LOVGaBwvj0LKKQMKrKpT9c4WVBdvheOLjo4O&#10;Dw8PCwsj1WPJ+HUKv/76K9p75coVEkcGD9+wxEueOXOG5fnz51nCxDt37tRPypKDQAGQgDIPu3bt&#10;YtJOnjwJwZ9+DWgT0BF2RO+3bt1i2gHl5GAvg2TOGTYTSwRAAVBIDp0g1TjZuLg4zpolBqtyckCW&#10;Nl9q6jRvKjhPO1tSFmVagJZpnwEgLMmOUXHK27ZtGzJkSJ06dQoUKFC0aFHSppo1a7JkNWfOnIGB&#10;gf7+/tmzZ4fASLPYnidPHqo1a9ZszJgxhw4dsh80dXTjghM0zyyxEdSM5LVnjx4YnSzR27wqiTIs&#10;FewfUOfLmoMHDsIep0+Z2rdX7wply7E347IUyoRC46pQoKlTp06aNAn/iAHjy+TCXHgfECuIfihT&#10;gDnwnvhE6GSCeSe6bhCicDrkrUCbQAV8NM3ifEmMkCxeFQfKLuSrAbC069OdWI1kTiyFr4+KikJJ&#10;pC0p+4iXL6Pu3Z87a3bdmrWzZwmx7MHxBTbraoOPh1eAr1/lChWpEBv14KX5qm9y0DJQLyyBtthc&#10;xRYMicFApXDGgQMHmCKIZM2aNUwXo4Xdx40bhx8kZu/Vq9d3333XuXPnjgYdOnRg2aVLl65dCTG/&#10;ad++fYsWLcyN/BTQqFGjxo0bN23atHnz5q1atWrTpg311UiKULM9evSg32HDho1+BXxrcjBChkoQ&#10;QDjI9MKUaw02vAbIYvfu3WTVnDKiFPuyxEKTA3oGzA/StGMLTSOgjOEDa3Lfp7tXXwgOUNAWJIiS&#10;k9lz7oimatWqRYoUgZCqVKlSrly5UqVKFSpUKFeuXNmyZYOo8ubNmz9/flbJusiounXrRjoFPb/X&#10;YX+8YE6Appp5xpAJSQf+PLBKhUqYofWbRcNSWCIslSUgCJYa2K//pPETJo4P7fVD9wplymXE30uJ&#10;pXRiaBJRG1G8HkaHqzAM7AHnJS/mQpoDJ2KzlAA9wB/ECqn/vtQboENoHyqCk8gG0Fq8OfkZaQTu&#10;zCQeFtSyXZ9hkEvhHHVfikNwiA8ePECDpSrojLTIGRDPvbvhUydOwir8idjMiyeI4HzN3VqWhG/V&#10;q1RdOHd+3IPol89foHmOI51g2ZkBHWFp9EhyQA5BnkHax9gYLckKaQ3khH9noqZMmSJa+uGHH1q3&#10;bv3111/DPU2aNKlbty5OsHTp0ji+fPnyEZILlAnb2UiEXrx4cTwjheQoVqwYeykULlyYygB/qtXk&#10;YC/NsqS76tWrw3AtW7ZkMCwZT4qA9mC1H3/8kZHbZGZ93CIZ4LwRI0ZMnDiR2IUgA0pGQ/DXW1MC&#10;wsVywebNmyE2og2kCakrUVOSqmuSzDBgqh1T/x7gLEp6pGvFGQwAHp0/f76+gcRUw1K1a9f+4osv&#10;EAcyIqPy8/PTIxVZDZhYWI0Td7HU66DZBpSZZ/Jv4tGxY8bUqPaF7kUZlrKu+1EO9PPHGH/s1Wf8&#10;6DHjRo/p9u13ZUqUpFqGYylUVmcl1cEXHDlyBEtQrIcLIK7HbdlezIW0heYWClFCwyqmCz3gYogV&#10;YCkSdnKFCxcuEH6Ct5IClW2IeJDmoUOHUFySKqJysRT8Jwq0D6HAMKA0FGD69OmwFDE+W/AOOBq0&#10;5fUs9SL8z7sTxo4rU6KUl7uHR2Y368e8bu7m54TWiydyZA2pV7vOiqXL4qNjXiQ67i0lgZgJbQQU&#10;8K0XL148ePAgznf58uUET4MHD4aN2rVrR5bToEGDhg0bkvfI6YsVSHe+//57PJpA5Z49e/bt27df&#10;v36kVt27dyfd0ZZffvmFxGvmzJmQcXKwfdq0aVSAJDiWQ2gK0EifZOjdu7cqEO8DFb410JYkIJMj&#10;9yLJA+Rhbdu2ZfyAQnJwUs1egbOGgJXqUWA1CdhICmiyQWtaaJ8zhQgnTZpE2IEcExISmGRNvjyA&#10;Zj7NQcsI0W5fMhXYGBMTQ/hFHKaf94qrypQpU7FiRZaEESEhIQEBAXCVt7c35Vq1anEWmIPrit/r&#10;oLm1y/fv38efz5g+vV6tOqRQ+gApPOSZ2fpVb5Cf/xeVq/Tt2XvcqDH8WSxVshRGmhFZSicmlkJv&#10;iLwWLVoES40aNQqnQFyPc8SL4c6M63MhLSFWIEVQlkBZD9fhTaAHWGrFihWwxWXze4B/wVIKL1hy&#10;7M2bN/FQNHXq1Cko6oz50CWdWuxn3imsQwQIbP/+/UuXLiVNEUuRiuEdxE+vYylU6t7dMMNSJS1+&#10;sj4eb0Vw1m/d3T2winy58jT7qvHGtesePXz08jX3pdiIKkKHaCPMyumTycEZP/30EySEOyOmzp8/&#10;f+7cuXMZlChRonz58qRNROV4ZOhh0KBBKPDYsWP1tKq+rL9v3z4mlggADScPYxKYAWY7PDxcXjtF&#10;EPKThaD/EDyTBlkyLVg+7SQBe8l6SV8QGXEebAq9KUOikBzsGjp0KIkUNAYPNW/eHHYBnEVy6LJk&#10;zZo1OVPyubx582bPnp0kg0mgnBzMD4mdY8WAVdKUAQMGkIugD3pWk9l+rSjTAhIlS0FbAJ3ieQDT&#10;S3zGkAgCkCyDJJEi/a1cuTKklTNnTlgKkEiVLVsWrl23bh2aaV/AVC8u2EBjJVZAAQtCzxcsWNCo&#10;Xn0/bx/3z623wGCShI+e5FK+/tUqVe75Q/fhQ4by17Vzl9IlSvpnwCfRnVkK6KzwTZjWyJEjl5j3&#10;JGGiOAsXS70PiBKUS2lVLLV+/XpnlrpiPgkPl1BBB6YGVLZZCiHCScqZ6ILk7NKlS2ynX5YqqCag&#10;QI/4XOIVKAowHo7Fm9sshc7ITbD8q/Di5b3wiAnjxhOUOR6XYJEZlsoMVwX7BxQuULBty1bbN2+1&#10;WIoG/vJgf7kzjITBQyF0OnHiRPx4p06dSCbIM8ifcOiskiqxnaRqxIgReHwoYf78+cwVhET+t337&#10;duiEeYM8YBf8GoOHhu2T5QQ1RfecnlpMERhIfHx8ZGSkBEQjxBMUaCE52M7c0iNWI95ClFBaioDt&#10;yGhhtVWrVpExExEycqIByikCWUDVTAi2CcPBwePHj2eZHKpAlKlPDuLcydtIqqABpg6fBU9zOkqL&#10;gfEH7wvqQtBqEs2Jjo4mo+L0x40bBxMzyHLlyumKn56hIKmCulCAhQsX6uYoQjFtu5AUUlpNLCCs&#10;PH/+/NIlSxo3bOTn5S2W8vHwEkuRVJUuXqJ967Y9uv3Q4/tuzRo3KZg3P6aa4VhKBUAB1wNLXbx4&#10;EVPBMaHuGAZmBkXZRuhC2kITC3CdIiHSHbEULgkpECjgbfGz6RAo0DveXE4cGiP/wPXDlHDA3r17&#10;Y2NjURLbBlSQ/qiMOj1NTAz/427omHFov/UMurkvRSJlFdw9sgYFVyhTtlvXb2Gph7HxL58+f27S&#10;KUBMTXSP34QzcKDkPZB0t27dGjRoQPagH9Y0bty4S5cu5B9z584l14SHIFqGHWGekcN5PXjwAAXW&#10;Y28QKm0mBw4OPU8OTiQ5dFLJwTiTg5YZfHIwkhTBUHHQqcT9+/c5zeQgEUwRYWFhCjuINqBMRDlk&#10;yJCmTZuSlv3yyy/QIfPGWWvyHWeb7lDvgFliPPhTclB4tFixYpAT+ZMeSSepIoeeNm0agQtTwVQj&#10;Ao5ytOKCEyyOMtDEYrPM6rKlS5s0/AqW0hNMWKJ1n9j6fod/4fwFalWv0bRR44Z161WpUDF/7jxk&#10;WhmLpYBzgXPjrFDrLVu26AEKgpdDhw4RHrpyqfcE/IjwwVlKY1CyxSrByrZt24i7Cd7/kaXkNdhC&#10;hvTr9Rujhg0vVay4rvhhDJ7m7hSGkS04S4Wy5bp9+92Ordsexyf878XfcjIK+CBSeVKi4cOHE/5D&#10;S4AU6ocffsC34qfYtXPnTtwuMTWjhZlwcLgt2qF3Z+elUaUeOioJ3qoRBpAiLA5MCexyHPkOUBcp&#10;wlDnUzgbCme6iDghANw9M0n2hpQZAy3YM5b+oGv1zkjgbLQOyaJyvXv3hlArV65cunTpL774omPH&#10;joQspJ6wMjU5ROeuY11IDjOvFsRSy5ctb/ZVEz/z9RyISixFOcDXr1C+AjWr12jS6KsGdetVrlAx&#10;Xy5YKiP9XkqnoQIip4Bmo9M3zXuS9Bg0oTTuCYeF63Sx1PsAzkLIOCxFmTAcv7Zjxw7ClNexlO0m&#10;tArwiTHRMWdOnBrU/+fihYuYwM16oMjLfEvez8snW3DWCmXKdetqWCrhISwFaMc4Vet35WgaZw0/&#10;ffnll7inRo0a4bDYAjOdO3eOGbh79y4JE1pKLkJilHwMqQH1UwnHASnBUcMJjh0pwVHj73Dse8/A&#10;reN0SK02btxIbgrli6WQdcZhKcBgUAD5n927d8+cOVMXKvv164cXOn36NKeAgukohv1hR57BYebV&#10;AvNJ1rFu7boWTZsH+PjCT4alrFtTlP19fAvmy1/zi+pNGjZqUKdu5fIV8ubKTYUMxFI2OBlEToEl&#10;xo+3In8i8sI96SdTsPGNGzdcLPU+YBGUQcZhKd16gaW2b9/+hit+tpvQKkC570XcO7BnX9+evYsU&#10;LGRYyiInYxteGIaVS71iqUfxCfaT6ImJiWRRly5d4mS/++47KKpGjRpt27YdNmzY6tWrz5w5QxBN&#10;43StToHhNUcypzGwC7ARfydoSxLYh6QGVk+vgaOGE9jo6CMZHDX+Dse+1EHn+1bQDKhw7969zZs3&#10;k5Iyq2IplE0VUjyX9IGZSAuOdTMnBB+IG6Fv2LABfdi0aZMUAA7TaFmq4DjGBSckmSImE9PetXOn&#10;9eEoP38vd+u78himnkonuyqYN9+X1ao3btiofu26lcpVyJszFzlWBmUpVJkCJ8ZZ4aGOHTu2bNky&#10;WApHuXXrVoWxeDG5MxfSEBZBGXxwlgL0zhhIpNABOGPLli2zZ8/WL+eSs5Qg/dHSUp4/7+7atqPX&#10;Dz3EUo6ozXz/kD9YqlL5Ct2/72axVFzCy6eO+yIcSBi0cuXKnj171qpViyyKwpw5c44cOcIpkzzp&#10;sh76SUfqy3LDTizlDNOkZaiqkwQpHpImUKcpwlHjHWDOKbWgR84UEqKsw5lDYg5mtX379oMHD2aq&#10;CUeo8F4nJDXQaK1BG1jXKJ8+xUvGxMQQLTFItJGy7lmqJmO2D3G04sIrMEuaH8AqZUR//NixDm3b&#10;BfsHeLl5WBfhCRnNw+gsC+TJV6PaF40bNKxXu07FcuXz5MhFTJmhWYoCUS1hF7REtIWLnG4+LX/q&#10;1ClXLvWeYBjKQoZiKXDBfGwMfho9evSbWUr2QJlE/Pc7v+/cur3XD91hKdTd0/pmh4Oi+MsZkq16&#10;lWo/9uqzd9fuRwkPYSlaU7hHMDRgwIBGjRrVqVOnY8eO5HDHjx+Piopytjp1lyLMWBxQZeDYl1Hh&#10;GO57QxKW2rZtGyzF3MJSK1asQJ00t3adDwJ6R1IMQ1LG/2hI2qhsz64psEWgrF0u2EjCUiwh+PPn&#10;znfp2ClLQKCDpcwL/TwyZfb19CqQJ2+NqtW+qt+wXq3aFcvCUjmpk6FZCnCS0dHR+ER5qGnTpq1Z&#10;swanqSeh5ctcSEMYhrKQEVgK0AUURRhLpILoJ0yYMHLkyNexlHRG9sAqLHX7t9u7tu/o06Nn0YKF&#10;sQc9gC6KwiTy5spdt2btQf1/Pnzg4JNHj18+tZ7zprudO3cOGTKkfv36NWvW7N69+8KFC8+ePUu0&#10;hDbaHamQBHTtPB5gWecrODYlgxl1+sHR67vBcUopwVEjGTQzGgMsRWbco0ePTp06MdUfnKXMAC1Q&#10;5hQYBtDpaK+9UXVYalUVAAXtcsEZmhZgzySUc/nS5W87d8kaGIwxYpXmJrHFUtBV/jx5q1ss1cCw&#10;VLncFku5Z1CWsmWPHugGJrEtvgmsXLnywIEDLpZ6TxBFOZdhqTNnzuzatWv58uWLFi2Cro6Zl0Tg&#10;VuwH8N4H1DsFKAqcP3+efHrcuHEjRoyYOXPmwYMHCV/QE3kKILXRUgWiNph2946dfXr2KlrIsFRm&#10;68e8JFW+1jc7vArkzde8cdMRQ4cdP3I08fGTuAcxUNGePXvoolWrVmRR7du3nzt3LmlcfHy8UgG1&#10;j2aqFxvaxWCcMwYbbKGO5dVejdaGtiQ/xBlW0wY6xC4Ayo5Kr8BG2ky+3Ybz4c54wyHJQeXXwVEj&#10;GbSXjijbLNWhQ4dffvnFZqkPddHPeQY0SOcxUGZUzmOjAmVAQXVceAM0pSo4WKrLNyaXslgKcsIY&#10;9aGpj4alksDyNbdv4yVJpKZMmbJs2TLKevBX7syFNAescPfV5wdxH3DS6dOn9+3bRwZz6NAhCION&#10;7IKl3p8UDElZb8HQ6sWLFwlQxo4dO3r06AULFhw/fhxPJ69hwyYSFUiMGN7u7Tt6k0sVKowxyCQs&#10;ljLXwWGpTu3aTxg7/vTxk48THv167QaqNXz48KZNmzZr1qx3796zZ88+ceKEOsLMAM069PL1UE1B&#10;9a0xveIGlVUTGF9nnYX22nDsNtAhQLvsAqBMBbugshoEpkoaQx29beP2IRqbWKpbt27t2rUbNGgQ&#10;AZDuSwnqwoVPBhK9ClDOpYuXyKXMfSl37NH6s95bZp7xy5v/yy/M0xN16lYqXyFvzoz6jF8SEGFF&#10;RETs379/+vTpEydOXLhwIXkVjvI385UHF9IWEIOIB6KCpSgwzzdu3ICoSCnOnTvHklVVoCb1rcPe&#10;AwxJOViKAhIn4oalSKeWLFly6tSpmJgYqb4NOTigwhtYys/bB6uApTq37zA5dOKh/Qcsitq2Y+TI&#10;kW3atKlbt+73339P4kgvkZGRtGY52mQE8zo4VwaOrU5u2vLETj+oShGOY/4OtnOIY8VAW5JfK7Oa&#10;MLvSFmrWbj+V0IHOR4mlvvvuu9atWw8cOBDJombOc2JOwoVPBAgUsarwabIUp4c/Onz4sH7YS3i7&#10;cePGs2fPuljqfQA+sLlHN4QoE+cy2yzhp5s3b2rmtV2U9j5A+wCWYkmPZ86c0UtrJkyYQIHVWPMi&#10;aoeWGODmLBeYGpYyv3vHJDq17zBxXOjalavWrlw9cujwli1bNmnSpEuXLjNnzqSLqKgoLAQOkOsE&#10;jp7+FTicdgC+2HbHSdrUFlVLDo6y+M2AsipT4EzZQpkWqJakwjtCAxNY1UiA9qYGVNbVPIHV+/fv&#10;r1+/vlOnTs2bN//555/JkpGUdlHf0ZkLnwqkAyp8mizFicXFxR09ehSWGjNmDMsNGzYQ1LtY6n0A&#10;SrBZCooC2qglcw7ETFp9ryzFEpaiC6jx5MmTS5cuDQ0NnTRpEk6NMEUshXoIqApuTmUV3sBSmIdn&#10;Zvf8efK2a9Vm9PARUyZMHPbLkE7tOlSuXLl9+/azZs0iiyLel9+03b0UEmgVONb/Dg4RnCuwmiTj&#10;YQvtPzavYmIJEhISoqOj7927x1mTwyUHzp29TAvxwa9OT69orlRgIyDCoKbjsHcD84wBxsfHP3z4&#10;kKGyZJyAQuqhb50QbtIUcgkPD1+2bFmLFi0aNmzYr18/BMrIbfFpflz4ZIBM0XYVPmWWOn78OOEt&#10;LDV9+nSiMFjKNlEX0hA4C6CyWMoZ9nacoJ1paWOaQy2LpfSc4eLFi/WT3jVr1pw/f14sJci1vRVL&#10;scQGGtat//03XTu379ik4Vf1a9etX7/+2LFjlaiJVKSEzlAXdqfJoQqCY9MrlrKPosDw8PVhYWGc&#10;JpPJEjLmvI4cObJnz55dBrsNWBXYsmXLFtgaW2AesAUKcKoNYji2zJs3b8WKFQRzOvxdsHfvXgKC&#10;Cxcu6HkZCcXWhNSDE0QWkCstwHw0NXfuXCiqVq1affr0ITlmr2IC50lz4dMAMkWyKnzKLEVsO2fO&#10;HDyInJS+3+GwABfSFBYd/R2Gkv4CW+yaKrwPyCHixBE0LvLw4cN6/wiOmDDl0qVLhOeoviDXlnqW&#10;Yhng45crW47ypcvW/KJ6uVJlypQs1bhBo9GjR+/fvx9902U0ljRFQaoI1L5zp68De8VDJBB68yzM&#10;Rz5BPkQmwanhqWHfAwcObN++fYeB3kfOac6ePZszBSSOYPLkyVOmTEHzWY4fP37gwIHdu3f/9ttv&#10;vzcwX4z69rvvvqPMErCXBGXw4MHUf0fQ6ZIlS8h1mPOtW7cySNHnW2GnAZwH0VLYt28fTTG8KgY9&#10;evSAdyEwpto513Thk4FMRoVPlqUePnxIQDd//vxx48ZhOURex44dQ62NN3MhjUH64kxFIAktKSgG&#10;8Mf7zqXEUleuXDl06NDChQtx2Xhw8gl4C61ANwSpSupZCvPw8/IJCQounL8gFFWyaLE6NWuNHDoc&#10;wuC8sIrH5m3lNIJ10ZraB9oC8KcsHVuTgbQJcmK6YFN0Fb+8bds2fD2nQAKEGg8fPnyIwS+//IK/&#10;pmB9Add8A3fo0KGsjjKANceYD1NxCIAzSEFgL+1lO6AwcuRIllSmQAsczpKy2nwX0A6kyCApqwuW&#10;IwwopBIcSyMUoFgapLX+/fs3aNAgf/785cuXh1whQjhb966YYcckuvCpQFajwqfJUgCXgVdau3Yt&#10;VoqtYqgnTpzAAclp4s4E49xceO9wTPcrOLamNdQylHnz5s2LFy+Sc+iF6AQrhOdsJE1x5gmbURSP&#10;A/1easfWbdYbkgoUgqI8M1tW4e/t4+dlvScJAwj2D8xvfu4+sN+A7Zu36kIf7QBaULOAVduHCqpD&#10;BZbwme4t2cfSDmyHlm7atGnOnDkQRt++fbt06aKvJpYsWdJ8Rz5P4cKFy5UrV7NmzSZNmrQwaNeu&#10;Xa9evSAq9FwkBEJDQ/XilcWLF5OFQHhkJHv37oX8AAmK0hS2sGQvloLfV1T3tlCP+iIUgFQ6derU&#10;vn37Nm3a6OOHQsuWLa2PIaYO1G/WrJnKnGmtWrXKlCmTPXv24ODgIkWKsGvmzJkYuCIDZpIlM/nR&#10;gWEnAe4VOHa/BigVSypz+gRe9oEspcksqYBSSetUWVts/QQq0xrHalfGAQNTVEeB4V25bH4vFRgE&#10;SylwNL+X+qh+1ZscYql169ZNmzYNE8LsT548iRdzsdQnD7HUhQsX9u/fL5YiHcEdE3onZykgltIq&#10;Ng9L7dq2vXf3nkWtNyR5iqXIosRSJFVZA4MqlC3X4/tua1et/vXaDR2bBDTFdqDGnb2DCniNqKgo&#10;VJRBrl+/Hi7B7ZI3QE7wzaBBg0gdfvrpJwoq6yvyffr0YRUaQKVRbA4B8+bNg2OgYYjHXCezwCot&#10;k02i9kzF5cuXb9y4oUdX4EKmAii1BUwXFU6Zzx9DWm8L62bU7t30qIuQkCKEx5xjdBohmDVrFhnt&#10;W4FDCC4pIMF+/frBTKVLl86SJUtQUFDZsmV79OixfPnyI0eOcIIfL44bUGDyKRw+fJgYgpkkUkmO&#10;jRs34tAACrN582ZmntM//Qpnz57Viwvu3btHxCNVl8o5w9ZDYJepKRXNOGBUGI6GB+V8Cu+eSA7C&#10;K2SmXIooD4NBDzBIBzu9gsOxufAJ4c8//8QjY7SYMR580qRJcAB5FQYMCSW3RrZgDxSwB4ulzBW/&#10;Pj16FUtyX8q8IQnbyBmSvXHDRgvnzvvt5q9PH6UchNIgdkKDFCAkuIqNLAHbY8yHiPAsa9asGTVq&#10;1A8//FCvXj3SBTKkBg0atG3bFhc8cOBAqAhfj1eCA/BfKDBcArWgtwRbnCZ8DCIiIqKjoxk5zVKA&#10;/HRPi1V9SlE+i34ZCSCAwzoEytpOmTrUp/Lbgo7UNZ0KDCAyMjI8PNy6J2nGaX3W8C2BtwUUkCbk&#10;N2LECJKqvHnz+vj4kFPWrVsXzobXyRfhM5YfI3QbTw+wUEbixCg///xz15TwzTffdO7cuaPBd999&#10;R+xCIsuBxCu0QB68cuVKJkqOjvlHEAhU8mWpgu36BamrczmDgPHIsiignOfPn+/coePH/R6/5ODE&#10;nFmKiOzEiRPEj8gPNySKsiHv5sLHDokSt3jt2jU4AIslOoGlli1bRtSJZ0crkpOKsz3g62nFui/V&#10;vUeRAgXJpcw70c19KXePAB/fLIFB+XLlbt2i5daNm+JjYl88T/mBCLGUCjATS4AfZ3jYG4EwboW0&#10;icSILKF3796dOnXq0qXL999/z+ro0aNxPUuXLiV2JhkiE+K88PuwCF6GodKjQNl5VdBG4Fh/DTQk&#10;4R8rf1ggFKQ5YcIE0qmCBQuSS8FSlSpVat68Ob67Z8+eTCDLjxHkx4ACuTKhCdwDD7V7DTp06KBL&#10;qcQxLKmJwuhAQIF5IP8ePnw4vEV8g9oT4pCZHT16FC0ivoH1MQGpqObWVhVtzAjQwARWGR6R0Inj&#10;Jzq0aWvuS32070RPDoJEXBV2jsEr4sBPseXmzZuKRuXUYCxgeTgXPn4gUAAbXb169fjx4yKDyZMn&#10;r169mgCTqBzdleoD2wxU1pIK4WFhe3fu7vVDj4L58ntmtp4+17U+t88z+fv45sqeo0jBQu1bt9m+&#10;ecujuPiXL17+LyUDx7Tw/jRonIB16wuaOXfuHGFTaGjot99+S85Uv359nA4+hRBq06ZNJEwnT54k&#10;tEI/ORdlS0TEpCl4lqevXhStoVKAsYAoUCka2+0encFGG9qiplTgWDXyusPfAB0r0ILgWHcCG6ms&#10;AbwVOJYTv3///r59+2B0cs0cOXLAUgUKFKhQoQIJKETVokULLVt+tLDu2pnxt27dWgxEOpUczACZ&#10;Fhg8ePCAAQNgJoiqVatWHPX111+jTtWqVStTpkzJkiVLly7N/DRs2JA2YbIhQ4bMnTuXoI0ISVaA&#10;RDTDRmJ/6VVGgAZmAx1gzPv27m39dcsAXz9d1XB8T8fdw9/b56P5CmJyMEoIyf4IHt5q//79ly9f&#10;vn79OhmVfBlLKIrsSj7OhY8dEiiSxdcTlKxfv56gEpYiooQh8Pi4PKk+GmLcrMM4tRFQ4cGDB6eO&#10;He/f98fC+QsalvI0X0H0zPzZ5xhG7uw5Sxcv8U3Hzju3bX8cn/A6lgK0hv1DJNDMjRs3ICFU8Zdf&#10;fsFrQE6Exj/88ANZ/po1a0iYoNW7d+8SWjkOfjUkFWjH2dfbG4HzqnVYMrDLhk5ZYNVR4+91HJtS&#10;B0dbBvaxFBybzEYb2pt6cAgtcOIRERGEm8xbuXLlQkJCsmXLVrZsWSgK16wkgwLOXeWPDoy8jQHk&#10;RD7drVs36EfPoSQByTfQA5wjRowg7SaV1AMm8DQspYvGX375JXRVpUqV2rVr16lTh3iI+fnmm28G&#10;Dhw4adIk9I0ADh+InuMkmV4m2THjGQPSFqM+lv4wSFw0EWfzJk3hJD3BBD9ZVzg+ii/KvwG4G9wW&#10;IdjSpUuRDd5q586dpL2kUzZLUcHFUp8SbJYiHMH1Y5DW73emTMHHXbp0iWwGm5QNoCHYgO3lZQ8q&#10;PH706PbNX0cPH1mqeAnLHqwvyvt4WZ/wcIOlsmfJWqZEqR7fd9uzc5eVS1nf6rX0LTlonBwIX0DX&#10;y5YtIxbGz+KDKBAz6WoesS2ZE14YxMbGajw21A4FtsubaKPZ+dfef0SSaq87kPaB9qYSjiNfIcnG&#10;5BX+BRgSofTKlSvx5kWLFiWXYonnJY3o1atX//79ySr69Onz008/4bU/anAu6AZcQqrk4KW/A4oi&#10;82apMtU4pHfv3px+9+7dCXp+/PFHKojDaIf5IWuH//RTaNgL0mKVnGzRokXHjh3DZPQ7P+ZZsssI&#10;kNwZFaKnwAixoFUrVzVt1NjPvKXMx8O6Ag8V+Xh6Bfr6F85foFb1GuxtWLdelQoV8+eGpbw/Apbi&#10;3GApgtPDhw+j3/gpWIq8CqcAS9lX/ICLpT4liKUowFIHDhzQZzDBpk2byK4gDLRCqg8oiLRQGG2U&#10;5rAxMuLe5AkTy5cu62tZhfWAHyxFOkUolyUgqHTxkj1/6L5nx67YB9GwlNVWSh6ZviAeEvqtW7fi&#10;F5o1a0bAi0OZOXMm/HTv3j31Ttf2SAQOBCpb2vwK2gJkwNpIQfUpkLdRsM2bpaCaSSDmc66sdkwP&#10;qQWHC6Yfx1TYoBeWbKcCfQFVSw04RNczKcNSixcvbtKkSf78+XPnzk1G1bJly549e5KY4q/HjRuH&#10;yzY/svqIYWjIwUNDhw7VaopwHGAOgZA4/fHjx1Pm2NDQ0Dlz5pCyT506lQrMDxymfKtu3bokWBUq&#10;VCANJd+C0ubOnYt7xF70U3dnkdkwmpLeUNdSKgoY0blz55YtXdqk4VfWtXfHFT9ryR+5VJECBevW&#10;rP1102ZU+KJyVVgK9vo4WOrx48d//vnnyZMnV6xYgfCmT58OS509e5ZECvYi3BY5KaNy4ZMBREUU&#10;QvC1bdu2JUuWTJgwgUx6y5Yt169fj46OJrlB+9EQGYC0JSle/g+WmjQ+tEzJUsYeLHKCpdw/z4SR&#10;kEsVLVS4U/sO27dsTYiNe/ns+QvjommNJV5VPEEhISEBipo1a9Z3333XpUsX+Akl1HfO0ED22kep&#10;vm2W1hBewTEiA/aqsqqlIdQsYwCOTe8GDfvdQVMMCUMm+6xSpUqePHlKlSpFWkBexXzizeWj7Z9q&#10;fRoQCaUIR42/A34iedKPqZkW9K1du3a6DFi7du1vvvmG+SFSRxWp2bFjRzZWrlwZ1ofGCOIvXryI&#10;XRAToAbMOQUJkZmXFNIZ6l1lhhQTE4PfXrpkSbOvmgT6+XtkdsMqyZY8M1uPpAf4+JUvXaZj23Y9&#10;u/3Q/ftuzRs3JbWiwkfJUmj5zp07z5w5g+NwsdQnDEkWliKDWbRoES4MliJAYaOexpYp4pRtS0iK&#10;ly8NS00oW7I06u7l5ngbumdmNwpZA4Py58nb6usWa1euigyLeP4k8dlTi5kwabVMszSO2YeFhdHv&#10;999/X69ePeJZNPCU+XQIXsDunUM41h7V60BlKgAOFLT6LqBNgbLatDjqAzmm14GxPXz48Nq1ayTE&#10;VatWJZciGyAr/fHHHzHqadOm4XkBczt79mzSiE8G81KCY18ycO7MAHoOCTEz0NLXX3/dsGFDeJ0U&#10;qlu3bnC5XhG3d+9eLKJDhw4Q1RdffNG0adN+/fqtX78eXcVhMtvMOZogxcgIysCQCC5x4wvmL2jS&#10;sBEsZf1+EZby8vY0P5xiS5UKFb/v+u3Afv1//ql/hzZtSxQthp1+BCwFGCVsZLPUzJkzd+/ejZu4&#10;ceMG7PX/7L2FQxZZ+///T3w/z67SHQoidncndnd3Y3cHJiKiiI2Nit2JSliApLWKSqekPr/Xmevm&#10;flh196e764p6v52dPTPMfebMOee63td75swZfJncGjKw1A8GGp2WhaVOnTqFYa9ZswbrvXz5MnZY&#10;kh6wQEl8ArDU6zde6z2bNmqs3pfSWIrF0tTMytwC84CoOnfouNNv+8tnzwvzC4oKlX+HbLAoQBqK&#10;ol8RFXl6eg4fPnzUqFHe3t63bt1KTk7mr3KYQPMGqhiS0O0thvzpY8jBfx+67Iqh2/tPQJejBt0u&#10;Dbpdnw2qKykpKTg4mHZs27ZtjRo1GjVqNHjwYPjp4sWLd+7cwaIfPnxIc7P+aYEYCg8PR3Dg7oKC&#10;gnB0p0+fhnvk1t/cuXOhJdgIoqLSiN5ILF++nGps3759jx490GE3b97EcOR+r3RRSeia4VtAegsl&#10;wWoons9mn26dOttaWmOPwlLaTXgTe2vbti1bTZ8ydcXSZSzjx4xtWK++jYXl98RSdGIk7YYNG2Ap&#10;vEZISAhxGR4E6FlK/4zKgB8AsBFr7BYrpdE9PDw2bdpEL09JSdEHiXQPLFASH+P9u/fJr9/4eG1q&#10;3aIlkRrGAD/R763NLbEN9YF5I2MsYdH8BVcuXIyPVu82INTobJhTqvZC65s3bx49erR9+/YFCxa4&#10;u7sTyV67do2CwV6ctyT0CobC6NMCNjFRXZl+D+0i/i4UDf4eslP++pmQH34MXUE/Kqpu72eAg6kB&#10;rBg7PX/+PF61Q4cONWvWrFWr1pAhQ2hcYs3MzEyUlvhW1j8MCKe48I/Bft0Rv4e8jk1V0MGQRBzJ&#10;ms3Hjx9fv34d8TRw4EDUFXUYGBgYFRVF1V29epX9gwYNkluCWAquUh5QkSFrqX9dY3wLSG+hJK9f&#10;v8Z1r1m9pmO79raWVjLGj6iRhLBUu1ZtZk6b7rF8xaplKybAUnXrWZtbUAnfAUvRojgL4gsCB0Ja&#10;Hx8fgojbt2/jPvBiQk6sSQtdGfBjALagZQkwjxw5QsQNS9H0BOMZGRn0ewHdAxqQxMcQlvLb6otg&#10;cnYsBzPBUvR7Ekgr07LGJmXKujg5d+3UedoU96ULF0FCGDmnw5neuHGDSAiOpONJeISSw6VGR0fj&#10;QZT/LqGQSFAMzEn/J/yCgLQcIPtJ6CH7/z50ZyoBOZdWtL8FMpesJKGdTQfdEZ8BfkjN4GqpzIMH&#10;D8L3Xbp0qV27drVq1YYNG3blyhVcMxnq6fxnRskakHomwc60tDSICmm1ZcuWadOmoelXrVqFpkee&#10;PnnyBNePioKo+vbtC1GdOHEiMTGxZCbULWlde/zroACsuQq8NGVbvGhRmxYtbSytMEYZdosx6llq&#10;1vQZa1d5rFnpMWHsuAZ16nLM98FSRATEtpGRkYQPXtpXDHAWxNR0euEnA0v9kCBORNlAErg2Gh2W&#10;2rZtm8SJ9HuxQLrHn7NUyptE/127+/XqXbVSZTEMsQ2COHNjNRC2vL1jg7r1OrRr361TFwLVMWPG&#10;zJ07d7X2JbM9e/YcO3bs1KlT+/fvxztQDFzqvXv3KBU9DVBCqJQQCqfAGo3FHgJGdpKQv/Inei+y&#10;TIBEAzgdkP4PAS8POwoIvSUGB5L+TMhPPoYW4qtRJOCP6vnPQUsRaNJqRJbe3t442e7duzds2BA5&#10;NXr0aFwtZ+cYYSkBmz8GdNfzKeiO+FNIhUtvh+bxckRpROq9e/eG4OmWUBe9Cwcoo0979erVsmVL&#10;jCU2NpZWkxyA1K00x78MKTwJCkA5CfhmzpjRvHETjFG9vAhLaVGjsBQaa/GChVu9fVgQVU0aNvo+&#10;xvgBqhjDjomJOX36NA1ASHv48GH0r8w3U5KlcB/i4Az4MYAR3r17F2uk0WGOHTt2QBIlWQpgjax1&#10;feX3YH9aUvKhffuHDRpcp0YtBxs7idpYYCkWa3PLqq6VOrZ3Gz96zNyZswVz5syZN2/ekiVLtMkB&#10;1HSxMjUA7MXm4sWL0VX0Q19f3127du3evdvf358SAmgMHDhwYN++fexkTTogIIDoCidyVcM1DfRe&#10;tBqRFgj624iKiqKiiKmBMChVh1EIlX4msCBh1pKAZfVchZf5o3r+c/ArGiszM/PixYvLli0bN25c&#10;z549mzdv3qxZs1mzZqGVFQ1qN8fkFD8YuPZPQvfn30PYi7UkgL4CqSLqkJY9evQovXHo0KGE7PQo&#10;Gg6LgJYIqtBYjRo1mjFjBuEUPpOohR/Kz4E0x78MOTsJrojOiV1MmTy5SYOGNhZW8mIvLMWCSTrY&#10;2Hbt1Hmdx+rDBw4GHDq8YsnSVs1bfB8sxUXSPBkZGdjh+fPnicUIJfAFwlJYlxiksJRsGvADgDYF&#10;dOuQkBDMT4Yp4/eRVh+8MytpXXf5AO/fp6ekHj8SMHbU6Eb1GiCbNJYylQdUajEzr1Oj5qTxE/bu&#10;3HX21GmUE1Ykb6jARtDV5MmTR4wY0bVr1zZt2rRv375du3Yk2CSYHT58OA5X+wah+gghmDRpEsej&#10;FaZMmUIaTJ06FUcM5+Gd6be4FTJHlm3VoE98KWQ4HAlyALgt+ZzHpeJPeJRkxM/Ex8RJAvWjpz29&#10;akzSQOJjENfLXzXFqCQjjlKaiU2qd/r06YMHDybk79ixI1xF5EH0KRTFGncmB/9I0HXF30P3t09B&#10;d0QJsFOxlsZbEBXqc82aNfQxIio/Pz9oHoug8mlEIqqmTZsOHDiQ7kHsgnaXKqV6dXn96+DslAFQ&#10;fvrSzp07R44Y2aBuPTsrG5jJ1MhYsZSZhYWJmaOdfb/efXZs87tCRz53YeO6DR3atsNCvxuWIljA&#10;VIjFNm/eTFiNbPyYpQAJzcUZ8N2DpqRxAY6Sng1t4OKPHDkiNkmP1/WPP8f79xlp6acDT7hPnNyi&#10;STPncuUtTdW7vdgGdGWlPZ2qX7vO4gULr1++EhURGa990x1rR7WjgSBF1Bu8snLlSqQVZIOcArCX&#10;SC7S7AQy0QA+AixfvhyGYw9gc9GiRbJfPk64osT3A8n2L0D/W3mxhmxJ47ZgcXl4BmBE0qw/H3K8&#10;/Jyqlj3r16/X70Q++vj46JlVCPIDcAC/BXhPau/cuXOQUHZ2NiYMw6E7ofbu3bvDUtA8gT/5UOf8&#10;lQYVBy1eVVrPAIE4+kJtnF6u9hmjEydO0OhUJp0QT4hF5OTksJ++2qFDhy5dusBhxPSoYalPHL1k&#10;9U2gOEpjKZQGDrx3r951atayt7YxLlNWWEqzStNydvaD+w886L/vzs2ga5evbPLc2LFd++9JSxlY&#10;6mcDTUnkRbcmqIcq5EFRYGBgRETEF7FUZnrGhbPn5syc1b51WxcnZ2EmxVImalIWIjXCOlgq6Nr1&#10;354+I/DHpRL1iyDAsWLnlOTJkyc407i4uNjYWHwBTBYaGop20T4VpHDq1CmIDZw5c4Y1mwIKDLPu&#10;3buX2FZRQbHrRxoKoBY2Px/yc8Bv5SVQiMrd3R09h7Abo2H06NEQgHwV4vPBT/Q/RD4OHTpUZj5t&#10;3rx5ixYt5AadHrLzYyA0W2lwc3Pr27cvPhSyj4yMJNKnTTFeHGjbtm1RUWSOrtq/fz9mS2uKM6XF&#10;9HRlQElQJ/JsCVWEQsL1bdu2jdYZNGgQSpq+yl8Ru3Q2easP3U+sQI+F1eS3uoy+BSgA7YsbpyfQ&#10;Y9u1bVetUhVbSyuTMmWRUzLGz8zYBJYaMmDQkYOHwoJDbt+4ucV7c8f2brCXgaUMKKUQboAVUDYE&#10;5mgF1nAAJEFnEJaibwDpJ58Ef83KyEQnLV+8pFunzpUquNDp1csZ2hvvEBWJWtVrTJ00+cyJk7FR&#10;0RgzP9EiP92tJ07ETtkjYA9klpaWRt+jeABfoAdkFhUVRSHZL8SGZYaFhd24cQNWQ1vAYQTCeujY&#10;7PMgdCgJ+O/YsWN4pcOHD+OwCKKxC2EvAfz3ReC3egpkk7AAh7J06VK5pSkUCI0JpQHSH4Mj8ZIT&#10;JkzgABwoe5B6SChMlaogz8aNGzdq1AiWIkPy51pev35NrUpt02QGlvokqBP6IZBbo8nJyfQBWmTg&#10;wIHo0QcPHkhodfv2bTbZWbVq1UmTJoWEhFC9EBW/+ia1qm9ZEpDN3bt3586d27BBQ+dy5SEnU93c&#10;EypqxCqdHMuNHjHy/OkzT+PiYx9F7d/r37Nbdyuz72EkOldoYKmfEDQlfu3Ro0c0OoaH39y1a9fl&#10;y5dRVznF3z/8//VoGEdWekZw0C3Pdev79+5T2cWV8M341zJIKGsLS/WAysikkkvFIQMG7vTbHnon&#10;GGOWnNVviymK7keCNWBTdkJU9MmPkZmZidRLT09nLUPvWLOpje9LQVLICMBXr16RQKux/nzwK/mt&#10;Hkg96faiO4U1AQTJ5l+ANgJDDcEgTSZkhXjF0AAKEm8ouP8HgI/v3buH0CSewFRnzpw5bNgwuAp6&#10;5udwXu3atevVq9ejR49p06bRrFevXqVOpB2lKfUJA/SgQsTds5beiAlASCtWrJg8efLy5cuJVAiM&#10;JHKiShGpVapU6d27N0KWRqHj4ei/Sa1SWjEozk4ZgoODp06dWr1aNXtrGxUvGmnzzJqYwlLEixWd&#10;K0yZMBFrJbLMSEmFrgb3H2BnZWNgKQNKKWjZmJgYXNvZs2e3bNni6em5f//+oKAg/oTr17OUWK90&#10;lY+BWWenZz68d3/HNr8RQ4ZVr1wVljL6tYz2wNZce/XdzNXZhZDNa4Nn0PUb2IPkrH6rgU0BnZC/&#10;io8oub8k+JMewmclM5GE/BXITqDb/gwIZUrOJX8LuVI2QNQMSHAMYP/nQ3IgIfmz5lzyJxIfgJ1y&#10;/AeQg1nDpjdv3sRU+/fv36ZNG3Qwbbdo0aL69es3bNiwc+fOENiBAwdgNWQBp5OKkpo34ANIz5EE&#10;dUUNU9VYBxaxePFid3f3VatWIdaJkAB0hRpu1aoVlcxfEdyEMvxEsvqXwXn1JYdZKSRq26VCBRnd&#10;p25paBNPmBkZEzVWrVR55rTp4fce5OflF+bl37hybeTQYY529nQ1A0sZUBpBy2Jvd+/ePXnypDT6&#10;kSNHQkJCMDkcsXg08aeS/iQw7rzst/HRsQEHD00eP6F2jZpEbRAVLAU/aRMmWVSq4NKpvduqZSuu&#10;XryUqw1I0/1Wgz4tjvuTp2OPRhk6zlA/Kx6Upf+rOH3WQA4GcszngxyEBshEt6u4VLocNUgBvhR/&#10;57clwSWTD24Uojpx4sSIESNgpiVLlhBtwFItWrRo2rRp69at0VKnT59GLuNY9efVqtOADyGVQ0OT&#10;pq5UH9I+J0gc4O3tPXLkSFw/LhFtDRNQ7aQnTJiAYO3Vq9fq1aupZPZLVv8ypGdK4VNTU8+fPz9o&#10;0CBbG1t5FqUeDGsv10NUDrZ29WrXWTR/QUzko4L8gncFhbdv3Bw/eqxrBRf6vIGlDCiNoGWjoqKI&#10;tQMDA2l0Ly+vo0eP3rt3D1PEA2pmq3ueTELXVz4GnScv/8XT52dOnJo1bUbDuvUxDEyCwE274WBs&#10;bW7pUt65VbPmc2fOPnU8EBKQ3FhjXUCyAbIJSPNXMT/5E5v64/VmKdD/9ZOQn+g2/hL4OWcU3pKs&#10;OCMJ4TM55vOhXY2CPgeqWrer+KqBvto/Bn/Sl4QcgoODR48e7erqSrwfEBAAS7m5uUFUTZo0mThx&#10;4uXLl3G10pr6Uwhk0wA9qBMqirqV+qH+YXfoB09IHNC7d+8NGzY8ePBAvSueloZvxEkOHjy4Xr16&#10;U6ZMuX//flJSEq2py+tfhJSW/kDhaWtsuWfPnqbarEiEidrtPjOTskYwlpNDueaNm65esfJJbFxh&#10;QWFRQWFw0K2pk6bUqVHLwFIGlFLQsmipK1euHDx4UBvb7EXoHRMTk1FieiQ9dH3lY9B5cvMTnr8I&#10;un5j6aLF9evUxSTK/vIr/GT0axlz7WMBFcqVJ4gb1H9A4NFjMmZa+92HLCUnAh+k9dDtKoZu75/i&#10;84/8I0gOJfHJnZ8JyRPotjXodn1mttCTRrv/ff/fd4VFd4NDxo4e7eLkPGLoMK8NnnNnze7Xq0/L&#10;Zi3q1qo9dfKUhw8e4ICE8D44hWwaoIeuXkpUFJ2T7nrr1q358+dDSHPnzj18+HBkZCTsFRsbe+fO&#10;nXnz5tWuXRs5tXfvXggsJSVFcgD6TPTprwrIVTh1165dnTp1MjczwwChKJn8hcXKzKJGlardOnfZ&#10;sGbt07jHUFTB21w6z7JFi1s2a25gKQNKKWhKtNSFCxewMU/tfdjz588/1b7ZoesZnwOi+7z81MTk&#10;h3fvr/VY3ahefczDuExZYjeTMmWxE0SVvbVN5YquXTp2OrDX/23xN6u0nypHIGkDPhc4veJFWGrc&#10;6DHEAX169FyyYBGhcb9evdu2bNWkQUMYK+rRI2qbSv53fOWPB9z3o0ePvL29J02ahGZCTl27di09&#10;PV2GUeAnmzdv3rFjx8WLFyNiHj9+rEhJg/xct/H1K59yJicnI+nw3u3atTNTXycwtlSzIqkBfsoM&#10;zS3r1qw1eMBAv62+L54+Kyosyn+bi81uWLOuR9duBpYyoJSClo2IiDh16tT27dvXrVuHKV69elVu&#10;9+l6xucApikopMc/f/J0y6bNzRs3kQhOGzqhbvfJTGJ21jb8aav35o/vPknagM8FFVa86FnKycHR&#10;rW0794mTxo4cDUsREHTp0HHNylWP4+INLPV3QO29fv2a6G3VqlVjx46dOHGiv78/e9hPMHf06NGB&#10;AwfCUgMGDFi9enVYWBg/kV4NJE3lAy2zrwI5F2aFc758+fLy5cshTjNTbXSf9mgKe7TQviXftGFj&#10;ekjAwcOJCa/oOdhszKOoXX7bx4wchf83sJQBpRHIpnv37h05ckTmmd26deudO3cIEvVa53OAFRYV&#10;FOIxU5KS/XftdmvTzt7G1trcgsXM2ESb79IcaYXN1KlRc53H6szMTPKny7GWE0lacjPg/x+fYqly&#10;dvbNGjUZOnAwy4C+/fr36Tt88BCiZuyWujWw1F8GVYf6j4uL27dv37hx43r37o2lREdH5+TkQAzY&#10;y7Jly6CoNm3ajB8//sKFCxwsTw2l2iWHr9q9pXERQ7GxsYcPH3Z3d69Xr56ZmYoUVbyovbbI2tHW&#10;rkPbdssWLb507nx6Sur7d+8x2xfPnh8/EjBv1mzKbGApA0ojYKmQkBDMb/369djejh077t+/j/l9&#10;kUdTLJVXgMdMT007evhI3569K7u4ErgRx5lqg1+tzC20r0yZVK9SddmiJfFx8RkZGWK6Yr0Glvoy&#10;fIqlHGxsa1Wr3qFd+55du/Xt1XvIgIGTx0/037XnxfPfqFtxZLqfG/AlkI5Kj8UZzps3Tz7XCxs9&#10;efIELYU/DAwMZE/Lli179uy5c+fOx48fc7Dq2Rqo9q/NUpwCQDP4ah8fn8GDB1evXt1CzS2rBvjJ&#10;EylzY5PyDo69e/T09vS6c/NWVnrGf9/Re96nvEm6fP4CmtvAUgaUUmBpQUFBu3btWq1h7969ERER&#10;+jHonwnFUvmKpTLTM86eOj1h7LimDRsR2gtLsWaxUJOjm1V2qThz6vRLFy/RhcSAZS0JXXYG/P/i&#10;UyxlZ2Xt5OBYt2atti1b9erWfejAQbNnzDxy4KCBpf4mhGNwj+gnX1/fiRMnTp06Ffd48+ZN2Ag5&#10;9ejRo61bt8qsVIsXL4bA6N4ip2RNzbPWZfcVIKegkMHBwQi7jh07VqxY0cJcZ3QQFSxFjOhS3mnY&#10;oCH+u/dEPgx/m5X93yLFUtkZmaF3grdt2crPDSxlQGkELHXt2rXt27cjpNauXXvgwAFMEZb6MqPC&#10;/RW9o8dnpWdevXR50bwFXTt2rujkjISSSVk0OzG3NDUnmhs5bPh2Pz8UG/1NTIs1+Kpm/KPhD1jK&#10;xsKyonOFZo2b9OreY9yo0R7LV5w7deZ1wisDS/0dUHVSe2/evDl79uzKlSsnT548duzYgwcPJmpf&#10;QUxJSTl58uSwYcPc3NymTJkCY+Ez87UJVoSldBl9NYgpscaWp0+f3qhRIwcHB3MzxU+KqLA+c1jK&#10;2NW5wrhRY06fOPni6bP8t7nvC9+9LyzKz8mNiYw6euiwgaUM+PbQt1rJRFxc3NWrV7dt2wZLeXp6&#10;Hj16NDY2Vj/rxGdCBkaruCw98/aNoPWr1w7qN6CKayVrC0tsQ1hKJvRzsLXr3b0Hdk4cihnT6zBj&#10;1h9Dl7XWM0tu/jnk4K8H3Wk+70R/dKTs/1sgj+LldyxlaVXRqUKzRo379+47fcpUn03eQddupCSp&#10;WSfEz+p+/tNAKlwP3d6P9uuh/xPVJZBN2Z+enh4WFkZIBxV169YNJ4ljpG6zs7OFHvr06TNmzJgl&#10;S5aEhITgTvm5Xktpp/1aEJYiuDx37tzo0aNr1KhhZWVlZqo+7WYu02lqdzUqVXCZMmHSjSvXUhOT&#10;CvPyi/ILCnPV9BMvnz2/ePYc5TSwlAHfGNKINJ8kEhISEFI0rnw/Wx5KwVjx8fFf+go9FPWuoEi7&#10;e5D14O69vTt3jR89pkaVatoNB909B5OyRtgJkX6rZs0nTZx05swZuFB6HWsgxozN612q4AMjlz0f&#10;7NRD/UA7QPIBcqT2i09A/yfd0cWQnR+Ag3WnKXGiP4Ec/zlHAjlMoP8V0M72EdhdvPz+jl+5erXq&#10;oKX69Oi5cO68/Xv874WEpqel6c7xE4OalLVAdpbEB/vplgCOkc4gf4IGsBrsZfHixV26dFm+fDmk&#10;hc/My8sLDQ1dt24dGqtz587IrDt37nC8tJXK7uvLKcqZmppKlNmzZ08nJydLS0sTYxMCRDXlhHpr&#10;Sn2lt0aVqvNnzw2/9yA3K5tu89/CooLcvPdFanqzWzduUkgDSxnwjSGNKAka8eXLlxDSvXv3iL98&#10;fHzWrl27d+/eoKAg/gp/6LrF50FZcEHhf9/9Ny8n92lc/JkTJ+fOnFWvdh0Mw6SMkTbQSIVyLOUd&#10;HBvUqde/X//9+/djVNLrxBFI1PkB5E+602hgkyP1v/oYytn8sRsqiQ/2606g2cInIcfrodv7qXMJ&#10;+JMuxxKg2B9DvCHQ/0rLWEF+9SE0fvqApRxt7erUrNW+Tdu2rVr36NJ18fwFp46fiI+OzcnKlsx/&#10;TujqsbiZdHt/33n0B3yyX7FHGohjWMfGxm7atKlXr16Ip1OnTmFEaKnHjx9jPuxp1arVoEGDiPby&#10;iyehkJwl/fWAzWLU/v7+nTp1srOzMzc3VyxlpGMpa3MLexvbpg0brVq2PC4qulAjJ8LKwvwCQsy8&#10;nLf3Q8MopIGlDPjG0LeanqWio6MJ+gIDA721TzMHBATcvXuXaJGYUdctPg+afauR6EUFhenJKcTv&#10;6zxWYxKwlNEvv6KiLLWXNkzLGtlYWFWqULFN6zacTkQb58IFiCXjAgSkgS7z30N2An71SchvJR/d&#10;ruKI+APIMZIumbPs+Ri6vDTID/kVa8nnY2jl/QR0pykB3R/+iJM+hsZPH7BUeXuHVs1b9OvVu0Pb&#10;9nAVLHXz2vXkN4l4It2vDCiual0rlggOBPo98leB7IF1WMtYCWGpadOmHTly5MGDB+np6YmJiWfP&#10;nkVjwVJdu3aFvaAuaVA5o5z96yFF+xoWhtyiRQsLCwtTYKK0FBSF3dlaWVdyqdilYydvz42/PXkq&#10;FCUGq90IKYS6uHwDSxlQKkDbAfkURURExJUrVw4cOEBb0+KYWUxMjHyAQNctPhMYIf2ebl/0riA3&#10;7/mTp35bfVs3b2mBmfxaBjmlXn3XvnOD2WAwrq6uEyZMOHny5MOHDwlCsXAiQegK4AsABSDNmjTd&#10;8uM9Jd3Hx9D/VVwPfVsSH+ODP8nPSSi/8inorrfY9civJP0B9H+ShOQMZOfH+CBPgez/BNhdvOhZ&#10;St7qHTZ4SMd27Vs1a7F04eLw+w8Ik8lRcv4JoavH30P2f3CArnm0BmItXQhIWroc3S8pKSkoKMjD&#10;wwOWmjlz5tGjR+nDqampr1+/xnyWL1/u5ubWtm1bAj6oi6x07fX1gVFfunRpyZIl9evXN9Ngrs06&#10;wYLdIaTq1a4zdOCg3dt3JLx4qShKYymlpbSRfi+ePac2DCxlQKmA4iiNpUjfu3fvzJkzO3bs2LBh&#10;g5+f340bN9hPH6An0B90PeNzUMJpQlTJiUmH9h/o2rGzo609RKX7CJv2/FamvLSzs+vUqdOiRYt8&#10;fHx27dqFSZ87dw6+vHXrVmhoKHouLCyMNfaP2ntS4jtMpCn8mzdvkpOTYVO8w8dgvyAjIwPyw8uU&#10;dEZ/BOWfStAbP/kkdNer2Yv+V5LDx9AfBuRIIJsf44M8gX7/J1CiwvUs5exYrpNbhzEjRnXr1Ll9&#10;6zZrVnk8iYsnTJZ8fk7oqrIYspN61m3/HjQ9MZBuQxNPdCFCKCyF7kcAR7dEJCGkUFEDBw5cuXIl&#10;7pG/clhUVNT27dsnT57csGHDNm3aoLHStMeBqq00SLt9PeClMSWCv+rVqyuKMje3UJ+Ql9nQjcrZ&#10;ObRu0XLaFPdjh48kvnr9vrBIySlYKk/HUokJryikgaUM+PaQtgMJCQmsQ0JCjh8/TlvLxw8xQrw8&#10;xom5fpldiccsDtAy0tLPnTozfPDQGlWqOtjYagGdGuZnprEUcsrY2LhSpUoYc2cN3bp169mzZ//+&#10;/d3d3efMmbN48WJiUsJVeiDc6e/vv1/DwYMHjx07Bp/dvHkTMqNbogU/ADvl44GsYTiul5BWFNif&#10;QCJl8U14FtaKrD4ChwlIy5F/Ao6RnPXH///+hAPUaT5nVJhUuLaUZKmuHTuNGzWmT89ePbt2997o&#10;9Sz+cWFePvlK/j8tpPKpWGkO2oW07JE/Cdikq0gC4U4kRBe6ffs2Iom+R0RF5xw6dCgqasiQIVOm&#10;TDlw4ADsRTxEbHfy5El6b4cOHcqXL9+xY8fAwMDMzExpRCnDlxnUl+PatWtLly6lbBUrVhSWUmP8&#10;tDHosFSF8k49u3VfvXLV9StX05JTiF2Epd5pz6Uw29TEJEpoYCkDvjGk7WhK8OrVKxoRCzx8+LCn&#10;p+eaNWsgAxo6Ozv7rxiV5i4JyojR6PE5Wdk3r12f4T6tWeMmLk7O2mx+JrpBsUJXZmYYc61atRo1&#10;atSiRYvWrVu3bNmSde/evQcPHjxCw8iRIwkMZ8yYMV8DDgKQWLFiBcqP/rntj7FlyxZ8CrEtzgVW&#10;CwoKQqWx/hgQHmvqITg4GJJGXEJvaDiq4mOwX/706NEj/FdcXJzoPKnYD0D18icxGWob/ZeUlIRH&#10;gzXxXx+AYJz9RN9ECSRoBdwlvpKG0NXwB9AqXJaSLNXZrcPoESP79+k7sG+/LZu8oyMfZaSmZWVk&#10;6E7z80FfsVAOqoiGkHvdrAGtQwvGxsaihAhxaFziG/oA0duNGzdOnz4ND9GLvL29165du3DhwrFj&#10;xxJLDRgwAEJavXq13O6j28BJCxYsgKLoz3RsQi6ITT9Qlkb8s6b8J0Dm0CT20qpVq3LlymFfJiYm&#10;RmXLYm7yplSViq7DBw/Z4esX8eDh26xsPUvJa44k6CffDUvRrrgwWAojh6Uwcigas2Qnbk5MjgTm&#10;p/k9A74z6L0nacJAGnfPnj2olvXr1wcEBOB2cY70BIGuZ3wGxA4Jyuj6APsMCw31WLmqa5culStV&#10;sjS3MDEyNipTxtjIyFIL8awtLevWrtOnV+8pkyYvWbRo9SqPFcuWL5g7b/asWXNmzZ49Y6b7pClj&#10;R48eMXTYsMFDoatRo0bBWwSwOAiYrEePHl27kncX1h9AdqLPOnXqRILQctCgQeTAz4f/AYZpEFKc&#10;OXMmSg4iXPkprCoGHgpq37p1K7WHjVB1n8SRI0dY48vwINgUTIlHi4yMxCd+AGhPv580fhMfiofF&#10;JHWN8XsU5hewwE/UOWrp9s2gsSNHuTpX6OTWgUobPGDg0IGD1nmsJlaIi4qJeRT1KCLyh1/+BDAQ&#10;wQfcQ4eHP1Dk4MSJE8ePH9+3bx8RDyZA+7JetGgRfWDcuHF0CWTT6NGjJ0+ePItesXAhvdTL09Nn&#10;82bfLVu2+27bCX35bvP12bJi2bJxY8a2a9O2Qb36zZs2a9yg0ZgxYy5duoQawzRoLCwCfcZajOVv&#10;gaCk6B05SnSiT8A6R48c6denT/UqVW2trc0JBE1MTY1NWJNmqVal6qSJk86dPfv82bO3OTnYqZJQ&#10;JWKd/Dz18uL3wVLEHTiv8+fPw1JeXl56LSX8ZGCp7xolm4+wAzVAQ6M8sE+ixTNnznAAfUA6A5CO&#10;8TnAAvU/JP327Vv8Ajlj6jVr1rSwsDA2Ni5TpkzZsmVl9JGlmVn92nWHDx7qsXzFoX0HLpw5d+r4&#10;if179mL227Zs9fHy3rBm3YolS+fNmjN9ytSJEyaMHz8ex4HLgKhgKYJWhBdhI+sPIDtZI85Qac2L&#10;0aRJk8afAn9q2rQpCdb8CnqD2AYOHIiH+hjiuSgDkC+3Tps2bfbs2RDbx8DfEX0TYgM24TaITZ7D&#10;wW0fYLcG5CwgsXfvXhzo1atXcayE9p9AaBjLg7v3wu8/vB8a5r97D+KJeNmtbTsoasiAgYP6D5g7&#10;c9benbtOHD1+8tjxU8cDf+zl5HH0zKdBTcJJhw8fhpB27NhBE9AQhGVE4SRgpnnz5qGNJmogakEt&#10;Eeu4aejevTuB0ZhRo2ZNm7500WKv9Rv8tvru3r6DZec2v00bPJcsWDRhzNhunTo3qFtPvQbQus2A&#10;vv1obgR6vjYSXUwJ/GMsVfxIqUgNfFCJ/JzcjJQ0Nctz23aOtnby+jyLUlGaqLK0tKxTp878+fPv&#10;3r2LmicS1eX2EUo7SwEcDdeA85InhLAUwSDKF4/zAUuJtDLg+4LcgCLB+smTJ0SXxPhbtmxZu3Yt&#10;cSE+MSEh4S+zlNJSxSMFsE/OhXeYNWtWo0aNxFQgJyMjI0lYm1tUdqnYsb0bPHT00OGQW3du37h5&#10;7tTpY0cCjh8JYM+h/Qf8d+3Z4evnu9mH6BXPQsBLh1y3bh3ufsmSJbh+OAAm+Bj8lTU2ydmnTJki&#10;9Cay6QMoDVUM6Gfw4MG4pD59+vTr10+o6JPgMIBEw51xsLDaxyAroE+TJ/zKwfyk70dgJyBDIJvk&#10;P3bsWAJ5LuFjzJg6bea06TOnTp/hPm2G+9RRw0a0bNa8kkvFNi1b9enZq1/vPr279xw1bPicmbMW&#10;zJk7f/YcdOqPvcyfC9d8GnK7eMaMGdOnT6dLsAmLQE6AvkTnh6s2bNiAgKZH8VfArwg+OH7SpEn0&#10;n3Fjx04aN37C2HEI1pFDh1PbE8eOm+4+lfN6LF+5bPESYqnB/Qc0adCwTYuW7pMm79y5k8heWEog&#10;pqHb+Dv4HUvp7tqlJadERzzasGZtk4aNZL4+dYPd1MzG0lK9NWViYm9vTwSG7cTHx2Pgf1KS74Cl&#10;qNbExMSHDx8GBATQbDgFHM2tW7eioqJwbQaW+t4BM+kbLjY2lpZFK0s4QiIsLCw5ORmy0fWGL4FG&#10;agoaSSmQVWhoKPbfpk0baAlYWVnBUgDSwoTsrW3q1ao9cuiwrd6bz548xQJFBR49duLoMWJ/EseP&#10;HA04eAi6OnL4sNw9o5AHDhwgIkZwoDb279/P5seQwziGwBluww3hgD55E4+dUNoyDXgufBmsMGrU&#10;KAiM9cdAPwESHACLwDqdOnUi4m73KbRt25Z1+/btWeMjEHN169atUaNG5cqVK30EVw1VNLBZoUKF&#10;ihUrVq1atXr16qw/Rs1q1WvXqFmrWvWqrpWrV65CunqVqlVcK8FVHdq1J6Zu27J1h7btunTs1Nmt&#10;AwvB/o+9dO2kjcP5CN26dSMyQBJ17dqVNUEAzUcr09YwFqDd6aX0EzwevEUaiyB027p1K3YBjREP&#10;zZg2HZYaNXwE9N/JrUPHdm69unUfNnjI/DlzUf+7tu/YuG4DoUDLps1aNWsObyGk8JMS8AnEOnQb&#10;fwfv/6sm39PI6V0BdKXu/T5//OTc6TOzps+oUbWaDKNlwcRsrayEpehaxD1wJ2GoLp8/wPfBUq9f&#10;v8ZbHTx4ENumtRBVwcHBMTExVDoQH0dCQnIDvi8IS9F8pNHH58+f37Vrl4yjIx0XF5eZmSmSSNch&#10;vhD8UO6/k5A34WELXIOlpSUsZW1tbWxsDEupMbLaHQmX8k7tWreZMGbc4vkLli5avHThopVLl61c&#10;tnzVMgLU5aSXL15CoLpsqQJ0gkMRsAmvsOeT4ABZExTPnDkT5UE0PHHiRHzTJ+Hu7s4xRM1yRxEp&#10;A/2IrPkAIo9IYPM9e/bs0qULJAQbyc3Gj8GfIGkoqkWLFo0bN65fv36dOnVqfQo1NdTWAJPBVZAZ&#10;wL+4fAoVnV2qVKyEeHJyKOfkWA5+gqVqVKlav3adWtVr1KxaTUirUoWKlSpwpGu1SpV/7KVqJamw&#10;D0FNQuqSrlatGvVPuEDT0CgtNRBk0JToXcQ0wQedAQmFkKLzaDdrFyg5Nnfuonnzly1avHLpco8V&#10;Kz3Xrd+xze/IgYOo/+uXr0BU0yZPGdCnX52atXp2637yWCA9H1PCFv4ZZioJ8oOiNJZSo8nfvX+b&#10;mXU/NGzrZp+hgwa7OleQySbU+x7GptYWSktZWFg0aNCA7n3s2DFEiJinLreP8B2wVF5e3qtXrwiB&#10;cS6wFPHF2bNnIS3810ttYIyepTSnZ8B3BppPWvDp06e08tGjR+Ue/Z49e27fvk0PlmG49GNdh/gS&#10;0PX5oX4sE/lkZWVduHAB8YEsgKLgKliKyA4tZaV9yMPOyhqX6tamLSHqqGHDx40aM2rYCBIjWYay&#10;DJNl9MhRY8aMgUI0PTOKxNixY7XbMJ8AfxW5o/8JrgfuGTZsGImPwcEysIIDOAyFhMNirR5DfQQ1&#10;9FA7mLT+1t+fQI6RPKE3de/vj8Fh+iNhQRSAfpDIx+jaqUvPrt1ZUEsd27shm5o3blIHRVW5SoVy&#10;TpUrutarXQenie/W2KsakuvHXqq4ChN9CD3N0wlJswfSgq4QqYQFxAeEBVBXo0aNCCmobX1Djx8/&#10;fsaMGcQ6q1ev9vbatGfHzuNHAq5duvwg7G58dMyLp89fv3gZ8eDhxXPnF86bj35t1qhxiyZNZ0+f&#10;+fDuvdzi6VT+hA/+IoSlZOCDlkhPTrl84SJCij5Qzs7BUvtKjnp9XvtiDrbm6OiIoFyzZs21a9eS&#10;k5O/+zt+JVlq3bp1yF68zL179+Lj45GKkJMMmjCw1HcKFLCIYBr05s2be/fu3bBhAyyFdA4PD8/J&#10;yaH7/h2W4rd6lmJNmr5ENErEWqFCBTX9pYkJwR1cZWNphSGZm5jiQLt36eo+abLn2nW7d+zcv8d/&#10;/569+1h2q/X+vf4H/Pft3bNXhhiUxO7du/ft2yfvUZWENv5Agb/+/4LDdNkVj18gQbX8EfTZamf4&#10;H3R//hTkr3LYJ3+rB0Ynf+V4SrJzpxpEhsz9JHb4+e3avoMa2+m33W+r7zqP1RPHjoOxmjVq0rxx&#10;04F9+y+ev9Bj+QoUAAqV8P+HX1Z9elSmgtzsXbVqlfYoSo3lkzu9QFPpSqYjzYnLvby8dhSDVjhy&#10;5AhhOs79VlBQcNCtsDvBMFBUeATkdCfo1sWz53y8NkEPvbv3cGvbblA/6nzByeOBz588LclPJLAF&#10;MYp/AGSjvd6kWEpLJL56HRhwtF+v3rWr17A2t7Ayt7C1tCYEFJYyNTWFlSdMmHDo0KHIyEgU3p8X&#10;5rthKbnjt379+q1bt168ePH+/fuPHz82sNQPAGk4iCo2NvbKlSs4QWIRWAprjImJIcjCov4mS5GJ&#10;5CCIiorauHFj7969CV3lvp+FhUWZMmVsrazL/ucXiKphvfruEydBRdERkRmpaWnJKSyEh+kpqZmp&#10;aTkZmW8zs7OzsrAugDgDJDIyMtLS0tLT00l8DP0B2kwUCn9yMNDy/h10f/gU+Gt2djaMDkiTubwC&#10;9TH0Lz9Jsfmt/mDtJB/i7du3cpiAw+R48vkY6alpVJcs1FXMo6iD/vvmz5k7sF//8aPHQGCPY+LY&#10;/+ZlQtLrN6mJyYkJr3/s5U3C608ChwZIvCmBD/YnJiYmJSXJWupcNgHig022E57/FhP5KCw45Prl&#10;q8cOB2za4Dln5qzunbugWWtVq96lQ6fFCxbevHo9Ky2jqOB3T3axAsI1jEK3/TchFIWBwlLa8upl&#10;wkH//a2aNS9nZ29cpiwsZW9tAz+pKZ41lqpXr96iRYuuXr2K+SPyFH9+v3f8KHp+fj4td/v2bYiX&#10;KNvb2xuWevDgAS5M+AkHJ3eNJCQ3oDRDGouGE5B++fIlCSjq4cOHJ06coIllyonLly9jrnQALApz&#10;0rqxgq5nfB50v/k9iG+gwIkTJ9asWdPGxgabgaKQU2qMrLGJlZl5VdfKvbr3wOZjo6LfF6lvsrG8&#10;yy9UT4bfvS/KLyjSEgZ8CPX9OvUUncp5V/SOgPrkseNLFi6CpQb06btmlUfQtRuPHoZH3H/w8O59&#10;FED4vfulYXkQdvd+2F3WFImFxL3QsLshoQ9UWm3y1/uhYSxqqH1IqLao9P1Q9SuOkR9qF/W7hRz+&#10;CHiw8PDw6Ohoen5cXBzejOCJzUca6KK4b9bBwcHnz5+/rgGfTvr48eNoax9tgKm358ZVy1YsW7R4&#10;9vQZk8aNHz18RK9u3fv27D2o/wA2N65bf+XCxZfPnudl56iPVpeArr3+oVt/7wqLCnPzWMNP2RmZ&#10;xCjh9x8sW7ykRtVq9ja2Mg+ZhamZqZH2tQ41AYV5o0aNuAIunLiHIPLPKfM7YCmuAc108+bNffv2&#10;CUtdunQJj6ZnKaCRlIGlvgOUZClpNRoXa8Rig4KC9u/fLwNkYJE7d+4QPNIHhKWkM/wjdsUZr127&#10;tmLFihYtWqiPh5qbw1JwlbIfE1NYysXJuW2r1ksWLLobHFqUV6CmrsDzwkyaHRKWFmkJAz5EEbWj&#10;C6shqsSEVyeOHl88f0H/3n07tnObMGac90av7Vt9t3pv3uK92W+L7y6/HaVh2e67zW+r7w7fbTu3&#10;+e30286yY5ufblO3qJ0su1jzJ9mpbao7nNt3qpucHPPRsoPlU9i5c+debTjo4cOHj2qgw5M+duwY&#10;aXnnmvSBAwe2bNmyZs2aZcvUYB3Ex8yZM8eMGdOrV682bdq0aNa8RdNmLZo0a9m0mTzwa92iZaf2&#10;bpPHTyAgCAw4GqXdCVD9loiKRvlqUPlrkRxGkZacGh8dc/J44ISx41ydK6ixEiVZytiEPRhd+/bt&#10;d+/ejUNA/WPdAl12H+E7uOOHlsK1wUzE17gwGJiwgnADHsbH6R2fpA0otaCZBLpt7V4fIEEIiVYO&#10;DAyEn1auXIkZX7lyhZ2ZmZl0ALk78Y/wk4Bsnzx5cvDgQazdycnJwsJCBqPLVM2EfrbaAIpxo0af&#10;OXEy+fWb/Le5mJ+IKvwvikrCRgM+BHXyTuMq3FbR+1e/vTh+JGDBnHk9u3ZrXL9B5w4dJ44bP3XS&#10;lCkTJ013nzp9ivu0yVNKyzLFfYb7tFnTpiNK5syYyTJ7xkw2Z02bIXvmzpw1b9bsebPnsJ47c/Zc&#10;0trm/NlzF8xhmTd/ztxPL5/CggULlixZsnz58lXajCHAo/g1qXXr1rGGmdiUVxE4eNasWXPnzp0z&#10;Z860adNgqf79+6vx7B07ovj79+nbrXOXqpUqO9ratWrWHDm1eeOmS+fOU/nIWa0hdGPEvyJo8EJl&#10;FNBVcmLS9StX13ms7tmtuwgpc5hJzTCrpnWGsRzs7GrVqjV06NATJ04QhmLaKoM/DUC/j+dSxNqn&#10;T5/29fWl8bZu3Xrr1i1cGDvF5bGGokq6PwNKIUo2k/ATIM1OlPGFCxcgJ+wWljp06NC9e/dev35N&#10;09N3/84dv08CdZ6VlXXjxo3Ro0dXrFhRHk2pkX5G6ru9Mq2fk4MjvpWAOio8IjMtXUWLiqUwe+2N&#10;EBIGlvoY1AmLzjn+j6W6duxUp0bNNi1aDRs8ZNSw4SOGDhszctSo4SPYLA0LJSEiQepNGj9hyoSJ&#10;7hMnTZ002X3S5EnjJqBL1J5Jk6dNdodZZ06dNmPqtOlTppKewTJ12syp02dqZDZH0Rgc9uGi46Xf&#10;QxtGrghM3gGHiliTBqRLjp6AtLy9vXF927dvR3zs27cPgSUIOHz47MnT58+c3eaztU+PXg3q1hs9&#10;YuTenbtCbt1+9vhJbpY24VBBUcHb3Hf5BV+bpQrzC4ry8jljyptEZBw12aZFSzsrNWLCwsQMlmJt&#10;UqYsLOXkWL5Dhw5cKQaYkZGhs2oNutw+wnfAUrm5uXAS+nfz5s2wlJ+fX0hICEJKbvfh6XBzpA0s&#10;VcpBMwESen4S3oqJiblz505AQMDGjRsxTi8vr/PnzxOCZGerb7nSd/UsRQLousXfgOTz4MGDmTNn&#10;1q1b197eHjllbm5uUtZIfULU2ASusrGwatm0+bJFiy+ePZfw/Dd1Wx/nq/zv/16zN+BDfMBSL16e&#10;OHps8fwF3Tt3bd64Sf/efRbOnbd88RL2sCxZuEi9jlYKlpXLlq9ZuYrwf/2atZ5r121ct95r/YaN&#10;6zewuUH2rN+wacNG741ePl6bNntt8vb0Ir2ZxWsTe3w2eW/Z5O27eYvflq0fL7DLx5Cphwm4oR81&#10;D7EG0hAS+3Xb27btKv58DDHcxYsXr1y5EhQUFBYWFhUV9eTJk9+ePadnvnj2/NzpM/BTm5atFi9Y&#10;eD80LCstXX2RHbmvsdR/JaL6qt1VmxgJlsI03iS82rnND3lXu0ZNW0trKzP1uNfa3JLIz/jXMrBU&#10;FddKRIc7tYkwCBb5tbrZ96dvcX0HLJWTkxMREXH48GGaEJaijUNDQ2kkfJz4OzydsJT4PgNKJzSS&#10;+p/kpcmgotjYWChKviYltzsIErFDhBQdV+hERVnFXAV03eJvQLLl1OvXr+/evXv16tWtra1hKShK&#10;WMrMyJjQr3b1GqOHj/Dd7CMTNqvHLRo5GVjqDyHeUFhKPZd6febEyRVLlw0ZMGhA336rV6y6fvlq&#10;+P0HD++p5cG9+6Vl0cY+RNx/EPkw/FF4hG6i2PAItVm8JyryUXTko5hHUTEkIiKjI7TNyKjYR1Gx&#10;UdFxUdEq8cnlUyAyI/L+AOyMjIx8pE1sDySBybx69SohIUHeDQWYRmpqKv49m3/pGVTy2ZOnkKew&#10;1Mqly+OiYtQnBGXQnTQHXVVrDl0bfQ1oJ4KostMzHz2MWL54ad2atcvZORDqWcJSZhZqhiRjE6JA&#10;1FXDevXRiDAu14Jv59eFGiSnT+I7GD1BexD2Hjx4EJbCi+HO0FJ6IQVoSP2m5gANKI0Q5SQsRQKK&#10;ErOEovz9/ZFQsBQhCN2X1szUvoJD39XTErwiY4Fk8+9AWIrecuTIEeRU69at7ezs1FtTJqZq0ViK&#10;xaW8c4e27efOnHXr+o2M1DSNpZTlK5ZSz6W+ptl/pxC3WMxSKYlJF86eW6vemlKPowIOHU5OTOIA&#10;/qSm0BamLw0LJdGUx/88Ow2t7u7S2MrLa4vm91Uf0CS1bpBI8fF/svwxtOhLd4dA0oKSf/0AcrAe&#10;RQWFyW8STwWeGDFkaId27dd5rHkW/6QwL197gKpnKaVr1Z6vBmFBIrkncfHnT5+ZMHack4OjfOoQ&#10;g1JTupAwVp+Vqujk7Na2nZ+fH7afrn1ijZ9rJPX9s9TDhw/379+/ceNGgl9UcHBwcElaMrDUdwFp&#10;Jtak4ar4+Hgo6u7du4inzdpHCuQdqfv37ycnJ+fnqxn7S4onbFJee5LNvwPJlrMEBQVx6l69etna&#10;2hobo5+0b02pdw/VhC52Vjb1atUZPmToudNn8AV6CYVrUB/C+b1nMUBB81bUknjTtOSUq5cue3t5&#10;zZk5c/6cuadPnEqH7HGeRUV4UvUGj7jRb74ID5XcAwlpba1bPsFSxUSlP+aPlj+GqrASkCoEuj9r&#10;YFO6a8n9HIxbLyosys/Ne/n8xbGAgBFDh3bp1GnTxo2vXrxUgyb0Z2fRF/JvQyvd/6Dbyxm0oROp&#10;ySm3btzc5rO1X+8+NpZWiqKMTeVBr7IsE1M7a5ta1arz1+PHj6MIsXEsmp//CCyFKgwPD9+zZ8+a&#10;NWs2bNiwb98+vZYy4DuCnqUIJkBs8b2+bdu2rV69etWqVXv37r19+zYElp2drWv+rwNl4UVFubm5&#10;nOvcuXMjR46EpaysrLAomXvC0tQc08LMRE7t8N0WHx2bnZ6hbve/e89afUXJgI8g/lS38e5dSkrK&#10;rVu3sFyZZ+HChQsZGRm6NjDgnwCO/uXLl8eOHRs2bFiHDh2I8xITE0vyxz8Lcta3b8mzKK1W9P7l&#10;89/27dk7ddLkFk2aqht9asSECviEpRBSFbQZMmdMnUqvKNkTJE/dxqdQ2lmK0qOl7t27t2PHDnyZ&#10;zJPNpoGlvjvATFgUIB0XF0eoceLECZoVfbxu3brt27dfvnwZgZWamioR1teDWAVclZSUhJyaOXNm&#10;1apVHRwcREtBUVZmFiTMjIwdbO0aN2i4YM7cMydOPYmNy8nKfk8Am5MLS/0jwekPBjyX3nmRSEtL&#10;IxAh+DCw1NcANZyXl4c1BQQEDB48uG3btrBUcnKy7s9fAZxREVSx7NPtJezLL8h/mxcVEakGoHft&#10;Xr1yFTPsSJsVk0W9hqh9C7tGlarDBw/x3uj14MEDeSIl+BFYKjMzE4/m6+sLS3l7ex/VvpcsN44M&#10;+L4AUbF+/Pjx/fv3z58/v3PnTvSxh4cHjYumgaJoayiqpAF8DYiZkUC0RUZGYtvt27evXLmylczg&#10;YmquXkU0NjUpY0Q8iMkNHThok+fGeyFhiqWK3hXm5hWpO34fPiQw4AMYtNRXBX0YX481Ebijpbp0&#10;6bJlyxbqXPfnrwDOSLOyBrpdGvLe5qYlpdy4cm3q5Cn1atW2tbQ21cYfmWvvyGvWpFiqSYOGSxYu&#10;unjuPBpDzFzykd4iWX0S38EdPzwXERkNAEuxPn78OFRs0FLfHWT0xJMnTyCG69evy6DNVatWbd68&#10;mTYNDw8n9Kbv/nl//UcgVkHXQk5RKkLRCRMmNGnSRM2QZKTuTqibFaZmsJSlqVmFcuVbNm3mPnHS&#10;pXMXstIz0FIFb5WWeleku8FlwB9Bnvzt3r3bwFJfA/Th9PR0DGffvn2TJk0aNWrUgQMHMCJx/V8D&#10;ilU06LaL92RnZj2Jiw84eAipVNG5AhEeC6YkisraXN2ZgLo6tnfbvtU35lEUVMqvxAzJRJ/4I3wH&#10;Wop6v3nzJr5M7gudPHmSSNzAUt8d4AMQFxcXHBwcGBjo5+cnw2EgCfa8fv1aviyAd9O1/VcDnYoT&#10;scZU8KTEQJSkV69edlbWahi6msrPAuvCzIgEHWxsXco7de/cZf+evW9eJhTk5cuTfzVGwIDfQzmb&#10;4lgbYLm3b9823PH7SqCqpfcSB8ydq74KfPr0aXiL/bojvjKklTldanLyzWvX16rbfd2cy5WHoojz&#10;kFOYEooKI7KxtKrqWgkOO3ksMOn1m7dv3/JzfijGzvrPy1zaWSpf+wTi5cuXN23a5Onp6e/vf/78&#10;ecIHA0t9d4CiEFIyzcTOnTtpTdp0x44dhCBoLDouzCHkoWv7rwZMi34lFpKVlUXBzp496+7uDhuV&#10;nHZMIkFbSytbK+vmTZp6rl0Xfu9+WnJKUX4BFIWFUVQD/gSpqakGlvp6oBvLg1WsaeHChcuXL794&#10;8SKRATWvO+JrQmMoXVzy27Pnu7fvHDFkaLNGjcvZ2WvKyQoLgqIk1Kvo5Ny+dZvF8xfcCbqVm5Ut&#10;t/swdj1LSeKPUNpZCueFa8OJEO3i1A4fPnz16tWoqCjDc6nvDnKvD6OiEWlNeUEbZczOlJQUuql0&#10;el3Df2Xk5eVhJCQQcPKqA260RtVqjnb2lqbmMohWfVrUxJQwkKVerdrzZs85FXgiJvJRTmZWXs7b&#10;3Jy3ZGLAn4D48tq1awQiBpb6SpAnf7AUQmrRokXnzp37N1lKYyilh6IiHy1ZuKhJg4YyvaxJmbKw&#10;lI2FFfyEorI2t6xbsxZCavtW37iomHdaJArgKiEnPV39EUodS5V0VZQeAQsnBQYGenl5bd68OSAg&#10;ADdnYKnSDO3Gnm4eEGkmScfGxoaEhNCUW7duhaJo0OPHj9+9e5eIW96OktaXpv+qoIOJYegRFxeH&#10;qffs2q1BnXr21ramZbUJ/bThsywYW5WKrj27dccUTx4PjI6IxNjiYmLhXRAfH6/NJxD7+PFjrpfN&#10;nxZSD4D6lImv5Jtw+FAPDw9YCq+qOSgFXWMY8DcgapVob+7cuQsWLCDmw2F+PSMiZwxHbIc06+zs&#10;7FevXp0+eXLsyFHVKlWBouSBrroPoUV7FiamtpbWrZq3WLl02eULF9UcuIXqt0DfDfSJP0JpZCku&#10;XtKQLZL2wYMHR44cQUj5+PgcO3aMrv/o0SMDS5VaQFFPnz4VZiLBpiTQTOjg3bt3y0xIu3btunnz&#10;ZkJCAp1emvtfg1iF9DTW7KG0xKEL5s7r1rmLk2M5eWtKm9lFDaI1MzK2s7KuVqkyf12+ZGnAwUPn&#10;Tp05c/r0mTNnUPmAhKTPa8Ad/5zg2qVCSFCfUJSnpyfec9q0acQlly9f/uCxuQF/B9RhYmIiNuXt&#10;7U0csHjxYljqq6pVMRmBpCkADnnD+vXEcBWdnGUsH2uIirWM8XOwtevRtdv+PXvjomPUxM1FX9z0&#10;pZelSMhDKQJwujuh95YtW06cOBEaGirTW2ku0YBSB2gJVcGaNkJqsIaiaLKwsLDTp0/TiITV2BVN&#10;iSbOycmhoaXp/zXovSRrOXtmZiYkGnDo8LhRo10ruBAAqs9gm6mRftrbHuo9KhtLq5rVqvfv03fR&#10;/AWbPDd6bdwoX76nZ3I5CH0CqY0bN0r654T2ZT5dAhCO4D2nTJkyY8YM6uratWtpaWlS7eLmVGMY&#10;8FdBeEd0hR2tXr0aLSVqlZ6s+/NXAE0mEMOhAFj63r17x40d27RhYyI5bVisuYWJ+pSUvCzlYGNX&#10;vUrV8aPH3rhyNStd+2Twlzd76WUpKiI3Nxevd+PGDSoCd7Bt2zbCtPv378fGxhpYqtSiJEvBT6zZ&#10;fPjwIUHfgQMH8OMIKX9//6CgoJcvXyKXpd3/TdC1AAnN4pTR0OVwoDGPolYsWVqnZi1bK2sWiQqt&#10;tE/jmKlv5Fi6Oru0bNpsyICBM6dOW6w+uaC+tkAMu2zZsuXLly9dupRN+RDDzwn53gRQX57QvtoH&#10;PyGkVq1atXPnzuDg4PT0dKntf+eVgx8bVCPGhU1R80QDREu4yqysLOnSXxWcgubDPyMhOHXrlq20&#10;AehIqLLqLp+pmZoJU930M6tRtVq3zl3WeqzGuNS8YmoOzC++d1J6n0uxzs7Ojo+PP3/+vJ+f3/r1&#10;63fs2HH58mViXnGCOqdoQCmD8JPc8SMNiCru3Llz/PhxhBTx9datW2nTuOKPSf8LRvUBOKOclDXx&#10;ID2NBDafkZK6e/vOzm4dKld0dbC1w+oICaEoIkSjX8sQGJa3d6xVvUbXTp2nu0/dtNGLbsm1AP33&#10;F0hs3/7pz7P+JODyqRbW0BKbVAibND0xCt1AfCgVLnUuzWHAXwMViHERwct3quh+xAFflaXIWTLH&#10;WHDO2HhAQMCAAQMqVXS1JpZTE4wpCWWmTYOpTdls0rZV63mz5xw/cvTVi5fq6x752pevvxClhaX0&#10;18+aHkyCikC9Pnr0KDAw0NvbG++2e/dugoWYmJgn2mc7xCcaUNogTYNOohOTRk5FRERcvHgRnyVf&#10;Iz148OCDBw/QLhJQS7t/E3BqeRQsxcjNyr526crcmbPbtWrtUl7dZBeWMsf6fvnVpKwRAgsC69m1&#10;+9pVHlcuXw4PD6d/AiInEBUVRef8mUEN6KE+PqF9jQJgsAkJCfqgRKBrAwP+BrCvXbt2zZkzB9lK&#10;IiwsDJ/59epWGg6gorDuK1euoJhbtmxpb2tnYaIGSiiK0qyGtXqma2I6qP+Afbv3PAi7m5maJiyl&#10;Zr/9QpRGlpKEim0zMh4+fHjo0CFPT881a9YQNdy+fRt1RahuYKnSD9oI90QETYh37NgxLy8vmWkC&#10;IcWfZFyftPU3hJRBkJud8+LpM+K+8aPH1KpWQ96Zx9hsLdVEtJamZnZWNs6O5Tu2d1vnsTo0JCQx&#10;MTFPG9GuB532Z4auFkpAdlJLJAz66Z8F9fn48WMk1IwZM9BSBPF37979F7QUTYlnvnfvHhbdq1ev&#10;qlWrWluqGcXUu/Cm6l14jMXG0qq8vaNrBZf5s+cGB91KfPVafSNR+5jAd/xciosXCSUVQYLOTfB1&#10;//79/fv3r1+/fvXq1f7+/vg7g5Aq5aB1AJEELRUXF4fUQAHLF6QAocatW7fw77QvrfytPBfn/fjU&#10;sFRBbl50xKPli5c2adDQTn0PW0WI2g13I2tzS/Zgh7Wq15g0fsKxgKPoJ3k9hXxwxCWFws+JklWq&#10;WKuYmT6oatLyJ922AX8JWBCalbBv6tSp8+fPh6Vgjq89HInMOW9ycjJCatq0aXXq1HF0dLTU4jkb&#10;C0uIykz7VIejnX3liq6tmjX38fJ+9vhJofYxAZld7Dt+LsXFS+XqE9h8UlLSnTt3/Pz8iME3bdpE&#10;PE6woH/gIT7RgNIGoaiXL18+ffoU4YvlHD58GH5at26dr6/v9evX+VNubq44qQ/8178G6WZAt63h&#10;faH6NF/S6zcH9u4b2LdfVddKiCdrC0vCQ+Nfy1qZW8iQiopOFbp37jp/7tyLFy9mZmbKJQB6LNcl&#10;6R8VXKweul0fQSpTd5A2nA+/pmcsVc/FkCMN+HNQUVJ7+goUkCZOWrx48dChQ2EpovkHDx68ffv2&#10;n6lY8uBs6muKWloWbU9eztvYqOhtW7Z27dRZPb41MbUwN7e0tDQ1NTUxMbG1tS1TpoyxsXH79u1n&#10;zZp18uRJ/Tv7QF3Cl0cnpVdL5efnv3nzJigoCNfm4eGxZcsWmcHPwFKlH/AQbSfvSF27dm379u1I&#10;YQTxvn375DVeeq3W7KUMdMB3/81KS79w5tycGbPaqqdTTmpCP2MTo19+Nf61jPbJefV0qk7NWj17&#10;9PDx8UEsZmVl4YWl0/4kwFTFb7IGXD4MDUgA+ZPu0GLT1h8J5GA2dUcY8KeQCgTKM/6+m+EPETQ9&#10;e/acN2/eiRMn6I0SJ+n+/HdAHizahx/VlJVF2veXi97lZuU8i398OvDEnJmzmjRoZGlqZlLWCHYy&#10;NzeHmcqWLUsClrKxsendu7e/v394eDhtTZEov8q1OPFFKEUsVbLXspmXl5eQkEDoDT8Rhu/YsePs&#10;2bMPHz6UZ/IGliq1kKZ5/fo1NoMUxngQUrDU1q1bT58+/eTJE1pW18ylDZpl5r/NjY6I3Ld77/gx&#10;Y2tXr4mQsjQ1h5zK/vIrXEUCOWVlZlGlUuUpU6ZcuHCBDskV0WMFuqx+LOiu7SPo/4rr0ZOQoqPi&#10;2Fkgh+mh2/uD1tU/DirqkxTFZkhIyMiRI9u2bQtLXb58mehQuqLuiL8DjZ80ovrv+4IiTVQpIZWZ&#10;mnb98pUVS5YipFydK2AdaiyfqSnkhJAyMjIyMzOzsrKqX7/+1KlT7927R0hKeaR7kKuk5Qyfj1LE&#10;UvRv3YYWrOXk5ODRLl68uHnzZk9PT/TslStXIiIiDCxVykHT0HDPnj2TiWWJpzZu3IjsCAgIgLSS&#10;k5Olm9Liekijf3tQEAyzsCg1KTnsTsj6NWtbNWtubqze8JWRFGgpGAuKMv61rIO9PdEi1BsWFpad&#10;nS12yLoUXc7fhrSOgKvDQomL87UPgXOlcrEfg/1ysBwPdH/4CLrTGPCn0FVWieqSTer59u3bQ4cO&#10;bdWqFSx17do1QkP9ZGN/E0o/6T9FXyykivLy3yS82r9n75ABA2tVq25nZYM5WJtbqudS5uampqZQ&#10;lLW1dfXq1YcMGYK6gDVx49IZ9CwliS9CqWMpVf1aGhKOjIwkEt+0aRNEdfz48Vu3bj169MjAUqUc&#10;0jpPnz6VoX3btm0jyNi1axdBRkxMTFZWlrQynVVAWusCpQCaTb4vUt+MT3j+IuDg4cH9B7iUd7ax&#10;sLK1tNImofjf93Ic7OzxDu7u7gcPHsQalUvWTLEUXc7fBteikdEnIH+SFgSyR6D/rUA7/BPgT3Kk&#10;AV8Efa1C/zdu3Bg2bBhaasGCBVevXoWlJCbQHfo3QKymYyltTbowryD5dWLIrTvLFy9p0aSpg42t&#10;NrbIDJayMDNHRRkbG1tYWJQvX97Nzc3Dw+P8+fMZGRmUR7qHyrO42HKKz0dpZCmu6u3btwkJCbg5&#10;XACROBHr2bNnCVpxcwaWKv2g7ZBTmM3evXu9vb1FCt+9ezcpKUliPem4gMQ/YlT/DCiIZpaEjdnp&#10;GcFBt5cvWdrZrYOLE0RlaVrWSI1fkiloTcxsbWyrVq3avn37+fPnBwUFEVT9Yw+uSw3EKmkjaSY9&#10;9G2Xl5eXm5tLm/7RARp36+bA1kMOYK07jQGfDa12ddVLzWNisFTHjh2XLl16/fr1N2/eUNv/SMXq&#10;WEqzBYziXdG79OSUuyGhPl6bCN1cnV2wBTXdpfY9NhMj4//85z9ly5a1s7OrUaPG2LFjURcoCgqj&#10;y04DBaNL0Ft025+N0shSXEZmZubjx49pA2LwDRs2bN++/dKlSw8ePIiLi4OlDO9LlWZI00RERAQG&#10;BqL6oSiRwrQdTg3roqcCsSU2/xGj+mdAQWR5974ov+DZ4yfHjgTMmzWnWeMmdtY2Zf7vF/WuorkF&#10;a0zU0tzc1tbW1dW1T58+O3fuvHfvHtxcui7nb4NrkcbCNgmBaT6YGCCIU1JS8IlcMvF7WloaNsu1&#10;y684HgeKCcPcxCWJiYkcTJrIOicnh0w44AerqH8NVBpVB6hDKvPixYuDBg2CpdAuBPFU8j/FUkpC&#10;aRRVlJdPorCg8ElsXMDBQyOHDmvSsJGtpbVEbLCUjJ4oU6aMqalpxYoVW7duTWGioqLoFdLQgCLp&#10;Sw50p/hslK7RE7LGHujiXOfp06e3bdsGS+3Zs+fatWs4vvj4eDyggaVKCUo2BAkBO+VNXtHBsNSO&#10;HTsIMvBotC9tTRNLW0u7S6JUAGvSFl3wmJJ6P/Tu3p27+/TsVdHJ2ejXMpZm5nZW1ubGpqZljc21&#10;J8YQVdOmTWfPnn348OHIyEh8BJcma/KTq8MsS9E1/imkwKBkGkBCcAy0ROPGxMSEhITQoJjnmTNn&#10;0JHEH/xVLhNgv9nZ2bBXdHT0rVu3Lly4cPnyZQ6DyDmSTPjrB/JLzv4BdH8rhm7vzweuXe/ZJQ2o&#10;ZOqcJujXr1+HDh0wNNqFiv2nWEoMAUVVqL2Nm5accuPqtfVr1rZu0bJShYqW2lc5tBekzLEFCzM1&#10;wA9baNas2fDhw/ft2yefaKEwYgukWQNd7l+I0sJSAi5GgjKCNUKDAwcOeHl50QDy4J1mMPBTqcKT&#10;J0+eFn+bQ/gJsCc8PBwd7O/vD0Vt2rSJ5qM1k5OTdc1caqGZJQsshYnmv819k/Dq9o2b06a4t2rW&#10;3NHWTv+ACjllbmZG8GhhYYGcwk0sXLjw+vXr4n9REnLzHX+BZWKodGk5Q6kFJdSDYkvJuQoCdsQT&#10;DpGWffDgAdd49OhR2nTBggXTp0+fP38+IUhoaGi69iFzAT9EMBGUEFkio+fOnUvlrFu3DsWJV+Vg&#10;egidARunoqRy5FesOa+uQCU8Mn8Cur0/H6gH6U56UCdUHXx/7NixXr160f2oWzQrh1FRJevwL0ON&#10;nii+6ZednhFy67bXes+Rw4bXrFrN3tpGBr7CUhYmaiQ6LGViYoIhjBo1ysfHB19Nt6Fl/5GSgNLF&#10;UlyV9EjUIvbg5+e3du1aWArDoHOLkDKg9AB3g/NSAqoEZNzEyZMnt27dig7Gi125cgU+w4PrmrnU&#10;ogRLkX5XWJSTkRkfHbPdd9u4UaPr1qoNS2GW2CcsZWpiQvxoZGRkbW1ds2bNwYMH79q1KyoqCucr&#10;nkI8rCTYoztFaYVmdv/jCdZ4GfjpxYsXERERiKEjR47s2bOH1pTbG8uWLVuxYgUu6dSpU1y1vN0s&#10;PyQfnBQ/RD/t3r179erVy5cv9/DwIGTx9vbmJ3v37kVgwXkwGd6WH+Je9epKK44CacBfBbq9Px+o&#10;BNpCt6FBapjawzEKS9H3ZPQsB+sO+pvQTABbKMjN++3J0yMHD40dNbphvfrl7Ozlo2vmJqamZY3k&#10;Ux12NrYODg4IqaVLl54/f56mp8C07D9VmFJ0x0+qGHCFxAXnzp2Dn+jcBG6BgYH379/HIb7U5jDV&#10;+UgDvjWElpSAKta4rB8/fnzp0iU8EeEz7gzv9vDhQ7lJrWvsUgtsSliqeFzTu4LCjJTUsDvBPl7e&#10;3bt0xUT188+q9+w1omJtZ2fXpEmTWbNmcbGQNM6dbozbBeRKx/4Orl0rJ6anN0OuIikpibaDnGbM&#10;mDF8+HAiZcQTLCU3+tDH0dHRmCRKC5rhJ1wmOZAGuFGsOC4u7t69e7du3SJqgeGWLFkyYsSI/v37&#10;jx8/fsuWLQTdHIM7A/yQHD7ws6ocxUSl2/XzgRr4oP+wSViA0R06dKh3794dO3akjVJTU3V//keA&#10;CRS9K3ibm/Tq9c2r15cvWdqyaXM16NzUXL0vaG7BAkupOVnMzJ3Kla9du/awYcP279+P+aOkKfOP&#10;yVL0bBJ0Ry4SKqJb4+PWrFnj6+uLVRDQ4QRfvXplYKnSBj1LATQTkbWMm1i5cqWXlxfRBo6bLisN&#10;XaqhxY//LXwnL4iIoRbm5Se+en3p3Plpk6fUqVETOYV9KpYyNjEzI6o0Zw0qVKjQrVs3nPjNmzdf&#10;v34tsSQ9mVzp0mzKGUozpMyYIYn09HT4ibZDEE+bNg1eQSy6u7tjkhgj3IOX5Oq4tJKeiB/Kz4VU&#10;+BMJ9iCjY2NjL168iC1PmTKlR48e1BWch8w6ceIENKZ/HZWDJU8geUoayOZPCK5d6lMPapiwLyYm&#10;BnKCpbp27UpQKCz1j9UVjVBYlJGa9uDuvW0+Wwb1H1DZxRVOktHnNpZWdtY2lqZmxmXKmhkZu7pU&#10;pEFpzdu3b8u9X8pAIf+ZkpQqliLwZE03xQDo04hZtJTMT3r58mV8H/yEyDWwVOkBbQEzCUuxCRsR&#10;XN+9e5eQioZDB2/fvl28Ns36T3XZrwgKyAJFaYpKiSptnZud8yg8Yqv35n69etesWs3R1o6I0thI&#10;qShYysLCAkVFokaNGuIvcLv0YfHX5CqeWs5QmkGEDlUgoVJSUlA53t7eEydOxPv06tWLBMZI8BES&#10;EkKL4yKRSsIoAmlc1oBNstKDTeoBH8oPHzx4QCZ0DLRU586d27dvj7TCu509e5YuxKn1eUqGBpSE&#10;VC8JagmZS2X6+fkNHDiwX79+Bw4cEJaiwv+Zqnv3Pi/n7eOYuMMHDk4YM7Zh3Xp2VupxlIWJqamR&#10;MXJKPaBVc7IYE7E1qFd/5syZ6AqJR2luSvjPFENDKWIpro3eSU/FqWHn+/bt8/T0JJQLCAi4ceMG&#10;7k/couYeDSgt0FMUTYPYv3///rVr13bu3Llp0yaISm73EV79Y8bzVUEBWTQJpWMpGEvJqYI3Ca+u&#10;Xbqyatnyrh07V3KpaGtpbaqeTOnkFCxVpkwZW1vbmjVrohV2795NnIsf17z0/4b8lXLQQJSZ1iQo&#10;XL9+/dChQ1u3bt28efPhw4djiSgh2hf2lcvBDbEWOhFo5KJQMq2H/IT86SqXLl1at24d4qxZs2YN&#10;GzaE2hcsWHDs2DF9pclPyEdXMgM0aNWs6oSAHicZHByMexw9evSYMWOoPayMP/1T9QZFvXj67Oyp&#10;0/Nnz23dvEV5ewdRUebaDCxmxoquSMNVVVwr9evTd8eOHfKJALoHgKsoiS6vv41SxFKAC8MMMAZo&#10;icvGVAjGT506hZCkBxOL0cVZS8KA0gBhKSjq5cuXcXFxWA5x8bZt24jEabtz587RmvKcRtfSpRly&#10;o0+IqsTyrrDobVb288dPtU9Pja1do6aDjZ2VpRX8JBCWQlRVqFChfv36KI/Tp08T7eKXcSgYbem/&#10;fMqZnZ1NY+HvZs2ahdCBQlq2bDlkyBAoCnvE6DgAC+VyJFImDZTdaiGmBNGyhwxlPwn2kDkJ6Iee&#10;kJWVRbeBqMh22LBhVFf16tXd3NymTp2KIIiPj+dgPf+pkhlQDH2VUkWvXr26desWLEVUNH369DNn&#10;zmRkZJQ85m/i9cuEoOs31q1e06tbj6qulawtLNFPlup9dlO1Vt+MN4GlKrtU7OTWYcG8+UQ28s6+&#10;6hPaEETWurz+NkoLSwm4MHQrSvb48eM+Pj4bN2709/e/cuUKe+i+yEnhJ42nDET17SEtAkUlJCRg&#10;NrAUQurgwYMIKdpu//79oaGhb968kQBZ18alGYqiNJb6/fKu6F1BfkFOdvb9u/dWr17drWu3GtWr&#10;29vaWZpbKHPVvk9qbmrKppWFJYtb23YeK1ddu3L11cuEgrx89fa+zpmT3bcHbSF0Qpo1mxSMNoqK&#10;ioKi5s+fj35ydnZu0KBBz549ET2EGjSxPDfiJ3qWKgnyKUlRQPaTYCfOi7Qcw29hOzoMTnbDhg3d&#10;u3eHpapUqcJJp02bRgEkJJeDhd5I8yst158aUofSfJhVUFAQ4eDMmTMXLlyIk9QPLtUd/XmQPAXy&#10;WzInmIh8GL7dd9ugfgPq1aqtCSlTcxNTuAqKQj/ZWdugq6zNLZo1ajJn5qwTxwNjY2NLjm4lky8t&#10;yZ+gdGkpLjI5OfnOnTt79uwh1MLTEV7Rm7Ef/as5GIxGUgaW+vZARbEWIQWio6PxaL6+vrg2eYxB&#10;bIFLwsHRsrqW/g6B1VF+gG/loubNm9exY8fyDo5qtiR1D8SUhYQa/sSmiWndmrVHDhu+1dvnXkhY&#10;TkaWeoG/QN0lA2Sly/TbAUPTuyQxOnwKxhUQEMClQRsuLi6Iwi5dusyYMePChQs4IDis5PFAy+mz&#10;ID+RnwNOTX/Ao71+/fr69esrVqzo1q1b1apVy5cv36JFi8mTJ0NUdCR5RqVnqS864w8MqoLGojZg&#10;KWoPW5s9e/bSpUsRuxhayXr+THC8QLoEOaSnp2O2x44EzJg6rXGDhvRzyMm0rJFpWWMrRJS2trOy&#10;Zqlc0XVQ/wH+u3Y/iojEb0ssQp5kJbnJKf4+ShdL0QD03atXr1L7BK14uiNHjty9e1felNL7RBIG&#10;lioN0LcCCRrl4cOHR48ehaJWrVqFFL58+XJiYqJ02e/ay9Azxepw1uhF3Ki7u3vdWrUdbOxsLK2s&#10;zBQ5/W8xNcOwmzRsNGnchICDh58/fiqfABbnIvmQJwn2sJZT/GtQZvZ7VwJnyIsfUFSbNm3gJ0tL&#10;y/r11fPwvXv30rhctRwpa4Hk9jn44HgyoR7waGRLZHPp0qVFixbBT3Z2duXKlUPALV++nBqmnjlA&#10;quiDHH5C6GtAao9qIWCS70XMnTt35cqV6Cqqiz/95YqSnOkMONsTJ9Tnozq2dytvr0Ix9XYgLGWk&#10;+MmkjJrN0lajqE5uHVYtXxEWHJKaklLyFl/Jfv6PoBSxFBdG38Uqzp49Cz/h6WiDU6dORURE4ATp&#10;0Jo/NLBU6YI0B0qXzh0aGrp//36iYw8Pj127doWEhPyz98q/CaRniv3jHYhYUfZbt24d0K9fw3r1&#10;nRzLWcJS2p169WDZyJhNDNvB1q51i5aL5i+4cuHiqxcvc3PUkznJirVki1bQG/a/BrkWEpydy6EY&#10;SUlJN2/e3LBhQ+/evaEo+ZAdQmrHjh1hYWG0oJSZX8nxks9fBjkIqEnCdgz54MGDgwYNQk45Ojo6&#10;Ozv36NEDvjxz5owMDcUnGG73UV3SVaT5qBCMDi5Zv379/Pnz165de/v27b/GUmQl1UvjwjSpqalI&#10;tGXLlnVy61itUmWNn1SXttQeSlmZW1hAWkbG5e0d2rRoCZOdOXnq9csEGkk6Cfmwphj6zX8EpYil&#10;uLasrCzEPpEU8ThVv3v37itXrrAHV6h/U8rAUqUH0go0BxT16NEjAjqib8ILGd1HeEGD6hr4u4X0&#10;TDE8PCbAkpH7q1et6t+7T2UXV6JLHTlp8/uR0EZAmfGn3t17bli77vbNoMTXarJqyY18AGl94t+E&#10;nBTgmygSoJk2bdo0bNgwdAyCBiFVsWLFcePGIYXhCViKY6QSJKHL6G9DKpPgPTg4eOHChW3btnV1&#10;deXsVapU6d69O3Eq0pz+wzHiRn9mSP3rE9QJWvPAgQNEhChRzI2IUC955SefCa0R1G1VGjctLQ0r&#10;3r59e79+/WpVq1HOzl5NKWtsqt7hLQ7F4CobS6s6NWqNGzX6yMFDT+LiczKzCvN1MzMB6V1fWow/&#10;RyliKZj8zZs3d+7cwdPBUggp6IrNmJgYhBQsJZ4RlsI5GliqNAB+ojlAbGwsQurChQsE4GvWrCG8&#10;uHTpksyKRO+XHqxr6e8NJQ1PiztVdM+1nz11et6s2Q3r1sN01bRmejPWAk8M28HGrnb1moMHDNzq&#10;7XMn6BZ9mx+SCbUBJGcgZ/nXICcFlIGmSUxMDAwMHD9+fL169ezt7W1tbSEJNzc3DJDoEJOU8ZlA&#10;KkGfg+T2dyD5gKdPn/r7+8OLDRs2tLCwkPuNkydPDggIePz4MWXgGN1vflZQA/o+QytQJwh6bA0h&#10;tWTJki1btty9e1ffUvKTz4T+JwQEUBTMJ52hnL2DtYWlzIQkg85NyhoZlylL965WuUrfnr03b/SK&#10;fBiem/O2qKCwQAUSKuihkNJPvrQYf47SwlJcmLxNffr0aR8fH4yENsDr3bt3Dw8ISyUkJAg54RPF&#10;RRrwzQFLET0AbAbVe/DgQWILWIrwIiwsLCkpiUiZvgtoX11Lf4eg8FwCCUUvGuPiJp7Ex+/bs3fo&#10;oMG1qtdwtLOHn4g65TEVCxZubW5hq6LOmqOGDffeuOnGjRsQleQAJOdvCC4qJSXl5s2by5cv79y5&#10;c7ly5YyNjR0cHFq2bDllypQzZ87IQDt9UTVvplwPO4Hs/PugYpOTk5ECCIKuXbsi5oyMjJydndu1&#10;azdr1iy8ATxKGXCCuh/8lKDmpQdKK0BIKGD8JFW0dOlS1M/9+/f/GksBWhOKwvdiv8QKhAh0AxVy&#10;aeP6zIzVF6RgKW3ouWmF8k49unRbvXLV1UuXk16/Ua8V8q9QRTyAliI3KQbpv1CYT6IUsRTdkbo+&#10;fPjwhg0bYKk9e/ZcvXqVPVQfzARRyY0+LXY3EFWpAC2C56XhsBkcCtZCw3l4eJw9e5a4DCFFN6Vl&#10;9d1X19jfG3CRmDFXoVmfMjwuJy/n7d2QUI/lKzHa6pWrYM/Gv5axtbK2MrMg3tSGVKg99tY2LZs2&#10;nzR+AnKBeAs5xW8lK7FnOcW/Bk4q7oOSxMfHo3pHjBjRpEkTWErmeerZs+fatWsfPHhAITkYyK8k&#10;WJa07PxrkAuX/kCabHNycrBrXGSfPn2srKx++eUXa2vrSpUqderUCeqikPhf+pLu9z8lqCjpM7JJ&#10;hTx8+JDKmT59OkHGrl272CRykr9+EWiFjIwMKhlJgCxr2rQpchaYqnt96tVdYSlCLjsrawcb2/p1&#10;6k53n3ri6PHoyEfpKakIqf++0z7zUQJkqwyk+NWFv49vwFJyJQI2uR4B3ENNbdy4cdmyZRAVeh8h&#10;hR/UeUQDSiuePn1KS9FeqChsxtPT89atWzKd1z/i10on8t/mprxJvBN0a+XS5a2atbCzsoGcZK09&#10;lzLFsEVXlbd3qF+33qRJkyBvgq3U1FS5i0Wfl2oRWwCS89euK9wHBYClkHfu7u44Jnt7e1NTU1gK&#10;rkJIXbp0KS4uTlhK95uvAK6X/OWq6S3nz58fPnw4/GRubg5X4ShdXFwI7SkMYp1Kk+P1PwEl0z82&#10;uEx6i/6OMS0YHR3t7e0tL0vt3LkTloK65EggvyoJdooelToE7KGJ2Zmgza1OT2jTpk3lypWRszQB&#10;LFVMVGpYkLWFpbNjuTo1ag4fMnSH77ao8Iis9Az1gcTCd7CUeq3wa+IbsBQVJPYpNSWVTjxFpHni&#10;xAmCcfkiwMmTJ6l6A0uVchAFP378ODQ09NChQ7CUjMwMDg7OzMyUxpUWB9L6PwzeFxbl57z97emz&#10;Y4ePTJ00uXXzFi7lnURIiYWTgKtMtFv5Lk7O7du3l6FrdGlIggqhcqgiIPUDZBPozvF1wNkJn/FN&#10;hw8fHjx4cK1atWxsbGApfBNaavbs2QQZFFKKpPvNVwCXKX6ANFIpKCgIZVCzZk1bW1v40sjICMrs&#10;16+fuGAku/xEDy2PnwVcLxUFo5Cg0kRLYWvjx4+Hpfbt2xcZGSl3/Djsk5XDTj1L4W8hPCiKBBV7&#10;8+ZNLLd79+5Vq1YVijI2NibeMiljZPTLrwRbRF3Gv5at7FKxZ9dunmvXXbt0OflN4jtUFOfRL18T&#10;34ClqGXpnVKhpLOysqisO3fuUN0eHh4Qlb+//9WrVx89emRgqdIMuQ0bExNDR6fJ1q5du379+t27&#10;d2NCtKk0Li1OQ0vih4I2eVJ+bl58TGzAwUMzp05r1rgJhKTefDQyNilrpG76mZrBUqakCUWdnVEt&#10;c+bMuXLlCr0dnyJOB4gtKKso9tpfFbAU6iQkJGT16tVt27YtX748jgliQL5UqlQJNRwREZGYmChl&#10;0/3mK4DM5XpJ4DTDw8MpT6dOnVxdXSnMr7/+6ujoSHQPa54+fZqepvuZ9kOBbvtHh1wsFSU3/ag0&#10;SB1vCanD4osWLTp+/DghPj1KehHH6H75KUhWgDpPSUkhoESTDRkypHr16upGnwbFUtY2Rr+UgaXK&#10;Ozja29jaWVm3adlq8fyFN69ef/n8t6L8Aun/uuUrt8W30VIl65E0lUUt0xe3bNlCgLB169ZTp06F&#10;hYWx08BSpRn4jqdPnz548ODChQvyUIq2CwxU06XoIzuamDXGI839w0B7bvyOKDInMysqInLvrt1D&#10;Bw2uUtHV0dZOxZ6ahNLmjVZPoUkD3G6HDh3k7RZoQBSV3haoItzQ164oTkfTyHx9kydPrlevnrW1&#10;NV4JYqCE1apV27BhA/pYggxpvs8HP/kkdH/+COQvNcBV02foPLjL+vXrW1pa/vLLLw4ODrVr1+7R&#10;o4evr++TJ0/kSH6lZakgmfzw4Er1tcSaTpKZmUkQP2zYMDc3tyVLlmB9+Mk/ZynJRPIBZEIPpB/6&#10;+PiMHj2a+AkJK91AuMqMjV/LmBubOtrZV3RybtGkmZoJ6eixF0+f5WbnwEzyMd/iqS+/blt8y9ET&#10;Ul8gQZvUS2ZFwtOhqG7cuIGQomtiMDqPaEDpw4sXL+K0GWZxeZs3b0ZI0XbXr1/nT3IPHdDQYjzS&#10;6D8MiGyFpTDUjJS00DvBG9asHdCnb7VKVWwtrY1+LWNmZGyjjfRDXSlRZWJiY2MDDfTp0wfXcP/+&#10;/eTk5Dxt7iipJdb4DiD5fyVwOiJxAgsvL6++fftKBC3uCbBJpEjUSMEoz5e2mmrvT0H354+g95tc&#10;NR2JQGfUqFGNGzemSP/3f/+H3yxXrhxENX/+/Lt37+Zo3wqRDAW6XH50cKVSS1Jd1BUsBTP16tUL&#10;dlm2bBkWR7z4/8tS1J4eGRkZqDEiEsKCZs2aubi4EKNATsQHVlZWJFBRapifqRkhV82q1adNnnLu&#10;1Onnj5+ox1FqxARtVvSuAJYqnvfya+JbspS+0gmjTp48ifCEouSJ1L179+Lj4w1CqpSDGIJg4tq1&#10;a/v376fHy9x94eHhSUlJJR0c6a/tfL8B9BOov/8vdpv0+s3Vi5e8N3p1au9Wo0o1xJNpWfUZHvXw&#10;WfskD8AF2NnZ1apViygYj0wki3MpOWUACSDZfyWQf3p6Ok02depUcU+Qk3yCBN8Eifr5+ekHNH5p&#10;YcSiP4buzx+BP3EKTiQstWPHDuL6Bg0aUJj/9//+n9yHRFGNGTMGp0ynkhdX+SE/AZLJDw+5WKDV&#10;pXKYxBnnz5/v1q1bo0aNVq5cSYj/6tUrpLkcw1r3y4/AnwgfUVGw/rZt22ROekIBeiZ9AEidq6jF&#10;2MRWG9TnUt65d4+e/rv3vHz2vCgvvyivQPV5er58LFTr/2r5mviWLAWlU+OEAHDS7t2716xZA0vt&#10;3LnzypUrkZGRMreszh0aUCpBGz18+BAPQqutXbt206ZNGA87idRKmgqe6AdkKQyVQJK1thTkFTx7&#10;/OT6lasz3Kd17dipUgUXawtLdaMPitLmQFPxqZERKqF8+fJ169YdNGgQvR0Zin+RKJgsqbSS9fY1&#10;QEOg4Y4fP96zZ09nZ2dYU93e0UDxKleuDEtBBhxGSb601TQv+gno/vwRpGPIiYhK6UUQUr169ail&#10;X375BY+Ju7S2th48eHBAQADeAH4V4tTq6Su7xlIGrlcqk7qiw1y8eFFYysPDg3CHXqS/ewF0vykB&#10;dvJbai8tLQ0VhWJGtjZs2JAgQFSUsBSQzmBlZm5vbVO7es1hg4Zs990Wcf8BKuqdnpaUlnqnm+y/&#10;SEt8TXwzlqLKqFaq+80bNbkvxC4fID906BChQUyJr0mJQzSglIAWEZBG7N6/f//UqVNbt25dvXo1&#10;Xf/GjRvyxEXXzBrEPHQbPwyEn7BPsdX37zPS0p89ebpn565pU9xbNG3u4lzBztrG3NTMxMgIncJS&#10;5tcyOAMbaxt7O7s6tWsPHjRo185dwXeCE16+zM/Ne09umgtAmansNHAe1tQedSin/VLwc36rzyov&#10;Ly/hxcu9u/e0bNGCsNlSuSh0n5mxKqRZ1cpVfDZvzsnKLsjPpxhFhUU0nu5K9QsZFhVxQF5ubk52&#10;dmZ6RlpqakpSclJiEk3/WgNGnZKSQrCCLCPwx9K5BCmDQEpF/ixcOO4vPi7Ob9u2saPH1K9X39rK&#10;2qhMGQso3tjYzsa2f79+u3ftRrXjYSUfPXTZ/QSgugjrWcNSVOyZM2e6dunatEmTDevW3w0LS05M&#10;LMhXKgfCoHVUzai+pCqWtdqvAqm81OSUe3fv+vluGzViZKMGDRzs7KX16QmmxiZ0VPonaRZba5vK&#10;rq69evTYutkn4mE4fTs3Jyc/L0+6KN1AkZPWNyjQO/rJ18S3YSkqUbs7WkC3e/DgwdGjR319fWWK&#10;UoLxsLAwAquX2vSyhpt+pQfa69T/+4S8cBWNdfjw4Y0bN8JSO3bsuHv3Ll5J18w/E6RLwwERERG7&#10;d+9GEzRv3tzJyYmwlPhU3UZBTpVVI9TNjE0sTM1cyjs1bdR45NDhmzZsvHMzKPn1m/y3uVi78iYw&#10;VglqIUG2Xypr9CAT0SukcfHZmVnx0bG+PluaNW6CyJNp2SxMTMv85xdHO/ta1aqv9Vidnpyal/2W&#10;8ihOEhpmIXYuLHqXX1iUX5CTmZX0+s2Lp8+jIx+F3gm+eunymZOnThxFoR0/ouHEiRNXr16lb0RG&#10;RsbGxsJemZmZcJVcFCABC6rrVZG4cqPxsXGbvTaNHj6ifp26FMnol1/NtVl5bK2se3bttslzI4pB&#10;XsIDcl1Au8SfAly1BH+0ZkJCAtF8pw4dWzVrscN325PY+NysbEUV1Efhu4LijqQohIhH+4wnrZmW&#10;lBwcdAvWmTBmbIumzdREyfCTiSm9EeWkartMWfonnYEFVd21a9dly5bhkDmdNBk9XArzL+MbsJRc&#10;MAaD7UFF9GaUvqenJ0IKuqIvyrgJvUPU+UgDvjWEpUhIuwCCiaCgIH9//w0bNqxfv37//v20Hc5I&#10;19I/E+jVuA+uHXf88OFDCHvs2LH169e3traGoaytrOTrU3gEcQeW2ktUDerWGz5k6C6/7fdCQtXU&#10;6VnZyrnwrxiSM8YC5ESfiQ9+LmkVhqenR0dEwgdwJCxFeawtLPFKxr+WhaWqV6m6fPGS3548zUxL&#10;L8zL1wXOLJq/e5uZnfTq9dO4+Adh925evX7h7LmAg4f8tvquWemxYM68Ge7Tpk2d6u7O/6bNmzdv&#10;zZo1hJ70DUjr+vXr8v0dZBaBKXEMtl+kPXtXQyWVYnsPS3mt9xzYtx9MaW1uYfxrGaqLEtpYWHV2&#10;6+CxYuWVK1fkeaewFGtJ/CTgYuXJE1WHe9yzZ08HNze3Nm0P+u97k/CqKE/72CYtVfSOhtOzFAuJ&#10;vJy3r18khNy6A6WNGzWmZdNmLuWd6YFqAKqahVI9QLUyszAzMin7n1/pDM6O5cl71qxZhB20GoKY&#10;AnDqb1Xh34CluFTpalw8Ti0gIACKkkj8woULhKKPHz8WcjKwVOkE7fL06VOaKSoq6vLlyzQcFOXt&#10;7R0YGMjOn8p36CFkQLBJAqK6d++e+rrHgAHVqlWztbW1sba2Mlcv/FqbWxK3ysSd7Clv79ioXgPt&#10;k4mbg4NupyYmFeYXsJAJjEJuUpl/wUHofyIFYw3IMCU5+cHde57r1jdu0FAFzsWfY0C7oFqqVHSd&#10;O3PW/dC7ia9eI5twdigeykMkjsCKeRR17tTpLZu8ly5cNHv6jKmTp4wdNXpw/wHdOndp27JVs0ZN&#10;WqAfmzdv0aJFmzZtiMT79es3bNiwUaNGTZkyZeHChT4+PseOHbt582ZMTIya41G7yalYqkDps/AH&#10;DxfNW9C8cRNX5wp4T3nhjBLiPdu0bDV/zlz0GUFtSV0ItGv9KUBrwk+sZQIEInu3du07tXcLPHos&#10;IzVNp3eLmUkFOpr2FSGF8L0bHOK7ecvEseOaNGhEOGJurD7AQYBiQ69E3xuZkCAsoFtWKO/UsZ3b&#10;3LlzDx48CEVBjd+8nr8BS3HNEnUSWNFl/fz8ZNzEgQMH2KRecIIloXONBnxrSHOInIKN8DWIhrNn&#10;z+KO0VJw1aVLl/jrT+U7BMIBeBAg3RsvjMqEvGW0t62NrRa0qvlmICp9AOtoa+9crnydmrWGDhyE&#10;KHl4737Km6SsdDX2RFiK3EjrTvMlkPJIQjJhE4/z+tWrO0G3PJavRMZJebTFtOx/foEVKrtUnD7F&#10;/cqFiy+ePSc2JwbPzsiEseKiom/fDDrgv2/e7Dndu3RtWLdejSrVqleuWq1SZX6CKHRycORaypcr&#10;V748q3KOjo5OTk4VKlSoVKlSlSpVKleuXK9evW7duk2ePHnt2rVHjx5FWiW8eJGTmYVEe5dfgEoL&#10;un5j3KjR5GNvbWummzvOEpaC2ps1buI+aTJOEw0hcQDXxUUB7Vp/cEjbAYlahKV27drl1r49dHI6&#10;8ARtpJhJk6R6+fu+oIi6LcovTEtOocV3bvMbNWxEy2bNy9s7KIrSpj5Cs9oSNRnrJBREVd7BsUPb&#10;dksWLCImQDCUvHuv71H/Pr7NHT+CgtTUVIQUinLjxo0Ys6+v78mTJ0NDQ+UdKSSU+ESDlio9QD/R&#10;HHqWovloL/QTKkqGvYSEhBB5YEu6lv4JoPcggLR+U4IwiAr+7tmzZ7WqVe2sbUzLGhOr4h3Mtdmm&#10;NWllwYKiatKgIYpqs9em2zduvkl4JYpBcmMtJ5LEZ4KDxYmTkExY4+BovGuXrixesLBerdp4K3yT&#10;uTbroEkZI0pSuaIr4fahfftjIqOIwVMSk2IfRV8+f8F3s8+COXMpYfs2bau6VlYBuPbJR1lUMK7x&#10;irGRNuJeQ9myZY2MjExNTS2QatoQZxcXlyZNmvTo0QNptWnTppOBJx49DE9PSc2BCBNe4W0H9etv&#10;Y6FujZIhZSPSJ4HUa9qw0fgxY/fs2UMIKywFqKKfh6W4UrlkGhHmgKV2797d0a1Dp/YdTgeezIKl&#10;1INDHUvpbvdpb91mpqXfCw1D/o4ZMbJBnXpOjuVoa3qgeodP+54hoRKy9df/9x82XSu4tG3Vet6s&#10;2adPnMTA09PTpZI5qRTjW5n2txk9kZWVRS1cuXJl+/btxFY+Pj5HjhxBSMkAdFyhkBNpSEvzkAZ8&#10;e9AWwlKA5gsPD79x48b+/fsJMjZv3nz69OmoqCiCj5+ZpXR7i006OTkZolq9enW/vn3r1qqt/z43&#10;IkZ0jAxSt7WyrujkXK9WnV7de6zzWH3t0mUZzS95Sras2ZTMPwcc/wFLsYndYVEXzpybP3tOnRo1&#10;hSyVqzIxRUjBUs6O5fv27L1q2fKrFy9npKRGRUQeOXAISuvWqQvHw2EoP0qLa9N+aKK+AFnWCEaB&#10;S9hvbcV/1jY2NvL+DSwlI5shrTJlypCwt7dHY9WqVQtdNX3qtAN790U+ePg07vH90DC/LVu7de5i&#10;Z2VDeagTikR5SNtYWjVt1Hjc6DH4ZT1LcUUkfkKWIgF5ECDiOTt17Niza7czJ099wFJF+QXqRl9B&#10;YWpS8t2QUFQUFAXT29sokUp70dbqbmpZI+Nfy1LDWphiBkV1cuswf/bcE0ePIZ3hQiFF1lLnUgBd&#10;mf5dfBuWwpfJLNpEmqtWrdqxY8f58+ehKOEkPUvhCoHmIQ349hCWeqkBfyETI9F2eGHijMuXL/NX&#10;OvdP4jsEmDHXC4QJZCcJ2YlVJyYmXrx40WPlqj49ehLMlrN3wKGLi8c1IKdwHASzlqZmDja2NapW&#10;69uz1+L5C06cOIE5ZGZmimOSPDmF5P850PsUEgLygaXi4+LPnDg5e/qMWtVrCNlACayRR5ANxYAS&#10;RgwdtnvHzvjomMsXLi5fvLRfrz6VKriIbKLAxfeLdHSrldyuonOFapWr1K1Tt379+nXq1KlcubKt&#10;rS1CCn4SIYW0El0lAqtKlSod3dyWLFh4/vTZW9dvHDsSsHDuvBZNm6GfqA0WyqY9zze2s7Ju3qQp&#10;LIWWwhv8nCwlvUt6VFJSEs6TuLBzp04D+/W/cPZcdkaWxlLacymYpaCwIDcv6fWbG1eubVy/YdSw&#10;4bRphXJOdDxakFaDoqheiZBI2FpauTq7tGnRasbUacePHI2PiUXgFmgPRzk7p84vfpFA9vz7+Ios&#10;xeVxbXJ5ul0a6F64OYSUr6/vihUriMQPHTpEVE78+Lz4HSlJaGxluONXKkCL0EC6DS2ACA4ODgwM&#10;pBFRw3AVm2lpaTRuXl6erqV/Aojp6qHfKW4F5GpfoA4LCV2/Zm2PLl2rVHQtb++ASsBB4IVJKKrQ&#10;7rxBACgJ/AWqa/78+ceOHaPCJaTVn0hsStZCYOyUk34AOViOlMNYk9vTx0/Onzk7Z8bMOjVqwTHw&#10;E8WAFaCHsv/5BeHiUt6pkkvFhXPnB127vnv7joF9+zdv3NTRzt64TFk1OaGp+sAjZWaxt7YhPHe0&#10;tateuUrr5i16des+dMhQ0KdPnzZt2lSrVg3lBC0B+RKHGo1vZISogqXgsEoVK0KHB/b6o6jmzZ7T&#10;u0dP1KS1uaWSaBpLURhqxsbCqlnjJuPGjEU9xMXFyRUJRQl0F1wCqqa+kT/9GpDLAVwsxpWQkHD9&#10;+vWNGzcOHTxk6qTJt2/cfJudo1hKGz1RlFcASyW9ei0RRvcuXatXrqo+KEPDadpUsVRxr6PLsVQo&#10;V76zW8cFc+cFHj32JC7+bVY2JPeu6H9RF3WuT38T/KssxR5MC1+GYsXByUs227ZtO3fuXFhYmM7/&#10;GVD68KL4rQDCC9mDrrp9+/aBAwc2bdq0RvuEvHwtVJpYmtsAej7+lGpJfPPm2qXLHstX4Mrr1qwF&#10;UeEp8Mj4DhZiW5yFPK/CfUAD7du3nzFjxuHDh4maX79+LcRPbiUh9vVHHkSOARwAZA9Nk5KUfOvG&#10;zSULFzWsVx8+wG0plipTllOX+b//QAy2lta4s9HDRxzw3+fjtWnq5CndOnWBO41/LVvm/36BTe2s&#10;baAxmAMPOKhf/5FDh02b4r5i6bJNGzb6bdvm5+dHmL9y5cpp06YNGzasd+/eXbp0ad26dYMGDVxc&#10;XOAqiArSIt2oQcPJEybu3+vv67NlxJChjRs0dCnvrKaVMjGFpcy1L++xpjwtmzafMnHiwYMH6YRc&#10;iN6r6BNAu2gdPt7zA4Ar4mIJerDBy5cve3p6Thw/YdG8+WF3QnJz3sqA/qKCwuz0zMcxcRfOnFux&#10;ZCmdrU6NmuXtHUW+s4j2ZZN2lyeRrs4V2rduM2fGrKOHDsdEPsrJzFJvsJFbaarAr8hSXKdYCJA0&#10;yjEnJwcHRyywa9eudevW4eMCAgIIw6Ojo8X9GVA6IboWC4Gx2KQRb926hYRCSBFq+Pv7R0RE4JFp&#10;aKDrAT8lpLdLmgSehW6fnZX96rcX0MO61Wt6dO1WvUpVB1s7JWXUTbZiltI97DE2Las+rdSsWbNx&#10;48Zt3bqVaCAlJYV8JE89tJpWZsVat6sE5K+SUBaoERXrjLR0/NrKpcubNmzM2eEn2FHJlzLqKYW6&#10;I2RkbGtp1aFtu3mzZlPa7Vu3TZ00hYNhC0qoRiTWqNW9c9e5s2b7bt5y4uhx2JcMH4VHxEZFP46P&#10;R2THx8dHRUWFhoZevHjxyJEjdJKlS5eOGTOmXbt2FStWlKdTTZs2HTFs+OqVq3Zs88Ofdu3YCYqi&#10;PMa/lqEq5MYUtUECUmzZtNmkCRNxFIhLvYqSyyGhXZwOcsk/HrTGVO1IvIIBXtC+FjvNferKpcvu&#10;BofmZucgod5mZie+eh0VHum/a8+cmbPc2rarVMGFeKi8gyN1CPdTvfCTenxoboEsZrOik3PnDh0X&#10;zpt/9PCR2EfR2RlZ7+ThVqE2Y0Wpwdd9LiU1K72HNUFlampqSEgIfZdaJganBxMXIK1K3k0yoBRC&#10;WCohIUFYCk9048YNHx8fDw+P9evX06AxMTEGFQXEb0pauj17CgsK8rJz1Iy0ly6vWLIMoqpZtZr2&#10;hop6FIT3Z413xomQUE99LCycnJxw5aNGjYKo7ty58+rVKyI8ybzkKUhwFkmXBDtpjv8VoLBQ7j1G&#10;RkQEBhydPmVq/dp14SeYScqgPtOg3poqU/Y/vzja2lWtVLljO7cFc+aiqDyWrxw2eEibFi1bNG3W&#10;q3uPSeMnrPVYjV+7GxL68vlvmalpebl5hQWcQE2QIYBL4OaMjAy6CuHLpUuXsPQ5c+b07NmzXr16&#10;DRs2HDhw4KrlKzZ7bVq8YOGQAYPq16krT6RUpK89q9OzFJRZr1btfn36EA+RD3IqLS1NxCXXBbhG&#10;ucw/qorvHXKBAmoVMzx9+jRaasa06auWrQi7E/w2Kyf/bW7C89+uX766w3fbxLHjO7Rt7+LkTMBB&#10;p3KwsZXh5vQu0cr0NzbRx53auy2cO4/+EPMoKiczW00Coo2/eJeveymtlOCrs5SANH0oMzMTH3fu&#10;3Dl5RwrvdvjwYYRUbGysgaVKOfQsJWm0Ly7D29ubdsSNnj17FnWFy5B2/5lBJdDVdRt6E5BZanLe&#10;Jia8un3j5vrVa3D3tarXcLSzxy/jndU9N/VYW/eZD2CufY8Kn96/f/9Vq1adOnWKOADvTOaac9ad&#10;5Y9cs5wWcCSuLSsri1a7fv36Dr/tM6dNJ4LGSal7a0pLqQF+aCkbCzUvESxV3t4RBnV1rjBi6DCv&#10;DZ7enhsp8LJFS5YvXuLrs+Xc6TNhwSFx0TEpiUnE7wVv1TMM9Y4OYbh2RliKk5KgbASm6enpaEE6&#10;zJUrV3bu3Llw4cJp06YtW7bMz3fb2lWr+/fugzgrZ2dPMZB0+FDtPiQqU40uIcHaybFcvdp1BgwY&#10;AFGdP3+eoDY5OVlElb6qtTMryOaPBC6Ky5QrpSnj4uKOHj2K3c2cPmPVsuXBQbcIFFITk+hXG9as&#10;GzxgYJOGjapVqmxvbQvN05cgJ6El4gBdDKRmlyhHFLJo/oLjAUejIiIzU9OVipKHWz/VHT+gdRsF&#10;0vLc78GDB/IwY926db6+vjBWeHg4gblhLF8ph0ZS6o4fa+zk4cOHBHS0IzHdnj17cH/8Se+bpPV/&#10;Tug7/O+gvcVS8DYXwZGenHrt8pVlixb379O3Qd16Fco74TvK/kfRA9IBDyIsZapNVW5nZ1etWrVu&#10;3brNnz8fwUooIKMo8dFSz1DCn1Q4f0LQoD/u3r0bGBiIlx8xfHizRo1dK7gQVnMuubcGS8kTIBQV&#10;RAVniKxp16r15PETV69ctX/P3lPHT1w+fyH83n3IqQDZJMOdC4sK8/JxaioGV1ylQPEAZ9e2FCgG&#10;7hUNBNFevnx579696nGmx2qi/gaoKO0xCQUwN1bXblrWiE3KJi5V/cnE1M7Gpnbt2oMGDVqxYgU/&#10;v3r1Kh5DRuvIlZYEp+Okuo3vH1KBgDReFJL29/dfvnz5rBkzPZavuHj2XOTD8BtXr3lv9BrUb0DN&#10;qtVpWSSUmuVE4yfVo7R3ty1N1aQnVCkyq32btvNmzT557HhsVHR6Sqq0piInISqlqH4ylpIE1oL2&#10;l6kKNm7c6OPjg5C6ffs2FIUTxJDEGxpQOiEshRTGUUZFRYWEhBDQ0Y6bN2/Ge4aFhSUlJUlzizkZ&#10;UBIYf1FewfuCIgQHLv7Vi5dXL1729vQaM2KkW5u2RL64FRgCBy2e2tLSUjGVmUpAVFWrVu3UqdOk&#10;SZO2bdsWGhqKkoCr8PvU9h+xFH/Cg+PHiSf279+/aNEi+bRr3dq1y9s7cDrcFroNnyUyTu43yvtP&#10;CCnjMmXxaDJKAkW1cf2Gc6dOR9x/kPjqdcHv5/dTrk27TfSBa9P6gtpkTSFJUJ43b97gZE+ePImW&#10;GtC/f9OGjSgMJ+VcXLW6xadNyKsJKSWtRFRBVJTT1ta2Vq1arVu37tmz55QpU7Zv3x4UFCTfPSF/&#10;OZecDo7Ub/4A4Fo0klKtnJube//+fboBknTu7NmrV6zc5bd9h++2+bPnduvUpXoV9fK4tJ3QEkwv&#10;cY+0L2s0dNdOnRcvWHjqeOCTuPjsjMyigkJda+r4SUuXpvr7uiwFqGJAN6KD0quIgzZs2EAATicj&#10;GEda4QHRWPrBYwaUTghLkSCqQP7eunULTSzv8x47dox2xCHS0LpWN+D3eFekNAeWrxtAVfQuMz3j&#10;XmgY3n/c6DFtWrQivMWDyC0aEpCTsZGCklTaa0bOzs5y9w/DwU+9fv1aHlPJly+KPYvGE2qlLA6z&#10;ghKOHD4CvTVs2FDGhVtbWdlaWQsXiogp+8uvMJMIF7ybqCthDnbi2hrXbzBp3PjdO3aG3Ql+8zIh&#10;NzsnL+ctuvB/d4fgqqL3hXkF+Xn5agSzVh44icBfNB9rioSHhVQIcU6cODF16tTaNWspKtJeulIP&#10;9rUhJGyqsmkUZfyr3tuqsqn3gk1NTbQXsKpUqQLpbtmyBY2Y+EZNuK6ISlcPn2Bu5YM06LZLLXTt&#10;+OHCpQn1UodEhJu9vWeDmTNR5CxqjvMmTe2tbWSspmIjNbWxamJZVL8yMYPAnBzLtWzabOa06ccO&#10;B8RFx7zNylbtpUQwfbR44XTat2N0RSoF+DdYivqVoX0IKRmlSgwurg3Hh3IHBpYq5UBFARK0Iw13&#10;7ty5HTt2eHh47Ny58+bNm7QjWvk78ALfCGIFUj+s8do4VtQnNblnz54JEya0aNECHpI5GqAlBxtb&#10;HHSZ//uPdiMOVrHA9VQoV75BnbrtW7edOnnKQf/9jx5GZKSkEgjDEGqBKgrgP5UgQI6Pib1+5arH&#10;8hW9u/ds3KAhqkhxgMZAmlhRbkv5MhlYqI1W0C9y801blKap6FShRdNmg/r1Xzhv/r49e4ODbj17&#10;/CQ7M0udUZYi9SapcnayaGzxv79CZAVqNrlH4RGnA0+sXeUxfPBQfKWzbrYebYS0ViouWRN2up1a&#10;MdQYCjY5QDQfYsvo1zI2llYN69Yb0LfffG18R1RE5Fv18F8jyMIi5Xx/f9NP6h/otksrpLp+J2i0&#10;TXYSFhTlF+Tn5kU+eLhpg+e4UaMH9R/Qp2cvtzbt6teuU9HJWV6KolmpHHT5r//v/2hcdkL/7LS2&#10;tILahw8f7u3tjTyIiIiQCZA+oPPSia/IUvQMQX5+PkIqNDT00KFDqCi0FPEgbo5AD6/3VIM8ljeg&#10;1EIoChBSEMvT0f38/OSTYLdv3+av2drElNLi0gEM0IM60bMUEHnxVgPaAqafOHFi27ZtZaA2EgpP&#10;jZphDUWpWSG0uFg9aTAzL2/v0Kp5ixnuUw/s9X949156ivoWVEFuHi4MqnhX+C43KyfmUdTZk6fn&#10;zpzd2a2Dq7MLUTY/hAbIRI3O0HLDo7ET8iNb7bm6enNL3SBSf9JuECFutHc/+av6qEflKm5t2rpP&#10;nOTjten86bNxUTGpiUnZ6Rm52W9zc97mZmWriXm0wJzwHO6kGJBlTkYWxyQ8f3E/9O6RA4eWLV4y&#10;sG+/ujVrwbu4TiFgzih0pQojF6vdjcTbsqkVWGkpVRKttIqrtGmlKrtU7NCu/ezpMzTODv/fx2SV&#10;vPsdS30v0D0Z+oClNPYtzM2HqDJT0wg+Fi9Y2L93n1bNWlSvXLWicwV7G1stBNHdINW0lBoqSV1R&#10;t3C/mtakWvW+ffsiEpBiONusrKzvgp8EX5GlqAUskzVhI4SEzEehy2u8AQEBQUFBcXFx4vueP39u&#10;0FKlHzQTiI+PDwkJQQpv3boVltq7d+/du3fVhxiK3zwt/RHrvw+q5Y+cAhoU1j9y5MiKFSv69+9f&#10;q1Yt9Ukq7a0pHDcUhesp859fjH4pg5smrZyOrV2Tho1GDBm6Ye062OhxTFxaUnJ+Ti4s9TYzKyby&#10;0cF9+xfPX9CpvVuViq78yrhMWSSIfjgfLp7MZeFE+DX2q9uMGi1BCUrcaPMhsUh4rhjOxBQx16xR&#10;k/59+k6b7O65dv2h/QcunD0Xejv44b37UeGRSa9eI2hyMjJhr9+ePot8EH77xk0OOH4kgNh/0bz5&#10;w4cMbde6TY0q1eTZiXplRxu+oe4uQsnaxH1wD+XUbvSpTUpLgk3EAWu4Crcr9SDXgoZo27LV1EmT&#10;9+3ei1bLyc7RKarvj6E06JlJT1SQlkZdhbl5VO/L578FHDo8dtTo5o2bVKrgQhXRQFSIiE6NmdSn&#10;uWhZuMrGwkokeLtWrfnJpk2b7ty5gzeW3sga6M5buvHVWUqeSF2/fp3QG4rCrx04cODSpUtYpow+&#10;x/HJAw8DSjOkmVjHxsbevHnz4MGDxGU0KK0ZERGBq6WhaXT6vSQM+CTENQDdtja2OD09nYqlVr28&#10;vPr161ejRg2X8k4oCeEPPLJ6QlNGTRKK3xFegahq16jZq1v3mVOnBRw8dDc49M3LhMy09Pjo2MP7&#10;D0ydNAUVVa1SZTsrG2gAL4YiEV8mUbbGQ9qoBC03dSJNXSlZo90DZA+UIDfiKIMmszi7ZTk7e9cK&#10;LnVq1OrYzm308JHz58z12uC5w9fv8P6Dd4JuvUl49SQ2Luj6jZPHA6ENr/Wec2fOGjFkWKtmzevV&#10;ruPqXMHBxk7UISKJE0kB1FLMlDqppw3wo5ysNeJU4o8/cRhcJUUiE7Kys7JGTLRt1Xq6+1TKEPso&#10;GvX2Drf+nQp6uIPAvhBS0h43ipAqUCNuUhOTnz1+Qt2uW71Ge5GggiKhErGF1ButTEBDlUJXRANU&#10;jlvbdnNmztq9fee9e/dwxZgnbpleR+J7qaWv+1wKosrOzo6Ojib03rBhA04NPj916hSUHhUVJff6&#10;AO6Ptc4dGlAqgRt9os02S2tevnx5165dnp6ea9euRRajid++fSs9nrWBpf4E1A9GAUgIZH9BQcHr&#10;16+vXbu2bt26kSNHtm7RUk3wqgkg6EHdlDNXr1LhfaArCIYYGaKqWbUa6mTCmLEb1qw9feLkrRs3&#10;jxw4NGPqNH5epWIlDsZhEVnjuchEKEeISgkm4SGNJITJxM0pYtDdCVRDwoyKRx7Kz0WB8acqrpWa&#10;Nmrc2a3joP4DRg0bAVn6bfF9HBN78+o1z3Xr3SdOHjty1NCBgyHLBnXqOdrZq/uWmgaSAshCPlya&#10;kBZnVASpDaNgUXyplUfjJyURcMrq1l8xpbGIFuS31FXHdu3xxUcPHY6LisnLzqGGpWKBrqI16HaV&#10;WhS9K8pXc8Xqx/drKir/5bPnwUG3DvrvX75kab9evWtUrQY9U4HFjage1yl5+mtZWpxmolbL2TlU&#10;r1ylY3u3ubNm0yvCgkNQUXl5eVAUkB6o9cSf/rlUbm4uDu7q1avbt2/H/Ly9vfft28dmeHg4Lg9m&#10;krWBpUo/9CxFeHHu3DlfX18alMjjxIkTtJ2MipZG/y76/beC3jV8AHlMlZiYSMBLlU4aN75967YV&#10;yjlp5KQUhrh1XDMuCcphp9zhcXIsh6jq1L7D5AkTly1a7D5pcvs2bYmg1aQ4uhBbG+il0Y9iO40S&#10;+KujrZ1Mn4M7g0Wcy5WvUN7JyaEc+/GAOs7Q9I0mvOCn/40Rh0vIhCM5HjqELNu3bjNr2gzNk+4b&#10;NXxEw3r1cZH6pybCKPpbdpRfYn/tojQGQhUVF6mctlAwZ8dyTg6OqoTaHnSYvbWaRkGxmjYxndwq&#10;pFSUFtbs5NYBj3zmxMmE317QIfHFJfukeGdphdILyov1aI+m0FL5uXkZKam/PX1GCEIgMmLI0JbN&#10;mkPJ2vM89cROUZTGUor+i0md1nF2LN+ofoO+PXvTJc6dPvP88ZP0tHS8MSylv+dBbbCHipIzl2Z8&#10;RZaiOpKTk+/evXvo0KGNGzcSeu/du/fs2bMhISGxsbEvX74Ux8f6xYsXuD+dOzSg9EEa6LH2pf9H&#10;jx6dPn1aZp3w8vI6c+YMB+BkcQTiFAz4GNTMB5Uje8R1AoxFKjAjIwNteuTgoeWLlxA1N67fQLu3&#10;o+ZSwivhm8S5w0/K75cpi1dCVFV0ckayuLVpKyoKJw4N6OkNt4UQgTDq1KzVrHETaKxrp859e/Ue&#10;3H/A0EGDhw4cNHjAwIF9+/fp0RO2a96kac1q1aEfMsED4vv4uaIrjU5YyFZzi5quko9jOVfo0K49&#10;YX5w0O2jh45MmzylVfMWlSu6wn+QmcpEG6GnnpdoIzh0dKt5WCG8Cmp6wJqtm7fs0qFTj67d+vTs&#10;RdlGDB02fMhQEmx269ylXas2TRs2rlGlqpqoQt0tVIRHPuRJPtpgCtfOHTqu81gTcutOampqdnY2&#10;3VJf20JUsll6oYkn9a50fkFOZtbTuPirFy/t3+M/d+ZsOgNVxLXTGQgdpBppFK2BdAqV1qGhK7tU&#10;JGggavH29Lp47vzL57+9yy94V6RerNaTN2sqh83v4s7HP8NSctmsJS0dAqKGhPBiPj4+eDT8WkBA&#10;wO3bt3FzRN8yXELIST9+zIDSCSIJWkq0b0RExMmTJ+EnmT3k4sWLCQkJ9Hh9BzDgY1Azn1k5OI6k&#10;pKSE317eun7DZ5P3mJGjWjZtRvhsb22DD8Kno2lwyqgH2EK5ae0LF3guOysb9JBLeSdECYcJB+DB&#10;WfBlMvBhQJ++06e4eyxfsXmj196du9A9+/bsPbz/4L7de303+2xct37JgkUTx47r2a17kwaNXJyc&#10;IUV+q3hO4yo5nRJVauZy5SVtLa0hRfVYaIo7zBofE3s3OGTPjp1sduvUuZ768KODolWtqFIenRrT&#10;Fn6OSOLqmjVqTOA/efzExQsWrl+9xsdr0+7tOw7tP3DkwMEDe/13+m2nwEsXLpoycZJ6d7VyFSkY&#10;V0q1iNqjNqiEapWrUGMH9u5D8UNUuGCpdtalrX+qDlEsrP9XsKL3Rer7+lnJbxKjIyIDA44tWbBw&#10;yMBBbVu2qlm1uozV5DJpcalDVbFKQmnErzUHDQ2jz5056+C+/fdD7ya8eJmb81aJM5ZicEZqA+i2&#10;Sz3+AZaSupZgUDZJv337NiUlJSwsbPfu3TJln5+fHzF4eHi4QTZ9d6DJICoQHx//8OHDEydOII4h&#10;qn379gUFBSUmJhpY6h+EMqiCwoyU1Hshodt9t7lPnNTZrQP6xk6Nf1P3zZRT1mQN7slY+9yquCr2&#10;q4RSGGpBSNlqH7hr2rBRr249pk6esmmDZ8DBQ9cuXSbnRw8jIEIcOmSwd+duWGGX33aNqzasWLps&#10;hvu0gf36u7Vph0QjNsctqodA2v06RYHae7jwIq6za8fOc2bMJJOHd+/jWxOevwi7E3xo34GVS5fj&#10;XmtXr0HxhEVU4K+efqkbj0gfZEGdGrU6tG2HSpg22X3VsuVrVnp4rd+AGFq/Zi1F3bHN79TxwOCg&#10;Ww/C7obeDj5/+gyF37Bm3fjRY+Gqlk2bUzauDk9NtYibxoOjJhfMmUcXJXiiTwpRgW8iGjgvZcAx&#10;6sEe2Q/YlL/KTqB/sQwNtMN326zpMzq1d4N6IXtEkoo5yhpxvaSFm1m01lcXzjGNGzQc2Lefx4qV&#10;VBSZ5Ga/1Q13lIEY3y3+GZbSdwWpcXxWcnJydHT0hQsXtmzZAkuxPnLkyPXr12NiYnB2OudnwHcC&#10;YSnWsbGx9+7dO3bsGCyFOCbBZlpaWknzIy0dw4C/BuowX3uFMzMtPfZR1OnAE3j8fr371K5RE7aA&#10;exQhyQgCU/1IBzX6gDRMoIhEu5+G4sFztW7ecuqkyX5bfHF8kQ/CXzx9BpdkpWekJiZdPHsO6ho+&#10;ZOjIYcNnTJ22YO68NStXwVgXzp67dvnKmRMn0VuTxk3o2K59JZeKCBd1v1HuMml36iq7uPbs2m35&#10;kqWnAk+gonK0r+ehA5Jev3ka9zg46PaWTZvhV/hJW3RznkInjrb2lSu6Nm/chPNyRtTSpfMXzp48&#10;5e25cd7sOX169EKcNWnQsGunziuXLQ+6dv31i5cpiUmvXrx8+ex5dMSjoOs3Ag4eXr1i1ahhI5o2&#10;bExuQp/qwo1Nqlaq3Kt7jw0bNhAQ52qQ+Ano6vdfBCf9E5YSsMkxeXl52dnZrxNehdy+s23L1skT&#10;JiJGG6n7vUpGQ0u0qdzbpCalMmkCrSHUNIw0dJOGjaZNcSdcCLsTQv1nZWS+l1ev9Mt3i3+GpeRd&#10;GdoAfmLNJh7t2rVr/v7+qKh169aRuHz58oMHD55o34w34PuCpqPUt3qjoqKCg4MPHz7s6elJ5HHm&#10;zBn58LkYm3QGTE7SBvw1UIdqOqV3798VvcvNyn7+5ClO3HPt+tHDR7Zs1rx65araxOHaaD0z9eVc&#10;cVsaRSlPrfwXUbamWtArLZo2mzJh4k6/7bdu3MTLZ6dnFuSqzGGUC2fOobHq1qotnzSECOGkbT5b&#10;Q+8EvyAsefI08mE4fLB4/gL8vgzVMy6jpJtiBRPTujVruU+cfOLo8Sdx8TL++7845ILCgre5+Tm5&#10;6cmpVy5eGj96TBXtAZXys1qR8KeN6tXvqY2h37V9x82r1+OiYl4+/+32zSBEwKB+A2qob5pY/fr/&#10;/s/Fydl90uQbV6+lJiWrTyjlF7DA39kZma9+e3n7xs0dvn7TJqsx9whN53Ll0XbUiYONXd2atceN&#10;HXv+/PmUlJSsrCyckq5mSw1oYoHwE+WMi4sLDQ09cew4ahLyhnJcyjvZW9tK/MGiWla7xSeSVGsC&#10;dYsPpdu4foOuHTvRFvv3+EdHPspKz5TZY+V1KxkrqNLfLf4Zlnr79i0J+EkexxEUREREBAQEEHF7&#10;eHhs2rQpMDAwLCyMljDc7vseISwlD6Vu3ry5b98+YtVt27ZdvHgR3kpPT5eAUTqDgaX+LqD8IuVW&#10;cDTqKUVWNmLibnAohLF04eI+PXpq3wi3xpXjwvBWijaK5x1gkbt/ODUOsLWyrlShYpsWrcaOHIX7&#10;u3Tu/JPYuMzUdKXV8gpgEbwbtFGhXPlqlSqzILwWzJl7+fxFaCM1MTnlTeJvT57euHLVb8tWbf7y&#10;ekKBrPGVjRs0XL546f3QMDVjaX6h+iiRFrPLBAqFeQURDx6uXrmqc4eOKCf8Kb4V3YM+GDVs+MZ1&#10;608Hnox88BCFlPTqzctnv0GZ7hMnNa7fsJx6lGVW5v9+gaXgV1Qd4i8nM0vlDHMXFglXUbaoiMgL&#10;Z85yXchBiLaicwWlLM0sKpRz6tK58/bt26Ojo5OTk+VOj17H/JuQ82IRlEEMBJAQwE9paWm4xNu3&#10;b2NTq1evHjNyFBKKenZ2LG+Lbi4eaand3dVJZ5rbSPsYGK3PYe1at6GWvD29zp46jdBMT05Rs8eK&#10;imJNW8BSXLeBpZDVJKh3EkTWL168uH79Or2EekdL7d69+8qVKzJoQu4d6ZyfAd8JhKVkbiQ0MQ0K&#10;S+3cuRO5HBsbC0vJcynpDAaW+rsQn4JT1aQJa/xyVnrG88dPr166vGblqv69+zZv3KROjVqwi6n2&#10;TpW6F6RxlbCU3PdjzWKnfQCe2Hxw/4Erly6D6oKDbkVHRCb89uLMyVOwlEgQK23kHkfiKAMDjj6L&#10;f4w8IiSHDzJSUh89DN+zY+ewwUNqVa+BMIJFOC8h/JpVHnHRMRwmpS1QszTpZr99X/QejbVjmx/K&#10;QH1Jy9bOwdYOFcWmzybvOzeDYCboDUmXlZbx4umzwIBjgwcMdHJwVOpBG8GImJgwZuzVi5e0mTXe&#10;qvtXGnO/L0QfqEmY3mbnpLxJCrsTsmXTZnX3r1FjtKM2psOqSZMm8+fPP3v2LA5HKEG4SlfD/xY4&#10;I+fFOgBlkJ0k5LF9fHw8/HT8+HFPT8/x48d36tSJiqJNKb+mhlVTkiAQ4aJk4AksRc2zB+1Yv07d&#10;Lh06zZg6bc/OXVRC0us3eTlvi+RFKx1LaUQlQsrAUtIArHNychISEoKDgw8dOiTDwPz8/E6ePBkS&#10;EiJf6DCw1PcIYSlaEEF8/vx54g+Cj71799LQ/BXpjCnqWYq01i8M+IugDtXXMcQX4/e1OzZqZrzs&#10;nMSEV0HXb+D6F89fMHKomtMBpyZj/NQYcRZtNJ3ycZqbg7rYWd7eEfqBIbp17jJq+Ih5s+ds8d58&#10;KvDEVm+f9q3bKO2ivUqF1nGt4DJ6xMiAg4diH0VBIRADLAVTpiWnhNy6vW3L1rGjRkNOCCOIqkmD&#10;hmtXecRGRcM0xOwUkoML3uZRVMUl794/e/zEf9eeiePG85PqlavAlONHj/Xb6nv7ZhAuVX0+UfsV&#10;1/XqtxeBR4/BvpQWF0zJ5TNXSMDrl69mp2fgfKkKnbfF2bDggQsKC/PyISrKtn2rL5lTJEc7e2sL&#10;y1o1a/Xv359Y6sGDB1Qprgnh8k1YilNjGuIh2czXvrNFwHfjxg300/Lly+GnHj16NGrUqEIF9W6Z&#10;agiNmRRLaeJJ7vKZqCnqzR1s7IgSqlaq3KFd+6mTp/j6bEFCoVnRo6rP0E/y1GyKipnUolWXqrGf&#10;/rmUgAagMbKyslDZ0JJ+9Dl0RcQdEREBP8lrNwaW+u6gZ6nQ0NAzZ874+vrCUv7+/uHh4UlJSRge&#10;RiguQOxQuoQBfw3KtWnuW1SUekalzU0ns7hmpmegURBVmzw3QlTNGjVxdXZBguC8tMfs6mUayInQ&#10;G97S3lIqSyTOfiJ0/L6rc4WmDRuNGDps1fIVs6ZNr1+7joONLQfgGTmSv44ZMfLw/oORD8MzUtMo&#10;gLqPp3HVm4RXj8IjDu0/MBxFVa1GFddKHdu5eXt6oaWgmcLcPEJ4is1CgRVRFb1LeP7bkQMHZ06d&#10;1q5V65ZNmw0ZMHCbz5a7waHKpSpie0ewz/GZaem/PXl6/EgALAXBaCpQjV1ELkyZMPFO0C0OeJuV&#10;Lc9X5CzK5/KPtEZU6SmpD+/e89uyFb1Yu3pNiKpy5cpNmzZ1d3cPCgqiSumfcr/n34c4RjgS/ZSe&#10;no4DJNSTNw4nTZrUrl276tWrOzk52djYmJrCReppEzWgxptog2JETtF2QlHwU71atTu1d5vhPm3f&#10;nr33w+7SLlSOjvIhI5nGkIVNFk2Aqs2fkKWUIRVD755oidevX9Mtdu/eLYMmZO7zhw8fEjs80WBg&#10;qe8RNBltR/xx69atw4cPo5JXrlx58ODBp0+fygx++j4ADHf8/i6oTLVo9Yl9EYZrm8oHaZogPS2N&#10;Frlz+7b/Xv+VK1aMHDGyVatWTuXLW5ibs5ibmRsbGbOYmpgYlS1btkxZM1NTSwsL/iQJqAhdhYqC&#10;OdQTIyuEkSnahWi9SkVXuGTntu2RD8JzMtSjIFmgHMggMzUNMkC1QG+Txk1YNH9BwKHDanRfZhZs&#10;yjGKeLSDFbHlvH3x9NmVC5c4frr71NHDR3it9wy9fefls+c5mdm4VJSiOvjdezafxMbBfwP69oOl&#10;RDTIAMXxY8beun4zNSk5PTVNqkWrE139sEansBTkF7x+9epW0K0tPlv69+vv7ORsa2vr6Og4cODA&#10;U6dOpaSkUG/00i9V+XoNpIecX9pCLUrVaXfVOBArKHl7rXihtHk5OYmvXsfHxCAi9+31X7p48diR&#10;o3t26968STPIXjejuRrCR6RgYkoCujJjlxlNpjZNTGg4lkqulbp17Tpt6tSNnp6nT52KiY6G9iA/&#10;dTuxSE0DX+K8UkWyFO/8bvHXWeoDUFOpqalRUVF0iy1btqC1WSOkELYxMTGQk7wTqmJyA0t9h6Dt&#10;aFxac//+/Rs3blyxYgWNy37U8wcsBaSTGPCPg7rFdVLhKIPk5GRa5Pr16wQN48aNIyqvVatWhQoV&#10;iMrV1w6trVlr3IS7w8WZkrAE2izajrZqSiSkFQE7rKBmHNc+FFLRybmzW4eVS5ddv3w15U2SLh6n&#10;PTU6gQzwtsFBt04eCzy4b//eXbsDjx4LvnUbomJ/VloGxIYCI/3b0+exUdFE+mi+wICjPl6bvNZv&#10;uHLx0puXr3K0oRbkpshGc/HZ6RnREZHkNrBvf1y29hjGHBXoaGs3bvQYtBR5ZqWn66rg91BhshYo&#10;Z2dn0xsvX748b968xo0b29nZca1du3alu9J1ZTz6l6p8feaABDkIVG0UqkeG8tRQsRR7NG5+j7bL&#10;L4ChYe6M1PS05BSu7ln845tXrx/at3/96jUTxox1a9uudvUaFco7cbFoJnn+ZGWmpo0QiqLV5AMu&#10;wMrKysHBwd7evmrVqt26dVu8eDF2Fxoaih6AnwhZuCh56EUhdeX+4fDP3PGjgvBWCKarV6/u3LkT&#10;itq8efMHc59DVMAwzcR3ChmGfu3atT179nh6eq5atSogIODly5fyxVixEGXNGqRXGPDPgooVLymV&#10;jGOi8pOSku7du0douGnTpsmTJ7u5ubm4uAgzAXwcdMVmGQ3s4Q/qvWA1KFxm51MTtsrzD9b4zXq1&#10;ao8cNnz39p3REY9ys3NktKEs8AqKKi0pOfZR1KVz57f5bFm2aLE2W8Tafbv3Xjhz9uHd+7du3Dx6&#10;+Mhmr03LFy9FbPHX1StW4qA5HmmVl51T8DZPVJQ4dxx9yptEqMjb06tXtx4wE8RJYcr+5xdHO/vJ&#10;EybeDQl9m5WtSvIpUBvUAwnWuGwIaffu3UOHDq1evTpyCub29fWNjIwUxY83l199JvT1rFRYMTij&#10;jpO04XP/008a6Sr2hbzUEMSkuOgYCn/25Cnti+9zhg0aQgTQsF59V2cXeZdAxQfaF0wIEdikUdC+&#10;sBT8amJi8v/+3//75Zdf4KcaNWr07Nlz2rRp27Ztg4bj4+MzMzMpFSXRF4lNiqor9w+Hf4alqKM3&#10;b94EBwfLV8bXrFkDV50/fx77iYuLw8fpn0gZviP1nUJYCiPZvn07UcjatWsDAwMJ6IhS9RaiGfUP&#10;ayrfHNStOCbWUs8kCKUBbismJoYWWbhwYZcuXapVq+bo6EhIDkVBVLCUsbFx2bJlic3Niucrwicq&#10;rjI1s7awVFPvyBs5pmZODo6tmreYM2PmiWPHo8IjUxOTcjKzi/Ly3+UXFmlvLBXm5v/29NnJ44GQ&#10;UGe3jnVq1Gpcv0G/Xn1muE/18fL2WL5y3KjRbm3a1qxarUpF14Z16/Xp0evIgUNkBUUV5uap0Xpc&#10;gfY8CReP8nj5/Lezp04vmregTYtW1ubqQ4iWpmawFMJu9vQZEfcfQGzqOdanULI2WFMPV65cQehT&#10;Ca6urq1ataKvhoWFlXzx/IvAT/ihxgW6EykJSDYaJ+kW2dQeyEGomWnpbxJehd97QAVu9fYZP3pM&#10;z27dqQeX8s7l7BwcbO3U+9Ha4zftRTc1xZGpNpMvizFcZW4urQZXOTs7N23atFevXlu2bOG6kAEE&#10;JUgoSkF5aHdVHg1ydXroSv+j4MtY6pNVwB6iGBj+7NmzW7duXb169caNGw8fPnz79u3Y2Fi8GxQF&#10;PxHmkDbc7vseIUEGLEXkgcEQiGD8Z86c+XjohCQM+BqQ6tWj5B58FnIBG5TvD8ycOXPAgAH16tWr&#10;WLEizg6Kkjt+rGEpRVHaM3n8o2ImNRpQSyjqUnefXMo7tWvdZurkKZ5r1x/Yu+/cqTN3g0PiY2Kh&#10;EzUoPDcvLTnlzs0gz7XrunTo5ORYDrdbu0bNju3cBvTt161Tl6YNG1WpWMnWypr9DerUGzpwcGDA&#10;sdcJr/Dv7zR+UoIDhy+vVeUXPImL37/Xf9zoMfVq10FS4LhhKZYGdequXLosLioajizM+7QMgjno&#10;fqzlrhfr6OjoQ4cOTZw4sX79+s2aNYOxgoKC6Kj8Vfebz4bULT8EklY7SaIFScqi6cuczKzXLxOi&#10;Ix/duHLt2OGAbVu2Llu0ZOzIUfBTiyZN1Yc2rG1MyqjPaqCfzNS0IGqmKwsTMyUctSaAseysbMxI&#10;W1iUK1eudu3anTp1Gjdu3MqVK5FQXEJCQgKtrC8Gl8ymVkwF2a+Hbu+Pgr/FUqSpKSgKhQQn+fv7&#10;w08A0X3x4sXw8HChJT1LGYjqO4Xcp8X+T506RfsipDZt2kQTp6amloxk/4IjMODzoWyv2GkC2QTi&#10;owmxURIpKSlE3DSNn58fnhpPh6SQp1PQFWtz7UPjQgO4SBboCgeqkZYSWDJVoL2NLWKoRdNmfXr2&#10;mjh2/LrVawIOHb559VpM5KO0pJTUxOTwe/f37tw1bPCQKq6VyAoP6+pcoaprJQSQs2M5RANygURn&#10;tw7zZs25dO5CRmqaUNR/8fCUvXjJe5v78O69DWvX9ejaDe0FRZkZmdhZWVeuqKZf2r5124tnv8nt&#10;NV0t/AFwRNQJieTkZMSTh4cHQqpx48bz58+/dOkSvRc3JUd+PvR5Al1dU2SqO79AR7G5akTJq99e&#10;QOE3r17fv8d/8fyFA/v2o95qVateqYJLhXLlqQSkqla3aoJ5hKzoJ0mTUOMwy5Ql7Whrb2tj6+Tk&#10;1KhRo0GDBsFPx48flycmNKv+dqUUg1Loy/bD46+zFAm9bYSGhgYEBHh5eRFi79ix4+TJk8HBwTJo&#10;Qu/j1FMpDQaW+u5ACwJYKjAwcN26dbCUj48PYTvxu7hL6Q8/j9l8E1C9+E0JogUSIuiBPQLcMY0V&#10;EhIiE1lNmjSpR48eTZs2rVy5srqVpGZPt7bUvvCEu7TRvlTEJgG+ekdHNwGg+tQhjAWHVa1UuUHd&#10;elDI5PETlixY5O258dC+/aeOBx45cBDq6t+nr2sFF5ysDBGErtTNq7Lq/VNywEEP6NN304aN90LD&#10;1AunBYXoMPQH+qkgN08G2Se/fnM68MTEcePr1artYKM+baV+WK58y6bN3SdOPnksMCUxSadaPgW5&#10;cBJSFSS4fHosgXLXrl3l3d6/z1LkTIIcsrOzM9LTU94kISujwiNgpuNHju7w9du4bv2CufPGjRrd&#10;pUNHNcOTmpxX1QMVop8WBB7S3gdQk4aQkHcDrLV57mF0Fyfn+rXrduzQYejQoQsXLty1axf2FRcX&#10;h4lpl6gDhaEk2l1edQ9DK+aPjy9jKepFqkaqjJrKysoieDlz5gyydNWqVVjFgQMH5AUplBOcpPdx&#10;JOAnAWkDvjtERUXBUlDUmjVrfH19r1+/bmCpbwWpbal8PVdBUZLGvSJzMcDw8PArV67g8mbPnt2l&#10;S5eqVas62jtoj+5NjLRxfbhRHCUOFI5hgaVEYLFH8ZaRsZ21DbqqonOFujVrN2nQqE2LVj27dp80&#10;fgKiYdpk984dOvInfqWUAVRnZFz2P7/AWDhlKzOLujVrzZ4+89yp0y+ePUd5KC2lzS8HOcFSuTlv&#10;Zf7vrZt9unbs7GBrRyb4bkoF83GW1StWBV27npWWrnv28ynIJZOQqiDBJsqDQHnw4MFt2rRZsmQJ&#10;7l4+LqP9QkGrrd9B94diyE78m4QC/DY3N5cqJZ/HcfFhd4LPnzmrvVu9cPjgoZ3auzVt2LhBnXp1&#10;atSqVqlyeQdHKlDP1lKfUqVEBuws+59f1Rd1y6p7m7ZW1k4OjnVq1ER0jhw6fO2atcQWRBh4zsTE&#10;xPT0dLku1jk5OUgCKZtq+J/J1r6MpT4ILsCbN2/Q1zt37pRBEwips2fPIq0eP35sGCjxI4HYIjIy&#10;EuMnEKGh9+3bd+PGjbS0NHGL0j30CQNKA2gOfOvr168fPHhw7NgxgsjRo0d379qtWaMm1SpVQbgQ&#10;wsMK0An0AEVBS/hNSMtCSSJFWqxlU8ksYxPSDja2FcqVb1ivfvcuXRFYeOfy9g5qfJrcy8I7a0PX&#10;hKU4bPniJSG3bqclJb/NzFJ37d7/V72Hi5AqKMzOyIx9FH14/4EJY8YiI+yt1Rh03Df0ieNm5+Xz&#10;F589fpKRkqZGA35hz7p48eKsWbOGDx++evXqc+fO4fQ/YCn6rUD8GHv0YCf1lpmZiXODlvgtPf/2&#10;7dvkExAQsHvXrg1r1y2aN3/U8BEd27nVqlbd0dZOMbpWRWpRhK0e8lEtXAvVIvzEfjmANPqV+q/o&#10;BPfXcmvbbuSw4UsXLoKtb1y/QWxB6E8xKKe+bFLsnxZfxlJ6UHe0OlT/8OFDeUEKltq0adOhQ4cI&#10;sdlJXYt+MuDHACyFPj5x4oSBpb4j0CLYKQ6X5iNCP336tN82v7kzZw/o07dRvQYypakK8LVh0CwE&#10;+MgszY1aqLtSllZ2VtascbviYUV7lbNXk/TUqFoNxrJQQ9S0gQBm5tqUgKa4ZhZYqnnjJutXr3kQ&#10;dk8mNS9EmRQUyui+3KzsF0+fXThzdtH8BW5t2lV0cubn5KMWI+OqrpUXzJl3P+xuSmJSblYOWko9&#10;xPoScLH0UojKx8fn0qVLwlLsF78v0EhK3T7lT9otNIXs7GxEjHyhhh4O28FM+LeFCxeOGTOmV69e&#10;nTp2bNuqdTM1j2JNV2cXtKbieO1LxGrR5lRkjzYURd0+hatgKTQTiwzt46/UavXKVdu0bAU/rVq+&#10;4vCBg6G37zyNf5zw8iWKjWLIVZQ0rp8Zf+W5FKBpaU7anlbctm3bunXrNm7cuGvXrvPnz9+/fz8u&#10;Ls5wW+9HAq359OlTQvLAwEBYioiEcITokjClpCHpEwZ8c2hmqgObOGX0AVFFVOSjE0ePbfbaNHPq&#10;tIF9+7Vr1bp+7TpVXCs5a/MB4mfL/kc9YYJjNAWgGIhNWYTMhLFwvvyVtfpOPCylBqqp4RiQnKI6&#10;YxNIrkGdutOmuB/Yu+/6lavh9x/ER8c8iYt//SLhzctXMZGPLp2/sHaVR9dOnStVqCjzX5A5Tr9y&#10;RdfObh12bd+R+Oq1Ul35Bf+li+k0z+ciLCwMjwS1+Pr6wlL0Xlw/ffWthpycHJg7OTn51atX9O2X&#10;L1+yjo6OhpmCgoIuXLiA9Dxw4MDKlSsXLVo0ZcqUgQMHtmrVqkqVKjY2ahieIiHt87iikyxN1YAI&#10;dio5pd35FEmqnjxZWWvUrp5I2VvbEBbUrFqtaaPGHdu7DR8ydOHceXt37b594+ZvT5/B4mo4Ron3&#10;c0ngZrXG/Nnxxc+laGlCD1o6KSkJQsJbbdiwQR5UEGiHhobGa7PKGoTUjwSMnOiSxj1y5AjG7+Xl&#10;RVtDWpi6gaVKJ2gLmgZgs7pdmv1mpKU/jYuPfBh+89r1gIOH13qsHj9mbPcuXevXqevi5AxVGP1S&#10;BqbRDalQuko9c1J+WbuLpbGRunMl7KXnLXYqJkNJKIZDVCkFVt7BsUnDRv1695nuPtVjxUpvz407&#10;fLfBkefPnN2/199j+YrB/QcgKbRPkFiQJyQnT6RmT58BscFP77RZ+97LDIFfAvjG29t78eLF8iYs&#10;JITLysrKwmu9efOGLh0TE0N/vnLlCvry+PHju3fvhpPGjx/fr1+/rl27dtHQunXrFi1aNGrUqGbN&#10;mi4uLra2tqam6sVb9UhPRpdoAyZZICE2qQ1qjD/Ju7qkOUDIDBXl5ODYsG79gX37L5o3f/vWbWdO&#10;ngq5dRv9lJacooaW5BdoY/T/11jSggabAl98x48eQFRCEE0znzlzBi3s4eGB5zp48CACOSoqih5A&#10;hGJ4KPUj4fHjxxEREYSZBJi0NY2OaKYDoKdLGpLBokobaBGBflOGg+MTCd4Tfntx68bNPTt2rVy2&#10;fMzIUT3VI6vGNapUhSpwqZCHSCIoBGklt6rkFhacxCIJ/K/iGFSXmslC3exSeyws2URmQXVOjuUa&#10;1q3XoV373t17DBs0eIb7NDTEpPETOF3dWrURTzhxvLlJGSXI0FVQ1/zZc8+fPvPy2W8Jz39TH+p9&#10;k/gmAafyBYCZYB13d/dly5bt2bPn6tWrwcHB165du3jx4tmzZ6Glffv2+fj44LtQS3PnzpUPZ9So&#10;UQO1ZKzByMjIQoOlBklrQ/nVrTwuU6+lhLm5UqEr9nAAO+3VMzynqpUq161Zq2XTZj26dJ00bry3&#10;p9eFM+fiomIy0zIKcvPQT+qRm5qDo6gwTzf4Rd9eAH9bcvPnxF9hKaISSEj/BSlaeteuXcjk8PBw&#10;3BlOLSEhwaClfiQISxGFYNuwFPHppUuX4uLiDCxVmkFz0DoCaRrW71BX6l2f9/9999/83Lyk129i&#10;Ih+F3Qk+d+oM+madxxr3iZN69+jZpEEjV+cKSCJ1f08RknYfr3iUBIsSDWXKKpaS4RVGaqS13Cfk&#10;GCjH6Jf/jWSDqCpXdK1RtVqDOvVaN2/ZvnUb7c1fV3uNohT/GZsY/6rEh4OtXeMGDbt16rJgzrwd&#10;2/x2+W0/4L/v+JGjhw8QBn8BoChUEWKoY8eOffv2HTNmzIQJE4YPHz506NDBgwf3799fPWHq1Klt&#10;27aopebNmzdo0KBKlSqOjo4yVQeaSYgKkDAxUfPrqfml1Hy+asIIJR+1RV21Nl+G1A+bpCH48vYO&#10;NapU4zJHDRs+Z+asTRs8D/rvu3D23P2wuwnPX7zNzH5foJvZXa1lYaXmztURFaDJ8Lfs0drz58WX&#10;sRT1JSMy0UzHjh2DolasWIGyJjYhVImPj3+qfedQDTw3sNQPhCfaVLPylV49Sxm0VCkHzSFDA343&#10;NFcNB5fZu/+rHoRok/pkp2emJaW8fP4bPjQw4Ni61WsmjhuP9GnXuk29WnVgFxhLvXOqvd8j0kpu&#10;+omblvdS8c7CNzhr9pBAXggJoSpsLNWHg8vZO6DSHG3Ve1HkIy5ek2W6N15FnDk7lm/bqvWQgYOG&#10;Dhw0fszYKRMnjRs9Brnz+ejZs2ft2rUrVKhQrlw5a2trBwcHJycnOzs7mbmVBLDVQAL9hFqCh/RU&#10;BCTBWkBap6t0BVbCUd3w1Hha7nByXVQUYrR+7bptW7Ye2Lf/pHETdm3fcf7M2eiISOSgNvlsZmFu&#10;vrqBqf+sBgZUqGaqFaJSbVQ8skPS0nY/Mz7NUlI7khBImh6fnp5OZI2Q2rFjBwHLunXr/P399eP6&#10;oCgZN0ECiI8z4HsHwUd0dHRQUJBMiA5LXdS+JS8sRVfR9xDVewwoHaA5NBenoNsFisN2WXCORYVq&#10;3F1BXn5uztuU5OTHsXG3bgYdP3ps146d3l6bZkybPmrEyK6dOzeq36BSRVf1jUFLSwuctpkZa2tL&#10;KysLSxNNd6jPTBRPX6tRlDa3hXarUI0k1G6LoULExXMA/l3PTOp4TYVwmIn25Y5KFVzq16nboG69&#10;Zo2btGjarEnDRs2bNvv8pXatWhWcnO1t7ShVmV9+KfPLr0oZlS3L2ph12bKUmUtQM8RbWJCAnxBM&#10;opn0XMWmuvenaSlFXBpMjE3KamP5jNRSBs1lY2VV3rFc3dp12rdtN3jgwGlT3JcuXuLt5XXowMFz&#10;Z84+vP/g2ZOn6alpBXlq/L0iJ5qjuP7VgvVo86nr2qVYP+kty2BWn2YpqSZJ6AMx9uTl5SUkJIi3&#10;kilHd+7cKV+QwmfJ7T5RUTAW0FycAd89YCnaV55Lbdq0afv27Wgp9siE6GJLWscx4HuFmDzGjo1n&#10;ZGS8fv1aGj0wMNDPz2/RokUjRozo1KlT48aNq1evLhoFIE2QIwgM3Lpy8QgpbcC6JjVKzLaueEhR&#10;kZCTIjBYoPglLe1Zl4nSJdrXaWVtY6HeKCpnZy8L7IgO+/xFDftWoke96UUxVKnkWRoSUJvXlYQi&#10;Tu1+pqIuY2NhJihKmEm4irVQF3+SR1MA7cW1UwkuLi5VqlSpV69e6/+vvWt/iqqK4/+GTlmTjw1R&#10;KUmjEjMflYwEgoIYYuoiiy/EjOQx1mBlE4ROJe4Ai4o8GksUBhUDlHVhVwYKdFkgkIcpL8EF3QUW&#10;ULPPOd/rdQkfUD84becz37mce+69Z7nn8f2czz3nnuvpuX79+ujoaLSO06dPl5eXNzQ0IA97enrQ&#10;kxsYGLDZbMN2H5UXGBceq6XI76DiUuYCyGiz2WwymXJzc9Vq9f79+5OSklAkVVVVKJLGxkZUa3Jq&#10;kFNCSzkSBEs5PKiNUzkiMDQ0BN9qsVjozSGtVnvy5EmNRhMXFxcTE7N9+3alUkmk5ebmNnPmzClT&#10;psCzT3qOv/DEJ/tNmoiARA8wzhbSIkzgBiaqOEMwe54eoEnz3cElTFfxL9Xyp4uc5OwnGY7BiCnZ&#10;zz3kRZYU/zkeydfVpX+AfWYQuopPkZBZCsAuyAmHEIYSw6GpU6e6uLgsXLjQy8srMDBQpVJFRESA&#10;wtFlz8zMzM/Pr6ioQO+8u7sb5ET5iQZCbYR2KbcFxoWnjEshf0lLgavQwwLxlJaWom+VkJAAIZWV&#10;laXXs5eliZMA8JM9JCcn8B+HYCmHh305km9FkwdXWa1WNPze3t6bN2+2tbWhP1pZWVlUVJSRkREf&#10;Hx8eHg5n7eHhAa5ycmJfVpzlPMNZ8bLT1Gm0YB2jGT65AFs244AJGmwZkYCKQBs8kubIsS3Ig85n&#10;l/CjiCECI0YZo8n6ifiJOG8yFBGfN89S5sYOvTSZT91jq/ESLZFagkwE9eKmwMFQTs7OzlBO8+bN&#10;g2wKCQmJjIykWWMFBQXIkObm5vb2dmQRsguZhg496ad/sHigwGg8ZVwKW6q7yPGuri56YyYxMRFC&#10;KjU1FUIK/azW1lZUX2xBSzJXSe5NwCEgWMrhgRIkUJi6pwCVL4B4bOl5IBr75cuXz58/f/z4cXqp&#10;f8+ePTt37tysCt2w9iN/35WeSz0Wvb3gjbmv0xdpiX4grbjG4safB4JImPaiGe00iMUXEgSjYCup&#10;Iq7DcDnxylgNLMiNEkGyMIg5KDyaJo408T+wx4yT2CtQEyZMmDhxIraQTRBMrq6uICRoJm9v76Cg&#10;IGimsLAwMNPevXsPHjx47NgxuD6DwVBbW4usuHXrFrKFevOUgXLuASxzBf4dnjQuxSstA8LoTEH7&#10;5+TkoJAgpNRq9YkTJ6Cr6urqQFGCpRwbgqX+b6CGTyBvQAUNtwuPDKGAood3hnpA57WjowNiwmQy&#10;nck7lZF29LuEfbujoreoNrFvTS1e8ubrbjOdps942Wn6NIWCz4Xji4JPUbDAZJI+4CfsYgsmAyGx&#10;SD6ABCZDgJgGvDJ2A1GxQSmeAnaRIKcu9sSPZhuCBRnzvfAidiGg6ImfQqFwcXFxd3eHYAoICNix&#10;YwfYFxUeZFxYWFheXg53B//W2dmJGwdbIx+QGxBP0J3ImdFtAWE56+zjBcaFp7MUch81En5Kr9dr&#10;NBp5Xp9Wq6XFkEBRoKVHQnJyAv9xCJZyeHBf+hBUoNgSM5ELZu7Abt4gwnQODsFfg7SuX71WY6wu&#10;Kdbm5eRmHU1X/5D49ZdfxURGfRy2fdumLSpl8NrANatW+vl6eXst81y21OPdhYvc33zrjTlz3V6b&#10;M3e266zpM8AZDx4D8qEs6akdIxg2rDVmI5bCtUhHMZmtOz5ntit+BbbAff57ixa/v3jJ0iXvfuCx&#10;zN93RcCqVYGBgUqlcuvWrbt27YqNjaWVCqCZ8vLy0BevqalBK0BPHZyEm5Vvn0C7gLTPswW7OFMe&#10;1AcoXuAf4CkshQAKxmw2G43G3NxceKgDBw4cOXKkoKCgqqqqvr6+paWFrWbf3EyjU+TUJI4SLOUo&#10;ECzl8GDOdSTkSOZiR3ISSMs+Brs0iDU0YLtt7u1sbWv749qNtvb2661XG5t+N9Ve/q2qTG8ozD/7&#10;U9aPyQfVCd/EfxX7RcyuqPCt25QfrVvt57/Ce7nnUo8F8+bPeXX2DCf22XWSOzRGBZkFpkHM2A1s&#10;R4NbTtMUrq+8+o77fJCir9dyP58VG9auw+9GRXwa+9nn++K+TVEnZaSnZ2dnQy2VlZWh5w3BdOXK&#10;Ffg0GsugqXqo6kTVuHG6azkHaFcOEyiGvChBOiAwfjyWpVAkyFkEIGzhj+gLUuhiJCYmQv/CYaEg&#10;4b9QkDI5ISzgqIBoNhgM9Dnm1NRUWiHJZrNRCwSkqiPgELAvUPvypTCBYgBpH2DfjL/HVmAaxh90&#10;deFH7rIXhy3W3ptmUFddtanccLG4sCj/1Onsn37OSDt6KEWT+P0P++IYb+2Oion8JGLbps1bQqG8&#10;QkODQ0KDN6qUsOCQDcp1a4KCVn8Y4Ofv5+O7YrnPyuU+oJyVPr5+EEN+/msCVq9bs3bj+g2q4I2b&#10;QlQwXAvbHKL6OCx8d1T01198uT/+W8i7Q8marPSMnOPZv5zJ1xVrQZ/VRmNTU1NHR4fFYgHVwvUR&#10;wDEyiJMI9rdsnwMUtscjIwXGi8fOngBQNlarFf1ock9QUSkpKehNnzt3Dj0O9DWglkBRKGBsBRwY&#10;KGKIaZ1Ohy4nOis0tQl1AB1MqcYICADwyaOMvhwPuhoeGOy/bQFddbV3Qm9db7na0tjUVN9QX1tX&#10;a6w2Vl669OtvleUVBl2pQVei15WUai+UFGt152HFRWd/OZaZlZmWnpZ6+FByiiYpOTU5BQyXdugw&#10;qA6HwDpnT50B/+kv6MpK9bgc1zLTXrhYUlpV8avpkrGuuqbWaKqvqWv8veFqU3Pbteudbe3dHTe6&#10;b3SZzea+vj4oQplX5IDAM8eTtBR1IlBy9OZEb29vV1cXzbZEJB0F7MMCjgrUB3QzQUuoBj09PagS&#10;iBEtWWAEHjDTI4xzFTPSWA+U1l3ZhtnXp5hBzAwNkw3b2aBtcHDAZusb6LdYYQPWfls/C1tv3YZW&#10;G+zrBwsODw6xC1kiDy+kZB/+0AOT/w0cJScmP8TDFmG6J4FnjidpqSdDOpWfLIUEHBQgJHncGO2Z&#10;5jVhVxS9wAigOoy2e3+yBeuYjVicicfLh+7dvwO7y8z+nL+ZTHXcRu/yNHlSlAiIBpX0DmrtnbuD&#10;Q/SpKn7aiGTZ5XZAJSdINyXwbHH//l+Q/KorcA7JsAAAAABJRU5ErkJgglBLAwQUAAYACAAAACEA&#10;cKn3guAAAAAIAQAADwAAAGRycy9kb3ducmV2LnhtbEyPQU/CQBCF7yb+h82YeJPtgkgp3RJC1BMx&#10;EUwMt6Ed2obubtNd2vLvHU96fPNe3vsmXY+mET11vnZWg5pEIMjmrqhtqeHr8PYUg/ABbYGNs6Th&#10;Rh7W2f1diknhBvtJ/T6UgkusT1BDFUKbSOnzigz6iWvJsnd2ncHAsitl0eHA5aaR0yh6kQZrywsV&#10;trStKL/sr0bD+4DDZqZe+93lvL0dD/OP750irR8fxs0KRKAx/IXhF5/RIWOmk7vawotGQ7zgIJ+n&#10;CgTbs8VyDuKk4XkZK5BZKv8/kP0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jwSoqIDAABDCAAADgAAAAAAAAAAAAAAAAA6AgAAZHJzL2Uyb0RvYy54bWxQSwEC&#10;LQAKAAAAAAAAACEAMMlBwqn5AgCp+QIAFAAAAAAAAAAAAAAAAAAIBgAAZHJzL21lZGlhL2ltYWdl&#10;MS5wbmdQSwECLQAUAAYACAAAACEAcKn3guAAAAAIAQAADwAAAAAAAAAAAAAAAADj/wIAZHJzL2Rv&#10;d25yZXYueG1sUEsBAi0AFAAGAAgAAAAhAKomDr68AAAAIQEAABkAAAAAAAAAAAAAAAAA8AADAGRy&#10;cy9fcmVscy9lMm9Eb2MueG1sLnJlbHNQSwUGAAAAAAYABgB8AQAA4wEDAAAA&#10;">
                      <v:shape id="그림 1087" o:spid="_x0000_s1224" type="#_x0000_t75" style="position:absolute;left:77;width:23550;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4oQwAAAAN0AAAAPAAAAZHJzL2Rvd25yZXYueG1sRE/NasJA&#10;EL4XfIdlBG91o4KV1FVUEIS2h6Y+wJAds8HsbMiOMb69Wyj0Nh/f76y3g29UT12sAxuYTTNQxGWw&#10;NVcGzj/H1xWoKMgWm8Bk4EERtpvRyxpzG+78TX0hlUohHHM04ETaXOtYOvIYp6ElTtwldB4lwa7S&#10;tsN7CveNnmfZUnusOTU4bOngqLwWN2+ALoVwf8CF3Pb+k93OLj/OX8ZMxsPuHZTQIP/iP/fJpvnZ&#10;6g1+v0kn6M0TAAD//wMAUEsBAi0AFAAGAAgAAAAhANvh9svuAAAAhQEAABMAAAAAAAAAAAAAAAAA&#10;AAAAAFtDb250ZW50X1R5cGVzXS54bWxQSwECLQAUAAYACAAAACEAWvQsW78AAAAVAQAACwAAAAAA&#10;AAAAAAAAAAAfAQAAX3JlbHMvLnJlbHNQSwECLQAUAAYACAAAACEAlvOKEMAAAADdAAAADwAAAAAA&#10;AAAAAAAAAAAHAgAAZHJzL2Rvd25yZXYueG1sUEsFBgAAAAADAAMAtwAAAPQCAAAAAA==&#10;" stroked="t" strokecolor="black [3213]" strokeweight=".5pt">
                        <v:imagedata r:id="rId107" o:title=""/>
                        <v:path arrowok="t"/>
                      </v:shape>
                      <v:shape id="Text Box 128" o:spid="_x0000_s1225" type="#_x0000_t202" style="position:absolute;left:16129;top:29400;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QxwAAANwAAAAPAAAAZHJzL2Rvd25yZXYueG1sRI9BSwMx&#10;EIXvQv9DmIIXsVlrKbI2LaUoVC/FtRdvw2a6Wd1MliTbbv+9cxC8zfDevPfNajP6Tp0ppjawgYdZ&#10;AYq4DrblxsDx8/X+CVTKyBa7wGTgSgk268nNCksbLvxB5yo3SkI4lWjA5dyXWqfakcc0Cz2xaKcQ&#10;PWZZY6NtxIuE+07Pi2KpPbYsDQ572jmqf6rBGzgsvg7ubji9vG8Xj/HtOOyW301lzO103D6DyjTm&#10;f/Pf9d4K/lxo5RmZQK9/AQAA//8DAFBLAQItABQABgAIAAAAIQDb4fbL7gAAAIUBAAATAAAAAAAA&#10;AAAAAAAAAAAAAABbQ29udGVudF9UeXBlc10ueG1sUEsBAi0AFAAGAAgAAAAhAFr0LFu/AAAAFQEA&#10;AAsAAAAAAAAAAAAAAAAAHwEAAF9yZWxzLy5yZWxzUEsBAi0AFAAGAAgAAAAhACZ1eRDHAAAA3AAA&#10;AA8AAAAAAAAAAAAAAAAABwIAAGRycy9kb3ducmV2LnhtbFBLBQYAAAAAAwADALcAAAD7AgAAAAA=&#10;" stroked="f">
                        <v:textbox style="mso-fit-shape-to-text:t" inset="0,0,0,0">
                          <w:txbxContent>
                            <w:p w14:paraId="2D98C47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v:textbox>
                      </v:shape>
                      <w10:wrap type="square"/>
                    </v:group>
                  </w:pict>
                </mc:Fallback>
              </mc:AlternateContent>
            </w:r>
          </w:p>
          <w:p w14:paraId="088D44BC" w14:textId="77777777" w:rsidR="00094D21" w:rsidRPr="008F328C" w:rsidRDefault="00094D21" w:rsidP="008E70FE">
            <w:pPr>
              <w:pStyle w:val="a3"/>
              <w:numPr>
                <w:ilvl w:val="0"/>
                <w:numId w:val="125"/>
              </w:numPr>
              <w:rPr>
                <w:lang w:val="pl-PL"/>
              </w:rPr>
            </w:pPr>
            <w:r w:rsidRPr="008F328C">
              <w:rPr>
                <w:rFonts w:eastAsia="Times New Roman"/>
                <w:b/>
                <w:bCs/>
                <w:lang w:val="pl-PL"/>
              </w:rPr>
              <w:t>Zdjąć osłonę</w:t>
            </w:r>
          </w:p>
          <w:p w14:paraId="2E92828A" w14:textId="77777777" w:rsidR="00094D21" w:rsidRPr="008F328C" w:rsidRDefault="00094D21" w:rsidP="008A03B2">
            <w:pPr>
              <w:pStyle w:val="a3"/>
              <w:numPr>
                <w:ilvl w:val="0"/>
                <w:numId w:val="0"/>
              </w:numPr>
              <w:ind w:left="471"/>
              <w:rPr>
                <w:lang w:val="pl-PL"/>
              </w:rPr>
            </w:pPr>
          </w:p>
          <w:p w14:paraId="45A6C259" w14:textId="77777777" w:rsidR="00094D21" w:rsidRPr="008F328C" w:rsidRDefault="00094D21" w:rsidP="008A03B2">
            <w:pPr>
              <w:pStyle w:val="a3"/>
              <w:ind w:left="4477" w:hanging="180"/>
              <w:rPr>
                <w:lang w:val="pl-PL"/>
              </w:rPr>
            </w:pPr>
            <w:r w:rsidRPr="008F328C">
              <w:rPr>
                <w:rFonts w:eastAsia="Times New Roman"/>
                <w:b/>
                <w:bCs/>
                <w:lang w:val="pl-PL"/>
              </w:rPr>
              <w:t>a</w:t>
            </w:r>
            <w:r w:rsidRPr="008F328C">
              <w:rPr>
                <w:rFonts w:eastAsia="Times New Roman"/>
                <w:lang w:val="pl-PL"/>
              </w:rPr>
              <w:t xml:space="preserve">. Zdjąć osłonę, przytrzymując korpus ampułko-strzykawki jedną ręką. Delikatnie ściągnąć osłonę prostym ruchem drugą ręką. </w:t>
            </w:r>
          </w:p>
          <w:p w14:paraId="297A9E7C" w14:textId="77777777" w:rsidR="00094D21" w:rsidRPr="008F328C" w:rsidRDefault="00094D21" w:rsidP="008A03B2">
            <w:pPr>
              <w:pStyle w:val="a3"/>
              <w:rPr>
                <w:lang w:val="pl-PL"/>
              </w:rPr>
            </w:pPr>
          </w:p>
          <w:p w14:paraId="601EBFD4" w14:textId="77777777" w:rsidR="00094D21" w:rsidRPr="008F328C" w:rsidRDefault="00094D21" w:rsidP="008A03B2">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zdejmować osłony, aż do momentu, gdy pacjent będzie gotowy do wykonania wstrzyknięcia. </w:t>
            </w:r>
          </w:p>
          <w:p w14:paraId="16B21E7B" w14:textId="77777777" w:rsidR="00094D21" w:rsidRPr="008F328C" w:rsidRDefault="00094D21" w:rsidP="008A03B2">
            <w:pPr>
              <w:pStyle w:val="a3"/>
              <w:numPr>
                <w:ilvl w:val="0"/>
                <w:numId w:val="0"/>
              </w:numPr>
              <w:ind w:left="1384"/>
              <w:rPr>
                <w:lang w:val="pl-PL"/>
              </w:rPr>
            </w:pPr>
          </w:p>
          <w:p w14:paraId="4A480ED4" w14:textId="77777777" w:rsidR="00094D21" w:rsidRPr="008F328C" w:rsidRDefault="00094D21" w:rsidP="008A03B2">
            <w:pPr>
              <w:pStyle w:val="a3"/>
              <w:numPr>
                <w:ilvl w:val="0"/>
                <w:numId w:val="19"/>
              </w:numPr>
              <w:rPr>
                <w:lang w:val="pl-PL"/>
              </w:rPr>
            </w:pPr>
            <w:r w:rsidRPr="008F328C">
              <w:rPr>
                <w:rFonts w:eastAsia="Times New Roman"/>
                <w:b/>
                <w:bCs/>
                <w:lang w:val="pl-PL"/>
              </w:rPr>
              <w:t>Nie</w:t>
            </w:r>
            <w:r w:rsidRPr="008F328C">
              <w:rPr>
                <w:rFonts w:eastAsia="Times New Roman"/>
                <w:lang w:val="pl-PL"/>
              </w:rPr>
              <w:t xml:space="preserve"> dotykać igły. Może to spowodować ukłucie igłą.</w:t>
            </w:r>
            <w:r w:rsidRPr="008F328C">
              <w:rPr>
                <w:rFonts w:eastAsia="Times New Roman"/>
                <w:b/>
                <w:bCs/>
                <w:lang w:val="pl-PL"/>
              </w:rPr>
              <w:t xml:space="preserve"> </w:t>
            </w:r>
          </w:p>
          <w:p w14:paraId="496DB30E" w14:textId="77777777" w:rsidR="00094D21" w:rsidRPr="008F328C" w:rsidRDefault="00094D21" w:rsidP="008A03B2">
            <w:pPr>
              <w:pStyle w:val="a4"/>
              <w:rPr>
                <w:rFonts w:ascii="Times New Roman" w:hAnsi="Times New Roman" w:cs="Times New Roman"/>
                <w:lang w:val="pl-PL"/>
              </w:rPr>
            </w:pPr>
          </w:p>
          <w:p w14:paraId="107B0A56" w14:textId="562FF2B2" w:rsidR="00094D21" w:rsidRPr="00F90B57" w:rsidRDefault="00094D21" w:rsidP="008A03B2">
            <w:pPr>
              <w:pStyle w:val="a3"/>
              <w:numPr>
                <w:ilvl w:val="0"/>
                <w:numId w:val="19"/>
              </w:numPr>
              <w:ind w:left="4300"/>
              <w:rPr>
                <w:lang w:val="pl-PL"/>
              </w:rPr>
            </w:pPr>
            <w:r w:rsidRPr="008F328C">
              <w:rPr>
                <w:rFonts w:eastAsia="Times New Roman"/>
                <w:lang w:val="pl-PL"/>
              </w:rPr>
              <w:t>Nie nakładać ponownie osłony na ampułko-strzykawkę. Natychmiast wyrzucić osłonę do pojemnika na odpady ostre.</w:t>
            </w:r>
          </w:p>
          <w:p w14:paraId="3BBA4FC5" w14:textId="77777777" w:rsidR="0032285D" w:rsidRDefault="0032285D" w:rsidP="00F90B57">
            <w:pPr>
              <w:pStyle w:val="a4"/>
              <w:rPr>
                <w:lang w:val="pl-PL"/>
              </w:rPr>
            </w:pPr>
          </w:p>
          <w:p w14:paraId="087E6EA2" w14:textId="7B249B7B" w:rsidR="0032285D" w:rsidRPr="008F328C" w:rsidRDefault="0032285D" w:rsidP="008A03B2">
            <w:pPr>
              <w:pStyle w:val="a3"/>
              <w:numPr>
                <w:ilvl w:val="0"/>
                <w:numId w:val="19"/>
              </w:numPr>
              <w:ind w:left="4300"/>
              <w:rPr>
                <w:lang w:val="pl-PL"/>
              </w:rPr>
            </w:pPr>
            <w:r w:rsidRPr="006C0E92">
              <w:rPr>
                <w:rFonts w:eastAsia="Times New Roman"/>
                <w:lang w:val="pl-PL"/>
              </w:rPr>
              <w:t>Prawidłowe jest pojawienie się kropelki roztworu na końcówce igły.</w:t>
            </w:r>
          </w:p>
          <w:p w14:paraId="5B484E72" w14:textId="77777777" w:rsidR="00094D21" w:rsidRPr="008F328C" w:rsidRDefault="00094D21" w:rsidP="008A03B2">
            <w:pPr>
              <w:pStyle w:val="a3"/>
              <w:numPr>
                <w:ilvl w:val="0"/>
                <w:numId w:val="0"/>
              </w:numPr>
              <w:ind w:left="1384"/>
              <w:rPr>
                <w:lang w:val="pl-PL" w:eastAsia="ko-KR"/>
              </w:rPr>
            </w:pPr>
          </w:p>
        </w:tc>
      </w:tr>
      <w:tr w:rsidR="00094D21" w:rsidRPr="00A5286D" w14:paraId="18532A0D" w14:textId="77777777" w:rsidTr="008A03B2">
        <w:trPr>
          <w:trHeight w:val="6650"/>
        </w:trPr>
        <w:tc>
          <w:tcPr>
            <w:tcW w:w="9209" w:type="dxa"/>
          </w:tcPr>
          <w:p w14:paraId="2874E1A3" w14:textId="77777777" w:rsidR="00094D21" w:rsidRPr="008F328C" w:rsidRDefault="00094D21" w:rsidP="008A03B2">
            <w:pPr>
              <w:ind w:left="104"/>
              <w:rPr>
                <w:rFonts w:ascii="Times New Roman" w:eastAsia="Times New Roman" w:hAnsi="Times New Roman" w:cs="Times New Roman"/>
                <w:b/>
                <w:bCs/>
                <w:spacing w:val="-1"/>
                <w:lang w:val="pl-PL"/>
              </w:rPr>
            </w:pPr>
          </w:p>
          <w:p w14:paraId="2700F213" w14:textId="77777777" w:rsidR="00094D21" w:rsidRPr="008F328C" w:rsidRDefault="00094D21" w:rsidP="008A03B2">
            <w:pPr>
              <w:ind w:left="104"/>
              <w:rPr>
                <w:rFonts w:ascii="Times New Roman" w:eastAsia="Times New Roman" w:hAnsi="Times New Roman" w:cs="Times New Roman"/>
                <w:lang w:val="pl-PL"/>
              </w:rPr>
            </w:pPr>
          </w:p>
          <w:p w14:paraId="6A537DCB" w14:textId="0D57F4BC" w:rsidR="00094D21" w:rsidRPr="008F328C" w:rsidRDefault="00094D21" w:rsidP="008A03B2">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54" behindDoc="0" locked="0" layoutInCell="1" allowOverlap="1" wp14:anchorId="5D5ADBB4" wp14:editId="15169296">
                      <wp:simplePos x="0" y="0"/>
                      <wp:positionH relativeFrom="column">
                        <wp:posOffset>137795</wp:posOffset>
                      </wp:positionH>
                      <wp:positionV relativeFrom="paragraph">
                        <wp:posOffset>79375</wp:posOffset>
                      </wp:positionV>
                      <wp:extent cx="2165350" cy="3790950"/>
                      <wp:effectExtent l="19050" t="19050" r="25400" b="0"/>
                      <wp:wrapSquare wrapText="bothSides"/>
                      <wp:docPr id="129" name="그룹 129"/>
                      <wp:cNvGraphicFramePr/>
                      <a:graphic xmlns:a="http://schemas.openxmlformats.org/drawingml/2006/main">
                        <a:graphicData uri="http://schemas.microsoft.com/office/word/2010/wordprocessingGroup">
                          <wpg:wgp>
                            <wpg:cNvGrpSpPr/>
                            <wpg:grpSpPr>
                              <a:xfrm>
                                <a:off x="0" y="0"/>
                                <a:ext cx="2165350" cy="3790950"/>
                                <a:chOff x="7841" y="0"/>
                                <a:chExt cx="2165543" cy="3790950"/>
                              </a:xfrm>
                            </wpg:grpSpPr>
                            <wpg:grpSp>
                              <wpg:cNvPr id="130" name="그룹 130"/>
                              <wpg:cNvGrpSpPr/>
                              <wpg:grpSpPr>
                                <a:xfrm>
                                  <a:off x="7841" y="0"/>
                                  <a:ext cx="2165543" cy="3790950"/>
                                  <a:chOff x="59600" y="0"/>
                                  <a:chExt cx="2165543" cy="3790950"/>
                                </a:xfrm>
                              </wpg:grpSpPr>
                              <pic:pic xmlns:pic="http://schemas.openxmlformats.org/drawingml/2006/picture">
                                <pic:nvPicPr>
                                  <pic:cNvPr id="131" name="그림 131"/>
                                  <pic:cNvPicPr>
                                    <a:picLocks noChangeAspect="1"/>
                                  </pic:cNvPicPr>
                                </pic:nvPicPr>
                                <pic:blipFill>
                                  <a:blip r:embed="rId108" cstate="print">
                                    <a:extLst>
                                      <a:ext uri="{28A0092B-C50C-407E-A947-70E740481C1C}">
                                        <a14:useLocalDpi xmlns:a14="http://schemas.microsoft.com/office/drawing/2010/main" val="0"/>
                                      </a:ext>
                                    </a:extLst>
                                  </a:blip>
                                  <a:srcRect/>
                                  <a:stretch/>
                                </pic:blipFill>
                                <pic:spPr bwMode="auto">
                                  <a:xfrm>
                                    <a:off x="59600" y="0"/>
                                    <a:ext cx="2165543" cy="3606800"/>
                                  </a:xfrm>
                                  <a:prstGeom prst="rect">
                                    <a:avLst/>
                                  </a:prstGeom>
                                  <a:noFill/>
                                  <a:ln w="6350">
                                    <a:solidFill>
                                      <a:schemeClr val="tx1"/>
                                    </a:solidFill>
                                  </a:ln>
                                </pic:spPr>
                              </pic:pic>
                              <wps:wsp>
                                <wps:cNvPr id="132" name="Text Box 132"/>
                                <wps:cNvSpPr txBox="1"/>
                                <wps:spPr>
                                  <a:xfrm>
                                    <a:off x="1466850" y="3644900"/>
                                    <a:ext cx="719758" cy="146050"/>
                                  </a:xfrm>
                                  <a:prstGeom prst="rect">
                                    <a:avLst/>
                                  </a:prstGeom>
                                  <a:solidFill>
                                    <a:prstClr val="white"/>
                                  </a:solidFill>
                                  <a:ln>
                                    <a:noFill/>
                                  </a:ln>
                                </wps:spPr>
                                <wps:txbx>
                                  <w:txbxContent>
                                    <w:p w14:paraId="4FD2F4E4"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3" name="Text Box 133"/>
                              <wps:cNvSpPr txBox="1"/>
                              <wps:spPr>
                                <a:xfrm>
                                  <a:off x="38100" y="1714501"/>
                                  <a:ext cx="2089129" cy="2590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030084"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D5ADBB4" id="그룹 129" o:spid="_x0000_s1226" style="position:absolute;margin-left:10.85pt;margin-top:6.25pt;width:170.5pt;height:298.5pt;z-index:251658354;mso-width-relative:margin;mso-height-relative:margin" coordorigin="78" coordsize="21655,37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pDbbgQAACkNAAAOAAAAZHJzL2Uyb0RvYy54bWzcV9tu4zYQfS/QfxD0&#10;vrHkW2wjziJNmmCBdDfYpNhnmqIsIhLJknTs9HcK9BfaAv2i9id6hpJsy0nRTVrsQx+iDMUhOXPm&#10;zKF88nZTldGDsE5qNY/ToySOhOI6k2o5j7+/u3wziSPnmcpYqZWYx4/CxW9Pv/7qZG1moq8LXWbC&#10;RthEudnazOPCezPr9RwvRMXckTZCYTLXtmIeQ7vsZZatsXtV9vpJMu6ttc2M1Vw4h7cX9WR8GvbP&#10;c8H9hzx3wkflPEZsPjxteC7o2Ts9YbOlZaaQvAmDvSKKikmFQ7dbXTDPopWVT7aqJLfa6dwfcV31&#10;dJ5LLkIOyCZNDrK5snplQi7L2XpptjAB2gOcXr0tf/9wZc2tubFAYm2WwCKMKJdNbiv6jyijTYDs&#10;cQuZ2PiI42U/HY8GIyDLMTc4niZTDAKovADytO54MkzjaLeUF9/uLR4NB08W99qze52ItoM6UoR+&#10;YyOZgXYDBKBYBX798cuvf/70W0RvmoRekOFhpPtJPhcnm22THE3HCYL4D7I0ks/w1xQb1pNi/3NT&#10;YJVfWRE3m1SftUfF7P3KvAEvDfNyIUvpH0OPgYEUlHq4kfzG1oN98FHdHfg//w7wUwKf1pBbvYhR&#10;Utea37tI6fOCqaU4cwb9ifKRd6/rHoadExelNJeyLImRZDe5oZcPeuEZeOo+u9B8VQnla+GwokSa&#10;WrlCGhdHdiaqhQCZ7LsMCXGIlgefjJXK14R2ln9EvIHczlvhedHGvYuNsnDopmix/k5n2ICtvA7K&#10;cNBNTwjzPNnGyXgCYtFBbVMASev8ldBVRAYiRlThCPZw7Sg+uLYuhJbShFuIu1TReh6PqWNpxulS&#10;Zi2oQXPFeWmjBwa19Ju6Lh0v7FyqpliUZmMia+pJSLhr64LRk8q8SKVuC2YEoqRt99nWb9l2R4h9&#10;ozfgW58AahxvCX2/wUTDLHpfx7pDsJG0dDgeT0i9SLzGw+G0hprN2mIcp9PjEa4wUjc4J7W4vb4U&#10;HcCpRlu414X0oqlzx4vw3qthW4FdVmT5zWJTS2EyarFY6OwRUFgNiiBFZ/ilxInXzPkbZnHL4SVu&#10;bv8Bj7zU4IVurDgqtP3xuffkj7JiNo7WuDXnsfthxUhpyncKBceWvjVsayxaQ62qcw1qob8QTTCx&#10;wPqyNXOrq0+40M/oFEwxxXEWuNia576+u/FBwMXZWXCqBeta3RrIXBp4TcjebT4xa5oW8Sjoe91S&#10;is0OOqX2DR1hztCwlzK0ESFbowie0wD0DlZzTX4xzuOKrBV2j/ODts5ojpdwfjBJm5sqPU6HoyR0&#10;+Y7x/WQyTfvTmvL90TSZ/Ev16ZD5czSGJKajUlv9ariPYMOXXSN23U5w/rEUVMlSfRQ5eiJ8uYTS&#10;0jflTt8Y57gLWo0L3uSVQypfsrDxp6V1VC9ZvF0RTtbKbxdXUmlba3Q37Oy+DTmv/RtqNnkfiMG4&#10;Jcn/SAy4t19IDkLP/40A4HscyHc++PfHoSq7XzinfwEAAP//AwBQSwMECgAAAAAAAAAhAP6Thl9l&#10;IwMAZSMDABQAAABkcnMvbWVkaWEvaW1hZ2UxLnBuZ4lQTkcNChoKAAAADUlIRFIAAAIJAAADZAgC&#10;AAAAsh0unwAAAAFzUkdCAK7OHOkAAAAEZ0FNQQAAsY8L/GEFAAAACXBIWXMAACHVAAAh1QEEnLSd&#10;AAD/pUlEQVR4Xuz9B5gU1d72C3/nu65zvvO87/O8O6gwoeN0T2RyTgxDzpIREZAgmDCQlCySw+Sc&#10;c+rJOfT0zHTOYRIIiso2ggiSUYL7u6vWMBsH3Fv33m4R1339Laurq6urVzH3b/3XWrXq//NXKioq&#10;Kqrfse7cuXP16tWbN29evnz52rVrFy5cuHv3LmUDFRUV1e9aoIJKpUpPT9+4ceOWLVv279//zTff&#10;UDZQUVFR/a4FNkgkkrlz5zo5OXG53IiICMoGKioqqt+7rl27Vl1dPXXqVEdHRw6H4+/vf/nyZcoG&#10;Kioqqt+1rl692tTUNHPmTB6P5+rqGh4efuHCBcoGKioqqt+1bty40dDQMHv2bLBBJBKNHTv24sWL&#10;lA1UVFRUv2uBDaWlpU8//TTYMHr06LCwsEuXLlE2UFFRUf2uBTbU1dXNmTMHbODz+eHh4bQvmoqK&#10;iur3LsoGKioqKqqRomygoqKiohopygYqKioqqpGibKCioqKiGinKBioqKiqqkaJsoKKioqIaKcoG&#10;KioqKqqRomygoqKiohopygYqKioqqpGibKCioqKiGinKBioqKiqqkaJsoKKioqIaKcoGKioqKqqR&#10;omygoqKiohopygYqKioqqpGibKCioqKiGinKBioqKiqqkaJsoKKioqIaKcoGKioqKqqRomygoqKi&#10;ohopygYqKioqqpGibKCioqKiGinKBioqKiqqkaJsoKKioqIaKcoGKioqKqqRomygoqKiohopygYq&#10;KioqqpGibKCioqKiGinKBioqKiqqkaJsoKKioqIaKcoGKioqKqqRomygoqKiohopygYqKioqqpGi&#10;bKCioqKiGinKBioqKiqqkaJsoKKioqIaKcoGKioqKqqRomygoqKiohopygYqKioqqpGibKCioqKi&#10;GinKBioqqt+R7rL6/vvvyUus3P/yfmHjQ7cT4S1yKOihu7Gf/tGPP/qibKCiovodiVg29NCX9+vO&#10;nTu3bt36ltX169evXr16hRVZuXz5MpbXrl2Dh2IHEGLoY/cdExradB9Lhl4/8qJsoKKi+j2KeDeE&#10;dWDg9u3bZJ0I6zdv3oQbnjt37tNPP/3www/fZ3Xq1KmTJ0++x+qDDz44c+bM559/jt1AkeGPEwYM&#10;v8QK2QLd/xWPuCgbqKiofkeCQRMSEGEdfk1SBCIgAQnBhQsXYPqnT58+fvy4yWRSq9UKVnK5vLu7&#10;u4uVSqXCW/39/YDEF198gY8gpUCGgSOQI2M5dNBbt/C9Q2fwGxFlAxUV1e9IhA1ExK/BBoIH2Pr5&#10;8+c/+uijvr4+vV4PEshkspaWltra2oqKijJWpaWlxfeEjTU1NY2NjdgHe2q1WnwQnPjyyy9Bl+++&#10;+458C/SbAwNE2UBFRfU7FZCAqj3pTrh48eInn3zS29uLhACOD+vPzs5OT09PTU1NTk5OSkrCMiUl&#10;BSsJCQmJrIY3QpmZmYWFhdXV1VKpFMnEhx9++NVXX127do3kEAQ/REPf/ciLsoGKiup3pGGDRl0e&#10;VXv43dmzZ0+fPo0qv0qlampqKikpycrKIkiA6QMPeJmXl1dQUAD3xzKfFVawEW+lpaVhN+yfkZGB&#10;l9invr5eLpdbrVbkEJ999hm+Al+Erxv+6t+EKBuoqKh+8yJNNz/FeYcNGmYN+0OuYLPZ2tul5ZKq&#10;nLyCpJS0uITEhKSU1PTMvILCMkllTV19c2u7VNbd1aPoliuxZFcUXXIFtjY2t1XX1uOzRSVl2bn5&#10;qekZ+CiW2bl5peXl7e3tZrMZeMAXke/Fl0LkTMg5D7981ETZQEVF9ZsX8Vxi+sMiXkwsGCI73L59&#10;++bNm5cvXz537tyHH35oMBhaW1sLi0tSM7ISktPik1KTUjOy8wqLyyRVtQ2NLW3tnd1ylVZrMOvN&#10;VoPZqjcxwayYrWqdsVuh7pB1t7RL65taJNW1+cWl6dm5yWkZianpqRmZRUVFSER0Ot37778PQuAb&#10;L1y4cO3aNaQRw53VOKsHTxUi239FUTZQUVH95gVvJYKlEg29ZnX/y2+//farr746efKkWq1ubGwk&#10;LUio7Celpqdn5eQXlUqq6xpb2jtkPbIeZZdcpdLqdUazydpntvWbbX0mNrBu6R0wWnrxlkprUGp0&#10;crUWO7e0d1bXNxaVVWQyOURmcnJyenp6fn5+TU2NTCYzGo3vvfceGfM6PJYJ53b/+UPs6TMiP+3X&#10;EmUDFRXVb15DtnrPWLEy9AYrbIERX79+/cqVK19++eWJEye6u7tLS0tTU1MTWKWmpefkF5ZXVje3&#10;dfQo1Rq9UW+ywPcRBrMNSAAJLL39ZgRDCAYM1r5BBLYYrb2ABMJkBSosPUpNU2tHRXVtXkEh2ICD&#10;x8XFpaSkIIcAinp6evr6+j766CPwCSeDUwKryAhXcv7khO9f/7VE2UBFRfWbF0sERsRSibdCZB02&#10;d/bsWSBBp9Oh/l5fX19YWJiUlBQbGws8FBQUSKqq65tapF09Kp3BaLEhMyCOD7tnM4ahuJc0MAFU&#10;EGBgid3wKayDFlhRqHXtnV0NTc0SiQRflJmZiW9JS0sjPdXIIaRSKckhPvnkEwIJMuCVnDA5Z/wW&#10;sv5ribKBiorqNy+2iX6oRwFL0qkAw4WuXbv2xRdf9Pf3w5ErKiqys7Ph1KjIo1KfkZFRVlbW2tra&#10;3aNQqLVagwlIsPYxjg8k3GtH+ltT0v1suBdgA3Zm2ICXDC36BpBqaPQmlUYnl8vb29urq6uBBHwX&#10;vpGMfM3JycGZtLS0qNXqgYGBv/zlL5cvX0YOgbMlP4GygYqKiurfIMIG4qpwWNTEz58/T+a6gPlq&#10;NJrm5uaSkhJU4UkfQF5eHl6iXo/tcHCtzqAzWgzIGKy9bHsR02QEl8f6MBuGSYAgG4e3sC/JFtLu&#10;xGYVtl6TyYSv7uzsbGhowHfhG/G9IBOEc8jNzcXGjo4OrVaLkyQ3V1+6dGm4K2Lot/1KomygoqJ6&#10;REW8/kGRzAAarlxjBWaKLbdu3SKJwokTJ1QqFXKCyspKuHBaWhqoACFvQK4As5bJZNgBvmwwGExm&#10;K0kUwAC2pehvbBi2fpYKZAsT93hw//bhLSxdevttNpvZbNbpdPii7u5ucpc1vp0QIiEhAekLaWgC&#10;JHCq2PPUqVNnz55FGgFC3J9DQKRAyEbyq4dX7hd2IEUx9PqfFWUDFRXVIyrWEof8cYSG38ISPvjt&#10;t9+SXAFU+Pjjj3t7e3t6eqqqqkhzPywYwkpBQUF1dTUMGk4NJFitVtg3lhY2Xfj3hrW3D6eBgwMP&#10;RqMRvg8OKRQKMKC2tra4uJjcNwdIYEnOjQxnwv4nT548c+YMIAE7hkcjEyJeT34vWwDMYFyAcDhb&#10;GhZ2oGygoqJ6nMXY/8PYMPQ265UwQbjYl19+iRo37B7e2tjYiLr5cL8CnBfrpaWlcLq2tja4Mzwa&#10;Zk3A8IuyYejgFgvs3sQKZ0gIIZVKcZ6gF06MAAznCQEYJSUlOFXS1nT8+HH8tKtXrwID5PeSn48l&#10;AQDZQngwLFJobAn986JsoKKieqQ1wvvgkjdv3rzOCqZ58eLFc+fO9ff3I1GorKyEySYlJcXFxR07&#10;dgwrpD4OC25vb1epVEAC/BrVeYjlwpAs95qS/p1hY9gwLPKlQAUIQWiBTALpy3AakZOTA5LFs0pO&#10;TgYkkOIAdfjsRx99hN9IxrySW+dGIJOU0lAB/bT7w/+hKBuoqKgeUbG+x2joNSs44+XLl1GbJv3M&#10;cNiurq6GhgZUwEGCxMREOCwSBbitRCKB7TY3N2MHjUYDUx6BBGjIsn/Yl/DvifvYQL4FAhWQOgAM&#10;2AhO6PV6pVIJACChQRoBtiGHABXwE4AH/JyioiJsbGpqAkUANiDw9OnT4ASM+8GMCoUztMaKFNc/&#10;LcoGKiqqR1TD6cLt27eBhG+//RYZAxzqs88+g0vK5XJyp0JaWhpSBHZq1MTU1NT8/HzUuJEowE8V&#10;CoVarYYFAwzwYuLOsGYsiWtDzMZfPm8gImwgJwPhTPASpwfCgV5IfXDaNTU14BzpPyfNYhA4AdrB&#10;rLH/yZMnyTTgKA1kURDpkBjmAVZQdGT9nxZlAxUV1SMqeBzAAJO6cOECeIBEAbYISyUTppaVlcFA&#10;09PTAQbYKHKFgoKCiooKAEMqlaI+DsNFXRuCI+NTsOZhNuAlU41n0wjGo3+B/oZhNuD4EL6XnEZf&#10;39/6Idh3hro98BK+T9KIlpYW+HJJSQl+EWklA/bwG/F7kQmBHwAJPnLq1KlPP/307NmzX3/9NVAB&#10;SAzjgbKBiorqFxQshuj+NooHt/xc4bPDH8cKAEBeDh8ZS2yE2aFqfPHixY8//hiGDseHM5ZXSPIK&#10;i1LTMxKSkpNT0rKyc/MLiyuraxqaWto6OrsVSrVWpzMY9UazycyYPuP7CBuTHFh7+9iVXqajuLff&#10;ykQf3mXvSHjA3P/V6GfSESbYbydnYuvr7R/AV5Mt7Fs4q352S5/ZYjOYLDqDSaPTq9Tarh55a7u0&#10;pra+qKQ0Iys7OTU9mZkLnLk3AiAEORobG5EYoWRIh8T169eRPTB5FtsdTZakhEmpsuX9A5Hdhl78&#10;UJQNVFRUPyoYyrCGNv072ICPExcjhxoeb0PajuBKly5dgtl98sknpFNBrVY3NzeXlpYy4z4zs1Iy&#10;spLTMlIzsnLyC0srKqvrGtuksi65UqnR68GD++5He8CvfzOBkzeYrSqtobNbXt/UWl5ZnV9Ukp2X&#10;n5GRkcI+YgiQyMvLk0gkIISWfeQcCPH555+j3EDTq1evAqvDBTssUuDD69gBAB66Kj8UZQMVFdXP&#10;E3GWoRf/lIgrjXAubAQYYGpnz549efKk0Wgkw3gqKythgqgsp6WlYZmelU2QUNfY3Nohk3bJZeyM&#10;F2qdEWYKV7X1M7Pg3e+zv8UAG4yWXr3JotEbe5QamVzZ3tnd0t5RU1NTVlaWn5+fyQ57JQ8UKigo&#10;wEYkVR0dHRqNpr+/H5y4fPky/B0AHipfVgwZ7rGBCC+HrsoPRdlARUX1o7rfSoY2/TCZuF9Db/8E&#10;wbAAhmFXwgqocO3atfPnz585cwZVYFABTldUVJSdnZ2cnBwXFxcfH4/6MnywqLSsqrYeiYJSy2QJ&#10;RosNBqo3MStmWx+oYBs4bmXwMNJtf1sBNgzdqm3tvTfVq01nNKFkAID6+nrS3QI8oFjIyNeEhAQA&#10;A5mEjJ0P/PTp00gjvv766/sna4JGXKkfu3CUDVRUVD8q1vNHUgHOTvSg0fwUDTsUlt9+++3Fixc/&#10;/fTT999/H7Vd1HnJ5HSoCCNDABVgfFiBCZaWlmJ7Y2Nju1SGRIFpPjJZWRgwE1Qwsxgx41CHW5OG&#10;Jzsa6bm/nXjw5zCcMNx391xTUxPKBDAoKSkhEIWAT5RVVVUVnJ2kEb29veAEsrFLly6BELdu3bo/&#10;Y8NVGLowPxRlAxUV1d8TsQ+QAIYCZyHmQoR1mDsZWgqR9X8omA52xhKJwrlz58j9zC0tLbC5/Px8&#10;kCD13uP7ycgcMmVpT08PbI4Z8Wk0s4mCxWBmpsaDY7IeOmSm9zvpb5wNJIZ+EUkgTFZmOJOZvcta&#10;r9ejQORyOTIJlA8IQdIIlBt5aASWKEzkXmQqDnwQRY00AoQgN9CR1I2ygYqK6mcLxgEHgU1cvnyZ&#10;zFaEOv5f/vKXM2fOfPjhh6jsnzhxYmBgAFV+CCs/RWTwKGS1WnU6XWdnJzyINB8xo3BSU8lo1GL2&#10;5jVS+SW3NMMTYXCEB6xRMkEwABu914hEqtvsZHk/MNnfXuAn/PBHMWOZUG62e0NgQQgUCyBBboyo&#10;r68HX4fvjYDABgiZBAqTTC+IAscHjx8//tFHH3355ZcXLlzAlR262D8UZQMVFRUjUn8k7QwQ1kEF&#10;6OrVq1999RV4QO4tgLnAYqRSKRmDTxo0ClnBgEYIjo/tMHoirGPL8DqWcDHSpwokYMl0J7D13NbW&#10;VjBDqVSSXIHckQBTg5hhqahK37NLtlrNwGBEPAZseFj0E6wSPBChTEAIcvccIApOgKZNTU1ksqac&#10;nByUbUpKSkZGBtbz8vJQwngL+wAqBBLDg5rwb2C4qfDKlSvAybx58wAGoVAYHh6OhIOygYrqdyeC&#10;BBgE227EPALhs88+I0iA+2i1WpgOmfynrKyM8ABeQ4ZUJrKPrIHYe5MZYT2ZfZTNsEhDR0xMzLFj&#10;x8iSiDR94FD5+fnl5eXkzjV4HJwLxkes8H6xSBjhmL+fGGLD/WJunLsvk0C54WKhAEmHBOANBgO6&#10;uFIoZ1wUwglcPqAdmMfO7733Hpn2FWkEkoNr1659++23X3/9NckbuFyuQCAAG5BhUDZQUf0ehQrj&#10;9evXSfPRqVOnUG0nvZ2ofsJK4N1wcFTzs+8TtpAVGBB2QB6ALVhiHR/BCiqqWMcS9gRXAgnAg6P3&#10;BGbgXXwFspD29nZYlUKhQP0XFWE4HSxvyP/uE2XD3xcggTQLBYhiJHdZg+jIAJCNIV0giRoggWSC&#10;ZBK4cHgL5S+Xy/GpwcFBwgmosrJy9uzZHA6Hx+OFhoZSNlBR/R5FuhZQZ4QpnDhxAlkCrISkBTD0&#10;+Ph4+DipdRLfLyoqQgKBail2g7mjvg8DwnJYqHUiycBbsBjsif3xQZgROQhpQSouLm5sbIQrGQwG&#10;GBOqvUAC3I1QgbLhgfjRvAErfazIFpJG3M8JQLerqwsYQHIGHoAQuAokn8MStCCQ7uzsxLUYGBhA&#10;MoEts2bNQtIANgQFBVE2UFH9HkXGHV28eBE1R6QL8AVkA8MmjvpmSUkJMADTRz0UQjVfKpWiWgrH&#10;6e7uhqdgBS4PYaWtrQ0HARsqKirgRDgUOQigAh5gI8iBuio+TvqZQQXS1TwMhh8TZcMIobjuLzoi&#10;vISwgh0ADLyFQtaxc9aSviJyaXBNydUBKlAPwAUiY4WBeVygd999d9y4cUKhkM/n+/n50f4GKqrf&#10;o27evImK4UcffQSXT01NPXz4MKqTpGpPOocBAJgLXAb1SiLYzbCGX+r1etg9TB/wgPXAbkAX5ApY&#10;gjeotIIZeHe4k5n4GtgwjAdo2OaI/d0vyoYRQimRchsuNFKGENbv34dcIBQ7rpFarQbFca1xmYB8&#10;XGVca9JrjeuONDEmJubFF1/09/cHGJA3+Pr6UjZQUf0edfXq1U8++QTGUVlZSZ6Ng+okrLyxsRFU&#10;IFYOu+nv7ycNF8RxiEi1VKvVwm5ItRSfQt2TdFkDCVjiUNgCJ+rp6cGeOBQ5Aj47LNbQGBGzw7vk&#10;i+4XZcMIDZchKS4sSRlihWy5fx9cOzLgGBsBY9IngUuG6zU85IxAAv8GXnrppcDAQIFAwOVyPT09&#10;KRuoqB5zkSFJZKji0Ka//vWbb76BZSA/gDuQBujq6uq2tjbYPaqZpL4JN4G/9Pb12/rIDKY2k8Vq&#10;MluMZotcqWqXdtbW1ZeUlecVFObmFyDKKySV1TV1DY1tHdJuuUKj0xtMZvyH/S1WZjJUZi5SrLAT&#10;ow6/xGHNFiaGt98ffZbTvaYPbaZTfZb3+6zvWc0DZqPViBNE4OhGi8loMxl7TYY+vcWm7+019vWb&#10;+gaMvf0IE+yVHdvKzs9qg31aYZu9Ngu++gcW/MgGU+w/FjY2UGikDJn1B6K3b6C3nwlcQeyDAtMZ&#10;jFqDXqlRy5WKrp4eqawTaAfFi4qK3nrrrfCwMCEfcOD5eftcukjvb6CieqxFwEBGsg9v+eqrr1Cd&#10;R+0+LS0tPj4+JycHHqHT6cADUutEXR4rAwMDJlvf8DRw3Qq1tKunTSqrb2qpqq0vragsKC7LKyzJ&#10;LyopKC6tbWhqbuuQ9SjUMG4LLPjfUOU/YfpyUHtuQPuX4/q/9One03UbZC0dDZXVzGD+gsLivIKy&#10;goraioaWus4WaVe7WqlA7bi3V9/bjzCyRzDb+k1ITSygg7m319xrM8FI7/+K31WgNAw2i7HXarJZ&#10;DRazRq9TKBXIFJFJvPvuu1ERkUIuz1ngFOIfePkCZQMV1WOtEWzAS6x/9tlnMpksOzs7Li4uNjY2&#10;Pz9fKpUCBszYl3uPo8HK8ePHtQYTqKDU6EAFuH9RaXlWbj4iJ7+wsKS8oqq2rrGltaMT7/YoNUqt&#10;XmdEzR4ezNykZrL+q1NZ9FtO9htP2vQDFn2fRqFvqG7MTMvas+ud1197fcWy5QsXLFi2bMWGjZsP&#10;HT6aU5BfWV/b0dOtRkJhs5pRce4bQKJjBBmsTIsWqtG9vchOkKL8jtnApFNWc5/N0o/y6TVamEfR&#10;oU7Q09MTcyxmYvR4Jx5fzBeG+AdQNlBRPeYaZgNW8BLrt27d+uijj1BVTExMPHLkCPKGsrIyhQJ1&#10;7qFBpViSZiWoS65CKtDaIaupZ8CQlpkTn5SaDjgUlUiqa5vbpT0qjc5kIdOIwnrY6fAGLX1kblHm&#10;ruYR9vSzwmbu6zX1mXUWVY+6qa45PTXj7S1bn1m8ZNLEyb6+vs7Ozl4+PpOnTV2xauWud99JTE0u&#10;LC2ua2rs7O5SIweyWBEWK9MKT4DHIM9mYZ6x88AX/U7iHht6rQN9NhYP5HLr9fqkxMTJEyY68QQi&#10;voDJGy7S/gYqqsdXw2AgbIAAhhs3bnzwwQc1NTWkFzotLa26ulqlUjF9mmzPMMCgVCrb2trq6upK&#10;JVUl5RKkCAXFpVgWl0tKKypr6hsbW9o7uxUqrcFgsZH84N6EdwQGw8t/iQ2WPrmlXyrXtJZV5R2J&#10;jXn5tQ1TZz3jFzLZ1SvSUew9iu9m7+zsGuAXMD585qzpy55ZvP7FtXt2bM9ISW6srdGqlTaLCe7X&#10;zw7rBPhMJoBiwPZ4TrDxkwIXyGCzMM1KNiRTNrCB6ZXo69NqtagiTBgXLeDwkDqEBQZf/obe30BF&#10;9fiKsIGIrH/77bfXrl07efJkVVUV2JCQkJCbmws29PT0sAZq0ul0yCEABolEkpeXl5LOPHktIzu3&#10;sKSsuq6hTYpEQqvS6rUGk95kJZkB2MA+coDMiNdnGpoRj8khRnjTz44BuXWws0Vavf/orqUrV46d&#10;OF3kHuIoDHB0CrIX+dmJfOyc3excXO1cRSKxyNvNLTI4eMHs2Ztefy0zJbmtuVEp79Zp1QAefprR&#10;aDYZkTMMWHspGxg2mHsZPBA2aDSa+Lg4wgYRTxAaEETZQEX1OOt+NuAlljdv3rxy5crg4GBFRQWq&#10;iikpKYWFhZWVlS0tLd3d3UBCQ0NDbW0tyFFWVoa3gITisgpJdW19c6u0q0ep0emMFngsmyswjUhg&#10;wL2kgaECiXtvjfSmnxuGfpl+oEXSVPryppfDJ8529Z3IcZ40WjB5tHDaaOepdq5TnnKL/JNz0P+I&#10;vPg8Fw++i6+Le2RA8LwZM958+aUj+98tzM1uaaxXq9VWq81s7jMZe83mQbNt5Lf8foJpU+qzmXqZ&#10;MDNDtobYgLwhMSFxysRJIr5ALBDSNiUqqsdHTIMRq6HXrEhrEhHeIjOtXrhwobe3F9aPpCEtLQ3J&#10;QUlJSV1dHXhA7l+DiouLAQxsbO3o7JB1dytUSjZX0BnNLBuG84OhViO2mwHu8zdO/Fw2sHOpDj3+&#10;DMc3mG0IlVkm0zZkl+QtX/eCd/A0gftEocdcvvtinvsSruczHK/F9l6zn/SY8kfXKKEo0NPJ11Pk&#10;5Sn28vf0GR8xdu6sWVu3bM7NzuzokJpMSBp6DXqbyTRosQ2S4w9/l4X0kTxwSo9f4KKY+3vNfUxY&#10;+nqH25T0en1yUtLUSZMBBrYvmo5ToqJ6XETAAA29ZkUyBoh0M4AKZ86cOX78uEKhABJiY2OTk5PT&#10;2UetkdtlySR6yBYkEklTU5NUKmVGHzGPXWN6mxlzYZ+mwCJhpO/8i0HYQLiCr5OrNEhTqpqqskuy&#10;tu89OGvBc86eU+2FkwXuS5y8XhB6vSj0e1ng/5Kj78pRns/+yX2+QBTtIQx1dwpw5nmL+S4ezmP8&#10;ff0WzJ+3betb+EVdXd06rUWvsxl0A3qDTaHW4fjkRxnMVjimtf93wwYWDMNsIPfL6XS6ob5o5A2k&#10;L5q2KVFRPU4CG0CC+wmBdaQLV65c+fzzzwkVmpubKyoqEhMTDx8+TLocgAekEUgasL2hoaGtra2r&#10;qwt7Ms9U0BvJsFQmP2BGH/UxQ1R/ATawfRXMt2Cp0urrm1rzCov3HozZsHnHoqUvB0fMEjhPcHCa&#10;LPBYKPR+3slnjdD/VWHgel7g645+r472eYnvusBZPF0kiubxwjk8b4HQy8XNKygkbPbTT2/atAW8&#10;65KpNUpzT6ehta27obmtpV2K34YfwuKBySFGnM9jGZQNVFS/O4EBd9hneUJYh0iucO3ata+++uqD&#10;Dz4wm81w/JqaGuQHmZmZ8fHxyBtACAhsKC0tra2tbW1tBRIM7IQZZMASmyUMPWoN8cuxQW+ysnfY&#10;mTq7FdV1DSnpmdt3vfP8qvVz5j0fFjnX1SOa6zTO0WmSo3gWx30Jz3MFz+dlfsB6ftAmXuAmTuBm&#10;kdfzLm4LRS7TeMIJjnx/Dt+HK3Rzcnbz8vWbNWvO229ty8suqa9pb6yVVVU1lkqqJNV1bdIuYA+/&#10;hbKBsoGK6rEVYPDdvccCYx0rly9f/vLLLwcHB7VaLXIFZAbD03CmscI6thQVFZG+aLlcrlarCRjY&#10;uwGYO+BgKCwVBkmLPNjwC7Upkb4KgCEnv2jPvgMvvrJ+9tz5E8YtDAuc4+E+1kkUyHXycRR524m9&#10;7NxC7D0i7TznOPoucvR7iRPwBifgbb7fRr7361zP5x3cltq7TrETR9k5+doJXPkuHv6BobNmzX/z&#10;1beSYzPrylurKhuKyyoQlTV10q4encmCH0X499gHZQMV1e9O4AHbs8CAAQkEwHD69Gm4fH19PRKF&#10;1NRUZAlxcXHIEpKSknJycsjwpMbGxs7OTiCB3Pg2LFCB4IH1FNLDTDoDQAUSPzCdfz16B070Dhxv&#10;bGnb+c678xc9ExE13sPLx00c5iyMEPD9eDxfrtMYR9EYO7HHk2KfJ5z9/+Qy5UmPWU+OWTXa+2U7&#10;n008v008nw1cnzVc75U876c5HpPtXQJGC1zthc5OYjcvb/9pk57e/Pr2goyK8tKaotJysKGwpAx4&#10;kPUokD3QvIGygYrqsRVJF65fv37u3DnyxJ7a2lpgIJ19POTwkKRy9mGcTU1NbW1t3d3devZ5nIQE&#10;ENaJsA7XgGkiUTDeu33hl8kYmFDrDGqdsUxShYwhNCLKbYyXUOzixA1w5oS5inydRV4CZy7H2c7e&#10;9YknXe2ecHX4g6vfn91D/uy+4CnPFaO914/2ffsp7x1PMSvruQFLHX3m2LlH2Dv7OojcHThOHK5T&#10;gFfos/NXvPvWwdSkrPyi0pJySW5BUW5BcW1jc5dcqTWaR5zPYxmUDVRUj7PAAGh4neQK0O07d27c&#10;vHnuq68GBgfa2tuLS0qyc3KSU1PSMzMKCguramraOtq75T0KpVKl1pLQMpOlMhNLYMnMhMpOhkrm&#10;+CTBsoHBAxv/nrsWrNYTNusJq3XQah3A11nYgfaynp7m9o60rIJnl68d4xMpcg0SuYYKnac6uc4V&#10;j5nm5DGJ6xZk7+I12sXlKWfnp8TiJ0VeT4l9RztHObhO4Xo87Thmuf2YFxzGLON4reD7LeH6LLTz&#10;mvXUmClPuI1/0ingT3wfV5cxE8aOX7N4we5t27NzCiRVtXkFRZnZuaVlkubWDoVaazLbmFumbf0m&#10;c68FaQQo+IuB8NcKygYqqsdZhATD66SPAXy4cuP6l+e/On7yvfZOaVZuTkJKcmZOdlpWZn5xUU1D&#10;vbS7S63XGixmo9UywjL+w9Fv+mDA9GG/5USfZQAGZWOgY+xRyytqqw7EpM9euEbgMoHvPFXsPs/O&#10;54Wn/F4d5bt2lM8aO69nR7vPHe0yzV4U6eAUwhW4c3guQj5fLOS7OvFF4iChc7ST80SR62SBx3yu&#10;17NP+a393z5r/2/vF/639/z/1206V+zk6yOaG8V9ZdXi5KS0qsraosLS3JyC/Pyi6qo6qbRLqzX0&#10;9x+3WfsNBrPF3GsDGKyUDVRUVL9BEUgwYLh7F0nDl1+ds/b3NbW1wvFiExPAhtzCgqq62oaW5s6e&#10;LpVOozcZjY8AG/pM7/ebTvdZTvRaBpjn4bNskMq7iiVlew4lzpi7gi8eJ3SZ6uY139735VH+G+z8&#10;XrPzfdXBZ42D53JHj0UclxmO4sk8YSiXHyzgewv5niKBJ4/vj5c8QZjAKZLrMp0zZsFTPiv/4Lfu&#10;f/m/9N++i/9/brNGC13ELk5RPvZL5s3Ys2dfdnZecVGZRFJdXFxWWFjS0NCsVunAA7CBfW5FXy/y&#10;m8fuDmrKBiqq34UIFUjqcPXq1Q8+/qijS5adnxefnJSQnJSTn1dZW9OlkCs0aq3RACQwjy+wWX99&#10;Npjf7zffzwaztc/ULpPmlxTv3Bs7dfZSvjjKyXXqGN+Fjn7rR/lvdgjY4OD/JsfvFa7vWr73Cr7H&#10;Ap7r0wLniXyncQJ+iIAfKOT5czi+DhxfR44/lxfMEU3iuM8Z5bPiz4Ev/p/gV/+P/3P/5TFvlNCD&#10;5yTyd3lq0tiwNavX7X33QEF+cWtLR6WkJisrt7KyprtbwWQMFpxQHyDR1zdoe+DMf+tB2UBF9bvQ&#10;HfapDGDD9evXP/nkE73ZWFFdmZKelpqRnl9cVF1X29Yp1Rj0OqQLDA+YeTexZCfSGeka/8noNZ8E&#10;Hnqtx3utYINtiA1dnYVlJe/sj53x9FKBOELsNtHTdw7H79XR/lscAjY7Bmzi+r/B9VvP83mJN2YV&#10;z32FwPUZvnghT/g0hz/DkTuVwwngcD24HA8+z1MgChO4T+b4PDMq6IU/B7/yx4A1/9t7+WiXaEdx&#10;qJvYw8fTb8L4ycBDWmpmV5e8rq4xJzu/oryqtbVDIVczc7Xa+pE09PUOPn4ztlI2UFE9ziLtSFgh&#10;bMDK119/bbaY6xobsvJyk9NS84oKaxrq2julPSqlgZl+1Ix0wdJnG4pfmw02y3u9llM223GbbQDe&#10;ZOm1WPrMPWqlpLbmcGzavMWrnd2jxC7jXT2mO3i/NNpvk73fRnvfDfber9l7vuTg8QLHYxVvzEqh&#10;x3NCt2cFzgu4wjmOvJl8QbBA4CngefC5YwTCUKHbJK7P4tGBa/4c9PKfg9b+0X+1o9d0nvs4V7GX&#10;2MltjIf3tKkzDx082tEuq6ttLCoslVRU19Y0tLVJAVKbtZ8pLCwfOPPfelA2UFE9ziKNSFghSQOE&#10;pKGzszO/qDA5PTU1M6O8qhIZg1KrIe1IDAwYL7CZbczDIBlOPOAa/9GwvWe1nbTajlttA0wq0wcr&#10;tiK5aW5vS0nPf+75l8Z4RYmcw0TOkQ5ez9r5vWDnu9rOZ9VorxVPuT/3pOsSe/elnDHL+J7LBVi6&#10;P8txXmTvNJ8vCuM7eQq4znyOWMj3dHIO5Y+Z7uj/3KigtcDDnwJetvdZauc2lyOMduR6CgSi0JCI&#10;bVt31tY2SCTVpSUVlZIapA719U1qlc5q7QNLUXC0v4GKiuq3JMCAzKs63NnwwQcfNDQ0pGVlpmam&#10;5xTk1zTU9ygVAINtoM/az8QjxQaz7QTwYLEN4vxwYmaWDQaLWSaX5xVWrH3pzYCgSc6uoSJxiIPn&#10;PDufpaO9nx3t9cyoMYuecJ33J/HTo1zn27sv4Hgs4nku5o9ZxHNfyHGdx3eO5Ip8BDxXHsdZwHUX&#10;CAN4rhMdfRfbBa56IujlJwJfsfdZPsp14Wj+BDuOF48nDAoMffONTUVFpeXllQADGbYETijkaput&#10;32y2MXh42Dile7cBMvFL3AP4iwZlAxXV4y8mX2B1/fp1/HlLKiXxyUlZebmlkorG1ha1Xos/fgYD&#10;rAuMjAdc4z8Z5t7j5t4T5r5Bc9+Aua+P+JTOZNYaTbV1Ldu2vzt9xiJf37HubiGOYybYeU1lwnPq&#10;6DFTnnKb9ITLxCecJz7pMnGU6xSHMTM4XrN43k/zfebw3aM5ziECwRge182J6yoUeHNFYY6eTzsw&#10;qcMro4PXO/itHeW+bLRwjh3HX4AsIyzylZdfS03NABWaGlurqmpzcpB3lXZ1yZleaCuDB+YuhwdP&#10;np2eb+gZFWSmDXZy8vv3eWSDsoGK6vEXqIDs4datWxcuXNDr9UVFRQnJSXlFBdV1tR1dnXqz0doP&#10;Nlj+xoP74wHX+E+GEdE3aOzDcsDU129i8NBnYp4X1NvZ2RMfn7Jq1UvR46aN8QjkuIY6uEU6ekRx&#10;PMY5jhnn4B5l7z7Wzm3saNexo1yj7NzG2XtM4HhP5vtO43pOdXCfzBcF8/i+Tlw3Id+TJwx0dJvq&#10;6LNwdMALDkEvcfzX2XuucBAv4ghCRE4u4WFjX3rx1dSUjJrq+va2zpqa+uzsvLy8wo4OmRVIMPcy&#10;bUo/kjcMs4FZuXdX4IjdHs2gbKCievwFNty+ffvGjRtnz55VqVQFBQXIG4rKSpraWuVqFTIGWz+c&#10;65FkA6jQP2jsJ2xg8GAGIay9Flu/UqEpyC9+a8v2WTPmerh6O4p87cUBHNcQnnsYb0wE14MJB/dw&#10;e7ewUa6hTzmHjHILd/CM4vlO5PrMdvSaK3Qdx3MKFfE8GDbwfe2dox3GzB7t97xj4Dqu/4uO3qu5&#10;bkt5TuFikWtYaOSL614BG2prG2SdPQ31zdlZeTnZ+S3N7UaDhbkNxIwSHHnmCNKUxJgsZQMVFdUj&#10;KLABScPVq1c///xzsKGwsBBsKKus6OiSaQx6/OXbBmC4jyIb9H39+v5+Q/+A4V7qYMaSnaZCpdKU&#10;FJft2r5z/px5nm4ePK4PnxssFIaJRZFil7Ei1ygntyi+ayTHOXy0OPQpUcgo51AH90ied7Sd79In&#10;fV7geTzNcZ4mFvgJ+d4CnqejMNTBdYKd9yKu/3K+30qez3K++xK+U5hIxOQNL7+8PiM9u7Gxpadb&#10;2dzUlptTADwAEhq1XsdMv2f7sXFKzBPumHYkEiwqfiOza1A2UFE9/gIbvvvuu0uXLp05c0Yul4MN&#10;CSnJkprqLoVca9Cbe23W/j5mkNL9SBiOB1zjPxm6/j7dQB/wgED2gNTBTCYAt/Z1SrvS0zI3vvHm&#10;7BmzfMZ4Cbl+Ak6IkyBc7BQpdh4rco5yconiiSM4onA7Uegop5BR4lA713AHj7GjfJY+4fciz3M+&#10;122WiyhILPRz4ns58IPsRVGjPeY5+izhei/nei7luizi8oORN0SPm7h509vFRWVSaZdKpe1olxUX&#10;lwEPSCMUcrVapUPq8FA2gGFk2kGskP4G9mGov42gbKCievwFNty8efP8+fMnT55sa2vLyspKTEkm&#10;N0Jr9Dqj1XJveNLD4gHX+E8GwKAb7NMPEDYMmphO6UG90apU6STlEiQNzyyYPzY81NPN2dkxzNl+&#10;git3khtviotgslgwSSScyOWP4/CjHIVRDk5R9uIo5lENzlF/9Fz9P76bHb2WOXosdnWOAB6chd6O&#10;fH97Ychot+mOnnM5YxZz3BZwRE9z+AGuLh7Tp83au/dAQwOTJej1pq4ueUV5VX5eEdjQ06NUKbVG&#10;g+WhbUp6k1WtM2r0zKOzDWYr25rEpA4jdns0g7KBiupxFqhABDZ8+eWX/f39jY2NqampiakplbW1&#10;XQoF7I5hQx9sCxh4aIx0jf9k6Hv7kC6YB+71NNj6DBZLt1xV39ickJCyatULkeHjPNy8xE6uTvwI&#10;J94EEX8iS4UJTsLxToJoDjfSkRfpKIzmiMbbiybYiSaMFk38H891/+W7bZTPC6O9VorcpjiJo5yE&#10;AVyBv6MwEPzguk3keUznu0/nuUwWiAK8vf0XLloSG5co7ew2mWwIuVxdU9tQXFJWXVOPjXjJPOLI&#10;9rcRq+TMQQKN3titUPUo1UotCGw2WGxs9jCiWekHn3p0grKBiupxFqhw584drNy4cePzzz/H3zbY&#10;kJ6enpSaXlPfKFdp2Udd9j26bR2GvgHre4N9x3GKNqvZaNTJFTJJVWVsfPzal9+cOGWOi3uEIy+A&#10;7xTBdZvg6D6J4xrNcRnHd47kiyOEoggON5TLC+c5TeKJJjs4zXAQzXJ0mf9fPlv+r4CD/x24/X8C&#10;ttp5PT/adT4SCy7PT8Dz5POchQIXZ3dv78Awv/DoiPGT58xftHHL1rzCYrlKAwfXm63dSnVjS7uk&#10;ura8srqmoUnaJdebLBa2F4RtO+onj73DRlChpaOzuV0KQqCckUYwvejsY65ZGGBP/EYGeGxK8cMf&#10;/msHZQMV1eMssOH+aZRMJlNtbS3YkJKeVdfYrNToYGGsncEOHsW2jn7b8cHe9/psvRaT2WQyqNTK&#10;puaGIzExq9euCxs7xXVMsEAcyncKFYiiOK7jHd0mcFzHcVyi+OJwvihM6BTG44fxBeF8p/Fc4QR7&#10;4VQH0QyO2/z/47/5/wk+8MeQbX8Ketvee4Wd21xHYaQjx5vr6AY2OAldPbz9x06YOm/p8+s3vHXg&#10;8DGAob2zCwVltNi0RnOPUtPS3llVW1/K3CJdh7cYvjKOP5INHV09FdW1lTX1bZ1dKq1eozcBD+yY&#10;JdIJwQT2fDTBTNlARfU46342fPTRR0qlsqKiIj09Iz0rt6G5TaU1GMxwK4YN8IIR7vAoxEDfieP9&#10;DBtABo1WVd9Ql5SS+OIrr46fPFUg8nHgefIYMERyBVEOLuMd3MYDDBznsTwRcoUwgVMoj88E3nUU&#10;RNkLJ3NcZgm9Fv05aMv/Ct3/ZOi2J4K3OPosd3CbwxFG8vi+Qr6ns3iMv1/IhCkznlu1dsvufalZ&#10;edV1jV1yJTzdaO01mG3IG+DyMP3ahubCkvLicklLu1RjMN0bpfoDNgAJxWWSknJJXVOLrEcJEuMI&#10;hATDhGCyh/6hJ2w/UkHZQEX1OAtUIAIbTp061d7eXlhYmJGRmZ1X0NzWoTWYjBbWnsCGR/IR+SaT&#10;EVQwGvUKhby+vu7osWPLnn9+/OSZnr6hXKE/zymILxrHE0ZzBRMcnKMdkDQ4R3DE4TxRMN4SCAN5&#10;PH8Elx/qKAh3dJogcJ/h6r/QLvg1JA32oW/YB6/n+T7DcZ/JdQp3cvIXCb29vQLmzV20YcvWo/FJ&#10;2cXltc1tXXKmOQgmDoiyHO2D6ctVmsaW9vyikpyCoobmVrXOAHI8yAZpt7yiqra4rKKypg6pRo9S&#10;jczD1n+c3aGfwQPb/XD/7310grKBiurxF9hw7dq1EydO1NXVZWVlZWZm5hYWt0pl8C8WCQwbWJ8a&#10;aRC/ehiNwJdBpVLU1dckJSWue/HFkPAIkas3V+jBEQQ4uYQLxON5wvF80RRHsMElytE5whFscArm&#10;CYMEggCAgc8P4AuxJYIjAhumO/vOGxXw0h8CN48OetUu6GW+72Ku+0zkGU4if7GTd3hY1MYNb+UV&#10;lzV1yDqUGoXWqDUw/QTwdGQMhA1YqnXG1g5Zdn5hamZ2TX2jUqvHDg+yoVuprm9uLa+skdTU1Te1&#10;4CNylVZrNAPJeBdUJoWPjyDu/9WPQlA2UFE9/gIbrl692tfXV15enpKSAjwUlJR1dPXA0Zg7s/qY&#10;Jm/S9v2ohdli0GgV1bVVh44eXvvSy5OmzXZx9+OL/R143va8EKFLtNBlKl88hS+e7ugc5cAkDSEc&#10;UTBf6McX+AgF3mKRn6tLkKtbuLNrOA/vOkdy3caPGrPgCe/lDr5LOH5LnLxnCj0mOrkEi5x9Pcb4&#10;z5w158jR2MbWdplSrTSYtEYLcgKFWqvU6DQGE9OmZLLoTBbQQtrVk5mTl5CcipwAOwAYD2VDQ0sb&#10;dqisra+ua6hil4AEMrbObgWObED5UzZQUVH9KgIY7ty5c/nyZavVWlxcnJSUlJ2dXVxW0dktBw/Y&#10;5m8YEzsRxQMG8Z8MGCt7JmSqiaEtckVPQ1NdbHzs86tXR46b6DoGVHBz9ggXuoQ4CsIFztFCV7Bh&#10;Kk88zUEc6SAOAxg4ToE8gY9A6CMW+XiOCQnwjw4MmjzGO0rgyjQ32TmFP+k284kxi+w853K85zt5&#10;TnXyiBa5hnh4BoeFj1++YnVyagYq+22yLplK3aVQt8u6Ud8HCZAcAAkAAwKQQOmBDfFJKZLqOrlK&#10;w7Y7AQwMG9iT72fYoFCBBBKQrbYehMgvKs3OK8grLCmTVDe2tPcoNTjOvdn3hn7yoxOUDVRUj7nA&#10;hu++++78+fP4q87JyUlISMjPL4BVoepqtPRa+weZMZS/wjBWdqKhe7aIujZjlOw6uZdYZ7TIepTF&#10;ZWXxSYmvvv7mxCkzXMcE8py8Ucd3co0UukbxnSfwnCdwxZM4CNFkO0GIgyiYJw7iivz5Qi+PMUFh&#10;IdHTp81dvuyF1WtemzXn2fDxTwdETHf2GccdM9HObdIocaSj6zihW7jLmAj/oOgJk2YuWrxs4+a3&#10;klPTK6qr61taG9vbaxoaYevw9zapDBV90j2jN1vh+2BDTn5hSnpmVW0DzlOF96x9tv7j+EWkF4Gw&#10;oa6xubSiCngolVRh57jElNSMLNChoblNqQFrHsV2PBKUDVRUj7MAhrt37xI2aDSazMxMsKG4uKS2&#10;oalLrmTY0DfI1nb/8ybFdsZa+4zWXqPFxp7JQO/AcSzZBn1Da0dnQXHZtp17lq9cExE12cXdX+gc&#10;IHINdXaPErhEI7jOEzjO4x3F4x3E0YhRvABHUZDQJYgv8nN28Y2MnLzs2ZXb3t6ZlJCWl1caG5e2&#10;cevepatfHTt1gUfgZJ77WHuhP8LJLTAwdNKc+UvXvfTa5re3Hzh8JCM7p7C0pKisLK+kOL+ouKi0&#10;HM7e2MJ0SmsNZpw2rB8nDN8vLCnPyMmrrmuQdskVarDMZusfZCyVLUywAcyoqW8sKa+sqKotrahM&#10;Sk2PiU8EG7De3NZBcMLicAiQj1RQNlBRPc4CG27dunXz5s2zZ88qFIrU1FSwoUIigTeRYTPw4l+L&#10;DQizjdz5BTz0skN9euG/ODGcXk5+0a49exc/uzI8ajJf5GPn6M4XBTm7jxO5jue7jEfSwHUez3GO&#10;dnQe5+AcZS+OtBcGcsVIKYJELgEBARGLFz33zs49hXmF0japVmfslPXkl1a+ezhu5csbps15NiRy&#10;mqdvhJd/ZETUlPmLlr325pbDx+JS07NyCgpKKyrKqiSlkooCEKK0rExSDfdvbpN2K2H/ZtIEhHNG&#10;FgFm5BWVIG9o7+zqYbIAy/AAJPxAHZNbKJB2FJVW4CDFZRWJKWnH4hLSMnOQtLV3duMDbDMUs/+v&#10;Uf7/ICgbqKgeZ4ENN27cuHTp0scff9ze3p7Eqra2ljSDMH3RsADWo7Ec4Q6/aIBJqGUjCJzgkrBX&#10;nBVq6LDR+KTUjVvenrtgUShj4uP4ohCuMFggHid0mSgQT+SKJ3GdJ7JUGGvvHGbnHGznHMh3C3Vy&#10;D3MbExoSNumZxcv27N5bUlDU2dZq0KqtNqteb2jtlBVXVsWnZ+3Zd+DNN95cvfqFV195bdfuPXEJ&#10;idl5+ZKamobmlqb21vbOzvauzrZOaau0rU3aCROHxQNXSGXg/mAYU1y9/Si9+qZW5ASSmromfKhb&#10;Dq9nOxvYkuwbQB7R0dVTVlmdV8gkH/nFpQnJYAO+qwCoQRaCo5EfTmJE+fzqwfxMygYqqsdVYMO1&#10;a9c+++wz/FUDCYmJienp6U1NTbA21NDBBhYJLBv+o1VXZtQsDBRfSoaEytXaDlk3quew0QOHj768&#10;/vVZc+b5BgQJRAECEVKBsSKXcULnCQLnSQLxZIYN4kkO4nH24rF2ziGjnQNHO/s7iv2FriF+gdHz&#10;Fj2/a+feksLS7o5Ok07bazbarGaT2agxGhR6XadaU1tXl5OZkZSQkJeTU19f3ynrUqg1AKXWaNKZ&#10;THozEzoTXurg9kxCwwbOkx3GyoxVxWnjnFs6OiuqasuramrqG9ukMsCD9DSQX4ckA/lEcZkkIzsv&#10;O68QSADwEIUl5diu0OjI9EpMzsTeG/FAEf3KQdlARfU4C2y4cuXKqVOn5HJ5aWkp2JCTk9PW1g6P&#10;QzBsYMfVwAj+k+OU8F1wRlSclRo9atzIFarrGlDFLiqriIlPfOnV16bPnhMUFuHq4cnhB3L4oXyn&#10;cULxRKHzNIHzdL54Okc02VE02V4caScOBxVGOfs85eLJc/H3DZ68YPHKbTsP5OUWdrS2GzSqAZtp&#10;wGa02gwwYUu/1dRvNQ70Kno6mqtLJSV5iMqK0uamBrVWwzwcu9fKTFTe32vtt1n6sG4224bGmLIN&#10;X/d8nOlv6FXrjdKuHpx2SbmkvLIGqQPsni1DBgzWvkGt0cx2mZQmpWakpGelZmQDDCnpmWAJ23Vh&#10;YijSx3S84yr8Jwv/JwZlAxXVYyJggGjEy8uXL/f397e2thYUFIANeXl5UqkUTgdL+mls6LdgH9SI&#10;2QaTey/vtZKzNWX26QUk+RiKB14OHYp92Wc0WQ1Gi1pj6OzqqWtoKioty8zOOXwsbt/BQ+vf2Djj&#10;6Xk+AaFiVy+heIyTS5RAzNz5zBdNEDpP4TtP4TpN4jiNdxSNdxCH2YtD7J397F187F09/cMmzFu8&#10;aufuQwVFko52mUGnh8MDBzaz3mzWW20mc69FbzVpkECou3ukTY11lSWFOenpKYWFeVJZp1qv0xhQ&#10;lzczVsjggXncp8nK3O+GYO2b9AowP4Fhg84o61HWNjQVl0uKyyrqGpvlag3KkOwDPGgMxua29rzC&#10;ovik5PjklKTUtITk1Ey275od82phMjbKBioqql9awMCdO3ewHH4J3b179+LFi0ajsba2FhlDUlJS&#10;cXFxT0/PCCP4O2Gz2axWq8ViwUpfXx/cAS+xxBaTyYQlNoI9WBKPY5lB2DBU18ZL1KNhl/BB1JeR&#10;K3R3qOSd6s52WWN9Y6WkIi8vOzbu6O49e15a/+rT858NjZwidgtz5AfynSJ4ztN4LjN5zlN5zpO5&#10;4glcMfO4Hp44iO8cKHT2Fog9Ra5j3Dx9vP0CZs6atX79+oSEhOrqaoVCgZ8MF4MM9wkbIZVG06WQ&#10;N7Y2F5aWpGVl5hTkV9XVtsukcpXSYDbBB5E9mKwWk81itj3csgkblBpdS0dncZkkKze/VCLBMS34&#10;oA0Jh9U20K/Uamoa6jNzso/Fxx2OORaXmJCelVlaUd7SzoxQYtjAUARHY6hM2UBFRfVLiZBg6MU9&#10;Ycu5c+fglaWlpdmsYJ1KpWqEEfydABKIAICBgQG4gxl1674+AgzCCbyLdewMAJAeZsby2Mb0e7To&#10;05usCrWuQ9bd2NJeUVJVXiTJz83Pyc7Jz8/Ny89JTknc9Nbb8xct9g8a5+wWKBAFcwQhXAHYMJXn&#10;Mh1g4DFd0NFccSRPHM4TBzLjkVx9eU4ePCcXT1//8RMnvbB27cGDB0G+urq6pqam9vZ2pEegoJKV&#10;SqVSs9JoNHKlorOnu6mttbi8NC0rIyU9LSsvt7axXibvRvaA1AG+bWTYAJd/aDdAv8FsA+Q0eiPb&#10;o1CRlplTUl7Ro1QwDVNWJAS2vuMDOqOhvqkRPDgSc+zQsSPxyYmAUG0DvoUZ76q7N1sJwMmW0kO/&#10;6NcMygYqqsdZt2/f/vTTT2GUSBoABhCipaUFDjnCCP5OkFwB7o8l1oEAUgHHknkKmskEPEAABtNI&#10;wgQ+xTYcMf238FAzPBR22Nktb2mX1jY0V9bUF+YXFeQUZmdmZWakZ+dkJiYnvPPu7hWrXxgbPVEg&#10;8uHwfQSicKHzOKF4PM95CvDAdj5P4IqiuKJwriiULwoQuQW7ePiLXb3dPX3HTZi0dNnyrVu3ISsq&#10;Z4WfKZFIampqGhoawAkIv7q1tbWtrQ1F0dTSXN/cVF1fh7whNSM9NjEBUVBShI3Ag9agZ/AAi7dZ&#10;LQ9jA5iH36VnZ87Ajyoul6SkZxaUlEq7u8ADZB4MWixmoEJSU52UmnLwyOFDx44mp6eWVJR3yDo1&#10;evY5P+zUTJQNVFRU/yGRpiSyfufOnevXr3/44YfkeT5gA+yys7MTtegRRvB3AukCwADnBxVIfgAe&#10;wCBINRx4IKkDxOQHD7ChR6lpl3UDCWWS6sLS8qLSclS0K8rLa2uq62prJJLy7OzMnbt2PrN0adSE&#10;6Z6+8P1AgThE6Bzt5DzR2Q0Zw0QEkzEwYIjgikK4TkFcoY9A7Os2xj8gKGLS5OlLn1vx+psbdu3e&#10;fezYsdTU1JSUFCwzMjLwk7OysgBFKI9Vfn5+QUFBTn5edn4ucoWUjPT4pMQjsTGHY44lpaUUlhQ3&#10;tDQr1CqdyUjY8NC8gWHDUFdNX49Sjd+VmpGdX1zS2tGu1gGFzBinbqWitrEht7AgLjHhwJHDx+Lj&#10;8HWgUY9KaWT6MIY+PsQGJFhD7UuPUFA2UFE9VhpmA5bXrl07d+7cwMAAkJCWlpabm9vc3KxQKH4W&#10;G4ZyArMZSAAJlEplV1cXjoMqOYSaOGncx27s/kzqgIqwzsTMUqfS6pErVNc1FBSXpmflpmZmZ2Tn&#10;5RYU1dfXSjvaOqRtYENMzLHVa9aERY4VufoIxV5C51Cx21ieUxRHEC1ymc42JY1nwRDJcQrjOAVz&#10;nQK5Qm+RS4B/YMTU6XOeX/XCxs1vvbPn3UOHDiUkJCSzIniIiYmJj49n7+j4m/BuQlJiTEI8eHDg&#10;8CHEoaNHjsQcQ+qQnpVZXlXZKu1AlZ9tXDI9tL+BxR7TNY11pUZXWVuflVeAvAFcIc/flqtVTa0t&#10;BSXFYA8OG5MQl56dJamuwpFxWHMvM9IJQVDKxA+66x+VoGygonp8NAwG6Pbt219//fXp06dVKlV5&#10;eTm8ElVmqVQKf4dGGMHfCcb0LRa4PxhQW1sLxuzdu3cjq7fffhuOjPo4QQ4SBT379Pxuhaq1Q1bf&#10;1FLFDvEsLCnLLyrJKyopKquQVNfWNjS1tTd3SFsqKssPHjm06oV10ROnu3j4Owp8OEI/ocs4sfsk&#10;rtNEB/4EvvMMnngsT8y0I3GHqODHE/qM8QoJj5wyd97itWtf2fr29qNHjiFLKC0txWn09PR0d3cj&#10;N2pvb0e2RABWDxbV1gKQ1ayKSoqBgWNxsfsPHQQb4N0p6WnYkpWbk19UWCapqG2o7+iSwcdND2OD&#10;9d7seLb+4xq9sa6xpai0orCkBB9EZtDY0oyPF5YCDGkJKcmJqSk4sqSmWtrdpdRqkFVY+9h7O4aQ&#10;MNRvP+IrHoWgbKCieqRF7B4asf53XkJ4CTZ8+eWX/f39qNoXFRWBDcXFxfBNkgSMMIL7YqgaOxxg&#10;AwRHgNUmJia+9NJLM2bM8Pf3DwwMHD9+/NKlS3fs2JGdnQ0LVmh0PUp1h6wbBllaUQmjzcjORbqA&#10;RKGsshqoIPMOqfXG7p7Ohqa6+KT4NWvXRo4b7zbGXyDyFLoEC8RBApdxIvdJAucpXNFkgcsMth0p&#10;lE0XgniiQL6TP9/JJyJyyoJFK15/ffOOHXsOHjycmZ5ZXVUNBL7//vuXLl26ePHi2bNn8duhjz76&#10;CBtPnjx54sSJwcFB0nci6+muqK5KAx7i45BApGakFxQXFZeVFpaW5BUW5BTkF5WW1Dc3KTRqg4WZ&#10;eRuFMFw+ZB2+SbYjN2psaSutqMorLMrMzcnOz2WOkJ8H2MTDQVOSAYbCkuKW9jaNQW+0mM02q7Vv&#10;aFpDtnh/cPBHKigbqKgead29e3d4ZCqWeMma/5AeHLRKhJd46y9/+QsZoZSVlUU6G5RKJWkdGmEE&#10;JPoGT5AGE4SBvTkOzoUkA7ZbV1cXFxf3xhtvLFq0aOLEieHh4WPHjp0yZcrs2bOfeeYZ5BDIJ8hd&#10;YJW19WWSavhrXmFxcZkkv7i0knnqGbig1BrMiC5m5urGIzHHVq19cfL02W5jAu25HqCCk+tYgcvI&#10;2VU5wgDkEw58L57Iz8Uj2Ns3wj8wau68JW9uePvwoWOHDx2Nj40rKy7pbO84+d5J5Enkt6OUbt26&#10;9d133129evWbb77B9q+++grA+PTTTz/88EOtXl9eVYkafVJaSkpGOjy9trG+taO9oaWpsqa6oKQ4&#10;D9lDpaS5vbVbqUIahHzI2jeILAFFhJLRGS0qnQG/QtrV09Leid+bW1Cckp7BHjA1OT0tNTMD4EnP&#10;zgIkSsrL8GO7FHK9ycgMjbVZTcz9dCNL/hEMygYqqt+AiOMTTgyLcOL+HcgK2Q5zPH36dHt7e25u&#10;bkZGRl5eHir+Go3GYkH19SF5A6nGmthp75A9oG6LgEEAJxKJ5ODBg6tXr54+fTqSBuQKr7Fat27d&#10;vHnzAAlsx/rmrdsPHjmWlpWTV1hSVFpeVVvfJpUhjeiSq5BPKNRajcEkV2kamltj4pOeX7M2NHLi&#10;GJ8QkWsgR+gvcA4Vuozju4xjwOA8niNmJlh1FI3nifCWH8/J257nLnT2iYia8uyzq97asiMmNjEj&#10;PSs+LjEpPqGyvEKrUv3lzJnLly8PlwbSJlJKKIfr169fu3btypUr586dAxuUajWyhNjEBLg5sgRw&#10;orOnS6XTdisVrdIOCfBQXITqf3F5WVNbO06bmfiILRDkCjojMxUg24nSiNwov6gkLTMnLjH5WFx8&#10;bCITSBfAm+z8vKKy0uq6WiBHJu8hQ2PNvQADZQMVFdXP1LCtD71mRTYSkXW4HvwOrje8J1bIW2Qd&#10;b2Edhtjf319dXZ2CynFGRklJCThhMBiY/oOhfuMfegE7mJLFA9PQgdAaTDK5EtkGwPDCCy8gRUDG&#10;gCxh9+7dOCByEWQSr7zyCrKHiIiIqVOnzlu4+JXX3zx4JCY7r6Cqlpm5WqXVszcV98Je1ToDjlZR&#10;XRubkLTulQ1R46fzRd4cgZdAHMwThXGZ29zGD4GBnV3V3nmsvTiSK/J2dvf38A529wwKDIla9Mzy&#10;HTveTUpKy8srLMwrTGXmo0hrb2756NSpby5evHnz5nCBkOIi6ygxCAWCvAFobGppzsrNiYmPQ+1e&#10;UlPV1inVGvSwP6PVotRqgAcmeyguQq2/oroGGJD1KIA0RGe3ArQjj2TILShKy8xOTEmPT0oFG+KT&#10;mK4FJA3pWZn5xUUATGNrM6igMei1RgPAwNxJ12tlxj5RNlBRUf0sEVsnjkYEgyMeN+x0ZOP9u2Ed&#10;xoeXZAuWZFLur776SqvVFhUVwcHh44CEXC5HxmCz2awPsyfAgDSesF0OfXoz89jLMknV0aNHV65c&#10;iXQBKcLzzz8PMJSXl3d0dHR2dpKhsRs3bpw/f340NGnKsudX7dqzN6egCOkCubPBwE4DDurAWytr&#10;6g8cPrZ85eoJUxZ6+Y7jCgO4gmC+KJIrjOIIx3HFEznOE+7Nrhpu5xxi5xzEEbiJXDx9AkKjxk95&#10;5tnl27cDSzkFBYWF+YV5WTkZqWnFefk6lerS119/9913KApSJsOlQcqKFNE333wzMDDQ3Nycm58P&#10;H09ISUb2ADAgY4B3W3pt5l4bVoCHdpm0ur4OeUNBcUlhSTnyg/LKGhQF1oGEzJy81IyspFSGCokp&#10;aSBETn5RQXEp9q+orqpvasQxu+Q9crUKyAFvyG107J10KHbEI3cL9EODsoGK6lER7AwuRkyNvITL&#10;Q/C1q1evXrx48dKlS9dY4SVqwXgL3kf2uf9T33777fnz50+ePAkHz87OTkhIKCwsbG1tJQ1K+PPG&#10;H/kII0CwbLCxrer9OqNFodZJqmuPxsa/+OKLyAyioqKee+65PXv2IP9QKBQAjMlk6unpQVaB469Z&#10;syYkJCQoNHzxs8/t2P1uYUmZUqMDZsAGJB9ADhKI6rrGY3GJq15YFxYZ5eQSLBAFCURhAlEkXxTN&#10;cxrPZ2dX5YgnsrOrRg7PrioQe4hcxwQGh89b+MzWbTtzcvKbGlsk5RV5OblZaekF2TlNNbWDVuu1&#10;S5fAz+FCGBYBA4RC+/jjj3HCKIrE5KSk1BTU7pvaWgkY2DAxS7MJhq5Qq1o62pE9ZObkJiSnAQDI&#10;D7ACGMQmJh+NS8APwXpyGjjFPOITzGtsae2QdfaolMgSkCIgcKih++DABhYPAAMc9qH30z2CQdlA&#10;RfWoCNZGRF7C0VD9v3LlymeffYb6Poy+paUF7oY/TqvVevr0aQAAlWWmueRe3gBU4IM3btw4c+aM&#10;Xq+vra1FxpCWllZZWdnd3W0wGMAG9g7nh9gTaVPqHTjOTC4t65ZU1x06GvPcilUzZ86cNm3akiVL&#10;du3aBTDIZDKlUgk8oAJOJu9DJoF3x4wZExAStnrti/FJKZW19WqdoXfgBGBDboqGe+4/dGTFqhei&#10;J052G+NtzwngCUMFomi+aDxfNIkvniZwnsERT3IUTWRnVw1jZ1f1HuXsOcY3ACxZsOiZt7ftyMzO&#10;rq9vaG/vABsy09IzUlKqKyr0SuUnH3xw8/IV5Aik3IhIaaAMsUQxfvLJJ0BjRUUFSiMxOTm3ML++&#10;uUmuUuqMBlKvxxJ40Br1yBtkPd21DfV5RYXxySlHYuKPxMQhYuKTgIeU9EwkCll5BUgmqusa6pta&#10;W9qlSBPkarXGoAcMmJFI/TBTptuZ3CDNzKLBgoH2RVNRUf0jwf/vC+DgBxtYIRsAGD7/4gulSpVf&#10;kP/Onj1bt27dv39/SkoKPJodsvnBN998AzwgtYAHwgdv3b519/u7qCOfOnWqq0tWXlaelZmZw1hq&#10;PfY3mkzMzc1Wq60PbGCH1dvYGVWHhmkyYesf7FGqSyWVMQlMHd8vKAQZw/Lly/ft2wdjBRXgsEBU&#10;Tk7OsWPHNm3a9MILL+BdwMPDwyMqeuLW7bvKJVXtzMMM9NY+ZvZWJBDNbR2oZT+/em342PFunr5C&#10;Zw+RS7TYdbzQeQJfNEEgniJwnsYTT+WIJjo4jbcXhduJQ+yc/UY7e4129QobO27xkmffeXdvcWlZ&#10;S2tbS2trdXV1YX5BckJienJyW1PT+8ePX/rqq9vffnt/3kAKEMhEmWB54cIFEBGkzMjIQJaTnpVZ&#10;UV0FAKCOrzeb4NfW/j7YH9ugpO3s6W5oaS4oLo5PSjoSE3s0NgHJ07G4BGQP2XkFRaXl4Fxzm7QH&#10;P8xoYWfOsDCPNWXudmYSBZIrkCyB8MDS12ft77cNoHhtbBPTQzp7HsGgbKCi+jWEOu4tNm4z6/C0&#10;O3j1/fdwuO++//76nVs3bn13+drV9957r7mt9VBy/IsbX5//3JLZC+bNXbRw1eo1m7e8HXMsLiM9&#10;p6qyTt6j7rUNfnD6L2c+/eLclfOXb16+cOn8QK+1pqI8JyklLyWtOCu3vbEZnq6zmAz9Ns2ATdFr&#10;HLT1Ddh6+602i9Fk0DHTIvX396u0GrlaVVFb/c6hA8teWD117uzIyRPmzZu3c+fOwsLC9vZ2AAZg&#10;AJyQQ7z22mugwpw5cyZOnBgdHT116tTlS1alxKd3Sbu1Kg0z47VBo1R2NzQ3HYmJWbV2/aRpC1w9&#10;Ikc7+AnFY3kuM5j42+yqY3niCI6Tn6PAh8fc6OAldHZ3Y+5wi1i4cOGOHTvw7eS+NqlUWlRUhGQo&#10;NTUVgDQajefOnbt+/TrJnwgbsESuAGEFfAU+T548idPOzs4mc2lIqpgeZiBQb2ZuX9CbrCq2n7xN&#10;KmtoaUPClF9UmpqRHZeYkpSanp6Vk5Gdy1Khoqq2obGlrbNbDi5omScjDTfNEbL+zVgfg6BsoKL6&#10;NfQwNnx398712999e/fOt3fu3Lh+46OPPq6rqt67c9fKBQtnR0VP8A8c7+UX7ek71S9kbnj0wvFT&#10;n50+58VnV2zbsCU5Jr68rKK1rc183PrxF2f+8sUnao0yJzszOS6+ICu7qrSiu1NmNBiNFoupt9fQ&#10;16vF/y1Wm9mC6LPZ+tm/edSsu+VySXXlgSOHl65cET1l0pTZM5evWb17925y0xzA0Nrampyc/PLL&#10;Ly9evHjJkiUw7kmTJoWEhEyZMgUJxKG9R6vL6zRKjVFvMBp0KrW8uaUhJiHh+dUvhI2d7OkT6eQc&#10;xuGHCMVRzMzbTPxgdlWO0I/rhKzCWyj2dHJ2Dw6LWPjMkt3vvFNQUNDZ2SmXy3EODQ0N6enpmZmZ&#10;+fn5sHuY/qVLl0gv9P1gIOkCBDB8/PHHWq22vLw8LS0NnwVmGltaydN1TFZmAFW3QoU8oKKqBkjI&#10;zMlPTstEipCUmpGakZWTX1hcJqmqrW9q7QASkCso1FqVVq/Rm5A0gA3It9hA4vXb6EX46UHZQEX1&#10;awhsABUQYALLBmyAvd26e+fW7dvXrlz97KOPu9s6ju7Zt27OwmcEHou5bs9y3Zfzxjzr4LbYznmh&#10;vctcrtsMvusMN6+5Y6NeevbZndu2xBw7lFOa1yxrlWl6SqrKDhw7dDjmaH5hYW1trUKuMBtRSYaB&#10;9Q9YB3qBCKDBxNwEByQgY0AFXCaTVUgk+w8eWP3CmqkzpkeOi1r87JJ9Bw/ATPEW7BVeDHt98803&#10;n3766bFjx4IKkydPjoiICA8PX7Zs2dGjR2ur6hVdCpPBaDIaVCpFdW11fGLci6+sjxo/mefkzRH4&#10;CMXhPGEkTxjFFU/hOU8ZObuqOEAg9hO7+rqNCQgMiVi0ZOnud/cWFRcDDAYDDsiQqbS0lAy7qqmp&#10;MZvNSBpu3rw5DAYIKwQPAMO333772Wef4TfW1dXhI6Babm4uSqOjs6tLrgQd4PUdsu6a+sbisorM&#10;nLzktIz4ZGZAamJqehYShbKKypq6hmYmUdDojezQXjKBIJksj5l+HBuxZNcpG6ioqP51PcAGJu5+&#10;f/f2nRvfXPn4xPud1fVHt72zZvaiZ71CNv9v/t6nPOIFQZmiiAxhWIJjwJHR3nvsvd60c11t77RY&#10;7Lzc32/FlHFr585cu2LZ5jdee2fn9q3b396wZePug/vTC3Krm5t61BqT2WYz9Q2aB0+Zj58w9OPv&#10;3GK1mMxmK9s33dXVheTg0KFDK1asmD5t2qyZM5c8s2T7tm1lpaXt7e0KhaKpqSkhIeH1119HujB7&#10;9uzo6OjQ0NDAwECAYd68edu3b2e6QBRKo15vNhu1WnVDY/2RY0efX7160tTZXn6hXOQEwiC+aCxX&#10;GM0VjOeKJ/KYpqQfzK7q5BLIF/k4u/mGRkxY/MzSnbv3FJWUggegAvxIKpVKJBJYPNgAXOGEkRBc&#10;v34dDLifDUR4ie1499SpU0ALkoyUlBQkDThJZppuqay5raOusbm8ErlCSUZ2bkp6ZlJaBpbpWTm5&#10;BUWlkqq6ppY2aVdnt6JHqVbpDOyU2uTewOH7PxhUsHigbKBsoKL6d4lJE4bAwAScDXH3+++u3/zi&#10;9BlFc0fizn3Lpsye4OL79Chx7H85Fdr514vGdbpM6nKd3C4aX8+LKBGGJfL9d3HdV/OFSziOk53s&#10;J4o5Ud4+0YGBMyeMX7hg3so1Kzft3nEsPbmwpqqtR67Vmy0626Bx8H3D8RNaWJvV1gdHsxhNJo1W&#10;W11djYr/yy++NG3K1PFR45YtefadnbuK8grknV2oswMPMNYtW7YgP5g/f/6cOXOmTZsGMPj6+mIF&#10;wIDz1tfXm4x6hFqjbGpqSEpKZOdKikYe4OTsIxAHC8QRfNE4nhPT+cz2MRAwkNlVg7hOgSLXQCdn&#10;v4CgyIWLl23f+U5uXn5bewfyFZI04Ph5eXk4DeQuWAfRLly4cIu9B5CwYVhM6d69e+PGDWQVSBqq&#10;qqrIzKw5OTlgQyPU3IKEIK+wGIlCTHzisfjE2ITkpNQMpA5FpRX1TS0kUTCyD0y9LzMYekgR6VqA&#10;dZK3mHiEp0X6p4OygYrq1xBBwjAVSNz5/tK5r3UtspR3Dq6fvWSmR9Bk3phVDmNq/uiucAwx86NO&#10;OYz9mBP9ud24j5+KeN8+3OIQ3OXgW8RxSx7F2z7qqc1Pjlpn575itOsygdcS39AVURNXPvvshvWv&#10;7dz3bmpubmVDs1Sm1Oss/cbjfcYBIzNYph9e3inrhHseOXxk1cqVc2c9PXvazBXPLN23852q4jJ5&#10;h0zbrQAYUlNT33777Q0bNrz55ptr1qwBG6ZMmULmU1q3bh2ggho9KvImk06h7K6uqToWG7P6hXVj&#10;x08d4x1kz/PiOfkLxGMBBr5oIl88Teg8gyuO4JLZVUXBHKdAjhOyCh8Pz+CQ0PHPLFmxZ8+Bgvyi&#10;1tY22BDMXa/XI2koKyvLyMjIzMwsLy9Xq9Vnzpy5efPmcNJAep6JULrYDjAMDg6SOzyOHDlC2AAh&#10;58gvKs7MyQcM4pJS4pNS2X4Fpqe5pr6xuU3arRjqirD2DdgGjrM3AzIDfIfBgO2WPmz5GxjwcthS&#10;H5ugbKCi+hU01IjEDF1l/w/B3L67/enJD7KOxC2bNGuCk1cUx22uS+AWr6huYZjNffKA88TTjuM+&#10;40+8yJl0zj7qU/vI9/ljbc5jOz3D6j0Cs7y8k9y9tgoCXuV4rXBwm+EojrLjB7i5RYeEPr1g3mub&#10;Nh1LTi2vrOvu0fQaB/stJ5A39A0OqDTqCklFzLFjq1etCg8JjQqPXP7scwf37K0tl5jVOotaJ2ti&#10;Op/Xr1//3HPPbdu2LTExcefOnQsXLhw3btzMmTPBib179+bm5ra2tprNZr1e3dLamJSSvPbFFyPG&#10;Rrt4+Ird/MTuYWK3cIHLOJ44mi+eLGAeyTCNmXbbKZTjxD6oxymAK/TlC30Cg6Ofnrt0x853i4sr&#10;2tulGo12YGAAeQOoQ5IGMs14W1sbTP/rr78mfc6ECvezAevXrl07ffq0UqmsrKxMSEjYt29fUlIS&#10;uILfgpXYeDIsNTEpNT23oEhSXdvU2tGj1Gj0JlBBb7KQHgU2sGIFAGCUjF0OTSvCjEpC0mBk2MA0&#10;Jdn6BwlCHqegbKCi+hU0nCrc/ev3CDjc7e9u3bx89bjBcnjLjul+YaFPCcfaO88R+7/qHlLo5Fsj&#10;9O90Dht0inpfOO7rUREXngj7dtTYG3aR1xwjz/FCP+EEDXJ9rQ6+sqciqv8UkPm/Pd75H/Gm/xE+&#10;4+C8iOv2dGDo80/PffPV197duz8pPbO0qrZJKuuSyVqamqsqJLFHj61a8fzMKdPmzpr9zPwFe3fu&#10;Li8o6mmXWrWGrtb2rKTUHTt2vPHGG5s2bYKx1tTUwFuXL19O2LB27VokDfBfMoUGGa66et1Lk6fP&#10;dvEIGM3xELoEP3R2Va4owEHgzWEe3+bv5OLvPiY4KCR69tOLtm3fU1RY2tLcqtfqBvv6LUYTUoSm&#10;pibSYYC8oba21mq1fvHFF1euXBmmwnCbErkj5Pz58x999JFGo8HZAidxcXHx8fGgGnmwD6O09JT0&#10;rIzsvIJiFAZzs4Ksh5kjdoQ5/s6DsoGK6lcQS4W/xa07d769cePS+QvGHtXu9RsneAYEPSkIHy2a&#10;wvF4ljvmiINzJt9LIg5UCsOMTpGfcqLOcsZdth97aXTEN6PDztkFf2Ef9LFjwIecoAHORAM3WsYZ&#10;W8wNTbHz28j3eZnj8bTAba5XwLzI6CWz577ywot79x7IyMguLyrJSc88uv/gy2vWTomeMGX8xFXL&#10;lgMMZQVF3R1Shay7raEpPSllw/rXAQDUu1Fhb29vl8vl2dnZzz///NSpU6dPn46VI0eO1NXVAQzN&#10;zc0x8YnPr34hPGqil1+oyNWfI/ATMrOrRt03u+oEdnbVCRwR04jEc/IRiHxELn7BYRPmL1i2ffue&#10;vLziTmmXVqXttViP9w+ADVKptLy8HGCAxaPiDwidOXMGABgengQBD7dv30auACp8/PHHyCoABqQa&#10;OTk5QAI+SAQo4AjIPyoqq8gtzYBCt4KZhVtvYm50GGGOv/OgbKCi+hVE2EB6oxHf3rkNvzv7xZfy&#10;9s4t69ZHevgGjBaEOjiPd3Sb4SBea8/ZKnQ95OKTK/AtFvhrOCE2wdgzjhFf2IVfGBV26cngK08G&#10;X3sq+Nqo0Mt24792nPAZZ0IvP1ppH5bnGJQ82nuDndsae5d5js5TRR7zQyJfeGbptvVvHN317s43&#10;N7/6/Jr5U2dOCI18dt7C/Tt3S4pLQQWdWtNY35CSnLxt27Z169a9+eabJSUlWq3WYrHAF2C4K1eu&#10;BBvGjx+/YMGCvXv3VlRUlJWVwXzXvfzm2OhpfCdv+L7QOYTnxMyuyn/Y7KpCF2QMXkJnL1ePgKDQ&#10;cYufWbFr9/7CgpKOdpnZYLKZrcf7+t/rH+g1mQCD0tLShISEY8eOZWVlKRSKCxcugATfffcdmVfq&#10;8uXLQMJnn332/vvvw7mwQ0tLi0Qiyc3NHc4VgJb09HQkHzhVkAxZEzP6SGvQmywsEoYexDbCHH/n&#10;QdlARfUriLQm3WGCGch6887tb65c/vyLz7s6Oje+tD5sjK+PvTCI6xzF94CtznPgrHZyeVU8Zquj&#10;y3Z7ccYo9zKuv5wXYuaGvc+N+NIx8rxj5Dejwr4BG0aHfWMXft4u4oxDxKnRYSqHcJl9SCEnKMHB&#10;b6vdmDV2riv5ns/7hK0Ln7Rq1oLFE6YvHD918ZSZK+ct3vPW9qrCErlUplWqW1tbExIT39i44bVN&#10;G97Zvw8VbZVKNTDAPBxUqVSmpaUtWbJk3LhxwcHBIMSWLVtgviDE0qVLJ05d6OkTxRX43ze7ahRX&#10;POGB2VWDnd19+SJ3satnaET0M8+u2P3OvuKisrbWdo1a22uGW1sHbLbjvTAnc3dXV2VlZWpqanx8&#10;POwe1v/1118PzSby+efgQX9/P9yKJC7MdBqFhUAISAAe4MSQ5SDjAbpqamrwu7BbT0+Pirmr2WQw&#10;28ADxgHZuxZo3jAiKBuoqH4FgQ0Aw+2h+Ou3d+9cvnHt7PmvYL47trw9PiTcjy/244pDea4RXPEU&#10;Dm+uQLRYKF4xmvf8k5ytf+QeHOVc6ujT4uiv44S87xB2xiH83JOhXz0ZcmV08OXRQRefCjr3VMjZ&#10;UWEfc6NP8ycoeFHN/LF5gvAD/MDN9p4r7d2eHe0cKRoTjMq8h/+SyTM3rlyXfDimvaZB1S1vqm9M&#10;z8jY9PZbK15YvWnntuySQtgx7AAyGAyEDc8++2xUVFRAQEBkZOTzzz8PPKxatSoiIkLsGiYUh7Cz&#10;qzKjknhOE/iiSQ/Mrhow2tnfxcPHycXDLzBk0ZLndu1+Nz+/qL1NatTrexkq9A5YYU7WPrPZqtfL&#10;ZLKqqirYPbweRt/e3n769GlQAUvkMTD6pqYmZANkeCv2IbkCWEKogM9iByBBrVbj/E0mk9FoNJgs&#10;BovNaGVmvCCjVCkbHgzKBiqqX0H32HD3FhPff/f93et3b31z42r/ieNJiUlLFi6O9AuCfXpznPw5&#10;ThEOfNTAx/OcpnOFs/hOK7hOLwpc3hWMiXP0yLcf0/qUt9I+4IRdyAcOoV/xfM9zfC/a+V19KvDG&#10;U8E3R0fdHB392ZPjTo2O1jtGN3LH5o8KPPCE59b/cR7H8wge7TSW7z7TL3zZlKe3vfJGXkJqcX7B&#10;wf0HAIbX3968aff2mMzU+m4p/Le0tBR19oaGhu7u7uLi4q1btwIP48ePDwoKio6OJs/88fLysucE&#10;8oQAA5lddfIDs6uGsrOreo1y9vT09Q8OC1/0zJLde/YWFBa3tbVptdqBvv6B3r7B3t5B4MFisekN&#10;Fq1W2tEBf8/JyYHvw/SRFgAPZEpapAI4GWCDjG0FG7CC88RGiURSX1+PRAEnDJ7BzsgEtBCyHzN5&#10;hNHQTQlMU5Kt/3EbZfSvB2UDFdWvINKmdIuZWY9hw62//vW7v37/7V/vfv7V2Zqa2rc2bp47dUaw&#10;h7eno9Dbnhc8ihMyyjHSgT9dIJ7nNma165iXnMds5bq++6RT7P/wSv5fQfMfPXpHBZ3ihp3l+5zn&#10;+l5y9L8+KvDmk8E3/xR+488R39hP+sxx8iB/isJ5arN4Ur5zdIooYmnYpJljgseLvEK4LsF81znR&#10;k99++fW3Nm5avGjRkmXP7dy/N6u0CGDQDDLTl+7atev1119PSEgAHuC5RUVF27dvX7Roka+vr1gs&#10;dnNzc3d3F4lEzm7jEU7OEwSiCULxVKHLTL54Okc02UE06X42POXiGRwe+fS8+dt27iouLZN2ynQ6&#10;/cDAgM1iMRuMVoOx32LpN1tsBoNVp5d1yurq6oCE5OTkQ6yQE+BMyNCjuLi42NhYvAV4lJeX41TB&#10;g66uLsIDZAlmVsMrAAPwYOllwIBcwWixmay9AEPf4AmKhxFB2UBF9ajozp07ly5dgkuinr5jx47l&#10;y5dPmDDB28vTWcD34HD9HHlw2flOXi9yvV/l+rzN9d882nPzk+5v2Y3Zxfd7RxwUIwpS2flYOcHv&#10;8yM/40V9wYk6yx13jh/9KXfsl9yor7njrj8VdeMPYd//fwNv/F++zX/yrfyzT9IfXN/4b8eVf3Kc&#10;6+W9PDp6/sI5k2dMnjJ/zuZduyX1TW1t3QX55fv27XvttddeeOGFLVu2HD169MiRI0DFmjVrwAak&#10;Dv7+/q6urgKBgMPhODkFDYUoSCQKZkLMhItLmLNzqNApEG+NGRMVFDRt4TNLd76zN6+wuK6xuUep&#10;0ZssWMpVmh6lukuu6mCf0d/Q3FrT0FReVVNUWn7vmcwJMfGJCcmpTKQwj1LIzMnLLyopraiUVNc2&#10;t0vxQXwcx9ObrEgIegeYp//T+OcCbDDarAarBWG0WixgaH//4OCgXq9PTEiYPH6iiCdwFjiFgg0X&#10;v6FsoKL6BfU9+9y3K1eunD59GpXftLS0tWvXRkZGCARcVx7Pi8uPshNM4YiXO3q8wPPaJAzYzPff&#10;5Oj9hoPH6/bub3DH7OB6Vj3l2unoZxVGfMiP+oQT9aVd5Bd2EZ/bR5x1iPzKIfLKqLHXn4i49d9h&#10;N/47VMeN6uJFVnCCD9p7vPGU0xwn56dd3ceFBY0fF7Fg2bP7jh0tralNy8pf/8aWV1999ZVXXnnp&#10;pZdWrlwJHsycOXPy5MkzZswgk2dERES4uLiADcgbhE4BCCcRIlAkDhI5B4mdgx05Xk5Ogc7OIUJh&#10;gLNzcFj4zHnz12x6a3tOPvPcUFmPkkRrRyc4UV3XUF5ZU1hSnpNfmJGdl5aZDQbEJ6XEJCSRR+uk&#10;ZmRn5RYUlpSVlEvYifCYcaiyHmbWIyCBmSGVvXkNCcG90Uc0/skAG0y9VqONAQOCmWSFmXmLyRuQ&#10;tU0aP8GJxxfzhQwbaN5ARfUfEPBw7dq1zz77TK1Wx8XFLV+5IjA6zMvP01Xs5GPP8bfjTB0tnMtz&#10;WynyWeviv1bs8xzXZeEo/gJ7/nOOwrfsuHE890pRkIEbfsIx8vwTEReeiLz0ZMTFpyK+Hh3+tV34&#10;BYfwyw4RlxwjP+BP6OePVwrHVojCknk+L/PdltkLJrm5TvbzmfP0jNc3v/nOsUNv7N4xb9UKIGHD&#10;hg0bN25csmRJeHh4YGDg2LFjwYZnnnkGWyZOnOjm5gY2gBA8vhdf4C108hU5+7u4Bbl5hHiMCXVx&#10;DfL2GRsQOMHPPzo0bOr8BaveeHP34WOx5ZXV0q6e5jZpVW1DRVVNcZkEjp9bUJSelcs+ijklLjEF&#10;y/gkZAkMErLzCrFDmaRaAoA0t4IlXXKlWmc0mJlZj9hg5rQgMTQglbLhXwgmb+i1mnptIITJZmUe&#10;XcdKoVDExcZOjB4v5PKAB8oGKqr/kMCGGzduIHsAHrq7u1Oz0tdseX3C7Klu3u6uXK6LvX3wKIex&#10;jsKpXPFc5zHznT2mcgVRT42OtBs93tFxhuOoNVzeHq5b5WifbvuQz5+M/Npu/OWnoi6MijhnF/qF&#10;Q/DnnJAveaFnBWGfO0R9aB85wInQOI/rcB6b7BK8n+u5UuyxWOw2xctrcmTY3Hmzlq5b+cLGV0GF&#10;d955Z9u2bcuWLZsyZQrSBWQS69evX7NmDdbHjRvn5eWFpAF4cOC4cHhuQpGni5ufp3eon39kQNC4&#10;qOgZEyc/PW3mwjlzlz634sU3N+zYuy82Jj4xMycvt6CYzIGanJYZn5yanpWDRIFMicrmB/nYoai0&#10;Ajyorm9sau1o6+ySdskRXXKVQq3VGVGZ7UNyADAwA43YvuXh7mUGDJQN/0KgJPVWM/BAOhuYB5qy&#10;o7za2toOHTw4PmqcgMMVcnghfgGUDVRU/wmRG31BiFu3bn3xxRdqkz5RUrBy46sR0yf4+no5Owm8&#10;HB39uNwAO4dwvmCskzCI6+hrP8qbM8qHN9pd+EQ01265PTfm/4jKn/D54I+hn48ef/GJyPNPhZ+1&#10;Y6bWOMMLOi0I+FAQeNl+7LlR4X+xC3tPOK7feXyTx7gKUegOkfcrAreZfGEg19HfXTx17tSXNr8C&#10;MECbNm16/vnnly5d+uabb8bGxiYmJiKZmDt3blRUVEhIiI+PD/IGsauXq7uvp09QYHBk+NiJ0ROm&#10;T5wya97CpQsWL3tuxQsvr9+4befeg0fiY+JTGQCkpoMQR2PxMpFpNYpPTM3ISsskD1krBBIk1bW1&#10;DU3NbQwSupVqprGIneYISwTbajRAWo2M7CN6DOxGdr6jodvZHr85jv6T8Tc29PcBDHqTUa1Ry+Xy&#10;8vLyXbt2jQ2PABsQQb7+ly9eomygovoFNTw10NDrv/4VCcRfvvhcMWjJKCva9M6OxUsW+/v7ugv4&#10;Y4R8Nwd7D66jp8DRTeDgKrB3FtoLneyfcrFzFzmO5/FeekK4a5Rb9Z+92xxCjA4hvZzgE7zg0/yg&#10;j/lBn3H9P3f0v2kXem1UyNVRoRftwr+2jzzFHTvgEF5jH5Br5/2Oo8fq0YI5Tzk87Tlm3dTJQAJS&#10;BCKkC3v37iVDRfft2/fiiy8uXLhw9uzZM2fOnD59+ozZc2bNmTtv4aJFS55duvz5FavXrFyzdu1L&#10;r7y8/vUNm9/asXvPwSNHgYHktIyc/EKkBcBAZk4+SJBXVFJUWl5eybQXVdWSB/R3kvxArtKotHpY&#10;P6yKeL2Zfai1rf84O8MdXIyZ/+7+ObRJ6kDZ8C8GipFpU+qzmftsOpOxWyFvaWmpra1NS0vbtHFT&#10;RGgYYUOgt+/lry9SNlBR/YJi5gZidZsVVkCL6999+/n1y+b3j9e0N+/e8864cVFuQoEHgs914zm6&#10;8uxdhI6uIkeRyIEvsv+zm4OLCzdSKFz5lPDNJ0QZ/yUq+D9uXaN8Nfb+fbygDwRBZwRBX3IDvnT0&#10;v/pn/xujgm6ODr1uF3FldMSnjlEfO0apReMa+WFpziE7nH2X2wumOnJmisVeXl7R0dHPPPPMq6++&#10;unv37qSkpKKiIuAhNTX10KFDGzduXLdu3csvv7x58+YtW7du2bbt7e3bt+7cueOdd3bu2bPr3Xd3&#10;7Xl374GDh44dO3DkyMGjR5FxpGWy44vYee6AAZYEzMzYSo1OrTNoDWYkByYrM8x0eEKL3gFCgkFs&#10;QX4A58L6PRIM8QA7YDeGBwwViMHda1+i8fODGcPa34sw2qxKraalva2svBx1gmPHjr22fn1YcIiA&#10;yxNyeQGUDVRUv4ru3Ll788Z316/c+OC99+vKK995a9ui6bMifPx8nUTeTk7uPI4LD3mDIwgh5js4&#10;CfneYlGw0ClqlMOEJ+yWjea8LHDZxRVluPi0jgkdFIaecQy++4fgu38O/cbO98pov5ujAm8/iZch&#10;t/4U/u0fI76yn/CxQ7TGMbLSPjD5yTHb/ix687+5YENUVNSiRYsIG+Lj48mNZomJiQcPHty5c+e2&#10;bduwRBpxLD4uNjEhISU5JSMtPQsAyM7MzUnNzCDruQX5BSXFxeVlJRXltY3NTa0d7Uz/QY+sR6FQ&#10;azUGE9si1DeUFgwch8UjG2CTgJG2RePfGyhk8JVwlBmeZO01WGzI1bQmg1Kn6eiW1TbWF5WWkLvT&#10;jx49+tr618JDQp14AicuH2y4dP5rygYqqv+42Nvk7t66e+X8pQ/6jrdW1x/atuvZWXN8nEReAqEH&#10;j+PGdXTjO7o7cdlw8uLxAzi8cXac6RzBczzBaoH4bb44RuBWIfQ2OwZ87Bhy9w9hd/8UdsHO99Jo&#10;v+ujAr57MvjOE6G3nhz73ZNjz9qPP8OdYBZNanMZXySKOCYM2MfzDg8Pnzp16rPPPvvKK6/s2LHj&#10;yJEjycnJsbGxqD+CDXv27HnnnXf2798Py0hOT0vNzMzOzwMDAICKqipJdXVja0tze1trR0e7TNrZ&#10;09Wl6OlWypkhp1q91sA8L4F9ZIL1njf1s7X+QWs/U/1nUEHZ8MsH03zE3AlIgnlqhd5s1RnNXSpF&#10;i7RDUludW1iQkp6G2gBqBmlpaZs3bYoMDQcYCBto3kBF9Wvozvd/vXn3r9fvfn/19ncXrn/x3set&#10;5dUHtmxfMHHqOB9/X4GTJ4eLGMPleHO5YRyn4NHMTdRjHbmThE4zxU5zXcTr3Nw2cJ2OjRLJnvL9&#10;gBN19w/Rd//P2LOOvucd/C7a+V8eHcR0PIyOvGoX9Rln/BnRlEGv2bqgeR0hc8pDZhYGTVuwYMFz&#10;zz23bt26DRs27Nq1C2xISkqKi4uDUwAS0PDkRSXl5WWVldX19Y0tLW1SqbSrq7O7W2s06k0mg9ls&#10;tFhMVjDAZu5lDAh+ZGWfnka6CuBQeMk0HA3dn8xw4l7TEI1fNnAtDGYbLgoBg0ZvUmp03QpVXXNT&#10;aaUEyR9ywfikxNS0NKQOZWVlu3ftGhc5VsjlC7m8IB+/yxfovW9UVP9xfX/7++9v3P3rt2x89/23&#10;F6+ftPa3VtXFvrt/2Zz5we5jPHn8MVyuu4ODh4NDMIcX5sCLtOOMH+UwZTRnAUewTOSywdXzjSe5&#10;e/6XY+0fxvTxoq88NfnSn6O/4vh/5eD/lb3/ObvAc3bBn3IiPuWNHXCd1O87yxD9jGLW8x0LVlc+&#10;s6Z88ao33nhj8+bN27dvR4pw6NChhISE9PR0wKCoqEgikdTW1jY2Nra1tclkMtJG1KVgBpiqdQaN&#10;3shOd2o1WpgRREyQh2giLIAB4/7YqDdZUEVlvYnZSNjAZgx9QMX9FkbjFwrCBtKZjxwOWV1zm7S6&#10;rjG3qDAtOzM+OSkuKTE9K7OsvLyhoaGlpYWMYRXyGDYE0zGsVFS/ipjHwt0aetoDMwHTt3cvfXXx&#10;45OnZc1tuza9NTN6QoiHpxdf4GbPsMHPwW4sjz+Jw5/+hP2sP9mvtHd6w8V3t1vg5j8Jd/0/jiX/&#10;M0bLn/C5w7RPR008zw08xwn8wjHwE27wJ4Lwk27jT42ZZAh7WjdhcfeCVe0rX2l6eYNk45byTVsO&#10;HDhw7NgxICGFffJaXl5ecXFxdXV1U1MTeKBQKNRqtV6vN5vNOiOMHjkBUoE+o7nPYO7FSyyHtlhA&#10;gn7TULCz3Vn7tAYzqqhylQY4wQo4wbgV05rEIIQONPrPBGEDApAGGBpb20vKJVm5BbFJiTGJ8fEp&#10;SenZWWWSivb2dqVSKZfLY2NiyX3RIp4gxJ+ygYrq19Dd75EtMHHj9t3r39399s73N2/dvnj5ynsn&#10;TxYXFW3ZsGH+jBl+bm7ODo4efJ4r/6kQvuMULu+5pwQvjnbe7+ib4ByRIR57+A/uB/4fYe4ffFqF&#10;E42imSbBlAsOgeccg77ghXzsMvaM9+T+qDkDExfKFi5vfW51xSuvFry9KXfvjrS4vWkJBzIzMwsL&#10;C8vLy8GDurq65uZmkiWQ+eyMRqPJBEdnZjm12E5YbO9Zet8z206YLAMGU5/O2GswAQkDJsug2Tpo&#10;th3HW8w+7E1qqKKCCsg2mlrbG1vaWjtkIASAYe1jbllg04iRLkbjlwhcC0AahY9LUFVbX1Bcmp6V&#10;m5iaHpOUkJyRlldcWFVX094pValVuNwajSYhPn7yhIkivkAsEDJz7dE2JSqq/7yQMHz3179++9e/&#10;Xrv9/c2733/7PRM379z56uIFk9lcWly84dVXQ3x9Rfb2HkK+s/ApP85Tkxw56zhuu1yCM13HFXhM&#10;KnIen/SEz7H/csn5o1+DcKJCPEPlNPX86IBzDkFfCsI+9Zr4RdicU7OXfbDoBfkLr7S/tL50y8ac&#10;PdsyY/emZB5Ny4urqqoCD7q6ulQqlVarJU9BwBKJQm9vL4MEi8VqtWLdbD1utsL6T2DFaB7Um/p1&#10;xj61zqrR2bR6m87Qhy0G84ARnLAxmYFaZwAYqusaUEstLCmvqW/s7FGQdIFlAzMn0ggXo/FLBNiA&#10;a9EmlZVJqjOymTlLEpLTktIyMvNziyvKGltbelRKrdFgtjBz2eLfQGJCwpSJkwAGZ6FTSEAg7Yum&#10;onpUdPfu3atXr546dQquvX///rlz53p6egoFfCH3yQgHh2ee4O79o2sxN7xFMLaOG1bmEpIySnz0&#10;D/YlfxR0c30/dQj7nBupD1igj3hWM2WldMGLrcteL31zW/nWPakHj6TFxidnZqYXFWVWSHJq6nJq&#10;68kYU53RzA4lIlYytDIiSN8y+y4YYO2Sqxqa25ATdClUOubpm4zdY4k9sQ/SAuQNKq2etaSqtMyc&#10;/KJS1Ft1RovWaGZvdmP2gW3d/xU0fnqg6FDa5GLh0pAGOjI5OS6QrR+ERrpgwmUiqVt5VU1Wbj6o&#10;kJCcmpqRhfXqhrrmjja5WmWwmC29zGR7qATQObqpqB5dff/999euXfvggw+kUml8fPzy5csjIiK8&#10;vT1FgtEh9vbz/+S498/upeLodrdJDaKoQpfg+FHig3+0L35S1C0K/lQY9alovH7cc8Zpq/ULX+1a&#10;uaHtxbdK3tpVsmNvdnxCfkZmUXlFVUtbk1zZrjNI9Ux/ACqVMGvTPx5ROjThHZwIvi/tklfXNVbV&#10;NcDxybzZbKO2Fd4EzyKogDd1disqa+qz8woKiksbW9oVap1azzzc/97RKBv+yUDR3StAJnBRmGFg&#10;fQPsJWBuJQGw5Sptq1RW19SSlVuQkp4Zm5CMAKeLyyqQxknl3T1qpcZowNVg5tqzWpleJcoGKqpH&#10;ViRvOH36dE9PT3Z29oYNGxYuXDh12lT/YO8QodO0J7lb7DzT3SeUjJmU5RR+1Nl/+2jhllGcNIFn&#10;c+DEkwGzjgfNrlq2rnbt63VvvFW5fVfFu/vyY2MKkxIKCvPKJeX1La2dPSq1zmw09ZvNg7ASJsiN&#10;aaxT/1gXMXMnM5s0YAf4Tpu0q7yyuqSisq6xWdaj1LCPaCZHY+uzjGFhBTBobGkrKq0oLCkDS5BG&#10;9CjVYANb1R35FTR+ZjD9OgTYeGkbON47cBzlr2cGqhq7FSqSLhQUl8UlMlSIT0pJz8oprahqbuvA&#10;uwar2WCzGG3MPKwMHixMoxJlAxXVoyuw4dKlS++9955MJisoKNi7d+/rr7++7sV1sxfPHR8QOIUj&#10;ftnRa5/L2COisN0O3m9wXV8czX+V5xTvE1o3ZV7ftGXWmctz33wz/+23C9/ZXXj0UFlaYkVpQV2t&#10;pLVLKlV0y7VavcFiNvXZjP29BuIvzJiiITbAsn9kaOk9NjD1U7AB6UJpRSVMv6q2oUPWAzNiM4Y+&#10;MlwShyXVWJ3RIu3qQS0VOyLYnbux0dbPToDxwLfQ+FkxzAZy7dimJGZ4mKxHAWazz03KTkhOTUxJ&#10;z8jOxcua+qb2zm65SqPGNejvNeNfgQ15hhkBNkCUDVRUj67AhosXL9pstqamJrAhPj7+8OHDBw4f&#10;euntjU/PmDnZ3W+5wG+9KOQ1ru/a0W6L7YVL+S4v+gUcnTSj7NlV2uWvada8efTQjtiYPfFJB5Nz&#10;4rMrssvbqhtU7Z1GTZdBq9IbjHqLTd97XDdwQsdMonCv+sm2Tvx4df7BvKFMUg08wO5bpTKVVo8j&#10;4K2/HYpt6AAwkDrAjypr6vOLS1GHRaVVZzSz30J2+8G30PiJQcqZDYbroC2TMZgsGj3Tjlfb0JRf&#10;VJKSkUUeqJeelVtcVtHY0o4ED+RA3gY0GG0WpA56ixlVBbDBwrQq0f4GKqpHWGDDN998YzQaKysr&#10;c3Jyhm47KCs7lJ2+6sWXZkRNenpMyFyR/2yOx3QHl4lOLguCQl98+un9K1alr3+zYeOO5h17j6Uf&#10;TchNSC5KTSvPyqwpKGipKutsKGtrKG9pqGqEWmWtXTqp2tSth6HAVlg3H6ICvGbYgH4YjA0hsNu9&#10;/oYGSXUdlk2t7T0qDY7DpAI4SB/bKXrvVjh2AKWuvqklm3ncWy7qs1qDCd9I+6L/lWALEBeOoTXY&#10;QAq5S65sbGkrr6zJzitISk1PTEkDHjJz8sorqxuaW7sUKvYWEwbJzMznVoYKwIPJxvQ3WNlHv1E2&#10;UFE9uvr+++8vX76Mv9LS0tLMzEyAoaampl0mK5G2bX137+K5i2b6RY7ne4Y9yQ97SjBhjM/SqdM2&#10;rF51+I03k9/eKtnxbv3BY4nFqenASn1Rdn1xem1hSlVhcmVBSllBSlFeel5ebl6RpKSqraqlp6lL&#10;rWN6hmE0sHUb05rEdBKMsCESQAJhA/YBUcg4JYABUd/U2tktRzYwvCfcCodFkPos3mppl8KwktMz&#10;sb9Gb8S3YDtlwz8dKDq2ABlUo7SRLsh6lCjkvMKS1IzsY3HMwzOSUjMKS8qQ2LHz4OqRK5D92UvZ&#10;zzwp2mY199nI430ABsoGKqpHUUgXIKzcuXPniy++6OnpIdNlgw1NTU0avV7S1bnzyJFFS5dHhkV5&#10;iNx93b2mRE+aPefpFatWbdz61r6D+2PijiXHx6YlxBdlZVYUFFSXl1VKKsrKywrLSwvKSnJKiwvK&#10;y/NKy/JKSssqq6uqG8ormQfs9CjVBnZOC9apf5QNBAwIOJHOZOlWqFs7OkGFiqqaqtp6wgY2UWDa&#10;vh+MDll3UWl5Zk4+dpazSQZ2xvYR30LjoUH6ZlC2pITJRvYlw2CFWgsqIIcDCVLSs5LTMlPSM7Ny&#10;C0orKpFG4NIMXwU2aWA+y0zIyjwQ1Gbu66VsoKJ6pMU824EV2HDu3DmZTJabm5uVlVVSUsLcniaX&#10;FzU3vbV33/wlSyMjxvl7B4yPjF625LmX17+6ZdvWdw8fjEmIS0pNzkhPzc5Iz4iJy01KKcrKLiko&#10;rChFzbGmvrmpsaOjuVNW39Ze1dBUWddYUlGVmVvAPtgZtm5h2MC2NqA2SuxjRLDmMsQG+JFcpW3v&#10;7K5rbIHjF5dJ2qRdelRj2faNhzp+Z7eiVFKVk18INiDn0LIPcnjonjQeDLCB5G2EB+yF6Lf1H8c6&#10;e19bV3llTUZ2blxSCjKGhJQ0gAHMBrxR0LiyI46GwJUCFUgMsaGXEWUDFdWjKIDh9u3b33333eef&#10;f45cgcyBWlVVVVdXJ6mqSs7KWvva+okzZ4RGjxs7ZfLCZc+9tnnT7gP79x07cjgh/mhKYmx6SkJu&#10;Znp+riQmozYprzGzpLlAIq2o726WartUGpXOYDCr9IZOlbpRJiusqY7LyswrLGlu69Domaf2Awyw&#10;DOQEI3yEBMyIdEfDmMAPpUZHBsNk5xVk5uTVN7fig7CwH8sGuhUqUIFt4qhvlyHrIDfcUTb847hX&#10;SlgyFwgvWUj0ag0mduK8DvaG57y4xOQjMfHMc/cKiipr6pGoqVHELELuPxoJygYqqt+ASLpAVm7e&#10;vHnp0qWTJ09WVlYmJibm5OTU1NQUFRXFxsZu2rx5xqxZAaEhYydPWLjiuVc2bdi6Z/eBI4cPxRw7&#10;Ghd7JCE+JjUJbMgsLpCVNSiq2zSNMl1rj0GqMir0Fo1Jr2XM2GTr11lsPTp9ZXNTUm5OehbTOcxO&#10;hMe0/v8dNsCYGDawaQExJrlKg8+SaRjg+AAMs8+PsEGu1iLJYMc11TejoitXUjb8xECZsyODma4C&#10;0idkZO8rBBUk1bVIxZLSMhKS00CF9KwcSXVdU2s7SEya+Eh/z4gDIigbqKgedYEHd+/eHWbDtWvX&#10;zp49a7VaJRJJUlJSZmYmwBATE/PGa68tmTMnMjQkKDhw5sI5L29+Y+veXTv3v3v48OG4mNiUBHb+&#10;/dycXElpaX2Nsl1pkBt6db0DxoFB02C/aaDfPGAyWGzWfhtrDVqTua6tLTUnNy0zp7ahCS7PWslQ&#10;P/P9JnJ/DLOB3c0GGDS2tGfl5oMNZZIq5AL47I+NPlJodI2t7fAysKG+qYW9y4Gy4ScFylxvspBR&#10;SbB7lBuyro6unlJJFZK2eKYdKSEpNSOvsLiiurazm5kEhb2ITNniUzrjQ2BP2UBF9ahrBBuQNHzy&#10;ySd6vb6iouLYsWP79+/ft2/fq6++Onf27GmhodOixs6fO+uFV154+93t7x7Zv//I/qTY2NzUNEle&#10;YU1FZVN9Q4uso0PZI9UaFeZeff9x08B7lv73bP0negdOWgEG26DV0gerMBotLW0duUxzUH5tQ3OP&#10;Uk1uXoNrwH3uN5HhGG7vhqGTdRhQa4esoLg0NSOL7XKQsa3bD+9FkKu0TW0dAAOiur6xrbOLZCoj&#10;dqPxYKDMWegyGYBKq2/v7GbvJazMyi1AyQPMKRlZBcVlYHy7rFvFPJSbeQIrLhCLB6YHaMQBEZQN&#10;VFSPusCDO3fuDLPh4sWLH374oVKpLC4u3r1790svvfT888/PnDkzJCBgsp//ivlzN73x6vZ3tu4+&#10;vOdAzMFjCUezk5Mr8gpguop2qVau1Bj1epule/C44vgJ1fETyt4Bla3f2DtoHXjPbOkzmW1Gg8Vi&#10;Yh7P1iPrqSiT5BQUoRaPKj9sne1yGG7dHhnDbIDdDI92ZWqvjEnlF5dVNDS3gTE/xoYepYZ9pExD&#10;ZQ3w0NAm7UIaM2IfGg8NlCfTOmTtBb87u+UoQJKrxSUmMzc85+Sx45HaSfLHPAuazIMydOfKQ8CA&#10;oGygonrU9d133928eZOw4erVq2fPnj1x4kRra+vRo0eRLixevHj8+PHh4eFYzpw995X1r+/Zd2Dv&#10;gcN7Dx5OSE7NLyopl1TB3GXdCtQW4SDwbpiImfnjvxdMLwKzJBVPLOHySBGkjMvUlZRXwq/Z+fJ0&#10;ZODQj7kJgn2XqYoOv5SrtUg7kDQgyqtqmlrbNXoAaOg23fu8iZkmGr5W19hC2pS65Eq8O3yofxi2&#10;3r7e3j74FzNdqM1msbJ38bLrQy9Zmc1mrGO3EUH2/ymBIzAHIbr3FSOORmLoe0fGvwQ8UnQoFmv/&#10;YO/A8XsM7sPFJfMjlUmqkC4ADPFJKclpmbkFRZW19e2dzMgvtc7I3sFAOqv/FiO+ggRlAxXVoy4k&#10;Dbdv32bvbbgLToAN+PssKCh46623Fi1aFB0dHRAQADY8PWfOyjVrN7219d39hw4cPno0NiE7r5Cd&#10;va5L1qMktX6YCGHDCCNAwCNYv2buKrD2DWJd1qOoqW8sr6yR1MCx25E6sI08TIv2iM/+nUBNtqVd&#10;WlFVW1hazsymV9+oQOWVeUQo8/QeHIrxIIStH2eIb4S71TU2N7Fzvf28/gbYNJz3nthXf3s5QuTd&#10;+zX0xk/T0Gf+Kf3LbEBZMZkZs85SARdFazCjuBpb2lARSM/KjU9KjU1ITkhOw0tcQYBBqdEjXbiH&#10;4Z8UlA1UVI+6kDGACiDErVu3sHLmzJnKyso9e/Y899xzUVFRAENgYOD06dPXvPDCW9t37nxnL5KG&#10;mPjEzJx81PdRE4d3EMeHNbDO/nBzZ9lAHrHADHfBOqqacGqAoaKqBozpkPWQ+2bx1ojP/p3AV3cr&#10;1cgDAIZMtnGD3ASHL7rncYzZIcAG4Kejq6dd1o19FGot6sI/nQ2oyv+tOv8AG8jLv6Oh/R7Q0Nv3&#10;iU0SGLG3gjGPNPhZ+hfZQEoMFwjruI5IwuQqTWe3AvQGCdIys2MTkgCG1IysvMLi1o5O4Jbt48El&#10;G/rUTwzKBiqqR11gA4TU4SYrGNbRo0dXrFgxfvx4f3//0NBQgOH555/fuGnTnn0HEYePxWVk51XV&#10;Nki75WqdsXfguJV9kAtJGlgjfojhsjuwFXm2dgk3Uah10q6e2sZmGDqiqbWDbQ5i0ov7P/iPol9v&#10;snTIuovLKtKymAf4NDS3yhnfR07AQGj4e3FwnK1aZ0Ag2wA/mHvlfj4biAU/aNxky7Cn/9PCEfr6&#10;+lifZDS09WEa+uIf6t+SN5D5S5AKsJ00HbjWeYUlAENcYkp8UkpWbn5lTT3SNWADYEDlgFx3LH86&#10;1ykbqKh+GwIbLly48OGHH1ZXV7/yyivR0dEAAzRlyhRw4vXXX3/r7bff2Xtg38EjiSlpZRLmZma4&#10;LartbG1xCAysRzzcbVmPJneuMS08+CCcWq7SNra0wdZzC4pq6hthNOxbPzqG9cFgjtbbjyQAbpVT&#10;UAQLK5NUtSIHUWpIZZY1LCatYRuamKyFPQFytg8f7frwsP7Ni9kaPyOTyWRkZbhP+h/R0Ns/FPn4&#10;/cIx2R6HoRxl6CvZp6KO0EPx8C+yARcI5UYKTanVAwylFUwHQ1xSCsCQkMzc8FzFPK1PiaxLZ7Kw&#10;KePfivShzYkPDcoGKqpHXXfu3Pn2228vXboEr6moqNi5c+fMmTN9fX0DAwPHjRs3b968tWvXbty4&#10;ceu2be/uP3QkNh7VxvqmFqVGx3gr/sLvNdow7jBk/Q9pd8Z28i7WYSLwFJ3Rgsp7S3tnQXEp6qTl&#10;lTXIJHA0VOfv/+DfD4AEcMJxmtukFVU1RaUVyB1gXu2d3dq/3XtlY7+aaWIiNWLCM/acfwYb4NSw&#10;bNg38Xq4mEKh6Onp6e7ulslknZ2dUqm0o6OjpaWl+WHC9hHCzvjgCOFoSlZqNdIfLYEKvpSgYoSG&#10;gHCf/nU2EGyz7UjNhSXl6Vk5qA2ADakZ2fnFpTUNTZ3dcg0Zd3CvVIdnVsflu/9ofycoG6ioHnUB&#10;DOfPn//ggw8kEgkYMHv2bD8/P29v7wkTJsyfP3/JkiWrV6/etGnTnj3vHjoam5iSjqo5qpNqnQGm&#10;0Dt4grEGdoAp+YMndjxsAcNxjxn32MCOI8KyvbMrv6gkKTWjpLwS1X/soGce2Dny4z8WyF3w1fjG&#10;LrmSHUVTDcwUl0mwzraDs9/Cth0xwTamI3AmpJL709mAejxq9HBq+LVKpYJ3y+Xytra2pqamxsbG&#10;2tpa5FuVlZWAa2FhYcHDhO0jhALHB0cIB8RhCTYAHnwRvk6j0ZA8437hfIaAcJ/+9TYlsEHWM/Qg&#10;VVzuuMTkhOTU7LzCsspqABj81iNdYImLvIFZZ68jChNF+jPKk7KBiurR0XCHM9ZJ/zP09ddfw1Ng&#10;bdu3b58yZUpwcHBERERISMi0adMWLly4bt26ffv2xcTE7N237/CxWHhETX2TtEuuNZhhsqg5/vBv&#10;nrXghxnE/dvJOoluhaqkopIZIy+pAidUWmYm5+FP/cNg5+rphzchdehhp9BA3gDMIHVo62QmAMe7&#10;yBXwRfenCzhtGBkwRg7CVIHZjhDs0DtwghCFLHGEHiXTGdvV3YPMAK6NDKC+vr6qqqqsrKy4uBim&#10;n5+fn52dnXlPGRkZWGJLbm4u3iJgyMnJwZa8vDxswZI8FQNLvByhoqKiUlYgR01NTV1dHZYNDQ2t&#10;94RzaG9vR46CDAN8IokLlsgzmCTDaEJREByyv26ou+XBYFFNfjuzgpf4sWSe7Yqq2sycfCAhnkkX&#10;snILilGwbdIugIFJwlisYmX4It4fpEj/YVA2UFE9KiJ9zmQFYLh9+zYyhuvXr3/00Ufl5eWbN2+e&#10;MWOGp6enl5dXVFTU9OnT582b99xzz7311ltwMfja0aPHYuKTUCVv7eiUq7UwXTgpnGXE3/zPDblK&#10;CyeC+5RJqppaO5g58AymEfv8nQAbYGo4GeABxgUDKymXFJWWI4Gob25lJ01iRtyzVdohHjBgYBtD&#10;2O2MS8LpcATAgN0NBse8i5c4E7lK0yHrQZ5UXV0DGMC7s7KyUlJSEhISwMv4+PjExESsx90TtqSm&#10;pmIf4vugAkkRsA4kEE5gBTukpaXd/8H7FcsKh8IXQUlJcMvE5ORkHBnXAsgBP3Ay4NNQrlFbC3iA&#10;GV1dXUoVU4BkigvW9GHWTOBiscE0qaHQmBEE7L2E9354Lz7SrVQ3traDreABrvWxOKQNWczI4LoG&#10;ZBK4UmQgGYqIfGrEtfhZQdlARfWoiCABK4QKWJ4/f/748eOoim7btg0wQK7g7+8fHh6O7GHx4sVr&#10;1qzZtGnTkSNHiJ3FxsIq0lAfh13CR4jX/IsGgUBVlIyPLK2oIndLaJgp80bu9mNBDI5YP84KMGho&#10;bq2sYR4G19jSxnSZsjcxkFNl2z1IKzlxzKGMAR8HWvQm5gn4Kp1BqdHjrHColvZOJEllldXwx9y8&#10;PAAS1pyeng5bxwr8HTZNUgGYNXIIVPZh2ajpI7dAqXZ0dKB2f79InwRMvLGxEbsByfjUCJHSBlog&#10;HB9LfCOoQDhB8ECSEvLVED5SUlJCWqgam5pR8Ue0dsg6ZN34FQA5fg4Cv4sM0GKr/EyJIVDW5NH/&#10;bNG1IeVib3hOiUtMZsFQDsQCDKTtiJQVG0y53X8hfm5QNlBRPSoaZgPAcPPmTSz7+/thRm+//fbs&#10;2bNDQ0Ojo6NBiJmsli5dumvXLlIFhhmh6nosJiY5LaO+qQU+Ak+Bt2L5s9p/Hhrw4japDFQAG0AI&#10;HF+lNYzY5+/GvaYMNolR64xdChVsjmkFkjPPGgMSAAZUkwkb7p05c/IsUZh1bMcPgXviU7BU8EBS&#10;XYdEJie/KDUjOyE5jTHK1NTMzEwYMQwdtg6LJ30ApJd4YGDgxIkTJ0+ePHXq1OnTpz/++OMzZ858&#10;ek+ffPLJX1hhBcJbyNWw2/vvv4/9RwgXxWQyabVatVqtUChkMhkwQ3o1ampqKioqwCGcBtiA6wJa&#10;IJ/A1cGSECsT1ys7F5GVm59XWIwilVQzD1CC7wMYyIHI9CQgBAoEhQDHxw9v6+wCUMlAVbAhLTMn&#10;r6hEUlMHOiKZULNXHMXLpgtMmsUUOAvXfzooG6ioHi0BD9euXbt06RI8C16zefPmadOmIWMICgqa&#10;PHnywoULn3nmGSQN69atAxhggmQS1kOHDh07BjZkNra0w1aYaiNb5UStfMTf/M8NjcHUo9LAtthp&#10;kQrKq2rYHumRu/1YwLPgMvApK/NgMqatQ8c0pzBej+yGOCAYQDIGZmc2UHHWGkzMjQ4GE/Ch0DBU&#10;aGrtqKprKJNU4zRgjols9Tk2IYl0xmZlZyMtaGhoQN0fxj04OAivP3v2LHKvb7755vr16wS3390n&#10;ZGZEt27dGuYx1qGhPb77jry8X1evXv3qq68+++wzHP/DDz8Ecmw2m9lsJsDo7u4GKnAauHbIUUiG&#10;AWghtyCcSExKjk9i7kIA0pJSmUmz8XPyi0oACZRtdX0jrmB7Zxd+b49SrdTouhWq5raO8srqzNx8&#10;hoLsTBj5RaW1jc1IF1A4gAcCxUhWUHQozOGBSf90UDZQUT1CAhhgT+fOnevr66uqqtq6devcuXMj&#10;IiLGjRsHMCB7eO6551566aUNGzbs3r0b9dCSkhL4zuHDhw8ePBgTE5uSngkfYdqy2TZ6UpEc8Tf/&#10;c0PPTMlg6uxRgA3ISwpLynqUmhH7/J24xwask5osE7b+QaaZaMjUmF5TcILJG9hWciZFYGHQJu2C&#10;USJTqaqtLymvRC07IycvNSMLxhqbkIyIT0oFJGCsAEZra5tKpUK5obKPWv+XX355+fJl+DioAIsn&#10;CRkyszt37pD1YWEjydhIzz9WIGwZfmuEsA8OCH7j4PiKr7/+Gt8FVEBIOJBtIDsBMI4fPw4nReIC&#10;YCiVyq6uLtJPXl1bh5IsLqtASSIPyMkvRAKBNAIJATgBAGTnF8L68S4SI+QKoEJBcSkzUDU1HRkD&#10;VgqKmSc8d3T1AAy4xChPFDJbeiSYZiWSb91/IX5uUDZQUT0qgukADKjkwlwqKipee+21KVOmIF3w&#10;8fFB6oB0YenSpStXrty0adOBAweSkpKAhH379oEKWIGOHj0Kf2nt6GQMl2UDKo9w4RF/8z83DGxH&#10;qFytLamoRA0dXob67Ih9/k4gfSE8IAkBaT5CkI0IbIGXgQeAEKimNZhRWZZ29TQ0t1XW1ucWFGfm&#10;5CWnZyJFII+/RxyJYYLMDFFUWtHANLgrzRbrBx98gBo9ChBZF4ybrfczQsHC01HCWCJLgPWTAidi&#10;DZ9hw/DKsMiWEcJ2HASHxRJHxpK5W53VjRs3gCJgA0uygjO5ePEiYA9yIMk4deqU1dYrV2m65EqQ&#10;j3mWkaSKYV52HrgO9ML92SYypjsBy4SUtMSUNJaFSVjPziusqKph251USnbAGGDAkuBenzZyBfZW&#10;c8KJEdfiZwVlAxXVryDiL1iSl8Robt26BWsjGcO2bduQJURGRoaHhyNvWLx48erVq0GLvXv3khak&#10;I0eO7Nix480338Sex44di4uLAxuysrKbm1u0Op3VahsYGBwYHGSmbmDnBL0/rL0PTyZg2Q+yxGyD&#10;+1iUGk1NfV1mTk5+cVGrtEOl02mNBqPVYumFAfWabaCRZdAyOGBhnhHUZx7oNQ9YLQNW64C1Fwcc&#10;NPUNGvsGDX2DeiwHjhtNJub2YpPZYrHiP6Yphr1RoLNT1tTUXFtbxw46Ki8sLIJdwhlBgoNHjh04&#10;fOzQ0djDx+Ji2CmDYhOT4aRIG1AHR/26UybDcfBzUWFH5f3s2bOwZrAWBQtDJ+VMnH242CGyBRYP&#10;kbfu1/AH7xc2DmvEyweFg+AEcBqEE0gyvvjii/ff/+D4iRN9ff24THq9QaFUSjs7ceEaG5vww4uL&#10;S9IzMuLjE47FxgIJx+ISECAE0qPaxub2zm7kbSqtHjUAkhmADYj7LxkgQfMGKqrfpIac4571wD6A&#10;B9jHRx99VFlZicxg+vTpgYGBwcHBSB2WLVu2ZMmS5cuXv/POO+TWrf3792/YsGH9+vWvvPIK2JCQ&#10;kJCSkgJmZGZmNjc3wyKtVms/K6ywf9E/EP7IRxgBCbZLACvsrdRD9XpU/K1gg0qrqW1syM7PKywp&#10;bu+UKrUajUFP2ADXYNlgPm4eHDQPDJgG+k0MHmyWAZt10GIbNLNsABh0vQOa3j61jZkQm0EDO6GF&#10;Xq9XKBSdnZ344fhp6enpZEhofHw8mHeMTRQOH4s9dDQGcSQ2HkaJhIFUrtl55RhOYD05hemLLioq&#10;qq6ulkqlFovl448/vnz58jAbsMQ6RDAwvBEvyUasPyj2+vxLIngA+EliQXKLK1eu4NywhMCMCxcu&#10;ILf49NNPT5w4oVar6+rq8vPzU1JTWQomAYE5+cwTnpFqIOdQ64zsKFimj2G4k2b4Iv67grKBiurX&#10;FKnYwj7Onz8/ODgIU9u5cyfAEBQUBDBMmDBh4cKFYMAbb7yB7dnZ2Q0NDbm5uVu3bl21ahXSCKQO&#10;SCDgpxDMNC0traWlxWAwsPM1DE3YwP5F/0APZQOqmTCa4RsLhtlgsJiNFrNKR/KG7KLSEpm8R2PQ&#10;6UwGMIPJG2AfvQw/ei39bAwwYWUDYLD0Wayow6J6269n+hXMSi1zzzAcsLu7u6Ojo7W1tb6+HmDA&#10;7yKEQ1YEHT58GD/tWFw8McfUzOzMnLzsvEK4ZEFxGSK3oCgrNz81IwuoiIlPxN74CD6Og4AQKAcw&#10;EjnEhx9+iKo6zBdeDFMmTUwocAjlD/fHCrb8EmzAx3HwB4+Dl+QcyFvDQuXgzJkzMN/a2tqcnJzE&#10;JKZPJS0zp6i0vL6ppbObmVEVSMAF0hktIISaeYIbO2Xhv9xy+GBQNlBR/QoiXoAV1CWBBxgW6vjF&#10;xcXbt29/+umnQ0JCoqKiZs2aBTAgY3jppZdg+sRDk5OTAQZsWbt27dGjR/GRsrKygoICwobU1FTk&#10;DaiJk5ngAAa2SWmk/j4bSLM1k0OwdynrzaiiGuVqVVVdbQbLhs6ebp3JaDCbhtjQazP32pBe2AAG&#10;60CfbRABKtisyBv6TWab2dxrMveCJBqdUa7UyrqVbW1tqBqTW9XI/QH4XfB0JEBIFRgkHDuGdWyE&#10;++fDGiuZJ0g0t0tbpTISqEF3yLrbOruaWjtq6psqqmoLCouy2LvekHNgCdKUlpaWl5fDZ7u6ulAg&#10;H3zwwdmzZ0k/BGrxI9yZpcNIPWjfROQi/kNhzx87Ag4+nMGQdfxL+Oyzz3Dtampq8EOQPCUkJqZn&#10;5ZaUS5rbOpQanZ7ttycdCSqtXtajQCjUzKxZbP/ND67mvx6UDVRUv4LgCBBWbty4cfHixY8++qi6&#10;uvqtt94iGYO/v//EiRMBhjVr1rz++uv79u0DFVDXxj4Aw8qVK7F948aN8D6NRtPT01NVVYWUgtgr&#10;rFAul+MPGG7IYOBnsYEFA7k1F1uYUbDWXrVe26NStEo7yqsqs/NzyyQVyBuMVgvAYLZZQYX7gkk1&#10;bH0DCIu1D+gwGMw6rUGr0qkVGkWXQtYma29qa6lvKSkuwQnjbMk9xoAc6UGBsI66P8AAYOTl5VXV&#10;1jfAGuGCahyJmVgUVWbScQ1PhEui4ixXaTt7FE3NLSgHgkl8nBwWh0KxFBYWIt9CseC3gxBII0iX&#10;NTgxnLdBQ7b9E0Qu4k8U+QiOz9CG1dAbrPAWTgAJzblz53B6OE/AEueM2kB2bi6g2NjS3qNkbmbE&#10;T0auIGee1iBv7ehsam1nZsmQqwzMbIY0b6CieixEzAK11/Pnz+PvTSKRbNu2bcGCBeHh4ZGRkQDD&#10;7Nmzly1btmPHjszMzMbGxqamJlS0USN+9dVXkTGAInBV1L6RbSA/kEqlqIMTTywqKsL+AIbRaAQY&#10;8C77F/0D/RgbyJAkxhTu3WGg0hqkXbK6psaKqsri8rLi8lKsKzRqkivcH9hisFoNNqvJhoqtRWcw&#10;qlTglqKzXdrW1NpYXVcNqhSUlOUUlmYXgAqkOwH2TZbsSKvD+FHwRJgjfgWMHjmQtIsZk8O0pTA3&#10;/bKNXfdavcAhcp4wTpBDoVTKZDJmkGh1NdIpHIccnGAGCQqKCOBE+oXCIb3WhBOXLl2CNeNasID4&#10;x8K1G7qKP00MGdjLDQYQAQ/kOFgiicEJfPLJJyaTCeeG8wQYkP8BclXV1W1SWZdcyfw6tRZ8RJJU&#10;XdfA3qNeWVGFXArlI8dleqAv+t8QlA1UVL+CiClcuHDh+PHjAMOGDRumTZsWGBjo5+eHlaVLly5f&#10;vnzdunXwyvb2drgGqpMwuy1btjz33HNvvvkm1kELGNzg4CCOgJQCO4AisEL4IPKJlpYWvV4PMIAQ&#10;7F/0D/RjbGCn+yc3HDCTNPQo1bIeZV1jQ0FJcVZebmFJcWVtTUeXTG+GF8EvCBWQOjDZA15qzEaE&#10;1mRU63VylbKzsxNmVyOpLC8qKcjIzmTGG8WmHI5NPRyD/ACJwsGDB7GCqj3q+DhzCL8Ltl5TU4Pz&#10;h4PjJzC5wr374xgwsDwg7SrsFibAM1DNzP5YlIlCoUChoRBgsihAsCGJFZnyCOWTlZUF5wUnsCcK&#10;8NNPP8WFAB6QQ4wQfBxXaoTg6UNX8R+JhcLfRD4OMBA8QPgKVA5Onz6N/A/oQi5FThUJE06vQ9oJ&#10;JCC6FWpAoqa+sai0IjMnPzGF3OVQCk50dPWodczTXkdczX89KBuoqH5ZwQ7gBbAG8pL4ApZff/01&#10;vLu8vJz0MYSFhQUHB0dFRc2bN2/NmjUkM4BRMnVnqRQVSSQWr7/+OigCD62srISvWa3WkydPwlmA&#10;Bxgx/I74ILyvoqKio6NDrVbjLxm74Yvul9lM5t4ZqmzCZ1H1Vmn1rA2pUFVvbpPWN7XWNjQjCktL&#10;QIWSivKahvr2TqlCo9Kbjdb+PsDAZMVxTDqTUWs0oGbfrVLIVArAo7G5CXXecrhdSUleRlZGUkry&#10;kdiEA0cS9x9O2Hso/t2D+/ftP3DgABIF/BacM6iG+jJ+LH4Xfm93dze8EkRkTvVvt3ExHeNsrvCD&#10;1IH8BCbYZ/uYzWaQUi6XA5aFhYUZGRlAAoQywVfAfMEGbMRL+C9OEIjFziTHGhgYQHl+/PHHn332&#10;2Zdffnnu3DkwA5V6oitXrgx3ZZNL+Q9FLj32J1ef4AFbcJxvvvkGX/HRRx/he/F7kevgxIAuXD4A&#10;kqRNyBbrm3EVmipr6iuqaksrqpAuFJWWk5k2auqbAAy5SqM1MPMv/a0c/k1B2UBF9cuKqTGyIi/h&#10;Drdu3YI7wINghZs3b549e3YIq6lTpy5ZsmTBggWrV69OSUlBFRie1djYCEi8/fbbSBdAEVSx4Wgg&#10;gUqlwh/qqVOnyLQNMDjwAM5CquHwPpgLqs/YTtiAJUS6H7Agd8/CW1HpJrebgQqtHbKG5lZJdW1h&#10;SXlOfmFGdh7qp8VlpeVVkrqmxnZZp0KjRtKALAFsYPHQa7JZwQaVDtVbVUNrc3VjfZmkIjcvDwaX&#10;kpSckpiUHBOXdDQm8dDRhP2H4/ceZOLdg0fYO/WG+xVKSkrq6upwtl1dXeAZfjVOGKcKWX76IP17&#10;z33DZ1F0ACryD4IHCIVD5jtC6QFFKCh8NQRs4FTJ4FdcDqAC5wD7w1eDuLhGX7A6e/YsOAE83Lhx&#10;A+ZOLuU/1DAbsIJ/AFiBrl69ikwFEALDyMhdfDs5E7ABp5qbmwtM4oSLS5hHKqVn52YyHfIlAAMg&#10;AVo3t3W0d3Yx0yjphoYtsZh8oED+taBsoKL6ZUXAAKHKSZziq6++6u/vRwV569atkyZN8vX19fPz&#10;GzduHKiwfv16MGDPnj2wDPwd9vT0kIxh9+7dMFO4GJID1DHb2tqUSiV2ABs++OADYjTwVhgc/IXU&#10;x+E48MHa2lrmWWXsU2iQauBTMF+1WiNXaXuUGplc2dHV08J0bHaw06PWl1dWF5dVoGaalVtApoSr&#10;rK2pa2polXZ0KxVqPTN0FXjoUSrkKmWPStkl78FbIAd2qygrKczPTUtOjDly6MDePXt37dizY/u+&#10;nTuO7H037sCB2P37j+7ZE7N3b8LBg4nsGCT4ICrvyJxQFDg9/ATU+mHKrAX1EpeH8Y3wrB8Ls4XZ&#10;n3wcK/iRwAOKkcxoBPbA9OHFLS0t+EYUIxkfBUcGolC2ZAQwmApfRgm3trZifwAYmNHr9Uhi+vr6&#10;wOD32Qk52Hn5/rHOnDlDJvW7/yUuFg6Ig+PS4DRAKaRQe/fuPXLkCE4GmQ1OAGeIa5dfwDy6JzUj&#10;G5wGGGobm1s7OrvkSmZOFHYavr/9dsoGKqrfnEhtEWxAlfNbdkI3uB4Ma9OmTbNmzQoODg4NDZ08&#10;efK8efOeeeaZV155BW/B1Do6OuAdMFDkCjt27MBGbIGhNDQ0YDuWeAkzRd2W4GFgYACOg42wGzgd&#10;7AaWh+QD/gsTRFUU22E6cBxUSCWSStI6gdpobkFxLvMY5+L8olJsLJNUV9bU1TY0Nba0t7R3tkll&#10;Mnk3GKDSMTe7kfwAkAAMahrqK6qrkFVk5+elZmYkpiRnpSWnJMTFHD54cM87u7dtfXvDGxtefWXL&#10;G6/t3bE9Zv++2AP7j77LQCItJhZnlZ+fT+rpJAdCroBiYTIFVlgHJ7Dxp7PBxM52ByrAv+DjWNdo&#10;NMgVkDrA8f//7P2Hm1zFue4Nnz/g+65zvvfdZ++zbXIWiiiiiBKIHIVyQBIIEAKBhERQznlyjj0z&#10;PTM9Oaee6emcc8+MRLSxtxNOgG1sbJ9zXd+vqrpbox6BJZCw5NN1PVpavWatWrUq3PdzV9WqxYPD&#10;Ctyrv7+fbIQsyWSOwBkAMZxKLsGmJAzCYIccI4UEcp6s4wQ1I5Y0wxwUwSUF7kJAtSDmampq0EnE&#10;zI2UzoMVKK8jR47AT4qcKCNxo4bGpraO1o4u9Jxces9udYgXGtRAi+xPOzf6kpAb392S3JAMyXBl&#10;g+IGduCGzz777OOPP6bZb926ddGiRaorCemgPt+2ZcuW/fv347ECcGwBDgQExADWg2i4nDit4J0C&#10;NeiBg6AnEgR/lktwvUEf+IBI9u7di3oAdxAQXM42JSWFCPkr3jGoNOy94szUzOzMnLyc/EJNRZX8&#10;IltLW2e33mAEjMw2h8Vhw8x2W7/Z1NWrb+lob2huqqrRlWkrcgsLUjLSDx8/tvfggd379h55992D&#10;b7+1f8f2/W/t2PPmth2vbn5t4/NvvvbK/nffPnX0UNrJY+mnT+Rlp2uKC1QnEgAN0ADi0MBwYlCB&#10;IzzUpXIDQdEDMbAPDQDHihoBZXJVjWSQbzAr+2QaIozMBI5hEZgAekCrwcoqkGP8ZMs+GYhrf0mB&#10;S1Q87AD9lMLp06fZEtTPNDlEpM6hXEgADETmUMR9BoPNJV6BFnN21Xc9pbnlSqvyLUUx+uKViyom&#10;5MZ3tyQ3JEMyXNnwf2T4uxx8xp+FGN555x1UwvTp02fMmDFv3rxHHnlk1apVHMRnBBHa29uBBhD8&#10;7bffhhgAJrzdTz755E9/+tOvf/1raAAvG4xrbm4G1MA+0UMkHWQuP3jw4Jtvvvnaa68Rm+pZYotD&#10;qt4eAJXAIwVGsdXcxHrR6Vm5Wbn5OWKxpHLUQ0VVTXWtUA91TS31TS01DfXog6ramvKqyuIyTX5x&#10;UW5BPpaZm3MqLeXA4UM73n37lS2vPf/Si5tWrnppxYpNq1e/+eKLu994ffe2re++vmXfu28dO7A3&#10;/dRxVEW5poiY2tuiE0lBZxBcAk40kD/RPRn4ed5o8zca5AIrxLmBwI7D4eju7oYVcPzxx8k01BVs&#10;SsyKPNS8JrIRyUXmq7nCKAMuUR07bAmIBmIAuAsLC8nnSwrqErQIZQrHEOAAZAp0BRupHiQITMkL&#10;WIrMgTUtFovd4ZDf+REzx5RWgAMUN7ADdkdfURyRFZfFktyQDMlwZQPE8Ne//lWtrgoEqLWSpk6d&#10;OnHixPvvv//ZZ59Vy26D42A9gAUq4ULu2rXrlVdeAcdpip9++qnqj4IeIJizZ88CZyAILAKWsQOg&#10;APfEvH79emJbt27djh071PTQw4cPIyMOHDhw6NAhtWKrOp6dV6AMuZBTANwX5xWW5BeVFpZoijXl&#10;WGFJGT9zC4szcrKx9GwoJDM9OzMjOytT/uRgWmbG0RPH33r3nRdefmn56pXLHlj07IKFyx988OUV&#10;K/a8vuXkvj2phw+mHjucfupYblZaRXlxS2t9v7HHZjfyUHGtoLaAtcJrJRdUEPsX3ZMejgwQw/DY&#10;2Id+TCYTGQX+lpaWkrdQKQDHOfF7wRAElIQKkAdcqwgDViaoDiiVzygzmIPtxQTOjAd8AsUxkAFb&#10;mAAqosThJOJXvWrDg0gTSkguwa2+EqoWrBUr7MaoQsB3UjckQzJc/UHRgBpd4KcafOYggE5rBx12&#10;79798MMP33vvvSgGtVbS6tWrcfNx5wEOpQPwK5ELe/fuzcvLAzU+/vhjWCG+xgMkAVV89NFHOLy4&#10;3qCeVqtFEGzdunXNmjXPPPPMpk2b3n33XS6HEiAYjr8qAzvbt29/6623OJ6enp6vHNrCoqLiEvHt&#10;ypLSklJNKabBytjyk4PFJaVFxcWaMo22srJap6utqwMXm5qbWlpbu3u6O7u66hvqiWf3nj1rn3tu&#10;6TPPLHtm8ZoVK159+eUDe/akp6TkZGYW5OWWl2ka6uu6ujpNpn6Hww78+iTkCQuGpUUCOP7ipzgi&#10;UE+a+lMCZn2dAZ1EoqIlKhWbLxB0ur0Go7m+qVlbrSPpJqvN6w+QAGHBqPmFRXvwxVV46P6Qxxe0&#10;O90WmwMHnq3ZajdZrEazpRd+6+u/KOsdboZusdRHX0d3TweM0GfoN1uI1u7yuLw+bqdyIJZy9ezR&#10;/jTxaFIfqE6kcya5QZk68zJakhuSIRkuW4ASgG+C4gaIAUyHIT755JOqqio1XXXy5MnTpk2DIZYt&#10;W4ZoeO6550Bq2hvk0dzcjFAAvgHx3NxcpRj+8pe/EJsKxEmEqIcvvvji5z//Oa4xzixcsnnzZljh&#10;qaeeIk74gAhRIezAE8iIp59++oknnuBe6Am0CPzEXdQANZygejZUl8sFA5RGwnBvccDxqfG1BwYG&#10;ICcS8NOf/pR9CAySgZC43RtvvPH222/v2bMHgZKTk4OrjvtMInHDuZZnVGrgSmDZ11jE7Quabc62&#10;zu76JjGOYrY5PHKSzwi7QJLka4CiD2e4OeSn6L61yTXyxI7qLxLDBhLiE279T7ckNyRDMly2oBAc&#10;blA+Ptvf/OY3Z8+eBRzfeecdhMLo0aMnTZo0d+5coPzll18GqQ8cONDS0gLKoxjUdFWwNSUlRa/X&#10;A76wi4pTRS55J7rWwu9//3u3211ZWQkHQAlLlixBHCAXiASkPn78+JYtW5YuXfrggw9yu+nTpy9c&#10;uHDt2rWgNqyj0+k6ZCBhiJXu7m6gnzteMCBQwPRIJAIf/PKXv+S+f/zjH+En0vbll1/+6Ec/Avch&#10;GMgA1jl69GiGHPHmLggaZI3VaiWdYAoxSGwR4eLVwOWwiMvr7zdbu/TiQ5uAsuisP48VlF0gSVcI&#10;sgORQaSAWsownoCEc/7pluSGZEiGyxYUdkMJOPts//znP9OW8J1RDE8++eQ999wzceJEFMPixYvx&#10;4iGGgoICKMFoNNbU1KSmpgLcwCsH+/v7wdzPPvss3ptE5GxVDxXcgBb58Y9/XFdXB7Vs3LhxxYoV&#10;qA2wGKCvrq6GWrZu3bp8+fL7778fVoCNCJDEjh07+Ctte3BwECmjwk/kB/T/67/+S3zT8kIB7UKA&#10;5P7whz+oVWMJMMRvf/tbEgn0w08IkcOHDx88eBBOQi6gQngiRQzIBbSC7P8XAwCXOorw3Q0UBuId&#10;bp/V4cLUIn1xRB5mF0iSNyA+mzPCLnj5JZikhIiKSk09uhIDBt/RktyQDMlw2YKCbwKs8MUXX3zw&#10;wQdA5BtvvLFo0aKZM2dOmTJl3rx54PhLL720efNmkBT0DAaDuO2nT5/G5SecPHmyt7f3F7/4BSgM&#10;KyiJEOcGAkeIHMi22+3QyaZNm9SarHl5eXCM1+stKytDfKxZswYygBLuuOOOO++8E4ZYvXo1CM5V&#10;XAuyE3k8qDSr+EcGEqBOELwnBzw+//xzSGVoaAjor5eLPZCS9PR0OOmI+Gz1qeLiYh4cXWKTi3b4&#10;5IqwBIiBwCN/v7pBGEAcQ+FEpI7ZJXDDZTQgWKmHhFv/0y3JDcmQDJctKBgF1n/3u9/hm+t0OmD6&#10;qaeemjZt2gw5+PzYY4+B0RzMz89va2uDG+LTVXft2pWdnY3j//HHHyMLiI2oFDQTVOQEoJwTOA0s&#10;fv3111944QXUBoqhp6cHUkFJHDp0aN26dY8++ih8cNddd91666333nsvR4BvvV4PpgPuxCzTKwJk&#10;Ew/RQyMCf+LWJAbFgIAgAXAM0F9VVVVUVJQl3wAokW8G7Nu3DwWjSA6WIknDuQFWYBuJfH/EIABO&#10;DNUq6I/aMD4YbhdOVSA8mGAizu9i8l4qPWga+fXsM1fi4zzf0URSk9yQDMlwWQIYCnr+9re/RTEA&#10;+rjzCqMnTpwIMaAYnnvuOdD82LFjaAWPx9MgX1WDFdAWOPUmk+mXv/zll19+GacB5a0rhpB9OV/B&#10;OgaDgRgQHyD+li1bNBoNmOtwOMDiAwcOICNQDGgUiIHAztKlS4kcF/6nP/3pn/70Jxn3eR9Mjofo&#10;ofMDx0kGt1YvWMB5pLO6uhq5QLSKGKC68vJy6IpHXrly5bJly9avX3/06NHOzk63/AhdfMIo2/Cl&#10;vLXwHQ0gVsvKivFnicWXyA1fd/A7mZx3NDw2AcSxn1eLJbkhGZLhWwYFskAnW3AT9ARDwe6BgYHG&#10;xkYQH5WAXMBtV6urAuV4+iAp3j1ONz41jjZeP2dmZmbi+H/00UdEgmhQZEDM7BA4wvEvvvgCcDeb&#10;zUDwq6++Smw46Xjr4K8asQCLQeQ4Mdxyyy3cndNw4TkHxYCgiSc4+gzDgjqu7sh+9Kj8Mt1nn332&#10;85//PL5qE+mHEkgzigdmgidKS0tTUlLQQ/DQPBkeeeQRxBCPicJwye/QwQqKHghf56RfdlMeujf2&#10;NoA8KI5c0DhNvjoguv6DkaGgGDHGVFQC04ebvEQxCnbhc77e1Pnikvjdhx28KizJDcmQDN8yKDBV&#10;WwD0z3/+MwyBYgCm33zzzYceemjSpEnA9AMPPABiohhefvnlgwcP9vX1gZU6ne7UqVNvvfUWZwKy&#10;ID7gSwxEpYJCZ7YqwA2cAAcA9MRDbEgNXHUu5KBWq0UxoEgWLVrETUeNGnXnnXdOmDABpZKamoqb&#10;//777//hD39Q0ar41SOooG5B4Dj0RmCHn5AE2kXNl1XjItwxIyPjeGxVOO4LTxBUtxhyYerUqdyd&#10;NNx///1oGmgjPuSgOpSgB/avQijE4Ab1dSPp1w8qHFf7wtTkoujJcW5IoId/HUtyQzIkw7cPwCjo&#10;qWD097//PcSAp4z7DB+MHz/+nnvuWbBgAYgJmm/fvv3EiRPNzc0/+clPBgcHc3Nz1ZKrHEQx/OIX&#10;vyAGhcgqCO9dDkGzD2f8+Mc/hgbAZZQBYefOncCxXq+HZojz0KFDK1eu5F7c8fbbb7/jjjvgpCVL&#10;lpw+fZqrfvvb38YVQ/wuKv0E9jmibqf21UNxU+TCp59+evbsWeRCe3s7EgEaI05YDWKAAltbW5ua&#10;mtAuu3fvXr169X333cetCXPnzl27di1EWFtbG9cNcW4QwuGq5AaAXk0ZEjuBkMPjs7u88usI0U/O&#10;SWEhRrPP54aoJcR2rVuSG5IhGb5NUGCqMBQ8ZRuJRPCjIYYnnnhCvfkMQzz77LOA5qZNm7KyspQ4&#10;AKaBy3fffff555+HGMD3n/70pxwkNumyi1Fi9v8aW9CbP0EnUI4afCa2PXv21NfXIxeQIDjmEAMy&#10;AsXAHe+++27c9unTp69atSolJYVzIBXV2TWcANQjjAz8icA5CKBf/epX7733ntfrhXu4S1FREWxU&#10;IFcJVW/DdXV1kSoIY+/evcuXL583bx6ENHbs2NmzZ6NgoBD0BI8MrxCJoINYEPRwlXKDWH9CjU/Y&#10;XB6D2WowWc02JwzBEUUA/BXaEMQgJIVSEoon/tWkQ5IbkiEZvk0AQEFbAtj9hz/8AcUAgG7duvXh&#10;hx+eOnXq5MmT8Z0fe+wxRAMe9I4dO3Cxf/nLX4K8IDWoCpo//vjjqIePPvoI4FagrOCbyFXMHFHf&#10;gcHvTktLQ2ds3Lhx27ZteXl5BoPB4/Fwx3379hE/JMRNx40bBzfMnDlTEYPNZvvZz36GaIBm4DCV&#10;YOJU6R8Z+BMp4XGQC9w0HA6riU9qkTg1ulAqF9ZGQwD6EAM/FTHMmjVLfYVizpw5sNfhw4c5jXNI&#10;JIoBYoAPoswgw9XJDRLlBfo7Pb5+s7W9q6e9S9/T1y+/2CwWt1DroTq9YquGJWTXk4TRf7lupSQ3&#10;JEMyfMugwPTzzz8/c+aMTqeDAJ5++mm8Zvx3tvPnz3/wwQfhBkTDyZMnrVargmmIBFQFQPkr2Prp&#10;p58qVlCuvcJuwQxyntKHH34IkYDLKIYNGzbs3r0bt53L1YAwELx+/XrFRmqMYdq0aRxJTU1FUvzi&#10;F7+Ah5SsSaCE+E91axVIAClUy2CQ2ra2Nu4FMWRkZMBh6APFCtCSxWLp6ekpLi5G/UAMPCy0BDHw&#10;yCQSMVRVVcVpsEICJcTD1coNAhCRBdAAlKC+2l9eWc22ura+vrm1RXxKobe332yy2m1Oj/zmmuxo&#10;Em8qJPuUkiEZkkEGsBsX+0c/+lFLSwvu/COPPDJ9+vQpU6YsWLDg0UcfBfrvv//+xYsXb9myJTs7&#10;GycaZ5zzwV80xLp16yCS8vLyX/3qVwqa8euVa88W5x1M50w89yNHjrz44ovPP/88tygrKwNt7Xa7&#10;VqtFMQDEEAM3HTNmzOjRo7k1t8vKyuIEUvXll18q6GdLnEC/ip+fBPUI/OQpuB0no1G4CkCHAEgY&#10;6oRkQ0uFhYWVlZVQhdFoRIsQYA4SgGKA+RQxEGDElStXwoKcaTKZQBA1tACaKD7gJ0HtX52Dt2qo&#10;GUFgc7o7uvVVNfUFxaXx1WqLSssrdXUNza3qYzt9RovF7nJ4fC6vHz3hvgJfbP7nWpIbkiEZ/nFQ&#10;Tj07wCtbheC///3vw+FwfLrqrFmz5syZM3fu3IULFy6SAbZYsmTJK6+8AmLW19eDqiiMjz76qLm5&#10;GR0A3HPw17/+NbERfxy72aItPv74Y3x/gH7r1q0QyYEDBxAZaAhgF//9+PHjaowBoQAroBi4NVRx&#10;+vRpPPpPPvkENQPoKw5gq6JlK3nhvM4riIEHgRXAcdAfnoOBEAooBrQCCoAjyBQF9y6XizSUlJTA&#10;TGvWrEEoTJo0aezYsTw1j3P46PGKyup+k8Xp9ro9Pq8/4A+G5cKisVVFpYmfVx83xMaTxZCD3eXt&#10;M5rbOrtrG5pgCK2uFumAVdXUVdc21NQ36rC6xrrG5taObs5EZ8AQ0IMYdYiOQBDbtd3LlOSGZEiG&#10;fxzAWWBU7bD9q/weA0BfXV29Y8eOxx9//N577506dSpYCR8gF5AOAPczzzyzdu3al19++d1338UB&#10;r6io0Ov1Ho+nqalJLaBtMBjw1hVYK/oBsrnFp59+imI4dOjQxo0bIQbogWtRHv39/TjsXMtxbsQd&#10;UQx33XXXhAkT8NnT0tI45/333//iiy8U0xCIk/jlQ0QDPznOCezwIKiTH//4x4A+qUIiqKEF9Z5z&#10;XV0dGgJKI80EziEBSAoUA7eDD9QYA6QIT8B/YGWPwQhKgoxqyVI1vScBdK5OI6lihpKEdY9fdCuZ&#10;bU6jxQb09/T1t3f1NLa0wQdIhzJtdWFpmfqYtqaiqqm13WCyIjVQDzysfMNZccPVSIEXb0luSIZk&#10;+MdBISk7yhnHr8fRBtlBSThgypQpM2fOvO+++1AMqjeJAGEAoC+++CLc8Oqrr+7cuROsxxkHgnHM&#10;uZCAD65ehAbNIRu2/Pzggw+AYxTD+vXrEQdvv/02eA1VAM1quuqqVaugH24KK4waNQqGWLx4MdCM&#10;1/+b3/wGHUAKCYoAJEGIMJwk2P/qq694ip///OeRSMRqtTY0NEAMRALB5OXlQUXcC+FisVgCgYBY&#10;5cLv5yfHSTaEN3v2bG59xx13sAMxHD16FCKxAKiIgsGzwciQnO2j5oNeG/goJiDJd6fVK28ckcQW&#10;9gbDgL7F7tT3m2CI5rZOGKK0ojK/uDSnoCi/qLSiSgdt9PQZHW4v53M51ypuuKalQ5IbkiEZ/kFQ&#10;OKuAlR0A91e/+hUtpLS0FKd+4sSJwDRM8PTTTz/00EOqK4n95cuXA+4vybBp06YtW7a8/vrre/bs&#10;OX369MGDB2GLbdu2VVVVDQwM/OxnP/vkk08gG1jBbreDv8ePH+eE1atXIxFAbbx1eEin00EM4DLE&#10;M2PGjDvvvBNonjZtGqelpqYC4j/96U/RASqpSoIoPogHfqrAIyAXPvroI24HByAFcnNz09PToS54&#10;q7GxERpwOBxqipESDSSAP+3evXvZsmWwIHIByYJa4u7Hjh2rr683mUyAI/Aqu2WE6x0HymvCoDHS&#10;TOJx/OG2YfNTxfp6PJdTvO7gQR+YbY7efjMkoa2uKSotLyotK9aUNzS3mawOlzcgL4nqhiQ3JEMy&#10;/CsHUHU4N+Bxv//++wAl4I5KwG2fN2/eM888g/MONzzwwANPPfUUiPnCCy9s3Ljx+eef37BhA+oB&#10;ekBAvPHGG++++66adMRWzUb1er20N8AdRK6urj5w4ABEAje8+eabnMBBoDk+XRXFwB3HjRuHaJg+&#10;fTrSBGIAx1EAv/vd7+JCQe2oNKvAPqLnT3/60+9//3u4bWhoCMqBnLhFhvyWPcTAT2QNdyQ9ihgI&#10;6BVUi1IMS5cu5aajR48mATw16YGuIAaUB5cgFNS7Y4AsW/AFkB0ON1ezSUAHyqPIHn8KaQLo42cq&#10;woMIOrr1NfWNJWXavMKSSl1dT18/8kKRYpIbkiEZ/q8I+NrK7/7zn/8MtoLjeNCQgZIIIOaTTz75&#10;xBNPPPbYY7AFnjXQDxmgGJAOACg/FVVs3rx569at/ImD0AY8AbLjs6sZQQSc98OHD+OJFxYWohja&#10;29s7OzsBXyAYjfLwww+jUdR0VTCayFNSUgBulMeXX375hz/8QaWWpKogRUI0IClIOQIlHA7DJR0d&#10;HciFHPl1exIA1XG77u5uCIPGDyVEJxT5/fExBghv9uzZY2VAuHB39E1lZSWKIRAIwHChAbUGEcgi&#10;QFZCjALcc4hzlRuplaygPvEmXmLgccQTKQ0RfRxhSAST1Q496OoaijUVZdrqptb23n4hnobRybX0&#10;7AmW5IZkSIaLDcArvvlPfvKTuro6kBHHGYmAgw/Kz5cBnlAvu0EDqAQClMBf+al2YAv1Cttzzz2n&#10;+AOqePvtt2GagwcPQglp8mudNTU1RqMREMcfx5ffv38/txs+XXXy5MkwE1wCS3344YeoAdBfDZgT&#10;YAWVYKQDaUbo/OUvf/n8889JORIEvgHQkQvQEjGUlpYiSlpbW7kjf1XvMBPYh0JsNptWq92zZw/P&#10;NWfOHOTChAkTYAjo8OTJky0tLeget9sdiUSgB9AETAQZAVA1H5Sda4obooohBu5RMpCPoEycFvs5&#10;AIVAD81tHeWV1aX8q62HKpAO8TU2YtFek5bkhmRIhn8QVP8MOyDsf/3Xf4GYePdLliyBG9iC9QD3&#10;ggULgE5Ew/Lly8F90P/F84OiB3Vc8QQ7W7ZsgRWIDccccdDY2NjW1gbci/4Zt9tut0MSR44cIcKH&#10;HnoIYrj77rtvu+22++67D16BSPR6/Y9//GPUACkkebACTKDogQBDkOw//vGPv/nNb5RcMJvNcECF&#10;fKMNpQI9IBfgOW6KOHC5XIoYxGsIUgf09PTEFQMPq6arskPiSRWMQoTqKhQGqCGJQVgcFmPAOhx0&#10;BODKc4SBwmpGEzh7FYBplAmGpYR9SRKxI4rzJDeIP6ES9AZjY0tbpa6upEyrra7hp3wu8WjyNHX+&#10;tWdJbkiGZPgHAX9cccOf//zngYEB/Oi33noLVnjsscdWrVqFFAA6Fy1aBGSD4DjUSjdIRniRv7Ll&#10;Z0Lg+Ouvv75Lfve/ubkZeP3oo48gnl/+8pefffbZz372M9x2nU4HcxCbevMZXB41ahRuOzdFXiAp&#10;QHwUg5ILMAEMwQ7pVKzAT8js008/PXPmDHwD95TIz+9kyeW1i4uLiR9W6O3t5a/cjmYPMbCFGPhp&#10;MplgDhSDmq56zz33wA1qVpJ6XUMNhHCyTwZ2EsBFGRBzPkQKnJXaQnADlODyBjC5YNE1g6TyEQT6&#10;k3KEQnevoa6xpbBEU1Csae/Sc1z1SiW5IRmS4V85gLMKc4Fam8126NAhhAKIqQacQXm0wsKFCwFQ&#10;uOHZZ58FPUH/f8gNb7zxBtyQmpqK5w62/vrXv/5Kfh36D3/4w9mzZ9EQaroqMUMMd8hPe86YMWPF&#10;ihVAc3d3N/wBV0ED8aAYgnQSyeeff/6LX/zigw8+IGbQv7a2FlaAUWAFdtS7C11dXTwOJ+D1oyqg&#10;PXYikQhEhSLRaDQkT40xqBEOhBGPhmLgWi6ESAYHB9X0ViJhmwAuytSIrsR9YTGfWswNFQaMKhND&#10;uNcKkgp6U9xG+h1uX7/F1tjarrihqbXDJldegu2S3JAMyfCvHMBc6AHYZQvObtmyBTJ4/vnnN2/e&#10;/Nprr73yyivgNboBEFdD0wA66K+4gaDIICGo/qVXX30VCXL8+HFceLfb/dOf/vRXv/oVO+AyigEG&#10;evTRR2fOnAk033777ZMnTwaaMzIylGL44osvlKAhKFZgyxEI7Le//e2HH37ocrk6OjqIWS2hilyA&#10;FRA9aAVcfjHlVM5SFf6+BHcoQW37+/tRDBADjzlv3jyUypgxY6ZPn87dSSqKgWuJXJGKupwt7JIA&#10;LsrUC8OyE0nIBfY5ggGp8eWvOU2i7TXEDYIY2AmExeRXh9vb1tlTUlZRWFJW29DUZzQjJtSrcCOu&#10;vWYsyQ3JkAz/OIC/gO/f//53fG3g/sknn1y3bh3Iju9PeO655wBxRANb/oSkUHri64hBBf768ssv&#10;wy5vv/22Ug92u522V1lZGSeGadOm3S0DDLFs2bJjx46BywiCL7/8Mp4w+ICEoSE+++wzNAfs8v77&#10;74P7zc3NcAx8cOrUKRgFhqiuroYYjEYjfx3OB/F9j3yPoaKiYt++fdxOra6qpqtCDIcPH25oaICZ&#10;SCfnqwtVINlCQIzAFyzKDRJM2QFGbU63yWrvN1sxXGwUg0BY2a2fcO1Va4Ln5BOpeVkwXHevoVJX&#10;W1quraqpa+vq6TfbYD5Fe9eoJbkhGZLhHwflmOOSd3d3IxSUPli7di3S4c033wTln3rqKQ4SHn/8&#10;cWTExXCDOmHTpk2wi3onTg0G7Nixg5iJZ8aMGXfddddtt93GDhGmpKR0dnb++Mc/hga++uorkkRQ&#10;YwykjYNwxuDgoM1mQy5AA/n5+ZmZmbm5uYoV4kuoguxIEzx9yICgkB0FANZDG+Xl5WqMAWIYO3Ys&#10;xKAmy6IYqqqqzGYzZ0IhMAFCQV1IUDsJ4KIM3PTIPiWAElfabHMaTNaObn1rR1d7V4/BbFV9L7F+&#10;p8TLr04DN0W3WCAsh6YjcB5aob6ppVJXp62urW9u1RtMdpeHh0q48BqyJDckQzL8g6BQWOEv2Ap0&#10;Pvvssw8++OBjjz22YcOGbdu2wRbqxTcO4uwrbkATfDM3ELicAEnAMUTCDhIE1nnggQdQDKNGjUIx&#10;TJky5ZlnnoEzcNgVMaAVYCm2Si4QkBHxz3ZqtVo4BqEA2XAVIqClpUW9zqbIgKA6gtQ+V/GTv6JI&#10;QH+lGOLTVWGIJUuWxKerwgoDAwNcq65SOxIxvpYb4qAPkiIacKi7e/vrGpt1dQ21Dc1degP+NQ74&#10;1TFP6aIstqKGGEdR/Usub8BosbV19vBE2uqamvpGZITNKSTR8AuvLUtyQzIkwz8IEIPqU/rb3/42&#10;NDSED64864cffhiSwKfGzQdP8fQXLVoENyxfvhzEhxhgiOdliFJBLPCneOCv8AGXEBWswOXz58+H&#10;GJRiAKP569GjR8Hln/zkJ1988YViKVJCgBV+G/viAh59c3NzRYW2oKAoNycvP7+gpLi0urqmra2j&#10;r7ffarV7Pb5gAAQPi20gDMqrTiFaO9uenh6NRrN//341XVUticEOT3foyNHqmlqzWE3O40ZmBEM+&#10;4B4ol8bPQEgurTrszeHzTaAnMIo+IAqDydKl74MbyrRVwGhnTx+EATFcQ9ygjIfC5NNF4ACrw41W&#10;aGnvLK+s5tHaOrvhBuhQnZZgCVFdnZbkhu8UaKXSp0wMHL+YwJmAzsgQ/XMyXKYQzdaLC9FrhgUO&#10;fiU/q8n+b37zmzNnzoDC77zzzlNPPaXGGB555JGlS5fiX7PPQWgDblA0AD2wVd1H8aB+wgr8dd26&#10;dVzLhUSFXIAMJk6ciFy4/fbb2Vm1atWpU6fA/R/96EcQQ7wr6a8yfPbZZx9//LEaWigqKkIlZGfl&#10;5ecVlZaU63R1ba2dfb1Gi9lut4mXEOTIcSQUGmAbwOEdMV119+7dKB61VhK3njlz5ho5XVUnvWAn&#10;VCIHDADxBBD5ZgM6uUoZEgH/ulNwQ0tJuRYMRTcQ87XIDQnm9PhNVkdHt15TUVVQXNrQ3AYRCngd&#10;QQxYwrVXpyW54TsFhR3J8C8fcNJBZLXzhz/8AazFl1+8eDFQPl0GRAO+P/QAvOLpS7UgAsSg+IAg&#10;yeJc4K+AL4LjySefVK9HAMdTp05FMahF9OAYiAGP/tNPP0UiqAQQ1EwkJReMRmNNTU1+fn5qaurp&#10;06chBo2moramobOjx2yyud0oA2gADggH/CiGCCb3RRdQJBKBGPR6vSIGFAOPAy2NGjWKxCCG1Oqq&#10;/Wary+sPihXoBmVHSlh1qlykcYl8fUFM9gf9TVZ7S0dXdW19aXmlVlcb44boR5gTrr2GjAdUKyyV&#10;lGlzC4ogP7hBaaaRlnDt1WlJbrjYIN21C4Tony9fUO0/GS5viGbutw0qEoobb/3LL7+02+0HDhxA&#10;IgDl48ePHzdu3P333w/KIwI2b9786quvbtq0SXUosY0yQyxEmUEONkAnRIJoWLhwIQSDw64+1EO0&#10;0EZ2djY3+q//+i9uqgQNKUE6/PKXv4QVOjs7a2tri4uLkQsE6EGj0TTUN7e3dSEXbCCT2+f1BqQ8&#10;EFohygoxQzd4R0xXRS6MGTMGioLeUAwNDQ3izWfx5UsxIYet2ydQ/pLQjZMVNwTCQkP0Gc26usaK&#10;KvGtzbrGZr3BCDcIyhGgeQ1zA5TJg3T29BZrKrLzCmobmqAKnojHH2kJ116dluSGiw2KCRKC7IS4&#10;QIj++VuFaBTJcFlDNHO/bVAdSmC0+hJOU1PTG2+88eCDD86aNWvu3LmAKeD+9NNPr1+/ftu2bVu3&#10;boUhgH4cfzAXJcEOXjmeOJjLFtwn8CfUBqQCKM+YMQNiQC7ceuutU6ZMgWZQDBaL5ec///mf/vQn&#10;NeasPvOAXPD5fIiJioqKwsJCWCFTLqHKz/r6hn6D2WpxuF0+pRIgBp83OJwVhHSQPUsohr7Y9xhI&#10;iZquSpg/f74a4eAZbTCM0yk7zQXGqZ4fOQCbiCPfYEJtxD71Y7Y7m1o75Mp0VTX1je1dPUaLDeaI&#10;+dfXMDdgqJ/uvv6Ssoqs3AKEkdFiVzw60hIuvDotyQ0XCNJHTIZkOBegB7Z/+9vfcNjx1nfu3Im/&#10;D6Y/++yzasFtiIEjbMHZVatWqaHpBQsWQBsIgtmzZ0Mh0MCiWIBXCIoVJk+ejPIYNWqUWnYbtZGR&#10;kWE0GlEMaj4SnPT73//+Zz/72dmzZ00mU11dXWlpKaoiNzcXetBqteC4Xq/nT4C5y+WFEsKhwUh4&#10;iK0gBn+MFeQ+f0VPqOmqEAPUpaarEkgtz3Ls2LGqqiqYSY1GRGFCvtWM7x8cGAoNXMLK2+LdBTFD&#10;yWcwWVvau7TVNfnFYmG61o4uiMHm9Lj9QlIoBkq49hoyqYrCvf0mTUVldl5hVW19b79Zvv52Hiso&#10;S7j26rQkN1wg0Brx1BIC7XNkQOBH94YF2vNFBpxBvMKE8MdkuAIhmrn/KOCbR8tmWKCYcNjZ4YSu&#10;rq633377iSeeuPfee4H7N998E9c7NTV148aNixcvBu4REI8++qias8Q5AO7dd98N9E+aNAncnzNn&#10;zn333cdWBTgjvlASp02cOBGyUZ/2/NGPfvT5559TwQjcnZ/Ihe7ubo1Gg1CAPAgQQ01NDUlSCyL5&#10;fH6vJ+D3heCAUHAAY0cNNkRHoQMRTnA6PBaLHfSHGOAw0kDyxo8fr6arnjhxQn3CgQgjkQg3BbIB&#10;bkxxgwTBSwBxty8AW5ltzrbO7kpdbbGmHGOnp88IdKJwiDkQHrzWuQED9A0mS0WVLreguLJGfM7B&#10;7vIMp4S4JVx4ddpVyg1KyCuXLXpIhpFHVFDns8Nf2ZG9CCKwHz9/+D470TPOP0ddjnsIEAATYArN&#10;UoXPPvsM3+13v/vdr3/961/96leIffw4PDu2CQHV/+Mf/5jG/NFHH3344Yfvv/8+7t7XhTMjglqj&#10;JhymPYvV871erzsZLj0Ih1f1tQ8MkKVDFwrRHD8/vDcicJB4VLkUFBTgaMMKQPwzzzyj+l6gh+PH&#10;j2/evBnpoATBww8/DH/AEA888IA6me38+fORDvyJ44SHHnqIg4gGNfisPh63Y8cOUJtC/+STT37z&#10;m998+umnP/nJT0gA6M+NSkpK1OhCUVERp3Gkt7fXZrNxPg+rlq4QKkGKg7jxU1EFBjf0dPdpK8SX&#10;gtA3JGDChAmQE2lDMRw8eFCn08FMtH+VgYQ4N0jsFuPJkieAD7GvjH2OiHNiKwipIWiHxxf/SlpF&#10;dQ2soKmoqq6tb+/qUV9Jc8tXptXgtoznHDZdcwbo91tsKIbCEg3b7l4DjAgvyuxSWae44dp4zKuU&#10;G8DoeIgekoGfUUSPBaCc43F8Z8t+9G/nBxCfgAKI/8THV36Z8vcJ7MMKMAHN8pe//CVATxNVAcRX&#10;oP/BBx8AN7RCGiTtZ2QAmBwOh9Vq7e/v7+npaW9vb5Gh9eICZzY3Nzc0NOASVlZWlpWVAQTJcEmh&#10;uLi4tLSU3Kuvr2+TIZq5w4LK54RwwWLiclCYEqmurn733XfBdxTAk08+uWXLluzs7EYZamtrT58+&#10;Dbw+9thj8AH0sHTp0hdkWLt27cqVK/mJsCAsX7589erV69at4+CCBQvw2W+//Xa2cAkqBO6hwrhc&#10;LvgAxwI2Ui8uaLXanJyc9PR07ghDUDdgBZPJREOlHqrX0OLcICjBF2UFtQ8rsAMxmEzWsjLtnt37&#10;uTvEgFK55557ZsyYQZJOnjxZV1en1+upwMRFtEIzfM0bbZISouvlxfFODEjIiUzsONxekLHfbO3o&#10;6a1rbNHIDyyXlGtrG5o7e3otDpfd5YU5BDdIprmkuU9Xp5EPRqu9pr4RCtTVNXbpDSarnXzgAYfp&#10;rWuG/66BPiXBD7EO3+E/EzggfjLoryD+T3/6EyiPs//b3/4WZ58A3OOFAfGAPi4/iK/8euUbEpQ7&#10;ic9Oq6CFkAs4ZSoA9wTcN4PBgIoHMhQoKEwZHjgIJAEWeHZ4lIAUUKXQ6mICLZ+TCwsL8/Pz1RJp&#10;IEJaMlxiINPIPaCWLNVcKHzdcch4ZKBEoBzK4pVXXpkzZw5gCspv3bqVI9AGgRLPyMh4/vnnIYZZ&#10;MqAP1qxZs0l+Kfq1117buHHjehmee+45NUaN7OA0fPbx48cvXLiQE44cOVJeXg4/AdA4FtQ0qhlV&#10;iJoAJXCvvLw8TlAfaKM2UkUVfMMJ7ADo4dBg7A2GmICAJCQ3cK6+x1BeVrl3z4Hn1m6YN28etx49&#10;ejSaBgFx6NAhFINRft6H+k+IUs3XrKCnWGE4Nyi2gBucaAW7U28wtnX2NLW2V9c1yE/faKGH2oam&#10;7t5+m9PtlMvtqVlPKIxoDNcObl7QeApEUl1jMw8LQ3Tp+4wWW5IbLnNQ0K9CFPtl4Kc6QTEEIX6C&#10;+okagBLw+n/xi1+A/h9//DG4j5svHypEW8LbwpdnS+sCx3GUaBI4mDQ5FWiKbIEDYEIhtQoCtktL&#10;AQjVUAECAEiteJwQ1F9pybm5uZys3NhoLBcRFDEoLiEZpAeOIYV4jsnwD4PKqDiaq8D+BYMq04sJ&#10;Kh7FDfPnzwfTcfPRBIcPH+ZeVBgKDmRfsWIFkgLAveOOO5ACKAyYAArZsWPHq6++ql55QzE8++yz&#10;alWMSZMm3XvvvQ899BDaYtu2bfv371cLXVBtqAPckSpEHVM8RzKortRePBUQXJEBxEDFZqt+io6j&#10;kLTgOYZgh7/0G8xlGu2unXuXLllx333zJ0yYcPfdd0NypIebQm9EqyQIfMBW6QZ2EiBDWYwSogb8&#10;AfGByCCKAWe5XX5IGYjMLyotLhOzknR1Dc1tHb39JuSCPD+6LjfGvjIJnYk3uoaM57LYnQ0tbXIW&#10;VlNHtx7ZlOSGyxzk6K/o/AH6QfzhBwl/leO9X8oP5MIEf/zjHz/77DPEwaeffgoffPTRR/E+H7vd&#10;ju5WTEDAI1M0wBbMVW1PQXmqDMC9Av34T5olR9RBFeJHaLQEWnJC4ISUlBS2RA4AcTvAXeH7xQQF&#10;cJyP8kCC4Dl2dHR0dnayTYaLCW1tbXHW/4ZsV07AxQRKpLq6uqamhv133333sccegxvw9JEOaIKT&#10;Mhw9ehRwV2PUBE5Qc5OeeuopBMHrr7+uvg+6YcMGxITiBliELRoC8oBjTp06BUZTc06cOHFchmPH&#10;jhEzR6hm1NXzh53FsqkKvpWDr9SDx+NXk1ahB6Eh5HA00sLYb6nU6vbuPbBkyfLp02eNG3sP1IVi&#10;IDHchXbhcrmINh4P0aqYwYIEyIhZFOPAO/gArQDoy6EFU2tHd3VtQ2l5ZUFxaW5BUXmVrr6pRQ3M&#10;CgIIcb6igajUULxyrb/7pp6IZxRzsXS1tVBhJxrJnOSGyxyUCIgHIR8kSRAgDFgBJoAGPvzwQ2iA&#10;FmK1WhHguFTgguqpV7hA+8f9x6ejaQHT+GL49Ww5SDtX/iA/44GfBM7nT5wAggAKREVgH4wgTvbr&#10;6+vxs2hRBNEhfX6QHUui55rEAFWkSn+JATLr6+vjifplgN4I5mS4iKC6YlQgDwlkpsrPhKCOJ4Ro&#10;AZwfOM75RIh7gf8Oyj/66KNA/5QpU2CIZcuWLZUBYlCUwBF4AqHw5JNPPihX34NOHnnkEfYhg0WL&#10;FrG/ZMkSJMju3bvhA2omTkB7e7uqvVQ/PA/FNxAGGoIqR40iGfg6IDiQTbgQNwQ97ig3oBUEK3iD&#10;brevr9eoKa3Ys2f/yhVrIKzx4ybeM2HynDlznn/+eRiIKg3fEAltnpZPPCqwH5EhATKUSbkgBqVd&#10;cpUko8WmN5gQB5W6OsigvLK6Uldb09BU39za3tXTZ7QAkYBjaGCIC13eALJDomT8g8xKf1wzuDnS&#10;FO7DkTxvdW19XWMLJAFTJrnhMgdFA3GJoMQBAaGgWOHs2bM0ErAAT4rmpESA6s9Rfr1y6tWOcPLl&#10;Dn9VHdDgPpcoD125hEQiRg8aG9kB94F4YB1cABEUQCvgACOMRiNtiVZKHqkO328IshWLEP19EYEG&#10;z6MR1E+upeWzVViQDN8cyDe2KhvVT8oIp3hk4LjM5vNC9G8jAsWN/0HRU1v27duHuw0rjB07dsyY&#10;MTDEpEmTYIV58+bhiT/99NNoC/Cd+vbiiy+iLeAG/rRgwQJ1AgyBVnjzzTcBfRwIqhbViVtQnbgF&#10;ngRgTU1GoaIYOAcBRK1TckHhdTi2OLaqGKqGEDji94UCtGM58ux2+ew2V3+/GcWwZ/f+pUtXzJ41&#10;d+zYCRPGT5ozey4EBv1Q4YmcrCBO4ldxqqgkDoiQABnK1MxUh9tncbiAfgCxqbWjoFh8+KywpAxu&#10;QCt09/WbbA6b0+OQKybF6CTk9kc/5zAcK4HOeOTXoilic3r8Hd16XX2j5IZOvcGY5IZLDgr9VYge&#10;kgfjEgFigAl+85vf/PznP//4448hA1qA2+O1ORz9RlN7R2ddfSNufIW2UlNWXlBUnJdfkJuXn5sn&#10;trKztri4pJQ/lYP/VdVVuppqHJlaLmpqam5pamnFmlvb2js7u4Vn2GfoNxItW6yPfZPZZLFa7Q6b&#10;w+lwuuyYwwkbsC9Wo/R4PV6f/Ox6MBiOXJSFwhdpgaBY5JKY2eFnKDwQjgyGIgP8vLzmFxYcaQmn&#10;fYORyAtbNBKeRTzOBe38u4uf5/4UCHr9AcznD6io1GmxE6IZJQ4m3JfiEDkWwTiTGFwer93hstoc&#10;wuwOi81utlgpXFHKhn4KOtEM/b2GfupDj763u0cvDZ+gr6urGx1YX99YUqI5fOjIK5s2L1++8uGH&#10;H1kwf+G8efPnzp33yCOPLlmybM2atVu3bgXWAXTcjiNHjiAgYIgVK1asXbt2g1yOe8eOHXjr1FAk&#10;J5VLPBf4GwyYrZa2jvaa2tqCoqKMrEwsryCfn1RPp9Plwe8mj4KwAoIgFFArqgoLyXVVOSJ0g8wv&#10;se/3B90uj76nl9p/4MChtWvWzZkzd8zocaPvHjN//oK1a5/bu/9AVbXOZLZQpT1eoiY/o5mvqp8o&#10;FPYDQXdoyB0c9KBCghGx5KqI3E87sFrRCsbmjh5dY1t5XUtZbUtpua6isr6mrqW5tatH32+xOlwe&#10;IhPrtnoDAQ/tNxj0BENQnJeDwlAPYX9YIKbgBuIPUs+H26AgKZ4xWpcifmhPWUjOa4r95GT4bFiI&#10;1iVxlVwmNrpYrLArAtBkDmZ3eTt7+hBMNfU4mO1d+j6x4p4kQtgUXuTWikWufvs+uEHifzSon6D/&#10;/5bvl/0ttoSZZASxMoGaSPpn+RGrTz75ZGhoCB8Qpwl/SlulKynX4pXkFZVk5xVkZOemZWZn5uSx&#10;n19UUqwpx1upqqmvqW+sb2qlYNB0nT29CNp+s9VktVvsLqvDnWCUJTJwpOETJRhFK6bonW+ysBPz&#10;9FoxWZuV+/YtLdbMzjOVUaJnWU5ikUOOYp6iajzDjXNiJjudY3Gyj2tJk+JCcSPRnMSfxJmye1r9&#10;VMOY8syAdGOlyX2uxYOjWVLueLXUAQwg6+41dHT34tA1trQ1NLexTbDahubq2vpKXW1Fla5MW42V&#10;V+oqtLoyjbYgvzgrMzctNfPo0RO44W9ue+uVV157fsOLa1avW7Nm3cYXXn7ttTd2794LMSAa4AYE&#10;KPIU9XDo0KF33nln7969J06cyM3NRXm0tbX16MFOs93tUmZ12Fs62kvKNVl5OelZmWkQQ2FBVY2u&#10;U99jsdnUjKPhpvRBIPa2M4ZQEAely0+TQQqY5Oqqe/bsWb58+fz589Wy2zNnzly3bt2xY8eq6xrU&#10;6qoiD2WOxauEyGSZw/zkoCP0nj1wxunnTzJ+j8vntBn0XV3tbbra+nxNZVpBRWqxLqO8qb5R395h&#10;MfS7rFav00EaUG6QleAvEusLB7yRkBsbCHljiCNNQHYAzguqV/aGohYYCgfODAQCgwG/JCVIQpHH&#10;kB8LnQmEhiR5YGLsPRL0DQS9A0EfOxFuKExQqAS0aJBEo+ptYnP4zibqM5BCrlKLAKLaBqRUl9nm&#10;gPaotAgIaiynkbEjrr0a7YpzQ5wJCHFuUGE4H3z55ZeQwaeffqpeKUAlUAtVl1Fzc3NNTY1Wq83K&#10;yYMMoITM3Hz4ICe/MLeguKi0rLRcq62upSRo8xB1b7+p32yTZOC0Rz/qLaBKVncBSRdhqmGcZ2pO&#10;RYJR5AkZeg3ZBZ9U4cJFmlqbM8FktoSISjQDGgxnSvSP3eL8fBZN5TxTJ2PEQ8HByoqtaVo2pweC&#10;N9ucRqvdaLEZLWLbZ7JQ4hL3+yl9FL203rauHskB7fVNLbgLujphEvfryiqrSysqS8oqRpoaPsXV&#10;KCjW5BeV5hUW5+QXZefkZ6RnnzyZcuzYyRMnTp86lXr6dNrxY6f27zv0ztu7tr6x/Y3X39yx/Z3d&#10;u/YdP3YiJyenqKhIDWhBEgUFBenp6UePHj158iQ8oWijo6Oju6enC0HSb2Db0d3V3N5WXqnNyMk+&#10;lZaanp2VX1wEMbR3gyxW0ScxjBXipmYiQQk+b1AY4A54y04nj8fT29tLAnbv3r1q1ar75LLbaq0k&#10;iAE1U6HVkm/kqioylefi5eRhhRsvLEfwrNU7YHX5kQE0SUNPd1dbS211pa6qsqKyqqi8Kq9Ml1/Z&#10;VFyHBLcYzYhsv9sT8nqF/FXC0Y8wkhDjDYc9WIRyF3wQM9QAoB/nhpgFhAmxIJ3/0DluGPQLE8Qg&#10;5YIwzocMYIVw1L6BGwRAJ7SF725kFDUWwKE2NjS3gki4qnWNzWCRzFux2pJqAvxMuPbqtO+DG+Ih&#10;Tg/DA9wAMfz617/+8MMP0apUPkQ0PldVVRUNSQ0hqPk/uflFNF2YgOZd1yS680ABQKHPaEYZwM/U&#10;XRCEGq9cV+W9yloe8QvqBs3PufzKOKgKbLhdsOpIwBKod75dG8V8QZMtP/HZY6BwUSYz6oI2ANAE&#10;5Kd0+Rk7P4r+1Dl1Gn8Vp53f0SzlgshYtugAm8sDGcD00ECv0Yz7L3C/s5vSpw7gECg3H+9eU1FF&#10;3QDNs/MKpRVQY5CVGdKlUJaakZWSnnU6LfN0Wsap1PSRlpqZnZVbkFtYjDwtKNHAE0SSnpGdcjr9&#10;xPHTx4+fghjS07Kys/PQEBw8euTEvr0Hd+/ex/bggSPHjqINTkADKpyWgR38dAJ/UpOOxIQI+KOi&#10;XKOtKCkvK9KU5hUVQgyn01JT0tPY19XVdul7zHab26+mkZ6jhLiJtZKGcQPSARmhRlmMRmOFXERv&#10;2bJlc+fOHTdu3NixY+fMmbNhw4bU1FScLSQFpEsRQAwUjdINFE1C6as67458ADf021x4xFxbpS0r&#10;JofycspKS6p0tXXN7c3dxg6Tp9cVsdhpfSFfYMAfGPDRNJA1lLIigHDYJyzixcT4NsfjpnqEohCf&#10;YEJQEEUQZFJ0iEEJ2FBcMUTPFAJKUYJgBWmiN0oC2nlBVr/zat13N3KPGgv+gEVy2ajawhKqpE5O&#10;0CIj1YCK0MTXCmhccW4YHqAB6IHtX/7ylz/+8Y+//e1vf/WrX7H9+c9/fubMGbvdjj+l0+kQwvAB&#10;TQiHi6DakpgMWllVVVOHG9jWCUSYcSHl1wRF/R6GL6LaRTFI2LC6fqEKIVwkWVrD7byr/pElRHgN&#10;WWL+xCzhtG8wVeMTTL4ZK8BdwIov6JQjlrG8VXpLfeklQEPCz0INyP49FwWK1IMDYALJBw6amd5g&#10;Qg0gAlo7uptahQgQk2Fq6iqqakrKtcWaclpg3MFHSoL7J06nSks7mZImED8tIyU9E1aIGSSRk56V&#10;k56dm5Gdl2CQCoqBmHH6NBWV7Ivey8yczMyc3Fw0QHFJMZBYXqbRlpdVajQVhQUl2Vl5GRnZmRk5&#10;eC/ZWeJdRWpvPCi3hjqcMWxuNEFMhc7OSskgeanHT586dgpZcpoj8ISuvg4xYXU6IAZPwO/x+xNY&#10;AYv2KQkMFO42PCFX1hug3fb19eFXHThwYPny5TNmzIAVUAwQw8qVK1EMgLtLfuhH1nNRAeJOEv5T&#10;HDQ5LspOzky1+SIGm6ez19jc2l5bW1uu0RTm5+XlZJVrSvHhEAv9FrvNG3KHzlDOviCJCnlDQbc/&#10;4JYzVn0CZQb9IdERBKArCwWkib6jQWkK39ENigOUCSRSQuH8c4QhWmP76jicIUahJHz9g3CFuIE8&#10;dPkC1GQkLFKVmllSplVvdahF91TlJ+cTrr067cpyg5ILw8P/kasVffbZZz/5yU8GBgbcbjdVGUqg&#10;kmm1WggAGkCV58oFJiGJyspKqiMVuqurCx3e2dMLWAAZNqcbx0chjkS0GBlIbsAUTsnqrkzhYOy0&#10;mPEn6bqeZxwXnHG+cbmKeYTFb3GNmcwBlXvnjPodz5x/aHE+GG4cVzlDbLQEiskhIEYQgIR+u+wF&#10;MlOOrR1dze2dTW0djS3tDc1t9U2tQH+ZVnT4lJZX0q5KyiqKSstoYzjyuQUIggJ0ALCuFIDoXczJ&#10;x6/nuNIKcAPKkkuEacqJoUx8eLK2urYBRsFosch87kWLxbmDb0Zae1cPepSa1tzWWVPfVF6lK4It&#10;istqdPWtLR2dHT1dnfpuwLvHgLHf0d7d3taFsdPW1q7mMbfJVToaGxuHv2ZBDadKl8oXKguLi3IK&#10;8lMzMwQ3nDp59MRx9ksryls62nsMvRaH3RNADCB/fV/HDeLPNFmFjFRjf5gj/f395XJ11VWrVs2c&#10;OXPMmDFww7x589atW3f48GHEhEF+81mMA6jGL0uKUlOrq8o6IMd75MzUfrONkqpsaNNU1xeXV2nK&#10;xcS+6iphrc2NZAQCxWq1Wx0euzfoCqCtfXKdjqAnGHD5Ay5cBDxlPDC4ITjkDwwFhA1iIT+mGGJQ&#10;mupBikgEipvoAJJDzecGFcQJ0sKxnThDqGFnedEFbHi4Ms02WuEhVPwbdC11jxpI9WtobjWYLDQE&#10;9AOMe2XufvntinMDQkHNQ1Vrjn7xxRe//vWvP/roIypoT08PjSdfvmasHCu2EANHqN9QApzR29tL&#10;/bPZbGImYjRzRf4CYdLEUKdkCPUzelBUcVnph5us94nG8QRiwL7mZCJJzL5r2iS+JzyjyEl8n4s0&#10;QH+kgSmYZAIXCgAihwzwpBB7cqZjdACAJqOtrimvFEO+eOi0IkQAgJ6WlTO8wwcdgNd/GhMdQcoy&#10;lClukMMD8EF5qfzGZG1DE00Ra2xpg3vUZARUZp/RghnErAQHRKUqUsLjYKJ20by9ftSMnJqpJyqh&#10;VVvaDX0mu83ldHpccgUjzO32CXP5PG6xACrQ7PH45JRXl0MuqEXVVVOfCd3d3e3t7Xg5ajGVsvLy&#10;7Py80+lpGPTAtqRc09rZYbbbuAnx+UKASBDd4P0GbgAi5SrcJMBqcZDCavkt66VLlypiGD9+vFIM&#10;x48fb2pqMplMtCMx6VWtoCedHtkEoqQu8kTNTLW7YAUev6m1I6+4PDOvOAPZVKyp0tVCfDhqbpeT&#10;ZxZpDJA8X0C+oe0LuUiLP+J3h3zOQMAZjHgiZzzhs57QWX/wbCBwJhwYivgHBzAfNjTgx8TPiH8g&#10;IoYW4AYF9HF6CHtC73nCH/hEDIgMzgnLfqjAQCAg+prkIIS0QdSJNzzkw0JiH70i63mUMIYHCQjn&#10;GsLlMjCH5kP9oYL19CEdmnBxCkvwcKvJSbPdaXN5wC6yOuHCq9MujRvA+ijq/6OgzmT797//HUqA&#10;D37605+eketZ2u122gktRKPRoNKV9Fa9Rvg1OFloCHwu6h9VmZOFBKYhEmQnhgJuxQdoNJ4h4WDM&#10;1M+oyy8tShKqJQTkKJw6oiyOledfqP4aR1JxmjoiDyqdOIyT5AnqZBWPPD+a3ZfD4vGLW3wXiyWY&#10;HTFTBVBQQ75WkH2ERREfc7io5UYB+jYJuEIBdOnF/J+2rp62zh7l/tc1QgBNVbX1+E0VVTWVurqK&#10;6hrpSVXIXqCSvEIx2Uw6+0Xgu7DCYjlaIMYJpBoo5KDUAeU0MKQA/AGLVFTpiLOqpi6mA1qgAXx8&#10;mIC7d/ca9AYxJQnDWcODQ6yQcpqrMLcX3MefUCWoaoIQl8OM3LC7RK8xZIa2QNOIMVazHUoAjlVn&#10;DogMTvmlk4wpz52D4TA7ITVTCO9HkQRtSe1Qn9ULdIiJouLi1Mz0E6dPnU5LzczNLtaUNrQ091vM&#10;4t01scw2sQaJGPyn6p/Xg6S+wRDTDcpoIl1dem1F1f79+1evXj179uzRo0fDDfPnz1+7di0HYSMc&#10;LFIlJhoFgyExNUj1fYdkHVBaQYAaOUZpQgnkrVbO1yqvriuvqq3U1UOTXT29ZrOVRyJNYogD0IAR&#10;fJ6w34MQ8AQcvrDLG/a5Q35XKOwMD7nCZ93h91zBs77AmaCYdDQ06I+gI4Z8EWH+gaHA4KAvEvaG&#10;xHBEIBIJDoq8FUtCyeGH0KAr9KEr/LFgiMAQN5StV7zUN+Dzhrw4iWQNxSFO9oXPuEJDrsCgh+jD&#10;ZxArXg4K8pPcoMYepPkvpeP0Ik21R9XkaUp4ReJFh7oGaq9ceq+hXS6hgbBQ3uewqy4vPlw2u/zc&#10;8H+GzU/96quvFDG8//77NJXOzk5wH1mNOJCvo2XACuhrKAGqQIbjXkmVaqUeD3+5TFVo/3fLRJoB&#10;BQOOq8bAEapZvETlVEt1gjhHmOQYeaY4WZ4WJYA4srB/7vwoQygTJw87Hq00I0wlJvozfr46OMKi&#10;jVnN2pQqSq1W9u0N99np8YMIqqMfMJUu9oXMZFF/BXNxxls6uoAPRAB4gasOUpdXVqsBADA9K7cA&#10;jz49S0wyTpHDv7FxYOH4s+VIakb2qdQMdnD/s/MLoQr12lRpRSVRISnULEClAABobtfW2a3moZFU&#10;s82BbysHKs4zfF6VM8ONJ42V7DkjS89xg6ghopWS+eQGnMe9uCOUg9Yxmm2AL/og4esII01Mw5fv&#10;o1FpcWjYqh0C9R96oFZbLBZaQV5+fopUDOnZWWXaipb2Nn2/weKw0wgTLRiKs4Ky2HRVsVCSzyfe&#10;hRarq2q0u3fvW7Zs2bx58yZMmAAxTJ8+HWI4Kr/5jEanNZEw2hEhHBYVSVVRKEFVAzmOaoNfK3W1&#10;lIWaBwg3k/kcREZQSdCFLq/P7ZUD5CTC7xkIeMJee8hlDjnhT5PNZTI7rSaX0xYIOcJn7RBD+ANn&#10;8H24IRzCNxw84wsOON0Rh8dvtntNNr/V6bdS/5w+u8dudjqtbofda7d5LBa31epxOAN9ziGT70NX&#10;8H2X/4zfL95bifg8EY8j6LB6rJxkcTtcbpfX4fRavQMW36A9ACG9542gNs54ggPQA4WruEG+DyLG&#10;qANXhBtUcxbIQO0iM802J+4F+hiXqFhTAcuiHjiuapqqe6rhy335usbVZJefGyCGv/zlL5999tkv&#10;f/nLH/3oR5FIhCaBsm5paSmUS1ZADKrjCFYoLy9H6qK1qbt4VZxJE1ItiiC1r6jNMknfVQnKlgAo&#10;CKRWUEuESlaLco3tqD/FTE6yjJkqzuEmYxanETMYRMEPMznzUvSxiJmXJqvj6y3qg+v7TT0GI3Ye&#10;KJ8z0U3f02eUMzV7Wzu7sY6e3m9tODIgIO52bK5na11jM84+DuNI06ltXQOQjdsupoEKvQyaa4AP&#10;ORpcApTg6UMJcQP3hcl3UMAapRI4k6toLXEdUClEQGNtQzMJaBQvpnSSMNwuHFioSE5KtsYVQHwe&#10;mizHeElFjRJJKCNMgWCCUWrxk6OFGAgRP1nNrSXzdbDDT5vdhYuiOo7A5W/iBvHe2Yh3lWP7NCpc&#10;HzwkvPic3Bx0Q1ZerkZb3tzWajCbrE6H+AbacFZQRtUXMSdMVxUHI+Ehj8ffq+8vK9Pu3rVv1aq1&#10;c+fOHT9+PMSAdFi1atXhw4crKysRK3ASCVDtiECTkm1BTApAJBktdjkBTHSgURBwc6lcNlUIvpo6&#10;fV9/v0m8xwaFeMAy2RlFbCickM85GHAOuExOfXNPnaayGlFYkFmQX6itqu3s7bT7Db4he/gDu+CG&#10;gXAwfCbgP+t2DNqMzu725vLS0ozUkvS04ozMgrTMfDE0n5OTnp+dVZKVWZKZocnO1ubl6/Kru+v6&#10;Ahbfe87Ae35fOOjxBvAK9B3tuvKyvJySnKyCnNyCvKLy8mpda2+XLWAPf2gPfeBAZwy87woOQQ++&#10;c9wAMQg9diW4QQAI3ABGSZeRjAUEqLS0r+raelXbqd7UZwCBnKfKwQfUWC7k8n9NboAM0ArxTqS/&#10;/vWvX3zxxccff0ztQQfU1NTAAfHlJBEKRUVF1FcooaurC86AEhAK3A9WUNVXLQkwMnxnbhAUHSMG&#10;ASsCEaRFY45CyblCEiUX0xOcFowMqTlRqkRVVFzLCbhdOK0APbUBoGfLvphsY3PI3nYDLgPOV4K1&#10;irk3HfjF8R6YSl2d6oQZYWKNGtkvr+bgFwvfXPS9FHwXkx04WD5uvpjuKV4nFCO9X2NqEFhIgdPp&#10;mXj9J1PkXKC0jNTM7PTsXDUsXKQpLy6rgDnKtMr9r6NtSPdf+P48MrTU09cP5pItajCgn+yyiezC&#10;jFa7mqcEGKk3EyFdtVXjATFWUCV4rnyVcXCkyXJXeu6cqbJTooF9Mczg8ZEYWSgkVTjLghjkGnSw&#10;ghpRiLrwcvBzpCluUCHu06h9GALFgIek1WoLCgoys7IycrJLysua2lr6zSaXj5v4xZf/h7NCtE1G&#10;BxXi3MA+yVDpMfZbKsqr9uzev2zZyrlzF0AMo0ePnjFjBorh1KlTjY2NtK9zvbIxTUNQHarAPcQA&#10;E1NG1K78IkHb1DQUG6AGkMHKci0Ar2oCPuBMduXzRJBDGG7w2YNWfVd1Ud7RnS++vPHZZUueWLL0&#10;+VffOJSeV9akbzX7FVhLbgid8buHnKawqaujsuTYO1vXL35i6cMPPLPogYfnzl80Z96C2fffP/fB&#10;hfOfWDDvyQXzn1m0aPmjjz63eVdqZlVPr2PA4X/P4w64rTZLd0dNUe6ht15f++zTzz760JOPPrZs&#10;yYotr28/kl5Y2WY0+s4avWcsviHPwIeukJAOJHg4N0SuJDeQpdLViEIHlRYoaG7rIEuLSmNLifQa&#10;qNj8VUFNtB6OiPCfbpfGDYoMCHDA8CDeYfs//wdW+MMf/vCLX/zio48+QgEA/RUVFUgEWIEAK6h1&#10;SdV7oX19fYoSqLhu9QLlMImgAj9FFYyF79xLGC02WRJRPgDWYXiMqh+zKBkAQ6q/BdC3OFyYnGcZ&#10;nVupvHhoQMCZBa9fIB2eF8jS0iEmwOCVC/e8W0/NqBMzLxur6xoSTM7FVKAv5uarjnXkPE10pEnH&#10;vAjwlRP2c1T/zHcxCe6xqf1idFeO+srjIy0lXXQNCYtOA81Oz8rJyM6DD5ACpBnSQjuXV+qEwmho&#10;4pGBV/AFUiQf9AZTr9FsMFnAfen7+1UmS4wW5SJJV/Au2R4tDoHgUQoX3WjSYmUUN1VY5xlxXsii&#10;nkHc4tzALYiZVEFLUjEoYugmzZQ41/owX9Rbj3PDBekhzg3U3uGrHlG98dxRDGVlZXhIqaniPYrC&#10;0pLaxobefoPT6/EFA8qGs0LUiER2JfG3gGigQi6wxZsSg89VtQcPHFm+fNXMGXPGjRVfcJs1a9bK&#10;lSvVB+lsNhvtS/EBWxVIjNvjwaulMqPJWtqjjq2qZjAEAg5aUM9OuQgmIQbhFIsZR5gnNBiODIjl&#10;O7z2kL3P0VmrTdv/7vPPzJ+/aNz4yaMnznjomTVb96Xk1XS12gas4Q9tghuAZs8Zn3HI1ho26Kqy&#10;D7666qFZY66/55Z/H3fzf975wx/c/sPrb/7Brbf88I6brr/nxusn3XTD9Ntvm3f33Q8//tzbe3Ma&#10;2i1hpIPd5u7t6KgtyU8/sHPrhhXPPrTgkXmz7583/7FHnljz3Aub3z1yvFBX3WltMfsNniHXwEfO&#10;0FmPHKOOcYMYHYmIdUDI1TgsXB6jOomqElWuoiar41R1KhKKQbVx2gj0IBjX7RVeabRbOwpHV5Vd&#10;MjfEyQC5QPj73//OT7Zohf/6r/8aGhoC8WkDsALOkRpUYAdfqba2lsqqBhUUK1BHqXV4ZYoYVKMi&#10;qBoc/RH7KcJ35oa4k6i8flmWAn3YSlgRJAE20SoU+stRVvGqLS4kEI/zK3tdGvGF8eXBdEpa+vJa&#10;nOX8otLc6Cx7YWJkVQB6cZaceRntXRlh/EmaUADgfnZ0LmY0kuGmum7iPKF2oJPvYjj4JF75+LCU&#10;cvORLyMNT1IZjy96flra5TTQTkWEZJESAeSYoIF+E7kHcSrxJF5ciJErgloSg+jujwG07NURRSMK&#10;QhSHFHOqXORWNht5gjJ1UBTiCIuenGjRC0eY+CuJkV1JFjlvtaO5vRMyg8ZovvyJ08Qru7G+fmGx&#10;n3FKiJviBtqPIgbqLNUbdDabzdR85DIeEu48rlJpmaa+ubHH0GdzOsRE1YBfjGVciBt8wahWiN4F&#10;n10usNrfb0Yx7Nt3cNXKtTOmzx5997gxY8bPnj0bxaC6kvr7+2llBBIzvB3hiokxj+Y2/BUKnQpM&#10;NWaHUoYnOrp7xdCCw4VKU6Uj2A3eQkAHwu7gAJ44BjdEImG/w2zpbGgtzz799ourF02ZMnnGbbff&#10;fde4aQ89vea1XSeztG1tjiFz6ENr6H0xBBt0D3kMEXOjr1tbnbP/pWULp935H2Nv+P/dfd2/3fof&#10;//OOH15/6w/vuPW6u2667p4br5t04/Vww/wxox95eM1be3Ma4QaDc6C316gtLt6/4423Xnxu5ysb&#10;Dmx//djutw/t3f/O2zs3v7ptwxu7N+06sT+jtKzZoHdFHOEPXeH3POEhb3hIzGaKccMADskV4AZV&#10;o2TNVJUwWruok1Sk7t5+MpxMVuoBPKF1oCpkE5BXxc6/euw7cQOUQPjTn/706aeffvDBBzSD7u5u&#10;ZAFkoJwjtoWFhTqdrrW1taenR006ivcdEai1yqPhiBQJwslSNZgdFdRxwmUYi5ZDDrhDqpsCUwMD&#10;cjA2OuESUFAYobp6QEO1uo5GK117TTkYnZNfqCbap2ZkSY9bmHTAo/vypzoiDrLlCCePNCIhKiIE&#10;7gFrhdQXMq3qnZcgLhBczdLBB/kupvp5QAS8e1iwp69f328iB0YacK+Mfen743iKfn9M5uewnZhH&#10;T4YrD100gNisGHVQgo44onZkoxL0DDerdqXaWKzIou6YMMkicAkmG+EFTEU43M5dfr5J5y5CZYDD&#10;KHS4H8UAOFINOMif1F3ghnPoP4wn4gfjJvBHal8qNjtUdQQ0xNDR0VFeXo6GVt//0Gg0rW2t/WaT&#10;w+MWM5GC5F50nHs4KyiLc8O56aooV4O5qqpGrK66ZAWKYczo8RPGT7pvzrwVK1YcO3asoaHBYDBw&#10;a+V+kR7lhKn0wBmkBz8ArYASxX2BG6gGqivc7hItgtKUJSjyE9nC7Ydxg5gIBLzCfk5jT1tVUenp&#10;Pe+uf+KRiTfccdv46354513jZj3y7MbNO0+nlbW1O98zhyU3hHDY7UPurrCxytuZX3p664anpt57&#10;5/8z9Y5/m3bXdZPvum32xIlTxs6YPGbGhNELx416YOzdj026Z+mMe9ctffXY8fLeTvtQjy2Mb3nq&#10;8KEVjz+49vEHDm3bVJWf0VGj7WhuKS/T7tpzaN3ru598ftua1/eklzf3OAesoQ9ckQ884TOSG8Qr&#10;0hG5qMYV4wZhZJeotOcqv6jA1GoyluytbWgqLC3DauqbukTPkkfVbWGioibG9s+1S+MGWAFKUFs1&#10;Denzzz//8MMPucBoNDY2Niq5kJWVlV9QWFxSqq2sampu0fcazBarze70wgJysUzKRkxNlgslxn9S&#10;2TB1/Nxpw/4kW/6w4QH1AKIwYn+K0bUsFXGEfYkjor+CYhBz2L1qWo5gAoPJCiC2ihkp7ehoNdAq&#10;FmAQzhRMUFms1EABakDM2aAVyZewisRUnOhUy/gszGK8eGhDDs+W0eq4VhnxKL+sUlc30hTKqwk5&#10;aiImbjhJSjA8dAniapC2F8nfI6dp9hrN397kyDbxsC8n/tvF5B+57shIw+VXRi1XPULkeawjKDpC&#10;I4tAeJoKjmWhiILAYuecG/yPF1b0WkkVNCR5MHq5ulZZ7Pxzlwz/6zebvDZ61TmTxEC75aHICjKW&#10;Imjv6qFWICNo1YI5JDfglASpSJh4wSoiJtZj8mBQHTlnslZTXXHVgyGH02Xo72/v6Kys1mVl55xO&#10;Sc3IzCop1dAojGaLG6+I2h4mT6BSXMggKC4WKEVwhMUiE8KAdY57/QExBh5mi3PV1dVTqa0+dPDI&#10;qlVrZs2CGFAM4+bNW8DPvfv2V+lqaGweSIEmJFelZcct1qN1Gk2mzq7uhsYmzoEbqJZUTnZwg8gB&#10;SlYimgI1UUYqtyNiCJg7D4KzzvD77vBZd+RswOcJB9yOnkZd7okT2194/rFZ993577ded+cP/+O2&#10;GyeSlFfXH8hLrTR0uX7iCIhZRp6wOxC0hL0d4b4qT2Nu6q5Xlt4/eeKdN8yYNO6B+x94ZvGKl17Z&#10;9uabe9/ctvfN1/dve23/ti3HdryZ+u7bubsz8ws7ui0Ot5EyKqs6su3tR6fPeerBR/fv2qerq+vW&#10;99gshr7OpoLUo5veOvjAilcfWrX5cG51uzVo8p9xRN5zR4Y8FGJIrDIr5inJwrsS4w3KYpU2mocq&#10;P8lGtlQzahfwIjFBjEvjZikOVq0pFoOq/Beqsd+vXRo3IBegBLhBzURCLgwNDaEVYIXS0lKUMm4R&#10;qllohboGfFI8MFAYX1J4f7HOuG9tMstEO0/YqnocQxxxUGW3PC5yWZ0jWcErupUtNhxksIAmATTj&#10;jIPpAH1aVg4Wf+1WTb6UJjriM7LzcuQqbKhCLoE/KGbRA1Mj+lvkiu3N9U2t8p1bsdCTss6ePjXv&#10;iKYnulZGGOlJMPEygcsz0vDmRpiXh7rsJr3+RIvl7XmWUEDXlkFXPAJVgiZKRYVxMeoGuYqghDNo&#10;z1SehKuGmyI8VcGERSkt6r5QA9Ef1DFqS2ZOvlq6A2mIJBUDGW6IITFCro1WWgnKii+9/uhotvL9&#10;USFlcnVVJMK8efPGjYMYxOqqzz333KHDh6E3UB4fSEki6bSKYTNwHw+AxJRX6krkqoI4K3gkbZ1w&#10;oZiDJJ8aqXReepSd8bqGAv7AwPuugY8tA5/YIx84Iu+HPOago9faWFh46I0tSxc+MvWO6bf9+/gf&#10;jrrx32///0x7YOy67Y+eqDxW6Wqz/Cro+Tgc+NAxaHOGDe5AW7ir0lGSfmrH9mfnzR8z5t7ZDzy7&#10;eNP+rSc1GfXm2i5rfZe5q72zGxnbrtd3mfXd9mZnbUeobtDeGuyus2cXpr709rNTn3j06c3vHCvP&#10;7bFUWx1mR6e3r7K/8N3te47dv/LNBcte2ZVWXt/v7vUO2CJnXAOD7oGIN0zpgG1q8T6xQl/CM145&#10;UwVBOVIQuF8AAtiIKwmMABQq52l0nKPOjFUnUYUSovqe7dK4AVZQC2jDCmfOnPH7/b29vWpmqlo3&#10;pqCgAO1cU1MDLOqpdHYnxKBQW26/+9OKjKPRglZqbIBMjx6XDVI8j2xgtExyHJw1Wu20CsgAiQBv&#10;43oD4jjsOE1yzo9GzvnJF5QgBlfFq7ZSCogXr/LkpHtKEaov01ZX19YrDqCNNZ+bZ9mHF98tXrky&#10;0Sz7jNH3rZTFy54EK5c5wWQNOM94BKl1zjNxXOHOMBPAcflN0OpIi8Lf+XZ+0VxjJpE9AiBSTLIv&#10;URjlJTsb/e7YOHnCVXGTRaDyQRaHLDtRpoB7KAI6qwkqeOVUpNNpmdQuBCXeA44ChETtTYhQmrid&#10;LFmR56p3TnxbQXZSQQw0N9qXWl117ty56j0GNV31yJEjVdXV+Bakn2tlhRH+EE+kF9/p7KquExPt&#10;8Vg1qNjqGmovVZcHR0ZL75V7XbinJRIQ73R4Q4PO0Blb6KxLvmETsOmtXXX1uUf2vbJqyfzJM0bd&#10;dM8t/znhB3fc9G83/3+nzJ+wbuuTJ7UntI42089C7g8i/vecgxZXqNftbfa1lBiyDh9+9ZWnZs2c&#10;MH7644vXvXG4ILO2v9n1oSXwvi1w1i962UJB74Df957P91H/oKn/PcNZT2+kr9VZWJzyyvanpz7w&#10;yFMbth/MzmrTV5ksvcY2Q1NJw6mtL72+a8GyLQ+veX1fVmWj0WPwDdoiQ67IgDtyHjeEAoPy8w/f&#10;p6nWql6dMVMrVJ8EeKI6MMl/2rjArngzPwcICVF9fyYSc0m64Xe/+93PfvazSCTS1dWl3m1OT0+H&#10;FWCIysrKlpYWg8FgIzgFJlLhVAcx1VTiy2V4VNUgz4czhVPnIJViwC9DJPf0GVvau0BzioHyEEMF&#10;BUUQgJqOCR/EyQBBUCIXP6mpb1LQL4dYoysuUH4SPixsjRax+jeNkBZOYePRs2WfNklTHNbzfs4N&#10;V2mWzW+ESUU13Hic4LAlr5WJqhNFovMsIXO+u6lKPNIS7qss4dpry+AGVVViw05YtARBdopG1quv&#10;bZ/8VRXfcIJX3MBxPMSm1g6cD5wMqllqRnaRppx6JXpuRJUgSy+ce1LNKG4Q1UPABJkvX6Dr7++v&#10;qKhQ32O47777YAVFDGvXrlVLYtgdDmJQpCIuDIaFXOgXk2So/Dn5YnGRCnRucyuNAs6g0grXTXZ6&#10;qPOHpyRuoVAALnDDNKEBZ2jQKyY9edx9Lc3lOSnvbtrwxPz7xtw85ob/GHPjDyZfd+ct//Om/z5l&#10;3sR1W58+qT2ltbcZfxpxvx/xnXUNmt0hvdNVb9NlNR/ZsWvD2senTZk0YfrSVS8fyK4p7/Z2+j9x&#10;D/3YO/jxQHgwDIj7z/i877u9H1nec1s+dL7nNUb6Oz1lZVnb3l06+6GHnli96e0jJ2uaNPq+xtYa&#10;be6xlNeWr1j32oMrt63YvPd4UUOL2WsMDNlHcoOwoe+TGxTcq+pB0SAYgZTaxmblm+KkopEoCM6U&#10;tUI2tGEkMTyq79kujRv+9//+3++//77L5YIYiouLM2OvLEAMamaqSS7YggSWDykeTIEatZzH/46P&#10;KnIt1g4FBwjQHGKHn7Q0EJm2TWOg0tMy8d875OiiVleLr1RQoknPyj2Zkq7W5jydnilGgFEGcqV+&#10;TqjU1daLFV67u/v64QAIILb+iZitIZ9CFC3PJVu14iHRjDkoTB6XKRQNW2kaZfxVpTxa5MNNFn+C&#10;xeI5zzh4QVO5cRnt6+41PDFxSyiga8uiJaj6bWIPKEtTgHK0lcZadcK1mCplxQ2q1NSFHKQGolCB&#10;Y1ghRbz4nVdUWg4iQwwiZpHDos4kRCgtWitUejgSHKCGR2iNuFw0sQNyddWZM2eOHTv2rrvughjW&#10;rFmDYqivrxdvtwXFrCqqHG1N6SGUAcSgqaiU69QWohhgBfwb0aV1/tOxr+440hyRiC0UdAXRL97B&#10;sPuM1zho7zE3aAqO7tyyevGjc6ZPvOvOO26+7e47xsy7ddSY/3XD/5wya9pzm5ed0qRXmjv7Px50&#10;DQ15BzwDBk+o02Gr6i0+Vvbm+jeXPvXYpLGTx0569tm1bx/JTSlpzKzqrGzq0jV3tbZ0dHUZDP0e&#10;i/2s1fuJcfB945n3B7zuAbs50FxbcfLw66uXrdqwfvPb77yTmX28uCQ1M/3QOzt2rF624rktK1/Z&#10;t+NwTkFNd5fdbw2dsUcGXJHzHHuCAAD/9ElEQVSwOxJW3BAUE8nQDd8nN8gGRVZHu4zEFG2L3dWp&#10;78MHlRPWSykg0AZ3RDoNwo+UV0VH5s6P7Xs1URUvnhu++uoro9GIXEDYKmLIzc2tqanBZ+nu7rZY&#10;LIoYuF5VOGkKK0V9lXXx3L0v1WRtlhkts08clF8nJ9Nx/ZDwnT29jS3ttQ1NFVWiUxUpQLOkcZ6W&#10;Xb001KxcsTQbag7vSeqDdtow7Ue+iiX6guADmg0Eg4m1dzxi7R2VbHFrSQCiYYuduAlkUamKmzxf&#10;VAthsWohj5xn0WtHmHi0ESb93POMg6oCXV6TeZto8UcbbsOTd81ZvBTkoPT5B0c8fvyEuFFMivX5&#10;K1tqOMoDBWm2OfAwyiur0aNoU1wQqmJTW0efHHiUVwn+uCA38Ff+RAIkbwlj3+OLrq66f//+VatW&#10;zZgxY7QMMASKAWJQ01Xx2JxiaC8MxEBOyAWEC8kAfUQ/UkUVgqG1s9tkdVB7VeWRKY/b1xaobXDQ&#10;Fgl7xLc7vYNBR9ja6equrc89seul1UsWzn5w5rS50+6dPnXmrBnznpgwZfKNt//HtFnT1m5afrIk&#10;s8rcbfx4yDk45Il4I32+YKfVXN6atTv9+adffHjBorF3TRg17v4Hnlj6wvZVm3ctfuHNx5eufWbl&#10;+o0vvPzuu3vTM0qq6wztfZFu36Bh4P2hQOCs1/WBodNQWZJ3ZO9r295Y8eILi9Y+9+DKlU8tfmbF&#10;E49vfOzhjZt3vn28KKeqo77XY/AO2CNnYDVXOOSJyM/MiUku4iNywcCZ75MbVImT5/yUBRoGVUw2&#10;h/AeBGeX4JUCXEb13o8ASVWjBGx+jQPxPdmlccMXX3yBh5KRkZGfn5+Tk4N0gBjMZnP8FRs1gU+M&#10;m52jAVHtFJ4OO/jtjahoY5CBGKGVS79R3QH35rZOan9JmVZSQi6UgD4Qi/inpsebKAoOlqbpIutk&#10;15BoTBTesFahSkVi9Hk4GG088k9SKMS9y3MNLHoy8ai2pw4Sp+IGTk4wBRMJ9nUVIk4JceNg/KaX&#10;0YbfNG4J5yhLOOfaMtFoRSmIAlIlxT47w6hCsIIo3wtxQ6xwRblwIRWSqkilos3jp6uXE3FE2G9o&#10;Fl1JMIe4IwI6KiUvzDdUAP4kC1dMrsVZ6TUYq6qqdu/erVZXhRXGjx9/3333rV69+vjx47RHJIV6&#10;e9TpdAlysouu1PqmVm6tFjWpqK5pam2HnPirjF/qYPHU8aIUT5qQmLiZ3v/AMoQf5jobML7vaPG3&#10;lvRrTmXteXPtI/fPmTLtwQUPLn565dPPrnnm2bXPzZw19/Y7rp82fcbqF1adKMitQoJ/dNYZOesJ&#10;+SK9/mCHxVjacHrHkWUPLJ85af6dN4+77a7pU2fPXvTM5PseuXXCzDtGjx8zYdKcmXMWP7PsjW37&#10;T2fVlNXbawzvtbt/5vUN4VRHLJ2WzsqGitS9h95avXH5rMcem3b/orkLHnny4WdeXL5+5760PG1H&#10;hznQ7x6yBQfdg2ec4bA7HPRGJLqJOZDqi0BnxWfjRjzmFTJRpjRz2ctHJqsiprag3qpr62Fu+Jsa&#10;0tnTR/2BNlSlkmdeU9zw+eefl5aWnj59uqioSKvVIhf6+vpUvfQNe/GS/QtW/Ys0GgaXx6psFBPj&#10;O2QZgphGqDeIT4A1t3XUN7XACrSEghJNTn5RbDWI6BsDZL2uroGmwpm0W1gEfYAsEOON0dehFUCo&#10;uyuYEKWo0iBpQBg/ZQJip507Ux0RB2MWO+f8hse1CRY7M8Hi8VyMJVx7pSz2LOdZwjnXlgmkHsYN&#10;7FC1RhbocG6IF3rsoDhOOXItsNtnFBNhcQNxRI6fSknNyMJbb2xp0xtM1FhVzQRMxN4pU1GpmKWJ&#10;NFAhRd7KfeLEo6yoqj506NDKlSuVYhgzZszcuXMREAcPHtTpdHhmNEC8MYLL7QZxuATpzK1xhhDQ&#10;6OOWji6D+H6AuK98TMpOVeB4OaoHuTBimt9733pmIBCyn/Xp37PUWavSK49ue/v5NY/Omj7tnmlP&#10;PbHklc1vvrpl+/MvvLJx7tyFo+66Ydq9M1Y9v+p4fk6loc/4wZA9dMYd9A30+UOdpv7SqmNv7Hpi&#10;zqMTRs2+5frRt9wxfvSk0ZPn3nj3lP/xw9v/4wfX/+cPr7/z1lvvnTL90UdXbHh591sHClO15mrD&#10;hzbXAP6nXd/Y21reUJWRlnXknb3bNry+9YXXt732xru73t6Xejglv6Shodtl8b9vD37gDA95Bs+4&#10;otwQHM4Nge+dG+IAEiti4RTi11Jb1Cu01BnoAUyT3CDKQpbUcFz6J5ioIRfPDX/84x9hBYJiBavV&#10;CgvI8xODqm2XYtEWSAUNRoZkDgqvnIYXGhjiuHC45GqRsGufXCaTSl9epZN8UIibJpb4F5/3ys7I&#10;zkM6QBW6usbWjm69WLYzuj4P5QEryLUkxStaI7AgaUm7kAkiF2giIFXh6TCSoOriZAC+Dc2tpeVa&#10;iAHBimgoLClrav3a6arUcFX9VLWXWBCFA/apnIgGk9VOhLv27F2xYgV8MG7cuHhX0uHDh1EMqitJ&#10;LStAi+0zGPB+tGIVVfGBo5r6Rqo/CXOqaRHRxUjULS6h2hsGB+xDQGzfkLXpfX1ZR/b+A+uefOb+&#10;B+ZPnzV73uMbXtx69HT2sWPHN296aeOcWQvuuO36KVNmrFy38lhOdoW+p/fMgDU46PR7wn3uQIe+&#10;p7B4/+Y3Hpi68O47pt9609233HnXHWNvGzPt1tFTbrxz/F133nHbLTeNvvXmCXePuWf8zOlznnp0&#10;yWsv7tKkVno7TIGWHlNjg0ZXnVNSeCQ753hO3um8knJNVV1tY3d7h7FXb+23hYzOQYtnwO4bdAUj&#10;nnDENxAWS2Sc4waI4Uwg+N73yQ0XNIqAQgGOkAvwN+XFtru3n6pCTaN0lIsQFGteJV77vdmlccNX&#10;X31VU1NTV1fX29trt9uVwyLPTwwXzw3CfRYetGh1sm0IUz8xdrzBsBAKVjsuP0IBR6yqtr5U6OUy&#10;OCBNvpwsxxIK8kXXqlg8Uo0qcz6tC+eLhkGeY+S4pBzRDlWrvvh0Ju3/WlNVUdo5PhBjM7IWUa/6&#10;zReYrlrX2CKnq4punIQIpYmKR2zUdvAaMpCVUzhDIAI+EEhRpq3auWf/qjVr58+ff88998ANc+bM&#10;WbNmzdGjR6urq41GIw1QzBmSbzv39PTU1deXVVYjF2gFOEYdPeJ1DQAIT0gSg6z/Mfo5PzHfZLbB&#10;iBeMsnf4OjTWsmM572za+NDsuXMemrfgiUdXvvbOwdSiiqqCrGNvb1mzaf68B9ANU6dOX7l+5bHc&#10;bK1B3//BGfeZAVfI6teb3a3tXUX5+1579YHp88aOnT167LRJM+fOe/jBp1Y/tWzd08vWrl25dOlT&#10;jz4xf868qVPvQU+MnTV55pOPPHdgy5G6jIqW3KqGksrCiuqC8vLMmuryxvratjZDX5/DbA84fRF3&#10;KGL3Dto9Qw5vxOkfcAdDniCUEPCF/dIoAlBlyB884786uEHRf2+/qbq2XnZ313b3GvAj+BNVS3HD&#10;1ym578cujRv++te/dnZ2ohjU6IJ6JUeenxguCXNV7wpJkZkiBBeXx5qNyEGz3Yn7D+JXVNcUFGsy&#10;snPVShWwApSg+uzqGpvbu/TkNe1BzTF1enzEoFoysXELORlUZbfS1NHjSUvaN5iqhwJVo90vwhQ3&#10;cNxsczS1tuPgQwxiumpmNj57Q0sbikHOPBFYnBChMuUhqshFRZURyk6nYG+/WaOt2rV3/9IVq2bf&#10;N08MPY8ePWvWLIjh2LFjjY2NSHYoAcWgiAEBgZQv1WiycvOlYmgCaCyy/zruEklTvtelcYN7MBSI&#10;eILGBmNFqu7gK2+vevqJKeMmT3/k4Wc2vrAzPbO8oamrs6ro2O4ti7csWvTQ2LE33jv93pXrlh3J&#10;ySjv6+r74Izn/QFQO2KyB/Sd+rLcfa+/OH/a/IlTHpg264nHlr78yo4Dp/LySqvLq+urNYUF6ScO&#10;bNu89uknZk+ZefeoqXeNnjPh/hcf33hi69GsA9nFORUFVQ3axubKvu5ui8HksAS9rkG3f8gZjFhD&#10;fpd/0OM/64EY/CQ36An6PUGvL+Tzh/1iYe5z3PD+P50b4n4GSEXlgclrG2SR2Z2yvIS7cElldCXs&#10;0rjhb3/7m8lk4m+KFQhqVtLIINtP4s0uaDILZFd+fPlrqXnxdMSba2JcwdTa0Y0XVlRanp1XkJKe&#10;JZeGFiPMYlpeBbQgxnI4zWxzwgcqc+MNQHKAaHXSIxuKNcgoCbEzPDFJS9pIo6qI3hjJDbHKI6CW&#10;g1aHC4VaUqZV0x8ysvOKNRViuqrFRj2U/CHaeUKE0qLeiaqoVMug6DuNoDNwg5Ag+w4ehhimz7rv&#10;7jHj7rzzTohBfY8B1Q4xKM8M3WCxWBDxEENFRUVhoViTUVst5r3QdhQZqEp+npGqS8GdsN8+4OkP&#10;tJa2pOxMe+nZtQ8/umDivRMWvbTk9bR3ivWVeqve3NVasv34qzNenL9gwV13/+eUeyev2PDskfzU&#10;ClOH4Uchz4dB33umAbspZOwy15elH961eumqxWvWrXhh8xv7jqeValuMfVav0xsIWnst7bWVqYe2&#10;r1/x8KxZ4+4cf+tNY2+d/syMZ99Y++7hndlFeQ21zX19BvFFoMEB5wdnvJ+cCfwkMHjGMeg3DNk8&#10;4rM9ZwKBiF88ZsArVlV3+0Leq5IblKs6hOPbpe9DdLZRZvLrSYg8UXDSV6CGDL/qe7ZL5gZVLxUx&#10;ENiX5yeGi+cG6TEJblBvePGT3EFa4f63dfXUNDShrPOKStKzc9UadmgFGILWqBOUIL6+EhteFh+U&#10;Vu2BBkCckhJEy1QtRFCF7LxSB2nYovUmuSFp/8hUbZEVVeA4dQkXhCqKYmjv6kGzqumq0IOYripn&#10;BFEVJRBLUvma6aoclxghprEp6cyRPqOFCr/3wKHlq9beO3P2XaPHjRotlt1+7rnnErqSaGW0UkQ8&#10;MqKkpKSgoIBtVU0dKIOThGvF3WVVj6pw1SJEo5Cu0vDE/ANzGX2mdlNFasFbz+94fNaTs+57YNp9&#10;Dz9/bEdGR3bv+23uiMnZq698O2vHfRvnzZ8/avQNM2bPXPfK6tTynFqX3vbzQf8nkeDH5kGHKWQy&#10;+7rt7bVd+VnakhptaZ22tqelx93nPuv0D7nE9+D6vX2tzfmn9mxa98yC+ZNHT7z1xtG3TH9q2tOv&#10;rn730OHS6qo+vcHtc4lV+96L2D884/7kjP+T4NBZ19mA+QOHNxQJiS+PRgI0/0DAF/DRxJVsi3HD&#10;Gb8YiL5auEEsRxIIgV0UukmuZmZzii+ZU2Sq8mDDr/qe7ZK5gT+oNSbj0kGenxgunhti3CgcKIfH&#10;Rwb1Gs2QKMBfWl6ZnVeYJl4gyjwlpqLmIBQQ7+ivDgSYySppNvrCiGpmyqJtIJa/7MT/Kh44+ifx&#10;V/aHJyZpSRtpsv6IeoIHwz7EYLGL6aqgsEZbpaarKgnb2NLeL5fm5zSq5cVPV3Wq6apSMezcs2/x&#10;0hX3zpwzasy4sfdMmj13/po1a06ePNnQ0BAnBrYulwsR39nZqdVqc3JyIIam5uYu0SwcslEIVqCG&#10;S7ksu1LPjeqJmp+Qnm+wYH+rs6WiLeXdQ6seXTXx9pnjZsyd/uicjdmbskyH2s/md/TpGvMb0xan&#10;v3Tj+rkL5o4a85/TZk1csfGx/Tl7cjqKa/293QG740z/oMcYcfQHDM7edktNdWuLubnV2tjj77Ke&#10;Mfp/5PSfIdE+Q4u7u66z8MTR19avffj++ZOnjb1tzB1znrh3ycvrDhw/3dDW5PZbQh+6/D+K2H82&#10;aP3FkO2nA46P3aGAZcjW+2GvJwQNDoi1wAUm+YOicctnDfvi3OALnvUFP/AFxfSWf6JR7jC0enXX&#10;Id/G56caE5KgJIqJ4qOGJFz4fdqlccNXf/2b2+MNhVFtYp1UcSo8ERLXJJgE4sSbfYORHU6P+EYS&#10;OqChubWiqqaotCwzJ49Wp4RCXmGJmpAnPkfVb4JC5DIV0enAshYINaCMn4oD1A4nyBaYeNOkJe2C&#10;Jhunqj9ih3bLPlUoEBGr+YK9BpMF76Sypo4qeuzk6fh0VZDZKaer+uAGFIMv4Af9iRN6CMqVXGPG&#10;CWJxVQVgYkajq6tHX1ldc/Dw0RWrVk+fOeuuu8eMGj3uvnkLVqxas2//garqapPJ7HZ7VNNzOl39&#10;RlNHZ2ddXX2ppqywsKiuvsEU/XKnkCyxhiA+VihSLnXJt+MGf0+1oSpTs/fl1x+f/dAdP5hw29jp&#10;k+bddf+mRzadWrWv8MVdB7a+tfGdDVNeePC/PzF58qSbb/4fd465fvZD45a/9tRLRzbuyDtxqry2&#10;ydzjc/Q4Dc3dVbVFKbl7tr6zO+udvXkHU6uLdIZmg7/H5Ojq7e1u0HTXFunS9+1/ZdVzj9z/wJQp&#10;E2654/Y5T81c+foLh1Mzm3s6/RFb+AOX972z/p9+6P/5+96fDHo+codD1gG34T2bJxQM+AcQDYEg&#10;EAQ6ieVW0WzSeF5sCFbwBd/zXQW6gUqlQIliYhsaIGHRd6qUC6tKMH7J92+Xxg1//uv/5qlIOpzG&#10;xcorGR7dPzTOF5fIV2/ICGKAKqnNAD3trbmtE4WeW1AMJciXmcU36HMLijiIjJDKyyGmorrU2wlf&#10;65QlLWnfxSSA0jLjg7cCwcVxMR7g1RtMqqJm5OSdFF/myMSPaZarq7rcvtiiPedM9XKwEw4NYiGA&#10;AJ4gZvlWEO4/IsBqtVZWVu7fv3/FihX33Xefmq46Q37a88jRo8gRWofNiWQgpkHcSbyoLr2hqqYu&#10;X3zFU8yJ4oQLTpb97hbpymzLf+vY1qWrH7l3+uib7rzxxrtvu+O220aPnzB14pTp4ydNHDdp7Nh7&#10;7rxzzE1333797bde98Obbvtft4y7ftzCu2avGHf/C0+s35Va1m2wOLvam2oKj5zc/uzqBddNmLt5&#10;3Pw3Hl2zb29qjbalv76zo7JeW6ZJKS0+kXn0zR0vLVn36NzHp46dcdN/3jRr8fwXD716rDi7vt/o&#10;Fd9/Dvh9Eb9nMOAJiw9LBNXK4fbIx97QP1kN/IvZ98oNXMv5wpGJiHVsqOio736zWDG7pb1LV9dQ&#10;Wq5FH2TlFqRmiDeZC4o1ZdqqmnrxmkKvWKUMSpCvJsQ6f6U6SXJD0i6jiRpFRVUWq11ihyqHRwIB&#10;yOmqtXmFxcNWVxXTVamfXh8O63nEoExQgliwIRzwh/2+kDQxVge00dL0er1Wqz1w4MD69esXLlw4&#10;adKk8ePHz5kzRw0+V1frLHa5Omys+1TOixcvuMFPJWVauV5bj5zickW6IHztmfXZb+1/bcmSRVMn&#10;3nH9TT/4z1tvuPH662695eY7b7jp5v+87j+vu+E/brzp3354/f+47ab/dctNP7juptv/4+ax/+9t&#10;0/9t1P3/Me7R+c++ejCrtkPf39HaUJV/+MCrjz859f+5afSTN4xePHXhuvWvHTqaVpinKSnRFpVp&#10;0jSlKRnH33n9haWLF86aO27UpBuvu33ussdeP7Uzq6a4zWb2DbnFd/cgW+/Aedzwnj3yUZIbLq99&#10;r9ygukEVPfCTlmZ1uKnW1PLisoqM7DwaG4qB9pZbWIxIb2hupQ3gEMm2Ef1+nmqo0hLjT1rSvqMJ&#10;LSu7ktinokqLzpKg9vabrU1tHfgrcr5cJqK2qLS8QayuGp2u6pf6IMEgBvWF5zgxsBMMhiMRYC5o&#10;NBrLysrefffdJUuWzJ49G8VAYGf16tVqVpLZYqWhEblbEoMnEIKfGlvaijXl8gXPhrbOHiMtRL72&#10;PPxZLpe52rNrct7du2XFkodmTLzrpht/8IObrr/hxhtuxa677rof/ODfb775P2+/7d9vvOG/33bT&#10;f9584w+uv/mOH9424d9vn/E/7174gwmPPbBsy8FMXVevqVff3lieenTbs0/P+I8b73jgB7cuunvS&#10;o48s3rh5284jp07kF2dXV+VVV+XmpB3csnHVI/fNmHb3qEm33X7PoxvW7Cs8Xdmj6w9Y/EMuUCoU&#10;Up9vU9zgDZ9xhd9zJLnhctv3yg1cJfBddqXZXR6qeJe+r1JXW1iioZmdOJ16MiUtKze/sLRMvdKM&#10;cHbIxejVVcSgeuhIAMmgJUhLkkTSLpupvngqleyjF5WNOkYlZ2u2OVC3EANV9FRqulh2G2I4f3VV&#10;nz80nBXOmepHQjeIeZbiY6LoBrvd3tfXV1VVdfDgwRUrViAUkAujRo1S32M4dOiQWqzM6xWv6XAL&#10;WIG2QDKa2zorqnQobK38DIPJKtZ4lsRwRdqCU1/ZVJGWduTt119a+/TjDy6cv2DRAw/OnTt//rwF&#10;C+fd98CCWY8umvnA3PHTxt9w9x0333T9D35442033z3lrqkP3nP/qrnPvrph+7GMsja90dJv6Gqq&#10;zDq2Y9Xi+24eO2r2bbdMu+vOyTNnLHj66cUvv7Jxz763Tp0+ePL0gZ273lq+fOm902aOGT1p0j2z&#10;H1i7/a2sOk2no90xZA+ccfGc4bB82dkbQkEEQ97wkCt81hH5wBtKjileTvteuQH/i2vd4rMndup0&#10;dW1DSbmYGJ4qv5ycmZOPK4SGaO/SQxtWh0s4YqJxijvKWRbKhhNDkhuSdjktNk4bCci6ChwDu2hW&#10;s82Js1Kmrc6W32PAlaGuoiEM8sMs1EOuEvOOLsQNkIGwYNQQDT5v0O3yqg/1HDhwAIkwa9asMWPG&#10;jB0rpquuW7fu6NGjOp1OrXgvBiXkIgrEb7I66ptbubVaXRX1ADORQpXmhGe5XBayt1p7qjsby6rL&#10;83MyU9LSUrOzc1PE/2kZqaey046nn9y7c9uGNYvnL5gzc+yoO2+/a+z0uY88sfq1F99J3Z2uy9Xp&#10;m00hq8vbb+huqsxJ3bPxhaemzJqycPTt0269YdSdt42eMG78rFnTHnp43mOP3//oY/ff/+D906ZP&#10;v3v0xAn3zLr/gcXr3k05XWNssg7qfR84QmedPqQC+Si+/AxOBUJhuMEdPutMcsPltu+7TwnEj60e&#10;rMvJLxTf3RSskFdUWgZV0PyQ53KVCzmXS45XwxC0PcUr5xpAVO+fF3/SkvYdLa4b2KeS45DDCn1G&#10;c2tHV7l8jwG5kFNQVBqbruoU796LBbrVdFV/UGiCBIuPRaMe/L6Qw+E2max6fV91dfXevWKtJPgA&#10;uTBarpWEYjh27JhaK8nr9QYCAZ9fvIXDjVAMJIOWgmKApeoaW/QGI7xFajlBvJp3ZabDhwIOn9fm&#10;k+MdNqfDwgP4/B6Py+N2+pxGv13v0NdX5x3Z/8aapU8/PW3S5HETpj6+eM3WPSdTS5t0PZ5Oe6Tf&#10;916/zdHe3tJYXVSYumffG6teeGbx47Pvmz561KQ7bxt72w133vLD22+97pbbb7np9ltuHjX+jvH3&#10;jp62aN7j65977fDeTK22x93rOWMOvO+JvIduEO92SP0FTonPyIeHPOEz7vB7viQ3XFa7LNxwbv2J&#10;BIv/STU5uVBlT019Y0lZRa78/hpyIb9IVPT6ppYufR96AmKg6nG+SFzMXZLccK4zUbKC6AUefjBp&#10;SbskEzVzuLchTVVUWXWjn2ExmCwt7aIPJzuvQL2NLx32diqzQ37ZkEs4EyOqIOI4Rg/Cu1WKAW7w&#10;y94kGoInYDbbWls7SkvLdu/evWTJkunTp6MYxo8f/8ADDyAgdu7cWVlZGf9GFk0xEBTaBcWAnK6u&#10;rafhkAC8q27xMXaoQSgG0nwFuSHoDoU8A0PhwbNDoYGBQCQycOZsOBwELgYCjiG/JWBpbyg+dWjb&#10;uiVPPT1x3D13j77n8WdWb997KrOsubbX02L0NvY5appayrWaSk22Nv947vG3Tr7zzpvr1y97eNGD&#10;M6dNG3fXnTf/8Pof/Nv1N99wwy033Tp64qQ5Dy565vnn3zhyKLM2r1bfbIVdzloC73nCZyU3+IPk&#10;jBxs8It1kwZcwUFn8Iz3+/7S57+4/UNuuPmGG2+94caL4QYalWhXVFYJ6AEqK8dx/BEBNqfHZLW3&#10;d+krdbVQwonTqadSM/DCcguK5SsL3QaTcsHEtWrYeXgqk5a0y27DuCFGD3JqNVVaDj4PUiF7++OK&#10;QU1XzQCY1XRV/hqP6pzJXiPFDWrkWbECOx4Pvrbf4/Z3d/Xm5hZs27b9iSeeUMRw9913z5gxY926&#10;dSgG9YKbmt6qXnPDNeZenT29urrGYk053KCtrunpQzHI71qrFWKC4p1/1RgvuwHD/pDowfFi4bA3&#10;LEeBw+LAQFBwg98MN6Qc3rZh+bPLZ907e+q0Oc8uX7d999GUwsqq9v7yps5iXWOBRlNQVFBemtdY&#10;VdzVUN5ZUaRNP37ozc0bFj/2wKzJk8bddfedt9565113j5swbd6jT69+Zeu+zIyy7urucJ97yOgd&#10;svoG7YEhd0A8YFCY/EhMQHxMG7Zw+oJ2H8qJ1A4ri6R9NxPoTVmLog/6RYlHuYFqmZ6WvmDuvBt/&#10;eN3N193wTdygGphoaUIrRIcBFDdQZdnBu6Eqy+7aKmr26XQxGSmvsLiiqgZdjFzANbM6xPIvsi4K&#10;uaAct6Ql7UqaqLfKRO2N1WH+RK0GcMWspNZ2iCE7r1C8apOVU1CsQeD29pu+bnXVQEwu+P0hnzco&#10;jNN8IbGyj8tntTja2jozM3Jee/WNJ598eubMmZMnT4YVHnzwQYjh0KFDKIb4xxNFb5IMHq+PBoIL&#10;VaQpzy8qLZbLcsiXn4d911oOkJBsmuRlN9Gp5ac5B91BYa6gzxXyeeR3tf0ec8DV77d2G5oqKrOP&#10;7X13/0vPb1q/7uVtO/bsO5p6Mqe4oLohv7ImX6srqdRW6qqaGmv0HY0mfZuju7m3XqvNTTu9/913&#10;Xt+0aeP6Dc+tXf3c+g0vvLx52549R7OyNC21nZ4ex0dW/xlYwRUUHUf+8FAwMhQeGAoExQtu/hAe&#10;JM8+4BU2xE5CcSTtuxhtwRMMYN5gQNJDlBvsdntKSsr8OXMVN9w76Ru4QR6Rdm4YQNUq6i7EgPrV&#10;iX4kbWqG+DwnW4gBdYwrRBWnmeH+ECHx4K+FBtCtyZ6ipH0PFq23cckbM5Su6MNpbussFd98zlXr&#10;tQDN0dVVxdw5gcgjIpTvP0tW8HoDbNUruUgHuMFitjc3taWlZb7wwksLFyyaPGnqPffcM2vWrGef&#10;fXb79u2ZmZmNjY0mk8klgweJIQP63WgytbR3lmnF1z3xrpraOoxWO8ykkipcMdn0ZBerkDuX3YJw&#10;nuRLXyTiG4ggFjCX3+kPgxuOoMcy4DGHrHpHV2N3W19lWU1BniYnrzQ1u/Bkdl56UWlBZVVZXX19&#10;W2tPX6/VavY67QG3I+IyBqy99r6OvvbGjsbaxtqaOl1NVXVddW1TbZO+pcvabQoZXR/YAp84fBGn&#10;L+Tyh9yijHheWWQwlnx8YeId4wj0IP80okSS9m2N/HT5va6Azx3w+4IBtGMoHAqHw3BDakrKgvvm&#10;3XTd9bdcf+O936QbznFDrGzkQfwKk83R0a2vqqnPKyyBEmhj6dm5hSUaXV0DxKB6S+NSQ8UgqOWf&#10;+kWLpP1fY6K+UVGpxtRDtTg23ox8H9Mqu5LUGENabLqqmBQkQFnOj8BGRDjgD0SgBIAdbggFByL4&#10;uXKwwW5zNTW2ZqRnb3r51XlzF44be8+YMeOmTp361FNPQQx5eXnt7e00Oa8MEANyAQeNfYPB0NTU&#10;DCUUa8ohKpkG8S6F7EoSa8GKlEhKi7Uj8USX13hOWnswGPKFAt5wwB32uSM+q8fqxa0Me/0+Z8jr&#10;CLmsbmOfyxro7TQ11LdXVNTmFWmyioryK8oqGurqO9q6jQab2+UPki1iFDngc2JBnzvoh0J9AZ8f&#10;+PF6eeSw1zuIebxDmNs75MNrlMuE+KNCQUxZRCIIuRAbyFRZQVITiyNp38HIzzg3iEIKRlfQQ9dm&#10;ZmQsWnj/rTfedOsNN029Z9IXv/vsH443iAbDn2hmVF+jxU4Dq6iuEauoZuXKfqQSFDqKWG8wmm0O&#10;zlGxKVOKXpryDs5LaNKSdgVM1DdBDGLhFrV2i8dgslBFNdqqnPyizJz8THxgMfYrVlflNFXPYYiv&#10;4QYhEYTTT20OD2Eet99qcTQ3t506lfryy5sXPfDw6NHjRt89buaM2YsXL37nnXcKCgra2togBjXy&#10;HIkFGqHVam1ubtaUlReUaLTVtY0t7b39JtIAILJVQiEYEd0syvDxYy3oclrYHxb0EAz6Qn5v2B/l&#10;Bq/NK/x1QN3t9zjcFqOxs6OxpkOnbSovqymr0FXVNjR2tHca+7Bem9nmdfnCodCAWDJEDMmE/OGI&#10;PxLBDxWuaCgYCYjZXIPBwJBcS1VYKHA2FDwbFu8IisD/YS4X/Qpn/OFBTDBENJFhfxI0LreRn25B&#10;DIIbPNAD6iGmZTPSBTfcdtPN0MPUeyZ+8dvffx03iFjYp3Xhc6lP/PcZzUhyTUUlrSstMxv/C0Ws&#10;q2+UL/e7uJzzldHGRNHKqUcizuik1WQxJ+37MGoatZGq65TLbssZEz1l2ur0rJxTaRlyLS9dS3uX&#10;XLHlvOmqF66i4JRPDDMgF8KhQYihV99fX9eUkpL+/IYXFy5chGK45Zbb75kw+ZFHHtuyZUtubm5L&#10;S0tvb6/FYoEeCDQ8tvzU6/X19fVFRUWZWVlZeQXVtfV4Wj19/WI9MadHuFYe8eKFHJEW5nD77C6v&#10;1em+7OaxOdw2u9NuszmsVpfV5DabPOY+R7/RZe63mXqNBtLf3tJeVVaZl6nJySjJzioqKdU2NLd0&#10;9/f2WY19NqPBYTI57Va3y+722p0+m8NvdHswE+bymBw8jsdidTusHofF7TI7XWaH12zzWx0hu8PD&#10;dXar02FzOGx2h/iyr8XhNtlcmMXpsbt9bq/fCxwha5KgcVkN90aORQc8Qfjf6/J6xMpfbndfX9+J&#10;48fnzbnvputuuOX6G6ehG37/Odzwd+nUA98BLpbcIKjCFxRyQbldZrvDaLE2tXZUVNVADLKvVnwJ&#10;S1fX0NHdS9vjcpgfl4cdGlucG+KOT5IbknZ5jeo03KRO5biqulRCMa3O6fHanOLlm/qm5rzCYjmV&#10;Lr1IU9bYKta5E9NVZQe3lBdiuurw+OMm+uUD4tU2NUMJxdDQ0JyVmfvaq2+gGCaMn3TbrXfedNOt&#10;Uybf+9STz7zxxhs5OTk1NTW1tbV1dXUwAaGxsZFtVVWVYIXMzJMnTx45evTo8VN5BcVlFVXa6pq6&#10;huaGpta6hqb6xhZpzXVYA9YkDzZfdmutb2ipr29qIHF1dU11Nc21NS21VU26yvqqUm1ZYYn4gHx2&#10;RvaxQ8dSjmefPp51+hTOYH5peQXioay6ora5rralvra5sbapqa6JBLfhIlbU11fUN1TWN1U3Ntc0&#10;tjY0tzc1d7S3dLc2dbTUtXCoRVfXUlPXVlvX2ljf2tTQ0tTY3NTY2NRcTwxNrQ0tHU1tXfI7j2YL&#10;NOnyeIWku7KgMbwKxS3hnGva5BMp+SWfi50wYlGMRcMNTo/bDj/bbE1NTfv27p05fcYNP7wOekA3&#10;fP7Z5//tr3//uy8U5FQPdX+QK0O4Rz750+33sbW7nD2Gvvrmpvyi0tSM7OOnUtkKSd7W0dNnhD/k&#10;vRPsXyp/k3YVGt6G7AWSU3qiI1scD1GZseBAJBAOiarb11tdV5tXWJCSnpaSkVakKW1uazWYjNDG&#10;8Ni+wYKhgXB40IuAtrvtNldPdx+S+cWNm2bPmjt2zIQ777j7phtvveGGm6dPn7V27bqdO3ceOHDg&#10;xIkTKSkpqbGQnp5+6tQpjr/11luvy7Bj+46DByGIE6dPpaWlZqanZaFCUk6np6ZkXHZLS8u8kKWR&#10;MBJ5WgZ2CCTy2LFje/fu3b59+6uvvrp58+bXXnvtnXfe2bNnz6FDh3godTJBPVdiSPlO6c/IyCYf&#10;8vOKGuqb+/qMZLWYD3ZFkESMgLIT7TaX7izbBOxS51zTxiOI8TY5lKXaiE98FMnv8/nUGBisgJZt&#10;bW0tKCjYtm3bjBkzbrrppuuuu27cuHGffy65Qcx0hgwCghvUxCYoRU1ycrhdPYZeXX1dYWmJ+HCu&#10;XAajpEyL5wW9I8rRGbE8HW5JbkjalTW4AWKIc4PyjLxB4eUowyfS9xvwaWTVzUzLyswrKqAmU59t&#10;LqcnIFTyxRjcEAoNuN2+3l7RlZSRnv3KptceXPQIiuH22+665ZbbrxfLmF4/buw9jzz86Jo1a557&#10;7rl169Zt2LDhhRde2CjDSy+9xP7atWuXLFny1FNPPf30088+u2TVKg6s37Bh4wvPv7TxhZfZ2bB+&#10;4/MbXrzs9sIL3D3Rnn/+eVJIWL9+PaklzaSGLelftmwZiXxEhscff3z58uWrVq3iHB7hxRdfVE/E&#10;5RcIG75T+nn89etf2LZ1R052fmdHj9PhES+UjCiO726CDBQfyJpzjhuk6BQAGlUP17yGCIQHZd9P&#10;dJVrmgz7BJfLpb47CytUV1eXlpbCzPgB06dPv/nmm+GGsWPHJnADsUXQ1pjL54EqXF6P3tBXVVuT&#10;nZ93Og23ICsnv7CiqkZ+odDh9Phc0U8aqcY53K7tPE3a1W+SG9R8nnMVT3EDehf01/f31TTUF5QU&#10;p2VmYHlFhdV1NV36HiuoExBzhhIi/DpDXzidnr5eY2Wl7tjRk+D4wgWLIAYUw6233HHbbXfefNNt&#10;1/3wxjtuHzVp0pRpMkydOnXKsMCRe++9l4MTJ06cMGEC28mTJ0+Zcu+0aTOm3zsLwYFNmzpj6tTp&#10;HLnsdu+0mSNNJQksUIF9jpBUlXJSOH78+HvuuYd0sj9p0iSOcw5+pTqZn+I5E8N3Sv+9984kN554&#10;/Ol9ew/CwVarw0s5XYEXZiUrREdGRbVRfBDVnYIP1Amqag2/8JozMbogZ3wp5mMH0EYumEymtrY2&#10;nU4HK2RnZyMZjx8/jgdDscIN119/Pdzw+9///r999fe/SRkOyiPgwrQrp9eD2d3O3n6Drq5WEEN6&#10;GtyQWyBebevo7hWL2osGKZYti+ZvoiW5IWlX1mQDjnp88X1fMAieCGIw9NU21ucXFVJvUzPS2amu&#10;FcRgcdjc6Gk0sZg9mRjnBc3nD9lszva2roL84p0796xZsw5/eu59CxTIzpwxZ8aM2VMmC6CfOXM2&#10;0Dlz5sxZMoChYCtkAM6yw0+COmH27Dn3zZmPEQ/GzuxZc2fNuo/t5TXivKAB5CSGrSID0B8mgAbY&#10;V4lU6ZwzZw47UAL7KrBP4OlmjwzfLf2kisx84gnBDXV1jSbxnpQbYk4oju9uEp3iFn1/S7JCvC4J&#10;WLvWuSFOcjyXeksGbgC6+/v7IQatVltQUIBcUB2JBw8eRERSS+GGG264AW743e9+99/+EuUG4XAF&#10;ImG0gt3tsjjs3b16/KycgnyaVkZ2Fq2rpr6xvVtvdSBQRIcdt0xyQ9L+WUYdU5VNNQCqopTMEIOj&#10;x9Bb29hQUFKUlpWZkp6WX1ykq69VigFi8Ph9YurexXNDIGw22xrqm/NyCw8dPLpt247XXntj8ytb&#10;EBAbN7788kubX355s9h/4eUXnn/x+eefx//atGkT23Xr1q1cufKZZ555/PHHlyxZIrqQ1q+nBcpe&#10;ppdf2fQatmnTq5teFkYkL730ymW3F1/cdEEjDaRk9erVS5cuJYVPPPGE6j4ikTwCf33xxRfVg7ws&#10;A/sXEXjqxARcvJEDL27ctH372/l5Rd1dvXa7y+3yXQluwIAvZaoWUYUANbdcQUv2UgpYE/VK9NEn&#10;XnutWIwbBBpDDDyRXBTVXF9fX15enpOTk5aWdvr06ZMnT8INB+RHqHARbrrpJnTDmDFjJDf87a9i&#10;/kWMGxweN02ou09fU18HMaRIYijWlFbV6Lp7+9Vr/eSmaIpkn8jWJDck7Z9iwu9TDUASgxh7sNip&#10;ur11TY0FxUVpmRnpWZkFJcW6+rqOni6z3QYrqDnd8q2fS9ANRqOltqahpLgMekhPy8pIz87JyWef&#10;bXZ2Xg7KOrcwN6cgKzMHRyw9PT01NfXEiRO0t127dm3fvn3r1q27d++mBSLeaZCZmZnZWdnZWXlZ&#10;WblZmdKycomEqMSRy2qZmTmZGRcwkqFSuHPnzrdiQaUwm3Tk5eXKwA4gQuCgCuxzPOvCISfh7pdk&#10;BQXFZGNJSVlba6cVD9TtE6+jXxkkUawAdrm8fjVRWJjb65DfoFSYJs+8hnGMB+QpFMPBeWabo70L&#10;VG8qKiqiqJALVAAVKPdDhw7hK8ANN954o+KGzz77THCDkNghxLgfbrC7nGabtb65qbhMg891Wrpd&#10;6PGmtlazTfpdsh2Sg7hpcn5qAisoS3JD0q6syTomTHBD7E23HoOhobmptLwMYjiVmpJbkF9dV9ve&#10;1dlnMjo8LiWO4QY8IcUrIy3hLlgwNOByejs7e1pbOzAERGNDS2tLR0tLe1NTq5gI2tAMnHGkubm1&#10;qamptrYWvyw/Px+SwC+jEQLEhYWF1dXVjY2NzZwkQltLczvW3NyGsUMMmDp4GaylnfSIRHKLJnEL&#10;jNQqa2xsIT0ABMkDGthCVyB+WVmZTqfjEUgf6WRH7be0tPCTwI5MvDhygSAf5Ftbe1sXiWQLEzsd&#10;Ho/bL1Y2vFCJDCuskX/92nIcVuLCo0UoONxei91lstoNJqvRYgffbE4PbEGNir+bdU1Y7LkSTVEg&#10;T8pjdun7qmrqC4pLKWvq5JEjRw4fPsz26NGjbAnoRbgBYrjuuuvO4waIwe330Xj6zaaW9ra8okL0&#10;+Km01Ky83MoaXUdPt9Fq5jYJaUpa0v5ZFhXL8kVi9u0uj9Fiq65D7IrhsZOpKZm5OZW66o7uLnwd&#10;1DBejeIG1INT/EQ6DPdmopZwF8zrC3J2orl8EAZbIAzzegKYy+mxWCwGgwEYBWdxugnwRHt7e29v&#10;r81mc7vdHo/H6XQ6HE4uvxLmdBK/x+XyqkU+/L4QBwM4j56Azea021xms62rSw+BFRQUwF5s6+vr&#10;e3p6+vv71bpPJNLnE2/LqqSyjQf5mpQI6szEwH1HpOfizUfZ+MMJdkFuANmlUVhisQ1APPYyufge&#10;DMflnyS4x17jld6DmM2pXtgCK41We2+/uaO7t7mts7GlvaVdvISoPrcnr+XCC3LP1Wg8II+s3COe&#10;lGpM/rAvO8rEGENXr6Gqpi4nv/BUasbx48dhgoMHD6IaoQdEA0fQDc8999zUqVPhhptuuunOO+8U&#10;3PDV3/+uJimJ3iSHHQ+moqoSYsByCvIrqqvaaV12Kw0hyQ1Ju3qM2k8bUJ6RzeXp7utvbG0vKC6W&#10;XT5ZVN3SivLaxoa2rk69oc9oMYvBBr9PKAa5WoQvKC4faQl3weSUcLG+XoIJ5PKJHTHVEu3i9luB&#10;m95eiKGysrK0tLSiogII7ujoMJvNDofDC1TL1WvELEJ/QH0E4rIbKYka2Co/VspOJDLEvsMuPkAE&#10;MdTVNpI2SIt04u5DZurlbbGwjgwhuVy2ogexSueIoE5LDPJ239oUGSTYN3ODRCRxgoRyMaosT4ge&#10;xIBLxIHV4e43W/UGU2dPHxTQhPhrbq1H8zW11DVGDYbo7u3HvXB6xCf5ri1uIJ2SHhRfquXohfMk&#10;e1ldPFddY3Nhieb4qdTd+w++884727dv37ZtGzswRJwb1q5dm8gNf/373yEGp9djslo6e7ppUVm5&#10;OehxFINWV9Wp75Zz/nCyArFpXklL2j/fJDQIzxFHr9dorm1oKiotT83ISMlIhxg02gpdfV1DS3Nz&#10;W2tbZ0envqfX2G+224SA8AsP1Ru44DubF+CGQOxbbwkGcoH2AAm4RoxmE/54T0NDA4qhsLCQLSSB&#10;Mw7sgrDKE1fcINE1nBDbd7coyKqvD8ltlCEkh4m39nr6mppaK7W6wsKS4uLimpqa7u5uq9WKxw9v&#10;kUKSJ9Mm11mSr0cRJOqLoP4UlkHtJ4YLfSDv4k0lNcG+hhui3eiyyKL9J8O85ihQ4sxaHS6Dydrd&#10;a2hu76ypbyyvrFbfXs0vKiksKSspqyiv1FXq6qpr6+WbvIIb4BKujRHDtYF4PC80QA6wFXVYrpnt&#10;9AiF1Knv4+mKSsvSMrP3Hji8dftbmzdvXrdu3apVq1566aWdO3eiIeAGSGLNmjUX4AYajMlm7ejp&#10;1tXVZmRnnU5LTc/KLCkva+1stzrtcuxOKHFSkJCmpCXtn2UKAmj/Jitit5N2npqRLV5HzkjHrSnS&#10;lJZXVVbV1sAQNfV1tQ318ERbV4e+3wBD4Anhw8f5YLgl3EWYQtsRBnKJD/vIb/tYLPaOju7amnqN&#10;RlNQgHoprqurwx8HdhXmqpdRVVBIO1yCXBYjYsVV7A/nBmAXxQAxNNQ3ayuqNaUVpSXlVVVV7e3t&#10;EIPqI4K9lEpgq5LKQUUY8aD+pOhN7Y8I0QXMv7XFKSFuF+aGoJxsqgZaoxpCDDhRGdRQqBQKNoSC&#10;VAnt6APwERqgkuA+F5YKVtBUVFZU6arrGvCpG5rbOro53WK2ORQ3iNqFM36tcYPbH/RIUkT+wHPq&#10;q4J5hcUQw8mUtD0HDm3b8famTZuWLFny0EMPLV68GJ7Yt2/f0aNHD8gvnMe54a677hLvvn3197/3&#10;W8zt3V00IfwJiCEzJxu3C5nFcZecDI6r5fJ6ktyQtKvKQAGIoa2zu6K6Jiuv4MTpNLjhVFoq9JCZ&#10;m51bWFBcpqEmI4WLNaWwRVllRW1jQ09fr93NpRfNDRfq7gB5w6FBwBc4hRi6uvQNDc2V2mpYoby8&#10;vL6+Xq/XOxwOhbbK0QZSAVaC3A/FOeZyGanyCoEvYiZtyhMH55D93V29NTX1ZWXaEkCxokouStGH&#10;oFHoz1YlktSqFHKExEMPap+guIGfgtauTJ/SxXODKinZZyLmxaiV2AWUByNOj6/fbJVfKW4qr4IM&#10;tFiZthpxgLJsbGmDBSCMzp6+Ln1fd19/n9FsMFuBUbPNCaM43OfmKX1tfbj6jAeXnauiE8nlE9QI&#10;0Yl2UaXLLQDSM46fSjl28vTBI8d27zuwbdu25cuXL1y48P7771+5cuXWrVv37t27f/9+uGHKlClw&#10;w8033zxq1CjJDX/7W6e+W1dfS+OBFVLS02hOrZ0daHCakJr2J2S46FZKckPSrhYDFyx2FyggP+JW&#10;QAMQS+mJ1Yky0L65BflKOlTX1Wp11SVlGo5kCz1R0tDc1CfXU4q3/+GWcBdhF+IGWAHwxT0HeTs7&#10;enS6uspKHdxQU1ODP240GhUxAKngKWA6vB9G7l+RPiWIgbSxzxY1I0aeTbb2tq6qyhpYAblQptHW&#10;1TX26vtVwgSey8AOqeIgyeMniecR4sMkCcQw/FnOC99Xn5IqKckNwlkGzTFYQc7fNyEiq2rqijXl&#10;+MsFxRq4QVtd29DcCh9AGzan2ym+uirohMuJRMQmVluJd1IpOaIUybXBDdJEr5rdJb7TzJPywGXa&#10;KrHwcGr60ROnDx09Ie34wSPHd+3a9cILLzz22GPQw+OPP75+/fotW7agHlatWgU3XHfddXDD3Xff&#10;Lbjhz3/9a3NbG3xAy0mjXeVk1zbW91OnqPWSEuRgQzA0KNhpRIKSlrSLMuXWDTfVmZtwEItdMuzj&#10;H7HOX/nX6A4tHKcPZxDP6GRK+rFTKcdpB1nZecgFjaZSV13f1NTa0d7R040mrm1shBUycrLwfkor&#10;yhpbW0w2u2r8Cg7iFrv7MBvu3sb6l/DH3W4fqqC/34xLXlhQUlykqa6q6erqslgsHvBU9swoQAVe&#10;wVa1j4l9fwBP/buYwM3z932yS8fnD5E2l9NrNtt6uvvaWjvr65oqyquwWgCjqa23t99DqxbD4VFT&#10;qZLpFITh9shXZ9vbMdSP0+l0uUSnkyAJ9RTiszznxRA10S90LlWXxaIV4AIm4Bt8x02GFRweH55y&#10;a0dXfVOLVler0VaVlGtLy7XIBY6gFVAJ1BbIA2UQH5OQdUmMY0dnOg3ImU6xVx8kc1yRN+8u1khh&#10;3KJNQP3p/INykhI5YLE5eUa8JV1dY0FRaVpm9tHjJ48eP3X42IkDh4/uO3jkwJFjR9g/cAAyWLZs&#10;2UMyPPvss9AD0gENEdcNcIMYb/jzV1/BMFm5+adSM/C/auobESPDW8swiycuaUm7JFNAH3XHVFeA&#10;quvyoOwZkC+mKk9NNX7VgMUOzqycXISbEhwIBwciNpfTYDK2dLSVlGsQCsdPnTx++tSJlNPp2Tk4&#10;jPVNrQZwQPYP0GZwprr7+qtrxeTulPQs6nmxpqKlvUt9hlNN6iAxEiOGpzlqJI+EKaQgMTKp4JEf&#10;D7S7t79K9ufm5BeCRC3tnQ63F6jivpx2RdsLyVZZx758zUgMvQQjQ6RNpcFkczS2tKlBSNgSvOjU&#10;91nsTv7EOcOjiht/Yuvy+tu79PjaeN9y8o6Zq4icLKJ0eK4r/WjDTVUAWWGEkQB1RJUXJ5Bas80B&#10;MQBcSIT8opLcgiKemuKGKvrNNpvTQwWQWkGMVEtxcI3gGI7IsIBcG5QBhQY/Q9McZJ8dNWKkVkmq&#10;qKjIzs4+ffr0sa8Jx48fRyXs2LEDSnj44YcXLFjwxBNP8HPp0qXTp0+/9dZbb7rpJraCG77405/J&#10;0PSs3MycPEiio1vfZ7KIBnkBS3JD0r6NKcc/pgOi1SmGxdGDkjai0CNRQAAxf5UXhtTEU/zd0EAE&#10;gxvaujoqa6qz8/NOpaWkpKflFOQVl2m0uhqIoavXID5fI0cUZbQh0A2Yw4tEVsANVPWK6pr2LrFk&#10;pExJlB6knUu2MmIAGePpYQfot7u8BpOlobm1sLQsh/ZTVoF/CkJBRcCQ/FLQFQRQ9Vwqo/gpuEF2&#10;KQDuJAxA5GEhA01FFYylqeC5G3hYo/hgr08tZzA8trgRAzHzdDwIGkNO4GlAfEEPkk7EgCePRm5c&#10;uUdLMOHOi2/AqJ+yqkSfVHwBCR2gNxibWtvlUHN1mbaarXja5laEgiIGWSKCDqPE8DWlfFVaRHTU&#10;xYIUeCKgR1VQDOGSi6p2dnY2NjaWl5fn5uampqaq156jbDAiHDx4cNeuXZs3b0Y0IB0ef/zxDRs2&#10;sDNx4kREwzlu+N0Xf8zMzc/IzqV+N7d3qpF6msGF7FrJ06RdXSZrTqxNSkqIsoJo7YoVBBlg4M4I&#10;buBy+VJCmLYdQDQEI2GLw17TIJbSS8lIP5l6GoaoqtW1dXbo+40gApChsExqAtFdQIQm8fU3PdhB&#10;VT+VJiSytlosHAmYyvQI11ve8byUY6InWtKM/CnccxSJ0WJrbusAdiGGghJNXVOLXFDGjRtLfAqJ&#10;Yk99XmyXxYiZ+GVekS1KQ4i5vLRc0tDZ01deqSNh+UWlctXkbvlWl/ionHiQr09SrAjU+go9gCzM&#10;R47hLxI5z6K4YVhuXHFTsBPfcmv54IIFSWRnTy8cVlpemYsyEhTYCJPJpX3sZAWnxewctcdo5lqw&#10;83WD6MyTZCDmBsivLyAX7Ha7wWBALmg0GvUqvlofCXFwQW44GguHDh16++23n3/++cWLF8MNjzzy&#10;yLRp00aNGnXjjTcqbhDrsH72hy/V1z1xfHCFyHSVjxey76lCJO1fzGTNiZs8KKdVSNg9r45J5lBr&#10;FYiTo4ggXpiNckOAbcBvMJvKKrVq6kRGdpZGW9HW1Sknp/pi1CJjG9ZTBEYAGS3tnUAJKjk1Iyuv&#10;sFhX39hnjDrF4kYXGntUaVD7NA1cUemY91RU6YpKy4pKy/GtgSOOq66kYdx2/iNfPiNmSag8Iw8o&#10;RA/wZ3O6ab9AIxBJwhQxNLa0g6H8CXAnSd/wmBixCeQV00D9RAXs5hYWQw9EYrFDt9FH+z7hlSwl&#10;MapAST8JoLBsLopATEZCLkAJOLUlZVpKgSN9RvE5P5UznC9LIVoTVNWCRxNucfUayZbjO6iHsAyK&#10;IVQnEqxgNBqRC3V1dWVlZZmZmSkpKQr0kQVHjhxRZJAQFDHAHIQDBw68+eab69ate+aZZ+bMmTNu&#10;3LjbbrvthhtuUNwg1tr701/+UlhSVlVT32MwUofIepWbF7LLX8uT9n+HxSVCtONYrY4Xa7rnMFRA&#10;eWwAQF0iropyA8AkJkfgnXfqe+TYcnZWXm5puRhbFvOtvR6vWEFPXKXuouKP7+Dvgx34+yXlWoRD&#10;Zk4ePAFbmMF1+dLQBTtbBMrIRBKP3eXp7TfjidNewF986obmNoVHUi7wRJLwZLJjDyWe60qYyB85&#10;BkDqTTYHuAhWlpZr8fPYguxdegP6BmylUasHFM8oiyAhqrjJfBNPgf5o6egCcyG/mvpGojLLsQr+&#10;9H3CK1mKqaIh5SSAIiD/q+saYAUUG8Qgh0h7oGclFygp6g/n89Rccl4RUK+uHd0gyuv8eW6wAkdc&#10;LpfZbO7q6mpsFO+35+XlpaamqqWxoAS4gfDN3MCZ6uS9e/du2bJl9erV8+bNmzBhAtxw/fXXIx2i&#10;3PDlV19RxWkhcnaX6JiTElVUoxF2pWp50v7lTSCs7DJyev3i6/NiTRsnZnW4rE63GjAUC2HKtTA5&#10;RzVsVeuifUoh/FmP0+M2WsyNLc05BfmZudnFmtKG5ibxjU+xgFBU8oILEuMEJYBlcYwAQ7mRwWwV&#10;4wQlmqzc/PziUvC0u7dfYQpQm5BsTEQIngZCUAuKoaW9q7q2oVhTUawpJx4cWKLlXuq1I4XXMp7h&#10;lhjndzcBf/JL1/EBhpr6JrASYiBt7EMV/Ek52oqGFWOJZ/kabpBxir+SFUCBvt/EAwLBZdoqNWIB&#10;AymkvkIPNdJEsqXxpGKKqtEMC1TqamEsPFqelLJALSBrFHZRBNEL5awBLlRFIGtR1NVgJx7/1Wwi&#10;qbGpxkor2Gw2WKGnp6epqUl9gCEtLQ2s379/vwJ9QpwD1E5CUOcgGiAGdc6uXbtefPHFJ598csaM&#10;GaNGjYpzg+hT+uOfv9JW1/b09ctqJCwy9F4sExPs2sjTpF2VJriBFm6TrGC2OTp6etu6ejq69ezQ&#10;vPFMu3sNeOUGk8VkjXeDKC9VEIMvFFRLfukNfbp68QJ/elZmeaUWDcFx/iqXBRPowI1UdVVwQMVm&#10;SwKIEIMeOrp7y7TVuQVFOfmFYF9rR7eY1fQ11Zs0EAMXgk1o67rGZrxyqKWiSkeyuY4TVAMZgZhx&#10;nhh+8NuZeBa1L+KUz0WKeZZ+i408BLvRQIA4VNfY0tbVayCHOYHzBU1KjpSJJJJvSg+nKaOkKAUK&#10;BccRIEYkwTf45lIhyZVKRzzsN8c83GT6z5m6MLZ/3pkk3iWm7XuNFjusIKaoVteQJLaVurraxmYY&#10;C3rGsZD5f9610tQtog+laOZrzrz8pp5o2ENFfyYcie2fly3iSGy8QREDrKDX6zs6Ourrxev3WVlZ&#10;+P4HDx7cvXv3u+++Cz0gFxTunzx5kj8pMvi6wMmHDx/mTGJQ0mHhwoVjx46FG2644QYEhBiL/sOX&#10;X9FWabGUAQmiPsU6fJOWtMtmqluclqnmlgDHeCTAGaADzgqgFQOJ7ejX5vbOts4e0E0tbiNA0I9j&#10;LpbJc/u9JqulrbOjuq4mIycrLTOjskZnslnVAqvUXH/oAs1eYqIwmYZBhXpNrR3cHemQnpUD0CAm&#10;OE7ljzZO0CrW+cA+DinoAwbVNDRl5RbkFRazw1PITgzBDfJk2vO5dn4ZTel4CcciG0WGiBe+xEQd&#10;EJMHgd5IUm5BMX50c1unmI4k+4VIeWjgzPCoLsJ4fHEvwSjSWQSRS8q0OflF5ZW6prYOxAS0HaNb&#10;taxbtA/w4h+faDFuIRIZ41R2MKIaFqcYJaIOxEcX0AqZOXlwVVVNHVVFirboWj6iyEbc6J9rPA7p&#10;pzDYDw+e5Sf5Bk/z4BwJyBkE5IB85KHYT8FeHCQTQpGhSERMVfJ6vVartaurq66uDrmQn5+v1n7H&#10;99+2bRvIvnPnzr179x6IrasKMQD6kISigYsJO3bsWLJkycSJE9X7DXfddZd6v+Hv5D5ZTIpJJQ+j&#10;SiVpSbtcRrulUmFUetnUbd19/fVNrTX1jZW6WnihoqqGls9PTIfVNVTXNtQ2NDU0t4J9Le3tnT3d&#10;/WaT2W7V9/c1NDeVaSvghoycbEjCbLcpbhD0cCFuwCTiK2wVrijudk+fUAAFxaVwA8wE0IPyAG7M&#10;xVZAI3jCGwzb3V5c5pb2LvgMJiurrG7p6IK64uNz4hacfIW4YWCIJHEjt+oakl+kQRag9ckfco/0&#10;A9xVYvpuu8FkFUmS4xAkHtBJiO0bTfKi4gYBYWLwWW8QPUsUEKKEB29oaYMR4VH+REpURgHlUt4l&#10;xPa1pmJOUDMqAwUxiKjEnCiHJL/uXrHCLioBClQdXKRHTLXnby4Pp4kERyNJvNE/11S2qBRipDam&#10;hgXS8icO8lcyQZ1/fuaH3N6A3W5HLnR3dzc1NVVWVhYXFxcUFOTk5KSkpID+u3bteu6555555pk1&#10;a9Zs374dhoAelCCIdxldZODaFStWTJ48GdFwyy23RLlBrMMaLeYwpSLUQ5IbknZZjapFa6epsI/D&#10;iEjFc+/uNXR099LK8UZBNZAaMsCFL9NWl5RVFBRr8grFe0w5+YXFZWVVtTXN7W0dPV0tHe3sF5WW&#10;ZOaKb6/VNtRbnQ41henruEH5Ogo+2AeAAFkaKtgK0MANxZpyvGOrQ6ymEHNmJVrJpktjhsxIISeX&#10;yldt8ViBYEgOFD7XsK8YN9AquYvwtXHkQUy3D1CEq8gxhAJcBTEAl3jWSjHwjJh6ikviBp5XGdcC&#10;CAqhzHbxtq3UeTX5RaUabRX7HBQ9DV7yXJSsvCTKExdjRCvzOc4NwsSAjXCoRTaSscConFfWJbrL&#10;KoS+hBjkZKRuRB7qk0flqngxyf3EG/1zTVY8UdlIHs53v8VGRVL0QGpFVVRKQmYFOypDyHYylvpJ&#10;afb19bW1tVVVVamPtWVkZIiPBmZns01NTX3nnXcWL1583333LVy4EJJAQOzZswduOHjwoOpfUrh/&#10;MWH//v0QzLRp02688cbh3PC/VRaTVmqS6llKWtIuoymcUpilWj5NBc8XgMX5o6njtnfpxdr69U0t&#10;uL9VNXVi1UzZrZ9fVFJaUaHVVevqanX1YnGkIk1pTkE+oiGvsKC+qdHmcgYieI7fwA2igyLGDaK/&#10;ggpPO+Tu3CgjO7eotBw/VMCNaLSCFcT5cpVjWjL6ADSEseAqQEp2ZUQ7u9SZivOuEDeQHmXciJ+g&#10;Bunp7EE8Ca5C94CY4nU/vcFgskhslZks0ZbkhQYugRskJUiL0oMw8oSHJfLGljbuCBtBkOx39PTK&#10;oWkx/Ze8EmLlorkhHvnwG8UhUvWV8UTNbZ0QErfDkEfqMcl79ISgJdEbI0qWbOda+byJN/rnGkni&#10;ccgZtrgSYoBNvmsiRs5RD1EaFikn69hR2SjGkBDWvQZObmhoUGPOEAN8kJeXB0moD29oNBrEwapV&#10;q2bPnn3vvfc++OCDgPuOHTtgBY5fqm5Aaqxbt2769OkjuUEUKrmMek1yQ9Iuu9GMFVQJgJPIRTOg&#10;eWA0ciAYjAGFaTMAHw2jz2jRG0w0j/ZuvVgkp7m5pqG+qkan0ZbnFxeJ1xoy0lMzM7K/tW6Q5MRd&#10;KnW1WbkFID73whGWSMfJEXw3mignoCcaWtoqqmqUh44PC0oKeSG7BaQJsrly4w2kWWCHzDp2yCIY&#10;tLq2obCkTE6i1cl+JAsZKB1PkbHKOJlLLrGrR41aY6K8lCn1ALTp+8WCRcimnIKivKKS8srq5vZO&#10;QFxmmnj2i+eG6ENFiSEqUFQewkPIFFiBG5HnKEhuhFzgqXlMCoXbgVFsxSXcV14lY7v8mf8dTT0m&#10;D4hQQOdV1zWUVVbj/VDDkQWqjGRuiwehsHgomA8nqVaslFddWKxREgG5kJubW1paWldX19raipgw&#10;Go09PT0lJSXbt29//PHHZ86cicv/6KOPvvjii7t27VKscEncwMnr16+HY2644QY13iDW2pPf9hHz&#10;20hfVDfItpS0pF0ui2GNQk8BIvKnODIczpRxXLV2wA4PEc7AJ27v7mpqa62qBaNLs/JyT6ennU5L&#10;/dbjDSAdQIMa0GircguKqmrqxVh0dK6nmKLDCaI3X7CCDhxEoZTgM9fUg1BqYiiRnEcJkieG3/Fy&#10;mco0ty8o5upY7fLVtgaxcFBxqba6Vi4ZJMZjuXt48OzwzORCmaRLQEz5XInDANyafTIHWjKYrC0d&#10;XZoKMq0YppTv1rWh+STSqeUoEuP8GhMxEy1XSWIQ94UVLHZnT5+xsaUdzoYVkIxxucDdSQO3kBVD&#10;cAkXqniGWcJd/vlGQfBckAEZVawpx+oamxGsVGxVTLhHdrcXvwRWICeb2zp49oJiTWZOXlpGVlpa&#10;GtyQn5+Pemhubu7t7bVYLGpiq8fj6erqysnJefXVV5988skpU6bMmTPnqaee2rRp0549e9ABhCjw&#10;X0Tg5OHfBD3HDWrOAJmOlwF3XaFanrT/ay2GNeeZ8rglPSg4U8dp/ICa8HY5Int1PCabzWS1GMym&#10;zp7u2kaQUZOVl3MqLfW7zFPq6NbjjQKywD47ZrtTgRR/5Y4wB64rdCA/C5F6Oi0TPw7MwqVVqZXO&#10;8jn/l30ZeeKtL4sRM7Kgt190+pNUUlVUimCoa+vsMVnt4DLcQPtVQwskRikkuS86W+Lx/EOTOCCg&#10;QJWFQltJPKKY4EtuB35BmXjypKBULtYk34zrA9rUTS/eRFJlVxI35dZE0tTaUVPfBOeVV+lwseEe&#10;9dWdfgSD1y+4R7LdMBJiR1QYWQqXdvfvwXg0q9Mt10btBvGFfyGWadFL9SMYlwcX1VvmKiVLmVKw&#10;+UWlOfmFWbn52Xn5KIPy8vLa2tq2tjaIwWw222w2WMEvg8PhgDBOnDjx0ksvTZ8+Hekwd+7c5cuX&#10;v/nmmwfkoHQU+C8iHJTffVNrdMMN0e83/Pmvqk9JTAzgeaj3SW5I2lVlsk6KKR+qJxpMLBfLIuVl&#10;ZOfiV4LjnKBgHfGOAdzqCDuxn2KaqZo0Il6h6jfV1NbR8CoqKtDpnZ2dYmFt+bkFu92u1+sbGxv5&#10;q3rX9OSp09wLb91osREt8Qjv9cp4qTKFingiocEzwYEhEAR86TWaWzvFmAcpwZuWL2ODE2KJJBov&#10;DfZSJcLFm4TdRJOzvFpAsfSs3Jx8Ibza8e1NVviDxCs8kZAtuu/Icy6RsQmZyAOq0uSnG3B0eShT&#10;Hqe2oVkqkqLsPPzmchxtDsrYEu8u4z8vkd+nyedKSM95RiVRO4IbHKIPsKIavVtOpW1oblUvWopq&#10;KYmBqtgktQJ8kJaZczot41RqempmNj9RToIZxasqTiFqA+JVDy4kP0MDZ4gfgqEC4LIcPnb84Ycf&#10;BtnHjBkDPbzwwgvqa26Avhp7YEdNaVX7IwPH161bF+9TSnJD0q4Nk3VScYNYHILmQlvKQHRn5uBn&#10;0djEAIAf6RDt1qACh+Ra/Komq7bKT4xmKad+tpVXVJaVlUEMHR0dfX19/f39BoMBVsBBw03jT+rd&#10;olOnTmVl5+Igt3Z02ZxukR7R7y/QQaXt8pr0/UXkKuVwIbjQ1WvAN4cYMLhQLYaB9IkPkJA56qp4&#10;PJfRiHakySU61AxaMVaMegD4cPnVV5fFcHHsMwk8iExeNDaKgKIhBv4qn068XgcNIETQQxptFYqB&#10;/eb2TuhQLKYbmwB6vl2N3BA/gUfj8S0OF4KA3KhvaiF/AHrci06xOqzVYLaKF7z1fUC/TpRsVX5x&#10;aWpGdlpmdmZOXl5hsei/bFCZKdaOHD44QYZQ6GQj+xi3Q1AWlpRu37796aefhh6mTp365JNPbt68&#10;eefOnUgHFYD+bx5+SHJD0q5Jw2NS3IDTJAZFDWL6Zl6hWFge56q5TYyI0n4UPaj+EFmHRRuWjqro&#10;JxFulzdAy2xq7UDaF5fiyJWjD+ADiKG7u7ulpaWmpqa4uDg7OzstLe2kXM8yIyOjtEysjYF/x93h&#10;nniECYn87kYzFI8Q60bndmJKkvgWfANaAYe6Ulcn3XOLRSxtJBxP9aQY1wptNCLO727cYqSRNlgW&#10;foKY65paoIecgqLYOk5NpBlKk90mcRAXTxRHVR5TPJ0cPoH2wE3EBwBaVVsvWKHfJGhPleb5943Z&#10;VccNCqnFn+QIjRybsaj39WDNEjHPqgYmoPpRdpQhuK/elUEkIX/Ts3Iw8rBUztOVYoEzXdRqaIZ6&#10;S+3lLqqg+cm+6pWKDL1HTcBxKS0tfeONNxYsWHDPPffMmjVr2bJlr7322v79+9V81jg3fN0LcUlu&#10;SNo1aZIbhMuJx0RTAZLaOruLNOVwQ1ZuQVVNXUe3HhiltQAlnKxQklotcJyfEowEqaDfW9tpk1xb&#10;UASSlep0uqampubmZlgBqigoKEhNTaWp0JAI0ANHausblK6XjnDUd7sSQEycAvF9YjSYxwRH2rp6&#10;5At6GvFiQUUVrMZjSrAQK2ZziSSGqGj4PrlBQqHIVcBLucYgYLH4QH8VWN/Z02d1gGCC5EShyFd/&#10;MQpCDjiL2Wh68d2FDsoO5Vciv+pMJICpWriQW1DcqkvtQnaVcoOqaRCbGhxCKBSVlvOA5IqurhF5&#10;BIhjoD8ZlZ1XmJqRhWVk5+UWoBWqOR9qJGcE98u+IyJU+axM3Uvui0FsdhBhnEB+dnV1UV3VlFak&#10;w6JFi9auXbtr164DBw4oYmBLUEwwMvCnJDck7dozWoLkhiFAE3cS7KD90ORoV6fTMsBN8Aj4VohJ&#10;42EbiC/myk85OxBvVL4sVo6nlp6dm5uXX1RUhEpgm5eXl5WVBSsQ1FIEqhWlpKSUlJQ0tSAaxOck&#10;iYQ2IiFYTQG6zKbIDFOvYQMlFXJ2P9wAakjcNIPFgjz88nN1555Rfu74e+WG6JY8QSHgI8MQYH1j&#10;S3tLexfpjLGXGFEgeZQdSYUuVDeLmM2prUbz8Whl2ipYoUu85iw+6A8Fc63iFS4ZftNhdtVxgzLK&#10;hXoi3/lvAf2LSsvgy4oq8co6LIgwoq5CCVm5+akZ2afTMtMys8VcrOoaOQ4hFhNDS5GfTo9PyCY1&#10;uCXVpDLFQPJGYl6sEo7UBy6x2WyVlZX79u1buXIlumH69OkPPfTQ66+/vnPnTjVhSU5cEu9LCyoY&#10;ETie5IakXXsW5wYQkLpKFQVi5Fhoyen0TMS4evOA1kXTMtscuF2oBFopO/wEdJRvW6ypQGqcTEk/&#10;cTo1IzMLSsjJycnMzExPT4cVYIK0tDR20N1qpIGfcAO6oTn2wWGiEsOtsk0mJPK7m3o0cIEbcUtA&#10;U71oph4N3FT9zpwZa6QCpBSdKBse2+UybjHSuJeESJEAcAOGQPFQKFCa6POyOzkBQSNTJWQWTi4H&#10;wb72bj3SDYaGFTAAVPXXwfcS/jhZOuASAVX8F7KrjhskR3qoHkjYmvomCi4zJy8jBweklIfFj+FI&#10;Tn6R+iRtWmaOGsPnuODFXgNZR7kD9wLxJfeLTFBdo3H6l5mJSaxW4lX8VPnv9Xr1er1Wq0UrPPLI&#10;I2pK64oVK1599dW9e/cC/UluSNq/oEW5YWAoNjsogqMEgKIDcvILU9IzYYis3AKNtkpX31jb2Axt&#10;gK1yHY4Wflbismmr4A/8NRrnidNpWGp6BlohOxsFkVtYWIiA0Gg0aIiMjIzTsQBP8CdNGQBdid9H&#10;M4YkxHCieAdLLKB2eY3HhMl4rhbxiplYiLC8Uvf/Z++vw6Q6Fu5h9Pxxn3vv832/777vOREY63F3&#10;3Ae34BISHEKwACFCQvDgNjDu7t7j0qPdI+0yAiRAiJCE4O52V1V1N0NDzgknyDBUPYvNnt1bqmrv&#10;WqtWVe3atImGvIHcQOeoaDn0XduRozQfKC8TatDzKf40OeFzgZH+2gNXZz1ArEULtIU4gN3AcZAG&#10;2tdAZkZizIXMgs/LLyrNyiVvvDOkZ+Xg9sFkMC0BJ9IzP+q7JmwIEXr8ugZ0OG1g45Ege+lZZELc&#10;iOjYoNCIA0EhqIjA3QaHReJBhRhgGUFfDElOy4SEsM4VHEutEslD/d0kqkCyl4EOrCDGi4kBIsBa&#10;SilRE9kgt0CphHUoLy9HXQfWoX///oMHDx41atTcuXPXrl27nU6yxLWB441Ak1wFN4AyFhgavmf/&#10;AVgBVMdg1UmfXmQMCiBrsgiPisF2VNb2HYAkHKQI2H8wMCCQvGsKSUhOTs7Pz6+oqCgqKsrMzIRC&#10;oHTBQ0A28Gt8fHxUTGxIRBR0BYBTYR3CIEHWxAReoPH501adp1IJJU3G5pTiyUQR5OXwGnE9KAP0&#10;ERoRTSuVhZAi41HtYXKVlwwkilZjWZIJoYPCCKkZ/ARyA3/K6Py1IH9INQgxKjYeGYhbQycSL2Z2&#10;gaWFJupVMn47UN2lnItYMXnDvWa3+9GfcDl0dAOYvZr2DLEXuSEDqH/gOSS+ITR89z7/XXv379rr&#10;jycwNDIaOyDtEHvUAJgk4GwUxA7+Heh0OmiDTCbLyclZs2bNuHHjetOAlVWrVoH6EaAQeil4InBt&#10;4Og8oI3XTaBpFLYY+kF/cDdKI+prWIdfZ60W7K1myuxRYVFkO/P4qekZubm5BQUF7K2i2trakpKS&#10;tLS0yMhIaAMsRWJiItshT5iflpWTSCYvIpM74VrJZELxgvLKGlR4UWqMDPLXtYHxKan90dmYsQ8d&#10;zVkFxkxOz2TzytFLkInKTY5lMLnKS0d7AiXrSA6p49MtYDoqCfWlFWSYJuwCcgwpQh6mZeaw3oXK&#10;GrGEfGeUvHoCUKV8xdpg6L8hQsWUHlGiG/X2CH/iRgNM82rrG8uragqKS+FNE1PS8YAdDA5FNQWA&#10;EgSGkEeRVlZY81EK+5w1hAFiKW6Uslej9df6uzeUfOlBLper1WpYh8DAwJUrV44dO9bb23vQoEFz&#10;5sz56quvNm/evG3bNjb67snAtYGj84BUS5VqwkFkcv9yFDzUTFEnBX0D4HH4BshAHBk8Q0bfp6Rn&#10;ZeTkoQKLncFNNbV1qGc1NTU1NjZKpVIsy8rK2Hd34RhIF7RQCMHADvWNpJ2nsKQMCoGzoVIfFhkd&#10;HhWbkp6Jco6aL6qQtF75DNoAYGcIC4B1LCEDcAxxSSnxyampGVmgVDZiB2duf5QRJld5yWAUyWgd&#10;kWErtIGLDE6tb5KzgTqsjwe8SAdxZlBVqK6hQ77Iy1yGDgYK0mVtcpWXCZarTBIMqaPf8nskWoQh&#10;EfMGMv0imQoQyYHa4UkgzUeBITCmcAk79+zbuWf/vgOBcKt4TlhfNPxfSQWyhEzCinuKhxY1G1wI&#10;pwXZPocbCg2jn4drbm7GU11cXBwWFrZo0aKePXv2799//PjxWIc8bN26df/+/UwMTALXBo7OA0MB&#10;JsQKthHR7wWhEIJh4SRQP8US66yTAHoAhwH+Bcujhg5ykiuUKE4IShqgAaWlpbGxsQEBAbAO6enp&#10;IpEIDp3soSPD+VGwi+g0sclpmazrAiKRm1+Iej1KO2sceGoJf6o2YGccgpiT6qekoai0IjOHaFtU&#10;XAIkp6BYP0sS9qTVVdPDAZOrvGSA2miXKeNNVqFm81DJRNV1yG1kVEZ2bmpGdlxiCrELWbgzxahl&#10;404h1TgD8RmUfBn/tqPgVwNEBjeFgjxU9K4RA4REYSMSS+8UmdyipLwyv6gUDxgqH/AEe4kkwCsc&#10;9A8IAmAUYF4jomNRL8GtRKqxP+5mI+lsJ93IuHfULRHHQP4kvTXkSTaJz7MBWYdMpZ+VhntAgN/9&#10;5ptvRo4cOXjw4KFDh06dOnXFihVbtmzhvoGj84MRCi23ZFJVFF1UV0E9dfVNKIpVdRI4d9AuGbZE&#10;BiyRMUtgLuwGbkJRV6kJ7aOqBWFAWZJIJPn5+VAF+PH4+His19XVKRQKso+OVCQhJ6SjVVwPrwDi&#10;i09KQflHBR88CMKDPLBq4JOgLPMYrQMs2ogG6AZnQ80aSgOuQR0TVUwmDJQvCEOZHMtgcpWXDJpY&#10;1h1N3j9HJBFbZHJFVU12HskcyGdMfCJWkDpIHbUL5KMLTfSrzixR8BlUGEgjPk3Uq9QGmqX6VjL8&#10;CQ5kNIjtiDBLWl5BcRp5IYPMwQWvAHOway+Mwv5de/fvPwiZIN1REHjY04LiUiS5sqauhg5sg8AY&#10;bhnrlyLyQ5fsGSZg0fgvQX0DC3iY8VTD8sIizJ49e9SoUb169fLz85s3b9769euhAXo1eDxwbeDo&#10;PDBqgwHkzWc8yXh6UQ5ZwWMFnpR5Sl7sEMZrKo0WBYlpg1Qqrampyc7OhhMPCQlJTU0tLy9vbGzE&#10;T2RKMy05j5SOL8SFUAFE5TFbWBCXlIK6IagAfgWaRCuDrPw/Blwah5sA54GcQMaM05pGxcbTCbdL&#10;QChMGOieJObtDzTC5CovH2w0EZLM3kaEEsOZwR0kpqYjLdAG2AVYN+RV+7fWkf+MKEm6DFxMk0Nu&#10;U/vzv2QwMUBMIFe4NbifqEzgtiLyFVW14Ho6ACkFdyowJIwOgw7YTUZABBwIDIZRgCokp5OhR6gr&#10;oF6Cw/E8IMn0qSCP5aPn0NAExx5R9kD+7RtKPh2qUqnwtKJCg6caljclJWXjxo0zZ87s2bNn9+7d&#10;J0+evHr1apgJvRo8Hrg2cHQesKJFO/EIuaCAEfahdW1WCNlG+jyzUYCkpxHQDwpsboEBZx/jhTZU&#10;VVWlp6eHhoZCHjIzM6urq1H/YoWNagMpHVjqWg/jijAKqAunpGeFR8XAPWRk55G+ATIZKilBJmAx&#10;MQFkBhqA6iWZUCExBXxKB3SSyiYoCXHGPrgQK5jtDzTC5CovGaTKT7/kDPYsryQVamQCmT81NZ3M&#10;iZSKv/JLykXVdfWQDVgupAh5rms7jOTgQJzBcFMOsW5eQ2JNL/TSgCzF7YOGIcKwCKB46DS4HolK&#10;oF+dw70OCSfD1cIio9mQhPjkVKIHuUL2wnMp6WCvg4dslOmn0sPjxx45nJ8uyd2kN9ToHmhN5Xnw&#10;bUsLGcaK6g55YLWk3oP6TVJS0po1a2AafHx8Ro8e/dFHHy1btkyvBo8Hrg0cHO1BaBdUVUe+PUlm&#10;5GaTnQkLi8ERVFcIYRmKg15sUEzkKvL6K5nEJikFdUbQBKxDLfl8NJkFCDswYDcANIozsC2M/kAc&#10;YBCwT2JKelhkTFRsApi0skYMqm0Xt1cAlkAGpBfRJu1FtDpPMoG+o4t9ACQBdkHSSHoX2Gt60EiQ&#10;Zkx8Evi0TFQFhUPaWQa2v8SLBKVd0nyP+DOPSPIc6/QmsrFGZDeSTH1KKTXTxjHsSZoN6UcUoAqw&#10;gxAANtmRfwAZAE3fVAiFPMAspmVmwzgSi1BLHCNL6eOReblAAtXNJlAptUWFpQEHg2fPntev78CB&#10;AwdPnfL+gvmLNmzYwPTg22+/3b59u3F+Vq4NHBxG6HtQQevCohIQPZvcBtVA0kREeJBwDXajhPJI&#10;GwDwOOrLqCCDO8CJIERUNiEYjDrpnqhZk2nDoRYa2iIP4HAQEKgTfJpMZjBNRS0bwgA+Yq0Qj0fv&#10;lcDYzkNSDSowcCv5CTGspx9JLa2ohJoi5mmZOcgEiBwcAx2fWoifsAPqzqziTM/T/vwvCiTa7e6U&#10;8S5AJLCC+LMksKSxfageyGFucEcKS8vJdynIZB5p0fGJEXRyQ6YNqC5AwlnfclZuPnn/saISt5sM&#10;RW2QQiNZSk3i81LxNG1Qq3QN9dLkpLQ1a9ZOnDhl0MAhI0aMnjZtBpzEtm3bdu3axebg49rAwfEk&#10;mDaoa8T10APUeekMHOGgPFR7WaEw8oiBa/SvIoP34TZQeWS1S+hKXkExONHYNgKeQoEi2kAqleQQ&#10;rKOiTSbczhWS/swY8qkXVFFxlKEJ/hW3FCGeSCCrU7PEAtADJAR/IiH1TfKqOgmYFHoArkQdGohN&#10;SCZNSEWlsD61EjIdELIUucROxXLjJYDdKdwy8idVAoDmPLRcp793uCP0LTYq2+SzUZU1dRC5jOxc&#10;NtkRfXMteP/BINQSQsIjIQ+RsWSWQ9aRIKJNRkgg9ECqAMgXbalTZP7DNEovD0/TBgC1EliH4OCw&#10;lStXQxjgHsaOGb906VL2pjTkgfoHMrMk1wYOjvZ4ijYcDA5Ny8xGlRAMwviacJwR7f4EQZRXVmfl&#10;CnFgeHQsCASkaeh1IM0UKFaMm8AgsBTsJQmwTCLpY0gGvaKiyi6EyFBqe8XawJSMMikhBBp/og36&#10;Vvjq2uIyEWrNiDb0IDouISouASIHYiVdC2IIB3kbgx1u4BADWb940AxklyNXNGgD7pT+e9RIHW4Z&#10;9AC32zAUtSQzJ492+SSHRcXAMtKZjsJCwqOgE9iYkp6VIywopKNQoet0kBWxCCR1hgQyv0Iv/Sgy&#10;Lxt/og0aTXNVZW12Vt7u3fumTJ7eu1e/IYOHz5gx45NPPtm8ebNRGLg2cHCYgHQJgs7gAFDtRfUw&#10;IDgU1UZUIYtKK8Dm+ImJAZiFVoRJ9ZAJBsAYX1Rdl5qRHRwWEROfiBooGIS9l0ALEdMGOn1enQTy&#10;Q9or4hJjaOsE66oFn7KTo/Th5E/E8KUCsaW0/tjI1EaZEpEHjYIoQZewCxAGyCe8AkSiuIy80wWb&#10;1UiFgZ5B7xXoeVgT/8sBITHQNLtNJOcN9wsrqOOjvg9bU1UrERYWJ6dlQNHhDA4EhvgHBOOmo06A&#10;P3ETU8nHk8gLkqUVlbhDcHVEFWjqcMfpAGg2Bpc1YdG3qQ0vVL8y/Jlv0LY0wepV1cbGJHy8aOnA&#10;gYNhHUaNGjVr1qw1a9aw6ZWw5NrAwfEI+uJNR1WC4lEjBikEh0XuPxgUGUO+IF1ZUwdaZESDokGg&#10;5xrKQbSNRUp6laWoXIJfIqJjYQtA9kwbQBxy2i2Bk4M9C4rLwEfYJzwqFhVV0JOYfNGTjFVFBGht&#10;/RW/GMzAOmwRf8QNSUMVGxoGVYOYgTeRM1GxCZAHqCCoE6aHDN6nXgGgjMyEk9Wjje7hpeHRfUH8&#10;kfnQA+gWtB9GAbcYCYFRgCrgRh8MCqWzbAX6BwTp58pOy2BzZeMQHM5uCm6Q/jmhQ7NYOxJNo/5J&#10;QBpZpr1K/Lk26HStcrkKMr5589bp0z7wGzS0f//+EyZMWLly5bfffruVBrgHrg0cHHoYijehM2hA&#10;mag6IycvNCKavcQEmgCVgNaZNjCaYPSHkkIPJx2z4KDa+sak1Ixde/3B+yXldAoN2hgFKiFfQq5v&#10;BIemZ+fSimoi9olLTMkrJNPM0ZE85LvQOCcTBlQ/28fw5QPRIMSqUNU1kA+65RUUkxawlDQYqfgk&#10;NhtSdnZegZB8xJj0xCJ/GFFSUiYTr4I6sGLMW7JOs+ulARdFlIgkU1WoqKqBYEMSoN/xyWx61HDj&#10;XHgRMXFIV0pGFm4QjFEZmYadzHQEATDea8N8Sji5vu2Ipki/jpV2eCwmLxVP0wa1SqdQqFtbD2s1&#10;LRXlVRER0as//WLSxKk9evQYOXLk4sWLN27cuHnzZijEnj17uDZwcOjBSjvKP+MysCEYBNyx70AA&#10;uCMqNh5VSNQ3mTawyX9IMWFFgx4LZgc5VlTVpqTDcERExyWgNs3oEkdhWUMnwwArQXKCwiJCI6Ig&#10;DOBWMCucBGrl2KdRpgBwNvZ1ivYxfC5AnFkS9Eyt7y95+lu4MvqVhapacWlFFZIfl5hMGt8joiJj&#10;4xNT0nOEpE6NaFO7w85m5MfHzmP8ieBZSNPAPOxYFmcC4w6UkVkSKPS/kksgUbhHtIdZXiNuwH1B&#10;PoPyUzOy2eQW+w4G4ubCK7CZLcKjYiDYuGXk4wnk1TzdY9GmeDJpTwPb7a/s+cIAYdY8DfAN2las&#10;1NXWFxWWBgWGzpw5p3v37kOGDHn//fdXrFgBedixYwe0AQoBbcBP1tbWVlZW7u7uFy9e5NrA8SaC&#10;tgOg/NO6YXMrCKW4rAIMCBKnbzlEoppcVEpeeAaDY39CSQZiZTQEGgWHsikiImPioAGgTvCMuIFM&#10;2oFKKHlJOCUdegMyohODB4WAkOir1JAT8sX8opKSclEV7Y7GCWFf2sfweYGllMSZigQSiwo+uSLt&#10;G8B1afMRiTPIlFWxUZVOSc9E5CEPmTl52XTeC7AtUkeM0Ytp/mIsREjZwLZYYRqAXx9V3plg6H9l&#10;7TxkxhTEDYoL/we6h91h8SfDBKJiodwQOTraOAbujRkgfScznSsbJ6FPwmPxeZ2gbYUGmACSoFbr&#10;YCCw3tQor66qS05K+3TV5/369RswYMCYMWPmzZv31VdfsVccjNpgY2MDbfDw8ODawPEmgzAR5cpD&#10;oGXUl1FZjk1MBon4B0AdYkCLIETIBiqVKB1y+r5CkxxMRN4HLqmopHVSMhM46AZEL6quq6ypw3ac&#10;JymVvDyF6ur+g4G79x0AUGllY2AAnB1LuBPoBLwFLtGkIENonojh3wUp2oZJRJAE6AGlXfYuHtkC&#10;rqfvK1SBUkGmSE4Y+f4M+XwxtA1xq6tvgnKAQBvJlIJ6RWEneb5ADCmYV2DygI1MG9jliDDoE0I7&#10;8MHp5IW1+qaqWgnrF0nLyolNSIZFI8MKyNeYQwOoKiBF8UnkM/2FJWW4RxASSaMMx9LmIzJC90Wk&#10;6OXhCWEAiDaodCpkZcshlVIrkypRE9m713/8+PEDBw6EQmAF1gGqsJu+B8e1gYPDCPLYs3o0CAgE&#10;XVFVAz1ATZO2LAWDZcCPqFyKKJtgBwBMBA0oKiONRWxEPDQAtVTSEF9YnJNfCMGAOQgh3wQOIQNg&#10;gkICQ8PxJ3YjL7slp6EyDjkBW4VGRkMeMnLy6IglGVTniRj+XaBoo1xTwiXECj6FCkKHUNFmzUdI&#10;HZKYnZefkZ2L9KJaDSSlpucWFImqa+ubiC4+SdkvAogbwK5lvFy7i9L4k357jaRJhttRK2lErZ/F&#10;H0YBKhuXSAwcXAKE4WAw+XBCREwcNkKnqSqUt+/mYcDdp3jVncl/E08IAwBtgGmAKrQ0H8Kf0Alx&#10;XUN8fNLy5cvHjh3bo0cPPz8/6MGGDRt27tzJtYGDw4hH7IAleIdWQuWoQYNKUNmEPIDWyRT8ZI4E&#10;phHVZKadsopsYQHYE+QOxiddmuRzXqkwHJCKsKgY4hXoLAuotGKHaJBTBvl0RD6dLgn8VFwuyi8q&#10;zcjOw5lBXjgQ62WiKhDxE5H8u0DRRrpAtcQ96FogDDAB1XUSGAIkKTk9E3FADCFXSALkARtRs0ZK&#10;6eSyZMAVq6FTyjYqBONr02v9TRib7Jihoe+UgZFIFzeW+AkJIZ3MTeT9wYLiMiLDmUSGQyOikdWw&#10;enQ0KnmzHQqRQL8jhHzGDYX5gzfCgY+7BAamDaaRec3whDDogVxFxjW3aaGySm1Tozwvt8Df33/+&#10;/Pl9+/bt06fPtGnTPvvss40bN3Jt4OAwQk8NWBr4iAD1SpAjmAWVelQ/9x8ks+iQ6mdSCriTTRER&#10;HZ8IK7DXP8DwqhTxBOTTpP4H2Tcgd+87AF2BVMBP5OYXsumaxeSryOTlMhCcuEEKwoLVSExJj4yN&#10;h3uA+tSI6x+P4XMAijZtjifjdmrpt/5LykVIYJrhG9psbnBEA1vYsFRYCsQTYFRA+ZpQthGQiheh&#10;Dex2kPPT99QQbfgb6BMAWqcNR6STvLC0PC0rBw4sin5FA3eHDUWFRYMqkw6dZNJ2VFxWATeGfEba&#10;cTZGcVhCGAwJISLHLtpZtQGqoJCrm3V6bVAqNKKK6qysrK+//nrEiBE9e/YcNWoUJGH16tVcGzg4&#10;jCDPPGuLR4WUVq4J5YFHwNFFpeXgl0T6Va9g+j3RkIio0AiyBAFBM3bt89+2c49/QBAo6QD5WHwE&#10;GIpO5e+/Zz8Thji4Afq1r3roDXkPQMm+aUO+q4wKLDhLVFMHOwIuQ803OS0Duz4ew+cApIjOH1eH&#10;GjRSBAGAwqG6DYuQnpUDks3MFQrJ92dEdIIgMmKH2QLqFVjHNZsqlWQUI25a9SaU+nxBe5vbcBVj&#10;/iDTRNW1RA9KyiGxiDDuCIwObgQkGZmMG4FbA21LSCafD0IC82hakLHwPXA+OAnEGOcks8C2koQg&#10;5vRG6w1Q59aGlpZDcrkK7gHravyvbW1oaKqqqtq1a9f48eN79OgxcODA6dOnL1q0iGsDB4cRVBso&#10;exqBLZQHSTtMrYRMxA2jQF+gJWSEyume/QeBfQcC9lKLQL8MHHgwOJRNt3AgKGjfwQO79u0NCA5K&#10;zUyvqquVKRW0SOK04CONEtCoAbmKffRNCTYGo6HyC5MBUmugkxEZq+osVtgCxaITuj2qsINA8ScD&#10;1lk/OQOTOin9YCpkqbicflYhhXxWAVIH0YLvSc3IyqbTaEO6mFHAGWhV+rFsYdcy4FFGPfETAQiE&#10;xooMIsKfyEnoCjbSaBMWxpLFlskAPYpdjuzPTovDcQhyhnQn1Ijzi0ogsZCECPpqAvTAPyAYMgwc&#10;CAzBfYlNJLMd5eaT3hFkJswZSw4uZIwwO78Bxi0m219ngPqfCpqrhh3ICrJXVFsTGRezbNWKISOH&#10;9+rbZ+TIkTNmzFi7du2c2bN7dOtu/k4Xe4GNt5vHxfNcGzg42gEPPwAWAz1V1Upo3wDpqkWlNSk1&#10;HXV8ADwL0PW0lPRM1MHBXynpWbGJiUFhofsPHggMDUnLyiTaoFJCD1Q6gypoCSASKh1hTEaCOH8o&#10;6ZVILq2oRFW3Sa4Ce1IaZUxNSZMSGVkx8Jqu7bCmpU1Ju5cZ+eInHEgbrJpo2xEZ3Y+IQQaS0jIS&#10;6CtscCeQImwvLCkrE1VBGBqkCqIldBRW+3z4L4AIE+i7DVj8iQnACokzZRVEkr6UQNJF3vUjs5eT&#10;aTnA6ZW14ooquATyxc3svAJYHGQ48oUOQo2E+gIQA/xJu5fTYYCwW2FpOX0Rj3xUDqqA5LP3tHFp&#10;mlGPxZADD1KTUpGek71p29ZpH8zo3a8vAjzEmjVrPvzww57dult06Qpt8HJxu3TuAtcGDo5HMDz8&#10;hGdR/aSdn3JUSKETqJmWV1azHmnwEVZE1fq2C5Bsmag6J78gOj4uMCQ4ODwsNTOjsrYGvgGqoNCo&#10;AaoNGiIMWo0aZoK+RQxeBhvGJxHWRi2efTIMJRFFktA9lQGA/WnkXMSNvkRNyiw4HUsqDy3wIrA7&#10;OA+MAkQLXgR1bdYdkpRKJoQohR7QXlnKpOwz10RaoA2g1Pb58F+hfTxJtwROTs9PRAJpwa8k8nSs&#10;FBJO9qGf00HulVfVsOFSkNiY+MTQiGj4MFgEWDQ4M2YRoBNIFLStuKwCtwB5BUUhYkA+6Wz89LTe&#10;phiz7olIvuFoUbXoCstKwqOjVn/5hd/QIb6+vqNGjVq5cuW0adOgDVZmFtAGDycXrg0cHI+BmAbC&#10;YoTOUChoCzWZqxXVebA2KFXSSIiVLUFMlIyaQcoQiaKy8qS01JCI8OCwUKxUVFWiUq7XA51W3Qzo&#10;sIRIqLRaMvyGagMqy6gjw5fkF5eCu6FDtAqvpzZcHUWSsu0jGOmVqhfrqiXqBZkhL69l54Jh4WnC&#10;o2IOBoUEhoRHxyWAUqFnRuFpT6BYIdz6t30DEQZDtI14pA36qyDO5O1rRLi6TgJ9LaIfTsjMFcIH&#10;wA3ExCeFRcbAKASHEaOAdToOlU2JWkj6Eqpra+sbDZlPUsEyhFzaoOsMVKiw8iiGHOSOaDXlNVU5&#10;+cK9/vvHT5oIbRg+fPj8+fPHvfdedx9fa0srOytrV3vHi1wbODgeA2lQItVbxmisLKBQGHiNzLbG&#10;QCvdhMShH9gZbFVRXZOVl4saWUBIcEx8XEFJUV1DvZR0OWg1ZPKCZh3teIA2KDTsXWtS06+sqQPr&#10;ZWTnsu/GVNWKcRVcl6iUvhpupFdGdoSCcXXs1kjeXCNTNmXnFaRmZKFiDRlAvRsuJC0zJ55835h8&#10;Vw60i7q2GMpAOmbJSShlky+qGk+LlUeZ8F+BnISQMv2TvjRAcoZxN/E3xIRRVSCTNYHmM7Lz4sh3&#10;+WNJJ394JDQMLgeqgDjHJiQjCfTV8dLiMhEb6MXGoeIkTQoVlUa9u0JCcHKss0yjEeDa8GdoUTZr&#10;JbKmqrpaPKKz583t06fPoEGDJk+e7DfIz9vD09ZKYGspcLK159rAwfEIKAiMLg1czNqsKdEY6Ibp&#10;BOVWsgMKCx0AwyYjaiouK0WROxAYwJqVikrB9TWNMqlMpVTpNFAITUsz6XvQkrKGw6UKVY24vpAO&#10;iwKbZ+XlV1TVSJVquAqAXQ4kCO6DioAWG6SK+iYyixydbpqM6cwrLE7NzCavSkTHgWcBSAKdEKIs&#10;MycPJJtI33AWVdfBYTCupAlkSdCngqTxb5d6xhvGOCNDEGcxFQOkERGAhhUUl4LvIWMJyakwBHAG&#10;BwJD/OlYrwD6QdZIGIe0DMS/qLQCEgIxQBbRViPyUjeAkyPCDIg8hT4VBhhulv6uPRbJNxwkT1p0&#10;Sp22US5Ly8r89PPPRo0ePXDgwCFDhnTv1s3N2QXCYGNhZS+w4drAwfEIjNQo0RA3QAoCbWJ6RKD6&#10;lyHYfN1kBUtyLO1TlSlB9HWJqSn+gQf9Aw5Gx8WmZqbnFeaLaqpq6yVSMpwShkBHW5YAXFH/MlpZ&#10;ZTVjTLiHMlEV0QY65hLRwCXAj9inuk4C2SgqqwC95hUUYU/UrGOIJMSGRcXQ1xQSUtIzcRKcitWy&#10;UTdPSiVzN+UVFFfVSnAtpmT0bTJG4noVJEn726Ve13qYNcGBzRFnRABxRsUfsc3Oy4d3iU8i31YL&#10;CY+CHpDXEegER2TSb/LmXRpSxCQNLgGxrRE3QP+gCjR6zIXgKoTuGUHRm0VGZCGLaEbR+9Kue4Pd&#10;L2P0OABklBTVlBYdKis5+Xlbd2yfPWfO6NGje/Xq5ebq6mhnb2NpZW1uaWdlzccpcXA8AgoCw2Mb&#10;qV1gZYRwk2EfI/S7EXrS1ErEWbk5YZER+w8egHsIjQyPT0rMLcgvLi+rrqttkDZJFXKpUiFVko4K&#10;0ihEB2uS6n8B0YbElDSQI5SADj+VSWinsaimDnQJogd1stE7cYnJbOjOwaDQfQcC9x0MDKIfF8JJ&#10;UDcn828o1VgUl4mwP7QhN78QukLfsSBMSvmUMCkbnoQ/ZbS5jFDqEzCwLUsm0musret7KeixaugZ&#10;bA2iXU+mFSHfSygqLUd8ktMy4V3oCFRqEejby7v3Hdjrj7iHR8fRb+kUFNGJm/S9CHAbLIbsusYc&#10;NgH76U/BheFpIDnTrFVT8wqPGxkTvW79unHjxrm5uVlaWpLOBoE1fIONueXFs+e5NnBwPB+gBEma&#10;GksqyuHWI2NjgsJCg0JDsIyIiY5NjE/JSM/OyxUWFhSWlhSVlRaXVYA92QDZZPrlnPCoGIBW84uI&#10;DGTlsD5qMnY2JY3MyREbj4p2CJ2oIywyGjtjHYRLB/MEBWAr7bbFUTgD7AVOgsPxJxmhVIG6eEOD&#10;VM4GehqonxIobaYH6OfeTAHNoF6KdvaSZBLaxRYwOJvnjhoaMoIL6oXk5Aj1L6lF0diGks/xR8Ai&#10;sEmlIBLRdCZUxDIzJw/7wyfhDHWQQ31HgumbHBzPEeTeadUKnUbVrKuqq0U9xv+A/6xZs9zd3Zk2&#10;2FpZ21oKbC2sLp45x7WBg+P5AGUHnqBe2lhRXZWbL4RjCIkIOxAUsO+Av3/AwYNBgcFhoeFRkdHx&#10;YPBE9qoEqDwqNoEN2QTLB4aE0dfTWMNL8P6AIPqqVyCon9S46cx9bOhRfFIqNIMO7EkE57Lhngz+&#10;AUFQDuwAVcjIziMvNBQUGd8DgCmRkNk76Pt0tEFGSduUaKmnUvE4WHO/sSKPNGIFPA5bA04vFVUx&#10;eYM5iU1IgnqFREQFhIQhwnAGe+CegkLwJ1wOkknajch036U4EEKFaMDKQKiY/NAoMccAbTDo1hOZ&#10;zPF3wLRBplapW3RNCjm8bHJK8qeffurj42NrYwNtsKHjlEibEtcGDo7nh2aVTqPQqBrl0sraGliE&#10;lIy0mIT4sKhIuIeA4CDIQ2BIcEhEeHhUVGRMHBARHceq/9AGOnUoaDQCOEgmjyOv/pIpRYPIlKKo&#10;gEMzwL+gWFS64QwKS8qKycf9S8HLMfFJoZHR2Af7QyeYxkA24hJTwMjYPzUjC9V5kHheQTEOwbFQ&#10;C3iX0orKMjoDIOr+lTXiJwEeh6JgaXjDowY1fTge+jpCQVqmfh4LuAQ6j0Uo6Vgm0SbTTCFpED/s&#10;gKtDFRBb8lIC+RgqGWUEwqF6o+8hwBa6kWx55Gm4PDxXQBtgGmRqJbRBpUOGK4uKijZv3jx48GBP&#10;D087axuBuYW9wNrRxo5rAwfHc0SLulmn1GpkKriHpmpxXXlVZVFZaY4wLy0rIz45MSouJjImOiou&#10;NiqWzF3BtCGCfEQ6BtaBTNlEW4qwEVQLuqcyQEajZuIUtFGevPNVK64RN4Cv6+qbUO+ub0L9nUwA&#10;Rdqm0jJQO8dp6QlJYw6kIig0HNIC4gaCwsirxXAVFKQJCzvjWmzkK5lq6Qng0hk5eenZubQ7JB3n&#10;x56ILc7P+jxwWlwFYOdHEnC2pLQMOlNTCYQHca5EnNkIVPIdZr1faS8MoCC6/uhPgzBwbXi+IOOU&#10;5BriG8g7NzptZVXV/v37Z86c6TfIz9XJmb375mLvyPsbODieG1TUN0AbYB1kKqVUIYdtb5BJayXi&#10;iqrKwtLinPy8zNycjJzs9CzyYTVQeVIqQJqGKMiYIlrBJyN28otKWL2eVt5JW1CjTIGaNagTJZQ2&#10;wpB2HvyJkgvaRb0eViDXME8GafGnH+pB/R1GhCqEnsTprESkkYpMFEg+nkzcCQBf8iSgHJEA1Rvo&#10;CmQGnmD/QfIJftoIFh4cHkk7P8jHcyAJGdm5sCYl5Lun5KXxJjl7F4G1FOnZv70M6NmftmihVgvQ&#10;Le3xWCZz/D20qFublc1aTWuLgryDqamvr4+Jifnqq6+mTZ3q6+Vt2dUc2uDu5HKJj1Pi4HheUGp1&#10;rLyxt6CxQl9lIDMpQSckTY3VdbWimuryShH8RHlVDerUpRVVYH8Dqsoqq4GKqtpqMbEFoFYA5oB+&#10;oUyFEkrJlHyMSNd6CNzKtAGFV0Y+Xi0nfQDkTYJaVNUBnJCObirMFhZk5eVn5uTRYUuZ0CEwOSF9&#10;wv5xEdTBUOj1oD2ojyEuh+4PhSAuB84gNiGJNRbBH0CQYBGgZIg8LAIbcYQ4AxAGqgpMA4zjiJg5&#10;YOOdSAeGwjAUmOakXhUMUvEohzn+NohvALRtrQq1Co+oQqHIzs7eu3fvRwsX9ureg2mDp4vbpQuX&#10;uDZwcDwfGFhPT23t2I1sN/Aga2cnLSoUbBRp+y0EdOfHwM5MT97+cmwLWRr3bH8enLleSjSDTqoh&#10;Lq+sRo0eJA5fkk3VIj0rh6lFYkp6fFLKk4hLTI5LJCsJZJLBNOZv2DgonEpUXQcNY1Mzsf5qwBgT&#10;oF20WczZCs0ZQ/wNO+jTZdyNa8NzB/ITpgHaoGklHleuUjY1NdXU1MA6fPnFF/1697GxtLK3tunu&#10;7cPnU+Lg6MxA0WatT030i2lQiBox6Vimfcviypq68sqaUlEVEQzyzZ/yp6EMy6JSoKK4TFRSLioh&#10;zVx11XX1tRL9Gwm4BHjjCX7n6HCANih0GsiDugVOjvRFQxsaGhqysrI2b9rk13+grZU1fENPn26X&#10;uTZwcHR6oIBTPwEuoO+pKdgnIlDHJ5aFvbwGgOWfBDyBfl2hkgJ0TzbqlHkdnMfoD0yuy9HRgHsk&#10;UyvlGrVSxyaKVysUCplMJhKJ9u7dO2LoMDuBjZ2VNdEG3qbEwdGJwYq2Afp33ABK5UawJp3HWnja&#10;Qb+DYV0P4zn//mQbHC8NuIl6bWC9YoBarVKpxGLxwQMHRwwZxuba6+3b/fLFy1wbODg6LVC0ab2e&#10;TblKijnVhranVfn/FO36BvTC8PiB5IRsjiaODg7cL7lGJSffmNJrg0ZLgkQigTYMHzLUxtKKaEO3&#10;HlwbODg6M1C022kA4/pHvsEwR7ceVDaeBJvkDiDaYGyMMsqD8ZzsihwdGUTmm7VKHQG0AWDaUF9f&#10;H3AwYMRQg2/g2sDB0bmBot1OAB5pAyV6xvVsRBPpPKC/Pgm286P+CTn9WAL7lZ6EXMKgPY8uzdEh&#10;0aJuaVY1kxffyGBrrUZD1UEqlYYEh4wZOcre2tbOStCLtylxcHRukHriYyxvhJ7W28Owmwme3Ble&#10;4ennabedoyOC+gYdBTENxjYlaENQYNDIYcPtrG3sBdZcGzg4ODjeILTTBvIREU2zTqsjgWpDIBmn&#10;ZG3jYG3D25Q4ODg43iBwbeDg4ODgMAXXBg4ODg4OU3Bt4ODg4OAwBdcGDg4ODg5TcG3g4ODg4DAF&#10;1wYODg4ODlNwbeDg4ODgMAXXBg4ODg4OU3Bt4ODg4OAwBdcGDg4ODg5TcG3g4ODg4DAF1wYODg4O&#10;DlNwbeDg4ODgMAXXBg4ODg4OU3Bt4ODg4OAwBdcGDg4ODg5TcG3g4ODg4DAF1wYODg4ODlM8ozbc&#10;udOokKt0OqVWqwA0Gk1LsxJ/cnBwcHB0Jmh1Wo22PXQU0obG4MDAUcNGQBtsrQQ9fbtdvnjpHzfu&#10;3lFoNVRJtOqWZoVOo25txjoHBwcHR6eCTtuieQrkTdLQwKAxI0baW9vaCax7+nYn2nDz3t2WI4eU&#10;Oo1MrdIdasNSqdNycHBwcHQ2aLXN6qdAIZUFHwwYPngIhMHexrZPj56XL13+x/krl5sPt0Eb5EQb&#10;WqVKhbb1UZsUBwcHB0cngU7XonkKlFJZwH5/v/4DBOYWdtY2fXv1Jtpw5fo1mVKh1KgVGjWWTQq5&#10;rq1VrdNycHBwcHQq/IlvaJLUH9i3f8ggP2sLS1iH3t17XCJtSrduJSQlJaempmWkxycmpqanpWdm&#10;pKanc3BwcHB0KoDdU5+C2MiotV+uGdivv63A2tZK0M3L+/zps/+4fPny7NmzZ8yYMWfOnGnTpi1Y&#10;sGD69OkzeeCBBx546GThw5lznobpk6eMHjHSzclZYG4BbfDx8Dp76vQ/zp075+7u7ujo6OzsjKWr&#10;q6u9vT3WeeCBBx546FTBydn1aXBxcHS0s7extLKi2oA/z50+84/z589bW1tbWlpaWFhY4Sdzcyx5&#10;4IEHHnjobMHSyvpp0KuCwNrGSmBrZW1vbXPh7Ll/XDh33tbaWmBpaWVhIcDCzNzayvRIDg4ODo7O&#10;iqdrw8Vz5+2sbfCzwMISS0szc/xsY8nBwcHB8Ybgadpw6fxFBxtbW/xsYWVnZW1tTsYwYYWDg4OD&#10;ozMBvE9GIj2BP9GGCxcdbezIYZYCqIK1haW9wIaDg4ODo5PB7k/wZ9pwycnWzh6qYinAwXAPDgIb&#10;Dg4ODo5OBiIP1k/Bn2qDo609HIOtFXyDjbWFFX5ob0M4ODg4ODoBSJvS0yEQWFgatcHBxvbCufP/&#10;uHSxnTbQTmlow+OHcXBwcHB0WoDzwfzgf+oQrKEIFy9c5NrAwcHB8UaDawMHBwcHhym4NnBwcHBw&#10;mIJrAwcHBweHKbg2cHBwcHCYgmsDx2sMG0sBHlHjurWFlZ3AxtXRydPN3cfDy9fTu5uXD4V3N2+f&#10;nr7devp27+7ti5+83DxcnZwdbOzsrW1xrMDcEudh69YWljgPOyfOhn2c7BzcnFw8XNw8XFwJXN08&#10;Xd09ydIE7l5uDB7e7h74E0e5OTljidLEooeiRGYjMMSZg6PDgmsDx2sJPJz0+QQIz4Jt8ZQKzC1c&#10;HBwH9Ok7adz4OTNnLf5o0Yqly5cvWbps8RJg5fJPgGUfL144d977U6cNHzLU19MLxO1gY8vGcbNn&#10;HjpBtYGUB2d7BwjMwL79Rg0bPn7MexPGEkx8b/ykcROwfBKTx08gmDBx6sRJ2GfMiFHD/Ab37dkb&#10;OoESxGYnQ1S5NnB0fHBt4HgtQZ5agbWDrR2WoFqsuDmjau/av3ffWTM+WP/1N8EBgcnxidkZmVnp&#10;GRmpaRkpaVjJTEtPSUiMjYzavWMnNGPc6DF9e/X2cvdwsrOnZYDMIYOz4WnHCh5+VP9HDBk68/0Z&#10;nyxd9s2arzd+s86A9RvWrnsavqFYt3Hd+vVrv1nz+RfQpGmTpgz1GwyNgdLY29hChNonhIOjY4Jr&#10;A8drCStzCzyWqPLjyQTn9ure471RY+bNmv3l6s+CDwYU5OY11InVcoVOrWnWaAnU2hatDtCq1PLG&#10;prKiksTYuF3btq9c9snUiZMH9Rvg7e5pjxPTKYeJkzAn3zOBcsz+cCZYPiw4JCczq1CYX5AnZMjP&#10;zXsKcnKF2TnC7FxEID8nLycjKzkhMcD/wBeffjZlwiSczdXRmUw0QITnseRwcHQ0cG3geC1BWn7o&#10;g+toa9fd22fyhImfr/o0KS6hrqr6SGvb6d9+v3z+wqVz5y+cOXvx3PlLWD9/4erFyzeuXL12+QrW&#10;T5389afjJw61tFaWVQQeOLh00eKxI0f5eHjinOTL6dY2Fl3N8PwPHzJ07ZdrUhKTZA2NJ3/86eyp&#10;P07/forhj99+NwE2njFsP3PqD+z8x6+/nfzx51Ztc25m9qb1G6ZOmtzTtztObtnV3CQ5HBwdDVwb&#10;OF5XoJrv5uzSp0fP6ZOnbvxmfUJsnEapOnXyt+tXrj68/+Dhg4cEWAHuAfcf3qdb6MZ7t+/ev3vv&#10;7q3bv//yq7imNiwoZMWy5ZAHX09vPPk4M9EGa5sxI0Zu2/xtaWHRD0ePYWf92Ywnfyqe2OfmtetH&#10;Dx+Bn/h20+YZU6f17t7Dyc7BJC0cHB0NXBs4XkvYWAqc7R369uw1a8YHe3buKisu+f7wkfNnzkIY&#10;7t2+8+D+gwf3oAAUoGks797DOigbf0IV2PqdGzdhL+AhNApVcnzi55+uJu7B08vZwdHKzNxOQLRh&#10;66YtRcKC498fvXPzFjnbXXLORwLwOMjJ79wF2u+Dy129dPn4d9+XF5cgqnNnzhrQp59Jcjg4Ohq4&#10;NnB0dEAGQNNYYt3BxpauCGwE1p7uHhPHjd+8cVNxQeGJ48dv3bzJSP/B/ft37ty5dePmlUuXTp/6&#10;49eff/n5hxMnjh7/5cefzvx+6uK582DqWzduPbhz786NW7dv3ASVY0uzRhsVHrHk48UDBwxwsLe3&#10;srB0sLUfPXLk5o0bC/MLfjh2HCfEmXGJe3fv3sZx169funjx3Nmz586eu3Du/Plz586eOXPuzNmz&#10;p88A169eu33r1t3bd6hfIfJw4+q17w8R97Bp3YZxo8fQIqef4VKfTD54iaMjgWsDR0eHjaWVg60d&#10;G1cKr4A/IRWuLi5+fn6rVq1KTU3V6XTnz5+/exe0TcLt27cvXLjwyy+/qNXqwsLC6IjIA3v37d+9&#10;NzI0LCcjs6665nBr27k/TsM0GGv3d2jjUk11TUBAwNSpU+3t7S0sLLAcMWLE+vXrcZKffvrp5s2b&#10;Dx8+fPDgwa1bt86cOfP9999LpVKRSFRRUVFZWYmV0tJSrFdXV9fV1X333XenTp26cuWKsZUJCnTy&#10;x5/qa+sO7ts/8b3xjnakfBE9EFiT4meYCZmDo4OAawNHRwfRBhu9NjjZ2eNPFwfH3r16zZgx4+DB&#10;g01NTWBqGAWwNgK04eLFi0eOHKmqqoqOjl67du3UyZOH+Q0ePnjolImTli9esnfXblTeW7W6s6f+&#10;gGlgXQKo11+/fOXHEyfA79AbX19fKysrGxub4cOHb9iwAdrw448/QhKgDXAOYPxjx47V1NQkJCTs&#10;2rVr8+bNW2nYsmXL9u3b9+zZExgYiEM0Gs1vv/1GIkabtqAN506fwXWhVdMmTeHawNHBwbWBo6PD&#10;xlJgb2NLtIG+0ICn0dvD872xY7/44guhUIgaPRMG5htA3G1tbdnZ2bt37162bNl7773n6+XtZOfg&#10;7ODo6+nlN2DgnA9nbtv8bUZKmrSh8Y9ff3tw9x4q9eDue7fvXLtyFRYE5D5mzBh3d3dHR8fRo0eD&#10;+pk2wI5AG3AJSFFLS0t+fv62bdtmz549YcKESZMmTaPhgw8+mDlz5oIFC3bu3JmVlaVQKM6dO0e6&#10;KO7cA25evXbq19+y0jNmzviAawNHBwfXBo6ODpCm8TFlT2OfHj0XffRRcHAwyPf8+fMQBrA2FOLG&#10;jRsnTpzIyMhYuXLl2LFj+/Tp4+bmBhbG4fbWtk72Di6OTj18uk0YO+7zVaujwyN1as3dm2T0Eana&#10;3713985daEBiYiJEZejQoZCHJ7UBCnTq1Clcl+3Wu3dvBwcHZ2dn7Ozp6ent7Y0lbAc8DWxEWloa&#10;HAzpBr9z9yFZ3rtx5WppYfGcmbO4NnB0cHBt4HgNQGgUDyHtiIaBGDxw0MaNG2EaQNnXr1+njUkP&#10;wN2XL19ubm4+cOAAOB18bWtra4MgsMYh1haW9BkG/wo8XNxGDx/xxerPigsKL1+4aBzU9PDBw9On&#10;T5eXl+/atevDDz/08fEZMmQILlRcXPzDDz+w/gb4BmiDVCqNioqaM2eOi4vLu+++a2ZmZmVlZWFh&#10;YWlpiXVra2tEYO3atSkpKUcOH75/+y5zJw/v3b9763ZlWfm82XO4NnB0cHBt4HgdQLXBgbQskcmO&#10;Rg4bvnfPntra2jNnzoCywdf379+/evXqzz//XFNTAzYfMGAACFogEEAa7Gh7lMDcAtaBqAt57dnO&#10;19Nr2uQpESGhJ44eu3Pj1r1bt++Dvh88vHDhQmNjY3R0NPMEw4YNg28oKSmBNsCUGNuU4BtiY2Pn&#10;z58PlwA9IFexsyM6BCUSCBwdHSdPnrx9+/aioqKff/zp3i3S5UDcyd17d27eEpWWz501m2sDRwcH&#10;1waOjg42yQSWeCChDbAOY0aM9N+/XyaTnTt3DpTNehqwrlKpUlNTQevdu3dHRR4BCkEeYAsrKzML&#10;dipGwZAZv/4Dtm/5Vi1XnD995ua16/foSwkXL17ESTIyMj7//PP+/fuPHDlyy5YtoPjjx49DhOBO&#10;cKGzZ8+q1eqkpKSVK1cOHjwY9qJHjx4Qkp49e2KJgI2IAwSmoaHh1G+/QxuodSBdGlcuXCzME86c&#10;8QEiwMoX1waOjgmuDRwdHajmo9bvbO+IpxHCgAcS2hBw8GBra+v58+ehDeBr1Oj/+OOP6urqoKCg&#10;Dz74ANV5qAKCLQJ5jE2BR7pnt+5rv1xTU1n147HjN65egzDcv3fv8uXLbW1thYWFX331VZ8+feAb&#10;Nm3alJ+ff+zYsdu3b0MboEMQoSNHjlRUVISEhHz55ZdLly5dvnz5p59++tlnn+HPDRs27N69Ozk5&#10;Gd7i119/vXL5ClSHWpM71y9f/eH7Y4mxcdOnTEWBMgEtbhwcHQV4Jrk2cHRoQBusiDY4EG2g/dJj&#10;Ro4KCQ757rvvLl26xLQBrA0iFgqFW7dunThxoqurq0AAl/Gn2oDz9PDp9umKlQW5eS0a7aXzF0ib&#10;Dx2fevjw4eLi4rVr1/bt23f48OGbN28uKCiAb2BjWHEt7HPq1CnsBimCw4AMpKWlZWZm5ubmlpaW&#10;1tfXw1UcPXr0woULsBp37ty5f+cuhOH29Rs/n/hRXFN7YO/+iePGMz1oD64NHB0KeCa5NnB0aLDp&#10;UZ3sHGirCxnPOnbk6OioqJ9++un69esgX/D1/fv3f/75Z3A0OH3MmDEuLi6sswHyYPPECRm6efl8&#10;smRpZmqaQio798fph3fv3b9HOi0gAyD9b7/9dtCgQSNGjGDjlIzagAvBQECTIEUQJw0Nzc3NLTR8&#10;//33v//+O9wM/AeLGIkbznz77uULF5vqGyJCw1YsXTaoX3+jJBjBtYGjQwHPJNcGjg4NO4GNZVcz&#10;Rzt7og0CYiPeGzU6IT4eLHz37l2QNUwD04bU1FRow9ixY+EbaJMS6Y62flo7Ph5pXy9vaEN2eqZK&#10;Joc2PACT37l77dq1X375RSaT7d+/H6YB2rBx48aioqIffviBaQPrcsA69oSBgEhABqAoCGwdP8HK&#10;ICBKJEAXrpNZm04cPZaWnAKnMnrESHdnV6MkGMG1gaNDAc8k1waOjg7zLl0dbe1IZwOeUTv78WPG&#10;JsYnMG0AWRu1ITMzE1Q+YcIENzc3Zhr+jTZ08/JeufyTvOwcrVJ18ey5B3f12oDzQBv27dtn1Ab2&#10;fgNpHSJdEvdwUeN1jQGyYQzGfSAYf5w6daT1kKSmLjs9Y91XX08YO66nbzejHrQH1waODgU8k1wb&#10;ODo6zN/t6qDXBhsnaMPY92JjYlDBv3nzJiiYNNzcu/fTTz9lZWVt2rRp/PjxzDf8+zalHj7dVi5b&#10;npOZpVEoL5w5S94/ePAA2nDs2LHKysotW7b4+fmNHDkS2lBQUICT40LQBiiE0TRgef36dVgEbNRL&#10;BA1MIbDb8ePHa2tqoyMi1675asGceUP9Bvt4eLo7uxj1oD24NnB0KOCZ5NrA0aEBPbDoYsa0AX86&#10;2NiOGz0mMiKCvXMAXmbyAKkQCoXbtm2bNGkSfAPri4Y82Fpb2wps4B4ElvRT/jANtG2qR7fu8A25&#10;2dktWt2Fc+fv3yNtU6jpHzlypKioaO3atWwMK8QG2sDei2baAD04c/r0Lz//fOz7o4cPHTp29NjJ&#10;X365cP78rRs34RfgLMibdPfv375567sjRwrz87ds2Dhl4iTYBRQlG0srGCAHG/IpUxO0TzIHxysH&#10;1waOjg5HO3srMwvWpsQeyLFknFLw0aNHoQ1QBVA2aP3MmTNsDOvMmTO9vb0hDEwbWDC+twzNwDqW&#10;vXr1+vzzzysqKk6ePAkTAIFh2nD48GGIwTfffDNo0KDRo0czbTC++4ZrXb58GarQIJYkxMTu2r4j&#10;OCAwPSW1oU78+8lfb167fvfWbfYiNFb++PU3lVyRGBe/9OPFA/r0c3F0QnJQrOytbdsnkIOjA4Jr&#10;A0dHBxwD0wZrOhUrHsiRQ4cd8Pdvbm6+cOECa88Ba1+8eFGpVCYmJi5ZsgS8b2dnx7QBS/oaHNED&#10;BPyJJX4dMmTI1q1bZTLZ2bNnmcbgPBAJnU6XkZHx5Zdf+vn5jR07lr37duLECeOcGefPn2/W6jJT&#10;01Z9smLIwEGjR4xcsujjkIDA+jrxLz/+dOXipfu37zyEc7h3//rlKxCMRkn9nh07358yrV+v3q5O&#10;5HvRSIVJGjk4Ohq4NnB0dDjg0TOHNtgLzC1tBeQtYjDy1m+3isViNp8Sa1MCreNPkUi0fv36oUOH&#10;Ojk5mWiDfnolGxsHBwdPT8+pU6dGRETAfFy7do0JDDwBeL++vj4kJGTRokV9+/Zl/Q3FxcU4s1Eb&#10;Tp8+rVIoE2Pj58+e6+7i6uHqNnzI0OWLl4QFhVSLKn/+4cRt8hUg8g24uzdvQR5+OfFTfk7epnXr&#10;p0+e0sOnG6SOawNHxwfXBo6ODlS0oQq0ZYl8gh9/ogL+5Rdf5uXlwTpcvXqVdTlAJGAdtFptYGDg&#10;9OnTfX19mXVAsLS0tLCwgCpAHuzt7b29vUeMGLF69erCwsJTp04ZnQe0AbwPJdiwYcOkSZNwhmHD&#10;hmG9pKTkp59+YmNYcSEyD6tcnhgbt3DuPE9XNxcHJx8Pz2F+Q5Z8tCgkMEjRJLt8/uIDmJD7D+7d&#10;un37+s2rly5/13ZYmJ379Rdf+vUfgIS0Tx0HR8cE1waOjg8y96qTvYNFVzPykrPAuru370cLP0Kt&#10;XyKRXL58GZyO6jxYG/T9888/FxQUgNCnTJnSq1cvNhurubl5ly5doA2Ojo4+Pj7vvffeZ599Fhsb&#10;q9Fo4DYgDMw04Ay//PJLYmLiggULBg4c6OHhYRyndOLEifZzdMM3pCQkQRtcnZxROgQWlm7OLiOG&#10;Dvv0k5W5Wdk/Hv/h5rXrpEf6HvmGKJY3rl777tDhmMioGdOmQ0iodTBJIwdHxwLXBo6ODhtLAZ5A&#10;Z2hDF702eHt4jnvvvXXr1uXm5p45c4YJA/idtSwdPXq0tLR0//79oPghQ4ZADGAgBAKBm5tbnz59&#10;Jk+evH79+oyMDLVajWMZ4+NYuAdmO3bv3g27AFFxcHCANkBmhELhDz/80F4blHJFUnzCgrnz3F1c&#10;UUygDfY2tr6eXu+NHrNnx87ayuqfT/x448pVqMLDBw9J49KtO2dP/VFXXbNl46ZJ4yf08O1mkkYO&#10;jo4Grg0cHR3QBjb007IraVMC3Jxc+vTuPW/evPDw8O+///7atWsgblr7J+H69es//vhjeXn5vn37&#10;lixZMmHCBD8/v/79+48aNWrmzJnffPNNcnIyNODs2bPtW5OuXr0KASguLl69ejXkBFYDPgMiAd+Q&#10;n59vfC8a8vPHH3/IpbK4qJj5s+dCpchnSq0EkAeUFJD+ko8WRYSENdU3nPn91J2btyAPdK69m5fP&#10;X/yu7VBmatqXqz8bOWw4yhcdyUrmhaVzgRDNY6nj4OgI4NrA8VrC2cmZfei/qKjo2LFjYHawttEB&#10;XL58+fjx4xKJBMYiLi4uLCwsJCQkIiICdqGurq6trQ38zoSBHYX1X3/9tba21t/ff9asWa6urlZW&#10;Vvb29rAd3377LZszg41hxf5wG2qVKjE2bt6sOZ6u7ogMaSOCt+lq7uro7Nd/4NyZs+KiY6AEVy5c&#10;vHf7zt3bd+Aebl67DrVoa26JDo+Y8+HM7j6+nq5u5KUN/QSCtnxgK0eHAtcGjtcSVpZWvr6+s2fP&#10;BpuLRCJwN+ThLh2wBBOAgGo+FOLcuXMg/Z9++glOAsvffvvtwoULYHkmDGw3eI7z588rlUqoyKpV&#10;q2AvbG1tLSwsmDZs2bKlsLAQ5zeOU2LakEC0Yba7i6vA3JLQOv22hL0N+XxQT99uX3/xZWVZ+cmf&#10;fr51/QZ8A7Th3q3bWD9/5mxVhWjjuvUjhgzr5uXjYEMOpMJgw97s4+DoIODawPFawsrS0tHRccCA&#10;AXPmzNm9e3dJScn3339/8eJFNosG430WQP3YCA3AdiYeTD9A9FheuXIFgiGTyWJjY1evXj1mzJhu&#10;3bqZm5tb0vO31wZjm5JRG+bPmevh6iYwt2DNQdYWVigybDrx2R/OjAgNaxBLTv36291bt9mrcA/u&#10;3YeHONJ2KCk+4ZMlS4f5DXGyIxOPo6yhfJERuk8kk4PjVYFrA8drCTvU7W1tHRwcunfvPmPGDMgD&#10;a1yCAwCJM22AEsAfsIB1bDQGthF7wlWIxeKwsLCVK1eOHTvWy8sL52TffHZycjK2KR0/fvz69etM&#10;G06fPq2Uy+OiYxbMnefl7gFtYO1CWEFhcbS1c3NyHjNy1OerVifGxbc1t9y8dv3OzVvkpQc6Dfgv&#10;P/5UW1UdGhQ8c8YHbk4u5GOlNrY4kGsDR4cC1waO1xPWNqjad+nSxcrKqnfv3vPnz9+xY0dWVlZ9&#10;fT0MBKr2ly9fBpuD/W/cuHGNhqtXr2IjvAVraDpx4sSRI0eqqqoCAwMXL148atQoOAbyapyNjYWF&#10;BYQH2jBw4MB169ZlZmZqtdqTJ09CeM6ePfvdd99VVogC/Q/OmvGBl5u7wMKSaQMcAyLmYENebfN2&#10;93hv9JgtGzZWV4ggBmd+P3Xuj9MXz567cObcD98fUzTJstMzF3+0yNPVzZIOzOXawNHRwLWB47WE&#10;wErA3miDNjg7O/fv33/ixIlLlizZsmVLXFxceXm5VCo9dOjQzz///Ntvv506dQqVfQSsM0mQSCQ5&#10;OTkhISFff/31hx9+OGjQIDgGiAHOBm1gS4RevXotXbp037592BkqAuFBKCwsjImKWv/12nGjx7o4&#10;OFqZmaOk2Fvb2tApxFFkzLt0Ranx8fD8cPr7+/fszcvKrqoQNYrrpfUNTZL6uqrq8uJSYjvmkNeq&#10;iTbABtFS1j6BHByvFlwbOF5L2AjwXIKPbRkc7B1cXVz8Bvl9MGPG559/vm/v3tiY2NycHFGFCDpR&#10;XlYGZq+prhZVVOTn52dmZISHhW/auHH+vHkjR4zo2aOHi7MLTmJnayuAKuDcVhAfAc7v4+0zdcrU&#10;FZ98snPHztCQkOioqMiISEjFhm/WLZq/cMjAQfY2tpZm5jANdHZVWwClBuUFxcfZwXFAn75zZ85a&#10;//U3/nv3RYaGRYdHAlFhEREhodu3fDt14iQ3Zxf6sjeZF9aGawNHRwLXBo7OAw8Xtz49eo0cOmz6&#10;lKkL585f9vHiT5Yu+/STlZ+t/PTzVZ+uXrlq1fJPli9esuSjRTNnfDDhvXFDB/n18O3m6ujEBhqR&#10;UUZ0Gm2BhSWefGd7R0839749e48cNnzKxElzPpyFmv7sD2ZOmzxl3OgxEIbu3r50HkBzK3MLnAFF&#10;hroHKzYnICyFt4cn5GHC2HGIz+wPZ86fPWferNk4w8z3Z0waP6Ff7z7kQ6dEEsgIJQhM+7RwcLxa&#10;cG3g6DywsRTgQUWF3dPVDbzs4+nl4+Hl7e4J+OBPD08vN3cPF1dXJ2eoiIerm4ujE+keIM85KQl4&#10;1PHMk84D8LWAvLUAfmdwd3H1cvPwdvfAmd2cnCEn2AiXQN7Zpv0NdgIb/VBUOsMHkQd6BrA/NAb+&#10;ADJDr47DXdydXdgL1VZmFihiZCQrjAoRpMeSw8HxCsG1gaPzAA8qqbaj4m9uCaA6D/LFEvQNsmY1&#10;eqwLzC1IBzLdmbx0rX8zWb+kpyKNPEwz6BYyaQcOwYHkhGb0cLYz2420CNHD6SHkhPo44NJkYCv2&#10;ZBFjV4fVsOxqZtGlKxukxKYfN771zcHREcC1gaOTgfI41QZWeSdMbQB2wFMN4Hkm3QO2duBl0hBE&#10;KvvYnwgG2wdLnIepC9tOQE+OP3EV0rVAfIaNXh4M7E/iQMcdkZiQxiUUKjsySpVdl/RJkJ4Jsj/V&#10;EuY2cE42yywHRwcB1waOTgZ9HZ9yvd4ZsC3ELkAwaPs+oWnylWbC1OTZJm81E1dhog3GOj7TA1Yi&#10;2DmxZNYE+xCKJ+wPiqcnx5npC9I4P9lI5YTFh1yXdlnjEBYxgF7UaFk4ODoEuDZwdB4Q5jX9ND/p&#10;gQAdUy7WszB73LGOB1uvIsafDEdhf9A69tRvoUvyJwWq/MYD6SWIEmB/ths1KORU5EL66xoaoOip&#10;mP9gAoMVgMaZz6fE0YGAZxJPJnmGuTZwvO5g1XP6KLejdcNPll3hAMzhA0DrhKlJ33U7P0Gr/Ib9&#10;yQpOggo+a3SiZyDVfyohRIRwftokZe9oZ0+0hx7IrsgYn+5pOCHdnxYzYkcArBhFC+vkhORboXRn&#10;Do4OAK4NHBwcHBym4NrAwcHBwWEKrg0cHBwcHKbg2sDBwcHBYQquDRwcHBwcpuDawMHBwcFhiqdr&#10;w8WLF+noOvo2qYCMxaY6wcHRoUEeV7q0Jq8O0FGqxu1kTgvjPv8G5BAOjjcMJqWAgLkCOsYaRUng&#10;YGt/4fyFf5w9e9bCwsLS0tLKyop9PsXc3FzAAw8dO+CJxZI9tHhira2tsY4ltrNPudna2mLLnwcy&#10;RTcHxxsGUkyeDHZ2digyKEc29GtXDg4O0IV//P777z169PDy8vLw8PD09OzWrZuzszP+5IGHjhy8&#10;vb2706D/28sLzy2Co6Mjnmw8zNiBPdL6n02Cp7eXpy8HxxsGH/3z/3jw9fV1dXWFSEAhoA0uLi4X&#10;Llz4x9WrV7dv375ly5YNGzZs27Zt7969GzduxBYeeOjIAc/qzp07d+3atXXr1m+//XbdunUrVqyY&#10;PXv2lClTpk+fvnDhwmXLli1fvhwbV65cieUTARs/5eB4w7BK//g/HpYuXTpp0iSIBAwEFMLd3f3S&#10;pUv/uHv37uHDh7///vtDhw4dPXr0xx9/PHbs2A888NCxA55YPK54Vo8cOdLW1iaTyYqKioKDg3fs&#10;2LF///64uLjs7GyhUFhMQ+FTQlFhYQkHxxuGp5aFwqysrM2bNw8ZMsTe3h7aAJEg2nDr1i3Iw717&#10;97By586dmzdvsj954KEjBzylxuf2+vXrv//+u0qlSklJCQ0NhTBADxoaGhQKhVar1el0mqcErUbT&#10;zMHxhuGpZUEjl8tDQkJGjhzJevJ8fX2JNly7du3+/fsoZlgi3LhxA8uHPPDwmgQmD6dPn1ar1Uwb&#10;4uPjS0pKoA144rFR//ibBq4NHG8g/lQb4LmHDh1KOqatrHr06HH58mWiDbALV65cYSUNVTCuDTy8&#10;FuEBDbdv32a+AS4hIyMjOjoaClFRUSGVSrEF2sCsg2nQNuu0rRwcbxha9M//46GxsTEwMHDYsGHW&#10;1tY2NjbQBtIXrS9nPPDwugXUaZg8oH7DfENmZmZYWFhSUlJ1dXVTU5OxQYkVgMcC1waONxFP1wZU&#10;pJg2QBiYNhDfoC9nPPDwuoX22vDHH38YtSExMbGqqqqhoYGpAtcGDg4DuDbw8AaEu3fvGrUBvgEa&#10;kJWVFRoampCQUFFRIRaLVSoVnnuuDRwcBnBt4OENCEZtuH79+rlz51paWnJycqANsbGxJSUlNTU1&#10;CoUCzz3XBg4OA7g28PAGBKM23Lp168qVK0ePHhUKhdCG6OjogoICkUgkl8vx3PO+aA4OA7g28PAG&#10;BKM2sGGsv/zyS1FREbQhKioKIlFeXo4nHs891wYODgO4NvDwBgRjXzQCdOLUqVMlJSXBISERkZG5&#10;ubllZWWNZKiSTkPFwRTaZq22lYPjDUOLaUForw1Dh9lY2wA9uve4fIlrAw+vbYBdYMLAXpM+efKk&#10;sKAoMCQ8Ijo2N7+otKKqUaZQaZuV2ma1rpWDg0Ola1E16xjUzToNzLNBG4ICA0cMHWZnbeNgbdO7&#10;W4/LF7k28PDahie1Ib+wKDA0PDwqNkdYWFpRybQBMCkhHBxvJrg28PBGhKdpQ3EQ0YaYbGFBSbmo&#10;QapQozBoW0xKCAfHmwmuDTy8EeFJbSgogjZEhEXFZOXlF5dVEG1oJuXBpIRwcLyZ4NrAwxsRnqYN&#10;JcFhEWGRMVm5wqLScmiDprnNpHhwcLyx4NrAwxsRntSGwuLS4LDIsMjozJy8whKqDS1cGzg49ODa&#10;wMMbEZ7UhqLi0pBwog0ZRBvKGqRybcshk+LBwfHGgmsDD38pgFJZoF/uuM94tn0wbtcf0MGCMc4Q&#10;BqyfPXu2TtKQmJIeGROfkJyanZfPtYGDoz24NvDwbIExLBWC+3q5oIFtwU/6/TpYYHFDMGqDuL4h&#10;KVWvDVl5+fVEG9rUvC+ag4OCawMPfykwYqX8/0gS9L+9DgHRZklopw2NSakZUbFUG3KF9U0yTXMr&#10;H8PKwcHAtYGHvxRAqXpBMFgEBMa2bF3/W0cVDGNsjdogaWhMToM2JCQkp2XmCiWNMvp+A3/3jYOD&#10;gGsDD38pGLmVBbZR/wcNRB+oQrCfOlowxr+dNjSlpGdGx1FtyMmTNErJnBkarg0cHARcG3h4hgBu&#10;BfuDXu/QgBUEbMF24w5spaOFJ7WhvrEpJSMrOi4xIYVog7hBCmHg2sDBwcC1gYe/FMCqoFT2Lf4r&#10;V65cuHDh/Pnzf/zxx+nTp8+dO3fp0qVr167dunULO+gP6GDhSW1oaJSmZmTFxCcm6rWhSanRASYl&#10;hIPjzQTXhjc3PHj44PbD67cf3rjz8O6dh/fvEgJ9eP/ew9vXH9679fDhHSMePLz74MHNBw+uP7hz&#10;6c6F389839bSVF8lrimpqyyqLM6XiWpPqI5cOXb+7qk7Dy6Bfm8Dd+5cv3vvxoOHt2/dvnr//mOn&#10;a4eXZzLgcpg8YIkAPWtsbMzNzY2Li4uNjc3Ly5NIJCqV6qnfb9DouJngeOPAteHNDU/Vhgf3Hj7E&#10;GgDqvgVJuP/gxt0HN+/cOnf93E/nfz7yY6tKW1FSFBsdcsB/e8D+HQf2bo8JCClMylGUNv6m/uXG&#10;L/APF5k83Mfy4R2iELjOY5JgxKvUhoaGhuzsbAgDglAohDao1Wr68JsGrg0cbyC4NrykQJoznhb0&#10;P7+KAG248/DmnYe37j68d5cYhof3H1DrcIf8QNn73r2bt29fuXz9wvlDKnl5fm5sePCend9++cXK&#10;ufM/nDJ9wvTpU4B5M2evWrJ829pNqeHx0rK6H058f/PW1QcP7gCkFerOdSwNgmOCV6kN9fX1WVlZ&#10;EAZYh/z8fPzJtYGDwwiuDS8pGFnJJOh/fhWBasOtOw9vm2gD/nhw98HDew/u37l97dKFX388erhZ&#10;mRIXtP6r5VMnjx40qE/3Xt3cfXzdfHzdfXq6+/Tw6darV6++wwcPWzRv3u6tW+vra8+cOXXn7s17&#10;92/fu3frxs2r9+7BRpioAkOH0AbmG/CnRqOhD79p4NrA8QaCa8NLCsQjPC3of34VAdpw9+Fd4B4R&#10;hgeQKUSH4f79e7dv3jh7+rdWnaJQmBoesnflJ9PGj+vl283ewdlG4GBnZutibu/R1c6rq52npYO7&#10;wNHF0c114JB+s+e9n5ae/N13hy5fvnDnzs37kJc7RCSoNkB9TPAqtQGPeF5eHoQhKioqOztbLBY/&#10;/WPRXBs43khwbXhJAXxEXgx7Iuh/fhUBKnC/HcDT7N/9+3evXrv000/HGhuq4+NCP/988ZTJI/oN&#10;dPf0sXVwc7R38xE49epiN6iL/dC37Ya/bTfUzGmghUtvCxdvlx6+A0YN2bZtW1VV5YkTP1y5cplS&#10;MVJ5FytUCZ7ESwpPaoNKpSoqKoI2hIWFpaWl1dTUQBuam5vp8/9Y4NrA8QaCa8NLCuCma0+Emzdv&#10;6n9+FeGpJA32vHHz6i8nT9Q3VicmRn799coxYwa6uFgK7P7ZVfC/ZjYCCwd4hT7v2g03d55g5jKp&#10;q8sES4/RVh5+XZ19zFyc7Hw8Fi1alJCQIJfLf//9d/b2w61bt16tQ0J4UhugBKWlpdCGkJCQlJSU&#10;6upqrg0cHEY8mzagaD0Z9IXvjQyMaIyZwDKEbWFLhBs3boCJQJQnT548fvz44cOHDx06dPTo0Z9/&#10;/hkbT58+feHChStXrkAnbt++DQpjof1pyTUMZ2PrCNR16OedZsG4kR31HwMOuXv7HmThAc5Nej6w&#10;uHPl6sXmZnVeXtauXdsWLV4wfNRQb18vFzdnMzsfM/vuXe0HmzmOt3CZaeW+zMpzlcB7tcB7pcBr&#10;vsBrupXHGCuPQVbu/SZPnrxy5crExMTW1taLFy9CGBAxFkOki0UPKcVGFo2XENjVscIuijhcvnz5&#10;+++/r6urQzwDAgKSkpJqa2t5XzQHhxHPpg0oVKyYEQai8+qwIvfGBpYbCGwdGcJqylgBJ16/fh0c&#10;dPbsWagCmAjUg2yVSCRisbipqUmpVII9IRI//vjjb7/9Bv2AQkBIIBIIjEZxHgSa2eRtZLaFXc54&#10;ReMOCNgHgf36nwNOA6LG+e7df3Afd/b+tWuXT578qbBIuGPn1ukzpvbu08vJxdnaztbe0cHcobe5&#10;Yz9zp5EWLlOs3Odae62w8V5t4/uZje8qG++F1l4zBB5jrdz8rFz7Dx48ePr06Zs3b87JyVUoFD+e&#10;+PHChYuXL19hsb13l6gRIon1R27lBQdcGgEr5KJcGzg4/gL+S99AS5y+PsvW38yA5INosGTZghVw&#10;Ovj9/PnzP/30U3Nzs0wmAwFVVlYWFRVlZ2enp6cn05CWlpaVlZWbm5ufn4+fKioqIBhgUhwCY3Hi&#10;xAnICSwFKAw6ASbFVdgljIFkveG6CPoIPVPAUXfhHVCfv/fg7t1b16/98MPR6urK3bt3z5k7r2fv&#10;/vaOHlbWrhZW7gIb73cdpnZ1et/cda6lx8dW3iusu31h032Nje+nNj4rbL0WWLvNsHYeb+0wTGA/&#10;2Nu7W5/e/SaMn7xyxerdu/elpqTX1kqOfv8DVZ8HrOuB6ALr4ngpwZhFyDEsuTZwcPxHPJs2oGix&#10;dg9W2Bhn0dL3hgYkn1WBEZAt4HHU/f/4449Dhw7V19cLhUKQTkxMTGRkZHh4eGhoaEhISHBwMJYI&#10;+JNtQcCv2C0lJQWCUVhYCM7CDYBOwFKcOXPm6tWrbDoKlvlsyQK7ESwCiAwL+sj9xwC6vM3eQ7h3&#10;58bNU7+eFFWU++/f98EHswYMGOLs2s3esbutfU9LQU9zyx5dXOaauS6w8PzYymepoPsn1j0ILL3m&#10;W3rOEbhNtXJ6z8pumMB6gJVVX2cnNwcHFzdXr169+o0ePe7jj5du37artrb+6pUbkIe7uBzVBjI0&#10;imsDB0dHxTNrw7Vr11AvxgoKG8oYK2xvbGCkgwDuhlcAlbe1tSHvSktLMzIyoqOjw8LCwPvQBqzH&#10;0tes4uPjExIS2FQN2BgVFRUREYF9jLthBxwLS1FSUgLCksvlEIkjR4788MMP8CK//vrr2bNnL126&#10;dP36dUgRuzruAgLVBRL0kfuPAXRJ5sN4eO/WnQunz6jlsuCgoPlz5/Xt5+fs4mMp8BLY9LKxHWBj&#10;O9TOfuS7bp909Vhh7vOJRfdlFt0Xm3efa+Y7q4vbuK6uYy0ch1naDoIqWJv3sjbrYW/nbC2wF1jZ&#10;2do4ujh7DPYbPmf2gsTE1O+/O37l8vVbN+9CG+7epQaCawMHR0fFM2vDhQsXLl68yCrLL69wd+CA&#10;fIAwoHZ/+PBh8As4HXQDog8KQgYGYgV/guvz8vKKi4vLy8srKyurqqqwAuovKCjIzs7OzMxMS0vD&#10;bhAMJhUsMKnAxuTkZJyhqKhIJBI1Nja2tLScOHHi999/P3fuHPMTMBDgu2e+Hdj93sP7t+9dOnOu&#10;WaVKTUxYtmRZ3z59PTx62dl5Wwl6WNsMtLEd7uQ0xcd3zjseq9/1+rRLt+Vduy98t9uHb3uP/afH&#10;8Ldder3j3NPCwdfKxsfWysve3MvBzMvOztnWxsnB3sXeDnD28e4xcsTYzZu2FeSXHDl8/PKlq9CG&#10;O7chZS/v8SHKwLWBg+NZ8GzagBJ1nAZUXaEQ+BOsREvfGxqgkTBSyI1jx47V19eD5UNCQvz9/Q/S&#10;EBoaCtIRCoVlZWU1NTWs/5m9YKVSqZDFEokEUlFRUQGfkZ+fDwHA/vATUBScB9IC2kKAzAQHB0Mt&#10;YDhycnJwCMxEa2sr2O3kyZO//fabyWAnfeT+YwBb3nlw6/L144eOFGTnbFq3bvTIUQIra0tLZ0tL&#10;d1u7fg6OI2ztRtvbT/b0mvuO5+fveq/u0m3ZO93m/tN7yv+4+/3fzr3fdvF+x9nL0sHd2tbdwdrD&#10;2dLL1dIbquDs5O7h7uPm6kVFwrVH9z6LPloacDC0tqbhzOnzZDq/W0QbeF80B0eHxbNpA2qpoD+w&#10;WENDA2qvEAmwEjY+tR0DpfE19RZgfDAs80b405gQBGxk25Fk7ANh+PXXX2UyGSr1YBmIAQg9OCQ0&#10;LDImMSUtr6BYVF0rbpA2SOVShUqp0akAbTMFmQ5artI0ypX4FfvUShoqa8TYv6KqpkxUXVRaniMs&#10;SEnPjIlPCouMDo2IjoyJD4+KxZkjomNjE5JTMrIyc/Jy84uwf6NMoWlpO3ripzPnL169QZwEizkC&#10;VhAQc2NCjIFQ85UHN09dU9c3bdm0dsw4P48+Pv8SmL1t3/tdpyFmztMtXecI3BYK3OYL3Oc72Yxz&#10;tBlja+1nZd3Lwta7q71LVwfnd5xd33Fy/5dj97ccB7zjMrqrxzQLr5n/p8/6/7fvF/+X9/J/+S55&#10;x2u2mes4gfvo9ybMX7r0m+y0vD9+PUO6vm/ffYBn5mU9G/TWcW3g4HgGPJs2XLp0KYYG1F5FIpFC&#10;oUB9mQ2+BB+hyIE3sUQJbE9DrGSyQIvqaxxYKpBMZhd++OEHozCgpn/gwAHU8WNi41IzsnLzC8Ha&#10;4oamJrlKplTLVVqDKjwGcg+0LQq1TqbSYM8muRIA1+PAypq6knKRsLAkK1cIJYA2QCSCwyICgkOB&#10;wJDwoNBwbIlLTM7IzoOWQF20UIgffsIdYR9UYCNimZixW8Pujj7cu3/n/N0Tmh9TY+JnfjjVp7uz&#10;UzcPCxeHt+z7dnEeZu72gcBznsBjoaXbXAvn2Y6CkfaCYTaC/pbW3S1svMzsXMzsnbs4e3Rx9nrH&#10;pV8Xt+FdPSaYe8+09J73f/qu//90//L/6b7q7Z7L3vWZY+Yyzsp1dN9+496fsSQmIuHn4z9DGB7e&#10;uw+G5trAwdFh8czaEBkZiaoxeDA2NjY7O7u8vLyxsVGr1YIl2ZhL2AiUQFYUX9/A2MQY9FvpdpDs&#10;1atXf/nlF2RTdXU1jFR0dHRwcLC/vz9YJi4uLk+YXyaqqqqTwBDAGdCviRGXYKIKDNqWQyB0TTPA&#10;bkkLA9QCUiFplDE/AZkpKCmDEcnMESanZcTEJ4ZHxYRERIWER0IeIqLjYC+wPa+gCHICymtqatJo&#10;NEeOHEE827+Apk8G5Uds/P27U6XZpRu+/mbgoP5W9gIrN29zF59/2Q/vQt52nm/t/ZHAa76Z67R3&#10;HCfY2rrZ2Lpa2Thb2LhY2Lqa2Xma2XubOQ40dx5i4TZJ4DnT2usja+/l1t4r/6fv2v/T84u3e60y&#10;773M3GeWucsYgevI7t2HT568IDw46ofvThBtAEffvcu1gYOjw+LZtAGV0LS0NFAhaw3HElKB0pWX&#10;l4di1traevLkSZS6O3Q0J5aMj7BkgZXPjh8ok5Bos1o2izZWoAqoiV+4cOHEiROwC4WFhUg7UwU4&#10;BqxAL8kIVEk9Kv5SpZrqAfk8PYgeaC8JDEqyxA4tuA3QA8gDRILcFfLhYtLiJFWoYSOgMQ1SBcwH&#10;1sUNUviJwtLy7Lz89KycxNT02ITk8KhY+AnYiOCwyNCIKNwgRIwpt1wuh7c7deoU9AyRhx7gviAh&#10;WMEWcanYf8f+ebNmd+/V09zWuouD71t2vm87jDdze9/a+2PbbousvOZ0cRn3T/vhAluBla3A0tbW&#10;wsbRwtbN3L67uX1vS+fRAtfx1h4z7bwX2nkvs/FaYe258n97f/m/vT7v2melVZ+l5t4fWLiMsnEb&#10;MWDAe7NnLY+LSvz52E8P7txDbj64fZtl7EsI9H5ybeDgeAY8mzbcvn27uLg4Pz8/PT09ISEBwsBE&#10;AmSUkZFRVlYGDwGFgIf49ddfwaGs4RtFsT3JdvzAqIQF9iciD2I9e/bszz//jARKJJLc3NyYmBik&#10;fc+ePTt37jx48CAzUjU1NXKFkrkE6gBa4RsUai1glAQjiDbojQJUoVXT0kY9BGllIr/SzxczzwFp&#10;YStylRbCUyNpKK+sgUWAmcjOK0hOy4xLTI6KS4CHCAkjNyUiIgLRA+Wx1r+GhgYQH2IOncCtOXPm&#10;zPnz57FMjk1YvHCRn5+fo7vXu9YO7zgMeMfRr4vLLAvPBda+y627f2TuNeNt16H/49DPyvF/LB3+&#10;aenQ1dLezsrB08phkMBxmK3rh3Zus23dl9h6LLdxX2HltsLSdcU/e6z8V48VZr2WWPVcYO4x2cpl&#10;hJPXyNGjp6/4ZG12Ws6vP57UawN9OYNl+IsO9E5ybeDgeAY8mzagyoniBKIBA5aWloIfk5OTUV8G&#10;GYWFhUVFRbGx+RAPlUp1/PhxEBCrq6Ki+tKI4PkG8Ag80JUrV3777beWlhaoQkFBAVKNxCLhoJX9&#10;+/fv2rUrNDSUsTDUUalSg9wZ4wP/vk2JtiZRSTC0LBkalwjYn0bBwDmxhKJAIZrkKtaPXStprKoV&#10;w0yUVVbnF5Vk5eThLrDhsOzdOugEdAtxzszMLCkpQRJYc9N3330XcGD/uHFj3bw8rJ09zRw8zV3H&#10;WHpOtPRcIvBeZu37icB3rpnXxLfdev+vk7el41uWDu9aOthCGASOfW2cxtk5T3Z0/8jB/SNb14+s&#10;XOZZOM82c/qgq/OMt30Xve37kUW3uZbeM8xdRtu4DPbqPmru7CU7tx+oq6w9d+r0gzu0TeklvvzG&#10;tYGD41nxzNogk8m0Wq1SqYRCVFZWCoVCGAg27BJcGRQUxIZa5uXlicXiw4cP//LLL6dOnYJIXL16&#10;9XWRh/ZUcv36ddSvYReam5tZ7wJSCpcAQkFi2WDTAwcOgI4hDMg15IxKraHCoNcGtmIiCUYwuscK&#10;NQfEXlCHoW9lIoc/Ugu2hYDqhP4n7C9XaciQJ5myqlZSXFaBmwIHk5KSwgQM5gZRRYSh39AM/ARd&#10;x93BHdy2bfOQYYPdfLw8eg5w6uZn4zPV2vt9G99V1r4rrX1XWPrM6ur53tvu3f7p4m7p9K6lo5ml&#10;g6PAsZuN02A7l6kOrh+4eC51dF9s7TzfzOGDd+2mvGM/7h2H997xnve29xxz7w/M3Sd1dRhm5zqo&#10;e68x677empqU9V3r4RuXr9IRSi910oz2NxRLrg0cHP8Rz6YNqP5DGBAUCgVIEDtBKsrLy8E1qE2D&#10;N1HGoqOjwZhQCNAQ6Am16YqKClRUQa8XLlyAjWCllBVUBPYnllhnTeHGHZ57wCVwfiz1f9OAy4Es&#10;2l/UGCvE548//mCqkJ6eDqpFuiAGSCCq4diSmpqKZEIa4ZbgpRi5qDVaA4m3z2umAab4s+2PtKHd&#10;GdqBbKF7EoFhvoRBplCB8hAZ9oYduy+4Ebg1MTExcBIIiH9kZCTSsmHj+uUrPpk+a+aICdP7jZzS&#10;bfACzwELXXp/auu71MJtrpnr+K6ufl3cXN52tXtX4N1F4GthO9DWaayj23QH19n2LrPNbKZ0tZnY&#10;1X5kV4dBXZx6dXH27OLi9rbjOHOPyebOoyydh9k4DXJx7Tds8IR9u/w1Ct3lc+dvXLlyn8ybcY+8&#10;4PDCbrRJwIXYtdit59rAwfEf8czagN+YNqhUKrlcDoXAsqmpCWRUXFyclZWFwgYOZe9/sZo1Cl5R&#10;UVF9ff0PP/zw+++/X7p0ib2iBeZFKTVh6hcXcCFc8RZ9kZhdF0u2gsDoA3+yHbAnjM6vv/4Kvigp&#10;KUESQKmog4NPkTqkEbVvJBaSAHkA8zKfBAlE5lBtMM3oFwGjNrQHUQga2H0B/cHQIAlpaWkwN0zb&#10;WGsY7tHePXvWb9iwdNWqDxYumzhr8chpXw6ZtKbPyI2+fmtcey936DnDpttISy/PLm72lg59LB36&#10;WTsOs3ed4Og2w855psDhAzMIg824rnZDu9j3e9ex27tOru86O73rNM7CfdK7dkPN7AbZOg/09ho0&#10;fuyMxJjEX3746f6t2/dv335IhQEyzfj6JQR2c7GCG40l7jLXBg6Of49nblPCb6A/UA8KElOIlpYW&#10;bAETSSQS0BBkIDc3l00ZBBplEwqhZg0CxU+ogOPAY8eOQSRQPhlNs3LLCrAxkDL9AgKTAaxgiUtD&#10;7Zg8sC34E5Jw6tQpxBBEj9jC9zC1Y3aByUBZWRlSyt5kRmCtNKy/F0e9Wm1Q0RsIr4PA7hS8HeIG&#10;G8HevkaKmE4QGxQat39v0IZN33729bpln3+1YOWmOcs3fvDRnsmzvx0z9Zuh4xb3HTbVu18fl26e&#10;AseJgLXTZHu36Y4eM+zcJgucxpnZ+5nZDzB36m7u7Gnu6mzuZmvhbmPhOMTaeZiZoJe1XS9vb79R&#10;Q8evWLKqvLDo0pkzpI+BdDPcu3Pvzu27fJwSB0fHxX+pDZAEkCB4h1ChIRjrqqwrAnVVkCbKHuqq&#10;rNUb9ArBEAqFqGK3trb+9ttvV65cuXbtWvuKPNgZ4UWwBiMIE23ApZlRQICbAWVAGKB2UAVoAGIL&#10;bUO0kQTIW3p6OugVBggpRQYVFhZCKuAbsCfSiy3IBGSORqszyeUXhKdrg0aHaDAHQyKj0eBmsYC7&#10;09jYCAlH6mDyyFCC2OzIsMQDB4N37Nu/Zdeutdv8v9i878vNsavWhi5edWDOovVTPlw6Yty4AUP9&#10;XHw+cPZ+39lrmov3NCfvybZuoy0dh3ax7dXFrkdXBx9zZ28rN0+Bh7u1p7u53QCBg5+5VXd7h159&#10;ew9/f9KHW77ZXF1aeuHUqft3bkEXoA23kNm3yUSB7Na86EBuPNcGDo5nwX+jDQggGiwZFTImak9G&#10;2AIOQmFD/RpKgFoq66yGPGCJGmtmZiZIFvuAhdmoyosXL4KaoQpMJF4Ea+CcOLPx5FgiOVCmCxcu&#10;/PHHHz/99BPIAvGHsCFuiCGEgTW/REZGgjtQ3S4vL4cwsLQjg9gwVpBLQUEBWAbMy8hF+7Ko5M+0&#10;ATFkN4XdERbwJ7ZD1RDgJKAQVVXVpdkNwvSK9OSshKSE6ISI4JgI//CQPYFx2/ZGrt8c+sVXu5Z/&#10;8s28eR/NeP+DkZM+HzpuRf+RC3v4zXDvPdbWs29XR++3bZzfsXXpYu9u5uBt6dRD4Nzb2qWvwLa3&#10;nUM/gZW3g51PD+++Y4aO+nTJ8uykxKMtusvnTt++eRXkDNNw5yVOxIoLsWvh7mPJtYGD4z/iv9QG&#10;lKLm5mbQDZZsCwvgIPwEDkJgHgJkykQiPz8fCsF6qsG5bMwMauIgXNDxkSNHUGFnc2+wAvzcA9gB&#10;Z2bWBAm5fv06BAneBRyhUChQ8WdtROy9DUQPASvJycnwBzU1NUgIksOa0ZBwxDkrKysqKgo7IAlg&#10;W2xH2gkNN5v0Ib8o/Jk2kDjQwG4K7hE0GCuINgLbSG6QTKGsPt4kaqkT1YtEpSXlOTlF6am5iRHx&#10;SUERcfsOxO7aGbJ1i/+GtZu//vzrZV/5L/x02/sffz72wwUD3pvoOaCfrY+nlbu7lbuHlUsPK+d+&#10;AschVg6jBPZjbe16OTv3s7P2trd2d7F19XHxeG/o8B0bvinNzTykU507/duduzdv379998H9lzbZ&#10;HtcGDo5nxX+jDUwVWDcDllg30hAC1tmvbB1LFDlYhKqqKngI8Cl8Q2hoKAokFALkC4XIzs5GKW1t&#10;bUXl/fTp05cuXULppYX6eYYbN27gzHAJZ86c+f3330+cOHHo0CFEFaQPVUCsIFqswxkRwzo8ARxP&#10;UVERWAM6h7Qg4VgyDYBOwDcg8pAT7MAygcnGK/YNWv0tYIHdAibhTLbZRqwrlarvZGfbpD9rpM1y&#10;WX1DU5lILCyqzMzIy05MS4+OyYiKSIkMTYwIjAw9GLZxX9Sa7QHL122e9+mnkxfOHjZ1TO9R/b0H&#10;9fUe0N+j13BX3zFO7hPtnKbbOcywsenm6tLP2d7X2dbD0crRwdyqj5fX3OlTAndvrygWHj3Sevny&#10;hWs3r92+f5drAwdHh8WzacON23fBPmpds4IO4VdqcECrWttC0H6EJThL1yJXaWVKDZbYjY2+r5U0&#10;VNeKy0RVwoKi5LTMqJg4MnOcYdw9PERJSQkq4Ci0qNSjdo+SzIr0vwnMCrAOA0gXK/w4ChsRKCeQ&#10;D+9AEuBLoD1tbW2g9YqKCuhBZmZmQmJSeDSZcCIwOCw4NDwiOjYuMTktKyevsKi4rKKyRixpbKJT&#10;VsjpZHkkUUr6hnODVFZYUkan1CuWNEq15BWEFoVK//6zSS6/IFBteAr0d8SI9vel3XalplmtaVNr&#10;WlUauA3cJo1CrZaplKIaOhdsRVVhcXl2bkFKWmZ8YkpQePS+gOAtO3Z/tX7j6jVfr/zsixWrP5v7&#10;0aIZs+ZOmDJ9+Khx/QYO9+nez8W9u71dX1vb3ja23e3sejg4dLe397Kz9+jTd+D4CVPWbVifX1T4&#10;3fHvTp//49K1C7dv32I3EfcINw4Bd4rdwecb2GOAFXZyPBhcGzg4/j2eVRvuEXIhM8GRoTh6bXji&#10;pAD4ETQKSVBodLgGaAg6AUgV6vomGTi3oLgsLTMnPimFVdVZiI2NBWVLJJIff/zR+MYc+MLI8giU&#10;Q/SBbWGlHcKAPVm4efPmtWvXrly5AgqAV4AXYS+vwb6Ul5fDprDRnLh0YHDowaDQwJAwNqEpopRX&#10;UFRaUVldJwHjI7aIOdJCaJRmFn3LjLB/o1xZXlmTX1RaWlEF2cOv2AfZgjwxZkIHBxWS9oaDpVQn&#10;VaiaFCokStwgFVXXkZfpCkuQOZExcYEh4Xv9A3bu2b99197tu/Z8s2HTp5+v+Wjxsg9mzRk/aerQ&#10;EaP7DfTr1m20t/cIdw8/d49B7u79XVx7OTj5WNs6uXn4Tpw6dfvuXaWi0uM/Hb1x+9rdu+TjH7iD&#10;uHdsAAK70dj4fAN5Srg2cHA8C16gNmAfWoluofPHtchUGjYnBC7ZJFfV1TdVVNUWl4mEQtLKHx0d&#10;HUg/ZRMVFcWGA7GyeuLECSgE6J4pAS3pjwVW7Fn/AczB77///ssvvxw/fvzw4cNarRbJEIvFcAlF&#10;9FP+7FW1SPr1ZmgDLhoTFx+XlJKSnpmdl19UViGqrq2RNEAVEEMWeTZJKlJEU/pIG7AC6qyqFdfV&#10;NyJp2IGll6nIa4GnagNAHAbZgfhCiAT7tkRJuQg+KUdYkJqRBZ0Ij4oJjYja63/w2+27vvpm/crV&#10;ny9ZvmL+R4tnzZ3/4cyVU6cuHjt29pChU/v1H9Ot+yA3j142ds7Wdk5evj4Tpkxat2ldXmHO0R+/&#10;v3rtKrutRm1gQX9rn18wnpZrAwfHX8SL1Ab6mi520LS04U/UwdlnDOSUQ6mHIJXT+vp6kUgE4o6J&#10;iYF1YBM8oEYPD5GXl4dfWTc1qv9saiaTAEmAP2BNRj/88ENra6tKRV4Mhj/A4SkpKRAAnBbln50Z&#10;6zg560vADsWl5eVVNdV19XAz4EHEkAHUj8hT9iSmh7gfuk7NENKuX2d7UkoleQJQbjXNjY4JmqLH&#10;VAFAqplVYutIHbKlSa5ESqGX0AlkV15BcUp6FjxfSHikf0DQzj37tu7YtXnrjo1btq7ftGXjpoA1&#10;a3YvXfrNrNkrJkyaO2z4hL79h3t493B08XB0denWq8fEqZO2bN9SWJp/7Pgx4/dlGWsbSfz5BuNp&#10;uTZwcPxFvEBtYCyjptVtKIGkUVZRVSOqrquuk4gbSCM+Y5x6OnMfG8hEOgDoMCHG4JCHrKws/ASF&#10;UCqV4H24ge++++7o0aMo2NCMQ4cOsf5h/NpE383GzgUFBeB9lHlmEXAe1reMdehEfHw83ENOTk5x&#10;cTE0qU5S3yBTIHqIJHMGBmYkyTSyJ51Mm6SIzbZt3JlCn172E5t225gPHRl/rg2PQZ8uuk7uY5Os&#10;slZcXFZB5vXLFcJykSlgYxMiSLdN5MGg0D17o7ZtD177ze5Vqzd+vOSLWXMWT31/zsgx4wcNGd6n&#10;f7++A/oNHz3ioyUf7fbfXVZehjsIeTB2FPE2JQ6ODoIXpg2EWBndkJ3rm+RVteLc/CJAWFQCZikT&#10;VVfW1FWL62tryeQ/CCioWJbS6V3B4FFRUWzgUASdmolNIwp7IRQKwf4QEuwG5YAzQMFm8/2B+nEU&#10;kxY2CApb2LE4sLCwEMpRVVXFppmDlpAgg0SpWN0f0WbJ0U+MSmeyMwKJNZgJ7MlUoYXNdoc0QhIY&#10;eyKxWBrzoSPjqdoAMDlvB6SxDeliYN+nww2VNEphtmolDZB80jZYWJyWmROXmBIUnOh/MHrX7pCt&#10;2w9u3Lzn63Xffvblus/XrF22YuXcBfOnzpj+3sRxsA5zP5oHJ4fbDY4+d+4cTCEom2sDB0cHwYvS&#10;BoBSD6mGSxUqMEiZqCo9Kzc9KycjOzczV5gtLMgrLM4vLi0pAUiooAEMDg0Am8fQryPs3r17586d&#10;e/bs8ff3x58gfeYAWE9yUBAiSQKbGBW/htGpwrEPe/OATWgBLcGZITwSiYSNRkUKmdtQPZrfQk+F&#10;RlVjXE9BvrIAYZAq1IQ66c5EDMhuZH/swNwGdqYtZq+3NtB7+ugnrGMLxBJgsoGNSCkzSXgSkC2N&#10;MmWNuKG4XITbmpZRmJicGxWTFhaRGBQSs+9AyM7d/jv37t/47bY1a7/+ZNXKWfPmTHl/6rQPpn/z&#10;zTdQdOj0sWPHzpw5c/PmTXA31wYOjo6AF6UNOC/jFOwvU2pQwawR1xeVVuQXlebkF6Zn5yanZcQl&#10;pcTEo1Qmo3zCKEAMUM0H74PfoQT79u2DJOwyBIjEXhqwgu1YwT4o1UwGcDgzFnl5eVAX1EbLy8sr&#10;KyuhB8wlID0KhQKFnwkDC1inxd7I76z9xNhnQLWN8CChSLokW4w/6WFcb7fRmA8dGcbYmoD+2v7P&#10;J5Nj/JVkCzKN9h5BIRT1UhjExsqa+tKK2vzCsvTMXNzi0Ijo4LDwfQcCvt2xfe2G9Z99+cWnn38G&#10;bNiwAXcT9x01A9yL06dP3zZ8DA5L8Phd+p4824KALYzcnzUQZeDawMHxLHhR2gDKwG5shI+cfqpM&#10;3CCFdSguExUUl5LaZWZOUmpGfFJqTEyssfkIFX8WUFyfDCEhIcwrIGAd1gG0kpqampWVxSQBelBV&#10;VYUCz5qMmB4Y3/ZCoEl7LJhowxPQ6wFIkCbcNJlvOIzaQLrlVRqZUi0lnfPNMqWuUaauq5eWV9YI&#10;C0syc/JiExJxtwJDQ/YdPLBz754de3YDO6nkw/aBoGHs2tra2DS9N27cuEPn6GXCwGgdof36MwXj&#10;gVwbODj+Il6UNshVGlAGrYCDdulwF7lS0iitrW+srquvqK4tE1UXl4vgJFjnAcg91xDar7cPQhrY&#10;OvbBgcXFxSbmQE6nDTe+D4zQTAN7T/vJoNaTPuX9x7sWwHcGD8FV4elg2oDsYn5LTr4ypNW2tmpb&#10;W7QtzSqdVqpUiBsbaiTikorywtKS3IL89OyshJTkmPi4yJjogwEH4Q4hD/v370f9APe0uroat+/Q&#10;oUMnT548f/78tWvXWDe1kdzZijEQ4v8Lwbgz1wYOjr+IF6sNpEWetj9Q+tDSdT2VsAGgUgWZ6BuE&#10;bgz4E+yA5ZMBcUJgXchYkclkbDvpNjDMZYSoMzFAwDp1C48CTdpjoZ02EAFg2sCSwGKO7VgysO0c&#10;RrBOFyoP5LYyQBLUzVpNM1kqtWq5WilTKeRqFZYN0qaqutqistKsvJyUjLRI+lk6CAPkASIBOxgZ&#10;GZlJ52Fkr8ezidxv0Yly7969y1ge/E4dxTP0WlNp4NrAwfEMeFHagB3I+w2PMW8L/Vb+oXYg3Zu4&#10;HlibTP1DA66tp/YnAuN3FmgkSdD//XjAduz/5K/0iMeCsU3JUAUmZIctiB79gDNTCKSCtyk9BSy7&#10;jPnDoNAqlFqlSqdSN6sBlQ5LjVqHmoFGqVE3KeS19ZLyqkooRHZOTkZGRnJyciydphfacPDgwdDQ&#10;0Pj4eKOHAIP/8ssvbJpeI7+D3JmZIMT/FwKVBq4NHBzPgBelDazS/QhUG9ozCP5kAI2DtfXKYGgL&#10;gg94MqDosh2M+7ffgsA2ImAdJ2GKYgw0XaZBrw10hg/aoUqmiyBvtNEWEiSTVIQN0TZJIwc1Cnph&#10;oHeTuq4WqEJ7qDUtMJEqhUYNbcBSrlJCIRpkUolEAnauoW+l5ObmGgenQSQgFdHR0SkpKQUFBVVV&#10;Vez9x+vXr7M3qEHulPP/auDawMHxrHhR2sB6oSmlMu5gjUuEiE2A64HNUSzbB8bvJsFI+gjGLU/d&#10;U3+WJ87Djm0fWLFHxCAMTXJlg1Re3yQTNzTV1TdKGmWNMoXc8OoDx5MwagO5laQ5jo5zbVGqmmEd&#10;jFAq4SFIQ5OOLImB0Kq0BCT/6ReiGujHoCADbJreKNrWBA8BnYBCpKWlwUPg9p08eRIGgk2xxVj+&#10;LwauDRwcz4oXpQ0GkOq2HnoxMNkBaFGDXIwSQkH3fDo0FPo/ERl9jfVxGM+jB9sTp2VgJ2llk6ci&#10;DnRWjxZoQ2WNuLCkLDMnLytXWFxWUV0naZAqkFiw3n9K6UsAyXaA5Q8yH+tYwuXQjcb5PEyOeoEw&#10;3lyWjQagHoDMh99i+PMbimPJMCetTKFulCsaqCqXi6oKikszs3Pjk1IiomJDwiODw8JjYmMzMjKg&#10;H3g0oRBgduNoVwSsgO4R2IpRNvAn1hGwgsC2YIl9cIZjx47V19ebaMO/qUBwcLxReNHa0KGgf42Z&#10;AQlRqHVNchXMAewCm/uvsKQ8O68gJT0zLTMH6zXiemIdiDaQQ5444UsGiTAAqlVqm+nLyTKYm1pJ&#10;IyKJe0G1gUz+8cSBHRS4BbAd+oEJhiGwUjJTr1xUXZdXUJyUmhERHUsmf927Dx4iISGhtLQUVoP1&#10;QIDf2VzuYHwqDY9pA5ZsIwKTB+yJ/SEqd+7cuXTp0tGjR+EbYFP8/f2hEFhnLpM+/48Frg0cbyDe&#10;IG0gxEpnsyD9zM1trMYtaZTCKxSVVUASUjOyk1LTE1PTU9KzcoQF5ZU19eSzDWSeDNpy0oE4FwQK&#10;3SoTVZeUVxaXibBO3QNxEq+VNugHOLGYsyGwuDXIaiSnVtIA65aZK0xMSQ8Lj2Bvt8TExGRmZpbT&#10;bwWyt6lv3LjB3ED7gC0stF9HYLIBkbhy5cp3331XU1MTGxu7f/9+KATWm/9krDPXBo43EG+QNoBP&#10;AZARMw1ShYoKQ11hSVl6Vm5MQlJEdFxkTHxcYnJGdi5YiUy+rSSdDZS/Xrk2kGxHzEmDvq61QaYo&#10;r6wWFpbkCAuhahCJJoWKtt68NsIAkPGvxuFhdPwr1QnSUIYtWIEfIvM1Vddm5+Sgah8eHh5AZ0aJ&#10;jo5OTk6GPBw5cuSPP/6AGzCaAxaMdgEBSnDr1i1ICHa7efMmm7sXonL48OHa2lp4kQMHDkAbqqur&#10;8dw/dcwC1waONxBvkDZQ6iQ0hDopadeurM4vIq/spqRnxielxCYkYQnrkJtfWFIuqhbXN8mVjG0Z&#10;eb1a2sXVERkqD3ptgB7kFRQh/ohzQXEpokt36AhtX38VJGPpTWH5zEANEOk+IQaCTmOFlFWIRPn5&#10;+SkpKVFRUWFhYeyVeOObEEePHj116tTVq1chA0wPjMIASTh79iwsglwur6MvzGs0GqjC8ePHYRGg&#10;DThnUFAQFKKqqgo/0YffNHBt4HgD8QZpA2rcoBvEvK6+CbYAKgAxiI5LgGNITIFzyC8qLa+sEUM2&#10;wLOohiN1OIoKw6ufeRtXp/pESaq5lXabE8cDbaCRF1bVSqgrIr0R7Q/syCAZSxPFHipsYZYOYM8V&#10;VmhvhEZB52AHfTOFgG8IpQEr7FOyeF5B9+fPn799+zYTBiwhDCdPngTjZ2dnBwYGfvvttzt37oSu&#10;5ObmSiSS+vp6SAvsCIwIljg5H6fEwWHEG6QNiC11DFLUuHPyC2EXYuITo+MTE1PSoAug2gapHDsQ&#10;JqJfaKBaQnsp6J8mZ3vJYCwJ0Pwnr53XShqRkIzsvNiE5OS0jJLySqgaqtjsI3SvBYzaQLLXMATW&#10;IA9MM8jQZ/wEbVAoFLAI4HQoQUZGRmxsbKQhxMXF5eTkgOvhD2AgYBTOnTt35swZqEV1dTX2XLdu&#10;3cKFC99///0FCxZ8/vnnW7duDQkJwUmysrKgLmxCJ64NHBzt0Tm1gcaKkCliaPiTMI6kUQoOFRaV&#10;gExBqfAKJeWiCv1334gwsEMoW+lPRXnqFQsDwKJhjAxiKFeRr2IgCUhIZEwczENpRWWjTMn0g+7G&#10;QA5vd5vIzLIKffcvyRzjdnqUgZGfQLs9nxtYPA1Rfcp2Igx0i0JBtEGlUimVysbGxpqaGuN3/aAN&#10;IHfU/aEQ4Hr81NraevToURB9QUHBpk2bZsyYMXTo0N69ew8cOHD8+PHvvffemDFjZs+eDRsBhcCB&#10;+/btw7E4sP0YVtbxAM+Bje0mcv9LIDlMe9fp42TsTaESSIdCaFvJpADIVWxnN4I9dcb0cnC8cnRW&#10;bWijkSRFDjFkLdcANCBHWJiZk0fGI6WkFZaUw0Y0SBWgVNbMbSjAr0cRlSrUhaXlqZnZsQlJtAs9&#10;D8pXXSdh7odUyZEQmny6P0tXey7WbzGsG0XUVBgAus8rA30pnhA3AhQCBsL4uhzkISIiAhQfSj8D&#10;lZmZCa8gFouLioqwcc6cOYMHDx4wYICfn9/EiRPxJ+ShX79+Q4YMWbRo0YYNG7Zt27Zjxw54CxzF&#10;ZujChdhgVgSsIKie5WNNyENoAx1PTLSB5R5TCEMmt+mnY9HPM6YffEwN67OJEAfHi0Pn1AYA8aTa&#10;oP9SDSIsU2pAnQkpaVCF9KwciERlTR0buUS5j7RxM5icqsMCCawRN8AuZOYI45NSomIT4hJTUjOy&#10;istghmrZew8yyjj6O0XRLpkkW3ASmlHMLZGby+jMBCaXftmgHM3GmGKJdRgIPKMSiQQGIjc3Nykp&#10;CQYC8oBlfHw8fAB0Yv369ZMmTYJRWL169Z49exISElJTU2EXpk+fPmzYMMjDhAkTFixY8NVXX0VF&#10;RdXV1UEMiEswBKZGuJxWL59/BSwD9XmILayXi8L4aJF9KPR/EgnXr3NwdBR0Ym0ghp2VT7A/hKFB&#10;phAWFodHxUbFxucICyqqaiSN0kekSY7SF1qaxken6rBA/bRJoWqQyuEWoHZIF0tdWmY2lA8KwdrK&#10;muh3uUmG0DwBaJuSXhX0oNvZT4zXTGBy6ZcNNWnbwXMJpkbACq3WEyqXy+W1tbXFxcVpaWkxMTGQ&#10;h4MHD+6mX4L6+uuvZ86c+cknn8BbYLeTJ0/+8ssvZWVlW7Zs+eCDD+Ae+vTpM3LkyHnz5u3btw/b&#10;2SXYaVnAOi5H38N/IkpPA1UF4xQA5Chq2vSfjDXkNnmTQ6pUk84h4vDYnF1kn9flweN4E9BZtUFf&#10;Gg2x1TXKlahHZ+flh0REgT0LS8rqm2Ss4QU7IBewgv0ZXj0V/jUQQqGMg7TAEmVkk7YyANYhIzs3&#10;K1dIvs5dWJxfVJpfXCqqrq2sFddKGug8UawNTcdqtfpTMf7qwNoAu0AVQR+Mf6KOX19fb5ywLzw8&#10;nH4hcO+mTZsgDJs3b4ZsNDQ0/Pzzz7/99hv2z8zMhHt4//33YR0GDBgwZsyYzz77DK6ipqYGp2Ln&#10;pKVAH/56XzSykWYXeepI0dI/hOQT3GwdBYe++w1FJ1+7Qn0F67gXdJ5HsjQ5IQfHq0Ln1AZKmiiK&#10;hPcB0m0rlVfWiKENkTHx8UkppRVVEAZaXCn0K6+jNpBog1PgD0D9xWUV+UUl6Vm5kIeE5NTouISI&#10;6NiwyJiwqBgYi6zcfPyKtFfVSeCZ2HQgpLEbHoJqjDH5T8Lk0i8bj8/GSBqYDLPwMicBTm9sbISB&#10;KC0thUJERUUFBQXBDWzcuBEeIjo6Oj8/v6mpqaWl5dixY21tbeXl5Rs2bJg8eTKsAwLsxZ49e/Ly&#10;8sRisUwmw9lQBnBaWhbIRz5M4/MnMGoDq22A9IlpoxOZoMggw+vqG0U1dWWiqpJyEW4WBBsKYRx8&#10;TAuX6Tk5OF4JOqs26EmfakMrCicqy+WVNTnCgrjElJT0TJRJRB4/sd2onTeMEkEVj610eDBtgDAw&#10;A8QMRFWtGB6CKURCclpsQlJMfFJsQnJSakZKOvETOcJC/FpUWlFaUYl8EFXXVddJwFk4Fn4CPEVJ&#10;yhQml37JAFHjoWR60F4bELAdJI6aPtYVCgUMBKr/cAYxMTGxsbHBNEAq4Ceys7OLi4ux5/HjxyEA&#10;+BV2YcSIEd27d8dy+fLlsBpZWVlVVVWQGZyN9W3g/M+sDdQxQHQhBuTd+1pxYWl5Lhk2nRUVmxAY&#10;Erb3QMCuvf579h8MjYhOy8yGWiPzUaa4NnB0HHRObQBRMkYDXSKFoM7qunr6ppgQwpCdV1Ajrsev&#10;iDwtzARMRV4vsJgzeWNbcEdA7qiK1tU31YgbKkkVtZp8eLW4NDe/CL4B7gEiEZuYDP8ESwELlZiS&#10;jo15BUWoyUIqkFFgNJwEWYcTIosM/ahkzCVt+iBtIPRXlmksA5kYM9tB/yRbWMcGAc3hxyL/TNBP&#10;vguOfhLsJ8OvcqVaKlfU1ElKyiryCgqTU9OQysDgUP+DgQcCgiOiYnKFBbXienF9Y2lZeWJi4ooV&#10;KwYPHjxo0KAhQ4bMmTPH398fEgJ1gfZAG7BUKpXy5mbZoUOK5la5Rtes0LUqdN/Jm7+T676TIcd1&#10;hzQtukOHNIfapG1QBV2bSqehrV+yFm2tQppXUxGXk+kfGb5tx67PVn22bPrcOWOmzPMbP2PgqCkj&#10;Ri2dM//btRtiouKrRHVSZbNc0ybXHZKqm6UqHRk4q9WxrnGT3ODgeAnotNrAaMuoDWBJYWExas2o&#10;puUVFoMAmTaYHNgJgLQbezhp1VUJqagW16NyWlhSDueEHKCDmljHdQKMBZWH3Jz8QsgnUwiYD9oz&#10;Ia1vktMxvgpK8cZBTSx7W3F+tpEKA8SY5DnRBkbW7aTlb2rDXweLIe44auJICG56WmYOra2H7zsQ&#10;6B8QDFHEY1BUWi6qrCopKdm9e/fs2bPHjRvXu3fvoUOHrly5EvKQkZFRV1cHVYB7AM3LW1sajxxS&#10;tLSpWtoOK1uOyJtPNAG6Hxq1h6TKNrlKrlVLtapqrbxRLtNKmupraqsqK4VV5cmFuf7J0ev27/z4&#10;y9Vz5s4fP3rcWK9+Q+19xph7DhO4+bl7jh84ZP6UGeu/2pCSmFFR3SiR6WS6I1J1K+RBRfRFq1Ep&#10;VOSVFdNkcnC8aHRWbSCSYNQGcCVoAqYepIA6MirR4oYmcFmn1AbcIJJ8qnyUlJtBlE1yJYgedF9Z&#10;Iy4TQSTKQJo5wkI4iaxcYWZOHrQBSMvKYZPRJqdlpGZkYTsyraC4rKisAuIKQaUtToTlYQtYX4VR&#10;G9iDQSJAc55enX7ztfWQrvWwMXovGkgvwG49JA02COlFEqAQYZHR/gFBB2AiYB/ik5JTUtPS0oKD&#10;gzdu3Aj3MGHCBGjD+PHjFy5cuHPnTrgHiUTCXneQqrUN2hY5LEHzoWbtoWZNW7OiuQVCoWnVqjRq&#10;lUberJHq1BKtUiST5FQUxqQn7Ak5sOnbjSs/Xb7oww9njx47u+/gBZ595zv4Ln/Hfflbbl/+r/uq&#10;d1wXClxm2rjOcvb5aOQE/y/WpcSnVZTXNKlbZNpWGBIN7qBWp1UoNUruGzheATqnNhBJoARBOYt8&#10;6qBUVJWZI4QwZOfll5RXSlCd7qiR/5vADQKDI3m4R0gjgBXIA5uOAn9iXapQIQNgCOrqm6rrJGBP&#10;SAW0AQYiLjE5KDQcCA6PjIiOi09KJSKRKwS9llaQF+vY5/DI4eSjeOzLqcxS6C9HHim9b2DNTXqY&#10;xPMFgcaB6SIZPIrEIqrQxfLKGtx9mAYk7WBQKEEAeZs6LCwsMDBwx44dy5cvnzZt2qBBg4YNG7Zk&#10;yRJszMvLq6mpgUJIpIp6lQ51eZmmRaNp06hbdeoWlBgtzJlSrVCpGtWKOlljmaQ6o0QYlBC5cdeW&#10;BcsXTZzw3sC+vXo7OA2wth9v6zpH4LHUxnejTa+djgNDHIfsd/P72r3nR3Ye71s4TvTstWrSjO0b&#10;tyfEJZVUi+tkSqoNLWq1jrSK0rLGwfGS0Vm1Qf9xNFaLBJcVl1WAGlB5zCsoqqiqIV9ze5aXXV8j&#10;4AbRMZGkWYnxNeVuHZmngUzVQGZrYHeN7kkshbhBKqquKykXsW4JmAb23jiQlJaRlpkN2YC9oA5D&#10;mJ1XACGBk4DcVtWKq+oktZLG+ia5FCxJhUFHr0KpmVwC+W9wFY/F8wWByBUdgUblgWzBOpIJecB9&#10;FxaWIDkx8YlQiMCg4ICAgNDQ0PDw8P3792/ZsgXyMG7cOLgHeIjFixfDPWRkZIjFYqVSp1YfkasP&#10;yzWHm5oPSVuPNB0+3HiorU6nqZZLS2qrc4R5kdFRu3fuWLNuzcLPPp41a9q4kUOme3Wb7OCy6G27&#10;1f+02/4/TmH/P7eUt3xK3+5ZY9FfajFIbDsoz6FPsKXXlrft5wtclnn2WjLtg01ffBUeG5dbUlan&#10;gFloVim1bQptqxpP8mNp5OB4Ceic2gB2AB8Z6q3NDVJ5YUl5SkYWtAH0h8pvo1xJteElEdbLBEmy&#10;XhRJ8mkaCZAhzEUZgdsH0oSKwEbAWlE3oKhvktF+7HpRdS2MQkFJWV5BcW5BEbMUdERsdHhUDOg1&#10;ITk1IzsPPgxZilp5bX0jaugk5/UnZ1cxRsA0ni8I0AYkCknD1Y1px0ZmlaAQSBfqB5C9yKhoSMKB&#10;AwfgHg4ePBgREbFv374VK1ZMnz59+PDhUIg5c+ZgS2FhYVODQilvU2iOqHTfSduO1Le01jTrqrXq&#10;MlljXllxdFL8vh07Vi9bNnv8xDED+w/q4TXK032Mq9sia7dP7b39Bd3jbPoU2gyssRzQZDVIZzmo&#10;xcrvkJWfznaw2GlAhl2PUAv3ZVbOc83sxnbrNfO9CZ+uWRMaG1tSVyeTqxQKdZtce0hjmkYOjpeA&#10;zq4NlCVRqwV/oToMbSgqLa+VNIAKO6s2MOA24e48jvbaoCdNw/76ViBsx6+4uezFXWgq+bROVW2Z&#10;qAp+gr1bFxOfRCY2j0+MTUiiPROZMGQ5QtItAS0pr6yGrsBJwIvgcDAy7gVt4ntJWc0auJBeY0pp&#10;VpC0A/iVTm8uFhaVZGbnwDFAGJg2JCUlRUVFMfcwfvz4QYMGwUOsWrUK+pGTkS8WyRqacObD4ubW&#10;Mrk8S1KTWFIQkpaw7+D+r79e8+nM2bOGj5zi3WOcvcska7sFVo4rbNwPdvWKEfSqNu+vthryk9Xw&#10;382HnDYbfMZs0BnzQWcsBv4mGPS9bX+xbW+hlc83li4L/5+ug20dRnXvOXn6tC27d2WXluIZlclU&#10;h+S6w5pDJmnk4HgJ6OTaQPlOrw0gsrTM7CL6QTdwVufXBlp5Z0AmsNww2Y0OImIz8TGQ7GJagvzB&#10;XZbRzgnWlS1uIH4CUlFSLsovKoFaZObkQW6T0jLi6ceR6IsUSdBgqIWwsBg6AYXAvcBpWw4daW47&#10;zPoASMQoa+Mn2vCl1y1DVP/WTWkvCe3ANhIgUUgRsUdiSVFRUVpaGntRLjQ0NCAgYM+ePRs3bvzk&#10;k09mzpw5ZsyY0aNHz549e+e2PcLMkoYGtULVWi2V5ZWXRyQnbNq6edmSRYsmTnx/wMDZLj5zHD2X&#10;2nuttfbcb+4RbeaTatlL0qWvwnzQz+/6/fHukEtvDz7/1oDzb/U/bT7gjNXAk9YDfrQZcMS2f4Nj&#10;vwKb7hsEbov/18JPYDfA0cVv8OBVa9ZEp6ZV1YjlcnWrXKdT8v4GjleAN8g3JKWSpvPC0vIa6hsQ&#10;eZOjOAATJjUCd5yphVRBPrJdVScpr6zJLyrNLSB+IjE1HaoQGRvPuq8hwxnZuZAH1n1NP5dEerCN&#10;NgLnoSusgs++5EOu+/e14alonxAj5AqlWCxmX4OIj4+PiIiAQgQGBkIeNm3a9Nlnn02dOtXPzw8K&#10;sXL5p8EHInJzi0vLqtNz8wLDwr7ZsG7uzBnj/AZO9PQebWM/8x3BRxaOX1l7Blt3L7TsU2veT2rl&#10;d6LL4F/Nhl17a+iNfw259T8Dr/xvv0v/7Pu7Wb+TXXsf7uLb/K63sot3haVvZlcP+IZl/7IaZGHd&#10;w9K6R48eCxYv8Q8Lhw9rkqlalSia/EHleAXo7NpAma5dfwP5fGZVLRmmBIbCDiYHcvyZNtBGJ+Iz&#10;sAPuPjIQdF9dV19VK66ori2pqMwvLs0RFsBJZOflMz+RnJbJkJqRnUU+tVoGnWiijg2Zj3uE07Jz&#10;su5xnPllaoNKrZHL5RKJpLKysri4ODMzkymEv7//9u3bWePSlClTJkyYMGXqtFlz53/x+Rfbtm7d&#10;8tnnS6e9v2CA33zPbovsXL/sav/NO3bB/3KINXPPtfCVm/X6463+F94acOmtQTff8rv11uCb//K7&#10;+pbf+XcG/mwx8JjVQJlD/1qrHllmbnFv2Yf+y25PF8ftZi7L7TznW7kOsnbuZmHbzav7vPmL9h4M&#10;yhLmi5ukWl2Ltpk/pRyvAJ1TG0A9KPyIJ+Wa5ia5sqRchJoskJtfVF5ZDV6Tq8hYphfBRK81kCF6&#10;6nwcyEzca0Lieh4nTU9MXHEIMhxWTNwghVoUl1XQ4UA5cYkpsBGhEdGhEVEp6VlZucIS8tHV+kY5&#10;6bKm1sE48pU4BroFgvGStIF9DoK9+dzU1ASFyMvLgzww64CwefPmlStXLliwYNzEif2HDB41cuT0&#10;qdNmjBg53N1rrLXdbFvnlXZuO208Q5x7CJ36lrn7NbgO+c7G78Jb/a+8NeDqWwNv/WvQzf8dcO1/&#10;oRMDz7w78KhZX13XXpWC7kVdPePfcQz4P5Yb/19vrfn/dlnzT8FiO4+F9l7DHDx6CBx7evdctHhZ&#10;QGhEbmExtEGlRUHjvoHjFaATawOJJ2KIFalCXVZZnY1aba6Qvt8gEpNWJeItXgQTvdZAhphwKANT&#10;WZarAN2NDFdtbjvc3HaEvd2GpwJZXStpgJkoLhfl5Bemkyk6yHDYVGragMwcYV5hMX6FTMC+NUhZ&#10;Q5NWP7pJfwnTWP1NGFPRHvpPBbFZuDWaxsZGkUjEPhYUFhYWFBTEBrZ++eWXC5Yvem/25AkTR00a&#10;N2JBz94f2jt90dV+j5lL7LuuFW97Si16nDDr9YtFn9Nde114p+f1f/W48k6vK+/2PmPe73ezvt8J&#10;+mus+1VZ9Uy39Inq6r7Lyn2Hlds3ApdlFvbjuliMetdyZFfBMGuXYTbuPQRuHuaOvTx7r1y2OiY2&#10;qbiySqKQNzWrpTo+OSvHK0Dn1AYiCZTCiEgY3osWFhZn5eaDmwpLympReSXaQGqsJse+4aCk/xiH&#10;MtC8Im1BAFtnymrcn/5EKv6QB9B9o4zMQV1dJ6moqimtqIQkQx7gJKJiE6LjEuKTU1MzsrFdVF0H&#10;LcHO9IlqgSkxic9zgTEV7QFtgCQg4HGHQsA9NNBQXV2dk5OTkJAQGRl58ODB7du3f7V13ZINqz7+&#10;ePYHU9/7pO+AlT49dtv7xNt3L7PtrbXq/Z2g31nzvufM+1x6p+eld3te7dLzYtde5816/WTZ+6h5&#10;L4Wgd5VFt9R33ALectz+P9ZfvmP7ZRf7FeYOc6wchtvaDTQX9HrHzOdtge+7Nt4WLj7WHsP7jVj3&#10;9ebMTGFVQ32jWtXUqpE2k7LGwfGS0Vm1gbSBGLUBhFVZU1dQXJqdV0D7SEvAR+SDaFwbnsCfagOV&#10;B6YNBPqsI612eBgoWDteK30lmzU3tcjpxNQQCbiEguIyZH5Ccmos+YJpSgI1E1nkjevSChiNRikU&#10;BZegD5hprP4m2ifECI2WTOxKZrIzTOyKdSwhEpAHoVCYnp4OhYCH+DZgxxcH1q9d+8ni+dO3jxwT&#10;OPK9vO7D6twGH3YcfMZywCWzfg/e6vngXz0e/k+36293O23h+7OV73ELb5mVV625e5aVe7yV235L&#10;l/WWTl9YOC62dl4kcJ5t5TTGztHDw8XV0dHOUmDfxcbd2mWg54CxA8Yunrk0PDC6UlRXr1Q06dQN&#10;h9VNbdw3cLwCdFrfQFmGzpasa2mSq0A+sAs5QqYNxTViog3gNa4NJqDa8BTgpmNJFYKC0KuexOkO&#10;+j81zW0QBmOuIvNxI+QqbX2TDApRI64vr4JIlGbm5CWnZ0bFEQ8Rl5hM3zupYJNc0bOxE1LouzQM&#10;fz4GfQT+IwznfAxEvXASjZZ8DhpSoSPTuGJdqdZI5UqYGVFltbCgKDU9IzQyfM+BvXu/3bz588+D&#10;Fi2N/mhp/rT55cOn1vccc9R56I+2A6+/1evmv3o9/J+el97p96PFIJWjX6193zAnn71WTust7DaY&#10;2281d95m6bbT2nONk9dKW9cptjZ+1taOjo4Odg72Nvb2AntPV6/xoyZ8vuKL6LC4wvzSpkYFe4Dl&#10;Wo1cw7WB4xWgk2uDpqUNKWyUKaENRaVkFtL0rNy8giKQFOv2pMkxPZzjuUOqUCPDIRJNChUyv6is&#10;Iie/ENYhNiGZyQPuS3GZiH3jmg11xe0j9E0fMIMYmOD53zvqh4h3wfkbpApRNexmWVZaVmJEXIx/&#10;UOj2vXHfbIr/Ym3uklXF7y+oHD61rcfYI27DrrzT5yq04f/ucfaf/dreHVpqPyTZps8qR7eF5oJZ&#10;ZhYfv2v19Tt2377ruMfM7Ss7t0+s7EcLuva2NLOzc7S3d3Jz9fT16TF06IilSz4JCQ4XiarF4gby&#10;0SVNi07bqlJqlfz9Bo5Xgc6qDfq6LRlzCW2QK8n4mXJRtrAgNSMrO6+gqlbCteFlgqo1aZWCPECq&#10;6+obcQvgFXLzi3BH4pNS45NS6AsoOTAWtAdCif3xdOEGUSNCXaApnv+9Y+fEdQE85A1SOaJaXlmZ&#10;V5CfnpoaGx0Vf8A/etv2xK/WZiz7NH/u4voJc+uHTT/sNbrZcfCRLn0au/YVmg04YNNzbVfXsVaC&#10;4WZdh1maT7QQLDC3W2bmsNLMaabAfrK5ZU9BFw8rM3s7Jw9370EDh0ybOuOz1V+GhUaWlJRLm8jc&#10;rxqURW2rFs8n1waOV4TOqQ2IJKMP9qdMqa6rbyqvrM4RFrJP2Yiqa7k2vEyQxihjexQVCTB+E/mI&#10;dwMUIiM7D/IQFZsQER0H5S4pF9WIG8ibEGodmb3j0SczTfACtIE2YbX/E1cBXVeJ60pKi7OyMjKi&#10;oxL270/asDHni7WilWuUcz5RTPno2ID3W7zHtFoNqOzSO+Ff3de/5bTo/zLr99a/Brz79mCBxURr&#10;23lWjovM7D96y3r8O2Yj/vWOj9Xb7tYWbm6eg/2GzZu7cMuWbQnxyZWiGqYKJlDzufY4XgU6pzYg&#10;how+SKMEfRWuvkkmqqmDNtBvgmZVVNVgI92Na8PLAKv7Uzy6L3h4ZEpNXUMTxCBHWJCSngn3EJeY&#10;DCchLCyuJJ9SJuOXcI8MYmCC53/vjALGnnNsgfWUt+jEWkVFU11+TVlmYU5cSlxESEDE3t3RW7cm&#10;r1mfuPLLrDmfJEycFzVw0g6voZ8Kuo0zs+/9P++ad31LIOji5GTd3dlxsIPzMCsHv3esPN9+1/3d&#10;d+0crNw9XCEMC+Yv2rFjd2pKRlVlrVSqgFeCUWBQk+/HNcM6aLWmkeTgeAnorNpArAPKOa0GkkaJ&#10;RvKZF0lufmFMfCKsQ5moWq4iSXgR/MLxJAzaoOd0A7MTbWbKXVkjhoHIKyiOjkuMiSez+OXkF7LZ&#10;1A37P4nnf++YpzFqA710i7K1Rdama2hW1ambKhvrCiuKs3MyUmKi4vwPJGzeHvv1xvTlX8fOXRE2&#10;bs63fd9b7th7tLVLj3cszCy6WAi6CmwtnG0E3QU2vbtY9fjfrk7/fNvD3NKrm8eQ4UM+Wrh47x7/&#10;rKzc6uo6uYzMusqWSgVRCL02kC9G8EeU4xWg82qD/qVoElvEs0muqpU0QBuiYhNQOS0TVclpEugO&#10;psdyPHewe4GnhT4wbPASeb+E/ErfsoYE1NU3VtbUkSFMaZkJKWmQB6zTV6kbaAMgzmCC53/vWNsX&#10;Yqilb1rgKqhDKLQaVYtG0UrQ2KyukjUU1oiyCvPjU1Iiw6KCDwSF7Tiwf922rcvWfDF9waLB40b1&#10;GtDdzdPK3bmrs9079gJza4GjwNbN3Ma9i8DJwrqnh/ewsaPmLFy4c8ee3Jz8hnpijjSaZoBJAuuF&#10;1ulof4NKC7SPIQfHy0GnbVMCEFXEkLRZk++9kGGUwsLi8KgYyENJuUimJK3Yenp6RUAMwT40tow0&#10;ARJzEnkSf337BpIAGI96PaFPI0smkkadBG1JN2yBAEAhqmolhSVlqRnkCzwwECkQCGGhpFHK7hfO&#10;w9SF5htp8GHr7UAu9DegP5yemdwgclEyxFWj1Wi1Oi3KiVStkigU1Y2NxZVV6dnC6NiksKDoA3uC&#10;dm7a8+1nG9bOXz570oxhA4e69ehh4+ZmbmdnZW3rZO3gYmHvZmbnZe86atCIjz5avGPnnpwcYV1d&#10;vVKJM7dQf9CsVhuEgWoDlry/geNVoTNrA1YQQyYMWGmSK/OLSkMjoiOiY4vLKsA1SAWlG5NjXx7a&#10;awOWiAyiBJDtjyhPLxLtD+zEIAOO6yTCwhK4h7hE0v2QmJKWX1RSVlldB3nXjyAgL9yRzKGZRvG8&#10;tOEpaFE3H1Hp2gC1TkdemmtWNrfKdC1ihbq4WpKeXxqbmhMclbQ3MGrvzoBda7euXvbZh9NnDxk9&#10;1rdPfyd3b0dHN1d7Nw9btx5OPsP7Dlky5+M92/ZmpmbXIzlSJWwB0wYIA0yDXhjagfc3cLwSdE5t&#10;oPRhrHrT93jVWkkj9Q3RsfANTBvor6+Sc/XxpNGg/kbDQBWCUB7NbaOleCNg+KZQY2lFVY6wICk1&#10;IzouAbcsMSUdgkFmcpWraP6Q77sBpM2HWhBko0FlnzNaVc3fK3RHAGVzm6qlRQUqb1VrWhXqlnq5&#10;pqpBXlhZl5pbFBafejAwfN/2fVs3bFv7+TfLPv5kxpQPRw4Z1du3j5eLdy+vXmMGj/5k/rKgXQEF&#10;qUKJSCyTKZUKDewC6XDm2sDRwdBZtUFfi0RUWdUSpgG0kiMsjI5LjE9KpW1Kr36cEq5OJIFOQ/QY&#10;DLNQIOaE9Qw26E0ATTLRcvrqWS2Vh/TwqJjImPiU9Kz84lK4CtxNZA7TBuxJDqGOgcHkhH8fbarm&#10;o4rm7wBlyyEV/mxt1rRpNK0qTatU3dKkbq6VEQORVlAaHZ8aGhAW5B/sv+vAjk07v1y55qM5i8aP&#10;mtC/54DRQ8d8POdj/237CtKE8qomTZPmUQuSrpVrA0dHQ6fVBnAHIslii5pmjZiMo0/PIvP5pGXq&#10;329gymFy7MsEeB/2pVGubKTfakY8WUXYqG2E7KiAvQjK66igck67H2D1cKeKy0SpGdnwDbh3sBHZ&#10;eQVlompxQxNrFTTkDLKI9Bu/CCMIlwAxMKBVRwi9BZV90rik1QJSrUqikIrq6/IrytPy8pJT0qIi&#10;okP3BuzcsPXr1WuWLFoya+68xStWbNq5Mzk1vbpWrJWrWzQtzbo20qlA+xWgDexthvaqwMC1geOV&#10;oJNqA4khGwlD2pTEjVLwC4QhOS0DdU86114j4RFStl9lmxLThvom8lnmqloJAHPDPlkqVaplxEOQ&#10;SvEbpQ2geHbXYJ6aFCq4B0mTrExUlVdQhNsH2xebmJyenVtQXFpb34hfcZeNUvqCtEGtadVo2xig&#10;ExoNhKFZ19zaTBwFKTnyZrVUqxQrmqqlDaXiWmFhYVJiSkxwRMCu/ds3bd20YfPmHTt2BwdGpSYX&#10;lJfVS6WkPx3CQHiftCa1R3tVYODawPFK0Dm1AUAMWb0S3FFFW5Pik1KAzJw8EE2DVI6fgBdCJX8Z&#10;yExWO66oqi0sKQf95eYXCQuLoWSoGouq62B3wIzETxCXY3p4pwS9L5BDItsKDWk4kirU7PUU5A98&#10;Q1xiSlJqelpWTnFZBbIIBgJSij2pqOh7aJ4v5M1tTa2Hpa2HZK2HFC2timaUmWY1gU7ZrFLolFKt&#10;VCwXl4vL82tK0yuLU3KzYhIT4sIjwwOCD+zfv2v/3h0hBw8kRUcIM9LKCgrFVfUypElDxyCRdiRA&#10;Q0qeqSowcG3geCXopL6B0gQThkaZsryyOi0zOyI6FrRSWFImaSQfuGeV01ddHyd9IfVNMsQwOy8/&#10;MSUtOi4hMiYOy4TkVBid/KJSNr8Q9jG0rZOGJnYgAxKLu6BpbtMP6NTp56dj58fONDdIYumSAFvI&#10;bo+i0YHA4snuCyKJdWYBm+Rk/BIUNDNHCAPBFALr0FHitAwjkllW0EeUjEEwno0mnGxhwvNMz60C&#10;Eg6FwDkRHx0RLZKBWp1Kp1NoNXK1ql7WVFpZnpabGZWUEBQbExIVGRoZGRkeFREeGRoWfjA4eHdg&#10;wL7wkIDYqMjkpDRhXlllpaShUaFQ0dnBtWqUJiIVWg3i/zSonwHNHO2h0cLzkfcHNbpWrQ7rrWp1&#10;swo/PXGXOUzQObVBT39a0mJTK2mEHoBHoA2odYpq6hBtPWl2AH5EVBtkisqaOjpqMyMmPjE8KjYs&#10;MjoqNp7KQ05OfiHiX1JeiZhX19WjmgzTQzsnlBT6KUuNnIhE0XV2fqM2MJY0cuVr1r9NZV6LxEIG&#10;Sioqs3KFCclkDlcsIQ9FpRWVtWJxoxQ5g6Rhf+I59L6QyT/JBKox5Dwsu9qf/9+DZNdTQT9Q0SDF&#10;7RPn5pPpWHDjgmEXyDs08biVWOKpCwmPPBAYvPdAwF7/gweDQrAd8S8tr2hsbFQqlbS4kY8LsUC+&#10;I/FfB+pFONqDdepo6esjZAlhwAPAteEvoBNrA4knyAKsSrug00C1OcICSAWTBEqar5gcEQHkoVSh&#10;ltDv8peJqorLKuAVsvMKQB8Z2bmpGVnQM8Qc8U9JzyRSISyAVMBnkJ6Jhibafc1eCmPagNM+shQU&#10;1Cvox3caerYN68aYdHCwOCMh8AdINZJfUFyWmZOXkp5F72wafGFBcamouhY2EQaLJZzeXwImliy3&#10;AdC6yfn/PR7TAyNoTkLXK6pqIQyICWwfltnCAti9vIIiGEH8CQGLiI4LCg3fdyBw5559u/f5B4aE&#10;RcUlZGbnVFVVQR7YB4WgCrTcPRKJ/ybgNI/3XnC0NB+CPGCFtd2RsWF4Kl51wX8tQJ7wTqkNDLWS&#10;BtQrYxKSQB9gVXAKuIMyRRuhGz1Lmh7+0sDYijZ0kPosiI+2rZPZSUXVddAJxBmSEJdIPnKAGijq&#10;obEJSagrg3cKS8rLK8l0Q/AQOArugVSTqUUg/dgEpCub1Z2xnfGjobmJ3ER6Kx9FpuODiR+yC4YJ&#10;LqGwtByqj8xBziB/UjOy4b2IgSCSqUSNHgyOm62gT6lxDgwKknwK00s8FYajHgMOR/ZW1Uog5PQd&#10;vRTclqLS8hpxA8wNm/+DCpgQvyCGgSHhe/0D9uw/4B8QFBQaERufmJ+fLxKJGhoaZIYgl8shFf99&#10;UAL6qfo4GKRNCjwNMqlSLlMB7C10zRO3mONJdE5tQNEFOaJOBzFITCGtSWBY1MrBGijPepak5Ngh&#10;+JHGh4L1GZAmFEJ/DU3gl5JyUX5RCeqhcBLwDRCGpNR0IDk9E64iIzsPOgFOhD3CzqAkSaMUiZQq&#10;SPc1a1tHSnFyVs+loOz2LOT4ykHkzeCNaBYRTa2RNJRWVEI+kRXxxFqlIlsycvKEhcW419BX5AOE&#10;gc3XRGEwTPpM+KvJNxz+GBABuFJ4uPikFDgDVD5wXfJqHnKeqDLp6IJOICYFJWVwEmmZOfAQoRFR&#10;AcGh/oHBQSGh8fHxubm5lZWVEomk/rkEnEbSxNEeNdXi2lpkcCOAWgO2QCF4m9JfQWfVBtKaBK5E&#10;0QVlRMbEgVhJjyX5JID+pQe2218niBcDFhN9HJg8YAWxQt6CX6BwIDikBahvkoNrSigbQupgIEBJ&#10;AcFhwWERkTHx4KaM7Nz84lJoCVIKXamXyiEwhh5sHR0R+8hJvOqEPxsQYcCYUSzTSKKUGvox6mrk&#10;Carn8FXICuQMPAQEFR4CportxqwVbIRBI8HvfzUH2kuCEThbVa0Yao2nKyY+Ee5BVF1LhwzoPRyW&#10;yH967xRArYT0lEC6omITDgSF7PM/EBQUlJSUBPdQUlJSVFSElecRcB6ORygoKC4qKi0uLissKCkq&#10;LK2uqiPvoj9xizmeROfUBoB2QZfn5heCMmLik/KLSkETrDeS1qbZYB6SFpMDXyYMJAWQmBi1wRCx&#10;R6BkRDpjQYXgIGge7EJaZjYqrXGJyXGJKfFJqbAUsBFZufkwGajDkh7sisqKqhpoZHVdPSEpmYLV&#10;anHj/jozdgTQjGJZgT9phugpHo8iqb8jmcRApGVAGICEFNIDgbtfVFqOn9hALzA1rRkweWB5/thV&#10;/gyGe/QYUM9A9iLnQyOioUVlomomDIgPrsJA85nsTJq2SFOYCvcCNyg6PjEwOPTgwYNRUVGJiYlx&#10;cXHBwcF79uzZunXrlr8TNgPbOEyxZdumTd9u2vjtnj37U1MyYB24b/gr6ATaoC/hjClYgUfEwIag&#10;BtoIk5GelQtrj3LLimg7ZiRpYYe/EiAapCZL6IPG5CnaYNyTaAMAZgfHwUPAHNSI60U1daTVorgs&#10;R1iYmZOXlpWTkp4FLQSgGYwioSJ5BcWgyOo6CWiUVp9JDwRpb6EMiziwaLBrkT8Zo1FSw87GPQ3Q&#10;/2SM3ssFyRk8uCzaiB7yBBVz5AbSCLuQmSMEWdNMSIRrTM3IQi2BNLiRNyFIvz3TBhxLs521U5Ez&#10;s9S1u5Ae2FmfagPXQxjwgCFXY6h7gyTjT9wdcmZ9xPSPGT0z2UKXOhwItwF5iIqJCwwMDAsLCwkJ&#10;2bVr11dffbVw4cJJkyYNp2EUDSNGjMD6SEMYSgPbgp/YxifCGI72GD5sFDB06IihQ0a8P/3DHTt2&#10;V5RXKV/7WY1fBjqHNpDyjIgRwqLN6yiBoIm0zBxUq9lLUuxF6McPfO0BkmLdKjXiBqSX+aSsXCEq&#10;s2DG6LgEIzlCNlCtLiguhZBU1ZJXrxlQ1YVa0LE9bFZafZ2aUj+RBMpxZCPlOyoYbElXTOLzSsCi&#10;xGrrfEmsDQAA//RJREFUuMVIFJukLzElHTkQRTIhSe8hyshQV0mjDI8H9jRyt1EYSHr/ZAgT02xc&#10;BU8XrlhX3wQ9pg9YKowpRALXpWdj0m4KbQuRH5qZRB6Ky0SJyanh4eGwC/v379+xY8fatWvnzJkz&#10;ePBgd3d3Z2dnFxcXLO3t7e3s7JycnBwdHT0NwYcGLy8v76eHbhzt4eXp6+3VDfD08BkyZPi6bzZC&#10;G/g4pb+CzqYNKL1yNflUA4oumDEyJg61SNTUaIWxQ3DZcwRJMu2WgJOQNEqhEJU14oqqWmhhYUmZ&#10;sLAYFAmpAKANqZnZSanp7OVweClszCsowm5loupaSQMEhrWSA2xID5MHkmlkkM8htg5aZA8AoVS6&#10;2ysFiYleG+irjkCjTIGsAFPDKcBDEPpOTkXtPjYhCWqBCj4UlPon+rVRw+EMf0UbkHws4RKy84j8&#10;kJ6NvHw2YAxnaH9IO+hbC3FyXA6HQ6Jy8oQJCQmwDtCG0NBQGIh169bNmDGjT58+kAdIgpWVlYWF&#10;ha2tLUTC1dV14MCBzEyMHj0aS+ounhrwE8cjDBs60mgdpk/7YMf23SJRNdeGv4LOoA2IEpLBaAIE&#10;h4owyC5HWBgaER0eFYsKI6SCFsvO90AYqY0MhEXaWacr6wIVN0pBguWV1RCAvMLilAwy1j4kPCog&#10;JCw4LDIyJh51XhAcJKS0ohLySbqvm2TgVpyHQt9ojhWAZLIhnynT6enyFYJGiZoYlgM0EwCs00dU&#10;B5GgA5kKYZ6iYuOjYhOQA+nZuUWlFSB3GAgkFoYJZ6CPMTvbUx8SkmRoJD05vJoGesra7jKyc3EJ&#10;5BsyisnnE8eSeGIJxaUr5FT1UnlpWUV6ejp8g7+/f3x8fE5OTmRk5DfffPP+++/DPcAWMHmAaYBL&#10;6Nu377Rp0xYuXPjRRx8tXrx4BQ2fPBmWA6s42mP5spXLl6/EyrKlK9asWRsRHl1TI+ba8FfQGbSB&#10;1HANb7qCGWsljaLqOrBeRHQsSi+IoEmuojzS2R4IpIjxESE1ap4IX9OXvEi2UBYDbYEHK6pqistF&#10;UAhwmWEUbEZqRlZ6Vm5aZjZoDtVfeAvsUFRaTofDiuub5KBClm+4CqwDOznObKTj9pF5+aBxoKAK&#10;YQDJB2Z9oHBIPuxUUVkFngek12ibkFgiiqIq6AcOaTl0pLntyJ+pHXbA0wVQ7SEjAnBgIpngJDE3&#10;v6iuvgnXpRnOZOnJw8mv2tZDpLCRr40egrWthnXIyYmKigoICIiLiyssLMzPz4dIbN++fcmSJWPH&#10;ju3WrZu9vb2Dg4OHh0f//v0XLFiwcePGPXv2wGpE0ACr8bQQyWGC8PAoLEOCwyMjYrKz81AJ4v0N&#10;fwWvvTYgPogMwEovaoLgwYLi0vQs0tmAJXQCFAkGYazRmUDSTvnIyJLYwogS9wi5gRXwYyPtu6Z+&#10;QgWuhHZW1tTBT9A3xnMSktPgIeCxQulEHahZg0NhtrADeBOH4xHBqYgAk0vQurm+hv6K+2/Yfac5&#10;YFQFPUg+GGwEACMFV1RaUZWVl4+nApUG+Cda688rLqtgb70Y89DkKgDSTocJEG2Q0bkRYcXguuIS&#10;UwpLy+nblERUWBa1P5CBbmzRtR7CCs6ALYitpKGxqKgIYgBtCA8Pz8vLK6cBK2D/zz77bNKkSXAM&#10;NjY2tra2PXv2hGM4cOBAdnZ2dXW1RCKpe2qoBeo5TCCuawDIOmS8UU7ejn7iHnE8iU6iDaiIISao&#10;LTbQSTLSMnNQNUaNGGUYJZlw5av3N88fSDvlRALGO4wuKT8SLmP7MJakfxIzAR5skJJG+RpJA5iR&#10;mok82AiQJhsOm5qZDc1gHRLFZSKIa3WdpJ6+YwGSpUJLhusYo/GqwBq7kDQkisaHpJqCaAPLFrYR&#10;K8xDIC1IL5xTNP0YdWJKOpxTPqxlVS14A9mCExpO8giU3A3aQN+ogOeAhsJ/4EiIrmFPUjQM649A&#10;DyfaQA8nTViATKECyycnJ4PxQ0JCIAmVlZWgd/A+1rHliy++eO+993x9fV1dXb29vSdPnvzVV19F&#10;RkZCP+RyuXEipscCyu4T07i+4WAzZ2AF3hAg0ytpW3mb0l9BZ9AGlDRU2RATAEqQX1QSE5+I+m+O&#10;sABcgFoz4tkptcEAVk02ygO9Kabp1e+DX0F/hj4JBfwEEQkxmaKDvYANx5Cdl8/YMyI6DgQK80W7&#10;W6sra2DH2Tf9WW63sYsCjO/ovYDJ0L/d/aLBEmuIwNN5mYGkmnacwCCwbuqC4jLoX2JKGtIH54T1&#10;otLyWtJFDe7Wn4clh2Zds0ZHoFRrpHJlTZ1EmF+QQg7KrayulStVj6ZBJXu2EpDpPykHAcguulGJ&#10;aCg1KnWzCtFWaiADKSkp0IbQ0FCmDWKxGLwPhRAKhZCHTz/9FPLQo0cPR0fH7t27jxkzZsWKFUwe&#10;6uvrVSqVWq1mk2WwqfbwN878/KHR/kU06Q43adoU8JoKpVYhRyKbVSqFQov/5Zo2pbZNRfIBFKNF&#10;Lqvg1bBd0SyTN6P6JtfoZBqFVCOXamRSjUKu0Sg0sGKHkas4s1KNzMcD3KrQ6uQatVwjl2tkchXu&#10;hlwl16nlh7Tyoy1KVZtKpgE1QYPVh6SqtiZVqxxXh7VUqf//7P1nvFVFuvaNfj0fznue8z7Pu59n&#10;7+42BxQTBhAVFQmKGQFRRAyYRZSoAoqCkmHlnHOYK6+5cphrzZzTSmTRtrOdu93dau99zr/qnmuy&#10;mIANEgR71u/+jTXmWGPUqFGj6rruq6pGlVqJKRAkj9xuX7xN6UTsvOcGqr0AE/RAqqje1bUN6Vk5&#10;eUUlza0dYJn+2suvisdonY+bGBnCG5SWEHATXBSSaGhuxZuGXDNz8qEHlARUUdvQDHPgJqMhoBMR&#10;EBqaxW1XpUJMcwPxRzquudH3Xkh0IiN9JxQSu8uDSjC2d6KNissrc/KLcguKUJkc0eQX4DTddazK&#10;FY8QDA9QJRT4+nwOh6Orq6uurq6iokJaeHDh1TR3OgQV8o16rKPr9shPtVQDtO0PB8guL4DlhwnQ&#10;DdKmVFtbCzfYbDaJh53m5uaMjIwlS5bcd9991113nagHqOKdd97Jz89vamriHNLDrWEIkseOxwvo&#10;xT77aTANDSdivUOH+gYPuMkGr3vEY93jde4Bu72Q4rA9dMAZ3usKD5MNwLvfC4+Rn7s93t0u715n&#10;cMg9OGQfstuGrLYhs23I7hgMugb3ugc+5UUEwyFPYNgdGHaFdjsHwo4Br2vI4hrq9wT7PX5bwD0c&#10;dn06ZP/igMdzyNsf9gfJZFvoE0vwoDlwwO0b9PvCcMawzz3k88BV5Fb827cTsfOeG9w+/AvlPzo9&#10;PrvLi29bVVOfkZ2H5G/vQu/7Rr3aCE7FLWoaKxX2iZuvQdOL8Orps3T19rV2dsuMsPBCqV4vj21x&#10;WaXqw2lobuvqMZmtXEL2cq2qwANUexUn70I4QyLXLfVnQ0Z8i+k+CfXJG+khVaC/9ED09JmbW/Vn&#10;Cno6pvLqmpaOrig96GKjSk4wFBZugAbsdntnZyesUFhYWFxc3Nra6nK5wuHICX7/kTOhCj3orUwZ&#10;rfaJGZfZ40cflJSUCDdANtAMtW5gYIDYAH1uROTJyclvvvnmAw88MHHixPHjx990002zZs3iSEpK&#10;Cv+FqKK0RPACfEc9+2mwIwngW8w0eMA8uM8fDg8GfXt99hG3Y9jlCIb2+EN7baGDtuAee2DQTS76&#10;nR6PmlUw4B8OhnYHw3v9g4PegZBnyOEZtntH7N5ht3cw5AkNe4L71NTaYZ8nMAQ3OAP7nKER58Cg&#10;Gz0w5AoOOwCAgcDggHtP2P7JXo/7gNeCfAv4Q47QfkfooHPgkDcw4vcPEMEAHOX3qcUcKJBxN/EE&#10;7AfQphTW0KO+dwPXOntMVTV12XmFpZXV3XqphtEUxktDrI1ygyC7DHBSAgKZBeOyY3d7UQmgZ21D&#10;kx4GWgTpIiYKSsrwuI1tnag00RCKoSODaNU3dIobQNVR0fC9FxLhBsqApIQH5yesRlKtasHRXkN9&#10;Y3mVoazKAB329FtsehamqEW5QXQDDj5QDjFADw0NDX19fTJ/KswB7I3VBxFiiHID1UsvEA03uFwe&#10;4iGGxMTErKws4oEqoJlRjoFkgkTHcejhjTfeQD1MmDDhiiuuuPLKK++//37UQ15eXltbGxRCXeXu&#10;gyqcGQ4+kgC+xfoG91sGQXOKFNxggxuGXA6vb8TtH7EED1iDex2hYT9UO6iWNPL7/AH/gD8w6A8O&#10;eQJ+p9/tDJpdIbNnwOIdcHhDfrd/wOUddnmdbp9Dc8NuZ+CAQ0Wy2xn2OsMu34DNH3aq9Yw8g2H7&#10;3hGXc4/bHOGG4H57cL8tsM8X3B0IDkO2EPKA5oZBmGvs08XtOHbecwOJCQ0Okwyb0w2QGds6qOR5&#10;hcUwRG+/VTMH6QyTVMHBuEWNV6kdfC2qRr17VSA0hvKTHNMN9Mq/rm9qgQ/I2yK9EkZxeaWICdXY&#10;1Kq+n8MN1w1NqjeCCFUM6mNgRdvEo4tNbALOmgnE61SpJEULLTsctAPTfea2zu6W9i78CdhitHir&#10;YoMJNwDWgtdmsxlQrqqqgh4qKirq6+tRErISA5AuU0NHlgoY5QZYQagCYmDHhT6z2FpaWsB3uIEt&#10;+1ar1ePxcAuhGe6IgOBexJ+dnY1WeOihh2688cYLL7wQ9TB37lwIIzU11Wg0cg4XKrRVqHj4qU+b&#10;HUkA32LWgWE7yBvwDAVcB/z2A+HAwYEBb2i/O7jfHDpkDu634vXz76CXWgszeH0uv98ZDDrDQXvA&#10;ZwkFzAMh61DYOTzgGQkHR0IDw4o2LIFB28DIwfDwp57gbxz+nyuDJ/hX0OYNWkMBy2DQMRL0DPl9&#10;QwH/YHhoUBW8PZ7gbqd/2BfaEwjvVWt9I9r8ASxMNsWh4ATsvOcG3FuSREp0H6P6zgtWqKhW03Di&#10;0up/KV8YYyfm2n9xI3Ok8UejuWr/0ZSg1IOguWSsVhIyiZPLZLa2dnThZcMQyIiU9Ew9FhQZ0Qiw&#10;msw2mzOymAQxSNmQSNiOvfVZN1Vo5Yl0SlRi5KkVBYbwTwMwBEbB5ggqisTDczy1IjyPF/AFssFf&#10;sBvvHq3Q1NRUVlZWUFCA719bW2symbRqCCIhPG6/14PIUO1L0Y4HaVOCGPivxWzv7Ow2GAyZmZkp&#10;KSmlpaVdXV3i/uvaB68oz3pgAGfXB2fAPenp6dADigHdcMEFF4wbN+6ee+5ZsWIF/MSthU5cLveR&#10;T32a7EgC+BazQLTBUNDnGvTZ93gswx7nEJIqsM+NaBj8mW3wU/vAXlcw6Pa7g+Gg10+aHfwaGsTt&#10;dwZ8/cNhx1DIPuB3DPicugkogJj1Bc2BQWtwcJ8XHeD+3Or+mTPwK2dwnzM44h9wBsKOgbBtMGgb&#10;9juGgoEhXg/QpCo70MYJ+9z+Ybd/yBcYCgQGA4gx6NvtUYuwxjxj3I6yHwA3RJqG5XPonj5Le1cP&#10;6gEH0OnxkVQggNSeA/B0DpqSCAKX8lp5m8AiZABnyBF1jp6VT7/oAXIbxoWDkRGqmb6kXEa+FpdV&#10;VBhq6xqNTVBEbz8UYtOz3kqeq7ucA2166kFG+0JGS4UMuBKJIASpUgtVyOpyLe2dWHevyWKxOBwO&#10;wW6AG5XQ29vb2NhYUlKC1w+4QxU9PT1Wqx1NoNaQgRu8EW5Q9KC5QfWCeoN2u6unu6+xsbmoqAjH&#10;Py0tDQnS398PuBM/4AYlcAvREOxDEtyO+GVg65w5c26++ebLLrvsuuuumz17tgxsjTQuuVxjn/e0&#10;2ZEE8C2m+hKCngGvxW/psDRX1ZcWF2VlJ2RWZBQ15jfZ6vtD3d5hB4VhMAxKww1+v3kgjNff5TbX&#10;dzcVNJbkGvIyS9My8xKTcxISc5MS8lITUzM/Ts3+ODkjLyG1ODmtvaDE2di6v8e82+za4wu7goPI&#10;jg6Xo8HcW1ZT31BQVpednZeellmQlW2oqGrh5fU5e+1Bs3e3K3wgEBqB+UNud5wbTsTOe26QNODr&#10;kSQcPZeeXMhsc+LAUts5gQqvq/33j03noMW8PslJgU6higg3qDF/kR0yWdOwHRqGCPSgptqi0vI8&#10;/cUAVqtXLe3RaydoehAJIltl0XvJccFleUfR/54J0/eKEIO2w7MnRRPg1h3yOBmqcbK6prBUkV9t&#10;nfowDfdcXHsC0gEsRj00NDTguefn57MF4ltb261Wh8Puhh7QB9KyJIqBfa83AHP091lbWzoqK6sz&#10;MjISExPRDVyIOIAPJHLIAGLgFhyBG6iN/OR2RqMRmbJ58+Znn3329ttvv+KKK2666ab77rvv9ddf&#10;z8rKIoUWi5WH4il4Fuh89KlPOUuPJICo+VAIoYA3GDFfMBAIeUJhT8jZ02+srsra9dG777zy7PMz&#10;Zz8399llr65P2VnUVGdyWwOwR1C16vgDwUB/OGjyuxo6GrLyk99fu+Tl1596YuEDc+bOeHD2zFmP&#10;3jt99qxp9z982wOz77j/4Xn3Pbhg9rx33lyRmZTWXdfs6jYPeEOOwIDD4zF2dRQbKhLWbdz84lvv&#10;zZ//1KMPP7Z4wRNvL1u2a/uO8hpja6+r17PXFv7EH94TCg8N+jzIv9hnjNtRdt5zQ9xOu0mL/Oib&#10;jQD6KE8oNBeg56dZrUxnBkara+uLStUcEll5BSXllWook7EVvxsBYbY7rQ419SnOuFCFvoUyBWHy&#10;bbN0X58DFA434FvADaQ/v6g0JSMrKTU9Ny+/srKyvr6+vb0duYCPTzDrwBGQHc89MzMTAVFVWW00&#10;tnV3mSxmu93mcjo8TqfH5fTCFhzpM1lQDM1NrRXl1ZmZ2Tt0gB6InPomPQ2qUUSTBFv2qYqiIdii&#10;XaSfY8OGDfPnz580adK11157/fXXP/DAA2vWrIE2GhobyWrhOVVDIz5ThCS+ux1JCVGDG7xBPwJJ&#10;m98b8Ku2nZDNa2qsK0jetW7Z8088PmXS5Euun3r9lNn3L17zXmqFweSxhgYdynvHhR8M+npDvna/&#10;o7yxbNuWd597cfbsWbdMuv4n147/0bjxF10x7uKfXHnp/7nkyv95xTX/+/Krbrj48huvuWHO4wvW&#10;b9rWWFptau8NeIJ2t9/c119dVZG4a9vyZ5eufnTx6nvve2ja1OkLH77v5YXz31n25s7UvNKGHqNz&#10;X7f/kDOwJxgaHvK6Av4z0zHzw7I4N8TtmKbesjCBfAChCsooTyjTJ7iVSvPBEF29/ca2TllAXyZo&#10;Ki6vLFErZ6iGpmb9WZnViZhXxQbAIgaKEJePIQahje+ZG3TCQlaHu7Wzu7isMiU9a/uuxMTk5PT0&#10;9JycnMLCwrKyMqDcYDDU1tYiGurq6vgJLufm5sINeXlIiCKgv6G+GXHQ0dHd2dHT0d4NHxiq6ziO&#10;FRWWpqZkbN++c8uWLZs2bUpISCA2t9st3EDdC4fDyAUCO6qHWZMEP71er8PhgJZKS0uhh+eff/7u&#10;u+8eP378DTfcMGvWrBUrVqRnZLS0dyLXyMko10pVPSU7khIipkRDEK2g1QO3gIqg1u5Bd6elqThr&#10;87tvPvXIjDtuu+bKqy+6fto1U+bct3jd2tSqKpPXHBqyBYPhwL6wb3fY1xv2tnj68yqz31v76uwn&#10;p99/51U3Xva/rr3kf1118Y8vv+DC//jRJf/3jy/+//zk0v/vf1xw+f/+0bgrx8+a8+TbH22rLDV0&#10;tvU67R7Ytr2uNm/X9nVLX1n4+KvvPrcudc26DRs+2Jj0/sq1SxYvee6pZW9/sDm1JMfoqbPtt/r3&#10;BcMjQx5HnBtOxOLcELcYG6UE9dWIgm8cUT0yNQLfEZLQp4n7z45bfzqnZ2oyGzQ9FBSX5uSrtRNK&#10;K6qraxvau3rV2glaQEhUAl6aDISHFJCpka/fq3QQj9vu8vbICjz5hQkpadt37tquA24+UJ6SkgJV&#10;ZGVlQQVFRUUgdbFeuw16SEvLSEpMTU3NyM7KKywoKSutLC+vKi2t4KzcnIL0tKzkpDTi+PijLRs3&#10;fPzhhx+uXr167dq1aA70B7hPrROJABmMDTAEdZLjBPbRLhDS5s2bFyxYMHny5KuvvhqGePjhh9es&#10;XZudV9jU0tZntSPXoG0yNjSovjs5JRtLCaOmGpFGKQHUUDYQ9vXVu3sMzYU7NyxdNOeum268aty4&#10;S6+88PoZ4++cd+8L769NM1T1+c2hEZvqid4X9u4Z9PUOeo2u3oyipBVvPj197l333XXVxGt+fNsN&#10;l025+cYpN9564w23Xz1h4pU3Thp33Y2Tr51wx+13L3j2pQ+3JFTWGk09No/F2WNsr83N2bVm9ZIF&#10;cx6c9/r61WlNVYbG9taOfkN++sZ3lz775POvLl/2QcLGgs7i7iGzf19ocO/egDsUb1M6AYtzQ9yO&#10;MAXQCh8jy0LYnG6L3WWxO536owfe+CiURyf1UzqALf9yevygKhqiraun0dhaVVNfXlWjh7pWoyTQ&#10;ELUNTcgLkxke8RMJhUd/WqFneNW4DMecC9xAMgBWPXLXWFxWkZKWvm3bNnHzCVu3boUndu3alZSU&#10;lJaWlp2dDU/AFomJiTt3Juzcmbh1644d2xOgARgiL7cwKys3I4OT8lKS0z/auHnVqneWLVu5fPnK&#10;N95448knn5w/f/6yZcui9CDcAAGgEghURRQDPwnSFcERzhF6+OCDD5555pmpU6defvnl119//SOP&#10;Pvrm8pWpGVnNrR3QA4yuc/jMcEPA7wsF2IESMCUjggFvV2lfbUbJ9tXLFtw344ZLxl188bjLr/7x&#10;9fdddecT01/48J202oq+YH9oxAo3OA6FnYdGfH3DnhZXd0rejqWvzJ3y0OT7p143bcpNCx97eNlz&#10;S9a+vHblSxuWLHv3TTJs+dvvLV+9/p33d21PLSwyNHfa+sw+q8naVmko2rVt+1uvLn/8/qfmvrlz&#10;bYm9o9titzkG2ssrkzasf2PxC6+venH1lqVJDUmNgXbnHn94z/6gOxyMc8M/tzg3xO0I09ygZhu1&#10;uzxmm6O3X30jrdeuURPt6R5Ohd3SagGGyqAmLmGrjuiCwX9B/z49lx+ioaS8Kjk9MyUjKzNHfa8O&#10;4Pb0WRAQMtpVq4fIfb93bsBEFfGYpBAZVN/Ukp2bh2KAEiCGjz766OOPP2YHquCIbPnvzp074Q9Y&#10;Y+uWHciCzZu2wR2QQWJiCjyCqf2ElA8+2Lh06bIXFr+86OlnZ8+efeedd95+++2PPPLI8uXLUSFd&#10;XV3CBwQYgn228tG1CAj2paGJf1mt1urqau774osvTpw48cILL7z88iumTp+5bOXqguKyblM/mUmW&#10;Koo46hlPzo5kBTEP3KAmp1CNS/CEy+txuF2utsK6rA1bly145r5bbr/i/1z6ox9detHlP7ph1ri7&#10;npz24oa30+vK+0J94d2W0EDY+dmA89Nht2nQ2WRt25W+6eVnH7plxg3TZ0y4b879K99bk5dd0VrR&#10;217tbOzoa+/u6+rus3eanB19gR570OIL2wIOa8Da2ddUUJy5acPGN158a/79zyxYlf5Rbajf6nE5&#10;XLu7qlrzEpLXr1qy/L3nln+0eHPFdoOrxTrk9A2OuK16mpGjHjNuR1qcG+J2hEW4wetHLkAM7V29&#10;OKGNxjZ+gjKgP+fw0jU3qK4CTQ9qLSD2QXku11JA9WZzBHZp7+rR/bpq5TW1yn9kjVI1yWtbp1oo&#10;gnMgCWImTolhbHrOskUfH93QZ7HDbaQ2LT0ToQANwAoffvjh+vXr33//fdmuWbOGHQA6Nze3rKys&#10;oqKqtKSipLhctSaVVeXlFe7YkbB2zfsrVqxet279tq07ExKSN328dfmyVU8vXDRz5sw77rjjtttu&#10;u/vuu+GJlStXIj6MRqOMWRICEK0gzUpsdd1UH04T+JfFYjEYDJs3b160aBEco9YSveb6Bx+ZvXzV&#10;26iHppY28hZSj3nGk7YxlBA1pRs0N7B1+bxWp6PfZu0o3pq05rnXHp304M0XT7r4f17yox9d8JNL&#10;fzTh/ivvWjDtxY1vp9eX94X7wnssocFh169HnL8YcpqC5tqeuo92rH163j3XTLth5qxJc555akdi&#10;ale9dbhz72DHp67gyODg8FB4+EBo+IB/5IB3ZNgzEnQOmu0Dvb0WY3F57taPEt988b0n7n9zzvKs&#10;9TX8w0dJ3dNRZszasuPt115fvu65lZsWb6vZ1TTQ5T3oCe4edvYH1ZyERz1m3I60ODfE7Qjj/QLT&#10;gKPZ5uzQa1DrtUWb+RnlBgqAtL2IemBHm9CGGkxMwZBzXHqVfxCqravHqOcDr6ypKy6ryFOTvOZX&#10;qGWcjZCHrPJPDMINUSMSSRXRSrvTmTBRCbKv0wwvqiXzjG0dZZWGjOzcXYlJcAP6AG744IMP1q1b&#10;984776xevRpn/6233lq7dm1aWppMfgeYy5cNHrff6fC0tnZkpGevXPH2s88sfuONtzZu2JSXW1hS&#10;Ur59264XX3z53nvvnT59+owZM1APMMSjjz5KhETV2NjocDiEHtjqAE/49AFYAp7A8Q14PF6329PZ&#10;2VVcXLx585bFi1+4666pl1951Y03T7zv/gdeW7I0IzunvavbYnN4qa3BMOajwoYGMPXzyEz4FvOF&#10;A9pCvhDGhdhAQI1AJR3eoNflc1vs5o6etvriXe+uWHT/wzdfcfcVF9564YVX/PiKi/7jqh9fP/Oq&#10;Ox+f/uK6d9KrK/pC/aED1sDeQd9PBz0Hh2xdvq7KjpIPN731xCO3XXn3xOkPTpv7wivbk3PbjLZw&#10;30CgZ8DsDoS8/kFPYL8neMAZ+sSumqSCjkG7a8hqdbXX1Jek7kp+e8napx54cfZLG9dkt7d09HV3&#10;mcw1RbnbPly2eOFLS1YuWbP13dS6oq5Ba+hQYGDfCGkeHeAbt2+xODfE7Qjj/br0ZEomi63R2Frb&#10;oBYNZaff6sCVlrcPgIrFXPstBklY9fIJDc2teOL5RaVwQ2FJWVlldU19Y3NbR2dvX5+enUl6NUY7&#10;pRVkU8aCA8Oq3Ry9Morjp6XgSSRjucGtZ1gSYqiqqSOFWbkFWdk5mZmZoHZiYiJOOnIBbli2bNkb&#10;b7wBmkMYKAac/d27d+/ff+DggU8/OfjZyPDeoaHd5Jehuu69dR+8sPjl119finrYtSupuqo2KzN3&#10;5crVTz75JHLhvvvugxgmTJgwZcqUOXPmoB6ys7NbW1vtdjv1ULcgBWUaVzUVh1/Nw8FP+WCCHbvN&#10;1dHRXWOo//jjLU8+sfCWW2659tprie2hhx6CtAoKCurr6zVpqaA+Utb6Q42RPTIrvsU8Qx7PoNcz&#10;EPKq1rbhYGAkFNg97FNriI84LHvs3Xusza7GnIbM9ZveeX3+vXfdccn4Oy+5Zdpl02666O5x/3Hb&#10;xdfedd2Uh2e9uHRderGhL2gN/MLh+5U35PMHXSPmVm9jSUfyho0vzn9o4rgbJk2Y/vCsJ5ctX7cr&#10;saC0vKmqujk/31DZUddgae0c6TEfMjl/afZ9DsTbwj7HoMcd6OjsrqwqStn23urXnpj/8guvvbd+&#10;c3JqXmpGwa6krPc+2PL8C0veePPtzVuTyirqu3vtdmfQ6x8OD+4PhEdinjFuR1ucG+J2hPF+ea2e&#10;gFrvvtJQW1JeBT20qg4+F679d+YGEN/p8dmcbihHpjapbzJW1zaUVlbnFZbk5BcVlVXUqBt1yccQ&#10;YDSiREO2GsKk2EJb5KAeuR9zi5O3KCXornX1RCGby9PV28cjF5WWFxSXllfVQGbGljZkQU1NDR56&#10;amrqpk2bgN2lS5e++eab27Ztq6qqMpvNg4ODBw8e/OSTQwcOHDp48NPdI/v27Nm/Z/d+s9kGAW7d&#10;umPJkjcXPf3cW2+tSExIyc0pyEjP2rJly6uvvop0mDhx4tSpU0U9PPbYY9K4xB2B8gH97ZvXi4AI&#10;RafqU7MzUVmDg4MDIxAGpN3fby0rrdy44ePnnnuOqGRg6/33368GtqanSy+3cANbZIj6euKIrPg2&#10;cw953YM+zQ1hX2gwGBgKBYaHvMFhj2+3y7rH0RPuqW8r2J6y7sXnn5g3bfLE268YP+umO+bf+fDM&#10;SQ/eOO6ui66Zfu3tc2Y9/8661EqDKWwNfurwH/KGPL6ge6i/xV5T0LhtzdpFj953w2VXXnfVlHun&#10;zXr+hbkvvfL08y+8/PQzS+bPf+WF5StXbty6o6KwrK+hfaTb8Yk1/FNrKOAY8vsHTQ53u6ndUJ6d&#10;svnt1a++8saiZ19+/IlnHpv39PwFzz//4pI33np7y7ak/MLKljaTzRFw69nCA2pe2DOlQX9IFueG&#10;uB1hvF9pKWrr6skvKsFrBih7+9UcGPj++r+KPEZhOvby45l0WQvKA/0QgPq+rLmlvLomO68wNSM7&#10;MyevGHrQiwjhtpsjM/epngxXZG7XoBITGs0pdade8EhMhGlGm5LsLk9Pn7nR2AYjZqvlUdU33j19&#10;iBkX2Nrf3280GqGHXbt2IR2A3XfffRc90dHRgTO+d+/eAwcO7N9/EN0AN8AK+/Yd/PTTzyEJt8tX&#10;X9e0/v0Nzz/34rPPLF654u2U5PSKiqqioiLimTdv3syZM3HzZ8yYgdcPPcydOxddkpOTA6bj8lMV&#10;ZSoNtWaZgubIzH1KQ/A6fHp2P1+wt6efOOGqBQsWTJo0ady4cVdfffXDDz+8bt06ompra3O5XEIM&#10;qvfiZAbquId87kG/d0AalAZDgcFwYGjIGxj2+va4bcPWTntTScGWVcsX3nvfPTPunDT53kmTFz34&#10;yBtPPj131rybxt9+0TX3XXv7E7Oe++C9lDqDadAaOugI7vXADSH3gKm5tzSjbP1by+bee8/4Cy8f&#10;f+Utd0+Z+PDsG6bNuPamWyZec+2dV1815dZpD8x6fPGL77/3YW5KbleV0dvp3NPn91rCXm/Y5A30&#10;+hydvU015enp76xeBzFMufve26fMmD7z4YXPvLT+wy3FpTXGtl6rHZkyEgjt9gWGfYERHzrsqMeM&#10;W4zFuSFuRxjvFzgGl4HIjOy8jOxcHHxAU/oD9AkRL16XhNjLj2d6zExk8iJiAIjREB3dppZ29cVc&#10;VU0dAqKkvBIrrajiJ3fvBKcBRo/PpScAj1wemdtVkP0kEnC0EeEoNwxI/wo3rGsyllZUF5dXllWp&#10;ZSogKpjBoxDVD7b29vaiHvDEP/744/Xr13/44YfyVTMIPjIysl+Fg58c/Axu2LvnwL69Bz899Pmh&#10;T37KjtPhKSku/+ijza++smThwmdWrFidmppeqBeL/uCDD15++eUHHngAf59w++2333PPPU888cTb&#10;b78N8TQ2NprNFvhAiMHvUy1LUAL7ihK8QQ9izheEKrhFd7epurqahC1cuBAVIgNbESJv6BlbW1tb&#10;SadHZmw9Kd0w6HcPCDcodAjrLosRr3e3zzNk73O21dfnJX+07Pknpt888bbZ0+99YuGCR5cvXfje&#10;6iefXvDwDddfdeHVj10zefGsp9PeS+w29I5YB8KOQYcr5PSGXMGexra8xKyVPP/UKVdccPn4q6+e&#10;OPGiyXf++7UTfnLZFeMuvuiGn/zo2svH3XL9TffcNWfu3NdeW5awPb2+otXd7vT0BvyOYL/T3xdw&#10;93vMPaaGxqKC0k1bE1a/+/67az98/8NN23Yml1bUtHf1m63IpXAwvCcY3u0Ljih6iHPDCVicG+J2&#10;hPF+xamvqW+CG3ILilrau9zabQdJBdkFqWMu/HYjBrx+Sg4FzqMGAqkxsvqbCTXJq8Xuau/qqaqp&#10;LywpS8/KRawUUa0bmtq7emUUkwgILtcjoORjiJMjp6Mtyg3s2Jyezh5To7G1oLgUxVBRXdvW2a1v&#10;7VOspjqBI8NGW1pawPSEhIQtW7Z89NFH0AMyoq6uzufzoRsOHjwk/Q37938CJezf9wn7B/YfGh7a&#10;A3bX1zd9tHHzU08tevKJhStWrEpJScnLyysrK9u0adOjjz569913z5o1695774UeUA8oibfeeosT&#10;uru6XeSUT/U0eL0ByICdgfCwdDkoYvCr2b/hCbfLC/pDD9u3b1+8eDEq5KKLLrriiiukcSk3N1fU&#10;g67gJ/H63IMB90AAblDLy4UUMQwqbvAM4zB0tzYWZiZ/sGrJggcfuPWqW26f98SiZevWLtu+ZeXO&#10;LS+98tL8W26+5sKr514z+cVZT2e9l2gy9O62DoYcQ1ZnyOENuwLdDY2Z25NeX/T8jDumXHHhf1xy&#10;yY+uHPc/rr7+f145/sIrr7rmssuu//F/XH3RpVdfcvkVl068ZvzUu2YufnXlzsQCY22vudvnc4Wt&#10;roA56DEPuu0DVpvd6urtt/f22c02N3zQZ3Za7F670+9wBTw+isow3OAPIRri3HBCFueGuB1hvN9u&#10;Uz9Oe0V1TU5+UVmloafPIpgug4WEGzRPnESjLedj0IOySHeFUiG6k1nN+WO2O6EHNERZZTXSoaS8&#10;Cv+9sqZOTbnR2oGGkLldQWqhBFVwI70F39Gi3ADrwIVNLW26kxz/vrKxpa3f5hgt3gOqM1iPH4Ue&#10;kA6Ab1ZWFvQApq9bt+69997D/YceqDODg8Mohk8++ezTTz+HEthni4yAJNh3u3yVFYYNH378+mtL&#10;X3rxlZUrV3JhcXFxWlra6tWrFy1aNGfOnPvuuw9umDRp0h133AFhoB6ysrIbG4z9fVbQH28feoAP&#10;Qnpu18jnZ3qqV3YgTxnYirjZunXrM888A8eMGzfuxhtvJGaiysjIgB7cbjdkF5Mb32LuwQH3QBiA&#10;4I0BFMMB10jANejoD1t7umrK0jatf+v5p+bee/fUm6+dPGvlknU5qQU7sorWJmc8+drS+yfeduFF&#10;Vy24dtIb9z9Z9d4ut6Fnv2XIad/dYg9aPGGHr7uhJnXrtpcWLrpnyp1XXXHZtTdOmDJt4uwnpy94&#10;dt4zzz371JPPPHz/vJlTHrrz5luuu/XKSydcff0DD85fvnxDbnJZY02f0znk9wz5Az7HgM+9x6ce&#10;KTgwEh6CAFR3FDtwgBdC1aaLDSVWzdciRShu325xbjhRkweP7stPtgrmdPvGqKl9dY7+LzYKhWPP&#10;+ScmdznTNvZe7OhEqu/XWju7EQ3SwtPQ3IL7LA/Ou47qBrYn+eq5V4Qb2OdaKEHnSeSmiAM92tXZ&#10;1duPUlEJqKjCi5fpXWvVB9Ud3eqLajdQzlVEIpdHbyGPIA+lLbIfPSHG5HLM5fVz0wpDbV4RlGRo&#10;aG7lp90FCCtpom4ROPzRGY55c7OaXjs5Ofnjjz9eu3btu+++Cz0kJiYaDAabzT40tBvp8NmnP0Mx&#10;wAewAhpCBMTQ4G6L2V5jqN+5I/G1V5c89dRTXL5z587s7Oz8/HxUCGg+ffr0adOmsb3zzjuhh7lz&#10;565atSo7O6+5qdVhd6s+BpnuW8/wqpqVdINS5KBfrS3h8agV5UpLS6GH559//q677rrkkktuuumm&#10;hx9+ePny5dL30NffH80rdiRDjpdX7sFB94CCiUDQFw56hv323QFH0Nzl6mquK8j8YDmaYeZ9t0+6&#10;97aJDy7a8lFKc3VrcXnd5tTMJ19ZMvOWW398ydULrrnltfvml7+3y1Xds69/wG4ZbrYGze6w3dfT&#10;WJO2bdvLi56bec/066+7a9YjC199c9nOtC15pZnFpSX5uaWpCdvXvrH6pfmPzHxowjWTL79qxm0z&#10;nn3y1Y/XJuYWtfbZBvwuONHvCnk9uzU3wAd4G9L+OTC8h/1Rh+ZwSRi7H7dvsTg3nLgJoqk15nQH&#10;qfraCzfW6fHZ3V67XhkGdGPrcKs5R12co42TtakGd2Uaj6SACjZFXenIz5NsrvnORgJ4gzyXeqF6&#10;xguHfpBGY2tOfmFuQXFTS3tPv8Vid52ih35SRu71W+1oiNrGZjQEjny2mttVTdvHkZZ21Q1hdbgc&#10;kX6IoEobhVCRFsVSdYQI2fAvDe7HzUzOF8nCIxNtelZuRnYenIRmQsSomCNvKuyDHHQAdqkYfX19&#10;tbW1+OBwA6zw4Ycfoh5gCJREfX2D3e4aHBiRliXVrKQblw4cOPTTz37OzkB4GPVQXV37/vsfANxL&#10;lixBPXAhnj4Mwf7jjz8+e/bs+++/H/UwYcKEe+65BwpZtfKdzIwcY3Mb9ADBYEouwNb+sIgJuEEr&#10;CcVecBiJ7OrqIpFbtmzh8okTJ1511VU33HDDI488Qjrz8vLUF3YOl5RMHlWKAUU0JovEPIO7vYMj&#10;6g4BT9hvH/b17/H1OztqjGVZKR+/98rC+fdMumXa7XcsXrjojQ9rsmu83U5jU1dKevYTL7161+Tb&#10;/+OKa58cf+PimfOK1ie6DKb9PWFr72CTOdDnGrAF+o1txRlF77/9wUsvvTJ3/rOvr1q/MzPD2Gsw&#10;e7rsToe139vb1lK0Lf2DlxY//vidE6dccdX08RPnTp2z/OX3k3KNVlMwaIYZFWf5R3R3vRTmE7PY&#10;x4xbjMW54UQNHAkPjYQGh8FuOMBid2pz9Vnt3aZ+sKy1owtY6egx4XX29FnwcfG48XNxSyMgJXml&#10;vW+Vb3q0Pv9SpjBIpq47m6PrFKoCjoACLxQ+szrU+khVNfVwQ1FpeWtHd7/VAXSezbpERgFYpAQO&#10;IEtlqGtxWWVBcVluYTFKoqK6tpmU9Zl1xiJighCb5PCY0hil3uNiAZlPbkPtPDJ0mJ6VAzegk3r7&#10;LZC9xCBCB24ggD0+nw96sFgsjY2NIGxKSkpaWlp6ejou/7JlyzQ9JFZV1diszj179gsrfPLJZ4c+&#10;+SlU8emnn/Nz9+59w0N7+vutpaXlAPfSpUsXLVrEtUlJSbm5uVlZWdu2bXv22WdnzJiBv490mKLC&#10;nQ8+8MiqVe/k5hS0tnagm8Jh1S+NrlFtSlTZ6MDWgPoeYnh4mNRSgc1mc0VFxcaNG5977jkkiNDD&#10;zJkz33rrrczMTOiQ0qu5QbEsGchrjskiMffgXs/AbnWfoHvAZxl2d4+4Ontq83J2vLfixYWPTr/7&#10;zlsmznl4zvq1HyYUWWt7Rszuzpb2jOyM519/ecaU2y68dNz919604P4FWR+kWKp693QPeMx7+q1h&#10;s3vIPuTs8rXXeapKOwqLK1Ozc8qaKlqt1c7BFt+wLTQQDnoHnSZXY2p92qq1S15+ePq9V42fcen1&#10;D9587ysLV21Pqe3v8AZNeFShkN8XGFJd9KpH5MTs7JXn89fi3HCiFn1wga3OHhMeLNbS0dXY0lbX&#10;2Fzb0MS2vrmlqaXN2NYJfHV090IbQI+QBJUQHw1TYkJ/SExsEW5QFlEPWMytz5yJ46w0kNYNevog&#10;I0CcV1iCn85jQgz8N8JqZ8UCesoNdsgc9T2E2UYmQ1dFpRXZeYWZOfmkraqmrrm1HXnBCeC4U08T&#10;q9hX13ndjCCxRfBdv7vDtxCTg7jPbV09yAV0AwKFF8cRYkMg8t8YbvDrlRUcDof0SCMd1JTcun0J&#10;6aBHta5N2JVcX9/kcfuHh/fABEo07D+EhpABSxg7/MvpdNfX13/wgVIPkAGKAaYxGAylpaWrV6+e&#10;N2/eQw89JIOXJk26ddKk2+bNe+Kdt9dmZua0GNtRDxCDT685euTAVjWdhrR9kVS2JpOpsrJy586d&#10;qIexA1vff389OQnF2l1e6EHn3nH7b1wD+9xhxQ3hoHvQZx50tIQtDY2FOz9aufjx++6648brbrvp&#10;lifmLfp44870CnNJk6O+uby0eEvS1kWvPjt96q2XXHbltOtunjPj8a3LPqpJquyr6u/tCPWbQ/3u&#10;YfuIpzfY3RRuqnM1GvtqW+raHS3WwebQwfbwfsfQ8OCAf8RrHmzPMBWv3bVuxcJHH7nmunsvvHrW&#10;tXe/8NiSj7eVdTc7Az3+QV94wK86FkIBQF+j2D+3ODecgMW54UQNQLe5PKgExEFtY3OloQ4DpNji&#10;2NbUN4qxr60eONP/rS2vrtEzCNXjnBrbOzu6Tb1mq1VRhRq2r+qk9nAVDH0v3KBnuONV4kXWNRpz&#10;C4pA4bLKasAXYSTAcXbVjAJ3gWbNWD4S1tXbh59b09BUVmkgeUVlFSXllZKl5Kclsvq/aiPSfKD6&#10;ySXN5C2Ppgtt7F1EVfAuoENeE8STX1yK7INp4MLQ4AhlW7jB61NQCzcI5rpcrvb29oKCAigB0YCA&#10;KCkpwevfvn37mjVrQfBdu5JqaupdTu+e3fv37/sEboAPpIkJ+/TQ57orYj/xwAQbN2589dVXFy5c&#10;KPRAtMS5fv36xYsXQw/Tpk27++6pd06ZOvXu6Y89Nm/FitVZmbmtLR1IEyEGTI1WGh3YSvIIEBhJ&#10;pRq73e7e3t7a2toNGzbIwNYrr7zypptugnteW/pWUloG9KAmLNEKjIyKySIxV3i/K7Sb5x8MuoZ8&#10;pkFrva+nrCx53fLnH5o2cfyEcZdNGH/DPVMfXvTMmy8tW/vqsneWv/7SW4uffG3ejNlTbrrl0h9x&#10;w6uvu/2GaU/d9/SKp9/eujY1P6upvb6vvsfTYe+qq81Jzl23ZseqtVtXb9iwszC7uqfatbs1tN8S&#10;HggE3UPevt0dCfbSVanrlz332EPXXjfjgqtmXX3Xiw+/vmVTqanBOdDp3+0JD3uRUnFuON0W54YT&#10;NbgBQJeJOYtKy7NyC/C8cguK8bKhh9qGZiAGzoAYKqprissq9AIGhXijSanpCcmpyWkZwG6h+s64&#10;XppEQF6HW3ltanznaMv4GJ/3LBm3ltYkOA/ATU7PlP7Y3n6Lw+3jRQOO+PIxV505E8jWEK+6Sckf&#10;lxe/UO2QY0gxchjpkJKelZaZTZYC622d3fwLIoEb5HyVZmm4o6wehxsEDTt7+xR/VxkKS8rYIpV4&#10;0Twv3MA5OjFHcAMhyg3445s3b4YSgHiURHV19ZYt295Y8tayt1Zu2by9oaE5FBxUHQ+ffHbokOIG&#10;eELJiAPq2+n9+w4ODw9Tzerq6j766CP8+gULFrzxxhvEWVVVBdmsXbt27ty501WYMWPGfZMm3nbb&#10;5Clz58x/9511ubkFqAenwwMrwBBoiOjAVqquJFK1sOh96MFisei0bVm0aNHEiRMvvvjiyy+//N77&#10;H3xrxSqKsVYPHpVXxyl4rvABVxBuCAyFXMN+U8hscLTmZW56c/FjUyZedcFVF/34sgsvu+SSG64a&#10;f8dVN9169Q0333zNuNuuvvTuK39yy4X/ftX/+h8XXzTuwkvG/9vVt//HhKlXTJ390Msr3knKLWou&#10;brE0dtYXJ7y38uV7Zz548x0zb777/sdfW7EhPb3FVu8e6lMayAU37OncZSl8c+fbrzz1wMzx4++5&#10;4OpZ4+9+ec5bu7ZX2Zvcw53+PZ7wiNc3EPaG49xwei3ODSdqQAmoYbY5Wjq6DHUN5VWogRpDXaNS&#10;A6oFSXU2gPm4t3pCiJaa+iZ0Aw44RJJfVIqBvPysqK7F4VVcolufuBC86+m3gM7g2jFR7AyZBl/l&#10;mPdZ7K2d3WAuSc3OK0A9dJv6HR4fqKpFzMDZ5AZtyvcfNckQVepILfTc2WMib2VOi4LiMriZLJWP&#10;5Xr6LDwLOmO0f/XbdANlGMEEr/Be5G3WNTb362UPOJ+CrclDJcCnppVTbjgM4fV6ZelmhMK2bdvW&#10;rFnz5ptvwhA1KIX6+tycvE0fb1218p2VK97evn1XfV2T9B4r9XBAtSxFGGLfwX37Duzbt2/v3r1g&#10;d2Vl5Ycffvjaa689//zzS5cuRY4UFhayfffdd5955plHHnl0xvT7IIbJt96Bepjz2OOrV72bkZHd&#10;1NjS32f1euCt6MBWNcGGsIIaVjU6uTe3sFqtBoNBhkLdcccdl1x66fU33vLonHkr316TnpVDoaUY&#10;6Hcdm0uYM3zQEdjtDwSGw64RX2/AVG5uSMv8+PVFD95y3cX/z2U//o+LfnLZv/2fq//nv43/ySX/&#10;+4IL/m3c//7R9f/PBZP+58U3/68Lbv63Cy6+4N8vuPDf/6/Lf/L/uuSS/3Htrbc9/sabWyuKmoqb&#10;zQ3tdUW71q18ftq0u8ZNmHDhtTfdPe/JV95fl1uT32HvdHu8PkfY1T3Q+GFb0oL3Xprz2N23Xnft&#10;9KtvmXfrw28/vSY3uTHcGjzYFTroCu/2+AcH/IP4Bnpl7hOwk/m841/WTpYbvpGpHNXMjnob1K7Z&#10;ceyIO/0ADKjS3quaiw3rtzrYHzXpmla908ocLlgEoDGZrbiiXb39+hvgLmijtqEJGMJLxeeVBhyg&#10;raG5BYaQjl/pYsXzVaikLXr36JGojabtmAePsKNP4C7go9Xhau/qRc2othrdmgRdmW2gq+ohx9Sr&#10;PIseQGhQlvqJJJV9XHg17kt36ZMqxBZ5C3tJTzUJ1uNci4F44L29q4c856Ei2ajFAdsxNBPJCp6d&#10;h4RSoBm9OF09+8QsKAk3cAk7KiWaGwBZn8+HaOjv729sbMzOzoYS3nrrrSeeeAJYT0xMLC4urq42&#10;8Dq3btn+1lvLly9fuWtnYlWVwWK2jYzsUVNoHPrpoUNwgyKGvXvVV9SffPLJ4OCQ2Ww2GGp27Nj5&#10;2muvz5s7b8WKlTt37srPLygsLNq4ceOip5+ZPm0mds8902+7bcqtoOu8J9asWZeTk9fc1OJwuOCG&#10;AOlU38GRUDVFq8gGxRH6ywyXy82Rnp7eoqLibdu2v/TSy3fedfdFl1x20y2THnr0sWUrVmfn5re2&#10;d/aZrdRoH3mljQeXGVtdob3OgOrfHgy5h3x9XlONqTEne/s7zzx61w1X/GQcuuCK8RdefN2PL7ju&#10;0ssvuvzSC6694Ec3/Pu/3/Jv/+emf/+Pm3/0k4suuviiSy//v8dd+39dcd3/vvHu6QvfeiehrLC+&#10;oNFU01ZflLThndcfefC+CbfcdNFVE29/YPYTry79KDmlvKHZ1G+jevV19JWuL9ow/7UnH7z3jluv&#10;n3DvLfc8++Dzm97YVpXVPtQZ+qR34BNXeNjrD5NWpRtkKbp/buccN0iZPJ6pOqhOiz0udiIxjDU5&#10;/5/ayXHDV199RfUQf4TA/uDgoOzHhNGH+Vc0/QIEjA4bMARVdPeZje2dNfWNJRVVKAmc9MycfHbK&#10;q1AgRtw3oK1LzUhqV/MX6bZ+nHdwSjqNYwzk4vgoikmHtrKY9GAkiZNBQ4yTtdqThTzdgCx0BVcB&#10;r9KaBEVxXEY0CkxrhjgiwrNs0Wwca3BwR48JXpVJv5ERMiMTSg4aJhsBet0spvKQbOGSaO0StiAG&#10;WJlnR39wIZfoIQOqZ5sHl7xVJVlBraIHj8fT19cHMZSWlqalpW3YsOG5556bOXPmvHnzlixZAlWg&#10;ABoaGjIyMtavX//222+D7JxWW1vrcDiGhoYO6oBcgBXYHNh/eGCrx+2Hnda/v+GZRc8vef3N1avf&#10;TUxMQYrk5OSvXKG6ph977LEHHnhgypQpN954Y2Rg66pV3AgFg46hGhI/rBAODeEYHzmwdYB9jjsd&#10;nq7O3tqahi2bty986plbb731mmuuuemmm+bMmbNu3bqioqL29nbkBc+INmLLI1PTeWppT5NZ/2SY&#10;Vm9vb15eHuwnw21J2H06PDjzsdkPzJ5z34QH777wvtv/35Nv+n/GX/k//v3SO38y7t4fXff8lZMX&#10;3z37jVffXrsjM7Gqucjs7TBbmrIzNq18+cnHp0264/If3T3u0tm3TXx94dPb3v8wOwNurMouqNq+&#10;ZceSV16fef+cG2+bfuWk++6Y/cLLH6QmVnWX9gZ7A3ucIwe9gFfAEw44Amqc0hHF5jyyaKmmZCqL&#10;7B8ut/hnujQqyNbnqH9Jwea4FNTRy9VBMYkzxsbe91vsu3CD1BOpKlGeiAnqYY662b+IHZMbEBxo&#10;AvQEuA8ct3X2gF+NLW3SPKX7J8pw20srqvSqBpGZfMRZBqTEm+bFS0sIxl24V6QkHVkUxiZGjJMp&#10;RlyrztHlDPgDN7kL2Ao35amekJqWji68NatDL/GmpaG+Vn3sNja2s2/yXDFGIgH3nn5La0c3zKq7&#10;eSpFQ5Cf6AC41gQ/6GWTIyQXyS51eXBgmH81GtsKSsryi0o4H2KGGLidqml6hLG8SqCRIk1RByVN&#10;JpPBYMjMzNy2bdt777337LPP3n333XfddRf4+MILL2zZsiU/P18YgnOAbxgiKSkJeqBGCSvs2YOG&#10;2HfggBq/9NmnP0NPjIzsHRne299vRXOoz+Jee+OJJ55aunRZWmpmQX5xZkb21q1bhYS4kR7VOuXO&#10;O+988MEHiT83N7e1tdWtZ2wlhYoV9MfS0jXNVg1cCg0ND+3hIPTQ32etKK/euHETERLJ+PHjIZtZ&#10;s2YtW7YsKyuro6ODdFLHoYexNV0en58c5wSbzSaf18F8qampbFN0yE4rzE7Nzty5eut7T7/92p1z&#10;H5pw0/X//uMr7r78hoduvvedx19JXLujIreqrr6zudve4giZbPbWekNO2pY1bzz1yNTxF0+88Ee3&#10;X37xtJtveXTGfY/PWTD/yefmPPn8ow/Pnjrl7utuvP2am6ZMuPvRua+s2VzQXNDmrrEO9wX3OYYP&#10;eNVypJ5w0Kl1Q2zJOY+MIjoK8aohFFN1lh3NDfxL48BIUEGBFE49UELXd44EBtQnfsoT0i6grrzH&#10;ACJs7E2/xU6OG7755htKDDWEQImhRFJc9PmxQacs9mb/IiaAEmP6ZYcFoN0K39XXc7BFD0qiraPS&#10;UCsyIjuvMLegCIyrqVcTVvNf1Ibd5YUkgC0xrhVuiEarb3H4pjHpwaS0qUKjS5tTTS3n6Ortr29u&#10;QcHkFhRDSw3GVngLscK9uAXRStmitPEzJsKzbNFHG2tkgtQEIB4OIBuraxvkWznysLC0XOhBuv3J&#10;ak5To3X1aFcyhOrEQWNbZ2lFNY/PK1Cr8FtUa5o8vqp4ioxDeqq9yOhVnGswERyEGz788MPnn3/+&#10;jjvuwPueNGkS9PDaa69t2rSprKxM1nNeu3YtzvX777+fkJAAW+BLjYyM7FYjW/cd0LPyqYGt+w4P&#10;bHU5vY0NxvfWfbDo6edeWPzy2jXvJyelleExlJbCMXPnzuUW4DhsNFEH9MQ777yjPlZoaSFtVE2v&#10;Fz9fkYEMbMXgBrZhZJAWEDCHyWSGhHbs2DF2YOtDDz0E1eXk5MA0VH6qNgEmIFCdqeYSqPU6M1S/&#10;C3dEsnCyy+WSrccR8tjczt6qjtrEguRXl7z4wJRbL7tiwqwbbp8/a+H2dbuMVZ0Dfb6Q2Wt3hszu&#10;cL/D2W7qrmkqz9z6zhvz77l1xvVX33nVZRMuvWz8xZdeednVl195/aVX3XjVlePHX3n1NTdMvvWu&#10;WdPnLH7tvYScJludbbjFe8AysN8+uNcTDFCuB0Ku85obdP2VGi12mBs0VqiFCPWnqVHz2CIf26ox&#10;3Kpgqwou3yqJm3gYEGIs5tbHs+/CDUIPnCTl5pghzg1Hm/qvdkgVyWvjIK+83+rAf280toJl5VUG&#10;HHisTK2/r5bgr6qpq29qAeNUW5PVzvkUHW6hkUtVBuLBocDIcylP0ZSMMVXy+C9FhxJmsgiS1suQ&#10;0OLySpQKDjiRw1ujCVYD3rmLLnDnIjdIPkSyUfeok0VIMWi1HA2h5/zQGViPquB5e/osnEZW6I/b&#10;1cRQZEW3ydzQ3IrKIM9RG7UNTR3IOquaTEmdNjCk8tmv3CCz2Qxugvi46nCDrPOD9z158mS44eab&#10;b8YNnz179iuvvCIjl5AXRUVFO3fuhCFAdnZqamoAUJnN++CBT+ADxQ1jBrbuHtlnt7lKiss3b9r2&#10;5tLlzzzz/LJlKxMSkgoKCnDP161bx+2QC1P1Yg+oB0jiscceW7FiBS4/abNabYoGZGCrnlFDf+2g&#10;9iM/qeLBQbfL19PTR2I++OAD6AFuu+KKKyZMmAD3wGQwDfwH6MNkQgNCCRLYJ0Y0itR9aWjiONvB&#10;wcGgfzjoCwdsLX0teWWZq5e+NPu2Wy6//Prp1902e9bCjR+mNhute91De+x+j2fQ4QlbPV6Ty95h&#10;bqspy9jx4VsvLX3q8UUPzpx6y8TrLr/y4gsv//EFV/zHhePGX3Xd7bfe/vBjTy1+dcVb7+/YlV/X&#10;YB3uChzsCR+yDe6zD+wWbgiH3Oc7N4yygjQoaarQzhnOivbk+tDHza0dTS3tYuxHWqFN6mNbHCDK&#10;M9dKc6hEKDUlxmJufTw7aW6gkvA/aU2CJNjq82NDnBuOttETROsJWKu2JsAX59fu9uK0dvaY8GQN&#10;dQ0QA85velaOjNQsrayGPNpx9RU9iIzAj4AnVBvRaKOTGjl2HG5QRhrgBm5EOeMW+cWlxAyA1jUZ&#10;IQbiVAnTyYsmUhgIi4nqLNvYbBxrJFJXJ8V5mEgxk9lKnYFTC/WqbRnkX3EpsoC6pGWByjTJc/ZR&#10;Sp0AZX0TuZGSkYV6q21opr5ZHW5O0DEHqHE2mw3fvKSkBOgEpgkZGRnQA0wAUgOvt9xyCwxx++23&#10;g92vv/76xo0by8vL5dMz9peB8StXIjXq6+tBUnTDwYOfHGNg6/5PRkb2Ur1qaxs+WL/xiflPPbVg&#10;0fLlK/Hxia24uFgGtk7TYebMmXj9st7Du+++C2O1GFuiA1thArAdMhgYGIYPIIloQxP7LpcXqiNt&#10;H3/88cKFarW4iy+++LLLLkOXkE6iamtro5oLE2hSiIQoN1D3IQMhCdBA/hWAG7whr6W5syGrMHnF&#10;0pfmTL3j2qtuvvfGO+fev2jD+sS6ut6wCzRXXzy7/IPOUNge8pt91vZ+Y1VzSVbS+jXrXn9p4aOz&#10;75l8+w3X3nTluOsvvfKGO++4Z/7cJ5avfn9Hck5OZUtdr88U/qxv8Kd9g5/ZB/Y5wrs9IRwXbyjo&#10;8p/P/Q2UZN3sGUGP0aYFtaYImritsxvvjTKMyseZkxF6hSXlMpk83g8+TVtnT2+/Kt9KNyiXTrVP&#10;jK0sUTvyvse1k+OGr776iiLV19eHW0FpiOuGY9oxuUEQFtM/x4BvxPdXTY28VHDfbHNqhlB+Pa8/&#10;r7CELf6v+siuroFCIKNmwS9ATfVaR6af0x60jnNsYsTGJokC19NnrmloKiwtx1nWs0RYQUnuzn9V&#10;qlQkkZMlNmIeG9vZtzHpOWwc1wmLZCb7SjyF1fqjZAtMUFFdk1dUIjONU5dKK6qqaxt4XpiDigTP&#10;UpcgRRFtsG+OWs+nVBaQQKsRgwxNbmvvaGhokAlTk5OTYQUc+QodkAjQw/z583Hh4QZAVuhh8eLF&#10;W7Zs4YSqqqqcnJytW7ciHVatWsX5OOxWqxWAPXpgq0zaunv3PpvNWVJS/sEHG19/bekLi1968803&#10;YSMSgF5Zs2aNHtj6yIwZM7jXrbfeyq2hB+LPyMiMHdjqVTO2SvsSO2gINd9GUPVD4OTJhN5Q16JF&#10;i4jqoosuuvbaax9++GHogSc1Go2ggG4mUO0Egv7RQN0fGhqCHkRYCIX4AoOh8GDI1WftMDSVJafu&#10;/PCd5a8/89rql1dueHt7cXplt9EScgaQzmFf2OsLu0Nh90DINeCz+m3dHlNrfUluQcrOTe+/t+KN&#10;N1584ZVFz7y04OkX33pz1YYPN6VlFlbWtbWY3L3u4b7APrP6OG6/PTTsAk9BrhBJdPpOZsGic82k&#10;oikfUX9gi/emllhv6xBKKCotp3Bm5eZn5uRn5ORl5uSlZ+XiOOqJXnI5zn/1UGxDTX1jU2s72hcP&#10;yWwnT2JrDTb2vt9iJ8cNX375JXqzq6sLesBZoHjFlJho0NVV30A7yFGL3vgHbPpJY98HHIBHL9wQ&#10;BbJRaItcCDpHBQF+a6/Zir8AbAFnejROpTSm4wvjOOAv4O1yQjelQM+bpmOOzfCojd5alb9+q6Op&#10;pQ3obG5tBx+5o3a6/Rj/HcsNkjzxaL5Hi6ZnrHFc5LPIJt1SpE4mG61Ot2pfMraC8noUk1p2FJJA&#10;hFGX1BKkarnPOgQT+UAmsK1rNKKlIAZO1pmczzavsJgzC4qKs7OzweWEhAS2hYWFtbW1ajbTvr7m&#10;5maOrFixArAGXhEQOPKE+++///nnn1+/fn1+fn5jYyNeP1ShhrWuXLlz506DwWCxWEeG9+qBrZ8j&#10;IEY/eji4d8+BPXv2Dw6M4Nobm9u2btnxwgsvP/7441zLhUVFRWiXjz76SOZcQj2gWibrMG/ePNRD&#10;Tk5+c1OrWu9Bdy3ADdKyJB3UiiSQDmpOb8UNVN6enh7ihLpeeumlu+66C3q4+eabZ8+eDY3l5eV1&#10;dHRYLBZq+lh6YMu+S68DIW1KbOEJjntAkfDgSMAx4OwJmpstXU2tDdVFte0VRlN172CLY3evd4/D&#10;j0vr9wQ8Lp/D67OHg85Bny3oMAWsXUFbr7OnrbO5qammtsbQUG1orDQ01dU1txg7unrtZrvf5t9j&#10;De03efeYg3stoX320JBLNdKe49xwRDUca2P/RaGlGlKRu039FEj8Qvw2imJaVk5yWkZCcuqupFS2&#10;KemZaZk5FE5dmHNS0rP4b1JqemJKGlssOS0zK6+AYtzQ3IqLqZsllPyV6h+xiDt1OJHRZGDRf50c&#10;N/ztb39DU8tnPjBEZ2cnrgdBuqQobdEypOtqZHil6iSJJO6IBMXtmKbfEK9QoblualTTVrd2qHmz&#10;UQ8UF4EtPFw8BZERuLecg7tB2QIWcT1UzwHFgmyPRBVBUrbQgEXPQqE+J3a4VBulGgYHwurxD+fT&#10;O1IZJY8WHcfF4/RZbO3dvcA9nEqmwQHa7SrC1UpITtuRkLwrKYU6JvMJQpCcgGuGz1WmpUNSasbO&#10;xORtOxO27ti1IyGJWpeSlg4BoBhw3lEMFP7u7m58f2lfhSQ4vmTJkkcffRSwhh7w5adMmTJr1ixR&#10;DzBBU1MTagNMx+t///338crr6xssFjswLXJhn14IiC3E8Mknn3Fwz+79/Leqsmbt2vfx62EalAF3&#10;B69B83feeeeJJ54AxGUtICTLnXfeOXfO3BXLV+dk53e0kzyHdDDACuHRga0yBZPSDYEBUB6vH4in&#10;FlOjN23aJIuJIh2I7bHHHlu7di30gGCSga0SqNoiETRKxAavUq5IYN+I37PP5xr2e7mxc2C3Y3BP&#10;//AnlqEDjsF9vpBu4wqGAgpq/Kp5KegeCjqHtQ0FXYNB/0CQf3LOcCC4m20wOOwP7faFdnvCe13K&#10;9rnCe1wDezwDQx7hhnCAYn6uftEWafbUFhngQLnVEKwoQZoKZN4wqjmFVundwuLUzOzElAjop2Zk&#10;IRconKOjGVVnJOTBT5gAhtDEkEFxpdxyCWdqlVyPJtZdEWoNdk0S+tbahRJHSphAA46YSlUk5eGT&#10;4Ya//OUv1BDogYD/gsil3OM6UT1MJpP0Xwk9RGLXzy83G01K3P6JSVuhvCTeFlBu09O+4uBDAG2d&#10;PU0t7ciIqpp6+YYOMYGxQ5Gqb2pBh4L70i0hfMyWSMJDu/UcQapzFbfS5nTLGFkoRE7TFoHa88Si&#10;CVY9LuzzOORSc1tHpeKDChQDtQjQp57wM7egKDUje1dy6vZdSRiOmPKz0jOpWlAF/hem/5u4ZfvO&#10;TVu3Y9S0nUkpqekZOTk5lHYwlKJuNpupHl49ypMCT7FHTAP9oh4mTpyI680W9QA94I9//PHHYHpd&#10;XR1qg+oDrAO7CQmJhuo6m80p8/HJ+tIH9VrTn336M3iCI7tH9pn7beVlldu2bXv99dehhw8//JBI&#10;jEYjtQ9nP6oeCLARd3zwwUfeXr0mP6+oxdhut7mkaxpWEN1weGCrXw09ghtAeZ5F+h6gLm5BPFdc&#10;cQUMQeJRD4gkyINzeFh5ZJEOGiVigyc84EU4BALDPv9er2/IFxj0B50DQ47B4f7hPZYhSGLEFxwK&#10;BThlADgPKQ5Qa0IMKEpwYuyEgyRUjQQIBIcCwRHNEMP+oFrO0xPa7Y7YsDs8zO08YZBOcQOgd85+&#10;0TY6/ARfOaK/9U+l4K0Ot4wjl7qcnVeItKUcJmoFkJ6Vgy8os/LIgBScHtQAFRwoQGFwrVGvqkvN&#10;r6iuxQHS3g9lO4VIEBYCCw3G1s7ePv1BqGpdCA+NSH0RIz3q5yhW62YDbSG1oNOJcsPvf/97EddJ&#10;SUnspKenZ2VlUUwrKirwL/BoUNnICIf65Cjy3dZhwtSjSiRr4vYtBnbrTqTRdif9FslDwXGUhBae&#10;auRrXaOaMxViyMxRCzvrjmW1zgFlRRiiz6KVhMONUSyIVr+RiPNCnJqwIwgbtZj0nMMWSbmUZh6Q&#10;h200tpXp5duoZnhVVDlDXUNdY3NNgxIQKK3cwmKqH/IcekAZbNq2Y9PWHVt3JKAnElLSqJO4XVQt&#10;TEl4/LXsvLyCwvLy8sbGRhwgHG3xfsBHgUuwkkDhhx6WLl36gP5CDW7A+9Zg/eALL7wA7OJFAbK4&#10;/OiGlStXrl2zLmFXcl1to8ftHxrS41r1jK2fHvr885/+4sCBQzLLN8dR41wLozz99NNsq6ur+3Wg&#10;xvFz7ty5Dz300P33389Nb7zxxsmT75g39wnoQa33YGyTruljDmwl8dRznkKeBXog5h07dixcuBD1&#10;cPXVV19zzTUPP/zw+vXr5RMKVal14JEJGiVig3sw7BkIDwQGhn0Dez2DQ77BQf+gc2DAMThgHhmw&#10;Dg24YKPgUDgwHMIgCUUPSj0oWgm5MeJQPzU3IB1Cihigh93CDb4QNqxt0IdGUf0WCrYUmYTPxZkw&#10;wEDcMgonFTk4iPpBKKjGW/AR58xksaH48e7zi0qRBTgoFDlBdgpeNsWupJzSG107XTcGyJgLBQVE&#10;pQFBtUThC3ISJyvBkZElDLFtZ+LOxBR+whA19Y3tXT19eupirorGoKrPYVgWVhAcUOh9Etzwt7/9&#10;DfSnUOK84EPhDeFPwRDICHYo9+JY9fT04LRSV8kaIQZuw/6YRMTtuEYuCd6xr7E74n3oF6YkhZQG&#10;k9mK44AIRUbw4vEscJDF8JcBwdLKag4Ci82tHZQb3I1es5WSQQwqcu25SNMfZUIip1icR+9IU4Iu&#10;x5pNUVfIZ8ggqqKQ5+RPR7eJjOoy9ZMDVA8qGtkFp8KmOxOTN8MN23bACqqJSesMRIYYUVUrXjE2&#10;NRtRBhADtQIkFcdZUJUQ1gGXCPKgIoD7jz766OTJk2+55RZA9u677wa7UQ+4+RBMVVUVThU6YN26&#10;99SMrTuTamsacOdk9VDIAOmAbkA9wA2wBT93797b1dW1adOmV1999YMPPqDqoVRAZ4vFQgVcs2YN&#10;nDFz5ky44S615sM9d989bfajqnEpOyuvtaXDanGIejhqYKt6EHkEduC87u5uSGjDhg3PPPPMPffc&#10;M378+AkTJsyePfuYA1s1SsQG12DIPYAnPzzkHdnj3jvk3T3oG0ELOAYD5t1e67CfEwKBoQH/cMg/&#10;EgqMqNatYDioqECwyI0FQ6TnMDf4gyMQg3CDXykJ9IRapVWPWA35QkplROzc4wb1VBr3tGLQ7ovT&#10;jbRt6ehqaG6leuK+4NghZ7V+VUIhm3KoO8Pqm9VoCEos59tcavSRrpuqzFOFI9Cqyr+iH1zGfqsD&#10;d7BJ9VU0UJIRDXAMCphCjjLO5U6VqqcaDYHaIE67ilP10Bx2ECOsoOKU93ES3PCPf/zj888/59+4&#10;D729vZQkhDbckJqampCQIGJCNASUyM2jzRo6pxTARXMtbsczckkTQ1TcRV4YR9jyOsV3UDvqsy/1&#10;FQxZzctW8ws1t+A7KHGajzjNwXCfo5oUWESK6pkkRr+X0bHpciascD69IBIspZlCjB/UZ1FD/XhY&#10;Hp9MoAJAhDymWiFOe2rqKyG1r+ZzpcpRVcifrapfIYH6ifumu21Q68pw1NRID5sTynG51TQSUbkA&#10;kuo6ovpgZRwnx8FW6AFlAIy+9tprs2bNuuOOO+AGBMTtt9/OzxdffBF6wDc3Go2lpaVbt2wDvlev&#10;enf7tl0N9c3gNUwg3dGfHPwMblA/9x7cu1fNvERtpIq9/fbbMERlZSU34u6kBEetsLAQsTJ9+nS4&#10;gbvcc8+MW265FfUwd858uCc3pwDXQHVNHzmwdXBgmJRDETyLBB4QZQDfUH83bty4YMECUn7FFVeg&#10;HpA+EF5eXh5uH+dwMhdKDsQE15Bww+4hyM59gO2gb49zMOAY8lv2uG0jXjdoHxgahBj8u0OB3UiH&#10;ID41zxLy6TLuwYJhv+6MiHIDxLBHbxEQ6nytNtTtND1EuYH9c670Sp1ii5OuR6Na8VRAZzwPVD5k&#10;sDMpBexGLiSn4V+jHyrwRSi6/TYHxVVqN9cCBSB4FMSpthFuiEC5WAhA4FVTaFvaO0vKq2AaxDEC&#10;QmlifQsUMyxRBUUYW3GYhB7kcu4iSmI0ZojnJLkB6fCzn/3s0KFDVAnKKIUJNS0jMdCeVAzogR1u&#10;X99k1OPxHXCaZgiFbjF5F7fj22FuGNN3JPAt/1JuvpxJ9soHMrzvNrUif4uaO0+Pz8GJpsAhJoBL&#10;Xgr+CCDIqxEcxNFGjYKhoKcuJapMjEnDOW2HuUF36PXonoayStXBgJai4JE/+Gv8lx2ejmfkZHQS&#10;+30WO7lE5uBbbd+VmFNQhHI3mW1kBVFBJEKcksOhAUUA1AqBUV1B1BwSwg3sKEdaBxgC6E9OTsbX&#10;njdvHnh9kw7wxMMPPxxVDzBEfn7Bjh0Ja95V6oEd1AMO/kB4WL5yiJjund6//yA0IB0MMlSJGgeU&#10;kxIEOtJh1apVjzzyCALlnnum3X7bnZMm3iYztj7yyGPLlq1MTclobmrt77NKXzRgwDYcijyRPAiB&#10;2LgLsoAaTQrff//96GdxMrB1xYoVMrCVZ+RJ5dqY4BwKuZAo/j2D3v17XJ8OefYN+vY6B72OIY9l&#10;j9024nTz0gKDiImQbw+nhQLDqvMjhPvv06NaPRhekJo3jzQGBkKBIZ9SDHDDiF91SiudoSAKYRFS&#10;8ydRWmVqVQVh5x68UN6omPgiACFlkqoHK6jRR3qIkR5WlIFfwhGOg9jNre04JRHI1hVcKCFCDKPc&#10;ILBA5MoiWj/SEqB6DoID0AO3oy7AB9xlV1KqtJGqgRV6FEZBsdImVAGcJBgL59Kuiz3UItwgcZ4E&#10;N3zzzTf/9V//BT0Q/vjHP/7ud7/785//jJLYs2cPerOpqQkvBgeHEkwK8FjLq6qbW9sAIOvoeBh1&#10;SzEeJrp/pEXPYeeI80/+3UsMkXjOvaJzTBulBEmzmiYlPLw7NDjMO5NHoATwL5AOUx0SanDIAP/l&#10;p3xMLy1OeB8UNWgAT6S2oQnpgEOdnp2bmpGVlZuPW4H2bGppg0s0JnrwqSkZbKN3/xaLZmZMaqMW&#10;PXhsO9m3GTyGaVdTlWMqkt3p6ezpo25VGmrRSBR5qodmBdXCS0Viy6OxDYQH3H71AQTnwCJJqRnU&#10;HBw2XC09nEPJKeVAjfFmAqGwgiOFRkGEg9CA2tFdDuwCsBg7QDYOU0tLS05ODmD6wAMPTJ48+dZb&#10;b0U63HPPPfj1Cxcu3LhxI2q7oaGxuqp2x/aElSvfXrXyHeihqrIGlv7kk8/QCvv2HjioV5zm58ED&#10;h4i5trY2KysrIyMD/72mpgZWAMQhjC1btnAjokU6cK+bb5p4111Tp0+/F3pg/5GHZ69e/U5ubj7q&#10;wcmzkSG+oE999xDpLJHEQ3Oa6QacemSq2WwpKS3dvHnLM888e/Mtt1xwwQVHD2wV/RQTnIMhFzQT&#10;2DPg3TfiOjTo2Tfg2+sa9DqHvLbdDvuwy8PLH+WGoH9PMDAc4FUqbvD7wpoeQl79ETeRq6k+QgEK&#10;knDDsD+gpv3QpHAkN4QCmE9FcjIl6hQsphgf/jnGBLipj7prsBMcLiguS8/KTUwBqVVvFqidnVcA&#10;fCtHrbMbz8bicFF5ReZSCNlSXOV2upArI05dLEkGd1H7Uko5R/Umjk6jxOVUaoo06oS7ICBgI+6u&#10;Oybz9PCndEp+RnauVirNUl+kpYfCD9/Ik3pDQTEty4LyyuEGvJ8Z90y79MIx3PD/O1aALf70pz99&#10;8sknOB2oTvQyJRgXgyA91agKtHZvby/VBqeDEknBogjqG0WabgkUUwlS32RH9jmN8/VjH35D32J4&#10;i8GB4eDgMBlHfmGSgzGn/VCNx+d5KVvS1oQ+aOvshgjKKg25hcWUD4oLJRVXBRnBcSikTX8LRjkW&#10;JUFBgWAoqeDJaKOTmBRHKZdK5ypaijSqqvIk01GwEy3QugVM5OqYGHQJPvE3gsOoWxiOML/yNikY&#10;g+HQkM3qbGlpb2w0IpBqG+q7TL02l9MNVqthnLhgYL1ffRCmGx/cfp/V6ejo7qmorhGvqqSiqsvU&#10;79LiPebWJ2VefwRzu7q6KP9LlizBo4cVbrvtNmlcuv/++1944YVt27YZDAZ88PT09A8//FBGLiUl&#10;JdXX17vdbrTI/v37D+hAtTp48CBxwjfI8ZSUFOoUVQx6IHA5Dv4bb7yxaNGihx56COkwadKkGTNm&#10;wBPc7sYbb5w6dSryZfXq1VzbPjrNKnVNVaujEi+vNTQ4AqKBVuXVNRs+3jzviQW33HLL+PHjoYe5&#10;c+euW7eOqBoaGqAH6XsgKqnI6udRcZ666VSphAnaSjnkSMxpZ9MkDaok6zKsxWvkp27eDKA+qUTS&#10;zItexwVBGQDNqISE5DRYAc89X3nuatpjtD5uDNUk5i4nZWSIoJySF6NTLPf2W1EqeIGZ+qM5PfLV&#10;kJ1fmJqRnUixT1YfTEAb6mOpSoMewNKpP6e1IXQgKsVVXrfT7/WoYW4kL7ImLi86yg1XXHzpZLjh&#10;9388Njf893//99dff42A+NWvfrV3715YBc8CWZqfn0/ZpYZIN3VZWRnlu7u7G4aIliduJiQRZQIK&#10;rvyLoClDBfmp1cMROXI8w8sOD+nxmtKjEsmyfwmTukR5BY51Izsywg1JUFjxTdq7eykBjcZWERNl&#10;avom1UBPSYUtisvUp5WG+kb+C2HorytBXTdgIVCuI4/W0ohzoS363+g7UiL3yH+N8ooc0TZ68j+x&#10;b+MG9kODVouDot1Q31xVU1PX1NjdZ0IDwAGKG1RLuxLFaiRnEJ8owHG729Xe3cPDInAR2oobevup&#10;1WPS/11MKQxdmKkFYDHlf/ny5Y8++ihIDcLKdw8PPvjga6+9hr+PyAbfIQlYAZf87bff3r59OxUH&#10;2KUeHTp0CFZg+9lnn+HRt7a24rPDDehyqVaoc4jhrbfeIrYXX3zx6aefhgbuvffeO++8kxvBRneh&#10;IKZOhTBw+desWVNQUEAk6HtSiEqISTnGsyMc2aHkgAsgC/mzcdOWZ5999o477rjyyiuvv/56uI2k&#10;SlRSkaXOUovZjo3t9NloadGlK1qKjjrt7BlgArYoxyhS4FVi5CD1TmuFfqAWTZBXWAz4qjKWmp6S&#10;npWFT1YCDteh143tALEJ/YqrPuq8xt7oxI1kRP0z0oOGoOLj4bV3qXUS4QYkAm+zkTrS3KqGzOop&#10;A5AuFP6dieqLH90Vka8HcdTqvkk1gKXPbjU77XaPmypD3REgxr+nHN47fcblF18CN9x6081/+t0f&#10;jqsboAfCN99889e//vUXv/jFvn37EAqoYCnNFH0CVAM9cJBSFR3qSkmV4oWrRWCHeiVFDaHLlqDT&#10;o3jCf8LZJ+QJeEEMuj0uQuwxp/0gTepP1JcRdlQEqSsYBcjp8ampu/Q84VJKIAb50pJtbkExjgbF&#10;SHdLqCHVHd29KA9kBIaDQ1GWHl1MqwppftEVGJWmmfhIU/+SunQUW6hKdSJ2bG7Qn/6yA/ab+21N&#10;jS21NQ2G2rrGFqPJ0o8rhlCACcTlEengDfiFGPqslga9cgPKOjk9k/oa0Q2nCDoUUd2yJIWWWgCO&#10;L126dNasWbAC9ID3DWrj48vA1urqahnYij++bNmyd999V+gBkU3tIIhvbjabqTsJCQn8F0qAVz74&#10;4APUAIrhJR1efvllInzuuefmz58PH6AeYIhp06ZBDzKpxlNPPQWRcKOenh5qGWmLTbkuObxTXXGU&#10;2qOo9PSZKQnclMuJ5+qrr5a+B6JCvqB7JIU8L4lU4ag4T4ep0nL4p7S8R39+PxZJDzlGLlEF8J2o&#10;FNSOfht61FTX2Kzab7NyVAsS7nlKGmVMtyAp95wKhWPOydJqpGqo7gEeE/9JGykhHqqb/hmp5lRV&#10;GAIegqKo2lU1dXooirOnz9KueiWNuETQBvSwfVeSYojkVKoD+ia/SDEYCNDY1mLsaO/o7e4191vs&#10;NofTATGA3rt27po5bTrccPlFl0y68aY//e73x9UNEtj/xz/+8Z//+Z9/+MMfEMWUP5PJJN3UkERG&#10;Rob0VON0cKSurg4ZQcWg3EfrgCIALSDY4XLdSaYYQo6fODeAjOQORmbJGE0p6zGn/SCNUhLFZWFH&#10;lRUBHGdVrzgiegIxofqu+8yqW6Ktg4KiO6vrcGpwHLTVgAulFWpSWN05UW+oawRPW9q78CdMZisu&#10;T59VFuBUczFJHSbn2UbTEE3AGIkgVf00cENAf/QbJBJ/qM9kgcqqq2pr6+qNba39NqsLf0MLBU7x&#10;+H0eNbcQ0K9EQ78Vsd9eXF6uPz1NozLwdLjJVNGY+560UT91oNDi7EsnHMVe1APwepOecwngRj3I&#10;yCXqAgxBvWD/vffeW7FixcqVKyGJjRs3QgPoA/5F3Vm/fj3kAR+Ay2vXruWcN998UxQDAXpgCz3g&#10;48vH0vDB5MmT8fdnzpwpM3svWrRo27ZtVDr5RiE25ZGSo14N+aAo3x8EwnjdVVVVMrB1+vTp11xz&#10;zY033sgtSCfP1dHRIQNb5aljIjwtpl0cQT3pblVTpMScc5aNUk16tFBQXzCA8lQH0BaXnIJUVFoh&#10;TfwIhdQMNS5IDx/FDSMve6Bb+EOaauWhRpn4VNuUtBMcqVw6TtWQi7V2dKNgZMp6lAoeHhW/3+oQ&#10;hmjQ88pQwYU/1GjatAyETlpmjmp8LszPLSosLCspq6qsxvNqaADP8e83fLhh6p13XXrhRdikCXDD&#10;cXQDAWJAPUiAHr7++msY4ne/+92nn34KuKORqSE4Pshh0RCIiZycHGk2lYYmzqHIUrwotewQKHAi&#10;IL4DN5BHenyn+lSE9ydDU/5FuEEKhyoregAPOaCXZFB6X4iBn7rmq/qGZ6EGJ3j87AAEFFzt9RgN&#10;9Y0QA/pXF5cs3W2FqijAodC9FGqkU6OxVX2l2at4Aoaw69lhdcyqoJP/EdMjbqX0c1Op55oqxGIS&#10;f2w7NjcgBDU34Af39vTXGOrLy6rqGhogL6vTDhn4QooMMOlsgBvIBriMEwx1tenZ2UhpqgFVt7m1&#10;nUcgbTH3PWnTIznEoaHA4mShjynelHZ8fPlCDaeegHqIDmwFfKkFkAT7ixcvxjHH5WcL0IP+cABM&#10;8Pzzzz/55JMogyVLlhDV66+/zr9eeeUV0Q0E9lEPREgMnIl6GD9+PPTwxBNP4PWLjADQKysrZbaP&#10;2JRHTEGMfk0KaHib+BD9/f2kDa56+umnSfmVV15JzFAdRIXPR8p5RlU7j6VFTt1U6dWFKsoQ37tu&#10;IHMixVi1IHm6Tf345vhS0oK0KykVHzwpNV074KUgsrGtw4S7rodCjNYCwfGIBpIWs2j838G4XBnx&#10;iI22HFAl4QNqdKWeGIZqS4XV0l91d5MkqAKvCG+Pf3ECCYYVdENTyo7E5B1JCTuSE3cmJyakJCen&#10;qbmH0Yu8dF79HZNvu/gnF1xywYUT4Ybj9TcQotyg9UNkX8Yy/fznP9+3bx9FB30AQ8A5kER+fj61&#10;hZCbm1tSUiKuE4zU3t6O5qUsUnwRE/CE0MPJcgNmc7phRTiTt0KtJyN4HzHn/CBttHAobqBwUBDF&#10;5Ijs65Kt6hgllWIkDT4cFIagoLR39ervrpuREZCB+piuYnRJiSoDqoJihFXXNaA2auobaxuacItA&#10;WN2dZaL8dZnULKf9Sliobm1eB+RBWaSey91PnBiwY3JDUC9WwxZF0N1tQjRQlOobGzt7uyEAaU0S&#10;bnD7ENfOPqulq7enqcVYXl2VnZ+XmJoG5+UVllBzSCocOdo4Fnv3kzB06uggV1VidcDLaWtrQwEA&#10;8fPnz5eBrXjf0AMEAKBv376d8k/VQFJv3rwZBAfoly5d+s4776AkEArr1q2DEvDc8f0RB0IDhOgO&#10;4VUdIAz2AfF77rln3LhxKBX2pcNg4sSJ7O/atQvvr6+vLzblGl+kwEhNCeghcBhEQuWlkqJdogNb&#10;b7jhBuiBpOLwUa+dTqeqpEfFeeombSOR1kvSdtixiD3zrBkpoTwDLOpjBT39UWFJeWZuPn5Gkp75&#10;DkeKIzJGFOagClDRtOJRU5apHT39l9Q7sZhbnLypPJGKLyZHSGqP/tQO2SJtACQYMJSKz2nskMP6&#10;cdTIRvVFnp4+AIcJqsvMz03PzU7JTIcYklJTUlJTKMbp6ekrV6zU3HAh3HDL9RP+9NvjtykJGbAj&#10;R5AOchAB8fe///3LL7+EJL744osDBw4MDQ1RjFpbWylqiGUERLIOiAluWVhYKOM3ent7KY6ciZJQ&#10;/oj0VOuqG33y6H7UdHaonKIMdfX283J4wupa9RkUMoocUacdeWFM5o6x6PHzzHgoxQqHBWaklZ9C&#10;MArK6hxwEF+e/WjR5CpKknYoZC5YL66O9GNTuLv7zHq8U0+THhcrX0vkFhZn5xfKwDg9/KmQ8qSn&#10;MKoh23WPVqS7IkIS6usBJeYol6SNZIw1ldRjvVYsoGd6iDUu8akxjLgQ3V2mqsqa4qKy+qamLlOv&#10;w+1SoiGkhIJohZ4+U4OxGWmcW5ifkpG+I2FXQnIKaYbnSCHeH/lDwsginYzvaD68Qj0/sXQ5iFvD&#10;vt1ux7+mwL/11lv33nvvLXqxB7gBXx4xAeJDCRUVFfhG+OAU/o6ODuiEilBfX4+nj7O2ZcuWVatW&#10;IReEAEQ0sM8W0QBhoBjYR1Kwv2DBAmLGu4cb2Edz3HXXXdwUKoKfMjMzm5ubY3JYJV5zg1J4KhM4&#10;qJoE2ZJ4HgR3Da9u06ZNUNTNN9/84x//eMKECY888gj0gIeHNkIkjY1qrEXz5zsYjh2FEPDSJScy&#10;78spxnlMG5tgseP9l3pBkQZki8sqKUJq9FFKmvp6QGmFHDAHb4lCRYHXlHZYKLDDI5C3oyNlIqMo&#10;5b9jb/fdTCdPvTJ2dL1WzemqC6RHcRgeXqGePIOc1L4y2ahOVlCgJb6SEU53n9Xe02eB0vAR64xN&#10;1Q11+FJFZaUFxUUFAHRhIeph9arVd95+x6UXXnTJTy68+bob/vTF746rG04w/Od//qcwBDhvMplw&#10;Nyj33IyiDzckJiZCD0iK0tJSfChkBBRCmUNGUDqRERa7Aw+UBzhcdnXxFeMnBwXpeGxEA3lRoNaX&#10;rwTF+Mm1KkckO5T7rF7JmJzl3Yy16PG4KYMwAFAgHlnQoqf3QiuQw/nFailTaggCOregmIqB01Gm&#10;l6ujFNY1GSmUqvWpq6e5rUPGZmDSJyZd3OgJtXWB8ErosKU68aYUEERaqGQQezjG1CQQamC8alYy&#10;m211tY3lZaq5q7mttdvUa7bbLA4bWqG7z9Ta0V7f3FRWWYFcSE5PS0hJ2pWclJmTiyeFPNKtSarw&#10;SB2OefCTsoD60CE2UNqFMEB8vGxg/cEHH5ReYumafuCBB3D28ehhAvyhkZGR/fv3s4VXcPCpCKh4&#10;yANYB/oREFACfKBkwpFBZAT/Ar5nzpx57bXXTp48GW5YvHgxID5r1izuO2/ePIQIcUr5J8OljZHH&#10;Dw/tjnkcMR5heHiY9ENdENiGDRuIBKaRvgeZsVWmIsdFJVoqIFuwhsjZOUXUo743tyoJ22exCbay&#10;PS1IGmPkhsCCsgj9qDEUyscfkCl+fWqwX5+Z8o8k0MSQDzEkpqQhFxAN/NSOeSuOlEYb9R1ZzF3O&#10;pvEI4odRc9s6u6tr66VZiSNHm75Eg+poPlAruvpNnaaetq7OptaW+ibV04DvXlJS8u6770qb0mUX&#10;Xjzpxpu/rU3pBANiAhmBhvjVr3716aefSunHH+nUswQXFxfjgMi3EVQh6YVDZeOtkCCqTUt7BwSI&#10;lNOzi+DzqjenlK8Wv5Fnizie4X6ro7GlrbzKkJNfiD+Le9ja0d2nYUBLuUh3lj5ZXcU+kQTVYgDD&#10;4mjHbaxRJ8k6xITuxHZSUXkRXXomyJb2Lj0hdivFDiag2oihLSoNdWWqQ7taTXJXoFb5R2tD2GxR&#10;4vLhD+iMQRg4OMLfyjdUMC3eFnZs3TAQjqxopvqi+yy1tQ2lJRX5RUVFpSVVtYY6inIDlaEalyen&#10;ID89KxNRDCXADfwsrayobWikkiOlce6k2Oibnn5uQEBE1QPuDgUb9TB2xtbb9aQawDoEUF1djXSQ&#10;ZaUhFdQGVWDbtm1r1qyBGOAVkQ7RRqSxIaohntYzLMENEM9TTz3Fyc8++ywkgUaZOnUqZ5aVl5PP&#10;GhEEDtSDj1aiWIPYeAoSQ/rhKpmx9bnnnpty5IytpLOppZ03qC7RIK5e3ClXJRlKS4Fp7+od64PH&#10;nHbqpuPUCdZplmzRj6C+FoKiYAWkMIU5v0jNk5+Srqa0gxJyCoooyRR4Hr8Df9vqcKov8CPsMvYW&#10;Z9lIgOYGtQX68M+w3n6LrlOxpkuCFAYZP6LGI1jdTovLYXHazXZrv9Wipnjs76dMIh+n3T310gsv&#10;Pm3cQJC2pm+++earr7768ssv//CHP3zyySdDQ0PIAhiirq4OhkBGwBBoCBiCwH5OTg6OSYWa+KFR&#10;LVfQ2Q0zq2YKhwueiHztLV+0aljhwdB9vCbcjfyiUrxaXifXQg9cxZvThUz8poipfBlVDEIVcRtr&#10;Gj7EdF7pcq9LkkIB6agAZ6k/bZ2qm8fY1glbkOdwAM5UUWk5XhWKG0tKVWuVUKkQHNQ03BkMUuFC&#10;mIa3hvsJ8aBt1VAoTUIWJIDVGWMOu9tuc1k4p8/SYmwvL6/KzytKodhkpKMP8ouL8ooKM3OyIQMo&#10;YWdSwo7EhMSUZP5VWWMwtreZLGrmQYoNjyAV48xxg18PbIUhCJRzoQdRD5MmTbrppptgCBBW1nvA&#10;O8NJ50JIoqqqCj2xevXqpUuXSiOStCYdjxtefPFFUBsamDFjxvXXX3/HHXfADRx/8803IRW4gYPz&#10;589HiADivDiVZj16Tb/WYz+7y+Ui2XADgQcBHSCwnTt3Lly4kGRfddVVMmMrcoSXi5egRyWoYZ1k&#10;rMadU6pNwBm+HUBMcdJ8phq+TjHOY5rGjUjMbIEISjUeN0gis9FADBTjtEy12I6WC+mU4dyCoqpa&#10;3FacjGi/pi5OarDQcbP07Jh6isNfSvuBSp4I3NMv5bimC4Ma2ci1roDP5fe5ZZhfwC/fJFMsU5JT&#10;Zs289/KLL7n0gosUNxzvu+gTD7pX4r8iPzRPyEdzX3zxxc9+9rODBw+KdDWbzW1tbUhUPBScEagC&#10;nlAhKzsjOw+WxvEEU/BJ8UzBFPmsF1TiFfLwymHRg1ZBK7CGEzhTpiatrKmjhMnJ/Fe/yDE5wlbb&#10;mSh557vpXDpMn0pr68HBalih3qFewdAgDn4TCgAOhiqoUbwC9GxrRxc8XVVTx4vLzM2HGzAIm1dT&#10;q2bPVvRQU9/IDifghZVX1WBllUpzlFZUVfC6Kw0xVlVZg1VWGMpKKwsLSjIzcpKT0nbs2rUjYRcc&#10;kJKRnpqZoSwjPSMnO7cgv6CkuLyqEmmMRu4191NUVB04LFDUo53iq/8WbgBY2ZeBrZRtSjW+9pw5&#10;cxANqAcZ2Ap2P//886iH0tJS6WlITk5+7733UAwC/cIB0nAk+2MDJyAannnmmSeeeAJugHJQCfxc&#10;smTJO++8s2LFCuIHypEs6RkZnT0wr1O8e0wjwrGBjJSP5Qan0wm9IeU3bNiwaNGi6MDWxx57bNnK&#10;1WmZ2bxrnDZIV/uep9qmBDfgVSSmpNU2NOO8Uw41up1SnMc0kirIrtEgMi6DAowsRt3i4ujZ3fFs&#10;1Eo7MrNAhaEWVxXJiwfD+VJHiAoMoVwpP/XUuq9O0dRr1WNtpapKIWdfp/MIk7cfsdGfSj0E/drU&#10;F6O+oJokhoCOxHOHG1R/wwUXftucGSceRDREfuifCIh//OMfIiP+9re//fWvf/3d7373i1/8AiWB&#10;n4WAbW5urqioQDRkZ6uh6Ii4xNT0JL1shXR+SgM3oKMdz24UEwyhK7xqZeOdcYTixQl5hcW5BcVF&#10;peBMDTiFRLXYVZsg1YO3KGVCXu2ZKHnnu5EnugwpMB01JdE4KDyh3U/VkykTwmhZJrArZ6plTHgd&#10;ZHt5dU26mlgmTRpnje2dQhu8R16ofsuKOdS7TknTo62zUlLSU1MyYiwpMZVtWmomlJCMuk9OT0xI&#10;gRu27dyxedtWDKGQlpVJGak0VNc1NbZ2dvSa+2xOJL/H7cOBUkAgz8IOtHfqDSDH4wa2+lsdtWIa&#10;3g+eV1dXF/SAL49cwLvX41onSeMS6uHtt9/+8MMPN27cuGbNGhSGtCNJENFwPG5AN4DXKIN7772X&#10;CGfOnMkRYpMP5R566CEIY+7cuchxKguvA7SlpsjLPV6xJ83CbezwLOyg8lEP5eXlH3/8MdwzefLk&#10;cePGwRCPPDZvxep3wE3cNbwEyd5TrE0gL+5gcnom3EBypeCdiRoqMSt/Wc+ZKl0LoEppZTW4IYsi&#10;UCzhhpz8Qspwo7ENbEErKADRvSDiNmGUJVJ4DniZ6u6UalWwR8s2SdLv+giLVITDDQOjNiBz7QVl&#10;yJ9wAzoyLTX13ukzLr5AjVOafPPp4AYCfECI7sMKbKGHaIAkYIhf//rXn3/++f79+/Gz5Eu87u7u&#10;xmb1tTfIXqwXtOGFyUKP6dm5YApHwBr+i++pvzPppPSzbenoMrZ1ojAKS8sLS8pEQGCcWdPQFBlI&#10;Y+qnKNgii/J/nzLwnDUpUqNgKp8sRJwsJR0iXTiqSvBfjrMvnDFqw8oT0QyBq6U5IB1ZQP53q2Yo&#10;tRQicgG+366X3MHYoR6q9sDiUmTB0ZabU1BYWFJcVFaQX8wWJVFRXl1QXJyZkw0rwA0JKcmFpSUN&#10;xubO3h75sBNK8Kuu63BwkKRGqEubjIyMfeqTtWNygwThBul7YAtDGI3GpKSkZcuWyYytuN4IiLvu&#10;uuvhhx8G3MFcOEBakAgC/RyRIEeODvxLuAGJQJwyPwcEA0M89dRTs2fPhh4gifz8AnDNqgu8hjBl&#10;Mc8SNRKsmhL8kblXSTwB9YC+R9nAYQsXLoTeLr/88htumvjgo48tXb6SF9fU0q5x81RxnOpJ1c7I&#10;zq1rNJptaqVCXRRPP+ZSBogcxdNtUr3NtXoRf24NwqRkZEFOSCJYqqi0HIHbBmVZbLCfIK8kaRSC&#10;SZtO3im7GqduOmHyciM5Jj9jjCqgeFFT4yg3cH5YsYIyNeWMqji6AAg33Dd9JsSgdMNp5AbhAGEI&#10;ZAQ7EuQECV9//XVUSfzxj3/8zW9+88tf/vLTz3++98AhHs9ktjW1tFUalKeZohdLEjdTiB3bvG1H&#10;cmo6bxGTcUq4pdADnIGLWlFdm6enyUV/ZOcXlugp52RxpX6rapUij+RlH88OTw0b81MsekRb7FVi&#10;Y0+O7h/XeKnHufxU7XAx+mc29iqKmjJVhihMyu+GD8TUTPzqSxQeWSlTRSGR+qwJg+rU2tFJ/gs3&#10;tHd243oh9dSAuSZjUWlZYoqaT1h/lZbFadW8My7o7Onq6o2xtjYwv9/Ua+7sUOsW2e0uq5V4emob&#10;GnIKClJ0n3Nji9Hhdnn8PlhBmd/rCaiPpcE5/SCHn06/I6kS0YPfwSIzto41vC1EMEHDKwShVizw&#10;6caZtra23Nzc5cuXIxcm6qXipHFp6tSpM2bMAMoXLFjw9NNPyxBVtAJbAhwQwxljA6Ty5JNPPvDA&#10;A0Ty6KOPLlmyBPohqvvuuw8SIpItW7Y0NDZKk5rgmuZ7TfOxj6NMPQIBStM7um3JZ7FYYAi73Q49&#10;ECGENGHChB9dcPE1198468FH3ly+KregCJcLV0BjjSo2OodV6Y3sHHWjY1prR1ee7vulIJjMOj69&#10;gKX45sqOeI9H2+hp/8yceuUDdG1NfVNhSTkeZ2Jq+s5EVRQRDXiiAE6zXk6R4ip9KmSaoKoIZe4l&#10;rUkaZyM+x1HpOXvGQ+nkqZTwk3zDS9PHBf0PGyfox5Fkc0S/r1DY4fM4fV6XmpdM1ZqgKs6KG9LT&#10;0lSb0kUXn7Y2pVMMf/7zn3/729/+7Gc/27t3L76MjJpoamqqqamhgJaUlOTl5WVmZkY6J3TgZ05O&#10;TiHupf7CjsCOjIbCZUtISEjRE1tyAjHU19c3Nze3trZ2dHQgU3p7e00mE3XApqd+IlCZCXh81A1d&#10;WZQ/JXWefc2pKlBn+EmQHU7mHLbK3RoT5EzZkSCuJUGOE+Qg4omdaJzR4+qaUwjEEi1G/9Qi1xwZ&#10;FEiMZoWkjYP8lCAHJXAaW06gYHV2dpLbZDsZDjj29ID7XbzHioqK4uJiGX1QVFTEf/kX5xMnOXDM&#10;QJyyus6ePXt+8Ytf7N69G/FnqGtEl+DlITh6+iy4rt9vFT2mefE/dNa1tLRQDoF45AKsMHnyZEBW&#10;vn5AQwDojz32GI75888/D+4raaAD+xAGKoF9tlHmgEgWL17M+egD+AYy4ELYAqqYNm0aTLN58+a6&#10;ujoKNpVfDCAAEUA3h/tkJr0IDw6O7OEqsBvB9+FHmx6b9wTq4corr7zuuuvmzp377rvvZmdnt7e3&#10;U0kp/2NLi/pzwtyAF19epT45BprRl3pcmep10Nwg0Kai0rI19lpt6gEpABqyFUrKJWIcgRLQT/02&#10;B6BvbOug8BSVVmTmqGFIaq6tNDWRdUFxaXVdQ6tuhbOPLpf2QzKyAm6QaiJCn3zzIKzDMke36m+I&#10;9kWDgcdYvyEC0t9TkG4JlMQf/vCHX//615DEZ599dvDgQagCgKD8geNgOsWxoaHBYDDABIA+BVRG&#10;PUlIS0uT6f8SExOpk7t27WJHGALOyEdsFxTAMeyAU0AYUcEWgBcxA1UUdKQ0bAEzESAMwMszOt2Y&#10;hkEVFHCOhsihUViXEDl05EE5P/LjqHPkv6cxnAluiAY5ostSJHA+fMZBq9VKlvKCACkIQD6Vh8Jh&#10;heTkZHYgCfiDM3m5P//5z3/1q18hHL84KuAo8C92ZPvll19+/vnnDpcbFYibl5mTh2RUsyQpODhR&#10;JDp7pr+gJlsoTmQCz/7mm28+8sgjcIN0TSMj2IK20ANQC+gD/VCCMAEBMhC2iHIDPwnsP/fcc5yP&#10;euBCKGf69OnEA1WsWLGitLSUO+LfCGiOwqsMwTgJBgWg0RygpEVNtWIpqzJs+HgzPET6L7300uuv&#10;vx5yWrlyJW8T8qOa8PZ5WKoJT632/4mzf9hgg9qGJt0IrOYHRV+CYvqFRvBdTH7GXIvpNh/VGTaq&#10;M9RjRg8iamGFtk418Zx8ryAjU2EFPbixtEKNTTUakbf682a4UAPouVecTs3IGS0XMMlJ6UsPeGAF&#10;ZWplvQC+aFhV4XORGyT8t+7Q/oeetUkChPGXv/wF+PjpT3+6b9++4eFhyiJePyRBrQNogHvKKBoi&#10;OjRWvseGFSAJ9Vl2cjJHogd36sA+hIEDC0OAXxJwbynrxEwA4NgKZ3C7/v7+sSKDAG1EmYMgSEqg&#10;kmjkVEED6RFIGnOQIAd5KxIUKh+lOb5DOHVukAQTJJ1jAwcjT6tlE5kggWzBaSUPyUwyFqji7fBe&#10;yHxeDa8JFUiWDg0N8UL//ve/y/uVMQsxgWIgx6X5kZ9cYrU7wBF8vZz8ovIqA26mdhXPucqsWth0&#10;FgHTVDb5LG7p0qVAqnwWh3S44YYbpInp3nvvnTNnDu4/WgFZAPQT2OEnIfoTVhBuYAtnPPvss5AN&#10;cgG8JjYieeedd8hz/BvcmlFsFUSIjmaJTefxTDdJqQ4kNdlRINRrtoLdmzZtQrKQ5iuuuAL1wN1X&#10;rVpFvTPq1eKkGEhp0e2isXEe03iDLe1duPNllQbdQdXhVGsUKQiTR9DjakQQHCPOUchTxr6cSZr1&#10;mDp3T5+5qaVNTVhdWAIr7EpK3aFW6EzLyM6jFNU1Nneqha8cnAkXApfSfnUOFqdTNwoAW5WfOpd4&#10;s3CDO+BzB9RQJRmnJMB0LnIDlZ8Q0zkhVAGC4Db+6U9/wpcEIKJ6AoihIFL9gCSwGxCnEjY3NwNM&#10;cEZJSQnigBAlD2EOTRaKLRAZHOE44gOeYIukgC3kQnYIEgOeL7UOXIONpGGKIG1T3BdPWURGtEmK&#10;LBaU17kdCRpUVTiaAwgxJ0uQc75bOHVuiCT3qKDo4khu4PFxV8kNYKK6upocIyfJTyFstig8aUTi&#10;5N27dyMFgPvoKx77xscGXr1sKQCQBFd19/YhGpLTMnH6EBDohnNzfIHXr5ZoHps/qCjKHq797Nmz&#10;QfMbb7xxwoQJaIhJkybxE2SfN28eamCRDkDwE088gTIgPK4DO/wXzx1WQILAEECzTMKKbiA2Innq&#10;qac++ugjymp7ewdMoLzpUdzUWXQSkAd2ACJq3KcekmBzedq7eniJmzcr9TBlypRx48aReJmxlVeM&#10;F0X5hxvkkU8cXoFmXiKUUFJRlV9UUtuoRyuNkgFgrZr49eCiY75l5f/KF3OaQtSYfa8frQDoNzS3&#10;Qja5BUXpo3OmohVU+1FFVU2DWi2zq1cN84VFpDtB3S7Cpj9Ibhjy684noXzVTejzu/yqsyH6fYNf&#10;j1Q6F7lBMCIaFFGMBu1HqrGwEnAkCXid//mf/4mk+MMf/vC73/0O4Pj888/hDAiDMoqPL1QBiIPm&#10;1EwwC8IgUHlAfwo6+EWxjrIFVCEBwiDIvqgNtpzGyeAdF0o8VVVVkBCRUzGkVUrkBdpC3CiC8qWP&#10;EhbRICAraBs5pIMcPKe4QadUBVLFTxLJc/GYIALAR1aTz3AnGRulYfKNLZkMrZJF5MCBAwdg9z//&#10;+c+8O17oMd/72MCr5wS2cAPv/Wc/+1lrewduX4IeIIvfh9d5znIDeTUwMEB28eBkFAUDOYUL8vrr&#10;r99333233XYb2Iq/LySBmHjwwQfnzp0LQ8AEyAh+Pvzww+gMdthyBLZAK3D5G2+8wT6CY8aMGagN&#10;OGPq1KkTJ05ky/7WrVuRvwCl9qkj0kFcxZhEfovJJaND+Ae41uZ0U8h5xcQPUZFm6IH0Qw+oh9zc&#10;XAqA0is6nDi8wgR2lxeY5oVm5xVUwve6R1qPvlW3jqTkOG9Ze8HqAVXXgpp2VK3I1tbVU9vQVFBc&#10;lpKeqQc+qHX2IQlYgTKjv222q49qXZHZIZVi0NJKhiH9ULlBSwf1KsleSLHPYjM77RaXw4ay9bo9&#10;ft+5yw0SIqgwhhsiv8e4lkIVHOG/7AAcY3kCkkBY7N+/H/90ZGQEqsBJp7xqfFZBdAYITnUF0IEt&#10;Ki0OLygv7eMGg4E6AJ1IrwZeMEWfWi3agn0CO4AgAaooLS3VHeHlQhgiLxoaGqiiVJi2tjZu0dnZ&#10;yb3AUPgD1S8dGyI4eBkEkR3SSAXy8pK+d24gAQTFDGPYSxpJSDzPIt8w8rA8NawADUgu5efn8xMy&#10;5r8mk4knks5klB8QL2+TwKuM7B0n8H7lHHEIDh061GRsTVAfRqRX1za06CWgNfydc5XZF1C5R9kj&#10;G8k6MpCCx7umpEGZMrAVcAdbCdKyhAiYNRogD3AfMcEOAXqAGxYsWPDcc88hKdgR0YDC2LhxI2D9&#10;1ltvyQdxhKVLl6J2gb/RblU1+FKj50lzg/TlCKZgPALvnXeNOiEZd9xxx9VXX0364TCeCOdJGpdU&#10;KTnhN6J89kCot98i3FBRXdPa2d1vdciIc31f5e1q+D5GnDJwyKnWx3WKVkBNFpdV5KilMbP0BzSK&#10;Fcoqq2EFCoziBf3FOE8XNc06aky2jlM96dhb/DBMc4PqgkYnqaa21vaa+sba5sbG1pbWzo7ufpPV&#10;YZc2D2r3OcoN0SDoQIj+FCYgaNnwFTtyggR+Kk2hQQSq+NtoEM74ow5gE04rgR1+iuDAk/3iiy9A&#10;LqBH+r3hEjy+4eFhKjaQDY4D8XAGtQIXuKCggGqQlJS0c+fOHTt2sJWODbYxAbUBiwCU8AdYCXlI&#10;wxRViAhFbYCwxA9LRTszeENUQtAEcNEQ/R3DqXMD4WhuILXRtiOeCy2lNJfuyElISGCHRyajOIFr&#10;yU8ylqzmLfBqFNWPmdCXHTlC0O/wGIHT+C8v9MsvvyS2xmYj3ECFr29qwdnE9QsNDsc8y7lg0qYk&#10;uSckwQ61Dm9ABrauWLEC0NefxKlv4u6+++7p06dPmzaNHTQE2yg3QBXySYS0NXGQMzmCRPjggw8o&#10;VIhjpPCmTZvgDKJCfMAW7V2qKd3p8YPsZBG4cFIMyskaN5WrDv7q713UswD90ANeFFUAorrhhhsu&#10;uOCC66+//oEHHoAecA5wfXjME78XjMXJ6D+c+uy8wvKqyEdn0jPMvwSyScMx4+Qc/Q2svaWjq8JQ&#10;m5VbsCs5deuOXVv0BzSUE8QCERI/ZIO/HG1BGiUGpTmEDNjnuAxdHXuLH4bJ8CTyEGqUFrys3Py0&#10;7MzsgvziivK6pob27i6zxSIe6rnODWc5ID6iQ6R+qQM74Nqnn36KBKFuA4tkHBWDqoikAP60VChH&#10;NBQVFUEAVHhkBF4zcJmm5xNkRxQGQRgCXiHAE1xFfUZngLAynke6weEM2UIbVDMhD2EOAjsEERwk&#10;horKi2QHUiGwL5qDoOWRUs0Y9SEyG5VumRUPIsagAWq+KCoJEjOuLjFzU5LBg4NrcBtyipTzINJ2&#10;JIFnJx/4F4nnEgDxN7/5DRxMxkoOA/HsC9yfSIBLhB5gfaiFN8JDVRlqk/UsN82tHWqQkv5a9cSR&#10;6KzZMb+Sg195QQRyEr/hlVdeQRDgfaMbpk6dCjEA+oDsQw89BCXcf//9s2fPfuyxx6QfAlaQUUnQ&#10;xpQpU5AR69atI8N5IxQGygz5v3jxYmAaLoGhG42t3SYzr15nTqRlKSaRJ2uocF4rpQ4tSMl/7733&#10;nnzySdhIpuQjeTKwlSQB7vjmgBFoK066+zhfO6sehUAI4O7oVl8ewBCFJWW1Dc3APQmm0KIJeMsC&#10;6OxoWFc9EE699i38p+VCCxdCDLoRKRVZmZqZjXQoraiGGNTAWIf7B4n4J2jkvBQDKBZA6FRL/bRA&#10;wzmFBXnFhUXlpRWGKkOdGokD6+PVbdm8efrUe2RNULjhj6dlrr3zN4BcgBE6A4YQbcEOggN0+/3v&#10;fy/C4mc/+9lPf/rTzz77DIUBYezZs4fags6gzgOjQHm0haqhoQHER2oA/dQiyKB4tEscwgAXCJAH&#10;kAq8cpAaxQ5b2SdwMlwCtbADkUhrFchLhOwA0I2NjdyIesgdwRoCd6fSguNCJIpCHC6LWp5BrQWN&#10;ewVDQA9SUGKMRwB54QOAhgslECdAz7NwR9JASnAMSSeBpyCQWp6LVJESHh/UQ2yROeA4mUYegulR&#10;PpAclv0TCWO5QQawkryyiipqfl5hSVtnT7/VDqwI8MVUhu/djje7BgHmhjuphJQBGdh63XXX4YAj&#10;IOAD8P3111+XgaoEfi5ZsmT58uUcgTNuu+22CRMm3Hnnna+++iqZr1BYN1FSqykzL7zwAv9FWKgu&#10;h5b2nj4zAKqdYpVFp55LeA8UEgI+BPfl1W/evFlWFpLlgKC6lStX4gbpGVvdSBYN62pkvW6YOraR&#10;MDx66ZEur1K9xyXlVegAYoDbIAO5li3Gybx0u9urxyC1l1fXFBSXZubkJ6WqVXdSM7Iyc/LgCUN9&#10;Y4OxFb6RTxaO113xL2KROq69KFgWQIAvUZbNHW2NrcaaxvoKQ3VxWSmAIz7u6lWrbpt06yU/ufCy&#10;Cy+eOOGmP/zmt//S3CBBkEgCWEaQfXCKAMwRZD/acgV5oDAgDKGKcDhM5QfFqP8ANFUI7JaeDEFY&#10;cl/QX5rmJQjayhbIwO8T5mA/yh/gsqAz57PlRcroKaIVwgCjISQ4Q8hfqY+Orpb2Tqoc1tbZ3dXb&#10;Rw2kthzD+vpIamdnJxdxLTEAN6IPuBF3J2FKHYwmiTSQGG7K+bAIBPnJJ5/89re/jbYdkZnsSDYK&#10;xBNkX7L6nwaulavY+eMf/7hv3z4SWVhckpCcWlRaQeFWswVR6LU3FFMZvnc73uwacAPYKkxMbpOT&#10;4D4qYfLkyagHuOHll19etmzZ0qVLYQhY4a233lq1ahWA+8wzzyAIJk6cOH78eBgCbqAISbcWW94F&#10;MC1dxAD09u07olPWj3KDoENsOk/KSDP0z1YYjgKD9yPLAd16663jxo1DtUB1qIf0rNymljYQXzn+&#10;alY+1aZ/zAQEB4Z5g9I0hNqoqW9U89whHRqbKa5Rfx8+IB7O4a1TXME1WV+EG8EKaAUMYsgrLC6r&#10;NFDme9VCtuhoWadTjWXSbkTs3f9FbPTt68qims5U377T57e5nX02S0dPd31zU3mVWmsHYgB53nrz&#10;rVtvmXjJBRddcfGlt9548x9OfW2fH14QbJIQOXRUALkARBhCui6kJQp58akOICagtnv3bhxq6RLH&#10;5yIgzO12O+SBp9/V1QVMQCHgrCCybqxSnRME0FkGVuGm8fJAAXA5hloI8AfbKIVwZlFxMf41Xhji&#10;GpPFFfDIZCB5rJWVwVtyC9iLSKSJjBvBCsTMEf5LqkghSUWd8AiA3d69e+FFnhr4ltFHilFHOUCy&#10;buyREw9yLTvE+Zvf/AY8wk3OySuAG/AuzXrFdu1IquIeUxm+dzuebsD1BlXZ4ScOBEROPr/33nt4&#10;3/j706ZNQxzMnz//6aeffuWVV6ANWAG2mDdvHogfHa4qDUdoDvQBVM3b+eijjzify+WjZURpF0AL&#10;lOq+aOEGvRObzpOz0QEd7BAowEhVigS0BD2gZrg7JPHoo49GZmzt7P6nM7ZKdxFopdSAy2ts6ywo&#10;VrOiVajZ7lp5COkh4FEQCi3tXTX1oJihsKRMepuxtMycrNwCjlTpaZghReld4CpNSAoKoSjhmH9Z&#10;09qLYnD4K8hAeMjl99q9brPd1tPf197VifrHKeSFvrfuvbvumHLZRZfADbfdPPH0rN9w/gbBLwlR&#10;VJKdmBA5aQz8AV5RPSHaQlSFbGEOgu4X/9uXX375l7/85c+6M/z3v/89kCrjbuEPQBYKgT/AXGkR&#10;YgsER5WHjJtCIgDiRUVFIiBwPOF58eWlk4OgB9+mpaerxaqS1Qq3Sm5rU5MEcPBoQ6kQSfRaQjQq&#10;7iIdCRQdsABQi/Yw8zg8oDwyz06ekBWEaOZI/ujcOmluiAYi/PnPfw4S4aVm5+YnpWVU1zaMVn5d&#10;3M8fbmDLK2YrvTtWq7Wnpwf6B+XhAAjgrrvuggDmzJmDMkAxoCEef/xxGcW0YMGCp556ih0Z3YTa&#10;eOmll9asWbN+/XqIAUSeNGkSzLFo0SIY3aTbUqQxB28Ri0nhdzCRCwSIQdqXoDcKKmVy48aNqBbU&#10;zzXXXKPUw+w5y1e9nZ1X2Nza8e0ztgpm6TeoJt7v6bMgCEorqguKS0vKK1XLmFrtQ80G39zaXmmo&#10;RVVQktW8ailqHt8MCoSaCr5WaYV+tIJqO8WkMUriF3o4BwvJ2TT15eNoi5w2JeO84aAnFHAH/C6f&#10;1+lxq1GSes6b7du2Tb/7HnTDJT+58LSt7XP+hih+RYMckf9GDo0G0EqYQH5ymiCjBDlIkAvHYiVb&#10;9uVa8FQExxdffAFJyKApdtAcsMWBAwdku2fPnsHBw029iHqHwxEVHNCGBN4objUUEu3qqKmtNdQ1&#10;INIxvUZbLVWuqKyCunS0wTQQAOqBes619TogEYxGI3fhdtx6YGAA9iJ5MoMFj6Ae8kjElwcksC87&#10;0SP6XBXkzBMP3AgFJi5qdl5+elZuXZNRhsBLnT8Hq/3x2pTIwyg3CMICtdAD2Q43v/322zjgEMAL&#10;L7zw2muvAf38fOyxxxATL774IhyAPkBMyHBVVMLDDz8MIvPzkUcegSruuecettAJKhOUFO48jdwg&#10;aZZky+NIsezr64PeNmzYQMpvv/32cePGTbh50oOPPvbmilX4Imo5INXif2zdIK9POJ5zIBK0Au8X&#10;yQvuI3MNdY2VhrrSyuqiUt5+QWJKup6oMRPdoJZYUDNtqNl++612h15OeBT+tHesuyiEfo55938h&#10;0302ks+j9BDyD4b9A1hkHlY1oi4YhOwTEhJm3DPt4p9cePGPL5g44aZ/dW4YC1uyL4gmyE6Qf0mQ&#10;E749HPNMIRVii/zWQfotOM5/2RdhwVbUBigsOoMt+/ITn12asAjoD3glOgwXCTIyMjI8PDw0NIxg&#10;HxjePbR778DwHqoHmp0q1KmXdI6xjo4OBIrNZgOqAK8hLh4eRtMQ529+8xtuQXq4NUmC0mLSz2PK&#10;wZhHjoqJyG+dpWzltBMPRPLJJ5/Af8XFxTn5BVm5+Q3NrTiG0MPoQPXzRjcArNEmezkIvCIgEIhw&#10;MOKMavnBBx+sXbv2ueeeQ0bce++96IY33nhj586dlZWVcL/0ACMUIIYpU6bIB3Qg8v333z9//nwo&#10;BAlS36B0FZnDS9eO8+lBRpIqgcSz5Vl4EKQP6afk4Exwa7iKJP3kokuuveEmPWPryuz8ws7ePukc&#10;iokQgw+0pFCAhb7A2IEeIIW0LFnERfHBlu1qTCq2IyE5LTMbSdGouprVV2zQiR6fqhbQ17EdbkbT&#10;nQ1i8hFD7N3/RYysEAJmXzPlqIBQE+3pxRtCZFqkRFIUExMS75sx84qLL8Vuv2XSv/oY1vM6COyC&#10;oSJEpNvjl7/85a9+9St2AHd2fvazn0nnB6B/zIAmQKZ89tlnXCiUQ4SEqO75DrB+KkHuSIAgSXZN&#10;TY3q/8hV67mDCsABhVu7w2JHVIbzyHS9VUM8Ye5utWSxsai0Avhb+/4Hby5f9crrS5etXL19VyL+&#10;sR6K6YPIwU1Qcvmqtxc9t3jO40/Mnvv4gqefefWNN9et37ArSS23hzfd3tVjsTuJk0u4C4igPnbQ&#10;uKAtkm+nricGR/YSLcjf02dGmK55/4N5Tzx16623X3bpldddO+HJJxdu2PBxfl6RsbnN4XD7/SHM&#10;BzPqJcGdTo9Lj66WmTkwtA5Yj9JFJaAbdiambN2RsG1n4s7E5KTU9LTMnFzEQmU1xNClJ9MG9GPS&#10;czYNwNUJkDxUc52SyTK8SkhOQ3BYfV5+7vV2KDWpFvZRhm4IhNUXUQRn/PuGH1IAQIFvQFx6OERe&#10;/FUHER9s2UdeAPoojKMDKgQygFdErxAJUQkxfO/cQHr27NlTXV2tOtvzCoAGgO+HxA0KQVSLSsCm&#10;elwtrR1dTS3tslBlYUl5cVlFbUMTyCs6iQfHXZa1knDJZY1uNT6nylDT0MRxLpRVTMgl9YGxSzns&#10;wQHV5avgIMIHYy02SSdlRE6qAHfoocvUX1hS9tGWbc88s/i2yVMuv2zchBtufvSROe+8vbaosLSt&#10;tdNmdUIMWMAfDoeGAoFwQEWicgDvHmDt6uXRWmVqPBjx463bN29DKqTqkanVVTX1/LddDWCy69w4&#10;djvVWTPN66qnRGeCmrOWV0PyOnpMJrONnCdn5OWeg0Pp4tzwLxEiIHpkANAF06PngPJf60nrjg7R&#10;k6PnE453/OwEuSl3h66GhobKyspSU1Pz9Nru+M54xEomnyaA+14t+ggKaHAwARTdBjLAFvcTzMWb&#10;Zl8gRvxrkNSpRu948bL19BgKKLnQrJevAUDLKg0Co3q8klrrWOKXSPipUVUsJj0nZ9wXQcKtiQoH&#10;GXCvrmv4+OMtTy98duItk6+4/Krrr79x7tz5GzdsKiku7+rqhQ+CwQG4IRQcxLz6GSG8PoutrbMb&#10;eYTuQR8kpqTDDdt2JSIXYL7yqpqW9k4i18tzqX5m/QiRdpLvy7h7NGPJZPi7ua2jrtFYq+bn6OKJ&#10;eHecI80455rFueFfNwiwCsJGDh2HRQjRMyUcfbIcOZtB7ouCQev4/f7CwsLk5OSi0jL8YvBO1zpV&#10;LU8LwH2PJviCCWSDI6HBkdDgsHBA5BkjHaqjU0fIV2BAkna3lfscUovIcxCchQrIH3gBtWFQozrb&#10;TWarXshMPi1W7RsSswbWU806YJGY4QZFPIEQd4e5C4tKN3289dlnFk+54+7rr7tx6tTpL77wSmJC&#10;SnNTa4hnG9oDK0jjEtzWbVIzaVfV1BWVlmfl5kMGamRqVg77BcWllYbaBmMrtAHUWh1qcBo3Itk8&#10;BZzEHWPSczZNHplsFG5Az5BUqJFsN7Z1RLghksPnXBGNc8O/bhBslRA5dHxuOEGJ8C3/OhOB2/35&#10;z3/+/PPP7XZ7bm5uSkpKRZXB2N6p1qJUal2g7ZyrdSdlGln0fPp6ziINdqrZhwcE6NkKmo8+ptrC&#10;AYobEBb6Qna0aYLRE+RhAJMMBq2pb0Q9qGE8mh5G41Qd+KMZeER6voNJ4jVKqlkuEAGdnb1VlTWb&#10;N217asGiu+66Z+aMWYsWPbd1y47a2gb4IBwe8noCTodHL/LaV9/cUlhSlpaZrcYgJafu1It05uQX&#10;knaIrafPokemqsQrFpQJU88ZbtAjoxQ3wAMd3b21Dc1VNfW4L6q/xyHfl0TlRezl36/FuSEejgga&#10;+f9JiJx6rPDt/z3tAcb64osv9u3bZzKZcnJy0tPTa+oaqIGgzyhcnh50+x5NI4sa/h+Bdb2jIS/y&#10;dBpZDu9zicybFhhdoYFLAE1AWeO+xujQAB4r8ARIwRB6Te4us83h8ERm1gKzRrkhNj0na0RCArBR&#10;1AYxQy6nt7/fWlFR/eEHH73yyutvLl2+YcPHeXmFra0dDofbbLa1t3cZm9sa6psrqmryi0rVcmx6&#10;zlS9xIKaNhVKQyuQZlKrnmg0E9Qt9F24nT7+fWJulBvIT7PNCZPpL0lVVzmcp5vyouPE4twQD99H&#10;ALKjXn/k0GjgCAgrI44I7Ef+8a2Bq46OinDMg2cukOBf/vKXg4ODXV1d8il4fVNzt6lfvuoSuNQW&#10;W+7PIwM4NEyrxxGPGMjDFNrqlqLQ4HCkJ1ljkACiXKVZQekATDKEGGRNeXacXj9yobGlrai0XDrw&#10;kQ7QgzQu6ZueHm4gKomNhEmSHHY3ygBZgFAoKCguL6tqMbb39VngDLvN1dTYUlRUmpWVm5aq1lfY&#10;kZC0bReaIRP1YKhrbGptVzSm59uQrJDcUHfRbWja1M/v/e3zvPLgZGmvmvCjKbdATUYgi5uSB5zD&#10;uyCRcW6Ih3g4bQEe+kqv2eBwOBoaGtLS8CozG5qM/TaHBkdVJwPhoVGYiC36/8pGzpAtkITbH+zo&#10;NlXX1mONxjZZwMDmjHwvzRacPRMDW9VYVV/I7fL191m7Ont7e/plmuA+kwWtUFhYkp6WlZSYmpyU&#10;lpyanpyWkZ6VU1BcilYgtarr/Bx4oRr34aRI9wxbjJxR/E3W6XFlqDQMT6W334o0K69WGqi0oroN&#10;ZrDYkWjq8sP9RrG3+H4tzg3xcB6Hr7/++sCBA/39/dXV1ampqeiGxuYWxPsoNwjAxbkh1sSXB5XA&#10;L93Z299obBWGaOvsBnx1s1LEGVcYEeGDsRYb58kZ3OMPCz2gIex2l9Ph6erqbWwwFheVIRcSdiUn&#10;JCSnJKsxSCXllbBCa0eXnudDjdMl/bERnlVTOUAaND1EvBB1UHfzKG6QUQCaOSAGsre+yVhWqWZ5&#10;Kiguq6qp79IrCPFfXTi1xbkhHuLhNAa4Yffu3a2trSUlJXBDbm6usbWdWkexlkob54bjGXAGAYCz&#10;SCuyCPwy1DWUVVZLc0ef1W7TH04L/IFc2GEQPHVu0LoBgyF83qDd5urt7a+uqi0s4D1m7NqZBDdk&#10;ZuQgIGAFPG6T2SoDz0gAqdXJOCrOs2U6GdGsED5Q6wvJDltYwen1W51uGKCzx1TX2Fysp6JhSyYj&#10;zsyjCxPpghrnhniIh9Mdvvrqq4GBAfkiGm4oKipq7+yyodV1hyegpoFP1eSxhT5uYkoWBMPBAbXo&#10;mxo7BIo1GSMjLNVYL9XoAT3oZpNIy8lYTDwVg5G8noDH42eLbujs6DFU12Vl5iIUdu1KSkxIyc7K&#10;q6qsaWlp7+pR88bjfZMATQyqmev75QZFlqP8JGRAhoz9CTFArm2qq7+lorqmqLQ8v6i0uKwS9aC/&#10;1nZyAjnJyTq2ODfEQzyc1vBf//Vff/vb3/x+f2lpqSxuUVFR0d1rAtE0JYxyQwTOYov+v7KRIRqb&#10;dMu4blkSDsA9hx7UF9T1jVAFKCZLb4rCiDQxnQ5uCIOh/rDH7bfZnBADiiEnO3/nzkQUQ1JiKvsQ&#10;Q0d7t9XicB65KKG81u/3hQo3kAnCCvwczUDViIS+gcvgtLpGI3yQmZOXk19UXF5Z29BEliJqdVc/&#10;UBtZmkI/kSLdmLt87xbnhng4X8PXX3/95ZdfejyegoICuCE/P7++vt5ktoAjwYEh6eKjBmocjHPD&#10;EUaGCLpR/wE14AxQgydA4W6TuaG5BW7A523t6Ors6TsTA1t5Qz6fakqCACorDCgGtEJCQnJaWmZh&#10;YUltbUNnZw/E4Hb5AtoZBzoFkcc0bcXGedZMUkLWCbOq5iOHaj7q6bNACY3GNnKvqqauorq2pLyq&#10;oLisrNKAYujo7lVriuiPMHTmqzYoohLGPXW6Pe0W54Z4OF+DTEkr3IBoKC4uNhqN/RYbdS84OBzl&#10;BoWAcW440sgQ7eTKBxORr+rAYQyq6LPYZTqmqpp6Y1vnmRjY6rC7bVZnV1dvdXVtRnr29m27tmzZ&#10;jlwoK600NreZ+22wguqQ8Id8o0qFLaygmUy+fI6N86xZhBt0PpAnMp8HrAAlyDd6yWkZGdl5RaUV&#10;hrrGlvau9q5eBJn+Zlv6b1Sey0ON7p+LbZ5xboiH8yb893//9zejC0qz89e//vXzzz/v6+vLzc1F&#10;N1RWVnZ2dtqdLuBDQ1jEwZRtTLn/FzedLbFGpsEN4gv39lsamlthCKSDxe6KzFunfFvO1ANbj4oT&#10;G83zGIsgO/FzIfgIuPf0mds6uysNtRnZuTsSknclp2bk5JVV4V+34H1zTkB/txEj+2R/7JHTaALT&#10;ekpU8evH3nRUtYwaZUzGdwH9TS1tZFRtQ1N5lVqbOiu3IDuvEGJAOsCsmhUiZXI0EpUn+hHO4OOc&#10;usW5IR7OgwAfSPiHXiOaI19//fUf//jHQ4cOdXd3y7qkBoOhp6fHoee2pPrpui0VT+AptujHLcbI&#10;JQ36CsRxcoHvbpPZZFaTFKEbUBgCl+QngmPshVEbJYMjTN6FCDhAX3vZ9pqGppLySlzsHQlJu5JS&#10;c/KLZGk20JbbcQnna2IghrP07iSpUfSXW0MV8KWwhZQlbzBsd3lAfJmysNJQx4MgFzB2yqsMhrqG&#10;Jp6kRy0doTtsYFYfl6vSGOldOBdVwtEW54Z4OA+CfNEd5QbC3//+91//+tcjIyOtra2yFHZdXZ3J&#10;ZHK649zwnU1yTEG/eNDkpEsvxaybcQ5zg96PuVaZzupYEyjUowOgHFdHdy+OdrFe5X/7rkS4ITuv&#10;QPppbU6PtFzp96UoCjuL707dVOfAYZOmNvIBc3p8pB9i050KrdBbRXWNHpxamltQXFRaXq3mHmmH&#10;U+0ur34K0Ul+oVVhxzg3xEM8nM4Qww38/M///M/PPvvM5/NBCenp6bm5uU1NTRaLxeVR30bp6het&#10;52cTX85v09O7qjZ9vT8CnGl6UMg4yg0qS4834DLKB0eauopoUQzt3b3VtfUFkYX+s5NSM9gBUcFT&#10;YJdbyCWcLBiKnbV3J7cmqXpCETW6lH0Bd7BeDz3qrVdrZqgeZiihtKKqvKqmqrYekqhrbDaqb53N&#10;ZptDvs5TpKJ77yX9RKh71OPcEA/xcFpDVC4ISfDzL3/5y549eyCDsrKylJSUgoKC9vZ2Sq3b64tz&#10;w3c2+ICsIwPBBTXCUk8EpDBaUJ78FDtOfgq8xhgqBNkBaLZ2dFfV1OUUFKWkZyanZaRmZOUVlqAY&#10;evosDjdvTckUtuCpjCPQxICdpXenHpOb6juyj1wgVRa7y2S2dfSYmlraKw21SISM7Dwst6CopLzS&#10;UK+6mkm/zO+k0xyZDxFjn6g0K0RuwU/Jk+hNz2WLc0M8nAchhhu++eabP/7xj+FwuKurC1ZITEws&#10;LCxk3+PxuH2RpQLi3HCypvNKjV+SbudoG4jKxkhOatMZG3OtmABfjOk+W3OjsbWssnpULqSn6fmR&#10;6hqN0gKj35fSKNw6CtBcKztjb3HmTLhBmAxKGB2Q2lpT31RZU0fii8sqi0rLMRQDJIeGaFO8IOsm&#10;qQFI5JjKNM0EUIJMaBh5kMMa6Li5d65ZnBvi4TwIMjwpGoQbfD5fS0tLTk4O3FBUVNTT08MRj24a&#10;jnPDdzBySZpBwEfhBtBNBguNyckowB1xrdjoCUdYZ48JhMXLzszJQzGkpGelZ+VUGupaOrrMdicv&#10;Sze8qK8U2eHF6fuqT7W5UbRN5iwYaeDuyAWL3Uma5ZPmvKKSrNx8TJahVnzQ2Q2f9VvtFofL4RG5&#10;I4qHB5F+BaEE1dmgn0hkhNrnYMxNz2WLc0M8nAdB+ECIAemAjPjiiy8cDkd1dXVubi70UFlZabVa&#10;/X6/V6PJKH4JosnP2KIftxiL5pXOrtgcO/K/+ohWFYJ6wB/7oORhWAyEUAzGto7m1o78opKE5DQs&#10;NSOLfUNdQ7epH3gFW8Wb1rgsjUiH7xtzu+9mxKmjFV9B+fVgd+S/2sHnv9J2RHpQAUA/BIAsKK2o&#10;hs/yCotzC4qK+FFbz7NIvwgMGk1bjEXzLeZ41CK3Ph8szg3xcH6Er7/+mm2UHn7zm99IZwPEkJ+f&#10;bzAYbDYb3OA7Tzr6zn8TsIu2lihYd2vXGGKwuzygLd53VU19YUl5UmrGzsTkjOzc4rKKukZjtwm/&#10;26FHJammGDBaXTX6NdnpNZ0wZdFugKgXr1MeaUHq7bdCCaUV6jNmvcRCcUl5FYkntU2t7Uicrt4+&#10;0iwfkJ9fEP+dLc4N8XB+BOEGCeiGX//6193d3Xl5eZmZmUVFRXV1dXa7PRAI+M8r2X7+mgbcw26y&#10;+OOCtjaXB/Q3tnXibGflFiSlpu9KSk3LzCmrrEZDgMJOrx+QVU1/o230Z44bFIcpGlOMJY0/EJLd&#10;5bU53Ra702S2AvqtHV3Nre0QQ3ZeYUZ2XmZOXn5xaXVtA4/QZ1FLpZJaGYqqnlqT4lF3+QFanBvi&#10;4fwIY3XDN99884tf/KK1tTVdh/Ly8ubmZofDEeeGs2ZwAEDJjm5ejwzFAesdHl9Pn7m+uaW4rDI9&#10;K3dXUkpKemZ2fmF5VY2xTU21jaRwjY6IlWu5kKh0hGcIc6PcoIgBlO+3OTq6VS9IpaEOStCjUQ3l&#10;1TWQGVqhtqGpua1DTVRusfE4pEpbRH9oi3NDnBvi4ZwJwg3/9V//BTH87W9/O3ToUGNjY3JyMtxQ&#10;W1vb0dFBkQ0Gg3FuODsmTrR4/YAvyA7y2t3ebk0MRWUVqRlZO5NSEpLTcguKqmrqWju6gVoccPhD&#10;E4NIDYlNge8ZGpKkYtZzdTjcPqvDbbY5+62ONj1Jakm5EgpZufmyfFBtg/pGodvUj57QsibSj6KJ&#10;YSw3qJ8xd/lBWpwb4uH8CFFugBj++Mc/joyM1NXVwQ1ZWVlGo9FkMrndbgouQBNTxON2Jky4QXfn&#10;qtFEDrcX5G3v6q2uaygoLk3LzIEYktIy2IcY2rt7LQ4XzAErBA8PfFIdFdG+Cv3iTv+7I21Oj9/q&#10;UGNSWzu7I2NSDbWlFdVFpRVYWWW1oa6B4/BCN7pGLccWCkaW1B7ttT7Czkg6z0GLc0M8nB8BucBW&#10;vnr74osvKKPCDTk5OYgGi8Xi8Xji3HDWTDcBKYnGFi9bt93bqmrqcwqKdM9zyo7E5Oy8AjC3o1ut&#10;qAHQuLx+t56kT7vkY/uEz1xr0iA31cRgbmppU2NSC4vTs3LRCpAWDMHBrl7VdmS2O21ON9rCqRdX&#10;0HQlvBX5zoOfkmA1GZ/WPT94i3NDPJwf4b/1FHvohr/+9a+HDh2yWq3l5eVwQ1FRUVdXl91uDwaD&#10;gUDA969Rb8+mAZGKcUchUnAcuMet5l8gr554Ts1QnZ1XmJKemZCclp6VU1Je1WhUyAsTyCVsj2sn&#10;yeggPsaFARx8hMiAcvBJT3BgGCOp/Ndsc0AJnT2m1o6u+iajdC0Ul1WWlFeiFapr60fnPlITcAH3&#10;wgRHm77jMQ/+wC3ODfFwPgW44U9/+tPevXt7e3uLi4uTkpJKSkpMJpPL5QqHw3FuOCM22jEAeuLj&#10;K1OKYSA8tJv93n6rDEnKyM5LSElLSE5NSc8qKq1obu3Qgz4Vgh8R2+kwkR3swAqKGDRvRY1/WR1u&#10;mUCbhJEYVEJBcVlpZXVtY3NLe2d7Vy//hTw0wUR7TeJ2hMW5IR7Og4BogBVkhNIXX3yBRGhtbZUv&#10;olEPFovF5/MNDAxwPP59w2m3oPLKcZZHiUFzA1sgGPRvbGnDDYcYtu1MTEpNRzGAxU0tbf1Wu4bv&#10;M+Vl6zFOke/XhBIAervLC+KD+9BVbYOa60JPklqUV1hSWlFd39TS1dtvc7r14muREbTEAAjq54qX&#10;nCMszg3xcH4EuIHtP/7xj1/+8peUzvr6+szMTLihurpaRq8ODg7GueFMGCgsxKBQXrnYajYLq8PV&#10;ZeqvazLCBDIZRmJKelFpOXDc2tElLjncoL+GO/3coDx9PVuR/hmRC3aXp6fPAi2VV9UUlpTlF5Ww&#10;RTeoMamt7Z2yiL/+eC3SfKR5i32OkFoecOwt4hbnhng4nwK6QdZ6q6qqghtSUlLq6urcbjfcgG6g&#10;4MbHsJ4BUyORgE7VoD84jLvtcHvxzWsbm8Hf1IxsWCE1Mzu3oLi+ydje1WNRQ33UB9Iads9IPzOw&#10;pXeUmnH71PL9mhhUhzP6ICs3PyM7V63gX6YUDElV6wUFw6orQo9cGssNih5Iqk5tNP64YXFuiIfz&#10;I4hu+Prrrw8dOtTW1lZcXJydnQ09NDU1eb1en8+ny22cG06/gZ4y2B8shiH6rfaW9q6a+sa8QkUM&#10;KAaZJammXq3Pg2JQWkGj9plDW2LWFlJ9znpqvOa2DpJUXl2DdikoLlUTaNc1NLdGZkBy+yKLjKJ7&#10;FG9FP7vTbUqiQmJuEbc4N8TD+RFgBeiB7b59++rr63NycnJ1aGlp8egQDKqiG+eG027CDcAroI8D&#10;3tzajj8OK2zflbQzMSUzB44ohxh6IQ23V43vVCtOh0Ftaajh8pgIT92IFgPlbU53R7dJfVRRUpZT&#10;UJRXVFJaUVXb0NTW1aPm8iM9RwxIjTCKUAI/Sa0eoaQ6G/gZc5d/cYtzQzycH0G6o7/66iu4wWAw&#10;oBjy8vLKy8s7Ozvdbrff74cbCHFuODUTf1/BJft41vjaakS/+oLM19NnwRUvqzIUlpTJ4jw5+fBC&#10;VV1jc1dvv8OtppeQeFRDTeS7NtVoMyb+kzb9wYGa3lWatoBy9kF8eMhktrZ2dKEP4CpSAj1UVNc0&#10;GFu7evvQCi6vmqp9bJKidvQRMTn+PZroLc1SMYnhZySR8DRPJ2Zzesh2NQb3OCt4n4rFuSEezoMA&#10;MRD+8Y9/fPnll7t3766srExLS4Mbqquru7u7pb8hzg2nwxQ2KZdcm4AU3ADO9lns9U0t+UUlyWmZ&#10;u5JSU9IzcwuKKg11Ta3t3SYz/jvAfVRsp8EUx+hkqFRFuGHIYnd195mbWzsgqtzCYqyorEIt1tyl&#10;WrXsLg9nKpDVeBoT4blswg3S/6HSf5gk1IOQAzJRIM9Inneb+nv7LWQF3HAmHjPODfFwHoRvvvkG&#10;0fC3v/3tD3/4QzgcLi4uTk5OLiwsrK+vN5lM0qAkIc4N39nELVUYJPSgKWEUjKyNxraC4rKk1Ixt&#10;OxO37UzIziuEGMBiac0HR1Tz/VFxnroNDO/Rq1hrYvArcHS4vW2d3XWNxvIqQ05+UXZeQWlFVVNL&#10;m1kvzCmsICTH+VBLTITnqkXBXdNDpKVLBgGrB0G36eG55o7uXkiR14G1dnTLWOEzkflxboiH8yCg&#10;GOCGv/zlL7/+9a99Ph+sADeUl5cbjUaz2ez1eiPMADfEivG4naiJZ6rBVDEEIOv0+EHbzp4+gDi/&#10;qDQ5PRNuyMjOk55ngAmnVVozwCb9GURsnKdu4aHdxKzUgx5sarE727t7q2sbikrL4SdSZahraO/q&#10;le/sdJ+5glTkBXLHqRe7jonw3DQIQChNdYxHgF6xAgb1QsCoBD1xbG1JeWVxWUV5VY3qVuns4cHJ&#10;lrFRnS6Lc0M8nB/hv//7v3//+99/9tlndrs9Pz8/LS2tpqamo6ODn36/nyIb54ZTNPgAGAJYAQW2&#10;2lFVKxyAQSiGxJS0HYnJaZnZJRVV9U1GwBiYdqmPyNS6CEDw6NcGp90UUWliCNmcHmigqqYeSsjU&#10;S3VW1dT19JlJKoakiHKDmN4/b7hBcv5wP7n+6sLqcJvMNvRZXWMzrCArTOQWFJVVGppa2lX/v0tJ&#10;Ja6NifDULc4N8XB+BLjhV7/61e7du3t7e3NycjIyMhoaGth3uVyBQEAXWhXi3PCdLcoN4ClQCyS1&#10;tHeiGAqKS9OzckYnwyivb25p6+oBksBiTpbeCFCYy2MiPC0mPR+6A9bd0d1rqGssLCkHHPPVZHmq&#10;UUt6F4SlFLxGWupVYs5QM9eZMOE/xcpBtWY1QsFksXX2mCAAXoGsUcqDQ9Kq97+mjuM9fcg2RQxi&#10;MRGeusW5IR7Oj/DNN98gGpAILS0tEAOhubm5v79fOht0oVUhzg3f2YAnAVYYAn/U2NaBcwoKJ6Vm&#10;JKamZ2Tn8rO1o6vPYkMxaFSK+KpCJ2eIG3TkIYfb19FtMtQ1FJaW5xeVyER+qh1JLSHnB0xRLSRA&#10;EYmeKlXGVmmqOG/Kg4zFgmjNdicsyAPCAVBgXmFJXmExrFxRXQNPQNj6Fbj0CC71gPLWYmI7dYtz&#10;QzycBwHRADd88sknZrO5pqYmPT09MzMTbrBYLLCFDFJSxKDWiz794vqHarjVGlIj63HyU0SA2eaA&#10;GEoqqjJz8mVe1YzsvLLKalAJOBYP/UihoJp9Th2FQ4MjREXkmEqPnmPV4VZTJLV1dldU14KShSUw&#10;VC0/VQ+DXhACWtLMpMhJ29hxPqchVadupIF0kmOY0JV0KoisIanQGLlqc6rmo9aO7jo1a2wt6oA8&#10;FyuvMtTUQxYdaAWb0zP6yNGnY3v6HzPODfFwHoT/0su97d+/v7u7u6KiAm7IysqCG6xWK8Qg3BAO&#10;h+PccMKm0ERVfgXrkVExihh0a0ZbZw9AnJ1XIJ89s6P99NbefoseCCTzsMZEeBoMrCQZkBNGqjjC&#10;1mxz6j6GupyCohy1tqihWa0tqh1nT2QSJAHfUaA8h2w0e1UOH8kNMhmUakeCFVBF8B+PWd/UAvWh&#10;FdBGCAXooamlDUru7DFFtIJekC7mLmfI4twQD+dBgBi++uqrkZERo9FYXFyckZGRm5vb2toqs+xJ&#10;oNRqbjg/+h6/dwOhxENnH5xSn5JZbH0WeyseuqE2Mzc/KTUdbsjKLdDtGHokkNsL0oFrZ2hIkvag&#10;FYBqYlCdH3aXR/cxNMAK6SSluAyKMplVSoBUztcOONeq1qRzkRtGeVeUzWFK1lrBrmeNlUUmZBqS&#10;0ooqKJAHhRuQC/VNxp5+i3pagHlwWI/XUl0vMXc5Qxbnhng4D4Jww8DAgMFgyMvLy8zMLCoq6ujo&#10;cLlcamySblYaXb8hzg0nZmG1/hom2AryN7d21DY0l1RUpWfn7kxMTkhOzckvqqiuESddr6of1rOf&#10;is97+k0agkhMcGAYoLc5Pd195upaNSoJYsgtKAI9u01mIFV734qlMC7kZPHHx8Z2LphO2BhW0FQB&#10;jUFsFocLSoDqdD9zFcoMSaRbkAwcadBrlMpkUJys8kSvpapfWSDmLmfI4twQD+dBEG4A+ktKSrKy&#10;wIncioqKnp4ej6wDOoYb4t++naCBv3joAI04sG2dPZWGumzlnuckJKdhmTn54HJ7V4/q7NXzT6gL&#10;NZFosDsittNlozpATZUh86oWFJdm5xWyNdQ3dvb22ZxuwcoxFEV61PCec5AbSJtKnt7CCvArWN9v&#10;c/T2W1o7umobmqAE1BBZDQ2XV9XUoBTgBJNZkbHbq1uQ1DRWXEv+Y6KrjrrLGbE4N8TDeRD+8Y9/&#10;QA9wQH5+fnp6emFhYV1dXV9fn0y/ynECO0pDxLnhxAxgBWVAH93T21NVU59XWJKYmp6SnpWRnQcW&#10;V9c2dPX2yXgk7fxGkJedM8cNRI5bLSNo8alxqNV8GKUVdY3NQgw4zpqlVGJ0SlRidNrEYiP8fk0L&#10;BQXo8KvF7uzWS9E1NLdAupWGWp6uuKyiuKyytKKa/IcIYeI+i0136kTG4/KapA1KLCb+M2pxboiH&#10;8yD8lw4QQE5ODtyAeogOUpIuaEKcG07cFASr+SfUOvuaGOrwXtMy1UoMWbkFZZXV4BfEoBu6Dzf1&#10;RC8fddhPvwH9drcXfGxp7yyrMqhJXkvLa+obu/C0I53PahkG0q8aZw4PVD1HX7rO5ABPBAF39pjI&#10;1YrqGng3KxehUFhYUkbOy0TiZpvT6nDbXR6eEaGgnigi0RTnkeGik4QLY+5yhizODfFwLgaZWY8t&#10;++z8/e9//+1vfwsZZGdnp6amlpeXt7W12e12r9cbGA0QA9s4N8QYYArcgClAamBAreAGYAHBHASC&#10;m1vb5SOG9OxcuAHFUF5V09rRzb/0WMlQeGhE49Fp9spVYsZ+mAb2DQwpYnB5YYGmlvaK6tri8sqi&#10;0nI9g15kSgxSroFSLTwnKKlNknc48jNtZCmmMVqlQbPU4TFInKAzWeUwfNZtMhvbOg31jWRsaWU1&#10;3IBcgBXQCnCezmo7OonLRx9KHifyRGP35ac+Evl5Ri3ODfFwLgb5oEG44euvv/7zn//86aefdnV1&#10;wQ3oBoPB0NPTQxkVboAVJMS54WgDxdwyE8YoluGWAkb4qo3G1uKyivSsnKS0jKTUDDUfRnllk1rq&#10;WQGxGkgaGhgY3h0T4eky7QhLn4FKFeoENpJPGSoNtfoDt8q6RiO8AHrievMIUfc5JqqzbGSpZgKh&#10;JeEG+Tg5wg3sQHIkG1aTToWcfD36qLi0wlBb12Rs6ehq7+rp0bOoot7OGtyflMW5IR7OrSB8MFY3&#10;fPXVV1988cWePXtaW1szMzOzsrIaGhrMZrOLahXnhn9m4mnikoNBwhAQQ5/VXlPfVFRaAR/sTExJ&#10;SE5Ny8xBPTS3dpjMVv15gUI93PkzxA3Rr+10O4ka429zunGx2zp7DHWNEAOJqaqp4wjHHW6fEIMe&#10;x6mGcsbEdpZNyEC4YVQ6yNKkajkjh9vbb7XLh83VdQ2oH54lMycfbkAx1DU2d5v6Oc2lRwEQFREK&#10;TY69xblgcW6Ih3Mr/Jde+zPKDWy//PLLn//85+FwGEpANOTm5hqNRqvV6vF44txwIgbuaG5QiA8Y&#10;gbeIA/A3MycPuYCpCbdVw3e7nj5PzT+hIVuRyhly0oFFIgfoZShtv82BPqhvMpZVGdQUEUUlVTX1&#10;Hd0mmSsJ5OUSKAHT6VEJGxvbWTYkjgyL0qZ0g/oUw+2Fcbt6+2SuC2igoLi0qLRcvmqGJFBpPJFe&#10;jU4tghS5VvOKWMxdvneLc0M8nFsBMmALK0ASwg1/+ctfPv30U2jAYDDIkj4tLS1xbjhBUzVcT6In&#10;oyGtDldjSxuYlZKeiaEbIAlcdUDN5tRArDOQSzRgqTb0sbGdLtNQqIiH+C12V3u3+iS4pLwKlsrU&#10;s6v29ltgKa11VMv+YTDVqWI/JsKzaTo9aqIR6SCBUPsstu4+syxCV1hSplWC6m3WzWKIMTUJFZQg&#10;fRJHWoQYsJi7fO8W54Z4OLdCDDd88803f/rTn/bu3Wuz2crLy1NSUgoLCzs6OhwOR5wbTsSAURkV&#10;Civ09FnwagtLy6GEhOS09KwcgKy2oamzx2RTC7epnl7NCtKzqlAYi4nwtJj2l5W7rYihqwdIha5w&#10;tNX3wFWGtq4ekS+AL8kYpYRIerDvlxsk5WiafqujQ0+VSh7W1DdW1dZDbzxCflEpuoEj/IsT9ETa&#10;6puM0QaoyFOI+OAxz8EGJSzODfFwbgXIgC2sIIGff/jDHwYGBnp6emRJn5KSEpPJ5PP5IIY4N/xT&#10;A31AWKvTDQGgD3ILi5ELu5JThRjUrAx9Zmm6AbYAKcUlY7pVz1ibUsjpVcN4OrpNNfVNsAJ0RXqq&#10;a+s7unt105b0jsgMEyJilEmqNM4eEeHZNHjLqpZVsLZ19qgvydX3a0VYgRp9VIXogRJU65HDRcZi&#10;DrfXpUVbVDcohhglPPaF/GLu8r1bnBvi4dwKyAUZoURgn/Db3/7W4/U3NBlz8wvTM7NLyyv7zFaP&#10;L+AFzvBqIYMj7PtEjVM38SJHHUn1FQKm/E0NkREc0aYBRf1XQ7nq1fQGVe0V8weCfn8A8/n8Nruj&#10;p7e3tq4+Ny8/OSU1NS09Oye3pLwSYuhSEOZGVeAIC+yO3uW0ZaMMVyVCnUKFgMGBIaAfb7qlvQsy&#10;AFsRDUWlasFniMFsU8QgMDqaEnl2ZWNjPs0WVkkd7dKIGAng7hzhOPANypv1wpwklNRWGuqKyytl&#10;WYXSimqol4P6u+bImtUC/cIBev/wgxxt0ZueIxbnhng458LXX38d5Qa2cIPN6a6orsnOK5Avs/Si&#10;JqOzOPyATGOEQhOBJI1Kxx3BollE9hWs6K7aQZRTNPj9fnQVNbmzs7Ouri4vLy8pKSkxMTErKwvt&#10;pb9u6ycfIyis7xWN/PSajlk9Gq9MmAxGwumGGBQrlOn2F2MbkIqv7dQfuGkuVENFzypo6izVeS6z&#10;g6jmI01RCrthUK0VuiXZeYUlOflFsEJFNeIBSuhBgfEIiB4oBK2m3+M5h/gnbnFuiIdzLsANbMdy&#10;Q2+/hUqYkZ2bk19IVcTlxM/9QXKDyxewuTz9NkefmhXVZrY7ZWFOQAdGBFL1B7QuMZzTURdbc0lQ&#10;zzaIUvD7pYXNbrd3d3fX1NRADLDCzp0709LSiouLDQaD+qBM9Y/qUUk4y4pahmPSc1qM5JE2qIt9&#10;EBO/mzurOeY0whYUl5ZXGWRlCDiDHACaxXkHWzXCniV41byllIqmh8jMURwhi2AFvBGS3dTSZqhr&#10;kKKYkZ0nkyChfngo/SJUq5EeniuscB4TAxbnhng458JXX33FVrjhH//4x69+9avW9q70rNyU9Eyg&#10;pKa+CddMuZbns1N2TANTcDlxP3HqSyuqpW9WL/tVAh4Vl1XKJJ3kgMyb3dHdC21AEqpF2xvw+FTX&#10;C9wg9OByuTo6OiCGgoKC1NRUuEGmG0FDNDU1Gds6OvWqANrJVWPtuXtMek6LScwgPq8MDOW+qITC&#10;kvL84lLtdNc0tbZD9rjngKkmBvX9NtDMVcIWMRGeISMBmhtEP0VUC+QEAevvBNv0Ov6q+aukvBIH&#10;xVDXCFV09faR/6STpxORoXVGpN1P2tDOU4tzQzycc0G4QYjh73//+2effVbfZExMSUtOyyirMlAh&#10;qY1Uvx8eN4AvIBGIX1lTl51XkKzXXMN48NQMNaFFbkExeApCqQkXmlqaWtrbOru7Tf1AvMgIApRA&#10;7bVarZ2dndXV1dKUlJCQkJKSwn5VVVW9Cg1cX9vQrAfdKwGBawzAxaTntBjRgrAoFBKJPiDl0hpT&#10;WFqOD67Hd6pJIwSLBVh5s/rlqu1Ze8va24hAOclwetRkU6i0nj5LfXMLfEDmQ9Xs1DY0tXf1oOT0&#10;vOUqhVyrFMPhmTO0jIvrhniIh9MbpL8BYvjb3/4mA1gBkR0JyegGnDXQ0AaW/OCIAQNi8OJ7+y3N&#10;re3VtQ3l1TUYYIqXWmmow90mH2rqG8F0TM/lWce/OAExAWA1NBsRCj09Pd3d3UajsaKiIjc3F8Ww&#10;devWHTt2wA05OTnoBo5XG9Af9UgTkE4BdGc39AB8///bexP/xq7y/v/f6AvahJR+20LLVpZS9i0Q&#10;+BIIEPoLW1haKN2hhZYuFL4sIZkZ75YtS9Ziy5YsW94ky5ZsyZZlyfs+yTSQtAkJZIFJJmGyTGaG&#10;vH7v5zxXd2R5sjJjO5nzvJ7X9fHVveeec+45n8/znO3WpOeCKO8KhM1MTUNmJDXcEw2EeXJCtlbN&#10;TYO/4vFgs5uJobCIscGll2yPX7HhJHkoCaCC5QpFahruAgWLRYK7gJNDoemAufG3hBj0kzvcqNRi&#10;0iwdaCg/GRek9kEvFLXcYOXAiXLDmTNnHnnkkePHj29vb4N9h+tlAS8tUzeOfqEbZedVkAV80cmd&#10;hTkZXZibXyotLIGtGNf5whx5x2Idm5iEPMCs3r4BcLbdF2jr8JtvAIR6enoSicTg4CAc4PF4mpqa&#10;oIRDhw41NDRAEpxReoAbYv3y+WVuNLtTDIGDcFJNei6IYl67Kxiwu0FYGCKbm8HuBoLNnqOS60o3&#10;vdszI+G9fMs8kedWOpGKuKfUOopXN0yluEbTMjOVdwEryJxUWXshY/g7Eyn/ao6MvoBrqeUGKwdL&#10;oAQdgoYhTp48+fOf/3xlZaWvPwE3eLx+MBEIwxSVZvlidB1kDNZ8RljVnJTZn6ZbZgXOwGLNzcxC&#10;EqB5ajyDIxUxXw3DFg90dcdiMeghFAp5vV5Yoa6uDo8BYmhrawsGg/zU398/NDSUTKUw24Hpjs4g&#10;9CB7ZvQnsOIF9bDiHcvdBegdKVTVzhNNpHkR8i60V4p/NeVExcvCzMbXMcSgK8JGMcbdQQ6djIua&#10;WyQSA6yO6pnfRCsYvUNNtOcK2TxIuAGbA8Yam8iS4J5YnPIxwzxRiG3M9H1xAck2SXWI3KT/XCIF&#10;T6tWY+iVB181L7vUIQbLDVYOhLgD0XCDbr9aLpd7Y3G4AdM4nZnEmtZeiOo2+aJWB8hAUvwlUFWd&#10;CQIoVDE5XcCeHc/mhkaT8Xg8EAjACjpdVbkBdwG2GBgYmJiYKBQKc3NzFKn2XEEJ2MX62QYcEexl&#10;Ildu4AgBgBG70iOqnT+GIQRHFMQXltfM/KJtAvPLMsAwnErj3GB363wkM3hbAH+5twqDXL3wL3TX&#10;I0Rd4DZhITkyQsbxZoZGU5BBZ6gLpwo+gyTw0ihesxxPat0LfYT5vGq5wcoLQNwJrAQeeuih2267&#10;DTgLd/ceqmvwB7tk4qXZ3eFS4gYzpVICxlCtDHvKVMvtm3XD7YWVtdnSAsSJ39De3n7IiE5MwoHo&#10;7e3FV8hms1DCqvlS3va27LBUnF+cmMxjy8MN9U2tACLICGeAlTzO4L48xU1GtRpi2BCsNAhr3oWs&#10;AOAnzsDfE1P54eQYxOAPhmUnjBjEMCHjt0urpJmYqzDI1T3iBpMAmauqQwV4A/gEuAvxhHR8eTuD&#10;8CUMER8c1hER8kVOJTanv+jFVvFMpmpLyXKDlYMlsIIK3HD8+PGjR49mMhl/MAQ30FxnywuAmrGj&#10;LxVuMNl0Vc4IK5gpnpzBfseeBexAXRnBjsc7OjqOHDkCMXR2dvLvyMhILpebnZ2dn59fWVnRGa4E&#10;8Dm4sVCaTwwn23ydTa3t4jt096Qmsmr+a2/J5tHzL3oAWx2tMsO1Cx70n5iUb8kFuiK+QFhANjFk&#10;VjDIOBGMslj5nsQuvfAvdNcjRHk6Rbdu1rhRDhgcw0n5/qiZVhsJS8/XYGo8C01iiEAMmmyTR3Gn&#10;CNQ85YWulhusvDDk10bOnDlz//33Ly8vg25ww5GG5mh8gJZsPHrpY7l0uAFIqqg0WiUJs1rtZixZ&#10;wbjtm4vlhZFUGhcBR6GpqQmGGBgYmJycnJubU0pYW1tzF0svLckmP8BcaWF5bGIyEou3+wKyLavX&#10;15cYyhfmBA2B78qatd3qIoiDmKZbBm7Q1QCDI8lgVw8GOK4e3DOenSJ5kDp5MZftOzdImqFGfILM&#10;VJ7UUgI+sydSTyw+khqfnBb3lHRSDsoNhvbcGF5sFY8cuYVTpZYbrBwwcbnhnnvuAdr6+vo6Q+Em&#10;T3v/0MhOk/MS5QYDbWK6gt1ArWnY21PTs9F4P5TQ2tra3t4OSeBvlUqlpaUl2vOWkW0jBDZo9mYB&#10;MKgHE4ymJzCWG5o9zR4vmD6cSk8XS/xkSvipClkeqokxxCBdTDCNfumsJ9aPC9LVGxsYGoUYZkxs&#10;laggs/NDtnlc9SMugO56hChAPze/NJmfMR9wlm/6d/fGwj3R3vgA/Iq7AMNxDWWr+TLda9woyXtB&#10;T0t9KtVXuUstN1g5YHLWCNxw99135/N5mXjTFWnr8A+OpLStVujhwkPJAVQIoALETgNWbuBfjsYG&#10;lyMQHOzqxmOAG8LhcDKZhBjUYzAt2hGzX61sp6ET87mxLF8gWBxOps3Kc2+7rxOsJDYcC31WTXqq&#10;tMINBkMBU/gp1j/YGZIFer19/eDsTLEMCvOTduCYK03H/TkAqtY94gagP5ub6R8c7gx1d3Q6U1RT&#10;E7JJXmUZoDCxUgLZdPPo8kTNU17o6latnWq5wcpBEp3Dqn7DHXfcAcYFAoGOziCIMzo2oT0hFQv6&#10;kuCGneqShBAGhYAjBVotLK9h+3v9wbqGxg5/Zyzen5mcWlxe2YBX8A8w1Td1k9rNNWgVXQOsj1KM&#10;cANW/+LKemZqOhKNU86NLW3tvsDgSNIMG0tRy0MrNFBR3ZtPMIVriKS0sEQMmOHhSK8vEDJbJDmT&#10;PrmelKu5rYDrZmG3VuX0eem5kXNik6RqielzSWexvIC7AGnFB4e7o32BsHyaLZ4YGh0bN/nV+bvn&#10;8JE8EsOSYQVZdzK/CI8a8lAbxSEJwxzCefulJo+SX9JMgjmjBW68H8eW0pNmr1l3Z1znhZqSFx+U&#10;mkATgztVF1ZX0MW1leX1tZV16ZPEsLDcYGV/xJ2ndOrUqZ/85CfxeNzr9XraO7p6ounMJBikFb1S&#10;oWsbySWjyg3yFQSUYgHe2jo6jzQ2B7siieEkCEg7XzcDErvuVXVgncLkSt3EiUI2+3N4+wYGOWOm&#10;829wZRU3iEGNLq4401UJlBaXJ6cL3NITiwO13b0xwNeMPMvH5vbwNUmZkE5XVxxwF06CPmUqV3aq&#10;LzEUCHf7Q124C1HTiURZQQymD+3cvaoO/xl3QbM5wdVF2YKb3BGtPtFA8L5zgxpMhhvMFCwSX4F+&#10;RzWsmVJ6I9nmFqeIcPJ4cdOzc3nZ3nFupjw3O18uLS0urmKTrQo5rK9bbrCyP4LHADGcPXv2kUce&#10;OXbsWG9vb2trq9fXCe5MTOZok1TiSi2/dLmBvCscgGiYsUBbYnjU4/XVN7Vi/qfGs9jsBtbFpK2+&#10;0VUAAmgAuylJApjD2dw0keA6EA+G/7jZSAPicTq1BATlqBAMiMgMpY0tbsRjSJiVdMGuHl4THDM1&#10;PYsRbmBI7NOaR18k1VpBflGtJMqLBCglkC6ZzsQG5IsL/mAYN9QMO8voAgVoYtjBK6p6u2IohYx7&#10;gZORGs9AM8qa+kRz5R5l87yqlUGh3xS4eHXur8oT/ESaIQDyqx2Jhbl5mIB8cdQFlTDf2ESW+iM6&#10;kUllJ7LTuUJpbn55CdcBblhbW7PcYGV/xMxflQmsJ06c2Nzc7Orqam5u9ofCtEnqLoijDQBU2jPQ&#10;OYAqMG3AC+u1tLCcL8xRPq3tHY0tbdjvugoEsAAjQP+ae1XBC0ANsKA8KUzQE7jPTOW7e/tkLmtv&#10;30hqHNw0ow6CNQ72memz6LzplAdixrO5voEhWZUdltmfQ6MpUFi77LnlIu37fV6VWrGTGzgJrJMF&#10;MgJ74Sh0hrrhBopoEFrITE6bj/AoQWp51ihZICqNk3xxI7wS60+ApNzl8isP0j6c/VLDDdooVI3p&#10;wGs1WTNdSULSpJZXM10sTU0XxiYmeVmx/sHuqCyqh9orGuPtY2H09sV7B+KDqdHsdL60MG/9Biv7&#10;L3DDo48+qhNYA4FAU1MTVXYoOUbjBApNvXcaQE0LuXRUWr7p7AaYZsuykx2WflNrW1NrO7Y/jR9A&#10;dLjhKXZXNYakARTjgVGeAAf2IxwjANoTMx1TBeIhEu1TckFH/4WTeC7EwPWY4ZFYHKzJFYrAqCCR&#10;sanlyj03qEkheYHtSDw5UrcmEJbNozrD3f1mRRt+lezmZLrjqVTYHJRkJY/nlCyYa8Qkp/pF4wNE&#10;EuruxbiGSped/QEPBDdoaitMJvki5aQNetCiKJYXZgwrwPpQIy8azynYFfH6AzjmaLuv0xcIUVDh&#10;nqjSQ1esNz40OD6VLS6UV8ilmfBmucHKvsmvf/3rhx566K677iqXy36/H26IxQdS5vMvVHdtBkYv&#10;dW4Aj2j8Zk3vJOZwQ3MrfsPA0CgoJuawsIJAec29qJShA9kclSEEUMxSuFGwD1tSuWFhWeaemsfJ&#10;BYI1ZoSDNzExmQdnu3tjOitpdEw+3IY/IVaqrJgz0fKa9oob3CpBgORRCPg0gCBmPrYFbg2Ep5u/&#10;gpJgJdnRsWuyRr74t1Kvzqn+xJHszJYWzNQmGaigcLKy56PDLuct5L1UeaHqNp17TaIEaDS5mSI1&#10;BILE7+FN8cpgBYqF7KjCE9F4Ip4YpnxwqFLjGdGJ7PBYMj2ZyRcxERZXN9Y3tyw3WNlXOXv27AMP&#10;PHDHHXcUi0Wfz9fc3NyfGB6fzM3NL1L1xRR1mu4+N8h9VAPWWxvbt4BNIHIynQHQ65taGpo9/UMj&#10;+UKxKHtfy3AxJnzNvSi3Y10SML+Kla2gj10J6ulHhEDVqWnpOXGvhxLKSyulhSVeRDY3A9CAkhHn&#10;6/lCDICRiVY6uyu6d9Y0SVV854gZQZmAd/5Ql05yI5Hj2SnIC0AnI1xjEJ8bpToZz8AMUexUlxso&#10;KG4kmwZb+4iZ+HVQB/7TwerqxOyxnuMG00+Ir2D4W/YCMStOkqTZH+zy+oN4Cf6gLFbvM7OzMlP5&#10;nHzKVL4QVaJklldRCJ7Mzi0slleWFlaXl9ZXVzaoBhtwg53DamU/5cyZM/fdd9+xY8empqZkkpLH&#10;gzkD3gE9auFqM7jEuUGzj10vmxdN5sBo/Aa4IRKLpzNTBfPZ1M2jt2zfcmsVUjuqfGBKUiIhAOiD&#10;m8QD9nXCM33qqJUxwF2ILC+uzJguGoxKLE3zWboIATB3uigbbmuqTJwSrXnWxeIGUgUOukp9UEuZ&#10;RGImY/yShXCk13wNKQLTkUgsaJ2NWqk8kkhNsDkjJ3ep0oYMPJA/GHE4OQZxkvFofCCTm6b8idN4&#10;D3KZicRJmMZ/wZVU8aBKFnQEyBlq5iQlwIvgNU2a7RfxAsk7ZI9vB5HzXnm/fQNDNCheIq4Prxiy&#10;J2v6sqBAfWVEjh22dnRrbRu16xusHAyBG372s5+tra2NjY3BDchwaqxYXqg0DGl159rGJanaj08J&#10;gE06Fh3rTzS2tumWeZj8ZvqN+A2bNx8zILVDFb9ca9cY2mWgJNrvGNrEJgPaZpK7WQCxRgDPYGwi&#10;iwEO0PAUKASsGRkbB4l4FqhUncKLqrx903miKtCMkgbdAwOLuDPc7QuESCHIOJxMT0zlYb4KjouF&#10;URPh06ipcsKOZFD3EKRwKKJAuJuYOQMb8XQDzcK1BDQ9hA0NX2A1jxB1XqV5m/pCDTEs8epT41ny&#10;DYfhJXR0yhACVAYf8IrxEvAOeWU0KGoOrMBdlGHNU1CJ2a59s3KgBG6488475+fnh4eHIQa/35+U&#10;74AuSX213GBUy4EjGARwF0rz8cQw3HDTkYa2jk7gG4gUM7mCUDVKAQIlEgMlubHFlZjVoAl4Cjf0&#10;xOLJdAbUU8Sf1y/pTxfMAohYW4cfBmppk901EiPJqWkZr+YpT7Ur38VQ030EWpEX2UiVEhBjuVhO&#10;ZyYx5/EVOgKhQFcE6krLjh1iGlMU2hdPpp4LNygQC/hSXNBAfnZuKDmmU57EuxrPTM/OGWyVy/QW&#10;/kUr/15wVVaQsFYD3hEQDy+SU947jAUjmplj3R6vj3eKTzk0mpo0n7bmYt64jAOZHEnYOOJV8Ttq&#10;ucHKgRO44Sc/+cnU1FRfXx/cEAwG0xNZ7FawgMYAKNA2TOW+lLkBO1FwX5r3+ibIiK/Q0tZxw02H&#10;G1s84UgvmIVhWOEG6SioVmKgAAVito4urKxNTc/2D46Ad5iZvX39IKyxssWiJIZsbjo1kY0PDoM1&#10;RH7TkfofHaqDG6LxhKxjMNNVifPosVurU3hRlbyT/g3Z9uMWXAGsYOlVH0l2R/t8AVm7ADuOTUyC&#10;hpSMOgoVRnwe3CAwatBTbqceTkzmTJdaDwWCbc6DymYLSPMUipfkCQk9l6c8ByVaXg3vhYCpAOKm&#10;mKkBOcgbajQJi+iEgoHhUTOoMG2YXpZzkxGpAKY0CFN5NLU1T0EtN1g5cHL69OmjR4+OjIyEw2G4&#10;obu7OzOZxzYECKjNph4bV7piPV2Cqhwp0GAwa3F1PTWeBRZvPFxf19jS0Skf6sGeFSPR7La0W7kX&#10;JTBdLI2MjWMDczu2dv/QSDY/M1Ms5QtzQAphrGN+xRLHXYAVDtU1NDS3Gvqp7OZtVl3t6VIGrQBm&#10;VTaGfDI9ARkAiOZbEREcIOPN6Jc7UXfY+Vy5uVE9o3KxMUTIoIzbEyHmOXzAE3FQeOLA0AhOVXF+&#10;EZpUvDZo64xS1MT2myvR8lppBSgZVIcJFoS8u8yH/Np9ndADqVL7AF9Hmwz3KhlUqfAZJ9HqR6ha&#10;brBysOTJJ5984okn1tfXe3t7O4wQmMrPYB5uHj3mckNNPb7UVADL9CkZpJMGj3UPgmPOA9zNnvbu&#10;3tiY+UYedq4YiTuVZm+GEFZyheLgaIqLIQZfIBSK9OI34EOALGAfEcIBHq8fj6SusfmGm47ADUTO&#10;ZQAP/MGjL7aZfF5VfJwtLWSm8qS/JxaHEgDESLSPf7M57TxZM31ia6A5KazUGY6qOyJ8GqWsFEPV&#10;84BpgOPCXDmdmTKEioEeo7hwtnTo3qD2ReQGQ2zy9qEiHQGKJ4Yj0TjpoAT0DQ4n07Aj5TO/tCKT&#10;skxV4S6TF4cVDB9I8siXyVqtWm6wcrBEuWF5eTkYDLa2tsINfX19+cIsFXrr5mNYcJAEdfq8tflS&#10;Uxo8wEfJ0M4x87GXg10R6AEc9/oDsYHB1EQWi9LYzjsUxAQ9p6Znh0ZT5paO1nYfngFMEDCjuNze&#10;1uFvam2vb2ohtiMNTTcervvBj2666UgDljL4a74eCu04/GS4wbHN90CBYJjJwKIsye4MdfmCYTOv&#10;dAI3Ajo0lKB9bq5drDAtEFkJP7Oa/jcHTwkQD5wkHol8aG9+YGjUjMl3wUykhKLGToeQeHSFLJ/t&#10;g569Ei2PII+mBGR8paMzxOvDiemRj+uNw/cls9ibZEAM+BbmNTmJqaKHcyRhklr7IMsNVvZTZH8M&#10;I87/5sxjjz2m3CC7Zfj9iUQCIKKi01DhBio6tdxyg+6jp6BMmYDUGNEYsCAFaN7Y4gHEMWx7+waw&#10;IgFNDNvx7BRKIDWeNYvCBiGG1vYOCIDrW9o7uKVdvgHXxr+cF5ppaqlvar3pSP0PbzwMN5gvs4aH&#10;U2KW8kReCrBiLGVn6BU4dhQMMi+LcHWyn14FjwxUqWpYY5Zfzdg7yAgKj6TSuqwXSOyOytRM8mUW&#10;/Tk79VJJNo/esqueKDE8N8jWxHAXKSFHWCf8Cz3goOhnRCm0zlC3LqwrmW/WSsqFk5z+KKdMKloT&#10;//nU6TQzzzUUZTbOI++6gVXlDSYghFC3zE/lbfKW8SRgBc0jj648XRLg5lqzo9XG1cpzz6nlBiv7&#10;KTCBbq7n/G/k4YcfhhvC4TDcEAqFRkdHdQKitCvTPqnl513SdUmpmYrudC6BmECVGSbNAxKgfENz&#10;q0B8a1tDMyjv8/qDgFco0ouKZxAM4xPwU11jy+H6pkN1jYA+RyiBu7gXVuB6YBfvweP14S7ccNNh&#10;GEI9EmzkUUxWYyZLr8XymgEXGdkWTAR3DB4tm1URzw4KHdXsKFoRICoNEDk/GWt9ITczSwJC3bIZ&#10;uBrsuEdZMwlHE8NDuUXrSU38F0QN1IouLK9SCDK/KximoChYPAlYkzRI4quKooLRT8kNzk8G080Z&#10;p//HjBhJ9ilM3q8u9ibLUIKOdkD/kAS8SLFUOrUMMxm3oPoRz1UtN1jZT6nhBgL6mWjqH9zg8Xh6&#10;enrGx8fFVTefIVNuIGCc/drafEmplgBFAQRgKYObQBLQCWp39cY6OoOgVWNL2+H6xmZPO1ivHUey&#10;c057R7PHizeAwg0c4QPOGEehgxs7Q13dvbIwALMU/MUohhJMPF7lmEhUdlwAoYaTQhE8VDgAZ86M&#10;1hpMVGSXb4WSwupkP60qdDoYqihp3rh0W5WXZP4oz8M8N1+iDkFdmO0TkznTse7MqsKoV79B9bk8&#10;/dmq2t0mVRs8WtZ8mJWAFE5XTzQxPIoDhzVDkrhMe6U0RyYxTr5qVNGcY+VXucxQo+yOB+3lC0Vy&#10;Ojo2jmvI+6UEeE08DmKYzIsPp5OXiMG4SlJipvf13COeq1pusLKfAhmoaPjMmTMnT568++67C4VC&#10;MBj0er0DAwP5fL40vwT2uQ0GranHl6oCN4IpIIjpX5aBhOnZElYkpmT/0Ag+hOl1ERwBTMF9lAD2&#10;plH5QBsWaDSe4GIw1yyXzQL3mOGZ3DQwhJcAr5hOpzZYAUqIxmXaEjYyUEhUvX0D485eFCskyXVl&#10;1N6vAGJNss+vxriWV0yYeIw6fSmwD/Y43krEzFIl2WYxV4pEzuK7OAu4ztnLhE2ZSOdP9SMuiGoN&#10;1KyRaaz1bG7G7EPVI6Ua6iKRlL8uP5TB/wo3SNaeoi+0wg2ad0Oxhio4gvuwQv/gCIRtxjYo/gFe&#10;GT4KtITvRmaVlSkxvEl1qS03WHlhi0sMyNmzZ0+dOnX//fffeuut+Ao+n8/v94+OjpZKYpfS1NUg&#10;Mi1f2rw2pEtTDdZQAqIGqszX/A2awBDzSysAykyxBGaB9XgAQAmAhZmJmkGIfvyCvoEh8AUUg0sm&#10;8zNYn2aNmMyPxAgFdPgVYsBjwLeACbgeGgCPwKlAOOLx+ppa29v9gWh/IjWeyUxNl80QqKaNSICn&#10;mmQ/vWr6lRX412Rtc9HsFid7qcpGTzJHE/9G+9YBX3IqHGCoUcCx4rgoMnLy4nEDDyJMZmEgkoFP&#10;Q0kC39oLF45EZbLQjPhU/CpdQ07WBLifSvUC4sRLnltYgnHJo/glZusqmJi3QMkbdy0HJ6nBxC3c&#10;aFqENgpnrMKEax/x7NVyg5X9lGpuwGl47LHH7rzzzrW1tcHBwba2ts7OznQ6vYjI5mjUTmMQOdzg&#10;GFmXppJ3RShRMNRhCAEsYIJfASxQCfjIzcxicYOtaTMKbXQKzwAymMwXAC9ATWfBY32DYtwIkAHH&#10;3AgZNLW2HaprbPcFsFUBJKAO5XbMZGPCh9o6Oo0l24/ngRVfhB+0f9wZoH4O70i5QQ1tcgQrkB7T&#10;wz6FB8Mzgt3i5eAMQUUkj19NNRBAVFTlSDyVwhHv4Tkl4FkqcZpoFX+VnmVbEUp7dGycFJr1d906&#10;t1VQXL6gt8xlOkRUE5uqRGXcYtJcWlzmFt4UjhGFHI704vnBDRQyEY7A9nhL8qE6HXOWVeLCPaYm&#10;aGmYqGof8VzVcoOV/RSXGBC44ZFHHsFpKJfL0Wi0ubkZbpiYmFhe1qWtFW7AJDRbm5n2WVuhLxEl&#10;7xSIURcRHIbgV12GRhEBWFigAvemu6lKxTlQTEEJgMvcbgBdVlnnZopgE+hW19jS5GkHjk33RUlY&#10;2eyxAQ5mpmSPbohB9/03Xe3JqelZruFNGWh+bu4dt5ALAtxCknQZAWhrRp51EXIcViAZ2r2u6EyC&#10;0Z2Ye85wfvZPf65KzMpA+hbILORKgmEy/Cr8ho7OkD/YFY3Lvhqwr8sN502SiUFGnilbOFt39OsM&#10;dbW2y2cVOsPdxJMcz+DbcYE6Ilyv713f2sbRW9RtOpf334whLDdY2U85e/YsRxji17/+NeFf/epX&#10;29vbk5OT+rk3uCGbza4gzkoiqbLaijhevGZ/8LUCTEYr1qIBd+nGAZoNDDlagYlzqv9ylxamKhin&#10;4AIo41UMjaYwfo80NLd1+AmDyPNLAsfErNfjl+Ao4ECYOTNhb2cQLsFKhntcYkCfxWtykiR3Kc6a&#10;OTm4OyOynap8b6CrNxbtl+ULgC+PJk5A1nSsKzc4M2j3Une8AsMN4uiYvaew67VYoDTB9HQGM5/r&#10;4ezd3MC/JB6shz+gZLwCnININB6UDQ27YUQZXjBr68RZkD40ecUC3BWbgH95y5tmB5Hq4Q3zls89&#10;6LmqPMJyg5X9EnwFjkoMBB5++OHV1dWhoaFAIODxeDjmcjnOrF3CNLCHKhiNwgETk3kQqd0XaGpt&#10;8/oDgDJgbVBJQFkvgwOK84vTRRn6xqL3eH0wxGh6AgTTcQtwyoDXed4dYFr5SVTxkZNAJPAHSkJO&#10;AKIOpEfMamfcFIhBTebzxrm/qvQAq5Fxymp6do4E4zGY7YzyODpkc/PoMUC8kndRric7+EAy3ykz&#10;iR9mxhXC5JoiHYCTx7PZ3AxFqtOQlDtrHn2R1HKDlf2UGm44ceLE0tJSf3+/3+/3er3hcHh6enoN&#10;sdxw8RXAVZu0vLgyOjaB0dra3gHig1PjjjcAKul4hgyr8i84CFiDg4Mjyc5wN9zQZxZjg+L8hBdi&#10;cPA8745f1bEwrOAQA2d4NEg4MjZeWdXVG4nFQUz9IgX4aJyG88e5v6q5IAD6U0rkhZLRnY7yZkUe&#10;F6jfYHIq3X1zC0t4Y1yAs4VvQTZhwc5QFyUJMQwnxzJT05CK+ApmCEdK3vBo9XMvnlpusLKfUs0N&#10;Tz755AMPPFAulyORSEdHR2dnZywWm5mZsdywNwrogGgAEGZvPDHc0uZtbPF0dAZ7+/rB6xUz+K/A&#10;BLoZhtB/8TNWcB3wMwC1QBgzP461i/NhuEHuqn6K6k5ucDpksJ3NNh5jUALOClHF+gdHUuNAp/Sm&#10;VL5AdzC5QRHf0IOUiZMp4wahMAFpFmIw/X54ANr1pDunhiO94Ug0Gk+gfQNDeAsygF0s8yJMQclW&#10;6tpZRBitefRFUssNVvZTTp8+zVG5geMvf/nLQqEAK7S3t3d1dSUSidnZWcsNe6OAl+GGm+fmlwB6&#10;XRbnC4RAKzwDRWQ9GkwXVWMWpIM8QDQs/XZfoN0fGBgaAejNqMP5ucFwhgOjPBQQ5PrUeAYq6In1&#10;+wJh4aS4u3JimethGpTYgMvzxrm/Spk4xVKZZk06JdniKMhYDj9RUGaAfX5qugCbmrlecfwzXVEo&#10;owqpNG4EvgKkYmhA5noRUBKlrDSqmkdfJLXcYGU/pZob8CHuu+++yclJj8fT0tISjUZTqVSpVLLc&#10;sDeqoA83zJYXwOV62UmpxeyQMTw9W1o2QL9kRn0VBA1mCfZxI1bwxGQ+nhhq83U2y7ymeDann9p/&#10;GhwXpuGCYnkBCxpigBVgl67eGIgJTmI785NCoRIDAR4Nwh5AbkArU1QlX6RT+YAzFJQ6EDPFkvlO&#10;p3y9ubLWRMbY+4dGYFZKAIoVIuR243agGrOJVo6VR+yFWm6wsp9SzQ2E77nnnkwm09jY2Nzc3N/f&#10;Pz4+Xi6XLTfsmYI7KKY6gNUkXxht8Xh92LP5QhEQB+DEFjYeAyCl8KeABV5j+A8lxzCB4YZwJJpM&#10;TwCFT80NwkNKDJkps1oiFvebDU1hiFGzZ1zZ7C/NlTyCSFS5d8/A8TmpSZ4USEWllAgsmD1TyWa+&#10;MAf6w3qdoS5KFdINmg9Zc9LMTF0kv5QwtxCVcgORVLYLlLxrnFoIe6CWG6zsp7jjDRDDyZMnf/rT&#10;n+IrNDQ0tLa2JhKJbDZLRbTcsDcqoGNgCJTvHxwGv+rMVhk4AZPTBTwGRfPKuKiMJSj069ybheVV&#10;YC7YJd+hDPf0Do4mJ/PT88vLxvg1+L65tbxOJACNwNyiWSyWNpNzMJ9Dsq4tCnSOjo1PO18lkn55&#10;4je9NGKJ67P28uOj1SopqVHpE3N/PUcMZJmUk4XS4rLugzSSGh8YGu3t6yebZmZqhCzjkI1NyMxU&#10;M1INDcgsJhMb0apChI63JE6b+Qw1AX3ixVYyuLy5vrK5ga5tbbjcsLi42NLc/P73vq+KGx6y3GDl&#10;osiTTz75+OOP33vvvf/93/8NJcANXq93ZGRkamqKirixIeBSU3GtXnAFCwS4N7fn5peGRlMYtnWN&#10;zag/GB6byIJ3G9u3KEaDzgIcpkvdQBVAKd/VyBWm44mBYDf2cDQxMjwxNVlamF9cXV7d3Fjf3uK4&#10;uLqCrmzIJ+8hAGhAZ+YEu3p65dvL2SmQUnqihIeUDNCadO6lGvR3ycBZXcjRVEhnmYhRLpYLlCF0&#10;x4vC3DycOmL2Esed8nj9PvPp5n75IpvOTF3QmVcyM9XMcTpQSpaX1leX1teWN9ZWN9fXNjeUG6B7&#10;T2vrVVe+//dedsXvXX6F5QYrF1Hghscee+xnP/vZ9vZ2f38/3ODz+ZLJZD6fpyIKN1i/4eKrwh9H&#10;gBtEgxIamluPNDS1+zqhitICIOYMq2LMwhNcSZjjRmV/t4XlpZGxVHdvTyTaOzA8NDGZLS0uLEEG&#10;64ALBI/Nu1peWiiU5nAXiBM7OhzpNe5CYmBoBLbAgtY4FXA12n1UQ1GON+BygxRUFTHIv4YpAfq5&#10;+UXYLZObHstMJtMTw8mxeGIIF8FvPgEESQyOJHW5gzszladIbAevhpMklxug89WN9XWa4sbG0tJS&#10;a0vLB9535csvd7nB9ilZuTjy61//+uTJk//7v/8LE8Risfr6et0tY3Z2dgUr03LDHqki3RY0ALR1&#10;my+Mwg3YvP2DAHfJjDeIr8AR1OZKABHGUKAEPeeXFoeSo6HurlCkuy8xMJ7NzC3MQwlwg+jG+sLK&#10;cq4wM5qWzwpBCQGzrk0n8mNGz8v3liU2ILjSebLP772GG5QPOGmSZ/Je8SFwm8ySvQLOULQ/Aed1&#10;hrvJI9zQPzgMJUAV2dw0xagLA7XcdHkgYeKsefS+qxDexjrKi6vmBlz55qam97/3fS+34w1WLrbA&#10;DQ899NCtt95aKBR6enrghlAolMvl5ufnZazBcsOeqZmAX15ayc0UB0dS/mAXrkNbhx+Ld3RsYqaI&#10;Wb8GJgKUyg0V0JR5pfyWzeei/fHOUDDcE8Fv4N/55aXNo2D9enlpcbZcmpqZhjy6emVLUdyRjk7Z&#10;4ntiMg9cEjOAa8xnlxv2fz6SpqeiUj46MA6UkzzSDI9CCYW5+VxBdqAyztBAsCtC1trJZHcPxUgG&#10;Z83WeIZOtCNOeMVxQZxiPHjcAOVvO2PR6vZtmBEHWmVTY6OMRV/2MujBcoOVCy/uRntnz5594IEH&#10;tra2MpkMrFBXV9fV1aVOA3VxfX197eD1xr4o1Ywqy7bYpcVljFxgzuP11ze14EBgCCfTGWGHjS2Z&#10;UepOFjJzNOfmF6dmZhMjw6FIV7ArHDdOA2SwvL62tLZanC9lcpPDyVGYA6/C65fNvZs93nZ/oFs+&#10;dTAOFYGwukBsw+wLpPGfe8r+aSUNwgcUDpklzEkdS5+YzGnHkdn3qQ/ticmHj/C0EiPJkVR6PDs1&#10;M1eG6iSeyqLo6phNB90+d52dV6u4AZIWv2GNlri2ViqVGurr3/uud1/xO5e9/LKXvdlyg5ULLtXc&#10;8Mtf/pJql0wmA4HAkSNHIpGIrmyAMCw37JmCUyCXWLXrm8X5xaHRMXUdoIfW9o5INI5pjI1stgJd&#10;XTBf1EEhDJ1uFDS4H+gKD44O4zQUSsX5pcXM1ORoOhXt7/MFO5s8rc2e1jaffIHO6w8Gu3oA02h/&#10;AuNadtqQ8QazzK1qus5+uw6SBvUSyC/MiItD9mEyuDA1noEVunqivkDY6w9wxMFKDCd1E22u5Hp0&#10;QT5T6jgKKJhbPTPV1V2P3mclSUsba0vrq4trqzKJYGV5cUlkbm6uvq7OcoOViyi/Nl8DRc6cOXP/&#10;/fcvLi4ODQ11dnY2NjZGo1Fc142NDbjB9ClZbrjoauBJdmUAnfkXKNTlbL5ASNc6tHX4zWhqyuwf&#10;Nz2Zn5maLmTzM6NjE73xgUC4W0Df294ZDvYPJkbGUsnxsdREOoavEOlq6/DWNTbcePjQkcb6dl8H&#10;lAOkEhvHYFcEpwS7e2g0pSvmtO8FJSUXDjSfExA7lxlHQWaOUhpQYL4wZz6XJOu3K75CjMSHumVE&#10;nX8HR4QYoE/4YFUWvolPQDzKuBADkeMVqaOgXgiRK3NUPf3CqGbBqHCSq1XnRclslXKjc54rF9dX&#10;F1aXS0sLxXKpUJor4MvPzmaz2ZtuvPE973wX3PC7v3P5m177Jw8/eMJyg5ULKVACxOCuesvn8/F4&#10;HG7w+XwDAwNwgxKD8Ru01lq9iGrgQAdXpevDoOHCTLHUNzBYmbPU3NLmhSr0Yz76fdCwfIstpJ+h&#10;9nb6zHfJurt6IsGucEeg09PRDlscbqi/qe7wkcYGAg0tzVyjHS9EAjF4vP5mj5eYCWN069fcgEuD&#10;rbWJfO7qfIaT2AQiKxON9FcBQQcKHcTUEQWDj1wpO+LhIWH7QwxmnHkiPjgcivTi9OjnGSLRPtI8&#10;NpGFJmeK5dmSOFUUnSwHMXFWkrEPytOVDJSEhOQMz5msaTk4R9TlBr2Li8UpXF+FGHKzhfHJbDI9&#10;Njo6OjIy0t3d/R///h/vfOvbr/idy1/227/z+le/5uHjD1husHIhBVaAG3Th289+9rNMJkO18/v9&#10;gUAAB8Jywx4roLCs3GDAEXQA40oLyxOTuYGhEXELOvwgOD5EY4unraMTfPTK16Q76ppaDtU1om0+&#10;Lz5Bu9+HA9Hc5qlr4uSRw/V1h+rrGltbvJ1+Z5h6aHA4Kc7HcCotX+Hv7jHT/30h+bSZrH2DkHi6&#10;6VlyAOt5K7BYUQOFLhoa9CfL5mh+MgCqAQAUfirKd1XLU9Oz+E/JdAYOgM96nPVrXbgLZivANC6U&#10;2Tx81UQuKxUkQifl+1tv3TScU5NlZwJuVd5FybWOrs+WFqZnS1Mzs+NTk8mJ8cTIcLQ/3t3b09XV&#10;FQ6H29ra/vmf/vmtb/4znIaXX3b5G17z2oePP2i5wcqFFLiBI/TwxBNP/PSnP00mk/qNaBgilUrB&#10;DWapjY5FU5Vr6r3VC6wuN2A4q8Fu4NJ8DLlQBLIx832BcJOnva6xGR+ivknGIQ7XN/7o0JEf3nj4&#10;hzcdvqnuCDSAcyAuQn3djUcO/+jQTYShit5438gYOArM5mZLc4ApTgkYlJPvIU8ODI3iguBM6KxW&#10;2Aic0qlQpKo6kc9VDSuc4wbFRCI3M3HNBhVyRvZr4rzgo9n4b1o+RJrDS8Bn6u6NBbvkq3M4Cd3R&#10;PvhgcCTJTyQS9NStACEGeEULjQRruaEE3JTsvcoLNROiZG2debPCCmYOGNlUIjSEIRdzjWZ8LDOZ&#10;GEnyOsisLxTwBjp5fS3tHti9sampsbGxrq7u7//u7978xjf97mWX/97lL3vja//EcoOVCyw63sDx&#10;0Ucfvf322xOJRGtrK/QQi8XwIRYWFnAaLDfsmSqoGbyQQWmj+pNMUQXKwXUciK6eGFZzQ3NrY0tb&#10;Q7MHkrjxSP1NR+ohCRyF+uYmQKTJ09rQ0gwrQBUeb3tsoD+bz5UWF3RR9NqWY6HrQxdX1mUJcb6Q&#10;GB7t6Ax1dAaHk+my2UbCpOc3evXmdlVzxtCewW7ZN5B8YSkvLMt3UmXjI+MrmO+hTg2NjuEVwAp4&#10;SOIkdQbDkWj/4LBuf0TyzJxUyQX4S1iZxlWFY9RNyd6rvlBXSaqcUW6QEZQ1WB8+KC0sFcuLM3Pl&#10;bH5mJDUO+eHJ8SJwEw811h9uaqhrbuRtNntaWz0izc3NX/vHr73lT99suOGKN73uTx5+wI43WLnQ&#10;AjecOnXqxIkTx44d6+vra2lpwW8YHBycnp5eXFyEFba3t9fWZFivpt5bvQgqGAp8KIhUUBWIMSC+&#10;uQ2OgJvj2Sks/cRwEvMZqogNDGLvm+GHwYHhocTIMMdoPx5AuLW97XBDXbuvYySVLC8uLJvlbxCD&#10;WQ0nljVHYsY/MEbrCtH6g10erx83YqYoe+0tXojtuCvmvPacCCvIma2jcMPc/BKOC5zHoyGD+OCw&#10;9BrF4pqjvoGhvoSoWbwmM6mmpgvQGGAKqkInJgsSrTHPpR9fC40cbR69RfZH2tfJqbwyl92rs48u&#10;mE9bZ3PTOEADw6O4R4FwxBcQPmj2eJs97S1t3pb2jmZvW5vf19kVikR7+wbwmAaHh4d7enq+/e1v&#10;v/Ntb4cbrvjty8RveNDumWHlQgvcgNPwi1/8Ag7AXVBuGBkZmZ2dtdywLwq6uQhCAEABRyh/8A6T&#10;0wzMSheKWtxA5GxpHjt6erY0W1ooLYCb88VyKZOb6ksMtPt9h+qOwA3J8fTCyrLLDWayPNar2Noa&#10;Mw/FjJ2ang119wJPGOyT+RnAyzz6N+QGAWtywbOIDQYqLSzr0YCjM+kI9MctUHD0eH34Ll0ymjBs&#10;Bpln4QNyrZ4BHKB5R7G+FXBRMgIQO2o2Edlwvt68b8r70tSajC/r1FvykpuZzUzlk+kJMwFX9vNo&#10;9weONDTh+aEE8AhhaFyHnngsDt2nxyZyphjm5kqlUj6fr6+rk732Lrv88pf89hte8zrLDVYuvMAN&#10;J0+evOeeezY2Nnp7e1tbWwOBgH62YWlpSdc3WG7YS8XYdLlB6UFGWZ01B+dmuBqDVK6EHrCjgVoC&#10;S6ury+vrCysr+UIhMTLSEQgcqqvzdHSkxif4aWUdJtjYgOw3N812TNK5r5BqYt6YKZaxTv3BMJiV&#10;zkwCYUpLaozvSKQOqNbq1uom9cRcbDwDA83cLoA+v7RsaGx2Mj9N5Ml0ZiSVxu/hWVjN0AAeQyQq&#10;n1Xo7o1F4wODoymciXyhCKQukvSto1s3HzNbpTqOiFFhHQoBra6iTmKMuiefXqtzYeJ0tOayGuVl&#10;uTfuOC8EL3RoyKCMt5eZcnIt4/+4emYnK7w0rz/Y1tEJE7S2+yDFdl8n5a8foaNwkhPp9GQ2NztT&#10;nIenl1ZWVlZXVzHaPK2eD77/A3DDy15qucHKxRG44aGHHrrrrruocF1dXW1tbTBENpvlX2ohrACY&#10;WG44gOpiX7UC5UCS8QAKYFCouwcjtKHZkxhOAlL8CkYLDRgkBU+rGYgzhdL8cFJ2LQW8RlLjUzOz&#10;i2bfIb1AsVIfpNfXKE4Jurq5oRs8EMZTEV1bnV9enC7OprOZwdERHBpgUb9uDRR6/bKzBU8cHEmO&#10;jMn3R6dn52CRYnlR01zzFKM7gPiCqKK5UcmvGQvRfioD/XBAlbrkJP+a0jAFogwq8cjKdpluNA8l&#10;pMazZA3SJdfScRQMQwNNnvZ6+XZTa1MrLoLxk3piPbF+4YO0UCKMMje/MDtfKi6U5xYXxO1bW12T&#10;ldHr9vsNVi666Fj08ePHb7vtttnZ2WAw6PF4+vr6crnc8jKN0nLDwdUqoDynAuIwxMqa+cDZFGb4&#10;YempaMIOHZvIThdLYBb+B9egXF9BQ0fn5hcxbI0VPzKansBvMKxQe5mqeWLFajaYiFOyCj2sry2u&#10;rpQXF2aKs1Mz+fxsIZvPJcfTA8ODsf54JBbt6ol0hsIQA0AJIuIo4DEMjY5lc9OVviOzAuAc5jq5&#10;q9ILzw0K6zu1mjCcEkNhVjhDS4bj4op8O0hXa8+W5AtC2dwMha+OEVnDDeoMdcGCcIBZhiIblrS0&#10;dRhKCMGLkWg81j+IkyQzr6YLMIrheLzD7YXVlYW1lcW11RVaYWWPbssNVi66nD59Gnq49957qXAT&#10;ExM+nw9uSCQSMzMzSgwuN9h10QdNq4CySo0ZC1phtEIP/YPDGKd1jc0AU09ffzozVV4C0LhdAF3g&#10;z+n2cRQ7PTmeiQ0MQg9DoylsXlwQLqjqw1GtUIKos2QBXd3cXN1chxjmFubzhZmxzMRQcjQ20B+O&#10;dLf7fS1tHo+33RcMhCJdfQOyXi2dmczK0u7ZmbmyGV6WLUBAXp2jxYM0O+dTAe4LqwboBfF1gpNk&#10;zTCEPlEyWAlw2ZLZCheV8Z7yQm6mCLGRnaHkWDSeAO69/iAcAAHgGehAAkfjIvh9snDRdJqNyJK9&#10;yfwMdCKr9soL8u055zOu0tG3cfRmd689+903K3sqTzzxxNmzZ+++++5yuTw0NOT1euGGkZGRubk5&#10;wwsilhsOpipm1Sg4DqKBsDpMnRrPeP0BIKnBrJXDhs1MyY6kYFBxfhH+wD7VnhODdxvAU2oiG08M&#10;ww0DQyPprHCJGO/GIzFoKNs36SAwtxAgBhnw0ImY8/OzpblcYXp8MjsyluofTETjfbrFU2Nry+GG&#10;+vqmxo6Av6cPJyZjvhUhLgKuzJKZMSW4bAJkRCDYmOf67y69KNwgOa2ocoNLDyb76zhkEBj5RcuL&#10;Mt02XyiOy0fl0olhWSCCDwT04xDgGTS2eGSGsfk6U0Nza2u77FOCixAXH2nC7Pg0R6GZV+CUKkfC&#10;53K9ubW2Lawge+1tik8mPUq2T8nKHohyw5133pnL5aLRaFtbW3t7+9jYmO6kZKhBuIHqaNc3HDSt&#10;AspzKq6AGU5QHMckx4yFFXStHIFwJKo+wdR0YbpY0mFeBSPgD79hPDuFSQ9+6RwhENDEqWa1RKso&#10;JkxQXiAGnXIDi6TGswPDw7GBeHe0V/aC7RYN98hnJAaGh3rjfd5OX3Nbqz8YSAwPTU7PAKxEpdEa&#10;WFxzENlkxCC16h5xA3FW3KNzaSC/kIEZOVgAyilPyWxmUnZzGhzujcsQgi8Qwhtoae+Ag5s87XBA&#10;W4dMMQqEI1LaiSG4FuYYTqYpIijBfG9OpuHCNORd88grMHlXrWRzc8t8EHRd1HTWqS9vucHKRRft&#10;U7rjjjvGx8d1INrn801MTCwtLTlb7FluOKh6DkGqFCzbMDP6Fcd1f9aeWD+sUN8ka+WwZz0dfjAL&#10;t2A4ldaBXy4D/tDcTNEsRR7S+UJck5+dw7CVVWlm1ikOBygJtGH1wiKjaZmbD/10m89Nt3V0NHta&#10;cQ7QljZPZygYifaOjqUmp/PZfC7WH/d2+kOR7vFspliel+8IGWfUTbwBZUFGZQU5WYHpXXrha6Pp&#10;GZMhaFgKt0BzOlMsZfM6eDABvscGBjH8Q929eGNwAN7A4XrtLxLqhYChB68/CGHoLCPh4JlZGBQe&#10;pQChGVOYZnTddOiZ3jNNgOaI4zl6WNnYXN5cN5+MFsV10G/7WG6wctHljJHbb789mUwGg0GchkAg&#10;kM1ml5eXLTcccK2g5A6FDxRrlBuAIXA8mc709vUDWbBCQ7OnscXT0RnEtsXgNePAgwNDo4mRJLYw&#10;8AeRYPB6O2WnJjBuKDk2OjY+khofGh0D6XApgLz+QVT6nbg4JIZzWFdsHa6vv/HwoR8duummuiNN&#10;ntZwpBsXITUxnivM5AszoCXcEIn18m95UT4lJD7BpqwTdj0GY0GLEa0G9XPiBhODoxWofVbKg3gc&#10;/AeCzxTL+YIMHoxNyCdFdZatUkKgK6KjCLKnoUw8lXUY/EtBUVLuRrCUITemM1OZqWlchIIZSuFd&#10;8CCYQJmbLJhcS35dNSmX3Lnnl9c3KtywsbbFm7XjDVb2UB577LGbb745kUjgMUAMPT09U1NTyg3U&#10;Qo5Hjx4VkrDc8ILVwtz81PQsgBXtT8AQzZ52M7FV3Yg2/kXxJ6SLvFXOVPWNyARTg4DyvQdzdFSv&#10;5zK5q8VT39RypLH5hkM3QQyH6+vqmho9Hd6evmhqPJ2bmZ6bL+cK05FY1BcM9A8NwhOgHhymNPbU&#10;BKAqQK+4aUYgRAm7t8uvRs2giJKKbrfnMETlsnMPEvA1F6DcUl5c1vVoeFHqHyhB6q4VLW1eaI8y&#10;MeMHsoEVgXZfwB/swluKJ4bgD2UCvC54BTKAY3QsZ3F1XR/9/FQSbAai7Vi0lX2Qxx9/HAKIx+Ne&#10;rzcUCvX19eXz+ZWVFfUbqIjb29uWG17QClzOL61Mz85hC2Pyg2iBcHc7oC/A12GIAeAzPCE4KFSh&#10;W3bDBx6v39CAsAW/ykYObS5D+NrM6gRV4LKlnWs8Ta0tDc1NzW2tneFg30D/UHI0nZkYTY/J1NVw&#10;aGBocGpmurS4hJ2ONS0IXoF4QLzyZQUBcdd8dgBd1eluUtx3VWKo5pjqK4mWM+pFzZlhkkJpXvyD&#10;2blJ0180mp4YTo5BCdo5pvNNzX630J7sWEX2yS95hFmDXT3hnmg0PoDnBCuMT+aIZ25+qbwkXxDC&#10;GXIGk52xH+cVPD+13GBlP+XRRx9dW1vDXWhra+vq6hoaGtIJrHDDuvl0ueWGF7oCkQAW9FA038aZ&#10;zBcyso3PeGJEtrzu7pWhBVRgMdztC4S8ZutvRzvlcxACiJHerp5YJNqHTW129hlODMsXN1PjmXRm&#10;cjybQxPDwz19MX8oCD0ckb1g6wm0tLd5O/0dZjNRjtH++FhmYnJ6xkDqovQsVdAcKKzMlxWL/hzK&#10;O4gvKC9qvoe6U2XOKxcYMpArJSqTd8J4GwsrazxrerakwyTJtOzSEesflMmmnUHZtsjsfA4N1DW2&#10;HK5vqmtshhVgQQgv0BXp6o3FBgaHk2nyiAdGyvEPZoolHVKe17lejrNinm4Cmgv3LTwPtdxgZT/l&#10;xIkTVDU8htbW1kgkMjY2ViwWYQu4gSP0oCRhueGFq6YfxpmoWgnL96XxJCbkuwgTIykZUdBN3+KJ&#10;YUCzNz7Q2wcH9BPAoB4cSWJZcw0Xp8az+B9mVn7RBUedfDlTLKazmfhgAv8AVpBNwg8fOtxQr7vD&#10;Kkl09fb069cj0jKPMzdTLMgnThfVoje9MbqPniwgAOsxxkuy/5KzhZRCMFngV/7lMrwBElAZ5pU5&#10;tVxMhBAhyUNxEXjKxFQeGhsaTeE5RfsTOr8I50DXf9TJEmUCLfXNulDZ3xnqhiwpiqHRMbiEgjIf&#10;GZVJtyTAZS9lI44SOHdSFklogde8i+eklhus7Js89thj99xzT6FQ8Pv9cEM0Gs1ms6VSSSkBbkCo&#10;i5YbXgTq2rPaUQM9YLMDdkAzJrDRMl4FdnE2P5OZyld0emq6kJuZNdv5yRItrp8tAeKLc+ab1aCz&#10;gKCJc35pabY0J5+nHkvBENCAPxho83kbW4HdBtiiuc3T0u7xdLS3+/0Y7NJF090DBOOIgMKQEPQD&#10;ggPEJAMs5lmqlR78NV0JAUDzXDOhaFVWI5sN7IQDZBh5BvbCp+kzA8hEjksU6u4NiEskY+atZkla&#10;k0eGSdBmjxf3CN8Il4hb8IcMEabHJrLprIwiTBdLBaFAsxbEzDSVRSQVz4CCxWXZPHqL7Osn5cwZ&#10;hyEq1+x4C89JLTdY2Tc5fvz47bffDh94vd6WlhbdLUM/6QM3rBqx3PDCVwUsNW+FFYw9qy9Ufqpc&#10;oNvD6Yo255sKpvcc3HeQTnp4Kv34qHbpcC9nJNr1tYUVbHzZDlZJYnB0pKsn0uxpPVR3BNehoaUZ&#10;N0I8iUbZyeNQXQOq2462ytKwcKhbttAwu3PL4rvBkRQ2ezozCVtM5gtmr1n55Ce+RXF+ET6AsXTB&#10;QXLc2bkvGk8Qgy5AazZ7FhF/RZt1JRon+YkndnQGeWKsP8GDiMRM513Aa1mofEyCY6Wby+m8Ug6o&#10;4L4WnWxyzk9SMhVKMCpFZAr5earlBit7IU8++aQeNYDobhnHjh0bHx9vb2+HG/r7+/P5PDVPR6GV&#10;GwhbbnhBK/gO4ivEK5YBc2YTPem00TMcATKAz/TdKw6ana6PAoVcIL+Cdy43mEjOzc3Hb8CQX9mQ&#10;/fVWZH89jPrl6dnZ1MR4bGDA6/fVNzdzDHZ1dYZCaCDcZaz4Th3WJmDGOQLY9br7Hv92hrr0W2/A&#10;dzgSxQkA9+OJ4QHTx4WTEU8MKRMEu+QToUTY0SmRmJ2LxD+QoXUzfs6/nOQCiS3SS1T4BxCJWY+W&#10;gV1wjIR4zNZ+ZMd8+2H3/t5OORA2joLMRuUMpUFJagcXWilt8W+0oJ63Wm6wshcCE3CEGDSAnDp1&#10;Cm4A99PpdEdHR1tbWzKZ1ElKnKwRyw1Wn6UqVoKSMhIg+3ZkzbI42dAJIB7PTk1M5ccmsiNj40PJ&#10;MTC6JxbnApwGmTrllTmjZqqoqDttlDCBBrM4o6I6qVQvkF/xDGQYWeaYtrXKZgDKYWoAACNJSURB&#10;VNcBWZwsnzgVUoFLRtPmM6JmQThuhw5ylGRvcxmrIME1Gdl3tdxgZS9kNzc8/vjj99xzD0wAJcAN&#10;Xq8XkigWi/gKDiFUieUGq89SHW6QD9qszS+vTuZn+gYGO0PdkVgcOz0zNT0zV8ZIz80UJ6cLDk+k&#10;0rgCkEQ40osTAE8YDyAIvuNJVFaZVabbmhUYlYm2HdAJxAOvcEun8TPwJOChWH+ib2BocCRldqqY&#10;yuZlZhSUUF6UniJSaFSGSYwr8Jv2/1wMtdxgZS/k7NmzHF1u4Pjoo4/eddddpVIpkUjADX6/Xz/b&#10;oNOTasRyg9Vnp87Yg4xbmG6WwpwszDa4HwWssdx1BBuA1q3rSovLsuZgThYc5AtFZzzcbGvKjcNJ&#10;XY8tE6h6+wZ0M4/u3j4ijMYH4omhxLCZQzU2DgekcUomc9wrM00LRRnNroxP6NwnmEBpQDrHKgMD&#10;nCHllhusXKJy5swZjjLaYMYboIpf/epXt91229TUVDQa9fl8oVAon8/r3CSHEKrEcoPVZ6FUEjMs&#10;URnxRsFlkBpwN4MHPSOpcWC6AsrnBi3MGTXeZXXCsvmeXbG8OFPEyZjLzQhbjAlbTOB8GCaQMWoz&#10;VFDkmlnZsEgmMkEA1ePnSlTS9V95ohlF0I06VM2vv/HYwMVQyw1W9kJquIF/H3rooe3t7ZGREVih&#10;s7Ozp6dnenpaR553i+UGq89ClRsMPaiub5UXV7Dc05mpQDjS1tGJ64AnAWcAx1y8sS2jvjIG7iyH&#10;NrtfGEAH5WXKkNmcDtwvzi/OGN/CbE0xN1Ms6e4UxG/mU50b/jU04zDNTnV+4kFmAZ3S0rmfdmVn&#10;n9Vyg5W9kNOnTzshI0888cQDDzywuLgIJXR0dASDwVgsNjMzc16nAbHcYPUZVbDM0INRc3LrKMAN&#10;as+W5iPRPk+HPxKNT+ZnZHqoAXQDygLNBtOVWhxbXv41n6OohnXX3jcnzfnK49wz5hpdfWa8gR3T&#10;jeRiKEEIycw1qqKHSpoPjFpusLIXotzg+g1ww/Hjx4vFIqzQ1taG6xCPx3W3DIcNdorlBqvPqFXc&#10;cO4kBMAR278vMeT1B2CI8exUsbyoA8Jq6QuUg+OGJwgYJ0C4AdPenHEHjcXkr8Qsz+IMP5kLhGZ0&#10;nUGFDDQx2m0lHLBTdQaqpNmkwbCIE/NBUcmg5QYreyPV3PDLX/5yamqqtbW1oaEBbhgcHJydndUF&#10;DaYG7pCaBm/V6rNULHQwrlheGB2biMZl/fNQciybn4Ettm4+BkxXQPkgWu77q5YbrOyFKCXUcEM2&#10;m21paWlqauru7h4eHtYJrJYbrF5AxULHISgtLI1ncwNDI7ovBa5DeXFF15dZbngqtdxgZS9EKcGV&#10;xx9//P777x8fH4cYmpubo9FoKpUql8tr5mM+pgbuEMsNVp+fapcRXkK+MJdMT8QTQz2x+EgqXSwv&#10;4jRQr5QbIAbLDTVqucHKXoi75A0h/Mgjj9x9993JZBJu8Hg8/f39mUyGOme5weqFVXc8ANchm5vG&#10;aQiEuzlOz5ZkJNmMLXOZhqtvtGq5wcpeiHID3sPZs2efeOKJEydO3H777YODgw0NDW1tbcPDw/l8&#10;fnl5ed18s8HUwB1iucHq81PlBlyHpdV1XIeBoZGOzmBvX/9kfsacN9xgdjZVkrDqquUGK3sh2qfE&#10;8fTp048++uh999139OjRgYGB+vp6r9eLA1EoFFZWViAGyw1WL6Aq+qOQxEyxNDA02u7r7O6NTUzm&#10;zUJlhxt0cmrNvZe4Wm6wshficgNOw69+9au77757bW2tr6+vrr6+w+dLp8eLxTkzgXVDHYcatdxg&#10;9fkqNUcU9J8tzSeGRz1efzjSm85Mzi+vmg8/CDfocoRd917SarnByp7K2bNnH3rooR//+MelUqmr&#10;J1rX1NIRCOULRVz+0sISbr6lAasXVIUY1k2vUbG8MJJKh7p7e/v6R9MT07MlKEE/EK0bXey695JW&#10;yw1W9lTghhMnThw7dqxQKAS7IvVNLf5gWLmhvLiyIjsZ1NZRq1Z/EzXzkYQbyovL2dw0roN8Sic3&#10;PVtegBt0tpKOPVTfZdVyg5U9lTNnzhw/fnxrayubzcIKDc2eYFePWHBmB5ua2mnV6m+oQL9xGnQN&#10;s8xWMh/SmSuWF+eXVuAGdSwEB+0c1p1qucHKngrccP/996+srAwPD3v9gWZPeyTaN1MsY7XRdNXE&#10;s2r1QqnZRE9GpA30C0O4W+MZX6GyE4ateLvUcoOVvRAdi0ZOnz7985//vFQqRaPRdl8nKltjluZp&#10;otJQ7WCD1Quq4jSYPYvgho3tm1EhiYozYfZQEm6wRslutdxgZS/EXfsGN9x9990zMzOhUAhi6Ax1&#10;DY6kZssLxm+QuSLWtbd6YdUxOww3yBYa+BBCBuJPcNLUN+s3nEctN1jZC4EbcB0QuOGuu+7K5XJ+&#10;v3xgPdTdOzo2MTe/ROvFxzfbJltusHoBVXbFUG7gX47u99dqLtt15lJXyw1W9kggBhgCbrjjjjsG&#10;BwebkTZvV080nZkqLy6b1ivrjyw3WLV6ENRyg5W9EHUazpw588gjj/z4xz+Ox+NNTU1tXl8k2jcx&#10;mdPZq5YbrFo9OGq5wcpeyNmzZ+GGU6dOPfjgg0ePHo1Go3CDLxDqGxiczM/ML60aVtAPrFtusGp1&#10;/9Vyg5W9EOWGxx577Be/+MX6+nokEmlpaQlHooMjyXyhuLiyBjFU1HKDVav7r5YbrOyF6Fj0o48+&#10;es899ywtLXV3d7e1tcX6B5LpicIcbsM6lGC5warVg6OWG6zshZw5cwZuePjhh++88865ublgMOjx&#10;eAaGRscnc3Pzi8vyuV3LDVatHiC13GBlL+TUqVPQw4MPPnjbbbdNT0/7/f7W1tbBkVRmalq22FuX&#10;VW+WG6xaPThqucHKHsnZs2d//vOfb2xsjI6OtrS04DcMjiRn5spKCToD3a5vsGr1gKjlBit7JHDD&#10;3XffrTsp4TS0t7cPj6YKc/Pam6Suw5LpXKqpo1atWt17tdxgZY8EbrjzzjtLpdLAwEBbW5vP5xtN&#10;jRfLC7JyVfbIFL9BBx5q6qhVq1b3Xi03WNkjgRtuu+22qampaDTq9XpDodDYRLa0ACnIrgbKCnY/&#10;JatWD4habrCyRwI3HDt2LJVKdXd34zREIpGJydz80gq10OUGuy7aqtUDopYbrOyRnDlzZnt7O5FI&#10;4DF0dnbGYrFsbga3wWyNuSkjDdRFO0/JqtWDoZYbrOyRwA1bW1t9fX0BIwQm84XFlfWN7ZuX4QYz&#10;Q0m1po5atWp179Vyg5WLKE+avVfPmg0zTp48ubKygtPQ0NCA3zA4OFiYK88vreIrOF9W2Tq6sX1L&#10;de20atXqfqnlBisXUVxuQB588EFqVTAYbGpqCofDqVQKblhYdrkBd8H54opVq1b3XS03WLmI4nLD&#10;Y489du+99xaLRTyGlpaWnp6eiYmJYnl+YXltdUO/yCjfc7ef37Jq9YCo5QYrF1Fcbjh58uRdd92V&#10;z+d1t4xoNJrJZIrzC4sra8ZdMBVRv+q+q45atWp179Vyg5WLKC43nDhx4n/+53/gA6/X6/F4+vr6&#10;stns3Pzi0ur67g+719RRq1at7r1abrByEcXlhvvuu08XN7S1tUEPiUQCH6K0sLS0tgExrG/dLNyw&#10;vqm7KtXUUatWre69Wm6wchHF5Ya77rqLWjU0NITTILtljI7Ozc2VF5eX16hzNxtukO32LDdYtXpA&#10;1HKDlQsskIFSAqL//upXv7rzzjtnZ2djsVhLSwuuw/j4+Py87LJXUx2tWrV6QNRyg5ULLJBBNTfg&#10;NMANP/nJTyYnJ3t6elpbWzs6OrLZ7PLysuUGq1YPrFpusHKBBWLQo8sNDz/88M0335xKpcLhME5D&#10;MBjM5XLr6+t22Nmq1QOrlhusXBSp5oaHHnpoa2trcHAwEAj4fL7u7u58Pr+6urpm/QarVg+qWm6w&#10;clHE5YYzZ86cOHFibW0tFov5/X7oIRqNwg0rKyuWG6xaPbBqucHKRRGXG06fPq27ZYRCofb29nA4&#10;3N/fPzMzA1tYbrBq9cCq5QYrF0VquKFQKHi93paWlq6urqGhobm5ua0tu8zNqtWDq5YbrFxgOWt2&#10;XYUYlBtOnTr1i1/8Ip1ONzc3605KyWSyVCpZv8Gq1YOslhusXGBxuYEAx8cee+yee+5JpVJwQ2tr&#10;aywWGxsbK5fLdizaqtWDrJYbrFxggRI4Kj2cOXPm4YcfvvPOO0dHR+GGtra2gYGBTCYjC98sN1i1&#10;eoDVcoOVCyzwAUflhieeeOL48eO33nrr0NBQU1OT1+sdHh7O5XKLi4twg137ZtXqgVXLDVYusFRz&#10;g3YobWxs4C7ADX6/P51OFwqFFSOWG6xaPbBqucHKBRblBgRueOSRR37605/iJcTj8cbGxmAwmMlk&#10;5ubm8BksN1i1epDVcoOVCywuN5w1n/T53//931Kp1NfXBzeEQqHJyclyuby2tmb7lKxaPchqucHK&#10;85fq+UhQAqLhxx9/nF9Pnz79i1/84r//+79nZmYikUhbWxtHt0NpY2Nje3t7c3NrfWND5rOqrK+L&#10;P7G6SsBUxC2UgPMj92xKBUUJu8rF59S5VMLu9XoZAY1wa2sb1ZjdX/UWnr68vKxpkGRoZFXPPdC6&#10;gR59Nrq+UQsET6M1974odFfRHUjVmulUTiNaLVX0jNZb/lJvZf9KPV9pPhqJnDHVmGp/9OhRt/K7&#10;MXMX9xLgJL9ubzvXIJzRR0h7kjg3acKHDh268sorL7/88t///d9/3ete9+CDD1pusLJDXG4goGHo&#10;AWKAEh566KEHHnjgxz/+8dzc3MDAgMfjaWpqghuKxSKVjLpIJZP6qnXOiIalFlfOI4S52IAzwCfX&#10;6BlXhGeqhDPVt6tIjFXintSAebjELy3hKUTaxMEXkrlx9Nko+FhDAE+jNfe+KNQpsBeQCE5vYdk4&#10;YQ1o5dTK7IrWapXz/qr3qmi0CGH3Yr2RM9qg5BnmJ21utGi44X3ve99LXvKSl7/85XADjd1yg5Va&#10;UUrgSJjAqVOnMCLwFY4dO3bzzTfDBCMjIz6fD2JobGzs7u6enp5WA4cq6OK41jxE/9UAwgXV1+gZ&#10;aqcbg6m0O8St7lrXd4sbf03kCLeo6L96pYrzwwEXyw3PVp0CO+Ci9VBFz2jFRjhDtXSrMVL9kyu4&#10;AOIFHD3KUX/iFle0biOc5xr91eUDri+Xy4uLi3qGFrewsMCZqampH/zgB+9973tf+tKX/u7v/u5r&#10;XvMayw1WakUpQemBAA6EfqohmUz29PSEw+Hm5uYbb7zx3/7t3/793/+d4w9/+MOOjo7e3t7+/n44&#10;I5VKceXo6CjHdDo9OTmZz+dnKoLrCrWUSqX5+XlqJEIYIUAdXVpa0ipbXcup0IYXRGoaiYpehugt&#10;571GRa9BeIRe+QIQyw3PVp0CO+BCPdRKiEitrVhRzqmK6BnzuyOmCsuV2kAIE5v+S8MB7mlBNCta&#10;E07AbEVocZhuQH82mx0fHx8bG6ORDg0N0Vqj0SiGHS06FArV19d/5Stfeetb33r55ZfDDa94xSts&#10;n5KVWnHdBe1WOn369L333kt9+ta3vnX99ddfd911V1999VVXXfWud70LDxRD44Mf/OAnP/nJv/iL&#10;v/jHf/xH2OL73//+94zAGVQ4aKOrqwtSgTyoi/F4fHBwENqgmkIbVNlcLgd5UImp1tXcoI2B2u/Q&#10;wk7BYjItRcRtNgg/ufYUoie5QEXDehLRaw66WG54tuoU2AEXKp7WxhqprpNajTlW/4To7S43IPzK&#10;v5j/SgmYX7SpiYkJOIBWRotDaHqgv8fjOXToEM0TwaT7+7//+y9+8Ys0ZxrvtddeS6N+y1veAiUo&#10;N/ze7/3e8ePHLTdY2SEuN8AKHB999NHbb7/98OHDH/7wh19r5I/+6I9e+cpX/sEf/MEf/uEfEuBf&#10;Tr71rW/9wAc+cM0118AfX/jCF6h2mCHUv29+85sQxv8zAmHgt950000NDQ2tra2dnZ0BI8FgEPul&#10;r68P2sDtwNugcmcyGSydav5w3Q7agLYEFUgFiwm7CWpR06n6DM2Go4oSj9vYtB0edLHc8GzVKbAD&#10;Li6gUxu1clJXEQLUWET/1WosPnWpRJ3HeKL+4wGo0CJoF7QRbCzaCzQQi8XgAOwwGpTX64UJ8O/V&#10;UPvud79LG/z6179Ok/z85z//mc985mMf+xiG3Zvf/GZa7h8b+ZM/+ZP/83/+zxVXXHHZZZcpPVhu&#10;sFIryg04DU888QTcoN93+853vvOe97zn1a9+NRzwzne+k/C73/1uXAcCHN/xjndwvPLKK/EnoJCP&#10;fvSjVL5PfOITH//4xwlzhoArf/7nf/7Zz34W8sDVQAggX/7yl//mb/4GLvmHf/gH/A/q8T/90z99&#10;4xvfgFr+9V//9cYbb4ROdO+m9vZ2fBGfz4cvHIlE8EggFdyRRCKBpzw8PIyLo34J1AKjaFtSaoFI&#10;tPOKFkjjdBrrARfLDc9WnQI74ILJTw2kHlIbQfxqoAflsY2ow1RmqjRwTw0H7rGigHsqf2NjY11d&#10;HQaWwv0///M/f+1rX6PJ0HD++q//+qtf/epf/uVf0pqwz2hin/rUp2iDKrQ77DacAxojxw996ENY&#10;cjj92n4Rwq9//evxG172spdBDxxtn5KVWoEbEHf26r333ovl8i//8i9qZXzkIx/B7lDPgPqnorWQ&#10;nz74wQ9S7ah/iPY7vfGNb8QqgVRe9apXqYWC8O9rKvK6170Om4UjQvwaUOHeP/uzP3v7299O5DyF&#10;h1L1/+qv/goW+bu/+zs4A8ZSR4QGA3nQcpqamlpaWrQjC2+6v7+fZoY7oqLDITRCWiO2mLHPdgic&#10;oaacMeDOuR36L6Jh98qnF9fx3y1qOapwGcIZpNqzAUf05C4QPLqxvr0uU9OPbm3d7J7c3r5leW1j&#10;aRVdF13bWFnffKot04lBI1lfE11bA7M2Nby/ura6ubq6sbqysbKyvrK8LqkikTtV88tPcs3KOneZ&#10;M4q9O0QLsEbcAqeQCVDg+r7c/ky16PV1yxvaKXqvxsOVNdVDL9DbtZ5oACdAR9fgA7xhbJfR0VEq&#10;J1UUwb7B6seBbmtroybjpiNUbKr3t7/9bewkoJ/K/6UvfYlWAMrTuDDIaCA0GRqR23AI1Ai/0txo&#10;Ym95y1sgAG2e0APW2yc/+cnrrruO5vy5z30O44w4aZsvfelLIYY/+IM/sNxg5TwCN8AKp0+fPnny&#10;5LFjx4BU4Biz4g1veAOVCfNETXtsFj1iuXABdZeK6woVjspHLcRCwaXQwQm8Der02972NvwPQJ8w&#10;R/6FA/70T/+U+KnuCM9S0TPEgP+B7UOEuB3/nxGt0/jINBhEvRDSQPJgDpoTfKYD5v/xH//xn0Zo&#10;ZtAJjvYNN9xw6NAhGKVGjhw5Ul9fT/sMhUK0VQw37bF1A8jAwACW3djYGH7J0wjtH09Fe8B2C+cL&#10;hQIwgeg1AAcCuAA3CltAm9CIBI7W6MbGNgoxbG3eLHhqAHRr65bNo8c2j96ysX1zta5ubO1Wudfo&#10;9tYtrmq0+6XkS6iODBryO8d/m5LNalUKES6BKgyjVObg1IoWYI0A1grTFLu+At4FYbEOjOivvBeM&#10;eix6hLfpvNdsFttC+zwRqgHeKsjujqi5fTsY+/i42CsIcE+90gpGxaP6fe973/uv//ovKidVFPnW&#10;t76Fl0yzcjkAoRFhElHPP/3pT+vAAE0ACwxjn1aDrUYDAfQRAm9605toQbQjt2WpN8DFCC2IG2k7&#10;xEaTIWYaC2bW3/7t36qzjguCBQa7/PZv//YVV1xhucHKeUT9Bh1vuO+++2g5OLN4BhggVDuqFJhL&#10;tQZkER1F4MgZIJgqzhHRSs+VYLRSCAGO1H5YBCNF+5EQItQ2QO2/9tprxQH+xCcwatQFxpbRrirs&#10;nf9rhADeCXVdWwhJoknQMFSUWrSRYCgh2lqgHyUkDWvL0WZTLVAXMUM8NNFvfvObpJ82Q0Dzoh1c&#10;5FSH2X3nE7/fr4FAIBCJROLxONiR3iU6VIgQ4F+wBtDBmwGSMDCVIdQCNSJGfbUChTCImtjLS2tY&#10;q5jYgOlKBforge2nUiJRVAVeFYhRrPV9VEnSuvFgyJc5Qx7JoGa5WhcXV2QSJl6FKQEC/HuutJ5J&#10;oAGw3h2wRXSUC1seIcC/GPW8OLDejIgFAHreKf5otXg8HqoBpga1nbqhov08WslpNe83Qh1W8wih&#10;mr3zne90LSSqqFZLV6ix4D51mJoM6HOGu6j56otTPznSBDgD3NNMtP+WSsvjXPf6K1/5CnWY5oaQ&#10;HlJFBVY7icqsATWVvvvd79J+OXIvLQhuUL/hxIkTlhus7BBYAYEe4Iaf/vSntBDQkIoIN2CGYJLz&#10;L4YP3i5CAPnRj34EXMoEiO9//8Ybb+RfPY8Q5owb4Mg1VEpYhAqKuEYTzIH9giGjQuuifkMhOAfU&#10;e0weFZ1WQWOAJGgzQDyNx7CAI9q0aFf4HJhUmEIcCdPMCKuLrUJ4t9AmiZb2RktDeCJPx3BDsLlo&#10;P2p24Z2Q5hqhBSKwIAJM0PxodWQZa7FGDh8+jP3IkTD4gl3Z1NQEB+vHt8PhcHd3d8SMphiJ1Wgk&#10;Eu3u6uUo2h3lTLwvMTQ4yqF/aCQxnBxOjo2OjSfTEyiB3ZpMplPJcdHU+FhqQnRswjmzTypJSskx&#10;OZoeHRlDR0bAaOA7XaujaX5KJIb7YgO9PX3d3b2mNJzCekYB6FtaWih27bfhRehbUMG654xWWqq6&#10;2gT6cvXNElajQXv5MW6oElQMaggVhtpCFVXLBhqQjp6nEGPxi8mvHIAAzdReY8acow0iofVRIan2&#10;Kjzl+uuvhwB4Ou1RDX81v0ibtiy8ZBKvLZQaSI5UyK82Q44I/2oJ0H7JBSl56Utfevnll//hH/6h&#10;Xd9gpVYghjNnzig33HbbbaFQiPoHXFKPsVyof4p3VDvqk8C/qXyuUOH0JMK/1DxaoF7s/go9YKe4&#10;noeGIQwqNFShdg1CLddGiOGD+cOjCbutVFsmfrH6HwhcwlEdEXBcG6qCO06JNlq88o9+9KM6HIfx&#10;VSMYZQgBdVP0GjXTyDtmGjcSVhsQpqwRmjFcpUKYy7hY49kt+hSEmDVyNQNJIe1fe88qAkXt0E9+&#10;8rprP0F2rtN/P/3pz33pi1/+66/+3T//y7f+5d/+8z/+6/9953s//N4Pb/z+DTd9/4Ybv/O9H+zW&#10;73//hh98n5f4ox/+4MYbfnjTj244BIDc+KPD+6g//OGNJIZUkbbvf++G75EFo/LvTuWab//nd7/+&#10;tW/8xZe+8qnrPvvJa68TrS6wKuG91wiGBeXMe3FfLmHeLBUD0besv2Ly86L1XfNCVfRdY/uD4By5&#10;huu5S98jUl1zXHFfN7/yFMV6TR4VVesnlVatfq3PCNUbKwRTidru+t+0BeUA7SZVgQlUaE0IzQrR&#10;NuhyAGHOKENUCxfQJDHC4KeXvOQlcMMrXvEKyw1WagVWUG44derU0aNHsWepNDQJDGpqM2BNNaI+&#10;gfVUqWrReqb1b7doHa22XPS8e6NEUcUrKlyGiIcCjFVquV5JAvS8Xsm/iHbjYrCTTtqPEokrtCsd&#10;GqHJQSHaq1stuoAD7KCp04YRt6kTUMgAC4B+7DvH/KsSx/UwY4Mc1Tt51atepYFnFK7UOcF//Md/&#10;rEP3/Iv88R+9pkb/6I9ejUrgla9+5Stf9epXve5Nb/yzt7/93Vdf8/GPXfvnn7zuM5/67Oc/c/0X&#10;0E9/7vOf/fyXzqOf+fznPvuF6z/3xc9//ktf/MJfQi1f+tKX5bh/+oXPY4DzCr5Iqj73uS+QvKfS&#10;z3z6eqjxA+//0Jv/9K3k/ZWveNUrXvHHptjOI5TkbtHSdkVfll5MQP/Vnwio8E71LRPgvL4mwBR6&#10;APeF2KtEaQbox/FVoXZR5RT3Fe6BeMV6aqZiPfUWI0mnertVWis5QpiTtAICblvQ5qD/cqwWLpZ2&#10;UiV63vmnSjjJQ6n86je87GUvs36DlfMIrHC28uHPlZUVKiW1HG7AvcXAwainzuF3U6XceumK/ltd&#10;ZbmYGNzL+BfRsMYgjq4RvUXFNAoRLuMnPakXuzFXX8BJPUMA4RHqjqgBZfwTR2h+//qv/6pUoeRR&#10;LZykueInQR54IRwhEvVO+JeGrU4J3venP/1pY5XuEIx9BANQRw4xTmEUtRZ3i6EeYR2MSpwVNVHf&#10;/e53G9tURj7UMn3b297+zne8Z7e+591Xvvtd73v729/11re8421vfed73/P+q6768Puu+tBV//fq&#10;D119zdXXfOLDH/3YBz/80Q986MP/9yMf261XX33NR67+2Ec/8vGPXXPtxz/+SfFCrr2OwD4qKUGv&#10;+egnPvrRj5Owj3zkY6TwvHr1h6/50Aevfv+VH3zXu95LCWC+c3zHOyiw84i6cdVC8eLSuQ6ivgs1&#10;8wnzyhyAN0LlV2fOfbMIAX3jhLV7R+Fea4sKYQwRrVffNGNXoD9C9eMMR+3xx5TRo9ZVDC+t1VRj&#10;6rmp4+eYQJpBFSWo8Ks2KxX+VdF/ud0wiwhhzji3VeJBaEH8BIFh8eA0XHHFFXCDHYu2UitmuEEW&#10;RcMNS0tLkAEeNC2K9kMbwI2l2mmV0hqmFVFFz1SLe14D1aIXVIt7Ui9Q0TPV4vxQkeqTGkb0392i&#10;reXpRRsSrVQDrnDGlRrKqRbauXaOuR1iMn6yS/7eCDxEWDEF+sFFq5bPmmkqn/rUp2v0uuugaWcI&#10;hANQ9clrgddPGML5sDg7uDvi8RhmgoF2aZXIZSoaPgD6DGJcOFD7GjMGex0l8LnPXa/d/TWiRVQj&#10;gKD21VDm2l+PCa+vQwVMVwHTd/fbAOJY2a5ofXCqyE5x6pMRA9SO7D7jilNNTU12Qkaqa3V1+HmI&#10;3l4jPJpiefOb33zZZZcpN9ixaCu1AjHoYMPDDz9cLBZpNlgTmLFYT7QlWgjVq5obLk3Rlnxeodm7&#10;5AGUUGJYiLvFoI0MsRD+dzMmjy2J11IjOtZSI8AWEEZALyDMq/nyl7+MT1MjuDgvSiFrX/rSl2BT&#10;Mq5F8VRC+dQIZrua8BS7Qr++pt0CDSiO14hTCV5EQr2t5gY73mDl/AI96Ic/U6kUNebVr341PjjG&#10;KZBEa4EbcEKNCXJ+G+QSESXIanF+MELhKE8ghjJqRQsQ0X+5DEtTjdBqcazTnQLxIAT0Gl4KQGbG&#10;788jSkUvJoFHEbJGriFgtzR2i/5UI5yn0NSup/x5Wbw7fRc1wk9U9RqpedEvDqEGWm6w8gyi4w3U&#10;jNtuuy0ajeKYww1XXXUVxhoutssNVCZtPJemnDfvAicV4V/DF4IjBvxrRS9z/qmiimcv5pkihIE5&#10;8E7P14gm48UkTsYqWVPIdk7tFGHmpxa32LUMdwvnNfJqMUX+YhOKwnKDlWcQnIYzZ87cd999a2tr&#10;Xq/32muvff3rX3/11Vd/9atfxUzD5qImHT58WNuVVqxLUBQ7nl6cS893sbBBlXDmvJc9jWjMKnpG&#10;49ktzkUvLoESnFBFnNzuFIcEdokWO+Jct+uNqHDeif3FLmTWcoOVZxC44dSpU3fccUc+n6fSwApv&#10;etObrrnmmq997WvqiXMSbqCBXTotZ7c8fd4FbKouUPO2WjhZfQ1n1CbVX6tFL9gtzs87RRHtUhAt&#10;PVf0jFM0VXLek4hTXlXi/HCpCgVoucHKM8iTTz75+OOP33rrraOjo//5n/955ZVXvuENb/jEJz7x&#10;jW98g5YGJVCTLDcgiubnlWeEG4UzRTQtRufOXUI8emWNaCSuaAwS9U5xfn5xCdl3QkY0p1osNeL+&#10;WiPu29EYEOeGncJ58yZ3iN74IhMya7nByjMI3HDy5MmNjY3u7u6vf/3rV1111etf//rrr7+e8He/&#10;+11tMwjcINP0LlUh+88ozqXPTpx7zifOFc8kztW7xPn5xSvPI5vP/nqNvEac315E8p3vfOerX/3q&#10;a1/7Wojht37rt974xjfeddddlhus7BAdiz516tQjjzxy4sSJ48eP33///RwhjEcfffQxIwSsWLHy&#10;ohFaN47C3XffTWO/5557br/99tOnT///cZOXP5mwHRkAAAAASUVORK5CYIJQSwMEFAAGAAgAAAAh&#10;AGH7iGffAAAACQEAAA8AAABkcnMvZG93bnJldi54bWxMj0FLw0AQhe+C/2EZwZvdJCVRYzalFPVU&#10;hLaCeNtmp0lodjZkt0n67x1Pepz3Hm++V6xm24kRB986UhAvIhBIlTMt1Qo+D28PTyB80GR05wgV&#10;XNHDqry9KXRu3EQ7HPehFlxCPtcKmhD6XEpfNWi1X7geib2TG6wOfA61NIOeuNx2MomiTFrdEn9o&#10;dI+bBqvz/mIVvE96Wi/j13F7Pm2u34f042sbo1L3d/P6BUTAOfyF4Ref0aFkpqO7kPGiU5DEj5xk&#10;PUlBsL/MEhaOCrLoOQVZFvL/gv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G6Q224EAAApDQAADgAAAAAAAAAAAAAAAAA6AgAAZHJzL2Uyb0RvYy54bWxQSwEC&#10;LQAKAAAAAAAAACEA/pOGX2UjAwBlIwMAFAAAAAAAAAAAAAAAAADUBgAAZHJzL21lZGlhL2ltYWdl&#10;MS5wbmdQSwECLQAUAAYACAAAACEAYfuIZ98AAAAJAQAADwAAAAAAAAAAAAAAAABrKgMAZHJzL2Rv&#10;d25yZXYueG1sUEsBAi0AFAAGAAgAAAAhAKomDr68AAAAIQEAABkAAAAAAAAAAAAAAAAAdysDAGRy&#10;cy9fcmVscy9lMm9Eb2MueG1sLnJlbHNQSwUGAAAAAAYABgB8AQAAaiwDAAAA&#10;">
                      <v:group id="그룹 130" o:spid="_x0000_s1227" style="position:absolute;left:78;width:21655;height:37909" coordorigin="596" coordsize="21655,37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그림 131" o:spid="_x0000_s1228" type="#_x0000_t75" style="position:absolute;left:596;width:21655;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9IdwwAAANwAAAAPAAAAZHJzL2Rvd25yZXYueG1sRE/NagIx&#10;EL4LfYcwBS9Ss9tSKVujiLa14KVdfYBxM90sbiZLEnX79kYQvM3H9zvTeW9bcSIfGscK8nEGgrhy&#10;uuFawW77+fQGIkRkja1jUvBPAeazh8EUC+3O/EunMtYihXAoUIGJsSukDJUhi2HsOuLE/TlvMSbo&#10;a6k9nlO4beVzlk2kxYZTg8GOloaqQ3m0CvYLk5ejyUflX3m93ix/toev1Uqp4WO/eAcRqY938c39&#10;rdP8lxyuz6QL5OwCAAD//wMAUEsBAi0AFAAGAAgAAAAhANvh9svuAAAAhQEAABMAAAAAAAAAAAAA&#10;AAAAAAAAAFtDb250ZW50X1R5cGVzXS54bWxQSwECLQAUAAYACAAAACEAWvQsW78AAAAVAQAACwAA&#10;AAAAAAAAAAAAAAAfAQAAX3JlbHMvLnJlbHNQSwECLQAUAAYACAAAACEA/OPSHcMAAADcAAAADwAA&#10;AAAAAAAAAAAAAAAHAgAAZHJzL2Rvd25yZXYueG1sUEsFBgAAAAADAAMAtwAAAPcCAAAAAA==&#10;" stroked="t" strokecolor="black [3213]" strokeweight=".5pt">
                          <v:imagedata r:id="rId109" o:title=""/>
                          <v:path arrowok="t"/>
                        </v:shape>
                        <v:shape id="Text Box 132" o:spid="_x0000_s1229" type="#_x0000_t202" style="position:absolute;left:14668;top:3644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gnxAAAANwAAAAPAAAAZHJzL2Rvd25yZXYueG1sRE9NawIx&#10;EL0X+h/CFLwUzVZFytYoIgrqRbr14m3YjJttN5Mlyer6702h0Ns83ufMl71txJV8qB0reBtlIIhL&#10;p2uuFJy+tsN3ECEia2wck4I7BVgunp/mmGt340+6FrESKYRDjgpMjG0uZSgNWQwj1xIn7uK8xZig&#10;r6T2eEvhtpHjLJtJizWnBoMtrQ2VP0VnFRyn56N57S6bw2o68ftTt559V4VSg5d+9QEiUh//xX/u&#10;nU7zJ2P4fSZdIBcPAAAA//8DAFBLAQItABQABgAIAAAAIQDb4fbL7gAAAIUBAAATAAAAAAAAAAAA&#10;AAAAAAAAAABbQ29udGVudF9UeXBlc10ueG1sUEsBAi0AFAAGAAgAAAAhAFr0LFu/AAAAFQEAAAsA&#10;AAAAAAAAAAAAAAAAHwEAAF9yZWxzLy5yZWxzUEsBAi0AFAAGAAgAAAAhAMJE2CfEAAAA3AAAAA8A&#10;AAAAAAAAAAAAAAAABwIAAGRycy9kb3ducmV2LnhtbFBLBQYAAAAAAwADALcAAAD4AgAAAAA=&#10;" stroked="f">
                          <v:textbox style="mso-fit-shape-to-text:t" inset="0,0,0,0">
                            <w:txbxContent>
                              <w:p w14:paraId="4FD2F4E4"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v:textbox>
                        </v:shape>
                      </v:group>
                      <v:shape id="Text Box 133" o:spid="_x0000_s1230" type="#_x0000_t202" style="position:absolute;left:381;top:17145;width:20891;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KlxAAAANwAAAAPAAAAZHJzL2Rvd25yZXYueG1sRE9Na8JA&#10;EL0X/A/LCL3VjQpSoqsUwdD2YG0ipcchO2ZDs7Mxu2r013eFQm/zeJ+zWPW2EWfqfO1YwXiUgCAu&#10;na65UrAvNk/PIHxA1tg4JgVX8rBaDh4WmGp34U8656ESMYR9igpMCG0qpS8NWfQj1xJH7uA6iyHC&#10;rpK6w0sMt42cJMlMWqw5NhhsaW2o/MlPVsHb4bt4P2byK9vePsYnyvp8F4xSj8P+ZQ4iUB/+xX/u&#10;Vx3nT6dwfyZeIJe/AAAA//8DAFBLAQItABQABgAIAAAAIQDb4fbL7gAAAIUBAAATAAAAAAAAAAAA&#10;AAAAAAAAAABbQ29udGVudF9UeXBlc10ueG1sUEsBAi0AFAAGAAgAAAAhAFr0LFu/AAAAFQEAAAsA&#10;AAAAAAAAAAAAAAAAHwEAAF9yZWxzLy5yZWxzUEsBAi0AFAAGAAgAAAAhAF60EqXEAAAA3AAAAA8A&#10;AAAAAAAAAAAAAAAABwIAAGRycy9kb3ducmV2LnhtbFBLBQYAAAAAAwADALcAAAD4AgAAAAA=&#10;" fillcolor="black [3213]" stroked="f" strokeweight=".5pt">
                        <v:textbox inset="0,0,0,0">
                          <w:txbxContent>
                            <w:p w14:paraId="6C030084"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200DCC1C" w14:textId="77777777" w:rsidR="00094D21" w:rsidRPr="008F328C" w:rsidRDefault="00094D21" w:rsidP="008E70FE">
            <w:pPr>
              <w:pStyle w:val="a3"/>
              <w:numPr>
                <w:ilvl w:val="0"/>
                <w:numId w:val="125"/>
              </w:numPr>
              <w:rPr>
                <w:b/>
                <w:lang w:val="pl-PL"/>
              </w:rPr>
            </w:pPr>
            <w:r w:rsidRPr="008F328C">
              <w:rPr>
                <w:rFonts w:eastAsia="Times New Roman"/>
                <w:b/>
                <w:bCs/>
                <w:lang w:val="pl-PL"/>
              </w:rPr>
              <w:t xml:space="preserve">Wprowadzić ampułko-strzykawkę w miejsce </w:t>
            </w:r>
            <w:r w:rsidRPr="008F328C">
              <w:rPr>
                <w:b/>
                <w:lang w:val="pl-PL"/>
              </w:rPr>
              <w:t>wstrzyknięcia</w:t>
            </w:r>
          </w:p>
          <w:p w14:paraId="4C5C0F36" w14:textId="77777777" w:rsidR="00094D21" w:rsidRPr="008F328C" w:rsidRDefault="00094D21" w:rsidP="008A03B2">
            <w:pPr>
              <w:pStyle w:val="a3"/>
              <w:numPr>
                <w:ilvl w:val="0"/>
                <w:numId w:val="0"/>
              </w:numPr>
              <w:ind w:left="111"/>
              <w:rPr>
                <w:b/>
                <w:lang w:val="pl-PL"/>
              </w:rPr>
            </w:pPr>
          </w:p>
          <w:p w14:paraId="02C05793"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Delikatnie złapać fałd skóry w miejscu wstrzyknięcia  jedną ręką.</w:t>
            </w:r>
          </w:p>
          <w:p w14:paraId="27EC446C" w14:textId="77777777" w:rsidR="00094D21" w:rsidRPr="008F328C" w:rsidRDefault="00094D21" w:rsidP="008A03B2">
            <w:pPr>
              <w:pStyle w:val="a3"/>
              <w:rPr>
                <w:lang w:val="pl-PL"/>
              </w:rPr>
            </w:pPr>
          </w:p>
          <w:p w14:paraId="2E09A88C" w14:textId="77777777" w:rsidR="00094D21" w:rsidRPr="008F328C" w:rsidRDefault="00094D21" w:rsidP="008A03B2">
            <w:pPr>
              <w:pStyle w:val="a3"/>
              <w:ind w:left="4117" w:hanging="180"/>
              <w:rPr>
                <w:lang w:val="pl-PL"/>
              </w:rPr>
            </w:pPr>
            <w:r w:rsidRPr="008F328C">
              <w:rPr>
                <w:rFonts w:eastAsia="Times New Roman"/>
                <w:b/>
                <w:bCs/>
                <w:lang w:val="pl-PL"/>
              </w:rPr>
              <w:t>b</w:t>
            </w:r>
            <w:r w:rsidRPr="008F328C">
              <w:rPr>
                <w:rFonts w:eastAsia="Times New Roman"/>
                <w:lang w:val="pl-PL"/>
              </w:rPr>
              <w:t>. Trzymając ampułko-strzykawka za korpus, wprowadzić igłę całkowicie do fałdu skóry pod kątem 45 stopni, szybkim krótkim ruchem.</w:t>
            </w:r>
          </w:p>
          <w:p w14:paraId="4393CE03" w14:textId="77777777" w:rsidR="00094D21" w:rsidRPr="008F328C" w:rsidRDefault="00094D21" w:rsidP="008A03B2">
            <w:pPr>
              <w:pStyle w:val="a3"/>
              <w:rPr>
                <w:lang w:val="pl-PL"/>
              </w:rPr>
            </w:pPr>
          </w:p>
        </w:tc>
      </w:tr>
      <w:tr w:rsidR="00094D21" w:rsidRPr="00A5286D" w14:paraId="3325A72E" w14:textId="77777777" w:rsidTr="008A03B2">
        <w:trPr>
          <w:trHeight w:val="6066"/>
        </w:trPr>
        <w:tc>
          <w:tcPr>
            <w:tcW w:w="9209" w:type="dxa"/>
          </w:tcPr>
          <w:p w14:paraId="4980E9D9" w14:textId="77777777" w:rsidR="00094D21" w:rsidRPr="008F328C" w:rsidRDefault="00094D21" w:rsidP="008A03B2">
            <w:pPr>
              <w:ind w:left="104"/>
              <w:rPr>
                <w:rFonts w:ascii="Times New Roman" w:eastAsia="Times New Roman" w:hAnsi="Times New Roman" w:cs="Times New Roman"/>
                <w:b/>
                <w:bCs/>
                <w:spacing w:val="-1"/>
                <w:lang w:val="pl-PL"/>
              </w:rPr>
            </w:pPr>
          </w:p>
          <w:p w14:paraId="7197FB5A" w14:textId="77777777" w:rsidR="00094D21" w:rsidRPr="008F328C" w:rsidRDefault="00094D21" w:rsidP="008A03B2">
            <w:pPr>
              <w:ind w:left="104"/>
              <w:rPr>
                <w:rFonts w:ascii="Times New Roman" w:eastAsia="Times New Roman" w:hAnsi="Times New Roman" w:cs="Times New Roman"/>
                <w:lang w:val="pl-PL"/>
              </w:rPr>
            </w:pPr>
          </w:p>
          <w:p w14:paraId="09B18123" w14:textId="27B7FC01" w:rsidR="00094D21" w:rsidRPr="008F328C" w:rsidRDefault="00094D21" w:rsidP="00D22235">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19" behindDoc="0" locked="0" layoutInCell="1" allowOverlap="1" wp14:anchorId="2BB28BC1" wp14:editId="20AD95F9">
                      <wp:simplePos x="0" y="0"/>
                      <wp:positionH relativeFrom="column">
                        <wp:posOffset>67945</wp:posOffset>
                      </wp:positionH>
                      <wp:positionV relativeFrom="paragraph">
                        <wp:posOffset>199390</wp:posOffset>
                      </wp:positionV>
                      <wp:extent cx="2186305" cy="2757170"/>
                      <wp:effectExtent l="19050" t="19050" r="23495" b="5080"/>
                      <wp:wrapSquare wrapText="bothSides"/>
                      <wp:docPr id="134" name="그룹 134"/>
                      <wp:cNvGraphicFramePr/>
                      <a:graphic xmlns:a="http://schemas.openxmlformats.org/drawingml/2006/main">
                        <a:graphicData uri="http://schemas.microsoft.com/office/word/2010/wordprocessingGroup">
                          <wpg:wgp>
                            <wpg:cNvGrpSpPr/>
                            <wpg:grpSpPr>
                              <a:xfrm>
                                <a:off x="0" y="0"/>
                                <a:ext cx="2186305" cy="2757170"/>
                                <a:chOff x="0" y="4663"/>
                                <a:chExt cx="2186608" cy="2757592"/>
                              </a:xfrm>
                            </wpg:grpSpPr>
                            <pic:pic xmlns:pic="http://schemas.openxmlformats.org/drawingml/2006/picture">
                              <pic:nvPicPr>
                                <pic:cNvPr id="135" name="그림 135"/>
                                <pic:cNvPicPr>
                                  <a:picLocks noChangeAspect="1"/>
                                </pic:cNvPicPr>
                              </pic:nvPicPr>
                              <pic:blipFill>
                                <a:blip r:embed="rId110" cstate="print">
                                  <a:extLst>
                                    <a:ext uri="{28A0092B-C50C-407E-A947-70E740481C1C}">
                                      <a14:useLocalDpi xmlns:a14="http://schemas.microsoft.com/office/drawing/2010/main" val="0"/>
                                    </a:ext>
                                  </a:extLst>
                                </a:blip>
                                <a:srcRect/>
                                <a:stretch/>
                              </pic:blipFill>
                              <pic:spPr bwMode="auto">
                                <a:xfrm>
                                  <a:off x="0" y="4663"/>
                                  <a:ext cx="2185035" cy="2572583"/>
                                </a:xfrm>
                                <a:prstGeom prst="rect">
                                  <a:avLst/>
                                </a:prstGeom>
                                <a:noFill/>
                                <a:ln w="6350">
                                  <a:solidFill>
                                    <a:schemeClr val="tx1"/>
                                  </a:solidFill>
                                </a:ln>
                              </pic:spPr>
                            </pic:pic>
                            <wps:wsp>
                              <wps:cNvPr id="136" name="Text Box 136"/>
                              <wps:cNvSpPr txBox="1"/>
                              <wps:spPr>
                                <a:xfrm>
                                  <a:off x="1466850" y="2616205"/>
                                  <a:ext cx="719758" cy="146050"/>
                                </a:xfrm>
                                <a:prstGeom prst="rect">
                                  <a:avLst/>
                                </a:prstGeom>
                                <a:solidFill>
                                  <a:prstClr val="white"/>
                                </a:solidFill>
                                <a:ln>
                                  <a:noFill/>
                                </a:ln>
                              </wps:spPr>
                              <wps:txbx>
                                <w:txbxContent>
                                  <w:p w14:paraId="56999436"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BB28BC1" id="그룹 134" o:spid="_x0000_s1231" style="position:absolute;margin-left:5.35pt;margin-top:15.7pt;width:172.15pt;height:217.1pt;z-index:251658319;mso-height-relative:margin" coordorigin=",46" coordsize="21866,27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aMqQMAAEEIAAAOAAAAZHJzL2Uyb0RvYy54bWycVdtu4zYQfS/QfyD0&#10;vpHs1HLWiLNwkyZYIN01mhT7TFOURaxEsiRtOftB/YX2oV/U/kTPUJIvSYBu98HykBwOZ845Q16+&#10;2zU120rnldHzZHSWJUxqYQql1/Pk18fbNxcJ84HrgtdGy3nyJH3y7ur77y5bO5NjU5m6kI4hiPaz&#10;1s6TKgQ7S1MvKtlwf2as1FgsjWt4wNCt08LxFtGbOh1nWZ62xhXWGSG9x+xNt5hcxfhlKUX4WJZe&#10;BlbPE+QW4tfF74q+6dUln60dt5USfRr8G7JouNI4dB/qhgfONk69CNUo4Yw3ZTgTpklNWSohYw2o&#10;ZpQ9q+bOmY2Ntaxn7druYQK0z3D65rDiw/bO2Qe7dECitWtgEUdUy650Df0jS7aLkD3tIZO7wAQm&#10;x6OL/DybJExgbTydTEfTHlRRAfnDvh/y/LxDW1Q/HW3OMyhk2Dx5OyafdDg7PcnIKjHDr4cB1gsY&#10;/lsu2BU2TiZ9kOarYjTcfd7YN2DM8qBWqlbhKaoP3FBSertUYum6ARBdOqYKdMM5cNG8gez//uPP&#10;f37/i9EM6qM95NZt4lTUvRGfPdPmuuJ6LRfeQrmIENE4dU9peHLiqlb2VtU1cUV2XxtU/kwlr8DT&#10;KfDGiE0jdehayskaZRrtK2V9wtxMNiuJetz7YgSu0M4BJVmndOgY9U78gnxjL/ngZBAVsUiJHnKj&#10;kYfO2Kr92RQIwDfBxJ55VWcHvRxJbZIRpFEtk+l4chEVtVcLgHQ+3EnTMDKQMJKKJ/Dtvaf04Dq4&#10;EFjaEGwx7Vqzdp7k55MsbvCmVsWAabyM5HXt2JbjGgm7jhY+O/JC5Fr3NVOVvYmiqa1wt/mBFoxe&#10;EPO/2veh4lYiSwp7LLZ8ENsjIfaj2UFuORHUO1KTs7DDQi8smu9yHfpt3+sjwH8BLBh1dT7Kx2jx&#10;iNNAxnT0djrpOxfOGXw7fAcyB5y/koojKDuO9nC3lQqyD37iRXgfcTgwcKiKrLBb7bpmzKYDFitT&#10;PAEKZyARlOituFXQyz33Yckdrn9M4kkLH/EpawNdmN5KWGXcl9fmyR+0YjVhLZ6TeeJ/23C6aOr3&#10;GoTT2zMYbjBWg6E3zbWBtNBeyCaa2OBCPZilM80nvHQLOgVLXAucBS0O5nXoHjW8lEIuFtGpu6/u&#10;9YPFLTeKuiZWHnefuLM9LwGEfjCDpPjsWad0voSztwv0662KbUTIdihC5zSAvKMV3ylYJw/h8Th6&#10;HV7+q38BAAD//wMAUEsDBAoAAAAAAAAAIQBnIQu6eRgBAHkYAQAUAAAAZHJzL21lZGlhL2ltYWdl&#10;MS5wbmeJUE5HDQoaCgAAAA1JSERSAAACDQAAAmoIAgAAACeL5CEAAAABc1JHQgCuzhzpAAAABGdB&#10;TUEAALGPC/xhBQAAAAlwSFlzAAAh1QAAIdUBBJy0nQAA/6VJREFUeF7s/QV4G+eexg1/1/W+u+/u&#10;2T1tE6OYJcuW2ZZkDjM1bTgNk5OGucGGGmZmZmZmJgdtx8yO48QQM3/36FF03LRHp7ubtnb6/11z&#10;5jwazTzzjBrdv/nPSPL/r4ogCIIg/jn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D+N1RWVpaXl1eYQNu89OdgOcP8mKidkCcIgvjfgPT/jZ7ACubHRO2EPEEQxP8GJgAmCWBe&#10;+gvYauYHRO2EPEEQxP8GpgdgfvxBCaUmysrKWLVRfQWilkKeIAjiE2BSBucJ6KH69Sg2N69E1E7I&#10;EwRB/F8xOcIsCZMgPsa8HlE7IU8QBPF/hUkClJWV5eTk5Obm5ufnFxUV4SEW4lnzekTthDxBEMS/&#10;AjnPpopK84QZrFBSwjXKK8qKS0qKigvz87My3969fefKpcux0dEF+fmlxSWV5RVYp7Kisry0rLy0&#10;FD4xd8UmojZAniAI4l9hifVqnoAAKkrLzI2SsoL3ebFR0VcvXlq1fMWcGbOOHzkaFx2Tm5VdXlbO&#10;rVNRWYHSoqwcDXNXbCJqA+QJgiD+FZZYr+YJ1oAhyktKUU+kJiUfPnBw/Jix3Tp3+bpN27GjRu/Z&#10;uevl02fFBYVVKClMVYV5K7RZD5iI2gB5giCIfwXLdJbyH6ZK1AalZSWFRXnZOYlx8WdOnho9fGSg&#10;0c/NRefq7FI/OGTwwEG7tu+IfRVVnF9QaakqSsu4K1HkiVoFeYIgiH+FxROYKqpQEFSWliPxK8rK&#10;i/Ly42Nijx85On70mPpBISqZQi6WapQqF422QXDIiKHD9u3eExP5il1xgiHKi0vNdyywhO5v1xLI&#10;EwRB/Cs+8kRZOXetqai4uKAwISbu5NHjk8ZPbFS/AfSglMpUMrlWrVFIZe4urk0aNhoaOmT/7j2J&#10;sfEwirmSMBUTZRAGeaKWQJ4gCOJfwfTwwRMoBcqKSoryChJi4w7vPzh+9NhWzVq4OesgCa1KjTkk&#10;IRYIdU7OHjq3AIPfmBEjd2zZFvH8BffxJ5QRZeXcZSuqJ2oP5AmCIP4BsvuX8W26r8DdYKhAJVFa&#10;hojPy86Ni4o5dfzE5AkTmzZs5Oai06o0qCc0CqVcIpUKxWK+AG0npRrLUVUMGRSKqgJeycvJLS0s&#10;5kxTwtUTH2HeH1HDIE8QBPEPfjWvuS/RlZahkigvKSsvLiktKo59FX388NFJ4yd83bqNzkkrF0ud&#10;lCpYQS6WwBMysUQmEqOtksmd1RpXZ5fggEDuXsWu3S+ePH2fnQPrcF+n+AC6x7zMBNmiBkKeIAji&#10;H/yqJ7il5RVI9rLikuKCwqS4+KMHD0+fPKVhSH0PnRuUIBNJUD2oZAqpSKyUyhUmVUAeSqlMo1BB&#10;FWq5omG9+sOHfL9jy9aI5y8K8/JRozBDsD0C7ot75IkaCXmCIIh/wCLb/MBCJfdlupLCovyc3KS4&#10;hGOHDo8ePqJZ4yZwACoGdu8aJoAepEIxbIElkAQmLIE2sESrUru7uDaq12DY4O93b98Z+SI8Lye3&#10;pKSE7Q6Y91OtTdQcyBMEQfw6LLXNlFcUvs9PiI07c+LkhDFj6wUFOynVSuhBoXRSqTGHKmAFhUSm&#10;kiuwHA3TQzZxbblYgjUbBIeMHDb8yMFD8E1ubi4KCFQVxcXFaGCPaGNXbO9EzYE8QRDExzA1/OO2&#10;QWlpfu77+OiYE0ePTZ7wQ8tmzd2cXZD7MpEYArBYAWUEqyrMk9SkBzaJJSg1ZCJOFfWDglGOoKqI&#10;joouKCjAjtheWANz8yCIGgN5giCIj+EsUc0Tee/fRzx/cer4ifFjxtYPDnHXueqcnOEGdmeCu3dt&#10;usTEWUEslZoXmjzxQRXspgXmkIpWrWkQXK9/77579uwJDw9HMcH+tBHbKTAPgqgxkCcI4q8KErnC&#10;8sW3Dz+kYZq4tK6orCjnfrmvuLAoLSXl6MFD0ydPbdaosUahRNGArOdKB5MGuEkq4+5JSJgkuE86&#10;oW1aKDetI5MIRBKhSCWTOynVGoXK09W9ScNGgwcP3rZtW1RUVF5eHrMFu61tHh5RYyBPEMRfFUii&#10;rNz8I32WH1wyaaOy3PQ9uNLy4oLC+JjYC2fOTp4wEZLQOWlhCBV3cUkGYaA4+I0T1oc5TLe7uS9Y&#10;YFsvd4+QkJDQ0NDDhw+npKQUFRWxksI8NqImQZ4giL8qUAKTRLn5tzSYJypNvxOOqbSoODkh8fD+&#10;A5PGT2zToqW7iw7FASTBbjZ8ZALrE2oI6IH7sKxEKhEIpUKRRqnS6XTNmjX78ccfL126lJqaipKC&#10;PFEzIU8QxF8VsydMkvjwsxwVZeWlxSXlJaVFeQWQxOkTJ8eNHtO0UWM3ZxdzTWDyhFyMmkD1kQys&#10;TCgjuC/fiSWsFkEPKplCrVY3aNBgwoQJJ06ciIuLy8/PZ3ezzcMjagzkCYL4q4JENl1l4iTBTVy7&#10;vKSsuKCw4H1efEzskYOHRg4bXj8oROfkzF1lMt2EwCTlPuYkY5+L/a2TVAZJoBxxUqm5D86aGgEB&#10;AQMHDty9e3d4eLjlM7LkiRoIeYIg/qqYCgjzZK4tKirLyksKi1BJnD15esLYcUH+AWqF0vT1CIS7&#10;HFkvEYrEfCH3iVg44yMZ/POJ+3aF6eNPaGPurHHy1xt69uy5evXqly9fFhYWVpigeqJmQp4giL8q&#10;v/REWXlpUXFSfMLh/QcmjBnbqllz7vOvpnsS7POv7NqRnPuME/eN6+omsD7BNJhjQ2ylVakb1Wsw&#10;qN+ATRs33r17F5UEkwQgT9RMyBME8VeFXXf64ImK0rKivPzUxKQTR4+NGTGyQXCIq9YZdQBKB9QQ&#10;UqGIXTiCMzRKFZf7VusJVj2gCuGuMqGekCs4u7DLTUa/gf36r1u1OiI8IicnB3owj4eoqZAnCOKv&#10;iskT7EsSleUVRfkF0RGRRw8enjBmXLtWrd1dXNUmJXA3JISi6g6wPpkUwl2hUkikarmSu91t+p42&#10;KhJntaZR/QaDBwzauHbd/dt3cnNyCwsLUUOYx0PUVMgTBPFXhZURpj86VJzP/QrsyaPHpvwwqVmj&#10;Jj4eXigFcPrP3Zkw/RTHRzL4ZxNXRpguLnGbfLgbIRdLnDVOTkp1oNFvUP8BkMSDu/fevXkLSZSU&#10;lFjqiUrTN8DpulMNhDxBEJ8/CF8L5kVYiFA23btGJZGckHjq2IkxI0c1CKmnc9JaPt3Ebl+zxP8t&#10;E6zAXaEScX95gt2TwOTE/VisLtg/oG/PXutWrX7ISSKT+5Xyn3/ACZKgzzvVTMgTBPH5YxKEGfOi&#10;qqrSEu6PSeS/z4uNij51/MSPU6a1aNIUJ/7c7Qe5gvuEEvfrftxvb3DTz33wzyZ4gv3oE+sBzsAS&#10;D1e3AIOxX6/eG9euf3T/wbuMN6hguO97/7x6IE/UWMgTBPH5YxKEGRbHHGXlJUXFCTFxB/buGzls&#10;ePPGTT10btxVJlPWI+IxsQ81IfGry8DKhG1RRrDrVHKxRODAw8OQwKCe3b9bu3LV8ydPC97ncbdD&#10;TN/V4G6QVMM8PvJEzYM8QRB/IZDCZWVlJagkiosL8vNTTJebRg4d7m8wslvN3MdexVKxQCjmC7lv&#10;X8vMX5+uLgPrk0ahxPrcHWylykmlrh8cMnjAoE3r1j+8ew+SgCHY9EtPEDUW8gRB1FDYyTWofneX&#10;LWGwJR+Dxb+YzBuYgCeKi4rz8/KjIiL379k7acLE5k2aumi0qCSgCuQ73ICghy1QCiDrURxAGx/J&#10;gJu4Gxj/eIhKwjxJpBKhCNt6uLoHBwQO6Nd//Zq1z8LCst5kVqGQKCuHpipLTb8/SJ6oJZAnCKLG&#10;gTTHHIHOfkKV/eA2ewqNj27/fswHN1Sfyku53/VjPxVeXlZe+D4/JvLVqeMnIImG9erjrN9UTIhR&#10;THA3ri0msDqZlMB94BVqQVsqFGNCCQKEQqFSqfT39+/Zs+fatWvDwsLMYyNqJ+QJgqhxMAdgbqkk&#10;MGeYnrfKBzdUn9g3JNAoyi/Iy8lNjud+BXbcqNEtmzZ31jhx15dMv+6HUgCNj3zwzyZWPcjF3K/A&#10;sm9LoLzgNlcqNRpNcHBwaGjo+vXrHzx4kJOTYx4bUTshTxBEjQM+QA1RVFSUm5ublZXFfv6Iu/Fc&#10;VsYKC6xgUcjHVDfEh1/3qygtY57IynwbHRF54czZSeMnNKrXQOekZb/UpFGq4AnE/UcysD5xV6VM&#10;X4/gejBdpOLKC7UalUTfvn0hifv377958wbHYh4bUTshTxBEjQMOyM7OTk1NjYiIQNTGx8eza02W&#10;K05MG//CEzAE95NN3K82lReXlBYVF+blx0fHHj14aPzoMc0bN/HQuZq+HoGIV7Gbz/9TT2hVGtP9&#10;DDn0wDpBPREQEMAk8fDhw8zMzJKSEgzVPDaidkKeIIgaB4IVkggPD79w4cKWLVswx1l5QUEBc0N1&#10;zBtUx+IJThLllaVlKCYw5eXkxkZFXzx7fsoPk+oHBeu0zs5qjcL0i37s8hE8AWcg8T+Swb+cTJ1w&#10;N73dXHS+Xt79+vVbs2bN48ePUQlBbP90nETtgTxBEDUO+CApKenBgwebN28ePHjwjBkzLl++HBkZ&#10;mZuba17DCtU8UVlaXlFSWl5cWpxfEBcVfXDf/vFjxrZs2tzN2YVdI2IRz24wMEn8z+5PSEy/zGHq&#10;xN1Fhxqld4+eGPPdu3ffvXtn+U0O8kRthzxBEDUOnIYnJyffunVr7ty5wcHBrVq1Wrx48ZkzZ7Cw&#10;tLQUFgHs/kR1zBubv5pQVVnGSaKsuKSksCglMenMiZOjho/wcveQisROSjVSXiIUaRScLVjuswYS&#10;nz38lcn0Sx6Wh+gBUkEPKpkCxUSgn39o/wFLFy5GGZSTk/OP8ZAnaj/kCYKoccATaWlpd+7cgSca&#10;Nmzo5eXVsmXLKVOmXLhwAXVGUVERkheeAOx2N7sHwLkCoIwor4AqKku5P3Cdm5UdE/nq8P4DkETD&#10;kHruOlcX0wecTNWD+feXfsvE/YwHV0BwH4jSqtROpvveqCdksI5KHRwQ2L93322bt0S+eJmXl4ch&#10;YTzmgyFqP+QJgqhxQAAZGRl3796dM2dOUFCQk5OTu7t7+/btZ8+effbs2cTExOLiYiYGrMzmrIEN&#10;y0vLUElwnqioRCWREBN76tiJH8ZNaNygIc79kfUalA0iyf/op8Ixmb6YLWVf2EYnWMIuN6HPkIDA&#10;0AED169e8/j+g7xs7qfCP/oVWMsIiVoKeYIgahwI2czMzPv370MMBoNBKpXKZDJPT0+oYubMmefO&#10;nUtOTkYco5hgKYz1ARrc9SjT519RUhQVFCbGxR89dHjsqNHNGzd1c9ZJ4Aap3FnjZL4z8T/5FVis&#10;jwIChQg3iSWoKpzVGhQWgUb/gX37bd6wMezBw5y3WZATuzKGwViOhWqL2g55giBqFghWRO2bN28e&#10;PHgAT+j1erFYDFWoVCofH59vv/121qxZ58+fT0pKev/+PUtkzFkWc9IorygrLn2fnRP7KurE0WPs&#10;Zzm83D2cVGr2661q0+/0SYXct68/8sE/m7CVVCSGHtgnX9EP5p6uboFGv369+2xcuw6VRFbm27KS&#10;0soPV7/YsQDyxGcAeYIgahZlZWXFxcUZGRmoJ+bMmWM0GlFMQBVALpejqvj666/hD6giMTHRcq+C&#10;ZTHmqCfyc/NehUegkpg8YWLLps3dXVw1ShXinv3iN/dbsKYGbFFdBlYmeIL74KxECtngodCRjw5D&#10;AoMgiXWr15gqiXdlpdzvgnC30H/OR9ogaiPkCYKoWSBVUU9YPOHn5wc9oJ4QmYAz3N3dUVXMnDnz&#10;zJkzsbGxUAXUAlVgWwimMD8/Ljrm0P4DE8aMbdaosUahEvOFKB3Upp/5424zcH99SM590unD3xH6&#10;jRM8AT2gpMCGDYLrhQ4YuGXjpod370ES3E0R04esuIn47CBPEESNA2XBmzdv2P0J5gknJyeFQgFJ&#10;QBho+Pr6dujQYd68eWfPnk1OTs7Pz8cmEExeXt6riEj26aYmDRvptM5yscRJqVKZPvOKBiKeu81g&#10;+jkm9u2H3zihBxQi8ISrs0uA0S+0/4BN6zY8efT4Xcab8pJS7kcGy7ifgEXbfAzEZwR5giBqHCgO&#10;MjMz7969O3fu3KCgIM4Nv3bPuXOHjnNmzLp66XJKYlJ+zvui/ILoyFcnjh6bMHacwccXKyDWsSH3&#10;CaXffIkJRQNc4uKkxZxVITCEWCBiV72cnZ3Zr8CuW7cOwzMPtybBLsFhDsyLqmG6BmYNbIXiDKAT&#10;1g9byGDrmPv6fWC7YJj3+vMvylRfh23CwEOsiTGz4rL6s+ypj9YHbHn1p9D4JViBPEEQNQ68M3+L&#10;J3Bq37Jps/lzfrpy4WJUeETEi5cH9+4bP3pMq+YtuN/kwCam+8/s95c+2vafTfAEuzAlEYq4PyPB&#10;fZNOyS1UKLRabWBgYJ8+fdauXfv48eO3b9+ah1uTMOUeBwLOvKgaLPisYN64Gmy5eftPCuuZYV70&#10;YSH2y0TF+GgFNjDwURuwFYB56T8ZP1sIqq8D0Dbv0gRTJiBPEESNA2/X3+IJ5LiLxqnTNx3mzJy1&#10;Y8u2HVu3/TB+QqP6DVw0WvaXIVBGiPlCpVT+229FMLuYPhAlgmPYn6VTKRQ6nS4kJASSWLNmTVhY&#10;WGFhoXmsNQxT7n0cjuyhBfPS34B5g//JJr8dc9cmzIv+CeaVTKthzo4RIMG5O1ImioqK2CeSsbCk&#10;pAQPAfueDdZk/Viw9MZgD1mfrA3Mz5kgTxBEjQNv19/iCY1CBQf4eHi1aNK0S4dOvbp/17JZc3ed&#10;K57C+pa/PoRqoPpW/3JiPwHL2YJzBvdNbK1aDUkMGjQIlcSdO3fevXuHQSKA2GhrFOaQ+xBzrI3X&#10;kzs9NmEKw3+k4S9hKzDM2/w+R8p2Z37wAbbQgmUM5sfVgBXy8vKys7PfvHmTYQIVHv7TZGVloYF/&#10;PwDP5ufnwxbVjwVt1gOMwtqYs4Z5ENWGwZ4iTxBEjQPvzN/iCWhAzBeoZAqt6StvHjpX83fouL8u&#10;J+LuNHAfcDKXCB9t+88m8/1tlCBy7nKTTCRxVmsCjH59+/bduHHjo0ePMDDkCwaJk1Y22hpL9aT7&#10;CPbUr2JeoxosWwFbwdz77wPbBcDuYIKCgoLc3NwcExAAXvzXr1+npqYmJSXFxcVFRkY+f/788ePH&#10;D03gvw7aAA2Asg/PYp2YmJjk5GRsAtDA5pAK7IKu0Of79++xC4CiBHusfqSAPSRPEESNA+/M3+IJ&#10;pL/QkYdMd1Kq2ZfgsJC7l/DhqhEaTBX/I0+gK2zCfuQDPTdu0DB0wMB169YhiRAriBLEBwbJbFGT&#10;scQcsDxE6MNwDNPp9c9gF23YBRyszI4Uc7bQcgJu6v7TYBkV+rcMCW0YAsUBYj06OvrZs2cPHjy4&#10;ffv21atXz5w5c/To0YMHD+43sW/fvj0mdpvY9QG02XKsg5WxyRETx48fP3369MWLF69cuXLjxg38&#10;N4VLXrx4ER4eHh8fD3NASHAGq0JwvOxgyRMEUeNAcPwWTzip1EIeH0rgagiJ1Mn05QbODQolygvU&#10;GcwZ7EOxv3HCjrA+ChQXJy3mem+fQf0HrF+z9t69ezgDRXYAlh2IMzbaGgteRhbBOFNG5uIlxXl0&#10;WloawjcxMREn12h/BM61ARpITKzPLuMgOpHa6KR6dH4qmBWKioqwC3YdiRUNSG0kONyATD958uTh&#10;w4ehhO3bt69fv3758uWLTCxZsgTtFStWrFy5crWJVatWoc3AU8uWLVtsgq2PBhauXbt2y5Yt6Grb&#10;tm2HDh06derU2bNnsZc7d+48ffoUO42IiEAJkpKSgpGg2oAzyBMEUeP4jZ7AhOXsqX+sUG1Ny7O/&#10;OnHPSthfKJKigEDpwC03/Xk7qEKndQ4JDOrfp+/uHTujIiItvwKLlGRB+Wnj8lPBxMBAG+GLvMPJ&#10;8uPHj3H6jJPxEydOsMzFGTfmH4Gzb5x0I5fPnz9//fp12JFdvYmKioJX3r59C1ugZ8uLwEAb/mBV&#10;SPXlFjCSX10OsAk2RLfwE+oG7BH7RXYfOHAAI9y8efOaNWtY4i81gQYcgIUbNmxA3O/cuZNVDACb&#10;YM7qBhwjluPZTZs2YU02Z13BLgsWLJg/fz60wUwDu0AeWAG7gz9QjuClQOUBeVy7dg1VDnmCIGoc&#10;v90T/8cJepCLJdzPeJh+BdZ00Yn7yXHUJcEBgQP79lu7ctWjew+y375DkCEvMDA2Qi4ma6onWGSz&#10;GiI2NhbJi/NlBB9CEIGIWMQJuCUuP2LhwoXIYgQxTtu3bt2KpEb4Hj16FP8tYBr4Ji4uDoGO831W&#10;mqDGQsFhuVCD1wR7Z4pirw/maLOPHmFUeA0xMJyko27AHOJBcYNBRkZG3r9/H7m8Z8+edevWsbGh&#10;AoAVMFQUClhoyXFmOIzq9OnT8NmVK1eQ5levXkUDQDMwIuZo41k4D2uibsCB7N27F+ZAGYF+YA4c&#10;I0DPAAoB2BGO3VSBLMarBHngRUA5RZ4giBrHH+QJ9GlyAyssMGcXrJzVmiD/gEH9B2zduOnpo8c5&#10;77Iqyrhr+tVPljFCPGTtPwsMhmF+bAIPMVREG07/Hz16hAICyYtYRBQiARG7LP6Qj4hdFpTVQVYi&#10;o6EKy1k2FrLzcSQmO3lH7LJrNbdu3Xr48CHkkZCQAG2g5IIJ8MoANjDWBqyNVwxjgx5gF1bl4D8x&#10;+sG5PwaJ+GYDYOPEHDtFsh87dszig5s3b0J72CmkhUIH9cfLly8jIiKgGfT24sUL9pAtwRxLnjx5&#10;gjUZeEEePHgAIWG/t2/fvnz58oULF1iNhRIEImElCGyBw8cA8FJgPBgweYIgahzIlD/AE+iTfWQW&#10;buDuWkukWrXG292jflDw4AEDIYlnj8PeZ+VUlpVXVnAxh7Azj69meIKNwTIqLphNINeioqJwQo3U&#10;Q+RVv1CDLMbJOJazSzQI6I/AcviAnW5jfXaijU4AOkF6MtPgIZbv2rULnSBncTrPhIFqA6UGNIBC&#10;AXWGBXZ3BE/BKIhvrAzHIP0xErgBfSKRLQ7buHHjli1bYA4ICXpAoYBwR+K/evUK/bPPLLFbLOwu&#10;i+UhOgfVF6LBFkJLgC0EbDk6xJghG/gD/9gwJBQiqD+wa9gCME2SJwiiJvJHekIlUzhrnDAXC4Qu&#10;GqeGIfUG9u2/ad0GVBK5qCRKy3/11/0Qxxik+cGfRHVPsPGUmT6thEDEmTJiDrG7aNEilAUIPqQ5&#10;zIGAfvqB6ifa1cFy5CZO23HyjlP4ixcvIqxRQOCMG46BPyAJJgx0jgZLdstFKqx57tw5bIjYxZk7&#10;TvzRIbKedQIVYTVoAPmLDTE2dssB7e3bt2NzjBPb4j89RmIpF6C92NjY+Ph4JgDMmQxY+gO20ILJ&#10;BRzsqY+wbAJVQDwxMTHoH3uBM7A7YPlkLbSBw8dLSp4giBrHH+MJTNzlJgn3jTx4Qi1X1A8OGTxw&#10;0Ob1Gx/de5DzNquG/wos3MBgbUiiqKgoNzf3+fPnyGIkODyBOMYpP2Ia2RcZGYmorX7ezRofgQxF&#10;1GLN6OhopCdyEx0i8aGNCxcuHDt2bO/evch0ZD13XX/dOkQ8u0TDbgsj+rEQz2IM2DVqguPHj7OV&#10;8RSUADAwtOEbtiYrHdA5chlSwTgxttTUVES5JfRZsgOTCP4B1mSYH3/AvPTDcrYtw6SJn/mDrcPW&#10;xyuAOfwBM0EhECpeWPIEQdQ4/jBPyMTcH0B1Uqp0Tlp/vTG0/8DNGzY+e/wEkqiAJNjf2cZUVtM/&#10;AgtP4LQ3Pz8/IyMDgY78RWRv3rz50KFDCN8XL14g9JkkMGcySEtLY/n4S1hcAqzMEtNyAwC5iRNt&#10;dpUfJ/6XLl1CBQAfbNu2DVXFhg0bLFeQII/qYCF7Cl7ZsWMHSoeTJ0/CDSg70Bu6RefYBU7tsV/u&#10;w7mmL9NhJGhgqCzN2aiw0JLvaDPw0CKA6svRtjwFuM1MWNZBwwJbjtcQy3Hg6enpUAV5giBqIr+T&#10;J9CJuR/TFSc5HioUKqXSVacLDgru17ffmtVr7t+7h7Q1/9EhnKqbTtiBeWQ1DHbdCbBPGeFFQ4jj&#10;3By5jBN2SAIpjIIAcV89B1njn8FW+CUsVauDWEepgT2yUuPUqVMnTpxgF/dRcMBS7A4HYLccmB6w&#10;DrspjRKH3XWAhywCANhX9ZGwNmAPGf9siQXz0n9+pOanfwEGAC2xkQAswQtLniCIGscn94RKZv4L&#10;RVw/ps84yUQSqenPqarVaqPR2KNHD5znIrbY5zur3x+uyVT3BF60N2/eILLZRSccDoI7LCwMKYyw&#10;M6fjJwXJjpNuVAAQhqXOePjwIUqNO3fuoI6xfFYVusJ/TTz75MkTvMioTrAV5hZJmCLajLn3PwPs&#10;HW5gnkAbA8NCvLDkCYKocXxyT3AffjV9tIn7wgQkYbrcJJNItFot+u/Tp8/q1asRcHl5eUhe9uHO&#10;WuqJy5cvb9q0iV10unbtGoL4o+stnxDWMwMPTSHPpTxCFv6Ijo7G3iEDwALXAtZPTU1lF7VYImMh&#10;2xywdf4UsHfyBEHUDj65J+Ri0w94mP4sHXfFyfSXi1RKpZ+fX//+/Tds2IDz3JycHFQSrJhgngDm&#10;AdVUfumJixcvspsTO3bsuHfvHpIOicxC8JNjSnUu1lnuAyQswEPkLHYNEzDYsxad4FkWxKZuzJg6&#10;4zA//jPA3jEw8gRB1AJ+H09wP9xkanNfvXbWOBkNhl69eiFVHz9+jEoC+0XslpSUsOTFGAAabEg1&#10;k1964tKlSxs3bly6dOnOnTsfPHiApLPk3SfHlPYcXLp/ACELJZjX+AAMUR22kMnDvJkJtvxPBGPA&#10;4ZAnCKIWgHfmJ/aE6UvX8ATKCO6vDymU3h6e33zdHnl6//79LNOvwGKniF0ELgaA5MVDBhtSzeSX&#10;nrh69ermzZsXL168detWvIA4l0fk/U6eYJgSnsPykO0RsLStvk512PpsTWBZ8ieCMZAnCKJ2gHfm&#10;J78/gTl30cl0Z0Kr1vgbjJ06dlyxYkVkZCRqCMCiFmAASF5EMIMNqWaC4X3kiWvXrm3ZsmXBggUb&#10;Nmy4detWnOkLzEg9loOfFnTL8hTgIasVsITlPmDPWp5Cg60M2FOYswtTAA/ZOn8ibEjkCYKoBeCd&#10;+Yk98WFzNLg7E6ZfDg8JCh4/fvzZs2eRC+xyk3n3H77ChhTGcmaOGghGiLFZ5lAFPAE3bN++ffny&#10;5agqLl++/OLFC8vnnTBnDdZGFLL2/xrWIcO86OcLgXnpLzA//XPMz/15YAzkCYKoHXxyT/zq5Ori&#10;0rZt21mzZp05cwaJwFSBtAVosGGgjTkbVU0Dg2SwEWKob9++DQsLO3To0Lp167Zu3Xrp0qXnz58z&#10;TyD4GGjjtB1zwMKRsIDXBC8ReYIgagF/jCeUcrm7uztUMXXqVKgC6VBq+pNtxT//azwYDGDtmgm7&#10;+oR5Tk7Oq1evUCHBE2vXrj158uTjx49jYmJY/FnAQ6jil3ebCfIEQdQa8M78AzyhkMlUKpWnp2eb&#10;Nm2mTZuGeEU0FBYWms7R/3ENyqSJmugJyzgtdylguNevX9+6dWv9+vWLFi3auXPnjRs3YA4cF7Dc&#10;IUAIovGn3wyogbAXhzxBELUAvDP/AE/IZTL0LJfL3dzcWrZsOWXKlNOnTyMgqn/PjuUvG1VNw3JN&#10;DHO0ATyRlZUVFha2bdu2+fPnr1mz5sSJE+wr2fHx8RADEhDBh/hjqiA+gjxBELWGP9ITMlNV4eHh&#10;0a5du1mzZkEVcXFxubm5OElnI2FDqoFghMwQcAMS7eXLl3jFLly4sGvXrpkzZ44cOXLixIkrVqw4&#10;duzY7du3nz17BluwKIQzWAISH0GeIIhawx/mCYkJqAK4urq2adNm6tSpZ8+ehSpKSkrYSNiQaiAo&#10;dDC87OxsVAz79++fN2/e0KFDu3btitooJCQkODgYjX79+v3000+7d+++evUqVIHjQvaRJ/4Z5AmC&#10;qDXgnfn27dv79+8j+wIDA0UikdL0LblPOyk5U8jEH1AqlV5eXlDF7Nmzz5w5gzDNz8+vftHJdAmK&#10;e4jhAbbwjwLSKuK+CFiGqaqivKqyoqqwIDcpMerOjYtbNqwc+/3wbu07NfZr5qb2UEhVconSSaX1&#10;9fJt2qhp9y7dxo4as3TR4q2bNp87derhvbsvnz6NjgxPiot9nZyYkhifnGj6c29paUnIx5SUxOSU&#10;5KSU1MSU1/HJGfHJb+OSMuP+Kp+MIk8QRO2g3PSl6IyMDNQT8AROjeXA9ItMn3aScb8YKxYKhXw+&#10;XyAQwBkajQaq+Oabb2bMmHH8+PGYmJjS0lK4AeNBWLD7Fhgh5uyq1B9IUWVVPvfClJaVl1ZVQBUV&#10;Velp8adP7Z8/a0Kf7u3q+xiNWi9fub9G6CLhyyV8mVQgV8nUblo3vadPoMGvUUj9Lt9+O2XChO2b&#10;Nl44ferpw/sJUZHp8bFvUpIy0lKSkpNiE+KjEhJiEpMSU9KSk1LTE1Mz45LfxSXnxiTlxJAnCIKo&#10;SSCXkcJ4r16/fn3mzJn+/v4SiUSlUGiUqk87qbiKgispGNzfolCpmCrat28PVVy4cCEzMxN6YIZg&#10;tsAIMWeNP5DCyqr38ERFeUVlOVdPlJRWPn/5bP6iWa1aN/b0dBY6Kh1tFFJHg0RsFEgNfLG3o9DT&#10;UejKE+oEYme+QCUQKHQ6zxbNWw0aMGDWjz/u3Lr5wumTj29dTYqOePcaFUR8dGxkbFJ8SgZKCsRl&#10;cmpiMuqJN6gnYpMwsRj97CFPEETtgHkC9cTt27fnzJkTGBjI3Z+QSJVS7k9HfMJJjn5NME+wexWo&#10;MLDE1dW1devW06dPZ/cqcnNzuUtO1a5BITuqP/z9gSdyuUtO2GdFVVlpRV5+8bUbV4YM6+/h6axz&#10;dVLK3YSOzjJ+gEweJFYFi1WBElWgWOErknkLpa5SuZta46F1dvPw8Nb7+NYPCf6ua+epE8ft27L+&#10;7rWLiTHhKSnxiYkxCamJJk8kJSYnocRIT0jOSEhGVYHpLwJ5giBqB+z8/fXr13fu3Jk3b15wcDCC&#10;WymTq+XKTzup5EqAGkJtAm3uApdczpaw71VAFZcuXUJYZGdnsy9sM8xj/eP4hydQTxQXl2W8zT18&#10;8tQ33To7yBViZxeRUz07WbCj/Gt7Tcc6Tp1ttB1tMalb2Sib28hD7OQBDjIfB7GLo9jJUSARSRXe&#10;vj7ftG87fezQjSsXXD575OXze/FxL2ITImISIhNT4xNTEpJSklOSUlKTUtMQm4ncp2n/CpAnCKJ2&#10;gLcl6gn2fbGffvqpXr16SHAnldpZ7fRpJ63GSWvC2QQaTtXAEnYBasmSJdeuXUNkoKqAwDC2P8sT&#10;ZWWl8ERFedX798VxiWm7Dx5q16WTrVRpp1Dbq+vxtM2l7r3F3oN4PkN43gMdPfs5uHaxd+7g4NTC&#10;QdPIQRlgJ/FwkLg6ipWOIoXSydnH27txgE+3b1v9OGn0gX1bHj+6EZcQnpgak5gal4jygrtnkZKc&#10;lJqSmIaJxehnD3mCIGoHeFuCrKysiIiIAwcOjBs3btCgQQP79R/0qacB/fr3q0b//v0HDBiAed++&#10;fVkbC4cNG7ZmzRp4IiUlpbCwkI2NeQINNuA/hH94orys8t27ghcRset37GrdpbOD1t3Wyb2ucyue&#10;ZxeB73AHwwQbv+k2xkl19RPsfIbaeg/mefXie3Xju7Vz1DYUaEOETr4OMldHqZNIplKLeV46Vdvm&#10;DSaM+37v7g33HlyJin2axFSRmsh99iklLTH5NSYWo5895AmCqB2wIMaZe35+Pt6xL168ePbs2Ytn&#10;z19+6gl9omcLz58/x74wt7TZcoTFu3fvmCTMQzTxR3qioqqwoiqvnPs8rMkTWfnPXkSu2rSp2Tft&#10;bZ3cHHQ+tu7fOnh/Z+8z6ivfH/5umPV3w7Qv9FPr6sfW1Y9x1A/h6Qfwvbrz3b/mu7YSuNS3U/rb&#10;SLzsxS5ykUStkLs6O9ULNg4e1Hvb9jV37l4KjwyLS4xCSRGflBSflMJ9ODaJPEEQRM0HZ/C/x1RL&#10;qKgqqqgqqMSITdedcnMKXoZHrduytfm37euoXR1c9TaenW28etr4jvvSMP1vxnn/ZZz938bZXxmn&#10;fGWYZGcY5WAYKjAMEPp8x/PowNO1sHdqYqcKcZDrpZwm1BKJVCoRBAboR44ctHnzyhu3LkS8esY8&#10;Ecd54k0cecL834EgiJrMR/n+qaZaQnlVSVlVcQX3WTDuPnbB+8LY6Jjtu7Z/3fkbe42O5+Jp4/6t&#10;jUd3G5+xXxqm/c3409+Ms/7LOOsL47QvDFPrGibYGMba60c4+ITae/a3d+9hp+tm59LRTtOKJzMI&#10;Fb58iRtPKFeqXerXC+zVq+uO7etvXr8UHRVu+hWolITE17Fxf5VfDCRPEERt5qN8/1RTLaG8qrSs&#10;qsTiieL8orTklH0H9n7b5Vt7tYuDk9tXunZ13LqaPeFn8cT0LwzT6hp+sNGPs9OPsvcZ6uA92NGr&#10;v6NHX55Hb56uI08RJFD68bnPzmolMicnjVLv4zlkUJ91a5bfuHY5IjwCNUV8Qnp0DEvRzx/yBEHU&#10;Zj7K90811RJKqsqLqsrLqyrLKjhpVBSX5GW+Pn18f4/v2ovUSoFKVVfT1Nbla57PcDvjhC/8pnxh&#10;nPKlccpXxslfGSbXwaSfVNd3ko3PD7Y+P9j5TLJnk+cIW20nW3UbW0VTntxPINdLpSq5VOXv4/V9&#10;/37b1q29deVaXGR0Svzr5Dj6vBNBEDWfj/L9U021hOKq8sIq7tsTpfBEGfeT4qXvs29dPTNsSE+N&#10;m07ipLHRNLF1bsvzHmpnGPeFcRKmL42TvjJwk8UTdX0m2/hMtvWebOc9xd57iqP3WL5Hb0eXDnaq&#10;lo4yf0epr0ioEAkkaomoWUjIyMGDNq9Zf//GnaSYlNSEdBajnz3kCYKozXyU759qqiUUVVUWoJio&#10;quI8Ucp5oqrofXjYjZlThhkCfLVuWkdNAwenFnyPgQ6+w+sax5imsXUNE0zT5Lr6KXV9p9X1+bGO&#10;98w6XrPqeM2u4zXHxnsaz3e4o0c/e5cuPFUjR1mwVOwsFWtUQpGbUtnYz2/kgEEHt+16cf95YiQX&#10;l38FyBMEUZv5KN8/1VRLKK2qLOFuTFSVm647VVVUVJUXx0W/2LBmSYdO3/oYfMUaPV+hl7i04Hv3&#10;t9FPtjP8YKefaO812t5rFM9rJN9rBM9juKP7cHu34XZuI+09xjh4jbfzmfCVcYKtfridzwCB29c8&#10;bTO5wkOhcHWSyeR8nk4ha9Wo0ZRxY48eOPLsMfeD5MhNhCYLUBapXLL+nI/+Rh7WYZgf/xzuR2o/&#10;/Ik9Bltuga0AzI//VYf/d9AzeYIgiM+HN2/eXL16debMmU2bNlWpVFKpVKvVSj272vjMcvSZ7ug1&#10;ha8byncOlTr3lrn0lDp1EWk6CdQdHJ06C12/E3n1ddAP+/+CZv13wKQv/UbxfLo5uLWXqn2kCnel&#10;RCwTOGoVIm8PlxbNGk2dNu302bNPnz6FKhCaiE5LhloSnEtuE2jj2eqYn/g12LZYx9InWwIsK7BG&#10;amoqspvtji0xrfXpQc8YCXmCIIjPhOLiYgTZ7t27O3furFarxWIxN3draec9jOc92MFjAE/byUH9&#10;jVDdWqRuKVA04ckbOcob2iubCbSthe7f8rz7/d1v5ld+U22NE/m+oQ4evUXaFgJ1Q57QTSh0Vkic&#10;lRKNm7NHt07dly1cdvny5RcvXpgimktS1kCeIsGBJWEBhgTYOlhuqgd+VmRUx9QNB9roJz09nXVo&#10;UQLrkD3LYB0CbvtPDdsjeYIgiM+EsrKy3Nzc27dvjx492sfHRy7nfteQr21Q162Xvft3Ni6dbZUt&#10;6sqaOMjqOcpDHGWB9tIAO2mArbwez6mxwLU1z6vHV4YZNsZp9sbJfP1wvvdgsVtHkUs7gSxQLDPI&#10;JJ4SgZNCpKlvrDeo16BNmzZduXIlMjISVYXlGhTjl6mNZ6uvANg6H8FWM2nF7BXLwuowVbB10JVZ&#10;Fx9c8mlhuyNPEATxmVBpAom5Y8eOHj16+Pn5oZ7gq3V2Lv6OOqO91tdOrrORah2kGr5cK5Q786XO&#10;PExyd5GTj9Q1UOrRRuAxhu89UeA7mWeY5uA71dZrgo3nGDvdAFtlRwdJM4nATy3yDdD4tPRrNHz4&#10;8LVr154/f/7OnTuPHz9++fJlREQEtPHq1avo6OjY2FhEKoIVqcriGzkLneCpqKgorBMTE4N1PgLL&#10;0Qn7fZQnPwdL2C6wOTpBVyy40TMzBNrs4acFfZInCIL4rIAn8vPzw8LCFi9e3K5dOycnJzupuo7a&#10;y07jaatyt5Fo6opVDhKlUOEkUbkI5S6cKmRuQpWXxNlPrGvO0w3je4wReE90hCcM0219p9j6TLR3&#10;/95G1cVW1Ewi8teI9VjVR6Zr3LjxkCFDlixZsn379qNHj0IYly5dgjCwa5bpCH1EPwI9Pj6eGYI5&#10;4OnTp1gH0Y/GRzx69Oj+/fuoh27cuHHt2rWrV6+iZAFoYAmE9ODBA+wCa4aHh8M06NkS37/Tn/gm&#10;TxAE8blRUlJSWFiYnZ198eJFnPKjpJAoFfZSEU8uweQoFmMSSGRShUahcpHInQViJ4HYWSR1lSq8&#10;ZepgmVMHiWsvsdcQO8MUG+OMv/kt+Jtx7n/5TP3CbVgdVWeBKFAm8PLkiT35Ek9Pz6+//nrEiBE/&#10;/fTTunXrUMHs2rXr2LFjx48fP3Xq1NmzZy9cuHD58mWW8pjDInDJmTNnTp48eeLECcyx2kdg8yNH&#10;jhw8ePDAgQP7PrDXxP79+w8dOgQhYVusif7ROYwCZ0BIrLwALNw/IeQJgiBqNwgswC43sQY8UVxc&#10;jKciIyPnzZuHKNe5uzmKhDyJhC+R8sQyvkQulmnkSp1C5S6Vu4skOqHITShyF4m9xFI/iaqFyLmT&#10;0KOvjWF8HeOU//Sf9x9+P/1NP81GP8bBrZdIFiwWuLvxBR4ikU6na9CgQZ8+fX788ccVK1asNbFq&#10;1aqVK1euXr16zZo1eAh/gA0m0MASPMWwPFsdbAXQCcA6Hz1Ez2hYNtyyZQuMAh2iCkHhwmL9k0Oe&#10;IAiitsLcUF5eXt0ToLS0FJ4Ajx8/njVrVtu2bd1d3SVCqUgoEwnlIpGTVKqTK7wUSl+5wiCXG2Uy&#10;o1RilIgMYqFeLNKL5L58TSO+2zdf+Q79wjj23wJ++n/9Z/+bceqXxjH2Pn1ETvVFUncXoaOrhKfR&#10;aDw8PLp37758+fI9e/bs3Llz+/btyO5NmzatX78esQ55LF26dPHixcuWLcM6eMhSHs7AOr/K5s2b&#10;0QNKk927d7MaAqDNqgo8i56ZctAnQG8oYlBYREREIMGpniAIgvgHZWVlTBLmxx/Awry8PJxfI1gH&#10;DhxoMBhUMpVMoJLw1RKBRixyk0o8pTKDRGYUSfzEUu6vZ8sxSQNlYj+RWO8gdbdXB9vrWn/hNfDv&#10;+uH/5vfjvxmn/7txyhfGMbY+/QQuTfgKvVoiVUslcrlcq9V269Zt27ZtDx48CAsLu3fv3vXr15Ha&#10;Z86cOXLkCOSxdevWjRs3IvqhEAQ6Qv/YsWOnT58+f/78hV/j0qVL165du3///tOnT1+YYDe02V2N&#10;W7duYYVz586hE/QJ9yxcuBDzo0ePYh12u4KF+yeEPEEQRG2leiVhcQYoKipCXB4+fHj06NGNGjVS&#10;KpUSnlTJd5LzXeQCnUTkLZXoJbJAkTRQIAkUy4JlivpKRT2FLEQuDoAn7GSutupAO12LL7z6faH/&#10;/t+N0/7dOPU/TJ6w8e0vcG/FdwqSKzRymVIqlapUqm+++QYmQJqnmMCukdc4u8eShw8f3rlz5+bN&#10;m8j327dv3717F0tY6GMF9smoj4gzfXEvIyMjKysrOzv73bt3b968wUM03r59i6ewQlRUFDqBLaCK&#10;BQsWzJs378CBA7AIu2HORfsnhTxBEERthRmCNZgn0CgoKECQnTx5ctSoUSEhIdyXsaVSuUCuETgp&#10;hTqlyFUq8ZFIfQUyf4EiUKgKlqiDpZpgmcookfuKxe48ibeNpp6tS2t7j862PsNs9aO/1M/8wncG&#10;pjrcL8uO5Hn2cnDt4Kipb6/wl0gk8ETTpk1nzJhx8eJFpCcUxSg0gcGA/Px81Dfv37/Pzc3FHG0s&#10;YU/9EmxbXFxc8gF2AQ1dsQbrCv2kp6ejgoEeli1btmjRIkjx5cuXOHAW4p8W8gRBELUeky+4mxOl&#10;paU4lz9y5Mi4ceMgCVQSYrFYJpOpxCongZNapFOL3aRSX4nMly/zEygDpdoGEqdgiSZQovQVy7zF&#10;ElehwtfRtbmjx7d8n572+pH2hnF19LO+8p2Jqa7PZDufMXyfATyP7o7apjbKEHSOXQQGBoaGhu7e&#10;vZulJxvMR2C5BfOi/zlwIfNETk4O9oUyZc+ePcuXL4cqTpw4ER4eTp4gCIL4GYhO1BBIT9bIysqK&#10;jIw8ePDgyJEjAwICcKYvl8txys+d9YvlWpFSI9Nq5C5SpZdY4ekg9+ap9SJdgEDr46h25ys1IrWT&#10;3EktdTE6ePXm+QwW6EfyfKY4ek+zdf/Jxu0ne88Fdh6zHbxm8H0nOXqP+UrX92/KjugZu/D29u7W&#10;rduGDRvi4+MxEgQoBsPA2CzAYQy0mS3MK/0c9hQ7OoCVUUagyIAeXr9+zb6B8fz5c0hi//79a9as&#10;Wbp06bp16y5cuABBWkL800KeIAiidoDQRDaZH5iorKgsK0X+lpWXVxYWFiJADx46MGnypKbNmool&#10;EoFQqFRpJDKFQCiRiRVOUo1K7qKS6yQKT5Hck6fwFqj1QmcjT+3tqIQnnEUqF5Wzq9KjASoGvu8w&#10;nu8oe58p9r7Tv/L46Qu32XW95tXxnGXrPZ2n/8HRZ0xd135/V3VCpQJPuLu7f/PNN6tXr0ZSY5Dm&#10;wf0cy3Iu+38N9iywqAINVA8ZGRmWL+jdu3cPPmBfv9i7dy/2yD5JtX379hs3bsBSiHKW7J8W8gRB&#10;ELUDnFmXlJSggQxlSVpRyv31ifLSqrz3JYiwo8eOfD9icFCDIBcPZ5FCbi8U2ouUPKmWL3UTKz2k&#10;Gk8RfCBz5UldhXJ3idpHptGLFN58qadYqRcrDTyJl1Tlp3JvK/IeLtCPtfUe+4V+qm3w3P8KXvT/&#10;6Gf9u9+c/zD++N+Gybbsr2p79LF17swuanl5ebVr12758uXI0OqJX51/thwHUl0MXN1hOkxUD+/e&#10;vUMcP3ny5NKlS0eOHNm9e/fmzZtROrBvVEASixYtWrhw4dq1a/Hs3bt34RKsn0K/70QQxF8TpBIC&#10;FElavV1WwnmisrwqMSENWTl23Jh6DYO1rlq5k5IvlTmKpXypCwwhUUED3nADX8pJQiBzFys9xSpv&#10;kcLLQaSzE7jwJO4CmQdP7CaSe0mcGjq69OR5htp7DPnCe7SN3+S/B876m9/0v/lxkvhKP97ed4SD&#10;9xBH3Xd2mm8kEgnzxNdff43z+tjYWIyNDfhXgQwY5scfviTIKC4uzs3NZR9qevnyJaIf1cPhw4d3&#10;7NgBKyw1sWrVqg0bNmzZsgXOWLly5YoVK3bu3InVnj17hvj+PSQByBMEQdQC2GV91kZCoY05Kgl4&#10;4n1uwdWrNyZNmtSocSOVVimSiQVSMU+iEMrU8IFM4yt3ChDKvR1FOr7UHW6QOxkwSdU+EAZP4ipR&#10;eSm0EIknLCJSeIg1gfaqr/luPQSe/Wy8vrfxGfF3/YQvDBPq+E+uaxhvpx8t8Ple4DmAr+3soGor&#10;l8ulUqmPj0+nTp1wjh8fH49RsUH+KmZL/MITcB4kkZWVlZqa+vTp0+vXr0N7MAH7mh5AsYL+t27d&#10;evDgQfaLHSdPnty2bRvWOX78+P3792NiYiAJFugs3D8h5AmCIGoBloszplzlGly7vDz77bs7d+7M&#10;nz+3VasWao1KIBbxRWK+RCaUOUtVblKVQaIySlSBQqkvX+IlVRgUGn8FJKH0FcndlVrfoIatO/cY&#10;0LP/0OZtO7h6+0lUzgKZzl5s5KsaiHWt+R6dHd271HXvY+fVT2AcKvANFfsMkHv2krt1k6nbCuVN&#10;UUyIRCKDwdCvXz+c9SPlMSrziH/Ory7HQlZDsBvUDx48YJeYUCLACotNrF27dvv27fv27cPyc+fO&#10;3bx5E1bAHDXEXhOWv4HBvrrBQvzTQp4gCKIWwGnBJAlWSWAJKoycrKxHD+4vXbq4c+eO7h6uQrEQ&#10;nhBKZCKpUqrykKu9xAqDUIrJXyQzylX+am2QQu0vkHgIJO4KJ9+QRu3GTZq9Y+/Ro6cvLlqxumP3&#10;Xi6e3nyJRijztRP5OMgD7Z1a2Gtb13XpZO/Wne/Vl+/RU+T+ndy1i9y5g0zRQihpIBaLJRJJ06ZN&#10;p06dihB/9+4dG9svsQwb4EDwEIaA/CAJxC6i//Tp0/ABCgimB3aJCRUDyoUbN26EhYVFRETExsYi&#10;puPi4p48eXLlypVjx46hqrh7925UVBRLc/IEQRB/dZCw7BZFUVERTt5v3Li4fPn8zl3a+/i6KVVy&#10;ZLZUrhLLtGKZTq4yyFVGocSPL/YTSIKk8kCVOsjJKUQi1fOFri6uQW3adZs4efaRE2fDo6KT0tPu&#10;P7m/ZeeWkeOHd+r6bfMmjVx1rmKJnC9x5ktd+Up/iVOIWNNQrGogVTZQYZLXUwqNEgcv9mGn0NBQ&#10;nO8jrBH97E77L4HVmCcwx2owCsaPxH/69ClqiAMHDmzevHn16tVLlixZtmzZunXrdu/eDUPgKSjk&#10;5cuXqDYgCQQ0wENIglUYV69ehTPwFEtwwJL904JuyRMEQdQsTMWDmY8eIp5AFiqJR48WLpzTpXM7&#10;VzeNSOwoEPIEQqFYqhBL4QlXeEKmNAjEnCdEshCpPEipClRrgqQyX5nCu3GTDlOmzT9y/EJEVPzb&#10;7Jy84sLs/Kzk10n3n9zZd2jXxLEjW7Zo7urqLle7S5TuAoVBpPbnywP50gCRJFAuDVRIA5VCg5zv&#10;7enpiWJi3rx5Dx8+zM/Px/DggF+OH8AT7NIZGtnZ2YjaFy9eHD16lN2jhhtQSUAPsAUWXr58GR1i&#10;hcjISBgCOmECgFqQ1Fh+8eJF9gPmKCbCw8OxAktwrABM2f4pIU8QBFGzYPFaZgJhxJYgZNlyBPGb&#10;N2+uX7++cOHC9u1bGo2uSpVEJHYwffRIKZFqZXIPpRqS8BdJ9fCESBYoUdZTqoPVKj+F3NfNNaRR&#10;4/YjRk45cPBkZHR8bn5BWUVZRRWKlKKSivy3OakRrx6eP7l7/er50yaNHDYstHev75o1b6M3BHp4&#10;BOicDU5Kb1eN3s+zfvPgtt+26Dps2LBFixZduHABGcoKHWjAMmA2ZvawoKAgNzcXI4+JiYEDEPTw&#10;AftNWQBDbNu27dChQ6dPn75z5w6KDFQnCGWEfkpKChoA0Yw2lABBYrWdO3eeOXPm2bNn8fHxWI1F&#10;uUkT5AmCID53EK/IIJawFpC/LHwRtbdu3VqyZEnnzp2NRi8XZ5lYLBAIHblvRisgCTepzFMq8xFK&#10;fIUSvUjmJ1UGyTX1pHKDWOTqpNG3aN7ph4mzDh06ExOTlF9QXFJaVoFeK0vLKgsxFZZk5+Sm5byL&#10;T0l6GfHi3s0bl3bv2jp16tQ+vft9/XWnZk3bNAxp0bLJ1326D5w2bsbKhWvOnj375MkTDAn2gtWY&#10;GDB4Nn7WLikpgSRQACFkYYhTp05t374dbli6dOnKlSuZIQ4fPnzp0qUHDx5YagiWxexzrtgQDxHQ&#10;ACug2mB/ywiyfPnyJdMDnkID67NNPi2sc/IEQRA1BculfOQskpflLxYicDMzMyEJJGzXrl09PT2V&#10;qB8kPIGALxSK5FInpdJNofCWSL0FQi++0FssM0pV/hKFn1hplKu8XXX65k2/njRxxvGjZ6Kj4vPe&#10;F7AShRNTRUl5RWFlVXFlZVF5eV5FeXZleU5Zybust8nhLx6eO3ti186ta1evWrF02dJFS1YvX71r&#10;264zx8/cvnYbcZmXl4fhAQwPQ7WMGQOGPHJychCsSPN79+6hhti3bx/EsGLFCngCxcSuXbtQQ5w/&#10;fx7PhoeHozJAhyzrAZfQJlg0Y45a5Pbt25DKgQMH0FtYWBiMguXME1iH5bh5s08H+iRPEARRg0DO&#10;cvltClykLeBiuLwckrhx48bixYu7dOni6+urVqtlErFELBSLpFKJUilzU8q9ZDJf7rdghd5CiY9S&#10;EyRTG/gSD57ETa31aty42bhxE48cPh4TE1eQX1hehqoFU1lFRWlFJYqVUhgKU0VFUWl5XllFPqbi&#10;kty8vLfZWa/fvElJT09KT09+nZ76+nVaRgaWvMnMfAtJQAls2Bgw0wMoKiqCIRCsSH+c9R8/fnzr&#10;1q0QAwyxfPly9lHXgwcP4inUEM+fP4cAEMEAEcwkwaIZsNxnT6GYOHfu3M6dO+EJCAOVh0UtLL4B&#10;1uSi/ZNCniAIomaBwEUGMUy+4EDs3r9/H5Lo2LGju7u7VCpVArlcIZMp5BqlXKuUe8plXlIJPGEQ&#10;ifVSpZ+TSz2p2pcvcVU4+zZs2mrcuHFHjhyJi4srLCzEHrCfisry0jIUASVQEvQEYaAqgDNKK4vL&#10;KkvKq0rKK4srKouruDqDm9DGEjxVWoEJVQ9X6LBxYtiQRFZWFmIUREVFPXr06OrVq8eOHYMhVq1a&#10;tXDhQpRBa9asgSEwDFQDN2/ejIiIYIZgbkADw2NZb8p8DvSGUEYDVrhz587Ro0d379596tQpFBPs&#10;9rUpyc1RjtUsSz4hrHPyBEEQNQhkECIYekC7uLj47du3OPVesmRJhw4dPDw8xGIxn8+XwRAylUKm&#10;Vsp1CpmrXOIlk/hIJUap1E8sMcqURrVzkEjpJnfyqt+87eTp086cOZqUGF1SkldZUVxZUVJRXlzO&#10;TaXlZaXwEuyEBjdVVhZUVuRXlBZWlpVWlZdVlRWW5hUU5VRUFZdXQRLFJdxUUlKFyXzLmo02Pz8f&#10;6Yni4OzZs4cOHdqyZQusgAJi2bJl7FYElrCbCs+ePYuNjWVFADBF8T9+lwlZ/EsgHlQeZ86cQSWB&#10;6gTFxKtXr7Cc9QCwIeZsZdbPJ4T1TJ4giM8dZC53Xl6F6DVNpsfcxC3+xyNunX88YOua+bDQNJmf&#10;+z/C9foBthMLSF7soKysPCMj4+HDh4sWLeratatOpxNLJJhEpm+4ScVymUQll7pIJTqpyEsm8pFJ&#10;jHK5v0RqFMt85SqjQK7T+QT2HDhkx+6dERFh799nlpfll5ejniitrCwzTYi7ClQW2BeKi0qUB5VV&#10;qC8Ky8sKylFYwBNwSElpeWFOfmZOwducwreZeW9Ss1Ji0mMjEl/hHB9iePLkCUZ469YtGOLw4cPb&#10;tm1bvXo1Coj58+cvX75806ZNu3btQh1w7tw55PuLFy9QByBnU1NTkbyWFAZsoam04GBPIZQhFewF&#10;1QkksW/fvkuXLqETrI91fj83VIc8QRB/DUoqqgorkIDFVZXvqirfVlW8rSrLRxrj7V5UVpVfXFVU&#10;bppKy4vzS6vel1flVVYVVFUVVlUVYaNyTFXlJVUVRVWV77mpKquqKtfc9f8e7Nzc+lBDgIryyiqc&#10;31dUoVFYUPw47PmyFWtatf3GSx8gVWkdxXK+XCVUOvHlaqk6UKqsL5QGCMRGkVQvU+gVKl+V2lMq&#10;04pFUpVS7av36tat49Kl8x4/fpCXl4fSBHsBZSa4fX3AIieAp9gfpCsxga0KCgpQ06SnpyMocWqP&#10;1H78+PH9+/fPnz+Ps/vdu3evX78edQP7AVdUD+z7EFiIWL948SIsEhERgQoA27KvyyFtWQT/EjzL&#10;JBEfH89WY78ojq5QoJw+fRqSiDb9NOzv8RHYX4U8QRB/DZgnKipLKireVZVnVVUg5fNKS/MK8kuy&#10;csre5aBVVlhUUlBYVpyPVStNhqiqxMRdpSmvxFReihZ3WaYSAsHm+eauPw0sqdHAOTw8AUm8f18Q&#10;ERG9Zeuuvv1DDf7Bamd3nkThIJTBECKVs0DpJFMHShQh3DeuxUaJ3KhU+6k0epXaQyp3VirV/n4B&#10;PXt1X7Z80d071969e8OswPZiweQIM3BDVlbW69evEdM45Uesh4eHP3369O7duzdu3Lh58+a1a9dw&#10;Ln/mzBm4AXXDwYMHt2/fvmHDBihhyZIl7PYDHu7YsWP//v1YBxa5fv06JMGSPSYmBpJgNxWseALP&#10;Yo4xsAa2evDgASoVeALdYgzQBqtI/jDIEwTx16C0qqoYGVxVUVqBMiK3vORNXm5axuuExLiYyPCY&#10;V+ExqbEp2emppTnvK4oqOB1gA9NvdldgMp3em685sRl64qb/O+bArnYBittFBfd3h6Kiog8cODRy&#10;1Nh6DZooNW5CidpeoHAQqYQKnUTtLlK6SZT+IlkgX2IQyfwVan+lxk+m8JQrXJUqV18fQ/du3y1b&#10;vvj2retZ715XVHBfvwBMCQBFg+WzSfn5+dnZ2SgXkOPPnj2DEi5fvnzq1KlDhw7t3Llz48aNa9eu&#10;RXEA1pn+/MPq1atXrVqFOdorV65cvnw5Hm7ZsuXAgQMnTpzAtlALao7IyEgUEMwQKA4QsgxELWAR&#10;/EuqP4VEhqguXLjAPkELXT158oR9FhbPWunk04IdYdjkCYL43CmqqCrg7sVWFpUV5BckJiVevXwJ&#10;Kbht1arl839avuCnZVtW7Dyz79SrW6/eJRUUFJaXlZnu7uLEHlOleSrHZP6TDxV4Hg//z1iy2/wY&#10;VJYVFua9ehWxf/++cWPHN2vW0sXVUyR1EojVjiKtQKoTK70k3N+T8BJIDUKZn1jhJ1cHqbQBMqWv&#10;UKJTaTz9/Ov3+K7X8mUr7ty5+fZtRnlZUSV35+EfQA95eXmZmZkIPpyeP3r0iLkBtcKxY8d27969&#10;detWuAGFguUiEqyAJSgXNm/evG3bNvgDq+EcH244cuQIpIJSA53cu3cPpoEekKeWewwADfbQgmX5&#10;L8FyDAxqgWnQ59GjRyEh7AL1DUyG5eyKE9Zh6//esPGQJwjic4d5oqiiMDMrPuLVheMn5k+aMqhD&#10;p4716jfUezcNNDbs2KTrqF4jt87Zd/1MdFTC27c5pSUVnCbgA9NUhSQvM03smwYllVWln8YT7IoQ&#10;2izBS0vzY6Jf7tm7Y9ToEU2aNNE666RytViqFUmdxXIPsQKS0IsVeqFMzxPrRXI/uSZQqQ2Sc7/V&#10;4aNQexn8G3zXs/+KFavu3r339t2bchRQFSWm70lwnRcXF6NSQfWAvGM3h5HCyH1LlYD6AFgMgYVw&#10;xp49e/bv348zelgELoESrl27hrP7+/fvwzHoB7KBG8CrV69QPSBJ0T+LVJbmkMRv9wQ2gQ/QJ+qS&#10;06dPsy/WYXesWzxLniAI4neg3BTuhWWRD58cWb95/rAx39dr3l3j+a2jvIUN/2uRvJGbppmfe/tu&#10;zcb/MGbjmh2XL95KjH+dk19SWFpZVFFZwn02iCstOFuYPVFRVVqtCPhfwYoJeAINPESO5+bmvnoV&#10;tn//1uEjQps0baDTuUikcolUJZG5SOSuUoWvRK4XSY1CqZ9QFgBVyNT+KpdAqUovkrmpnY0Bwc16&#10;9Bq0ZNnqu3fvv3uXVVJSVF5eUlpcUFzE/bwS4hVRjvN95O/58+dRB6AsQJWwZMmSRYsWQQ/r1q3b&#10;tGnTjh079u7de/DgQSgEMQ2X3Lp1CzGNOTaEGJ48eQI3vHz5Ms70dQeEJtMAy1N2ial6m0VtdSxL&#10;0PgI9IM+4ZuHDx9aPgiLvWOP6A0rWLb61c1/D7AjHAV5giA+c8oLiytLynPT3hzaunN4x25fexha&#10;81Udearv7JVdHGW9pE4NFGI327/LpV/5erl1bNd97pylVy7dSUjNfF9UXgwpmAqJCoQ5JlZVfCJP&#10;cB8wMv2CHigqKsrMzNyxY/3wEf0Dg3xVGplILOQLxUKxQiRxFkl1YpmvSOorkBgFEn+hLEii9FO5&#10;BKl1QUKZh6PI2dUrqH2HnvMXrrh152FBQZFJQmXwRHlZ8fvcbJyhI+jhBmgAPoAY5s6dO3/+fMwX&#10;LFiAugHOwJk7ohmhzP7eg+XWAmIRc4CIBCwuWXoCthCw5WhgjrjHVmwJ/GRZgS0BXAD/GswT2PvN&#10;mzchid27d589ezY8PBwjsVQq6MS89h8C2yN5giA+K6rnL9ogr7joScTLPTt3DB8y+BtPwzcK3UB7&#10;zQ91nJbaum+y99xm77nc0Xn2F5Lh/2nTuY6otS5wQJtus4ZPWrVi7anT58JiotLy32dVlmdXlr6v&#10;5L6WhvP/Kvzvw6eH2E4BKw7MD6rx0WqALWGwoRYUFDx9+nTbtm2DBvZs3aqRm7tWJOaLRCKpTCVT&#10;OAvFLmKpm1hmEEkNfLEfX+QvlAZLVQahwl2kdFc6+3ob63fq1nf+opWXrtx4/jIyJoa7jh8REf7w&#10;4f2bN65duHCe3XhYb/rxDLBmzRq0t2zZgtKB3Xy2VAw4c0cu44weamGJzEL/jwEpbBo5d9Hp0qVL&#10;qGZQWGAk5qf/DMgTBPG5geRleY05a5eVlb1+l3n07KnxY0e3atK0nljRgicPtdfME3nvUtU7oax/&#10;Rll/v9Jvs8Btnp18KE/bVunTWOnZUOXZrF7jiaPG7Tt57GlcVEpBbnZ5SX5lZWFZaX5JcWUp+jfF&#10;/M8FYB3zBqZRgVLTr3CjkZeXh1zet2/fmDFjmjSp5+2tk0iFPL6DSCSWKzRKlU4qc5fIPARiH74Y&#10;9YSfWB4sUzWQqvUChZtE5eFhqN+uQ48Zc5ZcvHr72cuop88jHj7kfjYD9cHWrZvXrV29dg332STo&#10;YdmyZexvTW/evPnQoUNYB3H87Nkzdl8BcWyBVQ8sGQFLzD8A7BSglIE12f0PSAtLzE//GeDwyRME&#10;8VlhSmAOlsiQBE7VkzPSVm5a17xpIzdnJz97fiuedJxQt0kecFHdOFzWJFbWLE5Y76Wd8d6Xbtvq&#10;6Mba6/raqjt9KWksVvYMrD962JBlKxYfuXz6SWJURklBHvex2tLSCu5Hkf6nWAzBgCewBMOLiora&#10;v3//yJEjGzRo4KrTKRUKoUAkFIplUpVCoZMrXOVKL3iCL/Lki7xEMj+ZKliurifVeCtcvNz1gY1b&#10;te8bOuynhcsOHj15+tzF4ydPHzhwALXCypUrly5ZsnzZ0tWrV7F7D+zi0tmzZ5khUDpERkbGmf4Q&#10;EEtDzFE9MFhEMkyB+Udg0gTnJ7gK9oIw0DY/9yeBwydPEMRnBYtggDZSGFmMs/W0tNRFixfq3d00&#10;UnGgQNRWohqv8Fgn9zsuDXoqDImWNEoT1k/iBcXY6a/z/bZLAxaJfSbZaDo5SDuLlG2M+u/atf5h&#10;yoSdB/eGRUe8yc19z31PGWXK/6CSYHDiMmF5mJ+fjzRErI8dO7Zx48YajUYp1yhkKs4QcieVUieX&#10;68RiZ6ncg6snJF4iqY9E6SdR+AtlRrHSXefj36ztt/2GjJg4beZPi5YuW7V25ep1K1evXbVqFbu+&#10;tHbNmq1bNu/bu/fYsWPnzp27fv06ztBfvnwJM7Er/pYvvmHOaghmCAucJf5ATzArpP78LxT9ubAX&#10;hzxBEJ8PTBKAJTKrJzKSkpf9NFfv4qwVCQOEopZi2RCRZj5Pt9PR466NTwQv8K1j0DtecJaDf5Iw&#10;+Im0/hmRcdtX2lF1JKFf8tvKFe09PLq0aTFy2JC1G9Zev3k7Je11SWF5OWqKahed0Gb7NT+uBnvK&#10;/KAaxcXFERERu3fvHjNmTPPmzV1dXeVyuYivlAjhCWelwlWlcJfJ3ERiF7HETSLzlCp9MYnlviK5&#10;j0DmI1G7+QbV79Szz8iJk2fOW7hoxaplq9asWLVmzbr127Zt27dvH0qHUydPXjx/4fq163fu3IEh&#10;2Fej2eeUEHnIYiQyEpB90pSFoAUWi6ao/EPBYADTFcaAkfwpw7CAvZMnCOKzgoVy9fsTKClyElO3&#10;z1/azNfgJZEaBYKmYmlvkWKSvXKFndPZr1zuOfgmOxjT+f7v+P6ZdsbMOsYYYeBzUcAOpX45T9tP&#10;ouooUTTWapvo9d2/7TB/5tyr5668SXhT8r6kqKgInTMHWPbLhlEdPIXlmLOHbEjYFomDNB86dGij&#10;Ro10OpQOHAIHlZjvJBXrFFI3udRdKnWXSNzEEne50lvpZJAqvQVSD4nKV+se4hPYoE2nzsPGjZ8y&#10;66e5i5esWLtu3aYtO/fsOXL8+OXLlx88eMBuPCTExcXGxKKAiP3w20q/BMGHEGRgHQba7Kk/EQwA&#10;I/lzh4G946UgTxDEZwXLZRbZaIPStMzTa7f2bNYixMk5UCpprdEM0LhMcFTMryM//N/KKzZu0XU9&#10;E+x80u18suvoy7/ye8sPShYGntIE7BR7jFO79lU4NZYr/BSqYA+vbu06zZs659Tek8/uPsvKysrP&#10;z2c7YvtizvgILMc6mLN2SUlJbm5uZmbm9evXZ86c2bgxHKSVSqUiEfc7sAqxm0rmqZJ7KWWecom7&#10;ROwGT0ikHkq1XqU1iuWePImrysXPr16bb7r1Gjd12vrtO3YfOrL/2PGT5y+cv3zl6o0bd+7df/rs&#10;WaTpD4hyboiL5z5C9OFrDdWzz6QDDrTZs9VXqA5b+MfABoY5SgpWVfzBA/gI7B2DIU8QxGcFsphh&#10;flxVlZlfcObmrdGjxwf6BdaXab/Veo92C5rlHDBX7Lnk74oV/yU/XMf5ssz4QBUcLg1McvBL5fm/&#10;FgamSYKSxAFhYuN5R/dVX8pG/p3X6T/reNW1re/i0n/E4K27d8Y8f5WflV9ZWllRWF5ZWMH9qkc5&#10;9/NP3K9zm35stqCqKg8ThlJqWlRSZfo974qsjPQn9+9uWLOqS4dv1QoniVAtl7pJRG4SobtY2Uii&#10;aSJRN+TLgx0kBp7UV6zUS9XeIoW7WO4kVmiVTlr/4OBeffusXbf2yNGjV69eDXvyBOVCnEkGLGG5&#10;aP8nWLLvl7CnqmN+4o+NafMu/1Q3VAcjIU8QxOcJwhlvZkZOWdnDmNh16zZ17dStidq9qVDdR+w6&#10;WaWfJ/NdYaNd+aVq99+Vxx3db8r8XkgCk3kBabyADEFghjAoTegfIfa7KzYelnovkOiG8hTBAqG/&#10;WFy/eaOBQwatWbzi6tnLKVGJhVn53N8P5X42sLK8DCLgvr9dVFlVWFn5vqIyp7yyLLv8fXre69i0&#10;pFdxEY+fnDx0YP6sGT27dzX6eIv4UrFAKRG5SETuaoVRrG4iUDbmy+vxZEE8mb9I5S/XBii0erHC&#10;XabWefr6t2jTZvjoUes2rUf9cPv27SdPnnAXl0zhZUrXmhKvnw14SckTBPF5YvFEeXl5YVlFetb7&#10;u3ceLJi7sGujFsEyTXNHWV+py0SNz2KZ1xKB68a/K7Z/pTnj6PlU6Jfu6P+WF5DNC8i198uxM2Y4&#10;GpOE/s/lQWeUAVtlPmOkrr1sJM0E8tZa9y7fdpw5/cfjx45FRL3KznufX1KSU1yUXViUW1ScX1SS&#10;n1ecm1WQ/TonM+Vt6qu06CcxD67dO3/szI6NmyeOHt2meTOdk1YiFIsEMrlUyzyhVUMMDXmyeo7S&#10;QL4sQKwKlGkC5E5+MrWnWOHm4u7Tqt23EyZP2rln9537dyIiub8bihoC4cWuzxC/B+QJgvjc4K43&#10;VbvixCgtryooKX+dlnH+9PkZo8d/G9SgsVj5NU82UOYyV+WzWOmzvo56/RfKQ3Wc79p7JTsYMh39&#10;sxz939sa3tvoc+yNmfyAWHHQPVXweU3wal3QDLF7DwdFG3tJPR99xzZtJo4ZvXHzxotXL90Pf/Yk&#10;KuJRZMSjly/vP35y9/aDm1du3zhz9erJyxeOXjx7+Py+LXuX/LRo9JDhX7dq7evhIRVJxAKRTKpW&#10;q9wUcg+Z2EOtMKCMgCR4sgCRKljmFCxV+4kU3gonLzfvwJZtIYlpew7sv/fwQXRsFNKKXcEHLM4Y&#10;XLYRnw68pOQJgvisQPWA97D5gYXyqoriipy3Oc/Cnm3buHFI375NfLxDxJI2UsVopes0Z5/VfNdV&#10;ttrtX2jOfaF9Vcc93V6f5ehXVNe3qI5PRR19qa3fe3v/FGHQK3HQVXX9U7KAFY7u4+oqQ1SaACdN&#10;Uz9j9+6dJv/4w8rdm3afPbLl+MHNh/Zt2rlj8/rNm1du2L5o3faFa9ctWb928bqZk2b26dq7cXBD&#10;b1dPJ4VaIVNJRDKJSK2Uu6lV3nKZt0zm7SCGKvzFqiBIQu6EesIgVXl7+AS1/rrr5Gkz9h08/OhJ&#10;WHxifGJyQmISF1sILwucJcgTnxr2IpMnCOLzAW9giydQWEAb3Lfi3hflZ+QkxiQ+vP9w36H9U6dP&#10;6fBN6wZebvXUiq4SxSCVy0KJ+xKh+5ovNbv+Jr/+hSbCwStJ5Jdrp8+18a74yqfCxsCpgh+UwQt4&#10;KQl5Jqt3XuS/2cG9t9ylLV/aXCRr5uXRtWXT0NGh0xf8OH3l/FmrFs1fs3zF6tVrVq/ZtGztpqVr&#10;Vi1cPXfavIE9BzUIaKDTuCplGplYIZOoJSKVSKSRSlwU3J8Y8pbKvHhSX4kqQKENkjsFyDUGrVuA&#10;t6FR63adx//w4/6DR+49eBQVHQVDJCbGMRBbLL8wZw2WbsSngjxBEJ8blutOmLMv2eXk5GQmpic8&#10;jbp38975M+e3H9wzd/nCIWOGtGvdJNBd24wvbC+UThe7zpN5LaurXfsf4mP/LXvg6B4t889y1GfZ&#10;eVd+ZVLFl76ldv55NsZkXmCqpP4LWf2LIr8ZWsP3Ym13vryxWBIskxgDPFt/07TfhCEjZ02cuXLh&#10;qi3rt+zcvnvrzp2btq1btn7SmMltmrXTqV3lIqVEqBQ4SqRijVKhUyq5L9OZvknnIZF5ipV6pXOQ&#10;yiVQovKVqX28DA1btIEkpu/df/RFeASKiLi42MTE+NRULrAsNyfYpSfyxO8BeYIgajF4r6JcAObH&#10;piUoHpgqiouLs7Oz8d6+f//+lZPnz+49umfHri2btizasHrq4p++nz62W/9ujZoG19coQyTigSKn&#10;sRrvH0UePzlqljkodvGczql8X0kNr4Q++Y76Mr5feR2f0rq+xTaGdw7+73iByaLgV6LAS9LAvXyv&#10;5XWdRthI+tblN1JImmiVLVrWGzVh2LLtq3efO3zs1oW9508s37Fp2sTpHdp18vUwOildpQKVgKdU&#10;SF3lcnelykuh9BJL3XhCZ0ehs0Cik6q9VS4GlbNervF09w5s37HHxMkzjx4/ff9BGKyAhEpMiEtK&#10;iE1LSWR3JExRZsa0gDzxicFLSp4giNoKZMA8gTctHmLO/uwzW/7mzRv2hzMPHjy4fsnKVbMXLZq/&#10;aMmiJbNWLJ6y+Kcx86YO+2FElx7fNvf2CJSIe/KVo5x85miMCxReC/nKtTbSgxK3l3JjtNzvPU9f&#10;6KAvr8t5otTGkOPgn+0YkCYMihcFP1I0vCwP3i/2nSPSjbSTNhEJgvkO/gZd/9AeCzctPXD15KUX&#10;947cvrR0z+Yu33TVexoUYrVcrBELVEKeWqXwUCg8FXJPicxdJHEViHVimbtU5SVVe4oU7iK5Tu3i&#10;07h5+3E//Lhj98G79x9FREYjnlA2JMET8bFpyQlomnKM+H0hTxBE7QZKgBsAEwYkgTkeZmZmhoWF&#10;nThxYuvWrcuWLVv80/zVC5dt3rR53/79+04ePXD2+MGLJw6dPrJqw8qR/fu28Dc2l6raKpx6qT2G&#10;6nyHq3VjHWQ/yXQXtYH3PBrFiY1Jjr7vHQx59oYCe0O2gzHb0e+1ICDD0f+9XVAmPyReEHRNZNj/&#10;ldP4OqJB/2HT2pHXy984qn/PnxbMWLp5xYj5k5v37eTj6SsRyhztRGKBWiJ0Fgl13F1ruV4k9uKL&#10;3AQSd4nSU+7ko9D6SFWoKpQShZN/cIMhw0bt3L33cdjTmBjuDzBkpKWmpyQlx8cmx8ekJ8WTJ/4Y&#10;yBMEUbuxeALvW7QxZ38VDpI4cuTI2rVrly5dunz58m0bNx8/cOTqlSsPHz16+PLZk+jwl0lRkQmR&#10;dx/e3rdp45j+fb9x824kkn0tVvdSuw1SOo/iKaaLtEekXpe1QVEiQyJPn+NgeG9vyLc3ZDkYsz54&#10;IruO8S0vKF1S/6mq/lWJcZXccw7fqYuD8GuJtIWnW/tWjTt1a29sHmyrEWo1zmKBVCRQKOWuSoWH&#10;ROwhlXiJJN4CkQdf5C6Seck0PjInb7HKQ6J0kqudff2CevUbuGbdxpu378bGccGUmpryOjU5NSkB&#10;kuA8kUye+IMgTxBE7Ya5AVjaGRkZT548OXr06Lp161BJYL5///6zZ8/evHkz7OmTSO5vGkRFx0TH&#10;x8cmxMXERIY/vHZt07JlA9p/28DNPVjt1ELl3EWhGyp3Gyt1X2fnsk/i+0zkFycOescLyHbwe+/g&#10;l+Xon8ULeC0IfOPoX2BjyHPwy+UHpoiDY4SBV+WBpyXGRQLXUXVlnW1F7dTar331/l5uKplQJlNw&#10;f5tOotGoPZ00eoXCIJMaeAIvgdhHLNdL1Qap2geS4Mt1Co1W7x/Qo0/vZStXXL56FeNNTExIhh6S&#10;ElIS4pgkUhNQT8SlJP/5v7n9V4A8QRC1G7gBsEZpaWlBQcGLFy9OnjyJSmLFihWbNm1CVQFDPH/5&#10;IjImOiY+LiGJu/2bkpiUmpCQFh//OiEhJfLVzbPnFk+b3qVlS38XlyCR/FuJyzCF1yiR2+L/Umx1&#10;cHsq8IuXhJg9Ye+X5eCf5Rjwmh+YyQ/I40MSfll8v1RBQKIg4LEs5J485JAmZInA43s7RQdHeXOB&#10;zFco1tlzf5lOJJLAE0qFu1qlV6n85XI/R76XWGZUaAJkGqNY5SXVeKnc9MEN6vfo0weSuHT1csSr&#10;yEQMGD5IjE9KjGdXnFI5T8SmJcRw8iB+f8gTBPE5wCTx/v37169f37hxY9u2bYsWLVqzZs3Bgwev&#10;XLmC8iI6MT46OSE6LjY2IT49KSUjOfVNfGJGTHxmXMKbuPjYZ8/PHD08beL4Fk0aBiu17cWuQ6Te&#10;3/N08/5dttnO/THPP1YETwTlOATk2cMWAdmOgW+471L4v+F5v3HE5JvB83vN848R13slqX9d3fiw&#10;IniJTD9c5NrJVhZiKwiw4Ss51Aq5Vi5zU8i9FQo/qdSPL/SVq4JU2mCJUi9UeKrdjPqQpgOGDFq0&#10;bMnFK5cioyMTEuMTEuOSkuJTUxJTkxPSkuLSkjD+uLSE2OSYV0kJ3MefiN8b8gRB1GIsl5tAWVnZ&#10;u3fvIiIiTpw4sXLlyiVLluzcufPixYsoL7hfUU1K5CaQaKonkpJRUqQkJKYnp6QlJ8dFRz8NCzuw&#10;b++QwYODjAY3taoj32mQg8vc/1e+wcbjhNz/qjwwXMZdeiqrYyz5ygtTvNInTWEosPXJtvd5w9en&#10;CI3JYr9kUVCSKCiBHxzOD7rJ99vOd/+pjrxnXfsOX9SRq+RKtVKl0CrEOoXQQybSy8V+aueGSqcQ&#10;udYoVXuqnNyCgoK+69Z12/ZtFy9dDI+ISE5J5qbkpLS01JQUNJM+TDgElBkJiC9TjhG/L+QJgqjF&#10;WDyBRklJCd7Jd+7c2bNnz9KlS1FMnDp16t69e3FxceytbnrL/wwsZH86DetER0dfu3Ztzpw57b79&#10;2lXv3oanHOjgPP/flKu/ctsu9jki9n0oD8jkBVTV8av8wrPyC/dXavdkhVepjf69vT5TYEgWGxOl&#10;fmmiwDRhYDa/3mtBvWhB8EWZcYfQ7QepYrhQrNQqFCgnpGq50Fkp8FCK/VTSQLk6WCw3ipReGp1P&#10;YFDIoP591i5feNVUACGMLH/TDcfFBkz8KZAnCKIWU90TBQUFUVFRp0+f3rBhAysm7t69GxkZaXmf&#10;m97yP4O97VkDc1Qe+/btmzZh4jcNGzflK78VOA1z0Ix01M4QaZdLXE9qjE/l/ikS/1xH3/d2Xhl8&#10;90yeZ569/q2jPk1oiBcbY6V+KaLAVGHge379XEHDbGGjWFmDx5KgEwrDfonXYEdNx7pSX1uhQijn&#10;aVwdXYyOugBndbCTzOgjM9T3adSja+95q5edfnDtxcuX8BZSiekBY2O2IP4syBMEUYthH4dFA6qA&#10;J16+fImgX758OeqJQ4cOPX/+PD4+3pK2prf8z8BCYLoWlfj69WvMb9++vWvz5iFduzeVqNsIVIN4&#10;mlB75Q928vk89T6x202BZ5TA952jTw7PN5Pn/s7R472D4S3PkCYyxkv8YqX+nCcEgdl2QdmOIdn8&#10;BgnShi9l9S5pgs6qA2arjKF8bYiD1FmkFDq7OegMNs56jSJApwps4tmsf6eBS+YvO3bl4oPkV/GJ&#10;CRADho25aYDkiT8Z8gRB1GJKP/xtalBUVISCYNeuXfDEsmXLTpw4ER4ejhNzdvWG1Q2/CvNEeno6&#10;VsMmN0+dXTJ8XAsf3wCtU3OlqrVCNY6vnsV3Wu/gtMvR6bjYNUzo+UqqL7HTF9npcx383vL80kX+&#10;iRL/eGmAxRPvbYOLbOq9t6v3zjYkyT4ozi7guWPw0S/dh9sqGknkcp36SzeXf3d2kondjR4Nh7cZ&#10;tHHOhluX74elpjzOfZNg+lYEyyYWTDgENlTiT4E8QRC1mHLTL3agmEC7sLDw2bNnW7duhSdWr159&#10;/vx57k+BxsXhjf3PzseZQpgnWBv1x4t7D/YsWtHzm/ZBeu8GMnkbldNciecKoce2rzRbvpRvt1Fc&#10;sHO6J/bKtdO/d/DLs/PPdvDP5PunCv2TRQGQRBo/MMcxJM8+pMiuXr5dvVy7epkOIRn2wem8eg/s&#10;DMvE7n0UzkZnDV+r+UIld3Xz79Sh37qZa6+fvBUbmRSVkfkoNZm7Pf0BNnhgHjHxZ0CeIIhaDAwB&#10;mCry8/MfPXrEvlu3YcOGa9eumZKWe2Ozt7rpLf8zmBvYOmibVRH56tz+QyPGDg9sWT9QLm/r4rpd&#10;GnhA6Hfiv1y3/E2+8r9F2+vKjkrckux8Mxz8SmwCC2wD39sHvnUMzOQHZnAflg185xCUbR+UZxdc&#10;YBtSaBtSZFuvyCak/AtjRl3DeaHPPJlrV5nSTSmXyMQ6H2PoiHGH9p9+/CA8OiolJjEjKvF1sqn6&#10;YQNmo2KjJf4s8N8C/0jIEwRRW6nuiYcPH65duxbFxKZNm65evcre3oC91U1v+V+BPWU6a+eIio0+&#10;fenc5CWz/do1CuGJu2k9j9kG3BQ0DPsi4OgXrhu/VK20ka12UF6xd38pCij8KqCwblCRXUiBfUie&#10;QzAMkWkX8MYx8I1jQCYv8K1DYJZDUK590Hu7wIIvPd/W9X7p4HNS4LXUUdtFoGhox1fptO27dZm3&#10;aePl+4+iY5PfxL7Jjn4DWWFIgI2HDZL4E8F/C/wrIk8QRG2FKyg+XHd6/Pgx6gl4Yv369RcuXOC+&#10;NmHClLr/1BMf8Tz21fE7VxbsXNeoZ/smjtIecvdT/59vmH2T+K8aXrX33+vgudBWPvML/l5bpztS&#10;/4IvAwq+CiyqE1RUN7jQJjjHPijLjqsqXvMD04WBmL/hB2Y5BmY7BOTbeObYeqXb+4bx9CcdPCYI&#10;tT3sxM6ezsZGQR0nDF97aP/DJy+ywlNLw98kxHHDxoCZJP5Hgyd+D/D6kycIorbCKgnWhifCwsJQ&#10;Saw0cerUqdjYWLyxTabg7kCw9/y/JCwp+kjk/e3nj343bEBbe0UnO/WWf/e4JGgSxm9+XdX8qKL+&#10;XIHz+C8EP/LV2zSGcH5AjENAil1gVt3A93WD8myDcu04SaQIAuIlAQli/ySxf5rAL11gTJV6Zwi9&#10;C+z02TaGtP/2Pmrruv4LZXOtMkgj82kdPHL6uKPHjqTeflIelhAbFY0Bs2LC5Agz5vERfzh48ckT&#10;BFFbKS8vt3iCfd5p9+7dqCeWLl16+PDhyMhIpgfMWeO38OJ14sX0VyfuX/t+0pgOAm2HuoqV/6/T&#10;MZugm3YNrqian3JpukJjmM7T/MBXLhU637P1emHrm2gfmGUXnGcbkmcXnGPDlREmT/gniP0SxX5p&#10;AmOawJAk90kX+xTZ6wvt/PPq+F0TGI84erVSK40iR6le3a57+wUL5j04cCr32lN4IjU1NT09HXkU&#10;Fxf320dO/E6QJwiiFoP3KmvAFsXFxTExMSgjNm/eDE9AGCgvUFJY3uqs8S+JTE+6kxH76GnYqgWL&#10;BgQ3+1br05Kn6CTSDpS4TlcZlrvUW+lWb7GT/wil61ChcoZSs17lcVrjHyWvnypp+N4+JNsm8C0/&#10;8LUgIFnsnyIypomM73iGdzz9K6VPnMQ7y8GnwNZQWseYYGd8aeO9TOzyg42opUT4tafroC7t1y+c&#10;e+/C2fCXL1FJIJUweBwRRo6H5sERfwbkCYKoxbBiAnO8aUtKSnAafuvWrX379sETGzduvHbtGioM&#10;9q7+H3giNfF+akz4ixd71mwY/XXXzvpgvUgSKBC3lamHyt1/VOgXqPwWq/2HyV36OIgGCvkzxcrt&#10;Mo+HQr8YUUiufUiOXdA7XmAG3z9VhErC8FpgyHbQ5zjooxQ+sRLvDAfvHDt9ka0xlecf52A85hq8&#10;TubeSy5vLhY08nYZ3LfbhnVLL126FB4ejgFDEqgnmCR++/iJTw55giBqPfAE+xt2b9++ff78+dGj&#10;R5csWbJ8+fITJ07cvXs3KiqKvb3Ze/5fEpuc+Dwh5tWdR1tnLPymYZMAT8//8JGIGrj7f9uwX5Mm&#10;Y72Cpws9ptvr+jsqO9jxAtU2nWWOEyXyww66O0JDlkNwLr9+jkNglqN/psAvi2fIcTQU2+hLbPRx&#10;ckOsxCdR4JPG17/lGzN5/hkOfk8lgdeEvktkrgP4khAF36+hR5sh36zfuOH69esoJtiXPxBPCCYc&#10;gnl8xB8OeYIgajF4r0ISrJ5gvyuOkuL8+fNr1qxZuHDhjh07cG6OkiI+Ph7vcIC3N1bAG559KQHv&#10;ecAWYs7iGOfwD8PCzh46PjF0mL+nl7tWq/L3aPhtqz7DQof3GjCoWYfv3Bp1VAa01AQ00ho9vNzq&#10;O7t8I9dOs9esF3uG8wyJkuBCB/8CW2NBXX2ujW+2reGNg/8bThv+mTy/dw7GbHv/9/YQSfBbx+Bn&#10;4uAH0qDdGv/ZMtfvhJLmClELT6ehE0as3rbh7v17cbFx6fEp6XGpabGpKfFpyfFpcQnJmBKSuG9s&#10;p2Bugh0aOxB26xsNwI6aLWGHhjbAU9xmf7EChb0OppfKnPWWj8OxV4b9qzC9Qr8CnkpPT8eG2Ipt&#10;jvMS8gRB1ALY97HRgCrgicLCQqji1q1b27dvX7Ro0apVq44cOXLnzp3IyEgWB9UTAdnBllgSEw3w&#10;8tmLM8dOLZgz99u2X3u4uuq9vdq2bfv9kKHTp80aM2Zqn74j2rbr36Rpj2bN+jdp1d+7VUdjveYB&#10;7n5dBZrhYudzNs73BN7FdX1Lv/Sp+i+fgi+hCr8EYUi8uF6RbWCRTWCJTVCRTXCRTUi2ff13jg3C&#10;JQ2eyRuedqq3RaGfLnQKdRD3sOUFtK7/3egBW3dtD3v0ODU8IT085V1MZnr825S4zNjE9Lik9MTU&#10;tGQE1889AdBmR8FyDeUIjhoNzC1tHLvlSE0H/VcBrwkO2fxKJSaiXHv16hX+YURHRyP62SuG5Xih&#10;8JBh+TcDWA+YYwX2kpInCKJ2UN0TrKRgn3o6ceLE6tWrlyxZsmHDhuPHjz98+NDyGVn2/gdIDeYM&#10;vPljYmKwBCs8ffr0zMnTS+cv7tW9R73AIL23d+MG9fv37z99+oy5Py2YMvWnESOn9O4zvlv3Ud/1&#10;mNij9w/ffjeqdZueDQKatVS5fS1zmm0vXSXWPhR5Rgi83zga3vEDsgTBacJ6KcKQtzy/t45+2Q7+&#10;OfYBeXaBOfZBOfbB8Y5BMYKQB4r6lxSBu8Vei2wUk//TwV0kaBxgmDhq1LEDB58+ehr7KjE5ISMl&#10;PjMtITM9JfN1amZa2uskFBhJCSmp/3CeKfk5cCB4iOVoo8GeZUmHhWw5e+qvBjtwgFcDknj+/Pmj&#10;R4/wb+Px48f4NwNngIiICPxTwT8SixvwAmLOFmJbzPEQc/zbI08QRC3A4gnAVIElmZmZYWFhBw8e&#10;XLlyJaqKTZs2nT9/HqFgkQFnCZMn0GYxipNKPIt1Dh06NOvHmT06d68XGNwwuF67Nq07tG/fp0+f&#10;MWPGjh8/aeSoH0IHj+vbb0KfvhP69Z82cNCMvoOmd+s6rG3zzl97B7RQaEd8ZT/VQXRR7PpA7Jks&#10;NGSKgt4Kg1N4wUn2/hkCvzd8v3c8/2yHgPf2gbn2Qbn23FMJvOBn8vr31Q3OqYO2CtwWfSH15vEM&#10;Ctm3LZrP/fHHE8dPhT15GR+fnpKQmZqQ+TrxTVriayQYYiwuOSEphQsyBstBHBFLNC4XTTHH3MDW&#10;wcECrAPYs2y1zx5ODibQxlHjvz58AElcvHjx6NGje/fuxb+Wc+fO3bt378mTJzhXgDYgEvyTsAiD&#10;bZuens56wFPkCYKoHUAM3N2JD1+hYJSVleH9fPPmzR07dixcuBCqQOPy5cs4bcTbm2Ul3vZ4/0dF&#10;RcEQaCMOEBxIjblz53bp1MXP28/HzatN85b9+/Tp3eO7777r1q9f3379+vfqPbBX78G9eo/s23/c&#10;gEFTBw38cVDPOb26T+rcbWTrdp0NfoENlJIWKumPGqfVat0ZhddjuV+UNDBFGJwsCIyTGeKlhlSx&#10;4Q3fmOPoV2DrV2TrX+oQUmAb8NbOP90hIIHn/9zG+/Z/acc7avt/KWmp1PZv03bq/Fn7zp++G4dB&#10;vk5LevM+NuNdVEpyTDwkEf02JS7JfEGJHQ4aOBAcI4AtAE6QX758ichj8mBhx1nClH1/HXDgDCZL&#10;NPCaoJJArblz5851JvCPBM6ALe7cuQNhwCJwRnh4OP6F4EVmrye6wkuHVxL/cui6E0HUDpgkLLaw&#10;8P79e7yTkfsoJhYvXrxixQrEwenTpxENyFC8zwFSFZEBo+B0GysjIGbNmvXNN9/4G/y9Xb0CfI3t&#10;27Tt17t3/759BwzoN2jQwL59OU/07juk/8DxoUMmhQ75cVDojwN6zu7dc2rvAZO7fjcguH6ThipZ&#10;c6V0jFD8E0+6x151xdHtmciQKK2XpmgYJ9XHS/SpIv0bniHHwVhgYyyy8Su1CyqyDciy9c+w90/m&#10;+cfy/V7xDIuUhtE2qsYOoqYurl937/jj8sWHb1yJiopPSUjPj83IjklLReYnJ8ZmpyWlcwUBjgKH&#10;gDmLMLjh2bNnOFLkHQqpEydOYH7//n0sR96xuLRgStG/BJbjxQsFWyD04YAHDx7gfOLq1av4p3L2&#10;7Nljx46hoAQHDhzYv38/5jDHmTNnLnwAK9++fRsWASUlJeQJgqgdwArschODOaO0tDQrK4ulP/sl&#10;j+XLl2/evBnvebzDnz59iuoBkfr69WsEx4sXL65cubJgwYLWrVt7enp6uXkFGYLatWjTo0v3Pj17&#10;DOzfb8iQQUOHDgkNDe0/ILT/wO8HDRk3+PuJAwZN7DdwSv/QpT0H/NT7+znd+o4MbNC6vtKpmVI7&#10;WqKZ5qhYXUe6p47yrKPrHakhTBOUJNUni/UZQn0WT5/nYCixMZTVNZR+4VNRx1hu519oa8y11WfZ&#10;G7J4fpdEQXu+cu9vL2vDE/sFeHcf3GfO5tW3b92JevEqPyIlLyo1NSruVWz007SYyLhoVhLh7BhH&#10;gYIJPrh27RoiDwGHpNu4ceOaNWtwpowcxNkxVmZZibmpqPgrVhVwKrt8xF4BCAMvIP494PWBBiCD&#10;ffv2bdu2jf1Q2Nq1a/HPBi8gk8epU6fwTwjeRXlaUFBAniCI2gHzRHWwBMtxupednY1zRryx8bZH&#10;VQG2bNly/PjxS5cusfNrpAbiFUsWLlzYrVs3Hx8fLy+v4IDg1k1a9+rac1DfgQP79R3UH8VEv9DQ&#10;AYOHhA4cBE8M7j9o1IBBo/v0G91rwMTew5d1D53Tc+jsHj1HhAS0aC7QdJK7L9AYlok9Nnyl3Pif&#10;oh3/JT5o73Ra6pkg8E4W+GYIDNl8Yz7Pr8TOWGprLPi7V0kdfbGdMc/OkGXvm8nTvxP6PZE2uObo&#10;N1Pq0Yen8HdSNmvaIHTs8J1btj+7/zg3IinzZVxyZPSL8Be3Ih7dvHfnxo0bkBw7F967dy8SDQcL&#10;NUIPq1atWrRoEfyHsIM2UF5AJzhkhCNqKZaSLED/Ipg0Yb70hDnAQrwIKLNQZUKi+Nfy/PnzsLAw&#10;nEygyIAzoAQoFlZAG/UoTjuwBK82XnPyBEHUelBbFBcXv337FibA23vr1q1Lly5FbuI8cc+ePSdP&#10;nrx169bDhw9hkblz53777be+vr4oJgIDA1s1b9Xt2+79evQd0j/0+0GDQgf2HzSo76DQfqGDBwwM&#10;HTQgNLTfoGH9Bg7rM2Bkz9DxHUct7DR09ndDZ/brNqJdcPv+Yv1wuf8ObaO9qpD9Dp4b/y5b+R+8&#10;ZbbiDSKnGBv3RHvvNzxDriCggB9YaG8stDUU2Pjm2/jk2Pq8s/PJdPTJEPi+FuoT+fVfOQTtUvnP&#10;ELu2ksobuurat24xYdjIS8dORd98GHbx+tO7965dv3Lk4skjJ44dPHhw586dqBtw8ouaCbCzYBwm&#10;s8WyZctWrFiBw8eLgBxELLJrbiw6iY+ASPD6oMiANlBk4B8Pqk+Yw3KFCmJmF6Dy8/PJEwRRu2F1&#10;BlTx5s0blA54e+N0m6kCSYoMRXQiQ8eMGdOhQwd/f39vb++goKCWLVt26tC5T7e+A/sMHIISYuDA&#10;wYPwf/2HfD8gdHC/gdyVpwH9Bg3pN3BInwHDvhs08tsRP/YaO7vviGnDe40a3in0J0P7KZoGWyUh&#10;B5UNTytC9ol9Ntg7LXCQzneQPrBxe+roHS00JkmC0kRBr3l+6faGdzy/tzxjJs+QwTekC/SpQt9U&#10;of41PySVF3xDWW+/xDBR6PKdUP2ts8d3TVvOGTtx9eKlm1ev3bdzx7YtGzdsXLN+PXdtBG7AcUEG&#10;69evx0Ht378ftQWscO3atVOnTqGEwlOoLQ4cOAAvslsUOJVm59TmdCSqYakzYFPu5vWHC1NwxpMn&#10;TzB/9OgR5qWlpeQJgqjFQBLs6hPmJSUl79+/xzsfBcTu3btxio1snTdv3tixY3v06NG0aVMfHx9X&#10;V1eook2bNt27d+/bq9+g3oND+w2GJwYN6Bc6AJLo//1QkycGM08MxtRn4NDuA4e1HTK+1+jpwybO&#10;mTlyxowBE5YFdZkiD1nxhcdeUdBFp6andA13K/QLhMofbYXn/qa89pXzIwfvSJF/gjQ4VQxbBL4R&#10;BmQI/TOEfulCY5rIkCLSJwt93wlCMvkhz5UNrypCVkt9h/GcvraTNnFx71C/cZ9ePadNmbxy+dI1&#10;K5dvXLNy/TpUDlzpsHnzZhzakSNHUB7BiPfu3cMp8LNnz65cubJjxw6IZMmSJWjcuXMHqYeXgn1S&#10;FsLgcpGoBndlqhrctTkTcAZglo0xfcAaBSt5giBqKygjTLe0zT85jjnaBQUFOIPG+eClS5cQqTNm&#10;zOjYsWNgYKCXl5ezs7O7u3vjxo27du06YABEMHhw36EoIQbDEX37DOjXZ1Bon8FD+oZCDYP7Dgjt&#10;1w/2GIR6Y3AfPOgzaMjgETNmzV26YPGYIcP6+zfqovUZXFf1k8ywz73ZaX3rY26Ntki9Vtqq53wl&#10;Xmqv3irxOKr2u6KrF6Zr9ELXOEoSGCMJhDBeCwMz+f5vHQxv7fVvRAFvRIFvHUOSHYKf2ATs+NJz&#10;6n8oWko09VTagLaNB04YvmD5wn3btlzfd+jKWa5ouHv37tOnT1+9eoUUQ6KxjzzBEzdv3mRfIplv&#10;YuPGjdBGeHg4Mo5JAiub05H4AF4WkxHM9284V3wALxqWQLFoY038MyNPEERthbuX/QGurKhGfn7+&#10;8+fPt23bNnz48EaNGrm4uDg5OXl6ejZo0KBTp06QxJAhQ74PHTp04Ihhg4YNGTBkYL8+A/r2GjCw&#10;58DQ3qGDe3NqGNy3X2h/qKIPdxFq8NCBQ78fPGzGjNlzZ83p0aVrKyePFjLn3l/KJvLd1isDDuga&#10;HtE12KMybhV7Tq8jmmMrW2av2ip0PSLzva4IuKcOfs43RAj8kvn+rwWBb3kB7+yNb20NqC0yxP5Z&#10;9sHpdsEx9g3OCEJW2Pt8rdT5CSTaEN+2fbtMnjX17NHDibfuxUdy96UzMjKys7NzcnLevXv3+vVr&#10;VAyPHj06f/78nj17VqxYMWfOnLlz56Ke2Lp1K/vUE06HWSYi9ViDsGAyAgfaEAPOLRh4rfAQDrY8&#10;S5+LJYhaDFOC+cEH2EK8t3FOPW7cuCZNmnh4eGi1Wl9f33bt2kEPkyZN+uGHH0aNGjVsyIiRg8eM&#10;+n7UiCEjBg8aMLB/H5MneoUO6c3dlWCeCO3fZxD34afZPftP6td/+KB+7Xt38GjiJ3KVCdQCo1DQ&#10;mice7qBe6KDb4uh12MbzsI3HAK12oFozVKocL1DM5Ks3OGh3OOpuO/o+4hmT7P3f2gcW2gaVfuVf&#10;9oVfrMArRe5XaRNS/kVw1X83jnZoetY+uJ+LPpAvrmtQa5oZvxvS5/zRIyXPo9+/fgM3wBM4/4X/&#10;bt++feHChePHj8MQ69evRyWxePHipUuXbt68+dChQyikUGSwsoMFIrbiopGoBtMAYA/hBgaWwBas&#10;YkMbS4qLi8kTBFGLQSXBrjuhUVZWxgoLFBNIxk2bNrVu3RqVBCTh4+PTtm3bESNGzJs3D3mK+eTJ&#10;k0ePHDtm+LgxI8aMHj562PdDQgf27z+gV/8BqCf6DhrCfSy2/6D+/Th7DBjYr/8PPfsO79m7Q9vW&#10;3oE+cneNVCuXqsR+CkU9geTruqI+X0lG2ap/tNPOdND10rn10Dh/J1b0cRAPtZNOryub/ZXsCN/z&#10;JN/rrr3PS0djEi/gtYP/Gzv/GKF3styv3C64ok5Q1d8bpNk3emQfPFPr14evUjvLNC6Klu1a7tq4&#10;Me7+k1TTX/6OjIy8e/fuqVOn2FeLUUOwDwGvWrUKB7t37172rREYwlJAsOCjeuKXsJelOtxLbNJG&#10;Wloa6gm2BC8g1RMEUbspLS3F6R6zBRrs4dOnT3GiPWbMGL1e7+rqinnz5s2///77OXPmLDGBbJ07&#10;d+6UKVNQcIwePXrkyJFQCEqN/v379+vXb9CgQYNNoMGW9O3T57vOXb5t+3XDoBBPnZurRmv08mkU&#10;Uq9NsxYNg+sZPL3dnV3cnJzdtC4eWpdgqbqeVF1fpGgmUnZQ6QZo3AfInSeLtVMFTkvt1Vv4uuNS&#10;nytK/9vqoGipPk5iKOL+7J2h6m+G4v825H1huMrzPWrv3k+kaV2X39DHMGRg6PzlK3fv3YdC4eDB&#10;g7t27dqwYQPEwD4XCz3gSGGOa9eu3b9//8mTJ0wSlowDODvGnIUjYR28aHjp4An2ArI6DP+6yBME&#10;UVvBGxhiAKgh8BD1RG5ubmxs7O7du5H7rJhwc3OrV6/ed999BytADzgHR8JivmzZMqhi6tSp48eP&#10;hypGjRo1fPjwoUOHQg8DBgyAHgA8Afr27du9a7eWTZqF+Ad6ubm7u+gC9Mb2rdr07dFzWOjggX36&#10;df6mQ9MGjYKMfkFG/4ZBwc09fZvoPIKlyhC+pKVM/Z1K10vpPNRBNtJRMdtOscxBs5WnOyTyPCX1&#10;DRN5vRT7vuYZs3j+BXb+OXb+7+z874n9rooMU+TuPb8UhEgVbUPq9ezZE+NcsGAB+4YEMwRsAUMc&#10;P378ypUrYWFh0dHRiDb4gCUdizlknMkUHKYYJP4F5AmC+Nxgl5tKTKBdUFAQHh6O827UB8HBwQaD&#10;wc/Pr0GDBt988w2KiRkzZixatAhRyzyxcuXKpUuXMlVYqgoAVcATffr0YYUF2l26dGnVomWA3uDl&#10;6oa6AZLo+PU3Y4aPnPPjjJVLl61ZvnLxvAWTx08c+f2wiWPH/TRj1rQhw4Z07NLaxxAgkATxhG0E&#10;0vYCaahAMUriNEekXcTXrrBVrftKsbmO8jbf/ZHQO0ZoSBEHvOX7v3b0S7E3PJb4P5AHrnEJGM9T&#10;NxNKGzhpGwQHDBzQf/r06WvWrEE9gari9OnTV69evXXrFmqIZ8+excTEsFzj/GBqMFj2kSR+O3jR&#10;8AKSJwji8wFvYKYKlBT5+fmvXr3CKTYqicaNG6OMaNq0Kffh19DQgQMHYuGkSZNmzZoFVcATTBXs&#10;6s2cOXMmT54MVaCkwGowCtaHJFBPoNG9e3f0o/fVe7i6YfI3cD8aOHLY8MULFm7esPHowUPnTp85&#10;dezEjq3b1q9Zu2/3nsvnL+zdvGXFvHkj+/Xr0LBhCx+fVs4uTWTyDkJpT5l6jMJlssJ1htBplr1i&#10;to3suK3zOQf3i1KfGyq/exr/Z0r/CKnfK74xRhhwUxWyX+A5gq/oKBQ1cVF3atsGI9y+fTv0ADc8&#10;ffo0KioKKcZyzQJbwiKP+F9AniCIzw12xQmUlZXFxcXt27cPQV+/fn1/f//mzZsjWHfs2LF69WoY&#10;AuXCmDFj0Jg3bx5KCnYBZ+3atXgW5pg9eza7AMU8MXjwYKaK7777rlWrVnq93lmrdde5Bvr5f92m&#10;7fehg+fN/mnHlm3HjxwNe/go/PmLxw8enjl5au+u3SePHb9789ada1dvXLhwbM/utfPnTR0yuF+T&#10;Ji202ha2jm1seb3thCOEyulSl3lStwUS1+3/Ltn7n7J9tuoTIvfLav1jTcArTXC8KCBBEPBIWe+C&#10;zO9HmUt3vrCeTFDfqIe3du7c+fjxYxgC4HhRKCDREGfxJhBtpitMHJbUs8CWENbBC0WeIIjPCksl&#10;ER0dDUkMHz68RYsWiPVOnTr9+OOPhw4dQp7euHEDdcOUKVPYZSU0UEAwW6xZs4b9vuySJUvmz5+P&#10;TaAWqAL9oBDp1q0bJBEYGOjh4aHT6dBo3749uxm+devWs2fP3rt3D1GCUI6MjLxy5Qp2d/LkyZs3&#10;b7549TI6ISYiKvzOnRv79+78acrE/l06fGPQN3XSNOUJ2wmk/dWuo1x9x7r6rvlP1fr/UC10UC8T&#10;O6/Rup9w8r2j9sviBeXUMWZ/5Zdq53+I7za9rqCrnY2/Rt21a1do7/nz5wgvwGSABpMEYNGG5ezG&#10;NWCpxzDFIPEvIE8QRC0G71XMWfXAwBLMi4qKwsPDIQlUDM2aNQsJCWnatOnkyZNPnDgRERFRWFiI&#10;AD127BiKBqwwaNAgOGDixInTpk2DGGAIeIKBNpagqkDZgXX69u0LK6A3SAIYjcZ27dph8xkzZqAK&#10;OX78OPtTSIgSAE9cv34de2S/pRH28llMYlx8cnx07KuwsAcXTx7bvWn9j6GD+jRt0lKhas4TdZao&#10;+qlcQ9XuG2zcN9VxXcDXzhdo5otVOwTaC0KPDDu/7K+M2V/4vbYPOiszLOQpBwgFepkcA9iwYUNY&#10;WBhTAjMBUgxWQK5hzmIOc8tTeMgpwgQeEv8S9oqRJwiiVlJWVoY5xFBu+ssTgFUSGRkZkERoaCjO&#10;/ZHmUAVqgiNHjrx584Z9UhYNiOTAgQPTp08fOHAgCgUI44cffsDDuXPnoqpgdynYlSgsmTBhQr9+&#10;/b755hvutoRer1arfX194YwhQ4ZAElhz165dKBrYZR+WLKhmoI1r166dN3H/eVhMamJMakJ8elJ8&#10;WuKLiGdPnj8+c+TgrB/Gd23UuKmrW2OFurlM3U6tWy4wrBYa52h8p8tcx/EkS+pKjwrcX/6bNquO&#10;f8lXIVk2wXdlwZt5uh9ECn+pHIe2cOFCtmukGOYsxYhPCHmCIGoxMASbsy/TgZKSkhcvXkAAQ4cO&#10;bdKkCSTh7+8/bNiwkydPIkPxLNbHaigp8IbHmf6SJUvGjh37/fffo1wYOXIkdMKuQWE50h+2WL16&#10;NUoK1BMdO3asX78+OvTx8YEq2rZtC0lMmTZt6bJlW7dvO3n61KPHjxMSE3DejrN3TLFxcU+ePb12&#10;/drps2eOnzxx++G9Vwmx0Unx8WlJia9TImOjwqMjw58/OX/y+MZFiyeHDunRuFkLZ4+GcqexdbWT&#10;7HQTVV7TnfWTFS7zbGQbvpRf/n+U4V/6JtQNjOHVu6ptvFbsNVao9pcrIUKY7O7du+zH6ViQsXQj&#10;PhXkCYKo3eDtihIBnsCcfU+CXW4KCgry8PAIDAzs0aPHjh07cJrP7m9jNbbV+/fvnz17hiIDRcPE&#10;iRPZlyRgFGhj2rRpCxYsWLly5Zo1axYvXjx58mQUHC1atPD29nZzc4N42rVrB6nAH4uXL1u3ccPB&#10;I4dv3rkdHvUqITkpMTUlMSU5KTUlLinxefjL67duHj91cu/BAzfu3H4VFxOdCE8kJ2WkRyXGRycl&#10;xMbHhoe/vH/j5sFtO2aOGtejRduWPv49bVQ9v1IMEDtP0BmmufjO5Tsv+VK+/9+UF7/wuF5Hf1MU&#10;csSl8Tyh5xAHlZ9cjZpm48aNYWFhOPD4D38Bm/i0kCcIonaDtysrJlAihIeH7969G5JApru6uhoM&#10;ht69e2/atOn58+d5eXmQBIAtLKrIysp6+fLl8ePHUT1MmDABJQUrLMaPHz9z5sylS5diOSTRt2/f&#10;Nm3a+Pn5ubi4wD04hR81ahTqjD179qxev27txg1HTxx//OxpTEJ8fHJSQmoyVJGUlor2y6jIG3fv&#10;HDl5YvueXffu3Ik3XRpKRO6kpUYnJsSlpMQmJMQnJsXHxD19EHbm4LEVsxdOGDS8nbtPA4mqOU/a&#10;XeEySuM1Ve4xW+Q2395lmcBjnsh7kTpgqmu9PkK39jxtoM6zV69e8OIr0x+qY7coWLQRnxDyBEHU&#10;bvB2Re4XFBQgJQ8ePIiUr1+/Ps76EevIUBQEL168gA+KioogCcv6TBUQDJ568uTJ4cOH165dixoC&#10;VkChgE7GjRs3derUH374AZJo2bKl0WjUaDRwT6NGjeASdHvmzJnLVy5v3LZl5bo1h44fexYRHpec&#10;GJuYEJ/ClRQJqCeSE8OjX928dxee2Lpr58M795LjE7nISeZEEp0Qn8C5JCUhOTUpMSUpLinqWeT1&#10;M5d3rd06oGPHFka/xiJ5K4G0r1A9WqKbJvecLHSdLNB9z3MeKnHvrfRpx3f+Vq3v1qY9Sp8LFy4g&#10;uVJTU9l1JxZtxCeEPEEQtRi8V5H+xcXF0dHRR48eRaw3a9bMx8fH3d29T58+ON9/9OhRdnY2uyrF&#10;PIE5UwXmoKSk5O3bt1FRUbDF5cuXt23bNnv27DFjxrCfderSpUuDBg28vb11Oh0k0bRpU0hi1apV&#10;iOawsLBHYY93H9y/asO6QyeOQQnxKclIf3iCk0RKUkxi/MuoV7ce3Dt6+uS23TvDbt1Lj0tMT0xO&#10;gSySU+ISEtMy3sQl4VFaYkJqYlxKQlTSs/vPzx05N3HFTx1H9GlbL7i5zrWLSN1dpOkn132t1LZS&#10;at2VKg+1k6eLl95N36ll559mzT1w4ABGjtiCJ1iKmZKN+JSQJwii1sCCnoE2QBlRWlqamZl56dKl&#10;mTNnsj9z3bBhwxYtWixduhTvZ0iisLCQrYw3NoSBhmVzLLE0YI43b97cunULqpgzZw580KFDh3r1&#10;6rm4uCgUCswbN24cGhq6YsWK06dPI5qhlucvXhw9dXLD1s0nzp6OiotNTEuNTohjl55ikxOjEuJe&#10;voq4/fD+iTOnd+zd/ej67bSY+LQEzgwpKanxSSkZme/iE1NS0t+kprxJSkhLik159fTV7Uu3N5zc&#10;O2n5nBF9e/du1ry3zreLzLmzSNNILK8nlqnFYieZ3M3Zo2FAo5EDRx89dOzBgwcxMTEppm9FAPZp&#10;q1/CnjU/+DX+5QoW2JrA/PgD5qWfo6hwUOQJgqgdWGIdsGRHNYB379WrVxcsWNCpU6eAgACDwTBw&#10;4MAtW7a8ePEiIyMjPz8fazLMvVQDC1lvrOBAb1BOeHg4TDBv3jxYx8PDQ6PRYF6/fv1+/fotX74c&#10;lcTz588RzawEOXXq1P79+9nfE0WIsLxGiLCz+4iICIjnxIkTe/fuxTqWD63i2fj4eDRY7mCO5Ziz&#10;XwjftWvXsmXL1q9fv27dugkTJmAYOCgnJyeVSgVjodGoUSMsx34tf08C+8XrwL4t8augf7ZHJhI2&#10;SMtQsZCtgE5ev36N5RawggW2C+wO1RvWT09PxwpYiAaWs/WBee3PCBwU/uvgSNl/L/YfEf94yBME&#10;UePAOxNpzmoCtFFMoFy4f/8+zvF79Ojh7+8PT3Tr1m3z5s0IUBiCpT/bEJuwTqpjWc46BOgTQXDu&#10;3LkpU6awm+FarRZVRe/evWGOI0eOsG/SISkQ0I8ePfpVT2DOkheeuH37NjyxZ88eCMByn9niCayD&#10;JZjjITZEz+h/9+7dmzZtgquuXbu2c+fOadOm9erVq1mzZtBDkyZNoI3Ro0dv374dlQTGwAaD3bG4&#10;RyeAy7ZfA/sCWAFzxD1Uh8RHAw/RCR5iwPArePr0KXdhzQQaMCLAwpcvX2I1HCzWZ6Bb7BpztmuM&#10;wbSrzwr2ipEnCKKmg7clmyP90cAckXTv3j2c43fu3DnIRN++fXfs2IFce/v2LYt+eAINzNnmH1F9&#10;OVZDPYESBH0uXLiwXbt2Pj4+3t7ewcHBPXv2nD17NiL7+vXr7JNFiAk0Hj58+M88gTnyF6kKT5w8&#10;eRKeQKwjX1jQIFhZ1rAlkATTBjZ59uzZ1q1bN2zYcPnyZZQX0AYa8NO2bdtQYaxZswYWhHiwa/ZB&#10;WIAeLJJg/aOrj2DPsvXxEHPIAJ0j/VEeYUcQBpZAZtgdFIU9YsywESozjAeNffu4v3WBp27evAlh&#10;YBMIAwNGt6xzgJ4RpqYdflbg0PDCkicIoqZTVFSEOd6cSHMW6Ddu3Fi5ciUqCYPBgFN+SGLdunU4&#10;I4YkiouLq3uCwfqpDvMEewoN9IlT+FWrVn333Xeenp56vR62wLn8Dz/8gJ6Rzsh65CkLRAQlHv4z&#10;T6CNNZHCUAs8gYRFKLO4wZx5AqtV9wSWI3YRwXv37oUVrl69ih5QLjBwXOgNe4QFEdBsL5gDDAZt&#10;S5yxJR9hWQGN9PR0jBZ1GJRw8eLFCxcuoIFxYo9nzpzBUOFa2Gjt2rV4KWAmSAsPYQsUOnj2+PHj&#10;58+fh/8wVIyQhSY3DhNsR58ZOC68sOQJgqjpwA2Y481ZUFCAd+ytW7cQZB07dvQ30adPH0Q5si8r&#10;K4t9n646Fhl8BHsWoHPYBdm3aNEiiAelCSqJtm3bsp8IxEJ2gyE8PJwFOkBwo/L4Z55AjiDNsQIi&#10;Fesgf5GqLHHYCsga2ILlDuboFnPUKDiEAwcOIJFxas+WQx6YI5FhJgwADfRjOW1HVwz2kPXP2tXB&#10;vgBWwxwPUehADMeOHdu1axcEwIoG6AF1A5QAPeC1RQMlBSTHLAKjXLlyBYcDVWArHDWOC+rCqCyv&#10;CYPt8XMCB4X/FuQJgqjpsECHAxB2OPNdunTpoEGD3NzcAgICUEkg13CinZeXx5SAOasVADYpLCxk&#10;V6t+FRQfeNujz2XLlqGSQIcABho3btzs2bPnzZuHzpGJyGgWEAzrnkAcwxOoTpDFp0+fRs4+f/6c&#10;ZTRbAV2x3EEbC/GQXXRCFsNJCOiHDx8yGbDkZfHEdII25lgfy1n6VwcLfwnWZ7J58eIFVIS9QAAQ&#10;EtwAH6BoYD9SgtJh06ZNmEMY8AFKDayMA8exYPwYHh5CFThkJhWsAJ/hpaiuCvMuPyNwUHgByRME&#10;UQvIz89HDuKsH4HetWtXlBE+Pj79+vVDtCGt3r17B0PAB3gDM1VwYjE1LDe0PwILQU5ODhJ/5cqV&#10;8E1wcHBgYGD//v2Rm4jCJUuWQBWrV69mnkA0IymQERgGotPK/Yn09HSEMs7EkcVYB/GKgLbkPlZg&#10;nkAbQQ+wLXp49OgRKg+AEEf9gRWwGp7CCiyqqsPSCl1hzhpYDZtYllQHnaOGwIAvXbp0+PBh1Cuo&#10;CTA2aAw+2LlzJ9ywfv16RP/Ro0dhNbzIGAw2ifnw87c4XoCKBwtxODDEkSNH9u3bhwYMbVkNmHf5&#10;GYGDwgtOniCIGgTCHfHNLh+xJWi/f/8+KysLEcY+3YRKgt0/QKAjwXNzc1nFgA0tW/0qlhXQQJ2B&#10;Nz9SfuPGjeyehMFg6NatG/qEeE6cODFz5kzUE+yuMlLSFIPmu8FIRkQ51kG24vScffQI8YEOAVbD&#10;CTgMsW3btuPHj6NtCpyPYR0CRA9EgpoGqc3uFSOOsfBXQ98CNvxlA1sBk0rMH2rC+T6i/NatWygF&#10;IAkYArD70hg/hofyZcuWLVjCbjxgtDgcbI69A/SG48VBsV3ARjhSmPXcuXMHDx6EcrAVMwqwjORz&#10;AgeFVwOvAObsFcZC8gRB1AgQ6ABvSICoevDgASqJnj17BgQE6HS61q1bL168+Nq1a5mZmUVFRdY9&#10;wbpCg/WGNtzz9u1b+AB9du7cGR26uLiggT5hBSQCUnvBggVLly5FhmIv7MYAMOUwd5kIeYqQhSew&#10;PoIVCxElCFYMFQ+RpAhleAJ5yq4R/RKEDssgbPLs2TMELooYnPJjW/SAp9CbZTW2SXWwFcB+Lc9i&#10;fdbGSBDokAQsePbsWXbPY+/evcxDODTUBDAHkwSWowHboeCAriIjI1l5xPo0HS5nLJaSTBhwM7sG&#10;BeWgT3aHH4eJ8bCtPidw1Dh28gRB1CBYjqOBOdI/Pz8fgY5oW7NmDXLc29vb1dW1efPm06dPR1Sl&#10;p6dDEiUlJdY9wS49mRzBUVxcnJGRgQxFddKxY0etViuXy9EnxAAlIO/gHuwRzsBOkaQ4y0Z0InkB&#10;koKBrES8wgRI3sePH7MVECJIEygEsYt0RgSjQ6zMEucjWD/YBKf8SO2jR49u3boV+4Iz0BtWYLnP&#10;YJtUB8+yIaGNFdAPRo68RtCjB2Q3yi9YCoPcv38/RnLs2DEoDTLA6T8U8ujRI5gMe8RyrIyFbKfs&#10;ENhOq8OWIy7ZN+zQA3yGnqEKvFY4BPIEQRB/EDjTZ5mONvIdOYhAx1l/9+7dPTw8IImWLVvOnDkT&#10;J7PI+sLCQu5zsiUl2ATrY6tf9QSeBegNK6DBfqIDGoB40Cc80apVqzlz5ly8eBFZ+fr1a+z01KlT&#10;0Mb69esPHjyIGEUIspN0JAUL6JiYGOQjnj1x4gRkgJzFcqyGHEHn7NI/FAKZYSFLnI/AmtgE/eAA&#10;WZofOXLk6dOniGBEEnZh3RNYB6CB1QDaiGkUIhAAXhyW4BgD6gkIA8NgH0/CASLTITYMHuvAguzP&#10;HGFb7AWvDPaLPtG29M8eYrQAbawA8FRYWBgOELuw3KVgK39msJeCPEEQNQi8Ay0UFBQgo3HW36VL&#10;Fzc3Nxbo06ZNQw7i7YqyAKHP1mR6wMNf9QQWAqaKvLw8JCYKhW7duvn6+rLfboJ4IAnEZVZWVk5O&#10;DmIX6Q9PrF27dt++fSzrEY4sjtFAaiBYcW6OE3YoAfkOVaDCQM9YiIc7duxA9KM4sJyn/xIsRyco&#10;PpC2WB+BC8Eg6LEvU/JzkmDZBMzbVMPyFF4KlBHYEcIaoY8hoavdu3dj5OgZS1BeIMSxGvrEhuxe&#10;CIbHLIKHOCKMBCuwH+HAOugW/QO02VZoYwXM8RR7iG5v3LiBHrBHjBwSgmLx1GcGeynIEwRRs0Cm&#10;o0RAZCN6tm7dikA3Go1qtbp169Y//fQTzvTxdmWfgjVvYAJbWYTxq8AT6BN5unPnzoEDBwYHB/v5&#10;+bVt23bKlClnzpxhfaKaKSoqyszMxDny0qVLV69ejZURgizrWUwgN5EaaCCXcaqOwMUgcW5+2fRl&#10;ZoBNENOXLl1CkiL0sZUpcD4GSkBGI2oPHDiATRC4GFv1QEcwsWxi638E1gHId2yFigRhffjwYfQD&#10;0IBKsRDVCfaCPjF+dMscgFHh2aNHj2KPMBlWwEJ2aJY9foRph/+QB1uCugQWR1d4BXCw0CTKEbbm&#10;5wQ7avIEQdQs8CZ8//49JAEljBs3zsvLCyf+yPSpU6cijxB5ll+BtQAHANY291INdn8CAsC2OP2f&#10;OHFiw4YNvb2927VrN2PGDCQs3vkwE9scjXfv3l25cgV1zKpVq+AAnJIjalleIJexMlIDD1nQQxW7&#10;du2CGGCIgwcPIn8xR/vevXtIUmySkZHB5c0vwAFiHazJ7jBDGOgQI8QmeJZFEmv/Ktg1ypdHjx7B&#10;B+yDqhgDu9aEVwkOi4qKwmghKtYPOmSewFZ4YfE6YI+PHz+GZrACu9qGldn6WJnthR01GwYzE8NS&#10;UZ08eRKOxGuIfqieIAjidwFvORbxaCOj8ZAFOtJ2+PDhQUFBKpWqRYsW8+bNQ67hXQqFYB0W66yH&#10;6mChpUO2GkoEeAINvMn37NnTu3dvf39/g8HQvn372bNnwwdIN+wRK7MesC0Ki6umb/Ohnti+ffu1&#10;a9eQuSwfEY4sNNEbQKriPBpxibFdvHgRZ+joECfpyGJswjKFrYy9YHN2Xo8laCDicYwbN25kV5yQ&#10;s5aMxi7QYGump6ezHrA52qyUgYHYJ45wRGvXrl2/fj3CGg/v3r0LQ2BI6ApbYRPMGeiTPcTYUAGg&#10;iEEB9Pz5c5aAkASqAeyFrfzPwGoAq2H8sBo8d+LECXQFT8Bb5AmCIH4XEOiAtdlXJRBAOCufMGFC&#10;48aNUUZAEjjrxykwMjonJwfrYE2LWj6C3azGU1iBrQMKCgoQrIjUESNGsD7btm2L6gTn4CgUIAm2&#10;GgNb5efnww1LlixZtmzZli1b4AyEPksN5C9TBUsNtFlVgXR+8OABchNn6M+ePcNCrIkVGEgZ5hjE&#10;K+askoBUUEkAnP4zr+ApxBDWx47Yhmwv0APbHN2icxQQ2OTMmTPI6MOHD0M2yH2EPiTBdo29YCtm&#10;BdYDgy3BOihicOzoBKPFCmx97AVt7iB/DrbCU1iBjQ0PoQosh2PwKqEfDABd4UVg639m4JDxspAn&#10;COLPhKUzGoj47OxsvA+RfWPGjEGgu7m5tWzZcs6cOQhBLEegW9IfK7OtPoL9CCDAyqw6QXGAbXG6&#10;3b9//3r16kESbdq0gSSQlchHdgkLqwHWOcDCmzdvop5YuHDhunXrsHckOzICsKBHZLDU+P+39+fv&#10;VlVnuvD/j5xz1XmrKom9CNIjKiqggDQCYgcoiIKioCgI0hm1koh9jx1qjEYxKho1CGqMLYp9F9v3&#10;e73x2PdamlSqru9nzXsxs9jgdkdQFMf9w9xjjjnGmKN5xn0/z5xrr+XolCTIJzkvV1/eF4VoZZkQ&#10;q5KggPgDy19TfVHSXXfdRSRk5mq4WGF0DGlfdQlSJwQhWrdUX83Ei6cTqotFEkNQGrdWUnW8lps6&#10;1WCgQTkI3Yhuu+02fRD6uLXOK6ZKSHBdRCeikcqAKmSJeBuCpkgXfVKmWWEzgkFlcjKTmSLWUnSi&#10;oOC7ho2XF9fom0gg9K5du4okFixYcM8999iZ6B6hI/FEDF+lE6KNhkpUv4cqLTLg9opOtEkhunfv&#10;PnLkyLlz57qLDe+qphTOs6kc3UJdjEwhzjjjjHOr37Djg6PI0ESIuH1ODMtDWMZRWj5S5sKvWLGC&#10;FopvMDXNkJli4aC6CqJXSxpBI3d68Ifq41U33nijKETd++67Tz9NWvoWVPdvdsBpmgpySXm0LprR&#10;BzLjVBn3+iqdaFauoCQtJGwEhkjktblGnnrqqVZ13JyQURedKCjYBMDONlvSEp9//nlE4qijjurb&#10;t+/WW289ePDgU045ZeXKlSiMSCQ4CFLXMdVbkXxQXpso+Le//e3UqVN32mmnLbfcUiRx8sknL1u2&#10;zG4XNJAEJWvtCSIYOsNhv+iii84880wJHM2dVwtT6A8gi3AxVHzSQDglhAJ1JsTB5/Xz5RF9vifj&#10;0ernhuKkp2Q8dzmhfk3x3POEh+e+pPp+78QBqDkxRCu5K+8U6j6A/DoB5kRd3dDUTTfdhPTdS99C&#10;hSnTChUVSIMSJFNdcnXllVeed955V1xxhVMyptnWnmw2MGpjLzpRULAJgKBtNke8/PHHH+NlPvLs&#10;2bOFEUAkFi5cmJfM6D5ufsrX1et0K5KP6D/66CPMrs1jjz02wrPzzjtrH8nyfIlEQxMqoUrLEo7S&#10;efWNN3nrmFRIcdlll5EWnM6VRhYu0QZ8gTUgbBI4VaBGrtZC4lSXNKsPIgOBRVge+Toqpkr4KDmO&#10;lGDVqlXiDyERz/2aa67hxQtB4rznFm3QuHELkpkOBOompDA6bVIgOoTlXWpTMtCIgesJRXn44Ycp&#10;N3XRk8WLFwu2NEK0XFUmHLqZwZyYgaITBQWbACF0++2TTz5BUoh4+vTp3bt3/+lPfzpq1Khf/OIX&#10;yBQjo2xISUjdsLnMnLaBYmTAfl66dOmRRx4pkth+++2JxBFHHHHttdeiszYvrrWvShJffvlldOL9&#10;99/ndOsVnTjnnHPyfX/PPfcc7g6hx30Od4RQoh8SYZZcApmOyosMVBFA8L4dQb7y2pSomaiuq8oj&#10;jzxy22238dwRugSaVitXVaxvB6klRzu5Y3JAWrEa+kAqnnjiCXHS5Zdfbox/+tOf8uBI4WahFijv&#10;qjK33nqrMEhPzIYugep6ZTjqghlo1tmMkJksOlFQ8F0gpNw8qU7x9QcffMDFRljTpk3r16/ftttu&#10;27NnzxNOOOGuu+6yIT/77LM6jAjqukEEw1GmYvg9r68xFz93zpw5u++++4477iiemDx5Mo7Dd++9&#10;957yAhRobSqQGdkgGEjh3nvvzU/3YMbf/e53D1T/dYzuMXsotWZhPPLmmn9mBpk12pzWMEBHnK6W&#10;6iCdDx2FykUwt9xyC17WBy68wCIBDeQuQVoLmlkVmlkVmlkVkmOKTDKRuPHGGzW+fPlymmR+xBZP&#10;P/200GH16tU6QJlEHjSSHlgmc3h99W0fV1999RVXXCHKUYueaVCvTItRtNHLDLNOg2I1nMp3NX37&#10;HiI9N670U4dlFp0oKNjICINDSL+mfoSOcyMSvP5tttmma9euEydOvOSSS1DVhx9+2E7QADg9VxsE&#10;3/KaQYCC1PIR2K222qpXr14HH3zwRRdd9Pzzz7ukG6m1XqQpCa0JKTjdOFTd008//cILL0SLyDpx&#10;QE3oNdOBRMilI0Cm4VOoq4MGiQS+/sMf/kDtrrnmGn2gWPmHuBRwVD51vxmQ++OPP04ANI73CQBN&#10;ckc3krlixYrbb7+dNOpA4gbLJDOaofx5550nXxmNWMS6M3rehv2NMekgxTL2GsmEusD3B7qk/0Un&#10;Cgq+XUQnwr/S2JwAcPy5tNhn+vTpRGKLLbbg9ROJJUuWcFFxdBsZqFpaCykAOD0i4Wgn/+lPf1qw&#10;YIHohPB07979sMMOQ/T84taPwKZis6F1kKv6jB10ZunSpeeee+7ZZ5+NLm+99Vbt6zm+QHAJBRJG&#10;hFAqbukQ4nenltZAAs9icO3nPbM4hjjpfERC+RQOZzUb+qZwLwEE3hdVWAiBAmG444477rzzTgIg&#10;08D1QUAjX+Z99913//3358Na1CvPwfRWU/oD9WyE+uXoKtmQ0Ns2UCbFwGnVwEYY1EZH+lZ0oqDg&#10;2wXOxeA1QTt+9NFHL7/8Mq6ZOXNm//79O3XqlPcHF1988ZNPPvnOO+8o36z81ToB8skDycHpX375&#10;pRAEnf3qV7/ad999e/bsqU0isXjx4scee+y9997L3ZVXOKLSbGVtKONS7qhlNIccdfX8888nFWKd&#10;/Pv0Cy+8wI/GHaFFCQwSEukgWtUlkNamSIJTj7gRNJFwdxGMboRVFXOXFK6a+YbIfbE8BVq9erUR&#10;EYy77rrLBIoqli9fTg/k0AaXxFUivPwHuOEDkXiw+pZD7YBua6oefhrXZ1IEOa1zFAaJasIayFVQ&#10;Mi18f5DOF50oKPh2EebFzsKIkLXNxm+dNWvWkCFDtt9++969eyN03jr/lEhgfGVSMtWTWBfytQwK&#10;v/3220jtF7/4BZHQ4G677XbooYdeeuml2vzggw/Swle10wqt1f10pD0vvfQS0hTonHnmmWeccQYx&#10;u+WWW9A3eqUW8ZcrumvwXcjlnwUCCh9pEC8j4quvvtpdRDMvvviilusCQbPaBkCb6XlEzhjpE0HF&#10;/gFVoNn56C2hkjDkdOym6vtx8ympRlCwRib1UP+BfrgqWNHC448/rtlHH33U0Yw5DRTQptFpRE90&#10;KcL5fUOmvehEQcG3C4QbzuXF0wCszV/m9Q8aNKhr1649evQ45JBDLrvsMsTx8ccfc+GVTGHHZhPr&#10;A0J3VEab7777LpE4+eSTx4wZo80+ffpMmjTpggsuQFX5VdR0oA3STisU0yxJc7XqdeMlihawA+ca&#10;RZ577rmnn376eeedJ825RqaYjmscpsMmFbd0CHjHEcliH9UFWBEJHv1vf/vbpUuXSuPQFKtFQkKV&#10;DafUtCaReMgA3UsfcqzhlO+vY4Th2muvFU795je/MdX1qNNICFRJE04DaLPy5kfYQe3oSiA8AjnL&#10;li0TuzADgiRY0b6mdKPq2vcLmfmiEwUF3y5CvhI0ACshEV75PvvsE68fofP6OZvvv/9+2FlJia/V&#10;ibD/f/7nf6IYri7uHjVqVL9+/QjP+PHjCQ+eFQ0oo2RiDum07DQ3aoMUSMkaTj/99FPMuHLlyuuu&#10;u+78888XWJxzzjlXXHHFrbfe6i6Y8ek13+kUcukIwrBxxjEyhs0HnPBp3gdoMwzuCEgKJMwhpJFv&#10;DO3gPkftQ1oGnXHMJbzP5dexRBIiqhtuuIEAYPZnq3+sc5Q2fMunjKjLFEGeX/3+9783PyQhg6J8&#10;+VjtlVdeaequuuoqwuOS8uRWUyYhc/K9gpnRq6ITBQXfFkLHNhWX3/Hzzz/HCCeeeOLIkSO7dOmy&#10;yy67HH744dhHJPHJJ5/EkU/FEDTkFFzKVZlKQh5PafNPf/rTSSedNHz48G7dumnzgAMOyKebkLti&#10;VTNNpHpQtdoWzWtrX9VzUYUevvnmm0gT91188cWLFi2iFsTp8ssvx6F333336tWrn6v+wSKci1mg&#10;HUJXRuHQtBnQAl+bw45G77jjDjfKE3ytNStsVIT+tB9h0E/HZEIIkZtvvZC+4AkQPZFA6HkMZbyi&#10;AUED8bCIxB4kBBxySJ2JohzK0D9rpB3hhUY0ZQLPPvtss2elaIZMMYrbUSZ9S6SiS5nMdHhTIXNS&#10;dKKgYKPB/kHNzZM1tBuFQLK4ADsMGzZs0KBB/fv3P+yww/AFEnn33Xf5+MrXOtEGWgjSYI133nmH&#10;Gys6GTNmzE477UQkpkyZcu655z700EOJJCAVmw19I6QFEA+99dZbPGg8zhdGixdccAGyW7x4sTgD&#10;CaJCtzYiLI/18Gn96GZduPTkk08qLCLRIF8bgeLZ66+/HqvW/6odttroCP216oRM6Rx1zxCsl5gg&#10;MhABMEZ6ljfet99+u24rQBIMH5SU84c//EGIcO+99xIVR+XzDIpsiB4SWyipNVVMowjDMf+gbsZ0&#10;JjqBmqMTcqoubxoUnSgo2Miwf/I4CJw6kg05nHGEfsopp+yzzz6dO3fea6+98mjoscceyxf85VlQ&#10;q8a0IvrhKr/eUXnBhIoIa+HChXlxveuuu06cOBHVIrjPPvus0YOqD8rrVdXMN0RDItZIFKkgTmiU&#10;N43v+P50QmBx1llnSZC9eNP4FFcaMn9cSV1aFxQFOYpFNBK9yYep+ODCC6yELt0IN4Wwvg24C9Q6&#10;EVImYPpMCUiXNdKrq666iihK8P0bkUX1T3b152WJAal75JFHrCZ5E1RlgBpxadmyZddcc03+hZse&#10;iJmM2sI9/PDDJke0QVqMWjGFCWe6hI51yfFbHX5HUHSioOBbQU2sOBqb88GRwjnnnLPffvv16dOn&#10;X79+U6dOPf/88zELzk1hOpEqzSbWRrTHMV/eRzZsWjx72mmnER5hhGDigAMOwLba/OijjxTWWtSl&#10;nWY7iHQveuNIKsieniM1Hnd4EIcaEbUQMOkGVkWjBIP7zI9GhevCVexJWtT6j//4D2OR5qQbAnlA&#10;RtGJb9WbRnyAkaMTSPDFF1/E3XROWIPZL7roIvGZgOnCCy+UvvzyywmhSzqfd9EKkwRxAN8/HCot&#10;MsjrCsMxA4kYiIFTM5Z4S5ilisJsw2wo5qp0YojoRKi56ukmgw4UnSgo2PiwiwA78/rRHLdRJJH/&#10;aejbt++RRx6JOHidH3zwQT6BinxD5RJpoQ1q3k/5fLpp0aJFhKd79+6aHTp0qMCCctjPaU1hhK5u&#10;epJ2vhnSQ5Co09ongXqCytGi6AEPLlmyhBwCbhUf4FbUj2TXC3JCIU4//XQK8Ytf/CJfOKgdHBpK&#10;yuOXb1snHN3CHRG3OOaPf/zj0qVL856ZJDjqquEYS14kLF++XPQQrlc+LxXSYUcyk9lQ0iqLSBJa&#10;qfLEE09YdMGK8tg2t1bl2epHwvP8SpwRaYxOKJNimxA6oJNFJwoKNjLwMvDBbXUcgRDHjBkjkuD1&#10;H3jggdgQoX/88ccpHOYNlScCWBeuppg2qQsfFguPHj2aQnTp0oVIzJkzh9v+9ttva6G6ebO8uhJO&#10;087GhZbdTmwhYHrppZfIocHqxk033ZQP9pANgxVbRBjaQP6ZZ55JIX75y19KOMWtgglN1fSUBDQY&#10;69uBxqkRBufL51mT2Mj06iGd0KUwviN/H6Gj+0QP6uph2NNRtzE+oickN99883XXXReRIDwCL/oR&#10;bVBSIrUC+qTNO++88+qrr3YLp0g5OpHuVd3cZNABvS06UVCw8YGaEShCP/nkk0eOHNm7d+9evXqN&#10;Gzfu/PPPR0n2G4bNh6DC6aFyMpDqbVAT/eeff/7YY49xvceOHUshOnXqtOeee86fPx/BoRXRhpJx&#10;9lO+tfGNhbQJeutGbmogOvbRRx8JL8JxxsjjxqqUA2/+YX3gQVMRIgG8deGI8s8//zwa0ogjt1oC&#10;I2OoBmNtbCRS0VsxgZVatmyZ6EFP6HriId3D+Ibg6urVq/NJp0QDqZiOaUfoI7wQNFCUa6rf2sP7&#10;hCdVUL+SiQ8MR0VV6nABjFp5tyax9IbuKqOAYq42+rrpoANFJwoKNgJsG4yJoCVC02+++SbWO/vs&#10;s/fdd19s3q1bt/322++cc87BOO+//34+0opnHWtoJ4kGB6/95jmvr997772nn34al9GbXXfddZtt&#10;thk+fPh//Md/cFqRV6vqJJKANJj0xkLahKqbjTtCfUlXacaHH36I7NCKjuUjT6gQY3KrQYLaCaqu&#10;vfba008//ayzzkKvd999N3WJnx4GTyL0lNNvBo20NujoLuFrfTOl999/fy0S5OGKK67QsbyBSDRA&#10;BqIKelIjdJ9MSpPP9Wrkd7/7Xd5IY/zcBZRJByTUogGQSzJNCOHkQ7TqRLpaV9xU0IGiEwUFGwH4&#10;sWZM+Oyzz1atWnXqqacOHTq0Z8+eRGLQoEG8/hUrVtAPhN7q8rdBxb0NUBElFdOgNKDR6667bsaM&#10;GX369Nlxxx379es3b948lGTril1U0azCzYY2BarRNwIaavHFF1+YBx37+OOPDcTxP//zP+V8+umn&#10;MikHdiYPROLi6otAHlnzBd2hp42IEC6aA2lIGok/8cQTwoX6WRNd1xkKIT7TPSEReVMs7bQi7Inr&#10;05R2UPz1119/6623WhHakxgihS2QdIaWDqjoKB9k0gnd0AdKE51QXoGq9iZG0YmCgo2AkGPSKPKd&#10;d94RNJx77rkjR47ccsstEfro0aPnzp2LR2wwdK+wbfZVOhGuByXRa8rno6ho6JhjjhkwYECEZ86c&#10;ObfffvsHH3ygtVRJotnQpkM60w6MC43q/KWXXoqar7nmmvvuuy+M/G3oBGhW4zXjO0XNDz/8sFBs&#10;yZIlHHmRRP5DAlPrDKIXaiiPrPMQrA20AKFOICoiCQukTXUtljJVzNCAYimZug2hqKRCZqtOXHbZ&#10;ZfSy6ERBweaDUJ4EKg+5c6I/+uijxx57bOHChSNGjODv9+rVa++99541a9Y999yDGTnUNlj7Xn8C&#10;CMWgcYOqWe4qJ3f69Ol77LGHAGWfffZxC36rHat8/Hflm01sOqTD64VOKqCTErRN9CCYOOecc3jx&#10;y5Yte7L6keoG437Lj1m0j8RpEmbPB7QuuOCCiy666NprrxVDYPmnnnoKU7d246v4Wj7SbFD+X/6C&#10;5QUidOKZZ55JdTIgv1n0K1DfJe8ndKPEEwUFmxUaRF5Rc3gf8pPUGGfUqFGdOnXq3bs3tZg9ezb6&#10;sM0+++wz5WtOVz7ttAHehzqS+LT6YiUiMXPmzD333LNHjx5Dhgz5+c9/zvF8++23CY/WQBWF22n2&#10;u4G7twMF0sP33nvv7rvvphCnn3764sWLV6xYYYxoKEwUetqIQLiVW9/Aa9UvnpLt3/3ud0QCxAF5&#10;0LRq1Sp83azT8lmm5vn6ENIEwzGQVp2w4uslepcCaf158803FXv22Wd///vfC2uKThQUbFbA+Ki8&#10;Tnz++ed2O5GYOnVq3759u3TpgtBPOOGE22+/3bYnEikMUYv6dF1g0hQgA4TnuuuuE0nsvvvuffr0&#10;ITyJJGzaL6qfnVAytTQbBcrp9weGo1cgYVA6/M4773CfFy1adNZZZ11zzTUPPvjgy2t+0DQEunER&#10;wkVwKPjxxx8nCaYUrYskrr766ttuu+2BBx6wdiSkwd8VFQbS6q6Xr1OyxkMPPZT/v5PIcye1yECq&#10;B3XFjBTcQkkaKY6hWxdWvxhYdKKgYPNBuE+C7//hhx/++c9/RnnTpk0bMGAAQh82bNj8+fNt+9df&#10;fz1snvJxq6MEVTNtobAjPtVmROLoo48ePHgw4Umby5YtwyNuWotErSuQLm0q6EmNZlaVqWOZgXRb&#10;JHTrrbfSiXzCZ/Xq1egyvBxu2rhAuBoXKzzyyCPLly//7W9/e/HFFyPlX//617z4/MeGW4fWlUxP&#10;pOWojh/TTivCngo4wlNPPWVd6IQG//SnP4kqjCiXQFNBXRHIg1oUQnBDq3SGbpX3EwUFP2Agu5rl&#10;A6e4Tw6/3t5OJNG/f//8d/TcuXO5zHnclP+LbtNCTpOGurXEBJ9++ileW7p06YwZM3bZZRdt7rrr&#10;rjNnzrzjjjsIjzgjkpDWHNVN9bS2qZBBObb2RFrf5IOEwEv0gBDPOOOMSy+9VLyVD55in43IjOgM&#10;r9UJCyRoIE7o+KKLLsLI3P/77rvPrRE6+oNUrNMVsTe/QTaXWiGfSEAK8xL++Mc/GpQAxdG9nnvu&#10;uXyaFvLqJa25neHDY489dvfdd5NJVehW/mPDbNAPZpPy2nfMHTcV9KToREFBhxDug+b5Gvr75JNP&#10;bOyIxMCBA/v27ZtPIokk7KhwN+pv1mlBqjdPWhjWMSKRj8CKTrbaaqs99tjjsMMOE6+gngiJks2a&#10;3zncOmhzWiP5UYXMQA2nRsfdvvHGG+nE5ZdfTvmeeOKJfLIoxLQhCKdryuQjNWkKwW0nCe54xRVX&#10;UIiIBI6uHxApqQPq/lN9QJ2OqmBz1UkOqbBq1F1s8Yfqy/7EFjTDUdywatUq6ZUrVzb+ybD6N0Mi&#10;IbhZUn3gSq8IhhaYkwa1rFcNIarSmxBFJwoKOoRwXNJ2SA1+PbfRPp80adLOO+9MJEaMGDFv3jyR&#10;xJtvvonQ1VKM75+6rWhtsxWYlHNKeKZNm7bTTjttscUWO+yww9FHH+0uGMQd11vrO4O7G1HF/02R&#10;q8bxDyQTmucVkqOKOTEEA0Smp59+ungCXT7++ON4FvvE767Y6RsiLIbUwv5kQOPLly8nDIsXL+aw&#10;o2Nzi7hfWPNjD4hYLenU7TjcItTpdkDCn3322XvvvVdMQC1I4GWXXXbVVVdRArj++usdRTOGrCeQ&#10;9+f8CUcCxgm466679PaVV17RpZqR/ynp+jagJ0UnCgq+Ho0H/2u+sfVv1W+Cwmeffcbrt/+POeaY&#10;3XbbrXv37qNHj54/fz7is6lwovIKY0a1mg2tD5qqC4tO8MItt9wiIhGXbL311t26dZswYQJ+4YNj&#10;WCWVVytV0sJ3CTcNqjlowmnz8vrg6pdffimhz5k9Y8z7CXTJ9V69evXG1Qk8i9REEhEJa4SIL7ro&#10;oosvvhhZx2fPjZTUGbXyjKhqo6OIToBEPrakBSYhbhAuCF/cV8TAHiwoPZCWSRVopETjK3Orn6+Q&#10;Fkk4ijl0LFOhWQnH3GsTouhEQUGHUJFhg53RHNKX/uKLLzikV1555bHHHjtw4EAiMWTIkJNOOsm2&#10;t5Hi9dcikbptEKqVaDRdJbRpB65cufLkk08eOnRofjr78MMPRzdPP/30+++/j2chhaNbjYY2Edw9&#10;/amRgcjXN6fpnqNJ+LT6ZT1qIfHxxx9jcPLwq1/96vzzzzc6/Iimw7MbqBOqg9bI6kPV71uIJLj2&#10;gXuJJEQzCkBdBQOCDvxTD3ni9aeuhBxHQ3j55ZepxVPVD2UDFTRAnQESIsclCyoS1RniIfjQMXom&#10;P9qgnTS14cK54dABXSo6UVDwNUB2YT0MiP0TSfBMp02btvvuu2+//fbiieOPP56PjH3yuElJtGg7&#10;pYV1kTJJKCbNJ33ggQd++ctfHnDAAcKI/Mz1kiVL8E6++qJBw+u8Jf4ukVtDerJuTlBrhgTJfO+9&#10;91DMK6+8ghwNkBONu8877zxySCrQN2nkR2OfmnA3BIiMSNx7772WA/9qnxqJJNDxihUrnn322QhS&#10;Hjq5XQ35aaGDUB5U1O0aTnNJgjFQRP6Emxq7XklbTVORtyZ5IKaT9Cwf+lJR3yAtSKTBTYgMsOhE&#10;QcHXAN+F++IR2+pXX301kdhrr7222267nj17SucjsJ9//rliqoQlaw5NO62o8xVDpu+88w7v8uyz&#10;zxaX7FThkEMOEa8QpA8//JCKRH5S3mnS3zF0mEyaBB02UgGQBNX85JNPPvroow8++EDQI+EITt96&#10;6y0CwJsWZl111VVGN3/+/ClTpkyYMGHq1Klz585duHDhOeecI7bI/2NvFFrEto888ojluKZC3hJT&#10;i7vuuuuJJ56wdihYMazn6HaBUx2og4wOIo+tmk1UPa9z6gYD2uDW+gbUwnhpA1eDTtxe/TSTKEdF&#10;1RVWkdMQaobca1MhY9ncdKKxL1vQzG1B80KFZtbaaOfSxkJuAc3zgu83Qs2ORMIm/93vfjdjxow9&#10;99yze/fuvXr1Qnxk47nnnqtd/ma1ClY5gpFL1bI3kKsuiRVsPCLBuZ44cSLh6dev32GHHXbppZfy&#10;Q7EwhWjVBuk85U87HUfu2JpeF61XJVr77L4GqLfYH5eZBx4xL/jBBx/84x//yFVHfHfeeScf+bbb&#10;blu6dGke+JCBX/ziF4Ktww8/fP/99x80aNDOO+8sCBs9evRxxx03Z86cRYsWKVl/v1OrVIShHBEo&#10;JAck6pwGj65hUpdUx8iPPvoo7cHCeSVAKvjsq1at4sW7hZLqpp0aGnEpVzuOuhtBfZpeQe7imEty&#10;zBtVEELRMAM3V3TU2OlHCuuDUeBlmpFGGk1/h9CNNkjP9UrfcsoYfuw6kY0hkTL1VqlzoCrY9l7t&#10;II3UyLaH5vk3Rd1yGkQfIL0JkXGBdHqYiUo/vxs0ZnztmakzvzG0g6/tEOyD9fBd586du3bteuCB&#10;B9rt3ENef+64XqQFSBokOOPWi+f42GOPnXvuuXvvvXffvn1FJyhVJPH444/zyrOmysfkWpF2OgL3&#10;ar01qO40cCl3AXOVAsk3ZCAPogfxgeGjOcKA3a677rrLLrtMt0855ZRZs2YdddRR9FLPJ02aNHbs&#10;2BEjRvTv33+XXXbp06dP7969u1QggVtsscVWW21ljAMHDiSK5PaXv/zl4sWLSe9DDz2EK/GRu2DJ&#10;mpsQk1OoKSwFkqMAVPzWYOfKd29omE6SLqJ166236qoO5+m/YqqncFVpI0Oz6WTzvIJIIpmCBqpw&#10;xx130K1f//rXxMyo9Tb8q2SOmxZVTxuQzlQzUbPq1FQnYGIbm9Vzp9rom+cdgPJ1InVNSjKTA60F&#10;vhkaG3SDyatGWoPQwfcE6dsGTtQGQjcyJ83zbwoEyrXnPs+bN08kQSQEE+PHj7/oootefPFFcUZu&#10;9MUXXzQrfB0UphPUBXGcd955Y8aM2X777bUpkrjiiis4mJ988gniVsxR+ZjcN0PuGDQWZu05SU5g&#10;mCRBxIDaiN8DDzxw1113obMbqt+yvvDCC0877TQzMH369MmTJx966KFkcujQoeIDCkcSRFc77rij&#10;gdCDf/u3f/t/Kkg4hZ/85CdO//3f/32HHXZQni7SlZNPPvmss8665JJLfv/73z/zzDPIKBoQnQib&#10;4yaQCFwKW+GyeN8SSkoHSE1UYbHEN3T92muvFesI+FI3FdPyRkeDX1vgXrqqP0IZ8ylqzAec9IqG&#10;ETO90mEVFTPqNPL9QfrvaJJZRZbGcNjPZqIT2QNBNgAYXnYIyG8W/WqketDMquC0bqSDaK0FydwQ&#10;aMRYJNKlIJc2LepuZKSZ8+R8N8hU1Gjmbhi41e+88w63FKFvu+22Iolx48YhICKRR0NuZJjSuem6&#10;0IjZcMwpOv7oo48effRRzDt48GBedo8ePQ455BDOL89XO5m96uYNpFYrUqAjSHXHnOpnFKhupL6q&#10;V9jhkUce4eCTwJ///OcCBUMWGUQDCCSWFxlss802W2+99ZZbbvmzn/3spxUkgBhQAtrgSBvMlfKG&#10;ZsaiH8nXgpBiwoQJc+fOPfXUUxctWkSH8p6ZRGGlsDmEraAiriZyVTEk26oTjhSC2+64atUqjEx0&#10;BXxa5rarhfUgdZttfQtIb3MXrOr4xBNP5IWEYVri22+/3SonzkhhPQenVQObHul8RFfHJORImNin&#10;n34al/7gnzsx93X3Vb1VWlHtkbZozU+xtAA5lY8XOIO8SE5fR/Dxxx8L2999912aHH2GmOwGgrxH&#10;5y2ttcwm2bRg/brx6quvxrZ0bGMNtoOonJ5GsGzCTbvJby7DBoBIcP0uv/zy/v3748f8kByWZwNf&#10;fvllvpmjtpA2YDBRSscYlSr6ec8995x++un77rsvJk0kccEFF5jAPG5KlbTZsMV1IP+fQhoMVCcJ&#10;b7/9tmVK3MD1Xrp06ZVXXnnuueeKGI488kiiNXr06AEDBugbGRAK/Mu//Mu//uu/Ynkigei7devW&#10;u3fvXXfdVTyxxx577Lbbbv369VM+EHUNGTJk2LBh++yzj6OwgxzKhEGDBrm03377iSdmzZq1YMEC&#10;k+m+7i58EWBRX5ZjEbNTKgr9h/sfwqrTjibTEa8xvMcff/yPf/xjvhLj4osvNqWoGUdTIIXTYGsL&#10;GxdpNj03t2xGf0wvD+Oaa65hP7q0ZMmSW265RX/yTiKdsVnq/bKp4O5UId3IRMnUN7CpCRuDzz8S&#10;MuDNQSfWhU0CZNAOhMZj1+rbmNcLs0AGgtZi0i7x9T788EMcZBKZZkcg6mQWNqSJfuihh8Sb0PhA&#10;9YZBa5wm3t/999+/cuVKtmhv8AQ3LfRh2bJleEeXBNr6aeenw98N3A7MDCfOtGPe+HQbAhse+yAd&#10;NMc7njRp0iWXXPL888+zEIZRBatrmVYr2Awwv+b5X/+KR/Tz7LPPRsREgvCMGDECg1hHl/IpWA3G&#10;YqmUKmm8FdU9Owrl2S3oMG0jReaE5Vgp98XUVAqbI32q0KlTJ/FNQCFEAIkSKESXLl3EFiYB71M4&#10;QdURRxyRN9LURXBw4oknSjsGcubPn6/9QLouNn369BkzZpxwwgkyTznlFCFFvj7297//vcnJa+0G&#10;iVaOLdhuYa7k1AkDIQ/KW24TeMcdd4jzrI7pzY+qLl68+Oabb84HT1Wp6c9xoyOsquesjkLcd999&#10;y5cvv/rqqymEXtkaghs64cg+W19fQzq2CaEnZlLnDUE6A8ncPvbYY7TWNIrPzj//fIb0w9YJksC5&#10;4ysZif1Wf1yP083B5HfU4wf0vS7Ep8iFzYWFHc1RYOFBDpZnAXwfRtARUGAbEocKPJkIixF7bjiu&#10;v/76GypIc5rsB0t40aYG3rFL2ZPtoWN1D78bmOEaJvzWW2+lWEy8uRLfCCtWrNAOCjv11FM5zph9&#10;zJgxv/zlLymHXcTVssfwgngcZzltA5fAJcdnnnmGIdlvv/rVr8aPH7/jjjtyzHfaaacpU6aYpXwz&#10;nW3JoQZ1GaQqKsY4W1Hzy9dCSeUZMy8bC5sZpnLGGWcg7qOOOmrs2LEUAvtvu+22//Zv/yZiqFG9&#10;X/h//s//+T//+3//7//1v/6XBEkjJDvvvLPQIZ9c2muvvUQMBx544KGHHio+IBtikWnTptEAsUL0&#10;w7yBoAEkTjrpJJkBkYCFCxfKP+2000QVKNXCcTKoRWbD1NmtRlFTvFOTY6uac/uRO2KV84/NWJgR&#10;/uIXv/j5z3+uQfJDMOw4Tr0pVVEL3yojo369QhEsx0Jnk+afJIzIErAlaUyiP3SuEQKv+UInSCOb&#10;BO6uP5lb005Z6a6ol80IgOxo+9p8nnzyyVyN71Qnave/eb4Oqii5ibhXcY44XPn4tmMgTRs4Xzx9&#10;kmDMFsz2qHbcizYne+JAWT+DtyFtcguGvvNf9TVYG7pBu/U3sZidJORcdtlljnKwIXO8sMNIYTwe&#10;8Ew3EBrJ99UETs855xxbwk7btKjG1+hbEkGzl1+HZumvQLPQBRdkSt0iaF6uCshPGafSEa1kNupU&#10;aKjZV6xd6kq0lrH0WsPsxxxzTJ8+fZApZhdSKBD7ISTcWGl2hQKk0RbYYFwEORJOBXwoQ61jjz2W&#10;P965c2e0u9tuuxEMlH3llVf++te/RpGM0FFJphibbIXbuRHTZcaNsHRtYKJ1YaurxW5xMS/+oIMO&#10;Gjx4MMETPfTu3Vt4hPqjWKIHo6tfNgTCCEhI4dKWW265zTbbEBVhx/YVCGfXrl011bdv34Qa4iTK&#10;MWHCBPpHMwiGuEEYQSGEDogGidMGp47G7igfrRMSQYA5NxuGzxUzKEqJtohlhNN2zvMcQ7v33nuj&#10;fFZZ6JCghATmFpaMnDsau0VRha4jRDrRysjStAdFOjaz1oEyNZpZFSI5MsOwJI2XaWkskF5hEgqh&#10;n0bB9TQEEoKL6J+08qqLIGv/tU3jQeOW66B5rUIzq0Izq4LGazhtllh74DUSmZlh0/vUU0/pMNOl&#10;r+Qhm8K6mFgLZNWQ7berE03Kb0HjeVDLd4rRjOTUkEMb8t7vvffee/vtt82sUUX0wMIYmNl/+OGH&#10;eQ1GSAOIOQOyM8GAly5dauNl5Xj0fENYL+NjBGSHcBmcY36aUSJwGipUJbLREXCRwgJxeNOHBBYb&#10;Ak05ZiwSBhiW2eTQDROue8Zo1FD19+uhfIbTBlpIIpNmAoGW8x8hV3MpCUeZCrBy82+lslgWQg6X&#10;E6SrxVkPlLFeqQtKkgqbhI/Mg+ZW481BgwYhOHcx2MSLhhxhkE7ipptuQtB0ghGaFgUYG7Hp378/&#10;et1qq61w66hRo3A3/5dRudq0wrXRap/ScVky3jYwLaa9DcyDljHmzJkzef2CIQHEkPXBoBD9wIED&#10;BwwYoJO0xHiBmBEVAUQ+51p/tKlLly7UjmDQGCAeTgkPwRCgqEiQRowYkbcU++23H0U87LDDpk6d&#10;Sjx0hn7Mnj1bVIF6EJAemgdqgZLsNYPVc2qRLUxozaSjtBwT65IhWx1Tp4q6GnFsA82eeeaZVhMn&#10;oIvwIwIJV0JOsTY0s9aBMng8aNBqVcUxLCyTAtEwkiASstYWgkLoJyVzU5c0rrxjIiGJNKXxNBK1&#10;6CCqjjShJ+m/dJqC9BkktFznSOBPnrSE8mrpuf6QMfypt/pPU82tPWJimX09jbTckQZ/pzpRBRIN&#10;SOeSQAFaIwbyAB9++KGJiBqLhuIisRgb0la0E5CF/Wz/sK2a9w0ySujU0WkQJxQoAd6PEmB/CdYZ&#10;l0QV9lex0NWMFWsE4SY0xEBZAzvoCMw7l1Of4wPGv9hw1O1I5HG8+bHkmxC2BF9PN3SmVu6Idwdh&#10;LG0g809/+pOpg9bWkgN1Tgo7lcm1N+EcUuSCWYLa04dm1tpQQPlAGpJv2zCh4447DnX+67/+K7ca&#10;mQoL2AzCSoOW+O67787TSAlbThqy9ygHy8GJeBPD4lbMi7Jpj03I8Bgh42R76yIOShukfEcQv4dh&#10;o1FeNlKG+fPnc/DbIC8VcDcS1zECdlQFzC4yEEIdfPDB48aNE5Hsv//+BiJ0MA8G0qtXLyFFIqS8&#10;2JAgG+TQSMUfEkYtDiM/alFHgnHEEUe4BbWIVCQIEPQgI0EAwUBSOh9kvNmqgPppg0GBkspDGK0N&#10;0pRpxN2PPPIIrzncWjNp4LQdKNCg5DX/bhY4lS+HDAh6xCuMAR3hB96DdRc3cM/z3EzhtKO8HMdU&#10;T/sNal/zxr4N1tu3uj8gHcjXSF3ALYK6WBLJ1CWKZbdi1Hxglx/DRPEeUzddJrZ1Vr9TnahBFcQK&#10;JKHWCQmS8MEHH4gYDIkqmGVEY8+bcftWKGe7WgZOHFVA5REAe8Y2aN1OjIla8LmMmR8BqkCczQDR&#10;a8rUoHstgzWmOrxyOQgiW90Od2sUIOGYBAISsmClRzsGjBkStyrIlOmEVSW+MVQPKYOE6eIXsL+G&#10;vWw6xByZ4KvV77HoZHrY7HQHYCBt0LywDqopbKKZ9eKLdiyoJTOBppmvVwHsiiCZ6yJX6a7CeR0l&#10;Textj3333bdbt27YcPjw4TgOb55wwgnYhzAwVHdEFlaZ3Tq6OySHqbAue4xP3b17d/746NGjjz/+&#10;eGTHDl1icmwbWOC6cDXPmhxTkq+q4rpoGvfaSJAhEY+Hn5jjuqh8oUYgZe/YXPaR3RTKwBRmIOpC&#10;SGotOfroo0nIxIkTxQr0w7j23nvvxCKiEMJgvAk16qdVBCMvOQiMwIVs0EvVxTqaEm/NmTOnFgxi&#10;4OjuRE5ODZwVSLsEFZutH65qBCeQfKvDOEOpMVpw2nhLsL7vAawLJAGhWl65TE1ZYt4JlrCO2MPS&#10;WCMUYd2zH1O30VaFOidIJrT2pxUVt7eF/Ga1NT0HaR2rr2ow+REPl2wNNsmqmTR3CsUhOr1lHlbf&#10;/DBImmpWrbWjqftOdYIe/HXNd2dCFCLPlHLq6ieffPLWW28ZiV3KGbQz0foll1zCWCMDLAaMRJqj&#10;UXkSDUgrwKwZt9HSAxuDnttXzKJyCu9oeKGV12k/8ylME4S7kQtGS9gobeHRXENwK8mVj3RkgjRI&#10;xEFQIGvWEVQr3lxaiWTm9JtBI+lhK+RU99mUaPavQjNr7cx2oKS5XReNxVgHmcNWyMwk1KdZOC1k&#10;ftJakEttYK0ZQxKOuhSfiy3xqXv27MlTxoCcbtuJcz158mS+CKeB5SjMPN55550wiM0p4ei+LA1H&#10;86DJDLrkiXOfGSdrzI0cY4fNzq0NlhkTdVTMVqd/seE20OC6iP7RKn4PSXPfhlt0661cyHVhs6RA&#10;NAn4UvYU/TBS/pldJnCHpO1Q6QTxnDY7EXGbHyo4bdo0Qx47dqyYg2b0rv4x2/Dz2uPf12DLLbfc&#10;YYcdaKcyeR8uyKBDNAklYahKFxpoyMIayK+93ehE0KC0taGwutZLFGIUIjwLGg6NybVCThvIZEi5&#10;lFqOgRWxsiSBlpsi84O1nCJirltWU10l1Y1NQtppNN0xNKt9NaqON9Gak3SgJyyHRuJAzq711Vvx&#10;WSuRJiyLKgfSmeGkzeS3qxM1hA5AG/72t799+umnNpV55IiZbjzOiE20Sef7sELDIAlBYoULL7zQ&#10;8PLYhxhwrPJEnn3T83j6QGbi7JMca+ZojsBuhHrX2cBm0ErYz/lAVJ2IDQUWtSHK6+Q4dhAKp3Fp&#10;1bNyFjJXvzHSh3QpZmEyc7qpUFtnRmfI9cA7gmYr66Ax+2smvJn1//1/Wam0DymTlcW8lS40hSEs&#10;3Ig7qiAsqOKctrCR8tYUEaNjtZAvxrRPxBC8YFzG52WEbM+2OfLII/nUjBP7uLXuCYjh3XffZdug&#10;D8wPieC+fv36iUUGDRpEJLSpfV01kAzNEJTPKNogwwRllMwMu926YNtfBWOJwNgRCa2+CjpcI77n&#10;n/70p3z0I0ia6rSBrWcLGxqf+urqUXCUw/6Nl0o/hAtCMfohGqMKQ4YMEVjkQdz2229PSMiJcGTY&#10;sGGCjCixwEXFvOuOEqwrCfgLmidrQy3HuJg6g1tQjQmxNPaLmbQEjtLr3T4sWcnYs7VwTE7CRLSD&#10;gowXCOr999/PfrSmZPaCYxqRDpKjHaju0PZqG9SF2yCdgRRTV/9ZOzOIASNAXoK1IwzWBUmiVqFD&#10;Hi5RTRqQ55CoP1MK5spigfmkr5FqcPqt60SCBjHEF198kf9aMnjb0rRyXhL18Epa41ywtE75KbwA&#10;YiCs4+ww0LhIjJjdmxEsEGoIKbAAMyUnp0FsYl3Ua5PFMPWZ7uRD0lkJae2kqVztOFR3VLFGMjcQ&#10;DSurIJ32m+ebCK1j3CgDBO2Yc4toicHKVpTYhOVulYHKq258mjmJyp9+WHydrWJXQ14nrBfcFMU4&#10;HBIs0/GKK66YM2eOCIBIIPrDDz8c3dhyaPGGG26wc/bff//x48fbYEyUzOjw22+/TSfAhOgJh4aP&#10;vMsuu3Tt2nWfffax91S3jdN/I6otSt1MXRtEBTMVTh2hssT1IFVakS0AriaRmUx6Xaz3qpx0GCwB&#10;NHyuCg0VquBS7qiwFbHBbc/oU56/ESEcbXpNtU3N7cNTdNf09u3bV1Qh2thuu+0IBkEVe5GQAQMG&#10;7LvvvmaYJJ9wwgkLFixQBbBVI8Q49dSaxSDpNrA0LsVTBjzDm0bxeqXPeluzrVmNGbcii+KYAqbC&#10;kNXFvyyEPBAe/IuXaKpLxq5kyCTVQSJ3garVtU4VqJZ0/WtazWhbKOzoqtsZhftmnvWBweuMGWaQ&#10;ukcVUCifm0Yy3eqhTAMR78wJmKXIMGTezK2cf04nEgc0TyokB5rn68uBhA48LLNmVHay0IE88L9s&#10;QsNI+JNwAQSwInQRg91l9gmDTc5/yVMjO98Gi/FlSbRplk131LVegGot/gFXa6QAyK9XqHUtUyyb&#10;M8WS02hoDepiHYHy2q/htHlhw5Cm2rSWnI2OzEMbNCZrbcjMGCHpqmDzS3tqNPu6NuRrobEzKjqL&#10;HmQPoBgUHEeYDTzyyCM2Q5xcPizeYU74HTgTgU3C0cvzYjsZGBW/3raBPKnPpxJyGkgrI1p1Ne7w&#10;vHnzuL077bQTn1coMHv2bBbLZWa9Gmeu06ZNmzhxYv61mI/GbhmtjoFidiaC4yD36NED5SmjFpIy&#10;IpMT2zM/mTrpOq5tRT2xIQiJ5Diui+ZstkDJVmhBO/XStANlUkyXtKPx5LeivqN+Olq4VGmQWeW1&#10;GFFywK3tWSRANsyPrW0aTbjtP3/+/GOPPVaQMW7cOLKx++67CyxoM/Ts2ZPKijwshPBCZHbccccR&#10;DESG1CqWayKMViOsl0sSaE6mNbLQ7suEKJlO6ra+pZN1VwOnmfBAYczDQ9X5uOdW09FALCi7NQmK&#10;SThq1uSkuqYac1Qh01gnXFWmsvrGi+WG3q4N9g/ui/d0OKJrO+iGvcCWdMYu4AkxPCbH7BM0MOA4&#10;34yQ251JgMyM2YCcAukVWFTX13oPVBdQXXlHJb9SJxqvEVr+yyF6IERwlC8ROBU0EIa/rvk3VNGD&#10;uTNIQ+LKCc1sVz6aAfAmwDDoBMWT6ZJwnhJy1nBBJCHT1HBj1jxSYIvmNFZYsHHBdoOcMuJYeZ3z&#10;VUit2uIbJLHOy5L6avxTxySg8lAbsMqW27rbeNkJ9nN2AjHgwWUn5LMZwtC8cWVCDAkwe+wqkIMX&#10;IJcChZMjoUxOk6Mpzop95WhXHH300ZxZIiEU2GOPPQ4++GAumE3o7hEecqIkgkNtAwcOHD58uNCB&#10;luSdmcSoUaPyXN7VI444wi0Mwd42NGPEmLFtA8+EmMnmZK0PmefQTX1a50g0VuIHgpAgZsB6oi5L&#10;jOlwrik1yab0gAMOoK90Qmwh1DCHvXr1sgqmdMKECUcdddTxxx9ff1CqprzQXM1uOZVAcDmVsDqX&#10;XHIJqWBdJj8GGT7JrEImMywvHdNVmLPCHWED+oms+ChyjEILCsTsFQaJtAy1bRuyI9SnDIAZEADQ&#10;FMNogwTH0QOCZBdgSFYkKjJdkYT6cwesrvGY/qyz2LBhihvqFwwbiMhMHlV19LlTJRNN5B01bah1&#10;QivvvfeeWTYLoocEaITXrrYnjcHWsj/JnRHab3YdcWYlSmYL4QjTZ35Nt3XKpAfJgWo1fxTIeNdF&#10;gyE2AM3W1wa6iWP4VQVSF5rna1OV08YWaVkvyD5hDPYDb8jisgpIiJA9YOk5B7aBTdi6DRITcNLZ&#10;CcczwpC3pnYCW0okGpYHdsUFUYbboXBgS7M0tK6R+kNBeaCscTtN+yDh1B0VdgtbIj8tt9122/Fn&#10;p0yZ4o7K4BfxSkqyWwk7h7er2NZbb92nT5/Bgwfvv//+++23357Vb1TIR3AjR47Ea+zfjYwrL9U4&#10;gMze/jcJZiOuolkyY9Y3k4lr4s7LydxmzpMOUlim4w8F6XPMRtowGQl7yGeHzDNFFzTQAxGGyTSr&#10;FJdgiMzohwkfPXo0VaYoc+bMydsLdEYV8lQKr9Eb1CYNITtlQBlLyTCsAsMz7URaHypDbjyAit2a&#10;WD2UI2FFEgMxS2YDzIC5InEiobBiBqJk5CQxEyNPBMzXeeCBB/5Y/VAHCzfARMB5CsoMGAPE4Nsg&#10;Vspcma4twJj1XFCbjcCibAF6YLAsFgwcDNbYITK54dCm1rT/T+hEK8QTtAFED59//nneTmN582Iq&#10;bcjE79nGhgSGZ9Oa8WiDqbRUeMRigFl2zCIFMaka1Wo20Dzf3GH4ZmNdNC9/O2gz54GbZgtBOpC+&#10;1X5TnOIk4jFlzyRMFiPef//9dgsvzCaxMdiAnRCfiPUzldhJG1ACiPFU3lLDXZJ2iS3ZMzZPnhrZ&#10;VDabmEPjtp99CPYzEWJpOIgmBToDEsmUzoNdCX3TGaH6oEGDtqq+yfXAAw+kQLqtEa3Z2yAhynE7&#10;Lu3ee++dD/OQinxBnmOnTp3yYnbYsGGTJ0/GVvTMXnA0HA2C3a7bPFO91b4+4EozZgIzq6ZRokZm&#10;PqvTahjrXa/vMwwkfc5GNgQ5ODcwA0899RQOsXzmx1pPnz7dchDdLbfccvvtt992223NsJzx48cL&#10;+/LqwgzXSoDUsFtFlQ2ulKnA3Or7piIbuFVUYeYtunuZZx1oznIFpwFq4twoxrpYGr7GbFgr7qyS&#10;6byEU2Gi1uiHzsf1ySNQRJ9HKW5q3WuTjjED93+9UCDFclq9um2g1oZWVag0ooE6B6Q3HNrU1DfU&#10;CQGEMEI88eGHH5omJm4j2WY2j30buQMbgwMox2SZNWuPL0w0vY1CZFUqg/9HuOCY2XdsWNYapAA0&#10;zzd3NEe7DpqXNwCR21bULUvzj8QW0PioTeXSWh3LkeDAZhYpx2myK1CtjWFZ+Vy2R5RAWGBHYW2L&#10;bkPWPhEWtmFQpD2Tp0b2TDYM63d0ik9FBpRDSZYDthlnXCN2HQMDLcclx9du6oj0US0PjnVVUXsD&#10;VMqW1lvsYyfrvGP6z/xs7OiZzJTX1Xnz5k2YMCEfwjn44IN1iQPoUsZovLjAvfQH++yzzz44K34u&#10;Sdh3333zbwRDhw7lCx9zzDG2mWEaOLfJcKSNLtTgiAWcRu2MDhmJV+iQ4bid4ei/rpp2S9Nwv6to&#10;L2GflWrdNVAt7A8J+qz/2enJie05yrEoZtvkMwDTSC3Gjh07fPhwIVrXrl3NuQBujz32sASWacaM&#10;GVgMh5pYpBY9CLUJOyjKqFGjhCb56C3BUIwRhvetJmN2O9qsD5lbaTnMSQesi5Jsg72x9kZEXIGl&#10;qcv8lKldn5g6iwWLC3F3LDdy1yvSFfUC/QzkuNQGFdWvB7kaVTBGqBNQp1Nsw6FBN9VgezpBDMQN&#10;VKF5vubRkzAiAYRdx6xtg+x5yLanENRCvi2dMC2LwQLAMrCP2lCcSsRELJJ8mUFOUzKFk/ljhlna&#10;EGQm10XmuYYcU22x8JRVRqwoMs+LEhzYNsja+iJu2yOhMQFgCfZhjDWcSANaIQdcYiqALllLVIHB&#10;hC5tPIxpE5Ifu5H92JlMCG8mdtG9eiok5OhqzCMGplhkIMZWDbFpP3LAGKmg6soYFyfGjt1rr70o&#10;xL/8y7/069fPxtYHcQbWZsO6wYCJDSG0Z5T8WfUbDLvvvvuUKVPQQZTP0AzKWHCQ/psr1U2X9lGJ&#10;uaofGpiBzIZEXEWQj8LoEIm1sxCTaddDnc9gM5bKEP6xNRyT8/1Helt32IhsfOInJ6sjoYzlqxOG&#10;j5QxtRWh4oMHDyYV+abCzp07Dxw4MKpsURTAuRLh4lmzZlGRAdV3pPfs2ZOcCxBlIj7TbvKtGlq3&#10;oNpnWrEKd2Tt7NxiMWnLIfBlAHFwram01WT5lonrw+azmu6OVWt61Q19cK9wt8wGzX+Fm69MGzQv&#10;rH0pLUCdn5Yb4lMhlzYiclN3+RqdqEVC+svqB+XfffddE2rW2DHTRxCm27w7mrI4gDfccINLdogd&#10;yKezuyx5lCBmAfFV5dQW42idarTJ1EIsqVH6RwDjxdFtYM9gqw2B5UA968JKoWNubGQgmyGPUC0l&#10;7rZteExW1rZJfJDgIJ9NyEMVGyZ7JnTJJLhUmFGxKMHVa76XyR4jCdhQ427hdswpqoCa9YQXTxji&#10;+Ou2sbO6iIFjK+QwJOb01hpIM7BMY+zNEZhTnX67gkl2Fx2wx0aOHIlQtqh+ZoejapPgJhESM9Yl&#10;xCFolnPSSSeJG0I9HNW5c+caWoRNIGWiat9It4UyhuAWKEYLmlJMYcUMny6aE1yTD6iEvMybSTNj&#10;EU531KzJsTTmRDsazIYyHMjuyGC//7CIQRYuPXca886grI7MxlZf4ynyVNgG28Mw6Pjoo48WwOUp&#10;nyNRJx4HHXTQtGnTTqy+4XzmzJmHVz/NbU2HDBniqgXNoyrxROjbiiPB+CgcHasmMrBwjmzS6rDb&#10;WLLo1ipkF1gR1mtpBILMnrUroMGFCxe6tfseV+H4CnksltsFFZk30Dyv0MxaG/LD1F+FuqL2q7Ck&#10;8fCtIxX/KaxfJxIuBIQBGh94qj7a9MUXX7z//vtW0Z5huCbXFNe8gCMym3nYamNk1VkAm046a88+&#10;pINW+5aWE+OoL7ldrkIKQPN8bbgaNM8rNLM6sIvaFMsp5I5B62n62QYVazUf2ddIJuSUt9JBmLfG&#10;05DVq0lyK8z/hsACCQXagCRYU6xtK+JxewBz1esbVOFiI16E7J+4wPYtSITg7GRemO1k79XPiNyU&#10;9tAAtmEIBkWZeHCxDdOCUqWpYE7bIBNohs18qwYATnGaYilQL5NEs1CF5CcBTMsp1eRO6vyIESO6&#10;dOnSt29fpLPnnnuimKlTpxoXvuDUK0YkcDei2WOPPZTs06cPN1YB8+Zq3W2jAL3NjZKZjilD85xm&#10;cdE9bbYipsUsmXnzJigxyZneGnLMKm22QGZS+Serbx6tW64Hnps2RrsGjaFWaJ6vyWmebAq4uw7X&#10;yKIEWU0JQ2sVjKy+tDlkOSwWiVMFK1V/kRTZJgZHHHGENRJ2CCPyoeQxY8bQDAyORlu9bwyYeM6R&#10;AZhzUt14d1Q5PQxeTljSKsfmY+cpD3WUQCS4C4TBrQWXh1U46qijpk+f7r4u5dNZIXGoGHgtuFEb&#10;pCSkt4GSbuqqRJtLIKduqtHoxoCmNPsPnaAEtIEk/Near9n4/PPP8znXfLUGz4g3hFC4kzwgUxkL&#10;JhhMnItk8RSoLbg23I0LbWq5bpwxBckE+bkEscL6VDGWB6mSzJRniEqmDEinLrs0cLCxpQ3NVqeC&#10;hmmTB1w8xzjjZoDjUwM54hceuqOI1SbHSnizDXCNCWwD/gvdjf8eSMvBvxsCa7cuLCJtQEZ4ym6x&#10;Kyyuo91ioRMTuMoVwGV1QJD+EAP8xdXSYc4yd8xIjddU5EUxYchTI1OXyeQekgR0WU/7dwl3jA3o&#10;hgWy+ceOHUseevXqZW/bFSjADqETdn4sHMwGChg0aNAuu+wycOBAjIBQqIgoodlux+C+7I11xZzM&#10;Br3Max6diTNrVi03YbA07lLJ9Nnnn3++JZCTp1LMJjuO7SXC0Kz2K3Nu/CpcLai1MeeSRNKVpTe5&#10;+AcElsPPMHbzY7EmT548dOhQkrDVVlsJ8iiHNbJAO++8M9V3iWYcc8wxnH1MF+4jGIABLb3T8GB4&#10;Vg7Ld3Q1jFxTcHLSQhuQAXGDW4gkmBCRcFOuRl5ZSeQDWkIZTTXr/EDQVif+9re/0YYqhGgIhqPc&#10;fEOf/Wy333bbbVdXHxyM2DqyWtbMsvEj3mSsrT5ObLG5thsPmkUu0KoBzL26YRN1B9psj1SE+HQ2&#10;KptruH/V61mdz7GGDcx5IQAQLxgpYP8EpyQzyJtbRBkST2QK+DSUmjSGxcWZwI4AQyWBuAFNAMre&#10;QKTNNnAva+oYyHFHmkEYEJMRkQQDZAMGS+2iBNjNhCQ4oAGQCUxYkOl1NNVBPfOO0lmaLOt3BrTY&#10;sIzqCzA45hblkEMOwTK77rrrgQceSA9k4iDraOcfeeSR+fcux/Hjx/fv33+nnXZCPU5VxNGJm5lf&#10;s/WvQ0wRdIBxQmWPjWnRDjs0h6KTWBozY1dm3hJEvyHrJUE/mBOTY4oWghJHfSFTrVd0In1zx9zO&#10;fdt0IEj3vv/IQEyXuWJ1xo6U+Oz5epX8U/e2224r0a1bN2uaf9Mj8KRi1qxZXHu+P1qnE+gPogEI&#10;sRaDiEdOHYPWS+tCAQ1qefbs2TNmzOBhUK9hw4YRrd2rX4fVPcpBKhRr1vmBoK1O0Ib6uRPN+Pjj&#10;jxkZq6UQPBdMF4JDIqzWKQOVjyzYNIVgnRaP8bHL2jQhq7txkVtA87y6V70BkpMC9amrNo+NpKu1&#10;+5+Qn7OP+uPvI4g8PkaIsKx6SctnrIE+jJ1p5rEy4AvAL/HHzRIuzpZuA1NX+YXr/02hZqEWUIVL&#10;q+++dZc82Qf3yn2/MXhhjdhkbXBRHQ3QePmz6In+2YQk4Z4134seSUj8ZIuiSPNpuyI4WzcTDmY7&#10;CwGN2G3NKyinViHLVK1JA3WV7xI4VDc4AdbXvuV70okjjjhCxMAA6JzBGr7ZtvMPPvjgESNG2PDC&#10;iN12242HyG1kA8oYuz0CrSNqH41JWQOnGb4pqri6AX1jqHaTbuTBVHTLohCMRBhsTFdt3dOr3/Zh&#10;G9bOwtmPefVtgexc3dOUNnOLLETz3hXSpR8W4mdkUIZgEam1XYnBefGWskuXLltWIBXSVjbx3957&#10;753PpE2aNEksSFpOOOEES2mJsbwIUgsBZmQVaBE/1ghjQtizDZIfqchbCmrByaAN++2336hRow44&#10;4ADKweH4wesEbYD/qv57LjEEa8OVTJBTicjQXFwYJIJSxRAcHwbNsi1b1i878Ns2wcbeWmPxFfM0&#10;kW7EjbVJsk/iprEnW06f6QH64xQTg7xLRJH8ZUcuP7q3CRF0mBqn25C1fw2t/nhykq41IIWDVmFI&#10;XROI+rHMukABbaBLraytz464wHFDgHcI5LqIDCQufGHNPwwH5rBGVjmLbs6z1pYjNFRDZuvqKFwj&#10;V1OgLpOc7wDpjN6SOpzLzeR18visEXchMTFHnnmYK8I/ZswYdMNF7dWrl5ACjzAbtmSK2FVFvw2W&#10;b7b+dciQofVUgt1qJFMhJ50E82zO6bG9JqJlwMzg5ptvZqt5k5Fngwk05TBgDhxdSYgftUjjmpLI&#10;wgW5XZD+fP+RGYNYkRHF+bOvrSZ25rn36dNnxx133GGHHfL5ZomuXbsKL6yjmGPAgAEjR460lHmF&#10;kCAjcQYqzAthCYhsAJasNOIrH/on4AiiMUIW+drUvuhz2ppfhFUyVX4oaKsT//3f/00hPvroIwtg&#10;G+AjCoHXGg87zj9/8eLFyJRscFiwCV/SdmJz9eIlATG72hCbud8Oskvj00m4HVJjNHYUNmQ64Vbd&#10;zn912V35DEmeAtG/2v233/LyMK+2pKMQxp7n8mATpnpInH8HfBlwmhw34qU2gpHbbkPx0iAR3rGB&#10;cdAf14fG24y1of81fdNs2z6RkOOGIBrQBtjE1NGAUImZzG4MMtsN+q/0ILMtLdPVxnq3LHTKgEta&#10;S4OxhxRutFghFYNm5e8Ebv3mm2+aT0s/ceLE3r17Dxo0yPoKMWWacC6qoyXAvIMHD/7pT3+aT0Ax&#10;DBZFYLSgHd02FcZbb4SOI8M3J+qCdNrM1DUmuoJ0bqGA1bFSBEM/RXjcHXbFqlmy7clWQ2cSnDkm&#10;mncY7I1m6DM+JTnaScvulQ6ARNWpHwAyPxKmC+r5MTSbxQa0l3HxnDlzOO/iBuvLlxcRcgVIhSAj&#10;/9qdIGPo0KEijAMPPJBsTJkyRRWCgRDDjNAUikoqkKb8sGcbkJYECuY/teryLlGLefPmiTPgB68T&#10;//M///Phhx8iEZzFyDgpRmtj8LMYIrKzebgntUFnqZyychZsqbJgyfxW7Y9xNCy9haf0wRaiXraQ&#10;7Y2RbRKOlX2O6I0F+wdGZNiBWcgR4pSRDXxhvISEj8/sDFxr2CGw6+KP590sIO48jbGBRS26EbYN&#10;dMxRDtSzkclpRYMq1od6jI4ZMmhnA6HBdVF1bS0oqW+O0u5b7dDmFq2a+cf7HsXSCORSkOqBS611&#10;25Rs3O87ASvN7awXPp08ebJAYa+99lq0aFE0HiwoUyf/M2fOxC+cU4SCCMh82DbtBNKG2Wj6n0GG&#10;r2LgFOSbZ8dqShpITjLNMyuSVl6CrtutusrghTiJMDg3AUeHtUvkJSIbphaGrP8JEJml9t00jf9Q&#10;kOmqIccSZAhOGy5PFQdzFo135cqV1tQqmwpLOW7cOMFE586d82MY5B9+8pOfOO3Xr59A5OCDDz7y&#10;yCOjFnk1jRzD7AkmarpoA7aRYvg0UF5Oyqeu07rYDwhtdeLjjz/mTN1+++34MdwqmOA7Y1v8aNJN&#10;Pa8zpBALszaIg2v29ttvS1eG/Q+FSIF20NgZa9Ca05pug+Rr3z6xSdA0yiZgtI3DbocvrT6TnsdH&#10;+p94iIdF7TiP9ozgVExgU3H/FSYncfbVFQHYTgKm2rvn0T/00ENx4QkDEZI2S5EEHbDrHJNOgG/g&#10;df+Zb3hEupqb9ubEpXURXlYxU5qS3yqaN67g1BCyCWvUl1qhn0bqmMLVWBvI1SAVk59088J3C/2M&#10;flu7m266afbs2VxLIQWCwLMxA9aOeadPn447dtppp913312awVj3DLAh+9Xzt392XTLwoJlVwdQF&#10;ad9VzaafbtFauNWiXKVnpCLRj+jBiKgCIzeWxMfZyHaE/rN2G5zaKawKvwqlpv1W5EbQPF8bzWst&#10;aF6o0Mz61pDZbhhly7sW84aCzEydNjP4ym4NORiymbH9TQgBmDZtGkkQSey999677babOGOLLbZw&#10;5BMMGTJk5MiRBx100KRJkwhGvkJqXXJHndGApB3xaeRBmh4II+oCP2i01Ym//vWvzAul0l6RBNui&#10;EKYYEZtxJmthajveQKQRSx5Y3cayr1l4CTeSiAWnjIXXB2DZeBlx5/2ejZ0HSnlVoP82hh2STeKU&#10;PHAoiAdDsUloHiXII508z4n+xclqg7BAG+hSRlHwPQfiAObUPK8MD7+/9dZb7777LtLnFrCTwYMH&#10;44g999xTbMFaWJR42lYfMWLE9ttvT0ImTJiAZzkKzI8BNNv6PsHuAEMjG7wZ+4LO8YcWL15sRNkR&#10;CaZtE9tBoKwMqWD8HHCmrq7RaSQDbOzGdT5DGKxr/3JqNLPWtLAubO0OollhbdR3aRaqiiUTcmuo&#10;M3XYoAzQBrfN+XPE4+677+YjciXnz58/fvx48iCk2Lb6idatttrKogsxRR4HHHDAEUccQSpIC5YE&#10;7B89iBI0/odi0SJhR4QklyRcVXjz1Ikvv/yS3rInnoiQgpeNTO0lM2uWGUq1TBtBJLJ+Mb7AqXyN&#10;51S6Xv4cGTFtwOwo/s4777ST874hT2YTMYCEU5n2OTtQJh/nZxbGwkm01WkDN8p2sj3YDWR02QNt&#10;IL/R13VQjaPg+46Gva4NdiXf0eKKC8WRrF+4gB122GGHfv367b///lOmTDn00EM5lfklZ+KBUDjg&#10;4o+0WbX9vYOOsUycyLCfqj7MzeZXrlzJN+LwXX311XY3zbBHHG0TTmEiDJNgg9hcJsQYqUWMHLIN&#10;mzdo2blJyMmUOq6LVFkXzcsdQLPC2mgQRAtjuDtIt8mJfwCNOi0Rufmx5Y0UG9x7772YhAdAPk+s&#10;fnFPkDF06NC+fft27dq1c+fO3bt3ZwBijnw3lAI0g8Fgz+gEDuVSS9ePmALpNjk/XLTVic8///yy&#10;yy5jTKzKrjCVFCKzDJl0aJ5vAOo1g8reGqgvJTMugA4gdFrF6CkEmxY3XHrppXyiVsT02T15ow2c&#10;RDuEJMTuGw8sW77rH+I0uYtjepK7r4uqa+tB83LB9xv1YjVttwISQYXs6qGHHsIRVKF/9WtCQoqe&#10;PXuKHsjDLrvsQjMGDhx42GGH2RT8bsbDbDSletX29xEZL3vWVdBn9m/74MQ8eMkj2QQZra6VyCNO&#10;1f3338+REmSYH3Wza1rjjLSfG+WmpjQJSH6NZu7ayCp0BM0Ka8Pd04GcVqLQ1Ilkqlhn1oWDRoXq&#10;NYZxhRZ4n3k2Zewmh2Ace+yxo0eP7tOnz3bbbSe8AOEFwWAMB1Y/l5R/2VtY/RNG/XAJmYZVNz+0&#10;1YlPPvmEJeV9l+nDpyY0/9LZumZftX4dR7140q2tZS1dyjamDQSfNySCvv766+vQQRBtOc8999zY&#10;t0sKKJb//OIWcaYITPrfbHoNcosYfe7Vvk4U/KBhZbO4zCyWZtEdeZTYkNsxa9Ys/uOYMWPyZQ9T&#10;p06dNGnS+PHjJ06cOG3aNFyAVVFnbGm9FvU9QYy5UofmKxPjlZluY3w+E1384x//uHz58lurf8XI&#10;Uylulg1FMC6sPrHNDxOIizBE4TbUg9U/zahrPxKMTGYN7QeNWW5BM7cKR9ZFs3IHYAjNOi2o1zH3&#10;SrGqeBNOg7pMG6AXBmBEWI6I5h2niIpS8gkw4/Tp05kEYRBo9urVi05svfXWwgtxxoABA4YPH85C&#10;WEs+UIs9E1UAMpWGMOzmAcNZSyc+++wzW4JJMaw4EebUdJv6atEbyDJUy/HNkaa0k4WXZs3s232t&#10;X9496AnqFxcnWM4D1rOq75Vj0EIH4m+f85JYPzuOsOkzZJ9A7rIuMrS6JxK0MFXawKVmnRY0xlDw&#10;Q0C9iOEXhmHpWRoXElcuWrRo3333RQczZsxgUagThKSXV//YKC2E5XOEH2Oiae17iJhlNdwmnLLt&#10;5kkFY49mJEAnAyaBMMT94njlU1L2mh0XzchTqZUrV9qPAnQV0Ws8cVu1NUZvbLyWsAN0KRu8DbLp&#10;OoKvakHj0b8gNw2yTBlpoIe6atR5OBFtYAC8YapJDu+ovvOYu0k4L67+gfGU6otmOQqchvzqVP4h&#10;o1OnToIMCRHnsGHDDj74YO7FzJkzBRaqIFOUGqlAr04hVPuDRlud+Nvf/oZwrQ2YaDNuqSxJ1qwN&#10;Kkv4hsiKSriRhHtZSKEuQ7RyeZya7cpeY7jsOP+eJuJhuIoJFdm6JWeyWtAOrmdD2sxd0s9qNG2R&#10;u8fgQE7Ric0SsYGKWxprHUtj5FzmefPm8Qr32WefyZMns7Q8qEQfjpxozoeAAw+mrkVPUxr5fhpA&#10;3c90L72FXJXpKiN/c80P5JkKpJkd94fqK7LpImHgltlrEQzK4dTkXF39+qQCPG6xu/KJNogHTzwf&#10;BiGoNiMWxsjxMhFIcxetjXSsI2hWWBvytWxpQvqQBALRAYurP5hBx6yjHhogndNnvGGY+k/80Agb&#10;uLb653YxBKWsPxhp4CBh+Mjx5JNPzquLCRMmiCQSYexQ/Rqr8IKTMbr6cT2uxuzZswkGYlXLcbPV&#10;ib///e/mOnZmJSrD+weTJmGdav34xtBC7QKwJ0TvvtaVQrDULE/6J3HGGWdcdNFFVtRK2721MIBG&#10;IOZY2VUTbpEOZ3uAhPzcMf3PpXQmOetF3UIrGmMo+OEgDoTVxF9YDGuceuqpnET7fNy4cewNmyRo&#10;SPlYl/KsS4INhF5dqoxig4z/W4WugoROsmrpdLveKek/SCcTjBHPrqq+NZ1zzbNGnYjS1svnefJE&#10;BWxJpyiVfuSRr4hkefV9X+hYdTsURyPrfFSkmsi2yDbsCJoV1oYOixIEB5SJJAB1zyM18d+K6jdR&#10;bqt+oVb3KFzex1hlwzEExOJ4evWjWHJanxdlpMAxVeu3a752k7qQliuvvFKZ4447btSoUT169PjJ&#10;T37yr//6rz/96U87d+686667Tpw4cerUqaRCYJHWNlud+O///m8mFWOySHGxpRsG2DHELqE21obZ&#10;rjHWVuu00ujeGt9d/TpgPtgqYiDp1s860QZrbJGsOitkB3wWxmE/q17draDga/DWW2/F3lgy2+OO&#10;YBBO30EHHTRkyJApU6bgO34xRvuRG5X9aBI4YQmnEK6Igd9mbybOoBzkoX78i3Zt1fxTKpcchwLl&#10;EPFfV30rQT5tyG0HjWBtbAt05c4770xEgtPdCL/nPz+iN3IclVEyVdpAg2hB+2TAvQQ6bhpgDN0Q&#10;AFnW/PuUTuqqbuuzY97bu6rbShpXequrWjbexEkELzHlww8/TPbQlCNnwlX2o0GMKQzde++9+/Tp&#10;07UCn0OoMWLEiMMPP5xaKABikSiThCMFWldFnNKnBh9/X7GRdSKSAKqkBUDrYfa0o3EeQV5CmHrm&#10;Ypktp1XMP21QeAvJ4BhWPqvHfClKGlH9n+pSwY8clSU2wgJmyYSQ0XnnnTd+/Hg73JGxoSTW9fbb&#10;b4sYmnV+lDA/9ruE/WWH5uNAYgIbEGniR/sRpeJWJItwa9i5NXLaeGqz5vtv1oV8rjpEXex05A5J&#10;IG5HV92Fp6h85d+vBayapqJYboq46/s2+lGhtW/k4YLqf2y17BYEhtIkEsrTM7GU6IQbIdw0djMQ&#10;j5Z8OlZM1nw8njgGNen8vHnzDjjgAAqRf7xwFGcMHTp00qRJxx9//IknnrhgwQL0CvngLMJFu05b&#10;dUJaTkXI31NsZJ0IUjdo7NEKEQ8TTR4EiWY5USHlt8ZW16LSf5ph/bgSTJOG824sm/5AWnO0bNC8&#10;WUFBu2ByQoqY9JNPPomkjjzyyP33399ORh9EwrZ3tVn6R4zGLm1BMm034moPYkZe3QMPPIBVbV6y&#10;YZP+vvoaTRvWRr722mvD9Xb0pZdeiuLxMkmW4AUGcriAYLMHIfFgvTkKq9UGGCNhweLqR9TxdW4N&#10;rfGBvoEoQQSQQEGkgliMQqCQ1yrGhZFatSFjx1d5BFIzTzJrEFHSwu0wWHowceLEQYMG9erVi1ps&#10;t912O++88/Dhw8WsU6dOnTNnjmAib7mJHHmLTjQ5+IeAjawTSgZqgZx6rq2BxXjiiSesEw1nVbEk&#10;680a2JDFFk6yQutH1S1b9EBFx9bVknDauF9BwdeB/XzwwQdMiB6sWLHiqKOOGjVq1NFHH83qiAQz&#10;iznV1vWjhSniO0PrjsvkyMklmmHGQAJRYlg8+1j164oPPvig+TTD9AMpY+ebq29Xw9o2ex4NJVYA&#10;/M4phJAARA8aGlIlXIoAqKh6G+SdAboQELhXHmFRr/p5EQbXK2yDSfQTxAHpdgZoUMYI0jWcxgyC&#10;jD3HFJaQb65kZirymQh31yuhw4QJE/r167f99tt36tSpZ8+eu+6667777nvYYYfNnDnT1fxHd2KI&#10;VsgJmuffP2xknVC4TXlpC/N89f0zxJz1mFChH1OgEKyB98EUyD4js8CKMT5rpm79SsOxKeJrXrCD&#10;REHB14JBvv/++5gCg+Cdww8/fNy4cWwPnTFL1hXEtH7MMAk51sh2DpKjQCZKjj1oa+NK/h8Nxsh4&#10;+fHqCzFFHpTj4YcfjtueBNjgfHkgJ7iVv4jiueQQf9+pdQGJvLpQWK11oTXN0oO8PAB8DXl2ZGV1&#10;yaJjc2Siqzpcj04Ct0DGIqcaYpO4GiyzZoxycKCSjWoVUiDECE7pB8oyTCRG/+bOnSu2GDZsWN++&#10;fTt37ty7d+/+/fvvt99+AosTTjhh/vz5CDfPoGphaEhEhZx+D7HxdaKeSo3kJYSVs6LWnkNBGGxR&#10;EaXI0ZzyNZjI/fffrwyDa0x89e8aWRvtaMQyNNangqtOrT1UNywo+HqwJRR2/fXXM/d8+z8awiO5&#10;yqiYVtgkOT9mZJdBtp5E88IaKOAYkoXkpEoSqdjwz6ufgWlFIySp4JJjMm38QMVUyWmbq61QzC1A&#10;ldwa6pvK1BPQN5lulJy6t62QUw9EI8kJ0myupnBywNXkBO6iq/SSXFE7YdPJJ5/MHdltt93yw909&#10;evSgHPnsrKgi/8hNLULBEDr+3kIPN6ZOpGQm3XLWCiFOzHuI884779JLLxVS/O53v+NBUAguQB4O&#10;ZjmrVWjcsW5KojUHcpp0QUH7YCqsi/t50UUXcegWLVpEMHh/MmNIjDxfdcz8UuXHjMY2W4PGVlx7&#10;60F2dy6ZsaDB2dUrQyVziq+jBNJyUj7tNHi3BY1GK7QpQ4pqNWoDZVIYpAM3igLldmkkl5LOqWK5&#10;2gYu1bVy62SmtTTSmiOdBqVzKm28zzzzjBjo5ptvPvvss9nbiBEjelX/zk0qBgwYsM8++9CP2bNn&#10;L1iwIJ+AQr7wPZeKb64TlsQlMyVt6iH5KWy+RKAixxurn3+oP4dwwQUX/OY3vxFDiBY5dIopX0cP&#10;0q2o2mugzWlBQccRM2OKtiUrX7Zs2dNPP81cY1TQLLfGdAtqZH6CZtYaNHPXxlfl10jdr0KzUAdW&#10;oVmuXTSLro3mtfVd7Xh+m5zW07AlViRXiS1OPPHE0aNH17/a3bVr11122eWQQw6ZOXMmaxRVMMua&#10;hWu1kKjTHYQWBCh5YZ4ccXOdBgVAs27UzOow1FL3m+hE8h0VBgmZJsgOfLb6AUKKesUVVwggeHBE&#10;YvHixb/97W8pxIMPPqhAXitFXYhElHm9Nyoo2BAIau++++68FVu6dKnAgrnGvyko2IhAX2FCtMnA&#10;/vznP+dz/wyPHkycOLF///477LDDNtts07t37+HDhx922GHHH3885sWQIWLMjuhBosnQHYbqVCFI&#10;joSmwu/5PHG0R04KdBzfXCcyFw2JqKYGSOiLL7742GOPLV++/Jprrrmw+peIM6pv6zNT/DjhGFeO&#10;c6diyjtKQ24HzdYLCjYSOCW3VD/0dt999+UTkOwt8WtBwUYE+uL44kPW9dZbb+E0XAc8lZUrV3KU&#10;jzzyyH79+m277bZbbrmlwGLAgAEHHnjgscceu3DhQoQeiq9kopH+Z6UiMtNaUVrL8+fPR+5OsTxE&#10;TlKg4/jmOpGdlquO4oMnnnhCnHXjjTdefvnl+bSrqbE/7VIOHf0gsK+2/P5XmrVpHdMINJouKNh4&#10;sFE5KCzw+eefZ2xsjwUWSyvY6EBiITcJzFkzJIeYg8JNueqqq+bOnTt+/Ph8Q1SXLl0SWEyaNGnG&#10;jBn1G4swPsT97zhUqXVCI1qbPXv2UUcdNX369FmzZmm/vlQV/yfwzXUiBZQ0C3agcF6EdeWVVwoj&#10;IhKXXnopzVixYgX9oBBmUBXlAy004ogKdYOQdEHBxgLDY6IvV2Cx7C2buXm5oGDjAYOxMQibQZ67&#10;MLl40kiSG3388cePGTOmR48e22yzDbUYOHDgQQcdhM1PPPHEWh6+AZvXApM0Tp85c+bEiRPHjRuX&#10;H/2eM2fONwgm4JvrRLafKD7/XE0SqOV5551HJC6qvpfp1uq38EyN/ak8dY3AgonLaUMlWpCrBQUb&#10;EQw1P6AisGCxsbr1mnRBwYagJrGQZyCHyclhh6+++mre3d5www2LFi3C4HvssQed2HHHHXfdddeR&#10;I0ceeuihJ5xwAi7G5vDNpCKgFieddJJ44vDDDx89evSQIUNGjRo1efLk/HN4s3SH8c11wpjzv4gi&#10;ht/85je0gUJEJK699trly5c/+uijVERTcd8yiWk2DTpNUxKmMsKbnIKCjYhoA8Njh45OmxcKCjYe&#10;wmMxNhQXluMly0FuIdXkvPDCC/fcc88ll1xyzDHHCCZEFVtuuWXPnj2HDh06ZcoUVL5gwQKMnMig&#10;g0DlYfMgOjF//vzjjjtO7NKvXz+atN9++02bNm3u3LnNOh1GR3VCDhg/18wR9cPDzgzn0gAAGF1J&#10;REFUDz+ctxH5gqbzzz//uuuuu/322/OJJtPBfVM9LTQmcs3DJchpQcF3iWJ7Bd8xsF8SteHFCDHk&#10;vffee/311yPfcePG9e7de7vttsv/WKD1o48+GsXn/Tbk47P4WmGUHe5eLyISNdD6iSeeeOyxx+ZH&#10;v/faa6/8VMbxxx+v/YQsFEWb4ptmE+tDR3VCJnmIyy9+f/rpp4nBTTfdJHo4q/ouxosvbnyF3913&#10;3y2MeL76iua6VmNuCgoKCgrWAMfmMdSdd96JhQ888MCdd965c+fO1KJPnz777rsvqcjXzaLmcHTI&#10;Grl3PM5QUnWSQCrGjx8/fPjwwYMHO06YMEEoQ4e0qWVtRoe+Ch3SiZB+4ilje/zxxykhVbjggguo&#10;EJFYsmTJLbfccv/99xs2FYmEqgLVnBQUFBQUNJEnUW+99dbbb7/98ssvr1ix4tJLL501a9aIESMi&#10;Fd27dxdYCALyi6poGsLm/9TDKEhdFcUQhxxyyJAhQ/bYY4+99977oIMOIh7yoxMEqVlhfdDC1+uE&#10;U0cwpNWrVy9fvnzp0qXkIf9ffc0115DExx57zFWKopgWVG88mVoTVRQUFBQUBHQCT4YtMSTmfPrp&#10;p2+88UYOft4lbLvttltvvXX//v0PPfTQ4447jlSQB5yO0Lnmp512WpO/OwCF8XvEgFSMHTuWSAwc&#10;ONBREDN9+nSN0wBoVlgfOqQTwginL7744sMPP3zbbbddddVV5OGMM85YvHixsa1cuVKEYagZM+RZ&#10;U9SlPHcqKCgoaEV04rXq2wwRphynXPB8K9RRRx1FKrbYYosuXbrsvvvulOOYY47B8qHs9gl9vUgI&#10;QjAiFYcddtioUaMGDx4stth///2PPvpo7N++9nRIJ+DPf/7zQw89dMstt1x22WXnVj8ieMkllxjV&#10;Aw88UH/Vay0Mb1aIQhSdKCgoKGgFVgwQLM1Atq9WX5f30ksvPfjggxxx3J3vmhVY7LTTTpGK+fPn&#10;8/3FHLVmfC0aYUL1pjosD4KSOXPmTJkyRTAxdOhQUlH/T3izzvrQIZ2gBHq/bNkyInFO9TNSEkRC&#10;piDDCFUhDKli8NGJtBPxaMxNQUFBQUEFbBnUp6FKPjde/c1vfoPNR4wY0a1bN1EFqcDphx566KxZ&#10;sxB9k7w7gEomGvEHosfyoXstnHjiiaKWAw44gE5oedy4cZQpVdaLtjrx17/+lTbot5joleo7gZ95&#10;5pl777331ltvXbJkSb4Y/OqrrxZYiJJeeOEFxYwwr2UoRD1saMzBGjSzCgoKCgrWR49JYFGsi12v&#10;v/56cQBnv0+fPvk+qMGDBx988MEnnHCCeMKloEnkHQa6Vwvdz5s3b9q0afvvv79mSYUb5dvOBRai&#10;FiVpg2KptR6d0FHKFp2gBPmQ7xVXXFGLxPLlyx977DGRRF5cGxudABWr8RYUFBQUfEMg0ldffXXV&#10;qlW88zPPPHP8+PFEYtttt+3Ro8fAgQOdHn/88Qg9ahEST6wQTv9aJKSAuXPnTp48Of+tvffeex9y&#10;yCH5mqnIQ3s68fe//11HsT+dIBIPPfTQNddcQyHOOOOMs846i1rcddddzz77bLSkfgkDlS42kNOC&#10;goKCgo6Dq40/8aojgnV86aWX7r77btw7ZsyYXr16de7c2XHYsGH5wW2UHW2gFkg8hN4RKAyh/hNP&#10;PJFUjBw5kgLtvvvuEyZMkENCUqBZYb06oYsEgEjcf//9N954I3kAUrFkyZI77rjjySefJCHrhg4N&#10;iajQPC8oKCgo6DDohCOdiFQAHn7xxRfvueeeCy644Oijjx48eHDPnj3zrgKhz5o1C3cjcYEFZu/4&#10;y+0aYf/Zs2cfeuih++yzT58+fUaMGJEvDmnTWlud+Nvf/vb/W/Pppuuvv37x4sWLFi3K9/r94Q9/&#10;IBJ50GQkpCIDKygoKCjYKIir7Yhj8yEolIt4uexiCF7/DjvssOOOOw4YMGDs2LH1v1YgcWiSeseQ&#10;WgSAJGhZVDFkyBBSNHr06EgF7WkWXVcn/vrXvz7//PMPPvjgrbfeevHFF59//vmk7Lrrrrvzzjsj&#10;EnkPYRgS0FC9NTHEukFGQUFBQUFHQBLCq/mwbHJeq/7HwvGJJ5747W9/e8IJJwwbNqxHjx7du3ff&#10;bbfd8k1Q+VdqVB5O7yDoBKTWwoUL882yI0eOJBWaJRvuVWvPenTikUceuemmm6688srzzjtPPCGR&#10;/6SLSBiJ3teDqWSioRNE4s01/zNRUFBQUPBPIUSKVOOI17Lh+Morr7z00ktI+Prrr0ffQ4cO7d27&#10;d9euXfv27YvTp0+fni/1C6d/LTA+oP6AWghKiI0YYvz48XvvvXeiiqOOOsqlVFGsrU4IcK644gqR&#10;BFx77bUrVqx44YUXREAZRj2YxsjWvJZIuohEQUFBwYYjvAr5RzQ+OlCLhx9+WFQxd+7cffbZp1u3&#10;bttvv/2uu+6abwufN29e4gOCIXH66ad/1VfARieaJ2s+KasWDTjuuOPGjh271157DRgw4KCDDpo1&#10;a5Z7KXDaaacpo0HHhk58+eWXl1xyydlnn33uuededdVVy5cvJ2L/b/UPIDqtx8QAap0oKCgoKPiW&#10;gGwRb+gXuOwPPvjgr3/965kzZw4ZMqRLly6dOnXaeeedSYWoYuHChWF8yNc6tepB+1BSLVHF1KlT&#10;BRN77rnn8OHDx40bRzlOrr4r0DHBR1MniIRql1566V133fX000+Ld1p1Il2HpAsKCgoKvj0gXvQr&#10;8X//7/+VfvHFFx966KHrrrtu9uzZgwYN2m677bbddttddtnlgAMOOOaYY/J/FRDqR+sNEegAFKYE&#10;IIAgFYSHVPTr12/y5MlupB3RRso0dOKLL74455xzBBM333zzk08+qX+tClFQUFBQ8J2hNZ6gEyDz&#10;1VdfXb169Q033BCpyC+n7rHHHqRixowZRIL7j/qR+z+rE+pKzJ8/f8qUKYMHD+7Ro8eoUaOk582b&#10;RyfEE833E5988smSJUuIxCOPPCKS0DlIj4PkBM2sgoKCgoJvAXlyQyfyTxXS4V6nTzzxRP1am05Q&#10;i/79+48fP37OnDkIHTB+UwQ6AIWrOKShEzBr1qyxY8cOHDgwv683ffp0kco/dOLzzz9ftmzZqlWr&#10;Xq5+tfT16j+uq+dMzQdNTqsYowQZBQUFBd8FIgx5mx3BeOONNyQeffTRvNbm+3fv3r1Pnz577bXX&#10;xIkTxRn5vwrM3tSBDiBS4aiW6sccc8whhxwiXhkyZAj5EakIOOQ3dOJvf/vbypUrn3vuuehBq05A&#10;elx0oqCgoOA7QE226+qEq6+88sqTTz550003EYZhw4b16tWrR48emD2/gI3T/ymdANJCJ/LYSgAx&#10;c+bM/fffX4MaJz8ilfnz54slGjqR35PI53Z1JfJQQ2aNZlZBQUFBwbeAWiegTst3jGCAqOKqq66a&#10;NWsWQu/cuXPPnj1FFZMnT164cKEIAOOjfkeaAdJf+9IiJRX7+c9/fuSRR5KKPffck1QcddRR7tLQ&#10;if/6r/+KauWFSfn8a0FBQcH3DQkvJBD1n//85/vuu49UHHHEEbvsssuOO+7YqVOnESNGzJgxQ5xB&#10;GGrQgDrRESipBc0OGTJkwIAB48aNk/7ss88a3wNY6wSlKjpRUFBQ8H1DYguJPPjJD+Gdd955EyZM&#10;IBU/+clPevToccABB4gA8k8VGF9skc+2ihWaOvB1UPiUU06hN0IKUjF06NAxY8Z8+umnjd+zi1JF&#10;J/5SfSoL0rmCgoKCgk2OmpND16+99tqLL75411135fcqunXrtu222+622274Pb9pShuQPp2gGXn9&#10;0EGoOHfu3Pz4Xf/+/ffYY4+PPvqooRNkyr2jE+lH0YmCgoKC7wlwMpYWSWBpaSIRPPfcc3feeefp&#10;p58eqdh666379u2br5XF+KeddppjYotKAr4eSoJAZN68eVOnThVS9OvX75133mnoBFXQCT1wlCZW&#10;RScKCgoKviegDfCX6vuTashH1E8//fSyZcvOOuusESNGbLHFFqKKAQMGkI0TTjiBQuTtNDR14OsQ&#10;kUhCC+PGjRs6dOi7775bdKKgoKDg+44wc8iZSKBrmY6vvPLKqlWrVqxYceKJJ+62226iCthrr70m&#10;TJiA6JE+xv9ndYK6nHLKKXPnzj366KMPOeSQjz/+uKET7kchiJWjdNGJgoKCgu8P8r8KeeLkGH6u&#10;SfuFF1549tlnb7jhhhkzZgwZMqRTp049e/YcPnz4tGnTTjrppAhAB19lR1QShSxYsGDevHnHH398&#10;4/NO0Ync2y3rqKLRu4KCgoKC7yVC2qSCeIgqVq9evWTJkiOPPHLXXXfdcccdd95554MOOgjL//zn&#10;P/9VBRoQ0IOvlY2EFI7Ci8b/YxedKCgoKPjBAWmHqxNkvPzyyytXrjzvvPMOPfTQfv36kYrddttt&#10;7NixeVEBeD+QLjpRUFBQsPkDUQd0wlFg8fzzzy9fvnzRokUHHnhg7969e/ToMXjw4MmTJ8+dO7dW&#10;iByjBJGE9aLoREFBQcEPHlg6pJ144o033pB+5plnbrnlljlz5uy5556dO3cmFfvuu2/9i0Z4/z+q&#10;NxCRinZQdKKgoKBgMwGuxt6At0Fi9erVl1122aGHHkokttpqq1133TW/UrdgwYL6RUXRiYKCgoLN&#10;H1ga/lJB4vXXX0fd8l955ZUHHnjgoosuOuCAA7bddtttttmmX79+hxxyCKkgD/nnu69F0YmCgoKC&#10;HzwaKtHyW0E1h79W4b777kP0AwcO3Hrrrbfffvthw4Ydfvjh8+fPTyTxtWpR60Tzd4qKThQUFBRs&#10;Hqj+Fa/xtbJPP/300qVLTzzxxL322qtTp059+vTZZ599jjnmmDlz5hCAM844w7GpCesDhfiP6ncp&#10;ik4UFBQUbG7A4SKM/EfFddddN2XKlJ122mmHHXZwPPjgg48//nhRBSU4ufp+jq9C0YmCgoKCzRMU&#10;4o3qF1IBk69ater000/ff//9e/fu3blz52HDhh1xxBH557v2X2UXnSgoKCjYbIG98/RJ4vnnn7/p&#10;pptw/fDhw4UUffv2HTVq1OGHH37SSSe1/4qi6ERBQUHBZo7EE6+++uqjjz66dOnSyZMnCylIRZ8+&#10;fYQX8+fPpwRNTVgfik4UFBQUbLbIoyccHhonFY888sgZZ5xBHrp377799tsPGTLk2GOPnT17dlMT&#10;1oeiEwUFBQWbOULjEYznnnvupptuEkMMGjRISNGvX7+DDz546tSpp1Y/YRREHupE0YmCgoKCHxES&#10;Utxwww1HHnnkzjvv3LlzZ1IxceLEuXPnnnzyyaeccko++0Qb6g/LFp0oKCgo+BEBn7/yyiv33Xff&#10;mWeeOXbs2B49eogqhg0bNn36dEEGbSAGYgvaAEUnCgoKCn6keOqpp2655Raq0L9//5/+9Kc77bTT&#10;gQceOGPGDEognmjzMdmiEwUFBQU/IoTbX3zxxYceeujXv/71AQcc8LOf/axTp0677bbbpEmT8mUe&#10;VAHqf74rOlFQUFDwIwI+h9dff/3ZZ5/NL2n36dOHTsDIkSOFFPl5VMLQ+jupRScKCgoKfixA6Y5v&#10;vPHGK6+88vTTT1933XWHHXbYgAEDttxyyz322OOQQw45/vjjRRK0obzHLigoKPgxAqVj+L/85S9C&#10;itdee+3hhx8+++yzycNWW23Vu3fvESNGHHHEEQsXLqQKEYkgOkE/ik4UFBQUbP5A6WF1OvHnP//5&#10;zjvvnD17ds+ePYUUPXr0OOigg/KlT4sWLRJJAHkgEnDaaad9/vnnRScKCgoKNnOE3vPbqPDII4+c&#10;e+65o0eP7tq1a5cuXYYPH37kkUfmK8eJRMIIx6Q/++yzohMFBQUFmz8Q+1+qX7578803X3rppWXL&#10;lgkgBg8e3Llz59133338+PFCiryfEEOcWv3y3X9U+PTTT4tOFBQUFGzOIA+A5KUd82UeQoqlS5dO&#10;mjSpW7du3bt3Hzp06NSpU4URpCIKEbWAohMFBQUFmzladeLVV1+VcPr8888/8MADCxYsGDhw4I47&#10;7ti7d+8xY8bMnDlTTt5j0wmaQSfKc6eCgoKCzRxUAaW/9tpr0o6vv/76m2++ifOfeeaZJUuWTJky&#10;pV+/fp06dXI85JBD5syZQxtadaK8xy4oKCjY/IHhRRJJYPh33nmHVNCMP/zhD7/61a9Gjx69ww47&#10;dOvWTUJIQR7q504S5XOxBQUFBT9GIHnK8dRTT91www1Tp07Nrxjtsssu48ePpxwLFy6kFosWLXIs&#10;OlFQUFDwY0RI/vXXX7/nnntOOumkgQMH0okuXbqMHDly/vz5CxYsSEhRdKKgoKDgR4oQ/htvvPHk&#10;k08uWbLk8MMP79u3b77JQ3hx4okn/rL6jvGiEwUFBQU/UoTwHV944YUVK1aceeaZIol///d/79Gj&#10;x3777XfssceKJ/KiouhEQUFBwY8RSF4wIfHyyy8//vjjN9100xFHHLH11lvvuOOOQopJkyYtXLjw&#10;pJNOElWUzzsVFBQU/BgRkg/hv/jii/fdd9+pp57av3//bt26kYoxY8bMnj17/vz5p512Wvn/iYKC&#10;goIfI/D8Sy+9JKT4y1/+8uqrrz722GOXXXbZYYcd1qNHj2222WbvvfeeMWPG3LlzFy1aVHSioKCg&#10;4McIJB8g/9dee+35559fvnz5JZdcMmLEiK222qpv375jx46dM2fOL3/5y6ITBQUFBT9GVBrRAMIH&#10;UrFq1aqbbrpp0qRJO+64Y7du3YYMGXLUUUeddNJJRScKCgoKfoyoNKIBhO/0jTfeeOmllx544IH5&#10;8+cPGDCgc+fOQopx48adcMIJ5T12QUFBwY8ayB/nv/nmm47PPPPMhRdeePDBB/fs2bN79+4jR44U&#10;UpR4oqCgoOBHisa3yFbfI/v6669LyHnxxRd/97vfLViwYM899+zataujkKJ8r3hBQUHBjxFIHmqd&#10;kCP98ssvP/DAA1dcccV+++23ww479OrVa8iQIR999FHRiYKCgoIfHZA82qcNCF/ijTfeQP4SL7zw&#10;wm233XbwwQdvXaFv377vvvtu0YmCgoKCHx2QfHi+TgDyf+2111avXr1gwYLhw4d369Ztyy23fP/9&#10;94tOFBQUFBQ0gPlff/31Z5999uKLLz7iiCN23nnnn/3sZ0UnCgoKCgqawPy04JVXXrnzzjsXLVq0&#10;1157FZ0oKCgoKPgHogJCitWrV1911VUjR47cbrvtik4UFBQUFDSB+YFOPP/88zfffPOhhx668847&#10;F50oKCgoKPgHkD85eO2111auXDl//vz999//gw8+KDpRUFBQULAW3njjjVWrVl100UXHHHPMhx9+&#10;WHSioKCgoKCBqECE4Omnn77tttuuu+66jz/+uOhEQUFBQUEDmL8Wgvx40V133VV+97SgoKCg4B8g&#10;AeTgjTfeeP3115955plHH330v/7rv4pOFBQUFBQ0QSFeffXVSACpeOGFF/7+978XnSgoKCgoaCAq&#10;8Morr0QF/vKXv0gXnSgoKCgoaALz04LEE5DYouhEQUFBQUETmJ8WkAAKIV3iiYKCgoKCtRCdiEgA&#10;LYCiEwUFBQUFTbRRAbogk0YUnSgoKCgoaKDoREFBQUFBeyg6UVBQUFDQHopOFBQUFBS0h6ITBQUF&#10;BQXtoehEQUFBQUF7KDpRUFBQUNAeik4UFBQUFLSHohMFBQUFBe2h6ERBQUFBQXsoOlFQUFBQ0B6K&#10;ThQUFBQUtIeiEwUFBQUF7aHoREFBQUFBeyg6UVBQUFDQHopOFBQUFBS0h6ITBQUFBQXtoehEQUFB&#10;QUF7KDpRUFBQUNAeik4UFBQUFLSHohMFBQUFBe2h6ERBQUFBQXsoOlFQUFBQ0B6KThQUFBQUtIei&#10;EwUFBQUF7aHoREFBQUFBeyg6UVBQUFDQHopOFBQUFBS0h6ITBQUFBQXtoehEQUFBQUF7KDpRUFBQ&#10;UNAeik4UFBQUFLSHohMFBQUFBe2h6ERBQUFBQXsoOlFQUFBQ0B6KThQUFBQUtIeiEwUFBQUF7aHo&#10;REFBQUFBeyg6UVBQUFDQHopOFBQUFBS0h6ITBQUFBQXtoehEQUFBQUF7KDpRUFBQUNAeik4UFBQU&#10;FLSHohMFBQUFBe2h6ERBQUFBQXsoOlFQUFBQ0B6KThQUFBQUtIeiEwUFBQUF7aHoREFBQUFBeyg6&#10;UVBQUFDQHopOFBQUFBS0h6ITBQUFBQXtoehEQUFBQUF7KDpRUFBQUNAeik4UFBQUFLSHohMFBQUF&#10;Be2h6ERBQUFBQXsoOlFQUFBQ0B6KThQUFBQUtIeiEwUFBQUF7aHoREFBQUFBe/hKnfif//kff/6+&#10;BnVaoqCgoKDgx4Oa/JMA6f/5n//5/wOwVdx09vLWEgAAAABJRU5ErkJgglBLAwQUAAYACAAAACEA&#10;hdUD6d8AAAAJAQAADwAAAGRycy9kb3ducmV2LnhtbEyPQUvDQBSE74L/YXmCN7uJaaLEbEop6qkI&#10;toJ422Zfk9Ds25DdJum/93myx2GGmW+K1Ww7MeLgW0cK4kUEAqlypqVawdf+7eEZhA+ajO4coYIL&#10;eliVtzeFzo2b6BPHXagFl5DPtYImhD6X0lcNWu0Xrkdi7+gGqwPLoZZm0BOX204+RlEmrW6JFxrd&#10;46bB6rQ7WwXvk57WSfw6bk/HzeVnn358b2NU6v5uXr+ACDiH/zD84TM6lMx0cGcyXnSsoydOKkji&#10;JQj2kzTlbwcFyyzNQJaFvH5Q/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D5/aMqQMAAEEIAAAOAAAAAAAAAAAAAAAAADoCAABkcnMvZTJvRG9jLnhtbFBLAQIt&#10;AAoAAAAAAAAAIQBnIQu6eRgBAHkYAQAUAAAAAAAAAAAAAAAAAA8GAABkcnMvbWVkaWEvaW1hZ2Ux&#10;LnBuZ1BLAQItABQABgAIAAAAIQCF1QPp3wAAAAkBAAAPAAAAAAAAAAAAAAAAALoeAQBkcnMvZG93&#10;bnJldi54bWxQSwECLQAUAAYACAAAACEAqiYOvrwAAAAhAQAAGQAAAAAAAAAAAAAAAADGHwEAZHJz&#10;L19yZWxzL2Uyb0RvYy54bWwucmVsc1BLBQYAAAAABgAGAHwBAAC5IAEAAAA=&#10;">
                      <v:shape id="그림 135" o:spid="_x0000_s1232" type="#_x0000_t75" style="position:absolute;top:46;width:21850;height:2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Z+vwwAAANwAAAAPAAAAZHJzL2Rvd25yZXYueG1sRE9Na8JA&#10;EL0X+h+WEXqrm7RYJLqKFKQ5tILRi7chOyYx2dmY3WqaX+8KBW/zeJ8zX/amERfqXGVZQTyOQBDn&#10;VldcKNjv1q9TEM4ja2wsk4I/crBcPD/NMdH2ylu6ZL4QIYRdggpK79tESpeXZNCNbUscuKPtDPoA&#10;u0LqDq8h3DTyLYo+pMGKQ0OJLX2WlNfZr1Fw2u4xPRyOQ5WeB4y5/tl8f3mlXkb9agbCU+8f4n93&#10;qsP89wncnwkXyMUNAAD//wMAUEsBAi0AFAAGAAgAAAAhANvh9svuAAAAhQEAABMAAAAAAAAAAAAA&#10;AAAAAAAAAFtDb250ZW50X1R5cGVzXS54bWxQSwECLQAUAAYACAAAACEAWvQsW78AAAAVAQAACwAA&#10;AAAAAAAAAAAAAAAfAQAAX3JlbHMvLnJlbHNQSwECLQAUAAYACAAAACEArXWfr8MAAADcAAAADwAA&#10;AAAAAAAAAAAAAAAHAgAAZHJzL2Rvd25yZXYueG1sUEsFBgAAAAADAAMAtwAAAPcCAAAAAA==&#10;" stroked="t" strokecolor="black [3213]" strokeweight=".5pt">
                        <v:imagedata r:id="rId111" o:title=""/>
                        <v:path arrowok="t"/>
                      </v:shape>
                      <v:shape id="Text Box 136" o:spid="_x0000_s1233" type="#_x0000_t202" style="position:absolute;left:14668;top:26162;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94kxAAAANwAAAAPAAAAZHJzL2Rvd25yZXYueG1sRE9NawIx&#10;EL0L/Q9hCr1IzVZlKVujiFRovUi3XnobNuNm281kSbK6/fdGELzN433OYjXYVpzIh8axgpdJBoK4&#10;crrhWsHhe/v8CiJEZI2tY1LwTwFWy4fRAgvtzvxFpzLWIoVwKFCBibErpAyVIYth4jrixB2dtxgT&#10;9LXUHs8p3LZymmW5tNhwajDY0cZQ9Vf2VsF+/rM34/74vlvPZ/7z0G/y37pU6ulxWL+BiDTEu/jm&#10;/tBp/iyH6zPpArm8AAAA//8DAFBLAQItABQABgAIAAAAIQDb4fbL7gAAAIUBAAATAAAAAAAAAAAA&#10;AAAAAAAAAABbQ29udGVudF9UeXBlc10ueG1sUEsBAi0AFAAGAAgAAAAhAFr0LFu/AAAAFQEAAAsA&#10;AAAAAAAAAAAAAAAAHwEAAF9yZWxzLy5yZWxzUEsBAi0AFAAGAAgAAAAhAL1/3iTEAAAA3AAAAA8A&#10;AAAAAAAAAAAAAAAABwIAAGRycy9kb3ducmV2LnhtbFBLBQYAAAAAAwADALcAAAD4AgAAAAA=&#10;" stroked="f">
                        <v:textbox style="mso-fit-shape-to-text:t" inset="0,0,0,0">
                          <w:txbxContent>
                            <w:p w14:paraId="56999436"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v:textbox>
                      </v:shape>
                      <w10:wrap type="square"/>
                    </v:group>
                  </w:pict>
                </mc:Fallback>
              </mc:AlternateContent>
            </w:r>
          </w:p>
          <w:p w14:paraId="79B3C765" w14:textId="77777777" w:rsidR="00094D21" w:rsidRPr="008F328C" w:rsidRDefault="00094D21" w:rsidP="008E70FE">
            <w:pPr>
              <w:pStyle w:val="a3"/>
              <w:numPr>
                <w:ilvl w:val="0"/>
                <w:numId w:val="125"/>
              </w:numPr>
              <w:rPr>
                <w:lang w:val="pl-PL"/>
              </w:rPr>
            </w:pPr>
            <w:r w:rsidRPr="008F328C">
              <w:rPr>
                <w:rFonts w:eastAsia="Times New Roman"/>
                <w:b/>
                <w:bCs/>
                <w:lang w:val="pl-PL"/>
              </w:rPr>
              <w:t>Wykonać wstrzyknięcie</w:t>
            </w:r>
          </w:p>
          <w:p w14:paraId="00F569ED" w14:textId="77777777" w:rsidR="00094D21" w:rsidRPr="008F328C" w:rsidRDefault="00094D21" w:rsidP="008A03B2">
            <w:pPr>
              <w:pStyle w:val="a3"/>
              <w:rPr>
                <w:lang w:val="pl-PL"/>
              </w:rPr>
            </w:pPr>
          </w:p>
          <w:p w14:paraId="61ED62DE"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Po wprowadzeniu igły należy puścić ściśniętą skórę.</w:t>
            </w:r>
          </w:p>
          <w:p w14:paraId="6AF6BA36" w14:textId="77777777" w:rsidR="00094D21" w:rsidRPr="008F328C" w:rsidRDefault="00094D21" w:rsidP="008A03B2">
            <w:pPr>
              <w:pStyle w:val="a3"/>
              <w:ind w:left="4117" w:hanging="180"/>
              <w:rPr>
                <w:lang w:val="pl-PL"/>
              </w:rPr>
            </w:pPr>
            <w:r w:rsidRPr="008F328C">
              <w:rPr>
                <w:rFonts w:eastAsia="Times New Roman"/>
                <w:b/>
                <w:bCs/>
                <w:lang w:val="pl-PL"/>
              </w:rPr>
              <w:t>b.</w:t>
            </w:r>
            <w:r w:rsidRPr="008F328C">
              <w:rPr>
                <w:rFonts w:eastAsia="Times New Roman"/>
                <w:lang w:val="pl-PL"/>
              </w:rPr>
              <w:t xml:space="preserve"> Powoli naciskać tłok ampułko-strzykawki do chwili wstrzyknięcia całego roztworu i opróżnienia ampułko-strzykawki.</w:t>
            </w:r>
          </w:p>
          <w:p w14:paraId="16528D93" w14:textId="77777777" w:rsidR="00094D21" w:rsidRPr="008F328C" w:rsidRDefault="00094D21" w:rsidP="008A03B2">
            <w:pPr>
              <w:pStyle w:val="a3"/>
              <w:rPr>
                <w:lang w:val="pl-PL"/>
              </w:rPr>
            </w:pPr>
          </w:p>
          <w:p w14:paraId="780DFFDD" w14:textId="77777777" w:rsidR="00094D21" w:rsidRPr="008F328C" w:rsidRDefault="00094D21" w:rsidP="008A03B2">
            <w:pPr>
              <w:pStyle w:val="a3"/>
              <w:rPr>
                <w:lang w:val="pl-PL"/>
              </w:rPr>
            </w:pPr>
          </w:p>
          <w:p w14:paraId="4C1DBBB8" w14:textId="77777777" w:rsidR="00094D21" w:rsidRPr="008F328C" w:rsidRDefault="00094D21" w:rsidP="008A03B2">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zmieniać pozycji ampułko-strzykawki po rozpoczęcia wstrzyknięcia.</w:t>
            </w:r>
          </w:p>
          <w:p w14:paraId="2BB75431" w14:textId="77777777" w:rsidR="00094D21" w:rsidRPr="008F328C" w:rsidRDefault="00094D21" w:rsidP="008A03B2">
            <w:pPr>
              <w:pStyle w:val="a3"/>
              <w:rPr>
                <w:lang w:val="pl-PL" w:eastAsia="ko-KR"/>
              </w:rPr>
            </w:pPr>
            <w:r w:rsidRPr="008F328C">
              <w:rPr>
                <w:color w:val="211D1E"/>
                <w:sz w:val="20"/>
                <w:szCs w:val="20"/>
                <w:lang w:val="pl-PL"/>
              </w:rPr>
              <w:t xml:space="preserve"> </w:t>
            </w:r>
          </w:p>
        </w:tc>
      </w:tr>
      <w:tr w:rsidR="00094D21" w:rsidRPr="00A5286D" w14:paraId="419DA4AE" w14:textId="77777777" w:rsidTr="008A03B2">
        <w:trPr>
          <w:trHeight w:val="5374"/>
        </w:trPr>
        <w:tc>
          <w:tcPr>
            <w:tcW w:w="9209" w:type="dxa"/>
          </w:tcPr>
          <w:p w14:paraId="468B5F36" w14:textId="77777777" w:rsidR="00094D21" w:rsidRPr="008F328C" w:rsidRDefault="00094D21" w:rsidP="008A03B2">
            <w:pPr>
              <w:ind w:left="104"/>
              <w:rPr>
                <w:rFonts w:ascii="Times New Roman" w:eastAsia="Times New Roman" w:hAnsi="Times New Roman" w:cs="Times New Roman"/>
                <w:b/>
                <w:bCs/>
                <w:spacing w:val="-1"/>
                <w:lang w:val="pl-PL"/>
              </w:rPr>
            </w:pPr>
          </w:p>
          <w:p w14:paraId="6BD069BD" w14:textId="77777777" w:rsidR="00094D21" w:rsidRPr="008F328C" w:rsidRDefault="00094D21" w:rsidP="008A03B2">
            <w:pPr>
              <w:rPr>
                <w:rFonts w:ascii="Times New Roman" w:eastAsia="Times New Roman" w:hAnsi="Times New Roman" w:cs="Times New Roman"/>
                <w:lang w:val="pl-PL"/>
              </w:rPr>
            </w:pPr>
          </w:p>
          <w:p w14:paraId="357570AC" w14:textId="5E8EFB8D" w:rsidR="00094D21" w:rsidRPr="008F328C" w:rsidRDefault="00094D21" w:rsidP="008A03B2">
            <w:pPr>
              <w:pStyle w:val="a3"/>
              <w:rPr>
                <w:lang w:val="pl-PL"/>
              </w:rPr>
            </w:pPr>
            <w:r w:rsidRPr="008F328C">
              <w:rPr>
                <w:noProof/>
                <w:lang w:eastAsia="ko-KR"/>
              </w:rPr>
              <w:drawing>
                <wp:anchor distT="0" distB="0" distL="114300" distR="114300" simplePos="0" relativeHeight="251658329" behindDoc="0" locked="0" layoutInCell="1" allowOverlap="1" wp14:anchorId="017B6C8B" wp14:editId="19DA0980">
                  <wp:simplePos x="0" y="0"/>
                  <wp:positionH relativeFrom="column">
                    <wp:posOffset>67945</wp:posOffset>
                  </wp:positionH>
                  <wp:positionV relativeFrom="paragraph">
                    <wp:posOffset>69215</wp:posOffset>
                  </wp:positionV>
                  <wp:extent cx="2159635" cy="2652395"/>
                  <wp:effectExtent l="19050" t="19050" r="12065" b="14605"/>
                  <wp:wrapSquare wrapText="bothSides"/>
                  <wp:docPr id="3945" name="그림 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 name="그림 394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59635" cy="265239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5703772" w14:textId="77777777" w:rsidR="00094D21" w:rsidRPr="008F328C" w:rsidRDefault="00094D21" w:rsidP="008E70FE">
            <w:pPr>
              <w:pStyle w:val="a3"/>
              <w:numPr>
                <w:ilvl w:val="0"/>
                <w:numId w:val="125"/>
              </w:numPr>
              <w:rPr>
                <w:b/>
                <w:lang w:val="pl-PL"/>
              </w:rPr>
            </w:pPr>
            <w:r w:rsidRPr="008F328C">
              <w:rPr>
                <w:rFonts w:eastAsia="Times New Roman"/>
                <w:b/>
                <w:bCs/>
                <w:lang w:val="pl-PL"/>
              </w:rPr>
              <w:t xml:space="preserve">Wyjąć ampułko-strzykawkę z </w:t>
            </w:r>
            <w:r w:rsidRPr="008F328C">
              <w:rPr>
                <w:rFonts w:eastAsia="Times New Roman"/>
                <w:lang w:val="pl-PL"/>
              </w:rPr>
              <w:t xml:space="preserve">miejsca </w:t>
            </w:r>
            <w:r w:rsidRPr="008F328C">
              <w:rPr>
                <w:rFonts w:eastAsia="Times New Roman"/>
                <w:b/>
                <w:bCs/>
                <w:lang w:val="pl-PL"/>
              </w:rPr>
              <w:t>wstrzyknięcie i zaopatrzyć miejsce wstrzyknięcia</w:t>
            </w:r>
          </w:p>
          <w:p w14:paraId="6D0BFCC2" w14:textId="77777777" w:rsidR="00094D21" w:rsidRPr="008F328C" w:rsidRDefault="00094D21" w:rsidP="008A03B2">
            <w:pPr>
              <w:pStyle w:val="a3"/>
              <w:numPr>
                <w:ilvl w:val="0"/>
                <w:numId w:val="0"/>
              </w:numPr>
              <w:ind w:left="471"/>
              <w:rPr>
                <w:b/>
                <w:lang w:val="pl-PL"/>
              </w:rPr>
            </w:pPr>
          </w:p>
          <w:p w14:paraId="7FEC917D"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Po opróżnieniu ampułko-strzykawki wyjąć ją ze skóry pod tym samym kątem, pod którym została wprowadzona.</w:t>
            </w:r>
          </w:p>
          <w:p w14:paraId="319661B8" w14:textId="77777777" w:rsidR="00094D21" w:rsidRPr="008F328C" w:rsidRDefault="00094D21" w:rsidP="008A03B2">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Delikatnie przycisnąć wacik lub gazik do miejsca wstrzyknięcia, nie pocierać i w razie potrzeby nałożyć plaster samoprzylepny. Może wystąpić niewielkie krwawienie.</w:t>
            </w:r>
          </w:p>
          <w:p w14:paraId="712FACAD" w14:textId="77777777" w:rsidR="00094D21" w:rsidRPr="008F328C" w:rsidRDefault="00094D21" w:rsidP="008A03B2">
            <w:pPr>
              <w:pStyle w:val="a3"/>
              <w:rPr>
                <w:lang w:val="pl-PL"/>
              </w:rPr>
            </w:pPr>
          </w:p>
          <w:p w14:paraId="4D006B13" w14:textId="77777777" w:rsidR="00094D21" w:rsidRPr="008F328C" w:rsidRDefault="00094D21" w:rsidP="008A03B2">
            <w:pPr>
              <w:pStyle w:val="a3"/>
              <w:rPr>
                <w:lang w:val="pl-PL"/>
              </w:rPr>
            </w:pPr>
            <w:r w:rsidRPr="008F328C">
              <w:rPr>
                <w:lang w:val="pl-PL"/>
              </w:rPr>
              <w:t xml:space="preserve"> </w:t>
            </w:r>
          </w:p>
          <w:p w14:paraId="2418860E" w14:textId="77777777" w:rsidR="00094D21" w:rsidRPr="008F328C" w:rsidRDefault="00094D21" w:rsidP="008A03B2">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używać</w:t>
            </w:r>
            <w:r w:rsidRPr="008F328C">
              <w:rPr>
                <w:rFonts w:eastAsia="Times New Roman"/>
                <w:lang w:val="pl-PL"/>
              </w:rPr>
              <w:t xml:space="preserve"> ponownie ampułko-strzykawki.</w:t>
            </w:r>
          </w:p>
          <w:p w14:paraId="5BDB8BDE" w14:textId="77777777" w:rsidR="00094D21" w:rsidRPr="008F328C" w:rsidRDefault="00094D21" w:rsidP="008A03B2">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 xml:space="preserve">Nie </w:t>
            </w:r>
            <w:r w:rsidRPr="008F328C">
              <w:rPr>
                <w:rFonts w:eastAsia="Times New Roman"/>
                <w:lang w:val="pl-PL"/>
              </w:rPr>
              <w:t xml:space="preserve"> dotykać ani nie nakładać ponownie osłony na igłę. </w:t>
            </w:r>
          </w:p>
          <w:p w14:paraId="1091BA1D" w14:textId="77777777" w:rsidR="00094D21" w:rsidRPr="008F328C" w:rsidRDefault="00094D21" w:rsidP="008A03B2">
            <w:pPr>
              <w:pStyle w:val="a3"/>
              <w:rPr>
                <w:lang w:val="pl-PL"/>
              </w:rPr>
            </w:pPr>
            <w:r w:rsidRPr="008F328C">
              <w:rPr>
                <w:noProof/>
                <w:lang w:eastAsia="ko-KR"/>
              </w:rPr>
              <mc:AlternateContent>
                <mc:Choice Requires="wps">
                  <w:drawing>
                    <wp:anchor distT="0" distB="0" distL="114300" distR="114300" simplePos="0" relativeHeight="251658320" behindDoc="0" locked="0" layoutInCell="1" allowOverlap="1" wp14:anchorId="4DAEF1E3" wp14:editId="4B8275CB">
                      <wp:simplePos x="0" y="0"/>
                      <wp:positionH relativeFrom="column">
                        <wp:posOffset>1509395</wp:posOffset>
                      </wp:positionH>
                      <wp:positionV relativeFrom="paragraph">
                        <wp:posOffset>189230</wp:posOffset>
                      </wp:positionV>
                      <wp:extent cx="719758" cy="146050"/>
                      <wp:effectExtent l="0" t="0" r="4445" b="6350"/>
                      <wp:wrapSquare wrapText="bothSides"/>
                      <wp:docPr id="137" name="Text Box 137"/>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5C7E2279"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AEF1E3" id="Text Box 137" o:spid="_x0000_s1234" type="#_x0000_t202" style="position:absolute;margin-left:118.85pt;margin-top:14.9pt;width:56.65pt;height:11.5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t1OHwIAAEMEAAAOAAAAZHJzL2Uyb0RvYy54bWysU01v2zAMvQ/YfxB0X+wU68eMOEWWIsOA&#10;oC2QDj0rshwLkEWNUmJnv36UHCdbt9Owi0yLFD/ee5zd961hB4Vegy35dJJzpqyESttdyb+9rD7c&#10;ceaDsJUwYFXJj8rz+/n7d7POFeoKGjCVQkZJrC86V/ImBFdkmZeNaoWfgFOWnDVgKwL94i6rUHSU&#10;vTXZVZ7fZB1g5RCk8p5uHwYnn6f8da1keKprrwIzJafeQjoxndt4ZvOZKHYoXKPlqQ3xD120Qlsq&#10;ek71IIJge9R/pGq1RPBQh4mENoO61lKlGWiaaf5mmk0jnEqzEDjenWHy/y+tfDxs3DOy0H+GngiM&#10;gHTOF54u4zx9jW38UqeM/ATh8Qyb6gOTdHk7/XR7TTxLck0/3uTXCdbs8tihD18UtCwaJUdiJYEl&#10;DmsfqCCFjiGxlgejq5U2Jv5Ex9IgOwhisGt0ULFFevFblLEx1kJ8NbjjTXaZJFqh3/ZMV9RkfjfO&#10;uYXqSOMjDMrwTq40VVwLH54FkhRoYpJ3eKKjNtCVHE4WZw3gj7/dx3hiiLycdSStkvvve4GKM/PV&#10;EndRh6OBo7EdDbtvl0CzTmlxnEwmPcBgRrNGaF9J9YtYhVzCSqpV8jCayzAInLZGqsUiBZHanAhr&#10;u3Eyph6RfelfBboTL4EIfYRRdKJ4Q88Qmwhyi30grBN3EdkBxRPgpNRE0Gmr4ir8+p+iLrs//wkA&#10;AP//AwBQSwMEFAAGAAgAAAAhAHMkZ0XhAAAACQEAAA8AAABkcnMvZG93bnJldi54bWxMjz1PwzAQ&#10;hnck/oN1SCyIOk36GeJUVQUDLBWhSzc3vsaB2I5spw3/nmOC7U736L3nLTaj6dgFfWidFTCdJMDQ&#10;1k61thFw+Hh5XAELUVolO2dRwDcG2JS3N4XMlbvad7xUsWEUYkMuBegY+5zzUGs0Mkxcj5ZuZ+eN&#10;jLT6hisvrxRuOp4myYIb2Vr6oGWPO431VzUYAfvZca8fhvPz23aW+dfDsFt8NpUQ93fj9glYxDH+&#10;wfCrT+pQktPJDVYF1glIs+WSUBrWVIGAbD6lcicB83QFvCz4/wblDwAAAP//AwBQSwECLQAUAAYA&#10;CAAAACEAtoM4kv4AAADhAQAAEwAAAAAAAAAAAAAAAAAAAAAAW0NvbnRlbnRfVHlwZXNdLnhtbFBL&#10;AQItABQABgAIAAAAIQA4/SH/1gAAAJQBAAALAAAAAAAAAAAAAAAAAC8BAABfcmVscy8ucmVsc1BL&#10;AQItABQABgAIAAAAIQB3Xt1OHwIAAEMEAAAOAAAAAAAAAAAAAAAAAC4CAABkcnMvZTJvRG9jLnht&#10;bFBLAQItABQABgAIAAAAIQBzJGdF4QAAAAkBAAAPAAAAAAAAAAAAAAAAAHkEAABkcnMvZG93bnJl&#10;di54bWxQSwUGAAAAAAQABADzAAAAhwUAAAAA&#10;" stroked="f">
                      <v:textbox style="mso-fit-shape-to-text:t" inset="0,0,0,0">
                        <w:txbxContent>
                          <w:p w14:paraId="5C7E2279"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v:textbox>
                      <w10:wrap type="square"/>
                    </v:shape>
                  </w:pict>
                </mc:Fallback>
              </mc:AlternateContent>
            </w: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pocierać</w:t>
            </w:r>
            <w:r w:rsidRPr="008F328C">
              <w:rPr>
                <w:rFonts w:eastAsia="Times New Roman"/>
                <w:lang w:val="pl-PL"/>
              </w:rPr>
              <w:t xml:space="preserve"> miejsca wstrzyknięcia.</w:t>
            </w:r>
          </w:p>
        </w:tc>
      </w:tr>
      <w:tr w:rsidR="00094D21" w:rsidRPr="00A5286D" w14:paraId="783DEE58" w14:textId="77777777" w:rsidTr="008A03B2">
        <w:trPr>
          <w:trHeight w:val="5380"/>
        </w:trPr>
        <w:tc>
          <w:tcPr>
            <w:tcW w:w="9209" w:type="dxa"/>
          </w:tcPr>
          <w:p w14:paraId="57C37F40" w14:textId="77777777" w:rsidR="00094D21" w:rsidRPr="008F328C" w:rsidRDefault="00094D21" w:rsidP="008A03B2">
            <w:pPr>
              <w:ind w:left="104"/>
              <w:rPr>
                <w:rFonts w:ascii="Times New Roman" w:eastAsia="Times New Roman" w:hAnsi="Times New Roman" w:cs="Times New Roman"/>
                <w:b/>
                <w:bCs/>
                <w:spacing w:val="-1"/>
                <w:lang w:val="pl-PL"/>
              </w:rPr>
            </w:pPr>
          </w:p>
          <w:p w14:paraId="01F5A481" w14:textId="161F7CC5" w:rsidR="00094D21" w:rsidRPr="008F328C" w:rsidRDefault="00094D21" w:rsidP="008A03B2">
            <w:pPr>
              <w:pStyle w:val="a3"/>
              <w:rPr>
                <w:lang w:val="pl-PL"/>
              </w:rPr>
            </w:pPr>
            <w:r w:rsidRPr="008F328C">
              <w:rPr>
                <w:noProof/>
                <w:lang w:eastAsia="ko-KR"/>
              </w:rPr>
              <mc:AlternateContent>
                <mc:Choice Requires="wpg">
                  <w:drawing>
                    <wp:anchor distT="0" distB="0" distL="114300" distR="114300" simplePos="0" relativeHeight="251658328" behindDoc="0" locked="0" layoutInCell="1" allowOverlap="1" wp14:anchorId="66EDCEE6" wp14:editId="5CAB23C1">
                      <wp:simplePos x="0" y="0"/>
                      <wp:positionH relativeFrom="column">
                        <wp:posOffset>4445</wp:posOffset>
                      </wp:positionH>
                      <wp:positionV relativeFrom="paragraph">
                        <wp:posOffset>156845</wp:posOffset>
                      </wp:positionV>
                      <wp:extent cx="2123440" cy="2838450"/>
                      <wp:effectExtent l="19050" t="19050" r="10160" b="0"/>
                      <wp:wrapSquare wrapText="bothSides"/>
                      <wp:docPr id="138" name="그룹 138"/>
                      <wp:cNvGraphicFramePr/>
                      <a:graphic xmlns:a="http://schemas.openxmlformats.org/drawingml/2006/main">
                        <a:graphicData uri="http://schemas.microsoft.com/office/word/2010/wordprocessingGroup">
                          <wpg:wgp>
                            <wpg:cNvGrpSpPr/>
                            <wpg:grpSpPr>
                              <a:xfrm>
                                <a:off x="0" y="0"/>
                                <a:ext cx="2111014" cy="2838450"/>
                                <a:chOff x="6213" y="0"/>
                                <a:chExt cx="2111014" cy="2838450"/>
                              </a:xfrm>
                            </wpg:grpSpPr>
                            <wps:wsp>
                              <wps:cNvPr id="139" name="Text Box 139"/>
                              <wps:cNvSpPr txBox="1"/>
                              <wps:spPr>
                                <a:xfrm>
                                  <a:off x="1358900" y="2692400"/>
                                  <a:ext cx="719758" cy="146050"/>
                                </a:xfrm>
                                <a:prstGeom prst="rect">
                                  <a:avLst/>
                                </a:prstGeom>
                                <a:solidFill>
                                  <a:prstClr val="white"/>
                                </a:solidFill>
                                <a:ln>
                                  <a:noFill/>
                                </a:ln>
                              </wps:spPr>
                              <wps:txbx>
                                <w:txbxContent>
                                  <w:p w14:paraId="2D86059D"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40" name="그림 140"/>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a:xfrm>
                                  <a:off x="6213" y="0"/>
                                  <a:ext cx="2111014" cy="2606675"/>
                                </a:xfrm>
                                <a:prstGeom prst="rect">
                                  <a:avLst/>
                                </a:prstGeom>
                                <a:ln w="12700">
                                  <a:solidFill>
                                    <a:schemeClr val="tx1">
                                      <a:lumMod val="65000"/>
                                      <a:lumOff val="35000"/>
                                    </a:schemeClr>
                                  </a:solidFill>
                                </a:ln>
                              </pic:spPr>
                            </pic:pic>
                          </wpg:wgp>
                        </a:graphicData>
                      </a:graphic>
                    </wp:anchor>
                  </w:drawing>
                </mc:Choice>
                <mc:Fallback>
                  <w:pict>
                    <v:group w14:anchorId="66EDCEE6" id="그룹 138" o:spid="_x0000_s1235" style="position:absolute;margin-left:.35pt;margin-top:12.35pt;width:167.2pt;height:223.5pt;z-index:251658328" coordorigin="62" coordsize="21110,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E83rwMAAGQIAAAOAAAAZHJzL2Uyb0RvYy54bWykVttu4zYQfS/QfyD0&#10;vpHkWxIh8sJNmmCBdDdoUuwzTVEWsRLJkrSl9IP6C+1Dv6j9iR5Skh17U+xi+xBlOBySM4dnDn31&#10;tmtqsuPGCiXzKD1LIsIlU4WQmzz65en2zUVErKOyoLWSPI+euY3eLr//7qrVGZ+oStUFNwSbSJu1&#10;Oo8q53QWx5ZVvKH2TGkuMVkq01CHodnEhaEtdm/qeJIki7hVptBGMW4tvDf9ZLQM+5clZ+5DWVru&#10;SJ1HyM2Frwnftf/GyyuabQzVlWBDGvQbsmiokDh0v9UNdZRsjfhsq0Ywo6wq3RlTTazKUjAeakA1&#10;aXJSzZ1RWx1q2WTtRu9hArQnOH3ztuz97s7oR/1ggESrN8AijHwtXWka/x9Zki5A9ryHjHeOMDgn&#10;aZom6SwiDHOTi+nFbD6Ayiog79ctJuk0IoelrPrxC4vj8ez4KKNWgyP2AIP9fzA8VlTzgK7NAMOD&#10;IaIAhaeXEZG0AVeffJE/qI54X4AnBHqwiOswgejRb+F8BbN0Or+4TEA8j87icjKDHSg34neeXp7P&#10;0SMevnS2SHr09gDQTBvr7rhqiDfyyIDRgWh0d28dtkLoGOLPt6oWxa2oaz/wE9e1ITsK9reVcNwf&#10;jhVHUbX0sVL5Vf209wB6m/VVect1667HJ9ljsVbFM6Awqu8qq9mtwIn31LoHatBGqBvS4D7gU9aq&#10;zSM1WBGplPntNb+Px7ViNiIt2jKP7K9banhE6ncSF+57eDTMaKxHQ26ba4VaU4iOZsHEAuPq0SyN&#10;aj5CMVb+FExRyXBWHrnRvHa9OEBxGF+tQhA6VVN3Lx8181uPyD51H6nRw704XOh7NVKKZifX08eG&#10;C9KrrQPW4e48sj2KA+Cg9/JKC5bhb2h3WJ/x/MuyiFVu62HrpbX5qj0aaj5t9Zu+XrEWtXDPQWVR&#10;s09K7h4E8zz3gxctMwOSfcv8/cef//z+F0nhAZXGsH4R+CjYvWKfLJHquqJyw1dWg89DG8XH4WF4&#10;dOK6FnqktreH2nBhJ2r4Cjy90t4otm24dP3TYXhNHd4tWwltQZOMN2teoMfeFSAQw7PloALaCOn6&#10;prWG/Yx8URlayBnuWOUbxud9yM2P/kMNTpVwFIFjEV0ki8X5fOjUUYPHHv9KGaglQbulk3PoTcj2&#10;pSyEx5XvhcF1PafrbfOTKnqxWMyTUang9kIeNGQ6ur2G+Cfa73KqKJgLAnIAIiCEYSB5eMrCmuHZ&#10;9W/ly3GIOvw4WP4LAAD//wMAUEsDBAoAAAAAAAAAIQCcecYXJK8BACSvAQAUAAAAZHJzL21lZGlh&#10;L2ltYWdlMS5wbmeJUE5HDQoaCgAAAA1JSERSAAAB/QAAAnQIAgAAAJf5bVIAAAABc1JHQgCuzhzp&#10;AAAABGdBTUEAALGPC/xhBQAAAAlwSFlzAAAh1QAAIdUBBJy0nQAA/6VJREFUeF7s/QdYVUfXv4//&#10;r+vXvu/7lBSl9w5iBeliienliYnpiS3VHpOYmGaixi72iooFC3ZFBAQLiqjYC4i9JVEp0vuh/e+z&#10;F+4QNXlMREWdz3WyM3v2lDWD515r5uyzz/+vRklJSUnpFlR1TdXV1ZxWVFRUVlZyKldFXLpDqu3g&#10;L4qKWFheXi4tlJWVkVDcV1JSUvprMmJYU+25ptqsO6DaDv5WFwaDgaPmrYzuCl/FUXFfSUlJ6b/I&#10;SNDf81cwqp/qEsLWo2hTekGSI4sM6e6/qrS0VCqKA6AuR8V9JSUlpf8ijbe/7edoRDXqutM7JOkF&#10;1Z5rqs36byLA54jxeoK6ivtKSkpK/0XXoVYwSuxMEF1eXk5MjUjo6Tuhkjoq+iuifH5+fmFhIYni&#10;4mKMV9xXUlJSuiVBTEAPOrOzs9PT03/55Zfz58+fOnUqLS0tVdOxY8dS7oCOHj165MiRgwcP7t27&#10;Nzk5edeuXUm3rJ2atm/fzjExMXH//v04J8V9JSWlh10Szt9UsB6VlZURLBcUFGRlZf38888nTpw4&#10;fPgwGN2yZcuGDRtWr169fPnyZZoi6lvS5uLFi+fPnz9r1qypU6dOnjx54i1r0qRJ48ePnzBhAomR&#10;I0fOmzcvMzNTcV9JSenBVy3Ffy9huqQrNekJguKioiIof/HixZMnTxJuE2jHx8dD+cjIyFWrVi1d&#10;unTBggVgdO7cuaGhoTNmzIDIU6ZMmVbfomU0ffp00rRPL5JPzi0K6M+ePZsEbgDnkZubq7ivpKT0&#10;4EsQLwLrHEF8hSY9LUE9uCeuJyg+e/bsgQMHtm3btnHjRoLuhQsXEm4LScEu4TM4njlzps5lkZzW&#10;u+gIdoeFhWEGsb+sA25FK1asoMrKlStJU5GlSV5enuK+kpLSwyUd/YhToA/xc3JyCO3T0tL27du3&#10;Y8cOQvt169YR1ANNgnpAP3nyZMJtEAx8w8PDlyxZsnbtWmL/9evXx8TE4BuosukOKO6aNm/evHXr&#10;1u3btyclJe26Ze3fv58q8qmA7PWXlpYq7ispKT34EtaL5CYcBAELCwuzsrIuXLhw7Nix3bt3w1ni&#10;4vnz5xNcw/qpU6cSwktQT7C/YMGC5cuXR0VFUSwxMREPwYLg8OHDqampJ0+ePHPmzLlz51gl1K9o&#10;U1R7XifnVnTp0iVsI0HF8+fPnzhxguEr7ispKT34gvv6lo6kgT5MPHToEEE0YTtAJ7QH8RMmTBg3&#10;btz48eOJ7ufMmUNcv3r1asLthIQEguU9e/bA+pSUFACKTp06JbhnrfDLL7/8egdEsz9roguOf7WX&#10;jIwMcE+CuhyxlrEr7ispKT0sAvqISF9i/OTk5LVr1xLaA/qQkBCIL0fCfIhP4B8bG5uUlAToT58+&#10;DTcvX76MqxD4XrlyhaOIHFHteb0K3GMq7Ma7cCQtDuDWRUWIT13SRP2K+0pKSg+aBO61J78/rays&#10;LCgoEOLHxMRAdqAvAf6sWbM4jYqKio+PZwWQmJhIGVYDx44dk6AebgqFSQhDgamgmbSgGZGoX9EL&#10;PgaXo3f3lyRuQ7gvxivuKykpPWiC8rKfI9L3dgjz8/LyIHhCQsLSpUtDQ0MnT548adIkEosXL163&#10;bt22bdsI7QH98ePHddYDTbBeC9H7UNiP22AICO6Tg/NT3FdSUnrQBOi1T3CN9+MjItyioqJLly4d&#10;PnyYMF/28adNmwbxlyxZEh0dnZSUdPDgQYh/+vRp+eBUomMh/t8LtBuIFPeVlJQeCl3H/fz8fPC3&#10;Z8+e1atXT9e+vgT3w8PDOd28eTMxPqF9XTLqgvii2vP7UIr7SkpKD4VgvWzvkC4uLgbrO3bsWLFi&#10;BdAfO3Yskf7KlSu3bNmSnJx89OhRrgrcwaKQUUCvsxKRMEL0PpTivpKS0sMiLdCvBvpnz55NSEhY&#10;smTJVE2hoaGrVq1KTExMSUk5d+4cHJSPTGEiiBQ4Ij0h4lSj6P0nxX0lJaWHRdCtsLAQ6G/btk2H&#10;/tKlSzdt2rRv3760tDQuCQfl1szzmjTIGyWgrCuNovefFPeVlJQeKBHRQzGOpKs06ZlFRUUgj7h+&#10;2bJl8lyd8PDwzZs3E+ZDfD20J6FxvvbuTEkjrgo3kWz73KdS3FdSUnqgBOIrtB+MJa1zn5zc3NyT&#10;J08S2i9YsADiw31Cfk4PHTp07tw5UIjqkv0BluK+kpLSAyWIL9AXkS4rKwP6x44di4uLmzt37sSJ&#10;E+H+4sWLY2Njgf6ZM2cAHwRU3FdSUlK6X6Wjn2NRURF0O3z4cHR0dFhY2Lhx4yZNmhQREbF161ag&#10;f/bsWah36dIljtft5DzAUtxXUlJ6AAXxq6qqSkpKQFtSUtLq1atnz54tj01esmTJtm3bCP/P1Xl0&#10;msZDowO4rzfub1GK+0pKSg+UtFjfuMVfUFBw/vz5nTt3rly5MjQ0FOKD/hUrVhDpE/7LrTtI8Afu&#10;HxLoI8V9JSWlB0qE+eXl5Tk5OadOnZKn7sycOXPq1Klz585dt24dbiAlJeXMmTPwri7l9cdqotqs&#10;B1eK+0pKSveNZPcGkdBzOJIDuSRdWlqanZ194sSJuLi4sLCwSZMmCfTXr1+/e/dunIHE+EAf1gsH&#10;kfgAQaHkPMBS3FdSUrpvBNlRXe5XVFRwJIcE8CopKYFohw4dio6ODg0NHT9+PNBfvHhxVFQU0McZ&#10;yH6OwP0h2dW5UYr7SkpK95mE/iKDwSA55eXl+fn5586d27t379KlS2fMmDFu3Digv3LlysTERDwB&#10;0Adz8A7cAzvh3cMpxX0lJaX7WEJ/oC97O1u2bImIiJg+ffrkyZNnzpy5atWqXbt2kX9e+1lBYCe8&#10;A3yK+4r7SkpKDV0V2m/h1p5ogvgAq7Cw8NKlSykpKXFxcfPmzYP48nPnkZGRsrcD9CEddAP9QjpO&#10;SWgMfBiluK+kpHR/yGAwgCdJC/HJycvLO336NEF9VFQUrJ+qafHixdHR0Xv27Dl+/Lg8g0HoJphD&#10;JDQAPqRS3FdSUro/pAf7QJ/Yv7i4OD8//4z2E4kRERGzZ8+G+DNnzlyyZMmWLVv0p+7Il7NYECCh&#10;HpLAH9WeP2RS3FdSUmpwkvsykbBebtcB93JVNvQzMjKOHTsWGxtLdD9lypRJkyaB/rVr1yYmJp44&#10;cQLcC+OEazf+BLlQr/bkIZPivpKSUoOTgB4J9wE9CY7IYDAQ5oMteeTO9OnTCfM5zp8/f/369cnJ&#10;yWlpabAMCdbBPZH+ddB/yKW4r6Sk1OAE37Vwv/arWJID+oF+dnb28ePHCepXrVoVGho6YsQIgv2I&#10;iAjZ2zl9+rRAHwn3EdBX3K8rxX0lJaWGKAG9hPkE/mVlZcXFxVlZWSkpKbGxsQsXLiTMlx9DX7Zs&#10;WUJCQmpqqmzoI6Gb0h9JcV9JSanBSaAvwT5HwnygD9b37du3fv36uXPnTpo0afLkycT70dHR27Zt&#10;k+esCdRgWd3oXuiGas+VFPeVlJQaoIA+JJIjxM/MzDx//vzmzZsjIiLk9xEhvjx94eDBg6wATp06&#10;BcvA/WVN2r5OLfoFbUI3JZHivpKSUkMUYT4wKigoAEx79uyJiYkJDw+X+3YWLFhA1E+YD/TlO1mU&#10;AWECNSQf5Ar6BW1ILikhxX0lJaUGIdnbkTAflZeX5+XlnTt3Tn+A/tixY4G+3LezY8eO1NRUoC8g&#10;0yUsqz3RJDmo9lxJcV9JSeneymAwgHi5ZRP0izjNyck5fvz4li1bFi9ePHXqVKA/Y8aMJUuWxMXF&#10;Ef4fO3ZMHrkjIFP6S1LcV1JSukuC7BLO155fE6DXw/ySkpLs7GxIdOTIkaioKHmW8oQJE0B/ZGTk&#10;tm3bjh49KsQXaRxT+mtS3FdSUrpLAuvCd0Bfm3Vte0fifQL/9PT01NRUgvrly5fPnDkT4k+bNo0w&#10;PyYmJjk5OSUlRb6IK8CCXxrHlP6aFPeVlJTukupyX5dAv7i4OC8vj/h9//79IJ4wnwAf4s+dO3f1&#10;6tXyEe7JkyeBvtAKciFhltJfleK+kpLSXVIt6a99fosgPsfS0tLLly8fPXp006ZNhPbgXp6lHBER&#10;sXHjRsJ8VgBypyaEwjcIrTiqfZ6/J8V9JSWluy2J8cvLy8vKyjIzM8+cOQPc165dGxYWNl3T7Nmz&#10;gT5u4PDhw8T48P3SpUtnz54FWMJ6aCXo1zim9NekuK+kpHSnBN/RdWnifaDPEe5DnL1790ZGRs6Z&#10;M2fGjBkQn+P8+fMTEhL27dsnN+1opLoe9MIsJKd3WrLIAJfYQFpOJV8KcHqdhQ1ZivtKSkr1L207&#10;x8h3JKfCfRLE+FevXr18+fKJEyfg++rVqwnzJ02aBPQh/ooVK+Li4g4dOnT8+HHWAYBJ2Hpvkap3&#10;LcTHGBySZHLUJWUavhT3lZSU6l8gHpQI9wX64B7JQxcI5Ldv365v7EycOHHKlCnh4eHR0dG7du3i&#10;6jntx1LqklQgVXty1yVwlF9uAZqIHHFIYhgirYf/DVyK+0pKSvUv4b4E+Ki0tDQrKwvEEMUnJydH&#10;RUUR2kP8qdovZJFetWrV1q1bDxw4cPLkSagEiYRKIk7vOVL1ZQeRPkfWK6CT43UP9xdrG7gU95WU&#10;lOpfgntEvF9UVAQfieK3bNmyYsWKefPmTZs2bcKECZMnT547d+6aNWsg/sGDB/XfwgWsHEVQCTYB&#10;Vom175X0SB/b6pqHbVxidEgKkKPVaNDCTsV9JSWlepZs7OTk5ECWlJSUxMREifEnTZo0fvz4GTNm&#10;LFiwYPny5bGxsbt3705LS4NE8FQYZASqBlCkYcoYa9eNqe++6B2T5IYijDxx4sSePXtYnTA0MrkK&#10;RqWMbnNDFnYq7ispKdWzysvLs7KyCOETEhJWrVoVFhY2ZcqUqZpCQ0MjIyN37NgBNymAID7oOaMJ&#10;esrOicTRkhY8cdSodQ9E1/AdSZrVCUOIi4tLSkpKTU0lR3FfSUnpwVTt3o32OS1kR/oOfoV2P77B&#10;YJCHaB49epRAPjo6et68eRM1EeMvWrRozZo14JJL8tB8iH9fgFJ8DxK4Hzp0KD4+HvTj0kgcO3ZM&#10;HBUwFUeFqEV5qCpgbVBS3FdSUrpVCd9hfe35tRs0ySwpKcnPzyfGP3HixPbt21esWDFnzpyZM2cS&#10;4E+bNo14f+XKlZs3b05OTgaalJEYX/h4X0gnOEdi/J07d0ZFRS1fvhz679u3j5UK+WBUhz4SqiI5&#10;bThS3FdSUrpVCeVhBKAXB0AOMT64ByXE+ElJSXBQ39UB/cT4q1evli0R2Q2nJKDR+Qh6jChq8IKP&#10;8gkEBjMK0I8bI95ftmyZfOHg9OnTMjRdGleNqj1vMFLcV1JS+msC97LJc939+LKPT4w/ffp0Ynyg&#10;T9QfHx8vD9iRR6qBmLrEF4waUdSwJaYK98V40HngwAFGB/dZysgPu98v21aK+0pKSrcqifc5IkiR&#10;m5t78uTJXbt2RUVFLViwYPz48aNHjybSX7hwITF+bGwsMf7hw4fllny52fGSJkG/6L4AJXAUYS02&#10;yygI8EF/TEwM6F+/fj3u7cSJE1Km7qAoX5tqMFLcV1JSulUJ7ktLSwsLCzMyMgjzgTuUJ8CfMGFC&#10;SEgI0F+8ePHGjRsBogS/UA/KiOCLfosOEnpqIGrownjhIxLjESuYM9eeKCcrG1yglGTgdQtLuuEI&#10;IxX3lZSU/lAS3SNJV1RUZGZmpqWlyQebhPnTNM2ZMyciIoLgl/zU1FSAqG96CAfrUp4cyZQCDV+A&#10;UoYgEBfLGSP5OD+ID/dZ4kRHR0umFKCwXqVBSXFfSUnpzwQRDAaDoL+8vDw/Px+sE+bLxs7EiRNn&#10;z55NjL9+/fq6xIcsgpgHWIzx7NmzjDclJSUuLm6Jpi1btjAJXJIZgPsC1gYlbFPcV1JS+kNVaQL6&#10;ZWVlly9fPnjwIIifO3euhPnQP1L72du9e/ceP35cYPeQiEAeaDLk06dPJycnb9iwYdWqVUT9+D/5&#10;aTBBquK+kpLSfSlCfqB/4MCBtWvXzpkzZ9KkSTNnzpTfw5IHLRD2AhF9W6MBwq7eBToZrNATnwfu&#10;5XtqHJko/QfCGqAU95WUlG4uYnwJ9oFCVlYWLIuKipo9ezbEl5+93bFjx+HDh0GePE8NfOgcfKi4&#10;L8eUlJSEhAQWQMzM9u3b5csKFNM/1Wg4UtxXUlK6ueA+OKioqMjLy4NikZGR4H7cuHFhYWGkd+3a&#10;RUgLNQQfCHxAQNQASXeHxGBlBhgyK559+/YR7K9atWr9+vXMj2x8Uaa2dIOR4r6SktLNJdwvKSkB&#10;DfHx8UT6kzStW7duz549aWlp8OLy5cs66IUjnEqmETAPtHSmk5ANLkDPqoj5Wbx4cUxMzMGDB3GN&#10;LIakfMOR4r6SkpIR8bWpa5JNHoPBkJubS7C/bNmyCZogWlJS0smTJ8/XecAORyEIImFEy72TRjOj&#10;as81XXeqS0rWVe2F31+6MQcxAwwc4pMmgU6fPp2amgr358yZw4xt375dbnAStlJMnx853isp7isp&#10;KRlv2qlNacQXAf2cnBzi+qioqGnaL6WEhYUR+BPGSgwr8IJ3RpY0GGEVXOMoLNbXInL1Rgn7dCIj&#10;qcjpdZckLSIH7pOgfUSaiTp8+PDGjRtXrFgRGho6Y8aMpUuX7tq1i0syXVhFgorSuNbVvZHivpKS&#10;0u8E8bVPc40/nHL27NnNmzfPmzdv0qRJc+fOjY6O3r9/P8E+pABe4ANpJGlwEqIJ1ATNkn+dNML/&#10;TpSs+6ViKSZN6aBk1NBcbt4/fvz4kSNHkpOTie6Zq5UrVy5fvjw8PJyQn+OmTZvkZidpilq0QJqj&#10;tHxPhP2K+0pKSr9JuE+wDw527twZERFB6Dpz5sxVq1Zxevr0aUgBFkEGFIMgJDSYNBQJy3RxqgG8&#10;Nn6vK64aHZf2ZAU9Tb6Ul6akmIirgns8H7g/dOjQnj17tm7dun79emL8JUuWLF68WB5MFBcXx3QR&#10;7+Mp9+3bJ54Sd0IjJMQYo633SAxEcV9JSel3qtB+FBdgQTGID/eBGoBLSUkRMkIKeNFguS/UxkIC&#10;7RMnTmA2gtTXiUsQGU9GMUSCUzLlKnH6MU2pqalHjx4lqAf0LHd27969Y8eOhIQEJiQ+Ph7og3jC&#10;/LVr10ZFRW3ZsoUyFCb8J2fdunWU4ZSJgvtG0Kp4X0lJqSFI28+v/WiXYL+goAAWgDC5cXPWrFkb&#10;NmyAfQALTIh0aiANJg1FWAVhQRvgxnXBX6Jv4AusrxMEB+VAWRyDkD05OZlLiYmJVETbNDF8XOCy&#10;ZcuI6BcsWDBfEzmRkZFc2rRpU1JS0sGDB3ESNILzYE1w+PDhzZs3U4aon45OnTqlz564pXsoxX0l&#10;JaXfBP2Li4vhAsSMiIiYPHnypEmTiGf37t1LRFwXWKQR1KBwbVbDECYRsx84cIB4HCgTcQudN95M&#10;uAToTElEglMycRKSQLGaaAGCMyHaM3iWLF++nFPK4Bp37txJXxCf+WEqhKSI1QOBP6uBsLAwGqeA&#10;5CPm7Y8+b7g7UtxXUlL6Ld4n2M/NzSV0Xbt27dSpU4H+woULCX7lPnTCWMG9LgEZ4BCIIA0sRpEv&#10;HERSpl4kDSI5xQbJ5EgvGAn0YTGwJjxftGjRihUroqOjCcmF4wisC9mB8kpNODYEylFUVJQUQNQS&#10;sQLYtWsXzSJcIMuCVE3QXGaGkdI7ZsBT3R4swTGEh4djDD6AYue1W4CkzD2U4r6SklIt94F+SUkJ&#10;UIBTU6ZMmThxotzDc/jwYYEa3Bdw3CiBCCINi4lnhcKSI7zTCv59yT02NEhTImmcBDbTxfHjx5OT&#10;k0Et4Tm4X7p0KRwH3yAbWMPuBE2ywyP7OVxlsDGaSBOYb9++PSkpCb5TZs+ePVRk6cMMQHnah/J0&#10;JP3+kcQHYCrTRddr1qzBHhYTOAlyqJuZmUmZ2tL3Qor7SkpKRsH9srIyQLBt27b58+ePGzcO6MMs&#10;2ZsmHzoII24qjSG/SfYx4Iv4AFgJ8m4fdjdynyPe5fTp00ePHoXjGEx8HRERQQLUHjhw4KT2aEwK&#10;EKSzcJGdmSNHjhCMo7S0NGguaeOHudc+7GXIiFoijGcISJiuDdGoWrPqCAspg7hKvxjAcgEnhPA0&#10;tEN1ynCptsK9EOYp7ispPewyGAylpaUZGRlEuIsWLZo8efLUqVMJlgElHBQ0IIAliboSfOiiMFgh&#10;n8QZ7SGdch+LQFOq/D3RIO2QEDOMnWlf0QLWIBW8rlu3DuJj/4YNGwjbU1JSKEDvQJZYG9yvX79+&#10;2bJlRN+MS6J4RicIphjN0gUydqa1L6eI07qd6tIK/k60Q3nhPgls279///Lly8PCwnA5TIjWnvFW&#10;qNoK90KK+0pKSkbuX716leAXMgL9iRMnQk/iZeJi0EDADimQUOM6CTs4yilEI6oFcCCPEBvgklO3&#10;wN8WgMYG2gHBHDmlF+AOxHFRCxcuXLp0aUxMDFE/sT8xO1Xkxh5GQRlWAAsWLJg1axarGUC8du1a&#10;CuMMDh48SGFpWWQEcx1xiWPttf82Cngq/kNKMnZcC56GxVNsbCwzfG8jfREjUtxXUnrYxdseHm3d&#10;uhV6hoSETJ8+HQdwQHuIPBRDkAIJNa4T7OASRzmlndOnT0sMHh8fT5BLwMvpH1W/dQn34RQJYCr3&#10;XEZHRwN0iI+ioqLkviMKYzPQJ0HJ3bt3b9y4ccmSJQT7q1atgvj4CdBPGvQzatrBf2A2jSPjUOu4&#10;AST5ktZs+UPJukEvSS2sZS1C13Af87BHDLuHYnSK+0pKD7uKiopAEuiE+MT7IHLXrl0SBWvYrwUZ&#10;CQFHXZFPMRJyFczhLYi4Ib7c+AjvACvov83NDSOMtUfcEDXv2bMHp7Ju3Tri6BXXftOcuB52Yw+F&#10;xSoswevExcWtXLkS8oL4w4cPUywpKQlPgMOQOzKh//bt2yXwZ7FCF3XXKCx3RPrwyRfJaV3VLYZo&#10;BDNYVdAF88ASCncF929a964JkxT3lZQeOsndOyQ4FhcXE4QSOM+aNWvKlCkLFiwAo8S/Ovh0/RH3&#10;hR0iHc2AmDahLWL1AGol6hdJFRokIWlhK7oOryTIgVOwGI7DzW3bttEg0To0B9yyH0WYTwFallqI&#10;wkT62CB3alJMnihHd1hCGtazRMB50IgYKXtEVKQdMUBsu1Fc4ljXVG0c1xeWfHxPQkICfSHS5N9Y&#10;8m6K0SnuKyk9XBLoV1RUyI2bvO0JRcPDw4F+aGgobIKJhL0aIv6mQDCxMziGd2CXlQTkhbMSksMa&#10;IQ5HoxO4dtuPDn2OXCVfWiMB1qkre0c0JXfsYLb+nSl6REIxErCbwjCdBQflWXzgycikAI3Tr6xL&#10;qMvSYcOGDXi7efPmQX9KSps0QlMURmKYEZOaJL+uwWTSMpKr14muCfkxBpvpjuHctNhdEwYo7isp&#10;PVyC+0AflZaWQq59+/bNnz9/+vTp06ZNA3zEyEBfcHY7gimwFeSB+8jIyMWLFwNrSI1TEaRCH4m+&#10;KSnlkQZPI5opw1UxAwqzXJCtfCzEkZAmNid2poC0w1GaQnXv6SSWl+0duYeS8coWvNFETax1YHFc&#10;XJxs++Ak1q5diyegRy5RgMJQUjbl6UVEL+Tr7XCqGX5z7uNg6EKMZxkk1Wuv3QthgOK+ktJDJN7h&#10;iEifo3w1d/Xq1TM0LVy4cPPmzWlpabAANAgj/p4EKEZAXrhA4E/oDUlBP9E3yN67d698eICEPrpq&#10;62tsgtQQE88BxFmFyINxWDps3LhRViTCWUrCfakud/gwCthNXytWrAD6jEiuIqrohpHAu7D+oBfZ&#10;+dm2bRvcpyMcBtOiL1AoJuX1FlCtobcgah06dAh3JV9+pi45tdfuhRiL4r6S0kMkifTlW1q8/wnA&#10;Z86cSbAPUmHrgQMHYCggkOPfFkChcXApWAGsxObwmoAa+gNlVhX6/TOIMhI+I9JUBOvwmqB7vXbT&#10;PQLEpOE4LKYAxagoOCZNIE+DOBh6wTewtli3bh2QTU1NpYw0K5jjVESOxP7G/ZpLlzCSpU9CQkJ8&#10;fDxeCgeA2yCB18El0A7t0wIlqWJE5jXRjkh6uVH0whIE7oeFheFLqCI23ysxdsV9JaWHSLzDDQYD&#10;0E9PT9+5cycR6KRJk0A/VNql/VQ6FPgjft26aAEJWUgAGgJ8nAqRODCFy/BUbvKB74JgKY+/wYbD&#10;hw9TGOBGRkYuWrSIyH2N9s1houYTJ05IeY7UFWRTUVYVuC4apzwVqX7s2DEaBG2I9gXZctTMNHoC&#10;RA4c5JSucTYwmqnAQpqSJ/zgCWgNr8Bigo5YVYjZNEt1aYo29WavE9zHEmZ4zpw5cJ8cKsqleyIs&#10;V9xXUnq4BPezs7OhG0SbrAn6b9J+GQoKAAUkgPjbEhoKChFpWoaqgBvwAXHicYJ38CobPlIGmBJW&#10;Q/y4uDgITjFifBJUkc9aAa6xda01uqAWR8jOWChDgC8rA0J+nITcPiTlKUaaI4iXGF8s5EhT0pqk&#10;yaQkZuzZs2fbtm00hQthgULjGMzyiAUHZmMP1kpFqhgHqXkUY2c3k3B/9uzZ2EnJ25/h2xG9K+4r&#10;KT2wqqqqqr7hN9OLi4thFqAPDQ0l2J83bx44I5gFoICAo+yi3I6EKbUn10SO7L8nJSVBUqLpmJiY&#10;/dq3usgnkOcSMTtrArwCV4G+EByHhEmUAVhAE3BLzI6oK3d24iRkQz86Ohpq42MgGgUoKTjWGS26&#10;Ls3VugVI06OsPKA8dmKMOBU6wirwLU96wLbT2gN8mDdERWkQU2lBTklTjBbmzp3LGgvmKu4rKSnd&#10;KQF9nfsk5ONceQ7P8uXLp0+fPmvWrFXa4/UBKBQAAdBK8Kohoj5Fy/BREC/oJwQmiE5ISICt4J7I&#10;GnCHh4fDVvkuFWE1heEptmmcN8bpoEpEGj8RHx9PLaBPg4mJiXLrjoAV4utOQmz4r5JmpS/SoB8v&#10;cvDgQTrCTqwi8IfgWI7ETrwO84n7YdkhpkqPmo3G1jCGeJ9aYWFhivtKSkp3XIJ7EhUVFSUlJdnZ&#10;2ZAR1ssPKBJZgzPoBgJApEABgS0NEfUpmCgt4wBwMzt27CB8njNnDh5Ivl21cOFCeZombkBupKGW&#10;vi2jE5zqOAMgy0BwG6wMqAj0QTPElwJ0RBWqc/qXuG9k4bWKeo6kaZweoTz+CTfDOgnJBwDksAjY&#10;smULllMGyzEAMxiyOCGZ8/nz5+PwaEpoe6+EPYr7SkoPprRY3yjhvsFgyM3NPXnyJJCdNm3ahAkT&#10;wBa0AqDy5oePAgKOpDVE1KegZ3p6Oi2DRdnrJ17GEswgQRxN7IwzkBifZYGYIZZglW4kJN1/7ekL&#10;8lPmmzZtohZtCvGlsJFq1wgu4L51SV1ERXokQYO0TNeys0SAz9oClykfRYglCxYskKeB4oHS0tKE&#10;+FSkCjlwHxdFvC+21fZ0L6S4r6T0wEo294X7HAn2eZODKvAkD1+DmPBLx5OAAAGCvwrKWxEtgxsE&#10;nUH/vn37wCXLDqJguB8fHw/NYTf2YMx19kh1LqWmpu7WnrMm6wPC/O3bt5Opj0JK1pWG/b/MfVrT&#10;GyShexRpk0xieblJCa8D0JnPsWPHjhs3bvbs2WLVwYMHIT7FMJjRMdusThgj7UgL90oYoLivpPRg&#10;Su7TRyTKy8szMjL0h68RZa9YsYKI9dixY7z5AQESBKA7AX1EF/Ql+zaQWnBJmEy8TBQs2yNijAZq&#10;ow1GMl2LtVkBQFIAKnfWy/oAv5WSkiIf+VKS2JxhSl1qifTWbkV1exSRJl9vgauS4BLrEpiO/biu&#10;SZMmjR49etSoUePHj8eZ4VzxTLGxsTgAcI/NOINt27Yx4VTUG7knwgDFfSWlB1M698vKygoKCgil&#10;ARDQh1BQaevWrRBTgmvBAWiTPXRwABoksx5F+wIaLIGAy5cvF3wDfYJiCmgg+u0XWrCEKqTxB2na&#10;g94E+ngLYmfsx41RkfLUwnJhGSOiItXpSEQjyGjBLYjuaJBacioVNbt+WzdwlX7R0WuPHSXGZ2IR&#10;DmDu3LkzZsyYPHmynDJG1iUoMjKSJY7uorTm740wQHFfSenBlNy9wxHu8/ZOSEiAPkA/NDQUBu3f&#10;vx9E8p7XGadLiFB78rckiKRlaRwoI9oEqRAcS2AlkT5+KCkpidiffNmooTA8JcGRTBohfejQIbm5&#10;U+7UjIuLA6DHjx/HH1BeTJUeSevDMY5Bk5zeomrr/L6WWAIraZxL+BVyiNyBfnh4OJTXP6Vg/UGA&#10;Hx0dzVRPnDiR2J/ZnjJlCoNl1A0h2EeK+0pKD6yI9IE+UX9eXt7hw4ch5tSpUwlCoSfBMgziPS+h&#10;cb2LZhHtI53IkJ1Oie6J8cGlcF+eu0AxYCSFSVCXhDgJ2c1fu3Yt3JePcAX6tIZvqO3vDgvj9RGR&#10;pl9xRQwBP0poD/RjYmKY5PT0dFYzO3bsYFESEhIyYsQI6E/Uz0hZnYij0ubjVtcfd0KK+0pKD6Bk&#10;ewcZDIacnBy5h2fWrFlAClSBUQjFmx/6wDIQIDioX9VFG3A5c+YM0AfiEBDHgxnLli3DFYHyxMRE&#10;2dkXCVsxj3UAAfXy5cspv3LlSrnbR/amxElwrO3gDgt7ONIjEuhjDBE9gTxwnz179oYNG3BR+FcA&#10;ysAZ0aJFi7g0duzYmTNnxsfHJycn81egEdY9zLnW6j2T4r6S0oMmcK/v8BQWFoJUYuSwsDAgNXfu&#10;XAgl9/AAIKGAnqhHCVNIGCPbazfsw77Y2Fg4Lh944n7WaA9siIyMTEpKgpsgFWtxD0T0IB5fxVUA&#10;SjGGQLxMGThFg9I+ku7utAClCHZjG9CX7R3ZwcdOliyZmZl4WSYcz8TqhKt4WaY9KioKP3FCe6Sz&#10;Dv27ZvlNxUAU95WU7ntJdK+neRuXl5dzBEY7d+4EnRMnTpw2bdqqVat27dpFHM0bXnYtQICwoH6l&#10;twyjOcr9juASjgP9rVu3HtUE7sGiRP1y4yM+iRgfOxcsWBAaGkpMDVXJxGa5PV9QJYm7FjhLpyxZ&#10;sARTWTkxmRyXLl2akJCAS8vOzi4uLi4oKMBvxcXFsQLQP0fBXWE5s4G1SJpCtU3fCynuKyk9CLqO&#10;+xXab6rk5uaCSzgFpOA+DAWpBJ4E+7zbdQCREBzUo/SWESgkRo6PjyfSh/tgkeiYfApgDCSVJ19i&#10;Jz4A4i9evJhgGYOnTp2KS5DViTRFFYiPIBentZ3dedEXcMdlrlu3bubMmePHj8dChoOvwrb8/Hwm&#10;vKioCPNwaXhZllZ4BTwcqxbGKF5KlinGebmn0EeK+0pKD4Kq6jx/jYTBYCgpKQFVsq0/YcIEjuvX&#10;rz98+LAE4Lzz5Q0vp/UuYQoCeSkpKdAQ4qPY2Nj9+/eTSb/YADTBYmJiIogE93PnzoX1QBPoT548&#10;OSwsjPJUx1QiZapQUZwWp/Ry1z7XxXWxNMF+plFu0MRRAX0CeWJ8oAn3MzIyGNqSJUvwspSRpQDG&#10;M0zEVNAOR5n2O/SZyi0KexT3lZTuexmj/TrcLy4uhpJyVwnQB0NE0/LwAHmfy3teg8DtigbhCIm6&#10;LkTa5xLgI9IH60CTxIEDB06ePEm+XgukEv6zEJk/f/6YMWNGjBjBEcFWbJa7POE75XWDgX56ejrV&#10;aW3btm2U2bt3L43oSxkpA9oo9iefXmAwV8VsaZy03gs+RjPzIgYQ6a/RHikhn5GQ3rlzJ4Xz8vLK&#10;y8vxsnTEuoR8lgKUCQ8PZ1mDl6UR2duRZvXEvZXivpLSAyKJOoE+x6tXrxLsr1u3bs6cOZO0Jy3D&#10;XBAsGyby5q8vCT70NBwBKxowjds4EssD/Q0bNuzevfvYtR9CAYgCVk4xTD55Hjt27MiRIznCfSLr&#10;qKgoeXIDxaR9ndHAFIcB7hcsWECIDXA3btyIAzh48CBdMMwzmuiC8jAOaQ1cL1k3IBmCzmg6wjC6&#10;ht34JOyXrSdmkoHQL2WKioogPiut/Px8fAPLqdDQULiPY2CZtW/fPrFcbG5QUtxXUnpAJNznSLAP&#10;E6EVGCLS54gDAKCA7A4xSG9WOAJWAC7QJygmZl+4cKEEyKw2ILJ4BQ37tdw/dOgQoJw9e7Zwf9y4&#10;caNHj8Zj4QzgKeVpX7oQTFOLjhgjg6L9VatWcVyr/Rg6UfbWrVthLr4E7ksV6lLeaN+fimIUpnHE&#10;KaYK9Fkz4TtDQkKYSbl1h+i+rKwM4qOSkhIsoV9wL/v+DBYD6F3aEcsblBT3lZQeHEmwn5mZuWvX&#10;rvDwcOJTMES4DXOJPXl73yEG6WAlgUAJ0JdPQRctWgSX5UFAAn1kJGudT30xb9myZZiqx/twn8ia&#10;WmK2iCo696UXHMnRo0eJvhMSEoA+I4XRhP/QmdifHqUkDoaupZG6EgNQ7blmP1UoD7VpWT6WmD59&#10;OjOJH2L9AfQzMjJKS0shPrNNguHIJtWUKVOmaU892rZtG8OvbbHOkqLhCJsV95WUHhABo/z8fGgI&#10;cMEQwAJbYEjf1udYF3P1KGlWNtOBNSyGklAYDu7YsePkyZPE9fBUw76R+xCWkiTAa0xMDFTFYOLl&#10;UaNGEe8TXOMwkpOTqSXFENV17tORTi48B4E5vcjXemVbiaCbGBzf8ye7W1IdSZpmsY0ejx8/jv3x&#10;8fHYwIIJY3BCsbGxmEqnOvQNBgM+QFzshAkTgD6J7du3Y4z0SIMcFfeVlJTulHjrFhYWwlx4R/g5&#10;depUsLtp0yZoxfuc97a8yTlq7/16ljQLzTFgz549UFLuyicWJu6Wq2IAxpCgJAn8we7du5cvXw5e&#10;MRiB/kmTJpFglXDo0CGpSC2kc58E+ZCLU91/EKHT0UHth7GgPwsIho8BxOygnyoUu6loAdEgZWgE&#10;H4lJkZGREsJjDInNmzfrN+kzz8y23MBD+I+DwVoWBPJVA2ygERkjjXOURIOS4r6S0oMgItCysjLe&#10;zIS9AIhIX/YlQBjhsI423uFyrF9J4wigEO3ieMAuNJcbePAEXKKMUFvSiKAYn8RyBINlZzw0NBSG&#10;EjjPnj0b42GokJ0qVKRxTklTUThOGpFJ+I9IM9jU1FTaxPEAfWL/DRs2cIo/MBp6g2ic6tIskT6m&#10;YjD4DgsLwxUBfUL+pKQkUJ6Xl8ckw0cRDgDj6QVTgT5HOsLhgVHNqFqr6EKWLA1KivtKSveZqjWR&#10;kN0GyZF7eAg/CVRnzZolOzxAn4BaY6wxuBZuCuk4ynte3vackhCYQiugQI6REL+XVOEojVCShIjG&#10;qQ4KBfpo48aN0BbqGemiVaEFjkJDBKN37doFnTF47Nix4eHh1JqgSb4SRYgtJtEX7dOIVPxzUUxi&#10;f1wgiwbATUgu36rVhlu7bsASEkiMx07mSj6InjdvnoTwRPqYQYNFRUWQUbjPbJeUlJBJm3gsiuGu&#10;WGHIhyi3aOS9FeNV3FdSui8l3EcGgyE/Px+Mgtq5c+dO0e4xJ2gFu3qwL4zjHX4d9EmQoxHgN2BR&#10;oDZ1g7TGaq9SRRpBNA5YoSSoJcrGEoJfSKqXlGPdRFpa2ubNm0GnbO8s0Z6xTFru3AejJ7RvulIe&#10;C+lC6v5XUQyugX6cEPawbgDK69atoy+cAZdoSh8FTig9PZ1euIQTwkMQuTOBCMO2bt3K2qKwsFBu&#10;lNKPGdd+mH7mzJmUxHIaZ6FDy2JDA5fivpLSfSZhvZ7gHQv0eQMDSuJTgmVgBOn27dsHNwlj68a2&#10;gjze5/KGlzgXRMIsHbIaDf6QsNIadaW6JGgEbmIA0CdsB7Vy9zrtSHQvDXKU8iTo68CBA+B42rRp&#10;sJ6QGYzCfYyfM2eO3COP06IYhaVHaeQWRWHMY1DJyckxMTHSeFJSEq6IpiigGWK8QYhiKSkpiYmJ&#10;QB8zJk2ahA2sllgucAnoy036MtVAPy8vD4+Cb8NsoC8f+TIWppHWpPcGLsaluK+kdD8JBiFJAyOo&#10;xHuY0J4YGWZNnjxZAAd264KetzqnHDXcGd/q5HNK0A2j169fv23bNnAm6JcqN5VcEmQgyQSmws3F&#10;ixfTO2nZVOGSoFBKkpZaCPMIxpcuXQo6FyxYgMPAfnnIQVhYGOHzkSNHcCdiMHU5UovErYiSUh6B&#10;fmYDR4JhDBPnhDvBEgrQOF0wdfHx8VgC9DGGeB9vRCbrgKKionJNMuHMNjkMFkdCYdYoHGkTF6W7&#10;E3oUGxqyGLjivpLS/aTruF9QUABk4RpRakhICCH/li1bgCbhp85KeXuLdJISiZOgJMSHvGBxq/aY&#10;TAr8UdyqgeI3rpGm8NmzZwEfrITarDPEf5ApHUlfCIehN0tFwAox586dO2vWLPnolbqc4rqIoCG1&#10;eA4aQZQnXbfrP5EUFifHKYlU7afY6Q4LsZMhi/cC+pgK9Fmj4C/lJv3IyEiC9+zsbFCIgD5H5pk5&#10;Ly0tpZbcrY9/Avq4OtYTmCr+kuMtGnlvxcwo7isp3U+CQYgEJCopKeF9CzRh5YQJEwhXJVYlmgZq&#10;8pYWYiLtLW8UOQj2cTym/RbKsmXLYOLKlStpCorVLVxX5FOFhNSVj0+BPqwkXqZrmqK6QB8Zu7nG&#10;fakrpxTAxwg9OVLr8OHDcH/q1KmMYtGiRbRJGXqRdqTuH1l1naSw1JJTmsIqViERERHyiXFKSgqW&#10;M1FxcXFAn3mjX6AfGxuLkyDSZxUlUw0QxcsWFxfTFJSnEcpjKpO2Y8cOWVfRHX0p7ispKd0RCfcR&#10;bCIsJWJdvXr19OnTgdHChQsBt2ysyzucBG9yeW+DUSRhvu4VYCKk27RpE0CUrXl5ooNW21hdbwqR&#10;ppbkwLi0tDQADTpZLsD9hIQE6VovwxHRKWnMoFlBJBSmI6BPdE9FoE8OowC+BN1YcujQIUrquzHS&#10;DjIa8d8kJWWkssKgBVojzGdhIXd2Ml4mauPGjXgdIn36ZdmB92JE+fn5+oZ+XeXk5LAOoO7s2bMp&#10;z4RHR0djpwyWIz1K12JGQxazcR33KyoqFPeVlBquCM0AE2/U0tJSOAtAIdG4cePCwsIkkpWPQ3X4&#10;3oqotWXLFsgLFtevX09UK1Co6zM4ksOp4JsjJI2JiZGFAvE7+GYFIF1LFQEup4g0mdSSXRdq4ahw&#10;GPRLRaLvVatWyT4VBlCGkmIDouIfbT3dougdpiclJbEoYT2Bg+RI7zO0n0TnFKeFC8zLyysrK2N6&#10;EfMsEw70STMc/cZNnATQx+PKJ+dYKPPDMMXaBi5shvvYrM8q41XcV1Jq6AL6vGkTExMlYpXHgRGq&#10;6/fAiORd/V8FFqEYITDoB4hEtUSyslkkjdRtjcJcIviVVUJERAQJ+WyTS1JSOMgpklqSTxmcCr5q&#10;5syZU6dOXbt27Z49e+ia7mgH7svP/+IG6nIfSYO3IyzBUcmXmVlngG+OhO0sOHBaGEZEX/cjXJln&#10;EjBR1lW4N8rjJ5YtW7Zr1y7WKDLb0j5G0gVHOW3IEu5LWgxW3FdSaqAybjdo4l2anp4O5QEQ9ARG&#10;8HeH9hgcCTmFkrfOIErCAuAbGxsL92ktPj6eU7hGU0iavXz5Mpgjk64pSTFQKHcxAkGop/crMsb5&#10;2r2SEldSAHrKlwzGjh1L1MwChZCZ1cbOnTuJvidMmECDODP9plIkjUj6bwtj6B0jWV7MmTNn9OjR&#10;Y8aMwV+Ga0/Uoa+CggJmlbmF+/qePkf8q/ww/ebNm6lIFeyUrwKwPmDSxDZpXzyu9NiQhanXcV/t&#10;8ygpNUTpSEL5+flwh6gcdEIiSA3OoCcMEtrqpJb39n8VhWEBtJVH6wBf4u4k7ZGWXIXa0hSwOHPm&#10;DFEz3RGeL1myhPAZ6EukT6eUlKY4iqgo++ykcRgE+3gL+A736YKmaFb8jYyFQdEg6wkaMVp2bdFw&#10;62O5qegdy5ki/FloaOi4ceNYcGAJSxzwLU/SRzK9QJCpZsJLSkqwnFqYt3DhwilTprCuioyMxO3p&#10;t0uJSGPk/cJ9jMzIyNCdNGNk1Ir7SkoNSwJ9eITkbkKiVHAvdxPKt7TgF/lCSRJCJRK3IkEA0SvA&#10;hcJRUVGsIQjM9+7dC+DkKqJNfMOuXbtgH9CXXRqqSGwOPjiKAZQUYQPVOWIeLeMnwsLC5M53omZK&#10;4ktoRG6SoVMyicqFqtKv3uCtD+dGUZ024fW6a98UW7Vq1e7du2mZSF/mtqysTL9rkyPOgB5xVAyT&#10;KiEhIeJimXn8XF3EkzAOVdPtGHk3lZmZiakixX0lpYYoIREBKWDKysqC8sSqUJIYedmyZQStaWlp&#10;vJl5AwsiSSB5h9+KIKxAFgoQlScmJi5YsGC19jRNQnJhHOCml507d0ZHR69YsQL04wD0nSW6I66n&#10;BZ19Rgpek9SFmPJxLhhdv349fM/JySHwxP45c+aIM6BrCkuPmMSRNGJc0uzfE9UxgOHMmzePjvA9&#10;O3bsoMHCwkIBve5WmWE8AcNJTU1NSEjAIcndpTLV+MLD2vMYENXril5kDhu+mA0GiJtnqhFjYeCK&#10;+0pKDUUgSSTcLy4uJm4FmjNmzJg0aVK49juuxNGQ0Uj6a8+xAcFC4VsU1YVcCCjQYExMDHAnOgb0&#10;EtHDTQLzNWvWgMKV2p3+xP6Qjk6pJb1LCyKBtUbIi7QALmVjSrCLz4D4rF3S09Pj4+NhK/nz588n&#10;vy7lOZIW6Rb+uSh2Y0noxtqFGJ9JGzt2LATH69R9BgMiwSRnZ2djraxpcH4S6WMwp/gt2YOiQbGn&#10;rsi8t9wXM+QfQG3WDSZJAYhPAp99TBMJvJ3ivpJSg5DASMDEaUlJCW/dpKQkeDRRe/YvoTc4I0Kv&#10;+1b/G9LBCiZIAHQwHRUVtXjxYnwMIT/BLwEy3eFpWAcQCJMJTKly066Bi45vjke1366SYB/BULyX&#10;PAWBq3QE9CGsbBzdtMFbl/QovCONN+II5bF57ty5Y8aMoaPY2FgKMLEyyeC+rKwsNzeXwpi6efNm&#10;TMVDjBs3DofEbGMhw0/RfsKFcaHr8NpAJGOXUeP4GaMcuSQ54oP5a/L3xaOzfEGbNm0inlDcV1Jq&#10;EBIkIRIoMzNz3759wDE0NJR4n6BVPnoFQ/K2/9uCFBABSRq6AUpCfrogwN+yZQshObhfvnw5p0T6&#10;EFBuZRFJIzdKiIMXoQpNYfP06dNJ7N+//+rVq7ixnJwcOqLNCRMmiBsjoL5NnurVISC2YQOkwzvC&#10;blYb0BymJycnM5kyt/rGDiiEgJg359qPf8lnv7gBDGa5I9DXm5VeGo4YAtLTQnzt71P7dQoSzDYz&#10;zMKLceHPmBDEMotVjuK+klKDEKwnJoVNHAlIWY+vW7cOGBGx8qaFxfC3vmJPGpFQkTRH0sSDAALc&#10;r1ixgsCfSF+2d+iUMhI8/lHXAkcSmCeP4gGmwJ2ImxagksFgkK8ggFRQK3tW8nGCVLwd0awMQdK4&#10;RthN+wTvGMDKA6uIcCE+jocC0FA2dsLCwigD9JnkhQsXYjaTwHhZncg806bojwZ+DyWuSMzT/45i&#10;M/YzCTg/5oFBzZs3j39CCDeMmBM8n+K+klJDkaAfRF65cgUGyceSxGiyJUIEWjem+9uiEQEl7ZAG&#10;hWSmpqaCSAJDuAC1JfIFghSTu78J+UlrDVwv8hFtEiYnJCQQYkMZkIrnOHr0aF5eHuNiUMBUvgQ7&#10;efLkVatWMSIQfJtjEclwZCw4HpiOAQAdH4YB4J7ec3NzWYvs2LGDBYcEv5QR4uNfExMTcUKsFRgm&#10;dspwaBBJ4xxrO2sYEqvEVMmRU8IFlokbN27Ev+LYGOBETfxZ+buQidQ+j5JSAxJ8JNJPT09neQ6e&#10;ZsyYAT15o0IlkAoi4Rpvb/2t/vcEy2iKRnS0cQr1AD2RPkAkWN60adPhw4cpw1WqABS8zp8wmmIU&#10;II7GYcAazIYyuC7yoQzjKiwshPIsKUJDQ4k6Y2JiIDKRqZhR28pfl+DPOAbNThpMSkpixlhSYAbd&#10;yUMgsI3uGBQDBIJjx47FK4DCiIiI6OhozMYlyGxwlMnhyCl/C9Y6ZCLpsaFJG/qvjJF/ISynGD5u&#10;j4iBAeJfmQTojwNmdbV7924pwL8xxX0lpYYign3W4LyBo6KiCLrhIwgmDJdtfdAD9+ERqn3T/y3R&#10;Di3owCUtyI6NjV26dCk9gkKBviwFpLwurY3fiUxaoAqclQAT4/EitAD0K7VPLIj69+7dSwDOoCgD&#10;golM9ci6tqG/LurSCGjGVKAv29mQjl7mz5/PQMAcE0hED+JlYwfz8G2gMD4+nlEfOnQI6MtgAagY&#10;I4Ez4b9MOwO8HSPvhLBHhG2nT59mlbNd+/kzHBuTzzARM7Ba+y0zZiYjIyMzMxPvyxjVfZxKSvdA&#10;cFAE6BEJyS8vL+dtuUP7tfRp06YRkOIAYBnvW97hvNu5akTv7XGf6sILSRAq4leIB4EjXIabycnJ&#10;9CgfFdbW+f0qoTZLow9HWiCapgV8BlSFuVAVN5Cfn68PMDc3FzARhxKEAibGKAsIWqjb4J9LM/k3&#10;BGMSaUy6oj13jFHILhMGQD36woy1a9diFZPJCoDM2bNn49tYbUB8bIaY4nukNY6kEUsTomOWWXv2&#10;7GHFwGzIVTHA2Pe1aZT0HRLt6z3qacQpZmM8HotRMBZGhGOT3S2GL8PEsRHg83csLS2F9QbtcdN4&#10;Yv4iivtKSndbGvONMn53qKJC0sTF2dnZgGbZsmW8gWfMmEH4RrBG+C/cF/Twhpd3/t+WNEUjAI40&#10;7CAoho+AA/TDOwAKyqW76yT0qT3R2EcjxMW0AGgAK9yhHRqhJG6McQn3GRoxPuPCMYBmYn/qEmKj&#10;2rZuQcJoWkaSI2lM5RIOMlL7ofmQkJAxY8bQEd0hTMKw0NBQJnbjxo14tZSUFEbNrNIaZsiUSrxP&#10;mkhfvri7aNEiHCHLBdYEQJbyXKU7MVu6FjPqS3XbrDv/pMmX2cYG/jrMOcTnnwd+Gjv51zJhwgS5&#10;FZVTFjr79u2jPMtH/oFpzve38AIp7isp3TPpb0jenLxFeTOvX7+eeI33MIt0QMl7W8cN73958yPB&#10;wd8W7ejIA8GrtV895EiES6gLVrhaW/T3kopyFRiRoDyIkR2e8ePHs0bBbPKFOIyR0eEAKM/aBQqL&#10;P4PRlKEFpDV8S9KHb7RAE2laIB8zMB6XA+WBPho1atSIESM40ik+CQtxTqxCmGQqUoWK4JtmpSnJ&#10;oUEmnDCZ8tRavHgx0wJGWUmQyczInhKFkVhVj5JmRRhDXyxlOMolOeKBGAUxPuG8fJqCh0MQXz6j&#10;xhngutK1X46U28Pk3xiSf3VIcV9J6W6LdyBvRRLytuQUSoKeHTt26PfwQEn5au51OBAZIfF3JaCk&#10;OwBHF0CNTomF4XVqaqo0Dv5u2guZgl3S4A8OQkMAJJ+XwlwoSZs52lOOGZ0MNj8/Hy5zCZdGX7Gx&#10;sfgzGsESJC3fonQDEAlyOIJyvBcuE6/D7AH9sZqIf3EzxOy4BFiJDcyndCqS6nprkubIuFgTsPZi&#10;TvBS+GCOpBkak8ZV2kE3naLbkTQoY0T6KT2CeyS36zDheLjZs2dPmjSJxY04NvlUBqvk/qWysjKO&#10;sqtjRH4d6CPFfSWluy3ehPr2DoKPGRkZhMDAd/LkyQRuUIaADpzxtpeYVFggILhNgTY5ggm54W/R&#10;okWbN28+ePAg1OASvSApdqPApViC8BNbtKd1gh4sJ5Gs/YoLuGGAjEsfHQzlKv6MI+7txIkTNEJr&#10;0o60/F9Vt7CAm8nB5iNHjoBCol2gT4CPxHdCw5iYmN27d8snt/RIecJnGiGtS1qWtN4+zcJZ/igC&#10;WSJr/AfOGOPlHqG6hetRMq7aE010JLs6zOHWrVtxn2FhYUw4Ej+6du1aHBsFWBzIMkv+XaHaf3DX&#10;JJl4AsV9JaW7LXn7SYI3YUlJCW9somDeyURw8Iu3N1CGO7znoQB8uU61SPhbOnv2LGEjrKSXlZqA&#10;Pt2Rz1UdZ+IDbpTYA/iOHTsGbqChbC4TFMNELsnjzxiXHAn8aQoHQ4HQ0NB169ZJ1ExHtPaX6CmF&#10;NTDWLlmwGd5hBlxmtQHxCfPxQDoNGReDxVrKC/Q50g6iQdI0RTuUwTfQmpThElUwkr8LlMdg/jpM&#10;FI6EZpO0H4Kn1q1bfouiQWlTBsi8YRLzTIyfkJBA18whrGek/FNhcYNJ5FMAm1lUEeML9PXJl39m&#10;IuO/Oe0SUtxXUro34k0oD1/jTQsxCbrlhmvIuH//fkgkISpvfo6CAw0LRmmU+JvCnchewZo1a6A2&#10;CdBGd9IsfcE+BPikfF1RxojMixcpTxwNieSuQY7R0dFQUh5/xtAYoCCmtLQ0LS2NjkAVMTgBOKcy&#10;KBrkeOvDkSrYRhUBImsUGmTJgu+B+LgfiC97MkTHsrEjXYiozpFM5lYfJi4QD7F9+3b4zlUyqSJ9&#10;CX8pI+SVW544Uj4lJUUarEfRoIgeMZ5OsYoB8pdasmSJfILCbC/WnqTESks+JsnLy5OPUmTCJaGv&#10;t4z/1DTp0CdfcV9J6d6I9yGxcFZWluzw8H6GjGCFcBIySvQt0aiQqy4XNEr8d+nw4kg7tAn05Sta&#10;dES0SBgOXMgEhVoNYxeUl36lazKNFNTEVWmHRqgrd8oTeEZGRhJ35+Tk6LiBLxxRUVERCKYkSxn5&#10;1JfupB29Tem6rnTHIMbrCYE1V+kOZ0kYTpuyTmIC6QUgJicnA019SaGLjrAc56RfwgZOMW/16tUR&#10;ERGQnUtkymxo0/DbwgLvKPfP8MfC4dG7LMiwR4pRhbSxp9+LSzJMaVDKky91JcGRTjEG8ddnmSJ3&#10;Z7LCAPfyb4MjjpPeIT6rE8KF3NxcYnyd7xLjy7+uGyV/DkQZxX0lpbstee/xLiUWhinAKzQ0FHKB&#10;LflwFfpIuH1Tjty6dOKQJgEsJEAGc3AfcLOwEHhJ+bqilqBZGiEtwjaYu23bNhYo2CwfnILajIwM&#10;iTpFDBAxUqJReEoxVjPh4eGkxaXRlDSOpMe6YvgUkLRehvKI6mAR9tEvM0YIPFF7DgFhPkPDEtAp&#10;Fa8TYGVuGbJs/jAQETm4wAULFsTFxeEwpGsdzYjElStXqA6RwTHxPvDF1e3du5fyXAXBYqHsEV0n&#10;uYQ07BtFDl3QoJSXqcAkLGFi5Q9EUD979mz97syFCxfSo6wzKIyLLSkpkVvy/4YU95WU7ragoUBf&#10;gn1iuilTphDKCUrgmkab3x6eczsCLtIgiUOHDoHL+fPnL1++HAeDD+ASXQC12tJ1ZGTtNVEdNgmq&#10;QCdsIjqG4zAXlG/fvp0CBJ6MSx+gcJ9hZmZm0hfhKmOUD3XFpRlH+Mfcl07lqpQUAUcWKHhKvA40&#10;1Pd2YCVTBxPhOPNW20od0Q7+gLoYv3Xr1t27dzMQhs+gqEV15oQjBfCODFMaoUcZuA5oQA9816xZ&#10;w18NB8DiDMeph/A37RqRj2QsNCJH6YW0xPjYHx8fv2TJEv4lMKiQkBC5RYqYANvwlxjGZIJ7ZhXi&#10;63dM6ROuz/9/leK+ktI9EKExi/Rjx47BDgBK4MwbfufOnRI/Cg7AhFDjdkQ7oJBmiSXBCgQhkCTS&#10;P6L9tJb08kcdySVEGpNAFYSCmHJHJmwiysaRQM9i7SE8jEvoozHfuMVMPl1ERUXBL0J+cLlnzx7a&#10;kcb1Loyd3SAqUlKuksZaic2jo6NxXTQIFpk3RsS4ZDjSGpIW6gr7KYCrA/rYQxWiftoH2YAbfON0&#10;MY+ZkY+dqSJOV8wQyXQxmbg6CjP89evX0yaXaJ/CN+0a6U2JNBuNPgAXCPGZE5YarDlwYPq4aJwu&#10;wD22MWq6KNB+Dl7mVqSDngQ+QHFfSanhivcn0TEY2rx5M8HdqFGjiOmIYQk8YaiQQuOMETRy+vck&#10;jRAn7tq1C9gtW7aMKFU+D6Qj0MNVzOBYW6GOBEyIBNjiKLH22rVrZ8+eDZ7ks1wy9c8VGZd8qCti&#10;jNnZ2QwKNFMeqAlVZVA0CCs5IunxOmm2136dCj7KKDZoj98BizQI/eWGV33exE5p/0aRT4wPRvG1&#10;IJWKNCv+4Kj21DbIu0K72Z8GyaQ1neZYYpwLbTZIy06XrJxAM82SSUk5XqfrBsipCCeKz6A6xjCZ&#10;uH9cKeOC+JghN1nRIIvCul+Cu474Ism/LvNPpLivpHS3xXs4PT2dKA8QS7APcZKTkwk8dXCQQIBG&#10;Tv+eIAtLCloGlxHaLybiXWAWDJXG5Sh0u06Aycg5TaThO8sRwlscFTbDJvmiEFSC9bLhAHpkxxkA&#10;IfnJMGotWLAAnDFYkIo90j4STKPa899LmwCjedCZcJ52GAL90hRauHAhXoShES/DaIpRmAZvusMu&#10;ogwTguNhFIsWLaI6vKZx8mlBvvkFx2NiYvANXCJTzENUp2Xdr9AOMTiulCmVOzv521EGG7Sufiep&#10;QkL8HM1SWD4qkG8FC/SnTZvGoLCBxQSOh6YyMjLk7kxhOmKe/1Jc/0dS3FdSutsqLS2FmHCT0HW6&#10;9uRI+ThXQCOwqBfRJnABJcCFEJJIn35hEBKkiv6kU65S8syZM3qkP1F78hohM/4D78VYBEmMCzyJ&#10;A5CcoqIiKjI0XMXUqVOpgqvD5Yib4fgn3Ocq/SK4jKuQfRXgiGbMmLF48eK4uDicAWE+kyasJ6G3&#10;KY1cJ/IpgEnUxRVhD4OCv/QCYTGM+YmMjFy9ejXoF1NpUzeDXhivZq+R48ePH6cM5ZcsWYI3pR26&#10;oKT0VVdSnoQMimb5K/B3kTCfmUFMES6ENQTEp1hhYWF5ebk4VKRzn4SktX9Hf1+K+0pKd0PyviVB&#10;+AaboCG4h2KyR3zgwAHIAiCEFH8uI6qvcURyqKjRyYhyGhe6gUV6AS6EyXLfIUyRsFSq6NIblLoi&#10;MMdRglNiZNAGKyEUNtMgxJRIHwzVBRPSB1tcXAzgCPMJz6kITDEAw2iWjqR9bL7OAI6kyeQSWMe7&#10;xMfHh4eHz5w5c8yYMfARLuMGBPoyENqRWhwlRxLXSRonVGfZIXc00TJDo6MrV65wpE3ZdeEqqwFW&#10;AIyd1pC4ZAn5EWl6pymKYRvTy4RQmEbogqsYQ1pkHNs1MXz+1kwmcyg3cTGfcisRI6VlAnxcKStC&#10;mcO6/3LqUYr7Skp3Q/q7Nycnh3f4qlWriFuhIZE4UR4xoIamW5KRQ9fQJohBpKEGR9JyR6B8HXf5&#10;8uUEtoCS2B9UCSuvk96gAFREmkwMO3jw4ObNmxdqv5OFwYS3GAwHS0pKGFFd7stIkTZW42N5iGpx&#10;bNCNweKEMEz2VWiZo2CRvrT+jfgGrCAYcZWugTJdA1ZaGD9+PI3gRUAzgAagMupblHSBqMiI5CNu&#10;0M/MgG8ZLJfokUtwn6tRUVHJycmYIQbrkgapgvFUl60eEng1Ssoc1ha99tdBzDxrAnwJ/m+e9jzq&#10;adOmsX7CATBG1jT4UaYU4iOmVOawdkLrW4r7Skp3UNe9ewn2gQvvc32Hh4ARDIFRofatCLIIXGqJ&#10;oolToImIOqFVdHQ0QIGSwGun9jBnnbDGJm6QNIiEVhqQjds7BKdwcNGiRRMmTIC80J/GYXdhYaEQ&#10;Cl0HKRLklJeXZ2RkwHpZIjBSomyBPkeMRLSPJJSWrmUgTAWZuC4QSY8TJ04MCQmhHRZGuByJ9Cms&#10;z8OtiJalI2mcUQB3xsX8yPxLMezhFLNxb9hMmSTta3TMhpiHxFraISFOccOGDZgK08kRSWskKC+T&#10;CdlZcuEk5Gu3jIh/A/yZ8DQUy83Nrbt4us6P1rsU95WU7qA0Hv4GxIKCgn379hHjE+uxzCdOBBbE&#10;m9Dh1hGmS6OQEZTUBaaIpvbs2SPQB2rAiIibiBWyaJD8sy8EGHF1DVhwEC4fPnwY6C9evBhribhJ&#10;ENVytaioCDAxIlAF9/UBItJcAl6ErvSFJVCbOJ3wGcNoFoPFTqJjnAr8BXxYCBnlEv1yFUoCX6A/&#10;ZcoUKMlcQUymjnyd0X9JDE26EO/I6oeh0SZkpyP52IN8Gke4FtmKEce5ZcsWjDx+7XGeMoekaRDL&#10;GVdcXByLKhwbjeCTuCQzySlpRsRguUpruEB5SiiTSb8MR4jPjMns6ZL5vENS3FdSuoOq+x4mkZ2d&#10;TcQ6a9YscEY4SagoNBEkaYD679L4/FuALAIu0Er2dmDKmjVr5H5NwERJaEUZyl/5g69oSSMkJIw9&#10;efIkkayE2wTaiDZxIVzKz8+H9TIcCVFldCIyyaEAvoHCkZGR8r0qHADGMEws4cioIT7tg0JWPMTU&#10;kBFiwn0Mlj19/BazhNsA+gyHYBmrhLxIbOZYO4b/JqpwlCqkievxInLXPDbwh6Bf3SliCcNPSEhg&#10;hUEB/DQJ5hb6Y6H0Ln812hGmMxZGQY5A32ii5owZKX8XrtIIwxk7dizrPKZFlk15eXkygRz1fyd1&#10;ReZN829TivtKSndc8u5FcB8c8/4n7oNrsEy2LOAFEuj8V1EekaAK3IEsgFLf0A8PD+cIidK0h/xA&#10;OqlCYY43jfflKpLCuBBiWAJePBOmwinICNS4RBQvrJfh3EgrTgldKUMYC6YJ8wlv5SMB8Ef74lew&#10;effu3Rs2bOASTJeYmqUPcTddk6Zrpgjoz5kzR6CvD0ewKwaT0EZwS5KKtICgM+aBfmzApRH1y+fe&#10;sFhapi/WBDt37sRjMQqEGeKiMBInIX842mF1Qg5OEVdBjgZ8o4/hT0M+fwhmklGwZmJEcv8rU0GZ&#10;Yu3Hh/V5u24mRX+Uf5tS3FdSuuPS3705OTnCfdk2ASuABkZAoltHGCWlMNCBhsBr+/bta9euhU2r&#10;Vq2CTaAThHFJYlJpXCQtXCfyBXaIKlBJblOB+JiKf8JOismXchG4l21oGV1dcVW4z8ICDrJcGD16&#10;NIbJcxFonL6wB2ge0x4vDEbhoATdDAEKU5gAn37Hjx8/c+ZMMuXzCQxgrqhLgiOmSvoWRWG9PAmZ&#10;GZCNYUTfdIoNjBpSw2sKXNbuDYXveCOcFuxet24dXgpRXhYolKERxiLeF38pXo1M0qxvWE9QXr7x&#10;ILfns46hZFZWluyVyTQyabXTd4O0+VbcV1K6ryTvWyQ0zM/PBxnwFO7Pnj178+bNAAIG6aARLCIS&#10;SHLgHZJTRBrWCJI2bdq0fv16kASdCVoTEhKAKWQRguvtIKl7U3FViMwRe4h8FyxYAK0I1XFOOBW4&#10;Bqd01tcO6QYeCcI44iFoDaTSzoQJE2C6fIyB2Rim9yjjkg0fPBbwxdnAxzFjxtA1MTJD4yrQpxYB&#10;MrWQVBdp5t+S6paXNMIevBF2suBYunQpNjBYemQC09PT6ZECmC1lWE6Jh5C7d1hj0YKMgiPNAn3+&#10;iEwgjlMWCqxa+EMzAwyHoeHyaU0+Ei/XfnxYV+0M3qA/v/q3pbivpHQHxZtWWMkRbgLE/fv3C1Xh&#10;PlEkYS9UhWsSKgr0dek5JGT3AMToJAKL8+bNk6bWrFkjMDqpPUkfbN10S+ePRGGqYAbII+ydqt2E&#10;Q8t4JtiHuxIAyVj+SHKVYgyTpvAfgG/ixImwkuBX93AyKApwisg/dOhQYmIi3ose5fcRgT4UJlP2&#10;/cVCMbV+JUPGGQvT6VTugJKdHK4y7VjLKZbgU7m0a9cuDOavQHXGgqQpxkImxfC+tBMWFgbxR44c&#10;yYqHPxBuAw+Rm5srn47cWynuKyndQems5EiaKA8uw2v5zg4OgBgQiJAJXGAHlKkrcsgXgRXoc/Dg&#10;QdADjgG9TkkWEORAHMqAISpKuKoj6c8lxa5cuQLpiFUhILCeoj0+E0dCpI/lMgRclzasm6su92Ec&#10;+Js7dy5NAUHGSOOMQrojAVJ1CXnBLqCUL2cRLOM26F1qaZPxl+93+q+iTdwJBuB9oTmdStSP58Pl&#10;sEYhHwMYi8wqVZhh/DS+ikwqSj6NkI8zZq3ACoxGcJwMZPjw4fyBZs6cuWHDBtrhry9zKPN5D6W4&#10;r6R0B6VzX8R7/vLlywAFpMrnlosWLYqPj2cRIAEm+IAmRszXISOIATRgHTaBJOoSS86YMSMkJAS4&#10;yM02cJMWpKJwXHyAxrf/IorRBRXBHE5lmXa7ISuJmJgY8oVWumpHcjPJVeE+ngxTQR4oJ5CHiUJP&#10;JBZK/E46LS0NxK9cuVJGBPRxPEwIxjAEsfAOCWSLPUwyM0yn4lDxQEwCZm/btu3w4cNE8RSgMH87&#10;jqQxDBn/NprwBBTDz1FFPsIdP348kT7ilFUdDoxIn/nhHwDxvjaRfzaTd1qK+0pKd1DCfT2+I5Gf&#10;nw9rwCtRIXglrJ4/f/7atWshDpkEjPv27QNAHHEPciQfpoCPFStWgGP5zJMwf/To0fL1H0BJMcil&#10;UxU8SaKWcH8qiiH4RXfEvLNnz8Yw+sKMzMxMg6Zb2Z0Qlgn3oTnLGkyF+1FRUfgk2qcXrEKYJ3eU&#10;Qsw9e/YwfJYseEG6Bp27tV9Cx09QDPcg5iGxth5F43QhLZPA7+JcYT3zuWTJErwpPoAFGWss0A/o&#10;xQwGQppRUAsjqYLB+Ej5cEJ+EoCxkOCvgwuhOtDHfdaF/r3d7VHcV1K6gwKCujjlnV9WVlZQUADv&#10;CHKBC9E6jIB6BIaAhjBz1apVq1ev5ih3ubAggOyhoaEEwkTEkHTSpElUgfujRo0CMdTCZxzRHkAv&#10;QTQI0z8l5ngrogom4V3ojjbhF6sQMktKSgRSHGVEfyIpw0jhPhEuQxAC4rHEJyGd+0jupISYctcm&#10;MwD0WdMcP35ctncYjoxILJREPYrGZaJE9Ei/COOh/4YNG3B+jIKpIIchUIAhwH1wjyhJmI9joAx/&#10;I4bA8kt23nDM/JkY0aZNmyjJzDAtTCPS/i0YP+eXSbsnUtxXUrqz4k0ub3sBqIioH9AQ3YN4wTqo&#10;hZJgfebMmTrl5U5K8uEIaYJ9KL9w4ULiYrAimzzEpLJNBJL0r2VBNA2ztxrv4zOOHTsG6egXbGHS&#10;gQMH5B4ehsBRUEXgL4O6qepyHyAS6hLwYnxcXByIlI6M1NfoCQ3lTkchJqOjPLSFsGIPRw37xpAc&#10;OmdkZIi19SgxBtGXLrrD2tTUVJZQEF8+aWA4MsPYA/fxWEyXfFMX582fjD8To0D8RViHITJZN9BO&#10;Xl6ePo2I+RFpc3ZvpLivpHRnVfsuryP4WFpaStSfnp6elpZGlC0bOIIPAmQoDy4hOwgGneRzFb4n&#10;JibCSrR+/XrKjBgxgoiSeFOi6VqYXZMGsf/CfQpAWCJ9Quzt27fLB5IoKioKtIm11w1BBnWddJzh&#10;0jgWFhYCSmyGg/iwjRs3ygfXCGgKZ8EoyxQifQZCj9CT0Fjuk6EMtgn060psrkdpM/Q7kSkLC5kW&#10;JpYjwhOQI5c4ZXUF9LF5rvar7gyTI+lw7bmhQJ8/Hx794MGDV69elZlhliShS6bunkhxX0npbov3&#10;vMT+JSUlWVlZAAWOyB3isC82NjZGE7gknATr4H7Xrl2UAUNgEZrILTcQMyIiYufOnTfl/p9IGAfF&#10;EBQm9GbFAOvF9wAvIlw4W2vuLUi4T0LnPkbik3Bj0JCoWTZJaJPIna4ZBeNdpT2UVMrgySApxTCJ&#10;YhQW8lISDyEiUxeNMBAKy4jqUUYPc+0zZzyQSDJJ4KeZcKwF+mI8xGfecJnkLNAeVQ30ycGd4y2Y&#10;CpmiBiXFfSWleymIWVZWVlRURPifl5eXk5ODJxARKmZnZ5PDEUEQCsBouLNs2TK4D1hxDPgD+CIc&#10;vBXBSiP1tS0LoTDVZWcfitFmtPbriZhUa+It6Ebu7927V7AICoWA0iNiCFzFdYWFhUmPOIC69yNR&#10;GOJjQ2pqKusGFgEiTo8dO0Y+V/EKlKTN2lHdMdEFHTFp9Igx+Obly5fP0n76nAXZ9OnTcZOMhUnj&#10;jyL5LHFw2wyngdytf6MU95WU7rGEmH8krkJVASvrA2iyYcMGyAL3CfYlRiYOvXUCQl4KI53CwBRs&#10;yc4+mAbB6enpsll/i7qR+4TzRL5gXe4x1S2EnkePHmVNQ0RMpIxvWL169bZt24ijhfiy9GGVwyqB&#10;FY++9OGUgbMe4iotyA02VJFB1aMwVZqVxQRpOpLdfAyA8tis7eQbHy6N8ZiKM2AFIPtajHrlypWy&#10;wyOz8Zdm8u5IcV9J6R5L0PBHokBtqqqK+HH//v2QFOgDTTBECCzRqIasW1Jd7nNMSUnZsWPHihUr&#10;aBBMr127ljZZfIhtt6g/4j5aunTpLu1BniKidbmRiWAZShLyJyYmwnHZ0jlw4ACLA/EKUBUnBGcp&#10;TChNlE0maYJrua0eJ1E7pHoV84mdTCmC+Dhapgi4r9F+FpGZRzNnzly4cCFOKDk5GcRzFTsZLCPC&#10;VMZLXfkFSpkTbZIakBT3lZTusaCDFtAb0XmdYL0cDQZDUVERGNq8ebPcXw8Tt2u/FfVXuU9hQRvc&#10;h7Y7d+6E9XJDEQuIffv2ZWRklJeX1xp3a7qR+wBx+vTp0qbOfaylfcBNyDxhwgSgT5gMwQEr/gx6&#10;cmndunX4M+JoEkT6sJVoGtDjD6KiosgHrHJvJcClwdpR1beYIhZShw4domsWQzgh1kOQnREx89iJ&#10;PSxNsFxuypI7r3AMODxGyspMnxMS2iQ1ICnuKyndbYEDOA7Na8+1iN4I/mukEJHWBUfAMaABMUAT&#10;rVy5cu/evYD7gvZV0lpc3Zr0kJboG0dC6DpO+zGQuLg4roptdc37r9It17m/Z88egmJoSLyPa5Ee&#10;IfXGjRsJ2+UeHiJohkCwDzphOm4AG1jNEO/jBmQzRzaIOJ7TBFUZOCUXLVpEU/QiI6pHSV/MDIsP&#10;vIt8fjtGe1QcCdwY/gnbKMbk4xhwTvJBBb6TwZJfrD24lAmUOZFjg5LivpJSwxU8FXwQgGdlZUEc&#10;QUx4eHhSUlKq9pO5IFWoWsutOqp7CcojfZNH9qxpZPny5TSIVqxYAekyMzNht4b9W+U+JXU7UVlZ&#10;GZ3iQuA+MTJw37FjBwQ/ceIEDoAonr7Gjh0r+yTkcCSTKB4DID4msSaAvFgIQ3X7EZxNS0uD9VKF&#10;llmp0ILcLEThy9rP85KW8nUlBWTsnEpC5kS6YGbIp19aw7+yyMDFEtrjn4A+Cyz8DT6SMB/vhW3M&#10;/PHjxxkmZfAHeDjsIQefV1payoTUzk6DlOK+klLDlYZfI0+hCTxatWqVfHJIAvqAHlimYe3mgmgC&#10;NTkVzAlMARyxKiHzfO1ZwRyBKWClo+uWHf9VYqSkqQj1wCItw31C4PXr1xPUy54JWAf3dEc+GOWU&#10;ThkLvgfIwlBKypd1dehfZz/5FKAYFfET+tONsJySlJEqUv5G0RRXaVnEJIiE++TgnGhcwnzsZ6oB&#10;OlinI6B/+PBheqcFyqekpOBycFcUoKR8jJGbm8vKTJ5opE/IX5rMuyPFfSWlhisQjAzaz5gkJyfP&#10;mzdvovYQG4h58uRJCVGRnrhO4ElUe66hk1MAB7+2bdu2ePFi0EYAHhUVRZCbk5MjGzV/CVV1y5Mo&#10;KiqC8jExMeASU+VOU+L9xMREYIrfgvsCfaJ1oE86MjKS+BrHAPHFWo3eRmnm19rPMMkB07oXiYiI&#10;oDp9ccolvAJXpfCNkrFLMWbA2Pq19klgIf6DcB6rcE7MSUhICEzHZlwXSxYZhTgJ3Ax/DtYcDJCS&#10;snbBeGaPPxZ/Mn1CcACcSrrhSHFfSanhCo5AjYKCAjBNBC37CcSYYAhyyZ4GqgXbrSk9PR1s7d69&#10;m3gZZkHh8PBw2SiXj3PpUQ9X/5KAHRWxFp+0YcMGrJ2jfZ2Y0Dg1NTVae+IbMCUfUuMPCPOhKuMi&#10;cKYMOBY0C1vF2rqSxQoiTRkwDW2JxGkEt0GozrhopO4jd+rKCHgN8dK43he1MI8JwSrmRFCOWJRg&#10;oTgkPA39Uhj087fYp/02LwUoNnfuXCpif1ZWFsM3+sA6XlNxX0lJ6a9JSJqRkQEZiW0JliEplDl4&#10;7adchfsgSVj2J6KAiKiZ6sSwQuGwsDCCXIiWm5srhOL491AljMvPzxfuz9QeLwH36W7v3r0gFeID&#10;SjJZXmAAOWvWrCFwBrsMAV5LRC8OQFRrvSY8FkcKkM9AQPCBAweI91m1EKTv0h7oxlX9IUV1VXeW&#10;9JbJBPr6t7GYW1Y/OMJp06bhTjAS/3r02m8ASEVsozy+Cmc5atQoShL1sxTIzMysu72j6zo30ECk&#10;uK+k1KBlMBgAHHCBSnAfxgE4wArCgJHwCKJJ4jrpgEN6eSJTPMf8+fNhFqsH6AbXgHVZWZlg66+i&#10;SsqjutynWbi/YMGC+Pj4pKQkfU8JZ0N4vlQT6MefHdN+2wTzEAMROuMAUF37kZ6DOKUkYfj27duZ&#10;HBqPjIwkMCfzplNBprQsdemR9QFdy007CxcunDBhwtixYydq34LGl+AL4TsDEeiDe2mWWoyFITB1&#10;8pwMufOVP5NMQu2kNGwp7ispNQjVpYakUUVFBWE4ZCH8lM8PYSXghkFCSUhEmMypUElkJKgm0kJJ&#10;OaU8FAOUYEugT9AKeSXSvzFWvUVREWGtcZlQWVlYWIijIt6fNWsWPI2LiyOalgAZv4W/WbZsGYsM&#10;2ROXr+kKi2ErHCcAx1Sd+9qAasUlKVxXzAZLChpnULt379ZbqK2jiVMqCvc5JcHKAOJjG8bgisaN&#10;GzdG+52vVdqPbeGoKEBh2hdLpBbWcollCiWZPcbC0MgvLi6WSeDvVTspDVuK+0pKDUICej0tJC0t&#10;LQU9sAZQEopCNxhHyKnR7HpRUhIAC0E6CCj5Qj3CW6APcGdoTxogGCeqhbZE6NLv35NmuNFySRQV&#10;FdEv9ASO8lA2tHbt2nnaYwzoHW7SNcc9e/ZIpC9m/w3JMAnM16xZA8HpCB+pc1+oLcW04sZPBbhK&#10;FJ+cnIwHlUUPE0vkjk8F+onaL/rit5guqUIjsgEltVjHMCgWLowuVvt5ZHmQEX8vfJ7MQ8OX4r6S&#10;UoOQQLP25Br6icRTU1MhFKRGq1ev3rVrFyGtIOk6QShdcgrmAJYk5EGS8BdmQTrBFk2BrduMUnXL&#10;JSHcp3FICiKJqUmvXLmSsHrSpEnQH+IvX74cx3DkLz5R7kZRF0DjCOmFodHRjh07ZJefq3I7v8wA&#10;p0wCTGdNgHvABmzTPr41fskWn0FdsE5djKektIDoApGJd6Gi7AjhLWiBwunp6fhmY6ivSeah4Utx&#10;X0mpQUigWXuinZaXlwMs+a6WRMqbr/14uiDpOlEYgTkR1INfYJHyQB+HERkZCXaBL9Bft24dTRHp&#10;C7Bqe/1b0i2XhHA/RruPU+51IUZeunQpp7J7DjE3bNgAZAmrsRCq1g7gr4u6DBDRGuDGQW7atOno&#10;0aMMmUsyGxCcXugLcBPOszJgPgE3/g/PtGjRoujoaJwBs4HZFKaiHGmfFkjQGle3bdvGKOSD3wjt&#10;iXjFxcVlZWUG7UcoBfpI5qSBS3FfSakhqlK7fRNeQ0lwSVhKPLt3714QJsi7URr2f+M+AlhE9KwY&#10;BPpQGP8h0AeCmZmZ8s3S26SVzjtJ3Mh9usNpQUzZTiHYx4HJow5un/swmlEznK1btzJFQJxlBPlk&#10;UoAuTp48KWE+l+g6NDQUcGMM9McHUOvAgQN4BeZKcC+irswhLbCeYKnEH4LZQ0uWLOGUS7Ce2ZN7&#10;bWXsan9fSUnp74tAMiMjA9DPnz9/3LhxhMlyI7zwyMi8GySkQ2ALhCGYBfQJcuV2IHgHtlatWkWz&#10;QJ8ubnrr4V+VIE9P1OU+ywsSq1evZhR0DffJXLZsGbRlLLIcEcj+PWmINgrWy1euWFuQlu0dZuC4&#10;9uVeLoF4HB7uEzPwPQTsuIGkpCT9KUAUph1pU9Iyz7hefAaTxhJhzJgxeAsCfywvLCyUSB/pwydH&#10;m5KGLsV9JaUGJI2cRhHsE4Fu374d0MjGQnJyMoEncL98s+8lASkErUAYVIK8RPpEwUTW1CXIhXcc&#10;4RekoyTQp7t62Z3QW5CEzn04S5i/ceNGuC9bVRMmTID72INVRNlE4rXW34aYELoD7vhFuL9hwwYG&#10;yDyc1X4jl8Acn7dgwQJYjwHMJP6PpQ/5TI7s5kN52hE3KdAngUjgEvAN2D99+nT5xhnD4a+QnZ0N&#10;7qE8kb4+cJE2JQ1divtKSg1IOojz8/NBEnGxfPwIr/fv3w8o/4j75CPhPhVB3sGDB2NjYxcvXiy3&#10;rAA+CAht5VZ9nVDSnaT/nvQWJPFH3GcUmCFfgo2Pj9+1a9exY8ewHJuvk4zopqotUUfMBnTesWMH&#10;Hcn+PvE+LeMJmD26lq+nyUcLOACgv2fPHmZS4E4L4jJpnFOJ9OUSo2C6WEDQAisV7Kc1Gs/KymIC&#10;Ib5AXwZOmqOcNnwp7ispNRQBDuE+aYn3wdm8efMIk+XmdOJTeCR8v04AC3GVYB/os1BYs2YNPoNA&#10;lTgX5MEvAuHMzEzpqx6FwWKzJK7b58H3YMn8+fOxhHCbBO6HqJyQH4bqvkok2BXE3ygQL4UpJjmc&#10;ksm0gHtcI30RyLMw2rZtm3z/lk7l0xE8EJ0yn0wCKyHZzUe0Rjua0zRKNojIZAiYxyiYQ8ymHfks&#10;V/+KlhxlBu47Ke4rKTUUadg0inRpaSlEI2gNDw8n2ARhQI0YWbAF3GEWnIJZJDglgCXIJcanTJz2&#10;6Bsia5BHsE/IDxZxBrKnL33Vo3SbJaFznxUG3JcwfOnSpYT/AJThwH0YunbtWlYwGK8B/HeBvOTc&#10;qPT0dIYsBaCzrHtOnDgB6GkT10g8DtxJy8fIcsMl4GY2mAGCdwrr8yZHEZkiScvNPwkJCUydfCRA&#10;C/iSs9rvpMsnIrqHvh+luK+k1CAk0BRxWllZmZeXB6zlfh7QD0Pl/hPgLhvTEJDIFEjJtgZggrCg&#10;SnbzQ0JC5APMxMREgJWfn69/Alm/0m2WRF3uE93Dfbm5Xv+gQu4swk5WMJQEtSBYpzCDgrw3pb9c&#10;kqscGRTzQIAP6wE9o6ZZxDqDGQP6BOk4A/wljoGZlBkTb8G8IRL0W7dZRD7zyaQx87gNuL9o0SJ6&#10;wd2yCBPc39fQR4r7SkoNQtfRhDSxOREucASRgAwR9cvN7/Hx8USjSUlJ4GnLli2wFZiC1NmzZ1NM&#10;NnYIsXESElNLlErjevv1KL1ZSdTd34f7QB+HhMHQE4wuW7ZMuE/gT35KSorOX0G/UJgj6eskmzOS&#10;pgvid3k4j0T3uEZ53MLYsWM5XbBgAZcowAqJwhrnjVtkso1DU0iaku7I5ypp/ChzztIBv8VkMgSm&#10;kRVVbm6uDBOXfIc86F2T4r6SUoMQHKn72SAJSF1aWgqYgDvoh2UAHXQSzyKoSoSLSHBKbEtkSkDN&#10;EeThCVgWwLLs7Ozi4mL5BJIGAZa0X4/CVDFbEtdxH+KDUVwUxIekMBrXRRiOl6IM+SdPnoSqsFgo&#10;LBH3Tbmvi0j/0KFDeBSawsMxZKAP8UeMGMFRvMumTZtYAxG5w3dpk4o63JGccok0CX3XCGtxGJjK&#10;ioEh4GVZVbD2kodUI6bx/voU90Yp7ispNQjBEZ0mRnxqCXLAKGwCYQAIVs6bNw/SwSMBPc6AhGxx&#10;EEGvXLlSbkuHXxkZGfLbTwJ9aRZmSboepVsrieu4v3nzZtYcCNuAKdbiltasWUNATQ6DOlznsZeQ&#10;V0B8U+6DZvCdpv3UYqz2010gnuge1uvBPp2u0h6zk5qaKh+EAHrhPnBHtGOkvsZ6pHMfEekzz0Bf&#10;buChKZYmOJisrCz8pSyYZMj3uxT3lZQahGCKThYjPq8hhgTszsnJgYzQc+vWrVFRUaANH7Bo0SLW&#10;AcuXLwejcmfkUe0RBRC/oKCAWtDqLkSmmrG1ZjMEeR4n3GcVItyH7EeOHFm/fj3OaeLEiaB/7dq1&#10;IBXjGcKOHcafsoLR8FeHsi5yBNzaxozxRxYZJmimKeJxQD98+PCRI0cCfUiNF2Q2gL58fktdKgJ0&#10;aUGaksy6LSMSNA7isRa3xLqKpnBLTPiVK1f0217l+ABIcV9J6T4QPC0uLk5PTyeAJeCFpCCJsBcd&#10;PHhQtrCBV3Z2tjx6gfLoLnOqLvc3btzIcoSQHJJiHrzevn37Cu1RByEhIUuWLMFXwf2wsDDwKvd0&#10;MjRYrEvDfu1TlxndMe1X4Lds2cJCgfUNoB81atTo0aPh/ogRI0jjUfAi+EUi/dom6kj4TkIaRJKP&#10;SAv04+Li5Ak8CLe6c+dOLslj1x4Y4osU95WUGq7AjU4cEgaDgdgTEiHcQJGmkpISTsmXr49KeY73&#10;ivsYBsFhKPQMDw9nIQJSATe+atOmTYAeZMtuD9yXDXogC69BP8Uk+gbHF7RPX+WmnQMHDgB9vMis&#10;WbPgOy2IcCEcJeTnEosMGqGWAP06SbO0T8sIpyJ9kcAz4ahYncgHJBjGKoR8+WhEcV9JSenuCdzo&#10;xJE0DNJ13aku8q+re3ckPeKE4CmIh/vAfcOGDXv37gXfOAPwTZgvH8MS+BO2E/jPnj1bdvxlq4rl&#10;S0pKCvjGW7CmIYfVwDrtln+ILxs7RPcAGoeBX0HiCWgkMTHx5MmT8FpAX1fw/dK1zf263MdJsJJg&#10;GSHbOzRLgh7Jl+0dXbWDfCCkuK+k1HAFxIk3ZZtejiId7ogEOVwl3i8vL+eofwipl7mjko4QnXJK&#10;7+np6cTvQvZVq1YRO8N9IAuUSUNwuVsG4RvgvtyVNHfuXNzA2rVrCdvxFuvXr8cZiGMAx4T2Y8eO&#10;JTFt2jQKE5LjJ/bs2UNhCtAUDgAnISsGYX1d3TQTuKdq321etGgRzoPGCfnxWHiC/Pz82lE9WMQX&#10;Ke4rKTVcAXThOInarGuqZZKm2izNT9RV3Ut3TmIDokdOMfXq1avwHe5P1745BVjldh1CfjiblJQE&#10;3OfNm0fgD6/hOEfZrKcKEAe+YWFhhPNyBz35I0aMGDlyJFeBe1RUVEJCgqwhLl++TKhOU7SwcOHC&#10;nTt3gnK5I/M6wX1BP4E/CYrhIY4ePcoSQf/UgU6jo6PT0tLkBh4ZkQzqAZPivpJSwxXQAaMAiLSG&#10;VmNoLySSU5GURJKWq3VP76iMFtRBJMe8vDwicaAP2QmlYSvEB7WywULUn5ycTERPzA7lZ2hfrx2j&#10;fd+KiNv4oap2cyr+AByTKbfrkAbQLCOOHz+emZlJPF5cXJyTk4ODoQu4z3IBf3D69GnZx79OdbmP&#10;JTRy6NChbdu2sRyRzwxwMxs3bkxJSaFN/VZ9GZekHyQp7ispNVwJUuumde7rOZI2Qvdugf466V3r&#10;x4KCggMHDhC2jx8/PjQ0FLzCfYE+8OUIdvft20d+XFzcmjVrIiIiFixYQHlidkSa0JsoHiJDfOJ9&#10;fMPy5csJz2lHuMw8EJLjYFg9CPcB9+bNm/UvagnlEesMJF1zSoJI/8iRI5s2bcLx4GBwNgJ9rMrO&#10;zmaBdU+m8W5KcV9JSem2pGH/tyUI6cLCQhhNeB4SEkLwDmFP3fDbJmfPnj1x4kRqaioOgJgdZMdr&#10;ojDHyMhIInHQj+dAS5YswUnk5uYWFRUBfekR9HPKYkK4j2+Iiorau3cv+K4b8hs9wDXhEtLS0g4e&#10;PEhr1IL4LCNYKFCRSD8rK6tUu2tTxvUAS3FfSUnptiQUloRwHxzD9A0bNkzTFB0dLb+uBYW1L8bW&#10;Cjoj8ilMAYQb4EgwThS/fv16+cCWI8sCAnnZc0d6v8XFxYCeFQPeBffAQgG3cejQobrcR5wCfToC&#10;+vgYnEp4ePgU7bEWVMHN0Lj86qQMQdp/gKW4r6SkdFvSWSwfRSAACmQJ4efMmQP3V69eTVB/Rnv0&#10;JpKNF0AMjqE/6wAKE4lLJglKypPRBM0rV67EE1y9elX2uKQvEgaDAe5Tfvv27cTso0aNInjHB1CX&#10;5QVtShe0z9ripPYru0B/+fLl07WH8uMqoD9+Qh60SWtivzamB1yK+0pKSrclDfW/4355eTnA3bVr&#10;12LtcXILFy5MSEg4fvw4INa5j+QUcMNo2QXiCIWJ+lkrzJs3D+gT7G/dupVicBkR8kN86ZTuyMnJ&#10;ycErQPMxY8aA/vnz58fExLAIoBGapU18wOHDh3fu3En+0qVL8UOUxENEaE+o5mp+fj5tSmvS+AMv&#10;xX0lJaXbkrCehB4vQ+fs7Gzia6JvYnZQK7+yAoghOC4BkUAS4Iu4mpaWBrK3bNkSFhY2Y8aM0NDQ&#10;devWHT16VO6mB8rXcZlM1hbAHd/A2iIkJITucDNRUVE0QuBPa0lJSQT1rB4ogBNC+BLWELgl3Iz+&#10;swSK+0pKSkp/WQJQEjBUdmAIsQHx2LFjJeQH62eu/Y45IkEZCfPPnj3LVUhNpB8eHk6kD/eXLVsm&#10;D8nRn4wmIi0ST1BQUHDy5MmNGzfiLag4ceLEWbNmsVxYoj3tmTXHggULyJkwYQLGEPLjBg4cOECz&#10;RUVFus3SmqQfeCnuKykp1Y90bnKUkH/fvn0QnzB8+vTpxP47duwAuMeOHYP+EJ8jvD5+/Dg5hw4d&#10;2r59u3yfi/XB+PHjAfSePXtwD4WFhfpKQkRaRI90VF5enpubS1MAHZ8h3xvAAYgI8GfOnMnSYf78&#10;+diAI6Ff+W10MRjVtvvQSHFfSUmp/gVMCflPnz4dGxsrGyyzZ88mfo+KikpMTJSH8MhTRZOSkrZu&#10;3UqYT3gOsuV5DIu0J2ueO3dOHih9Hfd1adA2Cvrn5OScOHEC5yE/Ngnl6RfR1OrVq+Pi4uTXFnEk&#10;eXl5paWlVIH7tQ09ZFLcV1JSuiMCrFevXgW1gv4xY8ZMmDCBuHvFihXkgHXCcxIrV64EzeRzlTB/&#10;xowZCxYswB+cPXsWQMueuwTmte3+geiO8pcuXRL6x8fHR0dH0z5pFhm4kPz8/JKSElwIhWlNmpW6&#10;D5sU95WUlO6UysrKsrKy0tLS4C9kJ5YH7tOmTSP2DwsLm6uJpcAk7bFrHOUG/CNHjlBLNt9pRAvo&#10;jZI2byopQHl6LCwsTE9P/1V7wPLPP/9MWr7wJS7kz9t5SKS4r6SkdKdEcA2I9R0YIv2FCxcCfdAP&#10;7jkS3bMUmDdvXnh4+OrVq7dt23bmzBm5m/4vBePCfVR7/nuRjyWysfNHZR4qKe4rKSndKQFZUAvE&#10;8/PzL1++DP0PHjyYmJhI+B8VFbVhw4aNGzcmJSXt378/NTUV4l+5cqW4uPg2t1+oDuURCT2NFPF1&#10;Ke4rKSndWQFcfQfm6tWrP2sP4j+m6fjx4xcuXMjMzJR9GFF5efktMlr8ii6pRQLK0yNHya8rRX+k&#10;uK+kpHRnBWpFMB36l5aWlpSUENcjEmTqwbgUE0ndP1dt0Tq6MfPGkpLzMEtxX0lJ6S6pNuT+vRSI&#10;774U95WUlJQeLinuKykpKT1cUtxXUlJSerikuK+kpKT0cElxX0lJSenhkuK+kpKS0sMlxX0lJSWl&#10;h0uK+0pKSkoPlxT3lZSUlB4uKe4rKSkpPVxS3FdSUlJ6uKS4r6SkpPRwSXFfSUnp5qqu82OE8mTj&#10;qqrqiqqayqqastKaspKamqqaqorqytKqmgpKGF/V5cYXibKKmuKqmtJq7UV5atXUlFfUlBtqqkhV&#10;ay/KG9QDMu+BFPeVlJRuLuG+cLlck6Giqri00lBRWV5ewf+qKyurKownVaQrKnEOnJLmaKiqKquu&#10;5lVeXWOoMb4qaU1ri/+MKV5kKe7fCynuKykp3UQCfQn2kcFgIN5H+YWFGZkZ586dOXUyjdfxY0fS&#10;Ug6dOp5y9tSxs6fSTp04dvpk2rkzJy9cvHDx10uXMzLzCorwEbRSaaQ+yDdyv6rS6DJAPysGY+Cv&#10;dHeluK+kpHQTwWj996qMwNbcQHFJ0dmzafGbNsycNXnYsO++/ubzgQP7f/ll/68GDeA4cGC/gV/2&#10;//77L0eM/HH6tImLw+fHxmxIOXroalZGRXkp7VVVVUjQT5Na0ySNbkDpLktxX0lJ6SYCyXBfRJpI&#10;PysrKzX1yLp1S4cMGfRq5+f9/Fs28XRydbd3b+Lo5uHo4mbn5Gzt4mbbysujbTvfzp2e7/lht2E/&#10;fLtwXmjC5o1pqUcuX/o5NyerpLRI3+mpqKrkZWS/0t2V4r6SktJNpEXltSKdk5OTkJAwberU/n36&#10;PvPUc82atrJzamJm7dTIytnExs3EzsPMzsPczsPSzs3BtVmT5q29W3q18/d58emOb3fu9Mn73X78&#10;/pvZs6bHxcUcOXIo82pGmaGsvKqirMpQZlwBKO7fbSnuKykp3UTCfUmTuHjx4uzZs995+91Wzb1t&#10;rZ2srZxsnZrbOLWwdGpl7tDKxL6lhZOXlbO3tVNLXvYuLZ0dXd0d7d0dHRysLR1srX28WnV6+aUf&#10;fvh+/oJ525O2n7t4/mpeTmFpiQGnYuyqVnq/kla6Q1LcV1JS+kNpNDaC+NSpUz/88ENrr0Anu0AH&#10;h7aOTk/Yur5o5/GyVdM3LD3fNGvyhpl7Z1O3V82cXjBzfM7c4Slbex97O3dbG1c7G1cX56bNmrZu&#10;7RP45NPPv/zK6x/37jNp2vTYzZtPnD2TV1xkqDD+rrrOetIGg/EuHzFA6U5IcV9JSekPBY4BcXFx&#10;8cGDB/v37+/m2tLOpr2tw9MOLi/ZNHnHrnlXq1afWLT8xLTFJ6bNPjBp+r6Z+7tmbm9buL5m50qZ&#10;QDsnX2t7bxsHL3tnbye31vbOzR1dW/gEtHu7y/s//DRy6YpVew4cvHTpUmFhIR3RneZlFPHvuBT3&#10;lZSU/lDguKysLC8vb+fOne+//76NjYeN7fM2Tq/au79j3byXjVc/c59Bpq0HNW79jYn3VyZeX5q3&#10;6GfevI9Vs4/tmr3l2Owl+ybPWrs+aekUbGbvb2LjZWHfytKhpYNby+ZeQW2feOat93p8M3hIdEzM&#10;0aNHc3Jy5ANkXbUWKN0BKe4rKSndRAJfWKxzv0ePHta2TWydO9l4vG3Xort56wEmPp//y+e7f/kN&#10;/nfgT48E/PhowI8mvoNMfL7kkqV3byuvj61avW/ZvJt5k9dMXF5s5NDRzKmtuUOQlaO3jZOXnWOz&#10;ps39Oj714leDBs2aNYv2s7KyZLdH3/NRukNS3FdSUrqJhL9wv6KioqioaO/evR999JGdQzNb11ds&#10;m75r1+oDM5/PG/t+/j8+3/6P3w//bDPi30FDHwka2tj/GxO/QRZ+n1u07m/p3dfKu6eV1yfWLbta&#10;NnvLyrOTufMTpvZtrBxaWzt6W9k2sbHz8Gji3bZtu7feemvMmDHbt2/PzMzUo/5aO5TugBT3lZSU&#10;biIdvhwJ+Q8cONCzZ09bx6Zmrs+YNe1s6d2lUeCnjwZ+9v8EfvN/B333fwUP+X/aDP5/2wz+V9CX&#10;jwR+0Siwf2P/rxv5/tjY55tGXl+ZefWz8Opl4/W+XYs3LN1ftHFqY+fSxsaupZWlh52Nh7OTi7e3&#10;d+fOnQcPHrxq1aoTJ04UFxdL10p3SIr7SkpKN5GG/Vr4GgyGw4cP9+7d29axialTW7MmL5q3eN0k&#10;oL9pm4H/G/jD/xcw5P8NHP5/Aof8T+CQxwK+ftz/K1P/AawGzFt/bub9hZnXF+ZeX1i0+tyq1ac2&#10;rT6x8Oxq4fa8tceztu6BVs6tbFya2ts5uzl7+Hj5vvDci/379Y9YuvTsmdMlJcUsNui/qqpGu9Oz&#10;prJSbFGqBynuKykp3URAv/Iaa0mfOnXqm2++adrcy87Vy8q9rbn7U5Y+vW0CBz7q89O/Wo98xG/S&#10;474hjXxCLFsPtfL+wc57kH3z9+2bdbZt/pFty96WLYdatBxt0nJSo1ZjH281+nHvvo95vf9oqyf/&#10;3dznn01dnR1aOFt5ejg0a9XEu21AcJ+ePZdHLE5JOZKXl1tZhcupqag00r+kRGxRqgcp7ispKd1E&#10;WrhvVJWmixcvTps27eVOnT2a+1s4+Tu2eM6sRTcLr48b+Xz/iNf3j/uObOQzrHHrYZatvrJs+YVd&#10;y352np3tPDpYeXSybvK6RdN+li0HWXoPN2s93LT1cBOfL0xa92vk9fbjLf7zaPMnXVyDHW1bO9q1&#10;dHZs6erSNDAguFvXbvPmhR0+fKS4uKwC7htqqipqDGW1hindvhT3lZSUbi6BPlE/x9zc3C1btowY&#10;OSa4/QsmNq0cmz31mNtrFq16WAf98JjX1418hjT2/r6x17dmzfuZNetl5fmBleuz1s6tzZw6mDk/&#10;ZeLe1bJFX2ufwZY+Q8x9hpr7fmPu+6W5Ty9Tr+4mrd529XjS3j7A1s7L3qGlja27o5NHKy+fnj17&#10;Llmy9Py5i6XFhipDTXVFTVV5rVVKty/FfSUlpZtIhz6S9OXLlzdv2tKjy0cA2s6x9SPWbW2adXIN&#10;7mfh9ZFF697E/uYt37do+qa5x2uWbi/ZOvna27tY2je1dGhh4dbeptmLtq3fs2rdy7J1fwuf7yx8&#10;Blt4DzdvNcKs5Ui7Fu+au75g6viEuVN7S6dAG+fWjh4+HZ98ftCgwXHRG9N/vlxZVlFTUVNdXvvQ&#10;CKXbl+K+kpLSTQTrKyoqBPr66c8Xfp4cMu3559/y8GzziFWgucsz1l7dzJt3tQT9LbqbNX3P3L2T&#10;qcsLZo5PWdu3drR3t7FvZu3Q3Ny5jaX7U+ZNXzVr3t2sxcemrQaZe31n7jXCvNVos1bjHFt/YLzP&#10;x+N5c5cnLSjp5GPt1Kp5C7//vPzG6OGjkrZsy7uSWVVqqDGoD3brTYr7SkpKN5GAnjCfNEf53ZXi&#10;gqIDO/ZMGT/jlf+87ezRxtrB18qto33zFxxadbJr8aK157OWru3MnYLMjA/n8XO383e293F28LFz&#10;9rFy9jV1CTBt8qxps5cbt+hl0mpA41bDG7UMadRyqqXf51b+fS283zdp9mYj9xcbObVrZOdvbd+8&#10;pXfbHu91D5s+IzV5V2nm5WpDsRimdPtS3FdSur8FoHXVZv1etdc01WbdgigM7qUKUX95ebkx/C+v&#10;yLmUuXPrrhE/jn76uTebNGtj7RJo7RZs3+wpu2ZP2np2tHELtnD0N7XzdrRr19TxhSbOT7nYt7N3&#10;CrR1DTJz9n/cpd3j7k8/2rRb45afNPb6vpH38EbeIaZ+X1oEfm4Z0NfM+8PGTd9o7PLMY3Ztzayb&#10;O7n6dmz75MC+/aNXROReOFVtMD7DRxvEXxiF0k2luK+kdJ9J335Bxt33aw+zRFzlyKnkSHntSq0k&#10;5++rsrqisDT9wq9bYzd/PejH559/1a2pv6l1E2uX1jZu/rbuAXZugTbOflYOPi4OL7Rw7tbU+TUn&#10;mxecnJ9w8XzS2i3wUSf/R13aPNL0tcatujb2GdjYb3AjvxGPBXzzeODXJgFfmPj2a9yyRyP3Vx5z&#10;etbSIYDFhIdLs5eefm7GuFEXU/ZWl2brI601RunvSnFfSek+k2y/CMdJQMO6KCQtezIkxEPUXtBU&#10;t+TfUVV1TVlFZUn5lYu/rFm55ofvfvxPp9fdmnhZ2TWxtG9p6eBt7RRk69LW3vUJZ9e3XJw+srd/&#10;29bmNWf3l12bvWzl2uFxp3aNXJ94rNlrJl7vNfbt18h/4OMB3/4r4Pt/B35vpL/fl429+5o062ri&#10;8aalS0dT2wALS1cfL79vPv9016b1hRnnFPfrS4r7Skr3mQCfzj4SoLCsrKz0mmRDRvhY79yvpr3C&#10;4upyQ3WZ4eK585vjNw0ZOjy4/dPW9h6Wds0t7VtZOQbZuXZw9nzOxb2Lg8PHVjZv2di+6er5umvz&#10;V61cn2zs8oSpx9ONW75h1rpLY78+jQI+fyxg0D8Cvv9n4ODHAr973P9rE58BFl4fWbbsbuf5gplD&#10;WzNz16ZNWn7Y9b3Vi+dcOL5Pcb++pLivpHT/CaCDeOFgSUnJr7/+euTIkX379h09evTSpUugX/yB&#10;ULI+QUlLldrDE6qrKspKLl44N2fOnOdf6OTs2tLOyc/aIcDK8Rk7t5edPN+2bfZWY49XH3d+0dzj&#10;VfsWb9o2fd3ctZOZ2+sWTd41a9nbwvtTU79vG/kNftTvx//1//Ef/j/823/wY/7fNfYbZOnzqbVP&#10;X+umnU2dnjW383bz9O382utTJo/ZlRSvuF9fUtxXUrovBQThe3Z2dmpqanx8fFhY2IwZMxYuXBgX&#10;F5eSkvLzzz9fvnw5Nze3sLAQx6CvAG4TmtqvoVdWV1ZWV1VWGsqyszKWL1/+auc3XdxbGX9lxbmN&#10;tfMLdq6vODZ516rZ6497vtC4yYvWLTvbNOts5vaymcsrlk3es276vmWrzyxbf2nm+0Mj36GP+vz0&#10;D437//L7/hHfbxv5DrJo/al1675WTeD+cxYOvi6evs8898KwYd9t3LhGcb++pLivpHSfSfDHEbJD&#10;/PHjx/fv3//dd9997733Pvjgg759+w4aNGjs2LFE4lFRUdu3b09LS8vMzBT6U6u2lb8l4yKiorKq&#10;sqLSUH4188qJtNTQ0NBnn/+Pg1MLW8cgW6f21s6d7VzfsnN/37TFi//yCjRp3dEq8AWzZi894vic&#10;icsbVk162jT91KrlEGvjMxtCGrWe8Ij3hH/4D4X7//T57l+tv3nMe5Cp9wAL7/42Ld41d3/Z0jnI&#10;yTOg/dPPfz/k29hN6xX360uK+0pK95mKKysLqqpKy8p2Je2cMOib3s+9+E6zlm85unZxdu/m5vGu&#10;s+tbbm4f+vl9+cLzQwd8Nn3U6HUREXt2JJ44fuzCrxcvZV3JLy8uqiw31FThASBodVVNDS9OKqtr&#10;DFXGozGtnUJZHExNVWlNZUlNZSGvyopynEd1damh/PS5cxErVvb+9HO/tk9ZO7W0dAm0cWtv1eQl&#10;qyYvm7l3bty0U6OWr9i2fsPB720bj/+Y2j9r7fgfB4/3XJt/6OT9lb33N6beQx7zGv5o6zH/8hv+&#10;T/9h//Yd/KjPtyY+X1q27mfTupebz3s2nv+xcQpwcfd/6un/jBo+cldiokBfcf/2pbivpHSfqbCm&#10;Jp1XVmbE4iWfP//SB54t+9g4f2fnOtypyQiXJj84OH9mZ/+Zq8vXrVp27/jUhy+93Oe9d7/p33fc&#10;mBELIhZu2Bq7/2TK6Ss/55aVGGTbpsxQVlhSU1FTY4D72qu8uqaovKqgRON+ZUVNZUFNRX5NRVZN&#10;RU61oayqsqy6Mqe4cPfBw59//a1fu6dcWwZYuXpbugfZNO1g1fx5i2bPN/J4zrTpG+Ytetg0e9fK&#10;401Lu2ctrJ+ys3vG1v5FR+dX7Zt9Yteir0nLrx/3+uFxv1H/8hvxT9/hj/r++LjPd6Y+A61a97Jt&#10;/ZF905et3Z61c/Br1jT47de6z502N2XfkdrxK922FPeVlO4zVVfU5GXkXti8M+zzwYMcWw1u5DbP&#10;suVm+8B9rh3SXDoesW+bZNZ6y+MtNjVqOdKm5SAz948a2fcwdezb0n/om++GfjkofsXyA9u2Xjx3&#10;prAwv7yivLzSUEYUX1ltjO+1J90b/zM6BO2ovaoqK+VVUVlZXl2ZW1x04fKlVVEbn3/1DTP7plYu&#10;ra1cA608Otp4PmPZ9GULz5dNPDqZNv2PafOXzDyeNHFpZ+Xob+/i72x8Bbl7dHBr+aqb9xv2Pu/b&#10;+ve0DRpg7velme+Xlr6fW/n2t/Xt6ejTzdnnPUundlYubW3sWrZo0aZ3r89i1sVcOH2udvxKty3F&#10;fSWl+0wVReVpew6vHT35uxff+sLcY7ytV0zTjntdO6S4dbzo+swF56dO2rY7ahF02CJovnvwNNfA&#10;n5y8v3Zs8ZlH675+wf07PNXr1VcH9ugx/Ptv58+ZnZCw9fzPF0vKy8oqKstgekVleWVFBYA3buRD&#10;fG0XqJIuq+QF+Esqy37JuBK/bdtPYya26ficpVMLG1c/K7cgG8+nbZo+Z9HkZXPjq7NZ85fNWrxo&#10;4fmEuUc7Z89gV882dvYtLcw9zS2aNrYOeNw2+F+Oz/3L5ZV/ub/5T48P/unx4b89uj/i0fVxj7dN&#10;3TuZu79k4Rxs4xpsYe3ZvHngd98OPbT3UGFOQe34lW5bivtKSveZynMKtqxaP+z1Lu838/u6sUuo&#10;rdcWpzbHbYIvWgUXNw4uaRRs+Hebyn+3rfp3u/NmQWcsgo7YttltFxRl6zvTusVIU7dujWx6WLt0&#10;9fId8ErnSd99H7NyRcre5LSzpy9mXM4qLcypLM+uKs+uLs+rqSjXgG/kfklNTXFNTUFNZVFlaUXp&#10;qXNnQyZP+c/rXVv4trdw8jVzCLRye9rW8xXbpq+Zu71h7vqmVZMu9j6d7Pw7WLdobdvCu03HJ15+&#10;/ZWX/vPc00+2a9vGr0Urb2cPTyuX5mbOLRs7e5u5Pm3m+qy56zPmrk9Zuj5h7RJs4xJkYdfMvVmQ&#10;j3/7N97qMn/Bop9//sVgMNSOX+m2pbivpHSfqSgvP2JheLfgDs85uPRsbDfc0n2BhecOG59Dtv4/&#10;m/heMvHPbhyUbxJcaNLuqnlQpqn/eYuAE9YBe+0CN9j7R9h4jXJo9ZNTq888W/f2Cujb9qkvX31j&#10;aLcPZkyevH7tmiOpR365mnG1tCin2pBfU11UU1OqBfrVZaTouKaquLKkrDh5/77e/Qe08uvo2izA&#10;winQ1DHYyv15u2Zv2DZ9y9zF+LL17GHv9ZJd67bOrQMCn//Pd8OGrI1as3lT9NJFc8eP/alvn54v&#10;vvSid0CQc1MvK5dmlo4Blo5Blo6Blo7+Vo6+1o5eNo5eLVq3ffGVdwYO+n7BoqWHj6YUFBZWak+I&#10;U6oXKe4rKd1nyi3Kmx0+96XgwAAnh9ctLD+1cxxn777E2mONVZOdpk0PWnmftg28YBt80Sa4wjSw&#10;6tHWBY965TT2SbcKOunQ9rBDmyjX4FUuQZNd/L63bd7H0u19G/f37T37dH5z+IDP50+ftn7Duh37&#10;dx28dOZc/tVcY4hvBL7x1h9eZTWlBSWnTp9YuGhxp1ffcPEMtHZpbeHS3sr9WUv3TnbN3rNt2sXc&#10;+R1z53ftm3xo1/wFR5/ggKef/+jzgbGb43Lys0qKstJ/OXloz9aI8NDhQwb16f1h127vvvn2G507&#10;v9e5cxftReLdzp3f6fzaO7369B8+auz66BjWFrmFBeWVxpuIZPhKty/FfSWl+0yFeXmrI5a9+9RT&#10;QQ4Ob9g79GvSZFiTZqMt7EJMbcJNnVbZeG5ybL3DLXB3k7Z51v4Fpl7ZjVrmmvnm27TJsGl70SIg&#10;zb79UYd2iU7tox3aRNj4hVp6TTNvMaCp3+fewZ+3fWpg59dDvhy4eOn8HcnbLuZnZFeW5tZU5FdX&#10;FVZXF1RUnrvy6+qVK/r3+6xDx+dsXP0es2xu5vKUbbNXLDxeM3d/y6ZpF3vP7nYeXZ08e9h5POfS&#10;qn3Xjz8PX7HhSMqJ4uKyyvIyQ2F+4dWMS2dPHT90YN/OHTu2bkmIj9uyMXZLbO1r88aN8bzi4nbu&#10;2nn46OGLv/6aX1xk/MihurrCeNOpUv1IcV9J6T5TcW5+YuymHz/u9ZpfwJvOzj0cnb50ch5mbT/S&#10;0nZqI+sZjWwWmjqttW+xqUnQVVvfXHOvHFOvXLPWeRb+WRaBV0z9z1u3PWvbLsWx4z7njtudOkQ7&#10;BK+1DfjG2etz51YfOTd7u2mLDzs88WmfD8eOGbpi07qE1D17fj6eevWXXyoKfi7J233s8Kiffnr6&#10;qedbtPCzdvYzs/e19HjersVrlk3fbOT8mrnb20Df1u09B/cuzs1e8m3/yo8jpyUfPH3pUk55eXWV&#10;oZJXtaGiqqysqqS4EqAXFJYVFBhKCivKiuRlKC82vgwl+QW5xcWFpYbyiuoqoF9eU11WzYpDqX6k&#10;uK+kdL/pqqF497n9kxZNfu2TfsC6sf3XNm6TXFtOdWkxw9x1wr9tpvwfq3mPuqy0arXT2Xu/m1+a&#10;S8Bpx4ALln7pJn7ZJgF5jwUUNAoqMG2Xa9E+y6L9rxZtL5q32egYtN7Bf5F1q3FmbsPMXD73aD7I&#10;2//T558dOaDP7OkhazetOXj+yJGcs7F7tn7cpUdTt5b2tp62rsEOnk9aNetk/CGtpm886vSyieur&#10;9p6v2zd5zcWzs1/gm926fbFi+ab0K4ayEuM2UWVZTSX8Jm6XXaPfXiU1lcU1VSXaq9T4Q7rVBuL7&#10;qupK+VDZUFNTUlVTZFD7+/UmxX0lpftNRTU1v5QWbDkSN3TqqCdfGeDScpC95zg3r6mePgtcvOfY&#10;NJv9mMvM/3UI/R+H1Y0c4+2aHXIJOOHS5pxNwGVT/yyTgPzHA+F+oUnbPPN2OZbt0q3aXbZqu8+z&#10;Y7Jnx80e7SKcfGdYNvnW1v1zK5fXbe0+CAoY8PZrPwz+fNbcyfPWLRw/a2Knp190tfd0cmhu797e&#10;senTls06mXi83LjJa4+7vGze5DWHZq85Nnu1ScvXXurUa/So0P17T5UUGUHPqwLua+g3/k669lPp&#10;1cbtG14a943051VborKS1UFlZXVNhfZNstKqmhJOlOpJivtKSvebCJ/za6ouFBB+Rw4ZP+o/b/X1&#10;aDXQrslgp+bTnLzDXP0X2fjMfdRz2v/lEPJPq1BLtxgnv90e7Y45tfvZqk26eZviRkHFjYNKGwUW&#10;NQ4oMPW/auaXZeZzxrz1eWu/83ZBx20DD5h5x5i3WtO46XSrpmOdW33n6f2Jv+8n7YLfea5D544d&#10;Apv5udg2dXfxsXJpZ+32hEXzVxp7dnrc8xXTpi9btnjFxuMpO48nW/i82K/fd/EbNmdculpRavwS&#10;QCXc56VxXKL8CuPLCP+qynLjq8qgvSqqqowP4amoNAb8FVXXvkFcZXwp1ZcU95WU7jMVG2ryymsK&#10;S6oz0/OO7dyzcur0oe91/SIwuJ9ny29tPIbbNw919Jtj4zvjsWYjH7Eb19hpkXmzWDu/A3bB563b&#10;XrZsW2jSptAkqKixf56pb46Zb4alT4ZV68tmXhnmra9aBWTbBF+1Dj5n0zbNKijesvVSa69JNs0G&#10;2Lv2sLR71sqinbVNExt3R8smHi5+Fo7Bli4dLFq8anwUT7NXrLxetW7Vycq9ravX0y+80mP61Nk/&#10;nzplKC2tKAH8xi/7GrQHPBhfxpC+0mB8VfDSrvCq0L4OXPu/qurfdoP0R0go1ZcU95WU7jPl1NRc&#10;qqnJqKn5parqSkHOiZPHtqxbOePzAQOffaaPjWtvE4dR1i1nOQfNsQ8aZ+E50sR12r+dlzZqmmjh&#10;f9qq3SWr9vmmQfmmgQWmfjnmPjnWvpn2flkOfvlm3nkmXoWNvIob+ZY28s9rHJTVODDNImi3XZsY&#10;t7YzmwX+5Nj8Q3vnzrYuzew8na2beboFWjm3t3Z70qx5p8c8Xny82cu2Pq/a+bzi2KJD8HNvf/3j&#10;2I0xsQXZl6srS8oLsbfCUFlmvKFH28cprWENYCgzvspKa8oqjY+HMN6sQ0Cvv4zbOwT72su4StDo&#10;r1RfUtxXUrrPVFElt7jUlFVXF1dWZBfl/5pxOT4qatKIUYPe6NYj4MluLn4fOvoO9HxirKXP2MbN&#10;J/3TY9b/Nln5SMsk04Cjth0uWrW9aBl8xTLwiqXfFSu/y1atL1l5Z1r5EPhnWfhcxRmY++aY+101&#10;98+0CrxiHfSzTVCatd9+kxYJj7ivetRuuNkjn5mYfPi42RNmzYMtvFxdnrN1ed6kyUs2rV4wb/aE&#10;Wyvvd7p3X7Jk9vETRwqK8ow34xDWG3fxDbwqaoyv0pry4pqygpqyvJqy3Drc/91Le1LQby8tU6m+&#10;pLivpHSfyfiUzKqqSuMt7TVlNdVFlYa8suLc7Jwj+w+unjJnaPc+H3k/9bad9weO/jPcO85x6zDH&#10;wnf6Pzzm/t8uG/63abJ54AXbDhds2v1qGXjJwu+yhe8VK990a98MK98MS98sS9+rGvR5ZZv7Z5n7&#10;ZVoGZBjRH3jWwifVpOUOM7d59mZjbW2+Nrd5xdr7WUvvJk7POLu/aNPyVasWz5h4tG0ZGPj5N4P2&#10;JG/KzkkvNeCYKo179RWYibcqr+RV/Rv3gX6Oxv3agSndLSnuKyndb6qqIkQmSK6sqSHqlxfsLCoq&#10;Or8/JT58xfRPv//ymTc/9n7yE/vm/Z29Bzu2HmLZfPRj7mGPNFlj6nXMvv1xu7a/WgalmwcA9wKL&#10;gEIL/2xL/2wL/1wL/zxz/3xeZv75pv7ZJkT9AVet26TbBV+2bXPeJuCUre9+h+bxdq1WWDQfZuU/&#10;sLF3J8ug9laBLeyCXFx83ZoGdOz00piZk9N+OV5eZfytR6OxlZXVFZXGoL0SwpPAUuMz/rVz40uL&#10;5pXuqhT3lZTuN2lb4Ebua19oMm74aNvf5QaDIacg99yvaRsTI4ZO+O6Vbu86t+ji1LS/c6vvXH1G&#10;23tPa+w545/OieY+e638z1kFZVgH51oHF5gH5Jn6ZVvgAwJyjemAAnmZ+OeY+GWbBVzFQ9gEpdsG&#10;/Wwb+LNd4EXHwBSn4N32bRY5PTHdKnCAXdu3Lf06WHr5u/p08O3w3vvdZoeHpf18vKisuBLiY2G5&#10;odJQUWX8YNdA6K85LbyW8e584507xk9wFffvthT3lZTuN2ncJ0oGn2XaN51KtC87GT/5BKPllaXp&#10;OWlbdy0Lmf7lO126PtHxjSYt3nP2HODcYqh102GPOkY84r7BpMVRC79fbNpmW7fNNw3Ifdw31zwo&#10;1ywo3yyowCSoqPYVmG8SkGsSAPrTzf2vWPj/YunHEqHEtF22xROXLTvss++43artAqe2o+38+tq2&#10;eM21Raem3q93emn0qGGxifHnf7lYXFxixLv26P4qgv7yiqoKoK/5KIO2SMFf8SJH6e5KcV9J6X4T&#10;oKyUkN/4/SfQL1915WX8BZWKipqKqtKcgp/TTi6bOeuHPn3fCmjznIPLm3auAxyafmPfbNy/7Wc2&#10;co02a7HXxv+EnfFj21+sgq6aB181C84xC841Cdae5dmmsHFQQePA3MYBOSb+mab+GWb+Vyz9r5oF&#10;lT/WoeTx9oWN21+yDL5gEbTXISDWvvVcm6bf27r3NLF91aXJ58+/PH3w0E1r158+cbKoqMi4wV97&#10;f47x413jt6/k3ky4XypPfasdltJdk+K+ktL9JtgJR6uMe+YaP6tLa6oLKsuLq6vKq6pKKwyoqryi&#10;NL/w52NpsStWDO3Z+73Atq+7eH5g69rPzmPII3ajH3Nc9KhLrGnzvda+ZxyCf3HpkGXRLsu8XY55&#10;u1xTVgBtC0F/4zb5jQJyG/nnNAb3/saNIJs2+RZtK/79RNkj7Uofa5tjGnjV3P+Mg/8BJ99Nbj7z&#10;mvmPsm/Sxc79o6Y+X7381uiB3y5ZEH740KH09PTMvLyCsrJS0K8Bv9ZvKe7fOynuKyndbxJuah+R&#10;SvQMT2XLRF4QlReZ1bmlVen5qbEJY3oPeMPL7yVb51dtnXrbuvSzdv7BxD7E1GmhbfMYF79NbkFn&#10;7J88Y9fxvM0Tv1g/cdnqiauWHXIs2hdYtCuwaFtg0SbPIjDPMjDXMiDHIijbrGOeadsC0zbFpt7F&#10;pl5F5s2zLZtftm6Z4ui71671cjv/0MbNhv+7ST8P/y9ee2fumJBjO3ZlZqbnlxQWVFUUVFdfranM&#10;qzLSHuelPYlH3aF5D6S4r6R0v6ku97U7Y27kvhyrS6qq88rz0s4mhC8f1+vTnkEdXnP26OPk0d/B&#10;fbCF08jG9lMaOc5v5Ly4sdueRr4HTQOPW7W7YNvxV5uO6RbtMsza5lm0y7MIzrdok2sRkGcZkGu8&#10;5ycw07xDtllwrllQkal3Edw3a55r0SLDutVpR/8UB/9Yx+AVlr6zTLwHOrXu5h3U+4VOkwZ+vWrJ&#10;4v379vx89UpuZTnoL9SeNMEIqrBfu9NH6S5LcV9J6X7TNe4bE9e+1mTcQ7/2calwn1c1fC2orsou&#10;zTv9S9LKdaN69n0noE03j6YfuDf9yqnJEBu34Y3sx/2v5YT/tVr8P26rH22+2cJ/n53xEc1nbTuc&#10;s2l/xapthmWbbIugHIsADf3+WVb+F+yDfrUNuGLjn2feOt/Mu9TEu7ixd7FJ61yLwGzLoLNWwcdM&#10;/fc09ptn1XqQhef75i79PXy+f+OdJSEhu7ZvOXvp/NWyooKaGtBPyI+1xh/zUty/61LcV1K631SX&#10;+3BTe2n39BvzdAdg3EEpr6ksqq4sqaopqbh88szqWbO/e//Dt1ybdHNpMtit5WR335nWzef82zns&#10;n04T/z+HGf90WfRY02hznx0ObY87dTzj/NRFq+BfrYLSLQKvWhjv7s+39L9q5fuzvc+vtj5XbHyy&#10;zY2P9yk0Cchv7J/XyC/HDPfQ5pJ1m5+tAk9b+m+zbbPEym+MebMhJh79PLx/fPGVmYO/X7d8Seqx&#10;w/nlJSVVFWXa4zYrVbx/L6S4r6R0v0nD/U1eGkA5kBS/YPQHhuoKg3FFUFxYdCw5efnMWT1a+XZ1&#10;a/qDc6t5zduv8mgXbe0fa+k33sRz/OPukx9xW/BYk3VWPvvs26a6PnnKOui88Wu9/lnXuJ9t5fOr&#10;fctLtl5XbFpfNd7yH5hv2i63cXDO422yTdpkm7Yxfr/X0v+SZesT1sEHbZ7Y6NR+uZXvNxbufew8&#10;egYFD+71ccTcWUeOHU7PulJQVFhhvJ2/1myluynFfSWl+0066IXudV8S/l/b/LlaXZNfXZOrvYqq&#10;qq+mpycnbBn68hu9m/sNsfBc5Bi02anjQasOx2w6Tm7WNsTZZ4x500mPus1p5Blj2nKbjV+qTeAp&#10;q4CLFv4ZFn5XLfzgfp6Vd7Z1k6uWza9ael21CM4yb5tl9nSG6dPppk9fMe9wxaL9ZWufS9Zel2ya&#10;5ZgGFP67/Rmz9sfM24XbtB5h6tbbzu3DgMCBr702cfjQhOj1F06cKMnOqSkzqID/7ktxX0npfhOc&#10;rBvV132JP5ACNTUXS0ohfnZ1dWa18TdyiwsLU/btnd9/4FeBT3z7uOss0xYxloEHzIJP2D4dFvTi&#10;zJYdJjp4TWjkNuURlyX/67zmEY/DNgHHrfzOW/qnW/hlWvrlWxi5n2PtkW3ZPBvumwdnmbXNNHsm&#10;0+zZTIvnMiyfSLfsINz/1cazwLxN2T/bnX28zQWrjltbPreoabsfm/m97e75tIPDS+2CQn4cvDM+&#10;Pv3MWUNhcbXx413xVPrLaP+1///2UqovKe4rKT24qtCcgQbQCrhfUpidnbEzZsP4b7/pHhD8moP7&#10;hy7Nv2keOMy7fZx96/WuAdMcW/axde3q5P5C8+bPenq+2bzlgKbeE5r6Jzj6H3QKKjT1S7f0P+DS&#10;5rhzu9OObbNNgvIaBdX8I7jmn8E1/xNY8z/+vEpNjcuCCy7+6Q5B2TbB2ZasCdpcMQm6YBKYZhoU&#10;b+639JGm39p4DvcO/qlbl4WTxmzfHp3xy8Uqg8H4syzGh3UaH9hTbTA+fgjuG7SPf4tqavK0l1J9&#10;SXFfSenBFZG09sEp3Of/5RWlhUV5ub9cjFm8aPDbXbo0937Lzu0Te88vmvhG2Lda6OI7yrnVx86e&#10;b7s169iiZbsmns+6e77n2GSgXZOFJk2irb3Omra+YBVw1jr4om27X+zap1sEZ5oH55m0zTdpW9Ao&#10;qPixgJJH/QvN/HIt/H6198uwCbhqFZRtEXTVLDDTJOhXkzZnzdrutgmONvH+ybLJV+auH7T0+vbt&#10;N+aM++nI3uQrP18oyc+vNJQT+xsfNVpWbnyEj/bttHLtRxaLtZdSfUlxX0npwVWdW32M20LVFRWV&#10;5VUlhacO7FszeergN95506Vpp0Y2XWzch1i6f23l/rFdk9fcW7ziHdCxbYcOgW3btmj9rJPn6+ZO&#10;X//LdpyJW5Rp0wPmvpX/CC5u1C7PvP0Z2+CTtm1SCP9dgk85t/nFPvCSXeBVS/+rFn45Zj5XzX1J&#10;5Jr555kG5JkEXTVtc8W83Qn7Jw7atV/iGjTZuvmn9u6ftmz9/Ysv/PTtV8sjwk+eOlZcUlBRVW4g&#10;+Df+zKKR+0Z/JdtZcn+SUj1JcV9J6cEVQX5ltfaDtVXa/r/xuceG0sJfz51OXLt2VN/+nZq1+o+D&#10;W7+2T33u37FHc/9Onr7P+nV46ZlOz7/W5cU3uj317Ksd/Z7o6Nqqs6ljFzPnb8xdp1o2TW7svd/S&#10;/5Bdm0P2bQ47BKc5BZ9ybHvGrs3PdkG/2AVdsgn81TrgFyvfK8afcGmdb+pTYOpX0jiwyCSo0LTt&#10;JYu25y3b7nRpH+cQOMfBe4y153eWLq/7+w365KPIFYvPnEzJyr2SW5ZXUF1SWlNRJksVQ3VNWXVN&#10;UbXxnn+lepLivpLSgyuN+8YnHtdynyPJ8pPHji6aNu2TV1592qNpv2dfihw7ae7XQwZ3+6THf956&#10;o3OXN9/9+NUPPn39ky/eeL//K690eSH42ZfdWr1o6/6uqf2nj9st+B+7VY+5x1i0SrL23esQdMKp&#10;3Sn74NNWAResA3+xawP6f7YNPGfjd9nSJ9uidYGpT6GpX3njwDKToDKTtjkW7TIt2x+2a5tsGxTt&#10;GrzUyXeyufubrVp18vf96J3X5syYsPfwriuF6QXVpQU1pUXGbx9UGrlfWl1TUF2TXzsmpduX4r6S&#10;0oMr4+09xuc1EzeTNBi/xFtVXlUZEx/72af9n+nQ4ek2wUO/+PJgwvawxau/GRrSrc+3b/cZ/Hbf&#10;oa/1+en1viPeGzD6jY+/e/HNXh2f7uTj265Vk2aBTs5d7a2/dHQe6dp0mWWLNVZeyY28Dzf2Pd3Y&#10;/1fToEzLdgWWxqf6FJoE51gGZNn65Vn55Vv6lZn6lzf2r2wUWNG4TbV5h0KrDpmmbX6xaXfBvn2q&#10;hX+Iq08fE/u3Le2/fvrZRWOGH0hOyC64fLUyL7em0Pjru7iqCu3BDsW1Y1K6fSnuKyk9uKqq0X7q&#10;RPuZE+OPtFQVlJf+mnFlzvy5Xbt2efmF53u8/c7E4SO3R8WMmzav76Bhb3/y1Tt9fnzv0xFv9Rv1&#10;Vt/RXT4d816fYW/0+PI/r3Zt2/557+bebV09PnVxGersOcax6bzH3cL+4bD6/7KP/1/3g41bnzQL&#10;uGjVNs+yfb5F+5LGbbMtA9Lt/LKt/bIt/YpN/Eoa+ZU/7p//D++yRm1KbZ/Ks+xw2ardReu2J8z9&#10;wzzbjHb27u/Y5EM3z086dhg/5OsdibG/FFzKqcovqSw1VBqqKqqrSqqqitWdnPUmxX0lpQdXVTWl&#10;BUU11TUVFRXlFQbi5l8yruzcv2/YmFHPvvjSa2++FTJ+YsTS5TNnhA4YNun9gcPf7Dn4zU+Gdek7&#10;rlvfyV17T+zaM6RHn3Hde494vdtn7Z9/29Mn6CnnFovMvVbbBa6y9gt7vMm0fziOecQuxMRpsq3H&#10;EpvmkY6+50yCrjQOrvk/welmASccfM7a+py38U239M8y988z9S8yCSwxaVNiElxsfMS/8UH/vI45&#10;PplkETivkefwf9r2M3f49rlnFw4dHBO3JjP316zS3FxDIWuUYkNZWQXmK9WPFPeVlB5YVVdWlhcX&#10;a9yvNFRUlJYbDqemjh4/oesHH73c+fUfhg6Pjolfsybqhx+Hf/LV8C59B7/10Xfv9hzeo//4D/pN&#10;7d5r0rsfjO728agen/z0TrfPnn7+nWatAp62b77MwjfWtu12xyd32HXYZBEYYd5y2uMuwx61GdnY&#10;PsTKbaVZsxhLr/0mvvtsfPc5+R5x9Et1CjjrEHTBLuiyTZtMyzZXLYNzzYNzzYLzTGtfP1u0P2fe&#10;dpd920gb33GWTT5zbfpFUJufBvbbHLn82JmUrKLsohpDQZXx1wVqR6V021LcV1J6YFVpKKuqNFRX&#10;G2+LJ+S/dCU9KjrmnS7dX3ntzQ8/6Ttn3qKExOTFS1f3H/B1t97fvvvx1+989H23niM/7Dfhoz5T&#10;3v9kQo8Px33Uc2zPXqM++GDQG69/8tyzr3b3fjLi8dYbHvHZbd7hjN0LJ6yf2WLZZpFpy1FmLoNs&#10;nD6zdfja2uEHG6fxli4LzN3WmbtvtGi6xbbVblufA7Z+KTb+Z2zaXLAJNj7m06pdtkW7HIt2ucZN&#10;ofYljdpfsOlw0DZ4uZXXEAvXvhaOXdsEju3fe83qJcfPpl0qunqlojBPcb/+pLivpPTAqqKy3Hgf&#10;vBH7lYX5Bcm79kydPP3JDs++3/3j8eOmrVq5YcXyqHFjp/frO6j7JwO7fvxV157fde8zvHu/0V16&#10;jXn349Ef9B7Xq9+4fn1HDej1/ec9v/m2z1ffdO/5iY/fNzbNZtgHpNi+cNLupePmT2+3bLfUxvdH&#10;l2Z9HZw6O1l1crDo5GA+oLH5uH9ZTW/kGGbpEWHTYrWdV5Std4K9f5JD4CG7Nkft256ya3fOvsNF&#10;+yfKTdtXPh6cYdrmnEWbZNvA5fY+Uy2b9Xbw/NI7aEL/AVtWrjh9PDW7KLfE+BMtSvUjxX0lpQdW&#10;VdWVxpcx1jdcOH8+bHbYZ59+ERzQftAX30WuiY2O2jJx/KzPPv2uX59BPT4Z2KPnoB69B3fvO7xr&#10;nxHv9Bz1zscjP+gz7qNeI/v3GzV00JjxQ6dM/2nCiE+/et3Pu4eJ/feN3Lf/O2jvY+1S/t12h2nw&#10;MkufH5yb9XF0ftHN+lkXi6dczXuZmo/4p+XERg4zrTwW2DRbZNN8mVXz1WbNIk2bbTVtlWThc8gq&#10;IM02+LRd+9LHgqofD863aJ9u+8RJ96c3ez6xyMH3S6eWH1m59Ozw5KSvv0naFF9QnF+u/W68Ur1I&#10;cV9J6YFVVU1lRbWhqKSouKQoedfugZ8OfOvVt7q83m3iqMmbohLWRkT/+PWoj7r17/fJVz0++fT9&#10;3gN79P/uvU+HvN1/2Ov9R7z56ahun43p0vOHL74cM39q+Nr5q+cOHdvn/fcdn2nu4WrZwdXxO4dW&#10;Q+y9xtl5j3L3/baJ14Amzfu4N/ne2m2YheuMR13HmLoNs20yyqFZiIvXeKeW4+2bhVi6j3vUPuTf&#10;dnP/7bSkcZMos5ZbrP2S7ALTH/UuMgnItQxOtwq+4NTxkPtTm+yCZru2+bGx+wA3n6HPvbZ5xrzS&#10;rLyassraUSndthT3lZQeBBm/mlV1/Q54VVWlodKQn5v7y8ULa1aufKPz66+8+PLYESHhYUvWLI+Z&#10;MTX8s34/du/y2ccfftO958D3+3zTvd/gd/oOebvfT299OrrLFyEfDBzXrfcP3/04KWpl7PaYbZO+&#10;G9L5hec9n/Dy8/Z8NThoWPuXBvs9NczriWGBT38T+MRXwU982faJH72DBzfxH2nr9ZV90/7Onl85&#10;Nf3Wpflwh+ajbDzHmbmF/NNu4j9s5/7TfuGjLssfd1vV2GOtieeBx5qdMPU+aeabZu53yrb9Mddn&#10;D7g8vbrJUzOtifpbD/B9YvmokLyMTEOZ2uepNynuKyk9CDJoqv69asprqsuqsy+lr1ux8odvBz39&#10;VIcPP+y+Lip69froGXMiBn0/4aO+w7t9POKdHkPf7zvs/X7Du/Qe9sYnQ97s9dM7/Ud1/WxMtwHD&#10;e381ctzU+XGbEuLiNn3Rt2dAqxZPt+3Q4613h33zfdik6SGDf/ppwKCxX34/7vPvJn/546QvBo/8&#10;aMDnnd7tEfzcc6282zRze97J+VUXty/sm45w9Jpl6xVh473GtvVa6+YrLJqENbab+ojZ+H81mmJi&#10;N8vSbb1lq0S7oDTbjmdtnr1g8/wO66ejLdr/aOnV28Nv3vBRP+dcyTH+fKRS/UhxX0npQZDE+5V1&#10;xGl1eVVVseHCydOjhg576/XOb7352nfffR2/dfvyNZEjQ0J7fTq060eDu308vMtHwz/o91O33kPf&#10;7Tnk7V7D3u4z/J2+I97p+1P3AcN+HBsaviI6duPmeWEL3nv91cDWXgP69lswe+7WjXGHd+3dEbdl&#10;8+r1iZExuyI37o2M270mJiF85dopcxf9NGHMoK+/6PXhp507f/jkk5+28v/crdV3tp6jrJpMsGk6&#10;3bbJdAfPqQ7ukxxcJ9g7TzRznGzmHG7SZI15qwTzgF1W7ffaPBXr8uwiqzZf2Xn39+2wKGTCxexL&#10;OdWltUNVum0p7ispPTiq0AT0Jd43FJXlXsnam7Sr94cfPf/MU99/9+3UaVNiN22dPX/xwO9Gdf3o&#10;6/c+/L57zxE9eo2C++998sM7n/z4Xt/h7/Ub+W7f4e/2/an31+Nmhq9bG7N93vxFX3w+8LX/vPDO&#10;a68uXhh+/vSZwpzcsvzC4qu5+b+kF/6aUfJLZtmvV8su55T8ml10IaPgzOVf0o7v35UYv3jx7CFD&#10;xrzx3kC/tn3tPPo3svnsMZvBpvajHTymNPOa1dp/tn9gqEuLqVbu0/5pP+P/tV3yf1zXN/LZbN1+&#10;qX37aWY+33sGj3m926YlEZn5V/Ory2oHqXTbUtxXUnpABOh16EtOUU7egd175syY+dorr3Z+9dVF&#10;i5euXLVm3qIVw0ZP/qT/4C4ffd31kx979B75ft/RPfr99M5Hg+F+934juvQb3rXvTx8PHE2wvzY2&#10;cUPcjqHDhr/00n+A/rAfByfv21tcWmp85A/if/RWYXwZH6BmfHZmVU1JZU1xRVlhSXbW1XMnTuxO&#10;3B65ZPHssWPGfvH5D127DHjpxQ9b+7zr7tHDzb13s+aft/Ke0jxgkpv3GKsmwxq5DG/kOsqyxTgH&#10;v36Wnj0tmnz77KtLho85tnt3cWlRufExPUr1I8V9JaUHRFXaDZsCfY7l5eW/nD0fPifsg67dO734&#10;n949e8Vu3LghJm7YqEmfDvyhe8+vu/f6vkfvoT36jHq/35huvYe98/HgLr2Hvf/pyC69h370+ahv&#10;Rs6euTByw+bdK1bHfPrp5888/exnfXuvXLb0/C8/G6oqyysMBmNfcqfoNfqXV9aUVMjLUFJeVlxS&#10;VlRUkp9fmJmRce7sxSOHklatXDRq5JA33ujeuvXbTi7vOTr1cHYZ4dpyvFvrSW6+4118Rtm2/M7M&#10;47PHnN97zO59G89JH/bZt3r91XPnyw1livv1KMV9JaUHRMJ947Z+dXVJSUlWVtb2zVu+++rr5555&#10;tnevPuPGTYiO3RKxIvLzr4d/0PvrLh9/3a3XD117DenS66f3+4+B+O98/EP3vsM/+HT4ez0H9/tq&#10;1MRZyyJjd0Ss3DBqzMR333nvjddfnztrxvHjxzIKckurK4sqygzVVbxwAJXa5wrG30qpMP5KYu2L&#10;FQCgrjD+4Fd5TXVJdWWOofjkxdOJyYnrli6aNXb0+P4Dvn/jnf5PPPOFS6uBjs0HOLfo7dSsm737&#10;qzZOz1vYvdi0xTvB7eaOG3chNbUsP6+6krbU93XrTYr7SkoPiICv7PNwzMvLS01NnT93bo8uXZ99&#10;+pnRo8asXLkuYnnklOnz+3w+pEfPr9/76JuucL/30C69f+reb2SXPsPf7Tm0R78RPT8f9X7fIV8N&#10;Dlm0YuP2nYfGT5z5wYe93nrzrS8++zxx69bikuJCQ3lJVWVJZYWhuppXOf1pSDa6G+NjP7UXaeOe&#10;j/HRz9UVRu4XV1fmVZbnlRdfLcrLzbhy+fTpE1u2b5w+J3TA1z8GP/tVy6CP3Fu9aef2kp3zsy7u&#10;z3s2f++FF77p3Wvj2jW56enVhnLjDweo5zTUnxT3lZQeBMH68vJygn2J+tPT0yMjI7/79uuXX3rh&#10;zTffXLw4YmvCzknT5n0zeMwn/Ye83/v79z75vmvvIT36j+jWf8R7fX7q1m9U1z4E+yN7fzFqwNdj&#10;QyaFrY9JTNyxb+CX33Xu/Ea/vv3mzAo9fizNeItQjfGGSnkZjAG98aX9qItGf+1l/IVELpcYC1Ub&#10;jAVwAUXaI/TJMzqGMkP55asZe4+mrN6YODE0+ofRM/p89t3r737yn5c/eK1zz67vjho9fOWqiOMn&#10;juFoqrVfizH+kIBSPUlxX0npQZDBuN8OYI27PcXFxSkpKSEhIW+//carr7787bffbU3YsXnrrsFD&#10;J37U69sP+gzp0fvHLr2GdOs7vHv/EV36/fRO7yHd+o3u1m/kJ5+P+bj/0BFj50RFbY5cF78iYtWH&#10;73/0RufXx4wctWPb9oz0jMqqKlhf9yXc11/iAIw+oA73q7VdH71KjaGqhpVCSWVVXln55byyy9nF&#10;J86nbE3cEL40bPr0WTOnhy2Yu+fIwTO/XMgvLqqo1H4juEJ7KdWTFPeVlB4EGe+u0VRUVHT69GmC&#10;/V69er344rNffz0wfPGS6NjN88NXfvbliPc/+aZ7rx+7A/o+PwH97p+OfK/vsLc57T/mvT7DP/li&#10;TK/Pflq4NCY15czC+cu+/erbN199/ZMPPlyxbPmVXy/hWozP+rmB9XVfv3EfwJdeWxQYf/Lrt0sa&#10;97VLFCiurimurM4vLfz58vmjxw7v33fo6KHUU8eziguKKsvxDpVE+VRW3K9XKe4rKT0IqqV+dXVO&#10;Ts7mzZtHjx798ssvv/Lqi0sjwrfvSJo7b/EPwyb0/Wz4+z0Hd/1kWPfew3v0H92t/8j3CPb7Dn2n&#10;75DuA0Le7jm0z1chPwyfvnHTnrQjJ8aOHNfp2ee6v/X2hFGj9u1OLisuIWyXG0SN2zjaS9/Y4aVj&#10;XV5Vv7uoxexUNv7oY51s4yqgqtL4eXB1WUVVUWlZQUkpx7LKqqKysnLjBwfXepLPipXqSYr7SkoP&#10;giB+aWlpRUXF5cuX586d++GHH8L9nr0+jN8UnbhzV8iEqQO++PHjvj90/fCbrj2H9egzonv/0V36&#10;Dn+ntxH67336U7cBIeR8O3Lu7AWRMRt3rVsVOfDTgc+0az/k6282R2/49eLFKuOvddVSWBzAdRiv&#10;C31ehppKQ01FRc21W3yqtQ9mK3kZq2kPh66pqqyuqqiqqDY+YZnWjUdtR4gixo+LaVT3LWQZaFWp&#10;fqS4r6T0gCgvL49g/8CBA4MGDerUqVOfPn3GTxyzIXZdxMqVPwwb1avft90++qZHzx+79RrRo+/o&#10;bv1Gv9P7pzd7/fhOvyHdPh/RdUBI3++mT5oTuT42eUnEhmHfD+n1/sfvvvLK4jlzzh9PKy4oqDZi&#10;uJb7v3tdk/DZiGjtVVzz/2fvLfyrSLrt7/kbfu+9z8OggQR3d3d3DdETd4NgcQ8ECBDcJSG4BQsE&#10;d3eH4O7BZd5v9z6cm0lgBskMAWp9DkV1dXV1ddWutdfu0+nz5tEfr7L+ePVMI+w3796/0Z7sectH&#10;cwDv9GdAX77X/gb38fs/nujfBbx4/8dLeP/th4d34HpxAuJepAMKeQHF+woKPzCQ+e+Mr+F8d/fu&#10;naPHDs+ZO9uyf58uXTuNHDVi3dp1qcmpMbGj/QeEOroOsTQMsnMLt/OMt/WIs3SN6ucc3t81Qvt2&#10;1zPCxXtwaPTolIUrMzbtHDNmgmVfS6t+/Qf6+WWkpz+8d+/1y5eaQpdzfYL3TQX0hs8b7ZtdJD9M&#10;rz+Lo93n4X/9o7eE1tejAI3rX+l6X0heu5VkbEgYX4ILvUQhj6B4X0HhR4UQ8Vvjixne3blza8nS&#10;hf4BPl26dnBwtF20eP6+XQemT5zt7xvs6jbYwXWYlbP2l1l23iOsPeL6OUdauUbZe8Y6eMbYuYYP&#10;HTo0KSlp2bJla9asGTx4cPPmzQ0Gw9SpU48fP/78+fPsb/o0nlvhR4bifQWFHxWwMLwvePHieWbm&#10;xcjI8JYtm/fp2ysqKnztutWbN+wYNXy8weBnY+fn4BZs8Ih08I6z8x7e3y26v0uUnWeMk3eck1e0&#10;wS1i5MiRCxcuXLRo0bRp06ytrRs0aBAZGXnw4MEHDx7Q+JsPr39Q+DmgeF9B4QcDRKwrb+MdHjKv&#10;Xr06d+7cpk0ZNrbWtWvXHDw4cF7ynPmpKTOnJocOjbGz9bG29bV3CXLwjHb2H2HnHd/fNdLKLdLB&#10;K5aPo2ekq0/MlClTNm3aROrr69u1a9fevXvPnz//0aNH+l/jGmE6o8KPDsX7Cgo/GOTGDhBSJkWV&#10;r127Fs3erl271q1bT5w4MSMjY/q0GcOGxPp6BTm7DDE4DbF1DrZ1j3T0HW7nFQfv27hFIv/tXEPc&#10;faOCIyYsWLBg27ZtaPxOnTr1798/Li5uy5Yt8gfAclJA/vXr18YNhR8ZivcVFH4wfLihr72bAS7O&#10;yso6efLU2LHj7Gztu3bt7uPtm5w8f/OmreOTJrs6B7o4DXJxC3ZyC7FzCbNxjbD1iLFyj4L37T2j&#10;tN/Ycg0eGjJmVvLa5cuXJycn+/j4tG3bduDAgbiNM2fOwPIm3hc3A2RT4YeG4n0FhR8MutbXeB89&#10;Dm7dvJWRsXnggEGtWrbx8Q6YMztl4YJlSxavDA+NcTAMdDAEGpyGGVxCHTyi7Txi+jmH93MO6+8a&#10;7ugd7eAZ5uQRnDB65o7dp1JTUwMDA21sbPr27Tt27Nhbt249e/YM0pcTkZqcjcJPAMX7Cgo/GJD5&#10;b7S3YULLb1+8eHHwwKHxSROtrQxNGrdMHD3p4IETqSnLyfh6D7EzDDYYhtk7hxoQ+O4x1m7Rli6R&#10;Nh5RNh6RTj4R7v4RgUHDZ8xatG//qUmTJsH4VlZW4eHh6enpL1++zM7y5BXp/0xQvK+g8INBF9+v&#10;32l/6Pruzp07y5Yu9/Md0Ke3Vd8+1snzlhzcf3L6tJSQoFh31wF2hqEGh2CDS4TBLdpO5/3+rlH2&#10;3rH2XlHOPhEBQ4cPHzUtdcGq9A07IiIiOnXq5OLiMm/evNOnT+t3dNQtnZ8WivcVFH44vHv9+sWL&#10;l8+ysp7s27cvJiaue7fe9rYu8XFj1q7etiZt28jhUzzdhjrY+dkZwu0co+xcYu1c42zdh1u7x1m5&#10;xzr4xBm8olx9w6Lixy9cvHrp0pXjxk5wdHTs2LEjYv/AgQNPnz7VQgnF+z8vFO8rKPxgeP/H2zdv&#10;Xrx48Swz8+Ls2bMNBsf27bqEBsesW7N5/ZrtE8fPDQ0e6WQIMNj62TtG2jnF2LnE2brG2bgPt3GP&#10;t/GId/CJhfe9BkZPmpa6dfv+lOQFdjb2PXr0cHBwSE5Ovn37Noz/Rn+ls8LPCsX7Cgo/GORt9llZ&#10;jzdvzhg4cGCXzt369bWZMT1l357jqcmrhw2JH+Ab5WQIdDYMMjjH2bkMt3UdYcPHPcHWY4St5wiD&#10;d7RrQHxI9LiUhas2bd4xeuTopg0bW1tbJyYmEj0g9l9r0cQL48kUfkYo3ldQ+MHw9u2rt29fXrly&#10;aVzSmF69evfu1XfokNBlS9duztg7ftxcD7dhbk5DXRyGuDsHObqOsHdNsHUZYcMH3vdMsPNOsPeK&#10;Gho9ZersZYuWrZ05c66ft0/zxo0GDRq0ZcuWmzdvvnz5Er2veP/nhuJ9BYUfDM+fP330+N6uXdu9&#10;vD3btGnr6eEzc8a8VSs2LFqwenjsJFfnwbZWfo52gzxdQx3dRtq7jrRxSbB2SbBxH2nrNdLeZ6TB&#10;K2rU5KWrN+xZsDgtaFho/z69+/ToNmrUqCtXrkD38pdZ2re66v7+zwvF+woK+RryDCVAibP55s2b&#10;rAdPD2zfPy4hsU/XXu1btxk9atT27dvnJi8ICokyuA5ydB1mcIm0cYhwcBvRxzHB3ndiL8cYK7dY&#10;J//4/k6B7gPCBwwJmZu6ePPWbTNnzOjbu1ebli0igoPWrFlz69YtzgLdy2P7r169kg4o/HxQvK+g&#10;kH9hImLyiHGh47vX7y5LXubt7NmvWx8XB6dZM2Zu035Ra3ZA4DBrg7/BZajBLcrGKcrBPaGfy2hb&#10;n0n9XOJtvUcYfKL7Ow8ICIpNnDBp8fKVixYvDg0N6diurY2lZdqy5cePH3/y5Anty9/oynmlDwo/&#10;HxTvKyjkX8C/CHzhfck8fPjw+KHj8aFxbZq2crZ1Gj923NLFS5csWRafMNbDJ7C/vZ+d8xB439Y5&#10;2uA2wtpjjI3HWGv34Y6+CXYe4XZug0Ljxi5dtQbeHzlypIPBvmunjuHBoZcvXIL0aRyuJ6qQ00mq&#10;8FNC8b6CQr4GdA8d4wDII/bPnDmzMGWhs41Tvep1gwKHbVibvnzZytGjxwYOCXNy8+9v72/rPMQe&#10;3neJsXcbbusxxtIlwdZjuIP3cDv3UK/AiJHjZ2zcum3m3GRvb+++fXp7uLnNn5uc9fAxjYuPQe/L&#10;uZTe/4mheF9BIV9DZDhcDB4/frxu3bpAv4HdO3Tv1qFb0uikPTv3LUhdMiwo3M0r0ODsZ+UQaOcS&#10;ZO8ebecWqz2z75rQzzHO3iPe3iPK1S8qZuTkaXMXr8vYNHzk6B49evTr23ds4piDe/e/fa29Xp+z&#10;mGILoO7v/8RQvK+gkH8BHUPEOue/f/r06fnz5ydNmtSlQ2frvtZxkXGpyQs3pG+ZOHGmj99Qg3OA&#10;nfMAW0jfLdTgEWPnHmflGmPrEmfjFOviHW/vGhYYNDJl0ZrFK9ZPnDLVf+DATp06+fr4bNqY8eDe&#10;/T+0nzI08j4ZzstJ5cEehZ8SivcVFPIvIF+4mAx0fO3atR07doSHhzdr1HTogCEb1mWkrVw7P2VJ&#10;ROQIRxc/Wwc/O+dAg3uYwT3c4Blr5xFn5RJt5xzr4Dbcw2+EwTU0PHbSpm0H1m7c7urhaWNvb2lp&#10;OXbs2CuXr7x98/b1y1e0D9eLj8EBAPLSB4WfD4r3FRTyNeTeC3R88ODBhIQEg8HQpXPnUQkJx4+d&#10;WrliTUhovK9/qIPzIDvnoQa3EDv3SDuPKBv3aCv36P5uUQ7OUZ5ew/38h0dETRw/MXn7rkNJE6Z2&#10;69G9V5/eoaEhmzdvvn//vu5ZFMX/WlC8r6CQfwHdiwC/c+fO0qVLXVxcevTo4e7mPnf27AMHjiSn&#10;LPLzDzY4+dk5DrR3CULs27ppP6Rl7RYF71t7xDi5wvvx/gHDx09YOHfeygWLVoZFxLRq09rZ1WX2&#10;7FlnzpzOysp69/b9H+oVy78YFO8rKORfIMUh/bt372ZkZMTHx3fu3Nna2nrixIkrV65csXLtqFFJ&#10;zq4DLW28Dc7DHD2iDO5RVi6Rli4Rlq6RVh7RNt6xrq4Rft5xwUNHrVy6ZdWKjRERsU5Orq1btwoL&#10;C921a+fjx49evnz55vU7xfu/GhTvKyjkX8h99hMnTowePdrDw6Nbt25BQUEZGRvTVqeNGp00YOAw&#10;B+cBNvYBDq5hDh4xdm7Rls6RfZ0j+sH7njF2fvHuruFBg0aPHjFjy8YDq5an29k49Ojey9XVec6c&#10;WZcvX9K/x337+tW7d+qJzV8MivcVFPI1Xr9+vWnTJkjf0tLS1dU1KSlp587tS5YsChw8zMHJ3cE5&#10;0M5xsI1DkK1LlK1rjKVzVD/nyH5uUVZeMbZ+cf4+MYnxs1Jmr1q9fPPUibM6d+zat3ffWbNn7Nu3&#10;58mTx3IT6d3b92/VS5d/MSjeV1DIv3j58uWlS5emTp3auXPnvn37JiYmLly4cNnyZRMmj/f08bex&#10;dzY4BxpcgmwcQqwcI62cYvq7xPR3jenvEWPtHWPtGxMeNDZ11pr1aTvGj54e4B3YuUNnfx/f/fv3&#10;3LlzSxf52v2d9+//eKfu8/xiULyvoJAvAPcaP/rT9IIbN26sWrVq4MCBjRo1srOzX7169dYtWydP&#10;mRQaHuLm6WtjcLF3DnTxDHf2jLN2jrZ0jLJyi7P2iLP2jrX2ibH2iR4ZN339il3bNx4c5B/as0uf&#10;nt16Do+LP3vudNazJwh97SbP6zfao0LGLij8KlC8r6CQLwD7vkV6//HHm3dk3r599+Zp1sODB/cG&#10;hwzp0L59rx49Q4dFbt+0e9P6neERI108B1k7BvY3BFq5xth4jrTyGNPHJaGf2ygb7zgbryh7nyCP&#10;QWGBETFTpk7bunXr4sWLe/bs2aRJk/Dw8KVLlz59+vT58+dv1WsYfmEo3ldQyBd4905jfHgf9of3&#10;n7/IunzlwuIlqTa2/bt17RoaEjpjytzVKzbMmbEocFCks3ugjfNgG+eh1m6xNh4Jlu6j+rrC+yNt&#10;vGNtPCNt3Af5BEWNmjx98ZKlKSkpYWFh7dq169Onz6JFi65evQrpv3r1yvRnWRJYSF7hF4HifQWF&#10;fAGN998aJT/JvXt3tmzdGB0T3qFDWysr6+Tk+atXbpg9Y8GI2PHePsGOrgPtXYfZu4fYesRbewzv&#10;6zrC0g32T7D1jrH1jLDzGDw0emTqyjVpq1dHRkZaWlqi92H/w4cPv9GB2DdxPQ5Aaf9fDYr3FRTy&#10;BbT7PG//0P44V6PkdxcunJs0OcnBwa5r186BgYM3ZWzdmL5rVMLkwQOj3dyHGlwCDe6hjlC8Z5yV&#10;e2xf1zhL93grj+F2XpEOPpFegyJGjJuycn1G6oIFTk5OHTp08PX1XbBgwZUrVyB9Xd//n8BXvP8L&#10;QvG+gkL+AGT/9o9Xr968ePHywYN7mzZn+Pl7d+nSyc3NdeqUGbt27Vu9aktE2ChXp0CDwwCDyyAH&#10;jzAnr0hbj9j+bjH9XOP6u8dbew6384xwGxAbPWryjOTFcxcsSRg5spuOxMTE/fv3P3361HR7x4Qc&#10;bkDhV4DifQWFfIH36Pw379++enP35p09u3YmjR3Ts1f37j26jxkzdt36zStWrB8/PnlgYKy9faCN&#10;/SAH12BHzygH90gr14j+LpHWHjHW7lEGnziDZ7DfkPi585evWr0xfvhoV1e3jh07ent7r1279t69&#10;e5B+bt5X+AXxw/O+qBUTjKU6jEV/hqlc6gDZFBiLcsG4+xMwVvoYjDU+wFj6aRjr6TAWfQLGSn+J&#10;j1aTwxW+L4yTkW063r999+7VO3g/88Kl1JRkP1+fDh3aOTo5rVyVtn3H/nFJ0wYMjPb0CnV2DjI4&#10;DXNwC3HSeD/C0jnM0iXC1ivO2j3SwS/OyTt0SFjiyjWb167fHDBgcJcuXfv06TNu3LgzZ87Ie5WR&#10;/HI6hV8ZPwPvi4qRVSR5YNp8K3+N/uHXoqUwN7JXyA39yzDttYhA8qb6Usim1MwB2SWQmsYdn8Dn&#10;1JGrNkFaNm78GdnHRyCFCt8dTIRYlHFbeP/lu+ePnh7ctTcqLKx39+79+1nGxMRt3bYrY/PekLAE&#10;Z9dgg+NQg2OIwSXMwS3CyTPG3j3S0jnEyi3M0T/O3jvcxT86ODJx8vQFq1amz5g627qfTadOnUaN&#10;GrVv377r16+/ePGCs8iPsyv84vip7vOwlkwMSx5IoQmmTZ0DjZCSv4YQveQ5JPspZPPVK+0N5rmh&#10;nSAXjPuygcLsvgRIV/XqH0H2OgLyOWCqKZtksm8qfEdoE6aDGWHSAfk/3v3x9vnr6xcvL5qbYrC2&#10;6dax07ChQ5PnpaxZu3HOvOUBAyMcXUNsDENtHUIcXKP42LtF2riE93cJtXYPs/eJNHiHuPiFT56x&#10;YNWardOnzB4WOKxnx+4OBsOiRYvu3LmjvX9N/0aX1NgJhV8YPxvvC4zbOtjUCdCI3Htl4QntGktz&#10;wXSg1JdNAXk5XGrmQPYzkqHmR3/GiGqUs1cqS7NybA6Yzv7X1UCOmnJq2VT4vmAWxGCYINO8v3v9&#10;9uH1O9vTM6KDQrt16GjX32r2zFlbNm+bn7o0Inqsm+dQR7dwa0OQjUO4o1usvUu0lVOY9nENtfUI&#10;s/MKdfQJdgsIW7Zyw/adh8KGRVj26GfbyzI8LHz79u0iSkx2In1Q+JXxo/L+X1uw7DVBo8YPYNNY&#10;SQebrDoWoSw/Y2ku6M1ooNqzZ88ePXp0//792zru3bv3+PHj58+fG6v+GXJGQJ5UziUl2WGqBqTm&#10;p0ALpsrkTazxKei90BrkKKkpJQrfEcwFEycZmVAt//J15vHTUxOTHPpZ9e7SNXTQ0PS163fv3Dd+&#10;wgx37xBH18GO7lF2zhH2rnEO7sPtnGP6O2q8b4PY9wo3+IQMCIkbGjkybfWG1WkbXO2curRuH+oX&#10;uHzpsvPnz2c3Of38Cr86fhLeJ89CQtewikzA3AXsZZO9gGqUsNJyg3L25oA0JXmC5SdPnkD0586d&#10;O3bs2IEDB/bv33/kyBE2r127JnVygDNylIC8nFrv+59AoVQWfKqHwNQCqbQpmx+FdsAHSIlxvBS+&#10;K5gO5pEMpiVTw+bDu/cObN4+2Mu3S8u2rvaO08ZPTF+bvmrluojIEfaOAc7uwwyuEQ7usY6eI22d&#10;Y22cYm2co2xcI+08w538otwGRo2cOHt6yrLklMUjhif279G3f9eec8ZPvn71GkZC+3IWzijnVfjF&#10;8TPwPhlIExkOKT98+BBevnHjxqVLl86cOXP8Aw4ePLhz584tW7Zk6Ni0adPmzZs3bty4bt26lStX&#10;Ll26dOHChQs+jdTUVEnnzp07ffr0MWPGjBgxIjY2Njo6Oj4+PjExceLEiVIzBxYtWsRRycnJKSkp&#10;ixcvXrFixdq1a7flAh2jM+t1kCE2F49yIhfwN1zO6dOnJc81Xr9+nbDjVi5QeFMHGQIUk4eQQVP4&#10;jmAWmAsy2C3Uz+aDBw8O7tk3beRYm269+3fpMXb4yHUrVi1OXZSUNMUvIMjWIcDVM9TKEOrgFufo&#10;OcrSPsraQfvldHuPOHjfOSDKNzh+WsqSNZt2jBo5xs7a3r6v1RBPv73rN7149lxmnNPJ7Mt5FX5x&#10;fH/eN1kkeVLJmMAme3XNrQl2xIvo4qysLIie9OnTp48fP4brUdwXL16EK/fs2QOzL1++HLadOnXq&#10;pEmTxo8fn5CQEB4ePnjwYH9/fz8/P19fX29vb1dXV1tb2549e7Zt27Z58+YtWrRolQsUgpYtW8om&#10;1Ro3btyoUaMGDRrU+4CGDRtSKBVygJZJpZF27dp169atf//+Ph+DdAkEBAQEBwfHxcWNGzeO/ucA&#10;lzNlypRp06ZJijtZvXo1ngOvlgO7PgAXcvLkyStXrty9e5exwjvmAIUC3AMpo/r8+XPS3GDM2QXI&#10;SP7FixdMRw5o0Y0OqSx1UJq5IZNrymeffd0WNEheCn8OcDlysRgzF84IXL16dd6c2R4G+25t23u7&#10;uK5csnL3tt3TJs8ePDjSxTXQzmGwi0dYf/tgg2uMwS2+j22EjXOCg+cIO/dYg1eY24CI4LjRKUuW&#10;b9y+Y8jgIS2btvBx8Zg8Kuni4dNMgAydjPNPNowKX41/iffF7EjJi9GzKRDTN1mnaRcZqUxe7qdf&#10;vnz51KlT6NwDBw4g2JHqyGd0OvyOBk9KSho5cmRMTExoaGhgYCAE6uzsbGNjY2VlRdqrV6/27ds3&#10;bdq0fv36MDWpEHf16tVLly5dpEiRAjoK5jV+1yGNFy5cuGTJkpUrV+bUOSC9IiMupE2bNt27d7e0&#10;tLT+GPBVcl3kXVxcBg4cGBQUFJILYR8QGRk5fPhwvMjkyZNnzZo1OxconDlz5gwd8+bNw2USdjC8&#10;ObBmzZq0tDTiFfamp6cTo+zevZtA6mguHP4A9koFiUvu5AKuiJTohAweCPdg4iaxE9nESKTw5wDX&#10;JUof4B0xb2K4wUMCO3VpZWPbLzY2au26zekbdsbFT3V0GmZwDHZwDnd0iXRwjbR3ibB1Cu1jH23n&#10;OdHgPbK/S6TbgLBB4bGTZ89YvGLB3PkzbG361alVfURU/PYNO+5k3nv3Vql7hY/gX+J97FsEHXmh&#10;cqF7YXkpJ0UYklJOBp2IokTOsyqQq4cOHYJroPiJEyfGx8cPGTLEycmpb9++wuaQZo0aNapWrQqP&#10;k1apUgV6rVSpUsWKFUnJV6hQoUyZMtBuqVKlIHryZcuWLVeuHJslSpQoXry4ubm5hYUFad5CWuYU&#10;Zjo4hZw3ByikS2ToG50kpcN0XvZmB4VcHRclh1CNS/4UqlWrxmgAMrVq1aqjo+7HQDkVyBCX9O7d&#10;28HBgeHNDVwpIE7y9PQkeCIoGTNmzIRcwAcTYzFTRCcAd8LEbdy40RiA/Bk4D0I0fDkenaAN9mfS&#10;szsAADkacz8FxMhlCWDqmDfyxc7epm37ZhGRoYuXLF6xasPkqcmDhyY4uQQZnEIcnCMcXCINwvvO&#10;oVZOsTZuYx28E+zcY3yGRCdNm7N8bdqkaRO8fF07tGvVo2vnxcmL7ly+/TrrjfY6fwWFXPiXeJ81&#10;LJA8do/RC92bQAlrnoD39OnTcAGictGiRehQGCQ6Ojo4ONjX19fe3r5Pnz6dOnVq3bp1o0aNoDNY&#10;smjRoijr//73v//5z39I0deFChUSuY3EJv2f//kfdlFIZdgQQQ27yY0d0LJlyw4dOvTs2bNfv36I&#10;6LwFwhzgn7p27YqKlzN+FHIHqWbNmpA+Xf1fHRIofBRyvWRMF5sDVABSmTGh5FM1pZxqpHgpPCg9&#10;ESeRHXgFwhFcbO3atdmkjowbV5cDzBEp4ymbBC7EKEwfriIHiMxw4cN0EJqMHTsWD0FsARU+fvwY&#10;WhSbyWEqPzpMSwDRg82vWrWKcejUqUOPnh3nJs/ZtWd3csrSIcNiXN1DnFwR+6EOLhGIfY33XSPs&#10;XMKcvEbbe4xz8Rvt6j9yUFjC/GVpazLS40fGdOra1rJvz7ioyMN7Dr5+9uo9MZLifYWP4V/V+9qt&#10;X/2JGtH4ZBA72W/Qnzt3bsWKFdOnT4+MjHRzc4MrGzRogLxFsYpmR/Cic8uXL4/gFWmMgiYj4hfx&#10;zqZoefKAPJU5ihQn0axZM2jIy8tr0KBB0I0AxuF0o0aNQpbOz2vMnTt39uzZU6ZMGTlyJLzGeQcO&#10;HGjkvGxg2fv7+3t4eOAqcGl0lc5zdbrE/wi4QECGMQHkudLckDqfA2oyjBLxkCeqYMRyIHs1iWMo&#10;4ezG3dkg55UM9ekJedrMDa6RvVSWFNfSrl07Hx+flJSUCxcuEPCZqP9nAlcEZEVcuXJl9OjReNBu&#10;3bsOGOS/Ii1t87YdY8bNdHEPtHUY5OgS7OgK6UdopO/GJ8LeLdzVd7S92whX3+GBwePjRk9ZtHJt&#10;yuKFfgHeLVo2CR42OCN9/Y3M6+9evv3jBQ7TeEYFhez4V+/vC91j8bIJ6d++ffvo0aPou1mzZiUk&#10;JISEhEB/jo6O3bp1a9KkidBfkSJFEKSi4skj4UuUKAFl1K9fv2nTpu3bt4fKiQMMOqAMOHToB0RE&#10;RAwfPhxOHzFiBMw7ceJEuHjNmjUZGRkbN27csGGD9gDN+vWbNm3atWsXPTmV19AfJjou3zZv3ryZ&#10;M6anp8tJs0MK6RghzrRp0xITE+Pj4+Pi4uh8bsTGxuJCgoKC8Fj4La4X4FFygMKAgABv/etrhpQh&#10;AnYfg3xb0Lt3744dO7bSv7sm/tC+lc4FfJLMC9SvhwparMCk5ID2ncbvvzNTJhCTkVI5BwgySNnL&#10;UaT4EjwEERhXxxxdv379pf4YIjBa0k8BWQJC+tghkRCjGjAgYNbcmfD+nOT5QaHDnVwHwPsGlxAn&#10;9yiDW5S9a6QdpO8eafCMdPSMt3aIcvKMjh2VMndB2qyUJdHD4/v069W2bcsZ0yZfOnf22aOsPxD7&#10;Su8rfAL/6n0eMpg7dH/37t3Lly/DhpDd+PHjsfvu3bsj7eWmPLoPWgGiE1GUSH6IHtVfS0fjxo0J&#10;BQYMGADxQY6TJk1KTk6GMZcsWQKDy5eNhw8fpv3z588TRty8eRMGAWQ4tTy18lDH/fv3KSHaINw2&#10;PrOS13iuPxvDSR/oMGVygHJAf27duiW9/RTk+2351nTfvn14LJwKmdzYuXMntLJq1SpGZuGngbjG&#10;7zIROJvQ0NDs3wlnB7twpZ6enngIPG5NHXLPJweksF69eqQ1atTAT1SvXp2MHJIDMqfsZZaJD6B+&#10;bKBXr15jxozZv38/Q4fZYDO6Hf0kYC3IXc0dO3aMHTu2X79++NQp06Zt2bFj8fJVcQljPX1DnNwG&#10;2zsFGVzCnDxiDO7Rdm6RtvC+R6TBK9LZM9rJNdLDO3LazFXpm/aMHjPJ3sGpT9/ebm7OmzakP7x3&#10;793rt+9fveejeF/ho8h73jdRPCmiXjZF5lOIfIO2YGeIJjo62s/PD7UOicDphPyiFgHSDwrAE8Dv&#10;tra2Hh4eCHm0LYeIbJ87d25aWhqBwpYtW2CHEydOnDt37sKFCzdu3IDEIXQ4FHLndPRB79cnQd+A&#10;ceMfg5xFBiE3ZIgkb6omhbnBFeFLuDquUVwXl5wblN+5cwc/kZmZif9jfD6F06dPHzt2DD+xbds2&#10;/ATQ/sbhY8BPL1++fM6cOUwBQQnUDG2R5sC4cePwIqTyhFV4eLj+hFEIniMHcCdIezBw4ECCks6d&#10;O+MksIS6deuySQCER+SSkcYyOD8omEqZUwF5rujq1auMpLu7e6dOnQjFlq9cuWPvgamzkgcOCXd0&#10;HWxw4RNicA2H9G1dtVfx2LpHGLyjDT6RLl6RAwNHhYYnzZ23Om315iFDwzt06Ozh7j592tTzZ88+&#10;f/r0j3d/vHv17t3rd4r3FT6KvOd94SYyGLfcnAWydFnDsMzatWtjY2OtrKwaNmwI3ZcqVUpuFou6&#10;F1GPou/SpYuLi0tkZCRyfsWKFTAOwhZ+v3TpkvwtErxGg9Df06dPnz17BsUDzgIQU5wamDrz00AG&#10;E+rn6rhMuV5APgeMOz48TY9k/gvI01MoUPElpvjjo2CvOBX56zDtecw/QxwPu65cuYLLOXny5NGj&#10;Rw99DPhsghLilQ0bNkyfPn3QoEEtWrSA97GEtm3bLl68mNa4UuPF/7DIYYfkGUauOjg4uEOHDqyF&#10;0aNHr1q9ZuXajVHDxzp7Bto6DrR1GmznEmpwi7RzjbJyDrdyDrP1iHDwjYH3Hd2C4+KmzpmzYvbs&#10;ZWPHTHGwd+3cqdvwuOGHDhx8/jTrzctXGt2jdvgo3lf4GP5B3oebABmoCt65du0aMh+d6Ovri8Ah&#10;8IfukfYF9aduKlSo0KZNGzs7OyIAZCAqMiUlBTnP2jh+/Dhcz+HyiDckBZfBa3Ii3a1okBPlgNah&#10;nxHGy/s7fGbl7HVkVIFxOxs+VS5nyQ1mn5kyPYz7Uci3+ngdnITc9OjZsyciAOD758+fz6SbDOnH&#10;RfaBIoMNo2AQ+9bW1s2aNUMGEWMtWbZi4oyUAcNi7JwH2DgOtnEaauMcZucWaQPvu0RYuUZYe4Tb&#10;eIbZeoe5egybPiV159aDs6bN93D17dq5p5O9y5JFS+/cvK39eMs77fbOuzdv379Vel/h4/gH7/Ow&#10;VoUpsrKyCGkRdAT1MH6VKlUsLCzQdCVKlBBlR2iPuIPx8Qrbtm2D6G/cuMFRkDuN0BpuAwaRvEAI&#10;SNqnXMQvkD78apAx+RRklP4CDGAOUGhsOhtMTUmzpsJPgZrSmhZ5ffhz3BxgL5NLBvdATIDkhwox&#10;DARBnTp18P0EHxzI4XK6HxdcqZgo10swtHLlyoCAgI4dO3br1o2w5tSpU/NSFgRFJjh7DrZx9Ld1&#10;HmbrEmTjEm7nFmXjEmXtGmnjHmXlHmblHmrvFxk4NG7pwjUH954YFZ/UtmXHrh27J8SN3LtrX9bj&#10;LP1Hu94q3lf4a/yDvC95pFxmZuayZcuGDRvWvn17WF6e6yhVqlT9+vV79Ojh7+8/YsSIWbNm4RhO&#10;njx58+ZNZCDrXNoBpjazIzeJyBlNMJbqMBb9FDBekg5j0YfQKgdy1PkLMJiCv60vbeYtZK7hfWZ/&#10;3rx5Dg4OiH14v3bt2uh9AgLOS9+kAz8c5BoBlwnpk4H3iV+JbORPsoODg9esWbNr167xk6a5+4dY&#10;Ow2wcR7k4BFp8Ii0c4u2c4+xco229oi2946z8gy39gr3DkscO37m8tRlS+cvDfAIaN20jZ+73/pV&#10;6dcuXXv7Aq7XfqlR5/0379+S+amMXyGv8E/d58G+SYlnL168mJaWhpZv0qRJaR2VKlViSbdr187d&#10;3X3UqFGbNm3CMSDrqAxbyZ16oS1phzZFKLFygM5pGvTzGNlfTp0dUi51jEU/BeSKwEevOjtyDNFf&#10;QOobNz5ACnNAdtEmjct0AH02/gQKZb6M258GrZHSIOEdcd7s2bNtbGzQ+0WLFq1bt25qauqTJ0+o&#10;Yzz9Dwg6zzjIZZKC27dvb9y4EbmDDGJdzJ07d+nSpVx4ZMxwg/sgS0OArctgR69og7t2h8fWLcba&#10;LcbGI9rBb7iNT6TjwNiwsbOXLk+fO3V20IBhNr2t+/eympo09eLpS6+yXkH6f/B5856zvn3z+t3b&#10;12SM/VBQyIZ/ivexdVYyhL5ixYoBAwa0bt0agf+f//wHvY+5e3t7T5gwAX+wb9++a9euwfXQhM4D&#10;f7rDIOuEjLQpFYBsCkx1coNyqWPc/ikgVwSM2zpkEHLARLvGAz7tAD7aiBRmh3GHDmPRJ04NjLs/&#10;XcGEV/qLQokLT506BQlaW1ubmZnB+4SD6H25z2Ns6wcEF8hESAZwmdu2bYuJienXrx96PywsbNWq&#10;VcnJyREREf4Dh9i6BOq8P9TBM8rGJdzSMdwasa/xfoxjQIK9f4z7sFGj56zYsm1f0ohRfTr37Net&#10;d6D3wA2r0p/cfaI9tfn2j3ev3717/ZaTvX2jPdDDaaUbCgrZ8U28jx0Lm8gm9m1aomj2s2fPrly5&#10;Estu2bIldI+II35v0aIFbiAlJeXYsWOi8eUogakpgbZQ9BLj7j9D6vw1TC38NJArAsZtHcaij8FY&#10;Iy9gbFGHsejTpzbu/su+CeB9Uizh9OnT8+bNs7OzE96vV68evC/PcX7mdOdDcGlvXmkP2Lx59frl&#10;8xd3b9+eM2t2n569+/Ts5WgwxMfGLUhJHTl8hJe7h5enr4Ojj8F5oLN7kKNnrK1rVD/HGBu3ETbu&#10;CTau0U4+wz0DoqNGTJu3cPXadRlDAgfVq13Xztp2xtTpRw4def70ufb0zrs/3uHltdv62srkH+c3&#10;9kNBIRu+ifdZjchJbMy0qVm5LjMR+1u2bAkKCurQoUOlSpUg/dKlSzdt2tTHx4fFfOLEiUePHlFN&#10;DlT4lUGoJ7wveh/el/s8wvvYiU5iPzLv6w9Wvnr+4v7tOyeOHI2Lim7VvIWzwSE8OCQhfjifgX4B&#10;dlY2DvaOzo5eLi6Bru7DHD1i7d1jLV0g/VF87N3j3PxGhoSNmTFzafK8xYmJ4ywtLRs0aBASEkLE&#10;fOfOHXyn8XwKCp+Bb+V94XqBFLKM7927d+jQoXHjxrVv3764DvR+kyZNIP2FCxdevHhRHuEwHaLw&#10;K+On5/13r17D+y+ePT99/MScGTPtrKwb1q3n6ug0dtToyNAwLzd3d2cXCm2tbJyd3J2cfZ1cAgxu&#10;oQb3cFv3OFv3eBv3OEfPKI+A4YnjZqxeu2XG9NmOjk7IKVtb29TUVEifUzCGP+4QKfz7yJv7+yb2&#10;R3ewUHfv3h0REdGjR48aNWoUK1bMwsKiefPmkP7ixYsvXLjACleWqmDCz837EP8fb9+9f/f+0YOH&#10;q1eucjI41K1Zq27N2j27dhs2aLCvp5eDnb2Hi5u7i6urs6uLs7ujk5fBydfWaai9a4g9qt8jzs4j&#10;1tkn2m/IyKkzUjdu2p00blLXrtqDQOgqFpqMj3yLYzyjgsLf4Vvv7wPjhs7+KP39+/djkZ06dULj&#10;m+svtScg9fT0ZA1nZmayvFnnmGn2LwMUfmX89Lz//s07xP7ZU6dHDU9oUKdu2ZKlmzdu2rVjZxjf&#10;yd7g7uzq5uRCxsMVuDg6u9o7udk4+dm7DDS4h9i5Bdm7BwcGjxg7OSVlwZK5KakBAf6tW7cKCAjY&#10;sWPHjRs3nj59KuOTfSUqKPw18uA+j2RYvQ8fPkSAJCYm9u/fv3bt2qxeMzOzOnXqODk5zZo168SJ&#10;E/INnmJ8hez4uXmfzr96/vLCmXOLUhe4ODpVrVipeuWq3Tp1sbG0crC1d7Q3eLt7ODs42vS3cnV2&#10;dnV3dnJ1MTi72Dp52Tn72DkPtHEeYOcSGD1i/JqNO5IXLAocMqRHr649enRDWl3Tf8qf1STjQ2o8&#10;pYLC3yFveP/58+d37tw5cODAmDFj+vTpU6tWLflzXNjfYDAkJSXt27fv8ePHmCaWKt9BKfZXEPz0&#10;vJ/16HHG+vTgocM6tmtft2atVs1aWPbui9hH6ZO6OTl7uED4Lt5enq6eTs7uzo4a9bvbOrrZOHja&#10;OXnziRmeuGXH3vGTJ3Xr1aNLjw5Dg4asXbuWBcWwyMMRZBTvK3w+voD3MSyMDIiRCdh8+fLlkydP&#10;Dh06FB8f371795o1a1pYWLB0q1Sp0rdvXzzBzp075Wk86pMCWpNNaVnhVwa8jzGYnt83/d3Wj8j7&#10;YtWkkgHom3u378yaNr1Pz151atZqWLdet85dDDZ2ML6zwYGPK7zv6ubt7unh7mZwtnFwsXdwcXB0&#10;cXZwYqeLvYEowDM4JGzajJnh0eGt27eyc7JevmLZ+fPnGTE5l2lJGjuhoPB3+DLeN1mzgEJs7t69&#10;e8j58ePH9+vXr3r16ub6z8lC+j169MATbNmy5fbt21i/NKKgkAMm3j99+jS8b2tr+6PzvglcGnHw&#10;7h07Q4YGtWjarH6duh3btrPuZ+lob3C0MzjZG2B4eB+x7+nq5uribO9sY3C2c3AxOLpov2Xs5Ojq&#10;7u41eNCwwUOG+gX42xis23VuFxQxdP/Bfffv32fpcUbOonhf4UvxubyPVZnWnuTF4FiW+/fvT0hI&#10;6Natmyh9MzOzqlWr9urVa8SIEaL0qaaMUuFTgBxJX3z4uy2DwfDj8r5cC72VDj99+vTggQOjRyT0&#10;7tGzbs1a7Vq1gfE9XFxdHZ0+fJxJXRy0D3Bwd0L/O7g4OjnC/M7uTi4B3r5RoWED/Pw7dejYul1r&#10;V0/XuQuTr1y7wokYFhkZ4X39/AoKn4Uv4P0c+gIJ//DhQ5R+YmJi3759q1WrxnItVaoU7A/pjxo1&#10;aseOHfISXWrKsT839GX49TC28utBYkH0/smTJ+fMmfND8z7ei95yRcLLN2/eTEtLs7Wybtaocf3a&#10;dXp07Yau9/P20e7qaPf0Xd2cNN53dnBE+zsCD1dHN2cj7zs6uTs6ezi5+Lp5Wlv2J1bo0r3rxGlT&#10;9hzef+/hfQZEhkXwK9uPwlfgc3kf25L1iYUJnjx5cuzYsTFjxnTp0qVGjRply5YtUqQI7I8PQOnv&#10;3r2bUPSV/uoVxfufA2Mrvx4wDy7/2bNnR44cMb2H+QflfbkW0Tp4ssOHD0+dOrVFk6aN6tVv07KV&#10;Vd9+7s4uPh5efl4+3h6eXm4eHi5uUL8m9jXedzK4uTkQDLi4QPou9o5utg72fSy7t+vYpF7DmlWq&#10;GRydNm3bduP+/afPn4v2kvRXNh6Fr8MX875kHj9+DLOPGzeud+/e5cqVMzc3h/erVq0K6aP0t2/f&#10;Ll/kyiHY5a9gmlzvt8DYyq8HyAvzePr06f79+ydOnIgJ/bi8bwKWf+HChdmzZ/v6+mrP8DRvYdPf&#10;CqU/0M9/gK/fQL8A8r6e3gh/IgCEP6rfydHZxsnF4OzmhDNwdHG2dXCytOnbqWuj6rVrVKzavmWb&#10;4NCIYydOQ/mvFekrfBu++P4+ASykj9JH1Jt+DdXCwgLSxwckJiZC+vfu3RPJQ9jLUQJp5yeG8Tq/&#10;FsZWfj0I74uSGDt2bI8ePYoXL/6D8j5dFa2D2N+8eTOk36xZswZ16nXv3CXQP2D0iIRRw0dEhIYF&#10;Dx3m7+OrU7+XLvzdEf5OTi6WBieDk6uzi4e7o6uTjcG+V7/urdvXLFupSd2Ggb4DZs1OvpB55TWW&#10;li24lPMyPqa8gsLf4m94H3uSezUmI3v48OGuXbsQ9X369KlZs2YpHWQgfTyBPL0jlXNAGvwWGBvS&#10;myLFAwmEOKRODrBX+m/c/nAgi5NCUo6VQlNeNk2gnJRC9j558oQ4BpCBp6AkRgOQAffv37958+bl&#10;y5flR8xJL168iOj7TFy5coXDaURalhORzwE5I7uoSSpnpz+4WOk8MF0amc8BF0hlGRa52H8C2mjm&#10;gqkDXMLOnTsjIiI6depUsoT5f/+//6lXu27y7DmMxfs32oX88e59jo/221LfEbn6w4fCNy9fv3v9&#10;5lnWs2VLlvTo0q1urdrt2rZ1c3OLi4tLGjdu9OjR8fHx5LnSkJCQIUOGBAQE+Pj4eHp4uMP+rm5e&#10;bh4uaH97B4ONXfdOXRrVbVCudJkuHTomz5579NCRJw8ecYoPy/H/IGP4mTDOhw42OdZk+X+L3C0A&#10;DmeV/dP2o5CH+AjvM3PMn7bSPjCIWBWzC8vs27dvzJgx/fr1q1GjhuiyypUro9EgfZQ+ZCQH/hPQ&#10;LE5H9rxAbBfkPjt7uQTs8qUO8RNyXSZjBeyCOgFKLSsry8TsQq9AfiUcQj+t42Q2nDp1ipLjx48f&#10;OnQI0Yrz27BhQ7qOtZ8H6u/Zs+fgwYMEUrR29uzZMzrI5ICc3QQqg6tXr9I98Rl0Xn609vMhnoMD&#10;ufZnHyCj8S2Q0WZsSSUjc5QdMuyk9J9BGDp0aPv27UtblCz43wJNGjRakDL/6ZOn2m+JvH2X+/P+&#10;c/3aPwLtVwxzfTTe52qynt27dXv2jJntW7etXUOTRP7+/gkJCePHjyegYfkAlBPsHx4eDvX7+fl5&#10;enp6eXoGEAN4eLo6OjsbHG37W7Vt1bpOjZp1a9by8/I5uG//04eP/njz7i0D+eHHpb8OxoWRDbJG&#10;PgdMmekQYGzxH1vyCv8QPs77wLihg03mG144fPjwpEmTrKys4HozMzNzc/PatWvLF7nbtm27e/cu&#10;y/ufMALpksBUovPGn4BdUi6GmB1SSN/gNQgO7wXLIMwhcUjz6NGjODP6D7Zu3QpZL1++PDk5eerU&#10;qRMmTOB6p0yZMn36dEoW61igI/UDFi1atGTJkqVLl65Zs2b16tWrVq3icEoopxqZz4FUlmZJFy5c&#10;SAkgkwNSjV30hM2UlJR58+bNmjVr8uTJcAqYOHEifYZikr4Ecplc8pw5c1auXInrYii+BTt27GBU&#10;GVtGGHfFUIsnyw3dc53au3fvtGnT7Ozs6tWrZ25WvHCBgs0aN1mQnPL08RMjqzLzuT/fETl68uHz&#10;7s27F0+fXbmUOTFpfOvmLWpVr4FIgtlh+XEfwOyQJiYmDh8+PCoqKjg4ePDgwYEDB8L7Xm7ubk7O&#10;bs4uNpb9mzdu0qBOvb69ek8aP+Hm1euap8HdwL1v8uApCW0tZYOx9O9grK3DtClLTCDVFPI5Psn7&#10;zKWQKXlSJCFLF4ohYm3YsKGFDiS/paUlyoV1fvPmTeRzdkWQh5AuCUwlkhGwyXk5O31AP4pgl7sl&#10;qOB79+7RvUuXLiGQYaIDBw6gyulzRkYGZA3tcl0wO4xJGB4dHR0YGOji4sJy7datW/fu3Xv16mVj&#10;Y8PSZYlysdRhxQoQbpCmuAdYmKYgTdoUFW/K/C1wFTNmzIB5YQTa5BTZz5Id0gHqQPFs4nFjY2MD&#10;AgJgTHrbuXNnOkz4RQZ0+TxwICDTtWtXrhQagpXEi3wdGBDGk1FlQHCEXOD69evXrVsnF5sdDFFa&#10;Whq7cJxhYWGI/SpVqhQtVLjI74WaNWoya9qMe3fuvnv9Bsr76Oc7IkdPTB94/+Wz51cvZU6dOKld&#10;q9Y1q1bjogwGQ1BQEJNlmjtAhhkcOXKkTGJ4WNhAvwAfTy8vNw94H7pvXL9Bp/YdYiKjNm3Y+ODu&#10;vfev34r/02/1fD30ZfR/LWiL/LNvCQqkBePa0+8KmGAsUsjf+Djvix0Ij7OJTEayIUV9fHyaNGlS&#10;tmzZkiVL1qpVS/4id/v27chnQnXj8f8AdDPTQF7MSxyM5AGbdODZs2cQ/a1bty5cuEBogmiFU9DF&#10;M2fOhMjoKvIKSoKP5s+fLynaWVftqbA2m3PnzkU7w7+wOQxLbM4hLEsORwjDzjCUUJiA/IYNG/Af&#10;mzdv3rNnDwr3yJEjJ06cEA178uRJ8p8DeotApsMbN24k4KBZUtPNouwwnVT2wpt4GlQ/jkd6S7fF&#10;PUAopJ8DU005HNXPgDAaXw36A8hIdKLFKQsXMhGQew7IsOMeGHk8K5IC6ypWuIh5MbMmDRqNGj7i&#10;9PETTx8+fo/8yMWwfL4jcvTE+Hmj/bL5uzdvH91/sGLJUmvL/o0bNKxfvz4O1cPDA4cKvzNNDDK8&#10;j1FhZiL8KYyPjYsICRuqvZzZ26pvvzYtWnKsk8Fh1bIV1y5fefXipfb9gZwlL3g/O4w7Pg+yJP8C&#10;xkaV9s/H+KTeB8wx6evXr6FRlqi3t3eLFi1Kly5tZmZWqVIl5DDGumvXrocPH0LB4iE4hLyxobwD&#10;LRtzH75EQtTTMckg7e/evXvlypXz58/DvDt37oQZYS4Wlfazpf7+BCWI37Zt27L8iFciIyNZbDgD&#10;KAnShElhbSIAKBuyxsMRGVy7dg3/QbN37twhJWgw3QQHT/8MSnA5sgsfKfesyUj+c0B9/aa6sZHP&#10;B2eXO1f0EO8LpLdfBNMhXOzVq1cZxjMf+2rh83Hs2LG9e/ciCPCIDK/oeiAaPwdWr15NHebC09Oz&#10;WrVqxYoVMytSpFQJ81rVa/h6esGeZ06cQkG/efkqx+f1S+b/u4Gz5+gPn9cvXr59+eot/2c9275l&#10;q7+Pb4e27YhgGjduTBzm7Ow8cODA8PBw2B9fC90L9eMDiANwv6OGJ0SEhrk6Obdo0rR2jZqdO3SM&#10;DAs/sGdf1uMnz7Oe0fKLp1nPHj99lRcXLiYn9vP5kG+DSMXss1s4bbIkWZ4ad+gwrliF/IdPfq9L&#10;hpSphU+RY9hrmzZtoPvixYubm5tjx9HR0du2bbtx44bc02fWOVDTA/9krCd9w2QxO7wRShmZvGzZ&#10;sokTJ7KcCKWJnSdPnjx79uzk5GQk5PTp01Gv6He5f41mX7FiBbIad7V//370OCQFzWVmZt68eVNI&#10;k4iBq+aiNMvV3R6pnBqblovV9xidHDCVCKTyl0K/PiNMLRv3ZYPsYhAEUodU+iB76SS7cvTqbyHH&#10;Mo9cvtwf+xaIC2F4JfT5lCM5d+7ccR2bNm0KDAysXr06vF/k94IlipqVLVW6e5euCXHxG9atv3Xt&#10;xrXMKzk+VzOxze8Gzp6jP/rn8tXMy1cuZZKuX7PWw9WtRdNmRDBQP6FMp06d7OzsAgIChg0bJuwP&#10;3ct9QpA0LikxYVRYcAhiv2rFylUqVnJxcJo+eerRQ4fv3rp97tTpq5cuX7546fqVqzeuXTd24qvA&#10;vFy+fJnBP3r0qLhnVoR8v/WZQCQdOnSIaUUh0RqgWVYQZoMnwJCMdqyQX/EbBCHLng34VMiC9Q+Y&#10;wuvXryPEHB0dEcvC+BUqVMCCCVo3btwIQUgrXwehLclLHwDCQbok5fQHUE3kCUIDk0VOApgCEofN&#10;WUU2NjbtdXh5eeGQ0PIEKBv0h2TwDRglNMThckahRWlf4btDtCeOITQ0tGrVqkWLFi1SsFCxQkVK&#10;m5esV7uOnZX16ISRaStWbly3PscHf/Adwdlz9IfP1k2bV69YtXZV2vrVa6dOnOxkcGjasBFqCeon&#10;bdSoEXGntbU1wt/Pz09u+8TrGDVq1PikJJycu7Nr6+YtK5Yt36hegwBfv7kzZ61esTJ9zdpN6Rs2&#10;b8zYtGHjxvXp6d924awLwqzFixdPmzaNsCMmJiYqKiru88DiojJHse7mz5/PAqQp2iRigxCItllr&#10;4viRUPfu3SMSJUrQIlk9lmWimW5ZhgLTYieVlW5a+2QEsqmQh/iNYWWsTfRq2mSG0GKwJwaKvbIg&#10;zczMSpYsKb+NjppGbn8je+pzmnNSKZHOyF44mp7gftDmCI2FCxcikdBK2B8aH36nJ9jfvHnz0PKk&#10;q1atohpCBjlz8eJF0SAEB7gTk0lJy3I6he8OpvjRo0cHDx4kXDM+HFyocLHCRYoXKVa2ZKl6tWqj&#10;+l0cHJ0NOT9O+ittvhc4e47+yMdgY6e9QNnBqXf3nk0aNKpZtRpBTN26dVlERMksn1atWiH8LS0t&#10;XV1dCXFCQkIiIyO1b1ZGjgwLCu7bs1ft6jXLlSpTrXIV/eWd/e2sbBztDa6OTm7OLq7aSx0cHfl8&#10;M2xtbfv06YMfEsHU8fNATSQgR/Xq1cvKysre3l5ac3DQXiyH6ho0aBD+OywsTL5LY4WmpqampaWx&#10;KgkRiK2JqhGULEbhGVaiLEzJmAqBTgNa3mgoCnmH3xhZVh0zIfeIycOVqGP8NooA0m/SpEmJEiUs&#10;LCzQLBiur68vzoD4Djo2tvG1+OjU4ktEACIQoGxOdOTIEaQ9pgOzozVYLah7FxcXeJ9YZOvWrceP&#10;H8/MzLx16xb6Qu7S6PcbtZvmtCanoGXNlJQN5T8wR3DBli1b0L/QImZmUbyEuVnxEsXMoH7zYmZl&#10;LEpWKle+fOmyOT7lSlP3u4Gz5+gPn1IlLMqWKl2R3pYhb06+RpVqMH67du26du3aoUOHFi1aNGjQ&#10;oF69eq1bt6YE6sSSWVM4gCGDBrs5OTdr1JjrZQRKmVuUtigpKe1UKFuOQahYthwtl+XzDUC9lSlT&#10;ply5cqVLl5Y/ticl/zkoVaoUQT/1ydCIgDbL66DNChUqENlUq1YN3ujSpQvuDX8gz8KxYNFthAWs&#10;aGQZwvHatWtwDgEBq1WWp6xWUwaQNxqKQt7hN9TWqVOnLl++jDeGQ5kVeWIE0sd1t2nThrkk9GZq&#10;mUh/f/9ly5aho/PkLp7Mrnh7KdEnWgs1CBKJNuCCqVOnDhs2DPmQmJg4XYc8Y75kyRK5h3P16lXh&#10;ei6EdkxNmbQDeQrJSInsVcg/gPeZRKyOGA4FCidqjF+0WPEiReF9syJFzQoX+eiHmOA7grPn6A+f&#10;Qv/9XbpduEDBQgV+h7XhfWQy14VYMRgMCOTu3bs3b968WbNmLChSedwA+dyje/c2LVpWrVTZvFjx&#10;EkXNoH5OQSNFChYiADIrXFTGhEzRb7vw33//vXDhwoTv2i01Hdp3Kp8NjhLIJk2RpzXAJo0XLFiQ&#10;EvwB7F+nTh38HHqRy5Tnod3d3YcMGULIPmLEiNmzZ0M1+AAcP9QvC9a0hHNA1rJCnuA3SHbevHmw&#10;/KRJk2JiYmRKSD09PZmqypUrYxOE3sycm5sb7hoPgRIXkjW28Q3QeDobU0PfMP6ZM2eICpcvXz5l&#10;ypTBgwf369cPQQTvr1y5Eq4XK3n8+DHdwFboiUCaErvJDtNZBHIuhfwDwrvTp08vWrRo1KhRAQEB&#10;sEO1ylX41KlRs3H9Bi2aNGvVrDlps8ZNcnyaNoY5vxs4e47+aJ9GTVo1a9GoXoNK5SogzOvVqt2m&#10;ZSuWEoJXnuQZOXJkREQES6lHjx4ENzAjqFu3bsOGDevUrl2tUuW6NWs1qFOvcf2GLZs158L1Nhvr&#10;nybNGzfVP9964ZwXx0PkgdcBZJB3LPbPATVBq1atWrZsSSMCGqFZLoELqVmzplxUlSpVKlasSIgA&#10;e+APxDcQK+APYJVatWrRAo4QSZeSkpKeno7uJAK4cePGo0ePoIIcS5VNJdryEL8RZBFswq2IDmYU&#10;tUU0CsvXrl2bwI15KlCgAPMnpA/n4icg2TyfA9qE8Wl/1apVxIOhoaGRkZFk5upYu3btwYMHL126&#10;BOPjG+RGkFiGxuU6JG/ifb1VhR8AxI64c+Z69OjR0GJgYKBNfysne8NAP//46JiJ48ZPnTh5UtKE&#10;SUnjc3wmJo3/juDsOfrDZ8K4JNKQoUG9uvVo17qNvY1tyNBh6CqoDW2bmpqq/93FBkqGDh3at2/f&#10;+vXrw4CNGjXSaBTt37KVq6NzWHDIqBEJk8dzyRNoUM9op2Mo5KQTjF34SqDwJk+eTArkITeW9orP&#10;A+E+Hnr+/PlczrRp02hhwgStO8xdbGwsy5br8vf3d3FxQdp36dIFvV+yZEm0I7xPZCAiUlCuXDnY&#10;pl27dr1793Z2dg4KCqIRWsYYrl+/LqrOxDOytCWv8O347datWyVKlPif//mfQoUKMTf/7//9v7Jl&#10;yzJDuGj8M7uI2hAIzO6VK1fkCxkR10zDF82EzsYasm/SGrPLHN+5c+fo0aMbN24cN24c4sjS0tLL&#10;ywvbOn78+P379zkjh3A66ksLlMD+0gFTuQnaCXTItwVUkEJSKSGVCgrfHcw+co9Yk8B/6tSpCQkJ&#10;IUHBI+OHp85L3r1j58Wz569lXs68cPH6lWs5Ptf4fD+YunEjW4Z+Xjh3fsWSZT4enpZ9+oYFBS9I&#10;mX9K/6MQhAuMdu7cOdbRkSNHuFLsHGZEZkF8KF8nB8cAH79ZM2bu2r7j0vkLt2/cvHr5ypVLmTf0&#10;c127fPXa5Suk169cvXbV2IevQ2ZmJlE73bh69SrrjkVtnInPBsuHgBsRRjvy8kEitn379m3ZsmX9&#10;+vV4EfwKjIEnsLOzIzggGkBKwvI4OUIBdGSpUqWgfngGevnPf/4D1VSvXp14wsPDA3eyc+fOm/o7&#10;CoVw9DX9f6ADxly2la7wRfiNyWPQGXrxyf/7v//LJhkA9eOTmbbg4OCMjIwHDx4I/wIm/otIHzBJ&#10;HJ5jFmnn6dOnmGBaWhpWglhg2c+cOXPNmjV79+5ltdy7d890UoWfEpgBKs/T0zM+Pn769OlIyJCQ&#10;kLFjxxL5nThxAqsjtpO/EspXwF2ZMnQPQFJ0FZZH3UPlxNDLly8X9QozHj58+MyZM1wORIlwDggI&#10;6Nat24ABA1Dcq1ev3r9//+7du0mpgxSDVWmZNgnH5Sx5COknQHKhgVhfLMMvgqguDqcRWqOTrFNc&#10;CGTNWiYu53rxcLi3zZs3c3WMA1MMoePaiQnc3d25dqKcChUqQDvm5uawDRKzSpUqFOILCReouXLl&#10;yvPnz9O49NBEHWIzbJr0nMKX4jeMklALcsfZkmmu3/jDJzMNOAA8Mx4bB84KZPRNo8yIf9Ggm+oD&#10;yVNIg3gd1gOWgcyXB9pMSwUDpYJMtjSi8POByYVBYAQiPGY/NTUV6g/TkZSUxMrftWsXQhJCJM1X&#10;wEqRJmRIoWxAyfbt2xcsWBAVFcWCgtrIs/fAgQOUb9iwgTrEr1g7V8pewmiCWq4Xjcxlbt26lZRG&#10;aJPrFeinymOYekvfgLH0CyHHSlNkuEYgHZZd8qeR8Ia8FIty+UN6Fvi8efPkuxwmHc4hGoDxLSws&#10;cADy6CC006NHDyoQ8dMIHgUjyc0D0Aj8YNxQ+BL8hlqZNWvWXP29NKSEn3ha1ApDL/fgGH2omZCQ&#10;URZvT0bjbx3GZv4OOY4iD6ffuHGDwBB9h9BD5s+ZM4dNND6qQeI7IEcZW1H46cAUo2pR9+3btw8P&#10;D09PT4cUBg8ebGVl1b179/79+5MhNT0nnn+AHnLQQQbQQ1tbWzK9evVCQpUvX75hw4ZBQUFcWnJy&#10;MkaOhQ/X377p5OSEV6hZsyaLC+rv27evdpPHyYmm0Lm0bGqKDIVyujwEzQJOaoJ+HV8A42H640mA&#10;rkqHgZRTh7ybmxv+e8yYMcQ0cMuyZctY4LA/PuDgwYP4Qvw6gxMdHe3q6tq6devq1auXKVPGpDjr&#10;16/P1MfFxRH9X758GVOBRnRW0CC0QEYMSeGLoP29rtxzJKQiQDt06NCSJUtMb0opW7bs0KFDMzMz&#10;7+sv1sfrAhlrncA/l5GlsonEaQTSRymwyJl1PM3ixYuPHTsmQb2EnwDfoHj/5wbTTWwXGxvbsmVL&#10;VDCkgP5wdnaG9Dt16tSzZ090H7C2tkaL5Df069cPlke5Sz+Rrg0aNICwSpfW/rIAIvPz88OZjddf&#10;u881+vj4UA2uxyVQuXPnzhzYp08fCsnQmul6ydA+LoG9cq48BG0KjNvfAGNDffrQVemtZATMmjy1&#10;ybXD/jg/1jtA8sP7sMrFixeJBjZv3gz7h4aG4kJw/7Vr19Z+y6lUqZIlS+IJGKVBgwbhM+AoJAKc&#10;ACAHmAH7kVThS/EbylpuTT7RQVzGxKA+KlWqBO/D/oivI0eOwPu5NfuXDjoOgznj2IcPH+LtiXBZ&#10;D0QYhMAYAd2ABcSTZ4fxYIWfEdgVUiMkJIQFj7KD90eNGoUchgIQyNDBQh1okfwGmGjFihX0LTU1&#10;FdWCMcNcEF/dunXhfcjLxsYGviOKXbp0KXEM2hbHhjNr3ry5paUlQhgPt2jRImlk/vz5VKMp+WUF&#10;8qT6pef9tdMy4ERATvF1kK4C8vScSwBMGQSCuufC5dXiLHAYH3nn7e2NJ8CjExwkJiZu3Ljx5MmT&#10;6L+7d+8S4pNfv379hAkTEJ1t2rSRhwlhf4hIHiKnKbQpLAHtCBdhP2TEkBS+CJreh2rxn6QAip+o&#10;/7Z1lSpVMF/0C4E2vnrbtm1Xr17FMVDnK+jYdIg4GOYYo2e1I4V27Nhx584dU7NkmFHJU588rkJv&#10;Q+EnxO3bt5F7iGJYEsOD94ODg7E9okwM48KFCwT4GB6RKNSQr3Dr1i06f+3aNeIV0oyMDKjNzs4O&#10;tY5EJYPYx8KTkpIg8XX6DwxwUch8SH/06NFoHdQuVwfr0dTZs2fRszQloEF2cdUUGs+Xp4BtgZyI&#10;4QVkPgdSGZDncBqhNfrPVbCKAWMCKGEv0yc/d7F161Z8A44c+c/4ECFB7rh5/MT+/fu50sePHxPl&#10;cyBxQEpKCk4RD4GDhPTlW1+EP+HF7NmzEaYmdYj9KN7/Omh/r8vYMZSkYNeuXZgv0WuNGjWqVq0q&#10;f5FB1DlixAgmD3/LDOEkqCnjDnSK1pBjE0gJoL7456ysLKQ9Rj9y5EgmftWqVdiN9CG7RyGV+p+C&#10;1PwWGBtS+LdgGnbJAKaY2YcTYYTAwECkIrwPOdaqVWvcuHGQizzWgmFgIZhovgIdk0d6SIlauAo0&#10;KdwUEBDAYkHqQu4oXC8vr6ioKNaUvD2wS5cumP3hw4fhOJiOwJdL4wLlXSmsLFomQ5ukcqI8B2eR&#10;R3EAZzGd7nNATVNlDpdbsuSR4QyFjIZUYBcpI4NLAHgI/ByycvXq1Yh6YiNnZ2cXFxdGY8+ePSYS&#10;YMZxA4wPAcSQIUM6dOhQuXJleB8NChe5uroSr+BROKnwA0OnG5fCl8H4Pk4ZdDLbt2/HUgm0y5Yt&#10;i7/FjolMSSmEqZkMVNjp06eZJ2aXQWf0SSWTA/rSzgnmFdKXv9BhneO9ZQrl7LkhvTRu/Blylq+G&#10;tKzwr0GmmAyDT56UqT916tTUqVMnT55M4L948WJsg9XeqFGjmTNnQoWYJeAoSEQayVcQyyd+hdEW&#10;LFiAkoXWuRwUEg5s2bJlERERUP/AgQMdHR2R+YTOgwYNWrt27YMHD4xN/GJgxnHnED3DhYO3t7f3&#10;9/efNGkS8w6liFWQMqrECngIBrB79+4VK1Y0MzODkZo2bUoowPAST4g5UdPYtMKXQHsfpwwfYI1h&#10;lP369atWrVqFChVat26NhMEhsyYHDx4s79YgJCfa2rZtG9qfsA4PL8QtEyZzRl4aBOTlFKIO8P8c&#10;TghMUE9MhxtgF0dxaqkvlU2QXho3/gzZpfCjgFmWWdONRbMKJh0KQA6jA1j8y5cvX7NmDZbWuXPn&#10;hQsXYlpSk0MwDL2N/AWkDxfFKli/fn1sbCy0DotBYVAb2mj//v1btmxZtGgRF8ja6dixo4eHB77t&#10;2rVrHCUt/GpgNgkCiHLQ7Lt27ZJndmGV4cOHw+bEQJiETDqscuXKFQY2Jiama9eu0FGJEiWg/l69&#10;ekFHe/fuJcLAhKhpbFrhS2D83RUZa6aE9QbdFy9enIFm+cHyGRkZWPC8efOYIYJxLJuIlXmSb+cJ&#10;b6HvS5cu4YERaMyWRsl/FuNyCkifSYXoCRpolhm9d++ecAGrmoxUZlPqZ29ESrJDjvpqfLRNhX8U&#10;Jt4nFWAS6enpLHuYcc6cOatWrUIjBwcHOzk5oT+wRqkmh+ht5C+IZ7p8+TLBK31G10NkhLAshGPH&#10;jh09evTGjRs4tnHjxtna2rZp0waFe/z4ccYhf4Yv/wL01awJREaAoOfAgQOMGMEQURF8sm/fPhGC&#10;1CFFKeJBsQTGDaUP78NLtWrVcnZ2XrJkCe6WOqxlY9MKXwLtPcymgUa/QOUNGjQoUqRImTJl+vbt&#10;O378+EOHDiHSMzMzYf+0tLQxY8Z4enp269atlf4acSQMPmD+/Pm4BwwdN07YC/sLvcoNRGF88rQP&#10;17MSIP1z586xS84roDdsAjk2O6Q8byHXr/CvgXk0zbKkSDaIHgXHwkYXr1ixAvOLj48PCQkhoMRg&#10;qCNHyYH5DfSQFGnv6+vbQ/+t6Y0bN164cAENhCDFAbBwdu7cmZSUBK/Z2dlNmDABScu1sECkhV8N&#10;MpVMK0MHJyD8UY1Ee6hJPz+/mTNnoiBlxkUlMFC4VWwDcQAvwfslS5Zs3749Q3r27FmIhcrG5nkl&#10;mQAArwhJREFUphW+BMb7+6RMBrw8e/bs2rVrFytWDN63t7efNWvWkSNHmCTGF//MHOzYsUMexWEm&#10;cLzMVlBQEHqNODchIQFpM23aNBQ9zA6/cyzTQ2B7U//SnxT/QfiGr6Y1Ticegn7QBzKy1Mlnh+z9&#10;d6CPicI/AplZUjE2pv7u3bvI/ObNmw8ePBhZx/JmPcMCpNCB2IYp8De2kp8gwuXkyZOsgt69e0dG&#10;Rq5Zswb1c/78eUgfDYTB4wkCAgJ8fHyIcdlLKMAhvyxbyWwaN/QQEB7Yvn17TExMv379Bg0ahL+H&#10;FmQxChhkgidMwtra2szMrHDhwjVr1sRPMJgMb/40jPwP4/19JgBbJG7F5daoUaNo0aLly5cn/mJZ&#10;ImfEUiFlKhCIoVmwbBTN6tWrCdMIclm3BoOhe/fuBLMdO3ZE2gwbNgwfgBdZvHjxunXrUD3EdLgB&#10;VoV4AhpB+yOIaJCpBcw3IFyQZwMokUCBvpHmBuXfAq4oB5QN/aMQS2OchdCZX5hx7Nix1atXR++z&#10;+FNSUqBO1AMZyJQpphop88KBxlbyE7gE+oaUgZW8vLyIg1E/xMRExiyQq1evclGIJEIB9rKUzpw5&#10;g2Fje7+spcmyldkkJc8Y4v6Tk5NtbW2dnJzmz5+PuKRQs5UP3/xBFOjI0NBQ00sEunTpwlDv27cP&#10;W5KWFb4I2v19xldYD9rFOlmHRYoUqVSpkvD+xYsX2cXoU1NWoMwHk0FIC5tv2LCBhTpmzBiCAPww&#10;1k8apv/QGi4BJCYmyl+oAzKjRo1inUydOpUlwXwvX748PT19y5YtW7duZZ0QT7BskEu4h3MfwIkE&#10;LCdSLAPKQDp9NXA2OBhS8mS4cFPkkVeQQZPh+hYYm9ORu+RLIS0A47YOuvotEOORNkmlUPJ6838C&#10;uxhqRobBZyoh+qpVq8L7yAg0B8IZI4E62SX8SOPSpvH4/AShMGgLZRMXFyevlGAhrFy5EkrCmMeP&#10;H8+iQA+xHFCyXLJckfH4XxKMgMwmQ8dQCDZv3ox2hDoYMYaOIED2MsIAg4EEMI+2bdtiLaVKlapd&#10;uzbstGLFCvkzLmkNkKe+fh6Fv4Lxe10Bin7hwoXC+6L3582bB/8ymoypsdKHtc2soMfhTSbpjv67&#10;jGg03AAMThywZMkSfMaECRNGjBjBSnbX38Anv/DQoUMH+ZVO+R0idgUHB7NsEHoAx8Dc4/aZVNbP&#10;qg8grFu7di0tAzwNToLo4Vtw+PBhegvIc430X0KQrwbrX1JGg/Thw4cMDvruq4FNwxQCnBMl6CDm&#10;6FuAhyNl4mhK8qwTfel9JWBwliWNiJGIbWiLVYfUoQSzMVkRJRzCKDHyTH3Lli2hRVY72r9v375E&#10;ivj+7A+9cJQpn3/A5cgVMS+nTp0itO3Zs2ejRo1cXV2xYWQNqZubm4ODg/weNfqJq+YQLt/YhIIO&#10;xuT48eMzZszARyLqFy1adOvWLQZWtCYpwP5Z/ghKOMTc3NzCwqJVq1bIx0uXLmHG0ojYnhyl8Nf4&#10;et4H+tL+vwc3ORyqgvKIcPHP8sON8PXSpUuR9qP1X2bAB7DUBwwYwBQGBATIrzBTTlhABSID/AQL&#10;hpSwAOk0Tgd5dsELAN+ASAwKChryzUBiAPkdRzoWHx8vAcrXgY7RYa6CdujtggULkHgZ3wb52UtA&#10;ZufOnQwpFKOHQF8JfLPETKdPnyaoIsMaw3N/Ne7fv4+3w8kBNnFR4kvEQgCGATAbUrEiWdIwO+bB&#10;RNvY2DDFuGHmHU3AdOAPsCKOFUuTVDe9fAR6xWXKtaAYEDqdO3cmSu7Vq5evry9GjokGBgZGR0dD&#10;ZFwdIyOHyOAYW1HQwQCiFzEAg8HA6sYysSJhcIYLyyF/8ODBiRMn9u7du2TJkoUKFapRowbR4fLl&#10;y4n+qSDVGGEgbSr8Bb6G9wGbFDLWzAfDTR4gZ2gBICdFUZIXXYkmkvsq0AQu+qgOJpLoHnJMT09H&#10;0TOFy5YtowPTp0+H6MVJhIeHs4QiIiLIAJwEawkN1aNHj7p5gXr16tWpU4ewsdY3g9aQe9oP5tWp&#10;06xZMzs7O3qLEX81uHxYgxTgS/B5U6ZMSU1NZaC+GnAQKaNNOMVop6WlMfgyHV8HLXQ6cgS9Rh63&#10;xIplHeJLkPOEO8w+ViELEgsxWRFmg/6lGzD+0KFDU1JSaCQmJqZdu3bMe2ZmJjYjh8hRpgPzFegb&#10;l4ZVY9K4+a5du1auXJkQ1sPDA0HDhWDJmDceznQ7QmP9Dze4FUyAKLAHhgtah3bWr19/48YNChko&#10;hku3gndE5Niqp6cnzrVw4cLlypUjwGKQ4RBqYlFwjm4pGoztKnwCn8v7ghxjKpu5kXsXy0MWP8AH&#10;QAo4ADSd/PU22hMdipI9c+YMyghhu2HDBkQu00wKN23evBnByyZYvXo13Ddt2jQ09VcDVY5rIUWn&#10;x8XF4VGQmUQAcNC3QGII1jytQdmcQg9XvhIQvam3BBMSCQHtdtg3QBrhwmmQC6e33wLcMClXPXDg&#10;QAI4MrQpTmv8+PEwO9NKHIBpif2IGbBEmfE5c+ZIJLdy5UomnTC/ffv2xEzYhlTTrSafijjpFReF&#10;DWOuDGn37t2tra25HHwAbhVb3bdv3/Xr102XQGXJG5tQ0MGAwNpEjSxtLy8vVN3kyZMRhThLGTSp&#10;xiY2w7Jq3ry5/Gwvcs3W1pajiDVNDpX6ZOQQhU/hy3gfMLJA6mPEqDnAtAGGmxKpI5WlHLBLyjmK&#10;jGhAaYRd0ojUkTbpieleNhmUo4C5lxvf5OXewtdBv0WhAWtj3aLX8D2I1mPfAAiOFL+F7EWD4KvW&#10;rFmD0/oWyLcasCfzMnPmTJgUvhbi/jrIbShUEiCK8vHxsbKyavJtaNy4MYEOMG0S9MhLPvCF8+fP&#10;R8tD5ab5xQyYxF27diHwcRKwv3h3nCVhHLE884thUE3MibzJWvIPxEq5qHPnzuGr3NzciPAYW7ge&#10;A2MvZk8FrkIuRK4FSImxFQWdEBhGJh07gfERECgJAtObN2/KuFFHBg29mJyc7OzsXL9+ffktWIyN&#10;IJjFS4BIO9KaGt6/xRfwfnbDNR7wAZTIruzIUU0KyVBuagpItewtyKb4A/EZpBwiB7IJ5Khvh5yI&#10;C3/y5El2f/AVwBWRQnAAA718+TLhy7cAayaFVpgC+c58x44dW7ZswaN8NUyHZ2RkyCPzs2fPnvRt&#10;wBsRmpCyaEmJn+TuNvqdFO8yY8aMbdu2MSwy74z548ePcWYoO39//6VLl27atGnZsmW4IuTekiVL&#10;5Js6mW6xBwxAn658BDom807nPTw8+vfvT4hD569du2YSMXSbq5ALAWTkwHx4Od8RMsWMj/y5A2Zg&#10;aWnJYB49ehQ7ITRkL0PK6CEBt2/fTsyKpLCwsChYsGCNGjWIMpcvX56ZmSmjyshrjSr8Jb7mPg8w&#10;HvABlLBXjJuMsfTPkDqmjOmQHK2ZDjdVk7wUUqKxfp7eIaUpYOr8VwOzA/RNmiKPsX4LmA4MXfuq&#10;RAd5iXW+Bbg3UmmHRSWO6u43AA9369YtYiZ5Gur69ev4KoKe/fv3E6zgFUJDQ729vceNG4chQegy&#10;PiLcOnXq5O7uzlLfsGEDlpaof6uPT+LaZV4YVVLyHKLP1XeGdInOSK+4ZJyxfNmI2E9JSbly5Qoz&#10;pU3/B1syHSiHAGlB8gpARoZhwSwxHvR79+7dcaXp6ek4UQqpgEkwaBjPxYsXEQpYVLVq1YoWLVq5&#10;cmViRAJZTI461MxbcvhZ8ZXf6yooCDRuy+aeWXt4FNwJwROWs2vXrvnz5xOYDx48GMmPV4D6qQM/&#10;Tp8+vVWrVm5ubnv37sVD4BhGjRpFZMAh+ZYWuUDT9QJCOrwXehN9OmjQIIQ/JMUiUrT+pZCBxTCQ&#10;Dmlpaa6urp6enkSihw4dQp2wFzYH1GGE8bXR0dHNmjWTH2apV68eVoRcQNMw8vrMKLL6GyjeV/gm&#10;ZF9mZFh4rF7AKkX5shQRYiL5sSWWMf6AwOX8+fMTJkxg6bK8T548Ce9HRkbGx8cvWrTo2LFjPwRv&#10;ciFczpAhQ9Cb/v7+c/Q/x+WSifNYL1KHATHlFf4CMlCAAcRgkpKSgoKCMBvsgaCKCjKqUg31gJiw&#10;t7evUaOG/Bp7ly5dsC7Ts/wKfwvF+wp5BowkO6B+liuB+eTJk1nDY8aMIXK/e/cuzuDIkSMJCQnw&#10;/sCBA9H+K1aswAGEhYWtXr363Llz2JuxxfwEeiWSE7eE6sRdoUwh/ebNm48dO5YrQpmyK/tikcqS&#10;V/gUGC4ZKN1q3t+6dWvLli1xcXH9+/ePiYmBzSlk5EkxJ1LsZ9++faNHj+7UqRO8D1k1atSICICA&#10;EiehxvxzoHhf4R8Baw/tBqD15cuXw4ys5GXLlt28eZPFuXXrVpY06zY2NpbNuXPn9u3bF+28ceNG&#10;1jn2Zmwlf0AoyUQoRDP0GReVmJjYuXPnfv364bcePHgAN0l9E+Qo44bCpyFjKyTz9OlTtML48eMZ&#10;WwKp3bt3y9iyV0C8eO3atbVr17q4uJQuXbpEiRKVK1d2cHCYMWPG6dOnTe0o/AUU7yv8I5DlB5Bv&#10;sDmSPyIiAutixcLsKOX4+HhXV9cpU6ZQAa/QsWPHofpv6rKZ37jSRDrC+8+ePYNfIH367+TkNHLk&#10;yIMHD+LhcvO+wmeCsRWSAYzko0ePlixZYmtr6+XllZycTCxFoQw+IINvOHbsWFRUVIMGDeQnWRo3&#10;bhwYGIiegMSUr/1bKN5XyDPIuhVrMXElRM9qnDlzZlhY2Pz58zMzM0+ePMmqhjdZtwsWLCAgINO2&#10;bVscw6FDh+T5DWOL+QMmSpKvLq5evbpu3TpfX982bdqEh4dv2bJFHiIExgMUvhAyvJKB1jEeZP6w&#10;YcMYZGxj5cqVWIUMvtSnzvXr13EJBoOhfv368JWFhUWPHj1SUlIIKNVd/r+F4n2FPIO+eDXeB6xM&#10;2bxx48b27dvhfWgdc4Lljx8/Pm3atOH6C/jS09PRzrgEeJ8I4MyZM3IP19hivgGXA+jb7du3CV9w&#10;Wj179uzQocOsWbMgIHmShKs21lb4QphmXDcZDdgJtD5o0CAiKsJB1APOQIIqwcOHD4kOx40b16lT&#10;p2LFionkj46O3rlzJ9QvTTEjpKa8fgYFDYr3FfIeWIsYDOmdO3dYnzNmzEC4sZIvX76MlIvU36xH&#10;IRy6b98+XEKvXr1wA/KOLWkkX8FINvrz4/gwd3f3vn37enh40P+nT5/CR2qN5C0eP368f//+2NjY&#10;fv36hYSEEAg+ePBAd75aNMBoo/2ZCwIve3v7MmXKlCxZslKlSsh/ZufEiRMyHVQ22aHi/exQvK+Q&#10;98BaxGBITbyPFiMMZ62mpaU5Ozt7eXmlpqauXbt2vf7b2d7e3tgelVmr0ki+gpB+VlYWZMSFoPSR&#10;okQtFy5cgICIA1gj6j5PHoJRvXv3LgYDlQ8YMGDVqlVHjx7FNhhnoSOAxyVYDA8PR+mXLVu2ePHi&#10;DRs2pHJGRsZz/SdxxEnQGpXZlJYVgOJ9hbyHvipz8j4an2V87tw50u7du2NdK1euhPQxubi4OKg/&#10;PT390aNHcmC+AhwEfZBK5319fTt37jxp0iR8APwCuQC6rXg/D8F4EkVhORiGj48PKdQvf+8thE5K&#10;XnyDg4NDvXr1ihYtivDv3bs3JQSOHE47alI+CsX7CnkPrEUMhtTE+/IKtpMnTxKJd+rUCcmPLtu0&#10;adOUKVMI56HRnTt3ouCkhXwFoXX6tmbNmiFDhrAuiE7I39Z/JJ3VIZBLVsgrQNyQz/Lly3G0PXv2&#10;HDFixK1bt+Aoxll4n5RJ2b59O/bTvn37EiVKIPnR/mxu3rz5gf6jXaL3FXJA8b5C3gNrEYMhzc77&#10;06dP37t374QJE9DLUOeuXbs2bNiAlIuIiEhNTTU9zCPH5h8Iy2RmZiYmJlpaWnp4eEydOvXo0aNy&#10;W1/2St54gMI3AxtAqiPn5XnNVq1aDRgwgAALX8uAGyvpcv78+fOLFy+2trYuW7asubl5uXLlbGxs&#10;sLGLFy9SE94XiwLGYxQU7yv8EzAtM1IT70PukydP3rhxI8IN3h84cCBET/AeEBAQEhKSlpZ2+vRp&#10;uW0ix+YfICofPXqErvT39+/SpQu9JTS5ceMG/aS3gAVCHcX7eQj8KMNLCtEnJydD60OHDkUc4G5l&#10;qNkLZOQPHDjg4+NTrVo1SL9w4cJIfqzr4MGD8tWLzJES/tnxJ95n1TGyDJ+FhQW8b2dnN3v27HPn&#10;zskQGyspKPwdTAZDmv3+flJS0oIFCxD4SIrhw4efPHly/vz5MOmQIUMyMjIQaCiP7ysy9I4be05P&#10;pDMwC+oHDeTl5eXq6jpz5szLly9DKHpdI2AWUmlE4dvByItUx+NiP6NHj3Zzc/P19V27dq280Fsf&#10;deO7QJidiRMn9urVq2rVqsWKFStdujRhGZYGdz179kxInwaNTSt8lPcZuwIFCjB2Dg4ObBLeyvga&#10;Kyko/B1kTUom+32ekSNHzpo1izQoKGjatGkIfDi0SZMmqDNR0HL3Vhr5LtA7npP3Hz9+jNgnTBkw&#10;YEBsbKy8d1OqKfxzEM5hqM+cObNkyRKCrQ4dOkydOvXSpUvyuI7UATdv3ly3bh0BQdOmTc3NzYsX&#10;L966deu4uLjNmzc/fPhQ5lFvUsGInLyPk0TvFypUCL3v4uKycOFCeF8NnMIXQePOj/E+kj8xMXHM&#10;mDGosxUrVhw/fpwIoHr16izpY8eOPXnyRES0NPIdoXf//7pBx5YuXRoQEBAVFbVq1SriEvpp3Kfw&#10;z8AUPzHUSP5Dhw7hd6H16Ojo3bt33717V7wCKdREQIa0nzt3bu/evUuVKlWkSBHEq52dHdri+vXr&#10;VMsxoQq/ZR8R0/19YiV432AwzJ49+9SpUzK4UkdB4W9hMipSE++zYuVneJHMKSkpqOY9e/awmKtU&#10;qUI5Io4Vnk/ulmDtpv6TR3LSYR8fH8QmywEaYkXkh37+xBBaB5gEU3Dr1q3k5GRbW9shQ4aQYRZe&#10;6e9sEGoi/+DBA9S9t7c39IXeL1myZOPGjUNCQuQ2NXVoRxpUAL8xIkA2hPdr1KhRsGDBcuXKOTo6&#10;zpkzR/G+wpeClSa0SJqd993d3fv06QP1Y2bbtm3buHEjwXjDhg1h/9v6G3QFcuz3Amc3uR8yBMGQ&#10;TmpqKv2Xm8ssh3wSl/zEwAwkwxQAFD1CYfjw4V5eXlD/mjVr5PdYxFpI4a4TJ04QSnbr1g2xb25u&#10;XqFCBezt8OHDzJf8BYY0qAD+xPsvX75ctGhRzZo1Re/b2NgQjx84cMB0N01B4XPAUgSSMfE+4osw&#10;HJZ3cXFZvHjxzp07V6xYAeP37NkTeSF8Sn1JpZ1/H5xaiEbyrIh79+6dPHly9erVS5YsOX78OPzC&#10;LpbDd+zkLwKZBewB4GhR7qtWrYL3+/fvP2nSpBx322D2a9eurVu3LjAwsGnTpkh+qJ/4ADPDQxCx&#10;KQbLjt8Y3Oy8z4KsVatW6dKl5S8gcJhz5849f/48Yyd1FBT+FnCi0CKpifcHDBjQunVreYnK8uXL&#10;9+zZg8gYPXo0biAtLY04XShVHuDTm/kOYC0I0ZCnG/AFbIL02b17N6RPUCJco3j/X4BYAnMBpzPg&#10;T548OXXq1LBhw3r16kWYuH//frnhJjOC8WBpx44dS0hIaNOmDcq1aNGilpaWRAk3b95U9JUDvzFw&#10;Jgt+9uzZ0qVLGay6deuWKlUK6q9Xrx4OdsGCBUeOHEH4UEEsXpdEGpgSQCbHMmBTSkg5hcm1mGCq&#10;YIKUUDM3jDUUfhAwj2JXAK6E91mN6HrsijjSwcFh48aNe/funTVrFnpf3tBgeqWlHGVs6F+HnJ2e&#10;kKczT58+vXLlysGDB8+cOYNngmLEmKWfcojCPwQGmdEWbgHkHz58mJSUZGdnFxYWlpGRcffuXZkL&#10;QDUmKzMzE4XRoUOHQoUKQf3dunWbPXv2hQsX2MXhxnYVTN/rMnCkMPiuXbvktVNly5YtUKAAKc7T&#10;zc2NwmnTphFnoX0YXKJyKsuxuSGtGc+QjdCzL2wykielnFkBrCtKjIcp/MhgNvV51nh/+/bt8fHx&#10;7du3r169Onrf29ub6Bu9P378ePwBK5lNJAWVxSSMTXwPcHaxQ+mJ3Oe5dOmS6Q0BYq7ft5O/FBhq&#10;AXnCL2JEJD9aYcmSJWfPnpWYQCaLCULap6SkdO3atUiRIvB+27ZtExMToSwcBtMqDSoA7TlOhgxT&#10;Bgzf9evXcaRDhgxp1aoVpF+mTBmEf4UKFRo1akR4RajOWiVIxz2cP3+eUcYBMBnPnz+XVCZAUjmB&#10;QEpyFOaAVDDVzA5jDYUfB9l5f9u2bbGxsU2bNq1cuTIRZERExOHDh7ds2RISEoI/mD9//okTJ4RV&#10;vzulcnYT77NJf+gYahF+kb2Uf/dO/gowjbCMuWwiDjZt2oRQIEycOXMmViTq0zRZRI1o0379+sl9&#10;noYNGw4aNGjNmjU3btyQOgoCo95nyMSa4e5r166lpaWFhob27dtX/g4C4U9atWrVli1bWlpauru7&#10;Dx48GJeLD1i4cCEL+NixY+IGYH/WjDRF64w1yN6+5KXwo5CaOSB9zQ5j7Vww7lb43pDQDcD7W7du&#10;JV5kEdaoUaNLly6TJk06efLkypUrHRwcoP61a9devnwZw+MoOBfbkBa+F+gAJmfqhmyKaZGyCWRT&#10;4Z+DadUz1DIdZKAXeH/s2LHIhRkzZhw9epRCwF6pTE1kq7W1dfHixeH9WrVqOTs7y68+mOooAO17&#10;XRk7AQuPwYX6GT5o3cfHp3Xr1lWqVEGplStXDvkPypcvzyYxO17BYDAEBwdPnjx58eLFctP2+PHj&#10;Fy9exAfc1UGERYOAhU3jABdNajzf58HY2Www7sgF426F7w0T79+6dQtlgMaH95s0aeLq6opWQODP&#10;nj27U6dORJC7d+8makTKyVH5ZH1K54EwjmQE5I2VFP4xMM7GnD4XxFtoeXgpNTU1PDw8Li4OKzpz&#10;5oyJSUzzgsgQ3kfy16xZE20xZ84ceF+aUhBoz3GKO2VDho+hJLZFpslrsyZOnEisZGNj07Zt22rV&#10;qpmZmcm9M9xpiRIlGNkWLVr07NkTB+Dp6env7z906FBmBU1H/I6m27x588GDB9F3Fy5cINqiWSAP&#10;b5jcuEyYgJJvgbEVhe+N7LyPDYSFhTVq1Kh9+/aoBOJuInRUBeFjQEDAuXPnqCx6H03wfSdR+pw9&#10;T39MGYGpUKop/EPQRKL+va7chEDdwycYkq+v77hx47Zv3464FDOTyjIpGFu/fv2gKVCvXj0PDw88&#10;BIdLmwoC7T4PI8uoyfCRMnxy10zubN67d2/nzp0TJkyA1tu1ayfCn7RChQqlSpUyNzdnfHEDgAzO&#10;ABAQ4Az69+/PDMXGxk6bNi0lJWXp0qUbNmzYtm3brl27WPbnz5+/c+cODoCA4NGjR48/AN3HNOcA&#10;s5sb2hLMBbkqhe8OJggTArh5YvPQ0FB4v2vXrmgCzODAgQOJiYnw/uDBgzEDJk5uoJNijdLCd4FO&#10;Nca1AOQSQPY8vZWrkzoK/wQwg6ysLGEG+H3//v3Lli0bMmSIpaWlk5OTPFwuX+pKfdPEZWRk9OrV&#10;CzpC8surn/AWtCDVFAR/ej+PQDPtD6OJA4Car1y5curUqfT0dDwnQj4+Pj4wMNDW1hb5VqlSpUKF&#10;Cv33v//9/fffCxQoQFq4cGGcQcWKFWvXrt20aVNcRbdu3fDABF92dnaEXc7Ozu7u7ngRHx8fHAMr&#10;nwanTp1KBLdo0SLcA1ixYgWnw0MQc+Dnjxw5QtAAWbBJT+gPZCH3kbKDQimHa5CZ5IkNRULmBoYl&#10;zoOLFc8neROkjlb1A4w7vgE0QpvGjS/Hp7qRvTx7HsimwFikI3dJdsje3BDzMG7oh5NyRTlAoWk8&#10;mQWcfXR0dIMGDViQycnJrGGoH0HQvXt3UnmDCtBa1ClVDlTID5BJEcjsy/wKTHUkkx0YQI47ulST&#10;Y43bHyDlUpkMdM/6xSpQh+vWrZs5cyYa30sHvD9ixAhYiF3379+XpkjlLCz2EydOQFCdO3eWexKo&#10;z6CgIOF9KoiZKYCP8z6jbxom8iK6GVx8wMWLF+Hf1atXT5kyZdiwYT169GjevDlSrmHDhhB9jRo1&#10;qlevXqVKFfwBkLCgjP6rxxYWFqSAKKF06dIU4h4opFqzZs369OmDP8AZeHt74wwGDRoUFRU1ZswY&#10;ZpETkYLJkyfPmDGD0AGvsHbtWlRkDuDq8RZwysaNG0mJ+PAc+AykQQ5cuHCB9Ny5c1wOYPPq1au4&#10;CvEWhDhAHAkmiNFghXKTCmsjQDHFKJiagDyxETBuP3lCntiFmAlVgk1DZwwgqdh3DshehlqAKQvI&#10;SwUpl4zYupRItezlenXjppSYICVAP1SDFEpeDgSyKYfkgByeHcYdfwblXBGNkGEkCckjIyMRX1ZW&#10;VvPnz9+9ezf2g7O3sbEhYGec9ZaMoAPSgkJ+gEzoX0NshspCF6apl03JAzJUlkIWBUtDwNphWbHK&#10;Ll++fObMGTh9z549ixcvhvEJCiEZe3v7nj17oh1HjRqFKDx58iSHSGtyahphPbLSsS4/P7969erB&#10;+0WLFiWghEagAta1nFpB8EneZ5jIkEpG8swoDoAhlttt6Dh86bx581DrSUlJhPAhISEEVi4uLkxS&#10;x44dIfRq1aqVKFFC3C+QG0HZQThWrly5mjVr4jmID/AigAkjUOjSpQuSUICDQS3iHuAO7IC4wTEX&#10;KASEgeQNBgN5V1dXZIL/xxCgY8CAAaS4GTo/bdo0rgW/smDBAjQFwQcpYBN7AmQINtPS0rZu3bpz&#10;5869e/fiAglEELD79u0jL6AE28UKjx07hinjUXAbmLX4FTK5ATmKbxBo7KuDiQBkpJApkBKgz4wR&#10;2Uskz3xJRmAqzwE5BMgUGy3gQ8yXA8aqf4axoT+DcpPWQytA9DExMcyp/Gkum4wtSp8lOnv2bMxJ&#10;mhLIVRs3FL43ZEI/BSZLYKz9ISYQa6GCyW4pYROrgPFRRUioS5cuweCslB07diDRli9fjraDQFiw&#10;2Im7uzuLNDg4GMWAqUAvRIqsLBYUcko/uXFd4APwFpA7XoEDW7dujawUqunUqRNtcgqxMbFtBfAR&#10;3gcybTKsQEaZEqDPqSbK8LH6czpZcNaVK1cYeuiP+Vu1ahXsOXbs2IiIiMDAQCi4a9eubdq0YT5a&#10;tWqFJ2jcuDEUT9QP8MwSJQConzwgSiAswB/gMCQ4kEBBQIggoUPZjwEXQoRRvnx54gkONG3mBrtI&#10;K1asSAViFHqI/CTmcHNzI+zA+Ig8gEc2yBfXBJsYYkJCAuHI+PHjJ0yYgGjlejFNAYUTJ04kTMEd&#10;LlmyBIWCTTMsUB46lzQ31q9fj+cAjCHAvgWYLDh06JAU4kjOnj3LgsnMzGTMBawENsXBSJ5CohN8&#10;DPEKahoxBfmSMlOSCiR2YUkQmjCPeHRdfmlgaeUG5WIGGIDJTj4FLITKZOgACzs6OpqpZwDR/lwL&#10;dI8nYBjXrFkDEYhpCUynUPi+kOkAkmdehA0A9C0QawHCA9gbFoWxkcECMUixTyyW2BrrxcLx+sgm&#10;aJoVwepAS02fPp3FMnr0aCRj//79IWuAaBs8eDBLDB1G+I6HwFVwIqxUomqsl/ZZDjQ4d+5cDAyp&#10;h1isU6eOubl54cKFzczMUJ+cAtVFV8ViFQQf532Qe+KBae7Fh5vAfDAZTDnSlWk2BWsseOYMjZya&#10;moozIHCDEJlgxDXxV2hoKEEcTArbWltbM0mWOuQPO5k8PDZ+WxyAgDzQvqrXHyvKgUKFChUoUICU&#10;WScFtEBNLazIBepTjYxUq1SpEi4Ho8EV4ZYa6SAjJZLHUTVp0gQHhpOgk1gnEQlejbRzNrDZrVs3&#10;YhSC0759+3JdWDMXiF8BZHLD1taWQQAIFkCYgvuRFH9DShBDuY+Pj/zFypw5c1gPABHEwAIybEqe&#10;0IQwGR/M+LMqiEtYb6SmvIDQBI/CTLEsmTUJSgArlrxEJ9nBYob9WULC6YDMRyFWoZHH+/c0RU+G&#10;Dx/eoUMHXCZn5LwsdRwnKWGT8IgYFW2a8grfF9nnhRT3DLmzxrEEk5HAvECWPBYlQTALX/Q7qx6z&#10;xFwRQ8h2YmtUPIROyI7NY+3oQniAXVi1aCYk1OTJk7FhSING0Dq0zLkgejqAOUE1+BVOihXRONIB&#10;cWZnZ8diYYGwjliAVatWLViwIOoQ0ZmRkYGywa441khtCn/B+0Bftn+l7GR5Z98rJTon/B8pYDQm&#10;l3D69GmIBgLatm3bpk2b0tPTsY9Zs2Yx34RpAK9ArJc9SgBQBp6cTMuWLVvoINM2F6iAqGQXkMBC&#10;AGXnADwOiUt4Ua1aNSQ/QQaQ7ySwGyB/tUAJFYhFiAxwOeIq9FtWGnAqJlfEpuZPPkD24lQ4BB+j&#10;V9cqmPKfgrSJk5OMPDFFO+wiRuEycR5IG3ESpHJrS3Mazs6MG8BP4CHCw8NZFRCuDOzIkSNZXQDC&#10;FTDU6CkiFXEVpi/V8RnkWXg5gDZHqjN9x48fR3+dOHECBQfYzIGjR49SfvHiRWYcFuBYukG3WeQs&#10;ZjbpW4D+MyacSExC2qFZMnK4wvcFs8C8yO1K8jhsOJ1wbd26dWvXrsUYCF5X6mASESKIbgyJSG7G&#10;jBlwNyaHBifoDw4OhvExTiQdkgjBxLpGM8HRgwYNwjCgexgA+Y9M4VyECDA7OhKiR93LV2WoewLZ&#10;U6dO4V0gDc7IUbgN/AdET8tBQUGczs/Pr1evXrVq1WLhsIQJILBYCShhJ6EyBaDxvlD2pwCD4/bF&#10;88vwkbLJlAAKKYHcKcleWWoK7+teQAsUmAAJCwgJ5St7wDQTrLHgcewIT1Kc/JYtW9avXy/fzeIh&#10;SJlsCQwREZAU2hYL+xSmTZsGnWFSmALkQpoDECIpFjl06FACDnhTlLgmyG1ssEjZRJgA8qQ4HhwA&#10;9gSPS+QhNC2AmoXTTaEGGUCJ7gU0mPaSNx72AeySo4DpKL0BY0Tyn//8RyQM7kf8EFFI/fr169at&#10;i+siZZOU6IRNXJp8U4L/o9sddeA7WXJsio+UcpYfy4ZdpAQovXUQpkiwkgM9evQgJYKR8IUx0cMz&#10;SzZzAAnGCDMLKLJJkybhY1jh9vb2RO7jx49nzDkvrlf36a3xW4REtEab0iwtkCp8XzALzDXza8pj&#10;FQSyYgnkUWaYDVPJJrQO8zLpQvSkSArYH2AG0DrAH+AbWLxoCzwH6xoSF9eC70fCQwuwvLAKIv3u&#10;3bsXLlzA3+zatYu1P3XqVJr19fVlPdIZpA9GxRkpx8zwQ5yIbrAKkEooNtRhXFwcfGKiOJ3xFDRo&#10;f7cld80g5cePH5MSy+uUnpfgFOIPcoAJ/hzgPGgBm8AUsA+EpOlRnNxgplENmBSGtXHjRvwHCiUH&#10;8CIgLS1t4cKFxKGQEeIXhUKaA3AWLgQjHjZsGAsAxmzVqhVshWbJAeFTdlFBghKYF/7NDe0WUqNG&#10;EouQgaZhcIg7B7KzOUQP3WshycdAaALk0SmMHkciPgP/8V1ANyAFiB7xhU/Fj7JQhdZZtFBGkyZN&#10;uGQGjeGS+EwhH4IJwpjJiM1LinpAMcD4JuAJ3N3dY2JiJk6cyFJivZBBkrP6WIOwNoECEcN5/VUu&#10;d/S/2pEbhqTkoXgYn10sbYiesA+RzoGsUzwEMQTSIT4+HneCRECXYD+Yk4eHBydidSMZb926RfQ5&#10;ffp0nBAiCanEkiHqpQ8oS2gOloNDhPIUwG+MPtET8Tgjfu3aNUYf0c0E5C1onzAtByhE7H8OmDz6&#10;Rn1oneAAZqfPaITcwB+QYgTYGXED7A/I5Aa2xa7du3cTuhJeyGOguYFhYb4EHCgUnIQEsx+F3F7H&#10;i0yZMgXrx1UkfgLswqMQjhCLoJKQLQTCuUGUSiRLOOLp6eno6IjmgkZFc+UAhYAVyELFVZQrV07C&#10;BSMN/+vg7PghfBU+CcfGIsRp1ahRg00KYQ3WJNeOUmPQEIAK+RBMjQCrxuzR1ETbSCVTFM7CISUP&#10;IHcWHczO8gQmMgHyzdD9+/eRlUT5sAFrH5KhMoewDHfu3Mkqg6OJ1JOSklgRWHsfHSgtdAMan0LE&#10;Pg6AuGHFihUsWHwJjH/jxg20IGdcsGABKwVLIywuVaoUC2HEiBG0zF5oDt5HPgrlKYDfEOPEYkwt&#10;UVJqaipDj9vUb5bkJSTQywHK53wepBGBsehjyL5XKnMWiPijkD4A4/bMmcShxlw2MBrZy+UQSnJD&#10;TsowTpgwAXLH7BApRJq5Ibuio6NDQ0OHDBkSEBCAZfvkAoUA0ndxcbGzs+vXrx8BNTo6N0R2IXYI&#10;ONDR8D7kK7eMvgtYe9IBYGFhQfyBJyhRooT8WV+zZs1YokjCZcuWseAl9lLIb5BAGZYnj+hB/Rw4&#10;cEC+gIGvyQD5LkdAeXZQgq7CJUhrNLVmzRr0Ox6FZSJLRtYUS2zcuHEsitjY2LCwMG9vbzF1hA6W&#10;j/phyVAZa4HHaRaul3ABvHjxAi2INxo6dCgLoXz58hhe1apVCTFXrVqF78HZQHOK93PgNyIsKKOL&#10;DuK1Fi1akNHuB+c1hJuygxMJbf0tpAW5Ga339OMHUi4tfw6Mx+hHmWAsygZ0NOUddMiB0pncoJrs&#10;JRCWGz6gXS6wS+4CCZo3b96kSRO54ZMD8pwrPA4QMrVq1ZIHXnMDQ0dQV69enbSC/v4MMx3FvyvM&#10;9b/LMz2FVbJkSYlCuBaWNKEM65y4h+hHIR8C7cLsIMABm/hp4l3IF90DUyMWKQFocOI25I48uEyG&#10;FOmTkJAQHBzs7u5ubW3NdEPl6HcRLrKaCF7R9X5+fkR+xL6ciyiZw2kfx4CHwFUQT8g9IsidWAGy&#10;knvR7/VvGbOysq5fv04UEhISQoO1a9fGxsqUKcMSw3/gnOSutVR++13f/5Hf8NuTJ0+cnZ2Rk8yQ&#10;q6srgRVKk9jqXwDnxZ9/Dqj5mZDHueQQ42k+POuSHRicgw72UtnNzU0u/6OgvkEHRwEy0mwOSB1p&#10;k0NolmP1vvwJcnZTHaAfrXUjByikNVNlUv38H4F2vF45e/3vCOmVh4cHo8qYUNK7d+8qVarILSDW&#10;JwrDy8uLxYmUI/RRyIdgamBkLT6Ni5M/toD98QEizCMiIsLDwyMjIwlb2SsVoG/onmM5ENInkGXq&#10;LS0t5aZN3759keGyTDAPdD0GgHdBy6empiLPiTC2bNly+PDhCxcu3NFfsgJxy4MhELfQt/b9rP7A&#10;CD6A+GPx4sUICEgfxiesRGo0bdqUEIFy/AT1xUkIjJynAO8T/hw5coQRJDRjxHGtp06dIs1bcIqP&#10;wrj77yCRY3ZQaGziz8DJaw8SHj9uqvbRmlypPLpOngrUzB6xZodUk7wcK3lpPzukXMCmdINjc8NU&#10;R47iFEAKPwqpJmcHUpgdUih7gRR+X3BFdPvgwYPoNbqEiCO4gffR+8Qx0AH0MXfuXBa8Qv6E6S6/&#10;fGuFikePA3Q9TI0kpzxZBxlATepLCaAFyHf58uUrVqwgSgBkNm3atGfPHuwB22Cpnjt37sqVK5cu&#10;XSK9ob8HBTZ/9OgRIl2eBIHfha+hfhiclML79++fOXMmPT0dB0Mk0axZs/Lly2NXKH3iY09Pz5Ur&#10;VxIfPH/+nGNNPkP4TkHw29OnTzVXqPtSGWVJ/x0Ye/F3MPl547b+YBaFuZG9Tp4AuzG1qfXg89qn&#10;mvTHuJ0N7DJJGAGbUvJRUEFOqp1bh7STHZ8q/16gM9JzVinLFWzcuLFbt24WFhZQf/PmzYcMGQJH&#10;bN26dffu3RCBQv4EcpB0586dyPC1a9cu0t9csnr16oyMDHlKBzCDgMy+ffukMpBN3H9mZiZsLn/q&#10;RXr37t0chAPIGO3mgyVTaKog9o8bgO7B+fPnMRv8CqFGjx49KlWqVKJECYLIUqVKYVeEEdOnT8ed&#10;IGexQA6kTWlB2lcQ/NXfbSkofB1YZkAWHquORbh58+auXbvK36B16tSJ6B52uH79+gP9RdwK+Rmw&#10;LTIc+oa7SY2lfwbzKLwMZE4fP36clZUFX+P1SSUDMAbYnBRNICmFGv3rfwOE0ucoOZCURp48eUKD&#10;+A+iBPwNAYevry+Mj7Qvp/8SFLwvSt/FxQW3dOHCBQ4xGqLCJ6B4XyHv8VHe79y5M7zPKu3evfvE&#10;iRMPHz7M+qSC8RiF/A2ZSmDczgZtsj9A6kiG1Fgjm0nA8kh+CB3fgDu5cePGlStX5FHvM/r7XYge&#10;JGhIT09funRpamrqnDlzMJiRI0cGBgZaWlo2atQIov/999/lLxlr1qyJRQ0bNmzBggWnT5/Gc3AW&#10;41kVPgHF+wp5D9MiJ2X9m3gf0gcI/zFjxuzZs4eoX/6mTyF/QhfoRiDGRZsb92WD9peZHyCCHWYn&#10;I3m8O4DoHz16RLiAcj/x4Q0fBw4c2LZtm7zvAYqH38eNGyffJ/v5+dnb22MzzZo1a9CgQZ06dWro&#10;73ivWLFi2bJlS5YsiYYoXbp0tWrV7OzsRo0atWnTJjwH3cPkjFao8Gko3lfIe+i0n5P3O3XqVFx/&#10;uUWLFi0GDx48d+5cCmF//S6xQr5DjqnZp78sltS4nQ3URKRLfTK7du3avn07bD5ff1R/5syZpKan&#10;PxMTE2N1yGM/Q4cORcUHBAT4+Pg46n+u1UV/jrxp06a1atWC2eXZX1Is57///a/8RYj89Z+Dg4O/&#10;v/+8efPoFRpCSF8Mz2iICp+A4n2FvIdp+ZHm0PvE5mg0AnMvL6/g4OBQhfyKkGyQkrCwMMnkgKmO&#10;VAgKChoyZAgM3rBhQwganV5bf9MtGfkbFHmziPzdCfpd/vqEkvL669NJK1WqVKFCBXQ9vA/Ly+1B&#10;0lKlSlGzSZMmffv2jYmJWa+/pOHKlSsEFljam2yPSxgNUeETULyvkPfQaT8n73ft2pU1DO8TpMMC&#10;xO9t27ZF3MmrJhTyP5hBYNzIBlM57pyUwK5du3Z169aFxNHpAMpm0on2mP3fdZCRP+cGpk0UPUSP&#10;q0DsYx4tW7Zs3bo1LI9jgPcLFChAO7gTGJ8YIj09/cKFC48fP36lv1tfzEwx/mdC8b5C3uOjvA8j&#10;oNdY4ax/1ByLGcWHfFPIt2CCquswbn8CTCUgIzWR88yviHfoHipH1CPhTb90ZKoMRPWTge6JD9q3&#10;b29jY+Pt7T148GBiiKFDh3p4eFCI9i9cuDDNxsXFnT59+qH+e0HIfEwLmY/JYWZksDexQIW/huJ9&#10;hbyHTvsf1/ui2ljtjRo1EkHXRuFnRKtWrVD9PXv2tLW1lb8nlz/TddF/PmjgwIFw+jAdYWFh0dHR&#10;8fHxiYmJU6dOXbhw4RodKPrU1NSEhARLS0ucB9EAziMpKenOnTvYGCyv1P1XQ/G+Qt7jo7xP+G9m&#10;ZkZQX6VKlS5duri5ubHy5dawws+H4ODgqKiocePGzZ07d/HixUuWLIHQFy1atHz58vXr12/fvn3f&#10;vn3yh7tn9B/ekDdrPnjw4PHjx/Kg5/379/fv3z9t2jQ7Ozv0ftGiRYkkTLwvt/IxMDE5hS+C4n2F&#10;vIdO+x/hfXmep3nz5oGBgbNnz87IyNiq8PNi165dR/XX7suLl8/puHjx4tWrV2/dunXv3j25XfPk&#10;w28oYjliLYBN0sOHD48fP75Pnz6lSpWC9wkTJ06cKLxPTSBHKXwpFO8r5D1YjSAH73fs2FF/SahZ&#10;586diej37NnDyjc9GK7wk4FJf/MB5KUQYzBZCHksRPaSoVBMRTYpf/bsGWFBdHQ0lgPvlyhRonHj&#10;xtOnT5dX6gtox5hT+BIo3lfIe2isn4v3O3ToIO9lQ/gj4ojx5fE7hZ8bGAAgYzKM7KBQ9gIy2Ixs&#10;knnx4gW8Hx4eDu/LKxlQDCkpKffv39etTOHroXhfIe8hyzgH70P3hOpQv/A+Ifzjx49lnSv89MAS&#10;MAzjxgdIIXGAyVTImPKU79ixIywsDN6vVKlSxYoVLS0tlyxZ8uDBA93KFL4eivcV8h6sW2BawML7&#10;Xbt2NdN/fZ7MhAkTDh48+OTJE/Yaj1H4uSA2YNz4S4idSF6OAtgMvI/eHzZsWNu2bStXrly1alUb&#10;G5ulS5ei98VnADlK4UuheF8h7yFr8qO8j97v3r07vH/gwIGsrCwqGI9RUMgGjOfFixfp6emenp4N&#10;GzZE7NepU8dgMCxbtgy9b+J9YDxA4UugeF8h7yELUvG+wlcDw8A85s+fj7WULVu2TJkyTZo08fb2&#10;Xrt27ePHj01mo+zn66B4XyHvwWoEivcVvgXw+/Tp0+Vn2uD9du3aBQcHb9myBbMx1tC/MDDmFL4E&#10;ivcV8h467SveV/h6YBjZeb9cuXKdO3eOj4/fvXv3s2fPjJUU738tFO8r5D001le8r/ANwHgePnw4&#10;Y8YMeL9w4cLwfrdu3caMGbN//37T479UU7z/dVC8r5D3kGWpeF/hq/Hy5ct79+5NmTKlcePGBQoU&#10;KF26NLw/fvx4zObp06diWlRTvP91+I2Byw1t1SoofBvefPiZfsX7Cl8KbCYzMzMpKalBgwaF9N9a&#10;6dOnz+TJk9H7wvtC/cp+vg6/ydgpKOQtsK3svL9161bF+wqfD/T+6dOnExMT4X1sBr1vY2Mzb968&#10;48ePv3jxAm1qkvwKXwF1n0fhn4LifYWvxrNnz44dOzZq1Ch4H7OpUKGCi4tLWlraxYsXMSfMRu5M&#10;GGsrfCE+wvumMVVQ+GpgRbI+SYG6z6PwRYD3Dx06NGLECOH98uXLe3p6ZmRkXL16FSVBBSxHIPUV&#10;vghK7yv8UxD2J4X3t23b1q1bN8X7Cp8JeH/fvn2xsbH169fHZsqWLevl5bVlyxZ4H3PSCV9Zztfj&#10;49/rKih8I1iW6DIyb9++ZaGyYpXeV/h8PH78ePv27REREXXr1i1UqFCZMmX8/Px27dp1/fr17Lyv&#10;7Ofr8Bt+NTdYkAoK34Lnz5+zdLGlJzrWrFkjv7eleF/hc3Dnzp0NGzYEBQXVrl0b3i9XrlxgYOCh&#10;Q4col++NxHJQFVJf4Yvw26tXr47rOHv27MmTJy9cuHD69Gn5ZRwFha/DmTNnMCdJL1++fOLEiTlz&#10;5nTo0EF4Hwcgf4CT/UUrCgrZce3ateXLlw8cOLBWrVoFChQoW7ZsSEjIjRs3UBLZbUbx/tfhN9Ye&#10;i3DUqFGjR49O0DFixAjyCgpfjZEjR2JR2FJcXBzWRcbd3Z2AvWjRosWKFevatWtSUpK8h1nxvsJH&#10;ceXKlWXLlsH76P3ff/+9QoUKMTExd+/effnypbGGDsX7X4ffGMrGjRs3atSofv36ZPCuDRQUvg31&#10;6tWTtEaNGqRYV5UqVSwsLAjYS5Qo0atXr4kTJxKzK95X+BQuXry4ZMkSE+9jP4iJ+/fvv3792lhD&#10;h+L9r8NvDCXDWrBgQYKp4sWL/8///I8E4woKXw34HWkPxLRMFvXf//4Xvd+tW7exY8eq+zwKf4Hz&#10;588vWLDA19e3evXqJt5/9OhR9oc4ybxTj/B/FX67d++e/IZZ+fLlq1atWqpUKYaYEgWFrwZReeXK&#10;latVqya2RF7SsmXLUmJtbT158mT0vvpeV+FTOHPmzKxZs5ydnTEYZASBI7wvb2hgr4n3lf18HX4j&#10;1h48eDDxFBgwYICfn5+/v79sKih8HQJ0kBk0aFBgYCB2Bcgg3yhPSkrasGEDgfyLFy/UulX4KI4d&#10;OzZ+/Pj+/fsjFxCjjRs3ZvP58+diMPKgMBllP1+H316/fr1Xx+HDhwm9jx49euDAgSMKCt8AtDxW&#10;hDlhVMaiI0eOHz9OyZ49e06fPn3z5s2HDx8+e/ZMxekKHwUmlJCQ0KNHD/ll3Q4dOsyYMQOhIHtN&#10;vK/wdfiN0Onx48ePdLAUHygo/DO4q+P+/fuEmAi3V69eEbMr3lf4KA4ePBgXF9e7d29Iv3r16n36&#10;9Jk7dy68b7rPg+Uo9v9qGP9el9GU92cBFqRkFBTyEC91YF3yd7ysWIHREhUUsmHXrl0hISGdO3eu&#10;VKlSjRo1+vXrl5ycbOJ9IMSl7OfroN7Po/BvQ+herVuFv0BGRoa3t3eTJk3Kli1bs2ZNa2vr1NRU&#10;xft5BfX+fYV/CbJQBRJfAsqNlqigkA2rVq2C6+UJw3r16jk4OCxbtkzxfl7hT+9l05engsI/AlYs&#10;yG1mRktUUMiGJUuWdOnSpaSOZs2aeXl5paenK97PK2i8L8sPGMsUFP4BGI1MmZnCZ2DhwoWtW7cu&#10;WrRo6dKl27dvP2jQoB07dijezyv8poswowozliko/JPQyV+DsjqFT2HBggXNmzcvWLBgmTJlEP7B&#10;wcH79+9XvJ9XUN/rKigofE8Id5t0AHj58uWcOXOaNGmC3i9VqlT37t1HjBiB3lcKNa+geF9BQeF7&#10;QnicVGj99evXT548mTlzZuPGjeH9kiVLwvsJCQk7d+5UvJ9XULyvoKDw/SG8/+bNm+fPn9+6dWvS&#10;pEkNGzYsUqQIer9v375JSUkHDhxQvJ9XULyvoKDw/WHifcR+ZmZmYmJivXr14P2yZcs6ODjMmzfv&#10;/PnzivfzCor3FRQUvifgcQChQ+vg8ePHUPzw4cPh/aJFi1aoUMHDw2P58uUEAYr38wqK9xUUFL4n&#10;hMpJJQPvnz17Nj4+Ht4vVqwYvO/l5ZWWlnbnzh3F+3kFxfsKRsGVHcYdOnKXCKQ8O4w7sh0iGZAj&#10;b0LuEoVfDULlkoInT56cPn0a3m/QoAG8X758efT+qlWrrl+/rng/r6B4X+H/Fp7+6oQ3rC59ARpX&#10;l+TZa6omoBqVX79+nXs1SgkZCqUOm6TktbayNSK7pCYZ2au3ofCrQGac2Zd39t2+fXv37t1hYWF1&#10;6tQpWLAgvO/m5rZ58+Zz585JfYVvh+J9BY2mc7Atm0LHAjapI3j+/DmR+IMHD0izsrLkT2mEso21&#10;P0BWMtXu3bt3//59KsPyVAM5HAYgQyEl5I3HK/waYNJJxQbIo+s3btw4dOjQmjVrwvsVK1b09/c/&#10;ePDg3bt3pb7Ct0PxvoK25HJAGBkihrgFL1++hOKfPn3Ksjx+/PiBAweOHTt2+fLlR48emejb2NwH&#10;UA7pU+fo0aO7du0izczMxAfIy/fhfVJOIcfKmic1Hqzwy4B5N+b0/LVr19atWzdw4MAaNWrA+1Wq&#10;VAkKCrp48SIGY6yk8M1QvK+gwcT1GuvrIA9Bo9OvXr0K0W/btm3t2rWLFy+eOXNmUlLSpEmTli1b&#10;duTIEXjcdKCxrQ+gBK9w8uTJVatWTZw4cdy4cZMnT543b97q1atxAydOnDh//jxxA2fRT6idUUDe&#10;2ITCLwCZbjEA0ps3b6anpwcEBNSqVatIkSLVq1ePiIigUFlFHkLxvoJxyYn0ZhMeh4uzsrJu3boF&#10;a2dkZEybNm3QoEGWlpbNmzdv06ZNjx49PDw8oPKdO3f+xdN1yPk7d+7s3bt3+vTpHN6rVy+Obdu2&#10;Le0MGTKENtesWQP741eePHlCI7RggrEJhV8DzDgGIIZEQIky8PHxqV27drFixVD90dHRGJKyijyE&#10;4n0FI+8DFt5j/enpPXv2oLnQ5iNHjiTK9vLysra27tq1a8eOHW1tbSHxMWPGrFy5EtZGsMtyzb4s&#10;KYH0cR7sPXPmDGE7Sj8wMNDR0bG/DhcXlwEDBtByfHw8uwgIDhw4cPnyZRwA7ket8F8NJgt8/fr1&#10;uXPnMDxnZ2eUvpmZGaofI5Gw0lhb4ZuheP/XglAqqUAKs9P08ePHly5dOnbsWD8/v549e7Zo0aJV&#10;q1ZIdQQ+4XZKSgr+4PDhwxcuXEDpP336NPvXs9JadlBIhbt377KYDx06tH37drwFSp+mDAYD2r9p&#10;06ak+IMRI0YsX76clm/cuEFPJPigZSAtk+rMoJ1IShR+GpjmFDs8cuRIUlISOqNy5crFixevV68e&#10;tqF4P2+heP/XAuuKBSaUSiqFWVlZly5dQuPD+AkJCZ6enqy6Nm3aNGjQAIHv5uYWHBwMWW/ZsgX6&#10;hu5fvHghC5UWIGhp5G+BAyCYuHr1Kg4gLS0tMTGRWB7X0rBhw/r16/fu3dvf33/UqFGLFi3av38/&#10;2h+nov8i70ud/DVwLnEznJoGJVX4CSC2RAb7JPKD6Lt3715OB7IAFYJ0MJmrwrdD8f6vBSFNE++z&#10;zOBiSH/16tXR0dH9+vWD66tVq1a3bt3mzZvb2triBtiFDIevqYkS5xBZgbRjWq6fCSpD3M+ePWMZ&#10;nzlzBvk/adIkX1/f9u3b165du2rVqsh/Gxub0aNHL168+OjRo8QfnA7gaTiW0xkb0s/OJRg3FH5k&#10;6HZkBHONsaEJ0AHofUwRZYDmwBKwHOMBCt8Mxfu/IlhgkCYy/+LFizt27GBdDRkypGvXrvJzplBw&#10;t27dBg8ePHv27F27dmVmZkL3QruAjMDY1meDMyLYhaxpByF///59FvmKFSvi4uKsrKxq1apVpkyZ&#10;GjVq9OrVy8XFBZezfv36CxcuyE1/k9LPDmlZ4YeGySQwKngff4/j79u3L9aISfTv33/evHnYALuk&#10;vsK3Q/H+rwXYltXFSmMhQfppaWnQK6F0nTp1yuto1KiRs7PzqFGj9uzZc+PGDTQ+NTmEZQnzCvnK&#10;prHFzwYHyrGmTTqD9r9z5w7sj49xcnLC5ZibmyP0KlasSMAREBAwf/7848eP46JY9hwi7JC9HYUf&#10;HcwmKTNLhlnev39/WFgYKgQbgPcRBMnJyfJNktRX+HYo3v/lwOq6d+8eqwuq9fX1bdOmDRpffuCi&#10;SZMmbm5uM2fOFNKHl038Tib3rXwKTRX+FqbKkgFSTn8Q/keOHJk7d66/v3+XLl1wP4UKFcIBtGrV&#10;ysvLa9KkSRs2bLh9+zZOQg7kEKCo/+eAyAgmFAPD5LZs2eLo6Ij+sLCwQAfY2tqmpKTA+2q68xCK&#10;938tsK5u3bq1adOm+Ph4lBQyX366GqqFZNHXaKuTJ0+i8VlpiC9ZbCa2lYxAGvx8mI6izeysjY6D&#10;0AksLl++nJ6ePnbsWLRetWrVWPYVKlSoX79+nz59hg0btnr1anzDo0eP5EBSUwsKPzTEMCB98OLF&#10;CyZatEjhwoVhf4TIokWLCPjUdOchFO//tJB1worSGVIDDAt1rlq1Kjw8vFu3bjVq1EDjy0+YtmjR&#10;AtJPTU09ffo0a0xialmQOTK0o4ntb/hOVRoBsklTLHgK8UmXLl3SfFJcfK+ePStVrFjS3MLC3KJG&#10;9Rpdu3QJHDhw7py5p06ezEL6vXn7Ho34ztiO1jm9TVJpU+HHAhOHyWEGz58/X7p0aYMGDQj44H0x&#10;y7S0NJQB82usrfDNULz/0wI+1VlRo2lWFBI+MzNz9uzZgwYNateunTwcbWZmBvU3bNiQwuXLl586&#10;dUrupSC7jK38W+Ck0snbt2/v3bk7Pjq2c/uONapUszArYV7MrHrlqk0bNvJyc0+ZO+/EkaOP7j14&#10;++r1e+P1GXlf80Xq5s+PCaZPgkvMb/HixU2aNIH0zc3NEf5BQUGbN2/GIJlcY22Fb4bi/Z8WrCUW&#10;klAhMurkyZMLFy708fFhLZUtWxbGZ2mVKVOGUNrPzw+RhVeAdqkvBxpb+VfAGSUVxXfv9p09O3aN&#10;HD4C6jcvVrzQfwuUKmFRrnSZerVqW1v2Hz9m7P7de+7fufv6+Z+cE4fTeVowbiv8OGDu0PtYHRa4&#10;YMGCxo0byxc8HTt2jIqK2r59u+L9vIXi/Z8ZwuBoqPPnzycnJ3t5eTVv3rx06dIsqiJFikD9KH0K&#10;8Qfnzp1j4Ql1khqP/7dAJwEZTg3evX77Iuv5rm3bBwUMbFi3XikUf6HCZoWLFC7we/nSZXt375E4&#10;ctS+Xbsf3je+IgKuB9qBup+TNhV+IDB3zCBz9/Dhw3nz5qFFRO937tw5Li5u586divfzFor3f1ro&#10;FKrJKDgdDeXr64uMQukXLVq0WLFiFhYWVapUsbGxmTFjBhVYb8KhAg40tvKvQIhbOkCq8/e7m1ev&#10;zZ+X7Ovp3bxJ02KFihSD938vWLxosWqVKvft1Xvm1GkXzp2TJ444RJwW4FBjowo/CEwT9+rVq1u3&#10;bmGQ8ktbJUqUgPeHDx8O7xMFUsd4gMI3Q/H+TwvYEDK9cuUKct7Pz69FixbyvCYoXrx4xYoVWVQj&#10;R45kUREQQKBU/vcZH3BGnfY13jcyOL149/7Zk6cnjh5LmTvPzcm5SsVKFmbFIX3S0uYl69as5evl&#10;vXTRYuIY+UKCA0mlKWO7Cj8IxFWTQu6Y65QpU+rXry+837Nnz6SkpAMHDijez1so3v9pQWh89+7d&#10;jIyM4ODgdu3alS9fnti5SJEiQv21a9ceOHDgxo0bL1++LJxrWn6S+XfAYuZ02c9OZzTef/P23as3&#10;WY+fHN5/cGT88K6dOiPzNeovUqxUCfPypcu0bNrMw9Vt3rx5Z86cMf1JF1C8/8OBuSNl6nHhFy9e&#10;nDBhAryPrRKS2traMsWnT582PVKskCdQvP+TQAhU8mRQzQ8ePNi/f39iYmKfPn2qVatmZmYmpM9y&#10;wgcg9idPnnzhwoWsrCwhTdOxsg7/HUi3gXFbov5379/pvP/m5esbV64tW7RkaOAgiN6scNHiRYrC&#10;+yWKmVUuX6Fh3XrykF9mZqbc8MHVmS5E4UeBGACA98+ePZud9w0Gw6JFi+THtv5Ns/zpoXj/Z4DG&#10;lR8eZGSTRXL//v0TJ07MmjULxYS0L1myJKQPWE5ly5Zt2bJlYGBgeno6voH1Jo3kI7z/Q3tG8/Ub&#10;Pk8ePtq/e+/0yVO7d+lqVqQo1A/pFyrwexmLkuVKl8F7xcTErFu37uHDh4wAPszYgsIPBS3I06cP&#10;ox03bly9evWwVeH9JUuWSEiaHw31h4Xi/Z8B0D3LhoUhsvf58+dnzpxBKPn4+NSsWRONX6xYMVJI&#10;/z//+Q9i38bGhvAZsU/4TH1jK/kH73Bi796/efvH23dI/quZlzdvyHB1cq5euUrxIsXkwR7zYmbF&#10;ixarUqVKt27dEhISuF6oQe71GxtR+HEgch7nfeDAgZEjR6JUhPddXFxWr15948YN9irez0Mo3v8Z&#10;ILwP5DYo62fr1q1Dhw5t27atmZnZ77//TlqiRInixYv/7//+L1w5aNCg3bt3P336VA40tpJ/8O79&#10;H2/5vNM+7/949uTpxXPnE+Lie3btVrFsefNixZH8JfBlhYuUKlWqevXqrq6uaWlp8nNdxhYUfhxg&#10;gcL7d+7c2b59e3R0NHMK7xOkenl5bd68+d69e1i14v08hOL9nwEm3mf9SLA8c+ZMecsNXC96H+pH&#10;QJUtW7Zjx44TJkxA7FOZtcRRxlbyD6B7k+QnefnqwZ27yxYtGTIwsH6duhZmxRH7RQsVhvfNzc1h&#10;B9xbUFDQqlWrbt++bWxB4ccBFkishg2j69PT00NDQ7FbeB+nPmDAgH379slL2RTv5yEU7/8MYEmw&#10;bMCLFy8g9NTUVH9/f0QTtAjvg8I6hCKJAzZu3Hj//v18u5Dev34jt/jJCPs/f5q1f8/eKRMntWvd&#10;pmTxEoj9gv8tYFZEu3NVqFChSpUqtWrVKjY29pz+RL+xFYUfBPC+GPDVq1eJ24YMGSK8X7p0aWwV&#10;ESN3IxXv5yEU7/8kgO8g/SdPnhApDxs2DH4vU6aM3NaH90XvI/bt7OzkD7We6z+lwoGsN2kh/+DN&#10;i5d/vPs/3kfyv331+uqlzDUrV/Xr3adcqdJI/sK/FyxjUYrrgvrlISVPT8+9e/fCHcZWFH4oYIdX&#10;rlxZsWLF4MGD5T4PvB8SEnL+/HkxUcX7eQjF+z8F3v/x6sWLrMdPrlzKnDNzVq/uPSqULYfUL1a4&#10;iFmRYiVLIPtLWBQ3p9DLywuxL+/Wly8D8uFyQvtpel/XeCTkof7nWc927dzp4+VdtUrV4mZmfCzM&#10;zc2KFuUyixQsVNLcok+vXtOnTju478DTx4+1FuQ20Xtae/dG/WRHPgYWCLO/efPm4sWL8jeGVatW&#10;xZ2XL18+KCgIjUIF9TxP3kLx/k+B93+81W+C796+Izo8omXTZtqXn0XNzAoXkb9xLV6kWIliZhXK&#10;lA0ODj5y5MiDBw9YSML7GrH+CKDDx44di46Obt68OaGMubl50SJFuECurmjBQgQBzRo38fP2Wb5k&#10;6e3rN9+8eq3x/msj779+qX6iL/8CCxTeP3v27OzZs11dXcuVK0ckB/uHhoYK77/W38NhPEDhm6F4&#10;/6fAu/fvXr+5dP7CjCnT7Kys69SoCd3Lk458UP1Ffi9UomixqhUrjR8//urVqzA+B4mGYkVJG/kc&#10;dDUzM1P+IqFmzZrFixfXXtlYzIyrK1aoSGmLkmVLlsLhxUZFnzt1+tmTp9oNIv1xIP2vwNQf8eZr&#10;iB2ePHly0qRJ1tbWpXQ0aNAgNjaWSYfx2ZsPb0j+uFC8/zMAjnv9/MW+XbsH+Pk3rt+wYtlyiH2I&#10;Hplv5P2ChSqUKdeyWfPk5GTTN7rwvqwoaSSfgz5fu3Zt5cqVAwYMgBHMzMyKFi1asniJwr8XLFqw&#10;cKkS5gX/899ypct4urpt3rDxxpWrb16/wR3+wYVqqbpFkK8Bp2OHJ06cGDt2bN++fUuXLl2hQoXW&#10;rVsnJiZeuXIFK8VWFe/nIRTv/wx4+fzFnZu3li1a0qdHr/Kly5Q2t7AwK67d5Cmi/XUr7G9erHiD&#10;uvVs+1stXbLk8ePHLCFZS5IaW8nfoM83btzYsmVLZGRkkyZNIH1zc3OL4iVwaUULFsIB/P6//4X9&#10;+/fpO2XCxEP79r94mqUx/ltIX/+GQCEfAyOE948fP56QkNCzZ09Iv2rVql26dEH+4+yxUmYfGGsr&#10;fDMU7/8MeHD33tGDh8aMGt26eUvt9k6RYoj9ooUKw/v6jf5ipcwt2rRoGeDrt3r16qysLJYZ8ll4&#10;/0dZTnSYSOXo0aPjx49v2bJloUKFLCwsuDQim2KFCnPVRX4vSMplDvD1W7My7fH9B/J+N/l2VyE/&#10;Q3j/yJEjUVFRHTt2LF++fLVq1XAA06ZNu379Olb6AxnqDwHF+z8Drl+5unHd+mGDhzSu3xAqRAIX&#10;K1RE4339S12zwkVLljBv37pN0OAhGzdufPnyJUvIxPukxlbyN+jq8+fPUX/z589v377977//Xrx4&#10;ca6xtHlJ/aaWGaof6q9aqXK/Xr2TZ8+9d+u2xvuv38hfAyjkZwjvHzhwICgoqEWLFiVLlkTv9+rV&#10;a8aMGfC+3JaUVCFPoHj/BwPWL6xNXkQQ+Qtnz44fM7ZX9x61q9dA48P7ML48zyPvMitXqnTv7j3H&#10;jx23a9cu018/Cul/o4yiHVasdIMG9Yb/kWeE6OqrV6+uXr26YMGCNm3aFC1atIj2PE9RLlP7GkN7&#10;bw9XWsTCrESLJs1Gxo84feLky+cv9L8AUPd58juwGeTI5s2b7e3tK1asiEevV6+em5sbc33r1i3M&#10;CRujjrG2wjdD8f4PBhO3Sh7CBYcPHAoNCm7WuEnl8hV1+tNu75jrSh/eJwKoULactWX/WdNmHDx4&#10;UF5eJi1wbJ5zNA3meZtAJOGVK1eE983010oL4+f41K5RM2jI0F3bdzy6/+Dty1fq/n7+B9YI76en&#10;p/fu3RuxX6xYsebNmw8YMGDFihV3796lAlP/TxjVLwvF+z8eWACsE6Fs2DArK2vj+nQXR6eKZctZ&#10;FC+h39PXHuaB+k28jz9wsLVLnZd87NgxeWyfw2kqr3ifRnLAuOPPu4xFX4XP5P1ihYtUKFPWzcl5&#10;6aLFly9cev3iJXr/PdSvkF8hRgjvr169unPnzkRygCkODg5et27d/fv3qYPRfqP9KGSH4v0fEqwB&#10;02q5efPmwtQFfXr2gvFhPe2evsb+2h9qyX2eEkXNqlas5GhvWDQ/9fTp0xCoiffJfPtyogXakaYE&#10;xh25/IGx9KvwmbyPqytfpqxln74Tx40/evCQxvv6r7gYW1HIfxBTfPHixapVq9q1a1e4cGH0fqtW&#10;rcLCwjZs2HDv3j0sR+n9vIXi/R8MOn9qEN5/+vTpiRMnpkya3Ll9R+0VlYXkD3Q13pcn9+F95D96&#10;397Gdt7sOVRmCcHRstikEWn5q0ELJt7PUQLImyB7vw6ff5+nUvkKndp3CB0WtDVj0wfeV3+3lX8h&#10;tvH8+fPly5cL7xcvXrxFixYREREZGRnC+8w+qfEAhW+G4v0fDDA1ZEpGWJUoeOvWrcNj41o1b1G0&#10;YCH9W9wi2vMtiH3kv/Yop/aHuxXKlO3bq/fk8RMOHTokb2TLQ94HNEgkLhCCFuRV++Azeb9E0WLl&#10;SpdpUKeuo539koWLXmY9U7yf/8HMPnr0aNGiRfA+04reb9269fDhw7dv346FY0J5aEgKQPH+D4Yc&#10;vH/r1q20tLSgIcMaN2hY5PeCZoWLwv5yqwfel0c54f2yJUt169xldMLIPXv2ECKwhKQRyFQy3wJa&#10;kFeBskTBgwcPOAUl8sDov8z7jADUX75M2c7tO8yYMu3po8fqPk8+BxaSlZWFJaekpLRt27ao/qRW&#10;p06dxo4du2/fPvkFTZPZK+QJFO//YGANCFgGAB6cPn26k4NDw3r1tbv5hdH4RXAA2rvYtPc0aD9E&#10;LpvtWrUeGjh4U8Ym6Dh7C6wo+JRMjvbfvHylPQbDR3vPgfZ5//rN6+cvX2Q9k8/zJ0+fPHj48O79&#10;+7fvXL2Uefr4ycP7Dxzat5/0+JGj506fuZZ5+d6tO4/u3c969OTls+c0+PbVaz7v+GiP1b/9Q/vx&#10;dG2TjPFcb9+9efHxb/DgfdzJ5cuXk5OTIQWowazYnxhfPtpX2fqXHHVq1ExMGHlXnuJX3+vmYzDd&#10;2GRmZubMmTPR+4UKFYL6+/TpM2PGjOPHjz9+/JgKivfzFor3fzBg/Ror66zNYrh48SKyqF/vPrWq&#10;Vdf/QBfu057fR/NqN/f1VzWQ0f9et5W/t+/6detQ4hxuaopGyOtNaqAQCN1rSpnlRkjw5t3jBw8z&#10;z188ceTonp271q9ZuzAlddL4CXHRMWHBIcMGDwn0D/D19PJ0c+fj7e7h4+nl7+0zKGBg6LCg+JhY&#10;as6fl7xu9Zo9O3aePnHy5rXrtPZKe9LmnfawjfbCZP0dauJg2JROZPvCALD56NGjY8eOjR8/vlWr&#10;Vtq3f0Xxan8ifT5EOZrDK1qMARkeE3v54iVcDs7G2IpCvgQ2ef78+WnTpqH34f1ixYpZWVnh4M+c&#10;OSPhKVaa3RgUvhGK938wmIQPKfnTp09HRES0admqYtny6HpYXv5yVb/hU7hYocI4gBLFzOD9RvUa&#10;aO/nWboUAWVqwbSipDVARiuHkF+/ef4068Gdu7eu34A9D+zZu3rlqpnTpieOHDVs0BBHe0PHdu3r&#10;1qpduXzFCmXKVShTVvuULUc3KpUrX7l8hUrlKpCvUqFi/Tp1O7XvYG9jGxgwYHhs3JwZM1evWLV9&#10;89aTR4/T8qN7D7IePyGMkJ9UFNX/f934M+/fu3dv+/bt8n4eeL+I5tVy8r72Kaqxf/UqVSPDwk8e&#10;Pfb4vuZjjK0o5EtkZWWdPHlywoQJrVu3hvfNzMxsbW0XLVqErGEXU49JKN7PQyje/8EgnCgZgP71&#10;9fWtVb2GvJkSvjMvpr2vplihInqqvaJHvuatVL5Cy6bNCaVv3br1Wn8HJ4cL44M3OqSEDPrr4b37&#10;58+c3ZqxKXn2HDS7v4+vk8HB2rJ/z27d27Zs3bBuvcoVKtIsJy3yeyFOxKnZxM3AvPRB/npAvmzA&#10;AcD+rZo179qxk1VfSwc7ey93j+iIyFnTZ2zemHH04OFb1268yHqm3YUXyZ9rgUs/b9++vXr16oED&#10;BzZu3Lh48eIFC+Ln/sz4cp9H+0K7SPXKVUODgg/u3ffg7r236ndX8jGYXCK5Q4cOJSYmtmjRQnjf&#10;2toajXL58mX0vpio4v08hOL9HwxQs6yBV69ekT98+LCjo2O50mXMtJfsF9Qe5tEe29eID8L9cKtH&#10;e0cbjIw2HzlyJAF1dg0l0FeWVvLs2bMbN26cOX16x5atC+enxkZG2Vj2r1e7TtlSpcuULIWo1zIW&#10;pciXNrfQTgHjG/9KQFPZnJE4g9OR57zsle+WqVy+dBkOL1+mbGmLkniCFk2b2fS3iggJnTJh4vrV&#10;a44fPnr9ylXj/Z8/r3A25aphgTlz5tjb29erV69kyZKf5H39vdPVKlUhLtmxZdu9W7e1m0gK+RXM&#10;L5Hc7t274+PjmzZtCu/j1G1sbNLS0jBF4X1jVYU8guL9Hwwm3keSC++zQixKmAvhanRvJFzth6hM&#10;tCsOoJS5xbBhwxBWDx484Fh0vTAsKREAjH/37t3jx4+vXLly4oSJA3z94OUObdrWqVmrlN4+HoVU&#10;P0WxksXNS5WwMDfTXvZJOafQeB9/QwWddqU+wh8HwIcM/aE+NeknNSuUKVevVp1WzVv06tbdy809&#10;Nio6ec7cPTt2Xbt85fnz5+LV5JLpnvikEydOxMbGtmrVqkKFCn/D+78XrFKx0kC/gPVr1l7LvKKe&#10;48zPYHKJ5OQN240aNRLed3V13bp1K3EAdi68r9g/D6F4/weDkD4pNA0VHjlyxMrKSnsVj35zw3Rj&#10;B+4rCScjvQsW1vgXzi1WHJ3u5+eHsLpz545+X8f4EOfLly+fPHly69YtSJ/gOjg4uF+/fjWqVoOj&#10;ta+Ide7Wb+ZonM4pNE7X7x1pm4WL6OxvxnmF4kX4Q8H6SbU6mvz/4JbYq9XXgxLa1O5NFS5KvNK4&#10;QUMng8O0yVP27tqN+8m+4AGXTG/37t1L/yH9YsWKmZubf5T3+ei9LUhw4+PhtXzJ0vNnzr568ULa&#10;UciHYJZv3ry5adOm8PDwhg0bMq0lSpQICAg4ePCg/DmI2LzcnFTIEyje//Egy4AMSwLxbjAYSpmX&#10;zMF9fDSG1RV39o+9vf38+fPlVg+NABpB/hM3zJw509/fv0ePHo0bN66hvdczZ4PyKVpQI2vtlZ/a&#10;KTRaF3WPk6AEr6D/AJb2QBEfGJ+9EnNA/Xw0h/Ehz6dQgd9xGGVLlq5asVKjeg16de/h6eY+fPhw&#10;KJ7Yn75JWINbun79+rp16/r06SPv7SpQoAAZU69MH+kPZ6xUrryrk/Pi1AWXzl/QvjRWyK9glm/c&#10;uJGRkYHex/ZE78P72KSxhu74gXFD4ZuheP/Hw7fwfseOHZHz27Ztu3//PgLq+fPn+AAC6unTp3t6&#10;ejZv3rxcuXJFixbV3m6fq0HtNk4hna91Oc9Ho/siRUsWN9fu4Xz4OV+N1rUK2te8FJLqPkALQSRW&#10;EManAsJfb0E7CldBQEBEUrNa9V69eo0ePXrt2rUXL16UXwfDSx09enT27NkdOnRA6ZuZmdHDEtBD&#10;tu7JR7/Po4UdlStUdHdxXbJw0aVz59+9Vvd58jWuXbu2Zs2aoKCgBg0aoPexwMDAQGbcuFvxfl5D&#10;8f6Ph2/h/cqVK7dp0wZpf+nSpUePHrHelixZMnjwYHR0rVq1oNQiOlh4OVrjo92Z0V8FoRO6dqde&#10;+F2jez3DpvbRvwPQeVx7zgdm1z7GG1BaTdNRZLRYAV/CCQtqv5pChTIlSyHk27Zt6+HhsWjRonPn&#10;zkH6V69eXb58OR6rfv36kD5AFRb9xPt5xPFUqViJ0GHZosUXz557o57fz9/AGhcsWODr61u3bl15&#10;P09ISMjJkyeNuxXv5zUU7/94+Bbeh9DLlCkTERFx4MABguvTp0+jrLt37y6kz3oDxXTkaI2P6GjR&#10;72hz4+ObuvwvW7JU9cpV6taqzad2jZpVK1UubVFSo/XftVsuZITudX+gbdITSgoX0H4SnYx8E2Bq&#10;v3ChQnQGChg+fDii78GDB6QJCQm9e/cmHJHucSEaQeTupH4iTlq5fAUvdw/j/f3n6v5+/gXGjB0S&#10;cTo7O2OHFhYWqJOYmJgzZ84Yayjez2so3v/x8C28D1eWLl3a3d198eLFLLZTp05NmjSpZ8+e1apV&#10;g0xLlNDunRBoFyhQIEdrfETFazfo8R/6jXs0u0XxEij0+rXrdO7Q0dqyv721rZ2Vdce27WH/sqVK&#10;y0kt9C9yIXfhevk7Ay2vfxOgOY8PXoE2NVehxxzVq1cfMWIEjH/lypUNGza4ublBCvQQsc9eLZV7&#10;RH/+6Pd5itAIvO/r5Z22YuWlc+cV7+dnYM/Hjx+fOHGira0tk16+fPkmTZqMGjXq4sWL7BXGF0h9&#10;hW+H4v0fD9/C+4UKFapYsWLbtm2HDh26efNmqH/16tU+Pj4NGzbUyVa7w0Oqyf5cDUKppc0t6tas&#10;1bZl6y4dOvXs2q1/33521jYujk6DBwwcERs3KWn81ImTpkyYGBcdE+Dr5+LghA+wsezfu0fPju3a&#10;82nWqHHFsuWF5fEZxQoXKVzgdz6wP24AF1LK3KK0eUmcE4oPdT9//nwucPv27ePGjevatSueCbqH&#10;+rkKucufo4d8JGigwWqVKgcGDNiwdv31y1ffqvv7+RgYM/pj8uTJVlZWVapUqVSpUqdOncaPH3/5&#10;8mWd7TVQDbOX+grfDsX7+RhY+/993usfLa/xvv4R3re3tzfxvpFSP5Ag1J/j85///d8KOrp07jx3&#10;zpxjR48e2L9/5oyZ/fr1K12qNHz6e4HfSeVRGWkKqW5hVsLcrES5UmXatGzl4ugcHxM7Y+q0RakL&#10;1qxK27Jp8/49e48fOXLhzNnLFzMzL15CX589dfrY4SP7du/ZuW3bloxNK5cvnzNz1oi4eG8Pz3at&#10;2lSuUAF+L1mihP5Ev/ZtcDFNpOMJtM7zKVWyJCwfHx+/f/9+9P7iRYsHDhzYrFmz3wsUgOstLCx+&#10;//13eB+YrtT0oR35DrlmtepBg4du37L17q072qvZPtDHR2HcrcNYpPBvgTE/f/78lClTLC0tESW4&#10;/O7duyP/r169yi6sXRhfUoU8geL9/AuNrbQ3l2lvyyHV/uhUfiKc5M3b1y9evnvz9vTxE8jtSuXK&#10;o8QhaI039Wcl5Se3cn+Q2OZmxSHcerVqI9I3rlt/8ey5w/sPRoSEtmzWHDFeuEDBgv8pgOhGXCP8&#10;4daaNWsSH7AUra2tw8LCZsyYkZGRcezYMeTYgwcPXr78yKtvZK2CV69eybfHZ8+e3bFjx4IFC2Ji&#10;Ytzd3fv27duqVasaNWqULl1a7tTL6ciXK1euZdPmIUODNq5PP3385K5t2+OjY1s3b1m+TNkyFqXk&#10;J2W0LxWyPVaU/VOsEDFEQdJa1WpEh0eeOnbi+ZOnb7U3UBhf8CJUQiqbAuktdUiNRQr/FpAvJ06c&#10;iIyMbNOmDWIf3he9L7yvJuWfgOL9/At46N3rN5A7LP+B9//vpZVvXr56/fLVqeMnoO/a1WuULVka&#10;ToQKTd+1ago6Fy3ywSuYFzOrVqlyv159xiWOQY9fv3w1bcXKYYOGdGzbvlzpMrRQolhxlDWqv3bt&#10;2n369GFNLl68eOvWrYQXQvfPnj178eIFK9bY1z9DZ1Ejt1KHmln/f3vv4VZFsrXx/g/3fmeUHPbe&#10;ZJAgOYiKgBERBRVzzmPOEXMOY1bELCqCAbOiqCgSBZUggkjOOQfnvlWr2YdRPMe0mbnf1y/99FO7&#10;6a6uqq76rVXV3dU1NeXl5QUFBWlpaVFRUUFBQWvXrvXx8SH041xAP7gP6Ds7O8+cNv3KxcvvkpJj&#10;IqNO+p+YMnGSmbGJnlSmoy1hzxGxXLDbA+0zJV/YOA/PPspk47r1r+NfVZaVt6AY2wbHECCUQJRa&#10;CP+iLbSPqM4Uiv358+cTJ040NDSEn2Fqaurh4QH3H+4CLofIfUVI5P4/WGAQUZ6mKsPS5vU31NTm&#10;Z+e8S065GhQ8efwEQBy+ML9xyhxetjCPuAMygvjAOtYGOrrW3S0njZ/gf+RoYlx8Qlz8tSvBSxYu&#10;gmdtbGAo02ZuPtyuuXPn7t+///bt2ykpKSUlJe1fmm/i6rBNorkSQPFfubAFa5gB2AwYjwcPHhw9&#10;enTevHmwK/b29jo6Onp6em5ubrNnz/Y/evx1fML71HcXzp6bPX1mrx7OQDm9IoA+TduYFQIdj+8j&#10;g+y9Lf48T0jQFURVlF8Aw4POB6XqS/H0Cv0AYZOoTtSjR48GDx6srKyMbp+tre24cePOnj2bl5eH&#10;y0EdNZKwt6iflsj9f67g4zN/v6mZOfsgP7z/uvrG2rqayurM9Aw+U+bZFUuXuTj30pXKwET+HD0W&#10;dssUfOzQIwYrVboq4b8gO9bOjk7oLgRfCkpKfIOuAzg7b/YcN5c+5t1MR48evXXr1nv37sFDLyoq&#10;qqqqog+2CGnjDZLaJG35UsAoDANoC5GFwBqRQHV1deg0oCMfFhYG+k+ePNnR0bFnz54wM6dOnUqI&#10;jQP079++u3DefEDfSE+fTTnHfXxGfOEeNXtG6LPcYQH32ZOj3E6493FdMHceDFvE06fp6enIBb39&#10;C9tDYixplyMS/RTVmXr8+PHQoUNV+Ju6Li4uixcvDg4OLiwsxOWQewzipfmFErn/zxXjPv8cFeN+&#10;66eWxqby4tJ3ScnhYY/Onjq9YZ3fzKnTBvbt183IWA47gE8gI/f9O1jgDXdVwprP3qNipG/g5TEY&#10;6L8echXcj4uKCb50eRt7Gmeev7//kydPaNJmhkMuIWVcX26Ri/6Ftkq2gRotqX0YqqysfPPmTUBA&#10;wPLly/38/IKCghITE4vy8p8/ebZlw0bkzlBXj8asWA+mHfcR+Eu+2hbsCZMg1dTGDiiZno5O48eM&#10;3bR+A6xLaGhoQkIC0R+nRkrkiRHSLervEC4H/P0RI0aoq6uD+66urmvWrLlz505xcTFdJuyDWiRe&#10;pl8okfv/YMHHB5ea2Sh/bVX1x/QPkc8iThw7Di94mOcQJ3sHC1MzAx09OLZgIhZyhzn++IMxHY3z&#10;AJqwENgZAUJkN0NjZwcnuPlBgRdfxcSmvEmKi46JfPYcDjIaHnxzNDm4xqC/3EGGWOraXH5KbHvJ&#10;kYow310Q/ZeEnzgWu8H3x7mio6Pj4uLQt8jIyIiJfLl7+86hgz0tzSyQZpUuXXW0pdyqtb0qzIaz&#10;+AsEX2QQC0EfeTTUZbNGI4M9HB1BkylTpuzevRtAwVmqq6sp8ZRUIU2i/g6hAjx8+HDYsGF0e79P&#10;nz6rV6+GJUCPkKoNRM6HcICon5bI/X+KUK0BIKrcFGAfvWpsqquugf/7Kjbu0vlAeOLTJk1xd+lj&#10;YmDEXGA+W86/nd826LMBbj7XsRyF8gU74xBuJNj+CGBPIz2Dvq5uq5evhNefGP/qY8aHorwCIj5L&#10;BhfHIxPhsv1GSv/XRLvBZmCNMG2RC9sRWyN/7Ke8vDwzMzM8PHz/nr2jR/oC+gY6ukitShclXYmM&#10;soOc0rA+rBd/6v/zDNLCXv5SVtWX6SKPXf/1m4aauq6urpOTk6+v76pVq06fPv3s2bPs7GwQhxJA&#10;SaUUysXy1pZmUb9EVLDthcKvqamBMfb09FThX9YF9+HvP336tKSkRH5FyOcQYhH10xK5/48Q1Wwa&#10;BMdPBCC42XDzsz5kPn0UvnvHTt/hI5wdnbqbmRvrG+jL+BONDPRs1Psz6n3vgs6BnkwH5mTJwkUX&#10;z19IeZuE89JgCJolSwkHPTVCrPGT0vldwrEkeQwIg/hYI+9FRUXw9MPCwrZu3eoxYKC9jS2ShLTB&#10;ULXl9McXTXUNqVRqYGBgYmJia2s7fPjwdevWhYSEJCcnl5aWkoVDCskGYA1RqpC8H8ipqK+JKhIk&#10;D6Ca5eXlXbp0adCgQXD24fL37t17x44dkZGRBQUFVElIQhSifoVE7v8jhPoNylAtx0+0CrSHspKS&#10;hLj4UycCli5c7OM1zKa7FRuc4bPZgIPwf9nQR5v/+zMLfGc1ZRUDXT13F9e5s+ecCThFk+CD+EgS&#10;uw/b0EBpk6eQxJrjdzZI7I9I5PEQYWtra9++fYvGv2zZMvh9pkbGOhIp+iLII6AP9KNn81mav2uB&#10;vy+XRCLp3r17//79Z8yYcfDgwefPn+fn58Pxp1RB3OayedyQMFwIbPnePIr6mjrkflZW1vnz53FF&#10;wH0tLS0YAH9//4SEBPj7tI94CX65RO7/I0T1GwE4mGQA4Ow8CX+ya/uO4UOHWVtYmhmbgMugPADN&#10;hjjYt3P5bMb8PudnmPvehY2isPsBanpSmYON3cSx47Zt2gIgfvz4EUQmDiJVWCN51GI/S/YPCHmk&#10;zKJ5v379+uLFi7NmzbK2tkbjl2kxB5/dxdXQZGE+q89naf6+RYPN7oCY1dRgBNg3W/T09IyMjAYM&#10;GLB9+/aIiIjc3FxCP7KDNfJIiaQMQvRT1E/qM+6jqFHsqGbgPq4FLg26Zd7e3vAA0tLSqqqqcAj2&#10;gbAzxSDql0jk/j9C1AbAwerq6pqaGnigt27d8lvnN2KYt6WZORvB589lqrNPVrEJLGlsB2RsC7Of&#10;P7yoKfG50phzraUn03Gys4exWbBgweHDh9HdBpcJ/RBrslxIrRyOX0rY6a9C7uQjKvgJi1JYWBgX&#10;FxcYGOjn5zd58mRnZ2cQGY0fzj71aXhvBilkGf8szd+1aKqz+TtVuBA/wkpKbDoKExOToUOHbt68&#10;+caNG0lJSWVlZdT/ILXPC4VF/aSI4BAFsEY1yM7OhtWncR6YZx8fnytXrqATgIZAh9DOFIOoXyKR&#10;+/8IoWaTQw33B57+/fv3lyxZ0sfFxdjAEAQE9LFw6AsfrcVGeo8JUIMl6PAW7rcv4D46EFItbZm2&#10;hPUh1NiHD42NjQcPHrxt27ZHjx7Rsz3wv5BCaoRYU1jIwF+F7V8KGST0o2tfXl7+/v17GJW9e/dO&#10;nDjRyckJCAb0wWLmkvNb02pKbEZ+JIw5/j83vo8IES0E4rMp5/hc05pccDBhb+bOnQuXMzk5uaKi&#10;gswbEvwfDJuoHxMKloTixRolDLijdp07dw7cp6sDfz8kJATchw9EO0M4FodQJKJ+XiL3/ylCG0BF&#10;h+9z+/bthQsX9u7dW09XT+m3LlgAYuCejexzA0AcBPoZ99XZC7o/yX341zRehDhBW+XfujDgqqub&#10;mpoOGTJk3rx5oP+FCxeePHmSkpJSVFREoz3g+NeaIrZ/KfAUDjVw/+LFi+Dg4D179ixevHjYsGGA&#10;vq6uLqCsytW1a1c1ZRUawkJONdoeUf0szd+1IB6iPATiQ0R/mnFaJpMB/TNmzDh+/Hj724nIIxFH&#10;1K8VSpWqBNX5V69eoWfp5uaGqw9/39fXF53dzMxM+tSacAx/2EEIifppidzvbLFKj9oMnrDlEy2f&#10;WlprqmvS097fuX175fIVjg4OMjbWweZUoDmKAS+E+e1NejBf+F4V+MhHfjTY+6t8YIQWutmLPbHg&#10;KHZLgH9jvUMLgZ1xFjaWwsdVyKhoIqCpZaCvb9Xd0q1Pn8mTJm1Yv/7CufOPHz1KSUrO/phVkJdf&#10;VlJaWVEBlw2tF70BAiWsAnottAVrdBTy8/PhvqWmpLyMjAwOurJz+46ZM2b0c+9r2q2bvp6erkxH&#10;C70ZNTWsJdoSrDX5ewbof7Q9qs8/4CVkn6e5zf3HDu0WmsWBDYixkuEL9kF2EGB9CPzBuiirYMFP&#10;nEhLUxN5lEqkSAbKfLTvqAP79wP9IA6x6T/YNlE/IJQqSV626GDBD9i5c6eLiwtsP/p848ePf/z4&#10;MdyL2tra9qYX+1NA1M9L5H5ni1X6Zsb91hbU/Rb+ZlZrfU1t5vuM68FXVy5d1s/VTVci5SPaHTu5&#10;hDYKgHdS/mouQxu/38v4KLzayiBIHCdQMhR+R8+AfS0LC05hZtytp6PTwL79x40aM2/2735r1u7Z&#10;ueuUf8DNa9efhocnJCQkJia+efMGlEdDlc+/Fh8f//Lly6tXr546dWrfvn1rVq5exCblnzzUcwhi&#10;MzUykYHyX8njlwt5/Sy/WtpYgHhs5GRnizyAhboIrBBUWT9JPiD22cKKgn2iQAsBLEb6Bj3sHSZO&#10;mPDHH3/ExcXBmCEvIvd/rTjzhUEb+AcIwy2IiIjYvHkzuI/eGPz9qVOnRkdHU8lDtL+oXyuR+50u&#10;1GNU5pbWloZGNvdOK5tkLfdj1t2btxfPX+hk5wDotyHsc1RhIUgxzAk0Zy6//CeN1bCReq02pDLu&#10;M0eYecRfm7yhowWHIFoCKP3E4TraEvCxu5m5s6PT8KHeC+fO27xx48GDB48fP37x4sX09HT4aDk5&#10;Oei5A/f79+9He547d+7YsWMHDhzY3cwCxxro6rGZNSVSekCz/Rn/8wKrRoM/SAkWnnGhlJht4xlk&#10;JqHt7WW20Ffg+dI+KlrYf9XYc6J0CGLQ19G1t7MbN24csgMzBvQDOiJ6fqGoPBHAmu4PsefWnjzZ&#10;uHEjuK/BH7WaPXt2SkoKjC6VvFj4ipDI/U4XqjGfZO0TTbjW+ik/O/fxw7A1K1e59nIBvAAgYZ61&#10;jtHPYceJD3KpdlVW+q0LGxDng/7ERHLwyd/ne7KducH4njsBQiRswVE4haqSsiqf2weWyVjf0Nqi&#10;u4tzz/59+w4aNMjDw2PGjBlhYWElJSVotFeuXFmwYAG2u7m5OTs729nZGRsbw7tvc71ZSvjQk8q3&#10;p4d9mUv4LiPlguUIvG4jO88gLxlCOTsRu/nBRrf+PUDUbhG4T6ZCRRWRo3OjpallbW09ffp0mLGM&#10;jIz6+nrCk3DtRP205Nwnjz4vL+/Bgwfr1q3r1auXOn+7Ao7Chw8faIRHhL6CJHK/s8XqclMLTa0M&#10;Z7+6ovL502e7tu1w7dVbVyJT/q0LWAYq0XB8e07RAlwCwcw/5aPw3LXXRgALfHz8RID56SqqwBlQ&#10;yxYtWtie385ZwX6QQ82eowe1tREttgCpRFW2gwa7U/rbb78BlxcuXCgqKkpISEAPwNPTkx6Zh9Ce&#10;u3btqsIeFWWMpjiFw/960v+wsKxp8Ic7BRvGFjKTlE7EzCjPF7KCSGTbvzrONR2L/wpHIaCqJpVK&#10;waDly5ffvn07NzcX3Bfp8wsFoGNN3IeysrJCQ0OXLVvm6OiIeiKTyebPn4+OY/syZ02mraMg6pdI&#10;5H5nCzW4pbEJ3G9taa2pqEyMe3Vg7x9jRo4yMzYBuVS6dFWD48k/Wc4w9yWq+JA9IxQ3DGQAyO0F&#10;5vjgiTBtGduB3Qtl+9CCo75GwC+XNn+ZjZYw3HMzwx705G9RqQgfxWWPSCorK//P//yPlZVVYGAg&#10;/H1wf//+/QMHDlRVVRWey+ToZ854u4V+fnt6wGiskQueKZYXZgM41oW1cJNDTZmXITcwbAsxnSJp&#10;v6AkkSMcS8XC7YQWuA/p6ekNGDBg48aN4eHhxcXFhCpRv0RgPdasFfApQODao9rMnj3bxsYGzr6Z&#10;mRlswPv377ED7c+Qz6Evcv8XSuR+Z4tVYj6sX1dd8z4l9dL5wCkTJtp0tzLQ0WXOKccrKMYx1MHw&#10;N3m1wB84aKCrZ2lm7mRn72Bjh6WnUw/XXi7uLq5uLn0QQAeid4+ezg6ODja2VhbdzbuZmhqZfBbb&#10;1xZCISEV6MRJGW1V1cB94JKZED5dBBtR0ZYYGRlZWloOGzYMDnJlZeXbt29Pnjw5ZswYAwMDHR0d&#10;eP1aWlpY8/1Zv4RlkxNfwPcXZ+9w4YM8qjhWX6ZjZtzNzsrayd6hh70jMtirh3Ofnr2Q635u7n37&#10;uOFnL6cePRwc7axssCefsrTjr07yDgG/+cFfkmBGgj3iz4RMeXt7w4DFxMTU1dUJF0/UT0vOfXAc&#10;3AfiAwICJk6caGFhQV9bg7mFMcAOtL8c+qL1/YUSua9YoWajvqLWIowazGozFv4kT0FO7vWQq6uW&#10;LXfr7UL0YR4oMYgeRiTEc/eW/FlQGGH0BoA/9A/6ubrDZixfvNRvzdpNfut379h5/MjRk/4n/I8c&#10;PXb4yI4t27Zv3rpxnd/i+QumT546asTIwQMGgYN6Uh0eP3Ud2CLTkn+/kHvB/LFIwJ24TzsTponX&#10;ODtDpLKKrkRqaW7Rr1+/SZMmbdu2jR6DycjIuHnz5vLly3v37g33TSqVwt9nXj+3FnQWZI3sinws&#10;iwIANPbBnqyzwigv9GBwapxUR1uKXAP0Xh6e0ydPWbZoySa/DcgmMo78njoRgIwfPXho59btG9et&#10;X7ls+dxZs0cNHwkTaG1hqc/NKuUORcqG8rmJpUJm2eT9G03eNYGQbHigNNCfl5fXwD8jLGcQu46i&#10;fkgoPbQIKknYgPT09GPHjo0dOxZVxcTExN3dfefOnfRlXdofARL2py2ifl4i9xUr4r5Qc9vU0thc&#10;X13z+lXCts1bhg72tDK3ANeY7wmXk2GI8ZEjEoRlBgAEBJsMdfXsbWzhxfd37ztsiBfAt37tuhNH&#10;j127Enz/zt2H9+5HPHn6Oj4h+fVb+m4iNobdu3//9p3gy0GnA07u271n9fKV0yZNGTHMu5+rm7Oj&#10;EzoZ3QyNYAbYzVJQnvc26LwszHH82ULE5/Rnk/nAsx47esyaNWvg4D9+/DgnJ6exsbG0tDQhIeHc&#10;uXMrV66cMGEC0V8mk2lpyMfTWR6ZFeGxAb6Imd0x5k/XwKpJ0T1QhyVQQa6RPOvulr2de7r3cfUa&#10;7Ak7t2zxkl3btp8/febuzVuP7j948fQZlqTE1+g8vY5/hRKIjHj++EHYndBbVy5ePnzg4LpVa36f&#10;OWuEtw9y7eLc08HWzljfAPEz6yKYVWZZKaAOq6qsTC8Q6erq9u3bd9OmTbGxsTTaI2cWJFxgUd8v&#10;NAqsUYYoT3D/6NGj6B2ikkADBgzYvXs3fVmXdhalCIncV6w4IphQxSEK1VZVZ2d+vHntxqRxE9gX&#10;w9mEw+xmKfeCuU/NfV7mWXP3HxtlWtq9nHqA9Vs3bvI/cux6cEhEOCj/Kv1dWl5WTllRSXFBYUlB&#10;IQIFOXmZ79M/vE9PeZuU8e49TpT1IfNjekZqUnJ05Munjx7fuh4acMzfb/XaCWPGgoMmBoZwfnEu&#10;OMIcysyvZ1D+AvrMQ+cuM9KjI5ECo0sWLDp+9OjTp0/h45eUlFRXVyOPaNUVFRXov8fExISGhq5e&#10;vdrLywu9eBl/dpOAi/gRCXIn5bemkV/YNiQAO6gqKWNNA0rYaGpkPNLbBx2aP/bsDTx3/vHDsNio&#10;6OQ3bz9mfMjPyU158/ZdUvKbV4mAPrKcnvquKK+grLikpKAIgbysbJRPQmz8s8fh166EHD10eMNa&#10;v6kTJ/V0dMK5VLoqIUfsxri2BPmCmVHpoiS8NKyqCpcfa3Nzc7iiZ86cSUpKqqurIyuOy4oAriRd&#10;YlHfKzn3UZipqan79u3z8fExNTVFJfH09MTPrKwssXgVKpH7ihXnPHMSCfpsS+unipJSkAjOfu8e&#10;PdlXD/noCvmbwBB/iJO5wOQLm5l0A/GHD/VesXTZqRMBAN+7pJSK0rI/m/k31rFG95c/GFpfXVuQ&#10;mwcs3rh6LfDs+eBLl++E3nz84OGTsMeRzyLeJiSC/mBlUV4+aBge9ujE0ePLFy8ZPdK3n6u7TXdL&#10;HTY5DzM/YDF36jvgPraDkjraUnjNSxctvhFyLen1G1CevGCav4Fyyp7V4LPqA/3r1q3z8PAw0NVj&#10;doX6MfyJIArzhY3w6MIwaDF/H7iHNXK0s+/v1nfy+Il7d+2+d+tOXHQM7BnSD76/SUiMev7iSdgj&#10;9GmQx6DAiyGXg25ev4EeD1hfV12DHtWfzS3sSdnm1lb0rmpqS4uKUW4oPdi8hXPnDezXn98AsG77&#10;jiP6W2x0S8LvRpDAfR0dnZ49e86ePfvWrVs0PRFxv6Hdp4ZFfbtQaBBxH0INSUxMhGfg6uqqp6dn&#10;ZWU1fPjww4cP5+bmisWrUIncV6xQfVG5UdFBQ/rZ0tySk/nx+OEj48eMNe9myr5yzp9opBunQCrA&#10;io2wAfoyHXtrm1HDR25ev/FqUDCAnpH2HuCrKq9o5Q/+s5cAeIC9/dvYXF5c+io2zv/osRlTpnoM&#10;GNjfzX3IIA8fr6FDPYeM9B6+bNHiE0ePPbhzN+VNEnoGxfkFMANxUdH3bt/ZuW07EmNpbsGf9WRP&#10;2aspdTDvMeO+qrquRGZvbQuv+fyZs7AfdTXCy/TIZnvu0xpb4Pjfvn175cqVdjY2wDr1GBAAZNm4&#10;Ch9jwUaclA378HsAJgZGA9z7Ll24KOC4/6P7D9FxQScmJzML2X/6KPzEseNw/2dNmzHC28fba6iX&#10;x2D0PAYPGDRu1JiNfuvD7j+Av0/cZ89NgR781ejm+obaympkHGYj+kXk1SvBu7fvmDJhoqOtHYod&#10;xgYmliVPk03ZBtFMPtra2kZGRs7Ozrt374YTWl9fj2ziOmKN3PErLOo7JK8q9BPtIjo6evr06ehX&#10;oYNlbW09bty4kydP0hfVaR9RipDIfcUK1ReVW859cBDecdTzyEXz5vd07AGyg3ogDh9gYXc+gT+g&#10;UOlfXboZGnv0HzB7xsyD+/6ICH9SmJvXUFvf0tTc1NAInKHT8CdaUDN4JrwK0FTfUFxQiG4EmNjT&#10;qQeQigiZK81vBQO1Dja240ePObhvf0T405LCInAQhzfW1cMAREY89z9ydPb0GYP6DXC0tTfQ0eWj&#10;7Z9zH7Ehhfoy3eFDhx3afyAm8mVlWTnravAOOxGfsoyAvIVXV1eDmJcvXx7hM9zaojsNanFTx7s4&#10;fGiLLB8C6BP0sHecNH7ChrV+6Eykp76rrqhqbmxqaWiqqaxOjH/FPsE4YqSLcy+LbmYwQrBPiAGp&#10;hRUxNTIZ6TMcXaLCvHzGfZRNQyPjPisr3jdCApuamxvYpyvzs3NfRjw/5R+waP4C2Bgr8+5w/NEF&#10;UUNs7R4/Jfrr6+vPnDnz/v37OTk5QD+/sKJ+RGQv5VYTzSEiImLkyJHoV6HMHRwcZsyYERgYWFpa&#10;SjuIUpBE7itW7SGIQGVl5cePH4MvXR4+1LubkTFAo6qkDOQhwJxfZRVt/m0pwBFs3bl1260boWwg&#10;pbQMtJK/7cVZBt+Jzfcg3wJjUFpYDO6vXbnKyd5BpYuSVFMbJkSdz/MDyILm6D0sX7IUPIXv3FBb&#10;x/sKf9ZX11SWV6SnpsHx37dr95QJk5zs7HWlsi+gzxZA1kBH7/eZs+FWZ2d+rK+pZWdvE/JI9EfD&#10;lmcZNq+2tvb58+dLFy2GXTE1NkE2QWo57snZRy/HSE8fCF62aMmd0Ftx0TEFMHV19UKHpqUVhg3O&#10;/u+zZnc3M4d50GfGSRmdAx1t9rYaYkBUvXo479iyNTcrmxG/9c/GugYc+KmFPTjLuI+kcjPJ5sao&#10;qy8rKs58n/4s/MmRAwenTprs7OCIOIF5EJ/G9+kJVGVlZV1d3cGDB+/bty8mJoambBMyLOo7RcSn&#10;uoGf4H54eLiPj49UKkWx9+rVa968eVeuXKEvqtMhohQhkfuKFaov6jrwR+GioqInT57s2rZjUL/+&#10;uhIp+fjk9oL4ACuIb2dlPWak7x+79zwNf5KTnVNVWdkKeEGIhYtA/5eFD/jAc3/84OHaVasd7ewR&#10;M7oRMCHk7DP0a2ga6ulPmzrtStCVdymp9fyT4oithTfFxoaGvNzcyBeRJ08EzJg+HS3QQF9fWUlZ&#10;VUVVoqVNc1hKJRItTS1dHZ0lixdnpKcjYYikBSRtE6WR1tTCITTyhoaG5OTkA/sPjB0zxszUVFNd&#10;g5xqdTU1TQ1NmvXTwd5+5IgRW7dsuXXrVmlJSW1NbXMT9wr5wkhd3/A84vko31FAsxbccHU2uSZs&#10;BkwmGTb4/rAcG9f55WR+pG4Q1q2NzeA+ejY8Hu778xJjCWtuRq5xrvjYuDOnTy+YN7+vu3s3ExNN&#10;NQ2l336DyZRqS1CGCBgbGFl1t5wwdvzV4OCi/AI2fNTCIxT1nYITgJIH7tklbW2tqal5+PAhuM9G&#10;1jQ0UOuWLl0aEhJSwr+wKBwjSgESua9YofoSAVHLITj7586emzJxkq2lNYACOrNn5/m8YGrKKjoS&#10;aQ8Hx1nTZpw6ERAfE1tUUIiGIR8jkkdCMf9F3CnOy865e/PWymXL4dfDEYb/y7jP3Gr2BA4Qaair&#10;N2XKFLSrlJQUsJi4Tw0Mgfr6+sLCwsTExPPnz69YsaJnz57ofcPt1dTUhM8LUeM0MDBYs2YNWiZa&#10;L2WNktBe8lxTAMrKysJ558+fb2FhQYMnFLOSkhLCtra2EydOPHjw4IsXL5AGilnuFVKE2BgdHe3r&#10;6wvHEAfCcCDAjCXLJnvSH+WpK5Ft8luf8zGL8Z0jHtzn4Q4KjZclEwo5LS0tKCho0aJF/fr2RT8M&#10;JoRxn79MgK4JK0A1dZeevQ7vP5iWnIoekmBIRH2niPv0MgRKvqKi4t69e97e3nRNe/fujaoVGhoq&#10;+vuKlsh9xQqVGzUYa9R16PXr15s2bXLt5WKgowvQc3eVQR9YMdY37NvHddG8+ZfOB6a+TaqpqGpp&#10;+nzCcUTVcXvAtpbWjxkfrgWHLJ6/0Lq7JY2hfyP3ybSAswhUVVWlpqbeuXNn4cKFgwYNMjQ0BGEJ&#10;sioqKqC/iYnJxo0by8vLic5CAr4QUZviROTo6KBHj1YN7iMSREjch2mxt7dHqo4fPx4XF0ePBlGq&#10;hIjahO3x8fGjR4+GndDS0qIheJQe8qXOp6UDoEHq9WvXfS/3cS5k5P3790D/kkWLBvbrj44Rf+KI&#10;PdekpqSi2lX5X//P/2tu0m3NipURT56WFBTyOwcimL5b8tKmdXFx8Y0bN7y8vJgJ19Z2d3ffsmVL&#10;WFgYzYQqHCNKARK5r1iRg4PqXltbC6g9efJk5syZRnoGAAq8VDYqzT1WPZmOm0uf5UuWXr0S/C4p&#10;uaq8oqmuoblReNwNMfyXZsC5n/k+PeRy0IK586wtuiPOH+A+rZFOQBBu1/r1611dXdEgwWjQFqjF&#10;ulu3bn5+fv/VI0M82AER4iwI07SLK1euBPcpHkAf+HZwcJg6dWpAQEBMTAwoAFtCJSbE0k6IBIbh&#10;C+6z0vsx7lPycDoUBc5bXV394cOH4MtByxYtxrUwNjBEV4zojw4ZIu9maDR98tTLFy5mvEtrrG8Q&#10;uf/DorqBYs/Pzw8ODvb09GSXUiLp37//H3/8ERUVhX8Ju4pSjETuK1YACuACwY8GVi5evDjcx4du&#10;bGLNx99V2Zi+tc20yVOCAi9lvs+oq6qhcRv2mCYXDsdaiLFDMe5/ysrIvB5ydcmChTaWVlr83dpv&#10;5D5FLg9gIyCYnZ199erV2bNn29raSqVSoB+oxdrIyGj58uXgOHbj5+5AiId8OgiNHIUAQ4K8z5kz&#10;h57YA7vRztGZ8PHx2bdvHxz5kpISJAn7C1G0E8UDQMM2+Pr6UkeBuiBkNdX5RAvqyqo6Eukmvw3f&#10;5e8jgKSS5cP6w/v068EhQD+8fjPjbuzpUl6SiFxfpusxYOC2zVuiX0TW1daxMhf1naJLiaLGur6+&#10;HnUsMDDQw8ODuI+Av7//mzdvUGGEA0QpRiL3FStQDzRBoLS09Pnz59u3b+/bty89va7FXVQ1JeXu&#10;puajho88d+p0euo7OJLsuR143vCSmxiXqZFAFGHH4naiIDfv/p27a1asdLCx1eSz6Hwj9ymApBKs&#10;ER8CdXV1r1+/Pnny5PTp04F+NEs4/hDC8Pc/fvxIn8HDgZSE9qI4WaLbhnoyMjLOnDlDVoS8dUC/&#10;X79+u3btioyMRL8e+0OUDBwlRMTpTAnD6V68eDF8+HAcS9yHAUCmwGXkDp4+8muop79t0+Zv5D5S&#10;BVEicRYIuKmrrf2Y8eFGyNW1K1cP6jfAiM/owIb7ldl3xyzNLaZOnATDgA5Z+0SK+kbRxaU1Khi7&#10;3cW/qE7ch+OPSpKamvo1D0DUr5LIfcUKNAFcEECXFsCdO3eug4MDfy2LjenDXTUzNgH0d+/YmRAb&#10;V1NZxR4wr28Eqj5hafP3KSros59yoSVh/7KikmePn2zyW9/D3gEo/Hbuy9dy5uJfCNOkysePHx86&#10;dKiZmZmFhUWfPn0Qw6VLl9B9QbulAykNn4miouwjjP7B3bt3d+zYAXB3797dwMDA3d199erV9+/f&#10;R8lgf+xMh8jTIN+IGEDkioqKp0+fDhs2jO4wg/sawiRC7G0yGf/MgKmR8c6t2793fJ/6ZDgXAs1N&#10;zXXVNWnJKUGBF+fMnOVk54BCQ9Ehch1tqa5ENsC93/HDRwpz85A3ISJR3yy6uKhdWBP3z549C+7D&#10;hIP7Q4YMOX/+PLqG6ArI64AoRUjkvmIFoJBTiSq+b9++AQMG2FjbMArzCXkMdfUHDxh4YO+++JjY&#10;yrLypvoG9sgmPWlOy1+FeDpsD2xi55ZWcD/iydNN6zc42dkDVaAhcR8GBj/RydCVSCdPmoSmlZSU&#10;VF1djaiIdxQJj5uJRdgm8B3++MaNG0eMGAHmLl68GNBHT7y8vJx2oDaMQ9Ck8ZPHxKJCmEcmoB/U&#10;fvfu3Z07dzZv3uzj4+Pm5rZgwYKwsLCysjI5diE6FsIW2ijnfk5Ozu3btwcPHgzo0+Pe7Kvo3Lap&#10;se8AK+tJZZ6DPP7YvacgJ489x8n7QMyO8q8dUMK+FJ0LawrDfNZWVlWXV35Mz/A/ctTXZ4SVuQUu&#10;Fu9PsK/P93Bw3LF1W1Lia5QAHYIUIkBEYzGK+rqolFDguKaoWqhI8CrQ7VNSUkIfDhf3woUL4D5V&#10;TuEYUQqQyH3FCtUXzEItB2rh3trY2BgaGLLBfRVVQz39Xk7Oc2fNvhN6qzi/sKG2rpUIhQqPNb2W&#10;9Y3ijKssLYt+Eblt8xawibxgWhAGH2Va2jrakvHjxx8+fDg2NpaaFtkkIZJ2osZJ7TM7O/vevXsB&#10;AQH+/v43btx49eoV8hIXF4c1vHi0XuxGUZENIFJjDcGnKywsRPciKioKjTwxMfHhw4f0mfWgoKAP&#10;Hz5gTzocEs7dBlOIJ4GZFpRheno6DoHhhG+ozb/kpaXFP6XL75HAlJqbmE6eMPHkcf/i/ALGff4I&#10;/6fmVmG2hm/Upz+bGxo/NbdUV1Q+vHvPb/Uaz4EecPNReuxZfmUVOyvrdavWRD6LKCxgcwkgeUgn&#10;jsO6fRZEdSh2mblw3WE4Y2Ji9u/f379/fxUVFVxTb2/v69ev5+bmotpgH+EYUQqQyH3FClwAs2pq&#10;ap4/fz59+nR6Il61K3s83NrCcsqESSf9T6Qlp7Q0NGJhT4XLuU8e6zcKh3z6s6ai8nV8wt5du3s6&#10;9gAHGfT51J7EffZOrBYbQl26dCkcbXCf0va1BobtnL3srauSkpKsrKxMLuD75s2bhw4dOnLkyN27&#10;d8H00tJSNFQaOMJRiBM/KdfY//Hjx+jLo3mD2hEREdgfXZ+MjAz47/I7BJ+lgc4L4V/0E3u+ffv2&#10;xIkT7u7udF8X3McaxcjQr6qG3oyzg+OKJcuuh1wtKSxiQ2TNbOzrUwv/utm3MwR7sqnuPoH+Ge/S&#10;boRcWzh3vkU3M5hMbQ32wZnuZuZzZ88JvXoNuUDyICQPx2Etouq/CkVEAvfR1UOj2LVrF/x9VVVV&#10;9OHGjBnz9OlT1Ez8F/sIx4hSgETuK1bgAggIMgKRqNZwUVX5N/8ALBfnXts3b415GVVeUsqeB+c+&#10;OxGcOfvfy/3WT7VV1WkpqUcPHurVw1mNTawmn+2SjfNI+CzHVlZWXl5eQDD56fJRmi+F7WAZdiC0&#10;AeL5+fmAOFz1mTNnDhs2zMfHZ9myZXDenz17lpaWJn+TC9AvKioCFtGrCAwMRC9n0qRJvr6+MHtb&#10;tmy5c+cOPHf4evX19YiZMaBdAugn4sEZIeyAjYgTjECPYceOHS4uLnRTF9yHAUAxwrBhLdOW9Hdz&#10;37l1e3jYIzZZKQ7lHzXDwnpRHWexIzGLyweIGpuqysrfJrzeu3O3ex9XEwMj2E5cOFMjk/Gjx57y&#10;P5GcnCwvHByHdfuMiOpQKC4IBYXiQh1AzcE1hS2Hvw/uT5w4EXUG/xK5r2iJ3FesUH0BOPi2wcHB&#10;YJ9MJoOnCgTrSmW+PsNDLgexKdIaGptoBjH5AvrQ8o2CvWhuqa+uyc3KPnvqtGsvF3X28VvhcRe2&#10;qLNvnkg0tQDN7t27w1UHmgn6aIdCJO1E2yGCL36C++/evYPbTi9z6evrGxgYODg4jB8/fufOnRcv&#10;Xnzy5AlcchgAdAgQRn5hIaZMmdKjRw8jIyMcYmZmBmuBjfDyYELQtoWTtQlnofOC+xSAsB0/8/Ly&#10;bt26tWDBAicnJ21tbWVlZWREjXv6wDF9qsXLY/CxQ4fjomKqKypRdDR7HeN+UzMr0m8UypyPsKHH&#10;gBiK8guvXQmZPX2Gs4OThH80xtjAcKjnkF3bdoBQ6OIghfJipNSK+g9CEZGBhMD9R48ebd68uXfv&#10;3rigaBrgfnx8PP5FFUA4RpQCJHJfsUL1BTFTUlLgFw8fPlxXVxeOqqGevkvPXhvWrouLim6ub+TD&#10;ER3NuoPlG8W531RXD1f3atCVQf36g/JsUWePt9MCZoFcaGA6Ojrwu5OSkiorK9EO0caESNoJySaf&#10;CztQCwTj4MIfPnwY5KWn7uB002Odnp6e8OgBZbj269evx3rRokUzZszw9vaGYcDpsCfOC+8cPXpY&#10;jujoaHQO0P7pXCSchU4HkUmgnwjAcGZkZBw6dGjo0KHm5uYgvpKSEhIgcF+Dzcwj05KM9Bl+8dz5&#10;d8kptdU1f7b+2dIgcP/Td3Efe1LHiy+IKjEu/tihIyO9h+tKZChPXLu+fdxWLFkW8ewZejaUWkrq&#10;ZzkS9aVQUCglCMVVWFgYGhq6YsUK1CjUED09vQkTJsCaYh8ypcIxohQgkfuKFapvRUVFXFwcsOXl&#10;5YXOLKq4vY3t9MlTLgdezPqQ2cTnjBQo/+XyjcKe8KLg8tfW3b15e5inl55UJtXUotdZyeUH94FI&#10;CI7VqlWr4JLn5uaiBQLoQiTthGS3hy+tS0tL4df36dOHIunSpQu657BkQDDWyBoC7HuKXAhjDcMA&#10;wdTRw5fw9xFDZmYmToo4YXIQrfyMCENIEpq9fAsCtbW1MJwAhJ2dHU4E+wHu40RsnIc9Vs+4ryOR&#10;Thg77ua1G7kfs+pqaoFsdr+EuN/c8l0lib4XjmIuf3NrY119fnZu2L37c2fNAfFxLgMdPfj+6AE8&#10;fvxYzn2skVpKtqj/LI59Jnppa86cOXAOcCXRIwT34RNQYULCAaIUIJH7ihWqb1VV1f3799esWTNo&#10;0CC6r2ttbb19+/aoqKiCggKq4gS4H1ZLY1NrYxPWjfUNUc9fbF6/oW8fV/pwLhvoVxe+JQtsKf2r&#10;i5Ge/ljf0acDTqYmJTfU1BLj/r2QvWnuID3gLzrm4K+7uzto3rVrV6y1NNk0op8tGuxzwVqaqsRl&#10;LZUuXRFQV1UbNWpUeHg4DOF/ceiaW9hdWX6Xu7mxKftDZtj9B74+w5FyZISyg7xoIlPq6kgGLAos&#10;weTJk9++fYuehBDJr1N+fr6fn5+9vT2ZNFxEXMrg4GAiFNbIDnn9wgGiviIqJQglBrfjzJkz06ZN&#10;Q3PAdUTHEd3E169fi9zvBIncV6zg15SXl9++fXv58uXAJbxgsBKBEydOpKWlgYBUxX/WVeSwZvcJ&#10;GpuSEl8HHDs+cew4I30DNSUVMJfmecYi1dIGKw109fr2cVu7cvWTsEcVJaVsiImefqE7yXL0fyG4&#10;5/C7AwIC4JfBO0NbhY/PZkX+gvuwMehe4LyM+5pa7JO5Wtrmpmbz5s1DR57cZCHSDoWzIxksPZ/g&#10;vL+KjQs45u85cBA6McgFYkYuwH2WL96TAIiRHlAjPT29urpaiOTXCVfwyJEj3t7eZmZmrP+ird23&#10;b9+goCBcNWQEl1jk/jcKBUUVHoUG7p8+fXr69OnoxqH35uLisnbtWlQw/JfQLxwjSgESua9YAQfF&#10;xcXXr19fsGCBs7MzkGFkZDR27FhYgrKysvbuj3DAj4mTurm+saWpJT879+Hde+tWrba26K6twV41&#10;0uLPcYKV+CnT0gY9TY1MfLyGnfIPgCvNHiWS+9ft0f+FkMicnBz0XebPn6+np6empgbuq7F30L7g&#10;vjJ7zIa+lMsdfzVTYxPPwYP37NmTkZGBNk8RUt4p/Bfh/Gj4Tc2tjc1FeQVXg67MmTnL2cFRyAV/&#10;JY2Gd2B7kAxzc3OAeO/eveg/ySP/hWpoaLh16xZ6bGyODT5S17t37wsXLtTX1+N0EEoG6jgvotoJ&#10;ZUWlBLKD+ydPnpw6dSo6UjDbAwcO3LJly/v377GDyH1FS+S+YoWKDu6HhIT8/vvvDg4OwKWjo+PC&#10;hQtfvnxJY9wkUEM44MfEh2jYLeKW1uqKqtevEv7YvcfO2oacYqmmNnAP+rPhEU0t+jSVo539xnXr&#10;Y19GlxYVM9zzGBj06XPtX+E+PN+EhAT4ZXCxydHWYM+JdsB9nAvcx9np9rKTnf2CefNRDigNITre&#10;+JF34Ud7YTPnfn1NbfLrN7u37+jTs5cpnxafvYYmjPOwbgSgr6mp2bNnzzlz5iBymFIhhl8qmGd0&#10;U+Ccjho1ijIOE46f9KQ5cV9ONFH/QbyyC9zPyso6dOjQ6NGjLS0t9fX1PTw8Nm/enJqain/RzqIU&#10;J5H7ihVqeXvuwzMdOnTo9u3b3759C1igikPYB9QQDvghNTc2gfj0um9TQ2Pux6zTAScdbO3AeuXf&#10;usD1lvIPmiMABAOawLFFN9OpEydfPHfhTUJiI33OEO0RaSHHvyOCIZ1Ic3Z2NjxrExMTGt9X468j&#10;fLYgfhrcxxo2Bsambx/X3bt2vXjxgt4XgxAhYiMKfC7+BH1LY1NBbt6923fmz5mL7oJMS6LSRYlc&#10;fnVuzMB9uN4AsZeX1/79++kjiEIMv1SNfD7Re/fuTZs2DYRSUVEB948dOwYzA5efoC9y/7uE4kKR&#10;wsHv378/nH1cRE9Pz61btyYnJ4sl2QkSua9YoQYT9+GQwtO3s7MDO86cOfPx40fUb0I/9kFYOOCH&#10;1ChM7MN89k/NrTWVVXdv3R7h7WNpZs4oyfgrTANHbrKGipqRnr5rr94rli4LvXadzRLBn4FhAyxt&#10;N1SFqP8qpLakpOT8+fO9e/eGr60Bz5uNI33OfW5gGP3500RscpvBAwedOc2mWgRDkVnKL9Zf4T57&#10;1bamouplxIs9O3YOHTxET6aDLKh2VaYeDLIg05awl7Y0Nbt16zZ16tTbt2/n5uZWVVUJMfxS4TIV&#10;FhZGR0fPnTvXyMgIGQf3Dx8+XFRUVFtbSy4/WTJR3yiUWFJS0tKlS62traVSKawp+lIHDhxIT0+n&#10;whTRr1CJ3FesUIOBjODg4NmzZ4P7PXr0WLBgwc2bNwsKCvAvepARVRxkEQ74IRH3GayxRqtpbomL&#10;jvFbs9Zn6DAzYxNhqJ0/zwNcwmsGOnXYd8wNhg/zPn74aHrqu/LiEnq/6b9yHw77o0ePJk6ciL4L&#10;ICiVSD+DPlv468FsLF6DfaFQqqk1dLBncNAV9BXQqkmIDRnvsHm3NjYjO7lZ2eiOTJs0xdbKmo3t&#10;qKgiFzItbZgxGAAd/nViIMPKygpFGhsbCwSD+x1G+JNCnOhJoIu2aNEidHRg7cD9gwcP4srW8A9h&#10;IjsoGWFvUV8Xv+DsAqHEEhMT4QyB+BKJBMZ7xowZ8IdgvNEWaAiUDhGlCIncV6xQv0tLS69evQo2&#10;gfv29vbr169/8eIF3YEELH4NL9BGQOpmYaymvqa2IDfvTuitBb/P7W5mLuPfjWJj7uzxSvb4I3nN&#10;Kl2VbCytZkyddul8INAP7rc0NTfxDwBQ+5QLiQTdCHAgYFhY2MaNGwcOHPi18X0s9CgnTsp+qmuM&#10;8R319MlT9BWoi0O5xhoR0ikQwL/oXA01dWXFJY8fhi2av8DexhbpZ98/4eNUlAs+1xCbcN/MzMzb&#10;2xuud05ODg6EHaXy+LVC2mBUMjMzV61aBe6rqKjgOh45cgTZIX8fp0bKhb1FfV10uXGhEXj16tWk&#10;SZPoPjmaxuLFi0NDQ2FK6TqK5alQidxXrFB9QQf4+/PmzXNwcIC/v3PnTvq8FKo+Sdj1ZyRwX7g9&#10;C/e/oqQ0NSl559ZtdlbWqkrK8PFBTKkmu7vLnq3UgNusqdpVyUBXr79b31XLVtwJvVmUXwDoNzc0&#10;Me63Mv7KRemk5gp/PyIiYteuXV5eXuwtKrUOnufB8iX3n0c8r6ioQGwEd6SawhSgyBFGoLK0LCL8&#10;yZYNm7w8BpsYGCESNSX2LWKGfn5zgugPM+Di4rJ8+XL0n2BcCSisNH61KHlAEmw2PFNwqlevXnBO&#10;AX1KNiTPi6j/IBQRROWJVoBeo0wm09TUdHJyWrhw4Y0bN4qKirADyhNr4RhRCpDIfcUK1RdV+fLl&#10;y7///rudnR14Aec0NTWV5kggZAi7/ozQRrCA+y1sjL61uaWxtr6qrPxq0BUAl1x+gJJwrNpVGZ4y&#10;/GXAVENVzdjAEHgFZJ8+Di/My2/mb6t+AvnbkkdiJ+EtFrCLi4s7evToyJEj9fT0vp37US+javj3&#10;skmIkFgJgQLkNSNQVlaWlpz6x+49gwcM7G5qrqMtQb8EtgpJpVvEiA2RI/1mxiZjx449f/58cnJy&#10;HZ+5lyLkJfIrxdPI3r/bs2cPjDdcVFdX10uXLiG19C8EIJxdOEDUfxTKqr6+Pioqaty4cegySiQS&#10;cH/+/PnXrl2DcaUihYS9RSlAIvcVK1RfVOUrV66gWtva2vbu3dvf3//jx49EQPD018BC4H4rcR8u&#10;/6cWNlryKjZu/959Y0eNtrawpFF+TVVhFmj4++yRG/6cpZlJN89BHpv8Njy6/zA/J5d9/qXp36An&#10;yX+ixSYlJV24cGH8+PEGBgbfzv3YmJj2j64iQsRGJUBrCNBPTEwMCrw0deJkc5NuulIZWA/7BMoT&#10;92XaEqzh9Zsam/R3c1+1alVkZCScfRoZAFDIRClCMHinTp0aNmyYpaVle+4j2Yz6Ive/QSgilBiM&#10;NHp+4eHhcB1oPg/0gxctWgR/n8Z5cBGphohSkETuK1aovsXFxXfu3FmzZg0qN/z9EydOZGdnAyL4&#10;F0nY9WfEh3doIknBBnz6E/guyit4/DDMb/Ua114ubFoxPiUnWE9P1oPI2MKm8dHUMtI3GDxg0LbN&#10;W56EPS7KL2jln/altFEi8ZO2gPtpaWkhISFTpkwxNDT89vH9uNhYojPFRjHLo0VTB/RjY2PPnj07&#10;c+q03j16Mujz985gqKRsNJ/NNMfSz14HU3G0tZsxZerp06czMzORJLr3gDWi4iXyi4XIQSu6P+/u&#10;7j5gwADiPhKPfyEgoupbRKVUXV1dUFBw9+5dLy8vQF9NTc3FxWX9+vUPHz5E5xhFivIUC1OhErmv&#10;WKESV1VVvXz5cu/evX379gX3jx8/npWVBX8f/6J9iHoU/jG1PYTDcM8NAH+qp7GppaExKyPz/Omz&#10;k8ZNsLW01pfpAJ1w/AF9LAhIOPfhRGNt0c3U22voJr/1jx88LCooqKysBOnkCUNqKcGA7Pv37+Ga&#10;TZs2zcjIqO0jt58vHfn7sTgWmUU88mjxE4I9yMvLe/HixaFDhxCtpZmFkZ4+kkQ3crHQvWhExe5I&#10;q6rBJIz09jm8/wDsBIpXzl8F3ddFChE5OiuhoaFwS729vceMGXPt2jVs56Ui9FeEvUV9XSgoFBq4&#10;j8t98+ZNT09PcF9VVXXgwIEHDx6Mi4sr59/vpN2EY0QpQCL3FStUX7j2b968gZuPWg6/5ujRo3BR&#10;QSt55cYaYdr/x9TS1My4j8iwAEHw1tnDOWwi4vqa2pfPI7dt3uoxYCBwCdzDZWZvb6mocZ4yG8CM&#10;AXvBShNef98+bhvW+T24c+9Dxgf0VIQn6vDXyhKJcF1tXUZ6+s3Q0OnTpxsbG2t2xH0erZz77A1b&#10;cD8mOpr1chAPOM3Sxp4+QpyANbw/QP/YsWOAvqOjI8gu0dTG4YgHazj72KLO7+giqboymZOd/arl&#10;K8IfPSopKQEmkCqIohJK5JcKMVPk4P7ChQsB/blz5967d4/OCzH2t3WPRP1XwekB9+E6oEVI+aeS&#10;hwwZgq5bSkoK+UNUqsLeohQgkfuKFSoxqnJaWtq5c+eGDRvWr18/+DXtua+4+k2DHqBVbm5ueHj4&#10;ypUrgWkgmJ6AZDd1ucuPNcIgLHgNb7qboZFrr95jfUedCTiVEBtXXlrWUN/Qyl+kYl8yaWltqK3L&#10;/pB5LThk5tTpFt3McHh74tMC6CNmHYlUnc8OJNOSjB89Nj46prG2HvG0NsF5bkRsDXX1tdU1me8z&#10;7t68tWPLtlHDR9haWhnrG2hoaIAFkLq6OvxBbW1trLERQsDW1hbYDQkJefv2rZBVxQuFCROIk4L7&#10;OPvGjRtj+O0KXF8alCDbIOwt6utCWcH85+fnX716FT0nXFCJRIKuMPrBycnJ9LwDpLh2IQoSua9Y&#10;ofrW1dXl5ORcu3bNx8fH3d390KFD4L58ugLF1W+gCmvACG0pNTX17NmzkyZNsrG00pPKQHmatIcN&#10;pBD32TC9OgJYdLQlFqZms6fP2L93373bd5IS37C3utr6E+B+ypukgGP+Y31Hs5fCOpyXjc8AKtOW&#10;IDb8RGDc6DGwIvIJIVpbWitKyxDzw7v3Ao77L1u02MdrmLWFJQySShc2/YOmpia4r8oF+kPYSC/4&#10;jBgxwt/fPykpqby8nHLaCUJh4pLhvOPHj58zZw4uYmJiImwqriDhHmuEaWdRXxNqO0oJFTI9Pf38&#10;+fODBw/GhYbA/YCAgHfv3hH3xfF9RUvkvmKF6guvsKys7NGjR2PGjHFzc4O/D/cfEMG/mIuoMCeR&#10;uI+zoBWhOb169Qp9jvFjxnY3NVdVYo9yYkGAgxsuuTZ9Oly97cUoK3MLz0EeSxYsPHH0+PMnTwty&#10;cutrahvrG+qra0Fwmj7BxMAQO7cnPi3gPjx9RKLGTqSpK5GO8R2Fo2AzmuobaqtqCvPy46JjLp67&#10;MHfW7EH9B1iamRvq6utoSyUa7IUscu0hIj64AOhDZmZmnp6emzZtioiIQJEqaFSnQ+EyVVRUbN++&#10;fdCgQbNnzw4KCnr//r38vgLtIKLqvwpFBJWWlsJqHjt2bMCAAXShBw4cGBgYKL/vRV1V4RhRCpDI&#10;fcUK1Rd4Qm2Ojo6eNWtW//799+zZQ/ev8C/AQnGuDWKmAOJHuLi4+M2bN8cOHR4xzMfw33dNVfRk&#10;OsA0G4VvG5dHAP9FQF+m08upx/jRY9atXnP5QmBMZFROZlZVWUXsy+hNfhsG9RsAWMNyyHEvX4j7&#10;Ej7zPlAOi+LrM/zF02flxaWlhUU4/PzpsxvX+aFL0adnL0SCbgEb0+cfsMWipKQEN588QUABa3j6&#10;xsbG6DDt3Lnz8ePHBQUFxFzKYCcIZQha+fn5ubq6Lliw4MGDB3l5eUgAXUTsoLjr+L9PKEk0hwMH&#10;DqA5aGmxbz57eXmFhoaW8E/zo1SpYIW9RSlAIvcVK1RfOC/19fXJycnr168fOXLk5s2bQQ2anwdS&#10;HC/aNx6EkQYYmxfPIrZv3uIxYKCZSTdwn3OZzZOMMEDPxmf4eD24j418zEdqamTiYGM7cdz4g/v2&#10;x0ZFw/EPfxi2aN783j166kllql074D6zH+zeLP/iiqa2VEvbe8jQm9duZKS9T0tOOXH0mI/XUItu&#10;ZiYGRrBA2J8iYc/qcINB3Afx+TCPKtCgr68PRsDTf/r0aX5+PujQmVxA6eEi5uTkLF++vF+/fmvX&#10;ro2KiiLLjX+J3P9eoa/2/PlzOEAoTHTjwP0RI0bAnKOKUqUlCXuLUoBE7itWcihkZmb6+/vPnj0b&#10;PuOlS5cyMjKwkf7VCVUcp0BKoNyPWeEPH23fvHX4MG8r8+5ArfJvXWRa2uwhH/oUO/8kL90AYDim&#10;2RHU1Pu5uW/ZsOn502dg96ULgd5eQ/ncyNq8r/A595kt0dAE7tVgV7gJGTxw0PkzZxPj4pPfvN2/&#10;Z29PRyeVLl35e2RqKl2UVLsq0XnpJjDz8zU11dXVAX2pVGpnZzdo0KDt27ffu3cP8K2rqwOFUW5U&#10;tp0gnA6Uf/36NS6fh4fH3r173717h2RQqQJVtI+Iqv8qFBdKCYX55MmTbdu2ubm54UKrqan5+vrC&#10;EuCaEvdpN+EYUQqQyH3FiuCOepyXl3ft2jW4iitWrDh06BDcf5CC/oUqTuzoBDXXN5YUFj0Je7Rl&#10;46ZRI0baW9sAynCx2bM9qvDwmdcPHLNxf3j/wLE6m7oZRAa49+/dF/ksAuA+evCQk50D+M6m9f8C&#10;+liY/VBHp0EbsSEeHD6oX38cFfsyKj01LeC4/6B+A3QlUhzO5ozjT4LiRMzZ5xPra2sxHxD+PpxB&#10;S0tLOIMrV66MjIzMzs6WjwNAnYaGhoYGeiZq5syZ3t7ex44do2kjiVBICfbpHPv9/3dRcYH7Dx8+&#10;RO/NxcWFrDtxn/6LYhSNqKIlcl+xQlXGGrW5tLT05cuXBw4cADsWLFiAMCEM9Rui3TpBn5pbWpua&#10;C3Jyw+4/OLz/wMyp0xxs7OgbvIAv0M9tABvih58OXmuw2RGY8z7Uc8iZgJOxUdHx0bF7d+4yN+mm&#10;9FsXHe2OJmHm8+8jQnj9bHadLsyXd+/jun7tuqePHmd/+Hj5wsVxo8ZYmpkjfpm2BJ0GOfrJ69fA&#10;0SoqgL61tbWPj8+WLVvg6cNwyh+C6kxnH6qvr09NTb169eqqVavmzZsXEhJCH0YW/i3qmyXnfnBw&#10;8PLly3v06AHu40KPHj2auE+7dfI43v9BidxXrFB9UdFRoevq6t6/f3/q1KlZs2ZNnjz56dOn8CLh&#10;15DX33nic3Y2NzZVlJSmvE06d/rMrGnTzUy6Gejo8TF9NkSjxanNQKyhCQdcU1UNvvmEseOuB4e8&#10;iokN5xM/GBsYKv2rC7YD1nLct18QAw3xqyuzl60cbe2mT5l6NehKXnZO+MNHyxYtce3loq+jy+dY&#10;ZnMw4KSsw6GqhgX+vkQiAfTHjh27Z88elBWsZk1NDXWeUKSdzH2cOi4uLjAwcOfOneirIYxrJ/xP&#10;1PeImkNRUdHZs2dppkJA38TEZOrUqVFRUbim2AES/X1FS+S+YoXqS9zHGvB68ODBtm3b/Pz8EhMT&#10;AS8Iro2wa+cIHQz+Bha8/obautS3SSGXg9asXDVqxEhLcwtwnz/HyZ7oZ2Pu6hpqbNJmTTsrmzUr&#10;Vr58/uJ1/KvLgRfnzJilL9MF99koDZ8+4bMFB/JIlOm/WJsYGLr17rNv956czI+wN8cOHcYZjfWZ&#10;8VDpqoRTwPGHkQD0cZSOjo6zszO4cObMmZiYmIKCAnpDSshBp/v7wNDbt29v3rx5+fLl+/fv5+Tk&#10;ID0imH5MKDdw/+TJk9OmTbOxsdHV1XV0dEQPOD4+ni4rNRmxeBUqkfuKFaqvvB7D5U9PTw8PDwc7&#10;6Hke+i9JOEDR4jMutLLRnhb28m1dfUlh0bPH4X/s2es7fIS9ja2psYmhHnuUXkciNdDRBZHNjE18&#10;vIYe3n/wbcLr2Kjo3dt34KeeVKbSBbzWao97+UKD9SA4hakbAfpPmzQ5+sXLj+kfHty5t3LpcpgT&#10;bGTP7GtL+ICPRF+mAwsBEAD6169f//jxIxFfXj4IcHPZ2Q9x5uXlAf1gE9Zl/LO6nXfJ/tepvLwc&#10;HV/ivqGhobs7m1dV7gnJ24WwtygFSOS+YkV4whqODOp0bW0tnJ2srKxfOz/PtwusB/fpzVs2fRub&#10;sr+1tLA45mXUmZOn1q1aPW7UGGcHR2Bdgw25sAc9ezg4ss/wXr2e/Obtres3wG4HGzsYBjYgw2dJ&#10;a098+YL/Av1YswEcfrsYe4709gkJuvImIRFdh51btzva2tOdALrBQBPDLZq/4ODBg2FhYfS8ppwC&#10;VIZy0XYhVwoWTlRRUQHcFxcXFxYWfmaKRH2vUJgnTpwYN26cpaVlt27dPDw80ANOSkrCZUXXCmUr&#10;Fq+iJXJfsaLqi3qMOo0wBFcRjr/8J+2DHfjuClcrzeCGs+HMbdyHMaiprMrKyIx8FhFwzH/urDmD&#10;Bwx0srPvbmZuYmg0ZqTvmYCTIHVi3KtDf+zv5dSDfHN2P+Ar3IfBYAH+gRSiPwI62hKP/gN2btv+&#10;8O79uKiYsydPeQ70MDfpBtzbdLd07dV78vgJ+/fsfXD3nnz+IlAAxpICVEokhGmjkCvFC1cNZ0Ri&#10;CPqUBuF/or5ZKDQIFn3Pnj1DhgwxNjYG9wcPHrxhw4bk5GSUqsj9zpHI/c5Q+6oMdtBGubAd/xV+&#10;cLHGwSX8/oVClDgVcb9tYZ2AlpbG+oaSouLXrxJCr9/wP3Z87arVs6bNGDV85Ab2HE44oH//zt2V&#10;S5dZmJqpsbextOj5TgHxf11oIx/tYcQH9+HXSzS1rCwtJ4wdf/JEQHxsbNjDh2tWrZ40ceKMadOW&#10;LVm6e8euS4EXoyJf5mRlk10kUcl8Vj4Q/vVlSSpOlABcEQrg7Aq5Ov/bhdKD0N9duXKlra2tVCo1&#10;NzcfNmzYjh07UlJSyMbTPmLxKlQi9/8RYozn6vCnokXNDOvGxkY42gUFBR8+fHh0/+GFs+f279kX&#10;cjnofcq7mMiog/v+gO9PL/rK2JP77KHP9rj/z4tUIpHJZPb29qtXrw4PD4+Pj79+/fqZM2fOnz9/&#10;+/Zt/MzJycHZxWf4/heL7CW4P2vWLEBfQ0PD2tp63Lhxx44dS09P70xD/n9cIvf/EUJjQJOQS9ja&#10;WcLZIQqA/mh+gG95cWn6u7SE2PgPae/zs3OvBgXPnDrdwcaOEV9dQ0dbAi9eVUn5a+P7HSzoBqiq&#10;6ujooJ0HBga+efMmLS0tIyMjMzMzLy8PxKc+Ps5OiflbxEuCicJIDy4H/RT186IixUWfMWOGtra2&#10;mpqalZXV9OnTz507l52djX8J+4lSsETud7YYVNokbGqHGJKw9e8TSw//eEtzfUNdVXVS4pstGza5&#10;9OwlAcCVVLTV2Zu6cPbZa73fzH01VVVlZWWJRNK/f38/P78HDx4UFRWB9UKe23L9T+P+35ue/32C&#10;S5Gamjp16lRNTeYHgPu///77xYsXc3NzRe53mkTud7Y4VQShoguhr0g4RsGicxHjICAY4ab6Rjb0&#10;3/opLzvn0vkLE8aMszA1o/u04L6m8JV29jbvZ3z/2qLOPqPCXs40NTX18PDYvXs3/P26ujoqBDIA&#10;SMzfy1leEh1I+Leon1ZNTU1CQsKECRM0NNhb2ba2tvPnz798+XJOTg4qgFjanSOR+3+bUL+Zl8vv&#10;T8IJqucfB5dbAgQgYVcFS35SSNiEUEtrc1NzaVHxg7v3lixY2LuHs7GBIfBNz+OzW7WqbOKdb+e+&#10;RFtCTR1ev66u7tixY69cuQL007PwSAOKAmfG+t/J6HQhGbgcuBC4Igh02iX4PyJc2dLS0sjISFx9&#10;mm/V0dFx2bJlV69ezc/Px6WnqijsLUphErn/t4mhlT+M2NDQUF1dXVRUJL+rCaEBdBp0vmxscPOb&#10;G5sKcvMiwp/s2LK1v5u7oa6erkTGHXyOfj7dJk3q8Bnfv7Zoa2mjnXft2lVNTQ19fDh606dPB/o/&#10;fPhACaD8fpmYzhQuB7oguBCVlZXymSFE/SqhwhcUFISHh48ePRqdP9QEZ2dnPz+/O3fuwB7g0pP+&#10;xgrwf0Qi9ztbcqZTAHDJzs5OTExEY3j16hXVfjSPv2W4g5LEzt7UVFZc8vTRY0B/pM9wK3MLHW02&#10;faYmn1wT0Gfv2fLn9xn3+VzN/3WRO/vEfX19faB/5cqVoaGh5OvR2Tst4ziL/EQIIAEwuij/d+/e&#10;vXjxIiYmBtcFJpl2EPVLhBIG9+/fvz9y5Eh4APAD+vXrt2PHDmwpLi7GDrgQ1DRof1EKksj9zhaD&#10;TVvlBmvKy8uTkpJu3ry5ffv2U6dOxcfHw9OkB9iFAzpRlDCQF9bowZ27e3fuGjPS19bSWqYtUf6t&#10;a9d//UbE/7FFi0+tjKYO+sPXk0qlQL+vr++WLVvCwsJoYn3kutOaPbsM7bhPnn5sbOyZM2e2bdt2&#10;4MCBR48eAVKiy/8LVV9fn5eXd/v27cmTJ0skEtQEKyurs2fP0hfoaJ/210WUgiRyv7OFOg26yQGH&#10;dVVVFZydsrIyGueh7ZBwQCeK0oO0AXb1dfU1lVVlRSXFRcXFhUWFBYWF+QUI/PhSxFSIaPLzwVMI&#10;YfjUcLHhVuOMnUZ8Ei/jf3MfCUAyAKba2tqSkhJgCD9RFPJ9RP28UMio4fAqUBNgAFABUNRYw9eB&#10;3RV2EqVo/fnn/wdMUCEgzlhpnQAAAABJRU5ErkJgglBLAwQUAAYACAAAACEAxp+aLd4AAAAHAQAA&#10;DwAAAGRycy9kb3ducmV2LnhtbEyOQUvDQBSE74L/YXmCN7tJ05oSsymlqKci2ArS22v2NQnNvg3Z&#10;bZL+e9eTnoZhhpkvX0+mFQP1rrGsIJ5FIIhLqxuuFHwd3p5WIJxH1thaJgU3crAu7u9yzLQd+ZOG&#10;va9EGGGXoYLa+y6T0pU1GXQz2xGH7Gx7gz7YvpK6xzGMm1bOo+hZGmw4PNTY0bam8rK/GgXvI46b&#10;JH4ddpfz9nY8LD++dzEp9fgwbV5AeJr8Xxl+8QM6FIHpZK+snWgVpKGnYL4IGtIkWcYgTgoWaZyC&#10;LHL5n7/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5cTzev&#10;AwAAZAgAAA4AAAAAAAAAAAAAAAAAOgIAAGRycy9lMm9Eb2MueG1sUEsBAi0ACgAAAAAAAAAhAJx5&#10;xhckrwEAJK8BABQAAAAAAAAAAAAAAAAAFQYAAGRycy9tZWRpYS9pbWFnZTEucG5nUEsBAi0AFAAG&#10;AAgAAAAhAMafmi3eAAAABwEAAA8AAAAAAAAAAAAAAAAAa7UBAGRycy9kb3ducmV2LnhtbFBLAQIt&#10;ABQABgAIAAAAIQCqJg6+vAAAACEBAAAZAAAAAAAAAAAAAAAAAHa2AQBkcnMvX3JlbHMvZTJvRG9j&#10;LnhtbC5yZWxzUEsFBgAAAAAGAAYAfAEAAGm3AQAAAA==&#10;">
                      <v:shape id="Text Box 139" o:spid="_x0000_s1236" type="#_x0000_t202" style="position:absolute;left:13589;top:2692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pWxAAAANwAAAAPAAAAZHJzL2Rvd25yZXYueG1sRE9NawIx&#10;EL0L/Q9hCr2IZltF6moUkQq2F+nWi7dhM25WN5Mlyer23zeFQm/zeJ+zXPe2ETfyoXas4HmcgSAu&#10;na65UnD82o1eQYSIrLFxTAq+KcB69TBYYq7dnT/pVsRKpBAOOSowMba5lKE0ZDGMXUucuLPzFmOC&#10;vpLa4z2F20a+ZNlMWqw5NRhsaWuovBadVXCYng5m2J3fPjbTiX8/dtvZpSqUenrsNwsQkfr4L/5z&#10;73WaP5nD7zPpArn6AQAA//8DAFBLAQItABQABgAIAAAAIQDb4fbL7gAAAIUBAAATAAAAAAAAAAAA&#10;AAAAAAAAAABbQ29udGVudF9UeXBlc10ueG1sUEsBAi0AFAAGAAgAAAAhAFr0LFu/AAAAFQEAAAsA&#10;AAAAAAAAAAAAAAAAHwEAAF9yZWxzLy5yZWxzUEsBAi0AFAAGAAgAAAAhAMzgSlbEAAAA3AAAAA8A&#10;AAAAAAAAAAAAAAAABwIAAGRycy9kb3ducmV2LnhtbFBLBQYAAAAAAwADALcAAAD4AgAAAAA=&#10;" stroked="f">
                        <v:textbox style="mso-fit-shape-to-text:t" inset="0,0,0,0">
                          <w:txbxContent>
                            <w:p w14:paraId="2D86059D"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v:textbox>
                      </v:shape>
                      <v:shape id="그림 140" o:spid="_x0000_s1237" type="#_x0000_t75" style="position:absolute;left:62;width:21110;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uV7xgAAANwAAAAPAAAAZHJzL2Rvd25yZXYueG1sRI9BT8Mw&#10;DIXvk/gPkZG4bSlsGlVZNqFJSBy4bEyCo2m8tqJxuiQshV8/HyZxs/We3/u82oyuV2cKsfNs4H5W&#10;gCKuve24MXB4f5mWoGJCtth7JgO/FGGzvpmssLI+847O+9QoCeFYoYE2paHSOtYtOYwzPxCLdvTB&#10;YZI1NNoGzBLuev1QFEvtsGNpaHGgbUv19/7HGcC/4eMx51zO56flzh/D59tXWBhzdzs+P4FKNKZ/&#10;8/X61Qr+QvDlGZlAry8AAAD//wMAUEsBAi0AFAAGAAgAAAAhANvh9svuAAAAhQEAABMAAAAAAAAA&#10;AAAAAAAAAAAAAFtDb250ZW50X1R5cGVzXS54bWxQSwECLQAUAAYACAAAACEAWvQsW78AAAAVAQAA&#10;CwAAAAAAAAAAAAAAAAAfAQAAX3JlbHMvLnJlbHNQSwECLQAUAAYACAAAACEAnn7le8YAAADcAAAA&#10;DwAAAAAAAAAAAAAAAAAHAgAAZHJzL2Rvd25yZXYueG1sUEsFBgAAAAADAAMAtwAAAPoCAAAAAA==&#10;" stroked="t" strokecolor="#5a5a5a [2109]" strokeweight="1pt">
                        <v:imagedata r:id="rId114" o:title=""/>
                        <v:path arrowok="t"/>
                      </v:shape>
                      <w10:wrap type="square"/>
                    </v:group>
                  </w:pict>
                </mc:Fallback>
              </mc:AlternateContent>
            </w:r>
          </w:p>
          <w:p w14:paraId="47B48BB4" w14:textId="77777777" w:rsidR="00094D21" w:rsidRPr="008F328C" w:rsidRDefault="00094D21" w:rsidP="008A03B2">
            <w:pPr>
              <w:pStyle w:val="a3"/>
              <w:rPr>
                <w:lang w:val="pl-PL"/>
              </w:rPr>
            </w:pPr>
          </w:p>
          <w:p w14:paraId="746063FD" w14:textId="77777777" w:rsidR="00094D21" w:rsidRPr="008F328C" w:rsidRDefault="00094D21" w:rsidP="008E70FE">
            <w:pPr>
              <w:pStyle w:val="a3"/>
              <w:numPr>
                <w:ilvl w:val="0"/>
                <w:numId w:val="125"/>
              </w:numPr>
              <w:rPr>
                <w:b/>
                <w:lang w:val="pl-PL"/>
              </w:rPr>
            </w:pPr>
            <w:r w:rsidRPr="008F328C">
              <w:rPr>
                <w:rFonts w:eastAsia="Times New Roman"/>
                <w:b/>
                <w:bCs/>
                <w:lang w:val="pl-PL"/>
              </w:rPr>
              <w:t>Wyrzucić ampułko-strzykawkę.</w:t>
            </w:r>
          </w:p>
          <w:p w14:paraId="30E8CB76" w14:textId="77777777" w:rsidR="00094D21" w:rsidRPr="008F328C" w:rsidRDefault="00094D21" w:rsidP="008A03B2">
            <w:pPr>
              <w:pStyle w:val="a3"/>
              <w:numPr>
                <w:ilvl w:val="0"/>
                <w:numId w:val="0"/>
              </w:numPr>
              <w:ind w:left="4300"/>
              <w:rPr>
                <w:b/>
                <w:lang w:val="pl-PL"/>
              </w:rPr>
            </w:pPr>
          </w:p>
          <w:p w14:paraId="6DD22CBB" w14:textId="77777777" w:rsidR="00094D21" w:rsidRPr="008F328C" w:rsidRDefault="00094D21" w:rsidP="008A03B2">
            <w:pPr>
              <w:pStyle w:val="a3"/>
              <w:numPr>
                <w:ilvl w:val="0"/>
                <w:numId w:val="19"/>
              </w:numPr>
              <w:ind w:left="4300"/>
              <w:rPr>
                <w:b/>
                <w:lang w:val="pl-PL"/>
              </w:rPr>
            </w:pPr>
            <w:r w:rsidRPr="008F328C">
              <w:rPr>
                <w:rFonts w:eastAsia="Times New Roman"/>
                <w:b/>
                <w:bCs/>
                <w:lang w:val="pl-PL"/>
              </w:rPr>
              <w:t xml:space="preserve">Nie </w:t>
            </w:r>
            <w:r w:rsidRPr="008F328C">
              <w:rPr>
                <w:rFonts w:eastAsia="Times New Roman"/>
                <w:lang w:val="pl-PL"/>
              </w:rPr>
              <w:t>nakładać ponownie osłony na ampułko-strzykawkę.</w:t>
            </w:r>
          </w:p>
          <w:p w14:paraId="330AEAFC" w14:textId="77777777" w:rsidR="00094D21" w:rsidRPr="008F328C" w:rsidRDefault="00094D21" w:rsidP="008A03B2">
            <w:pPr>
              <w:pStyle w:val="a3"/>
              <w:numPr>
                <w:ilvl w:val="0"/>
                <w:numId w:val="0"/>
              </w:numPr>
              <w:ind w:left="4300"/>
              <w:rPr>
                <w:b/>
                <w:lang w:val="pl-PL"/>
              </w:rPr>
            </w:pPr>
          </w:p>
          <w:p w14:paraId="44E59280"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Wyrzucić zużytą ampułko-strzykawkę do specjalnego pojemnika na odpady ostre zgodnie z instrukcjami otrzymanymi od lekarza, farmaceuty lub pielęgniarki.</w:t>
            </w:r>
          </w:p>
          <w:p w14:paraId="363200E2" w14:textId="77777777" w:rsidR="00094D21" w:rsidRPr="008F328C" w:rsidRDefault="00094D21" w:rsidP="008A03B2">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Gazik i opakowanie można wyrzucać do domowego pojemnika na odpadki.</w:t>
            </w:r>
          </w:p>
          <w:p w14:paraId="3758A369" w14:textId="77777777" w:rsidR="00094D21" w:rsidRPr="008F328C" w:rsidRDefault="00094D21" w:rsidP="008A03B2">
            <w:pPr>
              <w:pStyle w:val="a3"/>
              <w:ind w:left="4117" w:hanging="180"/>
              <w:rPr>
                <w:lang w:val="pl-PL"/>
              </w:rPr>
            </w:pPr>
          </w:p>
          <w:p w14:paraId="5E81CDA8" w14:textId="77777777" w:rsidR="00094D21" w:rsidRPr="008F328C" w:rsidRDefault="00094D21" w:rsidP="008A03B2">
            <w:pPr>
              <w:pStyle w:val="a3"/>
              <w:numPr>
                <w:ilvl w:val="0"/>
                <w:numId w:val="19"/>
              </w:numPr>
              <w:ind w:left="4300"/>
              <w:rPr>
                <w:lang w:val="pl-PL"/>
              </w:rPr>
            </w:pPr>
            <w:r w:rsidRPr="008F328C">
              <w:rPr>
                <w:rFonts w:eastAsia="Times New Roman"/>
                <w:lang w:val="pl-PL"/>
              </w:rPr>
              <w:tab/>
              <w:t>Zawsze przechowywać ampułko-strzykawkę</w:t>
            </w:r>
            <w:r w:rsidRPr="008F328C">
              <w:rPr>
                <w:rFonts w:eastAsia="맑은 고딕"/>
                <w:lang w:val="pl-PL"/>
              </w:rPr>
              <w:t xml:space="preserve"> </w:t>
            </w:r>
            <w:r w:rsidRPr="008F328C">
              <w:rPr>
                <w:rFonts w:eastAsia="Times New Roman"/>
                <w:lang w:val="pl-PL"/>
              </w:rPr>
              <w:t>i specjalny pojemnik na wykorzystane ampułko-strzykawki w miejscu niewidocznym i niedostępnym dla dzieci.</w:t>
            </w:r>
          </w:p>
          <w:p w14:paraId="34BB900E" w14:textId="77777777" w:rsidR="00094D21" w:rsidRPr="008F328C" w:rsidRDefault="00094D21" w:rsidP="008A03B2">
            <w:pPr>
              <w:pStyle w:val="a3"/>
              <w:rPr>
                <w:lang w:val="pl-PL"/>
              </w:rPr>
            </w:pPr>
          </w:p>
          <w:p w14:paraId="1A9243C0" w14:textId="77777777" w:rsidR="00094D21" w:rsidRPr="008F328C" w:rsidRDefault="00094D21" w:rsidP="008A03B2">
            <w:pPr>
              <w:pStyle w:val="a3"/>
              <w:rPr>
                <w:spacing w:val="-1"/>
                <w:lang w:val="pl-PL"/>
              </w:rPr>
            </w:pPr>
          </w:p>
        </w:tc>
      </w:tr>
    </w:tbl>
    <w:p w14:paraId="7AED9EC0" w14:textId="77777777" w:rsidR="00094D21" w:rsidRPr="008F328C" w:rsidRDefault="00094D21" w:rsidP="00094D21">
      <w:pPr>
        <w:spacing w:line="241" w:lineRule="auto"/>
        <w:rPr>
          <w:rFonts w:ascii="Times New Roman" w:hAnsi="Times New Roman" w:cs="Times New Roman"/>
          <w:lang w:val="pl-PL"/>
        </w:rPr>
      </w:pPr>
    </w:p>
    <w:p w14:paraId="2667B642" w14:textId="08785D43" w:rsidR="00094D21" w:rsidRPr="008F328C" w:rsidRDefault="00094D21" w:rsidP="00D22235">
      <w:pPr>
        <w:rPr>
          <w:rFonts w:ascii="Times New Roman" w:hAnsi="Times New Roman" w:cs="Times New Roman"/>
          <w:lang w:val="pl-PL"/>
        </w:rPr>
      </w:pPr>
      <w:r w:rsidRPr="008F328C">
        <w:rPr>
          <w:rFonts w:ascii="Times New Roman" w:hAnsi="Times New Roman" w:cs="Times New Roman"/>
          <w:lang w:val="pl-PL"/>
        </w:rPr>
        <w:br w:type="page"/>
      </w:r>
    </w:p>
    <w:p w14:paraId="73C7CD20" w14:textId="77777777" w:rsidR="00094D21" w:rsidRPr="008F328C" w:rsidRDefault="00094D21" w:rsidP="00094D21">
      <w:pPr>
        <w:pStyle w:val="a3"/>
        <w:rPr>
          <w:b/>
          <w:lang w:val="pl-PL"/>
        </w:rPr>
      </w:pPr>
      <w:r w:rsidRPr="008F328C">
        <w:rPr>
          <w:rFonts w:eastAsia="Times New Roman"/>
          <w:b/>
          <w:bCs/>
          <w:highlight w:val="lightGray"/>
          <w:lang w:val="pl-PL"/>
        </w:rPr>
        <w:lastRenderedPageBreak/>
        <w:t>Ampułkostrzykawka (szklana) z lekiem Yuflyma z osłoną igły</w:t>
      </w:r>
    </w:p>
    <w:p w14:paraId="53154BF2" w14:textId="77777777" w:rsidR="00094D21" w:rsidRPr="008F328C" w:rsidRDefault="00094D21" w:rsidP="00094D21">
      <w:pPr>
        <w:pStyle w:val="a3"/>
        <w:rPr>
          <w:lang w:val="pl-PL"/>
        </w:rPr>
      </w:pPr>
    </w:p>
    <w:p w14:paraId="730F5E8C" w14:textId="06D3189D" w:rsidR="00094D21" w:rsidRPr="008F328C" w:rsidRDefault="00992D0A" w:rsidP="00094D21">
      <w:pPr>
        <w:spacing w:before="3"/>
        <w:ind w:left="1786" w:right="10920"/>
        <w:rPr>
          <w:rFonts w:ascii="Times New Roman" w:eastAsia="Times New Roman" w:hAnsi="Times New Roman" w:cs="Times New Roman"/>
          <w:sz w:val="20"/>
          <w:szCs w:val="20"/>
          <w:lang w:val="pl-PL"/>
        </w:rPr>
      </w:pPr>
      <w:r w:rsidRPr="008F328C">
        <w:rPr>
          <w:rFonts w:ascii="Times New Roman" w:hAnsi="Times New Roman" w:cs="Times New Roman"/>
          <w:noProof/>
          <w:lang w:eastAsia="ko-KR"/>
        </w:rPr>
        <mc:AlternateContent>
          <mc:Choice Requires="wps">
            <w:drawing>
              <wp:anchor distT="0" distB="0" distL="114300" distR="114300" simplePos="0" relativeHeight="251658363" behindDoc="0" locked="0" layoutInCell="1" allowOverlap="1" wp14:anchorId="04E24106" wp14:editId="3FC8C5C0">
                <wp:simplePos x="0" y="0"/>
                <wp:positionH relativeFrom="column">
                  <wp:posOffset>4334510</wp:posOffset>
                </wp:positionH>
                <wp:positionV relativeFrom="paragraph">
                  <wp:posOffset>1770380</wp:posOffset>
                </wp:positionV>
                <wp:extent cx="665480" cy="217170"/>
                <wp:effectExtent l="0" t="0" r="1270" b="0"/>
                <wp:wrapNone/>
                <wp:docPr id="147" name="Text Box 147"/>
                <wp:cNvGraphicFramePr/>
                <a:graphic xmlns:a="http://schemas.openxmlformats.org/drawingml/2006/main">
                  <a:graphicData uri="http://schemas.microsoft.com/office/word/2010/wordprocessingShape">
                    <wps:wsp>
                      <wps:cNvSpPr txBox="1"/>
                      <wps:spPr>
                        <a:xfrm>
                          <a:off x="0" y="0"/>
                          <a:ext cx="665480" cy="2171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664FA"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24106" id="Text Box 147" o:spid="_x0000_s1238" type="#_x0000_t202" style="position:absolute;left:0;text-align:left;margin-left:341.3pt;margin-top:139.4pt;width:52.4pt;height:17.1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NrmbwIAAF0FAAAOAAAAZHJzL2Uyb0RvYy54bWysVEtv2zAMvg/YfxB0X5106wNBnSJLkWFA&#10;0RZLh54VWUqEyaJGKbGzXz9KtpOu66XDLjItvj9+1NV1W1u2UxgMuJKPT0acKSehMm5d8u+Piw+X&#10;nIUoXCUsOFXyvQr8evr+3VXjJ+oUNmArhYyCuDBpfMk3MfpJUQS5UbUIJ+CVI6UGrEWkX1wXFYqG&#10;ote2OB2NzosGsPIIUoVAtzedkk9zfK2VjPdaBxWZLTnVFvOJ+Vyls5heickahd8Y2Zch/qGKWhhH&#10;SQ+hbkQUbIvmr1C1kQgBdDyRUBegtZEq90DdjEcvulluhFe5FwIn+ANM4f+FlXe7pX9AFtvP0NIA&#10;EyCND5NAl6mfVmOdvlQpIz1BuD/AptrIJF2en599uiSNJNXp+GJ8kWEtjs4eQ/yioGZJKDnSVDJY&#10;YncbIiUk08Ek5QpgTbUw1uafxAQ1t8h2gma4WucSyeMPK+tYQ4V8PBvlwA6SexfZuhRGZS706Y4N&#10;ZinurUo21n1Tmpkq9/lKbiGlcnHIn62TlaZUb3Hs7Y9VvcW564M8cmZw8eBcGweYu8/Lc4Ss+jGU&#10;rDt7AvxZ30mM7aqlxmn+4zy7dLeCak/EQOh2Jni5MDS+WxHig0BaEpo4LX68p0NbIPihlzjbAP56&#10;7T7ZE3dJy1lDS1fy8HMrUHFmvzpiddrQQcBBWA2C29ZzIA6M6UnxMovkgNEOokaon+g9mKUspBJO&#10;Uq6Sx0Gcx2716T2RajbLRrSHXsRbt/QyhU64JjI+tk8Cfc/YSFS/g2EdxeQFcTvb5Olgto2gTWb1&#10;EcUecdrhTPb+vUmPxPP/bHV8Fae/AQAA//8DAFBLAwQUAAYACAAAACEAsQ5aD+AAAAALAQAADwAA&#10;AGRycy9kb3ducmV2LnhtbEyPQU7DMBBF90jcwRokNog6SVFipXEqqISABYsGDuDE0zgQj6PYbcPt&#10;MSu6HM3T/+9X28WO7ISzHxxJSFcJMKTO6YF6CZ8fz/cCmA+KtBodoYQf9LCtr68qVWp3pj2emtCz&#10;GEK+VBJMCFPJue8MWuVXbkKKv4ObrQrxnHuuZ3WO4XbkWZLk3KqBYoNRE+4Mdt/N0UoQwu8K9K0b&#10;v16a17s3fEr370bK25vlcQMs4BL+YfjTj+pQR6fWHUl7NkrIRZZHVEJWiLghEoUoHoC1EtbpOgFe&#10;V/xyQ/0LAAD//wMAUEsBAi0AFAAGAAgAAAAhALaDOJL+AAAA4QEAABMAAAAAAAAAAAAAAAAAAAAA&#10;AFtDb250ZW50X1R5cGVzXS54bWxQSwECLQAUAAYACAAAACEAOP0h/9YAAACUAQAACwAAAAAAAAAA&#10;AAAAAAAvAQAAX3JlbHMvLnJlbHNQSwECLQAUAAYACAAAACEA37Da5m8CAABdBQAADgAAAAAAAAAA&#10;AAAAAAAuAgAAZHJzL2Uyb0RvYy54bWxQSwECLQAUAAYACAAAACEAsQ5aD+AAAAALAQAADwAAAAAA&#10;AAAAAAAAAADJBAAAZHJzL2Rvd25yZXYueG1sUEsFBgAAAAAEAAQA8wAAANYFAAAAAA==&#10;" fillcolor="white [3212]" stroked="f" strokeweight=".5pt">
                <v:textbox inset="0,0,0,0">
                  <w:txbxContent>
                    <w:p w14:paraId="6C5664FA"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9" behindDoc="0" locked="0" layoutInCell="1" allowOverlap="1" wp14:anchorId="1A942083" wp14:editId="3FB0130A">
                <wp:simplePos x="0" y="0"/>
                <wp:positionH relativeFrom="column">
                  <wp:posOffset>2886075</wp:posOffset>
                </wp:positionH>
                <wp:positionV relativeFrom="paragraph">
                  <wp:posOffset>1596390</wp:posOffset>
                </wp:positionV>
                <wp:extent cx="665480" cy="285750"/>
                <wp:effectExtent l="0" t="0" r="1270" b="0"/>
                <wp:wrapNone/>
                <wp:docPr id="141" name="Text Box 141"/>
                <wp:cNvGraphicFramePr/>
                <a:graphic xmlns:a="http://schemas.openxmlformats.org/drawingml/2006/main">
                  <a:graphicData uri="http://schemas.microsoft.com/office/word/2010/wordprocessingShape">
                    <wps:wsp>
                      <wps:cNvSpPr txBox="1"/>
                      <wps:spPr>
                        <a:xfrm>
                          <a:off x="0" y="0"/>
                          <a:ext cx="665480" cy="285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25A952"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rPr>
                              <w:t>Okienko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2083" id="Text Box 141" o:spid="_x0000_s1239" type="#_x0000_t202" style="position:absolute;left:0;text-align:left;margin-left:227.25pt;margin-top:125.7pt;width:52.4pt;height:22.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bMbwIAAF0FAAAOAAAAZHJzL2Uyb0RvYy54bWysVN9P2zAQfp+0/8Hy+0jLBquqpqgrYpqE&#10;AAETz65jt9Ycn2dfm3R//c5O0jLGC9NenIvv9+fvbnbR1pbtVIgGXMnHJyPOlJNQGbcu+ffHqw8T&#10;ziIKVwkLTpV8ryK/mL9/N2v8VJ3CBmylAqMgLk4bX/INop8WRZQbVYt4Al45UmoItUD6DeuiCqKh&#10;6LUtTkej86KBUPkAUsVIt5edks9zfK2VxFuto0JmS061YT5DPlfpLOYzMV0H4TdG9mWIf6iiFsZR&#10;0kOoS4GCbYP5K1RtZIAIGk8k1AVobaTKPVA349GLbh42wqvcC4ET/QGm+P/Cypvdg78LDNsv0NID&#10;JkAaH6eRLlM/rQ51+lKljPQE4f4Am2qRSbo8Pz/7NCGNJNXp5OzzWYa1ODr7EPGrgpoloeSBXiWD&#10;JXbXESkhmQ4mKVcEa6orY23+SUxQSxvYTtAbrta5RPL4w8o61lAhHyl1cnKQ3LvI1qUblbnQpzs2&#10;mCXcW5VsrLtXmpkq9/lKbiGlcjjkz9bJSlOqtzj29seq3uLc9UEeOTM4PDjXxkHI3efhOUJW/RhK&#10;1p09Af6s7yRiu2qpcXr/8YEBK6j2RIwA3cxEL68MPd+1iHgnAg0JvTgNPt7SoS0Q/NBLnG0g/Hrt&#10;PtkTd0nLWUNDV/L4cyuC4sx+c8TqNKGDEAZhNQhuWy+BODCmleJlFskhoB1EHaB+on2wSFlIJZyk&#10;XCXHQVxiN/q0T6RaLLIRzaEXeO0evEyhE66JjI/tkwi+ZywS1W9gGEcxfUHczjZ5OlhsEbTJrE7I&#10;dij2iNMMZ7L3+yYtief/2eq4Fee/AQAA//8DAFBLAwQUAAYACAAAACEAPuX2LeEAAAALAQAADwAA&#10;AGRycy9kb3ducmV2LnhtbEyPQU7DMBBF90jcwRokNog6KUmbhjgVVELAgkVDD+DEQxywx1HstuH2&#10;mBUsZ+bpz/vVdraGnXDygyMB6SIBhtQ5NVAv4PD+dFsA80GSksYRCvhGD9v68qKSpXJn2uOpCT2L&#10;IeRLKUCHMJac+06jlX7hRqR4+3CTlSGOU8/VJM8x3Bq+TJIVt3Kg+EHLEXcau6/maAUUhd+t0bfO&#10;fD43Lzev+Jju37QQ11fzwz2wgHP4g+FXP6pDHZ1adyTlmRGQ5VkeUQHLPM2ARSLPN3fA2rjZrDLg&#10;dcX/d6h/AAAA//8DAFBLAQItABQABgAIAAAAIQC2gziS/gAAAOEBAAATAAAAAAAAAAAAAAAAAAAA&#10;AABbQ29udGVudF9UeXBlc10ueG1sUEsBAi0AFAAGAAgAAAAhADj9If/WAAAAlAEAAAsAAAAAAAAA&#10;AAAAAAAALwEAAF9yZWxzLy5yZWxzUEsBAi0AFAAGAAgAAAAhACd+xsxvAgAAXQUAAA4AAAAAAAAA&#10;AAAAAAAALgIAAGRycy9lMm9Eb2MueG1sUEsBAi0AFAAGAAgAAAAhAD7l9i3hAAAACwEAAA8AAAAA&#10;AAAAAAAAAAAAyQQAAGRycy9kb3ducmV2LnhtbFBLBQYAAAAABAAEAPMAAADXBQAAAAA=&#10;" fillcolor="white [3212]" stroked="f" strokeweight=".5pt">
                <v:textbox inset="0,0,0,0">
                  <w:txbxContent>
                    <w:p w14:paraId="4925A952"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rPr>
                        <w:t>Okienko</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8" behindDoc="0" locked="0" layoutInCell="1" allowOverlap="1" wp14:anchorId="60D72B1E" wp14:editId="399DF87D">
                <wp:simplePos x="0" y="0"/>
                <wp:positionH relativeFrom="column">
                  <wp:posOffset>2870200</wp:posOffset>
                </wp:positionH>
                <wp:positionV relativeFrom="paragraph">
                  <wp:posOffset>1990090</wp:posOffset>
                </wp:positionV>
                <wp:extent cx="665480" cy="285750"/>
                <wp:effectExtent l="0" t="0" r="1270" b="0"/>
                <wp:wrapNone/>
                <wp:docPr id="142" name="Text Box 142"/>
                <wp:cNvGraphicFramePr/>
                <a:graphic xmlns:a="http://schemas.openxmlformats.org/drawingml/2006/main">
                  <a:graphicData uri="http://schemas.microsoft.com/office/word/2010/wordprocessingShape">
                    <wps:wsp>
                      <wps:cNvSpPr txBox="1"/>
                      <wps:spPr>
                        <a:xfrm>
                          <a:off x="0" y="0"/>
                          <a:ext cx="665480" cy="285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F7F86"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igły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72B1E" id="Text Box 142" o:spid="_x0000_s1240" type="#_x0000_t202" style="position:absolute;left:0;text-align:left;margin-left:226pt;margin-top:156.7pt;width:52.4pt;height:22.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qujcAIAAF0FAAAOAAAAZHJzL2Uyb0RvYy54bWysVN9P2zAQfp+0/8Hy+0jbDYaqpqgrYpqE&#10;AAETz65jt9Ycn3d2m3R//c5O0jLGC9NenIvv9+fvbnbR1pbtFAYDruTjkxFnykmojFuX/Pvj1Ydz&#10;zkIUrhIWnCr5XgV+MX//btb4qZrABmylkFEQF6aNL/kmRj8tiiA3qhbhBLxypNSAtYj0i+uiQtFQ&#10;9NoWk9HorGgAK48gVQh0e9kp+TzH11rJeKt1UJHZklNtMZ+Yz1U6i/lMTNco/MbIvgzxD1XUwjhK&#10;egh1KaJgWzR/haqNRAig44mEugCtjVS5B+pmPHrRzcNGeJV7IXCCP8AU/l9YebN78HfIYvsFWnrA&#10;BEjjwzTQZeqn1VinL1XKSE8Q7g+wqTYySZdnZ6efzkkjSTU5P/18mmEtjs4eQ/yqoGZJKDnSq2Sw&#10;xO46REpIpoNJyhXAmurKWJt/EhPU0iLbCXrD1TqXSB5/WFnHGirkI6VOTg6SexfZunSjMhf6dMcG&#10;sxT3ViUb6+6VZqbKfb6SW0ipXBzyZ+tkpSnVWxx7+2NVb3Hu+iCPnBlcPDjXxgHm7vPwHCGrfgwl&#10;686eAH/WdxJju2qpcXr/8WRgwAqqPREDoZuZ4OWVoee7FiHeCaQhoRenwY+3dGgLBD/0EmcbwF+v&#10;3Sd74i5pOWto6Eoefm4FKs7sN0esThM6CDgIq0Fw23oJxIExrRQvs0gOGO0gaoT6ifbBImUhlXCS&#10;cpU8DuIydqNP+0SqxSIb0Rx6Ea/dg5cpdMI1kfGxfRLoe8ZGovoNDOMopi+I29kmTweLbQRtMqsT&#10;sh2KPeI0w5ns/b5JS+L5f7Y6bsX5bwAAAP//AwBQSwMEFAAGAAgAAAAhACJtbj7hAAAACwEAAA8A&#10;AABkcnMvZG93bnJldi54bWxMj8tOwzAQRfdI/IM1SGwQddImbRTiVFAJQRcsGvoBTjzEAT+i2G3D&#10;3zOsYDkzV3fOqbazNeyMUxi8E5AuEmDoOq8G1ws4vj/fF8BClE5J4x0K+MYA2/r6qpKl8hd3wHMT&#10;e0YlLpRSgI5xLDkPnUYrw8KP6Oj24ScrI41Tz9UkL1RuDV8myZpbOTj6oOWIO43dV3OyAooi7DYY&#10;Wm8+X5rXuz0+pYc3LcTtzfz4ACziHP/C8ItP6FATU+tPTgVmBGT5klyigFW6yoBRIs/XJNPSJi8y&#10;4HXF/zvUPwAAAP//AwBQSwECLQAUAAYACAAAACEAtoM4kv4AAADhAQAAEwAAAAAAAAAAAAAAAAAA&#10;AAAAW0NvbnRlbnRfVHlwZXNdLnhtbFBLAQItABQABgAIAAAAIQA4/SH/1gAAAJQBAAALAAAAAAAA&#10;AAAAAAAAAC8BAABfcmVscy8ucmVsc1BLAQItABQABgAIAAAAIQCklqujcAIAAF0FAAAOAAAAAAAA&#10;AAAAAAAAAC4CAABkcnMvZTJvRG9jLnhtbFBLAQItABQABgAIAAAAIQAibW4+4QAAAAsBAAAPAAAA&#10;AAAAAAAAAAAAAMoEAABkcnMvZG93bnJldi54bWxQSwUGAAAAAAQABADzAAAA2AUAAAAA&#10;" fillcolor="white [3212]" stroked="f" strokeweight=".5pt">
                <v:textbox inset="0,0,0,0">
                  <w:txbxContent>
                    <w:p w14:paraId="041F7F86"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igły</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4" behindDoc="0" locked="0" layoutInCell="1" allowOverlap="1" wp14:anchorId="7C529E09" wp14:editId="0885BC2E">
                <wp:simplePos x="0" y="0"/>
                <wp:positionH relativeFrom="column">
                  <wp:posOffset>2870200</wp:posOffset>
                </wp:positionH>
                <wp:positionV relativeFrom="paragraph">
                  <wp:posOffset>2844165</wp:posOffset>
                </wp:positionV>
                <wp:extent cx="665480" cy="457200"/>
                <wp:effectExtent l="0" t="0" r="1270" b="0"/>
                <wp:wrapNone/>
                <wp:docPr id="143" name="Text Box 143"/>
                <wp:cNvGraphicFramePr/>
                <a:graphic xmlns:a="http://schemas.openxmlformats.org/drawingml/2006/main">
                  <a:graphicData uri="http://schemas.microsoft.com/office/word/2010/wordprocessingShape">
                    <wps:wsp>
                      <wps:cNvSpPr txBox="1"/>
                      <wps:spPr>
                        <a:xfrm>
                          <a:off x="0" y="0"/>
                          <a:ext cx="665480" cy="457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5A3885"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29E09" id="Text Box 143" o:spid="_x0000_s1241" type="#_x0000_t202" style="position:absolute;left:0;text-align:left;margin-left:226pt;margin-top:223.95pt;width:52.4pt;height:36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JyRcAIAAF0FAAAOAAAAZHJzL2Uyb0RvYy54bWysVE1v2zAMvQ/YfxB0X530a0VQp8hSZBhQ&#10;tEXboWdFlhJhsqhJTOzs14+S7aTreumwi0yL5CP5SOryqq0t26oQDbiSj49GnCknoTJuVfLvT4tP&#10;F5xFFK4SFpwq+U5FfjX9+OGy8RN1DGuwlQqMQFycNL7ka0Q/KYoo16oW8Qi8cqTUEGqB9BtWRRVE&#10;Q+i1LY5Ho/OigVD5AFLFSLfXnZJPM77WSuKd1lEhsyWn3DCfIZ/LdBbTSzFZBeHXRvZpiH/IohbG&#10;UdA91LVAwTbB/AVVGxkggsYjCXUBWhupcg1UzXj0qprHtfAq10LkRL+nKf4/WHm7ffT3gWH7BVpq&#10;YCKk8XES6TLV0+pQpy9lykhPFO72tKkWmaTL8/Oz0wvSSFKdnn2mtiSU4uDsQ8SvCmqWhJIH6kom&#10;S2xvInamg0mKFcGaamGszT9pEtTcBrYV1MPlKqdI4H9YWccaSuTkbJSBHST3Dtm6BKPyLPThDgVm&#10;CXdWJRvrHpRmpsp1vhFbSKkcDvGzdbLSFOo9jr39Iav3OHd1kEeODA73zrVxEHL1eXkOlFU/hpR1&#10;Z0+9eVF3ErFdtlQ49X98MkzAEqodDUaAbmeilwtD7bsREe9FoCWhjtPi4x0d2gLRD73E2RrCr7fu&#10;kz3NLmk5a2jpSh5/bkRQnNlvjqY6begghEFYDoLb1HOgGRjTk+JlFskhoB1EHaB+pvdglqKQSjhJ&#10;sUqOgzjHbvXpPZFqNstGtIde4I179DJBJ17TMD61zyL4fmKRRv0WhnUUk1eD29kmTwezDYI2eaoT&#10;sx2LPeO0w3kv+vcmPRIv/7PV4VWc/gYAAP//AwBQSwMEFAAGAAgAAAAhAO5ZfjDgAAAACwEAAA8A&#10;AABkcnMvZG93bnJldi54bWxMj81OwzAQhO9IvIO1SFwQdVI1bRLiVFAJAQcOTfsATrzEAf9EsduG&#10;t2c5wW1GO5qdr9rO1rAzTmHwTkC6SICh67waXC/geHi+z4GFKJ2SxjsU8I0BtvX1VSVL5S9uj+cm&#10;9oxKXCilAB3jWHIeOo1WhoUf0dHtw09WRrJTz9UkL1RuDV8myZpbOTj6oOWIO43dV3OyAvI87DYY&#10;Wm8+X5rXuzd8SvfvWojbm/nxAVjEOf6F4Xc+TYeaNrX+5FRgRsAqWxJLJLHaFMAokWVrgmlJpEUB&#10;vK74f4b6BwAA//8DAFBLAQItABQABgAIAAAAIQC2gziS/gAAAOEBAAATAAAAAAAAAAAAAAAAAAAA&#10;AABbQ29udGVudF9UeXBlc10ueG1sUEsBAi0AFAAGAAgAAAAhADj9If/WAAAAlAEAAAsAAAAAAAAA&#10;AAAAAAAALwEAAF9yZWxzLy5yZWxzUEsBAi0AFAAGAAgAAAAhAM7knJFwAgAAXQUAAA4AAAAAAAAA&#10;AAAAAAAALgIAAGRycy9lMm9Eb2MueG1sUEsBAi0AFAAGAAgAAAAhAO5ZfjDgAAAACwEAAA8AAAAA&#10;AAAAAAAAAAAAygQAAGRycy9kb3ducmV2LnhtbFBLBQYAAAAABAAEAPMAAADXBQAAAAA=&#10;" fillcolor="white [3212]" stroked="f" strokeweight=".5pt">
                <v:textbox inset="0,0,0,0">
                  <w:txbxContent>
                    <w:p w14:paraId="115A3885"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Osłona zabezpieczająca igłę</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7" behindDoc="0" locked="0" layoutInCell="1" allowOverlap="1" wp14:anchorId="0D90DC66" wp14:editId="0963E490">
                <wp:simplePos x="0" y="0"/>
                <wp:positionH relativeFrom="column">
                  <wp:posOffset>2879725</wp:posOffset>
                </wp:positionH>
                <wp:positionV relativeFrom="paragraph">
                  <wp:posOffset>2386965</wp:posOffset>
                </wp:positionV>
                <wp:extent cx="665480" cy="467995"/>
                <wp:effectExtent l="0" t="0" r="1270" b="8255"/>
                <wp:wrapNone/>
                <wp:docPr id="144" name="Text Box 144"/>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8184C8"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D90DC66" id="Text Box 144" o:spid="_x0000_s1242" type="#_x0000_t202" style="position:absolute;left:0;text-align:left;margin-left:226.75pt;margin-top:187.95pt;width:52.4pt;height:36.8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vZwIAAE8FAAAOAAAAZHJzL2Uyb0RvYy54bWysVN9v2jAQfp+0/8Hy+xrogLWIUDGqTpOq&#10;thqd+mwcG6I5Pu9sSNhfv7OTQNf1pdNekrPvu+9+e3bVVIbtFfoSbM6HZwPOlJVQlHaT8++PNx8u&#10;OPNB2EIYsCrnB+X51fz9u1ntpuoctmAKhYxIrJ/WLufbENw0y7zcqkr4M3DKklIDViLQETdZgaIm&#10;9spk54PBJKsBC4cglfd0e90q+Tzxa61kuNfaq8BMzim2kL6Yvuv4zeYzMd2gcNtSdmGIf4iiEqUl&#10;p0eqaxEE22H5F1VVSgQPOpxJqDLQupQq5UDZDAcvsllthVMpFyqOd8cy+f9HK+/2K/eALDSfoaEG&#10;xoLUzk89XcZ8Go1V/FOkjPRUwsOxbKoJTNLlZDIeXZBGkmo0+XR5OY4s2cnYoQ9fFFQsCjlH6koq&#10;ltjf+tBCe0j05cGUxU1pTDrESVBLg2wvqIfrTQqRyP9AGctqCuTjeJCILUTzltnYSKPSLHTuTgkm&#10;KRyMihhjvynNyiLl+YpvIaWyofef0BGlydVbDDv8Kaq3GLd5kEXyDDYcjavSAqbs0/KcSlb86EPW&#10;LZ568yzvKIZm3VDi1P/hqJ+ANRQHGgyEdme8kzclte9W+PAgkJaEOk6LH+7pow1Q+aGTONsC/nrt&#10;PuJpdknLWU1Ll3P/cydQcWa+WprquKG9gL2w7gW7q5ZAMzCkJ8XJJJIBBtOLGqF6ovdgEb2QSlhJ&#10;vnIeenEZ2tWn90SqxSKBaA+dCLd25WSkjnWNw/jYPAl03cQGGvU76NdRTF8MbovtytrWrTvQ1qZN&#10;6F6Y+Cw8PyfU6R2c/wYAAP//AwBQSwMEFAAGAAgAAAAhAOM8BwLhAAAACwEAAA8AAABkcnMvZG93&#10;bnJldi54bWxMj0FOwzAQRfdI3MEaJDaIOiV1m4Y4FVRClAWLpj2AkwxxwB5HsduG22NWsBz9p//f&#10;FJvJGnbG0feOJMxnCTCkxrU9dRKOh5f7DJgPilplHKGEb/SwKa+vCpW37kJ7PFehY7GEfK4k6BCG&#10;nHPfaLTKz9yAFLMPN1oV4jl2vB3VJZZbwx+SZMmt6ikuaDXgVmPzVZ2shCzz2xX62pnP12p394bP&#10;8/27lvL2Znp6BBZwCn8w/OpHdSijU+1O1HpmJCxEKiIqIV2JNbBICJGlwOoYLdZL4GXB//9Q/gAA&#10;AP//AwBQSwECLQAUAAYACAAAACEAtoM4kv4AAADhAQAAEwAAAAAAAAAAAAAAAAAAAAAAW0NvbnRl&#10;bnRfVHlwZXNdLnhtbFBLAQItABQABgAIAAAAIQA4/SH/1gAAAJQBAAALAAAAAAAAAAAAAAAAAC8B&#10;AABfcmVscy8ucmVsc1BLAQItABQABgAIAAAAIQB/fdqvZwIAAE8FAAAOAAAAAAAAAAAAAAAAAC4C&#10;AABkcnMvZTJvRG9jLnhtbFBLAQItABQABgAIAAAAIQDjPAcC4QAAAAsBAAAPAAAAAAAAAAAAAAAA&#10;AMEEAABkcnMvZG93bnJldi54bWxQSwUGAAAAAAQABADzAAAAzwUAAAAA&#10;" fillcolor="white [3212]" stroked="f" strokeweight=".5pt">
                <v:textbox inset="0,0,0,0">
                  <w:txbxContent>
                    <w:p w14:paraId="4F8184C8"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Igła</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2" behindDoc="0" locked="0" layoutInCell="1" allowOverlap="1" wp14:anchorId="584421EE" wp14:editId="48D69B73">
                <wp:simplePos x="0" y="0"/>
                <wp:positionH relativeFrom="column">
                  <wp:posOffset>2823210</wp:posOffset>
                </wp:positionH>
                <wp:positionV relativeFrom="paragraph">
                  <wp:posOffset>1080135</wp:posOffset>
                </wp:positionV>
                <wp:extent cx="665480" cy="467995"/>
                <wp:effectExtent l="0" t="0" r="1270" b="8255"/>
                <wp:wrapNone/>
                <wp:docPr id="145" name="Text Box 145"/>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337C5"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84421EE" id="Text Box 145" o:spid="_x0000_s1243" type="#_x0000_t202" style="position:absolute;left:0;text-align:left;margin-left:222.3pt;margin-top:85.05pt;width:52.4pt;height:36.8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mrwaAIAAE8FAAAOAAAAZHJzL2Uyb0RvYy54bWysVN9v2jAQfp+0/8Hy+wh0hbWIUDEqpklV&#10;W41OfTaODdEcn3d2Sdhfv7OTQNf1pdNekrPvu+9+e3bVVIbtFfoSbM5HgyFnykooSrvN+feH1YcL&#10;znwQthAGrMr5QXl+NX//bla7qTqDHZhCISMS66e1y/kuBDfNMi93qhJ+AE5ZUmrASgQ64jYrUNTE&#10;XpnsbDicZDVg4RCk8p5ur1slnyd+rZUMd1p7FZjJOcUW0hfTdxO/2XwmplsUblfKLgzxD1FUorTk&#10;9Eh1LYJgT1j+RVWVEsGDDgMJVQZal1KlHCib0fBFNuudcCrlQsXx7lgm//9o5e1+7e6RheYzNNTA&#10;WJDa+amny5hPo7GKf4qUkZ5KeDiWTTWBSbqcTMbnF6SRpDqffLq8HEeW7GTs0IcvCioWhZwjdSUV&#10;S+xvfGihPST68mDKYlUakw5xEtTSINsL6uFmm0Ik8j9QxrKaAvk4HiZiC9G8ZTY20qg0C527U4JJ&#10;CgejIsbYb0qzskh5vuJbSKls6P0ndERpcvUWww5/iuotxm0eZJE8gw1H46q0gCn7tDynkhU/+pB1&#10;i6fePMs7iqHZNJQ49X+UehfvNlAcaDAQ2p3xTq5Kat+N8OFeIC0JdZwWP9zRRxug8kMncbYD/PXa&#10;fcTT7JKWs5qWLuf+55NAxZn5ammq44b2AvbCphfsU7UEmoERPSlOJpEMMJhe1AjVI70Hi+iFVMJK&#10;8pXz0IvL0K4+vSdSLRYJRHvoRLixaycjdaxrHMaH5lGg6yY20KjfQr+OYvpicFtsV9a2bt2BtjZt&#10;QvfCxGfh+TmhTu/g/DcAAAD//wMAUEsDBBQABgAIAAAAIQC/4GMf4AAAAAsBAAAPAAAAZHJzL2Rv&#10;d25yZXYueG1sTI/LTsMwEEX3SPyDNUhsEHVSTBtCnAoqIcqCRQMf4MRDHPAjit02/D3DCpaje3Tv&#10;mWozO8uOOMUheAn5IgOGvgt68L2E97en6wJYTMprZYNHCd8YYVOfn1Wq1OHk93hsUs+oxMdSSTAp&#10;jSXnsTPoVFyEET1lH2FyKtE59VxP6kTlzvJllq24U4OnBaNG3BrsvpqDk1AUcbvG2Ab7+dzsrl7w&#10;Md+/GikvL+aHe2AJ5/QHw68+qUNNTm04eB2ZlSCEWBFKwTrLgRFxK+4EsFbCUtwUwOuK//+h/gEA&#10;AP//AwBQSwECLQAUAAYACAAAACEAtoM4kv4AAADhAQAAEwAAAAAAAAAAAAAAAAAAAAAAW0NvbnRl&#10;bnRfVHlwZXNdLnhtbFBLAQItABQABgAIAAAAIQA4/SH/1gAAAJQBAAALAAAAAAAAAAAAAAAAAC8B&#10;AABfcmVscy8ucmVsc1BLAQItABQABgAIAAAAIQAn3mrwaAIAAE8FAAAOAAAAAAAAAAAAAAAAAC4C&#10;AABkcnMvZTJvRG9jLnhtbFBLAQItABQABgAIAAAAIQC/4GMf4AAAAAsBAAAPAAAAAAAAAAAAAAAA&#10;AMIEAABkcnMvZG93bnJldi54bWxQSwUGAAAAAAQABADzAAAAzwUAAAAA&#10;" fillcolor="white [3212]" stroked="f" strokeweight=".5pt">
                <v:textbox inset="0,0,0,0">
                  <w:txbxContent>
                    <w:p w14:paraId="5D6337C5"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Uchwyt dla palców</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1" behindDoc="0" locked="0" layoutInCell="1" allowOverlap="1" wp14:anchorId="6C166B82" wp14:editId="4D079D78">
                <wp:simplePos x="0" y="0"/>
                <wp:positionH relativeFrom="column">
                  <wp:posOffset>2785110</wp:posOffset>
                </wp:positionH>
                <wp:positionV relativeFrom="paragraph">
                  <wp:posOffset>505460</wp:posOffset>
                </wp:positionV>
                <wp:extent cx="665480" cy="365760"/>
                <wp:effectExtent l="0" t="0" r="1270" b="0"/>
                <wp:wrapNone/>
                <wp:docPr id="146" name="Text Box 146"/>
                <wp:cNvGraphicFramePr/>
                <a:graphic xmlns:a="http://schemas.openxmlformats.org/drawingml/2006/main">
                  <a:graphicData uri="http://schemas.microsoft.com/office/word/2010/wordprocessingShape">
                    <wps:wsp>
                      <wps:cNvSpPr txBox="1"/>
                      <wps:spPr>
                        <a:xfrm>
                          <a:off x="0" y="0"/>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32D39"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166B82" id="Text Box 146" o:spid="_x0000_s1244" type="#_x0000_t202" style="position:absolute;left:0;text-align:left;margin-left:219.3pt;margin-top:39.8pt;width:52.4pt;height:28.8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GXZgIAAE8FAAAOAAAAZHJzL2Uyb0RvYy54bWysVF1P2zAUfZ+0/2D5faSF0aGKFDEQ0yQE&#10;aDDx7Dp2G83x9WzTpPv1O3aSljFemPaSXPt+H597T8+6xrCN8qEmW/LpwYQzZSVVtV2V/PvD1YcT&#10;zkIUthKGrCr5VgV+tnj/7rR1c3VIazKV8gxBbJi3ruTrGN28KIJcq0aEA3LKQqnJNyLi6FdF5UWL&#10;6I0pDieTWdGSr5wnqULA7WWv5IscX2sl463WQUVmSo7aYv76/F2mb7E4FfOVF25dy6EM8Q9VNKK2&#10;SLoLdSmiYE++/itUU0tPgXQ8kNQUpHUtVe4B3UwnL7q5Xwunci8AJ7gdTOH/hZU3m3t351nsPlOH&#10;B0yAtC7MAy5TP532TfqjUgY9INzuYFNdZBKXs9nxxxNoJFRHs+NPswxrsXd2PsQvihqWhJJ7vEoG&#10;S2yuQ0RCmI4mKVcgU1dXtTH5kJigLoxnG4E3XK5yifD4w8pY1qKQo+NJDmwpufeRjU1hVObCkG7f&#10;YJbi1qhkY+w3pVld5T5fyS2kVDaO+bN1stJI9RbHwX5f1Vuc+z7gkTOTjTvnprbkc/d5ePaQVT/G&#10;knVvD8Cf9Z3E2C07NI73n85GBiyp2oIYnvqZCU5e1Xi+axHinfAYErw4Bj/e4qMNAX4aJM7W5H+9&#10;dp/swV1oOWsxdCUPP5+EV5yZrxasThM6Cn4UlqNgn5oLAgemWClOZhEOPppR1J6aR+yD85QFKmEl&#10;coE0o3gR+9HHPpHq/DwbYQ6diNf23skUOuGayPjQPQrvBsZGUP2GxnEU8xfE7W0HWHvchgOmNtN7&#10;2DBpLTw/Z6v9Hlz8BgAA//8DAFBLAwQUAAYACAAAACEAf6c/GeEAAAAKAQAADwAAAGRycy9kb3du&#10;cmV2LnhtbEyPy07DMBBF90j8gzVI7KhDHfoIcSqECF2wokTQpRubJKo9jmI3Tf+eYQWr0WiO7pyb&#10;byZn2WiG0HmUcD9LgBmsve6wkVB9lHcrYCEq1Mp6NBIuJsCmuL7KVab9Gd/NuIsNoxAMmZLQxthn&#10;nIe6NU6Fme8N0u3bD05FWoeG60GdKdxZPk+SBXeqQ/rQqt48t6Y+7k5Ogr2IvtqLt9J+frnt9liN&#10;5esLl/L2Znp6BBbNFP9g+NUndSjI6eBPqAOzElKxWhAqYbmmScBDKlJgByLFcg68yPn/CsUPAAAA&#10;//8DAFBLAQItABQABgAIAAAAIQC2gziS/gAAAOEBAAATAAAAAAAAAAAAAAAAAAAAAABbQ29udGVu&#10;dF9UeXBlc10ueG1sUEsBAi0AFAAGAAgAAAAhADj9If/WAAAAlAEAAAsAAAAAAAAAAAAAAAAALwEA&#10;AF9yZWxzLy5yZWxzUEsBAi0AFAAGAAgAAAAhAHxMcZdmAgAATwUAAA4AAAAAAAAAAAAAAAAALgIA&#10;AGRycy9lMm9Eb2MueG1sUEsBAi0AFAAGAAgAAAAhAH+nPxnhAAAACgEAAA8AAAAAAAAAAAAAAAAA&#10;wAQAAGRycy9kb3ducmV2LnhtbFBLBQYAAAAABAAEAPMAAADOBQAAAAA=&#10;" fillcolor="white [3212]" stroked="f" strokeweight=".5pt">
                <v:textbox inset="0,0,0,0">
                  <w:txbxContent>
                    <w:p w14:paraId="62F32D39"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Tłok</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6" behindDoc="0" locked="0" layoutInCell="1" allowOverlap="1" wp14:anchorId="52323F6B" wp14:editId="6CB7CF26">
                <wp:simplePos x="0" y="0"/>
                <wp:positionH relativeFrom="column">
                  <wp:posOffset>3745230</wp:posOffset>
                </wp:positionH>
                <wp:positionV relativeFrom="paragraph">
                  <wp:posOffset>3274695</wp:posOffset>
                </wp:positionV>
                <wp:extent cx="665480" cy="375285"/>
                <wp:effectExtent l="0" t="0" r="1270" b="5715"/>
                <wp:wrapNone/>
                <wp:docPr id="148" name="Text Box 148"/>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54695D"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2323F6B" id="Text Box 148" o:spid="_x0000_s1245" type="#_x0000_t202" style="position:absolute;left:0;text-align:left;margin-left:294.9pt;margin-top:257.85pt;width:52.4pt;height:29.5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D3ZwIAAE8FAAAOAAAAZHJzL2Uyb0RvYy54bWysVN9v2jAQfp+0/8Hy+wi0gyJEqFirTpNQ&#10;W7Wd+mwcG6I5Pu9sSNhfv7OTQNf1pdNekrPvu+9+e37ZVIbtFfoSbM5HgyFnykooSrvJ+fenm09T&#10;znwQthAGrMr5QXl+ufj4YV67mTqDLZhCISMS62e1y/k2BDfLMi+3qhJ+AE5ZUmrASgQ64iYrUNTE&#10;XpnsbDicZDVg4RCk8p5ur1slXyR+rZUMd1p7FZjJOcUW0hfTdx2/2WIuZhsUblvKLgzxD1FUorTk&#10;9Eh1LYJgOyz/oqpKieBBh4GEKgOtS6lSDpTNaPgqm8etcCrlQsXx7lgm//9o5e3+0d0jC80XaKiB&#10;sSC18zNPlzGfRmMV/xQpIz2V8HAsm2oCk3Q5mYw/T0kjSXV+MT6bjiNLdjJ26MNXBRWLQs6RupKK&#10;JfYrH1poD4m+PJiyuCmNSYc4CerKINsL6uF6k0Ik8j9QxrKaAjkfDxOxhWjeMhsbaVSahc7dKcEk&#10;hYNREWPsg9KsLFKeb/gWUiobev8JHVGaXL3HsMOfonqPcZsHWSTPYMPRuCotYMo+Lc+pZMWPPmTd&#10;4qk3L/KOYmjWDSVO/R9d9BOwhuJAg4HQ7ox38qak9q2ED/cCaUmo47T44Y4+2gCVHzqJsy3gr7fu&#10;I55ml7Sc1bR0Ofc/dwIVZ+abpamOG9oL2AvrXrC76gpoBkb0pDiZRDLAYHpRI1TP9B4soxdSCSvJ&#10;V85DL16FdvXpPZFquUwg2kMnwso+OhmpY13jMD41zwJdN7GBRv0W+nUUs1eD22K7srZ16w60tWkT&#10;uhcmPgsvzwl1egcXvwEAAP//AwBQSwMEFAAGAAgAAAAhAFAwcmfhAAAACwEAAA8AAABkcnMvZG93&#10;bnJldi54bWxMj8FOwzAQRO9I/IO1SFwQdYLaxA1xKqiEoAcODf0AJ97GgdiOYrcNf89ygtvu7Gjm&#10;bbmZ7cDOOIXeOwnpIgGGrvW6d52Ew8fLvQAWonJaDd6hhG8MsKmur0pVaH9xezzXsWMU4kKhJJgY&#10;x4Lz0Bq0Kiz8iI5uRz9ZFWmdOq4ndaFwO/CHJMm4Vb2jBqNG3Bpsv+qTlSBE2OYYGj98vtZvdzt8&#10;TvfvRsrbm/npEVjEOf6Z4Ref0KEipsafnA5skLASa0KPNKSrHBg5svUyA9aQki8F8Krk/3+ofgAA&#10;AP//AwBQSwECLQAUAAYACAAAACEAtoM4kv4AAADhAQAAEwAAAAAAAAAAAAAAAAAAAAAAW0NvbnRl&#10;bnRfVHlwZXNdLnhtbFBLAQItABQABgAIAAAAIQA4/SH/1gAAAJQBAAALAAAAAAAAAAAAAAAAAC8B&#10;AABfcmVscy8ucmVsc1BLAQItABQABgAIAAAAIQB6FtD3ZwIAAE8FAAAOAAAAAAAAAAAAAAAAAC4C&#10;AABkcnMvZTJvRG9jLnhtbFBLAQItABQABgAIAAAAIQBQMHJn4QAAAAsBAAAPAAAAAAAAAAAAAAAA&#10;AMEEAABkcnMvZG93bnJldi54bWxQSwUGAAAAAAQABADzAAAAzwUAAAAA&#10;" fillcolor="white [3212]" stroked="f" strokeweight=".5pt">
                <v:textbox inset="0,0,0,0">
                  <w:txbxContent>
                    <w:p w14:paraId="6954695D"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5" behindDoc="0" locked="0" layoutInCell="1" allowOverlap="1" wp14:anchorId="6292D87E" wp14:editId="368844FF">
                <wp:simplePos x="0" y="0"/>
                <wp:positionH relativeFrom="column">
                  <wp:posOffset>2012950</wp:posOffset>
                </wp:positionH>
                <wp:positionV relativeFrom="paragraph">
                  <wp:posOffset>3267710</wp:posOffset>
                </wp:positionV>
                <wp:extent cx="665480" cy="375285"/>
                <wp:effectExtent l="0" t="0" r="1270" b="5715"/>
                <wp:wrapNone/>
                <wp:docPr id="149" name="Text Box 149"/>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01D87"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92D87E" id="Text Box 149" o:spid="_x0000_s1246" type="#_x0000_t202" style="position:absolute;left:0;text-align:left;margin-left:158.5pt;margin-top:257.3pt;width:52.4pt;height:29.5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QiZwIAAE8FAAAOAAAAZHJzL2Uyb0RvYy54bWysVN9v2jAQfp+0/8Hy+xqggyFEqBhVp0lV&#10;W41OfTaODdEcn3c2JOyv39lJoOv60mkvydn33Xe/Pb9qKsMOCn0JNufDiwFnykooSrvN+ffHmw9T&#10;znwQthAGrMr5UXl+tXj/bl67mRrBDkyhkBGJ9bPa5XwXgptlmZc7VQl/AU5ZUmrASgQ64jYrUNTE&#10;XplsNBhMshqwcAhSeU+3162SLxK/1kqGe629CszknGIL6Yvpu4nfbDEXsy0KtytlF4b4hygqUVpy&#10;eqK6FkGwPZZ/UVWlRPCgw4WEKgOtS6lSDpTNcPAim/VOOJVyoeJ4dyqT/3+08u6wdg/IQvMZGmpg&#10;LEjt/MzTZcyn0VjFP0XKSE8lPJ7KpprAJF1OJuOPU9JIUl1+Go+m48iSnY0d+vBFQcWikHOkrqRi&#10;icOtDy20h0RfHkxZ3JTGpEOcBLUyyA6CerjZphCJ/A+UsaymQC7Hg0RsIZq3zMZGGpVmoXN3TjBJ&#10;4WhUxBj7TWlWFinPV3wLKZUNvf+EjihNrt5i2OHPUb3FuM2DLJJnsOFkXJUWMGWfludcsuJHH7Ju&#10;8dSbZ3lHMTSbhhKn/g+n/QRsoDjSYCC0O+OdvCmpfbfChweBtCTUcVr8cE8fbYDKD53E2Q7w12v3&#10;EU+zS1rOalq6nPufe4GKM/PV0lTHDe0F7IVNL9h9tQKagSE9KU4mkQwwmF7UCNUTvQfL6IVUwkry&#10;lfPQi6vQrj69J1ItlwlEe+hEuLVrJyN1rGscxsfmSaDrJjbQqN9Bv45i9mJwW2xX1rZu3YG2Nm1C&#10;98LEZ+H5OaHO7+DiNwAAAP//AwBQSwMEFAAGAAgAAAAhACKFLRLgAAAACwEAAA8AAABkcnMvZG93&#10;bnJldi54bWxMj8tOwzAQRfdI/IM1SGwQddyWJgpxKqiEoAsWDXyAEw9xwI8odtvw9wwrWM7M1Z1z&#10;qu3sLDvhFIfgJYhFBgx9F/Tgewnvb0+3BbCYlNfKBo8SvjHCtr68qFSpw9kf8NSknlGJj6WSYFIa&#10;S85jZ9CpuAgjerp9hMmpROPUcz2pM5U7y5dZtuFODZ4+GDXizmD31RydhKKIuxxjG+znc/Nys8dH&#10;cXg1Ul5fzQ/3wBLO6S8Mv/iEDjUxteHodWRWwkrk5JIk3In1Bhgl1ktBMi1t8lUOvK74f4f6BwAA&#10;//8DAFBLAQItABQABgAIAAAAIQC2gziS/gAAAOEBAAATAAAAAAAAAAAAAAAAAAAAAABbQ29udGVu&#10;dF9UeXBlc10ueG1sUEsBAi0AFAAGAAgAAAAhADj9If/WAAAAlAEAAAsAAAAAAAAAAAAAAAAALwEA&#10;AF9yZWxzLy5yZWxzUEsBAi0AFAAGAAgAAAAhALBopCJnAgAATwUAAA4AAAAAAAAAAAAAAAAALgIA&#10;AGRycy9lMm9Eb2MueG1sUEsBAi0AFAAGAAgAAAAhACKFLRLgAAAACwEAAA8AAAAAAAAAAAAAAAAA&#10;wQQAAGRycy9kb3ducmV2LnhtbFBLBQYAAAAABAAEAPMAAADOBQAAAAA=&#10;" fillcolor="white [3212]" stroked="f" strokeweight=".5pt">
                <v:textbox inset="0,0,0,0">
                  <w:txbxContent>
                    <w:p w14:paraId="49E01D87"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00094D21" w:rsidRPr="008F328C">
        <w:rPr>
          <w:rFonts w:ascii="Times New Roman" w:hAnsi="Times New Roman" w:cs="Times New Roman"/>
          <w:noProof/>
          <w:lang w:eastAsia="ko-KR"/>
        </w:rPr>
        <mc:AlternateContent>
          <mc:Choice Requires="wps">
            <w:drawing>
              <wp:anchor distT="0" distB="0" distL="114300" distR="114300" simplePos="0" relativeHeight="251658360" behindDoc="0" locked="0" layoutInCell="1" allowOverlap="1" wp14:anchorId="24CBC1B5" wp14:editId="37D2F2C7">
                <wp:simplePos x="0" y="0"/>
                <wp:positionH relativeFrom="column">
                  <wp:posOffset>1343025</wp:posOffset>
                </wp:positionH>
                <wp:positionV relativeFrom="paragraph">
                  <wp:posOffset>1693545</wp:posOffset>
                </wp:positionV>
                <wp:extent cx="665979" cy="365760"/>
                <wp:effectExtent l="0" t="0" r="1270" b="0"/>
                <wp:wrapNone/>
                <wp:docPr id="150" name="Text Box 150"/>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173B6A"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4CBC1B5" id="Text Box 150" o:spid="_x0000_s1247" type="#_x0000_t202" style="position:absolute;left:0;text-align:left;margin-left:105.75pt;margin-top:133.35pt;width:52.45pt;height:28.8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yWaQIAAFEFAAAOAAAAZHJzL2Uyb0RvYy54bWysVN9v2jAQfp+0/8Hy+wi0Kh2IUDGqTpOq&#10;tiqd+mwcG6I5Pu9sSNhfv7OTQNf1pdNekrPv9+fvbnbVVIbtFfoSbM5HgyFnykooSrvJ+fenm0+f&#10;OfNB2EIYsCrnB+X51fzjh1ntpuoMtmAKhYyCWD+tXc63Ibhplnm5VZXwA3DKklIDViLQETdZgaKm&#10;6JXJzobDcVYDFg5BKu/p9rpV8nmKr7WS4V5rrwIzOafaQvpi+q7jN5vPxHSDwm1L2ZUh/qGKSpSW&#10;kh5DXYsg2A7Lv0JVpUTwoMNAQpWB1qVUqQfqZjR81c1qK5xKvRA43h1h8v8vrLzbr9wDstB8gYYe&#10;MAJSOz/1dBn7aTRW8U+VMtIThIcjbKoJTNLleHwxuZxwJkl1Pr64HCdYs5OzQx++KqhYFHKO9CoJ&#10;LLG/9YESkmlvEnN5MGVxUxqTDpEJammQ7QW94XqTSiSPP6yMZTUVcn4xTIEtRPc2srExjEpc6NKd&#10;GkxSOBgVbYx9VJqVRerzjdxCSmVDnz9ZRytNqd7j2NmfqnqPc9sHeaTMYMPRuSotYOo+Dc8JsuJH&#10;X7Ju7QnwF31HMTTrhhqn9x9NegasoTgQMRDamfFO3pT0fLfChweBNCTEBRr8cE8fbYDgh07ibAv4&#10;6637aE/cJS1nNQ1dzv3PnUDFmflmidVxQnsBe2HdC3ZXLYE4MKKV4mQSyQGD6UWNUD3TPljELKQS&#10;VlKunMuA/WEZ2uGnjSLVYpHMaBKdCLd25WQMHpGNdHxqngW6jrOByH4H/UCK6SvqtrYdsC1y3YHm&#10;NhG82zFxMbw8J6vTJpz/BgAA//8DAFBLAwQUAAYACAAAACEAqu/I2t0AAAALAQAADwAAAGRycy9k&#10;b3ducmV2LnhtbEyP3U6EMBBG7018h2ZMvHPLz25VpGxWo4m3rD5AgRFQOkXaBXx7x6v17pvMyTdn&#10;8v1qBzHj5HtHGuJNBAKpdk1PrYb3t5ebOxA+GGrM4Ag1/KCHfXF5kZuscQuVOB9DK7iEfGY0dCGM&#10;mZS+7tAav3EjEu8+3GRN4HFqZTOZhcvtIJMoUtKanvhCZ0Z86rD+Op6shhnLrtx9Pj7fJ4s8VOaV&#10;6FulWl9frYcHEAHXcIbhT5/VoWCnyp2o8WLQkMTxjlEOSt2CYCKN1RZExSHZpiCLXP7/ofgFAAD/&#10;/wMAUEsBAi0AFAAGAAgAAAAhALaDOJL+AAAA4QEAABMAAAAAAAAAAAAAAAAAAAAAAFtDb250ZW50&#10;X1R5cGVzXS54bWxQSwECLQAUAAYACAAAACEAOP0h/9YAAACUAQAACwAAAAAAAAAAAAAAAAAvAQAA&#10;X3JlbHMvLnJlbHNQSwECLQAUAAYACAAAACEAN8B8lmkCAABRBQAADgAAAAAAAAAAAAAAAAAuAgAA&#10;ZHJzL2Uyb0RvYy54bWxQSwECLQAUAAYACAAAACEAqu/I2t0AAAALAQAADwAAAAAAAAAAAAAAAADD&#10;BAAAZHJzL2Rvd25yZXYueG1sUEsFBgAAAAAEAAQA8wAAAM0FAAAAAA==&#10;" fillcolor="white [3212]" stroked="f" strokeweight=".5pt">
                <v:textbox inset="0,0,0,0">
                  <w:txbxContent>
                    <w:p w14:paraId="7B173B6A" w14:textId="77777777" w:rsidR="006D7011" w:rsidRDefault="006D7011" w:rsidP="00094D21">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pl-PL"/>
                        </w:rPr>
                        <w:t>Lek</w:t>
                      </w:r>
                    </w:p>
                  </w:txbxContent>
                </v:textbox>
              </v:shape>
            </w:pict>
          </mc:Fallback>
        </mc:AlternateContent>
      </w:r>
      <w:r w:rsidR="00094D21" w:rsidRPr="008F328C">
        <w:rPr>
          <w:rFonts w:ascii="Times New Roman" w:hAnsi="Times New Roman" w:cs="Times New Roman"/>
          <w:noProof/>
          <w:lang w:eastAsia="ko-KR"/>
        </w:rPr>
        <w:drawing>
          <wp:inline distT="0" distB="0" distL="0" distR="0" wp14:anchorId="32B894B6" wp14:editId="64AEEFDD">
            <wp:extent cx="4024071" cy="3795830"/>
            <wp:effectExtent l="0" t="0" r="0" b="0"/>
            <wp:docPr id="3946" name="그림 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 name="그림 3946"/>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4024071" cy="3795830"/>
                    </a:xfrm>
                    <a:prstGeom prst="rect">
                      <a:avLst/>
                    </a:prstGeom>
                    <a:noFill/>
                    <a:ln>
                      <a:noFill/>
                    </a:ln>
                  </pic:spPr>
                </pic:pic>
              </a:graphicData>
            </a:graphic>
          </wp:inline>
        </w:drawing>
      </w:r>
    </w:p>
    <w:p w14:paraId="2FAB26AF" w14:textId="77777777" w:rsidR="00094D21" w:rsidRPr="008F328C" w:rsidRDefault="00094D21" w:rsidP="00094D21">
      <w:pPr>
        <w:spacing w:before="10" w:line="240" w:lineRule="exact"/>
        <w:ind w:left="6480" w:firstLineChars="500" w:firstLine="1001"/>
        <w:rPr>
          <w:rFonts w:ascii="Times New Roman" w:hAnsi="Times New Roman" w:cs="Times New Roman"/>
          <w:b/>
          <w:sz w:val="20"/>
          <w:szCs w:val="24"/>
          <w:highlight w:val="lightGray"/>
          <w:lang w:val="pl-PL" w:eastAsia="ko-KR"/>
        </w:rPr>
      </w:pPr>
      <w:r w:rsidRPr="008F328C">
        <w:rPr>
          <w:rFonts w:ascii="Times New Roman" w:eastAsia="Times New Roman" w:hAnsi="Times New Roman" w:cs="Times New Roman"/>
          <w:b/>
          <w:bCs/>
          <w:sz w:val="20"/>
          <w:szCs w:val="20"/>
          <w:highlight w:val="lightGray"/>
          <w:lang w:val="pl-PL" w:eastAsia="ko-KR"/>
        </w:rPr>
        <w:t>Rysunek A</w:t>
      </w:r>
    </w:p>
    <w:p w14:paraId="53F7CAEF" w14:textId="77777777" w:rsidR="00094D21" w:rsidRPr="008F328C" w:rsidRDefault="00094D21" w:rsidP="00094D21">
      <w:pPr>
        <w:spacing w:before="10" w:line="240" w:lineRule="exact"/>
        <w:rPr>
          <w:rFonts w:ascii="Times New Roman" w:hAnsi="Times New Roman" w:cs="Times New Roman"/>
          <w:sz w:val="24"/>
          <w:szCs w:val="24"/>
          <w:highlight w:val="lightGray"/>
          <w:lang w:val="pl-PL"/>
        </w:rPr>
      </w:pPr>
    </w:p>
    <w:p w14:paraId="643117FA" w14:textId="77777777" w:rsidR="00094D21" w:rsidRPr="008F328C" w:rsidRDefault="00094D21" w:rsidP="00094D21">
      <w:pPr>
        <w:pStyle w:val="a3"/>
        <w:rPr>
          <w:b/>
          <w:highlight w:val="lightGray"/>
          <w:lang w:val="pl-PL"/>
        </w:rPr>
      </w:pPr>
      <w:r w:rsidRPr="008F328C">
        <w:rPr>
          <w:rFonts w:eastAsia="Times New Roman"/>
          <w:b/>
          <w:bCs/>
          <w:highlight w:val="lightGray"/>
          <w:lang w:val="pl-PL"/>
        </w:rPr>
        <w:t>Nie używać ampułko-strzykawki, jeżeli:</w:t>
      </w:r>
    </w:p>
    <w:p w14:paraId="4A71B3E7" w14:textId="77777777" w:rsidR="00094D21" w:rsidRPr="008F328C" w:rsidRDefault="00094D21" w:rsidP="00094D21">
      <w:pPr>
        <w:pStyle w:val="a3"/>
        <w:numPr>
          <w:ilvl w:val="1"/>
          <w:numId w:val="24"/>
        </w:numPr>
        <w:ind w:left="660" w:hanging="660"/>
        <w:rPr>
          <w:highlight w:val="lightGray"/>
          <w:lang w:val="pl-PL"/>
        </w:rPr>
      </w:pPr>
      <w:r w:rsidRPr="008F328C">
        <w:rPr>
          <w:rFonts w:eastAsia="Times New Roman"/>
          <w:highlight w:val="lightGray"/>
          <w:lang w:val="pl-PL"/>
        </w:rPr>
        <w:t xml:space="preserve">jest pęknięta lub uszkodzona. </w:t>
      </w:r>
    </w:p>
    <w:p w14:paraId="070F75D8" w14:textId="77777777" w:rsidR="00094D21" w:rsidRPr="008F328C" w:rsidRDefault="00094D21" w:rsidP="00094D21">
      <w:pPr>
        <w:pStyle w:val="a3"/>
        <w:numPr>
          <w:ilvl w:val="1"/>
          <w:numId w:val="24"/>
        </w:numPr>
        <w:ind w:left="660" w:hanging="660"/>
        <w:rPr>
          <w:highlight w:val="lightGray"/>
          <w:lang w:val="pl-PL"/>
        </w:rPr>
      </w:pPr>
      <w:r w:rsidRPr="008F328C">
        <w:rPr>
          <w:rFonts w:eastAsia="Times New Roman"/>
          <w:highlight w:val="lightGray"/>
          <w:lang w:val="pl-PL"/>
        </w:rPr>
        <w:t xml:space="preserve">upłynął termin ważności. </w:t>
      </w:r>
    </w:p>
    <w:p w14:paraId="0CFBF3AC" w14:textId="38BFB679" w:rsidR="009278CA" w:rsidRPr="008F328C" w:rsidRDefault="009278CA" w:rsidP="00094D21">
      <w:pPr>
        <w:pStyle w:val="a3"/>
        <w:numPr>
          <w:ilvl w:val="1"/>
          <w:numId w:val="24"/>
        </w:numPr>
        <w:ind w:left="660" w:hanging="660"/>
        <w:rPr>
          <w:highlight w:val="lightGray"/>
          <w:lang w:val="pl-PL"/>
        </w:rPr>
      </w:pPr>
      <w:r w:rsidRPr="008F328C">
        <w:rPr>
          <w:rFonts w:eastAsia="Times New Roman"/>
          <w:highlight w:val="lightGray"/>
          <w:lang w:val="pl-PL"/>
        </w:rPr>
        <w:t>została upuszczona na twardą powierzchnię.</w:t>
      </w:r>
    </w:p>
    <w:p w14:paraId="77289989" w14:textId="77777777" w:rsidR="00094D21" w:rsidRPr="008F328C" w:rsidRDefault="00094D21" w:rsidP="00094D21">
      <w:pPr>
        <w:pStyle w:val="Default"/>
        <w:numPr>
          <w:ilvl w:val="2"/>
          <w:numId w:val="21"/>
        </w:numPr>
        <w:ind w:left="360"/>
        <w:rPr>
          <w:rFonts w:ascii="Times New Roman" w:hAnsi="Times New Roman" w:cs="Times New Roman"/>
          <w:color w:val="211D1E"/>
          <w:sz w:val="20"/>
          <w:szCs w:val="20"/>
          <w:highlight w:val="lightGray"/>
          <w:lang w:val="pl-PL"/>
        </w:rPr>
      </w:pPr>
    </w:p>
    <w:p w14:paraId="6B971434" w14:textId="77777777" w:rsidR="00094D21" w:rsidRPr="008F328C" w:rsidRDefault="00094D21" w:rsidP="00094D21">
      <w:pPr>
        <w:pStyle w:val="a3"/>
        <w:rPr>
          <w:b/>
          <w:lang w:val="pl-PL"/>
        </w:rPr>
      </w:pPr>
      <w:r w:rsidRPr="008F328C">
        <w:rPr>
          <w:rFonts w:eastAsia="Times New Roman"/>
          <w:b/>
          <w:bCs/>
          <w:highlight w:val="lightGray"/>
          <w:lang w:val="pl-PL"/>
        </w:rPr>
        <w:t>Osłonę zabezpieczającą igłę usunąć bezpośrednio przed wstrzyknięciem. Lek Yuflyma przechowywać w miejscu niewidocznym i niedostępnym dla dzieci.</w:t>
      </w:r>
    </w:p>
    <w:p w14:paraId="1DEEFD6A" w14:textId="77777777" w:rsidR="00094D21" w:rsidRPr="008F328C" w:rsidRDefault="00094D21" w:rsidP="00094D21">
      <w:pPr>
        <w:rPr>
          <w:rFonts w:ascii="Times New Roman" w:eastAsia="Times New Roman" w:hAnsi="Times New Roman" w:cs="Times New Roman"/>
          <w:b/>
          <w:bCs/>
          <w:spacing w:val="-1"/>
          <w:lang w:val="pl-PL"/>
        </w:rPr>
      </w:pPr>
      <w:r w:rsidRPr="008F328C">
        <w:rPr>
          <w:rFonts w:ascii="Times New Roman" w:hAnsi="Times New Roman" w:cs="Times New Roman"/>
          <w:spacing w:val="-1"/>
          <w:lang w:val="pl-PL"/>
        </w:rPr>
        <w:br w:type="page"/>
      </w:r>
    </w:p>
    <w:tbl>
      <w:tblPr>
        <w:tblStyle w:val="ac"/>
        <w:tblW w:w="0" w:type="auto"/>
        <w:tblLook w:val="04A0" w:firstRow="1" w:lastRow="0" w:firstColumn="1" w:lastColumn="0" w:noHBand="0" w:noVBand="1"/>
      </w:tblPr>
      <w:tblGrid>
        <w:gridCol w:w="9394"/>
      </w:tblGrid>
      <w:tr w:rsidR="00094D21" w:rsidRPr="008F328C" w14:paraId="657C9E3B" w14:textId="77777777" w:rsidTr="008A03B2">
        <w:trPr>
          <w:trHeight w:val="2545"/>
        </w:trPr>
        <w:tc>
          <w:tcPr>
            <w:tcW w:w="9550" w:type="dxa"/>
          </w:tcPr>
          <w:p w14:paraId="747C7BFC" w14:textId="77777777" w:rsidR="00094D21" w:rsidRPr="008F328C" w:rsidRDefault="00094D21" w:rsidP="008A03B2">
            <w:pPr>
              <w:ind w:left="224" w:right="1248"/>
              <w:rPr>
                <w:rFonts w:ascii="Times New Roman" w:eastAsia="Times New Roman" w:hAnsi="Times New Roman" w:cs="Times New Roman"/>
                <w:b/>
                <w:bCs/>
                <w:spacing w:val="-1"/>
                <w:lang w:val="pl-PL"/>
              </w:rPr>
            </w:pPr>
          </w:p>
          <w:p w14:paraId="66AD6064" w14:textId="77777777" w:rsidR="00094D21" w:rsidRPr="008F328C" w:rsidRDefault="00094D21" w:rsidP="008A03B2">
            <w:pPr>
              <w:spacing w:before="9" w:line="240" w:lineRule="exact"/>
              <w:rPr>
                <w:rFonts w:ascii="Times New Roman" w:hAnsi="Times New Roman" w:cs="Times New Roman"/>
                <w:sz w:val="24"/>
                <w:szCs w:val="24"/>
                <w:lang w:val="pl-PL"/>
              </w:rPr>
            </w:pPr>
          </w:p>
          <w:p w14:paraId="2457C142"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Przygotować materiały potrzebne do wykonania wstrzyknięcie</w:t>
            </w:r>
          </w:p>
          <w:p w14:paraId="559DCE27" w14:textId="77777777" w:rsidR="00094D21" w:rsidRPr="008F328C" w:rsidRDefault="00094D21" w:rsidP="008A03B2">
            <w:pPr>
              <w:pStyle w:val="a3"/>
              <w:numPr>
                <w:ilvl w:val="0"/>
                <w:numId w:val="0"/>
              </w:numPr>
              <w:ind w:left="580"/>
              <w:rPr>
                <w:b/>
                <w:highlight w:val="lightGray"/>
                <w:lang w:val="pl-PL"/>
              </w:rPr>
            </w:pPr>
          </w:p>
          <w:p w14:paraId="21FA8B75" w14:textId="77777777" w:rsidR="00094D21" w:rsidRPr="008F328C" w:rsidRDefault="00094D21" w:rsidP="008A03B2">
            <w:pPr>
              <w:pStyle w:val="a3"/>
              <w:ind w:leftChars="194" w:left="427"/>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Przygotować czystą, płaską powierzchnię, taką jak stół lub blat, w dobrze oświetlonym miejscu.</w:t>
            </w:r>
          </w:p>
          <w:p w14:paraId="23C4C074" w14:textId="77777777" w:rsidR="00094D21" w:rsidRPr="008F328C" w:rsidRDefault="00094D21" w:rsidP="008A03B2">
            <w:pPr>
              <w:pStyle w:val="a3"/>
              <w:ind w:leftChars="194" w:left="427"/>
              <w:rPr>
                <w:highlight w:val="lightGray"/>
                <w:lang w:val="pl-PL" w:eastAsia="ko-KR"/>
              </w:rPr>
            </w:pPr>
            <w:r w:rsidRPr="008F328C">
              <w:rPr>
                <w:rFonts w:eastAsia="Times New Roman"/>
                <w:b/>
                <w:bCs/>
                <w:highlight w:val="lightGray"/>
                <w:lang w:val="pl-PL" w:eastAsia="ko-KR"/>
              </w:rPr>
              <w:t>b.</w:t>
            </w:r>
            <w:r w:rsidRPr="008F328C">
              <w:rPr>
                <w:rFonts w:eastAsia="Times New Roman"/>
                <w:highlight w:val="lightGray"/>
                <w:lang w:val="pl-PL" w:eastAsia="ko-KR"/>
              </w:rPr>
              <w:t xml:space="preserve"> Wyjąć 1 ampułko-strzykawkę z kartonika przechowywanego w lodówce.</w:t>
            </w:r>
          </w:p>
          <w:p w14:paraId="4E17D76A" w14:textId="77777777" w:rsidR="00094D21" w:rsidRPr="008F328C" w:rsidRDefault="00094D21" w:rsidP="008A03B2">
            <w:pPr>
              <w:pStyle w:val="a3"/>
              <w:ind w:leftChars="300" w:left="660" w:rightChars="100" w:right="220"/>
              <w:rPr>
                <w:highlight w:val="lightGray"/>
                <w:lang w:val="pl-PL" w:eastAsia="ko-KR"/>
              </w:rPr>
            </w:pPr>
            <w:r w:rsidRPr="008F328C">
              <w:rPr>
                <w:rFonts w:eastAsia="맑은 고딕"/>
                <w:highlight w:val="lightGray"/>
                <w:lang w:val="pl-PL" w:eastAsia="ko-KR"/>
              </w:rPr>
              <w:t>•</w:t>
            </w:r>
            <w:r w:rsidRPr="008F328C">
              <w:rPr>
                <w:rFonts w:eastAsia="Times New Roman"/>
                <w:highlight w:val="lightGray"/>
                <w:lang w:val="pl-PL" w:eastAsia="ko-KR"/>
              </w:rPr>
              <w:t xml:space="preserve"> Przytrzymać korpus ampułko-strzykawki podczas wyjmowania go z kartonika.</w:t>
            </w:r>
            <w:r w:rsidRPr="008F328C">
              <w:rPr>
                <w:rFonts w:eastAsia="Times New Roman"/>
                <w:b/>
                <w:bCs/>
                <w:highlight w:val="lightGray"/>
                <w:lang w:val="pl-PL" w:eastAsia="ko-KR"/>
              </w:rPr>
              <w:t xml:space="preserve"> Nie </w:t>
            </w:r>
            <w:r w:rsidRPr="008F328C">
              <w:rPr>
                <w:rFonts w:eastAsia="Times New Roman"/>
                <w:highlight w:val="lightGray"/>
                <w:lang w:val="pl-PL" w:eastAsia="ko-KR"/>
              </w:rPr>
              <w:t>dotykać tłoka.</w:t>
            </w:r>
          </w:p>
          <w:p w14:paraId="03AFDCF8" w14:textId="77777777" w:rsidR="00094D21" w:rsidRPr="008F328C" w:rsidRDefault="00094D21" w:rsidP="008A03B2">
            <w:pPr>
              <w:pStyle w:val="a3"/>
              <w:ind w:leftChars="194" w:left="427"/>
              <w:rPr>
                <w:highlight w:val="lightGray"/>
                <w:lang w:val="pl-PL" w:eastAsia="ko-KR"/>
              </w:rPr>
            </w:pPr>
            <w:r w:rsidRPr="008F328C">
              <w:rPr>
                <w:rFonts w:eastAsia="Times New Roman"/>
                <w:b/>
                <w:bCs/>
                <w:highlight w:val="lightGray"/>
                <w:lang w:val="pl-PL" w:eastAsia="ko-KR"/>
              </w:rPr>
              <w:t>c.</w:t>
            </w:r>
            <w:r w:rsidRPr="008F328C">
              <w:rPr>
                <w:rFonts w:eastAsia="Times New Roman"/>
                <w:highlight w:val="lightGray"/>
                <w:lang w:val="pl-PL" w:eastAsia="ko-KR"/>
              </w:rPr>
              <w:t xml:space="preserve"> Należy upewnić się, że są dostępne następujące materiały:</w:t>
            </w:r>
          </w:p>
          <w:p w14:paraId="0CBCD94F" w14:textId="77777777" w:rsidR="00094D21" w:rsidRPr="008F328C" w:rsidRDefault="00094D21" w:rsidP="008A03B2">
            <w:pPr>
              <w:pStyle w:val="a3"/>
              <w:ind w:leftChars="337" w:left="741"/>
              <w:rPr>
                <w:highlight w:val="lightGray"/>
                <w:lang w:val="pl-PL" w:eastAsia="ko-KR"/>
              </w:rPr>
            </w:pPr>
            <w:r w:rsidRPr="008F328C">
              <w:rPr>
                <w:rFonts w:eastAsia="Times New Roman"/>
                <w:highlight w:val="lightGray"/>
                <w:lang w:val="pl-PL" w:eastAsia="ko-KR"/>
              </w:rPr>
              <w:t>- ampułko-strzykawka</w:t>
            </w:r>
          </w:p>
          <w:p w14:paraId="43E95C8D" w14:textId="77777777" w:rsidR="00094D21" w:rsidRPr="008F328C" w:rsidRDefault="00094D21" w:rsidP="008A03B2">
            <w:pPr>
              <w:pStyle w:val="a3"/>
              <w:ind w:leftChars="337" w:left="1264" w:hanging="523"/>
              <w:rPr>
                <w:highlight w:val="lightGray"/>
                <w:lang w:val="pl-PL" w:eastAsia="ko-KR"/>
              </w:rPr>
            </w:pPr>
            <w:r w:rsidRPr="008F328C">
              <w:rPr>
                <w:rFonts w:eastAsia="Times New Roman"/>
                <w:highlight w:val="lightGray"/>
                <w:lang w:val="pl-PL" w:eastAsia="ko-KR"/>
              </w:rPr>
              <w:t>- gazik nasączony alkoholem</w:t>
            </w:r>
          </w:p>
          <w:p w14:paraId="6A90778B" w14:textId="77777777" w:rsidR="00094D21" w:rsidRPr="008F328C" w:rsidRDefault="00094D21" w:rsidP="008A03B2">
            <w:pPr>
              <w:pStyle w:val="a3"/>
              <w:ind w:leftChars="337" w:left="1264" w:hanging="523"/>
              <w:rPr>
                <w:highlight w:val="lightGray"/>
                <w:lang w:val="pl-PL" w:eastAsia="ko-KR"/>
              </w:rPr>
            </w:pPr>
          </w:p>
          <w:p w14:paraId="43470608" w14:textId="77777777" w:rsidR="00094D21" w:rsidRPr="008F328C" w:rsidRDefault="00094D21" w:rsidP="008A03B2">
            <w:pPr>
              <w:pStyle w:val="a3"/>
              <w:ind w:left="720"/>
              <w:rPr>
                <w:b/>
                <w:highlight w:val="lightGray"/>
                <w:lang w:val="pl-PL" w:eastAsia="ko-KR"/>
              </w:rPr>
            </w:pPr>
            <w:r w:rsidRPr="008F328C">
              <w:rPr>
                <w:rFonts w:eastAsia="Times New Roman"/>
                <w:b/>
                <w:bCs/>
                <w:highlight w:val="lightGray"/>
                <w:lang w:val="pl-PL" w:eastAsia="ko-KR"/>
              </w:rPr>
              <w:t>Niedołączone do opakowania:</w:t>
            </w:r>
          </w:p>
          <w:p w14:paraId="16BF4863" w14:textId="77777777" w:rsidR="00094D21" w:rsidRPr="008F328C" w:rsidRDefault="00094D21" w:rsidP="008A03B2">
            <w:pPr>
              <w:pStyle w:val="a3"/>
              <w:ind w:left="720"/>
              <w:rPr>
                <w:highlight w:val="lightGray"/>
                <w:lang w:val="pl-PL" w:eastAsia="ko-KR"/>
              </w:rPr>
            </w:pPr>
            <w:r w:rsidRPr="008F328C">
              <w:rPr>
                <w:rFonts w:eastAsia="Times New Roman"/>
                <w:highlight w:val="lightGray"/>
                <w:lang w:val="pl-PL" w:eastAsia="ko-KR"/>
              </w:rPr>
              <w:t>- wacik lub gazik bawełniany</w:t>
            </w:r>
          </w:p>
          <w:p w14:paraId="4348AB85" w14:textId="77777777" w:rsidR="00094D21" w:rsidRPr="008F328C" w:rsidRDefault="00094D21" w:rsidP="008A03B2">
            <w:pPr>
              <w:pStyle w:val="a3"/>
              <w:ind w:left="720"/>
              <w:rPr>
                <w:highlight w:val="lightGray"/>
                <w:lang w:val="pl-PL" w:eastAsia="ko-KR"/>
              </w:rPr>
            </w:pPr>
            <w:r w:rsidRPr="008F328C">
              <w:rPr>
                <w:rFonts w:eastAsia="Times New Roman"/>
                <w:highlight w:val="lightGray"/>
                <w:lang w:val="pl-PL" w:eastAsia="ko-KR"/>
              </w:rPr>
              <w:t>- plaster samoprzylepny</w:t>
            </w:r>
          </w:p>
          <w:p w14:paraId="55E8F7F0" w14:textId="77777777" w:rsidR="00094D21" w:rsidRPr="008F328C" w:rsidRDefault="00094D21" w:rsidP="008A03B2">
            <w:pPr>
              <w:pStyle w:val="a3"/>
              <w:ind w:left="720"/>
              <w:rPr>
                <w:lang w:val="pl-PL" w:eastAsia="ko-KR"/>
              </w:rPr>
            </w:pPr>
            <w:r w:rsidRPr="008F328C">
              <w:rPr>
                <w:rFonts w:eastAsia="Times New Roman"/>
                <w:highlight w:val="lightGray"/>
                <w:lang w:val="pl-PL" w:eastAsia="ko-KR"/>
              </w:rPr>
              <w:t>- pojemnik na odpady ostre</w:t>
            </w:r>
          </w:p>
        </w:tc>
      </w:tr>
      <w:tr w:rsidR="00094D21" w:rsidRPr="00A5286D" w14:paraId="0C1BACC2" w14:textId="77777777" w:rsidTr="008A03B2">
        <w:trPr>
          <w:trHeight w:val="5372"/>
        </w:trPr>
        <w:tc>
          <w:tcPr>
            <w:tcW w:w="9550" w:type="dxa"/>
          </w:tcPr>
          <w:p w14:paraId="78CF3AC9" w14:textId="77777777" w:rsidR="00094D21" w:rsidRPr="008F328C" w:rsidRDefault="00094D21" w:rsidP="008A03B2">
            <w:pPr>
              <w:ind w:left="224" w:right="1248"/>
              <w:rPr>
                <w:rFonts w:ascii="Times New Roman" w:eastAsia="Times New Roman" w:hAnsi="Times New Roman" w:cs="Times New Roman"/>
                <w:b/>
                <w:bCs/>
                <w:spacing w:val="-1"/>
                <w:lang w:val="pl-PL"/>
              </w:rPr>
            </w:pPr>
          </w:p>
          <w:p w14:paraId="410F2CCD" w14:textId="77777777" w:rsidR="00094D21" w:rsidRPr="008F328C" w:rsidRDefault="00094D21" w:rsidP="008A03B2">
            <w:pPr>
              <w:pStyle w:val="a3"/>
              <w:rPr>
                <w:lang w:val="pl-PL"/>
              </w:rPr>
            </w:pPr>
          </w:p>
          <w:p w14:paraId="7E369101" w14:textId="60625E4E" w:rsidR="00094D21" w:rsidRPr="008F328C" w:rsidRDefault="00094D21" w:rsidP="008A03B2">
            <w:pPr>
              <w:pStyle w:val="a3"/>
              <w:rPr>
                <w:lang w:val="pl-PL"/>
              </w:rPr>
            </w:pPr>
            <w:r w:rsidRPr="008F328C">
              <w:rPr>
                <w:noProof/>
                <w:lang w:eastAsia="ko-KR"/>
              </w:rPr>
              <mc:AlternateContent>
                <mc:Choice Requires="wpg">
                  <w:drawing>
                    <wp:anchor distT="0" distB="0" distL="114300" distR="114300" simplePos="0" relativeHeight="251658339" behindDoc="0" locked="0" layoutInCell="1" allowOverlap="1" wp14:anchorId="6DBDABA5" wp14:editId="1E7988D9">
                      <wp:simplePos x="0" y="0"/>
                      <wp:positionH relativeFrom="column">
                        <wp:posOffset>4445</wp:posOffset>
                      </wp:positionH>
                      <wp:positionV relativeFrom="paragraph">
                        <wp:posOffset>78105</wp:posOffset>
                      </wp:positionV>
                      <wp:extent cx="2326005" cy="2988310"/>
                      <wp:effectExtent l="0" t="0" r="0" b="2540"/>
                      <wp:wrapSquare wrapText="bothSides"/>
                      <wp:docPr id="151" name="그룹 151"/>
                      <wp:cNvGraphicFramePr/>
                      <a:graphic xmlns:a="http://schemas.openxmlformats.org/drawingml/2006/main">
                        <a:graphicData uri="http://schemas.microsoft.com/office/word/2010/wordprocessingGroup">
                          <wpg:wgp>
                            <wpg:cNvGrpSpPr/>
                            <wpg:grpSpPr>
                              <a:xfrm>
                                <a:off x="0" y="0"/>
                                <a:ext cx="2326005" cy="2988310"/>
                                <a:chOff x="0" y="1551"/>
                                <a:chExt cx="2326308" cy="2989305"/>
                              </a:xfrm>
                            </wpg:grpSpPr>
                            <wpg:grpSp>
                              <wpg:cNvPr id="152" name="그룹 152"/>
                              <wpg:cNvGrpSpPr/>
                              <wpg:grpSpPr>
                                <a:xfrm>
                                  <a:off x="0" y="1551"/>
                                  <a:ext cx="2326308" cy="2989305"/>
                                  <a:chOff x="0" y="1551"/>
                                  <a:chExt cx="2326308" cy="2989305"/>
                                </a:xfrm>
                              </wpg:grpSpPr>
                              <pic:pic xmlns:pic="http://schemas.openxmlformats.org/drawingml/2006/picture">
                                <pic:nvPicPr>
                                  <pic:cNvPr id="153" name="그림 153"/>
                                  <pic:cNvPicPr>
                                    <a:picLocks noChangeAspect="1"/>
                                  </pic:cNvPicPr>
                                </pic:nvPicPr>
                                <pic:blipFill>
                                  <a:blip r:embed="rId116" cstate="print">
                                    <a:extLst>
                                      <a:ext uri="{28A0092B-C50C-407E-A947-70E740481C1C}">
                                        <a14:useLocalDpi xmlns:a14="http://schemas.microsoft.com/office/drawing/2010/main" val="0"/>
                                      </a:ext>
                                    </a:extLst>
                                  </a:blip>
                                  <a:srcRect/>
                                  <a:stretch/>
                                </pic:blipFill>
                                <pic:spPr bwMode="auto">
                                  <a:xfrm>
                                    <a:off x="0" y="1551"/>
                                    <a:ext cx="2320290" cy="2828363"/>
                                  </a:xfrm>
                                  <a:prstGeom prst="rect">
                                    <a:avLst/>
                                  </a:prstGeom>
                                  <a:noFill/>
                                  <a:ln>
                                    <a:noFill/>
                                  </a:ln>
                                </pic:spPr>
                              </pic:pic>
                              <wps:wsp>
                                <wps:cNvPr id="154" name="Text Box 154"/>
                                <wps:cNvSpPr txBox="1"/>
                                <wps:spPr>
                                  <a:xfrm>
                                    <a:off x="1606550" y="2844806"/>
                                    <a:ext cx="719758" cy="146050"/>
                                  </a:xfrm>
                                  <a:prstGeom prst="rect">
                                    <a:avLst/>
                                  </a:prstGeom>
                                  <a:solidFill>
                                    <a:prstClr val="white"/>
                                  </a:solidFill>
                                  <a:ln>
                                    <a:noFill/>
                                  </a:ln>
                                </wps:spPr>
                                <wps:txbx>
                                  <w:txbxContent>
                                    <w:p w14:paraId="0CB6FF0C"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5" name="Text Box 155"/>
                              <wps:cNvSpPr txBox="1"/>
                              <wps:spPr>
                                <a:xfrm>
                                  <a:off x="1219203" y="1624330"/>
                                  <a:ext cx="905456" cy="158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0E6AFE" w14:textId="77777777" w:rsidR="006D7011" w:rsidRPr="0031277A" w:rsidRDefault="006D7011" w:rsidP="00094D21">
                                    <w:pPr>
                                      <w:rPr>
                                        <w:rFonts w:asciiTheme="majorBidi" w:hAnsiTheme="majorBidi" w:cstheme="majorBidi"/>
                                        <w:b/>
                                        <w:bCs/>
                                        <w:sz w:val="15"/>
                                        <w:szCs w:val="15"/>
                                      </w:rPr>
                                    </w:pPr>
                                    <w:r w:rsidRPr="0031277A">
                                      <w:rPr>
                                        <w:rFonts w:ascii="Times New Roman" w:eastAsia="Times New Roman" w:hAnsi="Times New Roman" w:cs="Times New Roman"/>
                                        <w:b/>
                                        <w:bCs/>
                                        <w:sz w:val="15"/>
                                        <w:szCs w:val="15"/>
                                        <w:lang w:val="pl-PL"/>
                                      </w:rPr>
                                      <w:t xml:space="preserve">EXP: </w:t>
                                    </w:r>
                                    <w:r w:rsidRPr="0031277A">
                                      <w:rPr>
                                        <w:rFonts w:ascii="Times New Roman" w:eastAsia="Times New Roman" w:hAnsi="Times New Roman" w:cs="Times New Roman"/>
                                        <w:sz w:val="15"/>
                                        <w:szCs w:val="15"/>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6DBDABA5" id="그룹 151" o:spid="_x0000_s1248" style="position:absolute;margin-left:.35pt;margin-top:6.15pt;width:183.15pt;height:235.3pt;z-index:251658339;mso-height-relative:margin" coordorigin=",15" coordsize="23263,29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DXycAQAAPcMAAAOAAAAZHJzL2Uyb0RvYy54bWzcV91u2zYUvh+wdxB0&#10;31iSf2ILcYosWYICWRs0GXpNU5RFRCI5ko6dvc6AvcJWoE+0vcQ+kpL/4mF1UfRiF1EOqXPI73z8&#10;zqF89nrV1NET04ZLMY3TkySOmKCy4GI+jX9+uH41jiNjiShILQWbxs/MxK/Pv//ubKlylslK1gXT&#10;ERYRJl+qaVxZq/Jez9CKNcScSMUEXpZSN8RiqOe9QpMlVm/qXpYko95S6kJpSZkxmL0KL+Nzv35Z&#10;MmrflaVhNqqnMbBZ/9T+OXPP3vkZyeeaqIrTFgb5AhQN4QKbrpe6IpZEC81fLNVwqqWRpT2hsunJ&#10;suSU+RyQTZrsZXOj5UL5XOb5cq7WNIHaPZ6+eFn69ulGq3t1p8HEUs3BhR+5XFalbtx/oIxWnrLn&#10;NWVsZSOKyayfjZJkGEcU77LJeNxPW1JpBeY3celwmAa2afXjVnA/gULa4EkfKwFHr9u7t4NoPQhI&#10;Af1OR7yA7IZZHAnSQF9//fHn3799jNxMm9DRGW6Qbid5CCfJv36SitMcf+1Zw3px1v9dE4iyC83i&#10;dpHms9ZoiH5cqFeQpSKWz3jN7bMvMQjQgRJPd5ze6TDY5r6/zf3vn8B933HvYpxbCCIuqVtJH00k&#10;5GVFxJxdGIXyxOn5I99177nhzo6zmqtrXtdOkM5uc0Mp75XCAXpCmV1JumiYsKFvaFYjTSlMxZWJ&#10;I52zZsagJf2mSCFI9CwLOSnNhXX4SG40fQ+8wbaaWVrB9kA32Bxsg2KKZsufZIEFyMJK3xgOFtNB&#10;qSXZBJ3Kl8Q4G/dHns11SYBIbewNk03kDAAGKL8Debo1Dh5cOxeHW0hHm4ddi50JOLoZn4ID3ZrI&#10;wRUY+rHpWMboBc9HtZz7iigGlG7Zbe0MOu08uFr7Qa6gnkGoXO/oGlNkV3jR6sQtELB2PWLdn9JR&#10;MhoOQZ3rROPBYJyMwsl1ZXyaTk6HbbdJB6MEvoGu7mw62j6TWSNrXnSadLGXtY6eCG6aZcUtaxff&#10;8fqXE9hk5Sy7mq1CX8s8Qjc3k8UzqNASJ44UjaLXHDveEmPviMaVhUlcw/YdHmUtl9NYtlYcVVL/&#10;emje+eNY8TaOlrgCp7H5ZUFc36jfCBw4lrSdoTtj1hli0VxK5IpqARpvIkDbujNLLZsPuJ0v3C54&#10;RQTFXtPYdualDRcxbnfKLi68U2g/t+JeoWmlXteO2YfVB6JVey4WB/pWdpIi+Z7wg68vWXWB8rvm&#10;vio2LELnbgB5e6u9876Z5nFZhrtqS/P+2nOgUBxHaT5LJ1mCDgzNp6Ns0O+3t2+n+UkyHAxHoZ2k&#10;w/HpV9W8/0pja9XP5qGVo1duV0YtIshx1MfWh9oPyZn/TmublyMhFLi37HPNXFQt3rMSReG/Q/zZ&#10;ui/Ezd6EUrT2bn/v7bxKtL5jAlt/FxpQHRO8jvA7S2HXwQ0XUvvs9ygrHjvIZfBvtWlC3o6CrW7g&#10;fd3c/6gbUKu/UT/wRR+Ye9EB8HWNuZ3P9+2x99/8Xjn/BwAA//8DAFBLAwQKAAAAAAAAACEAvF6G&#10;7e1jAQDtYwEAFAAAAGRycy9tZWRpYS9pbWFnZTEucG5niVBORw0KGgoAAAANSUhEUgAAAi0AAAKo&#10;CAYAAAC7lM8ZAAAAAXNSR0IArs4c6QAAAARnQU1BAACxjwv8YQUAAAAJcEhZcwAAIdUAACHVAQSc&#10;tJ0AAP+lSURBVHhe7L2Fe1Vn9v79/g2/mQokAeKeEIK7u7u7BHd3K+7uVihQoJQa1IU6dfdO3XWm&#10;Mx35rnd91smmKT1YGiAc1n1d6wok5+z97L2f/az7Wfr/KRaovOri4uLi4uLiUoxlocr/9+pf//IX&#10;ad60qcyYMUNWrFjh4uLi4uLi4lJspHXr1pJPXP6/VxPi4mThTTfJ3z78UBwOh8PhcDiKE1auXOmk&#10;xeFwOBwOR/GHkxaHw+FwOBxXBZy0OBwOh8PhuCrgpMXhcDgcDsdVASctDofD4XA4rgo4aXE4HA6H&#10;w3FVwEmLw+FwOByOqwJOWhwOh8PhcFwVcNLicDgcDofjqoCTFofD4XA4HFcFnLQ4HA6Hw+G4KuCk&#10;xeFwOBwOx1UBJy0Oh8PhcDiuCjhpcTgcDofDcVXASYvD4XA4HI6rAk5aHA6Hw+FwXBVw0uJwOBwO&#10;h+OqgJMWh8PhcDgcVwWctDgcDofD4bgq4KTF4XA4HA7HVQEnLdcI/u///u8P8r///e8P8t///veC&#10;5X///f13w53D4XA4HI6igpOWawQQiH//+9/yj3/8Q3766Sf58Ycf5PvvvpNvvv5GvvziC/ns00/l&#10;448/lg/12V+ofPS3j+w7n3/+uXz99dfyw/ffn5aff/5Zfv31VycuDofD4SgyOGm5RoAlBCLxhRIU&#10;CMe7774rb77xprz80kvyzNNPy6OPPCL3nrhX7rzjjguW43ffI/fde6+cfOwxefH5F+Ttt946LZCZ&#10;H3/80c7rcDgcDkdRwEnLVQ4sGbhqsGr88ssvRkwgC99/9718+8038tVXX5kl5dNPP5U333xTnnnm&#10;GXn44YeNbNx9511y+NAh2bNrt2zesFFWLl8hC+bfdMGybPESWbVipWzdvEUO7j8g99x992mByLzx&#10;+ut2XojSl19+KV/rWL799luz8DBGxsqYGXvgcnLLjMPhcDjOBictVzlQ9Lh7Pv3kE3nrrbfk+eee&#10;M8Jw4vgJOXL4sOzdc7Ns27pV1q9ZK8uWLJF5c+bKjGnTZerkyTJp/AQZM2qUDB8yVAb26y+9e/aS&#10;7l26XrD07NZd+uh38gYMlNEjRsqkCRNk8oSJJrNnzJAlixbL+rVrldRsll3bd8j+ffvktiNH5Pg9&#10;98hjjz4qz516Tt5+621zL3EN//znP+16HA6Hw+EIByctVzn+85//mCXjxRdelHuVqOy7ea+sXrVa&#10;ZioxGZo3WLp16izNGzeRWtWqS7XKlaVKhYpSuXwFqZRb3qRCTjkpXzZHymVlS9nMLMlOz7hgKZuR&#10;KTn6Hb7LcYJjIpyjWqXKdt7G9RtI25atpFf37kaQpk2dKitXrDBChcXnlVdesWvA+sL1OBwOh8MR&#10;Dk5argIQF0IQLZYIAl4/+OADee21105bVW4/erts3bRZFt20wKwneQMHSef2HYwsQFKy0tIlrlQZ&#10;ldISWypWJU5iSydKmdLJUqZMikqqSrqUic2Q0rFZFyxlYjNDwnftGMl6XCRJJd7OGV86VtKSko3Y&#10;1KhSVZo0bCQd27eXgf37y8Rx42XxwoWyfds2OXrbbXL/fffLM089La+9+qpd41dffmUuJLe+OBwO&#10;hwM4abkKgNL++9//Lt9884289NJLcsexY7Jp40a5ad48GTdmrBKAAdK1U2dp3byFNG7QUOrUrCVV&#10;KlaSctllJSMlVZLiQgQiDsJSOkFFiQqkI668lI6vpFJFSiVUl5jEOhKT3ODCJamefqeufremlNJj&#10;cLwycbl67ByJVSITWypB4kqXsfOnJiYZecotW9aIVO0aNaSRkqrWLVpKl46dpH+fvjJm5CiZM3Om&#10;bNqwQe64/ZicOnVKPv7oIyNsDofD4XA4aSlmIBAVwbpCgCrWlR9++MGUN9aV2267TcnKfOnXp49Z&#10;LcpllZWUhGRJiI1TklDmN0tKqXizdoRIClYVBGsI1pQcJRnVpJQSjpikhkpAGkt0SnOJSmsrURld&#10;LlzSO+p32ut3W0p0chM9Xj2V2kpiaigRqqjnyrTzcv6QMBYdE2OzMTLWWLMAJcbGm5uqQZ260rdX&#10;b1mg10hw79NPPWVBvFhcuBf/UQLjAbsOh8NxbcJJSzFD4Aoiq4bMmxdffFHuPXFCdu/cJYsWLDRr&#10;RNfOnaVhvfpSqXwFSUtKkcS4JIkrk6QkIU0JSVkpFVdRYhKqSUxiTSUTdSUquYFEpTaRqBSV1KYq&#10;EJTWRjii0tqFyIr9W0lIOHJyNknvlE9cOoS+n8pxkDYqrfT/zfLP20jHgWVGSZKOqZSOrRQWnthy&#10;RqIgMQllYiU9OcViY7g2LEejho8wgrZty1bLSMLKFATteuyLw+FwXHtw0lJMEFhYsCJAWL777jsL&#10;rsXaMH/uPLM+4FKpWC7XAmbTVMEnxydKfJk4iVXCUjo2XUrH5SopqKUEoamUVOJQQknFDVk95fqy&#10;/eW6ckPkupw8uaHsQJUBcqNJfymR1VtKZHSXkhldwxOTc0pnE75bIrOnHquP3Jjd147Lea7LGWzn&#10;vT5nkP6/v9yY1UvPpd+D3KQ007HWM/KCBQgrUbwSl6S4BLs2gnwJ5m1Yt560a91Gpk2ZIrcePCiv&#10;vPyyFcL717/+dfqeudXF4XA4rg04aSkGQOliYcF68PNPP1nht8dPnrT6KTOnz5AeXbspYalp1ohQ&#10;EC1WFSUpsdlSSolKqfjKSgCISakn0SlNJVpJQcm0jlIyvbPcmNlNyUIPuSG7l8mNSmKQEhAIIxE9&#10;lHR0UzmTkFy48F2IS8nM7kpeethxb1QyFJwT4nRjlv6N86Trd7DopLU1txLuKeJpSsWX12spZ9dU&#10;mniY0hCyeElPTpXc7LLSoU1bmT51qt0TCuF9+MEH8v33358mLw6Hw+GIfDhpKQZA6UJYiNmg3gqu&#10;kMULFsqQQXnSpmVLqV6lqmRnZFrsR5nSKSGLSkINiU5urOSktRKBdiodVNrr/3H3tAsRguSmSgpw&#10;y9RWQlNDf9ZSUWKT3FD/3sw+E53aRqJS24fcPLh7ziAkFyRpHfQ4rSUmpYUeM1+Sm+i5cAdBpvTc&#10;iTXt3DH6++iUVhKtpKWknhMpkaGi11AijdiYRvrZakZesCDh+iKIF6tL00aNZUDfvlbQ7oH77reK&#10;vhAXr7rrcDgc1wactBQDQFrIDqJWyalnn5VVy1dI5w4dpWbVapKVlikJsfESVybBglqJAymVoORD&#10;SQdE5cZMrBp9zLKBlQPrClaMmORmShLqh6wYZAnFZpolIwarjBIeIy9JjZWwtFSio2Qno7OSB9w8&#10;WEsuTkpCdlKViBDQiyRBPGrr+SrYec16EpejY6kSOm9K83zS0lluzOgpN2T3NbnRjqUESI9BNhLf&#10;JSU7tgxWlwQlMAnmHqMQ3ro1ayxFmrn6LwJ0lfS5xcXhcDgiG05aigGIY/noo4/k4YcesnTfYYOH&#10;SJ0aNSUrPVOS4qmlkhwiHFgrkrFWKClIbqrKXQWLSWoLFSUNqW3yJQiIxU3UWqWFlEhrrtJKbkxv&#10;p0ShoxKErio95AYlPNdn95fryw6S63PyVIhBuUghTiZbiZMeLyTd9RxKgoirSVNylYoQANxCx9RG&#10;otIJ+m1v42TcFrCLW8ukef61NVDyU8cCikvFVwwRmNIJkpqUbKnSEJc1K1fJY489ZjEuP/34o9dz&#10;cTgcjgiHk5ZiALKFnn/+eVm7erX0693HsmcyU9MkITYxlBUUm2UWCqwhuFPI/CFN2VKLsaLEqVJH&#10;uSfWDREZJQMEvGKBIQj2upyh8pfcUfKX8qNVxqiMVRmnMl7+UmGCykT5fyaTCiV8347D8U4L59Bz&#10;5Y6080OKblByxJiwCEFaYpKb65jrKCHJDVlk9DpKJVArhkDikPsoZMFpor+vquQtVeJLl7EsI6ru&#10;UqBu7549Fpz7xeefe0aRw+FwRDictFxBEItBphBNBE8cPy4Tx49XwlJPyufkSmIcdU2wsmSZMoe0&#10;WBoxqcqqyEPxKtRFqSkUhcOlEpXSSpU9MSJYUPorYRkqf82FqCghqTRNZfrll4pT7fx/zR0r15Ub&#10;qWMapuRlkNyY2VvH2knH3DzkSlJSYm4vXEvJWGawELU160x0CjVgaimxybF7Qoo0mVMU01ug8/Xu&#10;u+6St9580+raOBwOhyNy4aTlCgILC52PaXS4e9cu6d2zp1WxTU1Kk7gyyaqks1WRY0FRpZ6Im6SC&#10;KvgaqtQbhdwqae2VoJAh1EOuz+4n15fNM6sG5OCvuWPkr2ZJUcJScXJ4QnFZRMkS58ciUz5kjQkI&#10;zHVKYMwCQ7YRWU4ZXULxMUrMQgG5XDeihEXJGdak0nEVLHMKUle3Vi0Zmpcn69aulSeeeMIIoMPh&#10;cDgiF05ariBI16XHzhOPPy4rli6Tls2ah+quUD22TKop6FJYU1SBl06obEGpVJolTZi04Ruz+sr1&#10;OSOUBIwLuWoqTlWBJISRsITickmY8Zgw3ilKrCYbobmu3Ai5IXuAlEjvKNEWRFwlRFQSqodIi1lk&#10;9KeSufjYRKmYW15aNW9hFiqsLVTNdTgcDkfkwknLFcQ//v53efWVV+TY0dutHgsBptQmiS2T7xaK&#10;r2RWhlKqwMkEIjiVwNobM7rL9dkUbxuhyn5cvjVlShiycDVIPnkxS8w4JS6jQtYXgnlJ4U7NbxEA&#10;eYO80N+oTJrElY6zuB86V/fp1UsO7N9vXaIdDofDEblw0nIFQTn6p5580rocU7KeRofxpeNNKZeJ&#10;LRdqZkisR2JdofbKDVn9zP2D6+cvFgCL20XJCkr/SsWs/Glh3IHVZWrI6mIEZrwFD3PNuIxwiVn1&#10;3DKpQg8jGkBSbC85PsHqt2zdstVqtjgcDocjcuGk5QoC0vL4ycdl04aNluZcu3oNIy2xkJY46rFU&#10;V2VN36DWVocFKwRuFCMqYQlAhEnFyfJXcxn1lxIUsEuqby6z0np/gkaLSP3adWTzxo1OWhwOhyPC&#10;4aTlCiI8aaGXUIqUiS2rSrquVYvFXfLXciOVsJBaPFmV+bVCWsg8miBkQOEOI42blG4aQpJB5KTF&#10;4XA4ri04abmCCEdaiNWwgNvYHCmZ0kQJy0Bzl4SIymVwAREga24naq1Qy+XsYrVdzDUV5jhFLLiL&#10;rssZosSlm0Qn1tJ7lOikxeFwOK4xOGm5gghPWhKUsJS1LJkSae0shsVIRKXLFLeipOWvOYPlhoxO&#10;UiK99TmkrVxXtp+Rm7DHKWIh2JhUabKLopPrK2lJctLicDgc1xictFxBhCUtqowJOI1Kbmb1V/6a&#10;O7IIrBn5wa4F5XepxwWkwhS5IbOrRCfS+4dO0hlhJF1KxeXIjemtrOJt2OMgfzhvuLFdoFig7hT5&#10;a7nhUjK1iVmjnLQ4HA7HtQUnLVcQYUlLbLJQUI7g2xuy+lqmUIgAhFHkFyL5yv7/VTyz5P44O/Zv&#10;MtrkupyRUiK1pZISukqXkdhSCaEqtKVT8gW3TKz9jEquJ9dlD/j9cax8f34pf9xH5kIiDiewFBX2&#10;WkLf/WvuKOtj5KTF4XA4rj04abmCCE9aUiQmsbrQ7JCsGUjAnyUtgWvlOiUV16nSp4jb9WUH2/ED&#10;uZEuy1m9reuyZelYhg7p1xlWG8X6GyGx2fkkJkGiE2pYcGzB49xQdqBcnzPYyvVb1VtrIwCBCeJy&#10;Cms1ckuLw+FwXOtw0nIFAWl56oknZevmLTJy2HDr7IylJSahasjSkt1HycbofCvFmUo832oRWFIs&#10;eBZLClYUZKz8RYnKX8spSckZqmSChoUDVPoZOSmZ3kVKptFtuV1IUtuo0JywhZSKr6KkAGKSaFlM&#10;peOrhqrS5hd3o1pvbOl4675MZ+bTx1ChpkqJjK7WFJHmiBCZ68rmyV+VxGAl+YuRGAJ5ITKkb0Nm&#10;8jOijNSchaDZNU7Qaxms42x0mrQkxsZJo3r1ZcvmzU5aHA6HI8LhpOUK4u9//7u8+PwLcnD/AZk8&#10;YaLUr1NX4sokSqm4XIlOqqfKv5NcV264KuvAQlFAoZsFJVT+HrcMn8PCYdaOzF7Wx+fG9HZSIq2F&#10;lExtJlEpNFRspNLQAlljkmpJqcQaBaSa0LSwdHxlKV0mS8pQL6YULQVSlbhkG3kxKZOuvw+5iLDC&#10;EH9T8DgxSTVValu6NhV8o5IbmmWkRGpzHUtrq3J7A9aZzJ5yfVmaOg42yw/XYDVowhI0sof0OvVz&#10;N2b10mPXUeKUZIXlstMzpH2btrJ75y754Ycf8u+sw+FwOCIRTlquIH75xz/kzTfesA7P8+fMlSYN&#10;G1kZ/9JKDErFVVBl31yuyxlk5CSkzAuSFnr2QFgoez/YrBol0rtIdGprVeqNLC6mFFaSMilmlQhJ&#10;srUICAldpMNIqXyyku96ibW4Fv4fyG9F3fi3fb7g9zmuEoqQ0I4ASbFxlIrN1OsqLzEJ1ZXQ0D+p&#10;lVl8iN0JVfodnU/Qfk9YECw0WIqwDsXotRGwbGX8K1WWvj29jL/D4XBcC3DScgVBw8RPP/lUXnj+&#10;edm8YaN06dBRFXGGJCWkS2xclpKP2nJjRiclJYPMkhIKdg25e67LHiTX0x05o4uUSGsrUSnNzIJi&#10;DQXjKipRyFQSQQE2SAeBswTUJkqZ0pCIVJV0KWOZQFkWp0KatUlcTkjic/VYFf4o8eX1b0hu6HP2&#10;Pb6PZNkxrQ2BuZBCLibITojkYLmBPGXaGM0yYxV/scK002vpqtekBOa0O4lu1aNM6GJdUj8Tk1hX&#10;v1vOGiZWrVhJOrZrL7Omz5B7T5yQv//89/w763A4HI5IhJOWK4j//ve/8vNPP8vnn38utx89asG4&#10;1SpVkax0uhinSClVzjFJ9Sy+haJqN2b1t1iRkuntlaQ0NTcJnZBLxVcwRQ5xwGWDZcNIihEWldJJ&#10;+jtIiv49TslGvksnRr9PI0aIQ3RyYxOOG5XaUglCGz0PMSpnStvQ39Ja5xOlxtYXyCSpgbmGrLEh&#10;fYJobqjnhKiEyFO+1cbIE+QF0qRkB4JE92qypnRMHJdOzyUye6n0NimZ2kYJS40QMVIylBiXII3r&#10;N5BJ4yfI3t175Pnnnpd//vOf+XfW4XA4HJEIJy3FAP/5z3/kqSefknmz50ibFi3N5ZGcgJslWRU/&#10;Vo9qSgqUUNB/RxV6qcSaSgZy9e+pSgZw0RR01SCBVUVFP2PF6rBsxFfX70JUGulxmkt0aluJSu+g&#10;0lmiMrooIelq5AiScCNBu2Xzwsgg+9uNWX31sxCoLvnfV0nvpISnrRKZZnqOhnYu3FSlY8vZOCgI&#10;RyVbs74YqQpcUYwdaxBj12vWz2NRISg4OqWlSakEquBmmMWG4FtcQ906d5GN69bLk48/IR/97W/y&#10;73//O/+OOhwOhyMS4aSlGACLy1tvvSWHbr1VZs2YaS6P7IwsSYhLlrhYOj5nKXHBPROyYOCWoaki&#10;yj9EWsjyweVSXj9TVRV+LVX4KP2GEpXSxNwvUVhG0sgQUqKSSqYPmUMQlo75hEN/ns4m0p9GZpSE&#10;/EH0c1h67LMFjmF/0+NArOwYeh4TztmyQDBwQyU0dXWMNZVEVdYx5xoZCbmSklQSlGylGdGxoOCE&#10;KiGJzdHfJ0lSXLxULJcrTRs1kskTJ8mdx+6Q999/X7777ju7jw6Hw+GIXDhpKQb43//+J1999ZW8&#10;/PLLcuTwYRk9cpRUrljJrC0JZYhLwSKB9QSlnm+loLGiERZ6FZHFo2QlSUlKaispqSSELBvLJMrJ&#10;Uxkk1E+5sWz/kIVE/1Yyo1uIrJh0CZGN1NYSk9JUYpKbSKnkRioNzyGN9LMFrTVKWjgOFpuMriqh&#10;lOcbyw6Q63UM15Ubaj9vsDHo+ZXoRKe0UPJSP0RecPsQB2PXitUlZC0KXbOK/h4XU1pSsjSsV18G&#10;9u8vG9avlxdfeFH+8Y9/mJXl//7v//LvqMPhcDgiEU5aigFQtmS+fKj3/cEHHpCpk6dI9SpVJcVI&#10;S5CtU8asKlgbiE8pHUf9FIJlK5rVwmJSUlop+WivhIBaKV0ssPXGzO750sPiYUrovyEsEIuAZIRI&#10;C5aWdqHsIz0OhOJ8QqxNyCqTb2mxY3XWY4eIi50P8mTSU26gdouen7GV1PNBeHBTWSxMYi2rT2OB&#10;vnptFoOD9SWfrAQZSxkpqdKiaVMZNWKE7N65U95+6y23sDgcDsc1AictxQDnJy0E0xLAGmqmCEnB&#10;1VIytZUSgA4qncxyQTpwdEpribGYknr6uRoq1VRq6+8IuCVgtql+pqURlDOtI6F4loDcQDh6nkNC&#10;BIjvnCZAuIfSsdgoGUlto+eB/DAWSEn10HiSdCwW/NtE/6bExwJ+IVodVNrlB/g2ts+GXEdU5v0t&#10;zdpJi8PhcFy7cNJSDBC4h14p4B6qUrGSJMWH3EMEqIZqnWRZYCsuHEjKjZk95Yay/azOSSgotpMR&#10;EkiC1WmJy5FSsfodq40Ceakj0fo3rBsQnFDlWiUeWGLMnaTHKptnBd+uzxkq15cbdg6hyu5AO/eN&#10;luWjRMYITGc7NlaY6OTmdj5cV6Vis3UcSAWr0wJxYRyQp9A4gmNwHUp8lFwRcGzEJd/iQvYR7qFG&#10;9evLoAEDZOP69fLSiyH30H/+/W+7jw6Hw+GIXDhpKQawQNw337TKuDOmTrMKr2UzMyU+NgjEzZYY&#10;Vfz0BIrGCkG682kXDVYT3DRBcC0/SUkm+JX6J0hbuTFDSU5GF3PP4K653mJNICdDTK5TIkKvoFDT&#10;w1Djw7/SVPGson/PHW3VbO27kByOR7sAPfYN2X3tPDdmdpMblWCVYDwmrVTyg4J1XCF3FNeiBMdS&#10;qJuEhH8TX2MWo+pKdshASrZA3Eq55aVZ4yYydfJkuevOO+XDDz6Q77/73rKwHA6HwxG5cNJyhYFr&#10;iCDSx0+eNMLStGEjU8pJ8QkSSxVbYlcSqqkip3ZJV7NiWKBsQm0pHV9FQhlD1ZXQNJZoc7V0NovF&#10;9fT8UTJCgbbf+v3k9/yhXL51YA51fg4JVXcL9AAyoa/R2YS/538nv+9RSOgind9J2vogcT46PysR&#10;guDk90EK9T/qrKSlpcQk1MnPiqqg11tOSsXr9Spp+S1DKb+oXJlQ52mIC+X7e3TtZs0mg5TnX3/9&#10;Nf+uOhwOhyMS4aTlCgILy88//yxffPGF3Hb4iAzo109ys3MkNSnVytRbGnN8RSlNTIqSkqgU4kRU&#10;yRMnkkwPoXpKVurq75sooekQchcpWbm+LGRllJEGIxeF7qxcxKJjCbUeGBMiLzrWG3EppbayHkVR&#10;yaFUaOtbZJYWYmK43uZSSu8Bad9W76V0ghWXo+0BPZv23bzXqgr/8ssv+XfW4XA4HJEIJy1XEFgG&#10;Pv30U0vbxWLQqX0HSUtOlYT4VImNTROrcktxNlXYxHdYPAs1TrBCpLazXkPm6sm3qoQaD45WwaKC&#10;NWWykgUIy1k6J19uMQsNTR4nqoyzsV6XM9zK9lOmnwwjCyrGbURWEanVibWErtNYlSxOxxo6ZkgC&#10;ZfwrVbbWB7NnzpT7773PGlA6HA6HI3LhpOUKAssAsSz3Hj8h8+fOk6aNGlvDRHMLWUE5yu0rYVGi&#10;UpoOzJT1VyVuZf0ze8v1ZYep8h8vpxsqVlRycqYUF8JicsbYCopeA0SGHku4jqIo259UL/+6Se+u&#10;qKSFztR17P9xpROsKm71ylWkX6/ecvDAAfnJGyY6HA5HRMNJyxUEloEXX3hBbj1wUKZMnCQN6tSV&#10;eFKbKd9/mrSEyu5HWcZPKwumvSGrn1ko/po7NmRNgbAUK3JSCOEaKkw6TVywHhHEi9XFUqCVwFg2&#10;kbmI0pW0xFlKeNmMTAtc3r1zl/zwww/5d9bhcDgckQgnLVcQP/30kzz5xBOydfMWGTlsuNSpWes3&#10;0kIn5IC0JDdXstLDlDnxILh+zLpSIT9Y9monLCZYXCAuek1YXQjmVVKG24vKulT6xT1kHaStfUGo&#10;4Bx1bBrVqy9bN22W77//Pv/OOhwOhyMS4aTlCgLS8vjJxy2ehQ7PtavXKGBpyZaYhBoSndrC6p9c&#10;X3awKfJCB9YqISCL6LqyA+X67D6XXK7LyZP/V35sPqkKM54LEcZslpcRQkXfkqRAE9+ihK5gwbn6&#10;tevI5o0bnbQ4HA5HhMNJyxVEeNJCTEuqpf7S8BBljSvoL7njQq6gwgbWKtm5LrufKv4mEqqSe+kk&#10;OrG6lEhtJn9VghQiWWHGcyECabFYlwl6D4YJhexwF1Hun+rATlocDofj2oKTliuIcKQljuq3sTRA&#10;rGQxLLhHLFA1nFK/GKk4WQlQZz1uObNSkDZMlV1LIf6d6O/0b6FmjHwuMfS74O/WvJBmjWVUdKyl&#10;cWWd+d04JS+VlGT0sPOGHc9Fyl/y412uzx4oUckN9FzJTlocDofjGoOTliuIsKSlTEJ+llBdKZHe&#10;yeJYipq0QDSiE6tIidQmUiKtxe+EKroxCVVCZKR0qllOSqQ2Pf13aqnQGqBM6Tg9Vq6UTGnw2/f1&#10;eDEJle27pYqYtIRqvEyU68oOkaiURkaQnLQ4HA7HtQUnLVcQYUlLrCr8+MpKDpopyeglFIkratIC&#10;6SiR1kr+mjM0VC23oJQbaQSkVFymSlklTm3kLznDTv/9+qzu5v4pUyZJSiqBua5s/9N/+2vOECU9&#10;zaR0rH63qElLfqDuX3V8JZVEOWlxOByOaw9OWq4gzkpaEqpatgxZM2QLFTlpicuRGzM6hQJ7//C5&#10;qULnaGtuGF9ev9PFUpGDvxPIG51U20hDydTGVpo/+BvVbiE5pfnupSAtKrQlcNLicDgc1yactFxB&#10;OGm5GJmqx5qi5xuu523ipMXhcDiuQThpuYKAtDz15JOydcvWUJ2WGjWVtCQpWagoUclNlTD0UNKi&#10;pIDaJfmWhvAK/QLkaictHEePT8n/qJSGdn5qtCTHJ0izRo1l25YtTlocDocjwuGk5QoiqIh7sEBF&#10;XAvEjVWln1BdSqa1luvLDvqtmNyfsbhc5aTF6rXkDNaxdZXoxJoSG5ssGalp1n+oV48ecuCWW+RH&#10;L+PvcDgcEQ0nLVcQv/zjH/LmG2/81nuoYSOJLxMnpBVTQC0qub4qfoJxR4cIxjVMWgjAxfIUndxM&#10;x1VR4mOTpGK5XGnZrJlMGDdO7rrzTuuY7XA4HI7IhZOWK4h//etf8tmnn8oLz79gMRldOnaSrLQM&#10;SUpItqq4MfGVJCq1uSrrnlav5bfmiIUo2HZVkRbIWaikP6X8iWO5QQkL/Zco5U92UkJcotStVUsG&#10;Dxwka1avlsdPnjQS6HA4HI7IhZOWK4j//ve/8veff5YvvvhCjt1+TIYPGSrVK1eVrHRVyrGJUrpM&#10;ulkVopPqK5HoYuXscZMYcQmr7M8hVxtpgZhVGG/uMXMJJTfR8VTW84Z6DyUpaWnVvLncNG+e3HnH&#10;HWaxggQ6HA6HI3LhpKUY4D//+Y88/dRTsnD+TdKhTVupWa26pCUlS3xswuk+RBRUI5sIiwvuov8H&#10;4QisLko0zus6KrakhXFDUrgGrCs0S5yg5AwLy1AdS2eJSWqox6ykZCVF4kqXse7O5cvmSL8+fWTP&#10;7t3y8ksvyReff2730eFwOByRCyctxQBYXD54/wM5fvc9snL5chnYr7+lP2elZUpyAmXyk5VEVFDl&#10;XVeJQiuzPNyQ3V+uLzvUUqIJ1A25jM5BXIozaTGyMkn+otdyXc5Qvba+Nj6q80Yn1bFrL1Mmw/oN&#10;QeYa1q0n/fv0lZXLlsujjzwin37yiQXhch8dDofDEblw0lIM8H//938WRPrZZ59ZCvTypUulY7t2&#10;Ur1yFclMTbfgXBR2LAG6ceUlJrG+RKW2lRKZPZW4DJHryuVbXgpaXQqKEYNJV5C0nDGe08JYKc8P&#10;YSE7aIier6cRs5jEmjqGsnqeNL3uRLsHCSq5ZXOUsPSRNatWy30n7pUPP/hA/vnPf5qVhfvocDgc&#10;jsiFk5ZiAJQtSveXX36RTz7+2GI0bpo7zywuzRo3kUq55SUjJdUKqeEiKR0LcalpcR4l0toqAekq&#10;12f3UUIxyErzk2nz1/JYYMaHCAfEQQkKROXykxbOT3xKqFszMTlYh2hPQOdm6q4w9hsyu8qNei1R&#10;KY312mpY2ndsmSRJjEuSlIQkuweN6jeQPj17yYqly+TeEycsjuX7776T//3vf/l30uFwOByRDCct&#10;xQCQFhQvxIWCc2+//bY88vDDsm3rVhk/dqy0a91GqlepYsXUQh2WcRllqGIvq8SigsQkVFciUU8V&#10;fjMlDR2UdPSQG7IHyPVKCowgWNbReCUqHS8/acGKUn6ijgNLykhzad2YNSBkUUnvLFGpLc0FRKNF&#10;zsc1lSmTrteIdSVe0pNTpVxWtrTXezBl0iTZsW27PPzgg/Leu+/Jt99+a1YWt7A4HA7HtQEnLcUI&#10;KF/iMv7xj3/IN998I888/bTs2L5dJk2cKN06d5EaVatJhZxcyU7PlLTkFEmODyn2ULCukhjiXhLr&#10;SHRKcymZ1kGJQQ8lCf2ULOQpuRgsJdJahshIXFm5UckNLpnT7qR84lE0pCUr9N309vr3YRanQhYQ&#10;gcQlMrpJlI4tOqWFxCQ10M/RUTpN4krHSUJsvCQnJEl6SqqUzcg060q92nWkTYuWVnzvwP798tIL&#10;L1gMC2QFoueExeFwOK4dOGkpZkAR//vf/zZX0UcffWTE5fajR2Xr5s0yf+5cGTl8uHTp2FEa1K1n&#10;Sj0tKcVcKHFKXGJLp0vp2BwlDZXM+hKTBIFpaC6XkilN9HcQBNxLWUo4WhqZwF3zu2DZoiAtenzS&#10;taMTa+hnmur5kUb6vfpKqmpbtd/SpC/HljeLUWypBEmMjZOs9HSpWqmSNGnYSLp26mwp4HNnz5FN&#10;GzaYy4zqwcT9eNCtw+FwXJtw0lLMELiKUMrUHfn5p5/kq6++kvfefVdeUKV96NZbZd6cOdK3d2+r&#10;oEtgalpyqiTlW13iyyQogUlUSTILTKySC7KPIBllCOYtFWtWGYjMjVl9Q6SjACkpGtKSGTpP6cTQ&#10;efPHEBoPBAthvEiCBdiSFUTgcesWLWRo3mCbh/tu3isnH31MPlby9t1331nbg19//dWDbh0Oh+Ma&#10;hZOWqwAQGBQ2LiOIy+233Sbr166VObNmycjhI6Rvr97SsV17ad6kqaUDU+elUvkKFgtCAG9SXPzp&#10;jsgWzFsmTaKTGyg56S7XU2m3YGxLEZGWgufDipKamCSZqWmSo2NibLWq1zCLSusWLaVT+w4WYDt2&#10;1CgrFkfzQywrzzz9jHz0t4/M8uRwOBwOh5OWqwCBy4g4DrO6vPeeFVR7+umn5eGHHpYjhw7LxvUb&#10;LONowrjxlnUEiWlUr75UVoIAWShIIiAtMUn1lJx0kevL5llWT0A8ipq0xJcuY1YUCBSWlMYNGkiH&#10;du1k8KBBMn3KVFm+dJkFHB8+dEjuu/deK7L36quvygfvv2+VgglMdleQw+FwOICTlqscKPQvPv/C&#10;+hcdv+ceuXn3Hlm5fIVMU0IweMBAq7Bbp0ZNyU7PsEqyZCCFSEtdKZneSW6wLtLjTxOPoiYtSfEJ&#10;UrlCRUvd7t65iwzJy5OpkyfL2tVr5PCth+SxRx6VN15//TRB8aq2DofD4TgbnLRc5YC0/PTjj/LJ&#10;x5+o8n9DTj17Sh555BG5+6675NaDB2XDuvUyacJEC2wlEwery+UkLVlp6dK9a1dZsWyZESpichjb&#10;Y48+atYiUpchLATXEnzsVhWHw+FwnA1OWq5yBEG7BKjiPiL25eeffpYffvhBvv/+e6v5cvS22+Sm&#10;efOlZ7fuUqFc7mUlLRVzy8vsmTPllZdfsWBaxgRBoQIwJIVgY1xfXAPC9TgcDofDEQ5OWiIcxMA8&#10;cP8DsmrFSunft5+5ai4naami51u8aJF8/PHH+SNyOBwOh6NwcNIS4XDS4nA4HI5IgZOWCIeTFofD&#10;4XBECpy0RDictDgcDocjUuCkJcLhpMXhcDgckQInLREOJy0Oh8PhiBQ4aYlwOGlxOBwOR6TASUuE&#10;w0mLw+FwOCIFTloiHE5aHA6HwxEpcNIS4XDS4nA4HI5IgZOWCIeTFofD4XBECpy0RDictDgcDocj&#10;UuCkJcLhpMXhcDgckQInLREOJy0Oh8PhiBQ4aYlwOGlxOBwOR6TASUuEw0mLw+FwOCIFTloiHE5a&#10;HA6HwxEpcNIS4XDS4nA4HI5IgZOWCIeTFofD4XBECpy0RDictDgcDocjUuCkJcLhpMXhcDgckQIn&#10;LREOJy0Oh8PhiBQ4aYlwOGlxOBwOR6TASUuEw0mLw+FwOCIFTloiHE5aHA6HwxEpcNIS4XDS4nA4&#10;HI5IgZOWCIeTFofD4XBECpy0RDictDgcDocjUuCkJcLhpMXhcDgckQInLREOJy0Oh8PhiBQ4aYlw&#10;OGlxOBwOR6TASUuEw0mLw+FwOCIFTloiHE5aHA6HwxEpcNIS4XDS4nA4HI5IgZOWCIeTFofD4XBE&#10;Cpy0RDictDgcDocjUuCkJcLhpMXhcDgckQInLREOJy0Oh8PhiBQ4aYlwOGlxOBwOR6TASUuEw0mL&#10;w+FwOCIFTloiHE5aHA6HwxEpcNIS4XDS4nA4HI5IgZOWCIeTFofD4XBECpy0RDictDgcDocjUuCk&#10;JcLhpMXhcDgckQInLREOJy0Oh8PhiBQ4aYlwOGlxOBwOR6TASUuEw0mLw+FwOCIFTloiHE5aHA6H&#10;wxEpcNIS4XDS4nA4HI5IgZOWCIeTFofD4XBECpy0RDictDgcDocjUuCkJcLhpMXhcDgckQInLREO&#10;Jy0Oh8PhiBQ4aYlwOGlxOBwOR6TASUuEw0mLw+FwOCIFTloiHE5aHA6HwxEpcNIS4XDS4nA4HI5I&#10;gZOWCIeTFofD4XBECpy0RDictDgcDocjUuCkJcLhpMXhcDgckQInLREOJy0Oh8PhiBQ4aYlwOGlx&#10;OBwOR6TASUuEw0mLw+FwOCIFTloiHE5aHA6HwxEpcNIS4XDS4nA4HI5IgZOWCIeTFofD4XBECpy0&#10;RDictDgcDocjUuCkJcLhpMXhcDgckQInLREOJy0Oh8PhiBQ4aYlwOGlxOBwOR6TASUuEw0mLw+Fw&#10;OCIFTloiHE5aHA6HwxEpcNIS4XDS4nA4HI5IgZOWCIeTFofD4XBECpy0RDictDgcDocjUuCkJcLh&#10;pMXhcDgckQInLREOJy0Oh8PhiBQ4aYlwOGlxOBwOR6TASUuEw0mLw+FwOCIFTloiHE5aHA6HwxEp&#10;cNIS4XDS4nA4HI5IgZOWCIeTFofD4XBECpy0RDictDgcDocjUuCkJcLhpMXhcDgckQInLREOJy0O&#10;h8PhiBQ4aYlwOGlxOBwOR6TASUuEw0mLw+FwOCIFTloiHE5aHA6HwxEpcNIS4XDS4nA4HI5IgZOW&#10;CIeTFofD4XBECpy0RDictDgcDocjUuCkJcLhpMXhcDgckQInLREOJy0Oh8PhiBQ4aYlwOGlxOBwO&#10;R6TASUuEw0mLw+FwOCIFTloiHE5aHA6HwxEpcNIS4XDS4nA4HI5IgZOWCIeTFofD4XBECpy0RDic&#10;tDgcDocjUuCkJcLhpMXhcDgckQInLREOJy0Oh8PhiBQ4aYlwOGlxOBwOR6TASUuEw0mLw+FwOCIF&#10;TloiHE5aHA6HwxEpcNIS4XDS4nA4HI5IgZOWCIeTFofD4XBECpy0RDictDgcDocjUuCkJcLhpMXh&#10;cDgckQInLVcQ//d//3de+bOINNIS7h4VFIfD4XBELpy0FCF+/fVX+fvf/y7ffvutfPLJJ/Lee+/J&#10;W2+9JW+8/oa8+sor8vxzz8mTTz4pJ0+elMcefVQefughuf++++T43ffIncfukKNHbpMjhw6H5PAR&#10;uf/ee+XUM8/KO++8I998/bX897//zT/TheNqJi1c7y+//CI//PCDvPvuu/Lk40/I3XfdJcduv13v&#10;T/59Urn9ttvsHnI/H33kEZOTjz0mp06dkldffVVef+01kzffeFPef+99+VSfzbfffCP/+Mc/5N//&#10;/redxwmPw+FwFH84aSlCoAS/+OILeeftt+WZp5+WE8dPqEI9KodvPSR799wsGzdskKWLF8tN8+bJ&#10;7FmzZPqUqTJu9GgZljdY+vXuI906dZYObduZdGrfQUaPHClrVq2Wu+6404gPpOhicTWTFgjFd999&#10;Jx/qfDxx/LgsWrhQBvbrL72697D7E9yrbp27yLDBg2Xa5Mkya/p0k5vmzpX1a9fJvpv3ysH9B0xu&#10;UyJ43733ydNPPSVvvfmW3RtIEedx0uJwOBzFH05a/iTYpf/888/y1ZdfmlXliccfl2PHjsnO7Ttk&#10;+dJlMn/uPJk1Y6ZMnjhRhio56dGtm3Rs317atmolzZs0kXq1akvVipWkbEamJMcnnFb2CWVipVb1&#10;GjJAlTTHefihh+08//nPf+R///tf/tnPj6uZtEAoPvjgA3niiSeMgPTo2k0q5JST9OQUuz/BOVIS&#10;E+0eNmvcWFo1b27SsV07GTxwoEyZOMnIITJn1mxZtXyF7Ni2XY4dvV0eP3lS3njjDfn888/tXJDC&#10;wlizHA6Hw3F54KTlT+KfquzefPNNswRs27JF5s6ZI8OHDpW+vftIl46dpGPbdtK2dRtp1ay5NG7Q&#10;QOrUqCnVq1SRapUqS+XyFSQ3u6xkpqZJamLS7xRxfOkykpOVLfXr1JVB/QfIvr175bNPPzP3E5aB&#10;C8XVTFp+/PFHeerJJ2X7tm0ybswYadKwkRGWpLh4uz/BORJj4yQrLV0qlS9v5AWpXqWqNKxXX1o3&#10;byFtWrYyad+mrVll+vXqLSOHDZepkyfL2jVr9P7cb+483FCFsWY5HA6H4/LASUshgbWDXfkP339v&#10;Sm/xwoUyoF8/aVS/vmSnZ0hWvmRnZIZE/52pihWCYpIW+pmhgiJOT0m1n2lJyWZxSVBFjHJOSUg0&#10;4oK1BUsO8TL//Oc/80dxflzNpOWbb76RO44dMytVx3btdewVjNhxXyB53KtAMvT+cT8hL4j92+7/&#10;759BIJBFxoabac2qVfLC8y/IRx99ZC4+h8PhcBRPOGkpJHAnfPnll/LKy6/I9q1bTxMWrCMo1pzM&#10;LKlZrZrt9ls0bSZtW7WW9m3bmtuia6fO0rtHDyURfU/L4IGDZITu/ocMyrPPVqtcxZQuCpp/42Z6&#10;/vnn5dNPP70oxXo1k5avv/5aDh86ZJYrXGkQDQhKg7p1pXvXbhbfMnjQIBmSN1gGDRhg97Fvr97S&#10;p0dP6dmtm3Tq0MHuJdKmVStp1riJWbggOJAepGa16jJs8BDZsnGTBfDi5nM4HA5H8YSTlkKAoE2s&#10;ABCWO24/ZvESDerUtR08VhKkbq3aFr8yasQImT51qiyYP1+WLF4sK5Yvl00bNsrNe/bIIVXIgZAV&#10;g9LEzbRwwQLp1LGjkR4sMVUqVpKZ06dbRsz7771nbpMLxdVMWhj7wQMHJG/gQGnSsKERwXJKXCAp&#10;uIzIIjqu9+vEiRNy5x13yOHDh+XA/v2y7+abZcf27bJm9Wq7lwt0Tt+k93/ShAlmsamYW94sWzwn&#10;nlkjJZY9u3WXbVu2ynvvvpt/dofD4XAUNzhpKQQgLaTNPvjAg7J+7Vrp36evKVRiKwgKLV82xywB&#10;8+bMlS2bN5siRalCSB584AGL03jllVcsjTeQzz77zAJtP/v0U7ll3z4ZMniwNM5X1JCWqVOmyEP6&#10;XTKTfvzhh/yRnB9XO2nh3g3s3z9kxdJ7QRzQrJkzLWWclHLuG587nWL+5pvy2quvWnr5Iw8/LHcp&#10;GeTe42bavWuXBea2a9PGYl6C+BiLh1EiM1+fF0QUt9/FBDs7HA6H4/LASUshAGlBQd568KBMUzJB&#10;2i0xFKlJyVJJlWrzZs1kzqxZcuedd8ozzzwjL7/8sgXrQjggKMROkBpNOm8gEBaCQL/U3996660y&#10;auRIad60meSWLeuk5QzSQro4mT9/+9vfLMaH4GSsT9xHXEq47SB/H7z/vpEY7j1ZQk8//bQRQlxt&#10;pE1DVAjoJW4Il9HUSZPluVOnLGbI06AdDoej+MFJSyGAMnvj9ddly6ZNFsvSUBUqsRblsrKlccNG&#10;MmjgQMv24T4S+4IS/Ne//mWkBEEhkrrMjj4QdvYcF0V925EjMmH8eIvDKJ+T46TlLKSFY0L2Ct5H&#10;7ivCPeZec99N9BlAcLBw3aVkcub0GZZuHowT8jJ29GhLWYcE8V0nLQ6Hw1G84KSlEECZUeGWdFni&#10;VurWqpUf1FnNAkJXr1oljzzyiO38LxYo6qO33SYTJ0yQtq1bS4Vy5Zy0hCMtSi5wCUEwLpRcQF6+&#10;+PxzefHFF2X1ylWWQh2MExk3eowVnnNLi8PhcBRPOGkpBFBmr7z8shKBFdKlY0epVb26xbI0b9LU&#10;qrY+9NBDVnq/MOmzTlp+Q1GTFiwwv+gzwXW0e+cuK0JXkLRMGDvO3ENBAT8nLQ6Hw1G84KSlEECZ&#10;vfzSS7Ji2TLp1L691KqmpCUh0YqXkYHythILFO7FFIEL4KTlNxQ1aQmAS+nQwVulXavWvyMtE8dP&#10;kBdfeDH/Uw6Hw+EobnDSUgg4aXHS4nA4HI7LDycthUBRkRaOgxsiCMrl/xQ3c9ISwoWSFu7hmffx&#10;XHDS4nA4HFcnnLQUAkVFWoh5CWWz3GVZKzTuI+XZSUsIF0pa6Bn00osvWi2Wp558ylKezwUnLQ6H&#10;w3F1wklLIVBUpIXPkBpNQ0R6F73w/POW3eKkJYQLJS3UvSGwlhL+9GiCCJ4LTlocDofj6oSTlkKg&#10;qEgLfYSWLlki1StXsd5DlPF30vIbLpS0kKl107z5UiGnnHVvfuqJJ/KPEB5OWhwOh+PqhJOWQsBJ&#10;i5MWh8PhcFx+OGkpBJy0OGlxOBwOx+WHk5ZCwEmLkxaHw+FwXH44aSkEnLQ4aXE4HA7H5YeTlkLA&#10;SYuTFofD4XBcfjhpKQSctDhpcTgcDsflh5OWQuDyk5aKMnXyFHnwWiMtX37ppMXhcDgcp+GkpRC4&#10;3KSlUm55GT92rNx5xx3y6iuvyHfffZd/hPPjaiQtlOTn3kFK9uzeLb179pR6tWpLdnqGkxaHw+G4&#10;huGkpRC43KSlYrlcGTV8hBzcf0BOPfusfP311/lHOD+uNtLCvaWH0C+//CIfvP++bNu6Vbp27mz3&#10;ODM1zUmLw+FwXMNw0lIIXG7SkpOVLT2795Cli5fIkUOH5LlTp0xhf//99/Lrr7+aZYIxhcPVQlpo&#10;dPjPf/7T+gh9+smn8sbrr8v9992nZGSetGzazMhKenKKkxaHw+G4huGkpRC43KQlNSlZ6tSoKZ07&#10;dJQxo0bJMv3OoYMHrVdRQFxQ+uFwtZCWf/3rX/L5Z5/Zfb37zrtk/dq1MnHceLtmxoyVJSku3kmL&#10;w+FwXMNw0lIIXGrScvvRozJp4kRp37atKuwKpqw5fpqSl5pVq0k7JTMTxo2Tw4cOyfvvvy8//vij&#10;EZdw1pbiTFoYLwLh+kmv4ZWXX7FrXzj/JunWuYtUrVjJgm+5du5Bokq1SpVlzuzZTlocDofjGoST&#10;lkLgUpKWL7/8Uk6cOCE36XMYOGCAtGjWzJR3Zlq6xJUuYxYHFHcHJTRz58yR244ckZdefFG++/bb&#10;q5K0YGHBWvSuEg8sTHNmzZZe3bpL7eo1JCMlVcoqaalQLtcyqKrpfWrdspWsXLFCnn32Wfnss8+c&#10;tDgcDsc1BCcthcClJC3ffPONPProo7Jh/XqZNnWq5A0cKG1bt5FqVapIQplYSYyNM4sLSrxThw4y&#10;eeJESwv+4IMPLLblTBR30oKV6EMd+6OPPCqLFiyU1i1aWLYUhCV0nZWkSaNG0qZ1a+nYvoMMHTxY&#10;du7YYfcfgkfArpMWh8PhuDbgpKUQuJSkhUDUl/TYt99+u2zbtk1WrFhh5KVv7z7SuEEDIx0oc85X&#10;tVIli3tZvHChPPv0M/ZdFDLWh0A+1GdJjMiSRYulT69eRgjKlEmVmMRaUjKtvdyQ3V/+kjtGycqU&#10;kJSfpMSjbT5pyZUbMzqGSE3+36/L7qekpZYeI1lKpjSSv+YMPf23v5QfKyXSWilpyThNBIhBmT93&#10;rrz91lu/GxfCWP/2t7/J0089JXv33CxD8wZL+bI55grColQVi1K7djJ61Ci7B7iFVq9aJcePH5f3&#10;3n3XUr+x1DhpcTgcjmsDTloKgUtJWv7xj3/I559/Lm+88YacOnXKYjfuPXFC9u3dK2tWrZYhg/Kk&#10;RpWqZnXJSk+3GJfRI0daLMjrr71u537vvfcs1gUh02jfzXtl1oyZ0rVTJ1PsZUqnSKnEGhKV2kZu&#10;zOwl1+UMk+uUuJiUGy0lU5V4xGWq5CgJaat/H3H67zdk9lTCU91IS1RyPbk+e8Bv39XjRKU2U9KS&#10;fpoI4NqZMmmSPKlEIhhTIIyT39+i1zZXCQlBt9RiIY6lYb160qdnL1m0YIFd23333ScPPvigfZ5r&#10;hLBgZSE9+l0lME5aHA6HI/LhpKUQuJSkBSWMYEEgBRjFjAuFoNM333xTNq5fL61btDQ3EYIbpWun&#10;zrJWCc09d90tD97/gB3nsUcfNaEg3ZrVqy3rqG2rVpY+XaZ0spRKqCLRKc2kBC6i7H5yQ87gkGQP&#10;kqiUJmYtKR2XpQSmhf5uwOm/35jRSUlLFSUtSeYmujGrR4Hv9tPvNpQysamniUA5Pd+IocPktsNH&#10;To8pEMa5/5ZbZN6cOWYFalC3rqSnpNj96NWjhyzQuXj8nnvMDYRlBkLH/QiypYJUbyctDofDcW3A&#10;SUshcClJS7jUZX6H0sa6QOBtnn7W0oDT0uy8VIvl+7Omz5C5s+fIgvnz7TkiM6ZOk8GDBkmHtu2k&#10;Vn5wa2ypBCUlZZW4VJXo5HoSldpEotJahkRJCoQGYlOmdKrEJFQ360nw9+jkuvrdbIktHWfuI0jK&#10;b99tqt+trH9LPE0EOF+blq1k6uTJp8cUCOOcMHac9OjWTRrVbyAVc8tLamKS/XvypElyixKaF154&#10;wYjKueCkxeFwOK4NOGkpBC43acGigPUFC8PDDz9sdUraqsIl5oPzBvEfdZW81K9TVxogdeuZ1K1Z&#10;y/6WWzbHirMlxMYpaSmjhCTBgmnLxKYrCcEVlB2S2KzQ70vxuVj7N7/77e/p+reE/GMk6f+xyAR/&#10;yzS3Ed8LiADWIKwt1JkJxhQIY61VvbpV/M1KSzfCQjwLZALr0FNPPmlzkes+F5y0OBwOx7UBJy2F&#10;wOUmLQXx3HPPybp162SQfp506PKqqIkDOZuQKp2RmmoF6lISE63WSeBaCieQmtNSJvacEu77fxA9&#10;H+eGlIQb35kCwenbu7fcsm+fBdiSTQVhOxectDgcDse1AScthcCVJC2vvvqq7N6927Jp+vfrJ21a&#10;tZLmTZueVUgXrlenjtSoVk0qlS9vdU8gMn+UNCU3IUlPSTWxLKXEJEnWa0P4NwQkLTnFrDZ8FitP&#10;+OOFhPNRX6Vxg4Zhx3emtGrRwgrrHbv9dkvjxiV2vnvipMXhcDiuDThpKQSuJGnh2KRDr9IHN3PG&#10;DBkxYoQMHTLkrEKBuh7du0u7tm2lSePGUrN6dalSqdJpqVyxolRUMlM+N1dyVemXK5sj5bLL6s+y&#10;FrSbnZEpWekZJvwb4fcILqfy5cpJBf1upQoV7FhIweNzvtZKrAb06x92fGfK8GHDZMXy5fLQQw9Z&#10;bRfSuJ20OBwOhwM4aSkEriRp+eKLLyw4lRTg2267Tfbu3St79uw5q+zauVM2b94sa9askWVLl8pN&#10;8+dbvZNZM2eatWbI4MHWLqB+vXpSvWpVJSG59hPrTNNGjaVVi5b693Zm0cEdheWGeJTaNWtKtSpV&#10;pVL5ClK3dm3p3LGjkQ7aC8ycPt2q9SKcj9oqO3bsCDu+M+Xmm2+2isCkfGNlIWMoXNG8gnDS4nA4&#10;HNcGnLQUAleStJBJ8+2331oJ+48++kg+OKP2yZmCQic25K233pLXX39dXn3lFSte9/zzz8vjJ08a&#10;mRg7Zox01OtoUK++ZfA0rF/fqs9ipRk7ZqxMmzZNJqhCH6GEAJdUl86dpXXLllJfyQtBvvx72pQp&#10;smf3brnn7rutxP4reh4Edxap2owj3PjCCdeGhYW0b+JZuN/ngpMWh8PhuDbgpKUQuJKk5UIRZBwx&#10;BrJvqPkSCHVfIAavKaE4dOiQuZkgIzQppGXAgL79lKSMt/5HBP1CbDZt3Ghum/nz5smUyZNl5IgR&#10;VlulXZs20r9vX0tfpp0AGT+f6XVBDLCScD7IB2NgLEV1fQXhpMXhcDiuDThpKQSKO2lhfJwb0oDF&#10;4uuvv7YquwhkBcvHA/ffL7t37ZLFCxfJmNGjZdTIkVY1d8XyFbJ50yZz0xw5fFjuuusuue/ee+We&#10;e+6RY8eOyWH9HfVTdu7cKevWrpWFCxbIjGnTZezoMSqjZate/xNKGrgHlOjnnBSHIwsIsgSBKWo4&#10;aXE4HI5rA05aCoHiSloYF8IxUMwQBtwtb77xprmEEMZNkOuG9RtkwrjxMmzIUBk8KE8mTZwkWzZv&#10;lgceeEAeefhhOXnypDz55JPy1FNPydNPP239gfg3v4OU8Pd7lcwcPXrUui7TjLFRg4YyccIE2b9/&#10;vzyi1/LMM8/YObHo4JqCxNDRGQtQUM22KOCkxeFwOK4NOGkpBIoraYEIBBYWAlnvvusuuXn3HrOo&#10;7Ni+Q27es0cO7D8g27dtk1kzZ0neoEGW1TOw/wAZN2aMLNfrwYpCjZR9Klhbdul36aqMcBx+hxvo&#10;1oMHZa/+m2PhMurTq7c0btjIgnEJ+KXZI98luHbH9u2yacNGOXTrITn17Cn5QsnUTz/9VGSuIict&#10;DofDcW3ASUshUFxJCxYMCAuuGAJip02ZKj27dZe+SiggJqNHjpKpU6aYDFfl3rdPH+mnEqQjjx83&#10;TmbMmCFT9O8TJkyQ0aNHy7ChQ61twOC8PPs3riRiWsg+IhaGDCR+x7E6dexox+L/E8ePt+MR+9Kr&#10;Z09p1byFjBg2TPbs2i0vvfiifPrJJ/JrEbmKnLQ4HA7HtQEnLYVAcSUtBLuSWfSeKvHdSg4IlK1f&#10;t651T+b4kAhaAGAZ4SekA/JBh+V5c+eakA5NrZTOnTpJq5YtQ9KipTQn3blxY6v3MmjgQCsAx/c5&#10;VnC86dOmhY43Z47M1p/8HwLTRY9VU+9Rx3btrDni0SNHzG1EP6WigJMWh8PhuDbgpKUQKK6kBRLw&#10;oT47YlAIpsW6QjPC+XPnyYEDB8xdRAAuMSsPPvigPPjAA/bzIRV+f++JE3LnnXcaAaEyLbVYICyd&#10;lPRQrZbKts2aNLWO0QTh4iYiSJd+SByHeBh+PvzQQ/bz/vvuk9uPHrWsoyF5eTqe/jJqxEgjLtRi&#10;oQ5LUcBJi8PhcFwbcNJSCFxJ0kLcCp/BFXSmQAJwvVACH6KAy4caLFTQJYMHUoM15vR3dHzBv6n/&#10;QpDsJ598IuvWrJWGdetJbnZZad2ylfTt3cdIC72BaMY4fepUuf22o2YtCQJrEa43+Hfwf8Z08rHH&#10;ZP26deYy6tm9h3Tp2El2bt9hqdEFPx9OLiRg10mLw+FwXBtw0lIIXEnSQj8erCL7993yB4EILFuy&#10;VKZOmiwD+vUzawlZPaQpF8zaCQdSkXEtffjBh0ZaqIZLVVxIz+pVqy3TiIq47Vq3sRouWHLIIDqf&#10;tYQ6LZAKrC9r16yRPj17WTdqyAXHCHcdgUC+KFDHMc4FJy0Oh8NxbcBJSyFwJUkLrhhISWslJGdK&#10;8yZNzEJSq3oNqVyhouRkZknb1q1l3969ViPlXFYLiAEtAsg6Wrt6jQXOdmrfwYrKPfH447J75y4Z&#10;OXyEBdyOGD7cYl9wJXGd5wJEiUwhLD2QEArX0WTRXE2NG4e9jkD47IFbbjHCdS44aXE4HI5rA05a&#10;CoErSVqOHT0qXTp2tPNVUWLSuH4Dad64iQmdlOvWqmWEoFqlyiZkDx0+dOi8Qa8FScu6tevMokIA&#10;L24dYl62b91mmUD9+va1n5AWCs9RuO5CQSxN3oCBkhgbJxXK5UrDevVPjz2QZo0a2/2kQ3SNKlVl&#10;zapVlg11LjhpcTgcjmsDTloKgeJAWiqq0h+aN1g2bthg9VeQLZs2qfKeZ4GyWEWQRQsWymOPPmYx&#10;K+dC4B7C/YTbhmtppISIYN4pkybLwH79pWnjxtZckZRn6rZQsv98VpCCCEhLRkqq9O7ZU9atWXN6&#10;7IHs2rFTpk2eYueuUbWakxaHw+FwnIaTlkKgOJCWOjVrmtKn4i2uH4SKs7iP6Oy8betWk9uOHJHX&#10;X3tN/v3rr/lHCA/GihsHawuND7HQ1KlZS+rXqWtdnSEQ5cvmSJuWrWTxwoWWecR1XkzackBaCPCF&#10;ZLz5xhunxx4IBIUg3x5du1matJMWhyME1h0kCMZHcL/y7hJgb/KvX20DgmA9RdiwUL/pUskviJ4j&#10;OF9wfiToORYE1gfjvpAAe4cjHJy0FALFgbQQJLt1y5bfuWcIiqXD8sEDByyOBSHN+e233jrvWFhQ&#10;WHB+/OFHIxerdWKQ7TNs8BDp17uP9O/TV/L6D5A5s2YZEcKN9KUSHBamC0VAWiA/BAyTqXQmGOd9&#10;J+61gnjE5jhpcThCQNHzvkEU6Cn2jb77VJdmvWbNoVUGLTNefullnccvyPPPPWetN1hXCN6/VPLI&#10;Qw9Zx3hafXBO1sZXXn7ZhDHRiZ6WIqyJvMuMnbXmbEkBDse54KSlEIhE0hLs3tgZQSZe0EWPWiq7&#10;d++WNatXm9WG0v0PP/SwHS9YeM433oJw0uJwFB68a1g2eec/+ugjeUvfQ0ocPPboo3L3nXfJkUOH&#10;7d3fu+dmc7Nu3bxFVq9YKfPnzJGpkyfL1EmTil70uNR1WrJokazVdYJzcv5b9u4zYUxkDkKi3lAC&#10;w9r48ccf2/pxMWuHwxHASUshcLWTloImZn4P+cC8G5iRWVAYP4sijQ/J+sEdBJHBHcXfzCyc/53A&#10;JBzUgDnbDspJi8PxG3hPeF94dyAjZj3RuY6LlrUBYsL79s7b78jrr72uBOUls5xAAnivCbCHIGxY&#10;t85i1+bMmi3Tp06TyRMmyvgxYy2mjQy8zh06SKtmzaVls2ZFLhy3Q9u20rN7dxk0YICM0nNOnjjJ&#10;4uCQOTNn6Tu82uLVbtV1ic7xtBjBMgPhwnX91ptv2jtMPB2Ehk70rDHE2OGyZo1hXXDLjAM4aSkE&#10;rnbSwsvP/1ksiSMhHRnzLcKCwcJBZV1Mu6Q733ffffK4/qSYHNfG3/hc8B0WWa6X80NmWIjDwUmL&#10;w/EbmOuQFeY3Cvvll1+WJ3Xu4nK54/ZjcnD/ftmxbZspfeY3Vg3ICFWlhw0Zou/SAOsd1qNLVyUO&#10;7aStzmdKFbRs2kya5WcT1qtVW6pXqSKVy1e4ZEKWYu0aNaS+rklN9Jwt9PwtjSQ1tzF169zFXMxU&#10;xM4bOFCGDx0q40aPsevBCrR86VLZuH697N6506y5rFkQs2efeVYJzVu2TkLo2BSx9jqubThpKQSu&#10;ZtLC2AsulhAUAmIp4lZQWEBPnTplBeQoyQ9pee6554y48LeCn3311VctxoWeRxAgdkZcB+So4CLj&#10;pMVxrYB5j/Ae/Pc/IYsmDUIDq+Y/9P3jff1E3z/enZOPnbQAdApErlqx0qwmY0ePtlgyai0RlF42&#10;I9NqHGUgKamSnpxikpaULKmJSbYGBZKMxCdIUly8lRi41MJ5EM5ZcBwI4wvGmq7jZuxcB9fD2keZ&#10;A9a0wbo2EEdHBiRJBqxf9+paQJzM+++9Z+vA3/XdDay83Euz7uq95T4H99wR2XDSUgjwYlxtpIWX&#10;OzBHY3aFeNA3CNcPJttDt976B7ll3z7ZsX27bNq0yVKc9+vOL9zn6GvEZ+lFhH/9nXfesSBBFpaC&#10;Jl0nLY5rAcF7xjv3w/c/yOeffW6EngDZJ7CkPPCA3HXnneYu2anvFwp6ga67UyZOsvmLS6drp87S&#10;unkLaVC3rlSpWNGUfMG5GikCkeG9rVW9ujRp2NAsMz26dpVB/QfI2FGjZdaMmbJs6VIr58B6dvS2&#10;2+Te4ydsnXnu1HNmiYH4UXoBy/G53NOOyICTlkLgaiUtgf8cP/mtSjYIoJs2darMyO/2fKZMmTJF&#10;Rutub+jQoTJmzBj7bLjPTZ40SUaNGCEjdMGlkeL9991vfmrIkZMWx7UG3mGsAMwzyhAQhHq/bhCI&#10;P1m5bLn17hqWN1h6du1mc7CxKuv6tevYfMfVUql8BXtHymZmGVnBipJQJvZ3czVSBCsN1hnIS1Za&#10;upTLyrb3mMKZlFmoW7OWFaHE1YQLjHVhnK5FC+bPt7X2jmPHLGsJ9xrxL6xv51tDHVc3nLQUAsWV&#10;tEASCNQj6A0zM0J6MlYVYlf4LC83tVyWLV0mA/r3l4EEz40caf2EzpTRo0bJkMGDpX+/fvZzjBKY&#10;cJ+jrD++dYLxpiiB2bB2nZGlN5W4cF4sLgim3gF9+0quLshkGxAbc+bOyEmL42oB6wDz11w9335n&#10;rlHcre++8465UYlPIavn5t17ZOXyFTJ54kR7T9q0bGmWBRQ0hKTgHHQJL7iecDPxjjdu0MAsUQT9&#10;LtD3nszGO47doff7SSOIuLs/1HWOdHA2crjC2bSxtroV5uqHk5ZCoLiSFv7NMegXRHNChEJx+Msh&#10;K1hhMK9iDcE6AmGBmMybO1eW67WcKUsWLzazNX/nJ/8P97lFCxfK7FmzrVLuSCUwmHbxyWMCZwH/&#10;+KOPLHAXAtW7R08rLrdg/k2WnQSZYeHnngInLY6rBcxZ4itYL59/7nkLoCWQdLO+f1gCxo8dK0OV&#10;7BOESksMAlRpFkpfMOI5ICxYGgrOQZfwgqWJe4VFpry+51hhCPplze3VvYcMyRssE8aOs2yl5boh&#10;271jp5y457g8//zz1gSWQF63wkQGnLQUApeCtOA2wX3Cd9gN8HIVFBQ7ctvhw3ZOFj9K+HMMXkaE&#10;XR7phLheFt60wATicuzYMXnmmWfk1gMHZba+1LzgWE+sRL8SDeorELNyNiGuBQn3N2T7tm2yefNm&#10;WaWTicDBqpUqSZsWLa1AnfmeCeB98SWr1NulUyfbYTKOF55/wYgWJILxsxtiV3TPXXcbuSH4cNWK&#10;FZadxLUXvB/co0De0fs9f+48M6k7aXEUNXjfkeC9ZC7ynjJnv9b3/FneLSUrWFMmjBsn3Tp3NrcG&#10;pKRgMGyCSnzpMiYF592fleCYgaDgT0v+eTk/EgTMFoUExwyu7XfnVSk4pnDj/jMSXOfpa8p3MeFW&#10;atqwkQzs20+WLFxk7/lTTz5l6eNYXYLsxoJrSPB8HVcHnLQUAkVNWvBjsxujAeFpE/O775p7hbRj&#10;MnSwkpDJs3jRImnaqNHp3kObN4YC1BAsLDOmTZd+ShxQ+kjewEGWWkgdB9IlMas2b9pUj9FYmjVp&#10;Kp2J2h80SEaPHFlooR4E8SyDlHhx3Kz0DCNiA5QYzZszx1xBECk+h++eDILuXbrK0sWLjfDs2bXL&#10;ClEd3H/AZO7s2XacSuXLy6QJE+T+++4zsy81HbgvuJWIh4HMYIVhlztz+nSz4DhpcRQleNchJ7g5&#10;Se/H9YAL9v7775fbjx61Im7Mb3b5EPZ2rVvbhiJHiXnBuVXUgsJmzSETh27uWBmrVqwkNYkD0fPT&#10;u4sGpFh3kNa6icDa06dXL3NR/Vnp07OXrSWsebT2IOakha4nvLekWtMChHWNcWFVYpyMl3GHu56i&#10;EIgMMUCVcsubFYb1j+eCVZcN3v5b9suJ48flmaeftnWVNYQAXuKPnLRcPXDSUgicm7RsMbcH5APL&#10;AZ89m/DS4HJhsaHXzwFV2LxMT+tLde+JE2YhOXLkiNxyyy2yUQkJhAULCYsB5+N7LBLUZkD4d+0a&#10;Na12Ai8uUlV3HrhZGtSpayZVuivn6CJSVolF2YwMKZ+TY8eho3KhRQkKJKVqhUp23GTd+bDrwQxe&#10;r3Ztaajnbli3nn2GRYXdEYsZv6OeBHUlWrdsKR3btbeaDvyunBIQFjt6EHGPsOhQTItFBxcYCw/F&#10;qbjX1HSAcGDBGTF0mDz5+ONh73cgBOxhdSJToeCi56Tl2ka4ucJOnPnCuwpxxr26etUqi90iy4du&#10;6ChIyAK7/HLZ2TbHsbAUnFtFLaQ0Q1YqV6hgfcjYyECYunXpIv11XCOGDTOFTUYSMmPqNFuvsHYG&#10;m5w/I7yPQf0YMnxocjpJ3x8yftg49OnV24rOYfWok78m8T5jFQl3PUUlrC2sjQT1sv6x5rH2NdFx&#10;9OjWzQrvka1FxiRrCKnUEBcsL2c+e0fxhJOWQoAJHY60sIDRIfm1116zrIHvvv3WXgisAZAYLCuY&#10;KYnzoMLlA/c/IBPGjTerCTuhRQsXmZkZaw1+WfzicyjBPWWKDBsyVHp07247KF7+cC9sgkqqSqZK&#10;dqkykqNSroDkqlSMiZVKKlVi4qSaSvVLIBy3ip6jwhnnD6SsSoaOMUUlUSUe0V0S5vRsJT3UoWBx&#10;I/COZo19dWdHxgDZTlhs1q9dK9u3bpW9N99sRGbL5s22+2OhIhaGBYkMKe61VdfUe0+QMn5trCxY&#10;wbDscM8L3j8nLdc2IChYVX768SdzW37y8Sdm2Xvu1CkrD0B8GPFdWBCxLKCImaMoyoLzqDDC/GfO&#10;8w5kBlk0ui5AhCD7bDzYABCEigWFtcYIis774bo24JaaNX26rd+4VLG67t61W/bdrCRDBZJ+3733&#10;2bUEfYH+jHAcNgtk7xy+9ZDs33eLBRzv2Lbd1kDWr9kzZ1pcD4Xw+vfuI906dZa2LVvZpqRh/fpW&#10;+I5NFoSvqm7EWAe5biy1bHpYU4vSMoMlFqsTBe6w5rKG3HnHHdatHgsa60XgrmbD6SiecNJSCJyN&#10;tKAECXKlKBt/x2pCFgHmZGozYDnZj9Vk/QaLwSBolRc48MWS0kfVSALLOnXoIO3atDFrAAtko3r1&#10;reokQWicK9xLCQmAkDRU0tAsJl5aqbSJSTgtnVR6RidK/+gkGRKdLCOjU2TUJRCOm6fH7xaTKG0L&#10;nD+QljquOjpGSE2mSpKOG+LCAhUUxWIRRxkQp1K3Vi1pojtJzNDcF6wx3COICkG/WKlYALkvzZo0&#10;sdRsdoKnq2s+/LDFHVAE7z3dWeG+I4i5eZOmv7t/TlqubbDb/vabb632R6jY221mOSU2bNyYsdK3&#10;d28r9EblVwgLLo+iICwIcxfSzTpAii+khHlNafwxI0eZJQOrxprVa8wlRU0kCDsuKgLe7z1+XB56&#10;8EGLIUMJn3r2WbNEBiSDRooQMDZOuFX/rHymx6ERormwdQP26iuv2Fr3wvPPG6F54vEnbDzUVLlL&#10;iQHjPExNJ13/yGrEWnWTroEzpk2Tibpxg3jhzmG9a6wbM4gM1lhIIWtBuHt2sZKalGQuZywvrCW9&#10;e/QwixRWKIgepSJoL0DbhO+/+z5/VjiKG5y0XAAgKQWD8NiN8WLiy2ZxwUWCokUJkklzr+7KaDZ4&#10;/J57LGNm586d9pLOUXY/dvQY2yERqMcilaI7K17KZF38spJSJDdVd1m6GJZLVtH/myQmS7mEJMmJ&#10;S5SyZeIlq1SsZMaUkSyVbCUpZfMF6wZEZYASk2FKTEYrcRivBCKQGSo3RafJiuh02RCdKdujs2Rn&#10;dHaRyw497troDJkTnSoTCpw/kFExSdJTyUtzJS61VbD+cB0mem0I15fJ/8vESU58ol0/9yGX+6KS&#10;k5ImOakqeg+z8JfnEx1qXLRp1coyoyZOmCALFyyQDevXm1UG0shCSj8lYomwWhVc1Hg2zzz19OlK&#10;m8QkBQF7jsgDz5ZnzPMmAByrKNVpUbQ0/ps1fYbFmrVo2tTIBBZAlCjvOmTlYpUppBxrSnJCgllU&#10;2KxwTCynHL9e7ToWZzWwXz+L5cLSun7tOrl5j87d24+ZW/S1V18zqy1WQ+JsENxXCBYCrsMqxqr8&#10;M79qbCDBnGYN+7PCcTgea+G//hmq9IsE5Q0YA9Vrg7EFY2XcWD+J0yPxgE3FoVsPmdVjsa6dE8eN&#10;k8EDB5pVBosSaytuMFxuxMJx/1MSQxubi34GpX+rCwOBgXSyKYIgYQHCncZzJ4bu7bfetvFyDVwP&#10;18p1B4G7jisHJy3nAROUxY0XkpePBYP0YV42/NqYayvm5lr0Oi9Y/759zfQ4Z9YsmTVjhtVmoPDa&#10;gH79jawQu1GrRg0jLAVfqIxSZaSKKut6peKkqRKP1qrU28UkSgeVTio9VdH3VxIyUJU+MkhluJKC&#10;MUpCxubLFJVFShY2RmXKtqgs2RWVLXsKyIGosnJbVI7crXJfVK48rPJIVPkiF457IqqcHNbz3XzG&#10;GJBdOrY1SpoWKHmaoTJJx811jFIZodc0VCVPr6+/Si+97m4qnVU6qbTT+9JMhftUQ6Wy3jNcTml6&#10;D3GPYVqvVrmKBQNiqaJ2DOnkY0aNlmlTpsh80rdVGQzU50EsT8FnwO/YvWIho87Dl7qj/EkXLhYr&#10;R+QBBf/Zp5/JG6+/YTts+v2gtObNnmM7f0oL4J4kNgJlWXCuXKygKHF91Kha1WK5iEHr0rGTxZ+w&#10;PtBcEMsDGXdUycUqYVZC68HzjFlKmJO4mq9214VlXX39tVlquPdYN+lxRooy1tFdO3bIhnXrLVAf&#10;4kifIlw6WJ6IG2zWuLEF+lbU5wLxg4gU1o0EiYQQQRohjMOHDpN5c+ZaggMbTjY5BPrjbib7KCAv&#10;TlyuHJy0nAdMTiYquzCC8V55ObRD2LRhoy04pPdCQHhxWNjY6fNCERwX+GsJnCUoFdcOVS7tRSsQ&#10;kIZrpKIq3tZYSZSgYCGZrop7nirxBSrLVLFvViJyS0klHiXLmhxWOV6ynDxSsrycLFnB5AmVZ0tU&#10;lBdVXlZ5ReXVAvJ6iUrypsrbKu+qvF+i8iWTd/T4b6gUPH8gjOsFlWd0vE+pPK7yqF7Hgypc0x0q&#10;XN8+vV7I15qoDFmhslTvA/dknJIZ7lMXvV8tY+KkbkyIuEBauK+p+hx4JjlZWeYn595XV0JJQS8y&#10;K6xWhj4ndrsFFzAWRLKsiIlhscLFR4lwdo2+SEUecHNgMT165DZZumixkduObdsZqSDGghgIFFpR&#10;xFawq2fekcFDyQEIND2GaH9BvAyF0XDjsMNHQZJBeDoe65tv5ccffjCShcJnE3U1I9gEcj1YMyzu&#10;T0nM53q9xJWwKQzF/b1mfYcee+wxIxCsubjV6cnUp2dPSzzAUsJ7zPob7r6fT7DU8F2OgUWH5477&#10;CFKJuwrX0fat26wGD+41xow+cOvrlYOTFsXpALyffrIFgsUMgsLi8eYbb5qf9qS+OPfcfY8FcK5b&#10;s9ZMicSaZGdknnbxnH4RVNj5E3BaoVSsVMm3CtSyWI54qa/SUKWxShNzkySYRWGSKuNlqpQ3R2fK&#10;PlXWWCqOqtyt8ljJXHlBlfpLquCR10pWlA+VFHxZoop8U6LqVS9f6XV8pvJhSSU8JSvZ9T1vhCZX&#10;7lcSczwqR+5UORyVLVv1/nCfZiuxm6gEb2g01phEs8A00nvaQKWuSm2VmkpqCAyupM8hV4UA5XSV&#10;ZH0+kJyCCxjmeawt1JAhM4Ky69SMoc4DPnvaIbCgQmSYI8yVIGjPd1/FFzwXng9m/u91t/ypvtu0&#10;mXjogQdl985dMnfWbIuRIjaNQHCsIgXnxYUKu3bICRYVSDGWV2KtyC7q1L6DxU9QAgCXD4GrD9x3&#10;v7lJSKVGeeNyYawXIlczwl3PmcKa/Nsz+97iTB4/+bjFxlAzatmSJUJzRVK4yZrCslq7eg2znkJk&#10;IJs8j3DP6XwSkBiOQ4wNVtrVK1fpuW83kgt5weL+808/y7/13We8jssHJy0KXo5vvv7GXoxTz56y&#10;XTYvBwFjBNvi6rFgsaFDrRZDkJaLVYVd2Jksn4yYyqoYm6my7KqKdKASEgJUcYPMVLkpKkOWqaxR&#10;YrJelfAWlX0ly8qxkjnygCrpk0pOnlY5pUobxf2iKnAsJO+pfFCissmHKij5r0tUk28jQLiOL5W8&#10;cE2fqPxNr+89lbfyrTUv6T1AuCfcnweUyNyjwj07qLJL79/GktmyKipTlui9nReVLjOi0iymZqgS&#10;m95KajooiWkaE6vkEQITIi4FnxvKBuJCkB41KIhnGDZ4SChzaeZMK563e9cuS3t98P4HbAEjsJfM&#10;pKBolaP4AQUIuWQnj/WMd3vF0mWW/kraMs8bhWcbkEJaVfgOO3Vi1VB0zB3cGmQbscmBAJNpg5X2&#10;maefMbLC3IH8MrZIsKAUNXhuQcwRbrGP/vZR/ibyBXMn3Xfi3lDMYD6JmTppsgwZNMjceg3r1bP3&#10;+WLjjpDA+mIJEkqCSJdmzYd0zp8z154lgdrvvvOuxeg4abm8uGZIizF4fQl4EVgcUDAILwUmPybg&#10;ow8/YsXNWGQo0gZBYcKyawqYO5M5URcoEya3TvKCQiYM6bxNlbAMVkU5KyZF1kany97oLLk9qqzc&#10;H1VOnsy3mGBRQDl/rsoahf1Vvnx9FglnofjmDOV/tQrXEZI/XmO4exHcK4T7FyI6VYzcQfSwTB1X&#10;MmOWGSUxi6JTZXJMsgxSEtneXEqkXv/+2dnz02eapM/WRJ81gssptyzpkk0tm4OGd1hiDh44aIsn&#10;yoc0aoIfmVPML4S5FuwcHZcX3PPgXccSxs4YaxlxK2SsYP3AdYhignAUVrnx3WBnjvuROBXSfNns&#10;sJY8nt9CA+VWsBprMD8KzhGfJ79HwfuCBPcruH/BGs67hzX8rmN3mAuJ59u7Z0+rDxNsKoNqxOGe&#10;47mE7yBY39ABpJ5ThwaXEdZ33HjMr+B5BmN1XDpEPGlhMjGpcP1ghoWcvPjiixZ4hy/5jttvlwN7&#10;98mGNWtk3qzZtjuivD2+Z1LvCMILCAvuBBRdDd2pN1bFR/pu1+hE6aU7eYJkB+uunnTfibrDX6I7&#10;feIxblWico8qz0dViRLDAVl5Q8nK+yUrm6JF4UYK8bhSwv2D9HEvP1ISSDzNayVC7iUIIu6lY/oc&#10;9plVK1NWKomZq89oXFSqDNHnxbPrqdJJnyUB0I302dbUZ1yBDKZSIWJKtgH+bop4kXbNDp002GAn&#10;TU2Mo7rrw/dN0SqyUFjQCN7DxA05dlx6oDAKvu9YNLCckiJMuwoC43m3ea8vNmU5UF5873Rqcpu2&#10;Vh2W5n24mTauX2/BpGSgYLWleBnNFLGkoGBdoRU92HTisiXekAwrLGk0UaQSLhmBVOru3rWr1Wgh&#10;vhCierEuQJ49OgDrDfEuBGpzfFxVuJCJvSGkgPgcnrXj0iGiSQsLBMqCHQ6mYaLUMSlSBAlzIgtY&#10;Xr9+0rVde2nRuInUq1nLCjlhWSEIz1KS85m6LVg6eWuqEuscEy8jY5IspZcgUcgJCvGokpP7lZwQ&#10;WPpcyYrysgoE5R0lKASnYlX5WInKp0ZWqpy2FDhp+XPC/cO9hHyRf28hhBAY3GjvqrxlcTKVzMXE&#10;s3ncyEyu3BFVTp9dWdmsz5BA3xn6TEdYjEyCEtNYqazEhYJ97KjZTRPzQLVeXIME9xJciT+9k84h&#10;asYQYEnmA/7voGU+7iOIi+PSg3ceJUYQK3VKDipZwb2LhYy0VuJWeLdJm71YCwufZwMD4UFx0UaD&#10;2inUTaGCNWSVWBmCSXH7UFzy7z97h+FLjWCNhzBgdaEWDXEn1I2hbg2B9byTVOwl2J76LzxHnme4&#10;53w2CYgLyRTEzrCp7dy+g4weMdLq+fD80Z24+xyXDhFDWlgQWByYMCgJdllUpaXS4fOnTskDuvPB&#10;F7l8ydJQAJfujmDeNZR5Z+vOKVMnYzqBmqqk2GFX1d12DRWKoBE42zg6Qdqo5KlCg6xsiEqXgyWz&#10;5T4lKidV+T2vShDXBMoynGJ1KT4CyYHYfKSCiy5wJ92pzxLyud5iYtJkTFSy9Nbn3UqfO4HTzAXm&#10;BPVwyuscydKFDCLLYgaZIfASxYgyI8thy+Yt5o5g90faJEXteLe++ByF9t3vgnhdoRUOgbuA+0gw&#10;65dffGlZJ6QK37xnj7nyggKQKKpwyuhsglJDSfFs2cjQN4ugT+JVpk+ZepqcUkySXTYuIMbh1pQr&#10;C+4/7xSxMFg6afXx2KOPyV7drM6ZOVP66toPeWlUv769s7h+sZ7xrMPNg7MJG1rimMg2M+KydavV&#10;5qLdQ2BlDQirz4miQ8SQFiYGk+Q9ZdinnnlWdz73mkl4w9q1Ml93WuNHjpKBfftaFD9Fi0hJZseU&#10;nZYuaXEJUq50nFRV0tJElRLBs0NikmWckhPqiCyMzpC1uhPfrgot5O4pZ+6eZ1XZvaq79iBIlp09&#10;O/1witKl+Mhv7qSQReY9JS5YxHDd4cJ7RJ/tcZUjSmKoM0Pdm6Uqs6PTZLzOiUEx1I3BjRQK6CVb&#10;jAUMy5y5DXQRCyqa0oySTDOyRtauWi379+2zrBFIDFYY5iy7ROav4+LBfcMcD2EgSJNA1907d1o/&#10;HCrYtmze3Or2UMDtYlwCEFFKGOAOoH/OgD59Lc5tw9p1Fvz54AMPWP0UKsJSHRbChJJ0F1DxAPMC&#10;CwwWToJ4abJKp3nI7JFDh80yQjG7MaNGmU4gEJtnfTHWFz6L9RXLHTFSZKBRVZtU9sOHD1ucTUHi&#10;4igaXFWkhcWAnRXChGSxYlJiDiaVkfLbDz/0sOzfu8+yAwiI69mlqzSsVVsq6cQqp0olQydZhiqY&#10;DGXVGWXiJKN0rPXoqaVkpXV0vAzSnfUsVUwoqltUYd1tlpTylsGCq4HdOYqOLJcvVPEhgZsncFGE&#10;U5QuxUsgLoFbKXh+wfPk2eLC+zjftfS6EtNndA6c0Lmwv2S2uQSpLkzlYWKbsM4R+5KpxDczNl4y&#10;4xMlMyFJMpNSJFN3cJijqf1AmwYayrGo0QuG3R+7QMzZ1OFgLlvsg85tFjlXfuERrAP/VYIA4UMp&#10;EQyN6xfrxyjd9eKyI3bhdCDmBSgjiAqfNQKaniFVKla09hlDBg6yZ3bXHXfKyy+9LD98/72dF5IS&#10;WMp4XozJn1nxwel5kk9geLd4bjy/d955xxqrUimbwN3uXbpYIUEsJ8SvQXCZMxfiPjSLnH4ekktt&#10;LoKx6ax/6NZbzbrK/ERHBRZVnyN/DlcVaWHysVAQZIc59tVXXrWJd9+JE3LbrYdky6ZNVlWS4kM0&#10;zmvbqpXUqaEMWndZuH9ylKRUVAVTW3fIzWPirdJs7+hkGaZCNdnFUaEiblhT7tOdNnEPL6jCIh4C&#10;ouKE5NoSSA0kJrDGYIl5QucEWUkHdY5s0LlCavVoJbn0WsKV1EXnFEUCGyiZoWAg7iMWQBZD4qXo&#10;T0VWGoQaF9KGdetk//79FhRODIy1zP84FNDHIuf4I7gvlFen8BqVYrl39JoiHXXwoDxp2byFFXIM&#10;p2DOJjwj3EdYZai/RGGx8WPGyuIFC62WCwHWnAv3kz+Xqxs8Pywg6LlnnnnGekzxHlLBfEhenrkT&#10;G9Sta5sN3EYXQlwCwZVIFhkd6ydPnGQVlnEZQXaJs6IZp1td/hyuKtICW8YMS7wKQU80uFq5bLlM&#10;GT9eBvTqJR1btTbTPMqBEs8ETGXobgtfJfEqVZWskIpMzY6JulNeqgpnR8ksuV2V0IMlysszJSrI&#10;SyVClWPZYWNZIXCWnbcHzF57UtASQ2YSlhfmxDtYX3SOUNX3SZ0zD+jcwZW0MyrLKvdSzThP5xh1&#10;eui4bTsxnYPsxHBTEMSLL53KybgqiZFgZ0azzdtvOyrPPv2MxWN5FkJ4YN0g0BWCR82cOTNnhWon&#10;NWpsAZLcY6wl4ZRKOOH5QFiIW0HZTFFls2XTZlM2pEmzHkJWcEGxafKd8tUNnh9zCKsL8Y8UG8TN&#10;R9AubTxoH0D/oyYNG+q7Wv6iMsxM16jOKZ+TY125O7Rpa/VjSH/HJYwrET3mKDyKLWmBDWMuZ6Fg&#10;gcInSYAd1UlpSEiXXqulogt+yyZNpJouOOV04UkzglLayrpDUnD71FdpFZOgO+FEGas74kXRaaZg&#10;qLBKSuwbJStajQ/iHMIpLxeXcAKhCSwxryuBeQorjM4pqhmvik63dgMddM5RpbeeCs0hCeIlDiYI&#10;4k3W+UoqdesWLSz+hb4327dstb4z+MQteFcJDO/AD9+HXEgsetea+4hrhcSxQ2YtePLxJ8z8Tp8Y&#10;iolRvRRlccHmfL3vuIAgKlStpSAcFjD6hu27ea88cfJxWwdRbo7IB8+ZXmNvKBE+fvfdsm7NGqGo&#10;JL3LcDVigcNaGrgbw82rgsI8xHqH5aVNi5bWDoCsVWJqeKepG4TLKHArOi4cxZa0sKPBnIZJlnLb&#10;9OigmdjM6TNkxNChFvTEQk8FysoE1CphydYJlVM6VmqUipV2qiQGK0GZFJUqC6LSZW3JLNldMpSW&#10;fF/Jcmbmf1F3yfThIYCWnTQ76nDKycUlnISsMCHiAullLtHzifiXB0vmym0617bnV+m9SefglOhU&#10;m5OkzOM+IpaKIoU0eSSAl7gXlCeuiTEjR6kCnWNma+JfWOxwh2JlxD3KInstkRYWdmIDSGOmsuzK&#10;5SusVgb3C6sVVqwLCbRFmQQWL1JWLRNIFcr6tWttl/3IQw9bDyDSlnHRuSn/2gDPmWy+r7/6yvoe&#10;Ycm/R8kL6ex086cabuvmLU7X7YL4hptfBYXPQHJ4t/lu3oABRopxZfI+M8cshs3djReFK0paWHQR&#10;JgwPjoUYsgIDZWdJuWaC39auXiOjR46U9m3aWJR3RkqKpOvCk56QIOlxCRZQm6VkpaKSldoqHWMS&#10;zP2zPjpDDkVlW6YPpfApOhYE0UJSgiq0VFgNAjPDKScXl3ASzJmgai9ziTkVBPNSlwc340tKjh9W&#10;onxbfjr1NJ2bfWKSzAKYpcSFYPBMncOZzGWCQFNSjYhT0ZOgPjIScB3dcewOeeGFF8zyErQO4J0h&#10;IBWlHkk7NtYFroe1gYX9ZyVqlC8gc4faKGRmVSiXe3rnez4LC3/HukKMAooH6wp9ppYvXWZp6dT0&#10;COrpcE9Zjzj3tUQMr2UUnG9YMtFDWPktYPeJJ6ylC5lGxDtBkiEuQbBuuPlWUPgMn8UaSFXtwXl5&#10;sl43I089+aTVlWETwnl9vl0YrihpCSZIQFLIAAilK5+QW/buldUrVsr0yVNscWmlk6V6lSpmbovX&#10;hZ7Gd7WUoLTQXWsnJSn9dAdLf5/pUWlW8XSv7nDJ9qCHD92G2QmjSJyYuFwOYZ79ZoUhBqaiPKtz&#10;kTl5QOfmuqhMmRmVLsN1zjJ3O0cn2lymLxJNNnMTkyWHoL5q1S19msJ1+MaXL1tm/Y9wHxG4S/YR&#10;pubA+hIpCNzDuINef/U1C7bdtmWr1V2BsFDU70LjViAs9BUihogMrmGDB1scDGmvBPEHFqxIun+O&#10;Pw90EwUC2STQruPALbfIssVLzAraVTcTZBuR7gwZvhDywnwlno3u1NRyWrV8hRy7/XZ5/vnnjbwE&#10;GUaOc+OKkhYeELvFr7/6Wl599VWrX7F102Yr/ta9cxdp2bSZWVbYGWHOJSc+8CfiAuqORSWGzsjp&#10;skt3sceiKJdfXp7Xne1rSlSwrHyoRIX01cCqEk7BuLhcCsF9FIp7+a0JJHMSAkNBO+bqXSXLyW6d&#10;uyujM2RSdKr00DndMCZOKpeJk7TYUFAf9SNY7GpWrWYLJemZkyZMMJcG5OW1114zpcuiFynAuoJ7&#10;hlo2hw8dDpGVrt2kUf0GoZ5BF5HVgUKpofeOgpLEwOzTDRGxcUGNFXbUEKRIslQ5/jzYVENkLWD3&#10;m2/k448+Mosc7TogL4MHDjKX7oUWpmO+BlW1SY1mM0KbAWKoaPvB5gMLj+PcuCyk5UxTLwGFX+gi&#10;S6llXED0BqFVO35qmlE1b9JUyiuDzdIFO7V0rGTFlJGKugOlGmldFarTDtTd6Xxd5HfojvWuqLJm&#10;UXmzZCUjKG5NcSnOwvyERENkaPFAQbvjSl4IDl8QlSYjopKtp1Wj6Hjrc8XcL1uKdgJlrEknmQmt&#10;WrSw9MyFCxbILfru3H///Ra4S68bWlZQ94UFENfR1QLWCJQE5IuSBuxA7zx2h/X0adeqtQXNQuLC&#10;KYSCEpjjLSMov0cQvaLICjl65Da7T4EryHe2josBBIaEEPoNrV2zRkaNGGFzs26tWpKjmwvm54VY&#10;XSAvBPY2a9xYpkyaLAcOHDBrzgfvh5pr/lPnJvrS8UdcNtLC4gBhgbG+/trr1tr/5j03y5KFC2U8&#10;Ta369ZcuHTqGdlK55SUjKVmylb2WLxVrO88eMYnm/qEq6WolKnt1d0q9jKBj8ttKWEIVaT012aV4&#10;S8h1FIp9MeKi8/ZlncPM5XuVvNxaMlQDZk5Uus35Xjr3W+g7QMXmFCUuLIwocGpJkFLZr08fs04S&#10;MLhrxw5r1kcWBBsDFtmrBawRFInEHE9lWwrFjRw+Qjq0bWupzBe6o0UhYJ2qV7uOkRViYCjpz+aI&#10;+0KAP/clyMJyOC4UkGpcOe+8/bbFuhAUvnH9Bqvp06ZlK+tHhhUw3LwsKHgMmKdYDWknM6B/f7Pe&#10;3HnHHfLaK6+a1YX56fgjLilpgawEcSssEt9/971ZV07cc9yCa0cMHSbNGjYy3z0kJVkfZFLpWEnS&#10;hTlNhR5A9XSXSaryvKhU2aM70Qd1Ucei8oEu9FhViBvABI8icLLicrVJMG8DVxIWGGoDEThOd+rd&#10;Zn1JlWHRSdIiOk7KxpSWZETfD3tXdFfHAsjix66N2JdVK1ZYrAaZdyywLLQQAt5FrBm8l8Up4C+w&#10;xLK7ZO2hPD7xJhSIZDeadoG7V8zv3AsIC1mFuJNWr1wlJx97zNxMQTZQcA8cjotF8O4wj4JgXVKY&#10;yW4dM3q0ZbOxobjQOBfEgsTj461G0JJFi82K88brb1g2k8/XP+KSkpZf//Wr7Woo0EQq4ZFbD1nr&#10;9pnTp58OriVLIj0+QcqWiVOSEmvuHxoT9tFF2iwrUWmyXnedRyxeJde69FJKn6BaFvhwisDF5WoW&#10;5jW9rJjr9EEiTX+7kReq76bou5EsHWLoQh0nlZTYJ+rCl56SIpUrVJAmugnA8jJz2jSrNRGkS5PG&#10;S/t+LBlYPIvLIsg42NDQRBKzOzvXFcuXW6AiJfQvtC4Gn0FZEOTYr09fK41A4C49gtgo4Q5Cyfji&#10;7ygKBMSFd4mNAZV16XWHtYTmiUE/I6yiFzJ/kVr6+d49e1mQOFWYabRK9hJB9j5vf0ORkRZu6pnC&#10;zcZ/fOjgrVYOe8igPGnboqV1S2WBCYJrU0vFSmVdgBvpTrJfdKLM0p3l5pJKVErkyCMlysupEqEq&#10;te+XCFWoDQXVhnam4RZ9F5erWbC8hCrwVrE5T0NOKjU/pu/CncS+lMySRUpgRih5aRYTL2kxqrR1&#10;V2dBfmnpFrjOAkignxWsmzPHMh+efvppK8z2048//s7iEsjlRHBOxkH9FcqcHzt6u8WvsFutUrGS&#10;1a+50GBblEML3QSNHjnKzPXUdiK+JyjihXJByVzu63RELphLgcWFsAfqrpDRR0PGpYsWS+/uPcwC&#10;CvG+EKsLc9gspvnZRcuXLpUTx49bb7Iz39drGUVGWnh47JhIUaQsMgV6ntVFcu+ePTJLdz0Ug6uj&#10;C2mmPph0siL0IeXqLrFaTKzuGOOlu5KVUVHJsjQqzVJCH9HF+RVdqLGq4Pt3guJyLQt1YHgXiN0i&#10;9uX2qLJW82VsdIq01nennpJ+AtVxqWbou5Wgkp2RkV/rpaNMmzJFtm/daosgBdqwugTWh8B1dDnB&#10;+WjJwVpx6tlTZhFaMG++dO/S1dpvhFvUCwpKABM8Gx/qZlB1dMK48bJNr/HRhx+xQF4WeofjcuKb&#10;r4nZfE2O33W3btQXSI+u3SzDiD5GbCouhLwQQN6oPsHjfa2g6mOPPSYfYyX9/vvTcVjX8twuMtLy&#10;q+5kWIDIBrrnrrtk68aNMmf6dBk8YKC0bdnK6k2wwKTFxkluKTKBYqV9dIIM00WXpnObdPd4uESO&#10;3F8iV54tUcEsKx/oIs2OM4hZCbeYu7hcC1LQ+vJ2icryAgXr9F05XLKsbNR3h3doVFSKdNN3inYB&#10;xLywwwsaNQZNAKdMmmRVdnHDBPUh8J1f7qA/yNJbb75pKdvEt9H9mqBi0rpTdHEPt5gHEqSOsp4Q&#10;xMh3rW/T0aNGgFi/IERuVXFcbrBxp5Enc5smm9u3bbO+Yu1btzEL6IU0YAwK0dVXskMYBVlvzO2X&#10;X37Z3lVi1C73JqM44U+TFm4eN5Fd2/PPPSeHbz0ki+bPl349ekiDmjWlSrlcyU5OkYy4BKv6matk&#10;hRLmnaLjrWrtlqhMOVGynJwqWcFM4QTXBtVqvVKti0tIgveAd4J3A+sjBOZdJfev5gftkjI9OzrV&#10;rJaV9D3L0s0B71xGXHyo0m5ammUc9e3d21xGtx48aAshVomCQX+XEpwDwgJZIstp0cKFNp76depY&#10;XM65soNY7NmpBlkXuJkpr75nzx558cUXLesoIGDX8qLuuHLg/cFyaXFa9DJ64w2zIk4YN85iOKtV&#10;qnw6zuVc5IV5TrsJLKXUZZo9a5ZVbmaOY3HB3Rm4jK41/CnSwk2jHsT7770vTzz+hPVpoGonUfv1&#10;a9WS3LR0Ka+LZcVScWa+bqeLKfVVJkelybKSoaq1DxBcW6KiERYv/ubicuGCBTJIm35V3yGCdkmX&#10;XqHv1vioVOmv71rH6ARr2IjbKEVJTE5WltRX4tK9a1eZPGGirFu9Rk7cc48FqxL7wQbkUhIXsi2o&#10;4vug7kJXrVgp/fv0sYJ5jCvc4l1QsByVzcyU2jVqSM9u3WTGtGkWsEihOBREUA7d4bjSYB5SB4h4&#10;LeI6IS6LblogA/v3l0YNQmU9IN/h5nkgkBpcpRSiw21KL7KD+/dbdh2xWkFW4LVGXP40acE3TtDb&#10;pg0bddcz3HY/mLYwg+EKqlw6ThfNUIDtfCUrVK69B8tKvgvoPSUrLLpeX8XF5eIksLxA9nmHKANA&#10;td2nS1aQ+5TA3Kzv2uLodEuXbqLvIGUEEvUdz0hNMx97XV0MWzVtKjfNnWdt+bF+QFwupeLHN49L&#10;aPHChUZYalWvbj78C6m/kqWbIDIyunXuYibzhx962OplMG52ntfiAu4onmAeMh+Zl1hG0JME6W7e&#10;uEmGDh4szZs0uaDYLSwyWGaoU9SmZUsL0N25fbv14eJdxaropOUCSEvwQDDzkkq5Y9s2GTV8hLRq&#10;0lSyE5MlUxfHSrqrw7rSOSZBhuuiuSQ6zZoXPqmL6Vu6sH6piyyN5kLiLiAXl8JI8O4E79JX+l7h&#10;Yv2gZCXrNn27vnNrozJkZHSytNR3sZa+k7ybOSplqRqblGwBfwTM4yqiIF1Rx7ewXljQ7aefWhrn&#10;yuXLpW+vXtKwbj3b3IRbrAsKizYboSYNG8qAfv1kwfz5ctedd1oMHbvZYOG+1hZvR/FGMCcDwery&#10;iM7/DevXy9gxY6Rt69ZGRiDt4eZ9QcHKyEYDq+TkiRMtxoX2HUERumvJVVQo0sJODJ8dcSzUQZg2&#10;eYo0adBQauaWl/Kxobb7VPGkl8oKXTD3lcy2Sp80jHtbCQu+eHaI4RZhFxeXwksQ80IdI+JdXihZ&#10;wQoy4opdqu/ihKhUK9ZIqnTV0vGSou8rO7jZM2fKkcOHrQcYm5GiBOsFLiFa/UNYCC6k4WG57GwL&#10;Ogy3SAeCb5++QR3btrOqv2yQyA7CwoI7iM3TpXRnORxFBXTmhx98YKUHiCcjnotikBCR82UV8XfI&#10;Ow0a27dpK5MmTDSLy7PPPGsbgmspOLdQpIWFAt80eekU1ME/TmVO+qNUU6Hp203RaXKr7vJOlsy1&#10;xZPdXyh1ObCuOGlxcSlqOdPywvv2WYnK8mbJivKUbhpuVfKySN/NgbqpYHNBYToy+/r07GltALCE&#10;YHYuCkAmAt/+Qw89ZC6hXj16mEvoQtxB+PRZqKnbwiK9d8/N1vGZopXBzjIQh6O4g3nKvIVgUKH5&#10;wQcelHVr1lpWH/P8fMQF4Z2wFhVK+ocNHiKHDx0yCyYB6OjlawGFIi2Yo77+6ivbPe3auVM6d+go&#10;yXozqyhhaakL4fjoFNkVlSVP6CL5mi6WWFa81oqLy5URLC90mH5DNw8E6+7TzcS8qDTpEJ0gSTGl&#10;LaOhU/v2Zm0hTRMLRlGAHSAlzukjtHrVKunft680rFdPyulu8VyZEwjpzPQhozPz/LnzbHP0jO5Q&#10;aQZ5rewoHZEJ5i+uItKiyaBbo+8GhVcpS4Ab9HwtAMgq4nP0OpoxbbocPHDgd8G5HD+SiXyhSAvB&#10;RbR0f/GFF2Tzxo3SoW0760BbPyZWesckyNKodEvB/FAXSiwsofTl0A4w3KLq4uJy6QRryxf6Hn5q&#10;xKWiPK6bid0ls2RAdJL1MaJ+RMtmzcz9cvyee4qMtBBzwvEs6LZvP8v6IQj4QqwsWH/YSVLd9t7j&#10;J+Sdt9+R7yiG98sv7g5yXNUIrC0/63v28UcfWeYtpJwaShB1SMm5Sv9DaHCrkvbfukVLGT50qGXR&#10;YUTABRXpwbmFJi1EQ5969lkrVEXhnHQlLU1j4mRITKJsjMq0DIZwC2hxEogUhAr53Bb1KlZ1lCyM&#10;d1Xovvu27k7ZoZJS+nK+kKL9XIkK8oRe48OqAC5WHtfvkT31qh43cJ0FxC7cOF3OLdw7smfIRCMj&#10;7QV9Pk/r/X1c5ZEw9/9sclKfy5P6HZ7N8yo8Z543z4njvmXPq7LNDwj53/ScWBFDrk/itMKPr7gI&#10;42PMr5SsaP2MhkenSKqSFgL8mjduYsGBFIakzH9hwS6P72OyplEhac24hPDbny/olsU4Oz3DLD+Y&#10;zGl2SPwK1bVZjB2OSAPxY7wrJLTs2bVbRg4fbv2zKpUvb8TkXBbJIDi3sRIdCM+x22+3LuYUt4MU&#10;BS7USMM1TVpIFSVgEaKCwkMpvaTjxvf/YMlcua9kOTmui/uxkmXlFt2Z4vJCKOK1JipDZkalycio&#10;1IuWGfq91fr9W0pmy0N6HkhR0K4g3Dhdzi2QBhQxro9QhdhMWaD3eJrK6DD3/2wyRT9/k8pKfTYb&#10;VXboc75Z5ZaobD1uttytc4Gg1pM6P55WeU7nCq0m6A0EiSnuz+9ykBbWBlxCWFjoNj1owADrg0QA&#10;4fksLFTCbdygoZnKKV9+/733Wa8kAv5ZhB2OSANWESybX37xhaVE37J3rzVMpOMz1ax5Z85GXLDG&#10;YJXh/SVQfcrESVYr7blTp+THH0LBuZFolYwo0hIEIbI4YxKHlLALR5kElhR25BCED1XYNb9espK8&#10;qIv4KVVC9HR5UBdz+rrcHJ0lu1W2R2fKuugMWRCtZCMmVaYjutgPjU6SVjEJUkWv+WKleUy85MUk&#10;yVw95m5VilgDUCQolJDFJZQGHu4aXULC/eH5YuF4R0lDKFYjS5ZE0wk5WbpGJ1iGTPUw9/9s0kQ/&#10;30Wf6cDoRBmjz3eaPmcqzN4UkybL9bibdS7s0zlxWOfHsagcI7QhEpNrZfXf0vlE64nAAsNcY84x&#10;9xDmIc+XcfOML7dl5lKRFnZzWFhYJL/5+msLul2yeLH0691b6tWuc97qn8HiW6l8BcssChoefvD+&#10;+xZcGOk+ese1C0gFwjyn3tCbb74pd95xh7lqCbYltut8GXYQG1xFZPDSYfrwrbdalhLJMpCiSEPE&#10;kJaArHyp8pkqhMB6ghUDMz8744dVuRxXJXObLtj7dEe+XXfP61TRrVLZqIIVBRKxXce/SRXUFpWt&#10;Kvx7vRKXtfnCv5epzIhOk3Eq4/NlwnmEzyKTVRHO0p9kWC1QZbhId/U363hwTeB6+DRfqYW7TpeQ&#10;cH+4V7hxsIjt0ee21O5nmsxXma0yXWWiSrhnEU6mqfBceCYrVCCryBr993qVbToPILI7VGg/sUmF&#10;ub6hpP4smaU/s2WbygGdX3eokOYPmXqqRHlzJ+JqwpoHYb4SBRUvJWlht4iFhYwIeglBPgi6zS2b&#10;E3ahRSAyLMiQlXZt2sqYUaNl44YNp4vGYWFxOK4F8A7hAoW4vPTiS7Jn926ZNGGCWVyIOTuXxYXf&#10;k30EcSHTbub06XLr/gPWVueH77/PP0Pk4KonLSz6AWFhB0vfIhbmN1VBUKPiMVUad0eVk/1R2bJB&#10;FRBKjeym/jrOTrqrbqG7a3bYvXRnPVF36Cg8CuGtUiW1UT+PgtoXnX16d32XCr2SCDR+sESuPKIK&#10;6aQqpCdUntRznk34O597ROUuVRh7Vcmu1HMM03O2iE6QUUpkDihxeVkVCsqYHXm4670cEtzTC5Fw&#10;378cwv15We8lrrsNSvqwWo3Ve4lbaI8SCKou83zO91wKykP6eUgtz4fvn9Cft+vxD+izwk10s86D&#10;XTofIDHz9XyT9XyjdN5gmemi0lznU1t9loP091N1ji2O0jkEIdXv3qbzBxKDNY9eQe8pecEKw7y9&#10;XPfzUpIWsnpwCS1dssQIS52aNa1o1rl2iSzELLY0PZw3d67ceeed1nCVYwWN4RyOawG8Q1hbiHEh&#10;M5deWsSozJ4xU5o0bHRBwbnEuEBw6Hg+asQIObDvFguGjzQr5VVFWkKWlFAcCuZ3lDs7VwIln1Ol&#10;g4J6QEnEcVU+d6mCYLdLrRjKmW/QXTKEZFxMkvRR5dKyVJzULRVrdWWCVO1BOvYJMSkyUxdzyA27&#10;7Y36vT2qqI5CVpT8PBClREWJEJV9cQlQNp2YBlwUWHYCYScNiQrGjkJiZ40V6HVVGkHqKQX4Wut4&#10;+qnyW14yQ5VwjgWCotAuhyLj+NxXxsY5ic3gWrBQvaLysgqWqoLC719T4d7zDLjWy0WysLBwD+lV&#10;9Yg+5y1GWLCspKqkyFade/Sz4rlwLV/97rvB/MESV9mOUfCZYQmBVDyq30ewzEFeDutz2quyQ+cC&#10;xHehnm+SzpOhOl+YS5107jRWqarzqGZMGWmjJBhSPEHJC5/FOodlBvJysGS2EoZycrcKcVPMWaww&#10;wf1kHKQn8ywYa0BqCt6DwkpRkxYWw190d0j6Jn50Oi1TXbdhvfqWJRRucQ0EMlOlQkVp3qSpjB87&#10;zupN0P+IYzlZcVyr4J1Cv3799dfWbHH/vn1Wbb6pEhf6FZ3P1RoE5zZr1Fjm60bg8ZMn5fPPP7dN&#10;QKTgqiItLOKQlfdKEjCrJEUVzD1KJgiUXK/nnK8723GqvEar4BpYrLJKFcYmlVBcCsomWZVNkvRS&#10;ZUOLgQ6qYJDeOu5h+vtx+veJKtNUKc2NSbVj8F2IC9YWdsxYXO5UOa4k5n4lMRCZB1UeyhesO9Sn&#10;IY4hGDuKBwWK+yqomUHAL26qm3TcU/U8E3Tcc6LSTKkRb1PUSutMCY0pFPPDmCBTlH7HisR1cl9x&#10;uxB4HAguNBQ4ZPC43gOeQSgep/IlG2dBYayQqmd1fh1RAkChNGKM1il5we33qJJWMr1Qztz/gmMK&#10;zR8ISijgmtTf4Jkh9+rzxJLG80WIbTqo1wnZ2KxzYIWea54+I+bGeJ0jI3W+DFGBoFBQsaPOI4R/&#10;U7xtko6L+bNayS+WO0gw34eoIjzzufrs1+vYOQ8xMsyd53VsEJiADBYkXn9Gipq0EGvy2aefKWF5&#10;Tm7Zu0/Gjh6d7xI6e9AtCy5/I8iwS8dOMm/OXKsOSlM53EGYyK+VIlkOx5kILC6Bqwgdu/+WW2TW&#10;jJlWWiTo03U24gKpwXpJe4B+vfvImtWrrRYM8WGRYnEpdqQFJRPsiHH1sCtm8YasvK8LOQqJdgDs&#10;piERxJ3M08V/ZHSSdIlOkLo6BoSASn7HDhw3DCZ9SMsMVTgTVOGMVmWD0hmj/x6rghKCrEBqkMn6&#10;OT47NyZNlup3iWvZE6077gKCpSQQFDw/Uei4EwjOZNeMkoUYcF2BYC3gdyhQMlDuUWW5UpVXPx1P&#10;d70G4iPY9RPbwn0oqHiLQjheQFaMBOo4XtLd/kNKVo7o+LFecK9wceAyG1NAxqlM0d9j1VirY96v&#10;1wrJeVG/TxwRVrBLSbawQBDHco8qXawX0/X5ztCx4FqDCHI9XBf3OKi6HLre0HchA6f0nj9g1xoi&#10;ZoHgBiz4fAN3EHNsjZIWYpCm6pxgbjBHmC8I84n5wzwarTJcnyMyWcfFfSQ4GIvLPCXB/B5i00ql&#10;pUp7lRE6TxcpWd1WgLxABpnrpN1jMeK6uLe8E4W9v0VFWoLAQSrdkqp56OCtMnvmLPOns2CeayeI&#10;hYW0ZoIMp0yabKX933nnHbOwcMxITdN0OC4UzH/eAyyOQXAurqIJY8dKjSpVJfsCgnNTk5Kttxdd&#10;pSns+OQTT5zu08Wxr2YUK9LCIozCgaRQvyTYDd+rC+ztKsSl7FbBBbDFdr+Y6zOVlGTYjna2KtFJ&#10;uvhPVaHPCkoNYTyQFhTHLFUcKJ8V+lmULjt0drrERYQVPTbnIbYF0oIiO5vgPsCqQywMlgjM/8TV&#10;oHTCBdaifIL+MDcrUaGpHRaf1TperhuLQshNVHSul+Aem7WnJFk35WW/Kvx1ek4sPhNVkQ3RcfTU&#10;cXRU4tdOpbUq1kBwfXTQ31mWjSrgsfp5uncTlHpEj0M6cEErQVETF8YN4WAOYL1YpsLz5XfcZyxZ&#10;KOfg88H1QhBxGRGPhLWIdGaCasM9x0B43pCW7fnEZVO4+VFAmEfMKeYWZAVyNzj/Hi3VOcF5uc/E&#10;usxTmaX3jbR5/s93matkqxHwy/1co5/fovNov5KrO3X+47LCCkO8Fu4t7i9k7ELvcVGRFt7/b7/5&#10;Vt577z25/bajtgvEasKCei6/O0IJ8lbNmpvJe+eOHfLySy8ZYWFn6WTF4fgNkAveC1xFWCJ379ql&#10;xGWctG/bTiqUK2fv2tkq5/I3PkOT0RHDhlnl+pdefNFiXIq6t9jlRjEjLaG4Csz3LM7spnFJLNGF&#10;fVJUsrXYH6KSp4JyJQ2ZTB5cN7gz+PyDqjSJEzilCzvxF0FmyVpVbrgSCNiEiNymCpZAS4Ij+cyZ&#10;AlHCBcRx2f2yCw+n2AoK5IbUWMjRKhUUK8qGmJuC8S2BQGRwYaCIiZ2YpWPDdUWdEGqCUCSNTJOi&#10;Ji3c4zdUcT2m92qr3hvIUjslI41UqukzrBQTK7kxZSRHnylCT6mCwu/KqVTUz1XVzzeKjpdu0Qky&#10;Tp/Rdj0ecSFYb7AUFTVpwW12qz67Wfr8IZ/MD9x0pK1jlTvTAhHMKcghRJC5yThn5M+dcM8xEEgL&#10;Arm5ReWozgXmTLj5gjCXsJLcofMGq9sUPUdjvacE6UJEg/ouz+pYn9T5/ZD+m+dOvNQB/Tz3DlfS&#10;HP3eIJ3jzfS+ttf7Olj/PSsqxYgMgcdYYYij4rogaZebtOAff/edd+WxRx6VpYuX2PtPHZbUxKSw&#10;C2hBodLtmJGjrIInlUC//OJLW0+wsjhpcTh+A+8D7wXvBwXjIB0Eq8+cPkMa1at/3uBcrDFZaenS&#10;rHFj6921b+8+eVZ19vdXeUbRZSctLLAocHaJLLoWTKs7frJmiKfAp48CYFHdqcfBtQPRGK+KdZQq&#10;m9G6eI9TYXe/QXeoB0pmGcHgu8SRoOQxoYfiR6rKC/o7FvrNeqzQ7jfZjgkRwS1zNrlbFQmk5Q5V&#10;VBCX/QWU2dmE3TikZV5MKPbhJpXdel4CLRlLuPuBcD9QaBScY3eOKwLXBcoJ5V8UpIVjQJDYoVMQ&#10;DUXPLn6cno/nVq50rKSVVuYemyjJCUlmXkxPyZCMtBzJyKyoUikkGbmSkZppboAU/VxiXKJklk6Q&#10;qqXipYUeh1gNrGEoZIJLecZcXzhLU2EEK85WfeaDdZ7hvoLAQHAhM+GIIdeN24p4nft0bi3S59PX&#10;6rCkKEE4N2kpKDz/Y/pMmGuQE8jGH+dMOZszkBDuAantTZW09IlKkl0ls+VtHSOkgbnJHKWmC3WC&#10;iM/BNUemEgQbVyHWmfY6zs4qkBYylchq26bzCYJzTD9/v14PVZmJ7+K+EFiMhYvnXNDaFMifIS3s&#10;+njvqf3w3rvvyn0n7pUNa9fJ4AEDLaA23KJZULIKVLrdsG69PKmE5cMPPrRAXofDcW5YVtHXX1up&#10;/n037zXrCZVzCc49V4wLUqFcrvUHnDZlqrlyaYlBiYKrtfjcZSctLJwsqvjoUSQEo2IhoRcKZvWF&#10;SkZo5gYpIRYABc4Ok13oXlUaKCkW7Ht1wYbgsOCTQorvH4tFwZgKlAOECOUPSSF7iKJuZHUs1uNT&#10;1fZcgoIg1uFAdNnTMQ7nkqAQHfVCsJoQ04DZ/4kS5c9JWlDoxLYQD4Ori9owB/Racd1wXUVBWjgH&#10;BPFlPQ8pvYt1XH1UGaJUK8SUMcKSmpAqKSk5kpNdQSpXrCw1atSTmnXbS83GvaVmk34hadBFatRq&#10;ItUrV5XyORUkM72cZCZmSNkySVJJj9M2JsHSuFfp8VHuKGoUaVGRFsrpL9PnwnlG6f3FbRi0Qgh3&#10;Du4d1/2iXXc5WaxzKk/nKJY65la45xhOzOqicxDBgsZzPXO+QDohHMxbiDbnGByTbK4gSE5BQgHB&#10;Yq4yZwsWOeR9oEoyQcU7lOhs0vPxPoXqBKUb4WYej9fjj41KNdcSY+KZWhyMHoPrZe6feS/+DGkh&#10;6JbCcW+9+ZacOH5cli5abASE8vwEB565UBYUFlT863lKcFYtX2GBgR/97SOrIRGJxa8cjqIGFhe6&#10;r+NKpTniLfv2yazpM0z3Yk05W+A7wgazeuUq1mBxwfyb5IH77pf333vPLC5OWs4gLVhVUBook4LW&#10;FawHLNIno8pbhgYxIFgYekUnSJdozOnx0l//PSMqRY8VcuVg2ifQMrQghywpLMJI6DwhxVxQ+BxK&#10;gXNRf4MS7QS69lMhSBfycjaZpIKC2xp97riHgrJTPwvhIMUV0kLgKkTs5AWQFlxIZEIFcTO4o9hJ&#10;0/voz5CW4BlQOZbATmI/yLTqoeQtU0lGvD63+NKxkhinCiwtVzJzakvV6vWlUYPG0qJVV2nZZZy0&#10;7LNQWvZbGpLu06RF277SvElzqVOzoVQoX1syMypJckKaJJSKlWw9XjX92V+Pv11J2ClVkKGA5N8y&#10;qf6MkG49W+dETZ1rA3TO3K33iJiVcJ9FuLecH1KI2wZLGLVVCOCFYJ75DM8mO/TZQhzMkqbfZb4S&#10;pFxwzmAN5JkHbkyyh3BhUTfmGT1/wbn5RwnmcIhsh9KyqxpJwwrH2Cl6iItzcHSiNNTrr6LPj9gi&#10;LE5cC6nZuPxe0fmOdSkI2uU94Bz8xBKJVfNCSQsmagRy8f7778tDDz4o69eslV7de5x3sUTwueM2&#10;guDwvYcefEg+eP8DO567gxyOCwfvi20elLhQyJHgXFytZArR1+ts8S2B4E7q16evbNuy1Sydn3zy&#10;yen38Gp6Fy8paWGhZHf5vi68uCTYCbLj3KOL6wr9DLEb61XJB8qAwmDsHFfo77GuYG1gt87uE+JB&#10;oCWkJ7xyCpncISmYyQPB988iTVAslhPiBVA6LP6Y2wMhHXW1njuoeosQo0Ig5pkK7GwSIi26M9bv&#10;Mn4CK6m7wrWjMMKNG+E+4UrBZRMcq6hIC+cN6ppA3JbpvR2oirW+PqtkJReJSjbS0itI2Qr1pXLt&#10;TlKr+UBp0qq3tG3bRTp27icd+syQdnmrpd2Q9SHpf5N07DZMOrTrLM1bd5d6zfpKFf1e2fJ1JTU5&#10;WzLiUySndJxlx0yPSpV9JbONcGJZCze+i5UzScs9eo/ORQi5d5w7sLjdEpUly/R5kwpPwGvB53cu&#10;YR7wedyMBORCptfpnCEYeLkeD+sa84h4JgrPIcwnXJzENWERLDgvId9IkBXEHPhtzCHiAhljzkNc&#10;yJijZQCuSuKQSO+nV9JcPT/WF1xdXNNaHRdWSYKriYuC8OA+wpoTehcvjrSwSGKa/u677+SxRx+V&#10;1StWmsUEywk1Ic5llk7XhbRmterSTteHm+bNlxPHT5ilhiBejutwOC4OkAssLkE69OaNG2VI3mBp&#10;pu8vWXnh3sNAiH/BpUQQ/JZNm6zXEe81+vxqsrgUmrR8rKQFM9WZpIVYgw26UEM02F0HWUDEqVDv&#10;ArIwJCbZ3BJkqLDjxdTO31DwWALo0EsQLZYVFlt2hyzuHI+FPLQz/b18qX9jgSeuBVdAIOywSXHF&#10;lXSXkgLiAXDDYFKnZD/Cv8lMOmqup1CNDuISblUFQQ8iAn3PLSH3QUBaIEccB7cQCoddL2MsqEwL&#10;Cn8rSFo45l4V7hmxCl/r9wNr0oVLKOWXe4ZyRHFt1uvsHo0bJ1Yy9HkllIk3wlKuajOp3rivNOo0&#10;RdoOWCGd+k6V7r0GSc8+w6Rb3gLpPGKLdB61w6TL0BXSo/946dWzn3TuPUba9JknDTtNkir1ukpW&#10;Ti1JT82RlNgEqabn6BaTYBYnsooIrg7G9JuEG/fZJPQdUsFnXRRpCcU2QXaDHkWH9FkTKBsQkuD5&#10;/SbhnjHuySz7HvFGuGMgI0HaNHMqmE8EB/OT5o1kK2H9IOaq4LzkncCV82Y+Gec5FZzPkE3GHbhS&#10;cetgMYKEv6j3gJYPD5TINfcYRAzyhHWQIHWsPARXUwoAAoMFj7gqyBL3gPPjfhp2AaSFnRhxLH/7&#10;29/MJD1Ad2qYmlkgz0VYEMqKd+3YycqKHzl02Lo1046f9cOtLA5H4RAE52IpoQv6ts1bZJgSFywu&#10;4d7DQHhfy2WXlbo1a8nIYcPltiNH5KOPPtL3/Sc75tWCQpMWLvbpp5+WDWvXSuc2baRs6VhpWipe&#10;BigRwVpCNdpnWVh10WbxJsWUhXVmTKourMnSJjrRyp2HMkAybQeJL5/sCgjLaypYKPg3FWLJtmDx&#10;J86DDKE/Sq7FuaBMODc/EXabCAqGc0BEUDwEyHJeZIdJluwomWX9iHBrsJslRoHAzZvyZaEKKbaY&#10;4rGmmEVFJehJg7AjR7lRTRUrCcoS5YPyDKdUEZQU5OZ+JS1YWChkxq6Z3TJuhQ/1bxAflBfHO5uw&#10;k+YzfBYFB+Gh/gqEDRJFKnhtVfZxEBYlFslJ6VK2YgOp0bifNOo8VVoPXCldx+yWnkMXSt8BI1RG&#10;S89hS6Xr6J3SdezNJt1HrJU+eVOkX7/B0jNvunQZvk5a9V8u9duNkSp1O0t2bh1JTkzT+RAn9ZWY&#10;9tLnvLxkulWvxT3FmCBRWMQYb7jrCCd8h/v5sB6H7s0N9dhYCnjm5yItBYXzobCxWBBgTZxTYEU5&#10;ndasEoofybD4Imr08NzpRxSyAqYbKWeu4PaBoITmT0iCObVL5YDOJYLAgzkYTrA8Yk2k7lC4ef2o&#10;ylP6DKn4TDYZhIV3AvJGReaH9buQbCxA1CQaoe9UIDR8XKHXwBiP6LkIROY8/LxZx5anf8dFWKVc&#10;OWnRpImMC0NaCNgj+O++e++TebPnWNYCLqFzmaKxwOA6gghNnTxFDh44aAXofvj+h/yjOhyOPws2&#10;AO+9+55l8a1Ytlw6te9gfbzOVSsJawt/p9Q/mX+4e6lEfTWVHCgUacFcTBfJJ554QjauXi292rWX&#10;KvGJ0qxMovRS0oJvHxN8KGOHHWCKVS3FfI5C2KSL/RZdNPfogg6hgWTgsyc7gxgXhMJxdO2FTBAw&#10;OV+PM0W/T8Xb4WFkhAqZK5R0p2YL7ibSR/kuElQkZVyBGT8Q3EWMub9KT92l9oxJku4qnfVaqFNC&#10;0CdC3RICeamISqEwZIEKNWCo0QLhwJJDaiwuEXbR1AfBOnQ+0kLAKqZ8SBXWqBF6HuqmYPGhAzUB&#10;tAQuk6p8NuHv7N6xqlDcjoq1WJCoRYPFg3gegm7jY+MlOTlTMrOrmYXECMuAldJh2KaLIi298mZI&#10;15EbpP3QDdKyz2Jp2GmiVKndUTLTK0hGbJLklo6Xeljf9J4SqApJIGUYN81zKljFwl1HOMFyh3uL&#10;+UDGU3t9FlSUfahE+XO63goKbhjO+bjeG8YBiYXAQjohorh5mA8zrXhcihUfJDaHysnMg/Y6Hzqo&#10;dFGhV9WAfHJAwC0F7phHBedVyA312xwMhHnJ/OQzNGicpDJSvxtuXvM3iDNxSFbHRa8fUoyFh0yl&#10;O/N/msVH3ymylCBU20pmGrni/MynOSo0+OSc1JRZrtI3JlkqKLmslVtBWjVtGiItd99tO68An332&#10;mRy7/ZjMmqHPulNn621yLgsLiyJNEinlP3TwYKst8dprr9lxrvb6EA5HccKv//pVvvv2W3n/vffl&#10;zmN3WHXpnt26W1mBs6VC8+7ytxpVq0nfXr1lyaJFuiG5V7795ptrhLScPCmblLT0a9dBaiUmS9PY&#10;ROlYKkEX+gQZq4s9C/8g/dlVF/nhukBipUCJYjIn5iXo83KfKhCICm3/gwJtwWI7UxdulEcPPQYV&#10;RBuoUEvkTMFdQPGzAfpZKpNStXS6ygwlFcj005JipKOgUNEUVxUKtvJpiTU3SiD8jnPQZJFqulRG&#10;Raiay3WROQRpOaTXAfkihRW3FEQCszy7/MC1daYyxe2BJYHU3dtVAdGCgGvpr4qRLBxIELtyrFZY&#10;lM4m7KLZteMGw12xRkkPfZRwF9CqoI6OH7dQYnyKZGRXlfLVW0qd1sOVsKyQzkpMuihhuSjSMnim&#10;dBu1STqP2ikdR2yVNoNWS53mQ6RcuTqSnpghyTofMvV8TfS8zAOeJQQK5YoFAvdXuOsIJ4f088Rr&#10;8CyZS6QtL9Lre/wspAWSGApqDWXpkOqNpQay9Iie9249Hooe0kLsElYVUuIZI9VtKc/fU581z6GW&#10;zYdQ/ZrQXAjNB+4nxfaCFhBB+4dAmGvMuWAO/jYXQ3NuqAokv5WeBwvYmXO6uh6bJox99TM0gyQb&#10;jfoyEA8sQbwr5tZkfugzpzIxqebcL/5NgUOsgcRxUf+H95D3AwvMNP1d91JJUrWMEsvyFaVN02ZK&#10;WsYaafnxhx/NLRRUvF2+dJm0bNZcKusu7ny1WKgNgfm5T89esmzJUjn52GPyL10vMD9fjZkKDkdx&#10;BSSD2DCsJK++8orcdviIEpc50r5NW8voO5c1FEto7eo1pGfXbrJ182bLJkKv854Wd/JSaNKCj/up&#10;J5+UjWvWSA8q9MUlSE3dtTUqFWcLMRkN7OaWqCxSWau7PhoXHlaljKLABbNNd4zsHMmKYAEOVQOl&#10;Cmgo4NFSPVWWq3KaG5Umk1VI8xyuMkxlSFSKDM6XoSqT9HcL9LME+KLg2GlyjPMJnyXNelSB4xWU&#10;YSqj9dgT9TOkr2I1YFx8LwjYxTW0U3+SPYR7BzcDAnmAcNBgkUqm4TJdIC2QGpQqxAPSQisCmvAN&#10;UMIRslTRFDAUeHk2maMyUz8zTWW0fgcF1UkVXzM9Tg1VtLmkNccmSFpaOamghKV2izxp2n22dBi6&#10;6TQpuTjSMstIC2Sny+jd0mH4ZmnUcaJUqdVesrOrS0pShiQpaamUT1ywWAzU66EGCTVMznc9BYUU&#10;X64HckklXrJ0CHbGdRiOCAZkBdeatUrQZ0DsCS4cnnkojT4053h+VFZmviA836X6nEm7xxU1Xp/9&#10;KJXhZ8yLkfq7KSp8bpl+nvlw5twKJ8E5luh36DXFvC14bOY1xx5r5083ixvB6RBYAm4JXmfMvCuM&#10;n3cH1xa/X8e/9fjE1BDrQokASCJkkeDd2XpMrDvUqWmnG4zc0rFSs1yutGzym6WF3dsXX3xhxawO&#10;3LJfRg4fbv5yzMrnWgj5G4sh7fQXzr9J7jh2zFxLHr/icFw6QDTojE6HdN7X0SNGSr3atSUnK/us&#10;2X1sLspmZJpFdPrUqRYkTzuN77/7LjJJSxDT8gyBuGvXSsfWbSRVFROVUiuroFioVYH5PQisxS9P&#10;EOQRJS24jHrrTpnd8nBVYhTOWqRKiUq1O3Qhtm64qmCIw8Aqg/UAOa7fJ/DyTv03tVoIJsRXHwhB&#10;iRAE3Ah8np38hQiftZiX/OOcKYzj/hK58oju6nFHkNXDuNjdEk+AdYU6LnSExjVFAbuhel2QN9Jf&#10;qT3DNeGWgJycqWCxCqBkyX56RonNLL0/VZRkZMaUtqqzBLXWUKWPped8wucQvs93c2LKSJYeJ00n&#10;akpsvKQkpEjZnOpSq2k/ad5rvrQbvFY6jdz+p0hL1zF7lLjsseM06zFPajUfLOWrtZS09JArIUXP&#10;nalSTscSqqIbK9ULjPlChHvAdyFfvZW0YD3AFUdsRzjSEsq8CdUComgbxIJngqsKmaBKO7BYQABQ&#10;/My5u/SzobmGNSY0l4gBYe7dof8uOC+YL8yNws454lmIu+IYBece/+ZvD+tcQ/h8aDyh4nVmITLC&#10;kmUZTLg7CcLtr/ONysS8U7irCAingSTxYWQvPVyyvBKYspbKj5WniRLaVH0ulcuVk+YFYlq+/upr&#10;3bm9KrfcvFemTpps9R0spfIsJmckMDuXL5sjw4YMlaNHbjPCQm0XJy0Ox6UDFkwMCdRdodv6yhUr&#10;pHvXrlKnZk1Lcz7b+wqh4X2lHMGqFSvlXiUu1lixmFtEC0VaMB1TVviN11+XXTt2WIZAsi5Y6Xoj&#10;spS04EIhgPGELrD01SE4FCsCcRb444kBYOfdVhdNAnfHx9CAL9XSRnELkU20WYX4BTJ79ukiTfrz&#10;IVuwQ5k9mMQhRZdKUAzE1QSdnSFKFCdDqWApwmqEFQWyEri0iIlAmdIpGpM+14d1YZD+m+uj3gxu&#10;IBQqWSHImUG6L+p9mq3HqqDK+fQEK1NG0nSXm5OVZewY0x+73kAy09KkbGaWRYZTTh0hc6Nqpcq2&#10;QybGgB1wVlau5JSrIVVqtTOLSPsh60MZQbiF/gxpyf9b51G7LDamUZfpUqNxX8mpUE/SU3XMmWUt&#10;QAz3QqXy5a0nRvmcnNNjRbiutORk263zMmXqeOkETCVVUmcJ7uRvZZX49FLSgkuOOCgCmCEtgSso&#10;uLcE+hK/QvwMlgdqm+Dq6arPA+U+WpU8rhZckCtVNujxsJIRtMqzDZ4vRAaXHefChXnmPLlUQpwX&#10;JAVCc1D/T5kAquyGUq9DafXExiyKSZXZKjRqZLNA7A21W+hijiXnUSXbEOUPS4YqT3NMiDX3gLT3&#10;BJ1fzJEObdvKtClT5M477jDX7/333idzZs2STu3aW7bQuSwsCM+Oirft9Ti4hU7p4skiiovJSYvD&#10;cenBe0YpEiycuImIb2HNPVfgPO7eRvUbyOBBeVap+pmnn7bgewwTxbUsQaFIC+aov//8s3ypxOXY&#10;bUelf6/ekqEXn1YmziwurXXBpGonVghM82SzkAlE239M6Jj2W+mCycJKkS4UB+mZxBNMVcEdggth&#10;sH6uT770VRmkvyNjhGBcgm7xy/OdSyEotNBYlISojLDxpFiaLeOh1gkVWYkzIG0bsjI3X+iLQ1wE&#10;6d/E4hDE20OV5saS2ZayihKBvASxLijcc5GW5IQEIyAtmjaTRg0aSq3qNUKERKWaKpQ6NWtJ08aN&#10;pWXzFtKqRUtp1bKldO3cWQb062/FhOi+W6dWHalVt4XUatRD6rcdLS36LJSOw7dI59G7zEoSEI8/&#10;Q1rMRTR0c4i4dJos1et1kspV60uTJi2lR9fuxujZAXTu2NGafrXWcdp4VZo0aiSVK1Q0cpKdkaHj&#10;ra27/6ZSv05du0Ya7fE3LEd9lbTgJqF0PmnxkBbIH4QluLcE7xIzhWUCV08odiTeGhjyfCGRBIcj&#10;BCnz3LC+kNHWO1+C58ycG6t/Zy7wrM+cK0UtzGvmHCnJzPl++WMhUJx3YqT+bqL+3TpcK2EhI48Y&#10;miB4GNLSQN8vxoxF8j0lLAiB4ZBvMva4H8TkQFrq1KgpA/v1s6A8Fjx2a3t27ZL+OncgLBDecwXf&#10;IpQTp+DcopsWGPFhDQm6yjppcTguPXjP2CgQ+H7XXXfJ7JkzrWEi7+/ZukKbdTSnnDTQdXbMqFFy&#10;9LbbhFRqyhwU1zToQpEWbg7CRT328MMyeugwKa875XQlLgm6uGF2RuHfojtE0pTJjHmyRHnzs6Ms&#10;CAzFCkEhOggLbiGyfkLZGolW36O5/p2Kn8kxpSU+X/g3LgZcBA1UmuuiSyDkpRB25RyfuJKaeq5s&#10;PXdCgbHgcqmlv4d8ddfxci0EV4Ya+aEUCdQNdW3GXUNg5SxVns8qeYO4vKRC2Xbq0KBsIS5YXMKR&#10;FiwNzVSBDx0yxEgICr+5EhikRbPm0rlTJxk0cKCMHDFCRo0caTJLJ+wqfbjLli2Tkfr/Du07SasO&#10;A6VFt2lW2bbdkA1mGTHCUlSkJd9NBBFq03+pNGgzRBo07SJ9+g3VXftcnVsLZK7uAKZPmyYTJ0yQ&#10;0fqSBOMdOGCANNYXDDdEFd35d+7YSYYMHqwkp5uRMaLd+VuO3pcBel+JQblXSQv3EsJCAT3cQcG9&#10;JXsLawXWOuYiDSGZUwS0ksGDS2WyHmdkAYFs0ygyeMZIij3rMlJZhTnH8w43X4pSmHfV9HycOxgH&#10;cy9Df8e8wEJCJttAnVujdNxTlKzMVeKCpZKidmS9kcrcVd+zHSXL6sahoryshIX5dkjvCYQcayjv&#10;EaSFglMTx0+QzRs3yZHDhy2uZcG8+dKwXr3zkhWEhY9y/nNnz5F7T5wwtxBNFYN1AnE4HJcWgU4m&#10;MBeLy949e8zaQm8w1s5w725BadWihaxfu1Zeeukly/YjO6k4olCkJQDmo5deeFHWrlgpvbt0lXq6&#10;44fRkV3BooolYrYq6uVRmTJXfw5XhdElOkRIIAIt9CfpxYN04e2mCy07Ybri1tW/EfeQpTcyvsBN&#10;ZYElNoPYmQoqVVVqloq9JFJDheMTo0NHY+IyCj5g/s/vq6vULxVn1xSY5rGukKnBPaDcunVKViXS&#10;RZXITVEZ1juH4GSqAhO/gDWKuioEjoYjLTBh0kf37N4t69atsy6fo0eOMhk7eozMnzdPtm7ZIgf2&#10;75eDBw6YsNt94IEH5OjRo3KTPtM+vftKxx7DpXXvmVZXheBbLCMB4Tgtf4K0BIK7qc2A5dKg7TBp&#10;1KKnjBozVbZt3SGHDx0yJk/56SNHjpweK7J50yYZoLt93EZ0JZ0ze7aly1JLYNzYsaEaBLqbL6f3&#10;ZaDOF+KHIC1YWrBYkRJNcUDcO9zXOTrfsEYQu8Fz4JnyPLF6QXogkx3038y5QFDiafqZgs85USWI&#10;yWHO8bzPnCtFLYyTdgjM94JjSVYh+4txkG1EgUaIFtfB+9NHpbsKFhQsnnX17wSoL9C5xnxbqEIg&#10;Oy5LPlOhdLykxMVLFyWIq1euklsPHpSNGzYo+ZhtVhPud8HznykQGixgdWvVlkFKOuncTBbDl198&#10;YRlDDofj8gKdTCPEb7/9Vh595BHduK6yCtb19B0N9w4XlNo1asoo3fju2L5dnn7yKfkxTA+y4oA/&#10;RVoIAML/fdcdd8riBQulW6fOxuhY5FHSBIPWjI6TutFKUvQn6aLslNm5pqrws7z+nwBLlBHxMKTI&#10;Ul03RQWFUfCmQmBYyJNUWMA5D4vzpRTOw/kKkqdgLPyeMaBIGDvXjPsiN/96ICuWYqyfQXKiY6WW&#10;3oc6ej9qq7RUAodyJQj4ed0FU/U0HGmpUbWqKu/FFt1NQT8ixNcreUE2bdxoJIDU1E8//dQYMkL2&#10;B6WeX331VSUMW2XYsOHSvf9YaddvrqU4U5PlkpOWNsOlSeu+MmP2Ernnnnvl5Zdflvfee08+//xz&#10;k2CsyPPPPWfKsnqVKtKjazc5dOuttmOnuR6EjJcJN9iZpIWCdbgeDyphmakKmTRx7ivzraoqZuYc&#10;z4WA02BeMt+Yd/wbchAIz/tMooDwO55faM79fn5cCgk39xHmXDAO3hHeFcZdVoX7wjVhiUxXYcz8&#10;rKT3gbkWSFX9P3M0Q8lRhm4wMpJTZPDAQXJY7zckF2sJ6c0QlvOlN0NaWOhw+y1etNgKVRF4W5z9&#10;4Q5HJAOdzLtHYO4HqpsfP3lS1q9dJ106dAz7DhcUNiC45IcPGWobmK9VfxRH/GnSQrvsl198SW6/&#10;7ajMnDZdWuhFY46izHey7uISzxPAd6YQMETsggWYpqZZkGlWeroJwZqUHLdYjssknIvrIbCVSGuC&#10;Ybk2xodVifFeiAk9nEDaukeHKggT9El1VzKgsFChWILPoawhJwRIMRFR5Pv27jXBSvHE449bfFE4&#10;MzztFvbfcouMHj1Weg+aKO37z5fWA1cpadls5OJMwlFUpKV1/+VSr/Vwadqmv8y9aZU8dvKJUMlo&#10;vYZwwI+6cvlyU4JYXB5UBQrTJ+0WCw2VVUnPy+aexSRaXAauHwJVqeFCynpXJSt1VHGjzAve5wsV&#10;3BzB3MtITbU5l1u2rFSuUCHs3LhUQmCsBSzrXC+XnW0xPsE7wPvA+M5XlfZsYkHO+l5BSnD/kJ5M&#10;yuMte/eZQGAI3OZzZ53X+nvuFePg+/PnzrP3/8033jDC4nA4riwgLsSlsP7j7h0/dpytK+gu3t1w&#10;7zWbFPRcy6bNZPnSpfLiCy+afic2rTjhT5EWlOQv//jFFOZruqO/9cBBmTNzlvTr1Vsa64JYThfb&#10;tMRzN1U7U0jRYrEmAJDiN+Sb169Tx6Rpo0bSWRnjwH79ZVD/AZdFOBeVA7t17iLt27SRFk2b2mJf&#10;o0pVUyg86LNNgvMJMTrEu7RX4pIXlWwNBqeqtFPlyy45+NzVSlrqthoujVv3kznzVxYZaUnX+9Es&#10;Jl4GRVPvJVkm6v0aGZUinbCuKGHBuoUlouB9vlBBCfPSYu1h7tEUkHRfLAmXc84N6NtPenbvLh3b&#10;t5fWLVrYvA/eAd6HapUrG3kuzNyD+JMK2aVjR72nk2XL5s2ybs1as5SOHTXagr2JoToXIeJvGUp8&#10;CJymyywuPxohssAV1+A9h+NaAqSFDQRrKPVbNq7fYIH1ZArxfod7r4ONCLp31IiRtol59plnzSpe&#10;nApD/inSAgJzFKW/X37pZbnj9mOyfPFiGdS3rzSpW1dqqgKooDs3TE/nE1Jfa1atZtaazu07SI+u&#10;Xa2yZr/evU2G5OXJjGnTzP++ZtXqyyKca9niJTJn1myZNGGCFdpCqXbu0EGaNmykCq6qpfMy9nDX&#10;FE7MUoMbTXf1KTpRcAlUVJJC0C9BmAQg43oKJtPVSFqIm6ndcrg0bNlPZitpebQQpIWdwgvPP2/X&#10;OHniJAv2hJAQpErBPO4VWTLEH5VTYpyCxCdIpt7bbFXOlgYe5v6fTcjKwjUSzL3+OocnjB0ri1Sh&#10;r7mMc27l8hXWFRkLyNjRo2XIoEGn34G+vXpJx3btpLEuPjb3cstf8NzDUgjxI15l+tRpNn9efOEF&#10;uXn3bhkxdKj1FWLDcD4iBFli10aANDUhXn/tdcsSYh0INwcdDsflB7oZQQecOH7cKlujT1kzzrYp&#10;wcBAiAfJHnhOcBO9+cabthnhWMXh/f7TpCUAwT/EJrzy8ity/733yp6dO2XlkiVWGROFP3vGzPPL&#10;zFl6/gVKFFbKpg0bZNuWLRYUtHPHDpO9N99s8Rv4zh968KHLIg8+8KD1ZiCwla6YEAACRDdt2GhK&#10;lvs1f+5cszCFvaYwQnwGfVxQIBV0Z4+SIMCYvkAEMROAXDC24lolLaTvUTdgl84lrAAEfBLTQQxH&#10;qJR+rJTXf9OsMys+0chKvdp1LGKeIOVJEyZaz5xwzyCcGDlZter03OO8xNbwwl/eOfeAmXRvP3rU&#10;Fo2b9+w5/Q7wPrBrWrFsmSyYP9/6jfDehLueM4X3cPmSpbJ96zY7rgVr33+/1VXBggmpwdJ5PrcT&#10;6c0sfkt0c8K94b13OBzFE999951uLF6T4/cct3WgSYNzp0Hze8ogEFu4VHX44ycft3Uby01xsLgU&#10;GWnhYgj+wRz11ZdfyUd/+0jee/ddeeftt+WtN9+UNy9Q3tbP0weBAF/G8dHf/mbKDiGNC1MVZujL&#10;Jl99ZYX0vsgPHEW5MpYPP/jQumMyXkzjF3ONx++5x5QOUd2NdQKZotDJEgR5nhmEeSZpgURB4BAy&#10;hgi2IvA2YMIFhbHesm+fjB41RnqdJi2h5ohdRu9SkkG6cwEZs+sM0rJEScuO03/vPmKNkpbJ+aQl&#10;1Hvod99X6aLHaNV/mZKWYUpa+sqseSvkkcceF1o/MD/OHCMCueKe4JYJSAvl5Lk2ih6RPYUlhPsR&#10;BEBzr5JV0mLjJVtfQmKPMIESoHyv3qOnn3rKXtZwzyCcMFeDufchc0/v3WeffmqEMOzcuFSic44M&#10;HEpzf6rz7eP8+Y9wDz94/4MCcy/8tZxN+B7vFf9+4L77Zef2HUYIcT0FMVoF515BYRcWr39voGQb&#10;wkI9F54bKZYOh6N4AoMCnhDeVd53NnXEzhHbFi50g9/hRqY+1vChwyxeDb2L/ikO7t8iIy2OCwcK&#10;kXoWxBLQpK4D5v4GDczKQAXDM5tdFSQtECRqaaxZHXJd8fOg7pqfUgVNtg2KrKA89uijZrnq32+A&#10;dO45RNr1miRt+86VTnlLpdvwNUpC1v1e9He98mZK3/5DVYYrMZmjv1t9+u89lND0GThOScsg6T1o&#10;svQYtvT331fhuG16zZI6zfpJ/SZdZOyEGbJ//62WgvfCCy/8YYwIjfVwh/CiFCQtjB+XSd7AQda9&#10;lPtBkChEjwrAfB4/LZVb8wYOtGt95OGH7QXFvYTLwhEC5DBYwCBoxKBRpp90ctxCwXw7mxDHQg2d&#10;Pr1623dJq2Sj4vfY4Sj+4F1lwztz+nRzMVepWPGsmxTWWNzAndq3t03gqWeftU0Tx7jScNJyBfDD&#10;9z9Y6u8zTz8jd915p5n9qUY6XglMD2XBuEGIdwkmUEHS8txzz+sk2ihjRo+TkcNHyohhw2XalKmy&#10;avkK2bp5i2zbsvV3QhQ4vWBatWgpLVt1kLYd+0rH7sOlW9+x0mvgJOmdN+X3okSkb/9RRkr69x1k&#10;1pbegwp8zgjLEP1bf/3cMCUwE37/fZVeeowOXYdI/cbtpHadJtK9W28bIzVX1q1d+4cxBuPs1b27&#10;uSj+QFqUmAWkBVcapk12Cq2atzBrFe4RCqPRnh13EtYICAsvGIraEQLk4vvvvjcLKFYW4ma4h9zL&#10;s/UoCYTFjXgziv0tmH+TPPzQQ/L3v//ddl5+jx2O4g82LBSOo2QGQfjNGjcxchLufcfawlpLnNuE&#10;ceOsRtizSlxYV6/0++6k5QoAN05QuZBaKjSpwm+IG4cYBdJIsbYEE6ggaXn85JMyb+4C6dK5h7Rr&#10;217JSGvp2KGz9O07QAbnDZMhg4f/Tvr07i8tmreUGtVqSIP6jaSNEpfOnXtKz55KOvoOln79h5wh&#10;g6V/PyQvX/hMwc8Ff1NSoz9//7eQ9NXvdOrUXRo2aCw1qteUJo2aSaeOXaRXz34yoH/eH8Y4ZLCS&#10;n179pGHdBkKvoTNJC0Rn8KAQabHihRUqnq4nQIDs3XfeZfVocD3xYhYMGnOFGrKwcD+4N7htTz76&#10;mGzZtNmqK5MtcL4YFhawFN11kUk1a8ZMOXTwVssWDEr0+z12OIo/WBep5UVNrB3btpmb6Eyr/pnC&#10;WtupQweZNnWqxcDhJiq4vl4JOGm5guDBkwNPwCmxKqeePSUH9++XoXmDLfMlmDgFScuTTz4lN920&#10;RLp16ytt23SRZs3bS+v2faRrn7HSK2+G9B4883fSufdYadS8m1Sp1lDqNGgrLdr1lw49R0m3fpP0&#10;89P/8PmiEMbRodsIqde4g1Sr2UTqN+4orTvlSadeY6Rb/8kFPst4p1tgb5eeI6VO3eZKWrJ+F4hL&#10;XMp2fcEo9c99wCJAAPMAVbhLFi4y6wodiYkB4WVy/BFYWJhnBORxP7FKjRg6zLLfzpcpxN/JJiBb&#10;iLiivXtutkWP+C53CzkcVw/+p+/rD7qm4jonKHfKpEkWU0kV8rOtA9SGokRCj27dLEHh5ZdeMrfw&#10;lWyE6qTlCiKwuLBjxeqCkiYFlUZXBWMMCpKWp58+JUuWrJbefYZK+459pVnLntKy8yjpOHCRdB2x&#10;UbqN3PQ7aTdgsdRvM0wq1WwrtZr0laadJ0mbfguk4+AV+vkNf/h8UQjHbd1nntRpPlCq1OmgPwdJ&#10;8+7TpF3/RdJpyKoCn9XxEiczfJV07DdbajfoJJnpZU+TFkyRKEiyn+iNQ1Mvuj93bNvOUnb377vF&#10;ysb/+MOPxSayvTiCOYYVioBe4qGGDx1qAc900S64QIUT3JRkCzVr1NjcQrg0cW+6683huLrA+xro&#10;GupfbVi3zmpCsQmkS3u49x8rDH/DNTx9ylSLiSG04Uddm6/UeuukpZiBzJVFCxZYRdRg4hQkLc+/&#10;oJNt41YZMWKCdOuZJ81aQ1rGSIe85dJ11A7L/inYALFt3jqp13acVKzdWWo2y5Mm3WadO+W5CKRg&#10;ynPlut2kjv5s1mu+jmWNdByxVT+j42OMo3dJt1FblbSszSctHZXZ/0ZaULRnFpcjqr1bl646T+km&#10;fKdllzlZ+SNYoLgvWEN+1nlDkDb3lHL7rZu3MIvV+awsCDWFmjduIkMHD7F6LlgEHQ7H1QvWBYJq&#10;KatALGWvHj2s1tO53ETEEUJwtm7ebEkTZDVeKUurk5ZihvORltdff0Nu2XdAZs2aJwMGDJOWrbtK&#10;q45DpePABSErx+jtVwlp2S3dRu+U7iPWS88hC6Vzr7FSp17L37mHnLQUHpAWLCxYRFhg7r7rLlmo&#10;84r6KlS8hLCES3c8U8hmI9h5w/r1lpWFG87hcFy9YG34/rvv5I033rB1YdqUKVKzWnWzqp6NuLDJ&#10;adW8uQXl0j2a714pd7yTlmKG85EWMj+YaCtXrJKRw0dLu7adpU3HQdK5/2zpMXy1EpfNSlyUjBhx&#10;2VM8SUtAWEZuk57DV0rfwTOke888qVunkZKWTCctRQAWJlxmuBxfeeUVWbt6taU2Q1gIvi24IIUT&#10;CA0LGG0DCA6HsDD3fv755/wzOByOqxGBm4jsv/fff9+KVdK+41wF58gyon1Iu9at5aZ58yw2jg0R&#10;ay/Hu5xw0lLMcD7SQvGz48eP6853g0yfNlMGDhomffqNkt6DpkivIfMtPqTbqG1KDHYaOSiupKX7&#10;qE3Sa8QqGTBysQwfM1fyhoyTpk1aSXaGW1qKAtwTIv2pr0BWGu0A6teuY/fvbAtTIBAWFjD6a9E2&#10;gEBomiFS9K441GlwOByFByQD1w6bGgLqjxw6LCOHDZemjRqbmyjcmsAGhrWDWmJUdL/z2DGz4KKT&#10;LrebyElLMcP5SEtQEXfb1m2yZMkKmTx1towcPVkGDR4nfQdNll5DF0r3kRuk22jIwa5iSVqwsvQc&#10;sVr6DZ0vw8bMl0nTFsv4ibOlTeuOkpPlMS1/BixIwaL0+uuvyy179+q9m2zNPgm8PWf35nzBdcSu&#10;isJStEGgVP+333zjwc4OR4QgWCOwxFJWYtWKldasFV0Tbk1AWDvYzHTr3Floc0LSCBsjrDaXE05a&#10;ihkuhLTQe2jXzl2yfv1GWbxkpcyYMU9GjZokA4dMlD7DbpIeI9cVe9LSa8RKGTBstkyYvEAWL9Pr&#10;WLpWenTvI+Vzcp20/AngZ/77z3+31gPME1w71FmoUbXaeS0sgfC5Jg0bmf96986dVsUYwuJwOCIL&#10;ZBKxuaHRMWsFQfrn2tiwoaEo3bw5c6ww6hv63cttfXXSUsxwoaRlz+49sn3bDtmwYZMsXLRcJk2e&#10;I8NGzZL+o5ZIj1HrizdpGbNT+oxcJXkj5sisuStl1+6Dcsu+gzJi2AgrZuSkpfBgAeGePPvMM7Jl&#10;0ybp16ePVK1U2XZI58oOKCiU76ah58b16+Xxxx+3TIMrFXTncDguHSg4ibWEuDcaAffu0dNi3s5G&#10;XFhDalWvbi1TiJPDSoNeupxw0lLMcKGkhWaJN6tgcVm9eoPMnL1YRo+fL4PGLJWeI9eEaqCM2ibt&#10;Bq2Sem1GS8VaHaVm04HSpOt0aT1gmXQcul66jNoe6uBcxMJxW/ddLLVbDFHS0kXq6M9mPeZI24Er&#10;pOOw0Lj6jlwuQ0bMkkVL1skddxzXa7pfpkycZCXlnbRcPLgHmHupofLcs6fkwP4Ddj8pw32hmUJ8&#10;hsUKNxLVhgn4pkEoz+Fy+60dDselB+91UOAUvTJmlOqK3PJWUDLcJoc1ghpirVq0kPFjx8rRI0es&#10;2Bzrz+Vah520FDNcKGnZt3evCRaXtWs3yew5S2XM+HkyeNRN0nvoQuk1dIn0HKYkod88adhqkFSu&#10;0UpqN+ohzTuOkfZ9ZkuXQYukh/695/BVRS4ct13PGVK3qe7ya7WVek37SqsuE6VD3znSJW+J9NK/&#10;9xs6V/KGTpZFi1bJXXcdt142pN6R3eKk5eKB+4ZifBR+OnzrIZmm96tLh45SSReggovOuQS3UIVy&#10;5ayQ3Pw5c60JJ8fk2Jc7Q8DhcFx6sHYSk4KF9tSpU7Js6VJrI0MxuYL97woKhKZ6larSrXMX6xtH&#10;rzfcTJcrtsVJSzHDnyMts2XI8BnSd9AU6Zs3TfrkzZAuvcZJ42bdpGq1RlKvQTtp1W6AdOoxRrr3&#10;nSS9B83Qz8wqcuG4HbuNlPqNOkr1Gk2kQaNO0qbDYOncc6z06MfYZkj/vImSlzdKFi5YInfdebc8&#10;/KCTlj8DUpHpK/LUk0/K4oWLpGWz5kZYztcIsaDQxblxw4YyaMAA2bZ1qxWkw3zM/XXS4nBEHniv&#10;eb+xuLzzzjtyYP9+s9C2a93Gqo+HWyewwOBCrlertuqqhdaHjBYhlyu2xUlLMcPFkpab9+yRzZu3&#10;ybLl62XmbCUu42bKgEGjpf8AZKx07zFYmjZtJ9Wq1pb69ZtLmzbdpUvXQdKr93Dp13+sfmZckQvH&#10;7dxlgDRs2EpqVK8njfRnu3a9pVu3wdKrz0gd3zgZPGScjBw5TlauWK3X84A88fjjMmv6DEuzddJy&#10;YQgyANjhUKL/8ZMnZce27TIkL89MuFhOLsQtFAi+7Pp16krvHj1kwbz5cvvRo0qCnpKnn3raxcUl&#10;ouUpuePYMcsiGjV8hNVtOV89J6yy48aMlXvuuUfefPNNIy6XA05aihkulrTsvXmv7NmzT3bt2i/r&#10;1m2XGTPmS96g4TJgwFCTHt37StMmLaValRrSoF4jadu6o3Tt0lt69xoo/fsPsaq6RS39+w+VLp17&#10;SqMGTaVm9VpKWppK+3ZdpHu3PtK79yAZNHC4jB41UaZNna07+l3y1FPPWPrcTXPnWZaLk5YLA9eN&#10;JQTT7KlnnpUN69ZbN2waIZ7NJ30uIfalXFa2VcekozNlu6nJMHrkSBcXl0iWESNlYL/+0qFtO2lY&#10;t54SklxbD8KtE4HQ1JdGiiuWLbOyCB8qb7gcFlknLcUMF0takEO3HrZg1gMHjsjCBYtlyKDBMrD/&#10;ABPaj5Oihg+ygSr9tq3bmNKnnPsAnaTB54pSOC7ZJ40aNDQFSCdRXobuXbtJn169JW/gYJk4YbIs&#10;WLBUx3xYXn31NXlLmTpuDT7vpOXCgJWFqpZff/21pSwOGzzEyu7Tbv5iLCwuLi4uFytsjFjbySQi&#10;U5HmtZdjLXbSUsxwsaSFaqdHj94uDz74sCrxu5X1rpCheUOsUBBSkLSg9PFVds8nLTDr4HNFKRwX&#10;0sKELkhaeihp6aukZUjeYJk2ZZqsWL5Kx35M3nrrbSsRv3TxEqlVvYaTlgsEhIVKtexymDPt27S1&#10;1Gb8zQUXFxcXF5eiFgJ1KULZukVLK+1PPB1B+5RHuJQWFyctxQyFIS2kphJ78NCDD8na1Wtsxx0Q&#10;iOJIWoYqaSF+Zd3adeYPpf8FpsXlS5dJbSctF4xvvvnGqiPfNH++dWolHuhC05tdXFxc/oyw1mDV&#10;rZiba+4lylaQEIDL2knLNYSLJS37b7lFjqvif+7UKWsZTlwDNTYCAlFcScucWbPtmu7TayFljgJm&#10;K5cvt94WTlrODq6Vugq4hF7Ue7NZ72GfXr2kfp06kp2e8btFxcXFxeVSCnWdyFCkR9nBAwd1Pf7I&#10;akVdymKUTlqKGa4V0jJ39mzZsmmzsXOIh5OWCwPX+sXnX1jF2/37bpEJ48Zbxg8BtGerq+Di4uJy&#10;KYRgfywurO/r16yVZ5562jahv/7r1/wVq+jhpKWYoTCkhZiGF55/Xp584gnZqkRgzKhRMmRQnuQN&#10;GCi9uvcoNqQFAtW/T1/rKLpISceeXbvl0UcekU8+/sRJy3kQpDdTC+GNN96wXc3M6TOko97XPxN4&#10;y/eC3RLHcXFxubaFAFvWAzZBSfEJRkogJ+daY+hVNmPqNLnt8BF55aWXLd7uUsFJSzFDYUgLCv7t&#10;t96S1197TW47csSeIUp+zMhR0q93Hys0VpC0YPHg95CavAHhicfFCscZPHCgyiA7LtUSA9LChKbK&#10;IoSFGgCzZ86Sndt3yEMPPmiBpN99+53VGXHScnZAWH7S+0EBOZ4/6eFdOnaSWnp/L7QR4pkSkBUK&#10;+rVp2VK6d+3q4uJyjQsbzlbNW0iDuvVMb5D+jOv5XJZcKuj2V52ybMlSq25OJe1LBSctxQwXS1qo&#10;YPjYY49Zj5jPP/vMXES7du60cszTlfkOHpRnNTeof4LS76DkgaZYg/r3l2GDB5+2yIQjIhcqfJ/j&#10;EAA8fMgQO26v7t2laaPGlg3ETxQsbiHY+Lo1a+Xe48ctY4iCRP/65z/lk48/dtJyDhDc9pkSFu4H&#10;BeT66DMsn1POSEdhrCzsnCge9f+399fvVV9ZHzf+/R+e78/PPfc9U6Etxd0dQoCEGE4CAYITQggW&#10;IQlFghT34O4uxd0dWnSmAtQ7tenovZ79WvDhzjAnAhHOOaz3da2LNuecj+699nsvxa0U1b69jBo5&#10;UgtLmZiYvN4C8RiZMsLp4XhdLyhdQdPVCk735le7pUqFitLKfW+A0/GbN27SJIHSCsY10uJneFHS&#10;sn7dOq0m+9VXX+kiT70TLBibN2+WJbm5Mt4t7hCLkJYtJSYySvo7QjFi+HDN3iFNbVxWlmRljJXM&#10;jIyXFn7PccaPGycTnHBcmmlhbaGyYrcuXWVY4lC9r9xFix3Z2CHXrlyVHxxhYTHGigDpMtLyn+DZ&#10;8IwgdxfOn5d1a9ZomW2eRX4KpChS7o033S6qlu6oUpKHa4dXxpWJicnrLXt279aipTNnzJDMsWM1&#10;MwjXPmX72ST50if8nbYhUeHtnY5fJJ+7TSjpz+ivkoaRFj9DcUgLg4SOm6QP0zfm6tWrGu9Cf4i4&#10;2FgZmpjoWHSO26kv1iDObVu2qGwtAdm2Zavs2LZNhWMucNc7PDlZ2XpGWrosW7JU9u7ZK+fOnpV7&#10;d+/J1+56f/vLX+SfT3P6jbT4BoTFe++4ApPcO2wXGqpl+vMqjRcVniMKZtSIEbJ0yRI5ffq0nsPE&#10;xOT1Fpqu0k+I5A7WmvVr18q0KVPVQl/p/Qo+9QmuZiy3uJSmT5umZf3RW6WR/mykxc9QHNLC4o2Q&#10;bobQk4YaKCtXrJSkoUNl4oQJ+v2jhw/rrp0YGGJKSlo47v59+9RFlTJ8uCxYsEBOnjipkwGLAdcG&#10;A2cw64A20pIvqHvArgVSkZ2Z5Z5BEw2UQ0nkVRovKtUrV1HXYa4jsBoM7Z4/pNfExMSEgH9KK3z5&#10;5Zeqz8lQTRmWLLWqVfepTzypWa2aZoaeO3dOf0uLESMtQY7ikBZfg4MFjx16cnKyTHWkANfMpUuX&#10;5N7duxoDw+9KWh6547LIzpo5U0aPGiWL3cJ49uxZzRDiHnzBSItvcH8UkJs5fboGT2OChbAUt4Ac&#10;yoUsM54t7wpyix/axMTExBP0MlZ7gmvTxoyR+nXrFqh/qlaspE0Uab546+YttfyXtH420uJnKC3S&#10;Mnz4cPVRHjhwQO7cuaPfh0ljvitp4bjXr1+XBfPnG2kpJmgkibmV+KDGbhxggi0uYUFq16ghI1NS&#10;1H3Iu7l165bcu3fPxMTE5JmwVlBi4aRbY7IyM6Vp48byjtNB+cXToZ8pebFg/gI5dvSYPHr4yEhL&#10;sKM0ScvsWbPkyJEjeowffvihVIKkAMdloC9auFDGjB5tpOUFgfvsh+9/0DRw4oMIhKNEf6Xy7+er&#10;LH7/u//WmgqkPxeluzOZR3RxnjN7tsa06Fhau9bExMTkP4TgWoqWkoVa7s238tUx1HmJiYpSF9HW&#10;zVvkwf37Jb7OGGnxMxhpMdKCH/jjW7dk967dep8U5qMRInUS8rOyQFaopUAKc34R/nmF7zRyz5qM&#10;MrpvU4SQgoMmJiYmzwuW3iaNGqseYuOUnx5Cr7Rq3lz6JyTI4oWLVI8ZaQlyGGl5PUkL7477wMqC&#10;L/ngRwdk0oSJ2vaA3U1exfC8oEBwGxHvovUUHHnJbyfEd//glA5+aQQiVBQp98abPv/2TJyyMjEx&#10;CVJ5Ov/ZHBVEWvgcqzAd53MmTpRLFy+qTkO/+VqfXgZGWvwMRlrqv7akhUwhngOZXfPnzpP4Hj31&#10;nnEL5VUMnqA4UBJkE2FhqVm1mtSqXkPef/dd+f3vfCsVvguxoV9RqxYtpG1oG62G275dmCoahKrJ&#10;/D8t58PcZxHh4RIdEaH/UtcF0b9FRmrRwM4dO2qVZRMTk+AULC1YfNu0bq2d+LG4+NIvEBr0VaP6&#10;9WX0iBFy8sQJtRx7xKUkYKTFz2Ck5fUiLbwzhHugds3FCxdl/dp1kpw0TJUDJANiklcxeII1BeWh&#10;FhZHVgiureGIy3vlyvncCfH96u67kI4esXHSv18/bbg40imX0e49paWmPpExYzSAmkBd6rikp6VJ&#10;1thMSXV/T0lOdr8Zpv+dnZWlafRTp0yR6U6RzDAxMQlKmebmOIXmKBpK77o6buNDHN3zOgZ58/e/&#10;l/JOL1Elff/efVrSnzTqktLTRlr8DEZaXi/SwrWTcUWDMZ7Zpg0bJTNjrHSIjNKgtrzKIK9AQCA0&#10;XlxKWJs20qBu3ScxLW+9Jf/zX75/gyUmKjJS+vfvLyNSRsgHbr4j48aNk/Hu30mTJml9nZycHJng&#10;CMkENxYnTpwoOe7v491/j8vO1u9NcUqM8bR8+XItLrhnzx6tzUN6NuPTxMQkeIQsw82bNsnSpUt1&#10;wxLaKkTdRfm5iXA908pl4/oN8vlnn8uPf/6xxNYbIy1+BiMtrxdpwWzKfXL/Bz46oO0QYiIitQFZ&#10;QRYWPmOMUF57wrgPtBFl86ZN1fecX4aRWlqqVpOwdmHSu3dvrd2T7chKRkaGjBg5UlJSUmSs202N&#10;h6w4osK/We56UlNTZcSIETLGKauxmZlKXiA102fMkPXr18uJEye0gibpkX988EArMpuYmASPUMeJ&#10;FjFXnD5evmz5s+q4+REXdFCHqGgNxr16+Yo8fvxYN2clASMtfgYjLa8HafFcQlSefOjunYJ/9Ioi&#10;8JYCTUTh57eLedsRk8oVKmojShqbbXBjgL5PoS1b+fw+wrFQJLiP2rZpIz3j42XYU9Iyyr2jQYMH&#10;S/8BA5S88DcIC5LhSAzf69uvnwxNStL/xwIzcdIkmTptmmzZulWuXbum1S95XygmiJiJiUnwCNXV&#10;kV9+/lmOujVkmNMFJAjgnmYz9Ly+QdcQEzdlUo4cPHBQW7eg60oCRlr8DEZagp+08J54RigB2hrw&#10;bJYvXaaNC1s74gFhyc9aAvmgBD+BslhX6AmCS+mD7HFKYvL7DZaZd98uJ3Xr1JH24eHSC0uLGxPj&#10;3HyHtAwcNEj64TLyQVqShg2ThL59JXHoUP1//o4lJmfyZFnnxh8luz9174Ex9Y9SGlMGg+HVA51F&#10;TyLcxgTsE9SPK+h5nQORadW8hYwZNVpj9K5euaou8JKAkRY/g5GW14O0sHuhcjD3vXHDBhk6eIi0&#10;bR2qhCQ/CwuCMuA5DE8aJvPnzJUVy5bLhnXrZWxaurRs1jzf35ASjXWGWgvR0TFKQoanpLw0aUGw&#10;tixfsUIOHjokN2/elK+//lrvy2AwBCcgLTdu3JCFCxZK/779lJiQEu1L59AVeoD7zjynp06fOpWv&#10;7n9RGGnxMxhpeT1IC/dGA0nexyRHACLahWkWUH6F4SAyWovFjQv8ySiCvbv3PAmOy81VEoOS8PXb&#10;N9xOCP9zndp1JKRViHTu3FkJSsqIEcUmLUuXLZN9+/fLVVxEbgwaaTEYghfMb8r7o5PTU9MkKiJC&#10;EwKe1znoqzo1a2mq9LisbF2zWHNKAkZa/AxGWl4P0sKzoHPq1MmT9X4pyAQpyc8thHunrlMCkeHh&#10;MjY9XaP5r129Ktu3bXPHmKL9PvIrQvckaLeaNG/aTNqHt5du3boZaTEYDC8MdDu6izWIVOhYp0t8&#10;1WyBtBCb18ZtkpKGJKqe+v67754epXgw0uJnMNISvKSF62RRJ1iVKPxZM2ZI965dpUnDhj5NrJ6g&#10;ANjNUF8lyRGHFcuXyyfu+X75+LHs2rFDxowaJdERkWqp8fX7cm+8KfXr1NWsoU6dOklsXJyRFoPB&#10;8MJAt7PWUABz1cqV6v5BJ/vSO5RsYDMW63TcGrdWffP1N6oDfa1TLwIjLX4GIy3BS1p4Ll9/9bUS&#10;DoJnKdTUwt1TtUqV801vJsiNnQyF5tixrFqxQs6eOaPZOo8fPdL337d3b2nZrJlUet935VwIUeOG&#10;jSQmJka6d+8uPdzzNdJiMBheFOja7777TnXYTrdhGuZ0Aq5nn3qHLEf3GUkDixctkocPH2pMTHH1&#10;tZEWP4ORluAlLUzYTz75RHbv3CUT3fVjHSn/zjtKWPILvsVlVKtadYkMC5e5s+doAzKvwiSp0kvc&#10;s6X0Pt/hu/kdo4UjNbGOsFCfJb5XLyMtBoPhhYGu9dqNUJ8pdfQYDfD3pXfQaWy6mroNE64kajiR&#10;9lxcHWGkxc9gpCX4SAtkhXQ/3hEVYydPypFePXqq9cRXjQOECc9nlMumv0/6mFTZs3u3NlPkfpn4&#10;FH2aPXOWPheaJOZnrXmv3DvSOiRE+vTpIwMGDJA+CQlGWgwGwwuDNQbiwfqBbqaVR9VKlX3qHU9w&#10;EbGmUc+JEg9/LWa9FiMtfgYjLcFHWmgY9ujRI5208+bOle5duup9QjTys7AQkEu1SQo0fZCVLbt2&#10;7pJbN2/pLgdigKWFCrRTcnKkrlMKEJb8CBDWnHZt28rAgQNlSGKiEhAjLQaD4UXBGsMch7igf3Im&#10;TtJ+Zr70jidsvDLS0uTE8RPyuVsD0GHFgZEWP4ORluAhLbwPru27b7/VTJ8d27dLiiMA9P+BYORH&#10;WGhERhwLXZv7O7KwaeMmfXbsUrDaEMjLc+SY2Zlup1Oxks/jePK+I0cR7dsr+aB0P+TESIvBYHgZ&#10;oNcQCMjM6TM0axE3UH76DD1Go9VdTl/j3kaPFQdGWvwMRlqCg7TwLp5ZRG7f0aqQox0hiG4f4TNF&#10;MK+Ue/NNLdrUP6GvzJszR865Z8ez8PzBuJoIwqXtOxUnCXbzdRwERUKAbnRUtPYWgqhQrt9Ii8Fg&#10;KA7oJ7R0yRKJcjqtZrVq8k4+MXUkGvRLSNCq32dOP0kiKA6MtPgZjLQEB2nhmiAsmEJ5Pxlp6Vr8&#10;jQnsq+x1XqlU/n3pE99LljmFcNL99gv3DrGw8Fw5Lu/u7p07GuOS7IgEz8TXcSAsFJarWqmSdOzQ&#10;UUaNGqUEZcDAgQFNWhjnPAcTE5NXJ6w5FLcc5PQJXZ+rVPQdkMumCpc4LUeoL8U6UBwYafEzGGkJ&#10;DtKCC4c4Fq5/+dKl0qN7d612WxBhKffGm0pqKMhEA0R8wPT04Tl44F4pl3/l8mVZt2atDOjXT2Nj&#10;fB3vD//9P5ruXLN6DenSpYt2aR7txCMogURaPKICeaP9Ac+AcYxf/fbt25qVZWJiUnaCTkfHD+jX&#10;X9q0bp0vaUFnx0RG6sZty+bNmkVUHBhp8TMYaQkO0kI31PPnz8ti9wyGDhmi7p6C4liQak8bIVKS&#10;H0JCuewfn6Y3e+DZ8qyOHzsuC+fPl/i4HlrEydfxCM4lnqV+3XoS2z1WUlNTA5q0QFgIamasX7x4&#10;UbZu2SIrV6yQJUuWaB0IExOTspOZM2Zok1eyGxs3aJjv5qn8O+9KeNt2GteydvUa1Wu+1qqiwkiL&#10;n8FIS+CSFp7/P92iTezJo4cPZbO77sEDB0rrFi3VRZN3IucViAwEo2mjxto4MXfRYjlz+rTeP/eW&#10;973ybP/0xz/Jvj17ZWrOZOnqnoWv3h/I22+86XY/laRp4ybSs0dPSU1LCzjSwr17Fhaex6OHT6xX&#10;jPtMdy2JjhCy00vo08fExKQMJb5HD4lsH6F6mWDb/GJa2FTRvX6g0y9Lc5fI7U8+MdISTDDSEtik&#10;hcJvuCuox8J7jAgL03eZH7HA+sKkJpCNRohzZs/W9/nHB39U8vM8eLb33U4FKwOZQzGRUfkXlXPn&#10;rO6USUtHmnr16i1p6ekBR1p4t7iDqMJJd1l6mMyYPl2Sk4ZJx5gYaRcaKq1btVJLlomJSdlJM6eP&#10;aQ+ChZjkgvzqRKGfmrmNU3xcnMyfO1du3bxppCWYYKQlcEkL18F9EGxGE0NcN1SqJY4lvxoq1GNh&#10;lxLqFl56CPFuWaBZqH29H0gBpGjtmrUyasRIad+2Xb6doSkqV7tmLWkT2kYSEhICkrTwDEiRfPDg&#10;gezauVOzpdq1aSsN6tbTrChq0EAITUxMylawrBCH59WIys/1TTZkw3r1pFOHDloZ97rTFUZagghG&#10;WgKPtHjWgO+/+14uXrig5fb79KIfUHO1duSdwJ5oZo8jLBXLl5f27drJ8KQkWeEIALuQgt4LpODm&#10;jRvqQho0YICEtGipbiBf5yCepZ7bCbVzxKZv336Snp4RMKSFOB7eP/1Kzp07J5s3bZYPssdp6wOK&#10;WVHrprGbF9x/RHi4tsA3MTEpO+kU00HnI/qrcYMGqm986SFIDZu3tiGtlV+QRGCkJYhgpCXwSAv3&#10;+83XX8vHtz6WLW5xTR6apObQKhUq5pstxN/ZrVDKf1jiUH2Ply9d0vdY0P0Q28Gkx0WCO4kAuLf+&#10;8IbPcyhpccenu3O/fo60ZAQOaeHdE7B34vhxrSKMPxxXEGSF50rH6yEDB7m5MkGWLV3qxsIOExOT&#10;MhRc1KtXrpRFCxY80XmNGvvUQ2zOCNJtULeupI4aLefdJsRISxDBSEvgkBaeN+fGKnD3zl05sP8j&#10;mTZ5ikSFt9cS/Hkn7vPiNUKk2NycWbPV5UPROEhJQROaz5n0zNPI8HCpU7NmvsSogntWDdzzbO+u&#10;p79b9P2VtHC/3rPk9zxPxsrxY8e0eFXfPn3UuoLywxxdu0YN/RuZWXyHsWMwGMoW6KJvvvlG7t69&#10;K0tyl0h0ZKRPPYRVGX3IZoNEA9argnRcYTDS4mcw0hI4pMUrp48LY//efTJ54iSNY2nk7oEFNu/E&#10;fV7ox9Gje6z27iAGhpouHI9FuzDScvbMGcl25AHLAwG8+ZEWitQ1adxEYmI6KCnxZ9LC73CxMV4v&#10;XbqkuzgaS/brk6BWleqVq0j9OnXUJD1ieIqmXGKFwRrDWDYYDGULdBFzjzm7auUq6RAd41MPIehD&#10;Eg5waVPJ20hLEMFIi/+TFp4zwiL7rBHinDnSrVNnJSOFleln50EBuUlu4T98+LBaaaicy3MrbDKj&#10;KE6fPi0ZqWkS0ryFLub5EaTKFStJixYttLAcjRIhHP5EWrzn6FlXCECmZQHjmgZrHaKjNUgZK0sN&#10;92+HqCh9ZgTkXnHjgjFP3RaeicFgKFswb9FbFHrcsH69xrn40kOeYCWlNQnWUXS2N/9fFEZa/AxG&#10;WvyftHB/TNiv3TOngBzvYLhb2AkMxQyaX6YQZIWS1rzPQf0HyMYNGzQrxmuEWBRgjTlx7LikDEuW&#10;BnXqqq84v/NVqVRJWrVqJd26d39GOPyFtDBWeY7cz/eOrGBipmUB7iB6NHXt3FmaNW6sdWYIaO7W&#10;uYtkZWZqyjN1HjBLG1kxGF4dmL+UZUBPb9u6VeeoLz3kCbqR9iQHDxx41kfNSEsQwEiLf5MWnjGL&#10;JVaWO7dvy5rVq5WwEMdCt+X8CASCG4ciSwSQLlywQJ8JhCW/9GZfYJE/fOiQ7lggQAXFzvgzaeGd&#10;YV1hp0ZJ8K1O6eW44/Xv20/atg6Vpo6wNG/aVNqEtJZhQ5P0eVH7hi6xmhL+669lTlYNBsP/AV3I&#10;fGce7961S+K6dfOphzwhiwj3+a6du56VdXiZOWykxc9gpMW/SQvnYqGlU+mxo0cl2+3+cfUQVJsf&#10;gcDCwoQlxqR3z3hZtGChHD96TJ8HBIhjFnXHAWlh8e4ZG1cgYUEgLSHu2rrHxvoNaeFeGR/stLCW&#10;3L9/X/bt2yfjssdJxw4d9B1Xq1xZ6tWuLZERETLYXVdubq6W7ccVx/jh9y/yzAwGQ+mAOYioToqL&#10;U13nSxch6MC4bt2dPt+k+h79/jJrkJEWP4ORFv8mLZAM3tGxY8f0nUBCiLsgyCy/2BKKv9WuXkMD&#10;Sse7xfnwwUNy/959+eH7H1742j3SQhAvSsDX+TypVqWqtGnTRnrGx8uw5GQZ6wjWqyYtXD9jgODl&#10;kydOysrlK7SRGqblxg0bqoWlVYsWEueIVnZWllqytNO1Gx+QRX5vZMVg8C8cOnBQ+vbuowXn6Czv&#10;Sx+hr3D7sm7RpZ5Ni5GWIICRFv8mLVgISDle4N7H4AEDdYEtKI4Fqfy0rgh9iFiEeceYRiFAL7oA&#10;vwhpIXg1PCxc+iQkyPCUFL8gLdz348eP5drVq7J44SKJ79FTey4RUEyKdsvmzSXevf/JOTmyf98+&#10;HTOeKZljm4XFYPA/HDl8WDODKr1fQTvL+7K4vOn0Fa03chctUr3++NGjQvWFLxhp8TMYafFP0gJZ&#10;oOLtg/sPNICW3jcQEawseSdmXiGGBSsL1z3EkQK6MpPuR3+il0WRSYtTGjWrV5f27dtL3379lKBk&#10;ZmW9EtLCuKQGDVkGxKQcdO82d3GuJA4eLE0aNtLeJfVq13nWVG26U0o7d+7U2jX4yzmmERWDwX+B&#10;NXRkygjV3xAXX1ZnSEuHqGhZNH+BFtLE2mqkJQhgpMU/SQtE45ZbcKmpwhyhsBupuFS1zTsxPcHy&#10;oo0QHanB9UEjRJ4Bz/63v/zl6VFfHIFIWng/D937pcXBhnXrJTNjrHR1z6R5kyYa51O3Vi01G6el&#10;pspydzwUIE0hsbAwlsy6YjD4Ny6cPy8TnU6ICG8vdWvW8qmbjLQEKYy0+A9p4XlybO6HCXbwowMy&#10;48Pp0qtHT7UO5J2QzwuTFsJCkO4Yd+24Orh3LAcvc73edVCXZO+ePRLbrVu+ReVUXiFp8Z4b/w3J&#10;4r4pGEctB+qvtA0N1X5JKDFIX6h7RtSd2bxpk77vn/MZIwaDwT9x9epV3Zj17NFD9bSvJq5GWoIU&#10;Rlr8h7RwXGIpSEsme2XenLlKWFo2baZWlLwTMq9AJrAg0EwsMz1D39H1a9eL5ergdzwPniEdnjtF&#10;x/glaSFOh/fPv999+61ap3iX8+fP19RwfNq8Y+J8aG9PIDPvEsJCTyXGAXFDBoMhcGCk5TWGkRb/&#10;IS3cB26hT905du/aLUmJiWo9oW9QQQXkCMwlW4hGiFRvJTbjW7eAczyu9WVICySAAFYW9gVuLOCe&#10;8lfSgiKCoDHOaKyG2biXIyd0gq1SsaIWjKtbq7YM6NtPluYu0XL8uIN43xCW0hqXBoOhdGCk5TWG&#10;kZZXT1p4jtwDrhgKn+GOoUdQVPuIQjN2sMDwvrp36Spz3PO+7hZzLDXFtR7gZvncPT/K3M+eOUva&#10;twsruL9RGZOWy+49MdYgebxLWhvscIRl0oSJEtc9VovE1XLXA1kJb9dOi+PR+uD0yVP6DnnXpUU+&#10;DQZD6aJIpMVtsqIjInQdOnPqtM57NjkvCiMtfgYjLa+etHA8SALWEWJRxqanS0xklNSpWavA1GYE&#10;CwsupA+nTNWiaewmICwvs6PIC38nLRfdzonmhbzj48ePS65756NHjZIunTpJg7r1tAZLsyZNpJsj&#10;c+Oyst24XS+nTp3Se+I9Y5l5GQuUwWB49SgqaUFvTcmZrPr93t17qtdeFEZa/AxGWl49aWEBJXMF&#10;K8uC+QskMry99vgpqAItE/Ldt8tJ25DWMmHcB/LRvv1y+5PbWhCN91LcBflFSAsuKgo81a5ZUyLa&#10;R5QJaTnjruvS5cty7tw5WbZ0qQweOEgDbqlsy7ODsJAhlOWuAZcRlXAhhV5gshEWgyFwUVTSQouO&#10;cZlOB2zfoeUPjLQEAYy0vHrSAmGhgNyqlSsleWiSNHLXhFuooDiWGlSfpU9O4lB9J7du3tK6JCzK&#10;JYGikhauheJO1Epo0qixREfHlAlpOXTokGzZskUWunc+IiVFwtu2k8YNGgr9g1BU1GSZOWOmxvhc&#10;v35dnzHut+JaoAwGw6tHUUgL+opaTKmjRqullQKTL6MfjbT4GYy0vDrSwvPjWIz/Ne7ZstBSQI7G&#10;hL4qPHoCoQlp0VISBw3WvkLnz57T5+tZEUoCRSUt/A3CUr9uPQl1ZKFT586lSlqWLF0qe/ftk+07&#10;dshU9/4GuGNAWEgJr1W9hsYBDU1MlCW5uXLhwgV1lxH3wv1AWEqacBoMhrJHUUkLn7ERxBp74fwF&#10;Iy3BACMtr460cG005Tt+7Jh8kJ0tYY6wEDxa7o03/23yeYLlhclZvUoVTd0lsPTI4SPyJzd/XibA&#10;rCAUlbQQoV/VEQasLGFhYdKla9dSIy0TJk6URe7dbt22TVa5sZjixlhb98yI/SEgmXdJJWAaHhLn&#10;QpNJlBRkxdxBBkPwoKikpVnjJjJ0SKLGvJ0/d95ISzDASMurIy2f/ulT7b68YN586R0fL7Vr1NDi&#10;Z/m5hZiYNas9KSA3zhEC+m9wj1gSSvrZ+itpmTt3rqxx42uuI2z0DKpTo6ZaeugjRJYQJfkvXbyo&#10;aePE9/BczLpiMAQXjLS8xjDSUrak5X//9b9qFWHyXHCTKHfRYklKHKrunvwsLJ5QQI5qrgPcgs67&#10;YGH2FuWStiS8EGmpVFkaQ1rcd0qbtMx0Y2rp0qWSM2mSxERGqoXl/XfedWSuumZRbd60WckKz5dn&#10;w3MxK4vBEFww0vIaw0hL2ZIWyAAt0h/cv++e5XoZnjTsiVvILbq+SAGC5YVI+MbuvSS5Cbhi2TI5&#10;e/q01mMpLRSVtPA3qs02cNfWxt1H585dyoy0UIMBwkIsS/uwMElPS9MAXa7d4lcMhuCFkZbXGEZa&#10;ypa0YAW4e+euHDtyVCa6Y5IBhEuooCJyTD6q4kaGhcvC+Qvc7+8o8XmZCVhUvAhpwT1Tr05dad26&#10;tSMtpReI64u08H5aNmuubeoXLFigriGzsBgMwQ0jLa8xjLSUPmnhObHzZ8KQzXJg/0cya/oMDabF&#10;wpJ3oj0vWFkoIEeGTOroMdpxmevkWKVpSSgqafm9u773yr2j2TvNmjaTDh06lClpIZalScNG0jMu&#10;TqZPm6bv3ciKwRDcKCppCWneQkaljJA1q9fIlctXjLQEA4y0lD5p4fs0QuQZUCtg7uw50tUds1mj&#10;xrrg551ozwsF5kjj5fzbt2/X+2Tilbb7o8ik5b9+p66rd956S+rVrSdRkVFlSlqIaalWqbJaW1KS&#10;k+XAgQNGWgyGIEdRSAt6iRIS47PHye6du1R3otdeFEZa/AxGWkqPtPB8EAgG8Sd/fPBA9u7ZqwXh&#10;OC6EpKACcriMqlasJEOHDNF+RKQ28xzLYlFW0uLeZWGk5Zm46y3tMv4eaVm2bJlMmTxZOkbHyPvv&#10;vqeVgXFRUbJ/44YNWkSO62dceO/AYDAED4pKWqguPn3ah5ql+eD+A+s9FAww0lJ6pIXvMUmIY7lx&#10;/YZs2bxZPsjK1r5CVJGFBORXRI4AU/yxPbrH6uSkS6lX1bUsFmGumxoyly9flvlz50pEWLiW6vd1&#10;rSplRFrmzZ8vG9z7WbRokfR356HHEK4pyAuVcCdPypHTp08/6+IMYSytcWcwGF4NikpasFLPcZsu&#10;a5gYRDDSUnqkhevCLfS1e1b79uyV9DGpyvzrFtIIESJDrEt8XA+ZNmWq7N+7Tx6662XCldUCzLko&#10;znbjxg1ZvHCRTn6UgK/rVSkj0pK7ZIns2rVL1m/YIGlpaRITHa3jFZJXv04dGdivvyxwxIYaNrxj&#10;z+piFheDIXhQVNLSISpKFri1jGq46FA2MS8KIy1+BiMtpUNaeDYsmFwDLhaKoXXr3EXJCHEYeSdX&#10;XmHyValYSS0bH+CL3bVbbt64qddWlmBy884ePHggq1euUlfMqyYteXsPUcqf95w5NlPiYmOlgXuP&#10;9evUlaiICBk8cKDMmjlTO2bfuvWkJ5NH+Iy4GAyBjyKRlt//wZGWaFk0f4FaqkmCMNISBDDSUnqk&#10;BXcOz2rxokVaX6VF06YFpjfjLqpZtZq6OYYNTZIN69ZrevO3pZze7Avc42+//SbfffutbN+6Tbp2&#10;6uyUgP+QlpOnTsmJEydkv/vvD6dNk25dugjNEps2aizNGjeWHt27a90Wyv2j4H755RclLkW1khkM&#10;Bv+FkZbXGEZaSpa08EyYGLiFKCDHs4CAtG/XToNq84th4e/UYglp0UIGusV83py5cu7cOT3Oq7AQ&#10;cD4E4rJv7z6J69a9wFoySlqq/TtpGZuZWWqk5ZJTQn9y7wKTL9c3NiND3xOkpcK777n3Wk/C24XJ&#10;iOEpsnnzZrl3757WtvnNPU/eD++wrJ+pwWAoGTD/2ax07tTJrVf1NanheZ1kpCVIYaSlZEkLn3Gv&#10;f3zwRzl88JCMH/eBxoPUrVVLSUneSeUJFhYsMPTRoXbLXLeDOHLokD63l5lkJQniQagNQ0BwwaTl&#10;v6RGtWoSHh4ufRISZHhKSqmSlitup0WgMH2Xbt28KTuedn1O6N1HmjZuLI0bNJQGjrhEhLfXxoqM&#10;jcOHD2saN1YXL87FYDAEHk6dOqW6vkmjRlKlYkWfmY1GWoIURlpKlrRwLV98/oWcOnFSchcuUhJS&#10;vXIVXfDzs7KwS+A7NELMHpup6XksyFx7QecqCxSZtDipUbWaNk0sK9Ly+GkXZ57T48ePVZHNmD5d&#10;Yrt3l1bNW0jl9ytIxfLvS4O69TRj68Op0+TC+fNqcSmrLCyDwVDyOHjgoPR1G5Ryb7yZbykGIy1B&#10;CiMtJUNauAYWUHb+lItesmix1mOhwSETK+9k8gQSQxYRbiPcR8lukV69cqXcuXNH3ULEYLzqhfVF&#10;SEu1KlWlTZs20jM+XoYlJ5cqabl67Zp86cYgzwhFxHXSQJLgWzo9Dx44SNqEhEjtGjU1JRorFlYY&#10;xgiZRYwXYoUgL6/ammUwGF4MH+3/SHrGxvnUQ56grzp37CjLlizVLMiv3CbnZdYgIy1+BiMtJUNa&#10;WDQpIEcBuA3rN8gQt2g2b9xECUl+OwH+jpWlSYOGjrAkySpHWM6eOfMs24XzBBJpqVq5srR2RCE2&#10;Lk6GJiUp4SgL0sJzYgzw/hjPWFNWLF8uI1NGSMeYGGlQt66W+2/WpInEufsgK4uaOdevX1eLFnE7&#10;BoMhcFBU0tK9S1dZu3atZkGSGGGkJQhgpKV4pIX/Rtixc5+nT52SnImTtKx83gnkS4h4h9Rgwpw3&#10;d64WcsPNwSL6qsmKB0jLgY8OSK8ePfV683NxIVUqVZJWrVpJt+7dnxGO0iYtvqwkjIcr7j1CAke5&#10;45M+jt8bVxHPOyL8STr5zh07tK0Cyoz7NIuLweC/QCd6+laTA5ye8aWHPIG09HSblG1btqhepchn&#10;Xt1dVBhp8TMYaSkeaeHcLHhMCiwSFINjgafJYd4J5EsauXPHde2mx6ZMP9fLNWA98Bdwb8eOHZPk&#10;xKFSr1ZtLeKWX2E8fyEtvJ8v3Dg8f/68bN60SSa73/VP6Cthbdpq3E292nWkU0wHGZmSIktyc3U8&#10;sxPDtWcwGPwTzGv0Ea7zndt3SGzXrj71kCeQFnQ7uhW9ivveSEsQwEjLy5MW7p9JRDbKJ598InNn&#10;zVarCYtifplCeSU6IlKmTMrRarm33e9/dcdhEfYXKwuAQFEcLzsz0y36bbQ4Xn5F5ipXrCQtW7aU&#10;rt26yZDExFdGWgDvhZ0V7rqTJ07IyuXL1WVXu0YNefuNN5R88Z4G9OunbetPHD+uY5dnn1cMBoN/&#10;gLmORZu1BPdul06dfeohT3C9E6x71K1B/Ba9/TJz2kiLn8FIy8uTFv4lE4Wqq9u3bZPhScOkvlsI&#10;qXib38IO+6e5H6X8qd+yZdNmuXXzSdXW/BbgVwlICzEijJGo9u01dTu/2JbKFSpK82bNpFPnzjJ4&#10;yJBXSlo8QCh5Z8QKLZg3X4NxySyqUaWqvtt2joglOYKFe44xwFjVei6//fbSSs5gMJQ8mOvoaKza&#10;69auVWupLz2EoH/ZmAweMFA3LcWZx0Za/AxGWopHWj5x56Wz8Nj0DImJipKK5cvrop5f7AeEpkXT&#10;ZhrYOnf2HO2J8e233+oOorSeT3HwIqSloiNjjRs1kqioaBk4cJCkZ2S8ctKCxYX3ShG6M6dPq7LL&#10;dNdF7ZyqlSq7+6mtlYrje/SQKTk5smP7dq22SZyLF+RrxMVgePVgrjMvsZ6uXLFCrdq+9BC6l/g7&#10;qouzkSTO0EhLEMFIy4uTFiaPl95MEbhxWVlKWHA35GdhYSKRLUTVWAgLwbr4WqkdwMLoESF/Awv3&#10;xQsXdEHvFBOjTQnzIy1k6NR3zzM8LFz69evvF6SFMcqz5T4gh3fv3lViQmZRqxYtpVb1GlLe7cio&#10;qklJ8PHu+rZu2SIf37r1b2SS4xh5MRheHdiA0MQVXb/Y6Xo2Hr70EHoWvU3MYProMXL+3DkjLcEE&#10;Iy0vTlpwOcD2ifXA5cDvadZXqfz7+QaplnvjTf28XetQGZeZ5Z7pAXUr+Xvw5z/cYk9qMAWaBjgi&#10;0apZc58ls5H3331P6tWtJ2Htwhxp6ecXpMUDYwQCAhHBkkJfp3FZ2dI7Pl7oWdSkYSPt+dSlUydJ&#10;S03VAF0q6DJ2vQA+Iy0Gw6sDLltqMdHehCKS4W3b+tRDbKpw/9IS5YPsbLl08aKRlmCCkZYXIC3b&#10;d+hYZeE7c/qMFi0iLoXvQUreKMDKwnEaOGJDhdy1a9Zq3ATkp6iL7qsC10exu/VukU91uxbSh301&#10;J0OwWNStXUfaOmXS15GO9PR0vyEtjFXGCbu177/7XhtRkhU1e9Zs6eWIS0irVlKvdm11GYWGhEif&#10;Xr1kulOMp0+f1rGbl7gYeTEYyh5sOpi36OqJTh9QPNKXHiLQnkzHyPBwmTJ5sup0Iy1BBCMtRSMt&#10;9BB6EjR7UzN91q9dJynDkt3EaK8LXd5Jk1cgLG87QtOsUWPp4wjLDDcB8LGW1rMoaXCd9+/f107P&#10;1DbBj/zu2+V83ut75d6RWjVqSuuQ1tKnTx9J8yPS4oExCwHhXbNrY2zPmjlTEocMkbC27dw8qCb1&#10;69aVVm6X1rdPgsxz84Dsg9u3b6tVjN8GyrszGIIJbPKobIt7d6zTLQTU+9JDbKqaNmwkdHonbvCm&#10;+42RliCCkZaikRYW7LWr18iJ4ye0DPwER2LausWZRS4/ywOEhRgXiprRJXnRggVy9vQZva7iTKKy&#10;BM+W5o+7d+3WOJzOHTpqc0df9/vOW29rKf/mzZpLfHwvSUtL8zvSArgnj7j88cED9XmvXr1aRrrr&#10;g7jQKZrYIxovdu3cRS1MBFvTKdojLgaDoWyBLqcA5zq3BjFX0c++9BDJDm2cbh48cKAsd/rijttw&#10;GGkJIhhpKZi0EFzayS3U2ZlZstCRjo3rN8jS3Fzp4xZlUuogJnknTF6BsNC0r5lb/DJS0+T0qdPy&#10;kzuHP1W8LQw82ycWiQMyY/oMLYuNRcXX/WJRIp27UYOG0iOuh6T6KWnh2SO4e7w6O8TtoOCGJSVJ&#10;VESEIy3VlLBWrVRJqxtnuJ3doYOHtB4PmUiMZxMTk7IT9PmhQ4dk7ty5MrD/AF2nfOkhYusI0k0d&#10;NVo2bdgo9+/dN9ISTDDSUjBpgZh0iIzS3TaBmxlp6TLITZjWLVvlm0XjCYseMSAjkofrMyFzhUWS&#10;hTaQSMvjR480XXhp7hKN9eCZ+LpfYnqwtlANuGuXLjJmTKpfkhYPvAPuj8wiaj8QWI1F5QN3PXSK&#10;hqxgccGahoUpM2OszJ87T3d6e3bvNjExKUNhbk5zOnvw4MHSPixMqlWp4lMPYdmmhgsufVxJf/pj&#10;8fiFkRY/g5GWwkkLrD05aZgM6NtPwtu2kzo1a0kFx+YLsrIgLN7JbufO8TguAbyBFszJ9XLdN65f&#10;15L4mFy5d1/3i/BMsC517NBBCYs/kxbAe/AsLlTQffTwoezbu1cm5+RIfI+eOj6obkynaNxGpLb3&#10;d+OAcWZiYlJ2kuT0QdfOnaVZ06ZP3PJv+XbLo39wx384dZq2Vvn8s8+fzvaXg5EWP4ORloJJCwtW&#10;SIuWuoARhEolW2JY8uvcnFeYWAPdwrx0yRJ9ZuzmuVYkkEgLz/Bz9yxJAR7liEel99/3eb+eQGqi&#10;I6NkhPsupKT/gAF+S1qeB/EqjKXdu3bJdKesKPNPKnSDuvWkSsVKUrtGTR0PURGRJiYmZSjEmzVu&#10;0ECbn7779tvyhuMPvvQPiREJvXpL7qLFWg338aPHT2f3y8FIi5/BSEvBpIWaJKTPsXA1b9xEWTyE&#10;pTArC0J1XNLuaMy3zj0TMlBo9oU7IlBIC9eJFYLnSEdkehBVqVDR5/16gk85Iry9JCUlSXJysvR3&#10;5CRQSAtjiaqbD+7fV4W3euUqLR7YpWMnJS3E86A06cFkYmJSdoI7qMJ770m5Nykvkb8OpkbL0MFD&#10;NP4QfU55ieLASIufwUhLwaSFYNrquAYaNlLyghWBvxWFtJR74039DY0Rx7uF+cihw3peFkWCcSEv&#10;pfVMSgME5E6bMkXLYxd0/9RrYVc0yBETiEfffv0ChrR4wML0/fffP7O6pKemSjNHWnETmZiYlKFU&#10;qqwbJYpzYuUuTPdCcEY7vXLwowOa8YdeLw6MtPgZjLQUTFogHtRYYacdExmlfWqYFIVlDiGQG1wp&#10;DerWla6dOkn6mFRZsjhXDh44KHfv3NVnCHkJFOAiou5BC/dcIG/5BSJrymHr1lpgDnKSkJAQcKSF&#10;sU0xK8qGU5uHQMC5s2fL1MmTTUxMykim5EzW9SlrbKYW8iSmML9YFk/oJ8Ym8crly/Lt0+anxYGR&#10;Fj+DkZaCSQsLMBlASYlDZcigwRLbtavWZyHIlkW7MOKCKwniU7ViJe2F0a1zZ5kyKUd3ASyG7Oa5&#10;fi9A159BnyRIV3T7CO3ZQ7yPr3umjktIy5YS3zNey/n37tMnIEkLxybGhZRogpG/cGP70z99amJi&#10;UkZC5g9u9cuXLmkm0DCnEyir4EvveIJOnz7tQ2258ve//a3Y646RFj+DkZaCSQvxGR2joiU9NU0m&#10;sXC6Z0X+P9UWiXHBdQQpyTtpfAnkhfgYdgHxcT1k8sRJ+ixJs8XtwvMprQW4pEAg8drVq6VXjx6a&#10;SUNKt697Je25mXt2Xbt0lfj4eInv1SvgSIvBYHj1YDOHXqbX2+FDh2TUiJH5xtR5G8TWbsO0cP58&#10;XaNKAkZa/AxGWgomLbhByPmnuNzypcs0hQ6ZN3euDB2SKBHtwtSKknfy+BIsMjRTxHJDc8Ww0DYa&#10;LDZn1mzZu2fvsxou/oyvv/5aOyAnJSZKWJu2WnjN172iOBq6MRQVGSVdu3aTOEdyjLQYDIYXxb+c&#10;bsfFQ/FHSi4kDh6ssS2+9A7xLsS/UFdrxbLlxQ7A9WCkxc9gpKUQ0kIZ/w4dtVDR9m3bNauEOAee&#10;Aa4S+g+RWVTZsX/cIsSx5Nfp2RM+53tYakjNmzZ5iiNCH+n18py8DCPuy59cRrhIqGFCBhHdkHER&#10;+bo/LEp1atWWUPdcoqNjpHv3WCMtBoPhhYEOxMKLvl28aJEWt8yvThRF5Zo0aCgJ8b1k4/r1qq9K&#10;AkZa/AxGWgomLV7vIe3yvGOn+kkpQkY/Hjo9r1u7VvsQJfTuLaGtQtR0CeMvjLggWGhaNG0mPdyi&#10;nj02U1atWCFHDh/RiHcyjCAvmEf9BbxD0oDnzZkr/R2poHaJr/uCkBH137hhI2nXrp106drVSIvB&#10;YHhhML9xDe3evVty3PwnIQJr9fM6B0s2qc5YvkcOT9GMP/RVScBIi5/BSMuLkxYm0l9/+6se+74j&#10;GCeOH1fX0ZCBgzTYFvNlYSX+Ec8Hi0mzVbPmGidDSjHPjInKM/Mn0sL9Xr18ResfeM/H1339wd0X&#10;sUA1qlWXFs1bSEf3/Iy0GAyGFwXzm0DcNatXywhHRsge8pUAAGnB7c4GcPKkHN38oc9LAkZa/AxG&#10;Wl6ctHhEgvun6y/jl948VGAc7hZc3ElNGjbSQnQUQipKajQWGqo9Ytqkv8a2rVvlwvkLep1/ds/O&#10;H+JdSAEm9gaFQFByaKtWPu+H+y335ltqrm3YoKFERkZJn4QESXZjwkiLwWAoKnCTX3EbpenTpmkJ&#10;f/S1rw0hlm1KUxAniNueBAcs4iUBIy1+BiMtxSMtpMTyO9KBqQuwf98+mTljhiT07qMN93CTYFHJ&#10;O8GeFyYccSCcC59sTESkkp/cRYvk+LFj6i765edf9JyvEn9z94p/+caNGzJ/7lxp3y7M5/0gakVy&#10;xKV2zVoSFhamWUTDkpOVoBhpMRgMRQGbNVzSKU53NKhTVy24v/fhekeHhrZspU1Nt23dJjdv3NRN&#10;VknASIufwUjLy5OWvOBvEBjuE3cRfWuIcyH9DosLpISJVZjVhcUe86fuGoYkqvXmqHuG3As7B87B&#10;uRBfz780AUHgGT169EjNtR1jYvR+8run3//ud9oHpHVIiMTGxsrQpCQjLQaDoVCg39Drv/7yq3y0&#10;b7/Ex8YV6HJHb1JPa8aH053+PeHWtT/pJqskYKTFz2CkpeRIC6ZMgmfJMDp69KisWL7cMf8M9bOG&#10;NG+hgbdMvIKCdCEAuItY7MlKwmLD++G5nz51SmNdvOwiX9dRmuA5U10Sl9j2bdu03gwZUxCy/O6F&#10;rKpmTZtJp06dZNDgwUZaDAZDoUDX/OT0MesJmUBdOnUukLSgMylNQarzx7c+1vIM6MiSgJEWP4OR&#10;lpIhLTwLhM9Y2H90C/v9e/dl7+49yv4H9O2nBdmwojDB8k44X+JZXAjSjQgLU6vLgvnz5ZQjLlTR&#10;5Rws2N55fb2LkoZ3f5yX5zV44ECN2Cea35e1hb+RMk7NlsiISOnff4CRFoPBUChwCz1+9EibtC52&#10;ep3+bQXpTT4jkYHNFGsTriFqvJQEjLT4GYy0lAxpeR48G9w5sP79+/ZrmjCtAIhXaeyeL72Lyr3x&#10;ZoFWF4TP6XUU1ratZifNmT1bDuz/SCcz9WKYnEzwsiAtHjgXVp+xaekS0qKlNlD0GbfjSAtdkYlr&#10;aRPaRnsQFYe0TMrJkVWrV8ux48flzp07WofBSIvBEHxgU3bv7l05dOCATHablXZOf/jSMehHrL01&#10;nA5iY0fVXPRuSVqijbT4GYy0lA5pAUyc77/7Xp8x10M12Q+nTdOCcgSVkTFUWGo01gomZfUqVbRR&#10;Ib2LUpKHy/Jly+TSpUtKXOiNU1ITtCjgvV9xz2n2zFnSMzZOux/n5yKiuVnVypWlebNmGoybnZ39&#10;UqRlwsSJMsW9r42bNsmly5c1roZ3W5b3bTAYygZ/cZsxEhtYS0aNGCEtmzbzSVrQn7Vr1BAqdNMk&#10;8fz588/i/kpqI2ekxc9gpKX0SAvPh+8+IS/fyR8fPNDnQS2Wbp27SKvmLbR3EcXoCnMZQV4gBgT1&#10;YqlJTkqSde5dXLxwQXsXce3eZC1tcF+3P/lE1q1dJ6mjx0j7sHC9B1/XjVJ5/913pUG9etK9WzfJ&#10;yMiQkaNGySBHWgYMHKikJcsRGVKhkXT3OVlGfAZ5SU9Plw/c33ENTXPKY4sjfleuXtVsre++/VZ+&#10;du8X0mZiYhI8wvpCu5QpkydLfI+eWoPFl1UaazUFOqmUi/v85o0bJb7OGGnxMxhpKT3S4oHv48ah&#10;yi0mT54n6czpqakS27WbpkYTeFsUVxHkAOKCuXTQgAFKgLDgXLp4UZ99cduwFwW8d8517OhRHScE&#10;GmMNyu+a337jDalRrZpER0XpuEhJSZEkR7ogJVhdxo4dqwJBSUtLk1T3XMaMSZXRY8bovxAdSMuM&#10;GTNkjRtbBw8c0PfLPfO+cJWZmJgEj7DGzJ0zR/r26aObOwL6fcXNEU9H13ka2qK3KfZppCXIUZqk&#10;ZdbMmXLo0CG5f/++Bo+WBmnhGohruHXrlmPaC2SUIxuLHCHwJ9LCNXLvWFzYReDSofbKrp27ZEpO&#10;jrqLOBe7Bl8TM6/wOWZSJitButRKSXML+9o1a+XC+fPqjvqnex5co6/3U1LgfVKpkvLaiYOH6HPy&#10;db0I10xAbpvWraV/v34yNHGojo9Ro0bJaEdaxjhywn9DZkZhecnMlIkTJkrm2ExJeUpyPhg3TmbN&#10;mKn9RxiHZBRs2rBB39VmExOToBIqjBMDiEsc3ZKf+5nPyGKc5wjOkcOH5aHT6yVtbTbS4mcoadIC&#10;GeA7I0eMkKlTpsiWzZvVz4g5v6RS0Dxwfo6JFePChQtqShw4YIAGq0JaIFD+QFrygt/ixuGab928&#10;Kbt37dZOzwSRUaK6fu06SkgKs7p4gnupY3SMXu/ihYvkyKHD8rEjcKT8QeYgS6VBXjzyde7cOclI&#10;S5Oa1aoX6OLCQoSJN7J9e/c8O6qrqEdcnEpcbKzEuv/v2rmLdO/aze2uEmTIoMGS4HZZ3bp0Vemb&#10;kCDDhg6VEY7EjHEEJ80RHRMTk+AUimtGOV1B3B96JT99yOdJQ4a4dWaL3Lh+Xa3ZRlqCHCVNWiAn&#10;tBBPS03V3fHcuXNlx/bt8sknn+hiXZJgcLL4s0AfOnhIFzMaakFezrvFlOqtLK6+8KpIC8/Ms7ow&#10;wXi+Z8+clQ3uuU4aP0F6uV1DPUdc2Fn4zMh5TiADZBeRxcNvMZOuXL5cLl+69CyzqKQnMfDIIlk8&#10;U93zbtqwkWZE5XfNKB0+Z5zVrlFT6tasJfXq1Hki7n7r1qotddzf6taqpe+EZosN3L/8DeFvBPzy&#10;TnCnYTI2MTEJTmGuV69StdAMS0oujE1P1zYqBOejk0p6k2akxc9Q0qSF3ffevXtlqiME4wiwdMKx&#10;TrtBRVxLSSyinBdh4YSw4BrasGGDDE1M1AJDH06dptkt33zzjRZi84VXRVqAd/0Ix6K30JPU6H3a&#10;7Kuzu4d6bhH3Gi8WZnXB/fLWH/6g5KVNSIgMT0qSDevXa5+gLx8/yS7iuZeke867fmopLJw/X7ur&#10;kvqcX0Auwn1AakiDptAe389X3L08/zfuz8TEJHiF2D4tB+H0yBtYbvNxl6vOc7qxYd16Mm3KVLnr&#10;Nk8QFtYE9FJJwkiLn6GkSQtVDIng3ueIC8fATYTVhUUU8x3Wj+IGi7LQ4/ogH//y5cuy3h2bsvlk&#10;sqSOHq3n4r68xdoXXiVpeR50jP76q6/VGrV/7z6ZN3eu9tqgoBKLdVHcRXzO92pWq6ZupqFDhsis&#10;GTNk186dGqTM+2JSl/S1QxrXr10n/RP6atXfSu9X8Hl9KBmaR1Z47z1p3bKVuoDGjBptYmJi8kz6&#10;OT2C/sK6ShwcHeN96ZN33y4ntarXkJioKFmamytffP55iW/MPBhp8TOUNGn5h2O6EBdIAYv/4IGD&#10;pGdcnMa37Nm9WwkN1WKLAxZeBijFxXa6RRlSNCwpSSZOmKD1SzAVYtXhe/kt0v5EWjie527BUgXJ&#10;wKU2xl0DRAATaGH1XBDPkuGRl1bNmmsBOCw4BM2Whr+XgNx9e/ZKdmaWdO3UWS0kvq6N66Lrc51a&#10;tTTuaOXyFXLixAkTExOTZ7Jq5SoZMTxFwp4Sl7fyCcDFItMmpLUMGTRIsydZC9BtJW1lAUZa/Awl&#10;TVq8BRgrCN05sYCMGjFSFzX+m50/9UpYoPOzghQGyAWpbRw/d/FiGZGSIulpaUpY6IpMtlJ+biEP&#10;/kRaPHBcrhsiQCfldWvXqr+2d894naB1atRUQpJ38voSyAskR6+9Q0cZnz1O1qxarSnKxKBgHXnZ&#10;Z/88GCPnz52XlStWSvLQJGncoODQ6B8AAGPRSURBVGG+14RbqFqVKjKw/wC1hl27dk3uODJFPyUy&#10;vUxMTF5PYZ1Bb+/csUP1efOmzbRDfn7B/cTEUS6CtYsSCGxSSwtGWvwMpUFaEBZFfstCCZkgLZec&#10;e4gLlhAsChCblwFZQXv37JGZM2bIBHftGW5hJ2PI64bMAIY4FQR/JC08T9xeuM++/eYbtY6cPHFS&#10;m4Clu+eHJYPsIlwteSfw88LnHnGpXb2GtGkVIn1795GciZNk44YNcuXyFb3XkgDXCuk4c/qM1ozh&#10;XL6uCXnDzXd81T1iY2XZ0qVaGA8Cy/tirJmYmLyegqWEQFoszLiIqMuCrshP19HHbVjiUFm2ZKmW&#10;enjZtaQoMNLiZyhp0uKBhZ2BxPcw+2FpIUYD099GRwquXr2q8S0eySnMrMfnZB8Rp0IcC3EfuBlS&#10;x4yRaY58bNu6VYOxCiMrHvyRtPgC93zj+g3ZtGGjZGWM1fRmgljfffvtImUXeUJvDqwuGWnpmt1F&#10;kC7dmrHsQJSK8g58gd/y3MgaW71ypbu+aN0d/f53+ROrqPYR+ux55sTxQFq4DhMTk9dPWCfYxD5w&#10;G5i1q1drBmhhGzM64E90Opmqubc/ua3HKS0YafEzlBZp8UgGA5KFid+x6BJ/kjU2UxYtXKSpvriJ&#10;+F5hAVRYbgi2oh4LgbfZWVlau4P0Zjp7ki3ENRU1ECtQSAuk4EtH7iB5nH/W9BmSlJgoEWHhWlxO&#10;CUIhExwp/867+l47REXLiOThMt+RPqxVxM945OVl7ovnjbUF4rFrxw4Z0K+fWnfKv5N/8HDTRo2k&#10;f99+2ocJfzTp6b6qYpqYmAS/YHFFF2GR1z5DzZrnq9M8CzLEhgJ0EBaSGP7+t5KtAZYXRlr8DKVJ&#10;WlgEWXRJPaa5Hzt8mlp179LVLW79ZeOGjRpfwXkgJfzm+WN6x4HcULZ95YoVMt6NGdKb+/XtK0ty&#10;c+X69esaB8LiWdA15UWgkBbuh2cD+fv8s890gadgHzVpCLQlPZCaLoURFyZ7uTfe1DTqZo0aS6fo&#10;GEcex8re3bu1dxHPD/LIvRX1GQK+C3HhGoknynCklLRrAoHz80djKaIWQ3yPHvouV61cqc/cxMTk&#10;9RPWFdz8bELbhoZKtcqVfeoNdBy6Dp1HtiLd870M0dLUyUZa/AylRVo88B0Ih2clIXCWUu4M0Fn0&#10;Jjp8WC0x7PZZ/J4ffLh7IBMs2ARpZbqFlmqJxLFMczv1AwcOqC+Ugcvvi7rgBgppyQueI/d6/do1&#10;Wbt6jWYXEecCeaELdFFToyu8+54G9Xbp2FHnHyTo3JknbQ+wmLxMSjrPnoJ2c2fP1sDh5o2bKEny&#10;dQ3vvvW2Fo5q3rSpxHXrri7DJ+nqJiYmr5sw/wmqbdGsmbqx0Q++9AabILKGiGehbxuW+hfZYL0s&#10;jLT4GUqbtAAvm4i4B8jBh9M+1MaGEA+q5pK2THAtxAPLTN7j8jssAZTlJ9iWIM4B/ftrDxr+xvXx&#10;nRchLCAQSQvPkZ0FlitaABw+dEhJ4PCkYRLerp1G1OfXoyOvMPlpcEgVWnoXkc0D2Th25Kjcu3NX&#10;fvj+xSPxeSZkAm3ZtFndf8St5NdEkfO/89ZbUun997UCbvMmTaRVc6rcmpiYvG6CniW9GSswhIWA&#10;fV96g8KVWIlp0ErrEzZvRlpeQ5QFaeF7LGrs4LUGyY4d2kyRwnP0nZnnzsUunQhyFmWICws034dc&#10;nD195klMjFsMu3TqLCnJw2Xfvn1KMrx4mBcdvIFIWrhHhPvF6oJLh1gXfMFYnzpERysRweJSlLou&#10;Hnmh+m6/PgmyYO48+Wjffu1dRE0X3gXvgfst7PnyHUjp6VOnZeniXOnTM167URdk+cHcy+cEFJuY&#10;mLy+gh4ozMX9/rvvSUxEpIxNz9BQg3t3772w3n8ZGGnxM5QFafEAGeF3N2/elF27dsmkSZOkZ48e&#10;WhRukxuEpK5hcdEF2S2a/Pepk6ckd9FiNSNmZoyVCeMnqGuE6rovS1hAIJIWD9wvzxJSRwYWDSmZ&#10;xFNyJmusUFhoGzWz5p3w+QkKAx8xLia6pWY6hbB0yRJ9Hp84gom7qCiuNz6jaCDj5eCBgzJ6xEhN&#10;z2Z3xDl8ndvExMSkqEJzRDZX1ITCyo7uKwsYafEzlCVp4fueBQWLC0G0xLaMHjVKchyBoZgalgN2&#10;+YwJospXr1wlQwcPkbA2bTWe5aP9H8m9e/fUylAUC0B+CHTSgnAdPE9IHimDvJcluUskOWmYRuDn&#10;nfAFCbsc4k8gL9xzQq9e+j5oxQBxJLOI8xT0rPkMYvO3v/7N7YDuumc7TVq3aPmsf5Kv85qYmJgU&#10;VdiIsXnFmov+xhJcFjDS4mcoS9KSFyyyBx1RIBiX1FcWSYrFrVqxQrZu3iLr1qyVJYsXq/WAPjyD&#10;BgxUkkMsh5cpVBwEMmnxBaxOvEuvGB2pg9ERERq0xg4FX3F+2Tx5pXKFCo7wNNPWC5PdOyGd/OLF&#10;i3rfjIeipKcTLLxi2TLpGRsnTZ52f/Z1LhMTE5PChDg9dFi70DYyY/p0jZ1DV2MBLgsYafEzvCrS&#10;QvAslVRxbVCrY7YjLxlpaTJ44EDp4RY70mGpoAthmZyTo71qvPOycOIeKQ6CjbT88x//1OuHMHAP&#10;e3btlgXz52tNFywe1StXyTcqP6+gIGh6SPdUOmYnJyXJAjcWSGcmu4gsr8KePYHCtGugkB3F8MgU&#10;8nUuExMTk4KEOBdi4yiRMLBff1m7Zo12li/K5qmkYKTFz1BU0kItDWqkrFm9Wo4cOaKEA+KBie5l&#10;hAUWiwkk5JhbEBcuXCjJw4ZJuzZtNK2NgFK6ATNQFy5YoH2G6JvjBesWR3Cn3L93Xy0JDerUDQrS&#10;khfcH0Gx165eU+sUz7BtSGupXaPGM4tLUeq6sLtp2rCR1kRYvHCRvgMq6Xpp0fmRF4gNJtzcxbky&#10;ZOAgJUCFnY/PuS6uDyVFd+vn29abmJgEttD8Fb2C9fUdMoUKiXdDD5EVSdYo+ho9zbpUljDS4mco&#10;KmmBsNAvBqGuB8Tl7Llzcs4J/76onDlzRk6dPq0l/jdv2SLzHTHJyszSdOYunTtLj7g4/e90t1uf&#10;P3++bN26VT46cEBOnjrl83hFlYuXLmkzQohS6ujRmmoXbKQFsyn38iSb55SsW71Gr793fLzuWIrS&#10;NRoSQWYRheDoNN2rR08tRofFCxcUDSshJ77whBTekyOHj6iioeQ2FhwUkK9zIZyLWjOhrUJk0IAB&#10;MmVSjsxwysLExCR4hDAArOex3bpJSIuWUsXpF1/6wBNIDTqLxrHbtm1T3V2aJft9wUiLn6GopGXF&#10;8uVaEwSrx6JFi2SpIy8rHJFZDplxn72ULFsmS9xxFrrjzZ07V6ZPny4TJk6UzKws+cAtspMnT5bp&#10;M2bIHPcZ38nNzZWl7jc+j1VEWbtundaFIeiXOBl29MFGWrg+rCCYUAlqJpiWZpL4gxN691YlQFp0&#10;YdYPBKVBkG6F996Txm5cDOo/QBYtWKg1XR5+8YWeCzdhXuHcPEvq6+BS7OqeX0Fp2J5Vh3otHH/d&#10;mjXah4S4JxMTk+CRB/fvy/59+2T6tA+lb58E1Sm+dIInWF9jIqM0o5FSDFRQL25owIvCSIufoaik&#10;BQsLxd2mTpkiU6dOVYIxc9YsmTFzphKLkpBpbnBMcceelJMjk915+H9f3yuOzHX3BeGaM2eO9Izr&#10;oSWjg420eOA6sbpg+UBZ0FyM98pOB0XQqF59dcUUxV2EYA1pE9JaXT4z3fvfvWuXtlB49PCh7n5Q&#10;JpzTOy9uJEptDx+WrM8Sq42v8/A3SJHnqsMFSQVlXHlkLRkMhsCFt5FhEwVx2bN7j8YvEu9Wu0bN&#10;/9AHCBsZNjq4htjIECPHb9FlZRXL4sFIi5+hqKQFK8sURyTS09Nl7NixMn7CBCUXOZMnl5hwvImT&#10;Jqm1BSnp4yOQIsjLODfuOnXoqDv8YCUtKAuulYWfe+Pa6d/k1XSh5kELd49FjXPB6sLzatygoXTr&#10;3EXda7mLFmmANMG3XpwL50WxQGTolTR75izpE99LS/vn58PGCkOTRTIE2IVRbJCg4r84JWUwGAIX&#10;6AM2MbiTiUvEUks3eGJc8ksOQB9Q5ykmKkrXJ9zcP7v1qLDSC6UBIy1+hqKSlkULF8q47GxJTEyU&#10;pKQkGZOaKmMzM9WVE0iS5e4BSUlJkfZh4ZopE6ykxQOT3CMw7FRQHLxTqhIn9OotTRwJIbvIKwRX&#10;GHnh82ru+1hdiD+B0EIyPv/sc7WueNldKBgCd3ds3y7jx32gHaaJbSno+FTnHTk8RbZt2aodYH/4&#10;/vund2EwGAIR6B7WEtzFx48f14q29D7zNf89QRe1Cw3VSt+UwaCuV1m7hTwYafEzFJW0EMuSOmaM&#10;xLsFvlevXjJ4yBAZlpwsycOHB6T0799fWoeESMXy7wc9ackLdjz4hW/fvq2BsrR3J8CWxoW4Z7jf&#10;ohSDw1VUq3oNCW3VSlPTISXU1iGFHQsJYwfSgkn3yuUrmqo4oG8/Kf/OuwUSIyw5kJuM1DQlLriJ&#10;DAZD4ALS8uXjx5r8sMCtK2yUcBX7mv+eoCcoe7Fw/gItt4AeKGu3kAcjLX6GopKWeXPnakpyTHSM&#10;xMTESI8ePaVPQoIk9O0bkNI9NlaaOVJCP4vXibR47iIsLpCXu3fuaJDu1MmTpaMjCxAXukAXZm3B&#10;5wy5ea/cO27sVNPUaGJdVq9c6UjKZa2DwzmIS+E8ZItRt4XMJVId88skIui3tiNDVED+cMpUuXXz&#10;liqrQH7mBsPrCM/Ci4WEgnD0SBsyaJC0cZtFNj2+5r8nkBoKZNIUlvpQrEWvSgcYafEzvAhpSRo6&#10;VCLaR0hERIR0695d4nv1kl69ewekdOnaVZo0bvzakRYPKBPcONwzNXf27tkjU3Mma9BbZFi4BsBh&#10;hSooTRmB3Hj1VUhXJsiXDtwE/d68cVPJCy4e3ERY67q4Z0lMDEF2vo6HFQaFBnEZNjTJXdde98w/&#10;kz//8GcjLgZDAAEdQ1wb9bgobfFBdrZ2lade1Fv5dKPX6rcVK2o69PRp07THHLEw6CqO9ypgpMXP&#10;YKTl9SQtAAsGyoD3zBwkLmXTho0yLitLundxz6dhIyn35lv/plR8CcRFg3SdsmnmnilButmZWeou&#10;OnvmrFawfPzosaY6Tp6UIz27xyopye9YkCCKT3Xt1FlmTp/h3s0heXD/wSvzaRsMhhcH+uW7b7/V&#10;XmQE/1PkEpcyG5zf/863JfdJ9dvm6nJes2qVxsHg0uZYRloMCiMtry9pQQl4wj0hNKPctnWrxqhQ&#10;hZJqtjwDdkB5lUt+AumgSSIp1TQ3o07L5cuXdRydcwRmx7btkj4mVVo0bVZgbMsbjri0dN/B5bRw&#10;wUI5f+687tpepfIyGAyFw9MpkA2KTB4+fFitJlFu7cjPwuIJGUP0LPOq31JnCr30Kue8kRY/g5GW&#10;15e0+AJtEm5cv6FWEVIT0xzxwHJSv07dQqvaevL2G2/q91FSSUMSZdaMGbJpwwbZt3efnDp5Sq0n&#10;xM8QdEuWgC/i8nt3nprVqmtsy8iUEbLLPXvSqomTMYuLweC/YGNB3NxPTp8eO3r0SVFLt1Y0btBA&#10;NyrPz3XEi5Gjevb4ceO0w/wnH3+sMXGvGkZa/AxGWoy05AWE4Le//Cbfux0OHbV59wTpQkAI0C1K&#10;ZtH/OBKiQbpvl9PAXqwuI4cP1wyiTz75RIvH9e+ToFYcrDL5ESEIDeZiajXkLlqsY5GUanZwBoPB&#10;P4EOwSpKXzkC8+Nj49SCgss3P8uqFxcX27WbbFi3XjMQ0cf+sEEx0uJnKCpp4f9Hjhgh3dyg6tat&#10;m/Tt208GDR6sqc+BKBCXli1aSAVHSoy0/CfYKX3z9dca9b9n927JmThReveM18aLtD4gkBZFk1fx&#10;+BIUFQor2hFddRetXCXTpkyVJPcO+Bt1WfI7DmQG606zRo0lbcwY9/x3aAXe/HoeGQyGVw/WDdpw&#10;UHQSvdmmVUiBGx6sL+iU0Jat1HVMKQYsLGxO/EHXGmnxMxSVtJD5MTYjQ+ubDBw4UFIcgaHAXGpa&#10;WkBK4tCh0q5t29euTktRgYmXarRYNgiCPXv6jGxYv17SU9Okfbt2UrdWLXmvXMFpiwiEBIKDqwel&#10;RIAv9VrIMho8YKD2QcovXoZdGcSFwnedO3aUjPR02b5tm/Y8MhgM/onHjx9rbRXcy8x1OvZDWPKz&#10;slDmgMzDxEGDZWnuEi0q+aqDb/PCSIufoaikhYq42Xkq4qY6wpK3wmygyf9VxDXSUhBQGphoiSVh&#10;rGzcsEEJR4eoKHXvUASqKEG6KCy+h8voiYIapNUuqXoJqSkoVgazcf06T6w1Mz6cLtevXdPrwRrk&#10;D0rNYHjdwTyEZPztr3/VwpWrVqyUpMShEta2nVpZfM1rdAKbGmLb4uN6yLw5czVol7os/qRjjbT4&#10;GYpKWhbMny9jxoyRnm6B14q4gwcHSUVccw8VhGfKyO18iOTn+eCmmT1zpjZCpHptA0de3ixCrAvE&#10;BCVFzxGICzUbmjVuoqZhFFt+biL+TuwLJCk5aZhs2bxZi84RmGtBuQbDqwc6gvWC5qkUhKPkAUG1&#10;lOvPb1ODhYUiciHNW0hmeoauM2QvYt31p82IkRY/Q1FJC4G4w9yCETQVcbu/nhVxXwYoEO4Zy8Yv&#10;P/+sGUbUdFm/br0qp45uPPCcCkphzitekC5BthSxoz29VsotoCYMx8bi0smNv8kTJ8meXbvlzu07&#10;2qSR6/MnJWcwvE5g7rGpIXgW/bly2XK1nDDHC3ILsVEhXi2ue3dZumSJrjW/Pe0W708w0uJneBHS&#10;YtlDrydpeR4oqa++/EouXbwkWzdv0WeD4qGKZXVHPthB5ZfamFc8CwqF5thx8Ttf3/MESw0F73o5&#10;wkwwLwF7tAjw6rcYDIayBboQkoHuZCNDQbjRI0Zq/JqvOZxXmPexTg/DAaigTeVcf4SRFj+DkRYj&#10;LS8Dr3cRHaOPHDkiq5yyIjsovG07taBAQAqzuuSNc8HKwq4MYlLQ73hf9WrX0Z3ciuXL5fYnn6jb&#10;isq+BoOhbMFmgblHY1SC5KnLRBPVapUq+5y/eYUCk2PT02X3rl1aXsEfarL4gpEWP4ORFiMtLwPP&#10;ZeQpLApBbVy/QVKGJUu70DZP6jK8+yRIt6AgW08gKlhniuJi4ng0aKQ79X63Q6P2C++O6zFXkcFQ&#10;NmCeYeVk/lP1evq0D9XC4rmFfM1d5jYbGiysFK1cumSpzl82QLif/RFGWvwMRlqMtBQH7LTYIREU&#10;i3mYHiNTJk+W/gl9pbXbcZHqXJjbxxMUWmGExRPSoFF6VM8kMJiMA/zqmKqNtBgMpQ/m2ddffSUn&#10;jh+XxQsXyqD+/TVGDbdvfvMYMkO17I7RMTIuK1vXForQoUP81cVrpMXPYKTFSEtxgOLieWjZbjde&#10;qNEAeaGuT7+EBI1zqfR+hX9TXCUhECGar0W0C5Npk6fItavXVPG9ym6wBsPrBEgG3dtzFy2SPvHx&#10;0qpZ83y7t3vC51Hh7SVrbKZs3rhJLbToDs9K6o8w0uJn8Ela6tWXubPnyJ9/+EEbXtGHBtIyLClJ&#10;YqKjpUOHjtK7T5+Aq4jL9Q4cNEj69uv3LHuICHaPtJBqd+HCBVm5YoUku3tt0rChkZYiAoWDlYNs&#10;HojL0SNHtLZP6ujRGmyH/5oMIXZhhcWtFEU4BmZoKurSPZbGjBfduyODwUiLwVB6YJ4TR3bv7j3N&#10;4hszapS0btlSrZ/5uYWY9xAWyhYkOj28bu1auXTxonz5+Eu/n69GWvwMvkhLQ0daZs+apW3F7965&#10;I/uekpaU4cOlc6fOEhcXJ0MSE2WUW5BGjxkTMJVxuc4RI0dqgTzqzbRo1uzfSAvR65SepibNwP4D&#10;3HN40uHYSEvhQPF4FheCdB8+fCg3rl+XvXv2aNEoYl2wilDWv6A0yKIKv0cR8v7ahLSWoYOH6I4P&#10;K4+RFoOh9IA18/Ynt9UtO2niROni9COBt+XefDPf+DXKFVCzhQKRH06dqoTl66++Vl1hpMXwQviT&#10;e/bUvcAX+YenQZA0uaPyKDtmskMoFrRs6VIZ7Rh11y5dJDY2VovLQVrS0tNlbGamVsf1V+H6kPSM&#10;DCUtAwcOkrjYOGkb2kYJ2tAhiXL8+HHdPRw5fFg+nDbNEZl4zVKBtBA7MSVnsuzbs9fvqjX6MzAf&#10;f/HFF3Lm9GmhdsPwpGHSEotL1Wryntt1FbWuS0GCkqxWubK0dAR0mCOjO7Zt0/eIq8jf6j0YDIEM&#10;L1Pou2+f6MnJTif2jOuhlvmCShwwxyE1tP+gCjbud+JYAmVzYaTFz/D5Z5/LnNmztUIpsQdke7BY&#10;5zgig7/y/v37cvPGDXURZbmFP7J9hLQJDZWoyEjp2rWrFpijj0+SG4z+WiGXa8M9RBVcCBdxOZSX&#10;juseqxaA5cuWyccff6yLHS3Rsx3R6dq5s8ZMUGK6X58E7YnB4kukvJGWooHnRHNDiPG5M2fVJIzF&#10;KqFXb+05xLNlB1Yc4sJvcRNVr1JFd3Hjx32gDR4Zs7TGNxgMJQM2AqwXF89f0L5Cfdw8btqosa4b&#10;+c1hNhWsKWxWRrsN4/p169QaSvybkRbDS4EYAKoRdunUWckKfkfMeOPcwk0aGwsOCzVNrDAFtnbk&#10;pq77Xp1ataRxo0bSvn176dGjh8a4IJAYfxMCbwkcJh4npFUrqVWzplpYKAlPLx2Cb+loTAbMju3b&#10;tZs15IxCadUqV9Fy9fyd0vE/fP+9uR+KCJ4TuzP6keB6u+dI8GlH/HA10jGaSrgQl6IUoitIUJgc&#10;o3aNGko2MzMyZNfOnfLl48d6DZ4YDIYXhzd/CBe45AgHpQ1GDk/RQo9vv5G/SwjBFYxLGBfSyuXL&#10;dRNM7GAgWUGNtPgZcAERxNinVy9p1qSJ9uKpVb26Fgo7evSoWlsYrPfv3ZdZs2ZJVGSUNGrYUOrU&#10;ri1169SR5s2aSbt27SQ6Jka6desmPXr2lJ7x8f+RrfMqhNgbsoRoO9C2TVtp1rSpNHQLZZ1atZV8&#10;TZwwQc6eOaPEjV0EJkusATwLAkfpAE3wKM8CFxmZVIG0Q/AnEOsCcfn888/VtLxg3nyn+IZLV0eW&#10;qblStVLlfHuUFFVQjk0dke7SqZPMmjlTLpw/rymZv7p3a9Yxg+HFga6jtD4WU6yX651+TBuTqj3H&#10;2HD4moeeQGYIlI+JjJRxmVkanA9h8bKFAgVGWvwMX335pWxYv16GDBokoSEhOhBZqJOHJsmOHTvk&#10;2rVr2muGxWbZsmXaLLFd27bSxBGc+nXrKnFBWrZsKdHR0WrRiOvRwy/SoXFfYQlq5a6tQb36Ur1q&#10;Nalds6aSl+6OYOUuzlXmD2FhIkFechcvlojw9uoaeuett7W5X3Zmppx5Sm4CIXDMH4GSwh/+888/&#10;y8MvvlAFSCo9sVPUdFH3pCOJvpRfUcULzK3j3jGVOdevXSdXLl9RS6HFtxgMLw7mLZuNB05P4jpP&#10;d4SldctWukYUtsng8w5uk0uiB5ZqqleTXcgxA0mHGmnxM1CJkPLL6hJxizXuEIKmBvbvL6tWrpSz&#10;Z8/qd7DIrFu3ToYMGSIdO3bUuJYmbldbu1YtqVK5stSvV09C3d+wamDdwGWExaUsyQvn4pyQptjY&#10;OCVRrVq10murUb26VHKEDNcWVpdBjqRt2rRJXUJMItwYBNnOmjHT3VdjKf80y4UA5UkTJih5Y/Ja&#10;HZCXB8/NE545LjmsLrNnzpJBAwZqt1daAEAWCzI5Fya4iqLaR2jxqi0bN2kNF3aKvDves8FgKBjM&#10;T4g+FW/pvIyVhHnauUPHQotFeunNuGtHDB+urlqv3UYgzj8jLX4GrCj79+3XAMZuXbpoEysWDnq7&#10;EKBLKjDpqx5pIegWa0qHDh0kLCxM3UP169aTenXqKjlo2rSp+3u4dHbH6h4bq+4iXwSjpMUjLLFx&#10;cdKxUycJdwSsldsRNGzQQIlVg/r1pUnjJkqsuPahSUmyZetWJS1UUsUC8PGtjx1BmegmW02dmOXe&#10;fEvjLmZOn64TlwnMRDbSUjL49Zdf9bkeP3ZcVi5foQWnGHcU9SO4FuX3skG6mKXZ5Y0ZNVotLlev&#10;XNVxzDs0GAwFA50I0WfOkIQxZVKOloZo0qBhoTFoVSpWkrDQNjLYbURIYPBiBv8SoFZqIy1+BqwH&#10;x44eVQtDQu8+T9J8y78vnTt2lA/ylEj3SAuZOBAEyMgz90uLlkpcqlauoi6Y5s2bS1R0tH6O1cMX&#10;yShpeXZN3bopYWnW1JGpevWlds1a6hJq0aLFv13TcLcD2LZtm5I2FjLIy4XzFyQjLV1dZFhZyGxp&#10;2ay5xl8wedklsAMxlAx4npiLGYO3bt2Sjxx5nu3GIV2ccctBXF42SBfTNNaytiGt9Z1u27xFiQs+&#10;dc7rWXwMBsP/wbOC4jKnXAHJGBQa7ew2ejWrVdM5WdBGgs+0jMTgIbJ86TI5dfKUxgrifvfmXaDB&#10;SIufATbNYk0wLjn0jR2TJqCxbetQGTxwkKxcsVIrHzLwduzcKVnZ2ZpGjMWl/4ABSha6dnVEISxM&#10;mjYmzqWeNG7UWFo44kJqMSnGZPDw3dKqoEuV2z59+mggcKTbXYe6a+cakJaOUBGDg+UnwV3HgIED&#10;9Tqo2bJ7zx4lLZTv/+ODB3LwwAFJSR6utVkgLPhtO0RFqRWA+zeUDrBe8R7u3L7t3sFBmTNrtsZY&#10;RUdESgM3nngfLxukyzskcyErY6ysX7derl+7pu/SYpMMhn8H88GzOpN0cPjwYVm8aJFbBwYqEcH6&#10;nN8mArKCS4gaTATXswk+c/qMFi8lED6QYaTFzwCjxt+4f+9ejQHAsvDOm2/pII1xC/as6TPk5o2b&#10;6o88euyYLFiwQCbl5GixNqrhUqwtOTlZ+lEa35GGsHZh0qhBA6laubI0b9pUi9FBFKjhQkVaitGV&#10;lHhVbilyN9CdA7cPLiGsLE2bNFGy0r17d41fwULE97zqvZOnTJGDhw7pfWG69HoODeo/QEkbLjIy&#10;iAgS3bJ5sy6qhtIBOzssLlhBPvv0M63jQNDfNPeOYt2YalS//ksH6TKWCaqm83Ta6DHa0JHg3K++&#10;/Cog/esGQ2mB+UB2JFblkydPatfm7p27SDO3+SPAnTiz/KwsuHIJgI8IC5dUty54JQfYEGJlCWQY&#10;afEzsFiQzUFZZdgxFhZcI1UrVtLGibT/p6cL7hMG8rLly2X6jBkyfsKEZ9VmM9x3RowYoeQAkuI1&#10;IoT4REdGqRWEGBIIQ4bb8Ra7gq77vXdeiFNKSopaUdq7CdO4YSNHWJpKi+YtJCamg5IZCA6Wlbzn&#10;/XD6dDly5Ii6JjCDHneEbOH8BRpTwY4B9wSkLd1dMwso3zOUDtjheeIF/0ESiaci86CHI540Y4O4&#10;QEJeJkgXs3aMG4sfZI9zJHSL3Lh+41lwrrn8DK8zvHmH9fHTTz+Vc2fPaqYoRSBxlWPlzG/OQWL4&#10;vErFis8q3i5fulSuXr2q88qb14EMIy1+BlgwypsiciscISGDiAGKewRrw7ChSXLk8BF58OCBbN++&#10;Xa0sWCpSHEnxKs5iRcFNg7UFd1CYG7yQB4rPkV5MplGnjp2kl5sEAwYMVNeS99uXEawmHAOSFB8f&#10;r9lMnBOXFIQppFXIk07UbpdOc0S+j+Q9Rva4cdpTCTJGOh+xO4zFTjExeu8QLiYtKbmU+GfHYCh9&#10;oOgYkyhQitFBXJYsztXGi/SAoqYLLQB8KdCChJ2gtsSPitY6ExvWrdesosePHilxNxheR0AomG9Y&#10;WChrcejQIZnpNqUDnN6kajXJCLiE8rOwoCvr1qqtFhYaJ1Ln6vz580HVuNRIi5+BRQKz4C8//yzb&#10;tm51i3YHHYwMUshL7/hesmP7Drly5YosWbJEF/+Evn1VvIqzXjVcAmK9AN3oqCjNLKKqbOWKlbSo&#10;W2hoG7V+8B3vty8jnIdg2i6dO0vrkBCtzlu9WjWpW7u2uoXIaiLDySty56taL26t7Y6okM5NCX86&#10;O9PFGksTvlvKTo9IHi6rV65SdwV+XkPpw9uZMS6xgjAuqaVDWj4Zbpir6Sb7vPIsiqB8UbLUhMnM&#10;GCs73bi+ef2GO0dg+9wNhpcFcw3STqIFOp5msaQ1M8cKC7pFKOEf1qaNJCUmyprVq3UDiKU00F1C&#10;eWGkxU/BAkGxL9r85x2wBDEuyc1VqwQuFYJevYwdX+KlHUNciCnxUo4J0MUK0rp1a4l0hKZLly76&#10;PV/H8CVedhC/6eTISnh4uMavNHI7byrc1qtbV0lSW3dOYlsKy1oanpKiKc/sCM6fO6e9lqjyyG6c&#10;XXlYm7b6twMHDsjdO3ctVfYVAksgmT8UqPpw6jStIRTerp1mujFOeV++FGp+UrNqNW2CSXDu2jVr&#10;5OLFi7rLZLdpMLwOgKx4Qbe4hKiXRNBt4qDBmoxRkEsIYc7hRmdzRyNUXEJUFw9GN7qRFj8FA/jU&#10;yZMyNiND2oaGail/SEt4uzAtd7/UDUpcKv3cguGLBHgCaenpyAWkAbdNeyUXLZ+U/nfkgiBd3DhY&#10;QyAfvo7hSyAtEBYK10FYcD0RqU6xOIrBhYQ8cQlxTOrDcA2+juMJpGXz5s2azo0LgsnKPeN64L47&#10;RceoW+LmzZu6C+H5GF4NINTEuOCipHcRgdFTcnIktms3rSsEcXmROBcNzq1WXa1qKNyljpQT0/SF&#10;Iy4Gw+sASAsknU0bcwo3OLFjzRs3kQrvldf5lJ+Vhb+TrECPurhu3bWK+PXr17XyNHM12GCkxU+B&#10;Oe/K5cvazC7BLeotmjZVNt28SRMZMniwfODe0+jRo2VIYqJmA0FeiBfJT3AfQQ6ojAt5CW3dWgu8&#10;IVhfWrZooRYXrCd8D5eNr+MgHAv3DoQlIiJSWwZAgChi1NDtCujYTMwM5+K7vo7xvOAeWrd+vbqG&#10;Nm3YqCZRJiouBAKRqRWybes2TY9lN2KZJq8euIywurAzhGjiLsI6RgFAzNRvud3hi9R1wQ1IHZfk&#10;pCTdZdLFmxgn3jeBiQZDsAE9BrFgjLMJoD0JsYzofK80f35kBWF+MW8a1KmrXdWz3CaXOl8UjgtW&#10;GGnxU/zDkZY7t+/I1s1bNGOIMugs3jXdjpSsnH4JfZW0TJw4Uca5d0YmEAs/Abm+BEsGqdBkDalL&#10;qVcvdQlRz4Xg3OZNm6m1pXPnLkpIEh0Z8nUcL/CWoFvIDy4mrbzryBT1WDo6stGndx+tvcK5OK+v&#10;4+QVrptMIiLkD7rFj7ogEe5aIGnUBKlbq5aMcNd+5NAhndxMciMtrx6QFtx0mKDv3LmjlTrnz52n&#10;tXUi27eXerVra9aaL2XrS3jfnsUFt+iHU6dq7Ay7xp/NVWQIQjB/yBa9fvWaWixpUULCAW4e3D0F&#10;Bd3yGRYWWpvEx8bJ1MmTZfeuXXLXzcVgtkQbafFTsCg//OKhnD55SpYsWqypv0SOY3qHuLRr01ZG&#10;jRylwbiLc3NlmnuRpD0jH4wfn69AcChIR3ryqFGjpLdj9ByLKrrhlPvv1FnTkslI8vV7XFIQjJGO&#10;aGBNocS+Rqu7Rapv374yzBEa0pmzs8epNcjXMZ6XCY54Uadl3rx5ustIT03T+jTsIJiQ4W3bSs6E&#10;iRrrwHNBMKcaXi14B7wLrILUF8Ic/fGtW5oJNNKR1Si384O4QEaK6i7iuwTnUsQOaxsZEFRKfvTw&#10;oZ7He/f2/g2BCsYuhB/rIXWpLl+6rJvTsWnpWr9I+30VoZSAZgo5/RhByIDToyeOH9eaLriZOH6w&#10;wkiLnwLlzA6WNNO9u/dovj21WmDfsGuCs5IShyppoZz/mrVrZfWaNSqrVq8uVFasXCm57rdT3W52&#10;zOjRkuyOP3rUaMlwhGPatA+VCPn63cpVq7Q2zIKFC7U+C60G+vftJ2PTM2TGzJmy0P19+YoVPn+b&#10;n6x2wjFJ7ct0ZKqn2zWw2HGvuAuIb1mxbJkW3TP4HzzyggWMMQu5JKCWthN9evXSVE0sKJBQX8rX&#10;l5R/5x1HXOpqLRf6TxGUfvuT2896UxlxNQQqPLcqhRupwUIjXFpbeFlCvuZDXsHizuaV+UEMS/bY&#10;TNm6ZYtWzSXzCHIfzHPDSIufgkHHAPzRDe5rV64qk274tIQ6DJuqov0SErSJ4hY3YI8cPSrnzp+X&#10;8xcu6L+Fydlz5+T0mTNy+MgR2b1rt2zftl127dole/bs0XLRp06d9vk75IybaCdPnZJ9+/drRVPO&#10;v9/99zHH9E+dPq2dqH39Lj/h+x+5RWnK5MnSvWtXadKwkVZ8pHhZj+6x2v+Gkv5klBj8E4xXdo4Q&#10;F9LWIdt0os1dtEhGpoyQmIhIjXkqKKAwr7zhdBGklcDeWDcmqA5NrNON69e1Rg/EJZh3k4bgBaSC&#10;OlxkCC1asFCShiRKSIuWmkVXlPYYzAs2AZ1jOqgLlePgnoUIMQeZF0ZaDK8EDDwGIBVi6c4JE29U&#10;r75aWgh07OgGLdlFxIJQhIhmWuT2X3Zy6dIl3fEqMXAEhQCv5wXScuLECTnqCA/VaFlkEIq3nXKk&#10;xNdvPPF+q79zv+e/+Zuv73J+ruOCux6ui+vTa3TXe9H9P5/v2b1bUkePkWaNGytZYSeB6ZNYll07&#10;dj5rXWDwXzBevTGLJYSgafqd0EdrzMhR0r5tO1W2jN+ikhfcRZB16hVlpmdojAvB2riiiAfgPEZe&#10;DP4M5gTjFKINsSCG5dixYxr/lTh4iIS2bKXWk4LmA5/xHSyQVEanYzrVwbHCs0mg+COEJZjJigcj&#10;LQEAFmssDaSV4johjqTcm28+60eEm2i6e5HLly+XFStW6L+LFy+WuXPn6t8nu9+Nd+/1eSHmJDs7&#10;W7IzM/9dsrJk3LhxPn/jyb/9lu+7//b1vfHjx+v5p02bJrNnz1b3ESRrOfL0OmfPmiVZ7jhdOnXS&#10;iPmK5csLHUwpQ/3hlKnah4i+GUxMQ+CAOBdM4BBVggzZFdJLKqR5C90tQkgKIy58DoklxgXiAvkh&#10;9Z0MCfz3BGZb+rvBXwGJ8CyQ9FRjI0lpB3R53z59pLUjLOg8X2M/r2CB4XstmzWTfn0SVC9SZJRu&#10;7MwzrDevC3k30hIAYLHG/IcZkDgBglSfMW+n/Gmg1SM2VoYmJkrS0KH6LxMCVwvBkFSpbdKokU+h&#10;vkrjhg3/XZ77Tn7y7LfP/T2vNGvSREJatdKMJ0gJFX0HDxqkadtDaTWQ0Fe6du6sGSN1atbSALTK&#10;FSpoanff3r1l3Zo1GsfgmT0NgYN//fNJCwAsItTfwRJIh+4+vXprZeai9i3iOxAcYrpaNGkqvXr0&#10;0Eqh165de7bL9Kw8BoM/gTEJqYZc3717V8vqjxg+XKIjI9X1CRkpSlkA3OXo/fi4OJnjNnnnzp5T&#10;ayPH9eK7Xpfxb6QlAMCg//qrrzSVTZW+W/jr1aqtAxniUrlCRaGDM+nLFI9r7/4NadlSY0MgAtWq&#10;VJEK7733aqR8ee0wjXWoYf360qp5cy0zHda2rVZRbe0ITeMGDTRGx2vARz8bUl7nzpkjp06cCPhW&#10;6q87UKZkNFAUkMJZ8+fNkyGOuJLGT+aZN459Keu8QiAvxIV00MEDBsoCdxyaZ1535IUu0T//ZPV7&#10;DP4BxqFXDuDunbtaLHHl8uUyeuRIHfde9Whf49wTNqZ8p0bVqtIuNFRL889zOhGrO5sAjv+6uITy&#10;wkhLAMCbAPhDsbZMHD9BunTqrL5+mDpS0S34VStVlmqVq6gQ88Ji8K4b9Cj7t/7wh1ckb+j5CR7W&#10;WBy9zkp6rfxbqUIF/TuT0/sObgAWpAvnz2vwrZn/AxvebhOLCBU/ibuinsQkN46J06IwFmPVl+LO&#10;K14hLVJCmzZqLB2iozUOav2atVqIkRIBNlYM/gDGIYSFgnHEnZBI0TMuTvtsYWXEQl6YhYXPiQGj&#10;5EPy0KHajw3rIjExWFheV+uzkZYAwycffyIbN2yU7Mwsdf/Qm0ctFG7B1xgBzO3ECTiBqXuK/r1y&#10;5XSiEMhV3hGD0hd3Hnc+yAjn9+IXECYk//I3PsdSRMl+4haIdyBu4ejhI/LTjz+qL9jcQsEDCDhZ&#10;cZi2Cb6mgmdXR8CxrkFcGCtFCdJl7EBy27UOlfQxqbJx/QY5e/qMPHr4SK06XgFCxs7rthM1vDrg&#10;Dv31l181CP3GjRuaqj9tyhTpGB2j6cyM2cLGNuMfizPfb98uTIYlJmqF6EsXL+rxX3cYaQkwMBlo&#10;4b93z15ZOH++pI4arbn69Kio4hZ/BjuEhYGPyZ0U6Xp16khIy1bSJjRUS+zjlilVcefgPG3btNHz&#10;4hbCsgJB8cgL/13N/a11i5Zaoh+iQhn42TNnys4dO9SkysLzOpo/gxmQCBQvxOKTjz+Wj/bvlwVz&#10;5znFPFTb6UNcsbZ548SXUke88U1cQKT73ZCBg2T6tA81OJFgR3ajXs0KI72GssJ3334nH9/6WCt7&#10;L1ywUNP9aXJLTRV0XlHcoGz2WjRtpgVFSfVfv26d1nMhi9Tcn0ZaAg5eYCOR6NSs2L93n0aSx3Xr&#10;pu4irC6eFUPruWBedGydyrcDBgyQwYMHS+KQIaUqQ5xwHirr9nHnjYyI0DQ94hG8nTQmfnrUJMT3&#10;0sAyFi/cQffu3ZOv3C6ciHjbJQcfeJ+IZ3Gh5gpl+lcsW67l/+ld5DVdZAz7Uup5he9A1MmswNVE&#10;kUMK2+GCwjyfNxXUE4OhuMg7ntBTjOd/unF2//59bWcx88Ppuhkjlg8XPWSlMAsLn6MbqXjObyHh&#10;+9zmFBcT4xiXk41fIy0Bi7/99a9qdbl544YsXbJErS0QFFg6g99zC2F9adq4iRKHDjEx0rljR+nS&#10;uXOpCq0AOrvdBXVkIiMipUWzZhpoS7dSb/LiCmBxYnIuXrhIdxIP3IT/8w8/6GJmFpbXA7xjxvHp&#10;U6e0ngvVbwmyJeutfu06SkiKQl4YV9QwIh5q1IiRsnD+AtnnFg/Ii5Y2f1qQzsaUoSTAOGI8sbki&#10;g+3O7dty9swZWb92ncav0D+ITLe3nQ72NV7zCkSFMU6XfIrMsZGDsLAhJaUZYm/j9v9gpCVAAbPH&#10;4vL40SNZt2at+kyf350yGZg0kAWCc5kUsHgIRGkL56HWigYFl39frT5cm7fb4L+5Xq6biPjz587p&#10;uCNTyAsws4ka/OAd/+XXv2iMC4r/xPETTxvHTVTLCaSbccJY9sa1L2Fc4VZi3NE2gDiZEcnDZdmS&#10;pUqIP//sM3VJ2ZgylATQT16/LYJjt7oxmzNxogzs31/dnGQHkRxRlHEL4WaMh9NPLmWELMnNlaNH&#10;jmpZ/h/cJs7I9r/DSEuAgyhySumTRpd3ghAIiyWjfp06SiIgD5RRJ6uorIQAW2JZOH/9unWlTo2a&#10;6hZSAuMmKtdLAbnZM2cpaWFhIY7F8PoBpYzr87tvv1VzOEG6VMClGRxuRIjv22+8IX8oJOMCwcLI&#10;OGOnOzxpmKaaUowOUvStOz6LjUeMEYOhMHhjhXGDq0Yzg+7fl7NnzsqmDRu0E3/HqGhpWO9JTJav&#10;cZlX0H1Yw7GMox9J42esrlm1Wi6ev6AxWX83suITRloCHCjg50kLk4FGg2mjx8i0qVM1LbR/v37S&#10;s0cP6dqli7puSltwE3Xv2k0LiY0eNUrNnZkZGerGohgeJIpUbSMtBg8sCl5tC8ziux1xmTt7tlZ8&#10;JsC7bq1az9yfzy8CecVzjUKY6ZqLqZ7KzUvdDpZsDjpRe5lpFthoKAoYJ1g8KDtBX61TJ09qoTjK&#10;TwxwuhX9ywYRcl2UYFuPWJNAwficPClHNm3cKBcvXJAvPv9CfvzzjzY284GRlgCHL9LCpBnQt58q&#10;aCrp0oww1yns6dOna1n9zKysUhfaAEycNElbCVAAjAC1Y0ePaUl/aszQpfqdt94y0mJ4BnaV3m4W&#10;CyKmdwgGXXCTk5IkIixMrYeM77xWRV8CsYG8YNVjcQhp0UISeveWHDcmseIw1jC9a4Guv/9DFwjO&#10;bTtbgwfPuuK54iEsn376qRw+dEgWLVwkKcOStZK358JkXDLmfI1HTyhJgWscq3cTpwN7xsbKvDlz&#10;5YIjK3ndQRbTlz+MtAQ4fJEWLBjJQ5M0r59JQKPCjY7F5y5ZIjNmzpQpU6eWunzoCNLsOXNk1apV&#10;2hCReAKyROgz1K1LV2nSqLG8+/bbRloMPoHSJiAbqwtdwCmshQmeNFBiVohdYbdamNUF4Tu4Kunb&#10;QruLcY5Uk2EEqb944aLcv3dfW0V4AeAsVAYDY+FJg8OHmql55PAR2bBuvfYNIsWeGiqUbSjKGESU&#10;rLhxiLuTeC1Iz9zZc+SII0FUi0ZH4iI1FAwjLQEOfyUt02fMkLnz5skatzicd7sIJuTVq1flw2nT&#10;pEN0jDZ7JDPESIvBF7wdLuOB7CLiUShfvmDefFX2keHtNYW+KFYXxKsajYupTasQDdSlhgatIqjO&#10;SzDl9999Z5lrhmf4qxsLWD9Onzwlq1euUhdj757xGmgL8cD9CHH2Nd58Ca7NVs2aa/+1KTmTZY8b&#10;d7du3pRHDx+qJQcLixHmwmGkJcDhz6Rl3vz5snbtWjV9Qlq4ngkfjJfQkNZq5mfCs/hQsp9Ozkxe&#10;Iy0GAGnIKxAYMuVOnjghy5YuU8JBEUN6cFFAMW9mWkHCd5gf3gJCx9zJkybpHLp86ZL8yS1SpLDi&#10;nrKsjdcHkAV0D++dYHAsHxBlrHG5ixZrGj06tmbVakXKZkMYa7iL+D4WmRZNm+p4mzZlqtZfoUXJ&#10;8+PcxlvhMNIS4PBX0jLDkZb5jrSsW7dOK5SiDE6fOi0jUlLUtO9VPaWuBgFtX7gJTD0CdrkGw/NA&#10;mUN82flildu8cZNa7RIHDdYGnCwKLA5FIS7ME8YeweB0zu3SoaNW5J08cZLuqGkhQbVeyIuNx9cD&#10;EJYvH38pt27eksOHDmsWD+RitCMrWFfC2rSVujVrPYtdKWyc8TmbMgJzvXiq8dnjtOEt6cx3bt9R&#10;fWd4cRhpCXAEEmkh7bRvnz56nUxq/qWSL7sOzKPspm2nYfAFxgW7YXz+jCUCIi9fvqyLAPEF9C6C&#10;uHhzoCjCd99w5IWFiMKMlE7vn9BX3ZUf7f9Iu6pTxNEQ/CCNmfL7e3bv0UxHOukzptSyUu6dZ0G2&#10;RSHFCGOLAppYAskOWrRggWYckZDA+GUco+8MLw4jLQGOwkgLgWRXr12Tnbt2yYoVK2TW7Nk+SUZJ&#10;C+RogZuo69evf0Zajh45ohM478QmMJIS/haAZigqsH6wS6XS7ZnTZ7QFQGZ6uvTt3UddRl47ixdx&#10;GRFfRYxMaMtWasL/ICtblizOlb179uhic+3KVV1wCNhlV841WPxBYAKygF7EHf3xrVtuDJ2W3Tt3&#10;OWKxULIyxkrvHj3VdcgYYlwUlaggHgGm8Wts124yYniK9og75nQfVkICy816VzwYaQlwFEZaMKl/&#10;8skncsRNmvUbNsicuXN9koySFkjLwoULZYM756VLl4y0GEoMLDrEmzD2NUj3zh05c+q0unZoMEeG&#10;EemkXhVmb7wVJF5tF7KMqGba2pEX3EaD+vWX7LGZ2mpir9uF07mXBY+AXdspByYYO6xxjBmqibPm&#10;USICVzWZabiBPNL7ItYVhEJx0RGRkpw0TOY5XYvF7trVq09aSThdDOG1cVM8GGkJcPgiLUw2fKi7&#10;du7U6PRjx45paXRIBHVaUtPSSl0yM7Nk0qRJMm/ePNn1NEqebqVdO3d+NsGNtBhKCr/95S9KKHZs&#10;266FuuLdbrlZ48Ya8F3hvfeUkHjzoyjCYkXcFbvm9m3baT8kMj62bt6iQeP3792TR48eadDmz24x&#10;gsR4Jn9zcb56eNlnHrmFaBKjBHnA7XfowAFZmrtEu+RDMry+bS8yRiAzuI0o3VC5QgU9RoeoKBk9&#10;cpQsXbJUTp06pef0MtIMJQMjLQEOX6SFf4lUx9dPKfSU5GQZ4HaMEATSjduHh5e6REVGasPEuO7d&#10;ZcigQdp9F7M73Z69SW+kxVBSYPx4gZQHDxxUlxGN6wYNGCCRbjwWtby6J4xNLJb8hvYTNLLr0rGT&#10;Bv7iOqJSr1frhVR+FkMWRss4evXg+TMesO7iziPoFRfQzu07JHfxYpk0YYL2pSLA1stA4z0XJcA2&#10;r2DJq1G1qtb/6RkbJ2ljUtW6smP7dq1s++mfPlX97JFZQ8nASEuAwxdpQbSnhWP+9evUlTo1az1p&#10;XlipsvYEol5FaQvnoepj9cpVnvZAqis1qlTVie5do5EWQ0mBnTWEgYBKdrdYQugcTQf0USNGOAId&#10;I3Xd4gQRwRLJ2CtsgeJzvsdiRmwDgZUEZtJNOiYySgY7Mk6FZ+YfReq0oun3T7qUcy26WP3j/yrt&#10;GpkpWXjP1LOqYM3gufP8iXnCEvbxxx8rsSQ+KT01TevzUCMK3YgLyMsGyqs7CxLGhOdKRKcSA4XL&#10;e4ZbSA8cOCA3rt/Q86KXPVeQ9/4NJQMjLQEOX6SFiUVbf3aGZOtg7cBfG94uTELcJCNLorSldasQ&#10;iXA7XCo/Qkz6JSSo6RQC4ykAIy2GkgaLA4sF8QPUwfB6xFCLZfDAgRLt5knzJk2lepUqz3bX3ngs&#10;TJhXEB4WrNo1akqoG+OM3zGjRsnsmTM1poYWAdSSeeJCui+PHj56FgPDGLfFq+QAIeCZYlGBqFJj&#10;5+aNG3L2zBnVKRs3bJCFCxbKB9nj1OrcISpaN0+8P4iHr3ecn6CrILzUBGrSsKHERETKwH79JCsj&#10;QzODIEY0UKQhJ+/aUHow0hLg8EVamJDdu3SVZUuXyqGDB2XTho0aGT9p4iQZNXKkJCYmlrqMGT1G&#10;Jk+erOZY4mmofTFvzhy9zryKwEiLoSQBKfB23MwN+hfR4A6rC/NkxofTJXHwk9ouVMdlp+2Nx6KI&#10;t9P2ehpBXoid4XjdOneRIQMGauXUxW6+EVN27uw5+eODB/Ldd99pWj+7bkPxwXvmHfNMHz96LNeu&#10;XpODHx3QFHgI6vBhw7SvD6X2yQTCPYill/eN3uE9+nq/+QnkFksbVrZ+biOIZWWLG08njx/Xmj5f&#10;fPGFWncsfqX0YaQlwOGLtDDBkoYkahEudnl3ndI+4Xacmxx5oIFhjiMTpS2kO2/ZulVOnT79rDYB&#10;BIoS1p4iMNJiKA2woHkCSWARgTSQZUStoMULF8qI4cMltmtXTU2tVb26EhCIyIu4ChAWP68JHu6G&#10;Bm4nHxkWroG7kyZMlOVLl2nDUPonEYz+J6dbiX+BTHFNWIT+8uuvugAbofk/8O48SwpEAP2BLsOS&#10;wbPDikZA7fVr1/Sdbli3TgkpLR66dOyo3ZPp8wPBfEZSikhUPGLqxTThVicbjQJzCb16yZxZszQT&#10;8t69e1oHi/HluYA8MZQejLQEOHyRlrwpz/j48bWjNLdt3y7zHZnwlaJc0rJo0SLZvmOHnHXECUWN&#10;4rGUZ8OrAIsIO/Jvv/lGHjx4oGSefkPEu0ycMEGSEhOls1vomjZ6UqCO+eON0RcRz32ggbuODHWM&#10;jpE+8fG6gchIS5epjsxj8Vy7eo3s2rFTu56TDou+JQsJ4mJ4At4ZzwOiQowIwbS0WUCHbNuy1ZHB&#10;pTJzxgwZl5mlBLR/335q6aLrMnV6qLmDG8jXeypMIKBYZIjH43gUmksbPUaLDmK1JisI65nXq8pI&#10;StnCSEuAoyikheqh9P/Z4UgEFhBfJKOkxUiLwV/AosJO+J9uR8w4g8Cwc2deQGAw89P5mUWvWaPG&#10;ajHxducv6kbgd94uneBdFj9267gmWjRpqrEQVN1NH5PqduyzZeuWLRqDAZn66ccf1bqQV7huT/73&#10;X/+3kw/UhTLv9SPevT1/31gvvLgkmlkePnRISybMnD5DA6uppE1MEYHRuG1IPMBSxnMvaqD188L3&#10;+R3Hgby2bNpM3X3z58yVj/btV+KkljE3fhhH3vsJ1HcRqDDSEuAojLRAFjBHX79+Xfbu3atkwhfJ&#10;KGkx0mLwd1BfhViEK5cvy45t22TO7NmSNmaM1jiCXNAzhsDNKhUr6pzyxu3LiOc+Ir2WwnUExlMC&#10;YMyo0WqBoXjdxvXr1QJEN+tTJ05oRhKBpXfv3FWCRcNIAk5/+P57nfdYIgJlweQ68xJG3Cpff/XV&#10;EzfP3bt6n7RlgMDh7tm/b58jk5tl+bJlMnvWLPlg3DitLov+iI6IeNK2oXLlFwqk9iVerArkp6kj&#10;rNTk6dE9VoYOSZTx7pwrly13euuo3P7ktl6z4dXDSEuAozDSQiYFig7FcPDgQVm8eLFPklHSYqTF&#10;4O9gzDF/iJNA51GcTitHux39LG9H3727NlXE7eON25cRdvEskFheIC9YXqi8i2WHtFnqhZBG3SM2&#10;Tt1VBPPOmjFTVq1YqQXzaOKHVYiUWmIp6ELMtQcKacEiAWEhjodNFHFuN9xG6sTx41o/hfukxglB&#10;tKNHjlRrVPcuXbTwW7vWofoOmjiiAunDCgLRwP3zotaU5wULTb3atd3zbyuD+g/QOCSICjrpyuUr&#10;GjeDewrCgi41vHoYaQlwoLi2bN6idSggK0xi/h06ZIiccbsWVcrffKPE4ajbwdA00RfJKGkx0mII&#10;NLCwEqfAQsViumb1apk0caIM7N9fwkLbaL2j6o5sELRLEz3mmbdRKCmB1BDM275dO+nVo6ekJA93&#10;Onm8xlOsXL5cNm3cqGnVx931UdSONNs//fFP8tlnn8nDz79QQsAiS7AqhdUgZBCF77/7Xi00Km4B&#10;RogX+fmnn5VMFCS4mH/5+Wd1jfAb/b13rDxCXA5tFTi/Jw+/+EI++/TTJyTFkUKIF3qAlgjcy8IF&#10;C/T+KPbWt0+CdO7QQYu1YUXBvYarzddzehFBJyJYu951zxcCSrxKXUdWQlu1etojaLjMd6Rp/959&#10;avX59ptvn44Kg7/BSEuAA1JCsy+qO9Jqn4mOMh3Qr5/WDmBHhiIjGNdIi8GQP9Qa4BZoFntqfly5&#10;ckWOHD6s9T7mzpkjWWMztSIuFgDiKUh3ZqfOYph3kSyOYI3BEkMwL1aYtqGh0iEySksYMMf79+0r&#10;Q9w1sMinp6ZqDZIPp0xVK0Wum3PLcpfIqhUr1Pq6Z9duObD/I7XS4OLA7YKcOHZcTp88pQSCBRpC&#10;gc7PTyBGpPVSe+b8ufNy8uTJZ8fKK+gbYnQgVyueSu6ixZrV80F2tmSkpWmJe9KREwcPUWsK85/6&#10;Ke3cfRJDQhAthALyxnMtriUFQc/wXLHQUEMK1xw1e7KzsjQTaPWqVe5Z7dKquRBWCN+vv/z6dFQY&#10;/A1GWgIc7IIOuEV/qFMCjes30F0gpAUFt23zFp2EBPkhRloMhvzhBYZqnZe//lX7GRH38pXWerkn&#10;p92ihuuI3ka4EnBbUCyRnTsL7L+l1+ZZNF9Ufv+7J1YBFlpcIF5ALwSJoF5cIxXcOak8TZYM6bhY&#10;ZjpFxyih6h0fr+5hXExc63RHGrDUEPiLzJ87T8nE6hUrZeeOnXL82DFdsPMTrE5YIIgxwY1DBpR3&#10;rLxCb6aRw1MkvkcP6RkXp9LZEQQCkCEMkDGelV6/E+6F+/I2Wgj3XRzrlWdV4RgIxyOwtmL58tK8&#10;SRPtSZXlnsvqVavl7JmzWjkZkkKNFQgrLiAvhdngnzDSEuDAfHv44EG380rWnYqXsglpISuCDs/s&#10;lIy0GAwvDogMCxluEYJGL124qO4Z6q9MplhjSooG1FJ9mgJzpE1T9wVSUdwFuKgCmSGQlCrYbFzQ&#10;A5CYLp06aVApuoB517d3HxU6GlNHBmKD9YNePFMd4chPciZM1E7XWEmGud9A2Lxj5RXOFRneXskB&#10;BfcQXF0QldJ+DhwfvQeRq12jhgbVtg1prVYc3GwE1tIBfOH8BbJt6za1Mn3x+ZOCcLzfQIkNMhhp&#10;CXhAWiADlBJv0ypEA/zYnRlpMRhKBqS2srDhisV19Plnn2n6KzVWsEJs27pVFrvxjgtkQN++unA3&#10;qFtPrQhYS0p7wYYc5bXGQBKwwEBksATVrVlLA1gJ/EXIiOL6qO5KETaaQbZumb+QRYW1hIwdfsNv&#10;vWPlFdxluKg9SwriPQNf111SwvPlHJyvcYOGEhMZqe7xsWnpgvsH997xo8c0Sww3F/qI5ATeJxlY&#10;vF8jLYEDIy0BDkzY+JMzUlN1p0cjMF+kpcxjWhYvlh07d8r58+c1XdNIiyFYwALnuZJwz0JiLl26&#10;JDsdSaf7c6rbQLC7x31EnyMWeWJUiNXAfQuxYI6WlSUmGMQjJjw3gqAhZjRkZZOGhQnrDhlYfZx+&#10;oTHi3Nlz1J1F7A6F4Njcee/NCEpgw0hLgKMw0nLbkRYIC8SBjIMlS5f6JBklKVOnTVNyRF2YK0/b&#10;9rOjMdJiCCaw+DFuyaah3gsdhelxRI0RMmOW5i6RWTNnysTx49USiluGLsO4LVhoKTOPhaQkgk2D&#10;WXg+xKXwvHhu1LkhPbxnbJw2QoSkTHc6hyq5BCCjT4jFIVuJzCoywky/BA+MtAQ4CiMtd27fVsKC&#10;UiXqf2kZkRbI0UcHDsjNW7fk8ZdfGmkxBCUgLhq468Y31kSvR873338v33z9jdZUuXjxohIZGpiS&#10;3ksGUseoaHXN4MLBhcKcJSYDawKCFcYL7EW8ANO8i3mgi3dPCPfI/XLfCM+A5+FZVmpVr6GxOjw3&#10;yB9EZcb0GdpZm2J8txxBweXDc/+RVG73HrCueIG1VBM2BAeMtAQ4CiMtZA9h6cAXT/+hZcuX+yQa&#10;JSmQFs5Doa47d+/K1+7ckBIjLYbXDcRNkJ1Cs0ayj3bt3KWdiGdM+1Cyxo7VbBsCW5mvZP5gQcCt&#10;RGpuo/oNntSGqVxF3SFYG1jQA528cP2QEu6HOJTKFSpIzWrVpGG9+lpEjn4/xAWRmox+IDU6JTlZ&#10;g4GxqGDB2rxpsyMrB+XC+QtPGhd+/4Nl/LwmMNIS4CiMtDCh2YH85HYe+N2Xr1jhk2iUpEBaOA/u&#10;KFxTFLcy0mJ4HcG4ZseP9YXCaxSBozo1rgsaAJLFcvLECUdmdmp9FargQmbIdmEO03SRmjAs6GQG&#10;YpVh3uQlAYEmXD9xPdyPF48S0S5M3T3DEodqAC3p06RW42Y78NEBOXXypFqsqKKL9Ri98vCLh6rb&#10;eLZ//c0ygF4XGGkJcBRGWgjCpVLlX377Ta5euyYrV63ySTRKUiAtK1auVHcUril8/phojbQYXjd4&#10;gZ8FCXODPjwf37olJ46fkO1bt8mSxblqVcjMGCvDhg7VTsMQGCrzksmDFYZ0YrJ26taqrRlCzH0q&#10;yVauUPE/pNL7FbQuCjE0JSW4bbCUkGZMgHHe85FFxPVgKfKErCVNyW7WXINmsaTEx8XJwH79tHT/&#10;1MlTZOkS4lI2y0FHVEgvJyYFUoLrTd08Pp6fJ4bXA0ZaAhxFIS3aQv2vf5VrbpdSlqSFFu7sLFE6&#10;RloMBt8g5ZYy+RAXKvHevHlTLpw/r+nUBw4cUCvMpo2bZM2q1RpsumjhQi0WlzNpkmRnZsnY9HRJ&#10;G5OqNVQSevWSbl26asfqvAJBoOosheioOltc4TiUwMeNQy0U6tTkPR91W4YnDZPU0WNUuL4n7Qhm&#10;ano4jRC5H9KRt2/dKvv27tW0ZLrRa3+lu3c1Dg+3j0dYzP1jAEZaAhxGWgyGwAZWAhbkfznywjxh&#10;LhDYSxApCzZCarUnxMngarp9+7aSG+YZOmDblq1aPC1n4qT/EMgNmTb09qFLcnGF4xBrMiplhCNN&#10;GTJ+3AfabNA7H8Rkx/bt2gYB4fquX7um8T1cv3cvVKH17pH75d4RngNkTp+LE7OmGDwYaQlwGGkx&#10;GF4/sMjTDJEqvcR3YJmgeNqxI0e1Yi99h/LK9m3bNGZmzuzZMnP69GILxyEbasP69dpviE7N9EDz&#10;zoeViOJ7JAIgxNZBWIjvMRiKAyMtAQ4jLQbD6wfmE8QFqwXdlylHT+waDVI//+zz/xBiy+izc+vW&#10;Lbl182bxxR3H62tGhVk6OVNkzzsfBEXTj911eQJh4boNhuLASEuAw99JC8qS7CEULPUUuC4Ii5f2&#10;SHM1usMaaTEYDAZDYTDSEuAIBNLC7g9TNmXOaaoGYaFwFF1fKRR1+NAhIy0Gg8FgKBRGWgIcL0pa&#10;Vq1eraTCF9koKclLWvC34yJCNm3YKN07d1HSQvolzdyoy0DWgJmNDQaDwVAYjLQEOIpKWojMxw+9&#10;YeNGmTV7tnw4fbpPwlES8jxpQe6761i7Zo32XiGWhT4iTRo2lDEjR2nhKCMtBoPBYCgMRloCHC9C&#10;Wm7fuSM7d+2Sxbm5MnvOnFKzuOQlLQTqQVioYrnK/a1zh45aipzrbBMSoqW5z545Y6TFYDAYDIXC&#10;SEuAo6ikhboP99x/79u/X0vsz5s/v+xIy7178snHH8vK5cufkRYqeLYPC9PxRq0JIy0Gg8FgKAxG&#10;WgIcL0JasHjs/+gjJRSvnLTUqiUR4eHatt9Ii8FgMBiKAiMtAQ4jLQaDwWB4XWCkJcDhr6SFLKVz&#10;jozQP4TiU7c/+cRIi8FgMBiKBSMtAQ5/JS1r1q6VK1evyjfffCMPHXEhENdIi8FgMBiKAyMtAQ4q&#10;zZ44dkyyMzMlqn17qVOzppIWiritWb1aS25//fXXmj1UlqRl3fr1csOd+88//qglvSn5baTFYDAY&#10;DMWBkZYAB6Tl3NmzMn3ah9IzNk5bxr/z5lvain7enDlaA4WqtHyvLEnLekdaqAvz888/a0daIy0G&#10;g8FgKC6MtAQ4sKBcuXxFFi1cKIMHDpJWzVsoaWnfLkw+yB6n7eFv3rghf/7hB/n4449l1+7dsmTp&#10;Ui0wl5OTI5MmTSpx4bir16zRCrw/uPM+evhQr2Fpbq50jI4x0mIwGAyGl4KRlgDH3/76N7l27Zos&#10;X7pMkpOGSWirEHn7jTelYb366iJKS02VObNmyzpHIubNmydZmZkyLClJBgwYIH1695bevUpeOO7I&#10;ESO0ff26NWtlxbJlavUZNnSoNG/cRElL/Tp1JDoyUiY7knPxwgUjLQaDwWAoFEZaAhwE2N64cUNW&#10;r1oto1JGSLvQNvLWH96Q8uXe0d4+TRs1UiITGR4ubVq3luZNmiqhqVe7jtSpWavUpHH9BhIa8uS8&#10;7du2k7bu3I3ceSu89552d25Uv7507thRPpw6VS5fuiT//Oc/n96RwWAwGAy+YaQlwAFpuUN5/u07&#10;ZPy4DyQ6IlJJy//8v/+lAkGgz0+DOnVV6tWqrWSmepWqUqViJScVS0VqVK2m54OcVK9cRYODaZTI&#10;NdHhOaRFSxnQr58sXrRISZeRFoPBYDAUBiMtAQ7cKo8ePZKLFy/K8mXLJT6uh8a0eKSlWqXKEtu1&#10;m8a3jB83Tsamp0vK8OHSr29f6d6tm3Tr2rXEpbs736CBA2XC+PEybepUSejVW2pVf5KK/cZ//4+8&#10;93Y5bZw4dfJk2bd3r/zpj3+Uf/3rX0/vyGAwGAwG3zDSEuDAQvHTTz9pLZQDH30kSYmJUv6dd55Z&#10;NXDJYIEhi4gKtQcOHJBNmzZpfMt4Ryqys7NLXMY5crRkyRI5e/asWlFmTp8hLZs10+sinqXCu+/J&#10;EEdqtmzaLNevXdNaLkZaDAaDwVAYjLQEOP73f/9XM4h+/PFHzcKhXkv9OnXl/XfeVYLQpGEjmTp5&#10;ily9elUJwrlz5zTteeXKlfLh9Ok+U5aLK6Q8b9i4UW7fvi2ff/65LJg/X1o0bSrl3nxiaalU/n0Z&#10;M2qUnDxxQh4+fCi//PKL3ofBYDAYDAXBSEuAg8UeawuxLZTKnz1zpkSEhQlF5t556y2t20KGzqWL&#10;F+XKlSta06WsScvcOXOkYb168off/bdaf4ixwV31ycefyK+//ir/+PvfjbQYDAaDoVAYaQkCsOAj&#10;xIbkLl4s3bt0kSYNG8p75cpJY0daJk2YIOfPndMsHVw2ZU1a5sycpQHAXpxN1YqVHJHK0c+8azcY&#10;DAaDoTAYaQki8N6W5OZKbNeumupMDAkxLROexrScP39eTp8+7RekZUrOZG2maDAYDAZDUWGkJYjg&#10;i7RQkyU7K0uOHj2qVhaCcY20GAwGgyEQYaQliPCFIwjr162ToYOHSFhoG6n0/vtaRI6g1507d8rh&#10;w4fl+PHjZUJa1rrruH7jhty7d09muEFWt2YtzWgirqVm1WoybcoUIy0Gg8FgeCEYaQki0E157549&#10;8kF2tnTr1FmLutWpUVPToFc5krJ71y454ohLWZCWNWvXyuXLl7VpIvVYqJILYaHYHVYXGjw+/OLh&#10;0ys3GAwGg6FwGGkJInzz9ddy+NBhmfHhdOndM14r39ZyMrD/AA3Q3bZ1q/v8UJmQlpWrVqk76tKl&#10;SzJx/AS9DggLNVpoJTB39mwtimcwGAwGQ1FhpCWI4E+kZfmKFXLixAk5c/q0jMvKklrVqsu7b72t&#10;lp+o9u214/OXj798euUGg8FgMBQOIy1BBH8iLcuWL9dzHTtyRFsHEMeClYUA4Z6xsbJ29Wr52l2v&#10;wWAwGAxFhZGWIII/kBaOOWv2bFntSMkRR1iOHj4sGWlpSloqli+vlXH7xMfL+rVrtXy/wWAwGAxF&#10;hZGWIMKrJi1YWCAsCxculI0bN8rxY8fkqCMuRloMBoPBUBIw0hJEKA5pmTxlikyePFkm5eTIB24M&#10;ZGZlScbYsf8mYzMzJTt7nEyYOFFy3Hf5zfOkZc7cubJ06VLZtm2b9hbCPWSkxWAwGAwlASMtQYTi&#10;kBZIyERHRj4YP15GjBwpAwYMkF69ej2T3r17S9+EvpI4dKikpaXLxEmT/oO4QFrmzZ+vQbg7duzQ&#10;QnZGWgwGg8FQUjDSEkQoDmnBwjLeEZbMzEzp37+/REdFSWjr1ipt27SRdm3bSnhYuHTv1l2GDRum&#10;5MYjLnlJy/wFCzTdmWJ2p420GAwGg6EEYaQliFAc0gIByc7OljRHMPr07i1h7dpJSKtW0j48XDrE&#10;xEhE+wglMPz3oIGDlNxAcp4nLQsWLpRVq1fLrl27tM+RkRaDwWAwlBSMtAQRikVaJk5UIjJq1Cjp&#10;2aPHEytLSGvp2rWr9E1IkC6duzgSEyLtw8IloU+CjElNlSxHcrDQGGkxGAwGQ1nASEsQoTikZfyE&#10;CZKeni7JyckSFxcnbUJDJbxdmBIU/gaRaR0Som6iXvG9lNwQrGukxWAwGAxlBSMtQYTikBZiVEaN&#10;Hi2DBw9W0oI7qFPHjjJkyBAZM2aMWluexLWEaVCukRaDwWAwlDWMtAQRikNaxrn3npKSIn379lXS&#10;0tERlrgePSRlxAh1Aw0aNMgRmfYSGREhfXr3kZEjR2oKNLEwRloMBoPBUBYw0hJEKBZpGTdOkocP&#10;VytKD0dWiGXxLCrZ7jMsLlFRURIVGal/H+6+m56RobEwRloMBoPBUBYw0hJEKA5pgZiQyhzvCEXP&#10;nj3V2tKvXz8NuMUKQ32WDjEdJDoq2n0eL4mJQyXVfUahOSMtBoPBYCgLGGkJIpQUafFk4MCBkuoI&#10;B6QlKWmYdOnSRTp26KikZeDAQTJ69GgjLQaDwWAoMxhpCSKUFmkhSJfYFiww3bp2U9KCFWaE+xuf&#10;GWkxGAwGQ1nASEsQobRIC+nQI0eN0iBd4l0gLb379NG4FiMtBoPBYCgrGGkJIpQmaSEdul///s8+&#10;M9JiMBgMhrKGkZYggpEWg8FgMAQzjLQEEYy0GAwGgyGYYaQliGCkxWAwGAzBDCMtQQQjLQaDwWAI&#10;ZhhpCSL4C2lZuWqVbNu2TQ4ePCi7du6UkSkpUr1yFalSoaK0bd1aBrvjbt60Sb799tunV24wGAwG&#10;Q+Ew0hJE8CfSstGRkh07dsjaNWskcfAQqVqxkhKXyPbtlcTw2XdGWgwGg8HwAjDSEkTA3XL82DGZ&#10;P3ee9OuTIHVq1JTqVapKn169ZNbMmbJ+3Xo54AhLaZGWaW4wLXLkaO26dbJ582aVJbm50r9vP7Wy&#10;QKC6duosWWPHyr69e+WH779/euUGg8FgMBQOIy1BhO8dCbh4/oKsW7NWkocmSf06daWyIwsdY2Ik&#10;3ZGPhQsWyp7du0uVtCxbvly2bd+uMS2QloULFkhC7956HXVr1Zb4uB4ydfIUtfj8+Ycfnl65wWAw&#10;GAyFw0hLEOGnH3+Umzduyu5duyVt9BhpXL+BVHj3PWnbOlRdRB9OmyY7tu8oNdLC8QjC3b9/v8oW&#10;R1rmzpkjvd33K79fQRo4EtU/oa/MmT1HThw/Lj/++c9Pr9xgMBgMhsJhpCWI8NNPP8md27fl4IED&#10;kpUxVpo2bKSkJbRViPTtkyBTJk+R7du3lyppWbN2rQbgHnDXsGXLln8jLQ3r1pOB/fqr++rUiZPy&#10;oyNZBoPBYDAUFUZaggi//PKL3L93T+NaxmePk2aNmxhpMRgMBkPQwEhLEOHXX3+VPz54IKdOnpSJ&#10;H4yX5kZaDAaDwRBEMNISRDDSYjAYDIZghpGWIIKRFoPBYDAEM4y0BBGMtBgMBoMhmGGkJYhgpMVg&#10;MBgMwQwjLUGE4pCWrOxsGTp0qMTFxUmPHj2UmAwaNMhIi8FgMBj8BkZaggjFIS2ZWVlKUrp06SKx&#10;sbFKTAYPHixp6ekywUiLwWAwGPwARlqCCMUhLWMzM6W/IyUxMTHSrVs36dWrlyQmJkp6RoaRFoPB&#10;YDD4BYy0BBGKQ1oyxo6VPo6IhIeHK2np16+fkhLIjJEWg8FgMPgDjLQEEYpDWnADQUZCW7eWrl27&#10;qqsIopKdnS0TJk400mIwGAyGVw4jLUGEYpGWtDTp2aOHtGrZUknLkCFD9G/j3Hgw0mIwGAwGf4CR&#10;liCCkRaDwWAwBDOMtAQRjLQYDAaDIZhhpCWIYKTFYDAYDMEMIy1BBCMtBoPBYAhmGGkJIpQmaRnt&#10;SAt1XCAsVM3t2bOnlv3ncyMtBoPBYCgLGGkJIpQmaRkzZowMGDhQSUv37t1VKD5npMVgMBgMZQUj&#10;LUGE0iItEx1poQcRZf2plMvnnTp1kkHu/2m06Iu0fOTOsXnzZpkze7b06tlTKpV/30iLwWAwGIoF&#10;Iy1BhFIjLZMmaTl/3EEJCQnanyg6Olr6DxigjRbzkpa169Ypadm7d68sXbpUsjIzpVNMB3nfXUfT&#10;Ro0lZViyrF29Ri5euCg//fTT0ys3GAwGg6FwGGkJIpQmacl05GPkyJEa19K5Uyct99+3b19ttOgd&#10;Y7o73jpHWg4fPiw7d+yUGe7/Bw8cJG1bh8p7b5eTVs1bSGbGWNm9a7fcunlLfvnll6dXbjAYDAZD&#10;4TDSEkQoLdIyKSdH3UDEtVDev1PHjtKubVvtVfRvpGXGDNm4caOcOHFCdu3cJTmO7PTuGS8tmjaT&#10;d996W69j0oSJcvTwEbl796785S9/eXrlBoPBYDAUDiMtQQR/IC1btm6V8+fPy0f7P5Kp7nx5SUub&#10;kNYyNWeyXh/X+dtvvz29coPBYDAYCoeRliACpOVPf/yjnDl9WiZNmKCkpfw776pbppcjDzmTcmTH&#10;jh1y4OBBWbV6tZKMkiQtM2fNkl27dsn169fl2NFjMt0Nrj7xvZ6RlnahbfRv58+dk08//VT++te/&#10;Pr1yg8FgMBgKh5GWIAKWiy+//FJuONJAPAlkpdwbb0rtGjUlrG07DYolqwdLCBaR+fPnPyMuxSEt&#10;U6dNkxnuOAsWLtQgXFw/Z86ckVkzZv4HaZnpruuCO/9nn31mpMVgMBgMLwQjLUGEv//975pG/Pnn&#10;n8tiRyDahITIH3733/LOm29JjSpVZdSIEXLyxAm5f/++HDp0SJYvXy5z5s6VaW4QFIe0EIA7b948&#10;WbFihZw8eVLPf+niJZk7e46RFoPBYDCUGIy0BBH++c9/KhH4/vvvZaUjJO1CQ+V//t//UoG4DE8a&#10;pq6Zb775Ri5fvix79uyRTZs3y5o1a5R4UIcFMkJac0ZGhv4N68nSZcvUKsNgSU1NlV7x8RIdFaUp&#10;0JCetWvXyuYtW2Tfvn1y48YN+fbbb+XatWtaj8VIi8FgMBhKCkZaggj/+te/5B//+If8/PPPsmbV&#10;anUJ/RtpGZas9VFINX78+LHcuXtXbt68qQSDuioTJkyQrp27SEZauixzRAVSQybQhQsX5NixYxqv&#10;ssiRmFEjRkrvXr3kw2kfqsWG39+6dUvdQl999ZWe/6YjLwvmL5A+vXobaTEYDAZDicBISxDhf//3&#10;f1WIbVm/bp20f460JA9NknNnzylZIN2YwF0EEnPLkZfFCxdJgiMZ0x0Z2b9vnxKRhw8fquXmc0cy&#10;iJXZtWOn5EycJEmJQ2XVylXy4MED/b13LM7Nv1evXtUS/r169JTmTZrq+Y20GAwGg6E4MNIShIAM&#10;bFi/Xtq3C3tGWt76wxsS262bVqk9fuz4f8iGDRskLTVNoiIiZfiwYTJ71iw9xp7du+XwoUOya+dO&#10;Wbd2rWb/JA4eLN26dJVx2eNk+7bt/3Gso0eOyupVq2RkygiJCAuXurVqy9vu/EZaDAaDwVAcGGkJ&#10;QvgiLW/89/9Iy+YtZOjgIe4dj/8PGTE8RTp37CSN6jeQyIgISejTR4YnJ0u6IzLZWdmSNiZVkh2Z&#10;IZ4l3B0X60n3rt1kzKjR/3GsDxyZGTY0STpERUuDuvW07xDnN9JiMBgMhuLASEsQAjKwacMGiY6I&#10;VLLw+//6nf7bqF59ieseq4QCKwhEBFKCEO+CK4ff8J0B/fvLsCT3vREjJHX0GP03aehQ6de3r5KV&#10;jtExktC7t4xISXl2DI4HiUlJHq51YVo2b67dnXENcQ3E2MyZNVuuXrkiX3zxhZEWg8FgMLwQjLQE&#10;If72t7/Jti1bpXvnLvL+O++qa+bN//m9tGjSVAb1H6Cl9BfMn6+NC7HIIKtXrpLFixYpqVi4YIEs&#10;W7JEVq1cKWtWr5b1a9fpd1euWCFL3d/5LfEqSxbn6ufeMXAf8TmdnVOGD9eU6/fKvaOECWtPZHh7&#10;PcedO3c0YJfrNBgMBoOhqDDSEoSADOzeuVP69u4ttavXkPKOOEBcWrdoqWnP8+fNkz27dsulixe1&#10;ei0BtteuXlULiCf8//Vr1/5D8n6P/0b4PXLl8mU5cviwbN60ScZlZwsp15zXs/R0ionRWBesLD/8&#10;8INmOhkMBoPBUFQYaQlCUGTu+LFjMi4zS2Iio6RuzVpKHhrUqSvdOneRrLGZsmP7drl7544SiIdO&#10;Hj16VGz5kxs3Bw8cUFI0ZNBgada4iZ634nvlpX7tOhrAS2Av2UhkGFFXxmAwGAyGosJISxACC8a1&#10;q9dkxbLlGqtCw0QlD+XLS8N69SShVy9153zx+edaQfeXn39+lrJcHKFoHd2diW2JiYqSWtWra30W&#10;ztm5Q0eZkpMjZ8+cUUsQ10h6tsFgMBgMRYWRliAEFgwaEh47clTmzZkrPWPjpEqFihrfAnFpGxoq&#10;kx2BOHLkiFy8eFGuXv4/V09x5OzpMzJ75iwN5G3coKFUdufEyhLVPkLSU1Nl44YNGs9iMBgMBsPL&#10;wEhLEAILxp9/+EE7Ph/46CPJSE2TVs2bS42qVZW48C9ZQrhrUpKTZcTw4ZpNVFwZljhULSqN6teX&#10;KhUr6blqVasuQwYOUsJy5coV+fqrr55epcFgMBgMLwYjLUEISAvWFmJb7t27J7mLFkl8XJyENG8h&#10;VStVVpfNe+XKKamo8O57UuE9pHyx5X13rPfeLqcpzhy7qiMuoa1aqVWHQF2Cb6mYazAYDAbDy8BI&#10;S5CDOJOjhw9rivLIlBTp0rGTNG3UWN1FdID2is+VhJAlVB7rSvUa0rplK+kRGyeZGWNl+7ZtGqhL&#10;XRYLvjUYDAbDy8JIS5CDHkNkCJGivHXzFpk8cZL2F4K4vPX7P/gkHy8rpDXXrlFDwtu2k6TERG2u&#10;eOzoUW2kSH8iCAtNHQ0Gg8FgeBkYaQlyQBKwcPz5z3+WGzduaHbPrBkztZw/fYHatg4tMYGskJmU&#10;NmaMLMnNldOnTsnjR4/kp59+sposBoPBYCg2jLQEOSAtEAZiSQiCvXP7jpw9e1b27dmjFWypaFtS&#10;sm7NGq3/cujgQbl06ZL2F4KwQJrMwmIwGAyG4sJIi8FgMBgMhoCAkRaDwWAwGAwBASMtBoPBYDAY&#10;AgJGWgwGg8FgMAQEjLQYDAaDwWAICBhpMRgMBoPBEBAw0mIwGAwGgyEgYKTFYDAYDAZDQMBIi8Fg&#10;MBgMhoCAkRaDwWAwGAwBASMtBoPBYDAYAgJGWgwGg8FgMAQEjLQYDAaDwWAICPwbafn//z//j4S2&#10;bi3p6ekybdo0ExMTExMTExO/kbCwsGekZcLT/zAxMTExMTEx8VP5/034/wA9GGAT1BmpCQAAAABJ&#10;RU5ErkJgglBLAwQUAAYACAAAACEAQyEadt8AAAAHAQAADwAAAGRycy9kb3ducmV2LnhtbEyPzU7D&#10;MBCE70i8g7VI3KjzA20JcaqqAk5VJVokxG0bb5OosR3FbpK+PcsJjrMzmvk2X02mFQP1vnFWQTyL&#10;QJAtnW5speDz8PawBOEDWo2ts6TgSh5Wxe1Njpl2o/2gYR8qwSXWZ6igDqHLpPRlTQb9zHVk2Tu5&#10;3mBg2VdS9zhyuWllEkVzabCxvFBjR5uayvP+YhS8jziu0/h12J5Pm+v34Wn3tY1Jqfu7af0CItAU&#10;/sLwi8/oUDDT0V2s9qJVsOAcX5MUBLvpfMGfHRU8LpNnkEUu//M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fUDXycAQAAPcMAAAOAAAAAAAAAAAAAAAAADoC&#10;AABkcnMvZTJvRG9jLnhtbFBLAQItAAoAAAAAAAAAIQC8Xobt7WMBAO1jAQAUAAAAAAAAAAAAAAAA&#10;ANYGAABkcnMvbWVkaWEvaW1hZ2UxLnBuZ1BLAQItABQABgAIAAAAIQBDIRp23wAAAAcBAAAPAAAA&#10;AAAAAAAAAAAAAPVqAQBkcnMvZG93bnJldi54bWxQSwECLQAUAAYACAAAACEAqiYOvrwAAAAhAQAA&#10;GQAAAAAAAAAAAAAAAAABbAEAZHJzL19yZWxzL2Uyb0RvYy54bWwucmVsc1BLBQYAAAAABgAGAHwB&#10;AAD0bAEAAAA=&#10;">
                      <v:group id="그룹 152" o:spid="_x0000_s1249" style="position:absolute;top:15;width:23263;height:29893" coordorigin=",15" coordsize="23263,2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그림 153" o:spid="_x0000_s1250" type="#_x0000_t75" style="position:absolute;top:15;width:23202;height:2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RxAAAANwAAAAPAAAAZHJzL2Rvd25yZXYueG1sRE9Na8JA&#10;EL0L/Q/LFLxIs7Gi2NRV2oIoCJbYXLyN2WkSzM6G3VXjv+8WCr3N433OYtWbVlzJ+caygnGSgiAu&#10;rW64UlB8rZ/mIHxA1thaJgV38rBaPgwWmGl745yuh1CJGMI+QwV1CF0mpS9rMugT2xFH7ts6gyFC&#10;V0nt8BbDTSuf03QmDTYcG2rs6KOm8ny4GAWbz2DHs3l/Knb7Ue7eJ3Q8v+yVGj72b68gAvXhX/zn&#10;3uo4fzqB32fiBXL5AwAA//8DAFBLAQItABQABgAIAAAAIQDb4fbL7gAAAIUBAAATAAAAAAAAAAAA&#10;AAAAAAAAAABbQ29udGVudF9UeXBlc10ueG1sUEsBAi0AFAAGAAgAAAAhAFr0LFu/AAAAFQEAAAsA&#10;AAAAAAAAAAAAAAAAHwEAAF9yZWxzLy5yZWxzUEsBAi0AFAAGAAgAAAAhAIn5kRHEAAAA3AAAAA8A&#10;AAAAAAAAAAAAAAAABwIAAGRycy9kb3ducmV2LnhtbFBLBQYAAAAAAwADALcAAAD4AgAAAAA=&#10;">
                          <v:imagedata r:id="rId117" o:title=""/>
                        </v:shape>
                        <v:shape id="Text Box 154" o:spid="_x0000_s1251" type="#_x0000_t202" style="position:absolute;left:16065;top:2844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BoxQAAANwAAAAPAAAAZHJzL2Rvd25yZXYueG1sRE9NS8NA&#10;EL0L/odlBC9iN2oMJe22lKKgvRRjL70N2Wk2NTsbdjdt/PeuUOhtHu9z5svRduJEPrSOFTxNMhDE&#10;tdMtNwp23++PUxAhImvsHJOCXwqwXNzezLHU7sxfdKpiI1IIhxIVmBj7UspQG7IYJq4nTtzBeYsx&#10;Qd9I7fGcwm0nn7OskBZbTg0Ge1obqn+qwSrY5vuteRgOb5tV/uI/d8O6ODaVUvd342oGItIYr+KL&#10;+0On+a85/D+TLpCLPwAAAP//AwBQSwECLQAUAAYACAAAACEA2+H2y+4AAACFAQAAEwAAAAAAAAAA&#10;AAAAAAAAAAAAW0NvbnRlbnRfVHlwZXNdLnhtbFBLAQItABQABgAIAAAAIQBa9CxbvwAAABUBAAAL&#10;AAAAAAAAAAAAAAAAAB8BAABfcmVscy8ucmVsc1BLAQItABQABgAIAAAAIQD/PgBoxQAAANwAAAAP&#10;AAAAAAAAAAAAAAAAAAcCAABkcnMvZG93bnJldi54bWxQSwUGAAAAAAMAAwC3AAAA+QIAAAAA&#10;" stroked="f">
                          <v:textbox style="mso-fit-shape-to-text:t" inset="0,0,0,0">
                            <w:txbxContent>
                              <w:p w14:paraId="0CB6FF0C"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B</w:t>
                                </w:r>
                              </w:p>
                            </w:txbxContent>
                          </v:textbox>
                        </v:shape>
                      </v:group>
                      <v:shape id="Text Box 155" o:spid="_x0000_s1252" type="#_x0000_t202" style="position:absolute;left:12192;top:16243;width:9054;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tORwAAAANwAAAAPAAAAZHJzL2Rvd25yZXYueG1sRE9LbsIw&#10;EN1X4g7WIHVXHKiCIGAQrajENsABhniIA/E4xCZJb19XqtTdPL3vrLeDrUVHra8cK5hOEhDEhdMV&#10;lwrOp6+3BQgfkDXWjknBN3nYbkYva8y06zmn7hhKEUPYZ6jAhNBkUvrCkEU/cQ1x5K6utRgibEup&#10;W+xjuK3lLEnm0mLFscFgQ5+GivvxaRV0lJs8vX3sl7Ne7i54YH7M35V6HQ+7FYhAQ/gX/7kPOs5P&#10;U/h9Jl4gNz8AAAD//wMAUEsBAi0AFAAGAAgAAAAhANvh9svuAAAAhQEAABMAAAAAAAAAAAAAAAAA&#10;AAAAAFtDb250ZW50X1R5cGVzXS54bWxQSwECLQAUAAYACAAAACEAWvQsW78AAAAVAQAACwAAAAAA&#10;AAAAAAAAAAAfAQAAX3JlbHMvLnJlbHNQSwECLQAUAAYACAAAACEAewbTkcAAAADcAAAADwAAAAAA&#10;AAAAAAAAAAAHAgAAZHJzL2Rvd25yZXYueG1sUEsFBgAAAAADAAMAtwAAAPQCAAAAAA==&#10;" fillcolor="white [3212]" stroked="f" strokeweight=".5pt">
                        <v:textbox inset="0,0,0,0">
                          <w:txbxContent>
                            <w:p w14:paraId="6C0E6AFE" w14:textId="77777777" w:rsidR="006D7011" w:rsidRPr="0031277A" w:rsidRDefault="006D7011" w:rsidP="00094D21">
                              <w:pPr>
                                <w:rPr>
                                  <w:rFonts w:asciiTheme="majorBidi" w:hAnsiTheme="majorBidi" w:cstheme="majorBidi"/>
                                  <w:b/>
                                  <w:bCs/>
                                  <w:sz w:val="15"/>
                                  <w:szCs w:val="15"/>
                                </w:rPr>
                              </w:pPr>
                              <w:r w:rsidRPr="0031277A">
                                <w:rPr>
                                  <w:rFonts w:ascii="Times New Roman" w:eastAsia="Times New Roman" w:hAnsi="Times New Roman" w:cs="Times New Roman"/>
                                  <w:b/>
                                  <w:bCs/>
                                  <w:sz w:val="15"/>
                                  <w:szCs w:val="15"/>
                                  <w:lang w:val="pl-PL"/>
                                </w:rPr>
                                <w:t xml:space="preserve">EXP: </w:t>
                              </w:r>
                              <w:r w:rsidRPr="0031277A">
                                <w:rPr>
                                  <w:rFonts w:ascii="Times New Roman" w:eastAsia="Times New Roman" w:hAnsi="Times New Roman" w:cs="Times New Roman"/>
                                  <w:sz w:val="15"/>
                                  <w:szCs w:val="15"/>
                                  <w:lang w:val="pl-PL"/>
                                </w:rPr>
                                <w:t>MIESIĄC ROK</w:t>
                              </w:r>
                            </w:p>
                          </w:txbxContent>
                        </v:textbox>
                      </v:shape>
                      <w10:wrap type="square"/>
                    </v:group>
                  </w:pict>
                </mc:Fallback>
              </mc:AlternateContent>
            </w:r>
          </w:p>
          <w:p w14:paraId="0E65E015"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Sprawdzić ampułko-strzykawkę</w:t>
            </w:r>
          </w:p>
          <w:p w14:paraId="75523DE6" w14:textId="77777777" w:rsidR="00094D21" w:rsidRPr="008F328C" w:rsidRDefault="00094D21" w:rsidP="008A03B2">
            <w:pPr>
              <w:pStyle w:val="a3"/>
              <w:numPr>
                <w:ilvl w:val="0"/>
                <w:numId w:val="0"/>
              </w:numPr>
              <w:ind w:left="471"/>
              <w:rPr>
                <w:b/>
                <w:highlight w:val="lightGray"/>
                <w:lang w:val="pl-PL"/>
              </w:rPr>
            </w:pPr>
          </w:p>
          <w:p w14:paraId="6F1D8A33" w14:textId="77777777" w:rsidR="00094D21" w:rsidRPr="008F328C" w:rsidRDefault="00094D21" w:rsidP="008A03B2">
            <w:pPr>
              <w:pStyle w:val="a3"/>
              <w:ind w:left="4297" w:hanging="180"/>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Upewnić się, że zawiera ona odpowiedni lek (Yuflyma) i dawkę. </w:t>
            </w:r>
          </w:p>
          <w:p w14:paraId="5B4BCB39" w14:textId="77777777" w:rsidR="00094D21" w:rsidRPr="008F328C" w:rsidRDefault="00094D21" w:rsidP="008A03B2">
            <w:pPr>
              <w:pStyle w:val="a3"/>
              <w:ind w:left="4297" w:hanging="180"/>
              <w:rPr>
                <w:highlight w:val="lightGray"/>
                <w:lang w:val="pl-PL" w:eastAsia="ko-KR"/>
              </w:rPr>
            </w:pPr>
            <w:r w:rsidRPr="008F328C">
              <w:rPr>
                <w:rFonts w:eastAsia="Times New Roman"/>
                <w:b/>
                <w:bCs/>
                <w:highlight w:val="lightGray"/>
                <w:lang w:val="pl-PL" w:eastAsia="ko-KR"/>
              </w:rPr>
              <w:t>b.</w:t>
            </w:r>
            <w:r w:rsidRPr="008F328C">
              <w:rPr>
                <w:rFonts w:eastAsia="Times New Roman"/>
                <w:highlight w:val="lightGray"/>
                <w:lang w:val="pl-PL" w:eastAsia="ko-KR"/>
              </w:rPr>
              <w:t xml:space="preserve"> Obejrzeć ampułko-strzykawkę i upewnić się, że nie jest pęknięta lub uszkodzona. </w:t>
            </w:r>
          </w:p>
          <w:p w14:paraId="05C03DED" w14:textId="77777777" w:rsidR="00094D21" w:rsidRPr="008F328C" w:rsidRDefault="00094D21" w:rsidP="008A03B2">
            <w:pPr>
              <w:pStyle w:val="a3"/>
              <w:ind w:left="4297" w:hanging="180"/>
              <w:rPr>
                <w:highlight w:val="lightGray"/>
                <w:lang w:val="pl-PL" w:eastAsia="ko-KR"/>
              </w:rPr>
            </w:pPr>
            <w:r w:rsidRPr="008F328C">
              <w:rPr>
                <w:rFonts w:eastAsia="Times New Roman"/>
                <w:b/>
                <w:bCs/>
                <w:highlight w:val="lightGray"/>
                <w:lang w:val="pl-PL" w:eastAsia="ko-KR"/>
              </w:rPr>
              <w:t>c.</w:t>
            </w:r>
            <w:r w:rsidRPr="008F328C">
              <w:rPr>
                <w:rFonts w:eastAsia="Times New Roman"/>
                <w:highlight w:val="lightGray"/>
                <w:lang w:val="pl-PL" w:eastAsia="ko-KR"/>
              </w:rPr>
              <w:t xml:space="preserve"> Sprawdzić termin ważności na etykiecie ampułko- strzykawki. </w:t>
            </w:r>
          </w:p>
          <w:p w14:paraId="3B145602" w14:textId="77777777" w:rsidR="00094D21" w:rsidRPr="008F328C" w:rsidRDefault="00094D21" w:rsidP="008A03B2">
            <w:pPr>
              <w:spacing w:line="260" w:lineRule="exact"/>
              <w:rPr>
                <w:rFonts w:ascii="Times New Roman" w:hAnsi="Times New Roman" w:cs="Times New Roman"/>
                <w:sz w:val="26"/>
                <w:szCs w:val="26"/>
                <w:highlight w:val="lightGray"/>
                <w:lang w:val="pl-PL"/>
              </w:rPr>
            </w:pPr>
          </w:p>
          <w:p w14:paraId="16346B50" w14:textId="77777777" w:rsidR="00094D21" w:rsidRPr="008F328C" w:rsidRDefault="00094D21" w:rsidP="008A03B2">
            <w:pPr>
              <w:pStyle w:val="a3"/>
              <w:numPr>
                <w:ilvl w:val="0"/>
                <w:numId w:val="0"/>
              </w:numPr>
              <w:rPr>
                <w:highlight w:val="lightGray"/>
                <w:lang w:val="pl-PL" w:eastAsia="ko-KR"/>
              </w:rPr>
            </w:pPr>
            <w:r w:rsidRPr="008F328C">
              <w:rPr>
                <w:rFonts w:eastAsia="Times New Roman"/>
                <w:b/>
                <w:bCs/>
                <w:highlight w:val="lightGray"/>
                <w:lang w:val="pl-PL" w:eastAsia="ko-KR"/>
              </w:rPr>
              <w:t>Nie używać</w:t>
            </w:r>
            <w:r w:rsidRPr="008F328C">
              <w:rPr>
                <w:rFonts w:eastAsia="Times New Roman"/>
                <w:highlight w:val="lightGray"/>
                <w:lang w:val="pl-PL" w:eastAsia="ko-KR"/>
              </w:rPr>
              <w:t xml:space="preserve"> ampułko-strzykawki, jeżeli:</w:t>
            </w:r>
          </w:p>
          <w:p w14:paraId="740594B5" w14:textId="77777777" w:rsidR="00094D21" w:rsidRPr="008F328C" w:rsidRDefault="00094D21" w:rsidP="008A03B2">
            <w:pPr>
              <w:pStyle w:val="a3"/>
              <w:numPr>
                <w:ilvl w:val="2"/>
                <w:numId w:val="39"/>
              </w:numPr>
              <w:rPr>
                <w:sz w:val="26"/>
                <w:szCs w:val="26"/>
                <w:highlight w:val="lightGray"/>
                <w:lang w:val="pl-PL"/>
              </w:rPr>
            </w:pPr>
            <w:r w:rsidRPr="008F328C">
              <w:rPr>
                <w:rFonts w:eastAsia="Times New Roman"/>
                <w:highlight w:val="lightGray"/>
                <w:lang w:val="pl-PL" w:eastAsia="ko-KR"/>
              </w:rPr>
              <w:t xml:space="preserve">jest pęknięta lub uszkodzona. </w:t>
            </w:r>
          </w:p>
          <w:p w14:paraId="254E09E0" w14:textId="77777777" w:rsidR="00094D21" w:rsidRPr="008F328C" w:rsidRDefault="00094D21" w:rsidP="008A03B2">
            <w:pPr>
              <w:pStyle w:val="a3"/>
              <w:numPr>
                <w:ilvl w:val="2"/>
                <w:numId w:val="39"/>
              </w:numPr>
              <w:rPr>
                <w:rFonts w:eastAsia="Times New Roman"/>
                <w:highlight w:val="lightGray"/>
                <w:lang w:val="pl-PL" w:eastAsia="ko-KR"/>
              </w:rPr>
            </w:pPr>
            <w:r w:rsidRPr="008F328C">
              <w:rPr>
                <w:rFonts w:eastAsia="Times New Roman"/>
                <w:highlight w:val="lightGray"/>
                <w:lang w:val="pl-PL" w:eastAsia="ko-KR"/>
              </w:rPr>
              <w:t>upłynął termin ważności.</w:t>
            </w:r>
            <w:r w:rsidRPr="008F328C">
              <w:rPr>
                <w:rFonts w:eastAsia="Times New Roman"/>
                <w:lang w:val="pl-PL" w:eastAsia="ko-KR"/>
              </w:rPr>
              <w:t xml:space="preserve"> </w:t>
            </w:r>
          </w:p>
          <w:p w14:paraId="1526C9E2" w14:textId="3DDDA9D8" w:rsidR="009278CA" w:rsidRPr="008F328C" w:rsidRDefault="009278CA" w:rsidP="008A03B2">
            <w:pPr>
              <w:pStyle w:val="a3"/>
              <w:numPr>
                <w:ilvl w:val="2"/>
                <w:numId w:val="39"/>
              </w:numPr>
              <w:rPr>
                <w:sz w:val="26"/>
                <w:szCs w:val="26"/>
                <w:lang w:val="pl-PL"/>
              </w:rPr>
            </w:pPr>
            <w:r w:rsidRPr="008F328C">
              <w:rPr>
                <w:rFonts w:eastAsia="Times New Roman"/>
                <w:highlight w:val="lightGray"/>
                <w:lang w:val="pl-PL" w:eastAsia="ko-KR"/>
              </w:rPr>
              <w:t>została upuszczona na twardą powierzchnię.</w:t>
            </w:r>
          </w:p>
        </w:tc>
      </w:tr>
      <w:tr w:rsidR="00094D21" w:rsidRPr="008F328C" w14:paraId="7D590F23" w14:textId="77777777" w:rsidTr="008A03B2">
        <w:trPr>
          <w:trHeight w:val="5521"/>
        </w:trPr>
        <w:tc>
          <w:tcPr>
            <w:tcW w:w="9550" w:type="dxa"/>
          </w:tcPr>
          <w:p w14:paraId="737F7AB6" w14:textId="77777777" w:rsidR="00094D21" w:rsidRPr="008F328C" w:rsidRDefault="00094D21" w:rsidP="008A03B2">
            <w:pPr>
              <w:spacing w:line="260" w:lineRule="exact"/>
              <w:rPr>
                <w:rFonts w:ascii="Times New Roman" w:eastAsia="Times New Roman" w:hAnsi="Times New Roman" w:cs="Times New Roman"/>
                <w:b/>
                <w:bCs/>
                <w:spacing w:val="-1"/>
                <w:lang w:val="pl-PL"/>
              </w:rPr>
            </w:pPr>
          </w:p>
          <w:p w14:paraId="7C938882" w14:textId="77777777" w:rsidR="00094D21" w:rsidRPr="008F328C" w:rsidRDefault="00094D21" w:rsidP="008A03B2">
            <w:pPr>
              <w:spacing w:line="260" w:lineRule="exact"/>
              <w:rPr>
                <w:rFonts w:ascii="Times New Roman" w:hAnsi="Times New Roman" w:cs="Times New Roman"/>
                <w:sz w:val="26"/>
                <w:szCs w:val="26"/>
                <w:lang w:val="pl-PL"/>
              </w:rPr>
            </w:pPr>
          </w:p>
          <w:p w14:paraId="42E8CEC0" w14:textId="77C070C5" w:rsidR="00094D21" w:rsidRPr="008F328C" w:rsidRDefault="00094D21" w:rsidP="008A03B2">
            <w:pPr>
              <w:spacing w:line="260" w:lineRule="exact"/>
              <w:rPr>
                <w:rFonts w:ascii="Times New Roman" w:hAnsi="Times New Roman" w:cs="Times New Roman"/>
                <w:sz w:val="26"/>
                <w:szCs w:val="26"/>
                <w:highlight w:val="lightGray"/>
                <w:lang w:val="pl-PL"/>
              </w:rPr>
            </w:pPr>
            <w:r w:rsidRPr="008F328C">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321" behindDoc="0" locked="0" layoutInCell="1" allowOverlap="1" wp14:anchorId="54C45243" wp14:editId="086E7D55">
                      <wp:simplePos x="0" y="0"/>
                      <wp:positionH relativeFrom="column">
                        <wp:posOffset>112395</wp:posOffset>
                      </wp:positionH>
                      <wp:positionV relativeFrom="paragraph">
                        <wp:posOffset>101600</wp:posOffset>
                      </wp:positionV>
                      <wp:extent cx="2196465" cy="2863850"/>
                      <wp:effectExtent l="19050" t="19050" r="0" b="0"/>
                      <wp:wrapSquare wrapText="bothSides"/>
                      <wp:docPr id="156" name="그룹 156"/>
                      <wp:cNvGraphicFramePr/>
                      <a:graphic xmlns:a="http://schemas.openxmlformats.org/drawingml/2006/main">
                        <a:graphicData uri="http://schemas.microsoft.com/office/word/2010/wordprocessingGroup">
                          <wpg:wgp>
                            <wpg:cNvGrpSpPr/>
                            <wpg:grpSpPr>
                              <a:xfrm>
                                <a:off x="0" y="0"/>
                                <a:ext cx="2196465" cy="2863850"/>
                                <a:chOff x="34112" y="0"/>
                                <a:chExt cx="2196946" cy="2863850"/>
                              </a:xfrm>
                            </wpg:grpSpPr>
                            <pic:pic xmlns:pic="http://schemas.openxmlformats.org/drawingml/2006/picture">
                              <pic:nvPicPr>
                                <pic:cNvPr id="157" name="그림 157"/>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34112" y="0"/>
                                  <a:ext cx="2162531" cy="2691765"/>
                                </a:xfrm>
                                <a:prstGeom prst="rect">
                                  <a:avLst/>
                                </a:prstGeom>
                                <a:noFill/>
                                <a:ln w="6350">
                                  <a:solidFill>
                                    <a:schemeClr val="tx1"/>
                                  </a:solidFill>
                                </a:ln>
                              </pic:spPr>
                            </pic:pic>
                            <wps:wsp>
                              <wps:cNvPr id="158" name="Text Box 158"/>
                              <wps:cNvSpPr txBox="1"/>
                              <wps:spPr>
                                <a:xfrm>
                                  <a:off x="1511300" y="2717800"/>
                                  <a:ext cx="719758" cy="146050"/>
                                </a:xfrm>
                                <a:prstGeom prst="rect">
                                  <a:avLst/>
                                </a:prstGeom>
                                <a:solidFill>
                                  <a:prstClr val="white"/>
                                </a:solidFill>
                                <a:ln>
                                  <a:noFill/>
                                </a:ln>
                              </wps:spPr>
                              <wps:txbx>
                                <w:txbxContent>
                                  <w:p w14:paraId="1E69347E"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4C45243" id="그룹 156" o:spid="_x0000_s1253" style="position:absolute;margin-left:8.85pt;margin-top:8pt;width:172.95pt;height:225.5pt;z-index:251658321;mso-width-relative:margin;mso-height-relative:margin" coordorigin="341" coordsize="21969,28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KkzpAMAAEMIAAAOAAAAZHJzL2Uyb0RvYy54bWycVc1u4zYQvhfoOxC6&#10;b2TZ8U+MOAs3aYIF0l2jSbFnmqIsYiWSJenI2QfqK7SHPlH7Ev2GkuLYXqBtDpaH5HA48803M5fv&#10;d3XFnqTzyuhFkp0NEia1MLnSm0Xyy+Ptu1nCfOA655XRcpE8S5+8v/r+u8vGzuXQlKbKpWMwov28&#10;sYukDMHO09SLUtbcnxkrNQ4L42oesHSbNHe8gfW6SoeDwSRtjMutM0J6j92b9jC5ivaLQorwqSi8&#10;DKxaJPAtxK+L3zV906tLPt84bkslOjf4G7youdJ49MXUDQ+cbZ06MVUr4Yw3RTgTpk5NUSghYwyI&#10;JhscRXPnzNbGWDbzZmNfYAK0Rzi92az4+HTn7INdOSDR2A2wiCuKZVe4mv7hJdtFyJ5fIJO7wAQ2&#10;h9nF5HwyTpjA2XA2Gc3GHaiiBPJ0b3SeZcOE7e+K8sdXty/OJye30/7x9MAlq8Qcvw4HSCc4/Dtf&#10;cCtsnUw6I/V/slFz92Vr3yFllge1VpUKz5F+SA45pZ9WSqxcuwCkK8dUjnIYTxOmeQ3e//X7H3//&#10;9iejHQBNd0itvcQpqHsjvnimzXXJ9UYuvQV1YYG000P1uDx4cV0pe6uqipJFchcbaH5Ek2/A01Lw&#10;xohtLXVoa8rJCmEa7UtlfcLcXNZriXjchzxDrlDPASFZp3RoC8g78TP8jcXkg5NBlL3fe98oCg+i&#10;sXXzk8lhgG+DiUVzRLQTwuzJNhmOR+QCkW1ykU3BPHqopwuQdD7cSVMzEuAxvIpP8Kd7T/5BtVch&#10;tLQh3KLflWbNIpmMwF868aZSeQ9qbEfyunLsiaORhF2blwMtWK50lywKsxMRNRUWupvv84LVSWb+&#10;VwE/lNxKeElmX7MNvbZl2yMh9oPZgW8zAqhTpDJnYYeDjlm03/q6R7Cr9mycZaMBWiZBPc2mM8gR&#10;pz4Z0+xiCusxF9n5ZNDW/dtTcQA45egF7qZUQXZ5PtAivF/lsM/APiqSwm69a6txOOyxWJv8GVA4&#10;A4ogRG/FrcKL99yHFXcYANjEUAuf8CkqA16YTkpYadzXb+2TPtKK04Q1GCiLxP+65dRpqg8aCafp&#10;0wuuF9a9oLf1tQG1QG54E0VccKHqxcKZ+jNm3ZJewRHXAm+Bi714Hdqxhlkp5HIZldqGda8fLNpc&#10;FnlNyD7uPnNnuxIJSOhH01OKz48qpdWNFWGXKNhbFcuIkG1RBM9pAXpHKU4qSAej8PU6au1n/9U/&#10;AAAA//8DAFBLAwQKAAAAAAAAACEA871IpB77AQAe+wEAFAAAAGRycy9tZWRpYS9pbWFnZTEucG5n&#10;iVBORw0KGgoAAAANSUhEUgAAAggAAAKHCAIAAABreCc5AAAAAXNSR0IArs4c6QAAAARnQU1BAACx&#10;jwv8YQUAAAAJcEhZcwAAIdUAACHVAQSctJ0AAP+lSURBVHhe7P0FfFTnurgNf+/3/b737L1biIy7&#10;u/vE3RUiJJAQLCQhEOKGBncttKWFAsVdilOjLVDc3V1DXCaZ5L3XrJBSyj6n/5Put214Lm7W75k1&#10;y2dyX8+91sya/087AoFAIBBvgMSAQCAQiF+BxIBAIBCIX4HEgEAgEIhfgcSAQCAQiF+BxIBAIBCI&#10;X4HEgEAgEIhfgcSAQCAQiF+BxIBAIBCIX4HEgEAgEIhfgcSAQCAQiF+BxIBAIBCIX4HEgEAgEIhf&#10;gcSAQCAQiF+BxPDH09zWBtHS3taKhb21vaW13dba3gjR0l5va6+ztdc0t1c3t1e1YCNbW7BosbXb&#10;8IA2jHw72mz2tiY7LLi9ub3d9t9GS8d2IBAIxP8KJIY/nma7HYu2VghbR8ZvBgc4oq6lvbalvaal&#10;vdrWXmVrb4QJwATghk4H2Npsr+OX8XYs3b8lgH8XSAwIBKJLIDH88bS1vRHw0BH2tjZHtNrbWuzt&#10;to5os9vb4KlfBUgADzvE65EwqyPj/55o7dgOBAKB+F+BxPDHY3ecP4LAziXZOwzR2om9pRXcgAfw&#10;emKIX6oGR7w5Eib8jQD+XSAxIBCILoHE8Mdjt7Xbm7FhG35eBxI1RGfSxgPyPB6Oh20tjrnweGOW&#10;N0a2trW14PH66f8mEAgE4n8PEsN/AEe6b7PZ7c2trc22lsam5obG1uZmrN3UZGtsbG5saGqob6qv&#10;a6ipq6+GYX1jXUNTXWNTPUwJ0YxHS6OttbkFFmK32VttQJPNBksEN3Ra5d8FAoFA/O9BYvjjsTU2&#10;NdU11FfVVL2ofPHk6ZMHDx/du/fgzh2Iuzdv3L5+7cbVy9cvX7x68fz502fOnjhz/vS5y+cuXbt4&#10;9eaVG7eu3bx97RbE3Zt3Hty+/+TB4+ePn7188qLmVXV9fX0jSKW52XFaCYFAIP5TIDH8z7RBF91u&#10;b2lp6XzYCv32Fui5Y+M7R+JA226vr6l+cvfOpYsXjp888cMPh/bt27Nl5/b127at3bZl7Y7t67dv&#10;Xbt61eeLPpo1ZfK4SRPHzpg+aeGCOV8s/WTd2pVbt67ftmX9lk3rdmzbuGf3tu+/PXDi2E8Xzp+6&#10;cePqkydPGhoaYI04+HoBWOmbY+AhbB5WYNigZrHjm4RAIBC/HySGd4Dn/TeBMdBVh1Tb8dgB5Fzo&#10;xVdXV7948eLx48f37t27ffv2zZs3L148fvTowd27N2zauHz16iVLly5YuHDa9GljJ00smzihbPLk&#10;UZMnjSovy80eNrBf3959+sSmpiSkD0kdmZNRVpo3blzpxImjJ08eO23q+FmzJi/6aPYXyz5eu3b5&#10;jh1bv//++9OnT1+5cuXatWu3bt169OjR06dPwRaVlZV1dXV4MdEJbB5uBQA2u6mpqWPfEAgE4n8C&#10;ieHdQD519MIxoI2PwYE2jIRcDDK4dOnS0aNHv/rqq9VggCVL5syZM2nSpFHjS/JLczKGDx6UkZY2&#10;JLXfgOT45LioXlGhUWHB4WGhkeGhkREBIcFuXl4Gi1lvNpncrO7eXr6BAfBsREzU64iO6hXbOzEh&#10;KaVf6sABQzMyR+bkFReVjho1dkLFpDmz53+xbMWmjVsPHvjm1Mkzd+/cr3xZVVvb0NgAFmjt2NDX&#10;4Bpz7BYCgUD8zyAxvIOOhPprH0Cnu6GhAXwAQ6gSoDL48ccfN2zYsGjRovLy8vT09ISEhKCgIJPJ&#10;pDPrlAa1RCWTKGVStVKqUogUcolSJVIo+RKFQKoUytQCiZIjkHGFcp4YCxgvlKrECo1MrZcoNEKZ&#10;SgiTSZUimQoeylR6pUqvUmoh1CqdyWQNDgpN6tMvZ0Te9Omzli//ct/egydPnrlx4/azZy9rajou&#10;RQCwzQBoDN8vBAKB+D0gMbwD7MsGbxQK0IYe98uXL69fv37kyJGDBw9u37592bJl06dPLykpASXE&#10;xMT4+vqCEmQyGZvNJjGlRKaMwJSTWAoKR0Pj6mlcA4NvYfCtVI4Fgs71oHM9IZgCCA8G353OtWLB&#10;c2Pw3Jl8dxhCm8a10hzTQzA5ag5bQKexaVQWm8WXy9RWi2dIcERyUuqwrJxR5eNmTJ+z9PMVO3fs&#10;+fGHIxcuXLh//z7YC6yAX2nA9wuBQCB+D0gM7wDE0GkF6HdDhn3+/PnVq1f37t07Z86ckSNH9uvX&#10;LzIyEmTg7e1ttVo1Go1cLpdIJEKhkMvl0rgmGs+dIfRmiX3YEn+uJJAnDeGIQ9iiEJYwFAtBOFsY&#10;wRFFCeQxQmUMXx7FlURwJeGOiOBKI3jSSJ4UxkSwRWGOWUI4fAuPKwIlsJg8LkcoEsrlMo1apTcY&#10;LJ4evr4+gYEBYXG9k7KHjZw0ceqqVasOHTp0+/btqqoqqB7AavjuIBAIxO8BieEd4FUC9LVramru&#10;3r17+vTp77//fvny5VOmTBk8eHBISAgUB2ACgUAAGuDxePzXwBiRSMTg+zGEoRxpFEcazZHGcKS9&#10;eLJ4jgQigSdN5kqSOSIsuJIUgayfQN6PJ0vmiPtwxIlYSPpwJUlcaRIPQpYMDRjDFifyhD4CvhRC&#10;KJCJRQoIaHA5Ig5bKBRIeVwx2AJU4ecblNSnX2Fh4bx587Zs2fLTTz+Bz168eAGlQ8e+IRAIxP/E&#10;+y2Gto7bn75x4wrs1qZYD9veZmu2PX744Idvv16yaMGo4vzYqLjgwHCL2UshNwgEag5PzeJqaBw9&#10;nWdiiDzYUl+OIoivCRPqIunKGKoilq6MpcNQEUOXRzPlMSx5LEveiyPrzZb2ZonjWKI4ljCOI0rg&#10;Yj5IYIkSWDAUxzMl8SxpIluRxFL0YSn7MJV9GMpELOS9WbJYjiKWp+zFU0Vx5BEsSSBD5MMQetAF&#10;FirPQOGq6QIdX2HRGL0C/PyjIyKyhgyZMn7s2uVLr5472dJQY2+ub7e3YB9lbYM9bm+0Y/fbQyAQ&#10;iN/y3ouhxRGvxWB33LfO1myvr2989ODhkR8OLf1kcX52RnxUqEqmk4vVIoGKy1GwOSoWV8/im9li&#10;H5bEjyELYSrCmcoYpqo3Ux1P08RTsWFvuqY3Q9OLoY5lQShjINiyWLY0li3pxRb3YotADPG4GNgQ&#10;kgSWJJ4pjWfJEx1KSGSqEunq16Hqy1SlsdX9OZr+bHUSC55VRDNk4XRJIE3sTRG6U4QmqshEFxtZ&#10;Qg2fw5PwBd5Wa7/eseV5OdvXrrh+/uSrx/fbbY1trS24GOrt2P27EQgE4re812LATAA5ss1hCHCD&#10;vaNRX990/dqtXV/tmjVjZvqgwYG+PlqlgsGQMJlSFlvJ4el4Igtf6s2X+/FV4TwVKCGaLo8iS6OJ&#10;kmiCOIYg602Qx5EUCWRlAkXVh6ruQ1MnUxVJVEUyTdGPrkihK9IYWAygKQbSFIMgqIqBVMUAqiKN&#10;qoRIpapSKaoULNT9yOq+EBRlCjxLkfUjS/uSpQlkaTxVFkuTRtFl4Qx5MFMRxFT4MqTedIk7na+j&#10;UDg0CkskkFgNhqiQkNKRI774+KPjP35fU/nC1tRow+6q0d7UjsSAQCDezfsuhtZWR61gxxpQLjjO&#10;ILU+evh0396DkyZMTu6T7GZxkwiFXBaLxVZwuWqByCSWuUuUvmJlgEgVzFdFcJUR0HmnYWKIASu4&#10;imJ6OsJJ3MtFGkeQxRMViWRlEkXZl6rsR1P2p6vSGKrBTPUQliadrhpKcwRVlU5VDaGqBlPVgyiq&#10;ARRVGlmVSlZDpJAxN/QjKfq5ivs6CxJ78uJ68qKd+dEEYQRFGsVURnHUETxNOF8bzFEFsOTeHJmb&#10;UKTicSUCnljGF2lk8lA/74y01OWfLr58/uyLp08aGptb2tqQGBAIxL/jfRdDi0MMoARcDPX1jQ8e&#10;PD565PiC+Yv69U1zc/MWiRUstpDDk3Alnnypl1AZIFQF8ZXBbHkIQxrCkEfTFTFURTwEWZ5IUiSR&#10;FMnO0iRnabKLPMVVkUpQDCSqhhDVGUTNMKImm6gZQdLmkHS5ZH0exZDvqi9w0Re6YENo57nqc10N&#10;OS66bBdtlos2w1WbQdCmE7RDCDpYwmBX6QAXSaqTqK+TMNFZlOgqjiNJe1PkvejKaIYqmqmKoMlD&#10;KdIAhtSXL3PjCvUsrorFFLKYAqVY6ufhWZgzYuPaNadOHH/+8mWL3Y7/pg8CgUD8lvddDDbwAfbb&#10;OG3YJ1Ttbc+ePDty+OjyZSuyMod7ePjJ5DqeQMHmyQVSHUcWwJUHcBWghGCGLIQqDiWJQimyWEjN&#10;ZEUfqjKZqk6ladNouoEU7WCKbghFl0HVZ1L1w6mGHKohj2woIBsKSYYiCKKxI1xMpc6mMmdsWOJi&#10;KnYxFbmaC1yNea7GXFfjCAIW2QTjMKJxGFmfRdVkUTQZFM1QimoQWTWQAiWFIokojSNKY0jSaJI0&#10;jCgOIYqDKeIArsybJ3XnCE1cnpLLU8hEMp1KGx0WXlJYuGbVqhs3bzbZmhtbW5EYEAjEO3nPxdDW&#10;3NrWitUNmBhAEXdu3tq6afPo8jFhoZEisZojULIEGoZAx5VZadIwmgwCOuZRVHkMVQ699TgoEcjK&#10;ZLKqP0UzgKIdQtMPpRkyacbhNNMIqjGXgvkAZFBMMpSRTGPJ5nEE81hX8xgX8yhnc7mTqexDy5gP&#10;3cZ9aB37oXVMD+voHtZRTtZyJ0ups6XExVLkaikiWAoIlnyiJZ9kzCXrQDAjacaRNEM2VZdF1gwm&#10;qweQVSkkRR+CLJ4g7UWU9SLLe1GxD0GFcBSBLIkPW2Dk8PUCnkzIlxk0+qjwyEkTJp46daqqprq6&#10;vr614zAgEAjEr3jfxWCzO377xm5vxT612nr1woVZ06Yl9Eow6i0cnoIt1LGlVrrYnS7xchJFO4uj&#10;XSS9iPIEsqovVdOfph1A1Q+h6tOphiyqYRjVMJxqzKEaR5JMuSRzHslURDIWE42jCMbRBMM4V+N4&#10;grmCYBnvahnrZC5zMpdA9gcT9HAf6+Q5zsljXE+3MT3dRju5OdxgLXO2lrlgUQLhai0hYEsrJBsL&#10;KaZCqimPgllnOMUwDDxE1aWTtYPI6v5kZSruCaI0iiwJI4sCaXx3Bt/K5amhdBAJpAadcXh29oH9&#10;+588fVxTX2trQTUDAoF4B++3GDp+Ph/cYIeaob299cKZU6OKC308fOQyNZMjZ/L1TIk7VexFkfj2&#10;EPXuKY53kvZxVfYjadIoOlDCUJopm2YeTjOPpJog8qimfKqpgGguIFoKieZSoqmMaBpHMI0nmCY6&#10;Gya4miYSrBWulnFO5lInc7GrW3EPa1kPkIHH2J4eYz60ln9oKe+BWQHcgIUzFuUQLtZygqWMZC4l&#10;mUvI5hKKuYhiLqSa86nmXLoph27MxsykG+qoIQYSlSmu0t4EcRRRFEYTetMFXjyhgSfQcjkiuVSZ&#10;1j9t3bo1165deVn1sqm5seNAIBAIxBu872JwfDinrbXNbm+ztbc2nj12uChnmFal5XMlFKaczNG7&#10;8j2chAFEeeS/FIM/UA7poRrqpM1yNYwgGnNJpnySqZBkLoJ8TTJBlDqizMlS3NNa7GQZ5WQe7Wyq&#10;cDaBEia5GCpcjRVkaxnJUkI0ZxMtWRT3DJJlGNmSQ3HLI1tzCWaIPIK1COoDF2sp1A0gBifrGEeM&#10;dbaMccHOQY12NY8mmMsJ5jKiGVRRRrWUUc3FFFMRxZBP1uWSdDkE7TBn1SAXRYqrrA9FHEEWhTAF&#10;FibfwGKLRWJ5XFzcwoXzfvzxu/sPbjc113UcCAQCgXiD910Mje1tjY6f3Le3N7e11J/46fsRQwdL&#10;BGIWg0dmykkcgwvPw0UcTNX06qnLctINc9YPdzHmQAYnWgpI1iKiudgRpY7AkjXRXN7TWtLDraSn&#10;dXRPyxgn8wQnhxhcDVA3jCdDr99URDBmEIxDyJZBZHMGxZJNteZQLDkkM0Quxb2Y6FbiailxtpQ5&#10;W8qdLGMhelrHwdAZizEuljGu5lGumBvKSZZyqtsoqrWUaimlQhlhKqAYC8iGkQR9Jkk7iKROpclj&#10;KJJwhsDK4IEYJCKRPCIiYnzF2G3bNl27frHZVt9xIBAIBOIN3ncxNPxKDLUnfvx2xJA0MU/oEIOK&#10;zHcnSIJdlb1ppv49zCU9zSXYWSBLmYt1lIt1tKsVS9PQkXc1j3sjxv/Lo/yfnmUfuI/5wA1y+gRw&#10;g6tpAsk4imIaxTAPpxqGUnTxZE00VRfGUEWzlL1Z6kSGMgH7ogOkcn0G1ZRDMecTzCUEzA2ghHGw&#10;kI6wTHCyTHC2VDibx7uYx8O6SNbxJMs4MhZjyeYxEGAmV3MR0TSSZBhGU/clK+IZIm+GwI3NU4kk&#10;ypCQkLKSwnVrVly9ctbeisSAQCDeARLDm2KoO/nTdyMzBkoFEhYdxKCmi31oqmiKLplmGfDrU/+j&#10;ofPeEeaxLuZxb8T4f3qU/8Oz7F/uY/7lNrYHJoYKV1MF2VRONZUxTJkU3UCiIsJVFkiQeZFF/lRB&#10;EEUYRhSEOguiXMVxRGV/ij6LasolmIoJ5tIOMVgm9ICwYkOHGyqczONxNxAs44nmcSRHkM3ghrFE&#10;qCcsJSRLAdU8kqVPo6uTWRJ/lsiTw9eIxKrg4JCSkoI1q5dfvXymtQWdSkIgEO8AiQE7m9TS3mJv&#10;b2pvrTtz9PvC7HSFSMakcQl0FUMawNInUI39yaZBPd3HY+E2vqd1fA/LuB5mLHqax0PedzZPgHDp&#10;iIn/5VH+f3uV/cNj7D/dHWKwVBDM42nmUoa5mG0cRFUnESW+zgKzi0BN51nYPE8m35fO8yHxgimi&#10;KJqyL0OfzjCNIJmwSxculnHghp6WiT0grJPw6GmBmOgEAes1VbiYMPFAEM1YQNXibBlFciuluhWx&#10;TEMYuv4ceTBL6sviqQUiZXBQSFlp4bq1K65cPtXcVNVxIBAIBOINkBhwMdjt9qbW5prTR0AMQ+VC&#10;GYsuIDEMDEkYQ9OPosugGEc4uZc7uZdhHyd1G+24IDzeyVoBOdrJPNnJPN3ZPMPZPMvZPNvZPMfJ&#10;ONnZOMnVOIlgnEQ2TqQaxzOMY5iGArYxj2ccTFcmE0XBBIEfVepHl0ezlAlMVSJF1stJFOksjSVp&#10;k2nmQTRrBsk6gmQdiV2Ixr7WMNrZNMHFOM3ZONXJOMXJOKmncWIPU0UP8/iemDZG98S+A1Hew62s&#10;h1vph9bRH2DOGEuwjGJachjGLK4qliUNZnINAqEuODCirLhk3erVVy6ebW6s7TgQCAQC8QZIDCCG&#10;9lbsZ5xt9ua600cOgRgkPCmTKiDRzXRRJEM1gKbPZVnBB4WOKHFyK3V822CcE1QD1mlOlulOlrlO&#10;5nlO5o+czIuczIuJqllk5UyqaipVNYWhqWBqxrB1pSzNCK5uBF8/mKHoSxJGkkURLGUsXdOfphtK&#10;NwwhqFL/JYn9lzTWRdeHZEkluQ0gWIcSrJmu1nxXa4GrtZRgmkDUzyLoZ7jqp7sYpzgbwUYTMCu4&#10;j/3QvfxDj7J/eRT9w7PwH54F/3Av/6dlxocmcMN4uqWQYcrlqvuwpJFMrlUgNAcHxpQVla9btfbK&#10;hfPN9ehUEgKBeAdIDK/FgJUNzWeP/VQAYuBLGVQ+kWagC8NY6lSmMYfnUepqHOdqHOuIMa7G0a7G&#10;MoKpjGguIWIn9AtJZogC7Htt5jy6Jo+hzmeocxjq4Ux1Jna/PPUAliqJq+nD18Yy5WEUoRdV5MmS&#10;+3JkUXxFnEDVmyWJJPL9iAJfuiKYqYlgaqIY2t4MbTxT15+pH8DUp9MMmRRDNhQuVGMOxZxHseRT&#10;rEUkaxHBUuyCfU3a8REm7DsQUD2M62GdAlZwNY9mWnKZ5uFcdRxLFs7mW0Uic3hY3PjRFVs3bbl2&#10;+VJzPbr4jEAg3sH7LgawAkQLJobW9jbbmZ9/zM0cLBcpmHQhiW6gi8KYqhSqJouqzYE+O8FYQTCO&#10;JxjHEoxjCMYyoqmUaCogmvKJxhyicTjRmEU0ZkAwtCOYmhymehhTlclQDWIo+zOVfenSWLosmikL&#10;por8SDwriWehidyYwiDsNz7FYQxBEInrSeJ5UsU+VIk/GYtQiiyCqkigK/vQlakUdRpBM5CoHUzS&#10;pZONwyjm4RQLJiGCqcDVVOxqLnUxj3KxjHaxjnW2ju/pNsXZMp5gGc2yjGSZsrkgHmkYm28RS8y9&#10;YpLnzJj77YFvHty9Y29G91dFIBDv4H0XA6RGiBbs/tstbbaGU0d/zM8eqpKp2AwhlaFji4N46j4M&#10;VRpVOZCpn8LUT2boxjN0oxi6QqYum6kbytAmMjTxTA108/2ZGg+mxsLUmFgKf5Y8iCXzZ0r9GBJv&#10;htiTKXanC4x0gYEh0NB4KipHSuFIaVwpj6UVMY0ipkHI1PEYKgg+S8VlqjgQLD2HbeBxPQQ8LwHf&#10;jyn2JMnNJIUbRelJVQfTNWF0TRxdk0TXpNHVQ+nqYXRNPkNbyNCWUfVlBEs50VRINuWyjUNY+gFc&#10;OYjHh0pXikT6Pon9P/t06anjp54/fWZvASEiEAjE27zfYmhrb2rD7oqBiaHFZm+uv3jq2PjyYi83&#10;L4lQSWNqWSJ/niqerenP0g5i6sYxdWMZ2lKGtoCuGc5QD2ao02iKKJo8gi73psndaTI9TaqmSZQk&#10;nhmrCbgWEtdM5pjIHCOFo6fz9QyBnsHXMHhqOldJ5ypoHDmPpesQA0svZOsEbC2freEyNRwIloHD&#10;MnI57jwIrjedbyGItQSxkSA2EyVeRIkPURJKlkZR5YlURSpVMZCmhOpkGFM9kqrNI5iLCIYckiGb&#10;qU9javqyJYE0ngedqZTJzUMGD9u8aevN67eqq6pamtG9khAIxDt438XQ0NJuAytgFYOtrbXp1vVL&#10;H82bmdo31dPdh8PX07lWtiSEo4jjqZPY6gy2aihLOZClSGHKE1myaJYsnCX2ZIncWUINi69g8YRM&#10;Lo/JYdPYchpHReOAANQMrgaCydNyhAau0MgVGHlCCBM02Fy9kGuRcN3EXKuE5yYVuEsFbiK+BUY6&#10;wirkugm57o7wYPOMVIGKKtBQBVoK30DhQbjRBF5McSBLEsqWRHCkvXjyOL4ika1OIRszybqBVG1/&#10;tiYO+z1RoTuLb5LLzR7uAaUlo3/84afKyqrm5ma73d5xIBAIBOIN3vuKoRUrFyBB2rEbJtkeP7yz&#10;56utUydPjeuVKJKYaEwdnevBFAZzsc+VxrIUMUx5BEMaShMF0IU+NIEng29m8sxMrpbJUbPYChZL&#10;xmJJWVwDi2diCywcoZUr8uCLPfkSb5HUTyTzF0kDRbJAsSxIJA0SSgKFkmCRNARCLAuVyMMksjCR&#10;NNQxJlQkCYZn+aJAvjCQJwhgC7wZAnc6343Oc6NyLRSOmcw2QwNGMgRuMGQKPTkSH77cj6MMJ2tS&#10;qeokqiqeIQ2mifyZXD1XoHez+iUmpMyds+DC+YtNTbZWO+w9AoFAvIP3/RoD9nkkRwP7NQa7rfLF&#10;08sXz2zbunVkTp7Z4s8XGhkcE43tzhL4MWQWhtRMF5toQiOFr6dw9VSOjs7RM9kGFtvAZhu5bBOf&#10;Y4bgCTx5Qm++yFcg9hNKg0SyEJEsTCKPlMijxPJYR/RyRBxP0ZurxIKnjOMp4x2RAEO+Ip6n6MWV&#10;x3KkUWxJJEsczhaGsvkhbH4gixdA53jSOR40tpnBNTH5egZPRecqGDwJky/liKQMsYkgjSbLIsji&#10;YCrfncK1cPlaucLcKzZx3NgJmzduuXXrjs3W0tyK6gUEAvFu3veKodUOQsAa2O+3tbU0NtY8efrg&#10;zJnT8+fPT0xMsVgCRGITg6llc0x0oZguENMEEhpfRuUrqFw1latj8t1YAg+2wI8LXXtRmFASIZJE&#10;86UQMXxpLx6ELI4vj+fLEznSPhxpElval4VFChOLVLKiH1HVj6hMISpTScoBJMUAsmIgWZ5GwaIv&#10;BFWWSJElUOS9GdIErrgPVxzPFcVxxNgHmbhif67Eiyu2sEUaBl/G4HFpXA6NyyRzxS48TxLPjcSz&#10;0LlajlCvVBi8PP2L84u2bNx85tTp5y9eghSa7W3NyAwIBOJdvPdicPzmcxv2m8+tbW0QtmZbw8OH&#10;99etX5czIj8kJFalcudwtHyekcrnUPlcGl8IeqAL5AyBlikwCOT+IkWgSBEpVkRLFHFSZYJM1Ucg&#10;S+BjkcjDog9XlsSR9WVIsKBLUmlYpDligKs81UmZ6qTo7yxPc5EPgnCVD3aVDYQgyFKJslSyPJks&#10;TyIrEpjyvgJZmkCWIpSniJUJYmWcRB0pVgbyZe48qY4jVrKEfAaPQ+fRKVyBK8dCYBsILC2NpeCJ&#10;dHqdOSQobMaUqaeOn3j6+HFdfQO2n23tSAwIBOKdvO9iACVgZ5Gw33x2/OhzW4u9zfb06aNNmzbk&#10;jcwND4nQKHQ8pkjAkjLZehbHwOKZOQJ3jtiLI/XjyAI46ggIpiqKoYqiKqPJEIoYmjyZLkuhyVKp&#10;8lSKvD9Z3p8kTyPIBxAUA10Vg1wUg5yVg52wGNJDNbCHekAP1aCeysHOikxneaaLPMtVlkGQDSXK&#10;BpBkAyiKZIoiiapMoMrj6fIEujyOIY9jKXqxFLEcZTRHHsGRhXDlQTxZIE/qyxV7c0QebKGFIdAw&#10;uHIqU8Rkcvl8kV6tCg3wnztj2qXzZ6tfVTY0NcOuNoEY0EUGBALxLt5rMeDXFnAx2OF/m73V3lxd&#10;U3nr9vVlyz4bmDbAx9NHJlKwqFw2lcfhunF57lyBJ1/ky5cG8BTBPFUoSxnKkIeSZaFEaYiLJLin&#10;OKiHKIgsTaLKUqgysIJDDIr+2Gki9SCSZjBBk+4KoR3q4ghn7WAX3SAXLYwcSlAPI6iGkVTDycph&#10;FGUWRTmIikVfqjKJpoyjyGKJkiiiOJIoiiSJwkjCMIowhCYKYctCebJQvjxMoAgVyoMFskC+1Jsr&#10;NbCFagZHAmLgcvhKqdjfy3PqhLE/fvfNg3t36xoaWtraGu1tSAwIBOKdIDFgdYPdjgU8qm2ovXP/&#10;9tGff5o8aUJ4aIhBo5EJxUImT8wS8NkxfHYsnxfLF/TiSRxXhpWxVGUERRXuqg5xVgf11AR8qPH7&#10;QOvnqkgiKlJJqv4kdRpJO5CkG0QyDCYYhxBM6S7mdGcshjpBWIYSjYMphkEUfTpVN5SmzaZpshma&#10;EUx1Nks9jK0exFYNZCsT2cp4liKaqgojaYKI6iCCMpAgDSJIgoiiMLI4kiGLY8uSuPJ+PGkqV5zK&#10;EaRwRVEimVYgVnB5Ig6LxWOz5EKum0EzbEjasiUf/3zkp+eVL5vt9rqWNvQtBgQC8U7eczG8LhZA&#10;DK2YG16+qjl28vSXa1ZmZWeaLSaxSCLiSyQ8tUJo5POjIbiCaI4ghi2KZYh70SW9acpEmroPRduX&#10;pO1L1KcQjalEU3+SZhhZPYKsy6ToM8mmdLIlg2zNcjXnuFhG9rQU9rAUfGgt+MCa94Fbbg9rdk+3&#10;LFdTLsGYR9GXkHXFMCQa8gmmXFcTjM8g6tNJuiEUFZhjINWYRjH0J+tSiZoUoiqFpOxHVvSlKfoy&#10;5ckseRJXEs8W9mbzolmCILbMzJbo2SI1hyfmckViPl8tl0cEBeZlZ69btfru7XvNtpamlrZWVDEg&#10;EIh3gcTQ4nBCe2tLe4ut/f6DVxs37y0aVRoVFyPXyDk8IYerEHDdJHxfniScKwnnSKJY4miGqBdV&#10;lEARJVEVQ2jKDIp6JFWTT9WW0vSjaIYxNMNEqn4yxVxMNucT3TIJ7sNc3Ef0tJb2sI7+l3XqP61T&#10;/st90v/tPv7/9hz9//Mu+v/6gCTGfmgZRzBMczFMcTJP/Kf7qP+/d8n/5Zv/f/nl/8Nj1L/cxrga&#10;p5CMFRTTaJJxFNFQTjCUEPTFRH0eSTucrE6nK1MYij5caQRHFMoX+LJEvmSZD1XmSZd5cMQGtlDL&#10;40qEPJlRpQ8PCJ0xcdqFkxea62x2WzsEAoFA/BYkBhCDDftUUku7ran94qU7s+d+2jsp3uRh5UsF&#10;XKGUL9TxuB48ji9TFMsUxzIlcQxJIkPWly7vT1MMpKmH0TTDqbp8qr6IYiijmkZTzWOphhk0wyyK&#10;cRTZWEI0D3c1D3fGyoVRrtbxztg9uqf1dJvc062ip8fof3qV/sO7xMUy3tVcQdNPpeinkEyTnNzG&#10;fOBV/l8+xf/lW9zTfYyzdRzVMIVqHE8zl1NMWBBN2P37SMYikiGPpMumagbT1GlsRTxL1gv0wJCG&#10;kWQhFGkgTerPErkxBWYOW85lyUQcsUVnKR5Z+MPXP1Q9q7I1tLagjyUhEIh38X6LAczQ1mJvseFl&#10;A1QMx09czCsYY/KwCKRCBo/FFcmEEiOP583j+tFFcQxxPEPShyXvx1YNYGuHsnVZDH0OXT+SZiii&#10;GUuoplFU82iqZSxVP4umn0sxjiUby0mWkUTLSIIlz/EL/uNcTNOcTVOhLHAyj3Oylv/LveSfniWu&#10;prEE4zi6djJVO4lsmOBkGf2Be9l/eRb/l1exk3W0i3kMTTeJBhOYy6mOIGFRRjaXkk2FZONImj6T&#10;rk/naPtx1Ml8VRxLEUuSRVKloTRpMEvkyRS4cdhKDkvOYwqVEnV6WvqOzTse3H5QX9OIxIBAIN7J&#10;ey0G7NOqbc0tkCBb2rG7bre0Hzt2bujQkQqtkslnk1kMpkDOlbhxhSE8URRJMoQsTafIM2nq4Qxd&#10;LtNYwDQVUU3F2CkjSxkJwjqa6AYxhqSbQ9YuoJgmUEzjaNYCulsB062AZiqlGcvp+vF0/ViGoZRh&#10;KGCYcoiWfFdrEcNQxNQXCzUlfE0xV1dMg1LAUuRiLXRxK6SaiuiGIr62mK0vYpiKaKYSKvjAMopk&#10;GUW0jiZYyl0tZURzEclcQDEOpxqy6YYMqjadrBhIlafQZEksUSRDEMLmQNFg5LHkMqEqOb7vsiXL&#10;zp48+/zps+ampo4DgUAgEG/wfouhra3V3txqt2FXGVqx+2OcOH5uyJDhMrWcwWOT2QwGX8ERu/Gk&#10;4WJFPF09nK4eQdeOZOjyGIZ8hqmQYS6mWkoollKStZxoLSe4lbtiMYqkn0PWLSAbJ1CMY6iWPJo1&#10;jw5hLGEYy5j6sUz9aJahmGXIY5uw31QguhWyDAVsfaFYUyTUFPJ1hQxjIcVSSLAWEtwK6aZCpqFA&#10;qC3k6Aro+nyKoZBiLCKay4kWWN0YV+soF1ivpZhoKaKYR1LNOQwzuGEYVZNBVw9iqPqzZb2Y4kgu&#10;z43LM3NZChFfGRMeO23ytH279968fqOhDv2CGwKBeAfvfcXQ3gx2aG3BrjFA0XDi2Jkhg4eJpCI6&#10;h0Xm8BgiA1sWwJEnCDQDaKbxVNM4CIppLNk0hmgaDUEwj3a1QHYe5Wwt72ktw4Nkmk42ziSZiomG&#10;XII+jaDrR9IkUdVpkKzZyiFs5SCush9XmchXx9C0/Ui6gWxVMkeZJJHHieTxfGUfprofVZtG1A4k&#10;6gYx1CksVV+RIp6tSqNps8m6HLI+19VU6mouc8J+qW3ch9bxHzoaTtbRztZRruAJczlVP4quK6Jr&#10;RrIVaUxpX64wiMP3YbM0IoEmLDhqVNmo9WvXXb5yoakZ/YIbAoF4B++7GFrbm+1tLa2OCwz2lvYT&#10;P5/OSM/mi/h0NpPCFTAlFo4yjKvqx9MMoZknUs0TKOYJJFMF0TTW1TQGwsU8Gvulfusop9di6AFi&#10;ME+imqeQzXmuuoweqt4fSqN6SMKdRTGuol5kQTxZ0JsmCKcJg+giH1dJdE9pAlkUThGGsvi+TL4f&#10;XRBEEEX2FMf+Sxz3L0kCQRxNEkUweX4USRxJNZSsy6YYRrqaSlzMpT0sY0EJH1grPsDcML6HdWxP&#10;6xhn62hX82iKcTxNX0bXFbDVQ1iKNI4ohMXzZTI1QoE2JDiypKRkzapVly6fa7Y1dBwIBAKBeIP3&#10;XQw2x4237Y7vuLXb208fPz0iK0cg4rN4XCpfypR58nRxXH0GS5tNME12NU1yxERX8wQXc4WLpcLZ&#10;Ms7JMtbJOqandXRPt1E93cohCKYyimUUzT3TVd/vX3L/f4g8P5R4OAt9XYX+ZH4gmedP5VqpPANd&#10;oHSV+DtJo8giDxLfQudIaRw5ladzFXr1EAb+Qxj2T2EEUexHEnpQOXJXvr+rfABZN4xmGkkwgxhK&#10;PsTEMP4Dt0kdYZ34oXVCTyts0gSicTJJN4aiK2NphzFV6SxROJ3nR2dq+HxtcFBESUnx6tUrL146&#10;3dhU23EgEAgE4g3edzE0tTfa2m2tv4jh5Iis4QIhj8XlkHkyusyHre/DNo5g6AtcTBNdTBMgnE0V&#10;zmaI8c4WCIcYLGOcLKOdrBBQOowiGIsopmKa22BXfdKHCt8PpJ7OCi+yIpCqCGHKwmjiIJrAjS4w&#10;MsUakjLMVZ1IV/pQJe5MoYghlDIkBpoikKiKcVImOiuTqKpQmtyPIZIThSCG/mRdJs00gmAucjEX&#10;fWgZ/aEFKoYJEB+CFSwVPSzjnbBNqnA2TXbRjyXqy5mG4UxdBkcezRQFMrl6odgQFBxZVFi4cuXy&#10;S5fPtNgbOw4EAoFAvAESw6/EcOb4yZysbKFDDCSejCr1Y+n7ssz5DFOZC1YlYIFZAasVOsTgbBnr&#10;iDHO2JkcLIiGfLKxgGod4KpL6KH06anwImp8mPpwrjFaoIthK0IZYg+62MSR62naGLKhP8cQxFB6&#10;saRClkzGVpnY+giGMZlsGEA2DGIZohmaQKZUBqUDJgZ9Js3cIYYeltE9LOOgSoDoYZ3Y01IBVnCB&#10;TTJX9DRNdjaOJRjLWaYclnEYT9WLLQ1l8Y1CqTEoJLKwsGDlyi8uXzlrx37uGoFAIN7mfRdDY4cY&#10;2uzY6SQQw4mRWVkiER/EQOApSBJ/qq4/zVxGNY93MY9yxGhn/LqCZbSLZYyLGWKsKxZjHEMsyFrs&#10;8i/VmOWq7t9DHuGkCCfrojnGfnzzQJFxMEvVjyyKJItCWMpgqj6TYirjmvvRNbE0mY4qM7O0IUzj&#10;AKppJNFYTjSOYZgGUzSJZKnZWRzsIk8l6zNo5uEEc4GLuaCnuczJMgrqFWfzWNgGgmkUzEI2lrma&#10;Rn1gGd/DXO5iLmZYshnmDI4mhikPpvP1PIkuKDSypKx0zbrVV65daLGjj6siEIh3gMTwKzGcPX4i&#10;NytLKhNx+DwCT0kU+1O0qRRjKdkEnfFRjgAfdISrBWSA+YDQEePwoOjH0PRjacZsgnpAT3mksyKS&#10;ouvFMfYXWAaLTBksVX+SMIokCmOpwqmG4RTzGK4ljaaNI0t0ZKmFpQtnGAdTjPkE4xiisYJhyqBo&#10;kmG8szjERdEhBqKlwNVc4GQuc7aMgmIFNxPRNIpkLKcYy8AQH1hBDPBsEc2SRTMNZamj6NJAGl/H&#10;FWtDI2MnTpn01Z6dN29fbW5Bn0pCIBDv4H0XQ0N7Y/MbYjh3/HhuVqZSJeOJRES+xlUUQFD1d9WX&#10;uRgmuFiLIFytxa4WiFJXSxnBUk4wjyaaxpBM40hGiPGOqGDqZ7L1c5iGUUR5Tg9xXydJP7J6EE09&#10;nK3P5+rKyNKcHuz+TrwUumogUTfR1biIaSpwVQzpyffuyQ+iqPqSdMUu2qlOukXOhiU001iSZiRB&#10;Gt5THOusSCUZMqgWEEO+qznPxVwCm0GwjCKZysimMpqxmG4oYhkKKabif3mM/sBa1MOaRzIPJhr6&#10;UxTBJLEPTaDlSrUx8X0++njxkWNHHj6539iMvseAQCDeAbrG0GRrs7XYW7HfY7C3nTl+omhkrk6n&#10;E0rkFJ6GJPCmyOIo6kyaLt/FUgzhailxxTJymSv2rePRWMVgGkswVRCMEBNcsZhIMc6iGufQDeWu&#10;iuyeklgnCSwhhabKYWpLWLpckmxoT14vF14iSzaUpB3vapzNNI0kKAY68Xx68oPJShBDkYtuspN+&#10;gYtxMc08mqzLIcrDnSXRBEUSxTCYZskkWHNdLLk9LSVO1jJnNyhcygmWMoqpkGosYBjzyKaCD9zK&#10;PzTn9zSPIBn6E7XJVKkvWejGFKhFck1Sv9TVa9dcvX71ZdWLpmb0cVUEAvEO3msxYGpob7HbbS0t&#10;2NfcQA2nT12YNXN+eGi8QefN5+h4bJ2QZ5aKPDQKf1dTGRbmUdiX2rBLC+NczOOdzROczBN7mqb0&#10;wGLqhxDGaf9lnfFf7jMJprKemnQXhcVV7kNXRzE05UztdJolhaiLJSpUNGGYmFtC15QRLWVM0xCy&#10;uh9JFEIUR1IUKWRdAcE43sk01dkyg2ItIOqHEuShBGkwQxnBMiZzrAMI7jnO7iP/6Vn+T6/R//Ae&#10;9y+v0R94lru457lacynWYSRLjrO5yNUwnKBLp2t6UZURTKGWwZMLhEKTyTgsa+jBgwdevnxZW9fU&#10;im6VhEAg3gUSQ0tbm81uhyFWNFy7envdms1lJRMiw/tIRSYOQ81nG4RcMwQBeu76kSRDAdlURDIV&#10;E4wlroZSF8NoZ+MYJ+P4nsaKnsaJPbCY9A/rlH+4TSWaip3Ug1zkZleZD00dRdeMYmhnUC0pBEwM&#10;SpowVMwtepcY+pF1eQTjOCfTFGfzdKolj6hPJ8hDCOIwmrw3Q5/GMg8lWPOdrQX/ch/zL/dx//Ks&#10;+NB9TA+3UQRLPtGUSzMOoxiziYYRJF06WZNKV4RTJQEMnoLNlxlNxl69YqdOmXjq1Mn6+vrGZuxz&#10;WAgEAvFbkBhaHG5wXGWw2589rTx+7MzyZeuzMgpMen+saGDpwA18jtFJOsBVMZiszaLqR9CMeWRD&#10;PlFfQDCUuhrLXIxjnI1jse83YN9ymPgv66R/uU0mmQqd1QNd5WYCJoZoumY0QzuTak3tEIPoDTGY&#10;098SA9E4ztk0xcUMFUYeSZ9OxMQQSZUl0XXpTFO2q6XY2VzygXXch24TPvSY5OQ2ztk6hozdRy+P&#10;oR9G02WSNINJyr4ESS+y0Jsi9OSL1UqNMSo6sqS4cMP6NXfu3G5qampoQmJAIBDvBonhFzG0tbU1&#10;1NuePqn8+cjZjxd9MaB/toc1VCI08dhaIc/gygkl8SPo0ji2ui9XN4CtH8IyZNANw2nGERRTAcVU&#10;RMZuhT2K7PimW0/raKpxBEGdQpAbCDJvEANNM4amnU2x9nfR9SIoFFRRsIibT9OUEt4UgyiCouhL&#10;0eWSjGNdjBNdzVPolhyybhBZFuAqjCZJ0qiabIYhl2AEG5X0NI1xsYwjulVQLKMophKWfjhTO4yr&#10;HszVpPE1CSxpGJnrRWFruCKj0eQWGhpeXJi36ssvTp34ubqqqqWltaGpDYkBgUC8k/f94nMbJgaw&#10;QocYWlvampvsTx69+unHU4s/WjF4wEizIYDDVDFpChIngMILogrCGZJYliKRrUll6wbR9Rl0fRbV&#10;kEs15lPMJVRLGdVxx1NnaznNOJyo7keUG4iYGGJo2rE07RyKNc1F35ugdIiBl0/TghjKHWJIATGQ&#10;RBFURV+qLpdsHOtqnEgwT2FYcii6QRRMDDFEyUCqZgQDKhUQg6HUyTjGxTSGYB5DMhST9QUMdQZd&#10;MYQtS2VLE5miUBrPm8gw0VhKuco9LCw8MzNz/dovz5899fLF05YWEGFbc0s7EgMCgXgn77cYwASt&#10;2JVn7PaqWPWA3XwbmjXVjXduPTr0/bGPFy8fPHC4t2eoVu0uFZnFAjOfZ+JwzRy+B1ccwJOFsuWx&#10;LGUvhjqZqUll6AYxDOkMYwbVPIxmyeYYBtFUvSgyDVnmRVP3omorKNoFJLeBTvo4F5WcIg4U8XNo&#10;uhKCZRTDPBTEQBYFk0ThNEUyXTeSYhhFMownmyayzcMY2v50qQ9RGEqUJNE0A5mGoTRDJkWfQTFk&#10;UHRDyJo0qjKJKo9jikMZgiAWz4vJMrEoUgFboZToPczuSXF9RpcWLluy+NyZY7U1lW12G+w1Jgbs&#10;Z+sQCATiHSAx2Gy2t8VQX2urfFl77+7To0fOLPt8TVHBmLTUTJPOV61wF/KNbLaexTExeR4sgQ9N&#10;FEIXh9FkvWmKBJqqLx2SuG4g3ZwBwdGn0VUxVBCD1JMKhtBUkLULiG4De+rjnFUysjhAyB9B1RW7&#10;vi2GJLouh2IoJxnGkY0TWMZMuiaFLvEmCoOIkni6JpVlGEjTD6LoBlD1A8iafq7yeKIkigglAt+b&#10;xvWgs00MhobHkBtU1sjgmOz0rAWz5+7fveP86eNPHt1pbWloa8PKhRabHbvGgO0xAoFAvM17fo3h&#10;N0CubGsHUzQ3tTY02F6+qD5/7sqmjdtnzpiX3n9A7/AoT5OHQWXUKE1SiYnNUZPoairbQBd4M8V+&#10;DEkwSx7GVkbyTMkMbQJbHsNWhDDkSrLEnaLsRdZMJmkXu7oN7mFIdFZLyRJfoSDLIYbRDjGk4mKg&#10;K5IY2uE0fSlFP4asH8NQp9Hk8SyxG0XoTpH6sbVhXH0EXR1EVfjTVX40hRdJZCTzlRS+nCeWSZQq&#10;lVZl0GkDzB7x4ZFF2cOXLV509NC3D+7dqK+tbG+3OS6o2LHzZ47ddKgQgUAg3gaJ4de8zpht9jab&#10;zd7Y0Pz8WeWli1d/OHR405o1H82ZW5JXOCBlQFRErNXiKxZrmWwVg6Omcwx0rpHGtdD5bnSBJ00W&#10;QhQFUnl+VL47iS8gCCw0dTxZO5Wo/djFbfCHhkQntYQk8REKMkAMLpbRdPNQUqcY5H0Ymmyarpii&#10;KydryxnKFJo0hikwUnh6Et9Al1gYUjeqxEwRGSgiLUWoIgukFC6fLuBLVRIvf8/EvrHDs9Onjhrz&#10;2fwFuzZvPvnz4fu3b9TUvLC1NNjbW+zt2N0CoWLA9tHuCAQCgfgNSAzvwHGKqbXlNQ0NjVVV1Q/v&#10;3jp17OdtmzcunDevtKi4b3JKgH+wRm1WyPUSiV4k1gnFBoHICMGSeFGFHgyuB41nIvE4rnwTVRVP&#10;0k4n6JY4u6d/YOzjpJGQpN5CYbpDDGPo5gxcDGRROEPeh67OomoKKZoSkrqYLutDgZFcDY2joHIl&#10;NJ6ELpCxJXK+QiVSK8VqhUQjU5vkZk9tcITHoMykqTPLVq/+9PCBA9fOnX3x8EFN1cv6uuqmlsbW&#10;9hbHr5di1xXAC0gMCATivwGJ4R3Y7S2Oi9I2x7UHO1Y+tLU2NNU/ffbk4qUL33//3eZNGxctXjRx&#10;0qT8vPxhGVlp/fon9IqPDIsM8AnwtHpKVR4csYnLs3AEBoaITxZZqapEonaGq+5zJ/eh/zQm9dSI&#10;iFJPgXAQRVfk/CsxhDHkiQx1Jk1TQNEUklQFdGk8hR9CZyk4XIVYpJJJNWq10c3qERwc0qt3bGKf&#10;+NT+ScNHDh01tnDa7IqlKxfv+XrrydOHH96+XVv1qhW7eNLSYGtuaLM3t7dB2LBfrHstBigeIBAI&#10;BOI3IDG8A8dHV/HPsEIitUMGBVU021vqbY1VtdXPXz5/8PD+tetXz549ffSnHw/s2b125cqFs2eP&#10;LS3NHDgwMSbG6hksUVjZbB2Hp+FIRUyFF0ObRNTOdNUtdfLI+KcxuadWRJR5CkSDKPoiZ+tYTAya&#10;/p1iYKoz6ZoCKBrIqgKGNI7KD2aw5DyOXCPXe7v5RofHpib3y80eUTF2zML5c9atXbH/wM4Tp366&#10;eO30jbuX7j+79azyUe2rquamJih6Gu2t9a0tje3tTY6wgQ6QGBAIxP8EEsM7sTtSKERLGx5tLY1t&#10;bRBNWNhtbfZW7Jeim+uqXzy+f+vKmWNHvtmza8PKpfOmTS3PHzwo088vVMDTsVlSrkzIVvkwdX2J&#10;2tkuuqU9PTL+YUzqoRUSZR4C0YBOMRB/EUMCS5PF1BUytEVUVQFLGkfjBzFZUilXE2QJzeyXNbVs&#10;6iczPlrz6Ze7N+44/v3hm5euPnn0pKGhwWZvtTk2r7EV+yhqc2tbk72tvg2LuvZ2iAaHG7BPX2H3&#10;kYV9cpxeQiAQiN+AxPBOMDGADFpbm1paIdlin+epb7dDNLZjp2VasJP1mDma66uqK5++fHTn6Z2r&#10;dy+fOXv42292blwwd2FaWrpK6cFiyThiEVvpR9MkE3TTXXSfOrln/tOQ1EMjIcg8+eJUir7Q2TKW&#10;bsogqvuTREEkUShDHs/WZrINRUx9EU1TwJb1pvODWCypQeU+uE/64hkff7P9m9M/nLhy8uKDa3ee&#10;33/y4tGTVy8rGxoaMXe1tzeDG6DacQig2SEDiFpHIDEgEIjfCRJDl2htxW69B0Ocqqqqa9eu7f9q&#10;a3FulkJppjIUVGEwTZ5IVQ+mGUbQTXl0UxZBleYsiXSVhjHUYRTDCLJpHNOUSVb1J4qDCOJQsiqe&#10;asigmguoxgKSLo+tiKULAzhssVqlGz58+I4dOy5evPjq1SvsyxfNzbDGju1AIBCIPw4khi4Bqfn/&#10;HTFoNIbc3Nzdu3dfvXq1trYWu+Gf3fHBUwQCgfijQWLoEnh2xtM00CGGXdv+cDHodKaCgoJ9+/Zd&#10;v369vh79JCcCgfgPgsTQJUAGb4qhuroaEveB/4QYtMb8/Py9e/ciMSAQiP80SAxdAj+ZA0Ocmpqa&#10;Gzdu/CfEoNUa8/Ly9uzZAxVJbW0tvjp8GxAIBOKPBYmhS7yZnaGNxIBAILoBSAxdAs/OeJq22+3/&#10;UTHgp5JADHV1dfjaEQgE4j8BEkOXeEsM/7lrDG9WDEgMCATiPwoSQ5dAYkAgEN0PJIYugcSAQCC6&#10;H0gMXQKJAYFAdD+QGLoEEgMCgeh+IDF0CSQGBALR/UBi6BJIDAgEovuBxNAlkBgQCET3A4mhSyAx&#10;IBCI7gcSQ5dAYkAgEN0PJIYugcSAQCC6H0gMXQKJAYFAdD+QGLoEEgMCgeh+IDF0CSQGBALR/UBi&#10;6BJIDAgEovuBxNAlkBgQCET3A4mhSyAxIBCI7gcSQ5dAYkAgEN0PJIYugcSAQCC6H0gMXQKJAYFA&#10;dD+QGLoEEgMCgeh+IDF0CSQGBALR/UBi6BJIDAgEovuBxNAlkBgQCET3A4mhSyAxIBCI7gcSQ5dA&#10;YkAgEN0PJIYugcSAQCC6H0gMXQKJAYFAdD+QGLoEEgMCgeh+IDF0CSQGBALR/UBi6BJIDAgEovuB&#10;xNAlkBgQCET3A4mhSyAxIBCI7gcSQ5dAYkAgEN0PJIYugcSAQCC6H0gMXQKJAYFAdD+QGLoEEgMC&#10;geh+IDF0CSQGBALR/UBi6BJIDAgEovuBxNAlkBgQCET3A4mhSyAxIBCI7gcSQ5dAYkAgEN0PJIYu&#10;gcSAQCC6H0gMXQKJAYFAdD+QGLoEEgMCgeh+IDF0CSQGBALR/UBi6BJIDAgEovuBxNAlkBgQCET3&#10;A4mhSyAxIBCI7gcSQ5dAYkAgEN0PJIYugcSAQCC6H0gMXQKJAYFAdD+QGLoEEgMCgeh+IDF0CSQG&#10;BALR/UBi6BJIDAgEovuBxNAlkBgQCET3A4mhSyAxIBCI7gcSQ5dAYkAgEN0PJIYugcSAQCC6H0gM&#10;XQKJAYFAdD+QGLoEEgMCgeh+IDF0CSQGBALR/UBi6BJIDAgEovuBxNAl3i2GnbuLc3IVKjWVKaCK&#10;fDAxKIfTdMV0QzndNISg6ussCXWVRDAU8RR9LhIDAoH4q4HE0CXeLYbt3xYPH6XQCKlsOlVipsmT&#10;qPIymmYSXTeNbulP0CQ4ywJcJdEM2RCKrhiJAYFA/NVAYugS/0YM37wWA40qMTnEUErTTHSIIfUN&#10;MQxGYkAgEH9BkBi6xP8gBg6NKkViQCAQfzOQGLrEvxHD18XDyxQaPpVDpUqN2DUGeQlNM4Gum0K3&#10;pBA0cc4yP1dJJEM2iKIrQmJAIBB/NZAYusS7xbDjYPHwUoWGR+VQqFIDTZFAlRfTNBV03WS6pR9B&#10;29tZ5otdfJYNRGJAIBB/QZAYusS/EcOB4hGlCi2IgUyV6jExKIpo2vF0PYihL0Hby1nm4yqNYMgH&#10;IDEgEIi/IEgMXeJNMbS0tIAY7ty58+2eb0tHlim0HCqHRJXqKLLeZHkBVTOOrp9EtyQTtLHOMm9X&#10;aThDnkbRFSIxIBCIvxpIDF0CFwPesNlsNTU1L168OP7j8TGFYxRaNo1Lokg0JEkMSZZH1Yyl6yfS&#10;rUmYGOQghjCGvD8SAwKB+AuCxPDHgFcMjY2NtbW1F0+dnzRqokrPpXIJJLGSJImiyPNpWhBDBd3a&#10;h6CNdpZ7ukpDGPJUJAYEAvEXBInhDwCsYLfbW1tbwQ0wvHP11uxJM3VmAYXjShDKieIIqiKfpnst&#10;Bh0SAwKB+EuDxNBVcCvgQBt4cufBwhlz9VYhhePsKpAQxWE0ZR5NN5quH0+3JhJ0Uc5yD1dpMEOe&#10;QtEVIDEgEIi/GkgMXQWXAQ4+5tn9x4tmLzC6i3AxEERh1HeKQZFC0SMxIBCIvxxIDF3izUIBgHZr&#10;a+tjqBhmzjW6CylcTAyuolCKIgcTg2Ec3ZpA0EU6y91dZUEMRT8kBgQC8RcEiaFLgAZwMUAbhvAQ&#10;eHjn8fwZC4xWAZXtROILSMIgmjybphtFM4yjWvu46KKdZR4ESRBL1peqy0diQCAQfzWQGP547t+p&#10;nTVtmdkkYDJ7cHkMjtCbIx9C05VTjBMI7gN66BNdZL4UUahYnMTQIjEgEIi/HEgMfzxIDAgE4m8N&#10;EsMfDxIDAoH4W4PE8MeDxIBAIP7WIDH88SAxIBCIvzVIDH88SAwIBOJvDRLDHw8SAwKB+FuDxPDH&#10;g8SAQCD+1iAx/PEgMSAQiL81SAx/PEgMCATibw0Swx8PEgMCgfhbg8Twx4PEgEAg/tYgMfzxIDEg&#10;EIi/Nd1TDI57YGN0PHbQMeo1+Kh/H7/MgLcdy/iFjud+Mx74c8XQsVmvN6zjgYM3x7zZBvCHwJtt&#10;AH8W6HiMQCDeA7qzGDpviN05pqWlpampyWazdYyHob2tvRUP+y8BI+H5VpihtQ1/+Po3FxwLw4CF&#10;/7KcX/Oni+HNn4iAXcYfwrBzAuDNNoA/BDonw4GH+L3EOx4jEIj3gG57KgmSHaSzzhSJ50ccGI+P&#10;dJQCrwPyoUMAmANgvpbWVghbi725BdOD/Zds27GC11m148Eb/BVOJcGG4XuK/ww13sC3Fn/qnWD7&#10;83qaThzLQyAQ7xHdVgyQ5vCEiKc8PD/iT0GygzFYyoOk1xm4GBzVA1ihoaa2uvJVfU2traEJc4Nj&#10;MY482QG+qHfyFxFD5+5DZQOzANDA9wIfD8NObeBgO+moGGAavA1ge4v0gEC8T3RzMeB5DX+IFw0w&#10;hPzY5ABLlFAT2FqgMmhthrC1OAKscPfm7auXLj+6/6CuugbGQ8UAS8OXDAt8c8m/5a9wjQEasJGw&#10;jw0NDU+fPr1169aDBw9evHhRU1NTX1/f2NiIK6G5uRmG0MYPCDRgXti134IvHIFAvA9022sMeDrr&#10;TJGQAWtrayEzPnr06N69e7dv375x4wYk2cvnL1w6d/78mbNnT54+dez4iaM/Hzty9Mfvvt+4dt2X&#10;y1fs2r7j55+O3Lhy9cXTZ5BPIW/iC8ft0rn8t/hzxQBbBfsLjerqatjHkydPwlzr16/fvn373r17&#10;v/nmmx9++OHIkSOnT58+5+Dy5ctXrly5dOkSNMAfDx8+hKNUVVUF8oDlwA7i4AtHIBDvA91fDJDB&#10;QQnPnj27evUqJETIklu3bt2wYcOKFSs++eST2dNnTp88dcK48eXFpfk5ucMzszLTh2YMTk+KT+wT&#10;Fz84bWBhbv7HHy36/ptvnzx5AsvBl/nXFwOk9YsXL65Zs2bq1KkjRozo169fSkrKgAEDBg8enJ6e&#10;np2dXVRUNGrUqIqKimnTps2ePXvevHmLFi368ssv4eB89913J06cAHe+evUKhIqsgEC8b3RDMeBW&#10;wIeQwSGNQk6/fv36wYMHQQaQB8eOHVtaWjps2DBIl8kJfXrHxIYGBnlYrGq5QsDlsekMGPJYbDFf&#10;KBdLTXpD+sBBq1eshN43dKXBB7BkyLz/zgrAn34qCTYPcvr+/ftLSkqioqL0ej2fz+e9gUQi0el0&#10;bm5uAQEB0dHRffr06d+/f2ZmZnl5OYjko48+Wrt27aFDh2CXKysrO08x4XSupbONQCC6Gd1QDLgP&#10;oAG93ZcvX0J227dv38KFC6GPnJaWFu8gMjIyMDAQ0qJZbzRodEqZXCwQggzACkwqnUVzDOkMDoMp&#10;F0t6R8dMrpi4bdu2y5cvQ5aEhAiZF/h3mfFPFwNMAJOtX78ezCeTycAKLBaLwWDgQzqdDg0YKRKJ&#10;wBlmsxkM4eHh4evrGxERAQcnKSlp0KBBEyZM+Pzzzw8cOPDw4UM4knghAsPOtfy73UcgEH93unPF&#10;UF9ff+fOnW+++WbWrFkDBgyADKhQKCBRqtVqlUoll8tVSiVUCSqZAioDqVAsFYqwEIkhoFwQ8QU8&#10;NofP5vh5++SNGPnll1+eOnWqtrYWloynyH+XGf9cMUBN8+jRo2PHjn388ceQ6DkcDl4uQEMqlcLu&#10;Q7kAQ6VSCUNwAwzhsMDRwJ+FIwNotdrw8HCoIRYsWHDy5MmqqipwA1434GuBxr/bfQQC8Xen24oB&#10;qKysPHz48OzZsxMSEqBrLBAIxGKxTqfz9vYODQ3t3bs3dKgHpw0YMmDQ0EFDhg3NGJk9omBkXnF+&#10;Qc6w7IH90+Jje3u7eyokMg+rW8bgIZBnf/rpJ0iR+PIdiRGjY61v8OeKATL4vXv3Dh06NHPmTD8/&#10;P/CBRqPx9PSMi4vLysrKz8/Pzc0dOXJkdnb24MGDoYSC4mDgwIHJycnR0dFQQsGUIAaYC2wBNcSw&#10;YcO2bNly/fp1/JwSLL9jt5EVEIjuS/cUg+NMT+vDhw/Xr1/fv39/KBHACtBT9vDwAB9AR3jMmDEf&#10;ffQRdq110+YdW7bt2bnrm/0HDh/68eTPx8+ePP3z4SNbNm6aM2MWaMPdbPXx8MxKH7p48WIQQ3V1&#10;9ZtreWd+/HPFAP16qBh+/PFHXAxQBwQGBkLBtGjRoq+//vrMmTOnT5+GeuLbb7/dvn37Zgfr1q1b&#10;unTpjBkziouLQR5QK4AVoJiAYVhY2LRp0/bu3Xv37l18vbh0kRgQiG5M9xSDzWZraGiAHLpw4UKo&#10;D1gsFlgB0lxsbCzkvvnz52/cuBGy/IULF25du3Hn5q2Hd+89f/ykprKqsb6hubG5obbu3Okza79c&#10;lTcix9Pq7uXmnp2RuWTJkp9//rm2trZzLX9ZMTx+/Bj2DhI9iEGpVMJeQ6Gwbdu2Bw8ewJEBGhsb&#10;nz9/fuPGjZs3b8IC4TiAKvbt27d69WrwR3p6OhhUJpMJhUKz2QwVBhgUpoFqCZbvcO6/vb6CQCC6&#10;Ad1TDE1NTZD4Tp48OX36dEhtdDpdpVJ5eXmBFTZs2HD48OGrV68+e/YMuv/11bWggcbaOuwbzrbW&#10;tta2dnt7Y10DiGHd6jX5OSPdLVY3k2WYQwxHjx59s2LAwR++yZ9+Kun+/fuHDh2Cfffx8cF1WFhY&#10;CPUBCAM6+2AOGMJkr169AkOA6qABhwu0ceXKFTDErFmz+vTp4+bmBm4wGAzZ2dlffPEFjK+srITl&#10;IzEgEN2ebiuGO3fu/PDDD9OmTXN3d8fFEBYWBrXC6dOnX7x4UV9fD5kR+4gRpLgWe5vj+89tLa3t&#10;Lfb21ra66pqzp05vWrehtLDY28PTw+KWnZmFX2OAHApZtWNN/4a/yDUGXAxyuTwmJgbEAPOCC+Hg&#10;QMWAnwvCJQFuAGAk3obsv2PHDqgwQkNDodqA4zZw4MDFixf/+OOPL1++hOXDZEgMCET3phuKAYCM&#10;f/fuXUiOkyZNAjFAcgQrpKenr169+tatWw0NDZDdILXhyRHPkgDelYYGdKLPnDmzbt26goICT09P&#10;6DtnZGR8+umnR44cwSsGfHocfI1v8ueKAVL8w4cPYVNnz57t5+fXWTHs3LnzyZMnsMGdu4lvfGcD&#10;gPFwcL777rsFCxYMGjTIZDLpdLohQ4bMnTsXxABS7JwYXwI+FwKB6Ga8L2IIDw+HLA99YUiO0OHF&#10;J4PUhmdJaMMQ+tp4b7r7iQF2ZOvWrY8fP4YNhoODexGGML1jJ34RAxQNUFStWLEiJyfH29vbbDbD&#10;vi9cuBCJAYF4f+i2Yrhz5873338PYvDw8IDkGBUVNWrUqL179758+RJPajAEQ0AaxWeBh510SzFs&#10;3769s2LAzwXh++7YiV+J4fLlyxs2bCguLvb39wcxQKUFBQQSAwLx/tA9rzFAdvutGMrKyiCxPn/+&#10;HE9qkBw7ywV4CG3QCQDju58YioqKdu3a9fTpU9hN/O6q+O7D9G/uBS6Gixcvrl+/HsTg6+trMBiG&#10;DBkyf/58JAYE4v2he4qhoaHh9u3buBggsyuVyujo6LfEAHQaArLho0ePQAbnzp179uxZtxTDV199&#10;df/+fSgaTp8+DXsHkgALwvRv7gUuhgsXLoAYSkpKYHaj0Th06NBFixYhMSAQ7w/dUwzQKX5TDCqV&#10;KiYmZvTo0fv376+srHwzo0EbOs6Q7n/44YepU6dCMj1+/Hi3vPi8ffv2W7duHT16dNasWVOmTDl0&#10;6BAcJZj+zb3oFMPGjRvBozA7VAzp6en4p5KQGBCI94RuKwZIgrgYvLy81Go1iGHMmDEghs5rDFAo&#10;QA7F8lxbW1VVFWggLCwsLi4OEmh3vcYAxwTqhoSEhJCQkNWrV/83FQMuBm9vb3BqWloaOpWEQLxX&#10;dFsx3LlzBzrFEydOhLQOyRHEgF98fvHiBZ7UAGjgbbAFaCAyMjI6OnrXrl3Pnj27ePEijMnPz4fk&#10;aLFYMjMz/y5iwL/HAHl85syZvr6+crkcF8OOHTtu3LgBeoiIiAgMDNy0aRO+nDf3Ao5GpxhKSkpg&#10;341GI1QM6OOqCMR7Rbe9xnD37t0ffvjh34mhc8pOMaxfvz4qKgom2717N4jh0qVLuBh8fHxADFlZ&#10;WX9rMRQWFr4phqCgoM2bN/87MYAUQRu4GEwm09ChQ5EYEIj3CiQGJIZf9gKJAYFAAEgMSAy/7AUS&#10;AwKBAJAYkBh+2QskBgQCASAxIDH8shdIDAgEAkBiQGL4ZS+QGBAIBIDE8A4xwDTnzp0DMeTk5Li7&#10;u4MYUlNTJ0+efODAAXAGZF58LvxrEK0OOpcJvLz+YPHE2Wa1gUlhUzgqitCHpkxg6IczjAUM/UiS&#10;Ip0giqKIQrhKf6oul2icwjSlk1TJRKkbQepFVoVTDUOopkKqvoSiKebII5lCDx6botMqcnNzYduu&#10;XLkCcoI1trS0wAZ03tYC3wBoNNTVX7t8+avtO0aVlvl6+yhk8siw8LKi4l07dt6+cWPrxs0RoWHR&#10;4RHbNm95+ew5PguAbTcSAwKBcIDE8A4xPH/+/MyZM2vXrsXFYDQa4+PjJ0yYsHHjxvPnzz958gSW&#10;DzPi8765HPzhy+v3Pp4406w2MigcMkdNFvpQVXEMwzCmMZ+pzyMpMgiiGLI4hKPyo+oxMTBADGoQ&#10;g5Ug9SSrcTEUUfWlFE1Jhxg4ZL1OCeULbD9UDLW1tW+t0bEt2I8rVFZW3rxx4/ChH75cviJvxEhf&#10;L2+tUtUrKhoksXPrtlvXb2zfvCUyNAxi++atr15gP7zTuRB8OUgMCAQCieF/EAM+O6TIAQMGFBQU&#10;zJ8/f/v27WfPnn38+DH03PHZ8eXgdQO0n928t2jyDKPGSKOySVwVWexDVXeKoYCkyCKIepPE4WxV&#10;ENWAiyGTpE4lSr0JUn+yOgY7lWQqpurLyFoQQyxT6MvjsHRaDX4q6erVqzU1Nfjq8FUDUDrALj98&#10;+PD7779fuWLFzGnT80fmxkREahRKmUgSHhJalF8ASgAx7Ni6LSosPCwoGB7WVv1yWgw/ILBYJAYE&#10;AoHE8G4xQGUAY6CTDslRLBbL5XIoHYDIyEjQw/Lly48cOXLv3r2mpiZ8CTCEDjsAjSc37y2cPEOv&#10;MVCoLCJXSRJ7U9W9GYYspjEPF4OrqDdRHMFSBVMNI4nGSZgYVKlEiS9BEkhW9QIxUEzFFH0pSVvM&#10;lscyhH5cNler1ebm5u7atevNU0m4G6ABNQRszNdffz116tS01P5QEPh6eunVGqlQpJIrYqOiSztO&#10;Jd38att2EENIYNC2TZsb0DUGBALxLpAY3iGGyspK6JhDY8qUKX369AEf6PV6g8EgEAgkEklISAh0&#10;3leuXAlVBcwImbRzaQA0Ht2+N2/qDK1eR6IzCHw5SeJJ1cQyDJlM40iHGIa5iBKI4mgmdtZoJMlY&#10;wTRlkVUDiOJggjiMrEqkGoZhYjAWE3VFTEUcTRjEZku1WtObp5Jgs/Eth9VBufDo0SOoFebNmwdb&#10;q9fpwQdysUSv0XpY3SJCw7IzMmfPmHno2+/u3767E8QQHhESELR146ZGJAYEAvEukBjeIQbokj94&#10;8ODYsWPr1q2DPvjw4cNTUlLgWY1Gw+fzlUqln5/fyJEjN2zYAP33p0+fNjc344vCzybdv3Nv9rQZ&#10;ar2WQKcT+BKSxErTRDINQ1jGbJYul6zIcBHFEcVRTHUYzZBNMZazjBkUZX+SMJQojKAo+lANmRRT&#10;PsWYT9SPZCp6Y2JgKbVaK4gBP5XUKQacmpoa2NQFCxakpaXBzopFIrFAaNLpQQDpAwdBrTB/9pyN&#10;a9efP3P28f0HO7ZsjY6IhIph84aNdTU1+EEA8AMCS0NiQCAQSAzvEAOk2ufPn9+8eRMSLjz84osv&#10;Zs+eXVhYGB0dDaWDSCQCPQQHB0+bNu277767dOkSLBPyKay0rq6uvr7+7u07M2fMUBm0BAaIQUyW&#10;mOmaMJZhIMeYxdblUBTprq/FQDdk0kzFHGMGTdmfLIwgCaOoiiQa9nHVXIppJMkw3CGGYDZLq1Sa&#10;wU/bt28/f/48bG1TUxOsEV/p/fv3N27cOGTIEKvVKpVKVeAtb5+E3nHF+YWL5i9ct2r1/j17jx05&#10;eufmrWePn2zfjIkhNCh48/oNta+q8IMA4AcEiQGBQABIDO8QA3TJwQ0wEnLu5cuXT548efjw4W3b&#10;tlVUVCQmJkL+FYvFHh4eUDQsXbr04MGDN27cePLkCUx8584dGJ48dXr8+Akqg4ZAJ7uwWWSBkq3y&#10;5en6CAz9+bohNGmyKz+EKPJnq/3omkS6bhBfm8KUxVM5IRRuGFMez9ClUgwDSfoUgrYvQxpKE/hy&#10;mDqV0jxo0KAvv/zyyJEjUKZAQQM7eOvWLVg1bNu8efNg42UymUql8vfzy8kevuyzz/fu2g0+uHDm&#10;3NVLlx8/eNhYV1/5/MVX27bHRESGBQXv2LqtoRadSkIgEO8AieEdYmhubsZPCkEDioAqB5CCoWNe&#10;Xl7eu3dvnU5nNptTUlLGjRv3+eef79+//6effoLq4dtvv4UEunHjpmHZwyVqmUMMTBJfzlR48rRx&#10;QkOKQDeIIU8mCUPIIj+OxpelT2AbB4r1KRxFAoMXRueHs+TxLEMq3TyQakoh6pIZ0mC6wAfEIJPq&#10;Yb1TpkxZu3btnj17YC2HDh3at28f6AoKmry8PBAV1DEajSauV+/FCxaeOnb80f0H1ZWv6qtrGmrq&#10;2lpaW5ttr1683LV9B4gBKoavtu1A1xgQCMQ7QWJ4hxggOba88XvIOGAI6JsvWLBg4MCBkC4lEgnk&#10;4r59++bm5k6aNGnmzJnTHMyePbusdExsTIJULuHyOVwRhyMSixQGvsSbLwngS0NZAn8yR0fmyuli&#10;EVth5ar9JPJAvtCHQ/dkQfD96bJAsiKAqPR2VXjQ+ToaS8UlSxUidUhISEZGRmlpKawOMjWsCPYO&#10;dgo2ID4+HlylVCoDAwOzMrM2rl3/+P5De0tre1t7G+yfrQUadltL1YvKXdt3xkREhQYG7dy6rR5V&#10;DAgE4l0gMfwPYsA/GAqAGE6ePLls2bIRI0Z4enoKBAK5XA5LhtTp6+vr5+cHaRTw9/f38QpQynUM&#10;Fo3BpNLZFBqTSWcLmVwjh+/BEfiyeB5UjpLMEVL5LKpAQRPpeXwrh23hUt3YdHcW15vMd3fim51E&#10;Oiexjs5VMtgKIVUqYGMfmYUyxd3dHVYXFBQUEBDg5eUFawQ/qVQqDocjk8nCwsJGDB++af2Gpw8f&#10;tbXacR80NzRijZbWqpeVu3ZgYggJCNqxZVtdTS2+j4DjeCAxIBAIDCSGd4sB/4oATAMT4NTW1uJf&#10;bhg9enR0dLTBYIBOul6vNxqNkK9hCG2tVgtDk85dJTNKhAKpkCcVs8RCtpjPF/NVYr5OyNcLeGoO&#10;n8cR0DliVyafyuAyBSypiCWXMUxSllnMt7BFWqpUQZGLKAoRTygQ8AQKukjKEUmlUqgJNBoNtgqT&#10;CV8jDKEN64XxIIz+/fuPHTNm946dL548bYOKwd7W3mpvbWrGxVBd+cohhsiQgMDtW7bWVaNPJSEQ&#10;iHeAxPAOMdTU1Lz5zTW8ASOvXLny1VdfzZ49OzMzs3fv3qAHGMbGxsJc0AZgCZGRkYE+YZ4mf71K&#10;pZZLNAqeRiZQigUqsVop0kr4KhFPJhCyRRKaSOEsEJP5IpqMK1ZwpVq2Sc0xSflGgUzD0yh5egnP&#10;IFaqJGqF1CxUGhUai8Xi4+MTEhISEREBa4F14auDYXh4ODT69etXUFAwd86cH7/7vvL5C/BBR9HQ&#10;bAND2FvsNZVV4AwQQ7B/4PbNW+rQN58RCMS7QGJ4hxjwU0n4U/gQgJH4XUtXr149Y8YMqBtggQAk&#10;0OLi4tLSUvxhWVlZwfCyzAE5fWJjo0OCYkK9Y0N9IwO8A929vY3uFo3RqNIZDWKLle/mxXT3FLq7&#10;S3wMRl+9KUDj76P2Nas9dEajxkOv81ObQ/QhwR5Rob5JgWFJ0bEpKSnDhg0rKiqCNeLD8vJyWCMM&#10;oQ2MHz9+wYIF69auvXD2HCR9W2MTLgbsGgPsRKu99hWI4StcDNvQLTEQCMS/AYnhHWKAcqG1tRWf&#10;BibAgZFVVVXghvPnzx8+fPjgwYOwNJgYhgcc7N+/H4Zff/31wf1fb9+6c8Xy5Z8v+XTZ0iUfL1o4&#10;sWL8sIzMiNBwvVbn4e7RKzYqtX/SoMF9hwzpn5k5ZHhWVnZm5rD0YQNSBoSHRkBZ4OnjFRQWOHRY&#10;+owZ05Z8+vGyT5d8sXTp2rVrd+7cCasD9uzZA6uDbcDXu2/fPhh+++23P/3005kzZx4/elxXWwtu&#10;a7ODFtphJ7EPWbXaq15V7dyxMzIiMjAgcOuWLTVv3EK8c2eRGBAIBBLDO8SAVwz4NDBBJzCyubm5&#10;vr6+uroaZoFFQa6sdIA/fOrgyZMnDx8+hA0AiwAnT56EnD5hwoT+/fv7+/tHRESkp6dDNx/Kjvnz&#10;5y92MG/evJkzZ44ZM2bw4MG9evWKjIzs27fvtGnTIO9fvnz5/v37sExYPqzl+fPnsAoY4ut99uwZ&#10;vlIA3x6wV21tbee9wfFdwD99C0+BWrCTXYGBW7durUHffEYgEO8CieH3igHG4OkVpv93QDqG7AlW&#10;ePDgASgBtuHatWvQr4e8X1RUlJGRMWDAgKysLNgSSLVffvnlxo0bt2zZAll4zZo1y5cvX7hw4dix&#10;Y4cPHz5w4EAwREVFxYYNG44ePXr9+nVwAywT9ABOwkqB/xZ8yzuBMfguIDEgEIjfAxLD/4EYcEAP&#10;ncC8IAMA2k1NTZC4z58/D+v9+uuvd+zYAYXCkiVLIL+npaUlJiZCoTBu3DioEj755JPPPvts5cqV&#10;qx2seg244eOPP4ZKorCwENwwaNAgaEyfPn3ZsmXgD8jpsFjI2rC1sIOwUtgY2ACgYxNfg285/hSA&#10;P4TxSAwIBOL3gMTwe8WAPwTwuTrFgI/B13jo0KF169Z9+umnkMo7s3xpaSlk+ZSUlIKCgkWLFoEA&#10;oFZYunQp6AFKBMi5UE/AlF988QWoAlwC806ePBmvG6DIKC8vX7BgAcwCCwSdQJEB+3X58mXYEVwM&#10;b24VDrQ7H0IDnwDaSAwIBOL3gMTwe8XQCUwPdD4LbagVrl69unnz5ilTpuTm5kI2Hz9+PCRxSPGQ&#10;+qdOnQqrHj169OzZs2EMABqYNWsWVA9QEOTk5OTl5Y0ZMwYqg48++ggEsGbNGlALzAUjwQqwC4sX&#10;L4bKAxqZmZm4KlasWHHhwgXYTZATvg349jg27RdDAJ1PQRuJAYFA/B6QGLAE93vEgJcIeLszJ+Lt&#10;2tpaqBWgm5+WlpaQkJCcnAxJH/r+W7ZsgSwPdQCkexhu2LAB5AEVAyT6CRMmQIrv06dP7969ExMT&#10;IeOXlZXNnDkTJoOUDXkZZl+9ejUIAEQCbRhfUVHRr1+/8PDwuLg42Jf9+/c/ffoUNtVms3VuEgw7&#10;wbcQwB/CNEgMCATi94DE8HvFAJN1AobA0zF+Mqe+vn7fvn3Z2dmQsvPz8yHvb9++/cSJE9CpP3Pm&#10;zKlTp2B4+vTp8+fPw5g9e/ZAni0qKgIfhIaGQqIHN4BLUlNTS0tLwRwnT5486+DcuXMwhBlhePTo&#10;UVjmJ598AuVFREQEiAQyO+wjOAm2Ft88fI/wBmxhs+ODSdDGNxLaSAyI/x54TeGVxXG81B1vKken&#10;COOtp97izSnfpONpBzANvpCOx6/fgfhIaHSMRfypIDFg78XfKQZYbHV1NaTXyspKGMJDmBGsAD13&#10;mL1v377x8fHz5s07duzYrVu38Anq6uog/0L6hofQhiXDs9OnT09PT4d1BQUFwUphRqgzwsLCQC2w&#10;dlgaTP8WsCLYI3AMuKFXr14gkkWLFuE/L/rs2TOYoPNDtPgmwQbDLsAQdgEMge8IEgOiE3j54EXE&#10;gdwN7xYAGo5X+HfRsaA36HjiN3Q87aBj1G9kgwPjO6ZD/KkgMfxeMcBI6O9DYl27du26des2bNgA&#10;uXXVqlXQWLlyZWFhoY+PD+R3ePbhw4eQmmGxvwWWA33/goKC2NjYPn36DBw4ECqM8ePHZ2Rk+Pv7&#10;p6Sk7Nq1C/J1x9RvgG/A48ePIWXDWmBiUMu0adM+//zzL7/8EjYeNgOGsGHbtm2DUgNUAbPAjLAL&#10;SAyI34K/lJ10JOlf9+6BjqcdwIsOE8CfBpTL/w6HX94GnwvAp4E3JOBY2zs+/92xYsSfChLD7xUD&#10;dMxBA2lpacHBwSEhIaGhoZBeAXgIbYvFIhQKoS8PeRmW1tTUhL3HX/8tQQMWBcuEfA2pHwQASxgx&#10;YsTChQshBcMYSPFQMYAqduzYAR1//G/mTWA58BcFGw/Lh+0Ui8WQskEPAQEBsA1+fn74V+cg6aem&#10;pi5fvvzOnTswPb5emB3fESQGRCf4S9kJPhJe1nfSMdFrfjv7/wJ8sfjyO4Ex+JYg/lyQGH6vGB49&#10;ejR9+nSr1SqXyyGx4t9Pjo+Ph74/tCEvq1QqeLhlyxa8t44vH6dzUVBJfP3111lZWTDXsGHDpkyZ&#10;snTp0jVr1kyaNAnGDBo0aM+ePTA7Pv1bwHJg9v3794M/1Gq1p6cnCCk6OhrWDpsNhIeH4zdeBc1c&#10;v369UwyOTcD2FIkB0Qm8glgf/vXXNjtHwtvmrfHwQmN9k9fnfPDXHYb4wzfBJ/stHU87gBnfBMbA&#10;BLA6WG/nOxbxp4PE8HvF8PTp08mTJ3t4eEAuhkQJXXsAFgjDdevWVVRUQF5OTk7evHnzm+eR8LXg&#10;wEJgsefOnZs1a1Z6enpiYiKsLikpKSMjY/DgwfCwsLDwm2++ATF0zPAGMC/8/cB+HTlypKioaODA&#10;gePHj1+8eDEUMdu3bwedfPXVV4sWLYqLi4PaBcQAu+/Y6l/+DqGNxIB4J/jLir1d3sCR0rGUDcOO&#10;6X49Jd7+P6JjKQ7whQC/fQrxp4PE8HvF8OzZM1ian58f9PRhyZBkIYODA2D45MmTDRs2QFKG5A6e&#10;gJH4LPjbHYbwpwUPHX9orXfu3IHsPHv27AEDBgQ56N27N3gC0v3HH3985syZztnfBGaETYL9On78&#10;OGzGuHHjIHefOnXq/v37sCUwvq6u7ueff87JyYFsDoUI7H5zc3PnGS0AFoLEgOgEXkF4R0EnHd4k&#10;8P6BtzH+wQp4leHP4fnz5/gtvzrvxfL48WMomuEhvIFvOYDGb3HcHuxtoFOFA39EACwcgL9EWBGs&#10;DtYL717YBnjvoTfVX4T3XQxtNntbS9urZy83r1kfGx7VKypm71e7mxoaIQ1jE7S3t8DfjyMePX04&#10;cfIEb1/PETnDTpw81tzc2N4OPalWSPt1tVXbtmxKiIvtEx+3a8e2Rki4ttb2ltZ2W0t7Y3N7s63N&#10;1tIGw2abvbm5trLy1pUr3+3f/9miRTPGV0wfO27+lGmrl3y2b+v2s0d/fnbvvq2urq2lBWSChd0R&#10;jkZ7W6utufH0yeNTJk2YUDFu29bNly6ee/nyWWNTPbYP7a1nz5/JL8zz9fOZNnnKnZu3bE22Fliv&#10;47d62uFfi726smrXjp3REZFB2G23t9ZWITH8TYAjjQe8dV+HHTobjjeJ3daCheMW67+aDGs4XiqY&#10;BnsPYLfa7QwYDR2H6ldVTx49vn/33o1r186dOXv86LHDP/506NvvD+zb/9WOnZs3bFy7es3qL1et&#10;WbX6y+Url372+ceLFs2bM3fm9Bkzpk2fOWPG2zF9xvSpU2fNmDF75kxoz5oxc+H8BUs++XTF8uVr&#10;Vq3asHbd+rXrNq3fsGPb9v179n73zbc/fH/o5yNHz54+c+3KlXt37jx+8LD61avmRuwHB98Z8Ga2&#10;t2C73LF3vwnYKRz05uwi77UYYNL2Znt7c1vN05fbVq+PC4uKj4o58NXu5oZG6E1hz4MY4K3oiIdP&#10;70+ZPsnL1314TuaJk0ebm+vhSez5Nlt97avtWzYkJ/ZO6RO/Z8fWxuqa9uaWjgAx1De21da3NTa1&#10;Y9For69vePHiwbVrZ48e/XnfgZ937zux/+trR449u3q98cmz1uqattq61tra5upqiNaG+nZbc3uL&#10;rb2lua2lqbmh5tSxI1Mmja8YN2rL5vXnz5969vxRfUO1vQ12w3b63Mncghz/AN/Z06bfvXELTODI&#10;C5jcYNjWYq+trNqzY2dsRGSIf+COzVvrkBj+LsCRxgOS++vAfs271f5LdOZ9aIAGHCZoa2ltaYS3&#10;TaOtoam5vrGxHkqDurrqmtqq6urKV08fPb5++eqp4ycOH/rx4N59kLK/+HzpJx8tWjBn3tSJk0eX&#10;lueNGJk1NGPIwEED+6elJveL79U7IiTUz8vbzWyxGIxuJstbYTWaTTo9NDwsVmjDZIG+fjGRUYPS&#10;BmSlZ4zIyh6eOSwne3hpYfHEcePnzZ6zaP6CZUs+X79m7Z6vdv3w7XfHjhy9dunKo3sPYNscW1hV&#10;U1UNGwybDbvQ2tTc0tgMO4L9AhX+64Sws+CJllawRautBf4+oD+HaeHXoDfq/wIkBsiobVVPsYqh&#10;V1hUb0fF0NiAnUqCiaAisLXZmx3x7OGDmVMm+3t55g4bdubYMVtjQzv04iFaWxpqqndu3tQvIT41&#10;MXHvtm1V2EWG1oY2ewNsSVtbVXPTvZdPbzx9eO3RvYv3b0FcuHvj9I0rP18+d+jEz98d/fG7oz8d&#10;Pn38DPxN3L9948mDqw/unL99/dzta9ef3H/aWFvT1lLb1trU2tJmszXX150+dmz6pEmTK8bv3Lrl&#10;yvnzL58+aaqrtcOzrS1nT53MH5nj7+s7c9r022+IAbIGDPGKAbqBqGL4+4Enegg45K8DS4hQKDTb&#10;IFFiSdMRMAbrB0DedDzbVFdf+ewF9MRv37h5AQqCI/BuO/T1vv27tu/cumnz2i9Xf/bJp/Nnz5k+&#10;ecq40WMKRuYOG5o5dNDgAan9k+ITo8IjAv38vdw8PK1u/t4+3u4eZoNRLVeIeHw2g8mi0blM9jtD&#10;wOEJuXweiwMhFYn1ao2byQyz+3p5+3h6QYQEBMVGRffrk9S/bz9YXe6InNGlZVMmTJw1fcaSjz9Z&#10;tXzFZqgqtm7bs/Orbw4chD+Os6dOX7lw6d6t208fPq56UdlYVw8mwO2Iya8zHHZ8Jx2HEfG7ee/F&#10;YIO/oraqZy83r13fKzyqd3TM3l0d1xh+JYZ2+4uHD2dNmRLg5ZU3LPvsseMtUPDCcuAN2tra8Kpq&#10;x4aNfXvH9YuL/2rT5mf11ZWtja/sWE1R22Z/UFt54vqlnT98s+ngnrV7d6zevR2LPdvX7Nn+5fZN&#10;X2xa+/mG1cs2rYX2ut3b1+/duXb39jW7t2/9bv/Rqxfu1r582dZU1d7aCAZqabHV1585fnzG5MlT&#10;Kiq+2rr16oULlc+eNWMawhR17tTJgpE5ASCG6dNv37zVeW6hzVF3w8PqV1Vf7dwZHRkZFBC4bcvW&#10;WvSbz38X4KWE9yPuhhY7KAE7OQnDzpz4RmAT2FpBFfU1tZBJoSY4dvgI5FlwwLRJUAeU5QzLhu5/&#10;7+jYiJCwIP8ASPp+Xj5ebu4Wown6+zA06w0GrU6n0mgUSqVMrpDKpEKxRCAS8QVCLo/P4XKZLA7j&#10;3cFjc0AMgtfTCHl8uVgCelBIpEqpDIZysVQtVxph+WoNOMOg0YFv3C1WHw9P2BKQR7B/YExEZHJi&#10;n4zBQ6C2AGHAlq9fvebAnr0njx2/ff0GqM7W0Aj72N76ukh6HfhlPPTm7DrvvRgcvYzK1xefo2Nj&#10;du3ZXd/UCEUpWKGlvR2U0OSIyvtP506aEezhV5CZc/7nUy0NNoc3sJNJDVV1OzdtT45LSo5P2rF5&#10;+6uGhvr2Nujmv2ppuvvy2dELZ7cf3L90/ZrP1qxatn4txNJ1az5fuxri41UrF6xYOm/ZZ/O++GzR&#10;yi8+XfPlZ2tXfbpq5eIVyz5b9eWWPbu+O3rk/PVrL2prbHYoCdrq6xuP/XxiwoRJY8eO37xhy8Vz&#10;FyufVTbXN7fBX4i9/dKZCyV5RVANTJsx/catW/j3njG9YWaAdGGvrK7a8dXOiKhI/6DAzVu3VtUi&#10;Mfw9aIWyoNnWBm5wpD+spwyGgFcAcmBzCzgAEmXtq6qnDx89vHvv7q3b1y5dhl72T98fgk43pNRP&#10;Fy2eNH5CzrDh/ZKSYyKj/Lx9ICNDlmfTmSw6AwKSOPTuobPPYTChGoAhjOGy2Hw2BzMBm0MjkWlk&#10;CoNKY9EYbGx6qAx+5YPXgc3IYbJgITAxBEzMY2FlBAwdDexZWDKYAxQCDbz4wIIOS8YLEZaIJ4DS&#10;xNPNPSosvG9inxHDssuLS2ZOnfb5p0s2b9j4zf6Dx44cvXz+4q3rNx7euw97/fzxk1cvXjbU1rW+&#10;vvsL/mEN/COw0O44jojfzXt/8dnRvXj58uW69euxn9WPjflqz+66psYmx9XnN8Xw4v7T2ZNmBHr4&#10;5WXmnP35lK3B1gbddMf1h7qa+p1bdyYn9k1OSN6+eXt1bV2Tva2h2Xb7wYNvfvxh5bq1H33yydyP&#10;Plr82WfLV61avW7dqrVrV65evWL16qWrv/x05fLFy5Yu/mLpZytXfLFm9fI1a1asWbN0xYqPP12y&#10;4KNFc+bOW7ly1YWLlxoam20t9rqGpmPHT02aMq1iwuRt23deuHD56ZPn9bUNjk5S+4WzF4vziwMD&#10;gqfOmH791i0b/Hk4ih7YRkxhdvvL6qrtX+0Mj4r0CwrctHXrKySGvwkdYsBlgPvAUS6AFeqqap4/&#10;eXrn5q3Tx09+vW//OocGZk6bPrqsfOTwEUMGDILEGh/bOzo8MtDXz8PqBtWAWqGECgD69ZCXITtj&#10;weJA9ofAcvcbgWVzxwSQx/lsLtQKeDUg4PJAGCIe/62A+gCewqbEF4stE2aB6gE/y8TCA9yA6QFT&#10;i8NMDjGAFXC7wHphdjFfABWGQaO1Gk0+nl5Q2USFRST2jk/rlzJsaGZRXj5UEovmL1y/Zu3BvftO&#10;/nz87s1bNZWvmpuawAcAXjfgoDfq/4L3XQyOD/20Pa98uXbD+vDoqMjYmJ0ghubGJsfVZ1wMeDx+&#10;9Hza1Jk+3v7Dh+eeOHEGemnwdqtvsDU2t7x4VbN+09aYuMTo3vGr1296+eBpc1V97ZOXJ78/snLR&#10;Z9NHT5g+qmJexdRPp89btXDJusVL13z0+aoFS1YvXLJy8edLF3362fzFEF8s/GTl4s++XPz5aohF&#10;2AQfTZhenp4zKafk2w07H95+8OhV1b0XLw/8+FNpxYSyignrt+04fu7CrQePnlXVNLS0Nra2nTh7&#10;fmRBsU9g0NSZ06/f/kUMNuxKSIcYtu3aGR7tEMM2JIa/D/hJJDjkLa22xqa66hroIFe+ePn04eOb&#10;V6+dPnHyu4NfQ2Uwb9ac4vyCASmpoAFPq7tOrVFIZGKBEIoD6INDqu04F8TGeutYieBIwZDu8e48&#10;tLGk7wgY2ZncMUlgSRzL49DBhyIAT+Wdib4z8FrhV4neMcZxvQFfBbZwWCaMxzcAK1Mc8+ISwrcN&#10;Vo2Lx7G1HJANbD8eoDStUu1msoQFh6Qm9y3My585dfryz5ft3bX71LHj169eu30b+mMPnj9/XlNT&#10;0+T48Xb0Rv1f8PcWgyNNddAxyjGyvr4exAC5DBeDUqns1atXWVkZiAGKg1+LAYvKqqr1mzaGRoRD&#10;xbBz9676ZsepJLxnBuH4rOj9Zy8qpk1z9/PPHDny6Okz9TZbdUPD/SfPnlVV33n4aOnKL8OiY0Mi&#10;Iucv/vj4z8cunT9/+tjx1ctX5A8fMTg1bUxxycLpMxdOnzV/0rQ5E6bMrZg8Z/zk2eMmzpg4edrE&#10;SVMqJkBMnzBxxoTJMydMnj1pyidz53/5yWfzJ08bnjZoRNrgz2Yv+Hr/1z+dOPHDseMr1q8fXliY&#10;U1yy5Msvvz58+MzVq3eePq1sbKxuaTly9mxWfr67v9/kaVNv3rkN249V0ZBMsJ5lC4jhVU315u3b&#10;oGIIDAmB/X1R+RI/CAAcE5gW6m44dJcuXdq8eTOIwdPTU6/Xgxjmz5//lhg6G4g/hM7j+aZx8RcF&#10;ew3xT+C0tTc3NEJ9cO3S5eNHjh7cu3/DmrUL582vGDMWetCZQ9KTE/pEh0f4e/sYdXop6ICNddXx&#10;1AzZHEvo+OkaLLP/ktwdqRw/m+SoEsAEWKaGPI6laRjjmNexBFwMDCYsEySBnzjC5nJoA2+/XgsD&#10;S/cOGeBDfDNgsVjqd5xBwpeDbyEEJgMeH5bjMArmEqhOHLvgUA6DxaTSGRTsXBY8JeYLQXte7h6R&#10;YeH9+iRnDhlaXFCIfdJpztxly5Zt374d3q7wNn78+DH0EeEAvnlUoQEPAWjjhxdvI96k+4gBf7EB&#10;eKVxMUDFMGHCBLPZLJfLo6OjQQy7d+9+9uwZpL+OetNut7XZofh8WfUKKoag0JDImOitO7ZX19bU&#10;NdTDWwqWU1dXB0NoX7x3p2TyBGtQQNrwYbsPfXf76eNzN68fPXP67LWrR0+fnr1wYUhkpF9wcMno&#10;0StWrVizYc3ylV+MHjsqKjoiJDgwN2f4rGlTpowfX5qbmz8suyh7OER+RuaIrMzh2VlYDMsa8TqK&#10;8nKnT560eN68CWNG90/qk5KQUF5QsGD+/CXLly9ZsaJi6tT+Q9MHZmVOnD1r1dbNe3/4/siFcxfu&#10;3rr88P5Xh74bkJNt9fcdP2HChUsXYS8g9dfU1TXZmmvqausbG16+qly/cUN4ZERoePiGTZsqq17B&#10;4eo8enBAmpubYWfPnz8PFUNxcbGHh4dWqx0yZMi8efNwMTgOMDYLdvTQqduugR9JaDheAQxoO96Y&#10;HTjOkGPv1cb6hvraupqq6qePHl84e27frt0rli6bOK4iKz0jOiLSw2I16fRGrU6rUiulMqlIDD1r&#10;6Jg7Ot3Qy8ZO8jjO8GDdduwjQ46HWMpmsmAyLGXTmZCCYXp4SiIUwRLkYilUG7A0uUQqc1w6xkKK&#10;jVHK5Cq5QgVDmVyrVOnVGp1KDQ28rXY8BdN0TClTwBhow7ywKAh8UXKxBFaEB5QysF4I2FqHlrAy&#10;wlE08GHz8I10SAIrbhxtUAt2rkkmlsCW6NVas94ANYS7xRocFNyvXz/4S//444937tx56tQpcAOU&#10;DvhfMf6hEjjOcORxH+BDAEZCG3C8MohucSrJ8Tf1S58X+0NqbLx3715nxYCfSho3btz+/fuhxoTJ&#10;Ot8N8B8evIKKYcOG8IjwmOjoDevW3b999/7tO3ev37x28dL5k2fOHjsBsWnfjvT8bL2XOaRXZMW0&#10;SUtXLPvo44UL5s75ZOGCj2bOGpme7mMwuqs0abFx6SPThxQMHZw7ODolRueh0ViVMX0iBmempg7s&#10;E9c7LCoqKDYqGCIqLCAi3D8iMgAiPCIgPDIgLDIgNCogNiGi/5C+Q3MG90mL9wp2d/O3RCaGpw9I&#10;KRqYXjwkMyMhOcYvoFdgcEZa2ujioqmTJs6bO3vRJx8t/uzjidMnRcZHG6zG4VnDNm3Y+MN33397&#10;8OsTPx+/cfXajWvX7t2+c/PatRXLloUEBYWFhGzbvKWh9u1bwMIxATecPXsWKgb46/Lx8TEajRkZ&#10;GQsWLDh8+HBVVVXncYPjjP6Kugh+zDsbALTxIwzHFt7G8FpUV1c/efLk8oWLR3/8CXywYc26TxYt&#10;Hj9mbFb60NjIKE+rO6RavJcNHXDoqjNpdEfHHOuAYyZ4fSIIGpBMQQbY0DEen95RCmDzQi6GHA0p&#10;HrrhYUHBvaNj42N7QSQnJKalpA4dPCQDi3SoSzLTh2YNzYANGJk9vDA3v6yoBKK0sMgRxYV5+Xkj&#10;Rg7PzIIpHbMMgcag/mmDBwwc2D+tX5+k+F6942Jg4b1jo6LDg0MCfHw93dxBbGAL2AYoYvBdgE3F&#10;zyNBG6s/GI49wk9wOeoSbKfwisRRT+CnuSRiscViiYyMHDx4cGlp6dy5c1etWrV3715IBWfOnLl9&#10;+3ZlZSUc1beOOf4Qjjl6S3fSrcSAA68u9A7u3LkDFcPkyZO9vb2h2xsXF4eL4VefSnoN9IXXr18f&#10;GxsbExW9aMHCoz/8+OO33x/cvXfLmnVffLxk8Zz5C2fMLqwoC02I4qtEQqXIw9cjJCzIz9/b39Mj&#10;yNsrzNPLW6NT0JlyCt1bptR4qBVeKpW3WmKR0CRUupiqtirMXlqtGXpTfJmCq1Tw1Eq+Us5TKvkq&#10;tQBCqRYoNAK5RiDTCiQavsIk0Xio5GYpW8liKZgSs8SqVwUrdKEaY4BcY+aLzAKxt0brZzJ5mYx+&#10;Xu5+vl5+gT7eAd5yrVwoEUSEhBbm5o0fPXbcqDEL5sxdt2r1zq3bvv/62+8Ofj1/9pwgvwD4g9y0&#10;bn2V46wa0HkA4dA1NTWdO3cOxFBeXg5iMJlMmZmZCxcufOtUEj4jfvQQXQE/pPjBB93ihxcfCSkM&#10;3sZw5NeuWj1jylRIso7voARA7sY+7qlSQzcc+v6OFOm4VOBImpA6YSSeVR1WwLInPIVPAAkU/7yQ&#10;41QSdnYIXwKkWuh9B/r6pST3hRQ/a9r0ubNmL5w7D0qTrZs27921G7S0b9ee/bv37N+z98DefQf3&#10;7f/5pyP4NwyuXroM6rp8/uKlcxfOnjx97PDR77/59sCevTAXBMzy1bbtu3d8tX3L1pXLvpg/Z+7s&#10;6TPnzpw9uWJCaVExCKZ/334gOah7pEIxhUCik6lgLNgkxzkozGGgCscZJMdDR0AB4dhZ7Flsf7Hy&#10;CCs4REKhTCbTaDQGg8FqtcIbOCwsDP8JrCVLlhw6dAiOJ7gWDiwccDjCMMQrMzj4+DHHXxTE3/5U&#10;Ev4Cv/mKQhvEcPPmzW+//XbChAkeHh5yuTwiIqKwsBDy3a1bt16+fPns2bO7d+9evXr1xpWr1y9f&#10;OXLox5mTp4b6BQR6eBdkDV86b9GS2fMXTJw2qaCscHBWdnJaZkJKQnSwv5tOxaVLqAQllWigko1E&#10;oheB7OVCDnGhRRKYMc70Xk6MJCIvgkIJJRMjKORICiXM1TXCxTWBSk8gUeNcSQk9CQlOxH4ulP5E&#10;+gAiY4ALbaAzLc2Z1t+FlkKg9SXQkki0GBdChJNLOIEQTiQGkwjBZGIIjdzLhZryT0ZqT3ZKT3bc&#10;h/SYD6jhPalBTmQfZ5I7gWx0clG7uOjIJA2VpGEwPLTGmMDQ+LCohPCoIcmpo3ILpo+d8OmcBR/P&#10;mleWkx9g9Qzz9l80Y87Rbw9BrX3+/Hk4DnA0oOjGb2hz9OjRlStXjhw5EjpfarUaP5UEf1Rw3OCv&#10;CP8Tgj8taHQcccT/FjwrwRAOKQyh0oWyDF4IePfCi3L69Gn83ojlJSWQr93NFjFf4Ej6fMiS+EkV&#10;yJ7YmXqHABwd546eNSRNGA8JFHriSil22gd65V5u7r6e3oG+/uHBoVHhEZGh4RDQjTAbjLBYWD6s&#10;pby4dNmSz0ED3x44+N3X35w5cfL29RuP7t1/dO/Bo/sPHt9/+OTBw6cPHz179LiuqrqlyYZ9dhb+&#10;+KCTgH/drKW1qa7+1fMXTx48enj3PgTMdf/OXVjCnRu3zpw4BcsEZ3y978COLVtXr/jy44WLZs+Y&#10;CTXQ8MxhfRP7RISGRYWFhwQEmnQG3Fiwy7Dxasc3KiQCIZgAxkuFIhGPD7sJ++u4XoKVPuA8FpPV&#10;CZvN5vP5YrEYJAF6GDFixEcffbRz584jR45cvHjxxo0b9+/fhwICjnmnGDpeFUS3EUPnEAdebOga&#10;gBgmTpzo7u4ulUqDg4Nzc3OXL18O/S9IfAcOHFi3bh10ImZOmTZx7Pi87BExoeEaiVwrloV4+SZH&#10;9uobGZsUEtnLNyjc6h1q9IBw00gMUq6aTVXSiFoq0UqleNHoUSx+NJOfSBf0ZYoGMqVDmPKhLHk6&#10;V5TOF2XyJVl86TC+JJsnGcmV5HGkBRxpGU8xWqAaL9JOFOsnSwwTeZoJHNV4jmocVzWGpxrFU5UK&#10;VYVCZa5APkwghcgQSYcKJYMEokyWJJ+qyGOo8hjKDIZsMFWUTBEk0Pi9WIJQJseHTDW4uupcXXQk&#10;go5O1wolRpnKotRaVTpfozXSNzAhLKpfTO+kyNhI3wAVT6QVSvvGxOVnDh81atSUKVPgD2bNmjW7&#10;du2C7P/TTz/t2LEDklF2drabm5ter09PT4eS/M1TSXDk0amkPwR403YCYqitrQVDw/tz1apV06ZN&#10;w2+jGx0dDVUCdKhVMgVkRjFfCOmeScU60dhlW8eZFmhDtxpGQqJ0dJ+xlMqgUKEsgMRq0Gj9fXz7&#10;xMVnDc2AvD9t0pRPPloEpQDE558umT19Rr8+yWq5IiQwqKyoZPnnyw4f+uHuzVuQzWGIC6D2VVXt&#10;q2po1FXV1FfXNNTUNtTUYd8baHaIAfteheOrFZghsNsZNdc3wmS1MKNjlprKVzBvdeWr54+fPLhz&#10;996t27Bw8M1VKDNOnz19/MTxI0ehot371a6tGzdtWrdh4dz5A1JStVBHc7iw1xaDEaQF9oIKCXYZ&#10;9gv2FHchfuoJdh8ewmHhcjBACTDk8UAdIFKBQqEwm81+fn5RUVEpKSl5eXnwnodUcPDgwWvXrtXV&#10;1cE7Gd7V+KvQ8cK893SHU0nwosIfFfRhwQfwMsNfFxQEZ86cgd5BeXk5vCdEIpG/v/+AAQMmT568&#10;dOnSTz75ZOrUqVBADE1PT4zuFeztZ1So5VyBlMVTcYV6gdQkkFnESneRyl2ocOPLPfgKb5HKT8jx&#10;5bN82fQAJj2MyYxncZPZgmE8eQ5fVcxSljKV45jqKRzDDJ5pHUW/jWLYSTHuJBt3k417yMa9BMNB&#10;gvE7kuUo1eNnqudxqucJqucpqtcZgsc5V4/Trh6nCB7HSR4/kzx+onp8S3PbTzHvoBi2kfVbGKYt&#10;TNNGpnEFw/gZ0/opx+1jtnUmyzCNqRvL1pRx1LkcRQZHOoAlSmByo8i0UDLVn8E2CmV6vtQkUpjF&#10;SqNQDmGRqCwSpZ4vgbaMxoaAhl4oA2uCMpOSknJycioqKubPn//xxx/PnDmzrKysf//+cOi0Wi00&#10;wK/QdYWcVVNTAwcZ/pDwTm7HC4D4XwEHsPN9W11dDYcXSoT9+/cvW7asoKAAfGC1WiGpQXYTCbAP&#10;m0JPGTvJ7qgSsE8WOb5oBpVBZ63gOKfEht60Xq2xGE1uZouvp1dkaFhKUnLeiJFTJ01euuSzzRs2&#10;Qm8dcvG1S5dvXLl28dx56L/n54zUqTXQVZ8xddr+3XshZWP3kWy2NdY32LAbE9nxL1K04nfrc9ye&#10;qM2GfbEOGpgMwAr4F7MxQ2CNNlurHQ/HxB2zN9vw+3Zg0dgEQ5vjPk5N9Q2NdfWgmfqaOig1QB4/&#10;HfphdFm5h8UNyh1vD8/oiMjE3nF9E5N6x8QG+vq5m60Wg8msNxo0Oigm8OoBv9Iu4PPBB7gSAC4c&#10;KhYLhpABoHQASUDDZDKFh4dDvwe6O1u3boWiGTqRz58/r6+vh5ej47V57/mzxdAGvYwWLNqhloNk&#10;Y2u2Y1/xdNyECLqmWG8E/oDw0gALLBvBPNjH8/HA+ih2eyu86xqaG17WPrv98ObFa98e/nHVhnVT&#10;Z89IGdhfoVHBH5PBqA8ODuibnJiRjt0LJjmhd0x4SLCft7dJr5eKpHSqjEI2sFjeHK4PmxvG4kVx&#10;BIkccV+OuD9XOpgnHypQVTDFFUzRBLpwEl00nSmZy5QtYCo+Z2u+4BpWsfSrmfoNLMNWrmUn3/0w&#10;zXyCZjlJs5ygWk5RLGeo1jNky3mK9RLN4xrD6zoE3fM6DYvbVK+7VC8Y3qJ53aTDeK+rDK/zNLdT&#10;ZPMxsulnCLrlGNN6jOX2PdO6l2ndw7LuZlm3MsEWxg0c42q2YRlTs4Sl+ZSt+YijmsuQzaRLJ7GU&#10;RXxjHleXx9PnCPQZbFV/piyVJUtkSWJovGimIITGCSAzvIgUQ08XNY9lkon8TLroQL9+vWMGp/Yb&#10;OmhA3+SkXr16+QUESJVKsUIZGBGZlj50/vyP9u47ePbCpbsPH72A3h/8Pbe1YS8BvADYa+BIDY77&#10;izjOKuDh6EvCq4ZZBF5HfGznS4e/et0N/Gto2J69PjKOt+4bY+AtDGNa4U3b0lBf/+L585s3bhz+&#10;8acN69YvnL+gpKg4ffCQqIhIq8WikMmFfAHXcanAIQD8g6f4hz6x0+u4DPDLBjANViiw2GqFMjI8&#10;YuiQ9NLikhnTpn+y+OMvV67ctnnrwQMHjv3888VzF25dv/nk0eOqyspXLysfPXj40w8/FObna0EM&#10;kZGzZ876+sBB6M63QCmA/aVhf3DYxmPRuf2OwEe+9RAC2/1fH4FfJnhjPLTf9VQb9Dmam69cujxt&#10;8hRQglGnj4mMHj4sGzZs+bIvPvt0ydw5c8aPGwdHaVhmVmq/lPDQMJPeKBIIWQwmVjrAkE7nstkC&#10;Hp8NJQUHjgiXyWAwwaMMqDUYLCZTIhIbDYbQ4JD+Kamw4zOnT1+5YuW333xz49r16ldV2F2YYI+h&#10;hoCCGNs87OXD64mO17djBByO7syfLgawQhMW2M2pm5raGuvtDQ1tTc3tLY6AbomttRVMgd2GGl4z&#10;W4utydZcb2uubW6qbmysamisrW+seVX76lnVq3svH569fXb34X1rdsxZ9mlBxejEIf29Qv2EailH&#10;yBZK+UqFUKsSm7UyN63cTSuzKkUmOd8gYeqFNBOX4smmBHJpCVxWPz43l8cv5AkmckQzeZKPePLP&#10;BcovhOrzTooLzsqLLqpLruorRO1Vku4aWX+DarxJM70Vj0nmp7+J5xTrS5r774lnZMtb80Lcp7y9&#10;FghY+3Wq4a04TzH/AGUH1e0AxbKdatpCMSxn6D5jaOewlJNY0nK6YASVPZRITXEhJLq6ejAJnhyy&#10;J4/mKWZ7yfjuKqm7RqHXqNRqpVAmY8Dfm1SucPP0CI/MGpY3acrs1Ru3fXP459NXIbU8fVxb+7wG&#10;jr3j5pe1Dfbqhvaa5vb61vam1vZmR2B3s8FuJ9XW3Nxmhxca/tIg3UC7yY5FI/yJdbwNuhFYrwb2&#10;+o2sBw5wfCPGcc87x7PQgC5zXVX18ydPr1y8tG/3noVz5+cOH5GckOjl5m7WGzQKlUwsEULHF/vU&#10;PweTgeOqcocYoM3hYh1kLk8mkiilMngI00uEIugw+/j45OXlffbZZ3v27IHu8PXr1+/fv4//CsKr&#10;V6+gnm5oaGhyAO1Hjx599913ubm5Op0uJiYGisWDBw/eu3cP7ztjVnCA79r/C8C6YNXQhZ81a5aX&#10;lxfUTImJiVDLwkZCRXXz5s1Lly4dPnwYdu2LL76YMWMGVLqw2fhH0qEmgIMANZOjeuDTKVSO4+4a&#10;+EUXGMJxww+dmC+UiyU6ldrb3SMmInLo4CEzp07fvnkLFFIP791/9eJlTWVVQ00tVDyQcbBbE+Jd&#10;UocSYPPeh/Oof7YY4Phi95S2tbdCpxK7PVgLtNpbbe12CKhUW1qxW/7AC4L9gWF3D7M3NjdXNtQ+&#10;ePns0r3bJ69c+uHE8X3ffLNl2/Y1K9d8smDxzLGTy/OKBmYOjE2I9gvwMkOtyWOraRQ9k24mEr3J&#10;1FAaM5bBSWBwk+jcZBpnJJGbT+SWkPjjyMKpVOkiqvxTunIjXb2Fpt5H0XxH1R2h6k/QjKdpxjtU&#10;0x2a+S7dco9hvc9ye8B2f8j2eNgx/FU8/02uh3hBdXtrzP9RPGW+Y0UPWO4PYEt+HbeZHhfo3mcZ&#10;3qfoXkeYHj8xPfZz3PZwrJt4ptU8wzIO1BaKuUzpVLpwIk2QQ2FnU1hDycw0MjOZyIimMCPITG8K&#10;y53K1tHYEjJDQudopSpPk1ukT3BafHLhiPwpE6cs+GjRF2tWbdixffuBvft/+P7nUycvXb3yALuZ&#10;fjV4G7u7GVQP2LkF/NRzZy8S4vVdRLDbwdq6pRgc/V8IeG87dhw/8QJuwBvQuWlofPHk2c2r1376&#10;/oevtu9Y8vEnY0eNHpQ2IDQoGJQg4mOJzHF2CC8OsAvL2JVVxydQYTz+SU0xX6BVqtwt1l5RMdgN&#10;sWN7x0REgVSUCmV4ePi0adP2799/7do1MEFzczPkMqyL6wBPcACktr+gGIDfimH27Nlnz54FnzU2&#10;NtbX14PhQBInTpyAfVy1atWcOXPKy8szMjL69u0bExll0GgdX3rgghheX5dmwKEDYcDRw46nI5iO&#10;+z5JBCLsAoy3b78+ycX5BXNnztqwZu33X39z8ey5R/fu11fXOk552fANg6MHSgDww4iP7K786WKw&#10;v/5NGygLbJAsMFG0tTRhhsBSCLwC8PbEOlngBHh7t2E/gPC8rvrstcvbvtn3yeoV42ZOHVlalDp4&#10;YK/evUNCQvw9vT3MFp1RpVKJ5WKuksOQ08kmEsmNQo2ksxNY/EFcyQiBskisHS3Rj5UYljB0y1jG&#10;NTzrFqHHLpHXN3yv7/neJ9kep1keV+geN2jud6nuDynujynu9+nWBwwIt4dMt0cs90dsj8dsT2j/&#10;Nl4yPF/9Jt5K9P9NVNI93poX4hnT4621QDx4V9xjet5k+V9n+1/j+F/g+p3n+R0X+x8V+30n9Tkg&#10;894l89wsd98oc1sjs3wps3yudP9YbpkjNkwQaMrY8iyOfChLEscURrNEASyRmcbVUFhqJl/PE1tF&#10;Ci+l3tdg9XXz8PfxDY4Ii47vPTA7M3dUyfSF89Zs2XTo6JGbd+5UVlXjd/R7O+CF/kUPr6Nb/nXB&#10;PkHAG9fR2bQ1NtkamjrOxkDB0Nj84snTY4ePrFu9Zmz56Iwh6dERkT4entgdrRVK6OdivdrXn9TE&#10;v3SG3e3O8TVj6Ory2Bz868owcYCPb7+k5CkTJy1d8tmi+QsmV0wEu7hZ3aKjoxcsWHDs2LEnT550&#10;XhDqBL/QCkD7rykG2ELI+yCDTjGA56D0gRIHtgq2HBqgh7q6OjAEKOTq1atnzpz59ttvN27cOHH8&#10;hLDgEFwMoAE4XDDEvzINgV2yBr9i1QP2cSZ4Cg6vRIBVD3q1xtvDMyosfOigwVMmTFq/eu3Ph488&#10;uHuvsa6+tRkrEWDDYNXQ6Pa1As6fLQZbW3tjW3tTW3szFAzQjcE8gH0bufPUQ6sdcg30Rm/evH39&#10;2q0rV6+fOX/hmx++/2LVl2Mmj8vIyYhPig0O8TIZZEoxQ8anKLlkLZvsTSYEUEihZHIcgZJEpGY7&#10;0Ub0pE1z4S9wEa10lW8javZTjD/SLEdo7vdd3R8RvV5Q/apo/jVU/1qSTw3B2wbh6mV38bQ7e9id&#10;3O093dt6uj+imB9RLBCPqRBWiCc0bPjbwJP7W/Fm6v8f4615IZ7R3N5ay7+LJ1S3F1TYI68XNO/n&#10;DO/nTJ/HbN9HbJ/7HJ+7HJ87XO8bXC+Iazyv6xyvu3TvG1TPCyTrEaLxGxftRqJmLUE1jyCbTpSN&#10;IkmGO/PSPmD0+Rc14Z+UWGdqtDM5yInk5Ux0I5ItHI67WOzpZo4IC04ZMrBo/JjZSz9dvXvnriM/&#10;njh75tzli9dv37r78MGT58/r6hvgLwpzAAQkR7yGaHFEtxRDhwsdb2bHSSSsEm61176qenjv/tWL&#10;l3749vvlny8bN2pMn/gEf28fxzfUHJ8sojOgkwt9W9CD42oqdkFVAMHh4Z8+wjIahwtigJFQHPRN&#10;7DOqpHTrxk1Hfzy8f/eeFUuXjRw+wsvDMy4u7vPPP7906VJVVRWeyDAhOIB2R6Z//SGov7IYvL29&#10;3dzc+vTpM2XKlJMnT+KfkIaNgSHegL3D6yFovHz58vr16xvXrU9N7ivCbqkkgorKrMd+TchiNOnU&#10;GplIInCcUIKA44mdU3Lc7A8OLJ1Mxe4dS6EKeXyr0RQXE1uUV/DxwkV7d+2+evHyk0eP8A9q42vE&#10;pOr40knH5nZT/mwxNLW31zuGzQ4PQI3gOKPUbLdj0dr67MXLs+cvHDhwcP36jZ98smTq9BkFxSWD&#10;hg6JS0wIiQj08fdwc9MaNGKFkCFnERVsglFA9RSy4gX8VKlkkFQ2QiQvVehmivQzeOplbP0almEn&#10;w/Qtw3qE5XGW7XWB7fOC4vOS6vuK6l9N8a0ieVc7u1c5WW0EL5urp93Fw+7sbnd2sztBWJ/S3CA7&#10;vxHueDynvx0vfpPoux6wzLfW0hEMj7cDJET1fOGI5zSv53SvJ0zvJ0yvRyyvB2yv+2zvuxAc77tc&#10;aHg9pHjepXhep7ifo3mcoLodYLnvY7mv5buvELovErvPEFsnCIwlfH0hR5vJkw1kCOLJzBACxZdA&#10;NlNpRgZDr5BZDTpPfx//yLCwPvG9Bw1IHpY5emLFzPlzv/hy5c49u38+fuLe/fsNDU1Q72E9VfiP&#10;pUvsHBIW3dELrfiHJ/Ciwd7m2GWs3r1/5+7+3XsXLVhYVlSc1i8lKiwCkrtWhX0iE3IT9F4h6Xdm&#10;LrzBc9xTiPn6dnXwEEbCQ8hxMRGRY8pGrVm56uLZc3dv3T7y40/QHp41zM1q7d279xdffAH96Jqa&#10;GjjkHZv1GizNO86VQ477a4oBVnf//v25c+f6+Pi4u7snJSVNnjwZKgbYJNhseBYf4g0AZoEh1BDP&#10;nj379utvstKHykRig0YX7B+Q2Dtu6OAhqcn9QgODsVNMjk/xwqHGPsTlcAM8hDb2mVcqBA1GSoQi&#10;vUYb5OefnJCYPzJ38cKP9u7ec/PmTVg+vjp81fjx6cb86RWDwwpwkFvabS32mrrmJ69q7r94eefZ&#10;sxsPH5y+cvng999Cipk6fVpBQUFqv9TIkDA3g8koFhsEAm8Bz4/HCWHSo2iUXhRSEtE1lULKZNAK&#10;WZxFDPkXPN2XPN0mrmGvxOOoyOsntvUS2/M6w+Mexf0Zyf0VyaOe6NlA8qikukG8hF42xfqMbH5C&#10;Mj4mGp7Trc/olmcMRzA74hXN4xX05alvBjbvr8dg8ZLm8RKy81vxm1z/38Vb80L8Zi14VNE93g6a&#10;ezXVzRHWaoq1mmytIVlqiJY6CIKl3hENBEsjwdroam11crM5uzW5utcQPapIno9oXg/o3tc4vpe4&#10;vqf4fkcFfj8IfA7yvfZxPNbwDUsZyjkk4ThnVt6H1P49KH0+IEXQuOFMvrdAYuaL1QKJXCSVS+W+&#10;4UG9+iVm5A0fM2XComWfbdu3++iZU1fu3Ln58MG9p8+eVlW/amiqb2ltgm50dzSD3dbSDlUC/LO1&#10;NtTWvXj6DAqF65evHNi7b86MmQNT+/t6eStlcrz7z3t97hsaUCJAVsLSFpMFtYKYL4SH2BcXBELo&#10;yTpOLmHnlyB/qeWK1L79Pv/kU6gVXj599vLp85M/H9+wZt3I7OHubm5QMYAYLl++DP1c6FBDFuvY&#10;Mgd4UgPgqb+4GHx9fT08PJKTkydNmgQVA179vJmdO4Ex8GxjY+Pxn4+NGJatkMq83T379kkqzMuf&#10;P3vu7OkzckfkgIm1SjV2PR8/7Hg4jipWljk+Coz7GIZw5OE18rC6pST3rRg3bvPmzWfOnIE65unT&#10;p3jhgiqGLtHxuv36jQWvIn5ksRfY3m5vwS5Jtra0V9Y03rj78Pi5Cwd++GHTrq+Wr1k9Z8GCMWNG&#10;Z2Zm9E1MiAoJ8TVb3eRKLYdvotDdaMwwKrMXnZVGZ2fROQVM3ngWfzJXPI8v/VSg+optPMB3+5rn&#10;9iPX7YTI54oQMp3nPY7PQ6bXM5pHJdm9muxeT3SrJ1lf0qwvaNbnNMszmvkZzfKEboZ4zLQ8Yloe&#10;siwPINgQ1gcc6yuqO8TrjOxWScHiJdn6jvgPnEoCMby9Fkd0GuKNcHtFt76iWStpsM2WVxRLNdlS&#10;TfpFDA4rYNHgagE3NLha4VDUwDGheDyjez1leN/n+N7m+OJ6uMDzPc3xPsHyPMi37OYYN7G0Kxjq&#10;xXTFZKZiLF02lCkZxJT04kiDmUI3Kk9HYaupLJVKZrYagoL9eyf0GpQ+qLCseNL0KZ8sW7pq4/qd&#10;Bw78dPLkhZu3wP2Vjc1QGsL7Ad4e8E7Awd8hALQ73iG/Bh/TMdFfA3yrftkwGGAfu7Q31tY9uHP3&#10;+JGje77atXDuvHGjRg9I7R/g66eWKyG/O76lRcOvKkNAA7+QgHsCOxOiUlsdv4hpNZrlYikkLMwf&#10;LOwag0ahyhicvmHtukvnL9RV14AYTh0DMayF9Ofj5Z2YmLh8+fIrV648f/4ccuW/O2JweP+aYoAN&#10;7jyVBBUDiGHKlCmdFQNMgG8SdsQdu4Y3cE6fPAV2VMkUAT6+gwcMnDZ5ylfbdhz65tstGzdNnzIV&#10;CgilVAaH0XEksU8o4Qe/o4xwtOElcHxjDrtfE7wKvp5efRISRo4cOWfO/8Pef4BFlWT9A/DzfN/3&#10;f8PuzCh0vLlzN03TQEPnRBbFHFBJogICKgiYc84ZUKKKYs5hHHUMY84554jkKIpi+s7ty7iO4+47&#10;szszOzPL8ed96nY399atOuf86lTVrZq7fv36I0eOQN6g3BjGhTvC8UOWHNn/VP7e579z+VWIgamk&#10;j4X5kDF1prXy8uVLOIJzePaisbLueXFF9ZW7D/YcObZ8/frZ6QsHjxzeq1dUcFCgXettdFcblUqj&#10;VGYSimw4ZUeIDhw8FBEmcYUjUdl83DUfdV2Lue3G3b+jvE4LtBcpQxFiK0KsxYi1hG8p5VvKeSZA&#10;DR98n/EZ11DP1T8HcHTPOdoKTFuOactwbQmuLSZ0T0jdE0r3QKC/L9DfFelvi/S3xIabAIkB/vwn&#10;gnbiP/L1/yLA439yl7+HKsRIhziYvhzTV6D6SlRfw9fX8PT0U3P0DRz9S7b+FVvfyNK/ZMFX8Fwf&#10;YKymAfxndsDqgK3KgXu48TZuvIobzxCGI7h+p8C0TWjKERszhLpxQu8U3K0PX9GNLeroRHmJSE+J&#10;QCMTeStlBg+VxeBtsxg7dukUm9Bv3PSp2SsKNu399uiVyzdLS8qqqurq6l68eAGaAC0+UAywIkZP&#10;IA3CKMwHhviQZtTs3yuQnw8ZYzIMRzrxqvFVw0uIFUqLnp48dnxJTu6oYSPah7SFQMHTTe14G4ue&#10;Zgounh7/bIoDHBGDUATfQjTgKndhNi8L7dI1vHuPID9/NxelTCSm3Zmjfxwc34D4hJ3btj9+8LCx&#10;4WV1eeWl8xfWrqSJwcdu79SpU35+/q1bt8rKyj74r6ZMfySQ1d8tMXyYlWQ0GoEYpk2bBhEDeAzI&#10;M/ODD0/0IW+QgDyfO3N20ICBbkpXH4stpnefRekZUDIQVBU/Ljp3+syUCRM9VG7Ax3TQwCwl8hEx&#10;MGkHMdP0AGmI4ZRyhafa3WAwtGnTBughNzcXiuv+/fvMm55wR8gJ3BqOkDcmDcJkiZFPTv8o8usS&#10;A1NMIPAhbTQfWTi4A4jL7t5/fP7yzX0Hj67btC07b8mUaTPSUlL7RkR2bRUc4qW1imV2Pm7n4QEc&#10;LISLh/KJKB4ZwxcO50vH48osvusK1P0bzOsQ3+sM3/smT3cP0RejRogJnjtb650tgGfO5mcscx20&#10;iNl0p0otj3aR1TxtNV9bRcP7Ode7nuv9jKutBfB0VXxdFaJzdCUZSjDjU3oOkukJgKDDhZ+IX4kY&#10;PrnL30MFYizB9SUYjVJHb1gFoq+A0MFBD1ACEEDUcfXPIIzg6otxQzEGT2ooRQ3lqBH+tpJvrOEZ&#10;a7nGZxxTPRviKvNzlvkFy1yFWSsxawlmfYxZ7+P08MxFyr5fYNtDWdYKTPmEdj7iOZWnmsBRhgml&#10;oZSoPU614qM+PL6Rh2j5iFXp2tZsCevadWBiwujx4+Ytyly2ZvW27dsPHTp0/fp10ARwUmBpH3cX&#10;fNAlxvwgzegSCPPVv1cgG0xWmVMmn5D/53XPSp4UXT5/YdeOrzMXLByYkNihbTuVQimlPTu9Vh3t&#10;hpj9CVAcHD0zliCmBEAJZr2hQ0i7iB49RwwdBq3dCWPGpgxMBlKBr5qJ4acQw9nTp5MgYlBCxOCb&#10;2C9+SW7enRs3oYhev2x8eO/+wrnz9F7eUAV0MTqGGSDR1I9EB2R07TDcALQNoD/BcBLqSyBwc3Nr&#10;3bp1YmLizJkzN23adPLkSaAHKMAP6gqJD2lGfuNy+2XltxhjgAJiigyOYDkg4AJKSkouXrz49a49&#10;WfkFI8dM6NU3rnPnrq0CguxanVWltstcfDHKh4uFOCGduGQEXxiHSwZT8nFC1XSp5xKpbqXC9K3I&#10;dFhovkxa7qLmIr65imOq45pfcsyv2Jb3X1nffWV528LS2MLc2NLcwDK+YBkgVgC3WI3oKxFtBaot&#10;p+H9huX9muXdyNK+BLAhhtBBMFEHnpEHbWdzFd9ciVgqHPjE//4D/NuJoZgw0B4fN5TghlLcUIbR&#10;PFeB0v1mVQC+odoRIsDpI8r4iDQ+IY1PcaATI8MN8PjPOMYGtvGls7HR2fTayfTGyQSf1HGMNRxT&#10;JddczrMUYfbHmM8Nof8Vgd9xsd9+kX2H0LpBYFpDGSe460ervJJlqr6EuCsXC3LiWls42ylhgFxh&#10;9/D01et8bNbg1sEdu3ZJ7N9/8uTJq1atOn78OJhZZWXl8+fPQUkYtYEEmDocQX9+zzYGefug2+CI&#10;q8srzp48nZ+Tm5Y8qEuHjhaDEdw6/ZrV9+PJjAOiZ8JwuNAydSwLKnKVK3ws1h5dQyeOHZ+XlX1w&#10;/4GTR49tXr9h9vQZkWHhEGo0E8NPJwYo8EBfv4EJ/ZcvXfbg7r03ja/fvGp8dP8BEIO3pwbl8mhW&#10;/j4mkEukEKjRK45QAvgQ4yN0F59jp6APoxFADGKxWKVSQejA0ANkDwoK8smEvI5CojPAJJgcQoLJ&#10;2x9Rfq2IAcoI7AQSzCkoKBRfVVXVw4cPoYV47ty5ffv2rVmzZs70WYPiBoQGt7d7aC1CuZkQ+7Kx&#10;Vi34nb/k9/5fXuJfsLH/i09vIV7s7LKCp9qBuu0jNMeEhitCy3Wh7RFufYJZK1BbFc9ay7PW8SzP&#10;uJY6ruUZ2/KCbXvuAKSfcSw1PFM1D9rCBmg4l6P6UlRbimlLHABKeEVD95KGHiikgWVqYFle0LA9&#10;Z9nqWT4O+FY4pgb9JPwKxADX/PQufxfg3M3lH4Cay1BzqQMlDhTDEaMBCcfnpjIH6DlO9N86RtR5&#10;jriBR5NEHZdGBdtQyTJUs4w1LFMdHYQBLHWobw3qU4rZn2C2e5j1Fm65jpsPkPrduPdGxGMZSzHv&#10;K9HYL4i0v6B9WmK9WuIhHDyAhZq4mIkQWMTSAJu9W7dugwcPzszM3Lp164kTJ0A3wNig0VBbWwuO&#10;AFSI8QW/Q2HsH7IHqg5ZhQwXFRXdvn376MHDS3JyE+PifR2DzBK6NUrPO6LDAsdq2GLHtsn0IKdA&#10;qHZVmfVGaN52bt8BYosZU6Z+s33H+TNnayqqKkrLjh48lJWRGdenr5e7RzMx/BxiUAX4+g2IT1ya&#10;l3/31u3XrxrfNr4uevgYAjitxgv8PlSBIyYgIYxzlbsA73p5eAJnaD29mO4+R9BAlzY9c4kgQZjl&#10;WoEhFApFYGBgbGwsKC2U1dWrVyG3NTU10NiFHH7IDCPM6R9RfsWIASqPKR1IgIJWVFTcvHnz22+/&#10;Ba2dOHEisG5oaGj74JAgs49Z6e6Oi7zZuJFLBnOprlxhX55kBOIylfTIxT0LKN1mgWm30HRUoDst&#10;NFwUmW9TljuE6THP8JRrrOFba3iWWq65hmOuYZuq2MZqtuk5x6eeY6/n2uu4tjqerQba+4gZXF45&#10;As1nfSmmA5Q48Iqtg0DhJZvucH/JMjhYASIM6wsa9uc0fB3w+8Ek0X8I8M6fuPV/HeV/b7rqj0DT&#10;0vfTVWkgljLEUgpALSWopRizPAXgDmD0V2XfUwjQieNvHXdsGm+A4qUZAlDNt1TzLHU86zOu9TnX&#10;9oJjbeDYnvPsz3j2KsRWhtqe4rbHuPUhYT1Fmk6Qpu8o4y7KsJ7S5Qu8Fwo1I4XuaaRrGCnrwKfs&#10;PMLIxXV8XK1w8fLy8vHx6dixI7OzyowZM5YtWwZKAh4WogdGf0CYdgb4BUg3qde/WyAnoNWQMSbx&#10;+PFj8LCFhYVDUtN6hUcE+Ph5urm70JupiSBEoFnBQQYUvakOBjwBp0ASOo13106dU5KSF8yZu2PL&#10;1otnz0ELt7yk9N3rN9UVlYcPfJexYGHfXtHNxPBTxxhOn0keMBAiBn8f38S4fvnZObeu32h8+er9&#10;23clRU8XLcwAAuCxORAQ0IXp2CLUQ0UvjNGuTUhY9x6hnbsAnQNbAxngfBRqioDKIujlu5kVW0Eg&#10;oVar7Y5yTk1NzcnJAXUFz1ZfX+8oqib5kCsmz384+bWIAUoEKBTirOrq6idPngCvgv6tW7du5syZ&#10;QLb+/v5ubm50dIYJjKjYBxX7ouJ2bEEoTzIQcRmHq9Mp780iy16p70XS5zLhcx/1KUGsdSzvZyzv&#10;5yztC2fd85Y06p30zzjmKp65jG9+hJkfYOZbhPk2YXko8Hso8H0k8H1M2Z9Q9qek7SlhLcahmWwq&#10;w4zMwCyEDoDHlP4xM++IXk/CVER7TGsx5lMMd0T9SxD/UiQQUIYEldF/+5PwqxADNOp/dKPPopJv&#10;hlCpHsCx1QG49NBxJd9WjtpKUFsxZivCbUWE7TFhe4rZXjvZGp1sr5xtQITP2dZaLkRX5go6yDAV&#10;0yMrxsek8SGAMj4lfYoJezlmr+YD11ob2JZXLMtbZ9MbZ+MblrGRZQByfe7oi2tsYXzd0lwP90Xs&#10;D3F6KOKY0L7FxXe11DJFoh1OqPqgslCOoB0LdxfTa15KHQJxuslkCg4O7t+/P7inTZs2nTlzBugB&#10;PBc0KT6MUX/wCP92AQ0HTwS5qqysvHPnDniH+fPnJyUl2c0Wbw9PpVwBDU+5WCIRiBw0QG+iAEfw&#10;R0AJrnKFTuMFgULP0O5jR45auXzFqWMnih8XNb5ocKw22vDu7buqsvKD+w8AMfRpJoaf35UU4OPb&#10;v1/Ckpy8Ozdu0QsCvnlb8uRp5oJ0Dzc128mZngzmGGOAiAEqq13rkIGJ/adNnjJx3PiY6N5tg1vr&#10;vLzp7R8kUqgsKHOGGJhFW3GHQBpUV6vVRkdHz507d8uWLdeuXYOmDBQp5BOyx2QMjn9+YqAXL3Is&#10;dkPvTU7P0/5+oV0AFAB8BNrmWCYNfvHq2cviJ8VXL187ePjw2o0b0rMXjxw7Jr5/Qs/u3fxsVm8X&#10;FzeB0J0UWDloB2csGpPGC1XDKbcJIs1isX6F2LhFZDoq8TkvC7hN+d7C7Q9RG7R5n/EN9fScIsNz&#10;DsD4nGOq59ATTyt5pjK+6Qlqeoya7mMA8xPSDiiiYQNWKCEsJbgFWMHRbWIsc1BCOUKjiNAX0ZNT&#10;DU/poWZTMWaGNjU40BIE7ugDKEP8mvB9l8v/iV8pYvjkLn8P0OSv41hogJd3AAIIQLkjbmCCBkAR&#10;HFEL02n2nEX3v8GfVHPN1Tw6/2WICYrLMfbuWGmDMBbj1hJHhFHJM1dzTXUsYz3L+JIOsOjRiBds&#10;qBE9/cIEV//CydjgbIK7VyLWJ5jtJmm7SFkPSn2+FVsKJcZcynsO5TkZU41BXTrL3fwVKj202jDS&#10;laDcpTKdh0dI6+CoqMjUtLTJU6cuzsrevGXr8eMnwVPU1ta8YlwDo3JNC2zQqgd2CIoH9gfO7Fex&#10;QrDxH+Htm7eQn6dFT0+ePLl2zZopk6f0jo5uFRREdx8J6UUsCIzeJADamwSKYgiKQQsUw8ETQaO1&#10;Tavg3lG9pkyclLM4a9fXO69cvAjt2fq6Z+DCmHfiaGKoqDz03cHMhel9e/f5v4nh3IU1K1dBY9nH&#10;1kwMDmKgu5ISluUvuX/n7pvG16AwpU+LF6dnaD29mDecBY4VCaVisc5b261Ll/Fjx65bs/abHTtX&#10;LFs+bfLUuL4xIcGt9d5auUQCdcfjcvl8PgUMIRTBkQBioARymUwhl/v5+sb07Ttm9JgVy5efOH7i&#10;yePHtTW1rxvp1XwgT4A3EFM6/KXjtEl5aPy+5WcQQ+X7V+XvXz17/+qFY4HMd69evocY7eVrwNtX&#10;jaDT9W9eV71+Vfq64Xllw/Pb1ZePX9m6Zvuk2XOjBw7w797Ry8+sMnpoVTJPKeWPIK34aBc2Ouwr&#10;zuK/ste0wHfwZWcQ9yu49yNEX0yPkdLjqDV8umMEfGIptIXB5f3IXTbjj4Jy+v1BfQlb+9TZ63EL&#10;jwdfuAHyBJopAvckQt6bQ7XmYVYE9SRxD6XcA9p1Wm9vi7lNhy6DBo/Iylq2d8+3d25dr6uqbHj2&#10;7PWz5+9evHrf0EjrXiPtQ8FfvHj/9sX7d7Xv38GxSV9/OaFd42u6DfTuDf0OMzhu0Pbndc9Ki4rP&#10;nDhVsGTp0NTBndt3MOr0KoXyQ4fDhwSGYZCAIzQzNRoNREUJCQnz5s07cODA5cuXS0pKwEF/HA81&#10;Ojb4rKqqApcNUUjv3r29PD5DDN9s31H08NHrhlfVFd8TQ/8B//HEcAbCJlCfQF+/xDh6VtKDu/fo&#10;FW3fvS8pKk6fNx/iAxLFIA4A504QBLT6dTpd586dp06deuLEidLS0vv37x8/fjwvLy85Obl9+/be&#10;3t4SsZgZiHaMFdETW5l5BAApPcNYBrTdvk3btORB6fMWHD14GNj6eV09EDb9AjyoJ5CEY2UUuinD&#10;UAKD37f8DGJ49r7xmWM17MZ39AJ370F1Gh2rKwMxvGyk14ysrb7z5NHZm9eOHzi+Z93OnIU5o9JG&#10;hfUMB1L1pN/9F3hQhD8fDcaI3lyqPyoZjsgzeJL1PNFuRHGIcr9G6m5TxmLMVI4amQk2H4iBaex/&#10;7Gia8UfEB3ooZnkDdlKGlQJ9OqWZjqpS6f3vZKGUzA8XmDDKnRK5C8U6N02HoJCE6H4Txo3Ny8/e&#10;s3vnmdMnbl+/VllS8rL+xZtXjbTN020xei3XxrfvXr59B8cmff3lhHaNDsMGI3/jWBcPfPG923f2&#10;7tqdsygL3HFbelcAL7lESg8yC4UMGaAoiuM4pAUCgUQicXd3b9WqVWxs7IQJE5YuXbpv3z7wvzU1&#10;NeDO4PLg6cDrMW6umRh+A2LAUQxqB4gBbtG9e3dmAVe4RUNDA5TJsWPHVq5cCfdNTEzs0rmzr9Wm&#10;lCuAD6AWJI5NL6AuoCIcY9RAD2JvDw3oQEx0n4Vz5+/Yuu3qxUsVJWWgKrRyQk4hjwAmzGXwK2jp&#10;Lys/gxgcbEA/HFgJVE4TK9DL7tMLojU+bwB92v/dd0uWF4wcOjI2KqZTSAe70ap399AqXPRisQ0j&#10;A1GyNyIaIHSdJfJaJDeukFu2SXUHxJ4nRd7npPp7QtNDgbkcN1eif3tdq8LRvd5MDH8mVNDL/NE4&#10;TVkPCew7xLZNAlO2WD9TrB0p8YomXbrhUj9SakYoL0JslqsCtSZ/X58O3TokpSbNmjdz7Ya1J0+f&#10;fPLkSV1dHd3KppeoA6109CIx+MWFMWx6OTx6T4X6mtrb128c2Ltvwpix0RGRNpNZpXCRiyXgboAY&#10;QKApyoQLQAnAE2KxmJkFP3jwYHDZ+/fvv379enl5OeSf6Y8GAacGwri5ZmL4jYkBbrFgwQKoFLg+&#10;FD6z7BLkgdlze+GChTHRvc16A7PjBZQ/wuExe4tC0ED3FjqWMFG7qkw6fZeOnUYOG75hzbrrl688&#10;q66h2y6vXr9tfOPYUsCxIYcjgPhTEcM7UNeGt+8aXr97+QbY4U3jm5cNr6oqqoqfFj+8c//q2QsH&#10;tn+TPy99TFJah9ZBJq2nt1johvAszrzWbDSCRQxyEo51luY6KVfzvb5DDCdwy0XMdklouSo13haZ&#10;74rNxaS5BHdM2OeZanmmGse7ykzfOoQRzcTwh0b592TAnDLrfBRzLMUc2yPE5x5iv4BaDyOmHagh&#10;j+c5j+M2BFUmOIs6OuMhTlgQl/AmKC+lS5C/vXev8OFjR2Ytydn67a7jF85du3+vpKzy+YtGesUt&#10;Bk2L5/+iAlbs6BOAsLi2qvra5SvrVq+ZNmlKx7btjFods5ARNBulQnqPfuADhgwgSnBxoaddgYOD&#10;Nunw4cNXrVp15swZ8MUvXtArzoIbgiN4NIejoxMgcLdmYvhtupIgmANi0Ov1oaGhc+fOvXr1KlMj&#10;IJCAq9XX19PTCnbvmTNjJnBDSKtghh7gz+m6/n6tQ6h9qHfmxXVPN/f2bUJGDh22dtXqC2fPVZSU&#10;Qnz5+iW9Byo90gD0wBDD750Xfg4xvH/1vmmJbAgRgBoa39bXv7hz597Bg4cKcpZMGjV2UJ+4iJBO&#10;IQa73l2lUgjdccQT4YUgRCQhGUwo55Ke+QLdTlS/n7ReQq1XEdsdnvUWZbklNd8Tmu8LzcW4qQSl&#10;XziooafP/5AY8GZi+GPjAzHQ+P7DapalxtlayfUp5/k+QP2uYT4ncfs3QtsGgXm+zDiF8kwQuEai&#10;kk6IwEQK3MUiD1cXm8kQGNKqa0SP2NSBE+bMLNi4/tTZC2UVNbRyAis0/IrEABYOdn7lwsVVy1ck&#10;9R8Q0qq1l4cn04QEMOECwuEyXUkoisLRw8OjY8eOAwYMWLZs2b59+8BZV1RU0FGOQz52aswnIJBu&#10;JobfgBhIR1THjDF06dIFHvzy5ctQ8szVGIG7VFZW3r1z5/TxE+tXr5k4dlzPbqFGnV4mltBk8NEy&#10;fAC4JnADVI2n2j3Qzz8+Nm7RwoyTR49XlpW/rH9Bdx85tIjee+bPRgwN7981QNDwrvHFm6r6F7ef&#10;Fp24dmXDzu0z0+fHRvUONFl9pCoLKjE5EUFcXhs+u2dLViwXncmTLSc1ewnDRcxyB7FVcGzVHHsD&#10;2/6S49PIsdfwLSWYsZRvLOMba7gAUz3XXM81PeM2E8OfDfRSgD/8pN7Z2OBkfO1kfu1sfuNkfelk&#10;fe5sK+f7PuHbT1O2I7hxnUC7BFPPQ1zS+IoItjiERbblCY2kSCeSeHt5tuvcYeCIIZlLl+4+fOT6&#10;9XtPiyrqKxpeN3zGCf6LAp711fMX4IVPnzi5unBlWvIgX5sdWo7grOmXYwnaQUDLkURxlMdn3pJV&#10;KpUGgwEChQkTJhQWFt69e7e6uho8Fwjj3eDocLn0yDkj4JUYzmgmht+GGIC5pVKpVqsFYpgzZw5E&#10;DFDycBHmUkwtgMCfv3rR8PjBo6+3bps6cVJc3xh/H19XuQsAKgVqhF7jhN5fj14uVy6WwFEhlVkM&#10;pl7hEZkLFh757uD923eqyivoKWdv/iwRA1M0IHS64d2b6sbqsppHD56cvHBx3Y7tc3OzBg0fEhrZ&#10;099o1sqUNkLqh0mDuOKehKC3UJCKCccI5PmkxyaB9ghmuI6aHyG2Kra1hm17wbYBN7zi2mt4Fnr+&#10;KM9YDoEChw4UnvP+RgzVzcTwZwGwQjVmobnhI3qoYxvr6YU3TC9ZpkZn6yuWDZoLlVx7Mc92kbCe&#10;xc27xKZNQt1ygWaWWDuU9OiNyiP4Ej9MZEBwd6nEZNS37tguKi5u2ITx6YtyN2/dee7U5bLiCnAf&#10;TRr7vTh0+VNp+u57afrUIU0ffX+Rhhcv7ty4deDbfeBohg8ZGhLcWiGREQgGlMC0HOnFdhyLNtMJ&#10;kUiv14OvSUlJSU9P37Vr15UrV+rr65lL0Qzg8G6MOG7yafaaieG3IAa8iRggYujWrdu8efOuX7/+&#10;4WpwKabo6CvDzRpfP6+rv3756p6d36xeUTh+zNgeXUPNeoMb/WY7vS83VA1oAjQO6H3iEBRCB3dX&#10;la/V3q9vzNxZs/d8s+vy+QsQbr563vDmJU0PH6ZZg3y46e9K/g9igHxDGUF9QO4bX76tra6/8+DR&#10;d8eOZxUWJI8c2r5nV7PZ4K1RW0USC0q1dia6cISRHMl0vjQXU2zG1XuE2ouE6RZmKuaYalnmlyzr&#10;K2fLK2fzC7a5nm2u45nrHBwAADJ4zmlCPedTYij5JYiB6df+GJ/84D8QH7YO/YDfsliKcMMT0lCO&#10;0SufP+cYG1j00kwOnjBX8SwVfOtDynZXYLshth2hbDtx6zJMl8FyS+ZIo53IIA5ug9BBJle5umoN&#10;+qBOnQaOGJG3dt3JCxeYLS0Zw2NUt0mbfyjwOXzrsM1PjRM+Ae8MR/hBXV3dzRs39+3eM3fmrKiw&#10;cB+L1U3pCp4FvADtX1B6UR3HW2x0sxGaihArtGvXbuzYsevXrz937lxxcTF4tL+Xh89KMzH8ZsQg&#10;k8mYwA6I4dq1a8z1PxGGGN44NmplRpi2bNw0d+bs8B49Dd5aVwUdOoAaACXQAQQTPlIC4AmoLw+V&#10;W+vAVpPHT9i4dt2ta9fra2rp8YZGeiodwz0f4hJGmm75O5DPEwOTRSavUFiM1De8unXv/padO6bN&#10;nhWbENeubRurQWuUSIwCQVse2QUR9ePLBpPq8UKv1Zj7bsz9BO59gTI9xK1PUWs111rPpl+nek7D&#10;XMs1V3PpNRhqgBWABhxkwADSdY7X1qp59EB0EzE0Dz7/OviYJhl88oNfFQ8Jw32BoYgwPMUNVXx6&#10;SVd6kwyW8QXbBIoBGlKK0ut2PCYs13DbWdS2FzNv53lnoB6TOS6JiDwUEfnyCHeUcBeIPDSerduG&#10;xKemZC9ZcuzYsYcPHzLcAAJ2DUdGsT8W5ivm2w8/YD6EBBzBdGtqai5fvrx9G92H0Duyl4/VBi1B&#10;ZrQZQC/HhuEysYRZI8/hBYJiY2MnT54MrAC+rKioCGIF5oI/XZqJ4XdFDHS3z/cAeqgqq7hy8RKE&#10;DnNmzIJbtGkVrPPyhtqBeoHLOt5vpwNHEsP5HK6QID3V7qFduo4ZOWrz+o1XL12uKC179aKBHmxw&#10;5JkR5ok+f/d/k/wfxADZhSOUOOj3k5qKb48fHj9tYscuHUxajV4mNQmFgVw0hIv3YwuGEK5zBJpc&#10;uXmVi/00briN6B8jxhLUWovYnvFsDRx6EQVAHcdSy7WUo/TSPU9xC7j+vwUKjtCB3jHGES7AV1VI&#10;EzGU0S83fOpWmvELgOnb+Rif/ODXxF2B8abYeE9ovC8wFhPGMvr9FXrBvnoAx4HvVaKcaynmWu9i&#10;9huIZR9p3oRpMyiv0YRbX0QShApsKKmSiL3UKt9WAfEDEhctWrR//36IG2ib+z4sYBT7Y4GvGPUG&#10;afrI4XSYWAEEYoUbN25s3LgRHFOndu2NOj0EBGDzTA8S2D/OR8ERKCQyiUDoIpUF+vn3i4ldsWLF&#10;nj17rl+/XlFR8eLFC7Cdj6//U6SZGH53xEDP0nfMMaW54c2z6tqnjx6fPn5y9YqVqUnJQf4BcFkI&#10;HUANIHQgEBT4QETSa7VCfcHnaqWqbes2I4cNX7dq9aVz52sqKt+9fgNVwzwIo5+Qfzg23fF3IP83&#10;MUACngGU7OTVMzmr8vtE9TS6KQ08pDUbC+cJBjsLx3Jk+SzXdYR2P2U+IfY5L/J9gjoWTuBbqhF6&#10;hbtqANdSBeBZynmWMr6VXrQHpdfqqeSbmRChiQ+YQIFHr+vArCcKxACAxIepLP80PukzAfzGDeRm&#10;fIJi1FSEm4twOJqeEqanuLEYM5bSa5Y0bZD3jN4WAgIIYy2H3oquAjNXYJa7pO0SZjpAGNbh3uk8&#10;t1S+oh9X0goT+PJxi1TW1m6Pj4/PysqClj5je/+AGBhpOv9e4cG/wB/W1tbeuXNn27ZtEyZMiIyM&#10;9PbQMK1CRxcB3WsEDCGmhHKxBCjB003dNrj1kNS0rIxMcGH379+HP4frwK0/mH3TPX6CNBPD74wY&#10;aFagB43pcWP6hbV3b942Nrysqai6ceVq4bIC4IbuXbrazBalXEFXU9MkJTpoIFCMns9K9ympO7Rt&#10;53jFYe2Nq9eAWqDw4XaQ7Q+P8xuX8z+WzxPDh4wyCYjKoapWbl09dNLwEH+rB4nZWdxwviAVd8mk&#10;vApEhn2U+ZjE96rQ96bA9w7pU8G30itg8yw1XHqbhAoOtPhM5TxzOWItRWhWKMHsxQ5U8i1Mk5CZ&#10;n8p0HzELfDJk8ItQAoNPWAHwH04Mf5s/+kN88rNfD45VwS2ljjXAnxLmIsIEeIrTcw0qHFsGATFA&#10;3PCSDfSgreV61yKGWsxUglsfYOZLpPWgwLqJNMwT66aIvKKlbh0RoQ9OWRTKgICAoUOH7tu3r7Ky&#10;ErwJ+IufYnIfTBR+D38ITf7t27cDK3Ts2FGn08nFUnAoYOdg9k0JsHouH1yA2lXVNrjN+NFjtm3a&#10;fP702eLiYrB5uA5c8GNpus1PkGZi+N0RA1QmANy4gxgcccPrF3XPnlXX3Lx2/eut2+c4xp+MWr27&#10;yk0EF3essg5HuBcoDEQSMrHE21PTsV37MSNGbdm46cqFS+Xl5cztHAVMPwXUu+N+vwv5P4iByTpE&#10;xDdv3pybMaNvfESwh6uFy4lwQibwZPmI+1HMdAG3lXNttXzf12z7G2frmxam5xzLM56VHj/kmov4&#10;pseICSz5IW55RNieYLYi1E4vTsf3qeT5wG/o4QRHoMBECUyI8HGg8IsQA/i7cp7hx/jkZ/9R+JgM&#10;PsYnP/v10NjC8u5La6OTtcGZXh68GDM/Is33SdM9yvSIMD7GHZtDOHYNquJryjH3asSjhu/5jKur&#10;5UIAYSkmfG6TvgfEvrukvgsU5lF8RTSb8kcFHh4e0dHRa9euffjwIbTcwTk6lPofCWOcoPag8PAn&#10;ly5d2rhx46RJk4AVXF1dKYoeZ6b3AUZxxxQUOmIAa4e0VuPVqV2HkUOHb9246f6du9ASBGP54F/g&#10;gnBZJv3TpZkYfn9dSd8fmYSDGBpfNLx91dj44mVpUfGh/d/Nnj4jJrpPgK+fu6sbhAsQUIKG0JQg&#10;EkuEUHl0Gr7qENJu/JixK5evOH/+fEVFBeQZhHkceEDmhr8H+bvEAAUNR8g0JJ4/f37lypVpsyeG&#10;9+oWqFba+Py+XMFswn0NoTuLW6/jPuU8ezXf5yXH1siyvKWXXLbW8q0VfHqz5aeo+QkYPLACbgVi&#10;eIwDN9hL6GW0fcppbrDUgHemHTTdgVAK+L4zgdk0hnkxCpwIzRAO5qDjiaZd73+E7z1OGULvTvNh&#10;gxp6jxrEWMTWfsATtvYxh0YJSr9VV0qD/j29JwFCb9zmAMNVdE7K0Z/hLj/kh8kqfRE6//Tj/EP8&#10;8Dof/fkPTpmi+CE+/IC56Ufk2lSMULzQAHfAUYxQPoi5FDEV8w00eIYSBlwaZXx6tdoyxAQ/KIWf&#10;OQrwQ8lXfl84DvytrD4870e/ZE7/RjlMfj7gpZPldQvLS2frc9bHxGC+T5kfESYHMdD9ihBQViHa&#10;Ctyzmu9Zw/WE6KGOq69CLCWkzz3S54TY77DUP8fFMpHrEu2E+7AxF7miW9euy5YuvXnjRmVFBdgb&#10;6LDDnB34W6rpnJa3TdpeX19/6+atHdt3zJgxo1dUFMQKFEnhOC4kSQqjWUEmooea5RIptA2D/P1j&#10;+/SdMWXqpnXrr1+++qKunl5fz+FSGSMCFw++xnHznyHNxPC7Igao07eO9VlpbQG/+PoN3afkuCY9&#10;8PDm7csXDXdv3dm5fUfWokVJiQPat2mr9dS4yOT0MAOK0UGD4xVIAqETkIGIHj3HjR6zfv36C+fP&#10;l5SU1NXV0auxOnb1YBTyM/jN5fPEAMKUEa0U795BI+jixYuzp8/u1K6T1aDTEWQcLl0lNFxALFUc&#10;eh3/BwLTPYHxltj4mKDXv3tCGB8KjI9JernmEtxYQm+BQB+LcXpx/wcU/csbYuNVmfG+wLsE97gv&#10;8Lgr8rwi97oq87op1d4XaotwXRlPV8HRlXH1ZXwD3b0AvoxtrWBbqxybDTxnAQnZXrGsQEUvWaaX&#10;bCO9FjfXUMfTl/NN14iAy1TgBXHQaWnASan/GaHPGcp2gWe8wDNc4upPI9oTmHY/5b1f4H1EbDkq&#10;th4T288K/S4JAx9hrZ6iwQ3Oga/YgY1sn1qOqZSnfUB53RN7N/nrn4CXzvbXTr4NLJ/nLHsNz1bJ&#10;t5ahlqeIoQgF6IpQbTEKhKQtQ7VPcW0RoSsmdKW4oQI3VWCmatRS4xixr+Xb6/g+EIfV8Hxr+H41&#10;PGuNI6iC65di9DStYigTR4L2ngg9oes52/SKZarhWu5RvncEtjtC6z2h/r5QX455V/K96p0B+npn&#10;UynX5ynf/zrV+ioVdEpkPEUZTmO6c3zdBa7uClt/lW24yjZd5pjOcy1nUNsZ0vekyP+UOLDY2VrG&#10;tlWy7XUs33pn34aWvi9b+Lxp6fe6pe/rln6v4NTJ97mTD6CCba50jCdV8SBhKucYSjm6Yq53Mc/7&#10;Cer9GPN+RHo/FGofinQPhV4PBV6PKPqTJ4TuCa5/CnpCM7QVGg0VPN8qnn8V17+aGwDBZQVie+mY&#10;61zLN5Sj+jsi/UNKX0wY6jlmCDjO4JbtbHUKIeqICbRSZVj7ziuy8i6dPVdZVu7wzW9BmwF0g482&#10;7+/hsO03jsWu3715+6y65tb1G3t2fjNt0uQOIW2Zaal03xFGL38EfkQkEkH0ADyhVCr9/Pzi4uIy&#10;MjJOnz7NvM/M0IDDev4laSaG31fE8HfEUTBN0tDQQG/Lcfv20tx8yECrgEBPtTtECfSiigTdpGAG&#10;ouG+IpJSKZRWo3nCmLFrV62+fuUqRJlvXr6iuYfup4LHeEvPZ2XGuh3E41DZ31p+BjHMmj6748fE&#10;IDBc4Fuq2fRmZw8p033KeFtEr90P/guODymaJCABEUDZ941iaCQWO3bYp+mBNN4VghfwruVoyhGv&#10;MswbPMUjkf6JEPhDX8r1rmTralj6ci60NM1PCesT3P4Q932I+TxE7A/4lvtc012O4Q5Xf5uvu4Z4&#10;X+B7nuSrjnKVB7jyb7kuG7maNVzPQr7HMlS9FFOvRN1WoW6beW6buaptHNcNfOVaVFlAuBSQLpv4&#10;qo081Sau+muO537EcIlvv4n6V3ECanmBDVzfWp65jKd9gns9FvwMYqhjW+vBgXJstRxrFc9K76eG&#10;mCsxSxVurcRNlZixkt5+WV+J6MpRgL4CQK80Tu+pCaUHwdYzxF4H4AOv2Kt59iquvZreQofeeQK4&#10;AeIbiHI+EANEBvRNOaZnbFMDy1TLMRdhPo/p+MzyiKS3IYKyLUO8qtgaOjKDosN9rvGtB3nm3Vzd&#10;SlK5CleuQV2gTDbxXLdyVNs5bjv4mi08z3Vcj0KuehlXnct3y0XUK51l69guW7luu/me3/G9TvC0&#10;p7m6i87aSyzdNZbhJsd0m2e5i1jvobZihN7NogyxlUPUSHcnmiq5xmrEVIuaq1FjFWKowIAF9eW4&#10;/gnq9RjRAFsUod7FqL4ENcCjlSGWcgSIwVbBs1fyfCu5AD8ISeGCL5wtDc7maj78TH9LrL9P6YsI&#10;AzxvPctykrBs4agHkqL2+E8mBocdMs1A8B31tXVgpV9v2z514qRe4REGby1t2I5eIxIDXiCADxhu&#10;UKlUwcHB/fr1y83N3bdv35MnT8BnMd4KhDGff0WaieGPQgyQDSYDkGC44dSxE3DT1ORBHdq28/bU&#10;QHDJaJHjfRd6KVa4O3CD2lXVvUu3sSNHb96wEbSuurwC6hFaJ0ADjojkDR2RfNDP37T4m+SfIgaS&#10;JobVAsNFvqWWbX3Jsj4hTY9I431w9Bg9xfApbnxEGYsIeov5CvAFfMf+8o5piHCsAzfBpz+sRIwv&#10;Wmjf/7fX+y+833+lrefq6X14HBNYXzibwAVAC7EaHCvP+hi33aZ8zkn8T0t8Twhth4TmAwLDTqF2&#10;q1CzSuSWJ1ami2RTxIJxQmKIkD+YRAZxiAEcLI7Fj2HzYrn8JARNQfGxpHAcIZiIU2MJcgxFDhOR&#10;I0Tkwhb4/C+weX/FFn8hXMFW7eUbjlE+d/g+jzG/GnpDY/Ds+nLEuxz9GcRA75cJbV4AYqmEoIpv&#10;ruGb6/jmZwC6HAzPuPpnXJ0D+noOtHkNz1iGOpahFuAM31peIPZnEDHwbFVcK7S+Kxxb6NTx6JEY&#10;CMjKHH1fJXgT4LQCpYfuax0vCUIL+hnHp4ZrreJDNgxlmKEU1xZj4Hy1DwjDLYLed3MPV7Pc2W1R&#10;S9kgAZoqwIYI8BEUOYqixlLCcZRonFA6khSnYoIEBO/L5UdyeREcbqCwZYiY3U3C7yMjB8iFoySS&#10;cWJpush1kUi1jFKvEmk2irVbpfrtMsNtwn4XWByzP0ZspXxbJc9Wy4UIz/yCZXnlZHzlZGgEtNQ3&#10;OulrWLoqtq6Ko6/iGqp4RsfTQXEBgE0BEGzZK2j4ANMUYxApWp5DOIIaoOlwQ6q/K9Q/ouAPzbUc&#10;y1GBZT2ijheJQsifSgxvX79961ilABzH87pnt2/c3LZpy4wp0zq372g2GGViCYURTCtPSC+TKgBu&#10;gKOrq2tAQEBSUlJ6evr58+cfP34MHgFsBG4Cjonxp/+iNBPDH4UY4PcgTB6YDEBdnD99prBg+bDB&#10;Q9q3aevppqa5gV5Hi16jm37xzdHUkIkk9BzW4Dajhg1fv3rtlQsXayqrIJ/vHH1WoJMOYnCsnMHg&#10;N5efQQwzps9u366TxaDTAjFg0tWU4RLPUudsfeVkhdZrEZABSQ8JQKO1FDEWgc9yvJUGjoxxWC9Y&#10;9MoHjj2/TC/YdL8H3fXxlfH9X4xvWxjfOsEv6d7qcsxahljLeNZivq2IZ7uCW86hxgOE7ltM/w1q&#10;/AYz7kT1O1Dddky7hfDegHsuR11zMZdMTDaLEE3DBeNwYhxCjHUWjGpJDPsSGfYVMsIJm8gmp3IF&#10;8/ji+TxRBleUyRMt4osyEFEmKlrIoeY44dO/RGZ8iS1wEq/gqjfg2sOI4SxpfUT6lBF2emY9R1fP&#10;0X7i/f8BHjuKgp586RiZqGZIkWV4zjLUs2kAPQBT1kIjmk/vogyopXuK6Km99P7VfLorqYZvo0mR&#10;a650TOuqdszoZYgBQgRmhzUGdCub2erZMbPrGcfU2ML20sncwDJX8wxVfMMTQveQ0t0UG86KdPsJ&#10;z3WY21KOYh5bPttZPIWDTufisxBqHipagIkXYNL5mHQurpiJSifyRKPY1BBnbJATluyExnDYCXxu&#10;Ch8dhZATEcEcrmgBR7SCpyzkua7nqDZy3LZw1du46u1c981C/WaBfiep30Poj2CGc6jpKmq5xzbe&#10;Z5tKnA1lLGO1I6yp41qecW3PePZanq2Ga6vmWj/MaXYQQ9OG1Y79qOnN5p5itmdsS/0HYpDo7wj1&#10;DylDBc9czbEcFFpWo+oYsaj1TyYGiNnpwcOGVxDL37t95+ut26dMmNgrPFKr8VLKFPQrrI75JFKh&#10;COyZouj9HYEVfHx84uPjs7OzIVYoLy9n3l8DoTnhddM6SP+iNBPDH4gY4KaQGbqMHOJ4A678wpmz&#10;wA1DU9PaBrf29tC4SGXMMAM9KO3Y8AeIAbKhVrq2D2k7cuj3c1hrahtfNNA08LdOJKin331X0owZ&#10;s9u372QxNhHDGspwmWd55mx97WR19HrTIQK0+xqdaSdVgpnLHWO5dTxowJob2OZXzvRaaR/Q6MCb&#10;Fpb3X9neONvesKzlfGsp3/IEsd7nmG476a6wdOedvPewNVtbuC5xkuX8RZT9/0S5/0+y5H9kBX+R&#10;F37lWujkWshRrUTdl+HqfNJtschtkdhtocwtQ+aeI9FmibyyhJpsoWeexKtQpl0p160WadYKPTcK&#10;PbeINNtEmh1irx3wlcorX+qWQSrm8EQzWcJ5LcULWog3cdR7Md01wlJE2qsRyLy+kaX72PX/Yzyg&#10;DPeE9GIPT3F6UL2GZ3Ss92B46Xin9wXHBKFDHWKpwaw1NAHYa/n2GtQHUIv61mK+1Qi0si1NAGLg&#10;mqu45prvlwlp2qPi+5EGmhgcWz2XO7YUrUJoYnj/pfVtC/NbJ3C+xloeRG/6uwL9OYnuW1K9mifN&#10;4IjmsYUzcZd5lHI56bJSqFoj8Vgv894g166Ta9fKtGtdTauUxqUKfbZMu0jmvdCBuTL1PJk6U+qR&#10;K/ZYJvRYhbmvQdWb2G6bWCqooM1fKDb9r3Tjf0s2/Jd4Cks0mSWa01KU2VK6vKVim5PbXpbnWWfv&#10;CyzdnZa6hyxjCcdcAcEQAiGRXz3Xr47rW8v1qeHYqzl0hFTFg1inqf+tAgUtoh+tGLM8xW3POBaI&#10;hz4lBmhPcC3fiS2rMHUfqSiY+hldSWDGNRVVtxwzDieOHde5fQeDt5Z+i82xVCpYMrPCATT3QNRq&#10;dVBQUEJCArDCyZMni4qKIFYAv8DYyAdxWM+/JM3E8MciBjhCfpg0NPbfvHpdXV558dx5CAXGjhod&#10;0TPMqNPT050xHOgBahAADQ5Iw9FT7d4hpO3o4SM3r9/IrKcEOtnEDY5+JDqo/SMSQ72T9U1LK5hu&#10;GUqPLddy6bZ/Pb2kAb3uRdORQyeqeY6AgO+YD4OaS1BzMWa+LrCekloPyi37pKYtcsNGqW69WLuG&#10;8lqFey4lNTmk5ySh20hcFkMIOqOoEeH4IrxWBN4TF/QSSFMI+QiB62yxZoFIs1jktUTsXSDRrZIa&#10;1ouNBwnrUdx2ArOdQ+2XMJ9ruM9V3OcKarmGWm6jlic8awnX+oxNb5R/3NV8SGHcJfJeh6vz2PI5&#10;LYTTvyAWsiQrMPcDIuNVsb2YtDZw6C3vP/H+/wBPCW0RqS3D6CGEGr6+hmeo49D9JJU88wPMfBcz&#10;X6TMZyjTMaFxH2XeTVn2Cqz7RbYjIvtxsf2syH5RYLtCWu6ilvuopYxvhoZzLYQRPCjJpoiBIYam&#10;DqXv6YGZXgWo4pretDQ1OpleOZuApyv5xpti0wWx4WuxRyGhWMilZrKIuTzhYkq1Vqgp+VJb7mys&#10;4EIN+pZivg9Q3/uI/R4VeIsKuEb4X8T9zmO+ZwG4706ReafYvENk2ioybhLqVwu1hUKvDIF6AaWa&#10;JHQZSUkHkYJ+BB6Do/4oxw/htOVxu6NYAi4aRblMFaoXCz1zxV6FAq/VYu0GqW6z3LBFYTxF2C+h&#10;vlcx32uEzy3C5y7h+4D0eYzbinAr6AY8SwVKjzNXoHrHBDNbg7PlpbP5GddQydc/EOifEPpSzPCM&#10;bX7uTHclreOrY0WiNj85YgC8qH9+6/qNr7dumz55SteOnaEFJ3IsdANMAO7DMXJIn4IBQ6zQpk2b&#10;5OTknJwcYAXw2oxH+DWMtpkYfv/EALeDPMAdQSDx4ZRu4L999+ZVY21lFajWjq3b5s2aA9xgM5np&#10;hVcdy3TT9OBYcQ/AzGHt2Lb9+DFjVxeuvHbpSm1lNT3MAHBEDPTMiD8GMTi6kvp9IIaWFmj1lzsm&#10;mH4ghudsuqOg9vvN6KsB0Ph19Aww+9EX4ZYnuPkxYT5D6neRmk2U51rcLRdXZvHlmVxZNt8lH3PL&#10;Ij0yBZ5jpeqhQkU0GDyOuqHOWoxtJZGOBNldKO5PSNNIxSRSNRNXLcDdssGzEx7LSc1qzGu3k9cB&#10;Z++jzvrTToZzzoaLzvoLzvqrPNMNnukuz/yUY6lk04s8Nzhbj0v1x2SGQ3LTN1LDOlKThbjOY0ln&#10;fkXl8pW7Ke0lkfUJaX3BNb9hfer9/wGKcS1wQzmqrUC0DDGATy/jGos5hus8/UW210Gu5x6221a2&#10;6yon14KWEPqo1rDdN3E8tvM0e3iaY6juHGG8hZrugjdELBWorQ6BqIIefAZHD3DM+2zqUKK54Xt6&#10;KHagkmd67WR85WyEAIWeLYqYrotNZ4S69Zgijy+ay8ZncaiFmHSJ2GOLWFf7haGupeUZG67vV8X3&#10;K+L7PuLa7vDtN3nWKxzLeZbprLPxtBONLTzPzTzPTXzPdXz3lTy3PL5rNl85h1LOIBUjBMAKwhgC&#10;C8d5oSjHwHcy8pwDuZyOGBZDiYeKXSfJPGaRqtmEawbisghVZqHKbMw1B3fdw/I+wtKf5JrOIdar&#10;uP025Xdf4P+ItD8mbE9xaDdArOAgBnqU3lyGOmYlQbODo6/i0Z1jT3E9fFvPMr9wshyjLOt56jih&#10;KIT4DDG8fvcWGvY0N4A2022x9+/A9F69pmegH/hucXpGQmycWW+AGB/IgHm3mZlPIhWKXKQytVLl&#10;5+cXHx+fnp6+f/9+iBXAOmjn9JHDhU/AoYMjbjr/F6SZGH7/xAAZoDnhh40DuqTgXo65DG9e0l2U&#10;Vy9d3rZp8/jRY3p0C9VpvBUSCEbpnUEZegAwizDCV73CI6dOnATa+OTBo4b656+ZLaPfvacX3fuj&#10;EIPuI2KobWl8+RU95lyCm4ooejI7uKQGju0F16eaa6vk0ivoPSJs90Q+1yT2C1LrSVfbCZXtgMqy&#10;x8WwQ+6dp3CfInUZJRCl8JD+LVgDvnQe/BfOmC+xmSzJbNR1ochrklo/0sUzWq5oS+DeXLaJxbaz&#10;OJ1b8nuwiOSWghHOkpnOLgu+ki/+Qp7/P7Kl/yNb8V/S/L9IpyPyuRx5prN8mZNiJct1DaJeR3iu&#10;FmtWCTzWCz0OCvXnpTZoj9/jGhp45hqWoYxleIzabuK2nbhupbNyJlu8gC9fQrrtEmgvCGjvXMsx&#10;f+L9/wFe842v2N61TppqZ68KxPgEN90kTKel9oNiy3KJPlugmSz2GIrLYzlkJ0TcCpUEc6hgFtmd&#10;LYjDFSMotzlCTa5Qu4PU7xdZr5O2O6S9CLWV4bZKwlqKGEt49PxduoOFeVOBeQmDIQbHO8PFhKmY&#10;ApI2lGCGx6T5IWE6LtJ/S3rm8MRT/9t56l85qxCX3TLjZYn9htinlkeP7pag9oeU7z2R/zmJ70nK&#10;sgfX78L1OzDdFr7XRo7nupZua75yXewky3SSpTtJ5zlLZ7Ekk7iSCXxJKiVOEUpjXWSRSkk7GW4X&#10;sLToX3XOX5k5zsFcXihOxVGyISLXcRL3aWKPKQLVGJ5oSEs0+SvuwJbcJGfeNJZ0Ic81H/NYKdRv&#10;k5q/lduPKHxOS6znRJbbQstdoaWIND/BDEV8bTlurSR8XzuZG1sYX7bQ1jvryiAa4+mfs/VvW1rf&#10;t7BfJuy7OB6plKTj52YlNUJ8/xbo4R2k6Zmp0KZ72VhbUXnr2vU1hav6RPXSqN2VMrlCIqVt1dGJ&#10;RA8tkBSBoC5Sua/VHhsbu3jx4vPnz9fV1YFpME6BsZRfXJqJ4Q/RlfRjoUvKMXoMtwO8fdX4vO5Z&#10;RUnpts1bZkyd1rlDR5XCBW4tFTo2jqZZgX6zQSwQyiVSg7e2fZuQZXn5p4+foJX2RcO713TE0AgM&#10;8Xsnhu8Hn+npqh8Gn+mVtK0lhPkpaXpI0fvt1Dvpq5yNlWxzGd9ahtgfErbbpOUSZToh0B8UaHcK&#10;NFsJtzWEciUqL0BlmaR8lkA2lZRMxIWTEOFUvnAeW5LFUy5HPQsIryWE1zSR+1hCOUCsiBMqegtc&#10;4kiXBMJlKKIcgaqmc1RzOW65XM+lbPcVLPfVLdVrWqrBiy1nuc0QqecRbpmIaz5HWcB2XcZXFWBu&#10;eWL3LMIlF1dsxdWHhPpbmPkuanrFNta31Nc4Gcr49seYz3eEaSvHcz7iMp+vWIwqthAepyjjU9Qx&#10;OepHBPD30MDybmipqWZ5VXK1wArXwTXjuk2EpoCvmoi5jObLEnBZNCLqyiUtPIEGEXpzSD2XCuQK&#10;OmPSvrgilS8fw5EvdpIXcN0OsDWnUMMN1PKItJWRjrEc1Aj0AGTQRAzMa2iOuIGJGJ4SxseObpYi&#10;XP+IND8gTEeF+t2kZzZPMuuv/LlO+BZ4fJn5LmV/QNqrebYyvu0pZr8r8LlG2Q6Sxt18zSbEYwPq&#10;uR7VrEM0a3ieqznuq9jqZTz3pTz1Ep46j+eWw1Vl8lUZiGom4TqTcpsoU49VqIcolAOksjixqKdY&#10;GiaS9qWk/Sn5CMp1mtBjgdg7R6LLEXlnEur5qMtMvnQaIp2KSuahrhmoOgdT52HuyxH1Kq5qPcv1&#10;G677AcTzDN/rAq67ietvY/p7qO4hYnyMWOqdTA1OxgZn/XOuoZzQ1/INLzgGmhi+sl/GbbvY7qmk&#10;uCNK/ZgYXr153QAN+ndvIOx3EMPb6rJy+HbV8hXDBw8J8g8A7w8WK6J33aGbcvSsc3oxbaGb0jU4&#10;MCg+Ji4zMxM8JsQK4GrBK4HvBmEs5ReXZmL4gxIDZOI9eHPImoMYoMkPbr2+pvbyhYvbt2wdN3pM&#10;x7bttRovIAaEw2WIoSlCJUgXmdyo06cMTMrOXHTi6LGy4hI6Vvh+pOG3l59BDLOnze7Ulp6uqncQ&#10;A/0eA2KpYtMraQMl3KeMNwX6h4iuzNn7Edf4ELHcpSnBdl5oOSYwfCvw3iLwWI275qDShSxyFgti&#10;AmwWl8jkiZeiimW4cgXltoH03Ep67UO0RxHjOcR2CrMfZOuXOLlm/FUymSNbxPfcgti2oz5foz67&#10;Eftuvm03x7ybY9rDNe7iGb7hG7Yj+u2ofguuWyXUTdboZ6m0C6WaXMpjKeGRJVRnitTTXFzHUcIx&#10;GLEIEW8Qelwgjdcp8/svde//qn3/F8NrJ3sD2/cybj/GN2RRHkAMM3ni5YjrdwIDONAy3OcT7/8P&#10;8OIr71dfeZdz9UXwIJRxJ+m9hHQfjSuS+OKOuLgNQplJkZ4UaSgxInL5UurKkio5UlehWKEUu+gp&#10;aRAi6sQR9P+CGNxSmO2kWIdrvxPZLovtDwXmIoEFQIcFjjfDgRXgdhUOMN1KwBxPSMMtqfc9ofYh&#10;pX9IWe4RpkMCw9eEJhtVLGhJ5fBkRwjtVbHtBctaz7JW8KzFiO0R6XNFZD9OGtaj6mXO0izEZTGq&#10;zCLUuaRHPqVZQmiWEpqNhGETbtiC6rfxdF9zdbuctXuctfucdPud9QdY+gNswwGOcT+XRoaHz1yV&#10;ZYFQm4555nM81nK8tvN03+HmQ7gFeHcfYfyG0G0jvDcTXtkCj3SBOh1TzuPJ5rYQzP4fZPb/j5P3&#10;V2pVS9l2Z5c9fI+juPa0wHheZLlCmq7j9OysWq6pnmes4euLMW01T9/AMb5tYX3/pe0KZt3lrE7B&#10;hB2RzxBD0xjDO3q1G5CXDQ33b93+esvWpP4DWgUEgvcHWwVKcPQdMVs3UwBXuQv4F3A0izIyz5w5&#10;A+6SmZkKXgl8d3PE8CsJ5PYPSww/BPj0N2/fNL6uq669ee362lWrh6SktQ9pq1F7ACtAs4OJTaFO&#10;4RTCU6VcYTWaoiOjlubmN01SojuUPp2V5KgQWprOfx35OcQwdXbnkE42PU0MsZi0UGA4h1jK2OYa&#10;lvmO0HhLaLwiMdwh9E95umuU5bzAcow0HEA0OxD1Zr7rWkRZiLos5cuyWML0Fnj6V/giJyqXI97I&#10;VezluX2HaY5Q+rMCy0WB9RZqu4vYn6AB96lWVxDbWrZ7zv+KpjqL5vFVOSLzUrF1ucxnJQ1bodi8&#10;XGxcJtbni7V5Uu1iufcihXe60muh0nueSp8t160Qajfi3ltR79WUppDynC1ymcgnxjjzsloQWxHV&#10;HZ7xCW59Dq17Z+2bFsbX9I5y/jepgIukT4FUP5+rmNiSyGZJ95L6B6RPGe77sev/P8DWV7P1t0nz&#10;edywkdLMw1wGo+JuqCAEpXSU2JsQqUUunnK1t6u31MuX0AcJDIFCfaDUyypT61zlai0lt6CiDl+h&#10;3VpgQ1sIphPuBXLzfon5OqW7LzI/EtuKCPMTx2uDQAzMQhRwrOCbyh0zWYtx/T2R5jHhVYzrnuKW&#10;R4jpEKH/GvHMIVSLeNICgfqsyHJL7NPYwgx44URvqFeO+Nwibaf42jXO8rz/xjOdxYs5sixEuQRz&#10;L8A1K3GvVbh3nsSQL9YvE+iXE7pVuG4dX7uBp93B09Pg6nZw9V/zDDsR0zeoeZGX7zw3czqlyeC5&#10;FTi7bXPyPMDSXeLbrmO+t3Hf24TfdcrnMmE9h5t3kN4bCM81iNsKtiLvS0Hmf6EL/j/c7P8llnwp&#10;LmghXclWrkPUm3DNVsr7W0p7WKC9jegf4sZiwvCE1N8VaItQXRVf71hXw3qWsG5lqxNJYVvsM8Tw&#10;+t3bRvDmb14D6O3YbtOsMH3ylDZBwSoXJQQKMpEEWAGabxKhSCIQAT0AK/hYbAlx/fKycw4d+I5Z&#10;Q5uxRsYxMelfQ5qJ4Q9PDJA7QFOaHnKoLq84feJkfk5u2qAU4AYvd0+FY7dwEsWBIQCQJZlYIhYI&#10;LQbT0LTBO7fvuH39Zk1FJWgtPOzHVQCnkM9fu1J+BjHMmTq7S0gnO0MMuLRQaDiLWkodE/BvSc03&#10;pKaLCtNNkfERbjgm0H9DeK3nuRZ8Jcr+klz8JbG4JZXHlS5FFAV8+XJEsYav3Ii7byM1R1HNVa73&#10;dUR/mzA/wm2PUVsZ21bBstVx/MvJ4Meo/05EW/ilfIaTcLyTcAhbMoIrG4O6TMBdJ5GqSZTrJIHr&#10;RLFqrFQ5Wq4c5qIYqlSkqhTDFS7zSXUeql7L9fja2XOPk+dmvsd6vvtCymU6h5zsxF/2JbWHp37K&#10;MtIzIxHvWp62kWVs5NhecXzvCgKvCwNXK63zOLJRf+GlfyXcTejukz7FyM+IGIodOEUZdiEecxDZ&#10;QA7ZmY/qUMSDJFwUSrXa01tntdtbtwnu5tslztIjydKzvyk03tAx0iu4i7c9WKsxecvVPjyB3Rnr&#10;8SXSjy8ZI1AXEu6nEfcbQsM9Kf064WOceZ+cnqQEqHEcaZKgp7HqH1OeJZhXJf1ateUp13QQ0X3N&#10;88gTeOQQriul3hcltntin/dfQrQEsL5qaavj+jzAbOc52vUt5Uv/i8hqKc5hyXKh+lD3lZhmHeq1&#10;HvWeInSfKlDPJNRzULcFfLdFbFUWS7Wc5b7cWb28hVvBV64FX7ou/0oFGIvLR/Ilk1sI5nwhXPFX&#10;+d6WnmfplxhsRTzfCp5fJeJXjvgW8+2PeZazlOm40HSIMhwgtN+gnlu46rVs15Vc1XKuaw7HZZGz&#10;bL6TZE4L0awWony2ZD3qcoTteg71vEl43RLqrsv09yndE773M2dTg5PlpMC6kafuJxS2IT5DDI1v&#10;X79809gIrbe3b4qLijZv2pSWNKh96zbeHpqmdQvA4WI4gWDQiAOoXVXgWeJj4nIXZ589dbqk6OmH&#10;makOp/QrsgJIMzH8mYjhHRCDYwO4qvKKi+fOrylcNTglNaRVsKebO9QmxkOgRQL5EZGOfWEpgUrh&#10;0rZ1m9EjRm5avwEy/7qR3n2a0T3mJvDsvy9imDt1dtePiGGF0HAatRQ5Fsu7JNGfE+sOSzQnMPcL&#10;bLe1hCqbdFnAF89yJmc64bNb4gucqSVc+Rrc7RtCc0BkPCuwQnBwlbTe4Rses7WPuLrHfH0Rz1jE&#10;MZY6G0tZ5jKu7Q7le4Wyr1UYsknVcKG4P0r24mIxXCyeR6RyqWF80SSueBpPMpcnnc8RpwPYwgyO&#10;MIMtXMARTceUi/iuqzjq7U4eu1p6rOW5FfJVc8TKKbhoIkYV8GW7KM0jrvEpz3xV6nVbrC0ljBWo&#10;pYpnuynwvyoKXKuyz2VJh/8XO/2v1Le47iHuW8y2fez6/zGukaYLhHGjyCuTJ4/lE234fK0QE0gp&#10;gVohM5k1AUF+rUM7d4npE54SHTM5qt/s8Pjp3eOmdOg7onXkoMDuMb5tu5nsQSaVxlMgsXJRf4Ts&#10;TIim8sT7WbILlNdNqeUBabqPG4AYKlEz88Jz024WPHo+axVPV8P3eM7xamTrn3Os1S1NRzm6nWyP&#10;fLFXjtB9uYvunNR6U2x7/4Xx7ZfmF87Wao6tGPO5IrQdJfQFuGoRSzQLl88hXeYKVOkij0UiTY7A&#10;K1fgNY/vNpevmsdVzeW6zuUoZ3GUsznKmajbDFQ1HleOxl2G4opUXJ5CyEIFWDcKieUhQ3jkAr58&#10;M645SpkhELyP2su5tgqutZJjqWCby9imMno9dvNT1PoYtd4grBdIyzGBZafItEGgXwx3RFVj+fJh&#10;HHEKRzSRJ5iPCtawhFt4sr18+UFSdVDifpbyvIZ5PuUYyjmmAxLrSsK9l0IcJPzcrCTH4POLVy/L&#10;KioOHzo8bsyYALuvi1QmFTlWLMBwHEHpoJ5esQCXCkXgVgYmJOYsWnz25KnaqmowTjAHMEiwBYdT&#10;aiaGX1Egt3+SriQH6DEtx8TTt2/e1tfW3bhydcXSZanJg4IDgjxUbhRGMC9FgxLSDRSClIulnmr3&#10;Nq2Cx40afWj/gdrKquf19R+enb7J98Kc/kryM4hh3tTZ3UI6+eh1BoYYRIbTmOUhx1jE0p8gPA4h&#10;yq950m++pPb9f7E8jngBIZ+PywALcVkGJsuih5qV6ymPgyLzGWXAbXnQHUnAXcLnIZAB2/sxDe0T&#10;tq6IpSt1NpSyzaU821XMchY3rVIaciQewxXyZKk0Qa4YIJYni+QjKfk4oRI810JKtRh1yeHL83ny&#10;pRzZMo5sOUeaz5PNEapzCI91iNdOttceZ81avroQcZstdZ0mlE0VSVdSqr0S/SOe6QnXdEHhdV2m&#10;LaKM9Bt5XOt1yu+qOGCdm88cZ+mw/8cCYtiL6x9hvk+dLZ94/3+AC6ThOKYtINymOpE9WBw/hOsh&#10;JaQaV4VVp2kTYu3cLaRL7x49+/frNTSu38yYxIXR/edGJs4KTZjQOXZE+97JHSLj2nQJC7T76VQe&#10;Joy0oEQrjBztTOxqITxDeF6Xmu+TRpoYUHpjzlrH4qNNO9853nyu4enqeO4v2V5vWfqXbGvdV8aj&#10;bO1Otme+xDtH5LFcqT8jsdwQWd9/YXj7lbkeCI9ne4LbL4ntR4TG5UKPLFQxS6icLVLNlqjnSzzS&#10;JZpFQs1igediwmsxrlmEazJxzwzMcz7uAZgp9Jwu8pwg04yWew5RuA9SuA2Qu0Z4yCPcpQNk0pES&#10;RYZQvVmoPSyy3MJt9zB7GcdaxrZUsswVLBOgsqWuqoWulG0q4ZnvEbZrlO202L5HZt8qteQpzJkS&#10;7VSZ90S591gX7XSxcg4lWs6iClvgG79EN7XEN7KJg3z5JdTjEUdfwjHtk1lXUB5RSkmQSPjZMYbn&#10;r14+Kio6fOzowvkLunbu4q5UiYAGMFwukYI14nxEKhQrZXII53Uar+iIyPmz5+z/dm9pUTHYM23b&#10;3wvjlRhhLOUXl2Zi+POMMTAr4jm44fXLV69eNFSWlp04cmxZXn6fXtF+Nh+FVAaxAmggtEgIFOOx&#10;2KCQaqXK4K2Nie69LG8J/Li2ll7LnamR30x+BjEMnTPFt2enEIVbe75wyF/IxZjHRrFxjcq4UqWf&#10;6ekxWibpJ8B68VkRXOcZLfElzpL1HOUOQnOI0J+kzBdJ63XSfpv0uUP63CV9bxM+N3HbNcx6BTFf&#10;RkyX+KaLPON5ju4cG6AFQPoTnORoD/G8vuNq9nE8dnHcd7JVW9iqTWzVBr5qPabeQHquF2nWi73W&#10;ir0KpV7paq8Frh5z5aq5YuU8sTJbqMoVum0Qem0jvPbjWuCb65TPY9LvCeFf41ie6AW9QpGxFjHe&#10;lpqvKywbVNqFbGrsf3EW/o94BwI57/SA6FbMt5ZhPuWEbwlmL+JbihBrCeELTd3HmO0xYX9M+Dwi&#10;7A9w233MmqvzGe+miZa4d8KVOsxDSeolLkFutkh717TQxMnhA6aG9x0W1Wdw/4RhkakLQoct6T04&#10;MzJpXlTMhMiYib0TZkYnLeyeOC8wYpRHq1ipxoLLVAIhvx0Xn8RWLKF0m119T0t9zontj3BLKWZ7&#10;xrfWc6z1bGs1y1bFspeyfEo4lieI92NE9wQ13RT4XMatWwj9Sr5HnsirkPLcQHhc53lXkLb3f9G/&#10;+f+5V3GNJTzDI9RwhzTdEpivUKYLmO4ox3M/x30bz20ZBBBC18lK1USV2xbCcyup2U55A3YACM12&#10;3HMrX72Vp94GoBfDALgBvsW89+LaT7Cf0h8QGD7BUb72BF93nDSeEFiOSKxHpLbDMttxqf2U1H5F&#10;YLtMWO+wTXda6B/8Rbubb8jHdbM5ivFfECO+4I5ticzgkgsQcb7AdZWrcb3GZ7HWZ4rMMx4Tt8IE&#10;4N+7dOi4LH/JpfMXSp48pWf+vXn7rKb2xNFjUyZOakf3IHnSqyJDrOAQkUgEPoLP54vFYp1O17p1&#10;69GjR588ebKhoaG+vh68J2MRv5k0E8MflRj+jkDe4MqQPUhAjUC93LlzZ9K4Cd06dfH21KhclBC5&#10;AitA2MoMR0Ndu7uq/O2+yQMGghpDxqCmmIvAn8OzQxqk6eq/jvwMYhgxY3JQNwcxoKKBXxCzENd8&#10;0iNL4JolVE2Xu0wUSYZSgjScTMOpdL6kgO+yDlVvprx2U9q9pO47XL+f57WP47mH7b6L5badpdpK&#10;e3bXbc6uO51UO51V3zi77Wa77+F47OF67Oa4Q/oTfM1Rb+a5beSqgG9WcVwK2XSIsAQCBUyZh7vm&#10;EspFhEsGJp+HSGajkolC6SShdIpQNl0omy1SLKZcsynX1ahqK+pxCNdfJm13hf7FZEAxHlDDNtWx&#10;jQ0setWKOr7xrth0U2be7mHKQqVj/4rM/otwFU9/CAk6xW99k2++iZhuouYbqOkGYrqOmq5hpquo&#10;6QpquogaLyD6s1ztSZbnMSf3aXKPZErSmS8OZIk8+Go3kVWj72Zu2z84akzYwBmRSTMiY0dExwwd&#10;2H9kVNrC0GH5vQdnRCbN/UAMvZPTew5Mb9d3sqVLmsanrczDIJZSrbh4WkvRTL5rtki3A/feBfTG&#10;1Vzjah+wdY/Y+idsw0OO5SHXeo/ve5tnvsbzuMTxvMzzPk1ZjuGmQr5njrNLNqFeI/DaIfC+ydeW&#10;E9Z3f9W9/h/Pao6xDII23HxPaL0ttl4VWS9SpsMcz70c961ct2Wo6yJSOVmunKhwzebJsnnSLK40&#10;iyPN5khzOdI8riyfLcvnyJZy5AVcxQqey0q+chXiuh5x24CqPwXithFRf4Kv+R47eR5b+OqNPNUq&#10;vutKvmshX7mG77qer9rFc9/L9zrF8T7L1l520m1D9HmEbiHhPhtRTkMk0/miOTzBQq4oG5HmkG55&#10;AvdpMs+xlGsCJWtNilUKl66dOudmZZ85cbLsaTE002qrqq9evLRy+Yr4mFiTzuAilQkJirZDkhQK&#10;hcAHkMAwzNXVNTg4eMSIEStXrrx79y44aLBDZiYSYxS/jTQTw5+SGEDoonz3DlobUDVfb9s+fcrU&#10;0M5dtJ4aiVDEdCUxxOCYDSH2dFN3bNd+WNrgbdu23bhx44MewhEen0n/evIziGH+2MnRIZ07uHoG&#10;k5LOXCyeEA0mxKNZ2CQOuYgryeUrCnmqtXz3TYjXMoFnrtgjV+IJyBSr5wldp1Hy0aR4ME7FUFgv&#10;nNdZyO0o4raV8XsL8VSSGkwJhghFwyXSkTL5aLkLHCH9CYYBpNKhEukQiSRFLEoWCQeIBQMkwgFy&#10;cYJcFCcV9BbjkRS/O8buyWfFcTj9efwUjBiFC8cT4vl8aTpPusrZZTtbfZyju8m1POb5VLH9ajj+&#10;NXxLHdf8ik3v6PCSY3xCGR+IjF+76XMx6TAWMtQZn0CoFoiMmSLLWoH3alKzkvBcTWnWCL1XC72h&#10;Ab5S5F0o8ioQapaQ7tmoawZXtoAlTiSk4TwikCOysCUq3NvTrY0tOCE4Ylyn+NmRKfMjkmZHxozu&#10;HTsqecC4XmkZ3X9ADJN6J8zunbwoYlBOtwELQ/pM9+sY42lp66J090LIVk78nlwilpCNR2XTSdcl&#10;hGoV6b6Z8NgCLXfccyPhvYHUrqEM60jtJtxtFeq6AnNbIvTKIj2mtBSN/290MVuxndIdE5ruobpS&#10;zPiG5f2ypeaZs6maZy3BbXeEtisC8ymB6Thl2Mv12MlRb2SrlnAUGRzZFEw6EZP0IvhROC+czw7n&#10;sSL47GiU1wfnJwrJRBE1QCRIFgtTpJJUmSRNJp1EySb/CBNx8WcglI0TSEErkvhoLI/bl8vpw+fG&#10;IrwEDB2KU2MEklkCl4VityyRe5ZIly0yZcuMWXJDlsxrsdA9D1fmsCVZX1Lzv6TmfEEOYQtT2ILe&#10;mKgVJdGo3SN6hGVlLjp66HBpUXFddc3Nq9c3rVs/esTI4MAgpVzBvF6E8RGGGEBwHIe4wW639+vX&#10;b+vWrVevXq2rq2McEBgC4yV/M2kmhj8xMcApZB6e5cmDR4f2fzdlwqSQ4NZqV5VcTM+Lc8yTphdh&#10;BUAmvdw92wa3Tk9P3717N1QKcAPz7PCkv3al/JzB57GTotp2buWusYskQSgaTQqTUeHUL7CFLQQb&#10;Wyi3gzfha7/G9Dsoc65Is0DsvlDsvkConke6zsTkU3jiCXzRGK4glYMPdObFsrmxHF5fBEnGqeGE&#10;eAQpGUlJRwllo0XyMWIFJEZQkk8wkpKMFkhHw88oKZwOJ8XDSNFQgEAyWCBOpYRJONUfweM4vP7O&#10;3Al/RSZ/RcxgieZwpfP48nSuPJ0OL1SFfLf1XPetbPdvOJqDfMNJwlqMmsv4JseO84ZXLHqR6mLC&#10;sEehXQ7EwEUTWPxYVBAvcEkUqSYIlGMJxWhCPpZ0GS90HStUjiLlIynFSIFiOCUfQkhTMXESnxrA&#10;JTpziTYs1MKTWUkPLxd/kyWsVeiITvFzuycvikrNCBswJ7zPmOi+o5MSx8Np92F5HxNDdMLs6OTF&#10;kSn5PVNyuw7I6hg10hoc7e5hU1IyNR8x8fh+KBGOkDGkeDgpGUfJp5LyKYRiCq4YT0D2lCNJ1Tgo&#10;cDjFZaMI2TCRMo1SpLUghv43L+8r+QHCcF1ge4waShB9Nd+rmuf9jG2tRGwPcetZXP8d33M74rEN&#10;cd/EVa/nuK3iqPK4rpk8lxmoYhqmGIASiTw0jsWNdeb0Y3EHcNFkPjFcIBn+oYKgEh2YikqnYbJP&#10;MAWR/BgzMMV0RDqaQw11QpJa8ga05PZn8QbxsDSEHIMIJ2DSOZhiPqbMRJUZQm26xJwuNaRL9dkS&#10;r3yJ12qhZgXPdcmXoowvRXP/Qg5qSca3wLpycDtGgfH3jozKXZx97PCRp4+fFD18vH/P3mmTJvcM&#10;7Q6cIRWKIHKn22i0ZyAFAgGwAoiXl1d0dPTcuXPBQTBb+YMw5gee2mETv5E0E8Ofjxggw3BxONKl&#10;6eCJhmfPQTm3bd6SNiildVAryDPOR0Sgj45llCCH0HYBRfXy8ITayczMPHbsWHl5OaOTzHWarv7r&#10;yM8ghtljJvZs08HoqfaSisxCIlquGC5VFfLU2/leF52M51nGQy1127/yLGypnsaTjwVfQCpnATeI&#10;PdPFnplCT2a50wzCfQGmmo+5LsDdFlLucyWeMxWaGXLNdLnnNKn7VIBEPVnsNlmk+gRThapZQvXM&#10;JrjNEABUkJgt9pgj8WQwW+IB3y4g1FudPLawPLdwvdaj3msx72WkVz7uuZj0SMfdZvHkk52Fk51F&#10;c3FVjlR7C9Pf5+sr2PpnzrrGlrpanr4aMRx3MW4WqEaSVCSf2wplWyieSYS2R9AOKNYew9qjWFsU&#10;DcHQtjjWCuG3QvmtMCQIQwIxxB/h+fG5VhZqbsn3RpQ2F4vV3COofXLHvjO6J2f1SMuPTMnqkTg/&#10;rPf4Xn3G9u83PjIlHYihzw+IYW6v5JyIlIKeKct7APrNbtVlsNHUWeLqjUgpkkSEBN8b5ZoIJBjh&#10;tkW4nfgAficEaYsRITgZTAnb41Q4B+uM4m0JPJik0dcJS/0KX/WVy2nU9BT3KUEMpXzdQ1LzGPOq&#10;4/qW8O1XeYZdLNWqL8TZLcS5ztJcloJ+Y5zvvpTwWirUZUv1WTLDDKnHNIn7FKFqMuU6FUpe5A6l&#10;PU+qmSfxnCtynyNQzyJVs3DgJOV8XLWAcPsc6Kr5GPkC76WU1yKHSswmVTMp1QyReo5MM0/hnSHz&#10;zpR654q8c0hNPuYxj/KeTHlP4LuO48hnsWWLMbf1pNcWQrsN9VqFey3luY/AlYlsQTs2quMgKhdl&#10;VHjE8qXLzp46fe/WnXOnzizJyQWqsBiMECuAbwVuAGJgdlkAAQfh4uLSpUsXcItff/11cXEx+FOw&#10;PcZBgxV8cEO/jTQTw5+MGEAcpUhXBAjcBbL6tvFNw/MX169cXbl8RUpSst1iRbg8qF8CQQkUA3og&#10;URxqXCGR+vj4xMXFrVy58t69e1ChTVf8leVnEMOEBbNDIrsrzR4SF6FOgMVLVHOEXie51ltc/6fs&#10;oOvOvqt4uglsl16IKMlZMJwlnsBVzCTcMyjvHIF+GWVYiRvX4MYNiGEDz7CFZ9zKM+7gm1YTxjyh&#10;IVegz6Z0i3GvTEyTiXpmALBPAZ8vRjWALAeyEU0OoslFvJZg2uW4fgVpXEWZVgtMq0nTOsK0AzFt&#10;RUxwrxW4fimhSxfr5ou048UeI8XqgQJ5FEKG8/FosTTJzX2vSHuY0l5BdE84uhqWAUKHeq7xmtjy&#10;HamZRckgpvHFnF0lbLmS70URJpnYqpQbpCKNgPASk0YXmUklN6tdzB5Ks6crwOihNHi4+Ck1ZpHK&#10;U2aw6dsFthvYPmoitP17pBX0GLIiMiWvR//M8D5TevWZmBA3kSaGoQwxzImKGQ/E0AuIYVBeRGph&#10;95TVPVLXRgzI7RAx3S8owcUYzNWo+W4KXKVQuym8PFwtbjKrm9RHJbWppBalxNtVplHKVK5yT7nU&#10;JpToXGRKhUhEcQUEO9QJSeOIv/7K/QbHUseyl3ENpYjhgtTrvMDrHu53gbDvQrwzWNKJX2BD2eRo&#10;TDIOk08iXWcJPOdJdAvkxnkupnlK8zKxaanItFQIMC4TmpYLTSuEpmW4bhmmXYp6L+V7LeHS7zkD&#10;5hCes8kfgfKcI9B8grWYAappPWZcixoLCUMBaVgqNNB3kZgLROYCgWkFYViOaAu4XtMI71TSI4kl&#10;SfySGP0FOZevXEtqd0pt+2V+m138Vokto+TafqgsgI978lClTB4VFr5x7brL5y+cPHps1YrCoalp&#10;vla7XCxlTA6idThCxMCMPCsUioCAgNGjR+/cuRO8Q01NzW/WLvusNBPDn4kYIGMf5xbScBeQd2/f&#10;vX75qqqsHOpuSU4eaKyHSu0ik1MYQU+eptf3pV+sgRgCVNTX13f8+PEHDx4sKSlhOpSYC/568nO6&#10;ktYs7ZrSzzXQQLoK3TFuDCqZw3U796XpYQvfkpZB11v65qG6FEQRTAniWYLhzuJxLPlkruscjtt8&#10;Z1VmC9esv7jk/Y/Lyv92XfM/bpv/233zf7lv/X/q5V+6L2a7L2K7Z7LUGc5u6U6q9JauNCDxCZjP&#10;W7pmtHRd1FK1uIUqu4Vb1peqrL8qc79QLflKXdDCfXkLjxWArzxWfeFe8Fe3nL8o53+hmPOVYhzP&#10;ZSyiTKWUyRK3vhKXrpSgPYF3kIoi3Fw3CTXfUF6nUO+7XF0F21DPMb7gmK4g2kN8j/mUIp4kWokR&#10;d3fCzSRpZTd3CWnVo1PbDq0DgnzMwf62Lh1a947u2bdPRN+YSECfvhHRfcKievfs2yW8s72NzRAS&#10;6B/WtseILnFzQgfl9RxS2HPoqqi0pWEDs6JiZ/SOmZIQNzkyJaPH0HwghqgPxJA4t3fa0qghq7un&#10;ruuRuiF60IrQmIyQDsP0bSJcQoLdQ4KMndp17NklvE94bJ+wuD49+0V37x3ZtWdo+5BObQLa+Jta&#10;+fgG+oYGtwnp0EYfaJG4SzAZGo4KRwvd9ztp77Ksz1vYyjn0y3GnFN7HhZqrhO9RwrqO5zGlpWDw&#10;X3kD+GSaUD5CrBolcpsgcJ9AuY/FVCMQ5VCeIsvZPZvlnsv2zGPg7J7r5J7bwi3vK7d8Bl/SWPKl&#10;22SuchLvJ2HZF25r/le96kv3wi/dl7RQ57RwW9xSlf6VcuFXyowWrotaqLK+dIX6Bc2ZgHomCTz7&#10;c6T9WghGtxDOw9QbxOZdLv4HFIGblQGFYvNQqVdvRGrjYd44qVG7x0T33rlt++ULFzdv2Dh25KjO&#10;7Tt6urmDYwVjY4J0ZpQPRCqVarXayMhIcKaXLl1inCmj/CBggQxJMKe/jTQTw5+MGD6Ensxpk7x5&#10;++JZ/bPq2srSskP7D4wfPQa0VO+tdZHKoZbpinZwg4ikIJOgotHR0bm5uSdOnABuYGrnV5XPE8Mn&#10;NwZiePjw4ebd34ybNd3aqRWuFEhIXluMGojIV3H1uzHfb0XBa0T+8a56i4vC2VPYFhf1QxTxQrc4&#10;oTqMUnRABAE8zMpHzThmEFMmhdjgJtW7ybRqaZBC3kWs6CSUdaAkgE4CWReRoqNA2o4QfYLWpChA&#10;JAoQigKFoiCBqBUlagMg4V7C9rioIy7qQoi7EpLupKy9QOrpIvSUUR5CzAvj63G0FSFoL5L1krlH&#10;i1R9CWVfnjSqBRXnLE6jPIYp3CYrNXlKw0655aTYdhe1PORZ7mH2szz9asJrNCJpz+JYVKIunfyT&#10;4hJGpgyeOHLMoIT+Xdp16NE1FDxOfk7usiVL8/LysrKycvJyc/PzMhYvmjtncWL84MC2fdp0Hdgp&#10;dmZoUnbYsDWhg1d3H7ImMq2g58Cc8JjpUTFT4uOnRCRndh+8pE9aRtTAuVGx4yJjJ0YPmBOVmtcz&#10;rbBr6rquqRvCB60JG7A8Iiaza+8x7Xr1axcW3Stx0Jx5C7NzcpfkZC/Ph+Oi3OxF06dPiR00ILR3&#10;VI+Efn1TUlKHj02aNCE4rpdY78ZTkD0R8RBMtael9gbH/owX9JD0u4aat7joNsh1eWJjptI8Sure&#10;nSDbkngbN3lHb3Wol2c3lVtXkbwDKmzLIVqzcEAATgYSgmBKFCKUthPJoDwBIYSovaPWOpKSDlAL&#10;hLiLQOYjFvlIPkWQUhHoovCTSX0kYrtYxKAzLglFxZ0xqDtJZ7idSNZGIPbHKTuGWxDUzEdsKOZP&#10;CYLFkm4ydYTcK1Lk1hOXx3JFg0nXBTJ9gbvfSlffRUr7QqUtzlXXHpV4kwJvmcLXahsxZOh3e/ef&#10;Pn5i0rgJcArxOPgCCsNxPrTFcIlAJKbonXjFYrGXlxd40smTJ4N/BF/cpPH/Vmkmhj9fV9KPBcKF&#10;92+g3UFvK3vv9p3tm7dMmzylXesQF6kM5fElQqhvIcbjQ/SAIIirq6u/v39MTAy4mps3b4KGMEoC&#10;RybPcPxQJr+IfJ4YmHvQGuEod6gSoKkTZ87kLVvWIz7a0+zlIiP9+GiPFuicL1yWtvRcxjUs5HuH&#10;i9V6qZTlLvRDqe4cYXdE3BURteaT/lzMimA6FNGgfBXBV1GIUoKp5KSbUmgWCQIw0h8h/Pg4wB8l&#10;A3EqEBcE/Qi+pMAsFFiEAqtQYBMI7JTAjxT4EZQ/RgWgVBBKBSNUa4Rqg1B+GCmXoDIBT4qylRxn&#10;Nw7LwqHHbLtSslBcFokrIrmSbl+gPf+K9+VK4wjRIEIyBVcsQ912opqLHN11rvE6Yj2NGNcKtKMR&#10;aUc2z1/j0juy08xxk7LnLVyelTd70tQBMXGDByYvzc47cvDQyWMnjh89dvjQ4cNHjhw6dGj37t2F&#10;yzcOHTyhdad+bbunhCbOC0/LDx++JjRtVffBqyPTlvUcmB0WMy0yZnK/+MnhQAxpS/qkMsQwNjJ2&#10;Qq8BsyNTc3ukreiSurZL6vqwQat7DigIj8no0mt0h6h+XSJjU0ZO2LR52+FDR08ePnz62NHjhw4c&#10;Orh/08b10xfMGzpuzNApk8fNnjMnI3vWkrzoUUM9fY2YUhSGSYZR7rvZhqt83zJe4FXEcrSFRzZP&#10;ksmVzMLUkwXuA3BpWz7ij/J9ZAI/pThEqWgjlYbgotY8shWHCHJAx+HquTwTglox3IYTPjjpi5M2&#10;HuqLElBlASjpz8cDECIIo8wCupo+gVlAmijSSBIMTBSADEbJNlwiiIu34pNBhNCfFMCVTRimRxAv&#10;Hs+Tw9FwuDoENeFwWVF7VN4Fl3XDpL25wv6odBymnC3QLCA1U0jNOMKjO+USyCa8BKIAgzEqPGLy&#10;hIkb1qxdsawgPibO000NzlTkCBQ+dODCJwC5XN6qVavRo0dv37799u3b4CgZhf/3CmPzzcTw5yYG&#10;eoFuyPubd1CDFaVlp0+chBpM6j/Az+4DrEAHtSjdjgF6wHEc8gkV1KZNm3Hjxu3fvx+8MZQGfRHH&#10;ODYcPzDELyV/tysJbvahAqDE6dl7t8ofbDk8a8yEru3buZndZWqRVIEbBaSPUBBCSINwiQ4XuRAC&#10;QijEhTgpxgkZiUpxlgRpKea3kCFOroSzimypxAHOLjjbleSpBLgLJZCSlISA35Mi+q8gDfGIUEZ9&#10;AlxBcVQ0uCqK50rxlRQKcKE/J+QUKacoGX0pACEj2EqCJUVZQh5C8kjgIZJQUaQninujpJkQmRDK&#10;y4nn7cSzokK7UORHCNoiZG+uYCgqz+G7ryS0uwnLDtJSIDCN5Cm7OROddfoRif3WLc4/sH7biZ17&#10;N+QUTB06auHE6ce+2Vv9qLi+rOpZeVVNSXlNcVn5o6J7127u2n1s7IR5wZ0TW3cDYlgQnrqke1ph&#10;t9SVPWhiWNpzYFbPuKnhsRNjEieFJy/ukba8T2pmEzHEje81cEZkWlb3IUs6DV7VafCaHqkruyct&#10;6xmXEdZrbGRY/75RA2ZPzbh2+nLt06pnT8uel5Q/Kyktf/zkypnzG9dvWrQoOzM7P69g1erN32zc&#10;tXf8nHlBAf4yoaAbX5gkdF9CGbdK/PZLAtcKLItYbqnOwsQWeGcu3g6nLCiiQFhSkiORYmIJqhZT&#10;bhTpjmIqPurKRxUYpsBxZynCkqEcOc5TEHwXki8nAFwRgshw0lEFuJQgpAQlpzxJSvMjuGO4O0Z4&#10;4AxIT4KGTCqAmiWlBA0FBcpAX9aF5CoIJxnylZj3lZQPqgKVLscJLzahQykjLoAwwg/B2vHQzmy0&#10;hxPajUN15VAmhDTgQr1GE9YtdMKYsXNnzZ45bTr4iJDg1hCbQ7PLQQxNu6MICXr8WSlX6PX6uLi4&#10;zZs3P3nypL6+/rfpvf0/pZkY/hOIgX4vGvLuWFgboofSpyVQiXNnzuoT1cukNzBbgwCkQjFB0FkV&#10;CoVQR1FRUVC5UBpQuZBbEHhqePbflBjgTkwFMIX+rurty3P3t69YM27osE7hnYz+eledwk0ucJMQ&#10;GhRX81BXLiHnkxJMyKdwREZSapnYSynwcqE8FQKNQuqtUho8NEZvvdVgMxvtRoNdr7cZDVaryW4z&#10;+/pY/f18AgN8gwL9WgX5t2oV8AkCggPsIQH2NgE+Dvi2DvBvHeAX7O/fys8vwMfH12azmi0mvVGv&#10;1eu9vQ1eHhq1m5vSQ+miUSp1CqVGKlPwMTkfc4F2Io7TDk1Aebu5WmUuJkps4uNBLDSURw3nyScT&#10;6my+ZhGmnUVq47my1iyivcU6emja1oJVZ/Z8d/3E2Z2rN8waMzF79oIrJ868edbwvvHt+9fv3r96&#10;8+5lY0Pts9LHT44euzR5WmarTgmtOg8MjZ8XNii3a9LSboOW9xi8KjItvyI807wAAPsCSURBVMfA&#10;RT3iJofFje/TfwJNDKkr+qQuihoAxDAmIm5s1MBpEWmZoUNyOw5Z0XHIyu5py7sl53fvtyCs99io&#10;yIExvZMXzs15fPvR+5dv3z9/+b7h1ftXr17W1z+4deebnbuXLC3IXbZixdqNO/YeOXD01IJF2R39&#10;gxQo1paN96FcJgk850uMi0SmKbjn4JaS8C/xbl8gAXw0gBIYhKSLAJGKUbEEFwj4LgSmxHA3BHcj&#10;KHeRxE2pUKtcld5uKp2Hh9HL26rX241Gu8nkY7L6Wv0DfYNbB7VuE9QqOBDQOjgo1BbQ/UfoaQ8M&#10;8wkK8wns6RPYwxYQavHrZvYJtFltFrB9HQ2zwWgx6Ew6rVmnMXmrdO4yDxeJu1zi4SLVKNVSuRcu&#10;VuOUCsNdUa6az9ZynI0tW/q2ZAXzCQhu7HJla72pc+cuw4YOzc5cPG/2nMR+8a38A+hOW5mcngJI&#10;CcCr0tMBcTpccJUrbGZLZGTk3LlzL126BA4UVB1czweP82+UZmL4jyAGByu8ewO0QK+Z0UgPRFds&#10;Wrd++uQp3bt0hXzSM+gcbzYAMTAzqiG3QUFBI0eOXL169ZUrV6ApA48M2gIX++Crfyn5R4PPIA6t&#10;oBULju9r37178uzJhev7t+6YPW9GRHykPsRC6WRcNcUVomyMK2CjMmdC1ULQAuV/5SKgjB5uQTZt&#10;G39Da38rePbAwA5tQuI79hgaHjstPHFGz8RZXeJGRMQN6pc4dOCgcUNHTBs7Ye6U6ekz52TMmgvH&#10;T7Bw5pwFs/6GhbPmpMNxxux5U6bPHDdp4rBRI5JSU2ITEqL69OvZK6FTz+jgjqG2Vh1NviFai4+H&#10;Vid3IxCMy+c7kchfhMh/S9CvvOSCAIPVy6RVebpK5EqC9CCI1qigEyFO5Mn785XxqKo9R2jgEP52&#10;n5ThQzcVrDp94PDNsxd3rt88Y+zERXPmXzp55s3LxqaVFGm8e/mioay45NTp6zNmZYdAxNAlqWfC&#10;vMiU/B7Jy7qnLA8bvDJycF6PpIzu/Sb2jB/be+DY8EFZPVNX9U3N6jVgflTc6Ih+Y6KSJocPWRA6&#10;LKvjsKUdhhWEDlnSNSU7NGFu9+iR4eGJfXoPXDA/98n9JxCBQg29fwPR6OvGVy8ePbi3e8+3y5YX&#10;LlmxatWGLbu+O37i+Ln8zLwI31YaDhbIwboIZeEiRZTMLVyk7IBKgpxwv5akH0dgVcj8vT3MWrWr&#10;SiKUEQIBhqNcMYcr4yJumMBTrtR7eet9bebggHZtQjp36BjevUdMdO8B/RIGD0welpxKV9mkaRnT&#10;Zy+eOTdz+uzMaTRWTJxT+COsnDh31aR5cCycMKdg7My8EVOyh04cMyA1tV//Ab1jAUl94pL79hvY&#10;OzaxV9+YsMienbp2CGodaPf1MVlsRrPRw0sjcxUJKQTjsXAnNtYSwb4iuF+4ICyLXBai0/bo2HFw&#10;cvLk2bOycnOW5uZNGj+hc/uOaqUrsAK9Uh4lhJYXeFUARA8oj++ucuvetRuz/U5paSmj4aDwTdr/&#10;b5VmYvhPiRgcK3LT2/07dop+Wf/i7s1bu3Z8PXzwUB+LFfQWiAG8FkVRkFUQgUDg7u4O1ZSWlrZ/&#10;//7KysoPRfEh8UvJ3yUGKGWmmOAIaSj3ylfvKl++fVX/ovzRk/N79xcsmD86uX+Xbu0CW/vqfCze&#10;FqNFb/XT+rTy9PXzMIWYfXu07xwX2Tu+X0JiYv+EgQMGpqYMHTUS6jgzI7MgO78gK68gPTsnMys7&#10;N7dgReHGzZt37d793aHDx44fP37ixLEfAf6fPvoRjtDHk4ePHd1/8MCuvV9v3ra+cPWynPzshYsW&#10;zlswecaMUWPGpKSmJScOTOwT2zc0PLRNR3+9xa412Qxmk8lsNFv8WrfqEtYzNiq+e9dwn1at1Qat&#10;UCWTk5gc5fnzSH8eFcgTefNIKUZqAnwih6cVFhQc3L///NmzmzasnzBu3OzZs44eO1JTX/fi9avn&#10;r189e9VQ9+pFRV31vaePjhy9MH3aonadE9t2SQqLnxudkh+ZtqJnakFY2orIwTk9khZ26ze+e/zo&#10;Xkmjw5Kzeqas/p4YRkX0GxWVNDF8yNxuwzI6DMttPyy/25CcLqmZ3RJnduk9vEtkfHjf/jPmL75+&#10;9+7z140Nbxoa3r588eZ5zYva6/dubt39TU7h8uzCwuUbN3+9/8jxgyeXzs+KtgYanFAzh+dLUnoR&#10;oZFQriICYiY3UuQj1bTRmDsF+fUO69orqnv7Dq19/Cz+ZpOf0dDa09DO29LF7N+1dbvw7mE9+8VG&#10;JvcfOmTomFFjpk6eunD+gvyc3MJly9euWLX3612Hv91/6uDRs4ePnzl47PR3RwFHjh8/euLEJzhy&#10;/Nj3iePfHTm8Z//+b779du3K1QW5S/IysnLTF+enZy3NyFmakZUzLyNj+pzp4yaNThuWkjiwf0y/&#10;+D6xEaFhHdu0Nwb4eNoMcn8vlwAvpb+Hm1Vl9PHq2CE4PiZq0pTJK9eu3rpv75qNG2dPn9kvJtZq&#10;NEObi16hzMEHYsfbzkzcIBWKgvwCRg4bfujQoaKiIvA4jC9mNP/fLs3E8B9BDI5AAcKFd42vaWJ4&#10;9x6qEuKGB3fuQbahBQZtMhepHIiB6UoCeqBn0RGEWq0OCQmBKr558+bz589/64gB7scUExQ3E2IX&#10;v39XBA3Ut28bauueXb19a+93x9as27B86dLszJkZC6YvmDd/XsaiOYtzpi1eOTl9y8ysHYuXf7t0&#10;/derN25ft2nz5i1bv9m5Y//e3ccOf3f21OFzZw6dPnXgxLHvThw/cub0qUsXL968cePB/btFT+4/&#10;LfosHj0pKnn0KZ4+fPL43sP7t+/dunbzyoXL58+cO3381JFjx7cdO7huzzertm3ZsHnzhg2b1i0t&#10;LMjMzZm5AJA3Jz1nbvqimfPBGa0tWLlx9Y7snOVDJk/pnBCjaRcg81TiEkLNQ9QcnoaLyxACWtEu&#10;Qb4dhybl5eXs2vXNsRPHVq9dNWLMyEnTJ+/av+dByZPimoqnNeWPKosfVhTfLn54/s613buPTBg7&#10;u037uNbtE7v3nRE5MCsytSAcQBNDdo+kBd3ix3VPGBWVPMpBDGv6pmb3GrCgiRiSJ4QPndNteHqH&#10;4dnth+d2G5rdJS2jW/8ZnfoO69Qrvkds/wlzFp64fKmopqqktqy0rry4pvhB2eMTl88Ubt04Ny9r&#10;Xn5ezpq1W/Yc+G73wZxp83vpfPR/5Xh81cKTy6EIZ0TAYYl5hFToodWGturSPypu+sQxBUuy1qxd&#10;kZu3aP78Wdlz5i6Zv3DVjPRVMzNWz85cnpm7fMny3PVr87ds3L59x65vdu/bt//okaOnTpy6cOb8&#10;xbMXbl25/vD2/bJHTyuflFQ8Ki5/+BRwtbzoasWnuFT6+Ep50bXK4mtVxZfLn5x/+uDM47uXrlyF&#10;65w6cuLEoWOnDx0/e+TkucMnTh04cmzPdwd27P5m47ZtazduWbNh85oNq1eszs9ZMj0rfVLm3OFL&#10;Zo1cOmt4/tRxudNmLZmzeNmiZavyt37z9Xcnju05cSxv+XLwj62DWrm5KMH+IRIXOYiBQDGAXCJ1&#10;d3WzGEwJsf2W5uWDL3jx4gXoORiYwwHSzoXR/3+jNBPDf9DgsyNuoAH/Xr959fxFTUXld3v3jx89&#10;JrRzF4NWBwEun89HEPBEdIcSJKRSqZ+f34gRI/bs2QM1BXrC+OoPZfKLyD8aY2AKnUmAwG2hgCH6&#10;gUw0vnzZUP+8vq6uvKwMIvGS0hKH0ClAZVl5dUVVTWVVTVU1gJGa2praurraZ3V1z541oa6uvr4e&#10;LPNFg0Og5h0C2tz4+vUn+KxAidB/0PCSuUDDiwa4GFyzuramqqb6+ztXV1dVVVZUQh4dYDJJJ8rg&#10;X2nZvfv3Dx46lLFoUUxcrI+Pj8pNpVQoxEKhgCQJnKAEAqPZHNW79+R54zbsXH3w5IGlq5YOGjJk&#10;2Mhx4IEvX75z7erd61du3bhy4/rlSxfPnjx19LvVhatHDhvdoWPPdh3Cw/ukxAwcG5MyKTZtat/U&#10;qb0GjItIGBnZb0iv+CF9E4f2GzQpLmVa36SJvRLGRMWP6hU/qnf/sTHJE2MGTe6bPKlv8uSY5EnR&#10;A8bThNEnKbJHZETPXuPHTtm+c//FK3eu3Hx4+eb9qzfvXbp8bd/+/QX52fNmT1s8f/qy3EVbNm7Z&#10;u2vP/FlzW/n4kVy+EMVkQpGYolQuLlKxyE2patOq9YjBQ8GVnD516s6dO+BBKirKi4uLS4qLoUQq&#10;4NSB8rJyWuC7igpwIiBQtoyAJ2VaK1AHUBEQVH4AXV+OvdI+xqsffg6nr143QmXBRZou+D3qamtr&#10;a2pqqmscFdcEqD7ISGl5GaCkCaWlAPigvAyqt7yi/MaNG1AOM6dPbxUQ6CKVgfGDM3VMBm+ahgQB&#10;BEDrqYnt3Sd3cfbBA9/BNUF9GPVmTAsSjP7/G6WZGP4jiAFyDnn/AeiaAuW/fevWrl27xo8fHxQY&#10;KBQKmT4lCHllIgnp2CPay90TdHjmtOlHvjtYW10DTvlN45u3r37JF27+LjH8WOCujEDuoQQZvwyn&#10;TV9/JPDtZ8VRob+6NN3sR9KUuY8EMg+WA17o3r17YB65ubmjR49OTEwE0/L39/f29lYoFBKJxGw2&#10;9+nTZ8LMkYWblny9f0d6TkZsQkK/hOQFC3O2bNm9dcvu7Vt27tjy9fbNmzeuWbV6ef6COQsS+vUP&#10;atWhdUi3ntFJfQeMjhk0oe+gidFJEyITRoXFDYuITYuMTevdLy02aVxM0sTeiWMj4kZGxI2IjBsZ&#10;FT+6z4BxfQaM791/HADSveJH9+w7LDwisXvH7p3bd0seOCQ3b+W2r/dv33Vw8/a9m7fv2bhlW37+&#10;kinjR48YPGjqmCHps6etLlz59dbtc2bMDPTzBzOQCESOZrKxS4eOYaHdwadMnzxl3eo158+cBb8A&#10;TpmpRKb06Ar+nDAl9okwf/JPy2cv21RbPxTmx58IaCAIJOBbcPEHDhwANxrTp49Rq4dAAeyHdqaO&#10;zf2bRp4pgVQo9rPZx48eu3/PXnAZ0DSBK8BN4SJwFzgyefj3SjMx/Ed0JX1O4Cmg9qHqL1++DO6o&#10;R48eKpVKIZXR8S6Ciikh6ADoM0TD8ID9+sasWl746N79NxB8OGIOGr+Q/AxiYOoDhNaU7+WT039C&#10;mq7+kTR98dOk6W8+kqYvfrKANkDTFTzLzZs3jxw5smPHjpkzZyYnJ3fu3Fmn04HqmEym2NjYybPG&#10;Lludu37r+ulzZnUP79Wpa9SgtPFTp2dPm0Fj+kw4Zo6fNGfk6CmpaWO7duttsrX3bx3WLXpwrwET&#10;o5OnRyZPDx84rWf8hO5xY3vGjgqLHQk0EN1/cq8B0yISJveIG98jdnzPuAlh/SZGJk4BRCROBkAC&#10;Punae3SXHgNDgrv7+nXq3iN+xNh50+ctmzp36cQZ2ZNmZk2evnDoiAkxfWN6R0WlDew/Zfy4ZXn5&#10;Wzdtnj19ZpB/ALgSV4WLzWSOCo+YOmkymMrur3dePHvuIbjFqmpwDZ+4gL8nTNl+Ik3f/QvSdKGP&#10;pOmLnyCMNoJArAiGlJ6eHhoaatDpXeUKnI9QGL0Xm8OQSKBGcKwKiVSr8eoVEbliacGDu/cbX776&#10;0LKBi/zbncIHaSaG/2RigCNko7S09Jtvvhk8eDC0UHUaLxEpQLl8ZnE9UGxgCFBmaPZNnjDx+OGj&#10;tZVV8Iz0BCegh19IfgYxQHaZKvlYUZhPfop8+PNPpOlCHwlc/6dL0998JPBh06V/mjAZg78CK6qo&#10;qLh///63336bkZHRv3//gIAAFxcXiBggjJi7cPrKtcvWb1k/ZcaMzqHhAa26hEcNTB0yPXXojNSh&#10;M9OGz04dNmNA6qS4/qN6xwxuHRKuM3fwaxPVLXpEZP8pkUkzI5Jnhw+cFdZ/eljC1Ij4iZEJE3sl&#10;TOg1YHrUgFkR/WeGJUwDhCdMD0+cAaeR/WdGQMKBnv2mdu0zoVOPlFatepqtHdu06x0zYPygYbP6&#10;D5nZf/C05GHTBw2d2Dc+NbRrz+6hYYMS+0+dMLFwWQFEDPNnz2kdGATO0cvdo13rNuNGj9myYeO5&#10;U6dLnhQ11D9vbHgJygQ+iDEGOH4oByb9idBl/ZuIo04+laZM/FCYz2tra69fv75mzRqoI41GI3Bs&#10;n4vx+GA/ECLAEaJvel0BkVjv5d2jW+jsGTOPHjpcU1n9cfOKuUvTyb9bmonhP5YY4Lkc5U3v2XDh&#10;woXFixcnJCQAAcglUj6bC7GCxLETLdNBCvo8ICERQv+7N289r332uuEl1HTThf5l+WeIoen87wvz&#10;s58oTX/zywkUa9OlfyhNX38k8Et4KOa5mE9A+Wpqau7cubNly5YJEyZ07doVDMbHxyctLS03b9HW&#10;bZt2fvPNnHnpXbv39g3o2rl7//jkGfGDZvVLmReftiAubWF08pyw+KlhvUcGtumrs4f7tU/s0mdi&#10;WP+5YUnpYYMWhacsDh+UGZ6cEZW8ICppXnTS3Kjk9MjkRYCIpMyIgRk0kjLpTz467dl/YZfY2R0j&#10;Rge2iTH4hAe2iw/vNzk2ZW7flDkxKbMSBs+OHzQ5vE9ax06R3UJ7pyYPnTNj7ub1Gw58uzdzYXpI&#10;q2BQKZNOHxbaPXvR4vNnzpYWPX31ooFuWYC1vP4Zhe9Q10+l6bt/Vpqu8kNhKusTgc+b/uaHAqEe&#10;xHnr168fPnx4cHCwXC7HMRzsB4yH7kQC20cxAJwCQUJpTJkwce/uPY8fPHz1/MXHxMDcuunk3y3N&#10;xPCfTAyMwMNC1Rw8eDA3N7dT+w6ucheuMwvnM+9pEqDYOIK6q9x6dO02c+q07/btd+xU+G8iBoeG&#10;0NJ07pCm5/ihfPKb34NAlpoy95EwlMDk9sMnYJaVlZUfbBL0xs/Pb9iwYSuXF+z7ds+hg0cWLcrv&#10;GR7nG9S9c4+kvgNm9k2a3Ts5vU/qoujU7LCkzC7x80OjxwW0TdT7xfh3TOscMzMsaVF4al5Y6pKw&#10;tCURNPJ7peX0Ss3qnbI4clBOxKD8iJT8yJQlkSl0wnG6BI7hyXk0BuX1GJjdpV9Gh6jJAe0GGvxj&#10;/DsMCo2bHj1oYe+UhX1S58emzus7cEpo1OB2HXqF9ug3bPC4zIXZu77eCY3irIzMNkGtFFKZ3WyN&#10;6d1nTeGqR/cfgEOk7YQhhje0Gn1SMkyZ/Fgcpfhvk6ZM/FDA64Hx7NmzZ/z48eDUPDw86L3YCJoV&#10;wH4YEwI3yrzEAGFTfEzsxnXrH9673/CsvmlOyPda7bjJ70WaieE/lhhA4EHg6SAn8LyPHz8+evRo&#10;/34JdotV6JhAAQoAWg0qDcTgIpP72eyxffrmZmVfPn+hvpbeWqrpKv+y/Axi+KzQWvM5afr6I3HU&#10;5qfy2V/+GsLk6hOBDDBGCAIJsCImSxA0HDp0KCMjIyYmRqfTgYKmpqauWVF45MChU8fP5OWuCAtP&#10;8A0K6xKW0nvAnN5J86KSs3ql5kWmLuuelN8xPqtz5CS/kIFa/wT/TsM7x84PG5QfObSwZ9qKHqnL&#10;wweviBi8otfgZb3SlkSngutf0jN5WdiggojUFYDwlOUM4BP4nPkqdMCSTv2y2kXN8GufpgtI8Gk/&#10;uHPMjPCBEGqk9xoE3LAgesC0rlFD23Xs0zNi4NhRM3Kzl3+7a/fxw0cXLUxvFRCokMgCfHwT4vqB&#10;4ygtLmFepaF9IoQLjh5J5vE/CGhkU+onCFO2/7Q0XeVH0vT1R9L0xQ+loqLixIkTWVlZUVFRXl5e&#10;AoGAfhWIIAh6vF3oGKmjh52VMoWXu2e7NiFTJkw6dex4fU3tm5eN9Pzxt03xIlzqw11AAZj0v1Ga&#10;ieE/nBjgQRi1rKurg4B44bz5faJ6GR2DZ5BzAkGBJEgUhzafxt0jOCBw5NDh336zq/jxk9fQ3PmF&#10;5F8lhp8u8Jyflaav/x3SlIMfCnwOxHD48GEghj59+gAx2O32IUOGrCkoPLL34Jnj51YsWxsbmxrc&#10;tle38JToAbN6DZwTkZwVlbo0Im1lt6QV7fot6RAx2a9tqpdff2u74R1iFoalFPRIAWJY1XPw6nAa&#10;q6IGr4hKK4hOWxaRVhiRttqBNQ4w6dXhqavCUlbSSF3VPWlF54T8ttFzbe2HagIG2jqO6NxvXkRK&#10;VsSgRVEpmb0GzY+In9ijz8ju4QN69x08ZdL8woJ1B77de+LI0UXpGa0Dg0B7/H1842Pj1gIxFD39&#10;GzE43qn5sTAl8GNhCucTafrun5Wmq/xImr7+SJjPwR0w5A1SX19/8eLFFStWpKSk+Pv7g4Uzc71F&#10;QvqlNjAeiBvkYnp6n0wkCfLzTxuUsm71mhtXrr560fD2zdt3jTQxfJCP78Kk/43STAzNxMA8Fzxy&#10;eXn5zu075s6c1b1rN3guunfU0U2K8fig3lKRWKN27xUekbs4+/KFiyXFxQyjQL0zl2JOHRf+efLb&#10;EcMfSIAYjhw5kpmZyRCDj4/P0KFD1xasPLr30LkTF9au3JQ0cGSX7gnRcaNikudGD5wbnpQdMWgJ&#10;ePOuAwvbxi1tHz7ZNyRV45toaTusfd8FPQctCx20onvqqh6D14QNXhWWtjIibUVkakGv1GURqYXh&#10;QAM/Qljq6p4pqwBhKTQxdEpYEtJrrrX9UM+AAdaOwzv3mw/EED5oUeSg9MiBcyPiJ/dKmBiXOGpQ&#10;2qR5c7LXrNz03d59J48eW+zoSoJ4kyGGdatW/xRi+H0K6DfjDsBm4AgtqevXr2/YsGH06NHgztRq&#10;NRg5n8/HMEzo2CyXIQYgRTAhtasqLLQHxE/HjxyFVtWbV6/pWOHlq9/t4zcTw384MXzIBlRfbW3t&#10;+TNnN6xdlzxgoN5bS8/DBjUgSJRLL80NSg7tnrbBbcaNGrNz244H9+/D38IVGGKAUmLshbnaz5Jm&#10;YviMfJYY1hesOr7/8OUzl7as3zZi+PjYfqlDRkxNGbUgMW1WdPLCXsngppf06L+kY0xOh7DxfiFJ&#10;Xj79LCFpHfrMCUvO6z5oaffUgh5pK8JSl4elFkSmLolMyeuVkhuRsiw8dcVn4OhNcmB594FLOsdn&#10;t+k109w+zSMgwdJxSOd+syNSMiIGLYhInhM1cHrcoCmpI2ZNnDBr9oz0pdlLNq5e/+cjBkZA40HL&#10;QenBc4H/mjhxYvv27YEVcBwHSgCBiIFybJkLfCDACblECrCbrcOHDIUoqvhJETPw/vZV46uGl83E&#10;0EwMvzdigKeAPIAwzwUJeiZ9cenFc+fnzprNTE9i+ACeAlSCXkMeJ8x6Q3RE5Pw5c8+cPg2lBH8L&#10;9Q5/CwXy4VI/V5qJ4TPyWWJYt2zlsX2HLp2+sGPT9gnjpqakjp4yI33CzPzBY9NjUhZGJ6XTW3IO&#10;zO8al90pfJx/24Favzhbu9SOMbPDU/J6pizpkbas5+Dl4WnABEsjU/MjU3N7peZEpC6JSC34McJT&#10;gBKWAcJT6HGLzvFZbaNnWDukegbGWzsN7pIwKzI1IzJlfq+UObGD5wweM3/yzJzFmflL8wtXL1ux&#10;cdWaPyUxMOre0NBQWloKtZORkREdHQ21Q1EUgiACgUAoFNJjDPTQnEBMz+qjicHL3bNbpy7p8xbc&#10;vHqtgZmJ9O49hAuNzcTQTAy/P2KA54I8gHx4Lnio1y9flT0tWbdqTXj3HlpPjVKmIDEcNIFemtvR&#10;DPJ0U4OlpyYlf73ja7AO+Fuod/oP/9lwAaSZGD4jn+9KWrriyLf7L546s2Pj5ikTJ40YMXr+goz0&#10;rBUTpqX3T5sVO3BGbFJ634GLIuLSu0WMCmqXYPDr7dsuqUvM9KiUxRGpOeGpeRFp+ZFpuZGpOdGp&#10;i6NTFvVJyeyVkh2VmvcZpORFDsqlkZIbNjCrW3x6++jJ9k7JXkEx9i6DQhOn9kqbF506KyZtRsqY&#10;eVNmL87MKli5rGBdYeGGgrwNhQV/SmIAawF1B1925cqVrKysyMhIi8WiVCqZcIFhBUgTjpmpjune&#10;hFqpah3YKm1QyoY16x4/eNj48hU8Pt2P1PiaXhb39/r4zcTwn0wMjDSdM1Xw5m1tZfWBvftGDx/R&#10;vk1bL3gEx8a0UqEYjkKCBBvXeXn37NZ9xfIV9x29SSBwESbxz1VfMzF8Rj4fMRQU0sRw8vSOjRun&#10;TZo4etSozEWLlhSsmT4rc0Dq1JjECTH9Z/dNnB8RM6dr2NDAkBi9T6RPSELnPpMikxeGD8oMG7Qo&#10;DBhiUGbEoIyoQQujkudHJ8+LTM6ITF78Y0QkLwpPygREJC3q0X9hl7g5baPGWTskagKibZ0GdIuf&#10;EJUys9egqbGDpw2ftHDBoqX5S1euLliyvnDZxoKsjSuW/FmJARzZ48ePd+zYAY4M7BmsGvgAyAAs&#10;HFgB6IEef8ZxeltEx1xVq9HUr29MduZiKI2KktI3r17T68m8pS3t7ffTVX+H0kwM/8ljDJ+RN+/q&#10;qmounTtfWLA8ZWCSj8UGakAgGByZ0AHiY7mYnmExe9asU6dOVVdXQ1nRf+foTfpQVj9LmonhM/JZ&#10;YthYuPr4/oOXTp/asWnD9Enjx44ZkZWVsWLlmtlzFg5IHtcndkTfuEl946ZHRE/pHJrs3yrS2xJq&#10;bdW3Y9SY8P6zewyY273/vO4D5vcYMK9H/7nh/WeFJ86ITJweljgnrP/8H6Nn4rweCXNpJM7rFjer&#10;Y++prcNGmEJi3H17mtvFdooZFT5wcsSAcX1TJoyasmBx7rKC5YUrlyxeW5C9ZXnmlpV/TmKoq6sD&#10;092+ffu4cePatGnj6ur6gRVEIhEQA4qidFogbFphm6TatAqeOG787p3fPLp3/3nds3fQeGp0EINj&#10;8PktlMDvUpqJoZkYHKVOi+PkPRDDw7v3jh8+MnfmrLbBrZm9P0HPQckd243QzSCz3jBwwIA1a9bA&#10;g1RUVEARweOAAnwoq58lzcTwGfksMWxYt/7ggQNnTp3avGnjxAnjx4wZvWRJ/saNm2bPnpOQmNSn&#10;L/jegb17J/YM69u1S1hQYIjJ6BMQ0LZnWJ+4uOTYfoP6xCQB+tIY6MCAmJgBjgTz4d8QE5vcNxZ+&#10;PBAAp9G9E8MiYjt3i/ALaqsz+cCxR0Sf3rH9e8ck9EtMmjhlWsHyFevWrS9cvmzlioK1K5evX7t6&#10;3959x44ey8zIbBXUSi6T+/r4xsXGrV61+mnRU3qmpoMYaLf4uyQG0GPGJJjGDgh4hMaXL0uLS/bu&#10;3gOOvmO79hp3T9oewDDoF9kcTODwmPSYMzSjCEJACdxUqs6dOufl5t68cbOutg6shH5esDTm6r/L&#10;1zAZaSaGZmJwlDot9Mmbty/qngGgfbOmcFVs775uSleFVIbxEeADKbADSkfJOo1Xt67dRo4cuXv3&#10;7tLSUkaL4PihrH6WNBPDZ+SzxABUvH//fojUNm3aNGnSpMmTJ2/cuPHgwYM5OTlpaWmJDomJiYmI&#10;iOjRLbRNULDdbGkd2KpXRGT/+AQw44S4fj8Rif3iAU3puH5x9Op4vXqEdm/VqpXZbIZjZGRkXFxc&#10;bGws2HN6evrOnTu//fbb9evXr1y5cvXq1evWrdu3b9+xY8cg//BjuVzu6+sLv4evwAuAljDa9s+p&#10;y28gYJxMJsHOactwjKSVPi05e/JUzuKsPlG9oGUkF0vBS0JzCeyBeZcNPKbQsQYGRdCvuCkUCnjq&#10;+Pj4bdu2Qevp92PwP0WaiaGZGH4gjnl0EOtDRe/b8+2EMWOD/ALgQXA+As8CbSOMxweGUMrkPnYf&#10;8D8rVqx48uQJU/VQJh/K6mdJMzF8Rj5LDMuXLwdiAAXdvHkzsMLcuXMPHTp0586drVu3Ak8AN4B1&#10;gSeKjo6O6NmzXesQP5u9bes2fXpFJ/UfABablDgAEj8FyQMGAprS/QcArwA3RIaHh4SE2O12OIKn&#10;ABJKSEgYMWLE2rVrL126dPnyZaAHcP1/JmKABHME/3Xm1OmlufkDE/r7Wm1KuQKMAfyjkKCAEsDI&#10;AUASNDeQYPGUWCxmVkoHNwdEDg6FeeQ/ijQTQzMx/EAgynXE9y/qn186f2FZ/pL+/RJaBQRCoEw4&#10;noVAUHgoiBvkMhlo/owZM27evAmVC7UPBfXPVV8zMXxGPksMy5YtA2I4d+4cBAoTJkwAiz1z5gzY&#10;Hnjh6dOnDx48ODk5GYgB/iS8R8+2wW3AhYUEt4bG/sDE/kmJ/cGp0dzwE5DcfyCg6ZQhhj59I8LC&#10;27RpA8QAR+AeYAW4FxAD0BK0Dh4+fLhnz55VDgGq+EMTwwcBKwUXCXVx+/bt9evWjRgyDOIwlYuS&#10;6UQCSqD7kUh6TaS/gRRAxCCVStu2bTtx4kSoKfhbxjyaLvpHkGZiaCaGHwg9wZqeRPfyRcPj+w8O&#10;7N03b9bs7l26ukjlOILStuAAEAOOYRArp6SkHD9+vKSkpL6+/p9+omZi+Ix8lhgKCgrAhEBB169f&#10;P3bsWIgYIF1eXv7tt99OnToVTKt///7gf8GMe3YLbR3UymayBAcG9QqP6N8vHhg+kT7+JIDNAxl8&#10;f5oQHxMLYUfPHj2Cg4PBVOAYFRXVr18/uBfkasuWLcXFxY8fP961axewwsqVK9esWfOHJgbaDzly&#10;CHYOmn3//v0DBw7MnjmzZ2h3jdqDsQE6OCCaQgQAhAtM3ABsAQYvkUi6deuWnZ0N5gHOEWzjd/uw&#10;n5VmYmgmhh+I480bOL5+1VhXVXPn5q2tmzb37RUNjSSUxxcSJDSJoLUEigHEAMoPDUfwUZcuXfpX&#10;OlGbieEz8lliWLFiBXgoiBKg0MeNGwfEcOrUqdLS0t27d0+ePDkpKYkJFyIjI0O7dIVAz2IwBfkH&#10;RPYMS4iNS4jt1y8mFlz8TwH8Ph7QdBoX27tPr4jI7t1CwctbLBY4fhhjgDBl06ZNYNvgPb/++muG&#10;GOD4hyYGh9XT8vz5c8jw4cOHFy9eHBcTYzWamPUAaKt2vPkJJtEEhhgcO3fCUa1WQ+FALHXv3r2G&#10;hoam6/5xpJkYmonhB/KO3g6aPjqmWddV15w5eWpIappJb3C84d+06ir9cgNJh8tQj1OmTNmxYwe0&#10;FxldarrOz5FmYviMfJYYwOfu37//9OnTGzduBCZYuHAhEAPYHhMxMP1IdLjQs+dniSGub8xPBFAI&#10;oCndN6ZvdO+o8IjPEsOQIUOYiAE8IBDD2rVrwfv/0YkBsgd5Ay8AZXv+/PklS5bExMT4+fi4yhUo&#10;lwcxgcyxNB49g9sx2vw9MdCsIBGK1K6qwMDAUaNGQbhQXV1NuxDHvL2mq/8RpJkYmonhB/LuPfAB&#10;vR6wY5u21y9f3bh6bc7MWR3btfdQqeViCeVYVo82CgcxgL/q27cvRMy3b9+GhtE/91DNxPAZ+Swx&#10;gGMFYoCIYfPmzZMmTQJNgnRlZSUY0owZM+AHwA3grMFrgxMP9PU36fRAD5Fh4dDwZyYXxfbp+727&#10;p0MBCAvA7/8YcX36QpTAICa6T59e0b3CI3uEdm/Tpg3kJDg4GG6RmJgIxjxhwoSdO3eCbYMhffPN&#10;N0BdhYWFkM8/FjFAfkB3P84PeMby8vLr169Dqx/Iz2QyySRSESkgURyOwAHgIhkv6aAHiv6cEkAC&#10;iMHf169fv34QZFy8eJHxsJ9c/PcvzcTQTAw/kDdvgQ+AFejl4t+8fdP4uujR43Wr16QlDwI/46Fy&#10;E+AEzkcgVhYIBEAMbm5uYPKjR4+GViyE3R9XH6Q/Lr1/IM3E8Bn5LDEw01VBQaGRDsQw1zHGUFdX&#10;d+HCBfC5CxYsGDdu3IABA8CMw7r3CA4IshrNrQODwkK7x/Tuk9gvHpiA7k1yRA/AE44hh8/PYYVv&#10;6YSjQwlIok9UdGTP8K6duwQFBfn5+bVr1w6aA8OGDZs+fXpeXh4QAPjQhw8f7tq1a4VD/kBjDGCH&#10;kJkP0vTp+/egzeDXIBaGiLhz584KhYLE6DlIn4CmCseePGDqEC6ISApaT1BQwJebNm2CKzAPy/i4&#10;P5A0E0MzMfxAHFOSaEp42QhpiB4qSsq+27t//uw5PbuF6ry8QStw/v+fvbPw6yL7/v8/8fvuSnd3&#10;S0hagNgtYGKLhR3Yrbsm1roGdnd3YydiK6ggIIKUgO7veee+fX9YZVfMNeb1mMdw38PMnRvnnNc5&#10;c+/c0RWVMjQ0U0BvYovoSkyZbC7ZUOzlT5nxv0AlhgpQeWJA8bKysq5du7Znz565c+cOGTIkNjaW&#10;KCG0Ri0/b5+awSFNGjZqExWNlYcJFDLoLF9r6N6la48uXUXinY3jbHL8GW4gYoBpGtSrX6NGjZCQ&#10;kKZNm8bFxcFDa9euPXr0KCqEeqPJu3fvJmL4HolB80MBRwh+adLjx4/TyHXr1nV1dTUxMfkXYsBR&#10;wlZamJrBDbZW1u3btsMsnj59GrNI5gA7q8n9O4FKDCox/A1viOHVSw0x0OPXL1/dsmFj79ie3p5e&#10;+EYEDUZ6Bvp6+mIdSUNDW1vb6OhoTAQtmZ+fT8vIhmJfvvX+BSoxVIDKEwPCCnJyctDDvXv3Llq0&#10;CIEe3H8AgQKs0LRhY8K9kcPjx4wYOXbkqHGjRo8bNWbcaLGNVzaZfnsbNXrMyFFsnDBp3AQuHDpw&#10;UGz3HmgI4QImXr7Udv78eRQY3ca/vnPnDhEDpv97nK6KNkpTCGCF9PR0VBSGo76Ojo6ExmKBPDGW&#10;UAExYCsVi2lgbmIKNzjZO/Tu2XPnzp3ogwyiZeaaO30nUIlBJYa/QRIDiktFcKXKXhXkvXj6JP3C&#10;mXNYCRxQ+aankZ6+gbJCjL6+vrm5OWIwa9YsPKQnT54UFhYq3aiRBJmWef8TVGKoAB9EDKgxNig7&#10;O/vBgwcYa+hh/Zq1o4bHt2/TdsTQ4ZvWbzhx5Chx365t29l2ym3rth3KRkJzpPymHNy9Y+fhAweT&#10;Tpw8efTY3l27V61YOWLEiA4dOowcORLVvXfvHmqPYnN3PAKsgJyuCnATvhdikAKKPkv7BZDgCxcu&#10;rFmzhqgIu4DeIuLim53K62xvbWbKC8+WpmLwjXDBxtLKr6r3yBEjTp06hVWVXhKqLm3cdwSVGFRi&#10;+BsghlevxSYTZa9KioqL8wvv3boze/rMmiHVrS0sbSys0AiCBZRFfMfQ1DQkJGTo0KHr169PTk7O&#10;y8tTulE0EfnJtMz7n6ASQwX4oEdJCBOaDEhzISb7zMlTCbNm9+vTd/6cuclXruY9y8l49OROyq1b&#10;yTduXr+Rcj055dr1G8pG4ub15Le22yk379y8hUA/fZz+IjfvefazB3fuJZ0+vXDhwkGDBiUkJKSk&#10;pKAk9DG3BhDDrVu3IIbExMTly5cjCt8LMcjCyFqQhl9TU1MhtoEDB9auXdve3l6ygvj8TkXEICIG&#10;A0Ox+LCevqWZuYeLW8O69eYmJNy4cUNOxlDkv2Kz+C1DJQaVGP4G+EBQApWk8oIh5AwlrMqaFSvb&#10;t26DP+Roa486GBkaSX0hyKZeMTExM2bMIGhAlmgfGk0lhk9C5YkBW6a5RmluZBdtPH/m7IKEeYMH&#10;DPxz4R/wAapbXFCYm/0ME5+TmfXsaWZ2xtOsdLaM7KeZzzjy9y33WQ5ckpfzvKSwmLDxZWHRk9S0&#10;82fP/vnnn/Hx8YsXL4Z7pO3Q3hRFIlJZsmTJ0qVL161b992NMbCnJW/fvr179+5x48Y1adLEycnJ&#10;2trazMxMrplqokw6enczVGIFxVbaSluwcf36R48ekbOsKdBW+XuBSgwqMfwNsELpm0WRZeigpJ9n&#10;PTu0b//YkaMaN2jo7uIqZqwaiErp64uRBkdHx4YNGw4ZMgSrlZmZSfvQaLJbyzfgP0ElhgrwocQg&#10;Gx0UFhY+efLkzJkzi/74Y/DAQQsXLLh7+05pSUkZzj0OPltJCT9LXxJfiBBDpN/ZlNNKScAKr1+9&#10;LioofJyWdu7sWbR92LBhixYtunPnjlR4WVpJDHv27JHE8D09SlJMN1JOs6Q/fnJo/4GZ02fEtO8Q&#10;4FfNzMREbiiwibGxubLOsIF4qc3IQnxuQXyHR8xVVZ6uourO9o7RLSOnTZpy5NBh1AAFEFmXg+aW&#10;3wNUYlCJ4W/QMIFCDGIvE3+9yM27fOlS4rJl3bt19/P1xXnS1dER3KBvYGxoZG1pFVDNv0unzju2&#10;bc/MyEDXaDQMCxeSYtNk/g9QiaECfNAYA+cjlFJYIQbcVYgBv37gwIHz58/Hu5dGSuZceXCJBNyD&#10;9l64cIGIAWJA5yEGqbcSlIG74GvDCt8XMSCjKC0hEeHU1YuXUePOMR1rhlR3tnfA/MEEIjpWFtNW&#10;3l0QxGBqKIhBRAkQg7LaMD8NdPQ8XN369+m7ce36q5evZGdnY1vlHb6Jan4gVGJQiaEywDI8ePAA&#10;ZR85cmSNGjWMjY3lChnICSqDarg4OLZs2nzNilUP790XThh0IL9PJZnmX6ESQwVQieErAfksKc17&#10;lnP/9p1d23cM6jegmrePraUVdh8aQHuVeUcGcikYS1NzNjEzT/PCs/jiP2eK6ap6+v6+fhPHjT9z&#10;8lTGkydyfp7IXhnAkPX9jqASg0oM7wUtQIPk5ubKL93Wr18fYtDTEW8zCGJQRMXK3CK0Zq2EWbMv&#10;nj2Xn5v3uqTsf8Twvj5ViaECqMTwpUEZRElevS4tfpn24OGh/eJtneaNm9haWeP1EAGIGXjG4gud&#10;JLCJjnb2nm7ubNYWlii2eK/N0BjRhxVEwsCwdvUa8xPmYgWKi4qwhrJ26DkN9d/W9COgEoNKDO8F&#10;RZWgB1H56OhoCwvxkRK0RksMxNn+Pn5jR47et2v3k9Q0ROV1mfJ5LjVi+DioxPDZIW8qQZryY/5K&#10;X77MSs84fvjItElTmjdp6u7siljrV9HB9lmYmGLu9XV0iQYsTMz8qnrXDQsPrVHL2d5REIOygh6n&#10;EUAQMsMWjes3XLE0Mf3RY/ksVTRcuflOpDX3/h6gEoNKDO8F9aUR2GdnZ+/atSs2NtbLywtFIEoQ&#10;Y28GhuKVTxNTH0+vvr16oxrJV68V5RdIVpBrLmky+geoxFABVGL47JA3lSCN7SsqKnqWmXX5wsU/&#10;Fyzs0Katl7sHBIAoo7Ryr/vLrwY6unZW1p6ubnXD6kS3imxUr4GrozNUwYboi6+UGJvY29h6e3h1&#10;7hCzbfOW7KdZosn+DqVnvmplPxEqMajE8F5QX0rLPjc398iRI/Hx8eHh4a5OzraW1gTcxvoGlqbm&#10;5sYmXm7ubaKiJ0+YeOzwkdzsZyoxfBJUYvjsKH870hgs2urS+QurEpejycEBgTaWVqaGYtgAiy+W&#10;P9LT1/21Cka/Tu3QNpFRMEeHtu2aNGgkxqX1RKAgiEFHF+n3dHMPq1lr6MBBiP6L53kyYgCymuxJ&#10;f0cKD1RiUInhvaAFJDGgRzTO1KlTW7Zs6VvV28HWjphbfMBHWSfD1dGpTmhYn569tmzYlPHosfIQ&#10;ib5/xfWajP4BKjFUAJUYPjvkTRFlIBsqMzNz3eq1/fr0DQkIRJqtiBbkmvJ6BsqkI7EIkp+3DxZw&#10;4tjxgwcMJGKoERSCoCusoHzF08AQYqjm49suuvWMab9fPHu+uKBIzL54A+2tv3JlPxEqMajE8F5Q&#10;XxqBKtPFycnJKH737t2rB4XgYOn9Kh7GIipstlbW/j6+kc1bLv1zccbjJwQKojXUweePg0oMnx1a&#10;lSZBgR88eIA9Gjd6bIO69awtLM2NxUpHSLN8PCpIwsAQDqhfp+7k8RM2rl0/ZcKkRvUbuDg6OdnZ&#10;W5iYcqYcXeBM2GLIwEGrElekXLteUlQsguXvHCoxqMRQGVBl+hdpuXv37q5du0aNGlWvToS1uYV+&#10;FV1cK5wnXCvUCj0KrVFrzoyZmU8yyhGDJpN/gkoMFUAlhs8ObYFJpKeny68bRUdG+Xh6GerqY+yE&#10;rurpG+iIV9hsLCxhi9rVa/bt2XvT+g1XLlyaM2NWWM3agj9MzGSsYGYk5iOhBg0i6s747feDe/cL&#10;K1n8korJG32/UIlBJYbKgCpLYqATT58+PXfu3JZNmzvY2MqxNzHPW/myIVrj61V1yoSJSItmdIE2&#10;e1+XqsRQAVRi+OyQNy0qKsrIyKDdaBnsXZB/gJ2VGCsjPpDTkLB9WHwnewd/X79e3Xv8MX/B2dNJ&#10;d27emjNzFqouYmQlpIA8EHo03NLUnDB57arVKdeS857lIPfi+el3DpUYVGKoDKgy/UuZsVdYgK1b&#10;t3Zo287Rzt5ARxcdEcG38jl0vSo6zvaOI4cNT7me/LKgUCgIbfa+LlWJoQKoxPDZwU2RYIzdlStX&#10;1q9fP2jQoBo1aiDE5gofoKjKGwlGhMDEBN4entGtIpcs+vPoocPXLl0+n3Rm8viJIQGBer9WMVI+&#10;zICJJGhA4omU27duu3/33uyMp2UvS5SxNZUYVGL4KQafqTKiQoKWyc3NTUpK6tG1m6ujM3qB/0Q1&#10;CampKY6Xs73DgLh+p0+czErPKCkqFnHD+9REJYYKoBLDZweFpHEo586dO8eNG9eoUSNra2sjA6y8&#10;mIakyLFmdMHD1a1pw8bjR489R6yQcvPy+Qs7t20fMnCQv4+vfhUd+TobxlFcaGgEtXTv0jXpxEkx&#10;R1uwwvvf3Pn2oRKDSgzvhbQqck9rkLh27drggQP9vH1QDTHBT19M4pD64mTn0K1T580bNsrFnl+V&#10;lKrE8DFQieGzAxuUkZFBq2J6mjdv7uHhobzBr4Oxkw+FxIiZiSkq3aJJ01HxIzav3/D0Sfrjh6kn&#10;jx1fvnRZt05d3JxdiBjEoklKmEzC3sa2mrfvgL79Ll+4KMKFMpUYVGL4WYhB9mz5AtPjE8dPCK8V&#10;amtpbW1uIYNvBIYI287aplXzFvPnJBw7dPjp4ydiYYz3qYlKDBVAJYZPAjInpsMhtpoPjJSVlmZl&#10;Zl67cnX5smWdYmK8varaWtuYmZgY6OoZ4d2YmBjj4Bga2tva+VerNnDAgPXr1l2/crXgRf7jtEd7&#10;d+/5fdq0qFaR4uGprnhzR3nXwQih93L3aBBRd9zoMVcvXeZer8ve3PE7h0oMKjG8F1SW0tIOSv8I&#10;hrh7927CrNmtW0V5urrbyJl+JqZEDGw2llYN6tYjCt++eWvag4eaFZP+FSoxVACVGD4Jkhi4DwrJ&#10;vuxV4Yv865evbFizbsTQYXXD69hZ2WDWxWgBlGBszN7U1NTGxoZyxsTEzJs37/z583RBUVERBd68&#10;efPQoUMbN2zkYGtnZmyir6MLMSgTVS2C/QM6d4iZnzD32uUr4o5lr0Tc8FWN2BeBSgwqMVQG2j6i&#10;NZCZtLS05UsT+/eJqxEUAjGYGhmLTRl/JoAIrVGL2HrlsuU0iFx8+9+hEkMFUInhk0D2cAPOuzL/&#10;obhAfGho8/oNwwcPadqosY+nF/4+vr+hrr6Fubn40L+hIcTg5ubWpk2bOXPmUHhpmEBqairNjtmq&#10;ExZua2VNdGygo4dlxBtC1uvUDh3Ub8CaFavupNzkRq/KXpUUv3yvxH/7UIlBJYbKQNtHtAbpJ0+e&#10;bNu8ZcKYsY3q1ZcfdENg0DLqi+IEVfOnQRYkzE25nixe93mf+qvEUAFUYvgkwAqlr/5CG0uFpSZ0&#10;PXbo8OQJE5FXdxdXBxtbQz19HH/cGTRTX18fVnB2dg4LC6N2O3bswKJRZQqJlmIgFi5cCGEEBwRa&#10;mom1X8RLD3r6XEt03KxRY7LdvX1H6v0HGmIoUolBJYafixhoCooNMjMzjxw8NH/O3DaRUS6OTgTW&#10;xvoGBjq61Bexqerh2aJpsykTJ125cPFlYZFKDB8DlRg+Ba9elghiKCO+LX32NPPEkaOzp89ESz3d&#10;3M2MTOTqj9h3YeUNDIyMjGCF8PDw3r17JyYmpqSk5OTkyBbDqN26dWv69OlYOi8PD5RZvPOsmYdn&#10;ZG9tG90qct7sOeSfnvZIEoN4wU0lBpUYfg5iQE7Y0xQUmz2Kcy7pzKrE5VTc1UlZa1L5tpV8oQGq&#10;CKtZO37IsAtnzirE8J4+VYmhAqjE8EkQs6Rfo40vcnKvXrq8eOEfXTt2Cq1RE0oQzr6hsTKGbChC&#10;XSMjc3NzX19fipeQkJCUlJSXl4e4UzZkvaioKDk5ecKECSEhIfa2duizpalYT0kOMzjZ2XfqELNy&#10;WSIe0LOnWWi+vKlKDCox/AzEQH21xCA7i968cf06UhHXu4+Hi6sIFOQnrZT3n+2srP28ffr27JV0&#10;8tTLSqwcoxJDBVCJ4VMgX7svzMu/lXxj47r1A/v1rxkc4mTngJtvZmyCmEIMFqZmEIOFuYWrqytq&#10;OWPGDAr85MkTDJksoZYYRo0ahepamJnp/VrF0kx8wU2/ii4xMsqPCdixZdv923cLcl8IQRePsFRi&#10;UInhpyAGWuAtYsBQpD1MJYAeOWy4t4cngQIaJ173UV5rsDAxo1k6x3Q8cfSYiBje16UqMVQAlRgq&#10;CZkJGZJAqeQeYihThhb27do9ddLkVs1aONs7KDPnxIf7sex4MUQPVmYWbq6uderUGTp06MGDB7GD&#10;CDr1kiUkATFcuXJl8ODBzs7OJtjDKjqKcTQQ4896+kQM/fvGyXnZJTI0lsPdX4rvvh5UYlCJ4b2g&#10;BWQfkZDFpq+zM7OI0SePn+BX1RtN0awRoETnpK3NLdpGtz60b39B3otXZRo7wF7bmOWhEkMFUImh&#10;ktCaD0STNHukk0AVU3Xy2PHp037r0KZdUDV/c+UNTBHVKt9aECIrBglsIurUGTBgwIoVK1JSUrhW&#10;ggwpG7XOycmhFj169LC1tTVWDCJxhoGOLglJDIP7D7x49lxu9jOMoyZcYP++h6ffPlRiUInh45Cf&#10;m/fw3n2q6QsxKIPPCjEY4JAhNmhfZIuW2zZtwZcqLiySbci+vDHRQiWGCqASQyWhLYYsKgmM2tMn&#10;6dcuX0lcvLRzhxi/qj7WFpYIpZhNpG8g1gEWiyMZES5Udffs1bPXunXrkpOTs7Ky0EkZMZAJ++zs&#10;bKzDzp07Y2JibGxsBDGIb3yayuVXYRoPF7eRw+KvX7la+CJf8yanhhg+Q73+W6jEoBLDx6G0uDg9&#10;7VHCzFn+vn6IihI0CGKgvnJ6kvwC7q3klNznz2Ubspe1Vvr5fx2tEkMFUImhktBmhWyRZp+fn3/l&#10;4qVN6zYMjOtfPTBIvJJWRQdTziYGFUzM8Pqhimrevq1bRc2eNevKlStUEFCj8vlg1FDU9evXYxYh&#10;BqTcUE8fx8dAmZRtY2mF6E8eP/HuzVulxeIT59r36cTTpO8cKjGoxPBxQAueZWYtXvhHndAwextb&#10;onP0DmJA9RRi0K8XHrFw7ryLZ89nPc2UYkZLylqLbi7X0SoxVACVGCoPckOwZB0xQxijzes3jhg6&#10;PCI03NneEUOGKUcusebCqCmvIHi4uLaNip49Y+buXbvS09O5lnYjE3KQxQNEDHAGbd6mTRsNMSiU&#10;QG5EG8rcu1qzp89IvfegTOEDQQwlpZpVMb5zqMSgEsNH4vVfeTm561evbRMV7eftY21uIR8ooYBi&#10;LNrIuF54ndnTZyadPJXxJJ32pNFoSVlr0c0qMfw7VGKoPMhNqboQr8zMzMuXL48dOQrHBKceWyZN&#10;uZwzRwKddLCxrRtWZ8KYcccPH7175660XOWdF1m8rKws2YyRkZGSGHB5hD7r6ttZWXt7eDZp0BDf&#10;53Fq2ivl/WqIoexliUoMKjH85MTwIjdv++YtvbrHhtaoRdAAK4hNLGAsFlsNrx06ZeKkwwcOpj58&#10;iLGi0bSNqU1IqMRQAVRi+FCgUfj4R48enTVrVpvIKFdHZ/0qOnINL71fddhjzggXHGztwmuFDojr&#10;t2Htugd37+Xl5so6AsqDQQQyQ4qKhZo+fXqTJk2sra1NjN4Qg5KJ8hnbFoTMjx+mCrVXIoZSiIGE&#10;SgwqMfzMEcPz3G2bNveO7Rlas5a9tY2pMtKAzCiBu1FIYNDwwUO2bNh059ZtDIvStwJcWr5VgUoM&#10;FUAlhgrAVVz39iYsMn5+QX7+9WvX5s2d1zo6ukZwdSsLCz0dHXMTMwy6no6uBUbNwNDSzCIoILBH&#10;124L589POnX6+bNnxUVFsjAAnSwqKtLaI2q0cePGsWPH1q1blyoYGRoi2YIe9PTxg8inQ9t2Sxcv&#10;efQwtUx5bUIQQ0mpmISnEoNKDD8tMbx6nfssZ+vGTX169gpTiEEKDNqnr4wxBPhV69en74plicnX&#10;r0tioCVFBysPhLVpclKJoQKoxFABXr0hBjHzR7NhhUuLX+Y9y7l36zbi2LdnbyTPztZWfGtBT89I&#10;AepnYmJibm7u4eERFRVFSEHZnjx5QrFlSd4Fx2/dukWDx8fHR0REUAV9fX3yITcDAwMbG5vw8PC4&#10;uLg1a9akpaUh0FKfuerjmvpbg0oMKjF8JF69fp79bM+OnSOGDm/WqLGTvYOMFSxNzam1fhXdGsEh&#10;A/r2W/bnkssXL+GH0WhUWe5pPdmwsklVYqgAKjFUAC6Sc35QM7mVvSorKS0uKLx/+86ubdsnjhvf&#10;rFETB1s7aysrVA5iwIhj0NmbmZl5eXlhsEaOHLlnzx6KgcHSluQtKJV+ffv2bQpMfeEAtFfmI7nB&#10;0dGxadOmBBPbtm2jtZFpIC+Uie8dKjGoxPCRePW6IO/FiSNHp0/9LaZd+6oenqZGYgUahIdwwVBP&#10;H2Lo17vPkj/+vHTxoowYqLLcq8TwfqjEUAG4CGKQy6ZCDwpJFL7Iz83OOX3i5LTJU9pGtQ4OCLSx&#10;sCI+kHacuAE7bmpq6uDggLWiQTZu3EjhZaNpS/IWlEqLiCExMZFLqIKFhQW5aYnB1dW1devWM2bM&#10;oJpEHsg0kBfKxPcOlRhUYvhIvPoLR+180pmF8+b36h7r7+tnJhYkFivQGOnpG+sbVA8M6tmtx6L5&#10;C86fO5efn0+j0ZLsqbhKDO+HSgwVQBsuSFYgj7JXGY8ep1xLXrksEfekmo+vnDpNrAAkJUASNjY2&#10;qHffvn3lG87aZfK0JXkLHORfN27coL4YLApvbm4uKUFLDG3atKF2Bw8ezMjIkDItL/zuFVuBSgwq&#10;MXwkXv/1UiGGBQnzEAZ/Hz9zY1NiBbEssbJCRqCff6f2MXNmzDpzWixYSaPRkuylEsmGlU2qEkMF&#10;UImhAmiJQWGFVyWlBbl5Kdeu79y2fcSw4eG1attYWqFy4pmmiBZEuADgBhqwYcOGFPvy5ctSt7FW&#10;7GXtNJmXAwf579WrVyl/TEyMj4+PmZkZfEBukhgwYdHR0dOnT4cYMjMzqYjWin33iq1AJQaVGD4S&#10;RAz5BWdPJc2bk9CjS7dq3j5EDAgMxCDfZvCt6h3ZouWUCZNOHDuOlaPRZEuyf8tdU4mhAqjEUAG4&#10;iCvYYIXSsrxnOan3H+zevnPsqNGN6zf0cvMwV767aWkmPsoGMejr62PKMTetWrXC3Bw/fjwrK0vW&#10;SN5apmXebwEZPX/+PFdxrZubG+yCDstHSeTJkdatW0MMWDSsJ7lprdgHV+qbhEoMKjF8JEpfFRcU&#10;Xjh7jor3ie0V4FvNzAhtNLQ0NUd4TA2NPF3dGtarPyp+xOFDh7Kzs7UtyV4lhvdDJYYKwEXK9vrV&#10;6+KCorT7D86fOTt5/ISmDRs52dlbmJgZ6Ojp/PKrEEFjYxEyGBigdTVr1hw1ahTtdvfu3fz8fO3d&#10;gRREmX4L/Is2HDt2bJMmTTBYWmIAZO7u7k6/zJo168iRI1piUJpK9II2/+8XKjGoxPCRKH1VUlh0&#10;7dLllcuWD+rXPzgg0FRZs1J+Yh1icHNyjggLHzZoyMH9+yUxaJtUSwyAxlSJoQKoxFABuI5NfD6z&#10;+OmT9BNHji6avyCqRUt/H1/EDq+EzVBPzHzQ0dEhaLC3tw8ODo6NjV2zZk1KSgqFVFqoUoYbYaUN&#10;R44c2bhxY2hAEoORMldVV1eXI927d1+yZAntj3BLyZbZsv/gen17UIlBJYaPxKvXpUXFt2+kbN+8&#10;ZcyIkdUDgyADuRgGtWbv6uQcWrPWoP4D9u/bJx8ladWHJmUvjwCVGCqASgwVQLJCoVhS+9rlK38u&#10;+KNzTMfa1WughJIVTJWPj7MBc3PzgIAAzDelpTVoTwosby3v/u9ALv+JGPT09Hx8fGjbzZs3o8kq&#10;MajEoE2oxPC69FXZyxKk4siBg79PmRZWs7ZKDJ8TKjFUAGVo4UVO7r3bd/bs3EU0Wj0o2NXR2czI&#10;xEBHVy6eKlZRNTSytrZ2cnJq3rz53LlzT548mZqaSgnlfeWt3wvkskJikLNg/f39+dfBgwfv3r1L&#10;T3Eyl8jqkP8H1+vbg0oMKjF8HMTHE0vLMp+knzl1eu6s2fXCI0RNVWL4XFCJ4V0gcC8LCh/evbd3&#10;566pEye1atbCxcFJ+UCCriAGQ0EJEANH/Pz8wsPD4+PjsTjp6emUX7aAvK+E/Ak0v/8O5PItYpCz&#10;kiAGQCxC+x89ehT7lZeXJysi9/+S53cElRhUYvhIvBLrEWQ+yThz8lTCrNn160SYG5uoxPDZoBLD&#10;u3hdUvo8K/vUsRO/T53WJira38fX2sISJjDQ0UPyJDGI78raO9SvX793797yrQUahNtpbyohavXO&#10;wfJALt8iBlhBvjcHZMSAOSMWkQPa8hL2Mmclj+8YKjGoxPCRoFVevc549Pjk0eOzfp8RERYuv92m&#10;EsPngUoM7+J51rPkK1eXLV7StVPnkMAgJ3sHc2PxLTZD5dNsyBzK5mBrF+BXLbZHD6p/8eJFbieJ&#10;QZonmY+o0pvm0h58C8hlhRGDgTILlohBPkqCGMhfVoRL5LU/AFRiUInh4yAfJUEMp44dnz19JsSg&#10;jjF8TqjEIG8NZBpBuXrp8ub1GwYPGBheO9TZ3tHM2ESvio5c510Sg5WZeVUPz/oRdWfNnHn+/Hl8&#10;eVoDw0QO0tIpGf+vrchTe/At8K+3iAEdBrACe6pD+8uIoTwxkJuEzOT7hUoMKjF8HEpflrx6WfL0&#10;cfrZ00lzZ82OCA0z1lcW3FaJ4bNAJQbOkfJBgkpx4fbNW0YOG96oXv2q7h5ImM4vv6JdEAObqfhm&#10;p6mbs0ur5i0mjZuwb+9eLAvXUkj25PahLcBVbxED4QJQniRpxhiOHDlS/lGSrBf493p9F1CJQSWG&#10;j8SrvyCGJ2mPIIaEWbPr1A5FVaXfphLDZ4BKDIATuAuZp6enX7ly5bfJU5o3buJs74CFEnqljCtA&#10;CUibpam5k70DkcSYkaMO7z+QcuNGbm4ul2PgpNixlzetJDhfJQaVGFRi+GCoxPBF8TMTA/+V5wDu&#10;kp2dffr0abLt3CHG29NL71cdJMzc2EQZXRArIxEx2FlZhwQEdu/cdc2KVWn3H2BuZA4qMXwcVGJQ&#10;ieEjoRLDF8VPTgwSnEDO3Iv70g5omr2NrQgUDAwhBvhAfFLN0MjC1CzA1w879cf8BeeSzuQ9y5H1&#10;5XLEiwR5fmgLcKFKDCoxqMTwwVCJ4YviZyYGCW1dyGrAgAE0goWJGYIlnx3BDRCDYAUTMzStdWTU&#10;goS5yGLGo8eFL/IxRhRPeyPwoS2AXKrEoBKDSgwfDJUYvihUYsCgoJw7d+4cN24chsba2lq/iq40&#10;TAQNStxgZGZsUtXds1G9+hPGjD20b3/ag4f5uXllxSUiUnjz/VjRKArkTSsJLleJQSUGlRg+GCox&#10;fFH8bMQgbyTBcTKkBU6dOjVx4sQmTZp4eXnZ2NhYmZlbmJgSK8AQQsgMjc2MTFo1azF8yNAtGzfd&#10;SbmV+yyn7GWJ+GaDkj9ZIV4yeiAtb1RJcGFSUtKIESMaNWrk5uZmYmJipEASg7+//6hRow4fPoz9&#10;ksQgiy33QJPLdwuVGFRi+Ei8el1W/PJxatrZU6cTZs4Kr1W7PDEgPJIYBvbrryUGbUfTpOwBjQBU&#10;YqgAPwkxyPxJIwdkQp4ykZmZmZKSsnr1aqqPZrq6ugrTrKfPhoQRKCBh9ja2Ab5+Pbp2W796zfUr&#10;V7MzMstKSl+XIpgaYvgUUAyIYfjw4fXr13d2doYS0GH2ctlt7AVtS31v3bqFaaMKnM9V2sT3DpUY&#10;VGL4SLx6XVJYlHr/wZmTp+bMmBlWq7YYDpTLbusbID9uTi51aof17xO3f99+qTsIG9eRoEnZAxoB&#10;qMRQAX4eYpCaQJqEcjfx1sLFixfXr1+Pw167dm0uNzU1/fXXXw10dEWsoKcPMdhYWPlV9Wlcv8Gc&#10;mbMunb+Qm/O8pLCYWOEV3CC/+vlpoDBnz54dOXJkw4YNoaXyxMDe19e3b9++mzdvTk5Olp8nlLUg&#10;Ub5Zvl+oxKASw0fi9V/Iw4M7d48dOvL71GkEB1JsBDHg2OkbuDu7RoSFD+rX/8B+lRg+HD8hMQDS&#10;+fn5qampu3btwig3b94cnSFWQH/09PRM0CMlaMAHcXN2adm0+egRI/ft3pOV8VQu3fV5iYE21D5K&#10;IkqgDOwlMXh5eXXv3n3FihUQmHxhQtaC6qjEoBLDT04MJcr3GHZu2z5u1OgawSGWpubK0pZmcmhQ&#10;fKgnFGIYoBLDx+Bne5QkE0VFRSjk8ePHubBp06bYX1tbW2wx+gMIFMRzJGXpiyD/gPghww7s3Xcz&#10;+Ubhi/yyklKhe6+UpVo+EzEkJSXFx8cTMUAMZmZmYuj5zTefORITE7NgwYLTp09jPakI53MVVVCJ&#10;QSWGn/xRUnF+wZULQhgG9R8QWM1fqK2hEcIDKxD00zLhtUIHxvVTieFj8PMQA3uZCemcnBxM7ZIl&#10;S7p160atpTkmVsAWA/kQyd7G1reqd9uo6BVLl6U/elwkWKGs7GUJ3IDuKcMMKOGn2hHkkrYdM2aM&#10;5CcLCwsCFwojSwIxtGnTZubMmfRRVlYWVeB8rqIKKjGoxPBTE0NpWWHei3OnkxbNX0A7VPP2QWDY&#10;cOYEMejquTo51wuPGDpo8KGDB1Vi+GD8VMTAHjngLpgSLu/Ro0doaKiNjY12LpC0y3q/VrEwMQ0O&#10;COzWucv8OXPPJ50tzi/EQ5Hf+3xdSrzwFwzx6cRAYShVcnLyrFmziAwCAgLQXiVgEMTAHmKIjo7G&#10;YmLRsH00BedzIXsp5d87VGJQieEjATG8yD97OmnenIQeXbtJYjA2MER4xMwRQyNvT6+WzZpPHj/h&#10;+LFjKjF8MH6qR0kkioqK+Be1GzBggJ+fn6Ojo6QEOT3U3NxcrHddRdfWyrp5k6YLEuZdOnfh2dOs&#10;ksJiMT+VzMQAgxhjEMQgZiXJcn0kkFSKhGlITEyMi4urWbMmzIQOS26AorTEcPDgQZUYVGLQJlRi&#10;QAdfFhSeTzoDMcR27ebv60dNjfQMzI3FVxlw7IL8Azq2az9v9pwzp5NUYvhgfN/EsGbtoX37Tx8/&#10;kTBrdljNWjaWViGBQZ3ad1ixdNmT1DTh0WO7y1AjMR5QVvyyuKAw7f7D3dt3zp4xs2O7DraWVsoU&#10;N7lmKsZIUAJBKGwBzQwZMkQ+wKGJqK+mBF8AmIb169cPHTq0Ro0aEIOejq6p8sa1vo5uVXeP6FaR&#10;UyZO2r9n79Mn6aj9q5fiQZYcAP9EWvoWoBKDSgwfidd/Febli48xzJjZJaaTj6cXlECggOQo9GDi&#10;6+XN8T/mzT9/9pz8+qHsaBJv1V0lhgrwwxJD2iONR/9afJENYigpLMpKzzh59PiUCRPbRreuHhQs&#10;Q05DZXKbIlIGmGNrc4v69esTT6xYseLWrVuYG8SIsmlK8AVAjTZs2EB9iRjQXgM9oczIt34VHXS7&#10;SYNGI4cN37l1e8ajJ4IYlBEOQQyKCfjeoRKDSgwfiVev85/nHj14aOrESe2i23i6uePeGRsYKsSg&#10;D0lU8/Ht2b3HssVLLl64SO/TjCoxfAB+QGLoELMqcUV62uP/EUMZsvAq79nzqxcvL/tzSduoaB+v&#10;qi4OjpCBmbEJ1kcSA2lHW3t/H7+ePXvCCmfPnk1PT8dyUYAvp0XU+u7duxBDfHx87dq10V7UWJRK&#10;j/BFx9neIbxWaN9evTeuWw/VlSlfrRI1IhRWiUElhp+bGPKe5+7bvWfk8PjmjZu4OjrJMQY2iAEN&#10;CqoWMKBv3JoVK69evoJhkY0mrlOJoTL48Yihc0zHtStXQwyvSt7MKCVcKH6ZfPUaxwf1G1A9MIgz&#10;bSwsTY3EV3eQJzYzIxNbK+tg/8CoFq2wUOfPn8fWEIFyd8ToC2kRVSZ/iEG2c1hYmBjk0HyeUEy5&#10;c7Kzp7TdOndBvrGMYkKUMvStEoNKDOqjJIhh57bt/fv0rRdeBxdKKLKBoYmBEcRAOiQgcMjAQetW&#10;r7l+9RrGSjYa19Geb9VdJYYK8OMRQ5eOndavXiuI4aV4gkS4UPQiP/tpJsYlfsiwpg0be7q6YXos&#10;TM0MdPWEf6FvgBhZmpl7urrDCmNHjd6xY0dGRoaMFSiV5t5fAAgod6FG3BHrgLXSEAN+j64eQYOD&#10;rR0RcfvWbRIXL3l4974ghjLxhp2IgUpUYlCJ4acmhvzcvC0bNnXt2KlGUAiaQk2VZc3EELSxvkGN&#10;4JDRI0Zu2bgp5cYN2lM2GtfRnioxvB8/aMSwShADSvLqdVF+wf3bdy6cOTt7+ozI5i0CfKs5KZ9m&#10;gxjwLIRzYSDmPrs5OdcNCx8zYtTu7TuTk5MpiSQGbooYUTZZgM8LcqYlqfKRI0fmzp2L0spHSci3&#10;vo4uZpEgxs3JpWmjxgvnzrt/+24pxICVUMIFzWDDdw6VGFRi+EgQMeQ8X7tqdXSrSF8vb1tLKwQG&#10;PjBTVkxCqeuEhv02ZerBvfvv3b2LbHCF7Gja8626q8RQAX7IMYaVicvTHz1+jXP9+q9nmVlnTp7a&#10;uHZ9bNfuPl5Vrc0tiDf1ftVhbypiTyNrc0tXJ+fqCqOsWbHq8cM07VCVFKCPq1RlIGudnZ199uxZ&#10;qtO6dWsbGxtj5bmWXKzJwsTM1tI6rFZtWO3e7TuCGCgIxFBCrKESg0oMPzExlL16nvVsxbLEpg0b&#10;uTm7IDNIi6wvwsO+Uf0GC+bOO3PqdFpqGmLGFXJPe6rE8H78mI+S1qx9nJr2uuxVYV7+7Rsp2JG+&#10;PXsTbzrZOeCMQwkyVpDrXjjY2Ab7B/bs1mNBwtzjh48UFxRqbvblIWuNzbp169aGDRvatGljbW1t&#10;qK9voCM+KWqgLCtvY2EVWM1/2uQp927dViIGZaKqOl1VJYafhhjKV1w2CHj96nV2RuaKpYkRoWEW&#10;JqboiyAGPX1LM7FikpGeQYOIuosX/nHt0uXsrOyioqLyZoR8tHkClRgqwA8YMbSPQVwePUwte1mS&#10;8ejJsUNHRsePgBXcnFwQIBFmvpm9QNSJ5SVcaNyg4fSp0w4fOHjn5q1XL7/ei2NUTbZkamrqzp07&#10;O3bsaGtrK6dVWJiaGeoK6iLh7eE5fvSYlGvXS4qVt+okMSij0N87VGJQieG9KF9xWoOSg1dlr56k&#10;PcL0o/jUkSAbxcGXEgmEx8CoSYOGiYuXJl+9lvPsmbY9JchHmydQiaEC/HjE0LF9h+VLlqbef/Ak&#10;Ne3Anr0JM2dHtWgpKEF8eEcHa4sYITpsHHR1dKoXHjFkwMC9u3anP3r84nluWbF4HPl1gFmkJalg&#10;VlbWkSNHYmNj7ezsjCQxmJhKYjA1NHJxcBw2aPC500mFL/JLKV6ZcJfUWUkqMfw8j5KUnhHVZ0/J&#10;ERsie9y4Wb9PDw4IRLVl9C+CbOXNJPYtmzZbv3rNgzt381+8QDZUYvgw/JhjDMsSEZqkEycnjhvf&#10;vnXb6kHBWBm9X3XYsDimhuIbTxhfzifeHDZoyOrlK25eT35ZWITZFUtffC1IYqDimC1asm/fvhAD&#10;amygIxwfZW9MyR1t7eN69T6wd5/80LQYY4Aa1FlJKjH8NMSgbQdZ96KiIiThwpmzRNLVvH2M9MR7&#10;SObiq4tifE7SQ+tWkTu2bMt+mlny5sPsMqt3oRJDBfjxiCGmXfuF8+afPn5y/Zq1MW3b+1X1cbC1&#10;M9Y3EOMK+gboCUJD2srM3NvDC/uyevnKC2fOPX38pPRl6WvFGdfc7MtD21zU6/Lly0OHDnVzczM1&#10;MkGfFSarQmnZIAaM48a1627fSMnNfiaIoey1OvisEsPPQwyUVltg6k5vpt5/cHDv/sEDBlb18IQY&#10;kBaIwdzYBOFBbNDuzh1iDh84WPAiX4TXCuTl70Ilhgrw4xFDm6joEcOGL5g7b+zI0RGh4dYWlgiN&#10;HFpgE4PPhkYWJqa+XlWbNWo8ecLEM6dOZzx68iInt0z64F/RMiDr1JoE9hHrNmnSpOrVqzva2Svs&#10;Zaz7y694QNCYvY1tx3btl/25+NK58/JjQRCYZlG/7xwqMajEUBlQWq1tQWawWinXr29ev7F3j1gv&#10;N3dlfqqYiYTMWJqaW5iaebi49u8bh2oXFRS+V01UYqgAPx4xtGreIqZtuy4dOzVv3NTTzZ3QEkGx&#10;tbIWg7rK6hdIj4ONbb3wOn179k5cvDT13v2XBYUlhUWvSl+9Li0TD/G/FmhGWXHq+ODBg4SEhKZN&#10;m/pWFZOyLUzMdH75VRaYn20io6G6pBMniWwEMZSqxKASw89LDDk5OZcvXFy9fEW3Tp0hBkRFDDMY&#10;Ghno6KLs9ta2wf4BY0aMvHT+gphkWJFIlIdKDBXgxyCGubPn1AkNs7GwIg6oVyeiQUTd6kHBVd09&#10;oQoDXT1DXX3CTORGTFRViMHJzr5GUEhk85Z/LvwDa5uVnlFaVCyeI5W+KsovoHYIInt5UwqmTX9e&#10;kLO8EXsMBPXt0KFDYEAAxdbX0RUekIEhsm5nbUNwM3bkqG2btmAfxeCzKGrZeyX+24dKDCoxvBdU&#10;lkaQtkXqS2Zm5tFDh2f+Ph2HCecPOREzDJVHAsosPq8mDRtNGDP2ysVLpfhP73s4rBJDBfiuiWHd&#10;2rWH9x84feLk3FlziBgsTEw9Xd1qBIfgdLs6ORMlyMlIygMZ8bAeuZFfdzI3NnFzcg6s5h/Xq8/S&#10;RYsvnj3/LDMLGRKPI19pKghkqTT3/jKQgg5SU1NXrFgRGxtbq0ZNOytr+ECRdWMDHT1+1g0L79e7&#10;z8rE5fdv39G8wSC37xwqMajE8F5QVFllmgKB4SdduWPrNlylpg0buzg4CmVRtNtIz8DSzDyomn+H&#10;Nm1n/T7jxtVrlQmsVWKoAD8CMSiPkkJr1MSSeri41gqpXj0wCKOPK4HrDQfgd2NoCBrE6/LKZGc5&#10;aZX/ElsMjOufuHjpiSNHH9y5W5D7orREyB+FYY8IyjTQlOBzQ94CUPHNmzcPHz68Qb36jnb2yLpm&#10;Bp6Ono2FZZB/QNuo6ISZs29eT1beY8Bm0HCaTL5fqMSgEsN7QQvIKpOQxECvLV+6rHePnjWDq9tZ&#10;2ehX0UVaUG3qCzHgIw7oG7d8ydI7KTcVYnhPn6rEUAG+80dJaw7t23/q2HEsJtJgZW5BrNC4QcNu&#10;nbv07dW7dWSUX1VvMfhsYKQwgQmbfDMAGZKRBHFDndqh3Tp1njxh4sZ1669fvpKb/QwTw720UkjB&#10;SMsCfHbIinOX9PT0vXv3Yq0iW7ZEpfV1hKzDZJQcWfdy92hYt97EceOvXros19ETe5UYVGL4aSIG&#10;RIW06KHXrx88eDA/YW7bqNZykRtBDMrbP9SXn2jKuFFjNm/Y+PDuPZUYPhLfOzEc2LPvxNFjEAP2&#10;HSMSEhDUNrr1pHHjE5csnT51WutWUWLVPDt7MRnJQMxNwtYgQ4IexGtuYhVG4oZq3j7NmzSNHzps&#10;y4aNt5JvUIaioiLqiESy575fWouoY2Zm5smTJxcsWNAppqO3hxfEIKMcQz0R3KD/RELDBw85n3Tm&#10;dUmZGGNQp6uqxPAzEYN01wDpu3fv/jZlWqP6DZztHXGbxHRVhRgQGDtrm1bNms+ZMevg3v1PUtNU&#10;YvhI/BjEMHvGzPBaghiqBwbHtGs/d/YcDh49eGjenIQBcf2Upbbdba2sxYIqYpUkMf6sEIOhCCOM&#10;TRAmbw/PeuF14nr3mTtr9p49e1JSUrKzsymP1J8vpEWy1iSoY15eXnJyMg0e16evv4+vWF1VLoyh&#10;py/Zy9eraq/uPY4fPqJ8gLpUnZWkEsNPQgxKt2iIgdagca5evTpyeHxIYBAKYm4sPqlCNYXMGBg6&#10;2tl3bN9hzYpVl86dz8nMUuZovKdPVWKoAN85Maw9uFchhukza9eoaWtpFVRNfAF85bJElOTZ06zr&#10;V67u2r5jzIhRdcPr+FX1drZ3UIYc5Fi0SGB62BAvGwtL6MHP26dJg0bjxo2j4leuXKEw3JGCab2V&#10;zwuUk8xJsMdEcrsjR44MHzos0M8fYhArgpniDYn1/ig2hW/fpu2+XXvEQEiR8ob2VzViXwQqMajE&#10;UBlQZa0mYrKIrfHhPF3d9KroCHU2MoYelMkaYv2Y3rE99+/e8/DuvcIX+a9LxWQSTS7/AJUYKsD3&#10;TgxyjGHOzFmhNWriVgcHBHbqEPPmC26l2NBbyTc2rdswfeq0bp26NK7fIMDXz8nOQY5TSUkSLrlc&#10;UM/QyMrcws3JOTo6etCgQUuWLDl+/DgFoImkBceKycLwU1o0WaqPhlJpAdqTquXm5l66dGnyxEnB&#10;/oE6v/yKcYQPxCQ8MUfb2NrcolmjxmtXrb5781Zu9jP1ewwqMfxUg89yX1RUhEpu3bq1bes2bs4u&#10;+lV0iKchBrRYbLp6Xm7uw4cMvXz+QtGL/LLilzTIe9cyUImhAvwAxPDWC26dYzquXr7iSWqakImy&#10;1wV5+XdSbp5POrth7brRI0ZiWzH9+OM6//cLNheDa6RnIIhBGXLABFubW9rb2wcHB3fp0mXWrFnc&#10;izKgRVSZPYWkGCQ+rqbvQuZJ5phITBv3SlDeycAs4gQpxCDm4bFZmJhFhIXPnTUHInz8MFVM0P4M&#10;9/+PoRKDSgzvhWwBao20yI+XYHNaNmvu6uRsIIbiBDGIqYaaTz37Txg7LuXa9VcvS8SmNMi/QyWG&#10;CvBDEsOaFSsxnWXKewlCLF7/VVL88sbVa4QOo+JHRDZvUc3H18HWzs7KBpEyUiIGc+WNByyRmZHJ&#10;L7/8YmJigq7SJhMmTNi2bdutW7fS0tKoMoVEo4BsBH5qSvZR4HLZYhJkmJGRsXL5iqiWrVwcnWyt&#10;rNFquEoSA0IfEhA0Yujw9WvW3rh2XbzS+Uk3/yagEoNKDO8FLUCV2WMfaK4dO3bQSvUj6jra2hno&#10;iK/zimfCegZ4USh1vToRc2bOenDnrlggADVVieHj8OMRw5tvPj8SxKB8uoA9/jUxBNxwaP+BxX8s&#10;6t+nb2iNWo529lZm5lgfNvnQRnofRkaED8Z2dnaoa+PGjePi4ggd9u/f/+DBAwqAAZJKJY2aLNjH&#10;gcvJSqm6aFX2OTk5WzZtiu3aDcfH2d4R44iJpEiUDWLw9/Ht0aXb3NlzLpw9V5SvEoNKDD/L4LPc&#10;Y3OSk5OXLVvWt2/fGsEh4j1QXT0x21C8qCRWjqnq4YlTlbh4yaOHaUI7xKzu93+2RCWGCvBDRgzr&#10;Vq3OePxETEhQiEEwRElpSVExXvazp1nXLl1ZvWIlSlUrpIaPpxfiJS0voQOKJOIGIyMDAwOCBisr&#10;KwcHB39//0aNGqFOu3btun37NsGsdjIrZdaU7GNBPrLu0q5BDPv37h05bHiDuvU8Xd0JF5B4C2U9&#10;D4jBx6tqZIuWY0eOOnnseOGLApUYVGL4SQafAbVG7y5evDhz5sw2bdr4VvW2NDOngoo/J6TF2d6h&#10;do2avWN7bt24+emTdMEKNJjc/hUqMVSAH48YOnWIWb18RcajxxrJgBreMAShw8uCwuyMzBvXrm/d&#10;tPm3KVO7xHSMCA3zcHG1trDEBCuTRA30FRA0mJqaQg+2trZoVGRk5JAhQ5YvX56UlIQ1wdDQCJRZ&#10;U7KPApfLTNhTNRK5ublnTyfNmz2nY7v2gX7+gq4UYpBTL9ycnGtVr9GjS9e9u3bn5714r8R/+1CJ&#10;QSWGSoJaYx8wVvHx8aGhoS6OTqJquuKbPGguaQ9Xt+iWrSZPmHji6LHcZzma90ClEfhXqMRQAX5I&#10;YliVuDw97ZE2YtBuHCkpLIIbigoKn6SmnT11+s+FfwyM69cgoq6Xm7uVuYWwRwZGaBGAGAgddHV1&#10;2dvZ2Tk7O9M43bp1o1SHDx8mdKC0lFlTso8CzYh+kgkJ2bz5+fk3b6SsX72WUoXWEN8sxDgSKygP&#10;Ug1tLCzRhyYNG21ctz4357lKDCox/CTEQCNQa4wVUTs66ObmhrKjFIbiY21i2oi5sYm3hxcNsuzP&#10;JclXrhYRT0MMqL+0AP8KlRgqQOWJAZslu0eRVTEQhKbhPi9atAhiQD8x2Qg0/9JkXTlwvjSOgDwh&#10;m/Pnz5Pb4MGDFy5c+F5i2L9v/4njJ2bPml2rZi0rS6ugwKCOMTErV6x4/OgR+VJW1EgUCdnAdQBU&#10;QalFWWnpi7y806dOrVu7dtTIkVGRUSEhIY4ODgb6Bjq/VME9NzY00ocVlNekDXR19aro2FhZ1wgO&#10;6RTTccqkSds2b7l25cqTtEfKXOkysSGCyl3EhixKiZRpoa6k3oYozxvQCADrlnr/wYkjR2dM+612&#10;9ZpioqqyYpL0icQDJSNjjs+dPedOys38vDwMa/l8yrfVdwGVGFRieC9kI+CJ0lmrV69u3ry5tbU1&#10;sTyOm76evgnKoU+wrx8YEDByxIi9e/Y+Snv0Iu8FFZTKTntpMvoHqMRQAT6UGLgEuSShJQY0s1+/&#10;fpIYUE55TuXB+aILFeTl5UEM3IvciBigHIhBKrw8+W1iWLt2//79J06coPy1atWysrIKCgrq2LHj&#10;ypUrKRs5ywv/qUgcz87Ovnv3LpVNSEiIjY0NDg4Wowti9qoJVslAR0/aZd1fq2CqLM3MHW3tfbyq&#10;Nqhbr09sr98mT006cerRw1SikNclpSJA4W5yUwKU/xGDSIiS/BMop2wHFD77aeb1K1cX/7EoQpm0&#10;SgHYS59IzFAyMAyqFjBhzLhTx048Sk2jF7hc24AqMVTY17SPSgzfOzFkZGTQMnPmzKlTp46FhQVx&#10;PIASTExMqB3pmjVrTp069cyZMzk5OTKalxdqcvlnqMRQAT70URKgxZEqeAJNu3jx4uLFi7lkwYIF&#10;WFjOqUxPaEFWElyFjZDEQMRAnvHx8RDD7du3JdnIbD8vMUigY8jcqVOnuB1RKi3g6+VtY2GFLVZe&#10;kBZ2WQ5wGekZyLfhoIda1WtEt4ycPydh/+49927fyX2WU1xQKEa5lZcnFD5gK0cP/2pwZAvQqqCk&#10;uDj90eMNa9Y1b9zUxsLSTHlVm5uKhPKyW1UPz749e29Ys/bSxYuYVHmh0oqiXzQ5fidQiUElhsoA&#10;Oblx4wbmaPjw4WiosRIlUCk9PT3SZmZm6H5ERATCcOvWLSSB87mKpqtMNVViqACVJwbZ1gilbG5J&#10;DFeuXMFAEzHMnz8f776oqOiDBI6spLiz50L5KIl7QQxIAHlCDEIzlM90cNqXIAbuSyOgn2fPnt2w&#10;YcOMGTM6tG0X6FfN2sLSyswcvcIok/gfMegb8C+sc82Q6m2jWo8YNnzNSrEwS+aT9OL8grLil69L&#10;lWdK3BNzrXxUR8MN/wzKCZSKEvy+zs15vmfnrs4xHT1d3biXeK6lsBQJ9m5OLm0io2b+Pv3g/gOZ&#10;mZmaqxTQSuw1mX4PUIlBJYbKgM4lFCCs79KlCw1FdSAGogRdXV3SKL6rq2vz5s1Xr16dlpZG1bTE&#10;oG29f4FKDBXgo4mhsLAQbbxw4cK8efNwtLGn6CcHK9MTWnByeXGHGPALuDXxB8QgoxB52pcjBqlm&#10;UBrxCmaCeAWl6twhBn2Ts5Vw2C1MzFAw8RKyskQrZgv/HbYgtqhTO6xPbM9lfy4+c/J02v2HudnP&#10;xMfgJBNwf82n1t5DDIBiaJGf++LE0WMjhg4jc3dnVwsTU/F6tvJCA/fFVtYJDRvcf+D6NWupJn2h&#10;uUypyAe1/38OlRhUYngvqC8NcvDgwREjRlB+d3d3qmNgYECsoKOjQ9rR0TE4OBgrtG3bNiSBqnG+&#10;vFDbev8ClRgqQOWJAcXjfNnWgJ/oMzQ+depUemvYsGFJSUk5OTlSzSoJ8iFDQF+CjIyMPXv2ECig&#10;tGgIdh/+l6fxXxJfghjKA25AUY8dOpy4ZOnQQYNbNm0e7B/gZOdgbmyq8IHYxIN+5VVkU0MjOytr&#10;Z3uHWiHVu3Xq8vuUads2bb507gKhQ1F+gWYs+l8fJcm6A81vidd/FRUUXrt8ZeHceZ3adwjyD7Ay&#10;szDUFZGKmZEJJIHdrOru2bpVZMLs2TJwlnxAPrRS5Sv7LUAlBpUY3gvZfUTzHTp0gACgAaoDTExM&#10;IAbiBl9f38jIyEmTJh0/fhyDxvn4eVxIQ2lb71+gEkMFqDwxlG9rKZq5ubmXL1+GGEJDQzHH0DVW&#10;WztGXRkIqVdGFwg1QEpKCvFHXFzc4MGDKdLhw4dReG7E7QDnfwli4L/cAsiSwA1Yn/u37+zevmPy&#10;+AmYZuy+WLJbeZlAvASnDDMoxGBsbmzCcXtrGx9Pr3rhdQbG9VuZuPzKhUuPU9PEt6NLy16VlLHX&#10;kMQ7kPUCmt8Sr/8qe1mSdv8BNAM5hdcOtTa3EK/+K+PPSvSgD1XUrlFz1IiR9AsNTtNJC4tK/Htl&#10;vzWoxKASw3tBz2ZnZy9cuBA74+DgQEXKE4OpqSm6j9HAal27dg0zRftwCReSoPXe26cqMVSAD4oY&#10;aGItaHG0Go8ezYyOju7UqdOMGTN27dp19+5d7BQnaG6gAClElNm/dZwcOAgINbD4e/fuHTlyJJad&#10;m27fvh2eoHiKanzBiEHWRXuy+Flalv8871Zyyt6du+fMnNWja7eI0DA/bx8IAOuMjdb7tYqeWNZR&#10;LNFqoLx7aWVm7urkXD+ibv++cUsW/bln566b15Nf5Dx/VVKqGWZ4k7kEt6NG8qZAKcgbvP7rZWER&#10;YQcEg7YTtdhYWukqM2i5EbaS8AVu8HRz79c3bseOHQ8ePJBDOzIroMnne4BKDCoxvAVZX23FMSYY&#10;gfPnz48bN87f3x8yMDMzMzAQNTI2Nv7ll19IR0REIDxHjhyhi6UuyGtpKBLv7VOVGCpA5YkBWSzf&#10;xKQBTH706NGEhIRBgwZ17tx5xIgRXIieSzsluweQ4Ij2oIQ2E9Kox549e2bOnNm9e/cuXbrMnTv3&#10;0qVL5CPDFO35X4IY3sVrZRWNgty8J6mPzp1OWpW4nNChUf0GVd098NnhBuwym5mx+MiPMoXUSG6O&#10;tvbVA4OiW0UOHzJ08/qN927dxsSLWEE8TRIlkfUtD3nHv+H1X8WFRc+znhF2bNu0pXOHjk72Dvry&#10;c+fiG6V6VgQQunoc7NKp85IlS9AZOpHe+dBqfgtQiUElhrcg68teljA3Nxdfc/PmzcQENBEVMTc3&#10;hwyAkZEREQP00LRp02XLllEpFAGLITtUQunS9/SpSgwV4BOJITMzE8k+ffr0rFmzoqKiOnTokJiY&#10;eOPGjaysLBRVMoE8mZ5WrvgfMZDGLnAamUi7ALsMGDBg0qRJRB6oOufIHCTI5ysRg/x2JleXvXrx&#10;PDflevLRg4dGx49sExUd4FcNi2xtbik+/SY+9SM+KIgVgy10f62iX0XH2txChA516o4YOmzj2nWX&#10;z194/DDteVZ2cVERla1USV7/VfqypKSwOD837+TRY4P7D/Sr6iNISJkfZaRnYGlmDk/YWds0bdxk&#10;7NixBA2pqak044dW81uASgwqMbwFbcWl7iMbGChcxtatW9Nx8AERA9WRs5JgBQ527doVLUAGYAVt&#10;00mIHn1fn6rEUAE+kRjoBij9zp0727dvx0j169ePiG/FihVJSUkcl+cAulkm6LPygl5QUJCeno7P&#10;u2jRIjwCLl+4cOHBgwflmConaC8EXPJ1iAED9KqkTMw3xUYXv8zKeHr31u1Tx46vTFw+ZOCgxvUb&#10;iPUzxJdmxVdCldVajC1NzdmLMMLImLjB29MrIiy8c0zHqZMm79q+42byjazMzPz8fOwg+cvqaIv3&#10;FgQniQdQaH/ZjavXf586rX5EXcgGPlDGn8XEJAMdXe4Y6O8fExNDi8HE5b2k7wgqMajE8BboR/ay&#10;4hQyIyNjzZo1WIbQ0FA7OzvJB1RHMoSDgwOKP2LECIwA+sX5tIy2xSoJlRgqwCcSA33AHg64du3a&#10;hg0bYIVu3brh9WOacWPpJ3mCvET2tPzJHqPA3ZHR9evXQyqxsbEjR46E+eWXD7gdkOLLyfKqr0MM&#10;qJbYlAlFmOmSouKCvBe52Tl3b97asXXbmBEjWzRp6uft42hnb2tpJd5MNjAUH541MNL7tYruL1XE&#10;TxNTGwsrbw/PVs1aTJs8Ze+u3VevXMEGYZ5kYShY+ZYpD/ExQkkMr16nPXi4esXKHl271a5ew8HG&#10;FmJQFtQTYxskHO0dwsLCxowZc+bMGWkWK8zwW4ZKDCoxvAVJDNSRihMB3L59m3ChZcuWXl5eNjY2&#10;EAOUIN9u42dAQECHDh3mzZt35coVjIZsrg/tRJUYKsAnEgO9KDsjKyvr7NmzS5YsGThwIJEdlxw/&#10;fhxVLD8QzWmSGEgg+tnZ2Qgo7kB8fDxcMnHiRAw6R+S4AiaDzOX5Ehz8OsQgxoqVEWO5yfmmLwuK&#10;8p/n3bl5a/f2HbN+n967Ryyhg5uTi5mRCXwgpyoRQEirLbkB2vDxqtqiabNB/QYQEu3ZswcTlpeX&#10;R0tqy1YBKG2pUoDSV8+eZh3efxBqaRvd2t3ZFXNJoED+CkOYmZma0mVdunTZtm0bjhXtJiOS7wgq&#10;MajE8BYkMVBrGiE9PR3rNHToUOwS2k0VYAU9PT1JD46Ojo0aNRo1apScD8n5MocPhUoMFeDTHyXR&#10;hTKBcpIVJ6N7cm1U9BD3X2sHAeIIMAewAvqMrcThjYqKGjRo0ObNm69evUp55MmcRgKQ4Ke8KXf5&#10;OmMM/yMGNE1Zv7fsZUlZcQmhw5O0R5cvXFy9fIV8rOTjWdXSzFxMGVLegDNXnvOgjVhwOTrtbO8Q&#10;7B/YoX17wqnt27fjAVFHSajaev0NHKO81P5laf7z3KuXLq9Zsap/3zgfTy9spZWZub74ADoMYUZE&#10;bWtri27Mnz8fjwktgoY1mXwnUIlBJYa3ILuDfU5ODuVExzt37mxvby9npsIHurq6EAOgHxEYhD8p&#10;KSkzM/OjvSKVGCrAJxKDBP9CzpDmO8p3uqdOnQrJY+sTEhJOnjxJnxUUFEgTgJSTyM/Pxz7u3LmT&#10;+3Jmv379SNC7GAj+yzkyW3kX+VPeVEsMhCZg9erVX+RRkvaVNDblgZJ2gyoIZLIzs86eObtm1epx&#10;Y8f26N49LDTMxdnZwtzc1NjE2NDIQE/fQN/AxIgfJoYGBsbEvFbWAdWqtWrRctzoMRvWrTuXdCbt&#10;YWp+3otS8U3aUmUro5TyjqLmAEYsEeu/Pnn0+NjRYxPGja9VsyYhAtkaGxkZGhiyJ2crC4taNWqM&#10;GB6/Y9u2lOvJL3LzNGV+E+goxSb9gS3wtaASg0oM5YHMU9/Xr16/LCrGAzty6NBvU6c1adjI1tpG&#10;D3/I0Ii66OvqCtkwMsJexcXF7d27l06Ugbgmlw+ESgwV4EOJoULIfyFqcm6ZjAOQ8t69e69fvx69&#10;hRuQdc7BEBQVFeELYM3xoDt16gR/LFy48PDhw6mpqZIVyEfJ9W1QWjJBkch/mYIvNcZQEchKlo09&#10;xcA9T0lJoekow8CBA2vUqGFjYyMXegQy2jU2xnSLNEJsbWHp6eZeNyw8tmv32dNnHj5w8PHDtJeF&#10;RWiyNjQRQQlUQVoBN6KtwK1bt+bNm9ekSRPiAzLkLuQpslXiBn9fv07tO8ydNSfpxMnc7BxBBnIl&#10;ei0xKE/GNNX4xqASg0oM5fHqZQnlRx0K817cSr4hY+WaIdXtrG0M9fQRCWJlY30D4mZbG9uQkJAJ&#10;EyYQK9O5clRSk8sHQiWGCvDpxEAmWlNOAplG2RYvXtymTRvsPtqOg48gwg2wOrdDPy9durR8+fLY&#10;2FgMgXyRHdOgzeRfQOZEDPgIiYmJ5ADrfE1ioAW0AQ2l5ScMh1WCGwh6sDU+Pj6Ojo4EvDLULU8M&#10;hmL4QdCDX1XvtlHRM3+ffmj/AXz8jMdPSoqKMd+SG+SYs/aOwiooa4Nv2LChe/fumA8LCwuyJU/y&#10;R+HNjE3Q/9rVa8T16r17x85nTzMVMmBTQhyRfhPufJNQiUElhvIQc8QJGl6W5GY/O3X8xOTxE1s0&#10;bebjVdXC1EzWxVRZikasNeDt3bJly0WLFtGD1KV8Q30oVGKoAJUnhn+RJLoESUUzAQm09NSpU3j0&#10;xARYf2KCjRs3Xrhw4cGDBzja0MD06dM5OGLECGzBtm3b0tLSMBAoA5drcnwHKAN3wX0mItm1a9eS&#10;JUuWLl26Zs2ar08M5dshPz9fDpbAVXPnzsV2i6/9ODrKlzMlMWDBIQbMnJmRibW5BZocWM0/snmL&#10;/n3i/pi34NC+/WkPHpYVvxS2W7j53Ol/RMsd2XMXGo1eaNWqlaurq4xLBNkoS67aWlmjJw3r1V+5&#10;bHl62uNXL0vLLe+qeTwltm8SKjGoxPA3vP6rtKi4pLAoK+Ppji3bunbq7OPp5WTngFNloKsnP0kC&#10;MTja2oeFhcXFxclV85R+E9Bk8oFQiaECVJ4YpLP8FqQJIx/2Wrspw4Lk5GTywVYSOqDzO3fuPH36&#10;dFJSEoTRt29f9DMhIQHNvHHjRm5uLppQUFAg9UGT9TvgLii/fJT0ZccYKgIFk1DKIkZKKC35c4Qw&#10;Fum8ePHiggULMG2ILBpIYbDgsIKOjg57xBrhtjK3sDa3tLG0cnF0InTo0aXrvNlzjh0+Ajc8z35G&#10;+FwqGEJkzi3IXBo78keTIVfYlA4iIkHPgT55GhqZ40Xp6Qf4Vvt9ytSrFy89e5pVnF9I/AHTiJFz&#10;GkCNGFRi+H6I4WVBUV7O89s3Uv5c+Efj+g3MTUytzMyRcOqCG8QePfJwccWqUBFMClG7bBmpmzKb&#10;D4JKDBXgEx8lSSaQ4qs5pIDjGRkZ5IytnDRpEiHCnDlzZsyYgQ4g+hMmTOA49j0lJYV+Ld+d72al&#10;BcdRfsIO9DlRwbp1674aMVD98vmQpuLaUsFqhA5ERStWrIiPj8fA0ZIODg4EDRCDrq4uxGCsOPiI&#10;NQlLM3MXVDo4pG1U9KRx4zev33DhzNn0tEcvCwqJprELsvCyzcmf6sCps2bNqlOnDuEI4QJko6ej&#10;K96iMDQy1NX3cHHr07PXhjVrsZtwQ1lJqZYYRHhO4puESgwqMfwNr//CPbp76/bObdtHDBuOgog5&#10;fsi4rh7cgLQjGDYW4tPuI0eM2Lp1K61Hz8oelIZIZvNBUImhAlSeGPKVVTzfAgaR43l5eXQPPxHo&#10;oqIijpAg59u3b586dQpXlxwGDhzYuXNn7jJgwIB58+bJgQfIQ54sc+NamaH8+S6ILeASgo+lS5d+&#10;ZWKQuQESMs1B+RO5xCoBGiEtLQ1zgwWPiYmpXr26HHKAHsQn2IyMxetpwo6LFx2sLSzZ3JxcIsLC&#10;+/bshWKfPn4i49Fj2oJ8pJmTsk7+HElNTV2/fn1UVJS9vb0caVAeJQmaYe9kZ9+4QcNxo0Zv37z1&#10;0YPUEvls6g0xvIInvkmoxKASw9/w+q+8ZznHjxz9bfLUtlGtiaohBpQFvwphsDAxYyNcaNqo8ZLF&#10;i69du4ZNoK2QIi5VieFzokJiwO1Fhc6fP79hw4YRI0aMGzdu165dyQrojCtvcPXq1Rs3biBkJAAJ&#10;TmB/+fJlElhwPOjDhw+vWbMGJezTp0+nTp3gBrmk9ubNmwkDuYozyUSbA/kDEhWCnI8ePUqpIIbF&#10;ixdDYF+NGCTIUGjqm5y10B5HRolpqDURUt++fZs2berr62tjY0NEjEzLh6RIub6OLh4Qsm5ubOrq&#10;5BwRGh7brfvsGTN3b9957cpV+e43gk5u2mxh3yNHjkCrtWvXdnd3Nzc3N1aW/oZyyNnG0sq3qne7&#10;1m0SZs2+evFS7rMcggY52KAQgxoxqMTwbREDtZBV09aRHiwqKHyS9mjjuvXdOnUJCQgkqkYGRBUU&#10;ZUHOHW3tateo2at7LBYpPT1dZiJ7UCWGz4kKiWH58uXYIMw6Lmp8fPyQIUMWLFiwdu1aDDF+OhYZ&#10;LFmyZNmyZeI1s3fAcU4jExILFy6cPn36xIkThw0bNmjQILKCafjJHRctWqS5oBIgQ8w9eXLr+fPn&#10;E3NwOQT2lYmhMsAGPXr0iNbbsWPHzJkzO3To4OPjg+GWgwHS90HW+QlbyBFpuCHAr1qzRo379+mb&#10;uGwZpgFLJ70hKfqSJNDnuXPn9ujRg1gEYjA0MCArRfnFEnvkUzM4ZPCAgft27b53605B3osyZfKf&#10;CB3U6aoqMXyrxEBJZGHoo8wn6VcvXcZDqlcnwtHW3trcEkcKSWDDAUIwfL28O7RtRzxx+tQpxEbm&#10;Iy8nt4/rPpUYKkCFxIBhxedFQDdu3Agx9O7dm6ABa85+9OjRWHYwcuTIUaNGDa8IcIAWXM7J8irS&#10;8iDn8JPL2ctL3guu5Y5jx47lKtITJkyAcr7mewyVB0qLkSpQ1gekbPAi9q5WjZpV3T0tTcXSe1g9&#10;U2VGNtxAArbgiJmxiYuDU+3qNfv36/fnn39CzHfv3s3JycF0AvKkLvANtgwD2rBhQwsLC7GQmI6u&#10;3q86JgYiE/0qunhY0S0j/5g3/+Sx4xmPHpcoi36rYwwYDpUYvkFikGVgLxPYohvXrm/fsjWuVx9v&#10;D080gggbBdGvokOaDZ6oExo2btToLRs2pdy4gYqVz4cEIPGhUImhAlRIDEQGqNDZs2c3bdqE7e7c&#10;uTPcMGDAAP7Vt29f0hJ9+vThZ9w7QPd69uyJYwtIcA7Xcn5sbCz/0l7Vr18/eX5lwOVcS4JMYmJi&#10;+InB/fqPkioDKeiYPFz+tLS048ePE9mMjI9vF926mo+vtYUluirEXXl4Kl1+fuL121pZe3t41a5Z&#10;Kzo6Giql8VFgyQ0YAkBnyYVsiULs7OxMTcTHIQx0hPKbGhrDEJjUGsEhA/rGrV256nbKTfGGhPoo&#10;SSWGb5UY6H0SQluUwmRmZu7euXPqpMkN6tazsbBCtik8To/uL1WszCxwqmwtraNatlq5bPn1y1c5&#10;WV5FPjLx0VCJoQL8EzEcPHjwzJkzRAx465ghuKFr167sO/0dHOxWEborkGnOkZA/u3TpwoXkiRXA&#10;iMuD7wVXkQNM0759+6ZNm3ItocPixYu/QWLgplJY0V6sFS1MYTat3zBhzNioFi2Dqvl7uLg62tlb&#10;mVsQMSD3bHJQWq+KjqGuvrmpGZarfv36hFarV6++cOECVi8vLw9jQYaQzaVLl4YOHern52dva0cO&#10;Bii/+OSnGdED9IA5aFy/wdSJk86dPlOsfHoaY6FGDCoxfIPEQJeRkHWUb/jP+n16x3btCReQAaQa&#10;1ZCek721jYONrZe7R+8ePQ/u3ffsaeZL5SmrzIe6aBvnI6ASQwWokBgwrBBDUlLS+vXrMU946Pjp&#10;eOv4+IATgEwD+bM8ZExAgkABcI42RJAnkBBRgAJ55L2QOZAbJYEbYB0UOzEx8RskBkXOBUhTAGnN&#10;b95IObB339zZc+J692neuEmAr5+dlbX8HpwYPUYNjIwJmfWr6BobGVMR+qJRo0bUetasWTt37rx2&#10;7Ro9hQKQLVHIwoULIyMjA/wDbCyt5KCFDEHISoxCe1WN7dZ98/oNqffuF+bli3cj1DEGlRi+VWKg&#10;JAUFBXTEgQMH+vTsVat6DVtLK2RAioHcHG3t/X18WzRp+tuUqRfPnS8qEGs2A5mPFkrGHwyVGCpA&#10;hcSwfPlySQzr1q3DOcVbHzRokBxUGD169BgFJOTPdxGvYIQyDqEFPyW0mYwbN27s2LHykvdC5sC1&#10;Q4YMgSHYYzEhgG/zUZKizuLu7PmJAhTnFz7LzEq+em37lq2Tx0+IbhXp5+3jYGuHp2+iTCuS3EDo&#10;YIY+GBtbWFi4urr6+/s3adKExl+xYgXckJOTg4HLyMjYs2cPbdKqRUsPFzdhQJXlviUxkBWU06h+&#10;g9+nTjt+5CjcUJD3AmPxbUIlBvVREh2Xnp6OtVmwYEFk85buzq70Oz4T0bChnj4eDz+JsBvWqz9i&#10;2PAtGzfdv33nZdHf+lqmte3zoVCJoQL8EzGgQmfPniViGD58eNeuXTk4ePBgzDE8oYX8qQwnVwB5&#10;jgQ/lSFkMS6tOaRAObFS0J5MSQgaiDmQby0xQBI1a9ZE9Cn/f04MElJY/3frslelL0tyn+XcSrm5&#10;e+euqVOmdO3cJSI83MPN3VxZM9XE0NhAX9/IwJBNX1fP0MDAwszcytKKE+rXqzdowMAVictPnjhx&#10;MyXlUVrapYsXV65YOaBf/+CAQBF2CD4wNdQVU/rMjMRjpSD/gB5duv65YOH5pDPcVAwzKCWhVOUh&#10;i/YfQiWGn4IYKPg7GzJZJkr7urCg8Mb15NWrVg0eOKh29Rp21jYEwfQ+G8Qgx59hi07tOyxbvOTC&#10;2XOZT9JRJRqhfMuQ/ui+U4mhAlRIDPinR44cOX/+/MaNG/HT5fP9nj17olT/LaCETp06RUZGdujQ&#10;YcKECXIs5OTJk5IY8LK/HWJ4FxSjsLAQI3j37t3Dhw/DvjQ1FsoZU2hpqV3owlTRBCV6MDM1NDY3&#10;MXV1dK4ZXL1DGzFLb9+u3Xdv3iYOOH3i5OwZMxs3aGhvbWsqPv9ghhaxoU5wg5uTS2iNmnG9+mzb&#10;tOVJ6qOXReIlIKk/gIRMa0r230Elhp+ZGF6XlL0qKaVPD+0/ED90WKN69d2cnMV6ecpHc+l9Njwe&#10;e2ubGkEhI4YOO7Rv/+OHqQW5eeLFfjL5TFCJoQL8CzEgoBs2bIiPj+/cubMcMf5vgcVv3759q1at&#10;MAdww6hRo+Qjr++IGNBGAD08efIE5aT8xEDUKCgoyMnJydyc4IHwwUSoBCYeddbV16uig923MrPw&#10;cvNoG9X696nT9u7affHc+TOnTq9Yltg7tmdYrdr2NrYEDZIVxCtv4kNvZi6OTk0aNpr1+/TzSWcz&#10;0zO4qbAxCoT9U6Ap2X8HlRh+ZmIoKSrOe5aTcj05cfHSttGt8WZsLa2k2MsJe4iBlZm5v49f68io&#10;RfMXpFy7Xvgiv4xwQQk1NJl/MlRiqAD/TgzyURKmFrsc81+DKKFNmzZIdt26dVu2bDl69GjK+X0R&#10;gywSexk63Lp1i3ZetGhRXFxcREQEBsvMzMzEyJhQ2kBHrCVJuAAr4ENZm1sSGfh4Vq0fUbdPbK9Z&#10;v89Ys2LViqXLfp8ytUeXbtV8fKUWiYkcij2VwbhvVW+YY+2q1ZcvXKSjsSby7loT859DJYafkRiU&#10;Ny5fl73Oy3l+60bKzm3bR8ePxL9B4HGAlLc1TQgUhOSbmDnZO7Rq1nx0/Ij9e/Zmpj8VL/OXKZtK&#10;DF8U7yUGXFqMMtZWWuf/FlpiwMseM2YMBPAdEYOwOm9AkdBtabCSk5PlIH/Dhg3d3d0d7R2USdzi&#10;9TeIgZgaksBKsok3fYyMvT282kRGjR89ZkHC3Plz5o4cNrxuWDiOFSdzibESgOvr6LLHajSu32DM&#10;iJGbNmxITU2FjTS3V/AtNItKDD8FMVADyi43lLK0TCwOX/b66ZP0Q/v249y0i27t6+VNUfGBhNgr&#10;G/RgZ2WN0zN88JBVicuTr157kZMrVv1SieEroEJiwLBCDGfPnpUGi3+1b99eY5v/O8hXH1AetLpl&#10;y5YjR45MTEz8XohBmJy/Qx6kbDk5OVevXt2yZQumimrWrlFTLBEDHygLshrq6UMMRsqyw8qbCkZo&#10;i7+vX8umzeN69RkVP6Jfn76N6zf0dHXjOBGDeKAkFnAVa/bZWln7VfVp3Spy4vgJp0+fpk2wnrJZ&#10;gDSI/y1UYvgpiKHs9f+IoexVWfHLksKiksLim8k3Fv+xKKZtezl7m+42NjBkEwKsLDpZ1cOzWeMm&#10;Sxb9eebkqayMp8UFhVwouIGY4/N1lEoMFeC9xDBkyBD+BeQDpf8QnTt3xm62bt26cePGkZGRI0aM&#10;WLZs2fdCDGgyRhBtVDRdgIP8BByHG7BQJ06cWLJkSZ+everUDnWyc8B7Ig4QPpSJqXZvbW5JiM3m&#10;6ugcXiuUKJutUb0GIQGBzvaOEIMyOCFMKhTCRg5B1fy7duq8Zs2aixcvciNKIuyfSgwqMXw1CAf/&#10;f8RQWlRcnF9wJ+XWvt174ocOCwkMQkrpcUNdfS0xUGxHW7t6dSIG9x+wf/eeRw9T/1I+gvtKM8Cg&#10;ZPWZoBJDBfiXR0naiAFTi1GucFaSWBnjq0DejjJ07dq1TZs2FGnMmDHfETFUCJRTlpBEYWEhZT5z&#10;5kzi0mVoS1SLVsEBgW7OLso6YuLtaAyltPX6VXR0f61iaWpOlODv41s9MIggA+1yc3KBOZSTDcWk&#10;DuUZFDEHtqN+RMTYsWO3bdtW/sPaQBZDCwrzldvqaxJDWload0GWXF1dIQbMsSQGysA5XCshL/m8&#10;0GRdzrJTJPaU9sGDB5MmTfL19ZVWm7SWGOQJQF5Y/vLvixiEKZcrOSr7lwWFudnP9uzcNXvGzOiW&#10;rVwdnehoMRNJiRjE/FTlmZKft09s126LF/5x9dLlF89zNWQgcniteTb1maASQwWokBiWK6uryjGG&#10;+Pj4Hj16xMXFVfjaAW678vraF8fw4cMpABg0aBC6TXlQ7O9r8PldUDxtCbEFuPPp6ek3rl0/uHff&#10;/DkJaEVYzdouDk7oiTSUisUXz5RQIYIDawtLvCoXRyd3F1c2Jzt7GwuxhquWGEigYLZW1vy3SZMm&#10;EyaIB0p5eXmYQsyoND0S2vJ85TDi6xADx/Pz8+EA7tKvXz93d/e6detOnDhx165dOOxaYpAnfwlQ&#10;KqC9BWltaSEGSuLn5wc3NG/eHKuNQ8Z/lStEXdjLC7WXk/j+iAFWUPZ4/bnZObeSb8z8fXpMu/Y+&#10;XlWtiYqNjOlrNgOlwDg3yHaj+g0SZs0+ezopMz3jZYFYDlJscoBBfZT0pfFeYsAi46T36dNHvsz8&#10;LjSW+wuDG4nXqePjBw8eTGEo5IwZM9auXftdE0N5SG3HIhQVFqanPT5y4FDCzNl9e/ZqXL+hX1Vv&#10;BxtbCxMz/Clp7kmgQqi9qaF4WRrVghJsLCzF+kvKdA4Rkiv+F/zBQVtra4xChw4diLEwCtnZ2fCQ&#10;vCMGQttQshgy8XXw1YihqKgIkTh8+DAuhYuLS3BwsHxkeuPGDWmFaYovJycUQELeiDYHxIjyq3+j&#10;Ro2CGKpVq9ayZcupU6cmJSXJZpHlYU9aZqJkphGV7+lREgVne/Wa4hXmvbh5PXnXtu3dOnepVb0G&#10;QiumSyjhgvR7iBgQ5mo+vn179t69fQesUJD74tWbBeThGE38oWmMzwCVGCpAhcSQmJioJQbCgs6d&#10;OxM09K0IclmkrwBuBIgVunfvTlEpEv7v9x4xSAMhIQtJgV+XvkJ50h48vHTuPPozfepvnWM6hgQE&#10;2lpaEW7r/lIFo2lmJN51QO2FATUQz5cgAEszcxjCysycNFZVcIP4croxP81MTKytrWmiAQMGrFu3&#10;TrvykrSGWmhNz1fDVyMGiDAzM/Po0aNEDM7Ozm5ubrjniNDx48dzc3NpB0pS4bWfBTJnikGbcyP2&#10;pCnPxYsXUbFu3bq5urp6e3tHRUVNnz6diIHyaOui7Re5l4nvjxgUVijKL3h47/62TVvGjBgVXivU&#10;1ckZMhBDC0KMDaVPA1X4elVtHRk1d9acq5cuF5cbbX5dJr5FqBLD18C/E4McfMbT7NKlCwb3Pwcl&#10;QXkaNmzYqlUroofvfYyBgknrLCHthXgjlGRJaUnxy6ePnxzaf2D61Gmd2ncIq1nL1dFJcIDyvhub&#10;hVheSbwmLTcIgKiCg/IprfLo6c3ghJExdgFrWL9+fdpt165djx490loocU+lJF+/ob4aMXCjnJyc&#10;06dPE30GBAQ4OjripCPziFBKSgrcIEuiueBzo3w7y44GDx8+3Lp16/jx45s2bQpXVa9eHdeHYB3a&#10;1p4PuIQ9mci9TJDJd0cMpS9LsjKenj5+curEyU0aNPL28LK1tJbhr/By9PTlQyQXB8emDRtNHDt+&#10;/+69jx+mlhSXaCY10QxIqEoMXwcVEgPaoiWGQYMGoa5Y5BjlbYZ3IacMfR1QDCihXr16LVq0GDNm&#10;zPe1JMa/gHJKiB+UWm5lr14WFuFhnTh6bNniJfFDh7Vq3gJ1sjQ1R5dQJKwnAQG6JINxjsjlkrSU&#10;AFugeCJC1zcwNjY2Nzd3cXHBNNBc58+fz8rKKlQ+ICpvLQ2WUpyvh69GDBwvKChITk7+888/27dv&#10;Dzd4eHjUqFFj4MCBCDmG8sWLF5xT4eWfDpkzIE075+XlpaenE6yMGzeuZcuW/v7+cDYiTb9wMC0t&#10;jTNFl7zhA21C5KUkvi9iQJjLSsqeZz27fOHiimWJ3Tp38XL3sLe2wZWRca2++N4UobBYACOomv+A&#10;uH7bt2y9f1t8hfCVdkYTjQcfiE35qWmMzwCVGCrAPxGD/IKbJIbWrVtrueEtYKw7fxVwIyw+Ko0i&#10;RURENG/eHKVas2bNDzD4DP72U3GLxBtApWWvS8pKCotf5OTeTrm5Z+euGb/93q51G7+q3tbmFkKj&#10;lABc4QCRlsQguOHNE1tBDHLIWt9AX1/fyMjIxMTEy8ure/fuK1asOHXqVEZGBuZSWKw3nqwsyVfD&#10;VyMGQAUxx0j7zJkzuRGigqEkh8GDB2/evBlzXFxcTCaaaz4rZMFk83IXYoWkpKT58+cTK8BPICgo&#10;CIrau3cvkVx+fj5ncj5XyWu1CZGXkvi+iAHjnp+bd+3SZTpuUP8BYbVqW5qZiwFnPTEMRkJ6OdYW&#10;lrACEr74j0U3k1OKXhRoHiJpKIGa/337TFCJoQIQRBMcoCrYXEyGJIbExESI4cKFC1je3r17Y4Wj&#10;FKBOoI0CiARUyBafBeSszZyEvB33bdKkCY4e+jxq1Ki1a9diUOSy2xzEI0bBOJ9I4smTJ1rVqtBY&#10;fAugYNpCAhLipwyT5cY/FZ4ofPHi4b37hw4cmDVjRtdOnVEtT3cPO/FFB/FYVgwkKF+FQ80EKygL&#10;kOF/KbQhmEMSg6GBAZuNtXVEnTpDhwxZtnRp8vXk7KwsrDOGBmAsKIEsDKA8WmgOfW58zYiBPTb3&#10;/v37e/bsGTlyZKNGjXx8fKpVqybnAuEGEUJxAqcBeaHoHgXyZ2VQ/nIJeYS2BWRFaHL58uXly5cP&#10;GDAAcXV0dKxVqxauDxVJSUmBNuSZ4N18tIlvkxgomGwubVFJU9TCvBd0386t24l6Gzdo6OHiipQq&#10;no0B0qvMoxMv3Hi6urWOjJowbvyRg4eynmaJusgJSDS/SgxfGYWFhejk9OnTccm9vb0JsZFX+Ubx&#10;lStX8Cujo6MR3Lp166KEpOEPAghstHThAYnPCxkfSGKQt8DWc0esBgWoX78+hSRoGD169JYtW2AF&#10;kJCQEBISAjFUr16dq+AzfOHyiiQT3y8woMR2Dx48gK23bt06duxYnE1vr6qOtnby3QX031wJzLEF&#10;ypMl8dBWOmLymRIJuaKGjYWlo5193bDwwf0H7tq2497tO3hzJYVFMBDKVvZSzN2U0Or5lzAiEl+H&#10;GCg/5ol/YXaxyzQjLkVcXFydOnV8fX0RJwRs4cKFePH4E5yszUSw5QcGUvJySiJBWv6UZcAPu3fv&#10;3qZNm+TjLFwx9pRkw4YN58+fpxb/ci8y0SbI6tskBllNqiyP0CniDZL7D5JOnPp96jRYQb6iT/8i&#10;riKcVXrZQFfPztqmRnAISg1tE+5z1ReK3t6FSgwVgA4gOCBiwBYjpugJIcKff/554MCB5ORkbFCf&#10;Pn0aNmxYs2bN2rVrI1UINJa6W7du2q86x35ukDN7btG9e3eZJkHxYIXGjRvDUnBAZGQkZaaQZ8+e&#10;lQ8HcL4sLCz4L2euXr06PT1dq0haMf1+QRVQOWnXsCzbtm0bM2ZMVKvIkIBA9N/a3FJZKEkQAzqm&#10;zGQVrCBCdYUklMdKYm0+6abxL65q3rjpjN9+379nL3pbXFAoxvSU6ERzS0XPgTBsX6wBvw4xaKsg&#10;zHxpKWEBYsOFyBWeBGIfHh4uB34vXbqUl5dHVvIS2pw8ZSaVhGgypRjSRErwk5pyX2ICdEoOgFsp&#10;35WiyvPmzSOGoBE4U5NLRdCWhARnfrOPkpQGEOAWiCtdc+rY8cUL/+jSsZNfVW/iA+1IGMVDFAka&#10;7K1taoZU79i+AwRJb9L+XEujaXOTOX8hqMRQAXBhjh8/jmh26dLF09MTJcGw8hNFffToEXqyaNEi&#10;YogmTZpgjuvVq4ccY6k5MlT5UA+Q7519XpDtYAXDhg0j3b9/f3S4RYsWKHCNGjUIGjiycePGq1ev&#10;IuJHjhyZOnUqmobow15du3YlYvjBiIG6oCoYF4DlunXrFiHdksWL44cMbdWsuZebB8SA0RcPjpRp&#10;S2bKB7DMjMSnQyVVoIoooRhv0DPQ+1XHysyimo9v61aRUyZMPHbocMbjJ8T7JYXF4kFWOShaWbG1&#10;/SygOuT/dcYYaEDtOYjH6dOnFyxYQPgrl6PApUDeiEFp2+zsbM5UTLqw6VyiyahykLfQXg7ILScn&#10;RzL68OHDGzVqZG1t7ezsjK4R7OKZZWVlUTzO/5d7af9FgjO/ZWKQtS4oKEhNTb1y5UrCrNmd2nfw&#10;9/ElWtWT7+0rk6rpXyM9fWsLy+qBwb2695g7e865c+cyMzO1mcgEUDL+UlCJoQJADMSwiYmJ+Oaw&#10;gouLS8uWLSdMmLB7926UjZgOszt37twOHTrg3WCUEazOnTtjlzHf8u22UZ8b8nU2LVBXvDkKAC1B&#10;TpShVatWkyZNOnHiBOp9586d/fv34z77+fkh+hEREUQ8hOoZGRkIlhQpKWHfNaR6SGJApQkdnj9/&#10;nnz9+sa168aOHNWiSbNq3j7YCHtrW2tzCyhBBhAYBSysJAYDHV2UEO8MbuAn/+JkTzf31pFRCxLm&#10;nT2d9PhhalF+gbwR0Nz4C2vm1ycGKRU0IJcgQog6Ao/wODk5EY9OnDhx586dCJWcr8XJ7CmkJqNK&#10;QN6LC+WNAAfJ7fbt2wjquHHjcGt8fHy4XWhoKA4NBA8VFRUVyZOBzOddaP9F4tskBgqmrTh7+PXM&#10;mTMEAZ1jOvp5+1iYiM84I4T6VXRsLK0gBhHIGhm7ObsghPPmJJw4euzBgwf4PVxO8SStkgaaG3wZ&#10;qMRQAYj1CG+3b9+OY47r5ODgUKdOHWwxR/Bx+C9ah53t1atXcHAwJ2Ca5WAD9IAJhiGIHj47yLZf&#10;v35xcXHcNyYmpnnz5pQKZgoMDCQmiIqKmjJlCjJHCVEqQgcuwemzs7Nr2rQpQcaePXuwNVKqqCMJ&#10;WdnvHVJJADXCxmU9zbx26fLuHTvnzprdr0/fRvXqYws07769maEkLKyyVqUgBmWsj4gBzWTjv+hq&#10;9cAgnLU/Fyw8eyopL+c5EcPX0UaJr0MMEvK/2tpx64cPHyLn48ePx1zivyNC+ByI1rFjx3DhZdk4&#10;HwulyaISkHQib6E59NdfmEgIYMaMGQQouF/wEF4OGrdr1y4EmMJXhnu0GZL4ZolBgjRUR7+sXr0a&#10;3y68VqidtY0ywmxhqiz2xR6GsDAxdbZ3CK9VO37IsH27dqfdf6CdP00bkpCQGX45qMRQAXCdHj16&#10;dPToUdQDo29ra4v97datG2SAT4r8obSnTp3CJUcJ/f393d3d8Xc4E98cLSIW7vIFAOt07NixXbt2&#10;eHPh4eHc0cPDA1qCFQjD0S7Kg7uH9l64cOHPP/+kwJzg6upKYDFt2rTjx4/jd2il6ksL1lcAFaEv&#10;2AvDpoCOKy4sKnyRn/kkA3rYsnHTyGHx9evU9XBxJRSwJGaQM5TE3CTxTgM0YGqozFxSaAPlJKjH&#10;+Lo6OYcEBnXuELNyWeK9W7cLlHaTt/gK7fZ1iEFIwDugmnIoGDciPj6+Zs2ahMuenp6IHBJ16dKl&#10;J0+e0MaaLCoN6eeS4BaksXSI4sWLF2fOnIlIE+9CDFhn7rh161buju/FXSgMe87nKpnPu9D+S+b8&#10;bT5Kou70KZXC99+9e/fQoUNx6Txc3HBB6E0CWQIFxA/JxFNxcXSKCAvv27P3ymXLb16/kZ+bJ6VO&#10;1pQ9P+URmfkXgkoMFYBexLwiuKglUmttbY0VRnqWLFmSkZHBfxHrK1eu8F/MMcEvXhUmGP0JCAiQ&#10;H8xBmdu3b48RByQwzezLH/kXyHOA5rcCcuAIQYkMFGSYj9GHjWAFwgX+O2rUKKw/JcS5Q9DbtGkD&#10;Y6FyRBhYirNnzyKa0pJK8frSsvV1QHW0dkeAOolFjIW5TL56bdO69eNGjenQpl1ojVpV3T3la6VC&#10;CfXF7FWFGMQr0BhcjAUJjC+blZk5cX1IQODI4fEH9+6/dSNF+xRF227lW4+0FppDn4CvQwwcpN1k&#10;03GOrB177s5V+OxLly7FaiNpNjY2vr6+gwYNWrduHT4HBXs3T44AzY93wF3ImQTnYOszMzMp3po1&#10;a3r27In64NzUqlWLaHjVqlXkj+rJYnO+LJWSR8XQ3pQEd/k2IwYKhurduXPnwIEDcCEsSxxvbW4h&#10;niDp6OKgwA0ECnILqubfrXOXhXPnJ508lf00k8LTAnQKmWhy/CpQiaECIB8Efenp6cuWLUNkzczM&#10;4IawsDA69f79+/wrJycHCZ4+fTrEII01p0EPCBncQJojmHJUGuDp47xLblAMvoYqYv4BnMBV8hwg&#10;Z6byE3lC58kclsKPQ51giCZNmkRGRsIBnDl27FiI4fHjxzt37hwwYADhi6OjI9yASuOIJScno3JS&#10;vBBWaQ5kfX8oUCfx2ZOS4oLC3Gc5t2/cPLT/QOKSpUMGDmpYtx6hA0ZfeaakByWI57libySfMskJ&#10;S3K82srcAiMSERo+qN8ALr99+7bkBunJ0nTljYhsT/BZLMvXIYYKQfmlEScyOH36dGJiIqEq8ubm&#10;5oYLIqcwIGCUEC3gfDKX4BIgM3kXFEBWisxpxpSUFEqIv0JRURkEtW/fvhzB2cKAkrM8WXPxv0J7&#10;msz8vyUGykBNy5ecn3QBfiTtuWPHDmIFtDgwMFCYFHNLAx09iMFc+VotlGBvbRPo59+scZPZ02dc&#10;vXiJqPdFznNZ+K8PlRgqAF2LiBBTb9y4EX8c6UGGcJ3Gjx9/7do1WAGVO3fuHMSA1cZkY5rr16+P&#10;5mCs8a1QpNq1azdt2pTQASsvX0GQRl/aeiB/cu270JzRoQNXcS2nERDANHKcmWIgytwCVwuBhpk4&#10;U144evRoYoXU1NS1a9dKX8/CwoKIYdy4cRwnjKVGUvSpYHnx/ZEgxgNwskrLxFSisleFL/Ifp6ad&#10;TzqzfMnS+KHDWreKrBEc4mTvYGlmjipiZ4kStJsIGgwFSciPgFqYmkEkTRo2GjJg4L59+zC1z58/&#10;1xJDeWsr25Mj5Q9+NP5DYlDqIQQjPz8fgcHPwGIi3ogc4Wl4eDhRKU3x6NEjLTHIWmsvrBC0mOQb&#10;JBDHGROJ40JsjReFlCLACQkJBw8epMA0L9WXUirx7zlr/0XiWyAGKRua38pDaWQGb5KunDx5cosW&#10;LbAPRGB6emINYDHcpXxrwczIBH/FxcGxdasogtTdO3Y+SXuEZ1NaXCLfpPn6UImhAkg5Rjd2796N&#10;XcbpNjY2RjGGDBmCG4VWpKWlnT17dsaMGT169MB8Y5SJG3DeiSqQdQ8PD7q/Zs2aqCg2XaEAsaQS&#10;ZwIZAWjBz7eAnohAo21b/gsxkCBngoPq1aujRVBCUFAQThauB/flfHw6eSHEcOTIERRv4cKFDRs2&#10;tLW11dfX9/f3nzNnDkKPoUGZ36vD3ztQJMIFNskN/Cx6kZ+V8TTlevL+PXvnz0noHdszrGZtuEEs&#10;t6e8TySihDdPlrAa6KoIIJQ3HlBaT1e3uuER/fr1W7x4Mc2oNYjydlrIVqV5Nb8/Af8hMUhwCWWQ&#10;Eyu3b98+YcIE/BK0AMGW31PDiGdnZ0tZQlm0+fNTJt6CLANWUrLCmDFjCHw9PT1xpPCoyJCa3rt3&#10;j7aVucl82Gsh83kX2n+R+M+JQQuqACgPAVB6evq2bdtwzrgL9zI3Nxfv2xsqq/waGcsBBtwUT1f3&#10;sJq1Jo2bsGPLNsos5sJJSihl/4/V/3JQiaEC0KloFN7N/v37sQiYeIwsxNCnT589e/bcuHEDISZi&#10;wOB2794diyztO2Ya/YEbMNxIPKihLFMBNyh2WwBDDyQ9yJhAGVd+G/IE9uQMAeCpEX7CClh58sTo&#10;w0P8ixMAAX63bt2gKBT4wIEDly5dmjZtGiwCmRkYGBC7JCYmwmTUSLozEpqq/nhQyECzKemyktLS&#10;4pcvC4syn6SfSzqzbPGSvr16h9WqjY1QRqTNTJQVMsQzJeXhElZDKK2hGG/AiHCCu6srzU7vb9my&#10;RQZeOA3S5pZvybd+fjT+c2LgfGmgqebly5c3bdqEKRfjpR4eyCFx8OzZs69cuZKXl4ftUyqtqTU/&#10;ZeItUAxOfvz4MfI5ZcqUNm3aoE0ASe7fv/+6detQKBnOarOS2WohD74L7b9IfDvEQGHIihrdvXsX&#10;V3LEiBHUlPpaWVmhkrq6umb4JMp3pUSoamjk6ujUpEHDfr37irfub90uelFAtyK3CjFQ+H+s/peD&#10;SgwVQPYrMSAOOCrRtGlTOhWPCWO9bNmyY8eOpaSkYH9RPyJi7AWAP0j36tWLcwi969WrBz0QPWCg&#10;UVQ4g3/17duXcwYpGDhwICoBOPIWBg8eTGhChrAOBCCfIJEblIMEt2vXDg7gQk6Ii4sjQW4jR46c&#10;NGnSokWLDh8+fOLEifj4eEIWU1NT+AwXb/PmzZmZmVSqPDRV/fFAzeSGMRSLyWAXFaoofQU9ZKU/&#10;vXT+wvo1a0fHj4hu2crb0wtuQDOl+4a9kJbXQFdPTluSLzrYWFg5OzvXrVuXrpEDpFht7Cb4Eo35&#10;LUQMElxIJlevXqXWSB1uPnKFKCLMa9askW8ml28EbidzeAuY7CdPnhBkwyitW7cmB2tra7QDLSBn&#10;+WY155Qvp8xTC83Rd6D9F4n/nBgoPy0gMyFBeLRx40YUEwNCeESsgEpKYuDWBjpCxuhTKzPz0Jq1&#10;RgwbvmbFqrs3b4lpSKVimUjEVQiwiBs+s4BVBioxVACEjN5FWAkL5s6diwuPq+7k5NSoUSN4AgcH&#10;UcZjWrp06dixY0cr4LhM4x1grHHn0U856oCziZOFER86dCgWnNOIK8tf+BZGjRpFJph77ssduTw4&#10;OJigAQMhM+G/8nLx5tuoUeQ2a9YswoINGzbs27dv69at6C3OHazA3dFn4h5ITtZLC1nTHw+CA0rE&#10;B61elZSWvSx59bKUYFwSA3vihrxnOWn3Hxw7dGT+nITWrSJrhdRwtne0MDGDGMToQhVdQ12xV4IG&#10;QQwcJN5Hnx0dHbFoEP/y5cvv378vDRn47O35nxNDeVBNFOHMmTNyIQCk0cvLi1sgn/Jbb4WFhZwj&#10;W+CfiIHI49q1a2vXrsXX8fb2hmXRJhgCdrl9+3ZOTg5Vli0pzychIX/+C7TnkPgWiKFYgXwKt2PH&#10;DpiPSIsWs7GxMXoDfX19wQ26ehYmpjaWVtW8ffvE9tq2aQtFLXyRX6aMK7wqEQIsPRvqprnBV4RK&#10;DBUA+SgqKqJ3kXtoYPjw4dhlfJzgoCAkGw1JSkpC0IkeRo8STICHLr71PGxY/PDhpAGmOSoqiqvk&#10;8x8UqUOHDlxL0IBGERAAmZAXAiy+BLxCCIJBh05q1qyJY4U2kkP7du0IE4YMHsyFw4ZygVgYg9CD&#10;K6dOnYotWLx48ZIlSxISEriXiwKEkgyPHz+OZlIvlEerfuxl4kcDddJukEGJXI1Sc4Sfr0rFw6X0&#10;R49PHD02Z+as/n37Nq7fwNfbx8HWztRYs3SSgZ4+JlissyQmKRmYG5vq6uhamFvAtcFBwTT7ju07&#10;Lpy/gAkoU2YTipaU+ZeDpjwfjv+QGOTJmhopP9mjDvj7Bw8enDx5cvPmzbGkiDTGFI/k6NGjWVlZ&#10;aIoss2QIifK5oSybNm3ifMqGWAYGBnI5Ps3FixflJVxOUcvfV4L0v0N7DomvSQxK6f4GeZAc5MxU&#10;XLTff/utebPmcCCxgrGxsT5uh56eibGxiYkJ3GBuYobI+Xn7RLZoOWfW7BtXryFLggbknvzKb18d&#10;KjFUACSMPZIqV0bC2tatW9fK3MLNybl29RrxQ4dhUy6cPTd39pz+feLievfp26t3n569esf27N0j&#10;Frns2rUrfmV0dDQhZL169TDrkh7CwsIiIyNxu2AILSAA7aJ4co08oo0WLVpEREQQKHAV3CAGFSKj&#10;Ytq279KxU48uXXt178FdenWP7dmtBxu3HhDXb8jAQfFDho4dOWrk8HguxynjWjIkmCCER/Fk1X5y&#10;oLp0LoYML1g+JNm9e/eMGTM6d+5MeIfdx6Ej3sdk6CnQjBMaG5sairejrcwsXBwcA/2qde/SdfEf&#10;i26n3HzxPBe7IzYxqkHuYoUJaew0t1RuWv7ne/EfEkOFwNjRXLjAJ06cIFRFjPH65VtvCxYsuHDh&#10;wuPHj4kbpFlnT/W1PJGbm0sxDhw4gOtTu3Ztd3d3DHG7du2IttGstLQ0PDB5lQRpzV0rB+358nZf&#10;jRgoqqwjl3BfWXjIrbigMPNJOl0zqF//5o2bBPr521hYipcolaW6xDiWsnIXP62srODI9u3b0xSn&#10;T5+WXyLS5P4NQCWGCiAVm72carZ582bcf2sLSzsrG1+vqlh/Ov7owUPC33xDDH179iIe7AM3xIoF&#10;VqWV79SpU5s2bTDrcAOOf1BQELqBz8VxyEDyASDRu3dvggwuhFE4AU+fS6pXr07MwU8UqUsnQQlo&#10;fu8ePeN69Wbr27M3d+QIRgpuGD5k6IihwylMh3btsHFyGQ98NDw1bAR10dTtpwS9CbRplBmtBpiz&#10;u3fv7t27d/bs2fQXbQ6hEvVLboAPzMzMZBprIj+nhU2xNresERwS27X7ji3bsMjpaY+eZz8rzi/U&#10;RCfvoPzdKwNpcb4dYgC0GG2FLqxevTouLg53h4ZCmPv167d8+XK5yhv3ArJhSchL8J1hBSJanCQ3&#10;NzescJMmTSZOnEiokZ6erh1akPsPaiUJ7SUkyORrRgyywNyUyrLH28h8+vTuzduH9x+YMmFiiyZN&#10;/ap6i0UvlE/M0mvKF9l0DHT0zJVXFqpVqwazct9jx449fPiQmP4jqv/loBJDBUA+ZK8j4nADQozh&#10;9nJzt7W0crS1j24ZuXDu/A1r182ePmP0iJGjho8YNTyebeQwtuEjhg0Xz4mGDImPjx8+fPjAgQMJ&#10;IAgUoAcUCZONYsAEIxTIc4YOHSr33EUSCU4ZJ6PhHTp0QA8HDx7Mv8mcaIDbjY7njm9uqmy/TZmK&#10;Aztr+oxOHWKCA4Ps7e3t7Owgs8TERKJ1lLbyEv9Dgq6sUOvoZQL/Bw8eYNrWrVs3evTo1q1bOzk5&#10;Eezr6OgQLsAKmsBfcfdQaTkUgcJXDwru0LbdtEmT9+7cdTP5Rl7Oc/nBRZpagsylFEloblkJIHWc&#10;/00RgwRthZu/fv16xJt4lKAB3wXxhhtu3LghJ2sVFxdzR6pPKJCVlUUVJkyYgCjKoYX69euPGjVq&#10;586dmEKqKQvGXjaXvMsHQduwJL4mMVBaWWBtZTMyMq5eubJmxUrsQLPGTXw8vSzNzOkyAgVuJ8MF&#10;+o4etLW0dnNywRFJSEg4efKkfClEll9m/i1AJYYKUL7XEXSUYfz48fXC67g4OFqbW9SpHRo/ZOj8&#10;OQls85T9m23u/ASxzZkzBw+UPZg5c+akSZPgAAKC6OhojD56Dh/MmDGDf81VIE/m55gxY+CMGOXl&#10;ZygBnsDl5zgnzJ2TsIDMucWcudx03my2OXPI47ff586es2Lpsi0bNy2cOy+qZStHO3vMGd4Z8ceu&#10;XbsI8xE7WZ2fFvQj0PwoBw6ijXQxruutW7e2b9+OIca39VNWpdVGDAYG8nVoIzm/UL7+pngJdi2b&#10;NZ82ecruHTtvp9wkbih4Ib5AKSGliFvIveaWlcC3RgwyB0BuOBkpKSnEDe3btw8ODnZ0dCQUhiew&#10;9dwRYeOm0EN2djaxgvy+LJ6Qr6+vu7t7zZo1BwwYsHHjRs7E39K2CQkJ+fODoL2KxFcmBkls3JT6&#10;pqWlnTp1auWKFdw9vFZt7L6tlVh8xUjPQFnZV7zbLNf3dbC1C/Tzb1i33qJFi5KSkmhP4ip5X/RU&#10;Zv4tQCWGCoCQ0eUyQfffvXt32bJlsV27BVULsLawJEJsExk1ZuSoZYuX7N6+Y+/O3Xt37d4ntj37&#10;dott//79e/fuxShLYG42b96MLi1cuBA+WLBgAbrBOQcPHuS03bt3cw6JPXv2bNq0aenSpfPnz583&#10;bx57/P0tW7ZwXEC5xZ6du7BB3JQ96QN79x0/fOTg3n1bNmxcvmTp+NFjGkTUtbW2cXBwCA0NhWbQ&#10;TEyeYqZ+6ohBC9mzEqTlT7mnoTB52GL8uL59+9apUwdbZm1tTcSgp6zRjUGRD4iVF+LEC0r89PP2&#10;iW4ViTBs3bT51o0UbLTMVgtaXhp6TQkqgW+WGKhLQUEBBcOiYUnxYOTkN9qqf//+ODdEXUjyiRMn&#10;9u3bt2TJEiSwVatWLi4uBGGwQmxsLAdxs8gBa4hJ/cSCAW3DkviaxCDbhPMRG+zD4cOH8d56xvYM&#10;rVmLu9NZhAuis/TEp/y5HTKDCFmYmAUHBPbs3mPW7zOOHz9OrIBTQh/Jdvj01viMUImhAtDrgARd&#10;hbQREYsPMMyeE90y0s3J2cnOvpq3b0zb9njoVy9dvnHtesq15JvXk28l38A03L5x8/bt26glwTWG&#10;Bj8UkL5w4cKZM2dOnz6NUp0/fx71uHLlCrKYnJysPY3EtWvXLl68yAnsr169KjMBZJdyPfnG1WvJ&#10;V64mX7nGTW8m3+Be927duXbpsrJU3OiYtu2C/QOc0IoaNbp37w6ZcSGySy2wNbJqPzloCgmp2Ogk&#10;oIlkj2OtcHXlFBqiOkIHHx8fDJ+p4u6ZGYlnAnh/qD0aLiYvoeqmZohE/Tp1x4wYhYuAAOTm5mp9&#10;QHnH750YADlIO0694IYHDx6IWTe//96oUSM599TT0xNfpFOnTsOHDyfMpfWIekNCQmAFe3v7oKAg&#10;QmFYAbdaLkMpcwMf1DLvQns5ia9JDIDC09foL44dYT3dRKDp4uBkZWZuKr83rlmTUYxLiZmpFlb4&#10;lJ3ad0hcvOTqxcsEGXKIReIT2+GzQyWGCkAnyX6SskuIh4U9uHf/4P4DAqv5y9iwdvUa48eMXfrn&#10;Ylz15UuXrViWuDJxOcq5evkKLDKOP/vly5evWrVqxQpxhP369euxOHhVHJcnEBOQ5l/yCOCIPLhS&#10;AUdQJ/bLlyVyC+6VuHgp+5XLElevWEmCg+tWr/lt8pT2bdrirXi4urm7usp1C/Dd0tPTKT91wUDI&#10;qv3k0PZseXBEdjQgTVtB0hs2bBgxYgQOL9atqpeXldLpGGU29NyEvzq68vExnOHu7BrVstWUiZMQ&#10;ACwFdlPOzZf3Eres6KbvHpT4RGKoX78+sakkBvnEX9brU4DlIivJoKQxiHfu3CHYHTx4cEREBHGD&#10;qampnZ1dWFhY8+bNo6OjWypLxZmbm2N5/f39IYm5c+fiEqWmpsKa2vIoTa6BPPJBoK3kHpAD7XY2&#10;6Uyv7j0kMXTp2OmP+Qs+iBikgdbmKdNA/pSQR7gXDHf58mXkZNKkSR07dvTy8tKpUgUyUAIFsYa2&#10;lA05NOXq5FwrpHr71m2mTpp87NDh7Kdi2I8ykyF74Z4oFC5v8S1AJYZ/A10lZFZxlO7dvjN92m8R&#10;YeHuLq4OtnbEDb5VvbHF9etENKxbr16diLph4RGh4eG1ateNiKhXrx76CUjUrcuBT0Z4eJ3aYWwU&#10;oH5EXW5aN7xO3bA63Jcj1QODqnp4InyOdvbeXlV79+69Y8cOzNPz588pvCLJ35DMfcugoehrXDla&#10;j2Af15vYKyw0lIbFNEuFR/NNlHABE4OxxkNUhhOd6YjYbt3nzJlz8OBB/EE8a2lJtV1QHvJfmrv+&#10;HZ9CDMGBgUjd/PnzJTFghclKCvBHQzi074CcsaT79++fOnVq48aNHR0draysCB2ws/AEcHBw4Ai0&#10;2qdPnxkzxJMTagS7AC7/xCJJkImEbE9yPns6CWJwdXTCCkMMxPT3b98RH+6uNDHI3GRHkFDqKthC&#10;eyP2+fn5uFzw3OLFi/v27YuCExiRFcBjEEvj6YuFVcRyW/piirO9ja2/j29s1+7ECieOHE2996DC&#10;2WvfFFRi+DcgB1qZyHj8ZMuGjYP69W9Yr76bs4twBIxN6HU2lFYOLlmamuNamimwUIDTJAcwPxFk&#10;qtzLnM3awpKoRaTNLUjbWFqxpwCWZuZe7h7NGjchsD179mx2drbWO2OvqZKKfwUNJS0O5gBDdubM&#10;GbzvgQMG1AuPqObja2dtg8KbGZnQ9fiGyIDYxAfgxCdWbK2sg6oF9OrVa/bs2YRrhA50Aflou0CC&#10;tGLWvggxBAWIiGHBggW3b9+GGGA4zCWG7MUngEzeBUGDfMtn9erVAwcOxAHy9fWFD7Cznp6efn5+&#10;QUFB1atXb9OmzYQJE3Cr5foZsiTsP7FIQFsM0sg51cTpvnD2XJ/Yni6OTjWDQ0TEMG/+3Zu35KJD&#10;H0EMEhzhuMyfXqPk9+/fP3XqFE5D//79aW1XV1ey0tXVNXqzICPiId+lR0/xI8NrhXbv3HXB3Hkn&#10;jhxLvXe/4EU+5fnGoRLDe4CUAIQjNzsn+crVjevWxw8dFhEahhdggXHQMxCrJujqCS9ShJDiUQMi&#10;AvT19Q0MDNjLV6XkwY+Gvq6u4qLKj1MKXxVjhAjqV9HV/eVXfR1dAx09Bxvb6JatfpsyVS6MjByX&#10;t0qa+qj4V9BQUv9JYKBxDKHYHdu3J8yc3atHbEhAIJ1Om9MXmGnaXCymhImhf34RbzkQR/r7+7ds&#10;2XL48OErVqy4cOFCTk7Ohzb+pxBDoH8ANhpiuHXrFlHLkydPHj9+fOfOHWWg6uOhDIH9DUQkV69e&#10;hTihwMTExEmTJmElu3Xr1lFZTZIwC7YYOXIkHLlp06YDBw7QFHDV3bt3KQwgB03WHwtyIx+ZJzWF&#10;gwnRIIa+PXu5ODiGBAZ17dj5z4V/3E65WVL88iPGGBS9/x+kHsmnynDhmDFjqGbNmjUJlcjnl19+&#10;QcdNhUEQWmmmrNoLMRC7hNWsPXLY8PVr1l65eCnj0ZOXhUWvlZXhNbf5VqESQwWQoqD58eZn6cuS&#10;/LwXt26koIHYiNAaNb3cPDAEuAYIAXqL/47PbmdlLWFnZ2dvb09AzR7w85NgY4vdt7e24S5iQrQi&#10;f0QJNhaWlIFAwdvDs25Y+MSx4/bv2YvW4ddQZqT5Q63STw7ZaBgIOBWGwBV9/vx5BvRwKmnR/IUd&#10;23fw9/G1t7bFE7Q2t0Tz6QU50kiPsCEGhHcYi9DQ0N69ey9ZsuTcuXN47nQHLqeMEmSnkNDc8h18&#10;CjEE+PvXqVNnzpw5+PIYbvx0CnDs2LHDn4aj7+DIkSMUb//+/bt37962bduaNWvwoAlVp0+fPm3a&#10;NBL8XL58+caNG/fsEfP0Dh48yCWUBMjLNVl/GsiKDOEn7DUUePzIMRrB2d4x2D8AYljyx5+3b9x8&#10;WVT8KcTAQfqOuATugQ7hORkoeHt729jYGBsbkw+sYGRkJJbJU4SBziKIJ1ZoVL9B/z5xO7Zse3Dn&#10;XmFefnF+oRzwKKFI3zZUYqgAUm+B5reEsgrbi9y8S+fOr1u1etK48T279WjWqAkWGWlAXeUElVoh&#10;1eUAQ6NGjZo0adL0DUh/Cho3bNSwbr06tUOrCcMkviGOGcJCRYSFw1ITx43/bfKUBQlzD+7dhzOG&#10;BGPUKD8VKS/rKt4LGu0t8w2w1Gn3H548enzJoj+HDhwU2bxFgF81rDM+AVZGRA8YGT1CReWrcApw&#10;CGrUqNGpUycM5ZYtW6TZgh60MRzQ3PIdfBIxKN8Anzx5Mk46geP27dsxZKs+GfjI72L9+vXsCYyI&#10;GBYvXjxv3jz4gAJjZKn13LlzFy1aJOdTQBtiTkViopxSAbhQk/XHQpsPkMtHQoGbN26KadtOIYbA&#10;Lh07LV20mIih8sRA78jelx2h9JIYZqAv+O+uXbuoVN++fVFwrrKysoIMxHIpypsucIOBvniiiK8g&#10;BhV8/ZCTCWPHbVy3/sbVawV5+VACfCDfghQL5H3bUImhApQ3CppDqGth8V9QQ0lp/vPczPSMyxcu&#10;rlm5asiAgfXC69hZ2+C8Iw1B1QJat4rs01uswk0oPXjwYLEqngLlbeiPR/9+/Xp1j8VjbVi3PvGB&#10;nBJX1d2jb6/eWzZuunHtOi7J0yfpBbl5Rfm4uYXSuFCL8oKu4r2gxaRrL3/SdDJ0eIn9zcy+lXxj&#10;3+4906f91jYqOtCvGrEavaBfRTxNgqqx2jgHuI0Qg5mZGWGeXIiU0AEbim979+5d4g8y4y4y/wrx&#10;icQAIQ0fPhxzSbyCsZ49ezZW71NABKBJ/R2UTYI050iMGzdu/PjxEydOnDRpEsdhiBkzZnAOR6Ar&#10;ElMUcFzJ4+NBVvItUfazZs2isps3b56XMLd5k6byUVLnmI5LF/159+atyj9KKk8M7JGE3Nxc8Urz&#10;1atwD1rcsGFDT09PW1tbWEHygZYYdHR0RNygb0AoGVjNH36aOnHy/t177t2+8zz7GXYDYnj1skQS&#10;g1gm79uGSgwVAOEQzPD3eP+1suQhvVv2svR1admDO3dXr1jZr3efsFq1ceGtzS0cbe38qnoTPLZr&#10;2y5G+fha165du79Bt09D185dOnfoGN0qMrRGLewCxqjK//3i7ODYr09fTBWFyc7IFGtNl5aVFosv&#10;I0r5pgpS1jV1UPE+0GgSf/uJINC0xS/znj2/k3Jrz85dv02Z2qt7j8b1G/r7+NIdlqbmEINeFR02&#10;zA2AG7AXeJSEDrjwUDvOJl5tcnLyo0ePcnJyIG8ylnd5C59IDCEhIf37958/fz7GDhs9ZsyY0aNH&#10;T/gEkAnm/i2MVSBP4KdcQF6eCQfIg5Ih5E/+yx5KkEWCJMSVnwAy4RYkKAZpOOmPP/4gdG4QURdi&#10;qB4UjL5ADNjl0pcllScGqfXsCwoKnjx5cvPmzRMnTsA6o0aN4jQXFxc4AED8dK6uri5pOhpwxNbG&#10;xtvDq2Zw9Y7tOsyY9tv+3XsfP0wVqyuSZbkNVhDLan3bUImh0hAr4mrYvuxlyc3kGzN/m96udZsa&#10;QcHWFpYmBoZwg8IQlkiPm5sbnoW3t7ePj49civIT4erqSrbOzs44pPJpJq6KjY1Nq1at8Jj27t37&#10;+PFjTTlVfAFIY4HJlvbi4sWLe/bswcbJhWwxMb8oICGeJokPsEAUYmIrUiFmNntVbdGkWa8esVMn&#10;TT566HBu9rOX4ou+L+UayxqTIdZnffWX+HSE+ChpbnbOsUNHZs+Y2Ta6tYuD07vEsHv7jtR7D8gn&#10;71nO1YuXVixdFquMMfj5+UVGRg4aNEjaaAlpTH8kUCmCkrcQ16dPrZAaNFfN4JAObdstmr/g7q3b&#10;FRODeO5nbGtl7enqjjM3fepvN65eR6/FtxDKXpWVlhW9KIBu/1zwx+D+A1u3iiRDNydntJue5Vp6&#10;wUBHPEKUD3XFyrvmFq5OYjEonAACxMuXLxNqEHNoBOh7g0oMlUZFxNCiaTN8BITDyswiwNcvvFbt&#10;WiHVAwMDq1Wrhifi5eUl93IaHyTx0fD19a1Vq1aDBg3CwsL8/f3Jk2DW2tq6SZMm6MP27dvxQykj&#10;9gvI8qr4jJDEINv2pbJk0O3bt9euXYvxxaOna6BtGSJgvuUcVuyO2JTprRgRzEp47dCuHTvPnTXn&#10;2OEjKdeTn2c9K84veFUiAlCMl4hEy8QXu8SHhl69fvY089C+/TN++x2rhAtcSWLwr1YNRwTftnfv&#10;3kOHDo1XoCzY+KOhwnp179JNvPxv54Adj2nXHrN+7x+IgWakm2wsrTxc3RrVqz996rRrly4X5r2A&#10;jx+npt1OuXnm5KnlS5bG9e5Tv06Ep5s7lEDj05u4gOwtRHeI2Ufmxibs7axtAnyrNW7YiMBi5cqV&#10;cuVKWOH7VUaVGCqNioihZbPmEIONhWXNkOoD4vrhd0ybNBkBHTBgQLdu3Tq8QXsFmh8fhR49euAi&#10;yafG5E9u0I+TkxNUQSi9efNmLTGoD46+Amjk/Pz8GzduHD58ePHixTiJdATdoa8v5hPjQkpfUjMo&#10;rUwmxgw52zsEBwQ2b9y0X+8+M6b9tm/XHowR0YN4A+sVckX/KZvy8CEnM5vYImHmLAwcpFJJYiA+&#10;JbisU6cOEtK9e3e5orvy8dkfDb0qQrvWbX29vO2tbSGGTu1jlvyx6P4/PUoS8/pElO/p6kaPzJkx&#10;8/rlK/TFvVt3DuzZu3DuvBFDhxGrhQQEOTs4Eg1wsmh/pUPpYpmAG+hia9Q/OKR/n74L5s7bv3//&#10;tWvXcnJypBqij98pN6jEUGlURAytmjWv6u7paGsX3bJV4pKlp44dP374yLZt25YvXz5jxgwCXvmY&#10;9Z8i38ojISHh4MGDDx48QOxwVIcNGyZXecMe4bRu3bo1PT2dMqrE8OUglRyQJnogbigoKHj69Onl&#10;y5fpkcGDB9Mjjo6OdlbWwp00EKvsCdfSRKypySaeXRiJZxcOtnbVvH1aNW8xfvSYNStXYY+eZWbl&#10;570oyi8oKX4pHigpj5Kyn2YePnBw9vQZ7du0da00MXhXrQo/1a5dOyoqqmPHjl26dMFBkaNcPxi6&#10;VoSoVpHeHp52VjZYamWMYfH9O3f/6VGSkZ6Bpam5l5s7cf/vU6aiuclXrsLWUydOjm4ZGVTNX1CC&#10;mYVYUldpdiI/5dUlQQzkQI/YWlrLqbHdu3RdsSzx4rnzjx8/1s4v0ELKz/cFlRgqjQojhqbNCUUR&#10;xLZRrTesXYd+Xjx7Dgu+bt262bNnY9AnT548derUKVOmsBdzKT4WCxYsOHnyJJ7I3bt3Vyvvmtas&#10;WdPFxaV58+a///77vn37CF0po9ZyqfiMoEmlhmublz0EDEpKSp49e3b16tVNmzZB/507dyYmcHN2&#10;MTeGCZR3TcRLsKZQhYFiibAyEAYhZoBvtZZNm8X17jNv9pydW7edPZ304O49+T048XlqJWI4vP8g&#10;gUX0hzxKqubn5+XlVb9+/U6dOhErxMXF9evXr/+PCOr1LiDRSkYM9AXtSatCuhFh4X1ie6HOxGdD&#10;Bw1u1ayFb1VvjD50DiVowj5lUjIdqvnYjrGJvbVNSEBgm6joUcPjVy9feenchax0zfqAcsYH+E5Z&#10;AajEUGlUGDE0b0EoqiGGNeuuXLh0Puns4UOH169fDzFIVsBwT5s2TXLDR2PevHnHjx/Pzs7GBs2d&#10;Oxc3MDAw0NXVtXXr1nAG/8rKypKyqCmtis8HaEA7X0VzqNxB3EOcxNTU1FOnTq1Zs6Zrx06N6jcg&#10;jrQ2t8QAiWcOunrC8TQSb8MKy648grA0M3e0FYPSDevW79U9ds6MmQf27rt783ZWRubz7JzSopfP&#10;nmYdPXSY4+2i27g6VnbwOdA/QH4aDCs5YsSIUaNGyflC7H8G9Oha2TEGOVRAxIDLD0nXrxOBk9ek&#10;QcNg/0B3Z1cbCyv+ZWFixpmcBs3DCkrfCWLgILfgTLhn3uyEk0ePPU5NI+ATa2+8cSPYS0hp+e6g&#10;EkOlURExNGnYCG8OB7B1q6j1q9dCDDJiWLt27cyZMyEGKEG+C4rXD0N8NP74448zZ87gnJ49e5Zs&#10;27Rp4+vrS8TQvn37ZcuW8S8iBiwUDoumtCo+H1BvGFer5JKAgdR/zY+yMrrgwoULf8xfMHJ4fJvI&#10;qFohNbw9xGNGIgYxjVVXeJ34nhga4gZMDAyB4+lk71Creg3oZNqkyauWr4AM8C1S792/e/PWvl27&#10;Z/0+o33rtpUfY4AY/P39o6KiBg0aJB9jErbKh5k/GCp8Nlv5WUmSGKzMBDEQZMAN1bx9PF3d5cc4&#10;9X6tQpfR1KTFvCNlVV3CPlsra2cH8fZciybNBvUfkDBr9pEDhzIePSktKX1d9qqkSLwBA8rzwXca&#10;NKjEUGlURAzRLVt5uLjZWlq1joQY1lw+f+HsqdNHDh9euXIlTKBlBRk6kKgkYAJ5uXgXaMoULp8z&#10;Z86hQ4ceP34MMXAkMjLSy8vLzc2tV69e27ZtS05OfvHiBWVEIssLpYqvA9oc/QcYhXu375w4egx6&#10;6N2jZ3itUBdHJ+Fv6ou4AWOESSIhPh+trM/KXqxrosyNCa1ZK7J5C3zemb9PP7h3P4K0a9v2aZOm&#10;dGjTDh8WFqnyf79wMm6sgy3E0HXPzl2PHjzEGOU/z71++cqqxBXc0d9PzEqCGIYOHSptJTYUhpDG&#10;9AeDJDxqB8Yp6NenDxED+ggxdGzXfuG8+Q/u3H2lzPLKePxkzoxZ7i6u+lV0TIW5FyxraihImuDA&#10;2twC9w7TTwdpnv4pz5Hk6IIy2izCBS7x9/GlnRckzD20b/+dm7c0n/vGQ2D75ldAqjxUYqg0Kh5j&#10;aIaoIYhtoqLXr1l749r161eunjhxYtWqVTABUvuhlCAhWQFoiWHhwoVJSUkZGRnsx44d26RJE1hB&#10;JYZvBLLZJTe8KinFhTx17PiSPxYN6jegUf0GPp5eOKrYHWyQfGyNfbE2FwviYn0wQ/w0MzJBiogM&#10;IkLDunfpOm3ylAVz58347fcBfeOaNmoMu2CYoBNOg0usLSy7xHQiYki7/6CksCgv5zkRw/KlyyAV&#10;4oVq1arhNwwcOHDUqFEjR46UM1ZJ/2AQs1PfQc/uPQKr+eP11wqpXo4YSkuLXt6/ffe3yVNcnZzF&#10;hzSUT+jAtRh9Y+WtdcEQSiQnusPASDOooEQJVuYWBApV3T1qBAU3adCwT89eC+fO379nLzkX5OYp&#10;M8qUd9ZUYvhJUTExNEdinOwd2ka3XrtqdfKVa7dupFy8eHHLli0zZsyQLhuWHUNfeUhKAGJsQRm4&#10;BvPnzz927JiMGOCJFi1ayDckVGL4RiBbHl54XfaqKL8Abrhx9TqO/4KEecMGD2nSsFE1H18bCys4&#10;wEBHFxNP3CCHo7FQymZgqsyOd7KzD/Cr1iCiXmSLlngbzRo1DgkMsre24b/4rdgvLrc0M+8S05F4&#10;4uHde7irEMO1S5dXLV/RJ7YntIBUNGzYsEuXLr1790Y8YmNj2WvmeP5AoFISVFOCg22j28hZSbWr&#10;1+jUvsOi+Qvu3boNdz7Pyr549tzYkaNcHJxoQDmkrNnefKhVpmEFSQwEFkpsYUw85+3p1bh+w/59&#10;+s6dNXvntu2XL1wkVivOL/irTKyGoNmwD/z8UaASQ6VRETE0bdi4qruns71Di6bN8COOHTpy9tTp&#10;Q4cOrVixAvMt/Rr8NRw30poBsveBk98F3LB582YoZ//+/WPGjGnUqJG7u7uHhweKoRLDfwLZ1EDz&#10;W3tEWTyjuKAQk/3saRa+/O7tO0cOG94uuk2NoBA5h006/nCDtETSUcX0Y4ZMDAwJI6AQ8c0lTy/o&#10;hJBUPuIQj8UxX7p6tpbW3Tp13r5lK1avIPcFVu/KhYsrliX26hHr6+3j4uISFhbWunXrTp06dVbQ&#10;tdzSLD8MxEIxb6A51L07bOrp5m5vbSs/lzbz9+lJJ07eTrl5LunM+tVreveIdbS1p9nlMyKaXWya&#10;VxHFEUESysM9S/H1VlMRwzm7BAcEtmzWfOjAQSuXJZJPetoj2vxlYVHZy1LxvR0lXBCUIF9D+VGg&#10;EkOlURExNGvUBGKwMjOv5u3TqX3MyGHxo+NHDBk8GH8Np16uq9q4ceMmyjKrzSoHsZhquWVZ5UH0&#10;vF+/fuPGjRswYACsQLhgY2OjPkr6D0E7i/jg3QZXHimUFZdgNUpflmRnPL15/cbBvfsW/7FoxNDh&#10;Hdt1CK8dirlRlkHUrJyhiRsMNA83IACCA30dXfjAwdZODoey8S8u4b+Otna4w1s3bb5/+05hniAG&#10;fNjlS5f17NbdT/laTr169Tp27IgT3bdvX8QGmRn4I2LQoEEyQQUlOrRtD5WKKUMBgURp/fvGJcyc&#10;vWDuvAljx/WO7VkvvI4cw8foa0IE8R6iErEpaWVGgELVRmI2avXAoA5t2g4fMnTe7DnbNm0mLMvJ&#10;yqZP6V+xPKogA80mX19XieGnREXE0Kp5Cz9vH9w9a3PLat6+tUJqhAQE1qxRw8dHOG6urq749Zhv&#10;dJXEB4FLgKenp5cCb2/vwMDA0NBQ9uRsa2traWnJaSox/FegnZUhhbe5AdkoK34pieH1q9elxSUF&#10;uXl5z3LwWw/vP7h44aK43n3q1A71dHVzEN96Ep8LFavuiI9BCu8V86QEB2JJPjkThk0Qg4GRfOrN&#10;f+1tbFs2bb500eKLZ89lPHr8ODXtfNKZxMVLenXvEejvj+zhTyAYQ4YMGT58uAxYf0hoI3KqKRcw&#10;7tqpc1A1f7s3QwKN6zeMatEK761mcIhvVW9XRydp91FYhY//N8ZAC4sYwsjE0swcSnBzcuby7p27&#10;LEiYu3/33muXrzx6mFqQ90IQAB0uXkJUTIHkBnYcV74T98NAJYZKoyJiaNygIQKHonq5udevE9G6&#10;VWR0q0iAyxaiIDg4WH7jkETlIa/lqpo1a9ZSULduXeKGVq1aEUzUrl0bzjAzM3NwcFCJ4b8C7Vym&#10;zFiV3KA5ynGshtg0JgN6ePWypKSw6MXz3IzHT64oq7WPGh7fo2s3zFaNoBBXJ2eiB0kGhrp6BArm&#10;JqZWZhaYMEkYMlxg0/21Cv8lYWVuEREaNmzwkGV/Lj5y4ODJo8d3bdueMHNW5w4dvZVPLhNTxsbG&#10;4lBjKyWG/XCACQB1JFAgKpKjDu1aizEGggBIF24I8Kvm4+kFHxAi0LzsxfyiN++skTAVY87iM5x0&#10;gbW5hbODY5B/QMO69QkUBg8YuGj+glPHjqfdf/Ai57l4KV0JDt5sYqHl0uKX7OllwgU1YvhJgVjI&#10;tdRJvHz58kbyjRnTpzdv3hx33tTUFMM9Y/qMzZs27d27d+vWrXPmzEEbCeSBMlTWp3///jLsfS/k&#10;i50AcWeP9MtVhdeuXXvixAn2cXFxderUcXJycnZ2Rhm2b99+48aN3NxchRQENCVW8SWhaes30BwF&#10;JP+2aSBXZs19npuWmnru3Lldu3bNmzuP/g0LC3N0dDQ3MzMhWtDXVz7zYyJWdhZfhhWfhq1SpYoy&#10;TC3WXBLPx43EcCjGzseraoumzYYPHjJ14qSpEycPHzw0skXLqh6e7i6uoTVrtW4V1bVjZ+gntlv3&#10;7l264kp369QZFzi2a/ee3Xv06hHbK7Znrx5ssT27s/XgNP4l/ys2TlDO6d2zJ/vuyjP9rl27dunS&#10;pXPnzp0UyOf7lUGPHj3kGABpZekKgVjKxh27de/Z7X93pKiUuScHRTFEwURa2Xp06SY3cUn3Hr2h&#10;vm7dO8d0xIjjjREW1KsTEeDr52zvqLyYZoKtt7W0slE+hy6HEMyUgRyiBPE1XF09Q+VDzTSyXCad&#10;+B4PrH379pMnTUKFL5w/f+/evaysrMKCAtmD2g6VCXkQvDmoJH4UqMRQWSAB+IYyIYjhxo0ZM2ZA&#10;DPJxf1RU1Jo1ay5cuHDnzp0rV64gWLNmzZoyZYqcXCTmFVUak99gkrKixvTp0+fPn0/m58+ff/Lk&#10;ycmTJ8eNG8d9PT095aOkHTt2pKSkaIlBllbFtwZt7xBn0FkPHz48fvx4YmIiPi8hplw0lw61sLCQ&#10;X4s0MjIiKOQnsLawxJ+Vbi/uMJvy3MMYbmjZrHnnDjEY2S4xHevXqevm5CJW7wkIbNKgYevIqA5t&#10;2xFGdO3YqVvnLlqby8kkBGcIJlDSXbrxX7m9+ZfchOGO7d4dMQM9e/bEGmutPD8rCQ0VKIBaJMrd&#10;SNKDYAhRAFkGwQFdKTaU1r2zKBjE1qVjp07tO8S0a0+92kRFRzZvQdQFH4TVql0jKJj4wMPF1c5K&#10;zOBShm3EW2lwKj/hBppOjC0r4zTQhokxRGxsbm4OK6NKhPVE5PA0uoZvd+vWrWfPnn3Xy6N+IlRi&#10;qCwQkXeJoUGDBjgalpaWrVu33rRpU7LyGRakas+ePQkJCbACZl37tlrloZ23yn727NmLFi3avHkz&#10;mcs3nydOnNiiRQuVGL4vIDzad2JJFxYWpqenI0VHjhwhCkSWCCubNm1Kn+Jn4MDCDZIecGkxcHKT&#10;pk1uOr/8amFq5uXuUc3HN9g/sHpgkJebu5W5hZxeia1s1qhx2+jWGNPePWIHxvUbPGDg0IGDhw8Z&#10;OnTgoMH9B/CTaIM4Q2xDhsZrt6HD4oewiYPKfzlHPImSj27kg6nBCmS6MnjrZJmVyHbwkKGDBott&#10;INsguQ0bJAo5YujwEaIkogyD+vWn/HG9+8AisAKBUZOGjcJr1Q4JCIIaPVzcXAme7R3sbWzl2yEQ&#10;p4YYxIJ3ItiCDCSnykFm8dPY2MrKytvbu3HjxrAdOrVixYoDBw5cunQpLS2N2E52loTswZ8KKjFU&#10;FsjHu8Qgp41CDNHR0Rs2bLh69Wpqaurt27d37twJJYwfP156/Ygde01E8D4QYUh6kAkijz/++EN+&#10;+uPp06enT58mt1atWiHTHsp0VZUYvgtIYpAixF4+WQJ5eXkZGRkXL15ctWrVmDFjiAVDQ0N9fHyc&#10;nJxgCPldJkM9hRXeBAqKmROzXUlYmZmbK7NdLZUxakM9fQsTM1dH50A//zqhYS2aNG3fug2uN1Z1&#10;YL/+2OKRw+PFNoxt+Kjh8aPiR4wZMXLMyFHjRo0ZP3rshDFjJ4wdx3482+gx49hGjR47arR4o+zv&#10;GDlypHijrHLQXPNmxjbVBGNHjuLWFIBiUBiFBsQ2YthwSiiOy38Nj4fGBvTt17dnry4xnaJatGoQ&#10;UbdWSA0fz6pyNRqYQGzKxFMRTinjMWIGqrLMEZuhrqAHM2PxcInAy9bSysHWzsXZOSAggFgtPj5+&#10;2bJlJ06cwKVDiegOGSgA+kvbZT8bVGKoLBCUd4kBzx0DjQLLiAEDnZmZiYThesycOXPChAnSuGPu&#10;2cs4oDJQlkcScQb7OXPm/Pnnn2R+7dq17Oxs+YIbxIDtIGhQieH7BUZHdhkkkZWVhVeB2BAdIi1x&#10;cXF0cc2aNeF+a2trrJsweeIFXc0GSWD+xCMRA0P9KrrKWkx6wjvWN4AY8J3dnF28PTwD/arVrl4j&#10;IjQcY4qXHdm8BTFEx3YdusR07Na5S09lsKFPbM++vXr37xs3MK4/vjmRhNyGKJsILwaIAV7NCJgy&#10;SRSQ4GAl8dbJYgCtf38yx+JDVwP6xsX16oPd7xPbq2e3HoQF3Tt37dyhY/vWbaNbRrZq1qJpw0ZN&#10;GjRsWLde3bDwmiHV/X39xFuldvby4zlifF4GAZomEmTAcTnvSIwzK8TAvyxMTOXid80aN+nWpSvc&#10;tnDhwu3bt587d+7x48cotaZj3kD2DtD8/pmgEkNlgXy8SwzyWb+ZmRkMsXbtWgx0Tk4O3HDkyBE8&#10;fYgBPsC4y2EG9h8EET5MmQLBIL4bN268fv06xEDEQCDStGlTNzc3V1dXlRi+C0jHszxkT7EnjTgV&#10;FhbSg9BDWloaoeHWrVsRm9jY2Hr16uEB2NvaijEGUzPpF4sQwcSUBFbPSM+AKEFYQPnlOCWkkK6x&#10;xkG2sra3trW3tnG0tXdzcvHx9Aqs5l8rpHrdsDpNGzVu3rhJy2bNccPbREW3i27Tvk3bju07dOoQ&#10;oxmZ6NRZedDftdObd+VAly7iGw+aEYPKQTvszLVk1bFjx5iYmC4dO3WO6cjtOrRp2zYqGg6gGC2b&#10;Nm/WqEnDuvXDa4WGBASKJ0Wubo529vj4jsoG59lZ21ApakcQQAuwUWUxsCxjBSXNQTm7FzLQhAiO&#10;TlXdPcNq1e7aqfPUiZM3rt8AHzx48IAonJanC2S/ACVO+B84Ijvxp4JKDJWF1GGZ0BJDVFQUegsx&#10;YKlXrVrFQYgBHD9+HE9/4sSJeP2cxh6G+FBIepDEsGHDBiIGDEdSUhLEIAlJvuCmEsO3DyRH9g7Q&#10;2Jtyj7CFNVIgjyM/CNK+ffsWL15MXxM9tGvdpnnjpnVqh/p5+zjbO2AT8YthAjHwoGdAWjrI2EED&#10;HT255IP0mtneGE0xHZaD1haWLg6OBBPVvH0DfP2CqvlXDwyqFVIjvFZtAot6dSIa1qvfqH4DnPTm&#10;TZq2EpzRMrpVZBsFbRW0a9euw5uPElYSXMXl0dHRhEGILsrSpAnWv179iLp1w+tgrGtVr1E9MDgk&#10;ICg4IDDQz7+at4+Xu4eLg5OdlbWlmMsry68ZIZDWnzrKcRd+yqdJJAgO5BFOgD6hEE839xpBwVSK&#10;UInwaPSIkX8uWLh3564rl8SDWWI1mp0ukH0kO0XpCgGlcwRkJ/5UUImhspCCQoI9xJCcnEzUj/sT&#10;HBxsY2PToEGDhISEEydOZGRk4NefPHly3rx5kyZNwr5PVyCeEFUOkIGckiQvl4PPcgCj/OCzl/Ip&#10;aZUYvjvIbpLQHHoDeRBrJQce7t+/f+XKlVOnTu3Ytv2P+QsG9uuPscZ0wg1wQJX/9386//erXNBb&#10;bErcIBPKoxWx0gOsQJwBMShDr4InMKBvFhMVUznxpu2sbHDDnezsIQzcag8XV6KKIP+A2jVq4rbX&#10;DRNs0ahRIww6lh1WwNkHygdnKwv4gBwiFNStW7dWrVriu+jevt6eXm7OLuLtbitrNsIaEQ1YWlM2&#10;a3NL+E8ESYrFp77yiRm0BzcI2lNmGUEDMk6i1rSGePMD8lAmI3Gtb1VvoqK43n2mT/tt0/oNSSdO&#10;3rh67cHdexmPn+TnvZA0oGn6N41fPvEzQyWGygJi0KT++gvVxRavWLGiZ8+eSLmtrS0hP5GBXBkb&#10;YoAh5s+fj33Hsv/+++8fSgxTlEmrKjH8nJD9CLBchYWFBBD379w7dezE8iVLx40e0ye2Z1TLVmE1&#10;awf7B7x52u5AHIC5F861slarpASNf60YyjePm0R4wTniSZRcnYl4Qmxi+JrNQizTZAlJeLq6+VX1&#10;Jv8Av2oBRBXVq9euXRub3rBhw8aNG2PlSVQe4eHhISEh/v7+AQFEBIG+vr4Euw42tpCBlZmFubF4&#10;LCYjGwsTMzbliPJo6M30XIXqlMdEb84U3PBmrIXqwCiuTs5yZCUkIDCsZq0mDRp16hAzdNDgxQsX&#10;Hdp34Ob1GzmZWUUvCkoKi8Rn8l6pmvJvUInhA4CuKiGmCDnx5jZu3Dh48GC0xd7eHtHHlO/Zs+fh&#10;w4eZmZnHjx8nYuAIVh7jLqEx/JUD50MPXA4xlB98PnPmDIShzkr6UYFoyQ9Dyt4EpF8WFWdnZKZc&#10;uw497Nu1Z92qNXL9n0H9BnRo07ZO7bCq7p721rYQA4bSUFes2yoGohUyMNKs/6N5DiO9bLkZK6u6&#10;irQMNZSNn5hdmIYMHWzscOfF831HRxcXF+QNd6Rq1aqeHwh3d3cHBwf8JzSFrEhYWFhg0MVWbhYp&#10;5ZEll3GPJDOlbOIDR5IeKJ6+jq7uL7+SEMSgVIHYwterar3wiKgWLXt06QZ9Lpq/YMOatXt37jp+&#10;+OiVC5dS7z3Ie/b8lbLMkdjk4ncq/hkqMXwApJYCuCEtLQ2LPHr0aBwohJ64Yfz48RyBMCQxEDFI&#10;yy5N/AcRA0EG4FpJDEuXLt2+fbscfE5KSoJvIiMjVWL4IYF0QQyEpCSkvBUXi++ClRaXFL7If/E8&#10;L/dZTvqjx7dTbh45cHDtqtWzfp8+MK5/dMvI0Jq1fJQnMy4OjuLhjLWNvbWNjaXyiUpTseQDtCEC&#10;BWWCE8ZUyxDCtr4xzVCIsg6HeD6jhBFKYEEUYmJiampqbm4uX7gzU8DPyoMcjIyM2HOhfEsDs65E&#10;NmKJUxJiyEQzkK6UShsiKKGMdrM0NZNTTm2trB3t7D1c3ap6eAYHBLZo0rR3bM9J4yYQH+zfvefG&#10;tetPn6S/yMktzi8syHtB09GAr0vF1zLk9tdPOaRceajE8AFAUbXe3OPHj3ft2gUZNGvWDD8IYhg7&#10;dizmWxLDyZMnFy5cKMngQ4lBnjld+fQbxJCQkLBy5Ur5NqaclURuUVFROG7qC24/HuhBGZLKrpQ/&#10;gVivjY1j/C0pLcx78ehB6vUrV08eO75z6/YVS5fNmPb7iKHDMY4x7dpjJevUDg2qFuDh4ooZ1TKB&#10;9K+VvTJw/YYYhDOuPKkXPrjCEPKn5oh8164cxGIdykoSlYR4FeMNjBWI97rFooFikhV3kZxEcCCf&#10;bnFT7RCClio4YmVu4ebkHFTNP7xW7QZ160U2bxHbtdvQgYPhA0KEzRs2Htp/4FzSmXu3bj/Pyi4p&#10;KtYsiy33StP9bVPxz1CJobJAOdFSLTHIiEF+TE0Sw7hx4zjy4MED6df/+eefGPcZM2bg+38QMcg4&#10;Qw5LkJg3b9769euPHDkC5eTk5EAMMmIgQie6V4nhBwPSRbjwUvl8t+ADLJjsVq05QwyVzwsXFxQV&#10;5L7IycrOznia8ejxnZSb506f2b5566L5CyePn9C/b1xM2/YNIur6+/i6ODiJWZ5W1gQQ8IT82ICF&#10;iZn83r18xC8IQCEMQQYYZYUeBEOQ1ph0DR8Aze9KQ5LBW1Do6k2UIOy+uDWFIax5Uzwzohy5UWzi&#10;Ax+vqhGhYW2jont26z5+9Jh5s+dsXLv++OGj1y9fTb3/ICs94/mznBe5eUX5hWUvSzTPi+SmWdkQ&#10;fhV7McZAWsU/QyWGygKNRVHlHqSmpm7dunXUqFGNGjWSxED0sHPnzocPH2K+z5w5s2TJklmzZs2c&#10;ORMTj32vPDFMUj76piWGBQsWbNq0iRAEKnr+/LmWGAgX5CJ6KjH8SJAypvU/OKLpVoUS5DrPcj3H&#10;1/y/7JWwgKXC2L0sKs7JzL6dcvP0iZPEEKuWr1g4d/6UCRMHDxjYo2u3ju07tImKbt64ab3wOmJZ&#10;IV8/bw8vV0dnZwdHZSUJC3Nl5pLCDWJMAmMtN/FTIQINJyjA3/9QiKdRJmJ5IoUpBFXIOEYJCMSS&#10;FVh/W0srZ3tHdxdXb0+vYP+AsJq16teJaFS/QVSLVu1at+nWucug/gMmjhs/b05C4uIlO7ZsPXro&#10;MDFTZnpGcUGhfEAkljgVH0soE8tia6MEhRtoIkEGMsEJKjH8K1RiqCzQWPRTIQWhuhCDjBggBjs7&#10;u9DQUIhh27ZtRAyY78uXL2/YsAGbDjdACRLS7r8XkIEMGgBXETFs2bIFpnn06JE2YmjZsiURg5ub&#10;W48ePfjv9evX8/LyZPEom6bEKr5bKFwgWEEDaeAEPbz9SESc9iYBnxTk52dnZac/efLwwYPbt25d&#10;v3b94oWLp06ePLB/P+7FHwv/mDhhQr+4uE4dO7Zq2TIiIiIkONjTw8PG2toI311XV6dKlSq//kpC&#10;LOuqJzYIwejvrCDB/3V0dNjLtBa6uroyoadHNrrsOQFiYE9a/gScUOXXKro6uspNdTjbytLK3c29&#10;mp9f7dq1mzVt1jEmpn+/fhMnTJw/f/66tWu3b9t29MiRixcupNxIuXvn7r279x4/evQ0I+N5Tk5h&#10;QSE8iuTDl0prCOIUk47eaatym/JfFf8MlRgqCyFzyh5IYiA+gAwkMYSFhWmJAef92rVr2OtFixZp&#10;iUFj9SsHyQqgPDEQMWgHnyEG7XRV7fcYZMFUYviZgQworovwD0pKSoqLi+U71U+ePLl169apU6eQ&#10;FmJZAtlx48YNHPj/2zsPryiuPY7/G0k0ycsjwQbYkCpgAwREVERU1AgiigUVkOIiRUCKJsFGjyKI&#10;gCAWorHEiiBIRwXBLqJgIaDSRJP3Ze+6B5K8vMWBmJP3/TBnzt07d2Yu59z9fe5vZnfHx83NzdHR&#10;cfbs2RjApqamkydPnjhx4oQJE0xMTIyMjMTPriA3xRTk92D4gTFjxmhpaeEtgLxZU1MTaySy2Ir6&#10;0XJQxlgVB0F7fX19Q0NDHBkFY+PuD8LivJAB+uDk5LRmzZoNGzaEh4dv374dbx/I7OLFi7W1tXi7&#10;iZ87xf8l/kGU29vbOzs7FVZgoO9XKAZVESMPa4DR+ReLAYnCgwcP8N6AISCGufLnQOBN6+7ujsQF&#10;7xyKgQAxPnsiKjEqWltbnz17hvGJ/LK8vBwzjNzc3LNnz2IYI7tNS0tLTk7+/vvvo6OjMeoQmkNC&#10;Qvz9/T08PFasWCG+1NYTZ2dnxPEFCxbMmjULYR1GQXzHu0B8Dw5b0UbxveclS1zk4DgYrjKZTDx8&#10;TUT/xMTElJSU9PT0I0eOnDx58ty5c3l5ecXFxWVlZUi7b926BaWh5+KOi/iPlIh/mQwEFIOqiIEo&#10;RiTeZn+9GHDG5uZm8T0Ge3t7WAHzL8ywjh07VlNTIy4lCUSHyf8hGJmYQQMUlIMBIVVUitvamGgr&#10;QT7x6tUrjFg4o6GhAZOPGzduIC7DGefPnz916lRmZiaG8a7fIQZ2aGior68v0g4Efaw9PT1Rg3GL&#10;rRAM1khNAASAcnx8PPSDeQyiP/IAnAWKwhmfPHmCGQ/6gJ5gfgMNoFdY4yV6iH/kN4j/5ffjXPn/&#10;EulQDKoixpwYfBidf7EYML+rr6+HGAoKCjCVwzRN5OarVq1SikH0kxAlYrhCDCKkotCzEogyKlGG&#10;NsQXrR89enRPDibsmLnn5+df+iMgjzNnzuTk5Bw4cCAjI+PQoUMYioj7qMQmsRcKABq4cOECakpL&#10;SzFW7969i7cJUoHnz5/jjKJjAAXRmf+Gsrc9EZVKFLVEGhSDqogxJwYfRvBfLAZx8xlvJLzBMEcz&#10;NzfX0tKCGNatW3f69Ok7d+5geiX6SYgYpUAEXKDYIEdswhjGvBubUBaVKKNSpBSYsIs5O+byT58+&#10;hS1+A+rFurGxESPz4cOHSDiQdiDcY41NmMTIGypAS4xeVOKY4uDyjKUdNlKKQdkf0SUlv6kRL8Fv&#10;XgpEJZEIxaAqYsyJwffXiwEZA86IN+HJkyeRsxsZGQ0ZMgRJg0wmw4wM70y8x9AxvK9Eb8n/M2KU&#10;KpFH3W5QVrSQtxE1AlGJmp5XaVBADUa7vEkvRH3PNuJoorGoF8iPpGgGlC9FDdr/fhcgmgl+U4Py&#10;H15KIv0IxaAqYiB2j9A+ikER7PsClLD1HdHR0UjShRgwd0O2bm9vP3z4cDU1NV1dXZz0xo0bmH+J&#10;d5fyjUeIEjFoBYqq3pVAWYkhpHwpkG//YxQt3tGzUpTBH74UiJrfn/HPeY9dSF+hGFRFDESswf8U&#10;Q3V19fHjx1NSUhDWo+TPYusTvxFDdna2EAOSdJxi+vTpsMK///1vfX19NLh3756wgkD0lhBC3huK&#10;QVVEzBXB98/F8OLFi5s3b545cyY9PT0uLg6BHuG7T1eTeoohJiZGZAzid1tzcnKmTZsmvkSqp6eH&#10;BhQDIaR/oRhURcRcEXz/XAytra1Y5+XlHT58OFH+U3riyQqKqK8C3bcX3gG1HDlypKioSHyw7+jR&#10;oziX+IkCHR0dioEQ0u9QDKoiYq4Ivn8uhra2NmwtKChAEIcYENzfWwzYKz4+HllCcXExjomMgWIg&#10;hAw0FIOqiJgrgu//zBgePnxYWFiImb54KsMW+aPcFFFfBZRWQDkhIQGHLS0tra+vf/bsGSRhZWX1&#10;ufx3jCkGQshAQDGoioi5IviqIgZkDIcOHYqNjUXsRpQXEV9FlGKIiopCznHs2LGysrLHjx83NTWh&#10;bG1t/S/5L9pTDISQgYBiUBVF3JXT1dUFAYgH9UAMGhoa06ZNi4iIgCqghJaWFpExZGdnx8TEiIm/&#10;iPUqIlwidty9e/eZM2du3rwpviWELMTGxubLL7/89NNPR48ejZMKMSg/Eq7oLiGEvC8UQx8QVkBB&#10;iOH06dMhISEQg5aWFjKGoKCggwcP3rlzB2Kor68vKiqCGJAxiI+rIsq/H0lJSZcuXXrw4IH4JZnj&#10;x4/PmDFDiGHMmDFbtmzBJmEF9AqIrhJCyHtDMfSBnmJATnDx4kXE5QULFmDmPmnSpLVr1yKI19bW&#10;tre3NzQ0CDEkJCT09QluaA9E6oC9kpOTxVN6IIa2tjYkJZCQ+L17HR0dtK+rqxO5AoAhRFcJIeS9&#10;oRj6gFIMCMGNjY0I/SkpKStWrBg1ahRi9OLFixGmCwoKEMSrqqqQT2Drjh07IiIikEwEBwcjvVCF&#10;0NBQNBbtsW98fPzJkyevX78OAdy6dWvv3r0TJ0785JNPPvvsMz09PZhJeY9BdJIQQiRCMfQNxF/M&#10;ykFTUxOCdUZGBsQwTI6pqamDg4N4zMimTZs8PT2XL1++aNGi+fPnz5Fjrxpz584VhXlyvv76a3d3&#10;d9giMjISnli9ejUk9C852tramzdvvn37NsTQs2+iq4QQ8n5QDH1DGXxfvHhx586dgwcPurm5aWho&#10;qKmpYT18+HBEbUzkDQwMDA0NUUYyoampObIvyB97NRo7in1xWF1dXWNjY+Wjr3Au8RBdnCgqKkrc&#10;Y1D2TUiCEELeG4qhbyD4ius2ra2t9fX1eXl5mMsjWH8p56uvvho/frylpaWdnR1yBcz6p06dOmHC&#10;hEl9YcqUKeIJiyijYG5uPnv2bKQOFhYWOBHMMXjwYHV1dVjB1tZ27969T548gQ/QJdCtLGYMhBBp&#10;UAx9QwRfrLu6ul69enX79u24uLjp06djaj9kyBAEaxcXl8jISMTrrKys+Pj4wMDAtWvXrlmzZt26&#10;de6qgZbKXTw8PIKCghITE/fv3w8DLVy4EKqAFZBMzJ0719/f/9ixYxCDcJWAYiCESIRikERDQ0Na&#10;WhpkgLRAQ0MD03xvb++MjIzCwsKqqqpz587t2bPnG/lPYkRERGCtIlt6sHv37kuXLpWXl0M2bm5u&#10;NjY2kNC4ceNWrlyJTZcvX3727Jny8hHFQAiRDsUgiebm5lOnTgUEBMyePRvBGmJYv349xFBUVHTz&#10;5s28vLx9+/bt2LFj27Zt4kOoqqD8YKt4mZKSUlBQcO3aNSQNyCdmzpwJAxkYGPj5+eXk5FRXVyNx&#10;gQ9EfygGQoh0KAZJvHjxAtEf4dvR0VFPTw9i8PHxgQwwka+trcVMPykpCYEeE3/xpQRVQGNF4iAH&#10;aUFubm5paWlycjLEMGPGjBEjRowfPz4sLAz1Dx486OjoUPRGLgalJAgh5P2gGCTR1NSE6L9z584l&#10;S5ZADBMmTJDJZJjaX7ly5f79+1hjvo9Yv7UvKBUi8gb4ABlDZWVlamqqp6cnMgZNTU1jY+Pw8HA4&#10;STzU840cRZ8IIUQaFIMknj9/jugcHR3t4uICMRgZGSF2Y46Pyrt370IMCOsI9EgClIH+f4KWPdOL&#10;vXv3Iv+4fv16eno6MgZxoxupCZKJ/Pz8x48fQwxdXV1CDMwYCCHSoRgk8fLly5KSkqSkpLVr18IK&#10;cIOzszOC+6lTp2pqahC4EdYR3FW/jgSQNHTfdH7Hnj17kJSUlZUlJCR8/fXXOIu6urq5uTlsVFFR&#10;ATO9fv1a6YO3/B4DIUQyFIMkXr16VV1dfejQIZlMNmnSJG1t7Tlz5gQGBh4+fLiqqgozfWQMyjwA&#10;wBACcdUIKF73RjQGaADr4DhFRUVIEaZMmTJs2LDPPvvM0tISR75//z7ShZ53mykGQoh0KAZJtLS0&#10;3L1798yZM0FBQYjaEIONjY2np2d6evrVq1cR0JExiFgPN0TJf2ZVKQmBskY0A5CBqMdaZAyFhYXI&#10;S0JCQnR0dGCFwYMHQww4xdOnTxX9IISQ/oNikAQyhrq6uvPnzyNqm5qaQgzTp0//EzEo3SBQ1ggf&#10;iGtHPcWAMo6AdKGsrAynGDdunBCDlZVVZmZmU1OToh+EENJ/UAyS6OjoePz4cW5ublhYmLm5OcRg&#10;bW39h2JQOkAkBz01AEQbbBJbsVaKISUlBVaorKwMDQ2FGD799FOIYdq0adnZ2c3NzYp+EEJI/0Ex&#10;SKKzs7OhoSEvLy8iImLq1KkQA0L2H4pBHvMV4R5rpSeUiBrQsyV2TE1NxaGqq6txCl1dXYhh0KBB&#10;0M+hQ4daWloU/SCEkP6DYpBEW1sbMgaIITIy0sLCYuzYsVZWVh4eHr8XgzI/EHG/pwOAaKNEqEJs&#10;ysjIgBVu3bqFsoGBAcTw8ccfQz+HDx9+8eKFoh+EENJ/UAySePnyZX19/aVLlzCd/3MxCA2gWUhI&#10;iL+/v6+v7/r165FbAG9vbz8/v6CgoNDQ0PDwcMhDKQasDxw4UFNTc+/evR07dowfPx5i+Oijj3AW&#10;ioEQMkBQDJKAGB4+fAgxIGOYOnXq6NGjMZf/QzFs27YNUR5xHw5YuXLlwoUL575jwYIFy5YtW7du&#10;nUwmgzbQGEoQa4BD1dbW1tXV7dy5E2IYPHiwMmPgpSRCyEBAMUiivb0dGUN+fj7iOMQwatSo//ap&#10;JBHrIQYvLy/IAI2tra1tbW3RHsyfP9/FxQVGCQ4OFu3FRScU9u3bBzFAP8gYDA0NIYZBgwZhF4qB&#10;EDJAUAySUF0MSBeioqKQWCBdmDJlCkI8rODo6Agl2NnZOTg4ODs7r127NigoSLSnGAghHwqKQRJ9&#10;yhjghrCwMAhg/PjxBgYGkAFMsHz58oVynJyc3NzcAgICoAS0pxgIIR8KikESqosBgT4iIgJxf8mS&#10;JWZmZmjs4uLi5+fn4eGBmkWLFkEMq1at8vf3pxgIIR8WikESqoshMjIyNDR0w4YNy5Ytmz17tr29&#10;/Zo1a4KCgnx8fFDj6OgIPUAMGzdu3CJ/eAPFQAj5UFAMkuirGGQymaurq52d3fz58728vEJCQry9&#10;vSEGWIFiIIT8TaAYJKG6GCIiIiAGPz+/5cuX29razps3D0oIDg4WYnCSs3LlSiEGWKGnGGpqaurq&#10;6rZv395TDPzmMyFkgKAYJKG6GMLDw6EB5aUkiGH9+vWoQQ4BHyxevFh8MAkvhRiwy3dyfiMG8VtJ&#10;FAMhZOCgGCQhUQzIIQIDA8X9Z3t7+4ULF3p5eUVGRlIMhJAPCMUgCYli2Lx5c0hIiKicNWvWnDlz&#10;IAmKgRDyYaEYJCH9UhIQNx4gBjs7O1RSDISQDwvFIAnpYti0aZNMJhNiQMbg5eXFewyEkA8LxSAJ&#10;6ZeSUOnr6+vi4oJKe3t7Dw+PiIgIioEQ8gGhGCTR0dGBkJ2Xl4c4bmZm1lMMlZWVqIcYxKdOe4rB&#10;1tZ27ty5aIZKuKGnGNzd3VEpxIAdhRiqqqru3r27bds2AwODQYMGwQ02NjYUAyFkgKAYJNHV1XXn&#10;zh0hhkmTJo0ePRpiQCqQmZkJMeTm5iYnJ2Omj63iewwymUwpBiQHYWFhEIOfn59II1ApLiVBCQLI&#10;IC0traSkpKKiAgfR09P76KOPhgwZ4uDgcPToUYqBEDIQUAyS6OzshBjy8/MRxKdMmaKtrY25PFKB&#10;rKwsTPNRDzFERUUh1vdJDOIiEnbcuXMnxHDlypWCgoKQkBB9fX11dXXkDa6urqdOnXr58qWiH4QQ&#10;0n9QDJLo6Oh48OABAjeCOMSAjMHMzAxRG9G8uroa0RxigDMiIyP7KgbkCrt27YqLi0tPT798+fKF&#10;Cxf8/f0NDQ1HjhxpYWHh7e2NmtbWVkU/CCGk/6AYJPH69evGxsarV6/u2LFj8uTJQ4cORdKAuI+A&#10;XllZCTGIewxb5T+t2icxbN++PTY29vvvv8/MzMzLyzt37lxAQIAQw7Rp03CcixcvtrW1KfpBCCH9&#10;B8Ugibdv37a0tNy5cychIQEZwxdffKGmpmZiYoIUobS0VCkGkTT06R4DUhCIISkpKTs7G2JAfhAU&#10;FKSvrz9ixAhkDL6+vswYCCEDBMUgiV9++aWjowNJQ2pqqpWVFcTwySefIGmAAyCGK1euJCcni7sF&#10;fRKD+EhSTEwMvHLkyBEIBvkBxKCnpwcxWFpaUgyEkIGDYpAExPDmzZvm5uasrKyZM2d++eWXH3/8&#10;8ZgxY+CAioqK4uLiffv2/V4Ms2bNEl9Z+BMxgOjoaHglJycHgoEY/P39dXV1NTU1ra2tsQvE8OrV&#10;K0U/CCGk/6AYpAI3IEAfPnwYYlBTU0PGoKOjo8wYhBgw/YcDQkJCeopB+T2G/yYGZAzYHWIoLCw8&#10;f/48xKCvrw8xWFhY+Pj4QAy8x0AIGQgoBqmoLoZNmzYpv+A2b948OIBiIIT8DaEYpKKiGOAAiEE8&#10;yBMOmD9//vr16//8UhLFQAj5IFAMUlFRDJGRkSEhIQjoLi4udnZ2yBjc3d1hBYqBEPJ3g2KQiopi&#10;2Lp1q3jC89KlS8Uzn9etW0cxEEL+hlAMUlFRDBEREYGBgcgSnJ2d7e3tFy1aJH5dlWIghPzdoBik&#10;oqIYULNhwwY3NzcnJycHB4clS5bIZDLYgmIghPzdoBikovrNZ3GDAWKAFVavXh0QEEAxEEL+hlAM&#10;UqEYCCH/MCgGqVAMhJB/GBSDVCgGQsg/DIpBKhQDIeQfBsUgFYqBEPIPg2KQCsVACPmHQTFIRUUx&#10;wAG+vr7Lly+HFZydndesWRMYGAgHhIWFbdiwYenSpdh9zpw57u7uUAjaR0VF7dq1a8+ePUeOHMnL&#10;yzt9+jTEYGhoqKGhATFs3LgxNzcX51V0ghBC+g+KQSpSxAAHoKUQw4wZM+zs7Dw9PdFSKYakpCQc&#10;GekC8gYkE3p6esgYrK2tse+lS5coBkLIQEAxSEWiGMSlJIjBysoKbkDGEBkZifbYKzo6OiUl5dCh&#10;QydOnEhLS1u9evW4cePGjh07d+5cHO3y5csUAyFkIKAYpCJFDHDAli1bgoKCIAZTU1Nzc/NVq1ah&#10;5TfffIO9YmNj4QMc+ejRo3v27MG+EIOhoSEaI5nA8XmPgRAyEFAMUpEiBgggKioqLCwMsd7Y2NjE&#10;xAQFvBRiSEhIOHjw4A8//JCdnR0XF4dNOPLEiRPXrl0LT1RVVXV2dio6QQgh/QfFIBUpYti6deu2&#10;bduwCUHfQA42QQyox16I/rDCyZMnoYfo6GjsiIxh8uTJ69evT01NvXHjxuvXrxWdIISQ/oNikIrE&#10;S0nIGLAJNfr6+hCDyBiEGPbu3XvixImffvoJYti1a5eTk5O2tjbE4OXltX//foiBGQMhZCCgGPqB&#10;1tZWiMHOzm7o0KGDBg3S09PbvHkzxFBcXJyRkRETE7Nz505kBjKZbNmyZQj9wM3NDfJA9Ef9N998&#10;A2FAJ7q6uqjfvn07NBAXF5eWlnbu3Ln8/Pxjx46hxtHREQ2mTJni7u6elJRUXV3NjIEQMhBQDP1A&#10;W1vb0aNHHRwcRo4c+fnnn0MMCPrl5eXXrl07efJkenp6ampqfHx8cHAwEgWEfoBZP3yA6L97926s&#10;PTw8jI2NkTSsXr0aIkGugJzgxx9/rKysrKqqgh5QuXDhQmQMpqam2BeJyPXr1zs6OhQ9IISQ/oNi&#10;6AcghhMnTjg7O0MJ6urqmPsHBQUhXbh582ZhYeGZM2ewNTMzE8nBhg0bvOVs2rQpMTERlTDKwYMH&#10;0R6pgImJia+v74EDB44fPw6jFBUV1dfXP3z4MDc3F2JYtGjR2LFjIQYcBMkExMBPJRFCBgKKoR9o&#10;b28/e/YssoFJkyZpaGjo6ur6+/tDCffu3bt161ZNTQ1m/XiZlZX17bffhoWFhYeHI0uALSAPxHes&#10;t2/fbmlpaWFhsWPHDrxEe1BXV9fa2vrs2TOIITY21tHREWKAP3x8fCgGQsjAQTFI5e3btwjQFy9e&#10;RB6AyD5y5EgDAwNM6s+fP3/79u3Hjx83NTX9/PPPkMSFCxeSkpIw94cVIImSkhIkBNh6//591M+a&#10;NcvW1jY5ORktnz592tjY+Pz5c4jh0aNH586d27lzp8gYIAZPT8+UlBSYg5eSCCEDAcUglTdv3kAM&#10;eXl5GzdunD59OsSA8O3i4rJnz54ff/wRk/3S0tLy8nIUMM3fsmVLaGjo5s2bo6Ojc3JyCgoKsBVS&#10;+e6777CvtbU1Ugr4o6ioCBkGtmL9008/JSYm+vr6YquWlhbE4OHhgYMjY+CnkgghAwHFIBUhhvz8&#10;/ICAABsbG8RuNTU1S0tLhG/UBAcHR8gRd54dHBzmyXFycvLx8QkPD4cq4AlXV9cJEyYYGRmtWLEi&#10;LCwMlVu3bsVeaODv74+tdnZ2SESGDh1qZmaGjGH37t1Xr16lGAghAwHFIBVxKQliCAwMnDlzJsTw&#10;xedfGOjqzZ09Z/lSFy93j40yPz/fDd4enutWr3Fd6rLUcYmLk/Oq5a4ea9b5rvcOkPltlMncVq5a&#10;MH/+grnzV7uukHn7BPhtRL1/97IRe82aMdPI0HDUqFEQw+TJk0NCQn744YeamhpeSiKEDAQUQz+A&#10;AF1QUIB4bW9vr6OjM2zIUGMDw4Xz5su8feN2xWQfyDyclZ2Zlr4/ZV/S97t3xyfuTkhMSdqbvi/1&#10;wP50bMWyLyk5PiY2ITZuf3LKwYwDWekHMlLTsKTv2//dlq2LFywcp6391VdfqaurI2OIjIw8ffr0&#10;vXv3kKwoekAIIf0HxSCJX+R0dnZWVFRER0e7urqamJiM0tQy0NGzm2WLKT+CfnFB4bXyisrSsorS&#10;stIrRSXypay4BDWisrK0HC9Li4rLi0vR8mp5BQolhUVFlwtzz51PjI2HGEZpjVRTU9PU1LS1tU1M&#10;TCwuLm5oaKAYCCEDAcUgCVgB0fn169eYvx8/fjwsLMzS0nKM1siRIzSMDcevXO6avDsp/+KlipLS&#10;G9eu11ZV11bfUCxVWKpvyss117sLt2tu3qm9detGbc31KtRUX7teXHDlhyNHw0M3z5o+Q0tDc8SI&#10;EYaGhnDPiRMnHj582NzczG8+E0IGAopBKojOyBh+/vnnGzduZGVlLV682EBXd7j6EM1hI+bYzt4S&#10;HnHkYPb5n84gbygrKkZmUF5cgnVZEZbiipIyLCij8mpZRWVZOcqiZUnhlR9zftgZtW2V6wrTSZM1&#10;NTS0tbVtbGyCgoKQnXR0dOCkXV1dik4QQkj/QTFIQmQMoL29/enTp4WFhcHBwbNnzNQZqz3sK/WJ&#10;RsYuTkuCNgZEffNtfHRMQkws1u+WWLxMjIvHkhAbJ24wYPk+Lj5O3jJ2V3Ro0CbXpcumW03TGTNW&#10;Y/hwc3NzT0/P1NTUuro6+RWsbhT9IISQ/oNikIQiPP/yC/KG5ubm2tra5OTkdW5rLMzMIYahX36F&#10;mD5hvJGFqbnVVAtLs6nmk03FMnWKmZX5VDTDgvqppmZTp5iibGNlbW1hNW2qhZW5xWSTiYa6eqM1&#10;tT4f9OmIYcOXLl2KgxcXFzc1NSFXgI0UnSCEkH6FYpAElIAYDSug0NnZ+ejRo4KCgriY2HWr3RDl&#10;9bTHIayPGDpsxJChWIar91p+X4NlxJBhMIrmsOFjtEaN0ujed5Sm1ng9gzmz7bZu3XrlypXGxsaW&#10;lhacUWQqin4QQkj/QTFIBdEZYfrt27coIGTfv3+/rKQk5/CRbyO3rHZdMdN6OjIGIwPDCUbGE41N&#10;VFmM9A2MDQwnmUyYPGGipZn54oWL/GV+sTExZ8+ehRU6Ojra2tpwLnFGRScIIaT/oBikglwBMRqg&#10;gEiNwN364sWjBw+v5F/el5Qs8/ZxXuzkssR5qdOSpY5OqiwuTkuWOS9dvtTF1WWZl4dn9Padp388&#10;cf3q1WfPnuH44izK84o+EEJIP0IxSALRWVF6d78Bha7Xr181t9Tfrysr7k4dUvbsTd2bsj9ln4qL&#10;/ItvaZlp6ViOZh/Ku5B7q6a26dlzkZcIcBZlgRBC+heKQRI9QzOsgJfdcnj7S1d7R2vLy5c/tzxt&#10;aKx/UFd//0FD/aMnjxtUWR7VPXxcV9/YXW588qih6clTaKajrb2rq0vugu4z4iTIG/hxVULIQEAx&#10;SEKkCIJuJQg3wA5db950vP4VMRzlNxDFGyy/qra86Xz9prMLB/kVf+/27S68O5c4C8QgrikRQkj/&#10;QjFIRYRpoHwpxNBtAkRyxHexvHmr4tLtALTvevP2ddfbzq5uWwhJvDuRyBW6T8TvMRBCBgCKQSoi&#10;QAPFa4AiXnYvyoIo92np9gAW5b7iLEoU5yKEkP6GYiCEENILioEQQkgvKAZCCCG9oBgIIYT0gmIg&#10;hBDSC4qBEEJILygGQgghvaAYCCGE9IJiIIQQ0guKgRBCSC8oBkIIIb2gGAghhPSCYiCEENILioEQ&#10;QkgvKAZCCCG9oBgIIYT0gmIghBDSC4qBEEJILygGQgghvaAYCCGE9IJiIIQQ0guKgRBCSC8oBkII&#10;Ib2gGAghhPTg11//A0fUxpjmrPZLAAAAAElFTkSuQmCCUEsDBBQABgAIAAAAIQCsK3kv3wAAAAkB&#10;AAAPAAAAZHJzL2Rvd25yZXYueG1sTI9BS8NAEIXvgv9hGcGb3cRoUmI2pRT1VARbQXrbZqdJaHY2&#10;ZLdJ+u8dT3oaHu/x5nvFaradGHHwrSMF8SICgVQ501Kt4Gv/9rAE4YMmoztHqOCKHlbl7U2hc+Mm&#10;+sRxF2rBJeRzraAJoc+l9FWDVvuF65HYO7nB6sByqKUZ9MTltpOPUZRKq1viD43ucdNgdd5drIL3&#10;SU/rJH4dt+fT5nrYP398b2NU6v5uXr+ACDiHvzD84jM6lMx0dBcyXnSss4yTfFOexH6SJimIo4Kn&#10;NItAloX8v6D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FU&#10;qTOkAwAAQwgAAA4AAAAAAAAAAAAAAAAAOgIAAGRycy9lMm9Eb2MueG1sUEsBAi0ACgAAAAAAAAAh&#10;APO9SKQe+wEAHvsBABQAAAAAAAAAAAAAAAAACgYAAGRycy9tZWRpYS9pbWFnZTEucG5nUEsBAi0A&#10;FAAGAAgAAAAhAKwreS/fAAAACQEAAA8AAAAAAAAAAAAAAAAAWgECAGRycy9kb3ducmV2LnhtbFBL&#10;AQItABQABgAIAAAAIQCqJg6+vAAAACEBAAAZAAAAAAAAAAAAAAAAAGYCAgBkcnMvX3JlbHMvZTJv&#10;RG9jLnhtbC5yZWxzUEsFBgAAAAAGAAYAfAEAAFkDAgAAAA==&#10;">
                      <v:shape id="그림 157" o:spid="_x0000_s1254" type="#_x0000_t75" style="position:absolute;left:341;width:21625;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imwgAAANwAAAAPAAAAZHJzL2Rvd25yZXYueG1sRE9Na8JA&#10;EL0L/Q/LFLyIbizWSHQVKVWEgmDU+5CdJqnZ2TS7xvjv3ULB2zze5yxWnalES40rLSsYjyIQxJnV&#10;JecKTsfNcAbCeWSNlWVScCcHq+VLb4GJtjc+UJv6XIQQdgkqKLyvEyldVpBBN7I1ceC+bWPQB9jk&#10;Ujd4C+Gmkm9RNJUGSw4NBdb0UVB2Sa9GwY/m+reNPwfd1+W4jXE/O08nmVL91249B+Gp80/xv3un&#10;w/z3GP6eCRfI5QMAAP//AwBQSwECLQAUAAYACAAAACEA2+H2y+4AAACFAQAAEwAAAAAAAAAAAAAA&#10;AAAAAAAAW0NvbnRlbnRfVHlwZXNdLnhtbFBLAQItABQABgAIAAAAIQBa9CxbvwAAABUBAAALAAAA&#10;AAAAAAAAAAAAAB8BAABfcmVscy8ucmVsc1BLAQItABQABgAIAAAAIQB8zJimwgAAANwAAAAPAAAA&#10;AAAAAAAAAAAAAAcCAABkcnMvZG93bnJldi54bWxQSwUGAAAAAAMAAwC3AAAA9gIAAAAA&#10;" stroked="t" strokecolor="black [3213]" strokeweight=".5pt">
                        <v:imagedata r:id="rId119" o:title=""/>
                        <v:path arrowok="t"/>
                      </v:shape>
                      <v:shape id="Text Box 158" o:spid="_x0000_s1255" type="#_x0000_t202" style="position:absolute;left:15113;top:27178;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txwAAANwAAAAPAAAAZHJzL2Rvd25yZXYueG1sRI9BT8Mw&#10;DIXvSPsPkSdxQSwdjAmVZdM0DQm4TJRduFmN1xQap0rSrfx7fEDiZus9v/d5tRl9p84UUxvYwHxW&#10;gCKug225MXD8eL59BJUyssUuMBn4oQSb9eRqhaUNF36nc5UbJSGcSjTgcu5LrVPtyGOahZ5YtFOI&#10;HrOssdE24kXCfafvimKpPbYsDQ572jmqv6vBGzgsPg/uZjjt37aL+/h6HHbLr6Yy5no6bp9AZRrz&#10;v/nv+sUK/oPQyjMygV7/AgAA//8DAFBLAQItABQABgAIAAAAIQDb4fbL7gAAAIUBAAATAAAAAAAA&#10;AAAAAAAAAAAAAABbQ29udGVudF9UeXBlc10ueG1sUEsBAi0AFAAGAAgAAAAhAFr0LFu/AAAAFQEA&#10;AAsAAAAAAAAAAAAAAAAAHwEAAF9yZWxzLy5yZWxzUEsBAi0AFAAGAAgAAAAhAH5zCm3HAAAA3AAA&#10;AA8AAAAAAAAAAAAAAAAABwIAAGRycy9kb3ducmV2LnhtbFBLBQYAAAAAAwADALcAAAD7AgAAAAA=&#10;" stroked="f">
                        <v:textbox style="mso-fit-shape-to-text:t" inset="0,0,0,0">
                          <w:txbxContent>
                            <w:p w14:paraId="1E69347E"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C</w:t>
                              </w:r>
                            </w:p>
                          </w:txbxContent>
                        </v:textbox>
                      </v:shape>
                      <w10:wrap type="square"/>
                    </v:group>
                  </w:pict>
                </mc:Fallback>
              </mc:AlternateContent>
            </w:r>
          </w:p>
          <w:p w14:paraId="78506866" w14:textId="77777777" w:rsidR="00094D21" w:rsidRPr="008F328C" w:rsidRDefault="00094D21" w:rsidP="008E70FE">
            <w:pPr>
              <w:pStyle w:val="a3"/>
              <w:numPr>
                <w:ilvl w:val="0"/>
                <w:numId w:val="126"/>
              </w:numPr>
              <w:rPr>
                <w:b/>
                <w:highlight w:val="lightGray"/>
                <w:lang w:val="pl-PL" w:eastAsia="ko-KR"/>
              </w:rPr>
            </w:pPr>
            <w:r w:rsidRPr="008F328C">
              <w:rPr>
                <w:rFonts w:eastAsia="Times New Roman"/>
                <w:b/>
                <w:bCs/>
                <w:highlight w:val="lightGray"/>
                <w:lang w:val="pl-PL"/>
              </w:rPr>
              <w:t>Sprawdzić lek</w:t>
            </w:r>
          </w:p>
          <w:p w14:paraId="3FC20A4A" w14:textId="77777777" w:rsidR="00094D21" w:rsidRPr="008F328C" w:rsidRDefault="00094D21" w:rsidP="008A03B2">
            <w:pPr>
              <w:pStyle w:val="a3"/>
              <w:rPr>
                <w:b/>
                <w:highlight w:val="lightGray"/>
                <w:lang w:val="pl-PL" w:eastAsia="ko-KR"/>
              </w:rPr>
            </w:pPr>
          </w:p>
          <w:p w14:paraId="12118ED4" w14:textId="77777777" w:rsidR="00094D21" w:rsidRPr="008F328C" w:rsidRDefault="00094D21" w:rsidP="008A03B2">
            <w:pPr>
              <w:pStyle w:val="a3"/>
              <w:ind w:left="4297" w:hanging="180"/>
              <w:rPr>
                <w:highlight w:val="lightGray"/>
                <w:lang w:val="pl-PL" w:eastAsia="ko-KR"/>
              </w:rPr>
            </w:pPr>
            <w:r w:rsidRPr="008F328C">
              <w:rPr>
                <w:rFonts w:eastAsia="Times New Roman"/>
                <w:b/>
                <w:bCs/>
                <w:highlight w:val="lightGray"/>
                <w:lang w:val="pl-PL" w:eastAsia="ko-KR"/>
              </w:rPr>
              <w:t>a.</w:t>
            </w:r>
            <w:r w:rsidRPr="008F328C">
              <w:rPr>
                <w:rFonts w:eastAsia="Times New Roman"/>
                <w:highlight w:val="lightGray"/>
                <w:lang w:val="pl-PL" w:eastAsia="ko-KR"/>
              </w:rPr>
              <w:t xml:space="preserve"> Przyjrzeć się lekowi i potwierdzić, że płyn jest przejrzysty, bezbarwny do bladobrązowego i wolny od cząstek stałych.</w:t>
            </w:r>
          </w:p>
          <w:p w14:paraId="46A11B9B" w14:textId="4EA17041" w:rsidR="00094D21" w:rsidRPr="008F328C" w:rsidRDefault="00094D21" w:rsidP="008A03B2">
            <w:pPr>
              <w:pStyle w:val="a3"/>
              <w:rPr>
                <w:sz w:val="26"/>
                <w:szCs w:val="26"/>
                <w:highlight w:val="lightGray"/>
                <w:lang w:val="pl-PL"/>
              </w:rPr>
            </w:pPr>
          </w:p>
          <w:p w14:paraId="2DACD2D1" w14:textId="77777777" w:rsidR="00094D21" w:rsidRPr="008F328C" w:rsidRDefault="00094D21" w:rsidP="008A03B2">
            <w:pPr>
              <w:pStyle w:val="a3"/>
              <w:numPr>
                <w:ilvl w:val="0"/>
                <w:numId w:val="17"/>
              </w:numPr>
              <w:ind w:left="4297"/>
              <w:rPr>
                <w:highlight w:val="lightGray"/>
                <w:lang w:val="pl-PL"/>
              </w:rPr>
            </w:pPr>
            <w:r w:rsidRPr="008F328C">
              <w:rPr>
                <w:rFonts w:eastAsia="Times New Roman"/>
                <w:b/>
                <w:bCs/>
                <w:highlight w:val="lightGray"/>
                <w:lang w:val="pl-PL"/>
              </w:rPr>
              <w:t xml:space="preserve">Nie używać </w:t>
            </w:r>
            <w:r w:rsidRPr="008F328C">
              <w:rPr>
                <w:rFonts w:eastAsia="Times New Roman"/>
                <w:highlight w:val="lightGray"/>
                <w:lang w:val="pl-PL"/>
              </w:rPr>
              <w:t>ampułko-strzykawki, jeżeli płyn jest przebarwiony (żółty lub ciemnobrązowy), mętny lub zawiera cząstki stałe.</w:t>
            </w:r>
          </w:p>
          <w:p w14:paraId="5A2056AB" w14:textId="77777777" w:rsidR="00094D21" w:rsidRPr="008F328C" w:rsidRDefault="00094D21" w:rsidP="008A03B2">
            <w:pPr>
              <w:pStyle w:val="a3"/>
              <w:numPr>
                <w:ilvl w:val="0"/>
                <w:numId w:val="0"/>
              </w:numPr>
              <w:rPr>
                <w:highlight w:val="lightGray"/>
                <w:lang w:val="pl-PL"/>
              </w:rPr>
            </w:pPr>
          </w:p>
          <w:p w14:paraId="25A9C78C" w14:textId="77777777" w:rsidR="00094D21" w:rsidRPr="008F328C" w:rsidRDefault="00094D21" w:rsidP="008A03B2">
            <w:pPr>
              <w:pStyle w:val="a3"/>
              <w:numPr>
                <w:ilvl w:val="0"/>
                <w:numId w:val="17"/>
              </w:numPr>
              <w:ind w:left="4297"/>
              <w:rPr>
                <w:sz w:val="26"/>
                <w:szCs w:val="26"/>
                <w:highlight w:val="lightGray"/>
                <w:lang w:val="pl-PL"/>
              </w:rPr>
            </w:pPr>
            <w:r w:rsidRPr="008F328C">
              <w:rPr>
                <w:rFonts w:eastAsia="Times New Roman"/>
                <w:highlight w:val="lightGray"/>
                <w:lang w:val="pl-PL"/>
              </w:rPr>
              <w:t>W płynie mogą pojawić się pęcherzyki powietrza. Jest to normalne zjawisko.</w:t>
            </w:r>
          </w:p>
        </w:tc>
      </w:tr>
    </w:tbl>
    <w:p w14:paraId="5CA6A447" w14:textId="77777777" w:rsidR="00094D21" w:rsidRPr="008F328C" w:rsidRDefault="00094D21" w:rsidP="00094D21">
      <w:pPr>
        <w:spacing w:line="260" w:lineRule="exact"/>
        <w:rPr>
          <w:rFonts w:ascii="Times New Roman" w:hAnsi="Times New Roman" w:cs="Times New Roman"/>
          <w:sz w:val="26"/>
          <w:szCs w:val="26"/>
          <w:highlight w:val="lightGray"/>
          <w:lang w:val="pl-PL"/>
        </w:rPr>
      </w:pPr>
    </w:p>
    <w:tbl>
      <w:tblPr>
        <w:tblStyle w:val="ac"/>
        <w:tblW w:w="0" w:type="auto"/>
        <w:tblLook w:val="04A0" w:firstRow="1" w:lastRow="0" w:firstColumn="1" w:lastColumn="0" w:noHBand="0" w:noVBand="1"/>
      </w:tblPr>
      <w:tblGrid>
        <w:gridCol w:w="9394"/>
      </w:tblGrid>
      <w:tr w:rsidR="00094D21" w:rsidRPr="00A5286D" w14:paraId="7DC6DA94" w14:textId="77777777" w:rsidTr="008A03B2">
        <w:trPr>
          <w:trHeight w:val="5238"/>
        </w:trPr>
        <w:tc>
          <w:tcPr>
            <w:tcW w:w="9550" w:type="dxa"/>
          </w:tcPr>
          <w:p w14:paraId="7FF92DA7" w14:textId="1BA4CDF7" w:rsidR="00094D21" w:rsidRPr="008F328C" w:rsidRDefault="00094D21" w:rsidP="008A03B2">
            <w:pPr>
              <w:spacing w:line="260" w:lineRule="exact"/>
              <w:rPr>
                <w:rFonts w:ascii="Times New Roman" w:hAnsi="Times New Roman" w:cs="Times New Roman"/>
                <w:sz w:val="26"/>
                <w:szCs w:val="26"/>
                <w:highlight w:val="lightGray"/>
                <w:lang w:val="pl-PL"/>
              </w:rPr>
            </w:pPr>
          </w:p>
          <w:p w14:paraId="1F24B22E" w14:textId="439F1179" w:rsidR="00094D21" w:rsidRPr="008F328C" w:rsidRDefault="00094D21" w:rsidP="008A03B2">
            <w:pPr>
              <w:spacing w:line="260" w:lineRule="exact"/>
              <w:rPr>
                <w:rFonts w:ascii="Times New Roman" w:hAnsi="Times New Roman" w:cs="Times New Roman"/>
                <w:sz w:val="26"/>
                <w:szCs w:val="26"/>
                <w:highlight w:val="lightGray"/>
                <w:lang w:val="pl-PL"/>
              </w:rPr>
            </w:pPr>
            <w:r w:rsidRPr="008F328C">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322" behindDoc="0" locked="0" layoutInCell="1" allowOverlap="1" wp14:anchorId="03D418EE" wp14:editId="4761B1C9">
                      <wp:simplePos x="0" y="0"/>
                      <wp:positionH relativeFrom="column">
                        <wp:posOffset>74295</wp:posOffset>
                      </wp:positionH>
                      <wp:positionV relativeFrom="paragraph">
                        <wp:posOffset>164465</wp:posOffset>
                      </wp:positionV>
                      <wp:extent cx="2174875" cy="2838450"/>
                      <wp:effectExtent l="0" t="0" r="0" b="0"/>
                      <wp:wrapSquare wrapText="bothSides"/>
                      <wp:docPr id="159" name="그룹 159"/>
                      <wp:cNvGraphicFramePr/>
                      <a:graphic xmlns:a="http://schemas.openxmlformats.org/drawingml/2006/main">
                        <a:graphicData uri="http://schemas.microsoft.com/office/word/2010/wordprocessingGroup">
                          <wpg:wgp>
                            <wpg:cNvGrpSpPr/>
                            <wpg:grpSpPr>
                              <a:xfrm>
                                <a:off x="0" y="0"/>
                                <a:ext cx="2174875" cy="2838450"/>
                                <a:chOff x="4057" y="0"/>
                                <a:chExt cx="2175406" cy="2838450"/>
                              </a:xfrm>
                            </wpg:grpSpPr>
                            <pic:pic xmlns:pic="http://schemas.openxmlformats.org/drawingml/2006/picture">
                              <pic:nvPicPr>
                                <pic:cNvPr id="160" name="그림 160"/>
                                <pic:cNvPicPr>
                                  <a:picLocks noChangeAspect="1"/>
                                </pic:cNvPicPr>
                              </pic:nvPicPr>
                              <pic:blipFill>
                                <a:blip r:embed="rId120" cstate="print">
                                  <a:extLst>
                                    <a:ext uri="{28A0092B-C50C-407E-A947-70E740481C1C}">
                                      <a14:useLocalDpi xmlns:a14="http://schemas.microsoft.com/office/drawing/2010/main" val="0"/>
                                    </a:ext>
                                  </a:extLst>
                                </a:blip>
                                <a:srcRect/>
                                <a:stretch/>
                              </pic:blipFill>
                              <pic:spPr bwMode="auto">
                                <a:xfrm>
                                  <a:off x="4057" y="0"/>
                                  <a:ext cx="2167396" cy="2654935"/>
                                </a:xfrm>
                                <a:prstGeom prst="rect">
                                  <a:avLst/>
                                </a:prstGeom>
                                <a:noFill/>
                                <a:ln>
                                  <a:noFill/>
                                </a:ln>
                              </pic:spPr>
                            </pic:pic>
                            <wps:wsp>
                              <wps:cNvPr id="161" name="Text Box 161"/>
                              <wps:cNvSpPr txBox="1"/>
                              <wps:spPr>
                                <a:xfrm>
                                  <a:off x="1460008" y="2692400"/>
                                  <a:ext cx="719455" cy="146050"/>
                                </a:xfrm>
                                <a:prstGeom prst="rect">
                                  <a:avLst/>
                                </a:prstGeom>
                                <a:solidFill>
                                  <a:prstClr val="white"/>
                                </a:solidFill>
                                <a:ln>
                                  <a:noFill/>
                                </a:ln>
                              </wps:spPr>
                              <wps:txbx>
                                <w:txbxContent>
                                  <w:p w14:paraId="7F3AFA54"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3D418EE" id="그룹 159" o:spid="_x0000_s1256" style="position:absolute;margin-left:5.85pt;margin-top:12.95pt;width:171.25pt;height:223.5pt;z-index:251658322;mso-height-relative:margin" coordorigin="40" coordsize="21754,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4kljgMAABAIAAAOAAAAZHJzL2Uyb0RvYy54bWycVdty2zYQfe9M/gHD&#10;95iUrIutsZxR7NiTGTfR1O7kGQJBERMSQAFIlPNB/YX2IV+U/kTPgqQVyek0yYOoBbBY7J49B7h4&#10;tasrtpXOK6PnyeAkS5jUwuRKr+fJ7w83L88S5gPXOa+MlvPkUfrk1eWLXy4aO5NDU5oql44hiPaz&#10;xs6TMgQ7S1MvSllzf2Ks1FgsjKt5wNCt09zxBtHrKh1m2SRtjMutM0J6j9nrdjG5jPGLQorwvii8&#10;DKyaJ8gtxK+L3xV908sLPls7bkslujT4T2RRc6Vx6FOoax442zj1LFSthDPeFOFEmDo1RaGEjDWg&#10;mkF2VM2tMxsba1nPmrV9ggnQHuH002HFu+2ts/d26YBEY9fAIo6oll3havpHlmwXIXt8gkzuAhOY&#10;HA6mo7PpOGECa8Oz07PRuANVlECe9o2y8TRh+62ifLPfPB5lk2eb0/7s9CAjq8QMvw4GWM9g+H+6&#10;YFfYOJl0QervilFz93FjX6Jjlge1UpUKj5F96A0lpbdLJZauHQDRpWMqhxomYJzmNWj/5a+///nz&#10;M6MZ4Ex7yK3dxKmoOyM+eqbNVcn1Wi68BXMRgbzTQ/c4PDhxVSl7o6qKekV2VxtYfsSSb8DTMvDa&#10;iE0tdWgl5WSFMo32pbI+YW4m65VEPe5tPkCvIOeAkqxTOrT68U78hnyjlnxwMoiyz3ufG1XhwTO2&#10;an41OQLwTTBRM0c8O+bLnmqT6el5z5bJeHR+Oo749GwBkM6HW2lqRgYSRlLxBL6985QeiNW7EFja&#10;EGwx7UofTMCRZiLWlHRnogZSCa4q36OM0TOcf0iN9yW3EllS2K+5A6hb7jwQAK/NDuyJfOgcSbMs&#10;7LDQ8YTm21z3gHTSHYwmWZbhKiaRTs6Ho6wTaY/tdHA+GncqJudWxE863MP2nch6U6m85yRBflU5&#10;tuW4hJtSBdm17cDrPzqwr4qssFvtWm0NTykIza1M/ggonEHHIThvxY3CiXfchyV3uM0xiRcqvMen&#10;qEwzT0xnJaw07tO35skfbcVqwhq8DvPE/7HhdG9UbzUaTk9Jb7jeWPWG3tRXBrWihcgmmtjgQtWb&#10;hTP1BzxcCzoFS1wLnDVPQm9ehfaNwsMn5GIRndrr507fW1xag8hrQvZh94E72/UloKHvTE8pPjsi&#10;futLTPd2AfndqKiKPYrgOQ1A72jFZwfWwbv29Th67R/yy38BAAD//wMAUEsDBAoAAAAAAAAAIQCq&#10;sNMIS4sBAEuLAQAUAAAAZHJzL21lZGlhL2ltYWdlMS5wbmeJUE5HDQoaCgAAAA1JSERSAAACCQAA&#10;An8IBgAAAPIZQCQAAAABc1JHQgCuzhzpAAAABGdBTUEAALGPC/xhBQAAAAlwSFlzAAAh1QAAIdUB&#10;BJy0nQAA/6VJREFUeF7svYVblvnWPf77G95zJhQw6EbSDjBQQjFoCwMLUcJO7ATsxELs7m7F7nbU&#10;0Rmd7pnznnq/+7fXfrgdBm8UFRVhr+talwo8D0957/XZsfb/x5jPvK1UKpVKpVJZiAuY/9/t7Oxs&#10;OnLkiFKpVCqVSiXNmDGDWB/cEZGALygUCoVCoVAAx48fV5GgUCgUCoXieahIUCgUCoVCYQoVCQqF&#10;QqFQKEyhIkGhUCgUCoUpVCQoFAqFQqEwhYoEhUKhUCgUplCRoFAoFAqFwhQqEhQKhUKhUJhCRYJC&#10;oVAoFApTqEhQKBQKhUJhChUJCoVCoVAoTKEiQaFQKBQKhSlUJCgUCoVCoTCFigSFQqFQKBSmUJGg&#10;UCgUCoXCFCoSFAqFQqFQmEJFgkKhUCgUClOoSFAoFAqFQmEKFQkKhUKhUChMoSJBoVAoFAqFKVQk&#10;KBQKhUKhMIWKBIVCoVAoFKZQkaBQKBQKhcIUKhIUCoVCoVCYQkWCQqFQKBQKU6hIUCgUCoVCYQoV&#10;CQqFQqFQKEyhIkGhUCgUCoUpVCQoFAqFQqEwhYoERYnw3//+l/7xj3/QL7/8Qj/+8CN999139M3X&#10;X9PTJ0/piy++oEeff07379+ne3fv0u1bt+hWUd68SdeuXqUL5y/QubNnn+OlS5foxvXrz9+Oeef2&#10;bbp37x49fPCAHj96RF9++SV9/dVX9O2339L3331PP/30E/3266/0z3/+k/7v//6v4BErFAqF4k2h&#10;IkFRIkAgfMWB+S6LgKuXr9DZ02fo2JGjtG/vXtq2dRutX7uOclesoEULF9KsmTNpZnb2X5idmUlj&#10;MzIoPTWV+vZJeo5DBg2myRMnPnc7cN6cObRk8WJalZdHGzdsoJ07dtDBAwfo5PETLDrO03UWFw9Y&#10;QPzwww/0n//8p+ARKxQKheJNoSJBIVmCf//733IShxj4/fff+WT+G/38889ySv/xxx/lBI+ADFGw&#10;aeNGyl2+gubPnUfTp06jsaMzaNCAgZTUuzd16dSJYiIjqV3r1n9hm1atqFG9+uTq6ES2Vao+R1+v&#10;GtS8adPnbgfGx8RSYteulNKvHw0bMoQmjBvP4mEGLV64iNbkrWKRspWOHD5MN27coG+++UYe8y/8&#10;2H/99Vd5Ln/88Yc8r3/9818iIpBt+H//7/8VPHuFQqFQFAcVCRUcCJYQA48+f0TXr12nM6fP0MH9&#10;B2jbli20amUe5SxaRLNnzqIpkybRyOHDKT0llZL55N+zeyIldOxE7WPjKKptO4oID6eQ4GBqEhhE&#10;DerWpfq16/yFdWvVIh9PL3K0tTMVCRAPNX39nrsdGFi/ATVr3ITCWrQQsRETGUUd49tT14Qu1LtH&#10;T+rfN5lFygAaM3o0ZU2fTgvmz5esw+ZNm2jvnj2S8YDAuXP7jmRDIBhUJCgUCsXLoSKhAgABEadn&#10;ZAxAnKaROTCyBxAI+adO0ZbNW+R0PnHCBErtnyKBuFVoGDWsW08CuF8Nbwn03h6eVMPdgzxd3cjD&#10;xZXcnV3IzcmZXBwchU529qZ0qG5rKhBAu6rVRECY3c7Z3kHuF0ICvwe/D7/by81dHgcej49XDfL3&#10;9qHa/gEiVjrGx1O/vn1p1PARlJWZSStX5NKeXbvpyuXL0svwr3/9S54/XgsQr4tkGP5PxYNCoVAY&#10;UJFQAYAA+Osvv9KTL59IT8FlDpSnTp6kA/v3S8Zg2ZIlNG3KVBo2ZCj16dWb2sfFU3hIKDWoU1dE&#10;AQK1WWAvq4R4QDYjtHkLim4XSV07J4joyRg1mubOmk3r1q6lfXv20rGjR6Vp8ubNm/TF48f0w/ff&#10;i2hSKBQKhQUqEioA/vPv/9DjR4/p9Kl82rxxE82fN09S83169ZJSQXhoKAU3biJp/Xq1alOAj6+c&#10;znFqxykep3yzYFxWiYyEm7OzZBmQ/ajlHyCCJ6hhIxE/0ZFRlNitGw0eOJCmTpkiZZWjh4/Q3dt3&#10;pJ9BoVAoFBaoSCgnQEkBGQOk0X/77Tf67ttv6csvvqT7n30mo4dItS+cv4AyRo6iXok9qHXLVlQn&#10;oOYHJwDelCh5oHTh5+0jwig+NpYGpQ+g2TNm0qYNGyXDcvv2bXr48CE9ffpUxj3Rw4DSBF5f7WVQ&#10;KBQVCSoSygkQwBDMMIlw985dOsrv5do1a2gWBz80HCb16i1TAugxaMwn6lr+/tJPYBZIyzshFNDf&#10;gImKerXrUEizYIppF0mJXbvRgNQ0Gj92nIxybt2yhc6eOSM+EPCHQClCRYJCoahIUJHwgQKiAA13&#10;CFwY8UMQg8kQzIfQ0T971ixK659CbSNaS9Ohp5u7lA6QikeQtK9W3TSAloTIPuD2uB+j2RD3bTQW&#10;Gs2FECFoMHxduhdqijSILAB+V+HnYvYYS8LCzwPPAfePMkuj+g2kaRNNjyuWLadTp06JUdS333wj&#10;I5X/+7//KxkbvP7/T82bFApFOYaKhA8Q6MKHMEDQQjnh/PnztH/fPsrLzaXM6dNp8ICB1KVzZ2oZ&#10;GkZ1ataS4I2AahYoX5UIrAjUaGhENqJ+nTrUpFGgNAm2a91Gehxio6KpU4cO1KNbd0pOSiqGfakv&#10;/5nUu480SxZl7569qHuXrnw/HalDXDzFx8ZJLwHKJCH8u5oENaaG9eqTv4+vPB6zx/qqxHPD64TG&#10;x8AGDSmyTVvqw48jY9Qomjdnrhg5odnx2rVr0uiIrA3EgkKhUJRXqEj4AIAUd2Eii/D9d9+J1fGh&#10;gwdpSU4OjRoxQgIzTsEYBfRy9yA3PoWX5mSCEUTRDBjEQbRlSKh4FnTr0oXSUlJpzOgMmjRhohgs&#10;LZg3n9asXk07tm835XbmNuaWLVtp06bNws2FuHHDRspdkUvz5y+gWbNmU3ZWNk2aNJlGDBtO/fv1&#10;p0QWIPEsHloENydffjx4bGaP+XWI7IIzCw9kQiCGavr5iwhCyWbq5Mm0bs0aOnP6tNhEI7NQ9P0B&#10;FQqFojxARcIHAIgClBXgIAjnQ8z6Y4Rv+dKlHJQnUL++yXzKjhQ/gzcRBUi7I73v5+0ttfpmjRtL&#10;cMTpHaOESMEjO5DWvz+N4mA9afx48SCAIMhbuZK2bt5CO3fslMd2/NgxunTxojQBFiWcETGGiQzI&#10;2XPn6MyZs8Kz587TOex2YJ45e46OHTtO+/btp127drOo2EEbN26i3NyVtHDBQpoxYyZNZtEwbOgw&#10;6tWjp/Rb4DGivNIqLJzC+HHDgKkBPB44yKN08SZCwsvdnZo3bUadO3SkIYMG0UwWLRvWraP8kydl&#10;rwScHpHdQYOjigSFQlFeoCLhAwBS2ug5wBIllBXmzJolDoPtY2OpRbNgalS/vowt4uT7JoEQZQmM&#10;QIaHhFDXzp3FannCuHHS+b9i+XLasW2buBfCeOk8B/fLFy/J5AQyGgiUn/Pje8QiBo1+cDbEEiiM&#10;FBbl119/LTX+a9ev07VrFt64cZNu3bpNd+7cFd6+fYeu89euXL1Gl69cpUuXr9AF/n0QDydP5YuA&#10;OHz4CO3du4+2bdtO69atp2XLltPcufMoc3omjR83ngYPGkw9uidS29ZtqH6dum9UcoH4Qr8CJkJQ&#10;XmkVFka9e/ZkoTKJ1rNYuHDhgggFZBYg6hQKhaI8QEVCGYThjohpBQRV1L+vXLkiexMyp00TcyCc&#10;ktHcZxbQXkSICDT9QVB4e3pRgK8f1a1ZS/YqwEMAuxcGpafLQqbVq1bRnt27RRRgE+P3339vadYr&#10;klovCfGc8HxgWIRlTDAxOnDgAB06dJiOHD0qwf/GzVssHh7Qw88f0aPHX7wS7z94SFdZbOTnn6aD&#10;Bw9J5gFZhyw+8Q8ZPER6GxpzcK/LIgiujBBVKCUYDZ1mr9WLiJIE7gv9F8OHDpVdFicxPslCB2IB&#10;WR+IO3Fx5OevUCgUHyJUJJQxIKgguCCgYlb/dH6+nFThiIiGPyxPQj8A6vBOrxHcUE5AsyEMlDq1&#10;70D9kvrS6JEjaQYH02VLlkpzHsQIhAGyBPfu3hORgqwA0ul4fK8DiAvU8OHyuDRnCY0bM0YWNg1M&#10;H0AjR4yU3oM9e/bSxYuX6Padu/T5o8f0+IsvS0z8/N17n0lG4uKly3QW5YrjJ+Q+UaZYws8tMzOL&#10;xowZKxsnsXmyc8dO1CaitWQZXrVMA7GFBkfslkCDKBpFUYaAUdXuAvtnZExQJsJzVygUig8RKhLK&#10;CIzsAYIKFi4hXX+Cg9ySxTkSSFFjRzkAp1776rYlKivgZ4zxPkwAYMSvXu3aUrtHgJ42ZQqtzltF&#10;eN9RLsBOA/xuCBRjzO/fTAQ5PLbXEQhGJgH3B8GDHgY0OmIRFE7xyGQENmxEvXv1pkWLFksJASWG&#10;VxUJRkYBt0MmAkR24bP7Dyzi4eYtud/jJ05KlmE5n/ynT8+UkkRk23bSjOlS8Po68utV0tcYGQXj&#10;9YVBEyytsaVy4/oNIrJgamWUIDSroFAoPjSoSCgj+CcH0R9++EFGGmGEtDI3VyYF0FEfEd5S0uNm&#10;Qao4QhygHIExQTTyIWuQ3KfPs3E+ZCdwqr944QI9uH9fyhpv49SLwIj7/eH7H2jHtu2SDUFDpLen&#10;pwRYBNcaHp7Urk1byhidQatXr5GegwcPPzcVA69DiAfcH0QD+hzQIIkyB3oZVqzIpSlTplJqSqps&#10;lcS0Bpo10bjpwa/fq2QYIDBgbY0mSvRzoJdjy+bN0r+BrAL6SjSroFAoPiSoSCgjwAkezXwYaZw+&#10;dSrFRUVTi6bNpH6OYP8qTXcQCAi+8EiAxwBMgXL4lL5v7z4WBRdFiHz91VfSY4DAZXTl47Rb2idd&#10;BEVpunz0iJYuzhHBg4wGHiMeK07rCMTYq4CxRpzu0YyIgG4W8F+XRqYBYuHeZ/efNUaiKfLEyVPy&#10;O1flrZJMx4D0dIps145qB9QkDzd3ETNFX2Mz4rkg24OdEZg0QRkCa7VRxkH5AWZXyKgoFArFhwIV&#10;Ce8RCMo/8wkeARRz9+gHQO9Bl06dn00rlCRAGSlvNCKKzXBwc2moQ79B5rTpkvrOz8+X3wMxgpP9&#10;uwLEB/oZbt64QTOzZ8hkQNHHj+CKx90+vr1MJezcuavURUJxhHBASeLmrduUz+/Bjh07aHFOjmQ1&#10;eiT2oKh2kRTcpKk0KSLjIeWeErwn+DmIheZ829T+/WnxokXSBHr92jXZCQFhplAoFGUdKhLeIxCs&#10;4Ruwfdt2yuITNNwHMVqHgGm4JL6sLm6cxBGQsIMAPgbjxowVO2GMSyLVjX4D9Dig4/5tlBReBPy+&#10;J0+eyOOYOnmKOBmaPYf3KRKM/gUIBYxZom8B3gxrVq+hWTNn0YjhI6hb124U3LSZCLGSODwWFm6Y&#10;qoATJRob0WNy9MhRevrkacErpFAoFGUXKhLeIZDKR40eDYE40cP3YNeOndLo1rF9BykP2JUwtQ0B&#10;AUdFLCnCtEJYixaSOcBCp927dtG9u3dlGySCtNEw9z6a5vD78TxPnjhBE/l5wtOh6HN5nyKhMI2S&#10;BEQDsgu3bt+RCYn16zfQtGnTqWePnmIJjWkIeCZAyJW0FIGfQ1YBPSaYgEATJzIsaGqEaHtf749C&#10;oVC8CCoS3hEQABAMEDS/evqUjvFrvXjhIho6aDDFREWJnXJJfQ8QVLG0CfX9nomJNHrkKFrAgWfz&#10;pk0cjE/SHQ5u6DeAGEFJ433iQxIJBgsLBUxEoJFyB4u5pUuXSZNjelq6+C6gDIGSUNHnUxxhlw3X&#10;RuykmDh+vNg7X750SXo2DE8FhUKhKEtQkfCOYHT5I+WP0TjY+mI9MRrc4F2ARj4ES7PgUpj4GaSx&#10;4bSYnpom6WuMSj758oksHML4IvoA/q+gCfF9n04/VJFgECOVeCzGGCVMnzZs2EjTMcrZtas0luLx&#10;l+S9QzYBGSBkf4IbN6FeiT1kygQNjYUzCgqFQlFWoCLhLQPiAIEbARzNeygFzJoxQ06TDerUlV6C&#10;l6WsEVhg3ANnxFahYdQtoQuNGzuWVq9aTadOnqTPHz6UIIPTaFkLMh+iSChKQyxgMgIliJOnTtHW&#10;LVtp5oyZlNK/P8VFx0gZAs8BzY0vEwxoaoQvA4TeoPQBYnmN/4jYy2E4NapYUCgUZQEqEt4SjFM8&#10;0v0QCJ999pmUAwamp1NYixAJ+IVHAV9EdxcXalivHkW3a0djRo2itWvXStD9jE+3KCtAIBQeYSyO&#10;7wMfqkgonE0wRIIhFG7fuSNliKPHjskWy/nz5ospU1xsnJSNYMZU9DkWJp6v0WwK90xMosDYCq8R&#10;mjzRS2L0kSgUCsX7hIqEtwBc3BG0UWv+6ulXsvxn29atNDYjQ4x60B1fMnHgSrX8A2TevldiotSx&#10;Yc5z8+ZNcUfEzD0Iox6IkDscvLBjAX/HqRQ7BPAY3pYHQknwIYoEo8Rw5+498VKAzTO2VGLq4Rj/&#10;hzl/4aKUHgwXx0OHj4iDIyyfYciEaQZkCpAxKPpcCxPPG1ki7JBI6NhJGhrhk3Hr1i36/rvv38gG&#10;W6FQKEoDKhLeAhCMcRrE3gNsTVwwf77YILdpFSH+BygvvCwlDWJcEKUFbGJcu2YNncnPl6kFI3uA&#10;GjaEwJHDhyln0SKaO3u2lDLw9w3rN8ioHR4DHsv7aoz7EEUCsgUQAOfPX6ADBw5KD8LiRYtp+vTp&#10;sp561arVdPTYcRmXNITCCRYQcHCcO2euuC1i5BE2zUWfa1HiuUM0wqkRxldoQl27eg1dOHeennz5&#10;Jf2HBZ5CoVC8L6hIKEVAHBgTDGhGQ/BeMG8+9UzsISuGEQxe1H+AgIEMA0br0IOAscjszCzav3ef&#10;GCGZAe6JCxcsYDGRQHHR0RTZpo38HUuMYL98+NBhWd2MkUtkFN418Fo8fvxYFkZNmjBB0vFmzxtj&#10;hR0gEsZPoJ27dr8XkWCUFtCkePr0GfFKwETDxAkTWeT1l3JCVGQkjR0zVpZGnTqVL6UH4/ZwcsQK&#10;61Uc5IcOGSqmVsgGOeN95/f1Re+98b6H8m2GDR5Ca1iIwB1TMkH/smSCFAqF4l1DRUIpAiLB6D84&#10;uP8AZU61rHXG2BuC/ovMkRAk0KMAMREbFSXGO4sWLqTDBw/RXQ5EuF8z3OKTLIJv82bN5JTeoG5d&#10;ahbUmFq3bEU9uyeKxTNKHZioQEbhXQMZDFhAY9Qvk0/ijRs2eu654zVpULceJXTqLCd1bG58HyLB&#10;6Dm4dPmK7JCA6yIMruJiYiksJFQyO42Dgiilf4pslUSW4cbNm89uj8cMm2dkGfLyVtEEFjy9evSk&#10;iJYtqaafn+yCKK7MBAGBPoVafv6ScUrj3wE7Z+zW+JJFnjo0KhSK9wEVCaUAiAOk8pFFwKTB4UOH&#10;aPbMWdSRT8YlMd1BkIRAwEbENhzcEfSRhUDvAQx3MB2B+y4M43ci+GJLJJrgUAMHkbGA0RKshJHC&#10;HjN6NO3auVPuC7cD3xXwuCFw4PqIzEZwkybPvRYwkEIA7sGiJiszi/bt208P3oNIgEBAFgEGSgjw&#10;LcPCnxkn4f1BRsDHy0vETGZmJm3dtk1KDcbtjV4G3AdKEUeOHqOVK/NoEAu+sNBQeT9cHB2LFYqg&#10;YZKFxVwQCig9wK0SJab31VeiUCgqLlQklAL+y4Hwpx9/osccJA5wgJuRlSX2yOhcNwsEhYmAjo2I&#10;cONL7NpNNj/u2L5dygvYComTeFEgUGBr5E8cfI8ePkJJvXqZNskhsAU2sNS6F85fQHcLXBjfZdkB&#10;IgH9E7CFXrd2rTToIVsCbwg8RoeCoNgqvCWNGDZcgioWLiFgFw7g74KwZT6Vf5rWrFlLffskSdMo&#10;HlthUYPyAfY5jB41in9ujWQdzO4LRkzoV4DgWLJ0KQ3n54byUcP6DWRMElkD4z7NCJMmZIMGDxhI&#10;y5cuY6FwXhpU8VqqUFAoFO8KKhJKAZgwwDgiAjZ6COJjYiQQvsyND8EHXfAoD/Tr25dyl6+QU+Pn&#10;HCARDFDPN2s2xNcgENCPsGnjRilpmAUdpLYxPgnb5lEjRoinAoI17vtdwciwYP4fr8/4sWPFVwAW&#10;1FJi4SDs7+tHXRK60IIFC+kw/wxO5ziVmwXft0X0IpzjQIxeg0kTJ1F0VLQIgqJZD1cWXsgwpKam&#10;Scnh3PkLpveHx28IBQgP9FlMnjyFOnboSEGNAl/qronXBlMPyLD075tMK1fkilDAtIzZZ0KhUCje&#10;BlQkvAFwIsfJHE2KBw8cpDmzZksGAXVlswu/QaSbUYLw9/EVa+XkpCRavHChlA4QTF920keQMFL4&#10;EAmJ3bpJ0Cmu3o3fBfOmVatW0aWLF5+VHd4l8Jxu3bxJ69etpwljx4mwQZNeRKsIio+Nk/HB7Tt2&#10;0tVr12X0EEHbLPiWNvF7DAvmAwcPUXZWtqysbhIYZPp6IjsTwSf8gXzCX7ZsuUxAmN2vQaMEcfvO&#10;XREg4/i5d+P3ApbOEAEu/N4U/R2Fic8KXic0oublrpSpB7z36FHQZkaFQvG2oSLhDYDOcwRqNBei&#10;SRE9CEENGz1LpRdHBG2YI6FBEd4JWzZtkuCNBj9kD4r2HxQFRAKyFyhHwJJ56ODBVL92HWmONKt3&#10;I8vQMjRUfg6jlJ/xY37XIgEBTVZGs1A4dvQYbSwYK8RpHB4D2I2AUznq+Qiq71Ik4Hdeu35DygzJ&#10;SX3lPfTxqmH6WkKMYW8Deicw8ni1UE+CGQuLEHgt4HnOmzefBqQPkLIFRj+LE3cGMUoJfw1kFFB6&#10;uMCvE5oZ/21SilIoFIrShIqEVwSCq5FCN8Yc58+ZKydjNA++6IKP1DXc+LCcCS57o0aOpK1bttDT&#10;p0/pXywOjMa0kgRwPAbsZ8CqafRAtItoLS6OaHwz+70of6ApEoZM586elZM97uNdiQX8Hjw//F5k&#10;S776+mvpO0DwRJDGnwimCKrvSiCAOOnfuHFTdjLM4fcRkwV4D4sKBPwbX0f2p19yP7HEPs4CDTbN&#10;ZvdbmMZzMhojcbtlHOyHDRlKbVu3kc/NiyZf8HV8H5Mh8GBYt3qNjEfidcRrivdRoVAo3gZUJLwi&#10;cEE2djGcP39eXPJ69+gp6WOzAF2YHq6u0h8QGx0twXr7tm10/fr1N+oRgOHO1s1baOTw4RTJAccs&#10;i4EggxMwRAR6H/bs3i1ZiPfl6PcvFgo///wLff3Nt/Tk6VemgfVdEcIEkwh79+6TplHsUyj6+oGy&#10;b4FP9BiFxOTD/gMHZdwR3ghm91scIRaQtTh46DCtWJFLQwcPEaGAjAKmJ8x+t0GUJ9rxz2Jz6Mb1&#10;G+jhw4fPNkgqFArF24CKhFcEgioEAi7QyAL0S+orwdezmFS/QXwP3fLR7SIpY9QoCdQoL7xpbfmn&#10;n36iq1eu0MYNG6h/crKM65n9fmQTUHaIjY6hvJUr6f79+yIUKrpIwOkedssoNSBgoxfB7PXDab9Z&#10;4ybSr7AkZ4kIBJRFXrXB0sgooO8C2YsVuStp+NBhFNm2nfwOs99tEEIFGyQxCTNp4kQ6e/as7HpQ&#10;DwWFQvG2oCKhhEAwxYkNjYrXrl2jzZs3Sz8BjHLQfPaiMgOmHGoH1JSph3FjxtLmjRvFnx8lhjcF&#10;shooV6CEMG3qVApt3lxm+YubdohnkbBuzRopleAUqiLhczp5Kp/W88kcY4pNgxo/97qBeP86dexE&#10;EydOkl4ENCKa3d+r8PbtO5JRQAPkEBYoaGI1xi7NHoMh9CAUunXpQnPnzKFDhw7Je4nyF97Ld1U+&#10;UigUFQMqEkoIXIQhEBCQsc0xLSWFwkNCKcDXsovB7KIOIjDDkAdNiuPHjqN9e/fSwwcPJAPwJhkE&#10;A3hcKFd88fixNCUm9e5NIcHBz51K8TjgyYDeCayrxnOB6HkfQaWslRsw+oh9EdgbUVy5ARkGiAg0&#10;XGKkET0UZvf3KoRAQekBIgXNm7Byjo6MEqHwov4EvI8N61q2gmZOmy6ujMgmoN9DRYJCoShNqEgo&#10;ITBNAIMj7CCYMmmSpHxdnZzEDMjsYg7hIGOO3j7iC4ASAzIIKFMYJ77SuKAb94Ogf5LfTCx46tOr&#10;l1hBo4aNXgSM7WHyAY8F5RFMF7zPU2dZEwlipcyvSdb0TGoVFi6ndXgkoHSDPoSafv6yVwJ7OLDT&#10;4ToHdtzO7P5ehUZDIwTHkSNHJaOAvQ2tW0VYxiNf0KOAx4gMFUZbN6xbL1bg76t8pFAoyi9UJJQQ&#10;sMU9eOCA7ELo0qmzeCHgdF7ciQ+BuVG9+hTDJ0PYLO/i0/vNGzfo559+KrjH0gVKFw8ePKCj/B7m&#10;LF5MgwYMoPaxcZLtQFd8s8aNKaxFCxo9ciSdPXPmvQkEoCyJBPQU3Lp1W5oXMZKJJU6wx27eLFh2&#10;NnTr2o369U2maVOnSbYBq6PRrPiqvQgvIgQHDKRg47xi+QoaMmSobJFEBqq4MhY+d2iUDeHHOSh9&#10;gJgtoTflZeOzCoVC8SpQkfASGCd1pPMXzJtHbfmUV9s/wNQGuTBRN45s25aGDx3KwWWnnPKM+3ob&#10;wAkS2Q5se7x86TKtxoKhceMkc9A+NpY6tm8vdWyMS17hYKIiwcLCo4lr166jxO6JFNy0GXXv1l22&#10;Pc6dO4/WrF5D+/cfkECOnze7nzelkVWAl0IuB/xhQ4dJRuFF2QQQmSKsme7Tsyft2rFTfDbe5udM&#10;oVBULKhIeAnQO3Dn9m3auX2H+OijFozUfXEnPJQYYLUM3/0xGRmygfHGG445lgQICqhJQyh8yUEH&#10;9s57du+h9WvX0rIlS2jZ0qWUl5tLhw4elEY3FQkWIjDjJI9JBZzkYQ2N1dAL5i+QZkasi0YpAs6K&#10;aFZ8WyLBIEoZBw8eoqVLllL/fv3F2Mnb00v8Ncw+bxAREKTwd8ienkmn8/OlLIaGVoVCoXhTqEgo&#10;BsZpDE2G27Zuo/F8Ksf4IurAxQkEEJMF2HSYkpxMWzdvll0JhunN2wayCfg9CBDIKMDhEL8f7nwg&#10;xuVQNnnfAaQsiQQQgR/lA4iA8xcu0mk+zV/gP+GmiN0L+DpKDMg4vG2RALECgyaMZWZnz5BeCHHx&#10;5M+d2ecNvS8oO2AMF2upsWnzBP+nhrjVbIJCoXhTqEgwAYIttiz++ssvdPpUvnSQw3K5Uf0GxQoE&#10;fB2nuhbNmlFynz93MWgj2fMoayKhLBLixNj1gNXU9evWkyxVcZ8/lB1g3ZzUqzetzM0V621kr5Bd&#10;UigUiteFigQToPkLPQQwHFq/bp04KtarVVsMk8wu0GgiQ6Miygw9u3eXJjKMpcEsSU9zz0NFwssp&#10;ux7OnpNdD5MmTaaYqCiqXbNmsRkFZBNQdoDh09iMMXTs2DHpo8HUi0KhULwuVCQUAgK60QD4gAXC&#10;0cOHaerkyXJCK26KAcQFGtMOYS1CaMrESXTp0qVnpzgVCc9DRcLLibIGyhsodazfsIEGDBhArVq2&#10;pICXbBhFNqtbQhdasXw5nTt3jr755hv5TOvnUKFQvA5UJBQCLqYwGPrxhx/pyKFDNG0Kxh07Ud1a&#10;tU0vyAbdXVxkYRNGHdHgiMYx3A8yEnpxfh4qEl5Oo6FSPBSOHhMPhcGDBovZ08sEK8YiU5L70bIl&#10;S+n6tWvPNovqZ1GhULwqVCQUAi6kSM8+5iC/gi/K8TGxUmYobvUzLtaoEWOrIzb6HT50WExt0KiI&#10;C7JelM2hIqFkNBoq4c0Al0es1UZvDMZvi3P5xGcSRkyyMTJ9gHh7oIkV2THtj1EoFK8KFQmFAGtb&#10;OCIeO3pUPAaaBgbJNANOZ2YXZHwvsEFD6tyhIy1ZnEP37t2T5U+6le/FUJFQckIoIJuARkaMY44a&#10;MZJahobJLonimhhRcoBbJATF0pwldPXKVZly0SZGhULxqlCRUAg/fP8DnTp5inIWLZZmxQCfF+9l&#10;qFOzFnXr0pWys7Iki/BTgUDQE9uLoSKh5DTKDhiNPHv2HK1cmUcjho+Q9dKuTs6mn0tkE2DbHBLc&#10;XETF5o2b6MaNG1J2UCgUildBhRcJKAnAWwCnrM8fPpQlSQPS0mUjX3FlBmQWMM0QER5OkyZMpH17&#10;99Hdu3c1g1BCqEh4PSKbcPjwEcrNXSlGSw3q1nuhbwdEbIe4eJo4fgKL2EMiYlFSUxGrUChKChUJ&#10;LBJwwsLaZIwtTp44UaYU4N9vVmbAKc3L3V2cF7FICSOSMFxCs+O7MEwqD1CR8HqEoRMMnrAMKisz&#10;izq27yBGSx6ubs99TkGMS9arXYc6xMdT7ooV0lCLqRsIBYVCoSgJKrxIwKkKAuHzzz+nXTt3Uu+e&#10;PSWDUFwHOb5er3ZtiouKlvHIc2fPPjudaaNiyaAi4fVoNDJiIRUso0eOHEUx/Dn09/E1/ayCKJdB&#10;KCDjdf78eelNQBOjQqFQlAQVXiTg9I8yw769e2na1KkU2abNC5c3YTV029atLeOOO3bI5kUVB68G&#10;FQlvRmQUUHZYvnwFpaakUsN69U0/qwZh8pWclER5K1eKUIBls0KhUJQEFVYkILCD6EW4ePEizczO&#10;poROnahR/fpkX0yNF4SASOrdh/bs3i3ZB2QhjPt6GRUWmIkEnJIN4rRcmIW/BxYNmuWNRZ9vUcJk&#10;6eq167LfASus4Z1g9lk1iHJEOxa/2Ei6dcuWZ06g+plUKBQvQ4UVCSgPYOQRjnS7d+2i9NRUsbSF&#10;ta3ZRAO6xdGnEBrcXMoM2MuA+XNjmsFYqvTN11+LeEB24unTp7JQ6Q+tA/8FZiLhzp27dOnyFTpx&#10;8hTt2buPtm7dJiN/Bw4cpNOnz0jTHoKjIRqKBtbyQjw3w0QJz/nixUtCvDbXrt+g27fvyFprLIGC&#10;UEATY6+ePWWvSA0Pz+c+t6CzgwM1rFdPfD/mzZlDd/i2+LyqI6hCoXgZKqxIQND+lgXC9evXacni&#10;xeKNjyU5EANmF1p8r3V4SxqYPoDWrVkrTWC4yKJcgfvCrgd4LCArcWD/Adq/bx+dyT9Nt27epK9Z&#10;OOjkw58oKhIQGC9euiziAM6CEydOooEDBtLo0aMpMzOL1q5dR/ksFBA438UmxvdJY9zx5q3bYqAE&#10;oQTu3bffsrL6wkURD7BrhljYx1/PysqmHomJ1Dgw0FTg4mvos6lfuw6NGDaczvBrCT8P9CaoSFAo&#10;FC9ChRUJ/+agfe/uXdq3Zw+NGzNGjJOKXlwNolkRngnwToBpUj6fdnGRxVTED99/L9MNaGDcuWOn&#10;eOZnTc+k6VOnySbIDevW0fFjx/j0dlvEwm+//vpMXFTUC3RhkfDFl08k+B86dJjmz18g1sMd2neg&#10;0JAQio6MosRu3aXpbsuWrXSBT9Q4QZc3kYDnA/GDoH/l6jURRAj+eXl5lM0CAJw1cxYtWriIVq1a&#10;Tdu376CT/BnEa5HPQgLbIidPnkxR7dqRs4NjsU23GNvt0b07bdm8WUZ28RnWcUiFQvEiVFiRgHTr&#10;qZMnac6sWXLhLG4/Ay64yC4E1m8gYuLE8RNSSvjHH39I0D9x4gTlsjCYMH68jER24gAX2aYtRbZu&#10;Q+1j46h7l65SC57NF3k0Ot6+dUvKEhAYFfUCbYiEp199LadmpM3zVuZRclJfCmneQub/0bGP9wQj&#10;fl06J9BUFl2bN2+h02fOSsnBLNh+qET2ANbLEAfbtm2nBSyWRo0aTX1696EYFkpR7SLlz3j+PGFt&#10;NFaRQ1ChJwGlmKPHjsvr15NFrJ+3j6yUNhMK6Kdp17q1jPlikgeZLx3bVSgUL0KFEwk4vSM4Y78C&#10;mrjSUlIoPCRUbGyLXlRBeCWg1BARFk45fJJ78uSJ9DKgxIA9DXm5uZTav79Y5SKli5+HuQ2Iv8Mi&#10;F54KUW3b0tiMDGl4xArqb7/9VtK9xvhkRYIhElBqwGkYaXWUFVoEN5fUOIggZ/wdQiGJA+Oc2XNo&#10;//4D5UYk4HlAJKHPAJkBZEtmZM+Q5xoWEiLWywjs8nnizxI+TxCsvjW8+XObSjt37qKz587TNRZZ&#10;Bw4eouHDR1BQo0Dy8apharCEr8FGvGtCAovWmVIaQxkM/ye07KBQKMxQ4UQCgjKyCGgqzFm8mGKx&#10;p58vxjh9Fb2ogliWI1v1+vWj7Vu3yfiY0az4iE+AEBpjRo8udnQSwa6GuwfVr1OHotu1o0EDB0rz&#10;GLZFXrl8hZ6y6Kho/QqGSPjyyVPpRdi5azeNHp0hAa7o6wfWr1OXA1sXmjplqtTny4tIuHv3Hp04&#10;cVLKBSgnDBk0WDIFWE1e089f3BQLZwTsWDBBdOLzOmzoMDFVun79Bt3h+0FGYc6cudQjsQc1b9qM&#10;3EzcQiG4fGvUkAZdLH9C34xRNlORoFAozFDhRAICMi6Md+7cocmTJlGDunXJkU9nZulZEAGqR/dE&#10;KRecPpUvAgMCARdVGNMcPXxEgj7KDMUJDZzgnOzt5aKPdHBYixY0fMhQWrt6DV26eEk2T1YkGCIB&#10;tXhMM2AfQXpaupQZzF4/BEWk2sdkjKGt27ZLet4s6H5oRAZgNX8GRo4YSR3i28vz92JBid4BRzs7&#10;CeqFXwd8TvH9xoFBNHHCROnRQC8DXg+UbJCJmDZtujgxFpcZw2cRn9O46BixIP/yyy8lq1ZRS18K&#10;heLFqFAiAYEdvgYQCNi3MCA1TVK3ZhdTI90dHhJCE8aNpz18gkWzF5oODWAh1JUrV8SauU/PXsXu&#10;eihKZCdio6Jp3JixtHvnLpmMqEgwRAKCG9Lk8+bNp178+mHXgNnrBcfALsgkTJ32wWcSjCZFTCcc&#10;P36CpnNQbx8XLyOMxS1sMgjxUJ+FBFwWUXrBSKRxv7i/Y3x/a9aslVJEXX7NRPwWERoGsfwpKzOT&#10;Tufn0xePH//lc61QKBQGKpxIQLMhlt0gM4DTv5ebu+lFFCcupHY7xMXRKj7pQiDA86BwoxcyACg5&#10;HOXXbSCfhJEpMLuvokQwQCMkVkwvX7JUMhIVCYZIQLBEXX3KlKnUuWMnqukfYPp6NW4USCn9U2jR&#10;osV06PCRD14kwBPi/PkL0oiZzkLVWNRUNHNQlPBBaBkWLsud4I+AUUjjfjEhgr0OGJOcMH4CNW8W&#10;TJ782TbbPwLCpRG/eyXfD3oTdEOkQqEwQ4UTCZhMQCd4v6S+ssjJrESAizWaFWtz0ErlC/Lhw4dF&#10;EBhNXgZwYUXp4sb165TJJ0LUggN8fcnD1VX6E4q76EOAQJxg7BK3g/lSRWpgNEQCmvY2bdos6Xac&#10;jmEfbPZ6IeDhZ9atW0+nTuV/8CIBGQDYKufkLBFx5OZc/MpnfFaQQYBAQC9B7569ZLnTjh07pRfB&#10;uF+8Jng9cd8LFiyU7ES9OnWLzW7BGCw2OobGZoyhA/v3SxlNoVAoiqLCiYTbt29TFgfmVqFhVCeg&#10;pulJC2naRnzSwprdbL4gXyo4aRUdF0Ngx6QDbG4lOzFrlkw6tG7ZkmoHBBR7gcbFHyICv3/M6Ay6&#10;fu26qQgprzBEAk6/a9eslX6E1i1bSRnG7PWCmMPpGIER3fwItIUD74dEPHY0a27fsUOCfWx0tKlQ&#10;lc+Ig6P0IDQJakzx/FkcNHCQjEfu3r1HXgeIgsL3i/INyg5Y/jRs2DDxTQjw83/uvkGIYEw6JHbp&#10;KuWyitYXo1AoSoYKIxJwSkdQxzroIXyxxcQByglmDYv4eptWETR65CjavHETPeBg9n//fX7LI/4N&#10;IrhjpPHevXtywR2Ynk4R4eFUp2ZNGVnDadC4b7tqltMh6O/tQ0MHDxEjpu+++67COOAZIgGLilas&#10;yKVePXpKtqC40k9EeEsJqAcPHhJ74g9ZJODEjwCPrMi4ceMoqm07KTXg84DME4i/Q0SiX6YBi9XO&#10;nTqLSEKTI6YhIK4gCIq+Dvg3vofXaeHCRdQvOZkaNWhg+pridyBDgb0PCxcsoJ9/+qlCG3wpFApz&#10;VBiRgIbFx48f047t26ln98Rn8+dmF1BkALrwhXnZkqV0+vRp6WN40cUTF1dkFFB6uHz5Mm3asIFm&#10;ZGWxABhMXTp3ln0PGD3DSRmd+jjBhTVvQR3bt5cGNFhDY7SyooyiGSIBp965c+ZSu9ZtqBa/LhBn&#10;Zu8HBBteJwRIdPF/yCIBjx1CZ9euXbSAg/MAFpQw32retCkLgnrSK4CyQkTLVtSVT/nIHsA7AdkB&#10;mCa97Pmjz+PsuXNiyjR27Lhilz9BHCOLhn6ISRMn0s2bN+n7777X3gSFQvEXVBiRgFEvOCzO46AE&#10;bwSzDIJBnGjRi3Do4EHZ0YARsRcFb3wPWQpkFCBG0IiIiy5KELkrVsjyqGC+8KMBDwGvW0KCZBvQ&#10;jwDnO/QkIN1bURbu4HX66aefpfFu8qTJEqgg2op7TxBEcTI+d/6C7DT40EXCTX7eGP3EEqv58+dT&#10;xugMSu7bV0oKsKTGllH0YKC0gBILphYuX7kqoqpwicGMyFTgdYUz5dy586SMY/aaGoTduHgm7N0n&#10;1uHGVlOFQqEAKoxIgB3yRj6NjRw2XMxqzC6YSPUi9YvT3Hg+hV29cuW1Tvj4Wdg2f/nFF9I5vnJF&#10;rlgzwyxn/LhxYgW9Ki+P9u7ZI4ZKOMEZ7osV4QKN5/rNt9/RhQsXpaRTXMOiweh2kbR82XI5RWO/&#10;wYcuEu7xc0DQh1DAdAf2McydN08WW01i0YSsCbwj4C6JiQU8Z2QIzO6vKHH/KDlAKKzm+4UJFRwY&#10;XYrx8Kjh4cGitQstXrCQTvDFAGUzFQkKhcJAhREJF86f5+A8W/Y0YPzQ7IKJBjKYK8XFxNBCPsXh&#10;hI+A9qq1WvwsAj6yA7joolky/9QpOnnihPQfXLl8Wb72iO8fvQjoLMfPV5Tpht9//51PvI/oyNGj&#10;NHjQoGIbFg3GxcTK/L8RLD90kfCQnwOey40bN6X0cPqMZf8CRMH+AwdljBF7HLDsCX0beM6vMtGB&#10;fgXcDgJkOItiWIbX8g8wLa+htIbsFkpjGzdsoC9Y2KpIUCgUBiqMSDjKAWnk8OHSUIjxr6IXS9DL&#10;3Z1ahYVLeWDTxo3ii6AofWDB1c1bt6TDP6Vf/xfuzUCfAhY8wU3wQxYH75oQFcdYeMxiYQyjKvQ5&#10;oKRT9DXG19AjEx8bSwvmzaPP7t1TkaBQKJ6hwoiE3bt2SRYBEwfFmR4h7Z3QsZP0CqAfAaUGRenj&#10;hx9+pEuXLtHatWupT6/eMmlS9L1A6Qfd/U2DGsv66L1796lIeAVCJJw5e04mItDz0CaitWljKIQY&#10;Nm42a9yYpk6aTLdYvKlIUCgUBsq1SMDFDil8lAs2rFtPbVq1koticSZH8DZI659Ca1atFm+E3379&#10;teCeFKUJlGDy8/MpZ3EOdevSVWb2i74XGB3F9keM/2VOz5QUvIqEkhOvFfoZUMKYP2++7HPAyGPR&#10;1xnNoiizIZuDfSIohVWk0pdCoXgxyrVIwMUOqe0nX34ps+AtmjZ77iJZmOiyxz6Fo0eO0sMHD+h/&#10;1YXurQDTH5jlx2gfgpdZZgdpcDSYwoIYkw0nT+WrSHgF4rXCJMiZM2dp7dp1lNitO7mbvM7GKCSy&#10;DH379KED+/bTN19/TX/8/kfBu6VQKCoyyrVIQNMhRhjPnD5DkyZMpMZ8Mi16kSzMJo0Cac7s2WKK&#10;9NOPP4nIUJQ+0By3Y/sOGjd2HEW1izR1phRDq4gIGjlyJOXlraKzZ8+pSHgF4rUyphxQqklO6mua&#10;sQEhFEDsMsEkztUrV+mbb74peLcUCkVFRrkWCb//9htdv3qNtm7eQoMHDKQGdeqaXiTR9e3q5CQz&#10;5StzcyUdjrFHTbm+HWBqZP269TISitfcbPshUuMxUVE0ZcoU2rx5s6xFVpFQcuK1Ql8CfBVgQoUp&#10;B3z+8VoX50fRLqI1ZU3PpIMHDtLDhw8L3i2FQlGRUa5FAoxhTp08RQvmzafePXrKwiaziyPS3fVq&#10;1abuXbvStq1b5XZal317ePDgAeWyGEvumywlBbPdBRAJKEXMnTuX9uzZK74CZsFQWTwhEjAOee7c&#10;ecrOyqa46BgpqZm93iDeC/QlrF+7jm7dvFXwbikUioqMci0SfvzhB9q3d69suouPiZVu+aIXRpyq&#10;/H18ZOHTUD7ZYqoBvgXa4f32cPfOHXETRFNiUKNAaVIs+r6gfg6TH5goHTlylK7fuGkaCJUvJxoY&#10;VyxfQWmpabIHo7gdGXAE7dOzF7838+nSxUsF75ZCoajIKNci4btvvxWDGNjcYpOg2cURkw4N+XTV&#10;rUsXmpmdTWfPnFH/+reMaxy04GiJ2X0/bx9Tkx8PVzdZ/ISdBTAWunX7jmkAVL6cEFgbN26i8ePG&#10;ywppODAWfb3B+nXq8PfjaOqUKXTm9OmCd0uhUFRklGuRgMVMy5cuo+i27Sz1WJM0K0QCph6GDR5C&#10;69aspRvXb8huAcXbw7lz5ygluZ/Ux4sbR0WTHcoR2F1w+fIVunP3nmkAVL6cEFi79+ylefPmU4/E&#10;HrKvwew1D/D1lYzayGHD6NjRowXvlkKhqMgo1yLhyZMnstCpaWCQWP+apbVxioXL4pRJk2jf3n10&#10;//59WbSkKF2gfAPxhWVZWHzVo3tisVs4QWR90lJSZVQSo3zo1DcLgMqXEwILts+YEkntnyIWzcW9&#10;5hDTSb16S5lOoVAoyrVI+OLxY3FPhJMiBIJZV7eDra1sGZw3Z46kWOGpoKOPpQ80gaIhFNs40RwK&#10;Z8sXiQS4MA4eOIhO5Z+WDn004JkFQOXLCYGFEdLt27bT0CFDqW6t2qavOfwS0DCKBsdtW7YWvHMK&#10;haIio1yKBAT5f/7v/8rq23Fjxpg6zRnEhRF12NV5eXTnzh3Z1wCHRkXpAiIBo6U3btyQWXw0kpqJ&#10;BJQfnB0cqU7NWpQxarRsijQLfMqSEyLr2rXr0gA6dszYYkeBDbYMCaU1q1eLzwiyajrlo1BUXJRL&#10;kfDHH3/Q1199RadOnKAhgwYVO/IFIsPQNSGB9uzeLQIBkw16USx9/Pc//5Uswun8fMnaIHtj1o8A&#10;p0Wkw+GfADtmbEk0C3zKkhNZGGydPHf+Ak2dMpUaFbMF1WBIcHPKWbSYnj59+mwcWKFQVEyUS5GA&#10;xUxYVIO0dnJSkuliG4MISph+0G7utwsEmvuffUZ79+ylyRMnSR+ImUjAVEPzZsHSYLd4cY6cgM0C&#10;n/LViQbG2bNmU5PAoGINlUBMnczIzpasDyy0//VPbeRVKCoqyqVIQEYAc95Y1NSLg42zw/MrcnGR&#10;NEyUhg8ZIgudFG8P//n3f+jWzZu0bu06MexpwULATCRg0RA2Fg4cMFAa7dQfofR4+85dWrJkKcVG&#10;x8i6dDOnSxAiYurkyXT27Fl6/OixjgQrFBUY5VIkwHc+/1Q+LeGTaNfOCaZ79BGg4MAYER4uc+E3&#10;rl8vuLXibQCTDRBuixctpn5JfcW4x+w0iybTDvHtZaZ/06bNdOvWbdOAp3x1ouSAZU/Jyf1EpMEv&#10;wew9CGrQUAzIjhw6LHtMUIJTKBQVE+VSJKCWeuTwYZo9cxZ15IBjJhLQNNeoXn3qEBfHPzdTyhOK&#10;tweIBJR0sqZPp4ROncQe2CxA4YTbvWs3mjFjJu3YuUtNlEqR91gkbN6ylYYNG06RbdtRTT9/0/cA&#10;5mLYq4GdJ9evXdONkApFBUa5FAkYfdy9azdNmTSZYiKjTP0RMNXQNKgx9ejWnXIWLaJ7d+8W3Frx&#10;NoCUNQx6Ro8cSe1at6ZaxQSo2gE1ZWNhTs4SOnDgoJoolSLvfXZfzKnGj58gezEwCmn2HtStWYuS&#10;+yTRsiVLxYEU3hYKhaJiolyKhM8ffk6bN23mgDSK2ka0FkFQ9EII4YCFNin9+lFebi49uH+/4NaK&#10;twGM08GgJyU5mcVZkPQeFH1PQPSIDEwfQGvWrKXjJ05KYDMLeMpXJ/wS9u7bT1lZ2WJm1bBefdO+&#10;kJp+frI3Y2b2DBF2P//8c8G7qFAoKhrKpUhAF/3qVatoQFq6zHybiQSUIDBmN2zIUNqwfr2sL1a8&#10;PUAkbN2yhTrGx5OvV41iJ05QhsBa4+3bd9CZs+fUabEUCb+Ew4eP0KJFi8V5EQ2KZiLB38dXvEMm&#10;jBtHB/bvl2khhUJRMVEuRQJMkZYuWUJJvXpR8yZNTUUCglR0u0hZNLSDA9KXX3xRcGtFaQJ2zPCd&#10;+O2332TaBIu2zAKTwcD6DWjcmLFix4z10AhsZgFP+erEa3ni5Claxe8D+hIwamr2XsDCHD4Ww4YM&#10;oV07d9KPP/5Y8G4qFIqKhnIpEjBqB8MeNMg1btjI9EIIkdAhNo6yp2fKaQnNjorSB/wRfvv1V3r8&#10;+DEtWrBAZvCLvheFiamH6VOn0ZkzZ6VpUe2YS48PHn5O+fmnZbPm6FGjpdxm5noJS+yWoaHUPzmZ&#10;Nm/aJCPFCoWiYqJcigR0ZKOLPiYyUtbfmokEuDBiPHLh/AV0gl8EbIxUlD4w1QBDnosXL1ImB/8g&#10;Fm1F34vCbBbUmObMnkM3bt4SgfD5o8emAU/56oRIOH36jIyWwp4ZWR0zkYANnBBz3bt2pXVr1tB3&#10;331X8G4qFIqKhnIpEq5dvUrTpkyRLvq6tWqZigTsc+jZPVH2CJw/d46+1wthqQLTDD/9+CN9/vAh&#10;HePP1fKlS8UfAd4URd+LwsTEyYysbLp06bLM9atIKD1CJJw/f4F27txFkydNFtdLM5EAk7EmgYHU&#10;pVMnWrNqFX337bcF76pCoahoqLAiwd3ZRca8Nm3YIJkHbc4qXfz0409088ZN2rt7N78XU6X0gywB&#10;Xvei74VBvE/INOCUi/FH7G3QnoTSIzIz6PNA8+LMGTNl8kdFgkKheBHKpUi4yiIBtrJtW0VQnZo1&#10;TUUCLoSp/fvTzh07ZFvkL4XGvNBo9+9//UsWRf3262/yPYyBlYS///67pNhRi8f9oHGvosBoUsRz&#10;x7TI3t17KGt6JnVq30EmGjBRYjaXbxDvU/06daXzfvnyFXTo0GGxEkY24dHjL0wDX3klTv2wpMaK&#10;Z0x5vA4hCJCNMe4Tr+O16zfo1Kl8mj9vvjQnqkhQKBQvQrkUCVcuX6aJ48bL+CNMe4oTCWkpKdK9&#10;fffOHfr1l18Kbm1ptsNa41s3b9HFCxcoPz9f+hZKwuvXrksTJAxoIBYqmkhAmQGbA8+dPStlg4QO&#10;HalpYJD0gJi9D4UJAQEx0bZ1G9ndAKFw4eIl8UpA0CwcRMs7b7BAQIPhmIwxNHzosFfmiGHDaQH6&#10;bU6cfHafEAkQHmhexPei2rZTkaBQKF6IcikS0CQ3JiODmjdtJrsAzE6vZiLBOAljpv/O7Tvi2rhq&#10;ZR4tWrCQ5syaXSLCyvbqlSvSrIexPyObUBHEAp4rxBGe+/Zt26h3j54S9NH/8aIMQmHC5Apz+qEs&#10;8MaNHUdHjx2nm7duVxi/BGRMEMxPnzlLGaMzpIcDjYSvSkwodO7YSYSG0QCKP0siEtxdXKhxo0aU&#10;0LEjrc7LE8GsUCgqJsqlSDjHF9jBAweKvSzEQNGLIGgmElBeePTokZyCV+etojF8kU7t15/69OxF&#10;id26l4hDBw+hWTNminEQlkZBKCCjgABa3oHn+NXTr+jypUu0eOFCio2KlhKDWSAqjvb8s27OLmIZ&#10;nJaaRlu3bqNz5y9I2cEsqJY3Xrx0mbaw0Jw2dRrFRce8cM35iwhR1jgwSDIyK1bk0tGjx6T0UBKR&#10;AFGHqaDodu1oxbLlsjBNoVBUTJRLkXDq5Enq27uPNMkVF6DMRAImHI4dOUrz586j/n2TZVMeghVO&#10;c1iGUxIGNmhI4XwKRl1929atMlqJ0zVKGOUd//3vf+nu3bv8mu4SkyqM2CFYlTSLYBBliRoenrLo&#10;aenSZXTo8BG6du26aVAtb9y3b78sV8IIom8xWbCSEp//+rXryFbNJTlLRCCURCRA2AX4+FJY8xaS&#10;RUNmSKFQVEyUS5Fw8sQJWdzkYOK0aNBMJDx58oQ2rN9Ag/j0FRHe8oWd+MURAQ6nP1g+L+LTNCyi&#10;YUbz73//u+DRlV9AJGCyBM6KgwcOknFGs9eoJEQ2AcFt1qzZtGvXbmnCMwuq5Y1btmylTh06mrqE&#10;vi6xD2PatOl09eq1EokEfA0lC7hfzuXXX43GFIqKCxUJhUQCXAFzly+nXok9KLhJU2m2M7vti4iT&#10;Hy6yIcHNadaMGRI0cRL71z//WfDoyi8gEi5fuizeE+mpabIbwOw1KgmR8o6HI2b2DNnjgHFIs6Ba&#10;3lgWRAI+w+gNQTYhOzOLnnz5ZcE7rFAoKhpUJBQSCRjbw+m/U/v2copC2tXstiVhs8aNxR/g3Llz&#10;sroaXf/lHRAJly5ekhXDKf36iyW22WtTEkIkxMXEUub0TNq2bbuYK5kF1fLGsiASDHq5u4vfyJcq&#10;EhSKCgsVCYVEwhdffEGrVq6kvn2SJBPwupkEXOBRj587ezbdvHFD+hLQvFjeAZGA8dO83JWygfNN&#10;MwntY+NoxoyZtGPHTs0kvAFfJ5OAklmdgJoyxooynEKhqJhQkVBIJKAsgKmEkcOGi9GMl5u7XDBf&#10;hUjT4r5xe5yoMS0BN8eK0rh4/fp1Wr92nUx5vGyZ04uInoSO7TvQnDlzac+evXSlAvUkYHQRnyOz&#10;1+VVic8kDKqmv4JIgEDBCCX8LebPnUtfaU+CQlFhUS5Fwun8fJlO8PbwLLZkYCYSEMyxx2Ht6jWU&#10;MWq0nGSREcCUQzAHvJKwXes21DUhQXbxHzxwQJbjwIURAbS84//4OT64f58OHzpE06dOleZPBKGX&#10;mSgVJoKaIwdIP28f6t2zF+WtzKNjx45LcDMLquWNR44cpSmTp1D7uHhqVK/+C8sBLyNeQ7wHaSmp&#10;tJaFG/wmSiISkEWACVmrsDDKWbxYl58pFBUY5VIkINCPGDqMGvJFFieiohdB0EwkoCSAoH7v7j2x&#10;FIY50tiMMTSMT8VIn5eEWHO8ds0ayWagxwG9CIZFc3kHniNev9u3b1PuihXUIT5eAs6rpM7hk+Du&#10;6kYN6zeQCQlMNqDUcIffE7OgWt6I7ZcwkILbZGL3RCm7mL1OLyPEVigLXCxy2rt3nzhXwpCqJCIB&#10;v7NhvXoUHxNDK/l9VJ8EhaLiolyKBJj5jBszlkKDm0uH9qvaMkMsyPbCo0fFOXDdmrW0Mje3RDyw&#10;/wDd4fvD2OM//vGPCmfLjKwJHPr27d3LoilNGkDhugihgMBV9H0wiO8hYHm6uYtAiImOkRT5yVP5&#10;YqRU0RY9XeSgnpmZJZsa0dvxqkSpB14d6Ocw7lNtmRUKxauiXIoE2CJPmjCBIvgCCyOkVxUJKA2g&#10;9PCYL6r4HpoPsTSqJHz44IEIBARLeCNUNJEAgYXnjvdgyeIcKftghwbm7l8kFFCDd+f3pBELhC4J&#10;XWj8uPG0bt16unL1mggEWAoXDqLlnRBGyAAsXLCQ5s6Z+8qcN3eeWDLDrdK4TxUJCoXiVVE+RQIH&#10;a9kCGfGSLZD9+tOO7duf2wKJYIfUOcQCSgWvQtwGt8V9GKwoKPycnz55SieOn6AcFgpwv0Tw9/H0&#10;klT2X8QC/4kSg5e7B9WrU5eio6JFIGzatFm2FWK5E/YZVLQtkHi+WGqF5/+6LCquIBKwBfLkyVOW&#10;LZAqEhQKxUtQLkUCDIww392udWuqW6uWqUhA93zfXr2lEx9jez/++GPBrRWlAWyCfHD/AZ3igIQy&#10;zNiMDNmBgakPWFdjcgTvCwJSTV8/imjZipL7JsuoHjIICGSwYq5o2x/fJiEY4Ddx4MBBysrKpjat&#10;IlQkKBSKF6LiigQ+0SZ27UbLly6jM6fP8IXwu4JbK0oDyKpgYRbE1/379+nMmTO0mgPO2NEZ1Cm+&#10;vewUQIkB+y5Cm7cQh8ZcTDIcP0GXL1+hu3fviUCoaBmEt0m8nmfPnhNzqgkTJlJ4aJiKBIVC8UKU&#10;S5GAWf0ZWVkUHxNLDevWMxUJMEpK6NiJ5s6eQ0ePHKWvv9Ixr7cBiAVswsQYHUZT0S0/ZOAgat6k&#10;qUw+NOD3B02KCFpYbmQ0Kao4KH1CJJxmQbxx4yYakzFGxnvNRAL6R7BmvVdiIm1Yt04mVhQKRcVE&#10;uRQJt27dogXz51P3rl35RBRE9tWfFwkIUBARsE7eu2evusq9JaA/Aw2caGb87N498VDAPoC2rSIk&#10;m4P3B42K2VnZMvqHQFbRmhTfFfHaos8DngmjRo6ikOYtTEUC/EUiwsMpPSVFzMV++P77gndToVBU&#10;NJRLkXCPg9GK5cupX1JfCgkONp3Th8kSjI9gmrRty1Z6/OhRwa0VbwMQC5i3R//HsqVLKS46RrZs&#10;yom1Zy+aO3ce5fMp1yy4KUuHyNCgnJObu5KGwBGzSVPTLBtWVEdHRtLIESNoz+7d9JP26ygUFRbl&#10;UiQ8ePCA1q1dK3v5MWdenEjA9wYPGCg+CA8fPiy4teJtQEXC+ydEwsGDh2SyoV/fZApq2MhUJMBb&#10;pFP7DjR50iQ6dPCgjAMrFIqKiXIpEh59/oi2bd0qTXLIFpiJBDTNwW45OSlJsg73P/us4NaKtwEV&#10;Ce+fcFzEHgyYVHXv2k36Qcx8K2DJnNituywoO8EXCEyqKBSKiolyKRKwzRGOf9OmTpNgZLYsB8IB&#10;HdzdEhJo4YIFdO/u3YJbK94GVCS8f8I7YfuOnTRmzFiKj4unurVqm4oEbI3Eqm9s8zx/7jz9+uuv&#10;Be+iQqGoaCiXIgHbHGGpPG/OXOrcoaPpkic0bDWoW5eDVTTNnDGDbt28WXBrxduAioT3z3v3PqPN&#10;m7fQ4MFDqE1Eawrw9TMVCdh5gt0nu3buops3btIfv/9R8C4qFIqKhnIpEr795ls6e+aMeCBgwsFM&#10;JKAW6+/jQyHNgmVj47UrVwturXgbUJHw/oklWavyVlHPHj2pcaPAYpefNW7YiP9PjKfjmDa5f5/+&#10;93//t+BdVCgUFQ3lUiT88MMPsjsAM959evY0FQk4QcErAU1aA9PT6cL58wW3VrwNqEh4/4QHxaKF&#10;iySLUOMFa9SbBgbJNtOLFy7Sl3w7bDJVKBQVE+VSJKDR6rPPPpN1z6n9+4sngtnFEES/Qq8ePaRB&#10;C8uJsHuhIu1beFdQkfD+iJ0N8J7A3oYZ2TMoqFGg6f8Fg3hP5syeLaPEMFKCz4VCoaiYKJciAelR&#10;bGI8f+6c1FZdX7CTHw2MXTp1pu1bt9LTp0/FHRBCQVG6UJHw/ggTJWQR4LY4edJk6Tkw+79gMKxF&#10;C1rO7xEEAkyw9P+DQlFxUS5FAjIBCEqfP3xIE8dPEGc/s4shCJGA5kVcFLHzAYFML4qlDxUJ74/w&#10;R8A+jIMHDop5WP06dU3/LxiEf8j6devkPTO2eioUioqJcikSDHz5xReyw6FOQE0RCmbGMZhyaBvR&#10;mmbNmCklhy8eP5Z9A4rShYqE90eMPubnn6bNmzbT4IGDqE7NWs/9PwCdHRzEkhkTQTu3by945xQK&#10;RUVGuRYJKB8snD+fQoKbk7+3j/mUA4uEliGhNGHsONq5Y4fUYbUGW/pQkfD+iFLDocNHaNmy5eK0&#10;iM2bRf8fgBAITRoFUlq//nTwwIGCd06hUFRklGuR8M3XX1PeypXUMS6egho0lKBU9MKI7ELToMaU&#10;npJKK/giiqkINDAqShcqEt4fb926TTt27KQZM2ZSty5dRTAX/X8A1vYPoLYRETRm9Gg6eeJEwTun&#10;UCgqMsq1SEDj1dYtW0UAtG7ZSsa+il4YMQoJh7kO8fE0ddIkOnXypM6FvwWoSHh/xFTDunXradSo&#10;0RQbFU0+nl7P/T8AsVYd69OzMzPp3NmzBe+cQqGoyCjXIgGLaQ4dPERTJk2WhTXwRDC7OOKi2bxp&#10;U0rr31/snNHRrQ1bpQsVCe+ejx5/Ibx85Srl5Cyhvn2SKKxFCHm4upn+P0BGDeWIJTk5klFTKBSK&#10;ci0S4Jdw9sxZDkrLKDmprzQwml0c0dRY09ePhUR72rRhg4gL9CUgsClKByoS3j3hj4DxxzNnz4lQ&#10;bt0qgmr5BxRrotQyNIzGjBpNWzdvobt3dJeJQqEo5yLhj99/l50Me3btFr+E4ubDUXLAKGRo8xa0&#10;bMlS2f3wj3/8Q0chSxEqEt4tkUGAgRImG44ePUaDBgyUXQ2Odvam+xrA6HaRNGfWbDpxDFM+XxS8&#10;cwqFoiKjXIsE9BY8ffJEUqeZ06ZL57bZxdEgPOsxMnnt2jX69ttvdcqhFKEi4d0SIgEC4eq167Rz&#10;5y5K6t2HPIspM0A0oIG3a+cEWr92Hd29fUfMyBQKhaJciwRkAv744w/68ccfxSwpJDjY9CJpECYz&#10;I4cPFzvnO3yhRDZBUTpQkfBuCZFw8+YtOnnyFK1cmSdTDe4urs995o0sGvaYpPbrL14hP//8M/3z&#10;f3Vfg0KhKOcioTA2b9ok6VRXJydy4Iti0YslWMvPn/ryiQslB2yR/PWXXwpurXhTqEh4t3z06DFd&#10;unxFsggzZ8ykuJhYEQJFP/PIIHiweAjw9aXRI0fS9WvXtGFXoVA8Q4URCfv37qPkpCQKrN+AvIpZ&#10;kevrVYPi+WKKNbl79+yRDISidKAi4d0STYtwWYSB0tAhQ6llWLjpojNkEWoH1KTwkBDKmj6dbt++&#10;rSJBoVA8Q4URCTCHGT92LEVHRlKdmuZTDjhRtWgWTH169aI1q1dLUENwe52LJm6HcgeMmVDy+OXn&#10;n+nnn36ykP/+26+/ytexhhe9D/hZ3Ka8QkXCnzSmDrBTAX0Dd+7eo1u379CNm7fo5q3b4pCIr+P7&#10;+FkQ5QOz+zIjfhb3f+jQYZo2bTp17tSZAhs0FEFQ9DOP7EKzxk2oe9eutHTJEnr44IGKBIVC8QwV&#10;RiRc5uCUs2gx9UvqS00Cg567WIIYDavl709tWkXQ7Jkz6bN79ySQI4i/yoUTPwtx8NOPP9KjR48o&#10;/1Q+bd64kdasWi3cuH497d2zV75+iwMD7KMxronblNcLtIoEC42GwitXr8lJ/yAH8u3bd9Dq1Wto&#10;EX8+ly5dRps2baYDBw7S2bPn+GR/hz67/0AmFczurygNgQDhsXXrNkpPTaOmLAL8anib7i5BM2NM&#10;ZBSNGzNWbMmfPHmiIkGhUDxDhREJCPg7tm+XHQ3Yclf0YgmiicvJzl6EAhoYL164SD/88INMSbyq&#10;SIAhE7ZQwsFxNuxwOydQVJu2Qhg7DRk0mGbNnEXbtm6lS5cu0ZdffilrqlUkmAe/8kIE8es3btKx&#10;Y8dp8+YtIgwmTphI/fv1p1h+TRL4czJi+AiaP3+BiIeLly5LZuFVRAJECFwWc1fkUnxsnJQZzLII&#10;IIzEevfoSatW5slq9R++/15FgkKheIYKIxK+/vprunTxEi3nkxp2OWD7Y3Hz4ig7oIERouLOnTti&#10;rvSiCycCILIAmIZAVuDG9et0lF/LdWvWUtb0TOrRtRs1qldfPPNB2EDDJro3B8eZM2aIK+Tdu3df&#10;+ns+ZKhIsBBB/AJ/Drdu2y7PefjQYdSlU2cKDw2jOvy5aNSgIUXzyR7Oh5MmTqLly1eIWDhx8hRd&#10;uXJVBAMyBRANuK+i94+vI0txlEVIdvYMMUgy+4yDyCxgXwMeA7wRHrKohbhVKBQKAxVGJCCAY5fD&#10;gf0HRACgFovTlZlQgANjBxYSc2fPoSOHj4jXwouCN/oJkAVAEDx58iQtWrCAhg0ZQt0SEig8JJTq&#10;164jaV2c6EAER6R/mwYG0aABA2Ty4trVqzKbriLhr0GvvNFoKFzBwR8ZA3zOsDPBx6uGfO483dzF&#10;/TOoYSMpe3Xt0pUyRmdIGWLP3n107vyFZ/0KZiIBXz95Kl92NYwcMYKCmzR57vMNGlkzNPJmTptG&#10;D/l2KHmpN4hCoSiMCiMSEHwRqK7yaWz0iJFygkLgNqvTOnMgR3AfkJpGebkrJZvwn//8R25fGPg3&#10;vo7T14P79yn/1ClaOH8B9e7RQy7ORh24uIwFfj9SvZs3bpLsA0obKhL+GvTKGyESkBXIWZwj/QJh&#10;/DkrOnWAzwsyXRAMtQJqUlRkFA0ZPITmzZsvWQUIBTQ5Fi1BGKWGPXv2ShahJ38OG7AAKXzfBiEQ&#10;UGpo3bKlNCxCIOCzV14/fwqF4vVQYUQCgAvgvbt3ae6cObINDzbNZj72yDDUqVmL2rRsRRPHjxfP&#10;BGQiIAgKX0Rx6kIGAc2JyAbA+hn9Bk2DgkQguDg+P3JWmF4cBAakpVE+Bw2stUaTpIqEvwbV8kaI&#10;BDQkrlmzlsZkjKE2Ea1NRxNBBHK8RnVr15FyRI/uiVKCQJMjygkQBIXvF2UITEfkrVpFKSkpchtf&#10;/hya3Tc2omKSBztNtmzerGUGhUJhigonEh4/fkwbN2ykoXwyQzoXF2GziyjEA4J4r8QetI9PZugX&#10;wLhi4WwCGhpRwrh44QKNHjlKhEFxJYyixM/g58dmZMjYGe63PJ/iVCRYiNM+TI527dpNM2fOksZC&#10;t2I+gwbxWUFGCmZf7ePiaeyYsbRx4yYZmzTuF1kFTEFg4yMaYtu2bkN+Pr6SFTO7T2TSEjp1pulT&#10;p9Gxo0fpf/+h69EVCsXzqHAiAUEdo4cIVIndupM3n6jMLqJI9+IkF9MukhYvXEiXLl6UpkRkEwwg&#10;RfvZvc9ERKT27y8Nj2b3VZToh0AWo0N8+2cLpco7VCRYCJGAUsGx4ydo1arVUnIIbtJUTvzFTSAY&#10;hGjF6R+vF3oUMCVh3C+yChcuXKR9+/bT6FGjZe0zXt/i3EUbNwqUhkVkEW5cvyGNtwqFQlEUFUok&#10;AEirIptw6tQpaS7EtIHZRRTECa5506ZyMd2wfr30DRS+mH737XcyNoa+hR4sONB4ZnY/RQlnR5Ql&#10;pk6eIo2UFcHZUUWChUbfACYV9vF7n5WZRd26dqPgxk2KzWoZRFkCq54jWraSngMsbzLuF2UGmCct&#10;W76C+vZJkp+zf8EET3hoKM3n1/za1WtS6iosfhUKhcJAhRMJCPLIANy/f5+yMzPl4owMQHGnuDoB&#10;Nakjn/gnT5xERw8fkR4Eo4kR3gYH+OSG+4Gdc3G1ZaN0AadHnASxbQ9p3l07dtJNPg3+8fsfBY+u&#10;/EJFgoUQCYbZ0dlz52n9+g00jT8L6A3AWCwaDf19fMjdxUUyWYU/R8huebi6UcP6DaTkcObMWbp3&#10;7zOZaICfAvockEXACCU+b4VvC0IwIIsFkdo1IUH6aDAaDOGM90ehUCiKosKJBMMqGaugV65YQQkd&#10;O1Gj+vWLPcVhAgFjYol82tuwbr2YzRi9CTBLQoYBGQlc4M2aIHFhxkUZ447du3RlcTCVNm3cKJMQ&#10;D+4/kPurCKleFQl/Ek2GCOzoKThz9pxkFHJzV9LUKVPFVCmybTuqX7eu7BgpnAnA3x1ZOAT4+NKg&#10;gYMkCwVPBHgnYNvj9OmZFBcbJ14LLsUsc0JfQ6uwMBo1YiQdPXqUfv31V/n8led+GIVC8fqocCLB&#10;AE5Pe3bvphHDhlFkm7bSRFj0ompcWJEhQDCbO2u2jDpi9wImG/D3tWvW0NBBgykmMlJSvOhxwCkO&#10;RAe5P1/Qw1qEiECYmZ0tDowIlhXt9KYioXii6fDSpcu0/8BByslZQoMH8+cpJoaaBDUmb08vy2eJ&#10;BQM+WxCcyDZgJBLNj8gm4La7d++hAekDqG6t2sWO9iJbhswZFp0tycmR8pmWGRQKxYtQYUUCJhPQ&#10;T7CcA1b/5GSqX6fucxdVUE5vfHHFhXn40KGyHfL2rVsS5OFrgKC3a+dOWrxoEY3JyJCRxp7dE6VH&#10;oX/fZMkyQBzAfRFLpjAuiZJF0UmJ8g4VCcUTIgFZBTQeHjx4SEYcZ86cSSNGjJDXpmdiD+rdqzel&#10;9Osv4gA2zigtoFxxml+z/fsP8OdvMXVJ6CKiAhMNhTMQBpHpwus+Z9YscQT98osvJLOmUCgUxaHC&#10;igRkAj7//HM6fuwYTZs8RXoFzC6sBpFp6NI5gQP+DDrMF3JMSeA+4J8AsYDdEGf4gr1j+w5axqfB&#10;JYtzaOOGDfyzB+k6n9i+LcgeILVrbHysSCleFQnFE30KEAroVUDpAA2Jp8+cpe07dsoUA4g9DBh7&#10;PMCfPZgpYTcDGiBPncqXKQn0IkS0bCl9DGafY3wNvTfJfZJo39699AULBJQaKpJQVSgUr44KKxIQ&#10;qBHc73FwX7VyJSV06iS1XlcnJ9OLrBHQkCWAAEA2ARkBCAXcF0oQ2KB38+ZNOp2fLz0HV69ckZLE&#10;9wWCoiJDRULJaPQrQCxADGBLJHjk6DF5fSAg4IcAgYCf2caidOzYseK3gGyY2WcXDY9wV8RK6PFj&#10;x8k4L5p3kc3SXgSFQvEiVFiRgKCFU/3PP/1Ehw8dkt4EWDEH+PqRnUk9FzVedJbjQjxsyFBp+oIo&#10;gFAw7guOibj4fv/d97KHAQZMRmmhoqd1VSSUjMgqGO6JmIC4efOW8Nat2/JvCARDRMCUaTELVvht&#10;+Hn7yORC0c8tiK/DN6F7ly5iwfzgwQMRrUUdRBUKhaIoKqxIMIAL5fVr12gJXzyT+/aV09aLTG2Q&#10;zu3cvoMEunNnz8oImV5oXw4VCaVHiITzFy7S3n37adzYcfKZNfusGkTTY/u4OJo8aRLt27NHJnsU&#10;CoWiJKjwIgEnfGQEZDnTggXUPjauWCtbEBmFkOBgSk9NpdwVK6TsoCLh5VCRUHq8e+8z2rt3n7xm&#10;fXr1pnq165h+Vg2ijDYwPZ22b9tGN27ckF4EhUKhKAkqvEhA8EJDITICeP5pKakyZlZcNgE13wBf&#10;XwoPCaFRI0aI7z3KDEjfqlgoHioS3pxobkQW4erVa+KrkJaaRq1bRRS7xAmCFhMNTRoF0oysLLrJ&#10;AgF9OBXBl0OhUJQOKrxIQGDHRRO9A5hCmDVjpgQwjDyamSOB6BLHgpyunTvL7oVr167R1199pTPn&#10;L4CKhDcnMghoZty1ew+NHzee2rVuI74IxdmBw1cBeyGSevUWIzBkzIxtpgqFQlESVHiRACCAGWWH&#10;7du209jRGRQTGSWmNGYXX2QTxJiGL8BYD71pw0bpazC6xTWj8DxUJLwe0choEGOPe/bspQXzF8hy&#10;MjQrvmjkEUIX0zizZ82SctpvBSOP+vlUKBQlhYqEQvj5p5/p4oWLtHb1Gik71KlZSy7CZu51IGq9&#10;sVHRlDFyFO3csUOyCSg9VPRJBjOoSHg9Qhxg0gEjj8ePn6D58+ZTct9kCm3eothdIRh5RHYBVuHY&#10;ObKXhcW9u/foX//UMoNCoXg1qEgoBLgwYm3zhQsXKGvadAoJbi6d4UUX7RjERRpCISK8Jc2aMcNi&#10;mvTtt5JRUPwVKhJejxAJKDPAH2Hzlq0iXrFmHKWE4sQrBAK2m3ZL6CJOn/DqQC+ClhkUCsWrQkVC&#10;ISADYAiF9evWSaq2WVBj0416hYkLdkpyP9nNf+XKFVn9jPvS1O6fUJHwaoQ4gF+C7HW4fIUOHDxI&#10;s2bNoqi27Ux9PAxCOFiWOIVL2QxW4NpYq1AoXhcqEgoBgQwXUxgiwWI5Z9Ei6peUJFsizS7IBnFy&#10;w0UZextW562iz/jkB7GhZjV/QkXCqxEiAQIBZYZ9+/aLQOjTuw81bhRo2oNgEL0ybSMiKGPUKNq0&#10;YQPdvXNHjZMUCsVrQ0VCEeBCimmHJ19+KQug5s2eQ+0iWsukQ3HpXXwdtrdYKT1y2HA6wS8qrJjR&#10;SV4WLsx4DCAC9fvKbnwIIgGBuTDNfuZdEQIBDouXr1yl5ctXUO/evalZk6bk4+Vl+hmEcEAvAtZL&#10;J/fpI+vIseXxxx9+fPb+KxQKxatCRYIJ/sunLuxiwBKcHdu204C0dJlkwJKn4jrJYX2LskPH+Hjp&#10;Tzh08CA9+vzzMnFxxmOA8IEfBFLP76M2/SGIBCO9D+Lv71MooA/hyJGjtHJlHg1n4YnlTf4+PuRa&#10;zLgjRGzdmrWoTasIypw2jc4WuIHi/VYoFIrXhYoEEyCoIpCiAfEyB7UF8+ZTrx49xf8epzWzi7Rx&#10;kmtYr54IhalTptCZ06clOL5v4DFAICBIo4ENpZB3jQ9BJEAcGMuT8Pf3KRIw7piXt4oGpA+gdm3a&#10;yk4RlBKKKzWgwbZtRGsaMmgwbd64STJhEIY6aaNQKN4EKhJegi/5Ynvo4CGaPXMWdenYScoKOLUV&#10;d7FGkyPKDj26dqMVy5fTrZs3JTi+bZc7BGHUnlHiwBprdLRfvXqVzp45Q0f5fT144ADt3rVL/v3N&#10;e9g3UVZFAoQARgxxcj9z9hxt376DVq9eQ1u3bJVegGPHT9DZc+dlugDi4W0LBzwONCrCD2HC+Aki&#10;ELBUrLjlTRCm+F5Qw0Y0MC1demIunD8vfTUKhULxplCR8BLgBI5T2fFjx2nM6NHUNDDohbbNGJeE&#10;CRPKEwNS0yQgYhHU2/bLN7IF2D6JQLx50yYpe4wYNlwc9/ol9aX0lBRavHCh+PerSLAQQR+1f1gd&#10;r1+3ngYPHETt4+Kpf7/+NGbMWJo7Zy6tWbOWDrBQvMI/87ZFAnoQdu7cRbNYlCZ2TxSvDrxOxWWw&#10;0DRb09dP/Drw3mKXyHc6hqtQKEoJKhJKAATUp0+e0KrclZIhaM4CANbMxWUTwBoentQyNIz6JyfT&#10;6lWYeLgnp7u3lVFAFgFBGF4NSDePzcigju3bU9OgIOmVQCBBhmPwwIF06uTJdz6iid/1LT++q1eu&#10;0PJlyyg+pmyIBPQeILV/8lQ+zZgxk8L5PXPhk3lDfq2i2kVSUp8kGpMxhpYtWy5ZBexOKO1SBB4D&#10;yhw3b92mAwcOijDpn9xPDJOK8+gA8fnD+9qmVStx/sTKc3y+3rUAVCgU5RcqEkoIBHikcVflrZIT&#10;eYM6dSWbUNzEA4yWsN8hLCSEhgwaRHl5eZLqxynvbQANapcuXeLHl0ejR47iIBwrogBZDzwWBGSI&#10;hd49etKB/fulL+Fdzs5DJGDiA+WXvJUrqUNsnAit9y0SUGo4e/Yc7eDTO/Yh4PHg1A6Rh70Iwfxv&#10;1PoHDhhIa9espSt80kfmAULB7P5eh3gM57GTYddumjN7jggTGHmhD+FFEzUoe6FRcdL4CbR75066&#10;x0JUexAUCkVpQkVCCYFGRiyBQo/C0pwciggLlyBXXNkBxEkP9eKwFi0ko7CCT9B37959doovLSDQ&#10;YxpjFwcKZAraRESIEyQCSeFsB/7eIS5eVgZD9Bi7Jt4F8HzRNPnZZ5+JUVXnjh1lXK8FB8PevXq/&#10;V5Fw9NhxmSIYNHCQ+BAYrxVMiyAYHPg9RlYoOzOLTpw4KWWH0hAJyEaA6EPYv/+AvAbJSX2pSWBQ&#10;sTsZDEIgoFkRZST0m/zIry36UUrzc6VQKBQqEkoIXHyRykVwRVp30oQJ1Kl9e1mi86KucwRqZBRa&#10;hYXRYJxGV6+WEz9cHUtjFBHZAAiEeyw+Fi9aRHExMVSvdh3JHJg9npioKAnSGI+D6HlXQQW/Bz0T&#10;sK1GuWP61GnUo3siDRk8hLKzsmnTps3SsGcWTN8mUT5AgJ4/fwH15RM8LI/NXrfABg1lNfPyZcvp&#10;8JGj0sRodn+vQpQYzl+4SHv37pMMAn4/yh2wVDb7POFr+DzhvUUpok/PXpSzaDHduH7jnWeGFApF&#10;xYCKhFeAIRQ+//xzOnbsGM2aOVMaxnDRflFGAac+nJrDQ0MtzYxLlohQwIUdF/U3ubAj8MKP4Tg/&#10;HjRWQrSgvFBcmhq2vrkrVtD9Aj//dyUS8ByNsdLHfHrGxEgen943bthIu/fspVP5p+n2nbumwfRt&#10;EoEajYLTWLR069JVSgxmrxtS/1GRUeJZsIEf863bd55lAszu90U0bnfz5q2/lBiQxUDTqxN/Xswe&#10;g1FiQB8CehZQ/rh48aJMsyA79aafJYVCoSgKFQmvCARVZBNQdti3d680jIU0C35h/RjEKdDfx5da&#10;hYdTemqqZBSMTvQ3aWbENMPp/HwpgfTo1l1S0Ga/H+lrlEcSOnaSTMLjx48lA/GuREJh4PW7e/ce&#10;nT5zVmrxyCDc4ICJU71ZUH2bhEgonEmAyDJ7/fDaNWrQkDq27yCNhRiXfJ3eBKO8gCmGgyyUcF/9&#10;+iZLOcOjmNXkBiFGG9WrL/0mc1lYYE8ImlXfh++FQqGoGFCR8IrASQ1BHal6TBKs4tPwkIGDZHfD&#10;izrRQfQnwDUvPCRUSg/o8kcz468cNF8Xjx49kmbF/gXrg83m6SFQ0LQY2KABDUxPFzfId92TUBh/&#10;/PEPevrVVxIsIRYQbBGsS7MZsKSUxsVz5yWbMG7sOGlcLPr6gY4YbXVzpyZBjWkUVoPzz6NUgOdg&#10;dr/F8dGjxyKKcPs5LBAgTGC37Oft88JsFIjFTd27dKVZ2TOkD+Grp0+fLW9SKBSKtwEVCW8ApHnP&#10;84kyL3clJfPFHhdxpPqL608wiJQySg/YHLkyN1f6CYygXZKmRgR2/ByCw/Vr16Q/ogUHN9hGm2Uz&#10;0HzXoG5d6VfIzswUr4J3LQ7w+1BuwKkXGYwvnzyRuj4EAsoMEAvIJGAcEDQLsG+D+F0oHVy4eIkW&#10;LlxE0ZFRIrSK8yVApgbum0uXLKVDhw5LBsTsfg0apQUIIAiK6zduikkTSgz9+P1H4+bLxCXEA7II&#10;rULDaOqkyXTs6DExy1IvBIVC8bahIuEN8Ptvv9OXX3whZkloIDPSxsWl/A2irlzLP4DCQ0Kof9++&#10;NHvWLNq7e49c+BFEX9bQCBHx+2+/0dd8Gj+4/wClp6RKcySMdcwECn5fVNu2LCYm0s4dO97LTgk8&#10;ZvRAQBCdyT8tJ2mYFK1bu05q/PsPHKSLly6LcMDpHoHVLOiWNvF7DI+CzZu3SCMl3sOaLPjMBBfK&#10;DnExsTSRX8sNGzdJ2cDsfg0aAgHP6wgHd1gtT+DbwigJmR+ZQilGkBisV6u2mE+NGZ1B27duk8/J&#10;D9//UCqNrwqFQvEiqEh4A+A0j9IDxs+wWhoZBQRs1I0xNldcRgFfN06H8Fto2ypCzI+OHj4s2Qmk&#10;kBFUQbNgjq+jF+HO7du0fu1a6to5QU6/Zr8PX0Pmom/vPjL6eOfOHfrpp58K7undQLII//6PBLcD&#10;LGqW8SkcggXeA0OHDKWMUaNp8eIcOsgncxgbIaC+q2wCgjh+FwI5RiEXLlhIqf1TxKfA7ISP1xkT&#10;CKn8PufkLKFz5y+88H4heO7euydjk7n8+cBzhkkTJlCQdSouYwEajYrtWrcRLwQsG7vN7/n//sMi&#10;JPE5UCgUircJFQmlAAgFbIzEauklHOxgg9yiWbCk/80u/oUJoYBu9fZ8Op02ZYp4HcCVEKduTC6Y&#10;nRYRHGDz/MXjx7Rz+w5K7NZNgknR+0aQ8+XHENy0KZ98J9CFCxdEhLzLRjc8VjwHPJdTJ0+J1wBm&#10;+zvEt6fWLI6wmwAnc3gUIOjuYxFx6dLl99KfIL0Cu3bTzJmzqFOHjtLHgdewsPhy4/cLjxuPFyuc&#10;UaYwuy+LOMAehsu0d98+yl25koYNGybPFwIB91P4vSpKvJ/IIEBAjh4xkrZu2SKjjnj/3nUWSKFQ&#10;VFyoSCgFIKOA0/8PfLpHRmH50mU0KH1AsU1whYmTJE6UdQJqUuuWrSgtJYVW5+WJex48BczqzggS&#10;6EfA78w/dUr6IcxEAgQIdkj07J4oy6Ywuon7e5dpaogE/E6Ing3r1lNnDr5YaQwvAG9PL/LxqiFT&#10;H20iWtPgQYNFKBxFzZ2DrFnwfZtEfwRKHtv4xJ6elk514Tfh4vqXsgP+HRsdI02O69evp8vFeDsg&#10;G4KlUNj5ANHRu1cvighvKYIQ655fNAkDYlEYSgzIuGzdvIXu3L7zXptNFQpFxYSKhFIELt5Pnz6l&#10;s2fO0goWCsgoYKQOwbDoibQo8X30MmAvBNb9buAABNOhhw8f0o8//ljs6f/a1as0fOhQGcH0dHOT&#10;0gJOwAi8EAh9ODhlZ2WJAdRPfD/vGhAkyHpgCmPh/PnUrHGT5547XheYGMGnAH4FMBd6H+OQyF7g&#10;98L5EQZP7ePbS9kBJ39kZOB1UdPPjxK7dZcFTDt27BQhUPj2yB6gZII9D1u2bKVZs2ZT7969qXFQ&#10;kEy2YEqi6PM3XgMQfSVogIWj55hRo2kn/44b16/TLz//XPCKKhQKxbuDioRSBEQCRiOfPnkqGYWl&#10;i3PEPAn++lgx/TJnRmQUcLJGqSKhUyc5RW7ZtJku8+kWWQUzoEadOW2a/I4WzZpxEG4s45gdOcAN&#10;GjCQchYvpmNHj9L9zz6TzMO7BjIeWE2Nmf6s6ZnPbI8LE68JxFTnjvycJ02m3bv3vBeRYPQmIPAj&#10;mzBzxkzZoolphpioaBEMIc2bS6khNzeXDh3+63QDHjN6FLDmed68+ZSWkir9B3jO2AXxogwCvg6h&#10;2Kh+A0pksTR18hTpIbl7566UGHSSQaFQvA+oSChlGDV4mCTBAwH7/RGsEWCQYocQMAsSBhEwISaM&#10;hjV0tK9fu44uX74sDYd//P679EAYo5I4oWNh0oC0NErq1Yt6du9OA/nvkydNkkZKiBUIDPQE4Dbv&#10;GghumKZAVmTi+PEcBJ+3PcZzxmkdJ3csWcLkw/sQCaBMO3x2X3oNMOK4ll97ZANGjhgpJYPu3bpR&#10;JosdZBFgBoXxSTxWlCoM/wMYM2EHA6ycEfhRUipOHIIQCMgAYUKlY1w8zczKpsP8u7E5FE2KeN+0&#10;xKBQKN4HVCS8BeCCjlM7XA0v8Mly3Zq1NIGDH7IDCIYQAS+rSYOwCIaNMhwa58yaRTv4ZIlNlE+e&#10;PJH6NE7pqPWjYRKNbShRwMkRNeyDBw7K70ZzIx4LfvZ9BBpDJJw8cYIm8mtQ1kUC+PDh5xL8Md6I&#10;hU67du+hdevW05IlS2nRosW0ffsOKUmgHwG+B8geoESC6QW8zyhHYLwRZZ+iz7Uo8TlA7wh+HoZY&#10;cFLEls7P7n0m7+37EHYKhUJhQEXCWwCCMS7uhjPjgwcPKP9UPs2aMUMa9FB3ftHom0GICfwsutyR&#10;VUBTIxoQL128KEIBW/+QtUB2AQZFyDSA+Dv6AP7B4gCPARkHUEVCyWiUHdA8CQ8FZAkgGiAIQMMh&#10;8tat25I92Ltvv9grYwFUW36f0L+AjNHLhCCeNzINyDBhWRMaIa9evSp9LYZfhmYQFArF+4SKhLcM&#10;iAUEbWQV9nMwmTJ5MnXp1JmaN20qJ00EkxelokHM5mP6oaW4NCbT7JkzJXOADAICMBobIQbKYlD5&#10;EEWCGQ1TJIiDq9euUX7+adq2fbv4O2DSoTcHeYxGIvsDj4yiz7EwIRAh/jDpgBFHZBCWLF4sy5qw&#10;iwGZHxUHCoWiLEBFwlsGLvYI4OgJgFBAYEf5IT0lhZo0CpSGxpdlFXAihVDw8fISe+WWIaHPUtP7&#10;9u6T5kVkDhCQkTEoSygPIsEQCHhMaFQ8dPgIrVq1isaOGUsd4uKpaeMm8vh9vWpY/A9KIPogENq0&#10;bCXNqVgUduPGDekdMbJDKhIUCkVZgIqEdwBc8BG80RcAsXD3zh1xHezbp48ECmQJ0LiG8oJZUClK&#10;iIqgho2oV2IPmj51Gm3etEmMkmB5/NVXX0nmAulqZDHet2j4EEUCRIEhDOB3AMtm+CegPwFmS+hL&#10;wJKnuNhYWcxU9PkURxcWB8geNeb3Lj46hkYMG0a7d+2ir7/+WsSB0aCoAkGhUJQVqEh4R8CFH0EA&#10;QgGWypcvXaJtW7ZykJ8qjW6YfkBWwSy4FCWCKoINMhEx7SKlnj165EhaOH+BzNUjbQ2xUBbq2h+q&#10;SEA/AgTChQsXZaUz9kxMn55JA9IHUNeELhTRsiXVr1NXsgJFn48Z8RxhItU2ojUNTEunxQsXiXfF&#10;vbv3njlrlrUskEKhUKhIeE9A4EZwOJ2fT7NnzqKeiT04gDYo8eSDQaMUgUVB7WPjaGzGGFq/bp2Y&#10;LKFXwZhsMLIK7/qkWtZFgpE1MGjsW0BzIkyRDhw4SCtW5NKoUaPFK6FWQE3ycHWTx1z0eZgRP4f3&#10;CCOt8K8YPHAQrVm9hu7evfvO3wuFQqF4VahIeI9Ar8LnHJCOHjlKK5Ytp9EjR8myJqx9RvkBgeVl&#10;wQjfh7DAdsKgBg0pNjKKUvv1l5XCmITAbgdMVqDEYSyPgmh4V8Bz/OrpU5nIQNYEZRKz5/A+RYKR&#10;NcASppP8Wu3es0e2NcIfAWWFpN59ZIU0RJynm7vFAvsl7wtKQhBv2PYJo6uk3r0ps1BpqDhzLIVC&#10;oShLUJHwHoGTPUoCGFvEyfIov/5Lc3JkFwPGHmHTXJI+BQRZBCXUvHEbmPLA5c/isZAmmQosjoL/&#10;P4QC6t/43YUzC2/rRAtBgnl/bJ+E10PToMamj/9diYSimQP0HRhWykePHZMxxBnZ2ZTSvz+1bdOG&#10;mvDjxdpo7FLA64vX+WXCDYRAwIIv2CtnjBpF27ZskZXiWAT26y+/inhSKBSKsg4VCWUE8FPA9APK&#10;D9gkiWwA3Pdg0YygD8Mds2BkRiO9jaa68JBQ6tGtu6yiXrZ0mYgFuB9ev3aN7vPpGRbSKEtAOBhl&#10;idIE7g9lFfg6wAESS4swBWCMfmJcEHbFzfl5JvdNpjlz5koPQGkueDLEgDQisiC4efOW+BvAEOnw&#10;4SOyYwElhezsGTRi+HDqkdhD1kFj/wWmFUoiCkAICPSKYP03lnV179JVyj+bNmyUCRTYU6s4UCgU&#10;HxJUJJQRIHhgjBGpeRjqHDxwQPYuDB86THoN0PRmFpiKI4QCTr4w9kHQQgkjsk1bmYjAyXbe3Lm0&#10;kU/N2Otw8+bNZxkGNNCVJpCtgPjAxMW+PXtp8MCBHIBDxUBI+ilYIEDMYF305EmTafPmLXTm7Dlx&#10;PTQL+K9DiATDGOkKXBRPnpJsBVY9T5s2XUyQ4vg1bsmn/mZNmsrrhdcN2YCXeR4UJoQPFnShv2Ty&#10;xEm0du1aOnXipGSJkC0yJhgUCoXiQ4GKhDIGBBGUICAYsNhpw/oNNH7sOBEKGJVEChv9B8gUIMia&#10;BasXERspQ5s3p64JCbK8CF4LWzZvpjOnT0tJAE2GOPFi7TUC+2/8ONDHgAbEN5mUgAi6dOkSLV60&#10;iNJTUqlt69ZUv25dKT9EtGpFAwcMpLyVeXSSA/j16zekgdAs4BdHwyURZQr0F6DxEKOLKCPAPhl7&#10;Fo4dO07bd+yklfx7ZmbPoMGDh8hSKTwGCCqz1+tFNPoOUIpA1qFpYJBs/pwza7Z4Hzy4f1+yKJo9&#10;UCgUHypUJJQxGCdvCAXY816/fl28/JcvWyYLktAA144DLE67cO0zC14vIoIajHzQsxAR3lLMgHr3&#10;6EmD0gewGBkrfQN5ubm0i4PpieMnZFQTTY9PnzyRkgge3+sAAgPP5/z587LdcOGCBXLans4neaxd&#10;xiKloxzEsYERPQKvIxJk30JBGQGGR1jChPuFKyKyFBAiaELESur4mFhqGRomjZQQXq+SMQBRgsDG&#10;TggMvIYD+fVDLwP2Z6BkdO/ePSnjGOJKoVAoPkSoSChjMJoIEYwRXBBkEGyw7RFd8StX5NLQIUMo&#10;NiqaagcESIrb0c6uxA110gfAP4udAc58WwgNZCZwGkZJIyI8nLp37UqjR4yg+XPn0ToOsjgVGxbQ&#10;v/z8s5yOkV1A+hxiBsTjxIkZhMgB8fj/W4j4md9ZaMA8CDV6CIbz5y/IxkWIA5z+kQlARsDIDKBM&#10;UJj4/v37DyRbAEJQ3L5zV3YqnGZxgJFFlCyWL1suPQYYXezDwqAVCyL0QuC5or8DYgnZGLwOJc3I&#10;4OfQSIrb4X6CmzShRH6tYLW9Y/t2KdtACEFM4XUoPHaqUCgUHyJUJHwAQMBF4IFB0jkO1hijw6kV&#10;C59wisX8fWD9BmLb/DolCIMQHMgyNA0Koui27ahn90T5HSOHj5CRyvnz5tHK3Fw5LSMbsHfPHjrE&#10;Qfn4sWOyFvvKlSvSEHmTAza2GGIDJQRBUaJBE6UN/Pxl4VUZP7zGQsFYooQyAVwOz547L5mBU/mn&#10;6djxE9LUuGfPXtnEuGnTZhlVXLRwEc2cMVOyBRksCuBFgCZImB5hdBEbFjGKCHFk9rxLQoiKWn7+&#10;IgzQfIkJlAljx9HSJUtEREEgYIrDmBxRKBSK8gAVCR8ACmcV0ACH1P+Vy5dlUgE1/pF86sfSqCaB&#10;gZYZfpMgVxLaVbNsJcRJG136MGjCZAXGExvVqy8lipDgYIqJjKTuXbrIsqmhg4dIz8TsWbPE62H1&#10;qlUiIvbs2i1TFHicRYneBIidM2fPyqKkU6fynxH/BtGbgKzAtm3baePGTbKqGRMI8+fNp2lTp1FG&#10;xhjpKejBQgY+BIENGspjhAsiejcQ0NEQiefhzqd+J35dSjqlYEZkISDG+vXtK30c+/ftE++Hhw8f&#10;iucBRBzEHLIHmjlQKBTlBSoSPkBANEAsyArq/HzauGEDzczOpgFpaRQbFSVjkw3q1qMAXz9Ji+ME&#10;/SYZhsLE/cCLoT4Lh2ZBjTlwhlFsdDQldutGaSmpcoofMXSYuCvCnwHbDc2ZQzlMZAEWLFj4HOex&#10;GMjKzKIJ4yeIIICpEUQBMgTSUxAbJ2u3g1i4ePHjMXusr0M8PwilGiwuDL8J9C7A5ApmV8gcYCIE&#10;fge//PKLCAOFQqEor1CR8AECJ1X0AWD6ADVwNMldvHBBTrdrVq+mzGnTKbV/ivQtoAyBvoOSLo8q&#10;CRFEIT5wSscoI07uDfkUjya+4CZNRaQgsGJPQXRk5AsJwyczYlwzomUr8XlAuQC7LZo3bSaiAAII&#10;/RMQQRAIeDxmj/NVaQgE7NDAc0B2BkuY0JuBEg/EwY3r1+nLL798tnVTRxoVCkV5hoqEDxSFGxwR&#10;qNAoh+wCAlj+qVOUuyKXxozOkBMwZvdRMkAXPxoUUU5A+v1NavQGkcI3iCBblPgdr0N70OT+Cv8+&#10;0OwxlYS4LQSBi6PjM8GDvgWIqtbhLalfUl8RW1u3bKHr167TN998IyUFlH2MZkSDCoVCUV6hIqGc&#10;AIEL2QWkwB8/eiSZBYxOrlu7VhoOx40ZS/37JlPH+PZSW8eiJQTGNwm0HyLxfI1dF7UDalKzxk0o&#10;JjJKNmmiTJI1PZOWLVki4kAyBzduiEAw/A5UFCgUiooEFQnlCIWzCuiyx8kXI4vfcpC7cO48bVy/&#10;gbIzs6R3IT42VhZCodERQVNO7yandbNA+6HQeA7G88JzxPPF8qy6tTDu2VJ6KTClsGplHh07cpQ+&#10;K/A3gNiCMEBJoXD2QKFQKCoSVCRUACDIoXcBDo4H9x+gdWvWii0zphLS+qfIqCP2RKCHAPV/GAyh&#10;MRHTDQiopdnP8C7o7OBA3p6WxkP0SiBb0Co0jKLbRVK3hC6yFwPW1FmZmdKICOMo+EB8/vCh9Boo&#10;FAqFwgIVCRUARikCJ2TxKXj0WE7MSKVfuniJ9u7ZK+OLqMEPGzKUevXoKTbQLUNDqX6dOq/l7Pi+&#10;iMwBGg+bNAoUZ8qETp2pf3I/Gjs6Q+ySN65bL06S8HOAV8PDBw9EQMHj4PffftdpBYVCoSgEFQkV&#10;HEihQzjAv0CyDOhhmDuPpk6eTCOGDqWkXr1kSgLTCpgwaNa4MTVu2Eg8CbDOGnV9rFLGlAPMnGp4&#10;eEi9vyjRLCnukLZ2kvovHNTxbzQRwrDI7LbIZqB/AkuXkN2AB0KdmrXEE6FR/QayMwHNmWEtWsj2&#10;xc4dO1Ja//4iDGZkZdGSnCW0bctWFgfHxWIapQQtHSgUCsXLoSKhggPBElbJaM6DMdCtmzfFJAj7&#10;B9C4BzdBNPHBJCln0SJxepwwbjwNHzJUShVYaIQJCmQeItu0kewDhASMnQoTwgKjkgj4EARG7wP6&#10;BCAeIDCwj6Lo7UCMI6J/AA2GnTp0oMRu3cXxcGBaOo0aMVLcIOfMnk3Lly6jDevW084dO+jQwYN0&#10;8sQJMW26euWKbGKEA+SPP/wgfQYqEhQKheLlUJGgkICJkoTR+IgehsJECh61etgpY401xMO2rVtp&#10;dV4eLYYlMgsHLJ8aPnQopfTrRz26d6duCQl/YZdOnSiydRsO+kHSNAj7Z4xkYuwQGYHQ4ObSTFn0&#10;dmCfXr2k2XL0yJGyJ2HO7Dm0jAXB+rXraM/uPXT69GnZBYGMCBo28XgLP348J+P5gSoQFAqFomRQ&#10;kaAoETAxAfMm7I+4f/++mAphzBIZh6NHjsq4JU7wMB1au2YNrVm16i+EoFiak0Nz+cSfnZlJ06dO&#10;o2lTplLW9Ok0IyubFsybTyuWL3/udiBsnpHN2LN7t2QIUDY4e+asbKiEOMDyK8MaWc2NFAqFovSg&#10;IkFRIuD0jQCMU/q//vkvaYTEJkiMCSI4I9MAEQFDJzRImvH777+n7777jr795lspb4AYz0SAx9fR&#10;PGh2u5+YP/P9opcAvwe/z9hC+U9+HBAwRsZAswQKhUJRelCRoFAoFAqFwhQqEhQKhUKhUJhCRYJC&#10;oVAoFApTqEhQKBQKhUJhChUJCoVCoVAoTKEiQaFQKBQKhSlUJCgUCoVCoTCFigSFQqFQKBSmUJGg&#10;UCgUCoXCFCoSFAqFQqFQmEJFgkKhUCgUClOoSFAoFAqFQmEKFQkKhUKhUChMoSJBoVAoFAqFKVQk&#10;KBQKhUKhMIWKBIVCoVAoFKZQkaBQKBQKhcIUKhIUCoVCoVCYQkWCQqFQKBQKU6hIUCgUCoVCYQoV&#10;CQqFQqFQKEyhIkGhUCgUCoUpVCQoFAqFQqEwhYoEhUKhUCgUplCRoFAoFAqFwhQqEhQKhUKhUJhC&#10;RYJCoVAoFApTqEhQKBQKhUJhChUJCoVCoVAoTKEiQaFQKBQKhSlUJCgUCoVCoTCFigSFQqFQKBSm&#10;UJGgUCgUCoXCFCoSFAqFQqFQmEJFgkKhUCgUClOoSFAoFAqFQmEKFQkKhUKhUChM8ReRcOjQIfrv&#10;f/+rVCqVSqVSSUePHv1TJKxevYbuP3ioVCqVSqVSSWvXrvtTJEzLzKK9+w8qlUqlUqlUUmZW9p8i&#10;IWPMeFq/cYtSqVQqlUoljR03UUWCUqlUKpXK56kiQalUKpVKpSlVJCiVSqVSqTSligSlUqlUKpWm&#10;VJGgVCqVSqXSlCoSlEqlUqlUmlJFglKpVCqVSlOqSFAqlUqlUmlKFQlKpVKpVCpNqSJBqVQqlUql&#10;KVUkKJVKpVKpNKWKBKVSqVQqlaZUkaBUKpVKpdKUKhKUSqVSqVSaUkWCUqlUKpVKU6pIUCqVSqVS&#10;aUoVCUqlUqlUKk2pIkGpVCqVSqUpVSQolUqlUqk0pYoEpVKpVCqVplSRoFQqlUql0pQqEpRKpVKp&#10;VJpSRYJSqVQqlUpTqkhQKpVKpVJpShUJSqVSqVQqTakiQalUKpVKpSlVJCiVSqVSqTSligSlUqlU&#10;KpWmVJGgVCqVSqXSlCoSlEqlUqlUmlJFglKpVCqVSlOqSFAqlUqlUmlKFQlKpVKpVCpNqSJBqVQq&#10;lUqlKVUkKJVKpVKpNKWKBKVSqVQqlaZUkaBUKpVKpdKUKhKUSqVSqVSaUkWCUqlUKpVKU6pIUCqV&#10;SqVSaUoVCUqlUqlUKk2pIkGpVCqVSqUpVSQolUqlUqk0pYoEpVKpVCqVplSRoFQqlUplEa5dv4lW&#10;r91AeavX0cpVa58R/17FXLNuo+ntyhtVJCiVSqVSWYRrWCCsWLmalixdQYtzltHCxUtoUc5SyuF/&#10;L1uRJ0LB7HbljSoSlEqlUlkBuZnWbdgsGYFVa9ZTbt4aWrZ8pYiARYuX0tx5Cyh7xiyaMjWTJk6a&#10;SuMnTKKJE6fQ5CnTKTNrJs2Zu4AWL1lGS5fl0vLcVZS3aq1kHpCBwP2C5r/3w6KKBKVSqVRWOCKI&#10;QxwgK7BgUY6IgeHDR1L//qmU2L0HderYmdrHt6fY6FiKjoqhqMho/jNa/t0+vgN17dKNevdOooED&#10;h9DYsRMoK3umZBpQkoBYUJGgVCqVSuUHSJz2kUFABmDegkU0eco0SklNo9i4eGrWNJj8fXzJw9WN&#10;PFxcyd2g859/93L34J/xo7p16lFEq9bUvVsiDR06XDIMOUuWS1YC94/fA5o9hg+FKhKUSqVSWWGI&#10;oL1kWS7NnjOfxo2fRGlpA6hLQldq07oNBQUGkb+vH7k4OpFDddtCtCP76vYW2jqQg60juTq5kKeb&#10;B9WrU5dCmreQLAMyEAPSB9K4cRNo5uy50suAzAIEw4eaWVCRoFQqlcoKQ4iEWbPn0fDho6hr1+4U&#10;2jyEavr5k7enl2QPXBwcydHW7i8iwSIQHFggODFdhI52juRk70Buzi6SWfDz9qFa/gHUNKgxde6U&#10;QEOHDKPpmdnSs1C4V8HsMZVlqkhQKpVKZbkgTuw4uaOMsFSaEJfTwsVLaf6CxdJoCHGQlT2LBg8e&#10;Rp07J0gGAMHdvrod2dk6k62dB9na+1B1e1+q7hBA1YQ1hdVBe3/+GV+ys/NkoeAst7OIB/zdUf4N&#10;odG0cRPq0KGjZCnQ9Dhn3kJ+THkfZEZBRYJSqVQqywXhYQBRMGPmHJo2LYvGT5hMI0eOpkGDhlD/&#10;/mnSaIjsQdvWbSmwYSPy9/YlNydnFggOLAD8qKpTE7J2DScr93ZUyTOWGU+ferWnyh7RZOXWlqo4&#10;t6Bqjg1FQNixoLCzdRTBYOvgx3/W4H87SSbCt4Y3NazXgCJaRkiD45ChI0SgoFESQsHssZdVqkhQ&#10;KpVK5QdJnMoRdDF+iJM6MgaTpkyjYcNGyim+D4sC9BvERMdSKw7Ywc2aU8P6DcmPxYFrob4DZBGq&#10;OTYgGxYClby60Mc+SfR3v3T6m/8g+h//wfSRbwp94t2LxUJ7snFpyWIiiIVCLbK192IGUHXH+vxn&#10;Tb4fD7Jn4eBQ3Z6c7R3Jz8eXGgc1lkmJjIxxtLigqfFDKj2oSFAqlUrlB8d1HGhhaITSAjIHI0aM&#10;oqSkvhKQ27ZpJ6IgpHkINW3clBqxMKhbuw4F+AWQj1cNmVBwtLX/i0io7liXqrhGUGXPTvTJM5Ew&#10;mP4nYBj9zW8Q/zuNPvbuQ596daVKnnFk7RZBVVyCWTA0IlsWDNUdwTpUzaE22dp5kYOdM/8edxEK&#10;LYKbU9eu3Wg4P0Y8VmP64UMQCioSlEqlUvnBEIEVRDMgPA7mLVhMQ4eOoJioGCkhBPj5k6erO3m4&#10;uMnYIqYQXBxdyNnBSU73TnZ80seEAp/2MbVgEQlOEuCruoSRlUc8fVqjl2QP/u43UETC/wQMLfhz&#10;CP2P/yAWDamSWajk2ZlsXFpQdQd/qsYioSqLhiquoXJfKEdAKDjx7/T19qFmTZpKn8KIEaOlVwKl&#10;kQ9hPFJFglKpVCo/GK5es17sklFamDBhMqWmplNcbLwIhBoeniwKnEUA2FdHr4En2dp7SzMiKH0D&#10;0nToWtBoyLR1kZN/dccGIhKs3dqQlXskC4D2LBYS6SOffvQ3/wEWkVBzhIUsFv7um04feydRZY84&#10;FgrNqapzE759M/6zKVVzaihCwdbOW7IUbs5uFODrT8HNgqlHYk8aP3GyiBs0WZo9x7JEFQlKpVKp&#10;/GCIVP28+YukKbF790RqEtRYRhg93dwlW4DRRPQF2HGAru5QnwN2Yw7cHMQ5kOPv1R3qsWDwFaFg&#10;Z+tOdphmcKjD3+Mg7xrGP4sSQn3+M4hsXCNYLHRioZBE/+M/9E+RUJMFg/8Q+pvfQP5eXylBWLu1&#10;ldIDehWqOjemKi6h0udgy6LE0d5FMhowYEIzY1JSstg8L12ea/ocyxJVJCiVSqWyTBPlBdTwsXRp&#10;waIlYoOMSQX0HCBzAB+DwiOM6AuoyoIAQd7KPUpKCJU948ma/27j2oqq4LTvWI9Zl8VBI6rm3ITJ&#10;X2NWRxYAY4/oL+B/27i2KRAKydKnAHFgySoM5z+HS9/C333TWCig9BAs91vFpRkznMUC3y8yCvaW&#10;yQc0SzaoW4/atG5LKSlpz/oTyrKNs4oEpVKpVJZpIoBifHD5ijyaOi2TenTvQcFNm1GArx852Tlw&#10;AHaj6vYBHPyD+ETfkip5xEnQ/ti7B33s00emFXDi/9int3ztkxoJUk7AaCPKC1Vx6mdxYAtfBKd6&#10;HNybMlFCwJ/NWCi05J+Lok+8urIgSKW/oUehQCSgXwFC4WO+/0penViUtLaUHfj+JKPg3IL/HigZ&#10;BTxWlETq1a5DcTFxNGJkhvg3oLdCRYJSqVQqla9BNPhBIMydt5CGDBlGYSFhFutkDrqwSbaFxwEH&#10;cyv3aPqERQDKAJbJBKPhsAhx+uef+dgnWUYebdzaSVBHbwKyCzau4ZKFQLCX/gJkG5yCyIp/7mPv&#10;XnL/0sT4rPwwXCYgPmIB8alXN7JxCRHRglFJG7dIqsL3J94K1dE0aS9eCpi66NmzN42bMIkWLMwp&#10;s9MOKhKUSqVSWaaJdDx2IWCKoUP7jlS/Tj1yfJZB8OXTehOq7BHDAbwnB/9UDuA46bMYwGn/WSAv&#10;TCMDMIADezJ9WqM7VUYpwqWFlAqMDEJV+XeI/LuaUwP+PSEsRGL553tIRuEv91mQUUBZAo8FJQ1L&#10;I2MLJvocAlmAYDzSU8RNrYCashwqqU9fmjot69m0Q1kTCioSlEqlUlmmiQA6fvxEWd3cCFMMnl7S&#10;nAiLZDnhc4CX5sKAguyBiIPiBAJY8H3JLBgNiP3oEw7+1m6tLf0IDnVYIIRJH4OlCRFNkIES9JGx&#10;+Min91/vU0oPyCgMkKkIa/4ZCAy5nWMjuS8bt5ZU3aG2PHbYN8O3oU1EWxo1aoxMbJTFbIKKBKVS&#10;qVSWSeJkvTJvjVgtDxw4mEJbhJKPlw+5OruSnZ0rB98GHLDbcVDuZmkqLBy0X4UsFuCuiOyAxfsg&#10;hKrIhEKIlB6quOLf6FFoJs2MaEqs5NWZfz6loPRQaPKBRQcEx6de3S0TD44NWVywSHCNIBt+rMhI&#10;2Nm5kZODi5gtNWnclPqnpElvAvZNrGWhYPZavC+qSFAqlUplmSTKDItyltG06dnUq2cfalivPrk4&#10;uchIISyREcw/qdGdgzIHa/QgFA78r0LJKAyVvoKPvdGn0FXERxUXlBnq858tpHGxiksrmYRA+cEi&#10;Trry7062TDwUui9LZiKFKnm0p6pOuI8mhURCoPg1ONhDKDhL6QT7HdCbMHf+QskmmL0W74sqEpRK&#10;pVJZJgmzIYwJDh02kmJj4mXnArYu2tm5E+r76COAXfKzaYPCgf+1iHKBZaTxExYA6FFA6aGKS3Oy&#10;do8hG0xCOAeLUJAsg1traVQUsyWjhGHcV8AQvo9EspYGyFAWCS2FEAzVHeoSjJZg5uTv40vt2raj&#10;1NQBNC0zW0orZq/F+6KKBKVSqVSWSWJp09hxEygxsSeFtgihGu4eljKDQ2053WPM8W/+Azkov6hJ&#10;8VWIvgKjAbGvjEli/BEiwWKQhIxCa2YrmVzAJERlj0j6yLcfCxXDP6Hgvvh+kGWAx4KMWaJU4dRI&#10;mhnRAFnVsZ48FzwnTDp06NCJRo229CaYvRbviyoSlEqlUlkmuWTZClnz3KZ1G6pXpy65O8NC2VMC&#10;LgySPvHuIyf20hEIBXzWgDioYEQyQURCdfsaMqFg5R4nREMiRhqtXYP553paxMpfehOGkVg3y7RD&#10;HN8WJk2+fF/BkpWo4hzMIsGD3Pg5Yd9ECIug9PSBZc4zQUWCUqlUKssUESRRm4e7Yt++/SioUaBs&#10;b3S2d+Bg7SMn+U+8E8WX4C+n99KkP3oUBtDH3r2l/wANh+hFsHaLlIkHyQw41iEb1xAWAbEF/gyF&#10;mycL3Bj5a596dRFRgH0ONq6WJVJohsReCfQleLp7UIN69alXr940d/6iZ1sizV6bd00VCUqlUqks&#10;U8RUAxwW58xbSF0SupJvDR8RCNjaWM3BX3wI4IeAiYRSzSL8hUYzI4I8Jh5CC3oLWjFbkw1WRbuC&#10;4YQRSQgFaWIsfB8FDZEfefcia74NShboY7Dy7CBiwdbBj+xtXcjJ3klEELZEoklz8RLLlkiz1+Zd&#10;U0WCUqlUKssUcYrOzVtNWTNmUYf4DrL6GfsZ7Ks7SS2/kmdHOaW/tSxCIeL3IJtQmU//2ONgWRbV&#10;goN9JFl5dGCRgGbERiwCWoobo+Ux/VW4iMGSO7ZFhvPt2pIVmiDhwih9CZZNkXiOke0iaXTGGJo9&#10;Zz7llpHeBBUJSqVSqSwzRKkBp+icpSto8pRpsuPAAyKBA6mdnRfBXfGTGl3khP72sgiFyL8H0w7Y&#10;/2DlEc0iIZBFQUOyxjrpGj046LcSgyQbl2bi12ARL399bMh6YFMkTJgwBgnLZ2QgYMxkbIp0d3aj&#10;lmEtKTVtgDgwwjPB7PV511SRoFQqlcoyQ4gEdPjPW7CIxowdL6drmA5h7BFrmK1dw/jE3qPkWQRp&#10;RETavwhLLDCGy4gl+KlXJ6qCPQ6OdUUkfOrdS0RCNYeaLF4aS4YDfRJSBsHvLbgPNDVCZMCACWOU&#10;1WD57IwRyraEUUpYS7s5ucrSKkxy4HnDH8Ls9XnXVJGgVCqVyjJDiAScolFqGDR4KLVq2YpFgpv4&#10;CsDe2JpP4h/LVAMCfdGAbkL+OYwnInAjWFv4qhMRuI9h4nuAkUg0LVq7t5UGRKyehkESxiOtPGLE&#10;kvnvfil/eXz43R/5pvD3uheUGWrxfTQmG+yLcI1g8RNArk4u1LhRkOymGDp0OM1fuLhMTDmoSFAq&#10;lUplmSECIxr3Jk6eSsn9UmQ00JVP2bLpEYHYsz0H3L5/Oak/41+yBkOZlr0Mf/NN49v0J9gloz9A&#10;ljPJaR/eBvg53NfLRMNwvm1f6U2o4taaLA2MMEhC42KY/BtZAow7Yj21peRQcFv++98lm9CbRUEo&#10;2dl5yrSElUcsYe8EjKFcHJypXp161CaiDaWkptOceQtUJCiVSqVSWZiGSJgwaYqMP4Y0byEiAaft&#10;Kq5hVNmrEwf8fgWB/c8ALhmDArdEEQPevekTr670qUdH+tQ9liq5R1PlAlbif3/i0Z4+9urCP9dX&#10;Rh1L0ggpTozeiVTZM04mGqo5IoMQJr0GGI2UJU4sFmAVbfFvMG5ryWb83TeZf66ljD6K5wILHmQf&#10;MErpZOdAvjW8qVGDRtS9WyJlz5itIkGpVCqVysIsXiTUlJN7Za/OkhX4UyQUZAH4tI5xxY9q9GFh&#10;kECV4Wfg1JxsHDiQ29ehKnZ8e/zpUJdZj79el6ydm1Mljw6SXRCPg5eIBAgJKRvA90AMlnwlM1CJ&#10;/23lHi9liKpOjWVk8q8iwSJiUIawcm9Ltg4oNzRlkdBRsgkQCQ629uTi4EgeLq4UHRUtzYsqEpRK&#10;pVKpLEQRCTnLaPyEydSnT19q3qw5iwQ3aVpESh8i4WOfgtO/ZA1QRuhDH9dIpE88E+hT9/ZU2TWK&#10;rDFu6BBEVe3qUFVbf6pavQZVs2VW92J6CKvY1yUr1zbSa4Dg/5cSgRkhRPyxBKoni4MQsrWrwX+G&#10;SR+ClUd7wtrqajKiGU//Iw6MEB2GmGGR4ZdGlT2iqLpjAxYZIVTZs3OBSKgrHhAO1W2FbVq1pilT&#10;pqtIUCqVSqWyMBEYFy1eSmPHjqeePXtJx7+LZBIKRAKf/LGGGc2Ln3p2ocpucVTZpSVZOzYmG8dG&#10;zGCycW4ptHYJI2unFmTj1IRs7OuzWPCjatVYcIAsEqra1SZr5zCq5N6BPvJO+us2R1NaMhYf+SSJ&#10;6yMeE6YbKtXobgn2Tg3ka5U9oi1mT9Lz8Gd24m/+6dLTUA1NiyJ4uvDtYPEMkWCvIkGpVL59wq1u&#10;zboN4liXt2otrVi5ipavyKOly3IpZ8lyGa0qTMyjo5t82YqVslBnee4qsYXFrDqIdb0wt8H9loWL&#10;lrJ8EJ8lfKZAfMbwWYOB0jL+LGbPmEWDhwyjTh07S8e/i6MLVbf3pyrOLcjKLVpWMFfy6GTJGDiF&#10;URX7BlTN1ouqSuCvw0KhGQuDELJyacVCIYLJosGpOf9cPapS3Zt/zod/3od/tp78XGX3WBYdvUsg&#10;EsDh0hNh5daOg3sDFgmtC1ZLR7FIqF8gEqLkZ4ruc8C2yEqeHQiGTDaurVkkJPxZbtBMglKpfNvE&#10;RQUXWwR9jFBlZs2kCRMn08hRGTRw4GDq1y+FevXsLbPYYK8evSklJZWGDB1OI0aMolGjxshFYcrU&#10;6TRj1hyaO28hLVy0RO4Pa3tVLChLi/gsreLPKkTpwsVLadaceTRp8lQaMXI09e2bTDHRsdQkqIms&#10;Una0cyRbW3eqZl+LqjgG8em/BQd+CAAmMgaOwSIUqtjVpqr2dS1igP9twz8LcYCfQ1nBigWDFbIO&#10;fHsbx6Z8O3wvgiq5x1nGKkskEmCOlCIZAfQliIOiZ0f+E/sdYLSEqYUo8UXA3oa/+RcWCQPpUyyM&#10;kkkIjFB2IGyIRL+FigSlUvnWiYsKsgFz5y8Ut7rBg4dSr159KDY2TkbJsETGx8ubPN3chfCLD2zQ&#10;kFpHtKaoqGiKi42nLl26yejZsOEj5QIxPTNbxAKEArITKhKUpUFkD2A9jNLC9MwZNDpjLCX17Sef&#10;1ebNginA14+cHRzJyc6ShretZk/VqzlQteruVNXOj6o4NCBryRa0Y7blwB/Bgb8FiwOUFXwL6Ec2&#10;Dg1FJFR2j6dPpEzRlz717EaV3WJZOEQVZCbiX1EkpFElTw72HOBhz2ztAZtlYx10Uw7+0bLwCX0O&#10;Fk8Gy+3QzyBeCXwbiAprj1jpaaju4K8iQalUlg5x4QBxElu5ag0tWZZL8+YvkqzB+AmTaOiwEdSv&#10;X3/q2rWbnMbCw8IpKDCIagXUJC8PT3KSRTmWixH+DqFQv05dasRioXFgY2oR3EJmtePj4qlz5y6S&#10;ceiblExpaQNo6NAR4gYHAZKVPZNPf/Ml04AUMTINuPCXRwEhKXEWSCjD5CxdTvMXLBZHQLzuaLKD&#10;Q6BRllEB9Tzx2qzIXSVTC9hyOGPmHJowcQoN489q/36p1KNHL+rYoRO1bhUhn9Wa/gHk7uJK9hw4&#10;7WyxHtqLqtv5UDU7X2YAExmD+jK5gNICxIJkFIT8dyd8LZisnEOpkmtbquTenk/wXVkkJDJ7UCW3&#10;OP65cLJBRsI5jCq7tqOPa/RgkTD4L2KgOKJsgGZFEQfu7QgLn8RmGQugXMLl65h4kAbLQvf5t4DB&#10;9CmLB6yKFiMl/rmqrqGy6ElFglKpLBUaAgGnegQoBOtRo/kUltSXYmPiKDw0nAIbNqI6tWrLaQwi&#10;wMvdsrfesknPciEyiNMaLsjILODnvD29yM/bh2r6+VPtgFpUl++nQd161LB+A2rWtBm1axtJCQld&#10;KTm5n5QpUM6YPWee9DxAKJTHIGmceiGIcOqFUMLJd9SoDCnNLFi4WL6P90RFwvPE52IeCytsOBw1&#10;egwLzoEiQMNCwqhhvfpUr1YdqsXCwK+G97PPKjII9tUdWCCwMHBsRFWcmjCbWYipBfsGVNWulmQL&#10;UF6wcWwuJYVKbjH0qUcn8UiAVwIaEuGF8HGN3tLoWMktlgVEC6piV9dyexYb+Pcn/D2xUy4kBooj&#10;ygafePeiylJmaEvYwVDVJaSgjGDJEKCU8GmNXn+5T4iET7x78vfjRCDY8M+pSFAqlaVCS+ZgLS1b&#10;kSf9BmjuGjt2AqUPGETdunYX+1pkBPxYFLjbO5IXX3T8q9lTXWYjZtNqDtS8qiOFMsOrOglDmfha&#10;M2YT/n4QM5DZoOB2tZi4D9yXM1+8XB2d5GLetHETKVHAQrZ3rz40ZPAwGj9+ImVmzZDSxOIly6RZ&#10;0sgufEglCrzO6OvAyRdZGgixWbPn0dSpmSIK4IaX2L2HvOZdUZpJ7k8jR4yW70Ms4bRsZBYqkmDA&#10;czXEK54/GmIXLMqhOXMX0LRpWdIX079/GnXl1y06Koaa8GeohoenBEd7W4eCBU6uZGfrVkBXsrX1&#10;oOr2HMgdg6gKmv0w1sisgiDv2JTFQkOysa8jkw1oUkRvAYQAtjFiLPLvPsksEPrQRzV6yngkMghW&#10;WPPsyELDrp5FJNjV5vsJpE/5tn+DE2ORiQQzIvB/4pMk0wnWIhKaiRuklB8Kgr+1RzyLhB70dxUJ&#10;SqXyXXBl3hoRB1OnZ0mvAQJUdGSUnMaCGgXyqb8m1UAmwMmF/Krbc8C3pygWAb2ruNBQGzeabO1B&#10;s629aLFVDVpu5S3MYc7hr02z9qSJNh40xsadhjHTq7hSn6rO1JkZJQLCnryr2ZEjn+48XN3I19tH&#10;fh9Ogc34Yh/aIpTatW1HCQldqF+/VBo5MkN6GXB6hKj5kHoZ8DqjkS575hyaOGmKNNIlJSVLv0ar&#10;8FbUIrg5NQ4Mkq57vO7NmwZTy7Bwio9rL42hyDLMnDVXREZFEQp4jka2BRM0ImDHTaABAwdTjx49&#10;5bWBqITnAV6zerXrkm8NHxGdyBbYiRgIoGoOfLp3ashsJCuhq7IAqMoioZpdTf6zHgfzJmTjjD6E&#10;1lTZLYpFQQx9wgH3E89O9HGNblIygOfBp17d6FM+yVfmUz0aFa1QVnAKJmvnUCaaGPn2rm2oMpYs&#10;oeGR77uya1u+fU+LUHhJbwKC/ce+/akSSg7ukSwSgguJhNgXigQtNyiVylIjLhLrOLjihLZk6XKa&#10;wqdVTCnERMdIGaCGmzu52juSUzVbcmG6MwM4mDfmoB7PwX2YjSvNZwGw1cqHzlT2pzuVa9FXlerQ&#10;D5XqCr/mv9/jr12oHEAnrfzpoJUvbeefXc3CYQGLhqksLoayyOjE99Wwqp3cP+jGdGXidzozHfnC&#10;5sIX/Do1a0mDJFLJWM4ziS90cwqaHotmFQyaPe+3ycK/G48FxOuLxwYxg7FQpMVHjBhNyckp1KlT&#10;AgU3CyYvd5x6+bna2kkq3CD+ja9786k4PDRM6usZGWOlIQ/PGff9Pp7n2+Dzr91GWoPXzZhSWJQj&#10;AmH48JHUs2dvatO6LdWvW08yBi6OziwIbKXPwEKUE+zJrrqzjDeKxTGCuWsEk4OtjC02Ixv0H1Tz&#10;tJQV7BpysA+hSm7RIgTQhGixVMbSpgH0dw7cCPQYj7TCOmYHFhy2AWKkhLFHG4dGIhI+hSUzBAUL&#10;CSt4KMAvwSWMb9dRyhMvLTsEDCFse/zUu7cE/BKLBP67pXExin+2HQuFGILVtIoEpVL5WsRFAgEW&#10;J9PRo8dYLrwRbSiwQSMJSt584Q2wRYnAniKrOlEvZA2quNMUDvCLONBvtPbmwO9H51gA3Klckx5X&#10;qk3fFBIJ3/Lfv6hUS4TCTf7+VRYL55mn+DaHWDDssvaR+1jM9zWZ7xNZhrQqbpRUxZW6VHWmGP6d&#10;wfy7fSAWOGAiGNRmodC0cVNq27qNlCN6ctBE0+OYMePEjx51fczDG8HzXV8I8fsQ2BDAUU7AIp2p&#10;0zIpgx/foEFDKKlPX+rMwiCqXRSFh7WU0goa6dycnIUot0gmgYneD/RuuDu7yPcg3MJCQqUUgQwE&#10;Nhni/SsLF/vS4FqIKRZSyBhIEyILQPRk4LniPcZ4LV67yLaRFNLcmKapIbbKTg6uZG+LbY41yNa+&#10;JlV3qE3VHGox8ScTWQOUD2CKJGOL4TKeKJkA/nslDsDYuSC7GOCsyCLhE9AT+xna8/fbUmUWBsgI&#10;WLlFSrYA94HbVnZtKbf/VLIO6FXoI5MHEAqVOGBbRirxc+1kn4NYNBcWBUX52iLBGIHEYqjWBSIh&#10;/Nl0A3qG0I8RFRkl5auy8LlRkaBUllFKMOOL8uw582n4iFHUJaErBTdp9pfGLt+CsgKyBqP51L/S&#10;ugbt4+B+kQP9bQ7891kAPGJh8CUTWQOIgu8KBAKIv+NrEA7IMDzln3vC/IIJQfGQb4/7uMUC4goz&#10;n8UG7n8DC4eFNihRuFOPKs4iUpz5Iudqxxc5B0fydHGVLIe/t680pQU3DZbggUZHBGScsg2jprdd&#10;hsB9FyZeUxEIS1eI+IJ4QZmgQ/sOFNq8hQS2AF9/ETxeGBV1dRMBgAU8aKwLRaakYyehcRsEQrwf&#10;SJ+j8RMlCDR3wnuirKz8fR3+5bXj90n6DXJXyfuXlT1LSitJfZMpKipGmlrr1q5Dvvxa4LVDWcrN&#10;qaBZ1s6R7O3cC5oQG1BV9BRgGRIIkyMHmCH5UzU7f6pqF0BV7DG2yEHbDaIggYM5egws2xv/7oNs&#10;QW8Otl1ZNMSLKLB2bEJVbH2Z3mSD0UjnMBYJLBpk7LGbJTvglybBX7ZCYuKA+XcIBf5+ZbcYESRo&#10;YHzWm1BYFBTla4sEmCl15J9vzj8fXiAS4NwYQI629vL/ugZ/flDaQjarLHxuVCQolWWQCJ7wO8Co&#10;HZrlIBAwmujvg7SkLdlXqy70rFqd6la1pbZV7PmU70LLrT1pt5UPnavsz4E9gB5wgEfgh0AoLA5e&#10;ld8ycR+PK9dm8VFTRAgyDZv5d83h3zmQBUrHKi4Uw4KhNQuWZlUdqFY1O/K2dbD0SNTwkSASyxe/&#10;3r2TZF/+hAmTacbM2VL/R6MbTvdmr8Xr0iglrFpjSYUvylkqpQ9jVBTjd/2S+1NC5y7UtnVbahLY&#10;mPx9/aSvA0EOG/nqcdBrGtSYwlgYIAWcwMJg4ICBNHHiJOG4ceOpT6/eLAqakQ9f3I1sA+ruyKJg&#10;ZBTv4YckEvBYjfIL3heIKTwHjC1OnjyNRvPnccCAQdKngR4U9Bo0qN+AfNBj4ORKDraOZBlb9JTR&#10;RWw8xCKk6vZ+TGQNWCQgqHNAhhOiNZ+qsWjJ2qkJsylZccCtXKgJERbMn7BIwKnf2M8g4kCyBeg5&#10;aCM9ByIOHBvx38PIMuHQmX++p5Qg/ubHgdofa6MHicGRbIms0YfvC9MOkSIqUMYAkZV4eyIBtsxx&#10;hB0P4rroHiVZBYgEJ3tHEZuYIkImSrdAKpXKYolT9uy58/mUO17WxiJ97+OJtK3zM5FgV7UaOTHd&#10;mPWr2FKCjQONtXaheVbutNbKi/ZX9qELLBY+Y6GATMKbiATcFoRQwH19XtlSorjBggG9Dges/Ggj&#10;C4al1l6UbeNBaVVcqS2LhQbVHciHhQJO2AiiaHZEwx/GNNvHtZdJATQHwvwJz9nstXhdQiAg0KFx&#10;cg6/lpOmTKMhQ4ZT715JFB/bXho+YSSF0y9GRZEBwOuLTA1KJsFNmvJjjKfU/qmUkTGGZmbPpKVL&#10;ltG6dRto585dwq1bt1N21gxpIm0SGCTCAqWHpkFN5GtwsFywMOeDEgnG6wZhBXEwnUUVxhZTUtJE&#10;UEW0jBA/DQSzurXriiMixmddWQw62ruQg50bCwP0GCBjEMRioJlMIlR1CKRq9vXE46CajC3Wt5QV&#10;UCJwi+Lg3EEEwEccWD/yZlHAp/9nGQM3ZAwsYsDaCTsa4I8A58Uwvi1WP3NARp9Bwe0x1YAsgWQO&#10;pF9hMJMFgmQhevLPdrRkIJzg1IgNkX5S5kBDpIxCvq1yw7MFT/VZKDSR8UmUG2wd/MnZwYnq1alL&#10;ESxG+/NnDlMhKhKUSqUpcYHGSRs9COEczCAQ0CBYg1mzqh3VYUIYNLCxo4bMUGt76mbtSCOsnWmK&#10;tSuf7t1ppZUnba/sTUcr+9FZDuTXKgXQHRYMyC6gnIDywnfM7zn4g2bioCRElgH39Xnl2nS5cgAd&#10;tvKlHBYLQ21cqZOMWTpQnWr25MuP3YPpyRdDbw4q6HCPbBcpLnvoB0BvAHoEYFiEIPUqDX/4OdzG&#10;squCT798PwjOGF2cPGW6lGswqtge5QF+PfG7kQ5HiQAeERAwCHYQMcgcRLZtRz0Se3CQH03zWcBA&#10;GBw4cIhO5Z+hc+cu0IWLlyn/9Fk6fOQYLVy4iPr07iNTD+hP8HLzkL6EZH5eEEAYBy2rIgGCAK8z&#10;si143SGojIwL/CDwvqSnD6JuLFTbtWlHgY0CJcsiQpUFoH11J7K3dZFxRTsWB3Z2nmRn78NBEFMK&#10;TSyNiC6tyAbkU7oNMghinxxA1vYN5dSPVD96DLA74SOfvhLc/+7LJ33+NxwSsdUR2QLL2meMPNaT&#10;ZU3WLDoqu0RwwIcnQk8WAHw7DshSSsC+BPzdD82MqUyMQvayZA5YUMBPQdwZHfixwJXRzpesWDDg&#10;e/i9EBZ/EQVFaSoSmrNIaM0CAaONMUVEQsGqaN/+z1ZFV3dsKKUGeCzY2vuKyGrCnz3sq0DjJ8ZH&#10;VSQolUpTwtUP/geof9fyryknXF8WBq34dN7TxoUGsBDIsHKjyVYelFnZg+ZU9qSFLAqWMHOsPWmB&#10;tQfNsnaj6czJ+JN/draVO+VZedE+KUf40T0O6E85uH/DQf5NRAJuawiFhyw+blaqSSdYlGyv7EvL&#10;rGqwaPGgdBs3iq/iRI2r2lMtDi5eLBQQbHByQhmlfXwH6QuAQRH6BJYsWyF9AwhiZq9PUaJWjrQ4&#10;3Pywh390xjhKTU2Xky+awCJaYnSxhbhKogkRvxsmUtjdH9QwUJoUu3ftTqkpqZJOz8rMpsWLl9Aa&#10;Dp47duyig4eOiEA4ywLh9JlzdOJkvmQR8DODBw2R0zXuF+liZCXgdInngtMgFmyVVZGA1w3CYCE/&#10;D6S34YKIbAtWNHfq0EleF2RcELxQekG/gWVs0V7KCdg5gA2GVZ2QNWhUwIaE/QnVxIOgvmVs0SlU&#10;av5oDKzkHsmBP4o+4SCKJkEpIXAw/dSzu0wXIDNgyRqEkTQUYmwRtsoYWXRrx7eN5ttaxh4/4tta&#10;sgZpkimQbIGUE1JEdFhEQSzfNoLvD66MLFTwp0tL/lpbuT80PH7Cj+ljrwT6e0HvAkSAqTgwaCYS&#10;mGKmxPdl4xHNIiHuT5HAouXvflgx3UfKK7b2fsxaYuGMqQ6UZdydXalF8xZSjkM5DD4TZu/Zu6aK&#10;BKWyDBITADDs8fbwktMuTm51OcCiSTDL2p1WsBDYUdmbjnGwR0nhcqUAyue/o09gi5U3f9+DprE4&#10;SLN2ogRrB+rM7GptT0OtnWku335z5Rry8/c4oKOx8Stm0abGktLIRIDITOB+IBieMNG/cJx/zzpr&#10;bxpXxZ06slBoUc2BalazIw9bO3KzdyB3FkB1a9WhsNAw2RuBTnnUv3ECRwmicEYBf/55+l0vNJoQ&#10;cZtx4yfJyRf30zKsZcFUgouUAJAxgCjwdHWXLAJS5BjZjI+Np2FDh9OM7JmUl7eatrMoOHL0OJ05&#10;e57Onb8oWYPzFy6JQMhnoYDswY7tO2nu3Hk0ePAQiomKkYkHjICiZIE0PN67GRx0YSiFaYD3LRIK&#10;v26r1/Lrxq8rXrelyy3THZhQGMqnV0x2xMTEitFRALIiLKZcHZ3JhUWdk72TpQHR1sEytugQICnz&#10;Kgi6HBxRNhCzI/43SgmyZdE2gEVCI7JmkYA9CZaMgaVPwJIxwJ/JIhIqeXSWjIEl2wCjI38+5TMd&#10;G4vAgLUyfu7vPv0KlREsmQOjnPA333QRDSI6MN7o0pbvrxnZ2Nfmx+LL4oX/5Mcjxksexv0lS8YB&#10;mQfJQMBIKYBP/mbiwKCIhBQWCb2KiIRwquLOv1NEwp+ZBOxv+IiFDDwcbFxDJdsCoVDdoZ70adjZ&#10;ucvnM6JVBA1k0QlTMog3s/fyXVNFglJZhoiLOS7k8xcskmZFdNZDIIC1qtpRpyqYYnCliSwAplm5&#10;UY6VJ23jgA+xgGZFjDCegVio7ENbWEQsrexJ2fxzE6xcpRQxzBrGSi6UYe1KmVbutMTKi0/88FDw&#10;k4COyQYzIfC6xP3hfk/zY4N4gWcDDJv6VnGhWGQWqtlTDT6V+rt7UJ2AWrLYJ5ZP4TjJSlZh9lw5&#10;UaGUgCAn3fUrsRRoCc2cNYcmc3DLyLCMLsL5sWP7jtSmdRvxNYAAMKyoccLHSbgFfx2n4078c4nd&#10;EyktNY2mTJ5Ky5Yup42bttC+/Qfp+IlTIg6uXL3+jMeOn5SMwooVK2n69CwaNmQo9WAh0K5NW+lr&#10;kIVZ/F5hLDIuLl4aFiH0EIwxNmj2Xr8r4nXD64dyAqYSZvFritcN2RZ4WaABEZ81uCDCFApjnX4+&#10;vhy03GRs8dnuBPsADmq1LNkDe6ZDnYImxECy4ROx7EFgkWCN0UPncDm5Y3wRI4YIyGgktIwtohGR&#10;6dlJsgI4yaN50Mo1WsoA0kTozKLCJZQqye1RjkATYq+CksIACwsaEPF1TChY7o9P73xfkomQEcgI&#10;eSzIIGCPAzIKeDy4v48K7k8EgjgsvthlsTDFTIl/t8VMKVr6EaphuROEggs/fhYJlfGYfeC5MJgf&#10;K2yc+4iNcxV+Xig3wBsBQsHO1kvcJiFeoyOjaezY8dKjg/fL7P1811SRoFSWIRoXdMyfd+n8V5GA&#10;ckPrKvbUw8aROto4UDtre+pl7UgTWQCs5mB/mgM9PA/Az5kYXbRMIvjTfhYMeVYe0tjYiW/bysae&#10;WvHtY60daBTffg3f/gTfHiOPZsH+dWkZrcRIJT8efizwYjhm5UcbrGvQdBsPSqjqRLXRr2DnQO58&#10;EscJH/0BKAvAxAhZBZQfcOqFeIIb4uKcpTJGiQkJbLjEyVc2XNatR75e3pbxOw5wSIsbPQeN+HQP&#10;R0j0CUyaOJkWsAhbvXqtBP4DBw+LMECWANkCZA4uXrryF5Gwc+dumjt3Pg0cMEhEBgQNAmkNd0/L&#10;OCoLEUxwIKuAMc/M7JkiZvB+YnTQ7L1+VzReNzghohSDqQ553ViMGV4G6MdAFsQYr3VxcJT1zPZo&#10;QrTzZmHQgKpwkMXyImNssSoEgl2AZWTRrqYYF1lGD6NFEHzs1VOaDyWwPxtb7MaCAU6ILArQ0CjZ&#10;gj/HFq2lBGAZe/yIf96SaUiVQP5n1gAlhTQWCEl8fwlkJT4HoWQNscIncxv7ukJrrIJGmUImHbrK&#10;7zfGKP+8vyH0P7LKGZmDl2QPChG3xfImLHGyiIQQFghNqBrKLc6WLZDIInzEz9siElL53135ZyP5&#10;Z0OpumMjFgkB0sdh6e2wk3FbjNRmZ8+SPSgQxGbv57umigSlsgzROPFhNBBb8aS5jgWCK7M+Mgkc&#10;4FEySGMmWTtRimQHnCnLyo22Vq5BVyr5S2MiphCMXgH8e29lH5l6GMq36cgCIRRNj1WqU0NmF77P&#10;ydautNzKk3azmDhTyY9uVgqQKQYE+DeZijAjhAiEC5wdp9t4igFUZFVH8Xvwr2ZHbvxcIY6QDYC3&#10;Qno6Rg6nyPgdpj0GDx5GfXonSR9Dy/CW1JAFBdL9mCyAQEDzIASDjC5yEIR1NUx+hg8fwYJjNq1Z&#10;u4727NknfQUoI0AQXL5yjS5dvioCAWWGk/y9Q4eP0s5de2jDxk184Z5BaanpLBAiqU7N2jJdgj4R&#10;GFphuyZKDDC5ws9gxBL7HvBemr3Hb4NGOQG/E4IKqeoFi5ZI1mAaCyqcTiFekKHBaGbL8FbyukHo&#10;uDmzEDV2J9jCy6BgdJHFgaTEJWvQkEVCsAgEBF6UFyAUMGFg49SYZHSRvwcnRJQNno0tenNgrsFi&#10;ASd9iAMOqDA6gqMiPAnQgIhGREwtWCYcOvLPYrqBg7mUAIYUiIKCsUX0GdRgoeHJ9+WB+2kp0xNV&#10;YcAkGyEDxTPBih8bJhXQiPgxPxYJ1hiDlHJCycVAcUSp4xN+XlYe7SXwY4wR/QXVkV1x5OfjESVZ&#10;BIgZKTWwoLByj2GRFSwlGhEJ/NriNUdvDD63EMb4XC9YsFgacN93BsqgigSlsgwRNXg07SEdjFXN&#10;OAVDIMDRMLyKAw23caWVfOpfx4IA5YRFlT1plJULDWGhMJNFwHr+HnoNYIRkjCze4IC/mH+uDwuE&#10;RBtH6sPsxEIh2IaFB4uEtjZ21Ju/NoC/P9zaRe5nJ983boeAXtihsTQI4YH7xbTFURYLGJ2EWEiq&#10;4kwRLBb8WChYSgTecsqVcUkWBHGx7WWVMIyK0GyIPoYAHz+5wOIUjLHFxo0CpQSAUsKggYNo8sTJ&#10;NG/ufCkTbNy4mXZx0EdPgUwpnL8owgCESIBgOI2JBRYH27fvpBW5eRxgp9OA9AHUqVNnaSKFoyIE&#10;DKyYcfqGGyPS9H16JRFsnLGRE/0Rr9J0WRp8VlJYadlUif6M0aPHSjMoLLLb8mtivG4ou+B1Q7+B&#10;m7MrOdm7kL2dKwctH6mRyzIlDnhVnIKllICdCdXgbyDZAg7qjsGSxkc2QBwQZW8CTurwMbAIg089&#10;OZC7WzIGlZEh4ECO4I0xQ0u2IYoFQywLCmQNOoiIQGYAGQdpQmSB8HcOxBZxkMyn8ETxFxBRwCd1&#10;jFda3BqZ9rX4sWJ8EZMOsfSJlBISZZoBt/2b3F9hgfDmIgGPC6OZGGGUMUYmljxZRJUfP9Z2liwI&#10;nkPAEBYUPVhghUqpxtahttDO3lumQ5C9kTJVbLxMNSxbnivZn/fdx2JQRYJSWYaI4IIRtAmTplBs&#10;TKyIBE8WCbU5cEZVcaQJNu5S2z/FQgBNhwcq+1CmlRsN4gA/kgM8MgKbJcDXlDHHLzjAw2Z5HP9M&#10;CIuBeBsHGmGDvgRnKVmEsFAI56+3ZdEQzYxn9uf7mmflQfv4vs8XZCYwBYGGRLOg/6q0NDla7g9G&#10;Tw8r1xIXx7k2HpRaxYXCqzpIRsGzuh252dqTDwczCAJMeaCMINa18DNwc5deA6y1xqKpVuEtqTMH&#10;c5gdIbgvX76CdrMoQFYAZQTJGBSIAvwdogBZA4wyotywb98B2rplG61etYYWL86R3oP0tAF88Y6j&#10;kOYtWITUlN4DpOJRxmhYr4HUkOEfgDQ+0vlI60uJgS/wb+sij/tHEEE6GlknOCCibwOeBnBBHMcX&#10;dUwoYGwRM/fIciDjAWEDVz97W4wtOrMwAF3J3t5DApacgqURMZRsYBnMp31MJWA6AY2IVW395dRv&#10;7RRCldGEiNFDPk3L2KIfxgz7S6BH5uCZD4EzTI4aWrwIUAbgv1s5h7OA6Chjizjh/90X/QVI/Rsc&#10;wEE9lT7y7UufePegSl6dyJrFBrZAwr7Z1o4fL0YvsfeBnwcyH1WcAll0xIhIgch41nxYmKUgDgzi&#10;+VbybE9V4I2Ahk33dtK4iFHG6iy2RCT4pRUInTQWFB358WOKAa91DaYv05Mc+L2AuydsrGFrPX16&#10;thwUyopAAFUkKJVliHmr10qwQWodwQkiwYtFQj0OmuFV7Kkbn/hHsxiAWdJVPonD/2AnB/MllT1p&#10;PAuEVA7wGHXcgwAvzYgB0jQ43MqVAlkQdOPvY0wSPQxoXBzE95XA9xnK32vPAgHTEKP4axAcGXyb&#10;pfyzB/m+rvD9IDthFvRfl0Y5BALkWuWa4q+w0qqGCCGUIMKrOlIABwIfR2fycfeUEzwEArrtcaKH&#10;f0QcCyn4GUAYTJgwkebOmcfiIFdKBFJSQBOiIRCuXJP+AvwJcXD02AnatXuPeCBAFEycMInSUlIp&#10;pX8KDR82nMaMGcun8QwaOXIUJfVJkobKZk2aSlkDkww4mXfvDi+FMdJDAoGA0/zbvsDjdxjlBHFB&#10;nDKNhg4bIaNzHeI7UBQLl9YsDpo1aUZ1+HVCj4dlbNFOygk46VZzrENVxeyoofxZDeY+DhhbrE1V&#10;7bE/IZgFAkoLGFtsIwEfDYafciBG5kB2JtTozid8Jp/c4Y5Yya2dOCWi7GDZu4C/W7Yt4nsoRVjG&#10;HrE7IYmDOZoGLRMK6BP42DuZRQELDK8EyTBYu7XkINyMg2uQpPBh0GRr5y4ix7IMybIkCkJBUvz8&#10;OzA9gABemoLAjPBxsOLXQ7ZWOvNjZKGAXgOLgVQgP4cOInY+8kUWJIGfS2sWYPX5OdRgYeYhvR6O&#10;9q7k6uxGjRo0kqVg8POAtwcEoNn7/r6oIkGpLEPE6RBNS2jMgyMhRvYgEuqzSGhS1Y6aVbGjNhzM&#10;p1i7yUTDdQ6ut/mkf7KSn3ghJFjbywTDQmsP2mnlLX4IGEEcaOVC9VkIJPOf+ypjt4M/B38EZS8a&#10;YO1Mzfh7XW0caCrfBzITva0dKcLGjgbaONNivi+4N2JBlGVM0tLvYBb4X5WWrMKfTo7XK9WUxwUz&#10;pmQbF2pW1V6Eghs2L3JQQH+Gt5sHtQwNo+SkZKm1owlx/YZNtH//QfEwOMNEKcHoN5CSAv+Jv6Pn&#10;AN87euw4bdu+g5avyKVp07FZc5BkbiA+ULJI6JwgPQzoRViRu1L+HDJ4qARh9Dsgk4G10al8+sN7&#10;BfOm0sweGPcFInMg2xY5eEAgoCFyLsYWn5lEpUgTIkozyLTIsik0H7KYgtUvGhAdbLFt0dEiEJwa&#10;c/DF2GJrDl5tOJhj22JzS7YA2xLFDbEBC4UWHOAjRQQgY4DAKMZEBVkDnNox0ghrZHFUtOeAaesv&#10;o4bYtoiMAZoQ4YNg8TJI5cD559iirGMOgFXyAPrYpw9VQhOie7SMESLQoifCkvXA6KUTB1VkcJjy&#10;558bOCF+kMa3cW3F98ECxKcf368xxljKYqEgK4GMiWWU0UvcE6s6h1JV1zAxVMLjQN8EnheElLUb&#10;Cwh+zW0d6vDP+/DzgXW1vZgneXt5U1hoOA0ZOkI+Q2UtiwCqSFAqyxCNuvKzxkW+6KORz5dFQiMW&#10;CREsEhDMcdJfZOVBaDS8XilAiD4FjDoi0zCCOYeDOxoWj/AJfQIH/ji+XTqLhGWVvfh2PnSUgzFK&#10;CjBc6sDCo6+NI03m28+wcqex1q40mO9jNP8JMyZkFCAU0BgJwyQIBbOg/ybEfSJbcb2yZS8EtlgO&#10;rsKPu6qjiKRaLBYaObhQREAdSknoSjOnZ1Pu8lwO9julyRACofBEgtFvgK/DDGnbth3igwAHxays&#10;GTRp0mTJFkAMpKcPoO7duovTYteELpQxOoNPdYto7br1tHvPXulpmDxpijRAQkRAJKBHAY2A4ydM&#10;FvMrs/fzdYmmNYxPyjKlnGXiZYDZ+QkTJxOWRqHXAP7+sTFxkjUIbBgokxaW0zW8DOCAiL0JmMUP&#10;YHEAFowt8mkXNXwbp2CSqQB4HMioYBizOQf3sILMAXoGOkntHcFOVit7diEYGX3qjn6EaBYBlrFF&#10;G9yPcwtLAyILEIw0ouTwCZoQUVKQHgOIg4HiLwBRgFM/shLIGljxSbsKB1jYOON0jl0PyBBABKDE&#10;g2ZUlHew4AwZnCZBTaTEhHITSihI4yMbgoCMxwohYjFEKm2RAFGTLr/DxqWFlA4wzlgNGRmXYBYI&#10;ESx0Yvk1s7xucFdEKUR6Eey9xQ8BogePGR4e2DKKzxR8KowJHhUJSqWyWEq9mYXCPA5khk+CI4sE&#10;F2QT+FTdhQP5KD75D2Im8Wl/ZmUP6U/Afgb4JOziQI5sQGcWBKn8M8gUHLDyoYUsKEbyv9HgiOkI&#10;NCein+ECB/08FgBDrJ1oiI2zjEjOYFEAZ0ZYOqN0MZh/PoO/voDvA1+DcVNpNzOCyCjgfpFRQL8F&#10;dkJstfam8TbuFFnFgVrZOVNH1xqUHtic5gwaRnu2bKMjsEo+dfrZ6GJhkWD0HcAYac3a9TRjxiwa&#10;OHAwtY9vLy6MKOd07pxAffsm05AhQyX4ZoweQzNZoG3YsEkaHDEBAZEBd0WMQKalpFFw02ZSbkDT&#10;IpoCMaaJJVVm7+frEmIR1txoQsQ2wJGjMsRWGsIRzZvYE4GpCj9vXyknIOOEUoyk37FtUXYnYCKh&#10;BQffcGYYByv+u2MjqipOiDX55F9LegQgDtBjALfDTzy7Wer6OPmLBwHGFi1OiCgXiGOh7DrwJRu+&#10;f/EzQDlCxgzRwIjJBFgr/9mAiG2LljHAASIYUKJAILUpyBhUc6zJosBHAr0trJ3F5tlSHkH/B7I7&#10;sNKOj+8gng7JLJB69uhN8XHtpRETP4MxQlhDV3Wsw481RoQI+hws/gcmwf41ieeAqQVMV6AfQcYY&#10;xe/AVwQOMiHwR8BYJCZBqvLrjedmZ4tRR2d5nBBy2CiK3SB9+T1FkzL8KwyBoCJBqVS+lGhe7Nmj&#10;F9X09ZMaPE5UEAkwIZph7S5TCN1YCGRYudCGyjWk7wB7E8BlHOCTOej346CfyT+LzZBLmRAK4/l2&#10;EBfDOfDDGwHZhM1W3iIA0PQ42MaJxvHPYEriLIsP9D5MsXJlYQIzJhcZtTzEt0EfgVmgLy2irPE5&#10;iwX0Kmzgx4ffn1LdndJcfGhE/SY0p28KbeEL68GtO+gsB/JLLBDQlFhUJKC0sHffAckKoFwAgYBG&#10;vvoYkeQg36plKxEK/fr1p0GDBsvGzTlz5okogPgw9jRgKmLhohzxSYAhk6OdvQQv3B77NcaPnyQr&#10;oRHYIfTM3tOiNEoJCA6WscWVMjo5b8EiaUBEhmLYsJGU3PfPTZVYrIQTqIerJz8GJ0tAFS8DBFiM&#10;LtawZA3QX4ApBTQOircBjIVgcoT9B8aoIAc1Fg6WUz9OvrBH7iPeBh/xSf8jb2QOEvj7cSwCogrG&#10;Fvn2aEBkkWHl1FT6DbBbwTJmiAbGdPobTtsFogAlBnwdLouf1OhClT3iWRy0ljo+GiVhJOTA4s/J&#10;wVnS75hUga01jLBQ1kFfBbwn8BoPHjKMJk6ayqfuTA5cE0TwxUTHyM8i2wCvCrwONi7NOYh3pk+8&#10;e4tIES8ETDaYBP2SExmJYfxckkUg2GDkkQWAnb2fZGzQY4CmSggfq4Imxur8OtnZQSC4yGZMlH1c&#10;nJzJt4aPfAaxowH7WZApQgNqWRMHBlUkKJVlkGhexO6BpnzawPpinFwbsEhIqeIqexmm8mkf/gho&#10;MkSJIKeypwTv2wU1fTQnwpVxIH8fPQfz+TaYipjHoiGFRUI/5gT+3mIWB5usashtIRT6sEhIYsLJ&#10;ERmKI/x1lCZm8/cSWXh0Z66r7C2nfbPgXlqESECfwqPKtcR2Go2YOdY1aFR1D+rn7kdDmobQuI5d&#10;aPmkaXRkx266wKd9CAUzkYAAD6+AHj16SmoeAsEQCbCCxnhgbGycZBbQl5DSP1WyBjBaOnLkmGQp&#10;8He4YGIcEmuhYW4FDwsEbJQdIDQGswiZNXuuZAHM3tOiNAQCAgQEBsoJWKiUlj5QGiIRHENbhMpG&#10;SaTaa/vXlPS6u4sHOTt6kIM9iwLZnYBmucYcmJryn0wO/nBCrIYeAfvaVAWNiBzc0YOA/gGUCT6R&#10;jYkwPELmAAG8l2QMIBaQMbA0IGJ1smV0URwUXSOlvIDbf+oea9m4KGOGyBygVyHd0s0vJYV+9Cnf&#10;LwIq+h6QmjcaECFiCqfeneydydOdxYFfgDSGRraLkixa3779ZC/GWI5L06Zl0ew58+XEjaCKBr/M&#10;7JkyEQBzK7hEQijY2sIu2p9/VxMO1lEsFHrx44JXweAiQf9VaBEIf2OhgV4Da7grwjERGQI8Bxgi&#10;2bqKSMNzk+/BY4IFCwQCsgcQCBBB/r7+FBHeStxBMzLGykQK3n98ZlQkKJXKEnPp8pU0bPgomcFH&#10;9zPKDsgk9KviQvNtPGmejQfN5oCPzAAmEpAZQE8CvAcuVg4Q90QIhT4sBmKs7SnLyl36D7AZEv0M&#10;EAn9mShBrOHboachj//swV9DqSKb7xvlCNg1Y4piOQuJKGsHCrW2Y0FSo9QnHYrjn+up69AxFiwo&#10;k+A16OPgQT08fGhy10TasmgJHd93gM6czKcLFyw7FuB3gFIBJhg2bNxM4/jkiWbE1hGtqXFQYwlG&#10;GJnEFkqUHmQJFDwYgptTPIuFkSNGynZHTD4gEwF3RpQrICBgHW00ziHFjxHMoEaBkg7HCRcXfQiA&#10;whd9I2uAYCD7JvhnjMwBgt+ECZPEIjkxsSeLlnZ8f5a106hdO9g5yM4ENO8hqCIg2aNLHml6p0AW&#10;By34BNuK2ZaFQFsWBGFk49CkoJHQj6rY1ZZgLwIBJQVjbBGB3TeN/95P3A3hkohGRYvJUQMWFyww&#10;+LbiXugUIhMMsFQWoyNf7E4YZGk+lHLCIKnVQxz82YQYy+IgxJIxwGmbA6ajrQO/ZgiYzrLQCJ9r&#10;nKwbsAhq0TyEOvLpGiJp3PiJ/LrMk/8HeK0gpvD6Ga8rXCzRwImsAkZQ27X9/9l7776o8m3d90Wc&#10;u4MEMwpITuacE4piQsFAUMwYAMk554wgKOactXPOvXqttXM+Z++zT7rnc9/DuOM7iuliscputbVb&#10;u+cf41Mwq2rWrKpZczy/ZzzjGZtMt2AizUnYSIcpUFhszAUdE7xX0yi8iFdCnAIEfX+ADUoZ4xQE&#10;WDlEgxZGz3dCKYGyB3NWPJ0XfHeUQhCRRoSFy/S46bJ82QrZf+CQNDS1GFv4OgoVR4cLEtxw4zWM&#10;8xcvS01tgxw8eMQobeyGMRnaNH6KnNAk2a4g4a5vpJz3DTdbZhiFNt9pBgIQK36jQOGB3tbqNlwZ&#10;aY/EcRHgMOQTLp2+oVLgGyQn/KdIuz7mvoKAs3pfxXBZAaaizy9Urui2e/o6aBNgEWihvPoTMAlO&#10;OG2STKrE+wFGgXkT9ePCJVcTQdmSNdK875AM1tTLXU0a72tCv3NLP7/zF+SMXoTpfEBjgOiwqLDY&#10;ZjXs27tPDh08ZDqEiopKEzDWNzRqYqoyMxsmQWbuzZSMtHQ5euSoFOQXWpw6lW8iM1aCjJQGHECP&#10;s7qPjY6W1atW23AeJioCFEhszvfpaAxYCWMzXVNbb6+FzoBVswkQ12+Q5UuXy7zZc23fDKYK0KRD&#10;2x+r4/FTZsq44YmLCOXGU8+HMQiYq4lroYylFMCKP2i9AgJaDxNkzDSCcsIOTfAeASJlhb8M26Pb&#10;kj2sQfAGfU68BgLGdfpc2h49wXP/ImSrx6Ao0mOT7KHwcxUQUEo4YrS+2S2H7TABol8wrMESPd75&#10;etwk1DBN3MESGOAZroXfBeZBa9esNXCGtwXtmydP5hqTQgKlpdSsiTWJotHxlkgBW6zE+Sx5/qrl&#10;K02jMS0IhgL/BHQCC/V49L3QtmnHT4cFYAGtwrMBBd4rBlHmi4AXwiQFaAYGRgfgwGOhDjhAdIzB&#10;FyPEYTsYOgY7yKRNAMLoc+R1DRckuOHGaxisMDq6eqW8vMpqlzbNUC8+mCqtHxcgzQoSYAw+9o2W&#10;M5rw0RFgqASrQLJHXPjNmFjTHTRo4odp4L4en1D5UrfDEtQpODioIIH7GALVq0AAa2a6Jmr0Obn6&#10;ePaLDoHSBI6MCBgpPzDh0VtSfxXhtEl6RlHP0PcWKzd9IqTeP0QKpkbK4aiZcmrDFunRz+rGpSvS&#10;oSv+wsIi61hAa4COgHIDY507O7qksbFJOru6jR3AdpnOB1iH9z/4UB48fKyPbZTEhI1m1hQbFWOt&#10;hY5RU6omdAyU1q5eY4mOJABIYLU4e+YsTVYHpEVBCe1sIxMACQ1xI5bNBYUlcuDgYdm8easp9FlN&#10;44fBPvAzwKYXliLA2vsmy4TJsVbD9yeRT2Nw0UZL5v664h/HtMXx4TJuQpT+Pcf8DbifrgREhJ6J&#10;iQgIdeWvt38WeUATeqoxBv5Tl+lzZlnL4jjmJ2CRjFGSAgcABQLE/8IKPDbb2II/TEjUIHGaE2Ka&#10;+IYmeXwCpi7WY402yt9W17ay9swlmDIpwJImnycju1NSdsrRo8dsiBdlA8otdPWgzeCzAlTR4WGs&#10;AQDBC0iAVeB3AtsAuNixI0UWLlio30fkk8+OY/B8fiv1OGEV9ntYD9MoPCtIOGllk3GBi00QygRM&#10;Bwx4CxgEvk8AC2O28UCgVRU3TkyveJ/2/oZZkdHv63ULFyS44cZrGFxEuKC0dXTLEV1tIuCKDgmT&#10;mICpsmD8ZMkZGyy3faPkLQ0YhSFN7lWa2DFTatFkj2Uz5YXHet+1YbbhsAICJkfSNsl9sAo1uh3m&#10;gOcBCgABZRp0QJzwnypZw8FjaJWk6+FrTdKUALwl9FcZTukBB0j0Egg2G8eFy+HJoXJg1nwpSt4t&#10;9briL8vLl/zcPBv/zGodBgFDJDoX6usabMTzpUuXrbURcEB5glZJbvl/aOi8MQirdAWIwAwhHVbP&#10;GDZVlFdae2TeqTxJ3ZMq8WvWKDiYafoEnPNIftSa8U5obe+UxqbhtsWiEpvrgCp/R1KyrItfb2Uk&#10;mAgSy+SJU3TF7alrm2tfQKwmNyx+Y2X8E6tkBQqa7ByjIk/b4qonswp89H+YARiCvwxL1USfYXqD&#10;P49g4mKKbt8q2CjTiWAiRGtbVFBBKSJwhYwJTpC/DNFEaiJEZiegMaCM4KHaGWgEdf8XEakKNHaY&#10;QM8fbwBjDTAKitH3gEhvkgECkiTAafGCRbJ6xSrZoMCLRM446nz9XmAA2ju77TwHHHj7HXxfkGAB&#10;YgAFJoIymyI1Nc3meeDQiVU3gl86CyYEzJSxCrTQR5DwGbYEO8B7Auz8GW6RFrRnHh5+r5n2XseE&#10;UTZZYd8FZlSAD5gCykFzZs02sAhbgH04JSsGiWG8lbJjp7Wqluk509LWae8TAPQmsAcjwwUJbrjx&#10;GoazSsJZj/Y3Vp1zZ82RmGmhEjV+kiSNmyrl/iTtCPnMN1o+N7FiqLECJHpYgiFN6NTxmQ7ZpcDh&#10;sCZ75jwADhArUmK4rsHjN/lPNpMmbvFMYJYDIIEOis36P+JHWiXpeKA9EWGht0T+KgOQ4HFo9LRI&#10;/t4nVi74RUj2uGBJDQqXtBlzZe+qtXI8LUOKFCzUKSDo6OyS+vpGKy8gSszNyZXTff1y5+49a42k&#10;RZLuBceqGaHj48dvS093jz126+YtMiMuTvbs3mMsxK1bd+y5ODpWV9cYUEDISLKP0aSRuCHRWvRO&#10;nsyx0sOBA4etVQ9qnd7+OTNnDw+jinpi8exxQqRDIdpEiE5HwlgFAJ75CQs8K34TIc6y1kN8CRAS&#10;MsCIiYl/DiCIpCPhoCY2TW6IEMM8Tog+QfHiF6DPmRzn6WrAD4ESA22P1pmQKoxNNktls0mGdfAY&#10;HnlEiMc0Ye4VH4YZTVuvx4ZAcraCF7wXIhQchAkdFvgakEBp76OksGLZCv38cMTcJydO5NgsCTQE&#10;JPTevjOWNNEVcJ4Dir39Dn4o+J2QdCnlIGYEeJCYKWMsmDvfBL+TJnraI3E7HD8lVo99riV9PAxg&#10;QXwUQDHNcQyAICJNfMJ36bbt4heC4BIh6EzP+0SEqPuirMB3x/fJvAWYAr5vfqcAQkSWgEM6VDq7&#10;ek1oeU5/x7xPjpVj9vZeXtdwQYIbbrzGwQWFCw794fjwY7MbMjlAlkyYIikKFOr8Q+Q9BQn4HdzW&#10;hN+uq328DrI1wbPyhzGgOwCtAgwB2gV0B5QW3vaNlI816bfr37v9AiTBf5Ks8J9oEyK3KTBIV4CA&#10;VfNWjRIFF5gp/Yeu4qH9of+9JfKfIgAL+CkAFt5TEEQ55Jh/kOyaECRbQiLlUEKiVOhFu6u5Va5c&#10;YkTyoJw4fkK2aMI/fPiI6Q8uXrosH3zwkTkxAhBGdkXAJtx/8NDARFZWlgkVsWXu6em1kdGffvq5&#10;CSMHBs6aUyPAgGFPJA66UXA/BBgQrGpZbYaHhGnCCtYkCv1O4grWCLGYOBFVfKyudtEbLDGAYE6I&#10;JkRkfgJti/NlbAAuiPOFiYs+QboiDk02MPDnEST3Qx5vAwUKJH00CJQNnLbFsZNmyVhzQlwovoHr&#10;PCLEMFbTB6wUQSkBUGCOiDHHTXtAGySGR7QTetr6dDUdgD0y1sK4OdK2GGjvGw3FjJg4m5BJcmYi&#10;JmZPgIOKyhrTYfQPnHuSKF8VzU7pAXtjav/oPBgRznfD54/Gg1bLyZOCPAwN4CtQQVjQahk7bZ2F&#10;v4Igc3xkWqMCNt6rtS8qOHDKCNHhEebPwDRNgGBlVc0wI8L7e35G5HUPFyS44cZrHFxMWSHRT31g&#10;/yFZvXylRAaHygy92C3QVdvesUHS5R8mjF1G1Ef0aNLP9qNEEGj6gjsKHgAQ1zSaFDgc8psieQoW&#10;KEN8riDhnk+k9CuIKPHVFbkCA8DCSgUKSxUw0OlQ4BsoQz5hBjYACLAIPydIcMSMlB7o5gAonNH3&#10;kjs2WHZOCZUTi1dK7e4MGayqk4e68n/w8JEleEoOWVnHbNYDTos3b96yGQ6wCc5cBwI24RMFAngl&#10;1Nc3SHp6uhw6dEjy8vKlra3dnBvxULikCaGyslp2pewyIaNR0Jos5yooQMdAsKJmyl/QlCCZMllX&#10;2+ZnEOMpIdCZQOuiAgObtqggYJyJEOea6RGaA0oKaAw8Exe3CuOW/yJ8tyVvuhSsbREvA2Yn8Lig&#10;NeZ9YK2LiBiZpzBtswazEzwuiNgkwzh4nBCHhxDBGJgIkbbFFH0eY5jXCBMXxykwQTTpcUEM0wi0&#10;LoKwaaFWYlmymLbFTdY9sn/ffkvQRYUlUlNTLy2tHSYuRKMxskvhVYEEyham/Whp0++7xMA13SoA&#10;vZlxM6zV0lPamWYAgNLOREo7AdNHRJxu0/c6KdzeKxbKgQFTrRtj7uy51kbLOYT5FiUlfp/2/oYd&#10;E70d15scLkhww43XOLiYcvHBN6FSf6zJ23bILF2xRerqbapevJaNC7CWwG4/bJOj5e994uS6T7jk&#10;K0g4Mawx6FTQ8MA30toZmemQrIk/VYECvgjMf2AQ1F8pAMBAiZbIbQoS5vhPkGD/cZKhjzurj/tU&#10;9/2vY6Zrgv55AYITHAM2zp72yJnyxZgY6+44OCFY8mPnSv3aRDmfXywf3rkvX37+pTx+/Jacv3DR&#10;DJPoQsCC+XRvn/kgwAqMZBMADMTnCgQuXLwk5eUVBi4oOdAdMagrRkoVV6/dkBZNRpheMX75D+I1&#10;TwucKd51BQpFjZDPAQgTYAVwLgymE2CzgoAtCgg0IQcoYJhE22KU3saKP/4EQQkyhs4EczI8Iv/F&#10;SgGa1OksiDxkXQq4JZoTooKMsZPinoTf1OWmP/jL0DT5c3NBPKGggDICZkdOePQGTFykTu8butXm&#10;OoyfMluPFS8Dz5wBzKMoIwRpskRcCXuAaHPZ0mWSnJwiJ7NzpLqmzto56UpwlPu0KnIOjw5v5/rL&#10;CGf/vDaJG/FvYXGJ7N6dap4TxsQNC0R5L0TgZMKZCRFgt/zv3A8DERUWIdMV8MGQHDlyzEydAAcj&#10;35MT3o7rTQ4XJLjhxmscXHSo16KIbmvrlBPHs2Xrpi1G6XKhixs/SeIVKODE2KlA4bFvlDkoImSk&#10;bZHuBIACjAJsAm2NiBCxZ672CzYXRtiHf/Bh7HS09Oj/WQouVihQCPMfr0AjyO6n/fCnant81nAY&#10;BUoPf6/H99AnUrr9w6QsOE6yZs6Xml3pcqOpTT7Uz/D9h4+NUWhubjFTJcRz5WXlcvp0v9x/8MhE&#10;i2gSRjIKbGOSJPMeajQBHjx4SA7pypSWSTolmppadLVaKsk7dhqT4AEIAINhQGACxBmWcBH2jZvC&#10;tEVW5fONNRg7hfkJqzTBe0SI1roYtM40BGOCN2hyTzKWgPZCYw70llkHfxm6XcaEbFZwkDD8nPUm&#10;ZOS59nxaH4M3yl+EpsifGbhAmKdAQMHFnxkgOGqiPYyBEPH5hmwSv2lYNy+TcVMX2DFPHHYRDJwS&#10;bCvouJhYWThvvqxascp8HKDa92ZkStaxE1JcUiqN+lngFOmsqDlnf86ECVvBcQyeO2+TMs2k6vhJ&#10;00egI+A9IDSk04ISET4XeDVQGpqv7xMDK94rQ7yYqkmHEaJTDLOYutnd02c6CG+v/UsLFyS44cZr&#10;HM7qxFkZ1Tc0W0sfPfWs5oInTpJwXbUuHj9ZDg+XHnBW/NIn1uYs0NVwVJM+egT0CmgRaJmkjk9L&#10;I10NF3zC5Z80yTJ2mufirbDJP0CiFCSU6t/fjYkzG+afQ6z4QwFQIAAw/6DHCTNSPzZMkgJC5NCS&#10;ldJz8Kg8aO2Qj+7ck88++czaHjEu4jMk6dOxMHj2nOkQKDOMZBScjgcYhbNnhzRBnJLMzP3mowAj&#10;Aa2euf+QbEhIlNjIGA97QOvfpJDhoT9LNPGu1gTMtEWnbXGVaQvGTYoxtsDcEKes0MSOxsDjZYCI&#10;0DM1kamLw/MTwtKMFaAjYWzAAjM6GjcJIeIC20ZJAaEi3Qz/TxSti4xhxvBoeBQzJYXoE6bat9kJ&#10;CkCwFmbegDkg4g6IcyDMwaRAM2+CYqekgOPn8mXLLblC30PjNzQOOyCeOWumUDAHjgDRGISfESAQ&#10;vD5AgeO5cAnjqovmX4E2gjHsvAfP93dQ0tIybCYGxmUJCRtl69Zt5mkAIMzJOeXxbmhs8ZRNTGx5&#10;6Ym2wttr/9LCBQluuPGGhNVb+wYMKGAewyoIpTz99ZHjJ8m6cVOs9NA1XHpg2JMzr4GuBwY10fVw&#10;3jfMSg38f9hvinknQNd/qM+BbWhUILHdf4rM9J8gJfr4z/Q+/An+92vGJIwM2IT/CVDwwTkyXE74&#10;B8mJ6FlStnaDdB09IXc1mX3+wUfy6N4DGdLVJeZKDHbCHrdRE96t23dskiRAwQEJI4NJk+3tnWao&#10;RHmBmQGbErfI+vWJsmDBcgkNne6pYU+O8QCEKXMVJDA7YYWCA7oJ1mnQskis1OS+yASInomL6A12&#10;6Kp+j+kF/jwyU2/3mu3xX4TtEA9zkCS+CjT8p67WWKrPpe1xiT43Xu/b5hEhIl5kqJIBAwUFsAYM&#10;aYpyWIMU8QndrIBlnWkNsEieOClKJk/ACZG2xWAFO1EmPsQGmrZbVtIIAG12gq6inZLC2XMX5KKe&#10;jz83GHieIKkDZkj0CA35HeHsWFxSJnn5hXIyO1eOZh03MSKdCrxXfC0AB4CMN60r4WWFCxLccOMN&#10;CS5yjj6hSi9gmNGgrKePnymRsQoUloyfLAeHSw/X/SLkoW+U3NTEz/joFP/Jkq3AACaBdkl8FQr8&#10;PUZKDHK6rOABMyWMlNAtLFCQAJC47RMh3+kK/d8VKHhL0K9DOB0P2EXjoXBVj7lOE+D+8OlyOD5B&#10;+sqr5INbd+Wjx+/I++++b8xAniZ8QAKjorFcZvLjF19+7RUkfPrZF9bZ0NHRJWm6yrRWxriZEhM9&#10;Q0LCZsnkoLkeIaImX4DBWAUB1rZIV8Hk2bb6x9rYI0CkjJBiXQis/DE48sxPyJAxobQtbhcfhjHp&#10;Pvwnz/QACtoWdRvP/0vrTNglf2YCxP3GOmB6ZCZBsbnyZ2aPfFRwVvQJTTYDJpwCDbhMmeERIJoo&#10;j5kDmB4hzFNQGDfD9BpbFRSwus46etzKKYwxZnQ5FDsdCrQt0u//KgWIryIcZsEZwT2g5wC22DAM&#10;AIGu7l7p6OqRLn2fvQrGea90S1Dqc96vt/3+0sMFCW648YYFYAF7X1Y52PrCKESGhtu0yKAJk2TN&#10;uAA5Olx6eNc3Wj7VaPQLkV1+ul2TfrPfNOnQAAyU6Yqb6Y+tGm26jaBFcp//FEn0nyQn9PFoG+iA&#10;+J2u0v9Dk7ATJGSCFTwsA+UIxITekvhPFRzDvymY+d2YWAU84bKfWRQxM6UuY7/c6uiWD2/fk2+/&#10;+sYGNjU2NMmJE9nmzIhFc0/vaXNfhE1AnzASJOClQCfEpUtXZF/GPomO8Nj/TpowRcZPDLduBTwN&#10;/APjPYwBbYuT5xpA8McJ0VoPddUfusM0Bp62RTwJNFjtY5UcutNKCuaoaG2LM2TchAh97lwP40BJ&#10;IdQzVAnGgLkJHvFhrmCV/P/EHLNSg4GN8F3ip4CCcoe18sEYWBnBI8ajlQ9vBwyB4qJiTHi5bl2C&#10;zY5gRY3TJ7V8vAzeJCDgxssPFyS44cYbFqxoWN2w0rHWyAOHzc0Omjhw4iSZMX6SrDagECzn/MIV&#10;KETJZb8IBQahUq4AAB0COgXEi8UKEkoJP4/TohP8X6qPzdHH8Fi0DTgcYs7kBEOkWLX/zifWzI3+&#10;U4EC3QY/Z/cDIAXQ8m96PHhEMNgqLyhaypaslsbUfXKttUO++vAT+UTBwM0bt4wZoLURMWNlZZXc&#10;vHnbOhcABCNFjLRJfqng4trV65KjSRSlPO2NtAJOGB8o4yeEy7hJM2XslGUeESGiQnQGmqj/gpU/&#10;g5XCcUHcqyCBtsU9nhID7YnB+njcDxUY+Nq0xURrQTSdwrALomdaI4ZHaBWYuHjS0+UQlaWg4aD8&#10;he7PBIjBq02AODZwgYKD2R69weQIwZcBnUFocKjEREWbUA/fjR3bkyU9Nd3q73l5BUaxN7e222ra&#10;cUJ0QcKvO1yQ4IYbb1hw0QYoOIxCXUOzHDt2Utauibe68rTJARIyga6HKVLuHyI3/CLlbd9o+VCj&#10;yy9E9vgFmEESroo5/oGSOzZQcsYFyXG9xYKZEkSnPg4LZiZGJtljp0qzbrusoMMJ5kLQNklXAWDh&#10;b33ibBWPyBHq/+dgFTytkR4PBdo67+qxdY0Ll8KpUXJs5nzpPpErH999IN9++rl8+dkXcvfeA7Nr&#10;3rF9hyb/HOtaoAvi88+/NOEiDILZNetj33//Q7l08bKUl1XI7p27zWkRDwSAwqTxU2T8+FAZN3m+&#10;goR48QnZpmDAY/3rESAeG+4q0JU+bYsmQlxrpQRcFG3iItMWpyxXcIC1MvoEQMGwA6KVEjzlBGMN&#10;2J8ChjGR+8Q3YreMD90oAcELZcrUaAmYjEmTMzfB04aJCDE0OERmxE03NT+jsSlXlel7YUR1b2//&#10;k9ZFZ3YC59evlWJ34w/hggQ33HiDg4s6YkYU29TXsf+FOg6ZEiizx0+SHeOmSpH/NBnyi5D3FSRc&#10;8Y2w7oVjfoGS6jdVkhVIHJoSJsUhsZIVGCHJE4MkTZ9TMS5UBsdFSsvYMCn1Y8ATpYgQOa1xxi9U&#10;+jUoWdT5BVvZol63d/li3BRpXRL/pIABR0RvifynCIACgOVbPRZmXFTp+zk4LUrqt++S241t8pEm&#10;vy8/+sQSP2wCcxUwx2lpbZNLl6+YiBFw8M6778vVq9elr++MNDU2SVlpmZzKzZMjh47Inl27TROy&#10;cN4CW6FPGB9srY2IFH1Ctpq+gI4D3A9pZ/RMXNyokaBAgtZFJi+usYBNgDX4C2MNGMdMhwIixOHO&#10;BOYoMFcg8oCJFP9SQQi2wQExWyVizk6ZsTBJ5i9KkPlzl0hkuAKFJ54NE60LhpZZTIBQ8dOhgFCv&#10;tr7RbIPRuNABADBwQYEbo8MFCW648QYHqz1WfgiwGC3NLH4MXyJCwiRYE0Q0pYexU6RMgcI9TZZY&#10;OHv8EMIkWUHCPF1tpobFSOPcpZIVM1tWTg2R5ROmyqGJIdIyKVIujIuSR/ocZj3gtYBmATYCpgEx&#10;5F6/ANnsN1mW+0+UtX6TpEABA06OX/rEmIWztwT+UwSMwv9RkEIJhHbQdgU1ByeHSsniVdKffkDu&#10;NrTKpw89A54AAZgi1dbW2bhotAlvv/2usQmOmRK2zMwD2KJBGySiRxwci4tKzGlwZuz0YZAwX0FC&#10;gviay+FWwQLZ2IJJM2TsxFizRh47eZ61QvoEJyp4wAGRaY0HNRjDzMRGuhMYZ8zUxTwDCOaGqOAB&#10;0SMiRv/Js2ViQJTETF8qK9akyKateyVl1z5JSkpRQLDgj0DCrLgZVlbIy1NgUNdoAkQU/ufOM0/A&#10;42nAxEUAgltacGN0uCDBDTd+AUHtmFVhWXmVGd3Q8TB1MsNoPEBhz7hAaRobJuc1Ud0NmC2tk2Nl&#10;44RAiZo0RZJmzJGa+EQ5uSZBti1fJZsXLpFDsxZKZdRcGQicIQ/9Y2wYFAOe6IqghRKzplbfECn0&#10;BShMkQQFCKv9J0ma/xSbDzGo93+sYASTo/+uYOHn1Cn8ox7DDT1+2ISyqDlStjxeerKy5dHQJfno&#10;nfflqq6iaW/EMKm4uETaOzptyBPahNbWNhsRTTkiJTnFRkGXlpYZ+0Bpgi6JkuJS2ZiwUWJi50hg&#10;2EKZMG2lBMduktiFu2XGgiSZPmuVxMbOk8iIGRIyLVoCp82RidOWin+ogoSIdGtVhDEwUGDzE3Js&#10;25/hkRC1X8ZEpopfRLIExO6QiDnJMntRkixdtkHWrV2vx5amwLBQCourpbKqQYoKS23K5OzpMyQy&#10;NEywiqZrgePPzy8yMSLnigsI3HjWcEGCG278AoKe9e7efqmqrpM9u1PNOQ4FO0ABfcLSCQGyY2KQ&#10;HA2Jk4oZiyVLk9biwBAJmxooCYuWSM6uVCk6eESKsnOl8OhxKUjeLQWr1ktt7ALpmhBhoIAZELgv&#10;Igi0MdQa98dEyVmfcKn0nSZH/AJlu3+ArFOwcNB/qrT6TZP7PhHy1z5xRv97S+A/RdCBQdnhrm+U&#10;1E+OlozwODm1OUku6Kr64YXLckYTfnVVtSX/wsKiJyDhvfc+kOLCYlkwb74wnwFvhaGhCyZufPzW&#10;O1aKIM6cGbQpgImJW2XW7KUyLWyWLF62SXalnZDUvcclOSVDNm1KklWr1smC+UslbsZSCYlcIpMi&#10;1otPVIaCgmz5L3EKDjToWjC75XAFBqFbZVxIvEwMWSFTQhfLrAUbJXHbfjlwOF+KiqukpblNgcpZ&#10;uXzllty8dV/u3nsoFy9eMY3F9qTtsmThYis10MGwauVqSU/P0At+lbX1uaUFN541XJDghhtvSHBR&#10;J67oBR7HN/QImNpQU+7sPm1UMqtFqGVAQmjwNAlUkDBVQULEpACZFRgs6+JmSfqK1bJz+SpZNmuO&#10;zJ05S7Zt2WpjkevrGqT/zIAM9PZJc0m5lGbsl8JlayVvapQ0jg2Ta+Oi5N1x0+W98TPk/Qkz5MOx&#10;0+VT3zgFDtFyyTfcpk4y62GxggRGTiOCZG7EB3o/ZkxoFH4OMaPHP2GG/JWClV4FOzvHTpX985dI&#10;6+Fjck5BVWNxqeSfyrPyQUVFpU1/fOed9+RdBQmFBYU2sOnwwcNy/fpN63pwnBkJuh4ePHwsnV09&#10;1jrISO+li5eZYx/+/vX1zVJWXmFGRHShpKTsltVrN8msOStkWuw6GRuzR/485qjGEY3DMiY6U8ZG&#10;p8nkmB0SGrdRYmesktn62IULV0hS0k7JPVUsHZ2n9Vhuy4cffixffvm1HQMtm7/93V/bYCrYDfQV&#10;fK8wSogr586eY90MgJkuPVfwOgAoeDvP3HBjZLggwQ033pDgog5VzEqQCz1WsSWl5WYvS3874IBW&#10;SMbYRoaF2yx9nPSmTposEUHBMjsyWuIXLZbUxM1yYOdu2Z+WLkcPH7EZBkxJRLDHiOSH9x/IdU0i&#10;g22dUrw7XVKjZ8qBoEgpDZ0pLZHzpD1usXTELZWm0DlSPTFKmv3DZcAv3MoQ7b6hUu47TfJ8g+S4&#10;n2fA1Fnd/r5PlE1spOvAWyJ/lQEwYXrlvypQwKoaEWZe2AzJW7FOcrbvlKzdqXI4c7+U6WcJSLp7&#10;776ZJ9HR0N93xsZMt7d3GGtAt8No62YSM46MJOeG+kYrP7TrZ3ft2k25cfO2rvSvGQPR1zeg++mS&#10;EydOycbE7TJn4QaZNn2TjIvYKuPCN8r48AQJitsk0fO3y+LVqbJlx0HJPHhSsnOKpKysSlpbO80E&#10;6N69R/LBB5/I119/K98pQBjZqsm2h4/eknPnzpsYc/HCRXYu0PbIVEqGVGEzjGkQYkVv55kbbowM&#10;FyS44cYbEpevXDfmAOFZta6As3XlyuAZfPUZwBM+LcRq0ACDkcK1QAUJUeERtiJet2at7Nm5y9r9&#10;Wpqb5cKFi3Lnzh1dNb+vye4z+errb+Tbb7/T22/lg/c/lHJdka5V0LE8Ola2zpkvaUuWS+bqeMlc&#10;u16S5i6Q5cFhsmd8sLT7h8lbvpHmn/CVT4yVJ3B3xPYZgSPjqz/U+36Ojgf0EEyv5LWZeHnHN1wa&#10;xoZK2qRpEh8WJYkLl8iubdulprJaHmmCdcZHwxhgrnTr9l0DCI53wsikzN8ABVby3P+pAgZW+AAM&#10;Z4UPsOBvgs+1r2/QOgzWxifK9FkrJTBkrgQFT5fg4GiZMXOhrFq9UVLTFLSU1yjwOG8DqHCC5Hic&#10;ffKavydGHQ/30ZXB4zGL2rA+wcoNTD6EWYpfE2921Jw/DD/ydp654cbIcEGCG268RkE5YSRjgD1s&#10;i65Kq6trjUJmkt3+zIOyc+du2bRxk/nrT1eAQO2ZgFqO0aTANlohF82bLyuXLpOE+HWybcs2yUjf&#10;J8eO5ejKtEbaO07L2aErcunyDbl+47Ymw3u6Sn2gifKxgYb33/9A+npOS4GCkbysY1Kht/UFRdJU&#10;Ui6NJWVSlHVcDulxHFkRL/nhs2yw0pBvhDzyjTKhYL9vqNT7BkueggSMmy77hNsQJjoOKAF4S+iv&#10;MnjNfx4z3UZmn1WgwJyLzUHhkrZoqZxM3iU99Y3ywQi2gIRLsv3wo09syBPbnWTsLXgOiZzV/G+G&#10;SxIkbIDDu7rfu3fv20RJx5dh1aq1smTpWlm8dJ1s2JhkIsQjh4/r91wmTc3tZpgFKwBT8UOv7QSA&#10;wQEl589fNCdJujJmTZ9h1stzZs2RBAUOjDtuaeuQ83o8nG+uiNGNp4ULEtxw4zUKAwgXr8jgWc8Q&#10;mpraejlxMkcTyG5Zr4l+yaLFNhMfEAAYsEmQUwNlmgYrxtl635KFi2TNylWyJXGTpO7aLYf2H5Bj&#10;R7MkV5N8UVG5VFQ2SX1jj7R2npXu05eku3dIursHNPqku6tXBs4MWv39rbfelgcPHsq9O/fkgSa4&#10;t3RF+64mrffeekfe1tvrV64ZiChR4LJ78XLZMjFQ8sdOkwHfMLnrGymfjok2l8ZsBQnb/Seb+yGt&#10;kSRqDJe8JfJXGYgnYROYQYHossgvWPYEhkvO0lXmxni1pV0++/DjJ6tzkjwJl0RP0uX/0Ul5ZDjP&#10;ebLS1/8BF8x8IGEzWprWSb7L5UuXm6nR+vUbZffudCkqLpPTpwdMbwJz8O57Hxo4wOUR4PFDrz0y&#10;nONAV3HhwiUpUGC3asVKY5VgFGKjom3iIUZKffpdo21xQYIbTwsXJLjhxs8QXJTxOECASJ0ZC9ze&#10;02dskE5dXYOU6GoTkRnTHrdu2SZLFy8xYABTACDAd5//AQWIDzH0Wbl8hSSsW2+CtV0pO+XAvkzJ&#10;OXFSigsKpaykVKoqqqS2plHqGzqksfm0NLWelab2C9Kgt3VNZ6S2oVdq6jqluRWDnQvGLjx8+JYZ&#10;C1Gj/+LLryzp0Rr4zrvvyeUrV6VNjzf7+AnZtCZelkVEy84pYZKnyZe5CV+NiZG3faKl1DdYdvkH&#10;mIkT7ozfjYm1jgNvifynCDQKX+ux9fiGSkFAhJTMWSw1m3fI+ao6+UQB0O9IyprovSXgZwmABZ8R&#10;zAFJukeBFNR/cXGpnFBAxRTJ5B3Jpg84lnVcKiur5dzQeRNKwlwASLzt93kDgPHe+x/a6+PlwIRH&#10;HDmZ3bB86TLJyjomjQpc+gfOup0Objw1XJDghhs/cQAQYAzMLbF/0GbcV1bVSO6pAislbN+2XeLX&#10;rLWkTxvbbAUBsAQABERosVExdpFP2rpN0vakyoHMA3Lk0GE5rHHk0CE5dvSonDx2XE5l50hRfoGU&#10;K0CoKC2TqvIKqa6skerqBqmpbVVA0CPVjYNS0XRBypqvSFnTJSlvOC/VTeekpQPQMiRnz12WK1du&#10;WF2eoUiUI6DMu7q6dVWcp8eaJBsUmGyMXy8blq+U+Ojpsm78FMlXoMD0yAe+kdKtyZihUa1+ITKo&#10;f7+nq3hEhN4S+E8R6BP+Ycx0M5UaGBclhcGxkjFngdQdPS5vXbsh33z6hfz22++8Jt5nCZIzQkU6&#10;RvhOjh45KtkK+GixBCwwcbKzs9t8FjBrunULTcgfAAJMhLf9Pm+wL47lqr6n/LwCM9kyN87AIBMx&#10;InTNPZUv7R3dBli9natuuOGCBDfceIUBILC2xWFnRBtTq6tLhjN16QoPa9zColI5ePCIJCk4gIam&#10;jOB0JQRPmWoX9bDgaQYUEB8CHlIVHBQVFktdbb20trRJu67oG+obFARUSlWFhgIC78F9lVJZUSsV&#10;la1SVnNaiusvSGHTHSkiGm9JScMVKa8blKraLqlr6JSm5g5Naj2W1PpO90tDQ6PVugEpM2LjZMHc&#10;eQZsGKHMPIOIqUGSPJ75D2HmvnjJL1zO6d89ChJa/KYZeMDgyFsC/ykCIeP/VKDwLwpUaM8s8Q2W&#10;hIBgyd2WLLf0fX728C359ouvjLb3lnx/KHBxbG5ulcQNG2UNo5e3bNXv95DU1NQqKLhsLZM85mUC&#10;gqcF7wH3SMyiDh86YmUoSlS0RjI9ND0tw1pnYbQ4V92ygxujwwUJbrjxCgNwcG7oojEGrNjqdSVZ&#10;VFxqI55379oj25N2SOLGRJsqSMkgLjrWTJBoX5wZN11WLFtuySZlR7Ls37ffVqTYBNOSR517cPCs&#10;dHZ0SZPut06TkAGECm/gYGQAEqo16qRcgUJpTa+U1J1TsHBZChtuSF7NVcku7ZPjeY1y6GiR7N13&#10;RDIzD8ohTTK0AxbkF0pZWbnd8n9RQZE0N7VYHN5/UBI0+aREz5Ljk8Kl0i/YbJyHFCQw86FX/37k&#10;Eyn/9LMyCZ4BUP+px0C3A2WHwxOmScmSVdJ/IEvutnTKp4/efmGQQJfDNV29V1fVSIV+3mgRTp/u&#10;sxX9W2+9Ix9/8pnpHBztgrd9vKzgPVD6oL0V2+kdSdsNbEaEhhrAg13I1++RkoPjxOjtPHbj1xsu&#10;SHDDjZcQziqMi6zDHFzRpIBpDS2L9Q3NUlRUKllZx/VCveOJlwHWuZQRaF+kRQ3WAPaA+9bqKjRz&#10;b6Yl48bGZhnQC/mtm7dNKf/Rxx7F/f37D6W3p9cAQnVllRdA8PSoVLBQUV6tF4EGKVOwUFjVL6dq&#10;LktW2UXJzOmUnQcqJGFrpixZGi+LFi2TxYuXyfr49bYira2tl76+frlx45a5E9IB8LYmwHZNiEfT&#10;98qu5askMShcUv2nSBUaBQUJAAVuofl/3nKDR8T4fxUoIKK84xMhDWNDpJYOjcWrZeDICXlXV9am&#10;SwAoPCdYQJNACySfC6t4a4n8/Etrf0SEyP2OsPFFgYi3cPbHvjl2QAhsBXoSxJNnzgxI5r59Cj7j&#10;FIgGGRCdP3eejYluU6DJFEi37ODG6HBBghtu/MhwSgloDHA/BBTQXlaHsU5phbUt7s3YJ8k7dprH&#10;/+KFi014SDnBoX6h7Ckj0MGwOXGT7N65y2rarEIBByTjtzThoHjnwk+QcB4+emwgoba6Wqq/t8zw&#10;x4FOobSoRIryi/R1CuTE8XzZf6hAdu4rkm3pRbIltUA27T4l8VsOyIq1KbIyPkni12+T7cmpkp2d&#10;Ly0t7XLlyjUDB9/oyvm3mvgYiHTuzFkpyj4laRs2ycqwKNk0NkAK/IOkzy/UAMJl33DzS2BCo7cE&#10;/lMHToyMub7uGyktk6MlJ2KGVG9LkVudvfLNR5/Kd5rY8SPwlpSfFiRqvh9AgX02mqxfJhjwFrwG&#10;4IPX5Dt5pADl1u07ph9hgiUzKEr0O9+ZnGI201Hh4dYSCVuVlpYuNXUN0quP4zz2do678esNFyS4&#10;4caPDNrWzp2/ZCObG5ta9WJcboxBamq6bNKET8lg9oxZMiN2usRGRkt4iGfwDozBnBkzZc3qNQYK&#10;sk9m2wwBSgm49zEjAGDASpTV4FfD7XAkBG6//OpruXfvnvR09zw3SCgrLpGCU3kmcKSMgSnTuvhE&#10;mTd/ucyau1KWrNqhAOGQJKZkS1J6sew5WCYHjlVITn6NVNW0SHf3abl5646xGQ5t/oX+fVmBUnV5&#10;tezdniLLomIlfuwUOaEgod0vxFojrypI+EST8n99TUDC/x4z01iNb8bESa9/hOyZFCyHVq6Vs2VV&#10;8tntewoUPnkhkMBn4sSrLikQOC/iz8C5Qvtqd3evVFRUydGjWaZfSdqWJBs3bNTveJ21QzoCRjpk&#10;GAhGCYxymAsS3BgdLkhww41niJECRMbrAgoGzp5/ojWoq8OOt8wsktMMHGyWpYuXygxdqUVgkayg&#10;gLICPeoY28yfPcc6FKgRo36nDY4V342bt6y98PMvvrS6tbcVKNu+/c139hjcErs7u6SmssorSKgs&#10;Kx9mDYqt0yEvJ9faIo/pax7M3C/pmkBStu+QTRsTTXQ4S4935oy5snz1NklMPi47D1RKZm63HCsd&#10;lIKqs1LRcE4aWvulq7tfrl67JR986Cl7fPbZl/LOO+/L4OCQVGiCTdu+UxYrSFg5LkAOjJ0qdX7B&#10;csY3VG4pSGDl/t9+xhbIkUHZAX0CoOWST4RNtNw/a4G07T8s99u75eO7D+R3ukIf/R381MF3Dlhx&#10;ACKMASWMjxTEUH6i8+TmjVvWVYFIEYBw/PgJBappBhC2bN5ipkrONMvVK1dZqcvjmbDFvDgAuAwK&#10;83b+u/HrDRckuOHGDwQAwQMOrpkIsae3X1paO6RCE3tOzilrW6SdjHo9ivHFCxZZ22JMZJSVFdAX&#10;IBZbvmSptQzu1+SMLXKlXsg79IJOjzysARQxVDErcmMMnpKcRoKE27fvSGd7x5+Ag5EAoaSwyNoh&#10;jx46bKBgmyaFjesTZP3aeLNp5m+2JW3ZKts2bdGVZaqk7cuVAycb5UjhaTlecVlya29IQcMNKWm6&#10;KlWNg9LU3COn+4YMKOCnQJvkwMB5qa1tkuPHciQpYZMsCI2UZWMnSdrYACnxC5Q+BQkPfSPlNz4/&#10;r0/CyHD0Cf+pQOEdn2hp9A2RkrAZUrN6g3QdzJJ7/WflO/0uvH0PP2XwnVNOcKyfEUByztBxUl/f&#10;YMOp8GA4cvio5Oo5ychrxKUMrEKw2NLSauCB2RKlpeU2/npGTJzZda/T8xab6OraeiuZefsNuPHr&#10;DRckuOHGiBjJGOBlAP2K6ts6FPoGzNOAccyn8gpk3779ujrbIssWL7WuBEyOPO2KHnvkCA2AAhMZ&#10;l+kqHdq3RC/enV3dcuXqdY/G4JPPnswKMEHbMD1tK0eNpyUMbyABUIAfgsMcYKJESQHmANdFZjYk&#10;JmxQELPQWinnzZ4ji+YvMLCwc0eyZGbsk+NHj0leXokUlLZIUc1ZKay/KgVN96Sg5ZFFUfNdKasf&#10;kqq6bmls6ZWu7jPSqdHS2iPVNS2Sc6pM9u49KhtWJcjcaRGyREECRkoFChLoIsA34RsFCf+uIIEE&#10;7S1x/9ThdDtg8nRbj69zUpQUhc+QvFXrZKimXr754mtjE572fbzMcL53GANKCJwXnB/4HdCl8PY7&#10;78mdO/fMpKm7u8cS/gH9bmEIEtYlmOYFEEoHTJueF0PnL8i9+w8UfH5sjA9ujgOD52z40/w5cw3A&#10;rlyxUtLS92oyqHJBght/Ei5IcMON4fhDOeGalRJ6Tp8xUFBX3yTFJWWmM0hPS5fk7cmmNVi1cpXM&#10;nzvfzI2mKTigpIDuYNXylda2yOP2Zuy1CzKisba2dmtbZMogTnjO0J7nTT7eQALgwCkp5J7MNtZg&#10;b3q67NLkD0uwVY93kx4TxkewBwCDzRsTZce2JMlITZMjBw+Zc2LBqXwpLa6QsvJGKavpkZL6i1LU&#10;dFcKWx9pPJbClvseH4X6s1LdOCANLbqS1ahuGpDS2n7JLWmXgydqZONGXamGRssi/4mS6T9Fqv2C&#10;pMlvmnT6hdgkxr8fM91mKbCKfx3AgqfTYYYNp7o4NlpyAiIkfc4CacvOk4/uPpCvP/5MfvsTMAoA&#10;RQZsIQL94IOPzFMBgSilqKZGPQ+LFMDl5VtrJR0mVVXVdm7BJOCb4WmP7dTz7ILcvHVbHo9ouWTf&#10;mDaxv7zcU7Jw3nxjuvDm2LWL6ZCVNi/C22/DjV9vuCDBDTeGA5AAe4DegFHMgIMCvfDiaYDREV0J&#10;0LNcWOlKwOIW8WHg5ACZMmmyAYXVuio7uP+gjQvGWe/c0AW5c/e+lRE81sZf68rwW10hegSIxMsC&#10;CTAHAIQDmZmyIylJ4levsa6JmcOGRyvxXEjYYBqETMDL0SxjGgAWlCQAGR53xgpPa2Rlg5TWnZHi&#10;pltS1PLQAxRaHkixGS5dlbKGC1LRMCjlDeektOmyFDdck1O11+R4+QXZtCNLP6vpslBBwjH/qdKu&#10;AKFCgUKW31RjFL4dE2fjm/+vJujXASRg1fw/x8yU/6ZA4b5vlBwbGywbI2KkPD1THp0ekE/vP5Lf&#10;6Gre2/fxsoLvFebgSz1H3tNkTkcL4KCivNLYAnQj8+fMM/YHS+ciBQxNTc023vrqtetPWlE//exz&#10;s9B2Wi7ZpzETChK4H8FpgZ4ri+YtMLYLy++U5J1mBU7Lrrffhhu/3nBBghu/ygAQ2NwEvSieGTwn&#10;3aYzaJeamnrzM6Btcd/e/bJjR4oZzjhz+WlbxNNgRkys9ZijM1i7ao3V9ZM1+eZokm4DHJw7b1bG&#10;jt2ut6TwvEESoRTBRd+pSw8MDOrKv1gO7d8ve9PSZVdyimzfuk0TykZZv3atAQOOEeYARsEZ+ARr&#10;ADigRDFSx/CH8BgulVd3S0n9JSlSoFDYfF9BAiWHewocbitYuKFg4bIBBu6nFJHfdF9yam9JUmqB&#10;zJi+UBZMDJJ944KkTAHCCf8pku4fINW+wXJvTJT8XoECrZCvA6PAawNYAC4f+0RLlR5jRlCklK/f&#10;LEO5hfKo/6x89dGnXr+X5wm+Q4Kkzeqec8MpIyA+vHTpivR09UhLc6sBgPr6RmMJjmUdM3dENC3o&#10;CfDOwNoZW+d79+7bfA3KEuzb2+sSgAQYrKtXr5ulNkwC4kV0NKl70qVcv3OXSXBjdLggwY1fZcAY&#10;ME8fcIALYqGuymAMUhQU4FUABUvNlomLsdExtuLCfIaSwtzZc2xOP6WHnOxcqa6sNlvkgcGzcv26&#10;x1Xv/Q8+8rQt6mqOpO7tov28AUDgQs8+33r7Hbl8+apZ/aanpkr86tWyXFeErDJXr1ghGxMSDCyg&#10;Q9iXniGHDxyUE5poYBpgD2zoU3HJ94CEYbOlyhYpq+mX4gaAAmUHSg4PjVEANAAMAA32v25Ht3Cq&#10;/q7s3Fehx7JWFgZHyaaJ0yRNwUGq/2TZo7eMje7yDZW7PhHy2zGxNpkRoPBzMwoOUPidT5xc9AmX&#10;2omRUjdziTRu2CqXymvk07fe9fq9PE84AMGAnp4flANoWcSYCrtrSlPbNm+1ToQD+w9KYWGRdb4w&#10;84FzjGFNBkBv3fEYNX30iXU5ABA4N7y9phOwCo/fetsmjB4/dlzmzZ5rgtr16xAuYpDVYPobb78X&#10;N3694YIEN36x8Udti4gPh9sWGY/bqau1kVqDPbtThTn7sAOUFJxyAqUF2sQwnWHiIqK/7Unb7SJb&#10;V1sng4Pn5PadewYKSN6IzUYKD53wdtH+vhiZTNgvojN64EkqCNdIFO3t7cZcbN28RZYsXGigZt6s&#10;2VbyACDsy8gwHwQYA0oJlCQABSPDGzhwolKjAjfGqnYpqRtUkHDzD9oEJ1qGY8S2vMb7kpHVLOvi&#10;U2XZjKWyXFfka8ZOkiQFCZkKEk76TTVmocvXo08AKKBRQMz4nxrMVWBFPzoQFwIm0A/APHhL9D82&#10;AAr/4jNdPvKJlktjI6UxKE5Oxs2VziMn5L1bd+V3+n38Xr8Xb9/ZyHC+dxI3jAHCQ77Djz/51JI7&#10;EyJZ0fM9IkCkAyEvL9/ErfhqrFm5WvbtyzSNQUdHl5kiITocqS9wXmNkeDsWJ9A6oIdhONcBBY2z&#10;9VyJ0XObdt3jJ7KloanFbYF040/CBQlu/GLDKSnQmYDGAMYAUHBCL4iZ+/Yba7AhYYMm1VXWtghr&#10;AP0KOLCuhJmzrK6P0RHT/HKzc6SstFxXdJQThuTGzWFh2MefWhLgwu0ABG8X6ecJ9kMyYJX46PFb&#10;Npa5S4EN/e+MkM7WY8nJyZFDBw/Z8QEKUhS8IFSEOWAaZPaJE1KoiQfGAK3BD4ECb1GpK2iAQmlN&#10;jxQ3XBlmDdAnAAje8hr5TQ/lSOGg7N5fKQkJabIwZp7MVZCwQwFCvl+gFCtAKNRb2iJrfIOlTcHC&#10;NZ8Io/m/84mRvx0TJ/+koGF0/KvGv4+ZIf9DgQSAwVuSfxnBTIe/1dd6xzdG6idEyo6gcCnfkyEP&#10;FGB+q0n6t7pq9/adOcH372gAAAboC+4yPfPSZentPS2VFZVy9PBR88coLCiS6uoaGw/e2NhkYAEN&#10;AoO7Tp/Gi+K6dSfghYDbJowB++b88Pba3xc8F9aivqHRwAgeHnEKErZu3irZOaekqbnNfi/efktu&#10;/HrDBQluvPEBY+CwBg5z4IxiHjg7pAChVyora0xnwFAlXOcQ8gEEEB7SukgED7cwAhS4P0EfRxKm&#10;D/2sggJW8O+//6Em7i+erOYcYPCi4MBZATr7+O3vfm/sgbnnfeSx18Ugh9q0UdEKBjBhYijUntRU&#10;8+I/sH+/Jp0jZpQEY+CAAoc58Jb8ny+qpLyqTUrrzpto0aNNeDpIKND70CVklV+S5H3lMm/BWokc&#10;HyDJw6ZK1RoFflMly2+KZChw2K1RrsDhgm+oPPL1gAW6DEbHtz6x8lc+cfIPGggM/9cfMQuUK14O&#10;cGB/sBm/VbBSrwBmpQKcE4lb5VpLu3zx4LH85rMvvH5/JG+H/QE0Mr+B0tO14XICAABwt23LVmOl&#10;KA2ZvqCg0Oy3cdmkjPDe+x88mfXAvjjHHGDwoucYz0X/wLlEhwTaBuzAad1FlJuXX2jeHy5IcGN0&#10;uCDBjTc6HHCAn4GjMWhubdfVWZ3pDI4fO2msAdazGxI2WoKFIXCMjhAh4oCI1wF95jgg7tu7T06e&#10;yJaKsgqjZk05/tbb5m7nXLhf5GI9OpyLN/vjAg4ooOUNrcFpTSqMG4Y5wBSnVBM+q05MmHDSwyyn&#10;vp4WuCopxEkx95QUU79+KaBgdFRKeWWTlNX0DYsYb/8gSDjVeF9y6m5L+ok2WZmQKrOi50l8YJSk&#10;+QdKngKCFr8Qa4esUcBQpP8DHro1IePKeM43TC76hv9JYOvcofe3a1zwCZfHPlHypYIHShX/oaCB&#10;koS3pP+8QSkD8MF+z+hroqcoWLJa+o+elPtdvfKpAreR36HD+CAKfPDwkU2AhDGAIYB5KtfziCjT&#10;wNcA+22ssBEj1tbUeboTrl637562RwAG58SLgoLRAchgn4gj6+saZGfyTlm6aLGV1Cijpe5Jk8qq&#10;GjMJc22Z3RgdLkhw440OByCgN+jo7JGq6lqj45mbACigbRFnOQRadCeEBU/zMAcwBvo/lCtCRYAB&#10;LWWMXb6kSZqaMRQvynPayaBqHRdELt7eLsbPG+yHCzj7hqG4ffuuJpc+W+lRj2a1F782Xnbv2i2n&#10;cvOeTIK8efOW3H/w0Oybr1y5Ki1NzcYevDzm4E+joqJeyqvapbR2QIoarytIQJvwdJBQ0PzIyg6H&#10;Cgdl8558WbJim8yLmSczxk+R/X6BctEnQj7QJH/PN8IAQLcCBoBChUapggZKEqPjkN9USfCfLCv9&#10;J0ma3xQp8w2SIU3iMA9/7xP30lwc0SUAFOi8uOsTKRX6OlV67I3rN8tAdp68o+fbyO+QVlSEpIDJ&#10;HgUHuBwial2iiRhQCnNACyPArq2tQ/oZpHTxstzR75vETRkBl03YI84xh516WUAUEAMAZVQ1wAQT&#10;LUpqdOoAmA9kHtDj6jS9DnNIvP3O3Pj1hgsS3HhjwjE68rQtDj2xR66mbbG41Oj4jIx9slUvyrR1&#10;QemyWsLHgNvp0bF2gWQVtXb1GhP8pekq6pSuwps0ASMiow3Nqf2+jIu0E+yLiz9JgIRAyxpaA3rh&#10;zw9dsH54BGo1urLM1eNBWJaRniF7du2xlSd0NC57lB+oc3N83/32d/KYKZDdPc89Jvp5g3bIyopG&#10;a4ksbrisIOGBAgJHxOgdLBDHq65K+vFW2ZiSLfMWxkvwxKmyXRN8v0+YTYP81CfG4p6ChnO+oXJa&#10;o9M3RNq9RJlvsM1WSNYAMJQocGj2myYD+hzABuUIyhD/U4OSgTcA8DyBiPIzPbYLCkSag+KkYMYC&#10;qd6VJrfPDJoDo7ljavBdOgChqbnFzI1IvLTFJm3ZJgf1uyy2AUqdxhIxthkdC6CAc8Lb+fK8YaOh&#10;nfPry6/1HP7MHD1v37lr5w2MGKzG5o2bzBHUmSVCiywdOn39g9bZAOj29ttz49cbLkhw440JdAYD&#10;Cg46u3qlprZB8vKLNJke0pXaNlm1YpUNVGIM7qzpMyU6IkpCg6cZQEB3gPJ/k14g96bvtRHM1dW1&#10;xhpQo71+46aBA+hiaOOR6nFvF+QXCfZFYndm+/O6lBPyTuXLvr2Zpn2gxEFJoYqWNwUtqN7pnoC+&#10;hoqmgwKA4NSpSQxvv/WO9J/uk7rqmueaAvm8QTuk+SZUaRKsH/IIGJ8BJOQ23JVj5Vck40S7jZye&#10;NjlI1vkHSIkm/CuafD9VoPDPPtPlb3zi5DtN8l9rUqaE4C0+0Meysr9sgCJc+hQ4oG/AoKlIV/uX&#10;fcLlG30cIkfKBd4S//MEEyJhKAAKcpw+9wAAiy9JREFUPROiZH9QhBxZt0GGFJh+99U38lv9HkjM&#10;iFcpD6FdwdugpaVNWltapUUBQ09PryVptAYAPADFyJZFtAbezpfnDfbFPgG4vA7ndIeCksKCQgMs&#10;27dtt6FOM2LjDCDAotHJsz1phyaBKhk6f8l+Xy5IcGN0uCDBjdcqRrYtXrp8TS5cvGKlhEFsknv7&#10;paGRlVq5HDlyTFJSdpk1MvqCgAkTPYBgaqCVFBAfsh1xFuxB0tZttmJiRX5eL9oPH71lCftlAoGR&#10;4QjYABzUgzE/ovWNZHFmYNAsdU+eOGkT+dauWStbFehwMWfFSRcDKnRKEE8b8uQEJZGzCiSw7AUo&#10;eEvwLzMqKuultG7A48I4bK7kDRyMjhOVVyRxyyGJDgqXleOmSKYm9lbfaVYqQHToLUmPDkoA6A6Y&#10;2AgYeKhgoV73scsvwPwXqv2myXUFCgAKSg+OoNHbvp4leD6dFP/mM0OGFJTs8Z8iuxYukd7yKvnq&#10;vQ/lNwrYaHklKTOaGZCAwREAkLZYWlat60Uf8zLOM/ZBOGUqWhpNIKmgg3PlkZ7T1xVQ9vWfMc+F&#10;I0eOmp8H5z/6G8oLeH0AnnFuTFTQfORwljS3tBtA8PZ7dMMNFyS48VoF4ADac/DcBWMMausarZTA&#10;COa9uuJO1qSauCFR1qxaLYsWLDJNQUhQsAEEdAcwCWgMdimAwB6ZRAz9yxQ8x4TGBisNlxS8XYxf&#10;RnylF29W/rS+Ma+B5FFVVSO5uXmmcKcnHqMc6tSI2ih3nD7dZ4579+4/fDLb4Yf0DySiy5evSFdn&#10;lzRqkvKW2F9mVFbU2kyH0vpL1ulQ1EzZwTswGBk5VddkV/JJWRU9XxKmRsjO8UGmPXjbJ+q5QML/&#10;q0HnwT+PmS6/HxOrQCFKen3DpELBwgm/QDmqcVYTOvfRLvl/foROgdej1RK75ls+kbb/IzPnSy+e&#10;CQPn5PNHb8t3X39r5xLfGaUjvm86GtAAjBQgevvunidGggPEs2hlAAWcL5SpqiqrJFdB8IHM/WbZ&#10;zHhofiOOSJfSAkGb78plK0zIy3hofl+UGlwGwY2nhQsS3PjZwlvrImYu6A0wOyrXFduRo8dsDPOK&#10;5StMiY3REW2KCA+tbZHZCQFTjD2gpYzZ+IizjDHQ5HyfCXjDFC8XV2q2Ds37Mi7ehHMBZ58E+4dW&#10;ZpQvQkRAwMEDhyRpa5KsWrHS2hcPHTps6nfKCVzs6ZwAFHB8JBbn+H5oBYq5Dl78Z84MGMXtLbG/&#10;zKisqJHy6nYpg03AjvkZQcKp6utyOLVQds+Nl6TQWbJpoqdMcE+T77OCBASFHlGhp/URp0a8E37v&#10;E2tCyFTd3yy/iVLgGyzvKXigOwEmwNu+niU8r+dhI97V/VHaKIyaJd1Ju+R2WZV8qOfqb778xso+&#10;fGfOdzfy/HJW/96+ux8K57kOOGD/gE8ACPNAOHcQSSK6TVi33gABvwMCtoDfCL8Pa+sNCzeAEL92&#10;nYl6aXls7+iWoQueMgO/Q2+/UTfccEGCGz95AAi4MMEY4GNAGQHKk7ZFOgyoze/ff9CGzmxYl2Aq&#10;8emxcbYS4mIHYwCFukqBA+Kw7Zp80/ekGWtQqSsq6sDQ9SjHKSlwceWi/aIXa2/Bvtgn+0aIONIw&#10;B+vc1pY2c2TkIg6TUVBQJNm6cgPA4LsPs8EYX/QJTPxjPy8CWgA/7IPX7ezofPUCRgVuFVVNwzMd&#10;LgxrE7wDg5GRX3NTsveWy7ElWyQ1eoEkTJ5m0yFvPwdIYGVPCQBwQOfB3/nEyT/6TJd/0b/fGxMt&#10;Zb7TJMk/QIo0mdNG+ZEm9n9ToOBtX88TgAVKGIO+odIYHCdNS9dKe9o+ud3VK1/r+eXte/mxASiA&#10;iTDG4PHbxoCd098Kc0GqKqokP6/AzJhSFEDjsDl7GCDAqDmAYMG8BWYvvk6BAWJeXEWPZh23cl2z&#10;np+U8BwdggsS3HhauCDBjVcaDlswMgwgXLxijAHdCQinKCfs3LnLvAqWLlpinQlxUTESFRbhWRVh&#10;dBQUbMIrQAN+BnQzIPJD4EdLGS2ElBJgDv7QAfBy2smcVZ0T7PM3mtiZ2PeOghFscxEiAnCgeglo&#10;38OHj5iDHjVryh2IEKGmGfwETc3K8MccI+zIBx/QPnlHTveelpqqak0ir07A6Bn8VGszHUprsWpm&#10;noN3YODYNJunQu1NKTlQI+VrdsnBGctk3ZRQSVWQcP0ZQILDIAAQEBPSwYDI8V19LtqE/6pA4K81&#10;rvlGSK3fNNMmVPoFyWUFCn+rQMJ5vrd9P2v8zZg4eaSv1z8hSsrCZ0r2slUyWFkrn+uq/q/43l7g&#10;uxt9To0Mzl1KTgwJo/MFoe3hg4dlY8IGY8wQ4vIbwTKcuSL8PgAIsAYIEtEbMP750KGjkpdXKJVV&#10;tfZb6+7pk/6Bc9Yh5DIIbjxLuCDBjVcSDiAwAeKV63ZR4uLERaq1rcOGyTCa9sTxk9a2uGnTZlmy&#10;eImBAERWXPS4nR4TazQqE+ug6hEg7s/c7xH4KTjAhAbGwKHqX2Q1/kPBRRvWgAs3K3dKCZ72sntW&#10;E7ZZ/00IKsusSwFXxJ1oIg4ctAl+CBFZCb7z7vt2nC+rTk2Ykc9nn8vDR4/lTP8ZBQlVrxgkeNoh&#10;KxgjXds/bKw0ussBYKDbWh4a01DUdEeKqy9J5YEKqY/fLUdnKUiYGiq7nwEkOOCA8gLswTdjYuUt&#10;n2g57xMuzb7YOYfL12NibP7Dh77RckuBQoOChCO67zbfacYAwDywjx8DFP5VX5vOi6v+UVIwOVx2&#10;x86U9twC+fitd595nsPo4JziXADoARgxUqJTAo8OziuAJS2xMFCpu1NtngPltikTJ5kAEeYAVm16&#10;TJwxCYAD9AaU52AMCgpLTHOAfwgeCPwO+T26wMCN5wkXJLjxSmJkSaH/zFlp6+i2k41BMunpey2R&#10;xq9ea3ToogULjR7lgueUFGKjYmTZkqVmRJO5N9M6E2ANOto7ZWjovNy4ectq+SRsJ/HSCUBC93ZB&#10;/jHhrOxY/Vt3wplBaahvtHZFZjqgN+D4cEVEnIiyHKEiNruUPThO+uIdIPMySx+wEJ5jo8th8JWX&#10;GywqqoYFjKdtXHRRi9PlMAwUYA50G+OkSxquSUn9eSkv75GafXnSGL9dsmYtVpAQ8swgAfbA8Szo&#10;9g2V435Bkuo3RRL9Jku2X6D067ZHvpHyhd6PfXOLgoed/pOtLfItnygTOaJN+DG2zbz+P+p+HvhG&#10;yalxIbIxLFJqjxyTd/Vc/40CR9ohvX0/3xecC5TDALkwTIBNul4Qtu5V4Mzo8Q3r1ssKTfwIcpmz&#10;QPcOLYyIEQEFa9esNVtlgHaWAoP8/EI9B2utfNepIANR4tmhi+Yv4mh/vP1e3XDjaeGCBDd+dLAy&#10;4eKDWxvAwIYqnb9kzAGDlZi2iEVyZuZB2bghURYqKHBWRMTUYS8DqFK2z52F3mClGQlRv8eljpUV&#10;q3cuqiRZh54fHd4uxs8azj4cIdqT9kUu5PraV65cs9UdpjSHDh62Fdua1WuMAn4iRDx7zmrIzrS+&#10;px0n4e0Ynjd+93vEkr+Xjz7+RM4reKr9CdogYSoQMNLlUGLixbvGGowECUXNdxRAXJWy+nNSUXda&#10;qsuapW7fcWmI36IgYaGChGnPBBK4jwT/Lz4zrMPgiN9UWeQ/QWZoRGskKhhg9DSGSp8rQECsiG3z&#10;Vt1+TLdfMpOlGGMhfqis8X0Bk4FJ00djYqTAL1jWBoZIeUamPNQV+lfvfmBdDt6+H+e75jzwnFO/&#10;MebABj+9/6FnoufQBRsFnZtzSnam7JSli5fYeHIMwAAEQQFTTYRIuQ32gLZeHsM4aZw58xWs1jc0&#10;y+n+AQPlI3UG3sLbb9gNN54WLkhw40cHFyVAAasWFNMNjc02bfHokSwTS5FMN23cbIZHc2fPkWhd&#10;BVFOACAYMIiIkIXzF1iyTUt1BIjVZgZDzzl1Wer+JGtWzS8rwY4OwAerO0oKtLF55vyfkbq6epuf&#10;UFJcIkWFxVKq783jxa/bSkqlprrWxIqACPwXTGugiYD9eXudlxlOAvr88y/0eG+YeJFWyFdprERU&#10;lldLeXWHlNZfkGJGSMMmGEiARXhgAKG0tk+qG3qkpe2MdLT0SP3RHClbv0X2z1og6xUkpCtIuPkD&#10;IIHk/E8+0+ULn2g56xsmWf5TZYv/JPNZIFnn+wUZSKjR24t6P7qBTgUJuboNR8Z232n6GhFWjvgx&#10;Bkue9stZVu5gauX+gDBp2JIsN2oa5IMrN+TrTz73+v2YC6KCRcSpWDdfv3HLfC0AvkyDxE1z3xPW&#10;IEGWLFxkOoPw0DCJCAs3xmDenLk2PnrD+g1mfoQTZ9bRYyaGxYa8ta1TTvcNPNEZOADB22/VDTee&#10;N1yQ4MYzxciViENbUt8kuDgxWKmxqUWKi8tMhEgf9mK94EXphY7yAfoCVkashmANYA+MNo2KMoCw&#10;Y/t2yc/LN/tY+s0pIwAKoOgBBiTvlyVCJEau8EjmBK9jpkcKEGifxPUwK+uYbE7cPHyB3m56CMAB&#10;rY2XFRQw458VIcAA1sFxa3xZx/mswWtzLEyrBFy9akaBLgebDFl7VgHBNSm0EdKPpKDloRQ035ei&#10;2nNSWtEk9XVN0ttzRgY0iTXk5MupDZslffYCSVCQkOn3w90N+BT8zidW7vtG2ECokwoSYBN6jDlA&#10;mxBm46dP6LYqBQU8hjkQXX6h0ug3zYBCiwKFj/Sx7OtFdQk8j+NkjPUV33CpnqjHs2KDDB05Ife7&#10;TssX733wp+fUcCmIc+rx47dl6Nx5K0WhMWD6Y/yatSZAjGGuiP4+KLU5Il1+K3iALF602ESIlOjw&#10;2EDLQ3swgBwvkfMXL1vbsAsO3HhV4YIEN54puABxIXLGL3drkhzZtsi0xX379ktK8i67qC1ZtMTA&#10;AWyBQ5HOmz1Xli9ZZkNvUGgvnD9fNm7YIBkZGboiL9FVe7/cvXffqHoutN6S4csKEjkAxBnHjNYA&#10;YHBa31dLc6vVhmELqA9n7suUA/sPyqmcU6Y5gF2gk8IxPDI9xE/AGnxfkIwYMXzr1m3p7z8j9TW1&#10;XpP7ywtAQrPpEkoaLlp5oaD5oeTW35aTVVfleGG7AqxTckIBIyWj0oJiOZWRKcfXJ8reOQskaWqI&#10;HNfEfv8ZQAKdDHcUJHRp8i/0D5QiBQU3NVH/m890c2xkOiTOi4ybBhQ0+AUbWKjS24P+U4xp4HXQ&#10;FcAG/BiggL7hbd3XmfGR0jlrmTRv3iHny6rkg/uPPCLSzz3TIBnAxTyHwcGz0t7WYToOWAMGP23a&#10;mGiMwRORbmCQ2Yijy0Gfg/gQUAoDh4EYpkelGG41t0n/Gc+MBX6LLiBw46cIFyS48UzBRQnG4LSu&#10;YJo0iZaWVsiRI1myXS9ka1evNVAwZ+ZsMzwyulRXRTAFsAaMYl69arVZENO2eOL4CbtY7tq1W/JO&#10;5UlHZ5euyq/K2++8a7VaWINXvQonqdJtQEkBnUF5eaUcO3bc2haTdyTL4UNHpLCw2Ebrcj9lDxgO&#10;RIg4KZIM2MfPwRp4C4DKZ59/YZMhL5y/IE26Yn3VrZBYNJdXdUhp3VkparoleY335XjlFTlY0C+p&#10;B0slKWmPbNqwSTZqwktclyB74hPkyJr1cnD2AsmYGmrJHmHhD4EEzJIekJh9Q62sUKvJn7KCaRU0&#10;af9mjIKIMZFSp0DhiN8UKdT98piTCkK2+k+SDL8AueQTbroG3BMpHXh7rR8KQALtl1/p8dz2j5K2&#10;aTMlb+4SaT58TB5eu2nMF6OiL1y8pAC6VfLyCkyACCgAHNOh42nt9fw+AM+UFWL0/6V6/+ZNW0yA&#10;mJ2dK2V6La5raJK2ji7rCOo7c1bO6jloAkR9LUC7t9+pG2687HBBghtPwiklAAigMAEFsAa9p/vt&#10;YlVf1yilJeWaTE8a/cko5rmz5/6hlKArIv4GJAAM0B8sX7zU2hbxCygpLpXW1nZpbm6RouISOZWX&#10;J51d3bbqgj0AHHhLgC8aDu3rdAAAQD740NNmRsJn7DKmRjAG+BtwQaekQN33uAIZOhjODZ03poEE&#10;8FOAlxcN3iuiOKb/oU1oa20zz4SXrU1gFDUjqcs1SoorpLC4RnKLWuR4ca+CgzOSfrxNUvZXyZaU&#10;o7I+YZvEr1lnZj6b4tdJZkKiFG7aJqcWLpejgRFSqYn8PZ8/zG6g+4B2RWYz0EnwNxqwCLAFD3wj&#10;TZNQrSCBssIdnwgTIzKjgcT/mzFxMugTKgW+gQoSghSABMk+/wBZ7T9RtvlPlm7fEPmN7utffV58&#10;+BMgAWDy9zAYvjHSPCFS0kKi5NjmbdLV0GxAErMjmwK5/4BsStxkzAA+BsxNoDMBcBAdHinTo2Nk&#10;7qzZ1vYbr5/N7t2pes6dVOBVbXbklBIABC5b4MbPHS5IcONJABDopT43dFGBwRlpaesYXmGz8s+w&#10;SXKYHdF5gN6AaYsGEHRFBDDgordm5SozOoKiz8nOMSMhRFpYyFIvHxg8a/4GtXX1Ul1TI+cvXJQP&#10;P/r4yarcWwJ80QAgOBQwQkSAAZqH4qJiyTqaZWwBXQpMYqy21sUmAzA8xjOkxyOY5PmO1uB1BgmM&#10;jkYwee/efTNWamxo9JgreUn2LxqAhDIEnPmF+v3myZEj2ZK+95hs3XlU1m09JKs37pUV61NlXeJu&#10;2Zq0W/buPWCfb52ClY7cfBk8kCVNaxPlVGic1ChIeH8ESOCWCY6AAgY1MU66VZM75YTbvhEyqLcF&#10;foFWpuj1DbUJkpgcUUbAx4AWSUSKPOekPo42yFUKEjb5T5JK32ArWTBOmtkPowHAswQgAWbjP/S1&#10;fu8TJ43jwiU+IFhWzpojSQoIdqXslG2bt9jskGWa/PH3oFsHNo2YGTfD2hmx5d61c7e5ip44kWOz&#10;SRh33qwAA/dRByDQLeSCBDd+7nBBghseBuGaZ7DSmYFzZr5SoxctnNqgP9fHr7eebJTWoUHBnlas&#10;aSESTujKCPp06aLFRqsi7MMvoNNKCNcsOWMti7COFkacCU/39elrdEp3T4/cuXvPAMKPpex5rsMc&#10;OK1m0O/YJd+zIUsXTNCXm3vKPBoofyRg6bx9hw1bYrgSsxYoQXhKCd8+0Rqw3x97fD9FcHxMHERF&#10;j5dER0eH1NfWeU32zxIAgifMga6OAQfFBYWSl5MrJ7KOyYHMg7Jnd5ps2rRDlq7YKLMXxFvMXbRO&#10;4jfskD1pB6WwqELPqSF5dOeevN3dJ+8UlsvZrbukJGKW1PlNkw+HQQKBH8K3Y2LlvIIB9AXHFAzs&#10;85uifwfLBd9w80hAoJjhHyAVmvQvKojAepmSA2wCrMLfKWigtJCrjwMkrFGQkKDBnIg2vxB5Rx//&#10;7/o4byDgWQKgQLkCK+gGvzBZMG6yTJukoSAAwSEBo+b8RpzAFIx22T170jyMgV546UqgTRhAcFnB&#10;OQweQmBHgOgCBDdeh3BBghtPBInQnCXFZWYOBP1JjRSXQ9zcMDpCiEiwQmI7LYs7knbYgJlcTRy0&#10;AnZ1dtv8fJK/I+wDBLASp6wAi9Da1qaJY0CuXb9hBkUkY29J73mCZO4411FOwJyGGf811TXWNUH7&#10;IpPycEBEQHbixEn7u1aTKOZICCbRGnC8r4vO4EWC48Yzgc//7Nlz0trc8sLaBABCqX5GRfkFkquf&#10;WdbhI5KZsVeSk7ZLogKsTRsSbaDW5i0psn5LhsRvOSQJO7Jk064cSd1fIMezS6Wuoc0S34cKXD48&#10;c04+LK6W80l7pCxyttSPAAkkeYY1PfaJlCoFAAgOaWMEIBClGpQQ8nQb2wn+RqcAo/CPurJnhQ9Q&#10;+GRMjDkylup+UvwmK0iYJEkKGA4pUGA7rIM3APA8AdDo9guXhHFTJHb8JJk2YaJMUbDgaemN9Bgd&#10;rV6rwHmTlbDSUtNNj4MAkXHn+IfggghA8PabdMON1yVckOCGZ9DS4JBUVtYII5bnz53/RHkNc2Bm&#10;LrpCAiAAGDYoOMByuLioRFpa2mwmAVayMAZO2+I3Cgx+852nbdHRBFzVxF1RWSmVVVUm7nLG6ZLg&#10;vSW85wleA4CATwFOhzU1tXaMa9estWFQsAenck/ZzH+6E1Ce81iOmR52QIzDHAAO3kSAQAASAEuU&#10;cG7dvGUjpA0kvABQACQUKsDKUUB1MHO/7ExOlvXx8VZWiggNtdv4NWtk64402bm/WDKyO+RQ4aAc&#10;r7wsBTXnpLKuR7p7BuXW7Qfy8bvvy0cDQ/JhyZ+CBCyTEQTS6kgSpzUSM6Qqvf+Sb7h1KZDkd/sH&#10;SJn+TWvjYf+pstZvkjkuXtHn4LTI6h69AQncWhV9IuSY71QDCYv9J8gy/4lS7xsif/8SQMJ/6GsM&#10;KUjIGDdVlipIiFCQgFDXxpXPXyBbtyZZxw8CxKam1ifiQ/xEmFviWCS7AkQ3XvdwQcKvNKzEoBco&#10;LlToD+i/PnzoqM2gBxxQS0VnAGuAuxt1VlZE+/ZmWksbUw4BB85MAkSB3hIrSReAQDIGGJRXVEiN&#10;rt4xlSGZ/Zg6P88jubPvBw8f2/GgKqdNEQDDxMU9u3abUc3J4ycN0NDmyIAlAAqv722/b3LwmQB2&#10;GBz1yOY5DFjJ4fu0CU5JwWENTmXnyPGjWQYMMlLTZHfKTmMPqLdvWOepty9kpaznyo6kJMnIPC4H&#10;c1vkWMVlyam7bV4J5S3XpbZ5QE73KYC890g+ff8D+XjwvFeQQGL/B03qn+nfaA2wXN7mN9mcE9Es&#10;DClQOOUbKFkKCAqGRYmAhGQFDZgrMcKZEgVaBloU/32YUUCjcNonVLL0uWsUKMweO0HyfYPl8zGx&#10;xjqgL/AGAJ4l2P8t30jJHxssm8YHSJwCBUoM8/RzAUQfOnREauiMUXCALbIDCrz9Ft1w43UOFyT8&#10;SgOQQJkBFqG+ocnaGfE3mD1ztvVt07O9cvkKTbDJ1rKIsI95BCTZmwoMMIeBnnfcBZ9WMmA7intb&#10;4Z8bMsFia1u7lR64j5Wvt+c9S5AQ6YqgjbG9vdNsbTGpQVleXFwyPEOhSwYGBq208eixZ9bDyAmR&#10;3vb7pgefKe/t/fc/NA1Iu37eT3NhBCA4eoP83FOmNaCkACBgFPfKZctl+ZKlBgg2bdgoO7Ylya7k&#10;FEnbvUdBRKY9Pje/SnIrBiW3/q7kNT00U6Xy5mtS09ivAPSc3Ln7/SDh/2jC/WufOHnHJ1KBQYjs&#10;VZAAUDir4OB3Ch4+HxMjd+0+TfgKCnYpODjuH2jdEbkKGNL1f7QKWDN/4hMlf2vixJkKGGbIVwoI&#10;zo0Jl916/0z/CXJUgQb7oq0SoOANADxLsP93faOlxT9UMsYFypzxkxVch8vqlaut8wdTsd6+ASvj&#10;oTdwdAbefotuuPE6hwsSfqUBQGCePLXRnJw80x8wRAa6FNc3NAfYv9K2ePp0v5kHAQocQODU7J0g&#10;OXELc0CCol2Qx35qEwrfMh+E7p5eYxHa2jt0Nf/AWACH3h+d6H4oHKtbyhwdHV2moKfuS9sZIIGy&#10;wsWLl2zmwvcd8y81eH8AuDt37hpIam9ts+FPjgixtLjYRIgFp/JMb3BSk/3hAwdlb1q6AQG6VCjT&#10;LNCVMcZXgITtW7cZgIBl4HklhUUegFHZKsUNlw0ceGyZH0pZ0xWpaeiV3l70Ho/kMz13Pj574akg&#10;gS4FRIW0Kh5SgLDPL0D6fcM0ycfIX+t9f+sz3ZI7Nsw7FRTkKEho0efnaNKnFLFLo1TvO+cD+xAl&#10;/zBmupUw6Hxg3kKW3jdbQUKG7rtPwcQHxjq8OEigVfNz3xg57x8mJ8YFycLxAeYuSrvnwYOHpLqm&#10;Ts5fuOwCAzfe+HBBwq80sHOFQThxItumyC2cv1BiIqMlKjzSPA4y0jLMefDipctG5X/00SdP3AWd&#10;ZOstMQEOWKkDKBhffP3GTWt7bNEkVYWIUBNTTW2tgQbKBCTw52UTeB26FtgHvguUP44cZm6+p5Wx&#10;t+e03NDXfXe4DPJ9x/xLDd4rny1swu3bd6TvdJ9ZNZeVeDoUcrOz5Ygms/TUVAUF2yQhfp1NHExM&#10;2PBHATCg3AA4OHrosGQfP2EAgdIEAMFAR1WbFDdeGQYJj6So+b6UNlyQqto26enus/Pnq08+k8+G&#10;LitIqPGqScDzgPkK6AtwSExXkFCsif20JvRHmvT/WpM+uoOrPhHSpEACsLAfi2aNkwoYiKP6Nx0R&#10;rb7T5LY+jjHR7JfyQp5fsOkS6Hio0L9v+IYbMPEGAJ4l6MTAw+GeX6QUj50mS8cFWLcPbqKwWcwu&#10;oczg7bfnhhtvUrgg4VcamCTBICSs32CmRwgU6eVGmb1ML3TlZeWmNSDpjxTzjQxviQkhIgDhjq7w&#10;z547b6wBfgj5BQVy4uRJOXL0qBQWFUn/mQEzKWK1y/5H7+v7goRPuyKlC0yP0lLTzMERnQTMwZfD&#10;HQqjj5fwtr9fYvBe+Vz5/tBf4MKINgEGgbICAAEh4ro1a2x+AAmOVlZHawA42L93n4ECAAFliafF&#10;SJBQ1PLQpkKW1g1KRWWD9HR1m0vld/qdfHFRgWHpn4IEp/0R+v/dMVFS7hskqf4BkqpA4YCu/NEV&#10;/JUmdEyW/sEnzlgAuh0W+0+0IVEwCvX6P2WIJQoEABjVvsFyS4ECUyG/VpDA41fqfTgwwlQw+wGn&#10;Rm8A4Fni/9Xj/Xs9lo98o6R+bIisVJCAJoHfEiZjObl5ev5f8Prbc8ONNylckPAri6ELl0xMRZ82&#10;bY60ajFXAbEianW6AGhnxPyITgWS7ciVPsmHbazOPQ6GH1vLIS2EsAYwD4xLptWxvqFRSsvKJC/f&#10;AxCOZmXJwUOH5KSuYknwZwagoh/ofr58AkZGJrrRwesCQnjNnp5eOXLkqJk20bWA/uDq1Ws2TId9&#10;PS878UsLvic6TAAImEKhSzil32vm3r0mNtySmCiJGzYYe7B+7VqJV2AAc0CpIX1Pqhzaf8AAAt0N&#10;MAajtQwj4w8gAYBwR0qabkhN85A0t/bYUCNYn99+9a18eenaU0HC/9XEC4X/WwUDGCK1+IZYm+MB&#10;BQGAhiGfMCtHfKeJGedEuh6KNfFn+wXJUf9AOWxMQqCNh6bjgaFPNb7TTAjJ1EZ8EhIVINDpsEGD&#10;537kE6PJ3uN74A0IfF/AfvxXnxnynW+sdPqHydpxUyQwYIoJfjEaO3z4qHmOePsNuuHGmxQuSPiV&#10;BLVRgpGy5RVVsj/zgImszBQpJNQ6GTAXKi4ulStXrz9hEUg2DlXv/P3tb76z0gOPuXHzlpUTHMag&#10;orJKysrLpaCwyMAAwAD24PCRI3Lg4EHZf+CA/Z2Tm2utkOeGhmwwEckfx0BvCc8JXvf9Dz404SSG&#10;TczT371rt7kkPsDa+eNPnwAEjtXbPn6p4Xw/zncE4MIU6v79hwb4+LxgWzbod7xw3jxZMHeurFqx&#10;QjZv3GjlBEABWgP0CZQT6HJwSgqwBd7AgRMGEhquKEBgRPRNKWu4LE0dF6Vv4IIxPpSVHJDwYekf&#10;NAkjzZQwKSLx0lrI6v/9MdHS4jPNmISDGggTOzTZf6Tb/2nMDHNOfFdBQ7VuW++PFwKahGCzbsbJ&#10;8YiCizT/AEnR2DGsWSCwaZ7uP172Koh4oM//3/qaLzL0iWP+Xxr/rEBh0C9CEsZNlSkTJkrg5ACJ&#10;jYwyh1ImNbqaBDfe9HBBwq8guFChsj6jyQJBFRMN1+sKkg4GPOUZyrQufp0cyzpuxkJ0DHiS9u9N&#10;XAhjwDZ67zE/okuAcgItjcxegBUoKS2V3FOnLPln5+RI1rFjxhpk7t9v4ABgwP+ABOd/HtfS2vrE&#10;VImOg+9LgJ999oVcvnzVWIOTJ05a7ZfOC9wUKTH8GhkEBxDAGniYnY/k4cPHNr/h3Lkhs5iuq2sw&#10;3QY21DsVECSsW2d+B9u2bJHU3btNawBjAChAY+ANCHxfeEDCZQ+LoLcVDYPS2XtJrly7bS6bHBcg&#10;4YuL1+SDkio5u223FEXOMv+DkbbMHqBAvZ+WyOnGKJDwsxUg7NVkz1yGi2PC5dMxMfI7nzgzUDrn&#10;Ey6pev8Ovb9IH4srY6NfiIkYARZpw2ABgSMaB7wWFipQ2Kf33fSJNG8F5jE8L5vAsQIu/sNnplzz&#10;i5Sd4wIlUkECpkrMakjRzxlzMlofXS8EN97kcEHCryAcLwT84enfBhBgExsWHGIggbn2TGPEZIhO&#10;BMch0fE3wFcAdoE5C2gJ6FIYKUQ8mZ1jCd8BCE5pAUAASAAQHD9xwrYBENjGfTAMlCOwaAYo0Anx&#10;tEQIYHn7nfc04dXbNMlDBw/ZIJ3e032mbaD8QbIETHjbxy81+Fyc74nSDXbMuEg6pRg+J3QbtISy&#10;vbKiSooKiyQ/L09y9XsjCkYAhB9iDf44Km1/5dXtUlJ/QYqbbkh5/VmprsNu+KI8eOjRnFgXi4KE&#10;zy9clXeLKqVv607JiZwpJZrU3x4BEpzkS8L+75q8KT0wJbLTN8SmO6IlKPINki4FArAI+CFQMuj1&#10;DbN90R65X5M/DMUV33C5qNsBDQTliWu+gI5pBhxwa0QkaUOfdD+wGCNBwA+Fc5zMgXjoFyUnxgbL&#10;ivGTzX0xYlqIJG1NkvrG5ieuii6j4MabGi5I+AUHFyYAAixCXX2THD16zLwQcFOcMnGSWcjGRERK&#10;Rlq69PcPDM8t+OIJe0A9m8SDxoByQn1DgzkmIjwEDJDkHSAAAAAkABCOHT8uhw4ffnIfrAKPZ7vD&#10;LuzLzLT7eXxxSYn09Z8xNoGkN7pcAACgvHHr1m2b1rhw/gJLfv36HPQQHOvIxPlLDYc14PMAGPCZ&#10;oM+AOcCGGpBH6+fhQ4eNKYpfGy87tu+wCZywCXhcXL58RS6hG6Etsq1N6mprpVq/U+8g4PsDgFBZ&#10;Uasgoc3GRZc2XpTqxj5pbm6XCxcumy03jBTH+ekHH8vj3gG5djxPmhK2ypHw6VLgH6wg4I9BghMk&#10;YMyO6E64pyv+UgUHgATmNsAQkOCxcf4bTfKYJp3zCVMg4XFXxFzpHd0vds2IHDFZojzxW584ua5A&#10;odIvSIFEsJxT8IDOgX3ACow+hmcJjvED3xip8ldgMH6qzMUvIWiabErcLGUKonpO91snkQsS3HhT&#10;wwUJv+DAC4GVTHtHl7U6orqm9x0dAl4IGOUAEGpr6uTGzduWpAEKj99627QGdCd0dHZJdU2tlROK&#10;deVeUFhoYIDE7+gMSPz8z3YHCDjBY7hvJHgYeT/3oV1oam6RmwoCPv7E0xY5EiRQWycRAmSyT+ZI&#10;4oZEc1Sk3u2McB6ZTH+p4YAlgMHtO8xmGJLGxiYzkTp65KjNqKioqDSGJT+/QMpKy02vQQkJwymG&#10;bdEW+s6779mkyPPnz5ttc1Nj4wuNlK7Ui0dlRb1UVLdKRW2X1CpA6Ow+K0NDHsMtSg2YbtlYbgUw&#10;lSdz5fC6DbJ35nxJmxImRQoSRjMJTgASKD1QCqDVEI8ENAk5CgRgFRAjPtJtAIHf6v3vabJH7Aib&#10;wHAoHgsg+ETv/2sFBzgxEh/o4876hUq3X4j06C0Mw9cKMl7UfRFw8ZmChA7/UMkcFyhLxwcoSAg2&#10;kJZ7Kt8mOw6eu+CCBDfe2HBBwi8wuCARMAjtnd1SqskieUeKlRhoc8Rjnr8BCB3tnXLlyjVrHQQg&#10;MBgIrUF7R6exBrQuktyPHM2ykgGMAIl9JAiAUXDu42+HJeA+nst9BM9zRIzcwj7wN4FdMwLIBw8f&#10;WdlhpLaAXn9GN1NqyMnJlb0Z+6zd0VTzv/vj7otfQjgaDIc5gF0BCAGWKLkA6OgeAbTR/klvPor6&#10;tD2pJlDkuzt/4ZKxQB988JGt5j2zNH73JD755DMPUBjyAIXamhqpek5GARahsrJJKqtaFEg2K9DT&#10;hDg4JLdu3TUQc+v2XWMvmptb5ZQCmS0K7uJCw2Xx5EDZNj5QSvynydu+3kEC4dEozJL/HDPDSgKs&#10;+ut8gw0koC/AD+GeT4TNafi9BuOkaYcs0fsYJw1Q+FQBwH9ToPE/dD+4JOK0+LZvpNk4MwOCsdKw&#10;DXRW8HrejuP7ApDwjW+snPMLl+yxwbJ63BSJCAwyUTAupjW1DXJGPxMXJLjxpoYLEn5hwcXImerY&#10;1XNa8vILbXb9siXLrI+bfvj5s+fI5sRNVpu+cPGy6Q0wJho6f8EmJ2KbTNJGa0Bid5K6k/D522EQ&#10;SPRsd4LHUk5wWAIYBGcfIx/rAASHWcjLz5fGpiY7Bla6JDInWTLqmYFNzGLIyyuQ8vJKmzQJi+At&#10;yb7J4QADBxRA2d/RhIsepEe/T8yj6mp19a4rf6ZYojfYl7HXXCYr9HOhbMNcDMAEeoCnsSyUKz78&#10;8GPrfsCZsru7W5qbms1wyRsg+NOolJqqegVurdLQ0KbRLA31TdLU1GLBRFAmb544dsKMuTjf5s2e&#10;a+r/2eMny+ZxU6VkbMj3ggTCAxQ8tD5AADFjm0+I+SAU+gXKaU3y2DlTckAESWmiRcHDMQUSNb5B&#10;ckuBwzd6H6UJnB1xWYQ5YPQ0LZa0TLJPZjHwOs8LFAAxv/WNk6tmqhQi6wEJUwNl+bLlsm/ffv0d&#10;Vcnp/gEXJLjxxoYLEn5hwcXowqUrNnGuWpNJSvJOmTV9prU5okOYPWOm7EjabtQ0sxig7NEcNDQ2&#10;GnNA+2JRcbEld4AA4QAEJxyQQIIHADgsAf87SZ/HsJ398DfMgqNbgHHgbwdo8BweC2vR3NJibAa6&#10;CBImIOGSvh+sbhlLXFhQpEDiookVSXTeEuCbHLxnKyt88ZW9R9473RxZDKvavcc6Omj7BBxUVVVL&#10;R0endTFA6T9+zFTLT0yjwWcDQABweHudJ0BEgRavA5vU19snjXX1XgCBt6iUel0lt7a0S1tbhw3P&#10;AsidPJltx5m4YaMNBsN7g+4Z7L5DAoMlYMLE5wIJBKUHR8wIa8DKv0vBAYxCkSb5TgUFNzXpf0Fp&#10;Qe+/6BMmeX5TjW1o5z6fcHNzBCRg2IQJ0nl9/E59/jq/ydKrf9PlABB5EZDwV7q/u35RUq3vZ6O+&#10;r4gpgbJ00RLZsydVf0ulNsPBBQluvKnhgoRfSuhFiFYrWITTfWdsRgKGLit0RcPqjYszgQ8/wrbW&#10;1jaraUNd92hyoMuA5I0+ACBA4oYRIJE7QMABCDAAJHduHeDA307S52/nOQT/O+LGU3l5FiNBAvvk&#10;f57DcVDuQK1Psvvyq6/lzJkBSdUL7ob1G6RSEyNiRVgEkqm3BPimBIDAKSU4QlESNkwAEy1P6/dC&#10;8oUxyNRV6W5Nvmlp6TYCu6ysXHp7T1vtH8tsPgsSP6DK22s9LXh9DKjQK1y/dl36T/fbnIeWpmYb&#10;CtWgoKFekz9TJNEtVCpAKCsptW6I4sIiBW2FBjgxtEIXkbQtSZYsWmzlLJgryltoYCJCwiRYV9ic&#10;g3ETJsmq8QFyZGyQXPCLMM3AP/hMt0RNWYFAsOhMc6QUAK2P8dHI9khMlgACxQoUKC2gS/g7BQn3&#10;fSKlTcEBAsVCjWb9m1IFjo34MGCChL0zIGH18LRJwAev9bwCRkACoINhT23+obJ1rIKEgECzOU/e&#10;kSynThVIt36PLkhw400NFyT8QoKLED3ZDJWprWuUffsyZc3qtU86Gbg40+64bMlSydbVXo8mGEAC&#10;DomIE2EQHEGiwwgQJHDYAIcRcBgEJ6kDAvibZI8WwQEObOd+nsN9DpMAQMBPwQEJ3O88lsflnsqz&#10;FkvYBGY/IKLs6uqRzMz9sitll7S1dxpAcJgGb4nvTQmSOiJNp32R76OO9sXDR2zENWCukCFKrNyr&#10;a6RREzffG3V+hKUkdp4La+CwLs8LEnie082CURWf+U0FKRf0Nfr7+qWnu0c62js8pQgFCxUKTgoL&#10;CvQcOmmalo3rE2TNytWyesVKmxbJaHFYAxw8Ya9iomKsG4Vy1/SYODsHQ4aBwjoFCoVjg+Wyf7iu&#10;xCPlHV2Nv+8XbfGhJt2vfWPkr3xj5Z8VQPynz8xh4yPPmGZrjxwTJV0+odbtkK8xqMn+fV/dh0+0&#10;vK2ggNZI2Iajet+Q/o3AkX3BSDAP4oSCC4ACLZLMhfhnTfa8hjcw8LSABfkXBR1f6b7PKuDZrcAn&#10;MmCq2TNj9oVguKOzxwUJbryx4YKEX0gYSLh8Tc4NXZCiwhJZH7/e5jAw9hmQEDRliukRmO4HSICm&#10;7tUVzsDA2ScaBCd5k9AdIEDCh10gkbMNRoBbb0DAAQkjQQXbCYeRcAyX2LfzGjzWeV32W6crWESM&#10;MAqXLl/R1XSr0e0kz0Hdzur3RRLizxkcK6CAFb/TvohDJKwIbA6TNukiobUT3woYn+1J23Ulmmfg&#10;4NzQefOrABTAPPAZsL8XBQdOOM/9ve6H/QJaYDTQgVy8cMk6SjhX6uvqpbSk1BiDLP2u9mbslbWr&#10;10ikgoGgKVOtnZb5H8Ya6LbY6BiZM2u2rFi+UrZu2SY7FeAtX7rcgAPC2akKEqaPnyTbx02RfE2s&#10;Nf7TrEOgxz/Mot8vXC5r0r3vGymfABY0gf+rJmO6HSgLcAvTcMsn0rQFhzXZ0/p4VhM+HgqUHfBF&#10;OKwAYY9/gDT6hshD3RedEgghaYvET+Gk3t/r52mF/Cu9D3GjNzDwtKAM8u96XLAh1xXoZAASJk+x&#10;IWlr18SbgVVbe5drqOTGGxsuSPiFhMMkDJ2/JAUFRTbqGXp36uQAjckyIyZWVi1fIVuwMt65y5JR&#10;WVmFdHf3WhKuqq42TQCJHCAwkhHgliTuMAIOEGA7fztAwEn6I0sWPJ772M42nueADmffBK/rec0T&#10;ptpn7kObghdU/NTkbUWtq9ir1268kQwCx4zOACEiY7exSqbkU1lZZe2KBQWF1roIfZ+tq09aPWEV&#10;mG9x7fpNY1RwvWTV723/LyMAMF999Y0dIxoHgAsGTMzy2L8vU5K375CNCRtknYKYlcuXWyJ0AALz&#10;Pxg1znlHi+rO5J3G/hzX91JYVCKFxXRiZNj9M6fPNPAaNmGiLBw/WTaOD1CwoMl8XKCkD8deTbaH&#10;NOgYqFHwcMY/XB74RpnXAUkZkMBQqC/GeDwS6hQEMBkSwDDoG2ZdDff18ZQSynyDzWypWkEBQ58o&#10;bXyh9/frfbW6vVtBwlXfcPlMgQOaBW9g4GmBhoFx1P+k+7ynr5epxxsxMcDYFEoOqXvSpamlzQUJ&#10;bryx4YKEX0gAEtAjDF24rEmnyMoKTpkBTcKyxUt09Zdhojcu8NSNUcTTSkiLGuObESySrB1GwEnk&#10;oxkB/ifZ81j+d9gF/ifhAwL4G4Cwd98+u28kKOAW/QOsAn8DIAie49xHWQKTJcR5JCoCi+H7Dx6+&#10;sSCB6ZgkX4R+mEJRs4bxWaHgDRdJOjfoXrh48bJNTqT7gPZFmIfffOcRIRLe9v8y4je/+a0BGfwN&#10;OAbOC2yvGfrF+cSUSHQGgIJpCkA5rzjHYBOWLFoiWzZvlf2ZB+38q29otjkh5xS0ck7SBoi5UEbG&#10;Plmzao1EhoXbrIOg8RMlZPwkCdUIHxERwxE7bpK1FQIc6hUsPPaNtiTv6UaYJf91zHT5nU+saQzo&#10;VFjnN8kAwR2fSHnPSg9R5oVwUgHElmFGAWMlOhxu6fY+vxADCQghH+tz/tsLgATYB3QOb+mxHfAP&#10;lnAFCfiQxOjnxRh2RrK7IMGNNzVckPCGBqCACw/sARfi/jMMWcL4qE7S0/fKnJmzZfL4CRaUGljB&#10;HdXkfkiT+uZNm/RCvVpSdqTIkUNHJDf3lK1iAQkkaWfl7wABBxxwC0BwkjmPcUCCAyocZoD/uQ+g&#10;wOMcdoHt7IOSA8ZMvMbIsoMDMOx1svR1NElxbAj4KD+88857ry1IgLanDMCK3NoX3/vASgS4HOKG&#10;2N7eaY6ImByxOs86mmW6A8ooJSVlxurAlPAenVkUL1pG+KHgOCktwE7wenfvYq50UToUwOCkmJOd&#10;K/v2ZsqmxE2yeMFCEyJSKggJmmasAe2MKPjRI1BOoN2P0eNcUFrbOq27hvKXc75ynlKbLy2rUHB6&#10;yLofAB74O6BZGB3zZs0xUBI1LVTmTAmUlROmSNrYQGMVrvhFyuea6BEhEv+mCfoTTfodvqGSpUAh&#10;TwFBhe80GfANM30C+gNYhL3+lCSmyQ3fCHnkG2nlh2sKFFpt1kOgsQkYLnkDA08LQIJT/nhfj+Gw&#10;goSwCZNsIiRAIXFjonkluCDBjTc1XJDwhgZ2yzAHAATU03X1jZp48yQ1LV1WKwBgZO3EseNk0rjx&#10;VgMGFBzXJE1yPnDgoOzaudMu1HQ/sKJFpwDlzSqeJO2s+EneJHqCxO1s5zEkfIdh4HHO40n6hAMI&#10;eA7J39kX98EUjGy1dIAD7AJ/79u3T1JT06zlDwMlxIuIGanJv6rE+WMD8PLtt9952hcfvWUGUA26&#10;ijx+7IRsT9phrYH79u4zFqGqkvbFLhMr4ob44MEjAxV4G5C8Hc2Bt9d5GQE7AbOB4RGOjNg2Zx09&#10;ZuUoBIiL5i+09kUAAeDA0RpMj40zoyCYD+rthQXFUqPAtKW1QxhBznhkzsmLl67aOTryfIVR6NPX&#10;amhs0XOt2F4vM/OAdWyMDs7J1StXydwZM2VGaLjETp4i8ylNjJsiWWOD5LxfhPydz3RbwZOg/0mT&#10;O0Dhsk+E5PkGywb/yZLtGyR3faNMf8B0SAZKoVvAkvmMX6g8VvDwWIFCvQIKLJ/7FGQwgdIbGPi+&#10;gNGgK+JTBS5Z/tMkbPwkY1go9TEnpaq61gUJbryx4YKENyAc1sApJ0Dd4gnPio1VSmFhsbm7bd++&#10;Q5YtW2EXcvQIDkiAFqa8kJGRIcc0uZ/QZI4mAZCAuIwLGUI0u0+TthPOip7ETiInyY9kBAgHDDgg&#10;gcfzWIcdYJuzP+6DdQBUAAYACezPw1Bk2TYHJGTs3WuT9FCIM3uA2RG4+L0uIIFjIImjEXBEiKzI&#10;EfxdvXrdmAMsk/PzC5+MaMazAoAGa0B7IyZJvJ+RQsyR4e11nyfYx+/0GB2tAV0hWDrjrokF9pmB&#10;swZiTim43Js+LEQMC7cOBMoJAIOo8EgDCnN1Zb908VLZkLBB9u7NtPfV0NhsSR/jLs5NzlHO1ZEx&#10;8hx2woCtAgpq9Qwdg10YHadO5UuGHhPn6GIFLIBe/AfiJk6W1eOnSKF/iNz3jZZv0CiMmWGDlv5N&#10;QcO3ChTQJzA+ep9foPT7hpvBEozBgIIApkrixghQeKgg4V0FERUKKpL9JkuzPg/DJhI+gkRvgMBb&#10;eCykZ8lnI0CC03K8dvVaqaysMZA08vNww403JVyQ8AYEF18myZ0dumglBb60Eydz7CJKzXP9ugSz&#10;5qXtykxrgoJtJQNAICg5xERGGb27dcsW2a+JGoU6+oQETV4kMGhRm644nMABAiR6J+GTuNnmJHuA&#10;g8MgsJ1w2AXnOWxzQAXP4fHcx2NgDRBKjmQueCz7Z588bpce36ZNmzQp7ZOKiiqbJUG9/HUoN3AM&#10;6AVYjQNe6BIh4RYpYMMvgFo+iRRLbI6d1TZaBB537dp1Ydw2AAHW4FW8HwDCbxV8AGIcwyTAC66N&#10;6DxOHj8p6anpsiVxs7FM0P5m263gAIBAuyLlBM6tHduTrZzAOQfAgbXC7tsAgoLWkQDB2/k7Oig9&#10;cC4DdjEaAjCMjvaOLgXA9ZKfVyh7dqVaC+UMBStRgUEyc/xk2TJuqmRrQh7yi7Cx0WgUCBwVbyso&#10;qPKdZmWHXI1yBQSUHm76Rkijbt/vjwlTkJUd6J4o0L8T/SdJpT4OQSMlDESR3gDB6HDKDegSPrBy&#10;wx+DBD7b8vIqe88um+DGmxguSHjNggstF5OruvK4ohffy3QswB4MnJO2jm5TinPB3rghUebNnWcr&#10;LEAB1CZ1UEoLJijT1WDAsHBx8niPRwJK9Pn6nJ07d1rpARfD9PQMqzvDNEDvpqenG0ggUbPqd8oM&#10;MAJOAAAQJJLISe4keodFcIAFQICEP7LMwHYHWLDd8UzA/tkDJv4gbOQxe1JTJTEx0cACTn4I6egM&#10;GLnyHp0cX3Y4r0MihzngtZ1WQQZisSLH1IhRzPsy9hnzgdPg5k1bTFOBBgGHSGySnWFU7If9vcz3&#10;4O0YYTgQP1LKOHd2SBo0uR/LOm4WyegMAJScM4GTp5jpkRMI7lYsW2Hg4PDhLCkprbBywtlzF2xF&#10;bOfnMCh40dWx89ynBa8DMB5QIFFcXCY7dqTIksVLJTo8UqZNnCwxEyZZ+SF/7DR5xzda/sVn+nDH&#10;g8cBEZ+EJt8QYwiS/QOkfViYyKyGdL8AyfYLlHMKHBgpjV/COv+JUqwggfZJOhX+h4INb+6LbMMb&#10;wSkxYPT072Om63PirJvigH+QCS8RZfLbW7VilX1+Dtvi7bNww43XOVyQ8JoFF8dzusrq7Ttj5QSE&#10;iLQ0Uk5I3ZNmI2hXLl9p7WaUFYgFmvjRFtCeRpsazADTHrnYY6aELTNggoQQq9vWrF5tQAFG4dix&#10;4/b3yuUrZJWChOTkZEvkJHVAAomdhE3idhgBgAD3c8t2Bwg4IIDtznNGlhm4n78dIMB9gATAAkCB&#10;5ziAhPsAItu2bbNITk6xGjY0PqLAn8pMidcg6ZJwmaBIiWBo6Lx0dnZ5RIhl5eaISMmH76kg3+NA&#10;WF1dY6v2K1evmRcCZkUc86vSGXCMvAblBEDBE9agstr0JvsVWCJUXbd2ncyfM89KCI7hEecHpQRG&#10;S2/dvEVSd6faWPEiBaSUs9o7e2zVj87A2zn7KgIQwm+B5MrvIL+gWFJT02Wlgpe4qBiJCZomUQoS&#10;do2dKs1+ofJQEzTgAAbgXzXJ0/GATwKOi1kIFn2nSbcCBECCo02o9/P8TfmBEdS0Q1KawEuBLofR&#10;IMFhDTyMxXT5dkysdU/c8Am3dsoyv2mSrMczR0FChAIEgAK/KxglPr8L+vkBgLy9XzfceF3DBQmv&#10;UXAB4UKMELG2rsHqstR/N25MNFDARR3F9LSpQVYvZiXIdlavWPUyARD3RDwFmHNAW9qa1WuMMp6n&#10;iQEmgf70mdNnyOpVsAYZpgugn53Rtqt0G/Q+oCE1Lc1aIUn4TlJ3SgkAAf6mTEAy5z62oSNwQIXz&#10;HB7DfeyLW2c7YIB9wEIUFhVZ+YH7eb7DMvB/ckqKJCQkyLKlywwEVVfX2rRKgAKJ0VvCfFnB6pzX&#10;ILnjHcAQLLwNUP7vTNlprYF8zlhGAxIADgyeuo8I8X2PCJGSxGj2wNtrvWg4bATH6GE27phJFsOe&#10;sHLGPGt6dKyVm6LCwiVMzx8rKeh5AECYETfdzJtIwNknc/XzrZP2jm5rX6QkQJJmRQ+r9VPS5Q6j&#10;wGuev3hZ+gfOSllFlezaucfO67jIaAmaMEmWKFBIGzdVGseGyPu+MfI/fTzUP94FlA5gC9AhMMsB&#10;46RmTeSAh15N6vyf5hcgWXpr1s56Hx0OH2viBwSMBgloD9j3P+p9X/tE20yINn0O46tT/CfLOv9J&#10;Ej92sllOz1KgEKQggTJJtp4vDFvj83RBghtvWrgg4WcIZ5Xkqc0yeXHAarD19U3WS37yZI6NQ962&#10;LUmT+RoTFwIO0BY4wIBa55ZNW2zCHi2MqNNJDjgUIpijbJCwfr2VEkhk6BF4LuAiMjxc5syeI9u3&#10;b9fn5sqhQ4dlx45k2bhho64m19q+cfsb6ZdAcndAgsMUsI0YCQQcUEHwGJ7DNp43cl/ONkACQAVG&#10;gfvZDyCBqZAACUoOMAloJwBDtA1Cmw8MDFrbHmOkWUF/993vrAb/Y5KwAwg8FsUfPanj9/X1S1tr&#10;u5k6MX0RkAAoO3jgkLEbMAl4ODBzAQBD5wD7etmA4EkpQY8RnYHTYslwJuZbUI5BM3D0SJZgYb16&#10;xSoDB5SawoJDjD2YPXOWMU9oWPBo2LF9h37/R6S4uFQam1qkr39QLrxG1DhJld8Kx9PR1avgscCm&#10;mlLSCVGwM3PSFFk5IUAOjAs0l8bPfWPlH3zi5H/pip9kzjCoC8NA4aQCAQSL5/zCpFWTO3bNuDFi&#10;6wyjwLZ+vxC57xMhf6v7oJyAOyNzJPgffwVaKtEynFGQ0amPrdfnMZqafe/V/WwaO8WAC7bTgQoS&#10;Vixdrr+xPGMGKRu6IMGNNy1ckPAzBCCB1dnguQsmRKzQL+H48ZNWeycZsvqg/YxSgaM5MGvlgCl2&#10;4T+4/6AlpqbGZqOUaaO7dPmqrXSJ5uYWOaIJd4eCABIsIAFGgf7z6bGxT4AC9PL+/QfksCZsgAIM&#10;wtIlukrTZLJ+3TpL+k55ACDgLdmPBAKEUy5wgINTlvDGLnAfgADTJJgDnstjHSaB56RnZEhGxl5d&#10;FWca87Fty1ZZq8CJ/xEDMggJESC+ApgB/ZgSBAAB34AHDx8bI4DQMCc7R5K2Jlmg4aBNlNfFqpjW&#10;wcv6uVOCcEYz00VAIn8VrAEgAQDCQKZ79+6bRTXzFAAFiE5hWlYuW26WznNmzFRQGGWsAQHQRGm/&#10;fdt2E7weO3bCav0A0zYFqL2nz8jA2fNPAMJPyRr8UHAsBGU4gEKJHjffR4z+NqICgyV2YoCs1tX7&#10;sbFB0qsA4CPfaGMS0BXACDBGmhbICk3mFZrUq/SWMdNH/afIIY08/RuQUKsgoV7jkj6WOQ/oDTBu&#10;+lKfz9AogAFlCzQMAALEjx0KFJgoeVuBBZ0U6f6BEjd+kkx7Um5YaToiWAR+8y5IcONNCxckvOLg&#10;osBF95Ku9lhJAAw8zEG3rv4bJS+v0Oh+tAbYuDJvITw0zGhhygusBGEAoIZjI6PN7pYkRfvarVt3&#10;5OGjt+Thw7fkvq4or9+4KecvXJTm1laj72l5TEpKMrp+/fr1lvgXL1yo+woxwLFwwUKb2odegMfv&#10;1+NYpiCB16UckZaWZskcEOAkcEACyZsyw0hGgMeMBAL8zXb27YAKB1iwL+5zQAJMAqDAAR3sm+Ph&#10;b57P45lhcPLESevjZ9z1po2JcizrmDkxwiogaGRUMgzAJ59+ZmyA41YI3f+b737nSd7Q/iNW5DyG&#10;5M7zAAfXrt0wK+QmBVoAMTpAlixcZKJOgEllZbWBA0oKdCcALLwl9B8bAAyO+Rs9fgAQx0g54f69&#10;B3L50hVjNhibnbp7j7FEnCewTXyvgErOFwAmGhT0KVglI3jNzc2XyqpaE8EiRHyTkhZAAfatu7ff&#10;gBF+DjNi4jy20BMnS8J4j4cCkyXxO6AtEoEhUyXf1iTf6xtikyFP+E81cHBA44hG/jBIYKLkSb0P&#10;34QH+vjfjIk1ISPtk90KBgAZx2Af/AJkh0apPgc3R3wYYC0+VmBxdFR3A54SXFfRI8CIeHtfbrjx&#10;OocLEl5xcGGjpEBbV72u/OkBx88+PS3DbGzj18TbRX7enLnGHFAjptMA7wIMZUjce3UFTWkhIX69&#10;sQiI4piUyARHkhoWumfPnpP+MwN6Ae2VhsZGS7y0M25KTLT9UXrYvWuXbNywwZgCLmAklkUKFCgt&#10;kJhZ4W/dutVDRSuggIXYpc9xtAYOUzAaCJDs2T4SBDjggeBxlBW4D8AA8OB+/nZKC4AEHsNxODoH&#10;9sNjcV3MZ7ZBaZl1ETDfgGBVn5eXb+ABgyKcGevrG8258JImUoADUw1NH/DJZyY+pCuBgK6nNICZ&#10;UH//GQMbUO7oQAAk0Pa0CjIvogQBX3WteRvgiPj4sWeOAvt5VUJEAALAgNe6eu26zVGoq603ZoMS&#10;0w79zhL0HKF1ESDg8TRQUKDfLds4f2iPTduTZqZHmBchQkQESJKFNXjTVrYcK4kWcEN7JEBhk4Kf&#10;WfqbiQ4MlrmTpkrCuACp9A+Rt3yj5Pc+cVYugFX4vSb8t5kaqUDhuAKBPf6TZZv/JEnWW0ADQkbK&#10;D7RCJuk2ygdVftMMCCB+pFxBh8Rp31Dp8wmTQZ9wBRJRNj2S0dWIGb36JKxaY0whCwWXRXDjTQwX&#10;JLyk4AJAAAqcGioXYfrIsaOtrKoxrcEevWhzATedga746Emn7YyVH8mbC3zS1m3WdQAYIIF1dnZb&#10;MkSIxuCf8vJKsylmQh/TEhmC1NzSoqvfZmlsapK6ujpd8VaaaRKdDgAPbrM06e7ZvdtKGVzA6HYI&#10;0dXn2jVrLZGjC8jMzDStAq2Ha9eulY3WgrjrT0SMTsIHIBA8n4TPdh5HcnfAAOADAMAtj3XYBR4L&#10;IOA+mAOAAsfgABBAAsF+ETcy9On8+Qs2IpkOAxI7GgXKKajI8XrA1RDQwH0AqXPnhgxIQc9jIkQd&#10;Hx0DjojU8gEUfLbJO1JMv0FA3aPzYPAVr0e3AK2EOCnCSjjlhJdRUuD5BGCDoGQCOwGIgR2y8dF1&#10;9ea7ADCglABjwOrZZihoBE/xGB8hSF2qgHObgoPDh49KcWm5nhNtpjNw6G7OS85PztM3MWlxzLAJ&#10;tEZ2dvUaUKDEEhsRKaH6W4rSBJ0+NlBX/mHyrq7w/8lnxhPbZNiFK5rcERoCDtaMnWhiwywFCXQ2&#10;ZOj26f4TJNJ/vCzQ23i9b/MwkEB3cNE3TD5UYPBbBRzoFBg5TcslbAVtkZ8rKDnmmim58QsLFyS8&#10;hODH74ACVmidmnhwo4M1yM45ZXV/3PY2JGy0VTqsARd0mAPsb+NXr5FtW7ZJemqaHDt6zAx42ts7&#10;9EJ4zkoIJAqmBXJBRDtAbTw/r8CAQXdPj64O2wwcELAI9fX1utKq1eSXZ8wAQjUSKDMCMtLTjTpn&#10;9UmyASjAZAACsjUZWyLXJE6Xg3knrF4tO5KT/6hswGMcRsBhGEj4JHOHXXAAAv87YICE74AK/nbA&#10;BvvjuZgrwSqwjefzGg7AyMsvkFpNlqyqSdassGEL6OYoL68wMSGrbGYi0N3B51VTU2sB2KrQx5QW&#10;l5jqv6G+QZqaWox14H5a/U4osMjW5/NctvWe7jNwwfRF/A1I3ICDl6kzAGSwT0oiH338iWkreH8A&#10;Q8SnZsykyR4RIiAPgECHAh4YlIRmzZhpoJLvM3HjJiuNIELML9D3oCttSlpn9BxywMEvJUkBcOgC&#10;glEor6iStNR08yPgnA4eP9G6C/aPDZIuBQqs7nFk/B+axDFJYjokUyPLfYPML2GXBiUI9AZHfQMl&#10;VsHBLI3dflOk1DdYan1DpE3jqoILbJ//RvdHeyTA4/+O8bRFOt0PXyhIOO4FJFTpAoFj9vZe3HDj&#10;dQ8XJDxncKEdHawSqDmiN2ht75QSTfJcrBl8s2TxEmMNoPbDp4Xa6o8LPO6I2ODSPseo4MaGJqOU&#10;SXw3b962+rgTDDZCWU8ic1wS0QuUlpY+YQ9GBkChoaFBSkpK7PGrVjLTf6uBFdwLKSOsXLFCpsd4&#10;yg4L5nkMlkjIdDsAFhgCZUlo0SJ9vEe3QGJ3kj3/Awb4m+eR8AkSu3Mf23k8SR+wAGhwAIQDDNjO&#10;/zwGtoBgm8NcsE9YhmxN/pVVVZZEoeJJrJ9//qV89NEn5l+ARoCyC0LOpqZm60KAIQAY7d69R9bH&#10;4w8w1+rY6BlgHABblBYABbAxfM7YKtPuSDmB8gSv4zAHPwYgOIzByHCEiJRCED+e7us33wWEhRzv&#10;koWLbRxzrJ471v4aFGxGWZgfcU4lrN9gzNSxYyfNsKexqdUEiPTkY33MOYkZ15vKGjwteC+8J4AP&#10;gLxU33taWoYsnLfAxIIMWKIF8bAChZt+kfJ3mrydxP5f9favxsTJ7TGRgh1zjh/WzaGmQSjynaYA&#10;QRO732Rp1W2Agm/1sX+t8U/6vH9XkIHOgf0ADka3SLogwY1fYrgg4TmDCxQXJ/rHB8+d94gQO3uk&#10;trZBiopLrSVu9649koA3wey5EjYsILP2M026C2lf1JUfxjZQ5ZjdnO47oxfza3Ln7n1ru0OMeP/h&#10;I/v/xs1bMnj2nCW+U7mnrGWNFf6WzZstodfW1Um9AgKAwWiwwAobVoCEn6TAgGQJuEhNTTVBI4wG&#10;FzIYDTQItE0CEJjOyOvQakm3wxYFGNznJPORQICE7jAC/M19bHfYBUCCAwTYRgAsnPv4m8c/DSTw&#10;GMAEUVpWZi2e3/7mT1f1AAeMhEi2dCZQamjQ1XhpSZmBK8DYRk2qeBugBzl+7LgxCIAvhIpYK7//&#10;wYemMxiZ3F9WcKxOeyXABntpO9bzF6VbAQrnASWFlB3JxuwYqNRzBxEi8xSwTKZMtEATIW11DIzC&#10;YKuoqFTfZ4v09PbLkAKDXxIY+KHgvcImUM5DALwxYaMJfwHiQRMnycaxU4bHS0fJ34yZbi2Njksi&#10;okQ8EQAIODHiqQBrMFdBQqJfgFz0jTBgQTnh/9MYCQaeFi5IcOOXGC5IeM7gwsTFuFdX/U3NrVYa&#10;oJ2McgJK5sULFtmYZgRk0Pm0n2GFzKAaBv0wEbBME1eLPvdJC52CAVbCBJMOr+hq+dz586Y3YHUJ&#10;pU7CKy4uNpEhLAQrTWx/Kyorrf7uDSSw8kb0R4LcsWOHlRDMUfHAQRNELl+61Kyb6XaYO2eOiRpp&#10;nYSBABRgsgPbgT6B58FCAAJI3t6AgAMCeAz/cx+MAdsAFQAFtgMqHIbBARU8jnIDIIHtbANAAA6c&#10;xyLGHNLPxaH/R4oGWemT4J1OBZLw/QcPrQMEr4NzQ+fN7wBAgM4APQLGQzwGJsLaF/X5gI+Ryf1l&#10;BcfHa6BvuDjcXllSXCIH9x+QrZu2WMlp2TDrBKjk3InUWxw10RnQ/YLj5pEjRzUhFlidu6W13USI&#10;MAd0zlCr/7WBBN4zrZH1Dc2m2aHlEA1O8OQAWThusqSPC5RmBQofKQiAAcAQCaAAo/C7MXHyjYKF&#10;v9NbotUnVOYrSNjiN0WuKnDAOAm9wWjG4GnhggQ3fonhgoQfCC5EDrWJ8xuCKbwNHCEiq1JWMKzK&#10;cTSkBY0LfDheBLoCZJWOVz6rWQRoiA0x3aGMQEvbu+9r6C21bwMIV6/pRf+stHd2Sktb25NyAiCh&#10;vKJCkjXZe3re18gBTTC06aHC9wYSqmtqrAOAxEKSp60RBgIBI4zBurXxT/rowxQoLFm82EY0s2Kn&#10;MwI2AS0D5Q0Efbv37HkCDkj4JHESOMHfaA24j4RPUiccFgGLZW4BCCR+bh0A4YAE9AgABe5zgAb7&#10;dh7LfWcGBuSDDz+SL7/6+o8S+kga/6kxXDL4oRiZ3J8neC5gwASI3/3OQAfMAeUEgAsjoR03xEMH&#10;D9t5QXuiM2+D78E5d2h7BVxippWSsks/y5NSoedcR6endZFSAvM9OD9Hh7fz+JcYI98zg6IKi0pl&#10;926GQS2V0MAgiRk/WZYM6xOu+0bKf9Ok7wAF2IGRgW6hyydMFipI2Kog4YZPlIEJb2WF0eFMgXRH&#10;RbvxSwwXJPxAAA64IJ/uH7QWMoSIWCVDW6/VlTYWsVzoZ8bNMOEUg3NwLtyVstP88k/oxb1ak3hP&#10;T6/R4AwEwiXPYQ5u3bmrF5Ab1s5IWaGvv186u7r/qFvBCZgBvA9I9hsSEqxsAFNQUlpqJYeRjyXq&#10;6uulrLzc6u479XjwSMBR8ZAm5VOnTglqeZvxEBlltDYMBbX6wsJCGwAFYNielGQzHQhKFCR7ErvD&#10;FJDAuSWpO4JEJ7HztwMoHGZgJKhgO/fzN/twuhy43wEZDkDg9QARMCvvvPuefPb5F69s1f+iAUBw&#10;SgqYK91QMHhGQSEiyWIFc1lHsmwuAl4Pq1esNGAJkEQ8GhkWYf+vXOERIeKHcWD/QcnR8w0XTvQG&#10;XT19ntZFtAZ6Xv6aAMEPBRoM9ECFhSWydfNWidPfYlTAVJk+MUA2jZsiLX6hJlrEHIkSwuhEj6ix&#10;2ydcQcIkAwk3FSSQ+Ec/bnQAIChfwEw89o2Wg/7BEj5hsnWbwAIBtOsbmlyQ4MYbGy5IeEo4KxQA&#10;Qv/AOav7MhFvva6qqdVzcad90ebu6+oPgRkrmJ3JKZKnSRnXQ7wLECECChjyQ+IgYA1u371n4ODc&#10;+Qu6CuqTjq4u61LwBg6cgBmgHECy3rJli12A9u3dZ8JHbyABdoEuBwSOu3buMgaCQVCUGvI14VJS&#10;YGYD4IA6Lm6MlDPQOhC0UPI8LHBxa6TswHNI7E6yJ4E7YACQQDIn2TtsANsAA/xN0ncAANvQHXDL&#10;Png8wf0wDc4+nP3zfFoke3pPWxcAhkms1r0l61cdI1kHhzkAsCBCRPBIqQNA2NjYbGyToyPBEpkp&#10;hjAFMAYAM84fPnsAAuBgnwJQDI+qa+qt1o4Y1uYnDAMDZig456a38/bXGoiHYfqYkZCZeUAWzp0n&#10;kaFhMo2yw/jJkq3J+5JfhGkPaIcczQ68KEiARfgPH2ybp8st3yjJGBskEZMCbMGAaDkjY5+0tLS7&#10;IMGNNzZckOAluABzQaZ1DBOkquo6TVYnZJOuAK1TQS8AXOjjomNNLQ9tjGkNDoCo6lHYX7x0xWYL&#10;eEDBO2bqc+/+A7l1W/ev4ABnxDODg4L5UVtHh7kkjk7yo4OEb14G+zxeBiR4GA2SOazB6McDEtiO&#10;bgFWYMWyZbJ2zRpjI2AK2A/TFc0HXxNWTGSk6RIOa+I+qcmapIzQkfvnz5tng6YckOCUDEje/O8E&#10;Sd0BAg5w4Bbw4AAB/gYcoFPg+SO3OyCD98l++J/n83i2dyqYQkeA2+HPBRIABoACRwMBKAAMnj03&#10;JG1t7VZOQISYlpomiQkbrc0VUEmHAhEbFWOlBLwdMNPanLjZ1PkAClr6mjSp0KXA6thNLs8Wzm8W&#10;UIVx1PatScbq0VEUO36SJI2dKmX+IXJbE/m/KiAY3b74Y0DCvytI+BsFCdf9hkHC5CnGIsC+HThw&#10;0Ays3O/RjTc1XJDgJfhBs3pDEFZb12jtjNjastpzLG/jYmKtpo93AT3tT9oXb9G++EgeP35H3n7b&#10;wxzQVvcEGJwZUBDRY8murb1dWhQcPI05GB0kfCY90s9P+YDVKcwA5QO6HLw9x2ETjupqfPPmzRa7&#10;d+820yQCMSL6BkAP74vWSJwZszQ5U3bYp0Biub4G7Am6hIyMvXL4sMcpEUAACHA6EfjfKRE4QIAy&#10;gwMEuM9hHbjPYRGcffFYBwzQYcF2nuu8Rtax48a23L5z12r8GBt5S+KvMmAPHNaAboq7+t0ODJy1&#10;7oTDhw6bERYCRMo4COhsqFawxy4ZoIA/BuK6FP3+GMeMrz8TP0kkiGHRvDjti64Bz7OHw64A7Jtb&#10;2oShSlu3JBmQD50w0diEHeOmSpd/mK36PSZIf0j2LxMkRCpIoH04fu06Yx+xwHZBghtvavxqQYJz&#10;UeHHi0LaaWlEAAXNW1ffZL3nBw8etsE58zVJcoGnfg+VyEph08ZNxhxgugMwoL+ecNiDBw8eW5sb&#10;SvrBs2elt/e0rTQBBc8KDEYGCR9jILoPWKXSTrlowQJjBioqKgwoeBMwAi6o9cMKIGBEZ8At7AId&#10;Erw/EphDe8MmHNBVPt0EeAmY9kITH1MY09LSbXWEIyQJnwQOI8DfDoMAQBjJMPD/SOBAcL+z3blv&#10;JEhApMj+2IYOAmtogERLqwckIF581SABQOCIEG3GwyefmcgURgi/hr6+M9LY0KgJ6ZTs2bXHVo4z&#10;FRiYCHHKVIkIgTWItm2ABsCBB2jtk7z8Qv2uWowxcACBm0h+fPA59p05q7+vNvvtwoJFKkiLDZgq&#10;i8cHSMHYEHnbN1r+TpM6ds1Osn9ekAALwf3/R5/3jz5x8rlvjAz4hcvOsYESPnmqzJk5y9qgAYLt&#10;nd16rXG/WzfezPhVgwQuypevXjeKkrICLom41R3UFWFy8k5rM8TRDkDgWCbbNl3B06bGChyQwIwA&#10;uhU8bXePrLUO34NzQxeszbGnt/cJc/B9moMfCisf1NWbmyAsAB4GzF7AahmNAWWFpwkYaZ+EHdiz&#10;Z4+JHuPXrLHSAYZDlCx4PyQ3QNCSRYvscbQj8hzAAUCB25SUFHuek+i5BQgADhxGwNnG/fxPAAQc&#10;UOGIGB3Wgft5LNt5ngMSuA8AAkBwQAKfoafc8Ikm71cPEhAi0nIJ6GPSZpde8MtKy8ykac+u3VZq&#10;WrVipZUPOEdgDVC2R+vniUYFILlLAQRgC1dIXDiZvIilMFoX2mmhyTkXOSe9natuPHvwOTo6InxL&#10;MDTDcTQuNFziJky2JN7oFyr3faPMptlJ+s8LErBhho34jzEz5GsFCNd8I6XcP0Q2jJ0qYQpIXJDg&#10;xi8lfjUgwQEFVxiIdNkzU2HwLGZIZ6zfnFow45rxO2BFiPYAhTLe+JQYaGVkFQjVzi0JgeRAwsDw&#10;iNUt1PO16zcNHKDCb+/ofGHW4PsCxoDxzugLli9bZoOgjmkCLdKk7q3sAHAAQEDh79Vku2b1aut0&#10;oDsCUeNOTfxxMTHWsmUCxhiPgBFBJK2bO3fusvdMqWKrAoqdu3Y9aWkk2ZO8WfWT3GEEHCDA3yPZ&#10;BQCAY8LEcxxQwXb25eyP7eghuI/XSc/IsGA/HZ2dxtqgScBUCX0Aydxbkn/W4PkOa0ApAYYCvcFn&#10;n39pQ6DwsaCkwJAnykvMigAUwBIAChAfhgZNs/OFkg26A1awnEsM8+LcgnJmheuwBg5z4IKDlxt8&#10;lgTACx8TSoW08M6KmyEhEyfLsvGTJUOBQqt/qHzsE2ODmf6XJnuMk0a2QI4GCX9gDmaZ6yLggMFO&#10;3/rEyi2/SGlQgJA5LlCWjg+QUAMJs82GPSvruAsS3Hij41cDEpySQr9eqPE5qK6p0yRYZK51qanp&#10;tppet3adicyoJaNEhyLG3W5DwgYzJCrQpNnc0moDhMy9b8tWay9kzsLp033WwkgfP25/AAQeOzph&#10;v4yAGcDnAM+EjRs3WvmA1T1aBTogRj/e0SVQksD/ABZh4fz5ZsVcoCt2WAPKFlZyUEBEkmOFnKNJ&#10;n6AsARCBSeCzSFIAQdImqTslAxK4k/ABCdw67AKPcUAA22ENeA73eWMXABbO89juBNva9LMGkHna&#10;IL/8E1Ol5w3AgSNEpKSAzsAMj1DKd3WbB0X2yWzZl7FPtm9LkvjVa83eGeaFzwnDI8oJsAYko6St&#10;SVZ6AEwUl5RbSaGr+7S1Ll64dMXAgbfz042XG4CvntP9BtD26neHxXXwpACJGz9Jlo+bLAcUKHT6&#10;hclbvtHyW030/+ATJ20KEhY8BSTAGvx3HwUGPtPlK99YmzI56BchVQo2GE+dPG6qrFIAwv5Dpky1&#10;bqDt23fo9SHfWEoXCLrxpsavBiSwgkOI2NzaYWKx/fsPSmLiZv0xL5RYXTmzCkRcxvAcbqELSYgk&#10;BwbtML+ftjbYgs7OLqvl034I7ZyTk2t+BDAGP6ac8KwBMwBrQMJHhMgsBmYzwHJUVVf/yeMBCQTP&#10;o6thXXy8gYQd27cb2EhPYzJlvMydDXuCS+RUSVi33rom6DJA9IhbJGzC6lWrZdPmzZKqzyHpOyzC&#10;SCBAQh8NBBwGYSQQIAANsAXc5+yL+9nf6OBYWtvazXCKkgPixc+/+PJHdTk4DAJgg0mPaEgwvCop&#10;LrWBW7hOAhojQkI9bYuBQXZ+wLrAGqBT4TNhhkKuzYGot6RwZriU4AxXAhw4q1xv56cbLzcACUMX&#10;Lgt21XgnIDIO0u8scMJEmTZ+oixRoLB37FRp8AuRB76RChTipMnX47joDSSgX/hnBQhf+MbIdQUH&#10;jf4hkqZAY57uJ1L3F6YRrPu2/StIWLZkmRmtMcelt++M+7278cbGLwokOPQtF2YU4tC7UH2YmfBj&#10;pcVs3779uvLeYTV2WAP0BpQS5s6aI0sWeCbqbTIL5QzJzTlllqqwAtDNGB7RpdCh/zNHgRZCBigx&#10;SpmWwad1GLzsINkDSvAyoHzAhEA6ECgfsJ37vQkYCRItzAOGTFg1H9BVPEwCpYRlS5YYm4BzJMkR&#10;TwbPcKUc00DgHkeXA62XiCUdIEDwN4wAIIG/Sfgj7wMkOKCCbaOZh5Ggwnkemojqmlp9Px6Qg2iR&#10;6YxYLNMpwhwHBISecs8904Mw+wKWgTkMH370sWkX8C6AdYApYGgTY5gBBPhV0JIK+ENUigixRAHk&#10;0SNHZYeeI3SOcG4gQsQNMSYiyspQWG/TvrhxQ6J1KUBpU/9uatHj6xswQAowcBPDzxd89mbZrNeB&#10;xqYWYxOwt46LivFobzSpr9SVf6om+hL/adLuFyaZfvodj50o6/0DpNc3XL7xiTUDJoSONxRIIExE&#10;z3Bq7DRJG6dAYFyAhEyYZOeGda4omIRBwIoZgW+hLi6adXGBQ6Z7LrjxpsYvBiTwI+TCzIUBISLT&#10;4WrqGjTJ0eufYUY1SxcvtSFL6AloTSP4m/px0rYkOawXe1aQLc0tZp87NHTREsiQJiRmKVBKOH36&#10;tM1KwLGQsct0BlDjZ5CSN6r/VQQJk9eiy+GgrsBJWOgItm7Z8kSXAFDw9lwSL+WDpG3bDCQgRKTT&#10;gcCNMTY62lbK6C14TzANiAhhLXid6MgoAxgkfYcRINkDAJxWSLY7QAAGAADgsAtsI/jbARQOuwBA&#10;AJAQgBmO97x+/thY37p919pLAQcABRiFuvoGAxGVVdVSVV1jLE6Xfu/MvADQASAYtc1zGZoFcABA&#10;PHjwUK5exQOj98kIbkABolRGeVNOmKnggAs/mhSEiJQXPIOVtsv+zAN6jB4RImLXjq4eOd0/IGeH&#10;PHbJDmvg7Tx146cLFgyYT/X1D1rZAfaQ+SowQkG64o/SmD1+kixVsLBGE/6ccZMkaNwEWT52spQp&#10;ELjgHy7N/iEKCoJl77hAc25cNX6KLNbH87xIjanD5waMJPbsgBFKDLS1dus1hLkSXJPc88GNNzXe&#10;WJBgFwC9GF+6cs1oRfrLGXZDvzludQUF0PFHNBlul2V64UdjwEXf8cVnhch8fjoUdu3cbX3VOOQN&#10;Dp6zZIRYDX8DOhVYsQ5gfNTdLS2aiKqqqkwEuG9YBMioZToMmK2AXuBpq/iXFewfIEBp4ZgmYdgP&#10;uhISN240dgH75rqnsBowDSRwAA5livj4+CfeCUyLnBEXZzbBmESlme2zZ7ASJYcVy5ZZHZ7R06j1&#10;2Q8AgSRPwgc4kPQBDtzHdkeDQAAYAAM8h/+5j8edysuXYgU85RWV9p4IAACMAe2kGBZhdQwjwHyL&#10;wbNDZl3NY3hOcUmpBUCB9wjzA5BAPOrcAhzOnRuyIU9oSKoUHGB4tGvXbvv8TIQ4LFQlzPRIP9MZ&#10;sdMNWK5esUq/41Q7T9CzAAwG9DhIAN7OTzdenwC4cW3AFI0FA7/7qLAIE5xOnTT5yTAmYvL4CTJX&#10;wUL6uKmSPzbIGIM14xVAYLVspcipNrI7Sq8lnDM4rdLa6kzlrKis1gXKaQOMrv7EjV9CvJEgwWEN&#10;AAfMVLBpjLqqozuBi8C2rUmyLn69LFu81OhhQAG1Y9oFoQJZNR7Q1SBaAloY8dbv1hUoEwIdKptp&#10;g9gq92N+1HvaWhgx8mnSJESCplsAOp5aPiAhRVfirLjZDlAYnZxfdtTra3AcMBrbtm41YyWYBI4J&#10;MaI3bQLBdkyS6I7AD4HPBaCDMBMXx9kzZpguA80CZQkYBNgH0zKsjbf6fLyuuAEFJH0SPSyBAwYA&#10;ACPZBaeU4DAITvBcAALJvbGp2T5jPnP0BpR0KAOw6gccYFxEx4Fje/z2O55WUwSMPBZ3S893dsHC&#10;IyAdlK7uHts3QAIvg0MKbGwiZtJ2Y4BgS6CHMcZCa8AKk3OFc2bNqjXGGlB2OnI4yyYvkmTa2hWA&#10;9J3RJHDxCWvg7Rx14/UJrhWUHdAncJ2ACWLVP3fmbPveKT+MBAoRaBbGT5a1Cg5gDaaPnyTRk6ZI&#10;eGCwAQOuI+v1+oLdNpMns0/mSpleO7kO8RqcG5Q8Wch4Ox433HiT4o0ACYACT9yyyXcOQKD+i2nK&#10;Kb2Ap6fvtVo5jAGCMurq0MQ2jU2THkJESg4HDxyScr1QUE7A5IgaNnH33n1NODctyfT1n7HxzNDX&#10;3hItK3kCWhzPAUAC8xQQ+lEC+Cm0Cc4xsAJHH8C0RpIaf3McsBrenmcMRFWVXthOmu6ACyT+D4gX&#10;d+3cKXM1QfKZcQuIQPNg7ocns+01aP3boNsBADAFgAAYhJFlBqczgfsQJQIS+KzY7rAM/J2XX2DH&#10;RFJ3XBTRDSBEdFobvy94DI81o6NPPzdQgdERQAOQ0NLSKsXFJQp0Dtuxk/wdzYXn3Jis50aAfQaO&#10;I+Lc2XPNKY8hXiUl5XoOtHuGKulFH0DAhf8P56MrRHwTwvmeuG7gn8B3ynj3dWvijS2ijZVzgOsE&#10;ADnwTyJAwoKCJUYBJFbPeC/AUnK97Byer3FJz4+R54QT3o7HDTfepHitQYJTUuACzQ+RlqZGRetM&#10;xWMaIzVGetHpR16xbIXM0wQ2PSbOVseIyyglMBEO05ujh49al0Jtbb3N8sct7+zZIVuFXrh4yRgE&#10;EgsrWgCCsQY/0KWAgREMAitxavyUH6jhQ/d7e/yrCMoHsAcpySmmq2DwE4kd8yRvj3cYCNgGGIgZ&#10;sbHmC8H0R1bYUOuspmAM1qzybM/LyzMB41Z9PPqNxMRNT4SIDkgACJD8HZaA/7mfW/QFHCflAVoY&#10;+YwBYsw6gAlgrgUOiogKSfrP2tIIUKArwZmfAMjr1/3Stoj4cPfOXTZxkfMAcEPt2BmsFB4apufJ&#10;TFmiAIm2Rh5H2YlzinOrorLGWmXN2+Cip3XRAQjezlU3Xv/g+2NxwXeKo+rJE9nGLNEZxAwNNDdM&#10;dV2qsXzpcv1drDaBM6zkNgUG/BbQLeXnF0qNXkfaO7qtzOkySm78kuO1AQmjETg/aJA/0+9YybV1&#10;dEl1da3H8Chll/14mV7IhR/mgHoyf0MH0rNO0uQiUFNTZ4kDEIAI8cLFy5qczku/OSF6AAEufp45&#10;Cp4pjE9jEEYHq1Q6HPBYoL4PXQ89T0L09vhXEQASVunMWOA4SPjJ23foKj3/Cdsw8vHOtrKyMrN2&#10;XrEcH4gEm/ZIokShPVlBQmxUlAKCxUaponOw0dI7km3/mzcDRDxti4AEbgEGTpnBKT2wjWMr1ddq&#10;am4xxoCVPtbGH370iTkZAgyccsJvf/f77zVHGskgEL/97e/t+RgeoR2BHWK4Eq2LJH9Wfo4OBVqZ&#10;LgUAAttgFWAMdu/ao6vKk1KhP4Tm5jax9sXBc0/KCWgOXHDwywi+Q5K5dT3o94slNqyCU6rEbpxW&#10;1j170q0L6rAuLI7pdqZyInxkJkSPnmOOU6YzmdM9P9z4JcdrAxIcUOAMVuJizY8SkRi+BtCDGel7&#10;rVefOQKzZ842RT/dCdQWqclDH8Ic4G1ADbmhodFEa5evKNK/es1uUcsjYgMgtHd0/CBb8H0BGMCR&#10;ECMjVuVrdMVKOyEdBt/Xhvgygy4HwAqaAYYLUS9N3LDRDJ9gDOp19e48lvfKQKlWBUQMpaLkgKES&#10;RkmAAcoPgCzEWwAvEiliSJI95QEe6zFTSjKbZMCBU3aAQXC6E2AdioqKzcAJ8MV3gGYAgMCIZ1b/&#10;mBc9DQyMDgcYwDKgUcBtEfbhxo1bJjRtxTGTC72eIxgZITJEeAh9DChAZAYzsmDOPGtrXL8uQQFP&#10;ilHGBYXF+j016zEOWN3aFSL+8sNZhBhY0O/cY8neooC7xlpZCUABAmi2t7R2SM/wVE6e47IGbvya&#10;4rUBCQAEfoQIEev1oo0BCgNaUA3Hr403mpukBSgggQEQAAsIkNJS0+WEIn4SRbOuWFG+AwJ6+1C2&#10;a5w+bf/T8sZ9qN9hDVjdjky4zxueBO2ZicAqnOFIdAggkrME/RMABV7DI0YssmTvEd2ttomEiCg5&#10;Ro4BgEAJpaOrSz/jfvtsoP+xXoYN4fgBWiTXSePG26obER/iPgAB3Q2pukJH9wBYQPtA+yXMwUhw&#10;gEaipqZWurt7rAWRmQes9PEsGOmQ+H2MwejgsYAKAALeBgC+Vv3+TuXmSUZaho1aXrV8pbEHaCk4&#10;bjQGqNed8wS3SAYrHT+ebUkAupiLv01ePDtkJQVnVejt/HTjlxUjgQIlCNhKyhCwCwhTuQ5hiMV2&#10;Sp0sXlzWwI1fY/ykIMH5YTo/Tug6gAEXadA8IsTyympjDTApgg7+o5JC8DRNYuHW7rdUExoAgh73&#10;8nIERN0yNHTBaGdaGC9fvSpMXmS4Em2L38cYNGiiJdk+b1Kni6FaE3RBfr5s3bzFjJnodmBVTxkA&#10;oPBTsAlEpQICWAx6/PEx2J+5X0pKSu0YWM13dncbMDgzeFYveBctAE4YFQEo6FxAy8HKG5AQMHGS&#10;tQLOmzvXZhXs2ZNqngqUVLilPosREyZSlDbogAAgwFCg97il3wFTE70l/e8LBxA48xM+V2DxwQcf&#10;yePHb8v16zetpMAkzIMHDppQFVAAsEF4hqkN50ik/o+fA7badLNQeuKcstbFTloXz7srQjfccMON&#10;Z4ifHCRwYabWC0rH0x7TkfyCQjl46IjsTNllzMCqFatkwfwF1qnASpDkBZNAUmC17GlfPCWVFVXW&#10;vogQkXY3px8eASJ/kxhJkM0KEL4PJJDsocZrdNX9PECBx5KESY4kIpiEdevWWQJjZQ9Q+KlAAmwC&#10;NVVcEZm7ADtAqyOmQ2gxrlzFmfC2Aaibt/V70NU4IAFvASyXKVOg64Cinzh2nJUcsB6mfj9vzhz7&#10;/FcsW2aeApQc0D9kpNNJcdLACKwE+g6nrICjIVoDb0Dg+8JhDOh0wAKbY29pbpW83DwrI+3Uz5n3&#10;t3LZcpvZ7wBIgAKAcuUKzzhmtAYwUfgaQB0DQGlPY6gX55/LGrjhhhtu/HC8MpAAIHACYIDzGRdn&#10;BENQeegNuHgfPnJUtm1LMlth6sYhQdNMgW6GJZoAMLNZpgkKmpt5CTjk9fScNvEhQ3gQIgIKunt6&#10;TGMwUnw4EhiQrAkSO6CA5I5zIsCAwUe0LhIwA88KFJx90m6YlpZmbn0M+SHpkjwR7D3Lfl40eH8E&#10;75UkDd2PNTOrfDocGM7EnAkMiKjhsxpn5gFsC8kcyh7r2O1bk6yM47SAAQ5YmWOqBG1P6YEVOgwO&#10;raR8H4ARgBGzKwAJDLPC5Ah3Q1b+X3zp8TdAR0DiH1lieBL6P9sd5uAbfTxiRlpSr167IV1dPVJe&#10;Vi4ZqemydOFim58AIECICKDhHGFbLLqUOfMkQcELuhWAQV1947D74pBRxSNnKLiUsRtuuOHGs8Ur&#10;AwlciLkoG2sweM7m59N2RD0Y6hd1fPKOFEs2GNrMmD7DWAMoe/r2mchI21GqJrxDuiLMy8s3mhmR&#10;msMYkJS4xVUPgPB9XQmAAurzJHSocRT7R49myYH9+y2x0srIa+VkZ9uqHCABWPC2r9HB4zEn2rJ5&#10;s1HzsB1YH2Ou9LJBAqDAtAWdnQqMes1BcEBBEh0cJOqS0lLTD+xM2Slpe1IVVFWb9wOfE0m3rq5B&#10;iouK5ZgCLpgAphbSLsqoYzoAWI1T36elFBtrZlpEhIU/MRuCWcB8iMcBijYqKLL3q9/n8azjZmtN&#10;yYGpmIA4BiahS6CbAT8DBzAAHr7++lv5SLdzP9bLiBDb29qtQyH7RLbuM1O2b9suK/R1ohUwAmIA&#10;K4gr5ysowOluw/oNsn17sqSn75MTJ3OsPRZTG6x4qTVzDrqAwA033HDjxeKVggRWb9R/aTMqLimT&#10;AwcOGRUMCHCoYi761JKhi6HrESlmZOw1T4N6VoOa2KhxAwwIygr02pMoKSVwi2L/+8oJBGK68vIK&#10;8zZgWiI1do4FCh06PS46WhbMnWeJtVQTrVN68Lav0UGpAi8A2hBZXW/csNEmLCLoe9kggfeK+2Nf&#10;v6dj4Nq163JbV+9YSCMUxHuAbgeEevgDZCkQampqtm0H9h8w7QRMAIAMZoCkj8APDQIrcsoIxzVB&#10;YzGbmXlANul+5ur3wgqexxnDQP1/iseelvo/rYbT9blY1CJ+pEsCTQnCwmZN2CR/BjBRQjDhogIF&#10;9AZ0KbD9zJlB8zY4rGCQ8dsrFaDM0fODfbJvzhEYDUyQOG5aXLHbpkUNgWttXaP1rCM643w7r+Bk&#10;tPmRt3PUDTfccMON74+XAhK4ENsMhfOXTGuACLG1tUOqaF/Ui/gRvZhjVIOmAFMbVoIEF3zo64Xz&#10;FpgNLm14zAQgocEYYLiDGNHjbTBk/5MgvQECkjHtfjAGrOwBBHQeAApQ3lv//qHDtuI14yB9LZI5&#10;Ij8mG5IwMRJK3rFD8jThO3MYRr+Ot+BxUO64EpIcVy5frmBnrbELzFB41vKFE04JwWEMeM+UU2BM&#10;KK3g+cA8iZs3b9tKnTkTt2/f021XbcxxbnaudSXwfrYoEEIjAXhhpDFAjPcKXY+4D18EOiL4DHCk&#10;5D1gWFWrAM1EpMdP2kqd9k7AHTqRmbHTjfHxTNCcbpP1ABtmUqRgIkoTO+zQlsTNJqDMzcmVKt0X&#10;moWh8xfl4sVLxn50dnTZ9uyTOfad0JXB+cC+AI4YHlEG4TUXzp1vZjcwNenpGfqdnlJw1mC6lpFC&#10;RBcQuOGGG268vHhpIIEOBcYyoyDHJnm/JqatW5NMhIgobs7M2aY5YLWKEBGqmgs+rEH2iRwpLSnT&#10;59ZqkqSXn+TYZe2KMAcE/3s0B61/klQJkjDlBGYxIBo8fvyEifc8K/sNClDWWeJOUKDC67KdxATl&#10;jt6BoUUrV6yQnSkp1tJISQKGwNtrjQ5AACJFBIwMSoKZWKhJF/8E63LQ/TwrSAAg8B4BB4ACDIg8&#10;wsNrJjzEvvje/Yfy4OEjefjwsYn7rl69rqv1IQNWZaXl5hWA6p+kbYOs9FhItLQGAhBwGmRqXcK6&#10;BNm5c5d52R8/dlJKSisUmHSaT0U/7WB9A9La3imV1XWSl+8RlzLkCFMlSkE41WFRi9iU0gSAISo8&#10;0l6XRA+zwDhuvmvzsNDHY+CE2VGyfuaM5Mbt0Jm8CHCEUTKgET48WU8fgwgRZgOnO0yPbPJiZ4+1&#10;rKFxgTVwGQM33HDDjZcfPwokOJ0KrORQj2N6hH5gu67SceajpGAiRGrZevGfHh1rbWmscnel7LRV&#10;K+r63h5GqjKch5HMF/Tiz+yETmnRlfRo1sAYA03KJj7U5AswIBEjEiwoKJSc7Bxr6UM8iE0x5YuF&#10;CxYoUFkgixctMjCAdTFCQ6x7ncE/0OyIDhmfbKK/3Fzb98jXflpwTA6DwX7nzJqlSXmmvUfYDI7P&#10;W+nCYQzQEjjlEzwcaNvs18/gwoWLNuoYluD+/Ufy6NFbGm8LY49hEDzg4Jy0k8h1Rc7nyUAiLGZJ&#10;uMwloESA0C8iJMwm38EarGZ40fZko+tLypjx0KKvyWCaC5ZwSbYkXcLRlZCQm1rarOaPAREjuFnN&#10;EzBFuGACBNA3AExI8nznJHyzQg4MNgCAngF2gG0mitTjo2wBs8ExctwYZTH7n5LC0aPH7DUpJ1hn&#10;AhbJekzO8XGsLjhwww033Hg18aNAAsIwpuIxCAe9weZNW0z0Nn/ufAMI0N0mhFNQkKQrTlaRDFgi&#10;mVFSYI4CCRLdgY30Pe0Z7QuD8ERnMBIkaDIGHKAXcASIlBIoI7A6JcFTi9+0MVFXrVvMKtmz2t1i&#10;GgFW+QgKmXWA8h8xJMACUAFwwOoZ1gEvAB5Dch+Z1J8WDnChWwJLYqh5Sg6YDjFsCaAAiHAe74AD&#10;QAGmQ5RRYAwASZcuXbHkT6vi3bv3jS14wMTD23dN8U9XB90d1VU1Jj5MT02XlB0pZoaEFgDf+Xmz&#10;51oijlNQtkiTNkBpy+atsnt4NsHJ7FwpKS3XY27Sz5oV+aD5VTh1/JHfMQnYAYOwCwhQmWnQ0tqu&#10;78ET9Q3NNuwm91S+AQaACpM2YRgoEXA+kPxhFwANMA3OQB0DLgoKVixdriBtg35PiCAzzSa3WM8r&#10;WANG7wIQGKLjlhTccMMNN366eCGQYKs3XcWRNIoKS0xvsGzJMhOYMV2PAUEY8QAQWJ1TEyepAQYG&#10;Bs7KeU2GdCb09Q9YKcFbCYHEOzpIxE7LYkFBgZUFoPQ3JSaamI1VcgwrUV3JozVg6BL3o/ZnSBHA&#10;ghICCZtbAxqFReYcyD7osYdpwOsAMIFj4ejj+r7gGGEgAAcAE0yHnFbEkaULQAKlk56eXhtHzTRK&#10;QMDDh2/J22+/Z7MNPvjwYwu6AjwtgddNuFlXV2/sBywJegJW446YkPZFPn9W6VD/y5etEAZgkXD5&#10;olmN9+vnj3bEavi6IifpPsuKnPuc1TvP+eO44THH0iROy6H5X9Q2yCkFDXsz9ulnu9nACqAFZsM5&#10;RxAiUhbBJjlVwQ7eF9X6PDQtMAbsEybDeV0XHLjhhhtu/LTxQiABBgHrUrzOWTWSoElYVosODbP6&#10;Mg5+UP4kCgYzdXR0GlPQf2bA2vFYPdPCB70+sqTgAAIYA+h7BhEBCJiuyOoeIVzasBcADoMMJqJU&#10;wCjgjQkbZIOCEo9DIGY6B839EEdA5ikgLmTsMftCVEgbJkJDEi4zCjwmQbri3r3bnsfrO8f1LMFx&#10;s3+mIgIQmJoIk4FnAmOLTXio7x/W4PyFCzZL4sbNW9aZQDmBQIR4TZMuQIo2QoyEKit0la4JFLDF&#10;ZEO6MqDjnRo+AkJaAtEFwGJgU0wdn4l1lAbwDIAxGDznKSeQeL19rz82SOLsH50A5QvKGM7EzszM&#10;g2aWhTgyIX69bFBggCkSltqAGNgofPJ5HqwGoMDba7jhhhtuuPHTxQuBBIbhVGnipxMBxbyjO6D2&#10;jQIeMRwDlnBCZBQzQ5Voc8Phz5m6iBMgpYbR3gZPGANdeSMEpI1wvyZduhHWx6+zAT0o55ctXWql&#10;gWT8DRQ0ZGZmGmMAAKCjoai42HQKDGGCMeB/VvkkWjoYADEI5hAYcsskRESLBw/g5phjbZAjSwTP&#10;Ehw7z6PEAECCRaHUQlngdG+flRFgDO7ff2i6greG5xrAHGB0xH2IFAFUWE1jVMTQJlwOF+l7RvAZ&#10;p8CAej8AASHowgULjaZ3xH0FhSXWVUIZgBU5fgFn8Z7HM2C4A+BVJWCHbXB0DExSRATJ+UKZAtBQ&#10;WVlj7w0NRU2NZ35CtwIDumKcyYsco8sauOGGG278/PHMIIGLNhdvEgAXe0RvGxI2mmqe2jJJa7Em&#10;LFbx+BDQqUDrInP+cfxj9dw1rDVwEqrV8TURY5JEIifBQv9Dpx87dsxACIOEMAZC5Y4YkoS+eOFC&#10;KyegOeB+phDiU4BjIqt/xzQJYHDqVJ4lbbQC+Bjs2sVqFuvnlbYvp6+f10DAmKePp5zxPD4JMCG8&#10;L8SHvC96/nlNVsrsH68CyiyeksJjKx+gM4A1YJIhOgRaF2EN6E44lnVcdu/eY1oCK6FERhkwIGIi&#10;o2VmnMePAJoewSDfRVFRib52s+AVQLKFquc7Gx3evttXEaNfF/DArA7YDEoSABcre1z+Q2eCE972&#10;54Ybbrjhxk8fzwwSuJCzyuMiD4XNOOJZ02daAoPypsed1TMiQDocKDPAHgASEOFRT29ra7eESiI1&#10;ASK6gHL0BYVGyTN7IHXY5AhvfvZJQse22aYPaiJ32hZJ6CRihzUAFFgM7w+QwfRCxhoDAvBoYF/Q&#10;/86+EFI6DERODuONi0yHwHHV6/H9EEj4IwFiT491JJwZHLRyCp4NvBeEe8ePHTcQwIAiWhhpZUST&#10;AWNQUVEl2SezZV/GXiub0BKI2RF+BrQQOi2jlBJ4Dxw7JZ6so8esm6S6tt66DhD3md7gwuUnngHe&#10;vsefK0j+HBPlCMAC4MA5ThcYuOGGG268nvHMIIGLObVi5qpT60aRjgANxToaBMYIs4IuLSuXzH37&#10;LTo6unTV/Ja18aHiJ7ECDjx+BhVmIQwDcOTIUTPISdIEaKvn2XNM34DZEkmW5AkAOZqVJegLnEQO&#10;C2GtkHoLg1BaWqagocD2h65gw4YNslhX3IgZWZFTqkhMTLTyxDFN3EVFf9x18CwBMHDAAcwBAkS0&#10;Ff0DA/r5nNfP6ZrcUiAAKKK0AdBB8U/phXbFoaHzZqWMA+SJE9kKVnYZqwEgCA0OMfEhIkQEiZgJ&#10;mcPg0mXWVko54Q+MQb+BNm/flRtuuOGGG268jHhmkECZgcFMuPExl5/VLd0MrPixMsazH2EekxlZ&#10;7SIirKqqMYodhz2EewgHs7NzjDFAcMisA2yCEQ7SvsgMgOTkFBMPwlTQtrhXV9iAA55HyyM6A8AI&#10;QIH9ARpgAnBS3LVzpz2XdkAYA8oR/M9rMJuBTgcEi+gWYB8YFgXI8AYGRkaTAgI8G3A+7DmtK/Yz&#10;Z8wBEufDc0Oe+RHoLbCLxoa4obFJCguKzLCJkgZtmUwwPJAJeMq0zwutAX4GaDgAAgSlG7oAcJ+E&#10;TUlJ2Sn7FGx52gHLpK6uUV+jUwGIp6SAxsDbd+WGG2644YYbLyOeGSRADXd290qFJn5aHjHModSQ&#10;oomdZMvqmCE9dbX1Ru9jmoQd76VLnimNrJzxR4CCpwMBG+DIsDCZNWOGLF+2zFb4rP7RIRw/ccKS&#10;P8JFSgiOzgD2wDFP4j4HcAAy0CsgaMSfgduE9esNiFCWOJXrKSWUl5c/2RethJQTKH14AwZOOOUE&#10;xk7TmTHksAUKfigdXLt+Q7ddMKagtLRcjynXjonWQzNy0mPBipp2UDpAmEVgroLTQowtwUwI5gBf&#10;g1WrVpvG4MjRY7YvtB9oDAbPKRg5f+lPphm6NL0bbrjhhhuvMp6LSaDtEeOctLQMS3gI6VilFxYU&#10;msEPQrwOXelipIOwDoOjkqJi0whgk2zCweEWPmj4JYsWydrVq221zyqfMgEGRzAEDiggKisrDRSc&#10;ysszrcGBAwdMsGjTG1NSTCxJvZ6OhbVrWIUnWgskgkb2x/NxZ3yaxsApISA+bOvoMMagu7fXmBFa&#10;NQEHuED29vXZdsyeYA0aGpoEG2jEjocOHDKdA+2Ha1evNQ0BQAlvAEoy1v0REirREVHWlQBowJ2Q&#10;EdlrVq5WoLNd39ch03vU1g3PJBgc0s/dZQvccMMNN9z4eeL5NAn0v+vK9tCwJoHER50fAWBDQ6OB&#10;BFT8CPVQ9sMYkLg9/gPbrJxAdwHWxfv27rVkjyHSqVOnzJWQUgIsAcDAETaShPFJwCOBxI8fAswD&#10;ND6AgP+p1zPVkSmHgAjGQNMl4ewP3cH3sQYOQOhQcHC6v19X7udsgBJaCtgR5iZQWqB9ExtpGAzK&#10;ILwnwA5tlAwmomQAuwIowGaY8cpoC6ZidDRxks1OWLJ4iSTqZ+PxMTgsOTl5epwMk2pSgNJl8xKY&#10;gwFrAHtz9frrJUB0ww033HDj1xPPDBKgts0o5/wlyck+JUsWLbGVMStiygvFRSXCVELa+dAMkERJ&#10;oJQlMFvC5wDzooOHPOWEfE38iBeN+ldAQFgpQVf9GCgVFhZauQLAQfLH9Gjz5s2yZrUm5fkLjIVg&#10;YBMsBEOiYCrQGQAsvAGBkUEJgSFSnlkJHbpq7zaGAIAwcPasnB0ashIChkamN+jpNZ1BQUGRYCsN&#10;OOA9OeOuAUsRoeEGApiIiNshbYqIET3hsaimJEKp5tgxPdaSMhMg4mXAZ+oBBK6BkBtuuOGGG69P&#10;PBdIgE0gmeH7j0eCmfvo6pnSA4ZBFy9dNrdA6HhKDGgFKDtAw2Oeg3kS2gREh7bC14TOKp9gG8JE&#10;2hqxRN6elGQzGDBQIihR0M6IAJGSBW2QT/QLeXlWogCcPE2I2KTR3NxsHQkcH90HAADAAH4OHPv5&#10;ixflzMCA+Tng3UBbJA6PHD/Hsnb1GpuNgJUwgABvCFoVVyxbYXMKmDtAKYYW0Kys4wpwTsiJ4yet&#10;i4GglIAJFcOwKCfYFEMFIggQHa8Ab5+9G2644YYbbvwc8cwggSCJEbV1jZK6J02WLl5i9DqUOvoD&#10;avd4AZy/cNEAAR0HsAwndJV/5cpVuX3nniXmVl3BQ/07egOYA6dLAW0CfgaLFi60aYozp0+3Fks0&#10;B7AJuBDS5uiIEB0WwiknjCwpOK2KHuagVdqGOxQQWdKdADC4clUT9DXmGFyz9kSPd0GlgQNKJbw2&#10;gIBZFARiQ8oI/A1bsE6PC2BABwJlA7o/cBik+wCXwwuXEBteHY5rBggc4SHAYKSRkLfP3A033HDD&#10;DTd+rngukOAEUwBPnsyxNkPa9qi3b9O/6+oaLPmScDFSQoiYoEkUkIA9863bd4zOJ2Fjl3zy5Ekz&#10;M6JVEAof5oG2RYSHdCdguwyDkLx9hwEO5imgTxhpeDSaLTB9gYICj39BjzEGzryIs/raA4OD9j8l&#10;hJaWNt1PnRQXl0qOvh86IdBXbNfjWD3sXcBcBEoFTDJcvgQdxFrTQXCs6el77XNgPkF9Y7N0dPWY&#10;oRH+BQABlx1www033HDjTY4XAgnMA6iprbf6PGwCE/3o+c/JzjVxH46ClB34Hztljy3xoA00wmOg&#10;sbHJvAqYloi9MomYFkDsltfFxw8n4Iwn3Q4IEFndwxwYOHBEiKOEiA5z0NGJl0C/iQ0v6QqeIUo3&#10;b90xkMIxwCRwDJQTaMkEyDiMAQOqnPZEWhNjI6NtOuT2pB0KaA5ITm6elJdXeUoGPbgcnjNB58j2&#10;RBccuOGGG2648UuIFwIJJEUG9mC9vHrlapk8foIm+MVWgsBA6aoChDt37tkcgp3JKUbdY7Zklsn5&#10;HgtmhI1mmbx2rYEDwAZDlmhphF3AU6G4uMTEjCOBwB+CjgQcDzuthIDrIVMT+/r7bdIizAH+DEye&#10;ZEQ1rAFMR1lpmYKXHDsm2Au6M+hMoDXRJirGxJrmYOG8BaY/YGrh3r2ZkqvvtaKyRkFIu3kXnL94&#10;+Qkg8PYZueGGG2644cabHi8EEqDTB86etyevi18nk8aNN/Hi+vj1kn0yx7oCmHTYZIOgjpiWABdE&#10;XBh5DCt3ygg4M+KSmJ6WZtMXbaxzXp51KVCOcDQH3kACAIHxx/gYnBvyjF1GD0GHBeUOyh6dnV1S&#10;VlZujARiR153hQ2IWmQeBjMUENCuiG3z7BmzbPwy7ohpaelmpZxrrEGlvl7rsNBweKLik/ZElzFw&#10;ww033HDjlxsvBBIQ3UGtNza2SNLWJKPmUfovmDtPMtIybPV+T0FCT2+fzRpI2ZHiScqxcbZCx3Z4&#10;2xbPPAa6InBDrBr2M3DEh38QIHpKCM6URdoWzQGxq9vmFzAoiVHUl69ck4u6uufvvr4zBlCKCosl&#10;I32vxwFyzlxr2QyaMtWOl78NIERGmd5gnYKXXbv2KFDJlorKan2tzj8amDRSYOiEt8/GDTfccMMN&#10;N34p8UIggYQJ1Y5NM8ZKuAZ63AVjzESJCYhXr1638dCs+PE5wHAI4d/+ffutDFFWViFl5RXCFETa&#10;DeswPBrFGtAh0d7RZXMREBvCDljL4oWLcu7ceRNHdusxmACxpk5O5Z6ywVI7k3caCKF1cumixQZO&#10;psfEmX/BPAUylEi2bGKew07Zm7FPjh49Jnn5hVZOYKJiV0+fnBk8Z4yBqzFwww033HDj1xovBBII&#10;kiaivZKSMtmzJ80cEHEZpMaPRwIAgRZDxINoAEjWAIimxmZzZqT1EM1AlyZ5wACgAOGhE44A0WEL&#10;8DK4hvvgDU9JAdagt7dPgUWj5OUVGDgAFMBoTJsa5GlTnBposxGCp0w1Pweskjdv3ir79x98Yn+M&#10;tqLf/AouPREeWnvicIuiCw7ccMMNN9z4tcYLgwSC+vz/397d/lZdnnEA378yhlu2zGAxbCMolOzF&#10;FOMqZipGfKANSzabgcqDUdBFRlkzJq1AgMp0OkZwL9xmYMvI9rf99vte7RGdly8MHbrs8+KTnrRw&#10;TvvqfM99Xw8ZJ/zSoSM1UyAh4YfTO2uWwfJbZ2teQhYgnXjjRNUDPPPU08OZN5dqM2QWJOVNPycD&#10;2ZGQdsXJroQMNErISDh4Z/xEf/nyO+PPV+rE4NTCr4fjKX5cm8Q4u1bv8NCDu+pKYfOmqZqCmBqD&#10;1B5kyuHumd11apDdCC+//OpwcnyOXCdkBPIkHCQYdH8jAPy/uq2QkOP4c+cv1NVBliylOyCdAbP7&#10;ZusaIVcCH310vU4Psi0yMwgycTF1Ax9++Nfh+o2/16lAwsRqu+K1Cg4ZunT9xt+qlTI/S/1Bnu/F&#10;F16qFcsZy5wrhIxATttiXjcBJY9zpZBOicd+8njVIxw6lDkGC8Pp3y4N5y+stiz+/v0ra0OOVsOB&#10;EwMA+KzbCglXr/2pjuqXls+OwWCuthuudjnM1GCitB6mgDF1AwcPHKyFRlmBnFkK18b/+4+b/xxD&#10;xI2aZZCQkJqDnCBkSVSKH5eWlqu74MjhI1UQmSFGO3fsrKLD7EvIiUFaFjPQaXr7dNUaPP7YE2MY&#10;uTUBMTUGGX+cAsRcJXR/BwDwWbcVEqrL4eoH1QVw4MALtfQpQSGLj3L9cHL89J9Tgbz5nzy5UIOR&#10;MlshJw8JAjdv/qtaJTONMcWJZ84s1SyFTGjMkKOsoU5nQuoZcpWQU4IavDQGg+ntO2r6YVYs58Qg&#10;S5OOHXu9ig9Pnz5TUyEvjkEjrZpp2bRACQC+mNsKCav+XG/Arx57rZYc5VN99hp8/94tNWtgMtAo&#10;q6SzvjnLj3LKkILD1T0PV+s6IcuZUuCYIUupX/jkhsU8X75O3b2pVlQ/8KMHhz17nhx+9vPnqyth&#10;cXyuC5cu176ESRiYXCFM9L87APB51iEk/KWO8RcWFusTfQoIM3/g7m9/Z3jogV3D/rn9wy+yFfHg&#10;ixUAHn1kd30/bYpZAz3//Pyw79nnqvgwpwbpkkg7ZboUsjsh9Qe7xn+fq4bseEgXQzYqZt9CRkMv&#10;v3Xu4wJEpwUAsH7WJSTk2iHdAmlFzPF/igozhfGbGzZWK+L0/TuqkHDm4Zm6KsjWyKlN91QI2DK1&#10;uQJFvvetjXfVvoQMO9p8z1SNet7zxJPD/Bgyjr32+nD6zaWaYZATgxQdJhRcm7QsfuLkoPsdAYAv&#10;Zl1CQt6gM7I444vzKT/FgwkG37t3y7Dpu6v7EHIikB0JCQAbv76hrhBynZABTFvHsLDjvu1Ve5CW&#10;xSyF2rv3mbpOuNWyeK5e4/0rV7UrAsAdsC4hIZ/e88k+rYVZgJQThbm5/cOPH54Ztm3dVrsR0pGQ&#10;wUZ3bfhGLYTK44SEhIfdjzw6PPfsvmF+PnMMXhl/qYXxebKb4dKw8naWNWXS4q1hR04LAOC/b11C&#10;wkTevDNgafns+ZrEmOFFGY+cXQ1pXbx/233Dth9sreLDyaCjvU89XUugjh//5bC4+Juau5BQ4LQA&#10;AL5c6x4SMjshbYcXLr5d1w+/Gl8gS56OHn2l2hSz6yEdDocPHx2Oj98/dWqxTg0ynnnl8rtrg44+&#10;UIAIAF+ydQ8J/ylv9rkimFxHXFz5XRUfvvvelU8VG3a61wAA7ox1DQmfJ1cHkROC9/7wxwoIeSwI&#10;AMBX1x0JCZOTgZwcTAKD6wQA+Gq7IyEBAPjfIyQAAC0hAQBoCQkAQEtIAABaQgIA0BISAICWkAAA&#10;tIQEAKAlJAAALSEBAGgJCQBAS0gAAFpCAgDQEhIAgJaQAAC0hAQAoCUkAAAtIQEAaAkJAEBLSAAA&#10;WkICANASEgCAlpAAALSEBACgJSQAAC0hAQBoCQkAQEtIAABaQgIA0BISAICWkAAAtIQEAKAlJAAA&#10;LSEBAGgJCQBAS0gAAFpCAgDQEhIAgJaQAAC0hAQAoCUkAAAtIQEAaAkJAEBLSAAAWkICANASEgCA&#10;lpAAALSEBACgJSQAAC0hAQBoCQkAQEtIAABaQgIA0BISAICWkAAAtIQEAKAlJAAALSEBAGgJCQBA&#10;S0gAAFpCAgDQEhIAgJaQAAC0hAQAoCUkAAAtIQEAaAkJAEBLSAAAWkICANASEgCAlpAAALSEBACg&#10;JSQAAC0hAQBoCQkAQEtIAABaQgIA0BISAICWkAAAtIQEAKAlJAAALSEBAGgJCQBAS0gAAFpCAgDQ&#10;EhIAgNanQsLs7P7hjRMLAADD3NxPPw4Jl9YeAACs+drKvwF/YyCUT4CytwAAAABJRU5ErkJgglBL&#10;AwQUAAYACAAAACEA98Sb7OAAAAAJAQAADwAAAGRycy9kb3ducmV2LnhtbEyPQUvDQBSE74L/YXmC&#10;N7tJ2lgbsymlqKci2Ari7TX7moRmd0N2m6T/3udJj8MMM9/k68m0YqDeN84qiGcRCLKl042tFHwe&#10;Xh+eQPiAVmPrLCm4kod1cXuTY6bdaD9o2IdKcIn1GSqoQ+gyKX1Zk0E/cx1Z9k6uNxhY9pXUPY5c&#10;blqZRNGjNNhYXqixo21N5Xl/MQreRhw38/hl2J1P2+v3IX3/2sWk1P3dtHkGEWgKf2H4xWd0KJjp&#10;6C5We9GyjpecVJCkKxDsz9NFAuKoYLFMViCLXP5/UPw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QuJJY4DAAAQCAAADgAAAAAAAAAAAAAAAAA6AgAAZHJzL2Uy&#10;b0RvYy54bWxQSwECLQAKAAAAAAAAACEAqrDTCEuLAQBLiwEAFAAAAAAAAAAAAAAAAAD0BQAAZHJz&#10;L21lZGlhL2ltYWdlMS5wbmdQSwECLQAUAAYACAAAACEA98Sb7OAAAAAJAQAADwAAAAAAAAAAAAAA&#10;AABxkQEAZHJzL2Rvd25yZXYueG1sUEsBAi0AFAAGAAgAAAAhAKomDr68AAAAIQEAABkAAAAAAAAA&#10;AAAAAAAAfpIBAGRycy9fcmVscy9lMm9Eb2MueG1sLnJlbHNQSwUGAAAAAAYABgB8AQAAcZMBAAAA&#10;">
                      <v:shape id="그림 160" o:spid="_x0000_s1257" type="#_x0000_t75" style="position:absolute;left:40;width:21674;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KH4wgAAANwAAAAPAAAAZHJzL2Rvd25yZXYueG1sRI9NawIx&#10;EIbvQv9DGMGbZv1AytYorSJ4VVva3obNdLN0M1mSqOu/dw6F3maY9+OZ1ab3rbpSTE1gA9NJAYq4&#10;Crbh2sD7eT9+BpUyssU2MBm4U4LN+mmwwtKGGx/pesq1khBOJRpwOXel1qly5DFNQkcst58QPWZZ&#10;Y61txJuE+1bPimKpPTYsDQ472jqqfk8XL73z/Xm+m4V7+njT1rvwFT+/F8aMhv3rC6hMff4X/7kP&#10;VvCXgi/PyAR6/QAAAP//AwBQSwECLQAUAAYACAAAACEA2+H2y+4AAACFAQAAEwAAAAAAAAAAAAAA&#10;AAAAAAAAW0NvbnRlbnRfVHlwZXNdLnhtbFBLAQItABQABgAIAAAAIQBa9CxbvwAAABUBAAALAAAA&#10;AAAAAAAAAAAAAB8BAABfcmVscy8ucmVsc1BLAQItABQABgAIAAAAIQBc8KH4wgAAANwAAAAPAAAA&#10;AAAAAAAAAAAAAAcCAABkcnMvZG93bnJldi54bWxQSwUGAAAAAAMAAwC3AAAA9gIAAAAA&#10;">
                        <v:imagedata r:id="rId121" o:title=""/>
                      </v:shape>
                      <v:shape id="Text Box 161" o:spid="_x0000_s1258" type="#_x0000_t202" style="position:absolute;left:14600;top:2692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lNxAAAANwAAAAPAAAAZHJzL2Rvd25yZXYueG1sRE9LawIx&#10;EL4L/Q9hCl6kZn2wlK1RRFqovYirl96GzbjZdjNZkqxu/31TKHibj+85q81gW3ElHxrHCmbTDARx&#10;5XTDtYLz6e3pGUSIyBpbx6TghwJs1g+jFRba3fhI1zLWIoVwKFCBibErpAyVIYth6jrixF2ctxgT&#10;9LXUHm8p3LZynmW5tNhwajDY0c5Q9V32VsFh+Xkwk/7y+rFdLvz+3O/yr7pUavw4bF9ARBriXfzv&#10;ftdpfj6Dv2fSBXL9CwAA//8DAFBLAQItABQABgAIAAAAIQDb4fbL7gAAAIUBAAATAAAAAAAAAAAA&#10;AAAAAAAAAABbQ29udGVudF9UeXBlc10ueG1sUEsBAi0AFAAGAAgAAAAhAFr0LFu/AAAAFQEAAAsA&#10;AAAAAAAAAAAAAAAAHwEAAF9yZWxzLy5yZWxzUEsBAi0AFAAGAAgAAAAhACElaU3EAAAA3AAAAA8A&#10;AAAAAAAAAAAAAAAABwIAAGRycy9kb3ducmV2LnhtbFBLBQYAAAAAAwADALcAAAD4AgAAAAA=&#10;" stroked="f">
                        <v:textbox style="mso-fit-shape-to-text:t" inset="0,0,0,0">
                          <w:txbxContent>
                            <w:p w14:paraId="7F3AFA54"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D</w:t>
                              </w:r>
                            </w:p>
                          </w:txbxContent>
                        </v:textbox>
                      </v:shape>
                      <w10:wrap type="square"/>
                    </v:group>
                  </w:pict>
                </mc:Fallback>
              </mc:AlternateContent>
            </w:r>
          </w:p>
          <w:p w14:paraId="5DD44F99" w14:textId="04CAB1F6"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 xml:space="preserve">Odczekać 15 do 30 minut </w:t>
            </w:r>
          </w:p>
          <w:p w14:paraId="34FE85F6" w14:textId="1C7E3155" w:rsidR="00094D21" w:rsidRPr="008F328C" w:rsidRDefault="00B053A4" w:rsidP="008A03B2">
            <w:pPr>
              <w:pStyle w:val="Default"/>
              <w:rPr>
                <w:rFonts w:ascii="Times New Roman" w:hAnsi="Times New Roman" w:cs="Times New Roman"/>
                <w:highlight w:val="lightGray"/>
                <w:lang w:val="pl-PL"/>
              </w:rPr>
            </w:pPr>
            <w:r w:rsidRPr="008F328C">
              <w:rPr>
                <w:rFonts w:ascii="Times New Roman" w:eastAsia="Times New Roman" w:hAnsi="Times New Roman" w:cs="Times New Roman"/>
                <w:noProof/>
                <w:sz w:val="20"/>
                <w:szCs w:val="20"/>
                <w:highlight w:val="lightGray"/>
                <w:lang w:eastAsia="ko-KR"/>
              </w:rPr>
              <mc:AlternateContent>
                <mc:Choice Requires="wps">
                  <w:drawing>
                    <wp:anchor distT="0" distB="0" distL="114300" distR="114300" simplePos="0" relativeHeight="251658348" behindDoc="0" locked="0" layoutInCell="1" allowOverlap="1" wp14:anchorId="2B282ED5" wp14:editId="1768E53B">
                      <wp:simplePos x="0" y="0"/>
                      <wp:positionH relativeFrom="column">
                        <wp:posOffset>1245235</wp:posOffset>
                      </wp:positionH>
                      <wp:positionV relativeFrom="paragraph">
                        <wp:posOffset>21590</wp:posOffset>
                      </wp:positionV>
                      <wp:extent cx="828040" cy="631190"/>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828040" cy="6311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3910B" w14:textId="77777777" w:rsidR="006D7011" w:rsidRDefault="006D7011" w:rsidP="00094D2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82ED5" id="Text Box 162" o:spid="_x0000_s1259" type="#_x0000_t202" style="position:absolute;margin-left:98.05pt;margin-top:1.7pt;width:65.2pt;height:49.7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wypcAIAAF8FAAAOAAAAZHJzL2Uyb0RvYy54bWysVN9P2zAQfp+0/8Hy+0jbMcQqUtQVdZqE&#10;AAETz65jt9Ycn3d2m3R//c5O0jLGC9NekrPv9+fv7uKyrS3bKQwGXMnHJyPOlJNQGbcu+ffH5Ydz&#10;zkIUrhIWnCr5XgV+OXv/7qLxUzWBDdhKIaMgLkwbX/JNjH5aFEFuVC3CCXjlSKkBaxHpiOuiQtFQ&#10;9NoWk9HorGgAK48gVQh0e9Up+SzH11rJeKt1UJHZklNtMX8xf1fpW8wuxHSNwm+M7MsQ/1BFLYyj&#10;pIdQVyIKtkXzV6jaSIQAOp5IqAvQ2kiVe6BuxqMX3TxshFe5FwIn+ANM4f+FlTe7B3+HLLZfoKUH&#10;TIA0PkwDXaZ+Wo11+lOljPQE4f4Am2ojk3R5PjkfnZJGkurs43j8OcNaHJ09hvhVQc2SUHKkV8lg&#10;id11iJSQTAeTlCuANdXSWJsPiQlqYZHtBL3hap1LJI8/rKxjTUr+aZQDO0juXWTrUhiVudCnOzaY&#10;pbi3KtlYd680M1Xu85XcQkrl4pA/WycrTane4tjbH6t6i3PXB3nkzODiwbk2DjB3n4fnCFn1YyhZ&#10;d/YE+LO+kxjbVUuN0/tPTgcGrKDaEzEQupkJXi4NPd+1CPFOIA0JvTgNfrylj7ZA8EMvcbYB/PXa&#10;fbIn7pKWs4aGruTh51ag4sx+c8TqNKGDgIOwGgS3rRdAHBjTSvEyi+SA0Q6iRqifaB/MUxZSCScp&#10;V8llxOGwiN3w00aRaj7PZjSJXsRr9+BlCp6QTXR8bJ8E+p6zkch+A8NAiukL6na2ydPBfBtBm8zr&#10;hG2HY485TXGme79x0pp4fs5Wx704+w0AAP//AwBQSwMEFAAGAAgAAAAhAL6RpU7bAAAACQEAAA8A&#10;AABkcnMvZG93bnJldi54bWxMj9FOg0AQRd9N/IfNmPhml4IlLWVpqtHEV6ofsLBTQNlZZLeAf+/4&#10;ZB9vzs2dM/lhsb2YcPSdIwXrVQQCqXamo0bBx/vrwxaED5qM7h2hgh/0cChub3KdGTdTidMpNIJH&#10;yGdaQRvCkEnp6xat9is3IDE7u9HqwHFspBn1zOO2l3EUpdLqjvhCqwd8brH+Ol2sggnLttx8Pr3s&#10;4lkeK/1G9J0mSt3fLcc9iIBL+C/Dnz6rQ8FOlbuQ8aLnvEvXXFWQPIJgnsTpBkTFIIq3IItcXn9Q&#10;/AIAAP//AwBQSwECLQAUAAYACAAAACEAtoM4kv4AAADhAQAAEwAAAAAAAAAAAAAAAAAAAAAAW0Nv&#10;bnRlbnRfVHlwZXNdLnhtbFBLAQItABQABgAIAAAAIQA4/SH/1gAAAJQBAAALAAAAAAAAAAAAAAAA&#10;AC8BAABfcmVscy8ucmVsc1BLAQItABQABgAIAAAAIQBl0wypcAIAAF8FAAAOAAAAAAAAAAAAAAAA&#10;AC4CAABkcnMvZTJvRG9jLnhtbFBLAQItABQABgAIAAAAIQC+kaVO2wAAAAkBAAAPAAAAAAAAAAAA&#10;AAAAAMoEAABkcnMvZG93bnJldi54bWxQSwUGAAAAAAQABADzAAAA0gUAAAAA&#10;" fillcolor="white [3212]" stroked="f" strokeweight=".5pt">
                      <v:textbox inset="0,0,0,0">
                        <w:txbxContent>
                          <w:p w14:paraId="3533910B" w14:textId="77777777" w:rsidR="006D7011" w:rsidRDefault="006D7011" w:rsidP="00094D21">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v:textbox>
                    </v:shape>
                  </w:pict>
                </mc:Fallback>
              </mc:AlternateContent>
            </w:r>
            <w:r w:rsidR="00094D21" w:rsidRPr="008F328C">
              <w:rPr>
                <w:rFonts w:ascii="Times New Roman" w:hAnsi="Times New Roman" w:cs="Times New Roman"/>
                <w:highlight w:val="lightGray"/>
                <w:lang w:val="pl-PL"/>
              </w:rPr>
              <w:t xml:space="preserve"> </w:t>
            </w:r>
          </w:p>
          <w:p w14:paraId="2365FEFE" w14:textId="77777777" w:rsidR="00094D21" w:rsidRPr="008F328C" w:rsidRDefault="00094D21" w:rsidP="008A03B2">
            <w:pPr>
              <w:pStyle w:val="a3"/>
              <w:ind w:left="4117" w:hanging="180"/>
              <w:rPr>
                <w:rFonts w:eastAsia="Times New Roman"/>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w:t>
            </w:r>
            <w:r w:rsidRPr="008F328C">
              <w:rPr>
                <w:rFonts w:eastAsia="Times New Roman"/>
                <w:highlight w:val="lightGray"/>
                <w:lang w:val="pl-PL" w:eastAsia="ko-KR"/>
              </w:rPr>
              <w:t>Pozostawić</w:t>
            </w:r>
            <w:r w:rsidRPr="008F328C">
              <w:rPr>
                <w:rFonts w:eastAsia="Times New Roman"/>
                <w:highlight w:val="lightGray"/>
                <w:lang w:val="pl-PL"/>
              </w:rPr>
              <w:t xml:space="preserve"> ampułko-strzykawkę w temperaturze pokojowej na 15 do 30 minut, aby się rozgrzała.</w:t>
            </w:r>
          </w:p>
          <w:p w14:paraId="1AF41AD6" w14:textId="77777777" w:rsidR="00094D21" w:rsidRPr="008F328C" w:rsidRDefault="00094D21" w:rsidP="008A03B2">
            <w:pPr>
              <w:pStyle w:val="Default"/>
              <w:rPr>
                <w:rFonts w:ascii="Times New Roman" w:hAnsi="Times New Roman" w:cs="Times New Roman"/>
                <w:color w:val="211D1E"/>
                <w:sz w:val="20"/>
                <w:szCs w:val="20"/>
                <w:highlight w:val="lightGray"/>
                <w:lang w:val="pl-PL"/>
              </w:rPr>
            </w:pPr>
          </w:p>
          <w:p w14:paraId="21B63EF0" w14:textId="77777777" w:rsidR="00094D21" w:rsidRPr="008F328C" w:rsidRDefault="00094D21" w:rsidP="008A03B2">
            <w:pPr>
              <w:pStyle w:val="a3"/>
              <w:numPr>
                <w:ilvl w:val="0"/>
                <w:numId w:val="0"/>
              </w:numPr>
              <w:tabs>
                <w:tab w:val="left" w:pos="3861"/>
              </w:tabs>
              <w:ind w:left="911"/>
              <w:rPr>
                <w:b/>
                <w:highlight w:val="lightGray"/>
                <w:lang w:val="pl-PL"/>
              </w:rPr>
            </w:pPr>
          </w:p>
          <w:p w14:paraId="679943B1" w14:textId="77777777" w:rsidR="00094D21" w:rsidRPr="008F328C" w:rsidRDefault="00094D21" w:rsidP="008A03B2">
            <w:pPr>
              <w:pStyle w:val="a3"/>
              <w:numPr>
                <w:ilvl w:val="0"/>
                <w:numId w:val="17"/>
              </w:numPr>
              <w:ind w:left="4297"/>
              <w:rPr>
                <w:rFonts w:eastAsia="Times New Roman"/>
                <w:highlight w:val="lightGray"/>
                <w:lang w:val="pl-PL"/>
              </w:rPr>
            </w:pPr>
            <w:r w:rsidRPr="008F328C">
              <w:rPr>
                <w:rFonts w:eastAsia="Times New Roman"/>
                <w:b/>
                <w:bCs/>
                <w:highlight w:val="lightGray"/>
                <w:lang w:val="pl-PL"/>
              </w:rPr>
              <w:t>Nie należy</w:t>
            </w:r>
            <w:r w:rsidRPr="008F328C">
              <w:rPr>
                <w:rFonts w:eastAsia="Times New Roman"/>
                <w:highlight w:val="lightGray"/>
                <w:lang w:val="pl-PL"/>
              </w:rPr>
              <w:t xml:space="preserve"> podgrzewać ampułko-strzykawki za pomocą źródeł ciepła </w:t>
            </w:r>
            <w:r w:rsidRPr="008F328C">
              <w:rPr>
                <w:rFonts w:eastAsia="Calibri"/>
                <w:highlight w:val="lightGray"/>
                <w:lang w:val="pl-PL"/>
              </w:rPr>
              <w:t>np. gorącej wody lub kuchenki mikrofalowej.</w:t>
            </w:r>
            <w:r w:rsidRPr="008F328C">
              <w:rPr>
                <w:rFonts w:eastAsia="Times New Roman"/>
                <w:sz w:val="20"/>
                <w:szCs w:val="20"/>
                <w:highlight w:val="lightGray"/>
                <w:lang w:val="pl-PL"/>
              </w:rPr>
              <w:t xml:space="preserve"> </w:t>
            </w:r>
          </w:p>
        </w:tc>
      </w:tr>
      <w:tr w:rsidR="00094D21" w:rsidRPr="00A5286D" w14:paraId="0FEFE2AB" w14:textId="77777777" w:rsidTr="008A03B2">
        <w:trPr>
          <w:trHeight w:val="6517"/>
        </w:trPr>
        <w:tc>
          <w:tcPr>
            <w:tcW w:w="9550" w:type="dxa"/>
          </w:tcPr>
          <w:p w14:paraId="50BC5494" w14:textId="77777777" w:rsidR="00094D21" w:rsidRPr="008F328C" w:rsidRDefault="00094D21" w:rsidP="008A03B2">
            <w:pPr>
              <w:ind w:left="224" w:right="1248"/>
              <w:rPr>
                <w:rFonts w:ascii="Times New Roman" w:eastAsia="Times New Roman" w:hAnsi="Times New Roman" w:cs="Times New Roman"/>
                <w:b/>
                <w:bCs/>
                <w:spacing w:val="-1"/>
                <w:lang w:val="pl-PL"/>
              </w:rPr>
            </w:pPr>
          </w:p>
          <w:p w14:paraId="6405927F" w14:textId="77777777" w:rsidR="00094D21" w:rsidRPr="008F328C" w:rsidRDefault="00094D21" w:rsidP="008A03B2">
            <w:pPr>
              <w:spacing w:line="260" w:lineRule="exact"/>
              <w:rPr>
                <w:rFonts w:ascii="Times New Roman" w:hAnsi="Times New Roman" w:cs="Times New Roman"/>
                <w:lang w:val="pl-PL"/>
              </w:rPr>
            </w:pPr>
          </w:p>
          <w:p w14:paraId="44D1FF15" w14:textId="53C06C9D" w:rsidR="00094D21" w:rsidRPr="008F328C" w:rsidRDefault="00094D21" w:rsidP="008A03B2">
            <w:pPr>
              <w:pStyle w:val="a4"/>
              <w:ind w:left="471"/>
              <w:rPr>
                <w:rFonts w:ascii="Times New Roman" w:eastAsia="Times New Roman" w:hAnsi="Times New Roman" w:cs="Times New Roman"/>
                <w:spacing w:val="-1"/>
                <w:lang w:val="pl-PL"/>
              </w:rPr>
            </w:pPr>
            <w:r w:rsidRPr="008F328C">
              <w:rPr>
                <w:rFonts w:ascii="Times New Roman" w:eastAsia="Times New Roman" w:hAnsi="Times New Roman" w:cs="Times New Roman"/>
                <w:noProof/>
                <w:spacing w:val="-1"/>
                <w:lang w:eastAsia="ko-KR"/>
              </w:rPr>
              <mc:AlternateContent>
                <mc:Choice Requires="wpg">
                  <w:drawing>
                    <wp:anchor distT="0" distB="0" distL="114300" distR="114300" simplePos="0" relativeHeight="251658353" behindDoc="0" locked="0" layoutInCell="1" allowOverlap="1" wp14:anchorId="7B728388" wp14:editId="732D05A5">
                      <wp:simplePos x="0" y="0"/>
                      <wp:positionH relativeFrom="column">
                        <wp:posOffset>118745</wp:posOffset>
                      </wp:positionH>
                      <wp:positionV relativeFrom="paragraph">
                        <wp:posOffset>131445</wp:posOffset>
                      </wp:positionV>
                      <wp:extent cx="2091690" cy="3670300"/>
                      <wp:effectExtent l="0" t="0" r="3810" b="6350"/>
                      <wp:wrapSquare wrapText="bothSides"/>
                      <wp:docPr id="163" name="그룹 163"/>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164" name="그룹 164"/>
                              <wpg:cNvGrpSpPr/>
                              <wpg:grpSpPr>
                                <a:xfrm>
                                  <a:off x="0" y="0"/>
                                  <a:ext cx="2091690" cy="3670300"/>
                                  <a:chOff x="0" y="0"/>
                                  <a:chExt cx="2091690" cy="3670300"/>
                                </a:xfrm>
                              </wpg:grpSpPr>
                              <pic:pic xmlns:pic="http://schemas.openxmlformats.org/drawingml/2006/picture">
                                <pic:nvPicPr>
                                  <pic:cNvPr id="166" name="그림 16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67" name="Text Box 167"/>
                                <wps:cNvSpPr txBox="1"/>
                                <wps:spPr>
                                  <a:xfrm>
                                    <a:off x="1371600" y="3524250"/>
                                    <a:ext cx="719455" cy="146050"/>
                                  </a:xfrm>
                                  <a:prstGeom prst="rect">
                                    <a:avLst/>
                                  </a:prstGeom>
                                  <a:solidFill>
                                    <a:prstClr val="white"/>
                                  </a:solidFill>
                                  <a:ln>
                                    <a:noFill/>
                                  </a:ln>
                                </wps:spPr>
                                <wps:txbx>
                                  <w:txbxContent>
                                    <w:p w14:paraId="1B62101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8" name="Text Box 168"/>
                              <wps:cNvSpPr txBox="1"/>
                              <wps:spPr>
                                <a:xfrm>
                                  <a:off x="609600" y="2654300"/>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B2E1A0" w14:textId="77777777" w:rsidR="006D7011" w:rsidRDefault="006D7011" w:rsidP="00094D2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TYLKO opiekun </w:t>
                                    </w:r>
                                  </w:p>
                                  <w:p w14:paraId="58867CCF" w14:textId="77777777" w:rsidR="006D7011" w:rsidRDefault="006D7011" w:rsidP="00094D21">
                                    <w:pPr>
                                      <w:rPr>
                                        <w:rFonts w:asciiTheme="majorBidi" w:hAnsiTheme="majorBidi" w:cstheme="majorBidi"/>
                                        <w:b/>
                                        <w:bCs/>
                                        <w:sz w:val="20"/>
                                        <w:szCs w:val="20"/>
                                        <w:lang w:val="pl-PL"/>
                                      </w:rPr>
                                    </w:pPr>
                                  </w:p>
                                  <w:p w14:paraId="3A6EE831" w14:textId="77777777" w:rsidR="006D7011" w:rsidRDefault="006D7011" w:rsidP="00094D2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B728388" id="그룹 163" o:spid="_x0000_s1260" style="position:absolute;left:0;text-align:left;margin-left:9.35pt;margin-top:10.35pt;width:164.7pt;height:289pt;z-index:251658353"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6Aq9FBAAA9QwAAA4AAABkcnMvZTJvRG9jLnhtbOxXW27jNhT9L9A9&#10;EPqfWJZtOTbiDNykCQZIZ4xJivmmKcoiIpEsScf2bKdAt9AW6IraTfSQkvxKBpMERYEC/Yhy+bq8&#10;9/DcQ/rs7boqyQM3Vig5iboncUS4ZCoTcjGJfry7enMaEeuozGipJJ9EG26jt+fffnO20mOeqEKV&#10;GTcETqQdr/QkKpzT407HsoJX1J4ozSUGc2Uq6tA0i05m6Areq7KTxHHaWSmTaaMYtxa9l/VgdB78&#10;5zln7kOeW+5IOYkQmwtfE75z/+2cn9HxwlBdCNaEQV8RRUWFxKZbV5fUUbI04pGrSjCjrMrdCVNV&#10;R+W5YDzkgGy68VE210YtdchlMV4t9BYmQHuE06vdsvcP10bf6pkBEiu9ABah5XNZ56by/xElWQfI&#10;NlvI+NoRhs4kHnXTEZBlGOulw7gXN6CyAsg/WseK77+ystNu3DkIZ9uow0TcM0NEBs6l/YhIWoFc&#10;f/76218//058T5PNfyY9LdgYf80Rw3p0xF8vBaxyS8Ojxkn1LB8VNfdL/QZs1NSJuSiF24TKAu98&#10;UPJhJtjM1I191NN91H/5A6inHnW/xk+rF1Gf1I1i95ZIdVFQueBTq1GVODc/u3M4PTQPdpyXQl+J&#10;svQ89HaTGyr4qAKegKeurkvFlhWXrpYLw0ukqaQthLYRMWNezTlYZN5lXZAYUuVAJG2EdD4+OrbO&#10;cMcKb+aI4yNi93HvDYSgd3H6jCzqicxXP6gMzujSqaANL6+nQe80SUI9basCiBrrrrmqiDcQOSIK&#10;7unDjW1ia6f4qKXy+IVcSnnQAZ++J8TvI25MJOBrDHpsW7jRegT4iyTntqCaI0rvdp9Ew5ZEd15Q&#10;vlNr0GhYF2+Y6IWJuDUGGsJ4B3WsrUxs9anbG3ZTqA/xSjRI+smgUaJWq4bdUX8wqKWq20/jevz1&#10;yFpViqwlp4f8ojTkgeKmWRXC8cBv8GR/1hdOYJeVt9x6vq6lLRm0WMxVtgEURuHEkaLV7Epgxxtq&#10;3YwaXFnoxDXsPuCTl2o1iVRjRaRQ5vNT/X4+jhWjEVnhCpxE9qcl9QJSvpM4cLh0rWFaY94aclld&#10;KOSKskE0wcQC48rWzI2qPuF2nvpdMEQlw16TyLXmhasvYtzujE+nYVKtQzfyVkO9uoHXHtm79Sdq&#10;dMN4hwN9r1pK0fER8eu5oXb1FLV3JUJVeGRrFMFz3wC9g9Xcef8a5/Eiqq+rPc6ftueM4ngJ59N4&#10;1FI+SQf97eXbUr7bGyXx0CsbimI4iNMkVNc/xPnwSuNb1s8XtaY/4jwBHdMeyu0p+aFjHt5pjXgd&#10;loJ1m5L7VaX8yHMURXiHhLP1L8Td3pQxaHy7f5jtZ9WS/fyFzXy/tI7qJbtuV4SdlXTbxZWQyoTs&#10;jyDL7tuQ83p+w80m7yM1CBfsjsf/q4G//56pBqHkv1D/eFsD94PH+347nMnu18r53wAAAP//AwBQ&#10;SwMEFAAGAAgAAAAhAOOnyTzq6wAAuJ8HABQAAABkcnMvbWVkaWEvaW1hZ2UxLmVtZuzdZ7guRZUv&#10;8PaGZz7e+9xR5n6ZK0FMw4FBDChIGMQ0ICBZEAlHQEFUDKAoQZSgBMWcc0AwgAFBUFSUJAZQFBCO&#10;jAqKYQRRZyR4318d/j1FUzucI+zA6f08tatq1Uq1atXqqup+ux/Qdd2Bk5S///WArrtkkvL35//T&#10;dWut3nWrb7n1k7vuAd2X3v933X+fNFYoBfXIv+u6Df9H1+0yafh6iO/Kz9/0f3bf++N/67ab1Dec&#10;0OdvKCvw/z3hcekkbTsBPHySDp2k89+3nG717ttd2rWl/IBu9Untv/BK5a5/f/3rX7sxjTYYfWD0&#10;gdEHRh8YfWD0gdEHRh8YfWD0gcXkA6s/eK1uTKMNRh8YfWA2PjCMbWiGsLE+XgNHHxh9YOgDrVjR&#10;gg3pxvroS6MPjD7QihUt2Ogro6+MPjD6wNAHWrGiBRvSjfXRl0YfGH2gFStasNFXRl8ZfWD0gaEP&#10;tGJFCzakG+ujL40+MPpAK1a0YKOvjL4y+sDoA0MfaMWKFmxIN9ZHXxp9YPSBVqxowUZfGX1l9IHR&#10;B4Y+0IoVLdiQbqyPvjT6wOgDrVjRgo2+MvrK6AOjDwx9oBUrWrAh3VgffWn0gdEHWrGiBRt9ZfSV&#10;0QdGHxj6QCtWtGBDurE++tLoA6MPtGJFCzb6yugri9UH7rzzzrv9nlw9sNtvv/0ebXfcccfdYIu1&#10;33OhdytWtGBzocsoY4xR94UPJF4kVtTxIW1y8NTvCz3ujzxbsaIFuz/2fezTqhGvxI3EjMSHOucH&#10;dT24o3/M7B+tWNGCjbac2ZajjRamjcSPrD3O/8p53UsPfnH3pH/Zoltj9Yd0a625dvfQtR/RbbP1&#10;Vt1Rh7+6+7frf9rvbcbxnHk8W7GiBRttObMtp7KRa1vacp1LPWvm1INbXwNrmqnKoR/m8DN3tLX4&#10;D2mG9chMXreH37Cthtf4w/6mLfjD+hCe9mGfhnipy1M+4zOf6tZ+yMO7h6z10BI3xA9JPfkGj3p0&#10;d/2y68p4oRvqG170qMvR67bbbmvC0558SFvXh2M/FU3g85m3YkULNp86LnbZ//mf/1F8qvYR5fiJ&#10;8l/+8p89zm1/+Usfb/Q9uHIJDK0Ufw1c/T/+488FJ3zSZs5FZvLZ2BZPePWcHdJFRnSrc2U6Ra+6&#10;LbzBanj0k0v4BwZPHW3dR+3sSE/w0Ib3fs9dWuKEWPHcffbubXnrrbd2z9tv3z6OnHD8cZ0xC136&#10;Hfny8IdDj7Spp1zbJLzSlrEIL+2RE1+I34QmPFp80zbXeStWtGBzrdf9RZ6xjl9k3APjF/ENPgiu&#10;Hjw2iC/VbSlrr8s1bXgHVtfju7WcqewNp8YLvxoOhl4efVMPHpm13PBJDFAPLPJCW/OKLQOT1wmP&#10;4NR8yPnCmZ/tLvrWN7trrr6qt1vk/vqmX3UPf9gjy7rk2bs9q9cV7/AJbq1n5MFJu/IwptQ6aksd&#10;jXJNG1gtt+Yf2oWQt2JFC7YQdF2sOvCHn//s37qPfPD93dve/KbuHW99c3fF5d8vfvPDKy7v3v6W&#10;Uwrsfe9+Z4H96U9/KnV473zbW7orf/iDu/nwN87/amnX9oH3vrv3PfYhyxz+3ncu63lcduklZT6Q&#10;FZ6XXHRh78Ozsas56Zp74Tcv6Pm+6+1v7c76/JndjTfcUOTiE5+v589Xz/1y6Qd9yT9zso/47W9+&#10;XeR/+APv6/nRGf2vfnljscm73/G20nbtT64pcH0L/+is/oOJLemCt/SVc8/pbv7974tONT6d1G/4&#10;xc+7j3/kQwX3/e95V4c/3hs+bsOyBrGHqWNQ9DZ+6OuEji5f++p5hR89vvC5M3p7RM86x9tYvOed&#10;by92ofO5Z3+pu/UPf+j7F75f/NyZfb/Ykey01Tznq9yKFS3YfOm32OUa68999tPl2mafnf238r5L&#10;9ylnec7wpFe8/GXFb3/3u98WP84+3b49/mwOn/j640s7msc99nH/1TaZH+bOVk9/euEXvvIXPP95&#10;nbmKp8RnZ2tbffjkxz/abbzRxoUv+pwXRMbxx7y2u+Xmm+82t8wH13I4+i0F/1Hrb1DmDz78Dc+r&#10;r/pxoTe31MHh61M9Z5XZ4xc//1mxIVx40QvPTTZ+YnfB187v6WI/83GdRy7p9SCDXiccf2z32Ec/&#10;tsDRs01kRu9nbLXV3eDsAkdcevpTn9rLF4f+/Ofle8ihjX95443dPnvtWezn3Jas6M6+Xz//K33c&#10;w/tFB72gxzn6yMMXVOzQt1asaMGGdhjrd183T2UPc2jJOusW3+Lf222zTVmDvPqVr+h9lQ9ZO7sm&#10;4vP73/978RlwYyH+hD+fsj9Pm/ihjS//5Jqru3WXrNf729b/+q8lThx26CE9LP4qfuAVvskDk+MJ&#10;fuxrjy66Zh7V87SGPefZuxfdw+Mtbzq5pyNXesmLX9S99ZQ3dk/ZcsveJuDme+isJ/QbXH7+eecW&#10;PbRHL2cDu+68U+Fv/h04iY/6dMjLXto94uH/VODsLibFPj++8ofFzvjS+7VHHVloDjrwgIIPLuEX&#10;XeTR41+f9rTeXrUu4hSa2EJZzA8P8pXF/l122rH0W7+22Xrr7qQ3HN+9/thj+r0Tna3pslY6+EUv&#10;7OW/7jVH9fIzXvOd68dQhxZsiDPWZxc/7B34k7TH7rsVP4pfZT2gjY+e/cXPl+vqysQPPK1f+LDx&#10;swap1/Ann/CG0pY5Mt36I9dVY3zaJz7W6y/GWe//5tc3lbng3PGjH/pAiY9kiis77bB99+///rsS&#10;ew543v69zONed3QnJSbp41Of/OTCG99nbrttP99mih/6al4ljomPYEn2dGKnNZfrubWH9MpDXl7s&#10;zAanfuwjRRc0+ilG4pexCFw+VfzAU39eNrkfjI4NxHNjYG0ZfeTwvvSFzxUZ1h1oyBUn8LF3NWbO&#10;ce2Xco704rvWH3iP8WN2c+7+FJu+e9llxf/4DF/QN/7Eb372b9cXX+O3/MN1DHxl4ge+m22yaeGH&#10;l2t/8c/JNY9/OjMEz1zgozPZGZ39Bzrzw74pPOWJBaecfFJ5hgKeuSMOajd/I/P0Uz/eSeCZd696&#10;xaG9vtYu7KJ9uvih3R4g81V/LvzmNwpPttMupUxH8sA232yzPkY4Y7IeCL61CV7hG13ksdlw/ZH+&#10;r7fu+n3/jXH2JeJ3dMFH/MQfP+e42sDDp+BOdFKP/HH9serFjPik3Lk+/+I3zuXsUZyl8g/nhHxJ&#10;EkP+lvXHH265pcggh/9+9lOnFf/M3DFX7BEiT/yIj9b6xp/58FU/urLwopu48NNl1/XzLXzhgUeu&#10;66d+4HPyCa8v8ugjtknOH9BIzkyyXtp+u+36eTRd/MD3u5d9u9BlLl537U/6mBTe+kTH9PH6u3TU&#10;/5xjwIUnF2/sHTIWoZODiYPD+IH2m9/4emmny7N22aX79Gmn9uNgHxJ95Acd8Pw+Fl97zdVFt7pd&#10;mbzAlMf1x6odP/jYJz764eJTWWfI7f8PP+yVxff4pzV8zjmcn/LHJPcr8ImvWwdo49M5/7j+p8t6&#10;3wf3nCU/DA1ftJ9AR/50+xe4kjMauPSzDglcXs9NdfcfbvrVL++mp33ODs98Zj+/yBYv8BRn7OfA&#10;9N3aHR/61vGDbH3Rlvmljk7S15STR2e09jFov3XBN3r76It4Cp44qEwHtPio00WOT3jV+NrtGeFr&#10;v/jCb5Xrhf6ImfoYGXTf/VnP6vmjgRdda93ZKGNen586ryFzISX2H+rTgg1xxvrsxjF+aH6bs875&#10;Mqf4XPxH+YxPn17GwvlB/Fg+vG+Y81N+5qzfWFjT8Fl+aPzMZ7Kzjoez4/bb93PBPePWGKKR+Lv7&#10;EfTC014j8ahFV8PS58j//Bmf6d544htKMqfq+x+ZR+Z5eAzjh2u6NvIlsSD2YQM85NE1OXjWNXiG&#10;xrkrfnVflbfc4km9feo+hF/WH2mztmRzfD2bFvsc8tKX9Lpcv+y63p777LVXgcMPT2W6GzNlid7O&#10;SugofmgD23vP5/TxLnEseWw313krVrRgc63X/UVefCq+aj6DWWO4xsQ35Fl/5PyDL4GfcvKJ/dxC&#10;66wv/mf9gbfrqXkJn08754Qb+Z55cL1DB2eq9UfmBjp8IsdayZikfbrxgRPZ8hbNlT+4ojwDqo9k&#10;uP8ZvGH8cH/CPNEuuW8bvcwr+JEHz7lD2q0P0Hj2df31HlXmYZ7vAM85pWdY2AU/SVv6i5c2Oma+&#10;ytk4892+DA34ued8qbedOB2439eEv+d/EtvRuE8XXnCcV+lTfU6s/be//U2vm/boON143Jdt7DLk&#10;34INccb67Ncfztafv/9+ZX0sNmTc+QifYG8+ai/Nrtm/gD3yEeuUfTf/0oZ26d579TTWMmB81H3I&#10;8LMWr2nEi8jhn1Odn9bz5gkbPqH39xVZf9ATH89lvfwlB5d71q69kuci0v/cDxHXpjs/tcZiq8Re&#10;/F9zxOH9fHvTSSf0NtDmWRV2YL+s6dzv9bs5cP13/wVudHV/Cjx0tR0SP3JuQg/t2z7jGcWmYnie&#10;NQcXk/KszFOf/OT+uX37rvB35pxYhCZ7XDrwlch3/oEmaxRnRtl70T22TF/mOm/FihZsrvW6P8k7&#10;8tWv6ufhbrvu2l2/bPmadv99n1vg7M0/vv/d7xR/cP3M3libdYB9j2uo+6nxZ+d94GzFj6xf4Et8&#10;Dn9wexl+mTW+tunOT2N7z2qgww8vPh2/Dk4rNy/MIXsqtPF9Zc9+aL/04ouKjmBkkBVe9foDrXZ9&#10;lltPBM/+Sl/YyrOZ+vred72j4IF7DkS8is5nn/WFok/69J1vX1rmohhT64k2NHKypexf6C+e0U2y&#10;x6jxlQ+b7PfCU6wCo59YGPnukRnTb19yccGFbw3pLByufoof4OElpx8enm2pY2rsMpc5fYbyWrAh&#10;zlif3fqDndzHyJ4/Y2/867nhOs0vJeuPtMF78xtP6n0mvhx6MYNvSn/84x/L80nGL+2Rt8Xmmxff&#10;1Yb3dPuX+HquiWS690k3fi0pB0/Zsyzmo3Me7dEpa4xab2V6yemp7Jnv0NTPn8I54lWH9XhihudO&#10;2NWeQeyo91nhK3evC0+4crHEGUJswxZo1cViZzDKUnSRq9NDe9YeeXYH3HqnlqNsXOggbfrETfpn&#10;0+ksroFnLPCQyPnYhz9YeMXGB7/woIKr3e937L2U9dvz75E7X/NRH4ayW7AhzlifffzgC1f9+Efl&#10;2vm0pzyl9wf+Yq163pfP7seAPwx//2Jv7jko9w34jjlkTolLxiHzmm+7dpk3nl8yjnzVtdBawPqb&#10;3+IxXfzAk85yz3XRU8z51Cc/0cvK+NPX/drEOzL1B1yik/2bdZJkrQ+HDq7nnonSj8QjNMPfvzhP&#10;dv5CBhq/B4Iveb7GHIt8+z3rAXtBvOpYps4+znLFUzroG3w83W9ll+HeLr9PytwmV3zwWya/0bEn&#10;xbseC3LwQouf94rEpnT2/Fh0FsOcc1zw9a/1fMJPXA0f61K/P8q7S+y5gpfxmOu8FStasLnW6/4k&#10;Lz4sT0r/0pY63wyMbySBBSf738wh8Lo9NPGt5M7/zBkxZDhHwhtPZTTmvnsn5hgafu6aJ57Bsd6x&#10;n3JN5DNwnDHYu9AnOtX6DMuRNRU8emnHT17TpBy8GkdfwjfrhvAJXV0HC30NT1kOJ7yCH151W/qe&#10;MQqP1JODJ6FPCn5ycHaVR8eUQzMfeStWtGDzodv9RSZf0ZfkGf/ab8ACT1mOrq7Hn+q24Az5gYNF&#10;rvW3+CG5pmmDU6fwwN880eY5sMQQ18ysYcCk8HQdF1PQoA+vYV63Rzd5+pl2eeZqeNQ4oU1bXQ+t&#10;XHvqKde5cuQnhx9+bCVZfwQW+lofNOl38OQS/NAkhy+ph0/d37TVtOEV/MgJr7nOW7GiBZtrvUZ5&#10;d5/X94Y9sv4w36daf7Tk8FXPYFg3ixf8o44bYorfr7oHEf9u8VlssMzb7DNy/yXwxdaf+0LfVqxo&#10;we4L2SPPez9GTGdTv/fMeaHr6XS4aauvb8offN97yr4994fc183v7s2rGj88FnOuT+KHmOue+P0p&#10;Pt4b49KKFS3YvSFr5DG38aJlb2cnKzoH4GddnnUz3vV1OOWsv1uyFxMsZw36Fb0TG2OLwFflvBUr&#10;WrBV2Ub3t77H/+u5MVUfExe0Bz954oqYkXJ4T8VvscD1J/3UJ3qnb/LEksXSn/tKz1asaMGG8mPb&#10;wF3XUp6PPPpkrOdDh4Uuk42S6LoitoIb/PCIzfGqy9PZIbR4pbwi9NPxvrfb6Bc9w3u2/Qz+/T1v&#10;xYoWrGWH+FT8qoUzVzA6uA7OlbxRzsrtxRIzxnm4cvZbaH7XihUt2ELTu9an9slxXbkw/dK4SLme&#10;G7OFcN2p/Wgsr7jvtGJFC9aybcZfnvOmFt5cwOKP8jGGrLgfzMUYRYa9bnwn45a2MV/YYzccn1as&#10;aMGGdMYdzPOIfgvpt8l+JzafiR6e61523bXjPmYyNsMxm696YgX5/Mbv7/1mxDMoflvmvc/g8an5&#10;0nOUu+I+04oVLdjQtnfeMXmnwm13dPs/d59ujTUmzzdXzyHmecS5yh9cnmfyW6WHTe7Tr9VdetFF&#10;C2buDO2mbj5JmTPy3Pes51pNG5rAatqUg2P9BZYcjXryuhx+0+Xhmzz04QeunP2JesrBDa3c92s8&#10;w5rnV/1mxTtNWjqEPjmcyIv8Fl1warl4SGDhV5fDr25Lu3woJ/zqHE5olNmhzsO7xoMfmsiJ/VKH&#10;vxBTK1a0YC3db7vt9vLepY0nv+da+k9LuucuWX1+0roPnshdo9t9U7+JWqu7aIHHj9p34nvxn5ad&#10;Awtu8qn41L4HN7xzvryiPhl56MIrssOrblOmQy07fZB7r2FiR55nda3xPq8aT7nmoQxW6zDET32o&#10;T+hq2vAOjRxMqvdYiQE1XsrhF15ybYGHNvXCe3LOHzy5pD104Q0e+sAWWt6KFS3YUO/b9XniI0v3&#10;2afb6NGP6fZddxI71llzXtJ+S9buli5Zq3v2pv/SrTlZC108ebfEUN+FVI/vxGdSp2Pm+FDf+Fho&#10;+FXKwQ0fecpwpNTlgYVupjxy6pz8+HbkRQZ+kZG2Ib527+lKHPGMp/eHTqULfDwiI3xb+GlLHr3r&#10;Ol7RscUDDD6c0E2Hl/7VeoZ/zSO8AqvzlMlRrutTyZ5veCtWtGBDPe8oPnpHt+/kvY+P++cNun2X&#10;PLSsAawD5jot/ac1u/0m8Wv3zRZH/PB7de/WyO+ynAH4Toz3D/Ovoa3V+ZL2/Mbc78Z9DyG/4Y9f&#10;hh5v5wveUwGGHp/8Hly7c4iWrBoWWvTR1/sBopN2351IW76VFzrvx4ku9FH2niTtvmFpH5OU70QN&#10;5V/+/e+Vcza0+uN5efMVHj41fmC1TuzkfUWt3wXD9y7F6Fa+I3nr8veLiGeBx861LLK94+2cs75Y&#10;fsdvTOjnuxyJddGP/fw+P/x+NPlehDYJrneT6J/vX/rNv295pi+1zIVWbsWKFqyl95133lH2LxtO&#10;vkU41zGjlrevdc9k7/Tsyf6F7nylpe8QljkVXxy2p177QGArmltX8FO/wXKtteenq3V71vC+Hecd&#10;PJEXGere3+E9NOYaOr9jybzzHtXQJA9vv9kIH3m+B0AuWXXbTOWcZ+U9XPDJ89u59MH7TGo+3t2R&#10;tujkd6xwvDcDLMk7xEKLr/Hx7qS06zMd9Nt35sQmeOlz1m7e0Qwvv3sjX/J9hbxnMGPvd4HpV/T0&#10;bjF6mM9pExfB0EWed3pss/VWvX70wkPuPUHw41vo8t5r/fH+EO3hFVtEXmwEZyEnfRnq14INcdQX&#10;c/yIH8il5f1Z7ovxSXnag9Oyw0wwtN4Z49058Y/k8bfUfRfW901q2a7T3rUZnORoJd+X8X6h6G0e&#10;gcObLn54bx7dIiv0dR67wMOTb9xX8cP6g2xzznuC8+6+9EUeHcxRccI5RfT1DiDvKNBGz9pO6uDi&#10;Dnz9sU7w3rGav5jj/UX6XccPMZpesdf1y67rvAuqloG/On6uBfZnxoI8ufdAa6fLGD8Wd/zgH3wh&#10;qRUD4peZQy2cmWB4uLb47bvrJ9/hX94X7N43H/VeYb6X5DtL3tHHX9G7Lx0/Pebo15Q1szNI/ogG&#10;P98ecD2mjz7Fl6eLH/ZM0T/zIvXk5CvLcz2/L+MHWfrteQDy9GOjx2/U73nMO/1NPMi3LcSRvF8N&#10;nffM3nDDL4recGIntPm+rP0EPmyr3TfovH8xfR7GD7pZv5BlLYMXOmsk7xtDZ+3r3WZ0sMa0lgGX&#10;xvXH3ddSi3n9YTwTO3KNyJxJDq4Mbyqc4E6Vo807j/mp3717h3Dky9F656f9Seao739oc+bhGgme&#10;349nrmv3HAWfdZZBx+jKr8mbKX6ElzkrtfoRvuYLnvdl/NAnZwreF0uW+e3an/sh9HVeZO9lnRb9&#10;rb/YCI3kGaD0R+6bLPT2DkXvW0TnLAiufkn53mRsUMcPcQuN5HuZofONzsjJWH7l3HMKP/r4Ni9+&#10;cMb4cf+JH8b0iOq96PyHr9YJzDwE4yfxqxXN835OfOxD+CB/4m/xSfnxx7yu98u8G9dZZXTyHtPE&#10;tOgQnw0ffJVnEz/MweDjk2/dRl5y72/HM3PmnvHjuNJGpj0F3OhnTmZ+yvHQJzjZ80dOvjPnvDS2&#10;l/s+ZXjGbviDxYZiMvnmrLVe8LRL4g8a5eRiQh1z6KMNrXwYP9JmvRH9vLs9OsjROgvNOx3tWaOn&#10;cyL9l8RE/JLYKWOGt++Sp20h58ZuqF8LNsRRX8zrD/rX3480pvHj5GD8S928aNlgNjB+Za/A18xZ&#10;/sTP4lfaPYPp+3B8h1zneuBHH3nE3fxKe3BSpqOy+YBGwkOabv2R+JE+WJOn78nxyH2R8GzFj/i+&#10;7zyEnz56l3zokuc9xFPFD9dvuOlfnSdG6LOkf+yY78Gg853IxIDaxtGLfZTZSz/RyBM/0l7Hj5yf&#10;avOMNdnoclYPHll4sxFdpdznyvpDf/J9Yrh0dc6MX1JsFJ0Xas5uQ91asCGO+mKPH77vaixzrp+x&#10;S27s2QKO+BG/atliOhi6et2QMr9xTpjv0JNLHrnu1eBZn33Qky7RK7jowGqfjH/PFD/IyP4k73dP&#10;/5OLH3SN3GH8cA5DFzLdj0j/zKesP7QnucdJbit+oLEXqc+KlPHW99govOhibeHbsIHtvOMO/VjR&#10;m/2T8M9YrUj8gIvO2qK+7tjLRAbekv6zO13pfMvNNxfaNxy33E7smDUYvdDAoT98ed0efRdiTteh&#10;Xi3YEEd9sceP5X1YPn6t/hnX+J28hTMbWNbOcPmaaxZf2us5e5Q5GZ+RmyfOU+NXzk7AJd9ydU2U&#10;PCcgX7r38m+qas83C8hR57/TxQ9rovQr/Wz1J3bAk28M40fu35oX1u3Bx9O5Yj3nlXNv8h7x4677&#10;L86CyEq8sq9Lvz0/secezy5ty221Z+mD/QveknswdEhKfKz10s8VjR/o0fluAjnkW5cMbeg5k8ds&#10;8JhiK/dh0MBhJ/bTN9+5qm0tfkR/OM54Iq/GW2jlVqxowVp6L/b4YS6nX/GB1OVgNbwu13izKfMF&#10;Pu57LPE9uTkiKfMr35Fyvzbyrf/5ojbrcjrU88D9SH7sXNa5ozbzBT6e08UP+5e6j1P5a+RlPg/j&#10;x4mvP76XR26en8D7+mXXlTlDF4muYqK2VvzQb/1In/HLfV16SM6B+Ch98h1I91JqO7o3Gxui8a1a&#10;+yL3eDNeKxo/YnvxP/3xzVBwPGMnz6DRmz6+lweu3f4l43LoZNzqdYtnSbRJ+hYbRdeFmrdiRQvW&#10;0n+xx4981yxjGp+oc2tnfuA6Hz9p2WI6GP/xDQR88ZIi05rCvUrr1WsnZyD4xE9Trq/vnnHkd54n&#10;O+boo3pe+b41GvIiI/HD/RzX8O222aboQb69keu5ayia+HndF7okzpr7+oAnWPw/+vEb7fZB9HM/&#10;+egjDy99Tb/lfj9HhmuuOjp54gSZ1md0lJw5O0MFd12mBxp5zlZd833rChyNee07NdZ++giWcXVO&#10;K3b4hhNY2pyLWteRI9V0voMT27KTNRA6CZ377Wg8s+peOj3cQ/KcKTptiR+hs64S59wT5gOxEZ3s&#10;iyJPvlCTfg51a8GGOOqLPn5MzsGMWfxHv+sUuPEcPlfZssdUMGv4eg9v/jmrMMcyN/lXPYdTl6Pf&#10;Y/fden/NPKArHcUEvz3LnKZH5oW1Ah6exYrfpk3flZ3tRI9hH6KH9si1Pwgenev1h/gmfsSu5njk&#10;oHc+gga/nBlaO2nz/Gnk6bP4mPu4eKS/GaOcEeAnTnguHn+8yB321xg4+4Svz4lD8GtcfaOHeItG&#10;u/GK3tpu+MXPy/Mm2tK/vJMeL3R1XEaTOKvdWlQ/0IdHdD7ogOeXNWRsEVsvxFwfhnq1YEMc9cUc&#10;P4zNl790Vv97hOyv69z1J/Xh/baWPaaCXXH594t/xl9dW/giHTLnrYn5FV/ih67d2oKX30d4Rsr4&#10;wHnhCw6crN9PLPOw9jU0ePFr33yhV343Y37xbe3WBvqnb5Ez7AO+Enj9HUf10OS3Jtp9+9qey3fi&#10;87ztLjvtWOaLOVP/xtZ3OmNjuXtQ+MYmyp7x8OwGfSWx0vX++mXXFb1q/dChsbbYZ689exrPc4kX&#10;OXeBp8++2c2OsRW+9MBD8q3IjL9ny8AiT9+tOcTLnXbYvvAwLr6P7Zu/9klw4aGTOxdmIzTij7WH&#10;s2ffI6XDrjvv3FknwqVjTR+dFlreihUtWEvvxR4/jJNUn2/W/TSG2sHybGfdPtuy56HNZT7Ctvbi&#10;Na355tkx7fx515136uU6y8i8qN/xFr34WM1LWZtYRaa1Ah6B+85qrpfW2rWPtnjVsODGXtGLvOgT&#10;WZEnR1cnsJpWPXQ1L/CkjIV2vOiQcs0PXnDhKcvh2CfUNrQ+EK+Nidx6KHqGz1C+eq2rcury2EE+&#10;1AMteK1DdAuP1NO31KPHQstbsaIFa+n9l4kt9pv8/nbD9R89+f3ampPf4M5XWqt77uT3t8/eZPPi&#10;BxdN5kVL3xZsLsaHDHv4xA/Xf2cvrm3O/6wpsiYwt+0H6IpuKv1qePDir2jNB0n8yBzik66N0SPX&#10;Y/j2CzXP2lbx5eTRrcaJDnUb/Bon5cjRHpyad81juvKQX40bGcFp5dYpbJR4WseP4Memrf7VMqYq&#10;h09NH5gcPDZIPbyS1/gLrdyKFS3YUO8779T3Oybv/9i72/BRj+6Wrud3+/Pz/iC/v126ZI1uj8n7&#10;P9Yo7w+6sOm3wz7MRT3+4ffY66/3qDJ3M39zL4b/sjlfdu/WXF4Z3SJLjic5iR/48VPPu1ubZN5k&#10;7phLLX8FCxw/dDmTTVxaGV3R1Pcs6eFcc2V5rSgdW9g/nffls8vZEJt4ViVxTJ/Fd32WvnDmZ+dM&#10;txXty3zit2JFCzbU8c47Js/S3H5bWX88fhI/rD2WrrPWvKT915ncH5nED+8Povslk7OEob7zVc/c&#10;k3sOkU96Ft7vbM1Fvmlt4rlN9+yyN1gZfcmIvMSH3GvNNU7uHOIpW25ZZJs3zhScRYZ2KDtzKnNJ&#10;TAKTxJAh/mzr7t8mftEjz7nOlv5vwUufor/47owpNpQbq6wLx/jxX3vJ2u6tWNGC1TTKt0/ef3rH&#10;7cv3L4/fwPsLHzGJIWvMS9pnIne/ddfodttks27ttR/WXTQ59xrqO191fljPtZQzV+Ov9r/x5ZXR&#10;NfMBv6wL8Az/5PDwr+uBTSU3uPLQRsZUNLOBxxZwZ9JhNvxmi5P+RGZdT7nO51q/2fZjIeC1YkUL&#10;NtSV/3gH2dKlS8v7k9f4x38s1360c50e/P8mMteY7Pcnstda86GT5zsXzv6F3eq4EJ8F56N1Htwa&#10;B2y2qZZTxmcSKyIDz/rcTr3GF2tmWvsM51RNP1sdh3g5N7w3eA15T1ePXRJj2QMsdbTBGZan47uq&#10;tbViRQvWsgubOz+1rs061Lp5rlP281mzT/cezVY/RtjsY9Roq9FWtQ+0YkULVtOk7Jrh3qR9/fXL&#10;riv3s93TnuvkOSzP/0bu33KvNX0b83GejD4wsw+0YkULNpUtrfGGa+GpcO8reNae4lm95ryv5I18&#10;Z/ar0Uarho1asaIFa/lDYsdCmLMLSZeWrUbYqjGfVrVxbsWKFmxVs8vY33G+jz4wsw+0YkULNtpy&#10;ZluONhpttKr5QCtWtGCrml3G/o6xYPSBmX2gFStasNGWM9tytNFoo1XNB1qxogVb1ewy9neMBaMP&#10;zOwDrVjRgo22nNmWo41GG61qPtCKFS3YqmaXsb9jLBh9YGYfaMWKFmy05cy2HG002mhV84FWrGjB&#10;VjW7jP0dY8HoAzP7QCtWtGCjLWe25Wij0Uarmg+0YkULtqrZZezvGAtGH5jZB1qxogUbbTmzLUcb&#10;jTZa1XygFStasFXNLmN/x1gw+sDMPtCKFS3YaMuZbbmq2Mj7EvQ1v3nO+xPy/rK5fpfYqmL3hdjP&#10;VqxowRai7qNOcx/T8q4GMSJxo44n45jM/ZjMp81bsaIFm08dR9kLyyfFi7y31NjUcUQ58WQct4U1&#10;bvfFeLRiRQt2X8geeS5O//LdBd+V9C0Z33tMuuzSS2b9rudx7Bfn2A/HrRUrWrAhXernnHNud9on&#10;T+tOPfW07pOf/NT8pInsUz9x+kSH07tPTso33XTTovDj7AXYUjkpth3mU13Xc94QfsnDd8hnWA/+&#10;MA99vb74xEc/3C1ZZ93yzmzvq/bu7Ly32nus+Y5v37ZkhP+wLfWp+pd2+VQ8arhy6slr2sAiL/Va&#10;TqscvFY+hLXoA4M7Ff5M8PCYTR5eLdzp2lr4U8FasaIFG9Lfad062QNvsukW3T/8wz90D3yg9KB5&#10;Sn/frbba/+0e9KDVJulBkxhy+j38d6j/fNczJ+mhPIwBQ/2Md2hSVq9h4HVbeMrBWzwDz34kNOEj&#10;T7r2J9d0+WaeuPG0pzylfGPJd5Z8114ceeQj1ikxxdokupGLf76NAB45tU6RM1V7cLUrw5erS6EP&#10;XvoUvMDltfzwq9tb5Zp/aCK3xocXm0d28FKHHx7KNbymVYYXfUMDf7oUPLxr2siJDHjhU/dhtuVW&#10;rGjBhvzEjzsn35B64iabl/ixZMn63brrzk9a75/X79aZyF/7oQ/vHrTawo8ftV8bv9y3GNq4rscH&#10;0CqnDif08QXfidZe+1DNqy7X34QJz+Twop/c/sT3Nd/37nf235dPTID7soNfXNYfvuXhG3v8stBP&#10;dI5MvOPDgdV59EYn1W3KtbzomRx+zVs58thEPbYHTxrKaNWHdOlX5LFjdDMe4HUfgpec7Ng+sMgN&#10;XQ1Puc6Vp0v4+RZBbKAOH//ISr2GpW02eStWtGBDXiV+THTZxDcj11ire+OJb+hOPmG+0vHd6489&#10;ttt55127B/79apN9zKd6+wz1Xgh1Y5Vxk9OJz8VvWjoGL7Rwav9XDj3cJLD4/nR8gx8cdJGRsnpd&#10;znyJbh/+wPtK/LAO2XKLJ/VjUNNETg2LTG3grbYaR1/Vp+JV08dGwZWjpTu8wMN/ujy0NU2tb10O&#10;H7DEk5o+4xW85HCGeoWOzul78KfKgxddh3k9di29p+I7hLdiRQs2pBM//vpX64/NJt+fe8jy+PGG&#10;47uT5ymdNPlmvfix2mqrlTOQob4Lqf7dyy7rXv3KV5Q5Zq6x98YbbVyu2Z8/4zP9vKt1dmZ59JGH&#10;d4977OPKt7qe/tSndocdekh3yUUXdu9/z7vKnsGe4uyzvlD874dXXF7wnEns/qxnlXlS81PmN7/7&#10;3W+7T592anfwCw8q33qlj+98H/aKQ7svfO6M/hpZ+9tF3/pmd8Dz9u82feImRcY2W29Vvp8rfqC3&#10;/nj4wx7ZzwO04BJ96Ol73UN91F/+koN7Hscf87p74NAZnjnpe9dvedPJHflk4rv5Zpt1rzzk5d2P&#10;rvxhkZ9+6mN02G3XXVcobkRP/VD+8YT3a444vNvhmc8scvHdYPINaGuu4153dLfsumsL/17Xu2LV&#10;Rz/0gT6+ZpyDEz3P+vyZvZ3wtTeEI5Hv28PgfGa6xB6Xf/97fbwRP9CzEXrt9Anv9HFF81asaMGm&#10;4mv9seaaD+lOev1xk/XH6+cliR3WPjvttGv3oAf+/eQMt+2bdR8Sj6eznzZ46PhrTb+iZbx+cs3V&#10;3fP336+Mn3HMd/OUUzeuvqV96x/+0Ps/Hewb4GSeyI2TfJONn1jK5uwfbrml6PmDy79f5PAV84W+&#10;6bPc9em3v/n1ZO5tXWjhxa/Clzz65vqJx5e/dFaR6bvSNR49xBMwdHjFdnLwuu3Mz3yq7x/+7HPD&#10;L35e4g5auOxzzdVXlbbMXXh0dxbju99kRR6a2GedRy7pvvbV8/oxO/3Uj/f2eNYuu/TwqcaRzmTK&#10;JXLFpOftt28vL3IjM/ZjG7EUTfTFwzfK07c6fsLRLh5utsmmfR/wFz+0RU/fQycvsuTRQzkJDh9I&#10;H0KvnZ3kH/vwB3u/SPuK5ngNaVqwIU7qiz1+6Ef8Q16njH/6ujJ5xt638awxjHX8jS/yD3E38UG7&#10;9JIXv6jME3Plqh9dWcabXz5mg8eUswd7Z+uAnXbYvudpTZL+XP697/a+lPjBl/QJjtyZJ10kMejb&#10;l1xc+n/GZG4ntvEzfg//T3/6U/ekf9mi99c9dt+t8+0/MeukyboTDR3jw+m7nE9J8XXxAzw2VmYL&#10;PGobnTi5NtR8lF3fnePSm6zXveao7tZbby3x0JolMrbYfPOy/9fflYkfZGX+Xf/TZcX2eEv6aS3w&#10;tje/qeh9yEtf0utOJ/34wHvf3c8t49iKH/qvjaxjX3t04R0Z+Lg3nv7rh/jBjvp+wvHHFtnsNkzo&#10;fnnjjb2NyUCPJ3r5GD+Wr3dWZv2ROWT8lFsp45a8hTMbmLGzLs9c5XvWqWhr+V8998v99RdOnqf4&#10;zrcv7efkSydnlLU+rjH48jn7FLL4fGv9EV3RW9+4Dxta6/uaL1+3z/KcR+Bnf/HzRQ9zgw9ev+y6&#10;Ig9fcnfdeefCL/4ZOjmYRE++O4wf7PCMrbYq83Kv5+zR41vT0LW21dvfckppp4d7QNYvmefwTv3Y&#10;R4re1jOx78rGD7pL9ibkxV5vPeWNBR7+cMRX967h6KsxZCO60Sv7O23D9Ye9RuJG5MjFBbzRS+JH&#10;8HyztW4Ljpxe2qJf2sb4cc890srGD+cJxtI4yYcpvi7nP4nhGYvZ5s7ArafjVy98wYGFV8Y+Y2we&#10;WJPQg8w3nXRC8ZmrfvyjUkfvmho93FNwjeETkvhBJ3xa8SNy0F8xiTvkRCf7BH4OJ/6Ol3VO5J1y&#10;8kkFn6xddtqx983sP8wp/KJP+iePbWNT8QN/8rQ7rwmO8xzrC3Vjc+nFFxVcePBffNALigztrvsZ&#10;B3qmj5Gd+orGD33CFx/7CrL0S+7cgyxt0Qlu7OCMKvrrS/rpvCE8hvFDnxI3YiN5K37QocSmyZoo&#10;/YsudR656Yt65MvH9cfftv5whmksMl5s2kracz/SGKxosi/AN3KyHzDW5mrmp7o28cUewtkmWeBi&#10;Ax58jP/yqwu/eUHZ26QPrk1w0YgPkVmfn2rnc/Y+6DLfTzj+uHusgV3nrYP5GR2PPvKIgq8f9j7k&#10;0D8yzdHoQnbgcvC6rT7/wDtnwPS54OtfK3FUX/F58xtP6u2Al70eONxdd96pf/6VTaJzys4s6DlV&#10;/IiOcOoEnrn5jfO/WuRFJl0zZjWNMpo3HHdMr9+LJnEBTLL+YDt2ED/IkJyL5Zm87bfbrjviVYf1&#10;9K34QQ/JnmooP/XIjE6RhY4ObCueBX9lc30Z0rZgQ5zUF/P5x+GHvbL4YOaQftcp/sLe1gXp84rm&#10;n/3Uab3/4elaa3wzpvHF1OVgcrLkv/n1TR19XXdynZLTTcJ3q6c/veCb02RE/2duu20Pjwxni6HT&#10;Z7iSMhmhhZO4xK8j75ijj+r10xf6nvHp00t77FnrH7tGZvYvcNCSoT8bPX6jch13f0KdHvYw1lqR&#10;8+zdlsfSWkd8ySVHObSfOf2Tpe91/DBHyc0ck7fGNGNgDuOdfuVMt0UDJt7QA75+ZQyz/gBP/7Xl&#10;TBb8Wxd8o2NbZf2YKn7gP138iO0jO/3FN7w/9P73FhvAmcoG2qZL9Bi2t2BDnNQXa/yI/uzGtrW9&#10;0xabw6nX9Gmfbe4aztf5Qxn3Zdf18iIjOhRZk7Vz4Oq1jtaizkVcA60Bdtx++zJX8M35KXzrD/Kk&#10;R62/QT9XorP9jTa+hNY1k6/SVb507736ueh6j85+KjzdIwKjZ3K07gHpq1S3kSGh11bvX6wvwOji&#10;vJT+t9x8c9mrxdfPOeuLvY+715zY6fyYvnWiO37kWaPRr44f7rWCkVOvn8CSMh5yZ8P4had1Idrg&#10;1jn8K3/4g96u9NQOLn7E5taXeIhvsckrXv6yEkvdAw5Mv9BGhngUPaaLH8EPrdzaNnzZxvmvs6Xg&#10;hGZFcnyG+C3YECf1xRw/XF+k9GWYG9+kv8XG73nn2+82bj9dtjx+4I1veCePHmmjoz24uJFzztDW&#10;5x8777hD35ecq/I1c9B1DV905syf//zn8syCNjhfOfec0kYmeXyZr0k5h8n5KXzJfZDoId9nrz0L&#10;PO3pj5xPSfHfxA88Atd27WQtT086Xnzhtwo/Oh541/Os2tgzNNYiZEuhO/RlLy109f3sOn6gZY/Q&#10;RE/0dYotsh+JPTyLU+OlHD7uLUc/OqQ98QMf/XeulWdoPPfvXhbc1x51ZN9vMTl8ta1o/ECjn85a&#10;XUfYUkyjn3KesallRN/Z5PgM8VqwIU7qizl+ZD0ef9fvOoGzsfH2HMTK2tj+BY/wM7drnw9fsMQz&#10;sKx5lA864PmF3rnc+eed24+ZZ8nxpjcd8UB35Q+uKLqnb85dTzn5xHKd9gwHvMwLONs+4xllH25c&#10;/XYldrCXMcfBxTD3eeGT6VyFz4tF7mOC0y8y0y+04Rda84cOru2xzd57Pqf0Hzy0OU+mxy9+/rMC&#10;d18lz9Hh++53vK3seejiXi4Z8I0vXuSf9omP9XK0ez7Wea/ru2fuIg+ucujU3/X2t/Z9pqvnx8CH&#10;KXqLTfyGnKdsuWXBw7OOH2Lgho/bsOCYz+wXfscc/ZpenvOcWrfZxo/QyPnUwS96Yc/TPjc2N158&#10;pe4vPUIfnabK2X/Y1oINcVJf7PHDGOtvcuUkNuYH6vs9d+msbRrbJL/ga+eX8XIPBi/zN+Nj3Oqx&#10;S12e+GHPwsejI72iI/2SzAUy8eYTcOCa58GXu08Kz3z0rGn4ZU9AjuSa6IwZbnS018i9hfCPjUKH&#10;n5T+81/zWYID3/qdnvZf+IDXa3U0ZJpn8Onmt794sov9Gf1c37VJ+EQXZc/NRG8xMXq5z6ydPnLz&#10;KXjk0st9Jzm4dVf4w1ev8emU+1RonJNGZ2uy2EH8CFzswJP+eNoToYUrBoINbaJttvEDbvwn9+Lw&#10;ZAPxz3Ug9jjowAP6/vC1+n5NdJ8qx3PY1oINcVJfzPHD3GBD42ishkmb8QZ3bU+fVzT/9U2/Kn4S&#10;3/bsc3yTH0rqkmeI7On9Fs0ciU/xBc+rGxt86BZ/oJ/7EHleiH71+Yd7K+4DpD9yz5fBO/ecL5Vn&#10;KOLX2tjDWtf5yo033FCuX9HPs2Jiac1L2Tr8Ix98f29LMPzTv9iWHMn6w14FPHHF8yaZv6FNHIST&#10;Z1/gaBeHsw7BJ7zpLl7EdnRQh0Mv9nCPKzFB7vkLPBO3ojce9iNo4aH3LA/c2CQ6qytnzYTG78KC&#10;m/hh3KKvsvVG5MG9N+JHdMPPPe7Ic3ZER8/1uJ7pj3T1VT/u7RVaOfrpEv2H7S3YECf1xRw/9IGN&#10;jF36U+fgK2LLmrYu42FPy66SufDFzy1/fgxeZHjOYb3Jb5iNtWvr9cuu6/0q1xJ7ZvdTralz1un5&#10;MjwiM/zUMx9cU87/ynnlGu/eoT1H7feu1a7/Et1u+tUv72aXmj+7mFPmJHxngLl+1jxbdg0Mv9g3&#10;efTHI+X0JXno5ZKzCGsZ9rCP8Xsg96rwSBrqjjd72tOwIXr2mEoGPn7vY54lRr33Xe+4m4540sf6&#10;DI4xtLbz3DG+2sQP8Kw55E/Y8AklRkc2PvdG/EjfXY/IlNwjtsejCzn6Dk5fa1Q+Yh2lTartFtgw&#10;b8WKFmxIl/pijh9snH60bFWPKbwWTuiny/mqtYFnv40XP5S7r2H+OZdwPyN+p50PoYvMjHldzzpT&#10;W/qiHFwwZTQ1fMg37fI6pU/hnbzGCW1w5XV74LV87YHTpdUGxpflwUVHh/BPW/QKXp3DgR/cYTm4&#10;2oMTWC3HvPPbFOMmWYu4D+yZOmcUh0zObNddsl4/hnByfzR8xP3Qho81m/a6X/dG/NAHz89nzURe&#10;npnVpq+ea/z/7J33f17Fsf/3P7gXq9pykVXd6d3BpgYcIKFjqsGWZEghhHJvEvq9NIsOAdxwIPRu&#10;wAHjgjEdbDqm2VaxDSlAqCHtm/ud95xn5OOHfaRHTz2Szg/ndc6zzym7szOfnZmdnSV+13DR7EOj&#10;A/UyWqQ6+7DCV5bq+b6MH6nalOty6wf0dWxNcML6jH7lGppbGbGI33zzjfad8V6u61To99Fmw0fO&#10;jPmFrkO23yMWjXkgk336i4PftIk+5BrdEV0jue/MfrFn6Gcf9oV1BnQE6s27kGt8NUbHjrb1Wu5r&#10;V7Jvi7l94uvtPZz5Nv0AxlBv7BnsXr6TXHffNyjzYYWvLNXzMX50bx9CNxvvjVfgwwvPO1fn3+El&#10;+m+nHXZSHzm2Q7j/6EeeT0X/vlBOG0zm4H0Om7/tC/W3OtIv9CG+EtY+EJeHrGCH4A8FW1jT9tFH&#10;m7r6TPtP7ALega5h7T/x+ONS9in6B3zBveAH7+DbvAP8gJb8b7aR1S98Rp+1+zgn28t2L7zFeiP7&#10;Hu15/dUt/VB2r+/swwpfme9ZymL86Bk/6H+jn2GJnY0n+d98/lyHy+3ZvnyGBnZY+/pae8w3QN+E&#10;+8d+0z7iZMPtoszGDcrD7+C/8L3J17yXMruP99i77JvGR8nPmm1LOfdavXgXh/3PtX2He+399s3k&#10;9yb/9mGFryz5Ofsd40f3+GH9zNn6zs5WZv1HufUf9KU8jClG8754pi3W3r5a/3C96StrE+XWp1zT&#10;h/Y73GYrs//tufB77Xl7zs48m3yf/Zdcbr/te/zmmvvt2v6zcv5LhSn2Pt/ZhxW+suRn//1v5Ib8&#10;Y3u56upq1zxjumtpbinK0dzU7Ga2zHR777Wv5A+S/KeSBz65vsX8TR/x/eSzryyZJ6zPi1n/XH/b&#10;6JDr9xbifYbvqdoQLre+Q0ewuoX/t7Lks+8eynzlyc8m/05+xuoUvi/Mc9Y+333hZ+zahxW+Mrs/&#10;fP6X0AX8KCur0Lzn5ZL/vBgHed/JW1hRUan539nDIVzP+Lp7HSmmT0yfTHnAhxW+suT3//vf6KOy&#10;7nrBbe7SS1sTxxVyLvxx2WVXuksuSdThsiskNmFdjB+i7yT3Wfw7pkmuecCHFb6y7r6LrgOWaE52&#10;9PRCH2JL/T/ZS4J6/OtfgZ+hu/rG/8VyFPNAbnjAhxW+smR6h+0xrtWGAkOKcJjfhzom23vJ9Y5/&#10;54ZvYjrGdIQHfFjhK4v5JeaXmAdiHkjmAR9W+MqSn4t/x7wU80DMAz6s8JXFvBLzSswDMQ8k84AP&#10;K3xlyc/Fv2Neinkg5gEfVvjKYl6JeSXmgZgHknnAhxW+suTn4t8xL8U8EPOADyt8ZTGvxLwS80DM&#10;A8k84MMKX1nyc/HvmJdiHoh5wIcVvrKYV/y8YvFq4Xi6qNHK6hi1ekWpPjGN/PzdUx/5sMJX1tN7&#10;BuL/xnNRxQ7qFawtCNZtF6uPjE58n/Wd1KlYdUn13WDtw+b8Gqnui8u3xBkfVvjKYrptSTfoQR58&#10;9vR6/LFH3Kef/FlzDpNrPSoH9bJ9Voots6xh52BvR/IWk585KnSiHp9++oljT8977ry9K3dYzPPf&#10;5flkmviwwleW/Fz8+/8ceQjJz0+eWnLWkWOXvJNROdirjv2ZotRX5GwnT3pUaGT1YE8qcA16FRtr&#10;o9RfPdXFhxW+sp7eMxD/J6f61VfMkqPVwX/kowRDonIYfkTJvrI9H6JGK/qMPYXZlyFsbw1Evu5N&#10;m31Y4SvrzTsHyr3sGcJ+z+gg7MnOWBYV7KAeTyx6VLGNPVKKLROM6RzIKEfUaAW92EuDfXKLTau+&#10;JD8+rPCV9aU2FbKu5ORH52XvtChhB3Vhz3p0I/ZTKrZM8H0O9qNkf8co6h+MA4seXRgpe6+QvJzJ&#10;t3xY4SvL5N0D4Rn0cWyYKOLHyhXLVT/qaG8rqkyE/QmM8WBu1PQP9qeP8aNnf2myTPuwwleW/Fz8&#10;O6A18y/oH+yZETX9g7kOsK1t/bqi+gRN9+BMfdjvMmr4Qd/F+BHjR6FxbdEjDyt+sO9q1HRy9tNl&#10;r2jmiZDdQtMm/D3DELD2gXvvjhx+4P8G2xb//rGiYm2YZn3h2qdr+Mr6QlsKXUdk4rlnVirfcY6a&#10;/sEe68gE+6UVGz8s1oMx/rGFD0UOP8B+fEWLH19UdFoVmo+z+Z4PK3xl2XyjPz/7wnPPqv7x7NMr&#10;Iocf6B3gB9hW7D5ob1vvOMAPxvio6WrYU7H9EtsvhZaTl154XvEDX0PUZIL9upGJpU8+UXT8eOet&#10;Nx0HeLZsyeLI6R/r161V/QNaFVtXKzQPZ/M9n67hK8vmG/35WcZ4bPrlS5+MnP7BmErd8NEUuw/A&#10;18Cf2+qeXfl05Ghlutrzzz5TdFoVu696830fVvjKevPOgXRvh+jkjKnEWkTN/0FM/Y3XX6tx2eE5&#10;1EL3D+M5sbAc6EOrX3k5cvrH+++9Gxlbr9D9k833fFjhK8vmG/352ajjB2tNiLcoJn7Q/8SMcUR1&#10;rjvGj977PuhXH1b4yvozBmTTtijjB/6Y2xbM1zUd2bQx22fRP9DROMAP1i1HTVeL8SPGj2z5PJPn&#10;o4wfyCixWsxLFlP/+OrLLzUOhViUa6+6QudhouZrjvEjxo9M5D+bZxhXyWnBmIqcEoMUpXEV/ynx&#10;DKzx++yzTwvuF7R5DGhi+sf111ylNIpa/GmMHzF+ZIMFmT4b6Oat6huMEnZQF2SUuBR8lszlZtrG&#10;bJ6DPjZvC4aw9hbdI8aPzOQ1m77Ix7M+X4evLB/f7i/vRD6ZW4iaTk59iKvHfiEGtZD0DucpJI4e&#10;HYiD9YYxfvQP7ICffFjhKysk7/W1b4Ef2C9R0z+Q0zXvvK32VaHjGvC3gCH05VNLl6gOBJ0WPvRA&#10;bL8ITfoaj6eqrw8rfGWpnh/o5Wa/9HZNqeU7BHO4xneCTs8R9qNs2rix67f9ny5OgR/BurBWzYMa&#10;7ivzTYTLcn0NhvAddDPzfyx54vGgjYl8j+m0ZUt6BDTiubANZPTb0NnZpd+En+vpO7H/IzNM82GF&#10;ryzXvNVf3mf4gYz0xKPh/+Ftk++NIuedHW16bOhs1/JOydnB3M4mkZPO9vVaxv12hN+V6tref8vc&#10;2Y4jTPNC4Id9g5xB1119pR7E+yP31C1VvcPl5OUI3x/QQmgk5foOeQ80UrqBxUJX8Jj/eI7cJ+H3&#10;pbqO8SPGj7B8FOo6E/wweTD+Z8ykbGOXriHypePrRsEU5CyY10EXgf/THVftvocfuE99IOSIhy7U&#10;2WQ7H3QKzxX/9a9/1W8zd8tBnkfakC5+mJ5mZ2jx0aZN7uOPPgpwRd/VqTjBOzs7hJZSBvaaXpcK&#10;M8LlMX7E+JEPWejpnZngB3zO8dEmwYzONrf65RfdPXeJjn/1te6ccy5w58px0YUXu1vmL3DLly2T&#10;e9oVM1i/atgT5v1U14pJIkvsS4D9wLpXww0799S+TP7n3Wa7gBf4PSzvKXWlXoZtqepu5dYG00PW&#10;r/1AbLGFbvbNc9xFF13szj1X6HXuhe66a29wjz7yqPvg3beVptCWZ+15e1+qM/jBPDxrczJp80B9&#10;xmer+MoGKn16anem+EHu9ptvnut22Hl3V1ZW5kpKBrnS0hJXUV7uysvL9BgkZRUVFa6+vsGd9vOz&#10;0x6zTUZsjCe3Ivgx56bfdMWR5RM/jGZgCPYKMWOsa+VQvSBhu1k9uzujh4Ed6Gin/uQMV11dLbQq&#10;cVtt9Z9Cr0FdtIJ2lHPssvtkd+tttytG8Wx377f/3n93TYwfGfh1fVjhKzOeiM+b9TwbYxlfsRFM&#10;Xo0nOTP+dYqusXFDcH7yqRXu1B+f5rbdbkfh/XLFi5LSUldVWenqhg1zY0eOcONrRrjR1cPciKoh&#10;rkz+Kxd8KSspdWPHjnennvpTzZWIXPG9djnru9XO2XLvCBt7WZtOHcEQ8vjQh2EbIx99ajoI+YiZ&#10;P0YP4UCeU+segd0GvTYk6Pb8c8+5E6dNdw2Nja6irEJpMVjoVj98uNJqnNBr7Mjhrl5oVym4W1oe&#10;0Ku0tMxtLzQ++8z/cqtefVXtwA3SB/RJKkyBRnH+oM38nQ5f+LDCV5bOuwbiPcxRovfiPzV5DeMH&#10;Mt4hMvPySy+5yXvt58oHoWts5aqHDna7NNS4A0fXuWnja9z08bWuRY7m8SNd07iRrnmcXI+rcyfK&#10;cYRcf6+x1g2vGizyU+5qamtEHznLffDeGtHVO1wbvlY5h79r13z/j3/42N16yzzFj1dXvaI2jM2t&#10;5rvP8J3iu4U2HNSHw+oXPneKfHe0t4u/uM3df/+D7qCDD3PDq4cLhla4kUOHucmjat2RQpvNtKpx&#10;zROgE3SrcycJrY4fWys0rVfaDhtS6coETxrqG93MU3/m1qxZoziyUeoR/q5d4+Ml10EhdLN8071Q&#10;7/dhha+sUPXpa98hN7GOW+JbMD4Mn9tFVl58/gU3YcK2YqeUiF5R5X4gmNE0fpRrEl5vniB4IZhh&#10;Z7vmN8eMsfxf41q4HlfjpoxucDVDh4pMlbnqkSPdGT8/w23CHuhG/2AOArm47uqrdE+YQsgH+s03&#10;33yjusfCB+9XnQO9w/DDh7X4RT9c96FrajnFVYo+hk1SP2yEO3hsvbYfOih9hF4zwNkE7WZQPq5a&#10;6dQ8gXvqhFa17uRxjW7KmDrR4yrdoEFbuV12mejeevstpVe4j+ya3PDEt/U1HixmfX1Y4SsrZh2j&#10;/O03Xnu1y743PgyfOwRfdt19kmBHqdtnVI3wfb3wd7XqGTMmjNBzs/J/gBNN6CATwBd+IxOCI4kj&#10;wJFaGX9HuIkNdWL/lLhSsWv2n3Kwe//9976DXyajzFW8+PxzGv/J/mrQsxD2ywdSJ7CVGPqw/gGO&#10;WN3CtFojsr3nnvu6EsGNMSOq3AGClQGNoJthLddGk1rBENFBhH4BjQIcaYGe4G+CfscJnmxfO0Lo&#10;VeomTdpb/dHh79o1+5Amz3NHmfeiUDcfVvjKolDXKNYBnyDzkvjtbU6xXcb7j8U/ynzrz356mmBH&#10;udu9IeD/6QmeDvABjMj8OG58o9uuplp9AjvvOtG9/ebrbqOM4dgA2DXIKboH9WJ+wfbK+/rrr/OO&#10;H+CTYdbbb77xHWxDZtUvJDTCl/P2W2+4nXfZXXwcpW7nesHICfWKk9nQp+vZCYLXYufsVF8jelu5&#10;++V//yqY72U+PGHLoBcRA0hfFkI/iyIvZ1InH1b4yjJ590B4hj2XsQuY48BPibwiD+vWfii6erur&#10;axglMlHiThjboGPizLGmW2SOG8gFekzzmBo3TWSjYfgQVy4+gqOPOdG1C3asw0+Y8DVQH7MbmH9h&#10;LoR54Hz3Df6Vxx97RH1Dqfwd6CDt64O8yocfMdVVVA5xjdIWtVPEtjsZmmWBr/Ys+sl0sQOPHVMv&#10;WFvqGkeNdWs/eFfxS+d2pL+oI7H1+Ji//OKLvNMn3/Qv1Pt9WOErK1R9+tJ3GKewmfGfkj/T9GB4&#10;khim1tYrxYYvV19eYK+Lni08bHyd1Vl8IejnzYIfR4p/oGZYlasSH+OCBbeKXEj8VGKeAxlFNoil&#10;ekTlo1WxLt9jLO8n79nsG2/ooovRx87MsawTzD3xpGbxdwwWH+kQd5Rgxgxp00z8PWJ3ZEUjw55x&#10;9fIubMFat31dtfRJhZs/b77iqsXUUCd0SewtaNWX+LCYdfVhha+smHWM6rf/9rdvld/QedE9dJwX&#10;PgQ/OtvXuR133MUNqSx3J8i8QODrE7t868Cnka1c4CecIXMRZv8fIXrNkIpSV19b5+69/wHFL4u/&#10;NAxhHT1zDORqRb7zhSHYLhzoZezPB10MM8LndaIHHXX0cTInVSJzS5XuWPF3onvMFNslW/ps8Ty0&#10;kve2CJ4cK1hbJnEjk/fcW+d50BWtTi8896zqH8wzR5XnolYvH1b4yqJW7yjU5y9/+UzxA53XYgqw&#10;6Tdt+siddfZ/qc905/qROi8b+PMC398WvG1jZK/Pon/onAN2ULWO1QeOrZFxXGJKKga7m2bPVb0D&#10;+QBHkBH0EGyY229dkDfssH750x//oLTBhjH55AyWYVtxvlL0M+ZmBw8udz+UujNngh8UH1GL6Fc6&#10;r9JrunjsQubDeT/vEizZoW6EKxHMWrL4SbeuU+qSqNeql19S/ABnrR3xuft4EB9W+MpiOn6XjvgW&#10;sF2wYbpkYwM5N1a5IcRqyBzrEegeqjt7+DoXspF4h+kjO9fXyDxDhRs9eqz74P33uzBE5VbkBH/N&#10;Ddde7f75j3/kFUPwmWILMKabHxd6gR1g7Buvv+7q6hpE7xjiDhuDb5l51/zQaPP8FTZRtWBVrdgw&#10;pa6pqUX6TdbabQzWFIEb+Ieoc8zv3+V3H018WOEr8z070MtsPzXDj2CMb3e/+uU5GiNGPOnmMTQ3&#10;dktKGROfQZPo5tPFZzBKYlfLZA60qekU1yZ2FXqH6iFiR2DjMw8DnuSz/1YsX6bYSlw434JWHMR4&#10;tMuc9pFHHSsyXKbxGerHER+FxXekbGOm+IKe1qWrBfFn1RJDM278eKlLm/ic16v+yHwzsbLMN+eT&#10;Nv3p3T6s8JX1pzbnqi02XhE3wNjKmpaNon8cMOVAWZ8h8UqNEsfUxfNBzEfOZSPxfr7DHEPz1iPd&#10;iRKfVlVZ5kbW1OhaMuTX7JgXnntGdfQ3X38tbzKCX+XRhx9U/wd0Md0nwNcOyaX4vhsq2FotPo8Z&#10;Mq86g1gNiXmZHpLxnNMpgSHoIvhBtpW4d2Jyli5d2mV7grPgxxOLHs0bbXLFe1F5jw8rfGVRqW+U&#10;6kFOQPRd9jUxGSH2ety48RrzMUXk2GKY4Nucy0T4neI7QA6JU2XuYrcG8ROKfMyft0Dlg/pxmF1B&#10;vEo+Y8iIlyd2Hd8LGKI6UEIPuvKKazRmZbLQBx9ws/hLlU7oUOE25ei6yzYSDOE7YO1+o+pcqawr&#10;mjr1mC5/TIAfs3TeOUp8FuW6+LDCVxblNhSybjZngeyxlgQb/87f3ar+D2Rl2bLlIreyzqt0K3e8&#10;+ABn5kgG0pGrAKNknkF8hVPlu6yV2Xuf/dTGZ30MPl58EWAefpBc0c1wyOZ08K0w90IsuPmFNglt&#10;OMhxspvEug0WH82xyLP4PaaDIVJfjcMtEL2mjmsQG69M49XekHHA8P+mG65zD9x7d85okysaR/U9&#10;PqzwlUW1/sWol2EI+9oz92K5Txm/yN1RKutAd67DH8iRnzE1GU+IA0EGZ4j9gjwyf7Gt1IE1vkuW&#10;LNX1deq/FB8q+tJvrrsmbzKCLIKrSxc/oZjVKXF06mcQX8Nd99wnclvqdpAYU13jk8COJnQP0ZuS&#10;25Wv38z11AwbKvQpc5fPulL1I7AuXgOTnt/U5M6HFb4yuz8+b147snLFcvVFGn4wth9y6BEy7pe4&#10;Y8aOSczbFgY/wKkWcIPxWzAE7DpEYtXIkTHthJNdh8SkWnw9cZbIN/PPue5PsJU1QeAqedfBVL7b&#10;KXoHx2GHHaV1OlJjuoJ6BuuNC4cdYBJ02lHmqobIOr2pxxzfpX+wXx92V67p0l/f58MKX1l/bX9v&#10;22W6B88R28B+SPjbGNvBj+0k50SDrP1qGjdGxlOwI3/zkuGxWXUP1uMxngt+BLZAnasbXuUaGhrd&#10;WomnZ3zlwIfKvDNzI71tf0/3//3vf3PMvYBPrLlRv4fkFOSbHCNGBLlNFDOgDTRSvwTXhcEQpY18&#10;a99RDaor7r77Hl36B7oZMTI9tTP+P9BTfFjhK4vpFeQNDdOBfICtl13qfv/oIzovid4+ZMgQWdOW&#10;kGGR5ULZL2Es6boW38Lu9dVi45e7+Qt+q/ND4Nxrq1fpPAPyjO/CcoGEsTHczp6u7Xnu430LZb0+&#10;+scmiatgzpbcYVMOOlgP8qvt0UjsfWFwtYsW6GWJA1tv+thqd7jEgWw1aJDkZRoX4JzoSvffc5di&#10;H+0wv05P7R/I//uwwlc2kGmU3HbjK8ut9YTgCOPs00+vVJ/lxMZ6yT2B7lEo22WzbJiMcGbN+49k&#10;PUmp2FPNEgtia+osZwn+CZP9TLED2tizJnPMZ5MnADwl3uOF514QXK3So0L8DYdLnWxeKlzfQl3j&#10;s0VfO17WIOKrIgfC2xI7Rn0flDW46E7Wx9DH2pfMB/Hv/4v3jxL+7w0fGC9xZqy6/JKL3TMrnlLb&#10;5eqrr9M8g1PE79AiNsQM+FRxxC/f+ZaXFrWfGmVd2mCNR21vW9cVR8a6Nmx92m5y3xs6hO8N04R8&#10;68y9QBtsJWKzTv/F2TrXwXxHo9hTzeNZV1tEbBW6zNB49hrxoVYq5t8m+VLBj8cWPqS6E3Np1q5w&#10;W+PrLeXFp2v4ymK6BXRD1oyvWBvGerRnn35aZGWD++lPfy5rT8plDSlzCyNERjbHf+QbK/zvx0ao&#10;cZPEXiBH8ymnnib1bFdfDXOrjLP4K2ystXZl0tf2bGAbzXLLlixO2ARtbpttt5e1+ZV67C1xF0G8&#10;WPHsF/U1k8dJcGSPRpnnFpvqrLN+KfVt17WF+IbQ0aAD7TL6ZEKX/v6MDyt8Zf2dDum2D34yWblt&#10;wTzFD3KMs0/LD390qOZDPllxQ+K5yJkVsrv9Mp4/3UTnR+X7R8lcB3Omg4cMc6teekFjupY+uVh9&#10;IMyNmP5h7UqXFuH7eBZdn7V5+D6MJk/IWt+KCsEOiafnOF51D/y7+Wt3T3TG/9Gk65JGuqOlPszh&#10;Hj31ONWXVixfqrhK7iPalw1NwvTpr9c+rPCV9df2Z9Iu4ynm+bBfXl31suofO+20q+RFJv+NrJnT&#10;NfvEZBR7nK3RNTH1w4dKDtAS9+tfnaty8vKLL6qcs+YUGmQzxvIsNCGvGfHf4AfjN/Fqp57yE1kL&#10;NMhNHFWvx3SJS1HsKNBciw9L+D65ZMlzeKJga9XgSrfnXvuK/tHpnn8miOkB/zLhjYH2jA8rfGUD&#10;jS6p2oucGH4Qa3TF5ZdqHOpG4b1Ro8e40SOGCXYIZkh8EvpxMfEjyJmDvNa6nSXX+3/+x3+4Aw/6&#10;kVv74QfuPZm7RdbZj5a2mh81Vbu7K4ce//znP9VeIbaVOW2NWRf/xx6T9nKDxaY7btxoPZi3JU5l&#10;87qgwush4Ae57sGWkwU/amSt9Pbb7yh41ylrp5/XmB7sO9PLumv7QP/PhxW+soFOJ1/7kRNkcM3b&#10;b6rtPFTWdG5fJ7q5jK2s6yCPVjNYUixdXfX0YLyfMrrWDZbcII2NozXfBboB9V8oc62Gh3b2tTWd&#10;MnKwkUuJHMTgR9v6tbLf00jZn2WYxNQ36mGyO71YNLHvSr9gxxCHOkH226mrr5d8Qu06t31V6yx3&#10;z523K12gSbZ0SYd2ffUeH1b4yvpq+/JRb+OpQFcnTmqNzFE+r+vVJsqa2wA/WKdVXPxQO0HmGZok&#10;5xk+mcoK2ddOYkEefOBhtWFY44YOhe6QjYzYs6x7hya27mXunFt0Pop1ctRF65OQWXIJFg1XwRBi&#10;c8BXoc+OkuMJ//KHsn7/TVmXjF+Z+Wdrl53zwUt9/Z0+rPCV9fV25qL+xkeckTnGWmz99959191x&#10;x13Kg/uy54DM2baAHTJ/W1QZsbE2cd5z1HCJHS/XPezYH/Yh0T2Qlc8++zRrHwj2D3H84IfOvUjs&#10;2AnHT5PYClnjWlQf0HftI8UxrRNzyNVusmA+cW2LH3+8y64Lx4DQ39b3ueCj/vQOH1b4yvpTm7Np&#10;i/HR5tyFraqrX3ZZq/gJS9yBxEaJ/WLxUWBJVDCEfe7wRew6cQ/N/fm0rN9hrpI4slzY+sR9g6m6&#10;7kViKbbdbgeJryCH0ndluJg00fkXq5PoIPtLvA6xKXPnzNOYe8YEDua2DTus37Phnf74rA8rfGX9&#10;se2Ztgle+vqrr1T24DNiT38hMVLEfhyemBfE/4F/fwteNZ4t0pn6bCN5cwYPHuLe++ADzQWCvoDc&#10;o09lSg+wh1zS+E7BI/J4rRY7AFtpp4Q/qJh48d1vM3/LIfqh4MePJG8bewxfdOHFatcR00O/fv75&#10;X2K9Q3zr3fGFDyt8Zd29YyD+R35geOw68UHii2yZ+RPhwVJ3jPjzidmynBZFjbNMwqmTZc3HXrI3&#10;LLEgd959n6ypX9cl859++km3fNJdH4OnxJqi8xPX2tnR5m6+eZ7YBGWy557lno+QDqL6odRH8GOG&#10;7OV3uOSuhyZnnvnf0o4N2q/keDSamA7SHQ0G6n8+rPCVDVT6+NoNP6FzMHbPm32zyg77EJCTd5r6&#10;Bckljv4RIZmhLjLWspcsY+0555yvMffkAUFW1smcLu3ytTedMsvlqL5TsV1O//mZGvdxmOTpiRKG&#10;btZFAt8UtuZU6TPsl+bmU3UsuP7aYF6NPka3Sqf9A/UeH1b4ygYqfcLtDssX85Po6sxhEPd88A8P&#10;U7kM2/qBny46GNIi/tzjxL4it/IRRx6tedCJwUdvePnFF7KSFfIhQg/e0y5yN2XKQap/TBN9DBnd&#10;LLfFv+7qF7FhuJ4mPlRi2I84cqrShLhAbJiOtvWKqdnExoT5pz9e+7DCV9Yf255Nm9hjiHH7XskD&#10;SN6PiRMnu+Gydn8LOYmQ75R6zRiD7NZKTpChbpttttO9cslBgM+TvemyocdCmcsxmesUG6CxcZRr&#10;lFg6Yte2oEmEdDLFkQSGoJMRW0euNNYPY5uyn3d4zMiGPv31WR9W+Mr6a/szaRc6Lfo6PPboIwt1&#10;jenOO+/m6ocjL4k4hwR22DxMFGSoJbGeb/u6atlnqtJ9+OGHErfyrPpAstl3HhljzEbuWLf66qrV&#10;ag/sUm82QrTmsbGngn4SH6rYdFyz7mC3RB6hO267VXUp8mPDH7H+kdqH6sMKX1kmcpbuM30N46nv&#10;W7I/EvixKJF7bPToMRJnKfm/QuMr2BEl3Z39EdiHfq9RtRJLVunuk1yk+D0sjuWbb77JSAf59ttg&#10;H0/yDuMzmH3zXPEFlbnvi69W2x8xPUzjxugnwQ7D9bqhVW6XXXZXXRIfDn3LGroo86avblbG2a7T&#10;lcNM7vNhha8sk3en8wzYbu20czrPFeseG4vIvc7al8d/v0jzerH2ZYzYBcaPUTwH8doj3QFjatyg&#10;rUrdpRdf2jVvgg8E3SETurKGF3kjjxK23K9/fZ7E0smelLKvXECHzXIaRbpQpzHVw92YMeMkLqZD&#10;cwgxF41PJ+o8Sf3Id49OzPpF1jZxTRl9abHF+WqHDyt8ZZnwVbrP0La+4ue2elru9dWrV7kNsnaf&#10;mIrt6orvG+xOPmfI/C37vx4uaz4qZP+E0352uubMsfH2PVm/km6fhe/DTwB+4DsFS0444STVP44h&#10;x0ZIH4vy9XjRHdEhWYO7UHw54MeKZUszokeYNvm+NtlZ/crLuhaB3E1//tMfu+oNv+YLO2ibDyt8&#10;ZfmiA+178L57dB0ouavy9Z1cvpf+AD/oK2ItyVtF7Cl7z0ZZRnQtn8yFTBMbBn/hYYcfpfqC7Ru9&#10;fOmTGdH/+WefUfxY887bQosO9/39p4h9VCExMMH+e8Vcg5xuf2xbU+1Y/4gORj5s9DF8y7nkm1y+&#10;Cz3YdGFsaerLAe6xdod4Ptpi412+MMSHFb6yXLY9/K6nn1qmbabt4Ej4vyhem7311NIlOv/Cfm6v&#10;v/a6zv/tKuuw0uXXYtyn+Yw05rLGDR882E3cYy+NdyD2iz21M91T6uEH7tM+3CBxY+AHcet1I4YL&#10;LSTHxtaCqXwz4nrIToL9xO+QIxbcgB/ZgzNfcpcL3qZuHOAdc+fkXoQv0QWJ4yM+iTXW6IS5+J7v&#10;HT6s8JX5nu1tGW1F/lhvga8N7KCN+O3hXWiA/836zLCzt9/J5/3UieNJyatFPyF7S5Ysk/G83E0S&#10;v2SU5YTYlGDeocaNrh7qxk/YRtbyb9T1O3fctkD3lEqmufVFMk2tnDPjHfM3xG52SI7VmhrWxIMf&#10;xc2/1pu+2ElsT3y+7W1r3crQOmJrZ3L7i/mbOtlBPcg1AC/ir0F+7Ddl4CD7I9KvNvZls1Yhud0+&#10;rPCVJT+Xzm/aSJ2t3pzxO9IusALswAbA7mYekXLTGaPYb9Zm6sbeL8R/kDNi+bJlOl85aVT0x1nD&#10;j60l50XV0GGyv3awt/aihQ8qr33x+ec6VqVL/3/84++qezxw711iC20SeqxTXYy9mdB3dJ18xHUP&#10;cGYPibNnTmq5jN/Prlypc1LE1tHn6dLC+KOQZ3ABvR1ZQvfAlib3G/oHfi3sGf7DR2VtoT25apMP&#10;K3xl2dLEMI84ATAR/OBM/iva/Kast2I+gzbzLbAm22/m83n2cLv2qiul7hvdww8vlLGrxO0jeS56&#10;M+YV/F5yXnCIvOwkthYx2xtk7Q5j1jOyFnfWpZfofi3wVrIeYrQM8x3Xn37yZ5U15l7a1q93v73l&#10;VrUDJjYG+V+J4y94OzPAq0kNxLCXuqdlLHhJcjvCm+jFvnZbWbHO1gfWT6YLY0fi8+hoW697eC1+&#10;fJGMy8+oXN19x+/yIlM+rPCVZUIra59hB7EG9At4CX6Qu2ad7IvGnB8+OLAS24bnjEaZfLcQz2B/&#10;gfGbxH6ZM3e++k/3HxNt/CDnJ7JMXpLdkRfxob4ge7N8LDy36mVk5grVD6FfOvTnHvaYQ2987pmn&#10;xZfS4ebNma/v3VPGc2JPA99p9PWyPSUHCPRYIWP46sS+6Ix1xkup8NT+L+TZ+oYzB/uFIk9zb75R&#10;x2IwpL1tvfpDuMZ+4X/zp5o85qLOPqzwlWX7LejPfiPgB/llaBN+f7ADHwLySBu5tr4yOmX77Vw+&#10;T52oH/6a2bLuHV1xzlzJsyW8d0DE9Q+VZcEQ8CPY06HUrXxqhegfnW7tB++pnmv5UKFZKvobDaAD&#10;4xv4QQ5H+u7HP/6Z2C+lEjsGlpI7MfrYAaZOahB9TPIvLF/ypOjCr6tteuP116akQS55Ktt3MdcC&#10;1tEPzDnTD2AFfgH24cHHz3/YY/SZ9V+23+V5H1b4yjL5ltWV+tIGsIMcVfhN//Dxx9pO1r6jl7AO&#10;9I7bfqs6Fs9l8r1CPgP+zbnpRrX55yTG3P0lx2iUdXViQdFBwI99xNdbJvkG7pUYVPADGxJ9kP1f&#10;u6O/YQr3cCx65GHVG8l1Ct82N7Wo/XKA6mLEjbEXTvTjx74v9WUMmDN7ruwL/I7iB/xq7S0kb2Xy&#10;rS+/+ELzuCBHyBPjMn3KOi3m5W2ODH2RNuWqXT6s8JVl0iaewY+BvgQ+0jbmmGgXNjcH14zl9BVt&#10;C38nV20MvzPba5Mt2oM+1SGyp/HawnvsOxdl/AjysddqXoEDpK7s2zhHYs3x4WyUvsBGxp9tsYup&#10;aBXuF+ZddO5Fnlf8aJ7ZJ/ED3bFM6LFg/gLNZ4suDE8ytqeiQ1TKDQ/YDx1fqe39h2wxPhNbRpwS&#10;7aGvuD9X/kUfVvjKsqEV7aLu6E/ou6x9R79iXpp4W+YxFsybs8W4F+bRbL6d62etXtiaty24xW2U&#10;Nsy67ArZY7bUHRRx+wXfabCnVbVgXZ3ix/x5t7iPNorPTfaZZB9w+ok5GGunj35gKGMCZ+7H540f&#10;qC/rH/tL31VKTO6cm+fouIa+jyx+9eWXkccP+sgwn3GNmA9kjv5AxtD1lz75hOKKzXf6+jWTMh9W&#10;+MoyebdhnPk2ONMm0z+4Zt04PAhGhr/RHf+G7yv0NfVCbsBxdP12We99/jkXiCyWuEMkj1WU9Q/m&#10;bmck/BHIC/o6+AGPoX+wjy9yg84LXa3/kmkMDTjAGe5Hp+R5+rNJ7Bfsor5mv+D7JiaXHKjwp+EH&#10;eW6T2x+139YfnNk/FN2J+UHT8TkTL018CJiYaZygr90+rPCV+Z5NLkOuOCi3NgXrRFrVN4yfmL5B&#10;90AHMb0EvTn8bPg6+RvF/m0yBX/puCvtOe+8CzR/9yGy722U8UNzfup69Wr3gzGNamfMmU3+I/G3&#10;ib1sfjb2XuupDxjv0B3hR/ZtYA6HPm1qmunKxQ+5v+w3xx4v7NMUpRwGqfoHvCP+FDwlHxS+U9rG&#10;2A0vF5vvwt+nPmE5479wGfFjjMnkmDA/CHKHDwT/I/hCn5mM2rvC30j32ocVvrJ03md0Nt4jj26w&#10;x9IsjW0BB2kPfMaYhw8S24Vxi/fznL3Dfqfz3ULfQx3pA+ah6Rfwg1iKqOOH5oIXHypzIvuRB1X0&#10;hLvuvFvXnG6QPmDOjxxAC2X9GDgZ7gsfjW3uBdwhjoT52+knN6leM0X0myBWLeKYKhgHpuD/AD/m&#10;ylw8/Mg+vvAmNPG1vdhl9E1y/9BnyBD1B/sYl5E5fCDIHesbmfukj4mVsPWSNiZm0iYfVvjK0n03&#10;bTL8IP6GeoITyJm1g7YQs08biTcN08IwJFyW7rfzfZ/1F2Mv+gc6Ilh43rkXBOvRErnXU41xxS5v&#10;1lgumU+V8x4S30XM/fKlSzWGFp5DL8QPxZEOLZl7oQ+hAWM2eszpp5+pcrifzEWR773o+0Ql8KEn&#10;2oMf7KPN/At8im5J27Dl4Ml06FHIe9hbAv2PuEv6zfxR1AE+XShjADoI+j+yB44wZjMXg5+LnC/Y&#10;4NnGgviwwleWDm2MztQ/yK/TqnMutJM+MR7F18H4DbZ88uc/deEHOMiBz9tk1d6ZzvcLcQ/1Cuz+&#10;Vo1hp2/OP+/ChP8j2mPtzAmyHlZy+ZAHdTfBD8bbV195SeQ/mAdDf7A9oOiDVLxlfQLO4K+jX/Gf&#10;Mo9z029+o/HrxPKbv4VzT/Jb7P8PkrzSxJ+2tl7l0MUY19A/yEFmvFgI/kr3G8Q6oNsjR4xl+BFZ&#10;v07fIENgCv9x4Ccw+SN2Ar0jWF83S+M3uT/TNvqwwleWTrvCdWAOiXaBj/AXBxjIsejRhRpTi/5v&#10;fmPajVyiq+Aj5mCtTDrfLfQ9xGzDW8QNq/2S0D8Ojbj+0bT1CDcdH69gCHs2shfdpo3tbv26tcpv&#10;6IXot/Qb/AZdDSuMxuE+5j50ZO1b+lh0kIUPPST2i+xRJe/XvOvQpA/Ef9B3+E/RJWkPPIrs4bML&#10;t9noUMwzsR7oD8RDMKeJnoS84Ds1/AD7wXf41NbFIHuM5aw1o4x3cM6mfT6s8JWlSy+wDExgPTjz&#10;E/Ch6U9gIm246YbrtM2GDzzD+9EZLZceZ/QvZDXdbxfqPvZ7pG6MUX0JP5plH9wZIif4M7eR9XPV&#10;I2tk7rZDbXzDeHgLvRCfBnzl4y3K0BtZr6RzLyJv0KFT1u9/+N47so9WpduxTvBDcUO+1wfxw3w7&#10;+AzgKx8dCsVvyd/54x8+VowH66G72VqM2eG6YqvQl2AMcojsMUYwl8tzyCH6Y/L7e/PbhxW+snTe&#10;aXoQ+hKYiK4EZlBX6o2djO3Cf+hPYd2D2DHwHhwl1oXck8goMe7pfLuQ99Am2kD/0Dbzf0Re/xA7&#10;QtfAiP1SP6xK8nTsqOtlja/gsaDvZmnbUtGUMY44d/pnpay76xS+5FAM6mxzo0ZJLkfJB0j8ehDD&#10;Hv3402T9A70D/Yp5ilR0KFZ5R9t6pT11g//oM3CC+iJjyCF9xB5nrZddov+xzgz/B//jE2E9LvlN&#10;kDf6PVnPTLdtPqzwlaX7PnCate3IF3YWbYWvDEfASHCC37yTevPMrbKPCn7hN8XeoZ3vyrPcx5x1&#10;ut8u1H2seVHekrr1LfwIfBInSR529ove/4ADtX+w98mbs3FD4KtHL2ZMS0VP+JNYd2iAf0DHBvBD&#10;3rFJ3jF58t5u6GD2sqiVOVzym4Mj0faBJOMHvAsPo99nKlup6JdtORiAXQIOIPvIF+MyeL5Q/Ka8&#10;H5niwJ8FtqxYLmO5jOHcy/PYBvgokTHaaDZAb+vmwwpfWTrvNdwDB6gf9QUnGN+oN22FN/FxhNvI&#10;//QV/nzkkfuCdZ2tui43nW8X6h7aGMxzXqX6Vd/CjzrJB1btjh7XoL7T5uZTtI+gN0fgA92g/UP8&#10;Qyr/KbYL/AtfQgv6GQzi4D1HT5W9+CQWfJrmPw3WwEQeP8QvxB5S58q+fLQDvkUeGQttjCsUj/X0&#10;HewX6ob/jXpyQHfkCjkiJwvvoN7Y2mAEOGKyCM9in7LmHfsFWyBTjPRhha+spzbxP3iHnoROhH4L&#10;ZoQP6my4afjImTX7lJM/0zAywA/Wha9MOQ6mU6d83IO+SP/hK+hL+EEuDnKQ7dfYILlyyt2119yw&#10;Rf/QV7QHHKcP8bX56MfYDE/a3Eu4j7m+8ML/1bnhg8i/LvEmgR0Tbf2D2GH8vuSONzmjj/Hv+GhQ&#10;zDLmxtD9iB9Q3EfvkwM9gjkZ6m+Yh3yx1oL5Gu6xPuaM3Jns8R5rE8/YdU9nH1b4ynp6D/8zNpv/&#10;DV9wMl+Bd+CErZOjnrSTtqEPcz+2C2f0YmiELySdbxfiHurLEdStVeeH+hJ+tGjsWK3brb7ODRq0&#10;laz1fuo7fQTt8WlAe/xXvnHJ8iXjl4NXk/v57rvvdSWDStxkcoBsjc8l2vPa6EYHyXrCcln/Muvy&#10;VrdJ9Cn6FZ5kfqk38lQIPuQbzE8Q44buzkE/YOvj02Z8M16l/7iPHJMdbeu1XdxL+4gz5hnGAvo0&#10;XPd02+zDCl9Z+N3dXRMji/3CnGAyX+EvBtPRv/CdUkfaR9vM3sE24zlwAx5GZ+nue4X8z+oLfqC7&#10;Y3P2LfwI5l/Y56qmZqSMXQmfp9A73FeWY5L5v2Q+4jdjFv1IzAG8G36Wa+KOq6qGufEjxXYRe6mp&#10;D+DHARLvRv7CuRI/praYtAv8YK1Ipr6BfPImuIYvAPqjO3DGd4jM4OsI9xv3GdbAr/QR94Mz4Ae8&#10;TCxF+Jl06+7DCl9ZOu/D7kLvpa6mR4R5i3xqtA+/MO+jvl9/9ZXyIv1Em6x9QXzqLH1POt8u5D2v&#10;v7pa24GO1Zfwg/iPk8Y3apzllCk/cB0e/KA9+DQYk7ClsZ+TaUv/0o+MWfBuuI+55h3f+94kN0Tk&#10;8eTxI8R+iXZeA/SP/cXWKi0p0/xpGyUODl4EP/HrZyJXyTTL9W8wHl2ecRZ6M+6iVxBTCh7go+Kb&#10;zCPxm3gW/qdd1kc8x1hgsWj4u3z6Znd192GFr6y7d9h/HcJ38BW+D/NjhHmLuXR48rXVq7VP6Bd0&#10;ZJ4xX4K1Ddsa/Ld3R+FsfERdkS/8APTBOeeen1j/ErX1t+QwNr9DsM/rfqNr1Ddx4YUXSbxXMBaF&#10;+4j2cKATogszD2a0p/3wF+MZfcZ4Z/wYfkdnR6c744yzXJn4Iw8UuSTepEXqwaF7z8r8cdTmZDT/&#10;R2L9LXPR8C86Mb4Da3+UzuwRpbggvirqavLG2AZvYluyHx0yBM4w1xLuI5Mz+tBi0MAg+tf4PJ32&#10;+rDCV5bOu4i5oe7o9z6+MnwxmxKMRA8G500H4znyJ/GecC69dL5fiHugLTof8oOezpzleYn1c4dG&#10;bP2+7j2r623FB4Hsih3ROGKoGz5smHv9jTcUJ3w8BS+iz8J3pgvTbg7Wo9JnHPQnWJP8jk7RQVa9&#10;skr1HPK867fxo6ovVeqSOEdpTiYZP2gX4zLjmLW9EPzVm2/gJ2DOBZlBfug36k1cB/0TzMfMUgxM&#10;7iN+G+7Y/Yzvpn/Yuaf6+LDCV9bTe/if/B7Um3r58IM6w5foINhehnvYAdg7tJ1nbS4b3Yu+S+fb&#10;hbjH+Ii4HfCDtVW0E589sc+Rix+T+RbGfnJ+tAh2TBol8y4yx3D4kUe7DaKjE2+ezFdmj5iviv7C&#10;/re2o3OBK5Srziz9lfyOTRtER5b37/+DA8WnUOaOHtvgmsZKDAiH7H0XrMs1vSga52T8gA8tb00h&#10;eKu336BP0I/QE5EbfIrwItfMgTInyxiMrDEvQ3uS+4n7KWcc5F78C+E5+3Rkz4cVvrJ02gdWc9AG&#10;Dl990f2RPeoLH4LxjGPmE6ZNzNlyD3RIpw3p1C1X91AfWyNCvVkzdv4FF+ma9YO79ouOhkwEeTcE&#10;P0Rmj5VYrvKyCsnRN8jNmXOLW98e+NyS+4jf9AH2NWOBjb9GP3QvfFxgKLzHvcnvoGyt6MKXz7pa&#10;7LoSt6vkej9lXL0elgNe18Z02VbFp5cPP8BI1lHQ9qjxIfiBzxD7BHqb/sE1soRfw2SMuQxfP1m/&#10;0Y/0NT5H9I7e+It9WOErM/7p7gxfEbfIuOTDD9qFbw77mfqCjdhr3GvjHte0HfxAJ+nue8X6L4iv&#10;lb3nwEjprxtvuFHWfFS4KUXMn2w2QYAZgTw2s95WZbTGTWwgX2GZGzN2nGtbt05p7huT4Cn6wuJv&#10;6Kdvv/22yy62vRKJwTWsMT60M+/tELq8/+67rqGhwQ2vGuKOGT9KD2wo1vVjW9kRBTtG88FKPhSd&#10;f5G6w4cLJZaT9rNWPmr4gZwz/4XMWZ9RZzvoH9a3EA9CnBljnfWPnekn7Sv5D1lE7ngvR7rt9WGF&#10;rywdWQXvmL8F62iH1dPO8CX/EfdCXD76IVjD/3Y//9s8TRRzx0Fb+oO2Yuez5ys574q9fwP+SPVP&#10;4luQmAt+B8dIzatYKbktiI+67trrhdboskFOCOsbO4PxXHO2HFzwIv1P28npMkf2rYDvzOa0Z+2s&#10;PCn6Db8vvEB0M/GjjpB4do6jZP3e9AkjXLPgCLkEgrX9zPEWVwfRfI6yfn/+vPnKi/Aq4wT48fnn&#10;f4ncOIZ82xyl0T18pg+Yp6DviD3FtxH+366RO3zk4AfzaaZ7FAM/TP+g7oYHVk/O6FG0GZ82fGjz&#10;F+F7uDb8iGq/gX/g+gahfVTwgzX56i+V/Rk0z5jKY42M+Q2uWmIxhg0b6q664irpl44uv4Wvjwz7&#10;kR/iyLAx4Sv4ifwS8Bm4b89yf3L/8R/l+p+sp9t7n30lnmyQHiNlz8xjxZZpkjkY9A5yGoF76hMp&#10;4jpd7BfWBJGPnnrjTwjkM5jDBjvTGUMLdU9P+EEfmB1AX1p/hfuKMg7iyND3yXdouJFue326hq8s&#10;Hbowj8L8M/gRrqddM4dEn4Aj1qbwvXbN+E57oogf0IH8kvinooQfyB/7M2CvkB8I+TxkTIOsY6uU&#10;8b9S8+Kgd7BHrcVHWb+Ez9YH6B/IEbYmB31nuYXwT/G/L8aHd/FcoFcGOuh7a952Rxw1VY+KyipX&#10;PbTKHS4YMgM9SfSlGWMD/SPYX6I4esi+7P8i+sfvbr9DeRP+tHzStCUd/i/kPT3hB/0INpiOqFgu&#10;fRPua8MPkzcw0/CDs1131y4fVvjKunuH/Ye/CR3E6hWuq13bf5ytjfxnv2ln0B5/7JJ9q1hncJk1&#10;xPitmGNg3wPds1HynwY5xwvA/6JrBGtbEzaKzoeKX4G5DRnPp01oEH9Htc59DBtRLTY9exKIXyNh&#10;U+g6WaG/9Un4DP3pC8qQG/InhP1V9DH3IF/h58LX4T6mfIPEg8DHHFfMmiWxqVWyV0KZ21P2fGuW&#10;tcDgh2JeYn/NYL5X2iM2TmDfBDRl36t8+UrYj489jJcuXaZ+LdoQ4Eer2gDF4rdU34UP0dOxo8O0&#10;t2v6CIzvqZ+4n3HB5+cpNH4g99SD+A3jQWtPumcwxfTGqPo/8Hur/iEyiT94tuQwrxT/aT73n9si&#10;Bw+2iuDEyej+IlMtMi+K3/RkKT9U1nEMETkgt2k58dhz0MfbE/rAluNPOn0CH7KGAHuT/k3nmeR7&#10;VOeR9/Au/M3/+z+yvk7WmlRWVrptayRPiOAdmDEdfQT/qrQLTGmWeFnFD8XLQFfJF36wVqdC9t18&#10;crHkg5U6wr/BXOF39zVLJdOFLAc/gvwd7OHuHwuS+yH5N9jCQTxxpnFyPl3DV5YObYI1K5vnVJLr&#10;m85v4pMMP4idTgcD06lbLu9h3zmNeRMf5Eey99Js8Z9WiDzgg8sXf6uvIOEnsG+oz0DWl5Bj4ySZ&#10;a5kke1JWDRmssbANjaPcNVdfLzpHkOs+Hdr77gHPkXt4FF7LlFfb1q+XcTxY679pY6e77NJWV1Mb&#10;7OFdO7xK9p+tkVh3oZ+0p4WYt63FvzoW/SShzyUwxNqe6/MkmZ+qkFiV5cue0rh+2mm5rrDdcsk/&#10;uXgXcmF2NHqGr+96KuM5+hf90nJq9LZuPqzwlaXzXvQOYmrxu2XKZ/AqewDjp6Nt6Xy30PcQE0Hs&#10;js1hPPHEYtF9y9z3JM4h13wdfp/JkvoJmP+UOZbjJO/vZNlrpaqywpVLHbbbYUf3i1+cLeseiC1H&#10;5gNbI9P+sOfgNa7BkJ74Mvl/wyD6luftHexTfchhR7rBYs+Qe2Ok+EUmixyfKG0iVhW/6hY+kf/P&#10;3pm/2VVVeX//A/2+kppT85ihqpIwJYRMzFM3ATIwCoSkUomKiIqiTIIiQoL9qjh1t1OrgNrt84ig&#10;jbZ2MwmCIBDxdYAMVUm031YUEX27eX95v5997ipODvvee+6pc29VYv1wnnPPvufsvdfea3332mut&#10;vXcVMWSp1iTXKTbmqSef8vRR12gd4XYfp19rHktTHrESkR78eht2sg9Cz8xPsUV63632NExTZvKd&#10;EFaE0pLfhZ5tLRx+6VB906Zh74cm8xuGypqqNHAfGzE6n9Gz8/lf+PWmxGrH5T3X3wXZQZ44l+m0&#10;eXPcUFeba2mO/LJDg8PuesXR73pBeyFzHqXmLKxDt7EpsmdWPn8BM7iQJ+gFC4zutHe+pXwun4+e&#10;2atol+Z+1PV5xT+yhmj+/CHR0ywdqskdKyxeLRqZ10Cz17VMF6nCfbC7w3V1dak++4RvUUwB+9Fg&#10;x8c/MVX8Vqpc4reJP03bD8n34A10LHxsYGWpsor9F8KKUFqx75Pp2BVZs5isa9pn+Mv2PrV9QpJl&#10;TOUz/nHiH9D3GEe9fEpWl684zs1uadL61sKeOZL30cJZ96/DkYKf0sdP+TgN6eoeF7CLRvo6tlD2&#10;Oo723tFd4/E6nW93dF+3fCpN3tfImVVLlixzt9663e2Rnz9tG0/X93Yp3vjG993s92XlbAn8qR2a&#10;jy3R3OZc2UV8W+CfVpuNMNcptNWo2sr2eOe8O8743Uzb671QnOsWb6eNfFTYWi5WPpR1yqlnHOCb&#10;Ir6AcYyY26nkuWTZjGFcYAfx2x6ThcdZ+pW9lMFIvk2Wk+Y5hBWhtDR5YdMxH0wWWvgGebS1yawN&#10;TFNurd+x9R/UFR2Ju62hO07jpj+zUfP4A2ye8TETWfDygEzgY4j8DD4uE95nvbv+3yAZWS1dfpnk&#10;p7utw9tYGnTmwtGLj3Hvfvd73WOPPCT7xq5J8U/WfqrGd+g5Y8Lksd073Rc+/wV37vkXuQWLDpc9&#10;p9HVHVbn+jq63QqdW3Muvl+1D7bWzWqjqP2EF8JYm/eAGwfMfWLtz/tRvG6X26q4WHQd9jv6sOJj&#10;vCyqHuhZzMfBD9aP1JrHSpUHdvA/dgt0ENotS39AK7E82ByIsS1VZrH/QlgRSiv2fTKdGFh8MH5t&#10;agZMpC3YGxq/FOt5k/lP9TMYCU+Bk/QZOjn48bOf7nBtkvFmdBCdLbtVvoQRxVmyZ6CNk3Yf0Z4Y&#10;+Eu4olgv7TMsf0M0Zmo8HOxwq+b3uLr6w9wbtE8Ya0gaGupcj/Tr9914s9v9QhSLTNnEdER2mGzj&#10;Txa+q+Y3+JixoePXIh5h/9597qqr3uPj3xoVX46NAt2kRzbX4+fKVz3cIZxQG9PO+Gx0x24S7bXG&#10;79d0utfan/fRU3rcurlzfNt2dfWoLcej8UAxMh7L1L6MzfidpprvkuWDIcgI8p9lTkkf8h1zBfRp&#10;+DpZRprnEFaE0tLkxTuspQU/iBvIwmdgImtz6Tf0RsPatOVX+z3mL+C14YfFYsFvl20c9XHsh/d2&#10;uwsH57mN0h3gZ+Nbu7Onn9etPQ/3uwt0P0t4cYJ8iMPaG6xFujT+1ybFSHQKM0444WT3nvdc457e&#10;8YxfV7LXr2/VGCncor2oQ9YxKEsfVesb+NnoIFYEfBwXrePycz0ufrrm2uv8vkQt+Jjka52lmNZW&#10;2UuGZXc6Ub6n9WrHS/y8T3YT7aXA/NH2DLC2t/vI0IA7XdiBz4W5yzvfebU/w9evaVJ70q7QCR8S&#10;x15tvqo0/z++/LIfx9irNmt/0N7sg2j7aVRaB94PYUUoLU3erP2l38FFzkaBrgkeV38Yb6ShFwzC&#10;v52m3Fq+g54Hfeyri/0DHoceaNv1wi/dmjXrvC+Gs1Tnd7e7E7Vfz2rxMnuDnCn7xanghHRwdObh&#10;3k7XPrtZWFHvY5dYg9epeK/jjj/JXf6WK9x9937L50/exH/B0/Q5vymT8q1N7Z6mbafzO943I3r9&#10;3dMY8Y3HyQLdP/3JT9znPvN5t2X0zW7lqhPc7Nmtwu16347sC90u++sCxZUsUzsfL1whLuccYfla&#10;7SPAOZXH62zNOZ1806C4ndnujRdfOrGXAVgctXFULmPFdORD6gi2mZxl6VP2n2AuTh7TRf9AvtDv&#10;ibGCB8APaOVKw+OGN9hh8W/XEhvSlGVn3xL7Z2NUvO84h/5//e1H3EmnnO6xgLgyzjIgPgR7Z0sz&#10;8RmN/urt63erxP8XXXip7Cfvd1/+0l3a8/wXwgZwIvLpWxvGy/hL/m38Ecl5pH/hv/niP37Jvf3K&#10;q9yZq9e6FSuPd7Rt1M7CCLW9tT99Qexad49ssuddJNlhb4zX2w+sb/GPwsvTTQ9mfme23az8YH4K&#10;9vtKw/uhd0K6Rigt9G0yzdoY36at0aQf0uCGtQH8wfvMy7AvJ8uYymfoIyYW3ahYLCb6CDoY/kns&#10;9/D19dffpHNFblTc5S3ae+Mz7qtf/WftW/C0dIvIjmFzIOwYE3q7cMjzsNqikvazdjxU774tCvoJ&#10;2DounYSxiTgX2iuSe8095BNjLv21r37N3XHHJ9QHN7rrtM8TZ0vcdddXtIfB8z4WlrYPtdWY5JOy&#10;wI9SZ2lNFT/mgR+MgfAyPJeVjhBWhNLS5G86ULR+NorfiPq2+F41ob6j3/BLEaeVptxavgN+mE0t&#10;VHfS4GtwBF5mHwxiMbBZ+KuABzZ+8i4x3YyBYA66R/Qc6Wv8X4zHi5V/KKcb1sJXXBOx+WpD+IY2&#10;p82wK/Ob97Gh+DaUfXSfLsuD/4mJ9f8lcMTyYgxjPKwlj6UpC9syfIi/Imt/o9+zXg2bnslumrLj&#10;74SwIpQW/6bYb+qADYR4G3ANvQhss76mT8rRSp/yDvhBnJbpNMXKrHU68xfmjGBkiBbqb5jp5yDw&#10;tOiBdsYMfAvoHZ5v9S7pjJ17dmuuJ3nw/mDdyZv3uadpt1BdDsW0qL32TLQNbQtewGdRm0b6iLWd&#10;YQnP3oaktXz0C+n0BWcBGM/F24t0xgD8o+jS040PGceww2HbDdU/Tkux39gIWIsBbVnpC2FFKC2N&#10;nBqGRf4Txd08+MAE/yMbxeiIp3v50xzGYsTTlFvLd+ApcJ+1mfF6z/wOzwMO1naxccDm4rXksbRl&#10;oTugQ6TBD3DXZIs7F/svs99XVuygniGsCKWlocnqgW8J/ePb937Tj6nGQ2nGUXsH29B0tHsbfhg2&#10;Gm0z90MLP+hnbHGsc8IGkob/a/kOYzW6ETFkJjNpeJBxHOxgrSv6i+0NZfuOVUpDCCtCaWnyNT2I&#10;O3vfoRvFaYv/LkYrtEXrDrb7dXhpyq3lO2PSg73dW7pVGnqK0TmTPr3xxvqW8Zn+trGxlrxWriz2&#10;8QYD2H8wLT9BF3M3sIcxnjhPmzeUKy/0fwgrQmmhb0Np1s7sSeL3+BMeUGe70tBp+z5Nx/UvEX5E&#10;sW3GY2lomnlneuNFsn8Yx0iL9lzbNq30D5Mx4uvBANarJ+sfejZ+jXTo6AyfF3/7G09bVgwJYUUo&#10;LYQVyTToMtqIHcVOgI8ZPRB6rE9CtFkaNi1iO8H8l//wh4n8kmVN1fMEfhRsO1bvmfvBhQ/l+sv0&#10;/Hu0Bzt8bHw9VXyXLBd5Z198xmhbA4MNuRxdYAhnHoA7zH3IdzK0hbAilJasf7FnwxD2XKGOxN6A&#10;G2ntp9CH3wXb8GToKla/yabP4MehhRPF5A0dH75F/yAGdbJ8k/f3yAYYgn2XGHSwA73CdIwkXfF0&#10;OycS2w71mi7+W+piehB4wdwMHIAu6InTkKTPnpmPgan0W/wsrLzbP2t+M/jxl4Ef6MxgSGT/mF7z&#10;F3jXxmnOeEVXZ70ZeEedTd83meIeH7+JPSAGwfwTJrNZZCKka4TS0uZtOsOrr/63j01BB8EeCm1p&#10;8AN9kW+IHaTMydCWts6VvDeDH38Z+IEcInfMpdE/jK8r4ZVqv4veQLwQ47TtQxbHiTh+IHt2Md9h&#10;Tmbr2ydDWwgrQmlZ2oIYdLCRekIXGBKnid/QZOnYg8BFaCM+xjA2S9nV+Ib6UF9o4lzpJC0zz4cO&#10;tpis4UMkfqwa/JQ1T5N37ujozF/AEOwaxeTMZA3dhJha3sc/YTKWdZwOYUUoLQut37r3Ho8FxMhZ&#10;fyRljHTmbtyJqUA22es7qz86Sz3TfkNbY9Ol7b/z7ftm8EP4n+zPQ+XZ5tzsk212grR8Uov3TN65&#10;Mw/hnF7kDTkK9YGl2x7FjNMvvvhbj4uGR1nqHcKKUFqWvC1Ghb3+rP5J2vx8raCbcK4KdD3479+f&#10;NF1Z6pvmG3AN/Qi9thhNSRpnng8+nKFvGauxxdHXk5GxNHxV6Ttx/LCzztH3qXeIL00vwa8B/3I2&#10;ruVhOkildeD9EFaE0rLkjS0UfQL9D5psThmXJ9LM7gPWg6PYS6BpOuogtAOxcdi9Q/0Up23m98GH&#10;G9ZnyNvY7l3eFoeuabKWRQ7y/sawzOR+p/aNBefwVRhOGB12Jx1+ZUzHngMmWr0sP3uu5B7CilBa&#10;JXnau9Eawe0eQ4rRBX38x4XdFNqIAbE8ptPd+guc46LO1j8z94MXK0J9B3ZYfBZxntOJD6lLXObh&#10;Q/R27CDFeNLr+dKnoAX9A50FTOSK51UpnSGsCKVVmi/vUzfW6KCDEGNrdtJ4f1naC4W9am+/7UOe&#10;HqPJ7lnKr8Y30ERMC1gfp2Pm96GFH4zVpuvjG60GL2XNMy7z/MaOsf3WW/zYW0onBltYkwbWMLZn&#10;LT/+XQgrQmnxbyr5zVn12BtZ029YkZQ16GKvHegCa8h/uuGG1Yl6geHU1daIJ+mZeT74sQRefewH&#10;j3h+ZD15JTxfq3cNRxh7iSXFhwt+hDCENGjCd8tcJ686hrAilJalPGQNvQP8YJ+TkG4FXaTTBsxf&#10;uDiHKkt5tfgGmuAr5lk7dL7EDFYc/FgR6kNkjXMb0J/R/WvBW1nLYA0tdkOwAVpCcubTNX8htjvP&#10;ff1CWBFKy0rbK6+84udb9yguLKR/QCvp3LFLgjXYg6y86aSHUBcuxiPwg34L8d5M2sGPKewfBM9i&#10;K5jO4xlyAm4gN+BdMeyAJxmrsZHk6U8KYUUozeS50js6Vqlzbsz/gq8MPy/9RbyZxa7zfaVlVvN9&#10;fEL0EfMX5jH8Nn3R7jP4cWjgh8UT2DyhmnxVad4mF//v1VclM5HfgZhteK8YhsCfyBd799r3lZab&#10;fD+EFaG05Hdpnq2O5q8IyRe02rof4szMt2RjfZpyavkO9SKGDPzg7I14X4Xom8GSgxNL4El89NN1&#10;HSeyxcX4y9wF2we8xnMxnsOfhJ7C+fZ5xUaEsCKUlkVGDT9YC8dea3FZMxpJs3lNZO/e7uecnAOR&#10;F41Z6l7qGzAEetAbZzDj4MQH479id/qVGCv2BzQ+LsUTU/EffEisJWOZ7acZkjFohJ7nFDvGu/gy&#10;+DaPOoewIpSWpSzqyGU+Z9b6FOsv6Abz0VXQsaB1OvcbsX7s0Wr4Yfdi9M2kH1w4g2+NeQE6sfFx&#10;Fhmo1jdWJ9Z6WCxBfCxO8hv8SewYNP30Jztyk60QVoTSsrYDGADeUW/OtTVdIylvPHPhx2UOw/lu&#10;1kZZy877O+pDntCEXxo/mK2TSNKT7L+Z5+mNH9Z/2OGYA7DvFePYDx5+KJdxOm9ehAd/97sX/XyE&#10;9S/GXyZH9hy/M29BtsDGvOoTwopQWpbyTP536BwH5l1P/eiJCTpLYeWdX/yCt7liG8pSbjW/MZrQ&#10;G8HEHfLhmv8o3lczv6c3XoT6B9mDL7l/U+MD+EH/VpOfJpO3nZMSl6sQXZZGHD40EW9mY+Fkyufb&#10;EFaE0rKUY3UE75h3sadhvI9MFzH6uI/p3fu/da+XTcb2LOVW8xujifhf+sLO74GuOB0zvw8u/LAx&#10;gDvrwW2NO3Nu6/Nq8lWleVMndGDipXbtfKEs74GLFsv55z//+aCYv0Ajeha+dPCDvZKQK2gpJl/8&#10;98QPH/P4gQ5ZabtW+33jJc4eBj9Y2w3PzeDHwYUXSf6L4wfzF+TSxupq81SW/OFD7B7gXJKW0DP0&#10;se4Cuz8ymaXM0DchXSOUFvo2TRo+lD/96U8eD/B3ol8ga8Vkzv4jZuQrd34pNzrT1DXNO/Qb12/+&#10;8/94msBF+msGPw5u/KD/7CJmGp8otgL20bM+T8MftXoH+WH+jK4ewotkGrThj/6HT38yV3pCWBFK&#10;y9ouYB0XcW92VlY5WeP/r3/tK759Xnrp9xP00o9Z65HXd/E6YD/1+w3ILkx/0afJfpt5PjhwxXRi&#10;+hA/BeMCvkD4Jt7nefFRJflY+YzF9psYMHQkfBLl5AkehD78hcQcxPOppB6hd0NYEUoLfZsmDXq5&#10;iLvH51lOnsZ27/K0Pv3UU97mans0gkHTIR7E+g/aI1/zdm+rtz4qR9/M/9MbT5AzzlNhbEffz1PX&#10;TyMvoXdsDOY/+I/YbOYu8J/hXjm+4j3GO2KxyCcvWQphRSgtRFeaNJM35iLmp4ZWMDOEm+AH6ayB&#10;QX/82t13HkCv5Zem7Gq/Y3v7p7HrlOvfmf+nFldMd0TOmGfjL2SfcvhtOvEcPslo7rLN1xN5sbqX&#10;4yF0KmjKUy5CWBFKm2yZ2H5Zy2i00k8h/LAzcPgfPy4Ygv3E8HI6jAfWFt/77v1eh7xH66xCtJTr&#10;z5n/pxYzku1vfYjeAX5gvwc7pgPPxevAPsHMXZhnISdJOkLPjMfYg1ljlycehrAilGYyU8k9Xk9i&#10;UOkT/GFgCH1l/RWnl/bgf+J4iN1Bj8S/TV7obfE8K6lLNd5lXxnqNx3i2A/AZfQ7XfsK7RzHatrc&#10;2ph25zfXmHwOY3p/XJf1B+9avqRF/bXXv8e7/Le3kM5/dkXfR897x1mTEZ1Lgl/DxgfS9+1lT0uV&#10;t+81GSAP3uOKyqsNxlgbUa7FQBOnCd/EZbcafJQmT/ieMZS6EHOKf4H2p43ifWR9l7yzNoSxOG+f&#10;ZggrQmlpaEy+E5d1Yl3Aj3gMapLG+DNtQvwHdlfkk7zsSpYzVc+2Zwn7DlD3WvJ7vK34Dd8jA9yJ&#10;t7G67JdsksY1JpndI3k12UV+jf/2jkff71PsA/IMPtD+4DgYsc/4tHDfvesF5anzziiT8mMX73Pt&#10;0fdjyvfXvyZPxccUvuWbvSrD8IeyTRaoJ3UyeU7SWa1nyrS2gOewi/MMb8X5eCp4DcywOlAn5Ii9&#10;1n3fqJ/StImNdcTDWV550BLCilBa1rIMu8EN9CdiO4xXaIsk7fANaZ631Db3FPZgmI57ov7x5ZfF&#10;Zx/yOggym6Slps9qS9MdwAywgTaEx57/+c/dV+7+J/fB99/s3vrWK93Za9a7Y5etdIODQ66jo901&#10;1Ne7xoYGV19f5xrq6t0s3fv7+9wRRx7lTj7ldJ0r8mOPB+gOyPcNN97slq043g0vWORaWlr1vb6L&#10;XY0NjW7OnDnuqKMWu5NPPs1dfMll7uqrr/HXhz/8Efew9O+9YI/qzAWeRf0tfUj19VhTwKCatqHK&#10;RM/HTkC/soZzOuAHdTA5wu+CHsH6MPqCPqHtyrVTdB51FGt2MOGH7eMBjczZ/u173/W0Gu8k6aZN&#10;DEO4P/v0j7180m7TpS/jWIquS39ydk+Sllo/M+bvEv9/+7773M0fuMWdf8HF7vAjjnbNzbOFD42u&#10;qaFJct7gGhsbXbdwY15Xh1vY0+WO6ut1x/T3u8W6L+7X74EeN9Td6XpntwtTGt1VV13t9u3XuhD1&#10;4Zjkfs6c+e6wN/xPN6ejxR3Z1+GO7us+4DpSz8Ndna6/vdPNbmpxdXXgS/3E1ah69PUPuBNPOs1d&#10;fvmV7qMfucM99uijfr5Fm0FHhCvl5SLPNobfbI0ZOm+8n6f6NzJP3Gg8ZszaiHu5dsBWx/hN3JJh&#10;UR40hXSNUFrWsmwNC/oD+IH912gN0Q2emt5MfzKuMz/A90teedKelab4d8TvMFZhqzG6puJOW92+&#10;/SNu3vxh9z/+6g0eJ+ols81Nwoy6Wa69rcUd0dfuTp7X4y6e3+82D/a5keEeN8o11O02D3e5TbpG&#10;F3QpvcttUfq6wTmuqbHOrVl7rtsj7BiXnvD4Dx+XftLgWqRvXDI8z40M9epbvn/t2rqgR3noeWG3&#10;26Rr3dAct2pgwF/gUkNDvfJtVN0adDW6ej036Hnt+gvcAw885McP+p245Vq2JboP65qI0Yz7KaYD&#10;z1EHxih4jXUsY2of5Meucu1ka1+IpzJfRJyPs/4OYUUoLUv+8XriQ0EvZF1tOVrj/9M++En5lvNk&#10;8tS9stAU/4a6cFYNuA6+I8Pxuufx2/gD/Y38/RzF2yci++P993/Hbdiw0Q0NDUsuG/xYz1ykt71D&#10;+kSPO3X+gDvPY8Xr5Twu8xO/h8AQYcoCyb/kvrN1tlux8vjCXHvc3X3nV6STNLie1pYIMzz2vIYd&#10;E/nE8ARssgtc2jDc586a3+NWze1zQ11trq2l2c+fGpVva2urO/HkU93t2z7snnrmGY0fOntdPLBb&#10;es/43sI6AdlL9us38x4/35G+Mtm2pm1pa3ADmzgxqPQ1fTwd8OO//uv/ej0XXiM2Kg290OP1eeEi&#10;exZiN4GWPOkJYUUoLS43lf62OoPr7AmXhvb4O+zLhu7CHkvgUKXlV/N96kPdiJelr+L1zvW3MIMx&#10;GT3g4YcfkU1hoxseXuTnBC2Sv87ZrW7xQK87a2jAyycYgKxulj4xulDXcOcBOkJYzrv1XrfXS9BB&#10;Rof63LzuDrdg4RHenwN9t35om2uSznBELzgDLqTBJfSR3sIV6SZe71HaqPSX0eF+d6Ew5aR5vW5Q&#10;cyrwDx0Fe8yqVSe47bf/reY0yELky8G+Q1vk3d7IG3JGf7LnqY1Vdq8mH5XLG92DesVjqMrx1wR+&#10;CBuJv8JnAy150hPCilBaOfpK/W94RwwqvifoKkd7/H/eJ/b2tls+6M+9KVVWLf+zfsAGUkksYJy2&#10;0G/otTZC7+DCH/voDx5x559/kWttwy5R59qam92R/T1u9SAyaTqDMEA6xIj0ghE/F+EZOe1LhR9b&#10;vN7R53WQLcKg4a52193TM2GbeNdV75Fs17kT5/R7/BhNgR+jQ8Iy1YGLuQ26CNgzqjs4tdnrMNSP&#10;S/Mr6UvHzxkQlnQJS8CRenek7Di3b9/u9Q5ww9sNC3aSUBtmSaPNWY8Gn8JH1r/J37XkMcpCfrDH&#10;MHfBDmi8UYpG4yHait/wJ7KXd91DWBFKm0y51g/EkoKf0INMlKLf/rO2Iu4F/Qs7yGTqkve3zNGI&#10;jcOGOqYx0eo9mbv1PXnQ/8TMvOXyt7nOji5X11jv5sn2uXqw310GJhSuLQs0vktOTa/w8w/J4gjz&#10;Ea+HvPafvRO6R/Is+wh4JF3k6L5u4UWT6FJ/qd9GN79JOs8st2ZwUBggjIqVGcrPp3k9JZrDkD/Y&#10;ttl/V6iT8iEv8GQzcyfhCGWjO10ifWppf7ebLR0LW+4xS5e7++7V/F/tgp3M+GMy7c231ubEeH/j&#10;6/80oePDu3blzTtp82O/DvgLnzLzqjQ0Gz2GH+ju6CAmi3ZPW4di74WwIpRW7PtS6dbuVld81swt&#10;ocnP5XUv1+9mU8D2Qd/yPW1jeZYqvxb/MTYQD0j/4qMuR0/of+QA+zJ0Gb379u9VrMYe97GPfdId&#10;vXipZEc2DeHGmbJ9jqAjHGBfyO/Zz1+8LAt7FvW4pQPdsnU2C+/VV6rfyMgWb5td6zFAWOCxIb/y&#10;k3ShV4EpFwsn8Qs1NzW7ZtlazzrrbPcv998/US8/HnldTfYS4UGlF23/i5//zPOXnd9eC/4JlQFv&#10;x22H8BdjJ3sppqULeuJjNPzJnkih8iaTFsKKUFrWMpAvwxFiUIlh5/yUA2SlRH/TBryLvso+beAH&#10;566Qp+WdtW55fWf7PhPbl7Z/D3hP9IGpzOmhd7dshjt1XXHFla5FfpO6WcKO1ma3ccFct3Go020Z&#10;TGNzyCjT4IIwAZ8MOsHSfuk8s+rdv//b930d1649z+PHBd5ugb6AXpGxrBTfMffarHp4W47suSfM&#10;7fFzmgb5hfv657qnn37S1wubiPfdqQ0PaNsSvJV8D7ukxSjlxRuV5mPjIrxt37LHjNdvNc4k61zs&#10;OY4f8BVyYz4lK8Pyn8w9hBWhtKxlWDtwx8cJfhAXjN08jo/F2sHGY9oDHYTYQM6JieNz1rrl9d2Y&#10;+ofxgXWbxegolQ6NzFG4+7hzzRVuvOH9rkVxG3WHvcHHaFw6xJwC3EDnr6LMgh+Sa2woW3RfNbdX&#10;eNGouJ3ved/PWWet9fhxmeYYXqZTYMDk8AX7KvYS0a05D/dT5w14ezH1OuaYZbILPernMvhjwJFS&#10;bV3sP/gL/GeOgB6SF29kycfGRr7F3wp22N4XyIzJRDFa4um8b3oVe7STJ/nnhSEhrAilZWkHq6t9&#10;C26Ag8ToxGks9Rv66VvaDD3/HsWj4stF358uGEJcD+MWdStFS7H/oM3HfGuOQEz4299+lWS03vVp&#10;vvI38+Z62+jIAvwn2EEZjwt2gyrKbiSvXe44jx8N7vuyP9EXq1ev8XOprR7PCjaLKtZjZBA9qMdt&#10;Ep5FehF22263QXoP/l/iW4aGF3rbMuOsxa4Wa+ti6fAYsTz4OPI6W9r4PuudMRdMQ2aI22bMrcTm&#10;A03QazGYrCOzuhws+EF9ra6RHrXN2wvQ14v1ZTzdy1YBQ0gnbpc+roYuZm1b6R36sAt/8fOf9TSZ&#10;bpV2nNirthjfo3WF6u9rr73ex3H0dbTKDyF/heKvvP0TmyJ2CV2Rn6I6cwZvtxQeILPYXlfO6fXx&#10;qt/713/1OH6m8IM4ky2yR3hbq9eHqlMXrwf5/M0XTTnYgwttojqcNFc+GtlDFsrHjJygv8XbfWxP&#10;ejs9Pg7040r7P+/34ScbG/EX4HdFXrjABMOFuJyEftu70X6g2yZiWvKsb0jXCKXlUeaLv/2NH6dt&#10;v4wQzaE0awfGP/CXNiUmldh4a+c86jeZPIgbwL5LHY1/0/YzY+au3Xvcxz/+ST+e9ne2uUs11x8h&#10;fnMQ3b2K9o4yusMq4Qd4gf5B36w+a42Pz9iMHuTnUdXXhUrNf/BLnzhPNl7pIcuWr3I/+8UvfT3p&#10;B65K5jO2x5XNuSfDD5P51sZb+Id5se37aeNSGr7iHWuD6KyAbV52JlOv0LchrAilhb6tNA15R88n&#10;nhQZS9MOSTzhG3y55ENMTaV1qNb7VifW5DJO0NfJuhd7xhf5jXu/7foHBnws5kXyzY4Uxn9sEN4H&#10;UUbOS8nYZP6b7vixSe2EPnJsf6e3Fy1adIR74okn/PyWdt2zu/ze5PQLfcY8ARt9tXgkTb5gh+EH&#10;sR7UCZ0beUF/T8tXhh+Mt8Suo7NzXgx1sPzT1KfcOyGsCKWVyyft/9g/8UNX0g5xnKEdsaMaDtn6&#10;vLTl5/lefJwiRpY6ca5DpXrm86KnQzFa9VqnslJxU8g7cwc/39fvaH1K9eYIpfBluuMHttVNmuMQ&#10;h9I+e7abVXeYG93yZrd75wsFn3i6+Qs2RmynZmPMk0+y5IWME8tmOi08xXogw4ViY5Glm8ygg9hZ&#10;NtVYTxzCilBaljYIffP3n/qE31fMxw+KNqO32B284LL/rV3QNbE52Pq8UFnVTjMcZw7Fum8wHl3R&#10;6hqvt6WF7pdffoWb9YZZrrut1V3q9Yxovj/CvAX7YZVtDAc3fjB/4uqVPRUMbnS9ff2FNSKyH6bg&#10;MfoE/MfPYXtVVZt3SuUPX7FOlrkLsWzwEThQyfwFmpAVvmVujc/B+NXupeqQ9r8QVoTS0uZX6j3q&#10;zd5w7CGPv9KwICRT5dJsj1vWr5Gv6QJ5tk0pWuw/yuNiHQz6B1hPX/s5jPouRCNpXOiWO57d4Tq1&#10;1p35++nyJ2yUn8VsmKXkunr/KY7V22gjHzH2U9bfP/jAg6Jpt1u77gJvD7lUa3O9j0bzh+rVJYXO&#10;RV3li2Get0k+ocP72I+kwV2yYZMbK+yBUo6X+P8Bxbcgr8wRrG+n6s6YiB7EeJR2rVySRuM78AO7&#10;Pus/oMf4NS/aQlgRSsurvG/f+00vZ/hfkbMk3WmeaRPwh/HC9ldmHmMYklddy+UT7wvKNh8M/r9y&#10;tEHDPvlrN4+8ycvnYq1H27JAMR7M571tMoXseF0l3/dYz8KcAHncqHF9cV+3929EPqLdil/f6n3L&#10;6xVXznr/rR5r8q1DJXiEbubX/ihuxd/lp5ojv3dne7t78qkf+33R0vCUneX2yiuvTLlNHvyAlxhn&#10;09Q99I6NUfAh2MHZL/AzPFuOryv5P4QVobRK8iz1Lmf4YhPCTuBlSNgfor9cGu2CLoNextw1Lst5&#10;t1ExeuJl8g5rcLHvUHf0D+42DsTpoe6kP/+Ln7nevj7FebQqNmpOYRzXeD6lY7rksYAJ+GiXaE0v&#10;4zn1Rf/YNLJV+xA1unM01rMuDgypRN7zfxf7Kb6ggo9Kushq6Uas8bviindonUy6MYoYT2R2Ovjz&#10;iNOGr/FTprUTxvnLfts4C0/eo9ikuFzkNdaGsCKUVkyGKkmn/uAGeiJtFJIto73U3b5Dt0MHoX0Y&#10;N8g/r3ZJSxflWbnowGAj8fnMTei/EEaSxv8f+MAtmq/XuZM1b7c5fCQHUyeTjOfEnnpskI6xqLfT&#10;dXZ2euxAB7nyynfKf9vo9yGKdJUpnr8Iv6I6ozdFdcee2qV9RIaGFyge5DXbWSmeIsYCXZa+5Erb&#10;/3m/99vf/KfnIfiIM1LL6bHFaOI7sAe7HPJGvFScrrxwMoQVobQ82on6s34QmcemY2N0sTYolm52&#10;JO70+/Zbb/H5Isu1xg9rF2iz9RNxH0yo//fv0z6Dimtau2adtyVcOKg1LQvxIUSxUfmP0eH5BXYW&#10;9gfbKN1/k37zPCL9f5Pqs1l7cmyaP+SGe7rdfN3RPfZoznj9tdf6/cJWSi+J7B9RHIj/rW83yt67&#10;aYrnNOhES7QXY6NieB986MHX6bc2/sA/4Dg+920fusWfhT5VMUXwD5edfcdae9NTi8lBqXSTLXgR&#10;eWP/U+PVPO8hrAil5VEm7YPdAjtjln1Aku1F/zNmoH+wttfqSDn2u5b3neJDxg18MPCoHwOwcyTm&#10;aKxlHRd+LNT+w+zvRZwYe214n62fx9dI/1BZWzVW25oa7B7sR8geIFuwSWp+MqerxS1adKRoYc30&#10;fnfbbdv9PqqHSy/x8fT+G/mcsdt4XaC2GBjCWvZLOlVx/3Xyh99884de1/4T+KG+Qc6wwWOrfEz7&#10;q8AvteQfyrIxj9/wM/tsETMG/4TGnyQ/hZ6hkQteRP8Al6ohCyGsCKXlUTbt8/vf/87P7aApRHea&#10;NGtT7vjd0D/QQ/CBTEU8iPGb+WCwxUEHvGm8GqeLsw4ee/SHfl+co2Q39TIgWcZmiQ4Q7esV1hlC&#10;8pI1jT1KwS0v98KLKKa0x50rW8Lpc/vd8r4B1yK/0MpVJ3g6iAW/+y72L6x3XW3N2i+s363WfgKX&#10;Fuy9vu6yi4wU1sZkrVce312kfRvZX5X1wvG25zd9Au9Y3zz2g4ejeafsaCbLefB72jyszJf/8Acv&#10;68gGMWPUjzEyWf80zzZ3vkd2D8Zr8ktbn0reC2FFKK2SPEu9i20ZrLd1jmnaIvkObWMYgowSzx75&#10;up6sef/T9+CHYQg2c+pDnY0/k/XfpzWit912u/waDe6vxeemdyB/0V5c1ccOL6PMM3ycWo98LQOK&#10;XevTutY2H59OzHpzc4vr7u5xH3j/B/36PnR99jhZseI41ySbarPW0LMvSXOz1rBpX+R1spf4fZOn&#10;eP6CP3erMLCnbbZbIB0v2f6GHYYj+ASRWdZXYBeo5Rhk2AH/2BkLxMBSN3yU8Hey/pU843th/kLf&#10;lZLLrP+FsCKUljX/5He006c+/jGP96x3qqQt7F2TS7NNMn9lDoMNnfJMlpNlV+M53v/kb/tnMm5w&#10;Gc5Z3aP7XnfhRZdoX406dwF+DMlbdNVo3gJO+Uu6h8peL+wYaJ8tHGh0g0ML3Ih8tB/96Md1DsS3&#10;3C81JkdyFvnJ/G/tL/CjZ592X/7yXe66a29wp5/+19ofrFV4WO8W9XS4DfiSCjQxN/K4OFGmlV29&#10;exTv36WzJdgrpNH99LnnPJ9ZXyCTNj4jV6yNJ87T+rIafFIqT/iVsi0mkjk+daS+xuMH8k86n+XY&#10;7l1+XGVOjd5fqg5Z/wthRSgta/7J72irO78YnWuL3pilXZLfIKfs646eRnsny6zlM3tFUQ/m0kX7&#10;Xnxx4omnaK3LbNkap9B/oTnTes09mpp0ZlRdvbv8zW+Vfep58W005kV7CqTwf2qsZK3GsLAHvWWR&#10;dBHiySObahRPksecJG0efl4mG8hx2qMV/Lj7roKt3uYDBbkEC7mIiWZPGWTYZLmWPENZ4Bhrf4k/&#10;9Psg6Rk+zzx/kUzgB4QXwQ+LXc+brhBWhNLyKBfdkP6xMRqeS2JBlmd4gDXKtD/ym0dds+bBPBNd&#10;2GwgNubF6UIuFy8+Rvp1+0SsRVrZyPM99iFdqj0BZ7e2uSVLjpVPSGOe/CzgHm3KGMg9XvfQb86F&#10;4TzKj9/xCfmjdYaEYi/eWLCBpNofNWfdxPtxpf+cLtsMe7nf8bFPSD4jncPOpjK6GKORL+yV8CZX&#10;Xr7NtDxEmcRFMaffofMlwQzqRz+E+CfUB8k0vo/2xdvm5SJtXSp9L4QVobRK8y32Pm0VnWWjPpPP&#10;JEl3lmewm7hjdNCpPjeMusCPjGn0Yaj/SZs/f9DNV1zF1MaKyUbQ3ubXjNxwzQ2qa6QXgxvMveFf&#10;fpfrE7AD+dy1e6dbfuwKr4OcNj+Kx/AxoZLlPHGvXF7gxyZh49naPwX8uP76G0VHdN4DbR8f01nv&#10;gtzipyjGs7VIZ+7NHBw8o72Nd0L8U64/+J9+w3eLXRCbXLVoCGFFKC3P8tm/lDGa+NE0bVHuHdqa&#10;i7VGtNdU7h+Fnght6ELF9spGTjmX4AjFKEzETeY8BpeTMf4/V+ckcA5Et9bfPPuT58Rzkc5s8xZ4&#10;l3Yt1/6cablfvt2xPbvc448+5GbLBnuE9++a7aO2dh1i3zhv5kLpQPXaK549n/fvi2wJplOZXHIe&#10;ETyDXRger7XuQZm0MfyCzmq8TD2Lzn+FD+X6BIxkDQ1xLdh38pTfeF4hrAilxb+ZzG/6B70KGWNd&#10;D+M18z3aIw2vhtqN7+AH26eNM3apI7pOrW1ilMdYAn3F9lNmvG6Qnr+4n3E5ir8Y0Rku/kwD8X6U&#10;VmbMxm8C5sjXEMVdlHlf7+KT8Lq9x6pe+V/7fCw651vvVUwb+58l29fkzPg61EdxPuf9Jces1Fp6&#10;zqfjHAZkOa2Nh3cLbSL9IbKflKYL26zfB01rlcEN22+ZdrlI/iDOodo0Mup+JfoMO+xOXcEOLtbG&#10;wy9ck+Hvct+ajSVejq0F9funBfog2SdpnqEN+wC+l2ruaRLCilBauXZJ+z/th30ZvCVmw7AjzoNp&#10;2if+Dlhr37NnAv6dV1/97ynBD/jC9olnv/24rmx1Bj9ZU3K0/ANbFOfpMQAc0MVvfBeGK8XukWxx&#10;/lIULwKGRPuBFb9vKMimH59lN12svdUbZF9kbzFiS61+8Tt4EW/f+H/2G17lisbM/Trj6mLlO0vy&#10;K5nGPuyxrni9kvX2cSTQ478zPC1yB2c8XdYWlAdO9soGM1f4WOfWn3uhX6tIHeO00A/MeeFFs83V&#10;Qv9ABpAXysJXDL/iZ7X2zONOv2GLZRxjrUha+az0vRBWhNIqzTf0vuH7H156yeMitMFzvl8nYSsa&#10;2x2dJUw+EZZv8zGF1MHKDNWnWmmPP/ao7zf2SaJOSX549plnXHtHh/wvLYqbaHfD3V3+GtI8gnPr&#10;D1fMONhS+tI7vd2K0+5xywb63Sr5Gspf7JHRp7UrA+60+TrbVjrC3HmD7tc6a2a/dKJkPe0ZGrhM&#10;B7F0u/OfySV2qBtvvDlaU9zX5W2YK+forNsU9cNfwrVccShLZNc9Ut+XboOojTi3c4HO2RyW79i3&#10;Z69+d7dqHa7W8sunvHEj85dozZHHw4J9GJsH/gn0xVrziekhxCyj/6ArFGtfa+dK7uSFLRAZe/KJ&#10;xw8Z/DCZhS7sjKydnWy7GX+jg/xc62sYT0xnqzVfUF60P1p0Xi91S/b7nvFx95Y3Xe76+6RfSw9h&#10;r3XW0UXXLN3rvd0P21/RS3aLJslGk2LQGvSbvcsalEepq1m6fL325+Ib1obU6bs1a891+7BfiN+w&#10;eyTrar5E6OA3eJ98h2ePIQV763d11gM2EPY0QX6bREepek38Bx26oIeLOhalv9A2nG3F+XiNujc1&#10;6Iw6nZXTqOdmYXO9dKvhoUVup9ah/Vy+TPaZZb5MfaHX9lvH92JjjfFnte6GG6bncO46coAuhM06&#10;1LZZ0ugPcBFs2vHsM4cEflgfIWOcpwdtFkNm848sbWVzIJNVdEG/N5l0Q9NLq8UPyXzhD/aOMr+7&#10;6UbGs15Otaactfuf+9wXtN/6DfIP3FS4bnTXXfc+97a3vUM2v9EDrs2bt7iJS/9tVozX6Oib/P3c&#10;8y7UeWxr/d7G7G/82kXaWnem/0/3c9b555NOOd0ds2ylP4vhfz+3w/Mse4WG7B/UlzGS/V2xKxkd&#10;8Tu/kUv6kPexw+IzXaYyjl2+0p25+hxfblSXNaoPdXx9fc86O0rjvmHDJrd161t8G0ArF3bQ17UL&#10;baHrmvdeq7a7wd1w/fvctdfd5N773uvdDTpD53GNvXuF1+gf7M1uehb1ZB9e1smb7wW+TPZn3s9W&#10;Bnd4Exsg83hwOWq7MD7TxpVcyAI+QGQMe4GVmzc9oblKKC2vco0OMB8ZQ9eHVtqOq5I2snfNxkAf&#10;wMPogmA6ccl51buSfMAQ+g76OPPGcM3og5/HRPNe1dWP+dBd7tJeWsS97+McetpL/EScF/EaYBRl&#10;jOs5fu0pjLV+7x/5VvGPUM54IX2f7EbMN3bzrPSQ/kEbMyek7uiKxNcY1hs91g92R0bH9T6YxPp5&#10;6KVMu6j3fsWwxuvKb0/POPqBdDY9c+Hbgd6obinaydO3U2N5FPvr66J6wBvkH92j+RhnSrN2Cp21&#10;kv6dzLumf5AHvmP0cOIY4GHjE2vHydyhE9sp+IFteDJ1LvVtCCtCaaXyqOQ/ww/irJDx732HM0yj&#10;/jS+rLTdkB++sT7YtfMF327kD49bmZXUczLvUp7FAzG20ZcmaxH/jntZ/LtP/7175zve5Ua0J0+5&#10;a5PGXsbgi994qTtbZ7Cs9mN6pGvYuM3ZTvHrnLPXuVOkayxffpw/28DrA9IJOOfgWN3POONM6X9P&#10;+fa3cTnU9vgBSYcGfls/8Wx0xb9D3rfderv0jxUqZ4Vb6q+VuqOPrFL5x7nlK44/oK7U+yzpJZ4W&#10;/T5bOgg6FffVZ57jzlmz3l22CZ0sRVtt2iLd7M3SR25yT/7oR5FcgiseQ6L5JL/hD+a61ZSvEB+B&#10;IX98+WU/viDjyAL1QY/OC0NY04FuxRiGLyFUjzzSQlgRSsujLOTKZJm1qmAjsajF+DDOk6V+Gw/T&#10;B/wGT4gtYR20nTOVR/3T5AF96KXslQ9vsCeZ0We8sVP65KrjTnJt2uOmof4wXdgwSl/YAbBXcOGT&#10;5MwkYsVZv8adZ2K1D7waXJv2JO9qa3O9inXt1f7MPe1cba67VXFjsi8gz+gJtK/VL97WYAUY6NtV&#10;OgT4wW/eNbri7/P7s5/5rK9Ha3OzYmxVdnuHj7Ul3jb++8C6Nvr6QI/RAl3+gkbZhLALlWsn/udM&#10;OtqL362i/9Of+jvpI5FsUmdowiYAfjB3MFtEmv7N4x14BL0b/sBfSJvF2zTZnlmeo/MAtvs1NXnU&#10;uVgeIawIpRX7vtJ0ww++w2/FWhh4kT4N8W+atqPteY88rB/oH+IK4Q/z5VJmvPxK657mfcufO/ox&#10;l9lnfB2lpz6m81qRk4U9nW6tYhQuUnxEueuN3h/Zo7VpUcwZcRW2Vve19WkH+kj9ul725MAn7H2c&#10;8gvL3xnFvPY59vBobmlW/fZrjqD5tfoh2d70CbJGzB/zGGzDvGP4Ye/7dlc6GP7Wt14p2a3XHod9&#10;vlyLOZnwy074Zg+sr8WxRO+ZXxb/tNYH63qjvivXTvx/odqI2LEziF+X/fZs6S67d0lHLdBH3cFB&#10;5g7YL9P0a57vwBvsf4NugE3Jxj3a0HjZ2jXrnf4if2zEedY9mVcIK0Jpye+yPtN2JmPYh8Ffw428&#10;2s7ygz/QcZjjU1/KrfbabKONO7oVYwz8YTYa7IzYs5o1Ni/pFwbUcP1cFJsFhihWQjEmy/qJP53l&#10;PvOZz8v+oX0mAvgBJlN/+JD9OEN9BG3sLYSN4vlf/tKdfc56H5e2QfFjHrcs1s0wrOp34k663MXC&#10;L3DsEsXH7RF+RPaVyA5JbA76B3sEWp9l5elKvkPXYa9N5haMbcxdsmJEqe+wd8P71T6PIoQVobRK&#10;2qjcu8z/eAf5og0no3sUa0N4mrgZ2hCMh0fsqra+avTRh/AJ9jkbY6gvMoguDn5sIu606vJEPBpx&#10;mtGYbuP7SYoFqVd81XnnX+TrRx1D7Um6/RfCD/Cay/S/JUuXa86kPaE9fkBfTP+pAa3Rfspd0lf6&#10;/Dxm8+Y3aY5mY3s09yI2gtgxxhPrr3J8m8f/8OAOrZEDu9BNbawLtftk0vBPwPus5TC+z6P+yTxC&#10;WBFKS36X9TlOi525gb0zz3aM83jclwufUH7Wuqf5zvLnzpoK+pC5FHMY6oX+MS7/bXNTszvSx68z&#10;H4nku9p31tuy3xj6Bxhyvvb9IOakXXaJ5579ccG/c6CfkDobLhhOJPna/se/88NHHvR7gRzeE5Ux&#10;FftBR+dfdLnzhB/YQPBz7x1jfgt2RPiBf58zDWrBE3G+oTz2KIQv0H1ou2R75vFMGei+8bKr8TuE&#10;FaG0PMo22bK80K2Yo4HHtFlc7ifThvSJjYfoIJSB75FyqUOyHlafPO5xfnzxxd96PiGO2OhBL8LX&#10;MXfufDfY1ap5RO3wA8zA/sGeQawZYZxmn/Im2V6vvvq9bo/W0Fo97W7tSN/EdSj7n7tfdyea8CXj&#10;10FmT1WMK7H4W7wOUlv9g/h19oNm/S321+sVU7NvnHkYcXL7/J7k6IXMx+CFauujcb566aXfe37E&#10;rk7b5TluxvuEcRMbC2XDk/E65Pk7hBWhtLzKjMuXnfmIr5N2zAs/aEfy4sKPBQ7fo30gDTuqiR+W&#10;t90/ecdHHXYewzTqBK3HLD3WdUh2OSe72npHsfzZK/lEnR3BWpWe3j73wCOKxQEHPF/vmbA5Ej/y&#10;q19pnCxgiOd5/fYxLIpHGZPtlW82bdysvOpFV5PO4RyIzoHwttsa0+htzN3ulPman0m/+tSn/0HY&#10;8doaB/YSZkyptm0AmTE+ML5nTSVlE1Mel/fJ/DaeMh6jf5ibwfNWbl7ym8wnhBWhtOR3k32mXcFi&#10;fCTEeeWpx5EXbWrzdtahMN985Y9/9GNNtccb4xnaiBhH8Av+oD5+T0uN8+vWn+fn5hsKPopiMl7N&#10;dGyMl0k/WDLQ55obm1xPT69797uucc8++6zbA2YQTy08GVd9fQyY0oyOX//Hf+hstzEf3/WPX/ii&#10;O/W0M7RvELHq9e507X0erWGTnsN6Yr+muDZzNN9erMOVH2ap5of4cR966GHf9lEM2riPOYIfmFPS&#10;R/H+mixfx7+P58tvLvbGxeaHjFss/WSww74lP+N75kXoV8T6UWY1+T2EFaG0eLvk8Rtc5GIeyB4M&#10;xXRja59K7mAHF9/QR+xLiy+GWFDqXu0ztw3z6bvoTKlt3u9pNOIPIg6qSfsOrx/U+tsa2T9eV47m&#10;MeyzM7pAGKK1uPg66xsOc22yfZ5y6hnu7e94t3zNP/C+I2w26Iv7hc2s1f3GP3/dvVnx5UNaX8Ia&#10;3jrZg2drXc2Z0mdG/ZwlOgMiOlOytvoH/l7masNaU9esdTHwAPLFBU8wLqMDsFcLfZQHP4fygA8s&#10;nXIYL+F3bBPUhbi1Svi62LtGFzwPhjzz46f8eImOY3Jm9cj7HsKKUFpe5Sb7C/8t8zSTrWJtVEk6&#10;7Wn6DG3KPj70W/yMmLzoCeUDjXaxLoqy2V8RGqDzVxrTb/ngbZLXBq2DLfg4pwBDGKO3Cj+wp3LW&#10;7Ynyx/QqtqxZ9ULv5+wG4q9uuulm1Vuyp7bE37jkmBVu1mGsbSNerd6fk7Cop8etGxxwWxbp/G/t&#10;PQpWIcN+b46a06YzwEVPt2hZuPBwP5bAEzamwG+sL6CP4jIe6ss802g7eIExxWS9Er4u9m6cNvJF&#10;76Ac5u551j+UVwgrQmmhb7OkmVzZt+j3xIliV6Qd/j975/3nRXX9//sffD+yLMsiCywdpAiCWEGs&#10;qBgLxAqKBqTkE/zExAJYUWHZtbfYUyyJJhZsEZFERUOaqMRegKXEmkTzSFRiyfc8z7zP7uyb+959&#10;l5l3YeeHecy873vmzp17zn3d0+65mfoo33LrW2ztvIe412LwDN/JN7InALKP6mjyjep/EZvBmjW/&#10;Vzsj6+81dwcxEqJPBHk9ijNfBzZUwQ+Zr1vsMGI7ICf8YYJrE2UPmJ6yxn/8hIkt+H73nXcL7nV3&#10;dbU1su9mP3eMyE+nylhVPUXkmO9ge0AnA5ekHAxBT9pO9okRU8CO6aLDsC53ylRZX5zCbcYWsh9j&#10;C76DD+KU7aE/77CYI9Nlif+xtuTL177nbPwwT6K/EANNG4wXbcxFefZhha8syneG6zLdAl8nferr&#10;lyjKiJ3EDoEOY/QMtyOua/gTXyE2VL4D+YN4cdaFjRo1RmyNsv+c+EEUO5ivsRWIXlHM8dbmXTLu&#10;g3xh7D8ne9n36eVGjNxV2h7ohEuXNIi/ptaNGShyRinb2S7+SI6ToX0l1r9a1uE06bxk/nNiaeED&#10;7JhG8zjHl72DmDHeS55342eb2+x3vmeVaUVvCXx7m/Ud2E95d/p8be2J6uzDCl9ZVO9Lr+e1V19R&#10;XRR60g/59mFHzxFjgvyB7pnehrh/m4zF3BeWs2ZhA6npJnO47Lske1jqXM2cXcJxGcSQS95BjRPp&#10;60ZIjP2AgQMVP4hPXbDwPI19Gz8QWYk2F0dWaoNx7WKH2F0E93YR28fO4t96Zd26QFdIybe2rjG8&#10;pj0uedTq5UwuY9bqsWcJ8yRHeF1DR/zb3v/gkGEHYwj7LDxXjHnShxW+srjGWLAOsUltWu31UaH/&#10;YQ+xuB36uxhzDn3Ge9Y8/5zas7CFKH6oHNLsVqxY4aq7SB5lySPG+ECfwKda7HjN8NjUNkheZdU9&#10;RBYZK/oV9lHkD/BjlsRi1cjvo8A8aXM54sfxon9hlzls8pFqa4L2ZkMlRzH6JPJAMXiAd4AfxFrj&#10;81EbtGAHbYpK3qYe013Yw53vYz7m3XHrZz6s8JXFhR/0re0dVyhGtPc8fUwcOzIItIzre3z1ImNB&#10;U+Ye6EzcxFbxf26UeM2Ro3ZzrFNlz/iZI3prvFVJ5Q9sFWAYNpFhvTQ/Ir4V/LesH/mO5DFiTQl7&#10;VQY5V8tP/hg/qF5zny1b2qixKcYX9D2+fObnsGzgo1kUZYZPnLG54LsFN2ysc44KQ5A7kGds3Qs4&#10;Zd8YpxziwwpfWRT9makO1tqjGzJHGK3jODOOoSO2JeyaRl/r50ztK7QcnmHusfVnNh+SQ+c00WGI&#10;kdy1vp87Teb9wPdYujGpPpOUXjJzV4mhGChjUeylYAf+F/KQ4HeZKrIJdlG13XSgT4Tlm6ivZ4v+&#10;dJpgL3GuMzlG9nb9JWdAH9m3lzgW/EaMUXiLs62JNpoaD9jvqM/wFr43/MXY0OPga+qEp8AQ248C&#10;XzHfYtgR13f6sMJXFnW/Wn18F3GAjOkoY/LS6UT/wj/ki4OW6BTIdnH1q32f0RD8ACdph9GbWOq1&#10;L/zZ9e7dR2JBurqDUzHfxVyTu914VlwQbOAsuLCP4EdVVbWsRVyp8yZra7uJXfJkibufrbJK6bAu&#10;aLvYYUReYl3PqaK3jBR7b5X4nk8XXN4s2IGt2vCafmf+YD2ByfXQP04eIGYRWyb8TRxBOl9G8Zvv&#10;Q5bhICeG7aHGd4EfcX6fDyt8ZeHxEPU1+UKRP8LrRKLo13Ad9C39jHzHWMYfQr8yP8TZv1Y3e4CB&#10;XYYftKd5g+SkEEz7gcRpIYPsLLk4psmaDcvrsd3YLsY8n1prr7ZcwZCJskcM61mIWSB+k7yl4Mds&#10;9lsR/GAviJK0M9UX2F+QgchHMEHytnftWqNri14WP9vGDZLbUdoMH9DfluucbwnT3WgUNV9TH/4e&#10;dGbiTWhDmCejumZeRPYglzA4ZbaPOL/L+sqHFb4yuz/qM9/IQUwPfs6o+tRXD/3MOjrsLdgj8I/b&#10;+6P+rnB9vMNyFVi7FM9SPoG333lL90xh79hd+/XTtV+lGpPgBu9GjyL/EHsvdJPY9qdWSu5k6T/y&#10;DBITPlv8o9hsVAYpBq5lekdKj5oisgc56MmrctVV16rssUnsAdhtoDu4HcRlNjpyc0GfuPVW3kEs&#10;BvIuc6PNHcYDUZ3t+3gHPh5s9PBcMb7RhxW+svB4iPqab8WvxpgmHxT9Qd9G2d/UaUeQuznIrcK3&#10;WF9H/V1WN/WT0xnZmZjAdL6B3vgTp0w93tXI3L6vzPkzJS5rtqxBY4yWMh5kwqBgDSt7TNFucruD&#10;H2pjpW1F9t8ibwTYFvir+M1e3X161rpePXu7666/frv+NV4yOwT70sdBa1+dzIngB2v20ume72/j&#10;Y3se2YMy9jQgnjtOfk7/Rh9W+MrSn4vqt30r9mJ0GGzjjCWjeVQyH/0LHmFHI58PNMWXx/utDVF9&#10;k68eYopZK4itx+hu5+YNwdrQN15/1dXW9gjsk9hSJRZ8NrbMIuYYSpd7yhM/REbaRQ6Rj/Ahj+5f&#10;L/vMdHOzZs/Zrm/pY2gPHxGrCN3hLx+Noi77/PPPW3JokveRdhjNCz1Tlx3wNL49vo35txj8bH3l&#10;wwpfmd0f9dnGLzlK0SuwTRBrA6aqjC9jvtC+Dj9Pn4Mj6KPYI1hLV4z+Zv5BvkLOCreHa74TWyp7&#10;MixefKnI4dVuYO+ebjp6vWBHkE8r0CvSx3fcv8sNPyyHmtpfpH8OElmtqstObrcxe7iXJFYMm2l6&#10;/0Jz+jjYq6mxaPnWWR/HnAjdrQ3pbcv3t/ExvMy3ke8D3YW50WzDUY9VX30+rPCV+Z6Nqgw9lAMZ&#10;32JE8WWbXJZvH6c/p3iUsjlgj0Cf4BsMw6L6nvR6oKet4fPZiMEO9HSLEZ//f2eKzaHW1bMOVuwM&#10;M0WPiRsnMtVfbvhBO0+XWN3TJP5kjwF9Ne8A8fVrVj8n+QQ2u/XscSM4HD4YaxzkcGU827qQdDpF&#10;/Zt4Y7CDHOHwcrhNhV4bflAvsgc+HmT3YmIH/eXDCl9Z1H0brs++mRhzZHxwFFs5fVRoP4efpz7D&#10;EOxa0BY/eZzyh2ETMibyJXZi2uT7NnghsPlsdg2yzgS/LvlJh/Wpk1ye+DmCY7baHUweER+I2kii&#10;WqMm78CvInViS8WnwX4KT618StuN/4V8ZcSqqJ9Z7JeZsCf3cr6h9cB+G6zllTaR04OYepE5Dh4i&#10;6/pk/R45IPfZe4Lu/cheXEGfbi+vQnPmI7Ab+ZZ1+2H+i+ra+MjOrLeF5uylqnwXkSxtvGOyB/5a&#10;xgx7KYX9SlF9V3v1+LDCV9ZeHYX+B37Q53y7rVHEz2ox/WEMiOoaHx74AV2N3oV+h+95qxtZFt5l&#10;jjC6Z8IR+IPjvnvvc/sfcLDm1qiVdTIHSm6NIJ9GsL+8jikZV1oWkR8Vf2yw5h7bAjl4ZI6XcfrS&#10;iy+KbrDRTT/5NI0/PVHi17HrYp/JHSf8z6Cnoa9pzlSJ6Zijv4nnD/K2si6Y9Tjda2QfGIlhO+6E&#10;6e4tmWegIf3FmSOdR6y/kTnxb/roFEcZMUbIuOS/TW9TIb/tO/muYK/lRuXljz/6sCg+pXBf+bDC&#10;VxZ+Jo5rsIN6WQ+DjEl8ho8XCun38LP4yKEteoW9O47vsjr/8Y+/K42Zj8BF5BHob3NJuG2Ub5F9&#10;H8lH/M4br8q+c7LmRGJAa2Ucj6jv6WYMH6C+VXJ8Bv7WQFaIYhwTN4YMQL2sxR/bT2QgiVe3/TLZ&#10;A4/c8cfI+n6zRUTxXuogv/OckZJPSTCEumeO7Otmay6RPhLvOiTYg1t8P8SW3vfzeyQeJbAb4Vem&#10;PzPxC+XNoktgL6f/DdONNnGc4SnWSzBHse6J94dpXMg1/GGyKjHNyB7E5Rfju9L7yocVvrL056L6&#10;zTfT15wt1vbee+5q0WEK6ef2niUWAPywWIC4+/6fn36a0s2ubOF1sCPAirb6us0v4f/POutc11di&#10;3IkzG9S7l5s0RHL+pHIfqoxPLKiMuYIP6knFhZ0u8/3uA/q14Afr58ibhj5zhOgvgSyEvBDBe6UO&#10;4tGCHCjBt8wW+eMEwco9Jb9iD/aUk7xGEyYe4FY+ucptkDzqYNpWzaku+CD4sVXsSGCzj+78T/wv&#10;NvqoeNdXj/ERZ+LVwSv8PWFa+tqXS5nWlfpO8tow3yLfFmMeTP9mH1b4ytKfi+o3/Wx9bnXinwe3&#10;safm0q+53GtyH3lB7L1xnfk+dDTw6vJlS9VGDp+DE/BCervBFJVPUvfo/Cm6w8sSy3jiidNdD8kJ&#10;Rm6c7jKOR4h8MFlkAc3bE9U4VvlD4thER2GPvAEDBkgOVPZfanZnn71AZKEat/9gMCNq35DIPRLX&#10;eqLEvuwrcWuDe9XqWl/W640aPUb2obxJ+2sjPhaxN7PPLn1Fu/QseILNMr0/+c3/+NuIA46LztQb&#10;5mdyfeDn490+OvvamU0Z38t9yDVgB3thmQ3RbAFxfmO4bh9W+MrCz8R9TR/ccevNaiugn8J9H77O&#10;pq8z3UM9+HqWSy7MdPyK4/t4B/jBQQys8nwKHzK1MVxu340dcO0La9135/2vGz16rMZbVsueuOQD&#10;261/H3e4YMl0yQNmtlaL7wrirpjjU7qBzO22vxN2B13zK7YM8gdwD7LAzBGD3cBedW74CMkfJP3F&#10;WrRlDY0anzJOMEX1F7VpIoOkDo1/T9lnFF/AGPKREZfPO+U+ntGDdW+iJ8n7vy3HfgP7iWzVU9bO&#10;VitGde/ew+23/0Hutltv19wB1gfhfsnlGp0YP2cc9A3XaWMZnwiyNHOB6hspmSGXNrd3L/kosKnB&#10;E+H3F/PahxW+smK1yeZq8hgwV2NHpQ8L5Z10OlAfGMX8EKfcF56P+B7wIxyDytyU3rZMv+FBDviF&#10;e9gPafUzz7j588+U+Idxsi5FZHyxK7LHds/aWjdK7AQHDR0kOZpFPhFs0DiSkL+kJf+PlGE3xeZh&#10;9ga9HjZI1uTUuIkyhsE7jrvvuVftH3V1tZKnBwwBNwK8COJUBJ9SttwgD0HfIB4fO6u2gXjRvm7y&#10;kL6yNm+QG1Lfx9VKHmlsKuQVqZO1s5OPOMpdc831Yvt5Q94Z6HbsX1soD8SNH4Yb0Jw8+/gSsU8g&#10;a5q8mYm2uZTDM8xBYAf7yBRrbPre48MKX5nv2bjK6H9sIcTjEv/bLDIpvMO4Yfzk0teZ7qWeR5c/&#10;qPIfts04v8XqBjugOfoZ30MbssUP7ocnmcsYx5rPWDDEfrO27ZnVq92CBYvc1CnfdnvssafsjY3N&#10;QPIci92AfVn6STzJsPreEjfRT3w5A1XvOUZsKMeKfHCCnE+S40Q5yO1x5NB+unaf50455TRpr9gW&#10;tm51r77yivpjaqTe/cWPerToOPiWTxLs0UOw6DiRM44SHWSS7F+9j+ghu4mONVRsNhx1gmvVov90&#10;q+6u6/D69+/vxo/fT95xqrvpltvc+nfeUb2kmf4RnYnv5L3Q0fZfyETTjsrjxg/4FlpzXvN8kDOK&#10;NeXQGJoVin/2ffDNQ/f/Un1J6GvGX6U4+7DCV1astpksQFwotgkwnHULjBP6PyoaQAvboxw/fVzf&#10;ZzxF/WAh/kPWZPIdufIU48eegYcY0zamtsrvd2Ud3vqNwR4z7Bf9B9l7YdbM013/AQNlvIIjtXpU&#10;dxUZpUuV69Kli/piu4tvGP9wNevP5D4wo6amSu75f5pn/eorr9FxbPaG0ZLzqFrsmVUSm1Kb8qUS&#10;P45Ptaus30EGIn8717U1tYI3teqDJg8R+ymw18z4fSe46667QbHiXRkDm2V/OHSkzVs26Tdslbli&#10;4/rAJor9kX1cbfzke44bP0z+gNboFugvrMsAP+DfbOeKjr4PHmAeIpdJ3HuRdDQufFjhK+uonqj+&#10;D4835A3Gm+XNiJIGjF/yCWEfx05ruMU53IYov4u1TXwPPh/DQXihI37hf7uP5+ygzORirhlz5CRS&#10;W6fik8gnUs64f+iB5e7aa65xP/zBWe6EE6a5Aw6apDbJQYMGu7q6OrU34FfpKmO/5851bpdhw92+&#10;MsZZb/umrMsBq2gH715yWYM78JDD3RjRmQJsAjPkkOfBjvq+9W7Q4KFu730muMMnH+VOnz3PnX/+&#10;RXrcIjLG2rVrW76BOqEzvhQwkRhck630O1PvDPBye1tzNn1n83/c+GG88uknn6htjbgu2me4wfdk&#10;017fPfYsdT3z21XKt8x/xrf27mKffVjhKytmuwxTGcdB7uErZMy90KLH+Po3nzJoQk457KjQ3OYP&#10;3hslXQyPsN3hVwI/aK/xRD5tz+cZeE9zv6fseTZmiTMBc/i9RfKMqV9Ur5vVn6HYpHgkNpDUeAju&#10;QbcIxjt2CjsCDJM1kCJL2LP5tDfKZ2gH+IHNK05ehtZBnswgV7LhnmFIPt8En9jz6PLsiYos+9ln&#10;n8Uy1+XSPz6s8JXlUmeh99rY5UyeQWQ1/Nz4uKMac9SDPEMcGTIINLf4E9pvbSj0W8LPkxsK/Fgn&#10;+4XbuDK+yIev8n0GDOD7W9sg9j2zMaTslWBB88bAL2p9xfus/3mWA1kBvGh7BDZPxg7/c1++bY3i&#10;OftWdArif8M0ifIa/iHOh3guW6cAfe3I91t4HtygH5GV4Vfm0zh4NNf+8GGFryzXevO93+ZqkwWo&#10;x/oM+jPm86VD+DnjaeR/9EhkEHRs3s+7rR35fofvOXz10J6YVxuHdg63LbZrwQwbS/r9Oq6JpQgO&#10;cpzyP1jANfvV85/1FboF1xx6n2JQoHdYefg/7L12X2zfhJzUwQGNwbLl4quPO36deQg7ucWs2/fb&#10;uaO2Zvqf51nDTd3IUfCn8WgpccSHFb4y33iIo8zXF8hpzBvQHiyhLzP1c7blYLrJluTkYFwjH/zt&#10;bx+3kUOi+EajtflfiF0Lvz/bNhd6H+9s23dBPwZjP9DTuQ5khuA3z/Bee87wgXKtL/Uf/9th7aR/&#10;7bqUZ5tz0IWRZaOgqdUBvxp9wSniW5mPgj5tK3dZH+baFzwXyMlB/BDP8357t7WlFGcfVvjKStE2&#10;6yPOrFFGLoT+5DgwX26+NLFxwBn7PrZN5APoFDVdjL9oOwe+e8Ye48vGZ648ldzfsdxhfWR9bfjh&#10;m6Py4W+b/+0MbuAvRAYBS/LlTWu3nWk/djrmOGLiw7J5Pu2O8hkfVvjKonxnrnVBH/athT6MvxW/&#10;fqyFNvnSiLELBhmNVjz+qNomwBH4Kw4aIT+BUegvCW5kP/6NRvmeoTMySLAepcmREz1XHvTdD58Y&#10;FmHTgr7IyeSh8Mkf+baf+Y25E2yC3w2vfG0qdpkPK3xlxW5X+H3QCNsUYxrdDz2gOWVPypcmPAct&#10;GMfQGjwBn7BvomcaX4TbUcg1bYe/aPvbb73Z5t2FfEPybMc4BJ2hr80R+NoKoWX4WcYyufNa5jaZ&#10;h+Ap46so6PP86mdV9sD+V07YQT/4sMJXFu6zYl4zjukzG8/YnZFB6FP4grGfD41s/oeveJ7fzBvE&#10;vOIfw+YS5XfCs2AH+GTvpP0c+bQ/eaZj3LA+sj4mHhEMRx6JgrbGl/AktMU/b3mv4EvjMWtHvucg&#10;h3uT+tIT/PhvXrQzfYLcc4xBcjrZOMyXLuHnDIfAJXhs9dO/1XYafsFvhdCOdoN7tD383uQ6exzI&#10;t68MP8g9Cw2QXaPCD2QP1lAx58CPxpOFzg3YT/he+JLYBfQiw6so2h5VHT5Zw1cW1fvyrcf6jjNr&#10;sIkDitpGZfRCFsWfy7oY3mfYxXW+7ceXaT6efMdB8lx+WIPtA1mAtSjgB/anfOkYfo65BT8tda5a&#10;uaKNzSNf/DC5heftGp+O7dkcns/CbSnVtQ8rfGWlap+NWc4cxKayxyd2SMaTzS1RjC3mDmjGXguM&#10;dWQQ05usHbn2gz2HDQy5hrkkirYmdWSPJWAHGGJ+emydudLRdz/zitk9TO4olC6GGdRDnchKyKz4&#10;DKwNxpP2u5RnH1b4ykrVRsYf/RWWAfCPMb6xQxZKL3seWnHAa6yvR15En7VY+kJoxjdgW2Geulty&#10;cds7k3P2GFBIXyGngh/k24FvsI9Hwc/MCYxtZAP4Jl+ZI/3bqIsysARZCb4hfoExYPNRFO2Pog4f&#10;VvjKonhXVHWYvcrWkaT3fz6/jf4WM8leIfAG8qnRLV/a8ZzxLrawfNqXPFMY1jC2mW9MrjRezIWm&#10;dq+dbe0U8YDMPVHgB3XYPAbNwTrww9aI27ut/aU++7DCV1bqdobfz1yOvZt1iPR3VGPLeIAzciOx&#10;IOie//rXv/Ker6A3h+VbxYcYVXuTerLDFHiEuZxcGYxFW28NXbKVK23c2pm128RkkJM5HEdUKE2s&#10;rdTDNTo08xjyE++294fHQymvfVjhKytlG9PfTY52+pS8j/BFoTSz55FBkHVNfmR9NHYWckgVQjue&#10;NR8+Njx7X3LObvwX2k+MQ7OhMh+QswvcyHUsGg8Qi4Rui44LJkXJg7QV/mMO47vhcXjdYlZoQ7aY&#10;lz5u4vjtwwpfWRzvzrdO+g/aEU8TFe2gm8odKVs9tKOMeDXmGWTUQtprNhti1wsdD8nzueEOdDR6&#10;4rdjbWyu+GHjlufMj8O8YvXaO6Kgjc1f1AmP4ws07MqXB+N6zocVvrK43p9PvdAQ3QI+MD95oXRD&#10;BgU/TBYFl6BjsO/1UpV78923DPtJsIY4iAEqtK3J87nhB/0Fn0Bf5gNkh3z5juewgRNLTm4xxji8&#10;gnwTFV2M96ibHO7k+gjjVz5tj+sZH1b4yuJ6fz71gh/kdiJW1LA6Ktql14N8iqyDHkNOS+hIm2lD&#10;tm3nGfRk6oi7ventT34HWEO/My6DvYXazudG0/boyT0crK8EO4ghiKNvTY5RfUswD/8wdlpro53b&#10;a2sx//Nhha+smG3q6F30IXuZolfAE3HQkTqpG3nkuWefUbs9ujO2F6NhNhhivhv2B2PeS/Ajd9kh&#10;CvpCS8YmccvYUFmPaXxm9LTfmc7EpuO/ge/wq0bRLl8dyEq0lTM8R/7OTG0qdbkPK3xlpW5n+P3Q&#10;2+zScdoTkHehY/OG9Y6139ixLI4nW56j3dyLvsU84uOXpCxeTIGGRkv2A4GOzAtGm2xoyVxhazeX&#10;Sx6iOOcBcIP6A39RYwvPhcdAuVz7sMJXVi7tNZqv/fOfdC7gHNf4g+9s3oL/iB0lpzb0heey4Tu7&#10;hzmPOKO42prUmxmDGIs23i3nPjGCYALyYUe8DQ1f/cs6lVvQmcP790Td77TT+A4ZhzgFbHDG98ZP&#10;HbW5WP/7sMJXVqz2ZPueQJaUvhXdImoaZqqPGB5wAHkS3oOW2dCTfBPMeY89/FDR2prpGzpjOXMA&#10;cYGc10nsOjRk3umIdoYt2M1tXbbJu4zxOPuS+omPhG9efnFtC8ZlozNnO4aiuM+HFb6yKN4VZR3Q&#10;Dl20mPFYzA3BeodGzXOYDS2556MPP1DbKbpPnDyX1O2XQWysI0My/psalrSsbTKMSOdNmxtYX8t+&#10;X2AONnBkT3CII47+NtmDui1nIfn2rH3Z8JzdW4yzDyt8ZcVoSy7vICYU2Q57WBx09NUJ/9m+Yk+t&#10;eCIr2Zdvws+H7wWbTZR+Pl8bk7LtMQTcb94QxHnR/2E7FrFgmeQQxir/4bMBPxjH1r+mD9nvqM7U&#10;a/hEvhLey28bG5naav8X++zDCl9ZsduVzfuwTRNfExXtOqqHuQH6YgcFu5CJw/NXJtoGMnOwbquj&#10;dyT/bz/+C+0Tkz/sjC4C38Bj0MxHNytH9tA4dbGZMn9YfFBc+EEb7UDfRcYO+/yyGRfFvMeHFb6y&#10;YrYpm3dBX3QJDvDZeIOz/eYMne2/KPiQusAD8IMYAOYvm6cytRubHfe/9spfImtLod/SmZ6HZhw2&#10;5uEZfOnwEPhv+AEtoaFhB3TlPuI/WXun/CT6SyF9lw0/qv9F3oOdDfkjPEdl4rFSlfuwwldWqvZl&#10;ei80Zg9h/CHsraj8IX3OHBHwSeA/R15t3rC+IJobv1Av9fEufCnwVViPyUTncOwpvGH1JefoZQ1f&#10;n0Iv+IIzGADuI1MYXoTxn2t4Dv5inTexYnHY2BQjUrpK0K4g98wm9tyRfXbgWcO5TGOgHMp9WOEr&#10;K4e2WhtsfkA/RJdFL1W7gvCH8oqMcfhkg+whrfvGRzRmqdvsZ7wT/IAPWZtPm6x94TPlYA26lvGv&#10;j8eTsnixBH6g/+ET8BxcYG9D4yU7QzvmgU8++YfGjZOXENrwfFQ0Yv8/2mF7gbLXH/v/6TtSGMde&#10;4vDMA7+8z8tXYR4r5bUPK3xlpWxj+rttjghyIzS6p55ckdpDbYM777wL3Omnz3V3/vRn7r0tGyUG&#10;5x05olmbAP8ZhoAj4MKSSy7W9RC0KZP8QdwRORfhD3IPRMWHST3ZY47RDjmEeArs2ZTBWyZ/hDEE&#10;+wj54p547BGN4zLdp9A+V/lYeAf8IP8Q9RInRr3Nwqe0CX6lDJ33icceTfBDaJSOAYX+hubIANiX&#10;oHVT01Vul11G6D7wVVU76X7yQ4YOc8cdP1385y9FNmbBAA7obDFFtAF+gP9830V+3Z/9+HaVXXiu&#10;UB5Mns8eN6yvwnojOaHABsvJE6YZNCRui//DcepR0Q2Zw/jnvvsecNOmn+pGjBzl6nr1diN3He1m&#10;z57nXnrpZUd+EdpgsWPhNpbTtU/W8JWVU5t1nvj6G/f++++7yxZf7MaN3d1Vd612O/esc4cccqj7&#10;9rePdeP33c/tvHNPKe/mBg8a4u668x6lG3Ii+81vlb3hjbfyPcOTyEDME6znQ/4A12w+o8+IH0DH&#10;wlZjc0++70ueK5xm9CG4D03ICQiNTO6AbtCQNf5gB7EB4Ea+sgd6CfozeMH8Qj2bmje5NYJfe+69&#10;r8xx3fTo27e/GzNmrOvdu174tcb1FD4+dcZpylevvrLOOyeVy3j0YYWvrFzaSzuMzl9+uc3tuec+&#10;rqpLlRswcLBbtOBcjQ26sqlR+KNJ8LvBTZ061dX2qHW1tbVu6ZKlbjP21YjsIfAifIGMCz8SL0jb&#10;jCfhxY8/+lB1bXJFRDWHJThSGI6A4/g1yCVpMqNh/h9/v0bnfWyX6BDQLF+6YQtVXpM68PvCK48+&#10;8qgbMGCA4ERXkZdHulNOnuGuEt65+opG5d3Jk7/lunTp4qqrq91JJ06XfYj+neBHxPqLzRfffP2l&#10;O+jgSa579+5uwoSJrmnZUne16LXMHYxn9ApkwO997wzB9t6KIzffdFNK3yxcj9C5SbAIPZYcDdja&#10;wus6wRFix5BPiB2Db5OxX9jYj6r/yMmAzBieF4lJhIb4bLFTBfJCAfNNSu4Ah6jr0YcflnlukOsq&#10;2HHSiSeqfRQcg0+xxxjPzpsz21V36+p2H7dXC76F21lO1z5Zw1dWTm0GP2y+uPDCSwTLu7g+ffrq&#10;OIUGVwpmGC0Yu9DnrB/8wNXV1alOs/Syhrxl0nT+NUxAFuY9+HPJ2W66TLDOL1hvoXgjfJReR/K7&#10;+JiCPQq7lM1F0Iv1BYxjYozROaALZ8a+/c6FVtAbHWZTc7DuZtjwka57TTc3ffop7krBDeY7eMYw&#10;JODVJnfoYUeI/NHVfXfefOFzv02tXMajDyt8ZeXSXmuHYcizz652tSJ/dBN574JFCxQ7AppAl/DR&#10;5I488mjXtaqrq6mpcXffeafKk1u3NLuPxY8HjXPhDbuXtZjIphzMXfjcwjIIuIKvEFsv/IQ8Ys8m&#10;5+LjBn2uesTyB5U/TBdmv1LGL7Gp+WCFj5abN+FP2eLefettN+OUGSJ3dHF77jVBdZVW3EDPDmRl&#10;cOTKpgbXU+a5bt2q3XXX3ui+iVh2t/ET1dmHFb6yqN4XRT2GHcwZ2774wo0eNUZoUy120+Ok/1vx&#10;vA1+iFzCuqmh4qOp6VbjRu+2u8boID/AT1uFr3w80F4Z81IwxwT7bxOPcrnMKax7om3EJ1EGX6Lj&#10;UFeUtpf22pb8l5me0A17NnQhBgSeJL81ei/7dvB/FP2nvCE0v/66G8W/Uicycr274PxFMsc1tMxt&#10;YAftQF5G9pk7e47OcejkW0R2MXtaFOMmjjp8WOEri+Pd+dYJfoTjxp947DGxbfRwI8UPdpXgB/Ro&#10;gx0ih1x7VYDzF5y3SG2t3cT2PW36DLGnio1caJyvP8b2i4HfwCFs98ggyBu0E9sq84rhTFS8GQV/&#10;d9Y6oAG6CjyCPAi2QyPsHtAwun7Z7K684irVReC3md+ZqbZS3gVWBPIG+BHYPrChTpx4gKsSGXm/&#10;iQe6b74Wf95X2efJzHc8FfKcDyt8ZYW8I+pnzfbBHE/dX3/1Xzdhv/3Vpr3o3HO8+HF5w1KlWZOc&#10;VQ4ZOlxkxO7upz/+qdo185E/wAT4DRkG/QW5d53ml8D/s8yxXzNrGCz21DAmOv7MPMcm72i/b7Bn&#10;M36xgTDfYE8F85uxdUbkn3vpxRfdwEGDRb+ucQcccHCKL5sUL+BB8MvsdLRl2ZJLXd++/cT/UuUu&#10;uWSZ4IesrUrwo42NOwosMf3F6sLGdHnTFWLX6OYmTz5C6QK+IxsG9IFmyCTBwfUPz/y++HRFZhkx&#10;0q1/h7VRwX6jjDvmJ7Ah2zEIv4EdPMM1PkCTR7F9YOc3nsyl3mzfn9zXPlak9w+04iAmGHsH9AE7&#10;uA/a81/6M9n85ll8tjzPnDJl6nGBrjx6rGu47BL1DQZycSAfoy/Bi8orIoN857TvqN+2XuJBPvzg&#10;fdGBJbdAKh7AeL3czj5Zw1dWTu1O8CO38ZIN73emexL8iC4e3IcVvrJywo/0tnwpGI0dDPsU/nWT&#10;O8B2O7a3h1zhJk06VPxpNRozvFnWPFqsoJ3zHVPIGOjU2E5Z+2L7fCODRKtfJziSD43AD2jEulqL&#10;88innvRniPPQMvG5/OKeeyVWoIcbInoyPIgc2upnafULYu/H5s5/e+65r9pOb735FrGbpnTz1Dmd&#10;58vltw8rfGXl0l5fO75SG8jX7sADDxabRjf3wx+cqfQyG1U6dgR6Z6OsfbtI40Hq+/YTfmpWWxrj&#10;mzUKLbwg1+l80tFv5FjwjPuw0/HbnslXNrbnk3Pu9EjvM8MP/GTkJCyE1uG6N21K5XcQuh/xraNF&#10;n+6uftvGpUsEQwJ9enteDOY4dJjaHju7IUN2cV99+YXo/EFeI8MRH9+XQ5kPK3xl5dDWTG34Yts2&#10;jbO57NKlYruuckcccaTqlGC6D/OhIXMC5wkT9lff7/mybhcfDPMSuivrp8O8ke01z4IX4BCxIcST&#10;aX0pHErsH4WP/2xpkek+owEyIvZTcnFnujeX8sCGLutbnn9e1mL1dP0HDBb+C2SLTHxo5d+d913h&#10;3Wo3bdopKnuUe9yHjUUfVvjK7P6yPH/zldiavnF/++h9V1+PDjNEsQHaZJJBjG7IIHV1vWRNwiD3&#10;4to/t2CI8Vgu/MO96CjMb/ASe42wljPfunJ9d3J/dthk9ADXyU8YVQ7dTRuD3AxHHTVV7aa6tkXm&#10;qCtEtrhK5qvAlt+qu9g8hg6zl+guxECuWrlSYz7wMaqfMYk/jdz/ko5hak8VP9c33/zXHX/8NNEh&#10;q8SWPVP8tEslTrgtvUx+NFpCu2OOmaLxfkN3GS4Y8qKO/0L0DPiTuALN1x3SXZLxnd34jrufDD94&#10;D9foMdhCWJdLWba0D2TNVN4feW6T+PCefGKFrMeqccPFrxf4+/z8Z3zIPZdcfJHGRO+xx17uS+Hh&#10;dP4u598+WcNXVs7fQNvA6q8EQ1atfFJwvJuuPYI2wRqDQFdppVlbml6+bInr13+AruOdNWtuSndp&#10;tVnkws/s1fH0b1ZpTiHmtjCv5lJPcm+8WANGmJ5JX+O/Za0B8R/Z0syex14W6C4b3beOnKJYMGvm&#10;zHbWUrTlP9ZVkH/iskuXuK8l5rDcx1q4fT6s8JWFnym3a4uxISYVf/m4cXuLH72bO2P+99RulWke&#10;MN8MssiJJ5yktu+6Xr3cS4IBmzbmt1b2hT/90a17+SW1f2TLhwlWxIsV6f3LuEfPVPlBzvzmGpsV&#10;1+n3Z/wtsgs4ZDb3G6+7VuTYGjds+K6qP2ear8Ll6NcDJfdE7959WmLpy218tdceH1b4ytqroxz+&#10;Q/awuJDzz7tQYvh2EvvVQNU5gzUxbTFf/Wa6DiHwrRHLU9erXmLKurtFiy5oiffKyDsy52T6D15k&#10;PgI/uM50X1KeuQ/j7JtMOGF71GWrv4BB2Nm5/4033nA7i/+EPDPHHnu86i7knwljhe96/vwz1Gd4&#10;4IGHyJqMIP9UOYynbNvgwwpfWbb1leI+1sujv/BuMGTNc8+7GtFBWcM4d84c9eVuTztb9xjoNsgg&#10;/3fGfIk1rnV77zNexn7r+m1wwI6O+NpkDpvH7HdHzyX/Fw9LoIlhhNHV6GXnbOhBHZs34W/b6hYt&#10;vEBspt3E77KzxAUsVv+e2ejb8l6rHZW4j8MOm6xyL/HTxsOlGEP5vtOHFb6yfOsv1XPjx+8nOkyV&#10;2333PUJxw21lkDBdzZ66997jdb3TzTfd2qIHo9/mohdnw3vJPcXDi7j62tZMwRu77TZW5YhDJJ8V&#10;sWIBP/nsbpQF5Q2XLnb9+w+UuMe+7rN//0vnPua/Uo2ZfN7rwwpfWT51l/KZO26/Q20gNTW17ryF&#10;53YoRzJXsIZqwTlnKx9MlPVOW2R+QQ/JZU6Ki1eTessPb9BN4Y0brr9BY4jq6vq4C89fmOI1H3YE&#10;81cQe7RM7HR7yXPd3KxZc0T2aN3HqpTjJtd3+7DCV5ZrvaW8n3hU8oIcduhklSn33//ADvGD+cLW&#10;3I0bt4f6cO6/X/bWFfmU+QUZJLFllN8YLj2ubnbj95uo/DJv7jzls8vF7kG8aVi+DV+DH6zl32mn&#10;Lq6H2EyIO7J8MZWmw/iwwldWSjzI9d34wLCnvrd1kxsk66d7SG6QhssuTfPFpM0Pgh/YVDnO+N73&#10;1HbC+klytX/04fsJdrRjLy79GC4NrmE7eeCBhzTmeS/J4x3Y6VvtG6anhLHDYhrRd8iRfPjh3xJe&#10;Dex3laa7MC59WOEry3UMl/p+w/ETxC+LXWuG5MOHjswN0NVnG0cGUQyRe/CnkSd76xb8fMGamET+&#10;KM04LVd8Yt3M/PlnarziNMlpGsaJzNdN7lKJFyO/GHmUG5Y2qr2D2ANkkErDEB9W+MpKjQe5vN+w&#10;g/Ndd94lskSN7vNgeeOYA8xeuj2dBVvE/rWv7B9DTM9DDzyoPjp8fuXKx0m7SoNr+F/Gig0DHQRM&#10;2J6XfPb6JnfSSdPV7sGaiY8+eE/9LpWGGzYefVjhK7P7K+EMLTjAj23bPne7jRmnayHPl/zK6J5g&#10;R2DDaktfk034f67ossgtp5xyqvr6PvzggwQ/Eh2mDQ8sf2i52j322WdCltjBWv0lbpdhI0T+2Fli&#10;3Z8Q2QNdO1irjwxSCeMr3EYfVvjKws+U+zW4AX78R/I3cd247HLNbXiA2FEDuSPN9iF6DXpL4K8P&#10;4kLYA6Je8omMkHUM2E7XvxvkP07m+tLM9eXY79Omnyb40dXNmzs3a/zAxsreDEcffazsTSh2D7Eh&#10;2HiqRBnEhxW+MvvGSjlDC+LKaO8/P/3UDR68i+T6qJX9Li8SrAA/tseQdPlzwnjW9neRHB4rZd4J&#10;YpzLkY+TNsWPaRZz1iw6yyaNG2uWfVEHS4zzAMWOYO5pK88yVxELwp5mgdzb6Mao3bSb8NSTOrch&#10;f1TKmPK104cVvjLfs+VehlyI/EE7p510smABewJOUzlD11RnWJtrOMJ+EORUXXzxksCHK3yTjNX4&#10;x2o59jG2czBki+QWI+bjsUcf1/WW7HsY+FSuyCyDiM7cKPmSly25TO0e7PP+5Zf/SdlKE/woZxwB&#10;PzgeWS66qthRx+4+TuM8Aj2m7XxhuGFn8pjhYzv55NPUBoIeU468nbSpeHRB9mDdywUXLNb4RNa6&#10;mJxhfBM+m72N2KLjjztB9GjixeZWtMwRHu8+WcNXFn6mEq7RXUyfVF1GbFPEpldVdXEnTz/Zaz8N&#10;051r+IL1uORl+KvkJoN3krFavLFaVn0ttMcHxz6Ff9262U069HDFj8UXXZhZ7hAdGbsaeWjYI3vg&#10;oCEai/T6a6/rOn2TjSthPGVqow8rfGWZnq+UcnIL3X6bxLTLvsTdZY3cuWefpTYQnx/GcOQKof1Y&#10;8d30kDWVb70he4PkucdlWY2DRIbKaw5grQtyB2vltsi+lOTqHiZ+FOMV3xne0rUwYoufNXOWxplN&#10;mXKcxjYGMY6t+nWljKP0dvqwwleW/lyl/UYG2fbF527U6DG6vmXC+EBvhb6s3cff4uOBSYccqjb2&#10;ZQ1N6odJsKBzyh/EemD3IF/7/b/8lfptD5Q1UkEcot8Wj/yKrR7+Ih8Z+y4/+8xq1adNNq60cZTe&#10;Xh9W+MrSn6u039ALebGhoVHiBat176iLLlikOkqAG34emHbSNI0jmyRraRL9pXNiB3MG9lPwg/WU&#10;Cxeer2vuZ8w4VW2ntv/kdvOP4Mc1sg7mOLGRkM/qkEMOUx6EDw0/7Fxp48na68MKX5ndX6lnaMaa&#10;mL///W+ub7+BOhccffQxKnNY3Fg6/bGrq79e/Db9JVbQckYkMkjnwxH1vQiOcJ4xY6b4Ubq6Beee&#10;6wI/nn/uQTZZImv0q7pU6/0NIsNajLrhhsWOVeq48mGFr6xSv8/abb5cMOSaq69Wv+zw4eS4xQeT&#10;if7L3KIF56r8wTrrLZsT+2lnxU5kD2SQTbKe8pBJh+v6FY3tEBuHL/YDvgJbpk49VuweXV3vPr11&#10;/oEfTf4wDDEercSzDyt8ZZX4beE2G81MDjlU9JGuXavcHMlPBv2J8UmXP8AVbOf4cJlvfrNqVV62&#10;t8465nak7ybPGLEfnMeOHSf7XPf38ksrlgRrNLmPnJgzZ85xX5X5XnLh8ZLttQ8rfGXZ1lfO94Ed&#10;hiMrHn9c40FGjBgdsoGkx4MID8gcwjo65pAEPzqf3tKCgfjuRXchnwN7xI0Y6c+RjM2UWA/OJ5xw&#10;ourJ9fX9dG+IStdVfGPbhxW+Mt+zlVRmeqfJH+xtPnH/gxRD5s6ZncH/EuAH+/ogf6xK5I9OK3/h&#10;v2V/l40b3nV1PetEBtl9O/nj6iuCmCH8tldfTrzHYMmH2ss98Ktf6b4AX3/dutalksZOe231YYWv&#10;rL06KuE/dE0OW+PIuqVHlj+sa2yRR/02kCDuGPkjwY9OLHsIdpDLcrPIH+Sj6yqy6G67jdkOP9ir&#10;MvDFNLrpEqNo6+S2fSHrsL7Bfl9562s7Gts+rPCVdVRPpf3/tdLzKzdc9upgz+1LJY6Q/Kfor3bg&#10;l1lwzjnCB1WKH2+9+UannX9b5HjGUic8iB1TGWTD224w+ovEc2A/xWZGHnV0lmuuJN6Uo0HiDsmn&#10;3N3dddc9ih07gq3UN8Z9WOEr8z1byWXQE1/MGfO/r76Yo446xrFPOnorsggyKNfz5n5X+KCr8oz5&#10;8Drj+Ons3wztdZ+o5ncFO0bJ2tshgcwqPGI8w5l49QvOW6hx6kOGDnef/P3jHSbWwzfefVjhK/M9&#10;W8llxLN/I3sTI5eSq7CuV2+37LLFYgdp0LnE/G/kYMb+MXv2vCT+oxPKHYabGn8qMshmWQNz4EHE&#10;JFe7pZdeksKOVrs7+DFp0qHqs1t88SWqL5PnI5E/dizbT+CHCeIA582bLzJGtRs0eKjIIJe26LXI&#10;I+zP0V/2xn3t1Vc0/tD4KTl3Lj0G/cXW8J+36ELFjylTvq3r4gLbWSCvLrnkYs1nOGToMMk780/1&#10;99m+cjsihvhkDV9ZJcsamdr+tdiz8Mt88N5fdQ9S4kEOP3xyIJeKDnO47A3GmoWZM0/XuGXWXia4&#10;0blww+iN/BHoMBvdiy+84Orr+8q8MkhkkMUpfsH30uAOldgy4oUWnLOwZY2++f4y8WEll/uwwldW&#10;yd/YXtsDO8hX7szv/1DXRLH/4A/P/L5jbVSN5AsZPXp3985br7sN69cLdoj9vRPL8J3527Gd6h5A&#10;sq86a3DPPnuB+lfIZYq9g/WXC885S3Lc1am8+vePP3C2r3t7/Ffp//mwwldW6d/paz/YsW3bNp0n&#10;3nr9dZE762RPn50EN7rL+X/kqHL333d/at55V+zvifzRWTGEuFP0F9bP6Tqo5vVu1KhgLXfPup6S&#10;326623XkaI0znDbtZLF3iL92B4z3SB9HPqzwlaU/tyP8NrkSHCHf0MIFi3RdQ3V1jfr3r7v2+mDN&#10;g/BN84b1giOdU3bvrJgR/m61n8oamGaRP9BjNgtPrFq5yu0+bm/N64HOstP/7CTyR0/3xK9/rbZ5&#10;bPQ7wjhp7xt8WOEra6+OSv3PdBfO+GKI7zlv0UJ3/qJF7u2331J9BZkD3IBvWEMV5qnkunPhKXqL&#10;rqET7Ngqa2E2iQzC+bZbf6x7pY4ZM9YdJzkK4SPs85U6LnJptw8rfGW51Fmp94Ijb7/1psZ+LH/w&#10;/ha8YL7R+CHiDxP7R9IHKR6wmJB3ZK4hRxBxh2++/loLdsBPlToWsm23Dyt8ZdnWV6n3octY239x&#10;951qUyfeFL0FzLD12wl+dC6Zoz16m0/mgV/eq3POc888rTxkuGFn46sd8ezDCl/Zjvjt4W+C1rY2&#10;hnmFWMKf3/UzxQ2wg7L2eCn5r/PhCnxBXBCxhvfec5dih81Dif6y49t+0vGD30b/u3/2E5VH33jt&#10;1RbZI7F/dD6M6GheeOj+X4rucqV7XfjkP//Z1hJn2hlkD8aLT9bwlYXH2o58zbyBHPLyi2tVh3ns&#10;keXqrzNZtSN+Sv7fMTHG/C+csaFC5w3r33U33XCdu+3mHyl2pI+LzoAhPqzwlaX3zY7422ROZBBo&#10;jwzCmlxkELWhJv6XTqvDQX8OsANbOjjyyEMPqJ6LDrMjjodsvsmHFb6ybOqq5HtsrghjCPzCGm3s&#10;IIlcsWPKFdnS1XRXOwfyaaO77+d3t9jNKpn/8227Dyt8ZfnWX0nPme2DNoMjHE89+YTaQcAQk1uz&#10;5bnkvh0Lc3T9vsgdnG/50Q3u+muuch99+EEbn0sl8XsUbfVhha8sineVex0mg9BOu/7888/dj66/&#10;Vm0h2MpMjwFLTKYFJ8LXCW5UPm4Qpw4dkTfCtq+N4s//1b0/V374/e+eVz4xXil3/o6jfT6s8JXF&#10;8e5yr9PsIC/86Y8qg5Bjat3LLylfffzRhy2+XfgMfkvkk8rHjXTsN7sp5cQWYiuFDzjDH+bzN723&#10;3Hk66vb5sMJXFvV7K6E+m1dYG/Pkrx9XDEFuxVeHDIvMwRneSuSPHQs7oCd0NTmTWMKf3nGbxpli&#10;U6fc5hf4xHilEvg6yjb6sMJXFuU7K6WuMH8wv7z6l3XKP+gzxBrCX8i3hh2J/LHjYIjpLND2t0+t&#10;bIlPf+zhh9TmEZY3EvxoGyuW4EfQH/AFGALewS/8BiNuvvF6jTm866c/dn/6w+9b5A+zzYMryVHZ&#10;fQBuQNvbb7lJ5c4f33aLxnsYH9jZsCOMJ5UyP0bRTh9W+MqieNeOUAd88u9//9s9teIJtaER537r&#10;TTe6Z5/+TYusazIvGMI8xtnkYfud4Etx8cVkRPof+lgMB+XYrjjzH2vhkDGCOaJJ5Q5kTbNz7Ag8&#10;HOU3+LDCVxblOyu5LuYbMIQDnnvisUc0xowcmNjU8PeGeRXeNP6kHL5NsKO42GF9Dj6YvhnGdq6x&#10;i+NXIe8+tMTGsWrlCslh+mmL7FnJfBtX231Y4SuL6/2VVK/pMna2tn/yyT90vsIuD++xlht5xHiU&#10;OGeu4ePmDcF6Xn4nR3H6AMyg78FxpUMqjhjbN7Zw1lsjRwZ71za5Xz/6cIvOajRm3rDr5Nxq7/Bh&#10;ha8s6bNWm4jpvMZT4Mm2bV+4P6z5ncog8CH8eON116gsbD5f5A/j4QQ7ioMd9DNyh8p+ghvoLuTo&#10;ePo3q9xPbr+1ZZ8f5I5Hlz8o+1Oub/GlmKxp9E7GQCtuWF/4sMJXZvd39rNhhp3T+wMswdeHHoO/&#10;D5mEGPg7br3ZPSw5idY8v1r5F342eZr5kWs7zA5rfJ9gTSvW0G/WH4YJ4d92bX3Jb2SM3z232rEW&#10;EsxgvT0HfjRyd6z985/UppVOS35norPv3s5Y5sMKX1ln7Jt8vhl+M/sIZ+Y7/H/YRtBtTEbG5nr/&#10;fb/Q/+BfdBwdD+g4qdgSxsD7772n5TYuOvvZcNf6iv6lTwyD6S9soM/8dpXDP4YdA6yw/QRZL7vi&#10;8UcV4z/77DPVSdL10Xzo3lmf8WGFr6yz9k+u3w1+GD8allAHWPK3jz9y6156sUU2wU4SzIXY7BpV&#10;XgFrwBIbD4wPxkpnx43w9xuGYEsCY/mPM36SO39yR0usBvojGE35K+tedsQMp9MzkS+210nS+6i9&#10;3z6s8JW1V0fyXysNwIlwf8CfdlAOtnAPZaytYQz88fdr3IO/ui+1zqbRXXf1lSproweZ7yY8fjrz&#10;NXZQ000+eP89vV799G81TgObE/oiax3ffON17Wf8rtb/nKGB9X+YTsl1Kw/n0hc+rPCV5VJnZ78X&#10;jIBXfXxqcQR2pq+4jwM8YT144MdpVNnb4ko6M2akf7utGcDWGeSqbRQb01KV394V3cX61PiQvrX+&#10;NtmQ/8LXdm9yzg1HfFjhK0v6Nbd+zaW/4G/uh5/hc/LR/H/2zmdFaiAI43kC8eAzi+w8g4gKnkTw&#10;pKh4UkRx8bCLF3dn2bt7WV/A/Dr7QTuUSXrZdGeGb6DpTCUk6frzpaq60sEPH2oRjjpqH79/+5ri&#10;mCiWUb51184O4T/jJYZjjIpbwIg8p0ScQn6U95TkY5Tw38feXrcjrIho5vHteTzFu1znc9+F+IX5&#10;AfIk+OZgCrlWxTTYleL/Q8CKaAw5XuJvvH/7Jq27AU9YdxTcwG8Tj+Vn6L/75fQW3kZYEdEsh2Xl&#10;sMtffBLhyp/r65RzxWaYCybG+Xl6kp7J8j1yO4vscJ9pjPHL50+pRg+fjLlw3k1RbSi8A3flx+3y&#10;0v+X090IKyKaZbCcDHLeKm8CTXE7NNrV1e+05ibzwDTmJ8m94ofsMz6M3ftJP29CzYbq8Riv4hTl&#10;L4Qbwtucn95eVm8jrIholsOycpjir2wDWyF/SN5wyLNuUlzD2gKqG8EeeWYT26gfs9FW+3Rv+E5s&#10;c/+6Z2p5idcYIz4H76Lgh03xyfvr6mmEFRHNcqkrl11+gxtgCM9e7ftxfJxyAfgim0cPO9ZJww7J&#10;j5Ar0Htj/NecRSusiK6bsKKfj+U+lRulJ8dBPQy1djRqN4SfGrv7tvoo/kdYEdF0vPs2csN+5K+z&#10;LZ+dmjTeNwdDeE7zTQF8fnBE+VX6NeZHwA8a2AK+nZ/9Su/AEquAH3yD+LLHQXSOMRtD2ujemM1H&#10;WBHRxs7hfcvLVbaTY4d8EnpskLqpITdylLaZB4au53vkA7SkgR34RtTb4nNQN0eOmHWqVSsqnFRv&#10;XVte10p4HGFFRCs5p4+9exnLfnIcyfkMnUYehPmZoXZk071+9bLbnp+l5zs+ScKTm76mT4J/oRgK&#10;3ODa+EXD9x+p4x/mVZiz1lyKxqRxigf67/7u9ayUpxFWRLTS8/r4+rLF3lT/AE6ollXf0JP9sq8m&#10;dnAtxSpsp1zpxTbVixKrsEYg7yX/DzesS/V1aS7PI6yIaHPP5+PayFrPamEIPbIg90hM8OzJ438w&#10;Q7nVWvELuCHs4JofP7xLPhLrcHCfYAfYp3FAs7/RRpdKbDjCiohWck4f20buwgzxH5uExnd8iQ+Y&#10;r8EP4Pkve66BH1yL+SAa21yTmnNwLZ9P4r6NGW10RzpT2kdYEdFKz+vj6+qBsAP7o/Fftsh8DPkQ&#10;4gTlHtTXwI8Ur9zkP9jme+TgGev5KGZBX7hnNY3BelRXj0r5HWFFRCs9r49vL3dhCM945jbINYAl&#10;YAZ2XAM7dC3iJcVMrN/D/CzzLrmeCO9ymrfb69GYDCKsiGhj5/C+dcoY/FA+lbXFeXeG706oLkSx&#10;xNI4kscvXPvF86cJz3Rv3Kd1aJ06NCWXCCsi2tR5vH998lcsQE+eklpwcET5D8Uw2PeSDXy6vNim&#10;xvqCvDfLumDyN4hhrD/r0585MomwApqbeWAdsA7M0YE5OONj9vP5YLlZbtYB64B1wDpgHbAOWAes&#10;A4eqA/e6rnvQN373+8b2XwAAAP//AwBQSwMEFAAGAAgAAAAhAO3BI6XfAAAACQEAAA8AAABkcnMv&#10;ZG93bnJldi54bWxMj0FLw0AQhe+C/2EZwZvdpLUaYzalFPVUBFtBvE2TaRKanQ3ZbZL+e8eTnobH&#10;93jzXraabKsG6n3j2EA8i0ARF65suDLwuX+9S0D5gFxi65gMXMjDKr++yjAt3cgfNOxCpSSEfYoG&#10;6hC6VGtf1GTRz1xHLOzoeotBZF/pssdRwm2r51H0oC02LB9q7GhTU3Hana2BtxHH9SJ+Gban4+by&#10;vV++f21jMub2Zlo/gwo0hT8z/NaX6pBLp4M7c+lVKzp5FKeBeSRX+OI+iUEdDCyfhOg80/8X5D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Kj6Aq9FBAAA9QwAAA4A&#10;AAAAAAAAAAAAAAAAPAIAAGRycy9lMm9Eb2MueG1sUEsBAi0AFAAGAAgAAAAhAOOnyTzq6wAAuJ8H&#10;ABQAAAAAAAAAAAAAAAAArQYAAGRycy9tZWRpYS9pbWFnZTEuZW1mUEsBAi0AFAAGAAgAAAAhAO3B&#10;I6XfAAAACQEAAA8AAAAAAAAAAAAAAAAAyfIAAGRycy9kb3ducmV2LnhtbFBLAQItABQABgAIAAAA&#10;IQCOIglCugAAACEBAAAZAAAAAAAAAAAAAAAAANXzAABkcnMvX3JlbHMvZTJvRG9jLnhtbC5yZWxz&#10;UEsFBgAAAAAGAAYAfAEAAMb0AAAAAA==&#10;">
                      <v:group id="그룹 164" o:spid="_x0000_s1261"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그림 166" o:spid="_x0000_s1262"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SPuwwAAANwAAAAPAAAAZHJzL2Rvd25yZXYueG1sRE9Na8JA&#10;EL0X/A/LFHoR3Sg0aHQTpEXowYO14nnITrMx2dmYXTX++26h0Ns83uesi8G24ka9rx0rmE0TEMSl&#10;0zVXCo5f28kChA/IGlvHpOBBHop89LTGTLs7f9LtECoRQ9hnqMCE0GVS+tKQRT91HXHkvl1vMUTY&#10;V1L3eI/htpXzJEmlxZpjg8GO3gyVzeFqFTSb3awxzZ7P49Pr8nwx4335flXq5XnYrEAEGsK/+M/9&#10;oeP8NIXfZ+IFMv8BAAD//wMAUEsBAi0AFAAGAAgAAAAhANvh9svuAAAAhQEAABMAAAAAAAAAAAAA&#10;AAAAAAAAAFtDb250ZW50X1R5cGVzXS54bWxQSwECLQAUAAYACAAAACEAWvQsW78AAAAVAQAACwAA&#10;AAAAAAAAAAAAAAAfAQAAX3JlbHMvLnJlbHNQSwECLQAUAAYACAAAACEAkZkj7sMAAADcAAAADwAA&#10;AAAAAAAAAAAAAAAHAgAAZHJzL2Rvd25yZXYueG1sUEsFBgAAAAADAAMAtwAAAPcCAAAAAA==&#10;">
                          <v:imagedata r:id="rId41" o:title=""/>
                        </v:shape>
                        <v:shape id="Text Box 167" o:spid="_x0000_s1263"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SixAAAANwAAAAPAAAAZHJzL2Rvd25yZXYueG1sRE9NS8NA&#10;EL0L/odlBC9iN9YSJXZbSqmgXoIxF29DdpqNZmfD7qaJ/94VhN7m8T5nvZ1tL07kQ+dYwd0iA0Hc&#10;ON1xq6D+eL59BBEissbeMSn4oQDbzeXFGgvtJn6nUxVbkUI4FKjAxDgUUobGkMWwcANx4o7OW4wJ&#10;+lZqj1MKt71cZlkuLXacGgwOtDfUfFejVVCuPktzMx4Pb7vVvX+tx33+1VZKXV/NuycQkeZ4Fv+7&#10;X3Sanz/A3zPpArn5BQAA//8DAFBLAQItABQABgAIAAAAIQDb4fbL7gAAAIUBAAATAAAAAAAAAAAA&#10;AAAAAAAAAABbQ29udGVudF9UeXBlc10ueG1sUEsBAi0AFAAGAAgAAAAhAFr0LFu/AAAAFQEAAAsA&#10;AAAAAAAAAAAAAAAAHwEAAF9yZWxzLy5yZWxzUEsBAi0AFAAGAAgAAAAhAMGAVKLEAAAA3AAAAA8A&#10;AAAAAAAAAAAAAAAABwIAAGRycy9kb3ducmV2LnhtbFBLBQYAAAAAAwADALcAAAD4AgAAAAA=&#10;" stroked="f">
                          <v:textbox style="mso-fit-shape-to-text:t" inset="0,0,0,0">
                            <w:txbxContent>
                              <w:p w14:paraId="1B62101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E</w:t>
                                </w:r>
                              </w:p>
                            </w:txbxContent>
                          </v:textbox>
                        </v:shape>
                      </v:group>
                      <v:shape id="Text Box 168" o:spid="_x0000_s1264" type="#_x0000_t202" style="position:absolute;left:6096;top:26543;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EhxQAAANwAAAAPAAAAZHJzL2Rvd25yZXYueG1sRI9Bb8Iw&#10;DIXvk/gPkSftMo2UHaDqCGggocGBA4Uf4DVe061xqiZA9+/xAYmbrff83uf5cvCtulAfm8AGJuMM&#10;FHEVbMO1gdNx85aDignZYhuYDPxThOVi9DTHwoYrH+hSplpJCMcCDbiUukLrWDnyGMehIxbtJ/Qe&#10;k6x9rW2PVwn3rX7Psqn22LA0OOxo7aj6K8/eQJ7H9Yzid2h/v8rt645Wk8PeGfPyPHx+gEo0pIf5&#10;fr21gj8VWnlGJtCLGwAAAP//AwBQSwECLQAUAAYACAAAACEA2+H2y+4AAACFAQAAEwAAAAAAAAAA&#10;AAAAAAAAAAAAW0NvbnRlbnRfVHlwZXNdLnhtbFBLAQItABQABgAIAAAAIQBa9CxbvwAAABUBAAAL&#10;AAAAAAAAAAAAAAAAAB8BAABfcmVscy8ucmVsc1BLAQItABQABgAIAAAAIQBTQYEhxQAAANwAAAAP&#10;AAAAAAAAAAAAAAAAAAcCAABkcnMvZG93bnJldi54bWxQSwUGAAAAAAMAAwC3AAAA+QIAAAAA&#10;" fillcolor="white [3212]" stroked="f" strokeweight=".5pt">
                        <v:textbox inset="0,0,0,0">
                          <w:txbxContent>
                            <w:p w14:paraId="3BB2E1A0" w14:textId="77777777" w:rsidR="006D7011" w:rsidRDefault="006D7011" w:rsidP="00094D2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TYLKO opiekun </w:t>
                              </w:r>
                            </w:p>
                            <w:p w14:paraId="58867CCF" w14:textId="77777777" w:rsidR="006D7011" w:rsidRDefault="006D7011" w:rsidP="00094D21">
                              <w:pPr>
                                <w:rPr>
                                  <w:rFonts w:asciiTheme="majorBidi" w:hAnsiTheme="majorBidi" w:cstheme="majorBidi"/>
                                  <w:b/>
                                  <w:bCs/>
                                  <w:sz w:val="20"/>
                                  <w:szCs w:val="20"/>
                                  <w:lang w:val="pl-PL"/>
                                </w:rPr>
                              </w:pPr>
                            </w:p>
                            <w:p w14:paraId="3A6EE831" w14:textId="77777777" w:rsidR="006D7011" w:rsidRDefault="006D7011" w:rsidP="00094D21">
                              <w:pPr>
                                <w:rPr>
                                  <w:rFonts w:asciiTheme="majorBidi" w:hAnsiTheme="majorBidi" w:cstheme="majorBidi"/>
                                  <w:b/>
                                  <w:bCs/>
                                  <w:sz w:val="20"/>
                                  <w:szCs w:val="20"/>
                                  <w:lang w:val="pl-PL"/>
                                </w:rPr>
                              </w:pPr>
                              <w:r>
                                <w:rPr>
                                  <w:rFonts w:ascii="Times New Roman" w:eastAsia="Times New Roman" w:hAnsi="Times New Roman" w:cs="Times New Roman"/>
                                  <w:b/>
                                  <w:bCs/>
                                  <w:sz w:val="20"/>
                                  <w:szCs w:val="20"/>
                                  <w:lang w:val="pl-PL"/>
                                </w:rPr>
                                <w:t xml:space="preserve">Samodzielne wstrzyknięcie i podanie wstrzyknięcia przez opiekuna </w:t>
                              </w:r>
                            </w:p>
                          </w:txbxContent>
                        </v:textbox>
                      </v:shape>
                      <w10:wrap type="square"/>
                    </v:group>
                  </w:pict>
                </mc:Fallback>
              </mc:AlternateContent>
            </w:r>
          </w:p>
          <w:p w14:paraId="4733A684" w14:textId="77777777" w:rsidR="00094D21" w:rsidRPr="008F328C" w:rsidRDefault="00094D21" w:rsidP="008E70FE">
            <w:pPr>
              <w:pStyle w:val="a4"/>
              <w:numPr>
                <w:ilvl w:val="0"/>
                <w:numId w:val="126"/>
              </w:numPr>
              <w:rPr>
                <w:rFonts w:ascii="Times New Roman" w:eastAsia="Times New Roman" w:hAnsi="Times New Roman" w:cs="Times New Roman"/>
                <w:b/>
                <w:spacing w:val="-1"/>
                <w:highlight w:val="lightGray"/>
                <w:lang w:val="pl-PL"/>
              </w:rPr>
            </w:pPr>
            <w:r w:rsidRPr="008F328C">
              <w:rPr>
                <w:rFonts w:ascii="Times New Roman" w:eastAsia="Times New Roman" w:hAnsi="Times New Roman" w:cs="Times New Roman"/>
                <w:b/>
                <w:bCs/>
                <w:spacing w:val="-1"/>
                <w:highlight w:val="lightGray"/>
                <w:lang w:val="pl-PL"/>
              </w:rPr>
              <w:t>Wybrać odpowiednie miejsce wstrzyknięcia</w:t>
            </w:r>
          </w:p>
          <w:p w14:paraId="2387E049" w14:textId="77777777" w:rsidR="00094D21" w:rsidRPr="008F328C" w:rsidRDefault="00094D21" w:rsidP="008A03B2">
            <w:pPr>
              <w:pStyle w:val="a3"/>
              <w:rPr>
                <w:highlight w:val="lightGray"/>
                <w:lang w:val="pl-PL"/>
              </w:rPr>
            </w:pPr>
          </w:p>
          <w:p w14:paraId="2EB40B31" w14:textId="77777777" w:rsidR="00094D21" w:rsidRPr="008F328C" w:rsidRDefault="00094D21" w:rsidP="008A03B2">
            <w:pPr>
              <w:pStyle w:val="a3"/>
              <w:ind w:left="4117" w:hanging="180"/>
              <w:rPr>
                <w:highlight w:val="lightGray"/>
                <w:lang w:val="pl-PL"/>
              </w:rPr>
            </w:pPr>
            <w:r w:rsidRPr="008F328C">
              <w:rPr>
                <w:rFonts w:eastAsia="Times New Roman"/>
                <w:b/>
                <w:bCs/>
                <w:highlight w:val="lightGray"/>
                <w:lang w:val="pl-PL"/>
              </w:rPr>
              <w:t xml:space="preserve">a. </w:t>
            </w:r>
            <w:r w:rsidRPr="008F328C">
              <w:rPr>
                <w:rFonts w:eastAsia="Times New Roman"/>
                <w:highlight w:val="lightGray"/>
                <w:lang w:val="pl-PL"/>
              </w:rPr>
              <w:t>Wstrzyknięcie można wykonać w:</w:t>
            </w:r>
          </w:p>
          <w:p w14:paraId="4C1E12E5" w14:textId="77777777" w:rsidR="00094D21" w:rsidRPr="008F328C" w:rsidRDefault="00094D21" w:rsidP="008A03B2">
            <w:pPr>
              <w:pStyle w:val="a3"/>
              <w:ind w:left="4297"/>
              <w:rPr>
                <w:highlight w:val="lightGray"/>
                <w:lang w:val="pl-PL"/>
              </w:rPr>
            </w:pPr>
            <w:r w:rsidRPr="008F328C">
              <w:rPr>
                <w:rFonts w:eastAsia="Times New Roman"/>
                <w:highlight w:val="lightGray"/>
                <w:lang w:val="pl-PL"/>
              </w:rPr>
              <w:t xml:space="preserve">- przednią powierzchnię ud </w:t>
            </w:r>
          </w:p>
          <w:p w14:paraId="38C7A898" w14:textId="77777777" w:rsidR="00094D21" w:rsidRPr="008F328C" w:rsidRDefault="00094D21" w:rsidP="008A03B2">
            <w:pPr>
              <w:pStyle w:val="a3"/>
              <w:ind w:left="4297"/>
              <w:rPr>
                <w:highlight w:val="lightGray"/>
                <w:lang w:val="pl-PL"/>
              </w:rPr>
            </w:pPr>
            <w:r w:rsidRPr="008F328C">
              <w:rPr>
                <w:rFonts w:eastAsia="Times New Roman"/>
                <w:highlight w:val="lightGray"/>
                <w:lang w:val="pl-PL"/>
              </w:rPr>
              <w:t xml:space="preserve">- brzuch w odległości co najmniej 5 cm od pępka. </w:t>
            </w:r>
          </w:p>
          <w:p w14:paraId="5E9B9B0B" w14:textId="77777777" w:rsidR="00094D21" w:rsidRPr="008F328C" w:rsidRDefault="00094D21" w:rsidP="008A03B2">
            <w:pPr>
              <w:pStyle w:val="a3"/>
              <w:ind w:left="4297"/>
              <w:rPr>
                <w:highlight w:val="lightGray"/>
                <w:lang w:val="pl-PL"/>
              </w:rPr>
            </w:pPr>
            <w:r w:rsidRPr="008F328C">
              <w:rPr>
                <w:rFonts w:eastAsia="Times New Roman"/>
                <w:highlight w:val="lightGray"/>
                <w:lang w:val="pl-PL"/>
              </w:rPr>
              <w:t xml:space="preserve">- zewnętrzną powierzchnię górnego ramienia (TYLKO opiekun). </w:t>
            </w:r>
          </w:p>
          <w:p w14:paraId="1297EE4F" w14:textId="77777777" w:rsidR="00094D21" w:rsidRPr="008F328C" w:rsidRDefault="00094D21" w:rsidP="008A03B2">
            <w:pPr>
              <w:pStyle w:val="a3"/>
              <w:rPr>
                <w:highlight w:val="lightGray"/>
                <w:lang w:val="pl-PL"/>
              </w:rPr>
            </w:pPr>
          </w:p>
          <w:p w14:paraId="699E0318" w14:textId="77777777" w:rsidR="00094D21" w:rsidRPr="008F328C" w:rsidRDefault="00094D21" w:rsidP="008A03B2">
            <w:pPr>
              <w:pStyle w:val="a3"/>
              <w:numPr>
                <w:ilvl w:val="0"/>
                <w:numId w:val="18"/>
              </w:numPr>
              <w:ind w:left="4297"/>
              <w:rPr>
                <w:highlight w:val="lightGray"/>
                <w:lang w:val="pl-PL"/>
              </w:rPr>
            </w:pPr>
            <w:r w:rsidRPr="008F328C">
              <w:rPr>
                <w:rFonts w:eastAsia="Times New Roman"/>
                <w:b/>
                <w:bCs/>
                <w:highlight w:val="lightGray"/>
                <w:lang w:val="pl-PL"/>
              </w:rPr>
              <w:t>Nie należy</w:t>
            </w:r>
            <w:r w:rsidRPr="008F328C">
              <w:rPr>
                <w:rFonts w:eastAsia="Times New Roman"/>
                <w:highlight w:val="lightGray"/>
                <w:lang w:val="pl-PL"/>
              </w:rPr>
              <w:t xml:space="preserve"> wykonywać wstrzyknięcia w skórę, która znajduje się w odległości 5 cm pępka lub jeżeli skóra jest zaczerwieniona, twarda, tkliwa, uszkodzona, </w:t>
            </w:r>
          </w:p>
          <w:p w14:paraId="6DE9AAF9" w14:textId="77777777" w:rsidR="00094D21" w:rsidRPr="008F328C" w:rsidRDefault="00094D21" w:rsidP="008A03B2">
            <w:pPr>
              <w:pStyle w:val="a3"/>
              <w:numPr>
                <w:ilvl w:val="0"/>
                <w:numId w:val="0"/>
              </w:numPr>
              <w:ind w:left="911" w:firstLineChars="300" w:firstLine="660"/>
              <w:rPr>
                <w:highlight w:val="lightGray"/>
                <w:lang w:val="pl-PL"/>
              </w:rPr>
            </w:pPr>
            <w:r w:rsidRPr="008F328C">
              <w:rPr>
                <w:rFonts w:eastAsia="Times New Roman"/>
                <w:highlight w:val="lightGray"/>
                <w:lang w:val="pl-PL"/>
              </w:rPr>
              <w:t xml:space="preserve">zasiniona lub jeśli znajdują się na niej blizny. </w:t>
            </w:r>
          </w:p>
          <w:p w14:paraId="38510AF1" w14:textId="77777777" w:rsidR="00094D21" w:rsidRPr="008F328C" w:rsidRDefault="00094D21" w:rsidP="008A03B2">
            <w:pPr>
              <w:pStyle w:val="a3"/>
              <w:numPr>
                <w:ilvl w:val="0"/>
                <w:numId w:val="18"/>
              </w:numPr>
              <w:ind w:left="4297"/>
              <w:rPr>
                <w:highlight w:val="lightGray"/>
                <w:lang w:val="pl-PL"/>
              </w:rPr>
            </w:pPr>
            <w:r w:rsidRPr="008F328C">
              <w:rPr>
                <w:rFonts w:eastAsia="Times New Roman"/>
                <w:highlight w:val="lightGray"/>
                <w:lang w:val="pl-PL"/>
              </w:rPr>
              <w:t xml:space="preserve">Jeśli pacjent choruje na łuszczycę, </w:t>
            </w:r>
            <w:r w:rsidRPr="008F328C">
              <w:rPr>
                <w:rFonts w:eastAsia="Times New Roman"/>
                <w:b/>
                <w:bCs/>
                <w:highlight w:val="lightGray"/>
                <w:lang w:val="pl-PL"/>
              </w:rPr>
              <w:t>nie</w:t>
            </w:r>
            <w:r w:rsidRPr="008F328C">
              <w:rPr>
                <w:rFonts w:eastAsia="Times New Roman"/>
                <w:highlight w:val="lightGray"/>
                <w:lang w:val="pl-PL"/>
              </w:rPr>
              <w:t xml:space="preserve"> należy wykonywać wstrzyknięcia bezpośrednio w uniesione, zgrubiałe, zaczerwienione lub łuszczące się miejsca na skórze lub zmiany skórne. </w:t>
            </w:r>
          </w:p>
          <w:p w14:paraId="181D9C64" w14:textId="77777777" w:rsidR="00094D21" w:rsidRPr="008F328C" w:rsidRDefault="00094D21" w:rsidP="008A03B2">
            <w:pPr>
              <w:pStyle w:val="a3"/>
              <w:numPr>
                <w:ilvl w:val="0"/>
                <w:numId w:val="18"/>
              </w:numPr>
              <w:rPr>
                <w:highlight w:val="lightGray"/>
                <w:lang w:val="pl-PL"/>
              </w:rPr>
            </w:pPr>
            <w:r w:rsidRPr="008F328C">
              <w:rPr>
                <w:rFonts w:eastAsia="Times New Roman"/>
                <w:b/>
                <w:bCs/>
                <w:highlight w:val="lightGray"/>
                <w:lang w:val="pl-PL"/>
              </w:rPr>
              <w:t xml:space="preserve">Nie </w:t>
            </w:r>
            <w:r w:rsidRPr="008F328C">
              <w:rPr>
                <w:rFonts w:eastAsia="Times New Roman"/>
                <w:highlight w:val="lightGray"/>
                <w:lang w:val="pl-PL"/>
              </w:rPr>
              <w:t>wykonywać wstrzyknięcia przez ubranie.</w:t>
            </w:r>
          </w:p>
          <w:p w14:paraId="43055DD4" w14:textId="77777777" w:rsidR="00094D21" w:rsidRPr="008F328C" w:rsidRDefault="00094D21" w:rsidP="008A03B2">
            <w:pPr>
              <w:pStyle w:val="a3"/>
              <w:numPr>
                <w:ilvl w:val="0"/>
                <w:numId w:val="0"/>
              </w:numPr>
              <w:ind w:left="911"/>
              <w:rPr>
                <w:highlight w:val="lightGray"/>
                <w:lang w:val="pl-PL"/>
              </w:rPr>
            </w:pPr>
          </w:p>
          <w:p w14:paraId="3FED5C04" w14:textId="77777777" w:rsidR="00094D21" w:rsidRPr="008F328C" w:rsidRDefault="00094D21" w:rsidP="008A03B2">
            <w:pPr>
              <w:pStyle w:val="a3"/>
              <w:ind w:left="4117" w:hanging="180"/>
              <w:rPr>
                <w:sz w:val="26"/>
                <w:szCs w:val="26"/>
                <w:lang w:val="pl-PL"/>
              </w:rPr>
            </w:pPr>
            <w:r w:rsidRPr="008F328C">
              <w:rPr>
                <w:rFonts w:eastAsia="Times New Roman"/>
                <w:b/>
                <w:bCs/>
                <w:highlight w:val="lightGray"/>
                <w:lang w:val="pl-PL"/>
              </w:rPr>
              <w:t>b.</w:t>
            </w:r>
            <w:r w:rsidRPr="008F328C">
              <w:rPr>
                <w:rFonts w:eastAsia="Times New Roman"/>
                <w:highlight w:val="lightGray"/>
                <w:lang w:val="pl-PL"/>
              </w:rPr>
              <w:t xml:space="preserve"> Miejsce wstrzyknięcia należy za każdym razem zmieniać. Każde nowe miejsce wstrzyknięcia powinno znajdować się co najmniej 3 cm od wcześniejszego miejsca wstrzyknięcia.</w:t>
            </w:r>
          </w:p>
        </w:tc>
      </w:tr>
    </w:tbl>
    <w:p w14:paraId="00D76C1A" w14:textId="77777777" w:rsidR="00094D21" w:rsidRPr="008F328C" w:rsidRDefault="00094D21" w:rsidP="00094D21">
      <w:pPr>
        <w:pStyle w:val="a3"/>
        <w:rPr>
          <w:sz w:val="26"/>
          <w:szCs w:val="26"/>
          <w:lang w:val="pl-PL"/>
        </w:rPr>
      </w:pPr>
    </w:p>
    <w:p w14:paraId="635ADAD7" w14:textId="77777777" w:rsidR="00094D21" w:rsidRPr="008F328C" w:rsidRDefault="00094D21" w:rsidP="00094D21">
      <w:pPr>
        <w:rPr>
          <w:rFonts w:ascii="Times New Roman" w:hAnsi="Times New Roman" w:cs="Times New Roman"/>
          <w:sz w:val="26"/>
          <w:szCs w:val="26"/>
          <w:lang w:val="pl-PL"/>
        </w:rPr>
      </w:pPr>
      <w:r w:rsidRPr="008F328C">
        <w:rPr>
          <w:rFonts w:ascii="Times New Roman" w:hAnsi="Times New Roman" w:cs="Times New Roman"/>
          <w:sz w:val="26"/>
          <w:szCs w:val="26"/>
          <w:lang w:val="pl-PL"/>
        </w:rPr>
        <w:br w:type="page"/>
      </w:r>
    </w:p>
    <w:tbl>
      <w:tblPr>
        <w:tblStyle w:val="ac"/>
        <w:tblW w:w="0" w:type="auto"/>
        <w:tblLook w:val="04A0" w:firstRow="1" w:lastRow="0" w:firstColumn="1" w:lastColumn="0" w:noHBand="0" w:noVBand="1"/>
      </w:tblPr>
      <w:tblGrid>
        <w:gridCol w:w="9090"/>
      </w:tblGrid>
      <w:tr w:rsidR="00094D21" w:rsidRPr="00A5286D" w14:paraId="187C6DC1" w14:textId="77777777" w:rsidTr="008A03B2">
        <w:trPr>
          <w:trHeight w:val="5805"/>
        </w:trPr>
        <w:tc>
          <w:tcPr>
            <w:tcW w:w="9090" w:type="dxa"/>
          </w:tcPr>
          <w:p w14:paraId="2F8A4931" w14:textId="77777777" w:rsidR="00094D21" w:rsidRPr="008F328C" w:rsidRDefault="00094D21" w:rsidP="008A03B2">
            <w:pPr>
              <w:pStyle w:val="a3"/>
              <w:rPr>
                <w:highlight w:val="lightGray"/>
                <w:lang w:val="pl-PL" w:eastAsia="ko-KR"/>
              </w:rPr>
            </w:pPr>
          </w:p>
          <w:p w14:paraId="6726AEFF" w14:textId="77777777" w:rsidR="00094D21" w:rsidRPr="008F328C" w:rsidRDefault="00094D21" w:rsidP="008A03B2">
            <w:pPr>
              <w:pStyle w:val="1"/>
              <w:spacing w:before="76"/>
              <w:ind w:left="0" w:right="2736"/>
              <w:rPr>
                <w:rFonts w:cs="Times New Roman"/>
                <w:spacing w:val="-1"/>
                <w:highlight w:val="lightGray"/>
                <w:lang w:val="pl-PL"/>
              </w:rPr>
            </w:pPr>
          </w:p>
          <w:p w14:paraId="52145071" w14:textId="59BDAB70" w:rsidR="00094D21" w:rsidRPr="008F328C" w:rsidRDefault="00094D21" w:rsidP="008A03B2">
            <w:pPr>
              <w:pStyle w:val="1"/>
              <w:spacing w:before="76"/>
              <w:ind w:left="0" w:right="2736"/>
              <w:rPr>
                <w:rFonts w:eastAsiaTheme="minorEastAsia" w:cs="Times New Roman"/>
                <w:highlight w:val="lightGray"/>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72" behindDoc="0" locked="0" layoutInCell="1" allowOverlap="1" wp14:anchorId="213E73EB" wp14:editId="73F1C447">
                      <wp:simplePos x="0" y="0"/>
                      <wp:positionH relativeFrom="column">
                        <wp:posOffset>9525</wp:posOffset>
                      </wp:positionH>
                      <wp:positionV relativeFrom="paragraph">
                        <wp:posOffset>29210</wp:posOffset>
                      </wp:positionV>
                      <wp:extent cx="2407920" cy="3092450"/>
                      <wp:effectExtent l="0" t="0" r="0" b="0"/>
                      <wp:wrapSquare wrapText="bothSides"/>
                      <wp:docPr id="170" name="그룹 170"/>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74" name="그림 17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75" name="Text Box 175"/>
                              <wps:cNvSpPr txBox="1"/>
                              <wps:spPr>
                                <a:xfrm>
                                  <a:off x="1670050" y="2946400"/>
                                  <a:ext cx="719758" cy="146050"/>
                                </a:xfrm>
                                <a:prstGeom prst="rect">
                                  <a:avLst/>
                                </a:prstGeom>
                                <a:solidFill>
                                  <a:prstClr val="white"/>
                                </a:solidFill>
                                <a:ln>
                                  <a:noFill/>
                                </a:ln>
                              </wps:spPr>
                              <wps:txbx>
                                <w:txbxContent>
                                  <w:p w14:paraId="4A73C1E1" w14:textId="77777777" w:rsidR="006D7011" w:rsidRDefault="006D7011" w:rsidP="00094D21">
                                    <w:pPr>
                                      <w:pStyle w:val="af0"/>
                                      <w:jc w:val="right"/>
                                      <w:rPr>
                                        <w:rFonts w:ascii="Times New Roman" w:hAnsi="Times New Roman" w:cs="Times New Roman"/>
                                        <w:noProof/>
                                        <w:spacing w:val="-1"/>
                                      </w:rPr>
                                    </w:pPr>
                                    <w:r w:rsidRPr="00404101">
                                      <w:rPr>
                                        <w:rFonts w:ascii="Times New Roman" w:eastAsia="Times New Roman" w:hAnsi="Times New Roman" w:cs="Times New Roman"/>
                                        <w:highlight w:val="lightGray"/>
                                        <w:lang w:val="pl-PL"/>
                                      </w:rPr>
                                      <w:t>Rysunek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3E73EB" id="그룹 170" o:spid="_x0000_s1265" style="position:absolute;margin-left:.75pt;margin-top:2.3pt;width:189.6pt;height:243.5pt;z-index:251658372"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ax3AwAABwgAAA4AAABkcnMvZTJvRG9jLnhtbJxV23LbNhB970z+&#10;AcP3mJQiWRHHcka1a09m3EQTu5NnCARFTEgABSBR7gf1F9qHflH7EzkLkrJlp5PLg6gFsFicPXsW&#10;OHuzb2q2k84roxfJ6CRLmNTCFEpvFslvd1cvXyfMB64LXhstF8m99Mmb8xc/nbU2l2NTmbqQjiGI&#10;9nlrF0kVgs3T1ItKNtyfGCs1FkvjGh4wdJu0cLxF9KZOx1l2mrbGFdYZIb3H7GW3mJzH+GUpRXhf&#10;ll4GVi8SYAvx6+J3Td/0/IznG8dtpUQPg/8AioYrjUMPoS554Gzr1LNQjRLOeFOGE2Ga1JSlEjLm&#10;gGxG2ZNsrp3Z2pjLJm839kATqH3C0w+HFe92187e2pUDE63dgIs4olz2pWvoHyjZPlJ2f6BM7gMT&#10;mBxPstl8DGYF1l5l8/Fk2pMqKjD/bJ+ofvnKznQ4OD2CY5XI8es5gPWMg69rBbvC1smkD9J8U4yG&#10;u09b+xLlsjyotapVuI/SQ2EIlN6tlFi5bgA6V46pAq0wmyRM8waa//evv//78x9GMyCZ9pBbt4lT&#10;UjdGfPJMm4uK641cegvZIgJ5p8fucXh04rpW9krVNRWK7D43SPyJRL5ATye/SyO2jdSh6ycna6Rp&#10;tK+U9QlzuWzWEvm4t0UExHMfnAyiogNLHPwBYAnoo4WI8gEYpeChMLZufzUFCOHbYGK3fLfCxvPp&#10;aPI6KuygE1DofLiWpmFkACoQxfB8d+N7bIMLodaGCANmntf6aAIxaSbiJ8S9iQSoOXBD+YFfjJ4x&#10;/F1NeFtxK4GSwj5WzXRQzR212M9mD91MSQm9I7UqC3ss9Aqh+Q7r0DiHjh2dzrIM/cjQm+P55HSS&#10;9b05dO9sNJ9NcUNT844mp+TblXIozEDbNzLrTa2KQY2096J2bMdx97aVCrIPfuT1PxV4yIqssF/v&#10;u64azwYu1qa4BxXOoOJI0VtxpXDiDfdhxR0ucUziYQrv8Slr0y4S01sJq4z740vz5I+yYjVhLR6F&#10;ReJ/33K6Meq3GgVHyDAYbjDWg6G3zYVBrqOIJprY4EI9mKUzzUe8V0s6BUtcC5y1SMJgXoTuacJ7&#10;J+RyGZ26i+dG31pcV6Ooa2L2bv+RO9vXJaCg78wgKZ4/EX7nS0r3doneu1KxK4jZjkXonAaQd7Ti&#10;awPr6Dl7PI5eD+/3+WcA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DjXmOI3AAAAAcBAAAPAAAAZHJzL2Rvd25yZXYu&#10;eG1sTI5BS8NAEIXvgv9hGcGb3cTaWGM2pRT1VARbQbxNk2kSmp0N2W2S/nvHkx4/3uO9L1tNtlUD&#10;9b5xbCCeRaCIC1c2XBn43L/eLUH5gFxi65gMXMjDKr++yjAt3cgfNOxCpWSEfYoG6hC6VGtf1GTR&#10;z1xHLNnR9RaDYF/pssdRxm2r76Mo0RYblocaO9rUVJx2Z2vgbcRxPY9fhu3puLl87xfvX9uYjLm9&#10;mdbPoAJN4a8Mv/qiDrk4HdyZS69a4YUUDTwkoCSdL6NHUAfhpzgBnWf6v3/+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AhnP2sdwMAAAcIAAAOAAAAAAAAAAAAAAAA&#10;ADwCAABkcnMvZTJvRG9jLnhtbFBLAQItABQABgAIAAAAIQCd3Hg4RYgAAJjpCQAUAAAAAAAAAAAA&#10;AAAAAN8FAABkcnMvbWVkaWEvaW1hZ2UxLmVtZlBLAQItABQABgAIAAAAIQDjXmOI3AAAAAcBAAAP&#10;AAAAAAAAAAAAAAAAAFaOAABkcnMvZG93bnJldi54bWxQSwECLQAUAAYACAAAACEAjiIJQroAAAAh&#10;AQAAGQAAAAAAAAAAAAAAAABfjwAAZHJzL19yZWxzL2Uyb0RvYy54bWwucmVsc1BLBQYAAAAABgAG&#10;AHwBAABQkAAAAAA=&#10;">
                      <v:shape id="그림 174" o:spid="_x0000_s1266"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8fbwwAAANwAAAAPAAAAZHJzL2Rvd25yZXYueG1sRE9LSwMx&#10;EL4L/ocwgrc2WxEt26al1AerPW310tuwGTeLm8mSxG3sr2+Egrf5+J6zXCfbi5F86BwrmE0LEMSN&#10;0x23Cj4/XiZzECEia+wdk4JfCrBeXV8tsdTuyDWN+9iKHMKhRAUmxqGUMjSGLIapG4gz9+W8xZih&#10;b6X2eMzhtpd3RfEgLXacGwwOtDXUfO9/rII3vfOyOryPT9KkbZde6+dTVSt1e5M2CxCRUvwXX9yV&#10;zvMf7+HvmXyBXJ0BAAD//wMAUEsBAi0AFAAGAAgAAAAhANvh9svuAAAAhQEAABMAAAAAAAAAAAAA&#10;AAAAAAAAAFtDb250ZW50X1R5cGVzXS54bWxQSwECLQAUAAYACAAAACEAWvQsW78AAAAVAQAACwAA&#10;AAAAAAAAAAAAAAAfAQAAX3JlbHMvLnJlbHNQSwECLQAUAAYACAAAACEAewPH28MAAADcAAAADwAA&#10;AAAAAAAAAAAAAAAHAgAAZHJzL2Rvd25yZXYueG1sUEsFBgAAAAADAAMAtwAAAPcCAAAAAA==&#10;">
                        <v:imagedata r:id="rId43" o:title=""/>
                      </v:shape>
                      <v:shape id="Text Box 175" o:spid="_x0000_s1267"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mTxQAAANwAAAAPAAAAZHJzL2Rvd25yZXYueG1sRE9NawIx&#10;EL0X+h/CCF6KZttaLVujiFiwvUhXL96GzbhZu5ksSVbXf98UCr3N433OfNnbRlzIh9qxgsdxBoK4&#10;dLrmSsFh/z56BREissbGMSm4UYDl4v5ujrl2V/6iSxErkUI45KjAxNjmUobSkMUwdi1x4k7OW4wJ&#10;+kpqj9cUbhv5lGVTabHm1GCwpbWh8rvorILd5LgzD91p87maPPuPQ7eenqtCqeGgX72BiNTHf/Gf&#10;e6vT/NkL/D6TLpCLHwAAAP//AwBQSwECLQAUAAYACAAAACEA2+H2y+4AAACFAQAAEwAAAAAAAAAA&#10;AAAAAAAAAAAAW0NvbnRlbnRfVHlwZXNdLnhtbFBLAQItABQABgAIAAAAIQBa9CxbvwAAABUBAAAL&#10;AAAAAAAAAAAAAAAAAB8BAABfcmVscy8ucmVsc1BLAQItABQABgAIAAAAIQDbx/mTxQAAANwAAAAP&#10;AAAAAAAAAAAAAAAAAAcCAABkcnMvZG93bnJldi54bWxQSwUGAAAAAAMAAwC3AAAA+QIAAAAA&#10;" stroked="f">
                        <v:textbox style="mso-fit-shape-to-text:t" inset="0,0,0,0">
                          <w:txbxContent>
                            <w:p w14:paraId="4A73C1E1" w14:textId="77777777" w:rsidR="006D7011" w:rsidRDefault="006D7011" w:rsidP="00094D21">
                              <w:pPr>
                                <w:pStyle w:val="af0"/>
                                <w:jc w:val="right"/>
                                <w:rPr>
                                  <w:rFonts w:ascii="Times New Roman" w:hAnsi="Times New Roman" w:cs="Times New Roman"/>
                                  <w:noProof/>
                                  <w:spacing w:val="-1"/>
                                </w:rPr>
                              </w:pPr>
                              <w:r w:rsidRPr="00404101">
                                <w:rPr>
                                  <w:rFonts w:ascii="Times New Roman" w:eastAsia="Times New Roman" w:hAnsi="Times New Roman" w:cs="Times New Roman"/>
                                  <w:highlight w:val="lightGray"/>
                                  <w:lang w:val="pl-PL"/>
                                </w:rPr>
                                <w:t>Rysunek F</w:t>
                              </w:r>
                            </w:p>
                          </w:txbxContent>
                        </v:textbox>
                      </v:shape>
                      <w10:wrap type="square"/>
                    </v:group>
                  </w:pict>
                </mc:Fallback>
              </mc:AlternateContent>
            </w:r>
          </w:p>
          <w:p w14:paraId="705ED6CA"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Umyć ręce</w:t>
            </w:r>
          </w:p>
          <w:p w14:paraId="0162F820" w14:textId="77777777" w:rsidR="00094D21" w:rsidRPr="008F328C" w:rsidRDefault="00094D21" w:rsidP="008A03B2">
            <w:pPr>
              <w:pStyle w:val="a3"/>
              <w:rPr>
                <w:highlight w:val="lightGray"/>
                <w:lang w:val="pl-PL"/>
              </w:rPr>
            </w:pPr>
          </w:p>
          <w:p w14:paraId="4CD5971A" w14:textId="77777777" w:rsidR="00094D21" w:rsidRPr="008F328C" w:rsidRDefault="00094D21" w:rsidP="008A03B2">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Umyć ręce wodą z mydłem i dokładnie je wysuszyć. </w:t>
            </w:r>
          </w:p>
          <w:p w14:paraId="3912921E" w14:textId="77777777" w:rsidR="00094D21" w:rsidRPr="008F328C" w:rsidRDefault="00094D21" w:rsidP="008A03B2">
            <w:pPr>
              <w:pStyle w:val="1"/>
              <w:spacing w:before="76"/>
              <w:ind w:left="0" w:right="2736"/>
              <w:rPr>
                <w:rFonts w:eastAsiaTheme="minorEastAsia" w:cs="Times New Roman"/>
                <w:highlight w:val="lightGray"/>
                <w:lang w:val="pl-PL" w:eastAsia="ko-KR"/>
              </w:rPr>
            </w:pPr>
          </w:p>
        </w:tc>
      </w:tr>
      <w:tr w:rsidR="00094D21" w:rsidRPr="00A5286D" w14:paraId="371B0D13" w14:textId="77777777" w:rsidTr="008A03B2">
        <w:trPr>
          <w:trHeight w:val="5201"/>
        </w:trPr>
        <w:tc>
          <w:tcPr>
            <w:tcW w:w="9090" w:type="dxa"/>
          </w:tcPr>
          <w:p w14:paraId="788B4B51" w14:textId="77777777" w:rsidR="00094D21" w:rsidRPr="008F328C" w:rsidRDefault="00094D21" w:rsidP="008A03B2">
            <w:pPr>
              <w:ind w:left="104"/>
              <w:rPr>
                <w:rFonts w:ascii="Times New Roman" w:eastAsia="Times New Roman" w:hAnsi="Times New Roman" w:cs="Times New Roman"/>
                <w:b/>
                <w:bCs/>
                <w:spacing w:val="-1"/>
                <w:highlight w:val="lightGray"/>
                <w:lang w:val="pl-PL"/>
              </w:rPr>
            </w:pPr>
          </w:p>
          <w:p w14:paraId="12D56A33" w14:textId="77777777" w:rsidR="00094D21" w:rsidRPr="008F328C" w:rsidRDefault="00094D21" w:rsidP="008A03B2">
            <w:pPr>
              <w:ind w:left="104"/>
              <w:rPr>
                <w:rFonts w:ascii="Times New Roman" w:eastAsia="Times New Roman" w:hAnsi="Times New Roman" w:cs="Times New Roman"/>
                <w:highlight w:val="lightGray"/>
                <w:lang w:val="pl-PL"/>
              </w:rPr>
            </w:pPr>
          </w:p>
          <w:p w14:paraId="2057DF1A" w14:textId="77777777" w:rsidR="00094D21" w:rsidRPr="008F328C" w:rsidRDefault="00094D21" w:rsidP="008E70FE">
            <w:pPr>
              <w:pStyle w:val="a3"/>
              <w:numPr>
                <w:ilvl w:val="0"/>
                <w:numId w:val="126"/>
              </w:numPr>
              <w:rPr>
                <w:b/>
                <w:highlight w:val="lightGray"/>
                <w:lang w:val="pl-PL"/>
              </w:rPr>
            </w:pPr>
            <w:r w:rsidRPr="008F328C">
              <w:rPr>
                <w:b/>
                <w:noProof/>
                <w:highlight w:val="lightGray"/>
                <w:lang w:eastAsia="ko-KR"/>
              </w:rPr>
              <mc:AlternateContent>
                <mc:Choice Requires="wpg">
                  <w:drawing>
                    <wp:anchor distT="0" distB="0" distL="114300" distR="114300" simplePos="0" relativeHeight="251658323" behindDoc="0" locked="0" layoutInCell="1" allowOverlap="1" wp14:anchorId="1D03C3B1" wp14:editId="3477265B">
                      <wp:simplePos x="0" y="0"/>
                      <wp:positionH relativeFrom="column">
                        <wp:posOffset>10795</wp:posOffset>
                      </wp:positionH>
                      <wp:positionV relativeFrom="paragraph">
                        <wp:posOffset>31115</wp:posOffset>
                      </wp:positionV>
                      <wp:extent cx="2256458" cy="2901950"/>
                      <wp:effectExtent l="0" t="0" r="0" b="0"/>
                      <wp:wrapSquare wrapText="bothSides"/>
                      <wp:docPr id="177" name="그룹 177"/>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179" name="그림 17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80" name="Text Box 180"/>
                              <wps:cNvSpPr txBox="1"/>
                              <wps:spPr>
                                <a:xfrm>
                                  <a:off x="1536700" y="2755900"/>
                                  <a:ext cx="719758" cy="146050"/>
                                </a:xfrm>
                                <a:prstGeom prst="rect">
                                  <a:avLst/>
                                </a:prstGeom>
                                <a:solidFill>
                                  <a:prstClr val="white"/>
                                </a:solidFill>
                                <a:ln>
                                  <a:noFill/>
                                </a:ln>
                              </wps:spPr>
                              <wps:txbx>
                                <w:txbxContent>
                                  <w:p w14:paraId="4FD33FD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03C3B1" id="그룹 177" o:spid="_x0000_s1268" style="position:absolute;left:0;text-align:left;margin-left:.85pt;margin-top:2.45pt;width:177.65pt;height:228.5pt;z-index:251658323"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X0/93AwAABwgAAA4AAABkcnMvZTJvRG9jLnhtbJxV0W7bNhR9H7B/&#10;IPjeyPJiOxbiFF6yBAWy1lgy9JmmKIuoRHIkbSn9oP3C9tAvan+ih5TkxEmGdHmwfHl5eXnu4bnk&#10;6du2rshOWCe1WtD0aESJUFznUm0W9M/byzcnlDjPVM4qrcSC3glH3579/NNpYzIx1qWucmEJkiiX&#10;NWZBS+9NliSOl6Jm7kgboTBZaFszj6HdJLllDbLXVTIejaZJo21urObCOXgvukl6FvMXheD+Q1E4&#10;4Um1oMDm49fG7zp8k7NTlm0sM6XkPQz2ChQ1kwqb7lNdMM/I1sonqWrJrXa68Edc14kuCslFrAHV&#10;pKNH1VxZvTWxlk3WbMyeJlD7iKdXp+Xvd1fW3JiVBRON2YCLOAq1tIWtwz9QkjZSdrenTLSecDjH&#10;48n0eIJD5pgbz0fpfNKTyksw/2QdL397YWUybJwcwDGSZ/j1HMB6wsHLWsEqv7WC9knqH8pRM/tp&#10;a97guAzzci0r6e+i9HAwAZTarSRf2W4AOleWyBytMJtTolgNzX/9599vf38hwQOSw5oQ1i1ioahr&#10;zT85ovR5ydRGLJ2BbJEhRCeH4XF4sOO6kuZSVlU4qGD3tUHijyTyDD2d/C4039ZC+a6frKhQplau&#10;lMZRYjNRrwXqse/yCIhlzlvheRk2LLDxHwAbgD6YiCjvgYUSHBRG1s3vOgchbOt17JYfVNhkMkbv&#10;RoXNpsezeVTYXieg0Dp/JXRNggGoQBTTs92167ENIQG10oEwYGZZpQ4cyBk8EX9A3JsoIDQHbig3&#10;8IvRE4b/VxPelMwIoAxpH6jmBIV2qrkNLfarbkkKH8D2gaFViW8x0Ssk+DusQ+PsOzad/DKdjZAx&#10;9OZsMpnDjmUP3TtL57OhedPj6ajr3dcz63Ql80GNgfLzypIdw93blNKLKGjo5GHUf5zAfVXB8u26&#10;7bpqfDJwsdb5HaiwGieOEp3hlxI7XjPnV8ziEocTD5P/gE9R6WZBdW9RUmr7+Tl/iMexYpaSBo/C&#10;grq/tizcGNU7hQNHSj8YdjDWg6G29blGrWlEE00ssL4azMLq+iPeq2XYBVNMcey1oH4wz333NOG9&#10;42K5jEHdxXOtbgyuqzTqOjB7235k1vSK9zjQ93qQFMseCb+LDUp3Zoneu5SxKwKzHYvQeRhA3tGK&#10;rw2sg+fs4ThG3b/fZ98B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KF41zjdAAAA&#10;BwEAAA8AAABkcnMvZG93bnJldi54bWxMj0FLw0AQhe+C/2EZwZvdxNrWxmxKKeqpFGwF8TZNpklo&#10;djZkt0n67x1Pevx4jzffpKvRNqqnzteODcSTCBRx7oqaSwOfh7eHZ1A+IBfYOCYDV/Kwym5vUkwK&#10;N/AH9ftQKhlhn6CBKoQ20drnFVn0E9cSS3ZyncUg2JW66HCQcdvoxyiaa4s1y4UKW9pUlJ/3F2vg&#10;fcBhPY1f++35tLl+H2a7r21MxtzfjesXUIHG8FeGX31Rh0ycju7ChVeN8EKKBp6WoCSdzhby2VF4&#10;Hi9BZ6n+75/9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tl9P/&#10;dwMAAAcIAAAOAAAAAAAAAAAAAAAAADwCAABkcnMvZTJvRG9jLnhtbFBLAQItABQABgAIAAAAIQDs&#10;PjCgxn4AAJjpCQAUAAAAAAAAAAAAAAAAAN8FAABkcnMvbWVkaWEvaW1hZ2UxLmVtZlBLAQItABQA&#10;BgAIAAAAIQCheNc43QAAAAcBAAAPAAAAAAAAAAAAAAAAANeEAABkcnMvZG93bnJldi54bWxQSwEC&#10;LQAUAAYACAAAACEAjiIJQroAAAAhAQAAGQAAAAAAAAAAAAAAAADhhQAAZHJzL19yZWxzL2Uyb0Rv&#10;Yy54bWwucmVsc1BLBQYAAAAABgAGAHwBAADShgAAAAA=&#10;">
                      <v:shape id="그림 179" o:spid="_x0000_s1269"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VjxAAAANwAAAAPAAAAZHJzL2Rvd25yZXYueG1sRI9BawIx&#10;EIXvBf9DmIKXotl6aHW7WRFB9CJSFbwOm+lm6WaSbqK7/ntTKPQ2w3vzvjfFcrCtuFEXGscKXqcZ&#10;COLK6YZrBefTZjIHESKyxtYxKbhTgGU5eiow167nT7odYy1SCIccFZgYfS5lqAxZDFPniZP25TqL&#10;Ma1dLXWHfQq3rZxl2Zu02HAiGPS0NlR9H682QV50683hHi9bXg+9O8x//D4oNX4eVh8gIg3x3/x3&#10;vdOp/vsCfp9JE8jyAQAA//8DAFBLAQItABQABgAIAAAAIQDb4fbL7gAAAIUBAAATAAAAAAAAAAAA&#10;AAAAAAAAAABbQ29udGVudF9UeXBlc10ueG1sUEsBAi0AFAAGAAgAAAAhAFr0LFu/AAAAFQEAAAsA&#10;AAAAAAAAAAAAAAAAHwEAAF9yZWxzLy5yZWxzUEsBAi0AFAAGAAgAAAAhAOWJtWPEAAAA3AAAAA8A&#10;AAAAAAAAAAAAAAAABwIAAGRycy9kb3ducmV2LnhtbFBLBQYAAAAAAwADALcAAAD4AgAAAAA=&#10;">
                        <v:imagedata r:id="rId45" o:title=""/>
                      </v:shape>
                      <v:shape id="Text Box 180" o:spid="_x0000_s1270"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sxwAAANwAAAAPAAAAZHJzL2Rvd25yZXYueG1sRI9BSwMx&#10;EIXvQv9DGMGLtNlqKWVtWkpRUC/FtZfehs10s7qZLEm2Xf+9cxC8zfDevPfNejv6Tl0opjawgfms&#10;AEVcB9tyY+D4+TJdgUoZ2WIXmAz8UILtZnKzxtKGK3/QpcqNkhBOJRpwOfel1ql25DHNQk8s2jlE&#10;j1nW2Ggb8SrhvtMPRbHUHluWBoc97R3V39XgDRwWp4O7H87P77vFY3w7DvvlV1MZc3c77p5AZRrz&#10;v/nv+tUK/krw5RmZQG9+AQAA//8DAFBLAQItABQABgAIAAAAIQDb4fbL7gAAAIUBAAATAAAAAAAA&#10;AAAAAAAAAAAAAABbQ29udGVudF9UeXBlc10ueG1sUEsBAi0AFAAGAAgAAAAhAFr0LFu/AAAAFQEA&#10;AAsAAAAAAAAAAAAAAAAAHwEAAF9yZWxzLy5yZWxzUEsBAi0AFAAGAAgAAAAhAP5lKizHAAAA3AAA&#10;AA8AAAAAAAAAAAAAAAAABwIAAGRycy9kb3ducmV2LnhtbFBLBQYAAAAAAwADALcAAAD7AgAAAAA=&#10;" stroked="f">
                        <v:textbox style="mso-fit-shape-to-text:t" inset="0,0,0,0">
                          <w:txbxContent>
                            <w:p w14:paraId="4FD33FD7"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G</w:t>
                              </w:r>
                            </w:p>
                          </w:txbxContent>
                        </v:textbox>
                      </v:shape>
                      <w10:wrap type="square"/>
                    </v:group>
                  </w:pict>
                </mc:Fallback>
              </mc:AlternateContent>
            </w:r>
            <w:r w:rsidRPr="008F328C">
              <w:rPr>
                <w:rFonts w:eastAsia="Times New Roman"/>
                <w:b/>
                <w:bCs/>
                <w:highlight w:val="lightGray"/>
                <w:lang w:val="pl-PL"/>
              </w:rPr>
              <w:t>Oczyścić miejsce wstrzyknięcia</w:t>
            </w:r>
          </w:p>
          <w:p w14:paraId="6616A13D" w14:textId="77777777" w:rsidR="00094D21" w:rsidRPr="008F328C" w:rsidRDefault="00094D21" w:rsidP="008A03B2">
            <w:pPr>
              <w:pStyle w:val="a3"/>
              <w:numPr>
                <w:ilvl w:val="0"/>
                <w:numId w:val="0"/>
              </w:numPr>
              <w:ind w:left="471"/>
              <w:rPr>
                <w:b/>
                <w:highlight w:val="lightGray"/>
                <w:lang w:val="pl-PL"/>
              </w:rPr>
            </w:pPr>
          </w:p>
          <w:p w14:paraId="0D34953A" w14:textId="77777777" w:rsidR="00094D21" w:rsidRPr="008F328C" w:rsidRDefault="00094D21" w:rsidP="008A03B2">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Oczyścić miejsce wstrzyknięcia gazikiem nasączonym alkoholem, okrężnym ruchem.</w:t>
            </w:r>
          </w:p>
          <w:p w14:paraId="354D9369" w14:textId="77777777" w:rsidR="00094D21" w:rsidRPr="008F328C" w:rsidRDefault="00094D21" w:rsidP="008A03B2">
            <w:pPr>
              <w:pStyle w:val="a3"/>
              <w:ind w:left="4297" w:hanging="180"/>
              <w:rPr>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Pozwolić, żeby skóra wyschła przed wstrzyknięciem.</w:t>
            </w:r>
          </w:p>
          <w:p w14:paraId="7C1CE59A" w14:textId="77777777" w:rsidR="00094D21" w:rsidRPr="008F328C" w:rsidRDefault="00094D21" w:rsidP="008A03B2">
            <w:pPr>
              <w:pStyle w:val="a3"/>
              <w:rPr>
                <w:highlight w:val="lightGray"/>
                <w:lang w:val="pl-PL"/>
              </w:rPr>
            </w:pPr>
          </w:p>
          <w:p w14:paraId="7BA14991" w14:textId="77777777" w:rsidR="00094D21" w:rsidRPr="008F328C" w:rsidRDefault="00094D21" w:rsidP="008A03B2">
            <w:pPr>
              <w:pStyle w:val="a3"/>
              <w:rPr>
                <w:highlight w:val="lightGray"/>
                <w:lang w:val="pl-PL"/>
              </w:rPr>
            </w:pPr>
          </w:p>
          <w:p w14:paraId="75902CFE" w14:textId="77777777" w:rsidR="00094D21" w:rsidRPr="008F328C" w:rsidRDefault="00094D21" w:rsidP="008A03B2">
            <w:pPr>
              <w:pStyle w:val="a3"/>
              <w:rPr>
                <w:highlight w:val="lightGray"/>
                <w:lang w:val="pl-PL" w:eastAsia="ko-KR"/>
              </w:rPr>
            </w:pPr>
            <w:r w:rsidRPr="008F328C">
              <w:rPr>
                <w:rFonts w:eastAsia="맑은 고딕"/>
                <w:b/>
                <w:bCs/>
                <w:highlight w:val="lightGray"/>
                <w:lang w:val="pl-PL"/>
              </w:rPr>
              <w:t>•</w:t>
            </w:r>
            <w:r w:rsidRPr="008F328C">
              <w:rPr>
                <w:rFonts w:eastAsia="Times New Roman"/>
                <w:b/>
                <w:bCs/>
                <w:highlight w:val="lightGray"/>
                <w:lang w:val="pl-PL"/>
              </w:rPr>
              <w:t xml:space="preserve"> Nie</w:t>
            </w:r>
            <w:r w:rsidRPr="008F328C">
              <w:rPr>
                <w:rFonts w:eastAsia="Times New Roman"/>
                <w:highlight w:val="lightGray"/>
                <w:lang w:val="pl-PL"/>
              </w:rPr>
              <w:t xml:space="preserve"> dmuchać na miejsce wstrzyknięcia ani dotykać go ponownie przed podaniem wstrzyknięcia</w:t>
            </w:r>
            <w:r w:rsidRPr="008F328C">
              <w:rPr>
                <w:rFonts w:eastAsia="맑은 고딕"/>
                <w:highlight w:val="lightGray"/>
                <w:lang w:val="pl-PL"/>
              </w:rPr>
              <w:t>.</w:t>
            </w:r>
          </w:p>
        </w:tc>
      </w:tr>
      <w:tr w:rsidR="00094D21" w:rsidRPr="00A5286D" w14:paraId="4ACC84D3" w14:textId="77777777" w:rsidTr="008A03B2">
        <w:trPr>
          <w:trHeight w:val="4941"/>
        </w:trPr>
        <w:tc>
          <w:tcPr>
            <w:tcW w:w="9090" w:type="dxa"/>
          </w:tcPr>
          <w:p w14:paraId="23D17509" w14:textId="77777777" w:rsidR="00094D21" w:rsidRPr="008F328C" w:rsidRDefault="00094D21" w:rsidP="008A03B2">
            <w:pPr>
              <w:pStyle w:val="Default"/>
              <w:rPr>
                <w:rFonts w:ascii="Times New Roman" w:hAnsi="Times New Roman" w:cs="Times New Roman"/>
                <w:highlight w:val="lightGray"/>
                <w:lang w:val="pl-PL"/>
              </w:rPr>
            </w:pPr>
          </w:p>
          <w:p w14:paraId="358399A9" w14:textId="77777777" w:rsidR="00094D21" w:rsidRPr="008F328C" w:rsidRDefault="00094D21" w:rsidP="008A03B2">
            <w:pPr>
              <w:pStyle w:val="Default"/>
              <w:rPr>
                <w:rFonts w:ascii="Times New Roman" w:hAnsi="Times New Roman" w:cs="Times New Roman"/>
                <w:highlight w:val="lightGray"/>
                <w:lang w:val="pl-PL"/>
              </w:rPr>
            </w:pPr>
          </w:p>
          <w:p w14:paraId="14AAB580" w14:textId="7830D0C3" w:rsidR="00094D21" w:rsidRPr="008F328C" w:rsidRDefault="00094D21" w:rsidP="008A03B2">
            <w:pPr>
              <w:pStyle w:val="Default"/>
              <w:rPr>
                <w:rFonts w:ascii="Times New Roman" w:hAnsi="Times New Roman" w:cs="Times New Roman"/>
                <w:highlight w:val="lightGray"/>
                <w:lang w:val="pl-PL"/>
              </w:rPr>
            </w:pPr>
            <w:r w:rsidRPr="008F328C">
              <w:rPr>
                <w:rFonts w:ascii="Times New Roman" w:hAnsi="Times New Roman" w:cs="Times New Roman"/>
                <w:noProof/>
                <w:highlight w:val="lightGray"/>
                <w:lang w:eastAsia="ko-KR"/>
              </w:rPr>
              <mc:AlternateContent>
                <mc:Choice Requires="wpg">
                  <w:drawing>
                    <wp:anchor distT="0" distB="0" distL="114300" distR="114300" simplePos="0" relativeHeight="251658324" behindDoc="0" locked="0" layoutInCell="1" allowOverlap="1" wp14:anchorId="5A074EB8" wp14:editId="01EF1C3B">
                      <wp:simplePos x="0" y="0"/>
                      <wp:positionH relativeFrom="column">
                        <wp:posOffset>23495</wp:posOffset>
                      </wp:positionH>
                      <wp:positionV relativeFrom="paragraph">
                        <wp:posOffset>30480</wp:posOffset>
                      </wp:positionV>
                      <wp:extent cx="2160905" cy="2736215"/>
                      <wp:effectExtent l="19050" t="19050" r="10795" b="6985"/>
                      <wp:wrapSquare wrapText="bothSides"/>
                      <wp:docPr id="181" name="그룹 181"/>
                      <wp:cNvGraphicFramePr/>
                      <a:graphic xmlns:a="http://schemas.openxmlformats.org/drawingml/2006/main">
                        <a:graphicData uri="http://schemas.microsoft.com/office/word/2010/wordprocessingGroup">
                          <wpg:wgp>
                            <wpg:cNvGrpSpPr/>
                            <wpg:grpSpPr>
                              <a:xfrm>
                                <a:off x="0" y="0"/>
                                <a:ext cx="2160905" cy="2736215"/>
                                <a:chOff x="0" y="6647"/>
                                <a:chExt cx="2161208" cy="2736555"/>
                              </a:xfrm>
                            </wpg:grpSpPr>
                            <pic:pic xmlns:pic="http://schemas.openxmlformats.org/drawingml/2006/picture">
                              <pic:nvPicPr>
                                <pic:cNvPr id="182" name="그림 182"/>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bwMode="auto">
                                <a:xfrm>
                                  <a:off x="0" y="6647"/>
                                  <a:ext cx="2159000" cy="2569251"/>
                                </a:xfrm>
                                <a:prstGeom prst="rect">
                                  <a:avLst/>
                                </a:prstGeom>
                                <a:noFill/>
                                <a:ln w="6350">
                                  <a:solidFill>
                                    <a:schemeClr val="tx1"/>
                                  </a:solidFill>
                                </a:ln>
                              </pic:spPr>
                            </pic:pic>
                            <wps:wsp>
                              <wps:cNvPr id="183" name="Text Box 183"/>
                              <wps:cNvSpPr txBox="1"/>
                              <wps:spPr>
                                <a:xfrm>
                                  <a:off x="1441450" y="2597152"/>
                                  <a:ext cx="719758" cy="146050"/>
                                </a:xfrm>
                                <a:prstGeom prst="rect">
                                  <a:avLst/>
                                </a:prstGeom>
                                <a:solidFill>
                                  <a:prstClr val="white"/>
                                </a:solidFill>
                                <a:ln>
                                  <a:noFill/>
                                </a:ln>
                              </wps:spPr>
                              <wps:txbx>
                                <w:txbxContent>
                                  <w:p w14:paraId="4EBD965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A074EB8" id="그룹 181" o:spid="_x0000_s1271" style="position:absolute;margin-left:1.85pt;margin-top:2.4pt;width:170.15pt;height:215.45pt;z-index:251658324;mso-height-relative:margin" coordorigin=",66" coordsize="21612,27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eojqQMAAEEIAAAOAAAAZHJzL2Uyb0RvYy54bWycVdFu2zYUfR+wfyD0&#10;3khyLLs24hResgQFstZYMvSZpiiLqERyJG05+6D9wvawL2p/YoeUGNtJgHV9sHxJXl7ee8655MW7&#10;fduQHTdWKLlI8rMsIVwyVQq5WSS/Pdy8eZsQ66gsaaMkXySP3CbvLn/84aLTcz5StWpKbgiCSDvv&#10;9CKpndPzNLWs5i21Z0pzicVKmZY6DM0mLQ3tEL1t0lGWTdJOmVIbxbi1mL3uF5PLEL+qOHMfq8py&#10;R5pFgtxc+JrwXftvenlB5xtDdS3YkAb9jixaKiQOfQp1TR0lWyNehGoFM8qqyp0x1aaqqgTjoQZU&#10;k2fPqrk1aqtDLZt5t9FPMAHaZzh9d1j2YXdr9L1eGSDR6Q2wCCNfy74yrf9HlmQfIHt8gozvHWGY&#10;HOWTbJYVCWFYG03PJ6O86EFlNZA/7JtMxtO48PNhcz7KoJC4uSjC5jSenZ5kpAWb4zfAAOsFDP8t&#10;F+xyW8OTIUj7TTFaaj5v9RswpqkTa9EI9xjUB258UnK3Emxl+gEQXRkiSnTD21FCJG0h+y9//f31&#10;z3+InwHOfo936zdRX9SdYp8tkeqqpnLDl1ZDuYjgvdNT9zA8OXHdCH0jmsZz5e2hNqj8mUpegadX&#10;4LVi25ZL17eU4Q3KVNLWQtuEmDlv1xz1mPdlDq7Qzg4laSOk6xm1hv2KfEMvWWe4Y3XM+5Cbr8JC&#10;Z2Td/aJKBKBbp0LPvKqzg14OUitmWYYmDmopJrNR0eMT1QIgjXW3XLXEG0gYSYUT6O7O+vQgrOji&#10;wZLKwxbSbiTpFsnkvMjCBqsaUUZMw2XErxpDdhTXiNvHY4+8ELmRA1e+ysFE0b6tcLfZSAtGL4j5&#10;X+17X1PNkaUPeyy28yi2B4/YT2oPuZ17ggZH3+TE7bEwCMvP97keEBx6PR+P8zGwIL6ri9k0L4Jw&#10;6TySMc1n02Lo3Hw8yeDb4xvJjDh/IxVHUPYcPcHd1cLxIfiJl8f7iMPIwKEqb7n9et8342gWsVir&#10;8hFQGAWJoESr2Y2AXu6odStqcP1jEk+a+4hP1SjoQg1WQmpl/nht3vuDVqwmpMNzskjs71vqL5rm&#10;vQThCOmiYaKxjobctlcK0kJ7IZtgYoNxTTQro9pPeOmW/hQsUclwFrQYzSvXP2p4KRlfLoNTf1/d&#10;yXuNWy4PuvasPOw/UaMHXhwI/aCipOj8Waf0vh5nq5fo1xsR2sgj26MInfsB5B2s8E7BOnkIj8fB&#10;6/DyX/4LAAD//wMAUEsDBAoAAAAAAAAAIQAxh2lNs0oCALNKAgAUAAAAZHJzL21lZGlhL2ltYWdl&#10;MS5wbmeJUE5HDQoaCgAAAA1JSERSAAACBwAAAmkIAgAAALY9BkYAAAABc1JHQgCuzhzpAAAABGdB&#10;TUEAALGPC/xhBQAAAAlwSFlzAAAh1QAAIdUBBJy0nQAA/6VJREFUeF7s/cezZFmaJ4Z9R1zp8mkR&#10;WmuRWVnVJbq6m9PTBBYgMYsZM4IbrkgaFcxILoYDGGm9II3/AUiYASBgwIYAejOGNnRbD2u6aqoa&#10;pTIjI0O/eFoLd3+urzqCi+/6eR7+XopKFREZ51eeUf7cr195zvc7nyZaa7CwsLCwsAAAADr6gYWF&#10;hYXFOwzLChYWFhYWR7CsYGFhYWFxBMsKFhYWFhZHsKxgYWFhYXEEywoWFhYWFkewrGBhYWFhcQTL&#10;ChYWFhYWR7CsYGFhYWFxBMsKFhYWFhZHsKxgYWFhYXEEywoWFhYWFkewrGBhYWFhcQTLChYWFhYW&#10;R7CsYGFhYWFxBMsKFhYWFhZHsKxgYWFhYXEEywoWFhYWFkewrGBhYWFhcQTLChYWFhYWR7CsYGFh&#10;YWFxBMsKFhYWFhZHsKxgYWFhYXEEywoWFhYWFkewrGBhYWFhcQTLChYWFhYWR7CsYGFhYWFxBMsK&#10;FhYWFhZHsKxgYWFhYXEEywoWFhYWFkewrGBhYWFhcQTLChYWFhYWR7CsYGFhYWFxBMsKFhYWFhZH&#10;sKxgYWFhYXEEywoWFhYWFkewrGBhYWFhcQTLChYWFhYWR7CsYGFhYWFxBMsKFhYWFhZHsKxgYWFh&#10;YXEEywoWFhYWFkewrGBhYWFhcQTLChYWFhYWR7CsYGFhYWFxBMsKFhYWFhZHsKxgYWFhYXEEywoW&#10;FhYWFkewrGBhYWFhcQTLChYWFhYWR7CsYGFhYWFxBMsKFhYWFhZHsKxgYWFhYXEEywoWFhYWFkew&#10;rGBhYWFhcQTLChYWFhYWR7CsYGFhYWFxBMsKFhYWFhZHsKxgYWFhYXEEywoWFhYWFkewrGBhYWFh&#10;cQTLChYWFhYWR7CsYGFhYWFxBMsKFhYWFhZHsKxgYWFhYXEEywoWFhYWFkewrGBhYWFhcQTLChYW&#10;FhYWR7CsYGFhYWFxBMsKFhYWFhZHsKxgYWFhYXEEywoWFhYWFkcgWuvRzywsvnWYcUgIGf3O4p3E&#10;yJAY/nNYatkB87XDsoLFawCOOvx3eM4TQuwktxgeIWY8HB8tdsB8Q7CsYPEaoAc4PrHtJLcYlvsn&#10;/jlMD/jGDpuvEdavYPE6MTKZ7dy2GMGnDQnDE0qp0e8svhqsrmDxeiClNG+01owxSqk1CFgMw9iR&#10;tNY4TiillOZrWeNgwJEz+mOLLwvLChavAUqpOI6TJBFCpGmqlCoWi8VikXNup7eFAUonKWUURY1G&#10;I0mSYrFYqVRc1x22PVpW+HphWcHiNSBN00ajcXBw0Ol0er0e53x2dvb06dOFQsGsBC0sUDqlabq9&#10;vf3kyZNGozE/P3/16tXJyUnGGOqXx11TFl8RdgZafHtAO0CSJN1ud29vb2Fh4fHjxwsLCxsbG41G&#10;Qwgx+gOLdxYatNKgNWgtpWw1WwsvFj768KOHHz9cWlyq12ppkigpQWsCOR+YEAa70v2KsKxg8c3C&#10;TFSllFIqTdPDw8Otra2XL19++OGHjx492tnZ6XQ6lhIsRqE1SK2VBqVFmjbrjbWV1ceffPK73/zm&#10;2eOntb39qNcXqVBK4egyg234jcWXgGUFi28W6CRUSmVZliRJp9PZ3t5+9uzZJ5988ujRo+Xl5cPD&#10;wyzLcLPRH1u8wzAmIaVUlqb9fr92cPByYeHjBw8ePvx4cWnpYP+g3+9JkRMDOhgopZYSviIsK1h8&#10;szBrtziOm83m5ubmkydPPvzww8ePH6PhKEkSSqn1M1u8Ag1Hgl2DlFKIrN/v1ev1lZWVR48ePXz4&#10;8OXLhYP9/TiKtMo3tWTwtcCygsU3C5T1QgjUEl68ePHxxx9//PHHq6uraDiSUlpFweIYcMGvAQAI&#10;EEoJpQCQZVmz1VpeXv7www8//Oijl4uLB7VaFEWoLlgt4WuBZQWLbxxxHDcaja2tradPnz548GBh&#10;YWFzc7PZbEopjX5gc5EsXoUG0LiqoJQySinJrUNZmtYbjZXl5SePHz969Oj58+cbmxvdblcIgb4r&#10;G5L0FWFZweKbRZZl9Xp9eXkZKeHjjz9eX1+PokhKiXOYMYbmI7vKsxgBinYCoDUopXDICCnTJGm3&#10;OxsbGx8/ePCb3/zm2bNntVotyzLjeTaeBosvAcsKFl8zUItH93K/32+1WhsbG8+ePXvy5Mnz58/X&#10;19fb7TYmNuPs/YyqBhbvMggQICTXGgbeKakUmhzTLG0cHi4uLT1+/Pjx48fPnz/f3t7u9/u42hiO&#10;RMLRaI1LXxyWFSy+NgxPQsxH3d/fX11dffbs2ccff/zs2bPd3d0oioQQWNSMc26czIwxyw0WRyCU&#10;DGUsE0ooo5RRxhhnjFCqtRZC9Hq93d2dx48e/epXv/roo4+2trbQlHScDIb/tfhsWFaw+NpgZmOa&#10;plEUoZbw+PHjTz755MWLFxsbG51OB7UEOzktvgTQtYD5zEopIUSaJI1GY2V11Qyz7e3tTqdjrEkm&#10;XNWuOb44LCtYfG0wSzOsWrO+vv748eOPPvro+fPnu7u77XY7yzIMQrVlLSy+BLTWg9AkDRq0UkLK&#10;JElMxPPvf//7R48eoSnJxC8YdcHiC8JOTouvDRgigrN0Y2Pj6dOnn3zyyePHjzc3N3GWGg+znaUW&#10;XwJKKyHlSLia1loK2e1219fXP/7449///vcvXrzY29vr9Xq4pR1vfygsK1h8bSCERFG0t7e3urr6&#10;ySeffPjhhwsLC/v7+1EUoecAy5nZIFSLL43Bup8QSgilBAjGKCmlut3u1tbWixcvHj58+OjRo5WV&#10;lXa7jeGqqC5YbviCsKxg8SVhZppxLydxvL+3v7i4+OTx4wcfffTo0aOd7e0sTfFbrRSjzOEOxcAS&#10;tAO8up88SP0teH1RjN61bx2jJzN6IW/ua+QG5k6CgWuBEorboPYppRRC9Pv97e3thw8f/vp/+PUn&#10;Dz/Z2tzsDZzPR3s+8bZYDMGygsWXh5lXWZZ1Op3aQW11ZeXZ4ydPnzxdXlre392L+n0llZYapNJS&#10;aaW0UvnqTqo8FF0qUBrw32Oi4c19SZWfuQattB6sR0fuzOgt+xbxqSdw/FrewBee6CC72VyOyVAz&#10;l4bDCaRSQsos63W6m+sbL54/f/zo0ZNHj1dXVjuttsiEHtIYhmHuioUB+8u//MvRzywsPg+mRCWq&#10;5/1+f29vb21l9cnjxw8fPlxZWj44OIh6Pa00aKCE4OIOg88JEApESskpK5dKUxMTs7Oz01PTExOT&#10;juua1d8bDIkx80oOAh+1xsj641m1rzf0xci+4XNXuXPnzYdUSimtsjTd2dl5+uTJ2upaHMfDt3SQ&#10;+cyQKPLEN6VEliVx3O/1lVS+5/m+z9nJhbbwwxO/emdhE0otvgwwmgirWWD28sLCwounz548efLi&#10;xYtGvREnscgyQiiARmk5sgchMsb59PT0lcuXb9++fePmzatXr5WKxTc/PElDvoDNizAw5rqu63nc&#10;dTjnIxPqNV6OsexlWZamaZqmQgitNH0rZnw+YjQA9KPo6ZMnf/3Xf/3rX/+m3W4f2xIIIbg8wd8x&#10;SjnnYRhOTU1fu37tvfvv3bp18+zZc5VqhbsO4BqF0uF0+uPj812GZQWLL4M0TRljWutms9loNFZX&#10;Vx88ePD44Sfra+sHBwdxHOEUZYyZepbDoJQIIQghY2Njp0+fvnjx4oWLF8+dPReEASWvTYx+QaB2&#10;QIA4DqeUOa4zVh0bnxivjI9h50g0dODGr5cVsMdRp9NpNpvNZrPb7YosY2+D3XigdWkMdF5eXv7V&#10;r/7hyZMn/X7/uAQnBLTWOORymxIhlLEwCObm569euXLnzp27d+9euHSpMlZ1HOdNU+neNFhWsPgy&#10;yLIMAKIo2tnZWVlZefLkycOHD188fdZqtoQQUgrMVqOMkZMUBUKQFaBUKk1MTs7MzMxMz0xOTrqe&#10;e3zjNw1okyGEuK7LGQ/D8Oy5s+cvXJg/fSoMQ1yhG6Xh9bKCEKLdbh8cHGxtbW1vb9dqtTiK6FHn&#10;gjcXOGw0aGyusLe/v/Dixfr6RpIkIyNEgybojDgmyhhjpVJpanLq0qWL3/vgg3v37589f65arTqO&#10;M0Q8YFlhBJYVLL4MsMvmwcHB0tLSw4cPHz9+vL6+frC3L9KUEKIBtFJag9aKEHrirBNCAIFCGIaF&#10;QhiGpWIxCMO3o+7FwEnp+Z7jOGPVsZu3bt69d+/q9WvFYhFZwXGcN4EV0jSt1+vr6+svX75cXFzc&#10;2NjodjrkLZnxaOFBD0MURbVa7bBxiCrm8GZaY6AzIQR0bnOCnC0I8TwvCIKJiYnr167fvX/v+o3r&#10;ly5fnpiYwCBp3NVx1eEdh2UFiz8AxlTd7Xa3t7dNJdQXL170+32VSa2kUrntCACkFFqfPOuQFVzH&#10;pYwSQhzOGecnbvmmgQAg47muFwTB5NTke/ff+/Ef/+S9771fLpeHdQX0hY7+/tsCssL+/v6LFy8e&#10;PXr06NGjpaWlVrP51rACgNagtCJAtNZxEqdJenyFMcQKZvBoU3uRcc459zxvZnr60uXLd+7dfe/9&#10;9y9evFgulz3PM6yAj2lYGL754/Cbg2UFiy8EHCfYeBm1hIWFBfQtLyws7O7uAgDVBLRCVsCFGNqR&#10;TpT1GMWU17TRihK0Bo9u9uZBAyEY1sMdp1KuTE1PvXf//p/+2Z998Ec/qFarJnpSKWWK9rwWICsc&#10;HBw8evTo448/fvjw4fPnz1vN1tvhbR7AOGmUVlodRaYObXDECuZD9DRIKXHwOdwJw2BqevrSlSt3&#10;7t65ffv2hQsXJicnXdfFHZrHhOP8+FHeKby2IWvxtgAbpaGROsuybre7u7u7sLDwySeffPzxx4uL&#10;i61WywSqAuQBHvinCfYY3emgZln+nlAMKTSRlG8s1FAlzuFKOyOXhm9OvPBvEyO0NJzl+7bAjAoC&#10;5MSxhFnOx6gC0OE8+FMnSXJQq7148eJ3v/vd73//+6WlpUajkaapUX9NUXfc1bu8XLasYPE5MMWL&#10;4jhut9t7e3svXrz45JNPnjx5srS0tLe3hyHkWg+KlllYvG7kIUkaKKGEEKlkmma9Xm//YH9paenx&#10;48cPHz5cWFg4ODiI4/h4k493mRIsK1h8IWD2crfb3dnZWVhYQHPE6upqq9UyJYu1PspJtbB43cjr&#10;qRBC0C0hpMiyNIoi7Az44MGD3/3ud8+fP6/VammauyvecTIwsKxg8TmglGZZ1m63d3Z2Xrx4gf1z&#10;lpaWarXacONlQvLSAxYWbyBQ6GdZZojh0aNHT548WV5exgKOw03c3nFYVrD4HAghms3m+vr68+fP&#10;Hzx48ODBg7W1NdQSjN79Gn2qFhYngBAgBH1VABoTnhljBEBKGcfx4eHhysrKw4cPP/zww2fPnh0c&#10;HCRJYlxoo3t7x2Ans8XJQBeclDKJk4O9/aXFxRfPnj17+nR1eaVeqykhKRCiNShNNODL4s2B8da+&#10;m2IOOQFpAf8EIGhSwoVOr9er1WovX7588ODBs2fPdnZ2er0emkOtX8GygsWnAsMzol5ve2vrxdPn&#10;z54+3d7c6nY6WkiM0gCVV6wkelC68t0ANprP/8tXpqPbvIE4HsDzTkErjc8Mg1bTND08PNzc3NzY&#10;2Dg4OGg2m8bz/I7DsoLF5yBN02azub2zvbuz2+v2CBDuOHli6KDpiXHrvR3S8SsgX4QeA9ZMfZNh&#10;zvQdw9FyhWKjHoI8TjCfJsuyJEmiKIqiKMsyk68wupt3CZYVLE6GkXeu646Pj8/Pz8/OzZXLZc9z&#10;X/1+wAV5DNI7rXpbvMnA4WrkPg7s06dPz8/PV6vVMAwdx8nTKt9tt7NlBYsjjJihccVUKBYvXbr0&#10;Rz/4wXvvvXf23NlSqeRwTikllAIhgIvkd3cGWbx9IIRwzsvl8sWLF+/fv3/nzp2zZ8+Oj48XCgWs&#10;1PKOw7KCxRGOUwIhxPe8qampy1eu3L51+8aNG+fPn5+ansbipqgq5L+1moLF2wBCSBAEU1NTFy5c&#10;uHXr1t27d69cuTI1NVUoFFzXRV3hlZH97sGygsWnAucG4ywIgsmJievXr/3whz/84IPvnz93PvCD&#10;fObYNAWLtwdYnGpsbOz69evvvffevXv3rly5Mjs7WyqVOD9q1vYuU4JlBYtXMLJEyv/UwBgvFIuz&#10;c3M3bty4/979Gzeunz17dnJyMggCSgjWw9CDhunavPt0YAdnLI+Bv8CdKIUdkN/cV37mWg+CdxUW&#10;BDHhjOYGvjnRLKgCDlVtGr2oN/CFd/JoYOijCk6jl3cSlFJKybxNG5auAg0EfM+bnp4+f/789evX&#10;7969e/Xq1dnZWayfaqq4v+OKgmUFi1eA82GEGACAEGCMoXfu0qVL9+7d+9GPfnjz5s1qtco5p5RQ&#10;ShhjJ0yl458YYEcVrbDNOuDGn7H9m4Thck8DEnzF8nb8/beM44/y7XKiKp0vEb6cYTK/TA16sPgA&#10;AM/zZufmbt68ee/evRs3bly8eHFmZqZYLKLhyNyxE2/dOwXLChafAzIoaMoYC4JgZmb2+o0bP/ij&#10;P7p169apU6fGx8fDQoFSmhfCPopO/awg1YGTeliY5kGfA3J4Y185lFJAgGLG7ElmtDdYrBy/qDfu&#10;hWpBLp3x/v4hwppSSgjVWmmtCQDnDNs4X7p48c6dO/fv37927drMzEwQBDYt/zjsHbH4HBBMTAAg&#10;hDDG/MCfmJg4f/78zRs337t//9bt2zMzM3zQegxrGhOTt/CZ4aqDOtuUENBoSHrjgZdC8k7BihBg&#10;jDJ2VDDcLMZfr7h55ZwHwAcz/NUbC0ooO7qzGO2Wf/XKdX4KDH1g74QwDOdmZ69euXLz5s2bN29e&#10;vnx5bm7ORhx9GmyZQIvPgZYD+7jWQIhWKk3STGT1Wn11bfXZs2e/++1vnz571ul0sjTLbe7aiEcz&#10;ul5Z4gkhAIAyygcznwChjJLP1DDeEFBKGaVZllFKJyYmpqambt++88d/8lPsxYYboPx6jUIHT0AI&#10;UavVsBHb48ePFxYWOu2OlnJ06zcPSLNIAphuliZJlok/QAkjQAA4567rjk9MXLt69dbt21euX7t0&#10;6dLs7GwYhubpfHEV5B2BZQWLz4HMBAVCWL7yRfefVjrN0nqttrCw8ODjjx8/fry5sbG3tx8nsT5a&#10;9h/Z30eEvRBCg6aUep5XLBar1WqxUCgWi5w7b/78JJRQQjIhGKWVarVYKFy4cOHee+9du3G9UCig&#10;lMHr55yP/vjbgmGFdru9uLi4vLy8srKytrYW9aO3oxcbAdBaKUUoBYBOu729s1Ov1YfL9H4Gcu2W&#10;knKpNDU9ffbs2Tt37ty8dev02TMYhMoYs6zwabCsYPE5UEIQTQijOEtBa6CUaFCg4yja39/f2t56&#10;9uzZRx9+9PHHHzcPm1JJhaE6yApD2gLq9MPe2kKhMDc3d+7cuVPz86dOnfJPsvO+UfPVzBelFOMs&#10;DAuEkPHx8bPnzk1OT4VhaL7VWjuO88qPv0Vg4I0QApt01uv1RqNRr9dFlrE3645+CjC2TUpCqRRi&#10;Y2PjowcPXi687Pf7IxI8fyL4GT4cQighGoBzdmr+1M2bN2/fvnXr9u1z589Xxqq+72MQKqp0lhWO&#10;w7KCxedAm05VGtRQyCAAkULEcdzr91ZXV3/729/9/ne/297cqtdrvV4/E3mdba0GA2yYFQjgfK5W&#10;q5cuX7p29dqVq1euXLlSLBZPYoU3aM7mWpDWWgOhBGskeJ5frVaKpZJRDnCL12tBMlVv+/0+1vnB&#10;6m8nxYq9edCgpJJSUkazNF1YWPi7f/WvPvz9h51OZ2Q0SCU1AGVUa9BKAQFGGeMs8IPJycnLly/f&#10;vXv3zp07Fy9dHJ+YMBGoI06gN2iEvQGwrGDxZYCKPAodKeXh4eHi4uLLFwtPHj9+/OjR7t5eFEVK&#10;KUapUiofYkOxSUJJDEKanJxEB+CtW7du3rxZKpVOYIU3bCl3RAsAhBDHcTjnjuP4vj+66esDnh7G&#10;+gshhBBSSnTnvBUgAFrmukKSJE+ePPmX//Jf/uqXv2q1WqOsoJUGjS2aMSeDUlooFE6fPn3t2rXr&#10;169fu3bt4sWLU1NTvu+bpASLz4BlBYsvA2QFrEhMCMG6qrvb2x9/9ODXv/nN2tpa7aDWbDW1Uq9O&#10;wpwZMpVbh2dmZnApd/fu3Vu3br0VrGBkLv7L0FtOyPEzf40w89qc6nAi25uPvNyiUkBI1O8/fPjw&#10;r/7qr37xi1+0mq2RLRVgGfd8kDDGfN+fmZm5fv065iWcPn16YmICg1DftMf0ZsKygsWXgXH6oQFd&#10;KZWmaa/dWVpaevr06eLLxafPni4tLSVJMvAg6Pw/ANA60wpl/fT09P379+/du3fv3r23iBWGpa05&#10;vTfqJI0286ad2BeF1qA0aK0Jjfr9jz9+8F//1//1L37+i1ZrlBU0yQ2SqCUUi8XTp09fuXLl+vXr&#10;t2/fvnDhwtjYmOuasl2WFT4f9gZZfBmg0ME5hnBdt1wuX7xw8f333rtz5865c+empqbK5bLjOqbA&#10;KoHc0YxJDcO2b1zGmqn7xsLcgeOfvGkYOUPz59sBDZj0TkCjZ4mSPCNkBCa8jTEWhuH09PS1a9fu&#10;379/69ats2fPjo2NoS/BZC+P/t7iGCwrWHxJDBMDY4xz7nne+Pj4mTNnLl++dP/evfv3758+fdr3&#10;PFNNwMQTYerasHHDmOmPY/TArxsjy/A38Ay/C8Abi0oYgFl/jG4Gg4R4Qsrl8vnz57EM6vXr18+e&#10;PVutVl9jGNjbixPusoXF5wLnZ153zAh0Sh3XKVeq586f/+CDD370ox9du3p1fGIiCALOOAFiAlKP&#10;pzu/wgPH8Oq2bwSO09joFq8bhm7fSisxOeqbprUGrYEcXRHWKDTbUsrCMJybm7tx48b7779/8+bN&#10;s2fPoi/BaAmv7PzNhqkJeHS9J+H4V8M/PL5PxPHPhRDoIESVXWttWcHiy2BQrOIVgNZIDNVK9czZ&#10;s9evX79z9+7du3fPnT9fLBbMQo8OCivhr4wNavQYbyqOrvfNxtGDeeNP9VMwOO1PPX+N0UfVavXi&#10;xYvXr1+/efPm9evXz5w5MzY2ZnqrDQ/U0R282TiuTA+vw8w2J4r7T8PI9sgHJlzNsoLFV4KR5kNT&#10;Ltf3GWfFUunMmTP37t79k5/+9N7duyYuENUFnJ7mh2/RdB0+5zf5tEfO800+1c8AGpGMKQkLKOZu&#10;hryCFikUCmfOnrlz5w5qCUgJnueNOBLe9vuAZz58FSjQT1QajLvOwHwihMiyLMsyjFc2WgLyRJZl&#10;Sin2l3/5l6OnYGHxFYDVHjjnjuv6nlcoFKSUURxjfkPU70spsWqE1rpQKMzMzMzMzMzOzs7MzPi+&#10;/5bOW4uvH4PlrxBib3f36dOna2trcRyjcKSUeq5XqVZOnz517fr1O3fuICWUy2XHyeumvL1jaYTA&#10;DBkMAwU6yvckSZIkwURFk7R4HL1er9PpdDqdbrfb7XZ7vV4URa1WC3/V7/c7nU4YhjYy1eJrQ57G&#10;rJRWmlCitI6jKOpHGxsbCy8XXr58+cnDT168eB5FkdRaE5BSTk9P37179+7duxicWqlU3iJTksU3&#10;CA2g8rYVURQ9/Pjj//a//W9/8fNfNBoNjHFgjFWr1fMXzl+7fv3ajevXr18/d+7ccEu1tz0I1dh5&#10;jAdr5Fskg36/n2UZskKapqgWZFk2vLFRLKSUSZIMh/xxzpVSzqDmMaX0xz/+sWUFi68NSkgCQCjF&#10;5ASltciEUrLX7e7t7b148eK3v/3do0ePavVas9XKpEBWwBQ2ywoWr+DTWOGwgf1zSsXi/KlTuKA4&#10;d+H8/Pw85iV8l6obITEMW3hMmrqUMk3TJEm63W6SJHEcx3FsWOF4ErvWOk1T83OTz4h3Ca1tUkrf&#10;9//ZP/tndgZafH0YtB8AAkpr0Jpx5rhuuVKZm5u7dOnyBx988MH3Pzh37pwf+McnrV2gWHwetFaK&#10;UlqtVi9dunTnzp27d+5cvXr11KlT5XL5NVao/Xox8AfnCZJ5imiv12g09vb2NjY2lpeXX7x48ezZ&#10;s2fPni0vL6+urm5sbOzs7BwcHDQajWazidahYfT7/SRJUIdgjDmO47qu67qcc0qpaTGbpikhxPoV&#10;vgBM5xhcu+ALFIBSRGlQEqQEJUFJrUATqsnwlppoDVqBVqAlKPxXggIAaqIsvhPQoNE5mIt4Qggl&#10;OAoZd1zPK5dLnu+nWdbpdnBdEwTB5OSk9StYHIfSWmsFBIQQe3t7T589XVtbF1KUK+ULFy/cvnP3&#10;9u3bV65ePXXqVKlcHu6yiT8/vux4vTCLHnNWJprI0IAx9eCKHrWBXq+HboBardZoNA4ODvb29vb3&#10;9xuNRqvV6vb6vX4UJ2mWSaWx5hhhnBNsnDv0Yoxzx3Vd3/d9Lwh9P/CDwPN97rqe57ue57qe5/tX&#10;rl2zFqQvAKSAoz80gAaqAZQiRtyj1QQc5TiaAwAQDaCBgKb5BgryCtLIKg4wF15bTc1vArnmju/x&#10;PwJSSlTq0yRJkmR3b+/x48cPHz589uzZxsaG53mXL19G89Hdu3er1aq1IFkAAGhQSimtCCFRP3rw&#10;8YP/5r/5b379618zSk+fOXP79u07d+5cunRpbm4O3cs4bI5WJADHbfGvF8fPyhj3h79CB3IURWma&#10;xnGMLuJer4fqgvlQCEEp5ZwDdSiljDNGKWWMEkoocd0T+5QQQiij2OaKYddENDcxxtBIxTn/k5/+&#10;sWWFz0euGwz+GpRdMeoASnmNX1JgFGU9yX+jqdnMsAKgosC/W6xwIrBiEgbGEUKiKNrd3V1aWnrw&#10;4MGHH34YRdHp06fv3Llz7969O3fuWFawQAwvn/v9/oMHD/7qr/7q0aNHGJ5w586dixcvzs7OFotF&#10;7J9zkhB8s/AZktYYcJAS4jhGK1C73W61Wp1OJ45jIYRSyrjQsZSA53mOHzLG8SaYKPFPuSHY6pAM&#10;EgQJtlYUQnDHkUIqpRij33v/vmWFz4cCrQainAAhWmO7cdBA8O4N7qEG0JTCq3KN5D894gMDSr77&#10;EhAHGDq4cEnS6/VqtdrTp08//PDDRqNRKpUuXbp08+bNGzduWG+zBWJ4Hd3v9589e/a3f/u3S0tL&#10;Z86c+cEPfnD16tXJyUmkBIycOUkIvlkYNhYNf44hQ2mapmmK8aP9fr/dbvd6vXa7jf4A5APsNup5&#10;Hucci7e7rucXipTmpICCHut/jKb+4dFzVZ4AaHPHhJCO62ilhJSg4d7d25YVPh8KdAagsB4LEKI1&#10;BWBoH0IVQOWqggKQnChG8MbjXaeALAIwQgsE0Oz+3YaJdsCRrbXGELrd3d3l5eXDw0MpZaVSOXfu&#10;3KVLl07sumPxDmKYFeI4Xl9f/+1vf7u7u3vmzJn79+/Pz8+jcETR9lawwnBOsnmDnmRMFGi3281m&#10;s9PpGM9wlmVo1fF933Ecx3E8z8Ns0EEKKWOuRwihNFcUUPibYiEGOjdnGG7KiYIzJoTAalFCSiXl&#10;3bt3LCt8PhToDLDqClbiAgLoVgBsgUs0EAVEgwSdcq3QrYAUAoTqfHvDDfnjIu9EGSohhFF7caGE&#10;06PT6TSbTfSkYZPLU6dOhWFoWcHiuNys1+vLy8u9Xm9mZubs2bOVSiW3lRCC5PFWsAJSHVpTTYJx&#10;FEXdbvfw8HCYEvCiUDkIgiAIAgwZ8jwPq4LjBgCggObXT4hRCTDre/jog165OR8MhJBmjKVpyjkH&#10;IBq0kurOnVuWFT4fCrQYsIIR6bjqpxooSnzDClSLIVaghhUMl+h3lxXQo4UrO0zFxEALKWWhUCgW&#10;i2bEW7zjGGYFpVSSJK1WK03TIAjK5TK2vcMCPrhwHv39mwdDCeg3brVaaCDq9/voT06SBK+aEIIx&#10;oxgwhO8ZY0gMZirl+6Ucy4AQksc8mp2MnECOoUa5aHCKomjQtZQCwJ07Ny0rfD6wzgjGfCkATQkQ&#10;KpWK06TT6WRxwgljCpSUlBAFmYQMjXsAQIASSpQmWmtCKHdc13F93w88nzNGydEj/NSn+JbDmAKG&#10;3xv/s1EgjM/wu3ofLP4gjBhbTM0fLNuOUW1m7rx2VjDWIaMTD0cWDVckzbIMKaFer6NLGZOTccGE&#10;BiLXdcMwRLXANIcYLklprl0DAGF5cSgAAK1Mm/RPw6DwuFngZllKCNVaUcoA4NYtywpfAFrrnBkI&#10;KABFiVS6G/e3d7aXXi4e7O1ncariVCYZI0BJBpASyoAQDfiimhBFqOcHY+MTU9Mzp06fnpubLYUB&#10;GqBGiP07Jhb/oAH2Hbt2iy+Nt2XY4Hka5xlmhKFCbDZAN3K/3+92u1EUtdvtdruN77E+HaUU3Qa+&#10;73ueh/4D0w98OFsb/z3iGwANyArDp/P5wD3heykFIVQpSSkFIDdv3rCs8AWgUV8AIKAJSCV7/d7+&#10;/t7zJ08+/t3v1l4u9RtN3Y9VkjlKOVpQEIQyRWlGSAY6BSIoUa7jl8pTp+YvXL165969G7duT4+P&#10;O5ShxwzXzqaJzegJWFhYvJEw3gKcxZhwMNy/1igHrVbr8PCw2+2i8wC3QSbwfT8MQ9QPMNkYd2W0&#10;BNSqjzvV0bl5ZNb+UlBKDrPCjRvXLSt8PrQGXAoQAACVxvH+9vb64suFTx4tfvRgf2lNNTuBUI7U&#10;rpBUCdASGBGcJYT0pGhp1QcVcUrCoDA5cerypfsffPDe979/9szZUqmMjUGQ5TFKB/+0sLB483Gc&#10;FUyYKVasM/FFWIUCP8SCdKgZBEGAmQcYaDQs+nGHKBksK7xZ0Bpk3gwKiBTtw8by48cvP3yw/fxF&#10;d3VDHTRLiZwAFmjiZZKA1kRLAolD+6APs2Qvi5tStJiKKBWhW5ieunb3znt/9IMrN27Nn8mbCBo9&#10;1LKChcVbhOGOaSi+sVZdu91GMsCy1ZirjBMc+cAoB6ZWB/6L3rVhsWz+tKzwBkECpBqE0hQ0TdLG&#10;+sYn/+aXz//+l72VtUo7mojErKBzkoWSeJlUnAqHpACRQzogd6L+etptaNH2WJuTDgddDE9fvXz7&#10;+x9cfe+9CzduTk9Pe55nWcHC4m0EVrTGQhQmDQ2DTZEVMNAOTUAYRBQEQaFQCILA9330HAynMhj9&#10;YORARhcZ/vAbYgVrwn4Fw7R/9GA0aAAJOpMyzdJ+p9PY36+vb0R7tbCfTAo6I+h0CpOpnsjIRAbV&#10;FCqpLqUqiIXbT3gUB1JXuDPu+RXHCyjjUqo0TaMYdUlzrONP3cLC4lvDyPQfxvFv0XYkhIjjuN3u&#10;HBzUNjY2V1ZWFxcXFxcX19bWdnZ2Wq0W5oiVSuXJycnZubm5ubmpqalKpYKmY/RDHE1/rGRH8mTl&#10;4fxkPInjr28ClhU+H1SDJ8HPFInidm1/e3O5sbXCmrXxfm8+Sk9lclxIKtOUZJGnNNVUq8SBhqvW&#10;gmw1yLZ9fejqmBGhQSoAygTnLSU6SYy5i6PHs7CweB1AWW/6GRynAaMWdLvdZrNZr9f39w929va3&#10;d/e3d/e3dna3d/f3ao36YavdizKpKfe8oBAWy5Wx8fHJ6YnJqcrYeKFUdoOQux7lLlCuCQfKgTpA&#10;ORCmCVOEKqAKKBAGFL/lQLmG/HPz0t+MAP9GdvqdgwatiZD9dntzdWV9caFzcOALUQVW1aSkiacB&#10;QEuiUwYSdKZVrEUbshYRPRcSn8UMemnaT5J+ksRZlkiZKCVfa0SdhYXFcaB9/3gcoFEXhBD9fr9e&#10;r29ubi4uLj5/8eL5i4Wl5aWNzY39g4Nur6eUdlyvWCyNjY9Pz85MzcyMT0yWq9WwUOCOy7hDGaeU&#10;EcqGylwzQinmvAJgDQSiB1mwr7wA8wxGXl8zRi/eYhj5GkFrqWQi0lq9tvj8xeqzF0mjXabumBeE&#10;3PMI4ziMCCgCGYEMdCxFP03iNFUAlHMF0M+Sbhz1kzjOMqEkRih/SmlDCwuLbxujqoHWw/oBugra&#10;7Xaj0djf39/Z2dna2lpfX9/YWN/e3trf38fUa0ppEPjlcnlsrDo5OTk1OTU5MVGulMMwNN2k33xY&#10;VngFxqWDzy8fGVplICORHNYPtheX6i9XaL01KdkU9Sua+5pyIIRSTamgkLgkcmmPqF6W9ZMklVJT&#10;KhmNte4pEYMSRGvGvcD3/KPyXhYWFq8FhgDMJ+jsxYrW3W630Wjs7Oysr6+vrq4uLi6+fPlyaWlp&#10;bW1tb2+v3W5jmQrHcYrF4vj4+MTExPj4eLVaLZXKYVjwPJdzjqWR3yKvoWWFz4IZMakU7W67UTs4&#10;PKhFtaZq991UFYB5QJkGorEOHlGECEoyRjKiEyHiNMuE0ASAUUVBAChKgDHX8wqFQiEMhzuPD7OR&#10;hYXFtwNTjgIrUhgfMrZErtfrSAlLS0sLCwtICaurq0gJWZZRSsMgrFSrk1NTMzMzMzPTExMTlUql&#10;UChg6xulTBn+twaWFT4HWutMZofN+ub6Sm1tjR62xvtiIlJTCVRTCDPNMqml1ECAEkGgS1WTyS5R&#10;ESihtdIAlIHjpA5LOEkdplyHe14YFH0/D0IYWapYWFh8y8AM5GaziY2R19fX19bW1tbW1tfXNzc3&#10;t7e3sSNmt9vFzsa+7xeLxXK5XKlUx8bGqtVquVwuFAqYmOa6WK6CM8YIoVhg4i1a8FlWOAEjSqVI&#10;s0btYO3ly/3Vdd6LJ4gzQdwqOAVNmdSgtQatiFaEaAIx0R2QEVEyb3vEKGVAqaIko0RQAowx7niO&#10;57n+d6b/uIXFmwMzf80sNoGkJsQIIYQwboNWq7W3t7e+vr64uPjs2bPnz58vLCysrKxsb28fHh5i&#10;jQrHcUql0uTk5Ozs7Pz8/Ozs7PTU1Pj4eLlU8j2fUpa348q7N+aua0KI+fytgGWFUYws25VSWZJ0&#10;642D5dX2xnbYz2aIN0WdMlBfAUcrJCEKUE2kCSNdqmPQwBjnDiVUSxAaBCGCggAAxlzH87jrOg46&#10;oIzhaJiKLCws/lCY7h2GDIa/wj+llFiIotVq1Wq17e3t9fV1oxPs7u7u7u7WarVWq4V9kgHAcZwg&#10;CEqlUrlcrgxQKpVKpVI40A9QOzAljMyMNkFNgw+Pv944WFY4AcOjKk3Tfrcb79eyrV2yVy9043FB&#10;xjQPJGFKSQKCEkGIRlZQkILqEZkAEMY95jrAtNBZJjKlJKHAOeWcU+ZoStQrlaVHT8LCwuILw5Ta&#10;Pr6qG67ljppBr9drNBrb29tLS0svXrx4/vz5ixcvFhcXNzY2arVaFEXYAS0IgkqlMjk5OTMzMzc3&#10;Nz09PTExUa1WS6WSqVlECSX5axTmHEa/OIbhE34TYFnhFeQ654AVlFJxHLebze5BPa0d0nbPS0QJ&#10;aIEwjgohAUVAUcBbSTQkQvZElinJGPddz2EctBJCKg3AGKGMEEaxvcXQusbqChYWXwXHJw7yBPqN&#10;sWppo9Go1WoHBwcmtHRra2t7e3tvbw+Vg36/b+rWFQqFUqlUrVbHhoAqAnZG+w6HlVtWGMWwaBZC&#10;dLvd5kFN7tbLjf5EpKYyMqFoSRMCWoBMuE64zhgoQqgiXEAiZVdkiVKEsIB7PnGYJFSTPGmFEFCa&#10;SeJpxuCo1tXxMW1hYfFFYLSBYbXbzCxc2DWbzd3d3dXV1aWlpZcvXy4uLq6uru7s7BweHqJm4Lpu&#10;uVyenJycnp6empqanJysVquVSqVYLA4XuEYHMlqE8v4/nL6RRqCvBMsKn4UkSQ4ODrY2Ntv7NTcR&#10;FeKUqesT5gAhAJKAICAoKAIagAAhGqRSicgyIQiAyxyXOxQI0YQAUVoLIaWQjDDf9YOhwrnICm+m&#10;Omlh8VYA547JO0PnQbvdPjw8PDg42NnZ2dzcxLCira2ter2ODmTOeaFQGBsbQx/y7Ozs1NTUxMTE&#10;2NgYqgU4SfEQxk5lTFUEvoNz1rLCCUDprJTq9/u7u7ubq2udvQMvEWVgRcJcRTgQIKAoCAqCghyM&#10;CqYBADKtMim00pxQThgDCloLKbNMpGmqpfI4L4fFYpCnOxpF4XilXAsLiy8InLOYZ2BSz5aXlzHp&#10;bHt7u16v93q9LMsYY2EYVqvVycnJyclJzDvD0FLjNzZqAUoD/AQPZCKadB5vNHombzveXVZQoAWI&#10;DIQEpbQCBaBAa1CESACptZZS9fu9vb3DlbXuzo4bJROSjAlSFJoLKYlSRBOtXKE9CaBJH1SNCSlk&#10;ISG+IEwCAUIZUwSkkkorqWSmZUq0Dhx3rBCUi8PLEKsrWFgYDLv3PuMrlM5CCExFjuPYpB2sr6+v&#10;rKwsLy+vr6/v7+8Pks5YUChUxsYnpqanZmamZmYmp2eq4xPFcsULQsodIAxDChUQTeigHhHThGpC&#10;gbD8RRlQpsH02P1O4d1lBQAtQAtQGitlD+rSagAJIEALIWS/mx4exvv7aavlCFnWtCygIMCRSoEC&#10;0FRpT4ArCdXQI7JOMq2gpHhBOw7kkQmKgMQDElAAgoJ0GCm4PPBGIlMtLCw+G8M1TfF9lmX9fr/Z&#10;bB4cHGxvb6OZCAtZHxwctFotzEAOgqBQKhXLlVJ5rFwZK5UrYaHkB0XfDz0vcFyPcZdQDpQB4UD4&#10;QPpjvVIGQDWgJZgCZYTywcbfwW4o7zIrnAgCQCgBUDLrdaPGYXrYgm7PSUWgwdPAlWagADSSCAGg&#10;ABqIAIhAt6nucZL6Tha6qc9jTvoUYgIZAQEgCVEENAFFiaIUhkKbLTFYWJwIoxkY/WD4K3QmYwLa&#10;6uoqhpkuLi5ubW01Go04jimlYRiOjY3NYD2K6RmsSBGGoeO4jA8Kl54UWjoMTE8e+BFe/fw7N3Mt&#10;K4xAEwBQOo2i+sHB/s5up9kimXAJdYBxAAJ6kCSTE4MGUAAZ6EzLWIkIZMJIykgMqiuzrkhiKTKi&#10;kQ80VuV+a5IcLSxeM4azkUdSkWu12u7u7s7OzvYAu7u7zWYTU8845+g8wIoUlUqlWqmWysViMXce&#10;MIbZBt81mf7V8S6zQk70I59qrWSW9ZvN/fX1/eXVrH5YkFAlvAjEU4QrAK00KIV2JwBNiCSQUOgS&#10;fUjlPpW7TOxTsafS3bR/kEUdyGIKGQdJQWLA0pub1Whh8WYhDwAd9DzAHDTT3uDp06fPnj1bXl7G&#10;uhRpmnLOK5XK9PS0CSiqVqvY+Gw4xxjXZYS8TeWJvjW8y6yQK4T4TpM8wBRAK5n1ms3d1bX9pZW0&#10;flgQugQs1MTVQLRSoBRoBUgLBIBIQlICPaJbRDWIqBG5D2Ivi/aT3mGWRqAzCoIQieoCAT2olTJ6&#10;QhYWFgDDcT7Gk9ztdlut1uHhIaoIqBzs7Ozs7+83m01jLMKiFGNjY1jUulKpYHvk4bCO48Yoi2G8&#10;06xwIggAUSrpdA53dg+3tkWr7QtZ0MTXxAEggMFKoEGbxb4ikBJIiEZiaBLVBHmoskOR9kBkFBTN&#10;PQoWFhZfHFLKNE1brRbmoL18+fLFixemaF2z2UyShBCCnoPp6WnMPsMAU9d1XdfF3laocDicc5aX&#10;Kho9ksUQ3mlWIABE566E3KSDqWhZJrrd7tZOf2Mr6PanNJ0kvAjU0UCIUhy0A+AQwhgjjAAFIBmB&#10;DqiaSvdVtq+zmhZN0D1GE8oyQiR2X9AgldRaYiwDfErlFguL7zaGl+omlAh9BkIIDCtC50G73a7X&#10;6/v7+9vb22traysrK5h5gL3PkiThnBeLRVOXYtDxphQEwXDzEiQGTUBprTU6jAdn8x30Fn9VvNOs&#10;gHZFjEbN/cBayUxkaZLFcRr1s17EkszXxCWEE0JBE9CagEZ7JIYgaAJApCapkpESkZKR1gloQUBT&#10;qvN2rBjalFtICQBoZdPWLL7DMFFDJwYOIQ2Yf/ErjDGt1+u7u7sbGxsrKytLS0umOkW9Xu92u0II&#10;VA6q1erExAQmIReLxSAIPM9DFWGoQCmYNKCRiWY+HCwJLY7w7rICATACGwA00Qq0VDJL46jdytpt&#10;1o+CKAnjrJLKUGhHKwCliM4YZIwIQpTWoIBpAppKgETrjtY9gAQgAyIJ04RTwhnhVFOqCCfEIdQh&#10;hGMpvaEgt9GTs7D4DmGYIYYTg/ENcoNph7m/v4+UsLi4uLi4uLy8vLm5Wa/X4zjGXpjY4WBmZmZ2&#10;dnZ6etqwwkjFOjOzPmWWvdG1rF8v3l1WGOiOqC4Q1BWElL1er3nY6B4eQpoGQEJNQk08AAJaEy0H&#10;L4xBIhoIdtvRRGkQAEqB1sQoFJQQpglVhChNhCZSEU0YoYyy72BVLQuLIQxrCYYP0EAURVG32202&#10;m7VabW9vz6SebWxsbG5u7uzs7O3tYe+zLMsAwHXdMAwrlQrGmGKrgzAMfd9H54GJL3rlDCy+FN5p&#10;VngFGpRSmUi73db+7k7jYB/SrOK6Ze6EhDqEYOqzGo4uBSAaiNREaQAAygnjhHLQHDQjmlJFqCJU&#10;AVXAFBClQCoiJQYxKa2sX8HiuwrTAGdYUiulTLaB0QkWFhaePn2KMaaLi4vr6+s7OzuYk+w4Trlc&#10;npiYmMq7Is9MT0+Pj48Xi0XjRjb7R83DGma/Ot5lVjhKWDSuhSxLm4fN3a2t2u6uTtOS4xW54ymg&#10;SqGuoIgWVEuiMeeAaiBSg9AAhHPmuK7DHQeoA4RrwhShghABTAIH4hLuUg4K0jjtd3tRP0rTFHP3&#10;h2fR6GlaWLy1QBowjc+wtwH2O9vZ2cE3W1tbm5ubm5ubqB/0+320FGGYKSoH5g3qB4M0NPYp1iGb&#10;hfCV8C6zAtateAVSqW6vd3Bw0GwcijRzGcOipq9sOWASHIwENGhNNFDKuZNbNnPblAaSm5OAEeo5&#10;ruu6lECaxN12q9/rCSFGgjEsK1h8N4DCWikVRVGj0djc3FxaWnry5MnDhw+fPHny8uXLjY2N/f19&#10;bImcJAn6nD3Pq1arc3Nzp06dmp2dnZiYKBaLnuehWoDpC7gl7h91EcYYY6/UI7Lz6KvgqIzzGwUU&#10;kfj+xLXA1wAsVQF56oHiWkp5WK8/+vX/8Pu//u/7jxfmO+mVw2Q8g7OCc841gKKgiFJUggZCgGoi&#10;NUmUbhC9Q8S+zlapWFFyS6YgpcsJZ0AoANeCQKREAlo5fGx6+r0PfvDHf/qnl2/dGZ+eKxaLpkKv&#10;UsrkcFpYvEVAtwG+Nw5kpVSWZZ1Op16vY6G6Tq8Xx2mWCVwPEUo451qDlIIz7nleGIaDfsih4ziU&#10;DOaCSULGTiaYfmpE1/D7YZwsNk7+9J2FUpIQqpSklAKQGzeuv3ECyCyZjXEQx5ZpdvE1QitNFI64&#10;gQIgZdztdxqtfrOtktQjLGCOQyjThAJFNYEAoVhvV4MGyChkREvQVGtPAQcAAopoQbQgWhFFKFCi&#10;qVZUKa7BI8wBAkrLTJqYPMQ3Qn4WFt8icDmfJEm73d7a2lpcXFxYWFhdXT04OOh2u1JIQinjjDsO&#10;45xSqpSmlBaLpfGJiemZ6anpqerYWKFYdF2PMU4Zy1+U5e2RKSWDUO9BsMir74dfrwQa2YijL4o3&#10;TlfQWgshzHvMZxkOav66QDQwzShhaOJRDIQQ9Z3tB7/4Nx//9d/A0sZ16t3LvAlJp2MFQDUlgmpF&#10;lKaSaKAAWkMGpKdVA9Q+kYc626LqOdfLOpVZ6lDwKHEZcTgVSkRxmilFPH9ybu7ue+9/8KMfn7lx&#10;Y+L0qbGxMdd1j87qG1KMLCy+MQwrCkIIjC+q1+t7e3v1er3dbueaASGEMsodQinWmERLj+u6hUKh&#10;WCxgTjLLOSDH6MEsvm4c1xXeRFZAB6wQotfr7e3toQ8qSZLRTb8aiAbIADRkWknQxGVEyqhe33n2&#10;vPbg8fhh56ZTuJ6wqoSpBLC0+kmsAF2lGkQdEHmoxbYDz1xYUKlMYo+AT4nPacC4kKLfjxIpwfHH&#10;Zqav37577wffP3/71uyl85OTk77vH52VnQkWbxtMIgJSQqPRODg4qNVqw10wOedKKSEVYQyAEEI5&#10;Z67rOq7ruZ7v+57v5ZRACM1LW1trz7eBt4MV0IjU6XS2trYeP3788OHD5eXler1udIivBQSIC5wB&#10;TUEropnnMK1pP/K6vVKze0Gw22H5SkwqikxmRGvQcBIraOgqVSfygKgWUdsOPPVhQSUyil3QASWh&#10;wwvcUVJ2u/2+yDRzi+MTl65fv/n+/Uv37567eW12djYIgvyUcB5YVrB4q4BzNssyTEPDonVY0Zox&#10;5vt+GIaO40gpe/2oH6daa8657/vFYrFYLPq+77hHCQcEYKArWFb4NvAWsIKUEuPYtre319fXV1dX&#10;t7e3MXh5dNOvCKVpqkDrlJIUpNRS9iNotIqtaLLZvyDojbB8XpAykJLQWhEN9DgrpFp3lGyAqlHd&#10;IvrAJasc1rI47fe4UiFloeeGnpcp2Yj6LZHFDvcnxk9fvXrl3p2bd25fv3Xz1KlTYRhaLcHi7YXW&#10;OkmSVqt1MIDpeOO6LlahwCCiJMviRFBKMCstDMMgCF3PxfJ1eQ9zrVE82RXSt4M3lBWMXZIQEsfx&#10;/v7++vr60tLS1taW1npqampycrJQKJhYHRwr5ieju/tiIBocSQAgpRDLtNXrtnb2ustryeI6XdqY&#10;aScXuXdO0lCDnwmQlFD22azQprrm0m2it5I46/eokAGloe8HoRdrVYt6TZH1fceZGJ+7cvny3Tt3&#10;7ty+devWqVOngiAwV/G1c8Pwvf2MPZthkM/MIQwHgw1/jjs0+x/+/DP+tHjbMfK4tdZpmrbbbWyQ&#10;iQnJaZoSQrB+tYm35pw7nse457qO7/u+77uu5zhYw44wxgjNWQHAjK/v6uB55S4OLvPLCONXNSqt&#10;84bDAJC3CcB9mz2b7QcbaqUUpUwpiTf8xo0boyLgtcBURKGUNpvNzc3N1dXVpaWl3d3d8fHx733v&#10;e5cuXSqVSp7nUUq11pgTgHWyRuKU/wAoIEJrJQUHofVBs7Hx9Fn94bPuJwvwbKV60JrX7AxQrqUn&#10;FShGyCgrgIZUQ0eJOqga1R0KLZd2pe6nQsSxShMHwA88HvpdLbeSbk1lrYInJ6rjF89dee/e9+/c&#10;e+/W3fn5ec/zjCz+2tMyTYzvyJ7Ncx9+gxtg3yt8Iug/HE6kMJTMGBsuW48lKkeO8p2e2O8ohgcM&#10;egH7/f7e3t7W1ha2QkMtAWtRMMYwKokQ4nleEBY8P/R8Pwh8x3EZY8PD/viK5Ls0eFAGEyAa+zEO&#10;JPXQHMGrN3cg/xC3HPzcIH+Ldw5/iJGVWuNsxd6jozcWOTg/HyMcGJNC4KncvnVz9DF8yzBHN6xQ&#10;q9UWFxc3NjZqtVqSJDMzM/fu3Ttz5ozv+47jEEKkzDntqwodpUEorbVyiABda9Sf/eZ3O//wYfZk&#10;ubC8O1HrzGg6S4ARxZQimgOMsgIBkmpoS1HTokZ1l5OeQzlwRwKkmc4yrjT3OXHdpsrWk862ymoh&#10;j8fL1UvnLty/+/7tu/du3T1z5gyyglIKL+fLX9FJOL6WRxjhbj7B96YDYpqmmFuEsecYCWbmMGaf&#10;mkKVjuNgMio+o+Hdfu1XZPF6McwKpv/B+vr65uZmrVZD9zIhxHVdHB6YhMw5D4LA8wPGXcqZ4ziM&#10;UkLoMCuMHum7Ba211rnaDXAk1ofnh9b50t78+bmsMFjw40THmoP5gUwbO5yDAxICQojGnwz4iXEu&#10;sgzP5fbtm+wv//Ivjw70+mCEV7vd3tnZaTQahJDx8fH5+flTp06Vy+Vh0kPgKtX8+YcDQGklsowo&#10;oNDqtLaXV+rPlsRWrdiKxmJZ1lCEvBECAQpAFQFNNGDtbABCiARIlOqD6hNICAhGS8DGmFPhTpU5&#10;Ve4UuRtwzhiVBASjqcu07wbVcnlyYnJ8cmpyqlwuo2UMQ2+HVZ8R2Wre/6E4US6bT1CZMB2ver1e&#10;t9ttt9uHh4fNZhO7XzUHaLVa7Xa73W53Op1erxdFUZIkSZLgz5FC8CpGcvGOn4DFdwBY+7pWq21t&#10;bSElEEIcx8GgI8dx0NUchmHuWA4C1/VytXKwaP20IfpdxPD6zExAlOivfItBuwMbilJKaqXMR0LI&#10;TGRCCCEyJRUu2jCIPxsAo/mH1H4j9YYOkqeFUUqIUgqfw/T01OvXFdBwYc56a2vrwYMHq6urjLEz&#10;Z86cPXv27Nmz5XIZrRNfZ96v0iCUkiJziaSwubPx0d/+682//aX/cudiMzvbE2NKl4kCphVRVHEA&#10;PqorEJJqaAvUFVSL6JiTMUonGQ8JDyVxhSIaCECfwj6IHZluUNksuHxuunr18vkP3r/1kx+eO3cO&#10;/QpCCEqp8Z2MPJcvPWeGV3bDnyO/SimTJEEm6Ha7qCKgrpAkyXCmiKFkHGWmpQljzPM8LE2DVS2x&#10;88k36iyxeI0wA0lKiUFHW1tbKysrzWZTax2GoWmSjK5mbJDJOWeMMe4AZUY6EQImAvU7P0IGss58&#10;kL9TCjOx8Aa8chvMyj8nDa2lUlIIIfK+FEpJzAxHIpBSmHtLKWGMY0M6z3NRV0MhyhgFQlBLQA8z&#10;pQTDeQght94ECxIajvDKhRDr6+u/+tWvXr58WSqV7t+/f+HChZmZmSAI0KllVtN42l9pJClNhdRa&#10;ZS5NtFzbXP3dX/+rrb/9N+W1+u2IX0pIRYmCluBoSRRRDnmVFYjWGJnaA90AtQeiqUWXqHFKph23&#10;yN2iYoFUXAFoElPS5FCjal3Lfa7ScsE5M3fqB9+78+d/dvny5WKxiE65Yc5DSTosWI/O/A+B8SuY&#10;PeDKAb8yRe0x26her2PBPrNEwRuO6z6j0yBPYElkKaWJKSyXy2NjY1j1vlKpmH5YlhW+S8CpiqGo&#10;h4eH29vb6FFIksT3fWyQidWtTVnTI7We5C45BC71UD5+50fIQGTl77XO4zgIFkwY3FWlNQAwynCq&#10;DqkLKk0zqaQUIstElqXYtKjfj4TIskwoJZXCIp+5JYox7nqu7/tBELiOUyqVKGWMMcfhprAgAGgA&#10;zriUAmfxG+FXGGaFLMvW1tZ+8YtfLCwsTExM/PjHPz5//nyxWMyybHNzc2trq9Pp4KLjq5820+Ar&#10;rbXqeSQland/b/13n2S/f376IHpfhdeVU5bC00I5WhBFlENfZQVQWiklCIkpPaR6T2cHWdJUaYmK&#10;SYdXuFvVvCyIr6inqCA0dp22wzZVuiWytkOi8TJ//+b5f/zTGzdujI2NYYF4dNDh0zoK3/5qs2WE&#10;FYyaGUVRFEX9fh8tQqgoxHGMRmE8OhYdG57bxmeAlICOaCxJkiQJYywMw/Hx8cnJybGxsWq1WiwW&#10;wzA0ioXFdwAD8aUxXHBtbW1ra6vdbhNCSqXScFlTnNc49nKRBwBkULJCg1k7E/Ld9yugvFZKK4Wr&#10;Lo0rfa01un2lUgMK0FJJrbWSavCxzCsDKqWkRNuQxi0lfiaNfsAYlTKnEyCEUsoZZ4z5gc85d7gz&#10;aGdNCaGOw4EQ13EGRdjY3bt3XicrDAsswworKyu//OUvnz9/Pjs7++Mf//jMmTNBEOzv7//93//9&#10;w4cPd3Z2GGOu6xqLk3GqmN3iPcLAONzGsA4eCKWbkooBBYCEKtBS9jpqrzGx27oqnPedymXwS0L5&#10;QgIHpRXRhGBzHdBYO0lrLbUShAqHdamuyaTe79VFnHFgvuNzXqa8SFioWaAI1ZRRVzi8qeEgTQ5F&#10;WnNI+/qZiT/54PqNGxMTE2EQ+GFYLBaDsMBd7DrOMYIbL2p4xuQM/3kPzmikmP2H0SDoOej3+/v7&#10;B4eHzW632+v14jhGX7fpfu66rue6josGYodS7E10tGsc1Drvt57boPr9HjZIwVa6s7Ozk5OTExMT&#10;JsjKPK9PO/njomHkYnHVaYbNcS+l2fL4riy+OkzLBGSFzc3NhYWFnd29TGRBEFarlUql4vuB67iM&#10;sVyhBgCMvVFaE0JQOSBo1s7Xtq+RFY7i68igBN8rpzJ8Vrgh/pP/N7IZ/hzlNQ5CA6WkkgKFnhRS&#10;SJFlGfoUsGt1lmVSKdBaStVPEjVoXzqYN/m/+J8e7D8IApwFjDOHO5xzxigAyUQWx3GSJIOjKKwr&#10;yDmalRzXdRnjYRhSShzHyR8CkB/96IdvHCusrq7+5je/efTo0czMzN27dycmJkql0t7e3q9+9atP&#10;Pvlkd3fXcRzXdQfcSPHnaLg0hg7DCsgQw5yBfzLGMqkSRZUmoDOSRuzwUO/Xxg9a55Rzx6ueI0FZ&#10;kDDTlBCtFAGRV9waPBlFtNBacKocGlPdyuJ2v1vPkn2fNX0OAA4jAaOBIqHQgaKh9lzqKsq7UtWj&#10;aEclOxcn+Peun79woTo2FhYLxWIpKBRcz+euy13X8RzGOWWcEIJ1YV65d18AZjjiih7f9Pv9TqfT&#10;7Xbr9cNutxfHURKnGjRjDAsPoOKP5kju5ObgE2YsziNCpJRRHPV7/Sjud7udNE3wDheLxampqenp&#10;aWQFfATGJGVyIIZhTnj0CwClFDowsCuvyYoaJpuBOSLHsWg8i68Bw6yQJMnq6uqTJ08O6nUNtFyu&#10;jI2NVSoV3/cYYzhCjHAxVU1xrYIfDguf1/WMlFK5oIcBK+QWraNzMu5gAMi9w/l/uZEHuSJPFNAw&#10;MOYYyaakUqCkEgLjRwd+YJT4GqW/qQEqlc6wJ5eUWgPG31NKTHkoStFbTyilQRgw1Oo5c7gz0Oqp&#10;ECKOkziOkiQVUigpsywzJiZK0Y7EHcehlOA0x2fzb/9b/9brZ4XhtbwQYmNj4ze/+c2TJ088zzt9&#10;+jR23kBddW9vr9Pp+L7PGEO5j8SAjpRSqTQ2NlYulx3HMVXXUe0y+gQSDwbXA2UZcCFVFveTZqOz&#10;srT7yWPx5OVUN73GS2dJWBQQZpoCBaU0CKCaYPUkPHmiJWjBqeI0pToWWV+kXZnVtW5oKZUURCpQ&#10;WinQihFGHFc7bub7EeP1NNkXSWcsdM/OTU5OFkplPww8P+CuQyijnHHHdTzH833X81BxYINF8acJ&#10;wREMP1YcatgaFxf1cRyLLFe3KKMYK+J7Pnc4pRjljP9/FO/8yt4H+8fPMRoiy7J+1EvTOI5j9JwX&#10;CoVSqYQlDVCOj+zkRBw/Fn4YBEGlUqlUKoVCAW0UhrGGG36Zs7Ws8E3AsAIAxHG8srLy5MmTWuOQ&#10;cbdcLo2NjRWLJd/3hkbmm37njaKAuotRXyhjqNEMJlw+ltDliyI7rxkupZK5LWgg6HNLEIp+nB1K&#10;Si3FIJngaIaigMKIG5ynWmvHCzUAIYRzhqs0zh3f9wbGXUoxsJdSxvI8oXzK4v8RgieILgchMowr&#10;yTKRJHGWZUJIpVEvyS3GhBAgxPf8f/JP/t3XzAp4H9HUgzdxb2/vo48+WlhYSNPU8zzOeblc9jwP&#10;ANDb7LrucAU94wudmJg4e/bs9PS0KTY3LDSNUmJ4iDCWAc2ESvu93sH+7pNHT//+39R/9ftSvXuN&#10;F86AX8y0n2lKKGilQZqA1PzkARs4g6QkY5ASJUHHoA+VPhRZKtJUZ5kWqRSZkpnSKYDyfTo2psrF&#10;tlZ1lfUCT1VLvh8EhdAPAupwrUETApQCIczhrut6vu96rovEMBTuiTPzM1gBrzcfm4Pixug5wCwE&#10;zlzGOHe453me63m+5zouZZQQMljxaDC17D8D5Gh8p2mCrIB9VNAkhc4uDF3/jBM2OC7Bcf+u65bL&#10;5XK5jHvDeEfkGwyNN6qG4QNzuOP7tPhyGGaFKIqWl5efPHly2Gp7flgqlarVarFYcByXYpYynLCe&#10;eNMwGL0axbrRG8yS31RrPpL1Q6xggB9IKfOwIZVrEsgLSA5KZJguYAQR+uRwLqP7Df9lrkfyiuOO&#10;67me5/Hc2oOVxY/8fLlSgnG+BEWU1lqjQUjrPDxEStntdbM0w1DyJImzTGitUKgacgqC8J/9s3/6&#10;OlkBH4UQwjgAtNbtdhsdy7VaDXt547Q385wxhgoXTv4sy5rNZrfbnZqaun///vXr18fHx1FdMOJg&#10;+BqPVtyEZJqkqUx7nd7+7v6jR89+/svGP3xYbnSvssK89nyhvExTQhXRCiSqCRhpSgAAtNRaglIA&#10;koCiAIxooDIjqZCJFjFVMVNdKmpUHMhkG7K4UvQunvVOz6e+1wPgKeESGONBGPh+ABRwwEmlhJJa&#10;a8pYbs9xcgcR0uTnylYcbWIAjDHFKGYTZuo6PucOEirjLDfIjEzjz6MEk1s/QL4s6vf7URThOPM8&#10;LwgC1Bi+iNt5ZAOMPcOBjMsuNIgFQYBOi/Hx8fHx8bGxscnJSRMOm2dsfoqiY/GlMWxBMqzQbLX9&#10;sDjECiaT8S24+cOsMKwQKKXSLIvjOImTNEvzaNDc32tCg/Lfop9Y553YcWlnlvSm+KvmJE9FRnOu&#10;mZVo4HUcp1AoBEHg+b7j+YQwxhnacDl3kA/Mup5SLCuLeQb5Wb8q7tDQlH8ipUqS2ASJ4HVorXBa&#10;ZZnIskxr5bruP/kn/+7rz2Ibtvvj1aLlAT80DgODIXWJEkKSJNnZ2VleXu50Opgpg4PSbIOHiOO4&#10;0+m0Wq1er9fr9dC2HsVJv9tr1Wv17e360kp9ZRX26qVEThK3BJRLTZUGSnSevDZgA/Nm8A/BJDdN&#10;GVBP00AzjzCfOYHjct+Xvtsjug4qLgbuqbnw1ByfHOPlcsENQ8cPw0KpXA4LRcd1Xc/jjkNNj3Kt&#10;9ZCAQ63oZCv/MaA6hTIakw9QM6WUopgOwtDzfcdxOONoLCLoHNTDlVQAcDwfQ+6j04MMfqQIjDEZ&#10;goliQn+PEdMnIp+Xr2L4WqIoOjw8PDg4WF1d3d/fx0y6fr+PNiujDg6bqnDPw2du8VUwvNgSQjQa&#10;jb29vShOuON6nuv5PvqZB/f87bj5ONLMuj4TQmRZkiT9ftTtdjqddqfd7rRRZuShenGM2TxZlmVp&#10;mgmRZ40NG+4ZRvw4HJd0vucGgY+aPwoonNHo/jV96CqVSqlcLpdzSymShOu6GCyUS/ocKH9GVmYG&#10;yAdHf6EXwfN83/eDMAiDsFAIfT/wPNfzvEKhWCgUfd+7fOni69cVsizDpT2eCYqbNE339vaazaYJ&#10;KEKpYZYqRlHodDovXrz48MMPoyi6cOHC1atXL1y4cOrUqcnJyXK5jNFKzWZzbW1tZWWl0WhgfD0u&#10;ZBRzlFSi183qddjaFps75a2D2URfIMG05k4qmdSEUkVBgTK6AmggAIOYu3yiYOY40eAKxiSRoAWH&#10;1CMtj266ciHrPExb9YLnXr0QnDud+H6qybh0StJhnAeBzxgVQiDxyDzR+JVUYVQUsH6AsaR/mtJg&#10;ShGglmCKVeB6JPckc5dStJwCwZE23IIJ5/JA2g/vHKGk0qDRjGlcvkqjT54gDZtLMLUxkNU+LQbJ&#10;KLPDoHTg9vB9xliSJP1+//DwkFKK2VJpmmJQ7+Tk5Ozs7Pnz5+fm5gqFwjA/je7U4stiWFfo9/tL&#10;S0uPHz8+bLX9sFAu5X4Fz3MJMfUV3vSbb9y8+azLMqWUkCJL0zRNjcUV5RPa8lGzHnQHgqGRhh8O&#10;/qBo58F5SrRWMkuQb1CNRkpAEsVxHgSB7/vccZjjYvwuDt8BGaPakUdBDXvORkApxW2OQqEo0QPG&#10;GtiW8z/jOJFKcsZxkf3HP/nhYHk4wJHn4VsBCvphMWFEvzF3mBXK8C3AM1RK1ev1hw8f/vKXv1xY&#10;WJBSTk1N3bp169atW1evXp2bm0OHxMbGxt///d//7Gc/29zcRNUEnzEwhxHmqszt9aeidBbYpVif&#10;kvS05BOKeyjsKZGUAKhcLRjISnQ7U8jFJk4CqoFKwiRQIJqBYPTQI5u+fiG6v0+am5xks1N0YiJj&#10;XBJe8QpFP3Adx/Vch3OMcaKUYEK7lCIPYJMSOQdL1WMQjrkPI8CBYvREcw9RbRpOPiCE5qc/+OHR&#10;qt9A4z8njDyzZkSjk9Zag2YsPwHkckxiSNMUqQiPjo3n8PliZBFaEVEhx6+GHzdjbHJy8ty5c9PT&#10;02NjY4VCgVKKBqVOp3NwcLC5ubm9vd3pdFzXvXz58h/90R/duHHDWBFRdfjWxvNbAZOgjkPCkLqZ&#10;jDgfBxIp/8nxN71eb2Vl5enTp7V6wwvCSqViWME8xIEwwXmTf3gco6ZLyAff4LwGYxHMoBv832DL&#10;wQ/Mj82wfeWIuazMA4g0uluRDJIkieM4juM0TdNBC0g1iGbEFb3juI7ruI7jOC7nOK4IpYSZZT/e&#10;z8HhCBCllFRSCilE2u92sIpAmqac80KhUCgUMEDGlAnRWgMQwpw84S13eYPWR7kdeCkoJ1HzGFy7&#10;xogpQyR4v4dY4SiNDh8KpTSKImPykkq9d+/OK6yAV/Its8LnfvIZkFK22+2lpaWHDx++ePGi0WhQ&#10;Sqenp8+fP3/nzp3Lly+Xy2UAWF9f/+/+u//ub/7mb6IoOnPmzPj4OKVUSKkpV5nI2q1kb7940JhI&#10;5cVYnxLstOLjmnmaAIAiRDK8u/oVVgBAGsBPiNYE/5TAFHAgmoJg9NAlmwE8F93fxc0tB+TcrDM1&#10;I5mTKUKBcMo8zw0CPwh8z+WcM8fhnDOaZ6TnIQRSqizLtNaD+sMu6qSGGlEKK6VQM8iDlLUetjsZ&#10;DMw4r7DC1wKtpZmE6EbDpZYxIqFGjGeLCXQ4IVFLGGYFMwyklGEYTkxMTExMzM7Ojo+PY2hZmqad&#10;TqfdbjcaDXRB9fv9s2fP/uQnP7l169b09LTxP1tWGIaJyjNrBRw5eJeQFcybkceB25v99Hq91dXV&#10;Fy9e7O7tc9czQYDD+WtDrKAH7tyTcfwRGbo69jEZbE/Qzor5wLkQBSAEBjJ/4At+dZk8UAswGwxT&#10;hfORmIeHag05L1JcyngexkW7nHPOHc4HZl7AsFEKgElkDOsUZEJgwkEmRGbKE8VRlqVorsAQCdOS&#10;COfpkZ+ADlhhALwPg6vOtYQ8NCS/sk+9t4ObefwmE2xeMJSCrm/euEbQA44Y0EteeO7NB0qHVqu1&#10;u7u7sbGxvr6+v7/f7/dLpdLt27fv378/NzdHKV1bW/vrv/7rn/3sZ9Vq9c/+7M9u3brFGMuEUED6&#10;rXZtdXXz0RPxYtE9ODx1GM0JelrxKjAORBItKAhGHAlMgwbQBBSOPeQGDQSAaSAaGUKnRAFoXxKu&#10;idK06ZJNnz5T/d9m7V2Xe2fPlefOALhxnHV0mnHteW4YBMVSoVgIAt8thEEYuL7vOg4nRCtcYwgZ&#10;RQm65YvFYrlcLpVKuOjGp2aU39xfEkX4WDEECG0vr1ICAaDk62YFIRIN2iw2cfHV6XRwRYNpz4VC&#10;AR3g9Xp9d3e3Xq93u11kDlz7DIshAEC1IMuyIAgMK6DnIMsydJMAQK/X29nZGRsb+/73v3/z5s3Z&#10;2dlqtWoSxS0rGBjqxT9RbzBJPPg50rapVoI6xPB60ViQtre3FxcXN7d3klQEQVAul8rlMkYWoBEj&#10;r9B5FPSJ0TIjj+MEcTaQermeYR6gEYJ6sFAzrIFD25zeIOYCc8EwIUCg3MeFSBwnWZYif0gsPweA&#10;lh/H4Z7nOdg+1EVCcLjj5NMHpakxvB4t1QHtRUopHLdRHEf9Ps5HrRSj4A7WRkbvNz4GvNufzQqD&#10;B4f/4vbDDe1zZhwQpLmx+fvBRDj6ClUl1/XwarTSt2/dOGIFkzTwelnh2NLgs2CMFVEU1Wq1paWl&#10;1dXVnZ0dKeWlS5d++MMfnj9/HgDW1tb+9m//9l//639drVb/4i/+4u7du47jpGkmAXqHzd3FxY2P&#10;P8mev/RrrdOH0UwKc4pVNOVABNUZBUGJJwlXoJAVyJHDGTQQDUwD1UA1aFAplRp0IClXRGty6NAN&#10;nz6H+Leisxe64cXL46fPE+VEvaQHWeYA58x1nULoB77ne26h4BdDz/dd33Mchwe+57mukKrXj7Fs&#10;faFQmJiYmJyc9DwPL99kLEdRhInKaJzB9QjWHjhGCUCADVTRrw1ai1y1JwRZAZPmcHGEZx4EQZIk&#10;3W53f39/e3u7Vqu1Wq04jocrJA7PAYxoarVaQgisvoeRqXgtYRhOTU2FYdjv9zc3NwuFwr17965e&#10;vTo/Pz8+Pm42Gz3Rdxh4h9Ht1O12O51Op9PJsgyFFBrQ0fyIBg0kXdPLBC1L+JUQ4vDwcGdnZ2d3&#10;t9uLGHeCICiWikgMnutRmo+4YVY4/kSMfD/2YS7mBqIedwKmkYDZihCSf4iKQ25cUVIpgSWDhJRS&#10;GlVASilEHjCKvwcASkze7xDQmcc5ZpChAjI4aG7MUUoN3GmoheSHEyIPA83nIyGB7waDIrJoUx1a&#10;9ecTMz+lk1hhUIibaK3yUkgi97kOpD3+/1HKIM0roiITmwMNHgzJNSfXdTElW0p1796dPHXCnBY+&#10;vNfICn8o8J5KKVut1tra2vLy8traWqvVunDhwk9+8pNz584ppVZXV//mb/7m7/7u7yil9+7du3Dh&#10;AiEkThKpdNrtdba328urxe39yVheivRcBjOCloESIClVKQVJIRDEk1QRUAQEBfUqK9ABMWhQfS4V&#10;UaGgjgSiSN2hqz59QuLfqv5BOSxfuTp15rIDfhZlfcgEVQCaEM0Z5RQ4Iw6nnkt9zykEfrVanp6e&#10;Gh8fp5R3e/0oipRSvu9PTEzMzMxgHdk0TVFoYi2jJEmwoOlgPOfJwMZdZB4xIV8/KxAC+bJJ59VY&#10;4zhut9vICr7vo4qDDd9rtdrBwUGr1cJQIhNg9+qa6Ch+rNfroTW2XC5Xq1U0U4RhODs7WywW+/3+&#10;/v5+qVS6fv36pUuX5ufnkYGOy6B3HMbl02g01tfXX758uby8HEXR2NhYGIYY6IHmOFTvKpWKSRrF&#10;O4lO0TAMPc/DsqndXj9OUk0IoywI/GKxVCqVisWC7weoOFKau0mHTD1HOHEhiDm9+Hb4c2zJoJRS&#10;WClIKYlm+9xdnGdspVmGf5hvMXgUAAP5BydFKOfcddGA42BygOs4KK/xw0E49YAKBv+PEhNpAjkp&#10;SdJer9ftdqIoxiU8rsbQ3ss5DzwHjbkm7MLcVfzXqGWfzQpCijiK+/1eFMdZHqNBTCYEEIJaMiWY&#10;9IzJqPnRUC/Js+AIYZxLKV3HkRItZ/re3dsEV5om4xfn8xdMQ/2WceL0RhmHVs6dnZ3V1VUs6nvh&#10;woU//dM/nZubazabi4uL//AP//D73/9ea43lPJVS/X5fKiWTVDYa2c7+VL19WvOrCZ2XdEaS0qBE&#10;UkJBUiik1JdUEZA0ZwU1kKjIClQBBWQFoYgKBXEEAUVqDl0K6COa/IbGe5UwvHhlbP6cCwFJtFKZ&#10;JhK0JlppLUEJ0EIrwYj2XF4I3PHxsdOn5+fn5hzP70dJv9/HrL1yuTw9PV2tVtFThOb1VqvV7/ex&#10;RVoeexoEWMECb9HwyPuGWAHpwIh1zC3Amvs4PVCUR1HUarWazSZ2c0TgatQ8YrMTk6+A5JckCSY5&#10;FwoFvEx8oMg05XL5ypUrFy9enJ+fn5ycRDvGicPmnQX6e5rN5urq6ieffPLgwYPFxcUsyy5evDgx&#10;McEYQ7vQ5uYm5/zcuXMzMzMYyGdsCRgOh5H1ucRQOhUSJS9jLAiCQiEsFIphIUQH7EAM0VftGK/g&#10;xA/zdf/AsojieMAEmNuDy3NhSgmhooPdBrTWxs5jyIhQ4uSlcRyM4AjDwPM87jhYMYLkIn9QnYnA&#10;SNQ1fovraUxlQ0UkjpN+v4dRq0pKDAMNwzAshJ7nuY7jcmr8wGZvxy9cAwDhx1khyzLsCIPmrziO&#10;0jSL43gQJTTYHaW+5+OOzSHQnjw4eQPg3JFSOg4XQmqtOHd+8IPvkV6v1263+/0+rgJwdWaq/H/7&#10;QGky+inAp40bBEr5g4ODnZ0d1BWuXr3605/+tFAo4IJoa2urXq+7rotlfoUQnU5Hag1pJmr1eHOr&#10;uns4narLEQyzQkxVQrWkpDTEChkFfIMYZQVHKKLCjDiCaAUHLl0K2GMn/TVPtws+PXXaq05z6dCU&#10;yCzRMmOUUKJBKyVSLTMlU0qUw6nLaaEQzs1Oz83Nen4hzQQ2P8AS9uPj477vm/DTOI4xa8ykBaC6&#10;gIljw6xgZtg3wQqUAq7g8FgoR9CfNhw6hZF52NgHLRifwQpY0QUNwcgl6EvAWhrIChMTE3EcHx4e&#10;lkolwwpTU1O+j3PjU4fNOwilVLfbXVxc/Oijj37/+98vLCwcHh6OjY39+Mc/xhbirVbr2bNnT58+&#10;9Tzv+9//PladMY8D4wKQa81qV0gVJWmapkJK0OA4ju97nud7nosx8hhfg8MSE7JGzur4Y0IzD+Z1&#10;5snEg8RMJTGxIDcBEUIIoVrn9GBSXDEHeDjaAg1f+N5xHIbZm4wxRjl3XNeljJqmlVgU0swd45LB&#10;s5USIzuSNM2SJE7TLE0TKfMNhicg6uuMMc4IFq7BPeD6e2TA42+BEA15VSIDKWWv10uSJI6jOI4z&#10;0xhxIOCPrAH5DwdWNYWXMIhWMjyrchVHCOk4jlSSEBIGwR//9KeklzR/+et/cLhPiKMlMObFUeI4&#10;LgAa+zBOXwHRQDqjut+3Bk1BFQCc0c8BkFqlkL1er96o1w5qBzs7aRzfvHnzz//xPwJN/tX/718t&#10;vlycmJg4e+6s73txlGBYbr/fp0rFSbTfqbXX1t2FtYtd9cMWm0uhLFXGtGAgGXEUeAoU1qIwRzx+&#10;HzAYCZSjUgIqpqxJec1xtjy2FDjrRG24pO3yhHOhicqklpA6oXR8BorrjCnBVExVQpSgIPF5Usaq&#10;Y9W5+Xk/CDKRV8A2aQcmptPkNHDOXddjzDFhezhEMCLtW4DSgnOGmQfoSPA8r1gsYkQpauWO4+Da&#10;qtPpNJtNTC1E25fR6ocnCQ5gtEf1+330pUsp0ZI2OTk5PT1dKpXSND08PAzDEFkBdalSqWTmC05v&#10;lE1oPR+ZSqMX85bD3MDBIoAQQjAqrNPpPHjw4Oc///kvf/nLvb29IAju3Lnz53/+57dv3w7DcG9v&#10;79e//vVvfvMb3/f/4i/+4r333guCIE1TfHyYFNnv9zF93aTK4wNCqW0afWutsesOSmHf9wuFPPPZ&#10;WJaQIXIxNfSvqSdhEtpNVgG+Hy4fNFwr0xhhzBHR2BUEQVAoOK5/jJOGYvEHhqLc1oRfE0IpQyf5&#10;gI0kgE7TrNfr9XpdkyUKhARBUAjDQqEYBHmhScY5AYIy2KgtOTQopZSWZLCsByBKY56zq/JYE4FO&#10;EKVUv9fr9frdbgf9cK7nea5bKpW5M4iI1RrdJbh8VFqpXIXDe6n0QLUSIkPlIElSx3G4w6WQWZYV&#10;i8V/73/+75FGr/Ef/b/+4yQRDvcIcErdNBGUstxknsfpIzfI18cKBDQH+FS7llY6SZNut9tptbrt&#10;BgN9+/btf/SP/hEQ+Pt//fcrqyuzs7PXr10vloppmlJC0zTt93pRp1trHOy2D3pbW+W13asx+1GL&#10;zSVQUTrlOSu4CjwJ8kQmOA6tqEo1URFhdebsUVgjesnjtcA9KPtx6AvX05SD1FpCTP2MOQwU0xlT&#10;GZMxUzFRggziOx2HT05NnT57plgqYW07HHxGzOEx0fs3aJ7s5blpQyHdZstvGkoJDOI2/QJRfFSr&#10;VXSEGD8bOirR1YysYK5rRECbmBmMKEenOs4KjFg9ffr02NgYOpYIIdjXATWJMAwHuSmac16pVCYm&#10;JvBzE56ER/lOssIwMeDFpmnabDY3NzdfvHjx4MGDhw8f7u3tKaWuXr36Z3/2Zzdu3PB9/+Dg4Pe/&#10;//2HH34YBMFPf/rTe/fuYTAx6p1Yp8E4UU1GEQpxVAQbjUaz2cSQ4iAI8FbjIzD57YaMjYw2fIDA&#10;HZo/zTbI6FgiAskGaR7PBy2WWAIHz3l8fHxubm5mZqZSqfhByN3jxbhOHnVDPZbJYHWfn0+Spt1c&#10;wZUoeSGvUO2YHuZ59WasRYqsoE/0tBvdffhzgv0VcmNAHKP/YOAqV5QS1/VMkDpqRQP9I7et4W4H&#10;ugI6dPIbiP3c8HMh5MBoBmhs+Hf/p/8TstXo/K//V//7ZrPruSEAo8TVGgbhvUO6AhAQk8ccRd8a&#10;JNAu0OEYLAAwdJ4vGbIsS+OeFoflkvvee+/9yU//RCn185//fHVt9dy5c+/df29iYgKzfKWSUa9f&#10;39tf21jdauzEu7tTe83b0v9Rm8+nUFHw5VhBaSWIjKjqAtknZAf0JoF13+kWw+5EVRYKJAgod4gi&#10;WkLMPIGsoDKqUiYiqmKiBKgMQFNK/CCYP3Xq4sULlWo1EwIFIqrw+BRxYqBXeVCX1CFAj+oXfYFz&#10;/hohREopwZhRjArb3Nzc2dkJguDMmTNo6y+VShjW0mg0dnZ26vX64eEhOtLxio5NG21WoyYtDolB&#10;KVUul8+ePTs7O0sIaTQaURShewxvCGpUuLrEuknz8/NnzpzBTuAm8hIP9B0jhmFhapCm6e7u7uPH&#10;j1dXV9fX11dWVrAO8alTp3784x9funTJ87xGo/HJJ588evTI930M8w3DEABMfcN82TmAEejoxuz3&#10;++vr66urq0mSTE1NVSoVz/OQS1CU45mYO2/e5OJ/cNrD703Uk0kDzluAeB5SDrYUxDVTrVZbXFzc&#10;3t7WWqMH7syZM+fOnZubmyuVK9zxyCgrnCisjWs3H4HYSkQKqZTsdnv1eq3T7XLGgyBwHO55fqFQ&#10;8H1v2Paeu3Upusc1KvTHDqTUoJoSuhzwaOgkx6He6/W63Z4QgjHqOI7reWEQmmIBeBfNJRgT7mD/&#10;R3/hkfFkhkq35qeB2yilfvLjH5L1euff+Xf+F3GcUeIoCQCO5/pZmgFg/q4aqAsE5OtmBXKMFXAh&#10;rPM8PaWUlJEDtbEyu3Llyp07d6SUDx48qNVq165d+8EPfjAzM6OUwvDkqNff395ZXHm5srve39qe&#10;PWjfI8Wf9t1TGf3SrCBAtx1dp6ohxC7oA8YOA69WLiWlYlIu6yCkfkAZJxK0goz7krkUJFMpVSnN&#10;WSHTMiWgGaeFYvHs2bOXr1wpVytZlmHNH2PYxeSa4UoYjuNQyo+yEL7ACX+9UEoA5PHvSZLs7++v&#10;rq6ura3FcYzZBmfOnJmeni4UCr7vt1qtzc3N3d1dZAUz/0f2ObxOzNtRSYmxrZ1Ox3Gc06dPz8/P&#10;M8Z6vV6WZQP/YYgiDN0SqIhIKQuFwuXLl69fv46RS8Oz9Pih32oYqTp8XVEUbW9vP3jwYGVlBZ1w&#10;+/v79Xp9amrq/fffP3/+POe81Wo9f/78+fPnvu/fu3fvypUryOIogtH1iKLcxLPh4VBeY8Lzixcv&#10;kiQ5deoUttdFxRFXrcNMbJ6v+WRYohk32HADFRR/g0xjB+1RWJoC2WJnZ+fDDz9cWloKw/D06dMY&#10;rjY1NXXp0qW5+VN+EB5nheM9f7DKtPkTLzLLsjiKo6jf7Xa73Z6UwnU9zE9GGY29CkyynnH2Doz4&#10;J7CCUkopiWFRSAZYXkkIOai3EadpitFBuNYpFAthELiex/J2CwD5HSQAmNSds4wZ2oYScuoxnwJK&#10;eS2lJACUsSROvvf+PfZ//g/+g//sP/+XnIVCUimZBpdST2kOxAHCBy8GxAFVAXBe04sB0UAZEGf4&#10;RcAB4FIzDVwD05qBVhx6SkZYDmFjY2N7a1tJNT01PT8/Xy6VOeOu6zLKlJJxFDWbzUa7GTUabrs3&#10;C+5F6ZYU9TVICoqCpgR3rb+YkBWUtB04oKomshrRncCTY1WYmuLj46xcccKi4wWO43LmMOYQJ6CO&#10;5zDKKeFUM6I5aEYJY8RxmOt6xUJhYnJyZmamUAiNtRSbSRQKhWq1ik1OMKkNy0r7fpA7uPB/GHLt&#10;er7nI3l8owgLeeATRi4GQYCr9TiO6/V6s9nMsgwX8q7rYskKtMmaCkjHRTPKBSOJcObj59hP1CgE&#10;6GyYnp4+d+7cuXPnkC3QejA1NVUsFlF3SZJkbGwM79hwwPgxLf47AmOrQV9xp9PZ3d1tNBpo3EM/&#10;TRAEGMiLLs2Dg4ODgwPG2MTERBiGJqgBf5JXiet2sVcHlpvsdrsYG314eLi5ubmxsdHtdsMwROo1&#10;7WXQDXti+cKRNyaxa/grdCEg0EcyXBwe42iVUnt7e91ud3Z29tatW+Pj44eHh+12G9NlPD94tcAc&#10;7jnfv4Epl4EbYD3tLMt6vW6n04nj2HE41nUvFgulcsnzPawjNOIywZ1jzaKhww0dSGvACD3KAHIz&#10;aRRFh4fNdrvd6/dwymDVPJzphbDg+x5jHPXyIXPcEQ8RQgihhOYBWKaAUn5NQ1tRShilWmlCiMMd&#10;pdTM7Az7P/zzf/H//k/+ijCnF2eaMA08kVIBlVrnL0AzuJZ0V7KGpK/jRVoSiNRUahh+ZQoypYQG&#10;pUECCAVCZlS3iY7TJO328rFLGa2OVcfHx3H96HouAKRJ0ut2W81mvd3o1Gpusz3PgivgV4C5SiMr&#10;KApMAVNYGG/4aZ6MGPQWh0WutxjZCt1atdidGosnxnWxrLwAqAPAACghjFBXMw+oSwmloInWNO/X&#10;oBnRSAye51aqlbHxMc4dXPCicRZ9aJgrhJZ6U2GbM4czThllWJmL0UEgxrcDDDI5agVh5oYxB6MZ&#10;QSmFAbXGHDwc4DF8S0cWj8OWaNw/agaYGh0EwalTp86ePTs/Pz89PT01NTU1NZXPpULh8PBwd3cX&#10;xQcuu9A28nXBnPnwOY/gWyaeYapD30y73d7b20P9DOMPoyhCiYklBdExUK/XsQJVsVjE54XFVHDV&#10;jyQxqB4aI6/jm16vV6vVdnd34zhGWeY4jul8NRxNYMbD8ffmz+FvjachtxWnKXbyQO83lm1wHAcj&#10;a3u93pkzZ27duhUEwcbGRqPRqFQq0zOzQaFgaBIxPLGHnk4ux7XWQsg0TfBYvV4vjhMgEAZBpVIZ&#10;dJTyGGMolI8o7GhRjh9RQgf+vlcHiFZaDHz43W6v3+9HUYw9DSkhvucVC5gYWCgUiq7r5sU2qDkM&#10;QRozRn9zDkNDLS9WiO8HbzQASKUoIeiPZowprWZnptm//8//L//Rf/xfiUxE/T4QoqTuR30lVZal&#10;mUgzkWRZmmVJJtJM9DIsGfLtvzKRpZBleR2rPGc9S9MsyUQmRCakkEJmMhMiIqLlclkoFIrFIvrH&#10;KKEoRl3PRUrE6vDddqfZOqy1G/1G3W9HZ5zwCi2UNXGlOmIFDVx/UVZICOxTtQuqQ6DnuVkx1IWi&#10;CAuKO0IRKbQSedwzUKaZC4RTrZmWFCTVghKJdbspJQ7nru8WS6VKucw4R9GJQcdhGA4rrUYKU4qJ&#10;jHmbBBw6lFAgg6qoQzDlTk2okvl8+M8/CABH1kk0JWMwUhiGk5OT1WoVANAIppRCmWJizE00y3G5&#10;OXqYPL2Io3EZl2zI96VSaX5+/vTp0xMTE9VqFTvLY8EZjFPq9XpoD8myDAsXD1dxHznul8ansQKe&#10;/Oin3ySMmoVvkBX29/ebzSbmw6O6hinipVKJUooJbo1Gg3M+PT1dLpeNRoWL/WPe2qNbh/Tfbrfr&#10;9bpSCvteYHMUQ+dI/7jKQQ0P/x2BCTpCMjDbD4dim8aC+AmyCFomu93u3NzcxYsXtdbLy8vtdnt6&#10;evrU6dNhoUgpGwhTgvaTV0Tp4J7hhDflvNC4nwf/uG4Y5g0B0WqEq/FBbsToI9YaAxiPxLEZIEqp&#10;NE2iKBoEareTJNagw7y1VMHEUKHBzBTGIJAf7ugwA1BUAY4444ishpB/gloCENBKU0opoVOTk+x/&#10;98//xX/yn/5/lM4o01JnmYiZA0IlUicSEqljqeP8PWlLSF7PS6dSKakzqRPzUjrRJAOSKUglpFLH&#10;ClLQMVVtqrMwDMfGxjjjQgpCSCEshIUQR62QAjCYtdupNxr1ViNqNstResYpXNJ+SRJPa0VBU1Dk&#10;D2OFlJBdRlaJOmSkXy1GU2NpqRT7gaJMKUoVpUApYYQxYEwTTwMnAFQrohRRkmhJtCKgCNGcM9d1&#10;wzDwsV50lgkhUEvANhJYR9pM13ygvXqiuFzAVj4E8zCVVloBAEr/wU+Gf/AFrvNTMByngfMW1/Jj&#10;Y2MoXzAGBq0N2KzNVIwx+QojA/1oGB+bAIZvMM1bCOF5HjbhwaBY06LD8zw8EJaK2tvba7Va5XJ5&#10;fn4eozJMsOOXg0meMgxnAivN2X7aVXxDwAPhv+jwxH+NrmDyBw0rjI2NYa1yDCJyXRfvrZFEw/ao&#10;YVMJjj0U+hgMVqvVlFKTk5NYvNbojkYiIkNj9IRpPjMMHBWmFPzwNsNaAlKCGUJZlmERjiRJ5ufn&#10;L1y4kKbp8vJyv9+fm5s7ffpMWCiOsBqWNzsusrXWWYYklEZRv91u93o9rXWhUBgfH69Uytieeuix&#10;nvBk0TZ59NdgdmDALV7XQAvpd3u9LBOEYDpOMQwLxWKxXC4NuCdvszN0RDDjihJqXl9sjOWEgeED&#10;hFDIY+/J5NQkWWq2fvTH/zZoDpppzbQinLsEU7Je8TYDgHPilX8rOKFSCuQCkGjj39GaqNTNah7N&#10;ZmZm5ufmpZL7e/u9Xq9arc7Nz6GRtFAonD1zdmJ8vH3YXFx++XJzqbm6Or3X+qE/8T/WlVOCFYVM&#10;mRZMZxRcCZ4kCkCPrpBOQJfAc4c+dHTNI83pandmTJQqMiw5xGGCOYIyTYFQ7RDBuYKi1i7VgqmY&#10;yJiKHpF9olMCCaPgeiwIg4mJidm52WKprIFgBgCajNBkP1y6arDCoYS8Er9rsgLzaG7QBCMWUAN9&#10;9aYOR4l8CRAKSmEZsqzT6fT7fcaYSWGLomhvb295eXl1dXV7ext9gK7rIn98mgXpRODFKqVc10UO&#10;wBw313VnZ2dnZ2cxChaz2HCf3W632Wzu7e1tbm6ura0xxn7wgx/84Ac/GM50+yKHPhHm/uNOUIlB&#10;D1CxWERj+rAw+tIH+oNgBsZg5pMkSdbX1x8+fLi8vHxwcLC3t7ezs9NoNCYnJ2/evHn27FnGWLvd&#10;XlxcXFpaCoLg+vXrp0+fHuTEgqmoOnIgEz+Gxa/W1tZevHghhMDckTAM8Sd4MmiMwqPHcYyurxP1&#10;D8M3w7f3+N0zeZrY4z2KoqWlpV6vd//+/Z/+9KfdbvdnP/tZrVZ7//33/+iHP5qcnmHslRRd1GOU&#10;UsZPi8fCWHA0QSdpCoOOVcViqVgq+r6PKQIAuRga2ScWbMVvGaOUMbw5GHMkRBZFEZKiwGQLQtEd&#10;jQmArudi+/aho+Cljx7rq0MpSQhVSlJKAciNG9fZ/+lf/Iv/4r/8rxhljBJGKaPEdRnjlHEYvAjj&#10;wDhlMMFo8JpeLuOCOZpx8sorX3YDZcAoMAaMSCYjh+hyqTwxMcEd3u10e70eOq96vd7B/kG/3w+C&#10;IAwCkaTN5mGjfRg3m4VecpqHl8AvK3rkV/gDdYUMyCFlNc4Sz0nLYVQKVeBrz3eI40jqKsKAEgKS&#10;gmJUaw+0c+RRUBnRgoAkIAkBxghl1HEd13MZ44zlTmYM4MGCqWZBOrDDaqW0xHru5iWlNil2A5hQ&#10;EOypoDWqEPr4lPsDgfZfgdo99lPCCEK0dKGJ+eDgYGVlJU3TYrGIYYsmyfMLHt2ICWQdx3GwXBKK&#10;LSzTjU7Rw8PDZrOJuRHoLN3d3d3e3k6SBO0bmFSBthS0SHwJYHiYwXCBQjRtGccp3vzjQvAbBcpr&#10;VJRbrRbqCnjVw7pCpVLB3hWNRuPw8NBxnGFdwQjQ488oX5EQYnQFtCBNTEyMjY2Zku/GtRDH8d7e&#10;3traWr1eN/X4zJIfYRwV6LoYRt75YEBFuUdr4GHCLltZls3MzJw7dy5N05WVlc/SFbRWSg6s8Jj6&#10;m/uW4zhBX7rIMs6dYrFQKuUVYUeqP4zcE5xQA5mBteYkJmlLKdM06fX7mNXf6/WFFJwxNAOUSqVi&#10;sRSGocM542xACbkB8MSb/9WBj3XggiJTU5OUaAChQeQOXC20zrROpU4HpppU5H++aa9EqkQcvVIh&#10;E6lSiVqaynup5hITR2QQBNMz02fPnsX6+5QNVK7cCkfy6m5fFhTAz6AUaz/TNBMqS2WWKimIFEwK&#10;JgUVGchM61RCNvgFBaCgCWiaq3WaYHILqplY3dEUQEV10gwOjA9BIdhut+r1+v6rODg4ODw87LQ7&#10;WPIsiqNMZMNuPdyPuUtfBVopKYVR5/Gem1QjNBpgVVdMcja2BXMyw0vCzwBOD9zeXAsuG1HBn5mZ&#10;wdAjxMzMDFbhRssSrk/DMMQ4rmq1Wi6XK5VK9athfHwcA0UwCgATuIZP+wte3XceGA2F4Wc4tkej&#10;FoaClEz1CBz/uDAySjPa3E1pJpOf+CVuNYpcrNF7eNis1ertdkuIjHMnCIJSqVgqlXH8cMZN64bP&#10;OBCae5Dzer1eq9Vqt/PyX61mM0lSxpgf+GEQorGoVCqGYeh5bn4LULnHFZsJN/1WQJbqrR/+8H8E&#10;wEHnjk/OnTyv4siCpAAA1PgXWjB/I5BAI+PMHMagvm6u+1EQPnR8Jscnxufn5qWUe3t7vV6vUqmc&#10;PnN6dmYWC46OjY0pKWu7e8urSy83lxrLyxO7h3/kjf+FqpzKaEmqL2dBioCsa/acw2aoNyeC3ali&#10;VirxyliR+H7KPEEIEMkg9VjqukSPgy4MLEgRFT2ie1SnoGJCBOfE9Z2x8bHp6enq+ESlMlatVnHQ&#10;c86NqQfNL0YbTZJMitG7xBhzXCdvIus6gR/4Qd5fF5FL2Nwp8eUfsVRZv98bnu3o0eWcY+ls7IGx&#10;s7MTRVGpVJqamkKTRa/X+wxv84lAyxjnHMtpYGErrIN06dIlzIpAoWxybrEZwNra2tbWFuf8Jz/5&#10;yY9//GMMvEF89aKQuPI1xTJxh+aNwbejKwx49g2yIOHG3W53aWlpeXk5TVP0A5lDGAyvjvPQiaFk&#10;ZoQZLRg/gzntzWbzyZMnjUbjzp07X8SCZPoTSKkwhgrXT3ESm0KTIfY5d/Mpg/czP0M8jVdnjVlg&#10;KaWEyKIYaxfF/X4vywTeRt/3wjD3frlu3qzQXO9A0qJUy3d74s3/6jjBgvR//Of/4j/7T/6/DBwC&#10;LgGXaM6pRzWnwChhFBiF/D3hh5R3KXsNL0Zjql0KLgU+/GLEYcShwClxGP5LiAMppwpNFhjvxRib&#10;m5u7cPHChQsXMJEqDEMhRL/ba7YOG61G1DgMO9E89S5qt6ypq7TK3b7AFLAvbEFSALEmHYAuqCbX&#10;TQcU58wPPMJdSRwFlBBgRDlUMgY6BPAIKKol0QJUSkAQooBIAEmIZpyFhbBSKVerY9XqGIZ+o1m2&#10;3+93Ot12GwtG5Oh0ukmcGp+ncc0ZNTzK/xcncYLuOyPF8rF44nrk0y58sLFZmkmZ9aN+v99XSuHy&#10;DeVyvV7f2dnZ3d3FnkhBEIyPj2N6EXbgwfpOJ7KC+Xz4PVICEiH+BK0KQRBMTU2hZxsZ1LS5llJu&#10;bGwsLi72+/3x8fGzZ89eu3bt4sWLGMqFStho/sWXAu4KVTqTeGUuZ2jaf3sYsSBh5uCwBQmLDKLT&#10;Hi1IGIOEcb0jFqTRvb/6jIQQzWYTvc1oozOJb1jQF08Dn53neVj+1oTSGbwaWXd0UNQOR7z9OJjx&#10;KFEU7e/vR1E0MzNz9uzZYQvSqdOnw0JhpCgkattRFGFeZBT1syzVWjPKXNcJg6BULKGpk1KGLvZ8&#10;wOd/0AElHKkNWmspxSDKq9vv95Ikwdw0TMHzfS8sFIrFYhiguuMP1QIZrCEGF53HG9G8sN7gxL82&#10;HLcgsX//P/gP/9P/4mfEqWgaOv4YcYrEKRI3JG6BOAXiFIhbIG4JnJJyi+BWwXk9L86rjJeIU6BO&#10;gToFhm9YgfACcwqUh8BDoCGhjksi15GMsjyuOUsLhcLVa1fff//9q1evTs9MFwtFNGg0e51ao96p&#10;N9Rhs9SOZqh3hvgFoL5UjgKmAR+4BKIJ0C/wOBTojOg+EV2dNCHtUAW+R4pl5gbS8SR3FfcU9zR1&#10;CXGJ9qnmREsAAToDnWqdAUgNAogE0IzTSrk8PT09PjFVKJU9zwdChZS9XtRst2v1eq1ePzw8bLZa&#10;7XY3juM0y4BQyqiJXNYAGnQmZSZEkiT9JOn3e91er93pxHGUpYlSEgiOBtxWoe3KvE528gPkS9HB&#10;t3koapZEUdTvR0pCEIZhEAKh/V5/c2Nz8eXi9s5uHCdBEM7MzM4PPP9obvoMVjDr0OFphylszWaz&#10;1+vhYhzt+NjCAXtzGr5Bv0Kz2Xz48OHDhw/TNL18+fK1a9dOnz6NlvSvcRU2LPRPJIDjn3wLGGEF&#10;1A9woYAeEWTTcrls/AqNRsNxnOHI1GFWGLbamc/xTmIUUL1e11qjX2HYBG9a9+DqHkl00MDg6I6d&#10;SAPDoUe42jN1+oxlMkmSw8PD/f39LMvm5+c/jRUGfjgphEySpNfrttudVqvZ6XTiOEFTc7mMXSKK&#10;qHQSgrEcRwoKIQRDd0ZaQWDvnSiK2+1Os3nYajW73a4QGWMsCMJCISwWC5hEiWlGJr5okCRBzYA/&#10;yjdDheQboISTWeF/88//w//8v/wN8JLUPg+qkvjAAs0DzQLNQs1CzQr4ypyy4mXFXseLlojyATwF&#10;ngZfQ6BJ/gLiE1bQJNDgae0RIB7thp4Kw7BYKnq+J4QI/ODSpUu379w+c+YMZjxlWRalcbPfbTRq&#10;WaPJmt1qN53m/inXLwIJhA4UuEAooZpAyoF8sR7HGkATJaiIdXYo0o6WwnHTQkG6fux4KXcFdaTm&#10;WlEimFYclNYq0yqRKhUyljqWKlU601oqJQlApVyenZktlquacCGxWXG33mg0DpvtdqcfRXGSppkA&#10;QihzHNf1/MD1XO5w82LcYYwBJSj1NehMZHESp0ksRIqzQ0pMo8DKuljtRUol0TejFRwVXRwCeom1&#10;yqNKoijqdLpRFKdpRij1PF8rODxs7u3vb21t7+7uZWlWLBanp6ZnZmamp2c4Zzix0zT9DPORkTjG&#10;kYALfzTUJknieV4YhsPCHdUI40BG/8rh4eHi4uLOzs7ExMSdO3ewnYDnecMHPX70rwX5xB5g9Otv&#10;HiOssLe3hzWjcIHc7/d935+cnMQGOyjWDw8PXdcd1hWMKDT0bB7HsLhHGq7X6wBgvM3D99Y0jsYw&#10;BFSn8opyA3VhpN/4CGeP3E9jSsIdCiFarZaUcn5+/vz581mWLS8vY/rC6TNngrCgNUgpMDHNWF/j&#10;OEKFgxDqel5hkCjg+77rotQGmh+LmlMwt4Kyo2qVQog0Tfr9qNNpY08UrYFzJwzDYrEQhGFYKARh&#10;6Hkey/WD/OrMPk+4zG+GDxDHWYE8q3f+8Z//LzFvljGaJKmh7ld+CQDfEFV9AWitQeY+fUop5H0w&#10;NIDOkwWB5N/qJIT6WJGcP3/+0qVLaZo+f/48TdMPPvjgL/7iL86fPy+kwAKrB/Xay5XlhadPDhaX&#10;krWtyf3mZTd8T4dzGUzGuqiAUJJyklKdMGAK+Kcumo+AukKTqi2VPlPZIoN6IWxPTtHyGKmMO16R&#10;MZdoSoBQwiUNJDigBehYq1jLLkBEIaU6JVpQ0IHvnT17+vq165XxKQk0y/KqA1EUpWmGDlvOmeO4&#10;rus6roO9RE60WUuphMgD6tGglCUxAY3VhtFTh5604Uefz8bcDT4KTP/Jy1ynCVqnMPsazcSdTmdr&#10;c2t/fz9JEt/3Z2Zmpqenx8bGCsUCIbpWO9jc3KzX69jewxDD6FEGkw2/wkvAUg0YWoY1LRzHQXYx&#10;dZCwJ4zjOGhJA4BmswkAly9f/v73v3/27NlCoYDL2Hxif03qwpsDI7VH/AqPHj16+fIl9sLDAoVj&#10;Y2PXrl07d+6c4zho9F9cXES/wpkzZ9AKh+GbRhQaPkCgHMfkxNXV1YWFBSnllStXLly4EAQBboBy&#10;x1StGE5oH6aZowsYfDUUZTfqM0PgiaHPH5XCWq12//79P/3TP+31en/3d3+3t7f3wQcf/PDHPx6f&#10;mET/Ac6jJEmkUrnvh1JKKZoAg8B3HJdzjo3M4KjrzuggyT+nND83rU3KG9ZtdV3HD4LADzzf45xz&#10;lif/E0I+bZ/fMo77FcgnW93/2b/3v02TFB9bHCe+7w9VkR1AwzelwHwB5GOFEOMaRXsiVoXFOzuo&#10;T5h6qjFeYnfu3PnhH/0wiqN/+NU/1Bv127dv//mf//nZM2ezLCOUgIaDeu3FytLi86eN5dV0fXty&#10;//ACD25lfC6B6YwUJRBKsj+QFbTWkqgeh30Ki6BearlJyW7oy7BMq5N+scJdXxEGQBhzBQkEcAIC&#10;INY6AdkDHRHIiEoISE50GHinT525cuVysTqeCNXv5W3BCQFKWRD4g6JDeY4lLq1OHGFYYldIkaVZ&#10;FPWjKOp3O0kcmZRpLFmDpfDxJ0fLlE9hBWRjNMuaWjSMMddzHe4kSYKVD/b39wuFwvkL569cvjI9&#10;Pe0HPqMsTvr7+3sbGxv1er3Vag17m0ePAoDGX/zWNGWLoghP+8yZM8gKGCSKBfJMAWf8FS48MfP5&#10;woULFy5cmJiYMGvMd4oV1tbWPvnkk+Xl5Xq9jt7mer0+OTl569atU6dOIZejKxhZ4dy5c5gNjjs0&#10;t/RoeLzqbY6iaHl5+dmzZ0KIa9euXblypVQqGeGOa/+RyDHTIMGoHWbPuM2Iwer4Y0L/7djY2Pj4&#10;eKvV+t3vfre5uXnx4sX3338/iqLf/va3zWbzzp079+6/VypXMiGiOO73+nEcp2mitXYcNwwDVA6C&#10;IHBdz3HQ6oWnoTH74EQJbs4K30gl+70eDmksYYS599is1BTSwF1jUM9rH3gnsMJ+t/f/+L//P6WS&#10;nHGUtq7rYvbvK9AQiBNlw7cBCboPUjHCGNVSR0kS9XumWgjkzVddSogUQvZ6DqFXr1790Y9+FMXR&#10;z3/+8+2t7es3rv/ohz+anp5WSuGKuNPt7jdqu1ub9ZWV1svlwsbuvKDXIj2bwKwgRQGUkIyTlOiU&#10;AVOf3tthGFpRLTWFHmX7ADtKbSu1xXjH93ulUlYqxr4XUZqCFpQJEiriAkhCUq0TkH3QMegMVEKJ&#10;5pSEgT83N3f+3Pny2IQiZBDYw3zfD8KgEIYDB6nvunl32ROHlxnTRxXbkzSJekkcoSRFn62piHks&#10;L5ce1WEdBgEAEJnA6HIhBJZdwqUQmpXQpDA2Nnb23FmsTkgpzUQWx9HBwd7m5matVkP3wOeyAsoO&#10;bBrT6XS01pjCdurUqampKUppq9VK0xRd2RiEitLQBD6Wy2XM4DW+h+E79ml37+3Fp7HCxx9/jLkC&#10;e3t72KNwamrq5s2bp0+fRlZYWVlZWVkpFArXr19Hh7wJXEbRPyhgata8uTTHloiLi4sPHjxQSn3v&#10;e9+7e/fu2NgYmvUwLA0j6FBdwHgHFPpmnWeoYrgWnmGF48/InAA29O71egsLC3t7e2NjY6dPn06S&#10;ZGNjQ0p55syZU6fPeEGIYZ5aA/YyppQyxsMwCMPQdT1sNkCHypHmegweK+eJI2idJ9jiZkLIVruF&#10;bhvOODq6KpWy67pDu8Ef5m/eRFboJv2/+1c/I+ZuEwKgTzBjaXBfHyso0DFTilECJE3Sdqd9eNho&#10;t1qdbldKxRkLgsDzPdA6juJ+syNScerUqfv37yulfv3rX29ubM7Pz1+5cqVSrTjcCQshAGRCxCLt&#10;NpuHa+sHT57RhZWpRF3pKcMKjBDxJVgBhCY6I7zN+CHQXYBNSmqM7Ptu23N7gRe7bkR1rLRSIVCP&#10;EEVICjoFFYOOtU5BZ5wSz3V8z5scHz81f6o0Nk4dl1KC8fiFQnHQTt011tfPEGroLsD3ec0PIWSW&#10;ZmmCxSew/gTK8ZFqDVqf3MsTQ6illFmaoaeXEOJ6Llbkw/Pxfb9arU5MTIyPj4+Nj2GoCdZzTpKo&#10;VjvY2Ng4ODjAhZVprTV6oIGMyMOooggVJs55sVicmJiYm5urVCpoMXddd35+/vLly6dOnapWq8bP&#10;iTdnpEejWbINqwsjR3+rcSIrbGxsPH78eGlpaX9/f2tra2trq9VqTU9P37x588KFC47jdDqdhYWF&#10;hYWFUqn0wQcfXLlyBVlh0AuTmACz4bI8KNow6vTJkye/+c1vtNY/+clP7t27Nz4+blJScHsU9yZM&#10;znRgxdAD5ABjZTK0MXp5x4C+ayFEo9HodDqoMqKTCTVFPwgZd2jeGC7AKgGcO5xzz3M5x3A1hSNh&#10;4MrKRflQ2dFRVhhUUtIoVer1eq1Wk0JgTUYsZ+Q4fOgKkEXyP95EVhBpd2V5mTEmlQQARlmapd6r&#10;2Td4DTzPkP22kN82grpCDEpRrZTq9nr1Wn1/f795eBgnCQFwPRdb4kkpO61ebb8Z99Opqam7d++G&#10;Yfj06dPllWUsIuS5XqlcKpVKCgcao1nUj/b2Dp69IAurswKuJ2QuJbMCSoIwAEkHrKCBfYGr16Ao&#10;CApKA820EwFrULJJyYbKlrg6CNxooqzGK5nn9pVWmceUS4giJAPItI4BEtCSgnId5rmu73nlcnly&#10;YtIvFJnj+r5XLJVKpVIhDNH6iT03SP7fpwLDGwZrPQoEu7WmYtCvEfsnY9aoKXeMqgPnXL1Saj4H&#10;VrgTQqRJKqUklGBkN9ZqxZnved7k1OTkxGSpVHJdFwhQSgmQftSP46hez1nB6AonBj4aVjANxlHA&#10;YXmDiYkJrJIdxzFWS75y5cq1a9fm5+crlYrv+ygQjV0bf4swh8Cz/c6zAj61nZ2dpaWlp0+frq6u&#10;rq6uYu7I+fPn/+RP/uTKlSu+7x8eHj548OCjjz4Kw/CP//iPr169WigUUI6j9EdWwOFh7hiKUaVU&#10;u93++OOPf/GLXzSbzVu3bt2+fRsDvbAKiKlBgvqfKZc7XELKOD+HVycjj2wY5pmi8RO5BEsMIbVg&#10;t05CCBBKuYOLgzwRIQwxnth1XcY5diygjA4aXsKQzefkExiiKw0AaZbVDg729/cBADPDsSO0MUkN&#10;9T84wR71WnACK6i4nyTJoF8pwKBj8Ks/xOiaLyAXvw4QSrTWUkgAwBYZWmuhpVY6juNarb61tbm7&#10;u4tmBCyHWSgWPc9Lk7RWr29t7rXanfm5+ffff79SqRwcHCwtLz179mxlZQU0nDp9aqw6BgBCSU0A&#10;pEhqtc7qemm3Nq/ojYzPpWQ2g4okDCDTKiMgODAg7EQryqtQoCQRQJSjCNFcadbmfMchz9P+A9Gt&#10;VQJ2+Xx44az03V6qaMIc4WgttU4BMiApgYyAYoz6ros+A9d1HcdzXM/1/VKpWKlUK5Wy7/t0YKjJ&#10;D3wUMv3K+SBw5A0UcCRarUQGWmFHQ4znqdfrWKMCmzdUKhX0EwJg3AVOi7zGJHqt+1E/iRMAcD03&#10;CIJi4aiPDc5tx3Fcz+WcM8oAQIPG9rD9qINr1VqthrHzKL+OnzBqMJgdipEzqIKUy2Us/oH93TAk&#10;cZgVqtUqmomGb4WxQnza58Mfvu0YXl/j7cWaqaurq0+ePHnw4MGTJ09qtRpj7MaNG//0n/7T9957&#10;z/f97e3tn/3sZz//+c+DIPjTP/3T69evV6tVs1rHx2pK4+HOTc0iSmmn0/noo49+9rOfra6uTk5O&#10;zs3NoYOnVCqhWQ9NnfjbkYx6M2ZMFICx/n3GgtootSYuDjkMTVLDbUSBUEIZLj04547jep7runk3&#10;Idd1PA97XuYp9+ZKyaDkASVHJUhxl/nIodgdXSdJure3t7+/xzmfmpqemBjn3EFqwQsfmaGfdlHf&#10;Jo6zAvvL/+v/7SiMkWMYizvyCecO4w51HPatvCjnlHHmOI7rOb7HHZc7LicclO73+oeNZqN+2O/3&#10;ldLFsFitVKvVsWKhyBmL47TT7nS7USZEuVKem5srloqMsSzN9nb31tbXRCampqbGqmPoVvL9wHcd&#10;rhRNkmIqSpqOZ1CUuqjAA0IAFGhFQFGgQOgX4EQFWjKlqWaaMEWpJpLR2KVNInZJ2vE4n5nwpqrC&#10;YalSVICjKWfEdWng8zD0CoWgWCiUioVisVDAEnjcpZQ5nlcsl7BPQBCEjuNg8J4ZuATyCognAs9t&#10;8B7/JKAV/hinN6YO4DIQjaEodj3P81zfdfMULe7k5hdMxCeEcMbDMCyXyuVSGTPCsDgBwrgWEZnI&#10;0jTNRKaUiKIIK+ihRWiYFRDmzziO0cqE5fCMVxAtGKikCyF6vR4muBrPgQmeOY7hA53IE98BjFyv&#10;uZ9ItM1ms9lsYvSX53nT09OMMSw4ury8vP3/Z+9Pmys5svRg0LfYI+6KHciFSdbW6mWkkZlmzEa/&#10;Q/9mrH/YfGm19EqjkZnUra7q6ipWNZPMZCKx3DX28GU+PB6OiwskiWQiF5J46lYSuIg93M/xsz3n&#10;22993x+Px3AfoSwA+b7w47kqAZTCLZfLxWIBDu1vvvnmm2++Wa/X4DBHEQOGAUS2o6d1SU2Qwo41&#10;C4MHHqEosq2cvgObQw7AXhgnSDCN4ziMImQW9SsqPBmjlOXrB5q2lV2nlFa67+iAR3fVZM3uiGUW&#10;Y4xRprVuO+Rnr6qqwuoqjmOQ91GKQoTNd4KDfHzckplq5HXl9QYYQtQbUlHuF8ZYXosr5jZjtDa6&#10;bvPF6uXLb1++fHF5Oeu6TnhiMBiMR+NskKF36+XF5bevvj27PG+69uTk5K//6q93dneMNi9evPjP&#10;//k//4//8T/SLP2P//E/fvbZZ4ILxrmhRtb1+vTVxR++VF/+2Tub7Z+tD1pzosTYMM9QZYykRHLC&#10;76YVFDGVpzUxcUdCRYWma5+/DMk/yvz/ksuXaSB+8Vn0+JHiXl2roKGx8cJAxLEfJ0FopRx8PMyu&#10;0A2jlMVZOt2ZjkbDOI6F8GAKwxuzfQV3hlEdZ9RVe4FPdLFYgI8aje+TJOGcC+7D1NVGK6XapkVb&#10;ZizBGGdBEERhFIYhva3SzxIiUUaozTZRSinVzWaXsBVmsxk4irG9my149ZRSkD9LKZEo5dhvELrY&#10;3d1NkmS9Xl9eXiZJ8qtf/erXv/718fHxZDKBB+nTmX4fEXiYePRlWb548eIf//Ef/+f//J+///3v&#10;X79+zRhD0B4MRZeXl+fn51mWffbZZ0dHR6g3/N7HCBFfVdXLly//9V//VUr59OnT4+PjMAy7rkM6&#10;gwtQw0WJpQaktrMJNs2CTWLBzcqVrfM6O2bL+MBfnfXQKdVJbQMZUqJ/cR9HU8b0Ip5xG4Lyri7S&#10;96xD1RUhE+K6MTNDSFM3yO5br9dVVYdhCF4sz/NwSZxflSZ8UrjNVvh//+32Vm+A+YCpqaCqg3aW&#10;UlZlnS+XZ2dnL168ODs/a+rG9700y9IsheTKi/zi4uL09en5xUVe5p7w0IorTmJYtXChJknyxedf&#10;9FmJhDFulGrzoprP9HzB8joumkSRzLCoVwOGEuP6LH0fDCGSG0Oop6mnCTe04Wztkde6fa6qhUdU&#10;lpAwUtLoRtFOCW08wcPACyM/DD3f457HOReEEkMINYwLLwyjbID+fFkYhjgRJe/qlDRaEWLJO6Eb&#10;kF2KFRwMcMv8XlZFWRR5sVqtUCeMUuGiKJB6BKdQ3dTg4NuCrT4ti7Io8amqap0v4TtCPGMzMfHq&#10;Co0Br05d12haOxqNQNmfZRm0AiwbCCMsTo+PjxFq7nudf0KLsk8BCBrhjUPOQvCh/8R6vUa31CiK&#10;xuPxdDrF48Wo2Fzvb8GJYywylFKDwQB9m+GKTNMUpcJuOb9pCmBR736wlinEse/3Hh7bqHkLrgjO&#10;HXYTm6ZGEIaBH9rMPd+H/8iVZxmDVDd0PuhQzdD1/KxXNBtKonLTRQiQY9o0TVGURVFqbYLAj6Io&#10;jqMwDBjjN+22Twq32ApvKgzZgp2wH/SOjNFGKtN1bb7OT1+8PH31+vT1aZ7nvucPR8PxeJwksRBi&#10;uVw9f/7V1998c3FxUVV1OsiOjo9/+ctfPn3yNBtklNCvv/767/7u7/7rf/2vTdt8/uzz0XhEKaVo&#10;RqCkXK3UxcVwvhxX8tGyPmjIseITw31DCSGKEsUpvVukXRFSCWIISTsSdURosgrYi8j8H1L8vVx8&#10;FVB9fBTs7DPqmY75lEWeF8VBkgRRHAahJzwmPMGFIIQSwznzoijJskE2GgxGgzRJuBBaa2PDa1eO&#10;3R8ALVtK7GhALPfi4mK5XJZl2TQN+EcRP1TKOm2VUrKT0ASWdK+fllsZipsn2iLdwzZStXm+hgwC&#10;sLtzWzut0LYtmpIGQZBlGbjw0BwGu8P9VRTFYrGYTqf/4T/8h3/7b//t3t4elp8/c1vhpqLFv2VZ&#10;gl73/Px8vV7DeQjh7lbrvu9D+zoyOOth33KNEzs8EO9tmubs7Oz09LQoCrj7bFtc34eF50oRMYow&#10;0hCLhvh27Wav5Gg/Nm719TkJ5v5k+yVsjEb8qjRR2ijdm6xao5RfKeV6JuHXtu2atkGvKldojeQ1&#10;z/OC0JYK+Z4nhGCMYwbNZper1Qo9AZM0haJzXSLIO6/k3hNu2gpU6hulCbfig1WxwWGkVCcl2Huq&#10;slwsl1999fzs/Gy9XhlDsjSbTMbZYBCFUdM233zzzW9/+09ff/NNVdVRGD95+uwXv/zlF198sTPd&#10;CYKAcfbixYv//t//+//4//6P09NTJ8UIIYYSj1JftkFZHTTdTmceL5sjSR+bYNprBU2J4mw7SPQG&#10;KEIaTomhaWsiSYQmy4B+E5t/JPnfy8VXPjWHh8Fk1yOhMJ7v8yD2g9APQ+EHnvAY5cTzPM8POBOU&#10;Ct8Lh8PJZLqTZkkYB57nYd3hCmruUSuAVmixWMDXf5Vi1LZdBzJvpcCFYc1hG+526/FNF9DWuVwT&#10;RAL9QCkhpm1rKAOIiU2VsKkVjDFpmqIHJzpMIFqAYAMaNGIyU0pPTk7+/b//97/5zW9Av/MzVwnu&#10;GeLnzQfr8n/wojEGUIjgVo7O3b990NvgFptN05yenr548eL8/DzPc9dTdoNQiMIDiU5qCDnYxATf&#10;RwDA+Zq2HEpvqxXc7eNP2hANBwC8Pxt/xS/SJsi2iJ00TdN2rZRSK6SoWeq6IAjCKIzjOApDuH0J&#10;IXXdXF5ezOfzKIp2d/cGgywIbA+1m1f4SeE2rWDuqhXY3dbLbwUD+4UQ56ExWum2rZtmvVqv12uw&#10;gs6Xi9Pzs3Wed13ref5wMBgOh1GcCM7Lqvzqq69+97vfzheLNMkODg6ePv386dPPTx6dpEnKBWeM&#10;XV5efvnll1999dVquXKLmq7rtNEeo6yp6WqVzBb+xWL6an5Qm6cm2DHcN4QQohlRnFGtIddwrQQs&#10;48jm6bv7GUo0IZJxaljcaV8RZswyIF9H5p9o8d/1+ttIiEePBgcnsZcK4lNuiCC+L3yfC49Tbgg1&#10;XHAufM4EY14QRpPJ3u7OXpol3AMLCzQBrHWbyPEDoSU4yBFJa9t2vV4vl8t8vUZEseskeCzQClxJ&#10;5UoKrigtOUMy37bo3wTUwHWtYIyCOEBrctALI1XDSQFM2q7r4BZwQqptW/Sgd21t0jQdj8eDwWB/&#10;fx/kzxvOX4Jr3rignxGc4NvSClvbYPGMDE5nT2w+t+99gFhDoDPrq1evnj9/fnFxgT5IURQNh8Ms&#10;s50mCaVKyrbt2rapm6Zt2q5rpVSOOsITnud5iBN7nuBCoP84TnRTsG7ejtMKBovLTa3AGGHcCRtb&#10;ymYMxD2y7Fxf6E520BAwGjDytVLSrooMYyh6sDxOnHOtzWq1Kop8MBgeHBwkCbJCbH1Gf3WWn6e/&#10;3DcR1982kfrptbXDxsE2v7RSafvo/dk391JaMca0VowyQuhv/uI3t9iDHxJYpboWfShxRGO8f/3X&#10;f/3mm28Wi8XZ2Vme52BTwIICnkeEp+q6/tOf/vT73//e87y/+qu/+jf/5i+fPHk6HIzCKMRhjTab&#10;0dErGGOU6to2r/L88nL15+ezf/oX73fPD5ftr01wqLjoOmI65VHJjS8N16RjRDGiGKWGCk0DTYWk&#10;WhlFifR4J6gkJJKCa1pzXQRkHZqZp1547fNm9Ydq1QySvb/6ze4vf0HipNEmkIR3RBuNxAttjCaG&#10;c84410ZrQnzfn+7s7O3vDdKhJ7YrSN4dvaGgCCFN065Wq/V6hW66TdMgT0QpRWzvH0ko8T0fmUiC&#10;v7GU+gcDFfU4rJstnWyapsbrk1Iiy+X8/LzrujiOp9Pp3t7es2fP/uIv/uKLL75A5dqmOXirHHnA&#10;vQOWZF3Xl5eXX3/99fPnz8GvB22NPDHOuSHUXFGWWsndtm1VVnmeF0WObt5obhrHCWhdMNmtxGcM&#10;Ig2S3Y2UN4jXHwjYxc6oquu6adqqrsqiQFlP10lCDIh2hOCib5frCS/LssFwkCYJcvBcJzUYrlC5&#10;9jQb4/w60DP++lfGgM7LVQ66lFxssOnCRXjf4WpaUer8aQDnHHwW7pu//uu/5n/7t3eNNr8PYHzg&#10;PlHAgh6KSGM4PT1FSxZEwKAV4J1EyqNb5nDODw4OfvGLXzx58mQynoZhJITggoP5lnMehDbu5JAk&#10;8XAwSNLU8z2idbdeV2cX5PUsqeTU8MxQrjWh2jCqGeGaMEM0+qRRSgllhnJDqabGEM2o5rRjpCWm&#10;UXIt66Wql7pZqhqfQralUkQIP0oo4U1Z1XnZ5FXbtIQS4Xlc2Agz59wTQvg+54wLHoGeKAjhO7pf&#10;bKzIbZCwbVt09bzKFQIRBaGcc5uS4duiVoane38fIayycdXRfQXsVSQDHgbk/KGj4WQyQU+Fg4MD&#10;BDOdobDpPdi++QfcKxABKopiPp/PZjOwlsL1h9CC9bSATAKOPUYpGtBfOe6RB4+ZS111m5SgwaBo&#10;cWNXu4Zgf0reJFvfCdQeHYYKZYwJwVE9irKGvurNCjGba6s0csaxKLkiBeiVF7WJNNf88TfHJ4VX&#10;4jqwDsZ4tvOW4CFYs9hFxVEr7ljOtpwK1ufALHccjuy0wsHBwaeiFfq1u1osFr///e9///vfP3/+&#10;HMw2yJpw2Qiu8aHzhEZRNBqNTk5Onj59uru76wcBMURphfQYLHiVsk2MHaSUXdO2TdvpTrVds1qt&#10;Ts/Vq8uobCdEpIZxYwjRmhFDidCEEYI+PJpSQihD6ixKkzmtPVIzs2DqlSe/9prXpDoz5bwrlm1e&#10;lqVuOk/RRNFEMbGou9N583q+LoqaEc/zhOdRZstkOOdhFIVhyIXHuYijKE2zwA/Q7PsegWnmFi4w&#10;0aB9KaXgiO9kh1azlFDMWU9cFfjc+0x09iLGvZSyqit0LCGEoHhtZ2dnb2/v8ePH+/v74L3Z29sD&#10;beru7i7Sw3s/25Ub5Oase8D9Ar6j2Wx2dnaGYkMhBJqjoXCkbyvbS3asBBhlrK9N8r0gsKFmNEeB&#10;M6eqbMm9Zb8kBIt0vFVKbcjv3l8xro5zzijjnHEugiBI0wQ5TYgZCMHBlmqMUVKC+gWjDk3UCbHD&#10;0I1BYwwxBsv3jXNtX/ytWuGmWeB0g1sfI3djtVotl8vVagWjAXs53eAUgKt7d5QkhJCDg4OP7EGC&#10;WeRKGaWUL168+Pu///vf/va3aDKOdT0cTahjckkROILLIIZzOU1TwT1jqE0dIxuEVtcfs9GGSK21&#10;6kjXlcX6xcvLf/oX/ruvjpby39DokfEjpZnpFCeK6UAabmjHiGREMkoMZYZyTZmhmpCWkYLrwqgL&#10;2r4WcsZaUresU0IqKpVR2jCuhU+iWCdpSemsqRdG5yfT8JdP9vf3ojhB6hHlLAzDNMuCMAAfWJKm&#10;051pEqWM3rOtYIzue4YYrU1VVagxppRqrcqy6n33ykjtCREncRAEILR4f1oBKwNjjFa6qquiKIpi&#10;zRjFqtPVM4dhuFgsTk9P27YFE+rh4eHJyUmWZdABbumEw96cdQ+4X2itQav31VdfLRaLruuiKJpO&#10;p4PBAI4UiCSlDbFV7le+bWNsghOhFElufdeDsmmatu0YY2EYQhjY9NMw9ISHAJsxVklsXdK7wBjX&#10;sJZAxPf8SBxiqncr1XXTNHXdth0aHmKNC56oIAjh2EBired7vCfk49aWtae7cfG3e5AwnjG8IcRd&#10;OAeWCpLLQQSAi0HtkUsIxlzYqtyWUqKoAg/zb/7mbz4VrYDL6Lru+fPnf/d3f/cP//APnPP9/f0k&#10;SdI0BQ/iixcvVquVy5h0aQ8wP3HbnHNP+IQwbbSxuprY5379MVNCOGFayUo2qmt4nvPzxe7r9RdS&#10;/I0YPiV+rA1TneZEUR1IIwjtGOmgFQilhnJDiaGSmIqZFVELWb821Uu/W/oqVHRA+NDwWBK/M9Qw&#10;ygMSRq0fLJQ6L4tzI9e/OEr//V/s7e15vo/ogvA9iDzmCWMMZSxJ0+FwGAYRZ9eazb47sEBwo60s&#10;i9lsXhQFF1wIUVf1YrGoqpIQGggvS9PhcBjFEWfcLcDfHCv74aCUgu4bi4CqrpqmCgIf5crOEeF5&#10;3nw+f/HiRV3X0ArHx8eot9qqe3qwFT4MwID0hz/84Y9//GNRFJ7npWk6mUzSNN1k87Va4XovWK21&#10;MRqiyhgjpQIXcidtk8umrqVUlBJHeZ0kKQoptNYoPLrfV+y0Qv+7+6/9yWjddVIp2UnZtV3btmBu&#10;RMUP2pk4MjGosTAM0yTxfB/h6d7JSfpCgU18l1ZwgHEAB7sjjnSOI7ckQlFIGIZgEXaVIsiPgpN2&#10;K67w8bUCcgpxQU3TfPnll//lv/yX//W//leSJM+ePRsOh5PJZL1e/8M//MOXX365WCxgWCil3A8I&#10;T20YQYzASd/LBWOMvtExghLCNTVEt1RRor2u8ef53kX5Sx38W3/4jASpMoFSmhtldKAMJ1Re1wrE&#10;UE1oS03O1KVpL5ritapyoYjPh8zb5+Ee8WLFgtYQwjT3Gk8sPTFj5qJtTpkqfnUy+Pd/ubu3Z4zu&#10;lAqjKIwj3/cZ58poQqnneXGapEka+KHg3tb1vyMcpxgCznlRgGky8IMoilDtXNcV4zwJwtFwNJ1O&#10;kzShlCJLD/veGM3vBKUVJdQYg+IDUOZRZpIkHo/HqODDIoBSCm4G9BE7ODh4/PgxtILb4MFW+GCA&#10;wFoul//8z//8L//yL03TwLYDFRXm6XdoBWOMI6HDDAbfIiGka7va8r0XdV2BPj0MwzhO4iQONhJY&#10;nSvAeVduW4PfFVtagRICYjvLPUwpBioSXJVSnezaBv6uCuS+bdsaYzO7GONhGIRRlCapLZ8LfC4E&#10;luucuwalOPUbtcJmPZ2LZKDcBN62zZ6GeOzQUkjVA5/mZqEfGO8RbXbT+d/9u3/38bWCg1Iqz/M/&#10;/OEPf//3f/+///f/HgwGv/71r+E1NsZ8++23r169yvMcQQVwtTsiTPezMXCXb3jhcX83h4c2TBlD&#10;jfapMbqanc/++Uv6++ePC/M33uBzEwwMCZXS7JpWsB4kBIsMUYQ1RK+IPNP1RVNc6tr4PI7CEfd3&#10;WTAxPGiN12rCRSe8JSXn3Mw9umJ0EXn1F0fxX/1yMp1IpaRScZoMhkPf9zsp265jggdhEMdJHMfv&#10;TSsQJEgYo/O8uLg4X63WiOK2XbtcLuu6ZpR6jI9H49293SzNXCb4O5YC3JrGqrRCG5/VenV5eVkW&#10;JWMsSaPBIBsMBmDhBluO1no2m4EhkVI6nU4fPXr0+eefox894NZWD1rhfQOiarVa/fa3v/3973/f&#10;NA3aokErOMueMaYNMYQ5n+71aQlHvBNIBkfuOolWS8hQklJRSoPAj+MYTMlwKbtDMcaQbv0u47PH&#10;lXREylPvw7laF2FRpbQGGx9UQtNgwd6B4wtLWORBoBof3E1QaXEc9/XPxN62uUUrKKWQiQdiSniK&#10;wBPuiGahMmEWBEFgjAFFFeKFlnumJxyEDYfNXBIt+M8/Ca2AZ13X9dnZ2Z/+9Kf/9t/+25dffpmm&#10;6S9+8Yvj42MQ6G/28/suGAy1u8RmDZNGEd35ROru/MXXv/8v//3sP///pufrvzTRZ9KbEp4ao6kx&#10;WvnKsF4rKHqVQiAJLYm60M2pruaqqZnZN8ERjwfCHxARScO1IYRUgi0EOxP6K6ZectWNs/CzY//k&#10;iO2MwyiCYTMYDXf39hhjy9Wqbmrh+2EURlE8GAwCL7xNrb0jTN+NhxJCVqvVq1ff5nkO9z3WIEVR&#10;1HXDCNmd7hweHqKomFKqtNpsa/4DgD7QGHvWkaWNI65AP2EQH+3uTuM4QjjDpVtgZXp2drZarYwx&#10;w+Hw5OTkF7/4xXg8vgp7POBDAVphuVz+7ne/+/3vf1/X9Xg8Bu0uvBaORskQSii/C32M1lftd5RS&#10;bdd1bWsp+cpSKxWGYZpmaZqg6g3LQXApYXH4LuPz7jB2GkGMGfApKaXarm3qpqqqsizQUlcbjW0Z&#10;Y1Ecp0mCMEmSJJwLzq3nE1qBaKmVwnoXmRcIIyNXEOnjkPJSSiibKIoGgwF8raPRCMq4LMvZbHZx&#10;cYEeKi7XxmW4OsIPhG+11v/pP/2nj5mD1BsJBsbRarV69erVixcvzs7OyrL0fR+EyUh53iRL+T7E&#10;UXSHLcMojZMkiYMs8QNfynZ9cdFdXAZlN+xMpkxAqA9CLkq4IbTPQTLQCoYSQzQhLdEVUblRLdVG&#10;8DELxzQMqeCGME0UpS1na2rOSPdKd98yeRlQuTPwTvaD0ZAFAeNccBFGUZYN0ixjjDVN3Ukpel4X&#10;BEvu3YOPmYMljzGmaerVatW2XRgG6CaoNcpfO2JMHMVpmvZpJMT09v4PnnVKKZcLwKitKQHvKZoo&#10;gCN9MBjEcYRSRHdGXLD1ODcNISSOY3gab3ZYe8CHAdy/5+fnFxcXIFgEdwWc1xtEJtSm730fTL8a&#10;79OfKWMQ+pwxBr+Nq+UEqx0qIrF775P5/hO9IygyTTfOhlxW1+IJ/RXAr2dtC6WQsAQbqK7twl8p&#10;SyIgpezaBoECtChfrVZgFQNJbdM0cKbFcTwej5GYt7+/v7+/P51OoRjAOQhPESYIMrnxPeIKKFrE&#10;c8Z5CSG/+c1vPqZWcEAT8PPz86+//vrVq1er1QrJzqDTQhrDXReA1vK5y5aGaWMokZwoqss6X11c&#10;dBezoGwHnU46ExEWEENdewFCkKVKKaUGcQWijemMroguqGo4MYIPSJhoTxvTdqpRqmImF3RG1Te6&#10;+UZW39BuHgmzNw6P9sMso4xRRv3Az7JsMBxGsWUt7rrO8/0wivzA9zyPs/vXClorQgmjWFjpqq5X&#10;y5WUMorCvs29aduuaRqjNagmhHcVNsQPd3ojt8FlU7i6hKZtoBJQsRiEAQpifX+bEgdTC1YFEpeT&#10;JAGVGyjzgO1TPuB9Alrh4uLi8vIShOfAZmceSikxd9YKG8EGxq7qGjzPQ8cC+FKcScE5B50w1joY&#10;MtsHfS9AfqxVX7hceGkcMbjTkZwxSpFop527qa7rpm27DmzebdO0Td00TVWVJegGlsslDPc8z6E/&#10;GGNIxx+PxwcHB/v7+/gXLK3I08Pzh0oAgdju7u5kMhkMBk4xIGIPUwMvKAzDZ8+efXytgHXfYrF4&#10;9erV6enpYrFw2V3wlIHk/b1oBUMMIZ2gHVVVW5WLJVnmftnGVZe2KiYsNMQYwyhhlGiDEjZCCKWG&#10;MkPt7sbURpVESU46nzdCXDJ6RttXunlFm3PPnIfkFVfPdf2Nqk+ZLsPAm06S3b0oDJERHcdX9XRd&#10;1xV5UTdtzyzmcy7Ye9AKxmiscYzRUiosSbRWoLf0PB/pYXVdG6WjMErixBO3tCvYPu7dcGVtMKq0&#10;atqmruv5zLbf8X1/OBwOBoMwCJmbbBvaCFphtVqBOw+DfjQaYZS7jR/wYQBzv23b2Wy2Wq2klC47&#10;s6/v7bfsX+G1/W8DbFnX/RLvlFEKqgk0vFRaSbRvI0ZwhJ3tke2y/Q4nekeYa8UH7iJh2bDeXLCs&#10;rkEA2lfbpARcMtB/SmtwtdZ1XdVlWRRoaAGiKoTTwjDEKhkifn9/H8zQk8lkNBq5akHnRIWGwotw&#10;jeecAYFvoCQgY9Hc8OTk5GNqBUxvNACBSlitVlprWDcIPhNCELPCyNssQ3sz9HbF2m3QWjNDNDEN&#10;kY3qijJvlkuyXLN57s3XcdWlhEWEGmPQttgQYmxMi9oFD6WG0s6YyqiCqJaZRtBCm5ls500xr/K1&#10;bEpmakEWujtrq5nsSs5oHMeT6XA8CcNQCB6FkTUUoogyBtK3uqnDMEwHWRCgvfg7tVJ4AwzyKKSU&#10;XWfz6uCNSZIUa4eu65qmlp1EcM910aIoKL3b9L4VjDL0MEHdDfzFi/lCGx3HcTbIsjRDmilllHEb&#10;TnBnRJ7ScrlsmiYIAsyT0WjkUil+8IU94AfAOYGxqnW9PB0B6sa2lNyttmAz3tmLeIYoFMSsEJwS&#10;qpRSSpLesIBARI7ThxoGxqqu/nr71YuzkAh8X7jqwLcunTCKAt/3PJuUr5Rqm6au66oq66qqq9Jx&#10;Prr+5wiyIgl7f39/Z2cHFMKwDHC/N/Nc3ZRxpJab2mU6naZpure3h4LQnZ2d0Wj0gaLNbzqL1nq9&#10;zr/91vJbNE0D40gptVqtzs7OBBcnj07Q+Hdz0fGduFO0mRriaUoYyT3d0G5Vr8qXr82fvuZ/eJH+&#10;+fXxqn3Mw13NqDYeJYJSrQ3iCoQQFCtQwhSla92d6eY1addcX8TsK59+bbq2LHXT+ISlcZxEcSPl&#10;oqgKZUwYxdO9o8+eHj97loxTEXvDwWA8nYzH4zCODCHzxeLli5dFVU13pofHR3EcEUIp4e+htlkT&#10;SrVSTdM0TZvn+WIx11rDLPWDoG3bxXxxcXFerPPhYLC3u5ekCXqPMM4ItYph+7g3YPm4rpI57H9R&#10;dt52bV3XeV6URZHneRiFk/HErmvCoJ9UdgHhjqm1vri4ePHiRVEUaZoeHR09evTo6OgoTVMXkXYb&#10;P+B9A1HKqqqeP3/+5z//Gb2bfN+fTqdodOFElbFxhVsG841XZsO4V1/07iFsjOayy+WqKHIplRAC&#10;Puc4jhjnaEx145j3DwSa+9+gEHCBV215MFUIsT0tsJ+Usq6bsixWqzWKDBBMNsZoJbVsIeWRpITY&#10;6s7ODmxohKnhp3LPdrPGzV2eUwnAzQ3gqgnDcLOx0ofTCo6h112cMUZKvVgs/vVf//ynL/+8XC65&#10;YPCCMcaKonz9+nQ+W7RdU5ZVXVXbB30j7sT5TbXxOmOIKXxSc13RVq8K/2I+uiyOLsvPa/oLET9W&#10;NDA01NoYqglVjGhmNDXUEG4oJVRSWmh1ptrXpF0xcxGxP3n6z6pqy4p1KqQiiaI4jBspF1XVMMoG&#10;Wbq3t/v08f7jR4PhMM2S0Wg0HI2yQRaEodZmvpi9fPGyrOrpzuTo+DhOYqMJOkRt38B9QCmFBlJY&#10;rRNCsmwwGg193++6brFYXlycr9frLEl3d3eTNAV1MJpp90P/e8AoMcSgymGTP7XrZNs2TdOs87xY&#10;523Xcc6SJBkOh2EYer4nuGeMZoygZ9zm2mJTK6CK7eTk5EErfCw4rQC21PPz87IsOedYeMKthyWd&#10;Nj1ZzDZuH0vwrvS/QVhZ6aG1gZW5Xq9hoERRNJlMsixFKcC9l7bdCte+0+E7tIJSsg+PU2O0lLJp&#10;WoQK2rZBiAHqoSlzYzQEPRyqWZah5dR0OnWr5C357oT+1o2/SSvgG621y0RCUtMH9SC5uY0fuq6r&#10;q2a5XL16dXp2fm60SZJ0MBiOR5MkTj3hCeHVdXNxcXl+fn5xeblcrlar9R0+d8J6sWrm63pVzIt8&#10;vl4v6qpq2rpuu7rWVRMbmglvomlEWdRqoylhwsARzzT+1VRLalpiCqJyYhpKCsEvuDpTrewkI8zj&#10;Pucep16nSaW18oU3yuK9cTgd+KMkStNsMEwGgzCOvSDgQiitq7opq0ppg347vgeq1O3XfC+glCil&#10;UayPjGYhBFgquRDGkD5HohaeF4Sh53ue73PhbWSIUKuCv+tDldHWyqbUEKK0VtrUTVOUZVmVeVm0&#10;svM8MZ6M4zQNo9APfOF5hFJtgzr29t2Ip5SWZQmaF3TjQVPrBw/SRwFWeGh67PyBMBc2WRb6l3Jr&#10;Y8PbX9nmG7drSru0sOtLLADgjqeUgLeOMdDZfYjFwdYVOmz9EevUzbTpDVIGD64237fthjhnbKO5&#10;BY7gZDo4KuBfcowXm+d1YtYBf3J0eG5jXM+WdmGMfRxbASnnVVVdnM/Pz8+/ev7V69evBRc7Ozuj&#10;8ShLM8ZY13VItp3NZ2gFs02F/W5gmkSSMsIKj1Rc1wFhSpnFqvnz1/K3X54s678JR3+p/YEyaSM1&#10;4YYLyYxmWjFFeheVJLRQ+lx1r4lcM3MWsD943ZddqerG1zRifuAFgRe0Wq27VoVeerw/eXw8PNpP&#10;p+Od8e7udG80HiVxEgQ+pbRtu8VicXFxXtf1aDw+PDiIohiP695tBUTJuk4WRY7ySIR50R3F8zwp&#10;5WKxeP36bD6fRXE8nUyyzNIQbYro7ePeAPK48TOlREolZae1Wa/Xi8WiaRpKie8HSZIMBllPgi36&#10;HBJKiWZkW4wYY87Pz7/55psHW+ETAcjs8jy/vLx88eLF119/XZYlqMlAkAdhrY1BFdv2/m/QClsA&#10;uZkdeMYopZWSdV3P54vlcsEYGw5Hg8EgCAPBxeb695MFrB/Ux6EZHMwF2VZo8AAWDVe/6YLG8Kmg&#10;jTky7ZGec+usdN/c/NOt+HBawf0AMYfY1NfPX5yevkY/vziJ9/b2JuOJ53lImkS9q1bapbffI6gy&#10;QWcYoaWgFde1T5hS9fnF8//2P7/6//zd8OXFX0fDv1JBKs2oVYQKwzi0gqaqD1xQSUiurVZYMfPa&#10;J//C2z/JSredb1jEvYD7nvCl0bmUNI0mn53sPXua7k+D4WB3vHuwezAYDKIo5Jwrpeu6Wq1W8/m8&#10;aVoEf6IocguE7Rt4N6C2ues6dGPuOul5XpIkaZqgMl5KuVgsT09PZ7PLIAwnk8kgy5IkjaKIgfPj&#10;tvF3E1eEVJQQQ2ApV3WNlkpamySJR6NxkiRxHHEuet58dwLzoBU+fTjCzvV6/fLlyz/+8Y9nZ2dY&#10;ZKDqCNQXhqCQ7ebbudtYclrhylzQTdMsl6vZbKa1SpIkTTO0ZPjxaAXrdALZn5RKa6W7VsrOFayh&#10;RhpLN1gYLtiwt7cHsjjXknbLItk83R0fyAfyIDkJAq0Ago7lcvnq29OLi8uiKBhnCBZhoSq45UMW&#10;XHie5wc+6s5cmu29IAqiMAr9OPLCIIijKAw8QqrFcn12zso6495AUUZJQBjIWzQjhBpCDTWEEcII&#10;0YR2xFSMVIzURC+MPKPd3EhiDKeCg/KFUsWo4tQfpIP93eHebjIahkk8SAeDrJ8ttsOBbWJMiMGi&#10;4P31o9daEUKVUvDMSqlQFBNFljaLUNq2TZ7nZVnCs+T1zRWcx/YuV0WpjRlqY9sflWW1Wq/apiGE&#10;hmE4GGTZIPMD3/P8zQMaQwgxfVz72jEJIQ8epE8KmNcQRrDy4S6HZxzSinNOGUNy0Pb+t3+5DagE&#10;Qiwt42YUFxmcnAvXTvzHsjhw8WpKKWVMCO55nmBMCI4OArgdVD+ASBS+I6UUfLyuus2x44HgaCsf&#10;6e7z4gNpBYe+A5Muy3I+n798+e1yuVRaJUkyHAzTJPUDn1BiNIaZ8zxQPIh7hNGaaE0IUYRIojUl&#10;RGtZ1+Vi2S6WQd1FnU7qLqQiJpwSQgk1tNcK+C8xmpCO0IbTSpBCq7npLki3IIoYIpjgjFNCKOPM&#10;EzwK4+FwuDsd7E6T4SDO0izN0iTtWVwMmFTgm0U7ASiM9yTmMF2VUut1vl7nxugoitI08X1cDzHG&#10;1HWzXq+qqhKeiKLID4IAxF6c3XEa4zhYAbVNW1VVUZRotswFT5MUSOKYbzBrOlAbVHjQCp86NiOZ&#10;LvkbkQaw9FivOudvyEy90yvr1YDNRcK/SmkEaI3RQnDPs0ylPxat4HL0jEHojSB8iYfZk3LbUjjX&#10;VMqVEyFK6ordQMwHlpEtP9Dd58U9+yXuAteGsyhK8IAzypIkiZPYWQmuWxPybyihHK0vrn8YZTe/&#10;tD0AXEUkumfctg36rBlqmCHCEG4oYUIkcbK36+3vVJG/pCTntBFcM+bCp5QQagw3hmpCjGGUooWx&#10;IaRVUipEVolhxDCqGJGMEN/zkzgaJEEce74XhEGcJFEUe55rTUo2khPcu7zSi+7XW7GRp/Ed2N5L&#10;a91rWuXaWbs6oH4fcrU0s8YBxhbOu42tU+BLKbGoKdbrVZ6vq7qilMRRNBwOB4O+K0tv71NKOQeB&#10;F6OM9e117dHwA9YWt17AAz48sCZ17gvkAu3t7Q3B9th1eZ6jOrdpGleNfPMgN7G9kS37utoYLNyg&#10;vnDY3umecO3KruM7tiR2XXSnEXu1EyGu+yQKS7HuQZHBZDJBpQLqitBm5/z8/PXr169evfr222+f&#10;P3/+9ddff/vtt+fn58vlEsaEXQ1fP4f7dRMfzlbYfCJVVV1eXs7ns9ls0bZtFEWT6SRNU094vu+j&#10;uB10Ipt5+levvX/3hhhH2+C2IbeNiq19sbumxjAK0Uc1IYRoo2TXdU0ti6JZrMWq4oZkhnuMCQp3&#10;BqFEU0O4tR6oZKwRLGdkKZsL2VwQueaEGEIZE0JQzglnIo6S8TCbjJLRIBoMkuEgGw2zJAv8gNkm&#10;fwSiWUpZlpWUEpTsbqY5mXjjvuzdIcnhO4ADuF+V1l3bVXVVlVXTtJ4nkiR1bPg4V103WH3AgxQE&#10;QRgGnifAa+ce4xa00TCK+2vWYKfI83y9XjVN43v+cDQaZFkcR77vC3GNKgfFofbgeDnG2sI4HQiE&#10;UdsspQzDEIX+aMDQH+SWC3vAe4V75ljhYrmqtUZiElJFtDGEIumF2a7LUCoMP2hUi24UQd98jyhY&#10;s2tqLJmrqq6qyhjj+Sgefl8epFujmwhybH0JdeVGLMJ4t3YH6u/yauRSSp2tALjEISgJS+TWuxOc&#10;WwnWA6bbfD4HpVjPsCSFEHgLmyrB/evKHZRSH9RWcGlImNKr1VppyTn3Ax8Rzs1H5sKNDteOBRhi&#10;tIFXsa7rpm3A0W+tDfe5bV9DwWJuCCHcEG4IM4QL4cWRPxyQJG4EWxu51qohRDOGwnaCeJn9GGqu&#10;hLHWWiqptDLGgBvDMEo4J4KJwIuSJM6yIIm9wPN8D6lonDMMCBzBGcjwGBZFWVUlzHD0GXXbbD2S&#10;XgRbQbyJjRXAtb/BYmvqRinJOesn0lXi2ub19OjNpdvmxjVQSghFXkpRlEWRF0XRNLUxBEweWZpF&#10;USxsxhEnxDYo3XrRN11HvT9KuoIgmNgYP5txtgd8FLhUmdFoBL429MaA03ixWCwXSzSKkbJTSmtQ&#10;iZqe9Qiv8Hqu5E1sLEqo1gadb7pOUkKF5wnvnltU/WCgiVDXdUrJG1OTbKgC3DZGr81G3RrMrrs1&#10;uhSD6s5V9Y9GIzRcQ1XacrmczWavX7/+9ttv0YPg9PT01atXZ2dnl5eXaLPYN4Gwlrc7EaX0w9kK&#10;AHQ7rvjy8rJtO85FmqbD4TAIAsoo/EXbu70BVrQ1TV3XUkpCieDC7b11nK1xZgjpmNHMME2FIVxR&#10;YqhkpCW6lu1ytZydvu7Ol4LwHS+MKBOq08QQopkx3BCuCdFEE6o4bwRbMzNrqldNeUllIYhlTfQE&#10;E5wGXjhIB7vT4c40GY2CNMmGw8FoFAWRYKJvbm6vSsqubhqlFIpcpJSu6evGuNk0GsymQY1hdnWT&#10;hCCwbAxSP64sKSlVXdd1XaFSIQjCNE3D0AYVcNymacBr7WwFxL4IuRrPG+e50heMMkJse3f4Peu6&#10;YYzFcZRlWZalcRx5noBKwEFMTzy4fUxirhKeep816lrX67UxBsla4/E4juOtzOsHfEi4dwRZ5iKl&#10;GJmWDK5tVG9oMhAGUbJRnmbXIRSE0jfmLGBXuP3PXdfmRVHkuVI6juMsS30/EAIj4ZbdfzDcDd7E&#10;9qbEXiAur65rQghs4jdsvI1b+zZvagsADEuOCM81t3cpYQhHIwscgB8PiQBgt8V14sLQt+YjaIWq&#10;qi4uLl6/fr1cLgmhYRDazqKezxBJwP/uAIw2uEHargX5iUYLJFfucrUSv3ZMTYiihlDCNWWaUE01&#10;JYoZzYjWqlou5t+8NKezhLA9FiaE+koiXkAJYYYwQ4ghmlIlWC3YiupFU5931ZyqQthXx4XgQnhh&#10;mAyG493pYDKJh4M4TZM0TbJB4AeMWA4PN7R6f4kBkXXfH/zakl8pGKfX7ghq4tYxCn1h/9RPqK7r&#10;iqIsilIp5XleFEdJHCOp3O311lrBnsvY91KVqCtEVlUYhoPBYDgcRlGMLh+c8Q3LY6MybgOU2umB&#10;P9kwiFJ1XYMmazgcoj8wekvdvKQHfBi4Jw/JBYHlTE8Yjm3bSaWVVnYRwKwW6PejlFJDjNaabPgM&#10;HTC07M/EDjOkb5ZlxTkfDDIsmSm96sNzX7hpiDvcNuoM6Wk5yrIilPi+z+9cbn2rVti8ADwczFYo&#10;YLiV4jiO4xh1P05C1nWN7AwUpUKwwLOHyjDkvGIZF4bhB9UKGBkIjJyfn9d143tBmoG9JOac4z3e&#10;6qe7CafcmropiqIqKziRkB2PJDaErTe3dzCEdNxoSnxFhKFCM8Oo5EQK2hK1Wi4vX35rzheR4VPi&#10;J8YECkOZMEK4oUi9NpR2nNWCrZhZquZCNwtmKo9RWD1C+GEYZmk2Hg4mk3Q8QvZRlKVhFAomeomH&#10;yyMb6wBMpGu+wtomrnZKK621jb5Qgo1BNXxzIrnBhL8RYpDV1jQ265QxirG05cT7AVqh1wi667qq&#10;KpEq17Qt5zyKYzCjx0kihOhdexvRDmpXA9tawf4Fm1hbAWsLR56I/sAPWuFj4eZIcHAVvGC8UFp3&#10;UnVd28EQllIp1Y/h3k1giFMJtw4wDBYkc9c1GOWqrpNhGAyGwziOOWdukbS5+zviTVrh5nXaKyS2&#10;Hmi1WlNCHaHp1pa34ju0wua5+s7VV6F+PG2XyYo5i+cPTxG805g+i8UCmUvo17ZYLFar1XQ6/XBa&#10;Ab4jtOQ9OztbLBZSKkQ4EUzfFN83n/JN4BkpbQ0luMlkZ1ubGm0gTNy73Hof8CAZSnxFuKFcU8VI&#10;x4kUpNNyvZgvv3nFz1expmNJU60jbQi1ZQrcEGEoIUQx2jFae2zNTa7lguq1oLUvKKOEMuF5SZYO&#10;xqNsPE5Gw2QwSEfDdDSMksTzfU4ZNcSmVBBDeh3GuH21XAhjW9fWTdO2TdN7Y5Xuo0YujQjT5aZU&#10;JYQYY2cdxhAEa900q/WqrmshPLh0Nv05P0wrIPKBcjzsqJSihCZJPByN0iQJgtD3/L6nntnIy6D2&#10;+igUwRWuenD3cwCWL0JqTiuARvhBK3xE3Co0ESAFC7IQAvUK4L/qurZtO6UkdkNRC15fL9K3Bxgm&#10;NtZPWNti8SulZIzGcTLIMt/zMYRu7v6O2Mrhcbh5IusEM6ap68VisVwuKGVRFAZB+C5aYfNEW7rB&#10;Prd+LrnwA0wHMGqgAg7xf0yf9Xo9m81cqxJ0bn/69OkH0gp4fMhRu7i4uLi4ABdbkg7SLIuiiDGO&#10;paJdCdzhdRpCtEFLPGOMMYQwzgglnZRgH+xsayOtjUEbDmJlDoUHSTJN+j5rhNCOEcmNokZ1XXEx&#10;z1+e0dmaaRpJE2sVG8Mo4YR4hjBjOCGGEMloy2kjWEVNK2WldSNoJ5iniG9Y6oWjwWg0maajcTDM&#10;wsEgnYyywSAKQo8JRhi9knjEiUVKKKVMCC48j1FmiGGMMaRpGqMQa+06MGCjkbdLM8CKy2ZKUGtm&#10;bz40iNSmacqqKopCyi6KwjRFxXLfI9AQpxVWq1VdV5yLMAx83w/CwPNEP/zsuzLQPMSmCXZdWxTF&#10;er1umpZzgXqCLM3CMODcplpbFbYh7vuRvf3e+6+wy1UNLbyljDGwASdJcpMv7AEfGLe6ODa6kgnh&#10;+cLjaOkhO9nJzqbedZ3sbA9LLOYowfS4OjYhBusIeHG11k1d53leV5UhJAiCNE2j3uXwhhjVXbF1&#10;I/13BmsqrZErRe20vREtwOzQxjRNu1gs83wtBAdbjKM2cqd4w0Vem7bEPlBmIy6bu+A2oSr7nG7B&#10;BRcCGVlYX+ItBH4ghMc4MigJobSuakpZ0zZd162Wq6quf/XLX30greA07XK5/PbbbxeLRdu2lLHB&#10;aJxmqR8EhDLKKeUMyf6gUfvejzaGcoqmR17ge77HGJdaNW1b1mVelMhKMsQYMHdCelGjLNWhoYRI&#10;ThpBKs90XBuiaNOReS5fL+qLVVk2a2NKRgLdJVp5jIWERtIwYwwxLSeVR2qPKkap1H4lw0Yao7jW&#10;40pPGnbE0uPh7nhnP5xM9XggpqPBdJomSUx5ajhjXPcpmPbF2ndt+3gwxjxPJHGMku8oBGmdATsK&#10;fIXWSyil7KSSyHMA8ZAbxLKv/0NHWVmW1Xqd53nedZ3n+SiXD4IADixKrbBGMsNqtazrSggWhH4Q&#10;+GEYeL5HiDFGEWLzCA3RRiutFaW0qmokoZZlSQhJ0xSNM4Ww1EZuFuFHlyX25mCS5VLuU7Ao8s3Q&#10;k4QxhvaEWI0+aIWPi6vBvC0lDWMsCII4CsMwiKPQ40wrKduma5quqdumbptaKckoQfEnJYQYRSlh&#10;xCDWQIw2RmMSayW7timLfL1aVnUlhD8YDLMs9XzfrqrsNfzwwXBlw/Z+Tq3h7cibpiVYq/VN4m7c&#10;r4ZB3HUyz9dlWYJOxvM8eIkpdXJ/+1n12Eh1vP6xVOTuQ67/Sl3QExtTytAjNBJeECVJnKRxkoZh&#10;7AWB7wfc86VSbSvLum46SRn/5a9//d61wqbWhZHy+vXrPM8ZY77npdkAscde71JCrB/ErhLf/IE7&#10;snfDo7qBsb7sth+Z1BgjldJ9pSWW1V0nlewIUkjR+0W2bVM3RVWs1uV8VS1WzbroirptGlo3o6aZ&#10;GhJzERDmKU20ppQoTjtGJaOaMmWIlqrRei1I7bOAekmYDIejdHfHm475ICGDOBikWZbFQRRQHhCq&#10;GdNX8hGXSxEhABjjjEHl+0EQCMHR7cYSQlrYYIzR6DUk4U9rmqap66Zp2rYDi0bXtVUFYWpTmDnn&#10;CFCFYSTQ9LYf31jOo3KybWshOPKjwzD0fY8Sont7n1Jq+vTCrpNlWSHvkFKKZp9RHHnCg2+sPzhW&#10;Kht3bt/3bTDWlIb/FEoRmRWOrhlUMO8pRf0Bd8T113nLW8B4tX3IbK9NgViRtXelbWGPRcxVw4D+&#10;4IwxSojucw3KsmzbljEeRnGSxGEYci5sW59+sL0jKLUFm8j4aJpmvc6bthFc+L6lfrl5Lsg8SqlU&#10;Ki+Kuqp938+yzPcD+P+vUrFv1wo3hN13fHpDgVgtuHW0qzfCkbCE5D/PE4L7QWAMEUJ4vktl8n/1&#10;q/dsK/S+AvtzVVWvX79+/fo1lGcYRUmKdmMCFsJGg72bT+omKCEQolDaV71Sw/CqjXjXdU3dQBrW&#10;VlBCSnZKdgrr7Katq7rMizzP88WqWK27uibKGCnLquzyfFDXO4RGXhAQyqVCgzZDqWTEMGooI4Zq&#10;qTttlgEpfRZ4QTocDXZ2o50JmwzYMBWjNBpmaZpGnhcwLghVjOnr7Uf65QnBBGCMMc5sqXZ/g77n&#10;h2EIX+FV+bv1C7UIIqHFa9E3+XPtE1ar5XK5qqpKSgVBD85Fz9vM9LddA5VSVVWv16u2bXzfi+Cd&#10;DEPEFbSxCaOEUmuSdLBC1nmea62jKIKJg3ZyODz2cPGPO71lo7GVK3ZBDAn3xTmfTqcHBwdpmsJQ&#10;uNMxH/BhgffiEpMQaYBHxXVqc/VuMASbpoGvxq3ZN/2f6/V6tVo1TYNEhiRNozgOkEGHQfnuIwEi&#10;t58OoDUFT09d1ZgRnPN+nbZ1LptQp6Qsy6ppGt/3kiT1fR+zmfTe03u4zrvBGuZYaXKOGls0DU2S&#10;JEnSJEmSJImi6Nmzz+5fK2y+RcBFadbr9atXr87Pz0FfE0dxHKd+EDDOnIzHLnd5UlbfwHsOWnDK&#10;hOCe7/fhfvTWJMbYEKvWWiqQsEqlpJKdlnDQyw7R3Lquy6opK0pIFISc0HVRNKvVoG52DAuZ8A0V&#10;UjFoBUYVIZpSgtiE1h0xc6FX3AjPT8fjbGfHGw1MlvJh4o+HySCL4igQnk8ZJ1RRZm40pbKrEvub&#10;dSv1ZSaEc+77HlogIDcZa3w8BWShKYXMDrvqgjGLLH/oQkqZK4RJ0yQILAM+ZQypvShx6KQsqzLP&#10;87Zt/MBP0zSMIt9HL3Ur12GKdbJrmrau69VqXeRF27ac8zRNB4Ohy3+4sulxY3eft9YosVrBZVBA&#10;wXuet7e3d3BwYNt53uWAD/iwwIt2yw5XyuDS3gAodRc3wiBGVTAmryODwxIHWZVxHGeDQRSnmAuU&#10;wpy2p92+lLdBv+q25P9YJ+V5sVjM27aN4zhJUyFEf3/XzoV5awxRStV11baN53lIGO2fA87w4bSC&#10;hT0ZpZQyzgXnQRBGURSGqJQOPd87OTq8f60AbN6qe6OLxeL09HQ2mxFCkiRJkjiMEj8IOONIJ+1t&#10;hbd5UgYhBuIeMVakjDEhvCDwgzCwBORRZNt8gsZTadN1qu0Q6Wq7Trad7KRsW9l1vvCGg0Hg+3ld&#10;NEWe1e1IGY8yYUioCaOMU2oI1ZQa692j1BBpzCVXl0QyIdLxJJ5OSZaoJBLDNJ6OkywLg8Djwmec&#10;EaKw7zauHG5XXxmU+Pc2kXUzMcYYB6es7yNhOQyRdZDEcRzH9mUHtqeHj36tWZZlg0GcxFEUBYEv&#10;hLDBq/7REUKUkkhUKIqi69ogDEDVa/Og7aCmjqIDRDer5appWkKo7weDwSBNU0ew2g/+/v+3zaXb&#10;odVmyAWVCtAKXdeFYXhwcIC4gj3BXY75gA8L91IgXjdD0Kh1x2iBkoB97xyhsHQxwECmhNw2sEkP&#10;BoM4SfwgYJxvu2O3fSk/DBT0Lf1QL/I8V0qlaZomlh7m5nIEcQhjtFISd4EKfCEE7OarWBr+82Fw&#10;9XCsvx3pwkJ4ELyw2w4P9t+LVtj0GuGBdl23WCzm8zmyjzzPGw6HSZL6Qej7HqVMa7WRPGrf6tvD&#10;7UXRQdvzvCDoabOD0Pc94XnWs8kY1ZooTbTG0tpobZMMus73/fF0GoZh3tRtUUR1E3XSSO0RGhPu&#10;M877RB/UaVLCmCHSkAuuLmhLPC+eTsPdqUkjlUT+MEvGoyRLPeF5jAlGCSEagaMt2NF8zT9oS76d&#10;oYpc1r43N0gicY9xHMMSRC+OMIRSCH0/CEN0thmgOiQIAjwJStH6vD8XZYQYWxhZ10VRtF0TRWGa&#10;ZmEYCuFxzhFXUEorpa4nPheEEM/34ihOkhTr9/6w10blW0jwvl4Pg0prDQ8DQiNJkqCtue/77gTb&#10;R3jAx8DWuwYgECBJHT1GHMegsYrj2LVnd8tzvG5oBRiIUAkgjOt3ERi3blA5z/7mJf0waG2gGKRU&#10;ZVlVVckYg8sFrtdbT6S10bqv6K4bxmgQBEJ4QvDe1UnsVLdT/r3DPRnrjjAEeeSMUaW00pozrrXa&#10;39+/IZXuCZjDeLXghwL5QdM0jrum74xhH+vNJ/vduDnm4ONjDDKf2zQtwRFm8TzP94MoDOM4TtM0&#10;ywaj4Wg8Gg4Hw2GWDdIsiePQD7AbE8IL/GiQDqeTwe6ONxyUjKyVrIyRnErONKU96y2hhghDPMJ8&#10;JjwQfVFiBNM+N74gfn96LjzOGaHaGG3zP68BSrwHtcsIe38UJ3OGQh+0s6pBCM/zhO97yBQCd1YY&#10;ogjeUmDDmAiCEMEmV7Nmz9UrY/fW7AAihNI+uNFvoJVWyHAty3y9ztfrIs/brjXGeJ7neaKneNq6&#10;wduFxdsCV4U7v2MC+AM+BThXkvsG5gLnPAzD0Wh0eHj49OnTL7744vPPP3/06NHe3t5gMABtBhaX&#10;qPYXQmCt5wQIhi1kcV+9A2wxA9ycdt8PY1OiJSEG7nghRD9+v+eAxph+Sl15Nfo/4Q+b371HWO7W&#10;69giaWaMG/MemLQx4ftKJYK6O0cF3jQNvund4pbyAcIbEZG3lBc2jrJV405pH1/piVeF4EHgR1EU&#10;J8jGTIfD4Xg0mozHO9OdnfEkixPBOSOEC8EE14zSOBzs70yeHPPDnXkgXhO58ljBWUmNpHAfUU4o&#10;J4Zr4xMach4KLxA+830d8C7kMvZIHPAoEFz4lAeMc0q1MZIQc52z+gZwA/b63e3YO7phtG4Nf0II&#10;5ww2RBSFKGbxfZ8x6jJfNx+dU6WYsRgn/ZFwcruFLRrQquu6qixXqxUWcdoYwYXv+6BiYZxvvoX+&#10;tW5f8/eCckZ7IeK0JQItvSuZuuXnzWfygE8K7jXhB9dGGGY9OFH29/c/++yzX/3qV7/85S8/++yz&#10;w8PD8Xi86cCEFnEkiUorUFK6BY2bAjd1wvYF3QGUEmI7aCqMujAM3ZL/1kOCDR6l2ojsXW3VK0b8&#10;duvu74jrk+7aB5PYAb9CNzBK4dwz76+/wtYLMMYgKwbWn4swfbBpfFXewbGuxvJaCN9HRpbn+5wL&#10;kHJrrQwhlLEgCAbDwXA69YZZE3mFoDnRFdEtJa0xtihzA4zQQHhJksRpIuKQhB6LfC+JRBhwzmBV&#10;APqqfO1Tg51droxz68+YjV3XlVW1Wq+Lomi7znLXgNkRr/Y9LOFxPS4aibpZxyJw69U+4EcBiEoo&#10;Bpjyw+FwMpns7u6enJx89tlnT5482d/fB9uV1hoUCfP5HCX0trdP3/TNrR42TF+L713ab6L31IIn&#10;xoa+kUll3VzbezjgL9SyNbkirK2V0Q9ZJn0IvK+pi5/xWkDmgzCR1tp6UzinNnnmQ6BfnVxTl4Yz&#10;xahmVBNiQwpSGqUJIYQSypjwvThN08mIjwdNFpWht2Imp6bmtONUUWIoNda1YygxnJLQ9wdZlg4G&#10;PA5VIGgc+FnsR6HgghlCNWGEEkoN2+RA+nRgX5wxWiqllDTGMEqtP45SQqmSspOyLMrlcrlYLMqy&#10;JMagaNmW2nu+53mMc6QJvuPQ35zIUAkgTsfyAum5nPPNUfeAHx3w7tzchHrIsmwymRwdHX322Wef&#10;ffbZycnJdDpFJ3NkiM5ms/l8nq/zum7a1lIZaI2CzSsjgYBXxjZvuBuuvEMG+W+gEgClqOf5yD7a&#10;3quHdb1SgpJSMHeB9ti5NHq98Sni/rXCJjZJDauqQlABpBx4YG/xnt4NWsOnZgcKBIgmRFOiKdH9&#10;y0MBrWBcMG4zJTwviCMxyuhkqAdJ6dG1VhUlijMFxbBxD5QS3/PSJE2ylAW+EswEnogjPwqFEJxQ&#10;ijT/D6cN3w5OriqtlVQg9LbLf84ZZ45EZblcrpbLqiwRSICTl3MON53v+wIepHtdD7lUEDRXQIKj&#10;cyI9aIUfL+BT2voS5dBZlqEk5ejo6Pj4+Pj4eHd3N8syxljbtsh0mM1mi8V8tV6XZYHgFiHE2ADD&#10;1lHvBFtbbQiurW+H2SilGON9fNv+dXtnQrAv/uC0Qu+0odbv9HZ2ywfF+9UKyBgBJx9SCdHADz2z&#10;trd+nzB9g7CrV2HpT5n9MIaokK21EUJwThnljAnfi4aDbH83no61LwrZVrKVRiOuYDbIOQilnvCQ&#10;GsoDTzPKPOFHYRAGQggKrWAIQevnTw/WYibEaAMd6aYVAm5d15bomLReN01DGUXmU79mZ5wLVEj2&#10;tuA9wNVvOFsB3irE/VzKyvZuD/gRwr3HTetBCIGun8fHx0+fPn369OnR0dF4PBZCNE2zWCwvLy7O&#10;z88vLy6Wy2VVVVJKV+SAKd+nXL/tEuVqUPUWquacI6BF+uS9m6JsU86AvrIXDy6i4ATGzb0/Pu5n&#10;3m5iU+2jTMFllUkpGWOQGiBQvMqI/KCg8PoYShUlmhJDiTZGwlYwxOPCQ70WF5xzzw+i0WhwfBDu&#10;7zShP1ftomsrpZVBkwaiqNHUDj7mCS+OvSThQcB8wQPfC33uW4qefrB8wCTlt4EzpGzdH1IGDOg0&#10;VNd0VVkVeb5erdqmZpxlaTYYDKIosgl33HaUEMJjjF8pmXsCtALsOZfwfj2J4gE/PrjcGGfwQYZs&#10;ZhCAnWU8Hu/t7R0eHp6cnBwdHe3s7KRpKgS3HLqr1XK5WC2X69W6LKuuaxGLJtZ7Qy1L1nZSkrEB&#10;hK0PZmgfmlBKSdlprThnNqUbq6g3DL2Nw0MrIF0DAQ+7DaXOnP60cP9aAXCthpGTiogQ3i5KrhhD&#10;atAHeiJunAGEoEUnvEjEaKK07jrVtFJqbRjj3DOUKUMo457vZ9lgcngoDncWkXhJ5KWSUjFiPK15&#10;TUnFSE00VdpTpPGCdZJ28UBEgyjIQhEGVHDKDaOKE80IIURo4kvCbJbWJwQYVBjTUkklJWfcE5wS&#10;qqWs6zpfr1fLVVmURpk0Tnd3dsfDkeDcaE0J8X3f8zykMpGrhnH3Nu7hkHRhbfStRaXCA37U2JCh&#10;Vsq6DCX8ipAVIkmDwWBvb+/k5OTx48dPnjw5OjwcDoa+EFJ2Rb5ezGez2flyflnm666pjZRGa6It&#10;rR4xINpTRMv+o4hRYN+79rGLR6KUBv+ktVA9r8+HtgrjVs2A7lg9wSrpRRAibZgO9zMp3gfel1Zw&#10;KziwZyPODKkBw59YhrVbHui9A3mVfVPiq1umhjGEfQ1VmnRKt0pJTQgThAtlSKe0JoxxL07T4cE+&#10;P95bTpLTRFx4oqKiI1wR0TLeMtJxQogRhJVhNEuyKslEMsriUSpiz3BGiOZUCaYZI4QKTQPJhL7n&#10;YYFhd+fP7Wd3y5uu66RUnPPADwRjXdPmq9VyvijznBGSxPH+7u7x4eFkNOKEqk5yQqMw9DyfgfLS&#10;uPjeO73izRIHuGixqIRWyLIM8QyXdrK9/wM+ecBni8Sem6y3fSbn1cv1PC/LMqQnPX369OnTJyfH&#10;B7s7kyQKqTFNVS7n89nlxWI+y9fLqsybuuzaRnWdUZIahTCi++BXhBfdB0mC0EnwHUmpCKGOx8mm&#10;1L5Zsjtvp0ubRhok2k26RPBPc8S+L60AOOqSqqoopdAKn9qD0NpIqXpj82pVwnr+Dca47wdxHI+G&#10;o92D/eHhnh5EM64WRHbE+IqFivtEmNBvBwGJfeZxJrhA8Zjvc87ePHg+RdjAu5Rgi0KoDa1fi6Jg&#10;jA2Hw+PjY2QKep6H7UEx0mcbv5Mm2MSmue+CCojdBQHKti2P0/aeD/jJwVU5eJ4XRRGasx4cHDx6&#10;9OjJkyePHz/e399P0xRJSovF4vLy8uLiYjabrVYreLCvr9xhDNwODDwpZdu1bdvZONb1Lptv3hta&#10;QUopsSOiXz8WvEet4FqGgrUG0xi+I7wP69H7SOiLvo1NO2s72UnQpvdawXYVpowyzj3hDdPB4dHx&#10;9MkjsjM4D8yF6RqtPEkjzT3m6Tgox5FKAiY45dzzvSAMPd9HDcSmnHzX9fP7g02wthUJneWI6tD0&#10;db1eSymTJDk4ODg5OdnZ2QnD0LHWEEKCIPA8n7Gr0h4n0LfO8wNwxbeMPDEh4EFyAecH/BzgAg8u&#10;gXU4HB4eHkIxPHr0CBlKnHNkKC2Xy9lstlgs8jx3LYu3Wqptn8NOTzRUkHVVI3nS0TEQ4txLt6sF&#10;VFk3Tdt2HaUMZJ3foYE+NbwvreC8EOA9llIiXrTZjWh7nw8MvHmUZSnZdq1S0hjCOROeTW7BNaIq&#10;kAsxTNK946Ps2XG+m3wZy+e8WRntdyTsBCdenoSv9uMi8w1nhDPuCd/1s9TWuY6BZPrPpwZKCOkj&#10;ulJKKTspZd3Y9j6wEg4ODg4PD6fTqed5dV0XRVHXtVKKUgrbqLcVqG2ddMukexv0lN2ues5Fm12y&#10;0/YuD/gZwAkQLDfTNHWx6OPj48PDw52dHaceVqsV7IbLy0uYvFjHvNHxaAios6WUVV01TU2I8X0/&#10;DELPE0gWuX1HC5uR37UtYxS5+Iz9aAbq/WsFqF88UBgKbdtqrR3LxZXr8F0Fxn0AjcSUkp1USoEJ&#10;hKMImtuAEiUU3ZTjONnZ3xsdHZBROhPqQrdrIztNFKGSsSoU6zSQkU8EpwKdEALh+7fwAX3CwGSw&#10;aX1KKaW00ihKGI/HJycnsBLiOJZSLpfL1WrVdZ1rFev4wqBj7vHOYdKBYBmywEUj37Tie8BPDFu8&#10;Ji7kgCVCmqY7OzuPHj364osvfvnLXz579uzo6GgwGDDG6rqez+fn5+dnZ2ez2Wy5XKKFg7Mbts/U&#10;QymFfumEENAgoJyzv4Lt7QFjiJRd0zZoPwVf8oekcnhH3L9WABwPPh69Y8T71Cwpa9O0LcYHxI0n&#10;PMGddKPGGKMVMcTz/Gg4DPZ39MF4uZdeZt7MozklBSFrj8+S4HQUlKnPwoBHvheGsBWgXlzfPBgo&#10;n6YTqffd24bXAGzn0Wh0cHCAGqIkSTjn6OpcliXYyoIg8ANLTNQf7370grP0USTv0lJvRiYf8LPC&#10;Zp4S1iUINuzt7R0fH2MFc3h4uLe3NxqNoiiilMIdigoqEP2iVa1ji3ODDWWvoJTvOgkJ5pjh7Zr2&#10;+hzeTLF1Dk9KKbgpf0RG7fvSCoQQdMtChAeciH0zHMuH9V3Bmg8I2XVg6AVLlBAiCBAVtxEQQggx&#10;hBHGuKCBz7Ik3t9JTw7Z/rhIgkthzpma+XQd+2Xsq9D3kjBMEj8KmeB2OXNDen2CKgFxZgQJpJJu&#10;/c05h+v26OhoMpnEcSyE0Fo7rU8IQbax7/m2UuEqmPddAb07gVJMNrTcgVaAh9dphXc9xQN+QtiK&#10;RZ+cnHz++efPnj07Pj4ejUa+78PGvbi4uLi4mM/nUAyuzw+GE2LFXYc4ls15g8eyz0m9ZchhoMK+&#10;VkorqaRShNAgCH0/oGjB9mPA/WsFJwjQLqNpGpATICfVhZo/cL3CTbjr1Fq3bSdl1xc223UoLpUx&#10;lDVQSplhzAgu0ni0v7/39El8fLAehC98/dxX34Z0FvA28E0YiDAQYcB9QRgzxFBDUK3nhpItePv0&#10;gO5RXdfBn8YFj+N4Z2fHWQlZliFSArcpylA2fYOw6N1bdtg+053Rr8vsfENSB1YYzi55x1M84MeC&#10;Nw2qrexVLDqRuLyzs3N0dPT48eOTk5P9/f3hcIhUZiklcijm8zl0Q1mWSCQlhBBDZKcqG2c2feLs&#10;lVhwZ3fjs6ciNrbTTttorRm6Q9og5Y9miN6/VnDGflVVq9WqqirHAbLZT8PYvJyPuGhGDpRRSkt1&#10;i7faXSkhhBlCNFGMaE+ESbqzu3f86El2dDgfhv+c6N/F+g++fEm7xlDieSwQ3Bf0OhPD1uriI972&#10;d4BSog0qFTpjTOAH0+n00aNHiCUMBoMwDAkhbduiUSK6YgVBkCRJH2e+Z1BibQWoKxgNyD5yLX8f&#10;8IAtQHDDsZkkyWg02t/fPzk5efbs2bNnzx4/fry3txfHsdY6z/PLy0vEGyCvwL3Ydm2fUs/QTJTz&#10;W6QlToSkI5QBdV1X5HlZlMYYNDaBSmD0u+obPinccp/vDgQGoYrrukalgjMUnLjd3u3DwhhLjqSU&#10;7Nqu6ySu0615jW3DRKghMGokJYoS4XmjbHi4s797eOgdTou9bLGTLAZ+wQnVhHMhgkCEAfeEre9F&#10;Fg0+Vz99RDPpu4CaHbR3juN4d3d3f39/MpkkSQLvn1IKPMbr9RqGICYeco63D/fOwFBxXlrYneg3&#10;57yRmxtf2/kBP2/AhnAV0QcHB2jp8+zZM+SwYhQppfI8n81myGEtiqJuauTXNU3reQJt7jl/0yrE&#10;BRR010l0J2yamnOGrEsuONiat/f7VPFeLhSWPvrqdV0Hjb05hz8JrdDzpEqpkO8INkRbnWsr2Gxg&#10;mBlCCekokcQwQ2Me7Cajg5NHu/+334T/r78i/89f6b98Io72Mz/1PJ+HAQ995glCqSaGGEJJz61q&#10;CDGfbmaqMaRt2rquIeuzLB2Px6PRCJPHkUeWZTmbzVC+4KrJrseZ7w02Q6zXVWh7kqbppnWy5U94&#10;wAOcSsDYwChF7ynURYOE9ejo6ODgYDgcuuyJ2Wx2eXm5WMyRSaGURJQiCILN5CMHJ8qM0W3bVlVV&#10;lGXdNIYQPwiSJAmDgNr1yo9mlN6/VoDgANrWtmyE1Lgt7Prx0OcjSymlQkjc1pvAQ9lvBVFuiAFn&#10;EiGE+IxnQbS7t//kL3/z5P/xbw/+7/9m+qvPhgf7iR8LLjzf8zwPXEBvwkdWiW8A3h365UVR2HeA&#10;jiF/baln26LOuSxLR1xqqzffw8s1SqPyHEAqCLpSw4P0CY2oB3xigMh2eUFIWwI792Y/n8PDw+Fw&#10;6Ps+moNdXl5eXlwuF4uyLKSUIJJ/UzMYlN5bfuimLsuiriqtFAIbURR5ng9P9Y9onL6TVsATx6N3&#10;L8A2gm8a2yDJuFgNd5R5H8VccBfprlxK2XVSyk5JhZgSoqb2Ot2lUqIoVYxSSrmhvmaCCi58L4mz&#10;3enO0eF4Zy8eDL0oMp5Hue30xijXhiJ44viAoFc+6G2/CVcsYJoYbbRC1UbXtUp2jLI4CpM4Dn3f&#10;E5wx5jz7rs7ZxZn7NrbvOuodX+XWE3INe91w6i36H1ME7wEfHjeHhyPMgE9pZ2cHDKyPHj06Ojqa&#10;Tqco16/qqijyuq6U7JTsZNcq2RmtiFZGK6N7Nj2t+okju7atiiJfr2XX+Z6XRlEchr4nLPMRMUbr&#10;T6JC6w54J60A8bopcJGw2DTNer1G8Rqc9YjifnTS417oEEKM1qptu6ZFXbqrqAiDwIcQNIZQOJIY&#10;63wuPR4YHiseKEYIq3zeepwRkTUsK0iYa2NYnQQ0CHzmC+4RwowhhjBNmSZUEaoI1fgYasztHV8/&#10;IAw1ihrFjCZGGdWprpFtrWVLjfY4TaJwkMZRGLi3hrLEoiiWy2VRFMYYrIY204HuC05DUM6UVnVd&#10;IwaILFh4kB6izQ94E+A4crxJLndocwMhRBzHw+Fwf3//6dOnyF6dTqdxHHPGjFZGdrJt6jIv83VT&#10;FrJrtOq07IiW1ChGNDHKSKll2zV1XRVFvirzNSN6mKWj4SAKPE4Np8QTaJeuPpEF4ffiXbXClizA&#10;ArwsS7BnI/vIUWdvvq3NvT4IbDooJVaLObOmbVtj9MbgYZYWr6e8tfFiRhmljFBGKKXUMEoYM4bo&#10;TqmmVZ0ihHLP59YBZR8spZQQazHc/HxEwNdpjSdrOXXItDZGC8GjKEqSxPc9p/XheJ3P58jvhjHu&#10;ynPe/aXatwOb3EFrJSW0AlYYN72RblC98yU84KeGzbHh4L5Hs+g4jieTCahcDg4Odnd3x+PxaDiM&#10;4xgZ9uv1arVarVeroijqukICq2vb2TRNWRZFnndtyznzPM/3PR9uZMYoJRipP6Kh+a5aYQsu+wgJ&#10;KvA7YyZ/UiF4rY1SWkrZ1E3XtjAUkI9sG6tS2vfnwGdbhmNsaa0QPlFSMcrQnJJz0Oo5IvVPF+6+&#10;nJGHEe95XpqmrjoBW9Z1fXFxcXZ2VhQF6pnh34dWsJG9a4f/YdhUCcYQopSGT3Krfu1+zvaAnz3g&#10;CEVRdM/O/fT4+BjMLkoptIk+Pz8/Pz+HoYy617quQc46n8/X67VSKgzDNE1dO/FPK5J6Z7yrpN5s&#10;mdvXBCo8LPTjfBNt+oeFvUB8cMFISQaNIhfCESIi08A2bu0l1PbxNiITTdu2befqt/tsHGKNjd5o&#10;uNnf4KPzIznZu8luC2caJD7KmLFl13VFUSB1T0qJGEwcx85WuPUp/QBYNayN0bapal9CIYUQmHI3&#10;E1Idrh3rAQ+4A5z4CsNwMpmg6g2Fb7u7u2magmIPSRaLxQJxtaIoULWDWl2tNRo/oOeHpbr5eWqF&#10;LUB8gOsCOal9jfjHxKaowDtCvmPXdk3TKKUD34eA610T/SrfvNHZc5VE37Z9bgy4gKyTHXXR1uQw&#10;Wmuz9fmkRBjuBeynzunnqAyd/Ye+uJTSOI5Ro+DqNu9DKrv5YwzBU9Igb0X9GqpV4zh2Piu35z2c&#10;/AE/V2y6In3fR9Xb3t4eer09evQIRdGMMeiGy8tLEO1dXl4ul0sUcmZZNhgMXBsoHNMtVqiVKT8O&#10;DfFO8vqmGoSshP5USkErfGxDAVLdyXeKb7RBWqpNgY+iyPddRcWmuLk9caD3KnZSSm1AoOTBm8gY&#10;g4kAJ0fPQmqb2LiPawDyKcAxIDkvDQoPYSug+TYyuJF65HJD3YLou7kn74z+yRs7p2TbtT3BIsht&#10;XP3a1p4PeMAPgHNFOtoMJFtnWba3t/fkyZNnz5599tlnh4eH4/EY2atVVaGlD8qhu65DcMKZzldV&#10;bX1S7I/L4flOU2tTCrgUVeeLAOH+faUtvjuMQa2ytjmpbYvGe5yzMIqiKORcIKiwsXRwuOZNMsbY&#10;oui+iQellHPm96yKvVHSB1D7x7LO8+VqVZRlJ6U2xvWbtBfYY2tI3Ye0/S641gWgeAzD0I1viHs4&#10;T1erFZz7yAKCJ8c9EPrO9fz9nSKaQJD1VNW1S2aDrRBFkatO+hTG1QN+1NicX25QIQodRdFgMJhO&#10;p7u7u0dHR0+ePHny5AnavaHIHwsp50RC8vRmu7fNs2AtujW1r03763D7fni8k1a4EgeEbGb1QL6A&#10;2Na1ynKqeBMfMB7rwglaSluVjm7SQog4As+Js2k2mdsRFGHEuPZt9mbBENc0rdEa/drQ1LWPhVqX&#10;oltK13U9n80uzs8X83lZlk3torvajQ1CsE7eHB7vZ3z0dwj3EcY37IA0TdM0hesPNsRqtbq4uFit&#10;Vkop3/fhPvJ9f3NS9UbD9nnuDncolPxQStu2K8sSFgzCNkmSuDe1qb1xLw9K4gFvCyeLNgeP+xnq&#10;IUmSvb29zz///Fe/+tUXX3xxfHwM8mDYrFrr9Xo9n89Xq5Wzp92Czw3UjYm86Ze+mZl4u8v6Q+Jd&#10;tQKA23alwq6H4idTz2y0VtpYHd5JWddVWZZSdnjrfQLSdzwNs8Fzaggxfae5VkobnhVCsJ4oYwuu&#10;+J4Q2nUyz4vFYrFYzNE10PUiRnDVLVh6M+NePDM3YAwuzLnCkB2ADG747l3uANxHdV27KPTtWUDv&#10;dpkad0opZyh4JFqruq5wYeDVgHfrwX30gPcKt0CBfEBm0WAwmEwm+/v7rhsomhLCeK3rGnnbs9kM&#10;GsL1BEX1JTFuJeb00DVL5dPBfc4uFL6ipwKl1PM8/8rPfqu0/HDAo8drcPFwRD7CMAwCNBG7ay5N&#10;H2rusNinlPqet8G9vg1KmeML8jxPSrlerebz+Wq1zPN1WVagd9fa0rMbYwhBGYGtHt8+4jvDGXlw&#10;bUE5McbSNB2NRlmWCSFg+RVFgSHeti0yVm+u1jeOu/3F3WHfUW9d9Wcvm6Zx9cwuI2B75wc84F7h&#10;xnYvOiw7N5rUgmXv888/f/z48c7ODnxKdV2jTbRr3rBer2E6YK2Mf1XvQMJ/tk/8CeDeZpfWGtTZ&#10;EB8IKjhaoe2tPzz6BbhSsrWJ+bbVcBRFLrn4DVrBySub2OroH7quRdIOMpTfdKduSPVZCgEhti1U&#10;nhd5niMDuus6uRFpoJRRdpXbeu/AjYDSC+yn6K2NPB9oBVfJ7MoF8Cfn2X/TLf9guH65XdfWdV3V&#10;FdLAEVHAqT+FdcYDfsLYHGOby3n03knTdDqdounIycnJ8fHxwcEBdANyWLGQQru3zTTWqq6atpG2&#10;7eOnaCUA9zal0VABjXwdi5njQvjYc5iCicRZCU3bGqOF8MIwDIJwIz58C4zBGtj0jTWIMUZtxIGR&#10;vB84AqXbwBjD6QaDwWg0hpcGuW6r1Wo+XyxXqzwvmrqWUiqtN93lttb6XoGLdwmpfWdaP4oiLMkZ&#10;Y13Xzefzi4uLPM83y9acaL7fqC+jFMaclF3TtHVdV1WtpBKeh7Q/l5P6gAd8GMCkttHFnvnAtXtL&#10;03QymRwfHyNV6enTpyDa8zwP9T3L5fL8/Pz169enp6fnF+er5bLoncZws79R6HxU8L/927/d/u5t&#10;4MRB27aLxeLs7Gy5XFZ1TQgZjcfDweBaKcf1R2CIW4DfI66LZQpPjI0ENE1TFMV6va7rWmsdhkGa&#10;pnHc9wag1BkVG4ewcIYkIURKhSU2uhZjfR1FEXrZb63undjEETCkoC/doVyDwL6yYTP+DFfPLZfk&#10;QGlP1ktsqGB7i5sw2mgtpcS6BgwWaZru7+87jrA8z1++fHl2dpYXhdY6iuLhcJQNMuGIQaCvrh7X&#10;3Su6b7lCqBiDgE3boEKibZskTvb29nZ2dobDoSulvvUdPeAB7wOb3iS3FoR6QE4NCLrBLrzZrw1W&#10;Lyrzm7btOtU7il0k8cqDdDWgISzdr9+Ld5sL0Hy9S5nu7u68q1ZwT0pKuVgsTk9Pi7JsO+kH0WA4&#10;DOOEcU4hcK1ou/qYq5/vF9qACpQYSomxvxJjVFmW88Vsna+VkpyzKE6ybABpDuHNKIUY3z4kIe7x&#10;gTKoruuyKKuqNMbEcYLqFcY5o+xNThXIaiREuyJqDCFCDNyOILJ2YQbseFNROYWx+VdDjGXqIJti&#10;l94qgokxuudARaeEIAjG4zGErxCibdv5fP7q1avZfC6V9jw/TtLBYBDFMaGUoOsopYTSDe3+dlph&#10;a0AQrYkxRmvZdU1dl0VeFrns2izL0JM9TVMXpnrTO3rAA94dWwPs5mDDBpumgwOaUIHAEXFE25hE&#10;yrZtZdd1bVvXVV1XXdsoKY3WlBhGqc1nob0AMptsy2/+0HfN5Lx/rQC1iYSc2Wz27bff1nWtCU2S&#10;NE1TPwiF8HpqckpsT7NtaXDf0IZo0mc3EvTXMUp23Wq1vJxdok0SXNVZNoiikHOO8ja85q3D9WPC&#10;ylb44uuqQjCAUgbKIN8P0HHp5hEIsQMJf4Vcc+kNvu8zxt2yok/tlUorBKRAxKQ1LAlXw2D6DE6c&#10;0Rjcw92GiNEajns0R9Jaj0ajnZ0dtF0zxhRFcXl5+fr16+U6p0wkSZqmWZwkfhDYVCFQBRJKLGeg&#10;0/3fD0o0uzEatFL4oevaIl/n+bqB0TkaHR8f7+3tPVQqPOBDwo20Tbj524tuKxbcjI7jeDAYDIdD&#10;WA+gwIG3VspOa9W1TV2VVVm0bdO1rdaKGKQaamgISgyYuimB2Ln6IDPxmuj8NLUCGBFAnXZ6elrV&#10;tfCDOI6SJAl8WwnVb/5OV38XGGIMWuNQSinlyMfXuqkbuPnyPDfGRGGYpFmapkg6hifEvfjtg26A&#10;UoLKA5SutF0nuEjTNMtsgv/dA6GUMiH4VXkwY4wxzxNCeDAjENCum6Zu6rqpGxeOtqlJ2lV7XRkP&#10;vfKiWHW8+YFrJeu6KooCdRu+7+/t7e3u7o5GozAMm6ZZLBYXFxeXl5dFWQVBALf+Bmn29z+r7wA6&#10;0W3tjFI1SinIWUHWHccxInuwYNzj/cGnfsAD7hFOK2Duw1xwDPMA6NGgIWA9YMdN3wCK4FAS6yaz&#10;Wz66090y7D9ZrdA0TVVVFxcXr1+/7rouipMoiqPey/YhtQIYKqwuZYz0fuqyKBAJd+mVg2yQJKnv&#10;B0LwnvjaCbrbrxN/AqUHkpFR1ZVl2YZz465aARfbOyiF7/txHGHoeJ5HCFVSNU1T1VVRFEVR1LX1&#10;LCll09uIwRvQiFxRW4FtI9W4XIzZmxekVVdXFdKfuq6L4/jw8BB8L5zz9XqN7Lr1et12MoqT0WiE&#10;7CPOrwInd7/TLbxJKzjGlMViUde153nj8RjFpVmWbQXzf/DZH/CAe8SV1NjAVlB6OByORqPRaITV&#10;FWpdHeUB6FdR2QC4I2/lRt4y5t+DVrjV1/EWwER12Y1KKUqp7/k9ZaATsjeFwIeAq0AuimKd503b&#10;IvkyjuM4sb1YcWHu1d7mgydQCdhAKdV2tlKBUer73g3ldzdQ4spYGGMo3E2SJI4TpPqEYeD7nuAC&#10;poQxWsquaeo8z9er1Xq9zvP1ar1eLBawgdq2QY8ErDQosTbErUROiL0jHQLJRShpRnPzsiyXy+V6&#10;vdZagwjdEeERYhXP+wDiHOAPgKEwmUxgvrjHe6dY+gMe8EHg5AbgBieELGLRoM3Y29s7PDxECwe0&#10;jN7f39/d3Z1MJlEUYW2d5znq4DCjHZEGjvbWEuaH4p1sBVxl13Xr9RqNsOfzOaM0GQyjKAzD0LfF&#10;Ch/oZgiBVDd2DW2MVqrt2qqq8/U6LwqtVBSFWZb2viOfEgZFYHOQrBLbvmCoBNxv27b5er3OcydP&#10;baiZMQNRf7eXRylllNlRRCklNqOHMYYunzA+ocPC0BZVQC1JqSDTi6LI1+uyLJENDOXEGEelgxud&#10;Ny+prqrFfL5arTa9NFmWcc7LsoQzcLVaEULCKM6yLE0T3/cY44yBCG97PrwVbrUVwDu2Xq8xHxhj&#10;oDWeTCZQV+50OPUPPvsDHnDv2AwwuC9tFLF3LCPNBLSsWZYNh8PBYICxjXpSuJLghABPBAzo73Kc&#10;fmq2Ata5WIyjqlkpxRjzhBCex/sgMzbDqnVzLX71/XXcXK9vb4HIjNmIuhpzc0eXj980dd00rtws&#10;juIg8Dm3jqOrt7m5Mw7Qn9lJMPyqtFZKGUI4F0II5ohzLfmz0lptXthNEGIv3+a39XYiY0wI7nse&#10;WqENBoPRaITRk2VZksRhGAa+Dw+7pejrWUacsO6v/8YNEbLB4FTDaGWMYYC6wn0k7+Z53jQNYwwn&#10;7V2c9K6Zr9+Jjedw7WdUvYCfCoE7RO1833ezws2x7YM+4AEfD24YO/qjrcwIuIPAuT0ej/f29o6O&#10;jtAy+uTkZH9/H+l/QRBQSkEz4+rgkNgCB7I7kcV1oXoveCet4KQMtAKKAChl0Iee57mZq7XuGyaT&#10;N9wD1vhXgvjajd/2JbB9mI2lvtK67dqqqlCaa4wRnojCqC9mFoxRztmmoxzAkV1JOtjrcBdK4aOQ&#10;MCM8IYSwfKp9elLTgOZTIXWo333rY09EKRJiwStnXW29W5J7wvM9DwErBPCzLBsMhsPRcDqdTKfT&#10;yWS6s7Ozs7MDvz8eO4LV/d1cCVMoOilVWZZVVYOeGoV1g8EgCAL0I4RLqq5rYwy8ohut9KgxBsrB&#10;Pa4fAm2M3n53LgvLMTJlWbZFh+fm2AMe8Elhc3zeOkTdrAZTNxyz0BD7+/tPnjz5/PPPnz17dnJy&#10;srOzEwQBuIodf8bl5SW4yFzUwRjHzHbPeFet4DzUzhfMGOPMptZQSm3RwIb4NsRJUUIpoVcKdfNx&#10;bstQ69anvY/G+nSufqUUfTdV10lEv8uiyNf5amWXvVpv9JPxEAlwXdFwWiz4yZXmv26N9PR/nbLF&#10;BBQvmFKKNjGd7JqmRoumtuusSnkDkRGl5Hp2wTVjc+MbzrnwfQ9sE2DpGo/Gk8lkOp3u7Owgd2g8&#10;HoPolHPBmLVd+qRVCjmMpTla6MCwQ6eE4XCIRYpSCk1F0G4Q9KhhGG2QWRm7OrkPuLe9WWWNtQWy&#10;ntI0dYTe2zs/4AGfDDaTzrfQz8RrpgMADREEwWg0Ojg4AFP348ePj46OptOp488AYzGagzq7AR5j&#10;xjhmxjU5tbHu/GG4H60AtwPo1TzP44JTtLDHRUKmXy3CTd980UrNfiu7TqbULZ/txzpDKAK0V7Fr&#10;ezRj83CktDWxq/VqNp9dXF6i9XxdN13XaaUppcLzrM/ndgPE3pQLJOClQiXAO2SLkAmhjHoC5NmC&#10;EKKUBqMGoixlWSqpXIzj2iN7S+BikKqEMpkgCDzP93w/DMMwjPo+sW+gjUNMu894k7JDb0GQAyZJ&#10;MhwO0zRF5RroveDWRyqq5yNxgMN3pLVxxtMPB7VXhd+QgwuPKtYW4BLAxHhQCQ/4CQNlrah9G41G&#10;u7u7x8fHaPXz6NGj3d3dOI7R+Qr0M+gBt16vm6aRSvZuliuP+q3ZJW+F24TI2wCrPKzNjTFBEIRR&#10;uMlqaZVCP7GdW6aHUmozQkCMIT2n4AaMdm6k/iulFRw5ajNKU1d1kRer1WqxWC6Xy6IsEepA0TE8&#10;RUpb/dG+4YMisj7Ug3TJ/jq0klJpbSghgnPP8yGOYQ9ppdu2K4tivc6LPEdS1juqBDzDzWP0a3Vw&#10;84IoArzTtxgl/SKF9R4w1bYdEsYopQhdIN7l6pxd/i6UjWNEJwRlzPeBXt0CLiEK+dqc8yzL4BO7&#10;Xc894AE/IVgr3hj0gINi+Oyzz7744otnz54dHx/DlO+6bjNJqSiKuqratpNdd33q0xti4O3wTjlI&#10;LpXw5cuXs9kMWiFJ0yhOfD/gnBukmlCK5JxeSUAJYAF+7fKtNbT5VQ9KQHBnoEg2lUFVVWWJnP6i&#10;quq2rdu2VVISaj086IzhkvqVklVZlWVZ5P1uVyirqqrrqm7qpm26tus6lAhAN6iu66qqrqpKKhn4&#10;wWAwQMNISil6q2EDNF2A0dOTBt0i3e6yCr6ynfrn4/4Ai7RXG6Y3y7aPid1171vLi2K1XGnVxXEM&#10;B9R4PGaMFUUBJqvFYgGFgUwtPwgZF5t5WfTq5NvnuiMotS5RPBbYWEg96rouiqKDg4P9/X2X2f2D&#10;T/SAB3ziuOp53iezwv3uKuCQfOhq31yxm9YagkkpgypYzMi3zQ+8mYP0TlrBGFOWZVEU33777Xw+&#10;R9J9HEVhFIP+AfEQ51lDrBKqEWtwKTtHN66dl2P7PNaB0zMFoZVvAzd0VVV5gUzRvCzLpm0MMULw&#10;KAzTNI2jyBOCGOPCmF3X1XVT5DmUQH5dMZRlAZ97Xdct+KzsO1CuFtH2ZpAKZOtxHAkhnPQ22nRd&#10;J6V9bYYYwfmb6MTv8uaMMdsKAU+IUrjprA1liCG3JKHax2mIUrKu66Is8zzP87UnOLJRd3Z2oiiS&#10;UsJ3dHl5WZal7/tQeFEUCbGREuru077S77/+W8GI1f44AtocIphGCEnT9ODgYHd3F3Hmh4yjB/y0&#10;4ZZ0m/XM0ASIgyKgiEw8kOJYp2vbSqXBgY/6MKybXWTxLngnreAu3f0Ai2a5XL5+/Xq9XrvWKHGc&#10;COFh3l+/NPubW3eXZQnHT4+maZqmrq99B0rlqq6r2i7kq8pRyEkllVKgHuScCy6CIIjjJMsGWTYI&#10;w5BSjii0VpoQG+GhlBFjH/2t0SHIXoQrnF1S101V13UF3zc4RAdXGTJX+5re6aRASnElVSmlDM4c&#10;LA36B4MI/O1hIoj17e8pY8QywhJnjTFKGEU1gP3gYsAiXqK4ocjbtkmieG9vD8XMQRCgNB0RLSkl&#10;Sm8QV6BcXH+NsFx+uEoghBit+nFksPyBpSKl9DxvOByCuhVctu94rgc84BMHRriTPw4QUEj6gFbA&#10;+hKbofl810mlJDGmT2Q0RmshBH4kRlsHtJMu23k8xBjDkFtIKSV0d2fnLXLPsWBHG2votDzP4XP4&#10;8ssvLy8voyja2dmJ42QwGnMh3JE3ZSIEog0DNPViPncsDoS4nJltmD5rCfKBMmswWaJ/zgXnEPd4&#10;ZJ7nBUEohFBKVnVdFsV6va6qihASRVEUx0gnBWXp5okQOeiNF6sSHJsp/EiEGKU1JXQ0Gu3v76Ft&#10;GYS3Vlel1GVZIK7AOY/jJE2TMAyDMMSpwZUNZ719LH3B8E0J6Oyt/olaTdNr56t4MmeUX2/GgO+N&#10;MVVVz+fz+XxeVZUhZjqZPH369OTkZDAYUEovLi7+/Oc/v3z5sigKSmmWZegi4nke4WIz/kTplXb/&#10;wTCyw+WDF7aqqvPz89PTU0LIYDA4PDx8+vTp0dERcreB7UM84AE/A7iFuEvqQeI4ogt5nhdFyTiL&#10;o2gwGGTZIIxCwXmSpBR5OVZEQEzwmzOXUqqNZpQprRhjlNDf/ObXb2ErICq4yUWDfBt4Hpqm6Rtm&#10;xV4QuOXk5nzuBZmWspOya7uuKsuus02Du07CgJCyQ2WWQ/+lMkZTSqlNfuW+7/u+H/g+KCySJAGP&#10;kO/7nuejXNl5sURPZzgajuAecfQSDlGEfJ7A9wPhCdgRhJCuk03Tdl3rwqGgLUqSvjdDH/lwWbl4&#10;XLgxpSTCQTZ3ymqCq3+h2O1fb0hA7IJ/NqusbUYsVgGEUEoYJTBY3AeXobVu2ybP8zzPjdFxFCGi&#10;MBqNOOdN01xeXqKYGRQXCCpYocyQwuve5vbl/RBojRtxxEdIuQuCYGdnBzQAoF1yd7p9hAc84GcA&#10;N+/Q8xi8e+h8hS+bplZ933VjNCxwy5LQp8NCr0A2bAqHfrlpGKXGGEYpfVsPktMKTr4XRYHl52Kx&#10;UErB7ZCkCeN2Mjs4s8GuXo0xxlDKfN+LoigMoySJkzTBJ0tT8M05ZFmaZai1yvCnJEnjOIZMBxOh&#10;7wee5yFUI4RgzMZHGaWcC6gQbBmGARe2EcLmQ6eUUkZd/wPh2WKT/sicUoooiOA8DAOYHb7vM0qN&#10;IZRRYgwhBl2aGWO09+Aga1ZKqZTUxlCCxKHNRTe9yoW9/to2XEp9TLkHNIFbC/SeHbe9heVerWt0&#10;kRVCTCaTg4OD6XQax7FSCh2jLi4u8FfUylk2WQqi7BsHfTdQo2EgYwW0Xq9xbVmWgTQ7yzLnPnrQ&#10;Cg94AMQvwtGul4MjKOtLqezC2vl1rvdXv3KPO1BKEY+88iDtvqUHCcw/sPq11ufn51999dXp6enF&#10;xQUI+vf29kbjsXEVBhv7GmNIT/XjMlKNNuiS5jwhhBB4h7Z2dwfcvC/GLFEE7bVeL0H63mT4yhD4&#10;heD46gu7zE1pYwzRRiPjk6DySxtjtFIarbr7YKyXZYPhcDAcjeIoZowaQ3qCIByWaq3qui7LqqrK&#10;qqrQApMyFgZBHCdRFDoXIciFrmTftkKFKeAUgbH2ASGcM84FtsJz44zQDTWCrRGTX6/Xs9msKIos&#10;y54+fXp8fDwej33fL4ri1atXL1++PD8/b5omiqLxeAwCDOsZo5zce+9o3eGNgbJ7NputVquqqg4O&#10;Dv7iL/7i8PAQmV2banv7CA94wM8JEPT9WtA2L0BT5MvLy7Ozs/l83jQNNAeyB9H5B3WghBD6njxI&#10;yP3HFNVar1arV69egR0BIZE4juMoNjfO7YCqNMvnwDkKd53q8zzP83y74t8Alt6ccyEQPuD4Hutx&#10;2kd6N2RHb5ts+D4ggLEmR9vLm6LG1sj1WV7Wid4nhnZdW5RlUzdCeNZbFQSe5xNC+j6aOIi9IkKs&#10;5XFFh2v71NvuOshx6nU8cC2eAcDOQC+npkfXdYQYIThj3N5vX+O3BXAxoi+pMWYwGBwfH0+n0yiK&#10;tNbL5fL09PTy8rKqKpQ6w70GlUDfk61ACKFEK4XSTfT65pyPx+PDw8PRaOSoAPu3d88X8IAH/Oiw&#10;KWEgWOBCRxQacgYSwwVroUigSxjbduHgUDdthXdaA6J+rWka5P/AWvk+PgS7/IZx0C+We03Thx+d&#10;LLgpFLZ+tV4W28joSpfCfEBtF77vQ9nUlufe4OGBrYAUT2dB2YANskz7rWDH3ZZHj1+tXgcZX5qm&#10;g8FwOBoNh8M4ThjjVVXO57PLy8vZbDafL5bLVZ6vXbXErSirqiyQQ7RerZbL5WKdr+u6UUpTuuHr&#10;v+WebPF5VVUw9eCahIMIXCur1Wq9Xndd57Kk4bW8ux35tqCUEmMQd0E6GRiZoihCgcJ1y/cBD/i5&#10;Y1MlOMXAOU+SZDqdnpycwAHg3MJVVa1Wq/l8buvd6vp26XAb3k4r2AWvsXIS+TZt21JKkVcLQUMI&#10;5ONmSMMu1ftvgE2JT0kfSd3ad3N3LP03v6d00x5wv94IGPQ79j9fO87G59py2/XsdG47rVTv2hNC&#10;CEIpcocgQ/s8ov6aOROe8H0/iqI0SdM0S9M0SZOeno+hsxtKKCC4y7IsUTWx8SnKsiyKqipB3QHn&#10;GyWEEAPKVHjDkNoEUe4MDpgkyO9FzTCI8NDrDU3l0HgHXBooZsYR3Crj3kEJdQUooIEUQtiiOcur&#10;iMSEKwvsAQ94wOYy2nHtRVEE7z06N5ycnKCdrdYaZJcg/lmuVmAj3ppTkIkbv76lVsDOLnGzzx3q&#10;GGNQCb7vk96xfh1XPHSb2DiwvcnbFuAErhj3OG6i/6Ol64HccX/sdQBxOvY7DtXDbux+UQrJqdAK&#10;XAhPCIF6a5zQ2Pzfq+MzipA35Zz5vh+GQZomaI+8t7c/ne4MBgO47yGgi6JY5+v1erX5yfN1kedl&#10;WYHgjzHm+34UhmEUCeHBGOpfjb0CyNPNTk8IQIGHazQaRVFECHFWAtgvwN3tUqrero1gOwAA//RJ&#10;REFUkz4ADLGrCqcVfN+HG/RmC6PbxsMDHvCzwzX5RClEGVZOoJ2H0fDs2bNnz57t7++naUopLcsS&#10;aayXFz17kpSqj7M6UUlMzznxtlrBhTthJSAfnxCCsPgbBPqPHsaAjVVLqaBpXW3EXe4XC25KCbw3&#10;aZIMh8PxeIx2fWmaRlEYBDAdKKNWNW4CpgmsMXSBjbCP73HBGb/m93cqAa/JhS+01lhWQPSjLn02&#10;my0WC/iOXLPZW0tG7hcwFOA+Ah0eSFLRSsGNtLs83gc84AEQwjAadnd3YTHs7++PRqMgCKSUK/id&#10;F4vFYpHnedd20AoQFDiC/dm8vVaAad+2LbrASymhqeB5oH2E9qcFt7DtlNKMMeSGOc44t92bbh2N&#10;GRCZwO5B4IdhEIZRnMRoejOZTKY70+nOdLqzc+1jGyjsTCaT4XA4GGRJkvZ1Fb4n0L/zmvzE28U1&#10;wwRBcoLrNo7EpOVyeXFx4SqKgyCAVkCYF3hPL9SV+6GXCCyV0WiEhNTtrR/wgAe8AW5t6owGR839&#10;6NGj4+Pj/f39wWDAGMuLfL6YYyEIpzEIQK3RcOVEf0ut4HJS0SoIhyaEIA7uao5+YjAGVKmdlIoQ&#10;wjhHUIEL9HPrb5leD0pswD0VRLPdKxRC+J4fhhG6Jri2a9cwHKD/QTYYpFkWJ4ntfmo7ssE+u3ZW&#10;pxVcG2Qob3xTFAWy2c7PzxeLBRquIaKw+RLhA7MX/R4AjYVuCq69LXKffpKj6AEPuHdsxGs3POaM&#10;+b4P2pijoyMUAA0GA9/zlVR5ni+Wtr8byCiRqrRRLvWWWgGArVAUxaat8JP2IFnWJq0VZVQgN5Yj&#10;cLARsUC0/Da1QCnFtv0eV9HyPgTB0afT97ybH5uYi4pue/ar1jooX0A0Z8uVhOI19+6Lojg9Pf3q&#10;q6/+8Ic//OlPf3r16lWe55RS5ztyVoIbYbeyc98LoBWc8wr1OL7vu7WPWwG9pwt4wAN+7LDZkVo7&#10;feDCpYg0jEYj6IbDw8Pj4+PRaEQpRZUDqo/rum7axvaMsX0D7qwVMDnd/NyMK7hyu6s2itt7/8iw&#10;ebP4oW+2Y2sL+z5uuFncLvzgt7tbrgT3Zshos7FQjysmq6sPnrk1CJBTa4xL8LUgxEAnoZoafSyQ&#10;g4R3RCmt6+bi4uKbb77585///Pz58/Pz87ppsE63RHiUOosSjHv3IpA3r9NeLSXu2hBu2UpI7Z/G&#10;fZz+AQ/4GcDxx7j5jvXWeDxGCPrJ0yf7+/txEhtjqqpar1fL5bKqyrqqm7axhVNKam3uqhUAzjlm&#10;ddu2CGcjyoH5jAzO7X1+nNiURyBAbZqmbRtGmef5WKdvWAbOh7PtzAGcmHN/dd9YWHr0W8PX1qro&#10;/9Sf+AYIpYQyQ5ihTBPSdLJuuk4ZQ5kfxmk2jJOMe4EypGraomrqVkptGBd+FPtBZCjXhBLGCeOG&#10;ck0ZoYwyfruieztckTRqrbW2cWbXOBpUu5ZggxBnKNj7esADHvAGbM6Ra+KAUsQRQfh/cHCwt7dz&#10;eHRwdHQwmYw9n7ddU5T5xcX5cjlfrRZ5vlqvl6vVglB9V63gzoS4Aspl67pGpYLLWrHJsD/aibwp&#10;uLFU7xP/JYwszpnne2yDaXXzNVwdaAP9H61FcKUYeo9Tr102DnQDNw5lPw5Wo1BGKNOGSqWrui3r&#10;RmnNhRfF8WA0Gk0mw/E4zYZRnPpB4PmB5/nCD4MgFL5PKCOUUyYoE4QyQhihnHKBPm7vgisTgRBj&#10;UN3ddV3Xtq0xJgzDzYjC5s06c3j7iA94wANuCB+XHolvXKcAVKcOh4O9vZ2Tk+OTk6OdnWkYBsao&#10;5WoxX8zm89liOT+/OLu4ONdavfWE32y8DqcwbH/81Vr9PwW7n+JmZV9phRweIQTSfrY3/1RgPY1N&#10;09Z13baNUgoexjRNh8PBeDyeTMaTyXg0GiO4naZpzzJ7tVS/X7gYOyFEa9P1XTEQlALHBppxvqcL&#10;eMADHhAEQZZl0+n0+Pj48ePHyE1C3mpZluiUs16vf2C02dWvgUEBBAn4049/VlsnPmCMUVI1DZof&#10;aUpZ36j5U4yruwW51qptG0fJB80dhCG6NI/H48l0ure3u7e3t7OzOxgMwjBE/Pw93VR/XZQQqo2W&#10;Xdc2Tdt1ULRJkgyHwyRJNjNiH/CAB9wjYDoIIbIs29vbe/To0aNHj46OjkCRuZmsyH5AvRIMBRdn&#10;RnqsY1JDrd2P11SAk8N57W0hWNe2bdvXFdvKjC1W108Eum8b1HVdXVegnLME41wI4QV+EEVRmqaj&#10;8Xg6nY7H4zTdZCfdPuB9wIYTCCGEEqN127ZFUbZNA/cj7Bi0tNve9QEPeMD9AZGGKIqGw+He3t7x&#10;8fHh4eHOzg7yD1GxRO/uMsZyz9Wj1nUNreKyj9wCe3vPHyeubAWlZCe7Tiql0f0NQvbTvFOb7KTN&#10;Jr8Qkj7RH8JS+3HuCXSP8NB0+r0loBKna1FZb4zpOolkWdeZ9idc7PKAB3wKwPR2sTrQju3v7z9+&#10;/PjZs2cnJycHBwdPnjw5PDx8C63gIgogcQNTKyHEMbhim5/GxDaGGJu7axnclFKUEsvibWmxP9E7&#10;7VnnlFKaEOJ5fhRFQb8StyH0Td7aK3y3WrCZ0ZuF8r1r6Lt2dMOREAJeW6VkXddSKSRIbAWZH/CJ&#10;YPMVb2F703fD9tE3sL3pA94B7nniB4QZ0IDr+PgYwYajo6O3jiuAeLmua2TFoqoZtoJLF2Fvo2k+&#10;VVxJQFRmaK3QldP3fX4faTnvCcZY35ErUwiCIIpiTwhIZid8eyfZVbnEm/UcSiBsFUSfS+CSTb8H&#10;xoBlXRBDlFJK6a6TXdtSQlAn4fs+rupBMXz6cGVTN7Et0W/D9j5av1dq3gds4mrub1CRBkEAWr2D&#10;g4OdnZ2jo6O3iyvgpbqggjFms6WMO9SPetXnhCMKypTSSKBUSrlsK4aq5k/yLvGCUK9IiPE8L4rC&#10;60XLxPQpQVdprVcJoLfcFKbupodws9cE5L4zrW6b3gancNTZSik0fkKEA1rh03yeD7iJhzf1YwSm&#10;mFt+uZ/BdjMcDnd2dsbj8WAw4Hwj7/57AZXetm1VVV3XITfWdRm7sgTvsH78xNE/MiMliq1aRy0H&#10;CQrFsL3bJwCtwXLRdF1H+qYXvg9jjm5a69t73gGUUs7YRvIxtIg9IFh4vwNa604ida0zhniehwbR&#10;YRhCZ3zP/g/4sHBDZQtOpmxhe//bsL0Ppdhx+xzGPAyGDwOIcVAxu3ZbbyHa8KqgFVxyiyO6+Km8&#10;TpuA1JdldG3bdp3cZAC0fZY/ST6Gnj27UUoxyjgXrqkp6rF/wBVTyrQ2th5eaYyDLQfA9j4bwB/B&#10;MNj1tN7EGN/3wf4HrbC92wM+VWzO9HvB9gke8GGx+QrwRt56NsLPjtoouCZc8v5P5h07wtGmbdqu&#10;1UYzxsIwDMKwDyrQN3hLPiYgedu2a9tOa8058zwPDq+exQ/2o+2pd0c44vTlarXO11VVdV0rldQa&#10;XWG15YDa3m8brjEctCyCXWmaYhTdcbH5gA+G7SV9j5t/2t7z+3Bz961vgO3dHvB+sPWo385WAJCc&#10;aoy58rN/qk72HwynFbq21UpRQoTn+b4f9C3m0UrsU9MKhJCu65qmbtuWGIPEU88TlDJibHC4J9Z4&#10;i1fWdW1R5LPZ5dnZ2cXFxXK56snZldaqfwb9Md98VK2NlKrrWqUkZWhOd2W03v16HvBhsNksbwuu&#10;CaMD9P1dsL1n1yHUtHUKRC63r+kB9w085E1lbIy5xQ2yueR30xUeleVy+bvf/e758+d1XXueNxgM&#10;9vf3nV/Y7k8poeI+KNU+AnDvWuu2bVar1Ww2W61WXdelWba3tzcejTzPo5RRRokxhNCPVXjl3tGV&#10;744YYsxisXj16nSxmDPGhsPhaDQeDodRtFUg9nYiuCzL5XK5XC6qqkYpu+d5foB6viuvWr/E2EpM&#10;otpoRpkxJs/z2Xy2XCyruuKMPn706Ne//vXBwYFj2tj89wF3h33/WhPGGOi1SO+5u/rZvRSKZY37&#10;BUGijeigtnkBnVRKdp3quk6qzladGCKVxAam79C+KTG+G4YYpCnCmckoddU/SIxhnHHGKWNCcM/z&#10;hRDw1vYHoIQS4rqjU3r1MzH2m42TuZ36KzQ4zdU2P3s4Fu5r39x8nRCLm5adG3mnp6e//e1vnz9/&#10;rpRCl939/X30dPzJaAWM+KqqFov5bDYry5IQMhgM9/f3RqMR56IPuBG0aN4+xAcBrpNQAoGLVm9G&#10;69Vq9erV6Wq1FMKbTifD4SiO4ygKObeUJL2geIu307ZNWVZ5vi7LsuvQvElRynzfT5IYdKeIW3Cq&#10;iZNHPTD5ldJ5np+fny+XC6V1EsfHx8e//OUv9/b2tpo6bO77gLvgSitQxsC1eFMruJeCZcRGUhkW&#10;FL3QN1rptmurqmqbpm3bsqrydV6UheykIVpJVddN0zZ108i2VRuz/i5vDhY2mlURSsPAz7IBVi1c&#10;iKDvQItCljiKwzD0A59zTglFMjWy6MjGrWmtoRXs+HEbOCUBrYBbZg9a4Rrc4nLzm7fQClrrFy9e&#10;/NM//dPz588ppeinuLOzA85Ut16gjBnK30rufDrofUdtnud9T2Pp+95gMNjZ2RkOh4xxg4bX9vl8&#10;nBG2oRWQQYtWcXK1Wr1+/booijAMccFRFPn+taabbwtDjJSyrqqqqsqyLIqyqkqplCcEUkvRm8Hz&#10;PMEoZ1eSHUMCY0MptVqtzs7O1uu1EGI0Gh0dHX322Wc7OzugZ3/QCj8YxjbiuDa5QTPilIF9spQa&#10;Y7RSnZRKKm3NAq2VBP+jUqrturIsizyv6rppmiIvVqvVer2u6kor1XVdVdV1U1dl1TSNVBLv7o5u&#10;ZK210QYmDWMsiZPxeBQnieDc8/0oipI4jpMkDIIwipIkSeIkiqMA9ijnsDO4ECjUp4x5nLNex2D4&#10;XAkiSm9Jr6D0qnniA96A27UClsN4hm4DrfU333zzj//4j19//TVjbDqdgmrtp6QVUL/WNM18Pr+4&#10;uFiv15SyJIkHg8FkMkmShDFmDKHQCR9bK/TpUgjkNnXdrFbL8/OLuq7TNNnb2xsOh0EQCOG9o01j&#10;jO46iTzdqqrKsmraxmittWEMXFhhEPhpHAX+Va07UpQ454gzQyuUZQkT8+Dg4OTkZDQaYfA8aIUf&#10;DtcdaWMqG0qM1qRfy2OBbAhRUlZlWZZVnud5kZdFWQF11dR1VdfQ/VVZtV2rlGrqGmqg6zqttFSy&#10;bdpOdm3TglLFEANJcXXu74DBep8YrQmlYRAmSeIHPqOMc+bZRGofyY1BEERhhD59YRiEUQQWryxL&#10;0zSLoiiOoyzLIsvBzjArN3SkFV+2uoYSRinl7K6X+jPG7VrB/q1XCfgXtsL/+T//B1phZ2dnMBgM&#10;h8OfklYwxGilyqq6vLg4Oz+vyioI/MFgOBqNBoNBFIUEqoAxzMCPJcU2FkSEECqVLMuyyIv1ejWf&#10;z7uuQ9fWLBvcC8MrfM3OvdaCC6uqy7KoqtoYzbnwfX88zKIwALURCBNR54H+zOv1+vz8vG3bnZ2d&#10;x48f7+7u7u7uQtG6E73jdf5MsdUzD/4gvCyplJJaaeRHwOabzefr1Wo2m83m88V8vlqt1ut8Pp/l&#10;eb7O87qqmqaF6UAIsWyLWvd+Ji2V0kq7RANK76wSekli3VyG9IEERpCrgOgUpZhiAn4lIUChOBhk&#10;g8FgNAIV/HQ4HI5Go8l0gpKXq/gWY9y2FWBWFyptiCE4PHvQCt+PW7SCw6ZKMMY0TfPy5ct//ud/&#10;fvHihRACtkKWZT8lraC06tpuvV5fXl5cXs6k7LIsm0ymg8EgiiPf8+G+ZJwTYwwWPh8DWKNhQcQo&#10;7aTM15YePc/XWuvxeLy3t59lGehd38WmoZRCK+BnbYxWuuvapmmKoizLsutarQ1jLPC47wkkF2Gi&#10;YmDkeV6WZVEUFxcXWuuTk5PPP/98Z2cH83nzGX6s5/njhqsc7R1EspNd1zZ1vVytyrIsi7Ju6rqq&#10;8qIoi2K1Xhcg08/zPM+LoiiLcrVaor07SOONjeISO5HxWuxChBljtNsAg/BuHMJgt6CEXHUdhwoj&#10;iCPjcNYZBm1BCTpNBmmaJkmaJEmWpWmWZZn9b5pmaZqmaRLHcRhGcRwlaZomSZQkYRBwIawBYbPk&#10;rkekH3AbvkcrOJWgtV4sFq9evfrjH//4+vXrIAgwq5PE8jD/NLSClLIoisViMZ/PV6sVpWQymezs&#10;7iZJ4vs+Z9wYwxjlXGA59l2ZmO8X/fOmhFGKiMJsNsPENoZMp5O9vX00LUB2x/YB7oy+KAELOGqM&#10;6XNSbf8lOCDatm3rklECZpUkSRBv0Fovl8uiKKqqury8pJR+9tlnv/rVr8bjcRRFvu+7Ez2ohB8G&#10;Ay+J0oRSrXXbNGVRFkWxWi1fvTqdzWaXs8vFYjGfzS4vL9d5LjuJ9OWuTzOVUkKRSKUcGbuNFljH&#10;HhKNNCGUsT5A3QPpzneStsZsOKUpZTb0fVMKIUkBJ3c9QnpOeI5Mcd/zYEmkaTpEG6nRaGdnZ29v&#10;b3dvbzqdDofDOI4558Sg2yxnDx6kO+AWrbD5DX5GNjG0wpdffnlxcRFF0d7eHmjxYbhd7XjnHCSD&#10;BW+/GnnzHrf/wekhQq5WGm5pY//Tb3nN59pjM2piDJrVtOt1DpWA7NvpdLq3txcnMUdtsDG9kLUj&#10;+/ohPxxwU7h+qdR6tUIgpOsk53wyGe/sWP/MO2sF5ytA/wzQIKGLzhWNbl03dZl3bQNqEEfjzhhb&#10;rVZFURRFsVqtfN///PPP/+Iv/mI0GrmRA3zHCPhpww3CrSeAEW4XW9ctKreL1rpr26Zpqryo6hqW&#10;wXq9XiwWs9nlt9++Wq9Xix7L5bKqKvQ7coelhOg+SckYoo227CU264diAUSM6WshbaoF9niraJAC&#10;vyKEBISG1tAxjFqLFroAV4hoASID4GagSISFyW7pZzgUw3g0nkwnOzs7k/F4Mp1Op9PpZDIcDoMw&#10;DMMwieMwjoMwAH8wHqy7cvzQn9TSTW9f/c8G36MV8Csq15bLJWyFy8vLJEmgFVCYujm3DSFvoRUw&#10;Ruxum+dFArL72Y4VDMSNzdwm7nzuvNvbfvcVGWPatqvrarVazefzoijRaH4ymezs7ERRdEN+4dDf&#10;edD3BjemUWKtlFouV2dnr/M8N8YEQTAej8eTSRLHvcP2h2uFzfFwFWrq1bnWRsqu7bqu7WRTVVXV&#10;NDWqkIQQaMhcVRU8FXVdZ1kGrZBl2dZV/Wzn4d21ggvguzBP0zTr9Xq1XJ69Oj0/v3h99vry8nI+&#10;m89mszxfN00DOsuqqur6yj6wp8PKv0/lRCaFVRgogDeEMkoMgf8QdieS3xBjsByLt2a42Qu/8Z29&#10;HQJ/l/uK2poJ6BujtXJ37Y5DqZUTV0+MWfpPz/PiKI6TOIqiMAwD34+iaDQajSeTyXi8s7u7v7e3&#10;s7c7mU6HoxH8lkiQs3qOsQet4PA9WgHPDmbmarX69ttv//jHP85ms02t4Eg3r0bCW2kFa0EarZVS&#10;SuNV2fGAohWC3gb2q+v/UmqX7f3/Nw5//ZutK9ocaoRQrVXTNGVZzheLxXxe100QBIPBYDQaDYeD&#10;IPi0uHqu5yAZKeV8Pj89PS2KknMWRdF4PB6Px2EUMesAuOeL11rZx08pXpxSmuiurip4saqqUkoF&#10;QZCmadu2RVGgXehkMvn888+/+OKLNE0/qUf6EXGrVnBfbmoFKSXKg5umwXBdLpeXl5fz2ezi9dnp&#10;69ffvvz2/PxsPp+v1mv0NUJPC5cvABkMoWyP3qsExjghRkEyEnBfIm7LKSWMcc/zuOCYj5hcXHCk&#10;jbrLdrDHvfElMQalzM5uQARbKYV9lFJ1Uysp3eNAUMCtgTCtbQUDioZsUqCNHKBKzvNEkiSD4XA6&#10;mRwcHh4dHe3v70/3dhEQjaIIrcc2aXt6DdWP7DsIsZ8kPgmtgI6SqJqRStnsAc4o3jgllDEBi6Q3&#10;G3t13nOX2uGDFYy1P7ac/je0wtVUNIZI2VVVtV6v54vFarkyxgwG2WQyybIsiqJ3T+68X2xoBYYC&#10;i9ls9urVq6qqIYhHo9FoNPT94D2NbyweGWOEEqQoGWOIUbJtEWnY7MPRNE3XdaDO3tvbe/r06ZMn&#10;T+I4/qQe6UfE9aG4PR/7mWLAwpLn+enp6WKxmM1mFxcXZ2dnZ2dny8WyLsvVcrlYLvM8xwPXWjNK&#10;4We8lqTUy0/rgtT2v5D+SmtiDGPM94M4iX3PQ7poEIRRdJVEwDkXwgvDANEjeiOucMtJrVbrmrap&#10;q7ptGzSG6rrWmTJSqqqulstlXddGG4SvKGWc2/TlK7cP9MDmxO5lOp6k7fQXBFEUDbJsNBoPhoNs&#10;OBxPxru7uzs7O8iCG4/HLmXGJUnfvQLjJ4lbRuGH1ArYQ0rZtG1ZlGVVdm3LQFTNGaP9saEnGCWU&#10;ojCyP6dbCtufsOonhNg1BLIjbrsYN4QYo7DEV6vVar1erVZ1VXueN5lOppMJIqK4iO1DfDw4reCs&#10;nNls9u23r7qujeMYqbRZlnqeRzBfb3sC7wL7nvuiIUxYSjSWW3BZFEWR57md4b1f6+joCI2f4ji+&#10;96v6scMJvk3phtmHtrhlWc7n83/91399/fr1q1evTk9Pz87OLi8ui6Iwfe8KjRQipQklAg7064dG&#10;jSrKSpwpQCkVwjKuo29KGEWod4miKIqiOIriOImiKAh80dcTJHGcJOi5vR3FvVUrdF2HKFRRlPA0&#10;YrTAvqzrum6aPM8X83lRFHB2aa0pobAnZNcpW3enpVLO/XxjzUexPsSqEcmvQgjhe2EUZYPB7u7u&#10;4eHho0ePTk5O9vf3p9MpEmeQxu0axvxsx+enohVQW18WRdu2GKb9Nr25il/sP9a45ByrFpufzDnf&#10;sCGo+/LWd+ymHqVUKVkUxXw+XyyWVV1RQtM03dmZDgYDNGp2Hs9PBMYYQwwlVGuN4rLZbH56eipl&#10;lyTJeDwZjUZJEvem/f1rhR6QYAZ+YWIUZ4wYA9Yz+DcWiwUacvi+v7Ozgw6xh4eHD1phC5sqwcFl&#10;l11cXFxcXMxms/l8/urVq8vLy8vLy8VisV6v8zxvm8bnArMCct8NbqT92LV8P4O44IEfJEkMUziK&#10;ojhJwjCMwhB+efwbRpEnPN/3Pd8LfMtFwTnngntCCCEQyPU9n/Pb5tfm74QQQlAd3bRtXdVt1yop&#10;CSFSqhaRqaZp2rauqrKsUDyH/vD4U57nq/U6z/OqxAKybLtOK8fPaMeh6fN0e84lCpPUEKKNYZwF&#10;YYjOlLAYEJbe3d1FMzKkLaFW/2dry96uFTaj804rrNdraAUXbYbl9S7RZrT5NMb2t0FHaIQK4KrG&#10;YkHDOaq1UvBhg1LRdo0WQghhOyrDbGSoihecc3QXsPp/c+D2N04JJV3b5fn6/PxisVgoJcMwHI1G&#10;0+kUkkt43qfWdtQYg1sBC2ld14vF4vT0tVIyyzLk5EVRxLmAD/a9yd8rzUopMUoySpVWSkpDiFZq&#10;vc5RQrFerwkh0+n08eMnBwf7B4eHURT1FeI/J/QCy31B+3/wpZXpWsOtulwuT09Pnz9//tVXXz1/&#10;/vzVq1fL5TLP86qqmqaxRYVNq5QUqADoJSOWRm795H7ljMGvkiQJwrDj0Wg4HI7G4zRNB4PBcDAY&#10;DodZloVR5AlBKQXFIaVUcAEzHlPJaA0jnovtyWVHxg3ZggeglFJSutCu1pADBs5krbQ2uuu6Ii/K&#10;skDe82q1vLy8vLi4nM1mi+ViPp8vFouyKFGAbUWDMVqhISAhhFg2HxunJPZbSpngyGdF4VsURdPp&#10;FDU0n3322cnJyWQycSmtVqFuu6PdffVf/rQG8vdrBUeou16vT09P//CHP5yfn0dRtL+/PxgMXEnh&#10;poS4u1bALhucvZ1SCHdhbNhAGfSHMUYpDZXgWoTCf2QdTBvAAODc9icV3OoMITicU8ip4Jxrbaqq&#10;Wi4Xl5ezosgppVmWwdsYxzHnor+V77+jDw4jJbgu6vl8/vr1a63NeDyeTMZIGvY8D+v496YVrsNK&#10;JKSuEkJMJ1VZ5JeXl/PFQimVxMne3t6jR4+ePD5J4tgKl34EfqCL/LiAwAKZHTGEMOLKv4wxxiij&#10;27qBEJzPFheXF99++/Kbr1+8On11dvb68nKW52tUGEDdu6AOtXRS1jKAccAZ830/imLwCyVJHEVx&#10;miZRFCVJOgQGgzRLsyxDRAr1YWA8tLzx/TzFK4KewNe4cHyz9faM2ZSeDsgfudqXEBsOxN9cPZ5S&#10;sm07rHjKslyv1svVcrVaLRbL1Wq1ztdFUdRlVZRFWZb9BissK7u27aREgi0xhDHKKDOEEGMo/tNH&#10;qxmjwvOyLNvf2z8+Ojo4ODg4PNjb3Zvu7Ex3ppPJJM2yKAyF5zlOvWt36e75pzVy36gVnKB3Irss&#10;y1evXv3hD394/fp1GIbQCs7UckPn7lVs2N4YZ/K6HAmDX/qBZ68Q3yNPyeYt9d/AsIA5IeFa1bYc&#10;F8NVCCE8z/c83/c9z/c8wRjjXCABv6qq+WKxXCybpvY8fzweYbEAwepSp7eu/6PCPhM0QYJWODs7&#10;M4ZMJpPxZJzESRgGnuf1mvr7X8d9wL1S/GSMIW3bgFyhrmtiyHA4fPLkyRfPng6ydMtI/1AX+VFh&#10;iHtA9htKFQiFjOnatm6a5Xz+4uXLr7766uWLF19//fXlbDabzcqiqOu6rKq2bXsKawIHutGGUCoC&#10;O1A3vaae5w2HQ9Tc7O3toTfvZDKBjkB/CzCU4F2g0AQmOI7gLvwDw638EGNHfi0EEdJtEaJYr9ez&#10;2Ww2m52dnZ2ensKrtlwuy7K0bgatr5KLjOGEEa0xPO3KkTHPE3GcJHHscpb2DvYfP3785OnTo6Oj&#10;yfj/z96fdUlypFlioIjobqq2upnv4R77hkACCWRlZnWTzSa7OewzpzmvnJ/Tf2FmnjhvfOOpqnPI&#10;6XOa9cBmsVnsYnVVAokAAmsAgdh8N7dV90VE5uGqiWuYewQ8ECsy/CLS09xcTVVNVES+/X5tz6ub&#10;lsWQ61TRO98tqaCWKJ4KdtwkSba3t+/evbu7u2uaZq/XazQatVrtxaSCktuEYJTL0zzxE4+P0oqa&#10;cSQPREn5WJoQPM9z2BN5rvqFEcQeNE2DOwh2hbIV0jQBK4MQwvO8hYUFz/NM08LyUItt/gu8Oain&#10;xnmhgpD9/iGldKG7sLCw4NZc3DwOez0bLh4oIQR1Sdj4OOe+H8ADHoaBbdsbm5tXLl5ot5qYPOre&#10;Xs9NvllIWAklSRyFoZwmSZqkU3+KPe5gf//Ro0cPHj7c3tp6vLUVRVGaphhM+FeQG1qOMxwmjOqm&#10;ge4XtVoNLPcID6BRe6/XW1xcXFhYaLVakArod6RurEqWpXa9NzjnsbDVnWB7gZ6nXqNFINKxBoNB&#10;v9/HC1ShonAyDENIkSzLBOcMxXkEvpCy6gjZKvjatmM36o1Op7OyunL+woXNzc1et9vt9kD7Zju2&#10;ruuqmq9chmwmJP5UcCqpgMeQ5/nW1ta33367tbVlGEan03lBHiS1iVQCypU3S1Ayc7lCdlD8oERK&#10;wnlRuUNMF+gHYpYSDblRGiLgDM6yDDIEWlXZdi3PhRCmabbbHSybma+pbB3xBlfIccxGiRZFEcVR&#10;GISj0Wg4HDLGFhd73W4PXlFN0/AcXg8zx1GPDYItixBJhBRxFIdROB6NB4MBY3Rtbe3C+Y3uwkKz&#10;0UB+qppyf2Kr6zjmpILgKKf3B4eH9+79uLu78/jxFjKLhsOB7/tBGIKsFMlymORIqpEYcEkoJUzT&#10;qK5BACCYv7S01Ol0Op2O4zi1Wq1Wq+EFYssIGh9f+3NP4Q0+DjWXqmUESjnDm1ABoRWVzK9xHIah&#10;7/uDwWB/f39vb29vbw81/2EYpnEiOMeeorYSOB5m85XoumZZtmVZNbe20Ol0u93OwsLmxsbVq1cv&#10;XryIglbdNJmmobJfEkK1kobvTwYnSIUq1POA9N7a2vr666/BmQrP+4swaaszz3xH5W+gTZwBr8o/&#10;YotTf1VzpXqfswOP3FLIfMiLosjhb4mTBAndXEhZ5EVRFJRR27LwjVqtlmXZs8xXTNAyk+EtAb4v&#10;0hbDMJhO/clkPB6PNU1bXFxaWlp0HEeVdsx/+JUBuQMzEVReF1ZmmqXTybTfP8jzvNfrra8u93q9&#10;xV6vWuH8zkgFFNWIPMuQ+dY/PNzb3f3m228fPnz48MHDfr8fRSGab8N4BikEuseg3tg0DOg0lmXX&#10;ao5l21bNWVhYWFlZQe4vBEOv11Od8srqnlmsuLoAq3hLpEL13ubuU92VWvilJihEURRxHE+n036/&#10;v7u7+/jx4+3t7cPDw+l0Op1OoyDIsqzIyw6jnPMyiwU0X7OtBkOAZFbbthvN5ubm5q/ef//me++t&#10;rKyAPhm+hFlHxndMKlQfiRBid3f3zp07Dx8+JIQ0m03P83q93otJBbWtE/Uaxp2yCUrLgJBys58J&#10;j+p51NVxVJmiTykCEHAxIdTAC54XeZEXWZZFURiGYRwnWZYahtFsttrtdr3ueZ5ngLVNEpT4Y0Wp&#10;K75x4PtSSosi931/MplMJpPpdKrrxvLy8vLykuM4Jb/YKR7EywKoFGaPrFy8UpI0TfMiD4Pw4GA/&#10;DMN6vb682F1eWlpdXW02m9Wq9Te4Db0eSCmlkEWeh75/OBjs7Ow8fPDg0ePH/YOD/f39g4N+v99H&#10;fxuoNASlOOwouQhSwa3VXM9r1OvdXm9paWmh213odVHQ3mg0UJMPSto5sqnqnfykEfyMP702zIkH&#10;LMaqJYHNB+4BVB0hixd5SkEQIIUSrYTCMPSDYDwaj8ejIAyRvjUzFyApRTkshFJCUJbRbLXW1tbO&#10;ra8vLi0tLy1tbGxsbGx2u13XdTVdI8eycn/p+GmpAGDc+/3+F198oTp01uv1Xq8317eZMiaJdsoc&#10;pBOcRVLOGDoVFWPZgv7YDFGSAP7Boyuqj87khUpLI4RSKURRFGmajcfj8Xjk+36WZZZldToLCwud&#10;Ws1FnU65At9WqYC7KngRzKTCZDIxTXN5eWV5edlx7NmI/PSDeFk4LhWwWkDKGYbh/sH+dDK1LKvb&#10;aa2uLG9sbLTbbZX/V1UEfnGY22TVTMX3Un/lnGdJFkynBwcHjx49/OHevbt37z64f380GoFhMMsy&#10;pMegWItIydCfkkhN0w1D13XDsi1kTi8uLq6vrW1sbq6ura6dO6eiBYwx6Gq4H0UGh1tSOhzeOT6x&#10;q0fO/em1AcM1pyioTabUIqVU3J2ISMdxPBqNEFoIw5BzbhgGwlecc/Azwrm0v78/Go1830dNdZZl&#10;nHPlmKKEUElQ68cYI1Iapum5bmdh4dy5c9evXbt+/cbm5uZCd8F1XdO2dMOoWmC4MfXoocD9gib2&#10;c0gFZE9//fXXDx48SNMUfRZ7vdKFrUJDkpDnkQqEkCd8DhVRUZ4Be4X61Awn3LhKc6x+pPqQYElz&#10;LrIsjaIIcaooiiilruuqQJym6SAFmzv5E7+/UcxLhel0MplMxmPTNOE6sB1nNgSv77aPPxJKCYI+&#10;Qgg/8Pf39ieTiWkaDbe2trZ68eLFdrutmrkf3wV+QVB+DAg5ONPUTqFiXdPptL9/8OD+/e3t7YcP&#10;H2493trZ3TnY3w/CkCp2NsbA3FKOJ6VEEtM0Go1mr9dtt9udhYVer9frdhcWFrrdXm+xB1uhKl/V&#10;DoXX1Uej/lS9/xPxBp9FNfV8/m8zIK6A1h3IT8VrbPRSSriAkElIKc3zPI5jrHrUV45Go8lkghh1&#10;FEUQCUVRECmZJPC4KdY8xpjned1ud211bf3c+sbGxsbGxsrKam95sdPpQDnGjR0f21/WxH4+qRAE&#10;wbfffvvo0SPf96WUzWYTFc5IZsA350Kcsl7htUGJCkkIkQSTIwiC6XQymUzzPEOqRrPZdF3Pti1N&#10;O4Ht663CE1IhCKbT6WQyGY/GlmWurKwsLi7ajjN7AG/4QYBHT0o59ae7O7uTyVjX9XrNWT+3fvnS&#10;pU6nU3Vx/LIWTxVK+8b9Q/GEVg5NlnMeRdH21vbd77774vPPd3d2dvf2RsNRHMdxHBUFL5uQUVLm&#10;QEOkU6rrummY9bq3vLyysbmxvrZ24eJFCIS65zmOY1m2aVuGZf7SJWsVc2YBvpSyuiBiYR9gW0fL&#10;KXCrIBcLXDUqyxYNo4qiSLM0TbM0TfypPxwNB4eHO7u721tbh4NBkiRpkmZZJrlgskyORBK8kLJ0&#10;KNm2ZVm2ba+url67eu3q1asXLl9aP7eOCCtKaqtfQd35L+ihaP/m3/yb+feeDvBeKGms6zq67lSl&#10;gpSS0HlSlDeL2SMptTZkfQSBHwRhlqVM05qNRrPZcpzarJ/lGzOcT4+yLlQKpHKjakHXNTC66Ibx&#10;1kgFlGHLJEnRtYJSZplGs9lAhgyS65VW+wtaPHNQ9w/xAM0d5Z/7+/uPHz++e/fu559//uWXd76/&#10;+/3O9vbBQd/3/TzPoLKUZ5i9ZppmmVZ3obuyvLx5/vyVq1dv3rh5/cb1K5evXLp8aW1tfWl5qdVq&#10;ObXZpNUYzqB+/tJR/RZqYqCfRzUhdTAYoK0T7AO4jND0CVYCDAUKX4GuofOH67qOW2ZkWbZtOw7+&#10;GSq/SEgyi3tWb0AIkcRJEARhECZJEkahHwRhVFICz3gD9ePyrJpo+5bjOaQCpjgYGZEEpmkapAJq&#10;IEuBLAShL9oo+OVi5pWSlDIpRZwkiM1Cs7BtGzE6ywJv4tt180/DL0UqwBMihEBySJommqY5ttVq&#10;NcEpokiM1fqZP8VbD2Vwq5tX0YUkSfb393/44YfPP//8H/7hH27fvn3//v1BfzCdTuM4mXGCzrIj&#10;St1Fappm20673bp69eqNGzc++uijjz/66P33379y+cr6+lq71fbqnmXbmq4zTaOM0VmBVfWWqgwF&#10;vzjgzqsDW/adThKQh4Ms9uDgYDqdgjO8Vqsh0l7t+4IHUQ4ufkfGuaZpum6aplOrNVutbrfb7Xbb&#10;nU7Nrem6zoUQeYG86mpUoMxzFxLiAXVCh8MBHFCaplmWpUiA1DVVE6FnO8TeHpxWKuDLIDsYvrwg&#10;CPAkqpWQMNPeNqlASFnvUxQFCtYmk2kYhlIKNFFAt8jZg/xlPLlfkFQQQuR5EYbRdDotityyTM9z&#10;F9rthYWFqje2XLq/hMH/SXDOgyAYDAYo/Pz666/v3LnzzTffbG9vTyaTJIqKopDKc42vLImhG5Zl&#10;eXVvcXHx3Ma5ixcuXrl69dq1azdu3Lh48eLKykq73XY9z7KOwptzwNWPS6lfIqrObbTomEwmqMuB&#10;fYAu04QQ0Bm5rlvtDnnC+DBKGEOCL5idNE0zLbPmuY1mo1Gv19yabdu6YRia7li2bdu6piE/BR4k&#10;goR3mL+UFHkRJ3EQBlPfB288WGCVg1dpPPgWf2pSAUDuF4zi6XSKh6FIL95mqUApejJHvj+FE6wo&#10;ctM06/V6u91B13sUJfxSntwvSypkWQ5ibc657TitZqPTbrdaLdM0q8v2l76RqchkkiR7e3vffPPN&#10;H/7wh9u3b6P28/DwMI5jwQWyS+ksywK7l6bprud2FxY2Njbeu/neb37zm19/+Otr166dP39+eWWl&#10;Xq+blqnrmlaprZ2JE0mkVHxK2IPw8w0mEb04lJIOFwVKEA4ODlB/UBSFYRiu69brdcX6peRB1VBQ&#10;EFJwKWXZUIIQDP3M56NpmmEarue1W61Op93tLLSaTcu2laaPoipwqVFKQavDhSh4UTbsGo0ODw/D&#10;MCyKAvQhsBvUs1CT/C3H80kFSEIhBKSCEEKFdJ74zm9O3S5Dfk+az+XGlOeg+w+CIM8zTdM8z2s2&#10;W/V63bQsTBMUM8+f9K0EvA6CC9WFMUkSSqnrevW6p+l62VRrfiKWwbPXtv9KKfO8SLM0isIgCIQQ&#10;dc/rLXQWOp1Go3Hk851h/vNvGapquIp8lpNNSp7naZKEQbi7s/vtt9/e+fyLP3766d273+/u7oZB&#10;kGep4IJQyjQmKZGEoH7KME2v7nU6nZXV1QsXL1y7du2992/96lfvX7t2be3c+kJ3oea6umEyxuhc&#10;anz1tWLZq+CXMpmPgwsB7us0y4IwGE8mg8Ggf9gfTydJkiKk7NQc1/Ncz7OdmmGYmqYTyEvGCGWS&#10;EEko6I4IoZIQMXsNq6H8CfY8yiihhm7Wam6z2eq02s16o+a6UHl1XcduQhkjlHIhOMrNCZFwM3GR&#10;Jsl4OByPx3EY5XlOKdVmLJyMUI1pKIlF0Ul12ryFc/75pALnHKIP2fF5nmPUMHAzJxpDdeD8h187&#10;KKOlK5BzWDmBD1svpZQ6jgPGDviO8ITYL6cgBZ4uzossS/MsQ1qFpjH4VXVdl1KibOOIdvCJj7+2&#10;ZySVNROGIVLXFjrtVquF+8RtvMb7eVEoZfyJcAihoiiiMDzsH97/8f7tz27/8dNPv/3m2+3t7eFg&#10;kMZxycsiJKWES1HGHhnTNK3Raq6urd24ceP6jRu33n//+o3rly5dWltba7XbDnjG4KdWipf6ByBC&#10;Pfu1vJ8Zqnf+CwIGmQvu+/5+/6Df7w9GoyiOKWOWbdVqNdetObWaZduGYTFNZ0wj5c7LCD0SBoRQ&#10;Qpn6BzEwN0SUUCIxiqXlYJqmY9u2Y3ueV2823LpnWbZu6ILINMuSLBVSajry1yWVhBJZFEWapKBQ&#10;iKM4DPw4ivMsp5Q5jm0aRpnrXnlMb+20fz6pABYtpF2Px2OkIWmapsjKKaWUstLr9qZwdGVIZc55&#10;ked5FEbT6TQIAiG449gwPJF3RClFex/E7J4421sJ3KOQsuA8RxFOBg+SXqu5lmVpTKOU0pI5ZyYV&#10;ZkkRauuYP+8rAOclzRT4agihdTi5XBepCkdr85cDZYyqOy/yPA6jg37/hx9++Oyzz/7whz98+eVX&#10;29vbQRBEcSSlBHORBHEFIYhMep7XWVhYX1+/du3aRx99dOvWrffee+/ChQvdbteecVmrq5TXwtp6&#10;4t+fmkiADi6JTLPssN/f3t4+6PdRV1SGlJtNFyGEsvfJ0UZPjjYfiISjf5VxOfonBaznmekMpilK&#10;dV2zbbter4PiwnVd07IUVahKNCpLFylFTkVRlNon6CDTLNU1rVarmaZJCKzDMuZcNePetif1fFIB&#10;Q4pI2nQ6RYyBUgqmRmQiKbk7/+HXgnJ8MR8IwWPLiyKOSpGQJIluGI16HYwdKGOe+WkpSPfetod0&#10;HFKW/mtQPEEZj+OYc0EpOKAkY4wyKjjy4WafLNcE3nodX1MIgaYYaZrA9kcSec1xPM+DSK4e//YP&#10;PlBlmw/DcNA/fPTw4TfffvvF559//c03jx4+HAyGURSlWQoexpInSkpKGdNYo9FYWlra3Ny8efPm&#10;Bx988N57712+fBmN6mBCwclQpTX9UwW+qXr00F3yokjSLAj8/uHhwcFBHEeWZXqeh1xSx7F1/ago&#10;Cur//HlPh1mCIkU339ITLiUlUum7lmVhiwMfLbwLEA9SEioleJMY0ySRpRKa50mSxkkcJzH4DSml&#10;ulnSS1f30rcwkHlaqVBRMwlqx0FRm+c5WvLWajVMZcrYG5QKUpZOc4ALUeR5Ese+7/u+nyQpY8xz&#10;XbDEWJat63rFa6Rkw5u5+eeClJJIIoQoCo6MvTiOsywvqWOlhDtPSomWRNCb8L9Sw3w9X5MSaGB5&#10;XmRZCppbSqVj2+japAa9PPz13NULA6sa6YkHBwcPHjy4ffv2Z3/87M6dO48fP55MJkmScsFxZNm+&#10;RkhN00zbcj13dXX18uXLN2/e/Oijj371q19dvny51+uh9Q22CVDe/lJG40VQ3SUxdYUQWZ5NfX8w&#10;HBz2+34QUErREAgua0oZjpspOD9/Y8XlyjUjpZBIPBXV01FKTdOE6YBe1lhxRVHgBPANoUU0JQRc&#10;zVmWBWGACjsuOLKNDbMMwSphUH6DtwmnlQpVoJAEiONYCGFZluu64L1gjBH6Jrscz2i3iaKlBGNi&#10;mqaU0ZrjtFqteqPhOI6un0ju/9Y9pBNRercJEVwURQEPEuecaRqjbMYJWKbK4SOzHrZUSvHavqYQ&#10;HCoYmonmeVEUnBe57ditVstxHLUq5sTD2wzcc1EU4/H4wYMHd+/e/fbbb7/+8qsffri3tbU19adp&#10;mnJeSCFKNnbKKKW6rjWbzaXlxY3NzevXr9+8efP69etXr149d+4chgLCQ/Fu/XJjxc8FlRiCn/DS&#10;xHF8ODjc29sdDodSSsuyYSOUJXuwl8vEHo1QeNZ+DpBOmmVZkiZRGAZhGMVREkeIhWGLg1NERZJQ&#10;CQs3ia5pRIAngxMiEWlAxlLBC9AoRFEkuCh4kReFYRrIzan2DH7b5vzPkQqqnAT5WEVRmKbpeR7m&#10;tKZpb4NUIJKAYwBsJ0EYCiFM02o0ms1Wq+bU0IgN1W2/UKmA++Scc16kaZYksZTENExN09DaMI6T&#10;KIqkFJQyQmi5QdGy68jr+Zp5kWODg/aUZXlRFHma1mqOqmKrJrC9nrt6KfB9/8GDB5999tmnn376&#10;1Zdf3r93fzAYhGFY5DniBwQeybIXLHNqtZXllUuXLn308ccffPDBjRs3zp8/v7i4WB0EJQzgV3lH&#10;BAOevpIKiktxZ2cnDEPbthtQ4zSNoe/uk1MFGUTzJz0dhOBZlsVxBGak8Wg8mU4CP4jDMI6PGJag&#10;BKNOK01TxhjcSrqmUUJBagJxXq7NWadoKUQcx5PpdDQahXEEgwPEGNWS/vnbeqM4rVTAfSMPF49N&#10;CIG6kjRNQQwCzhYiJWFlYslrwMwtWN3ZEfYp0jRF/CMMIy64bdsgO6rNuo5UNiOKhCUIs9d28y8C&#10;KSWliI2VyksQBHmeG4aOAstZ9hGhlCLkjlwsKWcNisC/RknZ97Sssy3PeWRSl6YGRrgcotMDvqqy&#10;8zYhksg0SfM0NU3DdV0sD0WQ97aNvGrtgt0Z054QkqbpcDh8+PAhytO+++673d1df+qjDkb1O8Lx&#10;juPUam6r1VxfP3f12tWb77334a8/vHjx4vr6erPZBLmp+vpqEKqv/7RR/aboxjGZTPqDw36/P55M&#10;GGONRhO+I13XKSu9TJRSQiE7y3QK5R6dyVQ+y8AmCDNKWXZ9x5+KgidpEoZhEAZoeJemaZ5nWZoV&#10;eQFTTxkHZdNHziGqsbnPSiUcXdORh4k1drRIZNlKOEmS8WQSJzG8gmjwpeu6yupUBr16/QYf/Wml&#10;AoARwTChtGQ8HidJgoAMgjOMMfqapEI5jjNAXZCSEMF5mmZRFPp+UFozhul5XrPZcF0X00vTtbm8&#10;hMr8fA03/+KQ5RwSEmspCAJCpG3bruuBVBniARyxs0mfo/E1WGFmX/aoVWGVf5tSMLWVRsnssONi&#10;+FmQRIL2jRDCKJNS5HmepLGh67hDdA9+C61p5XFWGSNq6U6n07t373766aeffvopetZGQZBnOYSu&#10;8o9TSk3L8rz60tLS5ctXPvroo9/82Z9du3ZtcWmx3W57nofTHk27Gd4pqQBgxLCrDAaDwXDoB0HB&#10;C9u2Pa/uOLam6RpjmIMYICkkLziaYqlzzH5ius6PIX5FG8c4jqeTyXQyjaII8VE4dgghnBeSc13X&#10;sbOpn+hnh+hCq9UCn3mn3Wm1Wq7nMcaKvJBCahpDo6TZlSXnPC/yLC8rtOM4hrWBaHb1WVejLOq2&#10;XzOeWyqoUj0pZRRFw+EwTVOULGiaBgKD1yMVZiu03MJKhVZKKUTBeZokk+nUn07TNNN1rV73ms2m&#10;63kzQ0FHR5rK86i+/gUAmhGWgRA8SdIoiiQhlm3X3CN2MMuypJRFwRHszfMcSg90Jc7LPsCEUFTc&#10;VLfl2bCUvx1du8SpxkoIoRplM6YRIvOiSKNISqFpmmEYKqnjjS+G48BUR8AMXV1Rwvro0aPPPvvs&#10;k08+uXv3br/fD8MwSzK0TlP3rxtGzam12+3l5aVLly598MEHH3306xs3bqyur7qeB6+ROv/ct/5l&#10;TcWXArAyo0ECmh9kRW4apud6tVpN1w0NjE+VWZIXRZKmeZZzjkLjIz37SUmrjN/SPZVlaRTFYRj4&#10;vh9FMbR7JJsyhrwATinRNU3RoCoNBrmqzWYTL9qtdhNlTzWHEFLkBYphZ/KpXKf4jnlRTGYxTpgL&#10;2DBVZkG1m9AbfPrPLRVgK2CVJ0kyHA6zLMP2BDJCXdfJ6yKYq/ZzRgUzqgbzPA/DaDwZh2FEKam5&#10;Lp6iU9ZAMkpZRaj8sgF/UJZlURRxzhmlhmnatgMyEk3TNV1HnSG4YNGZDgTOWZbCywFbe+bKKCUu&#10;zoxyuZOe58nvzkFIMUv3Y5SWpClpHMNhZRgGyu6qXpT5U7w5KEMBzrc4jre2tu7cufPJJ5988cUX&#10;9+7dG4/HpQVWFJRITdNBG47K+cXFxStXr9y8+d6HH35448aNjY2NTqfj1GronoNLVNNR3mVgTvq+&#10;PxwODw4OgjBkuuZ5nlevmzNTklayqjnnWZoiGTKK4qLIMVeBchpRyiiMPCKEhFfZB8GBH2BrZowZ&#10;ho4gNsIDeHymoaM2C4Vp2PQMw1ANGxhjMCZMwzBN04I9YZm6rmsa47x0s1NWJmRSRrngSZLAEwV/&#10;L+RB6Rwrb7k0TN/glPg5UkGtXngA0caIc67rer1e1zTt9dgKZGYvqGtV0zR9PwiDoOCF49SaDYgE&#10;JDBgZ5wpFa/nPl8JZrONUillludRHOVZTgjVNc22LcepWZbJmGYYhm3ZlmUahqFpDFIzThJsZ0WB&#10;7qUcORWoOxNCIEVPSjEz7mda2JEcPtUOjuXEGEWAoij1u0xwjlZZzWZzjvpi/hRvGhixJEkODg6+&#10;+eabTz755JNPPrl//36/38fOIjgnlCi5yzQGkbB5fvPXH/76ww8/eP/9X53b2Kg36qZlosdvJaZ1&#10;5DSYv/A7AwTG0FxzMBgEQSCIRMFarVbTqnGX2YQXQmRpGidJGERhFOd5LoSkDPQEyqNEpJRcIMso&#10;TdMsSZIg8Ke+nyYJIcQwyloE8KQmSZJnuaYxx7ZNXQd5Wul0FUIp9SoXoKx30zRd1w3T9Or1ZqNh&#10;WhYlVEqRZlle5FLIosiF4JRSQSTskjiOh8NhURTwumNrUvrBGw9B/xypoGZwkiSgNQcVj2mazWZT&#10;13X6umyFqndbSgn5nCQp+I7iONE1vdGoN5vNWq1mmkcCGXizQ/8SgEJXSgkheZZFUazy5yzLct2a&#10;ZVnQnnRd13VD1w3d0DGzmabpWkn6xHmRZVmaZUmaxlEcx3GWZUWBxQCJzznnSk4IKZWJPn9LT4GU&#10;EDAEGXs8zznnvCgYY/V6vdFoVJvOz3/4zUH1zImiaGdn5/PPP//jH/949+7dra0tMLGXehKomRmj&#10;lGq61m63L1y48N577713672bN29euHBheXnZrdcN3aCaptwbc5LgHUk3Oo6ZcR8OBoO9vb3xeCyl&#10;tB3H8zzPdZ/o3ULKVAi140specGh2+RFDk2flkK3TBDI0iyOoiAIwjDA3IY8sG3QelI4r7I0FUIi&#10;yb7mOLZtgeGt6t9DHl013YjM+vhqmmaZUMUs0zB1XcvyHEZklmWzlP3SDkAzUQiANE3x9BFpgF/x&#10;zZqPzycVVDYkgDwtpPQWRWFZVikVtNdlK5wkFaIoQmOmLM8s02o06uBb13UdZIezYNQvXirg9tXc&#10;CqMwS1NMWcMw4C7D2KCeVjd00zAsy3acmmM74ByGgZWmWZok4/F4MplGUZimWZ7nRZEXRTFzy3Eh&#10;kZJEVEuZ04werA08KfiRCCFZmuRZitweSIVqz6z5U7w5QCrAU3rnzp3/8B/+wxdffLG7u4uewHgE&#10;pdooJCWUMup53ubG5scff/z73//uw1//+sKFC+1W27KtWSjraMYe0eoR8i5LBTh2wjDs9/t7e3th&#10;GJqm6Xl113OR2SikhL6AcZZSUlZW+UESg4ExjqIkjgXniFcZhj4j/49Bnj+d+lEUM0Y9z2s2m65b&#10;Y0xDTS6atzuO02q36p7nOLbnunXPU2QV8HyC9zdNUyyBMrUU6fiEMI1ZluXWaqhORzJrkRdplklJ&#10;KKPFrEMfHn2apuPxeDKZoIgdCbiGYShTcn6kXhdOKxUgltW9lj2vKYVwRj4vIvWEUMo05JCJMiXj&#10;VU33WcpjWagFuubxeDSZjPO8gAXq1T23VoMQViFTtaO9waF/IZQhrPKhSEmKghcc23hOCHEcx3Vr&#10;My7bUgcHNySiZyV7MF6V64uVy8k0dV2ZERw+JpB/JWlSFIXGYETzmV9J4pbUrVXvVLWgQj1qUXB8&#10;pMjzJEkopZAKx/Wy1w8orVjq8K0JIcKp/+jhw2++/Prz27e/+err3Z1t3w94UVApBS+oJKZhwARz&#10;6/XFpcXN8xduvf/+Rx9/dOX6teXl5Va7bVgm0zTU8JRiHMOhPOAzzN/QnyiUWgakaTqZTJTvSErp&#10;um6z2bJslzGNEEoJI6RkvmNMY0yj5a+arpuMMeSOClFIwSUhUqIyJsmzJIojP/CTNOY8ZxqzLbtW&#10;q1mWresa57wocvg5CCGmaXl1b9b01DIMUzMMw7SYbjDdACGrlJQwDex7XJIsL+IkjeMozdICqhOR&#10;TNcM05REJllWcM50TdN1SQmhaGfPKKwZygTnSZyIgmuMUUkooY5lG7ouCq7pmpilwGGUXuf0OK1U&#10;AKpSQYXL0To1iiJCiGVZmsZ0E1XpZUh9VixW2TleErArQeGaRaumQRCCtq/RqDcazVqtZtvO8ebA&#10;v+h1iPuussdwXqAgIc8z+OthChztPrMghIKmabqmG4ZumpZl2W4lcwkfLBM20hQ1ycht5ZxLIRFS&#10;q56tKnGrtyolpAJDKsjMGwsjOpJSglsG+RhzLr7XiWqXXfzKOY/CcPvx49u3P//Hf/zHL7+8s72z&#10;ncSJchromgb1iGlazXWXVpZvvvfeRx999OGHH16+fBkMdyrv8ASOticxf0PvADB6vu+rrmqEkDKc&#10;4Lq6bqD6cjY+c8M1e8WoptOy/KhMpsjjKIrCME3TOI7SNGWM2rbjeR42BE3TiyKPohh7BWPMcdDH&#10;rW7bjq4bDAQNZUY1ZRrTDcM0LdO2TNPUmCaEgKc6CPwkidMsy/Mc3PWEEBAg5nlOKEEnn1LByjKi&#10;cidneau8KKIw9KfTLMs0TbNM07Jsu+aUcfMnI8+vZ548h1SYPQyitmOUraVpOhqNfN+H40LXDcPC&#10;8gYPFGWMlmP18r+SJIQgXS1J08D3J5NJGEWUENd1m81mo1F3nDJh4BVc/Y0BOXaEgNWLqg1XCJkk&#10;aZomjDHLsg1DR4Tsad4JSunMrWQ5jm2YpmWahmHOnDlMpZwxRglBME/TNA30ZDN2Z4xtKfiPSYWy&#10;vGiWICgoJRolaIrHOUe0DZngUCaqH39tUCFf1Sl+PB4/fvT4m6+/+eNnf/z6q693dnaiOEbDHLjT&#10;DMOklAkhOu32uY2Ny1eufPjhh7du3drc3Oz1emAGe9rIv8vAlIVBliTJeDze398fDAZpmiL1s1ar&#10;6YZBT2c4Uko0jem6xiiTRGZZHkVRHMdccOzOlFLLsj3XRRGPlKVbP03TvCg0xlzXbbWazWarVnN0&#10;3dC0Stt5SdDrDcn3hmHoWqkPCcHzPOcFF5wX4MObxaVhdKZpqmka6PqxjuD+Kl2ORKJMmwsehkGW&#10;ZULIIi+Q32/YVjXSpvbb0wzIi+M5pEJ1W1cZe5qmxXE8Ho/DMEQ1AzgGFYMVdu1XJhUgEmhR8DiK&#10;p9PJdDrN0tQwzUa9Xm80MA+UC2X+w79kzExLfC+KV5zzOI6SJJGSoEAGCdfH9ya4+8sdfWZPEEIp&#10;RWsqzTBM27ZhTSPPFb+6bs12HMs0QTxQ+qWOrMDj41zutirhlVJGpIzjCJqErutov16v198GqYDl&#10;HUXRgwcPPvvsj3/89NPvvv12f38/SVNE3VENXvDC0A1N12zbOn/+/Ie//vVvf/fbGzdurK2tYV9T&#10;RcvzV3rngaFGpu94PB4Oh8PhMAgCBJlQ8c6YdsqkFSmlJKWGxDnP0ixJEiGlZdmeV4cwcBzHsm1C&#10;aJKkgR8GgZ+mKaXUtu26V/e8srWn2oXZrJSkdI5Wsoc1TTMM3bYdFAOZpskYFYKDNEkRGMOpDgcp&#10;SK4s09SYnmdZmqRCilkeHymKghcFZazgxWQ6yfPc0A1soVBn1dd8bdPptFLh+K6q3onjOAgC9FCl&#10;lOq6YTuOYZhMY7CSEC+Cvlg9w4sD91AURRwnvj+dTKcoGkQ0qea6SENWm+b853/JqEgFQgglRDLG&#10;8rxIkiTLMvxqmobj2IZhHpcKR0+Qqjym8iSaxhByMAzDMA17Vn6MTG3bti3TYujfQJWhoFyE80+5&#10;3GsJ/sMKo1LyOIqiKIJUsCwL9aLHibVfJzCXsFvt7Ox89dVXn/3xj19/9RXYeGTpYiKariOkoxt6&#10;vV5fXVu7+d57v/7oow8+/HB9fb3VaiGIBRXvxJF/l6EIJOB57vf7/X4fTfpUKqphGISW8bD5zx+D&#10;EKJslsl5nhdZnvGCo61WWV/mOIZpUkrTNA2DCGlIMCCQiuI4TnX/pZRSxoiclfkTokxexpiua6aJ&#10;FWEiQEfKyrgMHlclHgghSLxeWFio1+s112WEpGmS5xkYCYiUqNBGel4Sx9PJlEhp2pYqq1YxP1UV&#10;cPTNXxlOKxWqKLcQ7CmEKMGI/YhSWnM90zQ1TS+3AkrBKPJyvxLOxnmRJMnU96eTSRAERVHUam67&#10;3W40GqZpaZqGelpCQN7wp4SStWK2HROmaVzwkpW04FIKxjTHKfkk5j58VA80291nj7V8A4uSUXhs&#10;Z9VB8CVRCsfg0W8Vrer4U6ZE+ZcIesjpjKIhBGQb2BVVG+e5j78eqCz4NE13dnY++eSTTz/99N73&#10;P/T39+MkwVZBiNQ0nTJKCbEtu91unz9//uOPPv7Nb35z9frVpaUlcERiEOBMeBcaJDwXEEvA7jka&#10;jfb29pC5D5oy5XZjTDtlS0cheV7kWZZGUeT7fhhGWZZKIU3DsB1H07WiKNIkCcIgDKMiLyhjtm17&#10;nleve06tZluWPrNQ4fyQhEgx882yo6kLh7nyx6KDQpLEWYquISaMEjx6ZIdDPW02m67r2pZlm7Zh&#10;GIZhSknCIIyTGBnialg4F4SQLEujJEbqB2rcyhynt1kqVBc/UvfAFhuGYRzHlDHX9SzbLpvwYMd6&#10;YafYLNelfEJllJlIGPv+1J/6fpwkjLJGo9Fut123punohKFUgPmd8RcNjCeSuNXvoAXkBS+KIstz&#10;0HhZljVjs8CBZREfRnBmKeBpqtYU6vRqIpa/z/Qm9etRnPlEqTD/K/ZXSkHNBB8rXAfdbteyLHWJ&#10;Ez/+cvEEsb4QqKXyff/bb7/9u7/7uy+++GJvdzcMQ+UmKziXQhApdV1vtVvLy8s3b9z83e9+96tf&#10;/WplddWd0Qar7ghvNqXqjaP6ENU4lwVoWRaG4XA4PDw8jKIISe3IyyxnV0nI/9QTqk1ACJFlaRSG&#10;vu8HQRCFYZZlhFJURHMuorK9SpClGWOa4zizPowzXm5K1VOjFN3ZkCaDGymXwOyipCh4nudJmoJ5&#10;mxc51BpINVTCw2OBJm7gSNc13au5ruualpnn+WQ8SZKYYHucgVKWJMl4NI7TBDY0BBhMGfX1K8e/&#10;ktn1M6WCAlhUwaqNwgVN01AwaBiGEJKAHO2k/eJ5gUmgxgI9vrI0DcNoOp3GUUwpdWu1RqPpeZ5t&#10;W7quQ5QgcPqCV3+r8OSmTJDdgrJkREqzLCvyghCJUh1MbjnblWfZoqXWj+fz5ImPcjzKSzwB9cGj&#10;IZ0d/LSZeiQ/KKWEiCSOkdGEvMB2u62kwtxpnzjNy4BaXapiAAGDKIoeP3789ddff/bZZ1999dXO&#10;zk4UBkQQyiiqpBhjyKBtdzoXLlx47+bNDz741fUbN5ZXlmuuq+kaxlm5p1/Fzf8SMVuwArst53w8&#10;Hu/u7g4GgyRJGGOue+TZL+dSad0+MYBSIv1rZn5KwYXIiywMg8lkkqQpo1TTNUM3bMtijCHkq5zb&#10;Nafmuh6YbxhDDxJwmgo8NbihCFH5EXiCuAekzwkpRRwnQRik8I6kqW2ZcHyphOZZGakL2QPzwjB0&#10;Q9cty8TkgAKRpWleFCjlIYQgIyMv8rwowBlhWZaqfD7SswmpLo2XPs1eVCrgnlSAxfd9KaVpOaZl&#10;GTo6X8L0fimLpHQEQfNVdFq+7/tBIDg3LctzXTAswpkOCwOelrkZ9ieDyvQtG36gv02aplIS07R0&#10;Q0ecQB2JIhK1eamRUQc8+32F4/dw4iOu/rWUHERCKsAhyxhrtVqQCnNm8oknfEFUy8fULXHODw4O&#10;/vjHP/793//97du3Hz16FEURo4xICdUHrbBt22o0Guvr6x/9+qPf/e6377333srqqm1ZhBCmq1jL&#10;y7/nXyiqatysuohHUdTv9w8ODlCdgE6OcO4fHQlV59iardC8l44K8O4gc8F13UYdWa16URRJHIdh&#10;mGYZNPdOe6HZbDqOQynL8hxVyjN7Q0pZGgcEu8wTATNJCBFSosNVnMST8WQymXJeWKbZajV6vZ5l&#10;WehmD28YUo9QPAtRxxBA13TDMBCnFkKkSeL7vuCcEEKIanxCkixFgTBjTKVuK50JKLOiX4Fb6UWl&#10;glpRKCoej8d5XoAwCjVSlEIqHC2/F4BE7jAYrzgXcRz5QQBDgTHmeW6z2fI81zQtXddUEhQh5fWf&#10;PNufJmAToBoA5FS6VvJdKO7s15nldiIokSjDRm4iIQRBuSpNWHnkq7nJcsGXNYAyCILDw8Mffvjh&#10;008/vXPnzvb2NrJmKSGo4LNt2zB03dB7vd6lS5du3br18ccf37hxY3l52XaccmCPBW/OoIABB+X7&#10;eDze29vr9/tZlpUME0d1pqV/srQsn3z6dNb9gxBJKMnzPIrCwPdnHSHNer3hua5pGFLKJE2CMIiT&#10;BM0i2+12q91Guy3FnJrnBeyJWQt6BvoD5cSfeWjLVZMXOZxUcRwXRe56Xq/XbXieaZpZlo3H4yiK&#10;TNMEqSpI9I4mMKUUFHumgZwoKWVeFEWew0bBXgUzJeccea6zOm3DMAzwH8/Vjb29UgHPG1IhyzLN&#10;MMEvaFlw25VHvvjdlxY6ZarPTOD7WMCzpjoNx6mVpbkzcgtKq/7xP3GACjhN0ySJQffPGDUMA7H3&#10;2Xp702JSijzLoEzEcQypULUVFOY/+JKAdCMsKs753t7eN99888c//vGLL754/PhxGIZFURR5zotC&#10;8DKhRdO0muNcunTp448++vVHH125cqXX6xqGCccRptj8Zc5AiNolQBoxnU4Hg8FgMIiiCCo8dGoV&#10;xS01OUrLOrJjwHu8KMIoGo/HQRBSSmqug3QjaBWonE/ihAthWabrus1mw625umFAeKPaIMuzKI7C&#10;IIyiMMtyQiSbDwWVziRCJOdF4AeDwSCKQl3XGo3G0uLS4mJPY2w6nfT7/TiOwQzvzrIf50sNJEwg&#10;ahiGaZhI5UByfxTFQpbcSoIQMYvwJUkynU6LojAMo9VqVWm3q6KrcsMvAS8qFVSPWdVEqSgKLiTq&#10;nG3b1jT9yeDkz8ds6ZX1I3EcT6d+EARpljGNeXWv2WzB1Cpdu7PPzT76Qlf/RQBDDZGZ50iV46hd&#10;cBwHehBGApN9/vOvD4IXBUIgIABvNBqdTgdr6fUEaeHjllJOJpMff/zxzp07d+7cuX///nA4xJ80&#10;TYOyahpGzXEajcbGxsat99//8MMPr1+/vri05NRqKoGEEHlmK1RRDY1CBkONU6momqbBN4K8I8Uo&#10;pT5EjmlyM4FBwKY3nUx838+L3LT0RqPheXXLNCkhUogkTaMoztIUdcsoSbAdx9CPxI+QAsVnRVGW&#10;onEuuOBEEkmkFIguEC5ElmdwRk19P4pCxrROZ2F5ZaXVapmGkWdpv98fj8eoWYNkUjVoahwoeMBm&#10;PjEDid+WSSkNwyhJEvjGhBBkpmGAcNv3fV3XXdeFsEHmrjIaqqr5y8KLSgU4trDGQPaUZVlecEmk&#10;bdue52q6DnqAF9yX1QngTUNw2/f9KI6lkJZl1Rv1Rr1u23a5p5R8opClb1o1fl1QsdMsS1FliTwf&#10;x7FV5bDCcafta4TgRYESUOSqNxoNeJCQjfcq5roCiO1gJYxGox9++OHLL7/88ssv79+/f3h4qBjF&#10;CSGMMn3WGujChYu///Pf/9lvfnPl8uXe4qJpWRV3ByGEnEmFOShLXZUxTyYTlDEXRQGRAJoTqJWK&#10;9memtpwoFSTnPI6i8WgcBL6U0jJNd1aGhgSTMIr86RR0zpQxx3Fcz3Nd17FtTdMJKZNWNF0zDcMw&#10;TUPXdV2XUoJ3VYiyagc7W5HnURRNJtMgCAQXtVqt0+ksLy8v9nqUUn8ymUzG08kE9RZlxZxlqeSl&#10;MgYCb48kZbBTEsaopjGQQkopJJGc8yiMsixnmoaliWHJ8xwLVjGQ2raNsXpF+tOLSgUlCaWUcRzH&#10;cYwc3jzPa7bl1hzk92ILopTMskuraaY//a1mVymvxXnZkHI69bM00zQNDGu27ZimwVg5prO97ygH&#10;/4mT/umCC845xzxL4kRKiRI0xjTkWmDM3+SACI50fuiPQohms9lut1ESfHpC1tNg5rQ9CqWUNMhC&#10;xlH06NHDL7/44ss7X/5478f9/f04jDBxJOeCC8aoaVmu5y4tL9+6det3f/77Gzdv9hYXLdtW05Jp&#10;qrTj5dzwnx7QuHg6nfYPD/uHgzBKDNOsNxq1mqtpBtEYIVRImRczKkaBBpdPPDKkAHHO0zTz/el0&#10;Os3z3DTNRt2re65t2oZuaEwr8nw6mfjTaZokvOCGroP91LEdw0QGCiGEYEdGtxxMOSElR1cRwSkl&#10;GmOaxqQQcRKHvh9HEeeFbZqdTqvX6y4sdGzTDAO/3z8Yj8dZUZim5XqeXavZtqMZJiGUlMm1FIKO&#10;ECoIlQikEyoJJVpJRUZ1nWgsy4switM8J4RIIQiRjGkaKFiKIs8yXvCa4zTqdcu0TNNgjDGmzapD&#10;j4b6SLL+XLyoVIAwhNqVJAncxGEQFHlmW5Zj2xpjhq4RKRijYGhT/3CC00gF+AFLkUtK+zHw/SAI&#10;EQlstVr1ugfBSykrMzVRQUdLzeOUF/pFo3SczUR1URRpmgjBTdMwTQNFy9UuYE98+HVCCmzWSF0j&#10;hKDKBLwaL1EqVBfJkVJPiCx4EsfDweC7b7/746d//Pabbw4PD+Mw5FwwSokQgktCCWXMcd3zFy68&#10;//77v/7o42vXry90u2bJgQr6zqMoyDswv34m8jyfTqcHBwf9wSCME0ppreZ69YZhmiiSl4TlBY+T&#10;JIiiKIrzvBBSEkppSbR1ZCUkSer7/nQ6TdPEMEzPqzfqnm1ZoP4lUsZRHPhBFEZ5lgshLNNs1Bue&#10;69qWBdq7We0lHhwDGZECCmPzLJWcUyKLPAum0ygMNMYada/Tbi10Ftqtpm1ZeZYd9vsH/X6cprph&#10;uq7nup5lO0c0SmUmFSGUEcoIY6WcUK+ZRphGNKaZJtO0Qog0y7kUhDBZFJILKUTZbxLU0Hmhabqp&#10;G0i2tGybMaYaTlTXywsunxeSCriwkgoAWvGA6AppttiG8CjmpEKZe3wKcCEkIZRQznmSxP50GgRB&#10;luVMY67nKnce1OFjy/S0V/lFA49DbVIQn3EUlYmVs45Ruq6/eVuhIhXAoIXaZkiFl8icOseEWgLU&#10;9qPRw4cPP7/9+e3btx8+fIicBSIxxwRcE5Zj9xYXP/rooz//8z9///33V1ZWqs6B2SybKTtnqEDN&#10;RjQwGAwGu7u7k+kUVBOu69m2jV65yI9AV90wDKM4RgMDRsuRnvmoZZqWNKVxHFGUiTUbdde1SiOg&#10;7FMbRRH4sZF9BG4lwzA00CuV8mD2+AghhGiabuhw5sg0TeI4FkUhpcAJhRD1en1paWllZaXT6di2&#10;XRQFCrNH4zEhzPO8eqPhODVwg80G4OjF0eUq/6BS67pu2xZqNUodRoo4DIqiwIdViWWSJkWeI/eh&#10;1Ww1Gg3GGDpOVEf+hAn/nHhpnlCU0aoOKmAdQXUbvt4LYrb4JOdFkpRnJoTYllUDH7pp6BUyk3cQ&#10;qmgeBS+mYZiGYRgGITTL8iiOk7Ts0vwCE+ZlQmlnyBQs4368NApfIrBCEE4AwjD88f79zz777Jtv&#10;v9nf30+SBNFv5QfSda3ZbG5ubL733ns3b97c3NwEIcczCGjPUAVSCWALBkEwnU7DMCzywjBMpKIa&#10;hkEZQ/8cuPctyzR0XUoZxwmIErIsLTiHbz2KwhmhRaZpmlur1dyaZVpM08BigOR4JC8oyQ2+ThWs&#10;Oo6SUl7XbNsCkx4SogpegFdV1/V2u724uNjtdlG9LIQ4PDzc3t6eTqeMUduxazXHrdWgbz3X7MV9&#10;GoZZbzTOnTt39eq1zc2NZqvl1jzTMjVd03RN13QEFdI03d/fv3v3+++///7x1uPRYJAlyXEB8CLy&#10;AHghW0FBpcBrmpZl2XA4DMMQyx7R8+M1q8DpbQVKCeoP0jQNAh+GgmHo9Xq9Xm8c+aNPd7Y/VcDP&#10;BkNBiDLEh62WSGmZpm2XtUInPo7XB4meIiXzQVEU4CEALStMTLW6XuQ+S9c/Y1BNyo46Wfb40eP/&#10;9Pd//w//6R/u/XhvNBoVRQFSllnzd2lZdrfbvXb9+kcff3z16tXV1VXMMaUCz1/pDE8CvjtkEwwG&#10;g+FwGMcxYdRxPc/1LMs80tnL4wljjFAihEiTtCjKnR2N1uM4Ho3G0+kky1JKaa1WazZb9VnCocao&#10;4BxVtCh/UYUCtVoNNESlb/lYtiulFCS44EgnKALNsixLkQ+6sLCwtra2uLiIDmuc88lksrW1tb+/&#10;L6X0vLrr1Ws1F3lBM9r5kyXQiSinupS2bdfcWlEUURgWWYJqHkrL5lpSSikE6ABKOWpZmqa7ngc3&#10;5ty0fJEp+kJaD24Vr+Epsm0bgXiMUUm98FJshVLdK2Y0fDmSX13XrdUcGG5HyahnIETTmGkatu2Y&#10;pkUIQW9biQp/ecQo9aZQlp7M8jRQu4AQ9PyhLw9CiMlk8ujR43s/3Lt79+6DBw+Gw2GR56XhMuNP&#10;dhyn1+ud29y8evXqtWvXNjc3O51OrVY7lj15hqcCGz7yEg8PD33fx8A6tm2aBhYr4n1cCGwRuq7X&#10;nJpbqzmOzRjN8wxGxmQ6VV2X4RTyvHq97jlOzTQtiHzQKyRJApaIer0OPnMwCP1EXv9sNaCAYJa3&#10;SHVd9zxvcXFxcXHRdV00CNrf39/b2wOJg2VZXr3uemVzaeCpVzkJuCvcnWGYnXZ7fX39woULG5ub&#10;CwsLlmkRSQQaMwiJRPMgCLe3tr/77ru7d+/u7e+FUQhfmTrni8/PF5IKgBqFmS2mg/0DwQZIvBcX&#10;DEKIsul8msRxglJ19AAwTZNSRmYsh/OffJeA7ggYBxQSoik5pRS6uSxbf6iA9BvDnFRQBMvPZYD/&#10;JNQJEVnJ83x/f//257c/+eQP9+/fH4/HcRxnec6LAlqOENwwzIWF7uXLl3/1/vvXr19bXV2t1+uv&#10;Oln2Tw/IOwqCYDQajcdjBBo9r45+J2ViPiGEzNpuEKJpDBVn9Xrdsu2i4GEYjsdjtG9Bob7rup5X&#10;9zwXMQBMnCIvu96gMhFcddW012eJBAKxQODLIqQsb/Q8b2lpaXV1tdvtGoYB8fb48eO7d+8+evQo&#10;TVM0BUFeKzh4sAEKIXGG+YucBCgZMC84LyilrVZrY2Pj8qXLqyur6Fw7605NELgFzfu333z77Tff&#10;Pnr4CH0wsR/On/3n4iV4kPCAMe4qhCiEgGfQMAx4kNTxsyQz9F4osySrZzuWvVpaJEKIMIxGo1EY&#10;RkIIuI8ajYbtOFXJVD3buwY8BQyCKHPsmBAiSVN0JDYtyzSMsp3hGxwrWQaB8zz3fT9NU5h9juNg&#10;Mb8sWxgzU1UVoDrh9me3v/7q6+2dnSiMZOk7oJxzQimaSKyvrX/00UfvvXfz4uVLq6urc/wzaoTP&#10;oKAiovgVZEfT6XQ0GvX7fd/3NU1DOMG0SjZlqAWEEEJmaUHlwFLGKJEyy9IoCtM0BQ8/dPN6vdFo&#10;1B3HgZdGSik4T5LI9/04jimlaPVqGAbsTsyrmetvFul9EjNtnaGWGFmttm0tdDrNZlPTNJRkj0aj&#10;wWAwGo2iKDIMA3yomq4zTUceLSLjnBdCnJaeaOZuwQiUdNmObeuMxnGcZzkXHKFZ07RA/cQYFUKk&#10;acKYZlqm63noY4hH8EQexM/FS7AVAHUfIICFE1YFEmHjvKA0k5LAXEDpXKWRJKWUzszAF7rELxpq&#10;NsxmhEQ2vaZpM+YoXiCgKzgS3t4YZinDRzc7iwG8XED+wckwGo0eP3784MGDx48e7+/vT6fToshn&#10;fGSUMc00zJrjtFqtjc2NmzdvXLt2bam3pFqqHb/hM5wIbE9RFB0cHPT7/SiKZjr+Ub8zPBQcXx1R&#10;bNC6rhuGib7NCI9xzi3LrtfLVENK0fZAEiIRZEbVi8pkw2PCVZ7MDjjh2c1qY4s0RYcYVuawUpok&#10;ye7u7o8//vjgwYP9/X2ouc1ms9Vq4euYJpJiWem+lqiAe46mGvjylFKEB3TdcF2v2+ud39y8dOnS&#10;0tKSrut5lqVZKqTgghecp1k29f29vb37Dx7cuXNnd3cXIRD47V/cMfNCUqG6QtSC0TQN3CagjgET&#10;Bvx9cw4vaGmnhJQkL/I4SeI44bzQdc12bNOy2JMRZvhInvjkOwZZaiClCqZryOTWCKWcC/CdF3ku&#10;xRsdJTVdZpg/4CVBnR9293fffffdd989evzocHCYxHE1b5VpDLxm58+fv379+oULF5ZXVry6e3SL&#10;r+wm/2QAjR5FS2WBQr9fFIXy5xhmJchcGVUhBBeCC4GYs66j9EjTNE1KyYUglNYb9Var5bpI9SFC&#10;SM4F5wL0wGgA3mq1FhYWTNOENwlR2SOp8JQnCIdqluVIexWC6zpDUGQ0Gm1tbT169Ghvb28ymRBC&#10;Wq3W8vIyKIlgHileesGFCpKfcrbAdJFlpraAnYRW0uvr6xcunF9bXUV3vyO1SRKEnQ8Hhz/eu3fn&#10;zp1792YZEzORPH+Z58QLSQUF9XRhwaGBBqJziAKBtHY+efzUMU8Uo6Mjal7kQkpdNxzbtkxTO9I4&#10;8NBPe84/WcxiBpiduq7phm4Yuq5pQgrQQ75cL+TbDJTKgm1pb2/v3r179+7dOxwc5ll+tHqlpIRq&#10;jDUa9atXr/7+d7//1fvv9xYXLctCQ3k1Y2eO7Hdi6E4PjInyCMVxPBqNRqMR6pbAd2SaphACZcM/&#10;hXJ7gIbHGHNsp+7Va45jmoam6ZqGsiQqhACvHC84PFTtdtvzPISFkcAKU6888ckbTvmmEBzMFpPJ&#10;NIrjOCq/BSqo0UEWO5tpmlEUHR4e9vv90Wg09f00zZSXW3VoOA2kJEVRCM7VPWRZlqRpkiQF55Sx&#10;musuLS31FhfdmouoraZrUIXjOEYVyKNHj3788UeYMtiB5y/znHgJUmHOGERzdpUAgNISCPMXcSIV&#10;RVEUnBCiMWbohuM4yK4pG3DKciq9DXHUNwoVjCHwn6A8B/xCRJIsy9M0RSPAdwGoovJ9//Dw8OHD&#10;h99///3Dhw+nk2lJekFpUfC8bJNi93q9W7du/e53v7t67RpKhKrqzplUeBqq+mlRFEEQHBwcHB4e&#10;5nmuaRoqE8tU0ZNGrqzoIoSS0kUcRXEUxdBdHMdut9vtdmu22ZUtcQil4LUOgkBIgQxUEO0htFkU&#10;ha7rT9gKJ0EIpDngulEYgo/On/rT6XSKIPni4uLy8nKv12s2m4g8I8YwGAxGo2HgByDWJoTMWr88&#10;7y6ET4k8L9I0BT04smwd215fX19fW/M8T4crWBJ0EhNcIOv30aNH9+7dQ/2ECvHOX+F58KzxOg2q&#10;mpSSEIwx9CxFhq/ixfzZKwqfYoyapuW6bqNR9zzXdWtgccAhhJSD+w5DVmckpRQpSYaho+NFWc1f&#10;FIqn908eaBS4u7t79+7d77777vHjx8PhME3TghcSm5kUmqY1GvX19bVLly5vnj+/tr7WarYYZYJz&#10;MltjP3vqvjtAJjqyhg4PD+FvAa208ged6DRGEFVKWZQcR/5wOJhOJ4oMrtVueZ43az9OhZRFkWdp&#10;miQJ8jJN01xYWEDVMfQAZAFBuVYb1ImWAnIxfD8YjydBEGRZJqWkhGiaZtu267qNRgNJlVViV13X&#10;EcHmBY+TeDqdzBKlwIZ9/DpPBSrUwjAaj8ej0XA8Hk/9aZZltmUt9nqXL1/51fu/unbtWrfbtSyb&#10;MSYEV/WYWZqNx+OHDx9+9913Dx48QK7X6TOgnoYXlQpVqNEHxQIyzEzTRELCiycdMjwnz3M9z3U9&#10;y5rRox49hCc05XcQUh4Nwqyonmqarus6SjpmxQrvCmAobG1t3bt3DyLhyENBCMwpz/W6vd71Gzc+&#10;+OBX6+vrjUaDGTrVTyhEOpMNTwO2yxkjRYBcSdM0G42Gyj/knOdFIY4NoJQCEQJe8CxLIVeCICBE&#10;1mpOo9GoldzUhmVZuq4JLrIsS5IkTdI8yxmjjUZjcXGx3W7rug7PBPzVp8hJJUKIJMa2PgqjSEhp&#10;GIbreu1We2lpaWlpyXVdeMLVmTVN63Q6S0tL7XZbM/QkSUaj8cFBfzgcBmGQZtlz2eJ5XoARZG9/&#10;f39/fzAYTqc+obTXW7x27foHH37w61//+vqNGxsbG41Gw7ZtUPOWAQkpizzf39///vvvf/zxxznG&#10;35+Nl5CZehyoIIXEDoIAdc6aps2aOZddUqWUT2msUWVLohA3mqahUyv629m2ZRi6pqFesXQQz2z9&#10;n5gHf+qoDB0lhBBwSYBeO8syRplbcy3LxC43Gy4JB91rGjqB2VFEUTSZTPI8d1230+mAsgYaX3X/&#10;Pc1diaIo0hxrJg1j+DXSON7Z2r792e0//MM/Pnr4MIlizgtCCGUUSophmYZpbJzf/O3vf3fz1q2V&#10;1VWvUdd0jTJKtRk3GyFVs/gdn2AQjXg6GAc4h4UQiDCjCgSGQrVSnVJqmKamaVIepaeXA0lJXuRh&#10;EE6nfhRFeVHoGvNqTqtR99yarjEqBRGcCC4FL/I0T5MkCrMkZkQ26vVut9vpdBzH4ZxPp1N0eXEc&#10;BzLpKDWZUlG2ciNc8KLIZ21apuPxJI4jSqnreo1GvdFoNFvtmlfXdDPnPE7SggvCtJzLiR9ESaob&#10;ll2rEaajBC9N04JzjTHKmGmaZd6acl2UIU8hi5yIggjO8yxL4yQOkzjMs6TI0zxPRZ5rlDiW6bm1&#10;Vru10Ot2F3vdxV6j1SwEj9MkydIkS+MkEURSxgRc50IyQpMksQxzodVxbNsyDMtyKDnJX3e6afvy&#10;pQImCh45eJJRkQjacVhhpVQgYBN84k7n1h4wOy1lrEpscpSWOjvs6Ph3EtXBwECUi5bzshNhnuea&#10;rtdqNVijjFH8wzovP/QaUJascRAsc849z1NSQRFLAKe+q7JGVM2VLMvG48mjR48///zzr7/+6uDg&#10;IEmSIi9ynktULelavV7v9XpXr1794IMPNjc3wds6JwmOj+z8ld9JYCiUkIjj+ODg4ODgAC2UQV5S&#10;5TpkjFHKZGnRHq37gnPUpk6n/mQyieNYY1qjXm82Gihh0SvlNZgzvu8jnuy6LhiKPM9Dp9XxeOz7&#10;PqiUld+pfGqV6iik8aAKYTKZICHV89x2u9VsNl3Xg11SFPnsWjnnRRxHcRxJKcFnZximpqGEDRRt&#10;PM9yKcWs687sWsq3S46aYuFWh8PhZDJJkoRS6rruwsLCysrK6urq0tISvpRt25ZlqUwn3/cHg0GS&#10;JFJKsCSJggspiCSmZeq6pmm667ntdpui9RuRmL6zZ1b+/7Px8qWC0iNQ2xyGIZ6faZoYLNVsS0h5&#10;vLHGiVCzStOYjub0s0qF+UPPcAxSSiEk4mlZllFKFac8xHPp2yUSSYPzn38VKJ0GRRzH2ESazWav&#10;14ONbBhG9dhTbsQV1YwySiUho+Hw4aOHP/zww+e3b9+7dy8IAihPsmyKQHVdX1lZuXjx4q1bt27d&#10;urW2tua67mxASkXrNJd+N4GRwXrP83w0Gu3u7h4cHKAmEYZCtRE3pVQQwstsJTxTybnI0iyOozAM&#10;g8CP40TTtGaz0Wo13ZozR0fIOS/78gYBrrKysrK2toZ+TQgCj8djUCEpTq0jASaIIOCNKJIk8f1g&#10;OvVBw6Xrer3utVqteqNRq9Us0zIMHfUKw+FwOp3CKZTleZplvCjQZdMwdMX6jtzWLM80xsrkDiX/&#10;CCGEYhHmeZYkSRRFcRwnSQJPF/I2u93u8vLy0tLS4uIiqi6wy5Vsx4bBGJtMJqPRKE1TDKngHI2s&#10;oQDGSUIIWVpcWl5ZpoRKIZSeROTMg3AKvMy4gkJpLRoGSlfwYLIsw0CUFhznp4/Ty5mYxQCpjttn&#10;Tt7TANQXhmkiD4RzkaZZmmaISklJhIBOUdoWrw3QgLBokVoOpaGqW5xSJJSobOV5ng8Gg7t37371&#10;9Vc7O7txklDKDF3X9PJC8GSurq5+8MEHN2/eXFpaqtVqqtfu/JnPUIF6KHAUY6eeTCbgpaCUYkdW&#10;3ZiPHuIsF4JSSggVQqBzMvTxPC9sx+50Oui/pMQJ0gJA9Tidlv12arVar9dDXhBkDzg2sMOgpAsl&#10;BXiaUkqOCgcuEAkYDodxEjPGXNfrdDoLCwvNZtOe2Rb4idXBuVD9XQghWZaPxuPBYIDSOdM0Xdfz&#10;PM+yTHxFVN4VRZlvSghiJzxO4slkMhgM0LPScZzFxcWLFy9euXLl4sWLa2tr6otX2QdAnb20tLS+&#10;vr6xsbG+vt7r9dCOLS8KNJqWkoRhuLW1df/+/X7/YDqZxEn85CR+joDrK5EKap2j+hxWJDKRkiQp&#10;2Xiw7E97n2UCGZ4Lxv1F8lzfKZRpSIZhGPDqCpR+5DlyFWbP4vQP42UDu4bC3PtPHPpszA4uiiKO&#10;on6///VXX3/91deopVJnh9ZiWVar1bp8+fKHH3547dq1Vqs1l2v0fJd+96C27CRJoKTDJaCsBJUM&#10;Mv9kJSkKniRJEIZIAg2CAF6U5qz5ErRjRX8NqRCG4XQ6TZLEMAxo1o1GQ10F/v08zwkhcDIjvQel&#10;0eWVRZkoNZ1OoyiSQtq202jUm81mvV63bccwTL10TZeywbYtEGxwzgXnmD95lvt+4PtBmmUoEajV&#10;arWaa5km5zxN0UEgF0ISUn7ZKII9VBo6mqa12+3V1dXLly9funQJe329XsdtQ1tSpjzI5VZWVi5d&#10;unTx4sVer4fQhWmaeAYIkEzG4/29vQcPHty//2A0HBZFXq6I59wnX74HCcAkQPYRGqiiZAGm5awb&#10;NaXstH1HZ5pj+Rv+77l3jXcPGCIpERNDZThHOodllX4kCAZK6etrM4laTl5Uu+40m02Y/NVucc91&#10;P4gsESEC3+/3+199/fU//uM/PnzwEClwjFKsDi6EV/dWVlYuXLjwZ3/2Z++//z4Y0NS1cF2Fuauc&#10;AVCVzEEQ7O/vHx4eKt9RtUl4tbW1pIRQJgR68IW+HwS+n2UpIcQwzHrdQ/XrzNFcOuZVLAG2iCog&#10;aLVaiEIhdWUymYDNVBWvwVMEMnlo1lGcTCbT6dQveGFZpuvWXNd1XXdGv1rGJpWhgC6hWD5ZlklJ&#10;DMMwLRP9+gRqskVJBIdiWymJpjFN11FyhojLZDKdTidpmoC8r90uE5xgoGC44FpXLqkqlITAX1Gm&#10;EAQBRfCg7C0qpCSartuWTRm1bbvdbtu2reY0lkflAT4Vr8RWqH4TcCLZtg1h/rNr2Y5/nePvnOFp&#10;QOUC+pMQSoUQRZHz+cr41zygR8HtsnJAWZBHwuxIc/9JSM5BE54myWg02t7eefz48Wg0yvMMzGUw&#10;5HFdz/M2NzevXr26tLSE4La6mZ939XcE1WekXkP5C4Igz3Mk8ivnT7l1qpkmCRovR3EcBGEQoMku&#10;tx2n1W612u1azdXhsNdLVx4cR8pKsCyr1+stLy93Oh0Ek+F8R24LmnHh9uBuGo1Gw+FwPB5Pp9Pp&#10;ZDoajrCfGrre7nQ6nU6jUaa9KXqlCksC0TXdtmzbtgmReZFLIi3Lrnue4zhSkiiKJpPxYDgYT8ZJ&#10;kjBGVVRMgpxS8CzPoij0/elkOk3iRNO0bre7sbFx/vz5lZWVhYWFar8TAAJADaBihWCMLS4uXrt2&#10;7dKlSwsLC6jXQ+q50pTzLD842L//44/9fj+OIvQskoQ815778qWC+jL4FQUmiCKC7RbJMIQQ3dBP&#10;vxFhrFS3VfV6/rgznARKqa5phq4busEYy/IsjpMZixZFQGv+M68YUL6UloDmHDPb5ZjP4TSYRYnz&#10;ohgMBl/c+eLHe/eiMEzTrMhztYdhTlqWtbi4+MEHH5w/f75Wqynfd3VBPvcNvANQkqAqGNBaB/23&#10;q5Gh6ujhNYigJ5PJZDz2/Sl2Usexa47j2I5lWoZhaIwJITgX2OcQtMBer+t6fZaHWq/Xq04qJX5Q&#10;FwXhNEvA40g/9X0/SWNJJPi6Pdet1Vw0CiVECnGUmT1ra8gpJZZtuZ7neZ5pGMo7BO5SCCRCCC+K&#10;LEuRR4TSXfADTieTcZnjlFum2Wg2FhcXV1dXFxcXsSWiL5mafseBoCC+JnyeKysrKysr6+vr58+f&#10;b9TroH+HY0ZIURT53v7+Dz/8sLu7NxqNozDEkxLPQ5n38qUCAJMK5CStVgtlh4wxRBeiKCqKQgpx&#10;yvDm/FBVMH/oGeaBgAFVnQh1TaOESikFhwJRNsR7rWNZslRymPbwkMKldXyRzH/2KcA3ZIylabq3&#10;t//gwYOHDx9Op9OCl13YYJ7btlNv1Hu93sWLF69du7a+vu55HpTN6hWf9+rvCOYGRA2RsvCwNSsO&#10;DIw5nDnYmkej0Xg8CoKQC+E4tYVut9vrNRrNWTtFlTwqQayLPR2+qV6vt7S0BJEArbyasar4Nxlj&#10;aO0HsmsU0qIoIctyy7RmUQT7ePNO9dxnN840plmmWau5nlc3dCMMo+FwFMcxMl9rrmuZJkQjbNBW&#10;q1mv1xljURTt7x9sbW2PRmPD0JdXVi5euLixsaFEghqcZ8w0dT+YwIyxWq127ty5mzdvXrp0qbOw&#10;gGgzTsI5D4JwOBhs7+xsb2/t7u2OhsO0TGPVT77ASXhVUgEAMVaj0Wg2mxiFNE1930fp4/zRZ3gF&#10;mKWHIx1QK7UbSjgvCrQqhoEvyWv2IEGtm/WRpiBgV7bCnE56GhRZlqdpHMXDwWBr6/HW48f9w8M4&#10;juFWoowRQillNbe22Fs8d+7chQsX1tbWFLPvizNNviOY28LgJQZtHBZ4GIborRLHMVRAtFQbj8ej&#10;8Rh1y0WR61pJmOZ5Xs2tmaZBmXLlMyKp4BwB5DiOi6Ko1+vLy8uLi4tIOqqkhJbqBaLK2NCxh1qW&#10;hcpq/ElKgV210WhCo1fy7Ckoczl1XXfdGrZ70zSgZh2tJlJ2u6KUQTghnhGEoR/4URRJKZvN1urq&#10;2tr6Wq/Xc10XUw4HP/MGngC+qWEYKysrN2/evHz5crvVNnRwBTLQ5nHOwzCaTqYPHz769ttvHzx4&#10;MJ1OuRDPFXB+VVJBzZvqgocjLAxDZI9JQp4jCekMPw8lyQxBryvDMHTdIJJwITjnggtZkmCcluXx&#10;FUHlZSvd87lEAiFESpLE8WBwuLW1tb29MxwOk3g2zWbeDKaxer1++fIlVCc4joPPQmubP+MZngL1&#10;aLAv12o1bNboa7S/v49ytr29ve3t7cePH29tbe3s7Ozv7w8GA9/386LQDaPRqDcadcd2dE0r56iU&#10;smzHRCSRczlFYMkGiU41exh2CchxcUuw/PDQ0ek9TVPDMOr1OuqWPc81DJOQoxK8p31BAO0zazW3&#10;2Wx2Ogvtdts0jTzPoihKk5QQ4rpuo9HUdS0Mw8PDw4N+v98/DPyAEup53sLCQrfbbbdb6D82l3v9&#10;vEDy0vnz58+fP9/tdR3bppTC7kchCE6+vb1954svvv/+h+nUl8g9nz/TU/HKpQIWPDKrlMcNopsX&#10;hTxT0F4XIJ6V2xfjj75RlRU+/6lXB+Wowa9qfSo8r/KuG3qa51tbW999993jx48mk0mWpSqEjZa8&#10;tVptaWnp1nu3bt26tbi4qLzSyhFxhmdjzlBQCehgkYNiDu1eZWHCUACiMCiKnBJac2r1eqNeV4wU&#10;lUsQpJ6LNM3garZtu9FogKVO1b1X5wkMBdBuq+Cz6vcFwjtd113PdV3PNNFSPitmLaietjsj7Ewp&#10;oZQhU9a2bfBp27ZDCEEowjRNx7Ety+RcBEE4mU6nk4nvT7MsNU2z1+utrCy32i3bKnNelTOzWqD3&#10;k8CmjyWMQoeNjY0L588vLS15nosVrWRqlqUHB/s/3Lv38NHD8XjE+fN1U3lVmalKUGMaKW4pPD/G&#10;WNlSVTNAXAOURdpPCpUzvBRIKTkvqXqzLJVC2LZTq9V0tDsvV/vrGnYp8ixD3gFI4ZGrh3bfyq7H&#10;5DlxMhxfyVLIg4ODLz7//Isv7jx48GA4HKCQWwhBpLQsWzf0drt9/fr1jz7++MLFi61Wq5qNejbr&#10;To+5p4PpYxiG4zhgH2o2m57nYSvHbo5kIUM3LMuxHafeqDfqDdM0YKriDIwxNA2UEtmoURSGIMvp&#10;dDrdbhe9DeZuBs3h4bnyfR+pq4ZhFEUByVQUxaxtp0kpQ2p/HMdpmiGerJQDNQekhI+IMsbwPRkt&#10;uWGwreu6ZlqW4ziOYxu6XnAeBGEQBHEcZVkmhZCE6rreaNQXl5YWl5barVatVtP1o4iZmsBPm+HH&#10;UTWPNE0rimI8HmdpWhRFHJVU3uAUQX2GoeutZnNlZaW70DVNg+lP9B6v3sDRNQh5hVJBXQzLEnlj&#10;hBD4HFH3oWk6nXEZgcpj7tmc4WUB4znjkU9n9Z+mbduGboD4glb5vF4xpEAlXYZ0csYYpAI6NeEY&#10;temcOBngQVari3NeZNnO9vYnn3zy1ZdfHhz00ywTvJxUjDHD0GuOs7q2dv369ZvvvbeyulrNYAFO&#10;vNAZTkT10UBDV7zTrVYLCnW73W61Wu12G7s50qNty/Zc163VbNtGOj+RBFSEZRKCEILzPM/iKIrj&#10;WNf1ZrPZ6XRQzqIcROpO4KDPssz3/SAI0JTNNM0kScDTh+wdwzAIpXnB0c8RGioXnM4sRUgCMPOD&#10;ELuUEJUvDLUJOrtpmrZl6Zqe53kUBr4/RZdDwTklwrZtz3VbrdbSYm9lable90yj5PSuCJ6jkVRf&#10;5xlQwhgv8BWIkP50OhqPsjxHhR2hVEqpMabpeqvVBp+SY9u24yClpCqTTpz2p7VfngtKfVDXQ0/t&#10;brfrOA5iJoggcV42BZOYHWeRhpcOSiij6N4MVgnTNCllhFAheJ5nsIKVPT7/8VcDaIgqaaTKmVg1&#10;sZ/h2FH+JQSK4zgejUf9fn9/f39vb2/qT8tMGFyJEEppu925dOnS+c1N8GuqQMIzrnKG4zgxfxdS&#10;wfO8dhtlAJ2FhYV2u40Wx4gPSyklFxpjNcdxbBv1CAYr6eUkl7LgkgvJhSh4keWqcw4MDsXIjUdW&#10;RbW4pEqPATIF+JEQ907SBBO+TJONYhQ0hGGIUv/Zt4ODvjIrpATdEKrTQKkSBMF0Mg78SRpHRHCN&#10;EkNnukYpIbapdzutlaVet9Nu1F3bNFSy0dxXOP3cU+JEJapubGxcuXyl2+3alqVrGiFEzLpV5HkR&#10;heFoNHz06OG9e/cGg0FRlFngCvMXmOGVSIXjQCYv6uBR5ZHneVHkJa8TQ+kBJbAezwTDSwSGU5ZE&#10;Uoxp6G5YEQTl/HidMR5BygQMpKVC8zq9j3VOweGcB0Hw8OGj+z/+CM7ONEngTSaEECKlEJZtnzu3&#10;fuP69cuXL4PcYm41nn5xnuFE4DmiahVBxFqthlWPJZ8kSRRHhBDTKLmmZ8xulBDCRZmQU+7paQI2&#10;BPSBV72Lj0OJBAWkv4NSAZZEmRkVBHmWUUodx3YchzGaJPFwNOr3+9PpNMszxNqklIqiv5wVR+cm&#10;hFApj5oiHB4eBn6gus6BJhY0UL1eb21trdlsPtfEfjbUfTDG6vX6wsLCuY2NlZWVdruDCA3Uatxo&#10;luf7Bwd3737/ww8/7B8ccF5243m2ofBKpEJ1/ACofq7r1mo1CAZ0yo6iaJYyP1M5yvrt6vnO8OIo&#10;HwfTmK5ruq6Bzla11C7T406aH68OZRKUELBg5tLGn41qhZTqwfno8aNHjx6NhqM0zVQqnq7ppmmZ&#10;llWv19fX189fuLC0vKxY8NQJjwuJMzwXyuU7S6tHbBZph2DFmPEaSI1plmVZpqWx8nFXB19RaPi+&#10;T4hEtRMK1p62t2K3UVmeaP4DE6Gc9jO1w7It27Fd16vXG/W6Z1llBxtUnAV+EMVRmiZ5jig0/glZ&#10;plBzxOTCMPD96XQ6iaJYCEFnshAhMTQcazQavV4PjYAw2Y7vii8CnAo1fYu93tr6+rlz53q9Rcuy&#10;8Wdd0yzL1DUt8P2tra3t7a3xeJwd69b+tFs6eaBfEOpK6nkrUkxV+5dlWRCGSZpg/JFUPn+iM7wk&#10;QNYyWvKQM6YVBY+iGD2R0jRDJsZrfQRSYhmrzIr5A04B3DCkwvbW9u7eXhgGyDiShBBKhBSarqFX&#10;F7Ld6/W6bjxRKDd/0jP8LCg9VAEugclk0u/3fd9njNVqjmWZcyIZwLMQQiRJMplO4ji2LGt5eXll&#10;ZaVWq+Fsxz+FPR05LLNafQLfEbJaMcFQFdzrLXYXeuAdsm3H89xWs9lutSzLCsNoOCyzZmdfpFRP&#10;4ZKBuxX2we7u3sHBQRgGlDLX81rtFkwZlGETQjqdzsrKiuu61c1QMfT9PGB8lMepTNKTRNO0leWV&#10;q1evnL9wvtFsHDV1kBJm03g8Puj3D/uHo9EIrW6qBzxxjRleiVSYg1p7yE9dWFjAeKVpmiRpmqVC&#10;8OdMqD3D80ISIimjuq6jWxF6tIVh5PtBGAZJEmdp9rzJoD8bjMwnGsHHOn/c06HWBiqGDg8Pt7a2&#10;9vf3wbWHlUwJkUIYhrG0uLS+vo6Wiq7ngVbhuVy6Z3gGqmJg7lc0aINU0HUdDEKo4SoTFBklhKDY&#10;HtlBURQVeaFpWqPRAH+caZrPkAqYA1ViVNRRz3gpGAhNEQZvNOq1Wg28kI5TQzDctm0pRZqmaZJk&#10;aVoUZSmcpmlgwcuyPI4TdICYOaYkY5phGI5tOzbaKZcRsnq9jkZA1dSJlwKslLlzarq2vLx87dr1&#10;8+fPNxoNpmloXpHneZblnIs4iQ8PD7d3th88eIDGU9UnVT2VwnOsw5+H6jdhjCEeVa/XYVrmWZZn&#10;WV4Ur20/egdx9OzLhBxKkXJHSJ5nUYS8sChJYtQuqCVdff1ygYldPfnzXggzCm2tfN/v9/t7u7v9&#10;fj8IwoIXSGkjhFDGXNddWVlZX1trdzq247Ay1eplLtczqGdXjUXjmSIqG8cxY8x2apZlw4Yr4/yz&#10;UjLBRZqmQRgkacI05rqu59XRjEz1GzhRkCsPlSIuVYkMuq5DHiDIYVmWViaHMvALOY4DBuxazTVN&#10;CzW2URTCyBCC53kex5HvT4ej4WA4nE6nUsparbaw0On1uu12u+bWpJQwTQzD6HQ6vV4PPXMUJ4ca&#10;luM3/7yYS8qgjFqm1ev1NjY2lhaXao6jaZqhG7Ss4xO4YBAEBwcHD+7f39/fR/PUZ+OVSIWnfXn0&#10;7Ws0GqpHEjyAeRkYpPIsIeQVQC1YxPQkIRorGVQ1TSsK7vs+qMqyLEeYAZ+blcY8x2Z9SkCX/xnC&#10;AFCfklL6vo9i2sFw4E99lbGKZaNpmm3bvcXehYsXl5eXdXh45893hhdFVYdVr5Ebhh0TcWPHsXSj&#10;5O3RdE3OuloivhXHcRRGRVHUajVQ4IEmR5WwPO3RQTlQtgIizAhZ2baN6LdlWUjZhFKCXr+IN9Rq&#10;juvWTNNATCLPc84LZE5jgwqjKPB9f+pnWc6YZts2Ir3tdsu2bCElnFeu6/Z6PdUfYk4SPJcp/Gwo&#10;VZsSohl6zXV7vV6312232416HU4kxjRdN6SU6Pizs7393d27/X4fWRjV53UcL+1GFSo3PP9OlVgb&#10;BUQwzdIsmyNSPsPLxhOlCCrMM+vDQ7IsC8NoPB6HYch5oewEwyjdTS8XlFLwDVTfPP2jV+stTdN+&#10;v//48eO9vb0gCIuiIERCHuAw8BwsLS5ubm4u9nplDZQ8c1e+TKgFDuBNBI1Bd1phytMZ05B6hPgw&#10;F7woCrRjQ/sEz/WWl5ZXlleQz/qTIuFEqBmu+O9wY5RSyAY5mwOoqEWnIEJompbCIAiC0WjU7/eH&#10;w2EcxSoVqtlsep5r2zahNE0z3/fDoMxBarfbKysrvV4PXjJ1xeOD8/JACSGMEtu20MNnZWXV8+qU&#10;UHALSkKKoih5+h5vDYfDOI6Vqve0+3n5C/5E4DEgqRmUWLVaTde0LM/iOEpnCQPy+Qqzz3Aq0LLZ&#10;OIFwYJQxTUOlj2mW7XcIIXEcTSbjMAyyLJs5astmbfNnfGFQjTKtnHs/b7VgRsVxvLu7++OPP+7s&#10;7ERRVAheFsoSQgjRdL3ued2FhY3NzfPnz3d7i47jHDV0P8OrBGqS0Jq4Sp5KwEWRF0VRIM0nL/I4&#10;in3fT9PUtu1ut7u6urq42Gs06rPux889A8uutEbZ4x17NKOEsfmphqgyWtgSSooiR7wzDMPxeDwa&#10;jaZTn/PCtp1Op41iOuRE8YL7vj8ej+M4QZ7o4uLi0tJSq9VStByvDZqmLXQ6ly9fuXDxQmehQxlU&#10;Lskok4REcTwejx49frS3t4e+1srhNn8iQl6fVFCPFqwpEAymZREi0zRDXOh51YEznBbls1fKEdUY&#10;o5TBjWOaBlIy0EowiqLpdBqGIdqXF5y/qmcye+I/TypAjRBCjMfj7e3tfr+fpqmcJTVJQiglbq22&#10;0O0uL68s9nrNZpOgF9Xr7k79TgMJQjNmXlHkRZ4jClCgvdpoPBqPx1EUSSJdz11cWlxaWmo0G9bM&#10;nYDzPO8kwdxQHgjICVbOeRwCRR7tetLpdIpqhqLgYRiNJ+MwDIuCG4aJLoHNZsN1PafmqNZvSRKD&#10;+1k39IWFheXl5WazeZyQ4/VA07R2u3Px4sWLFy62Wy1KCMacUqJrOqU0zfLRaDQYDEaj0WQyqcac&#10;j+N1SwWociBLqXt1TdMhnCG78DWe6/Gf4ScxtxHOqIaplIJzcAu7jUbD8+qM0SiK0Lsqy1LY20+c&#10;62VBSvgQMKGVNjd/2FOAoCJ2nOl0ure3d3BwkKRp+WdJiJRIYllfW1tbW6vXG7M/SUIpoWcGwysH&#10;phl286PKsihM0jhJkjAKfd8fDAcH+wfD4ZBz7tbc5eXl9bX1Xq9bqzmMlVoLdgzlxnzGXlaFosZD&#10;dzb4TKQk8EagzgsNNfMih3waj8dhGOH1ZDxGjmm9Xu/1uuBqrdUcyzQpJUVR+L4/Go2TJGYa8zwP&#10;1Qkg5Ji/lVcNWoZpXM9dW1tbW19rNBroMp2VeVmSEMJ5kWXZaDTa3d09PDxEqt78qWZ4fVKh6u0t&#10;qQdbTUPXoTWkaZLnWcELcbqnfoZTQvE+YjFg/FHXQwjlvJCS2LaFlrkl52WW+UHg+34Sx0rVermQ&#10;4qjsqNptav64pwNdIX3fhwY0nU6PErGJlITohtFoNDc2Nzc2NuqN+vznz/CKgZRQ13XResG2bTi4&#10;oyhG0luSJFJIwzA8z+t0OssryysrKwvdjufVDEOfmwuYh8/V3BchaIS74zjO87wQvCTUkZLzIo6T&#10;6dSfTqbTqY9ecmmacF6AL8+2bdet1et1dIBA3Bu0fXGSTKZT358SQlrNJvJQq73hnmsmvxgklZIy&#10;Shm1LGthYWFleXlhobuwsIAOg6UsnA0dDOu9vb0oit68VFDhQTxU0zQ9z2vU64auCyER6E+TtMhy&#10;icIFWHrVf6/Au/1ugB4NYSkkKKVU1w3GSgZjLGDbtl3Pc13XNAxeFJPJZDKZYvZgTaoFOffrzwBW&#10;F07yE6xHJWPHzAE8UyCTOB4Oh4eHh/A/ECnhEVC3hfAg2hnW63Wm6yD9UNNr/kJneKnAxqrqB9vt&#10;tmVZoB6K4ijPcl3X2532uY1zFy9c3NzcXF1Z6bQ7iOIiRwhzQW2yT+uMVJ2HalriU0owALzIpSx9&#10;S0g5nU6ng8FgNBqGUcSLAm156nVvaWlpZXllsdfz6p5hmIxSKQnnAhS/cRjFYSQ49zwPdXadTkd1&#10;kH7xgrXTozR6CKGUmoaJvP92p72yuoKyMDAiY91LKYMg2N/fPzw8LDvcPGUJvyapoID7wHSp1+tu&#10;zXZMTeSpPx5GwYTKwmBSI4IRTmWBf4xwSrhyB57hZwDLSZXzOo6j65qcyVrYZ45jd9od13UxjYSQ&#10;cRyHYYBcvbIIgMAKfw6V7RkAvzru56cdskKqfyIvqJDT4fj+9z8M9g94llMhueCcyIJISYlmGlTX&#10;Gp3W6rn1pbWVeqtJwBBDyy5E8yc/w8sGEg5hK6g0U0oJZULXqe0YjYbb7bbX11c2z6+vn1tZWu41&#10;mq6us1n0q9QVIBJU9Ph4RhyeJoIQ8EWDQwGNOdHpYTgcjkajwPfzJEpCfzoa+ONhHEz98WA8OIiD&#10;qcgSKrnBqGubrbrXbnh113Ydq2bqBpOS5zyLZZHyLI6DaRRMiMjrrtNtN5cXe0uLi67rqs6yMMRP&#10;0G9eDQopCKNEY9TQiM6YaaxvbiyvrTbaLWboueC55ESjmmVIKcMwfPjw4e7urmqZPn86Ql6fVIBc&#10;UqFFPHI8vFqthh5tiEqp9u5VNeEMLx3KaTtTGcoUf9d12+2O67pSyjiJkyTJwKsqJciLpBAae4pe&#10;/yqgbAXKyn+MEUKSJO0f9g8ODoIgFGLmLSYEO4jrup1OB/WS2CCqvukzvDag01G32z137tyVK1du&#10;zHDlypWNjY3l5WUUfIHvRC38yrT8aaim3/BDItGxes44joMgAPEGGsPt7e3t7+/3+/3JZALnEkre&#10;EFhG6jz6zKuoNdxf0+l0MpmkaYrSSJihp+fvehWoZu4q5zxSoTAmGIc8z1FOeHh4OBgMEFd42oo4&#10;+d1XgepGD+obdNyu1+uGYcDWm7VXfWJOnH5+nOF5oYZaSkkoAYlhu93yPE/TtCLPoygKfD+KYmy8&#10;RKLZ3+t8KDOxgPxaeBUYi+JoZ2fn8ePHw+EwzzJF+AqXVKvVWl9fx6ajiAfOlIzXCaX8wWLodDrL&#10;y8vr6+tra2tI6kcGJ9T56XQ6Go3Q0hnB4aepsceh+jMrqVAlbUV3GsSQh8Nhv9/HtgjHI9gWkCgP&#10;hlc00VRKD+a5Yl2NoohzDj7U1dXVhYUF27bf7KSq7uzolrq0tLS5udnpdKp967Cv+r4/GAxQhPGM&#10;gPNrlQqq4lS5HSEV4HCEUaMw9+Enfj3DC6OMP8vSXQunkK5rhmkapgmB7ThOUfDJZOr7fpalMxki&#10;FCXv60A1ojSzbyhlaZodHPS3t3dKMkhCsCqwTlqt1traWq/XU4u2vPfXdttnqADlhPC8g1ViMBhs&#10;bW19++23n3zyyd/+7d/+h//wH/72b//2H/7hH7766qvt7W3f9xXV3U9CUaKCRAftB2q1WrvdXlhY&#10;gO4P/xJsEWwvmqbV6/W1tbVLly6dO3cOtEXVXFg1YZRQ8X1fCNFqtVZWVhApQQj6DUoFpWSrdyCx&#10;zp0712q14KTFSKqAB77L4eHh4eFhEAQnrohX2IttDlX2Y9yK8hqhIQa+ElyHc+lohMCB8MZG/5cO&#10;Zagh0z/P8yzL4jgpisKyLLfmWqbFkBAwC0IYuqFpLMvSNE0JIZqma1q1fH9+Oj4XpOBhGCBxqExT&#10;nlmN8+cs93syK0kVgnPBi63Hj//42R+///7uaDRKZ60UmMaEEJZlXbp06fr16xcvXlye8WbjS1VX&#10;0fyFzvBSoXZV/ApnQBRF4/G43+9vb2//+OOPd+/e/fLLL+/cufP1118/ePBgd3d3Op1SSsFcdErv&#10;PJw8eZ77vg/3DqwT27YhKiCQqswZhmHAzXLu3Dn0hVWJMBBg2IVwWjiOfN/P81w5jkCRjcNeZCG8&#10;ROArwA1TFMXW1tbDhw8nk4lSxyEbGGNod4oh6nQ6x2/+dUsF5TfERME7Sg4jYoOf1RwvKSWhjNLX&#10;Z9n8CQF5CuSYVMhR4oj0QdM0ML1RfUoI1XUNWapFkQsp4F6ltGTPR0+S+UsR8pTd9kgjKeeAEHNS&#10;AYb8iVJBklnvB1mSJkdh+PDhg89u377/44++HyB1RBBCKIFUuHHjxq9+9avNzc1utwtz4Xi53PyF&#10;zvCygaeO/XpnZ+fevXvff//9jz/+eO/evXv37j148ODhw4cPHz7c2dkZDoeTyQTlzWhV3263Udh8&#10;NGdmmHtwkD1CCFQjp2lqmibyFyAV8AK7PIofXdddWlqCLwsqP/6apqmqqC0KdFMIEXuAbdHr9ZSV&#10;ME+k8UaBuY0dVdd1IcTu7u7Ozk4QBNCHMERY4EgBqNfrrVZraWnp+M2/yX0W5WwQWeidghRV5T6q&#10;6hpneImYFbIxlfDHuZCSINrHmKbrGrzCtmXbtk0IiaI4CMIkTVSQSimDUqqqoKc+rMpfKx86DWhF&#10;pEgihEizbDyZjEajKAwxW6QkYGRGdAF5z+gQqejV3hKF7t0BNiApZZqm+/v7d+7c+Zu/+Zt/+2//&#10;7b/7d//u3//7f//3f//3X3311YMHD/r9Prip0zQdjUbb29tbW1uHh4foBFCdKM+YNKrVj5qZqs2f&#10;ZVm2bVuWBQmhAuBoI4rYQ6PRQHNpXdfTNJ1Op+C6GI/Hk8kEbpZmswkpgihuNfAwfzdvFFjajuM0&#10;m81er4fUL3WfGJkkSVDhDKY8NbDq9WuSCqrQESaMShWwLEtViKj+1CBOgegDBSZ7o867PwGgDy1g&#10;GKYzIyhEq04VdKKUyBnFscaYoRtoy27oOigki7zI8zzPj+jzZvOp/OBxzB5cGR+QUkoppCzp9WHg&#10;P+vhUkoq7FiS0slk8vjRo729PRj1UkpNY2BmFlKiE1ar1ep2u41GQzkhq7LhTEK8HkDjnkwme3t7&#10;Dx48+Prrr7/66qt79+4dHh6CCw+kckq1x8FoDoOp9bRwaBWKBQ/hYsuyiqJAoRyaw6OTD4wA27bR&#10;U0HV1mG2I9O/0WjAL6Qujdh1u91eXFxcWVmB6VnNkX2rJpKq+0Gz6+XlZfjHVPQFhyVJsre3t729&#10;jeD58UF+TVLhaYC0QAkVHgZMvOq6VVvPGV4TjirdtFn3wRrWD7K/scAqfW1RH/a0uYSnV+YP4Wmq&#10;9pyYr8ife9oCO3qbEillEieHh4f9/mEQBJAKaL6GDMV6vd5oNLA7mKb5ZrMG33FIKaGWHhwcjEaj&#10;NE1V6uTi4uLq6uq5c+c2Nzc3NjZWV1d7vV69XmeMga80iqJK5+2f2HyhXtRqtVar5bquEALJNvsz&#10;jEajMAyllNgr19bWut0uwgn4rG3b7XZ7fX19c3MTqWtwsKysrFy6dOnSpUvr6+vgcH2rYglPg67r&#10;8A6hvE69j+UQzypAR6NRuThndg9+fdpKfk1QmWSQ2+BLUWnLry8p/gxVSEJIyT5vWSZ4hl3XZYzG&#10;cTSd+nEcFUVBZFkhDCuAldHq+ef1pECXsGELDsJMjvoj5fmtHqpwJHoIEZyHUYh8c5VaBwcWJcSy&#10;LLQ9wQJWhUXzZzzDawFGnnOO9pnolKlyRtHxxvM8lWuAvADkqvq+D85n1Uhn/uwVIDmlVqv1er2l&#10;paVGo4H8ApXZCFdSvV7vdrto1Op5nspKwkbkuu7i4iISmlF21+12l5aW1tfX19fX0TVBxRLe8knF&#10;GAOxdrfbRd6/an4HqTAYDAaDAYLzqhhACYaT1+FrAwQ1oh+1Wg2pVEowPHsqnOGVASNf5pvDwEct&#10;WFHwJInBkJym2amZz2fVBoQIIbFceVFgzau2709daaUVIsHhGgTBwUF/OBrmec40DS0epZRCCsuy&#10;ut3uyspKs9lUjqmzWfRGgGFHjAexTRXyTZJkPB7v7+/v7OwoRT7LMqgI2LYmkwnaLVR12KcBB+i6&#10;3mw2V1ZWNjY2zp07t7a2BhfK0tLS6uoqjJKVlZIKAnei3BJwbsO/hJAyzBcUQqIfnHKAP3WivjWQ&#10;UoKzD0QjcIipwURoAd0vxuOx6rig8IalgqrHQ4M2tBtFJgAcgs+eDWd4uWAMDNtP8BAzppmmaVm2&#10;bduGoQsh4iSZqXJF1dFXqSyYh2qJCaJWZUHA3flsDxJhJY8uJVRwjn6co9Eoy3NGma5ppcQgxLZt&#10;lBehhAdTfP5sZ3gtwBwCcy3CnvD4g0poOp0eHh72+30wGyIAoJgqwFFRzZ+ZP/tJQBh5YWFhbW3t&#10;wgznZ7hw4QK8Q6qZj/LCzwU7QdHR6/VAlaqinkB191QS5Yn7eAugPHXtdtvzPFWuofzzcO6hj+Fk&#10;MkEoV+WevGGpUKbGGwa6qsKHgOLsM6nwElHWB5e75E8PaZUPA5PMMAzTsvCMkMSdJElZBEDos0+p&#10;SCvUG9UzY01Wj58H7oYQSSQXMknT8Xg0nU6zNBVSEHV1SpF/DQ8SwlRn8+fNAo6ddrutCBjgGIA+&#10;jtz/xcVF0JMgottsNhEYQBO30zzB6rauiFoXFhaQaNRqtRAnQMM1bJFq1lXnOV4g2KmC2Ird6Pjx&#10;by0QqYV3DmnfZXRB3baUWZZBNiNro3xbiDdvK2CUDcNAPhLsRzgiwX4xf/QZXgCnmsi0dAjP+LfL&#10;3xljhm7YtmOaluB8Rn5eBnvnT/JTgOtJuYyfpW3N6F6hexZ5lqUpOLTjJJGlo1FSQhnTkHoBWuOz&#10;OPObBfZWZCsgbIA1jvKx8+fPX7ly5erVq5cvX4ZjB66excXFRqOBLnvZrHHvs6bHDGrXLueqYWBn&#10;dBzHcZxqlHjug9CO5978pYNSCuk4axnUNAxDw/gQQiUhQvA8n44ng8PDKAh4wYkklNA0TdF+5M0D&#10;zw9kJpAK6O5d7k9neCGcYOGiKdmJoARqkTb7V0LTmGWZrlur1RxN0/I8T9MsSdIsy6QUSn6cQvRQ&#10;ZCupesuf0L9kSb0khYQzNArDJEmzNIVMIoSAzJVIqRoltlotfOsTN4IzvDbAykRcCnHmRqOxsLAA&#10;Fw0c39DlkTCKoC7U2DBEI+6jTeAn3TWYVPBJAmpvUakHVeDgKt1pFbjW8Y9U//p2AusC2brtdrvb&#10;7ZqmaTCNEapTmDxECulPp/u7e/7EL7KcSskISeKkrGN6g1B2H4pN4FxGaAGhyDON740DM0yFnWu1&#10;mlOrIbs8DAP08qSUHjmoToPZ8lRv/OQn8yL3fX84GI7HkzRLhRAz2VZ+UEphmiaihXBPv83r9t0B&#10;BIPneUjpgacbBQrVFE/FlUQpDYJgOBxWPRtn+BmA+w7JVEpPKtcopaAaOjg4GI9HWZYe0V6+2czU&#10;qvgFFy7oShCSQnbzWy6T3wVwwVEjBqet7ThurWZZlpQiCMIgCLI8g0L/Uxv7PE73gTJQzfPCn077&#10;h/3ReJShYAItdCTBAlBs/ihSPZs5bwlUMQHsA7QiqOoEeIHyVXiPwW86nU5Pz5F3huNAVlW73e50&#10;Oq7rHtlcUlJKecF93x8cHk59P8+y2V8keUviCljhKm8dVfJINFZ/farL4wyvGmVGkpRSMk0zDMOy&#10;bNt20HM7iuI0SfM8F6LsEHsaQIZUpcJTd3BGqaZRQoUUvh8MB0OVMkEpxexhlJmW1Wq1O50OKjnP&#10;8MZR2YJKb0aj0Wg2m2CVQCFk1Rsz49eiaZqOx+PhcIg+gHMkSGf4SVTdXJZltVqtZrOJrlYU3bAJ&#10;YZTmRT6ZTMbjcZIkQkrKGCVlh8Q3LxUAhEdQ2wJzAYpDGQs6mxZvDkqtk5JQQnVNR4AB8yzP8yRJ&#10;yhKT+Y8+FWDbU6tdTeL543BVKUHLEcXRZDIOw5ALoSqlCZGartVqtW6vi+zs+TOc4U0DqxvJMEII&#10;1bsGuZIJSmDiGI6jfr+Pfjh5nmPuHamGZ3hOGIaBNCTTNGkl8gfeuSAIJtNpHMVCSmR+E0LesK2g&#10;tEVoCshPhVQA9QUqL3DYmb7wpqBpCDuXa1LTVIKHpesGIRKRZy4EKR2T84AJUb4mUkpZiKOOeypz&#10;fO66c+CcJ3GMLvBCiNJOIKRMVHcc6ERIY/sFFRz9qaK6YFVpsW3bcRyD3H86naJF2mAwUERJX375&#10;5b1790ajkYozz6bN0cR64jJneDogjBHhr9VqqPcEpCSCiyzNJuNxFIW8KLAySxKaJ07zJqDWLXKZ&#10;IRXQGQNtADjnnAvVbOsMrx2I7iAwiE1c1zQdtp1pmnmeozYVKxbmnZBCkpIIrzzNbDkXRZ5nuWoG&#10;YlmW4zgnGwoVcFH2UkfCIqUM7aYJpSiAajaanuedBZnfHlRtQbB4uq4bhuHOzk6/3w+CQLGTDgaD&#10;nZ2dBw8e3L9/f3d3N0kSPMRyKlWkwvw1zvB0IK4AQhFlQ89Eq+SCg1wEhLUF53mRh2Eo5dshFTAD&#10;kOWCzARVon1WsvCWYPaYKISEbuimZaEmKM8zFLXBsDv6zOzlUWCRUEKoEEJwDp+A6tL+1NpmOrNr&#10;hcyyPE6SNE0FL3eK0sMgJLJcwKYFs+NMtXxLAE8AbAXXdSmlaISAngpRFCHDGC6mVqsFckO0jonj&#10;WBH1zJ/3DD8FEE+p1uVSSl5wRPRwgJSy4DyOk/FoPBwOR8OhP52+XXGFMsVltqqLooATCV6Ln9Ql&#10;z/A6YegGslTL1ZvEyZEWTzSNsWeWwqglrlKTFTXxCRCCEMKLIo6jMAiSOC546V6AmNJ13TStZqPZ&#10;bDaVB3L+JGd4Q8CzAJ0tzAXDMOI4Ho1GQRBwzuH7Xl5evnTp0s2bNy9fvry8vOy6bp7nk8lkOp2q&#10;5IIzl+ApofQh0BGCeZAxRiiBP5eVkUIhuAjD8PCwv7ezs7e3N5lMhOBPWYevHUqhQF89GI+ocBZC&#10;UHbWnvPtgpRS1zTTNAzDZIxJIYqCZ1mm6lHlEcnFUx8cNH1w0aj+B/MHEYJzccHDMBxPJv6MQFsd&#10;igo7r+4qcvyq++IMbxwqybBer4Orrt1uo3ysVqtBmUUVLmrZWq0WOE3B4Ab2nvmTnuGZUEz1lmXV&#10;arVardZqttxardpCjgshiUzSxPeD8WQynMnpt0UqqHR4ECKhMbeSCmdz4u2Eruu2bdm2o+uGlDKK&#10;ojiO87x4wnlzwj7/BJSrp/KZJw8gErZjFEWT8RjbBIFziVBCqabrtuMoKuajD550tjO8Hhx/mpRS&#10;z/POnz9/8+bNCxcutNtt13UVS4/ycaP2ynVdQojv++iiUT3PGZ4LkMeu6y70FhqNhmEYMBQIbHYp&#10;8yxLkjgKw8APwih68+x4CqqWDeXpyomE/FRELuc/c4Y3B6j5jGmmZdVqjmkaQvA4juI4Loqc89Jc&#10;oHQWFjgJc/LgqZu4JEQSLkQcJ+jHwpGgMkulQ0Sq3mg0m010ez366DNOe4ZXiaoyhyeCjsFra2sX&#10;L15cXl5GeTyOQV/M0Wg0nU4557Zt27ZdFMV0OoUH6ewhPi/KkJuUIJqr1+vNRtN2HE3TUCuEAwgh&#10;WZaHUeT7/mQ6QRe8t0UqqKR12JVoJodoc+kQOGkTOZsrbwoq9RMBBtO0QNqeJKAnOkoYk/IkltbK&#10;4/uJhyglthheFHmRp1mmsujUIRRFUvVSKszFJ47Pk8r0eSqecdgz/nQiyqSsWeHeszF3h9Xbfhqe&#10;+PypMX+WY8CdP9dH5lDlmi5dxKbVbDQ67bZpGHEUTSYTf+r7U/+w39/d2dnZ2ekf9H3fR45JlmXK&#10;VniR23gHoToi4ykgB0xp2+UwSqnpGrhkojBEonAYBOTpXRXfJJCUAluhlAplS/fj/87wBkHh03dd&#10;t96oS0KSJEmSOM8LIQSjbFaVOveYJDp0VppFP9WYIIRIwaUUWRIHvj9jh2eMMuwOM22I1Byn0+m0&#10;mq0Tq9iO7ybVJLfjvajwonoYkqTREgpAPh+K8LMsS/Dl4ziO46gCNBBGjlb141XgDNW/qvpN3M8c&#10;ql/kxK/zDKfr3HmecU6UmKl7mP/zTwFJBEppBQxdb9Ub7UZTpyyLkySMsjjJ4mQ0GO483t7b2unv&#10;7fmjMZPU0I0kjsGGdBSsev7beDeh1pTioLRtW3GNoMO5lBKSQ3AehOF0Oo2iqH94qOn6G5YKczsC&#10;pg44kVDhjKXCC37mQXrLUG738CPpmm7ouqZpEuUIeV4UpdV/fDuWSH1Ab4ZnigQExLIsC4LA9/0k&#10;TnjBq+Vpqu+3YRjgeK2uh7mTq21FSRTFzoY/zUkCtTVnWRZFEeqtDg4O9vf3Dw4ODg4OUIXb7/cP&#10;Dw8Hg0G/39/a2vr++++/+eabr7/++ptvvvnmm2++/fbbH3/8cXt7Gw2E+/0+PluFOglOPhgMsBWq&#10;G3g2jn+daqb/M1A9w3HAcFdjqN6vDukzcHz8CSGUMcOyXNdtNJv1RsNz3VrNMS0TVSxRVO5NnBdC&#10;8CRJZr9ytbud4XmBB4FEL6SoappGZr3ToXynUGiiCAxj2r/5N/9m/jRvCOgWhBUYBAHasRFCXNe1&#10;HZtpJ+aznzDzznAc1aWMjSDLsjAM0zRFJAqEtZqmndJ8VAwE2EiF4HleFEXBNA3nYbPMoie5Cijn&#10;RZIkSRwhD91xHDTqQi+U41uJ4DzLsunU397e+f6H7x8/fhRFsZQSFwcvU7PVvHLl6s2bNxe6Xein&#10;c/JmdqulQwP7IMahagdA30+SpKrso5fDaDQajUbj8Xg8HoM9ZjLDdDr1fR8sDv1+f29vb3d3V8kA&#10;sLz5M+Aw/JwDzgkG6TRNwRycZRnsD4W5ewOQ16/uH1AnqQJqVtU0QQo4YnhVHEX1pJzbkX/2omOE&#10;aJTmRTEcDAaDISGk2Wxouj4Zj0HIwzm3bQfMJWEcxXHcaDQ2Nzc7nU7V8pg/7xkqmJPclFKwDU6G&#10;o/F4MhwNkzhWTe40XW82GqgjybIsiuN/8S//5ZtnnqrqJkVR+L6/vb396NGjg4ODKIpM01xfX293&#10;OrphUnacFOFsipwGsiwDJoRIidUeBMH+/sF0OnEcp9dbRNtC0zTYCYN8AoTgjDEpy6BilmfY81CO&#10;VLY6sW1DNzjnmsYIKWdamibT6XQ0OAzDoMjzTqdz7dq1S5cu1Wq1k6VCwcMgODg4+Pqrr/7mf//f&#10;/6+/+7/6/QMhJGMUc9rzvLW1tX/2n//n//f/9l9fvnJFeZCUJKieDW/CDsjzXG2yapfE4GBXVY4L&#10;1RlQkTVVT4s3IQJB94tT4Rhk06kDTizWm9PBVS8w0MA840gFXddRH64SfHGVp+nXio0O3lr1vapQ&#10;jQrQM0cd8LQE4lNBSCLlaDS6ffv2J3/4Q7/ftywrz/P79x88ePhgPBpJSVZWlq9dv15vNA6HgyRJ&#10;bt269a/+1b+6efMmeA+Pz5AzzEHNEGVE7u7ufvfdd1/e/vyPn3329VdfHx72i6LAQZZpra2tra2v&#10;NRoNKUSaZv+v/8//++2SCpzzMAx3d3dhcY9GI8Mwzp071+50NN1gWqkGVnA2RU6Dly8VOOdMY5QQ&#10;jhIzzuM4DpHszDTLQi6Zres65wUIM/Co4ziZTMbj4WGaJFLKhYWFK1eubG5ullU2x/VQSaaTyc7W&#10;9ldff/V//u3/+Z/+098fHBwIITWNcSEMw+h0Opubm//0n/yT//q/+W8uXLr4NKlQdZjAVPJ9fzAY&#10;DIfD8XhcVbfDMPR9fzKZIAUW25CmafDM4j6rQRFsqWj5O1ecj6tD8CRJosTD0beb3VvVeaW0fnhO&#10;5o48ca83TRMcUPAP/OTGje3etu1arab6mhw/Bt1y1tbWVlZWMLAvWkomJJHS9/1vv/3289u3d3f3&#10;0iyNoxgG1mA4SJOk2+tduXKlVqvtHexHcfzhhx/+63/9r99//33XdV/o0u8MMJ0U1yyltN/v37t3&#10;76sv7vzhH//x9u3PDw/7ijNC143l5aXl5WWvXi/yoiiK//7/+9+/XR4k1YgNCyOOY0II0pkp0ylT&#10;Acz5T53h2agO2cvzIBFKGZGSQn8khFAKdRXbE/YaIUR1LRdFHsdxksSCc03TPM/r9XqtVgsepOMP&#10;VEoZ+v7B/sHW1tb9B/d3d3ejKMLOKKRUzeLPnz9/8dLFVqulUi/mTpIkyXg8Pjg42N3d3draevz4&#10;8aNHjx4+fLi9vX14eDgej+G6ieNYhYWFEGqvx/4ILmikcyB7EgXeyK8HOSVI+tAlGD8RJMMujI/g&#10;hQJMK9VLUu3RoANRWXnYytXPKqpyQkrJOVd+oePA06+uMoTEUTKmMB6PB4NBEASgrcRVIHKeGNzn&#10;giSSkKIoAt/3fT+OkyiOgjBI0qQoCl4UXAjLsuqeRxkLwiDL88XFRRQ3YH4enyFnOI4507PM5pr6&#10;+3t7u7u7YRQSWVpdlFLMYU3TsyzLi/z/8d/+t/Ob7OuHshU0TYOiNBqNELjb2toihCwvL7fbHcO2&#10;DcOsSgUpS81l/oxnmMersRUYpZQJwTG3iqLI84LzQkqi65ppmjgVjiSUIgQBqoPJaJhnqaZpvV7v&#10;ypUr6+vrYLUDqheSBd/b3f322+8+/+LzTz755KuvvppOp4ILpjHBuWlZy0tLFy9e/P2f//l/9S/+&#10;xfrGOcWcoeYJek6NRqOdnZ2tra29vb3Dw0NFvwN6PqjM+Kl6/KLY3rKsGe2KVi28x8lVCiCC3or8&#10;Van/aBiggmQ/uaOBLViJpeNZtnOvcSEse1UoXv1r9eMAWAPg6YJBo+wqJZiFEOC1dhzn5s2bt27d&#10;Wl5ePjHx9/kgiRQijqLtra179+7dv3//wcOHh4eHcRRFcYzIiuM4q6ur9Xo9iMIsz69fv/5f/Bf/&#10;xbVr19A6RmkPZ3gaoBaopUQpnUwmW1tb93+493f/8T/+3d/93f7+fsE5mRWY9nq9xcWlWq1W8CJL&#10;0//hf/gf3rxUmAPnHJG3e/fu3bt3byYV2ppp2baj6XpZwUQZOnK80Bx9V/DypcLzQCITDh2gkiQZ&#10;DofjwWFWkQrnzp3Daj/uIpAF33r8+Pbnn3/++ee3b9++e/duEAQS2yWltm33ur2NzY1/8uf/5F/+&#10;3/7rtXPrKOjHwkDwIAxD5A5tb28r46AoClgA9Xp9YWFhYWHBdd16vd7pdECxhz+hkWT1foCXO+uU&#10;CJl7c+6dOaiYuZQS9NTKFFDe/+MnwSAjoQO05CoEwjliRZIxluf57u7ujz/+WBTFrVu3Pvroo4sX&#10;Ly4uLsKNM3fO54AkkvM0SYbD4db29ldffXX7s892dncZpYTQ4XA4GA40TVtcXGy1W4QxXdfX19dv&#10;3bp19erV9fV1dI95oRt4BwDFopqnN51ODw8PH/14/3/7m7/5P/6P/2NnZ0dKiRJQeHE7Cx3LtCzL&#10;nPr+//g//o9vkQcJwHrOsmwymYxGIyHErP7C0HUDMUZCCGVUEknJvGp5hhNR3Rteigfp9MC+NHtI&#10;tCiKOI6SKEK8wXXdhYUF9NQ80VYgQk6n0739/f39/b29vcFgAMpuHKcbRqvZWlxcvHD+wvq5da9e&#10;P8rIFsL3/b29vfv379+5c+fLL7/c3d0VQjSbzXPnzl25cuX69es3bty4du3axYsXz507t7KysrKy&#10;srS01Ol0PM/DmKhhmcPcm1iBZdD5FDj+cdVk4nmhfEpg0odsA+DRmoMiHarX661Wq9vtLi4uLi8v&#10;Ly0tqRdLS0sLCwvQMRlji4uLKysrrVbrpXTDVh8vimJwePjgwYN+vy+l1HU9z3PkoeIr6YZh27bn&#10;eWi7gqDOma1wGqilhLFK0zSKoulk+vDBg0ePH4dBqDw0sC+JlMi3iOLo//nf/XcveQt4cahWnfBj&#10;IgMkzTIhuKzoT0edg87wtuMJmjwppRASfL7Vg06QB8+AJDgVo8y2rbrn1dyaYZqGrkPPRUIngmyo&#10;Hvjhhx9Go5HjOBcuXPjtb3/7z//5P/8v/8v/8p//83/+T//pP/3444+hjW5sbMAwRZeSZ6ilalEB&#10;Sgf/SeBrzn38uEb/NAMCUGdTssE0zVar1Wq1Op0OTJ9Op9N+CjqdzuLi4urq6ubm5sWLFy9fvnz5&#10;8uVLly7hBV5funTp3LlzrVbLcZy5NssvDk3TarVas9FwPY9QmqWpEELTmGmZuq7D45ckCaMUDqsg&#10;CEajEcgY5s91hmNQU3Hu/XJGzbK6YblRekQ3MhwOgyAQbxXjBaD6sqkYGue8yAteUiEpsXAkCc/w&#10;NkOtZPTellIgFgoHoCKzmz3P53igmOWWZbmu69gOiiQopWBg3tnZ+e677z777LO7d+8WRXHu3Llb&#10;t27dunULxgEEQLfbRXBYKdEIKlRDuEc7dwXzt/LCmL/Ac15CrRokQQFzEWkFVImqOLnSxL0ZoJXD&#10;e1alJX+up/MUSCkEkVIzDNupea7r2LZlWaZpoRRR0zQ5y8ISUoIBF3UeWZa9pHt4J1CdSJge1Rod&#10;VC5SQihlnPM0zeI4DsIAwvitkwpQJQC1LLlQfTpLO+FsavxSoB4ZIVSiPZvgWZ4VBVe+lLnq4lMC&#10;x2ua7jiObuigwYBvfTgc3rt379tvv/3mm2/6/f7Kyso/+2f/7F/+y3/529/+9vLly91uF6aA2mLm&#10;1KvqDDwRT9zHC+MZdoYSllXMDRTexOtnfxBQn6paJHN/Rbji+Dd93md0ImTZFUPzPK/b7Xa73Xrd&#10;Q2NhSiiC58gHw4vJZOL7fkmUe4afQrmQZkCSsa7rlmnpukEplqGQUhJKhRQgFgLBCef8bQzVqtmp&#10;Jjd8DlLMTcczpeFUmFvG2Jef8sdXCLXjlHwSBRdCKAe9qjee/9hTgEcvCZFElidhTGMsz/PxeAwr&#10;4c6dO9vb24yxpaWly5cv37hxY2NjY2FhAamlyrOPaabO/DT6h+Oo3s+JOP3xc0dWoZZDdQBPg+PC&#10;pnqS0yweldGkPqUo+18QuAOmaahsX1pagiupKIqCF0KILM/DMEQFOBKTUGl41pTt5wE+xmYTTe6M&#10;ma4mVUWn8sEILl5yKsVLBHYKzMUykfnJGTmb+Wd4DmAneEvGTdPKWt9qR4RTg2Iy6LqO7gtg3AvD&#10;cG9v7+7du3/84x+/+eYb3/c3NjZu3bq1sbHRaDSefSG1mT7jnSoqO3CJ+SOexGmOOSWOX/HoJmbv&#10;z71TBf5aFRsqWwlySL0Jh4My5l6GSKCEUYK28pQattXsdFqdjmGaWZ7HaVJwLinlQqRZ5k+n6OKJ&#10;gr6XJZPeQaC7UavdrtVquv7EKqBqX6jgbZQK1RxwFDzDtCGEVBIXX84Ce0dACWF0rp8dZYyhMLDU&#10;vk+cIC8M7YixTpKyeIYxWha7oTLgNKprFUhDoITomiZmDHJJmgyHw4cPH/7www/b29tpmrbb7atX&#10;r167dm1lZQXpK6rGrao1q9dKN8dV1J+qb1Yxt9WeHnNnPvHkJ76PLXvOwVU9srrpHxdF1RuuQh1Q&#10;tZYUQ1SVx/BnPKwnAO8vY4RRpjHbcRa6C53uAtM1Pwz8MBBE6qZBGC04T9I0DENCSLPZ7HQ6cy2V&#10;zvA0YD6oeYKN1HXdRr1h2zZSz0vZT6kGtQxrgRCM8NsoFQAokqDEElJAJTzDzwUlM0lKKeQuMwzD&#10;sW3btkr14dUMsJRElo4rKaSUQgophHyCMPXE7enZwJ4ohBRCFJynaRr4wdbW1hdffHH37l3G2OXL&#10;l99///1r164hlwYT6SevAgGjVOm5HbD6q7pndVgpnY4Beu6zUS0+AObP8nTM3a367PFvevwbKcz9&#10;SRVIg2UPpQwn1o3/bGCr6vV6i4uLlmWBy0/VEiJg3mg01tfXwZTV6/VePC/2DKfBWycV1ErTdR0J&#10;IZRSwU+Y4mc4NbCQygGEFmGaput6zWbT8+qWbUP1fPJTLweQB5WtjgvO0ZZnrhD39JidrJwqRVEc&#10;DgaPHj969OjR7u5uHMedTufq1avoBLm4uKhIlp6B47tqFdU7nGVxlDu4ItR7gsV0BhDwBUEwnU7H&#10;4zG4V4dPAmysaDMHyo0TWzU8G/gIfip61OptK6tCRRqOoyobFDEGHDjqPC8LmqY5jtPpdFAq0e12&#10;l5eX19fX19fXL1y4cPny5YsXLyJx9urVq5ubm81m88xWeD04ofrxzUJVpT58+PDevXvD4TCOY03T&#10;u0vLCwsLjuMIIaQkjFHc+JnucEpI/Ad9lEjBRZIkWZ7pmm7Zlq5pumGwV5CTpjh7IRAC39/f3x8c&#10;HriOA9q1paUlxXJzXJl9Sm1zKWKazcb1GzcuX75s23bBeZKlcBxhKzl37lyn0zlenHz8Kuo+AUUu&#10;Nrc68CZinso+wP6rOC2OQ7XoATPriaXRoCatht9/hrAElJMHRQyqYrxKlzb/mRlU8CCO49u3b//1&#10;X//11tbW9evXf/e73125cgX1fcdv/rlQ9W5Bmh4eHoL9wvd90N5QSmE0NJvNXq+3vLwMD9LP8zee&#10;AaPtjyZ/+Zd/+Vd/9Vd3796dMdZQQikMQcQbNU3/h0/+8JZKBSHE48eP79+/f3h4GAQBZWxxaWWh&#10;2z2TCj8bUpbVHlISvCiKgs/YoSkhuq6/iriCEHz2WAXn3Pf9/f298XBQ99z19fWVlZXFxUXwfWLn&#10;Oo1UEDOaF8dxNjfPn9s4pzFtNBnbNQdFyxcvXlxZWSl7lz+5i6nzz12oahBUHTvHjYaqnwdksdDu&#10;jzedxzGg7Fbs3KD8mjsSO7gqKVA7+Gm24OOiCz9t2+71esdrmp6x5JXYiOP4iy+++F//1//18PDw&#10;/fffh1TodrsQXfMfOzWUoFXyFY1dQVKLwmbGGESCZVkorVDMVCfOkDOcBn8KUoFzvru7++DBg8PD&#10;w9FoRChdXlmrSoUZ2dqpls0ZqlKBkFJdRhUIo4wQKYTQTu5r9KKAVBBCcsEF577v7+3vT0aDVqOx&#10;ubmJUrJ6vf40l/GJUqHIC8MwEA7pdDrLKyue65m2tbq29v6v3kd4+fg5saE8rQcc3kfWNtxBQRAo&#10;ClV4vUFaBy8NFo4SHnN7Pc6PcJ8KOaCWonoAToK9UrlxUHAEHL/Pn4QSWpRS0F9XXUNqX65CvYkw&#10;vqZpcRw/ePDgu+++S9P0448//v3vf3/lypXl5WWw0s59/PQ48dKKzBX2FnhqVdcHlQGF449LhePn&#10;/NmYY4569uCfKIzfBlTHSr2WUgbjyV/8xV/+1V/91ffff6+kgpzxX+HuGdPeUqkATse9vb3t7W20&#10;MGRMW1pd63a7jlMr6y8IEVJS8jaWXLydeOJBU4JyIUIIpQQ+JXRarn7kpQBpArwotW/YCv541G63&#10;oNGDC7Na5PzEx0+UCkVhWRallBeF49S63YX19XPXb964cvXq1WtXNzY2VMbR8UWupAJ85dgQ1eaO&#10;jmxhGCIGoHqo4aL4K1qnqThztVcB3lHABgeuPTiyVMa9CqiooK7v+8ocUUv69MtTnRA7rKL9qHal&#10;floU5/gBuJ8gCCzL+uijj/7sz/7s2rVrGxsbzWbzpftwlBhTfd+ULxGYO35u7z7+dZ4GXAWXmzsz&#10;Xh/XIeZeYHyqh6lxmxNd6oDXD3xN3LZ6soSQYDz5i7/4i7/8q7/64fsfOKiOCZGScME1TcMdU8r+&#10;8S2UCvhWaZru7u7u7e0dHBzs7e1RxpZWlFSQkkh6JhV+UcBWdSQVJqPuwsKVK1dAu6b4mY/vAidK&#10;BV4Uhmmi92zd8xYXl27evPnbP/89RMLCwoKSMYpSWFkJatHifiADptMpmgqoklpEenHbKKGC6iqE&#10;UJ0/VDMJdCBQUgFH4rVpmmjXA7UdWxIOUFIBvNa+7ysuENgZ1SX9k8DlVPQbUiEMQ3xNJWlO3LDm&#10;Ntk4juHSGQwGlNILFy7cvHnz2rVrFy5caLVaL10qnPgd1depvqNen/iRnwTUTTxfZPHjfZxZtaoG&#10;zwfeVJmQkP1wauGvVUmg7va4vHn9mBsc9Ws49f/yL/7iL/7yL7+/e7fgXIkBITjTNPhemKb94x/e&#10;PqmAkc2yrCoVCKVLy6udha7rQioQVj6PM6nwtgMTjHNeFHmeF9Pp9ODgwJ+MFnvdK1eurK6ugsT7&#10;aV7jE6VCkRe6oRNJNI0tLi5ubp7/8Ncf/pP/7D+7eOkiWv5iC6h652EcqNmO3TMMw8PDw62tLVil&#10;g8FgPB6HYQinPAg7Pc/DTuE4Dvg7kTep8sGxxat4QFWprEoO1XehegBUV0iCqjNKOXOqQ/GTwPeF&#10;wYGzVfOp5m6siuqFsiwbDod7e3v37t37/PPPB4MBeqBeuHDh4sWL7Xb75eanHt/FqpiTCtXHp+5B&#10;jbk68mkArfpkMgnDECytah/HOcEfDDYUEGFBEoC22XVdUGZBialO16qYx7WOz+TXjOOywR9P/uov&#10;//Iv/+qvwAxGCUEpQ1FwxUWt6fofPvnk7ZUKBwcH+/v7oMWXUnYXlzoLXdd1cZimaWBTeTupnM6g&#10;AA+mkBLdv6bTab9/GPjj5cXF69evr66uQo9+XqmA/qCWbW9ubl6/dv23v/3t7//pn6+urSmRoISB&#10;8higMXiapug+hq4yh4eH+/v7/X5/PB77vh/HcZ7nhmG0Wq12uw3uPOwUtVoN7NONRsPzPCUS5vaC&#10;uRfHf1WCQc32ozrt2evjZ3g25s6phOJxg+PE01YPSJJkd3f3+++//+KLL/7jf/yPOzs7mqZ1u931&#10;9XVVIn7iSX42nrYFKe0bB8CuUn+qGmTzn3wKwNQdBAEsP+Q7qW5IYGuGyK/WV+I1bD7P88CnCxtC&#10;+QbRrEl1Zq22P3pTqI4qtITDvYP/6X/+n/5///P//MO9e0VRaAzPURacK4mrv7VSAd9hMBgcHh7u&#10;7e09evQoz4tOt9dZ6HqeSyklhM7qtp9jTpzhjaAocsYYIRRZ+JPJ5PBwEAXT1dWVmzdurKysYF09&#10;n1RAUxFCajX38pXL79+69dvf/e43v/1tb7GnJIHiTYEXCIo8ev5sb29vb2/DEk3TVLVR03W9Shqq&#10;OmgiBwaHqV4U2Faqy6+6C8yJAbW1zX+7ypat6uyqB5xmeldPUv3I05b28XNWjwzD8NGjR3fu3Pn8&#10;888//fTTfr9fq9WWl5eRLeY4zqvwIJ14q2oyVBuOqsADjLPnCn2rq6DLHsSwyjNW/jdF6AvnHt5R&#10;CWnY7nVdbzabi4uL6EUB9nXHcXA/b5VUgEM+juPdx9v/y1//L3/913/98MED9FdnjHFeJiLiYMbY&#10;H/7xrfQg4TlNp9PhcLizs3P//v04SVqd7sLCAtKlKWVnUuGXgjzPNE2DVIiiEN7qJAzXz629d/Pm&#10;ysqK2mSPi4SnSQVecMYoIdTzvKtXr956/9Zvf/vbj37z8UK3W9Vk8QJKBiKoh4eHOzs7Dx482Nra&#10;6vf7k8nENE3QdqoWNOjLpqgCFKU2zlZ1E+HFcakw59942q43h+Pf/fQ48fzqzbkzH79QdQeZTqc/&#10;/PDDp59++vnnn3/zzTeTyaTdbq+urvZ6PRgKr8dWmJPrqjoP+3KVLfz094NurOibDUWkunHDRYHi&#10;QaScqfwCVBfifUSqbNvudDq9Xg+12d1uF7IB/fugQ7wlUgHtp6bT6fbDR//+3/9vf/O//82jh48K&#10;XihBKKUss/UkkUT+p7//T2+jVIDJ7/v+aDTa3d29d+9eGEXN1sJCdwGWe0UqnHmQ3nYURQ7qlSRJ&#10;gsAfj8ej0ThNwo1z596/dWtlZaXqPjq+Z8mCb21t3b59+/Pbn3/+xed3796dTqdSSkapEKLRaFy9&#10;eu3GjRu/+c1vPv7tbxaXlhTN5+zqBZS+MPz/t/dnz3El6Z0o6H722PdABPaFBECQIJlkblWpUrXU&#10;Kkl11WaSzEa3X+e+9uvct7kP+hNm5nGme8zmvl6TSWa3VWqpurIqa8nsSlaSBEDsOxD7vp79uM/D&#10;d8J5GCCZzCRBgiR+YqWCwRNn8eP+ff5tv6+fy+W2trZOT08bjYZpmtCDMxaLAZFqOByGdmPQHJiJ&#10;DLa22e15ZeiztAJ8OPs4TxWCZ485C69qeZa4GTrzi2gF7zGw9Fqt1vr6+pdffrm2tnZ0dKSqKpSS&#10;sfAP04uvCmcHhIXlwVMEfXg6nQ7E/0G4y7IMlpw3OPx8cBwHBRCsoZtXMbCO2aASwDiAvpBQ4A1z&#10;Cc7Akgugw4ff74/H42NjY5OTkyMjI6FQiMUe2Mm9O4nXAJgwAKirPz06+vzzX37xxRe505zt2PBP&#10;YHgpsgK5qRzH/eIXn1+4Dp1sgoLV0+v1Wq2WZdmyokAUCDaeQ2v1EhcWbCXYtksLYRgmdZxoJHK2&#10;0OxpywZ32+1ioVAqlavVSr3R0HUd5AVxHEmSoBNlOp0eHR8LuJuGxycBq19V1UqlsrW19fXXXx8c&#10;HJimGYlErl27dufOnaWlpenp6bGxsXQ6Da3HoOsOEzRD98OWN1MJ3viw90jAmcd5Cp5zjFcDfatW&#10;gAf/Vpwtg/B+o+v66enp+vr68fFxq9VivRHhAG/m66sC8w4NAUpD4Jh+vw/sIO12u9PpQHNZy7K8&#10;VSbD5z0DkO8QWoCE406nA3zdcNput8t6WYNiYHm9PM8rihKLxYCfAzYQkFNXr9fL5XKtVtN1nXVL&#10;FUWRvRT2+l658+1bAXMGwmntZvPg4PDo6KjX7bq1rIRyPKcoik9x7adQKPR/+bu/u3C2AsBxHGga&#10;VywWDw8Pe71+OBpLJJOhUAhKcBlpz6WtcMFBKQFiFU1T2+12s9nq9/u2qU9OPrYVvMVlQ8uG2E7u&#10;5OTBgwerq2urq6vbO9uddpsQIooSWL7pdGpubu5HP/rRj//0T0bHxoZIEUAlnJ6e7uzs7O/v7+/v&#10;I4Smp6dnZmZmZmbGx8chxQg2j2c3dOBf9t4PUwDehXN++YhP3f4/Syu8CLwn9N4wyCzHcWq12ldf&#10;ffWzn/1sY2Oj1+tJkuTlnICqi/N40rNg1NngA6lUKo1GA8wFIAgBLtVIJPKcXqpefD9Zx5K4WOoq&#10;eLQIIYqi8DwPRCZQCxaNRqenp69evTo+Ph4Oh8G6GlLYwxc4H3i3Eb1er16vHx8c/OIXn3/xxReF&#10;fB7i9oRSgefD4XAkGvUpCnjn/n//+/9+4bQC3A8o4VarVSwWDw4OLrXC2wtCHIw5Sqmq9pvNZrvd&#10;VlWNOtbk5MSN69czmQzsQ5+lFRzLzudyq6ura6urDx483Nra7HS6juOIooAx5nkhHAlPTkx+9tln&#10;P/nLP5+YnGSWBztVo9FYXV1dX19vtVqEkGw2u7i4OD4+DvED8Ic8ZxN3VivAN+x77/J75YBn8VoM&#10;Z2/pO2HoVuFUbCdr23alUvniiy/+63/9r9vb25ZlhcPhubk5KBcPBoOKopx9R+cEllAL0qBardbr&#10;9W63a5om5AVEo9FUKuWtd3k+WH7Xi4M1mYBaB7AqIAvGsqyJiYmrV6/GYjFKab1e39/fr1ar6XR6&#10;aWkJ2oDH43FoMspcVa9n6OCFss1Kp9Op1WqH+/u//PyXv/71rwv5vG27jQk4nk/EE6l0yu/3O45D&#10;Cf0v/9//cnG1Qq/Xa7fbEFfodnuXWuEthePYkB8JmaDtdtswTQ6RqYmJpaWldDrt0uI+WyuUS6Xt&#10;7e211dWv79179OhRp9NxbJvjOEKpKAihcDgRT1y/vvTJD38wOjYGea7eaGSz2bx///729rYoivF4&#10;fG5u7tq1a8lkkqUSnjURno+hI98urQAYshggxYPjOMuyCoXCr371q3/+538GXoSRkZG7d+9++OGH&#10;ExMTwWCQeeTPGzAf4D6hsK7VaoHvyDRNjLHf7wfFEA6Hn0WXMoTv9KbYUDMnIWiFer1eKpUODw8b&#10;jUYymZydnR0fH4/H44ZhrK+vb29vI4RGRkZmZ2eXl5dnZmZYbePZmXN+YPcM2x3YXu/v7v3m17/+&#10;3W9/VywVIR8XTJ9kIpFKpQPBAGiF//xf/vMF1QqEEKg3KRQKe3t7l1rh7YVt25Cu1+1167Vau922&#10;bFvk8dTExLVr11KplJcM7qzIow5p1huHh4ePHj363Ze/e3D/fqPZpIRAvZUkSYFgUJblbCYzPTeb&#10;SCTCkUg4HI5EIpBjKsuyqqqbm5v5fD6TyUxOTk5PT3sTn7z7R+/2n314zjJmS/3sbb9yMIHy1HbK&#10;3wlsIwmnZYqHUgretl/96lc///nP9/f3HceZnp7+kz/5kx//+Mfj4+MvuCV/JfDWbUAwA0hnIQ7B&#10;yghYocDw718OrHAEhh0Gh6UktVqt4+NjUAwIobGxseXl5XQ6Xa1Wd3Z2Tk5O2u12KpX65JNPbty4&#10;Aay9sO95jkn6auGlD8EY12q1k5OTnc2tr7766t7XX5crFcd2EEKYw6IoJhOJVDodDAbhJ//5v1xU&#10;WwHcwaAVdnd3L7XC2wvQChijTqdTrVY7nY5DiCzwU5MTCwsLqVQK4rrP0gqI0E67U8jnH60/+vUX&#10;v/797/9HtVYDYW2ZpihJsBdLJhJjE+PhSCQQDEIFss/ngxxEwzAODg5ardbU1NTU1FQqlYKkexAr&#10;Q5R2Xon51GgBOwCSnbzlzechm1iWCLvQ2Vv6rmAij5Vkw8lN02y1WoeHh7/5zW8+//zzk5MTjPHV&#10;q1f/6q/+6s/+7M+y2ewLpvq8QjDV5eWpZQ4ZlqQ0/LPn4kUeAa4ypBUYnTMkL+zv76+urh4dHaXT&#10;6c8+++zq1ascx1Wr1fv37z98+FCW5U8//fT27duQUgHm8hvRCgghMG7WV9f+cO8PKysr1VoVtAKQ&#10;9abSqUwmEw6FoSzj//2f/z8XVysYhtHr9SCbsN3uBELhWDw+COA8bhFzqRUuOCAzleNwu9Mpl0rt&#10;dofjsF+RJycnFubnGWfRM7WCQ7vdbrlUerT+6Je//OVXX31VrVbd0Kht84IAu8WZmZkby8vhaAT8&#10;vyxKCc6HXC7XarWgUBlUAqSUsLJqEJHgAvZuVJ+1OkAYQeI8o3pmvDqvBEwwMQYe8IwNabLvCsaB&#10;wdI0YQAlSTIMo1Kp7O7u/va3v/3d735XKpVkWV5YWPgP/+E//Omf/unIyMjwqzl/eMefmUpDn58y&#10;Z56LFzl4SCt4vwHRpGlaPp//6quvvvnmGyAQhC0OQmhlZeW3v/2truuLi4s3btyYnZ0dHR2VZZl1&#10;wB6+2KsG3CqzdUArbG5srq+urqysPnr0qFarOo67QCRJyo5mpyanwpGwYzumaf4//l//zwuqFUDX&#10;GYZxfHy8trbWaDRlfwAyyl3npkv9eu5DfImXBNQ2cxzXarfz+Xy71ZZlORoOTk6MX716FdjWnrPC&#10;qUP6vX61Wnn06NEvfvGLL7/8slatwnGObSOMBUGIx+MfffTRn/7ZnyWSiVarVa1WIblQVdV+vw8E&#10;qOCPZpcA5wMUKrO1+uLSFo4HRQK0B88S1t91J8vABoSx8UC59UuWCzCHDFNpQO8TCoUcxykUCpC/&#10;+80337RarXA4PD8//5Of/ORHP/pRJpNh132ZG3h7wUId8Gpqtdpvf/vbL7/8Utf1sbGx+fn5xcXF&#10;eDy+u7t77969UqmkKMrk5OTNmzeXlpaCwSCrix4+76sGu0P4jDGuVqu///3vN1bXNjY3N9bXwfGF&#10;MAYf7NTk5MLCYjgcppSYpvn3f//3F10rnJycrK6uXmqFtxeOYwMjY6vVyuXynU5HUZRELDI5MT47&#10;O8u0wrOizcR2LMPodLvr6+s/+9nPfv3FryvVCnEIHvB5cRjHE4nPPvvsr//2byYmJw3DaLfb0IMe&#10;eg5DijpUIbELQYESXPEsd8XzMbR/hK03FEIPH/oSApQtBJaKw/xU3yOXhgGeF8YHTC6fz5fJZObm&#10;5hRFqVaru7u7Kysra2tr3W43nU4vLCz8yZ/8ySeffJJOp99zrQBgMrfT6aysrPzhD38oFAqEkNHR&#10;0U8++WRxcbFara6tre3t7QFZyIcffvjpp5+m02lvS9pzxVmtUC6Xv/zdl/fv3dvZ2dnZ2Wm32xhj&#10;zHG2bcuSNDs7e21pKRaNIURVTfvf/u//20XUCsxSM03z+Ph4dXW1Xm9caoW3FJQSIC0ArdDv93x+&#10;fyadnBgbA7Y1L3PRWa3gmBakf2ysb/zTP/3Tz//7zyvlim3bvMBjjKF3czwe//G/+3d/9z//z/OL&#10;C5IkAVsOhDQYeyjTASANgWW62+1algX0mV6q7eeDqQTIWwf+bfDJDB/6coC1ALVXEGtlFD3Dh74w&#10;WDMJ2HXpuo4xHh0dvXPnTiwWazabR0dHu7u7e3t7uq5ns9lr16796Ec/+uCDDxKJBHvAl7mBtxpe&#10;zwx4Mra2tra2tvb39xVF+eM//uNPPvmEEHJ8fLy5ufnw4UPDMD766KMf//jHExMTrKPc8EnPATBz&#10;WLiuUCh88cUX9776H/v7B0dHh51uF8JTjuPIsjw/v3Dz5s1kMokx7nQ7/+v/7X+9oFoBnge0wsrK&#10;Sq1Wv9QKby1c0VZvNIrFoq5poXB4LDsyPjoKhKngwHmWVrANE3McQmh7c+sf/uEf/tu//rdioWjb&#10;Fj+Q45TQaDTyx3/847/+27+5tnQtnkh4C3HZJsMrzUFhQIEro9r3RryfD3aHrLtkv993HOeptsJL&#10;gqXfQEs4CJm8jGRhAwKFohD/l2V5eno6FAp1u91isQjUgRzHjY+PX79+/Qc/+MHS0lIsFnvPtQIM&#10;HWwveJ53HKfZbBYKhYcPH3755Zeapn388ceffvppPB7XdX1ra+s3v/lNo9G4cePGxx9/PDMzE4vF&#10;vN2lzhVMisJfj46OPv/88//x29+dnJwWCoVerwsv0XEcSZKXl5fv3r2bTqd5nm80Gv/pP/2nF10J&#10;rw3e5wGt8PDhw0ut8PaCEAcCdPVGo1wuW6YZi8UmxkbHRrPJZNLv94NE9rbH8f7csRzMYYzQ3u7u&#10;P/3jP/7sX/4ln8ubpoE5biD1UTAU/MGnn/7F//TT6zdujI2NBQKBofPAJIdvmNEAFAjwT0N5UM+B&#10;t4qN9cwBg2Nowb/I2Z4PlnXOCqmY22f40O8Cduftdvvo6Ojk5KTZbIIVAkVCtVqt3+9Ho9G5ubkb&#10;N27cvXt3bm4uFApdagXmzQMWbsjaevDgwa9+9atqtTo9Pb20tDQ7O5tMJk9PT4GHPJ1OT09PX7ly&#10;ZXZ2NpFIvNqUhGdhSCvs7e3927/9229+9UWpVKqUK6qmwgwmjiPL8p27dz/5+JNsNiMIYqVS+b/+&#10;L//LReRB8k7cTqdTLpdVtS+IItBhMTKsS61w8fAUOQgeHDf22+shhILBYDIRD4dDTCUwaXtWK3BA&#10;jopxp90+ODg8Pj7u93uEEIyQQwhGCHNYEIRkIjk6OhqNxSBLjQludh52cgbWPhNIlaG1DqSrPgdw&#10;DKuSg1BzMBgMhULArPfKAZz+0QFiL49oLBqNRKLRYCDACwLo7FazWavXG/VGt9vpdruI0mQyOTk5&#10;OTU1NT4+Ho1Ggdjnqdm67w+8sxQiSTzPq6raaDR0XQennM/nS6fTgiD0ej3YeQBxCPQnf82aFa5S&#10;rVa3trY2Nzba7Xa/33M3RggjjEVRnJyampmZSSWTsqJYpnl9efmlNh3nCncfeIm3CRQhip/8gxBF&#10;xEHEQZQg4mBKJEFQFHkol+Y5iwTmgSgIfr8/EokEAkGWQup2FqTUti3opcMSjQBDp2XkFs+53Ldi&#10;KEf+WUnoXvHx/TDUSIBFm1n5wvcBx3Mcx3O8yPM+RYlFo4lYPBwM8RxvaJra7/d7fceyeY7zKQpo&#10;I8Yy9J6vx6e+HVEUY7HY1NRUJpMxTfPk5KRYLKqqGggEJiYmRkdHHcfJ5/PFYnGoW+rrAUhR4Axu&#10;t9q9btd2HFgA8ESEEOgvGwqFAn5/MBikjnPhtIK32HL43y5xsYER5Z72hxKHODZ1bEocjKgk8n6f&#10;jxFow29B3j1VvFLHQZQKguj3+4DCXhBESilGWBg4bWzH0Q2dteQdOvMQvTYTr2x5e4u5vhUwP5l0&#10;YJP2nMBum13FHZeXBEU85hRJ9vt8sighQk3dNHVd66u2ZVGH8hwHDHSMGmT4DO8fzr4UjuPC4fDU&#10;1NTExATP88CfClyz2WwWgsztdhua/fV6PejQwOT1ue59vfXY7Xa71+8ZhkEp5XgecxyhBDgCFEWJ&#10;RiKJZDIej0ejMYwuS8Aucf4AomNIDQK7G/wwz2m24wWhFFHKcRy0SIT+iOA8hBVFETJNs9Vqt9tt&#10;TdNeMJXoEgyEEMPQNU3VdcOy3JwnStHAOAt870Lidx4cxwWDwWw2OzY2FgqFKKVAOtRsNmVZTqVS&#10;sVhMFEVd1yuVSqVSgXS14bOcA1jCDsSKNE1jC9BbrS2KUjAQjMfj6VQqlUpHoxFeFC7f8SXOHVBv&#10;zNorgl9eluWhXgjPB8ZYluVAMKAoMuzVMEaE0gFNt9ZqNTudzpAH6RIvAkKIpml9VdUN3XYcx3EI&#10;cTiMwbEAPKkgRF78fb0ngD488Xg8k8mkUqlgMKhp2unpKRQxQD+GZDKJECqXy7lcrtPpnLcT6bEN&#10;QinEwzudDtgoQ5flOE6UxEAgEA5HItFoNBYNBIOXmv8S5w5wa7KsSnDFMkf5EPXQU+F6aTisKEow&#10;EJAVheN5hDFCiBKCMaKU6prWarW6nY5lWZdi67vCcRxN01VVtUwL4vCMDANqv5msYS2GLgGAjY4s&#10;y+FweGxsDFxG1Wq1WCxqmqYoSiaTmZqaUhSlVCodHR01m01WQjh8rlcHlq5mGAY0F4KLuvkglCKE&#10;BJ5XfL6APxAIBBRFhm5BwIl7qRUuce4YSt/0NmF/kbXBcRziOEEU/YFAOBIJBoMCz4Pgd9PvKDIM&#10;o9VstdptaIdyuaX9TiCEGKZhGIZDHEEQZEXx+f1+vx+ys0B5ww7y9Xg/3jpAn87x8fH5+flYLNbv&#10;92u1WqvVsm0b2LZDoVC9XofusLBtP2/FwAqBoSeEpmmw86KUEkrBxAkEApDrL4giZPrxPI8RutQK&#10;l3ilYDt/z4yHuAKUX32PeCkIeJ7nXcaeYNCbv0QRIpTohtFqtVqtFiQIDt2A56Ye4/EFnn0MO+yp&#10;X37rbxmGjn+DoOxmPbdNKHEcx7EdjLAoij5FYTzk4OVjpCDvM9hwecH2H5IkQVuFeDxuWVaz2azV&#10;aqqqhkIhaMBg23az2Ww2m6qqMgLHcwILHhiG0Wq16vW6qqowDSmllFCMsSCKAb8/Go0EgwFBEOBx&#10;IP/4u63P14nLvd7bCG+lDzMFwFZACLEOwN9jL89j7Pf7o9Goz+eHJAr3HyglhBi60W67/lPYhbH+&#10;joOjnqgFO4vXI7uHZArD0J2c/fJbMXylZ4MSSggdhPHhG/eiwM/q8/kikQh0s2E3w5J6v+uNvRVg&#10;j/mtGB7MAQcGRBey2Ww8Hud5XtO0ZrPZ6XQ4jovFYtAwDnhfGo0GFMOzBfLKAesLqMBarRb0lEaU&#10;8hzHbhgosELhMDgJKULEcRRFQZReOK3Ahh42lewzvixYu/AYekfwKlmndVg5QPzpbRXwgkpCEIRw&#10;KJSIJyKRsCAIsJ7cRUWp7dj9vgoN2cFc+FZB+cRap5R5Y71glEHM5P+uMnH4qk/D0J18Pwyf9FvB&#10;El4RRghxmMMchqhPIBCIRiKhUIhVrn2r4fVOYuh5vVOazQ32lpk2jcfj0FAByHpN04Q6R0VRCCH1&#10;ej2fzzcaDcbWdR5gpEG6roPVomkaRZQxAmCEOIx9Pn88Fg8EAqIgwK/AaLhwWoHpT/YyXAwfdYkL&#10;B/BOPP4rpY7jQOUOeHXAlTlILX1hUIoQEiQpFA7HEvFoNKZAUwTPxSiltuP0er1arVapVFh4DebO&#10;kCkASoi5s55ZJ+GZh0+VDt8K76nYbbz4XP5OZRDDP/4ugLvDCFFEOY6TFSUUCgdDQVZT4gb8v8v9&#10;vF14YnvCnJODlzX05RNj92QRA2zAY7FYMBi0LKvVammaJgiCz+eTJMlxHNAK9XodGHzPCWy+aZrW&#10;aDTAOoHJB9sAipAoisFgMJVOhcJht/Hq4DFfajKdE+CRnsTwMZe4gBh6T2y/zJaWt9HNUwXxc8Dx&#10;vKQoAX8gGAoGg0HF5+NAtUCOKkIchw3DyOVym5ub0CixXC5Xq1XoAt9oNKCMSNd16LsA9NqWZbFM&#10;wSfkxJMlxGzZPxVDP2TwZlg9B0zuAIb/+cUwPF7fESAy4GUpihIKBUPBkNfdN3y99xLeEWOv2LZt&#10;TdM6nU6j0ahWq91uF7xDUEFmmibsisBi7nQ69Xq91+ux9+495ysEIwZuNpvtdhs8SLBMOMwhhERR&#10;ikYjqVQqEAhwg1Zx7lQfPtmFgfc1UEqfyrFziYsJmOsgZWBJAKEYmNIv2Hv9MeBgSrkB70U0GouE&#10;I4qsgG6Bc2GM+/3+9vb27373uy+++OLLL7/8/e9///Dhw7W1NWizfnh4mM/ny+VypVIpl8uQJQIk&#10;GVBO4bqKBoDKO8DQPzGF58WQBPE6oNgBbFjOgv1wyC55PYB2oyDsFEUJh8NAQ+m9mdcWfXmdYE/n&#10;xdBTD71HJuItywLS3EqlcnR0tLGxsbKysrm5eXp6Cj0MoNM1NBvudDqqqgIdOpyNXes8wLjiO51O&#10;v9+3LAvYZzDmMIfB5RWNRtOpVDAQZOuR4zjMDVqXXBzAa4BQCWPSrtcbSiAQDkcuOVMvNIiNEGUy&#10;GlZOt9sF+evz+aanp6enp6PRaCAQcI3WbwWhiFDEYYoQIqTb7T64f/+//bd/3djYyOVyrVYTXKiE&#10;EIKQKEvhcDgej6fT6XQ6HY/HGY0PNE0LBoPQoXOIHW+IEgPAlgZslr0Jmk/dTp19HMZvyn77fGZW&#10;diHAU8/5VECJ3/C3TwOllDqUUoo5bGhaq9k6Pj7+5ps//PKXv9zZ2UEIp1KppaWlW7dvXVtaGp+c&#10;gNgpCzK/nh6TrxNPjf2wvsdMhcNnmGlMSUAaRa/Xg4hus9lsNBqlUqnRaESj0YWFhampqXg8jjFe&#10;WVn58ssvW61WKpVaXFz88MMPb926FYvF2KwYvoOXAPQj6Xa7hULh66+//pd/+ZeVlRXTMDBFPMdR&#10;hCAJdWpq+id//pO/+PM/HxsbCwZDkiLzHGeapihJz5ujbwTwGsD+UlX19PR0fX290Wj6AsFINAop&#10;KKIocG7G+qsczUu8LAZaASYVtB+ApdLr9cLh8Pz8/OzsbCAQkCTpBTtNUocgihCHCSWYIrWvbmyu&#10;//rXv1lbW9vZ2alUKoQ4UN5MKZUk0R8IhMPhyYnJicnJSCQsihJClBKKBuyqbisFhIYqdb2f3UsP&#10;lgasW2iTCZS9T42LeE8FH4DbAxJ7oErjWVoB7t9b+A0dWp41RN57gw7M4XD4RRgpvFrB1PVmo3l0&#10;fPTg/v3Pf/nLne0dyzITicT1Gzfu3r07Pz+fzowEg0FQmSAcB7f09Lt6G8FquzDGGGGKKCHUti2g&#10;/TAtixJKkRshsyzLNAy3w59hmKZlmoau6YYJPZEcSglYAn6fL51O+fx+y7JazdbJyclp7pQiNDc3&#10;t7y8vLy8PD8/HwqF2Owavq0XxOOp5KaTwSfTtGrV6tHR0b0/3PvFL36xvr5h2xZCSOB4OIrnuCtX&#10;r/70pz/927/9m1gsJsuKIAgIY8eyOEF4+hx9g4DlARwG3W43n8/v7Oy02m1/IBRPJCKRiChKgiDw&#10;wqVWuHDA1MEIMkUJaIVerwcOfU3TEonE0tLSzMwMNB9+wcUABF4IYYc4HMepfXVvb/fBw4crKysP&#10;7j/I5XOQ3QTbH7+iBAKBSDg6v7CwMD/vD/h03TAt07Ec0zINXTcty7EdhxKbOMByDF08ocLurFaA&#10;1QHSFkLlPp8PRLb3SC9Au8CpgI1SlmVo7Pwske0V8VBRDBeChJDhoxECWQY3zHJJoVfakLp6yghT&#10;hOGUGNmW1Wg0To6P1zc2fvvb3x4cHGiaFo1Gr127dufOncnJyUg4IoqiIAqQDQiEVMDAPHzatxaU&#10;UmgXCBrVIcSybMOA4FNP1w14m7ZtG7qhan21r/b6fWjAp2ka1NJLkuTz+Xw+XygUjkZd5ijTMDvd&#10;Tq1WKxaL7XbbIU4imbz9wQcffPDBlStXxsbGfD4fbAWe8ppeEGx2UAphA/jO0PTT3OnO9s4397/5&#10;8ssv9/b2bNu2KRFFkRKKMPIpytL16z/96U//9m//1u/ziaLE8xx1l9szdi5vEHA/hJB+v9/pdAqF&#10;wu7ubqfbDQTDoBUEQYT62MGQfN8BvcQrB7V5jJnMsiyr3W7X63XgEAbbeWpqCqLNL7gY2PyEZmeq&#10;qp6cnOzs7IBJvr+/r+s6HMBjTpEkWVHisdi1paVri9f8fp+u66ZlWaZlGLqm6RBeRhxGHAansKZp&#10;0ObsbDcbZraCeGVtFcDg8B75LICTCggknkP65HVVgXnB+og89Uimrs7aCkMNqM+eAVHEUYQxFgQe&#10;IdTtdsvlyvHx0fr6eqlcJo4TDkempibn5uYSyaTf5+d5NwLJqt4Qpe+SVsAIYcxhjCGDzrEd27ZN&#10;yzQN07JMx4E6eUQItSxL1zXDMDRoy9rrQQ405jgROHcFIeAPQHWCKImaqnW7nb6q9nq9ZrOpadr4&#10;5MQf/ehHH3300fj4eCQSgXKQF1wIT8fjeOsTtkKv09nd3V1be/Rw5eGDBw9ypzlCHJM4MG9lWY7H&#10;48vLy3/2Z3/2F3/xF8wwfTzbL6ZWcAnB2+1CobC/v9/pdoOhSDyRhFx1juMFwTWFLusYLg6oY/E8&#10;x2E8oNbRICvDtm1RFNPp9NWrV8fGxqArzrNE5LPgOA7HccA9mcvlHjx48Pnnn29sbPR6PXc7jzGP&#10;OI7nYtHo4rVrC/MLgUAArsBIW23bcYiDOQ7zHDiIIc7M6nqGLjoUQ2bh1rNHApi89v6EGRDeD0O/&#10;YkqIVVo8VViw08Kp2F+9q5h983SHEkU8QhhziiKLkmTbdrfTbbVbkBgjSVIoFIrHYvF4XJZlQRA5&#10;zo1zPKEV3iG4nn1wkTlg5rrMvl5qFncwMUYIUUIMw9QNHdKubdu2TEvVVFVViePIshIIBoKBoCxL&#10;kiz7/X6McKVaqVSrI9nMn/7pn3788ceJRIJp/adOiRfFoA7Rq6cppe1m8/4397/++utH6492d3ar&#10;tSpCyHRscJ9Go9Hx8fFbt2790R/90R/90R/BRofNwwutFSCGUywW9/f3e71eKBKLJ5LhcEgQBMxx&#10;As/DjX//Ab3Eqwa1TZ53A6rwBmu1WrVa5TguGo0CTVg6nf5+5c2Qg8DC1998883PfvazBw8edDod&#10;V4YihBxCEQoFg7Ozs7Ozs9Fo1O/3S5KE0MCmxAgjZINsG1T6wJ08ayGweCMkGkKa+VPvfEgfwCAA&#10;L5PX5hj+GUJMxEOGhVdRnQVTCewnzOXNlNDj5X3mcpRQznU9iaIoEkrAWtJUzTQNv9/v8/t9igJ9&#10;jdhrAsI0xpYxdM63GuB7xJgDpQ/uIEmSZFlS3HFACCGO56AZ3+PQ1OB1I4Sg1WCv17NMUxBFn6Io&#10;ik+WJVEUOY53HKff7/U1LZPN/vGP//jmzZssCHT2BX03UIqI+wwI3hCilJBWs/nFr371qy++2N7a&#10;KhSKnW6Hw9hGrl2SzWYXFxdv3bp19+7du3fviqLI8zx7s89bDG8W0Juz2WwWi8XDw8Nerx+OxhLJ&#10;ZCgUglfCX2qFiwdqm1AKA3twEN/1ej0QCIyMjIyOjmaz2VgsBm8QMHyKZwMmKpBy93q9b7755h//&#10;8R+//vrrVqvl9nxGCBOKEPb5fCOZkanJqUwmE41GZdlVQghcBQg5ILsHMUZ2iafsrBHyKgZvhfPw&#10;QQOwf2KK4Vt/AoBj2FWepRWYSmDaFw6Gq3h/9dQRpg4htgMS0HEcwzTUvqqqKuRNCuKAyxYhyDga&#10;/I6d59se462DKwo5hCihVBSEYDAIcR3YRDM5w/Ou3STLcjAYDPgDgiBwHAbHIs/zGGGe530+RVEU&#10;y7ZbzVa1WimVSu12JxAIpDMjs3OzH9y5AxSqIKDPvqDvhie1AnXcDKlarfazf/7Zz3/+b4eHh612&#10;2zJNjLHjlqnh2dlZSIK6fv36tWvXXA/hW6EV2u12s9kslUqHh4e9fj8SjYNW4AUBI8zz3KVWuGig&#10;tgnCjbWrrdfr7XY7FotBt8JEIgGta5lcGz7FtwHmrm3bDx8+/D/+j//jq6++qtVqUCiECOUQ4nlB&#10;UZRoNDoxMTE9PT02PhYKBh9fDmOM8KBx6GPxDR+eqhW8W0L2zfNXDVyL/dD7mM+S9WxBsr8+5yps&#10;6Nhh7Ipeo+Spq5sSQizHcRzoadrr9Xq9fqvVyufz3W6XF3hBEGRZliVpIDAfnwJuDobRe863GxRy&#10;+DEhlBAiy1I4HA6HI4ri1lrC89NBcp3tOIIgRKPRSCQi8ALGCLpQ+AMBWZIghsRxXKPZPD09LRaL&#10;hXyh2WyOjY0u37o1vzA/NT0djUYhjY297u+xEFx4tQKlrs1o2/l8/p/+8Z/+9d/+tZDPm5YFx9qU&#10;QKxraWnpj//4j2/fvn316tXJyUk2VS6uVmATvdvtNptNiCv0+v1ILJFMJoPBkCDwGHOCcGkrvElQ&#10;+hTpRm0LKmAMw+j1emDt6bqeyWSuXLmSzWZZCxd4a9/73VFK19fX//mf//nevXu5XK7RaGiahikC&#10;ek9ZksPh8Ojo6M1bN+/cuZNOp93aCEoxx7la4YWv7NUKz1rGbBENHeAV2UNHPhVsWNgSferx3quz&#10;G/Nu97w38PhncDwh1CaEEuI4qqp2Ot1Go358fLyzu6v2+/F4PJPNxuPxUCjEcyC2nqYV3iFQFjyn&#10;CIiAFEVWFJ8kufU0lCJCCXEIpcSy7G6va1mW3+f3+/0IIcexwbMEWwqHEKhzrlVrjUbDsi1RFEPB&#10;4Ozc3PzCwsTkZDgShoO97qPvP6SUEodQQqACkTiOpmqNZmNvb+/nP//5F198USqVYPNjOzbiOShc&#10;v3Xr1k9/+tOPPvoom80mEom3QyuALdztdhuNRj6f39/f13Q9EosnEq5W4DjIQbrEG8NTtQKxTZ7j&#10;EEJQZ99qtVRVJYSMj48vLi6OjIxAtuUrWAwI7e7u/uY3v1lZWdnd3T05Oel2u5giDmPqOgFCqXTq&#10;sx/+8M9+8pPZmRl/IIAQIoRCKJyAhHuJq7/FoBQRt4BD1dROu1MoFDY3N9bX1/v9/tjY2Ozc3MjI&#10;SCQSUZ6bgPvOgAB/rCcZCVQzhNnBVnAcx3Fsy7IN0+j3+5ZpcjwvCgKh1LZtx7YdxzEMQ9eNvtqv&#10;lCulUqnT7fAcH0/Ep6enF+bnZ2ZnU6lUOBrhBYFFFF7BQqCIOA6xbU4QMMbEcVrN1sHBwcbmxr2v&#10;v753716lWgW/kWmZvCRijEOh0J07d/76r//6008/DYVCgUDg7NUvolYAbylQ/RUKhaOjI9OyYolk&#10;IpGEmhqwFQa/GH6kS7wGPEMrWBxGhJBOpwOEMMDYPjExceXKlVQqxfrCw5I4Ox1fEJTSXC738OHD&#10;1dXVlZWVnZ2dbrdLbAcjhCjiOCzLSjwR/+yzz/7DX/3VtWvXwtGoW9WJB1rhvZ04FLHcdl3T2u1O&#10;oVB4tP7o4YMH1VotFAqlkslQKBQMhSRJAh3/boN4BCBEnhHCELVlGatQzUwpxVBmKIpAPgpHw8bf&#10;NM1Ot9tsNKrVWqvV4jguk83MzMxMT02Pj48lkslgMCjKEjDAe2f+yywERBEkQnA8D1qhVCytrq6s&#10;rKysPXq0/uhRs9USeB5jznZsXhKhlfTHH3/8V3/1V3fu3IFw+tmrX0StACQeQH5ZKBRyuRyhNJFM&#10;J5JJKA9BCF96kN4snqoVEHGI45im0Wg0KpWKpmnAHzk+Pj41NRWNRmEKsl5p3/vdUUprtdrR0dGj&#10;R4++/PLL+/fvNxoNYjsgxSAHPBIOf/qDH/yHv/qr5eXlVDotK8rgx4gi+h7bCrDzQhgjQ9e7nU6h&#10;UFzfWH/w4MHR0ZFj2+AJEUVJEN41covnArPMf5buDrtsSl3/kSgI4XA4lUpFIhGO4x3iCDwvK4rP&#10;5/P7fI7jNJpN2AwhilKp1Pz81bkrV5KJhN8fEKEkXhSAg4htf5+VgvyioAjyE8C0obZzeHjw29/+&#10;7t69r/cPDo6OjlRV5TDmOM5xCCcJyWRyamrqk08++ff//t9fu3btWfXzF04rwHiZplkaoFgsIoxT&#10;6QxoBTjmMgfpzeLpWoE6pq6D66/RaEA3c4gzj4yM+P1+mIJuytDLaQUIZW9vb//iF7/49a9/XSqV&#10;qOPwHO/WQmOsKMoHH3zwF3/+57du3ZqZmQ1HI64agF4z77dWQBQhjCzT1FStWq1sbG7e+/re0dEh&#10;IUSSZVEQZEURBOF9sBUGGERQ4H+PfUmu3UAREng+HA6n0+lIJIIx5zgOL/CyLCuy4vP7LNM8zeVy&#10;uZxlWaFQaGJ8fGlpaWJyMuD3cxxPMUYIcTwGWwFUwqvVCpRS2zS3t7f/7d9+/uWXvyuVStVazTRN&#10;eDaHEFGR5+bmrl+/fufOnU8++WRmZoZlAw6d9eJqhWKxWCqVyuVysVjEHJfOZJPJlN/vZ0N5qRXe&#10;IJ6qFRzL7LRbjUaj2+1qmgadbKempkZGRlhKMas8eOp0fEFAmpOu64eHhz//+c//7d/+7ejoyDYt&#10;jJBtWVCUxHP8wsLCD374g1s3by4vL4+OjwuiiDGmhFBEwW4fPu/7AIoooZQSjuOI40D9+cb6xu++&#10;/F2pWIzGYpOTkyMjI+FwWBJFnn8/onfYtRSA04P9H8bI1Qqu3YCA9USSZXDdIIx4nhdFSRSFdrv9&#10;6NGj7e1tDmMozbk6P59MpyWexxxHMaaEYP6xAhjKFnvifl4cQNtECKXUMMx+r7e+sf6zn/3st7/9&#10;bafd1jTdcdwuDo5DlKD/7t27H3/88fXr1xcXF0dHR59Vb3/RtQLYChzHZ0bHkqkUMIfAUF5qhTcI&#10;0AqDuePuegytX6tWa7WaYRhQuTYzMzM5ORmPxwelZMMeVfb5OwH2WYSQQqHw+eef/+u//uvu7m6/&#10;07VMyzANQRAEnkcIT0xMXLt27caN6598+uniwoIvEIAEPooofsfSK18cHq0AjTrVfn97a/t3v/tt&#10;rV4fGxu7cePG5ORkNBIRRFF4D6LNLjB24/CIIooIJcAt+oRTCSM3UDywKMDAAJ9+tVL5w717Gxsb&#10;iqJMTk2Nj49PT89EoxGMMbh3iONwPO/1IHku/n2nIpgxlNqW1Wl3Go3GyurKv/zLv3z11VeGrhMg&#10;NcIQSKKBSOjHP/7xj370o4WFBWgl/ayaiQtqIcKNAlct+4Y9wMVTZO8hYD9BIbfHsqx+v99udzqd&#10;jq7rHMeFQqF4PB4MBv1+P4QT2Ovzfn4ZQCeAaDQ6NjaWTqdFSaKIwvaHUEoo6ff7hUKhUCh02m1Y&#10;PGhAKvfeAmFEsfvmKEYII04UJEVW/H5/MBCORgOhoOxTBFmSfYokS+/LH0mSZElSZPij+Hy+gN8X&#10;CPgHf3wBv8/vV3w+SZZF+IkiSbIsSBJ0ESeIEihjk0RRkgRRRBhBDjQUxzB9AHjipbwE4AzQorlc&#10;Lp8cH7fbbcuyGNUKArZgUZBlORqNgjsXUo+edfULpxWYxw3qY8EH/e6xur/tAFsNFANYr51OF1QC&#10;QigQCCQSiWQyGQqFvF0enzULvwdg0kML9ampqWw2q8jygPoCE0KIQ/pqv1qrliuVRqPRV1UPjQR+&#10;XzOQBsAI2jS6QoXneFEQRFGSJcxxhFJCKQban/flD0IYIw4DR5br6oFp8pQ/3l89/hJ+C+fhBB70&#10;AebcLjfu8ecASqlt2a126/Do8PDoCHL/wKUC9o0gCMFgMB6PJ5PJVCoVi8WguHr4RAM88x/eIBi1&#10;C7TeBZoqiNJc4kJhwNBg68AiqfYdx4H9eyqVSiaT0NZ8+GevDrIsj4yMTE1NjY2NBQJBDmNKXLp8&#10;Qomh651Op1arFQrFQj7fbrcd24YKVeJyWLx3AGnB3BewAwNGWCCDe6ng5/sKNqrMvcHGkG2GzsdX&#10;DyV2rqGwv79/enLa6XTca2EEnhVFUZLJ5MTERDKZZA2v2P57+JQXUyvAvVqWZRiGbdscx/HvV5Lc&#10;WwAKzmlCbdvWdV1V+91eV9d1juPBd5RMJoGc7ly1giiKMN0zmUwoFAI/OKVu5bJt22q/32g0crnc&#10;4eFhrVZj1f+XGAIk3T/L0XyJ5wO2R4ZhQMNXjuOggwjTCsM/eEWgAz5gVVWr1WoulysUCsAXCSCE&#10;EOLIspxMpqanp5PJJDAWs3t+4nQDXEStAAC+SVcruJ3XLnFRAAWhhBBdN7rdbrfbNU0TURQI+NPp&#10;dDKZjEQiz2818zJgy4zjOL/fn3ARD4fDvFv0Djx4iBCqaVq1Wjk5OalVq5Zl0XMz5N8iPHUny/I4&#10;zlWQvauAbK5araaqKvTVYJP/qfvxVwXHsfvdXr1Rr9frtVqt3W4bhgGhV5jolCK/z5fNZq5cuZLJ&#10;ZHw+H3vFz1qbT//2zQLuGFiFgbiYw5dW7cXCIDOV6obe6XT6fRVRpChyPB7PZDKJREJRFJb39srf&#10;nZdyThTFYDAYjUZHRkbS6bTf70cYexNnLdOs1eunp7lSqaz2+45tE8cBJv33E8x1wOD91/Pe3r5j&#10;YGNlmmaj0SiXy/1+XxRFaEPrHcZzGlLbshuNRj6XK5fL3W53QKhOEaJA2iEIfCgcHhsdu3LlysjI&#10;CBCRPf8tv2GtwOal969s5wJ9Ugbtis5d617iqWDviPni4S0Q4kCHy35ftW1LkqRwOBKPx2OxWDAY&#10;9Pouh8/46gCzBTqRjWQyIyMjwUAAYwybXrBmDMOs1+unp6fFUrFWq3XbbbWvarqmD6C9Z9B1XVVV&#10;t62CpqmqahgGxPBYC/vhgb7EM8D8MODGgfwfURTPkkk8SwS/IIaUN1uGtmNXq5XDo6N8Pt/v96Fl&#10;EFyKIiQKQiAQiEQiIyPpbDYbiUSg7av3DGdxTjGQFwWbgszUAvR6vd3d3fX19U6nEwgEYrF4KBLz&#10;BwKSJIJ6YK6xlxzrS3wrBvtHN5kbIcRxGFqodrvdTqfTbLUQQqlkMptJZ9LpdDo9ICY5L3cEC+hB&#10;QZxhGIeHhxuP1tdWVr/++uu9/T1o50kIsS1b8SmyJMXi8c8+++yzH/5wamoqGA5zgmvHvNn5/6YA&#10;jlngpNJ1vVAorK2taZo2PT29tLQEheg+n+9cY0LvBlx+JIw3Njb+4R/+4Ve/+tXdu3f/43/8jzdu&#10;3PD5fOywl18CTFR6HX2O4zSr9d/+9je//vWvNze3SqVit9ujiGKEKSWY40LBIDTj/MlPfvKjP/l3&#10;kHo0FPA4e29veFWc1QrQRaTT6ezt7W1ubna73XA4HE8kQuGY4vOJohvDQQi978mFrwtMKzCLDnqi&#10;NRrNVqvZ7/cN0/T7/WNjY9MT4/FYNBgMQs3aUGXA8HlfAiDUYFXAX6vVajGXX1td/cUvPn+48lDX&#10;dZ7jCXFM0xIlkcPY5/ffuXPn5s2bk5OT8URCUtwuoUPTb/hK7yJglQ1aV1HDMOr1+uHhIUJoZmbm&#10;+vXr6XQaetNfaoVvBWgFjuPW19f/8R//8fPPPwetsLy87NUKLw+vQwU+QBvjwknul7/8/Fe/+uLw&#10;6BBi3cQhsNwEgc9mR6enp67fuPFHn332wUcfglPXmyn+xDUGuEBaAT5DOKHVau3v7+/u7vb7/Ugk&#10;Ek8kguGIovggsg93fBk0fD1gWgF2FZRShxBDN2r1Wr1W03WdF4RkMjk1OTk1MR4OBcGd6vVQP2f+&#10;fT9YlgVbHubx0DRN7fYePXr0X//P//P3v/99o9EkhDjEIQ4RBJ4QwgvC9PT0+Pj42OjoSDbjCwS8&#10;egXYOJ6VkvGOgTk9QCtAd8lOp6MoytWrV69fv55KpXw+nyzLl1rhWwF+GI7jHj169E//9E+//OUv&#10;79y583d/93c3b9585VoBLGMmMLvdbrlcPtjb/80XX3z11VelUsl2HGcQM8MYKT7f/NX527dv3Vhe&#10;vn3r1uTszFDl0LNWJf/3f//3w9+9CTCPECR49Xq9arXabDYJIYFAIBAMSrLCCyIUlw80GVBOPf3B&#10;LvGq4I42RjChHMcxTdPQjV631+t1CSGhUCidTqdS6UQsyvLeAN86/74fGJMS3B7HcZIkKbKi9tVS&#10;qdhqtQaOcgdjDlxJCCFKqKaphFJBEClyyyQNw4AEaGiY/D6APSk8tWma0IwlEolks9lUKgWR0svS&#10;0RcB28tWKpWDg4NisTg2Nra0tAS9noaPfgkwC4+Z4M1m8+jwcHdnZ3tnJ5fL9fv9wbaGUkp5gVcU&#10;ZXp6+tbNWwuLC+Pj44rfP5R8/Kz3+4ZtBSZ0Boy1BDo71mq1w8PDXC5HCInH47F43OcPirIsCAJ2&#10;0yLhV5e5SecOQgk4j8BKM3Sjr/Y1VW21Wp1uV5akbHYUCmTikZAoivBCzs99BLYznPYJW9MhhwcH&#10;X3311YMHD7Y2t46Pj/v9Higmx7EFQVB8PlmW5+bmbt2+PT45EYvFoJ3Wy7P1vV1gS55tsCilPM9D&#10;rVMymYTmSCzj/hLPAWySLMva3t7+zW9+c//+/eXl5b/8y79cWFhQGHn7qwDkAsAWBybq3t7e17//&#10;/Tdf39vZ2Tk5PVX7fYcQV9hjHA6Ho9HoRx999Oc/+cnS0vV0Oi0obk7Ut87zN68VGLzuo0qlcnR0&#10;VCwWMcaJRCIWjyv+gChKgiAgBJb+pVZ4TaDIzXTjMCaUqn210+10Op1et2tZdiwWm52dnZiYCIWC&#10;fkXi3DoBNDT5Xu1rgknLlocLgqqV8u7OztbW1r0//OHBgwfNRgPyMG3HlkSR43mBF5auL/3oRz+6&#10;urgwNTWVSqXAdQkneLU3ecExpBsIIcArBQ5AiDpcaoVvBTj3VVXd29t7+PDh9vb20tLSn/zJn8zM&#10;zMiyPHz0S4B5kCzLgljaw4cP//t//++///KrSrnc7fYsy7RtBxyDvMCPjY6Ojo5+8sknf/aTn0xP&#10;T/t9fiy+qPH3hrUC7PW8mz5N05rNZqlUOj09LZfLPM9nMplYPC7JPo4XwBPqndAv+JyX+N6gxEGI&#10;UmgET0i/3280mo1Gw7JMURAzmcyVq1fGxsYUWREE7rFO8GxFz0ngMovBlXEU9TqdRqNxfHz8q1/9&#10;6je/+U0hX7As0yGEOITjOIqowAtzV+bufnj3+vLy7du35+bmYEaBtXEeN3kRMLTGmXV+9ktv1P05&#10;VU6XYACt0G63j46O1tfXj4+P5+fn/+iP/mhqaorxBL8SgNyD7ABd16vV6r1797744ouH39zvdjqm&#10;aUFPboQQwkiW5cXFxRvXr3/40UcfffjRSDYj8LzL0fQCePNvnYX4YC6Ct1fXdcuyYM0LgiCKonfn&#10;At+/q2v4woESDiO3Wbhl2aZp6KplaDyHQ8FAOBT0K4oo8PxAIby2t+OV43BFSZKSieTY6Gg6lUok&#10;EsFgkON4SKWFQAIhpN1uHxweHR4eVqtV4PKDfYlL+PDOYSjn5FlPCiRIw0N8iRcAyCUIw4Db7Zwm&#10;P9sANZvN/f39vb29er2uqqphmrZt2Y4DrxKiRIlEYnZ2dmxsTPEpLtHhC+PNawUvIKICVTagFXie&#10;B33Axto7v89p9C8xBIwQmAqmaWiaqmsaIUSR5VgsGotF/X4f776f4ddxrq/JOw0Akij5/L5YLJbJ&#10;ZMfHxpOppKLIHHYlIWQZ9fv9QiF/dHiYy+UqlYqqqm4s+o0azS8DtosEDH0Jf/W+Ahgr9lcAsw+8&#10;GDrmEk/F0OB7h/3VAk4Ledg7Ozt7e3v1Wt00DHdjTRFClOM5RVHi8fjY6NjU1HQmkwkEAhwwvL5w&#10;Ys6b1wreiQtaQVXVXq9nGAZQOZ6f7r3EiwAGH0i4NE3r9/uGYSCE/H5/MpmMx+M+n+8iuBqg2TrH&#10;84FAYHQ0Ozc3Oz4+HggEOJ6HFcNhTIija1qj0SiWSicnJycnJ41GA8p635m0VK9iGKpf9Uoub4ns&#10;0JGXKuHFAUMHZijYDee3FmANdrvdfD6/vb19eHjYbDYhB48fpAbIkhSLxkbSI2NjY2PjY/FkUlIU&#10;jDlMXb3xIjivB/h+AJYLqMK3LAt8RxzHXZYmvEGwaCQktquqSimVJAnYh8LhMON7Oact0gsC5Byl&#10;iOf5ZDI5Nzc3PTUVjcWG2sBBg6B6vX50dLS7u5vP5zVNe7N3/grhFfHerevZB3yqTcAOfupPLnEW&#10;ILIMw4AaGkVRFEURXIrGVwmoLGm1Wrlc7vj4OJfL1et1VVMJpdDcASFECJVkOZVKTUxMZLPZWCym&#10;uN1NEHpaS91n4QJpBaZ1IYucEPJYK7gW0CXeANzKNShTMAzbtgVBCAQCoVDI7/dDrdP57Y++IyhC&#10;FGEcjcWmZ2ZmZmZGs9lYNPo4GwRjWMbtdvvk5GR9ff3g4KDT6bCWf+8AmBHAPGPMJmA6wKsS4F8v&#10;jYPvDdjI6rouCEIoFDrLi/dKQClVVfX4+Hh9fX1/f79erwOltPuiXQcgCoVC4+NjCwvz2dEsGPHY&#10;TeP/Drggi/kx2CSGAM7jpOnLncubA2uNB84WURRBJUCtkzeYOfzL14jHYVWEgsHgyEhmfHxidGws&#10;mUz6A4HHjcsx5jA2TbNSqezv70PYudfrmaY5fMa3BGcHH3q/WJbV6/U6nU6r1Wq1Wp1OB4jwPPyG&#10;xDRNcNi22+1Op9Pv93VdB67id8aldt5wHAeqJnmeB60ApfLDx70cgB3u8PBwY2Pj5OSk3+87jkNg&#10;N4NdblSfz5dMJKampubn5zOZjCzLiFJKictf9sJ4k7XNzEplmamGYbTb7XK5XK/XKaXQ9VdRFJ4X&#10;YNEPn+ISrxqUuj19BxUhGCNqmSZEFKD5XzQazWQy0ERBkqSh3LDhM74ugB0Ncp/nOFb4Y1pWs9ms&#10;12qWZbldnQlBGJumqWlaOByORCKKosBMO+9s2lcFWC/Mne29bXA1tNvter1erVbz+Xw+n69WqyBH&#10;oGAN1KdlWZAFXiwWy+VyuVxuNpusqQnHccBjf8GH4s3CcZxer9dsNlVVhSqzWCyWTCb9fv/LGNAw&#10;deEzMBhqmpbP51dXV1dXV09OTjqdzuPqS4Sgo0MqlVpcXLxx48by8nI0GpUVha0I193yYu/x+9/3&#10;qwIbO9i5sK0K/BPkIA3/5hLnheE9BUXUtt1cYeY+CoVC0Wg0GAyex57o+2NwJ5jjMMdhjEOh0Nzc&#10;3ML8/OjoqM/v53kBgzuMUsb/U61W9/b2Dg8PW60WCEQmcy++Y52pYTCvLcvSNA16v5TL5Vwud3Bw&#10;sLe3t7W1tbu7m8vlGo2GruuPSZhtG0Isp6enm5ub29vbBwcHkJpVr9d7vR6wYoCEAg3kDVN7oxfv&#10;OWAchgZq+KAXhjcjAM7c6/WKxeLR0VGhUKhWq91uFyYqqynBGEcikcnJyZmZmdHR0UhkwD3DcchN&#10;S/0O6/RN2greaQ2rtN/vt1qtWq3W7XZFUYxEIsxzjTkeOLQvcX5gu2SYQ/A32zZ1Tev1euB/8Pl8&#10;2Ww2nU4DN6pXZ18ADYGZ0QDLSRJFx3Fa7Xav17Nty5Vkg1uFRWWapiiKQIABTA/uuQaT8+LAK2vg&#10;9ljmnqZptVoNNMHx8TH0YIFukbIsh0KhWCyWSCRCoZAkSeCYZTxIsOsEGwLsDLDXNU0DliS3H6Jn&#10;tQ7dz0UbqNcGqGJrNBqdTkfTNMdxQqHQoFbmpeQVG1JCSLlc3tzcXFtb29nZKRaLkB8Br0PgOEqI&#10;3++fmJy8fuPG8vLy9PR0PJ4QBJHj3e0RxhhRd2EMX+ZpeJNawTuTCCGaprVarUaj0Wg0VFX1+XyQ&#10;9SiKQIr33QoxLvE9AP5HjDDCiLqtmaljW6ra73a7mqYBFx5oBZCh3pf45kWD5/oYY47nJUkCG1/T&#10;dUaER2GFIASrGrYg8Xg8EAhADom3OObxGS8GXCtm0FkEsgA0TWs0GkdHR9vb2zs7OycnJ5CzGIvF&#10;RkZGJicnJyYmRkZGWCdt5kQSRdHn80Wj0VQqFQqFBEFQVbVcLh8fH+fz+V6vp+s6KAw2FN5Mce+d&#10;XMCxeg2A+VOr1ZrNJmRsx2Ixb4uR7w1gooRmPoeHhw8fPlxdXc3lcq1Wy1thw3Mcz3GJRGJhcfHu&#10;nTtLS0sj6bQS8POgEhi19NuiFQDMXOr1evV6vdlsQuvRYDAYi8VkWR4EnF/UKXaJ7w1obOnuLVxf&#10;gUOJ3e/1er0euI+i0Wg6nU4kErIsD837CyQXIKrMcbwgEEIc26aEguhU+32HEphLsMs2DEMQBAie&#10;+/1+2E2zffEFBLs3KO5pNBrFYnF/fx84O8HjHAwGU6lUNpsdGRnJZDLxeDwYDEKDMJbBwXEcaIVA&#10;IODz+UAdwoBAszYQSd1uV1VV1kHdW1LqvZ8LO1znCshnK5VKrVaLUurz+VKp1MvHFQCmabbb7UKh&#10;sLGxsba2tr+/32g0oLyX6WNJFMLh8MTE5PKNGzdv3pyamgoEg7wggJXwhN/ordMKsKEDlQthsXA4&#10;HI/HWTCTInzpQTpvEEJZaIpQSiCeaVuddrvb7QIRYyKRiMfjkUjkLFHwG5YLFDgTsWvtADiO4zhR&#10;EBWf0u/3K5Vqt9tzHIfjOUhRZcxalmU5jgPtDMEnezElHbsxiAqUSqX9/f319fV79+7lcjmEUCqV&#10;mpmZWVxcvHr1ajabBRuI7a5YwhhbejBIgiBIkiTLMigJcA+qquo2Ny0WdV0XRRFeOiQHes9wMcfq&#10;NcC27Uajkc/n2+22LMtgKMTjcVCxw0d/F4Bv6vT0dG1t7eHDh/v7+1CKDwMO5oIgCMFgcHxs/Nq1&#10;a9dv3Lh65UoskXAtePAaATByd9Uv9orevFZg1lCn06lWq2AoUErD4XAsFoMnpAgh7LZuvsT5gVLQ&#10;CghhTAkljkMcxzLNdqvV7XYlSQLfdCQSCQQCLKLARAyTEcPnfS2gQA325H4II8Rh7FMUn+Lr9Xql&#10;Uqnf75m2hTkOOnmIoshzPPC3E0Ji0WgimWRulscG+BmfPvt8fnhqxBLGGXbx9Xp9f39/Y2Nje3v7&#10;6OiIEJLJZBYWFq5cuTI9PZ3NZsPhMBRVMcIPlm/q1Q0QbRFFEawlyMuSJAn2qpDCxFxJEJZgTYmZ&#10;Sng9Y3LRYNt2vV6H9gahUAgMBSjtfEGt4I3NuJ8HieDtdvtgf/8Pf/jD2tpapVzu9nosyAxHQiXz&#10;3Nzc0vXrV65cGR0dU/w+YD3C9IlkQndVvNgrevNagZXOwvxrt9vg7gyFQtAU3j2Oe1Ea2Et8b2CM&#10;3aoXSjGHieOoqtbvddvtlmVZwWBwZGQklUpFo1HmfGeiYei/bwBgIMMdef7YjoN5XpTEnqrqhk4o&#10;1VTV0HTHthClAsdDpY9tWhzCPkUReUGW5GAgIMsuP/7ZJzr7zTmBNYBk/YHBrOn1erlcbm9vb21t&#10;bWVlpd/v8zw/NjZ2/fr1GzduZDKZYDAImtvr8PFKcO+7Y5R5jHlMFEVZliVJgna5tVqt0Wi0Wq1+&#10;vy+KovfMjFtw+NbfD4CtABFgcHqHw2GwtL7rJPFqBUs3u+1O7vR0/dGjhw8e5k5ONU23LYvDHEaI&#10;EiLwAux1MtnMjeWbt+98MD0zE4pEBEHAQHvEDVJRXRPhLdEKTElCxKzRaORyuV6vJ4qioiiBQADi&#10;me7E5fgXfaZLfF+AgKBuDT1nWXav19PUntrvE0IikQiUKUCdzlDxmvfzG8HjG3jyD0UIPCSW5ZoI&#10;zUaj1+lBixKMMfSPcIjDYQ6kmyzJ4VDIp/g4/vHTDV3L+9fzA6wRjuNYXQJkCVcqle3t7fX19c3N&#10;zcPDQ5/PNzU1de3atcXFxampKfDvwXae3Sp89urys3qCXRdjDGsQYwyhi2q1WqlUOp2OJElwcmjO&#10;A40Zhn7+/sBrK/h8vkgkAtvZ76cVQBjatt1rd3K5062trYLPRTQAAEqXSURBVPX19YO9vXqjYZmm&#10;W7NGKSWEw1wkHMlkRq4uLFxfvrGwuJhMpbyezzML4TuIzzepFZg5bJom5E2D+xLyQCAh5HHyA+a+&#10;w2Nd4nuBEAdjEJUYIWQYRrfbUfs9Q9cxxrFYDOKWEGd+KwQBq/QBca8oCmzudFW1bduxbZhUhBJK&#10;KaLItEwg4AoEgz6fTxBEXnDTdeCEr/+p4YrM0drtdqEq+9GjR5ubm8Vi0bbt8fHx5eXlGzduTE5O&#10;QlwE4iXf6VbZo8FwuT40jGGF9no9yL8Ezh+QgKIoUkrBzfudrvXOABhMj4+P2+223++PRqORSOTF&#10;tQLzuw78t9gwDLXfr1arW5ubq6ure7t7lUql1+8Tx8EYE0qhHIfnuWw2e21p6dYHtxcWFsbGxpgB&#10;x17i8MVeGG/e7oM51+12+/2+bdssW87bARhjfMl48dowEEOObVvQ4gNYLiBNBZiphn9zUcFqRCE/&#10;JJPJTExMzExPT05ORqNR2IMTQjiMeY4zLbNeqx0fH29tbm5ubh4dHTWaDaCIYCd8qq///OCVtqwa&#10;+fj4eHt7e3d39/j4WNf1WCw2Ojp65cqVmZmZWCzGNlLf71bhiqASJElKJpOzs7PXr1+fm5sLh8P9&#10;fn9nZ+fBgwfb29uFQqHT6Xy/q7wzAB5TYBYxTZNRtw0f92wMDaCu67Va7fT0dHd3d2d7p1AoaLoO&#10;ViycFnqphkKhkUxmYWFhaWlpbGwsGAx6C0peEt/h7s8JoBU6nQ6E+2AuMq1wydv1JkChSNO2bWj7&#10;DqkOrMn78OEXGGx9Qk+eQCCQyWTm5xfm5xeg3zqU6LK9FYT4jo6O19bWoLUW5KHD0vXu7F4zYM/e&#10;6/UKhcLm5ibcW6vV8vl8k5OT09PTExMTsViMBYFfZrcIwgV6yPj9/pGRkenp6ampqWQyKYpir9cD&#10;tbS9vV0sFoE/6ntf620H4+kBBQk5vt9pjXiHDlhRD4+O1h6tbW9v53K5drttWRbmMDg/EaU8x4XD&#10;4fHxidmZ2ampqbHRsUgkAleE+fnyuuENe5CgQLzZbFYqFeASAUKFUCgEvbA9gSxIjrnEuQKDJnYc&#10;x7YdVdO6nY5pGIGAP5VKJRKJaDTq8/mY1HjJyfd6AAYoWNbgGPEpPkEQut1us9UyTcMt2SME4rqU&#10;UFVToRuPosg+vx/sJK+CGb7GOQM2pLqul0qltbW1r776anNzs9FoCIIwPz9/69at+fn5iYmJUCjE&#10;dpTwLC94q/AqhxQejAkrYTMMAyoZgZMHBJDP54vFYiAHX/Ba7xgMwzg5OVlZWWm321NTU4uLi4lE&#10;4sW7wnhjq5ZldTqd3d3dlZWVlQcPDw8OG82GaZkUCO4QQpTyPO/3B8bGx5aXb3zwwQezs7OZ0Sws&#10;SeYsZR+GrvXieE22Alt13m8AkGMHhI6QgQvNAl9wWC/xCsHmEhgKjm07hHAcBifyEylhbwngebwu&#10;IJ/PNzo6Ojs7e/XKlatXr2YyGUVWOI6jbrkGhxDSNa1cKh8eHu7t75+cnFSrVajrZs6op+KJC79q&#10;mKbZbDaLxWI+nz89PYVUUUVRoHR5ZGRElmWmCeB+nrp8hm96gLP/yvZkQJyeSqXGxsZGR0dDoRAh&#10;BGIbR0dH1WoViOG8FEDec74zGHou9hnop4BcxO/3DwX5vWBnYKYn+9I0zVarBY6j7a2tw8PDZqtp&#10;Wy47IUAQBChEn5iYuH79+sLCQjo9AsFX72EvP/KvSSsMrUwADAcj44QyGVZjyWrr2SBe4rzhEAcG&#10;23Ec0zRM03QcB2Msy3IwGAyFQhBnfrsUNlTzwnRi1bzxeHx+fv6jjz6an5/3B/wYaFaxOwKY4xzH&#10;adQbu7u7a2trBwcHrVaLCb7BunanpffzeQB2VKqq5nK5nZ2dUqnU7/fhcn6/H4IKrJgWvmcWw3cF&#10;iDOvUIPP4EIcGRkZGRnx+/1A81AqlU5PT/P5PFSe2rbNBufsYn8H8Pite947aEFGqggd5r/T6gAR&#10;p2laLpdbWVlZW1s7OT1tNpumYRJCKCGUEKjKlBUlFo9PTE5cuXJl7sqVkUwmEPDzHM+MYCY2h6/x&#10;HfGyv38ZMAoXaPoIyQxQdOOdlMM/u8Q5g1Jq245hmIZhOraDEBZF0e/3QyYivJFn7YYuIJgaY4Au&#10;nhMTk0tLS4uLixCsg5AJeyTbsXu97unJyfr6+vb29t7eXrlcBqq4IQXATuv98tUC4pn5fH5vb+/0&#10;9JQ1r4WKs3g8DhRG3lXzPUSDd4iGHgfMBShrh4AfZIgAY1KhUOh2u7CBYASu56cmLw7YLgGE8otP&#10;BqY4weED3FPb29sPHz7c2toql8uGrrvjCcsNYZ7nA4HA+Pj40rVriwsL2Ww2FArJiuLWIXhyjl9+&#10;0/adp873hvdGWReXfr8PgRogloJKBe/8PrsIL3F+wAiDoWDblmHooKp5ngcihBdMtnsLQIksyalU&#10;cmpycnFx8frS0tTUNFTzAnsMrCvLsjqdLrDQfPnll/fv369Wq6zlAJvGbHk/cYlXBNhIGoYBrRn3&#10;9/dBK0CTVL/fD20h2Kt5kdsAqT2E4YM8AFsBfBesISshBLJlDg8Pj46O2u020wrvw4IFuQSOVngX&#10;zJPzLMXgNTKYnw36MJ+enm5sbKyvr+/s7BQKhV63RyjFGPG8S1UrCEIwEIjFYrOzszdu3JidnY1F&#10;o6Io8udDZf+6tQKbgkDC1el0Go0GZB8JggDS56wVdh5PfomzYKFmy7I1TYc9qSxJsiyzfLt3g1Wf&#10;F3jF749EwEV7Y2lpKZPJ+nw+aHHLYY7neIw5cJUcHR1988039+7dA/EH1NNDU/qVDwiTO4wSFRrj&#10;NBoNx3Gg+B864rH14t1LsbsawlmbADB8+cFh7IfAfQQWFXzjOE6n04E4B2NtYz8cPt3bD6bz2MDC&#10;24FgFbArel/B0M+94w/2K5C/wbZjZWVlb28P2Mst2xqMOkKUYoyBdG96anr+6vyVq1cz2awCSR/0&#10;XGq4XrdWYOMFLDTNZrPZbGqaBkm4sOs528sFDyypS5wrMMYw7W3btizTcWxRFKGe67t6Sy823HUp&#10;SmIikbx69cq1a4szMzPpdNrn81Hqaj7oY9Pv92u1WqlUOjo62tra2t/fh0gvZHow99TwFV4RoHFC&#10;q9Wq1+utVgviugihQCAQj8eB+Y4VkZ0VSQPh8gTYwV48cVWEnircmRXFSuqgqUOpVAL2e0bLwQSo&#10;9+dvO9hDsecCWwFeRyQSgUS1Z4VVvG49GMN2u318fLy5ubm6urq1tVUsFoGZmDgOa+BDKRIlKZlM&#10;XLl69c7dO4uLi9lMJhAMCqKIOQ5xT3lxL4/XpBWGJgqMLFhPvV7PcRxWo8CYHYdPcYnXgoHocPNt&#10;RFEIerQC674y/LO3Cu7Cxpjn+Ug0OjU9PT+/sLi4MDc3l0y6tAEIIYpc3iHDMPr9frFYXFtbe/To&#10;ERQxQIuV87acvH1HoAMXbFFFUQwGg0COzYLMAO8Se+Jcg39lYXMvho97UqYz5eFVgdA5ElqBQsDZ&#10;MAxvX0n283cJXo0LshtSj0KhEGSIns23ZICXAmVAmqYVCoX19fUHDx48evTo9PSUBe1dAYgxx3Gy&#10;LEWj0anp6Zs3b37wwQdT01OBQACIjuCtnAfjwxsQvpB87bYRV9W+rjsESbJPVny8IGKeR5ijGBME&#10;5hGHEPcUzXuJlwU5+wcjiojjOBZxbEocDiFFloLBgLfO3NUazxA6bwXooFCeFwRJkQKh4Oj42LXr&#10;S0s3ro9PTgRCQVGWBFFEGFFEMUXUcUzdaNRqh/sHW+sbW+sbB3v7tWrVNs0nTusB2+t5D/g+oMgy&#10;jHaz1W61tL5KHIfnOOI4xCaWYdqmSR3CoSck0VCcgLm/Qbd1u912qwV/Ou12v9vTVNXQdV3TbNMk&#10;DkGEsj+QJo8R5jAn8ILA84M1iYGL07FsXdU0Ve33+yxn5In7f4cAo8rKQRggSU+SpKHA29nJQBxC&#10;HWIZZqvRPDo43Fhff7T2aGN9o5jLt1stTVUpIRAyBmZz2a8kUqmrC/PLN2/Oz89Pz8xEYzFOEM5B&#10;ETyB16QVvFYV23y1221V0y3LQRwnK4qs+HlBxJinmKOIQ4hDmEccjzj+td3newUO0aE/iDiObdmG&#10;YZsGIg7P44BPCZxxmL71Kx9jV+JzGHMcLwjhaGR+cfHOnTtXF+ZTI2nZpyAeQ5Ylz3E8x1OHqD21&#10;XCzubG+vrqxsrq+fHp92Wm1i2RzFrpQcvohrH38/DLj9qGkY7Var1+7ouk5sh8cch7Bjmf1ut9vu&#10;GLpOn9Q9cFF2dfB9q6ra6/Xa7Xaj0ahXa/CnUa+3ms1uu9Pv9nRNt0yL2DZ1HFCalFJECEYYEYII&#10;4SgoA8ohxHMcphRTigihjkNst+O6ZVnvfGu2s68VcpAAsDTOOhUxhrmGofAtn8s9+Ob+H76+t7W+&#10;kT897XQ6lmFS2+ERJ3A8uC45nguFw9MzMx99/PGHH380c2UuFAmLksQJPOK478R2913x+mqbwdQC&#10;lauqKrgjm822ZVmKokSjsUAwCKnlGIjwvIR/5zoG7yUwokA36P0DfJy6rquqqqqqKAipVAp6Nz7B&#10;VOhxKQyf9y2BV3JBEYPf7xdE0TRN27ahkJgQwmEOEVdEOo5jWaZl2aZpWraNEBUlSZIkURAEgedg&#10;oXrO/0qGyLLtRq12dHSUy+dLxVK73aaEQgoiz/PBYGhqampyctLv82He3cMSQoDMDlI5yuVyLpfL&#10;5/P5fL5UKhULhWI+D4HrcrlSqVSqlUqtVmu1Wu12u9vtqv2+CUYDoghjjucRpcRxDEPvdrrlUmlv&#10;b69YLJmmiRFGiPI8H0/Gx8bGMtks+NZZGddLPvtFA0h87/ZI13XoIFmv1xFCmUwmm80qiuJ9dvYr&#10;jJBj2b1eL5/Lbayvf/PN/a2tzWKx2G61TNN0zbLBLwVRiMZiU1NTN2/d/Pjjj69evRqNRmVZxk+k&#10;WH83JtQXxxvQClDFVygUSuVyX9M5jguFQvF4zO/38zzo2MdjeolzAkb07BB7tYKmaYqiZDKZTCYD&#10;DEjeWJk7Kd9asPuHD6xeUpIk6ADo+kMItSyLEnf/SykhlJqDWlag7fL7fLKioEGnAa859XLhMYoQ&#10;tS272WycnpzkC4VatQZkOxRRQgjCOBgITE9NTU9P+/x+hDH4ZiEOUSgUoPvCo0ePHj58+PDhw0eP&#10;Hq2vr29tbu1s7+y62IH/bW1ubW5sHuwf5PK5eq3W7/dN06CECoLAcTyHseOQfr/farUKhfzu7m65&#10;XIHcG4SRIAjRWCyTzWYyGegL/T5oBWiqrKpqu92GpsI8z0OVH1D1QDICzAQYCsuyGo36wcHBo0eP&#10;VlZWtrd3iqVSr9czTBMqQjiOA0ouSZIi0cjU1NTS0tLy8vKVK1eA4cpbLeS9sVc+zq9PK8CtQ05F&#10;tVotFovNZhMhrPh8kUgkHA7LsowQptSNowz//hKvFE/VCizeA316/X4/aAUv4dc7sOC9j+Bd6lDB&#10;G4lEOI7r9/uqqjq2bVu27dgIIYqoPfAO27ZtGoZpWaBIfIoi8DzF6Kw5NXztFwZFiBJqmWatVoPi&#10;tWqt2ul0bMfmMOc4NsY4GAxOT89MTk7JPpkMWBOg5Hhvb29zc3NjY2NnZ2d7exvYKU5OTvK5XKlY&#10;KjIUioV8/vQ0d3x8XC6XGvVGt9vTdM00DMM0CCFgmti23e60y+XSycnJ/v5+rV6zbAuekReESDSS&#10;HR3NZrPRaDQYDLKG3i/z+BcT3p0EJMu0Wq1Op9Pv92VZzmQykMbGDmZzwDTNTqdbyOcfrT16cP/+&#10;7u5usVjstNumaSLXucQTSm3bEkUxEo2MZDOLi4s3b96cm5tLp9NANuMtxoRLvBIuvLN4fVoBhI6u&#10;661Wq1KpVKtVTdMVny8YDEH4ntH+wXgO//gSrxRP1Qqw/en3+6ZpQpfmTCaTSCRYd3s2Bd+9FwTe&#10;YeDGgNIZnuc1VWu32oZpEIeA8Q7rkjjEsixD1w3DIGAEc5woiZDUPzRW3xuUUl3TCvk8dHKv1ev9&#10;fh8hxGEOaDkC/sDExEQ2m8EcVjWtVCptbW2trKxAz869vb1isQglDsAoo+u6YZi2aZqmYZqGYQBR&#10;OvDdabph6JrW6/XbnXaj2Ww0Gt1OR1M1iqhjO81m4/j4+ODw8PjoqNFsEset2OA5LhyJjo2PjY6O&#10;xuNx6AnqVY3DT/WuwLbtTqfTarV6vZ5lWbCFSiaTkiTBgzNL0XGcWq12cHCw/mj9wf37W1tb1Wq1&#10;1+vZtlvhQQiBUA7GOJlMTM/MXL9x4/bt20tLS9lsFhQtK0lhPIaPfVOvepBfk1bw9u5oNpvVarXZ&#10;bDqEBMORQCDo8/lFUQBDgdJzec5LDOGpWgHS8yE9TpKkaDSaTqcjkcjjjniDSTnkY3274I2Ws0fw&#10;FqYFAoFYLIYobbfbwBoL/YjgUEqJ49iEUt0wVFW1LItQynGc4vMBvT47+ct5kBCl1DSMk+PjBw8e&#10;7O3tdzptx3EEnsccBh3m9/uy2UwqnaYUqZp2enr6zTff/OEPf9ja2srlcpVKBVhOgTUWatBEUZRE&#10;SXTbqYkCL/A8RPIQJUTX9W6v12w0KuVyrVptt9vATsZxXLPZPDo6Ojw6LJVK7Xb7cd0Dx0UjkbGJ&#10;8bGxsUQiAUY/TJJ3bCEPPQ5ohXa7DSMcCARGRkbA1QPPDkmowP55cHCwurqytrq6vb1drlQ0TTN0&#10;nRDCCwJCiBDYkfB+v396evrG8vLyzZtXr14dGxuDkvuz4WumGM5jkF+9VgCRAXCr6Qc9EizLqtfr&#10;hUKhVquZpilKUiyeCIaCPp8iihIzj95ecfMWAVNCiJtuD6PNqs0hL97v98fj8UQiARw73lVxfpuU&#10;1wzvfPPC9eFyHHEIcRxEabfbNU0LtoG27SBEobu1oeuqquq6rmqaZdvQxQGsXtbIbIhJFAS69zae&#10;WooMVdamYZRKpd29vUKhoBsGRhhMaUqpKAiKoshA+EqpaVvVavXRo0fb29u1Wq3X6+m6bhiGbds8&#10;zwNfRTKZTKVTmXQ6PTKSTqVisVgwGJQVWZJEQqhhuJF2IMs2DBNojKOxWDAYKJXKa4/WDg4OatUa&#10;0DvDDXMYhyLhycnJ0bGxZDIZCoVglNheEADZmW/1ZmKoCoEQAh6kXq9nGAZEpOLxOGwLIIwK3vLj&#10;4+O1tbUHDx7u7e62mk1N0wzDoISw7T/PcZIsx2Kx6ZmZmzdv3rhx49rStfTICNBzsaDX2aFjM9b7&#10;5cvj1WsFpsG838BT9fv9arUKew2EkCzL4UhU8fkkUeJ5fhBOOJfnvMQQ8CBrnwl6qDbv9XrgpggG&#10;g/F4HATH2TDXu6G8vSrBu8ZYHaXf7w8HQ7Zt1xuNXrdr2w4hDqUIdjCUEMu2DV03TbPd6dQbDZ7n&#10;oW0vFJexE7LTss9n7+QpB1BqWRb0M6/VaxDfdhwHRCyGBCGMQCsYlgnbeWhzC2uQ4zifzxcKhWKx&#10;WCqVymaz42PjszMzY2Pjo6NjqVQyBO2pOU7XNdt2wIdGCEEIE0oM05BkORwKCYJYLBY3Njby+bym&#10;qg5QhCIEjP+hcHh0fAycjdC2k6X2s8cZwtDjvxXwqgSQ+4ywxzRNURRjsVgsFgOlCC+l1WodHBys&#10;rq6urKzs7u5UyhVNVQeMKRgh7CahYhwJh6empm/euvnBBx/Mz89nstlAIMAcR2f3Yd6RfOXjeS5a&#10;gbV9YPcNXFqtVqtYLNZqNV3Xoc1TMBQGigvI5B168kucH7xagW1pQSvA24lGo+Am9nIquL/1vNm3&#10;EU+9f/ird/kJghDwB2RZtm3bsR3HsU3TpAjxPE8HCYGWbZuGaZqWpml9TQVx4I05n6WjeNYy9g4v&#10;3InjOIaqVSqV09PTSqXS7/c1XTMMAyTOUBmtrCjQrA3YqyRJikQimUxmZmbmypUrc3Nzc3NzV65c&#10;mZudnZmeHh+fGBsbS6fTyUQiFo/F4/FIJJxIJBOJOPR6RIjKkpRKpbKZbDgSIY5TLpcPDg9rtZpj&#10;2+AFB4EEijA9kh4ZGUkmk+FwGDbLT33qoW/eLgzt1m3bbjabtVqt3+87jqMoCnDKiqJo23a/38/n&#10;8zs7O2tra0DGXq/Vet2ObhiUUMxhVtzg8ymJRHJmZub69Ru3b99emF8YSY+EIxFJhr3y8AB6R/Kc&#10;xvNctILXRoa5q+t6p9OpVqvlchkMBb/fH4lEfP4AY/4bDLo73y5xrgCtwKYUlL9C/rVhGGyKQ/Dw&#10;O3UcfKvhXfk8z4uCyHOcKIrhcESSpX6/11dVxpIEK5JSBN3cLM8AchwH9a5sv+yV4GfjDd59KKNd&#10;0zWt1Wjmcrnj4+NKudLtdXVNA48QxhyG6h+HALNkLB4HvmEIlfv9/tHR0du3b9++ffvOnTvQpGVu&#10;bm5qajozkhkZSadH0ul0emRkZGxsbGpyamZmenJyMj0yEgyFMEK2bYcjkZvLy9PTM5IotVrtQqGQ&#10;z+W6vd5jryPGGCGe530BfzyRiMVijK0PyinY47AHPycp9nowpBUsy6rVauVyud/vcxwXDAaTyWQi&#10;kcAYA+35ysrK/fv3NzY2Dg4OKpWKoem2aRFKMYcFnoezQWfsq/NXb928eePG8vz81ZFsJhgISLKM&#10;n+Q4YvrA++U54Ry1AnMpguaEvKNGowE+uEgkEolGJUmGzmsIVpf72K/jyd9zQLSZrVLgZgGhZllW&#10;IBBIp9OJRAKYIM9KsXcVsFZh3oJoE3kBnDCiKOi6bhoGpdS2LMu2KaWszTpF1LQsXdeh0AFcMTC8&#10;PM+zTR9889S1DRcFhvlut1ur1UrF0tHBwd7e3uHBYaVS6ff64HygA44mQojj2JRSzHOSLAPnOSTX&#10;JpPJq1evfvDBB0tLS1evXp2YmIAXGo1EgWw1EAgEg6FwJBKPx5OpZDKVSiQSsVgMalNkWY7HYlNT&#10;U8FgsN3unJ6e5nK5ZrNpWdZjxyOGPHIsSZIyyCGEmgnWFc4bJn3Os78t8N68aZqVSqVQKEBTvEgk&#10;As1Ku91uLpfb3t7+5ptvVldXT09Pa7Waqqq27Tby4zCmCDmOo8hyPB6bmJi8dfMmJKFmstlwOCxI&#10;IiQUsGuxvQX75lxxjlqB5XUw32i9Xu92u5DjAanNgiRxnNtCyDVLMVTsXeJ8MdjlInhfrKAXEpAg&#10;JzUej4Oh8J5oBe9m0PXLU8RhThQFSZJ8fn8oGAwEgzzPQxSXgncYyDMwB6MJbC6QnaKqKsjKgZuU&#10;e/7ytixLVdVGo3FycrK1uflobe3B/Qebm5vHx8fNVhNc0qyNAcaYOA7kF1GKNEO3bVuWZYgfzM3N&#10;LS0tjY+Pj4yMQHEZ3APP8zzH8yCyMcfxvCgIoiQpsuz3+wOBQDAYjIQj0Wg0FA4Tx2m1WkfHx4V8&#10;vl6v64bxOFmLc9OWEEIIY8u2ocyt3W63223wYoFGHErVfdazv3UwTbNYLJZKJdM0oVOhJEmaph0c&#10;HHzzzTdgJeRyuU6nA+8IY7DPKYc5hBHP85lMZmFh4dbtW7dv375y5WoylQwGg4IoEscZMhTYNuX1&#10;jN45agXY+EDbJpjonU4HfNahUMjNa+Z4SAFHCHlrvofPeIlXDa+twLaoINGYVohGo5BR895qBYwQ&#10;wogXBAi6RqNRWZIsy9Z03bIs27YJpY7jwC8xxzGK006nA6zIoFaBDBhO/ix3HKiEVquVz+c3Nzfv&#10;33+wurK6tbmZy+fb7bZtWSydDxQMRhjyljiep4h2ez3LskArjI2NQTgBmqqCXHYVEkUuuxFCiGX9&#10;YYw5jud5URRFQZAkUZZlSki5Ujk+Otrb2280GpqmmoYB8gkKrzBoCIwdQjTdpfsG2gzLsiBJl9lM&#10;jzNZ39rVze4f5olhGOVyuVgsOo4TCAT8fj+ltF6vr62t3bt3b2NjA4h1oX+fKxURbDJEgRcCfv+V&#10;K1duf/DB9evXp6en44m43+cXZQmD9ngy78BN9zqTn3pOOBetwG4dKpkbjQbwsXS7XUEQICQly7LP&#10;76eIhVMeD8HrefL3HBhRth1hhZrg/cAYR6NR0ArvBnX2i4MtRXcFYtCfmOM4XhR5QZBkKRAMKj6F&#10;IqrqumGZlJm5CCOKeIwRobZlOpZl6obW19ReT1NVSqhf8SmSghEC0ewGdwh1bNsyzFazVcrntza3&#10;Vh4+eLT2aH9/v1wsgsfVcRzg3MccB7rH3TwOVJFt245lY4QoIY5lcxjLssRj3qcoPp8iCiKGh6GU&#10;EoJhI4oxQpi65VMUgumGrne7vXK5fHR0tLe/t7+/X8jnoXeCZdmOYzuOw/M8dKwDiwEWLXWobbm1&#10;caZh9Hq9bqvT7/W1fl/geUVRBI7Dj13EiCWtsijFxZ9jkGHMdlG2bTcajWqlqvX7lmG0W+3jo+O1&#10;ldX19fX86Um70QS2QbfcD6aWwHE87/P7UyPpuatXbn9we/nWrSvzV+OJRCAYkBWFE3g8oMj2giXF&#10;vZ5ROl+tAIUetVoNeoZAFjz4LkVRlCSJeshQ2RA8PtElzg2YEsgtBED9mqZplmXxPB+LxUZGRlg3&#10;4PfkpTxehQM8Nt4HXnJBECKRSDQahUZaQA2CKAUvOyx+RKltO8RxdF1vNhq6pkEJtCAIoii4kpTj&#10;qEtrQSzT7HQ61Up5c3PzD3+49/Dhw/39g2q12uv3IeEHABWeoKwG4DjMcRhTQkFzGIahaZppmJZl&#10;ObbtU3xurYBtE2jlQghGyCGEEGKDhWhZtmXZttPv9yvV6snJydb21vqj9Z3tndPT01qtDvUrj2XT&#10;YGS8K5aDcLrjWKbZV9VGo1Gr1VrtlqHriqIE/AFJlHhR4DgODyKOQ0v+rZhjcLdw85ZllUqlo8PD&#10;eq3W7Xar1dre3t7W1lbu5KTdapumZTs2GUwJd2JgpPh82Wz26tWrN5aXb926deXKlVQq5UbveA5s&#10;uadMxAGGb+h8cC5agVlMuq43m81SqVSpVAzD4Hk+HA5DTAZ2HAM+1Eu8bnhrm6HsvNvtQjstyLxO&#10;pVKQpPg6p+MFBAv6wTiIoijLMrhlwFMP9W6UUtuyQXCzXwGPnm3bmqr2ej1V1SzLMk0Tc5zI87C1&#10;tx2nXqsdHR6urq2tPHy4vrGRLxSgkzmUfVEvSTdFCNGnvg2eFyiitmUZhmGahqaqwMdQq1UbzWan&#10;3dZUzTRN2zRtxzF0rdvttNud7oBX9fT0ZG9/f2tra2tzc2dn5+j4uFwuDQp3gfIIgX46OxtA20AA&#10;3C3jsCxd1yEQwlj0JVGQZIkbBKVZRcUFnGDeSK9XY3lLB3RdPzg42NjYzOfzjWazXCnn8/lyqdzv&#10;9wmliLoJ+hzPcxzHYU4QhVg8Pj0zvby8fPPmzWvXrk1NTaXTacj8HvIOvdkxORetAHicSlEqNZtN&#10;KFuLRCKs+hEjhDAohku8dlDCBh6qSUArEEIURYnFYpCAdKkVmBTw1mRB2+R4PB4MBiHwaMOO27KZ&#10;cARZAnVn/X6/Xq/XajWQs26BEscRQnRNOzk+efDg/i8//+XW1la1UjFME9q0IIRApHjAbuExmNAi&#10;lII3SdeNXq9XqVSOjo4LxUK1Umk0m71uV9N00zQd21ZVtVqtlkrFarVSKBQODg42Nzc3NzfXH61v&#10;b2+fnJzUajVgy4Db4DhoM+HaCkN/MJgAGMNH8Jc4xDVcNE0zDYPj+XA4HAgEOYFnqfru/V94wE3C&#10;3br+Osep1+ubm5trK6uHBwfVSqXeaEBABX4AgVII6bsTJhwamxhfXl7+6KOPIBEgmUyyJTYwCB8H&#10;D97gyJyLVgA/NTRRqFQqjUZD13VZlgOBgDf/HWN8qRXeGJ7UCpqmQS4AtBuEquZLrTAEJssEQVAU&#10;xe/3w2SGxB7LNCEEjdFgR4kQQsh2HMM0+6oKctkwDeI4YDR0Op1CPr+xsbG6uvro0aNKpaKqKnGI&#10;bVuw0/SyZQzxx3jvyq2fGJjdtu1omtbpdFutVqfb6XV7nU6n3WpBxQOlqNvtnJ6e7u7uHh8fn5yc&#10;HBwenp6enpycnJycAJmxoev2gKACYWgXQ5FLXMFuZABKEAJXO/yBCASxLduxbdu2gedHEiVBEHjR&#10;jUIPzasLO8dY8APCCZC9XalUgBN7e3unmM8DYRQlhIcsG9uhlAA7Fs/zgigkU8np6elr15Y+uPPB&#10;jRs3xsbGvJLQa5rAsLzZ0TgXrQDcCc1ms1KpQE0mpRSsBIgouNse2Fa80ed/f0EJcDTCpNc0rd1u&#10;QxJLJBKB1HXWaefNztE3hbO+b/Y9iAme56EYMxqNhoNhSolj25ZtE4c4jo0g/owRAucywo5DbNtW&#10;+2qpVKpWa7VaLZ/Pra9vrK6uHR0dtVptXdfgilCYJssyIYTnBwmlHAfbcp53k1wZ4F85juegNgIi&#10;uxghqK0z9G6n02w2W82mruuSJPZ6vb39/bW1tcODg9PT3Onpaa1abTabvV7fskyo4GOvHp6dQm0C&#10;wjzPg+Xw+A8HZRs8x3MC/FIQeIHneA6Uoq7rhqGbpkkQUXw+IAF9XAn4prfGzwfTfUDuWa/XDw8P&#10;V1dXIfe0UMj3+33iWlQcUHyCpuZ43ufzhYLBZCKxtLT06ac/+PiTjxcXF0dGRqDWj+M4oEvyjjNc&#10;i/31jeCJWonvAVCh8JnNHggyFwqFk5OTarVqGIYgCOl0GrTCYH5jjDkHkjwu8fpBbDyohLIsC/q0&#10;GIYB9Wvj4+PZbJZFm4d/+37g7MSGb+ADK8rRdb1arRby+c1HG2uP1g4PDqrVaqvV0jQNKglsxxYF&#10;AWFsWxYvCIqi+BQlkUhmsxlZVmDz1O60e10gWRMFQaSU+nxKMBTieV4UBJdZE7o7EPBQIYQwBB4I&#10;IaZpQNCCUjJY1BQNsmUgSM5hLhwJL8zPf/rpD/x+/97+3sb6Rq1e0zQNOklAOpJj2xQhSHt1iCPw&#10;giDwkiTJsuLz+QRRgKdmKTFwKxzGhFDHcSzbMg1DNwwo9DMNg1Lk8ympdPrKlSuL1659cPfO8vJy&#10;KpVidYJvNu/5OQIQbDUAlOLW6/V8Pr+7u7u5ubm/v18ulzvttmWY4MUbxJY5jBHH8YoiR6LRWCw2&#10;Njp698MP7969Ozk95Q8EQMnDUw/lX7EYzJtN/Hs1WgGcj5CRDWnvoFFzuVyv1xMEAWSNz+cDvif3&#10;xxhTzF9qhTcDYkOvYejzDhRVlmUlEonx8XFgOmPR5uHfvh8Y0grPkiCmaRqG0e/28qe5w6PDo8PD&#10;/YOD7e3tUrEE3e0d4oiCwHGcbdsIIQg/hoLBUCjE84Kma8A9BYFZURD8/kA8Hk+PpJPJZCqVCgVD&#10;Pr+PEgphZMdtbIAg4GmaVq/fK5VKlXKl3W6ZpgUFz4RQzGGXaoJSxefDCIcj4bt37372w8/GxsZq&#10;tdrR0dHm5sbh4WG90YDMegh1UIQ4zDmOw/GcT/EB32o2m02lU8FAQBRFSpEgCBzPyZI0aEjJmZap&#10;9vvtdqfRaFQq5Wq12m53+v2e4ziiKPkD/kQiMTs394Mf/vAHP/zB2NiYLMuiKL5xrcD6yTPnvtdA&#10;hJp/VVWBjer4+Pjw8PDk5KRUKtXr9X6/b5kmtR13jmDMczzwJ4bCodHs6MTkxPT09OLCwpWrV7Oj&#10;2Vg8Duw+Q/fw1Al29rDXhlfjQWJDSSk1DKPb7UJiQ7vddhwHCAOgnRBE292Hp/QyrvDGQAmHMWRh&#10;W5alaVqv1yOEhEIhYMlnRu4bnJ1vFkw0eL/xznb2Vw5ziixHopFoOBIOR0RJtEzLIQ6HMaGUOAQh&#10;zPOPZR/Y01Az2Ff7bgsEhDGHZVmOx+NTk5Pz8/OLCwvLN24sLCzMX52fnJxMpVPRSDSRiKfTqUQy&#10;mYgnIpFoMpVMJhI+xcc2mBhjSkEZIEIJz/OIIkWWo9Ho+Pj41StXF68tzszOpFPpeDyOEOr3+2pf&#10;tSzLMk336TAWREGUxFAoFI1G0+nU9PTUwsLC/Pz85ORkLBYLh8PxRCKZTE5OTs7Nzc3MzM7NzU5P&#10;T4+NjSVTqWAoKEkSZPKClWNZlmEalmUJAh8Oh8ORCGwQoWvbG59gQ2+Z0YJBtLzdbhcKha2trYcP&#10;H66urm5sbEA0Huo9Id7inoTjKCWyrMTj8cxIZnZ29saN63fv3Fm+dWt0bCwQCApP9lNjGLqToS9f&#10;P15KK3g3UwBo5gWUR/V6XVVVSZLC4TCEVmBr8IR+5vhLrfBmMIg2s9mvqiqEf0ArwPuC2flm5+hF&#10;w1O0AsfxHCcKoiRLQBoR8Ad8iiLJsm1ZlmU5jgOswCBzYQlAYNY1IDhOkiSfzxeLxcbHxxfm568t&#10;Lc3NzU1OTGQymXg8wfN8p9Mpl8ulYrFQKJyenuYL+U67EwgERkez2WxmdGwsEU8Eg0FBFByHgAWD&#10;MQaSvmgsdvXq1du3bl2/fn12dnZkZCQUDCqKQgg1Tauv9nVNA/5thLEoigG/PxFPXLlyZWF+YXn5&#10;xuLi4ujYmCTL/X6/WCyd5nKlUqnRaFBC/f5AKByC4EokEgmHQuFwOBKORKOxaDQaCAQIIeqgxJfn&#10;eFGW4EkjkQj4k4fH9/XCq+nZ1tY0TaD9Pzg4WF9fX1lZWV9fPzg4gN4wQJ0NmUjYLTFAIPE5jhsZ&#10;SV+7tri0tLR4bXFhfn56emYkk1F8PrAS3oql9FJaAZQqUwmwKej1eqenp/V6vdPpEEIgHAeUW15v&#10;Gvz8Uiu8MQy0Anj8VFXVNA0hFAqFkskk6777ttSdvk4MaQX3w+CzoiipZGpkZCQWjyuyAuLDsq1B&#10;DIAiiNoiVyI93jwiFAwER0ZGZmdmFxYW5+fnx0bHIpFoMBIBgp3caW57Z3t7a2t1dXVzc+vo+EhV&#10;1Ww2c+3atZnZ2ZnpmVQqFQ6HJUl0HLvX66maihEWRTEUDAJ/6qeffHrt2mI2m/X5/aIgcDzEh4W+&#10;2q9Va51O1yEOz/PBQCCZTE5NTd++ffuDD27fvXt3YXExGonqmp7L5dbW1tbXH+3u7YHLMRAIhMOh&#10;SDQaDIVCwWAkEkkkk2Njo9lsNh6P+31+MIkgwIA4DCowGAym0+lwOPw6S3afBeY4Yr2nVFVtt9un&#10;p6dra2tffvnl73//++3tbfAagUnNbpvjeSj9URSf3+ePRiPz8wsffnj37t2715eWpqamItGIIg36&#10;a0L2wYXHy2oFb4KtbdsQo8/n81APCQktLAeLqQR3XXHcpQfpTYESB+pRTdOEvr26rmOMY7EYLFdw&#10;HzG+xuHfv8fw6gP3rwNrmcNYEARRlvzBgCLLsiQDs54oiDzP2Y4DfKKUUow59LjSAIHCgIJ/QRAQ&#10;Ri5/LdSdWXan3Tk9PT3Y3z85Pc3n841GwzQNv98PfEfxWDwSCfsDAZ/fJysKxKspIbZt8TyfSCSm&#10;pqevX79+/cb1kZERRVY4nkNQqs1xFNF6rZ7P51qtJqU0HAqNjo4tLi4s31y+uXxzdnZ2bHwsHA5D&#10;O4F8Pre1vX14dFSpVAzd8Af8mZGRTCYTTyQCwaAoSRzHiYKg+P2QtisKIiGEEAd6URiG6RAHIQS9&#10;H0ArAIZH+XUBXodt26ZpqqoK4mt/f39jY2Nra2tnZ2d3d/f09LTT6ZimCZy1kPQFQoznOFmSgoFg&#10;Kp2amppaXFy4ffvW0tLS1NRUJpsNRyKyomCEXFI4zp05FxwvqxWYzQW+aQgnVKtVEDGBQAAMhaHe&#10;I4OyRp5iqHm5xOsGJQ7MT9AK0NZdFMVkMglawdsb4K2Yyq8HbECeMBQ8TKKQVIc5ThSEYCAQi8Wi&#10;sVgoGBJFybYt27ZhTCkllHhYgBDGHCYO0TS12WwBRXO5VNJ1XdN027Z1XavX6+VyuVGvt5pNXTcQ&#10;QqFweGZmZmZ6GhobKIri8/uDgUAwGPT5fYIg9Pp9zHGZTGZ6emZ2bnZqcnLQVAe5WzqMCSGVSiVf&#10;KHTaHUmSRkdHl5aWPv7441u3bk1NTSaTSX/ATyntdruVSqVYLBUK+UazSQgJBgLZTGZ6ejqbHY1G&#10;owG/XxAE+riHBJakgT8tGBQEoa+q3W7HtCyO42Kx2OjoKMQa2f7jjQBy8MA4KJVK+/v7q6urDx8+&#10;XFlZgRAC6APY/sKKgP/CN4qiRMKR0Wx2fn7+9ge3P/3k0xvLy2Pj45Fo1Oct96GIotdHb/eSeFmt&#10;wHqg27bdarXAyGq2245DFMUXicYCgaAoShzPY8whjKFaH2MOYQ5xlyrhzYESjN0lAbaCYRigFUZG&#10;RrxcF0zwXeI5oPRxT0qEMeY4QRR8fn8gGAj4A/6AX1YUXuAFQRAlt6+vbduEEEoJx/M8z0G2Euyu&#10;VFXt93pQbd7r9TRNbbZapXK5Ui63Wq1ut6sbBsY4EY/PzM5Oz8zEYzF/wC/JsiRLPkXx+wOyLCGE&#10;dV0XeGFycnJycmpkZCSVTCo+nyAKCGNEKaKUUKrrervTrtdqhJBkMjk9PbW0dP3WrVtT09PhaNTn&#10;9/Gi6DhOt9Mplyv5fP7k5LjVajmO41OUdDo9OTWVzWRj8bjf7xdEEfMc5xZMYJ7nFVkGCwZzuK+q&#10;qq4bhkEIicfjQLQFyuylxCWh8CyDP+hbpApFiCLiEMsyNVXttDv1Wr1YKJ6enBweHu5sbW+sb+zt&#10;7eYLBciXgXJlMCnAYQ7qAfoVZjOZ8fHx+fn568s3bty4cfXq/Eg2E4lEZJ+PFwS3sRWUOHOca1he&#10;eLysVgBAkly5XC4UCo1GQ7dsjLlQKByJxhSfH3MczwtAmo0Q1DMP6uYv8YYAzlCvVoDes/F4HOi6&#10;hoqYLvF8DHjqPO4kjDHGvCAIkhgMBqPxWDyRiESjwUAAyOwg2OA4DiEO8yVRShGituM4tm0Ypqr2&#10;G41GsVTKneaKxWKr1er3+u1O2zRNjuNisfjo2OhodhQ6KAiSiBASeEGWZVGUeJ7nBT4UCk1MTmQy&#10;mWgkGg6H3DxAnofqB03XW82moesY40gkPD09PTs7e/Xq1ZmZaXD8chyPEDJ1vVav505PT3OnhUKh&#10;0247ti3LciaTuTI3NzY+HolFfT6fKIrw+CB7IQdJEAVJljHGUBMNObiQ1BAKhSKRCJtsw2P6gmDJ&#10;nPABY4QxJQTBhhUo+ilxdQZyyacs0+z3+o16o1DI7+7ura2tPnzw4NHa2t7eXj6Xr9Xq3V5XNwy2&#10;62WKASrbZVmORqNzc3M3bty4eevWzVu3ri0tTUxORGJRRVF4xmvEASnI4ynxfIV1QfAKtAJko0IZ&#10;VLFY7HZ7gigpihIKh4PBkCSJ4CxyfWreP5d4c8AuXyeBBCTDMCzLkiQpkUgAPcsbNOrfOjyx5t3p&#10;DVtSBC13/OBKikbBoUodIgiCwAs8z4OR8fhUg/8PCpt5ZcuVcrfbNXTdtExN1Wzb5jnOH/BDTUMk&#10;GgFvDNwELwqKLPt8is/ng0QPwzAs07Isq9fr67qu9tV6vVGtVIuFfL5QUPuqKIrRaGx6emp6enp0&#10;dCwWi4qS2zeYUKKparlUOj4+Ps3lypVKu9OxTFOW5fHxiYWFBQg8KD5PJ9eBew1c8NCFF3zxvV5P&#10;0zRJkqDJCuiGlyqWdI0DjAaSGxFC3ag+woNeN5DvZVlWv9dvtVqVSjmXOz0+Pt4/ONja3IDuyvv7&#10;+5VKpdfrmZZpOTZLK2BOEb/fHwwGo9FoIpGYnJy8du3a7du3l5eX5+bmstnskN91WBm8PQW7L6sV&#10;KKWapnW73Xq9XqlUgC47EAwFg6FIOOL3+wWBx5yrMb//i7/EqwZMVJZxAXa9z+dLJpPJZFJRlMG+&#10;le1iL/GdAbtLlwxn0FE5EAhEw+FINBoMBmVZ4jjedmzgO3q87cUYIeQQYpoWIQ6lFNr7WKalG7ph&#10;GFBOLMkykBCHQqFYPC5JEjRZA+YiQRA5jjN0fX9vf3V1dWdn5/Dw8Pj4uFarHR8frz9af/jw4f0H&#10;D4CSz7KsYDAwOjqazY7G4jF5UHCAMaKU6qpaLBb39/dPT04a9Xq32zUtS/H5JiYnlq4tjY+Ph8Jh&#10;SZa9Own3idyncZuygVbo9/uQrBWNRkdGRmKxGMuB/j6g1HUiIUwpohS8SBjz7lAghCihjJktl8vt&#10;7OysrDy8f//Byurq9vb20dFRsVRqt9uWaVFCoZcFk+jwHgkhPM9HIpHJycnFxcVbt27dvHlzaWlp&#10;ZmYG9AHU5zJ74q1eOK9AKzCVUK/XdV0XBD4ciUYiYdi8DDSCqziHf3+JNwSMKEYu2xdoBYSQz+dL&#10;JBLQmJPN7Mu39r0x4BB1h5HneUmSIuFINpNJxOOhUEjx+SglpmlSQiRJosilCcAgjBEilLjkR4PK&#10;Egt6e2HsZvsoiiSKHM8rkoQohSY8Li0PzwmC0Gm319cfPVx5CDK9Uql0Op3Dg4PNzY1H6+vb29uF&#10;fN40zUDAP5LJjI2PpzMjwUCAEwTww4CbsdfrneZym1tbx0dHrVZLNwxKSCAQmJmeXlq6NjY+FvDs&#10;99mEYclF4IUXRdFxnE6n0+/3gYcjHA6PjY0lEomX1QrMd8TiExhRQhzbNk1T17Ret9NoNEql4snJ&#10;6f7+3trao4crDx+tP9rf24O2QlCCgBGiCDm24xAHaJ/gDUqSBBn20Brh1q1bzERIp9OstzkLObzv&#10;WsG2bYjdQ2SGUurz+SLRWCQSURQZdkvsRb29w/TugWkFTdP6/T6E1Px+P2gFWZaZLLt8ay8PtoUE&#10;7jhRFGVFCQQC4VAokUzGYrFYLA4doQckqbDdxaIgwM8dQih4INyqKQRecoqQruvNVqvVbDYaTbXf&#10;N3Qd2nlyHCfJsmWaxWKx0Wh02u1ut2sYhq7pjWajXK7UG/VOu0MpjUajk5OTszMzmWw2GouJkkQc&#10;h8Mc9GjTdb1aqezu7q4/enRyctLr9x3HkUQxGo3Ozy/cuHFjdHTUHwwwQ4FNGPgwSEniWD0TmAua&#10;pvl8vsnJyZGREUmSvv80GwyW6xKFkIyut1utaqWSz+ePDo/29naBKnx3b/dgf//w8PDk5LRaqfZ6&#10;PdM0bNuN8RDongR2NEIcz0ERbiaTmZ2dXVpaun379s2bN69cuTI6OgoNSKAyly0TeNFve5XPS2kF&#10;sAdrtVqxWARDAYIwwVA4EAwKgmjbDiGU512yo7d3mN49gFYAsxq0AsdxgUAgFovF43G3AcalVng5&#10;sNooBuZbFkXRpyjxeDw7Ojo6OppOpyCREXqowZEAOjgL24q6Pg2HEEKBjrtSruTzuXKl0u10IXHA&#10;siziOMCZ2u/1LNNSVbXT6ViWDUlNhqE7hCCKFEUeHR1dun59bu5KIpHwBwK8ILjcf5Qaht5sNnK5&#10;/Pb2zubmRj6fNw2D4zif359IJBYXFm8sL49ks6IgQt9P5j9hYAFbKAuAvtbVarXZbMqyDDwZsix/&#10;72lGHOLYNqgD0zQhg6vZbBaLxePj453d3c3NzdXV1YcPHqyuru3u7ubz+Xq93u11LcsCPQ0hTxhb&#10;d7PPcbzAK4oC9sHCwsIHH3xw586dGzduXL16FSotGA82YOhdv9UL57tpBaYJmUoA31GpVFJVVZbl&#10;UCgUDIVC4Qj4EAcmHYzOWzxM7yCIg7HbWLvdbpum6ff7o9FoPB6HoJl3Zl++uJfBk8MITn8OnCqy&#10;JPn8/mgkEg6HeUHw+Xx+ny8UCoVcxhGJ0TgDHTchLms/9HvnOI5QYhhGv9+DdqH9fr/b7Xa63Waz&#10;WalWK5VKqVhqNBqtVrvRaDQaTQilQiADCiYURRkfH79xY3lxcSEajciSxLlNEhFCWNXUk5OTjY2N&#10;7e0t4CywbTsQDKZSqdmZmevXr8/NzUVjUZ7ngXLVaxjBX5km8yqGarVarVb9fv/CwsLExIQkuU8K&#10;h7mkfk9S17GTsw/QVlbtqzCHq9VqoVA4Pj4+Ojra39/f398/PDw8Oj4+PDw8OjwEZQCjpBsGI2Vg&#10;ex9EqUMIz/MBfyCRTI6Ojs7Ozs7Pzy8sLFy7dm1hYWFubm5sbCwSiSiKAkwNg58OzjC41aFv3jq8&#10;qFYYetMYY9ik5PP5arXabrcJIcFgMBaLBYJBWVagDx8b88GP3tZhegdBCRjckCzASAyBtIpZ9Jda&#10;4WUwJCCwVwiBisAYY8xznCCKoWAw5eEwx5izbbuv9h3Htm0bYSwMKOgRAgc4wphDFEF0lECb1V63&#10;Wqudnp7u7+0d7O+Xy5V8IV+r1eqNer3RaLaamqp5KmwppUTx+SYmJ2/dujU3dyUUCvGS20QTIeQQ&#10;p1Gv7+/vb21uHhwclsvlvqoKghAJR8bHxq5cuXLlypXRsdFgKMRxnHer/Ph5Hz/rY62gqirUugaD&#10;wWvXrk1MTIDHcmimwfHeMwwBcrRarWa5VD7N5fb29jbW11dWVh48eHD//v1Hj9b39vZOTo4rlUq7&#10;7XY8dU0vFjSAXDGEII6DEfIpvmg0Oj4+trh07c6dOx9//PEHH3wALiPWccRby/YsvNWr5kWZtOF1&#10;ggUA4YROp1Ov19fX19vttqqqoihCUmMgGERuacIQ3MG6xIUAsTGilmVVq9VisWiaJnBdjI2NjY6O&#10;BgKBS61wLvCutkHhFXwHO3fTNBqNxtHR0fb2zunpyelprtVqtdstVdV0Q9d13dANhzjEARZ+DmMM&#10;6Ukg6TiO4yARHGNREsOhUCgUDgT8hJB2u1Or1fpqH2OMEQYWCoRQNBq9c/fuX//1X39498NwOKwo&#10;MsfzhBBD13u9/u7e7h/u3fvmm/tHR0f1es0wTEWRM5nMrVu3Pvnkk4XFxYnJyVgsxgsCow71PKG7&#10;m4TPUOva6XQODg5+/etff/XVV8lk8m//9m9/+MMfQqNT774TSsaAWBA+Q9EfJOxCOnWv1+t2u71u&#10;t9NqNxqNaqVaLpcrlXKtXu/1erZlQ/86t1wPIaAkcR0dcEsIY4xFUZBk2efzBYPBZCI5MjIyMTkx&#10;Mzc3MzszNTUVCoU8ZLSPn5FJ/3cP31krQM4ZhBNqtdrW1pZpmhCoBIpdv9+POOFp5Qjv7CC+lSA2&#10;RtQ0zWq1WiqVLMuKxWKZTGZ0dDSbzfr9/nd+6r8ZsIQZhNwt/2OXCKKUOI5j6C4XfafTrtXrtVqt&#10;WCgUCsXT05NisdhqtSGTlVIKeajAoQRufY8Oxwgjnud9ig+89rqh93s927Y5noekZIQQxlwkElle&#10;vvHTn/50eXk5HIa6BwEh1G63T05PtzY3//CHb7a2tqrVqmVZmMOyJE1MTv7oRz/67LPPpqamYvG4&#10;z+9nufks7DF4qCe0ArSwPjo6+uUvf/nll1/GYrG/+Zu/+eyzz0KhEJO58F8IEjAuFii0VFW12+2C&#10;swiaYLtUUYYFDaI1TdU0zdOACBFCXfvAvQcOYUQJZbXoiqKEQqFkKjU6Ojo+Pj45OZnNZOPJeDQW&#10;C0ceV4GAYvBqBS/OfvNW4ztoBdDkULMGab/1ev34+JjneWjIDCpBEEWEn8qEeilfLhKIjRE1DKNa&#10;rZbLZei3k81mR0dHIdmOqYTLt/Yq4WVlcMU4RQi0A4UtLWTHO7Zj25aqqo1Go1gonJ6e7u3t7e/v&#10;V6s1XdcN09A0zbGh45lDiANuH1cKU0QRxW7HBY7jMGQxEcehlEIKqW3bIMZ9PuXKlSufffbZ3Nxc&#10;MBgKhUKKImOMG43G/v7B3t7e1tbWyclJu9PGGAf8/lgsPjMz/dlnn3388cfZbDYQDAqSyHoUA88u&#10;k54gMRiAQPPo6OjLL7+8d+9eJBL5y7/8yw8//DAYDMIBYBNAU2swCPr9fr/fZyGTdrtdq9WgYLbZ&#10;bJqmiQhFLqOUG9pwHAeEvsfSxcDxgTHmBWAe4SVJ8vn84Ug4Ho+Pjo7Ozc7Ozs1NTkwmkgmf3wc1&#10;JqwZzFD1NXsu9pied/zW4ztoBXAcucnLp6dHR0etVqvZbAYCAUhnhLxdjDmHokutcNFBbEQJ0wqO&#10;4yQSidHRUUi58/l8l1rhXPBYKwwUA+xAKUWEQMY9fAb1AJvrbrfbbrXK5TIk+zWbzUazWavWarVa&#10;q9XqdDpQboIxguaaEDmA07LXRylFg0CuKAi2bcMNCDwfi8cnJyczmQzP836fXxAFjJCmafVGo1Ku&#10;VKvVVrul6zrHcfF4fGpqanp6+sb161euXIUkZlESeUmEpFvWQGXAgMmxLrBQb9Fut3O53KNHj7a3&#10;t0Oh0EcffTQ7O8vzvGEYoA96vR5wPRkDMKPBbXvX77darUajAR1BRF6AFnKMopwQgjDiOQ6el6Xw&#10;YoQVRQmGgpFwJBqNJBKJdDodTyQg7y4zMpLJZmOxmM/nwxAWHQRgmAJgtQjsm/daK8BAAC9Cq9U6&#10;PDw8ODjodDrgl0yn09FoFBJXKKWXHqS3AMRGlOi6XqvVQCskk0mmFaC2+VIrvHqwQlwYVYwfawUw&#10;HAaxUPiegnuIUIKobdu6qrbb7XyhUCwUj44ODw4OcrlcuVLp9/reEmjW/hdeIocxrHSKKCEEIyRJ&#10;kmXbrnQjFDj7IuGwaZrMS+wQArphcBeEF4RUKnVlbm5icnJ0dDQej4eCIVESRVkCVlToSAxyGW4A&#10;rAcooYd6yWazWS6XT05OCoVCIBCYnZ2NRqO6rne7XWBeaTabhUIBWBLgJOwGBv2LOEhAgnpjjBB1&#10;oHDPTe5y7QZ4do4DXQVFf36/P5FIZrPZiYmJ6ZnpmWmoTA6JkgQ05tC6DmGEBxmrICGHzAL31Typ&#10;Kt4ZPEUreJ+WfYbRATd0LpfL5XKNRsOyrEgkAm38/H4/zCeE3L3K0GkRzPpLXAyAaxU60ZfLZUJI&#10;KpUaHR3NZDJg9j2mc0HuFuwSrwBnlhtC2GM7PA46eD8zUEohgafdbjfq9Xq9XiqXi8Viq9nSdA0c&#10;LMC0qqqqY9uY44hDKKIcdjlZOYQlUSSEUDBNXD2E3DWOoB89hs013AZ26YQQ5rhgIJjJZELhUDQS&#10;gUabLpOHJAGLOAMe2D3EIYQQhzjgHVJVtdlo1BtNTdMUWQKqDNu0dF0DY6DT6zbqjX6/jxDlMIc5&#10;DlQCaAhoe0c95gih1KEEI8xxbn0fhzmMEeY4WZZ9ik/xKZFwOBpzkYjHE8lkPBZPppKZTCYRjwcC&#10;QV54eks4phW83zAlMfTlO4PhZ36OVgDrr1QqnZycVCoVXdcRQplMJhgMBoNBoMN1T3q5wbzwgKof&#10;sBUqlQqlNJ1Oj4+PAy8NZOB5UwOHf3+JNwGQj94wbK/XazQazWYTWmYWi8VisVgul6Gq1OvMYT4l&#10;DmHHcSihbC9MyUAIuD6twXb4cfga1ALmOV5WZFEQJUkSJRFEBNRenJ0k0NYJrB1KKaEEtiOarhm6&#10;YTu2wAuKIvM8D/2IoB4bamhMwxjs/THogLNaAW4NOghhjmM2CsZYFEUII8disWQyCZl12Ww2kUhE&#10;o9FQKKQoiizL0D763dvsvySerhWGvoHhVlW1Wq0eHR3lcrler8dxnM/ny2QyPp/PaygALkf5ggP8&#10;vLqu1+v1er3OcRyY1dDlkS0VWKiXb/OCAIQsW6GEENh9d7tdMCDA8oNqgG63683hgeCtbVnIIY7j&#10;UIowh3mOoxQRSkDuQ0I5pRSMmsFbBx4z5Hq9IJjNto8QPzhLhe3e4+O7fSxWXA8ZNzgxtR3HcRyM&#10;EPigIDCOEKTaulQWcDlwCnltBUEUBUlUFAUEPQC6/USjUdAKIyMj0DEUWkkz2qLn10O8t3iKVgCw&#10;+QfbAWDWLBaLBwcH5XLZtu1gMAh8jZIkQdETO9WlHLn4AFIE0ArNZlMUxfHx8fHx8VQqxZiNL7XC&#10;BYRXKzBvOyTtsI493W632+0C60Or1QLFX6vVms2mpqqWbjiOQwiFdFJKKEWUc18xSGlX7mOIXyNX&#10;P0DYg1BKB0ELihCHsUuKPKQUmFwZ/BYhTOigUxuwmVLqngFjuCUo2AY1cHZzycwFr1aQZTkQCkVj&#10;UWgjmEql4vF4PB6PRCKRSCQYDIJB4HYMFUVgLmLJRXCV4bt/v/EUrcB0MvsAfdbA1ZDL5brdriRJ&#10;UJ0QDAZBvbMidZbbO3TaS1wogBABbuF2uy3L8tTU1Pj4eDKZZE0cL7XCBYR3wbKtG7ws5n8HfQ/Z&#10;PpDKWavVgHqo3+2pvb5u6DABHMexTNPNB7Vty7Qc1leA456o+fLI0Mf3wOTpGTEygMs05/4HFAGF&#10;RFL3CI7neM7loGZGCSgfPOAnAiHD87zA88KgqafAC6Ik+gOBcDQSj8fT6fTIyMjIyEgymQTpFAqF&#10;WJU+m8bwXzZo3i8vAXi6VnAcx8sVrqpqqVTa3d1tNpvNZhMhFA6HobsvvC0vdcmlVngrAEKh3++D&#10;VvD5fGe1AkyGy53UxQEsSaaqB+LaTT9lf4USMOY7guAzKwTrtTu9Xq/dbnfabaAv7ff73V5P7avt&#10;Trvf79uWhRCCpBEKhRRQTzFY3exOHuuoM2IEIVfYwj8wrQBfeXsNuefALuE+HAy6DvrK+Xw+f8AP&#10;PiK/3x8KBkPhcDQSjUQiwVAwGAr6AwF/IOD3+wOBQCAQ8Pv9sixLkgQ9D85OY2+s5VIrnMXTtYJl&#10;WaIowvyjlALf0YMHD4BcU1EUMNZCoRAMKExE+MyYsIZOe4kLBa9WaDabPp9vZmZmYmIikUgEAgFG&#10;bXK5Zi4UhlYr24qd9YewLR1bm7CcDV3vdbqdTqdeq9Xr9Xq90W63Op1Oo9lst9rNZqPdbuuGAT+n&#10;ECUmZFAjRh1oc+ZKbVdHDWbIk5MEI2DxYxrFrdRDFGPMs+aMA4UBxgDyhB94jpdkKeD3B4OhUDgU&#10;8PtDoVA4EolGo6lkMp0eSadT8XjcHwwIA646JoK8Bi6k6nrrk71z273ZyxnuwTO1AkSPLcuq1+ul&#10;UqlWq21vbwM1PIRxoOGq91fw4XJ83wqAk0HX9UajUa/XJUmanZ0dHx+Px+Ngd7OVc/lCLybOrlyG&#10;s/mUDMRxTM3Qdb2v9rudTrfb1XTdNExN13QoJIbGfI5jWVa327Vs2xzYHKZpIUSh4gzC2KZlsTKx&#10;FwHEjAWBl2VZlhVJksDZwHEYmIgUWZEkEYoMZFnxB/wBNx4giaLo8yk+vx+Si8KhcCgU8vt9oixx&#10;T8uAgm+GxsE7Mmd/cgnAU2YP06UIIYgw53K5SqVSqVSAKxscdtC8e+i3l3hbAITG/X6/0+m0Wi1B&#10;ECYmJqampphWYEdeLp53CcQh1HEoIQ4hDqT+EEIJgSI4hxDbtqHDc7fbrdVqhmFomgqOJihiNU1T&#10;0/V+vw8dmC3TfBwi+DaAYSFJEjSU9vsDiiIriqL4fPBNMBDw+XyiJAUDwWg04vP7JUkSeIHjOLAt&#10;wBDgOd7te83xmMf4MvT1SvFMrQBKFeiyW61Wr9czDEMURZ/P5/P5mNS43Eu+peA4DlJWIGeR4zjI&#10;44aEDa++v3y/7xIoIcR2CVZZFQIhlDg2NIqjlBKXicgyDN2GJpeGYRqGaZoIY0EQTNMEY8G0LJeu&#10;FaGn0RkMAxJMeV6QZQlc/6IoQhW3KIqKLLPWBaIkyZIsSiLcklv7zXFQl4AQYnFs98ovcPVLvCC+&#10;RSswsH+9VAPvElx/78BZxMKYQBsAx1zmIL1LoJ7kH4wQpghhNGj++bju7PHxzAkz+JZDaEDiB1+4&#10;lW/sJ88D4/MY7DZcOeOVLHAqQpCX0Al+7X4PQWsMes29+otd/xIvgv8/5t4RCpwN1R4AAAAASUVO&#10;RK5CYIJQSwMEFAAGAAgAAAAhAOnLoerdAAAABwEAAA8AAABkcnMvZG93bnJldi54bWxMj0FLw0AU&#10;hO+C/2F5gje7iUltSbMppainIrQVxNtr9jUJze6G7DZJ/73Pkx6HGWa+ydeTacVAvW+cVRDPIhBk&#10;S6cbWyn4PL49LUH4gFZj6ywpuJGHdXF/l2Om3Wj3NBxCJbjE+gwV1CF0mZS+rMmgn7mOLHtn1xsM&#10;LPtK6h5HLjetfI6iF2mwsbxQY0fbmsrL4WoUvI84bpL4ddhdztvb93H+8bWLSanHh2mzAhFoCn9h&#10;+MVndCiY6eSuVnvRKkgWHFSQMj+7SZrysxPrZL4AWeTyP3/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WZ6iOpAwAAQQgAAA4AAAAAAAAAAAAAAAAAOgIAAGRy&#10;cy9lMm9Eb2MueG1sUEsBAi0ACgAAAAAAAAAhADGHaU2zSgIAs0oCABQAAAAAAAAAAAAAAAAADwYA&#10;AGRycy9tZWRpYS9pbWFnZTEucG5nUEsBAi0AFAAGAAgAAAAhAOnLoerdAAAABwEAAA8AAAAAAAAA&#10;AAAAAAAA9FACAGRycy9kb3ducmV2LnhtbFBLAQItABQABgAIAAAAIQCqJg6+vAAAACEBAAAZAAAA&#10;AAAAAAAAAAAAAP5RAgBkcnMvX3JlbHMvZTJvRG9jLnhtbC5yZWxzUEsFBgAAAAAGAAYAfAEAAPFS&#10;AgAAAA==&#10;">
                      <v:shape id="그림 182" o:spid="_x0000_s1272" type="#_x0000_t75" style="position:absolute;top:66;width:21590;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0FwwAAANwAAAAPAAAAZHJzL2Rvd25yZXYueG1sRE9La8JA&#10;EL4L/Q/LFLzpRm1FUzehiNF6rI/icciOSWh2NmRXk/57t1DobT6+56zS3tTiTq2rLCuYjCMQxLnV&#10;FRcKTsdstADhPLLG2jIp+CEHafI0WGGsbcefdD/4QoQQdjEqKL1vYildXpJBN7YNceCutjXoA2wL&#10;qVvsQrip5TSK5tJgxaGhxIbWJeXfh5tRkB3dervczPTXPttdutcXfb5svFLD5/79DYSn3v+L/9wf&#10;OsxfTOH3mXCBTB4AAAD//wMAUEsBAi0AFAAGAAgAAAAhANvh9svuAAAAhQEAABMAAAAAAAAAAAAA&#10;AAAAAAAAAFtDb250ZW50X1R5cGVzXS54bWxQSwECLQAUAAYACAAAACEAWvQsW78AAAAVAQAACwAA&#10;AAAAAAAAAAAAAAAfAQAAX3JlbHMvLnJlbHNQSwECLQAUAAYACAAAACEAghC9BcMAAADcAAAADwAA&#10;AAAAAAAAAAAAAAAHAgAAZHJzL2Rvd25yZXYueG1sUEsFBgAAAAADAAMAtwAAAPcCAAAAAA==&#10;" stroked="t" strokecolor="black [3213]" strokeweight=".5pt">
                        <v:imagedata r:id="rId123" o:title=""/>
                        <v:path arrowok="t"/>
                      </v:shape>
                      <v:shape id="Text Box 183" o:spid="_x0000_s1273" type="#_x0000_t202" style="position:absolute;left:14414;top:25971;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RbxAAAANwAAAAPAAAAZHJzL2Rvd25yZXYueG1sRE9NawIx&#10;EL0X+h/CFLwUzbaKyGoUkRasF+nqxduwGTerm8mSZHX7702h0Ns83ucsVr1txI18qB0reBtlIIhL&#10;p2uuFBwPn8MZiBCRNTaOScEPBVgtn58WmGt352+6FbESKYRDjgpMjG0uZSgNWQwj1xIn7uy8xZig&#10;r6T2eE/htpHvWTaVFmtODQZb2hgqr0VnFewnp7157c4fu/Vk7L+O3WZ6qQqlBi/9eg4iUh//xX/u&#10;rU7zZ2P4fSZdIJcPAAAA//8DAFBLAQItABQABgAIAAAAIQDb4fbL7gAAAIUBAAATAAAAAAAAAAAA&#10;AAAAAAAAAABbQ29udGVudF9UeXBlc10ueG1sUEsBAi0AFAAGAAgAAAAhAFr0LFu/AAAAFQEAAAsA&#10;AAAAAAAAAAAAAAAAHwEAAF9yZWxzLy5yZWxzUEsBAi0AFAAGAAgAAAAhAA63tFvEAAAA3AAAAA8A&#10;AAAAAAAAAAAAAAAABwIAAGRycy9kb3ducmV2LnhtbFBLBQYAAAAAAwADALcAAAD4AgAAAAA=&#10;" stroked="f">
                        <v:textbox style="mso-fit-shape-to-text:t" inset="0,0,0,0">
                          <w:txbxContent>
                            <w:p w14:paraId="4EBD965A"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H</w:t>
                              </w:r>
                            </w:p>
                          </w:txbxContent>
                        </v:textbox>
                      </v:shape>
                      <w10:wrap type="square"/>
                    </v:group>
                  </w:pict>
                </mc:Fallback>
              </mc:AlternateContent>
            </w:r>
          </w:p>
          <w:p w14:paraId="74019F74"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Zdjąć osłonę</w:t>
            </w:r>
          </w:p>
          <w:p w14:paraId="7D4F0891" w14:textId="77777777" w:rsidR="00094D21" w:rsidRPr="008F328C" w:rsidRDefault="00094D21" w:rsidP="008A03B2">
            <w:pPr>
              <w:pStyle w:val="a3"/>
              <w:rPr>
                <w:b/>
                <w:highlight w:val="lightGray"/>
                <w:lang w:val="pl-PL"/>
              </w:rPr>
            </w:pPr>
          </w:p>
          <w:p w14:paraId="5C08A460" w14:textId="77777777" w:rsidR="00094D21" w:rsidRPr="008F328C" w:rsidRDefault="00094D21" w:rsidP="008A03B2">
            <w:pPr>
              <w:pStyle w:val="a3"/>
              <w:ind w:left="411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Zdjąć osłonę, przytrzymując korpus ampułko-strzykawki jedną ręką. Delikatnie ściągnąć osłonę prostym ruchem drugą ręką.</w:t>
            </w:r>
          </w:p>
          <w:p w14:paraId="5296E0E6" w14:textId="77777777" w:rsidR="00094D21" w:rsidRPr="008F328C" w:rsidRDefault="00094D21" w:rsidP="008A03B2">
            <w:pPr>
              <w:pStyle w:val="a3"/>
              <w:numPr>
                <w:ilvl w:val="0"/>
                <w:numId w:val="0"/>
              </w:numPr>
              <w:ind w:left="1384"/>
              <w:rPr>
                <w:highlight w:val="lightGray"/>
                <w:lang w:val="pl-PL"/>
              </w:rPr>
            </w:pPr>
            <w:r w:rsidRPr="008F328C">
              <w:rPr>
                <w:b/>
                <w:highlight w:val="lightGray"/>
                <w:lang w:val="pl-PL"/>
              </w:rPr>
              <w:t xml:space="preserve"> </w:t>
            </w:r>
          </w:p>
          <w:p w14:paraId="013EB239" w14:textId="77777777" w:rsidR="00094D21" w:rsidRPr="008F328C" w:rsidRDefault="00094D21" w:rsidP="008A03B2">
            <w:pPr>
              <w:pStyle w:val="a3"/>
              <w:numPr>
                <w:ilvl w:val="0"/>
                <w:numId w:val="17"/>
              </w:numPr>
              <w:ind w:left="4477"/>
              <w:rPr>
                <w:highlight w:val="lightGray"/>
                <w:lang w:val="pl-PL"/>
              </w:rPr>
            </w:pPr>
            <w:r w:rsidRPr="008F328C">
              <w:rPr>
                <w:rFonts w:eastAsia="Times New Roman"/>
                <w:b/>
                <w:bCs/>
                <w:highlight w:val="lightGray"/>
                <w:lang w:val="pl-PL"/>
              </w:rPr>
              <w:t xml:space="preserve">Nie </w:t>
            </w:r>
            <w:r w:rsidRPr="008F328C">
              <w:rPr>
                <w:rFonts w:eastAsia="Times New Roman"/>
                <w:highlight w:val="lightGray"/>
                <w:lang w:val="pl-PL"/>
              </w:rPr>
              <w:t xml:space="preserve"> zdejmować osłony, aż do momentu, gdy pacjent będzie gotowy do wykonania wstrzyknięcia. </w:t>
            </w:r>
          </w:p>
          <w:p w14:paraId="5D47DFF0" w14:textId="77777777" w:rsidR="00094D21" w:rsidRPr="008F328C" w:rsidRDefault="00094D21" w:rsidP="008A03B2">
            <w:pPr>
              <w:pStyle w:val="a3"/>
              <w:numPr>
                <w:ilvl w:val="0"/>
                <w:numId w:val="0"/>
              </w:numPr>
              <w:ind w:left="1384"/>
              <w:rPr>
                <w:highlight w:val="lightGray"/>
                <w:lang w:val="pl-PL"/>
              </w:rPr>
            </w:pPr>
          </w:p>
          <w:p w14:paraId="2966F2FA" w14:textId="77777777" w:rsidR="00094D21" w:rsidRPr="008F328C" w:rsidRDefault="00094D21" w:rsidP="008A03B2">
            <w:pPr>
              <w:pStyle w:val="a3"/>
              <w:numPr>
                <w:ilvl w:val="0"/>
                <w:numId w:val="17"/>
              </w:numPr>
              <w:ind w:left="4477"/>
              <w:rPr>
                <w:highlight w:val="lightGray"/>
                <w:lang w:val="pl-PL"/>
              </w:rPr>
            </w:pPr>
            <w:r w:rsidRPr="008F328C">
              <w:rPr>
                <w:rFonts w:eastAsia="Times New Roman"/>
                <w:b/>
                <w:bCs/>
                <w:highlight w:val="lightGray"/>
                <w:lang w:val="pl-PL"/>
              </w:rPr>
              <w:t>Nie</w:t>
            </w:r>
            <w:r w:rsidRPr="008F328C">
              <w:rPr>
                <w:rFonts w:eastAsia="Times New Roman"/>
                <w:highlight w:val="lightGray"/>
                <w:lang w:val="pl-PL"/>
              </w:rPr>
              <w:t xml:space="preserve"> dotykać igły. Może to spowodować ukłucie igłą.</w:t>
            </w:r>
            <w:r w:rsidRPr="008F328C">
              <w:rPr>
                <w:rFonts w:eastAsia="Times New Roman"/>
                <w:b/>
                <w:bCs/>
                <w:highlight w:val="lightGray"/>
                <w:lang w:val="pl-PL"/>
              </w:rPr>
              <w:t xml:space="preserve"> </w:t>
            </w:r>
          </w:p>
          <w:p w14:paraId="6D841844" w14:textId="77777777" w:rsidR="00094D21" w:rsidRPr="008F328C" w:rsidRDefault="00094D21" w:rsidP="008A03B2">
            <w:pPr>
              <w:pStyle w:val="a4"/>
              <w:rPr>
                <w:rFonts w:ascii="Times New Roman" w:hAnsi="Times New Roman" w:cs="Times New Roman"/>
                <w:highlight w:val="lightGray"/>
                <w:lang w:val="pl-PL"/>
              </w:rPr>
            </w:pPr>
          </w:p>
          <w:p w14:paraId="05621578" w14:textId="77777777" w:rsidR="00094D21" w:rsidRPr="00F90B57" w:rsidRDefault="00094D21" w:rsidP="008A03B2">
            <w:pPr>
              <w:pStyle w:val="a3"/>
              <w:numPr>
                <w:ilvl w:val="0"/>
                <w:numId w:val="17"/>
              </w:numPr>
              <w:ind w:left="4477"/>
              <w:rPr>
                <w:highlight w:val="lightGray"/>
                <w:lang w:val="pl-PL"/>
              </w:rPr>
            </w:pPr>
            <w:r w:rsidRPr="008F328C">
              <w:rPr>
                <w:rFonts w:eastAsia="Times New Roman"/>
                <w:highlight w:val="lightGray"/>
                <w:lang w:val="pl-PL"/>
              </w:rPr>
              <w:t>Nie nakładać ponownie osłony na ampułko-strzykawkę. Natychmiast wyrzucić osłonę do pojemnika na odpady ostre.</w:t>
            </w:r>
          </w:p>
          <w:p w14:paraId="7CF54B9D" w14:textId="77777777" w:rsidR="0032285D" w:rsidRDefault="0032285D" w:rsidP="00F90B57">
            <w:pPr>
              <w:pStyle w:val="a4"/>
              <w:rPr>
                <w:highlight w:val="lightGray"/>
                <w:lang w:val="pl-PL"/>
              </w:rPr>
            </w:pPr>
          </w:p>
          <w:p w14:paraId="7FA3D26C" w14:textId="61C6BA56" w:rsidR="0032285D" w:rsidRPr="008F328C" w:rsidRDefault="0032285D" w:rsidP="008A03B2">
            <w:pPr>
              <w:pStyle w:val="a3"/>
              <w:numPr>
                <w:ilvl w:val="0"/>
                <w:numId w:val="17"/>
              </w:numPr>
              <w:ind w:left="4477"/>
              <w:rPr>
                <w:highlight w:val="lightGray"/>
                <w:lang w:val="pl-PL"/>
              </w:rPr>
            </w:pPr>
            <w:r w:rsidRPr="006C0E92">
              <w:rPr>
                <w:highlight w:val="lightGray"/>
                <w:lang w:val="pl-PL"/>
              </w:rPr>
              <w:t>Prawidłowe jest pojawienie się kropelki roztworu na końcówce igły.</w:t>
            </w:r>
          </w:p>
        </w:tc>
      </w:tr>
      <w:tr w:rsidR="00094D21" w:rsidRPr="00A5286D" w14:paraId="0941C20F" w14:textId="77777777" w:rsidTr="008A03B2">
        <w:trPr>
          <w:trHeight w:val="7028"/>
        </w:trPr>
        <w:tc>
          <w:tcPr>
            <w:tcW w:w="9090" w:type="dxa"/>
          </w:tcPr>
          <w:p w14:paraId="23107BC7" w14:textId="77777777" w:rsidR="00094D21" w:rsidRPr="008F328C" w:rsidRDefault="00094D21" w:rsidP="008A03B2">
            <w:pPr>
              <w:ind w:left="104"/>
              <w:rPr>
                <w:rFonts w:ascii="Times New Roman" w:eastAsia="Times New Roman" w:hAnsi="Times New Roman" w:cs="Times New Roman"/>
                <w:b/>
                <w:bCs/>
                <w:spacing w:val="-1"/>
                <w:highlight w:val="lightGray"/>
                <w:lang w:val="pl-PL"/>
              </w:rPr>
            </w:pPr>
          </w:p>
          <w:p w14:paraId="4A695510" w14:textId="39765AFF" w:rsidR="00094D21" w:rsidRPr="008F328C" w:rsidRDefault="00094D21" w:rsidP="008A03B2">
            <w:pPr>
              <w:pStyle w:val="1"/>
              <w:spacing w:before="76"/>
              <w:ind w:left="0" w:right="2736"/>
              <w:rPr>
                <w:rFonts w:eastAsiaTheme="minorEastAsia" w:cs="Times New Roman"/>
                <w:highlight w:val="lightGray"/>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55" behindDoc="0" locked="0" layoutInCell="1" allowOverlap="1" wp14:anchorId="3F7B41E2" wp14:editId="46A78346">
                      <wp:simplePos x="0" y="0"/>
                      <wp:positionH relativeFrom="column">
                        <wp:posOffset>61595</wp:posOffset>
                      </wp:positionH>
                      <wp:positionV relativeFrom="paragraph">
                        <wp:posOffset>156210</wp:posOffset>
                      </wp:positionV>
                      <wp:extent cx="2302510" cy="3956050"/>
                      <wp:effectExtent l="0" t="0" r="2540" b="6350"/>
                      <wp:wrapSquare wrapText="bothSides"/>
                      <wp:docPr id="184" name="그룹 184"/>
                      <wp:cNvGraphicFramePr/>
                      <a:graphic xmlns:a="http://schemas.openxmlformats.org/drawingml/2006/main">
                        <a:graphicData uri="http://schemas.microsoft.com/office/word/2010/wordprocessingGroup">
                          <wpg:wgp>
                            <wpg:cNvGrpSpPr/>
                            <wpg:grpSpPr>
                              <a:xfrm>
                                <a:off x="0" y="0"/>
                                <a:ext cx="2294189" cy="3956050"/>
                                <a:chOff x="6719" y="0"/>
                                <a:chExt cx="2294189" cy="3956050"/>
                              </a:xfrm>
                            </wpg:grpSpPr>
                            <wpg:grpSp>
                              <wpg:cNvPr id="185" name="그룹 185"/>
                              <wpg:cNvGrpSpPr/>
                              <wpg:grpSpPr>
                                <a:xfrm>
                                  <a:off x="6719" y="0"/>
                                  <a:ext cx="2294189" cy="3956050"/>
                                  <a:chOff x="6719" y="0"/>
                                  <a:chExt cx="2294189" cy="3956050"/>
                                </a:xfrm>
                              </wpg:grpSpPr>
                              <pic:pic xmlns:pic="http://schemas.openxmlformats.org/drawingml/2006/picture">
                                <pic:nvPicPr>
                                  <pic:cNvPr id="186" name="그림 186"/>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6719" y="0"/>
                                    <a:ext cx="2289071" cy="3806825"/>
                                  </a:xfrm>
                                  <a:prstGeom prst="rect">
                                    <a:avLst/>
                                  </a:prstGeom>
                                  <a:noFill/>
                                  <a:ln>
                                    <a:noFill/>
                                  </a:ln>
                                </pic:spPr>
                              </pic:pic>
                              <wps:wsp>
                                <wps:cNvPr id="187" name="Text Box 187"/>
                                <wps:cNvSpPr txBox="1"/>
                                <wps:spPr>
                                  <a:xfrm>
                                    <a:off x="1581150" y="3810000"/>
                                    <a:ext cx="719758" cy="146050"/>
                                  </a:xfrm>
                                  <a:prstGeom prst="rect">
                                    <a:avLst/>
                                  </a:prstGeom>
                                  <a:solidFill>
                                    <a:prstClr val="white"/>
                                  </a:solidFill>
                                  <a:ln>
                                    <a:noFill/>
                                  </a:ln>
                                </wps:spPr>
                                <wps:txbx>
                                  <w:txbxContent>
                                    <w:p w14:paraId="12CFC945"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90" name="Text Box 190"/>
                              <wps:cNvSpPr txBox="1"/>
                              <wps:spPr>
                                <a:xfrm>
                                  <a:off x="31750" y="1727200"/>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949E9"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F7B41E2" id="그룹 184" o:spid="_x0000_s1274" style="position:absolute;margin-left:4.85pt;margin-top:12.3pt;width:181.3pt;height:311.5pt;z-index:251658355" coordorigin="67" coordsize="22941,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692yXwQAAPYMAAAOAAAAZHJzL2Uyb0RvYy54bWzcV9tuGzcQfS/Qf1js&#10;eyytZEuyYDlw7doI4CZG7CLPFJerJbxLsiRlSfmdAv2FJkC/qP2JniF3dbODxH5IgRrwekgOyZnD&#10;M4f0yetlXSUPwjqp1STNDrppIhTXuVSzSfrr3eWrUZo4z1TOKq3EJF0Jl74+/fGHk4UZi54udZUL&#10;m2AR5cYLM0lL782403G8FDVzB9oIhcFC25p5NO2sk1u2wOp11el1u4POQtvcWM2Fc+i9iIPpaVi/&#10;KAT374rCCZ9UkxSx+fC14Tulb+f0hI1nlplS8iYM9oIoaiYVNl0vdcE8S+ZWPlqqltxqpwt/wHXd&#10;0UUhuQg5IJusu5fNldVzE3KZjRczs4YJ0O7h9OJl+duHK2tuzY0FEgszAxahRbksC1vTX0SZLANk&#10;qzVkYukTjs5e7/gwGx2nCcdY//ho0D1qQOUlkKd5g2GG8c1UXv78lcmddu/OTkTrRowUod/YROag&#10;3egoTRSrwa+///z0z++fE+ppEnpGhvuR/hdJGsnH+G3OGtajs/56TWCWn1uRNovU37RGzez93LwC&#10;LQ3zcior6VehxEBACko93Eh+Y2NjG/vBNvZ//AXsB4Q9zSG3OIlRUtea37tE6fOSqZk4cwblidMj&#10;786ue2ju7DitpLmUVUWEJLvJDaW8VwpPwBPL7ELzeS2Uj7phRYU0tXKlNC5N7FjUUwEu2Td5BjZD&#10;szzoZKxUnuJjY2f5e8QbbW+F52Ub9yY2ysKhmJLp4hedYwE29zoIw14xfZlqo+PukCKgehp1B6Ne&#10;YPK6JACkdf5K6DohAwEjqLADe7h2FB5cWxeKW2mCLYRdqZ0OOFJPwJqCbkzkQAUGPXYtymg9wvlZ&#10;knNbMiMQJS27zZ1hy507qrWf9BLsGcbKDY4kTIlfYqDhCS0QY201Yq1P2dEoy6A+JDX9UdbFTzy5&#10;toyhQ8Mj3EcEbXbYKtXLkXW6knnLSYL8vLLJA8NNsyilF4HW4M221xdOYJMVWX45XUZd64cMqG+q&#10;8xWgsBonjhSd4ZcSO14z52+YxZWFTlzD/h0+RaUXk1Q3VpqU2n58qp/8cawYTZMFrsBJ6n6bM9KN&#10;6o3CgdN92Rq2Naatoeb1uUau4CqiCSYmWF+1ZmF1/QG38xntgiGmOPaapL41z328iHG7c3F2Fpyi&#10;/FyrWwPRygKvCdm75QdmTcN4jwN9q1tKsfEe8aNvKFlzhvK7lKEqNiiC59QAvYPV3Hnfi/PHgCLe&#10;VRvOow8FSkGhOJ7D+X42bBifDXtDPIh2Gd/r9XEf9yLle6Nu1j9sWNnKUasU3ygmO2QOjzSxJr1f&#10;RiV/RPkEbBz0EedT6sPGIjzTGu0iDGJ9B8uvKkGzKvVeFKiJ8AwJR0sPxM3ejHMoe7t/8CavAsr3&#10;nImNP02NUT1n8npG2Fkrv55cS6VtyH4Psvy+DbmI/g01XcybINgSg+BLff8jMeDefic5CDUfkXsk&#10;AHhco2/n9b7dDv6bf1dO/wUAAP//AwBQSwMECgAAAAAAAAAhAOu14F/LkAIAy5ACABQAAABkcnMv&#10;bWVkaWEvaW1hZ2UxLnBuZ4lQTkcNChoKAAAADUlIRFIAAAInAAADlQgGAAAAsiVAFwAAAAFzUkdC&#10;AK7OHOkAAAAEZ0FNQQAAsY8L/GEFAAAACXBIWXMAACHVAAAh1QEEnLSdAAD/pUlEQVR4Xuz9B3BV&#10;Z7L2i9/6qu7933PO96/66sycmTE5CAVERgSRc84555xzNDnnnHOSQCIIARI5ZwwGp3Ec5+wZxxmP&#10;Z3xO3/fXS68sMxsMNsIC+qnqktjae+21116sftbTT/f7fzn0dnHNwsLCwsLCwiILRB8X/9e1f/u3&#10;f5Po6GgpXry4hYWFhYWFhUWmRrFixSRf3nzyf/7P/5H/5//+fzT+3//f/yv/63/9L3G85BklJwUL&#10;FpQzZ87In/70JwsLCwsLCwuLTI2XXnpJVq1cJfXq1JGcT2XTCM+XX/7j3//9B3ICi+HJBoPBYDAY&#10;DJmNv/3tb7J39x5p1by55MuVW6NQZJT8///3/zZyYjAYDAaD4eHDyInBYDAYDIYsBSMnBoPBYDAY&#10;shSMnBgMBoPBYMhSMHJiMBgMBoMhS8HIicFgMBgMhiwFIycGg8FgMBiyFIycGAwGg8FgyFIwcmIw&#10;GAwGgyFLwciJwWAwGAyGLAUjJwaDwWAwGLIUjJwYDAaDwWDIUjByYjAYDAaDIUvByInBYDAYDIYs&#10;BSMnBoPBYDAYshSMnBgMBoPBYMhSMHJiMBgMBoMhS8HIicFgMBgMhiwFIycGg8FgMBiyFIycGAwG&#10;g8FgyFIwcmIwGAwGgyFLwciJwWAwGAyGLAUjJwaDwWAwGLIUjJwYDAaDwWDIUjByYjAYDAaDIUvB&#10;yInBYDAYDIYsBSMnBoPBYDAYshSMnBgMBoPBYMhSMHJiMBgMBoMhS8HIicFgMBgMhiwFIycGg8Fg&#10;MBiyFIycGAwGg8FgyFIwcmIwGAwGgyFLwciJwWAwGAyGLAUjJwaDwWAwGLIUjJwYDAaDwWDIUjBy&#10;YjAYDAaDIUvByInBYDAYDIYsBSMnBoPBYDAYshSMnBgMBoPBYMhSMHJiMBgMBoMhS8HIicFgMBgM&#10;hiwFIycGg8FgMBiyFIycGAwGg8FgyFIwcmIwGAwGgyFLwciJwWAwGAyGLAUjJwaDwWAwGLIUjJwY&#10;DAaDwWDIUjByYjAYDAaDIUvByInBYDAYDPeI//mf/5Hvv/9e/vnPf8o//vEP+e677zT+/ve/3zH4&#10;O8/ldf/93/+t2/iftO0ZQsPIicFgMBgM9wBIBSTj66+/lr/85S/y0Ucfyfvvvy/vvPOOvPXWW/Lm&#10;m2/+S7z99tvy/gcfyCeffipffPml/O3bb+Ufjth8n0ZSDKFh5MRgMBgMhjSoqpEWqBwZVRJUkK++&#10;+ko+/PBDzYkvvfSSPHvzplx75hm5fOWKXLp06V/i6tWrcuu55+TlV16Rd959Vz797DP5+ptvlKSg&#10;qLDtHykqRlgURk4MBoPBYEgD5ACyABn561//Kn/5/HMlI2+/84689tpr8vzzzyvhOHv2rBw7dkwO&#10;paTI/uRk2ZeUJPv27fuX2L9/v6SmpsrxEyfkwsWLcv3GDXnhxRfltddfV8Xl408+kS+//FK+dWQF&#10;omLkJICRE4PBYDAY0gA5QNGAmHz66adKSK5duyYnT56UJEc04nfulK3btsnGjRtl7bp1snrNGlm1&#10;enUQq1aFjDVr18q69etl0+bN+tpdCQlKak6fOSM3b93S0s+f//xnTcgoKAYjJwaDwWB4guFLKagW&#10;JETKNp988okShhdffFHOnTsnyQcOyI4dO5SILF22TGPJ0qUaS5ctl2XLV8jyFS4y/tTgb8tliT5/&#10;mSxavFiDxzY4crNz1y45fOSIKjEvv/yy+lc+//xzJUYoN77U8yTCyInBYDAYnkiQ+CEA//z+e/nm&#10;m2/kgw8/lFdeeUWuXrumZRivlEAkUElWooSsXiPr1m+QzVu2yvYdce7vu2RX4m5J3LNXdu/dJ3tc&#10;8JN/J7rkuishUXbEobZsd9vZJGvWsp3VSnRQU1BSEhMTJSU1Vc5fuCDPPf+8EiNKPSg4lJieRIJi&#10;5MRgMBgMTxQ8KSHx+xIOnTfPv/CClm8Sdu9W8oDKsXDRIlmwcKGqIxCLLVu3KRlJPnhIDh89JidO&#10;nZGz5y/IhUuX5eLlq3LpyjX9eeHSFTl/8bKcOXdBjp04JYdSj8jeffslzpGZTZu3yCq3fZSXxUuW&#10;yGL3PpSFtu/YIQcPHdIy0rvvvitffPGFJul/aUN+AsiKkRODwWAwPFGghAMhwedBB81Lf/yjdtuk&#10;Hj6spZYNmzZp6YWSDSRl46bNqpIkJO6RpOSD7nlH00kJROTy1Wfk2vVn5ZkbN+X6s7f0J/+++swN&#10;JSuQlNNnz8vR4ycdSTks+/Yny86EBCU6qCeUgng/3mvL1q1qoqWcdOPGDfnjyy+rkvLxxx+rmkLS&#10;Zv8fdxg5MRgMBsMTBdQSb3a9dPmydttACjCuQhJWrFypSgYKB6UZyAjE4tSZc46QXFSycSmNlEBA&#10;MhITHxkJypVr1/W5GdUUyM2RY8dl774kLfmgykBSUFN4//WOtMTFx8uBgwflzJkz8txzzymRYr4K&#10;nT2PO4ycGAwGg+GxBaUQyiIkO5QH1BJKJi+88IKcP39ekpKSVL3Q8oojBpAT/CVbt++QPY44QCAg&#10;FSggEA1Ix+2RkZSEitufD2mBsKC6HD9xSpL2H5AdcfGybsMGJSiLlyzVchK/b9y0SRISEuTo0aPq&#10;hcE4+9577+nn4POgADF/hbLP4wQjJwaDwWB4bEHSJonTCfPHP/5RO2OOHz+uakl8fLysd4QAQgIR&#10;WL9xo8TF71RSknL4iBw/eVrOXbikRMIrJKHIx/1GRoKCknLy1BlJPXJMkpIPqJ8FJQWChPkWBYff&#10;UXZoQcaTQgvyM888o5+H+SufffbZY6emGDkxGAwGw2MLVBPMrrQFY3alJZhWYEyuc+bOlbnz5qlK&#10;sXrNWiUGR4+f0NJNRh9JxghFNu43bt+mL/+gpOBNOZiSql1A6zdsVOI0f8EC3ddZs2erSRelB28M&#10;JAtfCp4Uuo0eJxg5MRgMBsMjDbpXaAf+zhER1r1hRPy7770nr776qty8eVPNpSkpKbLLJfR16wJv&#10;B23Ba9zvmF0pqaCWoF7gB4EkPCiV5F7CE5Sg1HNFTp4+qz4XjLOqpGzfrkQFJcW3IaP40OacnJws&#10;J0+d0hH6jNMnV6MSUfaBsDyq7chGTgwGg8HwSMG30/rwLcGsWcMie3S4YHRlbDylm82bN6vZdYUj&#10;JcuWLZMVK1fJpi1bJMEl/gMHD6nZFVKCt8SbXCEMoYhEZkVGBQV/ywU1zp53ROWMHDl6XEs+qClM&#10;maXUg/oDyWICLXNYUIQYl4869Mz162r2pcMHsuY9Kbcft6wMIycGg8FgeGTgyYhf+4ZZIKz4+977&#10;78vrb7whN559Vk6dPq1r3Wx2BAQysnRpMNWVLhg1u27bLntcImdOCWUUCMnDJiP3EhnLPZCUlNTD&#10;krh7r7Ygr4Zsuc/jJ9ZS/lmzZq2SMXwpqEW3bt3SY/KBI2woKUy/Jen7uSlZGUZODAaDwfDIgKTq&#10;VwemawUvyZUrV+TEiRPadpuQmKhTV/FlULphhHzQfbNdSyQoEH542rkLF3/UhROKIPyakVFNuXjp&#10;iiopJ06eltQjR3UIHG3OzF+hNIVnRktVjrRQ8vFr+Bx0x4RFCvGmUOaCqEDosrqB1siJwWAwGLIk&#10;UEl0vPw//6llGwIfBbM+ICb4SVgZmPHvLMSHekBLMAZXfqIo4M/YHhcn+w8ckGMnTmr3DcmepE9A&#10;AHyEIgi/ZmTcN8LvM96US1cCNYWhbozK37Rlq3pSGBznp9oSkLNtjqgccJ//3PnzuqoyBlo6fCAA&#10;ED2OK8cY4sfxzgowcmIwGAyGLAeICQkTMkJJAjLy6muvya3nntNprqdOnVIzKF4LlAJ8GIFysE7X&#10;sEEpwaOB0ZUEfuLUD23BoYjAoxaQFDwyDIZjFgtKym5HUmiF3qyTZzeoedarKfhuUFJQl06cPCkX&#10;L11ScoeawtwXyArH2pd8fm1PipETg8FgMPxqIAn64K7dB8SE0gN+EnwTmDyPHT8ue/bulW2OeNB1&#10;g+ciWBk4UEgYWBa/a5eWbui8UUKSNtEVXwnEhKQeKtk/aoGSggLE58KTEkyePa/r+DCjBVJGyYcu&#10;nx+O03JZ6X7n2OHH8cPd6PSB+H38ySfyV0cKvJLiv4uM39HDgpETg8FgMPxq8ETEl2w+//xzHS2P&#10;N4K8g6mTcgQmTxbGwz/ip6gGJtdVsnb9BtnmEjHlDWaE4CfxhCRUYn9cA+KFhwZCduz4SUk+cEhX&#10;RWYFZTwpy9MMtJ7QQVo4pjoi/+xZefbmTXnt9de17PPhhx+qmuKn0KKo8F09LBg5MRgMBsOvBogJ&#10;iQiTJqUbpp4y/ZSyDWZO/CSYOyndUKIgoTKfhMX5mE+ye+++H60QfHtLcKgk/rgG5MSrKV5JOX7y&#10;VGCgPeCOpSNvHLPAQIs/ZZmWwzAPM4GWuSl79+2TI0eP6mh/yAqqFUPsvvr6a50l87Bg5MRgMBgM&#10;mQ5ftvEqCclHza2ff67JjxxDRwltwKzKu9Uly9UucTKbZIlLoiTSZe53/BO0Aifu2SOHUlJ1YBle&#10;Et91Q4ImvIk0VBJ/XMN/ZsIfB2+ehaxQ5vIG2i2O8K1evUbJHsdW1xZKMxEzN4UJtCmpqXLh4kV5&#10;4cUXdUy+b0fme6PkxveIPyUzPCpGTgwGg8GQ6SB5kcy+dMkNHwnJ7uVXXtG5JNyl431IcqTED03j&#10;zj69NdYly3SD6959cuBQippAMYPit0ApIBGHSthPekBUIG2QlIwGWo4hqlP8rgQtiW3cvEVLP5AV&#10;fqKmoFjRmk3Zh+FuFx1RwUT7ivve3nHf3yeffKKD7yAqEJQHCSMnBoPBYHhg8MbJ2wPV5Ju//lW9&#10;DJASOm5SDx/WDhISob97923A+ErWrl0n2+PiZW/Sfjl8JBiYBhlBJQnKNoHB9UlTSH5OeDUlICrP&#10;6DGErJw+e05brCErOx1R2aQkJSj5eDUFj4qW0xxRpPRz+MgR/f74HjHRQjjxpIT63jPG/cDIicFg&#10;MBgeGLiDJlFxN42ZElMl5ta33npLXmJV4GvXtJUVlYSum2BVYAyuS3ROCR4IOkwo3TA0DT8JyfPs&#10;+QtPnME1swPC4hUVymOUfPbuS9J2ZEjK2nXr9fugnLYkbcouhmRMtKzqzPfI9/n8Cy/I66+/rp4h&#10;RuZTqkNRYYYKZbyfU/YxcmIwGAyGBwISEMSE7g5IyZtvvqlDvy5cuCCHD7vEtxdDJhNNN2mS426c&#10;WRzckTObxC/Ad+BgSgaD6/k0g2vgKQmVZC1+XmQs+aBIMTH39JlASUk5fNQRkIPBFFr3nfH9+FKb&#10;L7fhTYFg7t6zR7up8Atdv35dXnn1VV18kM4rSIZXVe4HRk4MBoPhMQEJgPKJVy/+/t13qmBAFjAx&#10;sggchkYUDbpjuMNl2ipGxwcREJIPP/pIh3q9/PLLOlYeL0ni7t2ygW6bNPOln7lBa2vgbdiuSZA7&#10;d29w9T4SX7bxESrJWvz8yHhsCY53YKK9pp1PvuTDIol8T3xffG98h77sA8n0igr+lLPnzgVtya+9&#10;piSF1nDON84/SAfnZfocFXfOhiIuRk4MBoPhMQEXe0ynkBHuWpHYIQpcvzExsg4NE1YxoSLH04lB&#10;Ijlz5swDidPuzpk1biAk2gbsSAl31ht0uf/VLta45LZBVwRmQBhlG/wkzCY5euyE+h/M4Prrh/em&#10;6MwURxQhjJhoD6Ycdt9Xsn5veIE2b92qJThau/l+UVMY7oYvhYUXU1JStPTDeYai8tJLL8lbb78d&#10;GGkdUfnOEeg7lXyMnBgMBsNjAsjJ3779Vv78l7/Iu++9p4SE9lzKKpCGQy5ZsKw+baIkEWR6fB5L&#10;M9wF/9JYtHhx+tou8xcskHnz5+tjGFxJZJgu9x84JEePn9Q784uXr2gS5G6dhJhRKQmVOC0yP25X&#10;UnzpB9JIiY3vjfkpKF10/NCWDDnh+/ffOz85Dzi/8BXFxcdLamqqGmkZmU/HFucqCoqRE4PBYHhM&#10;wAWd0g0XcSRzPyvkRXd3yqh3pqoy7h2ZnZHvO93dLLI7w7a85wN5nuQRxIp7DEdmMnTWkITmzpsn&#10;c+bOlVmzZ+vv8xcsVNkfb8I6l5hY6wWTJX4SRqsH69xcTFdIjIg8GuHJiicpQVvyCUc2D8rOhEQl&#10;KQzHQ0lZ4b57f25xHviyD0bo444oQ1Kee/55HZvvJ9L68o+fFJywc5c0b9I0nZxER0bK/zZyYjAY&#10;DFkXqCT4SfB6cHFnqiqTPZnw6U2n+AOQ2rmrJUHwk8dQMCivrE37nTIL5Zd7iS2OaDBhlNcHyssK&#10;VUZQSGbPmROshLtihUtSm9WngF+BNuDjJ09rKzBlAl+64Y7ciMmjE56cEL4dOZhEe0FXSKb0g5rC&#10;2kaUfphNAznlvMOXEsxQWaNKii//+IUIr169GpR93npLiTYRvyNOmjVukk5OCkYYOTEYDIYsCW96&#10;RTWBmLzxxhty7do1XRIfQgIxgCx4WX3R4iU6YZXH8Xzoir3bHNFwd7H4BnYmJOhgMzozgjiQHiSZ&#10;fUn7tb2UFW9ZpwUFBL8I67WwLe6IST5sf/HSpZp8+FvC7j2OLB1PX+PGSMjjH5BNiCck9LD77jl/&#10;OL8gv5BkPUfSFDdKP5ynPP6j1mRHUl544QVVANe6c6lR/Qbp5CQqPEL+4z/+w8iJwWAwZDV8n6aY&#10;MPiKRdpo32SK56bNm1UdCdo81ylR2bZ9h04AZVw5xlOSBUoGpRVaRVlzhbtdOjIwPWqcOqNllxMn&#10;T8nR4yckxd0JI9sH3RqscbPRERIUmXXpd8AkF6a3MlJ+3/5kHSvPwnNnzwelG1NInowIFJWgLZnv&#10;nlZwVVPc+cC5B8GN35kgW915ydRfyj+QW38e7XDnEUP58EWhAE6aMFFqVK2WTk7C84fJv//7vxs5&#10;MRgMhqwGDIS0A9OyS8cNJZxAIVmsykVwJxrnLu77JdUREOR2EgUeAV9OyRhXCJdQvOHx8pVr+rxA&#10;rj+vBEWnh7qkQRJBml++IpDoIUBI80mOkOA98O+T0eAKKTFi8mSE/64hKd5ES/mH8+oHI+1pJccY&#10;aVHu8KhAqNXL5M7fRWnGapSVvr37SIXYcunkJCxvPvm3f/s3IycGg8GQ1UCrMPV4pq0ePXZM7zwx&#10;o3Jx524UBYOl8lEuzqSNeydJkDBCkQSfTEggEBJMjigpeAco7VDSSdy9V+LcdvGbcIdLWQhSQjlI&#10;VRL3fJbpv9v7WDzZ4c8xSAplH0gvLeSYpOkew8+kU2nXr3dkZbUsdGS7b9++UqFceSMnBoPBkNVB&#10;dw4+E7pxmCNCHZ/umI2bNwdr0Bw9rhf/S2kqSUb1IlTw94CYXFKS4TsvNm3ZquUbfCV4SLjLxeRI&#10;2cYrMigr51kR+CcI0IOK2/f9fiPUNi0eXvAd+PMN0ow5GjVFCbEj05Qak5IPyq6E3Y5ob5Jhw4ZL&#10;5YqV0smJlXUMBoMhi4I2S0bCJycnq89ksbvD5C5zR9xOLa2gfpAAQiUHyINPDr7TAiKDvwT/SWBg&#10;TFSFRNdVWYOBlhHlO9TgSnlHVRKXVB52suf9/N33mXMX3X6c0mS2P/mQ7EtKlj17k2SvCx19fyQY&#10;fZ/ueUkjTqG2a5E1AnLr25M5Fznfxo0bL9WqVE0nJxGOnPyHkRODwWDIemCyJm3DcXFxskJVE7oe&#10;lqiqwYWdZHynRAwx8bV/kjtkg9o/a9qgjlCuQSGhhMPd6+49+yT5wEFNFpAStu9Hyz9McuKJCQkM&#10;0+6uxL2ycvVamTFzjowcOUYGDhgsffv0k/79Bsj48RNkwcLFsmnTFvXd4HFA3bkTYbPIGsH3w/cb&#10;mGkvuHPumEyfPkNq1aj5AzkJK2DkxGAwGLISfAvxF19+qRNfmVdCuzDzRRiKBsmAOJDEM4a/6GN0&#10;RSkhufs2z/hdu7TOTysw80roxPGL76FKePXh0hXKNkGJyG83VILJrOD9/F31Hkc4Fi1eJsNGjJJ2&#10;7TtJjWq1JLZMOYkpHiOlY0pLw/qNpFfPvjJxwmRZvnyV7NyVKAcPpeprvf8GsvOwlR+Lu4f/Tvw5&#10;y3k3f/4CqVu7Tjo5iSwQbq3EBoPBkJXgZ5swRZM1bFhELxgTvkjnl0A2SOD+Ao+6wWh47kJ9hwRG&#10;WYgHkjktxjvi47Vkw2RPLd0k7tbnMJ+EZM72fDIPlVAeVvBZuJPeui1O5syZL/0HDJZmTVtI5UpV&#10;pVjhYhJRIFLy542UsPzRUiqmnNSuVV/atG4nfXr3k7Fjx8ncefNlw4ZNqqRAzjzJMoKSdeOiO/cW&#10;Llos9erU/YGc2JwTg8FgyFqghRgz7PsffKBj6enOwQjLT8ywqAMoA/7OE2Jy6gwqybFg/ZOtW9Mm&#10;xq7TYDBW3M6d2o2TknpETqRNcKUEwnbUq5FFkvjFS1cdkdolEydOlU4du0itGrWlZLHiEh0RJeH5&#10;8kv+PGGSN29BF0UlPLy4FIouLiWKxUiZmNJStVJlad2qjQwdOlwWLVqihkv/2YycZN0wcmIwGAyP&#10;AGghZt0RxnunHj6sa9d41QSvCIvpoXaowfXUaSUlEBaUkh3xO7XN2A+8gsxQ0tH5JEePq4Se1dQE&#10;9oP9Qbk5dfqsrFy5Rrp36ylVq9SQYkXLSr6wIpI7b2HJla+45MofI7nCYl2Ud/8uKbnzFJQ8ucMl&#10;b+4wKZAvQss+TRo1lQEDBrmEt0QSEveoaZYyF9s3opL1wsiJwWAwPALw6+i89tprjnQcUnKi478d&#10;4di2I06nwNIGDBlhxHywFk4wop7yDSoJ5RzKP5R4mDNB0g88JdeyXJmDfYE4QCBQdmbPnusIRhMp&#10;WrSMhBesILkiqkv2qPryh+jm8odCLSVbweaSPbKh5ChQRXI7wpInbyHJkyda8uWLlkIFi0uZUmWl&#10;Tq060r5dRxkxYrQjdWvVV4NPJyuUrix+HEZODAaDIYvBm1+9z+TvaarJu+++K7du3ZJ9SUnBGiWO&#10;nNDyu2XbdlVHdFCa+331mrU6yIoyDm3BtAdDShglTqcOZQ2vGEBKiFAJ4mEG5MAH+0VpCRUIAkFJ&#10;Z8zosVKlYhVHNgpJrvAqkt2RkT8U7iK/LTFQfltysPy+WB/3786SLaqh5Axz5CV/KVVU8jiiktcR&#10;lAL5wiU6MlpKFo+RunXqyWi3vc1btv2IoPC+QVzXybnWgvzrhZETg8FgyGL4/vvvlZT89a9/lc8+&#10;+0zecaTk5Zdf1gX+jh07pqoIZth5LpYuXy6r8ZBs3qIKCt02+tORFZQSprySgI+fPKXmWFSSrKgS&#10;eFICScC0Splq2454WbZilUyaMk06dugspUqUljx5HDkpUFmyRzlyUrS7/DZmmPym1EhHUIbKfxXv&#10;L78v0kWeim7hSEp9yR5RU3KFVVQlJW+eCMmfN9wluIJSKiZWWrVsK6NGjZXlK1bre0HaUJF0KJh7&#10;f4aCMWjuwqXLIffXInPDyInBYDBkMXjzK2Wc119/XVdqPX7ihComLL7HujaMrJ81Z47MnTfPXcQX&#10;qVpCGYfF1Q4cYqT8KfWgUBbxBlcSf1ZVAiAn7B8dQpCFNes2yJSpM7Uzp2XLdlKlcg0pVLCo5MFn&#10;ouSksfzBEZGAnIyR/9QYLb+JGSG/LTFYfle0hyMpbSRHRD3JlT9WSzx584RLvrwRLskVklIly0rt&#10;WvVk0MAhsmHTFp3lgk+Hn8x28WUyTMWh9tcic8PIicFgMPyK8CUcCMlfHSH5/PPP5YMPPlBScvPm&#10;TTlz9qwuJ89aNqgjkBC/9Dy+E4gKRlfUEqaksiYOygNJHkLivSQ+QiWCrBAQKC3hxO3SIWqjRo6R&#10;zp26ScOGTaVihWpSrFgZCS9Q2JGTIo5slJWc4VUlmyMovy/c0RGRXo6QDFJi8ptSo5Ss/LbEUPld&#10;sV7yVKG2kj3SEZSwcpI7bzFHUqJUQQkPi5LiRUtKk8bNZfz4iepBiduZoISE7iaIHu3W+F0o+/hO&#10;qFD7bvHgw8iJwWAw/Eq4nZiw0jDlm4uXLrmkmKrLx2/ZskXJx+o1a1wCdeHICSbYdRs26HySXeon&#10;SdY7frp0KN2QSL2fJCsTkowBoVq7fqOWWjp37ioN6jeUCuUqqsJRuFBJiQgvKvnzFZK8eaK1tAPR&#10;yJW/jORERYmsL38o1M6RlD7yX8WHyH+WGpumogxLK/V0kmwFm0iO8Mra4ZMvVz7Jn6eAS3bRElu2&#10;gjRu1EwG9B8sixYvVWKCR2ejI4KsL8Tk3YMpEL4zWhILte8WDz6MnBgMBsOvAE9M/uGIyTd//asO&#10;V2Ol4VOnT+uCfpARpr/OmTdPfzKifsXKVbLOJXBMr9zVc5ePl+TcBdaQwUvy6N3ZQ6AgUqgmU6bO&#10;cKSkkZQpFStREdHaCpwnT2TQeeNIRZ48RZSY5M1VwEVeF/ndcyIc4YiRHBF15Knoto6g9JbflByR&#10;RlACkvJfJQbL74v2kOxRjdQomzeX267bdl5HUArkj5ToqMJSq2YdVWu2btsh27bHOfK30R3rDbJ5&#10;6zY1GtPhRIksoxIV6vNYPJgwcmIwGAy/AnwnzudffKGrDOMrOXzkiC4fz2J7LLqnJZv163WOSfyu&#10;RPWTMESMO3kmpqKUQEy4o8ev8SgmTFQevDHxOxNk+LARUql8RSlUuJSERZSVnGHltTU4R3gNF9Uk&#10;V4FKkjtfmYCg5HYERSPKEZeiQamnQNXAi1K4k5KR3xXrLf9VrK/8rnh/F/3kD0U6SrbI+rpdbTd2&#10;xCcsX6REFCgosWUqSNu2HWTsuKddUlyinTyYilFPUKnwoODjySpTcx/3MHJiMBgMDxmoJt70+t77&#10;7+taOQmJiTogjYmvrJUDOWGKK0kRoyYJnJINyZGEDiG5fYrro5gwz567IIcc2VqzZp306N5DihYq&#10;IvkKlJRcETUlW1RTNbU+Vai9+9lKlY+cBapLrnwxkid3QSUmeSEqmF0hKbmj1fyaI6Kue25TyVaw&#10;pfzBvRZPyn+VHCz/5QgK3TzZCjZz23FEJy+vDUbfF4oqLpUqVpXmzVoqQUE9wcODz2eJ+z62bt+h&#10;Kx5TfuL4GznJ3DByYjAYDA8JGT0mGF/ffucdeeb6de3CWbN2rSxfuVKWrVihs0swuO51jzObJOMc&#10;jlAX8kc5SPasfrxw4WLp0L6DFIyIdOSjlDxVsIkjEt3ld8X6qOrxu6I9gzkmBVtI9sg6jlxUdM8r&#10;K7nzlVCTbN7ckS7C9ffc7vFcYZVUSdFyjyMpvy/SVQ2yOg/F/Z4NopOmoEBwwsMKSdHCJaRi+UrS&#10;u1cfWblqjao5KCh4fPD3sPYQqhWE6hkzx2ZqGDkxGAyGh4SMismf3nxTzp0/7+7O96piglqCz2Tr&#10;9u1pqwIf0TZWiInvuiFCXcgf5WCeyPYd8TJ9xixp3aq1FAyPVNLw+8IddHbJb0sOl9/SHszPkkMC&#10;9aNoV/lDoTbahZM7fwXJg5KSp6iWe/LkxTBb0EW0ml8ZZ58zrKLkiKyrr6HU87viAxzR6ehe31hy&#10;FajiXlNS8ueLloiwKClWuKi0bN5SpkyZ5ggjJbUdOi9muyOLm7dsVbPs8ROnHsvvIiuFkRODwWB4&#10;SPjn998H80v+8he5fuOGGl9Xrloli5cs1dZg1rxhvRu8JJRvnoQEeOTYCZ1iO2XKVGnRvIVEOXKS&#10;o0Al+V2R7vKfpcbJf5Ye7+Jp+c8yQWibcMlhjmT0lacKtVNlRFWU/KgorKvjyAlGWTXMEvkkb273&#10;WL7S2tWDegLZoYuHCbN4VFiTByKD8sIk2ZrVakif3n1l5szZsmXLNjl89LiSEhQtCArEMWObdqjP&#10;ZfHLwsiJwWAwPCT8/e9/l48//lheffVVOXGCpLxVPSaUdEjQKCbHTpxMV0uehMTH52UtoFmzZkub&#10;f1FOhslvYkYHBAVy4n7+JmZk0B5ctIcOYftDYfwoLdRnkjOskiMpMWkL/2GWdcQkVx73M0Ly5C3m&#10;nlNLfqdTZZkoO0z+q5gjKIXaS47wWu51GG2LSP68BaVkiTJSu2ZtR1D6uO9nha5DlLh7j2zYuEk2&#10;u++MLqnTZ88JKz8/jqW2rBBGTgwGg+EhgJLON998o505Fy9elL1792oZh3IOrcH79idromZc+qM2&#10;o+SXROA52auJqEO79hIdESW5wso6wtFSflesn5ZzAgXFRalRadNfu8tTjrz8oUg3LfP8rlhPNc7m&#10;iKwXGF3zldSyjhIUJSe0JBfUzh9mnqCc6LC2kiPULBsYZKu615WWvI6gFAiL1nV4GtZvIDNmzJSj&#10;x44rcYRAEsxCYa7MmXPn1QsU6nNZ/LIwcmIwGAwPAZCTL7/8Um7euiUHDx5MH0O/avVq9TRwd+6N&#10;r6Eu1o9rsJ6NduuspVunpxQtVFTyFSgjOaIaOALSyZGPgfKfMRAJBqqxuF9HyRbdXLLzdzW6dlHj&#10;LCoKZR4eh6DgNcmdN5iVouQkd7jkDItVlQVCw/Z+U2q0TpbFaJs9khkoFdI6f8JcMswjVStVlnHj&#10;xitx5DuitZi1iyjx7E3ar2TSBrNlThg5MRgMhocAyAlr5Zy/cEE2b9kia9asEVYO5vcDh1LSSzlP&#10;WpmAtlxWH2Z0/KBBQ6RUyTISHlla8kRWl2xRzbRLByKBwvFUdDPJEc5ifhVUXdHpsBH1JFvBVu7v&#10;PbTc84fCHdRbEhAUWo4hG+FKOHLlKyE5IusoweG5kJPflKRMNFDLOzkLVNHnQkxIhhXLVZAhbp+2&#10;bN2ug9ggKHTsQFAgKiwVgDco1Oey+GVh5MRgMBgyGb59mPH0R48d07VxaBlmAil34UePn0z3mDxp&#10;BkuUItSH5IMpusZNjeq1pFjxClIgsoIjItUdaWgtvyvWw/3E/Fpbcuen/beUixKBAVbnmtTWNXZ+&#10;ixelSHfJpiUehq1Vkjx5ijvCwUyUcMnNujxhFR3paSi/L9pNfhMzXD0tv40ZpSQIT4rOT8mVT5Nh&#10;+dhy0rdvP20r3u4ISVLyAdmXtF+H4uE/4d9GTjInjJwYDAZDJuO7775Tv8mbb70lh1JStDOHLh0G&#10;e5HgaBl+Uo2VeGv47EeOHpf58xdK505dHUGpK0WKlHVkoqSqGdmiGgRqiCMhOQswKbZy0GGTv5Qw&#10;HRavSHZHLJ4q2MKRmA7pZIZ5KMw8yZO3hCMpjL8nijvSUkE9Lf9VfICaY7UDyP2erWBTNcbqcLZc&#10;+aVcmVjp1au3LF22QuLigxH2qFysu4PqxXyWc+cvhvxcFr8sjJwYDAZDJuPbb7+Vv/zlL/LyK69I&#10;0v797qK7SFhdmEX7GEOP7+La9Se36wO1CGPs+g0bZfToMdKqZSspVdIRj1wFJLcjFLnyl3ZkxBES&#10;yAmmV9qHw2s4ckKHDVNiIx2hKOFIR2X1ofy2+CBtGX6qYDP3uiqOoMQq0QnG3qOgFJLsUXXl93Tu&#10;lBwSeE/cTzwrOcNruefH6PMgJz179tJW7/idu9RjghF246ZNuiI0398ZBrKlKV5PmuqVmWHkxGAw&#10;GDIZf01b2O/FF1/UoWuQE6aOBq3Dp+T8xUtPxEyTuwW+E2aITJw4Sdq1bSdlYligL5+SjzyUcMIq&#10;OnLiSElEfUcgakuuAtXcY+UckSimikheFxCU7BGOdBTpqsQDHwm+lRw8Vwe1/bCYILNR8LDQ+UN5&#10;h9ZiDLg5I+s70lPWPS9CypeNlT59+uqCi4m79yqBOnrshLYTU5bbuStRTpw6k+4VMnLy4MLIicFg&#10;MGQyKOl89NFH8txzz8mePXuUnOA3oaRDwntSBq7dLTKSk/Y/IicFHTkpmYGc1JNc4dUlNy3DPEao&#10;glJY/SK58pcX1uBBBWEWyn/RKqyEo6QqLCwWmCd3oLTkKFBZu3fo2PltzDAda5+DlYsd6YGcVChX&#10;XgYOGJjuL0ElOXHytOyI26ndRZAThsg9SXNpHlYYOTEYDIZMxldffSXvvfeeXL9+XRISEpScUMLY&#10;f+CQJmU6Vp5UcnL12nUlZympR2TpsuUywJGBRg0aS4lipRyJiHCko5iwEnFuyjrhNdNUk6qOnFRU&#10;ghL4T2J1yBplG8yyPIZ/5PdMgy052BGVlqqU5OY5ukBgpHtutHsuSkstR2K6yu+K91EjbU5MsQXK&#10;6GKAVSpVkREjRjoSkqDlt/MXL8spRyZ3JexWwgI5OeT2m0UZ72UxQNQVDMBeaSGedFJ6pzByYjAY&#10;DJkMFvlj+NqFixclLj5eFixcKOs3btRVbrkbp1vlSU1SqA4sbsggOvwm9es1kLKlK0hkVIwaWfGL&#10;qN/EEZJc4dU0cis5qeIISwU1xWrkK63BmHr+nZ0OniJdHTkZKr9PG1NP63HuvHTvRLgIdwQlSnKG&#10;lZNs7m/MTskZUdNt0xGTsGISHhYltWvWkkmTJisBOX32nH5Ppx0R2bN3n+4vnpPkg4fk+MlguYGf&#10;IieQEj4v3zlEh+1BVkxx+dcwcmIwGAyZDPWbvPSSnDh5UoevQU42bNqsw8eexJIAn9UH6wgxO2T+&#10;/AXSngmxkQUlryMNlGEgH5ARTKo5w6s7goJa4h6DqBSo7p6DYlJEVRPKOfp4GObXIjoNlnkmTJj9&#10;HfNPinRTgsIaPEpOdP2dfO61hXW7ucIrS778MRKWL0qiwqOlcHQRadqoqXYQQSS82sGKxIyvZ+Q+&#10;+82AtsNHj+n3+FMEk+1AZGgdR23hNU8yMb1bGDkxGAyGTMYnn3wiL7zwghw7fly2bNmi5GTT5i1y&#10;+MgxLQc8aXfPJHkSM2bgrWmL/nXr2l1qVKsj4WGQjeLq+2DFYFVLHBEJSjmoJXhNUEwww5ZRPwqr&#10;Egeln3KqjuSIqC5PRTeX3xXtI7+JGaVmVwjKU9GthRWK8+aOcsSEKbB5JV/eKMlXIEYKFq4opctU&#10;k+puH5o1baH7g/+FFZM9MYFEsN8MX0vcs1fJCYPZaC9GDfkpknHm7Hk5eCg1jdAc15IeigvbDvX8&#10;JzmMnBgMBkMmg8X+bt26JUeOHJHNmzcrOWGNFr/0PvEkkBOvlkDImGtCcp8+fYa0adlaypSKlULR&#10;pSWvlmkgGSgmNQNSooSE0g4dOrQGl1YCo6Qkf2yaghIMZWMRPxYDZNViSImuy1NqrCMpI+T3RTq7&#10;bVZz5CTakZMCSk7C8oVLZERhKVWqgtRv0FS69+gtEyZM1sFrCbv3yvGTwXfEfvMTMsFSA6gnOi02&#10;Pl72JiWpEvJT5ITv24/B5/WoKKgpT9qSBfcSRk4MBoMhk/HBBx/ItWvX5MCBA7Jx40Z30V0k23bE&#10;yclTZ0JemB/HILmThDW5HzshW7ftkNlz5kqP7r2kQrnKqmDkyVfckY/yqpAwx4QIyElFJSgoKbnz&#10;V3TPK6XP1S4eFBONGO3awT8SEJNguNp/lpkQROmxOuJep8DmKaqlnfx58kvRQoWlUsXK0rxZCxkw&#10;cLDMmDVXNmzaoj4TX3LL+Bkow9BhhXqSsHu3ksxdjqRQnvqpWTWUczDXMmGWNnLKQagnbNMTt1Cv&#10;exLDyInBYDBkMt555x05e5YujwRZu26dDvDCs0DnR6gL8+MYJN4LFy9rQt62PU4mT54ibVq3kSqV&#10;a0jhwmUlL7NM8lPKwfRKGadKQEa0nJNGUJjeyuj6/GVVLQlml3jPSawaWp8q1Fb+q8QgHUv/m1Jj&#10;M5CTcY609NSVi/PkLenISUGJCIvQxf169uwtU6dOl1Wr1zqisVdSDh+Vs+cDo3LGkgufAbJCCQcT&#10;L8oJXTsoISgsP1WegcCwojHfPSsxH1Az7SklbE+KenavYeTEYDAYMhlcP7Wkw4J/a9fK8hUr9Q6a&#10;UkCoC/PjFiRekjoTVvnc8+bNl84dO0uxwkUlf760OSZqaKWUU1sVk3RvCQSFDh0UlXzFtB1YiQlk&#10;xZGTvHkiJG/eaPfaio54NAoW9VNyMkInv0JKNNzvTI1lzZ08eUu71xWS6MhC0qxJU5k1a7YjGqwM&#10;fTLdAwTR8D4Tr2oQ/M0bWyEnkE1Mzrz2p8gJisu+/Qf0GCTu3iN79yXpSHw6gCAovnsHBeZJJypG&#10;TgwGgyGT8dprr8nBgwdl/fr1staREwgKd84YJENdmB+nINkynh/FhBIIiknXLt2kevU6EhHODBPM&#10;r46YhKe1CqOcePMrrb/5Mb/iKymTFrQLU9aJkQLu9dFRhaVgVFEJC4/R7VC2eapgE11b5/dFusnv&#10;ivd10U9LPU9Ft5WcYVW1VbhgZDEpU6qsdO7UWZYtX6EqBtNeIR6Uc1BO2G9+hzhAriAqnmjx3eEf&#10;YY0kxtkz1t4/J9RxIGhHTj5wSF+HoRaCwnlAa3KSIy10bx07fkLfl+MWahtPShg5MRgMhkzC//zP&#10;/2i8wpo6SUmyevVqvdMmme3bv18TYKgL86MeXmUgUaNEpB4+qlNVMb+2bd1GypYpJ9HRpSRfWCnt&#10;ysnpyMgP5tfAX6JqiXpMyqjZFUKiSgrTW/MXlwJh0VKkUDEpW7qslC5VRgpFF5MCBQpLvvzFJI/b&#10;bs7wKpIjqqGWeZgWS+SIauD+VsaRosISU6K01KpZWwYMGCTrN27WIWuoIRAUSi2UbZj+yu/4QiAt&#10;KCP+c/FvSMbylStl3YYN6kG5dOVq+nNCHRe2w2wbCAmB8rJt+3Y9J1SBcb9DVPDkoKKE2saTEkZO&#10;DAaDIRMAKfnv//5v+d7FSy+9JImJie4OfbmsW7/eJaQdOryLu/JQF+ZHOXzyJrmSjA+mHFZfxvRp&#10;M6Rbtx5SsUJVRywKO8JR3BEPSjmhza/BeHpUEzpz0shJ/lgJiygnRYrGSvnY8lKvbj1p376DdGjX&#10;Xho3bCQ1qlaX2DLlpUjhkhIRVUbyRVRS0pNDFwysI2HR1dxry0u5shXca+tLp46d5emnJ8qmLVv1&#10;+ziYkqptwXTS0O7LTxQRr6hkLNtAuiASq1av0YF6vJY1klA87kxOzun7oJgQlHc4NqxSjQ+JqcEM&#10;djvs3vOS236obTwpYeTEYDAYMgEQk3/+85/y3T/+Ibeee07i4uI0Ca13d9nxu3bpnTYJL9SF+VEO&#10;iAkJGn/Fnr1JsmrVGhk9arS0bNFSKlWspubXfGG0AENMMppfKztCwnA1yjr4SZj4ihelrCMp5dNI&#10;SlEpXKi01KxRTz0rY8eMlWXLVsiKFavUNzJq1Bjp2LGL1KheW2JiyktkwVLuNUHpKG9YCSlarIJU&#10;r15P2rRuL/36DZQJEyfLgoWLlSBsj4tXoyrmVv8zmGGSekdyAnlhmB7lKhQRyBiP34mc4DHiNTsd&#10;AWH0PWrS2nXr3T4s0pWPmX2ji0EeP6ElolDbeFLCyInBYDBkAiAnf//73+Xrb76R6zduuAS2NZgM&#10;6xIhHRuUDfAyhLowP0rhlRISNwkVNYhkvmffflm+fKWMcQSiZYvWUrJ4KVVMmMIK2cgVxoC1mi5q&#10;BN4Snf6aNqbe/V2Hq6m64siJ+1v+8LISFVlMKpWvKJ07dZHJk6fKRkcMMKLSkr0/+aBL7ltlytTp&#10;0rVrD6lfv5GUj60oRQsVleJFikupmNJSu1Zd6dKlh9unp2XuvAWOGGxQ1QRyQXvv1u07NGjzhqxA&#10;TlB+IBW3kxOUITwiqGA8l3WS/NwSjkfGY+QjMMQmK/EheK/Va9amkxP2AWXl5OkzcsXIiZETg8Fg&#10;eNBANWHBv48+/lhYUwefSTB8bWua+fK03mWHujA/CgEp8cQEUoJ/Bn/G3qT9muzpyBk0aLDOD6GU&#10;ExlZPI1slAuIiaomQQTmV1/GoU2YoG04WCeHCa7FSlSQ6tVqS6eOnXSiLCsYU0pRs2paCelQyhGd&#10;n7Jg4RIZO3a89OzRU1q3bOXITCfp06ePEqX58xc5grhF4ncmqoqBMkIpB+UjPdy/2TY+lFNnzirh&#10;uL2tmPek5BO/M0GVFj43/77bpFiOD+Uc1uVhPze740RZiPNiydJlEr8rQUmrGWKNnBgMBkOmANXk&#10;088+kzfctZM1dTA8Llq8WHa4u2xGl5PEHrW7Y09IMqolfAaSKRNf8WCgBEyeMkV69eoldWrVlqJF&#10;iklERDHJq+bXtFJOBIoJHTmoJQxXo5Tj/q3m1yLaiRO0EVdwvxdXA2uVytW0y2fK1Gma2FEpIHfs&#10;B/tDMuffkBTG4lM2wccxddq09JJJ4u69SjjOnL2Q3oXDa0IF5tagtTfowPGf2x8LHke12b1nn/pE&#10;IB3JjuyccPt19ZnQxAKDbdzOXeot2bhpi5aElq9cJfMdOaG9HEUNlYb3vRPBeVLCyInBYDBkAv72&#10;t7/Je++9J8/evCkHDx1yd8irNUniN0DeJzFmvBPP6pGRkGDWhJDwOSAl+5MPSLxLuvgnWMW3e7fu&#10;ajiNKVFW8uePdoSjhHblqLcEjwnmVyUnlR0JQTFxoS3DqCVMfcWT4l4bUU6KFisvVSpVlU4dOspU&#10;R0w2uaSeknpElYu77SMqBZNb6aRBycF8mpzmC+HvnnDcvo17DcgQBCnJfXa6bti+dtocP3FH1QNS&#10;Sglozdp1slpjrSxbsUK9SJBXSkOQJl5v5MTIicFgMDxwfPPNN/L666/L6TNnXPJK1CS0ZNkyvTum&#10;TPAoJaCMSR9VAU9ESuphVQ3wSTC3BeI1Y+Ys6dWzl9SqWUuKF4uRyMiSkpfVhTNMfk2fX4K3hH/r&#10;MDVmlwTm11xhFSRXmvk1umBJqVkDn0hXLeVs3xGn6gPEKBSxYz/9vpLkWVgxkX3cvl2NyHHx8fpY&#10;xrklt2/jXgN1BHJG+YeZJewbBI226TuZWXlvjhcqydJly7WUw8/l7tygxMNkWo4vn+2XEKfHIYyc&#10;GAwGQybgyy+/1JWIGb7GBFHaiFesXOnutJM1eWXl5OMTPMG+kjBJ9mfOBSWTg4dStIyxeetWTbSz&#10;58yRcePHS//+A6RxwyZSwhGTfHkLBsSEThs8JlrK+VfzK107lHG0qyZ/GUdOKkreAmUkIqKolC1V&#10;Rtq1bSdPPz1BVRkUE1+KofTBvkHySOa3B89DJSHhU0pDudqwcWPQDeM+g/d1/NzvgfegNIcawjZR&#10;Z3zXzp3ICdNgMeBC5DDBzl+wQJZqe/kGLQ2xX79knx6nMHJiMBgMmYDPP/9crl+/Ljt37pQN7q59&#10;1RrmYWzSO20SUKgLclYIT0zYR0gAHgjUCkyiqD6ULzCAbo+L084jyMmUqVPVY1K/Xn0pW7aiREaW&#10;SDO/lndkI609WCfAUsrx5RxvfmXqq/uZtngfbb8FC5aSMqXLS4P6DWTw4CGyePES7YphH1jZF18H&#10;HTrsGyQD4oQalTEgDvwd8kApbe369VpOgRxQ7uFxCAyf9eeQAV7H+9CZRAcOxwKSgTEW4hTqNXT+&#10;8Jx58xfI3Hnz3M/5aoilc4fP5ktOoV77pIWRE4PBYMgE/PnPf5aLFy/KunXrZI0jJiRHEjpj3LM6&#10;OSFBkmBJ8CgPlC3oMFm5arUqQJheaeMl0a5YuUomTJyka9REueSRP3+htFKOIyYFqkvO8FouKOek&#10;mV91RD2KSazkzlvIkZGSQSknrLKaX/Pmzi8li5eUOrXrSLdu3WTGjBmqSKDU4OnY55I/Pg9abtk3&#10;1AYIAiWWjMFjBN0v7D+GWPZ/8dJlssL9ZAaLLw/9XHLCMWIbtDFDfCBqvBekLtRrUFUgI7Nmz9aA&#10;oKzbsFFfzz4/aj6kzAwjJwaDwfCAwFTYf37/vfz9u+/kgw8+kFOnTsmKFSs0IdFCvHvvXjVqPsgE&#10;lFHpIFmSGH3wGH8L9Tof/J39oRSBEkDrLOPTDx5KVRWAWR90mGzbsUNJAkkeYkJrNHf+o0eP0Umr&#10;lStVl3z5olT5+MH8ChFhyFpG86sjKY64BGoJJKaU+1la8oWXlUKFykjpkqW1y6dDhw4yZOhQTeKU&#10;dHhfgsUT2Q+8G5RrUEVQQtjPUEF7Lq/jO6CcgmpB19SWrcwUSVECc/FyQAruh6TwXK8uMe+EDhyI&#10;GuUZSB3Hk23yHK+w8Dc8JpTBKOlA9DDIouLwHF7zc4jS4xhGTgwGg+EBAXLynSMmX371lbYQHz58&#10;WBYtWqSJMW7nTjmYgnR/7icJw/0EyYwkSIJl1gjkgi4SShr+TvxuCS8jMaHTJGl/spZtKFOgBkBC&#10;KKnQkcJckCR3l0+ShaCMGzdemjdtJmVLl1digXeEduGcBVhdmHH0VdIISTDXRH9PN78G/pKgfbio&#10;SzxFpHxsJWncsLF06dxFhgwZIhMnTVJystAdQzpagliqLcKYSUnuLNqHYsEaN6GCvy9avMSRgYWq&#10;VMyeM1dJFUQCkrMvKVmP1b0QuduD53PsaE/e5EjT6jVrtOyFmsPx9OQF9YaS2AZ3LCFG7Af7xTGG&#10;APr3v1+C9DiHkRODwWB4QICc/PWvf9XBa889/7xL9PsDX4FLWsj9zMU4d+HiAyEn/s4dvwV35ax2&#10;S2KESND5wWh0P7U0Y3sqCdATEhInZQlKCvhK8E54YkLypouE3+lCoV2YJItnBtVi/vwF0r17D0dM&#10;YiVP7ghtF6YdGF8J69n8QE4cAQnD/MrvzC3x5tfSSk5oFy4YVUJKx5SShvUbSA+3zREjRsr06dM1&#10;kbMPJH06gnzwbwyurAiMyThULF22TEkNRGDO3LlKclAs+D54HHJDeQr1BaPq2XMXVHniGHFs75Uk&#10;cCyPnTipJTvWTeL4cYwgKBiIGbbHtFyICTNNeO9FuozBRlV8GNwGiQy17Sc5jJwYDAbDAwIj6zHC&#10;vvb663L+wgWX1HdqcqQswZL43CGjcDxz45eTE5LoKUcq9rrEh/eDVtsB/QdocmfOCL9PnTpdVq9e&#10;qy2/wXtf1UQIIYG0YNDkzp3SCK2wBOSGhM3kUwgV3g4WoqNTBgLEZNaJEydJ+7btdWJrocIoIRAT&#10;PCYYXwNPiZIRLecEpCQwvqaZX7WkEyO5HUlhjkmN6nV0kittyBATfCaUw1iPCPUJ787Vq1c1Ll++&#10;LBfcsT1z9qwOtzt27JgcPXr0X2Lfvn2ydetWJSpKUhxBYRIrhIa2YsgBxAuiRelHfR+O5EHaPEEJ&#10;ddxvD56rJRtHNCgfsT1IIh6ZvfuStLTE43Tl0EoOaUKRQn2CmGCC5T1DbftJDiMnBoPB8IAAOfn4&#10;44/lxrPPyqGUFJeUNis5YdVafAkQAxLRL5HueS1369zl45lY5cjH2LHjpHWLlhJbuowUK1xEiruo&#10;UK68tGnVWpP9smXLlWSgkEBKUEkwlXKXT3kGFYIyg18xmdZYShUkTsoTBMPWUFDmzJmnKwEXK1RU&#10;wgsUkbx4RpSYoJjUUYKS7i3hd8bTh8UGagkdPLQWF6goecNiJH++SKlYvpJ06tBJRo4cKU9PmCDT&#10;pk+X5S6Rx8fHy4kTJ+Tll1+WL774QofaEV9//bX85S9/kY8++kjeefddeeONN3SeDPHaa6/Jq6++&#10;qnHlyhVJTk6Wje7Ysz1t23XHAe8Pc2f4LJAxyBZEBVKBzwaVyROUUMee4G+EV6CY+6LtxG4bKCSQ&#10;xYD8bFRiyvtyHlCOYvAaa/dADO/2Xk96GDkxGAyGB4Tvv/9e3n3vPR28hmpCsichkfApiUAoSGi/&#10;hJxQnoFgoJgsd4Ri+LAROgukaeMmUrdWbalds5b+bFCvvjRu2EgVicGDBqsRdK1LmhhBMbjucMk/&#10;o1rCT+7ytXzjiAimTsjUGUdQ2PctW7bphNbu3XpK9Wp1JCyscHq7MOoIigldOWp+DcP8SjmnQkBG&#10;wspqOSeY/FpaF/FjrZzKFatI2zZtZczoMTJ37jxHfILyC8rGoUOH5MaNG/L+++/rUgAeHGP+zZA7&#10;ZsnQFfXZZ59pfPLJJ/r8N998U1WWvXv3ympHvFBhUC5QSgLidVRXhUYJSkjcowSF4HdIJKUYxtdD&#10;GjISEr47XwpDLcGjwzA6tkkpDeJBOQwvDOUoVJug/BSUoDY6sopKRdswRPHy1V9+PjyuYeTEYDAY&#10;fiHwmminzj//qUZYxtVDTNQrsW6dSvwYVTMmu1AX5LuFfx0qBmvEYAwdMniINGrQUKpUqiwtW7SU&#10;Pr37yNAhQ2XE8BHSr09faez+VrF8Bb3Ad+7cWYYNGyaTp0xVgyh39xAUEiuJGo8EZSIS7wX3HtzR&#10;Q05ofY6P3yXTp82Qtq3bSLnYClIY82sY5tdyaebXmmmkBLWkSqCW0J2D+TVvCUdMSgdEJX+s+72Y&#10;REeV0JIQxldUH+aYsD8oDPhDKMecO39eVRHIB8fVA3UKgsJjmI8hKj7w+6Bc8R2cd6/fERenJR2m&#10;8/I9xO/apcSLY4hqoUPaUo9oGQZzLIGqgekXcuZNqnxv/A4x8YPd8JFA8ijZ4F2hXEPZCIWGCHwt&#10;SwNSsmmzKjUYijnOvHdGf0uo7/tJDyMnBoPB8AtBwiRZ/vVvf5MXX3pJdiUk6N0zRtgt27ZpUqKT&#10;JtRF+F4DskDC5K576dJlSkJat2ot1SpXkaouICZz58yVlStXy9q162Tu3PnSrUtXqV6lqlSuUNGR&#10;gerSvHlz6du3ry7MR9KENEE+2K5Pwj8k4itq4N2+fYcqGj179HLEpKLkzxeslYMigq/kB/NrGjmh&#10;pKM+E/d7mvk1ICflJSyinEQXKiUVy1WUju07KFHCmIqiATEgyZOQEhMTdU0ilBAUEsjI3QAx5Dnf&#10;fvutvPf++3Lz1i1JPXxYyyrekIxh9YAjjZAvf0z5zHRPUfJioUBf4oFIeAUFwsZz+B0FiefiF2E6&#10;Lt4RymF0EUFG1Oy6eLESFTqFMO/yvECRSdXyDwQn4/dqETqMnBgMBsMvBMTkq6+/Vh8E5YRt27dr&#10;gmLRuYTdQUfG+YuXQl6E7zUoA2C6JJkPGjRYFRNKN63SFJOFCxfJ3r1JqgwcO35Cf1+4YJEMGTRE&#10;n1NJCUo1nR8yZuxYLTXgsYA0ZSxh8JN9ZTvbd8TL5MlTpEO7DlKtai0pXLjMDwPWML7eZn5VguIX&#10;8MvvCImaX2NdlFLFpEjRWF0rp3OnzmqqVQOpIz8QAoiJ78qBWOAhgZigjkD+7gZf6sGLQpcUyhVL&#10;BkDAIA74SYJSyo/JAZ+Vf6NqsSYOBmCe6+eooKIwvTWjP4WhabSGo8YEbcwr9H38LBZKZJRuaB2G&#10;lNIJhFqC4oISBfHL+L1ahA4jJwaD4YkDd9pe7fju79/JX7/5q3z15Zfp8fVXX7vHvtE78X/84x+a&#10;/Hi+L9/cDhLoJ59+qkbMkydP6h07kj6j0rnTDgZ93f8dc7qK4S7UtPlS/hg6dJi0aNZcypUpK/Xr&#10;1pOBAwY6ErJQ9uzZJ5fc865DMFAEHJnZuTNBFsxfKD2795DYUqWlbOky0qpVKxk9ZowmU7wrPNcT&#10;E++p0KX943bKnLnzdMBamZiyEhFeVPKFlZLcDFhjJH14LReslePNr2mzTPKXUy+K+lHcczG/5g8v&#10;LZGRRdRj0qVzV125eO26DapOMKk1MI06Mrd+vZZi6HRiiF3G4343cPwxzb7zzjvq9+H4sz0/zRai&#10;QLeS9/z448tn5vjyOH+HTNCpFJSYlimx8Qvz0WlDOSxQSBZrOzDzVXQkviMlmIvpzvFtxGyP8hGK&#10;F+/hlSkr49xbGDkxGAxPHEh43GljqHz/vfflhZu35MLp03L21Ck575Lb1cuX5fnnnpPXX3tdPvrw&#10;I+0QIQGSLEMlSkjM2y4xXr12TZIPHFAFwE//xDRJKYEkFeoifLfgNYH5NUmWLl2uxtaWzVuo0bVh&#10;vfrpisnu3XvlyJFjal49fvyk7N9/QO/8ec2EpydK+7btpGSx4hLrCA0+j5mz57gkvFPLOf69SJzM&#10;YKF0sXXrNpk6Zap069Jdza9R6WvlOLKRNlCNFYVRToISDgQlzfyaH/Mr7cV08ZSS/AXKSLESFaVq&#10;lZrSqUNHbXlGKdmVsFvVDMopK1atUjK3fccOOXL0qDz/wguqgtwr+H7efOstPf77ktyxckTCK1e0&#10;CeMRQbXISBDSiZ8jY8w4obzFoDlKTKgilIPosMFHAkmBnPA4qgnqCeoKg/UwEdMmjm+H7/p0BlKS&#10;kQhZ3F8YOTEYDE8cIBlfffWVvPfee3L92jOS6JLigukzZPbkqTJv1ixZ4RJRvLuDP3r4iDx36zkt&#10;12C2RGkJRU4oP7z8yiuaWFmWH5mfTg3KMEHZ5Md37PcaJDlmlCxZstQRkyGqlNAu3KxxE1VMFrmL&#10;98GDh+Sy2z6L4dFpg/lyliMfo0aNloEDB6kRtm7t2lK4YLSWdiA46zds0jZktu/fi/0juZLMZ8yY&#10;pW3IpWPKSnR06UAxSZ9jUsMFJRzUEoar0aHjCAqlnLxF3U9vfkVBKSYR4UUcwampismUqdNk2/Y4&#10;LaFATPC8sL+YeyET+5OT5ebNm/q9cEzvFZ9++qlce+YZJSaoJhhSOf6UV5QcYm51ZMETE68SQSAo&#10;t6S675l9oQ2Y/eD1GHM9OdEWYEc4UUgwz6KwMOKfMhEED4MryZTymCclvBeR8fu0uPcwcmIwGJ4Y&#10;QEpQQFBMXn/tNTl98qRsdXfBU0ePkV5t2kmXlq2ka/v20rdXbxnnHps3Z65s2bxZUlJS5NLFi/LC&#10;rVvy1htvyAcuef7508+U4KDAfP7FF2rg3L3HJTiXHGknpVTBaPSMfo5QF+FQQYLTMoMjG3hMWJm3&#10;Tes2UrN6DTW4esVE13E5e07LObv37NXWYkomAxxx6dSxk7Ro3twRmrpSvWpVqVi+vLRq3kKmOxJG&#10;GzKKDO+DenDh0mUlN/g/Zs2arebXiuWrZFgrB2JCuzDEJCAnupCfKiaVHRGBjDhSko/JrxCZcjr5&#10;tUiRMlKpfEXpmKaYQETwYGAwhZzg4aDsgsrEcWMtorffflsH2XFc7wavfvEd4E+BGDJXhtZdyATv&#10;RUkNAubJoZZwUErOX9TjqwZXRzR2JgTr70AqMbQSECY8JWvX/VC2obOJ/cf/g+LCNq1Mkzlh5MRg&#10;MDwxQPnAm8AcjGOHD8vcGTOlb+cu0q5eA2kcW0HqlI2VquXKOwJQRerXriPNmzSRju3aS59evRxZ&#10;GS3LFiyUxG3b5ERqqly/ek3ecEmRVle6Si448kJyJMGRcDFk4qmAAPi79VAX4VBBhwhlDxIkSkeD&#10;uvX0Io2xlRZhiEmyIy7HjjMh9YTsc2Rj7px50r9ff+nUqbN0aN9BmjdrLjWqVpMKseV07knHDh10&#10;LRySNkSEpE1y5ScLz6EITJk8Rdq7z1ulck0pXDhWza/BIn54TCjhQEq8+ZXhanTksKYOhKSskhh+&#10;z+tICubZmjXqSedOXdRU64ec0fXC+6NUQOI4XgxK2+OI3fXr17Wcw7A1vqu7AS8Qx57v8tKlS9oh&#10;hTcEcgLRoUMG1cQTMH6icBw/cUr3g3bswIy7we1DMIQOfwmhXTaOOHFM8PpgaEYpwTuEUuKNrfdL&#10;Oi3uPYycGAyGxxqUYbz5FW/Cn954Q86fPSsr3d11Z1pxi5eU2pGFpEH+SKmTL0KquCif30VYpJQv&#10;ECWxEQWlXFRhqRNbXrq1bCXjhwyVJXPmSpxLtsePHpPnbt2SF154UQ4ePKjeBO66MXaiatDxAgEI&#10;dfG9PUhygYpxRT0MEBPMr3hMMLPWc2RpgCMfCxxBQiW5fOWq+hswwjIBljJPwwYNpbYjIqxRU9c9&#10;H9NsmZhSaqAd//TTquawbD9loCvXnnEJ+5omcEygrJXTpVNXKVu6nE5+zRcWox4SJSYRNVUx0dkl&#10;6eUczK+QEeaY4EeJdeSksnpMoqKKS8UKlaSzI360C6M8YBKFCAVllKPa1bJgEYsirpZdu3apasKE&#10;V/w7dzPB+u8TAoMBlu6oAwcOKMkgmfEZIRUH07pzUEqY2wKpwOiLGoUKgu8FxSajUgJRwgyLVwhS&#10;gg+F/eV7IfguCSvZZH4YOTEYDI81SGbI/14xOeyS1hKXiAf16Cn1K1SUmmER0iV3pIzLUVAmZY+W&#10;iS7GZi8oQ7NHSb8cEdI5R7i0yllAmoYXlmaxFaRFvfrStX0HGeLIwJQJE2WFS2zr3Z33IrfNSZMn&#10;6+Jy6zcGq81qN8z1eyMnJD+eT/dKuvm1RUtp0qixko2+3vzqiAlr3ZxxxCQxcY/Mmzdfn4viUddd&#10;yKulzTWpVL6CDmfTjp6BA5UEkJgpZ5BgMb8yxwRFAwLRtUtXqVG9rhQsGJNGNnxXTqCaBKUcVJM0&#10;86u2CNMqTDmnlEae/KV08isD1ijlBMRkqyoVkK5ApTmmLbuQA7wdrHrMWjjPP/+8ent+SjGBmKCa&#10;8H2+9NJLkpqaqq3bfD5UD4yqlGo4RpBD3g+iQkmGluDNW7Zohw1qCd02vI59YfQ8HhWGq2FuPX7y&#10;VLpfKNT3ZZG5YeTEYDA81iCZoZhgsmTRuIWz50jbps2kZqnSUikiSprlLiAzchSSg9lKyIVspeT6&#10;U6Xk8lMxcjRbSUnIXkxWZy/s/l5Q+ueKlLphUVI0sqCuXVO6REmpEltOGtWsJe3c9np06iwDBwzQ&#10;tWE2bNqsngqIwL3eYZO8ISaYX5n8CqkoX6asduawiB/m1wMHD8lVR2Io+0A0uHizyB+khJknBEPZ&#10;ihcpqt05XNh79uolcx2BYWE7yIFXACgJ0Wkye9ZsnfxavEhxKRhVUvIVcERDFRO6cWo5MpLmL3Gk&#10;RDt00syvefIWUULCysK5HFnB/Jo/b4RUqVwtML86YoI6wmJ6vlOG44Hfxfs7MJvu3LlTyzkQE74n&#10;fEF3A39HNWES7JWrV2W7IyaUc4KSzholGKwSTBmG9YMgJL7chhfFD0sLyjfrHDnb4Yhksnb04CU5&#10;j7n1sje2BqWbUN+XReaGkRODwfBYg2T23rvvyplTp2SdS1D9XDKv4YhJ9fwR0jZ3hIzJGSXx2YrJ&#10;LUdM3nqqrHz0VKy85+KVp8rItWwxcjx7CdmdvagszV5IhueIlNY5wqVJzgJSz0Vtl4xrRRaSOiVi&#10;pGG16tKqWXM1q+LdWLFilUuMCYLpEgMoCc97FLxPgZ8kQcoPlBGY/EpXDuZXfCIE24OY7NqVqF4N&#10;ShS7HamAxIwf/7T0dn/n+c0dQUJhQTmhlFO5YiU1xU6YOCnwmTiSwHtBUCixbNu2XWbOnKXm1yoV&#10;q0uePJGBYqKzSdLMrxE1f0xOKOeoasJYevdcJSexkj+ivBQtGqv+FjW/Tp4qGzdifj2q7+nLVXhb&#10;KJnQ+QKRwGyakpqq82EgJihckMm7gefg8WFBwKPHjqk/hLIMZAOvD91AHEu6nCBHlHnwttCFg7kY&#10;bwnPw1NCZxKkjeOBSRaVJON3lPG7sni4YeTEYDA81vjHd9/JrRs3ZJm7W+7arr3Up+wRGS1tckfK&#10;zByFZLcjJpeeKiVvOmLy4VPl5BMXH7uAoPzJPfbHp0rLs+7v558qKQeeKiHbshWXZdkKy3RKPzkL&#10;Soe8UVK/QEGpVriolHekBxNqiybNpG/P3jJt6jRHDLZo106w0FvQZuoTHonwzLnzOl+DAWuB+bW+&#10;Lt6H+RWPCQPWUEwgJqgd+5L26yJ5kBZ8JigU06ZNl+7de+iFvIYjSbVq1NQF/0aPHqOJec/efVqi&#10;CMoqP5hfUUwqV6omRQqXdUSjhCMarJXD6sJpComSlDuZX9NISp6iUqhQKalZM5j8qubXrdvl8JFj&#10;cs4lfJQe7QZy5AjSQAkFlYNyDiZYzKx+cT+I5J28Jh505+BNOXvunDtuiUo6KA+hijAvhVH1rKND&#10;ucaPloe4oJywOjTkCPUmmEtyUj0lECe+G1NJsk4YOTEYDI8lvHGS+SQn3R32QJfMYwpGS8mwcCmf&#10;O7/0zBkhW7IXlSvZSjkCUkbeVdUkICefaZRPj09dQFg+cPGmIy0oKimOpKxzJGVc9kjpmCNM6uTM&#10;L6Vy5ZWY/AUkNrqQ1K5YSbp17CSTJ02WVavW6J08nSLM3KC9mLt0SggYVEmerJWD+oHqQbtw3779&#10;dPw8pZ5nXNLkYr3fJfeVjmwMHzZcu3Eo97CODgPVeIxSEMSkmdtOnz59dSVijLn4LvCY8P6UORYs&#10;dEStSzeJKV5S8qpiwlo5FRwRYRG/Wmlr5QTeEm0hVvMrpRuGsdEu7MiJezxfgbISUaCwlC9bTlWa&#10;KVOmqSKBX8OrDqgmQetwqo6CZ/4IhIJVm8+cOaMKCB06tysmfH/E9+5xfCi0gENgKP9QzmGmCSZY&#10;iAnzSCAhDEnj5zz3GEPU+BslHO0I2hSsCAwpobzkS02mjGTNMHJiMBgeS3AXziCvDz/8UPbt3Std&#10;O3aUQo44lMiTXyrmyidtchaQCTmiZF32wrLfEY2LjnC88FRpeduRFIjIJ46Q/DlDBASlvBKU1xyZ&#10;QU05la2kKi9rHEmZlj1ahuSIlM65I6Vx/iipW6S4NK5STVrT/turj0wYO14WO7Kxbcs2nb+BmhIX&#10;v8vd8Qfm1xZpk1+bNmqcPsdEF+bD/OqSO0ZYzK8jRoyUMaPHyETMuCtWSnLyQS1NMAm2aZOmUqd2&#10;HWnSuIn07NlLGLee5AgNrbDM51Dz6+Qp2t5bowbm15JBeUYHrKUZXxm0pqUclJPKSlB+ML+mrZnD&#10;gn75Y6RYccyvtdJKOT+0C0O6fJJBkYAc0SGzdv167ZBZs2aNzo754x//qN4RCOTtign/1g4r9x1+&#10;9tln6hlileJnrl93hO6g+kjYFsSEgWl+WBqqDGZX3guiBCHCgMsxRzWiw8l7Skwpybph5MRgMDyW&#10;ILGR1F555RXZumWLtHEkITx3HimRM49UyplX6uV0BCVHfhmYI1zmZS8o8dmLyGlHNl5yBOXdp2KV&#10;hEBIiB+rKOXUl/KBi3dcvOHIzPPuNaeewkBbVObliJa+OSOkcZ5wqVIgSkoWLCSVy8RK41p1pFfH&#10;TjLNJXFKGyggTHIdMmSoLuJXvmys/hzQf6ASE0bQc4E+feasdp/gMYG0tGrZStUYFJETJ09pWzAj&#10;62fMmKnek3p162lLcbdu3dVjwVovEAb8Fbxfu7btpESxEjqSPpj8yhyTQDEJyjcoJvhLAqKSO1/Z&#10;QC1xhERLOS5QWsLyRUqVStWkS5fA/EophxKJH06WnmTcv5moivkU8rDUxWZHLM6fP69zSvyyACgn&#10;GSOj8fW111+XG88+K2fPumORnKzEhG2hjkBM6JBCJUE1Wb12rXbeQEhQSfwUV1+6QcmBlBCmmmTd&#10;MHJiMBgeS0BOGGtO2YApry2bNZcC7gIHOanoyEl1R05quWiVM7+MyBEpi7JHy3pHULZnKyrJ2UrI&#10;+adi5MWnyqjvBCKCkuKJSkZFhcCrgoH2arYY2Z+9mKzIXkjGZ4+SXjkipGmOMGlUIFoaFCkhLSpX&#10;k17tO8rI4SNkyMDB0qdbD2nfqrXUr1VbfSY9e/QMJr/uStQSDGvlsG4OCgir+LIaMdNiV69eq63E&#10;12+4O3+XYPGi4G9hnkmN6tVd1JDWrVur4RV1Zv36jepLwfzKGjf580VriUbXwlFfCeSEUk5V9xhq&#10;iSMnGhARfCYllZygnIRFlJOixcpJxbTJr5MnT5VNmzY7InDkR6QkPclATpIPqHE1Izm5ePGiTuqF&#10;nKCc8DtkkrLNu+++qzkHZYWx9Czmd+jQIfWYbNnKVNk1utYNsXwl7cBrlPBt3rpNp73+MKMkWOwP&#10;QmJE5NEKIycGg+GxBHfeeBkoBexwd9KtW7QIyEmugJxUdoGCUscRlO45wmVsjigZ6khKV/f7QEcs&#10;lmYvLIcdSbn2VCklKIEfJTQ5wafyviMwbzqC8kK20nLJkZQj7rXbsxd1pKeQjM4dLZ3yR0ujgkWk&#10;bulYqVm1mtSsVFlqla8g9SpXlRaNGkuP7j1k9uy5WqZBLUENYcDa/Hnz9W+YX2fPnqOL8rHI3w13&#10;Ab956zldVfjQoRQZP2580H4cGyuxZctKvbp1ZfjwkY7sLJZxY8frMLeKFapI4cJlJS9kI00xCRbw&#10;w/TKgDXKORCUSmnlG55HKYcF/ejQKSrR0TE6D4XSEF05TFmlXML01VBlEsgJbdUsqEfJBYLCBNdz&#10;58/LXz7/XL76+mv5+JNPdOG+F154QYeqMZCN0g1khMUAMc9CbvCrBGWbVWp6ZdVnOqIwuKIQ0RmF&#10;8RYFB/OvV3FMJXn0wsiJwWB4LAE58Yv77d2zR7p17iJFIyKlVL4wKZc7r8Q6klLKRQUXzXLml245&#10;C7ifYe7xvFLL/XtozkjZ6AjKAfwojqC84IjH646k0MVDWYfyzu0kJWPwPMo9lIo2ZCssY7NHSocc&#10;YVIrRz6JyZlHirso6d6rUuGi0rJBI51tgleCuSCYZlmJmE6bkSNHqSIyaOAgVSjOX7goly5fkStX&#10;r6VNP72kysSEpydIk4aNtJ03pngJbSVmBWIISru27aVksRg1v7JWjp/8+oP5Nc1bAinR0g6dOfhR&#10;WMjPkRP373zh5SQysqgjP+V0deGpU6fJ5s2YX0+HTPw8Bim46PaVMf74UVA4KL1Q4mEtHAgJ8dIf&#10;/6ik5MSJE2p09UPVMLMyRZaSDZ4SfsdnghF2e1yc7HXPxU/j17oxAvL4hJETg8HwWALfAt0dqCdn&#10;Tp+WyZMmSZP6DaRqqTISE1ZAiriLXbSLoi7K5wwISUMXEJSujqiMdeRkUY5oWeBifvZoWZtGVJ7J&#10;FiOvOqLyoSMfoUiJD5QWFJcXHUE56wjKPvfaNdmKyOTsBaV3jghp7t6naq58Ui48UqqViVViQcfO&#10;KkdQKNvg4xg+fISaXzGx4lHB3IrPhLIP/8bwmZJ6WFfVZdG/4cOGSeuWLXU6bJmYGKFzp6EjPpUr&#10;1ZAonfxKu7AjJjrxNTC+BubXNAOsLuDnja/8LOteU0rX2ClWrLxUr1ZHu3LS18pxpAPF5PbE4okJ&#10;Hg/mh9Cps23HDlU/ICeoJ8HaQyk654TViFFJICUQj7XueZRuCJYC2Lh5s84sodMIYzAeFj4zXUG0&#10;YqOS8F5GTh6fMHJiMBgeS/hW4r9/+62WCzZv2izDXfJv5khA6aLFpGD+MDXIUuqJVJKSRz0o3XOG&#10;y8icETLBkZOpLoa43zs7stLfEYqF2QtJks5FiZHXlaAEM1FQUW4v9/AYf4PE0AGE6nLDERUIzipH&#10;dEbliJKWucKkcp78UiYsXMoWLS5N0wjK0CFDpH27dtKmVWsZP3acxMXFKwk5cvSYqiSsr8PKw/hQ&#10;GKbGePbNm7fI3LlzpX+/flLbkZKS7jMWK1xEChcsLJGRxSRfGCWaWMnpSMjt5teAnNAuHKvdO+ox&#10;UT9KRX1dVETRwPzauasSE0gR5RPml0AKKJ34wN/BYygmEBMGnEGqICeYVRfR6jt/viYeSjSMkOdn&#10;MCRtqZIXyjfrHEnZ6sgKxl88JHQbodIE81p+mOLK+/nSTagkZ/FohpETg8HwWIPyDkO+zrs7bIyx&#10;T48bJ21d0q9SsZIUiiqYfuELd1E+Zx5pkTNMejuCMtyRkomOnAx1P3s4csJjo3JEyszsBWVDtiJy&#10;yJGMK0+VUhUFwyxEJJQfJWNQ6rmZrbQcy1ZCNmUvKlNyRLvtRkhT955MrK1bJlb9Jy2aNZP67qLc&#10;vElTmfj0BE3uDGLb4kjBooWLZOyYsdoqTKmH8sq8ufNUGUI56dqlizSq30AqlisvxQoVkbC8YZI3&#10;T4TkycO4+dKi4+bxmkBI0syvWsaBjKhSgsISmF/zh8dKseLlHTGpmmZ+nSIbNm5W5QK1AnICAaE9&#10;l64YVhzG98FkWHwm+/Yf0BH5qB4sqId5deHixUpOKNNg9KVMQzmLqa08h3kk23fEudft1vcJSAkK&#10;yQUlJOYheTLCyInBYHisgXpCN8hHH34kL77wguxPSpIF8+ZLz+49dO2a/O6iR6CgFHIRkytPYJJ1&#10;hARyMjVHlK6tM84Rk+45CkjzHGHSN0eETMkeJZsdSTmXLSa9o4dunlCkxAcE5m33PDp7nslWSo5l&#10;LyFbHUmZ6N6jS64IaRgeLRWLFlffSK3q1ZVETZk0WUsZ+E0o8XTu1FlbilmxuG+fvtoaTAsy3T5M&#10;p2U1YshNY0dyypaOlfCwCMmXxxOUQkHXjY6o9+3CjpxgftV5J/hL0khK3iISFVlcF/HzigmlnNQj&#10;x1TBYJAZa9hQXqHVGY/MrsTdqpBgYGU0vU5pXREMXYOU4BnBR4I6gmLCaHkW6lNTa9J+bXlmlWS2&#10;T6dNRpWErhsjJk9OGDkxGAyPNfykUQKSQmvxkdTDMn/uPE3+5UqVlqJRBSUyT15VTyAqJR1BaZIz&#10;vwxGPXHEYW72aBnnyEjTHPmlZM48UsORl3aOpIx1j23NVlTOOoKC+RXi4Ufgh1JRgsmzQRmIcs+b&#10;2YL1e5ixMt29T48c4VLTvW/FyEJSM7a8tGzSVEtRK5atkJkzZkr3rt2kaeMm0qtnLxk3dpySFHwl&#10;JYoWk9IlY3RWSp1atXXeSSv32Wj3jSwQpeQkX+78kjd3uCMdEJSSkqdAOckbUU3yRVaWsIjSEh5R&#10;QiIKVpDIIjUlumg1KVq0jCNJ5aVtm7YyZsxYJRMMjkPFQB3BR0KXDFNXUToo9TAefqUjJJRnWO8m&#10;YyxeslRVkh9WAd6mY/TZJuoIZSLUGAgI5ONuESqZWTwewffLgot4iRg6CNk2cmIwGB5rsNQ+s09e&#10;cQTlcGqqLF64SPq7BN+wZi0pEREpkbnzpiso5RxBqeeIQrucYdLHkYZOOQpItZx5JTpnbint/lbd&#10;/d7K/W1gjgiZnaOQ7MpeTK5mK6XTY99/quxPdvNAYFBbXnPPZRXkg9mKy+psheVpR3i6542W+tFF&#10;pUqZWGno7hy7tu8gfXr0lH59+uqsE9bMmTRpsvTvP0AHrlWrWk1aOzLS130WiEsH9/xGDRtJeUcu&#10;ChUsJAXyF5D8ufO5C3w+JSh58xSUAuElJapQBSlSvKoUj6kupcvUkvKVG0jVGs2kbv1W0qxpazW/&#10;Dhs6TAe8MWKfdmBKNKgdrLxMGYZyDISD0oz+TAv8JfhGNm7eomoKRITBaPhHmNaK4hK0/p7Wko2Z&#10;Wi0IyClqWerhozJ9+gypVb1GOjmJCCsg//Hv/27kxGAwPF6gxANBYQVcrml08WxwyXVgr95So2ys&#10;lIwsKAXz5pMI7tJcQETKORJCmaem+0kLMOQl2pGTYi7KuqiaK6+0zllApuYoqB05DGKDoASD2wKl&#10;JBQ5QVnh75R6mJGCwRaj7d5sxZTstM0dKbH5wqVURJSUiS4kjWrWlgF9+6nHhBILqw0PHDhISUnL&#10;Fi1lzJgxsmTJEv17t67dpF69elKxQkUpUay4IyjRElUgQiLDwl1ESFR4lBQtUlJKl64g5SvWkirV&#10;m0jtem2lSbMO0q59Z+nZs7cMHTpcJkyYKLNmzVZvCNNmUT8wtKKEILkHsUj/vXT5cjWyUs7R7hoI&#10;yW1mVobKQUIo0UBEMhparWTzZAffPecAJTzKhbv37pOnn56g60x5chKeP0z+3ciJwWB4XMH02M8/&#10;/1z+9MYbctYRlLUrVsqIAQOlZYOGUrZoMYnKk087ecLcBbGwIySlXZRx5ARCUtA9FqU/82iHTxkX&#10;tXPlk145w2Vm9mhdTBDDK2vvMNoeAhKKnNwetB5DUBj6tscRlJnZC0mPHJHSMGeYvnfVkqWkVZOm&#10;0tsRKRYFRDVhcT+myg4YMEDHuG/cuEmJwrBhw6RDhw7SpIkjHXhRmBpbrbrUdHehtdy/69Sqoy3G&#10;zZq1lFZtOkq7jj2lc9cB0rP3QEd4BsvIUaNUmWHo2yJHQCjpoIwwd4UBaCgka9atV+UENYVhaNt2&#10;xGmrL+sB4R9RdeTIUe3Wybjyry/bhEpQFk9usBgm58mRo8dlz74kVeZQ7So7gp1OTvLll3//t38z&#10;cmIwGB5PoKAwNh0F5f333pPr167Jvt27ZdK48VLPJfGiBcIdQQk8KKgoEBJKPZCT4i74ncf5yTC3&#10;Grny6oyU1jnCdMrsMkcskrMVl+vZSunAtlBk5PagDMR6Pu84QvMca/VkKylbHUmh5ZgW59gCEVK2&#10;SDE1y0I4mjVrruvnjBgxQqbPmKGqhR/tPmPmTBk5cqQjMX117Ztu3bpJr969pV///loWGjp0qM5Q&#10;GTFylIwaPVZGj31axo6bKOMnTFJFZsrUqTJz1iztqlm6dJkjI2uUhFDO2REXr8bXPfv2azcN69cw&#10;IRYvyqkzZ+XsufPawcP8EwiJb/k1ZcTibkFpjym/lP+YdUM3F0Sc892Tk7C8+eTfjJwYDIbHFRlN&#10;st9++60uLvfSiy9K/LbtMqRvP2lYo6aUK15CCqYRFEo5/CyURk4Ku98Z4MYgN/wnFR05qeJCjbI5&#10;w2SsIyirHUFJdQSFIWxvOcKBMhKKlPigzBMEJKWsvPFUGbniyM3GbEVlUPYIaZ4rXCrnCZNS4ZHq&#10;RWFUPcRj7NixOkEVcsJYeJQN/g3B4G/Dhg93BGS0Ix0TZdr06TJr9myZO29+MHWV7hk1qy7Rjppl&#10;y1doqDriSA7dNJs2b5HtOxwhSdgt+5L2y4GDKaqI+I4dSAgE5Mq1YJVfyMfdIlRisnhygnPAl3Ag&#10;rbSjU+5jijDKm7acr1gpc+fOk149e6rJ28iJwWB44kCJ55tvvpFPPvlEnrlyVeIcQUFBadmosRQJ&#10;K5CuoBD4UCjnFHHBGj0EZIX248qOnLDScVtHTvrlCJdJOaJ0qmyKIyiUaiAooUhJqPj4qVj1oeBd&#10;OZ8tRnZlKyZzchWWHnkLSoOowtKoQiVp5vava9duWoJBOYFs+C6ZufPmKRGZPHmykpIpU6fJ7Dlz&#10;1R8C+UAJCcyqm7U9eHtcvLtjTdSZJEjqSfsPqCrCrBL8Iiyix+KCjNanxdcbWH2Lr/eNGPmw+Kng&#10;HOFc4bxhmQZa0znnWKMJczUdXRBtDNisJ8W8Hk9OClhZx2AwPElAQYGksCrua6++Kvv37pORgwZL&#10;bPESUjwiMl1BwYNC4DXBDItqgoJCeYfFBJumKSddcjBRNlzbkJfliNZOnD8+VTqDOhKalPjg759m&#10;cyTFxXvZy8ufcpSXY3ljZXZEKelRvIx0rllbOrRuo4PYhg8fLk9PmCBTp01TVQTvCURkzpw57ucc&#10;9+95Skr8XBFafmn9ZfIq3hAICOQjmC3ivSE/EA7ucn149SPUY0SoZGRhQfhzxBMTCC7lwF2Je9S/&#10;BBmZv2ChkmxKk7SbjxwxUoclenJihliDwfDEAR8KCgqtxs9evy5bN26SkYOHSCuGmRUpKlG0GaeZ&#10;ZKNc4D9BMaGDp4wL1uep6qKlIydDHDEZnyNShrvokzNClmcvLFefKqXm2DutbJwxPslZUT4IqyJv&#10;R9eSV0vWk1vlmsih6s1lUb0WMrxFaxncuasM7NdPho8YocoIHhNq9DptdfUavdgHRtUtekcat3OX&#10;qiIMStt/4JAcSkmVw+6Ola4IJrtmXMUXUpKRdNyeZPibTzC3ExgjKBZ3Cs4TljRgmjDn3t6kZNkR&#10;v1NJSHo5cfVqVfTidyVot86kiZN1sKAnJxFhYdZKbDAYnix49QSj7McffSw3n70ph5KTZeLYsVKn&#10;UhUpnC+/RKSREwJDbDEXKCbMP4l1UcKRlGY5wmRq9oKyIHu0TpKtkDOfjHT/Pv5UTPpaPHciJ15V&#10;+TBfZXmraG35Y6WmcrVBeznZvqck9B4oSwcPlyljxsik8U/LpEmTtHSDUoJnBEl889ZtjohwYU9K&#10;myWCN+SUrtrLneq58xeVhHijasaWXpKHJxp3IiY+yfA6b3j1JMXIicWdgvOCcwSPEsQY8oGK58uQ&#10;KHt0g23Ztl1LPCgqJ06eljlz5kqdmrXSyUmkzjmxIWwGg+EJxd/+9jdVUCjxbNu0Sfp16yG1K1aS&#10;koUKKzHhQskkWYyxkJPajoDUJHLkkz7ZI2Rd9iKy1cXQ7JHaBjzI/TyYrYT6Tph/4mefpJdvclWS&#10;D/JVkXcia8gbhevIi2WbyLVabeRMy66S0r2/7B46SrZMmCQrZs7WCzkzR1gsD++ITlt1pESnre5P&#10;1u6Zo8dPaiLwg80gFHciDl718MTkp8gJScYv6Ecw2RXl5ZIjO0ZOLHz4c4nz77wjspwnrA+F6ZVu&#10;HMo4nMsYsSnj4H3i/GX5gnMXHIl2r7Hx9QaDwZABKCiMuv/zZ5/J+bPnZN3KVTJ0wECpXa26hOXO&#10;k05OaDFmBgrkpEPOMBnhSAglnCOOiBBzskfryPvx2aN0NeKX00bc++mxkJOPc1WUd6NqyOsxDeRm&#10;9VZyrmkXSenYR3b3GizbBo+UjaOflrUTp8qaOfNkzdLlss7dcTKlNSFxj45+Zz0aNayegJCgkJzP&#10;0EHzQ9nlTsTBKyEZVZC7vYbn4E/BMItnJXHPPtmffFBOnT5r5MQiPTiH8C5BXA+lHtGyIiQahQRi&#10;HSxlsCZdLUlxz/FLGGgXj/tp5MRgMBgywLcZs6Lx22+/LRcuXJBVK1dKu9Zt1JTnyQndO3TrMIcE&#10;n8lGR0yOORLy/FOl5NpTMbLe/btXjgIyw5ET5p4wv+RNR07wnqhiktMRk/Bq8lqZBvJs3TZyomNv&#10;SRg2WtZPnCxLp8+QeXPmyPz582XhgoWy0hEkVuxFIcHESqmGCzlkAlLwUxEqgRC8HjLj24J/qkwD&#10;6Tly7ISOomfwGt4WDLZ0XZCQ7vZeFo9/8P1z7nCeoLDRdo5asmbtOlX85s1foKUcX8aB5FJy9Oed&#10;P18hy0ZODAaDIQQwyb7//vty7do12bp1qwzsP0BHwhcvXESnVQaj7HNLVXwlOaIkMVsxuZAtRm5m&#10;Ky1nspWURdkLSZsc+WVK9oJyxP379eyx8nauCvJ+gSryerG6crNSM7lYr4Mca9Vd9ncfIHFDRsmG&#10;CZNl1ey5smrJUlmzZq3OGdkRt1MSd+/V1X8hAZ6YcIdJIgiVJO4pXBJgO9T49ycf0J++Y8cnittf&#10;w3vyHJJOQuLuwHjr9pF980kGknL76ywe/+B7h5QEnTiYXvcrgWVJAwyvQSlytZ4vnDuQbLwlrEDs&#10;1Tq/LVuV2GAwGO4AyMmHH34ozz77rCMHu2XixInSokULqVyxkhSOKihheYKFAss5cjImR0FJzVZC&#10;rmUrpXHI/T7NkZIGOfPLRPfzVPYYed8RE5SSPxWvI9drtpYjHXrLrgHDZeOIcbLSkZJl02bI0tlz&#10;ZKW7w9zkkj4qCUkfbweDqny5xvtIfqlSwWtJJNT6KRVRJsKvwh0v7xFq27wnBOTs+QtKaCAnDM6C&#10;POEX4LUQm9tfZ/F4BucIAbHgvIC4QkwoO9J5Q/kGpYTAtL19xw5Jcucbc3PwlVxOI7N+O367Rk4M&#10;BoPhDlDl5IMP5PqNG7J33z4dbsa6Niy0V71KNSlVoqQUdBfMMo6cDM8RJUnZistRR0p2u58rsxWW&#10;UdmjpLkjJ9PyFJHTBcrLm4Vry4vlG8vVOm0l1RGTHUNHyZrJU2S5IyRLFi+R5StXqvyNOZBWSsyt&#10;tPpiNv2lRCRUsD3KObv37FWSgS8g5fBRTTB3Iic8RiLi76gnlHR8uQnvCX4UktTtr7N4PIPzgXOB&#10;lYTV9HooNVDU3DnBYpCQEggK5zXD/ijjHD9xUj0lz9xF9TNyYjAYDHcAnpN33nlHLl68qMrJsmXL&#10;ZMKECbqwXu+evaVZk6ZSumQpKZ0nv/TKES5rsxeRldkLyThHVGgj7useY1rs4shScrx0bblRq40c&#10;a9NDdvUbIhuHj5HlEyarUrJq2XJdtI8WyyQtrxxzF/rTqk6glFy9iwfkl8S/kBOXVDAv8hgE407k&#10;hIAsQZzYX4hJXPxODcaQUyq6/XUWj2dwLnCecs7Swr5l2zYt3UBIaHHHW8IK1Sx9wHwTzi1G1t+J&#10;/PowcmIwGAx3AOTkjTfekJOnTkn8zp2yZs0aNfQRs2bNlsGDBusifOUioqVd3kiZmKOgDHWkpEnO&#10;/FI7V5h0yBslo8OKyooyVSW5Xis51qmPxA0dLcumTZfFs2fLwnnzdNYDrZUkdr2rPHlKSy3MJNGW&#10;SpfoGV4FWchoVL3bhf1eg20oOdm7T9UPFvRj8TXugCFFd3sP9oN9o5RDWYi7Yso7e/ft17HkD2L/&#10;LLJe+HMPcgrBgGhATDBIszo16h8DASEmrGJNhw6D/wJSEnhL/Dbudo4YOTEYDIY7AHLy6quvSmpq&#10;qmx1d4Rr167VMfA6W2TLNpk/d75069hZ6pavJI2ji0vb3JHSKGeYelDK5Q+XFsVLybAqtWR209ay&#10;oVsfLeOsmzRVljlys8LdWa5du07lb7oWICf4Nkj0rG1Dkt/j7kRRJiAMtApzhwpJeVAlHrZB6zEe&#10;AMoz+AQgSBAOEsnd3oO/QWAoAR1MOax3x8tWrJCdCYmaiDJD6bH4dYPvk+8Vkgwx5ZyklKezS3TR&#10;ydV6DhAbNqEE7tJhgJT6OJ9+Si3JGEZODAaD4Q5g3smLL70k+5KSVN1Yt369qgMoDUjUcTviZdyo&#10;MdKmUVOpWTpWSodFSJHceXQtnhLRhaRh9ZrSr1MXGTdgkMwaO14WT58pS5WYrEgr4+zSO07KOSgP&#10;mFK3btshGzdv0Rq9rjHiLvpbtwezIOjU8R0xJIlQF/X7DUy2eFsSd+/RfWHEferhI6rc/BQ5gSSx&#10;L0ePnVCfzIKFi/QzHD9xShPYgyJRFr9u8B0SnHOBWnJFCQfkGaKOQrJoyZKgRXj1al1Qkv8jmKsh&#10;Mf58vZ9zwciJwWAw3AGQk+eee052OhJBHR2CQhI+cDBF1YHExD0ycdwEadOshVQpV0GiI6O0i6ds&#10;qdJSu2ZNad+uvQwZMkSefvppmTlrVprcvVTVFzoZUBsgJqwxAjkhaBsmwW/eskVLLZu3bk1/Hhf8&#10;ZN779NkH1hHjZfk9btsYYlkQ0LcF3y2Z+GQFAaEMtMPtO1I++47ygqrCPt5PQrLImpGRlHDesyzC&#10;7j37tCWY2SUErcKr167VcxUizSwciAnnx/0SE8LIicFgMNwBkJMbzz4rWxxBwOCHaZTkjWmUWSPx&#10;8btk1MhR0rRRY13avWihwlKhXDlp2aKF9OnTR4YPH6EG2pkzZ8qiRYt0G4zrXuICgsLFHGVEyzo7&#10;d2lZhzIO8x8OuoAE8W9ICdI5C/mxqjBTYbkbDXVRv98g4XCHy/vw2SjvQFSYNnu3bgqSjScop8+e&#10;05IQEz/5HCg8d2tHtni0AoIB0YCE4h+BgNIWzLmM/2rFypV6bibsxlCdqucOz8/okQq13buFkROD&#10;wWC4DbQQQ0xYY+fKlSuqmKAKcKfIHeO+/Qd0Jghydu/efaROrdo6+6S8IyaNGjaU/v3762rBU6dN&#10;0xWD582fr8QE9YW6PEEiZ/EztklC524T0hGMoT+nygWBfJ5y+IiaVSn1QGogK1z8f+6FP2NcunJV&#10;kw6+FrpuUGsgQgzHIimFes3tARHheGhLsSM4eFDo5MHIa+Tk0QxPPCGYfL8QWIgJ6t7KVavSZ5eg&#10;BPK9a6nzaFB2vPrML+8uM3JiMBgMt8GvrfPJp5/K2XPn1AgLOWHVXy7CGzdtkYULF8vwYcOlcaPG&#10;UiG2nNSsXkOaN2smPXr0kNGjR+uKwZRyZs2ereUc7jKD0tBGLQ2RxCEkunrwkaN68YeUkAgoiaCM&#10;EJAQTKcoG2vXr1eSA1Fh6XkSB0kg1MX9XiNIPhe0FEPpiDtiOiyOHDt+z2UZfCt8DqaBor5g6D1y&#10;9Lg+/kv3z+LXCb53zkOIK54kzrmNm7fKqjVr0so4y9V/RUmS75vzh3OXc/ZBEFIjJwaDwXAb/v73&#10;v8uf//xneeutt+TY8eNKKrhDxKzKQndI2f369ZdGDRtJ6ZhSUrxIUWlQv74MGDBAxo0fL1OmTlXF&#10;BGIyZ+5cJSfcZbIdavIQDS7mJG8IAIFK4evz/xo39K6UO1RWc43fmZDeAXGv6sadgvcmCaF0oJj4&#10;pEPpypOfn0o2ECgSGK8niVEWYml87qJ5fajXWGTt4HuDtKKoQUAgrfMXLHQRrI2DWZvvmvOQ7zkw&#10;vf48f0moMHJiMBgMt4FyzkcffSSvvPKKthGzJsis2XNk/sJFjpgslEEDB0vTxk2lRrVqUrVyFS3r&#10;dOrcWUaPGZNOTJgmC6HhIo5XhTo9F3OWjWeWCRd+iEGoC3OooANmq9sGJSHKLygb3tcR6vn3GiQT&#10;9oNtYYhl+6g7tBT71mWSTqjX+qB8Q/cSQ9zo+oGcUKIycvLoBIQi47kAeUYR0bVx1q9XXwkzeTg/&#10;6MbhXMYYCzENzpEH+z0bOTEYDIbbQEnngw8+kOeff16Sk5O1JDNx4iQZPmKE9OrdRxo3bCTlypaV&#10;iuUrSLNmzaRXz576t0mTJ8v0GTO0nDN/4UJZs26dEgmUEsocGAUZrIZScb8lGSbGokygauxKCBKD&#10;HzMf6vn3Gj4pocLsTUpWYgKZouSE/8WrO6Fe64PPw+ejFZlps0ZOHr3ge0KF47vE44QPar07D5at&#10;WCmLHSnRpRXc+YznhBIeniTazTk3eN2DUEsyhpETg8FguA1ff/21vPnWW2qGjY/fKTNnzpKBAwdJ&#10;u3btpV7dekpKSpWMUeWke7duMnbcOJk8ZUqaYjJfFi1eop04XOC50ENKMJ6yCnCoC/G9BO3DdPPg&#10;e6EzhuSPH4C71lDPv9+A5LAuCuoMHUF4YkhClHuuXLs7AVJycuy4zkjxQTnAyEnWDk9MPSkJvEcn&#10;9btf485fvCWUcOguo/V9R3xATDwp/qUlxbuFkRODwWC4DV988YUOXzt69KgsX7ZcBg0aJC2bt5Ca&#10;1apL2TJltZRTv1596dC+vQwdMiRdMZk9Z45201DCQYWgpZYLOarE/ZRwQgWJHpmdSbKUX1iO/vDR&#10;4yqrh3r+/Qb7h5SP4Ze7Ywa/8V6YdZVYhXiND/5O2YlVin3wOpKdkZOsG5ATSAbnECoZ699s2x6X&#10;TkxQDPmdc4Hzgu8Uog2RgZhk5ndr5MRgMBgy4H/+53/k008/lWvXrsnOnTtl0qRJ0qplK6lUvoIU&#10;L1xEB63VqlFTunbpKsOGD9eWYRQTb3zFtJqSeljLIf7ukiTwS2VvykFsl9IJ9X71rxxK0fcJ9fz7&#10;DfYTIuXblrlTXrtunRINyNXd9h/1BoUFU6wPb/g1cpI1w6smEBMUOMguZRwIAa3vBKWc7XFx6Qqa&#10;95b48/mXntN3CyMnBoPB4AApYb7JP/7xD+3SwWsybdo06da1m9SoVl3KlCotsaXLSJWKlaS1IyuU&#10;ebQzZ8pUJSZMyGTsPF4NLuQQE38hD3Xxvd8gieDrIIkgu2NUZB0eFJVQz7/f+CFRnda1djZs3Kh3&#10;zZChIDEFd8uhPg+qC+SJJOeDNXu4wzZykvWC74vJwAwShEhiYqaUh+oXtL0v1xk8TP1lWjAdOZwb&#10;mVnGuT2MnBgMhicenph899136je5efOmrFixQtq3a6fzS0oWKy4xxUvoCsTt2rSVvn37yZixY9Vn&#10;wjwT2itZkZWJriRmlIYHSUwIEj1JgvH1GGNZMJDyDl6UB/E+bMMnLdQTxuYz04I2UhJY4JsJPcOC&#10;z4ovhb9njDuRmV8SbC+rR6j9/rUj4/5xfmoZzhEPJgLTUUYnzsJFi9RjgvqHqdmXJYMyzsNdisDI&#10;icFgeKKRkZh88skn8srLL8v+pCQZPWqUVKpYUY2vxQoXkXJlY6VZk6bSp3cfGTFipEycNCm9nLN0&#10;+XLtyvEJPDOSMkoMiYKEATlh7gR3trQleyL0IN6TfYcEsZ4Qk3Hxz6CeQFh8meZhJikf/vPx/uwj&#10;RIpjQuL8Ia5o4r3g7vLPu31lf1F07j2C16ASsK0fb/uH4H0J9oF98cG+EaH2/9cMf9zYZz4b/hLU&#10;MT+GHkKCYhLMuFmv3zfGWI4Fn/HX+L6NnBgMhicanph8+eWXcuP6ddm+bZs8PW6ctGjeXIersYhf&#10;tcpVpGH9BtKubTslJyNHjlTVhFkm3HGSxLnYk+B8kgp1wf0lwTYhPrqmjyNClJFQaxjORtLhfR9E&#10;EuF9zp67oH4WCBfTbBmxn7hnj5Z3SFa/RgLOmGAhCBxrVCNWRKZTiOBYQKLoFEo+cEgNxJTB7jX4&#10;DvcfOOBenyKHjxxN327GOOaS9slTZ5QoMg/kBzITkJZfK5nfKdgXzg32jQnEqGB4ivhOmV3CDB+C&#10;FnVIL/6SYydO6ed6kOfV/YaRE4PB8ETCKyZMg/3LX/4ir7/+uuzZvVtGDBsmjRo0kHJlykhBdzFk&#10;ND1zTTq07yA9evRUr8mYMWNk2rTpKoMjicfFx0uqS4r4MriQZ8bFnG2SnEkaJBe6KZhJQksxyZFE&#10;8iDel/cg0VKegqAw0ZbJtlsdaaNbA1WC9/olbdGhwh833p+E6JURAlKGIsJnhxSg7EBESKR0keCZ&#10;IBgCB3HTbiNHqihNkYTvNfBdsMjjjrhgDL/fbsbAU0Q5hCSPikXHFCoDx8sTFvaVY3iJSCtx+c9C&#10;+YvPRlwl3Gcl+NyEPw6hjtH9hN8O78O+sG9+2ivqCOSWWTwQE8g1PiY+jz+XPCl5UPtzv2HkxGAw&#10;PHGAmHz//feqmNCZc/2ZZ2R3YqJMnjRJmjdt6ghJrMSWLi1lYkpJDV0zp7n06N5DRo4cJdOnz9C2&#10;YUbTQxBIgiSrk6dO60U91IX2QQaJjwTJwoGsBEuC5o6YMgTJLdRr7idIRHwOL//ja4EEsd4OygLK&#10;ASThQScstkciJZHz3pTI8EUweRYiwDFG3WB/SKQk2S2OMG3ctEnNuwT7SeKly4jQgXL8/R6C1aH9&#10;a/lJwvbbzRj4MZg1wzwYSBD7oWP73T6xb5REAhXmgO4zq0uz/ymHAyUGVcKbhlGiMA7zeZXMuM+u&#10;pOUXqhW8lm3wPfJd8b6Yp+m8weRMFw7mV6a98r0yOA9yjbma9/ckKdS2H1YYOTEYDE8MICUZPSZM&#10;gn311Vdlx/btMmzIEGnaqLGULllSyzm0DterW1eauMdatmgpffv0lVmzZssml5yQw6nRszorxkFK&#10;LZCGB0EOfipQZw4cOqSqAMmGpHPkGIuu3d84/LsFn4PkRmJDmcHbgj+BNX1IunT0/JzPSsK7U/B+&#10;JOhgdPpJNf6S7CEAEAK8EdzlQwiZWMpCjHglUK8WLPwhSGj8je+IdmgIzL0EI9khJnynzPcIfBg/&#10;3naw/eA9+DvvwxIF7A/lPYaV8VqC5I+qBtHZ5La9xZFYhvLxmfbs26/fG50wlKFQgjKqLqGUi/sJ&#10;vpsfiMkJVdrovsFTwnnL/uq01x1xjkB5cns1nZiE+u4edhg5MRgMTwwgJSgmlHIwv7704otyIDlZ&#10;Jk6YoKUcSjh05ahiUrWaNGnSRDp17CgD+g+QCRMmyrJly7W8wR2nlnTWrtMkSkLhwk5iCHWhfZBx&#10;+eo1La+gHsTvCpKdKjdp7cuhXvNzg+1huGX8PiSM2J8cvNf9JjGfNEm6HCuSIYoBd+uqkrgETVmB&#10;47l77950UoIXApUI0gDhWOnCJ/0Njnxs2rRJNpP8HVnb5kgmJRnKbIm7d7vkf0AOHzlyT3EoJcV9&#10;tmTZ6957lzuuO3bskO1uexmD7W/eskXVGpQVQtWWtWt1n/w++uDfPB6oMRuEDivazYPy0TYlfDt3&#10;JbrjmuSO8UEto0FWAoXlpB5njg3qCsQFky/nmi8VcRw5nhzXjMeW5/A6Sl+UvVCGlDy50MFqbn9Q&#10;fFDdUHAe9HnzIMLIicFgeGLgFZPPP/9cnn32WdnmEtq4seOkdcuWUq5MWSlfNlZbh+u7C2KDevWk&#10;cePGMmTIEL073rhxUyCJu7t3393AgmhI9iQKf6cb6kL7IINEQmmAO28/74RJrngf2I9Qr/m5wWeC&#10;QJx2d9aspUKZBTMovpP7/aw8n+1BSjCzQkZY+ZjPwZ09d/EkfpI4CR3lAV8ECZ7kDvmgg2j//v1y&#10;xJGJU6dPu2R9QZcYuPbMM3Lz1i154YUX5AVHOJnu+/LLL8urr72muete4o033lAV7eVXXpE//vGP&#10;wbZuC9Za4ry5eOmSnDlzRuO024/jx49LShq52ZeUJHv27AkIjiNKkFk+F8HngLQwR4QOL86lFSsh&#10;MGtV2eCzMwgN/wvkBcWK7xhSqCqLO14QF5QrlBaUEa94cGxp9+UxTyhR1jhHUUxQeXgfVtaGsFBm&#10;On32nBIZXhvqO/s1w8iJwWB47JHR/PrnP/9ZXnUJaJ+7Qx41YoQ0btBQKpYrJyWKFtNSTrPGTXSW&#10;SZtWraVN69YyefJk9RSwXgzJhQ6duUyDXbBAfQqoGA9LNSF4LxIT74u/gUX6CGaskGge5H6wreCO&#10;PDCnQn4uQ8TcPoR6PnH7XXzwuqtu3wKVhDt17uhJnphXKU+RNLmjJ4H6WRv8TvJGHUEJIfGfPHVK&#10;J/dCFCAT7777rnz88cf6nX711Vfy7bffyrfuO+Z79gEZvdfI+Drd1m3BatUsbcCikG+++aYGuZHV&#10;q285cgRJuuzI0gVHmk65fT18+LAcOHAgICyoQTt2qNKSUWHhMxIQCC0JLV0qy9zPZe6xgJitVwUp&#10;UFkSlFigXh1MOayENCgJnVNlhdIejyW5YwVpReGDWKOY8F7qj3Kv9d04fEd8Vw/r3L2fMHJiMBge&#10;e1DKYfIrSQzza8LOnTJl0iRp2ayZEpNK5cvrejlcCFs2ay5dOnVWjwktw3PmzNXkz93s0qXLZPbs&#10;2cGoekdOeJxE+zDvPHkv1Awkf4yXJC+S0L6kZH08M5LNDyTlh86SUM8jICSQGPYFLwPlCcbuQ0ZI&#10;rCgB3NFzPNe4fcecSfKEkJCcSaIkcEoou/fsUZUEheTGs8+qqvH222/LRx99lE5I8A1BHP75z38q&#10;Cc1MsH3OIwb10eFFsB+UCN9//315+513dLow+RIV5sUXX1TSwr5fv+6Oy6VLcvYsRt8Tum5Tamqq&#10;HDx4UNUgPmu8I2GqtGzerOUqLR2t36DHg++ZwOSrZSFHNDiO+IDoUsLUSrA4H0bpNWvXqfKEAsVr&#10;KJPxHUBm+G6yYiknYxg5MRgMjzVIKCQuktjbLnHEuws65lcUk9IlY3S9HBb0Qylp27qNtGrRUrp3&#10;7SYTJkwQWmhJnPPmL5DZjqRgiJ05a1b6OjrU8h82OYEYkFhQIvCaoDpgEkVF4e75p8jDzw0ISsYI&#10;9RyCfQtKC6e1dZX9wnBKSQw1gDv5BYsWyfwFC/W4+nVcICeUc0jO+/bt0wR+9do1Lc189PHHWor7&#10;+ptv0tUQSALfK8QTVSyziQnwChzv64P9yKi6eIWF8+0bt7/sM2SGYJYOn4MOsQ8//FDecWSGFnbK&#10;SDduONJ5/rySlkOHDklSUpKWhihnodihrHDMmEbMuaeBOTdNZQo8Jcv034H6tETJCaUiWqBRVFDc&#10;fAkyM86RBxlGTgwGw2MJEok3vyL9P//cc3LwwAGZNHGiNG3cWCqWK68D1vgJUfFqyZDBg9WHMtsR&#10;ESR2yMj48U/LuHHjda0dyjokUxIAxsiHTU68igEJwO9C8iFxJe7eq0PJfPIJ9doHEf79vUJCKQlS&#10;RMeSqiSHjyhp2r0nWN0YdQlfBZ0ukDpasAlWcObfHEsSLcmVMgZqQfzOnXLgIO3Zp5Sg4CF5w+Ug&#10;kjmqCQmexM93y3f8MIjJg0LG85LPwGdBeXnvvffkNUfE8LVAVK5evSrnHFmBpGHWhbDtSkhQo27g&#10;zVmv5SDOQwgLx5Fzk98hKKhpqFMJiXu0BMh3xDmT1UmJDyMnBoPhsYQ3vyL9P+eIyVZ3QWckfasW&#10;LdT4StSpWUtH0rdp1Uq6du4iY8eMkZXugr/O3anOmztPxjtCMmzoMOnfr78MdT8hJ0vcnT8J4dck&#10;JwS+D2aAkIDoZoGcYFhFsoc4hHrtgwhPTIK23wtqvvQKCb4IbcnFV7F6tZYUIB2QjznueHpiQvhE&#10;GvhL6CIJPBc8n9IOagEtuPg0EhITtfOGRI0BFo8HhJPvFuXiUSIngP31qgskBZUFZcWrKnw2lBVf&#10;KvrTm2+qwsLnxvhLeejosWNKVlCbOIaenKCisCYSnhP1lxw/qV4fT1rvpnplpTByYjAYHitw4YeY&#10;cOHHE8C1i3bh0SNHSp1atbQrR+eYlCsvrZq3kB7dukvvXr1k8KDBMs9d3Pfu2SMJ7qI/Z/Yc6eUe&#10;792rt/Tr209Gjhgps91jq9wdKUkU2ZyhXA/bEJtOTlyiYYYFw8DWrkO635s+IO2XkhP/HhAR3oft&#10;cdftvSQkO7p2+Oz4GJjfwUwRjglJEkXEKyNeaSJ8SUL9JcuXq6LiW23xSEBmFqWZYgme61+j5lh3&#10;vDGWoiigprzz7rv6HZPYKaX4cs/DLPX8UrCPPtjnUMHnIf7pgs+LioT5FnWJY+IVFILjyVTf/e57&#10;ocuK743vkLh2PejoCX63so7BYDA8NHARJ0nRVfGMu4DvjI/Xya8oJrGly2hHDjNMGtavL21bt5YB&#10;/frL7Fmz1IS4DTPipk2yyF3kISMdO3SQESNGuAS5UNauWafmxKBMsVIvnEjrmD0fplwOaYAsQBRo&#10;B8UcSXLfu2+/GlB/aVnHkxL/Hr5kAxFCIcF4y2wVP6GV4+G7bSASGYlJUK5ZpiUGyAv7imFzV2Ki&#10;Ki1MumV7EBxaijHM0lZMazSGT7aNKkTZiiAJc8xpKSYxo6TQGUN7LwbU995/Xz777LP0kg/qxOMA&#10;iAvn9T/c5/ngww/l+o0b7rxLVVWJc1GJnpbENmpHD4Pz6Iqi5PZjYsn4fzp7UFKuhvz+s0oYOTEY&#10;DI8VuHMmOVHD37VzpwwdPFgHrDFYrXDBaCUmrVu2kk4dOkrH9o58DB/unrdLSz+YERe5hDp0yBDp&#10;0rmztHSEZtrUaXoXespd7PfvP6ClC4yyXDgxeTKenBIHhIDEHupC+yAD4kCyQSGhfZg2U1QHFqz7&#10;Jd06vCYjMQnKNhe17fSAS3ZqbN2KsTUwZ3pVA1Mr6ggBIfHkBKWE59FhQolBZ2s4IkeXEUmS5MN7&#10;3B7BALFzwkA2CAuzPvDVQEx4T7arpGfJEvWo0GqM0nXi5El59uZNzVWURlBTICgoDxnViUerABSA&#10;z8B5/bdvv5XX33hDSzqQ6RVpxwRywoC3hN279bj50h7nJAER4XxhPkow5O2E+/fFkOdBVgkjJwaD&#10;4ZFH+p2lu4BTr7/pkhTzJVBMML/SKkw5p0LZWGlUv4F07thJyziTJ03WiaM899LFi9od8fT48bry&#10;cN++fWXw4CGyZs1aOXvuvLtbvanr5zDvBCmdCydlCNo4/fLyv0Sx+KkIkkygZODzOJRyWFtHmROC&#10;ysBAM5J7qNfeHp6E+G3yOrbLXTVkhATH3XcwIC0Y9MZMF8ow3t+Q0T9CQFIoK+AdCZSSjfo6VBYm&#10;kTI8jEmnvB/vHWq/fPjPyb6wHxAjhrShDHDMUbIgQPPdfkBSUI5QUzCOnj5zRksezz3/vLzy6qvy&#10;1ttvq39Dyz8oKt99J99TLnHnTFaHVwEhWhiBUYfOnTsnOx3phpigmkDQmDrLMeIcQDHhXNRVm9Na&#10;uf3aRHyfqFVMomWCLN//zyWzmR1GTgwGwyMLfzfsL+IYC19wSYnJryNHjEgr5ZTWcg7m1xbNmmvL&#10;cLeuXWXqlCk6iI25EymHDmkXxByXZPv07q0elIkTJqpCcsBd1CEmz7/wkly5ek19HSRKjJskakoP&#10;kISjx09oUvUKxPVn7++C7193p2DbgaJwVN8PFYOgBLKH1ltHWFjx9l62e7s6Qtsvd9TMTcE/wsJ2&#10;qBWUVFAsKNmQKCAlgTLyg0ICMeF3/CbaIbJlq5ZmSIaYhVFK8KigiPAZSIjsw+37mTHYP9Qhv3+U&#10;lWiFTT5wSPeP92FfUGsgRN5Ei5IFcaQdGbKStH+/HDt2LGhJdomd4Wm0837nSCwln39RVe4hMguh&#10;3ksN3Y6YUMqhdMUUWko5EGrOPb6jOEdUUM0gcsFSAOfSv8997vOzxIHOPXEEDgM35y4EG0LN8X2Y&#10;Jcn7CSMnBoPhkYU3DHIRZxgWA7BoF6brplaNGhJbpowUK1RY18xp3rSZ9OzRQ/r26SPDhw2TVe4C&#10;T+cHrZuspwIx4fFu3brJoIEDtevhgLvjP+/uQF948Y/yx5dflZu3nteLJuSAO3jaY/nJnSsL4qEM&#10;cLEPEnBwR/pTiTgjYeB1BCSDRE6Q1JHpaRMm4XDnu3X7dvV5kHQol0BYSEy8NtR2g22zTH+wXbap&#10;plZHHIKJogeUUGx2n2P1ylWy1CWFhY54zJ0xU+bMnCmzZs3SluoZ7nd+BmWbBapgMGsDXwnlHhQc&#10;1ok54rbJ9nmvn/r89xLsP9uCqKAYoRbx/VDS8EZQ9oN/+9IPj0FYSMgMOUNxoHT3pjtHPv7kE/nz&#10;X/6iviRUiW8cqfXD3CgFcT6hwhF+ngkE+HYy86DAttg278N7sx/sD/v47nvvOWL8gqQePqxr+KAU&#10;LXDHHXLC9w+hhARCSjj/IM+U4Tgv0lu5V61SAsd3tH1HvCooKCpGTgwGgyET4BUTJHsmvzJgbfLE&#10;iaqYMMOkcvkKOmCNUg7twqgimF+3uzvrZJewDqem6jooi10iGzVypE6EHT9+vN6Ro0occRf9S5ev&#10;yIsvvSyvvPq6/rzhLpz4TJjHwQWfNljKHYwGJ8lz0fclHi76d0vOGUkJyRcvBkkdbwC+ABIx22SI&#10;FkZHVBJKJQR3wCQgEhOvIdFkTDL8TgQKCWTkvG43WFzvkL4WUysqCSUbVIfVGCtd4ls5a7asmjxV&#10;Vk6cLIunTFWS4gmKllPccyjfsPAhSkkw3n+/lg/8HTz7w3s/CHLCNtgWxwhVgH2nzRhlB1UHgkgS&#10;5riwP/hc+BslD9Qvnsv01b379mnpByPtWUdWLl++rD4VOn9ee/11bdlllgplIIy1nFe09xLew5JR&#10;cXlQYFucx6g6ECem4NI2/Mz16zrrBQWIYWzM3SE43/iMnHO7EhK1tAi51MUgd7rzxH0fBMsDBAtE&#10;Jmh5DvMx6/OwTtI5R/S8L+VBfEcPOoycGAyGRw7+zpVkwd0vMyASdu2SYUOHqseEGSZFoqOlRpWq&#10;0rpFS/WYdO3SRf8OMUExOe+SU9yOHTLfEZFxY8fKoEGDZMLTT+u6Jphek9zd5XFHNCjlQEpefe0N&#10;jRdf+qPOE+EOlPICd+gka+7SuaNH2UAyR+0I7kyD1WNDBX+75J7j23MpzUA2IA8s9kaiocNlNcRh&#10;TbA4HCoNyQbSguqBmsC2fIuoD18WgSihkGjbr/tMJCs1trrtLXF33wvmzdcW6nmOdCxy5GPZ9Bmy&#10;evIU2TBugmwaM15WTJoiC2bMkLmUb5SYLBAmj65dv0HJDeUbSlpMH/V34ry/J2YPKvGxHbbJseJz&#10;Q1D4HBx3jgveFjwXHBf/GZm3wt8x5kKmgo6flUpYUFTiHJll3ZsjR4/KmbNn3XdxWQkBSgUD0SAr&#10;fg0dSisoGZRZMqosDyLYFufxu+++q9NiGcB2whEoFL2NjjgGZbVFqgixMjbem23b49QsHCyYGHRs&#10;QchQRyBqAXndq+cS5xReFCWNLumjoHlS8iC/owcZRk4MBsMjBUiJN78yWfPZGzfUOzJl8mRp0qiR&#10;tgpDTirGlpOG9epLpw4dZLAjHlOnTpVV7k4aiR+fCcrJQpdoJ06YIDNd8qV9GNkc7wmzNFgF9rBL&#10;6BcvXZbnnn9RlRPIycuvvKYXTko+JEDUE5I25QT8GZCHXQmB5wJ5HTWBYWkoISRxfmIOTT18VFtz&#10;2c7+A4c0qe5L2q/kBnMjd8KQEE0+7n24S0Y54W8YGlFokPI9CeInRAWSgEJy1L0PZSCW4uc13EkH&#10;o9Bdwnb7uWTuXFkwabLMHjtepo0eI1NGjZY5jpwtxSTsYs3TE2Wti2VTp2mJB3UpaOXdoImRuSp8&#10;Pt4LAgQpeRhJDiJGkkUBQjVA8aFNmc/IMYWEecUJwkJpg+RNQofgQU4gKagqvJZuJ44xA81QVhj2&#10;xoJ9dP9grvWrD7MSMcSFIWiUhygH3r5q8c8Nv9oxawjRMYZSgtKz3pGrxY5Acn6hWOHtQanz3wHn&#10;A6oVn5Hzg/Mx+CyJSkT5/lGaOC9QnTh2GdW1rBxGTgwGwyMFJHWICXev3GWihGB+bdGsmZSJidGW&#10;YcyvDFhjrZxOHTtq1w53oVevXJEjLvFs375diQmvGz16tGzZskXXNcGXwLomjApnbRO6eM6cOSvP&#10;3rylnhMICoH35LxLyLQYr1q1WkseQccKXofFmvy4O+dulvLPps1bteSA0kDyIJFs3BSYFBmahTIS&#10;GBY36+wQnkdihahAXFAEIBskGgZr8d7ei0KiDkbHn3LJ6KiSoqBkE6/tpdxNs6YNd9/q03D7OH/2&#10;HFk4YaIsHjpC5vYdIJN79Jax3XvIjCHDZLF7fNmUqbLYkZJF06fLIpcUIW5r3H7uiIuTvUnJSgwg&#10;RpASX77xd+KhEs2DDK8KQcI4/pAOkjVJms8edAVd0KD7CPKEcuB9GKgNHBdv+KVEEiyQF3S/8L3x&#10;nTBPRRfeSwuUFsbGQ/Aw3BIsTvgggm2xXcy8ECaIU7paMm+eEhMfPKbGY0eCISf4nyBifD4UJc4D&#10;zgc+P+cH54n/fryaFeq4ZrUwcmIwGLI8UEsgJSgmyOD4AV5/7TUlEuPHjVOFpEJsrBQrnGZ+bdJU&#10;evXoKf11susIVQpQSyAzSY54UMqhhMM4+7nugo+ETgsyZknukNOXunfPPeqS3SV3obzx7E157nl3&#10;l/vCi3LFJUdKO7t2JcjChYtkkiM/U6ZM0RWLSSAQFX+nC2Ghk4U7dpIKyZDfMZEGc0KCyakYHEmO&#10;JEXKQyRbyAmttJSJMMSSkH9IvOe1DAQhoYuF53LHDPmB5JDg2O40RzAmTZ4sEydOlKfdZ8YsPG7k&#10;KJk+eKgs7DdQ5vXsI5O7dJcxnbu6x4bIwomTZOms2bJoXrAYH6sGUx6BMKHYUCIi4f3aSQ6CAung&#10;85Kovf8CtQuVwD+P/eS5ECmOF0kclYXPgz+FlZE57gF5w0O0JD343giSJKTAG24fZPhzwJ8HBI/z&#10;fuwDyhz75gPyBLlCLYFsob6honFOeHXkUSEgdwsjJwaDIcvDk5N08+v167LD3XFOdMm2dcuWSkiY&#10;ZaLm1wYNpXWrVkpOUDSQx1mWnnZhRtNTnoDQzHBJm/V2Tjpigr+AdVoY3oV/hcmymCZRTw6612GM&#10;ZcYJ807wJmBOZY2diS6RD3EJfcCAgbowIEZakgukxM//gKTQ2ULCIdlDSgL/A2qG90IES9uzJor6&#10;SlBQ0iR6SArJVE2xCYHZURWYuDjtjsHsuX7jJn0dZQtICYSC5AYxGTt2rA6Vo0upe9euOniufZu2&#10;MqRrN5nZf5DMHTJMpg0dJpOGj5CZ7ngumDlTlruksG7tOndXz7o2u3WNFu7KUUsgJg+rhHO3IAmj&#10;EKCWUP6idANJQU0hsfnnsZ+oBt5wzGcgmfN5DqWV1fz8D9QqtuWPsXo6KJm448D28XKg1Dy42KAe&#10;EchRoNr88P1Dtnh/vn/KhCgkqqS5z3cw5XC6SpJRwXrU1JG7hZETg8GQpZGRmNA1AZHYnZgoI4YN&#10;kyYNGykxKVG0mFStXEXNr6wuzHo5rC7MFE2IDAPWML/Oc6QBYqJqyvLl2q2BYsJEWUpFrM+C6ZHr&#10;HaZZlBk8CPhU8AHsT052JGG3Su0D+g+QTh07SQeX7Lu796M8NG9eML2Urpap06ZpQBCmz5ihbbgQ&#10;FdpAISQQCMgEyYkgKWloOcElro0bNRlu2LRJkxWPcdesJRq379xRQ3SCn0FwZx2YPlfoXfd0997s&#10;Vz9HTDq0by/NmjRxF/s6Wvbq1ra9TBo0ROaMe1pmT54is2fO0uODx2Gt2x+SNEoJpSTKA5ddcmex&#10;QZJfVvAtsA/sF50ntHFD0ijHYCTmcRJ0xvD7DamBXPF5ICyEenZcgg+IyylVqkj+lK9QpiADEDS2&#10;vdsR3AcVnEuswByUdSCj8Y74JjoSsl8VHt4fjxKfEaXswqXAX8Q+8xn4LLeXbIhQx+tRCyMnBoMh&#10;y8KbXyEmn336qdxwRGOPu6BPnTxZE23FcuWVnFSpWEka1KsvHdq1l8EDB6kqstYlqqR9+9TM6M2v&#10;dOXMciQBYyxtxMxFoUzkZ1jQJkrnBAoKJIiuCUyRzJhgZVwMs8xDQYlo366dtGvbTvr26SujRo7S&#10;0s5Mt+3JLtGPdP8e7MgRMcQ9d7gjQ2Pce092+426AnlQX4O7c4Z8/FTgd/B32WoAdQQGfwIeCIZy&#10;keDYP4y8ECjaZfnJWkF0H00YP94Rtm7StlVrHd2PF6d/7z4yefQYmTd9hix2hIqSE+/BHTsqDUZe&#10;poiilJD8QiWQXzNIxiRoiAjlHdQOSBymYt8my3NCvTZU8FySvvfyoEZgJKVcAmmBIOD7YYbLgwr2&#10;209vJSjhQYa0jOfek/dnP7KKWvUww8iJwWDIsoCcePPra6++Kjtcsh05fLg0b9pUza+lipeQ2jVq&#10;SqsWLaVtmzZKGBg/T/nm1q1bcuzoUTXMYgJlwBqkYpNL9JAO5llQyoGY8D5eoeHfKCiUj5go+sKL&#10;L+oquBCAaVOn6nTZNq1bS/NmzdImzU6V5cuWy9y583SqLGPxO3fuIq0hAi7auP2ijblfv36qYuBL&#10;Qb6HCFCGwF9yt8Ao6U2YlFnYD8y9lJuOHz+u+3bFfZ4bzz6r+wqp4rPhn6EDhO6PNatX63FDQYEw&#10;jRo1WktiM9znWTR/gSolmCspb/jyDQmaZA0xyYpJ0ash7J+aY11yp/yBB8N3p9wPqcq4PcKrEgTE&#10;wCssDzpQQyg3BREYWHmc9/OqCMG+GTkxcmIwGH5FZFRMaBfGyHrowAFNqH6tHIhJhdhYadKosXTr&#10;0lWnuo5xyZ9yzfFjx7Q9E0Mr5lfahZ92r8X8yjhzhmxlVEw8PElBQeHvDMWi1TM1NVVNtZCbls2b&#10;S+dOnWRA//5qMl3u3m/dunUya+YsGeKISccOHaVB/QZSvVp1qeGCSbWUVEYMH6EtoSxU51tWD6ak&#10;uDtn2o3vHKw+Sxw+QsfOMTl16pRcvHhRbty4EZCR11/X9WPed0QKxecvn38e+Gc++0xeeuklff6W&#10;zZt1ON3okSNlEu3DlJcWsmLwUp1XoivZuqSOOkBy9EkxqydE9o0gmeMjQYXAqIzacL/khPDby6oR&#10;ap8f1zByYjAYshy8xwRywN0/5lcUETwllHKIWtVrqOeEya+9evbUWSV4UVJdwmeEPeUfhozRkYPi&#10;wXo7p0+fVmWBaZ+emEBGbocnRrw/LcYrHTFB9ejRvbsSDWaqYKbl/fC1YLKFGNG23KBePSkfW05K&#10;OvJUumSMruuDEZXn0AF0wRELSAMTQF91+wK5uJdgNVquwwwEQxlB1Ukfw+72k+FgjGHndwgdr8G8&#10;y/wOiNX0adO05AQx8bMyMNwy2ZU5LEyQ5S6eYW6PWjKEhKA68Bn4idLhyVWo51tk/TByYjAYsgy8&#10;ckEpB2JAEsY3gvm1vrtIsYgfa+XgMWEBv+5du2lgft20caO8+OKLqiiwujDeEggDisqihQvl0qVL&#10;us2/f/utko/b4d+bgJhAYFBYeH8IDsSjS+fOqphQGmL4GyPzGdqGBwaC1BBiUjZWChcsKJFhBaRo&#10;dCEpG1NKhgwcpKUmCAnEAVUGdeaXBJ8hY3hDL4oJRObylStqusTf4juI8LuwHhDdQZu3bpd9+w+o&#10;vwGlwaskj+odOvv/qH8Gix/CyInBYMgyIMmq+dUlWLpsdqeZX1s2a67GVxQTunIwv7Zr01aJB4rJ&#10;hvXrdUrsmdOntf0XlQJCwTo6DA9jbgnXMBI47wEBuR085k2xnzJ59tlnZb/bFn6Vfn37aisu6gNl&#10;GcpF+D0gHBhk+RvlJvaxeJGiEh0ZJTHFikvTRo1kqCNOG9atk2tXrykxoTMoYynpl8DvL6SEriPU&#10;kuuONDHdlNIRplnfwYPPhd/pJJrw9ASZPmOmXvxpkcWE+ST6Giyybhg5MRgMWQYQE8yvf3J3/rT+&#10;+rVyypSMkRIu6ddKM79ifCVQRiAwqCWnXELG/IrHZMTw4dK/Xz8lLcwsoQSCEuLLOHciJyR6VA3M&#10;tywiyHZYLLBz5876XiwSiAeF2SiUiSBGfXr1ksYNG6r/pZAjJVEFwiU6IlKqV6kiYxxBog0ZleWj&#10;jz7Sz8d7hHr/nwOI1t/dNvGZ4D9hNgvtqXTzQEh8ezHtyXHxu2TN2vXy9ISJ0qN7D40+vfvIlMlT&#10;JG5nQroB00ohFlkhjJwYDIZfFSRqkixJG2WB0syhgwdl0oQJ0qhBA6lYvrx6NyiXNG7QULp27qJr&#10;5dAWvNwl3iNHjigBgQRgeMX8OmniRDWf0qny0YcfKingPULBvz/PwVD68ssvqwGWAW74S1BFeC+M&#10;tmzvuVu3VDGhbARxUWJSDsWkiJZyUEzq1qol/fv2lc0bN6qZl8+FuvEgwL7S7uyHxr3z7rtKTI4d&#10;P66dPD8Qk2XaHoy3JBj4tUnmzJ0nffr0lYb1G6hpt3GjxjJw4CDZ4P7mu3OMnFhkhTByYjAYflWg&#10;ZnjF5ObNm6p+jHdkoE3LllKuTFktlTA0jK4czK893R0/igUqBq3CTH/d6ZIypRyUDsyqqBqsOsy0&#10;V5I4xOdOpRSvmPA83h/Fhu2zSnHHDh20lIPx1b/XLvdevpTDQoOUmvDBoJoUjiqoo/THjx2nn+Py&#10;pctKICjl8B4PApSm/vznP6sxlvZhX8Jh5gnTYQmGuVGuYXXehMQ9Oh9lytRpjkw5YuIIHusPlXNk&#10;jxIZA+QgMWfPX9CuFyMnFlkhjJwYDIaHDggBAWEg2X715Zda9qDLhnkctWvU0DkmeDdYXZjBYZAS&#10;Jr+immB+peuGoCsHMgExwZSKenLh/HlVKth2KFLi398TE0o+7733nr4/5RtICQbY3r16ycYNG7SU&#10;g6KTsGuXTJsyRR9vWL++S/BlpVBUlITny6/EpFzpMtK3dx9JTEhQxQTvzJ0Um3uBP0aEV3foynnD&#10;XY+ZbXLAkSXmpdAWrOuzLFiga/ds3b49WJcnJVXnfyxeskx6u/2q6y70MSVK6v4WdYQKNapL5y46&#10;Op9ZIU8iOfEGWoLPnjH846FeZ5G5YeTEYDA8dJB0SbaQB29+JaGjetAuXN4l/UrlK0j1KlVViWCi&#10;KV0ylFKYenrhwgU1gEIali1d6ghBbxk7eoysWrlSyzxvvP66bhviwXvdDv/+/B0VAs8Kg828+ZWB&#10;aTOmT9fViunWYW4KSg2KCR4TfDAoJphfUUwYn9+0UWPtKtq4fr2ufkynzy81v2Ys4XzoyNurr76q&#10;y/bjLWEaLIPZdNXh5ctVHWEhO8bOs0rt3qT9OuRt/oKFMmjQYGlUv4GqJexrMbffDerW0xLP7Nlz&#10;ZFfibkdMgimkTxI5yUhI8NtQ2mKAm7Uj//ph5MRgMDxUeDVAVQCXdEm4LM7HgDMmv6JGFC9cRGpU&#10;rSatmreQ9m3bqvdj5PARWlJhuBrEBGXkxvUbWkJp5AjMxKcnaCkHBYTtesXhdnKS8f0hD5R+aD0e&#10;P368mmiZ+srKvZSKXsxgfoUYUcpRH0y5ctomjPGVn5hfR40YoeUf9gkDLvt3J3J0N/j98/vIekLv&#10;v/++PPfcc+or2en2lXH2K1as1DZhlBLKOCwQt//AIV2PhYFke/Ym6dTavn37aSmnVImSUsTtK/NX&#10;KlWs5EhWH1m6bIXsds9j+No1t99eLQiVLB7H8OQEYsLwOVZcZkLuiVOnda2dwCQcELaM4RWVJ+lY&#10;PewwcmIwGB4aSLxeMcEkCtFITk6WyZMm6fAy1AjKOWVLlVKfCZ05lFd69uihg9Ro3+V1qAl01Vy+&#10;dEnX0qleuYq2HL/y8svpk19Dwb8/SZ/tMAwtJSVFzbO8B6oJw94YusYqxs87QpDR/IrHpHxsrJpf&#10;C7oLJebX+nXqyAD3uk0bNujIfG9+hVzcD6AwvMarJZ9/8YWSHGajXLt2TY4cPSo74uLUU0IZhlkl&#10;LByIt2RXQqIuFMfMkkOpR2T3nn1KWhilDzEJZq9EKzGpXbO2jtefOXO2LjBHOYckHCpBPO6RkZyc&#10;u3BR17rZl5SsyhMlMU/0WP2Y4+RVFcpfXlkxgpI5YeTEYDA8NHg1APMriR9FApWidcuWemfPNFUU&#10;Ey5IdWrVlrq160i7tm1VVWFMPGPbKQOheKCOnD17Vgb266/kBC8I5RzUijsRAx7n77wWIsHkWUgP&#10;81KY/jrV/U5558SJE9oxlG5+TSMmKCZ4SyjlFHHJHmKCcoOJ9srly+qb4bNBvn6OYuKJG1NfmR7L&#10;ysgsOoiyxMwSltXX1uB169RXkrhnrxxKOazKB+vhsIIwo+jnzp0vAwYMlMYNGzmiV1pLOZSgajnC&#10;x2rKTIiN35kgJ06d+Vlj3h+XyEhOmC6bfOCQbNsRJ5u2bJF1GzbqQoJM0U3YvUcXFDx4KEUX7OO4&#10;QVTMQJx5YeTEYDBkOnypAmLCgnqsBnwgOVnGjh6txlLu7Au5pA85qV+3nrRo3lzq1K4t1RxRYUE/&#10;RseTkM+dOyfvvvuudsBQ2oFEMH21niMykAg6WEjwoYgBj5H4KZMwR+XQoUPadsyifBhpmanCSsbX&#10;WETvRjBlFsIDMaGUwxwTSjiYSZm5Uq1yZenXp68jJnHqfWF/UG14Hx8/BZ7j1RJeizH3sz//WYep&#10;MTafLpxNjMdfskQWLV6sc0tWrl6tCwByd3/0+In0FmDu7A8cTJFly1ZIP0fYOI4QE0zFkJOqlSqr&#10;+RUPykFHaCAz3P0/yeWJ28nJ/uSDuiozZTJ8PKhT3ssDSUGhgqSgUkFSUFSYrgtJYRu+5BPqvSzu&#10;L4ycGAyGTAUJ2JdSvPkVRYJSTrBWTjD5tUqlSlKjWjWpXbOmS6x1pYEjLY0aNpROnTrJUEcc5s6d&#10;qwrCmTNntIWWcgdzRyaMf1q6du4sa1atUr9JKFLA+6OYfPHFF0o88IZgfh04YID0duSDbp+tW7fq&#10;dFm2mej+TtdPb0damjVuovtHKYdEj2KC+XX0iJFayrl8+XK6+ZX3uR+wrxAmOnA+cuTmZfeZGDuP&#10;WuK9JWvWrtVSDvNKtu3YIbv37tOSw/GTp9LbfyEmO3clyqJFS2TI4CGOTDVUogcpiSleQolKX0ek&#10;Zs2eo8PYntTOnFDhCQrJEOXpoCMelHYSEndrKzbHFcMwxARVCm+PDxQVuqJSUh3Zc0QF34onfKHe&#10;y+Lew8iJwWDIVJCAISaoAm+88YZ25VCmoeOFrhx/V48ZtmGDBkpQqlapIo0aNZJ27dpJt+7dpb8j&#10;EaPHjNF2WRI2K/qyVk6qS9IoJphR4+Li1KMBQUCN8IoE4VUJFBveH18JHpLu3brJqJEj9bWQFoiP&#10;n/yK+ZX9gZiwVg4eE5QT/j1y2HDdDnNRICZ4RO7F/MpfeQ7hS0yQGvYb/8vJU6fcHfoOWbV6tSx1&#10;d+6UX5hBQnmBRJh6+Ki7w7+QrpZAMCgvkFAXLFws/dLMrwyto/xUslhxnWXSq2cvWbpsuS7yRwL2&#10;XTmWRIPwBIXjAsFADTnjCBzlmyPHTigZRDGBoKBaUWKDNK52gcqy3Z0/PCcj6bNj+8vCyInBYMhU&#10;kITxeHANYcQ8igT+DVqFKedUcMleVxh2ZAUyQDmnbp060rJlS+nSpYv06NlTejuiMGjwYBnnSMUs&#10;R0ZIDCxqt23bdpk6ZYoSDIaeQX5Y3I/34yclJAyqvDfkg8mv8+bOVeKB+ZWyzsqVK3W1YMhORvMr&#10;5Ek7h4oUTTe/0tZMKYex+GyPbeMx4TPeCzKSEvYRtYRZLb49WFcQdvtDGWe5+7lm3TpNhnTeYNZE&#10;KaF8gEeEn3SVqPl1BebXQDHhmDLDBNKHZ6dbt+4yc+YsSXTPo5QDqbHEeefwRIVjzLGC/EFS6OI5&#10;cPCQ+y72SfyuXVr+2bBxk5ITWrZRVyj3UOq5YuTvF4eRE4PBkKlAuUBdYFG+1atWueTeRxNouTJl&#10;dKXhZk2aatmhWpWqSkyaNGkibdq0kY6dOkn37t2VnPTs1Uv6ODIxeMgQVVCmTJ3qLlyLZNas2arC&#10;DOw/QLcNYXj77bd1NWNUEko/qBtHDh9WPwlj7Snl0JlDWQnzKz4WOnYwx/7Y/Fpeja+0C6NC1KlR&#10;UyfXMoiNOSa+Xfh+zK//7Z73D0dM/vbttzp2HlJCF05CYqIqQqqYLFumPynhoHSwKB8Jz8/eIOlB&#10;TLjDh5jMnTdf+rvPj/mVya+QKQK/Tv9+A2TR4qVamiDBclf/pJpf7zUgFD44VhxzjhvH/+y5C0rw&#10;AkXluKop2+PitWMKbxC+FBQUEiuvNXLy88PIicFgyBSQsCEmlDxYr4ZyCbNKWrVooWPpK1eoqKUc&#10;VhdGMWH2Rh13p9+6dRst5XR3BMITE6KXIw0QFEo8w4YPl7HjxsnIkSO1ZNGrR0+ZO3uOtv8yHZau&#10;HgylzCjhMSbKQkYY5MaEWabAQmYgJqzLg/mVoWsQE79WTrHCRdT8imJS0yV6FJNtW7dp+YWuHN8u&#10;7Ms0dwNKiQ5T+/pr+fSzz9KJCRNeGaS22hEnzK6YMPl9qxpeD2oSpMTgzZYEyRKycuBQiho2ISas&#10;0swxLVwwWj0m1atVl06dOitx2bc/Od38anfz9xcZiYo//j5QVfD9YEyOiw/WNFq3YYMqK6fOnP2B&#10;CNrx/llh5MRgMGQKSNh4PZjAevHCBV2jhpZhVImmTZoE0biJNHb/ZhE6iEmzps2kQ4eOSkoyEpNQ&#10;BGXI0KEy0BENVJDuXbvJ6FGjZOniJbJu7VpZv26drCPc72tQI5YsUVVk9qxZ+m8Mucn790tqSkq6&#10;+RViwv5g0IWY0D2EAbZpw0YyZuQoJTjMVfk5a+V87Z6vJZzXX1dSwno4THj1aglBeYBSQeLuPUF7&#10;MIPAMqglJEhICp4TlJCFCxcH5lffLuxIFMSEEfV4T2bPmSs74nbqdnyiNGLy4ILjyfejBMURwC2O&#10;uLLAIqZZb5C1EtrPDyMnBoMhU4Bqggn13Xfe0bbh3j166iJ+dOEwiZUl+1FMKD/Uo324RUtp36GD&#10;dO3WTUlIxridpOBB6eu20cf9ZD4JU1179+wlgwYMdAl7sAwfNkzX2mGGCooJ5IPR9pRkIBj4PCjN&#10;UMqBNDGSnnZhBqxFR0ZKRP4wLeegmgx129u7Z6+89OJL2i4MKfGKye3wKooPnkdAaFhr58zZs458&#10;7NbuG3wl8xcskEWOUK1dv0Hidu6S5IMpqnJAJrxa4u/cSYY8TgsrpZrevXqrYoLpldWQIVQVy1eQ&#10;7t16yLLlK9X/wLbYjt9GqCRg8fOD74fje/zEKSWMeE92xMXLbne+HD5y1JGXS+nfYajXW9w5jJwY&#10;DIZMAR0677z9jlw4f0FWr1otnTt2lMoVK0mTxk1kIEPPevSQ+i65VqlcWerUqaPkBNXkXsiJJyhE&#10;TxQWFwMGDJARI0bo+jyL3UWNBftoD2YM/f79++XE8eNa7oGUQFDwm6CkYI7NuFaOml+Ll5DGjqwM&#10;6NtPza+0P0NMML+GIiUe/A3yQsmHeSr4UhiPT+mI0fMQE9QSfCWUZFatWaMzNFg5GK8CZRy8JBlJ&#10;Cb9DTE66vyXs3ivLHfFAMWmYtlYOpIT95iIO4WPya0LCblVYIDO8PtTF3+LBBMeXYw0ZpJsHcoKK&#10;gh/l9Nlz+t0ZQbn/MHJiMBgyBSToZ2/cUK/J0+Of1kmv2oXTqpX0799fO3Hq1a0rlStVktq1a0tz&#10;1tG5g3JyJ4LC48wp6ee2N2rUKJk+fbpscKTkxPETqlSwbs+b7tqFQRaigFmW9XdoHfbERD0mseXU&#10;r1EwIlIVk9o1asq40WN0xWNGx3uPyU+ZX/kb3hJKWQyE47UMe2NmCasH04nD6HmC9uBdjpSQ1I65&#10;O2+6QigDkMw8MSG4M6e0gzl23jwWJuyvpRwm6tKVU7xoMalSqbIOXlu0ZKkSHd8u7LcV6uJv8WCC&#10;4wsJRKWiHIf/hMUYISl8r+b1+Xlh5MRgMGQKKOmcOnVK5jgS0KdXb2nfrp22B9OFQ0mmU+fOUq9e&#10;PZ1pAjlp2rSptHXP6dq1678QEx8hyYkjGAMGDpQxY8fKTPdeGExpC4aMMHQN3wvEAsJAOSdp375g&#10;ET/3WvwvEJNiLslTGinpEn2NKlWlX+8+snXLFu32QTGBcEA8MhITfqdkQ/kK0vLXNLWERfp0mNrl&#10;yzqPRUnJqlVqeF2ydJmsTps4mrh7r7anZlQ4ggT2g2JCYsP8eiglVdfKYSQ9HU6YXyFRlHRqVKsu&#10;HTt2kjlz58nepGSdtQHJCXXB/znh9+X2CPXcJzE4PpBAjjn+Hga3YWymgyfl8BG5cOmyI5g2mO1+&#10;w8iJwWDIFDBnhE4ZZpB0SCMdEArIBKZWSAqD1mrWrKllnYYNG0qrVq2kM+PkMxCSjHE7OSF4HLKD&#10;QRaCgo8jfudOXXcHAyr7QSszpRmIyfy5c7Wd2ZdyUB9oGWbAWpMGDWXs6DGyZdNmJTh3M79CTvyA&#10;N94DVYaVg+kAOpSSojNLKOGQqHTC64aNanjFj0AJJ1BLAmLifSH+wkzy5zGIxq6E3bJg4SIZPHiI&#10;NG7UWM2vkBJKOcwxoV2Yrhw1v578wfya8UL/S4J9YXtewfGKTKjnPonhyRvHhBH4TPDF4Aw52X/g&#10;oCOXQanOyMn9hZETg8GQKfjyiy90TDzdNBAByi8jHFEZOmxYOjlBLalbt64GKkrz5s1VUbmdlNwe&#10;oUiK7+IZNXq0DmpDsTh/4YIqKC+++KKaYVnkz5tfGbAGKSmQN5+qELEu6Q9yr2cQGyUhBqxBPm5X&#10;TIBXTfDVMEyN94D80Bq8ZetWJSRMsyUgSwyNw/AKKfEmVRIaCStj+AsziQ6SwYyTJUuXa7s0s2BY&#10;VZj2ZggVfpOunbvK0mUr9HkQGYjD7dv6JcF22Be2izJAkiX4NwpPqNc8ieGP+fkLlyRp/wFdagBy&#10;AlFheB7q2IP6Tp6UMHJiMBgyBagJJHpPBhhFz+ySfv366bRXWoUp89SvX1+Jyf2QEyIUQUGVYVAb&#10;k2Qp8Wxi1H1y8o+6ciBKlcqXlxJFiwalkaLFVDEZMmiwrF+7Ts2reExQTEIBwsLfKPdwXbyVppbw&#10;Phgh/Vo4lHJoLVW1xCWpQ6mH73oXzWP+DlzNr4l7ZKkjJkOGDNWuHMpPfnVhLtg9evRU8yvKSmat&#10;lcO+sL8kV3wsJFrGueOPedDv9TjExctX9HtmGBueE6bGJh88pKU5O173F0ZODAZDpgBysj8pSdUI&#10;yAktxCgl3bp1UwUFnwiTYH8uOSFCERQUFMjP8BEjZOzYsTqintbiLm677EdFR0yKREcrMWHya42q&#10;VWXMqNGqrGBg/fCDYPIrpRyvmvjwagllIlYipjV4n/uMW7Zs0eFpeEowvUJKmBzKADSSOUO5aCtF&#10;fbi9hOOD5KUKhSMZ+9zd9/z5C9TkSinHm18p56j5tW8/WbJseaabX9lXSk+sfkyS9QvdHTtxUt8v&#10;1Gue5OD7PXr8pB4jv1AgQ9ko4Rk5ub8wcmIwGDIFGGJPnz6thtie3bvr0DW6c9o6QgIxQeWAnNB5&#10;4gnKgyAnqDNMmKXrp1PHTqrYNHPvTQcOc0xovaVdmERfq1p1VVM2b9okzz///I/Mr4CfkBQICWoJ&#10;plpWPr5565YcpzU4MVEng0JKFi9dqovrUU6Kd0mJZA5xIGHdjTjwOAHBQFk5cDBFVq5cLYMGDtJ2&#10;4diysdpFpObX6jXU/Dp79hydTOpLOaG2+yAi8L2cU2Mn6g8j9SlPoaAYOfnX4LugbOePFwqKP15G&#10;Tu4vjJwYDIZMAUZRFuI7ceKEDkBj8Bptu40wvrZsKa1btdKyTvNmzdUY+3PICXE7OcFQ29qRnmbN&#10;muligqglNatXV08Jpld8JnTnNHKJf9yYMdqVc+niRVVDICAZ24X5iYrCAoKs1YOvBFLCjBRmqEBM&#10;aBsN5pVs0TtlSANdOCQpJoiSxElMocgJj/E3nkPphDLAggULdRG/Jo0aS2zpMjr5lf2tU6u2jqqf&#10;N3+hml8p/WRGKSdj3E5OKFFRrkg9ctTISYi4+gxK00VVSvYm7ZfN7hyh1EeLsZGT+wsjJwaDIVPg&#10;vRkkfVYjZlIra+nUqlFDqlWtKrVr1ZKmTZo6otJKiURjRyR+qlvnTgEp8YoJSol2Abn3qV61mlSt&#10;VFk7XAoXjA4mqbpEX7ViJRnkEn2Cu6t94fnn1WOCYvJ92kRX9v07R1IgJnTs+JklDHNbu26dLF++&#10;XCe8Mkxt9Zq1moCQ8pH0fWvw7abXUBdg/s7dNgmNeScoMH379FXFhEX8GKGPz4TJr127dHMX6yU6&#10;RRYPA6/z2w+17QcRfAbeCyMvY/WVnMTvNHJyh+CY8N2jaGGMXb9xoyppyQcO2vG6zzByYjAYMgWo&#10;DpRDmP2BMjF96jRp1riJVKlUSUrHxGiJpVbNgKBQ3mEom1+FOBQBuVvwGha6QzFhAi0ttsxPYfVj&#10;/BoQEjwm/GzSsJEMHzJU19+5evWqlnIgURAST0xYC+cDR6peefVVNciedOQqKSlJV55dunSp+kow&#10;vnJnjLcg+cAh9WWwSN/dfCUZg7+TsFBAMLVCTHStnAYNdb8hJZRyGO3fq1dvNb/G70zINPNrqLis&#10;HooTqppQqkI1SdyzVx+zZPuv4ckmJmLOCbp2IK+svWPH6/7CyInBYMgUkOj9wn+sFDxt8hQlBn7o&#10;WaAIlFcfSqeOHWX48OE6q4SZJRnLNPcSmGwhOA0aNFDCg2LCqselSpRQv0ZUgXBdxK9y+QoyesRI&#10;SUxIkBs3bqQrJvhKUE3+6YjJt26fP/7kE/WVHD582BGHBL37Xb5ihaolBP+mhKO+khOnlJRAGEhA&#10;P6Vm8DdPTHwSo5SDybVRg2Dya5GC0Tr5tWrlKtK7d1/33qscQUhKN79mpmLi949g/1BNMPdu277D&#10;uk/uIYLv9roetzVr12nXFqqaJ6xEqNdZ/DiMnBgMhkwB3g2S/62bt2SnS25DBg6SurVqS81q1aSu&#10;IxC1XTDdlJH27dq20/V2WB+HeShdunaV9u3bqyelZYsWQbRspQSEsg1/I/idqbKtW7fWrpaaNWrq&#10;Wj0VypWXsjGllARRymEBP96TxQFZc+fms8+qYkLZRks4332nasmnn30mb7/zjjx786YcPnJEtmwL&#10;WoNRNZjwunL1au3EQS05lHpEfSWQkntNODyPpE6iYh0dunnU/DposJZyUEwo5ahZ132WLp27qGJC&#10;9w7lIlSZUNt9kME+sn8X0lbc3eNIEQvaQU5YL+bIseNahrIke+d45saz6tNZu369tpWjPGUkr6Fe&#10;Y/HjMHJiMBgyBSR+DKR0wjAlFjMsakYbRzjGjRkrw4cO05H2lDEwf7ZwBKRt27bSsUNHJStclMqX&#10;KyexZcpolI8tJ9UYde8IDhNlCX5HKalRo4YSnepVqzpiUk6TO0netws3qFtPza/MO/Gj7VnED8UE&#10;EvXFl1/Ke++/r2pJxgX6GKbGtE+SDEQF38VB1sK5zVtyP+SE52OUpQ143vwF2pWjk18xvxYtJsWK&#10;FFVigvl1/vyFEhe/S4mM7/oJtd0HGSRP2p5Z/RhT57btcUrIKOmkpB6WM2cZj3/vhOxJDI4NHToM&#10;YsOjxFRgX46z8s69hZGThwBq7//tgjs0LoZ3Cy6U3MUhhyM332uQCLjYEtTP7yW4U7xrfP21fEV8&#10;9ZXOrGCdEotHMNx3x/fH9xjye77PCHUuZQw9b9KmpibtS5JRI0ZKU5d8K5WvoEbU/n37qnqxcvkK&#10;GTF8uC4I2DjNwFqfjp1mzTUgGqwOzHyPItGFNGmXLV1aKjqCU7ly5SAqVQrCbZeoVKGClImJUUIS&#10;kT9M24YZUd+nZy/ZsnmzPPvsszpmnv3j/wz7SyfOm2+9pcTkyNGjLqFsUVJC+WbR4iVKTHbEx2sX&#10;Dl0YlDoorSDd+/LKTyVq/s5zeR1JikFdS5Ysk/79+gftwmXKqmGXz1ulUhVVTOYvWKRr5Xhici/v&#10;83PC7xtJM/BLXNY5Jnvdd4daQoJFOQlmqpx6aCTpUQ6OKfNttu2Ikw0bNyk54dyh/Ac5DfUaix+H&#10;kZNMBsREa9mOeEAiuCiGTCBpgXmQsdnMUmAl1XsJLrZcXGnbZKEyRnUzIOpu8fw9BJMvuWDfcBd0&#10;jIMX3R0nS85bPDqBSsACdFevXdPE/Nzzz4f8ru8nQp1PGYN5ITdv3pRzZ8/K4oWLpG2r1lKtchWp&#10;Vb2GtG7RUiaMf1p27dwpO3bskEWLFsnYMWOla5cuUrd2banjAoLC7BNajhs2aKCP0d2DwbVG9epS&#10;q1YtfQzlhMFutAujvKCc0OECmcFnQssws026demqKxAfPHBAXnrpJW0JpqTDAn0sBMhxYZgai/Rt&#10;d/uEDO+7cEjMDB7DP4DfwycXT0pCXVRDBc/ndafPnJOdCbsd8cH8OlQau8/JIn4oPYym50Lcp1cf&#10;LeXsSFNMIEOZSQY8KeGz8Rm1M8clU09M6M7B78KIfJ7D8/k8obZlEQTnBp1beHUgdrv3BIPYjJzc&#10;exg5yWRgCvyHIyZ//+47vYP9yF0UIR53CogGBAM5HELwU3HlyhVNQKwhcvrMGUk9fFjbHfft2xcy&#10;9qbFHmLv3jvGbhcJu3frUu874mD/G2UVI7lXrrR4hIKSBJ4JShTc/Sfu2RPy+77f4BwKdX4Re9x7&#10;7HTkY517X6bDUsopV7qMtGzeQoYNGSoLFyzU4WVJ7jylfMKskDGjR+tY+do1azqSUU3X2unYsaNO&#10;eu3fv7+2F+MtaeWIjvpQXNB23ME9p1evXtK7Z09pXL+BEpOIsAJKTmJKlHTEpIssmD9f3++M+/8B&#10;uWLFYCUljkDRhcPnoQvHqyUE015Z+h5fCQSBMgxJxSfm+1UwPAFAMVmwcLH06d1HR9JjfmVfUXgq&#10;VawkPXv2UvPrvqRk7eIJFJrMJQN8LpKmn81BW/TadeuVnHHXv3ff/nSS9HOI2ZMYHB9Kf5xDm7ds&#10;U3Jn5OT+wshJGrwpzpdHkK+9yoHsS9B1wMwD5jZw10WNGkLx7rvvBurFm2/qcXr99dfT41V3EeRi&#10;+NIf/6gqBHewkIk7xfnz5+X4iRNy6NAhXavjp2K/C8Znc4FNSEiUOEckWDKexcfuFNwNIV0zNOqO&#10;4dj+BpfQqDVTMyXRcTdp8eiEN3HyO98fJGCjS8Ihv+/7CM4dYos7j/7l/KIEsGmzvtfixYullyMN&#10;mDyZM6LkZOgw7UyBvHiiDHEaNWqU1HeEpHLFitpiTMkGAtK3b181yrKgH2Ppu3fvoS3DGp2Dn507&#10;dZJ2rdtIHUdsihcpomvPsKhfvTp1ZLAjN5AOVik+cOCA/t86deqUnDp9WlJSU/Xx9W5fV7rjs3jJ&#10;0mA9HEfE41mk71CKsMrsz/UJkKBI5LyWpfRJ/JhfGbBW3xETPDQ6kr5oMbfvtR2R6iYzZs52Nw77&#10;tfRD+eRBkxL2if0hQWJ4Zaw+5YcD7rNi2kQl0TKOC5QTSjnMNIGYGCm59+A48Z3T3cRx5NjiQWGg&#10;3cMwNT8OYeQkDXg9ICOQDzoMIB8QDsgFZRJfKkGuhkQwlpvgQoeBjpZDLn7+btBHgrtjI2hHjHN3&#10;rtu2b1fycKdgjY6N7uIIIeCO916CuzzukNW4515HmyMX/DsFd0M/FX54EH36fntctLirsng0QpMM&#10;JJPv05FM1K/bv+dfEhuJ284tHtvg3isY6b5UB4qxFgyTTjG+0i3DAnxMV4UYUEaBPDE9tkrFShJT&#10;ooQUcwSDEke1KlV1BgrzTyAZrJUzwBEVZn6w6B0zUfCr0O1TqVx5fQ/8JlUdsWnerJkSI9bWmT9/&#10;vpKzte7/ip7HjqBBrjiveXzZsuWyatVqPdcxfe7HW+Luej1B+LnKBa+BBKB+UCbB/DpwwCAtQZUu&#10;GaMkinZhRtJjfkVRYdT5iXsYef9zg30KfCVXlJRAmCAknCccD84biBmP022CYuLv9tkXIyf3Fhwn&#10;lC+8JjobJq00CGGB7IZ6jcWP47ElJ2pCTRuo5E2m3jia0bSHUfDzL75Qnwe1aJZK9zVzVA5WG2X8&#10;NsHY6pQUd4fhSAf1ci6s2x3Z2Mx/bHcxhhxwl7bI3TEuXLQoZPC3RWnS8Z0CE57+7i7uXODvJfy6&#10;HmscOeFCc3ui+iWx1TF/ZjpgkGOYkMWjEbR9sugYba90fHAHF+r7zaygLDB82HBd6r9ShYpSp1Yt&#10;HVk/dMgQWbRwoSx3pIT/D5MnT9Y5J5ALDKGlS5aScmVjpVLFitqFwwTZfv37y7Dhw1VBYeBat67d&#10;lLTQYoyfBa8J5aMG9epJxw4dZOjQoTLNkaA5c+bIgrT/e/McSZk7b1568O/5CxbI0qXLNDEHakmq&#10;dqOQwH1CDnXhvFv4JM42IDh0vSxfsVIJCIoJn5O1fejMYY4J6/8wkp6JorQm87oHQQL8fkBIIDoB&#10;Kbms+0SJgdIR50QwKGyNrHQEjX9z7jBkzY/e99sJ9R4WoYPjxSwYSmKcV5ATf1yNnNxbPLbkBFJC&#10;xwslGkymGOAwj1JqwRSH2RNfB2ZBSikoIMw1OHDwYODZSEpyrDeonUNAfKBuUJ/2d6F6p+h+507R&#10;KxmoF6EiUCC4a+PizbZcsM3bAoc3bJtpkDtdYklI3K2mvJ8K7s644DAkiYvsAwvH+I8cPabDpmD+&#10;Fo9G0FmBAsBcCqT5Q+57DPn9ZlJgApw9Z650dUSCpEz3DaPkWeumsyMjPbp3l149e2lnCsbXMqVL&#10;a1swrcR4MmgnpsUW9QRSw4wT2o2bNGmijzOiHjNsi+YtpGP7DjJwwEBHdKbIwoWLZO3a9S7RxmnN&#10;HzWCchQEATICMZkzd65e+CBQ/J9DducYnXIJxZdxfo5a4skAxIZt8f9Xza9DAvMrxATzK6oJk1/7&#10;9ukns2bPcf/fd7rvLFgrh/cOte37Db8fqDC0PWPQpHwDYY3HSxYfn760Pzcf3OWr8Ve9ERcfGEl6&#10;EoPjBgncn3xQr99cmxnExv/Fi5evhHyNxY/jsSUnqCW+TfDdd99VRYQx1JjiUD9YuAt/BsQCaTdQ&#10;LH6seCxwd3dczJCFffA4CgWLfXFhwziGZE4ZBNLCnQf/0blbvT0YZrT/wEF3ATiszvfUI8d0gbDb&#10;gzY+LlRcUJBUOZlZRv0n4wpxTS8qDzq4yNE6yYXT4tEJvjcfob7XzAwuzps2b5Wx48ZL2zZtdRos&#10;ikFUeLgUiopSrwW+C1qAGZpWxiXu9u3ay6xZcxzJXy9jx46XDo50NKjfQEs8Fdzry7vn8RoN9zuk&#10;p2/ffjJz5ixVDFPd/yuUj/Pu/w2eCu7++X/EujX4KFAZPUHh/32cu/kgIXOXm5GUkFx+TmLmNWyD&#10;/4cs9oYKCgFjPylVRRYIV58JyhD+mWXLVuiE2MxYK4dtsc1z5y+668oxJYvcXHHd4hq2zt0sQd58&#10;GYtjxjWEc+WXHAOL4DzgvMO3BOkjIIV8D5TUQr3G4sfxyJITv24HxlXKMp999pkaVd9xRISWWsjI&#10;rVvuP2haaQZfCK2CCQkJjkBsVyKBnAnJ4I6KcgzjqVesXKXyppIPVUEc+chQq1ejmLvbQKqDcGAY&#10;S9xNd8s+rdNCPlIOH9a7sNvj6LET2qqHdMuFm5OXSYu3B4SEE5gLCxc6u0BY/NLgHCLpkDQzBgmZ&#10;c41z7ux5dz5yTt4hOF8x9EGcVZ1x5zLn84/jlJJrLsIsdsb/sSlTp6r3pFmTpuorwSCLgsBidtWr&#10;VVcFoWnjJtKmdRsZNWq0Jk/KUIsWLZExY8aqx6R1q9a6Zg7zT/gd0tK9W3cZNmy4u2lYoDcFdMJA&#10;5DMqBhg+U1KPyK7ERFUvuQnB48L/cZRLP4qdY8D/tVDH7l7DH2OODzciy5evENbKoazFZ4aUFC9S&#10;TOrUriNdu3SVGTNmuf3ao9cCvgf2O9R27yV4b/+5OQZ8V3wX+EaYz0JZASLCZ/beMe7o+fx8X3z/&#10;GYlZqPewuPfgGPL/CbUSUuLDyMm9R5YmJxCQOwVzQ/CNQEggIy+8+KJ6RDCp0ulCOyOGO+4UMMFR&#10;UqGuusIREEgIBjiIB4QDcxwXN/7zonrwn5YTidHS/OflPzjkghMLgkG9lgszFzWkWyUbSjjO6UUB&#10;SZT/7LcHd3JchHxi8HeYtwcXGMIuFE9m8J0/6OB84qLI+emDpMi5SzLlvOY852J6pzjg/i/wf4J2&#10;ZLoQKFns3PXj8IvDkQD5/0UHDKrGuHHjZED/AZqUUUfwkRAoKjw2ZMhQLcnQYUQCDVbA3aEKyty5&#10;85WkDB06TEaPHiuTJk1RcykkhnII0jn/JyH2JNggQbMy7DndXxbnY3aJV0YhKSgmATH5oZTCcQr1&#10;fdxLeGLAMYaYsH8DBgzU8hOKCWUcPCYoQP369dfjEu+O1//H3luGV5ll6d+f3umenm/zn+7poqCw&#10;kACB4O7u7u7uUri7uxMgBBKCJsFdg0tVu0+7TY+1jfbMevdvPdnJIXUoggROknWu674CyXlsP3vv&#10;de97yea+mQte9/r+/YZen/eJW413lOBISDDP7XeEJFHnN5SSi5eu6BxGP+AY5h1/rnDXMbwaaMdQ&#10;cuLVE+wIdiDcMYbnEbHkBAJCQCskxAezEj/ig1hRSn7y059q3YL7Dx64gXbdDbrTbrJKlt0qW27V&#10;iQgJF/cMD6nBqJvcymnbNjfp7dUJFH80nYcJjo6kCsfVa7oyZPJGFjaiYHgX8MaBvoax8qD/ZUEJ&#10;bIj64QwrxpWBjJEB9FnKjwckOQCGmpgD1AUP3Iu4O9Jc30f5g2ygCL4IkA5KuGuMlSP7VE5FGfFg&#10;THklkvFGXAfAhbJy1SpZsmSpzJs3Xz7+eIZMmDBRjTeYNm26LF++QuO1GJMEmkNyNJbq+El3vQQ3&#10;jjequ4fzBsoKNUgu6gIhWBDc1+dm4kflQTXArQLRgfD4eYCxf8idn+f2rpw3Gdf+nfFumC8o7759&#10;xy5HxCZoHRNSqKNLRyk5IWupX7/+Sra4PvcNKQh33s/D8/0kUIh4bq6PCnLm7Hkliri5eB9+viO+&#10;hKBMSAnXfVNCZngxaFfIMoSfWBMWvNSMwoWIm82/Q2v/FyOiyYlXR8ikIZj1+9//vrpqKDxGwTEC&#10;WAlcDVVICExl8oKgsGJg0mT14IO+mPBOuWMCMnJR1RAGNGlfDG7qGtCpmOiYuBjETAJGTgx5DfoX&#10;/Yw+l00ygpiJQOHIdJv4INeLBLlCMM6rO5FsDwKiIRpMhhAKFALgiQUGy2M/OJCgbkuIhk9LfxEw&#10;dD5lXcfY3r3PkRNcJcQyMKH4zBhIAXEeLApwv6xcuUoWL16iSgppvmDe/PmyYuVKVRMgNqgcen5n&#10;ULkG51y9xhEcd+yatevUNcO9cP9+XAfF5dI0OwI3q9brSEzUe2VRwmKFe+T3XjEhcwVS8brj2r8v&#10;jDxxLlR+5dlx5aCYEFdStXIVLb3fplVr3XWYAGHUntDA23Dn/jxwXY6DlLA6R/WCkKA2UZGU7DqU&#10;YMgIJA6XFgoS7i36EH2K421OyzvQrrQztgVbw3vANhEYyzswcvhyvHdy4t00Pu3X7y9Dpg3EhP05&#10;KGJGMCsZNcSNUC8ENw2TGLEimkpL6i1FlHbsVFKiqojrEExUTEZM5qyUGMz4ZJkYGNx0EsAkRWcJ&#10;RSgpsU5kyAnfL4DvK+GQs195BGpItjuP/ki/hIzQV4nhQPYnSJoVF3J8kB6cpobIu1AwRsRCKdHY&#10;t1+NOuMge1xkp6gH6uHzQGEMfn72bzmBkSeQFHKAscctqgHhDlxTScj6IJBclQr3fU80+OlVlVWr&#10;V6uaAvg3RIbv+7TfAMG9cS6fYcNPiI+qoe5+eEbctOwWzDUgWVwHtSD0vvkbbg6UUYgebc27ed2x&#10;7d857w3VBjcKMTIE51LPpVaNmrpXDuSE4F3iY8jaYXdh3ivH+euHO39O+Ov5fgN5pZ/o5nyOkEFE&#10;eB9bXVvw/EFMCbU1Lur1WHD5xRbneN3nNuQOtC3tjWLJO0Cto69CGkmGgLjwLp64dxrueEMEkBNf&#10;h4T6I//yr/+qMSTUG6GE+9e//nV3g/eDYNbTp1UWo4ASqykmSMBqjcBVyAqrQQYpg5KVAhMGyggT&#10;PRMIExIDO1xDGAyvAiYf+lIoqchSO1xfwxigxAGMISt1r3oAXIf0TWRfVr2ArA0ICIHVrLBQ+TCo&#10;uB4JwsbgQLrp55ACjBFEPFAIUT4CAgBxgLgzPjDcAQJC4YnC7szjFO5YyAXVY1EbXoyg5g0pqEFs&#10;VuB2QQng3jiHXn/3blVjDh46rORJ09zdIoHv4m44nHREzxXuGl7R2UeVWVxHmffI/e5y980zUMU1&#10;eLbQ59ueuVAJaqdAaAC/xw2Fy4pS9Bh03hUGOtx7zS08MSG+44R7tiD4dYoSk/qOjLBJITVbmFiH&#10;Dhkmy5avUGWF/sD1OT7ceXMilJRwHMouq3FcWsxxtC1qEO/F9w3UE1zVKCUEBHMcffVVyJDhzeDn&#10;B+YE3Kn0P/os78hXi+Vd+vcS7hyFHe+dnKCUQEwoDf8jd40nT5+qQkKlVeJHyKohgM2rJKzEtBKq&#10;m1CZzJCu8ekhbaOOsErAGPDiMRR0Dk9KGODWEQxvCiYebywgvRg8jA4kGKWD1awnHWSskC2hfmdn&#10;SCAaAIPCKgqDrmTC9WmINurDthBSsdUZPfp8oIIE7hGvBvB/jDFjQ1UDjHjmT4wU8RaQdQBJILtM&#10;s8rcShvDxn15YMg01sqNn8/FjcxAcDfGWBViKCFVkBWeCTARB1kgNzLdpUF2Gj89UQt7bofAZXVN&#10;SLMP4mGC++N+IW2erKGeMj8Q5AkRghAxP6zfECgtANWFduA4XB8QRq8cvOk8wDmYW1JdW+KuItgX&#10;Vw6VXyvFVtAYk2ZNmqorB+Jy1BET6ocwF3FsbkmCN3IcR9ux4MJlh5HjmSFtXiWmSCJuPowh38Vt&#10;5ec+IybvFn6OoO2ZH+jD9EXA+0L1RBF91f5QmPDOyAmumyyVhN15//hH3bfGF0cj9ReV5Nz58zrx&#10;4OP2k7AHEzQTOLEl+NFPpaVlyZYYCRuEhQe8Z8DAflXQTzwILoVkhCJLAclEKAHxSggrZk9CcLn4&#10;uI9A9TipRABCgOKh6ZuJBJIeUOLgFQ/6OOQCg6ouDVwV3qWR1e8Dd6XCfReigssC+d7HZnBelAvI&#10;DuC6ZAagwpBho3D3R4YGhIF79wQD8Ew8M20Trq1zwk+8GHrcpLSBT6XX2Ab3f4jA6xAA/06ZtGl3&#10;f4/cL/fNhI5qAPnh+dRQO4KCoaZKsq/6ylxB+6JAMT/wfLzvcNfMLXhu7o/zkJ132pFP9sohuJda&#10;LKRHx8aUVWJCVg6VX1etWqNzFG1Me4U7byi4BtC+6dqAwGYlgY448g55Xt41/QfiChmFfEI4WZzR&#10;ZlznddrekDdgTuHdMCZ5VyxIICganOz6NMHMuR17hQnvlJwQR0JNkl/9+tfyve9/Xyu03r5zJyuw&#10;FVKCBBsoJcFKkomcyYcVGaumU2mn1RgwSYVm1GBkeMF+cId7WEPBgTeOnkgwKecWGM7A7XJHDReK&#10;wWU3eQBiEiichJH10EwWt9LxKkQW4XATjLogiLtw/RbXYqBeEFi6R8mDKiHbcUHuFBQST048QcFF&#10;qS6WTNcK52J1RfAqFU7p96yyuD6KxPGT2SQAMoSR1iyzi5eVfABIkwZ537yVZdwBz+wJF+0WSshe&#10;xaAxvjieiZX24j5oI4wnq3aIHOTidcYhx3iCwj35+8t+z8F7Q2VBYaEdqP6KagKpg5zwb8oDBPJ5&#10;tsF+UwPgiQnnwz0FqZw8cZLulVOnVu2syq9tWrbSdGGCeDX41bU9z5Cb6/tn51lRWmhTyC6kkz7h&#10;1TAUY5Q4VuS8A95F6HMaOYkcBH3mno5JgtZ5f8wd9A0IC+OV/h3u2MKMPCEnPsjVKyWQEu+6+fFP&#10;fqKl48m2YUdSCqIxmQf+4iCAj8lc5Uq3QmAFyuQXGjvCi/RypR+IoDCQEp7RT+CfB9rlpXDtRxs+&#10;Bze5vQqYDFnh8T4C+Eq1eYtgRZmhkzJqgBKMXACDhsHCbcAKnMk9tA4B/Y3Jw0uwACJBnwxcKpnB&#10;pSFBpv7//u/Zikf2d1BIICfEUmiWjAMTlBb0c8SD6xLkyr2wokLtIEaC+8Tge8UDwx9KLIL2CNpe&#10;30Um/PvM+c7D9RWPl40f3+84LwYXRQByAFkCfuXur/O64/FFfZzzcm2eletALJnsIXS0M+SEtidW&#10;BTca7YWR55i3cT+0KwSPgEaCW8c5AkKMCenCFcvHaoxJo4aNNMZkw8bNqmZwjxz3ouv7c/N3/2y4&#10;YzjOZ3nwfChlqEP0GfoKpIXn437oB/5d++sE1wL83/3tkSOg91zfcYvBW5lk9WbGA7n94KncfeSu&#10;/eRFbeN+/8wt+p66PvXwgdzLyJA7t27LLZS3l8Jd5+Y9uXH7ody5/0TuP3Hv0J3zsYPeo1uckuig&#10;5717V+440qn3xnG37rr7eyi33XH3Hrn3/tS10TOOC3ePkY3QvgvhZIxDNglgJ02eAHfex5v204KG&#10;PCMnkBKybdjll919Q8vH47phl15UEqRXVpWAVSQvDONA8JyuCi4G6W9+EL7pxJffETqJeQOVExgv&#10;Jm+MtxaHewEIloPwscL2Bh4W/ypgpU5tBx9fkc7OzO695TUC90mqqmlB8a/wtTnCQVNr3aQPMVD1&#10;g910M4F6EbhcgsBR/2/6JwQaKT0IxN6pcSIYDFVDnEGMVwUls5KwIx8+pRPQpzEqGE1vzMncwMgo&#10;CXEGj/YMqgjf0HfC+4OMeKUD8O7fV99n7HEPTKQsFvx74Bn4f25dF68Dntn3fe6B/sr1eYc+XZhY&#10;nX3uHaIoQJT4nicG4c6ZG4Rel/gZzr1t2w6ZonvldNLKr6glFFpr27qtjBg+QpYtX+n62TEdW4zH&#10;F12fc9Om3CPvGIMOcUYN82odfQe1hGws+qzGlbj+wr34/vDC53Ok4ukzN2c+vC23L6fJxeQ9cnT3&#10;JtnpSNyatY4w7z0iu05dl5QrD+Xq3Re4vByxefr4rjy67xaHZ4/JyT07ZP+6NbJt9WpZvWq1rHoh&#10;1jhsllVrDsj6LScl4ehVOXv7kdx0z3yfNnW24NGD2/LwziW5ejZFTibskoQt62Xb+nWyZvU6Wbd5&#10;r2zed0L2HrssJy+7Rch9994ff6okJex95hP4rQQgKN49hxuWWCKvsL1Jfy1IyDNyglLym9/8RkkJ&#10;5ePZTI+N8/a5SdwHt6KUMNFjEDTC3A08yAgTDy8qWyWxFDgPbyAga6FxEKGg7bTgllvZZsUchIEP&#10;1vSGHsPNe3gVYBwwxAwyjETgxsjOoMgraKAofUiDRYOA0VcB8QmoHcR2ZMV5ZK68qauhWWCZBAXl&#10;xLtcmFAoEsaKlsBMyBH9lkJmxCAAFAWMTGhcB9AaOu6dMUEpXP/2xMMTy2CPJFSQQAnB+ADeO2Di&#10;el/9n/uBNOFWDdxdPPcZN16vZxrKvIt18CSBNqItuS5kknmEd4ZyQrZRcD9sXPd2yrFzLOfhuii4&#10;pEkT5IpiUrN6DVVMICfsLjx61BjtO4wllA/eI8e+6Pr8nneLCkggMDE0Wg/DzZH0O12ouTEGUYGQ&#10;cE76EG2NWvnS53vmiOJTRxgzzsnFpE1yaMEwWTG0kwzt3F5at+oq3UYvkOHrT8iylNty4toLdsp1&#10;5Obpwyvy4FaypO5ZJutH9pXJrZtJn6ZNpEXjJhpbEx5NpWmTLtK0xQTp0GONTF2eIvEX78o5Ry5u&#10;P/tEHj2+Lw/unJN7Fw/Kid2LZcPUgTK1Zyvp366ltGraStp2Hy7dx66Q0csPy4akS3Lq5iO5/ugT&#10;uf9ChSd/gPeGiwfyzHzLvMl75t/Mybgsea/hji1seCvkhBol3n1D9VbUEtKBP/30Uy0nTyn5vXv3&#10;ytYQQ6KpjSEyJRH/TCpM1qGDOifCPUQkwt8vkwfPwiT0vNqRXc0TokFgIWSDySfIashUNdwKCfnW&#10;g0kMWRkjmO7aDKOYE6zICQRkomPF/iL4VRnuM9wMrPp9PERuEZCSIFNCjb5mlGQHMecdApeJkg2C&#10;RJ1RCJSNV0OgggSFxYCmpUNCXLsQ84FxYOIgEBG3D0YZUsdKB7cQ/n76Le/Kk0Ov8nnD8bYRrr/l&#10;Fbge/Ze+S//EzeSVH/oa/+f3oc8a7jxvAn8PtCljgL5P/+X90RcgqcTs4BbDgAdEKVCY3uR+/HUh&#10;ZLhYqPw6ceIk3Sunbq3aWlyNOJMWzZrLoIGDdHdhYuLoA7RXuDbh39wb458xT+wMCzKK56GUEFfC&#10;uEIBCpSSdFUn6VM5F2g5z50NfufmHkcAHmacldvn9smRjdNkxaBmMrxxnDSJqyBlY2pI7c5jpd2C&#10;wzL1wA05fOkFMQ9PH8jTe6fl/uVdkrxmosxq11B6xJSW+iVLSJniJaT0C1FSSpesLqWje0qlunNk&#10;wLQDsjn9tqQ+eSo3n9yXexmX5VrqQUnftVx2zR8vs4f3lGFd2kiPdq2lTcvW0r5zX+k8cIoMnLJG&#10;Zm5Klk0nAoXn+oOngVso533mE3hbwJhh/DAHo4qxwGOeQVXxxQHpP+HOUVjwVshJqAuHKq5UcL18&#10;BenqlBzSwRavq90dzhCwKsAgEtzHRM8Ef/nqNV0NsdrhpfgBGO6G8wO4d09KmFCYLHk2nhEXFc/r&#10;XSKoG6zIvO8euQ9DqKmZKBOu87Ja94DMsYLf61byOYmCB4SBmhBBQGZQDyYcIIj4sgNXRRCwGe58&#10;LwPX8/AKA6uBvASDmfZgu3vaibgN+tSrwKserFiR0gGrF60c7N4N6gcrHN1PyZHCwN3iSAgqiDNA&#10;TDAYDQimL+wHMEzeOIbrH/kJ9GP6L6TAB7/SZm8j+DU34LyBMXcrZ9f2jBHeu3flQFAImMdvz5ii&#10;xszbmNg5Xq/rnh0XM+XzJ06arJsP1qpWXYurQUxatmipwa9r165XIks7ca8vmsM4J32GtqMt6bfM&#10;h9qX3U8MFCSYvugDXT0x4Z5e3s78nWd3RvDeDbl7fr9cOLBANs/oK8Na15AWlWKkapmyUqZMdamV&#10;G3LiCM7j2yfl7pmNcnDZKJnUso60LV1SajhDUTrTYIRHCSlVopqUKtNT4up4cnJLUh/dl5sPLsvN&#10;i8lybPNK2TB8pMwfOlYmT5wl42YtkdmLlzqSt0SWzZ8h8yaNlqnjxsuo2etkxJpjsuzQFUm9+VDu&#10;u/t66JAfCQrvj/cY9OdAheSdYyNRAunfzDOoafSVcOcoLHhlcuKDXUP3vWG/Gyq5Qkxw4Rw/cUIb&#10;m4kDqZwVLuQEw0VsACt+Bifylp/IGcx+8L18AL4/+PvznQx4NqxwkwjPROfz+3wwwRCIidxPTMap&#10;tDQ3AQUkhPgHX1ac1RJtRIAwxIK0USZgn2YKkJVD//98Rc0A2ampn/1bKILvBeBaXHf/AUqavxoS&#10;DgZprCg1XmGAZOUlqJTK5M7gZhL3QaOvAlbZTPy+D3qwXwnvNBweg8z37vHkWXa/DUW4/pNf4J+B&#10;9kDNYxGh5NkRE9QBVniQMm0TbYO3+7z++pwf4gex512j8vlxgXpGnBr3xBjz9/Mm9+KvCxlgQUG/&#10;2rJ1u4wdM07Than8WjaqjFSpVFkaNWgogwYOdmNpk66CIU8c588RCu6LtgzOGWQZof7gOiRWBmIP&#10;OQmCaLMVZI55tfZ1xIQ4kWeOJN8+J9eSV8vxVYNl3uBm0qJ6eYktUUrKfBSda3Ly5NE9eXT9iNw5&#10;uUL2Lhgsw5vVlsalS0uVUmXcOcpJ2ZhYqVC+gtZ2eR4VpVLFRlKp6iCp23yRjJiTKNvP3Jb0h47c&#10;3z0hV09ukV0zp8rE2p1kRIcxMnr2TpkRf0Z2p56XKzfPypmkjZK4eISsGttL+o+aJU3H75JR69Mk&#10;8eI9uf3sa0pQUFDC3XOkg3fJO6WvMP8QAM8ij8UhahnEFOLiSX/u333BwiuTE09K2IiP7BvcN2y+&#10;d+/ePbl06ZIzTsedgd2nK3MMLAGvXrJCuqQGAkYBYpL71UDkgPtlouHeWVHSuXxKKqtsJFo6Fx2O&#10;1VxQFTMoUMUqn7RHT0I09dSROEiBwk20geqxR11eQWEuFA1cDn5vk92Z3w9iIVSlSEj4DJAKmewg&#10;DazouP7ngXuEMJH98KrAJYebg3erqayOiDEB5yVQMoKCYGSwBK4UJn4m9VeB74Ph3nVhBmPS93Ha&#10;mT4NOQmCX69muS7yauzyTjDMkHyMNcacEuCMBRY7zC8QYwJUuR//Lt/kfjjWj2/6FcoaqmIQ/Nox&#10;2CvHkZLKFeOkbZu2MnLEKFmxfKUj5UeVmNBWoX3JPwP3RXuh7LAww/0Eked51H3oSAqkHrJN3/ar&#10;5tciWgTB4op5fEPuXEqSU1s+lm3j28nYdjWkXmwZif6opJvkc0NOuK4zjA8y5OHlg3Izab5sn9VX&#10;+jWuJXXKxUnVms2lSut+0rLHMBk4bIyMGzteC9Flg00dZ8r4SWtl2uwDsn7vWTl+/b5cue+e71qi&#10;XDy0QtaNHy+9K3WVPu2myLglibLk+C05fDVDMh7ekVtn9svZbdNk1+zBMnTYDGnUe60Mnu/I3Onb&#10;cunp1+SOIyhk/jx/z/kHvq8xhugXhDaoOu76A32DccbC1s9PeTXOIhmvTE5IDya2hAJqP/zhD+Xu&#10;3bvCbsBsvLd9e1DNUv3AW7c5w7lfSQlSObETTCBMNjQ4A883en5qeN+hmIiIC2EyoZIlKx4MPO2w&#10;R1lwsAkaEymgTbLVimzlg98FMTjb9RjIibpLHHGB1JFqTf0XOqzCtScdmQmOFawPwMwJYgFyZn3g&#10;434RIItI4qg9rwzXFnQk3i2gffIaBJbRj5jE/UT+OiisA/9loF2CPk5mztXMeKYzrr8T/Jr3O3Vz&#10;bvoSfZfrkoLN3EIAM+MJgg8xZlGQ4frg23iXHMt56F+QMcbq6FGjNfi1RtVqUqFceSUmlKcfNXKU&#10;G7fbdAHCPXBMzuv7Z4A0ozwxdnkOFiaMcZQTSBeEnnHK9zgP98B5XutZICePb8vTB2fketo22T9/&#10;iMzvXEt614qRamVKSulXIiefyOP7bgV/do9c2zddNk7tJl0b1pRqletJjfajpOGkbTJ6zWHZeThV&#10;UukfjnhBvlisBKBY3jU5e+GOXL7xQO48fCr3My7Jg3M75NzuObJ4xBhpXqGvdOwwRyavOSYbzz+U&#10;E7efyP3HblxfPS53UpbL0bWTZPzgGdKk5ULpPzFeNp64IWmOnFx35ATXzvP3nH/g3y/vmrmZBR2K&#10;MAtLFp5ke7EAYwwy1l6rL+Rz5Jqc4LL505/+pGoJFV2//e1vqwuHWiWUmA98wIH7BqmS2AhWA/jv&#10;w8md4W4mEuA7DPfLxELnCNSRDCVYdBjSPlEKUIJYuaE8aBltRyhQijSTxE2kGqzpwL8J2kO+1XgP&#10;VUMCBYRJig4Ja2aygsz5eAii9ImHoCgYhbY8UCggH7gmMB7cW074iS7UiBREhHuHhjeHN6xMnBhf&#10;XGf0OfoW4yPcMW8DXJc+y8REsCgp6owL4qMg8owtxgyKJDUjuEc/t4Q7X27BdTkPYxzSQwzWpEmT&#10;pZ2bGCEjBL+imhBjMrD/QFm+YqVm5dAenphwHu5D71/bLiNYvLhn4H59lWDcoMRJ4Zrk7961GDpO&#10;c97fy8ExjqA9ccbszjnJOL9X0vbMkZWjOsnQ+hWkRWxJqViKCT635ITncQT+3jW5c3KLnNsySlaN&#10;aS/t69aSqtVbSoO+s6XTilSZf+impN14JI+0Dslnx+dzcM/3+N5leXRxt1yIny/LRo2R1hV6SZcO&#10;s2Ti6hRZe+aepFx3JOb+Pbl1Lkku7Z8v+5eMlZEDp0vjdktkwNQDsvnkTTntyMnNfE5OPHjnvHv6&#10;AIkOqGgsUFG8CcL2mXC+fxUm5IqcVK5cWb75zW/KL375S/kWpCTDrWZIDU5KUmMcEJLduiLAUCP/&#10;YkCZXJCmaNy8nNDeJhhETFJ0FvzYrBqR2ELrDqBoBOl+xIaQPpu9F0rgzgp2SA0mosQs0gHhYAO0&#10;IPUU0pGd8YEPH7eQj4Wg7TT48jYpqHe1HT1C01CZBOncOcEzMEn6VVi4ZzUYXgT6DP2HvuQJOuoa&#10;/S0vJ0pv2FElmUdwT+LaRC2B6DOeGD+MFcbA2+jj/lkZTxr8um6DTJwwUYNfUUwgJaQLt2zeQsaN&#10;G6+KCq4cxir3yrH++vz0xAr1hXHPvIjSo4kAbg7B6HD/jG+uSRuHnuPVwXG8E0dwHt2WOxcOycX9&#10;8yR+fh+Z0LW+NK8ULVVKl5Do4rklJ5yP+fqJPMhw83jyKjm+rLcsHNRcWtWsK9VqdpSWQ5fK0G0X&#10;Zc3Je3L29pOgQNpz9xQGxGY9uC6PbxySy0mrZePE8TKgcmfp326SjF10QBYcuS7x567J5RsXJT3J&#10;vetlo2XZuF7Sa+A0adB/gwxZnCJ7ztyRK46cZORzt44H75z+Sx+AGENYsRfYGcAYYCwYOXkBOYmL&#10;i5OHjx5pbMnVa9fUzYAagFuCctFMGqRfYnz9vhoMNr8SCHfh9wnuCXB/dAwPr5awGoKUMLmQkkvM&#10;Bi4qyAfuGfbuYPt23cLdPT9t4N0zKEiQEiYilCNiTzT7w50P0uGzkt7Gas9gKAjw4xEwITH+qOuB&#10;moga6zfxYwGE9M2i4W0sePw1masYkxAGFJMxY8dpujCb+EWVLCWVKlSU+nXrSf9+/ZWYsMJlweAJ&#10;hQf389CNa4wJrmzcsMSPcf8a7OjmEVRQsr3eqrHRgGx3L0/vyYO7F+Xy0U2SsnSQrBjUQLo3riwV&#10;Y6L1OcqUdASlBK6dmFyQE4JqH8q9W2fkfPwCSZjZXmZ0ry9NqjaQarW6S8dRy2XSnguy8dQNSb2C&#10;entXboE7bBHxUO4+CCq7PqAqbIiq8vTxHXl6P1VupO2QvXOmy7T6HWVMh9EycsZWmbT9pKw/dEyO&#10;nTok8ZsWOmLSU8b1ai8dh3wsTSbvltGbz7j7vCcZ7h4fOOTXgNhwoG0I/L7kFqkU2sN+sMCFoNAv&#10;IS+Rak/zCrkiJzExMZqBc/YcA+6Iui8w1Aw4fKgMQhgfBhjj61dXftCGu/D7BPcGOWDVwkTICghX&#10;DX5SVmXEdFDjwiskPCdqCJIyzx0E+rLh2n5NY2QLeFZE7IHB8VoH4zz7/wRxH0xWXIcJkEn1zVdK&#10;BkPBAeOR8cC4wFWjwa9uUmbcsRjApcNY1ODXS1c0Norx+yYGnrHH8RAKKrOya/DmzVtlypSp0rFD&#10;R638Sqow7hwmR2JMVqxY5RYqKTqWmeM41p+DcU3gMG5X4lDYNwUDczDxsAbCEyNGLBixJXz3Te79&#10;eTDHfiKPnzyQRxnn5Pb5fXJ080xZObydjGhVU1o0aihxdZpI1Vq1pXHN8tKgUrRUIpU4+vPIibs3&#10;iq89uy0Z14/Jqc3TZfuIpjKhRU1pWKGuVK7SVlp2GylDZi2R8fOWyIw5C2TunIUyb85ymTd3vaza&#10;sF+2H0yVQ+nXJP36fbn+4JlkPHbkjfnuqbvOo2uSceW4nNy5TrZOHC8LRoyRsaMmyZCxU2X0hEky&#10;afI4GTNyuAzuN0AGDBwpQ2etkwmbHXE5ekPO3H6kmTqoJvm11kk40B/p07gCsRssbHHvoBQGGwTe&#10;FOL7yBZ8WkjsRq7ISYmSJVVWxY1BejCTBcaawYd/liA5P2CZZBiskUBM/D0AJgMPOgFEgRUYW8VD&#10;KFjVkGdOhgzPiArig1gBShHPTYdhRQcZgZCxwuP5IWWB9A0ByQwSde3BtYBvFz+hgffdPgbD+4Qf&#10;m4wJVo3MIbg8yGgLDSZHiSS+i0UE44ux9Kbjx88DjFOCypkEqVdCVg6KScXysUpO6tWpKyNGjFTi&#10;AungHjjOj2PuhXHOAsQX1eJ+iYvRuDtHStTF7YwL9+6PfXtjP1BNHj+8LfcuH5Irh5fIzrmDZFSr&#10;etKySlWp3bi9VG3fX5q27yB921SXHg3LSb2K5SX6peTkgSMSV+XO5YNyZMVYWd29jgyrU0nqla3l&#10;2qaRNGrSWrr17iTtO7aWJo0bOjIH2kr9ur2la9/pMnrOFlm085jsPnVVUm89kquOoNx/6t637qfj&#10;FmgZV+Vq2iFJ3bNCtswbJ5MGdJEeLRtJm8YNpFH9htKkRSdp0XWE9Bi9SGZuOCQ7025qldhbD127&#10;u3ssSMQE0B98f8JtT+YW++4AXIMseLFX/P3t9Z3IRq7ISbGPPpJly5erakBMhcaWOGNO3AS+VRSI&#10;SGs07oVJwE8eTAwUzmKSQCYjwwZSQgQ9qzIkNJ4tqDa6VVWSoDAZGTRBKWkmHlZYrOwgNazyyHRh&#10;gitMncZgeFP4yZgxyvjB5YkbFX874xCXMfNNEPx6IjNL6M3Hmb8uJIHJniy7HTt2yeTJUzQrBzLi&#10;K7+2atlKBg4Y6Oa+FVnBr8wl/r5ReliQENSK8aCgGnMJYF8l3NwsXvgOx3FMuHt6fbh2ePbYGfu7&#10;8uD2WbmcvE5SVo2SxUM6Suda9aR2nCMRnYdI69EzpO/wQTKpZz0Z1jxWmlSOlZiYzyEnzxw5ced8&#10;+vi83Dq/WxLmD5eFratLv0rlpFZUZSkfVV1qVK0hTRu5c1SvIGXLlHKGo7RDRSlVvLbUqNtFWvca&#10;LwOnrZTpGw7LuqTLcvh8hly990QyHjq4xdvNm9fk4pkUSU3aLLtWz5R5Y/vLqO7tpX+XjtK1U1fp&#10;OWCMDJq4VKYsj5etyefk9K2HcuORe2/5vHx9bkC/wkYdOUp68WEVAagPBsktTO6dXJGTokWLypKl&#10;S9Wdw+SBcaZqJsGanIAJ4+2uBt4cfgKCOCGlXrx02ZGp0zqB4Iphi3tqiVAhlZLrgEkRHzHBa9Qg&#10;YHJhxaZb0l9id9hrGrTkVRJWe3QWnr2wdBiD4W2AscK4wWgTGMo4YwHAgkAVky1bVEGBPDBRs7h4&#10;G+PMEwvOR5D7unXrZcL4IPiV3YUrx1XS4NfmzZrL2LHjZeOmLW4Bc0wVk9CxHhATyvlfVhUVQkLG&#10;nu6Fc/KUkhLID/NE6HHh7un14drhyT158vCS3Ll4UI6unyLrhreT0S2bSuNKLaVmnT7Sbcw8Gbd2&#10;o8ycP1kWDWwsE1pUkJZVckNO7sjTB2lyI32L7Pl4kExvUEm6lS0t1UuWkegSMVI+uqxUio2R2Jgo&#10;iSpRwhkOEOVQTsqXry5VazWR+m36Squhi6TfvERZEn9Ojl+7L5cy7stFRzRPnzktKcluHt61SbZt&#10;XCkbVy2RdcuXyMa1a2XLlm2yc+9BiT+cKkmpl+XstQy59cD1FUdMiF95vg0KHrCnEGFim0igCLYW&#10;2a9jBHtGXzJyEkJOlrvVgxaHOXteJUzfQDkR7iJ5DX9tBj8vNpBrs+NJglS+E+qOIaiOyQ9XzXO1&#10;RrZu1YJorHiQYlnFsVoj8C1Uxg191pwId28Gg+F5MFYYS94dQnwWcRnejUoQLDFdBKOHBr++6Vjj&#10;OOYHxjRB6hAhCoa1b9tOK7+WdxMfxITKrwP6D5Q1a9apgWAeYQ7gnoM5htiAuxpjBxEh9gx3cIIj&#10;UwTs+riYx08/O0eGu69XB+dxeObmpAfX5MHNFLlydLVsm95PprSqLV1rNpJaVXtL3bbTZdSS7bI6&#10;+ZBs3jRPNoxoJtNaVpDWjpyU/Vxy8kyePr4lT+8fl+un1suOyf1kYq046VimlFQrHS3RZco7AhIn&#10;lStVlapVqkn1qtWkRpUqUr1SRalWsZzExZSR8qWjpGxsLSnXaLDU6LNChi05KNtOXJajl67JsfSz&#10;kuwIHWQUdYw5GWJHphTqAG1L3+BdPcYVlNV+vMPQdiiYoK/z/BBoFH7ICQtp7JK3R/TDcMcWJOQu&#10;5sQxYwYyA5rgMQJz3t5Ae3PwMgNC8lDvj5XW6bNnlZCg9DAIiBXBRUPcCOBlE+xK7QFWO7x43FRB&#10;DMk1nTRZGdFJQklJuOsbDIbcITDugasVlzAqLMSE8Ri4coLgV4gJxt/Habzp2OO6zBNM7rhmNzkC&#10;NGXyVOmcWfkVNw4l6du0ai2jR4+RlStXa6C7d+VwLPfNyhXCREwAizXmDw2KT07WtE/mHtzHFAnM&#10;u/kCw+Ta5MkDuXvtlFxNWSMpa8bI3IHtpHu9OtK8QUdp1Plj6TxhqyzYnSQJp1PkwPb5snVUc/m4&#10;VQVp8zrkpHYl6eQISY1qTaVqk+7SuudwGTzuYxk/daZMmzFTZk6fJFPHDZKJgztKn1Z1pXlcOakR&#10;HScVKreSSk2GSYfhi2TK2n2yKv6I7DyY7N55soYGkJId7CV0XtV42g6libYurPMtz01/ox1oE9qI&#10;eEjaCfenHxPhji1IyBU5KR0VpQZcyyq7RqHhwp3sXYAX5+EnHF4iNRiYNKgd4lUSXxguWJFt0iBX&#10;H9SKQkIEPSl/gUKSoRMPE5Hfrp5zg8I6SAyGtwU/ZhlPjDGMPtlxGvy6LQh+RTUhng0j7yfhYPX8&#10;+qtEf13GM+ObBdbGjZtlXGbwa63qNbTyK+QExWT4sOGOuGzJCn7l+twz94Ab15fyp1gW8wtuYPbH&#10;ojIqmXk+LiYvsyqeOPLw5OkDefzoplxPj5dTGyfI1ontZWjbxlKvWiOp22qQtJ2wWUZtTpXtp87K&#10;uSsn5OTuhbJzdItXJCcn5XrqJtk1fbBMbVxHetZpLA1bDZZmg+bLqMVubk08LQknz8spRyzOpKXI&#10;icT1cmjLFFk8opMMrFtJmkVFS9WoKlK+YjOp126oI0vLZOyy7bJqa7wcSDys22UE1XFvBwYX91fm&#10;+y7scy7PTzsQOkG2DkGxjAsIO2MHmxfuuIKEXJGT6OhoOeEGaySwWV4Y93HfTXD4c4N4kis6YeBD&#10;ZrXDBEcaIlk3xJIQ3MrKjFospAhDXlBJLl6+ogrJ2wi0MxgM4eEnWow8Yw3igfLAyplqyZouvGNH&#10;VvArpbz53psqJv66jG0WLhCOHTt3Z+2VQ+VXaphQZA3FZMjgoRr8invBl0TgHNw3xoDfcd8s1FBj&#10;2QtLUz3dXOLJFN8Ndy9vD45sPX0sj+9flQc3j8vp/ctk+7Re8nHX+tKxSQupVq+7NO07S4atTpbl&#10;x69LylU3x908JafjF8ruMS1zSU4cGSQg9uEFuX0pUVI2LpJ1Y0bK7JETZfTUVTJxxQFZl+jm22uP&#10;5Mrdp3LPte/D+zfl1uVkuXBstWyZNUgmtKwpHcpHSc3SZd21akjVZr2l6fBFMmTxTlmz65CknEjV&#10;OD7Uado279stfwJCzXggNAE7Rz825SSUnMTESGr6mYhgtH6CY6LAHwwhQQWBkAQ7+W7TyW7zlq1K&#10;UPAHQ1j4HtIhLxrXD/IuShADQ1c6EfBsBkNBxPMG/ra6cpCpcRX7sYorRwPtr157TjF5kzHpr8t8&#10;QWAtlV/ZkK5zx05B8GvFOI0xadq4ie46jMqacvS4Eg0/L3AO/s1CiHgI5hqIFAGKVMP2xORtkKmX&#10;g3N/Io8fOeN044RkpG2SxFXjZEaPptK1ZnVp0LCbVGs/TbpO3S5LEi9I8s17cun+Dbl9x819r0pO&#10;njrj94Sibjfk2rl0OXPkiBxPOipJx87KkdPOWF67KzceuLZ97MgfBPDhXbl987RcPBsvO5eOk4+7&#10;1Jce1aKkbkwZd62qUql5P2k4apUMXXVYdqQ4Q3s9Uy3JVKh5188/qwHQB+lbpBcTxxQo+xZzkkVO&#10;YsqWVdkybwfeZ8H1AC+Cl3T/YaCWsL8NTJI9aKgpoCnAboLzwXSemJCCRbQz5efZowBCwkTD+YKJ&#10;L5j8PMLdg8FgeH0wrjA+TDTI94xFMuF8HSHS9nGz4mL1wa+eFLzJmGR8M4lDhrjm9u07ZcL4CRr8&#10;WrdWba1jUr1yFWnWpKmmC69atUbYSJOFS+gcwb0goyOnEwfDIghFlt1jUVG0ONb9B5nzSV7PIZzf&#10;GfKHtyXj3D65mjBTtn3cQwY2qS61oytI5VqdpbIjJ10mbpDFO5LkwKlTciQ1WY6m7JTdyyfJ8v4N&#10;ZWSjctK0YlmJjqos1VoNkOYT1svw1Smy/sA5ST97Wzfou/2QzfceycMHri1uX5ErF85JWmqaW+Cd&#10;lePpVyT1wh25dOuBZGA4XRtnuHd26/ZNuXIlXdLT3SJx2SSZ3bOR9KtdRuqXj5KyZStLpZYDpMG4&#10;TTJ8Q6rsS78ltx88lUe0ceZ7zvu2y5/wbeP7o/9/YWivXJGTso6coDqEO0FeghfAxMYkA7EgOIgi&#10;TT51j4h+lBLIiHfdsIkegWrUMCELIAhuDUrG+9VQuGsZDIa3Cz9+We1hxClayIKB7AyICUaemBMC&#10;/XCxImH7lXS48+UWXJdxzpgn+JUYE3XldOykWTnVq1SVag6tW7WWMWPGKjFBXYUcca8c64kJ94Ri&#10;QgmCg4eC4FeeAZWHGBPUV+753RgLVstP5OF9N6cd3yinNw6RlSObS5e6FaViyWgpF1tHytfqIPXb&#10;9pMeg0fLqPHjZeyE0TJu9CAZ2qOt9GpUSVpWjpJq0VFSpmRZia3WRKq36Sst+0yVfqPWyPQ5ibLZ&#10;kZTj190C8O51uX3piFxJ2Sx71i+WuTNmyJRpi2TS3F0yd91x2ZVyRc5mPJTztzLk7KXLrj3YeyxB&#10;Eg5slA1zR8icHvVlUN1oaRgbJeXKOXLSerA0mLRdRmw+I/vP3JGMR87YumcqaMXUDG8PEUlOGOh+&#10;YvOSKv42Aqjw8SIHs8fFmrXrHNaqWkIRNTYiJHiISYNj/ETDeUJZZ7hrGgyGtwM/zhhzjEGUB1Ii&#10;WVCglKBwgj3x+1StgBRAAvwYDXfO3MBflzGPAsNihsquEJD27dpLzeo1pGyZaHXlNKzfQIYMHqIx&#10;aVR2RdXxJMOfg3vi98w7xJdAqrScwrnz6srh2d70nl8NkLZH8iDjolw8uFSOLOgk8/rUlJbVY6Q0&#10;k3fx0lKqVLSUiSor5cuWl4qxsRIHypeTCtGk95aUsiWKS1TmRF+qZJREue/GlG8ksZUHS+0mS2T0&#10;gsOy48x1Sb1+Wi6fWCupG8fIrKHtpUWd2lKtRlup3HSSNB+0Uaaud2Tt8m1JOn9JDh0/7t4t23xs&#10;lE0bF8qKyf1kdrfaMqx+jDSOdaSpfHWp0m6ENJkeL6N3XpID5+5JxmMjJ4bPR0SSEyYJVj0Eu1Lk&#10;CL8u0coEoeGuITcexQSSopk36r4h8yZw3/gVGBNHuPMbDIa8A+POKyYsFDSINOmIG7u7NCuHmA3c&#10;saHBr5CBNzHyHOuvy7yBO5fKr+yV06l9R638CimpUjFO2rRqI8OGDZdly1aoa5iN+EKJBj9x1ZCt&#10;w/YcEBLcOSyMUH84P4rJmyo8r44QcpKwWJLntpM5vapJ8+rRWZP3a6FEDSkV3Ucq1JwnQ2Y5Ann6&#10;upy6fkYun1ovaZtGy8wBLaVpXKxUiKolZeJ6SPVWU6XPlPWyMD5FNh06KnsPJbm2iZcD+zbIvm3z&#10;ZdXkvjK1XU3pU62s1IuJk9jYxlK32xTptiRJZiXelCNXHso9R04gJkZODC9CRJITyMXlK1d1IiAy&#10;HgJCCjAKCZMbpITJDcLCxMd3NR0t455m8TDR+Ykm3PkNBkPegDHniQmKCcYdxSQYv5tUqcD1GuzJ&#10;9XaDXzkPixIqaVL5VffKwZVTrbpUiq2gdUxQTFBSqPx69PhJ3YICdZZ79sSEf3PvJAEccISEsgTU&#10;S6LAGvFuPJu/53D3knd4V+TkhqTeuiDXzm6Xs7umysIh7aSdIydVS1SQmNINpWKN7tKs50TpN2u1&#10;zFq/Q7bvPyhHkhPkVNJmSUtYKBum9pGxzWpIB2c3apaqKRViO0rLfgtk9JZ0WZt23537idx/8qkR&#10;E8Pn4r2TEwY4YLBTR4DUMlw4TAQoImw2SEwJk1oQ6LpLCx+hlJy/cNFNIneyYkmYXDzCXctgMOQd&#10;vGFnUmGbB9wfKCYonbhxfPArBQ9zBr+GO19u4AkFpIQFCnWOdrjFy8QJk6Rtm7a6u3DFzDomzZs0&#10;lf79+muBNUojEIvmg1/9uQI3clCW/kjKMXUXMw8Rw8a8RD0lvv9+5hjIyWN5cPeaXEnZJCfWjpDV&#10;E7vKwK6tpFnjJmHQ2KGhNG1YTxrWrCJ1KpSRKmVKSrmSJaVU8VJSJqailK9cW6rU6Sz1mk6Sdt3W&#10;y8erj8m+C3fkzJ0rcu3ifjmzb74sG91NetWsJPWjykpsicpStlwDqdaoqzTpPUoGTJgp85askE3r&#10;V8muDfNk77oJMndoR+lTp7I0KRMn1cq3kqr1RkjP8RtlwcHLsv/qE7l475k8LARl6A1vhvdOTpjM&#10;QuNKgu3Gj2jNA1KDycRBKeH/FD7C//t89k321uXhzm8wGN4NIBoQDogHBaMIIN25e4+qnUHwa2JQ&#10;eCsz+JXve8Ui3PlyA8Y954FQsBfWhg0bZfKkKbpXDrsLQ0qoY9K6ZSsZO2aslqSHMKGYoICEXp9z&#10;BfExmdtdOFJCynDgfrqqc5SPS8l5H+8GzHGuzR7dkztXUuXqid1ybN8m2bZhjaxcsTIMljkslKWL&#10;psvM0b1kVJsa0rVmjNQpGy1RpWIlrm5bqdtzvHQet0ImztsrqzeekoTj1+TM7QdyOeOGXLqYIicO&#10;rJbVUwfKiFa1pE2V8o7clJPo0o7UxNWWynWbSaMW7aRTl27Sp1d3Gdirowzu2VI6Na4tDStUkBqx&#10;tR2JGSgNey+V0csOy47025J+95ncfORIrJETw0vw3skJEwv+W6q0sqLa5VYqKCRr1wXBrn61Rf0B&#10;VjNMEJAZP6mEItz5DQbDuwGGm/FJFVb2mUEtWbd+vZalp5LqyVTiNYKih159eNNx6xc3uFu2bdsh&#10;o0eN0ckMUlK6RElNGa5ds5YMGDDQkaStWviLRY1XbELv4dGTp0pCWBwRY4LrmGwiXMe4n3J+/92D&#10;62bfg5ZCcO1IW4YHcTS35O7tU5K+Z75WiJ3eMlZaVy4vMdHVpGYn11bzEmXKvmty8AJ7AX2qqb20&#10;6a2M23L+glsoHtwu6+ePkel9GkvPRhWkZvkyUqZE8SAAFxQvIaVz4qNSUqpEWSlXpZlU7z5T2s46&#10;JHPiL8qpmw/lrjv/Q4fHhWCPHMOb4b2Qk2BCCWqWEFEfBJ0d1cmAFRbYsXOXqiX4ek+lpmnBNV+1&#10;0U8s4c5tMBjeHTCCjEeISRBAelrHLGn9xJgQa0IgO1VXL12+mhWs/ibjl2tyDkgO9UdQQsjemzhx&#10;kmblUPkVtYTqrwS/Dh82QoNfk1OOqjLig1/9+bh/5iLUWIq1EfjKPfN9Uob9jsSh95A/QBXRO3I/&#10;I03OfE4RtknxV2X/aQpTZshV1wa4y1PT0uTosSOSeHC37Nm0WDYtHCfzxveREb3aSpfm9aRZtYpS&#10;s1QJqVi8uJRRw+EISfFYKVWyusRVbSYNmneXDgMmyaB522XGrnOyM+22XLr3RB64+3rkYPEmhpfh&#10;nZGTbLYfBK6xekHe1cJGmaSEuBJWW+zwiZ+X+gfUGGBCYSJiQoLYMLEYOTEY3i8Yg4xHjD3G/bng&#10;182bFfuckcfFgzJKwDpjn2PCne9l8PMHx1Mtk3TepOQUWbx4iZaeb+MmMXbIpfIrykmDevVl1KjR&#10;ulcOwa+QDD+H+HMBYt1QTKgizfYWLIpwQUFM/PYWr3vP7xeh5GSR7B7bWma0iZN2jliUL1dT6nQZ&#10;J+0XHJKJey7JzhNXdK5lziUAeP+B/YqDB/fJkcQ9cuzQdjm4c5lsXTpFFo7tKyPbNpT25aKkfulS&#10;UqFUKYkqVVaiSteR6LLtpGHrkdJnzGKZumqvrEk8I4kX78qZO48tfdjwSngn5IQJwK+wGOgoIOcc&#10;O8eNw3bQpAWvW79Bq0aimEBM/A6f+JLz58RgMBRMeKPOuGQ8s7sw49kHv+LGYUzv2btX40AgBX5x&#10;wXFC917DAAD/9ElEQVThzvkyhM4hqC+4jiASK1as0nolVHplEz+ICaXpW7VsJQP6D9DgV2qpsMAJ&#10;VT/8/XNPpBJDRAKjnKAEixRjVJlQMhN6P/kDkJN78uDeBbl4ZLMcXjhcVg7rJMO7tJfWrbpK5+Gz&#10;ZcCyRJm+K122Hk7T+fiQbgWyT91aBxMPy9FjR+XMmVS5euW0XDqbLKeTtsnBDQtk9cRhMqlDaxnU&#10;qqV0bNFSWrXoIK1aDZTW7SfJkPGrZe76w7L1yAU5duWuXH30iWQ8DRST8PdpMHwW74ycMMCJdEct&#10;IfKdQUAkPDUPmMhYbSGnkqVz7vwFXRXxfSaUUAnWYDC8X/jxzNj0wa8YdGoQEfzKePZjmfGOqvKm&#10;Rp7jPDEhcH7P3n0yY8Ys6dunrzRr2kxqVK2msSWNGzSUnj16yvRp02Xz5i1aboDqtD741Z+POYX7&#10;x5Vx/sIl3SeH+Yj79rvlou7yPZA/yUmQ3fPoUYbcueIWe0fj5ejuTbJ9/VpZumyNLFyzTeZvPiDL&#10;dhySrXsPKjFLPHxYd1lGQSHz6cq1a4683ZS7d29Jxm3378tn5WLqUTlxIF4SNm2UXY6IbnILy/Xr&#10;NztSulvWb0qU3QdOSXLqFUmHmNx9LHdd+z145to87D0aDOGR5+TETyqsnKhrgBuHOgdBldcN6pfm&#10;30xu+HtRVXwkv58U8ufEYDAUPDAWGZcYe5/ZQlYL7tigjslmVUwgJr7yK2P5TcYxx0EsOBdxK0lH&#10;jsqCBQs1Iwe1JK5CRYkrHyuNGzaSnt17ONIyU/bujdf5BvIRen3A/fM771o+cepUJrnapfEyKCZc&#10;yys9INx9RT64b573mTx89Eju37svN3UXd8rNn5FDyUdl174Dsn3XHiWWlG1IOnIkqB2FGy6rBo0j&#10;la7N+Pn4CdlCj+WBe//3XRvdc7jrQHtl3Hvo8Nj1jSeu7dw1nwRZOdqG7n7MnWN4FeQZOfGD+iGy&#10;6W3vxjnh2PkBIUUY+Vd399y3XyswUgWWAeHlXyaQcOc1GAzvB4xnSALEBGWT4FfS+0kXJivHB7/i&#10;ykF5wGC9qfKpc4gzkJyLoPg9e+Jl/rwF6rKpX7eeVn0lzgRiQg2T+fMXCHtupbv5xBOM0Ovz70Ax&#10;CWqZkCaMiotiQJYOx7FA4jiuG3ov+Q20nSdixOigIDEPo1yjKFHgEmLJO2TvIGJu2I/Mb/9BO3GO&#10;cOc2GPIab52c0JmfGxRuglB/tBsITBqkCVPpdYdj6gSdoaQQW+JdOEx+bzKZGQyGtw/GNGOTMYpi&#10;wuqaeDE23EQtQQWFmFDVmRgTjFuw6n49l0joPMIcwjkxorNmzZauXboqMYktV14rvzbKdOXMnTtP&#10;Dh9OlguOxATpwgHB8HMKgHRAPgj+hETt3bdP05zJFjx7/qKqPQTI5jwuP4JneODeF+3Hwk8rbrs2&#10;5JlZIPL+ICXBwhCV6a777n0ln56cves28O/dI1zfMBRM5Hz3EGqy8Nq0ap1NTspEvz45oYPRqRng&#10;RLrrjp4px3R1Rc0SwMCgyqtWXcyUUDku3PkMBsP7BRMF4xNDR/DoOWI0klNU/cSdQ6YdCw9UCOqN&#10;eMWC48KdLzfw8whKKqQh4eAhWbp0mcaYEFsSW7acRJUoqQGw7dq0lVEjR8nq1Wt1Tx1UG+6DQF0P&#10;yA2pwhAXFkTMP7gymPzIEuT/ZBuhzmDIUQ9Cj88voLgcz8meRcy9Z86e03lWSUl8vJJJFoc8N+8s&#10;8XCSVstlARnufO8SVBXOjk96H9sDGN4neN+QYd4/LkXKjKxYvlJaNm+RRU5iosrI33zpS69HTvyE&#10;guzLoCDADF8uAwJighsHSfG0W3kFQa/vcstxg8HwKvDEhEmDlQxZMrhhCR5FcmVco5hodp1baKCA&#10;BsblzTJc9HqZK/698ftlxsxZ0qtnL1VJKEcfXaq0FvyqXqWq9OzeU6ZP/1hWrV6jBRuZcw4eSlJ3&#10;TeCySVLyQVzJ7j3xqvIsWbpUFi5a5H4u0+O2OKMdv4+iaxx7WI/xx+cnkGFzICFR9rp5dvvOXUpC&#10;VqxcKUuXLZPFS5boz5WrVuveQ8F2ILuD1GnXNuHO9y6BXSCGiTghFrf0gXB9w1AwEYgaj1TBY5GA&#10;qDF71hxp2qhxFjmJLh0lX3oVcuInMMCEov7o04Hsu2lLULuEYDnk05Sjx5Slo6p4f7QRE4Mh8uDH&#10;NXFjjGtW5KgjEBMyciAnpP7jHqHya6hi8rpj2q+cWEEHCs0RWbhwsXTr1l2DXys4YoJi4ierGlWq&#10;KTmZOmWqzJ07X2ueoLAsXbb8OSxyv1+wcJHMnj1Hxk+YIMOGDZORI0fKpMmTlfjMm7/AGe+lwbFh&#10;js8vWLJkmbbXnLnzZNq06Vqyf+jQoVnPO8E9+4yPZ8qC+Qtlkfse7bXEPTckLdz53iXWrl2nxDB0&#10;q4BwfcRQMJA1vzhSwrtmYYNblQUQqfwoe5MmTpKG9epnjfcyblHypb/+69yTE38BWA9yIoFVCYmJ&#10;6r7ZkJmNA1FhEguISVDp1ZixwRC58OPab4THZpuoJKy4cQ+w2DicnKxj2geyv+mY9osb9tjatn2n&#10;xpEM6DdAGtRvoK4cJic/UQFUlKaNmkjXzl2lV4+e0rtXb+nTu4/06dM3G+7/vXv20r9369JV2rdt&#10;q1Jx61atpGOHDtK9azf922eOy49wz0D8TXdH5tiRmcJ0LZo1c8/bXJ+3Q7v22ga9e7p26uWeN4Ke&#10;GdccBIWg5Os3b7nF66OwfcSQ/+GJiV+I4EY94zgGtXaoc4YCyuJn9OjRGl/2RuQEssFF2K4cmRA/&#10;LpIiiglS6ekz5zJTCwM3DpMYx4U7n8FgeP9gjKJu4lohcJIJI9j3ar1sdwsPaoOcOXdBFxt+PL+u&#10;YuKBosocsnPnLpk0abK0a9tO6mTGmODGCSUmABWlbFQZqeD+DlFhLx3SinOC3/N3zlM+pqyUi46R&#10;8g6x7t8vOzY/wT8nChPPxjPyrP55eXb+pt8LOS4SQI0a6tOwjxoxQ9iUcH3EkL/hiQlzBosagrGD&#10;jUIPq5BBQVay/3BHjhg+XHcWzxrvJUu9nJxwAU7OygpfNJ0p/fRZZT0EyMF62FF434EDqqSwGuJG&#10;+P6bTmAGgyFv4CeOQDEJ9r5i/LLgwJUDmEAY56fPnsvcyO/BG43p0MmK65E5s9HNH1OmTFVFg4DX&#10;5k2bSZNGjXOFxg0aSaP6DVQOhtjUqFZNalavIXVr1daS9vyN1ONwx+YHcO8Ycp6DfYSoiFuzenWp&#10;VaOG/pvJnGdvwjMqwp8n0tC1U2etX0MRPL9rdLj+Ysi/8LyBd3vDzR0EbaOW4GlhwQMpWblqlaxa&#10;vVqIjxo2dKiO21By8te5ISfelYMkQ0VBUtQgJKglyL6Jh5Ky6pcg1/L9t7G6MhgMeQNPEhjXTBys&#10;Yglih5Sghu7eG6+FughoR3rne2+64PBkCEWVOBMyc1jcEANCQTVICpv6TZgwMVcYN268jB45Wjf8&#10;I7una9eu0qNbd62DMmzYcBk9arR+J9yx+QHjx0/QWBLcIEMGDVZXVo9u3aRH9+7Sq2dPGdh/oIwc&#10;MUrGj5sgE9x3J4wPf55IA2niOxzxpdYKWWGoduH6iyF/wi9CGOteIWULClVkt27VQPU1a9cqMVFy&#10;snSpDB3yiuTEXwQlhPQvah6wtbgPfNWsnP379eI+UO5NJzCDwZB3YGwCH/xKaicxJkwcEBOyckgd&#10;ptYIGRVBPZBgd19/bLjz5gZ+wsIYEaXPhLVj525VaCjstnUb2P652LJ1u7qcIFC4nZYvXykLFy3W&#10;YNdJkybJtOkfa0CsZqroPl5B3Ex+gieI6x1xW7VmjQaRUnTu448/lilTp8p093P27Nka/Lt27XrZ&#10;smWbbHXHhDtXJIJAa1bRLHZR46lTE66/5DV8f6ZfengvAQQ6tH7Om/b9wgDfRrQXcUQoshBQxAvG&#10;N7zBExIP1BMy6l6JnPgL8XKYwCg5z4ZZXpIhep//k0aMYuID5XjBOW/aYDC8fzCePUFg4oAg6Kac&#10;BxLUIOKmpST9oaRACUUxeZsLDj9xcT7iV4jWxwf9KsD1hMpDSir77kCmSBFevWatrsi2OaJD7Bux&#10;MzwbAbfhzhPJoIYLcT4kF1Bde83ade751jgytk6VJhIQ9u0/oOTu6LETOjcrwpwrEhFaNj/I5Hw/&#10;CRPevnEPEHBsGPdE8UGq7LIgv+X+HeoNCHceQwA/v9CecAbCPyjKunN3UGcItQQykhOvRU78hWA/&#10;SL6oJUwAkBMGDr5on5HDdzkG5Lxpg8Hw/uHHNIsIipWR7k/RRFbpWpbeGUI2gyP4FWLiFxtva0z7&#10;+QFAUjj/A/ZveQVgQFBzKNh25OhRrd/Bioz5iW0z+D1zEis35i4Q7jyRDL8X0MnUVI3lY95l5UmN&#10;ElQuCsxBLpl39fk8wpwrMhEoEu/bZnBd7sUTEvoNfYv2JZOI5A5q+gTxVlaP5WXw45q+SdvBEVDK&#10;4AzhSInHK5CTc1kvjRd24dIVLZpDjMl6NwkwSHDlaPCrm+C8YvK+OpjBYMgdGKOsAglqP5WalpUu&#10;jHuWcc1q/Oix43L23HmNrPerRsY3k05eEZXcAGOGEWFFy2IJVYRVGW5mjDaxcBh05iwMdrhzRDJo&#10;W8gG+5PxHCgMFMGj0BzzLZVfU9NPi9YG0ZL9z29ymB8Rrl+8bXgyTjA3qfIQDdxJtCMkhL6EkuNB&#10;3S5UKEggP9nJ2ocsGDkJD9qYtoELoDaxuKFuEe5a1JJFixfLnDlzZOasWRpbNnfePCUkr0ROYhw5&#10;SXeMhwsxEbCV9uGkI1lVIllhMVhgRay8QuWud9XZDAbDq4PxyVjVHcNPsDtvgrpxkFtRHw4eOqSu&#10;EIw8e7MQCMvEzfdZCWHwvUEMd/68gjdkTHxsgcEuyIFLJ96tzILNB4mNYT7yboL8ZET882FAWbXT&#10;7iwG2Th1t7rYktV17o0kOwPbYvAFyGzLUNBn6b8UFqROz6m0NFUM2QASVUrhSDnjgTAFSCCGFWII&#10;QeEYIycvhm9jiDWuHOYOUoUDV84GWeyIybRp02TMmDEyfPhwGeJICAUC582frynEIHfkJKasbrHN&#10;i2BSYhVFSXpICdIp/z5+MlVlR27GXpbBEPnwq0fGtVZ0PgAxCeRW3DksPohxoCosYFIG/Jt9aFBP&#10;QydoP/GHu9bbBNfgehAOVmRMfL5wE6syv1DyLg6eM9x5IhG+DXm+QDHJ0MUghhFjuctN7rv3sI/R&#10;yaz4DIzA550rHMJ9v6Ah63lZwbs2oq9TFp/+SjYQShSqSKC2JSuppbAg3gD6ERVK2Y+IcUH/4h0Q&#10;14R6RVFC3D3m1nketDfjjT7pK74yFiF4qLDelTNv3jwlI0OGDNFsMwoGDho4SIO6SSFetny5brfw&#10;UnISHRPjXmAgj7JpFqySnUiZyEgfhtETRMdg4qby02RgMBRWYNyZPFAYCKJkQiaQlKrOG934ZjJh&#10;gma8o0qwamSCZqLm/6wmdaM9Ny94N+67GPsYA4wy1ajT0k/rPWFAmACZi4gLYLX2vlSdN4Gf3Hk+&#10;DCCBu2yyCDHR53Or+yw3TqZy9SLj6I2EB98D+ak93gS+LemXuG4IN0D1o01RSejPXhGh31AyHcUN&#10;Ao4qRfA3hhVySFo9ZJw+R80uFuL0ebN3z4P+RbsoqT5/UdsT9yqJMnhZCN6GnLCv1YyZM1U56dmj&#10;hzRt3ES6dOoso0aN1owz/p47chId7Zhlipw4dUrZJSmFrKxg8X6vHDZr8h2/sHR+gyG/wY9PJlQm&#10;WGLJDicl6Vj2ign7YW3Ztk02u58EXUJamGCYyCEl/JvsHeYB1BUWLATKft4q/m3A3zcGGTme+DaI&#10;EsQE451y7IQaEFbFXjHJL/ORfzbaj+dDFSHjZt/+BFWEaGeMKXVgQt1U/hnDnZO/8z2UAgwG/35X&#10;BPJ9wrclz0+gLe1FcT/UPogIaohXRgiYpk/ThxkLkD7UQIifbzPfbh6e6OWn/pWX8O0NGHcoSpC5&#10;ZEf4cOPgXSG939cw8S6b+QsWyJQpU5ScQEBaNGsu/fr2U0Vl9pw5SlCGDhmSg5yUfJ6cREVF6UvE&#10;/7xj1y6dlIjgx4fEqouCKshlhf0lGQyRDsYoEywTLxMxK3FiS1BCmTxY2VAQiUkFo4jRh5QQ08FK&#10;ktpFyOBUdNR5wIHgU4gCsR8YQj9ph7v+64LzsY0+52flinpw0N0DMRgYF+6JlRorNiZIjEe480Qa&#10;/MTO/XLfGEbiSIjxgXhlKSZuog/m2jtZq/WXtTHvme+z2ofscG4MNb8P9/2CAN+/aUuCiOnjkA76&#10;J7vc6g7VmcHSxO0QokC/RvknqBqFBTJiikjuEIzLbBckfY05AhLoY1JJdwe+hgnkBLcNBGXWrFla&#10;BbZ9m7bSrm1b6dyxkyMofWXixIkaIDt40CCt8pxFTkrkICelSpVWFw6rK1ZTSDRMSEhfyMLcGC/z&#10;ZYPFYDC8XzDhYuCZiFPT09VlQ1EySAnkBOVE3bXx+5S4sBkXq06MHEoLE1CwMV+qTj5BRs92R3CI&#10;Ozul3wtdVYa7h9dBYHQea0YFxgTDwjVZBWN4CHwNDdDNL4aF5+JeuW/alhoQxMzQ/p54EVODS8Ir&#10;Jnw/N+0LAcXo8l6Ik2A1i8LF7wvqXE278Hz0wyCt/Ji2I+oa7aquSNceED3IdKCS3NUxgR2D2ORF&#10;/y2I8H2X8ebbGzcOcwrKa6CYBLV4fGE1ADlZvmKFEhTUEXbPZsdsFBTUE7aqGDx4sLp9Bg4YoFsy&#10;vJCcFC9e3E1c67QgE6sqXjQTAqy0IHd0g6GgAfWBiUTdOcnJSiyYMJhEUE98IS9W6vjnISRM2H6y&#10;5if/v3jpSlBISVWXLUpsWI3in+cY6onw3XD38CoIvSauYwIYMTDcI9dGwcHoYlj8PYY7T6Qh9Lk8&#10;WaTtaHeCMgl6RTkhPgLVg++FO8/ngTTZs+fPq4EGGOXgnWa4axcMF7x/Br96h6DSXtTlQhWhT9KW&#10;Pm4qUPiuaB/1fSbceQ3h4fttaHtr0KubT3Dj7N23X8sQeJXEwxOTnICgLFi4UBWUIYOH6G7h7H/F&#10;ztrEo3Tv3l1qVKmaRU5KOS7yxS98MZucFCtWTJYuXSZb3USG1As7ClIJg4krv3dwg6GwgFUOiwqK&#10;qqF8EFPC5IGbNiHxkGbiQAD4DrI4JMMrEd4QZK2U3OqTOAhIAqsjFFWIA8d7BSXcPbwKuB5qAQaV&#10;AFE/AVLISYNfzwSbDzIP5Tdy4tUSngu3FO4b3gHprEePH5czbsL3isnrtCXGQ2X29NOScuyYuuEx&#10;2Mzdoe803LH5Ady7N5QQPA2QPu2e1RExVBLaE/cCsTu0ASQW5Y16MF5hy8/P/z5Ae9FuiBKocCir&#10;jEM8KRRuxLOC+voyUuKBgoJ7BwVl/Pjxqp60ad1aOnfurPthoaKwY7UnJyWLfSRf+MIXssnJhx9+&#10;qOyGSQj2CfsmxoROYS/XYIh8+ImcSZlVZfy+fbrCQXoFlHbHXeLdIxh7xncoKfHn4ncYPoqxMRdg&#10;CDRWJdPli8uFwFTcMK9rAP39ovSwCGK1S2VUJkFIFSSIQHwfY/K613nX4B5pV9rXExMUDdRo4vm8&#10;u9yv7qnw+vg159nQa7CgxFXEu8KlgXHxBCXcsZEM2iK7HR8LNV4gcbiuIHb0bVx+JG+wwzHuG8gy&#10;/YRn9nbrddq0sMG3UzAWg35LijCuXdQSxjoLG9RTgl5D40vCkZGc8DVNICm4cUaMGCE9e/aUDu07&#10;KDGpVb2GlIuOySInxYsWky/8VQ5ywg6hyIyk7iHjcKPhHsZgMEQemFwCBeKuGnn2wiJtmKwFJnMm&#10;8dC6GZ83cfM3xj/nYy7AuFIYjHPh+mXnYopaESiPEXyducLfLxMhhhplgYURxgd3EvMQikl+WwFz&#10;r5Atso0orIaSwTPpSt/Nr2REYky9Kv0m5IFrBStcdoBN16QG75Ln+pBQvhPu2EgGbULboJaghLB6&#10;J4AYNyXkDsWEDDSeE5JsLpzXgycl9BHaD6KL6gYpUaXP9VcEC5QSn4njSUduyUkoyN6ZNn26DHcE&#10;pWuXrtK4YSOpXqWqlC0T/WJyUrRoUb0Y0hhFj+jw9qINhvwDCAKTOcoI8QeoHADFhJU6bhz+zvfA&#10;y8gJ4x9wDMYUQ4Bfn3NCUCAQvoomhiTceT4P3APGk/sl7gLDimJCLQo2BuS83uCA/EJOuGf2ZQmy&#10;cQ4J6ax74uPdO3HPdeGSkj3alJ1v3/S5OJ52ZL6mzXzaNYX1mMtpW8hduGMjGb4va2B2arqmWxNX&#10;AskmBknjIV0bY0yJu8G4vqxPGz4LP84Zv7hVUUlxN6JIBYubTa/kwnkZKL5GSXt22e7bp680adT4&#10;5eTko+LFZdOWrTqBeWnMXrTB8HbBmGISZTK45wwK28bjH2fl53HHGeyMe/d10uU7jEcMDMf4STjc&#10;uXEPEENy3hEGFAhcOcSQ4S/28WOvs4rmGI5FddENA3ft0vL3BKziSsClgHEMd2w4cP+ck2PIEvJp&#10;iRR7ZFKkki1Gh2dm4gx3jkgB79NP8MFW8a6d3DNhPFndQxRwtUAacLXwfvPiuWhPDLmqC0nJuuJl&#10;h2ligzA6uEZe592/C/j28+OCfsH7R02DYKGWoNoBFChUPP7G9zgm0vtIJMG3NW5E+qFva/bcQp0i&#10;Tg0iTeC8r1WyzBGKcETjteHOu2DBAs3e6dSho9SvW1diy5bLIiclcsaclCxVSuLdZMON0kHshRsM&#10;bx9MDowvFAOMCcoDxpm0XcCmfEiqFy5ecivDK0oIWP2iInjp+kVGhr8F25WfURcCBdco043Bwmjy&#10;9xcRm88DcwETGYTJl6lGDUDl2Ld/v7oTcM2EOzYcuH/uhWcihoB7Baz22XCNiZJJk+9F+jwUalgJ&#10;HtT9cRyBo420+JcjChAVAjWDWlHZwcfhzve64Pr0KQJGaUOuz/vhXiCPnuyFO/Z9gzb0xIQ+DpFm&#10;KxUCo9UV5p6FdiSQG4KnAa/uWb2d4vhw5zV8Fs+1tesTl69c1fniiCMlPiaKytEQE/bAmTN3riod&#10;YUnGG4DKsOy7M3zYMGnXpq1UqRiXRU7Ac9k6UVFlXGc4poPHXrjBkDdgXLGKxTBjsPxmdt5AMxGj&#10;dEAoICqsHFn9QmJwreASYGJmnGJsUEseuokGg0csiQZfnjip8jfkhEJrHM9k9LpGkXsGHEtQIrEr&#10;3KtXUFBTUGz8vPGiucP/jXtnNc/zs8onwJbzeTeEz1x50XneN/xz8LwE8ypxc/eMJI4RJR7HF7dj&#10;lY8xDSUlefFcnJd3jCuEPkC7QkxpV8gRSgMElXbNq3t4Vfg2pF1oH/o1fZx+TzuiOFF3izEBiUXV&#10;5zt52Y6RBt9GoeB3r/Ls/hyelED8IYEsgLzrkbGMC4egd8gDxGTSpElaKI0dhf1eOJCWnETjdaDp&#10;xQsWyMfTP5Y+vXpJzWrVsohJ6RIl5K+/GEJOykRHu06cpi++MLx0g+F9gLHFBMEkS8AiK0E21GSz&#10;MUgJIIASowbJwP9LiqjuCeJAkBrkALUChYVKo7gRqKGBykI2Dqm/e9zEjjSLRIvRfFtGKTAgwf5b&#10;KAPUUEk6ckRJhTfA4a7hJ0hAVgXPzTNBzKhTwaoY4wMxoX34Xs5zRAp4Fj/Roxix0mf16dNbNeYj&#10;+YgST4I1IS7+2d+0/V8Ef0+0P+1LP4CgUC01SFs+oQQXUuizMMOd513CkxIMJX2K0vP0A2KZuG/u&#10;n/HA771bEiKYV20YiaDP0M9oJ+DHxqu0Ad+l3YIMHPYeuqgEkD5K8TpUUIhskCK8wRGQVTJ12jTp&#10;06eP9OjeXdUNNuujmitunnBk41Xh04vnuXMO7N//s0XYvphj4z98vTxIYXr5BsO7BGMLwxCsFO+q&#10;EoIUT6Ak6b8YFVaJrHYhJUzQlOJmFUnUPJMIFVup8Mrq/GBiUNeC4wD1HlTS3xtUdsVQolC8rXEd&#10;GGQUmitKLLgf7pEqpRAXJsFwxIJr83sMEoaIOALu/5AznBAu7pHJk7Z5W/eaV+DeaAdUCkgZq0+q&#10;2AKIFu4I6sNoJpMGvgaELS+fyZ8f8A64Nu8E467bFLh7gwwG7qU7ev/hzvMuwX16tYQ+jNrHfk4a&#10;o+P6FkoahDvUnRmubxVk8Lz0M9xytFVonE1u+xPf9SSaitGQVRQp5gdKzwcZfTuE4oykC69ctVrG&#10;jB4jzZo0lTq1akuH9u1l+PDhMnXqVK1VEo5svCp8ajEuoyGDB39++fqYsmV1cgz3cAaD4e2ACYXJ&#10;AuPARIOhZ9LBzcOqhgkEWZ7MC+IXWH2z6mWVA+nAVcAEHsR7BHuyaBEq9x2MDwW+gpTfgMRgLDlf&#10;uHt5HXhihdHwroMXkROele/zO51gnVFE5SEzJyBczmAeZVPRIB4Dd1duJ9z3Af88vLtgtX/VEcnT&#10;+vy8E1QTjCyBhShZPPf7MKj+HXGPLDjJ1qKvEJSrhd/OXcjKGPLvK6/bnfOH9gf6CjFXqHqocBhM&#10;yAn9lfYku4w+xj3Shhz3rtvxfYJn5bmZI2gHlEYqNrOg8X0q3Dvjd/ydNoaQ4G7l+OzUYOLFgi1q&#10;/LYUZEERQB3MMYd1bpk5c5Z0aNde6tWuI02bNJFOHTvKsKHD3O9nBkGyb8nFw7k+u/Ffjl2Jyxo5&#10;MRjeCZhAmFyYcJlIMHYYEyYiJmNPWAhYI8iSSRwXEIoD0jwTjQbRugkchUXJy5EjWv8BdYWVEP5j&#10;Atv43dskJ14xgIywKR8xJ6FuHZ7JT5r8JIMlyLzAkKerZI8RxwihmvAsQbBm5NeoCDX6ECpUCbKL&#10;eJagDH2qGhDeG997kQHJa3BNTwIgIRg2nx6K4UHxQtanX5Ap9nnG7m2B83tjyz0pKTlxSo2iJ9m0&#10;J32E+4Kse2LyvtrxfYLn5vmDVOo0bSfIBaT3RW3i3ztt7GPamB9437QxChrZexRmpBQAChUZXSh/&#10;ZPhBYhinkGu+M2rEKGnXpo00atBAalavLp07dZJx48drPAoBrW+PnAw1cmIw5GeEGh2/8mQCYkKH&#10;IMTv369kgT2yqE1AKjEG6W24dfzxGF0fMwLJYOVFRgiTIffGpOnB/7lPSBWTJCt4JkUIFMdinCBd&#10;TLbhrhkJ8M/N83jFhEmc1T5uKZQjVCCej5gZDEO487wPcN++r0AGaHNWzMQYQAa4Z69O8Gy8L/+8&#10;INw5XwX+PLQd79j3He4Flc/X0qCwHwYUlYc+zT2HO19hgG8z2ooxxV5MEF/6GT9RHv04C21fUoOp&#10;mxMcF5A/7yoj9ozgeIJd+UkfIACW7DgWBxAe4pA4F/dAX8A9vHjxEhk4YKAWSsPV0sT9HDRwoEyf&#10;Pl2LqeGWeVOCYuTEYCgg8BM9SgMKC7ItqgVKBiQFXz37X0AC1m/YqKsjJiqdwDIntHDn/TxkTYAO&#10;rHpxN+GOQSLGMBMbgNzsz8/kSawFxRz9RncQJ0pgQ5gw6gT7QlownHw/3HUjATyPX8Xqs7s5kuBl&#10;jCkGHhcEKgRGA+LCxB7uPO8D/t4x9hg6DBHvjXvm3nkGH68EseL+MW6epIQ756uA/sC16ada5dUR&#10;Wlbp9AcMLRk5GMhjJ05oP8FI8l2MbLjzFXSEjrMb7n2RZUdwO20FsaTqM+TOjzN+4grFfcNYYxHC&#10;WNSx6d4vcUaQGsgIBJD/83v+Tro5cwZEhjan3/p3zvsnpiwhIVEWLlwsPXv0krjYClK3dh1p07qN&#10;9O/XT6ZMmaLE4k0JipETg6GAgAnET0xMIhgfJha/0mJCw3XCrrfr3CqJVbJPJX5do8O1/HXIDgqi&#10;/BPUyB07flJleIw35wcYJAwNJIbvskrzKzfAsRAmv2Ln/OGu+77h2zhwRdwUNunTtnVtSqYSkzwG&#10;n9W+GnXXRpH0LKF9hXbGCEGwcAli8CCuEEXeB0oQgdkQFN4fz/06z+Kv568J+YQ8YzS5JtfjurgZ&#10;UE98JWBvIF/3uvkdvt08mcQ9yNjBDUe7HT/JOCNonMyvYJxB4mhf4tR8dhaxT9u278hy7aKa4MrB&#10;9YhbiHFHLSQyyOizoW3u5wb+rXsZOULJcRPGT9TA2JrVqkvN6jWkZfPmMnzYcN2LjxRjCEo44pEb&#10;GDkxGAoBMKIYGEoCUGYecsLKiQBUJjUmPSa2cMd+HlQ5cMezykKdOeBWVBgXVt1MdrgGSFHFsLGC&#10;QxHRWhVuZY4hRy1hXw4mS+4Ho069lJyTYiSBe2Ly5rlQFdjnh/vGUPDsGA4viUOyIt2g8jy0N31A&#10;g5Ld+4FoYXyUaLp/4+Yh3oDnJXg5VOrPDbxxDdrtrr5j+gfX0oJqbtXOtegXqE8oKT5ziOMisR+8&#10;CzzXbreDaq2MM1U/HNnAbUo7QoJpV8Yy7QYpoQ1RIQkoJrCVIFcfU0L9IKou02d5BywifDG+z2tr&#10;31d4LxRdXLV6jfTv19+RkhZaap7Mmp49eqp68qbpxUZODIZCACYd73rAEKBWaPl6N7kFm8BRhOvV&#10;4zuYNDmeCROZGQPDxEltD67HSoyJEmNNnQo/qRL/AjFhB1NiYHZlViwlmJQVnycmkWiUuDekddQS&#10;SBiBxUz0QSZJIInjUoMQYljyAznxRhAyxbMh3aOi8E5w0VEhnDgQiBdKB+81t8/lDRp9kMwrjBoE&#10;JOgL8e68B/U69CGCujG0BOPy/Ugmqe8Cvt0gDoEb1JFgR+Bw5VAgLdiI96a2Kz8hGZANSB4Kni+G&#10;CDEBqKa8T5QpFBWCXFk04P4J2vvziaDvK9wXqlbykaOybt16GT50mGbvVImrJK1atpQBAwbIxEmT&#10;VEEJRzxyAyMnBkMhAIYHo49yQYAsNQtYRTFREWwYZNTkrk6CNzasnlilMclhaCAmTIisxgLl4JZK&#10;0BgdDDerN6RkX2kSsGEYqglpikHacLC1PdfwCHcP7wr+HvyEzDNjwDGi7DWCCoUBQAUKMiaCjVHz&#10;82qf++Yd8Cysvqk7Q6AytS5I8SYWhH5Ee7zoeN9etANGL1jR39ZVPgYt23AGbgVK0nO9/KA05TVC&#10;24++xJiA8EIovOuL8YZaF6Sm39IFAu+K7DzUO0/+WYQQX4ZaQh+FtEAufRyRJ8+v01epQA2x4R4W&#10;LFgkbVq2lqqVK0uD+vWlbdu2MmTIEJk1e7amFr9O/ImRE4OhEIAJCIPDRIfUSyZNVnaGEpQz6prh&#10;Oy8zrJwLVw5uIiY6ghdZkRFUx8QJSUFKTnJGjTTHwBDtls1u5cZk6bdXB/ybiZNJE3LCaowJmYn5&#10;dSfNt4mchgISp0bAGQpWrwA1AbcHBjs0PuJ93/vrgvumD0AU6BMQMVbjkC+eG7KJW4Z2CXe8b6/7&#10;ri8Fe7QEypmvycO7Biht/I72JIaB60Fk8mu7vS3Qfp7QoTrS3rRbwkFqGSVoZhtkH3LioW64gwcz&#10;A113yhZHTpRM7nNERpWSY1o5msBY2hqllP7sx9jrtDlxVLwzyNH27Ttl3Jhx0rF9R91NmA37unXt&#10;qiXu58+fr0TDyInBYPgMmHyYiJiQCEZlBYzMu8kRFFZZTG4YIcgLE44aWDf5YGSy8TRrJYzvm3Rf&#10;jDMEB+JB6qffIZbsG8gPqsgGwCrOAReOJye4dPg9/u/DSUeckbqgxp8VHSTJG3k/gYZ7rrwG1/bP&#10;zCQckLGgrD4rVIiZV4kgbG+yEo0cfFYp4p0EmV+X1HVAvA3f8cd4A8fvOIb3hysi1M1AACf9DmXN&#10;B2BmBby69n3f7/p9IbTtfPv59oaY4PaCaDCu+DfEH2LHhnz0QSUjjOXNmxU6Ft3vWCRkk78g28mP&#10;q9B++rrtzfG+jxD8vmbNOhk7Zqy0btlKKleMk1YtWjhyMUT3yGGvnFdVT4ycGAyFCExKKB6stlA5&#10;ICYQBjakY8JjMoQkoAKwamOCZJUMICT8Ht838SPBxLhDJ0TOAdGBoKhcn6nMcP4du3arcuInUdQT&#10;yAnuHSZSjBZxMEykXB/yhBFEqmbl7ZWUcM+TV/CTNtcNsh7Ym+isunKIvUBWp72Iy/AZObTt6070&#10;kQrfBjwb7wHyCvh36LN6o8rvIRzEMhBbQnowq37iIyB0kBRUJq+SQfq8kQy9bmECz0/70odQNAJ1&#10;juq4qao8MnYYNxB+FEqvTrL3TfA3Ykq2BYsD93f6J4sN0oshh7jTODfXCXf9NwXvjvd96HCyLF26&#10;XHr36KnBsY0bNpSunbto9s6MGTOUbLxK9o6RE4OhEAFDw6qMgEcIBsGpEAvSC/H/UymSuiPUKEEV&#10;0BWaIzIAdQMDA5nALcQxoUoIGUDBqs1NoruDlFomrGMnTum1MExMrEy0Ggjrvs+EivTM7wMErqED&#10;boLFhZBd7v1R2OfJKzDheoN7yU28fl8ijMI+B54HAsXE78lTQTWyPJc3oJAJkJOI8X9W5ihIkDgI&#10;CUaS/uLjI4grwVj6+hkYTNqN8xTEdssNeG7agDYliBo1CZIOWd+1e6+OD0gJZB/yj9LoKzwH5H+7&#10;Ko/0SWJ5IPcooBAclKuMe2Tivb36NOHAee8Qz+bmFMbuuDFjM1079aRhgwbSsUNHGTdunO69Q/xJ&#10;OCISDkZODIZCBIwMEyHGAePKCovaB/ios2ThTMWDVZkG4DmSASAckBImSO+m8ZMlx3EeXbm5FZ2v&#10;c8LqmeA7Jkyt/OkmUcgLxzHhIlPzXSZjyAx7e/B3wHchR+nO2Gn9hUx3U14aMs4NuA7XY3WPKwcj&#10;G5CmIMYE9cgHFBZkYgJ8m3h4suKNKuQMwwqJ0+JgKUdVVaPv0G7+HXrXAm3r2wuEu2ZBBc9Nn6EN&#10;IGe0B0oUKiE2lraDrDM22AUYeNUEcsJiAOWR8eY3+AxqnZxyxOaikkPO6cljKMLdz9sA5+Z69AMK&#10;uC1ZvFR69+otzZs0kxpVq0njBg1l8ODBGhzLZn65VU+MnBgMhQhMJEyQTI6srCh0hf8fkkL8SEAQ&#10;9igxgWj47AAP/o/vW4Nf3SQKgSC1EQNEoC2GHB83xAdXCNH8xCf4nYrxnUNicP2womalRyYCK0ZN&#10;N3bnYF8djFugogSVK73vnImciTDcs70paBsMLm0D8eAZmPSTklO0bbh/9sgJpPI7GifhjWy48xVU&#10;+DbCGGEM6UPUrkEdIR6CdiLDhyBMUl0vUG3UfY/vezJX2NrMgz7jSS/9iED0YPwl61hCuYSMQEpQ&#10;F1evXZtFRlgYBBlTQX0SyD5BrhB/xhrjmTb25C/c9fMCfk7h3RL8zBwyb9586dunr9Y9qVW9hnTr&#10;2k3GjhsnM2fNUtIRjozkhJETg6GQgckEMIkxUeKagDwwUeJK0boWboIBkAQPJk984MRdMDF6MhIq&#10;I/vJMRT8DgPF8biCICesqCkA5102/rv8H7WFMub7KGvvJmS+D2GCBHEe7z9/WwbOt4cnbbQJcTko&#10;PxgCJWDuuU+cTNW4G9SCwMAWjpRX3z452wiCBmFUpcS1EcQVUguZ9PEO9AnvBvLvDIS7TkFBaHsB&#10;npv+AlA1UAFR3lRJTEhQtwxB42vXrc+qlIyrFHLCvyEnqJksFthQk3EHmYcYEg/FeOCdhLZxuPvK&#10;a3BdVWQvXNLMosmTJqtqUrVyFQ2S7d+/v9Y+QT0hMPZlwbFGTgyGQgomMiY0jAdKAbI7BgVpngyL&#10;nEDlQJ6HjKB2EByLHI2kj7FigmQC9udnsuJ3TFjEjmDoN2zcpAaMYlKsuJlcn7j78Mf41TiTL8GU&#10;rMIxfJATCBJFzrhPrse9++PeBNyntoOb5LW4mjO4QWXNIEaGWBtWqPjU8a2/r8n/fcEb13vu3Whq&#10;sCNotBF9gmJquOUgb/ykBoq2lesbnpgUtvbieWkv+j792Y8t2oSxFaiDQd/CfYN7FCLi47bUZZOp&#10;kqBQQmDIECPOieKGLCR8rBPX4P2Eu493DT/eeV4WGMuXrZAe3brrzsVNGzeWdtQ+GTxEZs+Zo8Rj&#10;+fLln0tQjJwYDIUUTCZ+IsU4swK7e/+BGmAqdH4GGeCeEgO+x+T4eas2/u/JBsQGgkF8CooMWS6o&#10;Lfw99BjuBYPmffFaTp2S+46YsDLH/YTCw7Fc2x/3JuA+OZefVBPc6pRrcU3vemK1y73ynKH3W9Dh&#10;+wfvWIuoOVISVMUNUshpI+rZQCT5GzU0AgXt+d2Mw527IIJnpT/RT1Qlwe114ZKqbqiOEBKf4Ubc&#10;FcoIxARjzL+J/SJIHfWSIHStTZKpTDIegvok2W2bc8y9b3A/QV+5o4HzkyZNls6du0iDevUcyagl&#10;Xbt0kalTpshC9t5x5MPIicFgeCGY3N4Gcp6XiQqioy4St1okzgS3DvEbQYn3z66s/bn8BA9pQLEg&#10;EyEoQHVQCUq6IxFByf1ggg69bm7ANTiWa3gChSJEVg6xNBgI4icwugR6ehLlEe6cBQG+7Wkb3g2b&#10;vPGe/M7BQdZVEBOEm8G7uy5o5tIdPSbUaBbUtvLtxAZ72k6uf0BGUJaIJ4FM0J9we0IyfK0SUn4Z&#10;AyiIWqV561YNPsd9SXtCjJWUZLpLgyBiX1r++XaNxLb194UKiVt09Zq1MmrkKGnetJlUq4J7p6WM&#10;GB6kFkNQVnxOcKyRE4PBkCdgMmWyZpIlLoE6J6wYkf8JkPQTbrhJlt/5yZ+N5nALEXBJ/AeqBjEp&#10;1GHBKLBSe9WJmu9zHAbF7w1E6jQrViR3DcA9y67CVNO8pyQm3HkKEnybU3wPUsI7In6AYFfijHAt&#10;0DZkK6Ge4NYhdoIaOAQ9QyRDDWi4axQEZPfNYEsI4qQg0KhuBEzTN1FJ6KsoJbgx6fuQEH4S9OpV&#10;OUg3xJ0sF1/fh+w20q1p06B/578CdbQNbUJ/Wbx4sXTv2k1q16yp7p3u3borYZk9e/bnZu4YOTEY&#10;DHkCJlRiOJh0maRIfSSwj8mb+gtMtC+bbPk7Ro9VOXMQkzorzvh9B9z/z+mqnr8zcYc7Pif8Nbk3&#10;Jn5WptTlQJEhSwLV5MSpU0JRKVasL7u//AzfFh7e4EIaaW8N2nSEMN61Ce+N1T1p4hATXBUQO76b&#10;27bPj8jZRoC+4xU3+g+KEmQWsoGri/7Jbr3eyGosCUUKHTHH1UEsU5D6G+wmTDtyPn/+cPeR38Bz&#10;sFcXxI0yBBRia1Cvvrp3mjVtJr169ZapU6fJ0mXLXhgca+TEYDDkCT6PnGD4c7MS5O9M3MS54B5C&#10;ddF0SmcwccEQVIs6w7XCHZ8TfI/sIFxCBCiy+sdNhGHB3cQqlhWfVwLCnaMggHal/UGgIKEA3NJs&#10;KIKecdXgXtDqrocPK3hvxArxHeJPkO55NwWZnNBfaB/6H/0MMhEEjVP9NlVT6ENT8FFGIHGBSkLd&#10;n71KqCEkpFajQlH9lb5Me/tsm4LWhvQv368YpwsWLNTU4jatWku9OnWlXZu2MmrUKJk7b56SkHAK&#10;ipETg8GQJwhHTlhVMqETfMrfczMp8x2MIKt5VpwYAuRygjLxa+NW4O/hjvVgsvREB+IBMaGMuqbA&#10;xgeBtqec4SW+hDgZJtbcEp78Bk9MvOHFQBJ4TE0SyAjtS8yNuh4OHc5KXSVLBwNNQKZXTADnC3ed&#10;/AjfTzwCA3tf40i8i4s20kwbJdtbs6q1orxBSCgxT9tBpOmfEBmUOLLafEA5hIQ2pD/yHgpSG3rQ&#10;N3BJ4apiC4sZM2dJj+49pHrVatKwXn1NLZ42bZrMX7AgbOVYIycGgyFPEJ6cbNbYDuReJmgm59xM&#10;zHyHSR1XA+mq+PODug+HdCXvjWW4c/E7rsP1iF85f/Gium4wHrgsOBdEBePr40sKmrHgeQDvhLbC&#10;rYax9IGbxDywkRz1Z4jpCS1+BzHx7rOCZkh5Fk+yfNvwnKz4eeaswFZHXFGSUElQSCAi6zds1P7M&#10;v33aL+2XdOSIBlITgwIpgVTjAipofSo3oF39ooJA4BHDR2phtjqOcHTu3Nn9f4RM//hjde8YOTEY&#10;DO8E4cgJqcQoHsQsoGBgDHIzafMdVrGsYPHxo3SwSsWQEnsCcXmR4WSC9G4hsiCSnfGAkGBoKIRF&#10;7QlPTD6P5ORX8Cze+FKrhGBLCJ1XAQgChoiQeQPxIyMHY4xRxjijcnkiWRDbhnahb0EgMKQEWhMM&#10;rZlJjsAGRHivEhDcNUDJiOt79CGCvSG3p8+e1ayly1euauo5RBgV7lVIeEEDz0y70qYsBmbNmi2t&#10;W7TU2JPmzZppavGYMWNk8ZIlRk4MBsO7QThyQgol8SKn0tJ0wsrtitIbESZ6jCuGgzRMqseSaQOx&#10;wMCEnssfQ8lwYgVQBzDCGBqIDYaFLCBvfL3hzc39RDp4Bk9IMIzE2UDQyMA5d/6Cump4fmIkPMmj&#10;bagp4wuo0SYc79ukILRNznbxpIQ+AKFQFYnMLddfybLBDUk9EgJaqeBKkTSUEtw2uCepuQPpRYUi&#10;AJTzcn6PgtR2rwOemTahL+EWW7t2ncaeQEyIPWGDwIEDBsr8+Qs07iQ0MNbIicFgyBMwOWudk8tX&#10;1T1AnRNKcbPqZMWOAoJR4Hvhjg8FkxzfY5IjkJDz4efHsLLKz5nxwISI4WEljEqA0U08lKTxFFTc&#10;1FgKapg4w4LRzkls8iv8s9MW3uiSDo1hIKbk+IlTGtjKKhYDTDvwLmgL3BDEnniyxnkKSpvQd7yR&#10;pK/QL2gXiBjKmwa3unZBPUIp8a4br5Kwn9S+Awf078EOy6c1lgLSW9Da623D90lUT2K8Zs+aowSl&#10;ccNGSjy6d+umsScLFixQQmLkxGAw5Ck8mcAQMJkzwUNOmPQhCRhKiIaf1F80sYcaF4gErgbcMUpO&#10;nOFISz+jv8cg++9BNjBCZEZgfFnp7tqzV1UTytGzOqYQHEoC38Odw3Ec/3n3Emnw9+rhn51VvBKz&#10;S5f1WXGDEcTJ89P26tI6elwzczQuwhkOapvwvmjH0LYId91IRc728P2BZ+IdQySoa0McDZla1G/x&#10;+9ugxBFDQoArOwDTTyHUFEYjiwsSg9pHW0G6g0qtBTuo9W3AvwvGKBVvd+7cLVOnTpdWzVtI9SpV&#10;pW2bNpq5Q2G2RYsWGTkxGAx5CyYkDCWTEnI5tUQgFF7xQMmAIHhi8aLJHQPD3/kexIQYEQjHLopZ&#10;udUsCgwEA6WAn0jsxJBggJDekeepzElmBa4lNiVDKUCSx61DeXC+z8qO47lWfjHMvm1o50ApCU13&#10;PauxECgCKCQQNIBiQq0S5nQCk3lmjg93/vwG3hntARHJ7g8Z6rKhuBnPTJsQW5Pg+iPuLAguZARi&#10;4gulQaRRUAhu9XsFQfa8QpIfidv7Bn2M94B7dcXKVdK1cxfdsbh506bSu1cvGTt2rKYWGzkxGAx5&#10;CiZvJnEMBaTiyNGjmmYJUSD2BAPgs2QwIkz64c6BscHQYHT5PitZsiKIkWBFi9FhRYwKA9lBKYC8&#10;kIkDCWLHV7agJ2YA5YbfoSLEO0PNd7LSPt25kOr9vXDvOe8n0kDbYDB5ftoBQoKqhDLCrs7sYotq&#10;4oNc2f8GQ6vuCE0LDirshmv7/AjeGe3xfKZNurpiEnW37X3qsqEPQETYy4Z/8zv6QVJyirp4SP+l&#10;L7ELNTVd6BNeVTJi8nqg3ehvqJW7du2RoYOH6K7FuHdaNG8h/fr1k49nzDByYjAY8h6eoLCiR6mg&#10;mNeOXbuULLDzKit6XD7EfmAAIDJeKgcYTn6PMUVWh5Cw0iXVFUWAcwYlv6/p34lFgbxgcCAiXIdd&#10;X9c7MgRJIcBxmxqj3YKU7w0U6grGCVcTRg2VJpLUBN+OkAjaxSsDSspc23j3DUoRK36ejXY6kJCg&#10;KgkKEeSNFGKO9eTLG9r8ZGx9OwDeEc9DQThVSjLuaV8hG4z2IL4GooY7i3eNOhIguy4JRJVYEt49&#10;ZIZ28n3RXye0nfJTW0USaDfakf5L2f7p0z6Wzh07aVBsrRo1pWPHjjJx4kRNK2bHYiMnBoMhT8Gk&#10;xKoTXz9EBIKBi0V9+m7FyqZorGxZrbIdPOQACR1gKDAYx5zhgNhgSIgDgJzwf4wxEj3qACnK1JpQ&#10;md4ZILIscOPs3su28weVCPF9jDV1KPiJYsJxlNjm3Lg8CBy9cjUgS+Ge513CG0MmdU/UWMmjfkA4&#10;kMipwAlRox1QjGgLfhJTQntDXFitepWEc4W7Vn4BZIH+RIYWrjiIKX0k3RFV3HUQEshG/P79mZlZ&#10;O5WsQUD5PyQ0wfVB2gi1jDbSInPuPLgEC0o7RSpoV2Kd1ruFw7gxY6VDu/ZSJa6SZvAMHz5c5syd&#10;K4sWL9b0YiMnBoMhzxAY16BsPGnAuGYwEhAUCATFmTAgrPgxsqx4CWQFTGIQCpQOyAxGhmODQmEE&#10;eHo3UZDuuWbdOv1JPRVWysSkQEJwd2DQMWaoDRh5pH8CHNlbB4POOTUmwxEWXCAoEkyk3H+458oL&#10;eDLiwfUxxqw2uWeIGzE2uG58/Q3SqUPbD2NLCX7InVcAOP5dP8ubIGc7hALiwDvk3aGWkRYNqcRN&#10;yDsnpinoD6GuPFSkg0pcqO+CsuLjbaj9gvLCeXOqJOHuzfBmoF3JlMKFtnLlKunft5/ElY/V1OI+&#10;ffrIlClTNPZk4aJFRk4MBkPeggmJiZ+MEE0tdqv9AwmJukMr6gYGFkXEZ5KgaABWwBhgYlTWOuKB&#10;IsJ3g5UwbpntzvhslNVr1ugGawBiwjEcfzI1Vd0+SP2+yJo3QBgj3DeUv4egBEGSwT4prKpRHEKN&#10;VbjnepvgGp6MoAxQpZTMkKvXruu9EC+CqsNqn3tF8cHgamp0YnZBOZQEX/eFc+VHI8t98668qyZQ&#10;0W5qfBIBzBAwXHjsWQOh9HEkEFgICvvboKBBav37hJRkleF35IZz097hrm/IO9AfIYWMy/j4/TJ+&#10;3HgNjIWcdGzfQQYPHixTSS1euNDIicFgyFswIQFW8BACDA2l6FE1yJoIFIDtGv+BcfHwwbOr16xV&#10;4gFBYSUMAcEQETvA/9esXZsFiAvnJUA0iB8IqnSGEhPuhX9jwDFSKDqspo+kHHOkZ7cWimNV/i4V&#10;B67j7wfXDZO3j5uAhADIEyoBv1OXhPs7BjcIcqWaa4a2b+izhrtWpIP7h2BlB7WeVvKFaw6yEZCR&#10;ndpfUN5Q4SAjqCdkhWkQsGsfjUly7xVCAsHhnBDk/Ezc8jtoc9ofgoKKOm/uPGnZvIXuWty0cRPp&#10;2KGDjB49WubPn2/kxGAwvBswMXliwIoYReCkm6BQOXDT+BLhQWqnx2YlI4B/a2XYkKBWCAx/CwJg&#10;1+t5ID4YuFBy4ZHzXvg732U1TQwHAbtkFfHvoJZF3sQfcE7uj/MHSkmwwRwZIrhu1F3h2gVlAMKE&#10;24kAV1QAisqxIzOEBPLlnzWUfIU+a6QgtM25V//8uFVwr0CseB6UrixylrmnDc+PUqb9IbNP8G/6&#10;CsQEBUn3tXH9KVshCbZI8GQkaJvIbZ/CgNA+wAJi3boNWpStZfOWqp40atBQBg8aJLNnz3Y/B+te&#10;PFnkpERJIycGgyHvwOREWXkIAYGyGCICGglUJTiWlS+GGZUgC+7/xFTgEiLwEZmeFFkMV1DLhM3Y&#10;NujKmtVyqKEOdw8e/B0jSeEyjBpGjlgVjBwKDwaTc4U79nXBNQN1gBTo7LokBP5CPnBX4NLiJ755&#10;lCBIHG1EW9FmBG9yb5485eZZ3ze4P+6T9kYh8nVZcPVBtrSKrXu3ZHMQOE1Qq3fZBLE1gfsPAsp7&#10;ClSkY8FGe2fPZrUNylOQmRRsS5Af2qYwArcl5HvmzNnSp3dfVU9qVKsuvXr0lKlTp0r/fv3V5ePJ&#10;SWnIyReNnBgMhjyCN1IAw//oSXbaMPI7cj6xExgtDy/N8x0MG8YdI4RBw5BDUAiExKBRsp5r5MYg&#10;+e9hMNm0DZfJoaQkJSe4FLjmw8dvN62Y62E8eUZICddkkt6+c1eWIoBRhpwQX4EB57khUNkKyfMq&#10;CQh3rUgB9+ffN0oR7y6blAVBragjPqAVFx6xRAB3HQoJihYbFRJvAhmhui2Bzd6V5dsmaJ/8mSpd&#10;mECfPolauXO3TJgwUWuexMXGSqcOHWTcuHHSq2dPqVmtWgg5KeHIyReNnBgMhneLQMEINqlj4iJG&#10;wIP/Y4C84cHg4HaBiKCmkA7si7th8EJVhXDXygnOS4YOq3AUGh+zwEqcFXi4Yz4P3J83lN5tA9HB&#10;FYNRZkNErkVxOjKSUAq4d4wzKgEBr6gIpFfzLLRNbp/lfYJ75Jn9u+S5UUiI60HGh/DRrqqQpKQo&#10;sdx/4IAjJnsdIdutsUcAlx1kxKskh5ODQnm+to0PcvYuGyMg+Q+MZwgm45fN/9q2bqNpxW1bt5aB&#10;AwdqmnHlinFZ5KSkwxe/8AUjJwaD4d0Cw4ZRexEwQp6YAIwfRgqDRcAoK27iVlhZ+3gMjsuN4eLc&#10;xHygxHA8LiMMKAaV64Q7JhT+njz8swQKzx0NWuU+tYJrYqIaZCqW8hNywvWo3YJBxjV19PhJDdLl&#10;WM7hnzvctd8ncj53NjF5qK4n2o8YGpQoXFYaQ+NICC6aIOh5qxIy/u2zayAs1Gkh5oT4IRQm3jNq&#10;C64wCA/v5PlYEiMn+Q30Ewgmqiip3z26dZfq1apJ82bNpUuXLtK0SROJi62QRU5KFPtIvmDkxGAw&#10;RDowTsStoC6woR8uEQJkUSFwh1ALI8MZspxGLJwh42+UdMcYEt8BQSEYk5U+bqSc3wXeEAMq22Iw&#10;AUoHk64GuFKbxM2fEB3cNGQCYZjJNsEYQ6ow3GQHoQywcyskhfRmDDLn4jqh13+foO388wfPHQT0&#10;0kbcK21ILEFQhwRSckoDVYnjIV6EYNa164P6I5BJXFgEuuLGIn7I7/rLO6X9OC/XCncvhvwN34cg&#10;37j0hg0dJo0aNlRS0qxpM6ldq5aUi47JIifFixaTL/zVXxk5MRgMkQ2MNoYRI0Z2C+4AjB3ZG6zQ&#10;USMuXLykLgXv5uGYF5ETiAyVQnELoXCwgoc0cKz/Hsd6gxy4LIJ9fXD/oI6c1cBO77agWmmSFkhj&#10;8vVuCu6NDCXcOqgKZOgQGIuygqoCiYlUckI78fxBQOtdVago+kY7kUVE8C4KCbEhEBKq9nqlROuP&#10;KCkL1KGDiYe1jXQ/G/e81DBBJcG9dtudm2twLSMnBROe6NK/UQ9nz54jPXv0kBbNm0vN6tWlYvlY&#10;KVOyVBY5+ejDokZODAZD5MNPbhgxCAVxC5AT3VPHrcwhAhjLM85wYugDd0D2ZnehYAXH3/kehIGM&#10;EUgEtUQwwtnfC4q34W5BFdH4EXd+XBCoLZAOyAgGGEUgtFopNTm4x8NJSXpeCA0KC/fPtckW8lk6&#10;npzwe67Ls3qEa4u3gdBr0K7ecISCVS73BCGElECoaGONmcmsV5OV2p2Z3s2/+R3EhA0JIS+oRVQB&#10;RtKnDTgv74X3wHVyBvyGu19D/kZof4PQM1bGj58gbdu0ldiy5TQ7xxMTUOyDIvJX/5+RE4PBkE+A&#10;UcPIQQ4IniSg1JfFz4phcAYUAgGJIW0VUoFx1Wwgt1onMA9SwndYzeNeISgTd5Gu6i9eUpcPgax8&#10;R9OeM1UCzk/xL4JyMdAQE7KHOB7FgCJh3o3BvUGaOAa1h/PhOuL8nJfzkb2D0eeeIEGQF2+8A8P9&#10;9mMsOB/n5hoBWbqnpAzVSVUh11akaEPEIFbcO6tdX1WX5+XZIGTEj1CLhr2TNKA101WFm4xn1DgS&#10;92wQHIgOhORtP48hf4ExCClfunSZxp7ExpR9jpgYOTEYDPkOGGtcMrhHiFdgFQ8xwUhCUoJdaLc5&#10;srBTyQPuBtwnqByQAYwsP/kdMSHERqAAEKjp40IArhmKtGF42VWZCqUUhSPN1RcGC66zS7/LMYec&#10;USbwNbiXoJicj7XgGrh6+B4kCLVGq786ksVzoKQwaWPEURdQbHAnYcxDVYW3gVBVhMBTYka0Omtm&#10;gDDZMn4/H9oAEqLPrs9NldZgp1/aC2JH2x47TnYNxO6yqkDEohCTwjU84fJkK9x7NRQeUJQRgg6Z&#10;HTp4iO63Y+TEYDDka2BcMdgYbowg5c6J9WCi06qikAdPCjIzQ1A02DgQEsH3lHg4UuHL4ntANoJ4&#10;iR36f85ByrInGvwuMMzBni6cE7IB2WEbfgqnQTYgTLh0OFdwL4HrI1BTOG5vFpmBLKEycNzJ1DQ1&#10;8MSykDaNmoI7CUUDEhHgjtb7IE4DEgNQPl4K/e5dPZadi1GfMBCoS7hdUJC4b0/YaBv/3AECUkLb&#10;oBbxPYrlEW+DwgKx4twQESMghs8Dih2klTEzedIUqVuzlpQrE61VYbPISZEP5a8s5sRgMOQX+JU/&#10;QF0gQBVDjpHFULJRHpvj4X7YGx+vJAEyQF0RAjY9OcHABq6YnVng/7gs+D7fIw4FBYE6JBhuqtmm&#10;HDumkyoqA3MlBh63BZsKBm6RG1n3gwqBS8erECgNnD/bDeSvGVyXe82+7kF1H7Hlf+IhB0dkAEXj&#10;qJdCtg+kgsBUXC8vAy4W754hgBUXDaoHJGOXuzdVkDJVIggUypMG9bq/8/yoI0ePZ1evPXv+vAYF&#10;EyQLYcLYQBgxPLyjcO/OYAC+ECMuv8VLlkrnTp2lTq3aUj7EvRNk61gqscFgyEfw7glW6KgouAxQ&#10;EJSoXLqsMRwoEUco/OUMOsTC7+zrAWGABISC3wG+j8sFsoOagTqDOgARCUqmExsSVColrZiJlvvw&#10;8CtDvktsC+eg9HpoNg9ZRoE6kWP/mExkKRahv8v8GShBjsg4AsZ9hz7Xi7DfgetCPPz1ssH/g031&#10;cF+RcYM7DCJErA1EjDosKFXZGw4GRMQ/s3fZeBdUuPdmMAA/diH09LlRo0ZLm1atpXKFilnkxIqw&#10;GQyGfA8mOwwkLgUlKc6IEtRJHAWkArJChgBG9jk40vEcMn8fpLpeEoqKQTBQByA+BI1COiAlL3Nd&#10;BMoOmS5BkGlWgKk7fxBge0zdQey+q4XaIBAQJkcKUE9QWVBVPFBZUDYgJoHastt9Z0+WypMb4Ibi&#10;WM5DLAn/5/ee4FBWnjolEDuUFogVZI/nD1w2tsuv4e2A/kOfOpCQKAsWLJJ+ffpKzdC9dYpb+XqD&#10;wZDP4VdiGE2vXEBUMKas8j+L+y/BAz2WVORAIXheHcmNcQ7uJ7gXzsH9cF7IDTEgEB0mZ2qeQIIg&#10;AWQWkXILgcEllOyIAoDE4FaByKDqxDsyoa4qBx9Hkxvg6oKEkClBOfnjJ0/qtbJIiFvJogr5yqxB&#10;O5CO/fxOyMDIieFNQP+hf+EmJI5p7Nhx0qBuvSxyElWylO1KbDAYDO8LGHxf5A3VRwnL9WD34rOO&#10;NADIgypA6WfkVNppjTfB7UTGz6sAFw0xKihJZAcRcIurhmtiKCBSRjoM7wookCic7MY9c8ZMadKw&#10;URY5iS4dJV/60peMnBgMBsP7ACqEV3sCleWxqhUQFVJxPSAQqBqkGuNmIZX6lXEN9xT71tzR2BEU&#10;nOzYGXPXGN4t6PfsycSWD4sXLZHmTZtlkZOYqDLyN0ZODAaD4f0AMhAK7zYJB8jD20LOc/vrh7tH&#10;gyEvQL+DGJPavnrVGmndomUWOSlbJlr+5m/+xsiJwWAwGAyGdwfIMESZmj1r166XNi1bh5CTGCMn&#10;BoPBYDAY3i28Wke80/r1G6VtqxByEm3kxGAwGAwGw3sCMVYbNmyStq3bGDkxGAwGg8Hw/nEPcrLR&#10;yInBYDAYDIYIgZETg8FgMBgMEQUjJwaDwWAwGCIKRk4MBoPBYDBEFIycGAwGg8FgiCgYOTEYDAaD&#10;wRBRMHJiMBgMBoMhomDkxGAwGAwGQ0TByInBYDAYDIaIgpETg8FgMBgMEQUjJwaDwWAwGCIKRk4M&#10;BoPBYDBEFIycGAwGg8FgiCgYOTEYDAaDwRBRMHJiMBgMBoMhomDkxGAwGAwGQ0TByInBYDAYDIaI&#10;gpETg8FgMBgMEQUjJwaDwWAwGCIKRk4MBoPBYDBEFIycGAwGg8FgiCgYOTEYDAaDwRBRMHJiMBgM&#10;BoMhomDkxGAwGAwGQ0TByInBYDAYDIaIgpETg8FgMBgMEQUjJwaDwWAwGCIKuSInpUtHyYGERLlw&#10;8bLBYDAYDAZDniIt/YwsXLRYmjdtlkVOYqKi5G++9KVscvKVr/y9jBo1WmbOmGUwGAwGg8GQp5g+&#10;bbr07tlLalatlkVOSpcoIX/9xS9mk5Mv/fWXpFLFOKlVrbrBYDAYDAZDnqKGIyVxsRUkulTpLHLy&#10;0Ycfyl/9f3+VTU74T7EPimR9wWAwGAwGg+FdAh5i5MRgMBgMBkPEwMiJwWAwGAyGiIKRE4PBYDAY&#10;DBEFIycGg8FgMBgiCkZODAaDwWAwRBSMnBgMBoPBYIgoGDkxGAwGg8EQUTByYjAYDAaDIaJg5MRg&#10;MBgMBkNEwciJwWAwGAyGiIKRE4PBYDAYDBEFIycGg8FgMBgiCkZODAaDwWAwRBSMnBgMBoPBYIgo&#10;GDkxGAwGg8EQUTByYjAYDAaDIaJg5MRgMBgMBkNEwciJwWAwGAyGiIKRE4PBYDAYDBEFIycGg8Fg&#10;MBgiCkZODAaDwWAwRBSMnBgMBoPBYIgoGDkxGAwGg8EQUTByYjAYDAaDIaJg5MRgMBgMBkNEwciJ&#10;wWAwGAyGiIKRE4PBYDAYDBEFIycGg8FgMBgiCkZODAaDwWAwRBSMnBgMBoPBYIgoGDkxGAwGg8EQ&#10;UTByYjAYDAaDIaJg5MRgMBgMBkNEwciJwWAwGAyGiIKRE4PBYDAYDBEFIycGg8FgMBgiCkZODAaD&#10;wWAwRBSMnBgMBoPBYIgoGDkxGAwGg8EQUTByYjAYDAaDIaJg5MRgMBgMBkNEwciJwWAwGAyGiIKR&#10;E4PBYDAYDBEFIycGg8FgMBgiCkZODAaDwWAwRBSMnBgMBoPBYIgoGDkxGAwGg8EQUTByYjAYDAaD&#10;IaJg5MRgMBgMBkNEwciJwWAwGAyGiIKRE4PBYDAYDBEFIycGg8FgMBgiCkZODAaDwWAwRBSMnBgM&#10;BoPBYIgoGDkxGAwGg8EQUTByYjAYDAaDIaJg5MRgMBgMBkNEwciJwWAwGAyGiIKRE4PBYDAYDBEF&#10;IycGg8FgMBgiCkZODAaDwWAwRBSMnBgMBoPBYIgoGDkxGAwGg8EQUTByYjAYDAaDIaJg5MRgMBgM&#10;BkNEwciJwWAwGAyGiIKRE4PBYDAYDBGFz5CTL/31X0vF8rFSo0pVg8FQAFG9chWpWqmyVK5QUSqU&#10;Ky+xMWV1zMfFVtDfVa4QJ5UrxkmVipUMBoMhz8G8wzwUVbJUFjn5qMiHz5OTD776gUyeOEkWL1xk&#10;MBgKGBYtWCBzZ82S6VOnyuiRo6RPr97SuWMn6dO7twwZPERGDR8pY0aNkbFjxsm4seMNBoMhzzF6&#10;1Gidh6q5hVOoevLFL3whm5yUL19erl29Jt/77vcMBkMBw3e/8x15+uSp3Lp1S44fPy7r1q2TOXPn&#10;ytp162Xf/gRJPnJUTpxMldS005KWfsZgMBjyHMeOn5S5c+dJs8ZNsohJTFSU/M2XvpRNTqpUqSL/&#10;8A//IPaxj30K3ucvf/mL/Nu//Zv87Gc/k/v378uhQ4dk/YYNknjosJy/eFluZ9yTB4+eyJNnn8rT&#10;T75mMBgMeY579x/Kho2bpG3rNlnkpGx0jPzN3/yNkRP72KcwfIycGAyGSIORE/vYp5B/jJwYDIZI&#10;g5ET+9inkH+MnBgMhkiDkRP72KeQf4ycGAyGSIORE/vYp5B//vd//1f+8Ic/yC9+8Qt5+PChHD58&#10;WMlJwsFEOXPugty4dUfuP3xs5MRgMLwzGDmxj30K+ed//+//5I9//KP86te/lkePH8vhpCRZt369&#10;HEg4KOlnzsq1G7fk3oNHRk4MBsM7g5ET+9inkH/+z5GTP/35z/KPv/udPH32TJKSk5Wc7Nt/QE6l&#10;pcuVazfkrpsojJwYDIZ3BSMn9rFPIf9ATv7rv/5Lfv+HP8g3v/UtSTl6VMnJ3vh4OX7ylFy6fFXu&#10;3ntg5MRgMLwzGDmxj30K+QdyQtwJBOUHP/iBHD9xQsnJnr175eix43Lh4iW5c/e+PH76SdhJxGAw&#10;GN42jJzYxz720c///M//yI9+9CM5cfKkkRODwfBeYeTEPvaxj36MnBgMhkiBkRP72Mc++jFyYjAY&#10;IgVGTuxjH/vox8iJwWCIFBg5sY997KOfnORk9569knL0mJETg8HwzmHkxD72sY9+PktO9siRlKNy&#10;7sJFIycGg+GdwsiJfexjH/3kJCe7du+R5CMpcvb8BSMnBoPhncLIiX3sYx/9QE4Y56dSU2Xjps2q&#10;nBxKStIS9rfu3DVyYjAY3hmMnNjHPvbRD+Tkpz/9qVy4cEF2OWJChdiExERHVtLl5u0MIycGg+Gd&#10;wciJfexjH/385S9/0Z2Jr12/rqSEvXX2H0iQ4ydOyY1bt42cGAyGdwYjJ/axj330o+Tkl7+UGzdv&#10;SuLhw0pMwLETJ42cGAyGdwojJ/axj330Y+TEYDBECoyc2Mc+9tGPkRODwRApMHJiH/vYRz+Qk19m&#10;kpNDRk4MBsN7hJET+xSqz//93//J//7v/6ohJjvlv/7rv+Q//uM/nsN//ud/yn+73//F/Z3vF5aP&#10;Jyc3jZwYDIb3DCMn9ilUH4gJ5OPf/u3f5De/+Y388Ac/kK99+qk8e/pM8bVPvybf/c535Kc/+Yn8&#10;0z/9k363sHxCyclhR04OGDkxGAzvCUZO7FOoPpCTP/7xj5oy+/Wvf10uX7osyUlJctAZYXAk+Yic&#10;O3NW7t7JkB844sJ3C4t68hw5cW1yIMHIicFgeD8wcmKfAv3B4OK6gWRgeL/97W9LRkaGnDl9Wg7s&#10;3y9rVq2W2TNmyvQpUxWzZ86S5UuXybYtW+WUM8oPHzx0ff/H8q//+q8FnqR4cnLr1i1JMnJiMBje&#10;I4yc2KdAfyAmv//97+VnP/uZXLt6TXbt3CUL5y+QcWPGSr8+faRLx07SpmUradW8hYJ/d2rfQXp1&#10;6yGTxk+U1StXy4njJ+U73/6OkRMjJwaD4R3ByIl9CtwH140Gu/7nf8q//Mu/yE9+8hNVQLZs2iJD&#10;Bg2Rpo2aSFz5ilLyoxIOxTPBv0s6lNKfpUuUkto160jnjl1kwfxFcuP6DSU6nJfzF8TP8+QkWckJ&#10;VWKPHj8h12/eMnJiMBjeGYyc2KfAfSAQ//S7f5IffP8HcssZ1cSDibJ08TIZOniotGjWQqpVqeE6&#10;uSMnxWMcohQlSpSX4iWrSvHSNdzPylKyZEWJq1hd6tVpIMOHDpdDiYd0DPzT735XYINkISe//vWv&#10;5e7du3Ls2HElJ7v37NWdia9ev2nkxGAwvDMYOSlgHxwPuB88fNpsTvB7j9Dv5+cPzwIxIb7ku9/5&#10;rly9fEW2bt4mo4aPkqaNm0ut6jWlQrlYiY4qL6VKVZQSJeMcKYl1qCDFS9WUYmWaS7GYVu5nY0dS&#10;aktUVBU3GGKlfZu2smrFSrntiM4Pvvd9+cPvf/9cuxWUD/2CDKaHDx9KamqqkpPtO3bIwUOH5Mq1&#10;646cPAs7iRgMBsPbhpGTAvTBUP7FGU2MzH//939rzY4//elPmjb7z//8z1nA1UEcxh/d3/785z/r&#10;9/7LfZ/j8vPnz+55fvWrX8k3vvENSU9Ll/Vr18mYkWOkWZMWEl06VkqXLCOlipeSEsXLOjJSXT6K&#10;qu+ISAMpGt1YPizbVj6I7SkfVOjrfnaXomXbSbGouu67MVK/Tl2ZMG6c7NsbrwSF+BXajTYuaOTk&#10;H//xH+XZs2dy9uxZSTh4ULZu2+ZIykG5fPW6PHpi5MRgMLwbGDkpQB9VDpyB+U+yU5yhhohgrH/0&#10;ox9plsq3vvUtxXe/+119n5Qq/81vf6vf+8Mf/6gxFfn5w6r/bkaGpgTPmzNXenXrLo3rN5FKcTWl&#10;dKmKUqpEtJQsXlqKl6io6siH5TrJVyv0kq/EDZQvVx4hf1dlvPxd1Yn68yvu/0XKtZXiJStI1UqV&#10;pVunzprNk5iQIM+ePtVrQVBo84LygZxQ24UU60uXLkliYqJs3bpV9rn2vHz1mpETg8HwzmDkJJ9+&#10;vEsB4+hVEtwZpLz+1q1+f/bzn8v3KTD2NfeS792T69evy9WrVxXUsXjw8KF88umn8k1HVvjeT3/2&#10;Mz3u93/4g54HYHz//d//PaiY6q4B8fHujEj5cD/cH/f7dfesiW6VP82RiE4dOkpcbJyUhpCUiJWS&#10;JeP0J26cj6LqOGLSUT6oOEi+XGWc/L/q0+X/1ZgZoPoMh2mOpEyQD8p3kuKl4iQ2pqw0qFNXunTs&#10;KAvnz5cTx4/L48eP5Yc//KEa8z/96c/yl//J36oTH9oSovrNb35Trly5olVit0BO9h+Qy1eMnBgM&#10;hncHIyf59ONJCeThd7/7nfz4Jz+Rbzij8sgZzVu3bztjckXOnT8vaWlpcvTYMU0NpbAWSEpOlmPO&#10;wJ5KTZXTZ87o9y5dvqx7qkBkMLxfc6tnFJYf//jHmsHBNXAF/bsjQcR1RApBgZj8yt3fJ88+0QJq&#10;s2bMlE7tO0rdWvUlpkxFR0jKKSkhyBU3zYcxLR3p6CZ/HzfEEZPxSkT+tuYsJShfrjJRvlJphPx9&#10;xX7uO52laJn66gKKLlVaKleo6M5ZS7p37SqTxk+QlctXyL69++T8ufPy7W99W8lRfv/Qp3D5oa5B&#10;YukrRk4MBsP7QK7JCa4Bv1q3z/v7YECQ331hMVbuVDKFVJw5e1aOpKTIvgMHZNfu3RrMSMwABmbz&#10;li3Pgd+Dbdu3K3bu2iV79uzRuhacI/30abniDNRdd14UFtQVqqr+k1tZE8fC9VVNcUQFcE/cm0de&#10;9xXOzTX/8Ps/yKeffCopjpgsmDdfunbqIpUqxCkxKVWyUhD06vBRyWryYdk28tWKAwO1pNpUR0hm&#10;yt/WmOUwQ5USCEuRct3kw+hm8lGpalIcxeWjUm5QlJAyJUtLTFQZqRRbUWpVqyGtW7SSwQMHy5JF&#10;S+T82fOa5eLbIL+OEe7dyInBYIgE5IqcVK5cWVfRkbRiLqyf/8is3fFzRxS+973vybNPPpEbN27I&#10;qVOnMlM/98g2R0ogHDt27nSkY7fs3rtX9u7bJ/H796uhid+3X/bsjVcCs2Pnrqzvg+07dsre+HhJ&#10;OJioJAV1BWXlursGROXps2fqCoIQ/cOPfyw///nP5de/+Y2Slj/84Q/qCnoX9UC4xr/967/Jj374&#10;Izmdlq6F1fr07C31ateX0iVjAheOpgbXkmJRDRzhaCkfVOgtX6k8Rr6sxGSG/D9HSr5cdaL73UhH&#10;WvrKh+U6SNEyTeSj0jUDV1DxaDcgICfUPynt/l9GQexKxfKVpHGDJjKg7wDZsW2HKjeoSyhZefnc&#10;efkxcmIwGCIFuSInFStW1NgFJHQjJ+/38y//+q/yve9/X4kCpAEXTbwjHhARDAk/ISMBuTgmJ06l&#10;SfqZc3L+wiW5ePmKXLpyVS5cvCxn3Gr/VGqaHDtxQutYHDqcpNkZEBfICaQGNQUCA+HhGpAfDFbK&#10;0aOSmpbmznNRC3Y9efJEvsNmeT/9qWZ7oOjQV1AS8urzJ3eNH//Dj7WOycZ166VH125Sq3ptiS1b&#10;RUqWrOCISWUpQXpwdFMpghun0lBHQkbJV6pOcORkshKUL7t/f7XigICURDd2pKS6FM9UW0qWcChe&#10;TkopISGQlniVSlr/hPOXKVNRKsZWkqYNm8jMj2fIqZOn5Btf/7oqWXn53Hn5MXJiMBgiBbkiJ+XK&#10;ldPV+S9/9SudvFghs0Jk9ZpfJ+L88MFY0L64T1AkSAkmCPPOnTty4uRJZzT2y8ZNm2T9hg36E+UD&#10;dSTpyBE56YjHOUdIKJ51685duete9INHT+Th46dy/+FjuZ1xT67duKVk5dyFi47AnJWTp1Id8Tim&#10;RAWDtGv3HlVScP9s3rJVNjtDhbHi/xAXyApEBXcS8SqPHj3SuBdcgLiAUBII0PWKCkG73hXEs70O&#10;0fXunN/+9reamUN67/gx46ROzdoSVTJaSpUo78hFJSleqpZ8REZO+U7y1bghjpSgkIxyJGWYfNUR&#10;FUWcIyZl28lHUfUCMlO8bEBESkBuqjpyU82hapB2XLqeFItqIsXKNNL04+JRtZSkVI6rJgP6DZIN&#10;6zbKJUf6fvrTn+kz5sePkRODwRApyBU5KVWqlCQ4Q0SgJatkXDwYHyYyU1Py7oMRhgD6vWE+/drX&#10;5Oq1axrgumfvXiUJ6zdslK2OlGBAko8clVNp6Uo2rl6/oaQk494DJSMYFip8Pnn2qf4bosLf7ty9&#10;Jzdv39Hy5ByDuuLJCudiX5UjmYQFNQbyg5Kyc/du2eV+ch9eUSHIlgDc8+fPy7Xr17XSKG4gjB0B&#10;1cRloPxAVDDgr9pv+D7Ehj6HS4uU4YnjJ0q71h2kQmwVRyxw5wTk5KMoiEkX+aBCf0dEhsvfVx6p&#10;dUw+LNtaisY0c2iuP8ncKV4qqAiLUhIoJFXc7+o4ctPEfae1FCnXSY/9Kueq2M/97CNFHOmhTkq5&#10;8rWkbZuuMmH8NNm376B8+1vf0XeWHz9GTgwGQ6QgV+SkaNGisnjJEpX2j7qVMhPXJ598ojI+q+LQ&#10;gEgMyHPInPjsk7uPbzfaEiNH+6JYPXakkKqd+w8cUIOxdt06Wbd+g2zavEWDWE+lndZCWRAST0ZC&#10;CUnOF8/v+JuH/z7KCoC8oLbczrirxAXScvrsOTl+8pQcckaLvrB9505VbDZs3KjqDdiQqeLgXuJe&#10;jzkidfHiRQ3YJUWVlGXiUyAoof0mXN/J+eG7qC+Qtfv37su8OfOkccMmUqF8ZSldihiTIFWYzByC&#10;X1FJvlJljPvpiIkjFkWjm2mNk8BNg0pCJo/76UD5+hKOoJQoWU2JSTFHTD4s19mREdKNx8jfVZss&#10;f6sBtA7VP3a/G6XuoKiy9aVW7VbSsWMfWbp0tTx69FTJU378GDkxGAyRgtyRk2LFZMnSpWpwMEop&#10;KSly7tw5uX3njpIUgiMJjPxH0k2dMfXxBt7g2Cf3H2+AceGQwkssx/0HDzTlFzcOaoknBCgYh5OS&#10;JTWTmNy5e19JBWQj3Mt+FYQqLPcePFLSE0pSTjqilOKIB4rKAY1V2RfiBgoCa7k/CApxMQTsXrhw&#10;QW7euqXl0YlhyioG94tfaKwKpMO7fv43TL/5b0fWUF+oYMp+OcOGDJWqlapKVCkIRjmNFykWVVuK&#10;xrSQr1borTElX6ky1hGM/o6sdJCPStdxJCQzyLV4ZoCr+38JR044lpL1xco0dce3kw/K95Cvxg3S&#10;4/+OAFqyemrOk7+tNd/9nOvIydhMclJPatZqLu3b9ZDFi1c4cvLEyInBYDC8IXJFTj5yv1yzZq3G&#10;GQQZHTv03xgeMjoodZ2RkaFZHGSRQFB8OXQjJ6/2wTATp8FOurhEzjuDTjEsAlMhJGDT5s2yw7V/&#10;yrHjajQgDvcePFTj8SKl5HXg1RVPUu4/fKRqCiTo1p0MuXHrjly7flMJCwG2BN8mpxx1ZCVR9u7b&#10;r24fCO327Tsctssud8+QmIOOzBw5ckSVoMuXLyv5wiBCcNXt84KMl3//85816DTZGc3ZM2dKh7bt&#10;JDaGoFU274uWj0rVcCSkrQa5kpXz/1ThGOOIRhd1waj7hmwbJSYcAzmJceTEERt3bLHoFlKkfPdM&#10;tWScqiV/V32aZvb8bY3ZYchJe4mKqSO1ajeTzh17yPKlK+XxYyMnBoPB8KbIFTkpWbKUIyU7JPHQ&#10;Ic3kwOD4ehnb3Eoeg3PixAmNh8D98IMf/lBdEWQukLnBavhNgiAL6oeWoE3+27UNbYQLh0BPlCjU&#10;BWI3yKChnXHjrFy1Sl0nEEMUC2JDUDUgEW+LkLwI/ho5AXnBjQRBunLtht4TwbgQp0R3jxg2Mn9Q&#10;fDB0EKst9BtHVqirAvEiXdn3ne9897vyk5/+VNuB/qMBta4PEYBN9dIb16/L0kWLpVePnlK3dj2J&#10;Ll1WA1nZvK9YVEP5amygmFBU7W9rzpYvVx6lLp4SJas4IlI+ICQhxKR4yYpa08Rn9UBM/r7SCCUn&#10;X646XvF3VScFBMWRkr+tOUddO6QffxjTSqLL1pTGjVrJgP6DZdPGzfKpaysjJwaDwfBmyBU5iSpT&#10;Rt0H5y9ekvTTZ+Xo8RNqeDTuYIdbFTvEO9JyMDFRgyLPnjun2RvI72SXsA8JhbswwmxMZwQl+NAO&#10;xJWwDw5thJvjwYMHuq/JcdeOBJpCBHHjeHKyZes2OZx8RM6cOy83bt3W+JBwL/ZdAYLiM4AIsL15&#10;O0Ou3bgpl5wxO5+ZspyqgbUnJMndd0LiIS0SRyDt7t27HUHZq4QX4kugb1p6usaokB1GW+D+0QJw&#10;v/yl/OTHP5bj7jsjhg2T+nXrS8UK1aRU6TgpTsG00nUdCWknfx831BGJaVqKPiAnwx2JaKHkRavF&#10;aryJd+fEOkJTR0lGkdgeeuzfVxqubqAisd2z8IH7P/vtoJ5AUnDz/H3cICka3UjKl6sqHdt3kY+n&#10;z5DDh5Lke9/9ngXEGgwGwxsiV+QkJiZGa2X4VTKxB2fPX5AjR49qXAGrYYzn6jVr9CfGFONDLYyM&#10;u3flu9/7ngZBUvocguIVlMJMUnh23F5/+vOfNVaHNiLDJfnIEXXhoJDQlj5N2JMT4jogiBCBtxVf&#10;8ibIqaSEwruDcAWhrEBYIFVkAB10JGW3IyakKNNvPHhOdVs5wnvIERZibcgSYzM6iAquobatWusO&#10;w2TYlChdQ4pHNZKPYto4ItFHFQ9VNxwxIU7kK5WGOBLRxJER4lLI5gGkCztyUrKSFHXE5IMK/Rwp&#10;GS1BQbZR8kEsbiDShespyNj5StwQLdoGMfly1XHumF4a3xIXW1kG9O0nG9atl0uOvBMkbqnEBoPB&#10;8GbIFTkpW7asnHYrYA549OSpGkYICkoKEj5FvDA28W4Sw3jiAkLKJ7YABYBiXaSVUgYddYC0WCR7&#10;n1JamGJTeE6eOWfAK20EMYHU4bZBMaEN+f/e+H36O+qMkM5Lu2P0MRaQgJwvNVLAvUGeUFZwP5H5&#10;Q92Vi5eCGJWTp9K0rkriocOaccRz0n949h07duqzo8ahqBDXBDZu2CiDBgyUZk1aSP36zaVmnRZS&#10;uVYnia3ZR0rVGCkf1CR4dbb8XdXJuk9OkfKdpVjpWlmunBLqyomTj0rXdqSluaYIa+2TuKGZKcId&#10;NaunhPt7AFKKcfmQuTNQPqjYT4pATMq1kZJlqkuNajVl0viJcsw9B+Tpd//4O+3P+fFj5MRgMEQK&#10;Xpmc+ABJFJS79x9kGZwLzuBQGwNjg6HBsAbBkNudwdmtLiCCZ6lqClGBpFCky+/TwoReEBUV/zyA&#10;51O1xD0zK2zcXmy4RzYLbeRjMpTYObIH6aPGCAoVBpwaI/yfeiS8B69Q5HypkQRPUOgz3v2THVR7&#10;V67fuJUZq3JJUtNPa6wK2T+7XBsQSEusCvEpnrCtXLlKpk+fLiOGj5A+ffpLx049pVnbQVK7xVip&#10;0GSqfFR/lny55iyta1I0tqt8FN1YSpSi2mspJShk5lCenjiUDxwZ+Uql4Ro0+9WKfRwpaap/I7CW&#10;6rIlHKmBnBSPqi/Fops4tHRorvEpJaPrS3RMVWlQr6EsWbRYU5txzUG4ec/58WPkxGAwRApemZyE&#10;A0YHg0O8wbnzF1W2J7YA2X6LMy4YXLJMMDLEUZw8eVJjCr7xjW9kF+dyk6KWPXdExQfPFoQPzwH5&#10;wmgR3EmgJ89MNVUycTAAGGCtWbJlixpgiAml5X0htOOuPUnbJdYEA06WTLj3kN8QqqwEatxtVYVO&#10;nEoNYpqcUYSUkJpMUPCGTZs0a2z58hUyb948mTRpkgwbPlp6D5wgHXvPkqbd5kmNDvMltuVsiW04&#10;QirW6CQV4ogLqSLRUWWldOlYRzaqKNFgnx3qn3yl8ghHUAZLkXLtNXYl2MU4zpGT6ppaXLw0rp36&#10;DnUyyYojLqWrSUzZGlK1Sm3p2L6jbNuyVb7/ve9r0C59N7+SayMnBoMhUvBWyAkGJrQeBit7VsIU&#10;BmOlf1CzfHBNBPu1kKWRmJiY5fIhDZmYAtJn/9lNjho8m0/99jk/PjWYNFmKkKEakYWDq4JUbBQT&#10;aoLgzsAgU0L+3PkLmqJ76fJV/T+BpLQjBdDIhqH0fLj3kN/glR/ff4Kib0FZfVw/xDVBxiBnSUdS&#10;HOFN1Hai8Nyq1atlwcKFMmPmbJk8ba6Mm7JIRkxcIgPGLpVewxdKl74TpX3nAdK8ZUepW6+JVK5S&#10;R8pWaCAlyjZzRKSzKiYUaKMeSpGyrTUwtrgGzZZ3oOZJLSUlVImlDH5xaqQoeYmTkiVjpVJcdWnZ&#10;rJWMHjlSkt17w1XJu8bAGzkxGAyGN8NbISfeyISuhCEqKCkEQaq7B7k+4aAaYl9EjJ8YZ2peUKAL&#10;NeGHP/qR7nLrC3KhOoRWEo3ED8aI++M+MVCkknLvqCVM9j/+8Y/l008/dRP8FUlOTlaCxqTP82tK&#10;7d54JSBnzl1QVYSaJRhrlIRjx09q3RDqh6SdPiNXrl1XIx7uPeRH5Ow7ACP4KLMP4f6hHXAb8vyQ&#10;tH0HsrOY1qxd54jKGlmxao0sW7FGFi5dJXMWLJMp02bJqFFjpW+/gdK+Yzdp2LS9VK3TSaKrdZcS&#10;VQfJhzXGywc1xknRCh0d8aih++Tg8gnK31dRMgIpofYJhdnIBmKfnZLFy0upEmWkWuVq0rlDJ/l4&#10;2jQ54Uj2z37606zig0ZODAaD4c3wVshJTmBosoMgs1fC3rjg8kFJIQUZI+NTSal3gQEnw4fg2e9/&#10;//saNIry4CXzSPtgiCAknojgooKMUK+DvXBIh712zRG006c1toTsJtw4EBTicA4lJcuJk6m6a/AN&#10;Z4RpM9oOI008BnEnuMf4qd9R8vIobLsXNGAMQ7N9gtimy5qthOsQNQVVDgVqj+tD23fuko2oKmvW&#10;ysJFi2XmzJkyYeJkGT5itPQbMFy69BoprTuPkYbtxkn1lhOkYqMRUq5aB4kuW0dKl67kiAkuHUdS&#10;cOlENVTVhPgSStmra0crzFZy5KSsVCwfJ40bNJT+ffvKFkeS7t+7J7/8xS/UNRmpJPplHyMnBoMh&#10;UpAn5ASEqiihkj1ZPhgYMjUI8kQ1IKaAuBSMNmSFwmPHT5zQYFGCRtXd88//rGoEEyiEIBR5+cl5&#10;LcA9eLBShpgQ3AspIWODXYMp788+RGyYiBsLIkaNEiZ7iAlk7MSpUxpjQb0S2od2os28koB7jPgT&#10;sp+IN0E1ITaDNg3X5gUNvg9hFHlmH0xLG1ChVndVvnw1szptqrbR3vj9ro23a0rysmXLZOHixTJ/&#10;wUKZPXe+TJuxQMZPmS+DR86Qrn3GSfN2g6V2gy5SsXITiSlbS6JKx0nJUpWlBC4e9uFBMSnTMBON&#10;5aNoR1IIlC1ZQaJKlZPyMbHSoG49mTJxkrp2Hj96LL9x5BSy6vtKfvoYOTEYDJGCPCMnOeENDQY4&#10;4959NbQoKbgrmPzYRC5wdQQkhTRSqocSn3Hv/n2dMMlw+V1m1dnQDJ+8+ngiwnU0qPXf/12ruDKB&#10;Q0ZQSYg1oEgYKgnxJL6AGgTLZ+AEQC3ZrRk3FLQj0PXSlauqCNAm4doKcsJ3aQvcO7jJMND8LfT7&#10;hRG+L0FW2FX58tVrro+eU0WF6rkaTOvaf5uSwq3ayVetWS+Ll62WGbMWyuix06TfwFHSuetAad6q&#10;hzRs1F5q12km1Wo0kcrVWkhslTYSU7GFlC7bWEpGN3JkhdiTwL1D4CxF3UoULyMVylWQbp27yrw5&#10;cyXJEcknjx1BySw6mJd9My8+Rk4MBkOk4J2TEy/Vs/q9eSswKhTmol4KMj0T4W5njFFQwL59+3SS&#10;xC1y/cYNdfews+2//f73WT7+vPowWf+POz8ZRNQl+c1vf6vqCJP3Y2eEbt26pbEyFJsjwBU1hPvd&#10;mXnvkBPcDaTGHk5O1oBWVvk8M2oJbQDZCJ30Q9sJNw9ZO7h0zro28qoJ3wlt28II30a0B26uLDVF&#10;9/q5KmfPX1TyC1lBUaFfbduxU9au3yRLlq2U2XMXyrTps2XipOmOqEyWIcPGSr/+w6Vb94HStn1v&#10;adK8i9Ss214qVG4tZco3l5IxjdXVE7h32KenphKUMqXLS60adaR9m3YybfIUOZSYqLFTv/j5z1VB&#10;yU8fIycGgyFS8M7ICcCoemBcHrvJDuOMYcFYk+GDPM/K17t7/B4+wQ68SVon5cnTp0oS/E62xKNg&#10;CLyS8jI5PdQ144NYUUZwG3EuVr0oJBASKttCSv7BXY+NDdnzhhgSyqwnuftB1SCoFbXH3ytVT3fs&#10;3CX7ExKUcPFMBLtSz8MTDCZ6bQOHULLh24a/U0PmwsVLjtCcUxXFu31C27Sw4jN9KRME0tJOQTDt&#10;Pbnq2pysnxOOGOJG1PT2rdu08u6atWu16u6y5StlwcIl8vGs+TJ+4nQZOmyM9Oo1QNo4klK/cXep&#10;VruTxFVrI7GVmkvZuBYSU7GlIyxNpHSZmhJVqqJER5WT2HKx0q51W5k3e45uTPjYERRckf/p+lR+&#10;SS82cmIwGCIF75SchEPo6he3RaCkOGOiKbSBkoKh90oEdVIInIUgQBS8u4eKs56kvMwQMAnzPcgI&#10;LiICbiE6bN1PDRIKxH3t61+XJ0+ckbt/X7f5J1CXPYNOnHQrcTdp79+/XxUeXAdeIWHPGIJ9ISSs&#10;2Fm5k/qLC4tAVtxZPGu4dvAIJSfsAkybEBhL1grVefl7uOMM2aCNaD9V6Fy7ebfPWdevUKJ8VVr6&#10;lq9ovG79Jlm6fJXMnbdIpk2fKePHT5RhI8ZL3wFjpHvvkdKp2xBp36mfNG/dWxo07SE163WQSlWb&#10;SbnYulImqpJElS4nNavXku5dusnM6R/LoYSD8syRaPoUZNfIicFgMOQe752chBpjDHf2qve+SvRs&#10;GkdQKPEaxKP4vXsIMCUmhZLmZMT86Ec/UpLhg2Y/74PCgksI1QVSQtwIe9s8ffZMg1nZeA4SgpsG&#10;ZYQJGkWEoF2uvW79esVWTQPeqxkjR48f15Tpi5evaOorq3biIVCGeKZQtSRcO4SCNvEGluNCjzVy&#10;8nL4PuX7lVdTfEAt7kRcP2lsYnmM+KBE7V/rN2zMVFJWyKLFS1RNmbdgscyZu1A+njlX05OHj5wo&#10;vfoOk7Yd+kr9xl2lSvXWUrZ8HUdOcPGU0xiUFk2aycfTpstxR4IguMQnGTkxGAyG3OOdu3UwGBhb&#10;St8TI4AycPvOXTXmuDwgJgAjQrAoKcipaadVjSBldMcuKoYGWS8oFuy9kpaWpurGJ598onvVQFRw&#10;+6CoALbgJ+OH36GM/OAHP5Bvu++RWfPo8WNNXWbLfpQRsoSYlPft36/n10wiR0y4XrBn0C7ZtWeP&#10;7N23X4umHTt+whm505p1g+uFjCQMoRGJyATvBJLiU5N5b2npp4OdtlVN2a8qGGSFYFr2M1LSsnqN&#10;LF66XGbMmitjx0+RwUPHSPdeI6Rdp4HSrEVXadCgpdSu1UCqV60hjRo01P1/KGuf4vrts6fP5Le/&#10;+U3EpxkbOTEYDJGC9xIQC/nA1UH1T7JWyLKghgcTIOmhKA+sbgH/Zgt+H+RI4CwZLPGOHCDJo6Co&#10;u8cRFwqcnXDk4rQjC6TyXrzkznn5slxwP4lVOXP2rMaKUD7/2PHj+n3UFzJrMErEtfhAXEgI/6ce&#10;C3sFQUSOpBzTiq3cL+nQPAP3C8mCXAXF04IAV57XyEnkgXfC+8lW6O7JLUeQeY+8zwsXL2vwcVDd&#10;+LiqYrjviFNZs26dLFm2XObNX6gkBSVl/KSPZdToSTJk2Gjp23egdOrUVdq3ay9dOneR3j17yfy5&#10;8xxBOSJPHj9RF08k1urxHyMnBoMhUvBeyAkKCStW0og1PsOtWnUvmdNnNXiROI3zzkhASDwBgKAE&#10;G8Rd1FWurzaLe4VS5my3T4AjlWe1yJkjGLhcKHTGTwgMqgvBq6EuGoX7N/+nLDp/47wE5GplVnd/&#10;ZNmkn4GQXNF74f6J/+B5QmGEJP/Av6uc7xDSEqQnZ2S6fiApR7W/eSUN9yJ7Ia3WgNrVsmTpCpm/&#10;cLHGqowcNVb69RsgnR05adWipW5QuN6RmtOOiH/t00/V+IfGRnlEwsfIicFgiBS8F3LC5E9Ze1QQ&#10;AkfZO4VsCmp5EANw9NgJLXef4lauVJRNTklRkpDkVqCsZPfE71MXC8QCUkKcgAf/X+eMwYYNG5Rw&#10;MLn6LBpIi1daUF0gIEy8xByQIcQ1uC4VW1PTz2iK8/MKyV29dwyYkZCCCfoobkdUFVx0uH4gKfSF&#10;1PR07a/0E+Kg9jriS30eyApVaRctXiozZ5GePFlGjRotQ4YMkSmTp8iK5Ssk3vU14qNIQce1SCYY&#10;KgqEwMiJwWAwPI/3Rk6oFIsKQkYLqgnqCfvL4ELBlULKJ35/0nJRRwiEBUjrq50hgISgmIQSk1B4&#10;NQVwHOdgokVFwY3DxAsROpWaru4iJt8gkPW+3h9xCaHBqMCvrv2qO9xzGvI3/Lv175r37vsBfcJv&#10;x4Cyp2nvWiQvXskv/WzFypWydNkyWbJ0qSMriwMsWiwrVqxQNY99pCjWx7YMugP3XyJnLx4jJwaD&#10;IVLwXsgJykOwodstTfEkw8UTFVwoKCioJrh9iPVAUqdmyKuC4wDKCIoL5AeVhgBIaodQQ+Ty1etK&#10;SjA6rJY9GTHyYcgJ+kROtw/xR6h+9FXUFCoAEzCNaxBiTT2VlY6wgI0bN8quXbs05okg7G99+9sa&#10;vA1RIaOH2jp+D6n3QViMnBgMhkjBOyMnIHtVmh2QyERPDAdkhcBE6oEAiIuPM2FifG048gOuOBJC&#10;ajLF3ghgpcAZNTAIYuU+uB8mX6+MhLt/g4H+4VUU+i39iP5KX2WfH62lkpau7khilnAfEsuEcrce&#10;OLJCwDX1esgMI2j73r178s1vflNT2n29HtLd33U8ipETg8EQKXin5MRgKKiA0EJaICyQFd3cMjVd&#10;41NIgSf7a8u2bW6wbVSCAlnBFcTfyDCDDFAThZ24f/WrX2lMig+cfVdxKUZODAZDpMDIicHwFgA5&#10;wXh7t4+vo4LLEjWFWj3HtIbOEXU5akzVzl0anL03Pl4L/pHeTso7ezY9++QTrctDYUG/yWVeExQj&#10;JwaDIVJg5CSPkO3Cyg6q5Cf/964jEO7Y/Az/XAXx2T4P/pn9+/XvHLLiXUDENhGnQn0fdfskHBS2&#10;Zti0KUhlR0lBYaGwIJtJ3n/wQF09EJQ///nPWSpKXikpRk4MBkOkwMhJHgAjxUT+vFG6oitp4l2o&#10;jovRKmgG3Btnnj0nEQv3/cIE2iM0PZmig2SKHUk5KvsdSaHQGxVpSZGnHg9FAdlD6vbt21rJmPTj&#10;3/72t/L7P/xBs3zyQkkxcmIwGCIFRk7yABhjVs0E+RLQy0rZl7qnyBypqBAUDHe44/MreB4fLAr5&#10;ClWLCjtBoQ1oC9oEkgJphajSFyCu9JHDyUe0dgqFAlFS+EkRQQJnb9y4IV//+tfl52wkGKKivM2P&#10;kRODwRApMHLyhghVC7zhoSQ6OwlTUZZibuyuTC0MjA+bA7IHDzsUFzRywvP7NFtiLlAJ+D+/L2jP&#10;+jZA36HfQObITqPQG+4eCAnl8hmY1E4huyfl6FG5cuWKPHv2TH78k5/IP2amHrOBpS/m9qYfIycG&#10;gyFSYOTkDeFVEkiJr32RfvqMltin6qzWWEk8pP+mIi5pzayaC6Jbh2ciVZutCdijhoyVgIgVPJXo&#10;bcATW0/qyPK5dMX1H0dgUdmISaFeSrCdwl5JTEzUGimXLl2Sh48eyQ9++EMlKX/605/eyp49Rk4M&#10;BkOkwMjJayLUsPi4kqyqoY6IMKHv3L1bNw9kt1sKdWGw72Tc00meYwsaOUEBgHxR5I6qv5AxMlWo&#10;X/PYDFtY0AdC+9L9h4HyRk2etPQz2nfI7MHFA1HY4YjKXkdUTp06pYXcvve978mvf/1r3fHYqyjE&#10;ouSMR+H/kA/+/h//8R9KaFBe/vD738vvHf7s/k/QLXEt3/jGN4ycGAyG9wojJ68JjImSEi1lfkl3&#10;sWVfHlw3GBRiTCApbBpHPMHFS1fk5u07asDDna8gICAn15WcsPKnxge7ONNGZthejpxKytVrN+T0&#10;mXO61xTq2574eE0/3rp1W1Af5eRJueJIxMOHD+U73/mO/PznP9f6KOFSj/k/pIS/k6L89Kkj1Xfu&#10;yO1btzR1+dNPPpEf/uAH8n1Hdtj/x8iJwWB4nzBy8ppgoqYqKIYYQkKcADUryLwgA4Mqobg1iCUI&#10;3TAQ4xPufAUBkBMyUSjpDlHDpcWu02zyiMENd4whG6EqCv2L9qSKMUGz5y5cUlUuITExS0XhJ8pc&#10;UnKybir46NEjJSioIhCU0DgU/g8xITX55s2bEu+OW7t6tSxftkyWL10qBxMS5Mrly3I3I0MyHIk2&#10;cmIwGN4njJy8IjAcD5zRINiTzBvUAUqRU0grft9+/T9yPLEDfAdCwqTOcd74hDtvQQDPGsTdXNH9&#10;kdjEMcGt+Ok7EDSM7ZMCTM7eFnw/8aDdaD9I3olTaVll8SEOvjYKSkr66dNBLMoPfqBVZokfwWWD&#10;+4b9e1BHzp8/L9vcMZMmTJAhAwfKYIehgwfL7JkzZeP6DXJg/36tWJuWlqbnJGvIyInBYHjXMHLy&#10;CvCGQuNLLlxUA5xw8JBK7mylj2IAKbnh/k4aMd8tDKTEA+OltTycIYWgHUhIVMKWcvSYxp6gIkFg&#10;wh1reDG8ikKfQpk650gxKsrhpGRHHPY7crJbVRQIcvKRI66tz2Xt10NMCiXxceHs3b1bpk+ZKgP6&#10;9JXWzVtIi6ZNpX2bNtKtSxfp2a279O3VWyaMGydrVq+Wffv2yVZHftY7wmLkxGAwvGsYOcklIBcQ&#10;DVKACXyl9oQGvh5IUNcFacM+CydUKQl3roIKT8JoA4J/DznjCTmBvHmC4tUk3Dy+nQoTgXsd+Lah&#10;nWg7CCBxPCh3R48d1zZGQfF79mzfsUOOud+Tekw8CYXcjiQlyZSJk6Rpo8ZSp0ZNqVWtujSsV9+R&#10;k7ZKTJo3aSq1qteQVo60jBszVpYvX65YuWqVIz37dFNDIycGg+FdwchJLuANA5PzzVt3NAsl4eBB&#10;DXxlq/y002dVTcFw8L1w5yhMoA1Qj4JgzuNKUmgranikpqXLuQsXtTgdLiAIHaqAJyrhzmcIENoP&#10;iWGizwUbDKY5opwsex1J2bptu8M22ef+neQISUpKihw5ckQ2b94so0eOktYtW0nP7j1kwrjxsmDe&#10;PFmzarVscqRm3Jgx0qZVayUpXTt3lsEDB8m4sWNl9pw5qspQ0dbIicFgeFcwcpILhK5ar1y7rsaW&#10;1SkGF2KC1I6x4Dt8N9w5ChNoAwgHKglZSmSb7NufoIXoqNdBUOfxk6c0yJNgz1CCEu58hmzQtqH9&#10;ERWFeBSypNhckCBkiraR0cOePRsy1ZT5CxbIiOEjpE+v3rJo4UKNKXn08KGmDX/TYe+ePTLS/b1V&#10;y5ZSr04dqV2jpnTu2EnGOoLC8Wfc+Lf3YzAY3hWMnOQCGANN73RGFHfFQUdKWKES/ErRNe/OMWKS&#10;DQwZbUaNEwwb2TuQOeIXDhw8KMluRU/cRNrpM+qegMRQI4UMKFKuITa0K8aXtuVcnvxZOwfwJEX7&#10;phvIqFFkiRGLgqtn6/bt6urBNTNv/nyZMGGCjB0zVja5AX/t2jVNPyZ7h+BZXECbNm1Sl06bVq2k&#10;epUq0qxJU+nZo4fMmj1bDh9O1iJx9937eN/tH/rckNp7Dx7q8/Nvfkffsz5iMORvGDnJBZjofAXY&#10;M+cuKDkhQ4KAWHz/ftVvE2I2MB60CW0DQWFlT9udPJWmrh7IyeHkZNeWh7QSKmpK4uHDciSTtNDf&#10;iOMJNksMUrFDCUq4axZG0Ba0MwQOMoc7DaKH+ywp+YhuKAhBWbpsmcybN1/mzJmrLh5qpNy6fVuV&#10;E+qefP1rX5M77v/79+2TMaNHa2wKMSmNGzaUQQMH6iRBkDPn53rh7uVdgT7A87I/FWMSQgsxgzwx&#10;Tn0/CXeswWDIHzBykgtgAMiUUOk8PdjEb2/8fv03vw93jOF5YND8RojsIUN5/4OOkOzak50Sy092&#10;5N2fkKDF60ibpd+RAUV8BWpKsEIODFCwSg5WysATl1CEu5eCDtoFQ01sD3E+EOkNGzfqPj1r1q4N&#10;YlJIGXYExW8o+JOf/ER+85vfyP179zRbp1ePntKofgOpXDFO41RmzpipgbGU1kdBpL3zso39uUNJ&#10;LsQDAgbZpUDd+fMXlYTRl46kHFPydPnyVSUsfN+fI6/u0WAw5B2MnOQCTG6s3n3wISvSxENJamRZ&#10;vYU7xvA8MDIYDAgGRAPCgTsn7fRpjT9JOXZMg4tRVDCoGByAOqX/PnZcq86iqkAKz7q2533gCvKF&#10;7rx7LZSohLuXgg6en37JPke0EVsJ0GfJLGNLBb9fj089Pu3ewe07d+TTTz+VjIwMSTp8WJYtXSaD&#10;Bw2SZk2aBO6d7j1k0oRJsmnzFnXFecUwr9qY9+fVIOK82EDzcNIR2b1zt2xYu06WLFois2bMksmT&#10;psiE8RNk0sRJMnfOPFm7eq0cOHBQA3gD8mqKpsGQH2HkJBdgcmMlChlhjxyMJzEUpBSzmgt3jOF5&#10;0IYYHAwGRgf1AxUE44OigiFFmWK1n376rJa9p41J16aYG0XHtm3foTU9yErBtcZ7gCwS00LsD8G1&#10;kB+MZihJCYhK4VFVeF6ePXB9PNS6MxRw8/Eou/fGK8lATdm4aZNs27ZN3WlsKIiSQvwJhdgWLlgg&#10;Pbp3lyaNGkndWrWldYuWjgxM1sBmVAoIoTf+b9KeWe8k877pI4yrW3cylMQSUL1jxy5ZsniJTB47&#10;Xgb17C2dW7WRZnXrS/3qNaVetRrSsFYd6eAmsUH9BsiCefM1RoZ+RV+gPcJd12AwRC6MnOQCTJys&#10;9tlt+PiJYCXPah+DaOTk7cCvkiGBVxxJYb8iXAgnTqa61f1RrZWCKyIIqCU+JUnry6CoQBgxvKzo&#10;IZBnz1/UKrWQHQgL54S0YKww1qHE5U2MaqSDZ/NExSsQtCmkjoDZbTt2KDlZu269lsFPTk6W1LQ0&#10;OXfunKSnp2umD0G03bp109iTxg0aSp/efWTmxzNky9Ztcio1XYOXGQNv0o7cH+eARFHs7Qwp6EeD&#10;+i1kHC1atFgmOVI0bMBA6dumvXStXU86VKgsbUrGSJtipaUtKBEtbeKqSusGjWSI+96KZSskJeWY&#10;LiBwQ9EORlIMhvwDIye5QEBObqk7QV0NjqCwsmc1igIQ7hjDqyF0xYxLAiLByhlSSFAs7htcFOcc&#10;8aASLyt33gGuHuINUAQCAnNA9sTv0yBbfseqGyNKMC6EBbLCip/rcL2CbrA8QeFZfQApbUkbQlKI&#10;I9m8ZavGoZAeD0mhbP2BAwmyfft2WblypUybNk369u0r7du20/gTJotxY8fJtu07VeVC9XoTcgJZ&#10;hEBSpC8x8bBs3LBR5s2eI6OGj5BunbtIG3dNAnSb1aornSpVk35l42R0qQoy46PysqBoeVnsMLdY&#10;rAwsXUEalI+TFo2byuABg1RB2b8/QQNmC8O7NhgKEoyc5AJMvFev31AXAq4G1BM2/GMlimwc7hjD&#10;q4E2fhn8CjswsNdVISEgkuqzuH9YaRNLwX4wuIB279mrLiHq0kAqNVbFHQOphPT4OBXO6V1BD0Gm&#10;IfPXDXe/+Qmhbchz8ayQP7KhUo4eVzcNqfG4ecjs2egmhC2OsOxwbUkw7Zo1a2X6tOkyoF9/ad60&#10;mVSJqyQd23eQ2bNm67EQFEg6wckvIwDcA++Re6DtKWpIdhGxRXv27pPlS5fLpDFjpY8jJS1q15Xq&#10;pcpI1Y9KSs1ipaRJsdLSp1gZmVK0rKwuGisHi1aUkx9WljSH5A/jZLYjKc3dd+qXryitGjSSvj17&#10;ybIlS+U4WXXuffOeC8L7NBgKA4yc5AJMaBg0XAgEFhJgSMAdqz0MWbhjDG8fvAfaGyNzJ+OeuhQg&#10;jcQlEKuCGsC7gTyibmUH0wZqFyoL/8YgE3zL7tHHT5zS4mW4g3AlQThRAjCcGFAMabh7ya8IJQeQ&#10;M9qOQoKoKKhN7KxN1hSTAnEpZFFt2LBRVq1arWnIVI5FPWnXpq1m9EycMFG/F+yddFvPG+66Hrw/&#10;FDHqBaW49t/hSNFSRyAgP8OHDZd+3XtI95atpWvt+tI7trIMKl5WxheNkbkflpfVH1aQPUXi5GiR&#10;ynKhSBW5U6SaPPqghjxxyPigmhwqUknmue8NKV1R2sdVkyYNGur9Lpq/UOId8UF14/o8v5EUgyGy&#10;YeQkF2AiY3WXlJyiK3RVTdzKnTgGIyfvFrwLVuePXLujdAAMIoSFYlyQiiAj6JYSSpQSjRU6eUoJ&#10;Ca4fFJYdO3dlqStUr6X8u1dXqFwL6Ql1//iUZa4dqqrkNyPn75ln4Lm8ghEEzJ5WlWnn7j06Kaxb&#10;H1SX3ezIB+1E1dnZs2fLwIED1cXToF59aduqtUydMlXbkLaDeDzG+Ie0Ee3mr4XqxVxCQb41q9fI&#10;xDFjpVenLtK2cVNpUKWaNIqNk5ZlK0j3qPIyuUR5WVs0VhI/jJOLRarKQ0dCvv5BTfn+B7XkHz6o&#10;LT9z+PkHdRQ/cr+7X6S6nHTEZVmxCtK1ZFmJK1tOmjZoJL2795S5jlhRNNHHHL1M4TEYDO8XRk5y&#10;ASZY4h0Ok0IMOcksWc+kXtBW1gUBGB4MoU9bJsYiyAI6o8GznqRQTwW1gH9jlPk9BMWnK9PnWW3j&#10;/vDVazG+oaoKfSPcPeQn8Ay4eahBw35ItEP8/gNK4FBOcPngvtnp/r98+QqZOnWq9O/XX1o2ay4t&#10;mjbTf0+f/rG6gghMRtGikiztA7lDYdRdvI+dkPj4fbJ2zTpHcubImKHDpXfrdtKxem3pXK6SdPso&#10;WgYVjValZH7RcrLrw4qS7sjG3SLV5DuOlEBCfvNBXfmnD+rJP2fid5n4pfvbN4rUlOuOxGz5sIL0&#10;L1ZGqhQvJbUrxEmT+g1k+NBh6qZCGeNZbdwaDJENIye5gJGT/IWcq3VWy7iByAYhxgFV5aozUr7W&#10;CjU0KPgGMcEwo46REbT/wMEgO8gRmKTkZHUN4f4h3gVVhXMXFHJCW9FO2QGz59XttXffPtm+c2em&#10;q2ejxp9QbRY3zJBBgzVglcmDgFWCZIn5geBAUFAoNJA87bTs2bNXFi1YKGNGjJJe3XoExKZ2XWlX&#10;sYr0LlNBppSoIGuLVpD9RSrJqSJV5JojJA8/qC7fcqQEVQTy8VtHTH4XhpxAWH7m/v61THICqRnt&#10;SE6TYo6clC4j1WMr6H1CrKhQjCrGvYVrC4PBEBkwcpILeHKixdec4WJVHazAzK0TieB9fQZPA3dM&#10;KHh3qCsQTeJNSEWGgJCiDDmJ379fK9hqBktCgr574lb4HimqvrS+T1GGrHBOzs01w91bJCK0nbh/&#10;1A6e65wjbgSAQ858oDGpvQTNLlkaxIkMGTxEJ4/qlatIzx49NS6F75L+jVKFu2yzO2buzFkytE9f&#10;6dS4qbSsXE2alI6RdsXLyMBi0TKjaDnZ/mEFOf9hVXlYpIZ815ERVJJfOdKRTUj4WU+JyT+6f/M3&#10;CAkunk8+qCF3HZG56EjNcUduNrlzTSwaI50cOalXrKRUKFVaa7Sg1kA8cdvxrsK1hcFgiAwYOckF&#10;mLSpacJKkvRUUlOR+lllGjnJv4BEYKRQwHiXpBn7lGUUEkgILh4IC6oKVWzpAxhewL9DyQrHQ1RY&#10;ledXRc2TNrJvUD9Iv+b5fMAs2TvURlm+YoXudDxlyhQZPGiw7mDco3sPGdC/v4weNVozeZYuXiLT&#10;p06Toe7vPTt0lK71G0nXuKoyODpOJhcrL0s/LK8qx4kPK8v1ItXka46Y/ECJSW0lJf+YSUZQSPgJ&#10;OeF3qCjfc98jGPZ8kaqyzxGSNY6QLP8wVpa5c875sJyMLxot/YqVliaQk5Kl1P0EmSLeiMBp4pPC&#10;Pb/BYIgMGDnJBSAnBMCSBUJQHXELGC9iEEwezt/wKgpkwruCHj4Ogmwp3oWyAumAfFBqn/fvK9ZS&#10;FwSXR7AX0DEtcEbcBsf4QFpVUUCIOhHuPiIJ/j5pD9qB5/H7SrFBI3VR2Kdn5cpVsnjxYpnliMik&#10;yZOlT5++0rxZMy3Y1qldO+ndtZu0adpc6lSuInXLlNWiaYOKx8iiYrFy2BGKq45YfO2DmvITR0Z+&#10;4QjHrx0hCZSSnKQEolJX/+7VkvsfVJe0IpVlS9FYmVAsWro4ItLNoX+xKBniMLJYGRnu0LJYKYkr&#10;WVpL8E+ZPEXfG248lK5wz24wGCIDRk5yASZqNhrDX01NDcgJkrX6rk0eLpDwxhnyibJCUCcGmlU3&#10;VWsp/IabR3dTPnRYM7lwgaC0oDQQy6L1VDLVFIw858sP5CQU3C9tAEGBeEFQUA8p3kbhNqrLLlu+&#10;XObOmydjxoxR106n9u2la/sO0r1NO+lWu550KxMrg4qWkY8/LCvrP4yVI46YZBQJ4kkgG5ARH0OS&#10;E/wNFw+E5EmRGnLJERqOj/8wTrZ+WEEWFiunJKSDIyGtHVoWK6k/OzmiAup+VFJiHTlp1byFZuwQ&#10;N4YyZsUTDYbIhpGTXIAJGiPjU1J9NocVYSu44J0Dr6pgoDFoGfeoXHtX1RRcfShoQYn9FEk4mKhG&#10;21eo1Zo4aelKUjDu9JX8SE68q8fHoqAi8lwHDx3S+BLSjQmShaCQtTPekZQh/fpJ/3btZVytRrIo&#10;qors+LCipBapIhkfVNd0YFKBUUtQSrxKEg4oJhCTe0WqybEildV1M65ojOLjomVlarEYVUl6OyLS&#10;yhGT6h+VkEoOVTMRy4TmyElHdy+kLhNbxK7G5o41GCIbRk5yASboGzdvB6tmR0x0L5fUNI1PMHJS&#10;8OGJioc31l5RoaAYcUgE0uLyIe2W2Ab+jaKC4kYQZk6Xjz9fuGtGGvxze1cPqmFqerocSkrS5928&#10;davWRVm5apUscCRl0tixMrpXH1nQooPsrt5UzpSrL09L1pOffFhXfl0kcNVASnISE8gI2TeoJcSV&#10;PPughlz9oKqkFImTTY6YTHeEZJAjI4MdRheLVmIyoFiUdC1WSho5clLeTWBlHKJLuH+XipLqcZWk&#10;cf2GMmrESCWOtzPIsnrknsWy7AyGSIaRk1yAiZmqoWdU0j+lsSeQFFJRqecQ7hhDwUUoQeH9oyaQ&#10;uUOhvqBKbboG0KKckB2CooLrhwrDuHwgtSgwnAPkR4ICMSPmilgcthAgBRvjT0bPCoJl58yV2RMn&#10;yZohIyWh2wC50LyrfFq5lfy8VCP5bdH6L1RLfu1IyU8/qK3qytkiVWRXkYqy1pGSxR+WkwVFy8li&#10;h0UOs4rGyHhHTiAm7Rwxqe+ISZViJaSsm8BiipeQ2NJlpFqFOOnWqbMWidu8eavux/TgUXZGVbhn&#10;NBgMkQEjJ7lAKDmBmBBbgPEhY4dVcLhjDIULoYabDfbYXRd1jQJv27Zv1wyXHTt3yoGEBN2jifof&#10;PqvHE5T8QlJCgaEnpgY3F1sB7N67N3On43WyZsVK2bFwsRyePlsuDRorX2/SXX5Rvrn8tkRD+V2R&#10;QDUJEKQKAzJ1vlukptwsUk3jUwYXjZJexUpLP0dCxhctI5s+LC9JH8bJFve3yUWjpZsjJnU+KiHR&#10;buJCMYnBlVOytFSJKSeNa9WR6VOmaWYV92dj1WDIPzBykgtgNPx+IKwSycxgpUj1UIv6N3h4goLb&#10;AzXl8pWrWpCMdGMq0BKjceBgEIuiGV9uTOHq8QGz+XE1zz1j9HkG0o5RFHH1aPG2bdtl55q1snfB&#10;Ykma9LGcGzBGMtr3l6/9/+z9939XVbb/gf985/sXfL+fe2csICIdRDqKNEUQkA4KKCBSpClSlar0&#10;3kJLAwIhlUAglFBDCwF11LHfce6M05tlnHrv+u7nOlnJm8wBE0h5v5N9Ho/1CCTvc97n7L3PXq/9&#10;Wq+1dqcB8nnzJ+XnD3SV3/ywk2bhfPb/bSPvOFBy7P/XUsWuC9gjx4EPxK29nQ1z4GT8f9WXmf/Z&#10;QOb9Z0OZ5P72jAMtnf8LjcmP5IEf3SNNHnhQ2jRtLj0f7SLDBwyS6ZOnyKYNm3TfH0vxDnsGb968&#10;RZ95cFIOw+lAYxNnh7anvkVS8l51Lvw+7Bxvdc+M/cBhwyhQS4NCfZTQJ0MkPTNTs3so7rZj584S&#10;FoUsILQoOE+7Rtj1o9EinxfGSDU4PKsDX7BGO7Zsk40rVsrGBYtl++zXZe/LM+X4iPHydo8h8ukj&#10;veUXDzwuP/t/7aXo/7WWI/+vhaz5z8YKSqju2sYBj+bOHvuve2WwAyejnQ13RtpwN/e71u5vjYpZ&#10;kwb33S+PNG8hTzhgMvbZkbJkwSJJTEyWnJwj2rY+lOPNW2yZByflMCZgGBImXlZhJnxkq3gPTrzd&#10;ysxxm0YDp30wPV0ZlB27dqnt3ccu16VF/RBr4khjCaCYGUjhWdFjlWwkGLddNmzYIOtWr5HNi9+U&#10;fdNfkxPPvSiXnhohb7fvK4WNu8mh+u1l0z3NZOIPG0rnH95fMhnVc/aIAyB9HCAZ6AALoKSN+38T&#10;Z4Rx6t97nzSs/4C0atZcnurRU14c9bwCk+SkPaoDgjGh/cPu15s3b9FrHpyUwyLByWEHTnAoZGMg&#10;sCtwk1/YOd68MW4MoAS1QhDOntExRPgDkJvonChpx7BxvGP8HQYiFlf53LM9K4JfdB5suAiLkuwA&#10;GRsHblq1WrYtXCyJr8yWveOnyoHh4yS59zBZ0b67TG3QQvrf+6A8/KNScHK/s6bOOjtQQrVXgEpj&#10;93/YEv4GMGnT6mHp5YDJpJcmyvo162R/ygE5duy4gqRYDZd581bXzYOTclhZcMJqkPRJaj2wMgs7&#10;x5s3zACKgRSMMYPWhA0kAScIZXft3l0MUHJVLIuOw8SyYdeNRot8VszEwYCUQ4dzNWNp69atsn7t&#10;OlmzYoWsdCBl5ew5suilSfJyvwEy6OF20uWhJtK8fgOpd8+9Cj4UgDhr7kBJi+J/w6bU+9E9+pmW&#10;TZvJkw6YsOvwyhWrSkKtkSEyLOx+vXnzFr3mwUk5jMktiKlfVWo+yMDYqnuusBoOO8ebt1tZwCxc&#10;Ka64elgZFFKOcd4UcyPMQ7EwMsRs5R+LDjbyvSHtGOBFphup1RrqWbdOVi1dKotnzZZXX3xJxg0e&#10;KgN7Pild2nfQME2TBg9KQwdCACTULzFgUt+Bkkbub61btJTebuKaNGGSAhOExiwgYjUs5s2bt1Lz&#10;4KQcxkSHg2DSQ7zI5Lp+w0YtZU9WRtg53rzdymAUzGkjlqVWCKEPwjuECxlfgBRYuhIxpzuHcWgW&#10;dt1oNO6V+wdk8SyErdiDCECG5madAyhvOYCy8PXXZd5rs2TCuBdl4DMDpOtjXXRPnub315NGP7pX&#10;wzgAE5gUxK8Akye795DxY8fJurXrtGIzDE0sgzlv3ryVmgcn5TAmOiY8VrzUr/DgxNvdGmMKkEL4&#10;hjF09NhxZRVg5QApjDGKtrFHTz7CzuJsnlhlBex5AQ+ACIDXgYPpsis+QTZt3iJrHMBYvmKFzJkz&#10;R8aPHy9DBw2W3j16SJdH2kjrxk3koXr15YH771fG5GEHWp5yE9ZLDsgse3OZvocmfPWgxJu32mEe&#10;nJTDmPBspUutk0TnQJhQg7DOpdBzvHn7PgPwmsPWuiinTmtdFEAJIZ7EpCQFKgcOHtRxx2cAM5wX&#10;dr1oNt4he14DZOw5hO7GqssyEbFHz5y5c2Xa1GkyfsxYeXbIEHmyW3d5uEULadqokbRzYOWpnk/I&#10;xAkTZcP6jVpDhr1+AG6eMfHmrfaYByflMCY8JlTi2bQDjmP7jh1ao4I6FmHnxIpFOo1Is4neT/ZV&#10;Z9a+mDltFV2jzUg9qHVQtsXFye74BK2+Sroxf+dzGuqJMZBS+rylIIXnQccFINu+Y6ds2LhRq8uy&#10;0/H8efNk+vTp8uyIEdLt8celc8dO0rfP0zLuhTGy/K3lmqpsxdU8MPHmrXaZByflMCa9s+cvaFok&#10;uxKzZTwAhR1pETaGnRMLxnMxqTO5wwox0SPwtRTMSJASdr63yjPamPZWHcqZc3K0JAV3r4Z6EMxS&#10;mRimgdDi+QsXXb/F7qaTPC8AC4BCfReAF+X+ebfIXNq4ebMsX75CXn/9dZkyZYqMHjXK2WjdJ4e9&#10;exITk+RU/pkSkObHqDdvtcs8OLmNMeFhTH5Q0OynQ2luUj5xHLG+8R/PZsCE8vwn809rCXIyK2CE&#10;ygKUMAu7rrc7M9qTtrYQIv0AAIZFIexByjGhHmqk0E+AybL9gYVdO9qM++RZGV82BgmRBoXqMrTM&#10;/yYHUNjleNHixfLGggXKpmzdFqdhLkTEgOjIsRn2Pd68eYtN8+DkNmaTJ04aJ2F7oxDnZmWraYtu&#10;Yg07NxaMCR3HYAWzEF9Su4XicmgfYIoAYGRYwByxWjdWBQdK24Rd19vdG21r/cLYI7tld0KiCmVh&#10;FwAomm589rz2CePQgGTY9aLNGHuMIe6d9wi9DXtVESoNnjVBtjgwxuREmGfFypWyZu1a3Vhw3/79&#10;Wp0ZMA2gYTzGynN78+atfObByW2MyZ4VHbQzzoDCa1DOWYcOydni2H8sO2gcBBM7EzzMEI4BZig+&#10;MVF2uJU6mRSEFAgnUHvjiHOShBQAKrQLwCbsut7u3nC2FvYwXQbpsohH2ToBkKIbCCqLckqdPP0R&#10;K+ORscc9qyjWPReABHYobvsO2bZ9u2ptYEm2bN0mGzZuUmCyas0aWbdhg4IWhMK2SID1I9U67Hu8&#10;efMWm+bByW2MyT5wDCc1lIMINt6t6GAYLOQRy3SygRPCA6xccX57U4j5x6tTwBAp4gxxhDiD7JzD&#10;mvZKATHahvL9F52TYSBxLdrM6wAqx2g/LGC3gkqrFG1j00n6BAM8Ahxx8oDoSJASjWyCiWG5x+B5&#10;gjG30405MuA2b92qoIRxxzhEDBznwApC2dUOnKxctUpWrl4tGzdt0oUCQlpCXIBlG3dh3+vNm7fY&#10;Mg9ObmOU3s5zwORgWobup0O8/0BqqrIHtcEBc+84CmNPAByEcgAgaGrQ2FB7A+Zk/wEstcTQQQBW&#10;MtzKnTAQGyISAsLhcK1YZ5WiycyZ44DZzI62hjGhUFvSnr0a5qFPYL6O5R3X8vfB/jzR1/68M+zW&#10;TPE5QD5ji9R8toTg36kH03XcYfwfRoWspS0OtKxbv96Bk9UKUAAqMCrs8EwmE+wRYm7eSw+KvXmL&#10;ffPg5DaGk83KztHVG1kTOOScw0eUMagNzAD3b8bz4ASZ3K9eK1JwwWQPYDlylMyRLGVPWK1DuW/e&#10;4la5altl565d2j44FvZQYRVPHQuuFfa93ipmkf1kfQQAAUTaPk+wDjt27gwqyx7JdWP0vPts9LU/&#10;9877AwhG+BqfmKRjKiPrkDI/jBvuXTUo7jNooNCYBGnGmxwoWav6Ewq2LV+xUtZv2KD6FLLoVKDu&#10;gDbtFPbd3rx5ix3z4KSMmQNgkkMICnNAeINUTpwBIjyo89o+AfJ8rNYJ+cCGENpibxSYEla0mk69&#10;tzTNFeBibAqretqKTdjIqgCskHmC04lMVcZR0dbemVTcaEPGIqXglX1ISlYDJMKiAKop3AbTgpDZ&#10;wh411dZ8LwCY+yAMwz0zbvbsTXHjJk3vlcw3xhzAmHEHu3LiVL6OO9gRWBRYFgs7rl2/XsEJWUxo&#10;UGCOGKsAHBYW3uqmeda2dpgHJ2WMSRTHyeRINkSym0CZAHHGhHjQWFBforY7VJ6PF9ycBc4QJ8fq&#10;FgdAVU7aA2rewkCAExyO7RGDqBbWibZLy8jQz9GmsDGIGLkuDtNYqLIWdl/eAqPdcPT0B+CPjB6A&#10;IWEe2t70KLATuceOaZ/x+bJtHXbtyja+x5g5UtQZB4hfucfUNO6PTQ6DDfv4DD9vGnfO4QBsWSww&#10;5gArKQcOBFqUTZtk/caNyhzxvDCbaKIAxd7qnrGI4p1gDIWNRW+xYx6clDEmUSZEJkLEeqxGEePh&#10;eEnbZPK0CT7s/LpitAPOA8ehWhUHUjIys2VfygEHSBLVcWzctFlDPzgiWJb9qanKqrDaJ/tEU5Sd&#10;U2LfGBwn1wMY4pgiQUvY93sLjDai3QB7hEHI5gGcEAaJ27EjSH1PT9f3l1AJzBWaj8g2DrtuZRp9&#10;yHihbwlHoSfRcKC7T4AKwIRnuF1fG8DhvgE4PCvhHp4RBgUNCjsdB3qoNGXyVDjsxuKOnbtlx45d&#10;3uqAAXhJM8exhY0jb7FjHpyUMSZRJkvb3l1Ta3XAH1ZHzATpnWZpqquxTKxWqNipbEruMQV26ABM&#10;3IiDTE1DXJuq9Py+lBT9SbYFehYqn1LnAt0ADszTs+UzxiH9oADF9QHCUHQ/tD3tu6c49AY4hG3g&#10;97AsAEPamP4Lu25lGvfI98B+0McAKFKGk/fs09Uu4l2eoTzgxEBOoFsJNkvkWmvXrVP2hFowgJQV&#10;K1fJvHnzZeqUqTL2+TEyeuQob3XA2HNp48bNupCs63N0rJsHJxFmEz0hCxyplgx3E2laeoYcP3FS&#10;V5x8xg/6oK0wA2s4DdqOYmCsbikgZiEgNAaAvfRMHOZ+raOCQ0ErAMOCoBMtAU4L3QA71tIHnG9a&#10;CcSdfIeZAcS63heR/WB9YMwfbQ4Y3Ll7t3PYcWowKqqfcuDxhAOC6DOquk25HuMh7/gJZc4I8xHu&#10;A5iiiTFg8n3fa5/hPi3sw9hi7MBuYtRAWbFipbz66kwZNWq0TmyPtHpYmjVuIk0faixNHmp0k/E7&#10;rFnjptKiibdYt0c7dpLZs+foIun7xpO36DYPToqNgcwEzaoMyjgxOTmYQN2qH7Ee4YdY3sukug2H&#10;E4CUK+oAcUKEcgjp4KAIk+1N2e8cFRawKIATVsIH0zM1RISoE4oWJoY+ICyBsJYicDg7wCKZReZU&#10;w+6jLhptD5ulacdH8xRcAwphUNAD8ZOsHjQq9AcOHraKvqLPeA8qsz25FnolABF9jdHXVCFmbNB/&#10;YefdyriegTFEs7yjgC5CiLZx4JIlS2X2rDkyfNgIdVjNneNqcH+9kkkOq3fPvfJgvfrSuOFD0rJ5&#10;C93xuH3bdt5i2J7o0VNef32BMoh+Toht8+Ck2Gw1BtVNSIIqlcSzyU6xEENFJ9G6bJEOhHYF9MGC&#10;0JboI6Dl853zJIwDGKRWCiEHnBYre0JpaFWsH9D+kOERMCtH9TyuwTXNofJ9fG+Yhd1jbTXaAYBC&#10;mwM4YKDI7KHCrzEXFDCDsSIMQsYMxd3QDgFqaM/Itgz7jvIa5yuIOHNOASmAHyAKMIHdof/u9Ds4&#10;D/0J44FnokgilWTROvE9CYnJMnfuPBk8aLAClKYPNSoFJz+6Rxo4YNK0cRNp60BJ927dpX+//jJo&#10;4KDA3DneYs/YHHLNmrXK2N7t2PVWs+bBSbExgTKRszInbXFr3Hbdx4OVOxO9TdZh53q7M6NNVSvh&#10;Vs+kjBLOwXkSSoOqB5wElWqppbJbM1EAL2SgACDJFAKkwBDo3j8O+ODsLl8NUlINsGBh31+XjPYA&#10;FJLNQHgNsAdAoV0R0KbsT1WAyN8DFiXISrsbkMI5nM/7Azjau2+f1mKhfwnb0V/c1928V7BnjB12&#10;NAaQIIxlvDBGyNrZvGWbvDrzNRkxbLh0fexxae7ASEM3wcGawKQ0bdRYOnXoKAMHDJSJEyfJjBmv&#10;yMzXZsms2XM0POAttmzBgkUKShlbYePFW+yYByfFxioTtI2DJBbOREcaMamvdzNBe7u1meMCoDCZ&#10;qKhW2ZR8DQGhmaA4F2nKsCo4HCj8QFS7XwuQwbKosNb9njAQe62wIscRl+pVvKiWNsCR0860D5Vk&#10;yZShTclsoT4KoUwYCNK+YSMA6vQN594pOOFc+oH+5DsAJ4STCJPyzt3ptc24BgwaQJXrw5wQ3oFl&#10;492lMCAA7M03l8nElyZK/6f7Svs2baVh/QcCgFKvvv5/1MhRsmjRYhVT7t6doECY999bbBkgG1DK&#10;uAgbL95ixzw4KTYmblaNTNbE44NJOlMncg9KqsZoVwyQgpPCABOsplm1s2cPrAqgEYYEB0TFUMAJ&#10;O0Qj9ERYi96AtFSck+kojAEwNgVtigGVugg2I9tZ29hN3gA49CZZrk0BejCFhNAQLAP4AChhobOw&#10;64cZ34mTAHQaeKDPCM3BUlZGH/AsXAs9Eu8tk9mmzZtVz0S4kOcD7KJlWrN2nUyfNl369nlaWjVr&#10;rsxJvXvvU8Es4QCEtOhxyCgCPAUFAy97iykLCjxWZJx6i07z4KTYGNSs1EHfABP204FFIVwQ9nlv&#10;VW9MMDjFYMV/UcWPCN1wdOwMTXoyYR5W/ghrcaismMm0CtKXMxTM8Hmofxwt/WyOti6BkzCjHYKQ&#10;WlBpVovoubEfpB7v07YkXEL7kSZOHxAyK2+70X9oWLg+LA0b/AEqKZQGIxN2TkWNfuQ56FsYz3Xr&#10;N+imgKROU8YfXRN9TliJv2/cuEmmvjxFnu7dRwWwDzV4UJo1aixPuQlwwksTZPnylfo5npfzwr7T&#10;mzdvVW8enBQbK2z0DogEWeFR1wTWxE9QNWc4wZtW+wpUCnUlT39pxVrnlAAerHYzs3PcCpmN5JKV&#10;Bdi0ZYsKavk/gCWo73FWHSbXq+vghLalHWhT2gSmiVAI2T28A1bMjfbj3YCFqEh2Df0GuDchrgJH&#10;5/ipbVJZtDv3glG5Ga0Y1ZzJ2Ely90x2EO8w34UxXsj8AqBMmzZdBbCtWrSUB+67X8WyHdt3kBee&#10;f0HWO4BDthjApq6PEW/easrqNDiJdH4U7WHipBYEOgYmaRwgDjHsXG/RYfQfzpXQAc6TFToMACmz&#10;lunDxnAU04NN4e84R1bGrLZxyjAzdZlNsfcAoAL4QLcDcwhA0Yye+HhlVAjHAARNh8I5YdczU3Di&#10;2pg9ltCxUAQOgEK4hWtw/t22t72/ZO3AlAXgZJOyPyww0M0Q0rPPA2yDz23UAm1PPdlLWjVvIQ+5&#10;SQ8dSo9u3WXKy1Nk3dp1GgqiPex5I7/XmzdvVWt1HpzYypE0SrIIACeECfg/qy0/KUW3RfZhsPoP&#10;drRF8EmoAodqOiJAJw4XI3SH8yGUR18DROsqm8IzYzh6ZRgKLip4I5wD40G4jOwe2o/2wmHbu3G7&#10;9uLvVlYf/RYhHa4DowEjyd+/D+B8n3EN7gWgSX+uW79ewzrcK4wNbBD9ap+nSCCMCMwIIIYQzzN9&#10;+2mIB3DSsllz6f54Vxnz/AtaZTYz65Bri9P6HZHf682bt6q1Og1OSifjS5pNgAOjVoLuo+Mmu8pY&#10;2XmrejPHiuGscEb0K6tkGDGYAJwsDisQ0W5XVmXHrl3a55TORzQJ7R+wKKU7JtsYqAvjILIdceKw&#10;EQA3UoxhIgAWiGd5N4xNsLaJNLse1wEwImYGJLLPD5kzgEVAJNcwQBh5XkWM8wE6AFJAVFDGfrP2&#10;K+80jFokOLExwjkAD0I406ZOkz69+2iFUdKMH3Qg5dFOnbUU+pYtWyUtLbhfrmPjIfIevHnzVvlW&#10;58EJDoxsEFaJiCsp/qWF15yj8pNQbBr9Zk6IAc6eLjhITU0u1j4Q5lEGJWW/6lTQWSD+zDkSbErI&#10;mAC0GkNQ15wSz0qoC3CBboN2AaQA4siKiAyD8dPAXGQb0Wa0H7oT2BMAA+8XbY5QGXEz178bpx95&#10;ffbqISOH2jiEpQjpcH3uq+x5fCf6I4DShg0bNZSDSJa0YkI8ABVEsuNfHF8qknXtwD5AdWkcePNW&#10;U1bnwYmt7EyrAN1P4TV+7yeh2DX6DjPHiRODFQmcLWXdj+lqntU2+hRYFPb6QUjLGMjOYe8Z54jv&#10;0nnGqvGsPDPtB5NE2wHkDaxZ+/IZgAp/4yf/L3sNNB8wD7AuAEIAim4NcTBdmRk7707aF/YF0ECo&#10;KD4hSeucEJoF/Bi4jLwnM77LwBeglRAPItl+fftJy6bNVCTbqMGD0rplKxnzwhgFMFyT57iT+/Tm&#10;zVvFzDMnrgFYJSOApaQ2IjqcEpOen4Ri3+jDSKPP6VtCEyagRShL6izZKYQdyE5Bf6RptLnHdDzA&#10;vuDIKiMUESsW2W5lzQAJ7Qibwg7BiGUJo0SCGNobI4xCewMIAX+0NUAFwAKDwnm0rZ0Tdj9mfL+B&#10;TlgTsrAoymfl68kwAnBwvbKAqex1MDQ0jIH16zfKjOmvyDN9+0uHtu20emz9e+/T/VpefnmKrF6z&#10;tiTkyzNyD2HXjX5zz339uhRePieXz+RKfm66pB/YJwkJyZKwL1MS0k/IwWMX5GSBA6W0tTunqMz5&#10;198GoLq/X8iXc3kZkpe5V9JSkiU+PvF7jM/sk8Q96XIg+4TknHHg8rKbh6+5e9Lr0lfu3q648XDu&#10;hJzJy5bDaQdkf1KyJMfvkYT4/ZK0N0tSs0/KoVOX9B4vXnMgmr686R69xbrVaXDCxMQEx0TDKouJ&#10;jokHJ2QOKOw8b7Fr5thwXPQz/c3qnaqSlMSniBvhB/QVZgikASqIbFk5m2PC6dXFMcJz03YwjrQZ&#10;RfFgQ3Dc1DBht2PepUhwwPvEObQ15wBMYKwwwjyIl83p89mw7zXjeoAfrsfus4RjycpCCIsgFlaG&#10;xUZ5+whmCJEsYau4uB26cdzokaPlsU6PahVZNgXs9nhXeWH0C7Jy5SoFVLA1PF/Y9aLbaIvrcu3a&#10;Fbl0Ml3OpK6RvetmyevTXpTnho2UES/Nl5Gzd8isTTmSlHtBThc5MO/OA6CUXgNQVijXitx8eThZ&#10;Dm2dKzteHydzJo6SEUOHyvAht7ORzsbL82Nny6tLd8iqtHOSfKpITl5yfXUDYMJ2Blfk4pkcOZWx&#10;XdK3LpI1s16W6SNHyrghL8hzQybJmBcXyKtv7pYVSXmSdLRATl4uksu81zfdo7dYtzoNTrx5w3Be&#10;ODtW0FSWpV4GTpPqs2wit3VbnApCKaOPuBYWBSaAc2xXZHOCdQGs8KyADwAFLMi2uO26p42l4cOO&#10;GJAD9BtIsTAKO0zDTMGeUGoeY/NBdCNsEMhnEOQCUgqxouv6b4xrcD2YFkSwbG9AdWC0JrAmCGKp&#10;cAtLE3bvtzOuDwu0L+WALF36lgwdNESaNHwoqCTrQErHdu1l0qTJss2NB7RL3EPMgdQbN6ToeqEU&#10;XjkjZzK2yOH1L8nqiU/IoMdaSIN7G0i9RwbJg30XS99Ze2TNwXw57sBJgTvvZscPeLzkAM4pydu3&#10;UpJn95OFA5tJv7YPSL0fBU7k1tbAWStp3Lyv9HphsUzefkLWHS6UwxdcP193C8Iid93C05KfkyCZ&#10;216XzbOekynPdJfeLVtJx0Zt5OFGXaV9p2el35jF8tKyvbJi73HJOH1FzhQ6EHWd9y/yPr3Fsnlw&#10;4q3OG44Fx4TTA6Dg9KjNQbrp/tSDyqRgOFTSValMm5ldujuyhSS4Rkw5qjs0ni9gTvI1CwqQATih&#10;+BlAjv8D5tjnBF0J7YgmhLApzAqOHbYDVkpL5m/fHpyzZ6+2L1k0hNPyjp/QUBEG2ADwUPWVtofh&#10;CsJDu1UvsmLlSlm+YoUsW75crwnQCbv32xl9R/9TByfB3duCNxbKyOdGKmsCSGnepKlOlC+Oe1FW&#10;LF8RIZK9queGXTPqrOiKFF0+IZfz90vG5vmyYeLTMqVXa+ne4kGp58DJ/eUCJ0UO5Jx34OSYHElY&#10;KjtffkpmP/GQ9G7lQNzdgJNCB0rPHZJLuTtl//ZlsnTuTJk8fpJMfmmqTJo4Q6ZOmiYzJk2R6ROm&#10;ysSXZsikKW/InGXbZc2Bk5J8olCOXwTg1P7FQV0xD0681VrDiZa1230OB2OrcxwOoAPxLI4Oh0p4&#10;h/AFjIpVEibbgxACxcYsJFHbQz48VwDkgj1zACKwFgCUVavX6E+YDKs5gtCYDf8ItwBIKOhGKAeW&#10;BZaDv5FhQ2G0zVu3atvyOcCgbvqYnqmghfZPcJ8nhAPbwvVXrlqlgGTJ0qWycNEief2NN/Q70RJV&#10;tB/4HP0HI6YMyr79stY9B1Vj27V+RB6sV19BCjVRxo0dp/cLOIPtMWAadt3oMTfOr56XwnNpcuHQ&#10;Otn5+hiZ3rON9G9cT9rUu1fuc+DkvvKAkxvXnJ2Ra1cPyaHtb8im57vLtM4PyBNNACf3yf333Cf1&#10;771fRcX/bo2ctZHmDz8jfcYulSk7TsgGB06OXCiSq2hgju6Wc8lzZOOiafLsyKnSc8gcmfj6Vlmx&#10;O0127U+R9P3bZO+mRfLm5LEyZehwmfTy6zJlY6a8lXZR0vIL5UqRBye1xTw48VbrDCeDYzJHgyON&#10;ZDbCzilr5qg4D5BCejG7HqOrwHECUnDKrN4BKDAD6FbQVPB5Ayq1EaREtg3gzdgTQmAGFiKN3yEm&#10;VfCxZauCu10OqBCOQcS6xQES9sSB/QDc8G/AB8JW2jk+wX12V7DJIyAGhoZN+hYsXChz5s6V2bNn&#10;yyuvviqTJ0+WsWPGyKxZs/SzbGmAjoV7DXuO2xn9BytGivnixUtUL9G5YyfdhweQ8mTPJ9z3vaz3&#10;y5hAVB8wKNEokmX8cV/X5WrBcblwZJsc3f2qrJjYT4Y+0lg63vsjaQLjUW5wclWuF52Sa5dSJWPj&#10;LFk55DEZ3/pB6da0ldR7qJO0at9TuvXqJ08PGCTPOBvkbHCJDXc2Rp4b/ZrMWLxdVqSeleST1+Tk&#10;pSK5UnBKzqevk7yNY+TNV8fKU4OnS4chb8nLqw7IztzzknPujFw4lyUnUjfI9jnjZN6zfWXChGky&#10;bOlemb47X5LyrshlB068MLZ2mAcn3mqd4TyN/WB1T5VQ6HfqcwBaws4pa2UBDmEMQEcgns1TMAKt&#10;H6TGJuhqH51KIArN1dBQJEAJ+45Ytci2QXtz0j0r+hNCIbAZkcDkzbeWydI333I/31LwYawKZeb5&#10;LBoRfgeAISzDZ/g3Tp+Jic8Fnw0+T4E1wjhL33xTAcmECRPkxRdflFEjR0r/vn2ly6OPyoD+z8jM&#10;ma/J1q1xGiJid+uw57id2bPBiiQn75W33HMQzunS+VHN4KGS7OOPdZHnR78gq1atkfSMLK2qi1Ym&#10;7Ho1a4AT7uuKXMrPlOPJi+XA4mHy2tBHpWuzBtLYAZMHKgJOrrv2LDwqhRfceF81XRb17ijPNW0q&#10;j7bsJQ+0e1GeGj1fZizbKKt2xssmZzt2kQVnBtDcI/GJabI/87hknymUEw6YXLx2TS5fOCYn9yyV&#10;jCUDZP7kkdJz2CzpMHqDvLopS1LyL8vJq5fl4tXTcvZIoqSuelnWTeknL099WXrN2SmjNh6VuBy3&#10;KHD3e83dowcosW8enHirdQYYABiwagYkoCEg9HKnq+hI43wYAwAP+gm0KKzqYQ02bd6ioQt+R1iB&#10;nXAt3ANY4tyKhhqi0bh3noFnYZdiACDPisZk/caNJcDkrWXLNNzyxoKFaoRdFi9Zor9b6ozPAEwA&#10;HQEI2aisCD8NvBAu4nOLFi9WW7V6tf4ecPKqAyfjx4+XZ0c8K337PC2PduqkYRfSgIcOGSKvvRYw&#10;KIicDSiGPc/tjOcEdKBxga0ZNnSY1kHRSrL16stjnTrLy5Nf1v4nBMUYo69pm+jo43ek6Lobc0WX&#10;VWh65nC8pK1+WTaM7yJjeraQVg/eXzLxlxucXLsoRZey5Wp+nCQvnSCvdWsrzzR6WNq3GykNn1wm&#10;o95IkW055yXv+rty4YZrw8hzQ40FgwMn53MlL3GhHHi9t8yZMEK6D5sj7cdsk5lbc+TgWQcUiwrl&#10;ctFFOZ+3X7I2TJOtM/vL1OmTpdtrcTJ0zWHZnH1BCq55cFJbzIMTb7XOcAwIG6mfgbCSmheIV1Ub&#10;cJcrW2MMqBQKQMHxkYJKnQxAiWkpMA35pGUok4KGAeYFFsYAStj1Y8FwurQBzAJhHdqXdGIK2cGE&#10;mDAVcAIYef2NBTJv3nyZPWu2AwyvySwHGubOmaMsCSGyrEOHXBsddtc5ooJXjHpD6RkZ2oYAkilT&#10;pihzMWfOXAUJFEUj9APIoUgaYZYujz4mHdu3V5DSo2s33XV45qszZdu27cqgABTDnud2xrNSxp/+&#10;o08XLVoso0eO0v132MkYoNLLffeLY8epSJb+hl0DDNV8HwOOHDgpcmPu4gm5kr9PcuKXyLppQ2RS&#10;j5bS++GG0uT+eysMToquXpCiMwfkyqEVsn3+aBnzWGt5rPEj0qrbi9Lkuc0yblWmJBy9KGcdMLnk&#10;7PuBAuCEsM4JOXNglRxZ/awsnvaCPDnkFekwYqVMW5smCXkX5WjBOSkoOCqn0uMkYeFLsnRMX5k0&#10;aaoMWJgoE7eflPijl+SSu1++z4OT2DcPTrzVOsNxogHAwZHWihF2qAxwYqzBNQcwLK2VjfKskB/C&#10;WZzYTueoYVLQTRD6gfYnhdb0KNTWMJDCNaNjlX17s/vkvkuByVEFZWhHTKQKmIgUqiJSneWACXvY&#10;vDxpsvs5VV5zoIF9bQA2pArfeOddeefd9+TdH7+vdsN93yUHAKmZsmmTc3jO+Q8aOFAmTZwkCxcu&#10;kq1bt0maA4Q7d+7SAmnsLtyzew958oknNNzStvUjWt118MBByqCgVTnsQGJFWQ17XkAlxfgQ5a5e&#10;vUaeH/18Sal7QAp6FErdb9y4SQW8lM7nu6x/w65d5UbdkBtujBVeksv56XI+Y6XsXT5BZg7uIb0a&#10;PSjt6teTRvcjXr1H7i93WMeN/8tnpfB4vFxMmSvrXhksAzq0dCCtrTTtM0laTNolL63PlKSc03Km&#10;4JKcdXa+4LJcuHRVCq5ck0tXr8uVa2/L1eu8RzbuAXE3pPCSA3U52yR/51RZPW+SDBg+TR4bvEAm&#10;LU2QDal5cuBIjuQdcWB293JZO2OMvDJ0oEyYOEvGrk6V+fvOy/6TXhBbm8yDE2+1zgAniBmh4kkF&#10;BhjAnLAJYGVrAphc+T6clwlnM7Nz1GET4jHhLE6N+6EEOkJNDfm4z1dUqFuThtgTh4v+hvTeoADb&#10;Qa2uy3NqUbWkJNmdkKDhFLJmACqEYxCtTpn8skyaMFHmzJojK1c4R+nOO3+hQH7y0cfy8aefyaef&#10;/bd89vlP1T7+5DN57/0PXH9dk/37U2XBgoXy0ksTZIKzqQ7kLF36piQVC5NhM/j98GHDdX+cx7t0&#10;kXZt2ig46dGtuwwdMlQ1KHFx2zVF/E7GAf0MqDx+4pQcSE2TRQsXywj3fV06ddZKsgAU9uKZ7MDX&#10;qpWrVY8EQKlRBuX6dbledEmuXjwh+RnbJGv9FFkz6RkZ1c2Bt3otpW2jFtLhkebySMtG8lCDet8D&#10;TiJARMFJuZS9WfK3T5JlE3vLk22bSaPGraVpr9HyyPhlMnLOGnlzxQbZtnGzbHa2aVOcbN21V3ak&#10;HJK9h07JoZMX5eQFN46uumtp6m9w7WtXC+TKqVQpyFgt8evekBlTZshzo2bIpOkLZfbCVbLkzeWy&#10;6s2FsmzeLHltwiSZNHaKzJi/RhbGH5WtR67I4fPXFfSEtoW3mDMPTrzVOsOBkv4LKGAzOOpsEH4h&#10;1AMQCDvnTg2nhfNhdc33wiigOwB8UNKdaqKIZLkXMlpIqzXhLI4SxsVCPTW2wi6n0XaEOLT4mWvT&#10;ePcc1Bkh9ALoOkxtEue8YZDQX/DMMBaEeebNn6+b6011BjBJT89QkPD2Oz9WIPLJZ5/fBE4++fRz&#10;+fCjTxxA+YmcdyAORso26EP3AVB588239Pq7du3WwmiEcBScPNZFuj7+uFrnjh2lQ7v28gwhHgdQ&#10;tmyN06yriopkDYQCNqgmu2fPXlm2bLkyOo927CQN6z+gdVDQoLww+nlZs2atZjHBLsGyhV2zyu16&#10;oVwvzJdLp1Mla/tC2Typn8x4qrM89UhXadagp3Tp0EMGP9NNnn6qvQNyD5UTnBTJlXMO4B1YIYdX&#10;j5A3nu8qXR9uJg0btpAWXZ6S9kPGSK8Bw2VY737y7JNPyYAnn5a+Tw+RQc9Pk1GzVsvMtXtl/b5j&#10;cuDYZTl+vkiuuutHhp+uXT7trp8lR1K3yq5Vc2TptLHy8oghMuyJPtK/W1/p022g9Os7RkaMmy8T&#10;5m+RJXFpkpB7QQ4XFMm5QgdwfBG2WmMenHirNWZAgUHN5o0IVQECrPABAaz4AQFh596N8b2Rxj0Y&#10;UEF/QEhJK6LGx5eEetBaULsDRgcHBnDScA9ApZhJ4Vph31edZs9Du/E8hDbQiKCtoX1hh9IyshSw&#10;mKaG5yCDB51HYlKS6lAIxbzyyisKIDas3yhH3HxCP/34vQ8UiHz6eSkwwQAqGH/jM4XXiiTbgYpF&#10;7jqjRo7SsIoxKPQxTAVaFP7Wv28/ebpPHw3xoEFp0bSZhl0ANQCUbXE75MjRPB0P9FN529n6F5BC&#10;O+w/cFABynB3XeqgIMZFJNu1y+MqkiVshRaJHc4NgIZdt/ItABLXCi84R58upzM3SPySCTK7XycZ&#10;3r6tdGn7tLRs/4L06/+cTJs4QMY9100ea9+sHOCkWLh69pCcSFwoBxf0lVnD2sujLRtLgwcaSfM2&#10;7aVtj57Svm1baf9gQ2l9z73S+J567m9NpWn7XtL2mZek78SlMmVpgqzYdUT2ZJ+TkxevS0GRa9Pr&#10;tG+wX0/R9Yty/kSaHNu7WvasmCYLxg2Vke66fTv3kp6dB0nv/lPk+ZkbZO7WbNmWdVaOOmBy0Y3R&#10;q/TPv7WFt1g1D0681Rpj8scJnHNOklAO1Uop8kWhMBwrjghHG3ZuZZo5dJwY6ctoXWBuAEy2d8/e&#10;fYFwlnBPsMngIdWkILLlHMriRwObwvdHAi30O2yMCCvCc8CYwJbg6M0BBwzLZQUoBw4eVC0K4liE&#10;sa+//oam3gJq0IAAOmBOIoFJpAFQPvo4YFAuFFySFNdeMC+AHADKS+NfUgaFkM1mB/xWrVwlrzkA&#10;AhABJDzW+VHp1KGD+9lZK73CoKB3YWzwLACqio4JPs/zUbUWPdHiRYu1UBsiWXYyJs34SedMYVVW&#10;rFilLJPuxeMm27DrVa4xXmAHC+VywXE5k7FZsjZOl+UOhAx/tK10a/e4dOn9knR//k15acqrsmre&#10;SJk7vqc8+WiLcoATQmGXpSA/XXJ3zJHkV7rJjP6tpFOzBlLvvvrSsFETadKypTRt1Eia3HufNHLO&#10;5IEf3iP331NfHmjcSpq07S5tu4+QJwbNlJGT18kbG9Ik8fglOXLphpwny0bHegCArhTky4Xj6XIs&#10;dbfs2bpeNro+XrF4uSxdvE6Wr9olmxKyJenQWck+fVXOFwbA5PuzgrzFknlw4q3W2E1OMTVNKO6F&#10;BgIngkOxlW/YuVVhfKc5axw394YzpFgbYQ8cG8JZ9qRBOwFwOZybq1oFwADncG7kvVfn/WN8N7oY&#10;mCeyjtCXbNm2TQEKc0LkRoiR98j/+T2sEVk81DZZtnxFUPPEGYwDu9Seds/6/gcfKkCJDOuUBSiB&#10;BuUncvnKVU3hXrVqtaYQDxw4SAWxXBNGig0aEcsCWgAjJpLt+lgX1aDcLJKNUwbFQFVF2pbPcx5j&#10;DXC5cuVqZW24PiGehxxI6dyho96HindJM3ZtxXnWn2HXvWu7wbULpej6BSk4lSY52+fJztcGyLSB&#10;j8ujLdtK6479pceYRfLsW/tkwcrlkrxynKye0kv6P96yHODkmrOLcuHkAcne/IrsnNhRXu7VVDo0&#10;fcABkPulfr0G8uCDD7lnbyiN3fM3cda4QQN56AHXHs6pNHzgQWn4YBt5qHFfadvlZRkxY4ssST0j&#10;ifnX5MTlG1KomT1u/GBFlLMvlCuXL8vFggI5d+68tt+Zs2zOeknOXSyUgivX5dK1QLfiwzm1zzw4&#10;8VZrzMIJpPayqkcPwR4uhE3CPl+dhkMCaMBCsHEgwlkKucEs7Nm7V3Ub3HNqWpqu6HHA7LgL64LO&#10;A0fINarUsYUYzhQmivdftTN79qjg1VJmTdAbdk88K8Bw3/79KpBloqGYGSEeUovJeklJOSCnXJ8R&#10;yvp+BuVTFcmSxQODgkiWKq2IYQ2gIJLd4UAKVV3J7Hl2xAjp81RvefyxxzTcQBZPz5tEsjs0q0uB&#10;g7uHss9wO6MvAJGIr2HACDkhkn380cdUJNuscRPNIuI+2M041QFm+pNxyrlh17xzo/2dU7/uwOyV&#10;s1J4PktOpm+UXQvGyvyhj8vQ7l3l4XZPS7s+k2XEvG3yetIR2bpzo2RumCAbpj8lA7tWEJxsmiE7&#10;JnSUyb1aOXDSSh5s2F5ad+olj/cbLk8PGSkjnnteXhg1Ul4YMVhGDuojA3p2lB5tGku7Jk2l8QPt&#10;pXHLZ6Tbs2/I6DWZ8mbqWUk/UyiXHcggK8iHZrxhHpx4qzWGbgNHww63FjKhGBo76IZ9vjoN543h&#10;lAAa1EnhfmFJgtL4h5wTP6D6CbQcJjRFvHncOXh297WwVHWDE4qQ7T8QZB/RrpR0R/TKPUUyO/9+&#10;7nVlVmBPOA+9DeEdxLGvvPKqzJs7T512vLsuz/iTDz8OBSaY6U8MoFwouCjZrs1I3cX5Dxo4SEHK&#10;Ww6gwFQkaNn7RP2e3g6cdHHgpHvXrmod23coEckSAkJUy7i57IBW2We4nfHMPP+lKwEo5hnRvRDO&#10;YQdjFck6gELKMWEf9umhn2GhaNewa965FYOTIgcWL+TK5aPbJHvba7J4zNMyrGNr6dL+SWnWbZJ0&#10;G7taXt2UJknHz0h66jY5smWibLwbcPKUa8sWXaVZm6HSa9QcGffWdlmwxQHE5P2yf1+y7I/fJAkb&#10;3pDlrzwrLz/j2rxDY2nTqJE82LijNHvyJekwZYeM33BY4nMvynkHTq647/LgxBvmwUmUmTkwJi8z&#10;JkAcGpPgzeZWG1exa85xBdR0pFW3I6sJ4/msjVjJw0Tg3HEUUPysatFwhJ1bE8b9mnHf9B3hHu4T&#10;xoRN8XbHx5eUw1ddh/s92UfoFqjGSr9XtX4m8v4AImh3CD/BglC+H/aHv91ujJF6rGG2/NMa1ti2&#10;fbssX76ihDmZ68AJAGXZW8tkz559csGBtbffefeWIAWAUhriCUSymZlZej30J2PHjFWRLAwK4ISM&#10;IK5NkbaBAwaoSLZnjx4OmLSTVi1aaNE2xKyWZkyKN4CRtr3VM5U160uADdobRM5vLn1TNS8AIBiU&#10;evfc60BRN02lpgw/DApMDf1IG4ddt2Lm7pWaJtfd9a6ekwtHkyVv93zZNf9ZmfR0N+nWrJ106DxM&#10;Oj37lgxfsE9WHzghRwsuyInsHZK3bVIFwEmgObl42o3HhDdl7xvPysKXRsrwAeNlwLPz5eWlu2V5&#10;6ilJziuQUwVX5eqVArl6PlfOHU6QAxtmyupJT8qE3i3lsZYNpMFDLaR+pxHSYMhqGbwwVTZlnpV8&#10;910X3Xd57Yg3zIOTKDMmumA1VqiUMZM7EyZ0MBkCFKUqsVP5OvGzEkPLwGc5B9r4+xxHbTGekWdl&#10;Fa875O7Zq2JHWAgYCZw5fw87t6aNvsE54QwJ3QA+AAKwJakH0/UZAFloU/gJULGy+MakhF23Mkwd&#10;rms3xh7faTsHU9eEMBnMD6Ld240v6xuuQZiKa1D3hJL1mzZuUqBC1VjErQhHExOT5Zh7/uvuvDBw&#10;YmZpxu9/gEj2ooZ40KC8+sqrMvK5kSUMCgXaEMmS1ktVWkraE95BHEsVWcSypB3rXjwmks3M1rat&#10;6HvDO1vg3j/eSfpryeIlMub5F1T3wl48rZq3kCe699Dfwa5kZGRpP/Keh12vYgY4oabJObly4ZBm&#10;uSTOHyWLhnWXwZ26SbvmvaVb3+kyfH6CzIvPk6RjBXLucoGcObRTjsdNrgA4KRarXj4r544dlLyU&#10;rZKyc5tsXL9T1m1xoPrgMUk7dUXyLhbJxcIbmhpMNdnLp909JTkAumi4zB/ZWZ5s31gaNGwu97vv&#10;ur/XYuk/M1nWpObLsWtvy/kbHpx4C8yDkygwJkIznBUTVkD5n1MjTRPHywoaISX1E6j7wP9xHIj6&#10;WLVRf4HPU2cDoILz4no4iQCoBGClrIXdU7Sb3TvPp6tz10bpzrHY7rjoIwBsOA2ePewa0WbcJ32G&#10;cwSIwqSQFRO3fbsWNMMQotLnjAkYoaBfK78/aVfL0CGMQ30WNt3j37S3jauwcyPNngn9DGEhKshS&#10;TZbUX9gKQMP48S/J9OkzlAFJSEhSBuWTTz8LUow/CxfJmn3wk4907xjYHPQs/fr2UyPUw/8TE5Pk&#10;SO5R2b59hzIoj3bqrCLZ3r166SaB7DIMcBj4zICSvXgotMa4uZO2pF14B9mpGk0Nol0yeOo5gHL/&#10;j+6RNg+3lokOPPHshHh4z++67zivqFCKruTJpfxESdv0miwb0VXGtm0mXZt2l+YtRspTI9+SmXE5&#10;si3Pgc1zVxyQcvNE5jY5tnmirJvypDzzeAu5754H5L7WA6RBnwXS59UEWZlyXHKvXJOzDqCgByGb&#10;RucQ9upx7XMV1tb9Xe1qkevnG3LV9XdhybNgN6Twyjm5cChO8ra475raS57p0kIaPthM7mvWX+7r&#10;NFeenrxLlu87KYccODnjwAnC2NDn9FanzIOTKDBeZCY1GA9W+lD8iCUzshwIyTrkQMghBSQ4BkwB&#10;SrEF/89Sx8yqj39TPpvPU9/j0OFcXY1zTVbm6C9wOjgMHIc5t7D7imbjvmkzgByOnGdGo5Gohdf2&#10;aoGzijjRaDAbBwZOWYXTf/Qx+hnEqMmIZ1NStH4G/YtTBpRan3J+2LUrauhFAHeEkwhVbN+5U7Nu&#10;GJewJuUdN3xOwcmJAJywkR8giywlsmsoTY/uZOGChcp8wCrs3ZviwGa+ClTRmISBEjP+Th2Uiw6o&#10;7XP9D8AhtAN7ghHi4XsBA4uXLNUibohkA3DymOpBCPMAWIYMHlJSByXr0GEF+RV9N/g8oJH3De2T&#10;iWRJa6aKrFaSfbKXAhRSoskqCyrJXrnzvnPfWXTNAdXzDjgeWi+Jb02QaU93kN6NH5RHGrSWhx7q&#10;Lh26PysDX3JAcO5imbVgqSxetEAWvvKizB37lIzp01Y6t3pI7vvR/XJf485Sv91Q6dh/qoyeslTe&#10;WLlDNuw5JHvyCuTwecrQn5EL+YfkyN7dkrxyhWx9a42sfHOLrFm/R3anHpeMs0Vy4vLbcvGagRM3&#10;x1w5LwWHtsvxrZNk/TQPTryVzzw4iQJjQmMCxxkQiiA+n5CYqKJIqnASqqDoFZQ66aYGTFh9ksZo&#10;NTNMTLnNTcQYK260C6y+OVdLpxdrFywsYMwC91DRibgmjYmc+yeThOwcGBOenewc9mvBYfP3WHou&#10;7tNAF/1CSATQgagU5gHGhFAPfYpjx8HDpLACh+GwPrVnvpvn5vu5ppbiP3BAU7JJI2b8cF/lvT7P&#10;w+ep8wJIIKzDhn+Ediz1N9OB6nVr18ukiZMVoJBmvNv1J6FL0odvx6DwNzQoABSKnQGeKH5GCu/T&#10;fZ6WiRMmKkBBJKtVet0YmT5tenEGTxctb9/t8cdVH9LukTYa4rG9eLJzjmhfVKQt+RznGGhGQ0TI&#10;CT0MuyU/cN/9ytYgmIXJWevulTYAoBhbU97vKjHOKbwo104my7n9i2TL3BEyvEtraX3fvdLongek&#10;3r0PScOHWkqL1h2kbYfO0qnTo/IYYa12j0jnh5vII00aSKN697nJ/x65776Gct8DLeWhpo/KI236&#10;SI/e4+WFOZtlQfIJ2ZV7Wk6cyZKTGZtl9+uTZd5T3WXM432k92PPSf9Bs2XqW8my7vAVOXDmupy5&#10;6uaUSOYk25iTJz048VYu8+AkCozJyMAJK0wmK1b/OB7VGjiHC03MShkHpbvsOuPfUP/8jTCGMgdJ&#10;ybLTgRri+7radQZoYbWNWJTPkz1BrQ3oa5w4bA2aByZUJkibkMPutabNJm8cnoK5vBO6+oSOx/nB&#10;NEGr49R5jrBrxJrRJzwPWg/GAE42EM3uDNKl0aLAori2wMmxESEsHGOKNigvyxFpnMtYhKFhXDF+&#10;GGfszsv9hJ1T1vhOu3fCkoBHStkvWLhQ5sydqwBFa7u4uQV9yOuvL5DZs+fozsNUfuV72UmYTQBv&#10;l8mDWR2UIvesME1vvLFAnh0+QjNn2HAQDQrtBqBHsDrWAYNBAwZK36efVoBCmnHLZs00DRgxq4Z4&#10;4nZouBQWq7zPHGmIZGG/WGzwPEMHD5H2DgA1eaiRNLi/nrI1MDnr3QTMfQFCeQcrPG55J64WyLXj&#10;8XI2ea6snzlY+nV0AMNN5g8UT+oVMwdSfvigs4elcfN+0vvFt2RKXK5szD4pR/PTJO/AKtk6ZahM&#10;adlA+tZvIi3u6Sgt24yQ/pPWyozdp2RLziU5VsA+N4w9Nw7Z2yd1vWSueF7eHNdV+nQMyt3Xf2Sw&#10;PNhrqQx6LVnWHsyXo6Y58eDEmzMPTqLAmMSZkHC4hCIQv5JayWoTehh9AWwHkxdUM6EZDMU/FUX5&#10;G6tcHAfOmtUtEz4VSXFmAJL0zEznXNIVoDDpEyKwbBBCQDgPrsH3M0Hi0MLutaaNtuLeYAmO5B5T&#10;YMKKnmeBHeL5cYY412h9hooaY4PnAXAoi+LGBgA1PSND+89Es/QrTg4mCacKeLO+vBNwwjhSUa67&#10;LuMGUAvwK6+j5nu5Z87JzM6WuB07ZOmbb2oZ+7Fjxsj0GTNUl0HKL88AC0iYhyyeGTNe0RAPYBuR&#10;LAAlDJSYlYpkP1Q2jWshhH3FXadEJPvWMtWewKIw6aF3oSAbGwUS4kEoi0i2i7OB/QfIzFeDLB4W&#10;C1SnDXvG2xn9xvsEYExO3itLlixVBoUQT4N69aVVs+bSo2s3FckS2iI0yTvIPBB2vVtatYCTo7Ix&#10;xwEIStdnbJRdrz0nczo9JIMbN5SH72smjVv0ki7D5svQRamyJPGkpJ2+KheKrsnlwnNy6UymHN61&#10;WHa+2l9mDmgjPR5uLA81ai2Nuo6Wh1/YIi8sz5IdOW5OK3pbLgFOwp7RW50zD06iwHAcN5mb1JnY&#10;y9q/fU7t3z8X6cxY9QWb0OUpSIGip4jW5q1bVZyI0HG3cw77U1MVzPBZc2pX3TVwRFzPvi/s/qvL&#10;+H7uh3tjEkcLQTgnwTkwC+dw75FtFXadWDN7FjOeD6dHX5EFAyhBZEqqbhDG26uAE3ALgGUc0G7W&#10;LmHfUdZwkABcgB/AIbjeCW1fxkPYOWWNVGLGH5onxheVZdmheMKECdK/f39lKKZOnaphHIqxsRkf&#10;abboRgjHoP/AoSNqJWQDewJDEhbisTRjjCwe9CqAGkI6aEkGDxqs+90AUEgzRlAOEGKTPhiMXk8+&#10;KU/16qWCWYqnUayNcwAwhEh5dkvXL28bRvYXCwhYIhXJDh+h+/2wDw8ghRAPAt7Nm7bofQGu+B7O&#10;C7vuvxnfo+AkSc7uXSib5o6UYT06SeuHGkmLYp1LWWMfoCYPNpDGD9STh+6/V+rdUwxMfnSf3HdP&#10;A6lXj9BLZ3mk/TAZNHmlzNyZJ1uOnJNjF/Ik//BO2bv4RXmrd0sZ3eZBaVu/gTRs1EFa9RwvXcZu&#10;kJdXpEhcxnHJOU1WYZbkZe2QxOVTZOnILjLm8abSuZkDJ806y8P9X5bu8/bJtJ2nZN+Jy3IF0a17&#10;Hl/nxBvmwUktNJsQcUgBG3NJV9xQzEfz8iQ7J0dZFESWGHoW6lew2iSFFUdEyAhAgwMk7HMnDq6y&#10;zJ4HwIVzZLdf7hHBoW6gl3qwZAM97rO6768mjLYI0o/PKoNE6CDQH1GAjjDMfgVs/J6y84TwAAqM&#10;h/I42EhwAiuDxgmQURFwQqoxBdxg7aiTsmHjRlmwYIGMGzdOnuj5hJaVBwDAagBQDhwIWD3YjTVr&#10;1mkF2FmvzVYGBYDEMwA6YEjKgpNIM5Espe65HgCHbKDxL44v2c2YMBI7GS/lb9Omq0j2SXdPZPAg&#10;kmU/HkDLgGcGlNRBgZGivku5QUOEASZhQVW0657ruWefk26IZKkk26SpimTRyfCshM8CkWywLUDY&#10;9W4y15dF19y4P58rF48mSdruNbJ8wVx5Zeo0me4MgfDNNlWmTJ4ok54fLOMHdZFBXVtK26YNAmDy&#10;YBup93BveaTHKHlm5AyZPGuFLNlyQOKyz0v6mcty9so5OX/SvW9xr0vC9H7yaj/XTk0bSbP6zaRZ&#10;6yekVffnpc+Il2X89Dny2rx5MnfuDJkz40WZPKK3DO/aSno+0kJaNn9UmnUYKk+MWyLjNx+WVZkX&#10;5NA5Ny55jrDn81YnzYOTWmo4H3PqgAqcGQ6HCY+JEieDY6PwlDIq+4PqpKy8ycpA04BD4G84pWBD&#10;utKMEK5rQMUs7D7u1iKfgXtnBZuyP1XvFQ0B4Ar2wOqZlNdxxrpZmwTg87KG+xDNIo4FpBAqgU2h&#10;P8lgYtVO2xEOs3a6Xf8pOHGAz0JG6DhIyQXkWn2TsPNKf/+2ai7QNnE+AlP213nDgZPnn39BujzW&#10;RSu1wlRQwTUAKCtk9+4E3X0YW716repFqOL61luIZBPk5Mn80p2Mv0ckS4hHK8keytHiZy+Oe1H6&#10;9+svkydNLhHJ7nH3BvDgewAIth9P1y5dVIfycIuWqk15bdbs4kqyR/QdsLaLfPbbGe0N40eIFsBE&#10;GAdBLCJZqyT7aMdO8uLYcQ7EbVLwXW5RN3+77gBn4RUpvHRezp89JXlHj8ohB6YAVDeba9tD2ZKZ&#10;cVBSt78lSUtGyYIXuspTHZvJfffUl/ta9pYGPaZJz5fWyryNKZJ06IRk5RfIyUvX5Hyhm0eKCuXK&#10;hTw5l7VFjm2bKisn9pOh7VtJu3oPSIsGTaRho1bSvEUbadOmvXRo3146tXdAr01radeiqTzcqKE0&#10;a9pWGrYeJK17z5Tn5u6QlZnnJOVskeRfdePRa03uykrfveD9Y4x+n918TqmFXb+6zYOTOmgMPgYm&#10;Ex+Cw0inRlZGfEKC7IpPUFYCOp6JEr0BTAqrPzQEgBucIk7MJuuw77ob4z6Z1PkOS7EGLHFfiF9N&#10;CEqNEz4TLS9VdVpkXwI80B1Rit0ACiCTnzhE+pGaOGSREO5BR1EWqNh1uR7aFkANuhPamhU9YwC9&#10;U1kmzczuhXRawC/MDcLs9Rs2ytr16zWdd8yYsQpKHnm4tVqnDh3lmf7PKEChMNsBd+9H3HyzfftO&#10;WbRoiVaRRSSLqJU04zNu/FER9ftEsoAURLJUkj14ME3eeP0NrSQLgzJt2nQFKOzFA3iiaBriWUJA&#10;iGQpc9+uTRtp3qSpMhwqklUGZYcCLsY/zxnZF+UxABvjGG0Q+/8MGzJUQRoMSuOGD+luxohkAXJ8&#10;hnetcjVg9LHr78JLUpCzU06Wuwibneuc2tXzcuX0QSnIXi8Jy6bKa8OflqGd28oTrZtIm0b3S9P6&#10;98oDFib64b1y34/qS4MGTaVJi/bS+rEB0rn/q/LMxE0yZ1Om7Mu/InmF70hBkRs/N92nt4qYvXu8&#10;k1QP5/1jPmCcqj7xHHrFUmPeh0mlcCDvMvNA5Psc9h3VbR6c1EEzR2KOHyd11g1Y4uKsrtFuAALI&#10;1ECjwuoZXQeAALYCrQdCWz7LShpGhYEd9l13Y6XA5OJN4lfAiTIm7j4RD/P9fDZaXqrqNJuUMNqK&#10;tmDiYYWee/SYgk6cHOBERdAOfAI0qIkDa0b/RU5Mdl3ak4kN1gxQAlMFYGU8AFTR/Fi/24TGT84D&#10;tAJsACYWzgGYbN6yRVavWSsTJ07SNF4KkgFO2rVpq/+HQSG0oTsWO0BFHxPqQRtCJVnErYAXNCjo&#10;Sd55971QUGIGsxLsxfMTOe+ehfDfOjfZzZg+Q8MqFuKhMiwhHor3vfbaazLgmWe0kiz78ZhQloqy&#10;7MUT1EFBJHtInzOyL8pjhKVwCIRL0QZp5pADRXwPxdpaNmuuOyizFw8pyITTCI3dCRAKt7sFJ27u&#10;KHJg6XK+XD2bLUdStsruFXNk2dSRMnVoNxn6WGPp0qK+NK7nQAnA5IcPSL37mkvztj2lc78XpP/4&#10;N+SlBTtk0bZDsivzjORdKpIL7Klz3Y3lm+7TW0WM9y5YFFzRkCBzMxmdWYcO6VzOuwj7acbvYJx5&#10;jxiLMK/2PkfLPFoucPJAgwZa74AbLzuJeYtdYxBGOjcb4IABnBuaAwY14IRQz5atW1V0icPBwdlK&#10;HObCirvZnj9Q/zZWsDsZ8NwPjpOQEt+Fg0xIDIAJJd55Cblfu360vFTVbfbsWGQ/0h+wF0xSOOZd&#10;8fEqhCbcA8DTNN7co7o6t6rCrKLoP/ZsYuXF+QBR2DScMmJqtCz8Dg0T/Q645bvQwMBwKePiJkDA&#10;LIJrhNcUXuP/23fsUhYEpoSsFeqLAFDatH5E2jqQ0re4NgnCVdOZ7HU/KWaGNmTO7Dn6NxgPhKOE&#10;eNCghIV4TCALg8Lnrrhnoi0ABKNGjtIsHsI5ABTqn9AeZPgADPr07q1gCZFs546dFDR0bN9emQ4V&#10;yW4L9uJBxFuRCd36iP6BQYHhAnCNGD5CEOEiVEUoS8YQ4acNGzaqDgzAyTn0bdh1y2/cJ+DE9XVu&#10;kpyOny3bX39Wxgzq6dq/o7TtNU46jVoloxanypass3LqJnBSbFSJveHeu6LLcuH0YTmZGS8H45bK&#10;pnljZe6oHjKqT2fp3qmdex6ss3To8JT0GvSSDJ+xXGasSpK1e49JyrHLcux8kVxy1yecU+RDOuUy&#10;Gz/mi5kfeWcRjLPQgDlFL6glAFIoSpms8zXvHkYCgSYRuLmU94uFC/WvDrvFH+cG88AlBQbMAzbm&#10;+M6w+6lKKxc4qedeFkR2hq644fK+jN5iyxiEDHgcFYO9JG3VgQOcEqCEUA9pu2puZcuLABrXQe4A&#10;DecAHAA5AVC581Lg3AvjjhdOQwvuu7gfVpOsQO9+sq59RlsbQKEP6A/6BlCnxep271aQARvGBEW/&#10;0ofBaipX07EBHjhPVmC0PU4U1oxzVO+zZ6+eR39wHp+BTQDMIq7mOzZt2aJgaGtcnDsnUf/GZwmN&#10;vP76GzL2hbEqQm37SJuSEA8MCsAFBgWnzYaAgBMErOvXbZCFCxZpLRSrJEtIklLqaEzKghMzAAoA&#10;hs0CAROcB8Bhx2J0KIAh6pAAULZs2arhI9iVEcOHaw0UQlBk1HTu0FF6du8elLo3BsWBZMZnRSdv&#10;Ps87BviySrKjHVjq7gBbowcbSotikez4FwORLG0HUMQRhV2v/MZ76ADBtWty+ewRuXB4t2QlrJZ1&#10;yxfKa7PmymuLNsqctQdkdfJxST91Sc478HDZnXdzem9wjaIb1+XKpfNScMa9j4f2SWbiRolft1DW&#10;LJ0nb8yd7dpojrP5MnvOElm0YrOs3nFAdrD/Tp4DsAVFcv7qDSm87v1IeYx32oBJMD8HSQ6UDOCd&#10;ZX6G0SbtHzBCgUZS9ynEGRTjpOZVULwxsB1q/A7Qgi5NSwa4OZ2xBqvCuwUzzZhjPqlun18ucHLP&#10;vfe6FfOOYJXsnAIvlaGp2rRfi7dSZE7/AipIn2Rw4uRYYRtYYQATYtnhJnQKoJEmykuA4+IlgfpH&#10;28CKzwZ3MF7+faxgYffC57kHxhvhBUIUaB64F5iZmnhhYsGsTWkfFhP0GxlOAAPCMoR3YFFgwTZu&#10;3lzMbGwWwhtMVIAYam4AaNCvUEKf/mSLBPqcyQ1xKOdiOGkKrDEOACPrCeOsWyer167V/zPxcW6Q&#10;+QVYOqXXX758pTIGaE4MoPATDQagxWqTWBiHCXPlytWacfLqKzNl6ZI3JT4+UfJPn9E9dj4tFsne&#10;ikWBQUEkS6n7HPdca9euk9GjRisYItQEg0KmUJoDXDvcT1KPCbcgkn2iZ0/92aZ165v24qHNEArb&#10;gq0i45HxfcU5GpjHfSkHZOWq1aqJad2ylVaSJczTybUFIllAE+APrVDkexR23fKYCiavFUrhlYty&#10;8cJZOZ2fr/2Sd8o5vDOXJL/AvfeFDjzwPSHnl1yj6Lpe58rlS1JQgBg3X/JPnZITXKvETsuJ0+cl&#10;//xlOXexUAquIqx145NQjmdMQs3610znZJ2PA22ZlhFwC0HmWkKgvIMIqXnv2CKC8Cn/5neb3djh&#10;3TRwwvYMmzZvkfUbNmghRD6Pxol5YJ37HXtowZSyIGGuR6MCILL5tqyF3X9lWLnAyQ9/+ENZtXqN&#10;picyqaBYZ0XFS8UK2cSRRgPRkGFf5i02jQFoFCIvBn0OWMB5kTmT7Fa31ErBsVkGDXQhugbGCvu/&#10;QBmy8mOsUMEUp8n1bjde+F5eCAYpoR1WmfxkQg/7vLfAaDP2amFSgf1gggGYACi1knAx3Uuojklq&#10;jZvEmATIaOH/Vm1XV1MOjOxzn4clQbeyc1ewsSIT2spVq9T4NxMd2pINbFDoJjcmRFZmnM844T6Y&#10;IxhHgFVWfWgu5s2bL88Of1YnILQnxqB0RCTrAMCECROLRbIHFZzCury59C2ZP/91ZVDQp3BfrPCK&#10;3HPfKsRjZpVkSTNGeEslWU0xHv+ShnioQ5LtvifDtdUK973oQQjlPN2nj5a5RyRLBg/F04abSNa1&#10;VzCJX9DnC+uTWxljnPZgbFPrZdGixVpJFpYGkSw1SWgbgBIOB90V38M5fp6tncaYUDDixjMCat4b&#10;QCn+lnmXBQNhU8Y9TGiwKecWBRUY/weEIIZnPuZzynC7OZn3P8X9m/eSheR2B1hscUnoNQA2a/Q6&#10;gBlYPYoQ8r3M32XLSlTlGCwXOPnP//xPTQFk0uEhUN9DC/PQ0PmsrCj4xIRjE1DYl3mLTTOQgAEm&#10;0JXQz+gNSHdkYqXCLDoQXhocGRkQDH4QOD9ZcYPyrX4KmhYLE94OnPA3xhPAF4fLT+4j7PPeAgP0&#10;EfbScIybjAAihGMAJRaOsz4i/AK7AeDQjJpikBKAjWAnZJ30tmzRz/A32x+HUvQY/wakAE4I4TA3&#10;kOHDVgIwNswL9HMARANGjn4kfETlVFKISatF22EiWRgU0o3ZAwfh6nL223GAidUchdoQyb766kyt&#10;JAt4iU+AXTkhP37v/duCE9iTjz7+RD+HZgWWhGeCjRkxbIRqWva7ez/qxvPBg+kaTkIEy07HsCiE&#10;nUgzRiD7aEcHoPr1V4ACk8T4Z+IO65NbGWOc9qB9YBrpk2VvLZNxY8bKY506y0OIZJs203/TRgAU&#10;QBrvnZ9na6fZfMv7wmKOcc3igneKkA2gwXYJ553kHVU9mHs/CM2wCAmyK9nwNV9ZFsA77yGLO5hU&#10;gA4sONEQFc2npUliUlKxaD1gU2BS+A5jxEs0asXhRcZfjYOT//qv/5IlS5eqIFInqmIraRDneFLT&#10;AClHlMajQbl5WxVX5QN4qx7jhYk061d2r8XRmHgS4EH8kxcJnQGxT+KdOEFW4jhFXh52fdW0VhVV&#10;FgQpbW6CNvaNgc8LynfY90V+f9g91nWzdgI4MonAYDGp6AaSZL+4PqFvYDJ0WwP3b4CKhXlYQW2E&#10;SXETUyT4AIzArhhogfrVn+7//BtQwgTJooVrUeAPsMp4YFzYPBD0W+n4YY7gM6zqKLhGqITQSaRI&#10;tn3bdgoMApHsci1ilpt7TBITk/WcV2a8KnNJM3YOHaBz3q3syOK5VaE2C/t8/ElQqO1q4TXJyMjS&#10;dOVBAwap6JbrUE+FDLazbjLfsGGTAgOAEgLZJ3r0VA0K5ecBVLYXz7ZtcZpmTPvzzOUdp9YejH02&#10;OwR8wQgNHzZcNyNkLx5EsqQ0w6DgkHAUgHtYRM4Nu6632DD6r3ThV6hzIeFw3g3NUnSLOt5j3k+Y&#10;Sd49Yyrxybx3ybx3gIcjuQpGYKcj59JrxXMpiwP+ze/s+xhHqktzAAihPMBHM+wIzTqggvF9hG6Z&#10;UyjfABOqYnh3ryyGqCYeOV+Xd+zfzsoFTurXRxDLNvRHJM1NPHvdv6GMoG15EAwHBLXPBEhsFLTH&#10;Q+uNu4aojJv1Fn1Gv9qLxeqPPocVgQbMceMlKztb0yF5cXjJdNXuxgireIx/q2LcjRkT05LSzKq2&#10;dLVdeQO+tpr1A+8bKySABxMatC5iV1gU+oS+oX0JzQWrp4D1YmFBGI6VFywAgMTACSsoJkAmLoSw&#10;fAbWlInK+i8tI9iYkmsxcRkrZv0Xdr/MC3wG4d3u+ERZtHCx7j1D9VhjUAAojzunTPE0E8mSqYNQ&#10;Nt4tjMhmITQDOKCwGUXV8o6f0C0gwsCJ2aefBQwKIlmACKJTvptMIgUnrm0I/ZCZAnghrfflyVNk&#10;0MCBuv8OWhAACoXTunft5n4/KBDJbgvSjJm4w577dkb/MdnTRzAolPF/ftRo6e4AG4Xa0LowUY8b&#10;92KESPaMOpiw63mLfrP3AKAegIRT+i4SkeDdUlDi/CxhUoAIxv/xtbDRvHukC5e8d8XRC+aBSLAQ&#10;9r38je9m/OjiMv+MgiEWMBAO+HQN+xaHegAsRkhY1ATdC++KaQu53q2+s6JWLnDSpEkT98HL8sFP&#10;fiJXrjCZHHfOhn1NduvEVZbahXaiYaGVbBVR0RfVW2wYg9CMPjZjkBoyRwSJkJrVPGGfZAduAbYM&#10;fMYLqByAy4sIeMGR8pLyslb2gK+tRtvQTjh7qFzePyYXAATslDGZNmGV7ScmM95VmC/CQLzXvM+8&#10;14AV0llhutj5mOvjQOlTC+WygudaGGxa5HeE9VvkmOG7WSWiTyLEM2TwEAUlBlAw9CgwFuMdQLE0&#10;Y4qxHT6cq/9HPAvrQWEzJk8m6TBQYmYMCmEeGDuEsDNfnalZOwCck67NECACYHg2GBEYFNKPW7d6&#10;WDUhT3TvoWEeQAM6lAH9n3EgabZO4CzOaOuyz307s/bAoN4B84RxRo8cpfv93P+je3Q340fc96OT&#10;QYwLIOT9Cruet+g3+pw5EvaYdwtNEeMXMELf8w7iX1e6xQKyChhotJ+wn7p3lpsjOb/se2fvFxb2&#10;vZj93c7BuA5zBb6b8cf3mY83Y+ECqwJQYvED48J45xkMFN3ue8tr5QInzZo3l3d//GP51a9/LZ9/&#10;/rm89957cvWqQ3pnzkju0aOSnp6uzAoU/ra4OJ3MEOQwMRLPMjEN6U/UT7gdovNWe4z+pa/N8TEG&#10;eAEpow2TwkvG4CbkYMItXs6DaRluVZilmgWACqAGRgVniMgTlM8LxHWDl9Jn7fA+oQWifai/Qbo3&#10;BddYXTOB3a6N+L1NTKzEEc0RZwY0smJipUbKrNVDof3pT4CQTYx30/7cG/0J0KGOzfx58+W5Ec9K&#10;ryd7aVjHQAohFAAAIR4YFMIf6emZylYAUEhPnjVrtmYB7du3P8hscdf+vr14ACGkK5OtgyAWkAw9&#10;Dr1Odg+rQsYkzAw1UHTn4kexxzTTqM3DD0vb1q217P3QIUOVQQHssAKmP3i+sOe+ndEerIR5J2BQ&#10;EOVS+wSRLFk8pBkT4oHRATjSdpxzJ9/lrfrMFmyEXXifAPrMbxYKDwSucSqbYOGGBoRwjlZ5dvMl&#10;n+PznAco5Vq8u2HfdafGGOI9V4Di3jHmAsBIiTmwwtzA4hI/T/g+CBlnKlvOXI22ReullACnis/R&#10;5QInzR04+fjjj+W7776Tr776Sv74xz/Kb3/7W/nlL38pP//5z+Wjjz6SS5cuadiHVQcNykNYmiFU&#10;MI1Khg/oKnIFF3ZT3mqPMSDpawYoYAKHxkvF4McRmigLBTpAFqqQlxABJy9qnBv8MHHEVBFtsVJk&#10;HAF0uA4TMtc2sKsvwF04ylg1nt9YE5wiug/0PfwbMGHtE3YuZv1EOI2+IKzAIoMUQ9ofuhdAwmTD&#10;+0ub26Tzfdf+PuN8Gx+swAgbLTcg0KmzsiiAExXJOkDQp3efkhAPq0yEq4CUjRs2KXvy6iuvlvzt&#10;uFtdoi0xpiQMnDBeMjOzZfPmrbJp42bZsWOXTsr5DgzfcPdHCjMOgwyhsWPHSt+n+6ootu0jj2hq&#10;MeJYqrp27thR9TIBgzLLtV+cAnGeraLtQ7siAKc/CTMhCKa8PowNacbsakz9lTGujUiJ5t3hfaJv&#10;wq7nrWaN/scCEH5OF+wWPkEiYYAEUToGKxHMe3s13ErGo4VPIhdnjJO7effCjOtxbQAUczNMN36c&#10;e1SLi3P/D0iI4J43qOYMYT0ZgABqZVPcPM08X3aODvvOMCsXOGnRooX893//t9zq+Pbbb+VnP/uZ&#10;FBUVybFjx9SR0LggPyghMnzi3WqE2LcJ5XAsTKa2+rUbr+yG9ha9Rp/T/zg9XliACplfKgBz4IRq&#10;ogBdMkUY9IgtCfugXGf1wOAnvMC5jCeQuopqi19cc6KRDrS2ji+ej8mE1Y6lDTP5MQni5Mrz3HyG&#10;vlDmxQEbQm+8v4RvaWubDMPOrSwLJu/zylTAhAwcMFA1FzAoFuIBAAAQjEEBSABCEhKSNDWZ4mqz&#10;Z83REA+MCNUz3/3x+7dkUBDQ8sxsLAgLs9WBCq4VZMWcUVZv6ZtvyvTp0+XF8eNl+PDh8sQTT+jG&#10;gAAUgEqPbt00zRhmAzZl2FAqyc7W/YGI5dsEHfbMtzPaHKcEaIcdgpkhhAR7Uv/e+6SbA0VTp0zV&#10;7CVCpjA1jHvGQ9j1vFWP8S7RB/S51YoCVBBiZcEAOwkbEohPg/okuqB3Th4AwN94Bwl14i85n36t&#10;zvmLdx32EXDEO8BiEaaE+QB2EfAPSAGcIJiHZWW+AMjwdxg9UuwB2LzTVkKCBc6t5ufI768UcPL3&#10;v/9d/vSnP8kvfvEL+fDDD+XKVfL2T7ibO6gPAi1EJ1DILTIFmRvHuXDTNvFVZ+N7q1krfXkDMS3j&#10;gEHMC4yz4MVMz8hSR8XECxsAwD3gxhVhC6hEFWWSXuoADcJbzkE3ASUeVKktFdbW5vFFWwLQAG0A&#10;EwMngAomtvI8N9egD3gveUcttEM6OOniKPL5TNi5lWX0E/fL9yH6A2DAGBAyiUwzRiTbt2+/IM3Y&#10;ARSyd1hlItrd6CZ7gM306TNk5YpVyjxQxO1WItlIcLJli1sNbtqiRc+sVgRx/9dmzZKJkybJuBdf&#10;lFGjR8vAgQOl15NPStfHHy9mTNqpUeKevXgAVIMHDtLUZNKcqeKJcwp75tsZYxbQDUChnhB1UCjU&#10;RuZOQzdRU1afgnWIeVeuWKnvCWAIBxB2PW/VY7xvgBLeJ7JneC+Zv/buC2pCAfxZtBMaAYwgiUDr&#10;ReYarANM5XENj5Sm4Vf3/MW7zneT4g5AgWBgoYhPZ5zBYhN+Zy4mExONG34evQzPRTgKABNUkw42&#10;DlVhvltAMcezqDQWCD/A90U+X6WAk//7v/+Tf/3rX/KPf/xDvvnmG/nd734nn372mVuxXHAOI0Mn&#10;NxBhSVrS+g164wFllaWOhJuMjE/ZjZpFNpq32mGR/Ut/Y/Q9xjhgPDAueEFB30eOHpWMLEtTDlTs&#10;vASwKwENGmSUsOJgXDEhwMYQ2w1CEiYKDcaYjTOzyPsJu99oNu4fyjfbgTOYJyYCJjmExTz37Z7J&#10;npn2gIaFMaAdASe8t0lu0mQRwd+rum24Ps9C36MxIlyz9M1lMmTQEK0cS2otAKWN+9mubTt5qtdT&#10;QSXZZct1PjntVpkAWoStiEaphcK/yewhTEMBNnQkVJQ1o8rpoUOHleVA9Lp27XrVcix98y1ZsHCh&#10;zHzttRJggo0dN05GjRolw4YN0z14ACQPuzmyU4cO8kSPHhp6QiQL20PtlAULFmklW9rQ2jrs2cPM&#10;2oO2B3TgvNDFjHz2OQUmpBiTydO+TVuZMP4lfR9gzhgLNqbDruutcs361fqK+Yu5C9+GeJXQCHOU&#10;sgxrqcgaFC5k7sKBI2AnnBpUYDdfWCp/sOtXZ3/yXTwHAIXnIARF9WfKDrAXD3MFczPMDpmWMJgw&#10;PoGYN/D1GIwQURSAC1iAwp2AHdPOcA0Y75vYFGfs2bV69Vrp5cD3HYOTyAOAgjbl97//vXzy6afu&#10;SygIle8myqwANTrUtd1NenFx1PwPkBXOhIlUb9ZNpnRQsJFcaUpUdXeMt5o3+t1W0rACMCGADcYJ&#10;EzAMCswJKXWEfJgAAiYlSG+FZcFJ46z4PKidsCJsAitRYvTQ4LArGhJy38N44+UIu59oNtqKQku8&#10;9IA3KjnDgFiq6e3eHf5GOwPgECyzN07AdhJb3q4TJxMQk2TY+ZVt3A/Pw6TI9wJE5897XTfrQwga&#10;GeJBnEp9lFKR7EGtJst9k/lDLRREsq/Pf0NZFJgR9tAhFZnPAX5S3JixlGR0JQsdIOHfs+fMkRmv&#10;vCKTX35Zxr/0Ugk4wZ5/4QUZ6QDKoMGDtbQ9uhMYFES7WqDNGewGGxk+O+JZWbxoifYJY4y2vpO5&#10;zJwElWQRyY4YNlwed0CIKrKNH2wovV3bTJo4SYEVOhxWpnxfdfVbXTX6MlhMBfMU/otwKkX5CN8g&#10;TOd9wkGj0eC9IkwN22C+D00J7yrvYLCAqnmW195D7gcAwXzKc7BwQYcVKc9gARg8M1XDDyhIQTOD&#10;jw8YIqte657d/R6/z7wN6x0spILkB+YsWCO0Z/x78aLFmqpv4KSBA+P/nx/84M7Ayf/+7//KP//5&#10;T/nrX/8qX339tQpnOffdd93LVVAgR93qd79zHlBDlkbK6mybewBiWpTL5SUGmbHS4OHNYViHlbWw&#10;hr1TC7t+pIWd461qjPa2lQgvCE4W/QSgFUABcgewMGGX1uogDJSuLwgraS0utiOox6OVjd1LQWYZ&#10;4AXAwgvASwXNyAtmDF7Z1UpFLOxZqtpoI1bWsCbEh3k26ofQTrw7kfdV9n55ViZF2oD2g2Imdhys&#10;dBL1d3dSt+NujPvivnGuTFR79+2XFQ5cjB79vGatmEi2XZu2ClDYQVhDPCtWugVQvIKOnJwjytJS&#10;lp4UYISqgAUygQAzsCqEf9CpsAMw4Idy9dOmTZNXHCiZMnWqTJg4UYEJWpNIgz0ZM3asjBw5UoYM&#10;GSJ9+vSRzg6QIFTt0Lat9Hv6aRk0YKCmP7dt3UbGjX1Rdu7crRM6k/mdtCV9THvg/BjbgDHCOdRc&#10;qX/f/dK8SVNtm7EvjHH9t0En/KCSbMX3/alss++v6fuoDCv7LPQlcwZgkJAyzhZAoqGbYu0luhJ+&#10;anq/A/9BKvAJPcccfMCWVFw4WpVmz8f8wPzKuCPkS8iYZ0WTwj3jo3kGBPUKzo45oHIoR+diGBcK&#10;uCGgxdczt2CwMBQUhD2CbUG/ApjhswAgFiVUZ0YUb+AEMfgP/uMOwUnZg3APgtnf/OY3moZ8/fp1&#10;TUHOyqJIVKIiMRU9Kqpi87gd+nsQFROsbeUcdGKwh0/kCtc6srI6k+txbZyUCXgivyvsHG81Z/QJ&#10;LzX9xcSviNu9RGguACgMciYEJglW0+gIoBYNtaN9wvnyIiHG5aUC7LBSAPzwsiGohFnRKrZu7AXj&#10;72ZRF4bzsPEYdq9VaXw3sW1WYjwzk1+g57qk92b3ZJMNv+P+eRYmRyZK3jfE7LyP0M6scFj5ocfg&#10;vauJ8c/9co/0ByENmA32nmG34A5lRLL9iyvJBgxKmoI1gEqwf85LMrD/AKWI0YKQCQTLQIXZ6dNm&#10;6P8HDxoszz77rNZSmTRpkgM7pWxJWXCC8XsAyujnn5fBgwcrSKLcPKEnUn8BO6z6WO0BjFYsX6n9&#10;AqCmv8KetzzGmGNOZCVLyGoIdWFcGzRp+JB+P21DOX7YIJwDbUdf8501MTZtzPH9NfmOVIaVfX+0&#10;mqubI+gPE7qyAAq2gyjdBkJ1JW4ssjA/nAujeecgtSaM+Q7WGuKApARjfGB7IvuS52F82jvLOYSr&#10;aJfEJHQpu3QuJvwIUAmykzZo6MdAi4WAACyIvR/t0LFqwAlMCoJZAAopyKQfA1Lef/99rZVy2gGV&#10;nMPcvJtU0RE4sBIgKOdI3IOw8mWyJU4FWmOlywPbKpcBUpmDnZeHRsVZMVkzMfN/Jue7mVC8VY3R&#10;72UdLaEaXhpKgcOKEAbSVGXXp7xQ7JALeGGFo5Vr3YtDKAiEj3gLB80KgRCRMixu3FGymbgq9KuG&#10;hdivwo0LBTDuOxmLfH9NOQC+tzzgxCYPxrOu9Nz4JhRE+i4rFiaFYDWzVVO6+TvPSPvWxHNZ/9K2&#10;MEGIS5cseVPGjRkX7BJcDE4QyXYtDqOYSBYhLCGb/W7u2OP+vT1uh6Ybb97kVmpuckT0iqHhmD17&#10;toKScePG6c+XJkwIBSRlzQAK+pMujz0mjR58UNq3ceBk6FAZPXq0hnwaNWyo4ShSnHFSiLbpg7Dn&#10;LY+hmQIs07+MV6hvyusTRiK8g94FATG/ozYLDgWgVlN9aGMOZ0w/Ro7HWDPum2cJFkNndE5gHglS&#10;gsleCRbbASDZpgkgzCP4Lthd2EneJ9qC68RKOzB2mC8IuTBnMsfwXFqNOeIZ6GvmIntnaSfYFcaq&#10;zsXOfzMP0x5k8xCCZq6FoSWaAnhhMRmAmG1VC04QywJQYFAI95gm5c9//rMKZ7nujRs3lE3Jzs6W&#10;pKQkvTmjwwx90tEAlT379ulgAKUCUnBENuhpQDqchsFoKLPyDgIaluuysmaTJUCTIV1zPhW5nreq&#10;NfoBs36mf5i8bQwwHgy48KIAKJggNAzknATAA3BCqCfYX2Z7MbIvjY9CL0Jl4viNaeFcagAAVBCd&#10;snJijBhIgc3BbEwG4/Lm1Dkze4aw5yuvcU0DJ6Rho7NBP8Lzcj9kDlg7sNJjsoApAvSzouOZg71z&#10;qLHgJlU30TKJIKykQirXr6kxz/fy/dw77QyDsmTxEmUMYCu0UFvrRxSgtG/XXp7u3UcmTpwky94K&#10;diw+69oAgR27FvOzAMfi2uqIcyz0J+wKglpSkGFMIvUlYYCkrPG5ESNGaOZOIwcOSDEGrLzAfjx9&#10;+kjrVq2kZ4+eyqQQRgIIMjbutD05j3HDmDINCiAEkWxb1w4AFFKNqYkyacJEzV5izmQscA7nhl23&#10;qoy+AwzzfnAPZGFU9z3cqVlb8wy8uzAILEZodxYsmtWmwvzNJXtOwQjwPrGRHts6EP7AsfP+Rb7/&#10;XPtOx0B1G/dtfcjCh7AVoALAEfkM9kyYtVtp211z4942jS3Qa1HlFsDCnErVeeYv2pRrM/fOmD5D&#10;t4ioEnASdgBWACnoUv7whz+UFHIj5HP+/HlNQ2ZPlpT9+7WDASs4DTU3EHAixNWJ3YHiqF4JWNEU&#10;JTd5EWeFjqcRLI5X3kFAQzJxE7sntQuhJYCIiZrJnxULjVze63mLDuNFYRxYCIjJgv4EiMIOwKyA&#10;5hHZMu5YCeFEQPY4QwCMZcHg0EhbDsy9VO7/+nv3f1gIRGFMXDj/I7nUYzmpgIiVFt8bhAuDsYmz&#10;sMkq7L7La1xDNSepwSZhsB4BiIdpRGTOyiUIeTERQM0iyCMurjubuskVtiQoorRf9Qq8B9wj167p&#10;8c73cx8sRBDNk/0yf/4bmlYLK9GuTduSEA/ZMgOeGaBZPKuc00537QDIotbJx598pj/Zij7PtQcb&#10;CfL8CxctkmnTp6vGxABHecAJn3lhzBgZNny4dOvaVcvMd2jfQYYOHaqMCjVRAChoYp52P2EzAH+M&#10;wbttV85ljqM9WMUuXLBQ9TSU1G/yUCMVyvbu9ZSGugAvzJW2yKrO/mSMM5Z4vxA9Bvql2GCh6SPu&#10;H60b4TicMexrsAgIdCUm9oTxRzeJY2WuYE4BxOCI7waMRoPRDvg9xi1zJnOIaZrK+1x8zubhoE1t&#10;wXhO50eYUZhp2Bn8OSUkEMJT4LAEnNxfT35wp4LY8hyRbAohH0AKKciwKYCVn/3P/8h7778vFy9d&#10;kuPHj0uGQ58wKnQ+MSlynzHbEZWXHZQF1cSgAdmBVpmQGRg0QnknfzqBc1hZM8CCNOjNClS4Ltdk&#10;gozlgVYXzV4M+tdeDhgBJg3GB33Ki2JCWyZxXhiARVDB9oj2Py8loIRwD+CF3H/CIYEqPU6oA0A8&#10;lZUTYBogDQsHGAjqsBxWXQyiMVZgfDf3c7eOivO5Z3QI1FGADWFfDMA1v8MIAQA+YCHZ3dQKJ7Fv&#10;B9UdmWwBNIAYwL3dG+1W0+M9cmLjvugX2nQFjMFzI1UUaiEegApZM9T/oJIsWg8yc1ixA06C3YiL&#10;lJJn7liwcJG88urMEmBSXgOYmOZkiAMj3bp2k5bNW0gn992wOvyd8NAEZ2wYyD0ikKWYGplVjMG7&#10;aVfOpT0YwwBTSvazISAACN0LRdoAKDAoiGRhUHAosBfV2Z/cH6AkYCGTFUxx32GfjTbjvWJuoM3I&#10;vgHQE7qBHVEfVKyR4P1nI1MWsYQ6gmzT0l3W7/b9rmnj3m3u5LmIWDBP8i5W5Ln4rM3Ddj3aJ2BV&#10;AraZa2JINwjPEqI0cHJX2TqVcfzlL3+R3/z2t/LZ55/Lj3/8YwGknIhgU2wr/kA0E4hp+amhH+co&#10;YFUAKTgDtuanaibOgIdlkOEUyKGmkWkEGoYGotEwaxi0CqxIYGtYjXJNHXwOOTJ5a6qza0waONYH&#10;n7fA7OWxST9A9kHMFIcI6AW4BvsDBTuHslLCsQeajTiduJi0cPyMSy086CYuWBmcP8wKKwMYG4CK&#10;hYUYo7Ard2IAKcYmQAhQBNgAgJgQD5AEuFcRGuFSZ8TFAVJMtqVbTJDhc1Gfn3aIxjFt7yj9Assz&#10;b+58FaAyiUWmGQNSnunXX0M8OG0yeHjviYFTlI1+W7Z8ubw6c6amCxvgKAtCbmUKTsaMledGjtSU&#10;4u7dugfMzWOPKVgBmMDGzJo9W4YPG6bgqWPb9vL6/Ne1nZl/aOewZ6yI0UfMYYwhwnSLlyyVIYMG&#10;a+0TwAmhJjYpJH6PQyXNGBDO+GbeCrtmZRpUPmOLeZqMORjuynjuyjZ77/EF1N1ACM+7xTsPqMOv&#10;sOhQqYG+Pxtlm3vXeL8R16OHDNj1mhGPV4cx1hgzjDesKsdPpRRhq+yDkA8CWqrOAlJ+8eWX8tOf&#10;/lQ++eQTTUlmh2Rqp7CXT1p6uptk9ihYYeAEYKV05Qpah/3QMJADGqx4oeWgt5mglF1xCJABZQAF&#10;bQCTH8iQVSTCWKh9JnAMkKJiWTdoobXsXA9OaofZC1gyUbmxgCMBqBCSCdiVQHRLvRTAKiAjiJ1m&#10;lwDaVQ6cMA4JC2rVVgdMYDBg5BhPfI6VGGIwDAB8p8b5ZCIx9lG+r167Vr8fdgQdCeyfgXgcBOfo&#10;++DuB1ADXQ3zwjPapBOt49mcCP2Ck493q3EKplFJFgrY0oz5qZVkn+5bvBfPStXSGIhkx2WAA8Ck&#10;PALYsinFFtJ57jkHThwY6NGjhxaG69atm4ZzKNz2yquvyvzXX9daJ2wO2L5NO5k1a45ku1U4IIm2&#10;DnvGihj9RHtYiIe5bokDKLAltIeJZKlaS+rxqlVrlAVk/KJFCrtmZVqsgBPGPICtVFMSZJkEW2ns&#10;0HeHRQcAHwaS95rnCoSusPSxJ3StqPFcvH+0FVaVICwqwYlVnI0U0WJ/+9vf5Ouvv1aw8tHHH8v1&#10;GzfcSqjAOYY8BSmJiYmyw03QOAReBAYR6Jaf/B9mhb8zkaMpAKiwitVSwW7VoSpq94KDmpn4SlbN&#10;7m84HcJGTGxMcKRFBXsHHNVVq4WPmGwYnLx81nl0aG0drLXVrM/ov3+z4hczsFLhLXFpxhDp70xo&#10;Ck6cE9T48+FApV6S4uwcCMCZsQnDwjbkVk0RYSrjNqiNUF4LxOP2swSguOvihLk2ISdYFPQogGvC&#10;VTgoxjljl2ewZ4z28Wp9w32bRmzRoiVaW4TCZMagIJIlzbgPdVAcQJk7d56zuVpgjVomAIhIwHEr&#10;C6t1ouDEAYBnn3vOgZNB8kTPJ6Rjh4667w4F2gA9FHGj9P2zI0bonjvc29w583Q+gZ3FGYY9X0XN&#10;2gMmF4ACgwJbpKDItUNj0ozdxE4dFGq6oC+CxWO8Wr+HXbcyzMCJAWMYQ+bJmhxnJe+2e4f1/XX3&#10;AxNOnyBy534BeYRr8B28TyZ25b01pgQdCmMwcr6vyraMFqP9zML+XhkWleDkdgcgBYDy29/9Tn7+&#10;i1/IZ599Ju9/8IEUXUeFXyCnT7uV7PHjmp6MVuWApojulYSEBNnl0C5bmcOoG2QCbwAAkK9JREFU&#10;sMrcqaxK8Xb9bsJmgtNQkNLuuTr4WA3zE6fCStPYEyhhKHQEk5Zuii4BQQ+TJaDGJn0Gbk29hN6q&#10;x+hfJiecDf2PHgVAAO3LREfoBoYFJg6KmHGDJgQwAXhg/5Z1bgJkAocFRGMVpDSX3/alpLixeFBN&#10;s4/c9bmeXtut+GBLjPHjHhWMF6/0bGINe7ZoNt4t3jEWF7viEzUbhp16mdAsvEM4BZFsv7791FlT&#10;OI003xdeeEE1IxUJ5URaWXDypPvOzp06S++nntIibVOnTZPx7nNk8qA5ebrP05pRs3rNWh0HzA9X&#10;XduHPdedGv2oDIprj717U7RCLt9pacYtmjRVkaxqcVaQZpxR4mDDrlcZxjsBMOddQDCK1ieSqQ47&#10;p6qN79UFhRv/MFgAOvY/ArDx7u5yC1DYNUAci1qYE2MbmethGpnjWZDQ5mHf4e3uLObAiVWg/Xsx&#10;k0JaMiEgAAthICrSsgEhIaC333Yrq4sX5eTJk5qmvH//fgUoIOH1xZoAjIJTVgQGdMyADIp1BQwL&#10;FDwARKl5Z1DhIGfEkCBrBjFxe6g+QAsDHEBjSm1efA9OarfZKoJJD6dP6I+xxaSGGNDAqlHvbJgF&#10;u8JYBJwATLZu3arsX2ZmpuTl5em4LbedcmPt3Dnn7ArV8h1Izz50yE2oiTq2ASlMqoSlcBZMzLba&#10;s3uPxTFKeysoLAYoB9MzZcXyFTJi+AgN65hIln+TZgx4IOX3ySeekGeeeUaByu3ASRhjYvZv4OTJ&#10;J+XRzo9Kv379lDWZPmOGZu10aN9enurVS8EQBeFY1DAOqmLRwvVoD/oXVgxnSqYOReYeadlKUzEb&#10;NXxIGSVqxVDvBaEnYzbsepVhjDfmQ3RPCGJZxAWOveZSimkjgDn3AXNO+Ga3A7cIpNc6P7Bm7Tr1&#10;C7yfMOX8HSkAujDeY8Zb5PsT9h3e7s5iDpwQ8rmVEQYCsFjBN0AKzMp7770nhW7CPucmbyZ9hLXk&#10;VLPXDytUNCnsPooj0XRltR1K35WGcZJ1UgkKde3RGigAEuL5DGSj/VgdBAg72IWRFYPuFXD8pIIV&#10;JlB0LmgWVJTrJim14lASL7KFhiKNF4EX2b8I0W30D44nI+tQMBbcuCF2Tb+bNgX2QldnbhXJZAhw&#10;IGUeUHLKgYzLly+rtopChRUxQp2qzfr0U7civKSaLBgVqGg0MDgIxhL3GGlhzxErZs+Ak+D9wdmw&#10;ey8l6YcOHipP9nyypJJs61YPq+GYCbH07NFDBg4YKM85cMFeORVlUBScjBnjAA6bAA6X/v37Sy8H&#10;Qp5xP58fPVo3BwSUtGrRUn83e85c1w87XT8cLemHsGe6W7M2oT1g7AgjspvxkMFDNGOoaaPGumEg&#10;k/6Ul6fI2jVr5aBbfCHyZ/6pbMBAbRDYOhZusM68G9wXQJl+CzunMs3GB23OPMuCkTkYrQjvIqx5&#10;oEMKyqsTJtUM0OLFJgtSGHEyrGhTAyV+Pq5aizlwcrvDAIrVUDE2hWJvv/rVr7SeyhdffKGsygcf&#10;fKDMypWrV3X3ZAS2uUePall9Cq8lJScrLQ4AQWSIA8H4NzUhoOMRG65cRUx/lRrxfQAKg9xCRwZw&#10;cESAILI6KDLDKpaXA3oQC6qOBhvR8fJgIHQzXgoDKf6FiG5jggeMUnMEYwLEYFMArgAFsmkYT4wR&#10;AAS6qbffeUffsy+//FIZQMZtRQxATjr+L91YZ1yz2SbMCeOR9GJi/RQhC7vnWDfeCd4N3hMAYELS&#10;Ht34b8wLY7XuhzEoD7dspQCFfwcApaeCCkIvYxzQMOBxO8bEDHBC+AZgM2rUaAU5FF8bMGCAhna6&#10;d+ummwHC2ox2f1/vnB7ABJaiOhgD2gMdBZq45OQ9WuoeQSy6ExgURLJU1SUMhkgWEJ1/OqgkG3a9&#10;OzXmLRZmhM0JZ7JoI2yOAJt7DDunMo225p1kHmWRAHMD8x28i4FG0XSJvI8sRFUn5j5H7Q1Neiie&#10;g40p8XNw1VutAidhR1l2BSMsZFVqf/2b38jPfvYz+ditOt9xzuHKlSsKVKDE2QeByZ1NCXEkDGDA&#10;B0YICLYE6s/CQxi/u0mU6H4HaCHub6JHrgNTw4qGcJGGjJRlOazpywgViUnj4DBWGdQxMMBCnBOR&#10;WRjLwsuO8RIZuo80/1JVjtkEhdGutDXtTh/AnKDpoD8pHQ5AYTUPM2fjhrAiu3XC3gGKbzigjI4K&#10;5o/xSfgybOx+n3H80QFywAl6KwA2LCDfj9PmPsOepzYZ7wUMCtqeBQsWyYD+A3TzMFJrASfUImnR&#10;rLmCFASsPbr3UEAB04EGBcAB8ODft7OxWPFn7fPUPCFc9GjnziVMDcDoxXEvupX4bhVcsnpnzITd&#10;e1UY4xKmgDmGuhGkXTdv3EQerP+A1kKhAufLL09x81ycLpqYZzinsuYLrgUQgUXG6QMMUtMydF7j&#10;fbH3KOzcippdC9M50H0344FMGphLhMhJyXvdojNO52nmY+ZwZb3d72DGyWQCTFnorS68M9Vh1i+R&#10;vijSyn6+1oOTsCOyQu3X33yjK042JiQLyJgVisDhMIjfo1shJATljtj26LFjkpOTI+np6apjQXwI&#10;0wKQiQwPbXWDHQe0BdbFoXJAiZmJrIJ9BAKGhfARaB7kTjaHim6LDbaFl5rCU6lpQaVSXiKo+gDM&#10;HNeXnVUSQAYGBiBj4SKsphXytcloQ9qSyQuwSPph/pkzOgHSJ0zCaJZgzViNwcAFFudWsckq1qZ2&#10;D2nxCLoJQX7z7bcKTP5VDEzu9KCQIZWWFVijhSK7YH+qal3qwkRLnzDuYSJ3705QUShptRRle8SB&#10;hYdbtFTWAKASMCgdpGfPngoqhg4bphoSQjUjnn1WmRB+R92SSBs+YoQyJQAS9CUY4Kbv009Lryef&#10;VGPTP0JKVI3t93RfmTVrtpsXgrAO9xh271Vh9LkC5pMwKHu1kiyF67o+3lXL3LOTMlV2AVBk+ASV&#10;ZM/onFEZcwXPCuCxLBgN77j5jVo/fEdlzklch+flO3lmWA9CSnwvoVTm50DoSl2sOH03mXNZKALM&#10;YBc1g829z8yXXIv7C/subxUz2hEwSp8DGOkja9+w/q+T4ISJH4BiVWpLUpWLq9WayJaqtYSGbB8g&#10;Ni384mc/k08//VTDQuhYzp49q4JEtCzE+NOd02E1DFWPNoXKsugJEDoGGxs5R+WACQCFFXS4udW1&#10;W1mzyi61gK2x/RuIi7Ii5sViVYzwDYeoDExxerQCFfdyBsXngo0SGRw2IL7PGDDltbIDqzZZ5HNa&#10;2wQTYPCisUoHlBxiA0vXBwBV9Cb0JZkZtjILGIw9cvToUbeiu6Z6qF//+tc6zhh7jMVIBuRODs4l&#10;JIRAlsnXBH2MC0Ar9x32jLXJrJ9wLtD4pPwT4hk+bLiyJ4RZYDTQgrRo1syBlJbSqSMMSnfNqKFm&#10;yZAhQ2TAwIEqbn3aAQ5K0Edafwdk+AwiV4SvM5wBZDp36qSCW3Y4HjJkqNYZIYW3Y7v2muY889WZ&#10;bi5I1om3ut4bvod+592H0SO0smr1Ghk9+nlp7dqgwf31NJOHfXkAKEEl2Wxd4HDe3d4n17D3hArJ&#10;VpOHMcmchJOiv8LOLa9xj0W8m8XPyfcx3vk+5kYAOkyJzbG8F4TaCbWSpcNeS9wL/RI5R+p1q6mf&#10;arvZOCCsCVhlAUFbG0ixtrb2rpPgpKIHEz7gBdDy1Vdf6coUpwLLwp5AiBHf/fGP5foN92Jccavo&#10;c+fkjAMtJeZW1KQ4A2Iox49zImwEkKE+C6mf6FxIBd3jnFdZU9GuQ/w7ihkZYqRBkbkdCnh4yVih&#10;l4p3A10L4SKyF8gMYeUArUoNDirmEjbCoC+1ei4gRoGMu190L24AUWyMFQQvLasQBhN2q3BS5Atd&#10;dmDGmvEMBkJ4PkR9PDsMCe0DTc5KkImNtoXRAoySkUAtB8AJLAn9A7NGPx/JzdWxQPiQsQNjx5gC&#10;lNztwRjVLDYHcmAAYfdUI+WMVSp7/eAceJ6w562NRv+pk3LjGip/7tz5ClCY7GA0DJy0cuCkY4cO&#10;Wn6edODevXsrAEHMSgYOmT38ROyKPfXUU8qyAEbI9oE9eeH552XggAEqsh3qQMurDoSwLwjOntRd&#10;ytZTwZbvX7NmnYImxhPvTdi9V5XRHgBpxuvChYtk6OAhWt7eRLIwKC9Pfll3aiYrkTHDOXczbugH&#10;3iGeF2EpzDDghHugiCFzC38PO/d2VvYd5TqkBfN8ultwWoaOfRhq05Xwk1R9E7rmHj2mizeesTJA&#10;krdbG/2E6JrwMnpL2p5CqDB6jDN8DWME30Jf0CcenHzPwcRvDAuaANgVSuyb4Baw8ntnsCuAFgSN&#10;GE5C7Re/UEOQ+z//8z+qcSGr4vPPP1cWhiwLwkhsfAi4IVsj0qjfkp+fL0eOHFHB7kE2pwPIOKcH&#10;EOFlQ6gLsxKwKkFFUJyTAhlCS84IMyHGxHmyksDIJmElZeJNVpk4W9JfqfHCxnVaZt05Yl56gAwD&#10;CeSLo8aYFBhITBAMwNoCTmzS44UB7Ucq/FMOHNCMLQAiyn7an9UYRjsTUiEjjE0sL7s+BcDClDAO&#10;fv/73+vYYRwxpmDw7vZgjAJMuO7n7l2FxQuo620aDoTaps/uxsnEmuFobJIDiANQqBLL3jMUQ4M9&#10;IcTzSOvWurvxEz0dgHAggnDH4126lBjCVgqrKTBxQKNP7z7KrlC2nkqwbOjHudRRQVj72muzZefO&#10;3boq3+rGxsIFizSVFxalhwNA8+bOc2A1U1f2AP2we68qoz3IDuS7aY+33lymItlHO3WWevfcKy2b&#10;NtP7pI3WrFmruh0WLXcDokrfpWv6DhFCYUEFo4HoVNvB9VFF543Id5R5SDPhMrN1Ycbcpls4bGQr&#10;iQ0loIS/WfYc2TcIXdHv8Xy1Ze6KVqOfCJkhR8DnEFUoDallF7P9wX54vBfUoPHgpIYOyHtAD5Q+&#10;egMLHRm4MQPM2K7Nly5dUmYGFibXrcRtv6EgluoACEDEvYi6anaO0sS5ag68lIaOjN4MMkaYLMw0&#10;VOSADyl2DJz9qakah2alEehcAtEuDAxWClrO6cAypiVgWwLggjHgylpZBqasMWHgZMprt5pc+L1Z&#10;5Oe5PkaIRr/T3Q/3BSDhOQBiTGQIlaG6ASVkXMFg6eZ5xTVyaF/anN8T1qGuDv0E6KRPNXTjgC0g&#10;oioOAM5fvvtORbUf/OQnmqlD/9O3FBbkpac/eOaw9qnNRp/Tp/QlLOIbr78hgwYMKqkkS2oxzpmw&#10;DkZY5nHMARP+jR4FtqRv377yTP9nZNDAQcqAoE0h0wfNSts2bfRvr8x4Rd8pGAIc31H3nrD/z8xX&#10;ZkqXTo9q6GTqlGkKDCjjznsRds9VbYx5xgTv9VvLliuDgki2oZv8YVDIcJr68hStg8Jihfea9+N2&#10;79j3GefByPIeITxVHZ2bX9BowdLau36r69u7y+e4F6rhBu/oOQXfPAshIxYLvJdBAgIh1Y3KKqO7&#10;4j1GHPt93+Wt8o0+A5wynijLAaNF6BmfoxXbXf/B7vNewHZibNr5RPeeJeCkQb0Hanbjv7p04FSg&#10;4wEo6FzQt5S1yOJyhAOMcfnwww9VTEkKKhoGgEvBxYuaGn36zBldtQNgEO/irBDwksFB+AhdTKmQ&#10;l/1ZEpUJICxkYQkYAASVlha93a1GCFMwAcC4qHDXGeEME+2yGlJAg3jXGaElJiOYGARwkcakxECE&#10;1mPQljVWNqyIAAq3MyZ4Azm3cr5lJzbO4VwmN74Dx8VkzQobSpjCVEx2IHxqM/DMPDvMkzJQrk1Y&#10;iaElIiRHmI72pu2LiopUkwSDQQo7fWhZOFUFTgC5sCaMEUAsYSTYM2o1WBE4nrkuTsY8szEojDWK&#10;bS1cuFgZA8ItaFAQxgIcyNwZOpRwDbVLhsnAgQNl8JAhypBQkn7cuHFB1dfhIzRd+NFHH1XNCiXy&#10;ud56t0qHgWRnWtJyGUu8B7NmvqZVaqMFnPAuAFZVJOvGNyLZ0e6ZYY3YLLBls+a6Yh0/7kUt4qaa&#10;pWKR7K3ese8z+oF3jvRcVsrMFSyqKHDGAgAAST+FjVF+x7urzI+7BuFnFkYwO4AO5iNYTApoWlVX&#10;AAnvLk4P7QnfS9jHnqEuvgs1afQfY45QHmw8C13GFfMsRpiPMaGg1b0zAJbZs+boe2Pg5IH775cf&#10;/IcHJ9Vy4Kwixbk4sLIG9Q9lbyEldAqElQAzJtz9KiLExGaJVtofJ4nG4VoxeGE1T/VQBJPU1sCp&#10;AiBgR5hE2T0XJAslGpldhAXhouDfFsIo/dvNnzVjomCSUBCTvEetBNS4fwNkWNkDYMoaeg5SqWFl&#10;bmfEjI2xYYIDfJQ1wAt/Y2Iitsk5gBEynPgO2CDVjrg2YLKmDQBmxj6ZsSpm4qNmTaprM8DfufPn&#10;Bb0Rxc8I6/35q6+0X+inyNRgrCrBCf0PcCW7jDR42p/ngC6lbWiDujohGzCl/+lzqj6/+eZbyoCg&#10;uXi4eUtp3qSZ9HSrNHQi06fN0N2MNWXYARLqmkyaPFmFr+zJA3B5zAGTVm5uRK9BzRQKmjF2CIXC&#10;nPCTsc1k++orMzV0ZOAEETtAuKbAiTl7mMITJ0/pPa5atVoBSrtH2shDDR5UkELbTBj/kopkeRbe&#10;G96nOwEofCfnagjGvXM4IFheFkcsVIzON+CAWb9xHn9T5+beeQA3cwfjm3eUkDYhAH7y3nJNMhrR&#10;NVgyALoxH76pObO+ZB4iZMM4gB1BMsBilWQC+g1GhT5kzLEPVOf2HUrASf37ACf/4cFJrB1lWRhL&#10;kbbQEI6Lei4/+clPlHFBxHvNrfJxZmygiFECnRTXw4cPyyEHXDBCRxmZ7KobiHdxfISSMFgYUmMR&#10;7LI1gBlZSZYqvcuBk/h4qvAGlXj5PxswYsH+RkEKdVljolf2JY3dfG9thJvQgUAJAmhwxmhDIo0V&#10;LH8jxk02k25DcDBA60yS0IwwRwApmCOYETPb6wadDyJm2gZwR7tRyO/jTz5RPRHAEPBIP1T3ATgh&#10;LIi2hZR3GDHAFIwPjgAneKtVaV0yAygAUwAye/FQII2NAR/t2FmZlOFDh8kLz4+RsWMDUMLmgFOm&#10;TJGXnbF7MRk6A555Rrp17Srt2rTRVGFqmTw34llZtmy5jmlWgPv27ddJdtnyFfLC6OfdZ9tqthAZ&#10;O5Y9hcMNu8/qNBxFiUh2wSIZ4Z6fujCAkyYNH5LeT/aSyZNf1kJtvDMmIK3oWOLz5pzQcLFyRhvC&#10;GIXdIFQMwwcQsc/BkhAKor8I3eDEVOi6h40zKaBG5iMLpS3K9u52cwlMCswnTo9zuY4f+9FjNg7o&#10;E8YRoBSmnJAbgBKgHAiZd8q0adOlc8dOHpzE+mEsDI7KUqMjWRZof7KNWGEry+LACw4NAEMxOlb9&#10;hCEIDahwt9h++sUXJWGkH7/3noYNYGIw0qmpqUEWEoJds0M5OQpqADSAGE2tdg4TAa/VgtmyJWBn&#10;0GsEqdI3m271rwxNUJn3VgY7wyRlol8cwr9bnP6NGCef45zg/ID9We8cuQmK0Y4w8XHPiFp5HlLG&#10;eV70HIiZAXy0G4CENv3WtTEsCW1fVezI7Q5AKdoW7pG2ByDSfjhg6HgmgjtZ7dY2ow1sUoRBIQQD&#10;60d2zbChQSYPRcm6Pva4AyADNIwzefJkZUsmOGBCsTZ0KL2cw+7Xt69m51AzBSeObmXwwEEybeo0&#10;zXbZsGGT7oJMiKhHt+7SrFFj6di2ncyfN19DOrAA3EvYfVanaXs4EMA4gdF5663lWheGUvekGbNZ&#10;IKwPItl169ZrSIawSkXHE07JVs/UBiJTg8WHbgninBEhVAAIgA2D7eCeACQAJxYsOCze22DOWK/v&#10;Kr9jIQPzyfk4OrJCADYAE74T8+AkOszGgY0FhNLKirn+BkwC2gHLmQ5gshdVty5dS8DJA248/sBr&#10;TmLvwClWheFwYQQAN5ZGbWJdgAzhox+TSu1AC4bm4urVq5ppRMgDJobwBxkk6F9sb6N9xXsboeWA&#10;nTADGGCwFibyvZWZ+NfCSOU1zuFcuw7gBcAEA4QehyJppONqyMY9E4X5eF70I4TYwtop0qr7AIzC&#10;3ly4cEHDTbQfz8nED63tJ+fAaAObHHFcAATCL4DWOXMckHhupHQnW+exx5QdGTfuRZk4caKm18KY&#10;9OndW2uZIIp96aUJ6rABNDAiGOGdZ/oP0NDNazNnyfOjn1cAw+9bt2ylheAIJxGaYEJmcg67z+o0&#10;axNAChoUC3kNGTxEi9Y1dsCrYf0HtF2mTpmqYE5rlFwICpXRlmHXDTP7LtgR9B+0PZoT1XS5dw9G&#10;k7YJmJLjyoAwhtGTwJAQuglE6Ov1/4HQ9YBm4ODUACQWdrLvMgu7H281Y2X7JtJ4J3g3CPnARPbs&#10;1qMEnDSoV98LYv1ReuBsLY0aFsaK0xkTQ2psJGDBcJSwL7AMmi790UdqsC+wD2zGyOZ2N27cUDBD&#10;eAlD2EvpddJvYWRIoT5x8uQtzRgbUqwJuZBmjXO+nSEOBiwhYLXrICBGTAwTxD2RZUO4hvsHgMEw&#10;8ayVVZeksg/6h3sl3ATjA8iDMWLihzblpQ+bJOqq2SSIcyXEQLgvMWmPrF61RmbOfE0mTZykoGTS&#10;pEmaBkztEgAJP59zAGbOnLmywTlH2CnYEYSjsCZaz8RZ3959pH/fftL7qd76/4Bp6adgB6eK88WR&#10;RgNzYoZDB6xRSRgmg80CAVfsv0ORtlbNmiu4Gjd2nOpTCKUCCMiaCbve7YxiaQGlf0H1Jpq94QA1&#10;O72TJbjHLRDIigN8wIqa3g3Gk1AQn48UumpasLt3Cwn58R67Rt/xXjBvrVq5Wp7s8UQJOHmwvk8l&#10;9keZwwSdOOZIM8FuWTMBr4l4zXDuFmoyM2EvBvCBnaBuDBvYGbi5lVEjBtZGs5UuX1bmAFBzO7vq&#10;AAjaDNgQrgHzgyaH0Bb70iAu5r64X+6fZ+GZTNhaE8zI9x3cI88BUFP2yRnxdxwIu7/6yfrfjTYp&#10;uhFQy6zUSGdFl4RjBnQsWbJUZr42S9mR/k/31TDPS+NfktffWODaOF5X9uga2IGcMGQQGhomTzgH&#10;3rl9R60KSwl7QAmhHfavWbR4ieuXJNUBMfkCjoL7CCzsPqvL+H4FbK4tKM4II7FixSoZ+exzyqBQ&#10;6r6RAynoUSZOmKiggVAK4I7zysPO2XPyWRwQzw+FjxCfsCuMJswMYRtS9FevZe+yIF0fplP1KQfT&#10;NNsDfQqAhGtwLQMl33cP0WSR7cH9m5WnLWurWZsA3tnxv1dPX+fEH1Fw4PgBAX93YAAdB9oYmJlb&#10;mdWGYVsBS7EGdNzOSMdGW8O5dh0AEaCJ7/2nA12xdgBOEDtnZmbqJM7qkjRKshouXLxUZye6iti1&#10;6zc0g4B9qhDmkZ7KSv3Nt5bJ7NlzZN68+aolIRWZXXVxjEygpMFSVG3btu0KPl55ZaZMGD9BXhz7&#10;okybOl3muvPQccCY7NqdoGAGMSgAhe/DuZpjDbuv6jYcI/WJYFAQJ7I30Yhhw7UuDCLZ5k2aatVb&#10;MinYlR2BanlEsvzNnDDPzLMTwgFA74pPUHaktD7JGgUoVDhGU4JYHbCEmB1ACCACUAJKYtmRA45h&#10;exhLgGMAKz9pS9op7Jy6Yr58vT+i6jDNBpvfKUhxTvd2BrMBqDDmxcJNtzM+xznGimAwI8oGRSkz&#10;8n0Hz0AWFplU7MtETRoEhmxXgAP14OT7DSeHowg2cixQhwvwYJWenYNe6oim/xILx5nYaj1gXS5q&#10;qIaMAwSj6Db2709V0ELIiGvg7KliSiG45L0pyjrAUFiaN98fdl/VbYwVng3ncPJUvuzZs093M0Yk&#10;S9l/irSRoQQzpLVdNmxU0ACTcbtnMHBCG8PmGQgEeCB8Z+f2FStXyvIVK1Tsis4EgE078VnEsea4&#10;LXwTy8AE4/5ZPLAPGmJexo+lP191zxh2Tl0xD078EZWHgZSasFg6uF+AFeEw6tmgN2H1uXP3bp34&#10;ocy/b0XrLTDaKNJwHGbqCIudIVb2s/Z5PofjBLDQ7sqKFK/uMYAiKbP7U4OdxWFgyBqKZFD4XNj9&#10;VafZM/EcgCpYi6VLlmolWd1puVFjzeSBQYFVQhtCCn/Ze7d2oU0omx+5DQR1LRDBwvRZGAegQ2gH&#10;kTwp/uwJBegL9CSlDJNZ5HfFovE8sCUAEwAeLBLPTBvRZmHn1BXz4MQf/ojRA2AC24M+Br0MQmJS&#10;tQEnCAup+2JZIbVhIo8FM2eM0zGLbHscDs4IQKI1O9IzJT0zW0M8xqBwTuQ1a9JgULgvE8kuXrxE&#10;xhTvE0RaJynGiGbfXPqW1kCJvHdrCwq9AUpgP3C+CF7RQ1GXhC0gSOcHoKCVIjNH2SbXNgDrsrqS&#10;aABulWm0F+mzADsKT2ZkZnlwUmwenPjDHzF6GGtCsb3//ulPtfovEzyUOJM8gk0cIZO6ByfRYfQD&#10;Rp8Q0tm3PygASE0HGAKAAE7JPhcN/Wb3S1iFDBnK2aNBoTIuZft1T6FXXpXExGQNRRg44xxABc9E&#10;WItaJVR0RfCKrmSFuw6hHLJwqH3E32GVGLOwTjZuo6ENKtvsuXhGABhZR1TgxTw4CcyDE3/4I0YP&#10;wAlaE1iTn3z4oW4GSX0TMkfQm6CXwDHYJB82AXirGcOBo5/AGWdkQecfkqxDh6NaJAuDAYMC8F20&#10;cLGMGjlKS/zPn/+6FkajJgkOFT0JY48aJgiy0YxQOwiRNhk+VmMIoSuF1QjfWEVXHHWk0DXsXmqD&#10;0a88H+0FSCXEhfgY1ohq1hS5ow3Czq0r5sGJP/wRowfgBFHvL778Ujd/PJKbq4XriN8z2SHoZKKP&#10;JifnLTBbNcMQWMbK3pQDGuIxUAlAiRYHzf0WFl3XNGNW9Qh+ASS7dyeoQ0UobKXiARlBYbVgE1GA&#10;SJCJs05/qtA1eY+yBHyWcUpBt0tXao/Q9fssaM+g1gsiWGq6wB6hQ9K2LGY8w86tK+bBiT/8EaMH&#10;4ISsI0I6bOrI/keBI9iklTZZmdsK1IOT6DT6JRDJHtOQCf1GZlAgkg3qoERb/3FPZCxRE4b7xJEC&#10;pmA9YAF4DsKLhGsCoSvbQrBp5mZlT9h3CKaEzwZC1wCQhH1XbTP6EuOZgwyvIA0dATDgBJAKWGVM&#10;1JU2uZV5cOIPf8ToAThBDEvlXSrDsocR4IQVLeI6Jv66sAqNZaNfcFQ4eBiTYHfWdGVQEITiwGC/&#10;6MOw82vCjPHhnrk/xhnsByXk2ZuHbSAAJQiz+UmtGLQmZPxQ3yWvOHxDLZVIpiTsu2qb8awGTCxj&#10;iXRpspaoikvWjumO6kqb3Mo8OPGHP2L0AJxQs4UKuTmHD2umDqtT9grCUeBAcH4emESvWf9gFhIJ&#10;yrenqF7DRLIAgmjpR7tfHC33DDihfgub7+FMELsidKWQmu1/A5sSqacxwBxpYd9VG8yej2e+fDXY&#10;0BDtDqEvmCTaB+0NIR3bpLO2t0l5zIMTf/gjRg/ACUXl2JiQPYWg0gEmQc2Jo+oEwl56b9FpOCXY&#10;CN3wzoFLRLJk8URbmjFOlnvF0RKC4F4BU+zlRMVYHAogGcGrhXDY/4YwVV3RQBkYMaaEQmvs/wMz&#10;AntkuzFThZh/Z+dYmOuSO69uh3PMPDjxhz9i9GCfHzYjZPfnPXv2SJxzDiY2xMF5cBJbhjPDkQUi&#10;2dOa5UKqcbSkGdt34nABGYAN2J3dlJ7ftEkFr6QHB2X645UZQNzJfVsGDufynGHXj2WL7BNrowDA&#10;BczSSdd/hw4fViBCe2mmUjEwYePDM+dKs5Q4P+w76pp5cOIPf8TgAWtCATb2HmKzw9272b2VQlZB&#10;ZU2EijiysJfeW/QbK2iyOKD6KXePFoWVNWm69Gt1sw98lzEBlPcn/JBz5Igk792rYGTV6jWaws5e&#10;OGzOdzAtXVkCwji1EYxEWmTbGLjkuUkH5j2kH2FL2LCQ0BfgZLdrI+q60K+Ii/1C4t/NgxN/+CMG&#10;D1gTCrCxeeHpM2ckrnhH18TEJK0yyVb2HpzErtF3ODgYE7J3cGSBSLZm9uLBAbOqZ3WP02WMIeJE&#10;fA0wgTUhbRjRK2wKe/LUxH3WhEW2DX0GiGQ/JcSuiUnJyiKhKSGMk3LggKQ5wGkZWWfPX1AwA7AJ&#10;u3ZdNg9O/OGPGDzYFPG7v/5VvvzlL+X4iRPKmgBOmABz3GqMbAgmzLCX3lv0m63GcVyERiiql5qW&#10;oUXbKAXP76vD6XMfFqIgvRVgwmofZ0s2DqJXgMnWbXEKTGBLCFGgR+H+OB8Lu3asGs9lbQL4ApQA&#10;xGgb+oo9cgjXwCChAdsMo7l7twqdSRVGQ2R9yHVqYxtVhnlw4g9/xODxt7//XfUmP/3pT+Xo0aMl&#10;VTeZFI8eOy7nzhf41VgtMBxgIJLNc47vuDIp1QlO+I6AESjQTCJW/bABVHoFmBDGIUQBS0BqbMAE&#10;XKm1wBgQwbPxjPSD7ibsnpuS8wcdeCSkquaAGoASg/UirEP70H/0J/0HO+ZBya3NgxN/+CMGD+qb&#10;/Oa3v9Wy9YdycjQ7gmwJingxAVqNk7CX3lvsmDlDVugwF6zQqzpcYit5DAcK4AAYAUCoQMzeTbAm&#10;MCboJ3DM6CYYc9yrMSZh144Vi2wDjGfC2GH6ojJI55TFQrRMphIbGdI2vINsuskigY03YUlgMekz&#10;QB7tGdlGWNj3e/PgxB/+iMmDFOKf/exnmkacnpGh1TjJACCzg8mwulbW3qrPAJs4uKpedXPdq9eK&#10;tEhaPpVgjxzV1T9ABPErwleYE/4PGEbfxD3hdGuDs+UZFIi49g5A4WVlSQBg1CdhB2FCN4iVYUkA&#10;J0l79mj2TbL7SU2XQMCcrxoUrmHhm7Dv8xZuHpz4wx8xeLAT8ccffyznz5/XyrCUB6egE46krggR&#10;65rh3HBygICqdHaMG1gahJ2EI8gw2RoXp8AEEAw7QP0SNqgDmPDZqr6n6jRrZ96hQOCarwJWFbgm&#10;7ynOtklQMELYJhC4HtawDVV90Z5wHu1iwMSYkrDv8xZuHpz4wx8xePz2d7+Td3/8Y8nLy5Pk5GQF&#10;J0ya0O+sro06DnvpvcWu4eDMwv5+p8b1GC8wMoRn0FIg3sQZA0bWbdigezZRmp7dcw0EM9YMlFT2&#10;PVWH2XPzDDw7zwOoQBdCujTvE0XkCNPQFmQk0QZk4FB2HmACKOGztiiAdeKaBkhitW1q2jw48Yc/&#10;YvD49a9/LYXXrkn2oUMOlMTrbq9kULDarU2rWG9Vb+agcc5UMSVsQU0O2IEt27ZpCIeME8AvIQuc&#10;MaFDPm+sQNh1Y8F4dp4DQMIz8f4czs3VVGlYEUI2gDEErhiF5QjnwCgddu0EiCPkA6CLZEnCvstb&#10;xcyDE3/4IwaPL7/8UgouXnROJChbD91OZdhT+adLVmoenHgrjzFOcKqwBjhcNu+DLcExWEYOu+Ye&#10;TE9XsbVpXiKZgbDrxoLxDDw3wISqymho0I8gbl27bp1uXLhjZ1CGPzPrUHFtkgIFMwbODJDUhvaI&#10;JvPgxB/+iMHjf/7nfyT/9GlJSkpSmpl6Ckygp8+eC33RvXmLNAMkOFgtr55/RhkTxhBbIJD9RXo6&#10;IAWRZ0ZWlqYSE7qItZAhz8r92vNGhm3YsDDnMExJtrJCCFz3pqSozgYmkp9Uuz18JFdOFAtcI0NZ&#10;Yd/nrXLMgxN/+CMGj59+8YUcPXZMtrsVHnvqkKmTejBdKeawF92bt0jDsZqjhg2h+iwCT4qpkY0D&#10;E4euwvZ+AfQaW2AMQdh1o9EMiAGq2BYAIKZbAzjQAdtIWBT2kbDVvv37JS0jQ7NtrK4Mz37BgTJj&#10;jIwp8eCkas2DE3/4I0YO9tPB/tfZZ599pnqTTc6JAE7iE5IkMytbi6+FvejevGE4VBwrjhoWAM0E&#10;4QoKq1GKHtEr+iXYOIAJBcbOOsDL58OuF23G80U+IzoQQBXPSuiGbBr2BEI3AiNEyIZnJdMNcIbA&#10;NdeBfjJuLD0aMBL2Xd6q1jw48Yc/YuQAmPzzX/+Sv//jH/LhRx+5iTRd1q1bp5OrZlAczlXaPexF&#10;9+YNw9ESlsBZE8ZJ2Z+qe+Qgel3vQAkhnYSkJGUVqDQMMOHz12LEQRtLAig5756R3YBJeaZY2v7U&#10;VGVGMPa4AXwhcEVnQiowVXhhVSg6B6ABmABysLDv8la15sGJP/wRIweMyT+K99R57/33tb4JgkVW&#10;f8TL0QRQMCrsRfdWt80YBZw2eguEnThntjxY4wAuFV8BJwATMlGo7WFVhu3csOtGi3F/gIgAmJAO&#10;HKRD8yzsN0XYRrd42LZNwZjtc0PohmqvkSwJ17FnjoVnr63mwYk//BEjx7/+9S/5y3ffyR//9Ce5&#10;fuOGm3T3KjhhgzFKiLPqY5Ub9qJ7q7uGs71SGFQ6pcopO+aSJrvDOWxK0QNKCGvgxKnpgVOHgUNf&#10;Ec2OmXsDUJh2xlKBSXXmOXSvm/2p+lxmADJACZoTAJjtU2QgLOx7vNWMeXDiD3/EyMFOxGz296tf&#10;/UouX74sScnJuuJF1AdFDwXPRB32onure2arfhwvLAjZKdk5OcX6kqAMPeMHESzl6dlRFxYhmoWv&#10;9kwY9wcTZM+GiPXAwYOaCrxj127Z6Yxn3ZdyoIQlOZnPxntBXRIvcI1u8+DEH/6IkeMf//iH/P73&#10;v5fPP/9czp49K/EJCbr52t59+0toeFaSYS+6t7pnQYgD531J2RA2otuzb5/qS1atXqM1PEhBh1GA&#10;bQCU8Hkcddj1atoMkDDGYQh5LsAU4UzKywOwACYUj0OHpdk3xfVJYFT4vIGRsOt7iy7z4MQf/oiR&#10;429/+5v88pe/lB8Xl61Ha8LLC1XNJG31F8JedG91zwAaZ85RXCxPNUk4bViSYI+czRKfmKhiUBgT&#10;dCiRmouw69WkAUy4N8BFALZOa4qzZt04cAV7iCgcgJLungkgZnvdUPU2EphEK/jydrN5cOIPf8TI&#10;8de//lW++OILDelkZ2drgSw0Azgesi9wLn7irdtmTpyxgG4k92ieOmxEoGhLmOw3b9kqO3fFa4l2&#10;HDegls9zrlnYtavbuA/Gsz6PAxaEYTT9+WTAAlFOHr0V7wGCV1gSdgsGkJy7UOCe66oCNAMk0fZ8&#10;3m5vHpz4wx8xcnz33Xfy6aefypkzZ7Rs/ba4OKXmqc2AI/Krwrpr5sgBGSoOdaAD5gBWDe0FoZyN&#10;mzfLtu3blWWgIirb/5sYNNrGjT0PbEfBxcv6PGhGyL4BbCHohSnBACWU1qeK68lTVHEtcOf5fW5i&#10;3Tw48Yc/YuT49ttv5cMPP9TKsGTqkAaKsBGxHw7JrwjrppkjxxnDglBAjLodOG7ACACWiq9xO3ao&#10;5oRwCGGcaMtS4T7MIoEWtUoO2fM4QA7zQ/Va0oGD7CJErsF+NzAlxiBGy3N5uzPz4MQf/oiR45tv&#10;vpH33ntPMjMzVQzLahgNARM0L3LYC+6tdhsOGICBQ0YQTTZK9qHDKnJFFBpUfaXi60517ocOH9Zy&#10;7LatfzQ5cANYypbA/rj7ZO8bQjgUSyPzhucg7ZlnoSIyQlc+G00gy1vlmAcn/vBHjBxff/213Lhx&#10;Q1JSUmSHm6S3OWCy060gWQn7+iZ103DIAJOLl6+osDX1YJrqMDSMs2mTZuMQ1iEUQsVXBLJoMcyZ&#10;Rxs4YRwTojx2/KSKdQFZhKHYgA+NCb8jZTjP/R0ROIAMMOOZktpnHpz4wx9Rfuh+Ov/7v/LnP/9Z&#10;rl69KvHx8bJ161YFKEnJezUbAzo77AX3VvsMJ4wzxoLslaDOByXnYRVgS4JQzuaSzfvQn7B5XbSC&#10;Eu4LYEJRNKrXpmdk6a7AlhIMSMnIOqQhHp73crGI10CJBya3NtqG9qW9zAqLol8878GJP/wR5QfA&#10;hD11/vDHP8rFixd1J2JKcbObKnQ3wkYPTuqO4WxwMDhzqqICPMjYAojAlgBO0JckJu8p3sguT50+&#10;QCYanTji1SAkFRRSg+WJZEwAXfwebQmfC5yrD+OU12gry3RCmxMUobsU9XOGByf+8EeUH5StpwDb&#10;b3/3Ozl37pyKYFkVJ7IPSla2nHKTOo4n7AX3VvuMFS/AxDbvw4Ejjl67fr1uZ4AOiWwWSrRTrh7H&#10;hEM3liHsmjVpKnrNP63aEoqoAbwJRRHGQdjL3/gMYzwamZ9oN9qNcB76HDKeALMU5QPohX0+WsyD&#10;E3/4I8oPdiEmU+cXv/iFnDp1SgWOrI4RBeKAWBUXOucT9oJ7qz0GuDDGBNCB1ggQQp0Py8ghm4Wi&#10;ZPzN9CXRSN/bap6dg9GXkHHGeEb0CjAhPRi2hHAVwCTaQxDRYrQrYAQNEuCVzC30OWQ7UZyOdqZd&#10;raJ02DWixTw48Yc/ovygMuwf//hH+ezzz+VYXp46IlbK0N9M7ExCTEphL7i32mP0sekyKDaGJmNr&#10;ca0bAKvqS9yYyDlyVMM97M4LmInOUE6R3iMgitAkIl4KqQFQeDbEvfwdAMNnPTgpn9HfQYjstIIQ&#10;2hZmjWrAVAhOOZAqOYdzNYQG6Au7RrSYByf+8EeUH3/5y190s7/3339fDh8+rFVhoe7JXGBlyWTk&#10;wUntNIAFjlmBiZuszxRrTGBHACRr161TcAJ7giOyUvQ49OtvRxcosWfBgWr12mN5ypAgeAVkkSaM&#10;RgZQguOMVmAVDUa7YIwL2on+BrjSrlTQJWWcsBgsFBlbMGqAP3535GheCfALu3a0mAcn/vBHlB+k&#10;EP/0pz/VTJ309HTdSTZu+3atlokjYlLyK8vaafSr6Usoyw41j9AVZw4wQZ+RkJQkB9MQvh4vGQ/R&#10;CFZxptxbUL022O8HxoRQDgXVeDZCEKYv8WM63CJBCQsTwneMDVio9MwsTScH9CEqpuge/6at0fQA&#10;XmHerI3Drh8t5sGJP/wR5QchHSrDUraeGieIHkmxZDLyE3ntNlI+zxcEwIRN7uj31Q6cMgYAqayM&#10;AamxUPOD+0JjcvjIUU1vDlKFdzoHGminzjqnyWoex2vMQNh16q4FbUI70s+0Fdojy9aiMCMMWtz2&#10;HZpSTjgHdhWGioJ2FiKjfaN1jESaByf+8EeUH7///e/lnXfekaNHj0pScrI6ph3OKbGpm5Xr9hN5&#10;7TIcCH0LYwIjos4nMVGF0AFjwuZ9u/X3iBujWZvBPcGYwOroRoQOmJQwJg6YkJEDm+LH8r8bbYEx&#10;HmhDwjYADcAqIA9gCmglXEPqdYJrUxgTQnz8DU0aTAnjIxrHxu3MgxN/+CPKj9/85jdytbBQsrKy&#10;tAAbzonJnQnKVkB+Qq8dZn1J7Q82sDt2/ISKXNkjh/RxjOqvyXv2KU1vWRfRuBoufZYiBR85h4+o&#10;IJNVPat7HCrl6XGeVrU22p6hJszaDaNNAGwaDjt7XlOB2U0aAIIA2kAebUlIBzaV0BiMCmAQZhVh&#10;NNeJtXb14MQf/ojyAzFsQUGBW3EecBP7ThXEMiFRqyDspfYWm2bOCGCCYznmHBECUZwQIRxAKULo&#10;xKQ9un+OiRo5J+x6NWk8C0ADx8quwoH49YA+C88AQGFnZANWseY4q8Jog8h2g0kCXFhKMG1owGS7&#10;mwfQG9GOMCZp6ZkKZGuTBs2DE3/4I8oP6pucPn3aOaWgnDeUPiI3MnXCXmpvsWk4acu2YDPHfSkp&#10;GrohbXz9hmDzPpgH6HwK70Wz3ggny72pkNet5Knyuis+XjNG0EKo+LW4srFnS24Gc0EIjDL+1Cc5&#10;oqE76tnAjhASw/i3hW5yjx7T1GEDJlzDgxN/+MMfVX787Gc/k7y8PAUmcXHbdU8dJntWzmEvtbdY&#10;MlbLwT45OBbYMBy31jDZtk1ZMoqrEcpBn8HqGbYBpw6YiUbHzj1xbzAmABPNMEpKVsaELReoakyd&#10;jbrMmvDMBkgwAAVgDsBJ9g2bNMKaAeQIgQFQYZ0YA7QnAJWQnulJONdAiV077HtjyTw48Yc/ovz4&#10;4osvtL4JNC7gJCExUSd4Jqawl9pb7BhO5Oq1YPM+NrWjgmcATOK0v9mqAPaEVFuKZ+G4Ip1Q2DVr&#10;2szJsprneZL37NFnwkhzhRHgeaOV9akOM0ACIKUtWGgATA/nHtM2o53oc8CJtd3+AwcluzgduGx2&#10;Vth3xLp5cOIPf0T5QY0TxLAU3aK+CSGdw0dyVTAZ9lJ7ix0DYCAGZd8T0j5xQoheCeNQOIv/ByGQ&#10;oBIw4sZoXh1zTwATQo5UKEUPwZjFyaKTIWRF6AqnWpdZE54dxoMFBn1L2+xPTdUqrrQXgJS2I3RD&#10;NhN6EtqUVGza13Zlrs1t6MGJP/wRhYfuRPzPf+qGfx9/8okcTEtTih8BHHRvnpusoM3DXmpv0Ws4&#10;EgyAUcIwnDqtAITMCwvlwJigMSIDA+Bie+REqyMyJoBwE+JNgIk52x27dknqwXTNIMEh87na6lDD&#10;jLYBRBhTQp+jD2GXZTZuhCkBhABG0BVtcWMAfQ7aEjQn+XW03Tw48Yc/ovBgJ+LvvvtO/vSnP8m7&#10;776rmTo4rV3xCZKZnaOUORNW2EvtLXrNgAmhHKh8QjWIXHFG6AoQOwcZOckqdsSBsVoGyHButDon&#10;HGfBpcuaMkzogYwSKtfu279fARb1Ntimvy4yJjwvoATmC52IVnLNyJKU/akOkOzVtgKIoCMDpBKy&#10;pSgdoJTtCgAzFr7x4MSDE3/4o0YPWJOvvvpKfvnLX2rZ+j179yo4geYnLh3UhigMfam9RZ8ZsMBR&#10;4Whw1Dggwh2AEUJ29G8ATJI0zRYACn3POTimsOvWpPE8xgqwCy5hBxwvmSUwfAg4YQVgTNBH2Mq/&#10;tjpYezZrE+trFhEAUQBakIV1QFkyWBIL3aUePKihWlg0wCjnWFE6AyW1td1uZR6c+MMfUXgQzqEy&#10;LDsRnzt/Xh0WzgtnxiRncfuwl9pb9Jk5LQAlYkYAJk6KcuPoSzZt2aLOynblZdWMQ7/mHFzY9aLB&#10;eCYcKNondBMwPdw/TADjFFEnYzVy5R92ndpg1r+ACXRBgE/6mXYBdJjIFZbM2oiy/ejHYJZIByZ8&#10;YyDOAEnYd9UV8+DEH/6IwuPvf/+7/PrXv5b3P/hATpw8qSmY7D7LhMYK1WLQYS+1t+gznA0raUBl&#10;ds4RBzb3KEtiuwrDMuC82CfFWDFjGsKuFw3GvQXl9Ys38UtM1NAUwITqtRqScs9b252tARP6F2AS&#10;6EnytQ3YeA9xK8CTUgCUl0dfEmzCd1zfZWqaEBKr60xJWfPgxB/+iMLjb3/7mxZfK7p+3a28jmjx&#10;KpwYxZfYIM3qXIS91N6iwyKdFuwBacDsxsvKmbolQTn6Teq0cFjBrsIXlGWIZudkTphVPuXnASY4&#10;XXPC/B/nDIA2xqS2OVrrW6r58pxszogQGMYLgAn4YNsBAJuFuBAHoy0h+4bPBdlX/w5Ialtb3al5&#10;cOIPf0ThgRj2p198IQUXL0pGZqY6MDI4WF1DGeMg/CQW3RY4r0BzgBCS0uNkZKAzYNKFZcB5paal&#10;6Sqa8AiMSbSDThwqIYsjuUcVVO10jpeMHC0QpuLXEzpGaytjwjPRR/TtOVgSRK6HqeSapswmRo0S&#10;QjYpBw7oO0vIC9DCZ9GfAOxox9rYPpVlHpz4wx9RePzlL3+Rzz77TE6dOiUH3ARH7QMyOdhDg5fW&#10;T2jRafSLGc4ZJ4QzQnNARg7sF/vk6M7SpIUX1zAh/FFYFJ2CUbsnc8rcK44W5wsjwLhkrxeACc8K&#10;S8SzR9tz3I3Z82OAEkAk7XD8xCkFHoRvqORK4Tx0RLvjE1QYDINie94YWDNAUpvapyrMgxN/+CMK&#10;D8DJhx9+6FanubJnD/UPdihlzkTIiivsZfZW84bDsVU1zotqntSlITV4s+6Rs0GoZQLFT/gDwSiM&#10;ia2iw65Z08Z98UyADkIXABPYALJMeC5lTBzIIlRB1o6FcsKuFatGvwJIVE9yMl9ZIzKqaAdAGuAk&#10;aU+QFnzA/Q5Rc+7RvJv2vPFgpGLmwYk//BGFxzfffCPvvfeem/QzZDe0uVtlk35IcSsPTqLXcEAW&#10;ysEx4agAI6QKI35FY0JoJ+sQuoN8ZVaiOfxhYMtCOZqRk5JSkgpLrQ72gSG8YSGpaH2WuzGeCT0Q&#10;gIN6JGwhsTUuThcNtudNRpYDJK4tgqybS649/n3Pm7Brews3D0784Y8oPL524OTG22+7SS+gixEb&#10;kgVBZgQTXtjL7C3cDDDgMChqhZNl4znAQ6md0cwJ/oZwldUugkXAA0ADx8s1buV8+T+/xxEp3X/y&#10;lIZyYEgI4ygw2bzZgcydKpREGKs1LQqCkvQW0om8Zk0Z98Fz8iwlbIG7V4ScFFVLTE52tkeS9+7T&#10;zKPIkEW0PMPdWOTz0/cwW+wCTV0aWDCACGEb+hL2COYEpoRdlhkztBltEXZtb+U3D0784Y8oPL7+&#10;+mu5du2aphDr5m+7d2s5cMIEHpxUzHAUAAZb9eJccCqs/s0IT8Bo4GgItyBexRkTwoDhoJCYOZ4w&#10;R8y/+T2hDzQkgVB0t1C/BHCCFgGHhlDyoHNw7KWCs+OzACKcYLQ4NHsW7ol7syq2SWzgl5SkoQv0&#10;JYh40ZiYMy7bJrFqPEMAZi8raEU3wphhccAY2bM3RQEm4JM+POGAKKDXRK60XW1oh5o2D0784Y8o&#10;Of7v//5P99TBKFt/6fJlDQms27BBV+BpGVm6gmXyC3uZvYUbTvP02XMKCmCgEHACGFatXl1iMBsU&#10;uQNEEK4AvJB1QVgGut5ACjVIcEIGUlhhYzizQJNxTrUIsF2IXs0QSVJ0DYeGY0ejYaXKuTZsDY7N&#10;mJmw56hqM4DBPQBMAB4wPAA2BNlkGTEODxw8qCJPu99YdsTcu5k9O/1KHwNIYYYoMc8CgecnhEM/&#10;5hw5qu1DO3FO2LW93Z15cOIPf0TJATihbD1i2C+//FLOnj2r6aboFaDRWcEhSCQEEPYyews3nA7A&#10;AXABGwI4QMgIu2FG/YnADkpqWoYCmYP20ywt3Z2Xrj/pCxw3glbCQtT1oHQ7f4eJQVsC6DFwAiDC&#10;sbH6JouD76dmDSJKVuVoOcj8IIRQU8yYtRP74xw9lqftBDDhngnlkBbLffLMtSWUw70bIEHMC7iE&#10;EaJ/AaYwXVbxVoWu7vewl7QRbUVf0QZh1/Z2d+bBiT/8ESUH4ITia3/4wx/k008/lRMnTuiKDUfH&#10;JBmssC/4lVoFzRwQbAeVONGeEKIxw9HibNCcwEyhHUDbw46wsBuAFxwUoAMGBMC4a/duzdCgtgVO&#10;nJRgKH9EkpSjB5AoODG9ietDCq8hbMbRERYAcG4rZiQIKwGGKGrGatxW82HPU9nG9+BgcdC0w+Ej&#10;Qf0SwBQsEs8FOMs9FjA83B8bF8YyMLH2ZVwAMAKm6JwCTEAYzBlsEUwbYBJQG6kp4ZzaAM6i2Tw4&#10;8Yc/ouQAnFB8TcvWv/++5ObmqlMj1ICzQGSJgNKDk8o1nAuOhjAFq2H0KVD2MC3oVNhlF+esG7Y5&#10;p0W1XoCKpo6iRXDABWdGOfrIcBH/RgSLk8PRa9ptSorWqsHZAVDQFAFQEFdybbQusGMWNqoqx2fO&#10;GeeqIamL1GMJgAmsjoEx7gmmiIwcCz3VBmdsoER3UnbPjfaHPoEdSd67VyveohGif+l/gCvjgj4J&#10;u563yjcPTvzhjyg5ACfffvuthnTefvttt3LPKVlxszLHaeE8PY1cuWZO2hwWxm7AF11bB8zKBXVg&#10;ZNegtTiSe6wkPASjRXXUTZu3KEOyctUqNcAJ4TgTMhMOwcFzDYAP1yQ8AhgB3MTt2KH9DEtBunhV&#10;i2TtmXG2ON087iUrW1ODAVHcE0wOYOXkqXzdKRfARBvVBnDCc9O3AH76BjAGwET0C1PC+8aGffwd&#10;tpK+YFz4d6/6zIMTf/gjSg7AyTcOnHzxxRdytbBQMrOyiot2xbl/HyqpJeEnyMo3HO7tzMALTo0+&#10;ACgSAsCREeaJBCUIawnHAVrQsRCOA2xY35khuoSdARQQ7qGvYVEIK5AFAoCpCvbEngcWpCTtOTNb&#10;maAgiylJtTdav8Q58CDVOQAlZmHXjWazZ6Y9eW6eC0BmwAQBM0YbAEzQndA2AJJYf/ZYNQ9O/OGP&#10;KDkAJ3/+85/lk08+kfPnz0uqW3Hj6Jg0Sedk9VZbVq6xaOaccHCADTQpODaAiIGSLdu2aTiEMNyh&#10;nMPKtAQ6jSvad5HXwvERpsMRwlQAcjAtbuYAChqHQN9ReQCF63AffLfpS2BI0MFYyXWAShDGKd1g&#10;srK+vybM+sxACcJjQjUawnHPHaQHB5VdYa0QNwfCZL/3TU2aByf+8EeUHIATUojRm5w4eVILsOHw&#10;cFZoH3AoTJR+sqxZw1mTZkrhreQ9exScIIAFmLDyZjVOfQxCcLAOOMYwB28reUAAq3V0KVyLCRkm&#10;hdBRwFxUTml7vp/rMI7QWlCCPXlPsKU/38f3w+LwbMG9xzYwsXeFZ4C1ggkhlAYYgyHieU2gbBV7&#10;rb3pFw9MatY8OPGHP6LkAJz8/g9/0Mqwh49QXyFZNSesxFmBX3OTbNhL7K16DcfF6htBK1k7QUbV&#10;ZhVRkmpKajFMSXkABc4PbQvZQVwPYSxCWjQsFD6DVbG03bDzy2t8D/eD40XzwnURujK2dscnFmtM&#10;gr1+ACY49Fh3zrQZoATAQRYWLBEg0IrwkS21d99+BWSwJRbG8YAkOsyDE3/4I0oOwMlvf/tbuXLl&#10;iu6pk5gUpDMymTJ5lsfZeat6w4GhNyEMQv0SjBV4ekaQaVORUAyf4XroidiXhboiANJATBuvoQYA&#10;A6Ai7PzymAETAAdAh3AUTplwBuJXQBEaF8JPABO791h30gATnokUaKr+xic6IJaQoM+NFgggSZaO&#10;FVOjH2IdkNUm8+DEH/6IkgNwQhrx2XPnNKRDmikr8wOpaZrK6MFJzZo5eRwZq22EyoAIap+gWYD9&#10;4G8Vcex8DtAA+AA4EBLavnOnMidUB4bZwIkCGu7Ecdr1jUGggBhiV0tt5t/omXDiXD+WnTP3bm1J&#10;exGeAnQBTCgiR7sCTmCk0JYQeoPhAozZc5d9dvsd1+VzXBsQw/9jtZ2q26z9bmdh486DE3/4I0oO&#10;wMmXv/ylHD9xQna6lThCWFbn1NhgRc4LHPnyeqteo/2V5XBOHodH/RnACSty0ooJHVSU4WBCNqeK&#10;oyR8R+VYQCmpxQAgqs6iSzGnGHadMLNrcx7iV0AINUzQWBDWIIyDlok0acBL2DVixXhWC+MgVj6c&#10;e0wL6MFE8aw8M+0KqNSdg91nyJaKBCZh17W+oV8RL/Meso8OOw7f6hxvpUYb0X70C4AxzGjbsH7w&#10;4MQf/qjhA1CCsafO//z8586JHC4uvrZVJ1b2X7GVbeSL7616jUmWyZQVOVkt9BEMBw4Q1oTU37vZ&#10;WoAJGhDCap/6KYCT9Q78oAdBrMl3AzTCzo00JnhzClwTTQu1WdgjBsaEMcU9k+KMMJbPxeLYsue0&#10;Z8XJkWVDyA0wQio31Xcxsp8AJbQvjtIcIRZ2bTOuS5sDZACfXDvXtRt1X8o607pi1m63NNcutA1m&#10;/RIAu3P/ZoTU0PpEAhT7Hg9O/OGPGj4AJeyp89e//lU+++wzycrOVseHcyJcgEYAyj/yxfVW/cbk&#10;qU7KAQUqh27YWFy996BV772kk3HYueUx+hcAwqRNKGdXfIKOASqWAi6YyMn+CTs30nAQXIvPcg7A&#10;iQwVwjgYTAyZOnxPecBOtBrPSJ8ANng/YJ3IoCKNW/U0zgB26EtMU0PYrSJ9FAlOuAbsC4wTISG+&#10;m7YOO6+2mgGQyLYPtoMoUAaOdkEsfizvuIJf2owQGqnbmdmBsSM3mWiYFvkrzmyjnSP7xoMTf/ij&#10;hg/ACcDkT3/+s3zwk5+4yS9NNjhwghiWiRbnwsrDg5OaMyZkJk/TbbAyh9UgfZiQDo6eCfZu+ohz&#10;baWJABpthO7h48AJlWSZ9PmOsHMjza7DveIYAFIGTBhP1DC5ULxajeUxxb0DNmBDAG+wQbAl6HQA&#10;JWTmaAG802dLVue0S0WeORKc0M9kU6Fb4Z3k91yrLgEUAya0SwAKLygwp50Bhrr1wb5g6wNE4hQV&#10;JDxNujq/S0hM1neHRRfGGAegGKMF4LHv8uDEH/6o4eNf//qXlq3/zW9/K2+/845zIKkKTphomRB5&#10;+XFKRTc8OKkpY1LGucFEoGdgVa7Ve+PiVMTKyt3CBWHnV9SY9HGuhGCYxDXN161GcZJhn+f+zHFw&#10;n1bTAzE1DEwgfk0tFr9eiEmnas8YALhgxU7aNqtzS4ve5hxhYtIe3b8oSMMOquxyzp08r4ET3j80&#10;LISIENZm5+RoGytAcZ8JO7c2mI2poM2viW3pwHsAgCbExfhnrJL1xVgtASaurVQ35X6SecYYhNEi&#10;+5CwJQZYBlja++PBiT/8EUUH4OSrr76SX3z5pRReuyYp+/crOEEfAPVp6amx5kxqk9H2TJ7oTegT&#10;QEPVgpMCTU1mQof5YPInbHE7cMJ34yxxHIQCycTBWeCsCeWw2g/EnIUxOZbsGXkXcIywQuwKzX44&#10;ZOPg7BAqA8DQh+BE+SznYHfyzJxnjpnr0u8wJ+mZmXL8xEnVnkQ61NpkkWMKcAYDpWAkKwidkY7O&#10;+IIJQYMFa5KWnqFjlUUVn4NN0fCNAyBH3fgDYLNtACncGFqqSNaE77Pv9+DEH/6o4QNw8sc//Ul+&#10;+sUXbmVySdOItfiamwiPHEVoWaCTYyw6lNpitD0TKCt1wMhutzosBScIlkuFlmHnV8T4rrPuekzy&#10;gBOcLlkmMGhh4MScCJM7TgQQooJQt3plFavi19yjei6fi8VxxD0bi4F2hD4AlLBhItqf7e4n7YV+&#10;wRgNzom0sOt+n9m5fDfOlE0c0QDxE8fLeLji3s2wc2PZeGYbU4xrBbwODBKGocQBhQfXb9ioon1S&#10;6W1PIsI7BjgYi2wBQNtxrduZtTNm9+DBiT/8UcPHP/7xD/nd734nH330kZw+c0aSkpIcONmsDoYV&#10;oK0qIl9cb9VrtD0AEW0JGRuABsAJkzThEkIorNTvZhVNeIC+Rl9Eii+gBPaM6yvr4SZ87sE+b/fE&#10;6p06OIQxENKyqmWFj7GaJewB+4ajiKUxxL3iuAAaMCC0Pc6PVfm+/ftLGBNW78YsmbaE88KueafG&#10;9RB84qBL9uRx38//KaDHPeKEY/kd5RkNANKOjBnGFAJWBNUAE2VKnPGT8AyhHMJdvBOAN/rIGKuy&#10;TEhFzYMTf/ijhg/Aya9+9St55913JS8vT+LdygRwgnPCIdnKI+wF9lY9htNh0obFUkGsWz0jiKXO&#10;CfoTQEEAACqe/cK1sUI3mQfXLy0tD/tBqMJqkRhIxRgTCFuPuftBMIvDQHi4s1gUGqTP5jlnETBv&#10;seQ87fl4Xg0pOKeHkwQUosXSSq8OHCgocc/Pyp7P8fmqeE6ux/VhZpQ5K86kInQWbFdQuRs0Vpdx&#10;v2a0G+MEhs12bIZ1Y0whbOWZFQimZ5QwJIR6AGecQxtwPu+AAZO7aQ8PTvzhjxo+/v73v8vPf/5z&#10;LVufnZ2tkwEpqqxKbqUx8Fb9xoRLf+CgAI6AEyZPAAR9xcqRyTns3FsZk3ekE+YaTP6szOOdA4YZ&#10;yM45ot/LZ5j4+Q4+ywoVxwyQgSXBWbJRJIXbAE+INgE1nBf23dFs3DNgjGfECcJQoGugrcliY98p&#10;QBtAztrmbhzh9xnXpu35LgAfIImQBv3EvaFFMn1LVd5HZZs9F0AAxi5g4AC72QpMALlk2wRtjtA4&#10;Q5/fQs1VObY8OPGHP2r4+Nvf/qbvV/7p024ldkBXvkwIZBxQJCvsxfVW/cbKEocJmwUYgTXR3Yip&#10;ReKcFKEY/h527q0M53D1WuD0Tp46LRlZWQpKWKXCfCAmBAzZipTPAThwyggOcSBkj6BRWrtunU7m&#10;gFv0EDA5gJhr12MvmyRgKU6r46etAWkwVKSpquj1SKnolXapalaIaxuzAItjeiAcNqAJVodxgbMG&#10;oIRdIxqNe7WxpyEr19boRxjPsCSEcqhQDTPImAO80OaMc9qjKp/VgxN/+KOGD2qcfPzxx3IkFy1D&#10;kq4O0RrgfJikw15cb9VvxnAwmTNhb9qyRcEJgkwAAYWm+JtN2t/nLM3hseIGgABEcL7sqUPoAgcI&#10;a8AqldL26AAoAIdjxolYaIFdjFesXFlyLziVEydPlaxsq9JpV4Zxf5i1L/cNE4FD3JuSommohBUA&#10;AwiDYZcIVQFKrJ2r+hkj75E+hl1Aa0Fb0w8AFMum4r6q+n7uxCKfgXEHKGbskflEW1sIh/FH2Iz/&#10;E9phDDL2LKzI+dXR7h6c+MMfNXwATt7/4AM32WXI9h07HTjZqTQ9zg6nFPbieqt+YyJmUmeSZqUM&#10;gISxQBgLSGCVSaE0BKo42NtN4PwOJwYzBgOAEwiKVyUoMElITFQxK6GZQw60MBZwhnwHLAJjBF0S&#10;bAnABKMgHCv5LHdvAJqqXtlWlgWOslRbAgMFCCF0FlR5DfbFMUfJyp06JzXxbPQbfUv9FEASIJV3&#10;lXbn32TXoX8xUBjW9zVl3Av3xfhlfJD9xdgiVIO4FbYEsSv/ZqwF1VtPKzCpDnaqrHlw4g9/1NDx&#10;f9j//Z/85S9/kXfeeSdIId68WdMjk/fskcO5uRUOE3irWrMJnlUyK0vCb4ATtB6soDXl1zkt4vc2&#10;oUeCFDN+BzBh8mfVCuAAXJASy79hDDAcM6tYYv5btm7VUBIT9qrVa2TlqlWyfMUKNUAKDpLMHJwj&#10;ztu+K+w5atoi2yIAaQCTs5KVnaPPQVuyiiednnoveQ70BQxSaRZITT0b333V3TNOm/amDg3aDNLL&#10;qf2BWJT7jOz7sOtUtUW2Mca9GDAhREO4DJYWo60BJwBAQBehQ1igy+7zCLVr4jk8OPGHP2rosM3+&#10;vvn2W7l+44aGdHB0aAhIlWQFWZ69VLxVr+F0NHuEMIxbaUYKUVWoeTBNcg4f0fRiWBHi9Ez2aBIo&#10;gkbIAiodx0boBiAKMAFgECraFc/mfIlaup6xAM0OQxMAk3Wyas0aZUqWLV+uBjhh3LDixengfHBC&#10;OJSadI63M+4LkGEsBIwTbBQMCcAEZ4+zRF8CEAS8AGI4L+x6NWGERQCXAFLGAQ4eNo2Cdxp6cv1g&#10;DI8BhLDrVIUZGGGs0m4ADcYe7ZxzhIq6GZrtBANnbQ0IhJmirY35C7t2dZkHJ/7wRw0d/+vACRv+&#10;UR2WyrCkEOPkcEpUviSdj0ki7MX1VnPGpE0Zb13pO4fK5E69E/Qe/FTNiFuN4mRhAWDEqFWCo8X4&#10;P+cgfEZLAVu2Zm0QnkE3AtCgQjDG3wA9Fu7j85u3blWQYqzJqtWr9bvRZAQr31PVJhS9U+O+cIKA&#10;NjQ0iH9hSXgGCytQjRQgFxlWiCZwwv1QQh/wGbBfe7Sf6FtYNSrKRobXqhuclIRwHChmoYPAnlAZ&#10;90coinYOQoeHFQCedoDbNDPRMG48OPGHP2rggDWhMiyZOn/4wx/ci3hZndW69Rt04sh0qzFWZRTO&#10;CntxvdWcRU78MCOslAGUhF2omsmEitGXwe7SWzX8Q/8CWvg/IBSAsQZbu7bE+B1/gyVBUwIwAeTg&#10;SEyTElRF3ahgBmDCdwBaEpKSlKrHUcLawNQoNe8Abk04yLLG93MftpJnfANMuGcYB9qIFTw1WwDm&#10;1HDh8+YozcKuXRNm44AQDowDxdksHEU/ow9COFs2u6UqnsHahu9QRsp9H6HFoOR8noJigB/3xp43&#10;jCNS0GHaCAOWvb+quMeKmgcn/vBHDRyAE1iTb775Rr788ks5d/686g1wbjgiKH9oWGLbYS+ut5o1&#10;dbTOCeBAofBhLCjIhQPA0eKccLaABoy+ZVWN8X9AB8a/+RzgRle07nzodsYAbAtiRdKCGQ9URgW4&#10;UgMHAAPLsmnzFg0BsSJG+wCAYdUepIBm6nmn8s/oCh+nVVNOxxwnAm/YEHQZaRkZwo7LlrrKPQOs&#10;CHkZ8xN2rWgyA1ywO7APhHj2pRzQvmQs0Ic8UxAuKQWKYde6G7P7AChR3p/wDanBjB/uQcHt3mBs&#10;AAZZ/FAjh6wn08eEXbcmzYMTf/ijBg7ACcXX/vjHP8rnn38u+fn5zklt19UykwdKeiY8HGDYi+ut&#10;Zg1naw4BhwMTEDjdPAdUcjRzg1AFehIErTsd+DDhIY4LZwyYYJNH0oJxarAIuceOa1iGa+GgCX2Y&#10;sQLmXNgVM64H08DGaro6Tg72m4FNAcTwPQAnWAoTyYY9T1UbbQU4wnHirHGUQcZRsMFlWrHoFbaH&#10;9uSznBN2rWiysuOAMA5ZLoABngsAynMSUqFPGSc8W9i17tQM+Nn3s8svbB5AlhAj94AWCqaEPZYI&#10;R3IfOH/O4/6jsa09OPGHP2rgAJx899138stf/lLef/99OXr0qNL9OBREksTiWdHEwgTtLdAfBKvW&#10;CwoEWEXDDhDPh/EArAAeECICRKj6iiYBR3LUARLqlyCyxbkASqHZzUET2sOZAF5IM169Zq2CWMAO&#10;QJYVsKbgHsvT7yLDB4CCUBdGBkfJShlGAqYHRqKqQUpZp80zUcuFZ2bTPEJQgDbCIAcOHtTwAp/h&#10;szUFoCrD6CucP4JoGAuej37aszdF+50+ItQC2OSzd/J+W9syPhhzjBnaljYM9sFB15SizE2ge0oO&#10;NDzuu9GVRIZwwq4fLebBiT/8UQMH4OTbb7+Vn/70p3L16lXJyspSMSUABUditHa0TyDeArPVKxM/&#10;DqPAgQli/mSiAFgAmzgGjP/zeyh1HDLAA2fFuThnEySaczdWBuDBDrBoU3B4rI5hargO53ItHCNO&#10;KGBR0BgE4SXAwMH0dAVCjK3qACcGTPg+GCHulzoa3BehK+4Rxgcwx73bc8cyOLExQKYOYIE+Aygg&#10;9g1Ayj73u2zVBNEufD7sOrcz2gdgwvfQdlZFF1ZNmTn3XXwP7Y1g+6gbD4wf2phzDPRGezt7cOIP&#10;f9TAATj5+uuv5aOPP5azZ8/KAbeaVPHktjhdbeOsYn2irotGf5Va6ZbwtzI+c/M5gdn1cCSAGVgY&#10;qpCynwvhHHQagBALg3AO1+Pz6EvQwbA/CunpCCDRvMQnJiqDg0OrSgdl94Fz4f5gkWAD4xOSNNRB&#10;BhPZaNw/45zP1qaxznPwPIBKtCaE1QBjLDxgsigTwDuOEPX7wAnXsr7lswC4EiDqAAfAxNKvjXlF&#10;7EqokPASjBpgObK/Y6WdPTjxhz9q4ACc/PnPf5b33ntPjuXluZXOXgUn29wqlzoETEBV5Ty8xY7h&#10;jMgIwrnDfuB8GCeslGFJcDyRDo4xE4RRLmoYB5pfhbrJVJXdpaAGp4U4syqYOcarsSWEqhDz4jxZ&#10;yZeIXrNLs4nsHmrbOOd5CNsAIjScdSRXSNuFLUrPzHSgIlef//vACW2D0U6E5OhzGBkAz4HUNG1b&#10;mBkM8ApbQtVXTQ3W0HAA/iq7n6vDPDjxhz9q4ACc/OlPf5Lr1687B3JIVzs4HbI50CHYatiDk7pt&#10;iFgJiQAqGBuAk61xcapfgHUo69htzPD7AKRc0tU7TotCb4R4ADqsqI2di/y+uzW+O/jOU+4es1RX&#10;AtsDY4IGA81JUME2yFqx+8XCrherZs9kwIK21mJzri8IZdGnVgMl7HwzzgdcAEJhvNCykHEDE0YY&#10;mLAdwA+WzAq/8V18J9e28RGL7evBiT/8UQMH4IRMncLCQklLoz5CvE7igBRWRkwuYS+st7plMGis&#10;smE9ELhijBWcFH8LO8cM56QshnNYuheQOw+Awyob9sJ2Ow47t7xmjg8His4G4IEOxvZrge1BCxGE&#10;GXJV+4CjxWmGXa82mgEM7YsLF5X9wAxc2ucMzGhbAmbOXXDtdUZZEFLCYUsQu8KWECbSVGXXruy7&#10;ROow1+Y7OD8WwUhZ8+DEH/6ogYOy9b///e/l4qVLbiWUoisgVkOsglh1MsGEvbDe6pbhpGBJqGdC&#10;4TXABWMEYev3AVgcHQAFEIODY8WNNgFwQ5opAIfrG8AIu8btzK7PWA30FbAl2QpKSJ2GLcGRoq/A&#10;ecIU4HBIj68NzrO8ZqADI9Rz6cpV7RMDEfZ32tJYFoDjoZwjGgoiHAYDpXsuubYFoPA3CrzxOWNL&#10;ACZcp7a0rQcn/vBHDRyAk9/97ndy7tw5FS1SC4HJnBXmyVOBYDHshfVWtwynQxooRdeoOAuDwhhh&#10;c8HysmuMJbKE0H8AbKinQ0iAiqYWWsCphZ0bZuZQuS4OEWDCmGVljyNlHPMdbIRHTRO+m+fge8Ku&#10;VxetFJQE4A6wgg4I5qlkn6EDqQoitZhf3HZloAiNIYIlLBcJcMK+I9bNgxN/+KMGDsDJb37zGzl1&#10;6pQyJkxA0LTEjqF8C4s8OPFWOeAEUEAGD3oHrsU1uB5AhcJnfEdFwDBAhs8TniFMg44ETYuGcZwz&#10;pVotWUGIQC2Mw71WBADVdgNQ0C+AOwAi/QDogCmhJooW6XP9Q2YPwldSkmlndCUIXa3PuIYHJx6c&#10;+MMflXIATChdTwG2o8eO6SqWdE8md+LyCOf8KtMbVhacENYhVEK2S3nBCaDAGA70IFZllnoY6Fls&#10;FR52rlmwyo/IHCnWlxBewJnu2h0UVAOcALAJN3DvfC9jmfNqqxMtj/Hs1oa0B21I+wBMCNHRxwAS&#10;Filoz2BS+T+ghPANmT20Oe0JKLH2NAv7zlg3D0784Y9qPihbTwE23qmcnBzZuHGj0rasiBHD3mlx&#10;Jm+1zxScOAe1YdNmBScIYmHYLKMr7JyyhvPCoeEQCb8E9VK26D4+XJtVO44v7FwzrmEOlZV7sDdO&#10;pgIl7kfFmQdSVXNibIwHJYHRBtb+tDN7ZpFmTSl5Ci7ClqAHAowA7ugX22eIDRABMAZK6lJbenDi&#10;D39U8/GXv/xF9SaUrc/IzFShI+XGEbqxIiYVkwkt7IX1VreMOhVoOYKdjDfI+g0bFMjiuL6P7TDD&#10;oTGeMFbgOEScINVaqbsB0AAQh51rRrG4YNO+Mypw5Vz2bSFEpCt8B1Qoo48jJYwTuboPu15dMtrB&#10;mCtq1sA2EaqBwaIvaUNKzFOPhn5lgUI70ydBSKxusk8enPjDH9V4kEL81VdfyS9+8QspKiqS1NRU&#10;dThMUDgN6PC6lmrp7dZGZgdaBMYHIJbS9fykFD0g1kBA2LlhxjlcjxDi3pQU3eeG/wMqIj+HE8Rw&#10;imy/j2YF1gVgwqp+5+54zSAilIO+hNDDeedM6zoYoS8sbBOIXK8oyNCUYNdGgA+EyFTJJUQXpIYn&#10;KANF8TR2kOacivZrbTQPTvzhj2o8rPgae+pcvnJF9u/fr+CEDAerGsmk5sGJNywowpandS3QJaEV&#10;QX9CGICiXObIws4NMyrHBsxH8a7IxdkfZcGJOVnAEQ5TV/vFaa2EcBBr8n9+T4jCamzUdXAStFmh&#10;tgftQjVedo0m5AUgoc35N6Ec2KaMrENaw4QMHcI9sCsAG65T19vSgxN/+KMaD8DJH/7wB/nkk0/k&#10;/PnzbgW7T8EJFC9VI030VtcnJm+BMRZwcmTDUJ+EsbJ67VotbsY2B7Z3CmCCMVN23NjvcHaAGPQi&#10;6EKomYGjBGDgHAEnfI7r8Dm+l+vyeQUzDpRQiweAxOZynBeUoD9fEsapKw7V2tTalcw6nh9QQegL&#10;oTBZNRS6S9kf7MAM8wVLwnsOMAEQEuIBxAAwOdfa8FZ9WdfMgxN/+KMaD8DJb3/7W9WbnDx1SmPN&#10;OBxWVRSxYtXFJFXXJyZvgTEWyN6CPWHFjfZk9Zo1sm37dg3NABwAEGHjhn8b2AD0kqIOEEk5cECL&#10;esGaZMN8OCfJ3/kcjhL2jrRjwA+iV1gSAAm1S7ZuixM2r0O8zT2V3e22LoxbY5UAFFTFpX9gl7SS&#10;65FcZUPQ8tBf+1IOKMulYTRntCcaH9rN2ryugLqKmgcn/vBHNR6AE1KIi65fdxPZEZ3o1zlwAs3O&#10;KpiJz1ZOYS+st7pljAVYDNOKwF4ATgjtkHHDnjsmaC0bDjQnyu8JAcGYwJZQxp6VPCXm0ZEASPgM&#10;38MYBMAAPoKdbrep8JX9fBBtcx6/p5YJjpbPapXSOhTWoV0BJoALtCSWucTmnbzP210bUbuI4oqA&#10;FPoN4AIggaGi2BrhOoCJf9dvbR6c+MMf1XgATn7+858LZevJ1MHZIHBkdcWKlYnKT1bezBgLAAwc&#10;GQAD1gOgsL5YHEu2BwwILAdsB2MIoACY4adWHD15qnjb/r1aVh6AARNCeAGRJuAC9gQHmulW/Xv3&#10;7de/w+itckCI8cl38jvCEmhOCPOQscPeLoAe6qfwXQCU2sQEGMCzMBftynOy43Oue2YquQLyELQm&#10;JCYWl+0P2gmxMYXoaF+0PqYlMUDi3/Wb2T3aGEACWFYBthvvy5Ytlye69ygFJ/Uf8ODEH/6oigNw&#10;ghj29JkzbkLDCezSiR9NAc4k7AX2VrfNJnAc49FjeQoqlHFbv16BAzoQZTMcqEhLz9SN4KgmSsiH&#10;lTtsSbxznNt37lT2Y5f7LLU0AnHmQQ09ADYoN28ZJKptccBk1erVsnHzZtnhxinaCQtPcD0KhXFN&#10;wA7Ah+8jxGEalLBniTXjOSzUhY4k58gRzZQi1EUb0G4sLGCayFqiAB1MCSEvAB/nBUxJ7QJtlWUG&#10;/GChtP6LazNSqWHkaOd58+ZL18e6lICTB+6vJz/4wQ88OPGHPyr7AJx8+tlnWhmWWhOAE1ak6RlZ&#10;6nzCXmBv3jALJbBqN/0J2Tur16xVFoUwz46drNqTSrJqtm3fIRs2bVKmBduybZuCEzROAJq47Ts1&#10;JXjN2nWyYuVKWblqlQISgAnXBKRQtRQwQyl1WALq8RCyABRtdNde4+6BqqY4aUTdiGS517BniDYz&#10;9sIAIM4SQML9m9MkHMNzoSWhDQiLAeBoVwAaYI2MHD4TaEmCFG9jSSKZkrB7qK0W1raR4mHa14Af&#10;Y/pw7jFl7gDftCmgd/r06fJox06l4OS+++UH//EfHpz4wx+VfVC6/sOPPnKr20MalwacAFKof8BE&#10;GPaSe/OGMcEzoQNiCSkwiSsAiQs28gNkAFAALQhXAQzomQjNGOCAbdnkPsM5/B1wAcABlCxfsUIL&#10;vcHkAVzQQRG2oYqssQGwB4R/+D9ABSeCsyYVnnRnPs/Kl6yVsGeINsNx4jRxljA+OEp0JNRtIbWf&#10;cBhsFMwm7AghNCrsorkBqJAOTLrwiZOnilmSoGR/XQMiYWaAhLalXdDbIMo+fvKkhgFh2hhbjGPa&#10;FMAcn5CgoARADCs4afJk6dy+Qwk4qe/BiT/8UTUH4OT9Dz5wL+RBdSi8iFDETHC8wGEvuTdvmK1A&#10;WXleLF5xWhYP4IDVPOADxgMwAuCADQF0RBq/X1kMVix0w+/5LFlA6FoAH8T80UoQlsBxm2iWomz8&#10;/4IDSax4AdY4bcIcZPTAInBe2DNEm9Gm5jzRktCeOMw9+/ZpyEqFwM5Rwm6isbENDdHxwBABFGkL&#10;2iWSLfHgJAjZ6Fh17YPQGlDLWEGLw4KMtgWAwM4xbgHJjF1j7RiPL774onRo264EnNS77z4PTvzh&#10;j8o8ACX/+te/dF+dd955R/alpOhLCThBTMekyEsc9pJ78xZpttq/6pwqGg/NFilmMUgRRh+CdoTJ&#10;H8BiBpuiznbHDjWycGBRYEsUyDhDyAkwsc0AzdGGGX/DqRPKYBUMiwPgxvmwQsYxRYOj5vstlMA7&#10;xj0DngAX+afPKNAgJAPoAJhoBdc9QeYNoI/nImTF30rTgEur81p7hH13bTae2QAI4EwB68XLqp1D&#10;P4IQGKYN/QiiaVg12DXGJ2Nxw8ZNCkr4ia4pGKPblNVjXiRsOHXKVOncoaNnTvzhj6o6ACcAk2++&#10;+UauFRVJsntJeTFLsibcqgKletgk4M1bpOEUcIo4BgAEzgAwAYtBSAUHikMgk4QtEXCqOIes7EP6&#10;O1g6jPRXnDBsCboRGBRYPK6Do8Hp3M7p8jdjHahwCjgCnODIcUr8/vuuUR1GW9FOhBVwmBqyyQnC&#10;Utwr+hxCChj/x4mquNW1GUCNNiXlmnoygBpCVjw37V/Tz1aTRrtGhmyCtj2uYwxdEoJrLUDn5jgA&#10;B+CDsCNAhJ/8jvmPdkeYTfiM8QrQDcZvjixauEi6Pd61BJx4Qaw//FHJxz//+U/d8I/qsJcuX9bY&#10;qm5b735Cg1MFlNVH2CTgzVtFLBK4EHYg/BPU1wjqmfA3DAYAB4zYFe0JdDqO+Zz7LE7XLOw7ytq5&#10;CwWSmpamOhZCIjgXvheQw/2EnVOZxn3ac5vhOI0tIWRDRVsc30HnBNGMWB0XNDoYbBNgjSwRxJkB&#10;QxKUkw/7ztpskf1/c7sGDJS1K2OlBJS4tmWhBTsS59oyGFNBeGbFShNar9VFGQwJ4w4dD3sKsZM1&#10;ABugzRgF1HJ9X+fEH/6o4uMf//iHfP311/LrX/9aLly44CbGeH1JmQypKsmqrC5Ogt4q38yhMJ6Y&#10;6Jnk+Qn45XfmbHDYhDIAE4hpEc7itHE2fJbPcK2w7yhr6E9gZggLIRTFUVF3BedeHeAEZwYQ45k0&#10;nOCASO7RY3ofZMIRqiF8ip4GfQwgDK2OpgC7VT7CVvQQsE6EebgO927tEPadtdlsjPD8tAPhQ23X&#10;E65dj+Upo8SiyjJrNPvL9T0hG5g4LdyHFWt2CI8BRhhfgFiExtTm4XqAQEAJ4DlyjPoibP7wRzUc&#10;hHT++Mc/ys9+9jM5c/asxrPRnKBS5wVlYmWCDZsovHmriIWveG9Oa+UnDoEQBxqRzVu3qkgWJ3P0&#10;2HEdjziJ8oITHAuOnfEMEICRwYnxHXxX2DkVNXuuohvBc5jxbHw/NTLIsOG7cZqEqMgkInyAwyQ7&#10;Dk2OVbcFmEWu2HHCADlzkJFtFnY/sWylbRmMhUjjuQ3Y0i60K0yYpfnSriyuED8Tnlm/YaPqllhs&#10;kR0GY8J40pCNW3wRsqFPuAYhwwCI3NzWzH1lx6gHJ/7wRzUcf/3rX5U1+eijj+T48eM6USIE42Vn&#10;5cCLyssZNpF481bZhgPAoTP20KTgvKHf0QfANOC0jfXAUYRdI9LYvRjdFEXfgmJkWXIkNyirzzXC&#10;zqmIcQ/mNHlXYGrOnrtQorUBGPEcgCO0DhiOMT4xScM3ZIegLQGIsWoHOFnYxtiR8jxnrJuBkUgA&#10;wjhASwM7QnuyT5AyT66NgjBYhgK6oC6T6Ue2qr7IUtg1fT0uToWssGcAGMYCbBRi49KCdFfKPR48&#10;OPGHP6rh+O6775Q1uX79uhzKyXEvOAWsNusKjgmcCbIyJnFv3spjjDXGHM4ZBgGnQjoxzgaHzkoX&#10;R8WKtjzjEicHA4jIlDFd2eCEa9hKnvACjpNdfwnLoHEIVvI79L2iyBzgBAaHz3AfaCLQdZFFRJYO&#10;2TaAnEiGpLaDk0hgQlvS9/Qx4TfAHUCCei6IgslQAojQpgpEihkS2F7mLbQ6aHRIHyesE7Bl1MPJ&#10;LQYj+RqqBvBYujXfWd7xhHlw4g9/VMPx7bffyqeffirnz5+XtLS0kpUH6nRWE7y0dWHl5i06jLFm&#10;q2cybciqQKyI80HUSngHUShCWmqqhIU6IscrjofrwF4ATgApaKnOOed0K2fE+eYwMa59cwXRQr2u&#10;MiXOkeLsELWSaaOreecUYUXQNlCtFYE5oQU23oNBYcdlgIyBELvnW1nYPcaS8Qyl7Rik+F69FohX&#10;rR0JpwDwYI1gRwCmaRkB4wQgAaRqe24M9m6ymiNkcwEUaF+ACRoS2BHt51y0IzfrdCqjrT048Yc/&#10;quH46uuv5Sc/+YmbEI67lUmKxmp5yaFNmTh4mcNeUG/eqsLMSeDEcCrpmdmlZdk3btKfOCtAAKmh&#10;7OlDUTYFK85pWCjEnBBAgtUyolhClYhPCQ/lOyfI58p+P+fhPLlO4DTZ7O2yUv+EFQA6rOZVeOkA&#10;PPeBgJXwAqCE1T3fgbBVdRDud9RuIcRA+IFS8wAZsoj4Hu6hvE4xFs3ACHMJACQI0ZzVcAqMFqnj&#10;pOYi/IVtoh0JeyFipUq1iljj4jRkA1tC2JnS/Fbnhfal/ekHFlSAGmWjXJ/TZ8aOGICtjLb24MQf&#10;/qiG489//rO8++67boI4JElulap5/m5CyHGTLxN0bZ44vUWvMe6o20GGCrQ8egFbNQNSKJalGTjO&#10;mSGIREBr2RUGUnBIAAucII6LbBgcGj+5LhVlg1V8qXEe5wB2VOfgrknYhRAMoZhgw8J9KmDlPQF0&#10;WHl+KrfC7BBKALzgIFm9oylhr6CgqOFxBV3cI88Yq++X3bsZoA4DAJiVgpKg3giAhOenbWCyAHC0&#10;DUAD8EFYBoYMgwkBAKx1P/m9ZdbweUAM4blAOHxSTrt+AoTwPbQr33mlsLQyLmZgFQt7noqYByf+&#10;8Ec1HH/6059Ub0LZemqbsDJle3Wocyb3sJfTm7fqMMYfYAMnD00fhErYmwdAsFn/HegLktTxE7YJ&#10;UkFzFRQYw8G5AAp0COgVSB3FuZH9g1gWnYgZ5xF24TowLJwL2GBFb3oHvlc3FnRAiQq2AWDaqKt6&#10;QgowKjhNQA4OmXsjLKEi8/wz6kRj/d0yhonnCEIzV1QMDFsBWIDNog3Ya4mdqAGHADvCNAAMgCXz&#10;jFYMdu3JvEO/KnO7bZvWI0EETZ8HxdBSXV+ws/Vh7SfGRGS4pjJAR3nNgxN/+KMajj86cHK1sNBN&#10;qntLhGaJpG26lagHJ95q0nCAjEGcOU4eTQdAgZ2HLVQSpIpuCKp7bt3qHFucMhqM48CC2hboVTCc&#10;oK3CExxYQbCKg7TS+fyNVXypw0SDtaV4VU9q6nrVwFC4y/YHQlOCU8WR4oABRbAuOG2YF9gdgAvO&#10;9bwDWzh1ni3smWPFYCN4PhgLhLyAkWO6KeERDdEAyBKTk7WdaV/aEvEq7QiQI7VXd6N2fcbfaTvA&#10;H21l2TQskNCMoM8B8GiYxrUfgMTYMWNHPDjxhz9q2UFl2IKLF3WSZnXHZJKyP6C9efHDXk5v3qrD&#10;jIbH+eCMcE6AZsI8MCGsvAEksBi6UVux0zPAcpO53+MYDaBYpgfnhn7eGdckhKR7rLjPWYpq4GCD&#10;/VfWrF2noIXrAu5hBjKzc/Q+ASis8tlFmZAPzA6aCws5RYYbwp6/Os3amvvhvowVUfGva3sAIkY2&#10;EWxWkE3D3j/Fhc9gRtDY7N2nDCxgjDah3SxMw0/aNGjLLQoAmW80vdedC1tF+MxErMYw/f/bO8/w&#10;Ksts77/z4dXR823mk/M6Z5ptdHQUsWDDAggqTWkK0nsTlaaIdMscUek1QCihBEJLKEkIhCYGOBYc&#10;y1GOyhFUGPUwWEZHXe/9WzvPJoQHySY7I8h/Xdfvou3sxrPW87/XWve6eU8RO0q/r/LEfaaqQuJE&#10;JvsX2N/+9jfbUFzswZpVJk17rHxIP0uciJMBbkrcpBAoiR0dibHkUe9CspFy9hwv3SQOxktA8ySZ&#10;FEoFUWNlIrNyuMESUVH2Z+gnwQ9ozEQEzctaEF4j20s8+IaXesJrkmFkB050Ewaenxsu74Xswdys&#10;rOR7IiPgPRLhxsvniG6+/+qbaxxlRQkZkUTfzeEmYEQI5TIXIV6eme+nIZPtIOvhWdfwXRJHvDQT&#10;fkUE8n0kMiM0sM6xufMSZwT55NsgRmiIpbyG0OH/NdHEmugbigRc3Pv9MZE4kcmqyL7//vskH+/f&#10;bwWFhV43J5jMDcGYZlhStSdjYBCnH9HqOLF6TjQ4RmKFmyg3tLIzMRAPEYiIRL9Jps8ZQTiAC5DM&#10;TN9hw6o9ejw3TVbwnKvC89GTQknJ+xtougyvl+it2Og3VqaM0htB9oT+E8o9QEaFbAHlJoQQAoUb&#10;umcH/HkT49Gjibd8JtgO/jmPhOmz0fdwosQ9b/S6vAdECYKJ7zOa2cJOGnbC8N4p05AB4jMlskaJ&#10;Lb0RiTNqElt8ESiMjPcG5CDS6PHh+0KEJHtFwuvxuggiSH4H4X1F7znuevixkTiRyarIECWcqcOB&#10;fwxgy1u1yoMKtXkCCcGTVROBIs45hTgZiG6uh3sfopV+QRIyLDS5IloQBjRmOuH3y1bQ17DKVofH&#10;HP6ZQhcjiVV8IsPBjZTXiG6gUXaB+SbcwMnesKUV0UN2hps3u0y4SdOPQimIbA3ZBQQRZQzKP4gi&#10;HxC2Itdyw/tgJwuvj9CihyMazJYYGJZ4H4gHXpvSUPnyUFmxwb/xOARc2XIM02vXB3Hgu5AK13km&#10;J/qOEGQ5y5Z5+WnBokUu3MggkRlBaJAZIUZQDgOyI1FTMiW2RN9I6cTbBQv9e2EkAfGEHU98X7wH&#10;3hfv8WQVH8dD4kQmqyJDnDAZln6TN954w7cRs+phiiUrTVaLBBECSJxzCnEyEGUDuE65SfsNO9z4&#10;uHlEsIuE+RqIF27wh+HPW/2Gzw287M/4zT/AdtRoZc9rRAIgek1ejxs/22S52dPAScMuWRLKSAgT&#10;BApZhiQ0go6hl2WsixYyDNzwKT+R3YmEC+JgcU5OIoODgAo+ebj0gWDZnCwN8T54P9H3wPvnc/EY&#10;BEG0c8ZFSG5CqGUvWeJbqumHoUeEfjP8nx4ebwAO780bV8N7pleEkhXvlceQPWEOCWUd3ielnsPz&#10;RSJRtclPBvZsU/j+I0FVVkxJnMhksiMMcXLo0CHbt2+fvfTSS7Y4BCrECTV4UtusqAhuBJA45xTi&#10;ZCMqA1QVP/R63GwRMIgdRAQ3fgRK1AxKA21i509iC3S0Y4V/SzSL0ijKgDn6vhgyNt0Hz0VZFrKZ&#10;nJgbbZWm1ybaLu3ZFkTLuvUOvkvJKJctvOExZC6iYXFkatgNw1h93p+f1BvEBu+J10+8l8ONq0y3&#10;Rajw3qMdNfws4onn430gSBBMDJVDKCE+jtW0GlH+uzzVkDiRyarIECcHDx70kk5JSYktCqsfxAkB&#10;iEDGKpBAI3EixPHhhouvcGMmm8FuE4RAYjvyRC+N0ATK+TCIDEoeNMrSUIsAIXNByYfsSWIrc/g5&#10;GnjLQFmIjAWCghIK4gWxQLaFvg5KKUAjrjepzqQJd0bp81KSmRaeN7Gt+ojnDq+VKM1MDY+d7qKF&#10;56DBmPe5KHvx4fJMEEOIEbIwCJKyjb1RVuR0iBkSJzJZFRnihMmwu3fvti1btoQgtMDFCUGMIUek&#10;ZEl1S5wIcXzKZwY4CZmmcsQ+PsXNPVHuSMzqQPxzg08MfFvp/052BBGDOEE0kMmgJBTNUjkWTz4F&#10;Tx1F3GMjaNwlQ0LGJDqxF0FCSZdpu5R+yjbsEgvIDBEPyn/WOOK+o58SEicyWRUZ4oQtxG+++aZt&#10;2LDBd+gQsFiJMdGRlRDB6HQINEKkGzIIiA92uFAGIYuC6Kf8kuhz2er9ID4en1JM+Puy80J8l1H4&#10;GXpCaEqlL4RsCFNV8dHErqMMz3SQ8YgGzUWZEP7spSF2JpU+PtGsOjvR00JWZOFC3xLsu5NKBQlb&#10;eguCiGLgGe+vfCOw4kECiROZrIoMcXLgwAHbtWuXFRQU2OzZs12csHJjp8Cp3rAmxI8JN3OEB42n&#10;0a4XBAEDxiLhj4ChFMLNH/h7tilTJqF/gx06ZFlofvVMy9rEKHiyLfSSLA1ip2wvCdlPsi8uOsKf&#10;2brLGH4eCz7cLDxHYtLqRn/uqKk2Ks14Y3CZxtVIlCgWHInEiUxWRYY4+eijj/xMndzcXJs1a5Yx&#10;kpuaNYEwziGFEBWDGzoZEjIlNLDiV2QuODgQAZLqzZ7nQzSQyUBIJHbhIFrW+2uwFZrtukAGhqZc&#10;dujwGB4biRCeQyKj8kicyGRVZIiT//ngA9u0aZMtys4OgXOG7yxg5UVAi3NIIUTFQHww9h1BgGBg&#10;0izNqDSXIhTISiA44n42Dp6vbLYFyHIAJSK2RpNtAc6eSfSJMA8lcf5MBM8hcVJ5JE5ksioyxMm7&#10;771n+ZR05szxjv4oeJLujXNIIUTFQAAgPhATDB9DnLAdlx4SMpNRg2ncz8bB8x0LhEscx5ooG/f8&#10;IjUkTmSyKjLECTt1VubmelMdWxjZWUBzHCu7OIcUQlQMRAACAYHCQDJ2weBnbM2l5IKPkcmI+1lx&#10;8iNxIpNVgSFMvvvuO3vzrbd8+JpPfZwyxc8aWbp8uaei4xxSCJEaiBRKLfSdzJmbOMOHHTlsK2Zq&#10;atzPiJMfiROZLM0WCZNvv/3WXn/99bCiW+jTIBEnbHkkcFKvjnNIIUTq0ADLLptF2Ut86y67a+hD&#10;0SLg1EXiRCZLs30XxAnC5OtvvrFdr71m87KyfBgTJZ2sBQu8018rOiHSB/0lZErY1otAYVsxW4A5&#10;fC/u8eLkR+JEJkuzuTD5+mv7/Isv7KWXX/ZmWMQJw5roN2FwFPMO4hxSCJE6NMXSY0KvCVkTthQz&#10;yp7ha3GPFyc/EicyWZoNcfJFECacRvxiSYkfb444YfgaY7SZm8D2wziHFEKkDrtyEPz4FuKEc2wY&#10;Fc98krjHi5MfiROZLM32zTff+Jk6H+zda5u3bPEDxzgRlQPIOMWUGSfaRSBE+mDXTpQ9Yas+PV7T&#10;MmZ4JiXu8eLkR+JEJkuz/eMf//Cx9W+//bYVFRX59kaORucEUsbW0wxLII1zSCFE6rBjhy3FTHel&#10;dMqwQ04UpikWX+PfNH/k1ELiRCZLs3311Ve2b98+P1Nn9Zo1fmgY4oThUGRNUh0OJYQ4PmRP8C3O&#10;2uHUYQ7wW7EyzxcDZCr597ifEycnEicyWZrtyy+/tPf37LHtO3aE4LjSJk2ebGPCSm5hdraPwFag&#10;FKJqwLfYDce02Kz5C21l3mov9SBa5HOnFhInMlmajWbY/373XduydavlLF1qEyZOtLHjx1v24pwQ&#10;JLd5ilmBUoj0Q0aS04BX5q6yVavX+qnFCBNKO/K5UwuJE5kszfb555/b2++8Y+s3bLCFixb5dNhx&#10;QZwsyVnmQZLat+rfQqQfBAgChZOBgd9H/iafO7WQOJHJ0myHDh2yN954w9asXWtZ8+fbxEmTbPKU&#10;KbZs+Qr1mghRhSBAIoECypacukicyGRptoMHD9qrr77qJR0GsHHgH815uXmrvKQT54hCiPRQNlOi&#10;bMmpi8SJTJZm++yzz2zHjh0+tj5jxgyfDMuBZKvW5EucCCFEBZA4kcnSbJ9++mlwrBc8Y8JOHcQJ&#10;24jX5hdKnAghRAWQOJHJ0mScRgwMYCsuLvbZJj4MKogTplbmF6yz7RInQghxXCROZLI0GKLku+++&#10;89H1H374oa1bt87P0xkzdpzNzMy0nKXLrLBogxr0hBCiAkicyGRpMMQJwoQZJ3v27LG1+fkuTthG&#10;PGdelq3IzfP5CxInQghxfCROZLI0GOKEM3XYqbN7924fW484mTBpks1fuNBWrVlrxZs2S5wIIUQF&#10;kDiRydJgiBPO1Pnkk0/szTfftNzc3OBYz9mkyVMse0mO5RcW+aFkO/5T4kQIIY6HxIlMlgaj34TJ&#10;sPSbMONk2fLlLk44gCxn2YrkgX+auyCEEMdH4kQmS4MhTijpvPfee/biiy9adna2jX72WZsybbr3&#10;m0Qno0qcCCHE8ZE4kcnSYIgT5ptQ0uFMHQawPTN6tE3LyLC81WuPOOcjzhGFEEIcRuJEJkuDffvt&#10;tz7f5JVXXrE1a9ZYZmamixPG1jN8LTrnQ+JECCGOj8SJTJYGQ5x8/PHHtnPnTsvLy7NZs2Z5z8ms&#10;IFLyC9f5ZFiEicSJEEIcH4kTmSwNhjj56KOPbNu2bbZ06VKbMXOmPT9mjM2eM9cKi9ZLlAghRApI&#10;nMhkaTDEyd69e61440ZbsGCBTc/IsPETJtq8+Qts3fpiiRMhhEgBiROZLA2GOHl/zx7LLyiwzNmz&#10;bdr0DJsydZotzF5s6zdslDgRQogUkDiRydJg//znP+3dd9+13Ly8IEym29Rp0y1j5iw/U2fDxk0S&#10;J0IIkQISJzJZGgxx8s477wQxstTP05k8darNnjvPlq/M9RknEidCCFFxJE5kskoYY+vh66+/trfe&#10;essWLlpkz48Z6+Ika/4Cy121unRsvcSJEEJUFIkTmawSxvC16MC/V3ftCoJkvosTyjr0m6xak2+b&#10;t26TOBFCiBSQOJHJKmE0wnKmzsf799uOnTttzty5NmbsWJuWMcMW5yy1tQWFtuUFiRMhhEgFiROZ&#10;rBJGr8n/HjxoH+zday9s2+Y7dRAnTIZdtmKlzzjZuk0H/gkhRCpInMhklTDECWfqsFNn0+bNPhF2&#10;zLhxNmv2HD9TZ33xJh34J4QQKSJxIpNVwmiE3b9/vzfDFhUVWcaMGTZ2/HibOy/L8guLfKcO5+rE&#10;OZ8QQoh4JE5kskoY4mTfvn32yquv+oF/zDhBnDAZtmjDRtsSHIxzdeKcTwghRDwSJzJZJYydOu+/&#10;/76VlJTYihUrbPKUKTYuiJP5CxclsyacRhznfEIIIeKROJHJKmFfffWV7d692zZu3GjZixfbxEmT&#10;fAjbosVLPGuCMFG/iRBCpIbEiUxWCfvyyy+936SgoMDmZWXZhIkTA5Ns8ZIc27qtxIWJxIkQQqSG&#10;xIlMVgn74osv7K9//avl5ub6Th3EyeQpU/1MHXbpxDmdEEKIH0biRCarhDGA7ZVXXvEzdTJmzHRh&#10;wq8rVubaiyU7Yp1OCCHEDyNxIpNVwg4FcfKfL73kZ+pEpxFnzp7jZ+poC7EQQpwYEicyWSXs0KFD&#10;VrJ9u4+tnzR5sk3PyPAD/1atWStxIoQQJ4jEiUxWCfv73/8enOgFm858k3HjvaTDgX+cqaP5JkII&#10;cWJInMhkKdr333/vpxEzuv6TTz6xjZs22eTJk23M2HE2M3O2LVm6zM/UkTgRQogTQ+JEJkvRECcI&#10;k8+/+MIP/FtXVOQlHTInc+bOsxW5eVa0oVjiRAghThCJE5ksRUOcMBn2088+s3d277Y1a9f6FmKG&#10;r81fuNBWrcm34k2bNRlWCCFOEIkTmSxFQ5wwGfbAgQP25ltvWd6qVUGYJIavRf0mjK6XOBFCiBND&#10;4kQmS9EQJwxf2/fhh7brtdds+YoVnjWZOGmyZS/JsYJ1623z1hc0GVYIIU4QiROZLEWjGZYtxHv2&#10;7LGdO3fakpwcP+yPQ/+WLl9h64s3JUfXxzmdEEKIH0biRCZL0RAnBw8etHfeecc2b9niA9jGjhtn&#10;U6ZOs5V5q2zL1m0+40TiRAghTgyJE5nsOEYZ59tvv/UdOt988403w9JvsmvXLisoLLS5c+famLFj&#10;bdr0DFu9Nl/CRAghThBiJ2ze8oKNHv2c3XF7XYkTmSzOECQMW0OQfPTRR7Z371574403rLi42BYv&#10;WWIZGRm+jXjGzFkaviaEEJWA+ElZvLBogz355FN2e606h8XJeefbv50tcSKTudH8GgmSV1991XZs&#10;327ri9bbIs7TmTbNSzrPPf+8ZcyYYXmr13hZZ1vJDs+gxIHzRWyHnS8dkx1QupKII865hRCiqomL&#10;RxAXxyCKeUfFxBAriZfbXtzuJ7lvDvFz3fpiW7Yi14YOGWa1brktKU4u/MN5dvbZZ0ucyGTY3w4c&#10;sJIXSyw7iJE5s2fb9KlTbUwQI8OHDbMB/QdY34f7OkOGDLExY8bajBmzbO68+bYoe4ktXrLUlixd&#10;bjnLVthSWL7SVuat9lkoa/MLLb9wnRWsK/IdPrAurBZoqC3etMU2bXnBU5uIHeeFF31FEQkfHD4u&#10;aAghRFVD/CEOEZOITYCwIG4xSqFow0aflB3FtrUF68Liba0tD6KDjQPEwyU5y2zBwmyPl5mZc2zm&#10;rEybPn2GTZgwyf7jL89Y506d7bprayTFyXm/+72dddZZEicyGfbfu3e7KOnZvYe1b9vW7mvewu5p&#10;1NjurHeH3V6rttW5rZZzZ916dnf4+1b3tbKuXbvZgAEDbdBjg4NoGWbDh4+0ESNG2ahRT9joZ5+3&#10;iRM5JHCmO+Os2XMsc85cZ17WAnfYFbmr3JFXl4oYFzLBuYvCigLhQiAgMMQFDSGEqGqIPwgRshyI&#10;D+IT8Spv1RqPX9mLc2xuVhAdpbGNsve48RPtqaf/YiNHjrLhI0ba4MeH2MMP9bUunbta2zbtrOV9&#10;La150+bW5O57rGH9hlbzhhvtT3+8OClOfvvrX9uZZ5whcSI7fY0mWHbl0Aj7yssv28gRI9xRrr3q&#10;arvy8ivs8ksvsz//6dIEl/wpQfg9f3/1ldWt1q232T3Bwe5tca/df39ra9euvbVv38E6duxkPXv1&#10;tn79Bthjg4JweXyoDRs2PIiXEQ411ueeG+PiZerU6b6KIBMDM2dm2ty5WWGlsSghYFbm2aogYMpD&#10;gMgvLPIsDGImSVjJrAfPzGz21Q2w2omDbnnSrOBp12OUqkqgtDxFWjcukAkhqo6onBJXNsFvIz/2&#10;LEc5P0dgbCIWhEUPsYEYwfEbiA4XHiGWIDzWrC04Is4QfxAgc0JM8qxHiE/EqylTpnn8Gv3sc/bE&#10;E08mY9vjCJGH+1rnLl2tfYiH7dq2s1YtW1nDBg3t1ptv8QxJ9SuutCsu+3OSSy68yM777e+S4uTf&#10;/9+5Eiey09sQJ19//bU3wm7ZssX69+vnAqR6tWrBia61m4JQufmmmnZLzZvt5po1/fcRt4a/q1O7&#10;tt15x51W/6761qhhI7s7CJV77mliTZo0tSb8Gv7c5O4m1qxpM2vRrLnd27yF0/Le+6xt67bWqUMn&#10;69Kpi3UNK4puXbs53QO9evSyBx7oE1YbD4f31N8GDhh4FIgeVic06TIYLsEUmzxlqk0JgoeTk2eH&#10;lUzW/IW2cNFiy1m67GiWLbeVYfVDQCI4RULHxU1ZQjDbuJlMTqLPRqUmIf61IEwQJYl+jRd84RGJ&#10;DMBvvaySX2i5eau9pBL5+eKcpS4wiAPzsuZ7doORCJMmT/G4MXbseHtmdEJkDBky1B4Z+GgyzvTr&#10;288e6vOQ9QwxqUe3Hh6fiFfELeJXm7Aouy/Esyi2NQ+xjth3d+O7kzQMsfGOendY7dtquUCJYuht&#10;t9waFni3+mLw4gsuTIqT30icyE53I2vy+eef2/79+y0/P996du9uF/z+D1bj6muC6LjDRQWO1zIo&#10;f3fAFsEBS2nWtKmvBureXjdJvbr1ktx0401hhVDNLrv4ErssyrqUy75UC6uGan++3CFTU57qgauq&#10;XRnLjdff4I7foUNH69atu3XrHgJHoFev3kHYPOjlJkpNTzz5lK9uGL1fHkbxk61BwBC8cpYu934Z&#10;mtTKQvp2TX5BWGFtcJFCgIwa344FAiZVoma7H5O4G4P46RH3f19lxFzrxyTGl4DsCGVeRAn9a97X&#10;sTIv6aP0dmQvWeoZ11mZs21iEB6Rn48dP8Gef36sPfPMs152Jjb07v2A9ezZy2NHh/YdPL5RYrkt&#10;iAfEQjLWhBhW/fJqIR6Vxqg/QyJmEb8uL5tVDlwR4ho/z4IOMXJ7ndtdmNx1510eL8k0J+Iq2eb7&#10;rU3r1j7jhHgYiRP4+Zk/lziRnb5GOQdh8vrrr1vWvHnWrk0bTy+SMWnevLl17tw5ccPv3dt69uoV&#10;nLlnkq7dunkJ57777nPHLsu9gUbBEevUqn1EtiXBTVbzxhvtxuuut+uvrXEU111zrV0bxBFlI6ge&#10;AsRhCBJXeGC4uvpVVjs8f+MgUHD2Zs2aOy1a3BveU0u7v9X9nlLtFMQLvTEEovL0CvTt298GJUtP&#10;pGYTfTNloYfm6af/YqNHP2tjx4zzRrbJIfgdC1K+szLneBMcDcNJFi9xEUQQpYm4LMtWrPQG4vwC&#10;+m4qAk3G660wwMqR0pWnrlOARmTKWttKEmKLm0PcjUz89EA0vFiyw8sfcddGHFGJlIwFW2C5BuOv&#10;zUJj3ACCfnVpmYTyCE3z0fXOERj4An6Bn8xfsMgbRmeS1Zgy9SifmjQpiA0XGWOCyBjtpeGRI59I&#10;+ih+y66XwYMft/79B9gDpeIDevToad26dvfG0/btOngJmjjVvDmLrGbWqFFjX1CR1bi+xnUh7hyO&#10;OQgU4hCCg0Ub8alsvLopLJKIZ1F84zkQGyycWMC1CK9BPGodXpN4yXvoFmInMfSBBx5wmjRp4rEt&#10;EiZ/+M1v7ayfS5zITmNj4Nq7777rW4bHPPe8NW/S1M7/3e891di+fftw4+5rAwc+YoMee8weGzzY&#10;HuPXUh4dNMgGDBxoffv1i+WBPn3cAbuHlUlZKN10CaIH4XB/q1ZH0TKIneZBZODcjRs2sgb1GwTq&#10;O/XvuivRoFu7jgsfAgplJVYld91V3+Hx/Eomh54Yyk8EjVuOQa1bbvXnqlv7dqsXVjn1ws8xEOkI&#10;wuvcFV63Pquf8PyNGzTypuBjQcDr1LFz+H4eCd/b40lojCNtPHTYcBs2fERgpEPT3DNB+CREzeyK&#10;MXuOB3OCOhkfGvQoT6WCNx9vKA43nq1ep0egxN3IxE8PhCjilHJm3LVRHm8CDSKDMijZxfmeoZhz&#10;9HVZCk3wGUFoTJs+wyZNnmrPhfgy6oknE9d9uP6HDh3mC4LBg4fYo48Osv4DBlqfPg/6DbwpZZHy&#10;ftWwcfC7hu5/9YPPEwfuuL1e0kfx27ohLhAbage/L+vjNW+8yRdcCAniAbGBUjQQO8hskOHgZ++o&#10;V8/jTBRzGjZoEGJR8OkQGxEaxKey8Yo4STyL4luP7t09e/vggw/aQw8/7P0nxMP+/ft7xuaRRx71&#10;2EkMHRxi6qOPPurPc81VVx0WJ2GBeNbPtVtHdhobg9dee+01W7RwoQ0e9Jg1CI56wR/OCzf9up4x&#10;wXmGDx9uI0eNCoHliVj4tzhGjBwZy/ARI2zI0KH2SHDKfsFpy/NwcOjevXt7ZqZz5y7WsWPHJB06&#10;dLC2bdtaq+DMBAp6WxqHwFUeLzeFYEOWhga0a6tf5enZ8lB2onTkZaUIUrfliFK43sB26WWegv0h&#10;WG3Vuq2Wr8zI4CRp3cbatGmbbByG6Pc9wgoPIYh4qQhDhw4P3+eosIJ82leTrCxpLk6FjIyZlhlE&#10;TtaCRFmLOj0r3MrCDSw3iCUmCa9JbiU/vN0yFcgMsVWTlfqpT+LzxH3OY1Pk3x9bVBEJuatWx37n&#10;qbIsCAwyFjNmZsZeG+VBOE8OIoOsIaMEnnrqLwmBEXNtAo2hZDFcePQb4GUUz1xw3Zc2irYJ/hBl&#10;MRD0+C3lEPwyzq8A/8MP3SfL+2uZv+M5jvL1wA01rnMhQo9cFC8aNWrkf6bkgvhAcEQxp1OnTta1&#10;a1frVZrpID6VjVeDgtAYOmzYUXGufDwcBTHxc1iIr3wXNa65JilOyF5rK7HstDaaYbeXlNikiRO9&#10;36RunTp28YUXWYOwoujTp09SmDzx5JP25FNPpQWei+fEoR8fMuQoEEQIF7IyrDaOyMj07WsPPvSQ&#10;vzdKMt179PBMDMGjLF26dPEg2Pr++735lh4ZsjHlIe3KqsxXSUGYHYu7wkoNsUMNmUwLdenykM71&#10;xmFWa+FXAmCDEGzLiibwJjkahwP86sGxNFDyb4km4goQVpd8BprwWgfh075tCKjtQ0BNgU4dQ+AN&#10;ArBHEKK9w/dJEzLNf5Wl78P9wspwsKfbaVrm7JAxY8elDM3O48ZN8K2Z48NN8VRm3ISJ/jn4PHyu&#10;uM8bx/NBCDz7XKKUQXmRm/1DD8Z/76nQ54EHg8/3tM4dO8deG0fTwTogKtq08+vtvhb3huswanqP&#10;557S7GejBonrm2s+gmvfs6Ph7z3bGfyMDEad2nW8UTTOx2675RbPhiaypnXdL+P8ldds2gT/aHaE&#10;v0Orli09NhAjyseN7iEGRgIkijkIkAEDBnhMQogQn8rGqyhGxsW6isBiDbFGuSgpTjTnRHa6G+fn&#10;bCwutlHBQVqFmzgpT5pVCR79gjBASETEOdaJUPY542A1Ea02fogRIxJZmB+CVYkThBBiqDwEF0QQ&#10;Kdg+ISgdC8pT9N+0DSuc1q1be+amZQhy5aH/pkXz5l5DjpqFPV1cHlLQAQ/EIdgiaKhpX3rxJT66&#10;uqL88fwLDnPBRS4sU4EtjEdw0R/tTxddXGlY2bIl/c56d4abRNPwnbWxDkEIpUqnsNIme9alS1dv&#10;XCSbd6pC3xOfw7OB4XPFfd442nfo6BkGsguUIehz4DqJ+95Tgf/r6P897to4Fn+84MLkNRd3TcbB&#10;ThSyFoh2rnv3izK+gR8AZVqyGIwmiPOvVkEUcS0hLliU9O7V62h/DQsXFjWDH3881uchLlZExMWa&#10;iCjbERe34mJdReA1JU5ksnL21Vdf+S4dthA3atDAVyaUQQiEAx95JNaZfkoQVAhW9NOwKjoWj4Tv&#10;om/ffl4TJz3dKwTF8iBgevTgRtTdV2EEUEo5CJljQcA9vPOpQSI7E8RKRSCDg5ikpn6z19Rv8Jp6&#10;Ktxw3XV+s0MYwTXVr0oLNUKgrXnTTX7DoSeocePGLlJSprTRmfIYNywarU9VaNT2BszwefhcsZ83&#10;BjJkNH2TXeCmzv8z/Qlx33uq1Lj6av//p9RBg3rcNRJLEJ631KzpvWlx12Z56tSqZfXr109kLmL8&#10;IALhTymFjCgN+Ef7WW/rHQQI2VMECH4Z56+UjRETlREN/yokTmSyGPvyyy9t5cqV1q1LFw8gvvUt&#10;3FDatWvnTVtxzvRTguAV9cH8EJ55GZrItLAiOxZR0zDfHYGz/4ABP0wIsKSNvVz1IMKnd0xAjodS&#10;TFdW4qzC6cVp08bahlVlKtzfMtG742n2ICAoL6UDhJY3L995p4uTZNPyiVDauPhTwRu34z7nMeC7&#10;o9xBVoFfKUGyEy7ue08VGk/vZUtruA4o1cRdI3G0a9vWm0B7BhERd23G0Sdc3wj8WD8oA+UT/CjO&#10;vyLwQxYVZEXj/BWfPhWECfB+JU5kslKLpsIePHjQshcu8r6MG6+/Pqx0a1ujcJNi5U+AiHMmcXLA&#10;ypAATaBmN9XAgQO9Np4KiCL6TCiZ8H9OyYHyVWVBLLESbta8uQ/lY6tm3M1RpAaZFLak0qQZ972n&#10;Cpm+hGjom+ytqAgIb7ITlDjirk1RcSROZLIyxi4dTiHet2+fzZox01diV1evbrfXqWMtWrTwEgUr&#10;lDhnEicH3Bg86xNWj4gUDmRMFd/KOCixJZxVK31G6YBGQm560XwcboKi8jCzg5KG7xSJ+d5ThdJt&#10;NCYAf4+7RmIJwoSb6qmSnTiZkTiRycoYjbCffvqpvf322zZh3Hg/2I8mRnoe2KpLUxkBKM6ZxMkB&#10;NwantEnvRCnb8Jcuou2UBF6RXvheR0LM936ixF0Xx8OFicRJpeH/VOJEJis1ek0++OAD27ljh/3H&#10;U0/bbTVvdnHCkDHS+6x8WY3HOZMQQoj0IHEik5Uxek3e/q//sqLCdTbs8SG+7fPKcP3f07ixZ02Y&#10;WojTxDmTEEKI9CBxIpOVsc8+/cxefully1m8xAb07Wc31rjOp5qypZWGN3oRSB3HOZMQQoj0IHEi&#10;k5WxAwcO2NYtW21mxgzr2a271bjqaj/siiFiCBO26FGLjnMmIYQQ6aFC4uTiiy+24uJiFyhC/JTZ&#10;XrLd5mdl2dAhQ6xF02Y+FZZzK5h1QVnn4b6Jw6riOvyFEEKkB3ZfsUW82uWX26/P+ZXzm3N/bWee&#10;eeZhcYJSueSSS6xatWpC/KS59NJL7fzzz7dzzz3XfvnLX9rZZ51tZ599tv3iF7+wc845x371q18J&#10;IYSoYs4JEIP/LcTfM/7vGc6ZZ5xhP/vZz5LipCsCRQghhBDix+f/dPv/0uSaqXA3pDYAAAAASUVO&#10;RK5CYIJQSwMEFAAGAAgAAAAhADBbDz/gAAAACAEAAA8AAABkcnMvZG93bnJldi54bWxMj09Lw0AU&#10;xO+C32F5gje7+VMTjXkppainUrAVxNtr8pqEZndDdpuk3971pMdhhpnf5KtZdWLkwbZGI4SLAATr&#10;0lStrhE+D28PTyCsI11RZzQjXNnCqri9ySmrzKQ/eNy7WvgSbTNCaJzrMylt2bAiuzA9a++dzKDI&#10;eTnUshpo8uWqk1EQJFJRq/1CQz1vGi7P+4tCeJ9oWsfh67g9nzbX78Pj7msbMuL93bx+AeF4dn9h&#10;+MX36FB4pqO56MqKDuE59UGEaJmA8HacRjGII0KyTBOQRS7/H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rr3bJfBAAA9gwAAA4AAAAAAAAAAAAAAAAAOgIA&#10;AGRycy9lMm9Eb2MueG1sUEsBAi0ACgAAAAAAAAAhAOu14F/LkAIAy5ACABQAAAAAAAAAAAAAAAAA&#10;xQYAAGRycy9tZWRpYS9pbWFnZTEucG5nUEsBAi0AFAAGAAgAAAAhADBbDz/gAAAACAEAAA8AAAAA&#10;AAAAAAAAAAAAwpcCAGRycy9kb3ducmV2LnhtbFBLAQItABQABgAIAAAAIQCqJg6+vAAAACEBAAAZ&#10;AAAAAAAAAAAAAAAAAM+YAgBkcnMvX3JlbHMvZTJvRG9jLnhtbC5yZWxzUEsFBgAAAAAGAAYAfAEA&#10;AMKZAgAAAA==&#10;">
                      <v:group id="그룹 185" o:spid="_x0000_s1275" style="position:absolute;left:67;width:22942;height:39560" coordorigin="67" coordsize="22941,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그림 186" o:spid="_x0000_s1276" type="#_x0000_t75" style="position:absolute;left:67;width:22890;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3xrwgAAANwAAAAPAAAAZHJzL2Rvd25yZXYueG1sRE/NagIx&#10;EL4XfIcwQi+iWT1YXY2iYm0p9ODPAwybcbO4mSxJ1PXtG0HobT6+35kvW1uLG/lQOVYwHGQgiAun&#10;Ky4VnI6f/QmIEJE11o5JwYMCLBedtznm2t15T7dDLEUK4ZCjAhNjk0sZCkMWw8A1xIk7O28xJuhL&#10;qT3eU7it5SjLxtJixanBYEMbQ8XlcLUK1j+934+V2408ll/NNNiTcb2tUu/ddjUDEamN/+KX+1un&#10;+ZMxPJ9JF8jFHwAAAP//AwBQSwECLQAUAAYACAAAACEA2+H2y+4AAACFAQAAEwAAAAAAAAAAAAAA&#10;AAAAAAAAW0NvbnRlbnRfVHlwZXNdLnhtbFBLAQItABQABgAIAAAAIQBa9CxbvwAAABUBAAALAAAA&#10;AAAAAAAAAAAAAB8BAABfcmVscy8ucmVsc1BLAQItABQABgAIAAAAIQBQi3xrwgAAANwAAAAPAAAA&#10;AAAAAAAAAAAAAAcCAABkcnMvZG93bnJldi54bWxQSwUGAAAAAAMAAwC3AAAA9gIAAAAA&#10;">
                          <v:imagedata r:id="rId125" o:title=""/>
                        </v:shape>
                        <v:shape id="Text Box 187" o:spid="_x0000_s1277"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JYxAAAANwAAAAPAAAAZHJzL2Rvd25yZXYueG1sRE9NawIx&#10;EL0X+h/CFHopmm0rKqtRRFpoexFXL96GzbhZu5ksSVbXf28KBW/zeJ8zX/a2EWfyoXas4HWYgSAu&#10;na65UrDffQ6mIEJE1tg4JgVXCrBcPD7MMdfuwls6F7ESKYRDjgpMjG0uZSgNWQxD1xIn7ui8xZig&#10;r6T2eEnhtpFvWTaWFmtODQZbWhsqf4vOKtiMDhvz0h0/flajd/+979bjU1Uo9fzUr2YgIvXxLv53&#10;f+k0fzqBv2fSBXJxAwAA//8DAFBLAQItABQABgAIAAAAIQDb4fbL7gAAAIUBAAATAAAAAAAAAAAA&#10;AAAAAAAAAABbQ29udGVudF9UeXBlc10ueG1sUEsBAi0AFAAGAAgAAAAhAFr0LFu/AAAAFQEAAAsA&#10;AAAAAAAAAAAAAAAAHwEAAF9yZWxzLy5yZWxzUEsBAi0AFAAGAAgAAAAhAHGMsljEAAAA3AAAAA8A&#10;AAAAAAAAAAAAAAAABwIAAGRycy9kb3ducmV2LnhtbFBLBQYAAAAAAwADALcAAAD4AgAAAAA=&#10;" stroked="f">
                          <v:textbox style="mso-fit-shape-to-text:t" inset="0,0,0,0">
                            <w:txbxContent>
                              <w:p w14:paraId="12CFC945"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I</w:t>
                                </w:r>
                              </w:p>
                            </w:txbxContent>
                          </v:textbox>
                        </v:shape>
                      </v:group>
                      <v:shape id="Text Box 190" o:spid="_x0000_s1278" type="#_x0000_t202" style="position:absolute;left:317;top:17272;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PoxgAAANwAAAAPAAAAZHJzL2Rvd25yZXYueG1sRI9BT8Mw&#10;DIXvk/gPkZG4bek4ICjLKoREBRxgdGja0WrcpqJxSpNthV8/H5C42XrP731eFZPv1ZHG2AU2sFxk&#10;oIjrYDtuDXxun+a3oGJCttgHJgM/FKFYX8xWmNtw4g86VqlVEsIxRwMupSHXOtaOPMZFGIhFa8Lo&#10;Mck6ttqOeJJw3+vrLLvRHjuWBocDPTqqv6qDN/DS7Lev36XelW+/78sDlVO1Sc6Yq8vp4R5Uoin9&#10;m/+un63g3wm+PCMT6PUZAAD//wMAUEsBAi0AFAAGAAgAAAAhANvh9svuAAAAhQEAABMAAAAAAAAA&#10;AAAAAAAAAAAAAFtDb250ZW50X1R5cGVzXS54bWxQSwECLQAUAAYACAAAACEAWvQsW78AAAAVAQAA&#10;CwAAAAAAAAAAAAAAAAAfAQAAX3JlbHMvLnJlbHNQSwECLQAUAAYACAAAACEAiADT6MYAAADcAAAA&#10;DwAAAAAAAAAAAAAAAAAHAgAAZHJzL2Rvd25yZXYueG1sUEsFBgAAAAADAAMAtwAAAPoCAAAAAA==&#10;" fillcolor="black [3213]" stroked="f" strokeweight=".5pt">
                        <v:textbox inset="0,0,0,0">
                          <w:txbxContent>
                            <w:p w14:paraId="02D949E9"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45F12380"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Wprowadzić ampułko-strzykawkę w miejsce wstrzyknięcia</w:t>
            </w:r>
          </w:p>
          <w:p w14:paraId="4EEBB36D" w14:textId="77777777" w:rsidR="00094D21" w:rsidRPr="008F328C" w:rsidRDefault="00094D21" w:rsidP="008A03B2">
            <w:pPr>
              <w:pStyle w:val="a3"/>
              <w:numPr>
                <w:ilvl w:val="0"/>
                <w:numId w:val="0"/>
              </w:numPr>
              <w:ind w:left="471"/>
              <w:rPr>
                <w:b/>
                <w:highlight w:val="lightGray"/>
                <w:lang w:val="pl-PL"/>
              </w:rPr>
            </w:pPr>
          </w:p>
          <w:p w14:paraId="434F32D7" w14:textId="77777777" w:rsidR="00094D21" w:rsidRPr="008F328C" w:rsidRDefault="00094D21" w:rsidP="008A03B2">
            <w:pPr>
              <w:pStyle w:val="a3"/>
              <w:ind w:left="42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Delikatnie złapać fałd skóry w miejscu wstrzyknięcia jedną ręką.</w:t>
            </w:r>
          </w:p>
          <w:p w14:paraId="505E3E91" w14:textId="77777777" w:rsidR="00094D21" w:rsidRPr="008F328C" w:rsidRDefault="00094D21" w:rsidP="008A03B2">
            <w:pPr>
              <w:pStyle w:val="a3"/>
              <w:rPr>
                <w:highlight w:val="lightGray"/>
                <w:lang w:val="pl-PL"/>
              </w:rPr>
            </w:pPr>
          </w:p>
          <w:p w14:paraId="4A93200F" w14:textId="77777777" w:rsidR="00094D21" w:rsidRPr="008F328C" w:rsidRDefault="00094D21" w:rsidP="008A03B2">
            <w:pPr>
              <w:pStyle w:val="a3"/>
              <w:ind w:left="4297" w:hanging="180"/>
              <w:rPr>
                <w:highlight w:val="lightGray"/>
                <w:lang w:val="pl-PL"/>
              </w:rPr>
            </w:pPr>
            <w:r w:rsidRPr="008F328C">
              <w:rPr>
                <w:rFonts w:eastAsia="Times New Roman"/>
                <w:b/>
                <w:bCs/>
                <w:highlight w:val="lightGray"/>
                <w:lang w:val="pl-PL"/>
              </w:rPr>
              <w:t>b. Trzymając</w:t>
            </w:r>
            <w:r w:rsidRPr="008F328C">
              <w:rPr>
                <w:rFonts w:eastAsia="Times New Roman"/>
                <w:highlight w:val="lightGray"/>
                <w:lang w:val="pl-PL"/>
              </w:rPr>
              <w:t xml:space="preserve"> ampułko-strzykawka za korpus, wprowadzić igłę całkowicie do fałdu skóry pod kątem 45 stopni, krótkim i szybkim ruchem. </w:t>
            </w:r>
          </w:p>
        </w:tc>
      </w:tr>
      <w:tr w:rsidR="00094D21" w:rsidRPr="00A5286D" w14:paraId="2B018A52" w14:textId="77777777" w:rsidTr="008A03B2">
        <w:trPr>
          <w:trHeight w:val="6293"/>
        </w:trPr>
        <w:tc>
          <w:tcPr>
            <w:tcW w:w="9090" w:type="dxa"/>
          </w:tcPr>
          <w:p w14:paraId="369F0F2F" w14:textId="77777777" w:rsidR="00094D21" w:rsidRPr="008F328C" w:rsidRDefault="00094D21" w:rsidP="008A03B2">
            <w:pPr>
              <w:pStyle w:val="1"/>
              <w:spacing w:before="76"/>
              <w:ind w:left="0" w:right="2736"/>
              <w:rPr>
                <w:rFonts w:eastAsiaTheme="minorEastAsia" w:cs="Times New Roman"/>
                <w:highlight w:val="lightGray"/>
                <w:lang w:val="pl-PL" w:eastAsia="ko-KR"/>
              </w:rPr>
            </w:pPr>
          </w:p>
          <w:p w14:paraId="0F1651C6" w14:textId="526A45FA" w:rsidR="00094D21" w:rsidRPr="008F328C" w:rsidRDefault="00094D21" w:rsidP="008A03B2">
            <w:pPr>
              <w:pStyle w:val="Default"/>
              <w:rPr>
                <w:rFonts w:ascii="Times New Roman" w:hAnsi="Times New Roman" w:cs="Times New Roman"/>
                <w:highlight w:val="lightGray"/>
                <w:lang w:val="pl-PL"/>
              </w:rPr>
            </w:pPr>
            <w:r w:rsidRPr="008F328C">
              <w:rPr>
                <w:rFonts w:ascii="Times New Roman" w:hAnsi="Times New Roman" w:cs="Times New Roman"/>
                <w:noProof/>
                <w:highlight w:val="lightGray"/>
                <w:lang w:eastAsia="ko-KR"/>
              </w:rPr>
              <mc:AlternateContent>
                <mc:Choice Requires="wpg">
                  <w:drawing>
                    <wp:anchor distT="0" distB="0" distL="114300" distR="114300" simplePos="0" relativeHeight="251658325" behindDoc="0" locked="0" layoutInCell="1" allowOverlap="1" wp14:anchorId="4135E64A" wp14:editId="31B1CFD6">
                      <wp:simplePos x="0" y="0"/>
                      <wp:positionH relativeFrom="column">
                        <wp:posOffset>36195</wp:posOffset>
                      </wp:positionH>
                      <wp:positionV relativeFrom="paragraph">
                        <wp:posOffset>49530</wp:posOffset>
                      </wp:positionV>
                      <wp:extent cx="2801620" cy="3556000"/>
                      <wp:effectExtent l="19050" t="19050" r="17780" b="6350"/>
                      <wp:wrapSquare wrapText="bothSides"/>
                      <wp:docPr id="191" name="그룹 191"/>
                      <wp:cNvGraphicFramePr/>
                      <a:graphic xmlns:a="http://schemas.openxmlformats.org/drawingml/2006/main">
                        <a:graphicData uri="http://schemas.microsoft.com/office/word/2010/wordprocessingGroup">
                          <wpg:wgp>
                            <wpg:cNvGrpSpPr/>
                            <wpg:grpSpPr>
                              <a:xfrm>
                                <a:off x="0" y="0"/>
                                <a:ext cx="2801620" cy="3548844"/>
                                <a:chOff x="0" y="7156"/>
                                <a:chExt cx="2801923" cy="3548844"/>
                              </a:xfrm>
                            </wpg:grpSpPr>
                            <pic:pic xmlns:pic="http://schemas.openxmlformats.org/drawingml/2006/picture">
                              <pic:nvPicPr>
                                <pic:cNvPr id="3840" name="그림 3840"/>
                                <pic:cNvPicPr>
                                  <a:picLocks noChangeAspect="1"/>
                                </pic:cNvPicPr>
                              </pic:nvPicPr>
                              <pic:blipFill>
                                <a:blip r:embed="rId126">
                                  <a:extLst>
                                    <a:ext uri="{28A0092B-C50C-407E-A947-70E740481C1C}">
                                      <a14:useLocalDpi xmlns:a14="http://schemas.microsoft.com/office/drawing/2010/main" val="0"/>
                                    </a:ext>
                                  </a:extLst>
                                </a:blip>
                                <a:srcRect/>
                                <a:stretch/>
                              </pic:blipFill>
                              <pic:spPr bwMode="auto">
                                <a:xfrm>
                                  <a:off x="0" y="7156"/>
                                  <a:ext cx="2801620" cy="3397543"/>
                                </a:xfrm>
                                <a:prstGeom prst="rect">
                                  <a:avLst/>
                                </a:prstGeom>
                                <a:noFill/>
                                <a:ln w="6350">
                                  <a:solidFill>
                                    <a:schemeClr val="tx1"/>
                                  </a:solidFill>
                                </a:ln>
                              </pic:spPr>
                            </pic:pic>
                            <wps:wsp>
                              <wps:cNvPr id="3841" name="Text Box 3841"/>
                              <wps:cNvSpPr txBox="1"/>
                              <wps:spPr>
                                <a:xfrm>
                                  <a:off x="2082165" y="3409950"/>
                                  <a:ext cx="719758" cy="146050"/>
                                </a:xfrm>
                                <a:prstGeom prst="rect">
                                  <a:avLst/>
                                </a:prstGeom>
                                <a:solidFill>
                                  <a:prstClr val="white"/>
                                </a:solidFill>
                                <a:ln>
                                  <a:noFill/>
                                </a:ln>
                              </wps:spPr>
                              <wps:txbx>
                                <w:txbxContent>
                                  <w:p w14:paraId="2D1D193F"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35E64A" id="그룹 191" o:spid="_x0000_s1279" style="position:absolute;margin-left:2.85pt;margin-top:3.9pt;width:220.6pt;height:280pt;z-index:251658325" coordorigin=",71" coordsize="28019,3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1yTLmAMAADYIAAAOAAAAZHJzL2Uyb0RvYy54bWycVdtu4zYQfS/QfyD0&#10;vpHkWxwhzsJNmmCBdNdoUuwzTVEWsRLJkrSl9IP6C+1Dv6j9iR5SkhUnAbrdB8tDcjg8c+YMefm+&#10;rSty4MYKJVdRepZEhEumciF3q+iXx9t3y4hYR2VOKyX5KnriNnp/9f13l43O+ESVqsq5IQgibdbo&#10;VVQ6p7M4tqzkNbVnSnOJxUKZmjoMzS7ODW0Qva7iSZIs4kaZXBvFuLWYvekWo6sQvyg4c5+KwnJH&#10;qlUEbC58Tfhu/Te+uqTZzlBdCtbDoN+AoqZC4tBjqBvqKNkb8SpULZhRVhXujKk6VkUhGA85IJs0&#10;eZHNnVF7HXLZZc1OH2kCtS94+uaw7OPhzugHvTFgotE7cBFGPpe2MLX/B0rSBsqejpTx1hGGycky&#10;SRcTMMuwNp3PlsvZrCOVlWB+3HeezhfDwo/PNl9Mpq82x8PZ8QkiLViGX08DrFc0/LdcsMvtDY/6&#10;IPVXxaip+bLX71AxTZ3Yikq4p6A+1MaDkoeNYBvTDcDoxhCRg47lDMRIWkP3f//x5z+//0XCFJj2&#10;u7xjt436tO4V+2KJVNcllTu+thraRUd5zuJT9zA8OXNbCX0rqspXy9t9dtD5C528QVCnwRvF9jWX&#10;rmsqwyskqqQthbYRMRmvtxwZmQ95AEQza9jPABjaxzrDHSsHoCMYD9tCWmTb/KRysED3ToU2eVNa&#10;o0TeVtf04nw+mwZCBoGAOWPdHVc18QYQAlQ4gR7urYcHLQ0unh2pPE8BdiVJs4oW03kSNlhViXwg&#10;Mdw//Loy5EBxc7i2qwPyHr0QuZJ9cXyWvYmkfSfhOrNDHTB6VYn/1bEPJdUcKH3YE32lg74ePWU/&#10;qNYrLGDtXX1nE9dipdeSn+/Qjhz2DT5JlpN0MY+Ib+VZcnEBZgJTQznOU1QAF7rv9XS2SLr1Y7eO&#10;TH9lMZ6R2e09Et6UwvG+0idenvFnVRxqMGblLddu29CB6XTig/i5rcqfQIVREAm60mp2K6CYe2rd&#10;hhrc+ZjEO+Y+4VNUCspQvRWRUpnf3pr3/igsViPS4A1ZRfbXPfW3S/VBouQI6QbDDMZ2MOS+vlYQ&#10;F2oINMHEBuOqwSyMqj/jeVv7U7BEJcNZUONgXrvuJcPzyPh6HZy6S+pePmhcbWlQttf/Y/uZGt3X&#10;xaGgH9UgKpq96JXO1/Ns9RodeytCI40sQul+AIEHKzxOsE5ev+fj4DU+91f/AgAA//8DAFBLAwQK&#10;AAAAAAAAACEAZojgOi57AQAuewEAFAAAAGRycy9tZWRpYS9pbWFnZTEucG5niVBORw0KGgoAAAAN&#10;SUhEUgAAAlAAAALOCAIAAADp7LohAAAAAXNSR0IArs4c6QAAAARnQU1BAACxjwv8YQUAAAAJcEhZ&#10;cwAAEnQAABJ0Ad5mH3gAAP+lSURBVHhe7P3XmhxJmqYJKjVu5uYUTgAHHJwHzcyi09k9M7U7s/v0&#10;0V5OH9RBX8jsFfTzzMHs7uxOT3VVd2YlCYIA54ADzrlxM2X7/iIGD0QEkMGAgEf4/4aFQkxMVFRU&#10;zfz/9FMVUXGzLOt2u8Vi0XGczc1NEuVyudVqVSoVchRFURTl54WVsHa7jbpNTEyQY2XOffLkyX/8&#10;j//xiy++WFhYQPz6/T65LO1qiqIoivKzI5/PI3IsXdd9/Pjx1atX/8N/+A/i8P7X//V/XVxcPH/+&#10;fBRFq6urpVJpZGSk0WgM11MURVGUnw+1Wm1vb6/T6UxPT4dheOfOnfn5+X//7/+9i/UDPsbYbWxs&#10;xHFcr9c9zxsMBsNVFUVRFOXnQy6XS9N0d3c3CILJyUmsHhauUqmIw7Ml2u02y3K5zBK1YwWTrSiK&#10;oig/J/Yl7GVdg6Hg8bFvsLlJktiEoiiKovzseFnOwOqfi9ErFAphGNrP4jhG/EqlEn7Q5iiKoijK&#10;zwjP8zqdDiIXBIHNiaKo1+sNHR46Z/tx8jFSR2lbSFEURVF+dlghe1nayPzyHp6iKIqi/IJRJ6co&#10;iqIcClTwFEVRlEOBCp6iKIpyKFDBUxRFUQ4FKniKoijKoUAFT1EURTkUqOApiqIohwIVPEVRFOVQ&#10;oIKnKIqiHApU8BRFUZRDgQqeoiiKcihQwVMURVEOBSp4iqIoyqFABU9RFEU5FKjgKYqiKIcCFTxF&#10;URTlUKCCpyiKohwKVPAURVGUQ4EKnqIoinIoUMFTFEVRDgUqeIqiKMqhQAVPURRFORSo4CmKoiiH&#10;AhU8RVEU5VCggqcoiqIcClTwFEVRlEOBCp6iKIpyKFDBUxRFUQ4FKniKoijKoUAFT1EURTkUqOAp&#10;iqIohwIVPEVRFOVQoIKnKIqiHApU8BRFUZRDgQqeoiiKcihQwVMURVEOBSp4iqIoyqFABU9RFEU5&#10;FKjgKYqiKIcCFTxFURTlUKCCpyiKohwKVPAURVGUQ4EKnqIoinIoUMFTFEVRDgUqeIqiKMqhQAVP&#10;URRFORSo4CmKoiiHAhU8RVEU5VCggqcoiqIcClTwFEVRlEOBCp6iKIpyKFDBUxRFUQ4FKniKoijK&#10;oUAFT1EURTkUqOApiqIohwIVPEVRFOVQoIKnKIqiHApU8BRFUZRDgQqeoiiKcihQwVMURVEOBSp4&#10;iqIoyqFABU9RFEU5FKjgKYqiKIcCFTxFURTlUKCCpyiKohwKVPAURVGUQ4EKnqIoinIoUMFTFEVR&#10;DgUqeIqiKMqhQAVPURRFORSo4CmKoiiHAhU8RVEU5VCggqcoiqIcClTwFEVRlEOBCp6iKIpyKFDB&#10;UxRFUQ4FKniKoijKoUAFT1EURTkUqOApiqIohwIVPEVRFOVQoIKnKIqiHApU8BRFUZRDgQqeoiiK&#10;cihQwVMURVEOBSp4iqIoyqFABU9RFEU5FKjgKYqiKIcCFTxFURTlUKCCpyiKohwKVPAURVGUQ4EK&#10;nqIoinIoUMFTFEVRDgUqeIqiKMqhQAVPURRFORSo4CmKoiiHAhU8RVEU5VCggqcoiqIcClTwFEVR&#10;lEOBCp6iKIpyKFDBUxRFUQ4FKniKoijKoUAFT1EURTkUqOApiqIohwIVPEVRFOVQoIKnKIqiHApU&#10;8BRFUZRDgQqeoiiKcihQwVMURVEOBSp4iqIoyqFABU9RFEU5FKjgKYqiKIcCFTxFURTlUKCCpyiK&#10;ohwKVPAURVGUQ4EKnqIoinIoUMFTFEVRDgUqeIqiKMqhQAVPURRFORSo4CmKoiiHAhU8RVEU5VCg&#10;gqcoiqIcClTwFEVRlEOBCp6iKIpyKFDBUxRFUQ4FKniKoijKoUAFT1EURTkUqOApiqIohwIVPEVR&#10;FOVQoIKnKIqiHApU8BRFUZRDgQqeoiiKcihQwVMURVEOBSp4iqIoyqFABU9RFEU5FKjgKYqiKIcC&#10;FTxFURTlUKCCpyiKohwKVPAURVGUQ4EKnqIoinIoUMFTFEVRDgUqeIqiKMqhQAVPURRFORSo4CmK&#10;oiiHAhU8RVEU5VCggqcoiqIcClTwFEVRlEOBCp6iKIpyKFDBUxRFUQ4FKniKoijKoUAFT1EURTkU&#10;qOApiqIohwI3y7JhUlEU5e2QpilL13X3l4ry06OCpyiKohwK9JKmoiiKcihQwVMURVEOBSp4iqIo&#10;yqFA7+EpivLW0U4rykFABU9RlLdOv99H58AzqOYp7wS9pKkoylsnMeDzQE+ylXeFOjxFUb43qJd1&#10;aca2fcWuEVLwcyQKhQLLdru9tLS0u7tbq9WmpqZGRkZweFEUBUFAgsJfW11R3h7q8BRF+d5YlXql&#10;VpGJ1OVyOdKDwWBjY2NtbY3l9vb2zs7O3t4ecuj7PlKH7LFUz6f8ZKjDUxTle4NKvVLzcH6ImU03&#10;m82VlZUHDx4sLi4ieJOTkzMzM5i8o0ePkqAY5q9cLtsQxJKqLHZ1RXnjqOApivK9sXHjm+IUx3EQ&#10;BCQQs+fPn9++ffvGjRvPnj17+vQpgjc9PX3s2LGrV6++//779Xodq5fP5ylMbRYq9Dy97KS8Lfx/&#10;/Md/HCYVRVG+G8aJfUXtkCuW+DZMHmq3trZ2//7969ev37p1C8F78uRJq9VqNBq9Xg9FrFarpVKJ&#10;hFVHWxvs12PTivJmUcFTFOXHYlXKWrTd3V283cOHD+8YUDt73w7zF0WRvWPHEmlE7crlsq3B6J2w&#10;X4/NV5Q3iAqeoig/in21Y4mNW1xcvGFA7R4/fry9vY3O2Z6Z9s5fp9NBAjGC+Xy+VqshhKy4Pzjv&#10;5aWivFn0crmiKD+Wfc3b2dlZXl7G3t27dw+1W1tbazabg8EAqWOJz+t2u+vr63x6//79paUlPm23&#10;2+Sjf7YqULVT3hLq8BRFeT0iZK8gHgxM7xLXSU3vSsfZXN94+ODBzes37qNmd+8+f7rYbDTcNKNQ&#10;EiXRYBD6ge95cT9y0rSYL5C/sb7RbXd6nU6tUqmP1F3XSyM+zVxqFgV9leypFCo/AhU8RVG+N6J2&#10;1oeZZb/bW1lZfvbs+SeffPL4yeMnT56sr613Ou0ojrFuSZKGuRC1o3SSxGDy0kF/0O11wzAcGx2r&#10;VMqh76NyaZalSSL1G9c43Mo+KnjKj0AFT1GU788LHcriuNvprCwv3zZdVG7cuL6yurq5sdnutLMs&#10;8z35z/Vc30fv0EgZwIfeieLFcb/f39raDHw/ny8gc+hbIZ/P5XIoneeZwXxkZfLUaWGoryatKD8I&#10;FTxFUX4oadputZ4vLd26efOLa9fu3bu/srLabDW73Q4GzqqdFLO3+OTSp+DJYDuf/zMn63a75KB8&#10;jWbTddzRsdFyreb5vsibvGTtodXjDW9V8JQfgQqeoig/iCzr9Xqra2t3bt/+7PPP79y9u7a2ura+&#10;Lp1Qev0kTYzQZcbLxeLy9hXPipkZnEA12D1WoapCvjA6Olopl0QR7eNahrI31D0xfFSjKD8UFTxF&#10;Ub4/SdpsNFeW5clh12/cuH3r1vLycrvT2dnZMU/ITD3PC4IA3ULqjKWTG3hIlsicUcEojqPBADEb&#10;DAZoXuAHYS6kYtRx0B+MjtaHyraveXJ5M1PBU34MKniKonxv2q3m06dPr99A7K7fu3t3cfEZUtfv&#10;91AytE3GlIdBYO7bGbVCpUTtRLEsInzyPx9EcWRv8nXa7c2tLfQyl8uNjY7Z8Xm+6w1FTioyS0X5&#10;oZgr7IqiKN+Hprl1dxvu3Hn+/Pnu7k6r3Wq124id3J9zXfQMDycD73q9brcn+mZnRXBdzFwuly8U&#10;eBUoTD4mb29v7+HDh9c+v/bw0cNWq9VsNTudr4/PU7VTfiT68GhFUV5L3B8EYShKk5rLiVm2sb5u&#10;h5Y/efLk5s2bTx4/3t3biwYDnFkUxXKr7vuAjbMdOLFvuVw4Ojo2OzszPjHx8ccfH52bO3fu3Nzc&#10;HHYRRcQqBvm8dlpRfgx6SVNRlNci996srzLLbx1vN+yW+Z1B7V45Pm9nZ5tN10dHq9VqPpdDdD3z&#10;mGkVPOXHoIKnKMpfYKgw33G8nS383Xnd+LxGo5EvFMqlMh9RfxiGvuviI33spqL8UFTwFEX5Nr7z&#10;eDtT+ntiBirAy+PzomiAEvYHg2ajkWZZrVorlctSxvo8RflBqOApivIX+T7j7XBsw7W+IxkWzuqd&#10;IBdOZeBCSuXdbhefx7JYLE5MTNZHRsJczv2el0wV5WVU8BRFeT3fc7zd8Ibfd0Z6q7xqfB61yS09&#10;FDQIQuk148hHg2h0fGy4pqJ8f1TwFEV5Le3m9xtvh3AN1/xuuK5cwPzyWqgIn/xfKpf5R8aru16r&#10;3d7e2sZAFgqF4wsnhiUV5fuj1wcURXkt33e83XC174zo26vG52Efqa7T7rBFFPfe/Xubm1u5XG64&#10;mqL8IFTwFOUwgZV61SvuD2SkHenELNNsY3Xt2qef/e53v7t58yaSs7y0tL2zk6ZpLgx9zzcyNXyJ&#10;FUOugiCX/96CFIY5bCIJuWIZDcwLAY3TJJGemb4fJ/LUsVEZn1CJE3n2iqL8YFTwFEVxhqPLwQwt&#10;wK9tb22tLK98ce2LO3fuIHjr6xvNRgMbhyAhTlLyTZCkCSbPcaSLptwE9AxmtgRkl9xCPl+vj4yP&#10;jZUrle/dI0ZRvooKnqIocjPN/pvFcafVWlp6fvfePbzdvXt3Ubutza1ur4u9Q5F8rFz4xsYGoJ04&#10;RHP/Tx62Ilkon+tiIsMgKBWLE5OTJ0+ePHv23LGjR0dGRsxKivIDUcFTFOUFZjzAs2fPrl+/fu3z&#10;zxG8jY3NRqMRRQMRIT+Q0eUwLP0GyNJMapMqszRF/hKZMyhzgsAvlUoTExMnTpy4fPny+++/d+bs&#10;2ZmZGbuWovww9FmainKY+At/7lnW63aXl5dv3rjx6Wef3b17d2tzc3VtbQD9QZqlvrnkiCAhSzJU&#10;4I2QZZ59tBi1xjKkDwMZhGEhnx8bGz+xcOLixYtXrlw5d/bc9PR0vlS0JlBRfhjq8BRFMePt9hrP&#10;nz2/f+/+rdu379+7t7K83Gg2W61Wr9dD43B2vkEmrnuTjzsxQ/fE4JHOqL5QLFYr1dGxsePHj1+6&#10;ePH8+fPzx+bHx8dF7RTlx6EOT1EOE6/5c283Gk+ePLFSd//+/cePn+xIn8wEteNT88wvGYhAKsPi&#10;8YGZrPzHQ/wR4+i6ci/PyYqFQr1er9ZqMzMzly9d+vDDD5G9en20Uq0EdkyCOjzlR6AOT1GUtz7e&#10;7nUgeFaCXU/G4eULhUq1Wh8ZmT927PTp02fPnZufP14frQdBaAdLmLKK8gNRh6coh4jXzW+Hq3vl&#10;/HZ+8GZGAuTCnPRISWLpkymWUSIP0JjYzKJXyOflmZmTkxfOXzh79uyZM6dJH52bGxsbRwmHtYA6&#10;POVHoA5PUQ4Rrxtvh7V79PDhyvLy7u5urytPDpPrmG/uSc2vG28XSh8VuSlYKBZHR0dnZmbmjs7N&#10;zs3i7Y7Pz4+OjQ3VLkmdN3QRVTnMqMNTlMPEiz93md+u11tdWblx8+b9e/f//Oc/b29vra2vt5pN&#10;QgLGDj2UEQJvcgyCtWdfLiCfy6Vpli/kJycm5uePnz139vKlywsLJ85fujQsQVMT6cLpB4FjZs5T&#10;lB+MOjxFOXx8Y7zd2trazu5uv9czw8BF5UiI4L0hXjfeLorjMBeOjY4em58/f+H8lctXzsl9u3m7&#10;liDXQWM5LX+j0qscTlTwFOWQYea3W9/YuHf37ufXrt2+c2dp6fnu3m6n00GGzIVGueRoVO+NaQyV&#10;GR110VERuyShanyk73n1kfrx4yfOnz9/6eLFs2fPzM7OlKrVNIrwoFksz2GxTRpWpCg/Ar2kqSiH&#10;iThtNpv4uYcPH35+7fPrX3yxtLTU6/c31tdl0gJH1CUIAhQPg/emxh4ImWPvCCaxWDbfD4qlYrFQ&#10;LJfLCycXrl65cuHCxVOnTs3OzZYqFSmfmKup5kajIE0zrzfUiUY5nKjgKcohor336vF2rXabT/Fg&#10;WC78FDpjL2kan/cGIM68crzdsWPH8Hbvv/c+sjc1OYm3s6VfcQGT1qSp9+Ye46kcQvRCgaIcIl43&#10;3k4mocvn87l8EITIkrnwaJ/19WZA8OyZ9dfG2x0/fnxhYeH4iePTR44M1Y7CdjYG1sBi7rtMlFge&#10;QqYoPxx1eIryduFPTDpoOM7+7DZxHNu0/etDYMB88v15zZ9vPHg34+1ElFxz6TKJozjO0kyeRhb4&#10;ruvFccRu5vOFYrEwMTF5/sL5s2fPnjp7ZnJycm5ubnx8fP/4KMpbQs+YFOXtQpQnlLNE9qzC2bdg&#10;TIvtHvKGeVfj7VBWc+lRLJpIXSgTLJDenyc2X8iPjY0dPXp04YRg+2SSY9XOrKvj7ZS3hTo8RfmJ&#10;sNHcqt0w68fzbX++P/F4O9TbyLrc/Bs+k8woIC6P3GKhMDU1hc6dP3/+ypWrCycXTp87O1zTDEAA&#10;6TKjly6Vt4P+sBTlJ4I4/obV7lv5ycfbIXOILJpn+3xKOssSBM/zy+Xy5NTU8ePi6i5cuLCwcOLI&#10;1JHhasPhdjGJn/T4KIcMFTxFebsQyq2ikOh2u/1+3+Z/kzd8ueUdjreTm4bD4eVUjcxjJUfroyeO&#10;nzh/4fzFi5fOnDkzMzNTrVbk/mEsIxXYd7m8q95OeZvoJU1FebtI3DdSt7Gxsbe3V61WZ2dn8/m8&#10;kZyvdNPgj/F7+5vX/fkm72a8HfrJkh2R4QdZFgR+oVDI5fPYu5MLC1evXr148eKp06fn5uaK5TIl&#10;sYJGIId7zSqWrx0ZRXkjqOApylsHV/fkyZNPPvlkeXl5YWHhww8/PHLkiJUcGBZ6o4L3uvnt3vZ4&#10;O2xdEIbULQPM06SQz4+OjdVHRmbn5mS83fvvnzx58svxdvCNzcodvzR9+bAoyptCLyAoylsHOdne&#10;3r558+ann36K5cLn2et4RPa3dMb5rsbbsVdosC/eVWbSC8NcpVIZGxs7e+bMubNnT586NTM9PXyW&#10;Spr1u13+5QhYkZNMc6cTbFpR3iz+P/7jPw6TiqK8aYjj6Ary9vTp088++2xjY4PMtbW1RqNB/sjI&#10;SBiG+8aOpdU/ljZh8/8CSRQhLmwmtgnH2dncvHn9OuJ669btu3fvLC3JCIRur5ea+3ZUK5bOdCvZ&#10;38QPGJZAVUbR5IqoiHecuI4rImfa4HpuLgwLhcL4+PiFCxc//vijixcvTs/MTIyPVypV3KVU4bpm&#10;7IQ0wCKZhpfTivIG0TMpRXmLWLNCBEcVWq3W+vr648eP7969i+tC9rB6URRZ4bGYyP89xuf5QSj/&#10;mM4n/JvF8dbW9srKCs4OK7m8siLj7Xoy3o7PESgp/EYY2rKvj7djB0RK0zSXy41PTMybB6nMz8/r&#10;/HbKQUAFT1HeOlb2BoPBzs7Os2fP7t+/f+vWLUzYvXv3VldXu93u/gW9743VRNdJkrTdbKKjd+/d&#10;lcpv3Xz46OHa6mqz2ewPBql0g9wv/WYQuTO9K/F1gR+YEXgphpU0alevj55cWLhy+TLebmHh5LHj&#10;x+vj4565M2evotpKFOWnRAVPUd46eDWUAEj0+31ESDpPfv75H//4Rzs2DhOGcrxs9b4vnU57cXHx&#10;2rUvqBbBo87dnZ1ev0+dxinKxVKc17D0j+Z14+3Yx3K5ND4+Pj9/7Pz5C5cuX144uTA5OTFcDUTs&#10;dH475d2ggqcobxHCu034vo/vsZ0P4zje29t7/PjxZ599du3aNRJbW1v4vP3CX+MvCaGxhlG/v7G5&#10;effOXSq8c/v28vLK3u6eGW+XeJ482MxeH32DCiO1CXJpk63sj7cLfL8+OnpcnqVy4eKlizLebnqm&#10;ovPbKQcD/dkpylvEuCu5+mcvAMJgMLA31XZ3d589e3b37l1MHsuVlZVWqxVFER/Zdb8LcRR1mq3l&#10;paUHcpmUeu4sLy83W829hggen6KV0gIRJ7kvaNf68bA71IjCUS3mjk0UCoWRkZHayMjx+fkrly9f&#10;uXLl9KnTMzMzlZFarlBA41xege8FgYfT9X2kktOBYXWK8pOggqcobxGrMciDdGU04xAs+Dlkr9Fo&#10;LC4uYsv+8Ic/3Lp1a3V1VaYuMA8fsat/K81Wixo+//zaJ598euv27WfPnm9vb7db7VSsFDLn8R/F&#10;5GqpXHS0K70BpIUIXoCjQ8nkgi1SN33kyOnTp69efe+jjz++ePHCkekjhUJxuAKWbn82V7DnAW+w&#10;QYryHVDBU5S3jtEbuZeG/gVBgDxg5vr9vu3G8uDBgxs3brBcW1vb10XKD1f+izSbzaWl53fu3L5z&#10;587zZ893dndktF2nnS/keeXyuTAIjAmz/vKNdRV53Xi706dOnTt37uyZs7Ozs6VSSVSWXbJPU2OP&#10;Up3fTnmX6Dg8RXmbGNly03Tp+fMvPvv8+eIzvJ7nuMR9LE+WJFE/crMsn8uRubez22m3cUyjIyNB&#10;kBNtME5I7r6lw0nAk8FwvN3u9vatGzfu3b+PQbxx/cbGxroMLW82ozhC6PY9oshcmojW/qDnVqNJ&#10;rxxvZzrg8Kmfz+eKxeL4xMSli5c+/tXH5y9dPDIzPTJaL1Uq+D8ZLsHaQSDXVWUF85K0eb3s+X5Z&#10;cMry8tE2rl6UXr4NczbzsthzYDn1Ac6B8P0swXp9oACFqc2cNcnv6Qd8j4pFz7AU5R2AYAynRU1i&#10;PNn62voTGZ935+mTp8vLSzu7u/FAOlgOS4PVBsnJWKZRtLGxsbS0dPvW7UcPH62srLBKr9slmhIa&#10;36RzYlvC18fbEbjN1LEDtjVSr8/NzR2bPzY3O6vz21m+9hUgUeKFjb+3ieEHjiMH0UgdoHZgL3cD&#10;ORTelzqgvFW7V14JeDmtvBJ1eIry1sHJPXv27Nrnnz9//pw4ZSQJJHIRs+I4QjwIcI1m0whEKtci&#10;czkRRWvLxN5JqCMxiAbdTmd1de3WzVvXb9y4devW4uLi+voaQVL8lxg7ia1vagQCWzdjD6Q2uYDp&#10;DefPC8wQC1qJtzu5sIC943XixMLps2dKpZIN6OwpyH4eekfy8hFAljgs6BzfeKvVajQae3t7LJvN&#10;Jksgs/0CSqJ/0Ol0WLKW/S7s0vyKvq6sw5TyKoaPMlIU5a1g/rySweC//e53/8//5X/5/e9/z+m8&#10;5/l4JpEP+6wvc/kLeQuDcGx8bP7YsStXr77/3ntnz56dnJpC+SghGhkGaMjOzg5+zsyBcO3e3bur&#10;a2vbW9uNZkME0fM48adCZPJN/VWjcPKozcT0yQx8tAtbQRSu1+u0fmRkZGFh4fLlK5cuXVo4uYCx&#10;G50YtytShsbY/Tq0UdhG16/tPr4N9bJ6hrYBysex4mdgfRtl5GibnwdHjwRgDfklFIvFSqVin9nG&#10;p9Yv2mqBzR3aQ/0dUYenKG+dbzq8CDHgDN0MXAOCF2+li0eWEQ2JgOSUy2XckggGZ/Fy18fH3q2t&#10;rt65e/eL69fv3b23sroqTw7rdomT1EktL+LdGxtzR500aYjJoWLaQ8tkvN3x4xcuXEDw0OYjR47Q&#10;2sTsgoXGsBeyayp4L7COjbOWzc3NtTW+TM5Y1jY2NrB31uehf6Ttkrfr6+vb29v2IwQSsUQUOWdC&#10;+axG2k3so4L3l1HBU5S3zjcFD22T2MRLnlMiU9JJj5A44uQdtev1+qxk1YJze5wfga3X7aytr9+/&#10;/+D6jet3bt9ZXllut9rbO9vRYGA9IsryQl3elMETqBCIq8RW9I8WosT4jGPHjl26CJdOnT41MzNd&#10;qpSlX4xpgwUhNyuKheXtsLrDhN1xDoJNy226fh/pQu1QMpYomXV4tgBLW5iDZi0yIsfSQg5lwN72&#10;Y0UrgbzdV9bDeZy/Oyp4ivLW+abg8cIrGTtkLRFxjJTEx/5gYO/qEdA6nTY5uXyez5eWlm7duvXF&#10;F1/cuX17cXFxZ3u70+0O+n0T5WS8ncRKUdDhNdLhtn8ctFaEy1w3Q/LyuRzGbmJ8HG93+cqVDz/6&#10;6OyZMzK/XblMK9i0K1c9v9w0abN3X+mUeEj42o4jUQjblsG6OpQPueLLogyOLZ/Ps7SJIAjI5LCj&#10;cyxJUxVp270Fj4hY4vyoodPpWMGjDEc7l8vZzSmvRAVPUd46rxI8qwQpZ+aiftIdhJDlSU9L86Bn&#10;IhvhjNBWKpVq1RrR7MmTJ9ev37h9+/az58+2t7Y5we/2usTHMJQnlonKGKXBBdgoaTf9I4niOJD7&#10;R4HonTxOpTg2PjYxMXHx0qUr8jSVyzOzs4Vi0aqdVUezX4JVvpeXhwqOAEu+U/sWoULwlpeXESrU&#10;bmdnhy8XtePYhvIA0rIVPAw0osXXxxFjXcTM1sCxtZIJiByq2Ww2qYHvmpLUYNdidbs55ZVopxVF&#10;eZuYP69vdlqRC5mvAZvGpyyLpeLM9PTCwsmZmWnC2e7u3vLK8vLSEmf3WL9Uejf8kKnsXk2WGSch&#10;3TtjebyZvUbqsV1iLm2ScFwoIHXnzp+X2VzPnZuYnDw6Nzc2Nj6c8cdy6HTt1aBD5ixBRh1Yi8a3&#10;hi9fWVnZ29tD89A/jq3VOT6t1TinEUtn5Q0hROFYWgNndY6E9e7AyRCrI2+ATFar1dHR0UqlYq82&#10;1+t1lhSjKuoBCkuzXmDDvi1wqFCHpyhvnW86vOEH3yQzo4w9OROVezhx3DN3fQiUsLGx2Wia62BZ&#10;ZnzhG1I7i4S/YRwUrZN/cHgSZAnExUKxNlKbmZk5c/bs6TNncHhTk5P10VEZVA5JKuuyggqegYO2&#10;L10s+TYxZPbpqSRQLw4u4oQyjYyMIFf2SibqxRJxwrHtw1v7bVAJtVkBI98KqvxCDLi9drtNAXLI&#10;t9ppV6Qk+fJ1vkAFT1GUt8V3F7wklYFrxCrSkYllrWZzZ2dneXlFrmK1mhjE1DysmUqsF7Qr/lhs&#10;PCUOuvJoFCAp9xRNuMQ44O2OHTuGvbty+crZM2cXTp8qlEpyJdPsHWGYVVTw9uFgygExggd8a6gd&#10;3yMmj/MVPkXYkDpsGUvcGAJmpc6qnb3OCftv980fKgXks+S3ZK+UonYssYN2Wyz5iKVtBiX322Ph&#10;ranm0H1bXx4CRVHeORKnErmxh5b4nlwqjKKoY8KZdGaJYiKZESbp4UJYs2v9eL6MzhIoqV5iIlso&#10;VyojtZGJyckTCwvvXb364Ycfnj139siRKbuWQIt1frtv8LKWYLmQIuwXssRb1As/h71jiW69bMX2&#10;17Jpm08ZuY9bq6GOnHaMG6hkfxULXx0bwj5ub28vLy+jrPYKKm9brRYFbM0Wu+7wzWFCBU9RDhBE&#10;Is6/0TwgIsnDTczpvVzyyuV9c7dMPpM+naKLbwoZTWAioO3zYmyoeLtSsViv12dnZ8+cOXP1vfeu&#10;XL48NztXKBR0fru/zL6ccNrAKYsdV4fskW8FzAoeakcZvk1b2H6zFptDAb4FzB/l0TxrCsHcvJPr&#10;nyyphyVGkC8CTW2Y0XvPnz9H8FC+zc1NzCX5ciXcnMtYbP3DN9/AfvrLQy9pKspb57tf0pQI6LrG&#10;vpkJfog8xmwNez+aUGjCkQgU/9m1fjzm+ihB2jVCam7amYd6yHMy5QmZ5y9dunju3Lm5o0dzRekH&#10;KM8YowW+EUr7/DOaRZh+6brZYWZf8Pi6ERskZ2trCyna29vbd3iAUO2bPFb5GmQiY3y6X4AlWHvH&#10;inLR08BbfhicqSCuMDCjF0hYhaMN5CC3ZJKgGPm2NtvIb8Knw9QvCxU8RXnrfD/BMxpHvKEYcYe0&#10;BC2RoeHAZAlUok1vMiZRue0kaEQ2w02Ojo1Oyn27+ctXLv/qVx+fPXduanIyXyyaZnkoHonhykDa&#10;XGlFAoc5ioGvG6XZNlifhz4hdZxMIHsvqx2F979S+ZbN9ww2h5+AzaQ8gmftHVVZ2aMYG9pXMlue&#10;HDRPbgO3Wjs7O2it1Twy+dRWu1//17CV/PLQX6eiHCAIWMQq4h9BjVAm0cx0WEDviEIk5HxeTvBl&#10;xvBE+ka+GQiOLM19Q6KvGAsi8tj4+MmTJ69cvvze+++fWDhZKpfTOGG7X07dQGtfXHyT2Kn27lVY&#10;7wUvDrKcWYA9XHxKPgoEpPexOYiTXZE0IsT3gs5Z8w32IidUq9VSqWT9IgWA3w9r4SnX1tYWFxef&#10;Pn3KKdfy8vLGxgZ2c/8RLaaBhwh1eIry1vnuDm8fAtx+4OMtwZF4R4r3Jku6U8p1yO+LGW8X+AFr&#10;S6CNTSR1XEKkBFYzUUOtVp06cuT8ufNXrl45d+nCkZmZ+uhooVhA51BjorV0xZTXIZrf7gfDcUZd&#10;kBkc3gASJ5cvVGv10fHxYrmSyjVkx/UCEpxHZPwwXA6vT4K3kkni5Rdl7AuxlJJShpfr+blCCQF0&#10;/SCXLwZhzg9Czw85RUopwwp+wDKK0/4g6nT7zVZne3dvfXOrubeL6bTiZ6920mY5c/lu5y72xyk/&#10;oZ+JI9QzMkU5XIhkpmLURPlkAiK5PmojXRiExZL0UpmZmTlx4sTpU6cuXLgwPz+PhyCi2aCGBptq&#10;lO8KemCF4Q3Cd8YXFwQYvgLerlKt8h3xxU1NHZmcnBg1g9DzeRnAx/kRZzJIWrfbbbVa2LvNzY3V&#10;1ZWl58+fLT67f//+gwcPnjx5wqnY+vo6n1Km0+nYNsNwe6/B/irYyv7J2beu8m5Rh6cob50f4PDe&#10;Fq8Zb+ebh1SXh+Pt5s+fO3f5isyBsHDqVLFY3Jc61rUxzlamfCscMSQEe9doNLBQ/SjO5TjOckEy&#10;DEMrD3wLtvB3Z6grRmzk6neYQ96w6cViAQmkZs5m7L1eFny10o9WRrlkcZIM+oNut9NqtWUIfLfd&#10;6/VomL12Cvw+bRqBlMEwpp+LLbCfsMVeVriXfxUH+echv/5hUlGUN4758/pejxZ7qxD+bKgyFkEu&#10;bPI2SeJqtUYgHh0bO3H8xIUL5y9cvHj61Ompqcna2Chr2VUozOpgq1K+Cxy61dVVXBTnOtJppdMv&#10;l0v4sOlpM5uSuTnHFzEs/Z2J4+iFyrwMm+OLEsXiZ2alipJkksEHSNW+bJFPTiEcDnuwvWDsXUDb&#10;KYbq5BrAC+xXz6fk2xxk1Sor+ZwVDVv2Vfbl0L5956jgKcrb5IAJXuAH0pvPxFkZUjDsH5iNj4/j&#10;Oebmjl66dOnDDz88d/7c+NgYsSwsFuzpPMWIbpSnEtFLlb2/yH6g5+itra3dv38fwWu3229K8OSi&#10;tCA3UI2YDBN8NWxZLlpTL2+sB3My1I9t8dvDs/V6WDcRQ/kl9GUsPEXkp2B+DEAOXp+3qJrtBQqk&#10;yeFHIr8K03cG+BTIHx2VE6P91fcT9pfzcs67RQVPUd4mB0zwiFb8ycv0e4nMjU7k4tycc/uJicmZ&#10;mRl0TmZAuHT52PwxzCDhE1W0IYKgZmvgLVGM8GffKq8EqWHJQUPwXnZ4re7gjQge3+MLVZWl+c/+&#10;ohCVL/P3l3g+4/Pwd30DFi9KkcCuzLdnPpWWAAkazw+DxrMVsXIG0lbwWPIpOmcFjzQf7Qskby22&#10;PDnSppfg7TtEBU9R3ibmz+vgCB4BkCBG2ImiOEmTYqE4PjE+Wq8fPXbswvnz73/wwcKJhYnJiUKp&#10;NCz/1QBlYyIJYpnNUV7JvuChJS87vLcleJKyvyj7hX35kSxNLmcv+EJj18W0k5bzmWz47Glj+AQa&#10;DJRgzX2J2k+gZCTYOhgdHF7qtOmCmRzYQpqcfedHGVPHV39PPznaaUVR3joHp9MKWydSEa2sK8De&#10;IXiTk5OnT526cvXq+++/TyT20WMaiaS5rn2YtV1XrpCZi5n7OcrrsFJDfOeIvdxpJYrTN9JpxchV&#10;+uLSJf8PsZlW50Tm+M+AGxNFeuHMcPV89aVyqVIq7rsxu6QSVpbv2LTK1mldIHQ6HdSRpYh3q8VO&#10;wa55LnbTzM9HGdMGqYREtVq1DeDtfuIdog5PUd4m5s/rp3d4xEOJX7554pQxc8QaQlghnyckEXvy&#10;uRwxb2Ji4vy582fOnkHwZmZnjx8/PlKvs7oIHraD6PSOA9TPGEQCiSHBuQ4nOvi85eXlVm9Qq1Y5&#10;7GNjY9gga5go867CcDKQSWg5DbKSJtbPXNLcH5lg1csuKc+Par+8hTQfWYFkf42aDmHvrNVD9mq1&#10;mt1filHPvvKxLjWQsDXYTAsfWUizXZsJ+5ksX8632I9ep6zq8BTlrfNuHJ49v7dP3QRigIxcFnJE&#10;okpltF6fmzt6/vy5s+fOXbhwYWrqSH2kTuAx58Hy6GqztllB+f7wRdtwbF0RJzosu/1BLrQTt8qD&#10;wXBVxoPZNd4BgTwJVS5OsqQ91v/ROBnbZ0ClbMJCMXvfzq6yD7vG/gKqafeUvcYCsuz3+2yIMvtr&#10;scPIkt1t+VWahP2FSpteYD+Sn+5XhdDmw9fyQZRQBU9R3i0/veDZWICP5C/fXMIksMpbksQdItfk&#10;xMT8/LzMb3f16tmzZ4+fPFkoFYePSsnk8WYSMuQlGcoPACfEYSdBxLdmqNvtNlsdgr7RjFwQhvZJ&#10;bq+Lzj8Bvje0VrRqX/AAwRvatJcgkz1CDin2MpRnZ6mBetAb9pRdZmdRO/sYF3LIpwygiBZyZM+N&#10;+NnG/MjjsF8PvK4qFTxFeev89IJH9OHvP5PnVslTOUxYkRDM6XqxUBgdGzs+f/zixYuXr1w5ffo0&#10;4ofpYC3aaZ6W6RCHjdUjcshC+QFw+BEAEtgdjjy+h+jfbLXJRDaMwMiLdz8y0P8Y0kSEB4bvX0jF&#10;fpNebhtpq4tWGi3GrRY4hdqft90qny2PsPGDR/A4CPa2H8dgb2+PfA4IH9lNU5JVXt7W13i5hRbT&#10;6qFNtJDeZ5j1DVTwFOWt8w4ED28hejeEHKIAbqJWrdVGarOzsxfOn3/v/fcvXrg4dWSK8EUITuOY&#10;yERJ6TRoJz1IU3085o/BRt59wdvd3W20OnKhWQ4yVhu9CDnaP+SZqG+KbDiH8PCH8sKH2cTXlmBl&#10;icaTQNj2Nc8+vdoKHjn7usgqVM6+yxhE5N7QaDSoEOfH34KtmTJUa2XyZcw2heH7F1B4n2HWd0MF&#10;T1HeOj+94Ekg4PUifmEjCoVipVIeGxudm5s7f+HC5UuX0byjx44StIheNoRIIAvCocilMlxPp/v5&#10;MXBICdaEew4sngbB22u0OA0hyHOkzcPACgEm76e5p/sq9i9pmu9fvneb2M+xn+7Db8mWIc1OgdU2&#10;EraAzQQrhzaT3zwHwWK9HfXsp1E+2E9Y+EiuApsJj1idjcrv+IXu7kPlshvfmS+vnyqK8uYxf14/&#10;fS9NoqofyH07wgbxglPvifHxen107uicjLd7/4OFhRMTE5OlamW4wtcgLMhLejUMc5TvCaEVYSDR&#10;6XSIyzs7O3fu3Ll97yGhnI/wQxMT42Nj4+VySSz1O8J3hg4PbGv/AhSw2mPTNmFBiliyXyQoY+WK&#10;dLfb5QfPEQDbsYVirIspRCb37SBL0uTwQ+VYWRElkyVpcvjUrmiX+4lyufy1HJt4HerwFOWt89M7&#10;vDiKOcvmfFvcRJYV8oXx8fGJyQmZ3+7Klffff+/I9LTruUkcy809IgXL/ZPlRDwI5/CS85eih/Ja&#10;OOZggy8J4jXf+97e3ur6RpKgBDIa0nYDsTbIrvXTk5onau431eiFuDcUi3yL2RWBtJWf/QaTaRN2&#10;LWvsUCkrV2DFzK5FGWp42dWhgvaWHt4XOCdAIBuNRqvVIkEBSlo4ejbxciZpjqFtmGngl+y38Guo&#10;w1OUt4n58/rpHZ4roxH4m5epYdhWuVRC8Ebq9VMnT/7d3//93/3t305MThKAvhS516GC94PA3xDl&#10;SRDfSXCot7e3FxcXb9y50WjsNZstMicnjkzPzNRHxpAEM6Cf78OMcov5cWS+J51rk6xtK/yZ0u12&#10;jFZF/T4GD4XqkSbHPNJ6OJjPaJBrZx4u5WWvrUxae8dbjh5nDFZTLcPaHXlyAvkvf2Tfchir1So1&#10;oKP1ep0EysrZngqeorxN3pHgce7N+TZqRVjhb7xQKPBnX63Wzpw987d/87d/+7d/MzU1RQHiyrD8&#10;61DB+0HsCx4JG7KxL/h7BA9Ds7fXIDSPj6F40/WR8Xw+57qhEbwAu7IvePLcgKxjK/yZYuxsGvMP&#10;yi+XOeUSu/F5A97aB1kjg+Qbl+YErii/1TyWVsBMPQmJfT2zssWSMiRs5v6n5KCXaCEgs5zqUYwa&#10;fvOb3+glTUV56/z0lzQJHtIZ0Pzxm/NngoFHGCUE1Dj1rVYlCjsup9BEF7vKq1HB+0EQiznkJIjj&#10;NhBzokPw3WlsEdz7g36aJUEYFvLiYwjgxHaW5utKzcmQDPw3kxV+eY/t54j87ES/7AQL0p+zVCqW&#10;SvLIFd6+UDUpY4s5ZhYIjp7IZBzbg2YvYyKYNkEOdA2tVqttIIGHA/OwswaFOa2wZfiLI03OmTNn&#10;VPAU5a3zDgQvkYgpZ7u87Omwg3eQbuAs+IeQksvnS+USoUcKmFj7JaxBJi8dlvCD2Be8/YS4myjq&#10;9Np8NQPxNAkhnoMfBDnifeDLM8ZIyBmGfF1D18I3KW9+tmDb7HmX2TmRNEDm7HkA6TAX5o0KVipl&#10;zsOKhVylUimVSkijvflnKZfL+Rdw0Mxxk5uF+0swNcvSgjpa4YTt7W3SV65cUcFTlLfOTy94/Hlb&#10;vTO4Rr9ohdz5l+f+djooHkGkVqsRQSQo26L7sidh1wreW2/qLxV79EW1TALBk68gizjl6PV7aB4m&#10;D3tDjOYY53IhPwrROxeJQOT4kaSOR+LFN/Kzhd/hN/fC/LLQpzCfyxULxXLZPsmsWi7KGHZ+mXZU&#10;H7IHJKzUIYGwr3OAsNm3L0MmhxoXyIbM6V2ys7ND+urVqyp4ivLW+ekFzwYYYxXAxBxigPi6tGf6&#10;D3DaGwbSlY7wQAmiiJQjNO9rnkUd3g+Cgw0krNrZtyJ9Ab+F2F6FGwxk1nJsCUWI72KB7FNXMnOP&#10;yq75Dan4eYH6mP2SXX9xMOR/48VEnF62avLed62kvYzNYfmy7FnQNpa2mMXmsyW2iliy5C1/dKim&#10;OjxF+Sl4B4IncZM4i10QCZMtDuOnKwOfk6QvncLb9iyY2DBqJkkgOH1p6aS8UUrlR2BjPKBhEvgD&#10;lyO/t9eQO0ydLm5PnuLmOrWRKh+a3i2U51tLWMNxU9d5Z0P03gh274cnXiZtcowGooJGCIdl5NZl&#10;JoPw9y99mkuUgGIhVy+z7/wAOwjWFxqbOGRkZGR0dJRitVqNZbVavXTpkl6vUJRfIHKJUm7eWcmT&#10;KGNDi7x15fLa1ubmnbt3P//82t1791ZWVqTnHBhT8iUmEik/DHFpLyDNwTexGzMjU+RgtaM4GvQH&#10;2G17t8lcQX6BHPmvfhc/T/ilQWInHeIl+8l+ic3lP3JsxnDPM3kGLFijZkRN5m2wlzfBpsGKHCBp&#10;+4y9YHx8/MiRIzMzMyzJrxtYiy2ow1OUt85P7/AIIERYAiuQkhhjAgvhtt1u97o98gmqBCNjLPyO&#10;GedbLpXyhQJFicKymjEfyg/AHnwSNuJzbHd3dzc2NpaW1x4+fHzn9r0njxc3N3cae62dnd31tfVu&#10;t7e+vrmzs9PutOM44vsz7sfx/ZzpdyFjS4wT4qckzzFBFcx2DjrGxA193FfZN3f23+Fv1fuqzO9/&#10;ZBNfy+R3a9Z5NRxzVNPaRBQ0n8/Pzs6q4CnKW+enF7zXwd+/NMA8vYkE7sIOker2ejgPTpJrtRoR&#10;hQhBGVE7FbwfgY3LCF6n00HM0LxPP/vs/v0HeOvHjx9jrDcFdHBjdXVta2uz0+3EUZyayQj5ggjV&#10;jnQnkkrM+YmcuBgVFBUZbuOXxdcE7wfDQePnjc5xssCxY0nO0aNHVfAU5a1zcASPUJBmMiseZ70m&#10;EMttvHan02o2ySqXyoHvyVW3XA6pS6MI9zdcT/k+8C3vJxqNxtLS0qNHj548efLZZ3eeLS49e7ay&#10;vra1u9dstbrNZqex117f2Oh2+pi5JM3igQzONsHfHQxiFEDET3oeysd8gwgeS1v/L4w3JXgcLn7e&#10;ODwreOSo4CnKT8TBETyJmHKnRK7zZLTLnPm6jpwO889gELXbHTJGaiOYPAkW3xA8uTRq7kgN3yuv&#10;gmjLIcU6t9ttvvTr169/9tlnt2/fXlndwOlxejEYDIyTs4cxi5NYpk3wXM4/cIKUsWOo00QOOIGb&#10;k5DMzGhIYfnKfqHH/40LHkcPwbPLmZkZFTxFeescIIdnO8ebBuAYiJoIm7m8Gfdl0rLWIIrKpdLo&#10;6GipWExpqpke6OXwKnL3YjC18jo4PgRcUa+dnQcPHnz66acI3sOHD3d302aj2+1i4jiSvpsFJsgH&#10;ZrIBv9+Ptrf31lbXN+R+3u729k7eTCZuO97LVU2+OeEXa7vf4CVNjv/+JU1+seSo4CnKT8HBETxz&#10;95+tYymk6xyBgEyWffPo+mgwyIW5Urkc5nJIHJ+RoICs9FVL8bW3ytfg+GDvsGjr6+v379//4osv&#10;ULvt7e1ezx1Eg9Q8QEsGjshh5DDzA5GHSfb7Mi24nHbIo1jkwVp4cb4a272RVTxXRmvjz+3bXx5v&#10;Q/B4awVvenpaBU9R3joHy+GZ7g8EAhsFiDA4OZbYkSRN5Kpat4svieI4n8uPjMr4PIpxmmwrIC1r&#10;Kd9Gq9Xa3NxcXV3F4d27dw/l46v33LoMlQ4KQZD3/dBz7Ww7gdE+6XgpAyE9H1njkCdx2u13G429&#10;VrPZ6XY5QeEz/LgU+IU67DclePy2OeFA8OSYG4dHJg7vl3nUFEV5JZz2ZnLfTnr6YRWICL65S1co&#10;5DMn67TbKyur2JHf/e53N2/cIF6ji1Ya7erKd4Q4i1OTeRH29prNZrfbJTOH0oUhHpr/7JE3pw5y&#10;9mC7pYD9h++I1XGEqysrT58+RS/v3b1HYmNzo9lq9XpSm/IX4Bdr2U/bfHV4ivIW6Q/60j3EdR4/&#10;eXL95o1HTx63u91iuSQXqeQZUj/1yyWYylMah29TJ+NFDr6i1+9HSWLzvcDPF4skiNTxi95uJNgj&#10;wrHdNUXI0DYnimTkuO9HnFE4TjeK2mTv7Kw/ePjs+o0b9x6s7zR6/bgcJYXN0vl2bqKVn+3kZpq5&#10;Y+3c0WYw3Qxmu3617U+kXtb3S77XTLws8PZcrxfFjThp+ZyjZP24OejuNtyOGya+lwQsHd9zElYZ&#10;OIHbCwadtFNwZGbwny+Z472RF7/z1HGDMN8fRI5xzKnjTU4dUYenKG8R1I6l9Uk2h0T00nTSBwfc&#10;hmdGLHU6nfX19QcPHmD1/vVf/5UEbiOfRwGLYj6kd/xwXxQwdlkYvne8MBTViaK41Wrt7Gxv72w3&#10;Go1erxcnsbke/BLmSVpga7ADqckafuq6OG/TdbOL27NjGzB7d+7cpuZ+X4YxmAHcw7F6+EPbAuV1&#10;6ASwivIWQRuIRMSm3//+9//pP/0nlsQ+lGP48YGBWIsM01TMHAkaXKlUJicnx8bGfvOb3/z2t789&#10;efIkmke4ILZSnpJ2xUOOGTaAL5FBCEna49DFUY9kY6+FOP3xT9c+++yzxw/Xms1GkoY4jXb5KoLm&#10;+AVMR+IWOJ4Jtg536Axkme4laRIk23LnKW1xalEutfu9fiqPmca7ufxyZiYnp6am/uZv/np6enpi&#10;ZqpUKqU5mRw98d00SXOZPARc4SxhMBgUCsVut8NJJz/XNM2uXr2igqcobxEiF1rC2T1u6Z/+6Z9Y&#10;cm5u+5oPSxwMiAMgd5ZCGZBOg1G+arVaLpcvXLjw3nvvHT16lLeEV/KH6yiOI08BE7nrYoK3tlfX&#10;1ta2Ntf4ivd2m6trqw8ePHv69OnOVo9D6vlFIu9O7gJ2zPGKEoK9IlKZOjLNa+gn2DUreH68Jb2H&#10;EhG8wN8WJzcQa5gzj5ocq9VG66MLJ0/AwtnTk5MTYbXIl5L5HmsV3cKwZYcbFTxFeQfsOzzO969d&#10;u8ay2+3yF3jQ/u5se8xVNXn2GM1G+fATRNKJiYmZmRmW4wby7SoKIHjm0mVjY2Nj8dnj+/fvP378&#10;iPTm5lan02k3OnzdqcwChK2T64293EmkK3VF8BKvSjp2yuR7YUnOONJU5uZN+/LAlVQ8n5vcwzP6&#10;WVeefuMigVk5P5CnJ+e9U6dOXbx4eX7++Pj4bK1WC8Ki3BfWL8eggqco74woijj352SfJeLHnx8M&#10;PztgmKgr7pMwYbXNzrRSr9fRPJbk4Ff4VEofepLY2draef786RO+3aePHj9+/PTpk83NzZWVVY6k&#10;h+3y/cDNcViTOOO4JeXzrJV5RRQw8WrE5cStIHt+rmJcNsce0ycPYXEyGZrupfcQVN/p8F0ETiMa&#10;DPysSTrnJXNzc6dPncXnHZs/PTs7V6mOUVsqc8YqKniK8u4gjLXb7d3dXZb4JwLcQRM8ic5muBJN&#10;hf0Wki6Xy1i9fD5vp2shk1CiFzYtUT+9d+/eH//05xs3bjxbXt2BRotvudVoyiHNHBQvZybRTaMo&#10;iROnWHNlmru8FTz8dOzV5WjnJwjEcVZimWTyQCxWzZys6K70ej0n3TbCucrZkp+tB4Gfc3rVam16&#10;dHJ2dvb8qffOnz8/e2SB7yguDp/hechRwVOUd4D0PuCPz5WB3pzg72vJQfu7s6bNNgz21Q6syJHY&#10;L2PWUIRee/DHP/3xf/t//X/++Mc/Lq9vJkmc4srSNPDDGE8XxRzMnPnG7ZHtZqE8udSRvpeJNyIX&#10;kL1R6auZn6S22JE52/iUZeZKt89KsN7pdJJ4gzoCdy2Oo5y3GQZhNtijyqJfmBgfv3zuow8/+PDk&#10;iQuVStkbUectqOApiqL8cCLz5A4SVviJnFtbW9295ieffPK//X//y5//9KelLXnuthtWPd8Lc9Ih&#10;RaZ5zVIv6YutT/q88YMmNSCKsnQLFE88uaTphGMSlIMxjFzqyQxN4vMcJyeD/vl/F/l00hWWXrpO&#10;nXmnValUnE4P53dp4eL5C+dPHTszNzdXmCa7SvMI9IMBDZaB7HGcHDZH/jrB05M1RVGUb+dlb0Aa&#10;/et2u1vb23t7eySSNMXIS58fJAbFM6ZuHzO+TkbZyag9wUzJSzVSk4AiJklqlvKvOGtyzYJyssJw&#10;yJ7UTT0U6vf4rz/o92nA0vOlxcWnq6urUSTzi1M3UR6RC8NcEIT8azaq6JNWFEVRvgMoEXJGQkTI&#10;kWfQrK2tLT289/Txo/uPnm9tbHTSUhiWkvxkGpSjcDTxK5FfjvxK4uUjv5R4uSgoZm4Uu7nUxd4h&#10;fpGDwXO7rsOr7WUN1+0Gzh5v/WzXc9q+u+dmBbnG6bKGKw/EcXKOG6ROBd8Yp8V4EDteMfSdRrsV&#10;DTq5gl+fmjDSKp4Gl0NyqLCHDLHOSWImfZTRpbzlSztyRJ+0oiiK8m1YkbMQPaHf7+/u7j59iq9a&#10;aTQaOCsCa2gIcHlixIZ+z84+GITyn3F/RovkAeIShc3LOjyCs2UQG8iQm4LyaG8Z729qNPUFPu6N&#10;SnjD5lhha2trZVXmT9/Y2CTdarVYk/oxi3xKVcOmH3pU8BRFUb4dJGeYMmmEpNlsbq0u7W2td1rt&#10;NE4cr+QGpcgfjfx6N5jo+ROdcEpeualOntdkpzDZ98/0gtORd2zgzWXuSOrUvEy8Xpi2w6SVizeC&#10;aD0cLIWD5/nBs/zgeRZvOem2k0a+E7tOxXOrjjPtODOJM5O6s6k/mngjAzdrDfrb7fX1xjLqu76+&#10;Lg92kd5SLkppL44O233oUcFTFEX5FsTTffXiICrS6/Va7XZXnq8d8dYUkatnfMrCvJUOmi/fzsP+&#10;yX8yN0JgbuqBrCP/uHJjT+7jYe0i/pPXYCAOjTx8oKltWBLTxpIN8TEFULVer7uxsfF0cXFpaWl7&#10;ezsaDKS8qZttmSYrKniKoijfAZSGJdpj3yImko4HbhI5MvWFkzlB6gSRkx9kub5b5tVzKz2v0vN5&#10;VXn1/WrsLfBKvTlejjueueOeU/KyYt71c66fTwdh0g/jVhC1wsEerzTeyZLdLOlj8pwsdLN8ltWy&#10;bCRJa54/nnmV7iDop3EW+r20s7azcv/evYcPHy2vrDQaTcTSKqVtuQJ6IBRFUb4dFA4bBy+/FRNl&#10;3Zxk8b8tYrtW8v+X1xKlxHBeBdthU6ya+C/WfeHbbDWpDESQfpqAYsljxmRkgtS6XyHl8/k8TlGe&#10;yeI4YRiyaqfTXlx8hsPbWN8w8zN0B9EgMaM/7VqK9tJUFEX5dqwgoUDIDG9RlG63u7rZbEXOajPa&#10;bnf2kiD1nTRfyuU9GX7nxvkszblJMUnDJC0MkjAmd9XxGpnvOmEWhaODoNp1pzreVDsudZwp1/UT&#10;r1Zw22hpPtnyk1ZU7oW5vYJXzQeJ60z7Ttj2a7FXaJakT+cgbEalXDHuJZk/1vNzUX7gZoHrTYyN&#10;j9VHEc9CLl8plpMokt4yxt987SXO9JfIi29Ke2kqiqL8IKzJsuDU5Mnak5P1er1UKoa5HEJIbKVI&#10;HMsDVobD6Mz/Zk1ZF8MmkCt1iLHzTR9OuaVHXLbj8zKxg/bOn1Rj6pBVhKHwmg9ZijnkLXXxkd1c&#10;FEWtdmt3d7exJ5PwsTVbQAEVPEVRlG/BSI0s98UjDMNyuXxifvrIVL1aDvN+Ejh9P+t5ScuJGmHW&#10;DbNOkLZ568Ztl2XCsu1EXXfQ9aKen/QDJ8q5ad53C6F0ZkH5Mi9MnGDgFCK3FPu1JBxxkSteSY+X&#10;l7Z96pS14sANAjd05cHT5dStJVm175T7aZkW9vv9nZ2dlZWVtXWZqEi8prg7RdADoSiK8i2IKzOa&#10;97Lg1Wq12dmZsbExmeBQnr0ysEPoEjNEHRvGCji6OI4GA/uSO2oyto7/ksTKJyVxeDJ6D4Moaw0x&#10;A/nk2inFKGwRs2jaYByeFJGFuWSHgaQkabawt7u3srqyvrbeaXekqYE+aWWICp6iKMq3YwUPRbFv&#10;kahKpTI+WhwdyddKTt4f+EnDHewE0XYu3S25jaLTyKe7YbztRTvuYNvh1d8J4m4YdYKozcvnlXS8&#10;DF/Yl8Hpvp8FJV5RMMqrF0x2g8nA8fzU9dOuE7c8qkp2wrQZZq0g9cLMc50RzxlJ3MnYneh74z13&#10;jFqwdK12a2tzC5+H20ML0VTbZkUFT1EU5VuwLspic1CRslAZHRudOnJkYmKiUi5jyuQWnX0qJlbL&#10;QHLfIAIJ3orPgyiSVxzL/Tjfw+RZrNWzW3E96Q5KncYX8rKVwUtWz/b6NJ4Pq9fv9RuNRrPVjKLI&#10;Oj+7aUV7aSqKonwLRukE+xbNYYkyhW6n3+u22u1er9WP4izuoXVu3EV2srjtDvqSTgehG+W8NOdn&#10;fhb5TuKmiSfj6mJXlolDgVzOdTK8XOYGiZuPnfzAKQ2cYsHrOJm4NjeLvSwN3F7mhSwjp+CLjhVc&#10;J4cFTFKqT2M3l/e3kE8+QSar1eqJhROzs7Mvt/xrZK/O/tnD/nKeob00FUVRfiyiKOZSYZjL10dG&#10;ZmZmjs7NTU5OlkolTBcGr9/vDfrylBTSFMd6haFMX0DoJRrjusQH8pm4PIEyBGmxaJg1cXUSmYnR&#10;xra5soZ0wDSj80yHTflPfFsm3TlpivTXlBeZIBWbJ7VYr2nqVwQVPEVRlO+EXCE0IEsgkpMvhsXS&#10;2NjYwsLC/OyRYohB61Vynhe1g7gTZv28E+Xxdl7iO6mfxYHnBzKVaxo4Wehg+2JeeT/ptptRvx2n&#10;nuPlnLDOKw4mBv54lNbirCZD2n0n8HZcZ8uL1pzBSsWPS14UYjJlWnXCuCdDACkTBoUits81kwQ5&#10;jWZjY3NjEA1a7Va31xXls4PfzdOtkUrKIMEk7CVb3hpV/cVOm66CpyiK8p1AKYYpEQbpPMm/tWrt&#10;5KlTFy9dOnnyZL1eRy6azQYiYlTEGDTXkxtp5rEpZhWpx3bLRGPwYNEgst4NsRFb96Ifpi8+78Xt&#10;N3FuFinKKqgXSTRKSpqbeCx7XXGWxlY6aF673d7e3t7c2KSwuf1nZ9oz/pCF3EqUe4xiNod3Ge3m&#10;RPl+kajgKYqifAtGDL7sogk2J45DJ6wVK+OlynihUAmCops6ySBGykLXCz2fl+cGbuYliYe/Spwg&#10;dSXbD1A8o4RJL406WTJwkn4m4w6oOO+4RcerucFI35ngFbt+hMVzG46z56cbQbbhDrb8aNtPOrms&#10;H3j9wO97YdMNmiJ1rpMLc8VCMfCDfq+/u7O7ubnZarYweZ1OhxwRS9QvTYzsGd1jmy+p3Wvu9/0S&#10;UMFTFEX5FhCFYeol8bMWbW9v78H9+599/tndu3d3dnbIKRQKZoTcEPTDGDzxUayCDxNFMU7NVCVu&#10;UHp2mv+t8rCOH/h4wOGlRitBVp6kw6bRKgqa/wRWlvUTjGMhX6hWq/XReqVSwWUOBoNev7exuSED&#10;FbZ3aC22DxdILaz7oolmYe4GyrZ+uYqngqcoivItoAc2If1QXkyYQKIbFxZXm3/45PY//cunX1y/&#10;v7XdkRF6Qcn3cr6bx2s5aZhlOUxb6hQyt+DlqplfijO/n8glR9Qr8LJ86Lmp9Nh0qTlJ3JSN+b5T&#10;8N1i5E8N/MnYL/DKvG7mdTxnl1fObeayZpA2/HjPSTazeDNNVtN0BbFCU5G6ifEJNC+fz9NO1BGf&#10;t72zvcV/29u7e7utVqvX67EvL2ydqOf+kn8l75eICp6iKMq3MPRYL1m9fr+/ubn59OnTR48ePXhw&#10;/8mTx1tbW1EcIzmU8TwZSPfCeoms4PgCP7B3xySf/1960sq+pzLZYIyfJ59KDxNrF40DG5YzLTET&#10;5glWhtkQS0ze+Pj4ccPkxGS5UsZxUj6Jk26nu9fYw+eJ7O3u4vZQvnar3el00D/qkVt95n6e3cQv&#10;D/lKhklFURTlL4IkmKt/7srKypMnTz69/fzZs2d3bt1+8vRpu9ExUhagGYVCDdmIk1D0zsmLXPmy&#10;7LoJDsrLuiKBWQf98h3pTtmP5IJi4o2ib4k/6bH0anzay6I0ScvJp3EcVZIbVO9nAXF74J4jcvec&#10;CXLcYJsacv4zylezyuzM7HuGqakpHGQcxdS8tbmFKPYHfXnrurlcLl/I58KcX8ghp2GYy+clD7GU&#10;Dpyuxxuzuz9X+IrQ70Kh2O12OJ/gyHM2cPXqFXV4iqIo38K+6UGQiJ7IHvZoaWnpT3/60507txE/&#10;DFOn046TOAyDcrlkrZjIn7ktR1okzw8iMykrn5rHZ4a+5/MZloocuXVm1zJrmpesZZBem/YWm3Wb&#10;NEAe0YmIxVESxxSmEPXXqrXJqcmFkwuXL1++evXqubPn5ufnZ6ZnRkdHq9UqCkd7ur1us9nc292j&#10;zXi9nZ2dRgOr134xfx7N+cUOS1CHpyiKMiRzRNgQk1AmvbPXD80lSteTDvyR9OHvdDrPnz2/desW&#10;Du9f/nxja2tzfX0X85TLj+TzeVxdvz/wc0XELrJq52UyYkD6a3pZu0HSxUV5XuKJ1PVkOoQ09ork&#10;pH6VT1OvwubwhWw/88ZxKn5vg+3Ws3VaU+ovIXIVv50ksefHGDW/kC8UCpWxMVG1cuX06dMfffTR&#10;uXPn6vU64trtdqkBSSbRaDTa8lAYuXppr4LafjfSujCkEmAXSNubfyKwZoCETZCzX96+3Vd0HCHL&#10;feynLBMc7LvgdQ5PBU9RFGWIFTyiIjHeCh4BUvRPbr+5WZxihp4+eXrt2heff/7506dPn2+1kJBm&#10;s0/cD3NVYusgDgi1jp8n3EstnovgUVVmLmbmYnmas/TC9NzY3OQbOJ4oRlBGWBIEj9Ask/64qZNj&#10;tdQbR5nC/ib115I15KXQfx5HcS3X4dN8wRmpjZRHR8bGxibnjh6ZmpqdEU6ePDk9PY1osS6Nof39&#10;fh+da7VaaB5gT1kigWSyLeMORfPQLfGdZqo/Mm0O9bycT3kLB4dWWSj8spTsF4izd3MRUQVPURTl&#10;W8gyud5opc4uieY4IdN9xIv6yfOl559/+vm//uu/fvHFF8srK604Z/qlmOlbvRKrRokvQ7zttc+Q&#10;/30UDWLxe2nFMdcwkb4sk3trrhN7RkJyIywSr0o9iVOR7WZG8ALTD2WwI+vG63ES53tLURQX3CY6&#10;NDFRnZ2dnZhF3abnTpxA6s6ePlOpVEZGRtAnKiG82whPtcgeCoc87+7ubmFLNzebzSZpClD5fkkr&#10;VIgEIG/FYrFUKrEkTQ4WkAKyswa7if3lfuZ+IpKR8e8AFTxFUZRvIUljNMpIHaFxGLVJdds91GJ9&#10;bePe/XtfXLt+8+aNxafP9hp7jb6Mq/P8AgqQpHJZD2fGWoms6znyUEwPb4eepJk807niBKiLdESR&#10;y5iu+LmgQBm/MCpruVWWsVNmm1Ib7ZHnl6X5eI8VSv2VKI7yveUkicNkd2Jy4uy5ExcuXJg9Pj8x&#10;MTE+PcNi5sg0UgcmxItbJWH2TMDwATsi9/DMgDwSCKr1f9bwoRPkUJj9sppnsbKB+ElrjR0Em2lz&#10;WIXGW8zW5Lipw1MURTmgoC4mXrsIg+t4QSiz7cRJtrO9t7i4+PnnX1z/4vrjx082NjYarfZg0I+c&#10;EYKp44ZIWBzLtUs/KBBhU8dF4pJMRtoheNQpwue5hQTHlkb2MV+u0YmgyNLPjyIXqVujZIIsivRK&#10;P8k0t02jckmLFXL9dVpViOXypp80Tp8+/Xd//+u//uu/Prpwolwu50ssSm427FZjVcdsVySHOI+M&#10;7Ts50vZSZ6fTIcHSSmDD3OQjBwm0q9sabIIcHB71o3/mfl9h3/lZUdkvabcCqStz2P70vE7wdHog&#10;RVGUIS/MiYsYeIR63+sP4u3t7b3dxoMHDz755NMbN26srKyiEBSQi40FuRRJXEe/UDZADpAEtIxa&#10;kDw0JnUQPAnBIgiIZ2oelIL0SHE38wK2mbo5RClxZCkXMwXzcGq/i9v0skEqjyZrkpN3+2Lgsv78&#10;/PwHH7734QcfHl84MTIyUiiV5I6budMmGzJQ/3B/DCTIRADyeennYuWKBG+tXQMS5FDYZlKetdgu&#10;O8suoyKIrt33l+VzP8cW3l867rvptEL7ac83pwdSh6coivJ1RPCMFC2vbj558uTxk+cI3uefXyfd&#10;7khHDwInIdUNJyXOm5tyrpOTB2e6oVUZuU2XRaIJ7oA3aCiZuRTREm3kv9SV0qlXICDbnpmZW8P0&#10;ZY5c2JQnaqJP+V2WfoLriry+uL1K0EPYyoX0yuUr//AP//3f/d3fHpmboUwsHW1eunz5Kmy0p/L9&#10;t1al0DAsXRc3ZEag85YEHyFvvLWQJqfVarG6VU250GlAYpFGsDpKDp8OldKTW4k/PerwFEVRvgWi&#10;v9UDCeuuGyfp0vLKw4cP/8//8788ePjw+dJSo9FIkox4mjkuYhYlOewNxoaQGgZ5Qj/6hhtDz2Rc&#10;ne8EuD3pp4LXwwTFYTYwI+zYgN2Im0rH/SxOxc9lODzeODnWxdyR9gJzaTGVy49O3GGNYpDl87nT&#10;J+cXTi5cOH92/vjxfFEepGKGAph584yMsbSSYzHZstn9TN5SJypl5coavkqlUq1W8Yujo6P1el2u&#10;lL7weUBJhJAVOUqsi6IAWohS2tps/fsWkxZl7l+W4LcFm+YgqMNTFEUZgpUhmg/fGLXDJCEFcSzG&#10;rNXuPXv27Iubdx8/fvwv//Vf9xp7WztNnJDn42BCBI+Q6nh1if84PIRO1M0PfPET3W4rzFFzH0lw&#10;vQGy4XkJm3MGT9GSyalJlCXOUuk20u4PokGzLU4rTos0wLV9NVO5LxgG6EgceiLD3eYmW5+fGT9z&#10;9szZU8fOnjt39eqlY8eOVWrVUNojNvJNXUBko7QWMbMdW1iSJgeHx1s5CKbbJ/lkyl6/1KVzH/Y6&#10;Go7X/zqcTgxTb4fXOTwVPEVRDimicF9zPGa8XZpkOLnHT55du3bt02s3nj59urSy2e/1Oj2ZVcf1&#10;csTTJJVLmqkj3Uw8VwZiI3jUIzZL7t5FRrpkors4aaFmnp+ih7XCzokTC5evXDp67BgubHll5fGT&#10;5xubG9dvPqK2OJEem55fI0Y7Dr4tC/yh4CEqSa/BNk7OHzl79ty/+7d/c+L48ZOnToyNjQV2BAL6&#10;ncR52v8mQC04ONIko3wsZWfNxU+rf1b8tre3WZJPeRpunSK+sGZA/zLv1e15V4KnlzQVRTl0iCEz&#10;DN+bHPAwbo7b68ujSW7cuP3JJ59ev3F38dnz3WZvgO1zQ9fPZV4uzbw485PM40XwNhOIy3W8TKYB&#10;ipI0CmX8HDaon8thKjqDfiufS8bGKjNTxXNnT3/80Xvvv4c5O1Iuoge9wE+ae2vFfBqGSc7v58Io&#10;F3RzQS8XdPyo62XdnB8Vc06x4I2NVubn5+aPH/03/+a/mzt2dGJyAm9l2y9Tx8rcC2/G49lTAaQC&#10;l4ZXq1QqCNjIyIj0BDUgZmiwbNJcBGZJGo1BCElY5cPzOa9pz8tH/m1A/Si0XtJUFEURc0a8tmli&#10;oI2/ErI7/Va7tby8eufOnc+v3bp9+/bi8nqz1Wq2BxgpPyy6crERu5CmElRl7B3x1Ayo89xMwmmG&#10;PczSXOh02h0/GKAQcdzs93uTkyMnT568cLJ+YuHEpcsXjx095njZ+vr64tLz7e2tu/cftzFMu929&#10;vb1OB8OEqaKRqTPIaGe5XJQnqpQL9frI8ePH5ufn//qvfiX32ColWk1b7DM54U1d0nwdHDckDWED&#10;fJ48jXNnp/vioWWYP7wgcjg5OTk1NYVGJq+ZkEcvaSqKovxE7Isc4ZuEuYQoN646e+1Hjx998snn&#10;8PDxs63t7WZXOpv0Y3THS718lmZRKo/RwtZ5ngwsR94yM84AwZOqpKOGG/oxGuBm7VK5HPg9fNjJ&#10;hbmLFy/8X/7+HybGx2dmp0bqdceLup1uu7s3iAZrG+uIx/LKOs5yc0Mm7mm35f5fCY0tlcYmxnEn&#10;4xi6iYnp2VnkpFTBapVz+RxtE30NctYxvQ3BExU3MsHSuiXSKB/0zOPKkLrnz5+jfOh3p9PB29FO&#10;K3gH7ZKmCp6iKIeXfr+PlBETSRCy+63e9evX/8s//9dr166tbe7KHaxMno3i5yv4rYF4uyx1AunB&#10;ibTh7IJQAr/c4UpcmdzADT3X873Ai3B4WdbC7tRqPkp1/sLJc2fP/t//7f+tWqvWR6sygsCNaECS&#10;9QjC7W4HwVtZWV/m//Ud0q1mlyblMrdarY5PTU5PT08dmZ6YmBwdH69UKvKMsZx0VEnlomIc+OHb&#10;E7yXoalW8PbB3qF5jx492tzcXF5exuTlcrnx8XE0j3bmiuVhua+igqcoivJTg6RZ12Lnt1sy4+0+&#10;M+Ptmt0B+XEmAw+8fCWK4p4p64UlNDJOnSSOQ7lFZ0jlgqaD5pn57XxXhhPkcwNczrFjYxfOX7h8&#10;+cyxY0evzP+2WHRyJbNtYj7RVwY4uI6bdNrt7d0d8Xatbq+H2klXEWfQwjCVKjVkr1wfpbZ8qRIE&#10;voOkmrUBg+mb8d1xEhX8NzPuDY23wvY1eaNJ1g3LNV3RFc+aPA4X9s4KXj6fHzPIrb5Kzaz3dVTw&#10;FEVRfiKI1wRBEgRAYnoURejcjRs3/s///T9vrK8/X15DeOLMx6vFWYh/c4JSNBj00yAXhrlSDcHr&#10;D+Jevx+GDl7Nlw6ZrmsmHM/ifpImTtIplcv1mjc5OXnx4vHf/OY3V6+eI113pqVPpbnOh1VMM8eX&#10;AQ4ieDi1bl+6/punmyEzEpxzWZ/6U+SBUmEuzOVkBTxd5uSCgNgtLyN4iC0hvpyT4eo/ntfpgphd&#10;c+/TKiKwywje/fv3NzY2OGkgjUKjdvV6vVgsFspVu+LXUMFTFEV5w9jpfkQtjF2RtF0aoUhlstOs&#10;0+k8W3x28+bNx48f/+fff2pmEmjIY5rzdRlJlsh0P25QoPg357dzWhsyki+Tfvm+m1CeJaKV8zMi&#10;/uyR8WPz81cunfvggw/OnjldqNVwZqYNBx1200qDPS2wyGVblErEQ46DVT52HKnD4T179mxnZ8fe&#10;E52dnT169Cgl/VzRrvsT8zrBe7syqyiK8s55+bIcwRqI6OQSvNvt9pPHTz797NM//uEPf/rTn7a3&#10;tzudLm5Jxo/70jnFlo/jmIhJ3AzCgJcJoCJsvhn3RnjNyTBz18w30CMnl8vNzMy8//77f//3f//r&#10;X//m5MmThVIJxTBNOEAYXfuSYa4cMYEdR+SGWSaTHSchSvaijytyws52u3LHUQyuccwUMBW8dNwP&#10;Bip4iqL8YiFgm6DLQl42pBOUJTKnTq8frW1s3rl7//PPr1+/eef+g8d4u04ncuV6YdF1QtaWCjI/&#10;Jexnru8hg8hd4FFVkiVxEvhOEkdZmuQQQt+LI7ntN1qvT05Nnlg4ceXqlffef+/0mTOV0THH9+PB&#10;QDZ/kLBybsTuFZf6yORTI/aifBbeom3oOgneNptNLLIZTSEP1Gb30UIEz2resKIDgwqeoiiHAqI2&#10;IZhATEQeRNHW1taD+/evyZQ/158+fdpo7BHVB4MBUd6GbBvreSsryHOeMXxDDUAiqNAEdNcOS+Mt&#10;q2D+RkdlpN3HH3989cqV4ydO1EdGWFc277pBXh56edBgL+xhMbvzFWS/XxwK9hGR293d3dzcXFtb&#10;W15e5qDdv3//3r17jx8/Jh/BoxiGL3xpnrxhRQcGvYenKMovGBvfzPx2rif9GzMHFWs2248ePfr0&#10;k88/v/b540dPtra3O10ZcNeNpQem68k85lHsSd9LPx/4QeZJ+pvz21XdBiCC5VKZHOo/dWL+4sWL&#10;//bf/Xezs7NzM5PFUgk/6Odyw5a8o+lyXgfx/5s697VM3mLp0DMEDyfXNYjIm7HnrVaLT8mhQKFQ&#10;kKEIudwRA+setPnw1OEpivILh5CdmA4XpAeDZH1jfWdn5/nz53fu3rl79+7S8jJRO47iNJFeJ8RH&#10;itnrfPKcMfOf9Ne0vTplXh8+k74wtkJfrmXyqVutVI4dmz995szCwsLJUydn52bro6P5QmH/6V8H&#10;H3aNMwOkAm2zGsaRwb1tb29vbGysr6/j7VYMJFZXV0mQycFkFQ4XUic9MwsyBe43dfQgoA5PUZRf&#10;OEQ56TkZyuQ7yytbDx4+eL60ev/+1+a3c5MkdoJJxMzctyMwhpLvyJVMRM1czvz6/HalbIdlGAYy&#10;3u7o3IXz5y9dvnDs2LFTpxfQv0JRtoiMOJ5LrdEgyhXeTa/F14HCsY9A2t6f40DZO3MkkD3cmzVw&#10;QIIcVBB5YxWKkckSeaMeGBsbGx0d5W29jtaP8tFBmw9PBU9RlF8+BF/7wMnbdx5eu3bt//jP/4xj&#10;WVqS8XapPCHFJxDGEqDHCNz2Lp7vF9GBOJFZFOTx0PJgldRz3dSV+cfjRMbbFeKtUqlUrVZkvN2F&#10;87/5zW+uXLk0NTlZLOVzeVyOiOQLq4PNTN03NJvBm8J2MwHaadUOneBYLS0tIWaNRgOHZ2WPj2xh&#10;8jlEmDnSZLLE1bXbbWrjIKB5qAvyj+ZRXgVPUZRDB5Hx5ZnngBhq7n5lBFAiY95Mlo3OEJ4oaftK&#10;sByW/g6InzAPezTRzTgxVwaEIzTfnN/un/75d43G3vZOqz8Y+EE+J4/p8qghdWrSK+U7z29XddtE&#10;9iPTR+aPzV+8fPGDDz44c+Z0rfbieVpG6l6OsG/7Mh87TmuHb15gDwUfkX75Uw47kM+S/bIGjgRv&#10;19fX+V5QO6yetXHUYCth31E76rQV2oRdlsvl6elpvJ3dCl+lG7yZgfDfFxU8RVHePYRFGw0Jo9vb&#10;26urqzs7O/KcZdclXBIrjxw5MjExgW2y5fexkYpi9u3XsMHXxGQpwFubI9PlEKa/Mb/ds6V1wnu3&#10;J3O8eUEObcXnEdbjtEIN331+u/F8dOrUqavvXb108eKpM6ePHTtWrVWkQ6eVlZ9c8L4Jxw045vuJ&#10;4QcGe33STnSA2eUo2Ry+HbtEBVkLzbA6xxkACTASMoQCrEXCzpMwMjLCwSOTwip4iqIcUrBENg6S&#10;sN0fFhcXtwyITaVSmZmZQT+QDWyTCI9BjMILGeOtreprYEooNnxjSrIh2RbeBn/WG+DtPv3s+h/+&#10;8IdrN+6urq22ujEfOF5eRpe7IbIQy2B0xCxkE2HA0udjCeeIYCrT/cRxFATiUwcDGXNWLPpjY2PT&#10;5dx7V6/+7d/97eUrV2ZmZ/LFYuZk+KRiUe7VieS+EDy7/OkvaHIQWFoFYkdI2LSoeyxTOtBa2y2F&#10;b4EE4odUoG18ShnWZZfZHU5HyMSF2yWZfEpJilGtPWVB8PjiKGm3K1tSwVMU5RBCqAGkjpC6vLz8&#10;8OHD58+fLy0ttQx8hG9AQo4fPz43N2fvBmH1iJ7EViLnsJbXQPDdv/5JVfvl++3eK+e3a7T7qJqf&#10;KyGHL+a3k4FoSSqC993nt7s8P3vu/PkrV68cO3q0XKvKsy7dL4X5IAjey1gNQwkQbI657YGChyON&#10;vbNXL/mU9nPywdFgLzj4KBxfDUvr86zJ4y0lbSUcJCrhU3M7s4ocsiKZbFHv4SmKcuggzlgRQu0e&#10;PXr0xRdf3Lp1a3V1lTQSSBS2BXAS0wZ83pkzZ86fP4/m2SBr6/lWqI16rNsjvr9ufrtBYsZTewVc&#10;j53fzvHkjh0xHnn77vPb/c9/99vZ2dmZ2dlSqSiPGBHBk92UAQ2vErx3E/4NyBgagKQhbJi5zc3N&#10;/ftz5HPcOFwUk3123ZGREWvsAG2zx5+jxIG1S2BdKkEy+YgClORsgCXfF59SCVtM3vqERa/mdYLn&#10;/+M//uOwiKIoytuB8Edgtd4Om4X82Ofr8xZzIJExSQidFMAxANGKOIVXILwCwZeQSjHqGdb4KijJ&#10;ipQkwFEt9Xea7Qf3H3zyyac3b95cWdug5jiV0J8rlGlUkpmLn3g7cXcSmoMwRPvII5/q2Jpvr6y6&#10;aRInrhsT/au1wuzMzNlzp06fPv1XH3x05MiR6mjdC3MUErUbttDK3td52+GfI/DyIWIvkDHEjKOB&#10;PqHZu7u7qN36+joHZ9vAMedTirGXHHN2EJAu7Bo+D8fG0l7DBMSMauWAmImB7D0/NsoqRhyLVl2s&#10;4Mk3944e5mV/b0EQsve0xzTG4ZtSh6coyk/B2tra06dPHz58iLe7e/euvW9HRK7VatbG7e3tEYVR&#10;LNIEqYWFBRRlbm6OBG6vXq9T3gbc10GB/dWXlpYePHiwvrT2yvntgmItGkS92CM0eqFcgosTcYT5&#10;gi9hGr7r/Hbn0APcjdm+BFpWpebQjLezz11+2eGZcXlvEba+L3jsjjl5kCmHrJlDn0igcKgUcKyQ&#10;Os4PUDIkjeNmhc3aNXvCQabVMHNQxNtRD98aZaiK8xXqQe34djCFyCRbByqhAWzX8d/2Hr8adXiK&#10;orwzkKLFxcXr16+jdo8ePbLCRiSamppCz65cuXLu3DmCJiGScExIpQBLQirxlDBKMXSFOGsj6Teh&#10;fhPU5CIiZYj1z58/x0T+8z/988MHD54vycSkCR+6TpK5MieQG7CtKHE8H29W9AM/TuSKn9x6w+u5&#10;HjksZbB5IpdA46iby+dr1TzafObM8Q8/+vC99y7NHz9eL1b9fGHo6sxS/KB0hxFn89M7vH21A3aH&#10;o9dqtTikKysr9hmYHFhOLFBBjhWFrapxbO3IOQtpBA8ZQ9WoB52jMEvS7BwaydFmXSrhqHIUOeCo&#10;HZWwli1PMRJ8C+9q3CHNo5HfdHgqeIpygGg52UCcgXmMh7kJZC8JRQPTq9BEMz7COtgXsYg/bkKR&#10;vDIiueRJ0JNnX5HHMnWy2EnNK4k6fhiZGnjxmZQ2CSAxvPxEap8v4+f3gFhDHLSBxl5aBNTuiy++&#10;QIfwdoRgguP09PSlc+cvXbh49vTp0ZF6uViqVSrsZK/TbTWbNGZ3Z3fQ643VRyulMqJDTqFSSDMz&#10;Jsy00kZh3tnxdqJmmdtqtB7df3Tr+s3Fx09///nt9Z3GdnPQGWRxVsq8YubWXK+UOkXHK2RemGV+&#10;LNPiZX7oEuSz5no155XDzB203cFe3htUwqjgRbWCMzVSPDY1durY3JUzp6+eO3/22EKtMurmCmgm&#10;Kvfli+aw4+bI8YYXorH/+r5YCbfITn8Vq0P7+fYtBxwdQtUs29vbOzs7HH9r7FApdMhqkji5ykix&#10;VC5VauVqtVCq5PJFLwgd38/lCx5HxAuQfkeWAacAJPqYNo8jlu02Wzu7jUEU8zZz3MkjM6JtMhVu&#10;4Lg+G+D0wuWc4Rtt/mlguyp4inLQsfPHWGUjVu4v5UEfL0IHMZ6kVSUiivlXkD9rczfKvHtJtcgg&#10;k1jseZG5U2VLfHNpt/UV7AffGYIpSxrCWb8Ndru7u4jczZs37ZXMpaUlojDGAmN36dKlX3308enT&#10;p48eOzY6NlYfEW+BkSrk84HpHNhsSifAMCdVQSFfqI3WJFKLrsh25FHOZkdlS2ZzrWbr6ZOnn1/7&#10;/NM/f8IWVzblMY8SfD3Cb47Dk5meklFilJKqOLIBx4z8JE3SkjEkmZw3UGcq11yTAZsoFcJjx459&#10;8P7VX3388XvvXT1x4kSpWpGtogdvE7vjlmHWV+FoDFMGDhfCxhHmrAKRw9IB3g6fZ9XOyECAG7Nm&#10;rloTZwalUqlYLORkliN5NKg5orbnjfn/xcaRVGqQIYxSW5/zLb4oPGK1WkU+xRXLV2PPQ4aNN+v9&#10;1LBdFTxFOejkMjfnuKHpzseZs5w8E6wJH+ZFgrfYB4KK74pjEN8jMidxhWBkYhQfuo70zSCLHD6h&#10;IAaIfC8xemhKDF82vZ/zdV6R9S1Yn2EDMRH20aNHDx48+P3vf09iZWWFcExInZ2dfc+AfhyZPkLA&#10;ReRQu5GRei7MEXKJVoP+YH19vdNpS/CKE/RvbHxsYnKCkGyiqrQXvWMrFEChkPRef7C8snrjxq1P&#10;Pvn0xs3bi4vPd5pRmqJreT/IOU5eDk8mFiSKM8RPIjRyxwGVjioiePWiTzSPo4HM8upmSRyFoTwo&#10;a3xs5Pz587/+9Yfvvf/+wsLxYrVKTVG3hxUyO/22GErHC8z3PISPLKSNCEm3FMwcZxhIHYcOkDo7&#10;rp8vxRo7TkTK5TJSNzo6Ktchq7USDq9U5DQjlIlt9z2ZObD2f5NhfoBy8WAwkMvOrVZ7MJD7fyhl&#10;uVJG88zBHJ6ASaP4Icob8/4nR34zrxI8+VEqivKzwQSQNMm6nf7ebpNYRvSJIsK6XPuS8Ge6F+7H&#10;KUmjBkYYfgIILugZCXsf7s6dO7dv33748CGah+fg08nJyQsXLnz00UfYOzzT2OgY0cheeSNk4zCk&#10;f2C5jP6ZMCUVIurNVrPdamO4qNmonUBE41NiLsvXzm8XYe/sJVBXuoKaUdK8YSVxdXKPTm5QWZ8o&#10;xThVECL5QK4WegjDmTOnP/rww8uXL584scBbu4OUllF3bxlpm0G+Wfv9vgQNtSKHjXv27NmTJ09Y&#10;4qGtq+Oockg5OKhRsYhGV+3QRkDqECrOIfIyoi7Em7Hn8kuR3rKCHBmzieHviA3TiETGF/Jvvz+Q&#10;0wLTsZMaSsWSmS7CfGFW7cx5ll31QKGCpygHiYF5ReZFeLc32eRl4o8NP5i3Xm/Q3Ovt7hDUWmZC&#10;MiKSjf6OPCEEoQgcP3CCUF5+iKfh8zQTrfjay1b5FV6R9f1AEmiSPLjyC9TnulU7coi8eLsrV678&#10;5je/QfCkm7jvdTrddXnqyirmZDAYSKSVfR128Rf7yo7Jvtn9sxbEjSKky9y+MvPb9XrR08Wlf/3D&#10;p//0z7/79LPrz5bXWwRk6b9S87xymuUGsT+I3CgmXvuO+JyC74UcyThC3eIsIdcl8CdR381iX66V&#10;RmkS5XL+9NTkuTOn/7vf/psPPvrg2Pwx7JBpGE1wqd7u79vD7jpYLbFLC8KD2uHncHLPnz9H7fDQ&#10;LBE81K7ZbHIwKW+vN6LT4+PjHPCZmZmpqSkED7Wz9Yi2GdEHI6hy9L/yLUgZq3dIoThFDhkpPvLx&#10;UIKdIIlGSoW2BtPYL1t7QOAHryjKgYfonWHdHM6udzc2nj1bJLThYx4b7Kk9mrG1td1oNNttmcms&#10;3xtgBGVdwo4nM4/uB6S3CqEQ04ljW1xcvHfvHmpH2wi+xMV6vU7APXny5JkzZ1A+bEe33d7Z2V5Z&#10;XV1eWd7Y3Ngz47q6ve5g0CfK2oiJBxllzZER3Ii5vSQQf43sOP1+vLG+gcsh6L9yfjs0UoJ1PBzb&#10;LutmqQ3QpGWEuQR68cd8GidxEPg4H1pbrVaOzs2dOn164eRJudE4d3SkXg/Qia/eNnuriGiYNnNU&#10;8fEoHMeHw4ue7d+lWzUge/ZKJhJIMcqzIvtubVzF9MNE5wD9w96RyT7a8wg5q+B/c2phHt8dmBMs&#10;q3gC7zhKHE823ut1OduQy8S5XCFfCHOhOQ+xoizFjYLKWj/Jz+37gY21aqwoygHgRa+V/WXqSSzu&#10;DbrE94HpX754/+Hi4tPm9m4cRR3HJaIVikVCWKlaHamNVOtytapSrxOMZN4amYFajIj9O//mNTgb&#10;lN5UaCIoYy8wGWjwLQMRGUdADD1x4sTZs2dRjgsXLpAm8hCgdza3KPzw4UMC+czs7Mz09O7eHhJ+&#10;+9Ztwvrq2mouzL3/vtztY8UTJxamj87aK4qioIE8x2tpefPxo0fPllZeOb+dG04S+u38dq4nM9pk&#10;HFC5lRVIWP7G/HbFdIfYzRFDGOZmZ86fO7c/v12lXCkUQwmYaSJ9F/GAURTmC2a/3xZGZUTq8Mc9&#10;Mx4fyJHTAjObAUeJBJ+CLYaSAb8Kq3Y4PN5ybsFx463NtzWDF9J+9kmwWxSdcvkeY6t/RiNSeSKZ&#10;PJYs3dreknb0epTjZ4aIlssyxfn+JU0KU5bKjATKqYat9CeG1nCg9NFiinKweY3gdXsdwtn2+vqt&#10;mzc//8Ofbt++vbexiZAkeRk0HYRBPl+ojtQnpyYnp4/UR+onTp+WvgljE2PjY5VqLRfKVHC8vhme&#10;36zg0SQ81iefSA9JZMyqHTF3fHz8ww8//NWvfoW9m5qaIkQuLy9j/p4+eozgPXr4kAguz+iamcGh&#10;Pnny+PadO8RTIig5v/3tb3/9618jh9i8sCC+hA0RVXFpSeLcufvg+vXr/7///F9eOb+dF07SAJkR&#10;QYZXl4jJUZQOBpHM+cObb8xvV852aVulUp6ZnnnvvSt/9ZvfnDt/Bms0OlYLA+k8y3ZFBHwWNnLa&#10;r+ptgZjxvSMwHJ/9npbskb1EbKUOUbGKBaxidYglO2KljsS+8FgTtp8ICyXWogJbidkpySeP3xVQ&#10;js/sUEQED9duE7l8rlbFMsqG7JTuxuCZx4m9EDyUlZKysZ8cFTxF+RkQ96IgF0pMfaF9PaffHXST&#10;bmdleWXjwaP79+/f+92frn3xRbrXIq4RAOV6nOsSgMqjo3J7Znq6WqtOHj9eq1arU5Ojo2PFeh2n&#10;RxSU2zkDkR9O+6mZyMSfvx8ODRPRysY4EjYssOStNOJVENeIxXJ2bx7DgdUg+G5vb3/22Weffvrp&#10;s2fPMHCNRoOAeOTIkYWFBUQLo4YMU5gV7fOjr33y2e6e9CokjmOhgAi1ZaYNkrVOnDh58tSFC+cv&#10;Xrx49OjRgnkMP2SpWMkX89vdefDg4X/5l9+1mq2dRgcj5MiYCBk6xg4kr5nfrtHYFu+bl2n54rhF&#10;yPZ9ifg1T8a5j0+M40Hf++C9jz/6eGHhRLlcQhHk0JiDYSMmhSVThEMweUPbBGxo+MGLg0kmS/J5&#10;i27x1lxRlEn4OPhWxW0xe2CBNIVJWDPXfPGQFCt4fGShEqoFEjSe+G51DqzVk4a/5nt83bMuWU8c&#10;Hb8Qdtc8sI0t93rdjc3NaDBASCcnJkfqI2ar4iPt3h0cVPAU5edAImfYVvA6TuI6bl9icm/pyeM7&#10;d+48+uTa4yePdx48XVlZCXsRIdt1A864OeeXiJPPoS7hSK2QL/i1KvGuIN3P69WJianJqfHpqZHa&#10;yJmxCXSQbLkXJcohcQqh+74Wz8ZlojnRxOasr6+jYY8ePcJ93rhxA29HdEZcz5w5c+7cuUuXLuHt&#10;5ubmKIko4uoohsN7/nRRpMPoh43sHRHOARHq1OlTV69ePXf2LNozOzdXHxlBLmgwrU2TDCf3+Mkz&#10;vN2n1248efJk8dlqxHEYyCgx/BfaLeMOs6wfl2jkN+e340BLjie9MZOsw844rkznPZ6PTp8+/f77&#10;7124eJEGoLK1kaov48hRNmt+RPAQAatG4fd/kggrWtGSBphJwwnNfMfUxkfk2xxgXxA5lmTaMixJ&#10;k0OCdTlKHH/EEskB1AfBY2lzWAJvKSk/j1fxOsFDx1iFXTS/kbTX67fb+Et59g3NEcs+McH5llzI&#10;lN+AudJ7kFDBU5SfAdLvfthDM+s4nOMnnbbM2/Lsixt//NMfH/zn/4aojO7KhCzjqTwUajLIER2b&#10;A7mx0pBR2Fk7L+Oou8U8p/1RuVguV8ozUwTumePHx8fHz5w6PTY2OnXkCJrn4SrYgBm7HeTN3b2X&#10;ZM/GhZcyvgJhl0jK5iRmuxJc0ONbt27h7RBj9Ay1I9oeO3bsYxmp/d4HH3xAa1mF/MePH3/xxReI&#10;IiW31zcQ6dHRUQL0xsbm0tLzJElrIzUMxHvvXf2rv/7rs2fOjo2PId7EMFobR/LEmV4/YhOfXbvx&#10;xz/88dqtu+tr67utHtbNDYs0Rqb7kQF6yJTbG4gqfHN+u1o1T0vStI0Hct0eWhKGmVjigv/xr371&#10;29/+Gzzl2MQ4bXZM6Le6bkVDhn2AOUI5M5AfTNbwaNi3L+fv57Dkm2LTqBppaubQkeYr5q1VOxqz&#10;r22bm5ummi9Xt29tEOeg0ULj5YokyGRJAzjOfAq2McCGbOJrvE7wzIbM/6mciHQ67UZDHvNGfdRZ&#10;LJZGx0Yr8uRMefoam3n9L+XdoIKnKD8DrOB1JUClAy9td9qLiw8Xny6u37v/+eefP//dn3d3946n&#10;+UqlfMSVu1njXsD5fieJCZF7qVwK25PuFGkrF3Im3vBNx/Gx+pEjRybMPbCZI9P1+sjU1JGJycla&#10;faRcKuXlHk9YrlbZbmbCmY2SNi58axjDaRG+d3Z2ELybN2/++c9/trediLzT09N4uytXriwsLFy4&#10;cKFhHtVPBL979y7ODLWj5a3dPTZUKhbxKRvrKNf6aL1un71y5fLlDz/8cHZ2LjSdbgi/xCzZwb3G&#10;8oo8EvraF7du3LyxuLzR63W3djtIV5jH8jqDWC63OnKdLxjIsGOinwjAy/PbVSuFvb1dBA9LxPGm&#10;2snJEazk+bkppO6DD97HUxZL0iov+FISjGjYiDk8MPYzqRan+AIrYyytgLEE8ilD8OUjNI98+Y5T&#10;6flii5GmDAkrgXYVjq39Rmj/yzLGzvIWwdu/eknaRnZb3rRr2DAS5Nucr/H66XtkLTngcdQVY8e3&#10;1+CblduoocylwMmBFVc5ZRKlf+2l73eCCp6i/BzAPiRON8PjOZGbrK2ufvHH31+7dm3n+h0UIn9/&#10;CTt2OSvVqrVjToFwfKwr3fd7nlyz2vXFImwETpqkzzPiZn9FMuJOUaZu8atlwmNzRtxSfXRUhmQd&#10;nZs/dmx6ToTwyOyMxEQZji3PdQG7/NYwtr6+bkZGPL59+zbL+/fvUw+mbW5u7vLly+/Lc0kWKpXK&#10;xMTE4uIiBexYhUdmGryRkZFyocg+opcEeGSAdc+cPnP16lUkB807dvQYqiNujeaYm2H9rljJP33y&#10;mXSKebSI3232YrSg3ceEhU5QJP72InFOfiDX9BwZXZ5+c367fJC0Wi3H6RC1nUzu4Z07ewIn+g9/&#10;9bdHjnA+ME1MD/M5F2NnxMP6IzOef3hk7HJ4583AHuGBUAVCLY6NI88e8RY4HbGSxg6KJBpRFC0y&#10;Jg+MckiO/cimqdOKHEu5OmmwORxhloRyIJMl+bYS1pL9tGctL6CANPEbvE7w8MO0TPaoK881NWNd&#10;2oNoMDc7x++Hg1Mo5NkyR9KMzpOvYLjmwUAFT1F+DhCvUqcVSQe87fbuo4cPP/lv//zZZ5+t/Olz&#10;QvaJVkaku5JJ746jTj4MwqPdvnga38+cbM93CbKbgTwU8pnc5ekvp3J9bMcT3etIJ5WkMT1GZCwU&#10;i+Pj4/Mnjp85c2bh9KnJicnZ+aPEzTxWq1i0DxCxceF1gkdVBBEC+vPnz7FruE9kDPeGD5ALg1NT&#10;p06d+tWvfvXRRx9NTsrAABqAUH3xxRdPnjxZXV3d3t4m8rAvx+eO4tUePnpEVaj4/PH5965ePX/+&#10;/H//P/wPlXLFf+HtaA0Cjnx02r0//OEP//TP/4JNXF3faeztDTIZNpf50g0nykK2NEgl1nu+3NNi&#10;X9h6YvpfoOTEwdBzpQ+9Iwrkez0cUj4fj4+NXX3vPGb0f/7bf8OxLZVNz0MrEgitPKzFYT0Ukww5&#10;J5FxfaJMOSOiZLKDfGWoAjrKMcfLUj85VgL3BY9itrysZpBNvFCm/XyOrUXOVF7ckzNNtYPnPA7y&#10;fklbA1CD7OYL9jPh5WIv8xfu4dk9Qrmtt8Nwkj87O1uplItFkVs2QTEqp6QKnqIo35+uSE2703j+&#10;7Nm9h3du37nz8PPPMEbJvad4kfcGMoL4vahYLpWORhL4TjZbxMg0lNtpO6E8P3CNZZpulELOx5dc&#10;uUS25Usvux30ot+/frQmJsB1iFnjkxOzc7N4O5zW+NQUMXT8yCTOb2xivFKpyoBiwumwWV+HDaFb&#10;S0tLCB5mCyVbW1sjAhKOT5w4gY5+bbwd2M4se3t77AjhmxgqHitJl5eWlldWCOt4u48//hjVmZmZ&#10;/uDjj4dbMiAUMsJ6ZeXZ0+efX7v22efXNzbWm52o3WnHmczllrh5moTNkwjv5WlJmvHKcjlzGRO+&#10;Or+d54ibLBbiWm3k6NH6+XPnZX67+WNXjp2Vfh/Fogg+kmFs5aA/8PN5K3hU0U+ifq/fMZclk5b0&#10;t5STCzNIANkmYaWCJWmQYuZ6JttlyXbZWRBReqFtJMyOyrVHPrKmjTQHio9IA5nAp+Tby4kk7Fq0&#10;AahcajTYfNlv4/n2S36Nv3APj53iCzKXrFuIu1Hc3OjoKL8N7B17xAaDMHAdTrMiFTxFUb432a70&#10;stjc27r+xRf/+uff37x5c+vJ493dvaP9rJDPX+5JcL/Sk64Ks33+htOTjRZROQ4JZ+5u3kuTdD0v&#10;F/F2RkpxFK0EEgp3c3K2vmPGLv/Xqlx56w8GbCrI58vlUqEsA7bGpiYn8HwnZarV4wsnkL1qrSbh&#10;9fV38ezwAxzbo0cY0YdEQFwj2vnBBx/8+te/XlhYwOfhSOx4u2fo9717FGNbCOHc3ByR9OnTp3/+&#10;1z/igWjY6OjYx7/6+Lf/5rd8ivROTEyIRtlrcb7fbbXv3r1DDf/yz/8N+V9aXsPvJk7YQ1ecsFgq&#10;9RNfvF2GTvh+TqYhHcSiQ0GQcTx9VwbdIYAiPLGMt/MdGaBdq7rT0zPvv3/6r/7qr86fO1EbGZkI&#10;qrlKZbiHxEZ0wohHIpdUPWJl6qRIXavdarbayN7W0jJbYRcAteM4W4FBltgWb40wyBVLYi7sOzbS&#10;RpiGHUz4QlnLFrPaxpKPbCbL/cTLbylg31phY8mK+wVsjl1y2G3m13id4EUREj7A3e3u7XU7XTZU&#10;rVY4FcgXCrVqldrYa3YN50mD2U2WwzUPBip4ivIzYDeLGnuNjedLN25c/+P/+3//wx/+UNrYq4+M&#10;zGx28HYfZZxeV850JFaOduQSU5Zr8seMKSBSBoncwil0+dNOy0GJKNj3MiLuUk76RKyaa3u/K3E6&#10;Hm9iWvr9tZAi6V4hhxgUxtG7iRNHT84fP37qyPGZ6em5sSMITzTl4Sa9ME/4FF+E/ESx0+1utpt/&#10;+uMf/49P/iCPNdvbINwXJ0ePzh29WpNumZcvX6a1BBraw+fINsudnZ3t7W3q/M1vfoOq4fmQzOt/&#10;eogibmytTk5O/rv/8e/+p//r/3T6wolcmKtUS+hA6nh7zb1Wu9tstm7cuPnnTz7547/exHbs7nUQ&#10;G8ct4jAct8RhSN2QfYlMcHe8zLgkuXIZN3ZK5XLou5iveNClSflAzFvgxJVqdXpydOHkwkcfXP3o&#10;w48WTsyj/QkSYOAIA0fMWjTUkQBKmiVvrT1lr1c3t2lJWx53Ik8GYBUjVAHNIE3YlZbQEJoikusi&#10;GybffGeidPIBYLiH+aasyZcPWNr2vCUwrOYWqVhAoNnSgSaO0cxGo8H3xa6Rz7dZrcqssLVaza54&#10;wHmd4On0QIpygNhqNTa3NlefP3/6dHH54cOVlZWgKX+xI/0kDMIjiU96NJJwXJEBab6bi1zzgECk&#10;xUlQuiwkYrtumMrDtCLTAaUtV8XcnoxT8HfqxUIh75WlF3tczBNdu4E4wkavT6DrdyOM1+7aFm1o&#10;bskMBo2szVqVUtkp5GXuN9ftrG/cv3//i9u3bt++fefJI7lvF/XEcZ6YP3P27G/f/83p06enp6ex&#10;GkgCxu7GjRu3bt3CzOEPTp48iRZeunRpZmaGNmOJ3CSHK+10W5SfmT1y/Pjx0fER2clAno2Crdpr&#10;7C0+k+n0ULubN25ubTYIZN99fjtfJsWFhJJoB8cnSeReWjEfHj9x/KMP3v/oo48uXjg3OzuH2RWB&#10;kdgokEbtkDR7E2t3d3dra2v9JRBscvYaLUIqOkid6BzHFukqFgvsbKmE1Mrd1mqlKg8BEOSd3CY1&#10;ZUyCIycYO8d+izoahq1gn+Rn8VYxlkd+IsYamsOVNvb22PduVyZGx8+xJ/g7085Xd345aNivD6ts&#10;LrfKt8mJ0BGdD09RDhTNVnN9eeXJ/YdPHz1efbqI8HhYGd8f8UInH5QdbxB4fpJ1sSme1837uJmB&#10;6w1cd+B4sePyx42nSOR6WjyQ2fMkYBLoC45b8Nxa5l9uFC538qfi/MVubiIJ5htZECUTzbjRa+e6&#10;g5Wktba59nlj6cHeyu10+360JVPwFfNBpZihQPkwcpP7z5/9+daNP3z6yf2nT9dW1nvtbtnNn5ic&#10;+6tz7//Vufdwb6Ojo6jXfn8W1M72UkHtfvWrX7333nuoGkaBeIQlyuKs22vv7G2maTx5ZHR+/ujY&#10;eB3fRmzFI3W6g/W1zTu3H/75z59e/+LuyvLG7i4hGO36rvPbVfKY2W6aDHI55CSL4j4yWq2UJibq&#10;ly9f/Ju/+dWVq5fn5qYrlaLIYZbgy2gYIKvYOCt1nARYeUPn1tZk5h3cKh+h6ANzzRKlYJdFx0Tm&#10;SkhZvV5HIozA7asd76oFdM4onHnCZV5ui8kIcbkwaDTPKp4ItonSP8l1wlcJHoLeNxMA0aJSsYRm&#10;m+uZb3fyvzcI+8IXo4KnKAeabtRfer704O69p0+ebq+utpqtUpIRHadDGRM2OpB4VGzLkORQJnpL&#10;3KQnTwkh8HteaEab5e21tFh66/F3T04sE6bKEkkIUrl7NMiLkWnlJZ7uFcRYNIryPKpOPuj3epu9&#10;NnI1yFK5tNWVLhgE9+XlJXwf0f/J48c3b916+OABMoCzoW2zMgLh0nvvvY+3m52dxRkgb3hTLCDO&#10;jGLSKWZ8HGN3/vz5qakphAF7h2agHM8ey+RtGxvrtHb26DQ1TM1MUWcul99YX3/0+OmDBw9u3KSe&#10;W5RirWar56FpgXRLiRPpO5M5chFQbrHJ01UEETuKSodXp1oMCdyIn3Q9FRucTo6PSoea82cvXbx4&#10;9uzpsfHxwHPYU3PTqr+zu8fO0jYLO8IuY/JYIm8kUEG0kJrxOiJZol/oHE4OPRNbh2lDxKq1mlE0&#10;wUqavS83lDIJwRKF9+3bl57OIGcqRod+Cl7j8Mjjh8HeWbfKjnCgpejPAfbllYKn9/AU5QCxubb+&#10;ySef/O6//gtqsf5skTg7krn4oZksJDKNtWQ8cr0pj5WqZ9L34ejAxQ+VTJ/1klgDryATCWWFvlz3&#10;LMu1Pzcnipi5qTwhJN+Vk/QokD/8jXyWxMnTssS462GfsHCnmjUazZtuC280mMCeVPygPDMzUx4b&#10;xXqUJ8Zwb+ub23fv3ttZxfw5Y66MLsfYffTRR1cWzlTq9Xiy8NTw7NkzvN3jx4/xOufOnUNj5nBS&#10;0zK+DcHr9/to4aeffvqv//xf1zBxW5uj9frf/v3f/MM//MO5SxfKpbLn5b744os/fXL9/v37Dx8u&#10;P336pNORwezNjky84Pv5RPpGSst9v8hxwO/K5coslqu6rog9GWhKLddsNJtJLDfhnCzmOF28cPbD&#10;Dz74+KP3poh/k2NoUZzIbbl+t9Pt9fBstA3NRvLJJGhywFmSadNmi74cbfN0Zj9XwJaZx3jxv3g0&#10;IxsuBk6+Tnnz4n8RsX1s3H2xdMQgGuH5Sj7/i4q/TV53D293Z4ezBlqNZrAvHDeOOs1hB+2KBxx+&#10;zHoPT1EOOlubm6uwsryzvdPe2yPslvygWq0UIukFnu8O+oOB35JY7EtOWuzHiJPIV5b5YmxSP5b8&#10;nImxIbHMdUy+RDYIU4TTzSR2ufg8fM9gBFdS2i16BLW9inTr3wllZNVu0u+0O3syoXp7Z29vZ3d3&#10;p9HY2Nx49nwJt9fcbRYLxfmpmbNnz/7V+/LwsOrEFJtopr0nT56gUiwxeegEInfq1Km//uu/JoGC&#10;IhLoFvWjhWjeres3dnfZzS4W6ej80aPHZIbVaBD1+5HMuvDptTt37qysrOOuUG0g/Jrg5SDVpvMj&#10;iHUlLvMpkse+8yH7TsijZNLfZVvmrYdtnJycPHf29Okzp99/70p9dLSQC/i0023j6jCUqysre3ut&#10;LTPPHO7TujpzK0sexULFVCLKlpOB/MO7dOaenLlbJ2+JsOyd3CUd9kkRc8Ghpm1WwnhvhE++Hflf&#10;FiY9lEMrd8MEmDJvGbOpYTteODz20ZxE5fIYVXlKZ2B+QSL2UvrAw7680uGp4CnKASJpdQbdbr/X&#10;Y7lnZCaKIycMOoN+M4tbabTjxE0v3S14rVK4W8YX5PdCr5VmO1najeKWk/XdtO27cei0A+JX0g+c&#10;UsS5ulMcpGGSLY97zVI2CJ1ePiukDrZirJ+N9tKpVjLfTGab6dnd9GTXvbznnN5LL2xGUb5Y6yR+&#10;Ly734m5/0N3a2Ww1EzyA580dn7906eq5y5cunr4wMTNNmbXVtccbz/GmaBVqgRIcPXr0/PnzCN7x&#10;48er1SoR9EX0ybYtW6uZE/ejrpMl+ULO85yd3b3Fp4tLz9du375z9+7iyvJ6t+14bs5zS1kaOEEB&#10;fY8Twq70EcFcYUKQOColILuOHQBgH74dZWnsxJuBnxXyfq1SnJ6ZMA05OjJSQR+73dZec2d9Y21t&#10;Y3Vre3N7d3u3sdvtDJ+WQrikqVbeABFDrbHaYO7GCXKhryA+j2LYO7n5JjsnMoZmmO8TRM72kffD&#10;LARZLm2aF+21Cmc+lE+GmMy3zKsET1yRXCr2ZXhEEJrbivKpaerPAFqrgqcoB528J7PUJEnc7XQ2&#10;N9bXVle77bZYs550jvcG+Iwkl2R+4Ms9vVxuIpIpx1KcVK/vyM0qHJzcxMsbnyDi4LilWK5N2d6b&#10;e3Lfzg0yMRqeuQcWRbwGaU7GKHRybpgLM3nEZtmVTnmFdTOer5VEOKrtuCc9NdKEc/6R0TGU7OMr&#10;7588dero6BTt2V3dwNXdWryPJ3v69CltQFsuX7584YJMoIogUBs7iKOikeyQdLZMkm67Kb6w1TQd&#10;QOQhk+gP5s88fezR86X13Z3dOBHhcT1xY5kZ34aaYDVyoXQaZD/lISAuaue6vswA5Jq5/xIziVvo&#10;yjM28bCjo6Pz88dOnzo1Pj5OM1ZWlnZ2dmQKveVlDHWz0eDEgtX6XWmeHMB8HmGzCmeljhrGxsbq&#10;MteS9OCwls5DDKSjicgAK9I2GkmQNd1m2Utkj1qpD+QfyZXvmbRZDJcSjs2/YgFFss2Sf+31xreL&#10;2YJs3LSGFgKNNb8geSpNIHu4r+U/D2iqCp6iHHTajT25IOZ72LvNnS283iBNWr1es9/rZAk+qBO4&#10;USmf1Eq9Um4vdBGN7TBFy7o5H02IckHsOl3X6Rd9HF4vcFp5uQjVDf18hu3zV8eCHqYoS3teiucj&#10;NRphndyRblqP3ZkkmBl4E/1stp3M9JyFvu9G7kLPG4+cqd2B348nuonjOaVOlCsVj05MHjk2Vx+r&#10;e8XC3qDzYPnZzWePFp883NzcRMwQBhTxypUrc3NzyBVuD+eE7cM8iWUIQ/QbZfDdBEHtdNqIGAK1&#10;s72ztrG1vbW9urq1s7Pbbht1i0Pj4fK5XLHP5mXIgZfI/K4iB6J8Mh8bfi7hvABT63vEOHZt4Dpx&#10;wetWK8Xx0dGpyfHpIxMTE2O4MgJgq91E5nvSUWUwiAacTcijwhwndMWumauU8pg1ZI+3NJjdkSuV&#10;LxABNj7V9QPRgSGEVqBFyIO9oEmolWg7/HZf6AqQHGahOC+JGmk5v7G8fbUzKmzbI9tlSZvZX3aB&#10;JfCWTCPeb70xbxD2SAVPUQ46Od/Pl8ph4LfaLaI/S3SAENpryXi4HH+64szESWRiRZJRecaFX3MD&#10;mYHa8SW8IiDywH15tBV/7gThWsw6blmeR+1s5iV0hTgQxykNJOAVzLxs0qWRoCBXrpy+3MhzBigL&#10;5UdlQtF+jrDu7JnHdO2Zp7f0Qp/lTrO1urq6sbqxvr7+/MnikyePN9dX8UMnT568ePEi3u7o0aOo&#10;ESJHMRzb7du3l5aWWBF7hH7w0dhIFWkQ0YlptJkZh2SS9Lqmv39m5UT6ZGYpW0z6w6AsooL3kJZL&#10;p0wZGMB7tJ3jk6Z20jgZG1ctuSMjI+LMRkYqlTJahYD2et2BGSSOdUG6EDLxcCMj2LhqiWJfsu/k&#10;XhYA2egLeZCxicrBg+9IBU9RDjqJm3qB54R+u9fZa7XaPRkQLgYuGjhBkHgy5K7nZG2snpt1PTcq&#10;ps2yVwnzWSVfzyhgnmKcJMtJp+Gk23kZddDNBVuFoOt7G3l/qp2VBm5l4KJzpdgNUjfIJHxLP07f&#10;7Ydu6mMWHZaDwCHnZFo4FrkTqTPXS0uJc6QV+XEy3o6zOAl3Givra1tPF1e2Nre3Np6sPn+y9LS5&#10;uX3ixAkZzW3mKK9Wq6jdxsYGgmcuVMoDptG50dFRhIREKV9ErdC4wSBut7uNvUar048Gcb+HMCHC&#10;SDxWKY+6YGPjJB5gOIxQmRtmWL0Mb5ekke/HqJ3vDzInSpKmkw1yubhYDKbqpSOTUzPT02Oj9XKp&#10;nAsCBB87l0mf+zCXlzEFxQrNrFdG6qge/1ipAyt1+Dy0mQYYjZWNquAdfFTwFOVngMRuz5cx0zLl&#10;igRl/laJr4EvfS170l1QHvsk1syQS3nrjsVyGWpM/rQ97BlhuZ32KYINxOnkukhCUuwT6tMRM1tn&#10;KLf53FxKJWiehG4y+CA2FnEg3R7dRMyMlw+LSE6UZ/tBuygdGZqlXBAG2/K06nQnlackt2J5mHJT&#10;JgZoB0lmr2ROT0+jZxi25eVlpO7Zs2dra2s7OzvoMdVi6UjjC5eeLSKBrIkt7XQ7zUaz3ZXxznFs&#10;JUX6XuJIZWPm4c9paDyWdFIRb2eajvDQfLnx5jgYRQSvj28bHa1OTIxPT9RnZmZmZ2dGR8fkYSHS&#10;I1U0TB6/bbtWkihbVZMLldWCyLC9jPmywoF9a7YiyKZBBe9Awtf0SsGTaxTDIoqivGv65ln+qZP0&#10;B/1+u7exsX7/1t2HDx48esDiweOHjxGYMMgRhvm75e84KjbCIHy/VSBmf9iSe05lVyThYSb3qFY8&#10;GTZeSN18Lj/jFlj+P3ZFQQO5E+YE4o+Go7RFRBANsU+udIEUrym9Gca60p52KLO4rYYOQvU4J6P3&#10;rsUt8h8XHCzoViWHRfLG67l8fmRq+u8NBBc0DDG7a7h58yYSYm+D0Ty2CLKtbkpmuSIzla9tyGXP&#10;lfUNttJpyxXY1CnQLMdBdPlcLmz2iyXRvm/Mb+dx5CifNFnXczu1kZHZ2fGJiYkTk7NTk5Ok2IoX&#10;ylDxMC8DG3w7BZK97Wb8IlWRUzXd7m3aYtMv54Btv+CJJCsHDX4w/BJ0HJ6iHGgS83yQ1Mlyfq5c&#10;LNdHR2WeTRmV7Pb6vVazlaapWEDTIZCSkdvBvdUbcsdrou34gS/T2eVzHXnac7aT9DBPcaeHX8xH&#10;Ep/PNmUuNz6Te4Fmi+Zxm9JVgYiemaiO1IHYP8cN+wM+j+TZ1F4/L76nXxZZ3UE3PW/LTTvt9kYk&#10;nsyRudOLR+aOInUoDeXxcHi7hw8frq6u3r9/n70YGRlhiQoibEtL0k9yb3sPFyiKhe2LZORfX6ap&#10;8wcD2bskIU4laSZqJPPbeX6Wz3OKzq7JBU+RTHPfUq57GqNKS32/Us1PTkzMzh6Zmpo6e/zU5NTk&#10;6OiouDrj6fiHI1SuyrOtWc2XK5scsBxL2oZ8yaF4IXI2YdMszSYEmyATsbU5yoGCr0YvaSrKQafp&#10;DORBKYRUIq9YODFDru+FOAmyU5e4zGf9Xo+gj2PbLDb6fjLWSgZOcqQp4TeUUeXOepi1o8Fjb7AT&#10;D7a9tBH6vTDczfm1dnfDi3dDZ7fgdvJes+BHoTyTE0WLPLcQOX7ijHSzYuSMdpwR/GYwcD2MXxZk&#10;iZ85RRn24NUSZMYfiaRbZC3K3MCvpa7vuLle3M4FeNB2u42qYUnv3bvXaDRKpRKx5vjx49PT08gM&#10;Ogck0KGZyflSscJu9rr9ra3tzc3tdqfDLkdy45IdxXKiwgH7RRnSUUArUsk0zwg1chSlcl23j28s&#10;FLKxsdr8/OTpUydOnTw6d3T6+PSJ+kgdpQuwxX7ouX5vELVa7b1me29P7hh2u/1EZhBC/ELpn5iK&#10;owVC5Mugr7Rqn2EuYZQWKgcPvhoVPEU56HSdyMy0bXpjOq7MVpPKlKES7EUHCc1ur9drNpu8w680&#10;/D3WmmqK4ZhuSQgOMoxRuunL7KPrTi8aRKk8adMtiE9y5taaBAKJ09LnU25KFcTSeDnRFyeHm0Lb&#10;WGaOzKHOP0XrY8QH9iVqZB1fQnyvJBOQdisyHNsZHwmDsJnG6NxSp4XUbWxsrKysIHjLy8uo3cmT&#10;J3/961/Pzc1RmMZvbW1Rslarzc7OXjx3Bb/Y73e3t7dX11bW19fb3Q4txL+JmMnEB0QrO8ebzOow&#10;MDM2IM8yNkzGJ2RZIuPtHOm34lerOXmwy8ljp8+cObFwjHS9OFosyZBFDh17FUVRo9lkW8+eP6ed&#10;2zs73Y7M4Gq7wMgRMA5bNO1V2I9YghxrhNBqrnLA4KtRwVOUgwJxkz/C4ZuXCGO36AW4qGwQ9zu9&#10;pB/HA3khAfzf7ffa3W6cJl7gR2m812qOe+N+K9hO/Wau/GS0eK+Wu1/z79fDNS9d8TPp5xjk8kHO&#10;88J+lrSiwd3R+P643ygHK/UgTJy9IKu10YvkSOp5EXauH+Kcip5f9Dv5pO0PIjeMUN8MMfAKKarp&#10;1uKszqvXn43S2TQ53otmOq353ebRxt7J3cZ/nkibcbPbaK5vru48XuvttuZLR05PHT87c9Jvp4hZ&#10;p9F61lzZ6zacydzYiakrp871ovb23ub23la72+pHONeY6OT7BKg4y3pZ1nWctud1Pa/lua1ikgt6&#10;7VzcKblJIesGUTvntCthWvAGR8bK83OTC8dmT52YP3XixOzUdK1UDQtFDlSSccS8OIk2tzZWV5Z2&#10;tjeXny/ubG3sbq639nacqF/w3TyGOonCoGAu7Loss9SR66bmZd2hvESDOXXARuN7xX4qBxAVPEU5&#10;QLysdsY8iG8wf5bi50hbGyfPeNzYWFtbW11dldnXZIKCPo4E+HuWYp0uDgevEwTyQOgojlzCu5P5&#10;ZnZvCdiOhGfZmNmKjKALglHp9+hU9vpxFE8M3FwuV0fSMkdyTainHKaJlVibhb1sZ1tsQ7zc1XNl&#10;GAP0ZIq0jBw81iezVbab9UWefSyh61RzMpIPC/Xw4cM7T+5tbG52nH6lUp08dmRudm4iX5f7f2by&#10;AUqzLku5lyaeTB4Ew56SkIrMHvhuVS50snXPM/MLxdg82l8bKc/MzC6cPH7ixImjR2cnJyYKxQLr&#10;BIEMaaCebrfLYbRXWZ8+fYr15Hhi9TjIHGraQJnBYFAfGWVb4nwNbEX+CXy5xPwqVPAOJva3pIKn&#10;KAcIo0HCy29JoGoE4h159pWMYLO0Wi3iMsJAfLfywLLX7RL7bWBG3lAAK3LYE7TCTeX+H/+ZDLnl&#10;lgx6UgGGL00HnV7DSfAuvWohcbJWHuvi90I/S7JB5vhyW86Xp1K6Lzq2yEJkj1fqOVSaBl6I4Phe&#10;3pFx2WU/zCWFmY1ubq830Y7j0M87zk7Zb2S9Fb//pyd3bi8+2h50RovlmakjZ0dnjlYnaB87kjeg&#10;bUgORwC1Q2VIWMFj54BNSzorcpwQPBQwTiiclkr5kZGRI0cmT5w4fu7caZaky5UKBQZR7HsBddp7&#10;io8ePbpz5w5LDuaumfRHBlK02yw54ObYZ6Nj8uAx0bj9MeYyBkLupJq9/zoqeAcTvjgVPEU5WNgw&#10;auK5ia1G6oi/hGP8h8W6EDL5FFWQsWPmMSWkS6VSLpQhCjKjSxJjiCiDElKbI4+slO4rpIncUjVy&#10;AXGf8kXp4ZiV+zJ2bSSSdNDsUqTqmueJmP4ZCA4Vmb6ajoyBeCF4FlYiqERmY5G5Gejk/CAMn5fz&#10;BJqeSKffz+dRi67vI8OtSAbexdGgXC5N1GtIVL1aKRaKXphngxRmLXlY9s4Ofos2o1I0lg3xEfpH&#10;Dk0y7c/RFnO05IDlC/nJyfG5ublj83Pz88dZjo+Pc2xoFpGOSnCbVIu3e/LkCRZzcXERhaO2onls&#10;GIfRbnr/TKJaGcEfs0Xe0njZomiuHeT3ClTwDiZ8Xyp4inKAEFUxFzD3gylvrbFbWVnBhWDvSMu4&#10;AhOOic4VmUB7CJoxMTFRLlWTzGnJxKR9Bz9nq3PdNJYnQ0rF4v681HPF3rE5GXPgR66X5nJJpdgr&#10;Fxp+9tzp70X9raIfBrluuVBM/cgLCjEyicMTEZX2YXSs7MlVT1ECX+bak9HrWD0Z6pd55dQ/t+Fc&#10;bDh1J5jvZDtBHLY6z/KDftJ5lnWTgj92ZGp0ZnI6N1IslOaC2nixnh8fEYVNU3acXWbHG40GoQo7&#10;S+VoEsqEDskemX6ShC+Ej/Dl+14uH9TrNUTu+PH58xfOzs3Ojo+PmsLSTpGpJO33Iw4jUnfv3r3H&#10;jx9zJkGBer1+9OjRUQMnDRzebrdr669Wa/g5OZ+QKX5EZUH2XgXvZwXflwqeohw4+Gu0CWwQYZeI&#10;LM8fWVoiTGNNUDv+bilTq9Wst7Oax9uxsTEELwxCInXPiCKCSdB2RemkR6Nd8qcuFzQRqUwCeiiy&#10;Kt0tsDBlmfbFD3r9Xq9f6smNtHos7amhh55blEnlXCt4tolW8GyEl46efOpLxbH5OJHNuDlXrGen&#10;ViTnSS7Brj0L08GgvxH1y6Xy1NgEja9Ip0h/LCfPPHFrJdovFrDVYpfZd5TPXoREmdhZBI9q2Tsa&#10;T4J2mT0w80UUCxyEo0dnZ+fmLl26UB+t5/Ny54/DwJJIh13e3t599uzZ/fv3Hz16tLm5ybbsicLZ&#10;s2dRO1bnkLJ1DjVbZLvFYpltyPNXiiWUWLZobuNZ2fsmKngHE744FTxFOUDwRwg2zR8nzga2trYw&#10;OtI7v90mOhNqifjIG9HZqh2OBP9hIY1nk6HTQS4IQxwcIT5O5IHR8hdOOJYOhnIPCk+EcCFhPrrk&#10;4byCxA86odvy3Y6fNeWR1blG3vcHacN3ypEXh2ExlTKOM6B5LwuedXjSTcaVe4O5zAlSJ584udgp&#10;xM5Cy5mMnJyTTXTjJMiO9NPYd0Y7gzhNRhHj1MlanV67N4iiQZzt9rvdSPrm0Gyr98ieNVss2V/E&#10;CdVBhxBONo0EFgtlubUngxDcQhGvVpucHK+PjszPH2OX45iyMusQy53d3Y11vB1K9whvh1cm8BmB&#10;PDo3N3fx4kXSk5MyJh0x48izCRK9bh8N58DKYAYzE4IVPJokO/8NVPAOJnxxKniKckAh4mMyCLsy&#10;JerWFgkykTQb9AnN1usAQZ/4a9cCbA85aCBhudftNJpNgj0SKH/fvMz8MtLDA0x5P84kjgdysW4Q&#10;D5I4zsuVw9yEL31Gys1+mqTjA+knWbPD/8wju77i8MxSHt9MEJFI4iT2FqFZVgfSoXE3LzqxMyYz&#10;gG+OyCPBGoWQmnfk9uQeghehYc0Oe9rqoewy4R87RYRC5xAeK3jmwm2VdSlAJgnR+KL06kQd5W0+&#10;h9ut1+Vxz6OjI/3+oNfvInV83ul019fXlpeW79y5i8PjBIJNoG2o3YkTJxC8M2fO2APLks1xwFmR&#10;veZkgyWZ1UpV7h1i9/jPXNuU3f4GKngHE34eKniKcrAgjNpISrTd3NxcWlp6+vQpykdMJ9qiZCyJ&#10;5vV6nWBNuOctwmAROeIv2Qlr1VqxVE5SGYGN+0ripNPtYfgiAnmWemGAcsljxbB3+Txv/FzODXy5&#10;pSfzlDplP1fIFycL5W6/7zV76GHVz0U5GQfXDd1KGhHSbVS3Uidp/k+zTBybvPw0w+TxClOsaoSx&#10;y/le2fOqiTvZjsf7ztmuV2j1p9aa/U6v3h7sOlGn0Vh1em0/Sdvi54hHHAFUnyDFrrGbGDtUBwdm&#10;52vF+XE0ZmZmUNBc3i+W8njdIOfhYEW+WSUnTwbtdjv4462t7U6ns7KyevfuvZWVlbW1Nd5yGJE3&#10;juT09DSyNzU1xSHFybFdYKOIKGcbHDoO1Uh9ZHxsXAylOcOQrYfy7M1vooJ3MFHBU5QDhBEgCZYk&#10;rLMh2gJqR/wln1BLjAZcDj6PiGzW+zquQ76bpjF/z3nRyLwZkJB0Ws1EbuahUW4qc6yKbgVh4A+k&#10;qwmrSd/DJHZdr+R7QeCP4P3iuNZPqWHMzEJXzly5z5fKQ5xtVH/5Ht4wzpt/bNC3S2RHekiap7G0&#10;ZaBE2siJw+yMlFhuhcSdbMenwUmUk96Z9XzJHgGWSAs7a680wsLCwqlTpyYmJqgELUScEL+pqWl7&#10;UZcDwoFCijrtNktOFxYXFx8+fPDkyRPb5Ye3eDsOKSWRNypERKmHDREB2RD5ebytcczsu+0Ku7a2&#10;EQYhaocc8pFc2zQ3EVlFdu8bqOAdTPjKVPAU5aBAELd/h/xZEoUbjcb6+jpRm4T5Qw2IyMRcXA6a&#10;R1wervYN5NFgyE4mHRprI/VSuYLa9SPCdwtlS2QWOSdGXXBRyFcun8aDzHPySeal6WgnrabuXN8f&#10;S/zZ2K8OshHXLwVh4iVdTFje6ZaDo13p1om3k8AuKdmoRHnZ5jDH/osg8NorBl1caCoOcKSX1AbZ&#10;ZC+b6ztTfn6mGcVJNNroNr2k3I+iAk3PkPWeAR1CWthlHNjs7Ky99nj8+HE8GQcEbWMHzUXI0XKl&#10;WK2V8oUwivvN5t7u3s7e3s7a2urz58+Quq2trY2NDbwymoeGtdttapifn0fwOOZIGocdvUQCOcj7&#10;gscJAYU57Xj+bJnMickJdDdfMINAKphVvaT5M+N1gvfq0xZFUd4q+wEUb0EURucIuDgV/kr5+yTm&#10;WoeH7JG2JV8JhYnXuVyIF7HXAGdnRC0WFk6MT4wT01MzOE8uEvoysIz4bDfMiqHMECDzBFCM/+0W&#10;2RyrdDoEf7kfZsp+D+SWl2xDYGumbblCoeibYRW29yMJtkIMioyvEpdmsGlkCZWZm5sjPNlruTMz&#10;M+wRVo+12h3pvUnOSQMJ2swqtBbRouZarcZGOZ7kWFNIbS/CnzyumkNEJseKY2KllBMOlvbIs650&#10;AQplzj/2RXZDOre+Wu2Unx3q8BTlHUB4JbaSIC7v7u5ub29j7/b29ojdhHWCOIGbJRGcMoRyYrFZ&#10;7+tQDVHalccoGy1Db3yvUCohZr3+YGd3u9PvyVC8METiYploJ84CZzxyip5/tutPuflLvXAuCU+m&#10;uekkKIV+Pk7X0laj394qp72q/347FHv3klLK1AmuTB60/yLfuj2WvVwxcXwZuu64+TSlZQXXyVMs&#10;iapZ5gXeaJzmXG9qkBb7ydhOZ9EXcbQSyL5b0ULmrQPjELHjyBWwaZZbW2ujo/Vjx45OTU0WiwWy&#10;OZKcvidJiiLaDimsgoZRD5Xg7agENcVEkmOVkjIoKFtkE6zO8V9cXHz8+PHa2trmxlalXDl27Bhl&#10;KlWZ9Jy10kQHnv/M4Pvim1WHpygHAitgxHq8BeHYdkS0JgNfgtrht0iLwUiHj818JSgEBV7oAesW&#10;ielnzpxZWDgprmh8gvCNX+Fj7JTcwRp6S3ksWSGP5RKKBemaIT1iTKuo0D5fBHMj2/g+SO12AwaR&#10;SgOqwx7hq6BaqxaLJYJQfyBPUEPyYwP2DuFHfshhXVaxIDlWeDgg7EU+nxsbG2M3ETPr844fP47a&#10;IVEInoWPZKoE00WFdTmA1G+NI1izyBGgtWyLU41nz54tLy+TYBP21h1elC1ShpbYQ6b8AlCHpyjv&#10;BhtJG2YoAt6OcI/mEd/tdTwb33krsvFCIF+F9NtEaJAnTmTDnEzSKjmmW0qcxDICL437g0GUxGT6&#10;bpR56ZG+WwyDi73cWJA/3w3GU38icsq9pO8M3F5/ye9EWdwcC/2R4m92QzZv471MmWAt3YvlV14U&#10;QODSQpDSVsr6qY/5cvp+PPDSrhcFOR+Z5ZS7kLhjscy6N94Y3JgscxBEYBMZpY5+o4s4PA4Ce8Fe&#10;czawsrKyL0jt9t7Ukam5uVnOCVBojGyxJDpardYWFhbQOXsNk6OXy8mzQQeRPJyTHJQPIUQasX1Y&#10;ZyrnJIMK8XZ37ty5f/8+3wKHerQ+Nj0zzRnD0bmjUomZGTZJE+81E72yy8oBhK/ylQ5PBU9R3g1W&#10;8LA4Ozs71ujg9vjjJNYDwZwy9rKe1bxXEoQlV+YNEKxAJtGg0+0Sp6kcKcHb9LpdZIMC1OnGXbY8&#10;PvCI4ycwS/n8dMxKfmAkp+FGURyt+32iQzRSqJTLH28bJ2q2ZYP7N0O8zbDLxJHHgMlYPNfxZL6F&#10;LHViBK2N6vl+L/CxWl25ZRimNMZ1b06V7V00pI4lbUCcEDyW7DsVokMPHz68e/fu06dPNzY2sKkT&#10;4+NHpqdxruwO3rRaEXWcmjpy7NgxxMyui2oioigoeoZuzc7OWttHyEMd+ZQNUTN1UvPt27eXlpZo&#10;DMZxbu4Y3vHUyVPIaiBz7snDReM4lgdwvwoVvIMJ3yZfsQqeohwI+Atkyd8kUkccBzv+OiyUK9WR&#10;UrWKV/OC0PX8zPWSzM1kUMArXmkW8cJYSUB20ySL8VZhPuz2u5VapViu9KN4r9nCOsXSXTPbyNpR&#10;IXd21w9T/+NG4WhxtB4WEKUn9WQ9iB+G7VW3N9ZJ6n7+bzaDU5vprOsH8uzKVIYYeIR36YtCnGfb&#10;/JtLZb7ZYuTmErccuYXYjYKBj010YpeWGKHE6uG0ilmQi71aLx2NvZleeqQdHWsNTg2c7aQ9s7FT&#10;aHcmmqLJBdo5OlKq1dyJ0Z2o3+y2Npt728+fLj17mmxt5NMoqI6Njk7U62OVSg1lrJnHUPPCE1tj&#10;h5ghUWhnqyUPcMFAT05OooWA4KGINIkzDD6y3u7Ro0ccfETXOstT584fPXZsem5mpF4vlks460HM&#10;Ec5cny9C5O1rL+VgooKnKAcRIvL6+jpugxDMnyU6V6lWsC/ib6SriPyhYtSsQH4PXHkQF3/og0j+&#10;S8TpyX+duO173vGG3CG70Jf5FoqZ9BRtFtJev78ViUgU4wyDOOVIl/1x85SV1GzcPlElMy0xvVgc&#10;EQGW5mPf2EAzN94rEM14AW+Rdpv/aK7Gso2iZtk2EgL1WhXXNjG+u7u7+vz58spK2mohZkfqaNBo&#10;VijRKhqMe6MsaQ4UdbI7Nq5x3mB9m326CubP3rdD9mq1GmVardbe3t6DBw8wjvYBm9TGR7hAEcWF&#10;BRR1pFajZlbHJhI7MXqyx8rPB34JKniKcrDg75CwvrKyYsMusVsEr1ItV8rBcNJR/pewyx+tXeU7&#10;4npuzjyWhb91lq7nRdFg0B/00g4bnWylWRjMuPmsVuyH2a4Xr5XSjai90m+007jmhflqZdorBbm8&#10;Eybd0OkH8ko8eaFucgPPyzB8vI29rB/Ii2LdkOxXCwP7wHZpBh/zLzmk0ajBWKXUi6M4znX7e1mC&#10;lKW1UiWf86vltdUVFGltfX2kUD6+cHJmcjrIFxPzBDLOEjqdThiGCBWazcFBnDiAGDWOJ2KG4FEA&#10;93fy5EmUDMbHxylPJkK4trZ2/fp1dHFpaYkc1BRFPHXq1PHjx08snMQvchpA8zhJQPJ887BSUT7l&#10;5wO/sVcK3vf7K1IU5Y1AgLYJIilhOooi/j55iyaYkWxWNqSUdJb8/r0lEUpWRlOqVfEuCydOYF/4&#10;g58YnyiXZCS1lDCjANk0dIUeishauTBXlE4fX3lo54/EipxNADWHRCNznzIMZYhePp9HoWlYr9/b&#10;3t55/OTJxsYGbaIwLm16Zhodos00GDhWVoEobyFza2trcXGRs4dms8lHaCH7OzMzM2WeIlYsFilD&#10;nU+ePMHYPX/+fGdnh3rEOx45Mj8/f3T4vLEx/GVozLE01zT8RduVnz3q8BTlHYCuSCg195MwHPgS&#10;IjgCgKnC3qFJL8RGylD4h2kPdbIRpAs5QUpxjbEnwxiCRq8feqVcrl0JN3LxahA/9DvLaW/PjaNy&#10;fqpQRSfrSdjnNDmMeoFMthD5ro+IUlsqVzlJexmGj93IemEW+1k3Jz6vGL36HNru776GSNIsg35/&#10;tBMHjjM+yLqBU+oN9vzMxYd1W6HrjIyNz80dPXXi9NjUkW67v7S6ef/RA+QNAbO+zQ4woHLE7PHj&#10;x7du3ULJ+v1+tVpFw3BslCFt+7Bgo+3EeM+ePUMaUTvcIWq3sLBgjSCOMCwUjA8dNg/MV8AWTNOV&#10;nwl8cerwFOVgYQRJhsQBf5a8zTIZ/Wa7e1h7wV+ruRD4/aBCNBLCMFepVCcnp4j+p0+fOXH8xPjY&#10;OA4G24iz7HQ67VabZavVQifSVJ5piX2SKdRlzvQ3dh3PiMhQvM1uigPlLXuNvatJ75MayoR6RQOZ&#10;G315eRmjhlKjbWRKO9tt1uHMgHrsqDuW7CYukMy9vT0cHkoG7BfGDhljSRnq7/V66+vreLv79+8/&#10;ffp0dXWVVdg0ls4M2xP7SxoryV6DPIYURZc2I+uo6WvHQSo/L9ThKco7gIhP4Ca2NhoN4jvRnDSZ&#10;OLxS2To86bRirm+KTtjld8fIJKezrOeauQfk4qFs0Rk09ho7axu7UW/gO1tBuhQMVrzoeTjY8tOO&#10;m7UCrxT7vVxQxuHlwqoj06jnpL+KV468IPXKAyeXuIXYySfi+XJogZuFCIQrti+XvNqJimcye43K&#10;mcUwPdGOJmI35/tjUdb3nVo/bnlZqdtvZ2kFK4k1zdxuL9rZ2W00ulHmBL6Dclsxq1QqnMVvb28j&#10;YPg22/cSdcSrnTlzhqW9UsoRRj5Ru7t37z569IhibJmPsIBnz55F7aanp8fHx3GBnB8MosSaamn0&#10;fpvN86YlR/mZwE9dHZ6iHCyswwsN/FkSWK3HMw4PBZGQa/5av/ffKX/tVMXqrGz+/B3f91A+nBSx&#10;nvdJnPTNxKpy78485CVJ5XEkvb7MUIejiiKZJ+HNY/SDHReXl6ZskQTtQWzy+QIahs8DlKrT7Swt&#10;LT14+OD27dto1eraKr7z6tWrp0+fJnJRkiOGwmHs0LM///nPmDZcGlJ36tQp/B+VsDWc66Z5kApS&#10;Z0fysV+o4MmTJylJVehizTx+U/a918MYc7xpmhy/xDjRofApvwRU8BTlHYC+sPz/s/efTZIl2Xou&#10;FhE7tEwtSsuuVtMzc4AegTkCdj7z1+Ab5MU/gZ1r+AAz0mi0y0uQZqTxAuDYwZwRPdO6VJdWqTND&#10;6+DzrrUjKmVPZndVd1bPfjNzp2/fLpYvd1+vry39TCZbOXV2tyGEwJoUNrKwvpOHTYcZLNMJgKU2&#10;51DrXMpgi5Wfmpo+u7BUyZfaqUQ11r8/at7p1+4F3Rel5EYhvZZLbmXT1UJuvZB9mox9Mep82mvU&#10;O/H2INWPZweJ3CCe6cfSsXg2HuT67VGsH+SG6fwoU+wmc614oTEqNsPaD2LMHPI7daYVEEokyols&#10;tj0s7bTnWsMbg9Q7sez7veDt1ujcduvMRqO4sRN79OzJrdsPv/hybX09ngygusnJTPjJH+rwD5qj&#10;q6mpKdgO/69SqVAdHAZzQ3IkuHv3LrzILmsLuNCpbn5+3t07SrN7d+B4JES4l8/7m8yv7OadCN8v&#10;IsKLEOF7gBtTD5j5D80rPoUuoeFr6Z74kCGAJz4+dCNjP3TygmQync7g2GX1tuU4zDpjX/omImUf&#10;MYAA2J2emsbXwdJ3Om0co1azCYUoYO+6pExkIbscs8HQHoCTV0o8/ihHdNrU7ro8IeSAqgjbSejO&#10;mlQmnUEkGBptdDu6hZVD2WymVCxCdQhJRbVa7auvvvr0009fvHhB1fCcX4fzdiEk3IbP98UXX+Ad&#10;PnjwAEcQr3LaPnruZ0T96iAp5WXagx/fSP4IbxKia3gRInwPwM5iYd0uN+zN0Q4MPmYXi48RF9GZ&#10;u+Epw5zHw1BvGtN1C6+IQuCpXq/frle3Nza3trab7U4bboXfKsXC9HS6VErnC0Eqg+fW7Q7qiXgv&#10;ldrJJXPNYTWVbGQz1Vymlk6uZ5LbydhqOtFMB1uZZCcRrwbx/jDW0zN1qUSQhqxDCY6HXCzVj8Xx&#10;doNRHLYpdkfpwWiuM8on07PNXqc/yDfa9dGglAymzy2dO7t0+fIluBZ+Wl9fh8nu3LmDAmHHK/ap&#10;IPw/uBzCwy1eWVnBpfvss88Of97u0iXcwZy9oVtnc4dDVITm9dHcCG8+WJnRrdE1vAgRThGYhxhZ&#10;zC5eF3acmYnl7XY7zVaz3Xa/Si4ef2GGY8MnuRErGDLtcdTqdX3UGzLodnvEkIzaU2mIKpGyZxeg&#10;imKxCGfMzs0iEg6i83G1Vt3Z2fGbIWt1fVWVIKVRJu7XQJ9W0GU5/nntx4e7dqG3O4rBzHhdVI2j&#10;Bj8hG63Az+tD1W1dXESGx48f49vh2LGLUaMF+Hz4bfPz8+7eEenvybx79+5Rz9vRRlpKo01L6ggX&#10;IcIPG5GHFyHC9wM3srCaA/IAfbkYOnXoDkcqJT8PToC1PNcxQXrjPIJiTAgJeoCzNp4+ffLw0cMH&#10;D7c2tygSdkmlswlzAmN6Zi+ZyeWnFheLS4udXGpl2FntdB5l4nfTg1uJ7mdB6/Nk53aq+2Vu8DDo&#10;flWM1zKJlXK6lwy28qluMqilg1L3ZLe61JOZRgCd62WghUEsN4iX+7HZXjyXCMr1TjsxrHQH26lh&#10;qttt55OpIJZM52A7HDs8PCgWqsNpAzhtUJrOgg6HMBxpbt68+eDBAwgPtoNBYbvdz9uR0tcEu6Gl&#10;wZh8I7zRoDcP9fAiwosQ4XsAttVsrIwsu5hpfCkxXqeHs8RhCA+fKy0XR24fKT3jMWFftCELv9Qw&#10;wqvb3NzQ/R13bz179mxtdRU/Mp3NQBKJdFLOmT0CkU6li6XimbmFmenpWG+APzd8sQkZ63bOVrvd&#10;bLQ7HcrCq0t39RBFoT+ignxXdzNmBmpI+YSPrPWGeqtMCt8uHk/i4mGndDUzXs/pFWJreT1R8SIT&#10;xyndSo6IGcWTuG44efA3bAfPXb161W8/wa517Rk+eO7LL7+8d+/exsYGvIgnt7y87A8zsCUlrSYl&#10;MqumMdhFD7F4dH/KDwF0aER4ESKcFmBbmYcEzNhqcmLBQb3Zslc4QnjJXE4fdYMPiNFjeScBxpti&#10;ITIsO0y6vrF+//59/J6nd+82avXRcJTN6MM6xVwhlUwHWP5RvJjL54vFfKGYrpTj2cx6p/m8vvOg&#10;19ospVan0uul9POp5Eo5tVYJnlVSm+nh01y8Meo9DnrNTmctGODZ7aQSl7on80TXglQnGWRiiWGA&#10;dzhMDmP53iDXG+GWZtvdWjYoxuLPM6N+o76eHMRHg0ZnCHnDgrAdPOceG5TG+qBWq62srDjb3b17&#10;F+ZDA3hyhz5v5zfCoGe2JPOwdqMbMn8Q8DkVXcOLEOF0wU9dYpftvkecHPkZ9p4T/uxZMCbu0V88&#10;Pwp2J73mfKvV3t7efv7s2Vdf3bt58+bqqh5EKxZLmP5KZQqOy9r9m0GgN57kCwWEocYuEhjvmmz6&#10;MF65oi/xlMol0sAZlNzu6KkA96I2N/VJv2azEVZ/bMipGrM+oEZijK11GTJI2nldfw3NYNDrdp8/&#10;f46Wzp8/D4FN7rREGH/TytOnT+F1OA/mo5n5fP6o5+0ITKpTjcZ8EX7wiDy8CBG+B7h7BzC7WHDx&#10;h33vZjjoY9f73U5c7+mPsU0lg1w20+u0Y6NBUm9eGeHxjQZ9DhHWnZiDPodInIAtB/3RUIeSQVz8&#10;0Gk367VnTx7fuXXz6ZNH3Xbr6U49DsvNzOdn5lL5yiiph+qS6SJ8l4hlMvFMIV3KxFOderu5VR11&#10;Bq16JZOcSWfm8pn5dG4unZodJsvDeHmYnarFi/VMuVaefZpMfzYYPsjn186emdva2swk8Rr76XSh&#10;O4gPR4XhMB8PRqN+0p4mRMj0IEgO44VuMtMPpuKtqUF3kOjFY91mUq/lRB/9ZCLfS+b6QXoQm6oP&#10;eunhYi/WDtrJ7a0X8V4ulyzNTs0vzS4un5udn59Ol9LxVLDRXrv/7N6nXzz64s79tcftdqs3nUrP&#10;FD546ydLy2eXz55bWFwqlMrDWAImZyGRCFI4c/FEki3upN4MGkeDkXv3/YNZoIkQrkLChUg6k7YH&#10;N7UqsghPpZPStrsfxDOnolOaESKcFuyesUzvjl5lqSt5uCaEOeQT1bf4MTglhD0jMdAkwF/xXQ6R&#10;ABDJlniKwul58uQJTs+jR490QW44zBZL2Vw2lZI3mU6KmuQLxmPkwW+DWUlTq/vbzupKn53T54oq&#10;RZAt5vACM9kUPmHO3ldWNPc02dEnF3JBQPQH2zXiy3GJmuvhmI5S9pReX18/t9ti4LyRWpEcajsM&#10;9BhD37+0ZzeMpCw+4GcUq2doWfx5SVcxn+upvOGzUSyVTI2kimCqgps6E/Tj62vr9768fffOna/u&#10;f7W+vtFM9HFG5y+dvXDxwvVzV6Pv271B2MtfYjt6zd1vY0D9+a5GhlIf3o8ciggvQoTTAmYtExL7&#10;CzmxaxNSN6oQQzyE50eBH4XwLJ9ASmJIzEwmAWEi2QJiOArbdbvdtbW1hw8f3rlz5969eysrK0Ri&#10;9BfmFsVy8UQmmcxlc7k0PKpb/9OpXCabiyVStXrzxerW5la1248nU/n5mYVSsVAs5YuFfKaQzWUy&#10;6VwG3isV8ulMNp/KBKn0qDdod+GsIJ5KX2nWeulkFsZN66G8rrmkeKad+LCfiHWDONtBItHXPaGJ&#10;XhBrpgdEtpL6GkM/ID4eDOODRCw1QKgYe3mc2CCodEbJ3nChGXs46hWGiU63x19hZmZudrbabN26&#10;d/eLL29+9fjhk+dPGp12rpI/f/b85etXrl64ePX81ej7dm8e1Pn6Z3TGn0hOf7bx8e5DXqkOA4ci&#10;wosQ4RTBJnD4wBxbwnAYIB66gp+YsUDT2uDcNp69AjFOe37Uy2y1WjUDXt3t27fZ+oNoUGY+n4e7&#10;5Nvpe0GZdApiwr2z/PGA1XOz1drSw3bbeGyefqo8l06ngoz8ubjOqPKrp+WKOXy8FF6dGK2DvN1g&#10;IPFubG8TVzH/s9iTSCm97SU+OODhBebJ9c3D82+pmxXTm6nZBj0pp5eU27pT0JpgO62YOxl97ag5&#10;HLTbnQAey+XW17du3by5/uzFTrXa73aQee7M4sVLF5cunZ2ZmT07fw6nFIqjUJRDFYjHb0R4pxO6&#10;RdnojlFt8AHPr/GbEKYcY/++g3SM+YjwIkQ4FWAG+jx0TCKx70xUPDwID9YBmGZgBKdbSABpSOnx&#10;8MpklxJI02g0YDh47ivDthgoKBaL/phachDPp1L6pHo6iw0Z6LHxEdW3O4Nao7mx1ajVW4N4NluY&#10;ypcXsoXpctbeppzArowG8VEcktVbreOpZEpMGQv6o1i/O2wPBv1RvBtLLNXXe5l0PpUeZNP54Qhj&#10;kxwNcenIC9vhBtoH0xP4cNAg23ZyRGQvIIZd/SZGig86+kJPDlFG8WIvPtUcTjWGZ+qjx5n4Qiyl&#10;G2p26tuxQb/Tub+5evfxg9XtrVZiSLNmzyxdvnTh0sWLZ+YXpnKFbKEsTe+xl/yiJ1d5hNMFW+HR&#10;V+I6myA+R3xdqPCE4awHtZby3X0g/lDC0yIrQoQI3wt8KnqYAOyVhWsKhSkDzgqRkF/d0Gw22+22&#10;U6CnB/CiG28imeF4Wv4+ZX/senNzk0jcIAiP0iA8akyl09SSzqSpuNfr6uG/ZqtWr+stKrXaYDgs&#10;FIqzs3NTU9NIkkoZoboHJs4N6+1Rr8kfBPiLKhAmJgUS4u8N+rrDU1mIsowePj4wemzthk2RvcS2&#10;e1nzhbxxbZyW+pvDbt26tb62vrGxQfr5+fmLhnNnz/lbN9EPGETft3vDoKFG19N3dHSn0x2f7yDu&#10;5WW8CfkdH5GHFyHCaQFEArswmwlgnQkw25nlHGLmM9UJsCVmdxqyEAMdAvy5hw8f+plMOJKj8ByE&#10;ByfBFgRmssVcOoOTyIq3P+j3Ou1Gq91s1qsNmKrdHyYz2XyhslAsT6ezU4lkNp/oURFuGUUNnLzY&#10;x0XTZ/KgwUAv0uwP2sNhuzdoDobzmyuxbHY2lSPrTE9r9UJ3iNNGq4IR5okAi227LZJjOuEZTw0T&#10;AVt9XS+exPvzZDiF/o31hF6/khnFSr1RpRerFjPlerfZ7eSb+oDfsNnaCkaJZCKeyyxfOPf29Wvn&#10;L186v6A3apYyuVQ86KkeSc2fVWim1BhUMRFOHxhebIzteu1Ox75e1YLhbArYQkovSdAg/JpO5DCT&#10;IvLwIkQ4FfCFarhj0PRNJGAmvDHcu9nZ2elpfb7AnSfIDAKDz3Da2DYaDbiQQsw66EQQCba2tl68&#10;eHH//n2cHhJwqGQw30ufIoL8KJMCqRzzYe+xjOMyktgfisD5y9lHU5P6Po68NzIST0UT2J1yehcM&#10;bOYyw7hKjfXxO3HsM3L+kkzH3oYeC+GpWnmWcvZoC/tJ+7IPsmHsxODpNCk5RLtw6S5e0iuhl5eX&#10;URpNRgTaGH3f7s0Co4jOZcgwkBjh7VZLb2PQJzv0dllcPZ3hUD+SMp7QS+lOhsjDixDhewBmGoQ7&#10;YxCDRfZzd5h72IVpDzDc7HY6HWjJkxFDwFlBpyQNz549++KLLyA8wvAiRRUKBX9vJMmggfn5+XQs&#10;lcsVUmk9z9Bo1RuN2ub25vr6SrPTSaeDyvQ8PFsoTsO7iURGTyzEenLAcCXj2sJxeGiIwNoZ6kC+&#10;/lCf72v3cUV7g/hoZm01WSgsp4uZfHG5F+ACVtr9YBDLDWNpvDe5dDHcu+QohldHoDBIZoaJrD6h&#10;nkj145mebltIDEedYNRPjDop/Q5jw25iCJ3qYYVEqlBtd+LDqX5sJd4bVeudfGa+jOBz584sXz53&#10;YX5uvpTLQ4oUTo54Rt9DkMpMw1hJVGErAHmqNMT9P+NBtoA2SfGWWCyuqOHArHCE1w6dNYhpFvT7&#10;upLNSIbvGo0mHcSIdQ/P+mgA83U7XfrQlo6+lLGNVloK2OxIkCyfL9Cn8OWF82cjwosQ4RTBLbNs&#10;tG0B8xbGYgYz4f0MpxOhbzEKtVoN3+758+dfffXVw4cPd3Z2KAQ3zk9muoMI8y0sLOD9nJ1bhsw6&#10;3Q5u4ou1lbW1NZw7qkjqlsx8Lj9F+iCZt3W2viQQjDq6IdyIQcYE8Yg1SLh4nOV2R99hqDdrdfj4&#10;wvYGJSwnEDmz2NWZw8pgpJskR343pkyRXtDMP5U7SkFiBmMfYSi/Tne1TJC0GyrhSFArZDFha2kJ&#10;9CQrI1gv0cocLZydnTu3uFyulHP2oIVVNRokk6rJQCQbrKEchHFk2CpB/6BDT6Ot/UfPwLg/wuuH&#10;jX86h3UPY9zGufdQrNfvs+KD/PD5IEI/1clg4J88P9ZdNimM/wRyMfwYIQx4sWO3e/78uYjwIkQ4&#10;jcDywhmQB1sMOhOYqQy9MXWZw4AJjG/H5N/Y2IDt/FWZBJj2pPdTl+RltrM7MzNz9uzZM2fOLC2d&#10;7/QH27Xtrer2yvqz1Y3VfqxTruhJu0Ihncvn06l4ENd7WgK9iWTYTqQGifRATl5qpJeSJG0JHsSG&#10;fbyoVBAbDPutZq1W32m2a71ea7bfGxXys0FmlM0udGNDPMsuBKePzsVHMd3nGdNNmFijAayHFYsn&#10;u/FYss/BeLofwxckEoZrpXXOtJUa9agiMeqK7oa9YDQzTOfbvW5SH1XYSsYyzV4nnSrpOYdguTID&#10;4U0X9Q1bUlMkhfV1SLYPGM2ZGdVNK7gR5hr4ZgzS4LWiZFlPy2AbdYcXEuG1QnT3Euo4X4XQG1Ba&#10;y07s1+siPNgOyvM1n33uqq+T6UZ5JIYgCZCX6cKCj8lCgosXzkeEFyHC6QIzE7A4ZaJCV8x2gA9G&#10;jM9hAphh5jlshz+3urr67NkzqG5zc5NISK5YLEJyZHG202tH5ucX7eOo+UxRX0Z9/hS/sNGsNVvN&#10;ZCo5NTVVKFXgx2SqYLXoAtgoJj9JT8jxTxtVa0Gd1IQUJBaM1es1G7VGo95pt7A+Z1otClwcJFOp&#10;5Bmcw1is2OoO+uF7xdxvw13SHeaJgJ+RPY2XtFV5gu1w2IVDh8NeRqavb+lFX3YuFCQDvQtmM48b&#10;mHiS0wXItbRuvKz2+1OVqbn5Bdoe6LKdyRyL92VCqUv7NMmsoW74ozq26LlrZ8bsbDF/fg5N9hRN&#10;TrTt5zZVfYTXDjrbukz9r16jNxlRLDqsBwU74J2qhYhHqme1ktHTPNAbuywHYUK6k6M4hMRcvnQx&#10;IrwIEU4RmJxujs3OCh4PjTlgQZiMNNhlfwIBqoPD2CUXCdyxw5T7mUxIDqpbXl6enZ3lULMbv3P/&#10;/q2vbq1vb3UG9VF8lM0nCmW5dsnUCPctHuvEBkR3MCR4VtX0TB/fLp4aBHrwbhiD4+ClRHyorw0M&#10;ew3Yrl7dqNe2261qr9/uDbv1dCI/indy6dlBrJtJ5vuDtt6rMugG5rEl461MvJeKt9Pxbjr+vJTe&#10;gb3i8WY6yA3gQn2eJxEjAS5YDJeOWgKR5Sij5wVHlTaO4LCdTOT6o+0glm71GqNYpqVLiIv5km7z&#10;yeRimVQ6owcBoce4vaDN1IgFlT+H4cM8wnCYRVitBec3GzgNju3t7Wp1BycC8kOfvmhA5ZY9wneD&#10;MdtZx/lqjw2jOpfLFwr8FvJ5fnW63u+XIj0d2+/ptIctXNow3Pb2VnVnZ3Nzi11mCsubG++8HRFe&#10;hAinCMx1sZxduvMY33X2wl0jzKzGNOPP+fcB1tfXmc+kFB8aI2IjMOvOdgsLCxAebEc89n1js6bP&#10;CTy8S5ZEMLBXr1BqNhmkKDkeS+sE3iClBbV5eM1kkcW0vaUa0tAn7+KjHqtwtiykm/Wdaq3WatZs&#10;Ta0bPUoDfaV9piXP6lxziK2a74/wj4KhvzMTEiE/0g37Wo8P8AfhoUJXa/ZiPy6njxV9ELQCOXRj&#10;wtM2bR5euqtTqtt5KedZPsBfw8OD/uuJODYwWdRTeolsClMYT6vkgT24b84c3iAia4sfUN2pyiza&#10;DT/jy0IN4z5MpaJZMdAVsF06nUkmpQpVH+G7gJStXwXGnJeC8HRZulDQKxSc7bLZHKlhQ41Nue/u&#10;tIMBPVhjZFr32upQj+i8dSMivAgRThl8koc7tuvkx2wn0LRXQuPS4djh3sF2GG6OmmlOOzUSwChA&#10;cnNzc1NTU6VSiULwXWDHOw+fr21utnuNdDY7M1+cW5grldL+VF4iMUrFCQ4TMJTdO5KMDzeSC4N4&#10;Ur5dIolR0dN3wx4u0kDnU+v16nqn3Uwlh8VirlLKVcqFxHSxl09l273qaFBpdjvJeGkw7EKmqVgn&#10;iDWSg2asvxXvVQedrUFnZ9D5MjtYTXTjnV4tMSx2R/2kHrmj/b3YALIbIsYolh2MkqNYoTdKDUV4&#10;qKaTSaYGo+1sMtOP1YJEqjds9oe5WNDT7S7Dnl7wmW4lR03W+nVMXhMHDvMHdHONOI2YGnrTV211&#10;y4PuegBwIu6CnReDvEcysvoGb3hW2XojwncARqv/s+B4CWidED4vY3ssCnWqmQGvkx5jaBcPP6Ne&#10;Yymnj1sVi7BdNpv58QcfRIQXIcIpgjkWAmFmKdtJmAlMGMfOr9i9ePEC5oN2OIpRZrnL5Pews930&#10;9DRs5/GYeHLdv3//7v2neDzlSn5hYX75zOz8/FwqrVu38X1kU+L6PAG+YkJWJo1l2UxMsdIO/Ot0&#10;eHh4fgN9K7zd0Hm/Zn2bGsulPMw6Pz9DpXihpCxutVrt1sJWkwbMdeQXljJ6FrCLx9XvN3t2LpG/&#10;TudxX9tCrTcYDKdb+vx52lrd3eXhJS0mIwcylurrZppGXqWt5OHB0VpKHt5qp024ldD9pKO8zut2&#10;EzEW+O0qGnK2wxeF8MyTazZDV08fHZRDAEZ2DwurCpQ9tPd/mt0ELCMCtKrqI7x2aLQ74SkQUp6u&#10;3rGrM9J2ezJ/FhEzstMvncUqhwWKndTPVioV2G5qerpcKTMPGJO4he++cyMsKEKECKcHzGemKAGM&#10;sc9QAsxpLPXdu3c/+eSTzz777Pbt23AYKZnerGGZ6GRhhUsYl25+fh62A1hq8m5tbd27d+/hw4dw&#10;wKVLly5cuFAul7EIlInn5ze8eL1u/glzSDUOk+l0KjbKEZ+MV7An3XYC5uh1e9Dt1s4z0iydLZ1Z&#10;Xi6VU5Dkdr+O97l1+/7a+vp8rYsk7yR1DupKQp9pzTfblBPgUOFUNRr86+E6JoJuMZnNZTOFTDaT&#10;PdfR3Qg3NgdBMnkW3xVjF9NbZuoZXY5rpJP4X4n+kLV9K5vsdjv/lGrWa/X/23CjWCjezKdo1Hs/&#10;+Rfvvffecm6RRf1Gb8vYXDfp0ShKwHoSAG5JiQHyF+xQcWqmKde1QY35Qh4FlktlxKIN7l6QmUN0&#10;iueNzOfpBBOBhU4ul2VVQ3gwHLCK+Wd/9ZPIw4sQ4RRhYkwJe4DpijmGqHZ2dh4/fnzr1q3PP/8c&#10;9oKoiJddzufhFT1FZ48fXLx48erVq/YEwhJOXrvdfvDgwVdffYVDBvHAcxyCDgnDlNAVTADxEDDz&#10;HdbILgKInNLy2EbDAGkS8Sx+WLWqc6oQVq/fS6XjFDg1pVeXdft6RqLZ07WT9lYVgXNt3dhSaIlv&#10;0q1OvdEYVGvUFe/3IIt0Um5TkIaisrF8OjaKdXq6kaTYEdkv95OJIFGigNGoPxTrd5Oiq67dbp6w&#10;F5uRhKX+i6Qu3dxLDaCldd3KmihV5lFFoof8g248fHKReKpjWcAhVxRkhkuKKhbwdnF1DZmsngCx&#10;M5wdugIexIUgrwo00DEkoF0oChCIcApBT7HQoe+869Vlo9GZ5aWI8CJEOEXAOrsldeYjhunKFhcN&#10;3sK3+/TTT7/88kuYjwTwGZwH5QAsMr7d2bNn33rrrevXr58/fx6bjn2HF2/evAnhkRIuJJ402HcI&#10;EsLzM3VUBMOxxcwjgLs7BCAnCGk0GuhHd5nE8Mt2tihyo9Wup5Lxqenc3Nx0sZTCDWu3q81WvVNr&#10;dhqtYavNgjo50ucRBoNuddCFejZ7uoGukRjqLoNCLlvIpYuFmVG6nM6P0slhp7/VabbbXcTpp4Ji&#10;MtVMy1DVk7F2YtgO4u2UGE7P1g2HqUFMnyqHm/uxRnyU6Y82U/FyLLkWHwXdQSxfiMdGbSQORsmU&#10;tEeLnOrc/WULt6E99LBoYBd1ETOMxaFHe3eN7ltBD2gG365Y1AMbICK8NwL0VER4ESKcdsikjs0o&#10;Zpowntn6+vrKygpU98c//vHhw4c4WNhjLDgOihtx2Atgvi8b3IKTkVx+YwtMRiREeOXKFQJYdjw8&#10;8gLK0UWPbBbHzll2AoTpWsxwoFtD6/VurVptNXXjI3RYKBamp0UeiUC3g3e6jX6v32g2RsNRNkhS&#10;8rR5U5WE7uyfgjlTqUoyhZwzuTx5S5lcOpPOyxwlGgm9Kao16lFXRiefhpWOtuW+vr2nZwJ0F410&#10;Ym9J0ZPpqGlo7LOZFfE8F+nGHw57nU67l8pSTjLIVCrl2Tm11NzQl6hU7AvuRn7IM3FnkaGqj1Lo&#10;6WY4D8+QLkjp6/BaVUjQiPDeENBThxJedA0vQoRTB2blxJg+efLk/v378NxHH330+eef65SgvUsT&#10;ooK3nK6w6TDctWvX3n77bfjMmfK3v/0tBFmr1WAyzDq+HVy4vKxXi5HAuY3ysQuU2W63d3Z2Xrx4&#10;8fTpU71vrKGLWFiKWrdJUYN+QDmb6y34LBUUKI0yxRhl3djS7m63263+sBmPxZPNWCqdymT1dASu&#10;KYUEfZ0bnLKXIM52RpDHAn5fPJ5t62Lh/Fqn3Wo/ield2FvZvoTqtXv9/pm27h95O6G6ZvsyU4F9&#10;cijNNjbK6zEG3TxK+Fk2Dv3+tqQPAf4/B9v4ZhvnlqC06bfe+uCDH/3y3Q8gXSRl6yeHfUvDKYEt&#10;mmyNP5mLErb02Qh9LIlyqC6bzZXLIkVUF13De4NALx96DS8ivAgRThHckk4CTNovvvjiM8NXX30F&#10;G8lPqlSMTnSLCj4Kzge+3YULF370ox/BecT7ZxN+/etf/+53v8O4w4Lvv/8+Jttv3STB7rrYYsEx&#10;97g15Hrw4AHkCufh6HCoH4x6/V67Odze3tlYa8ANxeLsrJ39Q4Z40Ou0O7XGGlQRT3STqeRCZkYE&#10;XJL7mNRz7PH0SJ/0rOgy3Giqqat6Uy29vCuo6UUYcyuteq3+cFAd9PvVIiLFui28q9b0VhOWelft&#10;K82PoJl4MNDniTL2ZsV8V/8S9mTein0P/Q+VeLVa/X8Ntput1vP5aRh34Z13f/6LX/yf/uZfUgJe&#10;HaRFMuiNxhJgS5g2kmvTAN+L+Zod3RqoSnRbrC0mitlc9tLFixHhvUE4ivCiU5oRIpwi4G+5/wED&#10;QT/4dlAdjt3du3chJEwtsxfb7efi8NWgurNnz169evXKlSsEMNCrq6skhiYJkH5hYQHCe+edd86d&#10;OzdxdPbB6ZN6ge8SIC8eWKtbr1W3q9s7nU4jNhqm04lyMV8uZ/P5VDI5SiT6sViX31Qyns0G+Vz2&#10;bG5mKl/MVQq5fG5QzCTymcFULl4pJKYLnVImlkk1cymIupVN0ZJONt0NkjuZxIvMcDMYvUgPt+PD&#10;7WBQTSdaw0E9n87Fk410stiO9WKJcjdIxXDO8MwSGb2IM5bpDZPDUXqYKA0Sg3ii0OhuxgZT/fhO&#10;IRVrtXsz+aUzi5cXz9EcdEW73JlDjfDctmF9fR1q39jYcLZD+b3+gJTZrF7qAdAYqi6OH/kHYkNj&#10;OQgPWKdFOHWgpw49pRkRXoQIpwjMUgwuAejq3r17t2/fhrru3LkD/0FCGXv2AJ5zQwy9QWOXLl2C&#10;7SA2dklGlk8//RTOI/H58+evX78OHcKFmG+mPdafwrECVttL2+0kB/yKF/bdEzx+9gjvZ3u7Ssp8&#10;Tvd7lEoV0rgdSSb1sFo2lyrkC6Wy6GEqWUSMIJeGOXt6YD2eSOk7drkgORqOkp0eLJrr6h2V+ZjI&#10;NduVAM1Yv93ubHXrnU5nFNP7WXIdiCeY6crnK7ckbXHkDw/ItUrj7I1GSbxGnDa7M3Mzq7tsHmVj&#10;QSJ4UUjCXp1yfnFxcTZfQVSycBSqc2fOPy4B1UF4hImHC0kjsk/rsxF4dXp3Vb4gPZfLpWIJalM1&#10;EeG9IaCnIsKLEOF0wW0xAcwxYJeZSQy8NXkCAQLDOrfbbUhoamqKLXYffoKWZmZmYDtYDdqD/8iL&#10;BYcgP/74Y7IvLy+/++67ly9f9ucQyAKohepkuHfBLTjmHhtv/o0uCsIZKysrT5890juVddflIJ/P&#10;zs5UKpVSNqM7SYIAD28YJEbpVJDLZQqFfLGQX8xPZ9KpeC6Fk9TL4APGR4VMrlwcJIOBPiub7mXT&#10;8SDVTieHqVQnl16dzm5OZddziZXkcGXYWR/26rFBPYinMtlGinTDWnw03YzHUun5fjYdpJuj1ige&#10;09W7RDyFtuKxzCiRHol3081uM0gUWv3H/Uaq0R5OFwosDlJ5Ggj300ZcOr+FB3/u0aNHUF21WsXb&#10;wzK62kGuoGVEsajvCE5NTVcq5Rx8nsKzFK+qz0Kqe3lvUYRTCbqUIZbu9br0FAsl+m1hYTEivAgR&#10;vjdMjCbG1PyrwG8ewRzfvHnTn7fDKBMPD+HYAWej2dlZeM4fM4DPYDscl88+++yTTz6BpUhP/Ntv&#10;v33t2rW5uTk/k0kt+DGUs89SO9tNIrH+8C6Mi4+IDE+fP0G2UqlMObOzc/h3mYzu58T/kXfV75Ez&#10;k03lc/lMRj5iMZbtDwbdOK5kOijnYMFsRX5SpVwmSyWjVyBW7G1Qubga1bX3mwztolk8MD1IolHQ&#10;0JdfppsDiGWpow/ETHX11up4eojTqDd+wtB9eX72huFEQ+9bGa4Wda/m/bS+o7RVSOFZxkY6N0sk&#10;MSjW/Tm4nMLJhQBwIfpEgYA1RFaPM8L7uYye2UjRK+Slrn1Ki3DKQX/RxXjsDFE6Wp04iul+rojw&#10;IkT47oFNn9jQ3WEs8v379/1dKv68HUfx5DDKGH0Izx07PDbYDj6D7YjBpj98+PAf//Ef//SnP8Fq&#10;sJ3fwEKAo9h08lI4JsADu0HVk9phO4gBPsANgmupfWNtvVyaWl5cXlxYrJQq8EAum9GbezPp0aA/&#10;6OmGS9iuWChkU9kgkUwHqe4IMoll89kcFGLnBCv50szUTDFfKuRLmXwhlckN0ul+KtnJpJ4WEju5&#10;ZC+V7KvQfCyTGQxj7eGogRRalieamWRulGzkkslRUEslCpkYfqW+kBeP9UeDbjCCwGNBPDGIpciZ&#10;TleG8a14P7ndqA97uWZ3paeHDWhat9vFmWvY611QEYzrbAe5QXXmz02hq5ydymR9wCGSwKbSzSgi&#10;vDcM9FdEeBEinBbsNqAexhZv2Fuh/Xm7Bw8ewDrYaFwiGA5zTDKsMFS3YDhngFBwXPzRBUCYBG+9&#10;9dbVq1cJ+P2ckJxXcZDtJvDTeno2YGsLnvPaiYnFY7DmpYuXZufm8JgoB9KFEvBEMSjsUn4mrfcY&#10;wh+69hakk0GQgu2yuVEaMkoks/quLCBBNhDPZPQJoFigt6XEOxldsEwO9KbmAk5hEIz6eg1YvNPF&#10;TJU6g+FoONvAz0vM6M3QiZJ9/jxuXmDSTs+m9bhgQl9niMerhTQHH6aH7XbrRWrYH/Q37dutEBhi&#10;k4ywe8kTIBiLCbakYTeV0cP4RofwLb8q1pQXEd6bBPosIrwIEU4XJtfwAFR31/Dxxx/j2/mZTGcX&#10;t8WkhMCgn8uXL7M9e/YsRAhNQpC/+93v4DwSMKVv3LgB4RGAC8nlsx14LUfBLx/W63VY86OPPrp5&#10;8yae0Ozs7LVrb7/79ntvvXVjfm6RkmBEqBFC2rYXm7knFCRS8QRkl8mkc8lCNlPWBbAUPlyr02k0&#10;M8NEOZXNB2kC+pZnPBgmk8Mg6KWTw3R6mM0MYol0axAfJir9ID1MjPrDxDDeCEbdINiKdV/EutVh&#10;70Uu1sgGK+XgQqvXj406Kb1pDPeulcK7w6HDvYvpUuQoken2a6NBttnrJUaV7uhxTrdoIg/e2+S8&#10;JSAGnkNFbNESrYCPpSt9JskVJqqzxYjCdt43whsDuiwivAgRTgvkxBgJMS3Z1mq1e/fuQTP+vN3q&#10;6iqRmGMnLagFnwNjfebMmStXrly/fv3ChQtYagqBn/70pz/BebhcUOA777zz9ttvc9Rvb8GIy1rv&#10;YjuvDuyOhCigMbzDp0+f+p0yz58/p3xo9Ze//NUVu+0FL63X65IGIC3M5+cDxan2hBouXb6QL5WK&#10;FbFJhaohY0BFpMyIsGPymWiMP/+dSqYz6VFGb9FMdfSYXhbO1elDHMdEP67HzPVZs2YzU20PhsNS&#10;R98zuNjsjGIj3YRASYgej2UgQPmI+iJaM9Ar2V7k7GVsuYCjDzOBEx4KcdoDaJJdd+wmbIdMiDoy&#10;tYzpbWQ6kgIRxmIivBmgyyLCixDhtACCcTbCk/PHvf15OwgMN4u56v4T1hm7DNthoKEfvywH/RC5&#10;sbGBI3j79m2yw3xLS0tQHb4dR50mmedhZWMHjgBbn/8eT0VQF1hbW4NoKfDZs2f4dlACzIqz+Pb1&#10;9yCmZrO5trq28uLF1uZms9Ho93q6igdSWaOtXCFfhOmK+VJ2rpAt5gu5fCxIxFrdQbdHqJBMl9L5&#10;pD7+gzMY9JNBPAj66WQ8nSzCeKNEuRXLDOKVLuwlwdLxZC0bGwaJjaC3Fe9XE4PNbKyRTqzkRz9Z&#10;a8NJ/WwQSycH6VgvEQsGo158mA3XD0FyFGulg+xg1IyPUu3eF7kErIb2gLMdyiFmQnKOlzqJQ3v6&#10;D0xfHpxQYIQ3A/TmoYT3ckpEiBDhO8PEY8BbevjwIUzjr3jGf2J+YpSxyMxSqI4wZpq56vdkzszM&#10;YKlhIKjxN7/5zZ07dyCzy5cvv//++37djoxMdcqfkBwg7Lu72Q444eFH4dshAO4dBLywsEBpH3zw&#10;AYQHGRCDYJ+b67m9ve3ilcqldCptLlkM6tO5wpI+nQ6XQIA6v2mf5XO2pl69RgxaNrh4SEFRSEsu&#10;nVgsFPAR7XtmelmakxO+YqlUzuf1GSNJ2x90eh3WCrSFXRxB/tClNw1/jgIhMX0YLZXGBcQjJBmH&#10;PAENpzloD7gYUoodcpDYuE+3qhBWTkFJtBvhzUfk4UWI8NqByXSawci6ncWOYlhx5mAaf7rcfTW/&#10;S6Vin68kQTqdhkimp6evX78Oq126dIkw2fHD/vjHP/7pT3968uTJ2bNnf/SjH3EIJw+uIju5vEZK&#10;cAFkxS0MW2D0CbgtJwDFIsPKygp8BuchAHX99V//Nc4iRfX6nUePH9y89eXjJ4/WN9Zr9Rp5dKdm&#10;Nhskg1Q6CUkVivh3hUIRwkpXijO5FM5lElLrQkVBwDK7E4+1h4NBKiBXMp1OQj2DYWYYy8YSpXqv&#10;OIyPsslYMrGW6a8nupupXj0TL5WnhrF4tjVI9xPZdmzQ7Pfbg+Eo/iC5eW8+2SnlNirpYjvRTSTP&#10;t7LlVLFcHWQGyWA0THb7zTRu5bCVaKU6jZuj/nw2FytkkWUwXZk+u5yenmvolpnkcBRkegQSgT6r&#10;EBslhonYqD8K3xaG9hwEtR/hjQIdx0SLPLwIEb4HONkAyAZnBeBXra6u+llE2I4AjhTODR6Sz08I&#10;D2cOArtw4QKe1rlz5+bm5sgIKf7TP/3Tr3/96/X19TNnzvz0pz/1i3Yc9bzUgvvip+m8UofTG1zo&#10;u5iDTqeztrYG0X700UeffPIJXPjOO+/88pe/hD6pGubD9YQC2W5t6TOqOEZQIEISoATKRx5iEBVQ&#10;Oxh7j+bA+ePZQLUP7Ym7l66SQiN9DEGX81Ipd/XydnsOYS/cS06lUxREXmfx4VC+IvLLqlk8su1h&#10;JSq0QyiS0jsd3Xq6vr62tb3VaDb7g/DsZ4S/QESEFyHCa8QeE78rjG9379693//+93/4wx8+++yz&#10;+/fvNxqNYrE4P6+Pl8ICHsZpg8yc0srlMjSJN/a73/0OzsOIX7x48Z//83/+7rvvnj9/3j8V5IXv&#10;rmgCrPzE0MMQ7XZ7e3v70aNHEN6tW7eQgUp/8pOf/OIXv7h27RrU5W97If7BgwekhGDgIdxNBIOT&#10;KMoJqWD3OgKyEKYer5sE9hSA3dkPB8uvHYj2JpfFhNEwFYzSyQCntJgvlIqFSrlYLOUL+SCeyGWy&#10;lVJ5Wl8rKGSS6WQiSMaDuWGm2IrH6t1Yo9eHQeOJZmJUHfU6yXg/FR/GY/xmBrHcMD7VS0z1g5l4&#10;MllrNp6t7Dx6tvNitb290+9044hhKQeJ2CAegwAH+lUglCvCDxQR4UWI8Box4RjgYYjt+fPnOGr4&#10;dn/605/8wpifaYQwcK1gDhilUqnoaTv7GDcgkmQkhoTwBaEfEuPhQYQcJYzr5o4XgIo8cBBUpHtU&#10;ul1Kg2WhOhxNqobMKA2qW1xcxJGCTTc2NkiDCwjz4VHhcpHGZaMisvgjE051hKmUeDXROI3Giu4g&#10;KXM0ccqQmZJhY5fEiY/knjJDaQUoD0ItQJ34Z5RJu8q6tbJiRFuACKmOxLB1vVZr2wtTqE1FhnpW&#10;ofLvjGzdJaVSlhc71WqtXm/qwXM9QWiJI/zFISK8CBFeO2Tox9jc3MSp8jOZd+/ehVSw7NPT05hy&#10;PwkJc2DfoTocuCtXriwvL7PbbDZv3rz5j//4j3fu3MGvessARc3NzcEKWHby7ibXowA5wF5+7fBj&#10;AwJAmR9++OH7779/9uxZakdCuBDnb319Hckp2ZhMgEUohBKIcf5ztiMNKUUkLoNeTUIuUQ4uHhH2&#10;8J5fvNRxPwNJuJ0YtePDTnw4SCWSmXSm4KdGc5lkit9cOoN7N1OpzM/MzM3os0SXUjPL/VyyNRru&#10;dLZa7Xqvv52O13NBNRPfycR7iXg/ESv0Y6VBfKkbLHWTF2KZpV680hmUW71kszOqNtr1eq/VGuLl&#10;xUck1m9ARgLKG+GHjaiHI0R4jcDM+wlGAph7nDOYBtLCt4NU/NoYBIZjB6uRDM4gAMnhul29ehWX&#10;Cy7sdDpPnjxxmoSESPzBBx84P83OzsKUBwnP3al95zbZJRKGw028d+8eAuBoEglr/upXv7p8+TL+&#10;EPJAeLCdfxWPoxQOCwKxlz2sRluojhjSAwJEUjLxeFdeFS6a+ViBe3iiu4F939VEClnRfsmIrMST&#10;GhJFG7mcPLlMVhcL8fxK5fLs7Nzs3NzM9EzeHnWndhqor6x3O/iOlDJuuxUuBy/08CDPbEYSoh0S&#10;o3/A6sESR/iLQ0R4ESK8RmCX3f7iVEEheHX+vB2ch+XFKHMI6NydfZQHeoN4bty4AeHh5GH34Sf8&#10;MDLCjiTw5xPgwnPnzpEYvnGvywF5gJBUDB6PGO12G0O/sbFx69Yt6BbOo96lpSVKu3TpEluSrays&#10;QIFw6urqKuJRlHMb9bqEFXtBCS4dVRAPkfjJTCdCA8VY7TGdVtSvRY0JGE9XRx2I2UsmusGoFxv2&#10;4nqcHH7LZXTrynRlKp/N6bpdkMTpK0+VS5VyvlQs9NPlUS6XLqSDXCMZ7MRGK8FgNTnYzsZ3sgk8&#10;vF4Qy/VH+UF8vpNY6CYuDpPn+4n5XqzS6A63ttsrK7WtzW6zvsvDGw10MS8+hLPjkT38gSPq4AgR&#10;XiOce8C+5+1gLyLxP2ALOTeBXggCveHbQT8A1w0ugaXI9dvf/pYsEAYs+NZbb0FOft2OXOSdMBwg&#10;7LuwkZOPw/whPW8Hn8G1yIAAVPG2geqoixg/k4lj12g0yAXDOeFBq/id/r4SIqnaa0QAvChAwGG1&#10;CVSOCCaFcWAo5ljQMSictB5NWgrSezntg394criJAN8yg7uXzXCAUoKELh9mMnrxJru9fvh66Al0&#10;DU9f4tMvpflnyklDo6q1WrPZQBVh0gh/YYgIL0KEVwbsrwcgGCwswJTDGXhLsMiDBw/8+3bPnj0j&#10;hkNQyMzMjHtpsMiZM2cgMwCx4clh60kJOUGT5CLZe++9Bz/hlsFVpIctvEYnFeD0wy5Vewy1kIaU&#10;uHd4dRAnZT558oQtJfziF7/4+c9/jiuJA4rzd88+OYuHR3rKIcvc3BzuHbtwDJznbIckHIWq2TrJ&#10;0V5ASyEuYnDsiCQAUSWCoGNfYICYkFR3bfq7n3WdT188iCcTMBncSP7hYJBNpafLlZmp6ZnpaZYA&#10;iVRylE4mC9lYLtNJjOqxRC0W6xbywdxcLZ++36w+7NRqxcxmvL8ZDHDv+snEsNPt1BuZzmA+W5hv&#10;9hfag3K7OzsYlWLx5osXz588jg369VY9HuiBwkCfEBJH6kVkg5eXWvcBHbp7im5pH+2m9bAphzxG&#10;70uTMkTRRI5P4U4esR+nMafXQEJLa11H+XYNVFr021mNt8NujfCqEBFehAivDJgxD2DY4AMA8cAf&#10;TiS3bt2C83D1oBCAOcMa4sfgNsEr5+3r5Ec9b3fjxg38MPw/CBLvhwTUwtYs6J5ZLCY5+nk76BPL&#10;Cmv+8pe//PGPf4yniN+DeAhGjdAwzER6p2r4jMKhN3gOIDMxXqwZa4FkXqNHeuAgzKCTcJeXp7Rf&#10;Z9DxD2kgDfFmeuHuTFq9KpHWdXs9ZFbp/BohhZ6liDWelHcosNdut7a2ttEn2tBlQ2ShRDmDIdCl&#10;1XwInJ8IqA1WL4zW7/UnMUTp1xpJpC0FnN/IpUc11O7hUI9nKJmuWhLHIUkausKIoK1VxKJAZfMX&#10;4RUiIrwIEV4B3Mw5dodxkuASmAbg3hHGOkMesNrEscNdw8eC6vyt0BztHnje7q/+6q9gKf9CQj6f&#10;D0s/DDLMY+KBt/Y9b3fnzh0oBKrDt4NEqQsCvn//PkSI20eYLFhzmkAyP6/o0nq9bpKBB7yW40BU&#10;YCTjhp4/GXVcn5F+g+HLX48hAXyRzGfSxVy8mMXva2cSrVRsfSq3VsmuFlLPs4m1THw9m9hIDF70&#10;27X4oJ4Y9XAZg7he46llAFLGKp3e3DA+GyTLw9ig2WhsrG2srWyur/b6nf6gC/cgS2oYT43imVEy&#10;Mwzp/CCssf4rYlVjDKYD33W+cy/QCNKoToeN6sRypDHXz1MaOYYrANNoCOO8MJ/qjvDqEBFehAiv&#10;ALutv4f9eTvwxRdf/PGPf7x79y7UBZNh0WAOPyeJz4R7t7i46M/bseUQ/HTweTu4ELarVCrQJCV4&#10;RV9jEOEt6gKUBp9Nnrcj+9LS0uXLl6mOZDAcUgHYji3V4U65X0W9/rAEhEe9znZm0N19cUp52Wrw&#10;NRQo4y14kI1HHwkKSiZT2Wwuny+wRSSvzuuFcXT6FB800DdaEbvb6fZ3vWPTEwOohRzZTCaV1rVS&#10;nFdWANry19Gnjpx8JBo4Wiwd1FEloJWUTA3jShB20vAwRmWqWHf4LJdllBcZSkecDiqhTpa+LNaO&#10;4cLqC+8qMsKrQ0R4ESK8MrjBdfjzdnh1n332GQF24QlnDo5iuGE7dp1+ro2/XY5HiLN18Hk7knEU&#10;f4uMGEQzo18HEkAJB5+3c0+R0ijHz7X683Y7OzswASVDLXYKUI8HwHlIWCqV2OUQBQIK91Ode8z2&#10;2NKr7sMAOxhFjFONEyYH9jt8+eseHhmSqSQeXjKfHebT/UzQzsRbmfijqdTDSvA4O3qQ7m+k47VS&#10;pp/PtNNBrddp9HudUb8XH/WT+HmxbjLWCUbFWKycCEqpVCkI0vCNHDNIrt/VadvusNcf9QeJ/jDo&#10;j1KdIb+hWAdAG8cqR35vPSr0m3TUJDVuzFUWCbTriZXU7u/R27F1kjYNnRNj5ZBH70sz3vVs+hVN&#10;RoT3qhERXoQIrwAwgVtEAlgunDN/3g7fDlKB7XC28K7cZzLrOYLAcNouXrwI2/3Z5+1ITPaJBWVL&#10;XWwnDopJEYJdImG4g8/b/exnP6NGiqKulZUV6kJI3FDEoyjyYpTdw3PAdu5TTmpxAbDfEzHAPgEO&#10;QsY+vKYV0gI5viYXSUgsZ9Mv4CkTWZUZhwjhWRkgM7uUS3HtVrvThcPoBb3MhXLZAM9uVQqUTDt0&#10;d4zBEgqemBjfPQxGQSYzyXRy0i/jqSj0pmuHVr5OXlrknmQIZj63uNbOaerPSQ5QJEd1wG5ymSjl&#10;z+g0wskREV6ECK8A2C/sHQZ53/N2d+/erdVqmF1Z/GQStsNnwnOampq6dOkS3tv58+fhIdw+SPGj&#10;jz466nk7fCwMd1jZXoxNrYAYX/+83YULF9hdW1uD5DgEFxJotVpGJZIfIWE45AGIQb0ITzy1exNI&#10;Ri2e3iudmOhJzEFIAfzKp4GfMDviBvIFu37dt/NfFyaWDEZBAnetl4j1krFeKrFRSq7m4yvx3pNB&#10;a6PfriaGndioNRy0zGXrQSdDPdLXj486HIoPB+1Wr9HoNBr9dhsySuoGS4mA+PBgKiGB0vEgFQvS&#10;o0RqdKT84/aO4CTq6XTaKA0968SoaEzcCQiwS6QdbDAYqtWdrW29p83ulVldWVlly2qG7mZFwsKo&#10;RqJ6w78kDw/CfxOFHilNhG+KiPAiRHgFGNuo/c/bYdGwlfAc3hIW030m3DVnIOgHMoNFsI64Yr/5&#10;zW+Oet6OvOYKhLXgDQBidhMPgIrwe7DFX/O8HSL5i1SePXuGDYYgndUQg4pI4CcznfDkHhkIkAZQ&#10;nbO7I6z4z4HsQXg//u58R/ownsigREoHBepXXzbHG4JUgDtGva62YOzt2i9+02hUq9WrdEmt1m63&#10;iEklwxO2kscgv5PGmWAq/AiY7HZdbSBvDJqjQFgNoqJ+WNBcOtGhxOnqmT+xXa26vb2ztbkJw62u&#10;iu1evHj+4sUKYeO8re2d7eoOAlbN55OzKLnDBkd49Yi+hxchwjeHrKrZWOcAbNyTJ09wrSbP20En&#10;0AYMx5YEEAaENzMzg+sG/UBpEB7ZcbPwxj7++GPsID7fj3/84ytXriwsLOD8kZHCMc3OFV6v7PMu&#10;6nBz7xYc1wGeg/AgXSQh/vr167/4xS/ee+89mA+2w9pCqxyC82ACSoDqoDfyIp5TMg4oW9FbMp1I&#10;pobxBGSCXee33el1ur1hLJHNF/KFUiqdxR/rD2ODWGw4imO3IRGECpmALF3dPoMR1wtUcjlqQHBr&#10;hIQfJfTVgvFv+LoTfvVOaHFbot8fdRvdFoRV6w47JI/t1Bq1ndpgGMNb64xineGgmgw2u+36dCmW&#10;z6/l8dNSzXx+1A+2Wv3/cn3599nUl6ngXiq9hv86NX/m8uWl+eV333s3HQSjxHBkrmU/GPZHg15i&#10;2DXKMelCB4tdxdiz/JCjn1BttVt4djCsnQru6zwmvl2vCwk2GvLt+IMPzcOD0YSafLka/xvNBocY&#10;GOTtoR396UF49E8NtogJMtkMtftVVZTJL4OMYcBR9iWGCxnhCKAl1JWMvocXIcK3gVMLcwl4wFgm&#10;wGzBVXhp8BxcMnneDiLx+UYYnoPD8N6+5vt2OHYQIf4fid0vpFL3q1yACdwQY1jZunNGGOKkarZw&#10;HvHvvvvuL3/5yw8++MCft8Pn80t6fk8mMiObn6VkSy2AGj3gZYaVHQI4wLaCZBv/gdAYy+OZ2GiM&#10;uV2I88OWQs97Hw1S0ALbWHq3+81GA7JBcnWAXQOzGoaiUntGUMmHumGnbU+7wzx0BAREW7B3165d&#10;Y6nBksKdOuRxEZTLEKjV/HKQoxPzqHOVNIfEngmGg8ZFe50OikWZa2t4cKsbGxtwGx0BjPmakBbC&#10;UFo2my0UinT6nF6CPTM1NV0qFe0GVLmYeHsbG5tkpyhKaDWbtE/nXt2t1SlYh4tj2wgnR0R4ESKc&#10;ANhNZwIPAI/HtB36vB1Mgy0mMexFGCaD8N4++vt2P/3pT6HDs2fP4vlBll445tIDAKMsA29uJfA7&#10;WYiHAzCXd+/e/cQA72YymZ/85Cc///nPIVHqwoxy9IsvvoD2qHRnZ2dCeM5wUJ2f7gNOe5PWHQRV&#10;j+2utiYCm90WGZLouwNErF/Bw2z7YWdL3zkUpKCFdueH/hNDIUjbC+L9ZHyYiPdjI/hOPqRu9Rji&#10;ovaDxGZisBEfPMkMH6X6t9Ldm6nOeqex1W+1k6PMbPnctSs3fvz+9XfePnPxvE5kSh4plraoFtWD&#10;nzmGtGvRdm+J9mzXAf/RtHarDZtubW3jND979vzFi+fr6xu1mh7ehwVfsl08kc3o3WzT01OMATA3&#10;Nz8zA+Hh9+udNSit0ajTI4wBStvZ2a7XG2REY7TaGq62O+m5cLaNcGJEhBchwgkwtjgvgXXD3uFU&#10;Hfq8HWt5ttBS5Xjft7t+/TpbEvu9kV4FhtYDDrOAL0FealxZWUEGXDeEoUBIi3JwaKgLA41dhg45&#10;9NC+gYDM2FMHBcJtzt9Oe852lHywsROY1wXCXRNK4L9Hsun1+lh8thRFkZRPgCPOGp7LtodC/CIn&#10;2txodpEQqSp2rjWbtcck7NZHSAh9cAgtUR1Ng2l0H0i9YXst2oQSWGFcvnyZ7cLiAvSPMBRIRmQw&#10;cUJQlyF0HEOSM9qzV7rgtzXs0p3uCO33dfcKtTSJotqXJyr1RCASsoTAq6tUypUpurQMwxWL+mBu&#10;ga09hYmqUTxqobtxK8lFXoqB/9rtzktFmW6R1rYR3X1zRNfwIkQ4ATBJAItIGDtF+NmzZ7hTUNfH&#10;H3988+ZNTC2WFEOGOQMQDymxsOfOnbt06RJbfz0YyXAEIUhYCuMLEV69ehWLjG+HQSeXccNLft0d&#10;mIQB5pWi4E6ozm8KRTaqwLK///77uIyk2dzcpBaoDnKF8zDKpMGwGhv1EBX2BYhBvQSwxdhfdsk7&#10;GMmpJRAyAHa/0+10OpSQzeYKBX0MTyZYb4wUDcMN7sbBBkY9eCo66yvvkULtbhGR5dBfLnIk4VER&#10;dAKB+OUwCAbiSSSCQTaodZr1Lb0EOtHsUFQlifyFcqHYHY2qsf5ObPAs0X08bN9LtB6n+k+y6eLi&#10;zPJbVy68dW3+8vmZpYXsVDkFXyYTsYS9PxMqNQLRraHUa/cH0SLfTqjFGK2F9wbqDagU101XKNEY&#10;LbIzoHLDyEMW6NFOZufsaqg+YAvF0XpYX4uJZJIFxdjlldfr+uGIFDiK2cly3ZFEUSSiz61kpBD7&#10;IRo7zoMRjgIdwRBFydE1vAgRvjmYRUwephD2iDCe04sXL2C7o563Iw1WzxkISjvO83bOdl6LV0qY&#10;6jy8D7CdXIxWCw8PwgOE4bmf/exn0CdGl7qQkLoAhIfAZIFDiIftJvDqIDngBjys4AiY7wEmlEAB&#10;DrPKJBh7eG5x5DSGHl6Y13IeSXikQnVQKyXYPR1x1IJjhFZxkXJ5940kJ1t5qEl7+fNg0O60q7Xa&#10;zs4ODcR5IvmZM2dvvHUDzdMLqNe53C4Iiu1cfuRG464Bne00OdXFSG+vrIHntre3dF/l9jZeHrE0&#10;gV6ic0GxWEIyfbc2k7ZHLxLwHB09Oxtes/NnUYzxBYRnayuGAm4fR6em5bnSX8RTL72kk5t2qsCY&#10;VQ/2SU6J6v8jfBNEhBchwgkgy2hGFkOMb+e3/t+6deuo5+2wehDP8b9vhyl0a7sPIUmMgU3EoPu9&#10;7w8ePKC0p0+fkgDuXFpawrJTGkLCpgj56NGj+/fvE0BCcmG7IWY4DzndyJLSQYw3gTBiiL6OBMLY&#10;rwnlVtjS82tR5qmYvWaJAJHoxSLoTkfUEKX5uuK1ttB1Miiv19WXH6CJQr4wc2Zp9tzy/Jnl6aX5&#10;QrkSpDPdWKI1GK502qu97sNg8Dg5+jI/ulNJPrw0s/XBxcV3ry29d23xxuWpi2eKCzPpqWIinezr&#10;ftKx6KH8Yb+KiHVeUVRtrvMOutrYWG/b83YwIImgKveD2dIROucZG6GsVEq+JlQ3MzMLiaFbksBq&#10;xm3yb+lu18PYsUugbA4Rr7KsTLLgBnr/ApGtTp4O7BqjJDVZv1ZxEY5GRHgRIpwA2B8PYAdhO6jr&#10;k08+wVGDRTCY8Jmd4nv5vB3cc8kwe7zv21Gy2dDQn8NlmYQnZg7CQAy/WLW2toZz+T/+x//AZaS0&#10;v/mbv/nwww8JUBf0hkvnz9vBfFTtF7rIyCG8OuwsFDvxKc3gC8chPNn4kCxChGlf5oA45KVRI4fC&#10;8sLDzt27cx8CTDyGHmtPIewiFZyHPs8YFhcWWFLQIpwwWsTqobqjmxtpF4lpEdwP67OSQBuol2bC&#10;KKgFEdSJzrq2sdr0zQR+cadgGNzEZrNRrdbw6uyZ8XXkpgm6Jlcs6JpcBYesjK/JkkNX9Zq6cZQC&#10;cPJQ6cLCvJ3AZO1iJ02lnEQylSTGtKRrgijGdGMi2IChcDgRIXP4oCknReTxp9EHOglsolLA0d0S&#10;4c8guoYXIcLhwBSB3TRDGAtLGPOKXwXPffbZZ7h3eFcYJuKxVhhWTDOJITC8N0zzdQOER3b4CYL8&#10;6KOPCHDoxz/+MYfOnj2L84fBg2ZI41urc/KCj5c3amKsCZMGxr137x7Eefv2bdgOE//uu+/Cdleu&#10;XEEMvBPYDu+TBC9evNjZ2YEVyEuALdJSLKIiIVsvWX5GoUADKRxhaAVp9DCccbCMst3JAsvi90Cf&#10;5nJBIVKIszJHISe7dYO/DnWxDkilU9O4PDMzVqAqolhvF1pCr7L8RmkiRftAj/Q+GuFZwTTQuh0d&#10;wQbwTG62IvFiCex/ojfo4gV2+tVOuz7sDzLpVinbSSdrlWxuebF840rl4vmf/bOfzy7OF6YqqWyG&#10;/uv2e4P+UExirBHg6MXiAeQNYBV8Oz1m164Z1dHMer2Bm4W64F1ain5Y00xPCZSBbDRVZ4SN7Tg6&#10;PT3jjzBm0hkcPpoMi3qLUJFpSTWGbtoE9oUiyI+Vhp1xTZlKxPQ4hwRQGPG4g7YC0B0xakGEo4FS&#10;0V50DS9ChGMBC8WWeYJxwd5BEmatYn57CL7d3bt34RucJ0yeXVjSSSmsEltM3tLSEl7dtWvX4DOc&#10;EiLJSzlMQsqETvADdHlnbg43hV2vjipk/fZCtng0ohbfxYbiUkCxMC6U9vz5c7Ljx7zzzju4MrAX&#10;BhGeIB74HZvOcBAVPE2YQpATIakdMZANkqNe7AJcQvkTxkVaq9NttEPpgmSgj8HpJkm1yAREePlz&#10;ZEdko4AuPKI7M+yCWZj7EIQXz/hHIRh5JNRpzJ7e7QlNkMJcq7ROCurqVwY6WVpcgtfffvttWn3j&#10;xg2UvIjGl5ZYOvgJZOKvX7uG61zBsYPFk+GDjFSD8L5qsVbpkiOyshqAnnHmVuxZOjxgxEAoFEV1&#10;9BHwU5QwGbk0JOz9LnQZBRJPgnK5kstlUY8PlRPB+h+ICtFGEnLTyiNpmkTJdg9LmEhpLBDhxIg8&#10;vAgRDgFGbTfgAF9TwyL379/HscN5gvPct4NmIDx8LJwk+APLyFoSEgLYX3gFe42jgFXF8YKEMKnY&#10;x7cMHHWnilowal4LMBYRfNdtNKAcSBe2Q4YvvvgCTxHSchOPffdrhA8fPoSMSQMfUyMSwpcE4DxY&#10;BCGpFG44d+4cficlE0nt5AWYeBqCwNRFfEzPPmNeTRLzyXSPZkePoGWMglhE2wIa946tjHWj0azX&#10;a3h4/Z78SBSCcqjU5d8HK5xs4ZfQMe2iO2pot2s1BNZNnlAmhZQr5VKxpNe1JNPFXKGsez2mcN0K&#10;01PF+dlhLoPSK2fPLFy4cOb6tctX3zp7+cri4tnZQimdwnXWC8ligxGVJWNxXUscjXSbpl1opLZ6&#10;o7FTr1br9Y3NbbQE3SIbSkB2etOgG2ZoBRSOMrrdXrOhJxHk+aXSHJ2anobystkcdUFNk348NqRh&#10;NIBCoPlBvz8a4l3HkYRRgQboFBYjfmLTdBVx3tcB/djyK/LwIkQ4IZgtgCU/RIWT9NVXX3366ad+&#10;T6Y7Xk4S5twIUIid3ZIPhyPFLjbLHBfdGMn0w3yTBXaB9rChJBCd7Dpv6aBSYhzswlu4biv4IKur&#10;L168YIswRM7Pz/tNMRSFsSYBVHfbXmzmd6lAtID5D60CTw9wiWTBk7q25IcIAwJUjUjyKlwOoyU4&#10;A9OBtDQ3n89hRYxHaw27cuYuiD1D1sCtbDTqmOZ8IY/z6/R5KPxODIrCMWKDQadFPfuMX6vVJCw3&#10;MZlkIYEHTb0kRkrCMzMzuM5w/LWrV3XK+Pp1lhe4fdevX3vr+lusMxbmF0rFoljUyIQ/D6AH+sIe&#10;Wu+12npCnKVAo9kYf28Bz3KINHQonQjL0oOAzsrn1Gu4rCSwk5lSqd11kiUlzYTtUI566+RsZAPA&#10;lCyPVic2vS46jqUD/EpdSmOMaN0R4ZsgIrwIEQ4BNhEjDltgcz0Gjvn888/v3Lnz5ZdfssW1wu6w&#10;8sfYYeJkpg3YfQwW5hKDBZ0QJq+MoD3JIFM7HDrDkZ1IjpoFkwnzXcck0kHJO/YmjsePH0O3yEAM&#10;9v39999/276EDqnAx1AdTIyHB+1hyr1GyANuJoBICwsLcMOPf/xjcsEZlOxESNVeo8MrFUIbGxIH&#10;ISM8+KdAGKqg0s2NjZ0dGA7ia1WrO06BeIFwmD1gXcRj9MIOAj3Ijqse/iOvnkGjaUZ4LfapOJXS&#10;Q41ycYIgPwxyA9QUTyaCWD6XmZ7Knl0sXTq3/O7bi29fP3vpyuK5i+eml+fyM3PDfKmdSvZHqcEo&#10;M4xnY0EuHhBIdAfDZqe1U6tvbm+tb2yurW9sbyFwdzSAauxjt5Upf1C8XHYao2rjY1QgLUCKtJQG&#10;Esajz+Wy6bQSeAOIJMz2RCAvxfOLMuiLtDnZlMMI7Pa6fX8swZ4UlBjWGRG+ASLCixDhEOBVYNnd&#10;NYESnGmgmd///vewHd4V5pgErP2x6FgrJ0hSYo/cSSIjtpsYK08FEsYlInK3F8Uh3zrcYh4EPhN5&#10;MX8wmd8ayu61a9d+9atf4dlgkaFDeA4J7969SxrEQx6Az8chdmnL7Ozsu+++C0e+9957ur5V0Q0g&#10;FG6mXKB2h9nfCR+/TEAcipGHl9M7QpEHJxLZ4Dmn1Vq9jiowzZSM0caXNRf2SMKjbLb4TLCcOaNt&#10;vbVEL6LUu7Ww+IitpYM9eEdydA47ey6q4BC0BHOfP39eD/Uv6aF+KFb31xiLo2q2NMdBF1AL5SOq&#10;QS/yajbkSlJaOiMV2asup3W+FN9ULCslwDamFm3QKu4dtIc2vIHpdAoNUTjlkOAb8JGcN8tGFYTs&#10;0iddI3+XYqmW8LgjvkHxEUJEhBchwiFw68MWXnlqn3L15+3Ywh8TxjL7G5hpFjwew0ourClOIQ4Q&#10;5hWbBQ3AOoCjWElcQ4w1WXZXZzZZ8EiAfcVAY/3hlUePHlH7kydPqA4rv2wPs2PoqXF9fZ14v3Tn&#10;1+08l51abFD49PQ0DHfjxo3Juzqx6xAeNp0meF3US3Whhd1FeBLO7KwHaSILgVKpSCvwbOwaXsLO&#10;8sm9g7dgKZwe3V2PW6Z7C5VA5RwGU6OoAjL3ZlZ3qviLkAqVQZnQCUXBKmLNeCw1iKVZVMTiQTwY&#10;pZOJXCZeygflYmaqkp2eKpbKelfMKJUdJKcG6blYLptIBoPRoNVp79QbWzv81m3bbjR77c4Q7zae&#10;SGXSiJot5HN275H+8vms/LZ0gN9mvRDqQEqAhAb2qQRdoWSpAVwPJBi/evPEN60Ar0B57RIg6ies&#10;wRCOB9GdbW0vwjdCRHgRIhwCOIMtFgfG+uqrr/wuFQJQCKwG30BXGCMsNWmwzm743Lizi+HGC4SE&#10;2MJ85IL2oAR4iATYUy+BoqjFrJu8PWwou274ADFOk+TFafvjH//461//GvY9c+bMv/gX/+LDDz/E&#10;t6N2vE8iSQDtUReSIxUVEaBeSoAzYMcrV65AdZcvX15cXMSmUztiyIkZ3yPKltIchBHDiUrSjI0s&#10;ohEJq9tFK3srZFH0gIsjae0ZOJRAjQAewFPxQo6CrxsgiV63yyrBXLs6v5SGg2Y+thRrjBIgxUs+&#10;Nr2RPQj0bhQTVhDrGAiTO56IkwEdQqPb9u4S1iuoBZeNBLh0+UK+VCwWS8Z1clvlF6pgirLS0Avq&#10;0C5lqaP8ppKQ1VR9EjFptK2BNGYYFd+E8FzLNI3O8DHgVRgU4Q6eDkT4pogIL8JfOrAwzlvhvsFO&#10;oOmDZDDW7du3/T2ZOE9wD3ZN13kqFQyxGya2GGKyYOUJY14hIb+fk1yUAAUCbDnZqY6MMzMzbM24&#10;hQKwhf/gJ5fED2F64a0HDx7gYrKF2Cjk3LlzEN67775LjRAbVEctUDIuIKacihCGovwcI5YYtiPL&#10;tWvXcO/+2T/7Z0tLSwhJ+RxCBpgPdxMBEBt47WyBLLiapkfCnAYQyhy4PCa+UpmCO+fm5pz7Af4Q&#10;irQFQWVubn5qahrKsaboG2+ADdoiDWVSPi0kDnmpF90gPJTEusDqUgZIaG5Onig0BP2wO8wEg3QC&#10;q48flOoP04Nhoc/vKNVuJfGe++0g1h9mR8PssJpsrQ93NputarfHEqDa66+zbqjV1uv1zVa7QaOC&#10;ZKFYmZtfPrt8/szi2cXphZnyDFVks7qRBzlFdDrTSOXSA61AMxAcYSl5MNCz5OMv4qJzGoTYMJ8P&#10;nkNh/p//UppeTiaPWQ/Y+bvK1GwnNTuUpH8p2TiX5YjGKYfQjBUW4cSICC/CXzTM7siCYGoImFmR&#10;XSEMad2zJ7vZ4qvBNPCZzLaBlJAT9oiUWHyAmcNCYf4oASPFIegN1oGQyP7ixQsMOiWT1x3BSe0U&#10;RS5i2FIFAeLJTo04bQ8fPrx16xb0Sfm4dP74ARyAzV1bW9PTdruet3NaRXIoBGGmpqZgu+vXr3/w&#10;wQfknbaPzU7glboYBAAx7LpIEz0cCrs/XuRHW2AIeALWtFeQlPVsQ05PSeMP+b0o0IabbPOr9P1S&#10;ZJNnFgR6wmF8q2Tdvm/Q7/VgA4gYMsa1gzJJLNnGioKKjBEoURKi6l6/Zy6ZOpFK0EOtVt/Y2EQt&#10;YHPTn6vrkJduwptDe2imVArfvUJGaE3rFmva10GN1lPiGgGmOlRuVKd+dNBONBfuHAAyhE0I30Sj&#10;oQJoKppUqTZ+KNZ7E4HtkD6qQHdRAkqwpUKEbwJpMEKEv1hgMWWIDQTYBVgcuAqm8RepuGtFDGYd&#10;mInUfRDYKRJjpIjUVZ/xKUozWF3SY8LxscgLZT5+/HhnZ4dDziu+pRBAFjOCL0GxGDu/D+XTTz/9&#10;wx/+gAxwIbz1V3/1V5cuXaJGSMLvUoGS4TwID44kF14p9ZIXeXDs/J7MDz/88MaNG1h5Cve62CKt&#10;k7TLwBbxPAwII4aHDwPcE4O2MMe0HpcONp2ZmeUPzsvn8rq2p4ompclMw3jUK0dPfCE6bLXQkq41&#10;AlqE/CTAbSrqPGMxny/ksjk4jyxeiIsfKmvMypCen+5DeHY6XZYaKtNWG3rqEYXQVzAKbIdvPS/M&#10;zczoBd9wqtOM4Uh7OBkj/CJMOoPeUuy17Rl5HDYEU4usTxlAnvogqEN/BnZpAYmRjfFgu+JLmuBs&#10;R1F2j6g+s4CQWkBYmkkfRTgpIsKL8BcNJx4PY0fclBDj7p3fJAJ5+KlI7OOsvRITY4SZNedGIAZg&#10;krwQt8LYLLgHI+53r+CNUQgcSTz2l7CDNHhjTlGkNI9E1/z8yhw8B5nhoFDgwsKCfzkW5iMLKSG8&#10;O3fukIDsXg4FUgWNgvwQlfTgypUr5MLQI7BZWj1HD5CcFrlPaazx8skKVwKQXg4Dh8hFITgfWGQK&#10;0QXBoi6DUSzuHXodW2UxQWjeBUVBf5h0RKZpBj1jTtUUaRc49UyAP/KBh5PSC5exVBQo7VoRql/l&#10;WtEAlZPdngLU8+A4jmqFTjbK/SIZHUTJlGnfMZiC+cy9y+A5eRlsrZajILlN/vAFYJAQMfj4vZ5O&#10;OaoE1LF7PB0GCa/TpPYyMaW2NiR0UhTiBLpbVSOnhX5IbB3lbTQRRJdqfFhchBMietNKhL9oyNjY&#10;SSTZR7NHZnp6OGQff/zxn/70J6cTyAAP5uzZszCEn2wkJea4PH7zMmbJC5RFM3vsu5RGyc4lBNhi&#10;3aE0TJuMmN0FiiPiJydhuEePHq2srDx79uyufZ2cXQqcm5uDsd5//32oC4eM9CSAj+/fv09i5HEe&#10;Jd6dSOinUqm89957uIPXrl1bWlrCt0NIDrmcLh4xbKFJRCKvx0OKtAgQUJaxN7UPJrsjpBzBgjLp&#10;xkvktEjBtGJMZf/Qh55AaLY27aXPjYY0TFpoyU6NVqftOecAAHsSSURBVMy90yNuECpdRIHksryh&#10;esV3+qdK+EWx6KHeqNdq8hTRBilJQEPs1hzdXAPQDDF6a5d7VGqKhFJ5GglSkeIOwOslJQFIlB+L&#10;0ciB/yDO0AkzxVKOJT4EMD1JqMuo0eq0ylEYfh6cB1U37W5Va4VuAoKStarK5YKkTqSTmhqjs5pf&#10;D7TE1MMLZ6S5lumuxcXFiPAiRNC9f2wxWASckOCSP/7xjxDe+vo6EwZiY7YAZo78EfvKK3YZG0pA&#10;tnV8McwtI8lUrj0wbiZS/hPAKEMtGxsb0AzxpKcodp3knOfgWsjsyy+/vH37Nq4elb7zzjs/+clP&#10;3LfD88OxIwHOH7koxwunHA5Bn/AEBPmjH/3ogw8+YHvu3DnII7wMZnDBCDilkRGaBC45zYF1YAU3&#10;36OjTgKNmcZ2lNH/rE2UFCpBPGL/jDJ02FSjG2HMJW1ub+kB826vBwFQLwwH4YFCIa8LeOaSktF5&#10;iLAFVCCFUCa7NJ9FBYWAel1dA5USRRJoZX5+zm4ohTv1qTmdaKWnKJOccEYop5fNdkJs+0G8Elg7&#10;rIHKb1fg5JUiJxoOi5BwOlt7KKwcMasnpiS7f0V/kHS7rdfiuH8PeXd7XXqTsu1BRAhPJ59puBHe&#10;4cQcwYF6GQMHCe/IlUiECH8hwIgAN1gwx+rqKqwD8LecBmZnZ/2UIEchMLaeHkrwEphRMqPjohyY&#10;JFI6sGUYsqY9mUCYGMphl/IhV1k3OycJHbodpGQsHW7ZwsKCvxB58rwdUjnhwY7kcncTE0lp5CWL&#10;P2/3s5/97Pr168xwHFNYmUPIg5BYARNZYBfPwbkNsmEXwRDDgYQgTHoAdmZRDEbQeMCsuLliHKU6&#10;SmNDmISYc1OIchBLdYA0pMVroeqCTjbqHScsLPDFaLuTE9n9tg5KsGLDc5iq379a1+mgU2lAjp20&#10;QS0UTna9jUyOHfArrOazBvI1yYssLrmVJrGtoq+7Zmkb4GsCxNNrsulNu3VJfec9S9kksyyHQH6p&#10;tQAJNDDsxW+NhkbC9s52tbpjT2XQmU0OUVTOOsjcxyT5KMH85yPLj/D1iAgvwl86MB9m9QRsEPTj&#10;D3HjimG14TnIBuBd4dthnkhDPFaPjG7gCJt9F7wcmVQjPOLZJaXHEMZQYsIww5CN233SyOgXClh8&#10;nDncsg8//PDv/u7v/v7v//7nP/857LW8vEwJfibTH2aHJrHyFIiRJYBgBJBwaWnpypUrb7311qVL&#10;lyC/l26HicQWkSjKwe6EthFg0iKKgurYAuU8DDSIX7fs1EDraQVasebwG16e4pDdTKm2K4sxDBVR&#10;r9Uc5HN5CMnZDsi3szOZHCI7xZsLF97xosKdLqw5LBtgBV26bDXr6po2kXADBUKd09NT/Koc1UNp&#10;yGZ3fZjsdiHM2VM8AotYReFr5L4WepYAnqZAdiBdXxm40jQejN496UG4VgggBIn9JlXk1ztftraq&#10;VQ0wiqQIZIbrfEUCVVMjolpGKcMKi3BihCuy7wa76/KVpo25cAR/M1DmwezHb9QkJWJ44DWBqYic&#10;B0UlPgxFOAmO6mLGldk3GSMzshoeX9+5nsyzPH/+/Ne//vXvfve7Tz/9dGVlBRMGf/z0pz/FT2LX&#10;WZBkWGvMkDsilE/2r6+CNC4VIC+JoTeyQ3uwFObMzubp8hLgELvkIl4eT6FAFj/LevPmzUePHq2t&#10;rcHK7g5iNKFAHDKIeW5u7syZM/h20OTVq1e96n2gschAgKZRPgEKvH379ldffYVXgfawsPKJ7DED&#10;AkFat54C6jI96U4QZuxJzQaMQ2blt0JsSxEj86GVADNALTQcEJBpopM9nVJQP6ni8JnopdfjAMfx&#10;iu3tnXoSg0M5VGpPxKNMv6iGvlX6twb0rFpZwdhwIqTTp43GwwcPoaRiUR/7RW1axNC/SiMlHwQt&#10;JzuNpWW4hixWAF1pL5fR8gKJqYcOZVDQBfjrNATisy5QCSgCmE5QgG1cQ+aDeucehNtbV6P+Qn0i&#10;j3L98ICGWYJkszkWE6gOjdPSDz740XdKeLvBRA1VbpiEkcfDbCeRwKeIh/0QIMzgIKARtKsEcFTH&#10;U44HrICX5R8Fyqc0hotn9FxgPIBODEqjKJoPCLhpi3BSoMYwtBfEM77HQzwcM4T96EFwiDSAAH39&#10;4MGD//7f//s//dM/+b0qdDS+3fXr1zH96/aRuWq16rkwbRjW4xMeCWR+jfDYxZZBePg0+GFsnWMY&#10;DBRLApKRhl1ywUNUCtFCeHfv3oXtMJHIBhCYwnHvyHLhwgXkhJ79tszZ2Vmv+ij4yoAARE7JNA3O&#10;8NZRL8K4YJl8ybyjwE6lMQV0KyMZmRBWzHFh+pGerU9CGgNYdvsvFdFuOBigJPwtInXANmOToDOc&#10;XhQkUavh14U+N+lhCFSK5LiI6UwmGd5++XX9cnzQapuyA8pEHYToBbpmZXWFOtAQYuOOQbT2vfKU&#10;P0dxEIgtj7c/sLPaPbzCfk/Cm3Pot6hAeDjZnWQyRVvOnz9Hyf6iGQ1l04UtOMI9w8t/0tFhIP2u&#10;A65NhcYl/NBwigjPazyqY74GE1F351VHnryo44PphGlgaDIeMaDUBUx939AzozR6gnEPKJbOCA9E&#10;OAmO6nRMnhmI8ATdpJvMSh4CyiEZoF+wXzDKf/tv/+23v/0t/U7XQEu4TYDS8EWgBNL4MICZOMqW&#10;MDFHle8gDaAQQEpAXmwjbtmygSrgPBn78ZstSYkAiAEHg9XV1cePHz958oQYqnMWJEyxZIHe3nnn&#10;nQ8//PC9997zj6cDL+coTAiPdj179oyt3zgDjxLpsuHXlqZmneFoBLPNWoFcWPyTLfh0NtEIzOCE&#10;R7S29qMd1OKtJuBcblBHW2/rjyZn9O2FOI4dAm/jIA5H+EB4WGkRHoLnM1mxnQ+Qsc34tsCAojF1&#10;PULau0Pb+qp7e9O+qUsA3kJyKMp7NtCrnw8BbiE0RyvIglFBQBsOCXxECM+GK8NJVclhzeUWFxcp&#10;lhGNAK44moUFImjl6d4da2i4IYUCB+D6N7jiw79XtSA4bfjeCM+tQ7gj/b4MnwiUozkyBjEUBQj7&#10;1tMABovvHgqf5BNMUpLRA/uAZaFAdMcMJEAMupvU+A3gpTHcbcTLPQ0PRDgJjtIb5gZbj+NFR9NH&#10;k26l1zywD6QBrGboFNwFfJ3f/OY3H3/8MbuQEOYGHiIvPcVIACxTSExGjFG5rFd1IAl9elT5EzkJ&#10;AJIhGAGKRUh/1AEnkoqwlRx1eGIEw7G7ffu2P4GwsbHBro9DOxPmD64lyHvx4sW33nrrpz/96bvv&#10;vks5yEm817sPFMshSgBIAigHImc0wnZwKlXQQEhUl9TAzDz6zNqHXr0pJprcYivvuCCv5TB17yI5&#10;jJFHsYPppunefOabX2YzWBHKjIfUJiG9sLW1ic8NcSAePDc3N5+CIXTFS08BksY6X/wRZv52QAZK&#10;QwDEAxTOCMEq7OxsIwOrBBRIGug2JLwjHumr02s+/Tsd/DzaxuqBQTG/MN/t6IqkjS6duWVoUQ5E&#10;jr+PlojEtiECtaAjhBn3xsutIsa0dgDhUdP6eIs9PMITfdPxfRIeWw1a65MJJvGT7W4glc9JQEpA&#10;GraMhjB2zGo2+ARiOIoJYEtKZrIXtQ+eEVipIlG24bHD4DV6yZ5SLTkg8J8FeT0XNXpp9Acl21CO&#10;cGLQ72FoL1AyxhojyADY3blHpbeZoPd4QRKYLYz+F198cefOHfLCIlARpfl63GyUnHI6jiwYoyn7&#10;Lig10qFfIw9bSvMAyQBhP3WJcZyfnz9z5gwuGgX6IYRnS3UQMCT39OnT58+fP3z4kNoBtUNRiEqZ&#10;pCTXpUuXLl++vLS0hLQXLlyAR0ng1R0KDrlmXBhaRF3E4ETiM/mZUnYpGZtbmpphC7Wzg+VlwpCR&#10;oyc3lG5jLTAJxWIpEZ5HKQa45EwNAq4Qdi2N6iXeGHp7p7pDT0DD+UIenqMvoAWcPHvm3btepoOw&#10;lfrtIRmRBXmc77EKCOOjApGarRZOHvIyYJzFw3x7gT3bXZR3AQG0TVFGnB2yo3AWG/4Yok4K6JSy&#10;3ewqwlMuWheW6ExGabbDIfu/H6iCbah0Ifz36vRzuoBSvx/COwpfUy99w0hi1gHnG59jBNilGWwB&#10;kYD0HCIwyQJ810vbB7/pgASeywOAYeQJ9oF4T+nJwtiTw/N6LV6Ul2kHI5wYR/UXWjW/RV4UYwAN&#10;y6LYqihMsRdwBofc1kAwOA0PHjzA0cHKX7t2Df4gDebM7Rpbhh9bhh8JZmZmYCwSsEsVVt5+eNWT&#10;2pHKgVnkEORECe5KYfKYmYBIJPeH8yYPLbAlEiAGcrJFABxEmPLcuXO4iTh2lAAB0yLkmdS4D+jH&#10;BQj3x9MHeXbsMwKT+UUaisoWdOvK1NS0uc7hU3GUTfow//FAJWHIEApnr9b0IFDk+I+5AQ9Iq4hq&#10;tp4pzQbBUMX6+ga9waLBbuopQjFog+R+wljmX3ddSlBGgor+1oBwKXSiN0p2iwDxs3xldLAqarX1&#10;NQwWsybs4fYnnc4gLV1snmj4SlXKoU9ZSjHSKCGTzc7Zx5tIIB3QKJ14xACKLNXCRDCA8ExXhjDA&#10;P7xBtgfhN6Ca/Np4IPz5IeL7JDy630cAg5Wt7zIQqdrDk0gSe6QnhromWbwc5zMiAbsuPFvP5fGe&#10;nmSq+wD8srxjMnwBucLQAdgIEzy9V+eHjo9JXg/TfC/zKDkjfD2+pgtc1T4eCIj9dJPF4f3LIdIz&#10;NxgYWPy1tbVHjx7hVEFmV69ehUuoCOePopxpYDssG72GhYVsMLhkZ5euDEvcC+I1XAwe4+L5JKR2&#10;jBq8Al3BKzAWMRyiFvwtQI1Ot1SBAMCnBmmQEO/Qn7QjjAX1Wijf4dXtg4tKLWxRESAlYcQw90Ku&#10;HlWgEA6RLEjLz6OZpZKeo0DUJAZbQp6M8CgtDO0xsQRRiwvr0dTvW2uI8SF5mdY+tekmf7qcVKWi&#10;3hOGeIiDbC/zhmWpJqOKVwAIj/nvAktrVGJeGnrA9iAadAXt2YW9DqbLRTkI3GYnPDRJP9gNLGoX&#10;fU1zsW0YPwbD7Owc7bIuUHehBspjlxrVKTaeJYJkcXn0Q8RRnjcEiTriqEO9DaRcSiNnmOKHhe+N&#10;8JhgPkWp3uEDl6lLN/kh0nikek5jSVPOQbxHMiHZsuvwSMqnJV4RuTwj8QQYUh6/DyTQRLJJPgG7&#10;yBOm2AtKY3hRO1oj4DGALJ7gmCCvZyRMjZTmBZ60nAgO1+RBMDbofY76wCPGVU28J9gHBiS9wFEs&#10;Ke6U37II4cEily9fXrYH4BgbbOE5GFHX8ZpNCscezc3NsQynEGcRL3AfiCcvmAjsPU6lwHOxheoo&#10;yk+QEkMV+JpU52dT2ZLdyY+jjG0YaGFhAQHgPEynXzeiFhLTFkpmxJLyIGgL1XGUND6/qJFd8lIp&#10;R9mlLgIcJWXCXjQW3vwYQvemkj0s8Xhgrtv/iU8RbuwcnVliQWSFJE4qFiP9kBcNA0R6/uJFr0sA&#10;ytfzdt5wCC+Xz5HHTQjZfX7vulPj28IJD2BdEIP+VE8m4sOBSIggYg9Ee0CXKmCpMOdeZLN6EZ0f&#10;pRUdu25HHjx5o0CBRrGCweS0Ox1/j6jpQYyGqmw466YhDSq1mRZToRpODI32ivaBg9Km1jrauNdI&#10;DDnDFD8s/HnCc31ZnwrsksgPOTyBB9hOpqvDIw+CvmRSMQ+ZTqzL2PqcRBqycJSpxXwGBIiPBWkj&#10;r5DA+O8zYM9KLZwzggkFVDudCS/ZZKaFh3d8JqPb6tTb4TJXf8Qw+MIUB0ByUpJaa2/l0WBhhIWH&#10;jwfySUrWU6zR9C4ilzOA58MUPyzs6a9d0N1rGkQoQ11r3exHPHZ3pDboyQMvI21LVxBQnGyjtgpC&#10;ePYm3zGIUGpAv3tSxSohv3R7bNjrYMsZhy9evHj+/DmEd/fu3Tt37kAkuHfnz5/HdWBwMnQZn+Rl&#10;Je4uF/HwjT/c7bThFR0TdL0EthnHSMBqUyABH41UQUUQHjX69KF2Ipk+VAfVIRtbCHJ+6QylhZqZ&#10;bKT/k8mD4WOiogeMJ7sUg09AmAAlIS0khxPq73RGVIAkzDak9S4gmeaVFyeMg/bfiz2IlA0TVwUB&#10;SnOgc6dhDIXH0/ytra0nz1dwkuD7YqmY05cEoIk0M1OlnC6oReORqX3rEN144pYHldGreKvVWo0V&#10;DYstepNl1vjkdshzY42iAPtvto+gvhpoiiJKfWfPvxPAQlk0iXRMQggiV7SU1svaGGOkccs5pFsJ&#10;+A+R1KcqoYcT2rfTBhrxZwjP9BISHrv0xySe7STet55Shy0lc5IY1O1M5iSnSWDjlXi2TFqHx5CG&#10;o6TxXOwCdofxsMO8sydgBeMTyuL9kP4oxOcbQhFrkzDJiOKQi7cPMCKNOFCOuj9MsR9qqaXUMJ0Q&#10;JIKHx48HMvr4xxpRwETOowzBG48j9G+z1TEZeNpaf41jwj/9Y5Fh/21vz5ED/yzIipkSNfJM1ZRK&#10;yVa4j/AwncWp37utBj4LgxCPyt/g/Pnnn9+8eZNITA+0Nzs7i3FnhMF52FwMk5/6IwFHSUNBDGl6&#10;U9WfECaGzm9jhjQe7OVexDi9+UwhAPMhOjKQBoo9a4BukSGVLVg5XpgVajomse8cE6S3h8P6WD4p&#10;MDybMsD/sHms5W86rWftcfUIYJSxnphLRHJNkgD4TDTdh+sR13nqiMck4gOd0p+kU8y4s9AJAZRg&#10;kvRRAsqvNqV5eLdYhHf1ChLnBrX6NMFa4W3Shh1vF9aRWJSNuWMUNZt48HqVKAs1FFsu4+WH358i&#10;PeCIVPPyjZv8aR+ryX/23ahQtso3j80VQaRntO2ILiOOeJJp5c5C0s4w0Z8eP/4LgQBh6M0E+mPk&#10;nPiU5uSotHkY0LhzFVaACpicwM+NMEbJXqvV2Dqr+ZYswHt00q8UFdYV6DotIxgpzaOST0W6XrfH&#10;tJJ75X6Wx1sf+/rEx9WEk1TUYRjX5lkJvdw9FCYVRw0IYv+JYSSFKY6HkPBs+KkkNQQ5dYYkTPHD&#10;guzdYVDzw6DssoW1GetT4XFf+L9JOaZ4C/DHUPKw9Qab8ChLLdVhmSw2HGIYjnFR6kcNETsA4WFf&#10;6BgGKib12bNnn3zyCZzHAGa4YtahFvw8jGzVnv5mC/A/OISPBeFRGZYL02+FHxfUSO0uA7sU4oOD&#10;ucPA8Bi2zCzcGgw9KfEAqPHixYsXLlxYWlqiasx9p69zBtb8CcinMzT8OxHcoFItVaNepjOGeGN9&#10;nTlLiBjkFclls/gJtJdAQe+o1Jtiwsk6Ps9JCXvAtD7iFF/aosNk1mTf0gxKQx46AvWicJRPBwXp&#10;LDa6UtG9Krh3NtlJG6rxNCEcbPZj7bFdlKzvITQbLJ+wxeiYYUaTp6an8fFpFKsrDIMyKpM/FjWE&#10;D7u6PxdlQP/0hfwEs6aYUy30ffGh8dDBIQ7VOFan6dPWUlhRBMB45nKoUQuX+fk5shODIqmS0uTZ&#10;D4fp1Jv9QgxGBfo6AeGhTvrIwS7JfEICDk3CKJFOYFoyJwlAe4BOojJPw3QluxfipQHCSAAQxecJ&#10;8EPJTI7hy64fAoSRnoo46jRhbBeaLHZsEaPK6GhLo3KIopavh40HD8bo7zC0FxQehvaCKRaGjgfE&#10;DaU0yy4RDccQ840EvR+G9oMG024Cu7dYdhHYwXj6fW9MGG+nlEPdmQ7DsC0spGT+LELp+WO5pYQW&#10;ZzEaPGDY01UrBrCbE5y8L7744tatWxsbGwxd4peXl69evTozM0OYgc16DssLO2Jf/JQm2cnLQLXq&#10;jgv0YwNYo44J5bW7GJgtQDxt97OpbCkftrt27dpbb7117ty56elp9wM6/YmeTS9uXm1+2f/jAoVI&#10;bXYvIv+wje22TOyLF89hOxgH8WQTEgnzDLQQxUDDwQW9bib8IiBC+vB2tU+2/Bw1j7J+TtP6Bp0A&#10;iWH9RBiF0HbgnMe2UJ7CUpfKZbjWdC55SYz8VsxpAd4yktF+VwGwNvEXZxAxhKBvbDHD2AxawKIK&#10;BTKoTIdubJWLdqN29ID+dWK727FLmO55C6Qhi75JaK/bpuOUPfyjCCtFn6cQKIcsVAfh6Qn9THp2&#10;dpbBBstSNfFkIRlS+Qh8c3FiwmNs0X5gScOLbWxJ72Hgs5SUk6OEPUAW72zSUIIXRcVeN0CtHk8M&#10;W8KenhWc/eeYeWriNLiFGISyI2NKA8SQ3SZLCJPdJv0R7bJc4eDbvUUG/h3EOJEH2Pi+BpkdPy6Q&#10;2QoJhyEljCfCDxM+FQ+CDrX/1vixdQa70u8/FMbwb3eUrWnQJhltSaogMfQLQaKAx6rzZIC0jrbU&#10;6sdxGbFRX2fgGbSWdgS7PHr06MmTJ+vr63h7mKVSqQTnYRdsRZyG8/AzIDwGDGznbpZKPblHNR6K&#10;Ou3v1hxJiPSlOpFUBL9SEd4kFZ05c+bGjRv+2jDSePZhHCPlxUyg3aPG81HwhQIZnTmw15rI9q1a&#10;Ao0GTC/etTNsainJkEHPwGE7CRncSiLYeMY7fLoeTkisODxA7ehQ3TZeT1Mv2naTQiQF0bm5UmXs&#10;CWWoxk27yjllhEdTrIP4RUJvGrIO7QSYPgBUr9dQJsbPlwtLS4syeXZzAGaV3qfJllGdYhj3MaNX&#10;D+BroWZGMlSyTGU8QV5KMGoDOqlGGeSB22xgqHeMYmV3yULVsF1RH5gP35NHdn4wu9aONxUoAx3+&#10;ecJj10ebtGnEQiSaY9gx3CnC15tsPUA8IIGVGMJ0Ko0SyQKQXcKA+QC8c7x8h9fiGCZEJC/3x0Gy&#10;ewAZd/1NDCiwuD0HD4F15CTl+P/e54H2gvjxKOO/QKQMqx8+Nrx8r23v3w8SY/3uA+MiPLZLmWxw&#10;GQ6Nz9i1H0IWNTkU3gTkk1NPAOu/xi1gBNrZnonplEFk6Pohg4pSKax8Ozr9zlEfkARw7Bww3/Pn&#10;z4nHjwHQDKBc0ru5wdbDggxpMjIFrMATwOUhoxcIKBwD5AVi6/EyicSZ84fK2V66dGlxcREL5SWQ&#10;bGTzJVTXri2GjX/HB3PS1YIa+EEyzCV2k3GOejDT1Zp+CLDE5QC1YDERVRPbXvqMVKl0ulwuk59D&#10;Pt39SpHk9G47gPjQPXsZIvpLRtp6zohB/rTHYDToAgrPFcvUlaGu8K4ldboVcLL2vm64PUE0Vl8M&#10;RrtKJ/5ZefECjxkd0i5khu1y+RyDHDtJegYsh2g4ltV9Nb9CiS51dw6MZI+FQFgkdt5iaxmphNE+&#10;ICsZGTaUwJZamBgoCUaTY67+0Ktc0ZtPD0YKw7hc4afMcKa3qNRGwpsN9P/nCc/HnOlBpEUAfZHN&#10;WQ31EYMhgOf8Dmlp0xIDStSgG1OdzwTCdCSHCHgMWyc8wtToWbxqxzDuROJ7HtC+pzd4rIe1ktpV&#10;DH9hrqMm/K5YyzDe36WGPUDUSZm7tkcVfyTIRRaT0h1Qi7OtHf+hwfvjIBgKtFtWyseNhdAD/Uso&#10;jCbGjpCSIeNmLYy0DIAaLF7wMWjljLCORBJjI1McSCrq9Wt7nptd6wd1CITHMCa7D0vCDGxG+8rK&#10;yr179x4/fkwMh7A2EM+CvaZyMow16MbrNkqw9h0XiIEd98nF1qcSkV6UGmKSEMC/hO3OnTsH3fob&#10;yIgkDTIgDPPFx9V4gerT0PR8EsBSUpcuCFGQmiZ1D/Q5byypW2Fb5TaarWZPJluP8XgHoFEMaRZP&#10;JSMtUQB2WLPdzCslIJXXchBBzD2hUCG0GhDAB6JGaiFeyYKAkmdmZsrTs7IvWG240oaEtffI8r8v&#10;MOx8vFkvd/AMOjgG/f7O9o6GpwanVG0UhJYCyIwWkYPWk54tDadhdDEDk66G6+y0JeshxWBlreH2&#10;uUEbSKzaCNgWu60xBQlSi2lX5WCAffSi0L7X0u+3W21cdFYS5bKeaCSNhNc4PNn4OW04FuGpH8Zr&#10;4+3tbUYbU44xzsgjM5E+KCE8j0HflMXEozjf+i4gAEjgs5Dx6jHALYVnp1K2FAt8ngfprASy8SLF&#10;W5g/cvHPrRRbZw3g5WieU08Yp2ye7iCox/7ruKUJE1K5xe+HL6DGSjJRLIxF1b9jg7kpKUOTZDFe&#10;2OHVvvGgpWFoL2i++tqMqf94v1tnaxAYezHWiNWNSD7qtOORloEYwq495RqDGMauSrcaPMrkcGFC&#10;XVtHCARGfV1sJsygZdeWdlp9P3jw4M6dOw8fPpwM1FKpBOVgGHA1KpUKtsMNNNlJ4GmODxpDXqYS&#10;YKJRCJEUQpnssiWM+NRy5syZs2fPYu6npqbYMoPIyCE8KiwUHh6tcQuoucUfdJWIQz9e0TFBdd4d&#10;BGyOarpRi1GOTjjTVow20rbbeu4eQqILCGA3MRgI4OaY7HvksRCKRlSvaB/6nRZb8lAXrUbbAOUA&#10;OoItJajERILmz4HFZeu6BL3LiCCX+FkepJd3WuBUzXD1K6DmtOluTIaZj34DelUTAOsYKUtqlxmj&#10;Rb5cwJR68/0o8OUIw40BThHeBQC90REMaqtXPEdKshtBKp+VpoUaCchFDvr0+fPnDCTGNshBeKH/&#10;NyJX2JI3E+gBhRxCeD5piYLbmMkkvX//PipYW1ujh+ziqi7Ro1CUy1F0gUbQGrrDw8Yd9nP3gEKY&#10;n8Ar8MSEVf+xMWDN9yrASLL/MkNjW7Q7fFww1kKa28/Bh2NMZwrajwVeyrMfNrAolFlg4zSEzheF&#10;KV4PMEdU65VSrf8gybi/QsEn2hoblPG/sQb84rxBk3CSkdFCbuMUxUh7yqOFCwGmuua7Ac2EYrCx&#10;MzOMSf5ziGhgNhBakvdDkvHuxKOayCjs1fPLQ359AnnMdMiA8EdMxhbK1MKWMUzKnZ2d9fV1f1/z&#10;06dPEYaUzBFqJAFm9/r165cuXSKMFeMoeTlEgLwmrzdFCqJM9Elejnr51E27rIEy6H6mxMVzzbNL&#10;JIeYR/4uFUgOtlhaWpKgZvsAib0ZuaKei6A1TD+y2EkvFWWpPLH4zxWBUFZE+GPDGZVL8aSzDtSf&#10;pQzBMY8kjNgyqzKU/e2dbVwWd8Ksp1QUiame5nvfUT32FteCwXbUXX/pQFdMKJWtawYQ4JC3gjDV&#10;wwd+i9D80lnPeErAtLExLhWjBNqu8TxkHgX0eqPe2N7eMuehi9eLEjCY9AuDg/a2xxduXW+0l+6j&#10;rx0+JFAjSwcUQzLGD5xE8Y1mg8pQE32BlW42dfrXz4KSC43n7Wvv+kySfVcI8SjKudN1S4DlC4Nt&#10;dXUV5VMyw6xUKlIX/YWQjFlv4BsKlEy7DvfwmOFogV6h2XQXa1u0xpwnA3qkSwhYEUJoLYzwfIL5&#10;NCbSdCqwi0LJQuHEmwDHxasiPKaf/bfpu8twu2AHMTbg+8Hwsv86Pv57+e8gaLL931/vUUCeXcWC&#10;MMTI88BrQmjXxn+7ZOCfKUkb/iwci0NDapvZNf0PMS7HC+Go/RDWhPHGmyE0QyDDqgxhjNa3BhXE&#10;XGXLjnNheNReqKhIvKixWIpn4Wxv0zfO0rAEJqqOmtyK2B1PQLEesiMeH8T0PhECSMqWAf/YwMqX&#10;7ebmJoYDx440Tk54ePAQlhej4Gs7JkjdnslRM4w4vTRJaQ82mBY0fYgn0m06u1qW24lBymFL1ZTP&#10;3CEXW6pYXFyE8AiwAPU0ZKcKFWfSgmSG8tUwPClNQJ240gTUPR3WVmDTk+OSACusHXO/OEQaL82K&#10;tfGqLgZUpbqY4qZ17zWERzpdLKrX6p1up9XEPdUlvfEyRZIrRZ96MKya/tRF/UeNZ/QPVJmPgzEo&#10;zcQWMCn4H6idbXl6Lsx5OkBL0bJUq5Wxr+TQwxA7SxMYG/QpPQuho1fUjdFUN5kj5e2mEPWjVjBq&#10;KRYVoHYzpGo+ekA3rAoIk5WRVm/UWSNQvvl1Ov85LkdjCSus24gYAVaXjXrZEyc8hLP+1PBDto2N&#10;dcqgisr4raSUAE/QKda+NxV0CKo5hPDQ1N27d5mxMJwPWVa1qItO8iFIZjKYAvVuBbamd3EbWx+U&#10;Pm083mPY9YE7mVHHxKsivJdUE9qHEG6PD8ER0cJL3nrZmrHZ+RrsScEIC0N7oYHl5atsL1/7zBs7&#10;/loRVmdQgB9mq/0fx/qRmBaG9KYmqPOROEj9y/S2+PFBgYbrRVzOf0STwUYWrsSw1/WbO0hvfaH/&#10;UtVkzzC2fXYzCyMK2LSVOL7LWCXs1nRsvpWGIixaZsKiFc8IpXbLrbYYPEAH6BIdO8jNDHnx4sVn&#10;n3128+ZNVoFbW1tEXrx4EZcOK+Bfz2GmkI3psLCwcOHChUqlQkpyVatV91F8FpAGCQFLdWYKIJ5d&#10;T0OxVEqYZLYSz2N91tbWnF+LxSLezPLy8tmzZyE8YkiMbNLg+LYOqdmU3hlIbzbYZNmoRTAtUTht&#10;RxiENxtqplYfE1Ass9eUZ5PXsrpOrGvUof5DKmIdYVfZHz2KEYftEEzemZ1W8wB97T6bjw3Kd1gZ&#10;+zHqhy9S8QSTAC1FTgTG4Pg5ZJYahP1B+9MD4yGULW3TIyiAGDrIzakrwTvLpwBH6YtcLg8fyYTi&#10;NojYtFKhA9R33ivjBQoZ6Ssr3CcgMyt8NoYCGVAkoHbd/GKvArATmNIboBB06b1mykz5BCeSXXgO&#10;z3AHT90e3SM745CRgmCURl3ewDcURxIevfI//+f/ZG6jQTNSenKOFhMw5etyveuCLepkzKl7zZiQ&#10;gJ4gpcN3D0aGIhwPr4rwkIKtd3Y4R+2P8cH2IBA8DO0FTXACsMkYbvin+MMQ1jv+m9Qd5jsArF8Y&#10;2ifnEeW/KuySZhz0/y7FS/4Jo9AB0w1pNWvtfKP4y16bSyJNaD9ii1ZicFeUk185c9CjcnKk3W65&#10;MvibQPWG8D1p3GPtPALwOa8rTL5vw4yNE5sTnAaej78w3k2HEaGIPMRLxRJKxlQmcrMYh7QePHjw&#10;+9//3h88Z7TDNzdu3Hjrrbeo8f79+3fu3CEB5oa8EBJEOD09zXyB8JhHlOAzaDzB5MzJAhnfkAVb&#10;SEUuG7uECTCz2LK+pHayM8tw7C5dunT+/HmqwL2jBFJSFAWaPRV8F1QbqlH8JLXrz3uNMGpEF5g5&#10;TBjFMvmxqtCn9GOqAcgifY31NvmnLlBBKkflCdKYpVAC8prBZSSw0bU3PxVUq9dRtROeC6lsKuvw&#10;eceCw6ukAh89xPkuVaA3eA4lQ3goCsWOb2o7LUBDrjcaSJNtCLRpvj2XjBK66JIhgOTewGp1BxPK&#10;qobmEKCBAOJja+2mSG0tpDnQbrVtbZIkjGIZlsws6lhbW7fxK9fQCgThWdCwE/mzFOpAGxMcYp/+&#10;onB0i7RNuLOOp95lIUYM5Zid1+M3LsqbC1qP8g8nvP/6X/8rk5ZZxJBldlk6sRqJSErj2QWuTRK4&#10;vgDlSpGaZ+EwnWw9noAnOz5eHeFBYBLBfhxEH0nAzPwwtBesocKQW+CxIfb5fxBmIOy/1ei1+74d&#10;3w9NFWXaDeVEz2GK1wPGvcQTrEKrFDGp16IEN0DADimxRzo8fpzesxinWTwJGAkOWulVsRnH0w8T&#10;aJ+cJBwf0tbCMUacrVulDfKy1Y6dubOxJngJgBgMuf4JVgqz3g44xu14uc2m1O+MfBZ8fmfmxx9/&#10;fOvWLYY9rPPOO+9cuXIFBqIM3DuOQnjuipEAPwxDTHbMEHbZz0kStnpVO3UwrRDXZwEKIh7uYSoR&#10;w0SjRUzAyclMv/Men9Irhe0wQBTi7Et2cYt7CuMLnI12+LiFFaUNf+yasvWfNjK2zZeQJ+G6oi5b&#10;sqJdd4KZFESGngGxFudX9aQp61Lpa9xHICEH0G71oirqRki3+NRvzUIMCUkC8iGKBfbDTymTDG2g&#10;BDqCnMQTg4ZRCGwHSvZdX2rtj062gH7dQLGISutou/tejUYTd7fRbOoJZQZDzB9fwVuQ/J1uJ6M3&#10;tOXwpDSI1S06VQZUXGhetPFRy9rGdC5Cheeq9mQIhIq26UEGUjZnPzrprWFm5Vj/CCrBewCt0tOI&#10;Sr8wBkjX7+n2w1a7RVn8o8sojeGHzhGJGpXtjQVtPJzwUN9/+S//hS29ghL9/AktZ4SRaDwtBM2A&#10;8eJ0ok406Ai1azEecHj64+NVEZ7J46LtQix29Ctz9og9AQoYt2lcxP4m7gE69AQMUEtvIOqICc+I&#10;57iTi1kr2S6LObqOVwEMk2qxmkKY0HS9xyGQwY/omooO+zFt7c9Odzur+0EDxVNOljFn40XDxrpD&#10;I8R9NRtKfoxfInRDh/6FR4CCzPRwz5YpXiOlko8D4x6z+sK/yXjbEwlUGHuT6DB+lEvL0DD+8dIe&#10;PnyIG3f79m24bXZ29kMDxINsNBqSI40fJdnOzg5th5OWlpZITL2oiN4HkBxaQGbag9FjSxXeNtQL&#10;h7HFfNftC3xszRvoQJ94dWfOnIFoL1y4wEykXpJRNYVM+gW4ih2DmG5QJJKuQgCdNMWvsle3MJjk&#10;aOk8Y/gwFu0lhUmieW3ls0mh0EK+wFqBPdxRKsUI0yLSUbKkF7wdISjHxbDO0T2Tumw3vrk0HCX2&#10;3hb1e/zo8R+XohAePbDsxs2lsZ4fRU3YDoMueU4f4SEVwqNluINRRCvssQ3dVGUneHsoDeHl0hXy&#10;GB8cB9cxThvN4agrULoM2Q4o5GH6gmJQLFUw5DY2Nlke0Y8wE4fs1JtemOLDnkI8YLONjdWggnBs&#10;5MOhWIqiOjqf8YKqASUjNvIzxmZmZiuVMkdV95sMJh/tOoTwaOd/+k//iWNMWrbokWYzB5zwAGpi&#10;62pDX2TWeDZ40X7IMYk3RZumdx09Dl7ZNTyzaZLGTLNZCUUcJQ92IQztBYNJOce2Zmzsj2wXizuO&#10;hjk8rdUbHj4ACFUpRnaThrELoACWh2GK1wP6WnKNe0x/tqG3PXosfNgArKnlm0zFMIC03sn8OXyX&#10;ocaosdGjP2ysK8zXuTauwsHFDjGsUcmoLGOoLFlP3QjHD2ErR/aUSglQmomqYif/JJgwPnLo0bAJ&#10;AgYXITAisB1khg9HYH19HeL5u7/7u1/+8pcseN1GYBqwyFCdu3rPnz/HTDAdYMTl5WWKwgABzB8p&#10;ITBiyIW1MhXJEjnPMbkQnmTwHCaMjiAxR2G7q1evUpQ/XU4W0pCexCSYzDviAZEOO8WnePlTdo0Q&#10;80iQNTtbwpRPDfx5vAaXpbdCtN7wi0XlcgUZkM4aISHZJQFDQ6sS8aM6jDye24viqK8/iLcl0pCs&#10;VrbXIHi/v9zfi8RIHh454X53ndGe9y+LCb9nB72xSzJw2ghPiu332q22eel6i4rdxTOA2Kx/QILV&#10;A9OhUCzAfIxzW2noxKMNZJ8+ap2V53ryjf7I4s/wMaR2trfRD/1IBy0uLjCVVJw+JCvuVFl2CmGc&#10;X1DRQozeoqOZSKxL6HA6mM6iXEqmCTvVar1WZ3guLCywwqCzbZy8wWBI065DCA8F/8M//AMDjplG&#10;CngOV48UxJCIQW/j3oyLAV2jVg1tm8YcIpkVp11PYyoO4fHHx6siPFlqtmayNTPdcI908ipMsRd+&#10;zekgMHZehBpszXYio2lhir3wWmy7p15UFKbYCytHCSyZgZE+Hu+vEyFjhSKEW4zs8NB4D/BHQ8LN&#10;bshyOmQ9gZtLt6ZgUgzNs+Q65pzn6VGt/lnRwKsgKUrEinOU1BhjymNlyooXBwSRTKxQNgPj2cfb&#10;vtaFp0Ntz2PC7ajfYUiz7IPJPv/887t37z59+hRig/D+/u///uc//znWFg7xYY//wRyB6h48ePDI&#10;gI1G0EqlwvRhi3Vm109RUqM1xO+XER1ivDB1apF9tpu8UKbHQ6uXL1+G8Fhx4t756hNQO5MRAShH&#10;Q8PGCmHghfvLoxksNjzNv7OXC3PQBhWRYTxbDyOP313ivqANudBvRjzMqOyxnemkEhwIwngk41v+&#10;rFh7fEVFGzPRiRavOWL9ol42SdkqEP4dhlFPZE85EN7q6qoTHjlpOErAe0YhtNQrIuVpIzyWLKjS&#10;3Du6vQnb+cKCkeC3CrFWoC9QKZqko7EJqA4FMwB9gUshNC2Xy1p/AeK0tbAWoBQL29FfqKharVEa&#10;/uLM7Aw+IoOHFQZVMJgtPWND54cn2X0e+BSgmyhaqzcRHuN5QLFQNfJvb0N5O4i7tLQ8MzODhOF8&#10;eWOBlpg+hxBerdn+3e9/z9C2pbc+G0bnwXlhvm+P+OGKQ93qaOts/XmnxOO9rqe3jvLA3j3751CQ&#10;CTzuUE0zGy7qbEYY89GWvJrhNgJUn/HWsM+0tyvqGhSW3aK1/OGAWQEl5g/NqBxbPDNWKMpyhXId&#10;BKWQ0fKZrDbuwtIOg465BCa/eTOqgXFsx18X3FzKVhEKuUcxBG2yMA/9oo5MIIeJsuTKYYlDomIO&#10;69+BctBUWNNeYE3D0F5QRBj6btFuVBntjBIcuy+//BLCw4GDjWCdv/3bv/3Zz36GFcCokbJQ0Hdb&#10;mEWQGab51q1bH330EVsMNCX4RxWgPZpPGvW5nT5iNplVEqthuynn2bNnfiGQSkkD1ZHx2rVr/pLM&#10;cxevmFzfFlCbjz0b4z7SGV8jDBxTBpdRV29aeniLMDE+pPmxTqfX6SjIC9cExtW98jgTbO2ZB/Uv&#10;8yDsbxsIKtrGjerm8MshHcL6VwGXx/+IoAz0gOHFlK+trWJ5qb1c1hU71g8oBJ4gIzOPrcbWa34D&#10;CHK7FZGsphRriEa+yQvCQ2rqKLa9vcWqZWenijLJRDISc9AIL5XT83D6oATNsbnBAs5UdGyQCefO&#10;qE73NNFDdqNLlvKdOFGsGw0SIyuRBFy4l1IKkop/pkOFbWnENO1T/s7ONq2g0/1hR6a8ZXmDQRsP&#10;J7x2b/i73/2OTvVGsiohBRP4pB1zJI4gPCSw/wyiyerPwiMGtPWSbXb92UHrW83f8YgE4zQerXUn&#10;QSIIG0ONic0mtD6QQUKix8l8ftqcVyp+bKoSqwOMCnJbwUo/LiacBwfh2cQAxgfETAQ8FC6/UpJH&#10;OQQikM8TvCZgyKjFhNQM8IBLYYpEKtkXxooNF3WKiWYNsz9PzrDxXGG0bSg51O0BcDgM7QUZw9B3&#10;i1RCK24W0bhrt2/fhvBgI/gMU/vLX/7yww8/hKXoCwyWX1Rzz8zv2CQ97MVR5kupVFowYKBJTEri&#10;4RJUSZNtaKkihhOFv3jxAhOG3aJwspw7d+7ixYv4lNiaYmUmlOwVQJVq6I//GGsmkk512o0PeHld&#10;rB4xzBRE1azQwk+974OSdmGpaY7axJ88PzvVac+q2+jQesg7nSo1eH2GaLoCnzjy2EwgiRX+t7Cx&#10;bxfyxaKvr69j1qkGwkPbpVJ5aqrCQoHsyEXJPsCU7bWBWhCOGiVkuE41RYxBLP4x6wYw8e3oTcwr&#10;ukFa/Dp0hN5QjbjJzmOb0qQi254E8VhH9w+L8vzMdj5fyOX50UdiASpBJFTsMhIk00TPk38ozhqF&#10;DrUmJSy6M4cAwtuG8Go15Jybm5+eFuHZGHiDgVoOJzx8md//4U+k8Ht4GG1MfvxrRpjn/LY4gvAY&#10;AZNhNZmN7OBq+nwZYxJk6jDu6SP3tXSai7nEnFV+TdnwEgbHOOIEZnONP+XXcLAPY7K7KzIcyuRD&#10;R0jFqlbzV1NLA5QClc5SKlbQbe6y9oeBUUhWT2ZlhMm8uoOwZguUSN1+w5a5Wa9I/0dA+geSb/w3&#10;1ju64cck1nofYay5OqpEltKgxLQzjHsZGW51+ADQfBjai++L8PKZ8KaV58+fw3n37t3z21KwUx98&#10;8MFPfvKTxcVFOAxmYktjcQS/+uqrTz/9FM6DushIa0nMFhtdsW/G4udBXfQsU4l4BirJtre1iCYG&#10;mw5w7Eh5yUB6X1lTwqu67d76FxH2QQTDP7GQ6E0b/ojv2hvCMKky5J02ZKh5BFvTAK1iAuyD7Kud&#10;7WRI6CaXXdf8nPZsXvjM4E/1Ubb/2Dihl20zHh4EoNx2u1WvN9DJ5tZms9HAfalUyjP4drkcCqFk&#10;F9in51Hz6NVhUkEooQewLdSOcUAWNIS07tVhVaW0Tod8rHuQHKqjCYB5Q3r0hvooQuqw16ao7GOD&#10;hqMfjZhaDfOGQ1KulIv2guIDhKdJRP9avnC2uvC+IRlbs20iPPfwTP42jrWfXWdMTs9M06sMWuV5&#10;Y4FajiS8P/7pE1RBZ6JcxjOTk3SunVeAIwhPA0s/YT+E1emfGeKXlYchDjA56SS78UwgzGxlkUVL&#10;IDg6j7Dix8/2ekabsA5NRRL7UAhjfILaJXcNZ40hncmxIaq6OW6FONvZmLf1LLDi94P8FBumMmr0&#10;dEepk3JsuHLYCM+W0TYrjsjwqqFqwqr0D3kkjYygyRR6gbJ54yQv/wGOsNX+3kO03QP7QCeGob2g&#10;gjD03SKISR43YbhuuHeffPIJ3huTHyq6du3a0tKSv1qFGAYVjPjll19+9tlnJGaYTcYE2sLwoQ08&#10;Nr/3hEPQG1aFMUnhsOPGxgYxPjLx6sCNGzeohfL9Ag9V9CY3RX47IBJ9YaNOPWlQPN01HooeE8Yz&#10;dxAVw63TnHaqUxQIVdfrYQobn1qOyclLTE1Ns8tYNeOOExO+GWTMkbRe/zSCrIqjDChDzdgO+tAG&#10;HeLBoG0UmMLuptKUQ37gqtb8fZ2AnGUOQoSRyM8IMZugU0EoyF0uOyHc5iiH0ECxWCiXKyK8LE6e&#10;rncqizQuFfg0PznhDajOtFOlj3AfJ69EcVCLr1tIbPp2qf1fuOXPBEB1et8bNg1h3G1gQOIz4F7j&#10;p9KP8/O6aYVufd16ft2gkcy7wwnvoz9CePSEBitqNMLLvjIDdAThoXH7b71j8NBgIAJgeqg31CU6&#10;KekxdCt7cuJ6YjUOESNSGZdBK8xQhxubdQJNI+zcQ7ZwQvpSR7EiQFn2IOHv9SDaSwP0vXreTm6E&#10;BRrf7ZZ8NyyFSvdyCE8GnCfYB5vDGrAkoHz6hqFM7vEbSV4XqIWtCeWihQIiMAF2bF9/1k5a5K2w&#10;zd70h8Xr1kf+HUSY7QBoexj6bjHs6bEBRhemdmdnB8L7/e9/D58Ribs2OzvrbIdDRgyjDp7DyXv2&#10;7BkNnNxDSBiDiI/IUew+xppcFO4OE71LRswWuwwIigXwKL4jbMcWz4ASAL3/qm7K8EkR9og24d9k&#10;LbW7s/jTELRr2F1WjfbINDJLLf6wIDvhOpLE/MY1SnH7UnpJps7aQXn2eAOzhIEvSyyIAkFoeK1S&#10;+zFYzRxA7XbDKja3Tg3lcml6eubsubPKacPL0moEsvu6DTFqQFjVayJLYCMqdWK/T3fCEHYzph6z&#10;wwRxiGUK6xV4mj+6Em3QcsvtZYxbYFtKJnQSjKBVLQaqO+1WG31qbZTLMS6pxemTfgFI6sr3bFav&#10;NvYvtDOSwIQirB7u9zbWN2iFaE9LjRyEx5CmW1G25XtTQQceSXh/+OhPKAKNMNoYx054jOYw67fE&#10;UR6eDwELvNzq6rReKICs2Ap6GhCmOyE5kiC0TUydjfGBSB6mmb+jFu/IBgGDleaFF9UdNnHU1c5X&#10;ivFYG5KAjEogKvMYylbxNkBVkwtMemXh18Q9CKTSfPFr+ao1LJ8j4f+9UE9Qj49F2wUuvyd4TZg0&#10;3FoaBmy7R2A7pL9J+kmM/yHsnght9J+2e2gfJqXvA00OQ98t4kO96QMVYNBZtD969OgPf/jD559/&#10;vrKywlHGCOYMK8bYskGoVQjWhy3+2VtvvXX27FlW9BxdX1/3q3oUYiMrfJEYW3aZUFBmoVBg+UxG&#10;2G5ubo6M7BJPAkmicfPKbrtnSGkb7vg/gRUdu/bjIE5b716PYnLBcWI3DULdetPWdxLk+tl8FPPZ&#10;qTMNcNEe60R7gp0wTH/o83xMIVVwAFQB27FQgPba7RYawHecmZ05oyc9NHtMrsnoO2r4vDLQdE0/&#10;I2nUEdqa4ZAWogCEBFhIqIKjiEWf5nJ5v+hIm9Xxmr82KQxjib0d9nMSIAUGkBrxKdn2BxpO6Prc&#10;ufOYLNTrtsK7W2qS2AS9J8MA/1iVuOFkj8T0Kasaxuez589IT4BjjFDWcOVymSpO6omeNtAJRxLe&#10;7//wR1TCwCSKqcsKhvn5sqe+JY4gPKwBc8CGk4GQPRvb6ejKgZ2d1FKTLSk5TJdYbzp8UCGh1uYa&#10;AZpgQjjBzHqSyKailqLu3tHZJCHeelSD05qpIUEJGhpGouwqtY0fjSWNEIvVUFK9xGsQHQbaw2GT&#10;z6q0PKr4CH1aZX5MxU62FKC41wbUuqsCr1gh9GkyhGK4gN5wHR4nMyjkhwmOoyeHLf7Y8C777jF5&#10;04eZgM7q6urNmze/+uorXD2WvQCFoAsS+CCFnwjjol27du369es4cxgI5gvuHbkgvI2NDS3TbPnv&#10;emSkwW0wHGQAzpzBmC/7006MOkACF0a1vKLHcuzU3AS7Oifszf1/HDFhNa+I0HQUvNViel3ZsyUo&#10;WhqYrjQnLA3pwyEfj8/M6Bl8Ztl4Ptq1PTuHpsP28IOBf9on/9ra+srKC4gEC0V6Spibm8XyjqVS&#10;yRLSZuHr9jxorImpKpGtrzsDdJIJ2fDqqvrYfR3LhPTG6ClGAushRsXkrJjnRlpmxnhh4bNGk+Tl&#10;RDkeyEgPYAlhO6pmzcFSA80szM/bmkKvJaNCKjXF6nSX6lXHeOfohwj0Riu0jiFSzenRn1jY9fUN&#10;6yBZS0by3Ny8n8yYjMk3FHTB1xDevptWdA0PtXjOb4sjCI/+k+ZtFexgaLEGqdfbNrYnY0VhYugr&#10;+pVORXrAAoQuoVXMEMaX+Ws+kzRHyKB9YpWUlBoQXg49TSKtRi1WUVYF48aGiMYDkRq0VhqRLgcb&#10;iw9he4cgnDAGk8SKJ7XVdRBowNulyowjrWTZX0/weuFSTja7vi840aQ1QVsLK5kltU1IkIfEozeL&#10;3w+mYhjaC2oMQ98xBnpVPP/NDuh9H0+ePHn69Kmv5be3t526OOQDAwNHenjr4sWLuHdT9vYvTB4+&#10;ChkfP36Mh+eEhyIymQx6RH2kIQu0R8rZWQz6HDFeIKUxSEnGLhglXs0d4TbkJsY17BRAU8ZhjwwP&#10;kd473TpCtpIG84/0NorN+g/6upjAArSvd0KiEjTjyvEhQlEcZjCLxvc+z5fNZihe89Yuk9vZTg16&#10;6mOR8fzFc7SNLcCGw3a+OKBEarbVqcaGRBroRckS97VhPH+9Rr+AIo92ZWW1Y1/Bhek5PCG5fKGQ&#10;tRc30yifJkgICKMTdeh4De3dcfJxrkIRgLVGva738mjBMRhk7OuD1IvrJnUKcrJRsOoNLZkPWwmA&#10;8OywzLWb+/owKGsXHAoGqvUHPkOasY3mCwV9ufDkcp4uMLIOJ7zuYPTJJ59yGL2gCNxz1nEszTgc&#10;Zt0LXC/9o88nf+NNaBLHUCQTbKCvWvjIVg/AcDZDuvYGJtSt6+OtFq4cR2x4WDKbQox1zRt74jVf&#10;yDM/1KuKULQ3g0WO1bYfJAlDe/Gmd2SEV4yBCJ6BpKCdtHQDB+exJts0wGFEMiBJee7cOSwdpIUL&#10;goHA5GFjyIspZDDbjRe64c2tElnw5EhDFmc7Bq7NFn0AT7UfwKt709CrgZ26PASNBr6vPVEgjG9y&#10;6fcxo7IDeAzyEmSEsaZwVrFQZMJCe2jDbLQu76EKFPLixYq9tqYGK+TyuTm7bopurR6xhBkS22j+&#10;hoFvifHCi/K8yLBgeg2hsUC4skoTjzf0zrPtra1NYmgjRonerFTKuoM0lcLTUrYDeFV2BsOJWpAH&#10;842iGVoMS9SOnPAUBp3llq7q6VE/rSEwnq4rOA9u02jGrtpQpHcYnIxnolA73UcneqcwPO3+0jJm&#10;Fr/Vyjnc/r8peGWE58NCC5bJfwv7Ksx0jW41nvgHhsMexxVAwWI7/dBb9BtbnbpE/fbGBzKQH5/N&#10;S0TECb0xc9gSowWMnQfiEKsSDBUsaPXuh5uwg4gIL8Ie7CI8X2kxGtliGty+wHYEiCQByXDp4K1y&#10;uYxFxtAwOslu41xfF7KToGI+7IyZHn0nneGKlQd+e4sq1Ti0iXQAp4/wDj9Do1Oa/uoyv/JgC1bc&#10;CcLES4OTFzsYIAnarukc3uASeniUoDXF1iYrYHSCitBwZWpqSS9Xm7Cd4LbmVc1fOpQeoEaHGS6B&#10;nsTEID6rcLFFr88aZmtrC0Y3VeiBQnqf/odpsEG0yzPuw6uSE1NqJlUdIbdMV1ElGP8Q202ig2Bc&#10;l1T9Wog2YzNsf9YX5IIx4cJkoNf3NJsY4WE2ly2XypUpMR5jG/tKMZOOe0PxyggPzUr/e0C0bhr2&#10;DmBLDKUx7vnrdHRnNtPDekq38aJoOo9p4gVqaFhGuo68hXyJHVxz0dr4rIiOhsVPOlhBoqgiLGcv&#10;6OIwtBcUEoYiRABjwrNxK7vA4NTgtekgQy5TrpvxSAC00LIHiv08Axl9AgDPS2JA2ONJuWvQasQS&#10;ydas5yE4bYRHm8LQXqAjGjg5cyZ9WYxrQHfrm21m4mu+K429gQhVhDe5CK4ZTDBLCspkUjPlWSLA&#10;J+fPnzM9SWEoMrTddi3KBfiWYKVthavnnR5EELIb1KqnAyEDfUW81WTps7NTxUhhlPBPYYVKZapY&#10;KkLcZoUOl+dV2Rn0KRozSkaJKBOwntjZ3maLu8D4dB/OLLbOipFLqg4vlKBg2Ve6BlPKPgEJbd/D&#10;wzNnPQdzs3pjnQF523ANpI9wUL+poFvRzCsgvMmw0EZ4GUMhlIu2iaWfGPn0QrvToOKmvUccZ1xX&#10;Su37vOoH6w0ITaxmxEbU1JQuehvZpcfnPdTd4204Rm0X6JoEtR/EUROVjGEoQgSwi/A8wg03g9CG&#10;t+DxDt+1sRemd5CLrUd6Gsu6//EMzwg8zUGcPsI7fOGIwtiOGzoJ6s8JD2Nqzm7Lzr/1mf4U5cxI&#10;GjRgOk+USkWIESOO8bDbO9PuPZ89e2bcLapIXaKsMtbsfntAEqreZKAGK55NSNhYSZgAg2W3pjZp&#10;AvYJHx3RIAYkzOXCU9ne+IOg2DD07YA4SIlh1JhBD7qBVkq0M5M6yTk5o0C0LwxcIpo1uWKKqJQB&#10;meHM2aONWP/wFefVakh4NKyQL5CYvGgCW6tS3ligsFdDeAyMMCS8VIrpWa+PpRB6AlVqaUwnDOxt&#10;4lrytbs6zyMeQptUQTf6+UmtleE2+C6eKBQq9A7x4j87TaqS9Vqm8Jrc2M6oRwja/DkEEucwvKqB&#10;GOGHgfhQ72V2hFEGxk8Yu5fD2GULZH0t0hOwa2llQz2lJ3DinIxSjgKSed6DOG2Et3e+v4Taxb9Q&#10;K5Otpif2WEbAz3R2Qv/D17/yR/BI/LsNZLCXI0N4JKME1IJZmJ6enpnRa6Mnt6JRqN2GgUKHr8rD&#10;ozD6YdIXMlQiEl26g0X89hC4BGlJIDGSyUI+r9Otui0zj3GiEDJy1Avch1dlZ5AT6pKUklO7gE7B&#10;f4bk5Eib9tDuuBtEevpng01yY+5xne2WFtRLU8iI79FoNAkYkesUfalcytnTaDZa9WyV1f+m4pUR&#10;HilNr/oTxmHSk91uZGLRoXMUcJ6RX9tGts4UhCcqdRNKUCqVGcrqDS1BfA3iD6gG6Nr20LjGonWw&#10;npegGq8s/OfBw8fbUdGvbCBG+GEgMQpvyphYLg9gC2RjDOzaWBcYsB5gWE4Ss7Xh+rIQT8DW4wmw&#10;9WRsAebVEu7HaSO88TTbD5tH3iy2BgXZQS0oQRFowLwR/vwxXxa/UKAWw6yJ+3aHvJ371NlPLAUJ&#10;sM8z0zNzc7NLy8vuoPBjJKfSKAfVWf3fHhSl3iAkhqa/7VRhrVqF5yCDtj6do9dq4xjpGTt97qBQ&#10;rpQnbpA32Pv3IF6dnaEaNdo1bWPKx1WAYjGwuuLsr62w1Og57AmAEBprbLDb0j8aJAPOKw4iTEDK&#10;5TPLmTQNzAMsM06E6XlAepXwxuIVEp7OAkslDvnY6gAGMiOGkQvfseqgMg6SkEHOuKIbGDGZdDpj&#10;l+6RgDWFCE+OnFxujRsbyr2ubgu2LjYPTlMISdTBLkDYl/7vyLv9j8SrG4gRfgjwV4sxxmyYCRp6&#10;OpVkpyIs7FtAGh//vrsbjGO2fuhggn3lAGZQGNqL00d4XwNvbBi2HT1fa0QCaKx7w7LSOmhGA1qx&#10;C09wnjw/yE8nf+z0GluSViplXLzFxUVUqttbWB/byUO39ZSp2r41KMvZgIDeL2M8jAGECZCFVlCb&#10;vdCph8UqGbCNxWIhncmQj1zqT1b/R/Tjq7MzoX4dVOs/+AiuVMUo5Hsy9BOYruygHuvSK0CtmXrR&#10;3fb2Nn2RyaTPnTsPf2OTzfmz85lgpI/nEX5z8coID915Sgau3WKppwyIYdVAXIdxbFRHOiiKYgvF&#10;HF0A4dnJS7swZ4/giOLsAh7x2qN71DtMGK/X+kvbMOD9dnzY3DgEEeFF2I1k+OpQbcFk2PlRYCMw&#10;BLuk9PgJyMWWMUzAy2E3zGA3VXnA0iq7qjlwbW+CN4Xwxs20Tdg4BTCoTLE9Z2jsx9OQyf0S4zsZ&#10;Cv2TGRbtNRq63o+rMTWlDwNhGjDEvj6maNeuVfQKgBgSl2LtxW+i3LaW7Osb69g14qmUAJFYLdhu&#10;fn4ui/nEDdK1FbXeDFiA7GGJe/Gq7IzZMddwuFVsXC+4UITFoRTz+vSHNTbBtOGYKZx4tRHPFT2j&#10;fAI4sd6umdlZuE0n2YwVrCjlOGp8vik4kvDwwj759HNUyOBDF4w2Rh6ER2r6zNcL5Ce1z1UGCv9t&#10;yOpkt93IpNtkdVHaDpIYZVECiwZqYuzawGVXr5f1bgBE6l+ECBH+AmCG+xBgTGRBZEkaGxsbW1tb&#10;mJ1SqZjPF+TqTU/n7NucOCjYIpbNbj0wRJhy28pEs8HU6MBJ4HTRtycQarpmpzcG7OxUsf46v6d3&#10;TrXg4GwuOzM9c/78OUsvk2isYzW/usckTgr38wBNCD1qEI9jmU0zstZOdWxIbhpu2gtLG0TCBOaz&#10;5iByK28/vq92nRR+huYg6CqaTAONyMRubD/88ENvlXlX6kK0A+2J+UIFGuOhQV+X2d0oXVxArRAa&#10;4jpoj0PkJWHSPhdZKBTK5ZJu+6lM8euPH0F/DCCtInS1juXHm718iBAhwisBRgabgHFI6RkkLZHN&#10;PA39PgCsFSaJGNKY9ZhcPNN/bYz/nAVPBPGE57WvQLBAxzhiu2DZbC5HjfAEsmG7sF9+0e5UQeIL&#10;7t5hg90+60EaghyUnQ30nt5ur4ultteStUlHW/BTWVL4b1jcDw6ohu5DBYyZMfWoE+XhffrZF4Tg&#10;OfgMfmJdw9hjMEyWM2O201Xlre3tXlevfgedXd9K1hOLulCnLzvncmz0rROdFI7H7MkbIJ5DDlub&#10;+PooQoQIfxE4ysPDxGBbunrurbm5iY+3gVXBTmEgpqam5ucXWDazXpZtlzVK2PLaOS/0sWyjs0r8&#10;Pz7IPGELM30C9g0gCcaNijiKzcrZV8vxNSXD2CROav++PCEXfiyFhSyADfdbfeKJeL+n5ytw6VDp&#10;9vY2KciFIcZW494V7dVocCX5DuL7atdJcZSHB/DXaSMd6mOMmJ/85Cd20tY0odEkRgS6+IanP1ky&#10;oC9WBwwCRoI+U6FXDEJ82/ZFqBapGDSFfIHSWR8xTEG5ou9CFYsFuM9PZqpcxoo7kxEiRIhgxgez&#10;I/9On9aTQ4WhwPIALE+7jd1pd3RXp6249ckUN/Iy72ZKsOEiIu2eBBCwbj3QjYtiPvk9uSwe3vS0&#10;3qRDFXAwJeMMEZk+4j1w3yN0olJ60J032NVwo38iKrTXabcbTb1vumbAgKNBjkvFuRzeCMZeBfxA&#10;gQboXge9CQgQz4rJHzMMr8Hik/kvf4yDnn0hcGenurWl1df6xjqsB/9RCGO0WCzNzuqJmbNnz0J1&#10;epijpM9k4OOl/eNYeNYqyc6L+oVA3dQpuFgRIkT4SwaMIythliedzuTyssVQGGyH5akKOxhuqE5m&#10;SpdXgEy9jH1Id2K8sLhjw02cA6fHGFd8yy6FwQ1m5QbYMd2LcPru4JANRQtqO5YbW6stpEdrRsMR&#10;C4WdanV7a2vHPmaEr0MrIHJ8EjfRNJaseD9hcT840I9Shw0MjRgNFYUTCtu+jR8dQ5OwEruoA7eO&#10;Abe5ubFugPNYMrTbHfLm8znc/IWFhaWl5eXlM/6p33w+n87o2UYVZesn6rSSrVwjOwIuQYQIEf7C&#10;gV0wwtNrVuCbYqFYKBSzmUzfvg+Avd7c3KruVLE5JMWwON+Rz308s2Nuyk4GinIk7F1OxLiFMnqA&#10;7HTXKB4l8dhNy3G6oPabGiT4SN/t83svkBm2q9freov5TpW1gl3VG0ByKFYn3UKfRPe+6pTbDxQs&#10;m6yB4UN0wOP1TKePF6LsNIJ99UpenZ24NLDKarVavX6ftQNDBErD0S/pDUBl9AfzMVILBb2xm2US&#10;I8jHn5Eaf6wkFPZfA4d/sIqOECHC8YHxEenI39Itb1hk/5hqIZ/H1EA81ZoeGsME6WHwtr4dJgsf&#10;5ia7bU7OeP4SSv3aXXjwnHzJne3Nra1GQx+7oGoAi+w2l6cHdgJTAWTDMnfsC720QixXrdbC18To&#10;y4X4FyRDZaSHAGxpAXTi7XRy+auCNGMPnEBebOlRIoP/5T/+x9XVNZSB+0UHM5bQGisCvDrdqKt7&#10;e5q9nj5lad59pjJVKdm3JCrlMkuGXC7rK4WUzmHy3zw64zMC5EKttqtBajGKtJWFdVeECBH+IjAh&#10;qX3AdKSxEpgnjAOWGAM9GOgjkRgKluC6RUBeIMZZ5zNZVbuFGUMhL+hEaDYb4VVBXSnU+6EgVAe2&#10;URdu7Gu0LOihYdLjMXh9YLftst3vASYIplXuiz84744pNtu5GsXB1WjdUpqQ9nBhKvxENjG+cDi8&#10;X8Ispx6JI+SnbfAcREaHei+jqOXl5Xh/NPrtb/9QtI93rK2tMbZqNalsZWVVY02fARsyIllysfjK&#10;ZrN6JZi/ISylz1yhFTtDqVcuhVVFiBAhwvHAOtsMslwNwqIgu1sSW6Sb6e1FX1gYWMfuKswtLMzb&#10;feD5ZEoXq4wLRYZ2LdDNtFtqGSX3BKFO3ZBnH5YjPSnZQg9UxOpfFOfvQbQvOtmrM3Qm0z9jRF12&#10;E950Lp+zJyMC6vCLMl6v+0+vD9LNuF2IDaAx/tMK7DALBSRB+Hq94c8RPn/+IqMzcPoosa7n2SPn&#10;cB9H8U9mZvSm0mKxQEtU1vf3zkwEC0OHw1ocbhWAs6QJdaP7VJRgm76+urMvNaCB7tu518uIWllZ&#10;+Vf/6l/Jw3vw4CFLKo6ur+ueFAiPIdDptMmGRv10JaNNZ371wEFGN71qmaCvhlsd2nxfiosQIcKb&#10;C2cOc+d812L1KJRunnT7PrZt+pSBc5u/44Jds5uYQXxBPUUwMXpKYfRAenISsBvO/W5zURwEwT/3&#10;6jCL+EcwHSt8ZwJyhAWZ6QSYQdlau+Ln4kwSvGaI1r3B1EudSIFZRgc0319P42/+ZFeHYzHYrlAs&#10;5HN5bDW+ij+HhvagQI5kc1n23Vxbgd9NKw4i7Ol9QNVGajYgJJvEIymRUr5F05ZwBAyHSbsMSQD3&#10;DOIHfgLTTk+GbwAHJEBNv/rVr/Qc3v/3//gf8CcLAbw6ym+32pRGMVAa3YyaIDxUlc1kRXUmkN3R&#10;icr0UJ1Gk+7z/L4UFyFChDcV0BZGDIMi62Y3X8h5sa/pYrhquHi6eqc7L7AypGfJjVHCcBNIh5+S&#10;1e0JOuEko+R2STd/QgCUhR00a6j3VnfshZ12uk/PHPthiJDlvhJj/vWF+hnMJcbQpNMjE3ZZsbK0&#10;tKia9A28wIyehPkO2AJTLANvHOvUjq5QmMi73a7pal2dMIfdATV6S0F1AFFRmrcO44+uMOZAzyTY&#10;qz/GxX4PQINhaC8Q3oSyNofQ7ljZ+gtJR272KJtiAaQTA852gDAxqMW7HhBJk7e3t//1v/7X8vBu&#10;3rrNqIIGd3aq4s3BANcNlaGakr52qAcO4Dw0CN1pQBnCvnaJbJlm+xEiRIhwbLiH9xIyLfyJuez+&#10;SbcrmC0z3Lou5WQGCFq8aIscZkO19rcEdoGupxNX2Ds/dWn+nP6MKqrwHwkogVqgCr3oxT5OZBKo&#10;Yi+cMpEB7whrK+OHVOOzpvwhsYVfF7CurhRJZS6vX2nSggA/ta6P9tEQkiEbKoOwdRoul8tk9OoP&#10;1gFOgcCXCKELZVK/Ztm/HodzrZEJEJtp12P1yIC+f2SR/j/EUN+h8ifFBToXsGTZ2toi4PwHaDKR&#10;f/u3fysP7//8f/m/cphSWUlBcqgXbtN7wcPPRhRssaAHGKhAHTzp8FA4/UfbFhchQoQIx4WdTBLR&#10;GcJIDIrRm76lgBGzC1Th1+nMBooAoCgYih/W4OzbmSdfjcsQGVWJsEgNLTpJQBMEdPJzpBNcpIYG&#10;9PSdeYoQA9lZ3Jvl1IcFmnYClBLhj4X5BWxjsVhkS0YXkz+spYVfFxAVAaxRI/G3uBsHtIv8dpJW&#10;LxLjMK2A5mA4/BMSoxxgsvmFThfVNmxDTY/V/X0AmcLQIZB8Gg4G34W6jG7oU/nr6sWBFivdVoOt&#10;utZojy1h+h56s8WKzoWSgF6r1Wr//t//+3i7N/jP//k/Q3isChgfuHQsAVjO4NcxAvQWzF2fjaC+&#10;cQdTO5vwD/g4ixAhQoSTIDQgbn/NEusPiyZDLVvmd1HqShvmrFqtGWn1OGpMIHOEMcJquZX07IoT&#10;PEQxQrgvxJ3hIDtMoZ0m1ZUtCA8GpDp8QqwndVWrO1SGj1S2x9cqU1OlYhGTaBWpnHHgdcFMrqow&#10;+u/Ac/ip2PatrW2TliZk87riZE+F6eKcIBfOoBLsz0jagr4fBlxj3wNoVxjah1Ag/xdu+aFDoCf6&#10;AlKjgwBKYLfdqNGtKMdBjHc0A4NdMnvgJeG1uoP/9X/9h52d6tRUhUFTqUyxdcfOzy0AqkU7Nn5G&#10;xEnaUGsSyIT6frQWIUKENxoYD7ctblUmZg7/zK0d9os1u85Ktju9fq+6UyUM+xGpnJYAi4atN1cm&#10;ZDXyynjZO6AnJRMhx8fcQDd0mawcIz/7h1dEHvJhSe0RPb1/cmNjA6olEoLEGZiZma1MVchi/DGW&#10;9XVCVnw46HV1jcruOmx37Om6Vrud1llKvfAaEPDriyQ2OhPGou2WUWG0YT/C9+WoHEV4OG4umPWk&#10;k5fkpfE2EvwBDAHmw9PrNGrkskQvQQydOyE8Mr4kPNZR//AP/5mdublZOn5qaipIBtAdPrHyWWb+&#10;TGNiWkbEOE4xxob8aYBaTIQIESIcF5gPmd7QsMnSmHXWn7spxLFw17kq+5YbtATbNep17J2bQ1GC&#10;neIy4tOJTPLqWpuITZ9BcANGacTYBS09T5W2W104Gp7E8itbVi9USnHUhxe1urpar8uHQJJyuTw3&#10;Nzc9PY15pCQJNxb19QFflrbrwlSjAcn5sxO0J2NX4yBrHDvdjanP5NIEtRGNmSZDE42Q/NEmttZE&#10;CSxdm/b87N13j6MIj4Yilq7B6pR22K1I2tL32UWAOpVJD1kf0dmdpgjvIEgJCNCtZKTLqtXqf/gP&#10;/yHeaHf/t//t/86BmdkZNILnjo4YASSyjBEiRIhwWoCjgwXE3u25ZjMcsiPTaC9GIZmcOdbsiYS9&#10;+ykBN9gtKbBd+MapfF6f2TsIbKjf8EkNOzs7eHjQHo4VZevOhlKpojcGl8luHpXubMBsQiJuYQlR&#10;FVUgWFjiIcC4TtjIfQY9VmExdmD8BxrwXKtVrdXgeFpKal23TKUw1zCcWmRURwleLIeU2UowKMCf&#10;JTgBJunHBegPJEYup7daaXwL/Vh0CK8YmCscwlM6SG8FCOjNlirqO/rUVhvqVmB+rW6sNe2OL8zq&#10;cZQ95VtLBQ/bEcHLp5xsNluv10V43cHof//f/x8onZULKYvFIjxKh9kyIkKECBFOEfB4MHnQAwF9&#10;Q0Er/dAITrYkE+HZqUs8Qg+bbycq0qlLYo44lYd9nDAQXpW/XhHWqdXq5LZTiMUSlFcs5vJ56IaS&#10;/RSXareq7X6RAEG8wH0gJWZ2bJ3dxppjqU+oq16ixx6tTL+uXGL3dUOpGJQm+OXG2dkZa5RAAzlk&#10;DhtSeJnajv8ElBGG9sLEOAQe75vdgaS+AhACaScBNO+7aoPBw2zVVJNsgkkkIKP5atpyyANQlEc6&#10;57GlCyZ9SnZAYrLTfLaTAj1gxwWXZA/hwZX/7//P/8EgqFQqVIHrx1iiB3ZnixAhQoTTACwnpsks&#10;o5tHtorBrhHNLluSQULYRqciUZjZSoOCJMaoeoH7AJdQpE734e31+/V6A8Kr1Wrr62scpZRMWu98&#10;mZrC06vkclkcLJVuFwuRhtqNTTHKIRnsA1XvsvYOov3ZA4nHPu6NzmDad+x2dqqWy5+KTuuBA3ty&#10;HBm8IsBxU4n04BUYxKMvw0fAqz8ISnHBxtswYXq8Tgj3x6Dt1LwbRLKVWAdozEUlQAzMDnbHe3q2&#10;XixpAHQFt9FwgJo8GdvdhDfZTuCSkH0P4f3/fv0/cY0LxSJrCtRJ9VRneowQIUKEU4SxRRvbN230&#10;h/EnCjPoB8zQyWPCLGJ7fddcKP0R0+kcfsoRS4hZxj4blSSgnO3tnVqtura27habzBjJqempmelp&#10;vL1MJoO3YCZYD9HzM6kuLHEvEG/MBaH0hvDxDHaxvTh39kBECzrY2NgQ1WUzeb0nRRur0T7eHT4u&#10;6EVZy0cj49qw/MmWHwjH4vfDUxyEt8jFo+RQzFEspS+oai88ZvD0bD1ysgUwmROY0ZYID3B0curS&#10;HTjCznAcIgDULJPNcvTbem+4HHcgddvKhQRsVY1hUukEXgjl7yG83/zT79L4yZlMs9lCp8hAilQq&#10;HWaKECFChNMBM4X8x475xgIWHNtg3w2TwB/a9xj7bz9yHXx/H2AXaIajmFR4BerTG/Trjc3NTWwu&#10;jhfuVzKVLJdKU1MQXqFcLuFzpM3Pc2ONAKFMhwEqxUrL+8ReSxA30yM8HAi17c/Z2VUrYigPLkil&#10;U7vYTq8KIytiUIvZfCFs3mh8Lc2LDqEggvnOPtDMMLQXlIdcUmfoShlio8Cu4REkdteBETTMlhhU&#10;NwExyMOW8OSQ56KNhDkK13ikVarXhU/CLptlGmxvb094kX5BG/i4VDpJzPYgpJqDhPfb333k6xSi&#10;KIXDqDudPnUf+Y0QIcJfOPyth2MTF24V4dht94z53CCGO/7PgqKbI2D2d6SrfImA7Jhm8/P05g59&#10;Ya7RwHTjIBSL+tL1wsI8xhOfD85DmgndeuAgMNlU7Q4KCZ0kRGw4MXqVmgDnIYNMdSIxOzubSupV&#10;YZhsuz8FDpDkapdxN3UppRShjZXGcQoGHtD2KGLDXwpDewETkdGlcwlV7miUGInGiNkNYpyKENtp&#10;aUJjhCdyTAJWfvicpUUrBtAAjwfox1QUEt6TJ0/oCJRPAlQ9NTWFZkql0u68u7ceTwDsJ7zff/Sn&#10;jNEbui5XykgN4bGOICZChAgRTg8waGY1fc+CFjZD5/bOQmZg7Z/tCbvz6OSY7+4DRtgLUUUj+EPW&#10;FruMkwegvZ2dHVwwUvj1pIWFxVwO8ivBeXgesq/OQnu49yUoTW6Z8S3W3pwc3EhoVa9Ao4pmswVf&#10;IB6FU+DS0jKuiIX1XDzFOvdAmIinRtoZR2uWaqRgixeV2I8Ss0+VVv9BvFTQbiCnig6LCDcgGdc/&#10;dqQX04wfgI08kuY45/lRtmGJrtMxOGS6EjxGpdu1WC+QAEog4GWurq6iHCm/1YK8K5XKzMxMuVzG&#10;1SOvF6KyxgEyTmL2E95Hf/wknUlTTa1agzlpDv7yUQMiQoQIEb4v6LYO/sk2TqB9zCO2zg3cruOh&#10;KTw+yIM9VS3hE36y1xSC0cTgbm5uAUwnJpiCMZKYXWyuvW244Cc2TRIZay9wH7CuJpIssnEDzoXO&#10;XtZqVXYxvIOhvghhXybCa0yVyxWEMZH8y0RGPTqtZy+Gdj62W3XUWj1E2He+G9ONyEptOeIaHlWH&#10;ob3AvbViVJLXaDQ0SgdSETuqeAxiJqc0nerYWhYhLHEvSEMzHex6XoAOPUAkiiKeogD6xx/b3Nys&#10;VqscZXnhOl9cXPSUE0wyTuL3EF53MPrkk0/pJkqh3Fwuz1rDalWGCBEiRIjgfgu2EbtZxfRWa3Y9&#10;r4vBzOpD7WV/yT7kl8mkIad2u2NmXHmxuW7ZCcAUbImHprr2ymO9NabbfbGyktA7rPUsOXYcl7FQ&#10;LGTSGeq1Al7adN9FGhGeOYiSDEA8RkpwCTEWCVfBRpKh2+1M2IsY3e5iAh1FeAbLSonmShJiL4iF&#10;zOqYhKEMRPCrjwiAiE7Sym1pfJcAR4GHTwR0tb29vb6+zpYSoFho7MKFC1SNxgjTZNLQLOiQMFnU&#10;xkSCMDGsV/7dv/t3wb//X/7jysoq8iEWusB3Rm6k2dWoCBEiRPjLhlgm9B2NObD77qthKM14jvTY&#10;u7MPRj9ImkEnRQixB8ncdyQR3KD3p9g7Qv2WUfw5N+JsCGOpSQmoC/tOFor1u1parTZWmt0wpqN3&#10;f0Kf7OqY72u3Y48qig3rDX1FCA8SCdk1olTI3tF9CKxSayctVRvVTITE8QsbNGZxB1VTI7UDAhTu&#10;wnPIU5LXG0KkZ5d+jg3y7s5CIV4aSwTnNuNTPXDC1lmMSKtHvhwxJNPXEiIPL0KECBG+HsZYupcS&#10;w46vYHdu1qEVnD0OYdCTqVQum83bt0Oxn9PTU0ROrDAlyPzbq7zgBrxDPEXKgfagJGzv9PQ0tpuM&#10;4/sw4QlxJDyGaTeGwmIDCErpRUF+SlOcpR/z3jzaeQq6ComKoojkn/l14gBjL1l4RLT27YelAqQP&#10;4eeM/Tm88OAYxFSr1a2trefPn6+srNAu0uNUQd7nzp2jUYA08AtScYiWqpSTAG4jIwqEUHd2dnDy&#10;0DzMWiqViGc7NzeHh+3CEIOmPODhiYcXEV6ECBEi/BkYR+iGGRgGHwq+woBicNfW1uUQDeRPpNLp&#10;gr42XsRHK5ZK4au/7EFp8tqlNP3hg9k50Wqr2YTA8J8gkgsXzsNz6YwywCyUKHLT2170tW4ITWRn&#10;79ty2sDum1wiUTsbF/5zi++220QON3APph+65QfuGmc88u5NQLaQsv3lMUaV/qYVirKjY1qMx+Hv&#10;p0+ffvHFF3fu3NnY2CAG+ikWi+fPn4eNCMMpSE67KIk2EvBajgnSQ5Pkpe3UpUup9sU710Y+n19c&#10;XITzqIVGhXkiwosQIUKEbwC4ygw8TsYQ3tGZu6Y+V7S9vWUnEvW1GkwtphxqSaXS2aweD5fDZhxG&#10;XmMhfdOu02lDl34JEOPsZFKZmoKLSIlVpxyxW1fnI/Hb2PVTjNCFzuKZ6wbXQipIJCISLcmyE0OB&#10;0JuLOuEjKiYN+0YZerMawlAs8KMHQXXu3pHec1lx8ISe/3N4BWxJjzyrq6t379796quvcPLwXImn&#10;OYVCYWZmZmFhwV0xarQCw/OQxwcZyU5ewmgG9mLRQCc8efKEXQgLwgNU56KSnpQEQER4ESJEiHAC&#10;hASgz53L28DIdrrdvtgL4LHhddSxnHCSuVQJTCiWF4tvHAZj6NoX5WBjyaXcvd5I5/dk/UlJjBln&#10;jLWuCFIF7pCdpdxliHeZZMpXaiMPq4FC9LWEDJ6cPdhuf8Z4YQ732Iy0RIleGlUdbuepV82wLA7b&#10;o/EiKhU7hu9CKvhb+Hb4eQ8ePHj48OGzZ892dnaguqmpKbZ+O+tEIajB6jkuvKIJqA5ORfX4lO7s&#10;Oq1WKhW/gYUOItIljwgvQoQIEU4AeXiCjL4TEsBm4oS5w+HX5CA/zCvGE4tqxGf0Ms5IDIlFMkYz&#10;xPkTBxhls9oebYfGMGKAdYx5jH08vlwuEWWE55Qp1uRgvlAgjXasWPJSGmXCimN2e1k+/+w63yEY&#10;84uo0YJKrn/DPUQVxtoiAG1AQmtra/fv34eHbt68+eLFi3K5DNmwnZ6ehvkIQHvwi4tyfNBGr4Ia&#10;aRcBNAkePXpUrVapF1caJxJQC1vPJX3tJbzoLs0IESJE+DPAQjrGQQypWAbCGO/ohKHcLb1pLEUy&#10;4zy/NVFnIs1eDzC7ct3CN1yr5FHMDa9/9IDCdPqRQuxtj9lC0T7GDYqFon5DYNYLBd0iw0G9dMzu&#10;ECE9fCgS1aU65zzJSrHsuoU31hi6eefAUXaeMsSHloI0llWAIYHiJlFjqCYD2dnCatDb1tYWhAJI&#10;gDxEAlrqyY4P8lIClZLXszv/URpHVb05bERyiAQeTxhwCH1Ce9FdmhEiRIjwzdG3ry5ACVAJJtXO&#10;cHaJ1Lsf+33dqm8vR8Y4u2uFp2L59gMHZZfHpit5AMudz+UxztrxWH7ttCeBMOde+DuzvnsglN8p&#10;Skvxt9bX1x4/frK2tvq73/yjPy0Op5w9e/bixYuzs7M0Fs6GvZycnJNw1yAgDoUlHg+6mNpqQavU&#10;QgBi8wci3dtjEYD+m80mkUj1b//tv408vAgRIkT4xpDJdqsN3KnAs8KS2y2a/OnGFSwvvgQgdOiv&#10;PrCX07d/5KvJWyM2k9Ej1UXlN6TT+jq7ff9Vd3J6vQcRyvVdQ3egwvx2Dtf92gEibq6vEYBsYH1k&#10;s4ZlkX9C/PCO+2qExfEn9Pw8PSU4nMWgMKrQKsFuciESzXP0r//6ryMPL0KECBG+IUKOC18DrTtN&#10;sKL+eJztCoTkA1o6koU59wL/TaW8ZDES8yfPj4zaVZwdULTMdZjztEBMQ+MQkC0MV63u1OuNe3du&#10;Pn369M6dO8+ePYNypqenl5eX2S4uLoq87fvsTlRQICDsxR0TqAkN48NNHs7DU6S0Cxcu4OHh6lEF&#10;uziU9Xr93/ybfxN5eBEiRIjwDWEsZUzFP2MljGcyGbg3Bl3h0Mi3K+gH6FvphyGTzbhfh2cXenL6&#10;6JDcFIo0AhTR+WU3jLPVdghCsb4PiNLD+0TkWkHhNKaYz6EEJLaTux3nNrYQDdK6H6b2mHvH7kkJ&#10;z6pTfWwpBz/ST3JCdX50UhGk+Ktf/SoivAgRIkT4hsBqylK6tYT49npjmGK5LSn9GPxJu0NAJqzu&#10;GGFuFaSws2pId1bTZHvw9/vhPBNvN6QHWC8WvjvU/T+BwITV4EIUoraNwVE/dEx4etMWapo8sK/v&#10;98KvHEW3VEFFeH7/8l/+y4jwIkSIEOEbAqvpLpeRDXZfG0zvYCAidPdPlljQISwylv/g7ziF/75k&#10;rWQgLjT+9CThP7HHLpab/HIozPmdwyrWi1ikD9MIMud0KVIOK8QDv9ipTr2EzCgmfJbcuYotWTzj&#10;8THhTi+EACVQZr1e9/ewUDXwa3h/8zd/ExFehAgRInxDmJ2ccAwBo6SYPz9nUUZjbMZM4LdrHvyV&#10;ezj+FVE6s+1O4eC4MBq9TL7714z+dw/cNra7aycMCeWz8uGc86AV3Cx/YJGjxv3yzwhDhxz9ZsKj&#10;U7ZenYOiavqOrj6q7lW7h/d3f/d339ctPREiRIjwxmPseGFwtauAbK8dAx6w10A73WGLD4Vl9Lyi&#10;OjuPqd9+r2e/EKjuh9FrorXRa18O/bX6vgdAXRPiGUPcs7OzA/HAZ7OzsxcvXrx+/fq1a9cuX77c&#10;s+8LbhsIsOvZTwqqoCZTrfxFyDWbzRbs+UTCSAXPIUCr1XKHL/LwIkSIEOEbw2z7GOxPjK/b4jHp&#10;gTDBEdid8iV0Ec9uWtmD74/YjgJCGt2qFRMoPqbbLz0MucBD7m/h5z1//hyeI9zpdIifn5/HISOl&#10;rwBIDx8BAp79ULiq3UFk17NTBSxGmMIJwKnFYhEW/Nu//dvIw4sQIUKECK8FsBEMBNVBQjl7xxjE&#10;tmRYXFyE5/DAIKTV1dW1tbVqtcouLAjzwWRkh7QcXtoxQXrdEWtvWaM0fDs/wwkvRoQXIUKECBFe&#10;Cya8Be1ls9lKpbKwsHD+/PnLhunpabhtZ2dnxdBo6AsSE8IzphO8qKOwOwFhecCJBMxKXXh4FAXV&#10;bW1twXkkiAgvQoQIESK8FsA3Q3sOgS0chqtXKpVmZmYuXrx49epVyI8Y4v16HlR3KNs5ax4KTwAm&#10;aYiB8CBXOA8PEs6Da+v1OuVzNCK8CBEiRIjwWgD3GG2FtETAz20uLS1dunRpeXnZP+gDz62vr29u&#10;bu47pQkITMIH4SVPErBLjTAcAWopFouUjx9Jgmq1SoKI8CJEiBAhwmtB0p77Brp+ZlREAK8LEjp7&#10;9uyZM2fgPAALwnbPnz/f2dnBG2u32/3/f3t33qO4tedhHLCNbcDsVBW1dPUkmeS/GWne/4vJokTJ&#10;3FrZbLAN8z3nUHV71D1RIs1tYfx8griGsslII+XRz2tRuIwpXeJ+7U+8r6x/i+ijflNz3nA4nM1m&#10;WtZv6kuCBwD4l3g/zfI9Wi57KtB4PNacd39//913311eXupPaZq6OU/TmJbVvPf17aZf8Okvi/uo&#10;TbTs4qrxcTKZdDod1c78ya0HAMD/r/ddlPJ+MM9V0I1fSt2HDx9UviRJNPm9vLyodpvNRhtq5WOl&#10;/s4jIGzyDG2ldzUvjmP11f0IwQMA/Eu0496+6ef75qEVNLx22fCKQ6vph/m+sSsbk4ur+e2HqNe/&#10;vL77+O2/N/22Ovfbb7/9+OOPyp5qp1jqG3XLZdLsk/zkqrv3fOp7R8v6UqOh1tEvqKD9fl+/oGny&#10;48eP6ijBAwB8VQf7yFz1SWVKer3pdKpRTxQtRU5len19dTs27VMWtuqcqHx2W0ML7uOfcCtoQ3cQ&#10;UZkkeACAr82NZ0rRaDS6vb35+NFcmdfr9fRNlmVPT0+Pj4/urmNazQVPlDp91Lti9ifH9rSOq51b&#10;TaNeFEVmx6b7MwAAX4emtYN5ZuzB8/wkSWYXFzc3N3eWpj0lSuOdgrdcLkt7vzE30jmmk29PBXLf&#10;fO7TEVC/ptqJPhI8AMBXZYY11cjeLdv3zT02h8PhZDLVkKfmDQYDDXYa8sRdpeDOYTlu/Mlezf+L&#10;/upqpwX9qzThabzTR4IHAPi6lCN7yZyaZ5rUbEZR2O8nqt39/f18PtdAttls3I5NSdNUzXvfUWly&#10;96fBE7em28S39JHgAQC+qoM61Gp6LU8z3n5vLj8IgqDb7V5cXCh433zzzeXlpcYydxvMh4cHd6GC&#10;25NpNn/jPn5Of3pPo97tPGk+EjwAwFdlBq9jhxr2qoKG5/lhaO4uPZvNrq+vFTz1T5Xabrer1Uq1&#10;y+0z8/SNS5e4mH3Rp+u4rdxHggcA+Kp8P9jvD/aEFEWv5Ua3drs9Go30Hsfxhw8fvv/+e33UbPf7&#10;778vl8vX11f3lDt3lYJy+CdnaZoqWmavaaOhDd0hQIIHADgJmsZCe6dNTXjz+Xw6nbqwPT8/Pz4+&#10;Pj09rddrd1hOa356GstfRPAAACdBo1gQBOPx+Pr6+u7uTu+DwUDfqHPuBBYtuF2Uyt5utztu9pcR&#10;PADAScjzvPX2NLvJZHJxcaH4uYN5aZq+vr5uNhs32Cl47u7SfwvBAwCcBIXNs3zf7/V6Cp6GPNGf&#10;lLrn5+eXlxd3ZZ6Cp9XcVn8dwQMAnITAcs3rdDqXl5cf7T3H9KWGP9Xu4eHh8fFxsVjoo748bvaX&#10;ETwAwAk52OsN2u22e37QfD7Xe5Ikmv/cnPf09JSmqVvtbyF4AICToLnNXUKwtzeMDsNQc57c3NzM&#10;ZjMtKHJK3Wq1Uvk4hgcAqKrAj5oN3z7PxyyUZaMTJ7e395cX1//5H/91d/txvcpenpdFcdCfivyQ&#10;ZZkSqDTqXTzP0xSoah5/7jMEDwBwEly3pHFoNJqNlr3fptfyLq8uZTqdJkmi79er9fOTuTJPbXOX&#10;5YkWNBpqWy0ff+4zBA8AcBL25ml3ejPNM49SaJmTNn3fv7y4vLq6ms/nk+mkHbQ39r7S7kheYW+/&#10;ItrEBU+bHH/uMwQPAHASTOjcmGdGPDPhmfM1fS/uxJrtVLuLi4t+v68/mSN5a3Mkz+3A1CBotrcL&#10;7sEIX0TwAAAnwTwiz7EnYGpuc7s0gyCI49jdgeXy8jKKo12+Wy1N8LIsczs2zd5PrWzZn/gCggcA&#10;OAmKm6Y685A8zXnH6Jnshe1QQ95kPLm7u7u9ux0Ohvtyv3yzXq93u53GQqVOKyt+9se+gOABAE6C&#10;hjlNaeaInIue/Uearabv+UmSXM+v7z/cz2azMAzLslytVq+WRj11Ttspe5ylCQA4daZ25hl5/9yx&#10;qX/0KvJCPQuCoD/oT6fT8Xjc6XT0McsypU622607Y0WrETwAwKlTqw57c12d6KMCpviZB6M3m3Ec&#10;a6pTAONOfHd39+HDh8FwkKbpTz/99Msvv6zXazVPq2kdvet3lEP35DzP83a7XRRF+kGCBwA4aeW+&#10;3B/MkTnf9+Mofn+WgvKmkU5znpJWFIU7gcVt8kUEDwBw0tQ7vbTg+V6n21Htbm5uPt5/7PV6Cp7G&#10;O7dj0815nKUJAKgqdyRPWs1W2A414ZknB92Yx8Nq5tN4p9S5MzbdzszjZp8heACAk9ZqtZoNc73B&#10;/rBvtsyBuiRJxqPxdDodDoftdjtN0+fnZwXP3XjluNlnCB4A4KR5LbOXUr0rC3vzMN+L4qjb615d&#10;Xd3f3yt7GuweHh4Wi4WmvT85jEfwAAAnzVxg17D32dzvG4eG53lRGHU73Zubm2+//fb6+lrfuwkv&#10;y7LVanXc7DMEDwBw0lQ7/WNuLW3P1XQ3G2uH7dFodHl5OR6PVcT1eu1O10zT1G31OYIHADgJZfPL&#10;r+KwL5sHrx0EUaiFzS4rGvu41+31ehrykiRxj0dX7X799Ve9v7y86Nc0CG63W1VQdQzDsCgKggcA&#10;qKRu1zSv3+9r1FP2NOdt7JOD8jwvy1If1bxWq3XcF8qEBwCoKA12URSpdldXVxcXF3Ecp2n6+Pio&#10;7GnO0wq+7yt7qp3rH8EDAFSSSqYBTkPefD6/ubnRqKewLRYLdym65jwTOSY8AEDVuZ2WCp4mvOvr&#10;awVPYVPtZGkfG/R+Wd7hYJ8oa7cCAKBiQkvBm06nFxcX7jDebrfLssw9Nmi73Wo11zwheACASmpZ&#10;at5gMHCPDVL84jhW89yj8tI0NReq2wfDmvXdZgAAVEue50VRaCGKIo13/X5f5ZOyLDXbqXYqn4Kn&#10;2om5FafbDACA09Q0j4X94suck9LpdHzf18LNzc0PP/wwm8005P3888+a8BQ8d/aK+mfWOf4eAACV&#10;oqHNUe2CIFD5hsPhZDJx85w6p+BpBHTraH2CBwCoqveYtdtt99ggzXka5vSNare29xvb7/cEDwBQ&#10;YZrk9O565nmeJrzxeKzmaUH9K8tSwVutViqfuRBvvyd4AIBKarVMwlzMFD+3VzNJktFopGlPc16a&#10;pq+vr+6CPEWR4AEAqsrs0LS7KxU8FU6DXRzHs9lsOp12u13Ndi8vL+45eVqH4AEAKqkszfNgRbXz&#10;PPPMoMhS7aTX62nyW1p5nmscJHgAgEpyOzO18B480ZCXJIlqp/KphZnFzaMBABUW+JHvhXr3vHa+&#10;269WaVk2et3BeDS7vb2/vr4L2510s0vTXVEc9CeCBwCoJPMc9Lclaeof+z9JPxn0B91uV9OeBrvd&#10;drfNzE01CR4AoJpUPHnPnm2eXsPhcDqdDgfDTqcTBEGWZavVSjEkeACASjrW7r13JndGHMX9Qd8c&#10;yUt6mvOKoliv160WwQMAVJMJnmuemB2arnfmvmJhGMZxrCFvOpv6ga8hT6sQPABAJR1j9z7lNY9D&#10;XlEWvu8reJPp5Pb2VoOeufCc4AEAKkqd++eE93YAz2Tv0AiCIO7E0+lUwXMPDCoKbi0GAKioY+kM&#10;G7q3HZutZuAHYRj2k/54PO50OspiWZQEDwBQSb7ve57XUt9s7ZqmdOaGKkVe7Pf7KIomk8l0MtWo&#10;p9W0MsEDAJwVNe99yJNup6shz3x3/DsAAGfBjHz2CXmxNbS4LAEAcHYOjbIoPc9rh21NeCMZj/Q1&#10;wQMAnJXD4ZDnuRZ8zxzkGwwG49H4cCB4AIDz4i7FcwvS7/eHo2GzSfAAAOdFU91hbx6S587a7Ha7&#10;g/5A3xM8AMBZUfDsaGd6p/cwDONOrO8JHgCgksrml19FY79vNQ9e63W9aoVBM/Duv/m3NOfCcwDA&#10;eTG3GzMH8N4vRdfIZxA8AMBZsb2zzWs1lTnfN7dZ8T12aQIAzo1Nnund23zn+/pM8AAAZ8XkTq/j&#10;/TUNlU8fCB4A4LyobiZwYp8eZF9C8AAAZ+XYu2Pq9nu99qW+IHgAgDNznO/shKfkmejpA8EDAJyZ&#10;Q6tl6lYUhXoXBOaOmuWe4AEA6oHgAQBqgeABAGqB4AEAaoHgAQBqgeABAGqB4AEAaoHgAQBqgeAB&#10;AGqB4AEAaoHgAQBqgeABAGqB4AEAaoHgAQBqgeABAGqB4AEAaoHgAQBqgeABAGqB4AEAaoHgAQBq&#10;geABAGqB4AEAaoHgAQBqgeABAGqB4AEAaoHgAQBqgeABAGqB4AEAaoHgAQBqgeABAGqB4AEAaoHg&#10;AQBqgeABAGqB4AEAaoHgAQBqgeABAGqB4AEAaoHgAQBqgeABAGqB4AEAaoHgAQBqgeABAGqB4AEA&#10;aoHgAQBqgeABAGqB4AEAaoHgAQBqgeABAGqB4AEAaoHgAQBqgeABAGqB4AEAaoHgAQBqgeABAGqB&#10;4AEAaoHgAQBqgeABAGqB4AEAaoHgAQBqgeABAGqB4AEAaoHgAQBqgeABAGqB4FVMq9U6HPZFkRdF&#10;0WgcPN8LAl+azYZ7Nd4WmpZW/uLr+HMAUBsEr4JMyBQ+xa1RFuV2u8uy9GDYPyqDCtp+X5ZqYm6+&#10;AgAQvAo6aHhT7uyo18iLPE03y+VKcVPh1DmXvbfmlXYTAADBqxqVrNlsaLzTkKdPRa7gpavVSu9Z&#10;tt3luSKn5tkRsOV53nEzAKg9glcxZs+lmeEUPLOsvO12+Xa71ZC3Xq82m812mx0P73leEARuKwAA&#10;wasYs8/SnHVisqfw2XfzpiFPzVsulno32dvtyvK4exMAIASvYmzqxJ5paXZvNj276zLL0s1mreot&#10;ZLnQUpqmmvyOmwFA7RG8ijn2ztJHd76m1/KKotjt8izbpiZ8mvFSJXC7zdxWAACCVzFB21x2p86V&#10;pTkJU63r9XrT6WQ+v57NZr2kp/ztdlsNeU9PTw/W6+trlmUKpCljy/x/3J7MaV9mt6iq6cJpXvZf&#10;AgBniOBVzXG0M4lSoEzBPKPf7ydJ0u10w7CtP+62u+Vy9fz8ollvY/dt5nmuRGpbs6E5w/Od+UXF&#10;zxX0+B0AnB2CVzG2du6yA3f0zjcTXxBozlPwTPb6/W63024HmtuUsJU9m8WcyrJapZtU2VPc3Jxn&#10;0meuUzdTnSmeuW6PO7AAOFsEr3LsTkhbq+NwZ+4sZm4tpvdOJx70++PxeDKZTmQ8zvMiy7LFYvms&#10;ce/lZb1e7WzzxMTTXMRufslMfcf2AcB5IngV4/ZnGjZR5sCb6VVLo5tGNCUwjKJur9cf9AeDoYRR&#10;qHkuz3ea8F5fXxeLxWa9VgJ3O3M3zr1GOruTU+uYfLrJDwDOEf+Bq5r3IcyecOJmtXf6ws5s5tie&#10;m/6Gg0EvSaIoUtCKIt9sNorey8vzem1O5bRXqWvgM3syTUAJHoDzxX/gKubT3h325sCbVSpwdkoT&#10;c3jPHNzzzc7OwWAwGg5Ho1G/3w/DsCjK5WLxj388mKv1Vu7OLNs8dzfhdOdsAsB5IniVY5JnwuRm&#10;OnOyicmenelM7uxBvaDdbodhFMd6dbpdzXh9vaIobjYbaZqZHZvm5M00227Nvs2ysLdlsRezA8CZ&#10;InhVZM6uPB53c3suPd9MfPuDumWemlCWWrZreGqhEqlRL4qiXq9nBr7RcDweaf4ri0LT3n/LH388&#10;Pz+7a/Wst6v09LJt1b/vf335ycv9HwQAp4/gnTl79YJ5SGwYhp1OJ0mSgd3DaZ+il63Xm/V6pXct&#10;mwv17DP0TCMVOVtTVVMBLO03AFBpBO/M2WNzZtqzQ17Y7XYH/f5wOOx0YiXQ81rK23abKXzLpbkP&#10;p7sDp8rXNLF0J4GavafHnwOAyiJ4Z87s3zTMkT59VMJUviAI5vP51dXVbDbr9wdB0N5td8/PL7//&#10;8cdiuVitzHULeVEcDnuV0uwY5exNANXHf8jOnLm2TnOa5jVzWufxy0ajqc4NhyNzbfpknCQ9rZZt&#10;s8XrwjxkaGVuy7JZbzIz6hVm1ONBsgCqj+CduXa7rXlOU50rn+Vp2T0kVn/qxJ1er9ft9bQQRdEu&#10;zzXeKXj2KUPLjbkbWXHYs0sTQMU1Gv8DvTwSFfhSfp8AAAAASUVORK5CYIJQSwMEFAAGAAgAAAAh&#10;AIkIJyncAAAABwEAAA8AAABkcnMvZG93bnJldi54bWxMjk9Pg0AQxe8mfofNmHizC9pSRZamadRT&#10;Y2JrYrxNYQqk7Cxht0C/veNJj+9P3vtlq8m2aqDeN44NxLMIFHHhyoYrA5/717tHUD4gl9g6JgMX&#10;8rDKr68yTEs38gcNu1ApGWGfooE6hC7V2hc1WfQz1xFLdnS9xSCyr3TZ4yjjttX3UZRoiw3LQ40d&#10;bWoqTruzNfA24rh+iF+G7em4uXzvF+9f25iMub2Z1s+gAk3hrwy/+IIOuTAd3JlLr1oDi6UUDSyF&#10;X9L5PHkCdRA7EUfnmf7Pn/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dcky5gDAAA2CAAADgAAAAAAAAAAAAAAAAA6AgAAZHJzL2Uyb0RvYy54bWxQSwECLQAK&#10;AAAAAAAAACEAZojgOi57AQAuewEAFAAAAAAAAAAAAAAAAAD+BQAAZHJzL21lZGlhL2ltYWdlMS5w&#10;bmdQSwECLQAUAAYACAAAACEAiQgnKdwAAAAHAQAADwAAAAAAAAAAAAAAAABegQEAZHJzL2Rvd25y&#10;ZXYueG1sUEsBAi0AFAAGAAgAAAAhAKomDr68AAAAIQEAABkAAAAAAAAAAAAAAAAAZ4IBAGRycy9f&#10;cmVscy9lMm9Eb2MueG1sLnJlbHNQSwUGAAAAAAYABgB8AQAAWoMBAAAA&#10;">
                      <v:shape id="그림 3840" o:spid="_x0000_s1280" type="#_x0000_t75" style="position:absolute;top:71;width:28016;height:3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RYdxQAAAN0AAAAPAAAAZHJzL2Rvd25yZXYueG1sRE/LasJA&#10;FN0X+g/DLXRXJ7UiaXQiRUipXQi1XejumrnmYeZOyExM+vfOQnB5OO/lajSNuFDnKssKXicRCOLc&#10;6ooLBX+/2UsMwnlkjY1lUvBPDlbp48MSE20H/qHLzhcihLBLUEHpfZtI6fKSDLqJbYkDd7KdQR9g&#10;V0jd4RDCTSOnUTSXBisODSW2tC4pP+96o+D98Hnss2ET19n5UPff29ziPlbq+Wn8WIDwNPq7+Ob+&#10;0gre4lnYH96EJyDTKwAAAP//AwBQSwECLQAUAAYACAAAACEA2+H2y+4AAACFAQAAEwAAAAAAAAAA&#10;AAAAAAAAAAAAW0NvbnRlbnRfVHlwZXNdLnhtbFBLAQItABQABgAIAAAAIQBa9CxbvwAAABUBAAAL&#10;AAAAAAAAAAAAAAAAAB8BAABfcmVscy8ucmVsc1BLAQItABQABgAIAAAAIQBuXRYdxQAAAN0AAAAP&#10;AAAAAAAAAAAAAAAAAAcCAABkcnMvZG93bnJldi54bWxQSwUGAAAAAAMAAwC3AAAA+QIAAAAA&#10;" stroked="t" strokecolor="black [3213]" strokeweight=".5pt">
                        <v:imagedata r:id="rId127" o:title=""/>
                        <v:path arrowok="t"/>
                      </v:shape>
                      <v:shape id="Text Box 3841" o:spid="_x0000_s1281"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rxwAAAN0AAAAPAAAAZHJzL2Rvd25yZXYueG1sRI9BawIx&#10;FITvBf9DeIVeSs1aF5HVKCIW2l7E1Utvj81zs3bzsiRZ3f77plDwOMzMN8xyPdhWXMmHxrGCyTgD&#10;QVw53XCt4HR8e5mDCBFZY+uYFPxQgPVq9LDEQrsbH+haxlokCIcCFZgYu0LKUBmyGMauI07e2XmL&#10;MUlfS+3xluC2la9ZNpMWG04LBjvaGqq+y94q2Odfe/Pcn3efm3zqP079dnapS6WeHofNAkSkId7D&#10;/+13rWA6zyfw9yY9Abn6BQAA//8DAFBLAQItABQABgAIAAAAIQDb4fbL7gAAAIUBAAATAAAAAAAA&#10;AAAAAAAAAAAAAABbQ29udGVudF9UeXBlc10ueG1sUEsBAi0AFAAGAAgAAAAhAFr0LFu/AAAAFQEA&#10;AAsAAAAAAAAAAAAAAAAAHwEAAF9yZWxzLy5yZWxzUEsBAi0AFAAGAAgAAAAhAKX6iCvHAAAA3QAA&#10;AA8AAAAAAAAAAAAAAAAABwIAAGRycy9kb3ducmV2LnhtbFBLBQYAAAAAAwADALcAAAD7AgAAAAA=&#10;" stroked="f">
                        <v:textbox style="mso-fit-shape-to-text:t" inset="0,0,0,0">
                          <w:txbxContent>
                            <w:p w14:paraId="2D1D193F"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J</w:t>
                              </w:r>
                            </w:p>
                          </w:txbxContent>
                        </v:textbox>
                      </v:shape>
                      <w10:wrap type="square"/>
                    </v:group>
                  </w:pict>
                </mc:Fallback>
              </mc:AlternateContent>
            </w:r>
          </w:p>
          <w:p w14:paraId="664BC848"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Wykonać wstrzyknięcie</w:t>
            </w:r>
          </w:p>
          <w:p w14:paraId="044F6A92" w14:textId="77777777" w:rsidR="00094D21" w:rsidRPr="008F328C" w:rsidRDefault="00094D21" w:rsidP="008A03B2">
            <w:pPr>
              <w:pStyle w:val="a3"/>
              <w:rPr>
                <w:highlight w:val="lightGray"/>
                <w:lang w:val="pl-PL"/>
              </w:rPr>
            </w:pPr>
          </w:p>
          <w:p w14:paraId="75B8128A" w14:textId="77777777" w:rsidR="00094D21" w:rsidRPr="008F328C" w:rsidRDefault="00094D21" w:rsidP="008A03B2">
            <w:pPr>
              <w:pStyle w:val="a3"/>
              <w:ind w:left="501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Po wprowadzeniu igły należy puścić ściśniętą skórę.</w:t>
            </w:r>
          </w:p>
          <w:p w14:paraId="31AC3E7B" w14:textId="77777777" w:rsidR="00094D21" w:rsidRPr="008F328C" w:rsidRDefault="00094D21" w:rsidP="008A03B2">
            <w:pPr>
              <w:pStyle w:val="a3"/>
              <w:ind w:left="5017" w:hanging="180"/>
              <w:rPr>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Powoli naciskać tłok ampułko-strzykawki do końca, aż cały płyn zostanie wstrzyknięty i strzykawka będzie pusta.</w:t>
            </w:r>
          </w:p>
          <w:p w14:paraId="37E5C263" w14:textId="77777777" w:rsidR="00094D21" w:rsidRPr="008F328C" w:rsidRDefault="00094D21" w:rsidP="008A03B2">
            <w:pPr>
              <w:pStyle w:val="a3"/>
              <w:rPr>
                <w:highlight w:val="lightGray"/>
                <w:lang w:val="pl-PL"/>
              </w:rPr>
            </w:pPr>
          </w:p>
          <w:p w14:paraId="045F114E" w14:textId="77777777" w:rsidR="00094D21" w:rsidRPr="008F328C" w:rsidRDefault="00094D21" w:rsidP="008A03B2">
            <w:pPr>
              <w:pStyle w:val="a3"/>
              <w:rPr>
                <w:highlight w:val="lightGray"/>
                <w:lang w:val="pl-PL"/>
              </w:rPr>
            </w:pPr>
          </w:p>
          <w:p w14:paraId="4E279FCC" w14:textId="77777777" w:rsidR="00094D21" w:rsidRPr="008F328C" w:rsidRDefault="00094D21" w:rsidP="008A03B2">
            <w:pPr>
              <w:pStyle w:val="a3"/>
              <w:rPr>
                <w:highlight w:val="lightGray"/>
                <w:lang w:val="pl-PL"/>
              </w:rPr>
            </w:pPr>
            <w:r w:rsidRPr="008F328C">
              <w:rPr>
                <w:rFonts w:eastAsia="맑은 고딕"/>
                <w:highlight w:val="lightGray"/>
                <w:lang w:val="pl-PL"/>
              </w:rPr>
              <w:t>•</w:t>
            </w:r>
            <w:r w:rsidRPr="008F328C">
              <w:rPr>
                <w:rFonts w:eastAsia="Times New Roman"/>
                <w:highlight w:val="lightGray"/>
                <w:lang w:val="pl-PL"/>
              </w:rPr>
              <w:t xml:space="preserve"> </w:t>
            </w:r>
            <w:r w:rsidRPr="008F328C">
              <w:rPr>
                <w:rFonts w:eastAsia="Times New Roman"/>
                <w:b/>
                <w:bCs/>
                <w:highlight w:val="lightGray"/>
                <w:lang w:val="pl-PL"/>
              </w:rPr>
              <w:t xml:space="preserve">Nie </w:t>
            </w:r>
            <w:r w:rsidRPr="008F328C">
              <w:rPr>
                <w:rFonts w:eastAsia="Times New Roman"/>
                <w:highlight w:val="lightGray"/>
                <w:lang w:val="pl-PL"/>
              </w:rPr>
              <w:t xml:space="preserve"> zmieniać pozycji ampułko-strzykawki po rozpoczęcia wstrzyknięcia.</w:t>
            </w:r>
          </w:p>
          <w:p w14:paraId="612A335E" w14:textId="77777777" w:rsidR="00094D21" w:rsidRPr="008F328C" w:rsidRDefault="00094D21" w:rsidP="008A03B2">
            <w:pPr>
              <w:pStyle w:val="a3"/>
              <w:rPr>
                <w:highlight w:val="lightGray"/>
                <w:lang w:val="pl-PL"/>
              </w:rPr>
            </w:pPr>
            <w:r w:rsidRPr="008F328C">
              <w:rPr>
                <w:highlight w:val="lightGray"/>
                <w:lang w:val="pl-PL"/>
              </w:rPr>
              <w:t xml:space="preserve"> </w:t>
            </w:r>
          </w:p>
        </w:tc>
      </w:tr>
      <w:tr w:rsidR="00094D21" w:rsidRPr="00A5286D" w14:paraId="659E4446" w14:textId="77777777" w:rsidTr="008A03B2">
        <w:trPr>
          <w:trHeight w:val="6520"/>
        </w:trPr>
        <w:tc>
          <w:tcPr>
            <w:tcW w:w="9090" w:type="dxa"/>
          </w:tcPr>
          <w:p w14:paraId="75243837" w14:textId="7B689454" w:rsidR="00094D21" w:rsidRPr="008F328C" w:rsidRDefault="00094D21" w:rsidP="00D22235">
            <w:pPr>
              <w:rPr>
                <w:rFonts w:ascii="Times New Roman" w:eastAsia="Times New Roman" w:hAnsi="Times New Roman" w:cs="Times New Roman"/>
                <w:b/>
                <w:bCs/>
                <w:spacing w:val="-1"/>
                <w:highlight w:val="lightGray"/>
                <w:lang w:val="pl-PL"/>
              </w:rPr>
            </w:pPr>
          </w:p>
          <w:p w14:paraId="098D7A50" w14:textId="77777777" w:rsidR="00094D21" w:rsidRPr="008F328C" w:rsidRDefault="00094D21" w:rsidP="008A03B2">
            <w:pPr>
              <w:ind w:left="104"/>
              <w:rPr>
                <w:rFonts w:ascii="Times New Roman" w:eastAsia="Times New Roman" w:hAnsi="Times New Roman" w:cs="Times New Roman"/>
                <w:b/>
                <w:bCs/>
                <w:spacing w:val="-1"/>
                <w:highlight w:val="lightGray"/>
                <w:lang w:val="pl-PL"/>
              </w:rPr>
            </w:pPr>
          </w:p>
          <w:p w14:paraId="139A0AEF" w14:textId="77777777" w:rsidR="00094D21" w:rsidRPr="008F328C" w:rsidRDefault="00094D21" w:rsidP="008A03B2">
            <w:pPr>
              <w:ind w:left="104"/>
              <w:rPr>
                <w:rFonts w:ascii="Times New Roman" w:eastAsia="Times New Roman" w:hAnsi="Times New Roman" w:cs="Times New Roman"/>
                <w:highlight w:val="lightGray"/>
                <w:lang w:val="pl-PL"/>
              </w:rPr>
            </w:pPr>
          </w:p>
          <w:p w14:paraId="17A22B53" w14:textId="67442D23" w:rsidR="00094D21" w:rsidRPr="008F328C" w:rsidRDefault="00094D21" w:rsidP="008A03B2">
            <w:pPr>
              <w:pStyle w:val="a3"/>
              <w:rPr>
                <w:highlight w:val="lightGray"/>
                <w:lang w:val="pl-PL"/>
              </w:rPr>
            </w:pPr>
            <w:r w:rsidRPr="008F328C">
              <w:rPr>
                <w:noProof/>
                <w:highlight w:val="lightGray"/>
                <w:lang w:eastAsia="ko-KR"/>
              </w:rPr>
              <mc:AlternateContent>
                <mc:Choice Requires="wpg">
                  <w:drawing>
                    <wp:anchor distT="0" distB="0" distL="114300" distR="114300" simplePos="0" relativeHeight="251658326" behindDoc="0" locked="0" layoutInCell="1" allowOverlap="1" wp14:anchorId="1A0A4054" wp14:editId="385DB60F">
                      <wp:simplePos x="0" y="0"/>
                      <wp:positionH relativeFrom="column">
                        <wp:posOffset>48895</wp:posOffset>
                      </wp:positionH>
                      <wp:positionV relativeFrom="paragraph">
                        <wp:posOffset>11430</wp:posOffset>
                      </wp:positionV>
                      <wp:extent cx="2796208" cy="3536950"/>
                      <wp:effectExtent l="19050" t="0" r="23495" b="6350"/>
                      <wp:wrapSquare wrapText="bothSides"/>
                      <wp:docPr id="3842" name="그룹 3842"/>
                      <wp:cNvGraphicFramePr/>
                      <a:graphic xmlns:a="http://schemas.openxmlformats.org/drawingml/2006/main">
                        <a:graphicData uri="http://schemas.microsoft.com/office/word/2010/wordprocessingGroup">
                          <wpg:wgp>
                            <wpg:cNvGrpSpPr/>
                            <wpg:grpSpPr>
                              <a:xfrm>
                                <a:off x="0" y="0"/>
                                <a:ext cx="2796208" cy="3436185"/>
                                <a:chOff x="0" y="100765"/>
                                <a:chExt cx="2796208" cy="3436185"/>
                              </a:xfrm>
                            </wpg:grpSpPr>
                            <pic:pic xmlns:pic="http://schemas.openxmlformats.org/drawingml/2006/picture">
                              <pic:nvPicPr>
                                <pic:cNvPr id="3843" name="그림 3843"/>
                                <pic:cNvPicPr>
                                  <a:picLocks noChangeAspect="1"/>
                                </pic:cNvPicPr>
                              </pic:nvPicPr>
                              <pic:blipFill>
                                <a:blip r:embed="rId128">
                                  <a:extLst>
                                    <a:ext uri="{28A0092B-C50C-407E-A947-70E740481C1C}">
                                      <a14:useLocalDpi xmlns:a14="http://schemas.microsoft.com/office/drawing/2010/main" val="0"/>
                                    </a:ext>
                                  </a:extLst>
                                </a:blip>
                                <a:srcRect/>
                                <a:stretch/>
                              </pic:blipFill>
                              <pic:spPr bwMode="auto">
                                <a:xfrm>
                                  <a:off x="0" y="100765"/>
                                  <a:ext cx="2794000" cy="3227469"/>
                                </a:xfrm>
                                <a:prstGeom prst="rect">
                                  <a:avLst/>
                                </a:prstGeom>
                                <a:noFill/>
                                <a:ln w="6350">
                                  <a:solidFill>
                                    <a:schemeClr val="tx1"/>
                                  </a:solidFill>
                                </a:ln>
                              </pic:spPr>
                            </pic:pic>
                            <wps:wsp>
                              <wps:cNvPr id="3844" name="Text Box 3844"/>
                              <wps:cNvSpPr txBox="1"/>
                              <wps:spPr>
                                <a:xfrm>
                                  <a:off x="2076450" y="3390900"/>
                                  <a:ext cx="719758" cy="146050"/>
                                </a:xfrm>
                                <a:prstGeom prst="rect">
                                  <a:avLst/>
                                </a:prstGeom>
                                <a:solidFill>
                                  <a:prstClr val="white"/>
                                </a:solidFill>
                                <a:ln>
                                  <a:noFill/>
                                </a:ln>
                              </wps:spPr>
                              <wps:txbx>
                                <w:txbxContent>
                                  <w:p w14:paraId="4C18BBF2"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0A4054" id="그룹 3842" o:spid="_x0000_s1282" style="position:absolute;margin-left:3.85pt;margin-top:.9pt;width:220.15pt;height:278.5pt;z-index:251658326" coordorigin=",1007" coordsize="27962,3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fhMmwMAADoIAAAOAAAAZHJzL2Uyb0RvYy54bWycVd1u2zYUvh+wdyB0&#10;30iyHTsW4hResgQFstZYMvSapiiLqERyJG0pfaC9wnbRJ+peYh8pyT9JgHa9sHxIHh6e833fIS/f&#10;tnVFdtxYoeQiSs+SiHDJVC7kZhH98Xj75iIi1lGZ00pJvoieuI3eXv3802WjMz5SpapybgiCSJs1&#10;ehGVzuksji0reU3tmdJcYrFQpqYOQ7OJc0MbRK+reJQk07hRJtdGMW4tZm+6xegqxC8KztyHorDc&#10;kWoRITcXviZ81/4bX13SbGOoLgXr06A/kEVNhcSh+1A31FGyNeJFqFowo6wq3BlTdayKQjAeakA1&#10;afKsmjujtjrUssmajd7DBGif4fTDYdn73Z3RD3plgESjN8AijHwtbWFq/48sSRsge9pDxltHGCZH&#10;s/l0lIBkhrXxZDxNL847UFkJ5A/70iSZTfdLv35jezycHp/kpAXL8OuBgPUCiG8LBrvc1vCoD1J/&#10;V4yamk9b/QacaerEWlTCPQX9gR2flNytBFuZbgBMV4aIHIBcTMYRkbSG8r/+/c+/f30hYQpY+13e&#10;sdtGfVn3in2yRKrrksoNX1oN9aKnPJzxqXsYnpy5roS+FVXl+fJ2Xx2U/kwprwDUqfBGsW3Npeva&#10;yvAKhSppS6FtREzG6zVHReZdHhKimTXsdyQYGsg6wx0rh0QPyfi0LcRF1s1vKgcKdOtUaJRXxXUs&#10;kiOFTZIEvRsUNhrNJtN5gGSQCLAz1t1xVRNvIEekFc6gu3vrE4SaBhePj1QeqZB4JUmziKbj8yRs&#10;sKoS+QBjuIP4dWXIjuL2cG3HBCo/eCFyJXt6fJ29ibJ9N+FKswMTGL3g4n917UNJNUeWPuyJwiaD&#10;wh49ZL+o1mts4iHqXX13E9dipVeTn++yPWDYN/kIXToBGsS383iezIF8QGqgY5bOZ+d9v6eTaQLf&#10;DuGB0AHp7yTjCMyOpT3gTSkc74OfeHnEj1gcODhU5S3XrtvQg+l4PGCxVvkToDAKIkGJVrNbAcXc&#10;U+tW1ODexyTeMvcBn6JSUIbqrYiUynx+bd77g1isRqTBO7KI7J9b6u+X6p0E5QjpBsMMxnow5La+&#10;VhBXGrIJJjYYVw1mYVT9EU/c0p+CJSoZzoIaB/Pada8ZnkjGl8vg1F1T9/JB43JLg7I9K4/tR2p0&#10;z4sDoe/VICqaPeuVztfjbPUSPXsrQiN5ZDsUoXQ/gMCDFR4oWCcv4PE4eB2e/Kv/AAAA//8DAFBL&#10;AwQKAAAAAAAAACEAAW8tIOj2AQDo9gEAFAAAAGRycy9tZWRpYS9pbWFnZTEucG5niVBORw0KGgoA&#10;AAANSUhEUgAAAlEAAAKtCAIAAACITqzrAAAAAXNSR0IArs4c6QAAAARnQU1BAACxjwv8YQUAAAAJ&#10;cEhZcwAAEnQAABJ0Ad5mH3gAAP+lSURBVHhe7P0HVFRZuvcBf2t9a33vfe+809PdtkqonHOgoAqK&#10;nIuccxAEyRnMOUcEAQEFAwoCgqAIgokgOUlQMeecsyKm76k6NOOlu2fmzp12vM3+raerd506dTh1&#10;kP2r/z7p//MZgUAgEIiJAXIeAoFAICYKyHkIBAKBmCgg5yEQCARiooCch0AgEIiJAnIeAoFAICYK&#10;yHkIBAKBmCgg5yEQCARiooCch0AgEIiJAnIeAoFAICYKyHkIBAKBmCgg5yEQCARiooCch0AgEIiJ&#10;AnIeAoFAICYKyHkIBAKBmCgg5yEQCARiooCch0AgEIiJAnIeAoFAICYKyHkIBAKBmCgg5yEQCARi&#10;ooCch0AgEIiJAnIeAoFAICYKyHkIBAKBmCgg5yEQCARiooCch0AgEIiJAnIeAoFAICYKyHkIBAKB&#10;mCgg5yEQCARiooCch0AgEIiJAnIeAoFAICYKyHkIBAKBmCgg5yEQCARiooCch0AgEIiJAnIeAoFA&#10;ICYKyHkIBAKBmCgg5yEQCARiooCch0AgEIiJAnIeAoFAICYKyHkIBAKBmCgg5yEQCARiooCch0Ag&#10;EIiJAnIeAoFAICYKyHkIBAKBmCgg5yEQCARiooCch0AgEIiJAnIeAoFAICYKyHkIBAKBmCgg5yEQ&#10;CARiooCch0AgEIiJAnIeAoFAICYKyHkIBAKBmCgg5yEQCARiooCch0AgEIiJAnIeAoFAICYKyHkI&#10;BAKBmCgg5yEQCARiooCch0AgEIiJAnIeAoFAICYKyHkIBAKBmCgg5yEQCARiooCch0AgEIiJAnIe&#10;AoFAICYKyHkIBAKBmCgg5yEQCARiooCch0AgEIiJAnIeAoFAICYKyHkIBAKBmCgg5yEQCARiooCc&#10;h0AgEIiJAnIeAoFAICYKyHkIBAKBmCgg5yEQCARiooCch0AgEIiJAnIeAoFAICYKyHkIBAKBmCgg&#10;5yEQCARiooCch0AgEIiJAnIeAoFAICYKyHkIBAKBmCgg5yEQCARiooCch0AgEIiJAnIeAoFAICYK&#10;yHkIBAKBmCgg5yEQCARiooCch0AgEIiJAnIeAoFAICYKyHkIBAKBmCgg5yEQCARiooCch0AgEIiJ&#10;AnIeAoFAICYKyHkIBAKBmCgg5yEQCARiooCch0AgEIiJAnIeAoFAICYKyHkIBAKBmCgg5yEQCARi&#10;ooCch0AgEIiJAnIeAoFAICYKyHkIBAKBmCgg5yEQCARiooCch0AgEIiJAnIeAoFAICYKyHkIBAKB&#10;mCgg5yEQCARiooCch0AgEIiJAnIeAoFAICYKyHkIBAKBmCgg5yEQCARiooCch0AgEIiJAnIeAoFA&#10;ICYKyHkIBAKBmCgg5yEQCARiooCch0AgEIiJAnIeAoFAfKN8+vRptPUFvzoR8Q+CnIdAIBCIiQJy&#10;HgKBQCAmCsh5CAQCgZgoIOchEAjEt84nFaNPEP8DkPMQCATi2wVU9+HDhxEV0EDm+x+CnIdAIBDf&#10;KB8/fnz//v3w8PAbFdCApzBx9GXEfx/kPAQCgfhKQEoDY0Fcw4A2ltvAZGMzYG1ogOSePn366NGj&#10;e/fu3blz5+7du48fP3758uXbt2+xmcfA1AhBcPS5CuxnYW14CWbAftYEBzkPgUAgvhIgoS8ZkxC0&#10;4RGePnv2DNx269atK1eunD59enBwsL+/v6enp6urq7u7u6+v78yZM+fOnbtw4cLly5dv3LgBOnzy&#10;5Akmwnfv3n0pNmhgWsWejgNe/a2X/tgg5yEQCMRXQik6leqA0Uk/A1NevHgBquvt7W1qaqqpqdm7&#10;d++ePXt27969c+fO7du379ixo6CgoKioqKSkpLy8/MCBA0ePHu3o6BgaGrp58yZEQHg75LlfLnkc&#10;MAO2GsDopIkEch4CgUB8JX7LNOChV69eXb9+HcJcbW1tcXFxbm5uWlpaamrq+vXr165du3r16lWr&#10;VsHjmjVr4OmmTZuys7PBhRUVFcePH4d3gfkuXbp0//59iH1v3rzBBjPH5Txoq4ZUJ/SBMMh5CAQC&#10;8ZUA64zzDZa6QFSXL19ub2+vrq4uLCwEn23YsAH0lp6eDubbuHEjPF23bh0mPwBECBMzMjK2bt26&#10;a9cuiH0HDx6sq6uDgNjZ2XnmzJmrV6/eu3fv2bNnw8PDE9lwvwQ5D4FAIL4S40IeRK537969ffv2&#10;7NmzoKu9e/fm5+dv3rwZUx2mtC0qcnJysrKyYDqW/DARQhuABsQ+eBfMA/4rKys7fPhwR0cHLPPO&#10;nTsQH+GHAsh8GMh5CAQC8ZX4UjzgIRAeOOn58+eQ8CoqKiDegcwwgW3btq24uLikpKS0tBQeob17&#10;9+7t27eD/2A2mAGMCLaD8AdxEIAGuBBeAmvu2bNn//79x44d6+7uPn/+/M2bN2/fvv3gwQP4QRD7&#10;4OfCT4c1mZgWRM5DIBCIfwMQ8t68eQMeevz4cXNzM4gNi3GQ50B4ENeOHDly/PjxehUgsLq6uqqq&#10;qvLycrAg5D9IdaA9mB9UB2CBD1MmLAFexeR34MABWA7Evv7+/suXLz98+BB+KKa9iQlyHgKBQHwl&#10;vkxX0ICQd+fOnYsXL9bU1ECAW716NWivoKBg3759IKrOzs7uvoHe/lN9g6dPDpzq7DnZ2Nxae+TY&#10;gepDhcWlO3fv2bp9Z1bu1vTMzanpGRvSNq1P2wRv37Bhw6pVq5YvX75y5UpoQyLMy8vDYt/JkydB&#10;e3fv3n369Cm2nw8eQb3Y+oAIoY2NgmLHv2DAFGwigM0JYE+BL1/9JaNz/9eAOw5sTozRSb8nyHkI&#10;BALxlcD0MNaGkHft2rVTp04dPHgQnLdu3brs7GwIfPC0oaGhp6en+yQ4b/Ck0nmnod3W2Q3aO9Zw&#10;ovbI8eraI5VV1SXlFbuKSrbt3L11247cvO2Q88Bz4E4QHpgP8h9kQVgmxD5QaUVFxeHDh0+cONHV&#10;1XX69OkLFy7cvHnzwYMHoN6/fca6ykdKRp//j/nXLu2/BXIeAoFAfCVUoWh0XBEaT548GRoaam1t&#10;hWAHWtq4ceOOHTtAeMePH29raxsYGOjpG1Q6b+AUOA8e4WlXb39nT19Xb19Hd29Le2d9Uwskv/0H&#10;a/buqyzeWw6pLjMzExsjBfnBIzbauWbNGngK/svNzd2+fTu2w6+2thZ+BKTMe/fuvXz5cmRkZGzd&#10;MCcBqvX964VjRqf+AuxdvwTe++Wr0MaWplqqkr/x3t8J5DwEAoH4SmAd/Vj7/v37vb294J6ioiLM&#10;VdA4evRoS0sLRLHBQSzhnerth/pZfoOn+wbPYKOdoMDOnpPNbZ2Q/A4dPlZVUwcygyXs2rUL3Ll1&#10;61ZIeLBYcB4ID9vtB4AFYTrMgP0siH0QKM+cOQOx7+rVq5D87t69+/Dhw8ePHz99+vTFixevX78e&#10;u8gLrLNScSqwT4ExOukXjL78BTDxS+eNY3Sm3xPkPAQCgfhKQI8PPTsmA+j679y5AyGvvLx827Zt&#10;2BEoJSUljY2NHR0d3d3d4LyB00NgOHBe98mB7pP98NijlJ/SdioLKl0Ima+ts/tEa3vDiVYIiMeO&#10;HTt8+HB1dTVkR1AguC0vLw87zwHMhx3eCW3sOBfwIvzogoKCwsLC0tJSCH/wXlgByH+nT58+f/78&#10;tWvXQIHY5c1AfkqP/UuTGbbAMUan/p4g5yEQCMTXA3p2LNBAbLp9+zbELDDTli1bsAS2d+/e5uZm&#10;CHmQvZQX2zylcp4y0imd19UL2lPWfx3zxLLgoHJiby+8sbOzE1RaX19/6NChysrKsrIyEFtubi6W&#10;+TBAe2BZsOAY8NPBgtgZfhA9jxw5gtm3v7//7Nmzly9fBv9B+ANAgRABnz179vz5cwiCoEN4/FXG&#10;XsLmfPXq1Zs3byA1YgwPD2PxcSz5YZvodwU5D4FAIL4e4Dxsx9jIyMitW7eampogY0HeAuuAhyDz&#10;ga7AWydPnoSkpbLaXwsLdirhjY52KmtAeWBn/+mhgdNnwU9AX18fLAF0BfpsaGiA8FdVVVVRUQEy&#10;A6cCWP4DCwLgOexsP/jpYzv8gJ07d2LhD9548OBBsCBEQPAoLBBcCKsNC29paYG1BSCV/iqQF2F9&#10;MBPDJwKLgz4vXrx45coVMOjNmzfv3bsHEgUjQojETqL4VUa33b8C5DwEAoH4qmA7xiDijDkvLy8P&#10;UhcoZ9++fW1tbSAJUMXQ0BA2mAlJDgLfgNJqQ/2nzmCjnZD8unr7OntOdvb0dfcNYPOAVzAwzUBe&#10;hMyHjZTCIyy5vb0dHkFaNTU14Ff40dg1rCFoQvgD70LchMcvz/aDdJiVlQVezM7OVkXETbCe2BTw&#10;JTgS3gvp8FcB12JBE0SLXSAN4iNYEzQJ6wPreebMGUiQsB0ePHgA8oMt86uMbrh/Bch5CAQC8W8A&#10;nHf9+nUQQFFREXaiAmgGxAAygKAGQEhS5bn/Rqli3q8AdsGWCQ0sAkJEO3HiBEjowIEDkOSw8AeW&#10;gvwHIS8/Px80DGsFVgO9YSkQFAhriAFtACZigA5/lW3btkGExdIkLA2WDJYtKSnZv38/6PDQoUNH&#10;jx4FAYMClScjdnefU4HdKQmCILjw7t272IWzIQtCEAT/YYPDkJUhKI9uyl8A8wCjT/4ryHkIBALx&#10;bwCcd+PGDejxi4uLQQwQsMAlEIkgiimT2smTv4fzAIiAkP/gp4BpsNjX3NwMq3H8+HEIYXV1dbW1&#10;tRDOsLFQWDewFHYzIxAh+A+A5AcWxDIf5jzIhb8KvAQfaiw+gibhvdgJFbAckCKIEBYLoi0oKADj&#10;wo8rLS0F8YMRYWWwXZuwztjRNJAFQXu/JTMM1VDoX0+H+KX8kPMQCATi3wDElJs3b0K3DmqBPARK&#10;AD1A3oIEBlEMzPR7OA/a8IiNfEKuOnPmzOnTp0+dOgU/68vpEAExCx4+fLimpgbLgvv27YNIig2H&#10;gqJAVLDaWCLEXPhLQI2YHUF+IDxlQlTxZRsDcySmRngK78WunQb2hRU4duwYbChY+StXrmAXDn31&#10;6tVrFW/fvh13ZuGY6gBs4pcg5yEQCMTXY6wjhp76zp07kLT2798PQQrr9yHoYNdJAfdAFz9OaX+3&#10;lH77NVS+UzL6XMWXT6GtypbKHYEAtiMQ1g0E3NTUhF3w86gKiF8gQiwOHjp0CIRUXV0NUvxVQJMY&#10;EN2w4VNs9yE0QJ9Y+8vxT8yO2KaABiRCECrIFSIgvAWWAz8OVgayKWwfWGds/PPRo0fYpWSwDfu3&#10;Qc5DIBCIr8dY/oA++t69exCqoB+H3h8bIQQTNDQ0gGywMb1xSvu7NWqwXwCLGgOeQqobVAE//VfB&#10;Ah8AbVgTTIFfgk38u8AH6ejogPnhsbW1FfSJnT6IKRNkCb4HHZaUlGAKhGy3ZcsWCHnY1gDAfxAK&#10;seFQMCKkRlAjWBC+HIACsZP3IaqC/B4+fAjmwzIftpEBbJt/CXIeAoFAfD2wHhkaHz58gG4aJATJ&#10;CUIMdOgbNmyAfh+sgB3TAS+NU9rfLcxwvwUsEBvkhDamPSzbjQEvYWDzAzDbmCABLAWOzTk2w2+B&#10;zQBvhEeYHyQK8oOUhh1BMzZ8CnkR/FdVVQVZEPNfQUEB5D/sOBoAPAfOAwVi59TDtoJcCDPA/BUV&#10;FfB2WBQsfGhoCLuUzP379x88eAD5b+xSMti5gLDZkfMQCATiKwG2A+cB0IbHx48fgw/q6+uho4c+&#10;HZwHfT127Aa4AdQyTml/t1Se+hUw/SgX+IW0sJd+FaWvfg2V6ZTAEjCwBY5O/Q2wZUIDmx/kNNaA&#10;lAafFOIgaB6ATYEB4oftADIDEUIWhO1TWFi4XXX7QMh8qn2FoydLAFu3boWXwJSY/+CN2JcG+Clg&#10;wStXrty+fRu+Xjx58gQ2O3IeAoFAfCXGOQ964dOnT0NGKS0tHXNeXV0dZCDQgFIMv7Da3y7MLr8E&#10;zAqPsEBsuBKzDiahMVTyGgVm/lJRYyOcyqz3c2jDXsKmw9NfBVsygD1VrYsSzKBYG3sJgNlggbBY&#10;aMAjSAviIPjv6NGjsE1AZgcOHIANBZsIQh5EPWzwE2Lf2rVr16xZA4101VkToEAs/9XW1sKWhKWd&#10;P3/+xo0bd+7cgc2OnIdAIBD/GkBj79+/f/fuHWY1DOVupZ93LCn//0W9e/fh5o073V0nqw7UbNqU&#10;lbohvWBnYXlZ5eG6Y22tna2tHdjlpEFmPX2DPX3YbRbGLsjyB6yfLzejvNZM98mBrt5+1Xn3ffVN&#10;Lcebmo81NB0+Vl9dd2T/wZryygOl+yp379qzfXtBbk5exqbNaRsz0tIyoJGVmZOXtx1q7959MEPx&#10;nr1leysqK6tgU8OvADkPgUAg/sWMSQ7ARIidMYap7tPHz+9HPkG9fjV84/rt3p7+urqjm7NywXnb&#10;8nfuKSo9WHWoubkNnPfltTSVNXq9sb9K4g9WX1xfbUDpPOUlRrEbJ53s6O5t7+ppae9qamk/3th8&#10;5HhD3dHj+/cfhK8IRYUlsN2ys7dkZGzelJ6Vnpa5ceOmDRvStuTmQxsmZm/esnXLNtjO8OtAzkMg&#10;EIj/KV9KDgDDjbZUgO0A5Tw/Jzxl8+PnD+8/P33y4urVG02NLdApb1ifBr1zft4O6MdhSkd7N0ju&#10;y1IJ74+tPeWnw0ItdisJlfb6IexiBVKElyD5gf9aO7obGk4cO9ZQW3vkwIFqSHWFhcU7d+zevq0A&#10;NiZ8h9i2bSek58yMbNiqubl5XZ298LtAzkMgEIj/EeAzSHIjIyNYngPGnSU9ZkTltJ+1h9X7959e&#10;PH/d3t4FPfX69RvT0zOzMnMguDQ2NHd3ncRupAC9/JjtlPIbvcb0H7Aw22HVPao9Zak++9jIp+pa&#10;oyeV986F7QbfDKDa27pamtsbG5uPH2s8cuT4oUOHKyuqqg/W7tlTWrxnb2lJeWlp+flzl+BXgJyH&#10;QCAQ/zzgM1WKG73eFWY4TIFv3rx5+vTpgwcP7t+/j9094PnzV+9HlGkPJPjxw+gg56tXb3t7+nfv&#10;2rMxdZNyp9TGDAgr9ceburtPtnf3dvacBO0pO/3R7n4QZIAZ4o9XY5KDzzgmP/jIXb19X7pfuRFU&#10;I5+wiZQH3PSdGhw4A9UPXuwd6OlWurC+vulEU2tNdR34D4IgNG5cvw2/L+Q8BAKB+CcBt4HnRp98&#10;watXrx4+fHjhwoWOjg7smHt4bGxsvHb15rNnL0F1mPbgEcw3/Pb9mdPnyvZWbN6cm5mRDebLy9te&#10;e+hIa0tHa0dXe1cPpD3o6McijkqB/0UVf5hSHrSiukEgKA2z3c+Sw+4vobxrknKEc/T28YN9JwdH&#10;hTeodF4fzN/TD/kY5AfJD+TX1NgC+Q8KFHj/3iP41SDnIRAIxD/JOOGBAl+/fv3ixYvz5893dnbu&#10;27cvPT194cKFc+bMWbx48erVqyFtQBC5d/chZLt3wx8w+cEyrl65cajmMMS7rVu2Qc7L3rxlX/n+&#10;urqjzW2dbZ3dnb19KueN7s1SKfC/qOIPU9gRKyrtKZ2nEt7oeCZ8/L7BM/2nlAUNbCK4baD/NBQ0&#10;QHjKkNfTB+EPvkOA/E6fOgtt7NWO9u5nT1/C7wg5D4FAIP4FvH379tGjRzdu3Lh48eLx48dLS0vX&#10;rFkTHh7u6urq5OTk4+MTEhKyZPFyEBsEuEsXr0LsePXy7ci7jyMjH+/eeQBBpLh4744du5SHGm7a&#10;XFRYUlFx4ESrMup19qic9/MRHGAFzBB/vIJPqtIe5jxlwoOPrPzUY/vzlBsBO3lDmXch5I0WJr+B&#10;02OZD9LeqVNDvb1K80Gjs7Pn6dMX8GtCzkMgEIi/w6efD0KBBrbfDnv6JTD9/v37DQ0NOTk5s2fP&#10;9vT0NDY2NjIyksvlQqFQLBabmJgorO3sbB2Tk2eV7a2APvrxo2dvXr8D+Z0/d6mrs7fqQA3kvPXr&#10;N6ZuSM/Nydu9a8/BQ3WgPejfO7pPtoMNBk8PDp2DoAMygGftXT2qkU+lArEMhJlj4tRfnfdfC+Id&#10;qK7v5CDEPhAhZL5Tg0OwteHXhJyHQCAQfwfw2Zj2vgSTHzy+fPnyzp07fX19xcXFK1asCAwMBNux&#10;2WwtLS19fX1tbW0ejycQCPh8EZcjcHRwWb5sVWlpeUdH99mhCyd7BxrqT4Dwtm3buWbN+oULlixe&#10;vGz9uo3Zm7eUllccrW+C3IPFGog70G5p7/z5hunKPVvYI1gQstE4Jfzha5zqxgo5D4FAIP55flV4&#10;2ER4fPr06ZkzZ2pqajIyMqKjo52cnCDbcTgckJyzs3NcXFxsbKyXl5eVlZVES0oiUQV8sbOTW3h4&#10;1IL5i1evWgeGmzd3YVLizNDQcG8vPzdXTx9v/7CwyMTElFVr12/bubvu6PG2rh5lF39q6OTA6dGh&#10;zoHT8HTg9FnwH2hPeXDjH/fYlt+qcaobK+Q8BAKB+J8CeoNIB48AJL/3qhu2QcI7f/78gQMHVq5c&#10;GRAQYGhoyOVyGQwGJDxPT89169bt37+/oqIiNTUV5Ofq4sHnicgkGo8rFIkkUqmevr6RRCLV1paJ&#10;xZAFhSwWl8Pma0tkZqaWDvbO4VGxi5Yuz99RcPBQXWNLW0f3SejDoa9XHtjSg7VVhzWOHtOIxjZH&#10;CzkPgUAg/qeA54DRJyru378/NDQECW/9+vXBwcFmZmagOoh3urq6EOyUB2rW1GAXUz548GBOTk5c&#10;bKKBvjFEPTKZRsCTCQQylcKABpFAwQraJCKVyeCAAvX0DNw8fabPiJi3cHF6ZvbO3UXllVVHjje0&#10;tHeB/FRnLCjP1QP5dfb2gfMGz5wbp4Q/fI1T3Vgh5yEQCMT/CCzbjT5RMTIy0tPTU1lZiSU8AwMD&#10;tgqxWBweHr5hw4a6ujow4oMHDyAL3rt37+zZs+vXb3R2cuNyBSwmF8yHx5GUj3gSncZiMNigOmiA&#10;BaGgzeUIRBIdmb6hrYMTmG/O/IUbN2WWllc0nGgB54HwsFHNrt5+pQL7BvpPDY1Twh++xqlurJDz&#10;EAgE4p8HhIeNamJPh4eH79y5Aw4rLCxcunSpp6enTCZjMpksFksulzs5OUGkO3bs2PXr158/f46Z&#10;8t27d7du3dqclevh7s3nidhsHoVMx2kSIduB+Wg0JkiOzeKBC2lUJplEw7LgVA28Oo5AZ3H1jUxd&#10;3D0jYuLWbkgrKi07UF17vPFEV28fticPop7q6E3lAf0TqsapbqyQ8xAIBOKf50vhvX///vbt221t&#10;bRUVFQsXLvT19ZVKpWA7oVBobW0dHR29fv36qqoqSHgQ78COb968efz4cV9fX1lZ2fJlq8zNrAh4&#10;stJqRCqBQFYmPDqbSKSA6rCdeUymMu2BBeGRTGPiiBR4kcMXasvkZpaKgKAQCHxZOVv2lJYptaca&#10;4YSohx3bOU4Jf/gap7qxQs5DIBCIfwDwmqo+vf/w/u27kbfDH9+NfP4weg8gqA/DI08ePOrv6c3L&#10;2RITGWVvbW1hbCwRCBkUqkxbGh0etXt3UXt757Vr10B4I59GXg+/fvzi4fmrZwvLCuJmRvvbhxuL&#10;7Gjq2pSpWhS8HgmnO1VTVw2nR+Da4Lk2U/j2k3l2f+Hbf8ez+xPP/j+5dpoEGRSZIKKRJUI6X8rT&#10;MZNIrGSy2eGheevXHKvc311f393SPdA10N934WTvuZOqK3IpZaA6kwE6fCjsJO4JVRB8B06fVZ3a&#10;oYzC8IWg/9TQg8fIeQgEAvElqouBjRa0PyqvBw018uYt+O/l0+c3rlzr6ewqL927cN58T1d3A6lU&#10;wGLxWRwrU7PIGRGbNqY31Dfevn3n+fPnsLD3n9/fvHOztbt5T3nhnMUzHT3s7Ay8pAxTEB5VTUIn&#10;GTApRlSmBZOroEucaVrOOImrhth5ktj5B6HjnwXKItMMSVQDKklCIWpxSCw+lavDYOiy2T4Kq+SQ&#10;oPTlK0ry8w9XHQbt9XQPdbQN/nylSqX24FF5Sl/fIHT6X/pgIhRyHgKBQPwDgOS+1B5WKvN9eDdy&#10;5+at5sambVu2zkxKdrCxE/EEYi6fSaYa6snnpszaW1zS0nTi6tWrn1TAwp48f3qirXlTTkZ0QrSN&#10;k41YJtbhsTlkAkkDR8MTGTQ+jyMRSqx1DZz4Mg+e1IOuE0iR+OHEwRrCaVME0yfzgwlMWxxdgScb&#10;aRD1SXghCS9iEpgsIkvC4pnJ5D7OLnPjE/Nz8o7VHm1v7W5r6Wrv7lUdzzl6iTLlgKfqTL4vfTAR&#10;CjkPgUAg/gEwyX34qCyl/z59ev9BObz56fPzx0/6unt2btueFBdvr7AR84VUIkkq0jI3MomNiCot&#10;LDo9MHj31u1nz55hV5q+d+9ea2db9tac8JhwSzsrkUzE4DGYBE06Tp2iSQDnUckcDkuscp4zR9uV&#10;re1K1fanSvwJkhC8ZLqmVpiGVhiOodCkWYPzNEkGZIIICnMeTR3PIVJ1hWJ3O4c5ybN3bt1ed+hY&#10;y4mOlvYuCHbQv8NjR7fywBZoQI1Twh++kPMQCATiH0CV6j6OvP808mE08H349PHd+4tnz7c0nti+&#10;NS8pPsHexlZHrCXg8kB7LvZO82fNLSsuOdnZff/OXaUgP3588eLF0NBQbW3t+o2pMyLCre3sRDo6&#10;VBabSKOTiP9Bo/yJSv2RTP6eQNSg0ogMjg5XKKewLagcSzLHg8LzovBDqcIwqiiWJo7T4Pmrcf00&#10;WG5qDGcc1UKDYk4kyaDwmiwinsOic2QSPScHh6SEhNwtOTU1B1UXKutTnagHzsMyn7LfH6eEP3wh&#10;5yEQCMQ/gCrkqYSn2pP38dPwq9fPHj2u3n8gOyMrNjJaYWkl5PIYVJpYIDQ1NFoAwttTeupk/7WL&#10;l588fKR8y+fPT548KS8vX758uYe3l5GpiVBbm8xgqOEJUBTyf7IYf2EwJpNIf8Hh1YgkTTyZp0ni&#10;qJP0NcgG6lRHHMMFz55G4oVQBNGgPap0Blk7hCLyJfC8SEyFJtWCQJTi8NokApdM5NLJTNCekC+w&#10;srCMj4/LysooKdtX39RycuAU2K69qxeEB32/6lpl463wxy7kPAQCgfgHgGz34eddeu8/PH34aOjU&#10;6ZbGprT1qXFRMQoLSzFfwGWypFoSFwen6PCIjWtSi7YX1h08dOJ4Y3dnx9kzp0+fHujsbFuxcrmf&#10;n4+2TJfDF9BZQg08bYo6FUdi4ykEKpNKYdI1SQQNIo1AY2uS+D+q0afitdQIEnWSIY5qQmQoKGw7&#10;KteZznMlSKPxOlEESZimKATH81FjeWrQbNQoChzFQIMkJ5AFRIqQRKFx+UIHR9v4+OjU9MzyygPN&#10;bZ2tHV1tnd3Q3UPXj+3hm1CFnIdAIBD/AKC6n+vNi1fnzgxVVVRmZ2RGzAizsbLmszksOkNPKvP1&#10;9Fq5bHlp0Z4l85bMT5m3cM78DavXZWdmZmdmpG/amL4pNTo6ysrKksXlMdlcOkugSaBpEtksng44&#10;j8Kkkhk0TRIRDy22gEAV/TiVBsJTI2qrkww0KUY4mhVoj8R0ILEcpwhCpghDNYTTNUTTCQJ/PN+P&#10;zHUhcZ0JNCPMeWSamEyl05lsIyO5t4/7vIWLt+3cfaS+sbG5raW9Czr602fPQ9c/Tgl/+ELOQyAQ&#10;iL/Fx48fP3z48H74HSa84Vdvbl673nS8PnXt+uDAaRYmZhKhmEmji3h8haVVTERUTtbmuppDyxeu&#10;DA+KdLZz8nTxCJ8REh8THREZMj0kQKGwEosFBBKNRGFQ6Fp4El8DLyKQJJoMFxzTBc9ygiKwbHBM&#10;BY5hokk3Vqdoq5ElaiTOVBJHncLA0VhEJovM5qgJ/dVFgTjxdLwkhKgVihdNx/MDcDx/Es8Vx3LS&#10;pBpMJelqkjlEuoChuo+Dl2/A4uUrVXcgAu21tivvxgDCUzrv5CB2HwblTYiwnXwd3b1feuKPVMh5&#10;CAQC8Q/w/uOnkffPHj85PTB4cP+B1LXrAv385VKZtkiLw2TJpbqhwdOXL16ycumypYsWQ9RLjp0Z&#10;FhQR4OUX4O3v6+3p6uxoY2uhsDE3NjHU1tZicgQ0JpdCE5OUI5A6FJqMwHYnctxJXFdV2RPZdkSW&#10;GYFpqkmXalB1NKh8dTJPg8LQpLEIDCZo7yeuzxS+r7pgmqY4mCAOwYtCiMJpBEEgme9O4Ljg6Ybq&#10;FDmOwiXSBHQ25EiekZlFQND0ZSvXFBTuOXK8EXp/kFz3yf5u5cnpg73Ke44rb7YOzus++ce+3zpy&#10;HgKBQHzBJ9UlNEefqFA+VQ5pvjx3eqhib9mKJUuDAgJNjYx5bI6QyxMLhB4ubukbUstLSrPSN0WH&#10;R7g5u0z3mxHiHx4+PTw8OMzL3cXM2EBHJpTqirS1xbq6OhIdfTZXTAbbUWUMhhmTZTGFP2cqf666&#10;IBlKUxihwQ/D8T01eR44tpkGyxTHFGvQhZp0iiadjKfj8Az8VLqJOtNMg2NP4DsThAEkUSBRNIMk&#10;DiMJg/G8QE2Ww1SajQZVT5MmJzK1yGxtNk+gq2/k4e27cMmyvfsqO3uU91toae8Cw6nOVR8r5QkM&#10;f+BzGJDzEAgEYjzvVWDtDx8+DA8PP3n46PzQ2YOV+1csWRbo66ewsDQ2MDSS6yssrfy8feakzEpP&#10;3ZidkbVs0ZIAXz8TA0MPRx9/j6CY8Oj5M+fNTIoP8PUytzCQ6YoEAo5cLtPTN+XwtAhELTJVymJb&#10;cjhWGqL5GqIFOK3ZUEStaLw4iijyJQh9SAIrIs+SxNXBs7UITBqOTsHRNDWpmpPI+j9RDKfQFRps&#10;e00ezBkAwiNrhVPEEPiCiDwX0B6Ooa9JlxMYIgJDTGNC2hPIDY0Dg0NT0zOrauqaWtoam9tUJsA8&#10;N6DKfErtYWOef8hCzkMgEIjxgPDGbg8E7devX7c2NZfuKV48f4GHq5tcqisRiY31DewVNjMTkzdn&#10;ZG7bmrdo/oLQoGDQoZOdg0yibW3i4GLjGR8Zn5uRW7JnV/rGddOCvPQNJdo6Yrm+VEdmzGSLcXgd&#10;AlFGpys4HPvvpUt+kC39SbYQaqo0ZYpOsoYkXF0rjCDywQu9SXx7AseGwDDUpMo1SRJ1ghhHoOCJ&#10;VE2yhEiT4pkOJK4LURBKFkLUiyYKIwmCaZpcfxzbToOh0KAbqNP06SwOncUVauko7Byj4xLTM7Mr&#10;q2qaWtp/jnd/LVXy+8Mez4mch0AgEOMZG9sE4T169Ojq1avb8/IXz1/o5eYuh7DG4+vqSJ0dHMND&#10;QjdvyqgoKy8s2BUXFWNpZm5iaKSvq8dhsGRCAzN9Rfj08O25248fPVRWWjR7bryTs7WtrZW+gYzD&#10;06bS+QSCFIfTIZMtOByH73UWg/YmSRdMki2YqpM8WTsJhKcmnkEU+0JRhY5kvj2ZbYKnG+DI2hpE&#10;LRAenkTVIIlxZIk61QbHsNdgT8Nxg4kiCIhRJGEwaI/Ic8Sx7DQZhuA8Mo1BoTPZPIFMbmjv5BoT&#10;n5STt+3I8QaIes1tHW2dPeCAn53XD+1xqvjDFHIeAoFA/BewS2ICILxbt26dOHGiuLh4TsosX09v&#10;Qz25VEvbwsR0ml/A8sVLduRvy8nanLY+FV71dvc0hhwnFHNZbDqZyqGKxRyZnaXdzPiZmZtSt+Rk&#10;pqatXLFq/oywYCNjOZHMIVN4VKqRJk5KwFvwuK7/Ry/pP/SS/6SXBPUXafx3OnGTxJE/iiJw4nAo&#10;iiCExJtOYfoTqN54gpsGzplJnsIgTyYR6SQiTZ1opEk2nUL1UaP74vnRBEEMURRBFEaQBD44jocm&#10;01qNZkkgKx0J2sPuPWTn6DJ73oLtBbv37T948FDdsQaIfF0gAOQ8BAKBmECorgI96rxnz551dnZm&#10;Z2cnJia6u7jKpbosGkNHLPF29wDh7S+vGOjtS127bnrgNFMjY1NDIxMDQyGPz6BQIefRCTw6nstn&#10;8k0NzPx83OfPSdlRkH28oXrO3BQTUwM1DSqJwmUyzXB4GR5nJuC7//9kif8/3cT/K0v4T1nidzqx&#10;/08S84Mw/HtBGE6kdB5VEErmh1BZAUSaD4Horol34dDUWJSpZBKdSKBNxRuoEYwmkTx+InvheFF4&#10;QQxJFEESRZKFyqu04FgKdbolkULDEcl4MpXCYDE5PKmevl9g0OLlK7cXFO4pLQftNTa3dvScxKKe&#10;6t57423xxyjkPAQCMREBsX1UMfpcBTx9/fr1mzdvXrx4cf369aamJhBebGysm5ubjZW1jljLQFcv&#10;InTG+jVrM9M3bc3JLd1TnBAb5+PpZaAr5zJZHCZLIhTJpTIDPbmORFtXR6olFPPZPCO5YXhIWNq6&#10;jbu37UqMTvBz9zWXm4nZYgaeTlYjsUksKV+HytdniIzYYhOGwJDM1CPQpCS6IZVtSubYU3gOBIEf&#10;SRSgLo6YKgz7QRD9F17UX9g6UFMYulMYegSKFIpK5kExWHwOT8QUW3F0bIiSGE1hxHfMJf9JXaDJ&#10;lk+l60wlC6aQeJokmEtiZ2cXGRmZun5t5qa0goIdVVX7Dx05XHf0yLETLa09vW1tbT09PadOnVJe&#10;P2ZgoLe39+TJk/39/dCGR2jDFADag4ODMA9MAfpUYLNhQPtXGaeir1bIeQgEYoKCaW/0ieopdqzm&#10;yMjI7du3W1tb8/Ly4uLiFAqFlpaWVEvbSK4fEhScn7v1yKE6sN3KZcvjomPcnF3MjE0EHC6NTOGy&#10;2GA7R1s7CIK21grQpKHcgMfm8lg8c2Pzab7T4iJjZwSGBnj6O1ja64l1wXY0DSqYj0Nia9IkBJaM&#10;ypGT2bogPBxZgqPIiTRDAlNBZNvieD6gPTVRONQkUeyPwphJfL0febpTmXJwHp6iA6V0HoVHY3BZ&#10;HAFdaMGSKAha0eC879lL/8xYROAZarB0NWgiNYpAk8igsYVmZmYBAQGJ8bGLFs5LT9+4fXv+jl0F&#10;BUWFpZX7q48eg4/f3d0N0gKlKRWlch7mMExsY5JTKUxpwTGwGTCwV3/JOBV9tULOQyAQCCXgv3fv&#10;3oH57t2719zcvHnzZohBlpaWPB6PSCRCgHOyd1g8f0F5yd6jdYe3b80LmRYkEYpl2joCLo9OptIp&#10;VPCiu7NLSkLimhWrYiIjwkKnuzk7ybQlTCqdz+aAMm0trb3dPEOnTQ/2C7IxV+gItAVMPovEJE4l&#10;TCVwNCkCMl1CYWpTaBISRUyiSMlUGY5sRKCaaDKdCBxXTcE0vCgY0p6GOFJNbDVFaKHGsphMN9Ek&#10;GSjvKEQWUyhaZCqbxuBReIYMkSlBHEwQBU3mzZ3EmU3mW+HZpni6niYsk8glUYRSqb69nXNQQOCc&#10;mbPSNqbmbM5Kz8zI2JyVv2tXaWXF0aNHGxoawHwdHR2dnZ1dXV2gvS81NuY/kNzYS5jzAGUGVIHN&#10;/EvGqeirFXIeAoFAKIGQNzw8fOnSpaamJhBeWFgYJCGhUMhS4eroFB0RuWzR4lXLloP5YiKjbCyt&#10;mFQal8nmMJjY1aWd7R3nzpxVWLCr6Xh9WUnx1tzsubNmOtnbiXh8mFPE5culMlcH59iI6JnxKf6e&#10;vhaGFoZSAy2OmKhGVCNwNcngPC0aS4fBktGZUhpdTqXL1fByDaLBVKqdJtNRnReAEwZpaEXiJNF4&#10;qZ2GRKHJtZrKNMORDcecRyAzQXsElh6Fb4hTOjJoqmA+FIlniWOZ4hlyHF0PT+JB8flaRoZmft4+&#10;SxYs2pafl5+3df3G1HWpGzJzc/MKdhYWFhYXF+/bt+/gwYNHjhxpbGxsa2sbMx+W/7AICIbr6ekZ&#10;G8YcJz9s4i8Zp6KvVsh5CAQCoQRzHiS8PXv2zJ0718HBAYRHp9NBeHw+f8b0kLkzZ8+bPWeaX4Cl&#10;qbmhXF9XWwoJj0GlQYbTl+m6OjnPSk4p3FnQ39P76N79m9cuNDcd3bRxrb+Pu0TEIxE0qCQCj820&#10;t7GNDAtPTkgO8A1QWNqYGZlLtXSpJDqexCGQuRQKj04XshhiKCZNwqCIcZpiPF5LgwhpzwzHciLx&#10;3IhCf7I4kCDz0dT2xPE91dguODAi2ZZE1ofSJLLwZI4mQ0xka+N4jiSRK14USdSKJrLslfeYpZgQ&#10;qKZEojYBr8VlaOlKjH3cvdetXFtZvq9kT/GmjIz1qRs2pKetT9uYlpaWnp6elZWVn58P8jtw4MDh&#10;w4ePHz8O5oPk193dDT7D3AYWxJz3JaNm+23GqeirFXIeAoFAKMHGNqEHh/595cqV3t7eMpmMwWBQ&#10;KBQajWansJnm5z99WpCNpfIuClQSmU6hgvBUF9uUebq5L5gzFxJeZ2vbres3Xj591n+yvbR458yk&#10;WFtrMyGPRacSuWymTFvL2sLS28Mz0C/Qyd7J1MjMUM9IKtHlsYUUmoBI5hEJbCKRTSFzqWQehcAn&#10;4bgEvAQKnKdJMlaj2SuvH831xvN98VJvnI4XUeQN2iMznQl0BzLVAJyHI7JxJLY6VYBjiNXZdgSB&#10;MziPJIkmcxxwdAXmPBJJBzzKpAq1BHrTfAO35eZ3d3S2NbdUVFYWl5Rs31WwaXNWamrqehUgv9zc&#10;3F27dpWUlJSVlVVXV9fW1kLyq6+vP3HiRGtra3t7O1hQFerGH8OCBcFfZZyKvloh5yEQiAnKrx7D&#10;8ujRo9OnT5eXly9evNjLy0tfX5/H44H5RDy+XKZramikqyPlMJgU1Z0RWHSGmZGxj4fn0oWLK8vK&#10;B/v6r1+5euXCpaFTpzdnrImLDjY30RXwaDwOTSLmGhvp29spLFSYmVro6xtp68i1JLraOgZSXSM+&#10;X8ZkiihEFhFPp+LpdAKDhmNQNGgMkpBOFJCIOhDONMlGeKoJnmFNYNmoiYPUtYIJ4nCCKIzCDSYw&#10;A4g0GxzZSpMs1CQJ1ClsTRpHkykn8UyoIneGxIsl8AI1EimWRIoFmSDDa0joBL6AKY0Mjjiwd/+D&#10;23cf3rl3/vx5+OwtbW37KitAcnl5eZmZmZD2MjIysrOzc1Rs3759507lyGdpaWllZeWhQ4eOHTvW&#10;0NAA2gO6urogAmLjnyC2vxH4xqnoqxVyHgKBmIhgwvvSeQD29OnTpz09PQUFBXPmzPH09DQ2NtbW&#10;1tYSCAUcHp/NFXB5UEIuXyrRNjEwCvD1m5Mya8+u3WcGTz1//PTR/Qf9Pb2HDlbPSo50sjdjM4lk&#10;4lQum6YrFVmYmzg52llbW4NHtcQ6YpG2UKQDJdU1NjO3lclMhUJdJo0P2mMQmUwyvJVNxzHYFDGT&#10;LIJkRiRoqxMNNEmGGlQLTZrVFGEAaI+oFUGWRNIFoSROEIluC87DUYSgPXUKS4PK1mDoEblGFKEb&#10;XctLoB1A57qTadagPRJeqqkmpmhyOFStiKCwQ5U1b56//PTu/fPnz+GzX7pyub6pEcIciB8Mt3nz&#10;ZnAemA+S37p16zZuVA57ggu3bNkCmwiS38GDB2FmyHzNzc3YMS/Ybj8s9o0q7heMU9FXK+Q8BAKB&#10;+CsfPnx4+fLlrVu3IKNAgikqKoIufunSpXNSZkaHR0wPDAqZFhQaND08dMbs5JnrVq0u3l10sPJA&#10;T2fX7es3b1+/0dzYlLUpIyUhydnO3EAm5LLIfDZFIuYbyKV2dnZ+fn6ubt7TgmdMmx7l4OKjb2In&#10;1beS6FmJdMyEIn1tbRO5rplc11RXS0+LKxEyBAI6j0Xi0PFMKknIoknIVJkmXkuDpEthmfzAC/5J&#10;OAMnSiBIkijCBDwnGk9zVyM542l6RIaczOKTmDwyU8QW6kr1nUysfKX60+gcRzLFlMmyZjP0iZpi&#10;JpErE+gnR8Z3NrZ+fvf+87sPH99/+Dgyeq01CHyDg4OgLtDYkSNH9u3bB8kvPz8fbAfaA/mtX79+&#10;06ZNubm527ZtAzXu2bOnuLgYFAjhr6am5ujRo42NjZgFx855AAtiERDaqtv1DfWdOnNyELuHEZTy&#10;2taDZ86Bk/ph+sBpzFLw6s8z/AsKOQ+BQCDGMzIy8uLFi7t37w4NDbW0tNTV1ZWXlBZs2741Oyc/&#10;d8vO/G0Q7GqqDrY1t1w8d/7W9RuP7j24e+t2b1f3ti15IUHBcpmuoa5IwKHQKZoCDk1Ppm1uauTg&#10;4ODt7R2fMHP23IWJMxf6BYaZWbvqyC15YiM6R6YlMZJKzQz0LUyMFGYG5gY6hlK+togp5FL54Dwy&#10;nsegiCk0PQJJW5OsR2IYfc8NmiQI1RTFg/OowkQiN5bI8NKkuhHociJDH4RHZHCIDCGDJxXL7PRN&#10;3HUNg+kcBxxen0A0JOG1cGoCLkVoqGMaGxrZfKTxw+thcN7nD8pbJg0PD4P1X79+DVvg4cOH169f&#10;P3PmTHt7O2isuro6Ly8Pkh98D9igAsIfPIL/cnJywH/w6s6dO8F/FRUVMDNst6amJngv5GYQHjwC&#10;mPPAPZ29fd0n+7+4jYOq8bP/QEvYU3AUyGlMWv/DQs5DIBCI3+Tdu3eQe27cuNHd3nmivvFY3ZH6&#10;I0dPNDR2trafGTx1/crV54+fvHr2HBJe0/H63KzNCTGxFiamZDyBS6MwSWAqhqmBvqebZ0hQSHhY&#10;XHRkYsrs5bPnrY5LWekXlGjpEKxn6iHSc+JIbLWkVloyaz25wsTUSWHpZGlmbyQz1hZIhWwxncjE&#10;azKoZB6NIaXQJHiKNoEm/TM36HtBqJowSVMyiySeSxDMJnJCcMwgItOcwDAjM3gEKptMYTCYXJFA&#10;LtMxFWrbEGl6ahpcTRyfpMnAq9O4ZKZcLIsLmXGi9vCHl68/v//w+eNnZaluB48BqffVq1f379+/&#10;cuUKJD/QFaQ3iH1VVVV79+4tLCyE5JeVlQXJDzIfBjzdsmULmA+LfSA/mBk77AWsWV9fD+Gvra2t&#10;vauno+dk98kBzGrwOHapT/CQyoUD4DxIeGCmvsEz49T1TxdyHgKBQPyVTypGn6ievnnz5unTpy+f&#10;PX/84OG9W3fu3br98O69pw8fgeqGX72GhHfr2vX6o8dWLl3m5+1jZ60w0JPzWGyyphqbQjSQSv08&#10;PWYlz1q5bOXKFeuXLV0Tn7QoOm5eYEiKo/sME4W/3MxTZuIlNfGUyBRCiblIbCzTs7Yys7excrYy&#10;tjbSNdbm6zBILE11GpnEoTNloD0CVQe092cOOC9kqsp5ZPE8kmguVRBO5s0gsy1BeyQ6F0dmEkk0&#10;CpXJZmrxuTIy00CDpIMjCKk0HTZNSCdxeRSWNkeUMCP8eFX168dPxpz36b3SefDBP378CM6DyAtb&#10;4Pnz548fP37w4AF8A7hz587ly5dBgV1dXeCwAwcOlJSUQM6D/AfOA/9hCgT5wUTwH4S/HTt27N69&#10;G2bDRj4PHz7c1tnd0d0LbgMPgdjAcBD7sCnKe9j+nPBUhcY2EQgE4msBXb/ymmRY+oH6CEIYbX8Y&#10;fnf98pXezq783C0BPn7aIi0Og8miM6gkspDJNZbpe7t4Jcckr16emr4he82anCVL0uKT10wPm+/k&#10;mWBmE6JrFiQ1CZSaBetZhIr1nVla1lSOAYNvLJVZQtqzNLc3M7XVFssZVK6mJp1E4tBYOlSmNp6m&#10;jaNJ/syf9r1o+hRRkrr2LKJkMVFrEVWUQBbGUbgOBKYNkcLDEdkUPJlGpLJJLC6Zg6ex1Ek0PJFM&#10;ptJZkEGpZAGdLOEwwv19ivO2XBwYfP3w0ecPkOw+fxxWpb3fALbG8PAwKBD8d/369aGhITBfU1PT&#10;vn37SktLCwoKcnNzQXhjpzqkp6ePneoH8gPzQUCEmatrj9QeOXa0vqmxubW5raO1o6u1oxsKu0U7&#10;2Kj/1Bnl3j7lXj3l/Wy/9Nb/pJDzEAgEYjwgOcg3Xx7VOfJ2+OPI+0/vP3waUe73+vhu5Omjx9cu&#10;X9m3tywrfVN0eISpkTGdTFWfMlV98hRNNfUAD5/EyNhVi1duWpcOwtuwJmPRotTkpGVBoXNdPCJN&#10;FdNNrIPN7CItHGMUbskO3nNkpl58mT2Na0hmyXl8faX2jBTmKuex6AICgUWh8CgMCYkmBuERmVIQ&#10;3o9aoVO1UjQw50kW08SJVHECjef4V+cRKFQilYlnMHB0NSJ1Mo44WU198lR1nNoUEk6DQ8YLGRQX&#10;S/NFSfEl23cMtne8efYanPdp5G85D8C09/r1a8x8N27cuHjx4tmzZ5V76To7IfkdPHgQxAZ6g3iX&#10;kZEBsW+tCmhgI58gv9y87XnbCwoK95SU7as8WAP+O954Qnlvh+6TYCPwHDakCYICC2Jx8F9SyHkI&#10;BALxX/jw4cM7FV867687uqDef3z1/MXFs+dP1Dckxye4OTlLtbT5bA6bwWRQaWK+wMzIeM2i1duz&#10;tpUXVhZtK0lfv3XJgvXxcctDQ2Y7usaYWk7TMw22dIh18lnkGrDUNXCFR/BqI/sZUosAga4jQ2TJ&#10;4hlwRSY6UlO5vpVYJGexxGQqn0ITEmhiDTJfkyYhc/V+1A6ZpBM6VTtFXTqLIFkCRdVKoYiTaXxX&#10;AtOeSOLjCVw6gcog0tiaVIY6GU/HU7lUnogh0ubIJGyphCXj0yQckom2wMvOMikiomhr3vVzVz+8&#10;ev/xrTLtjQEbATYIAN8DlHn354kYMB389+rVq7dv38LjkydP7ty5Awrs7+9vb2+H/FdWVrZr166c&#10;nBzlvr5NmzJ/ZkNaRmp6Znpm9uYtedt27t6zt7yyqrq69vDxxubGlrbWzm6wESgKG9VUDnX+wl7/&#10;XCHnIRAIxHi+3KUHKDv3dyNK23389Pbl64f37p8/M3SoqnpzRmZo0HR9mS4Jh2fRGFItiZHcwNPN&#10;fVZScua6jLKCvYcqDhfmF69ckpYQPS8wMMnDPdLVM8HKJtTEOtzRY6bHtOVOvossXeaYOc20co81&#10;dYrQt/QV6jlxhMagPYFQX6JtLBTqsdkSGkNEZYhwVKEagatB06LxDX6SzpgsC1PTmakhnQ3Cw0uW&#10;UMSY89zGnAfCY5LobE0aQ40kkAqMrY29/V3DooJiI6dND3R3tTE20xXKBWwzqcjFymrV/AUn23pf&#10;Pnzx9sWHz6Nq+3Vga4D84HH0uQrMf/BF4eXLlxD+rl27NjQ0BObr6+trbm6G5FdaWlpYWAj+g/CX&#10;n5+/KSs7LWPzxk1Z8JiVswUy3+49JZD5QHt1R483nGhp6+zuPjmg2pmn3Ks3Tl3/dCHnIRAIxF8Z&#10;N6Q5xsvXLz5+gvjz8eXL5+fPn6uo2JeUlGRqamqobyDg8SkEEoNCMzU0iY+K3ZVf0NrYUlnVvGNX&#10;9caMwqUrs2OTV3r4xZrZBRhYeZk5Btl4RjgHJblOT7ELiLf0ijTzCDf1CDdzSrBwTbJ0iTG0CdUy&#10;cGCKzeg8CZ2rpaWto2dgaGRgKBFrsSg0siaeqoGn44h4mgOB5kCk25GZ9jS2DYNjy+aas3kWFKpE&#10;E8fDaVLJJBaNQiERiGQCnkEl29jYwApv27attra2tbX18OHDixYtMjQ0lMlkAoHAwMAgLi5u7969&#10;Z86cefTo0Zs3b0Y/9j8FbENs5PPZs2ePHz++d+8eKPDcuXPgP+zEj/379xcXF2M7/9LT07FzHrAU&#10;mJeXBy/B6kFMhPkHfmacuv7pQs5DIBCIvwL9NYQY1WDe6GgeNJQHMX768OHj+ydPHw8M9u+rKF++&#10;fJmLiwuXO3rbPF1tqcLCenpg8PpV647VHr164Upp+fHNuXsXL8+KS14REDLT3jXU1M4ftAfCc/SL&#10;Bec5T0u08Yu18IwwdQ8D7Tn4zrf3mWftHmdgEyIxdODqWPK19YU6BhIdqdzA0MTIWC7TFXN4oD0W&#10;kcIiUXEUOyLDicpWFdOawrRmcc25Aisuz4DF0mUxBHQaTyk8IlFLKLAyN505cybErNOnTz98+BC7&#10;Iy4Er/j4eCsrK54KX1/fnJwccNLNmzeHh4dHN8d/E9hQsMUg7cESsC0JU2ADwpRXr16BTa9cuYKZ&#10;r7q6ury8fOfOneC59evXr1Gxbt26rKwsEDO8dOzYMdAedj0XeBynrn+6kPMQCATi7wM9+aNHD7q6&#10;OvPytoIqsLsu4HA4PldgZmIeEjRj5fLVu3fuqas+cqK+tfVER25e1dKVeeHRyzz9Em2cw8xsppnb&#10;T7d1i3QNTHGbluI8LcXeL8HKK8bcPdLcI8rSK8Y1cKGz/3x7zwQzhzA9M1ex3FZLZiSWGYLztKUy&#10;PZmuvq6eXKKjxeVzKHQ6nqRONMBTTUgMUwLNWJMoVcdr40laZJqUQOQSSVwyiUHAU3EaeD6X7+3h&#10;uWThIshPEO8gdYGHwEb3798/fvw4ZKzIyEh9fX0GgwGfaNWqVZDAIOpBShv92P99ICX/alAGQH5P&#10;nz69evXqqVOn2trawGr79u3Lz8+H1Vi7di38dAA7wnPHjh2wJidOnMCc19PTM05d/3Qh5yEQCMTf&#10;Assod+7c6u3t3rFje3R0lLm5OQgPQh7EI1uFXfC06WtXra+tPnz+zMWhU+cqy6vWrFi3aFluZOxy&#10;N684hf10M0UglMIl3M0/ySNoFmjPwS9B4RVjAbbzjLb2ibP1T7TznGXrOdPWI87KOdLMztfA0l3f&#10;1FrP2FLfwFAgEvM4XF0dqbWpubmBsRaHT9Uk4KjGGmQjdaIcSpMkBe1pEoTqOL4mjqWhycBpkol4&#10;GofFgdVbvnRZ9YEq0AwkPMxG4J5nz56BTkpKSpYtW2ZrawsfxMnJacWKFRD+wDHwKvbZ/wm+3BUK&#10;bdh6AMQ+ADbjgwcPLl++DCvT2dnZ2NhYVVW1a9eu7OzsjRs3QtqDnAfO26S6pFlZWVlTU1M/KOnU&#10;KYiG49T1TxdyHgKBQPwV6KAhCY0++fwZuukbN26cPn366NEj27bnJyQkWFpacjk8FoutK9O3UdiH&#10;h8WsXLGuvOxgR3vfqYGLJxq7Nm/eERMzO3gGCG+mlV2kpW2ElUOkwina0SvZK2iBi98sR+9kG494&#10;a7dYa484W+9EB7+ZjgGzbFzirByjLexDLB1C7V2D3HzC/YPDgmdEubm56erq8thsEyOjQG/faT5+&#10;ClNLCVdI50oJNIE6gUWg8tl8qUBLzuZJKDQumyui0TkMOlsikTo4OM2cOXtvaempgcHnz5/DRwPn&#10;wad7+/bt7du3jxw5AnaJiIgwMDAAf3t4eIB4qqurh4aG4FOPfv5/GGzJYNPR55+V1zB78eLFy5cv&#10;IVzCjwPVnT17FuwFCQ9sd+DAgfLy8t27d2/ZsgVWY8OGDSA8SHtpKsCC4OOGhgaYf1B1Q6IvvfU/&#10;KeQ8BAKB+HWg175+/XpLS0tFRcX8+fOmTQsAPdDpdBKJzOPxraxsAgKCtm/b3dTYdv7cte7Owb0l&#10;VekbcxcuXJ2YMN/JLdHaLtLCJszWOdbJMwnKxWem57T5dh4JCrc4K9cYazeV8HxT7H1T7HySbV3j&#10;LR2izO2mK5zDfabFxiYvXbJy3bqNmVFRUQqFQldHx8nePiEqJjkuYbpvoIutI1esT2VLQHtUlhYI&#10;T0tqLBDJGGwRmcIkkRlCgZazs9v8eQv27CkZ6Ot/8ujR69evQXXYFVXu3LkD4gHDBQYGSqVS+EQC&#10;gSAoKGjHjh09PT3379//Ul3/IMpdnh8/fhnyYOs9efLk6tWrZ86caW1tra2t3bdvX1FREXbcZlZW&#10;VmZmJtgODAfCw8Y2V65cCW2YAjkPEuexY8cgDkLuBMap658u5DwEAoEYD3T6kFGgv4aosXXr1iVL&#10;loB4tLS0SCQSlUrV0dF1cnSNiUlesWJ944nuoXPXz5y7VVlVv2xVVkz8oukzZvlNi7d2TDRTxJjb&#10;xjq4z3b1XeDsNdfBc5azz1yFS7yVc5y1S5ydR5Kjz0woG/d4c6coG4cwe+dID5+YkPD5M+csX7J8&#10;46o166EiIyPt7OyMDQxcnZyiZoTHRkRGBIeFB82wsbe2trU0szI1MNbXlmkLRHwOl81iM9lsSHgS&#10;FxeXxYsXl5WVnzzZ9+D+ww8fRlUEzrt161ZXV9euXbvi4uIgszKZTJFIBD9iwYIFhw4dglexOIjN&#10;/98C3gVaBblCTIRsh12lBSJdTU1NcXExbEbs/HTsiBVogPDAfBDpsNsVjd2rCKbA6kEQrK+v7+jo&#10;6FXdimGcuv7pQs5DIBCI/wJ03JB1zp49e/z48S1btiQkJLi7u8vlctAJjUbT19cPDAxesmT5zp3F&#10;tXX1VdXHa2obi0qqV6/NTp61Iip2vodPpIGJs8Ip2cI2ztI+3slzrpvvAkeP2bauyXbuKdbOSucp&#10;XOMdvFKc/WY7eKeA8PStpptYBDi5xkREL16yPCc1PW/V2qyUWXNDZkT4+vpaWFgYyPXsFNY+7h4+&#10;7p5BvoGxYdGJKfEpc5ITkuP9p/mZWpjwVc7jC/mwqqGhoSCVqqqqwcFTN2/cevr02bt378F24CH4&#10;UCA2CFLh4eGmpqYgPPhcIMikpCRwErjw5cuX2BbANsU/DggPEuTNmzfPnz8/ODgIrjp8+DAEOyzb&#10;5anuxgBiA0B16enpsGG3bdu2e/du0OGePXsKCgpgBcB2YMHt27fDu44cOQIJu7u7u7+///RpdH4e&#10;AoFAfMG4gTUAG237relj7XGMjIyAG86dO1dbWwvm8PLy0tPTgyTEpDM4TJa+nkGAf+DyZWtKivd1&#10;9wzdvfdif3VTbn7pwmVZcSkrg8LnO3lGGVv565p4KFzn2LrPc/Ra4Oy72NlnoZ37HAuHOCPrCHuP&#10;ZDf/eb7TF3kEzrN1izG1DTFRBJvbhfp4xwUGJM+etWr7tn0Hq47mbd0VGjpDV6ZnZKBvY20FwtPX&#10;0xXzhIa6+v6e/jPjZ65ft6TqwJ7ysoI5s2Pt7c0lWhw2myoScTy9XLfm5XR3d124cO7hw4dgL2z3&#10;JHZ5zNbWVlCOj48PZEEQHlgcot7s2bPLyspAeDdu3ICPDzPDW2BTqLbQX4GNNjbmibWVG/fjR3gL&#10;/JQnT56A8MBP4KqSkhKQHNgLDIfdaQgeIcDB05ycnPz8fOywTLAvdrOFJhXgOfAiuLCioqK9vR08&#10;d+rUKeWoZi94Ce3PQyAQiL8J5rDRJ78AO3sMumzsKbSfPXt29+7dy5cvQ7yA/LF8+fLg4GAIQ3w+&#10;n8UC28kd7OyjI2PSUtP3lVc11Lc0nug+3tC5eUvx8tVZMUkrAkNmOntFWzkEW9hPt3WNsAPheS9y&#10;9lls7zHP0inJzC7e0jHe1i3F2We2k/csB49EhUushUO4pWO4nVuMs3diUuLqxYuy0tN35m3dm5O9&#10;fdGClV5e3np6ckh4xkYGxgYG2mIxm8YUsHk2FjahgaGzZ8Xs2J61pygP5JeUFOnt5WRoKNXWFgQG&#10;+u7cmd/f33fz5nXIdvABIX6B/FSH4RwFD0VGRpqZmQmFQkh4Tk5O2InqEMuuXLkC3sK2xt/dnwcz&#10;vFMdzgpLxs43BzPBdqupqYHQhh2WApJLTU0FjUF6G0t1oENwGwgPUmBDQ8OJEycaVUCkhukQ9WA2&#10;eBXWB1YY8iK2Mw85D4FAIH4d6OWhRwaUGeRv7pf6UoqgB0g50MkWFBQsW7YsMDAQApC2tjaEIQqF&#10;QqVSPV3d582as3tnUVN9c3/f2d6e02X7jqxZlzN7YVpk/BLPaTNtXCIMrIP0LAIsnKPdgxbYes13&#10;8F3k4LPAwjlZ3yocSuGW4DFtgZN3op17nLXTDHO76SBIR/cI78DEaTPmbNqwfc/OqvLi6sy0/KT4&#10;FD/vADuFAkKeVCIW8NhcFhOKSqTi1fEcBs9Yburn7rh0fkpuxoadW7MKd25dv3qpn7e7iaGup4dL&#10;xqZUkMiFi+dGRpS3SHjy7PGlK5dAJEuXLnVxcZFKpRDvBAKBm5ubap9fWXd39/3791++fAkaw7YG&#10;lvZ+C/h+AJsLBAlbbGBgoL6+vqqqqqioaOfOneA2CHPKIy/T0kB70AbPgQXLy8sPHjwInoOZwXNg&#10;RwB+LpgSO1Gvurp67969sPELCwtBnJ2dnRDykPMQCATi1wF7geGgO4b+GsAy3JjSfoth1f0BIOFB&#10;yoG+GLrmqKgoZ2dniURCp9NBdaAHXV1dKyurOSmzd+8oaG/p7OsZ6OoYOHakOWNzQUTU7LCYRd6B&#10;CQrncFObafqW0/Stplm6xLhNm6fwmAtl6TrTxD7eUBFp6hDr4DXTK3iRlVOkwjnKxiUc3mLvFu4V&#10;mBQZv2zWgrSdefuq9jWUF9csnr/GzcnD1Mgcsp2Bnp62lpBGIdLIJJm2xFjfSMwXM8hMBoVlKBOB&#10;9mYnRm/JTD1UVb5re27EjGALU0NXF4fVK5fuq9jb0dn66NGD169fnj0/dLzh2Lp169zd3TkcDlgc&#10;Pp1CoZg7d25lZSXEqXv37sEWU31DUH5FgI0Gm0X5deC/bj2YB1T34sWLR6qb6A4NDbW3t4Ofxk6w&#10;w0hPT4dsl5eXB9NBhKC62tpaiHEgOTBZj+qG6QA0QGkgNnAeCK+0tBTUCCmwoqLiyJEjXV1d8CoI&#10;FZsZOQ+BQCDGg3XTmOqA0am/DWRBsN3t27eh54Wksnr16vDwcHt7ez09PQaDQSQSWSyWmZlZTEwM&#10;pJZ9JeU97d1nT1840dBSXFSZs3nH/EWpQSFJ3tOSbV1mGCqCTe3DrNwSFR7JCq9Zdr7zzFyTjBxi&#10;9W0jjByird0THHxnOfslO/ommtoGWjmF2Lspy80nLDJ+wYZN+XvKakt2VJbtqsreuCUiONpU31hb&#10;INbi80RcjlQi5LJoUolWgK/PnJlzosKjLE0VHAZfi8Ex0dZ1tbadE5u4LSs7deUqX3d3I11df1/v&#10;tA3r9u8vb25pPH9xqH+wd+fubfMWzobkKpPJaDSakZHRtGnT5s+fD5o5d+4cJLyxq65gGw0eYctg&#10;U8bAttXdu3dBdaCrhoaGAwcOgKXAbZDnsD12sJWyVDfJg6wG6sJ21zU1NTU3N3d0dGC26/sCsBrI&#10;DGaArLl9+3ZIhPCuuro6mAIREIQHryLnIRAIxD8EdNO/mvbgKTYR+nroxEF4kEVWrlzp4uIiFAqx&#10;oT8QHoQ8SHjBwcHQiUNAuXDm/LWLVwd6T+0t3rdqxcaZKYvCo+YGBMXbuYaZWPvrWwXZuMW6BS1y&#10;D17s4D/fxnuOiVO83DZKTxFm6hzn6D/bNWi+g3eChVO4hUOwwmWGo8cMN7/o0KjZK9blVFY39p66&#10;UpRftmlNbkJkipO1q1SkzaGxmBQyk0rW1RYbG+j6enmuWbGipKgkLzdvRnCEtkimzeKB9rSYXAdz&#10;q9jQsBC/ACsTE1N9/UA/n4y01KqqiqPH6pqa60vL9ySmxCnsrbDkKhaLQX7gJ0i0vb29Dx8+hI0A&#10;W2l00/wCbBu+ffsWst2lS5dAVBDsQFHbtm3LzMxUDWEq7wcL5OTkYNkOXoXcBsEOVAdBEBIbCAyE&#10;Bz8OExg0sDZMhBkOHz4MjtyyZQs4DxYOwoPkBzOA5zDnwQ9FzkMgEIjfZGRk5OXLl9BN37t3b3h4&#10;GHrtMe1BA57CREgtV69ehX65oKBgwYIFnp6eOjo6ZDIZkhDYjs/nKxSK6OjojIwM6L4vX758aehi&#10;d1vXvtL9G9elJybODwqKdvMMd3SdbukQYmozzcwx0tF3lmvwUhCepeccC/dZxi5xRk4xJs7Rlh6J&#10;9n7Jdr5Jlq5hRraBNm7THb3DA0ITkuauSM3MKy6vOdrQ1tLZn71ha0JYip2pnb5YX3ktaTKVQ6Po&#10;iPiujraJsZE5mRm1B6vaW9prqmpmJc/T0zGQc6QiEo8+lSxlaTlZ2EE5WtuEBgTFRkVuzc4uKS3M&#10;y89Nz9wwZ36Kg6uNRAY2F4LCvby81qxZAwnszJkzWMIDq335nWDsCwFspRcvXty5cwc+O2Q78NbR&#10;o0crKyt37tyZm5sLqgNxYqqDiAaq27t3L6Q0sB3MduLECZAZtrsOdAXS+lJ1ow5T7cmDbQt5EX4F&#10;4Lzi4mJ4CokQ3ojNNgZyHgKBQPwXoI+G7hvAfHb79u0LFy5AhoNu/d27d186D57CxIsXLzY0NIDS&#10;QkJCjI2NQXJMJpPFYpFIJC6Xi52jDf049N3nzp27ceNGS0NzcUHRquVrZyfPjYhI8vKabqHwNjR1&#10;UTiH2biE23unuE2bZ+c7z8QpTm4bY+gQb+qWYOGZpPBJgbLyiDV1jjC2CzK0CbBzD3UPjI2ftTQz&#10;b0/N0eaG1t6q2vqCPeUr5q3xsPMRMcV8mkDAZLMpNImAa2thNn92cumeXaf6+65fuXzl4pWWxpZl&#10;i1eZGFro82RCEpfyE0FI5ioMLVysHGYEBG1cvS4jbWNledmu3TvmzJ3pP83bysaML2ZTmAR7e3vI&#10;rKtWraqqqoLE9uUZeNhuPAA2Dmy9N2/ewKvPnz+HTw2+geCFXUIFbLd58+atW7fCI3Z8CrSLiopA&#10;ddjxKceOHcNsBwEOExWA7ZaDp5jwsCnK8+16e2Hmuro6eDssGTIiBESYMpYIla77GXjXOHX904Wc&#10;h/jWgb/DX+Xzx2+svjGGP3+CUt7wGgr6N6hhZX189xEmj6gmjHxQ3v0bJr5/MfL55efPTz59vj/8&#10;+e6bz4/fKZ++gzng1Y/KO4jCfOPr3ecP71SPwx8+wZLew+xQqh+ibEBhPxx+V18EiX89mOfgQ70f&#10;fvfkwaOb166f7h9sPF5fc6DqYOX+29dvvnr24vP7D5/ef/g48v7D8Lunjx5fu3S5oq4+Z2dxdHyS&#10;VG5AwqlTCJpiBlHCIusLmXZGsqTIGfsKC4ZOnYalnb9wdWDwbGZB4+yVhb4Ra5wDFzr4zbd0S9az&#10;jpCYTrdym2XnM98pYIm970ILl1lGdvGGtvFG9om2vtFO0xLcghMc/KKsXALNHX3tXf3cfEMCpoUm&#10;pczNzc49dvjoYE93x4mmkp3b1y1b4u/to6sjJWriKAQSj82Rakkcbe2iwyMKtm0/3T/w9tXrZ48e&#10;nzszdLjm0MK5800NjcRiMY/HA0mz2WypVOru7r548WIITJCW4BFCWGhoqEwmIxKJdDodIqy/vz+E&#10;M8i1IPsHDx7ARsO2HnxXAOdhYKcfPHny5OHDh+cuXQFDHD7WsKuoJD1z85r1qWs3pKWmZ65LTd+4&#10;KSsrZ2ve9p2FxaX7Dx6qb2rpgET3C7tg1dOnvO9r3+AZEExv/2BPn/KO59Bu6+w+eKhu957SgsI9&#10;u/eU7NlbXl17uKW988v3/h6FnIf4Xwt0o99UfWP8lvOwtVW67Gd5gdI+vBwZufL0+dCd272XbnSd&#10;vz145cXVh++fvP38WjUrLGFMde9Vy1S2VcL7NAIFk6C+mvPgGw900MrvPV/y4dPjBw8H+/qrD1Rl&#10;pm+aN2tOSmLS/NlzD+yrPNnVAy4E4Y28Gb5942bT8YaC7Tvmr9wQEB5nZqUQSqRsOgW0xyZO1eFQ&#10;owI8V8xJKNu141RX242r1y6eO3+8vqW4ZN+8NcUzUjKcpy2y9pxp7pJo4hhn6pRg6Zbi6L/I3neB&#10;wnOuuUuKsUOiiUOSpetsG8/51l7hNj6Rdj6Rtt7htu7BUM6eQe6+IYuXrMrO3X6o+lBXe2d/V+eR&#10;6oMgvAAPN0tTMz6HS8ITuEyWoVzfy8192aLFZcUlXe0dd2/eenDnbktj09bs3AVz5nm6uYv5ArIK&#10;DodjamoaFBQEwsvJySksLATbpaSkgAKxI1bAiJBZ4+PjYTrEtWvXrj19+hSS3OhGg1+j6qTyly9f&#10;3r9///Lly5DJ2traINuBzPbu279jV1HG5ty1GzaC80B4mdm5W/K379hdVFpecaC6VnVD89b2Loh1&#10;SpP9aoHz4BHsAgXyA+1hBe+rrKqG5e/YVVhUUlZeWVV3rL4V5PmLJfxrCzkP8b8WzDTfTn1jYNYZ&#10;1c4XIsJW9vXnTy8/Kb/qg7xGnr25f/V2e2/30aaG8oMHiivKKmtrmrs7zl69dPPR/Uevnj97+/rV&#10;yPCbDyNv378f/vgBc9+oAlWLgwdoQhocC4Sj/8Mmja7KvwywHcSUMedBA8LKmxcvL507X1W5f/ni&#10;pZ6u7gZ6cmMDQyc7+1XLV5SVlEJCevHk6aN7DzpaWjPS0iNnhDu4uPPE2qANPp+vLeSyaSQJh25r&#10;arB5w5pjVZVXzl+8f/vOxUs3TzR3ZecXJ89ZMS12vWvQIiv3JBOHGH2bCH1FuKVrkmvQEregpXbe&#10;c00d4/UVUUZ2sZauKQ6+C1wClyg8Z1h7hCrcp9t4hDj7zPAKjgmJTIyMm12wq/hYffNg/0BvV/fx&#10;2tptOdmhAX4CJp3DZFGJZAaVJpfKPFzdwG1VFfuvXrr88O79pw8fnxk8lZeTGzY9xNZaoSeVgRcp&#10;FAqDwdDV1Q0MDFy3bl1RURF2JMj8+fNdXV25XC4kPOxKadHR0Vu3bm1oaLhy5QoEYth02JkJ0MAG&#10;fl+8eHH79u3Tp0+fOHHi4MGDWFIEw0FtSNu0LjUNCrJd9pb8bTt37a0AGx5uONHS3tXbfbIflPY3&#10;hAelct4geAai3klV1APNdHSfPHK8oaS8AsLitp27S/dV1tQdbWxug+nj3v4vL+Q8xLcO9Gi/yvih&#10;xX97fWP8lvPeQdx5/wGE9+Lj+7cjHx4/e3Ghf6i++kjW1tzVqevnLF6QNHfW3KWL1memb9+zu7Sq&#10;sub40WMtTR0newbPDV2+cf3+48evh98prfb+ozLdKUPcqOAgEELiw9qj//t9nPclb9++ffz48a1b&#10;t84MDNZUHVy9YqWfl7dMos2g0AQcrpHcID4mdsPadeDCzta2pvqGbVvzYiOjbK2sdfQMyHQWDodj&#10;MplSMd9EXzbN02XxrMSDe4vP9/c+unv/4tC5w0dP7NxVOn/JBp9pUY7+8yxdE43so5RlF2VoF2Xh&#10;muTov8DeZ56FS5KBTTSUuXMS+M/RdyFoD+KdDUQ9z1Bbz1D3gMjwhAUr1m7Kzi+srTs+eOrc+bPn&#10;6moOZaZuSIyOtjI2xP00iUWjC7l8MyOTaX4BkPBKi/YMnOx78vDRhbPnejq7SouKZ6fMdLCxlWpp&#10;89kcFp0hl8stLS39/f0XLVq0fft2ENWmTZtmzZoFmQ9eolKpWlpaDg4O4eHh6enpR44cuXTp0pMn&#10;T8B24Dns6J6bN2/CxPPnz0O2w+57sHfv3h07doA4s7OzIdulpmdkbM7J3pK3ZdsOSGN7SsvLKw9A&#10;GmtsbgVzqDR2GuTRfXIA5DdOLWOlkqIy6oHwoGDO1o4u0Nv+gzW795RuVS65CNqQFyHj/Y3l/KsK&#10;OQ/xvxZVwviG6hsD082o8zDrqNpvVYOQrz5/evpx+OnTp2fPnq0tKc9csdrZ29ra2cjQUkfXRGRo&#10;IbVyMHHytPfwcwmNDk2YlbB83eqtBTuqjhzuPjV4/cGDp8PDyj14qj19UErb/dwY3RrYC5hr36jq&#10;dwDi3f379yGgQJe9NTtn7szZro5OUok2k0oj4wkMClXA5bk4OoVMC144d/7GdRvAiFFhEdbmFiIe&#10;n8dh8LlMDoPCoBB0tYQhAb45GelHqg/29fTfvHbz/KU7VdUNa9ILZi1KC4pZausVY+Ecp28dpmcZ&#10;au4UZ+c109YzReGeZOORbGIfZWwXYWIfaeUa7+Az28lvjq1nsrlzrL1niJNPmIuvsgJCY+ctWbdn&#10;74G2roH+vtOXLl2DkJe1KWOar4+5oaEWl0PR1NDVkTrY2oGhczI3Nxw7fuXCxQd370HVHDiYlb4p&#10;Kixc6WmxFpNGp5GUcdDNzS0uLi41NXXnzp2Q8DIzM2NiYhQKhVgsxhKeo6PjwoUL4VXYOBDjHjx4&#10;8EwFfD+AX3qv6lJhx44dKykp2b17d35+/ubNm8GO2HnlaWlpWbnKPXagJQh24KSauiNH6xsh3oGx&#10;II1h6Q0U1dnTB/LArParBSmw+2ftwVsgHR5vPAFLKyopKygsBuGBSmuPHGvvUt4J/W9Hxn9JIech&#10;/tcyJptvpL4xMOn80nmYnx6/f3Px3i3o+CoqKjYuXhbtH8QUEag8DRJLjcicSmZpUjg4MotAYuCE&#10;OkIDMwMXb8+Y5MS1m9KL91ee6OoevHjx5u3Hd+4/e/j0zYs3H958UC5+9CdiWwN78js4T3mshWpc&#10;7s2bN9CVd3d379u3D6LJjGDluB/IDFRHJ1OoJDKVSKZTqDKJjqmhkbuza2jw9OCAQDCHWCCEGUgE&#10;DQGXJdUS6OmIPZzsUlevaGk4fuPSxds37ly7fL2hqWdT5vaIxGW+05MdfOLNHEMNFGFSsyBwnsI9&#10;2S1okWvgAnvvWeA8A5sw0J6VawIIzyVgnqPvbCu3BFCgncd0F/9I39D4kNg5sxas2pxX1HCi6+LV&#10;u+fOXurp7i8uLIqOiNSX6rBpVCGLqSsWOdk5JMTE5uVuaWlsunvz9vDrN4/uPzgzeKpg24646BhD&#10;PTmbwaSTqTQSRcjjwyeCALdhw4aysrLy8nKIZSkpKba2tiyWcsyTTqfr6+vPmDEjIyOjrq5uaGgI&#10;hAfb6saNGxcvXuxTHYqJXfpk165dkA7BcOBOWBo8wlOQX25u7s7CPSVl+6pqao8cb4BgB6oDPYAu&#10;QBujCa9vEIQHBT7rGzzzpVfGFQRBEIzqsf9Ea/vBQ4dhyXk7CnbvKdm7bz/8iPqmFlhI/6kzyHmI&#10;CQTWl/2S0Zd/yZhsvo0aXd1fMLq2Xx1scHHUeZiBPn2EevP5w4O3z/ouDpbWlGetXzsnPibSzslN&#10;W89jyl+gPNV+8sVN9SXivfGa9hoa1j9NNtHAKSg0ey2pv5lVqJffnKj4VYuXZ6xPy99VVlRWffBY&#10;c1vf2XM379198fbFR9WxoL9Me5hx/0VgtoNOHLryw4cPQwedlJTk5+dnZmwiEYlZNDoUh8HEGlwm&#10;W8DhgSTkUpm1haXCwlIu0wUvCrk8FkVdwqPaWhrFR4Zs3pR2uObgqVNnb9++39l74WBtS2pOWdzs&#10;De7TF1p7xOvbRelYhhrbRBgpwi0cYxx9Zrn4zbHzTFK4xdl5Jlq7xth5xjv6JDn5Jjl4x9t5xtp6&#10;wJRYd99Q/5CYuJQFa1I3F5UeaGjuOnX6wsXLN2oPHcnM2DwjJNTUyFjA5kBB1PN1d58/Z+7uHQW9&#10;nV23rl1//vjJs8dPQHjVB6rWrlwFwmbRGWBxLpOlLdaC5DozKXnFihXbtm3bs2fP+vXrscvHaGsr&#10;d09KJBJoR0ZGLlmyJCcnB77THDlyBPIceO7o0aOgOpgC2W7Hjh1gSjAcBETsJnZbt26FUIhdG3P/&#10;/v0Hqg9B/Po52ClHHcEQg2fOgpxUx2Eq5QfC6FSFPMyFv1qq8cwBMA3YEUIeLBE8l7+jICtnK5bw&#10;6puaW9q7YJngPEiE497+Ly/kPMS3wshvMPwbjLz9xuo3GP14X53fct6Dt0+Hbl4sr6ucvXy+v5uL&#10;pYHcksGRaxJ9NX8KwE8NphIiOPRIIT+Cz/VjczypNGM1DRN1nC6RokekatHYUjZfTyI11jPwDAib&#10;EZ2ycFXqtqJ9R9u6h27cefB6+NXv77xPnz49f/78/PnzIDzossPCwoyNjZlMJpfFZlBpEOwgD7Hp&#10;TGhzGCwtoYjP5kA8ghJwuCK+gM/mivlCfZmurhZbT4sT6O26e3vO4Mme80Onh4YuXL1yc8fu/SvW&#10;bJ4Rt8xn+mxH/9lmztEgPJHJNGvXBFv3JGffOa7+8xRu8YaKUGPbGaA9t8A57tPmugbMsveKt3KJ&#10;sHKNdPRJ8AyeExASMyNm5qLlG4r2HuwdOHft1qMr126fOnNh7doNXl6+XDaHQiSB8Izl+v6ennOT&#10;kyvL950/c/b923efRt6/fPb85tXrJ+obtuflQ37V05Hi1TWYVJpUS2JhYhYTEQVxEPxUXFwMSW7a&#10;tGk6OjpsNpvD4TAYDENDQ9gmIEIQHkixqKiooKAAxAZPYXNtVN2pFZ6mp6dDsFu3bh0ID17Kz88v&#10;LCyExHzo0KHjx4+DIJta2lo7ukEJoDRsjx2EMDBTW2c3eK5Xeezlqa6TyqNROnpOgj++9MqXBREQ&#10;3g7WhIIFHj7WUFSyd3Pu1vTM7NLyCpVTu+El7HwGtD8PMYGAL+83b97s6+traWmpq6uDPz/4QgoN&#10;AL6cKr94HjhQU1NTqwIaNQcOflMFa3jw4MGysjJYtbNnzz58+BC65n9jzgPjvH4z/Omd6hQ8Vb15&#10;9/rC5fO9F/pKa8qWLZ8XEOjhIZOZ0agOkzQdf8Lt+/+qVf0H/tD3jGNTeIc0RFVT+AWTedt+YC37&#10;jrrk/5Gjf6RG/IXkNYXqPZXmjGe6ENkKuZmXjUtkcPjCmfPXr0vduXNX9ZHDrd1dZ65eunj7+u0n&#10;D5++ffX2w7t3nz68/zgy8uEd5LPRNVN5S3kU0t8E5n+vYvS56lvRy5cv79y509/fX1paumjRIn9/&#10;f3Nzcz6fTyAQGBQahUBk0xlyqa6pobGutg4kPB6bo5xOJNFIFAhJoD2YqKMlMTEwdHMwDwvyykxb&#10;19XWdPXajTNnz7d0nTnRcWrJuh2xc1Ldghaau8Qa2scZOsTp28XrKmIcPVNcfee4+8918Zll5xan&#10;cI62c49x9kl08U1w8o5z8Iq094x08oly9Y/1CIr3mp6YmDx3ydLVBbtKOrv7QaUD/Wf2Vx7Mzt4S&#10;EhxibGhMI1OYNLqBrp63u+fyRUv2Fu3p6+55cPcedjzU6+cvzw+dLSzYlRSf4OnqJpNow0eDz2Jp&#10;Zh7o5z9v9pyMjWkrV65cunRpTEyMtbU1i8WiUqlisRj0HxQUlJKSAj6D3JanuoldWlra2F46THjY&#10;6OWWLVtgHhDn3r17KysrMduNXQl6nCr+bmHa6z89BEYBe4FUMFPCFGhAwjvR2lFde2T3npL8Hbt2&#10;7Coq3ltec/hoe1cPxDssC0KpTmb4fQs5D/GtcOnSJfiTgz/FxYsXR0dHQ3fmBd+HfX29vb2hgQFt&#10;Hx8fbIqv57dVgJ+fH6xbbGwsfLNub2+/fPkydtfpfwugFAifo0dSgm4+fn764klXb2d+yfZ5qxf4&#10;+LkaGkvNaDR9PN5lCtGbwDjyPb3+J3aTpriNJG2iGzRS5Qfo+hUUvS10vWyydBFdZzZBGETi+Wkw&#10;HXEMew0aF0/XpgsMJHrWRhYODk7TpgUnzZm9bM2a3fv21jYeP335wqNXL95//vjh86cPn8B478bp&#10;/+86D4B5wHljc7569erBgwfwxQI666SkJGdnZ7lcLhAIoLvX1NTkc7iQ4XS1pbbWChcHJ2tzC7lM&#10;F4IR2I5GIrPoDCGXrxrV5MskOubGpisXz9qxJa2tuf7uras3b91pbmnL3b532ZqshHlp06IWWXsk&#10;GtiEyW2ijR0TTF1mQYHznLxmOnom27sn2rrF2XvEu/gmeQTOcvSOdfCMtnUPV7jOsHEPdfKN8p6e&#10;FBg5J3frjv1Vtf2DZ2/eenDxwtWqA4fmzlng6Oiir2fAYrDBebB6AT6+q5YuP3qo7u6NWw/v3f/4&#10;bgR+bZ/ef3jy4OHJ7p6czKyQoGAIdkIuD8KrmZFxgK9fdHgEiBC0Fxwc7OHhgd0Jj0ajQcgzMTGB&#10;KfC3M3fuXAhwEAGxYJeamortsYNsl52dDeEPIl15eTl8icQuFXbs2LGGhgbs8pjYdb/+ieuegLHg&#10;se/UGXCYcuTzi1PxwC5tnT3HG5WjmqMnJ5RXVBw4eOR4I2RE5b7AAXi7MlBiQ6a/ayHnIb4Vrly5&#10;cvjw4bVr18IfM3x55/F48OVdQ0MDujNoYPcwI5PJ0MYg47+tglWFtcLj8dARz58/v6qqamho6N/o&#10;vPefPr+D/5R96KcRCHwj76/dulJRVR6bHOHiZW8i4ojIGrbfT3aerJEylbGUJnn0J9GTP0ue/6D7&#10;erL+S3WTV+omD3Bm9zXNzpPMhwimDRTjOk3d7ZrizT+yV/xAXfJnouef1Lz+n7rT9+qO36mZT9F0&#10;JDNcdfWCrKxnxUWnr15ZVlnW2dNx5uqFq/dv3n7x+OHwqy9zHgAKhCl/NweD82Ae0B5sSfgO0dXV&#10;tWrVqoiICOjroZeHvp7BYDBVcFlsIY9vqKfvaGfv7uxia2VtoCcH50GcYtHooEOJSAwJT1+m62Bj&#10;GxwQWFq6q6214erNG7fv3e0dulJ64Mjc1Vt9w+e5hyxWeCXLbaJ0zGfoW8dYuMy091ro5LPY2TPF&#10;3jXBxinGxjnG0SPOzTfZKzDFO2imk1eEo2eEvft0G9cgB89gv9D4hLnLFq/NqKupOzN4Bkx2/crV&#10;+qPHUtetd3N2YVBpYC9YJZm2jp+3z7JFi4t3F53qU15mBer98Ls3L1/du3Xn7KnTddWH4FVnB0c9&#10;HSmEV1h/Jzv72KjohNi4sOmh0/wDTE1N4W8E/r3BnwZoD54GBATMnj172bJl8EcEwoMwB5EOGti+&#10;Osh827dvxy4VVqe6d8HYJTEB8Bx2uS+wHTAw8N/erwYR7edSnpMAOsGqs6evtbO74URLVU3tjl2F&#10;m3O3FhTugcB3+Fh9U0s7qA7e0tM32KUc1RwEX45b7L+8kPMQ3wrDw8OgvUOHDm3YsGHGjBkWFhbw&#10;Jw2SA+eRSCSsa4M+Dv7CMf9RiaRvqqD3IRKJOBxOV1d33rx5EEfOnj0L0WT04311QHigPHDeyNuR&#10;Z4+ePH34qKOnLXXTehCevqlMh0EUkzXd1QmBNPYKpnSTtvnLH2Qvf5S9nCR/9ZP+i6lGL6Yag/Me&#10;4MzPk5XVxrZqZpjv45iW0PVz6bIssvZMjiyRqR1C4/tq0Kw1iApNkhmLbSMUOVqZT/N0j0mIXrR0&#10;4bqsjQVle+q728/cuAybYuyWpADmvHEi/CWYF1+/fn3p0qWampqcnJzIyEg7OzvsnGv4VwANsVis&#10;o6NDIRCZVJpyX52unpHcAAIfKJDDYEJI4rHY4AxtkdhI30B1uvfcbVvz2tsaz58bOHfxQlNLc0Fp&#10;1YasbfEL0rxnzDFxjtG3C5dZRehZR5o6JNl4zFMKz2+pk2eynUu8wjHazjXO1QeEN9sjIMnVJ97J&#10;K9LJGyrM1S8iMCJp7vLU/KKK6vr2wb7BG1evXzh3fv++iiULFwX6+RsbGILzQL2Gcn1/b581K1ft&#10;21t2oqFx8GTflYuXrly4dO70UHdHZ8PRY9X7D+Rv2RoXHQMhT1+mx6Ix2HSmjZV1WEjojOkh4E5r&#10;c0v4yPB3AX8dEonExcUlLCwMuxQLdsXn4uLiEhWlpaX79u2DSAd/WaA6SHWNjY2tra3w7QFUB5ID&#10;vQGY6uApmA+z4DhV/N1SDlGq7AU6AatA4AOjwBRwzPHG5v0Ha4pK9kLI27ptB4S8o/WNLe3YOQ/K&#10;IAjmUzlPOTT65TJ/j0LOQ3wrwHd56BPv3LnT3Nycm5sbFxcHXZtMJgPtQddGp9NBeNAA4UEDntIp&#10;1G+rVMDaGhoaQu8DzhscHHz48OHox/vqDH9UHUvy+fPbN+9uXL9+anCwtHxPfFKMibGOlohhhFe3&#10;oBCT8ayFLK1ChmGlyPoWweAmXv+uuv4ddfnjyfJHP8mfTZI/nyR/9KPu40nyuxoG9zWNrpCMLhEM&#10;T5HkAwTdBoruMaJOGUFU8BNz+STygv+nPn0SLniSpgOB4kZnK7R1nOT6zg4O8THRGbnZBw7VgLRu&#10;37797Nkz+C1/Ge/g9/6rYC9BzsN29EJnvWbNmpCQEEtLS5FIBNsZtrZAIADhQaevvM6Wag8ZpCgW&#10;ncGk0sF/8EuhkshaAiE4j8fi6OpIXRwc586cVVFWfv7M0KUb1y7dvHaiZyCnYE/CkrTgxCXOoQvN&#10;POJ0FJEy2ygj+wQL11mOHvOcvRa6wqPbHBePZEe3REe3eFevZK+AmV7+M509o2ycQxw9Q128w72m&#10;RYbGzFywYt3O0sqOgTM3Hz17ev/+3evXGo8cWTJvnp2lpbZAwINvbRSKsb6hq4PTvFmzK/aWneof&#10;uHzh4umBwa72jiOHaivL9+3asTMvJzcna/OaFStDg6dbmJga6snBeQwK1dTI2NvD09XRCaIqfCLI&#10;drA8+PgeHh4Q7+CbYn5+fllZGfzDq62txYYrIcydUN2UvK2tDSQHQLADelRgagPPYaobs93oq7+w&#10;xd8uTFfYECWW86ABVmvv6lElvKL8HQWQ8ErKKg4eOlzf1AyvqkY+lSetw7uglAtBOQ8xcYCcB33c&#10;yMjIrVu34G8VvrHGxMQ4OjrCXzWHw4E+DoIUlqXg6y0Afdw3VbBuBAIBvnfL5XJwHoSSU6dOPXjw&#10;YPTjfXUgQKkul/J5+O3I0OnTB6uqVq9b7uXnzuOQyKQp2pO+NyXiMOftosnLeOY38Urn3dPQv6uh&#10;/2SKPmgPhAfae/KT/tPJMN3wnsp5UEMUwzMUgxN0/Saa/CBDbx9JsoksXDOVHqFBCZ2MN5001WKK&#10;hpRM0aXRpVpa9gpFaFTE/CWLIXBAXwwd7tWrV588eTKW+VSC+xXgJfjHAHNevHgRhJeWlhYUFGRq&#10;agrBDvp60J6VlRX88zA3NwfhSaVSmUQbrKYlFEGWIuEJyn14ylFNBqQ9AZenJ5W5u7jOSZlVsH1H&#10;X3fv88dPB84NtXR3FlYeXLIuLTBuoWNgrJFrlLZ1kK5ttIFTgpX7HHvfRa4+i528Fji6zLJ1SHL1&#10;SoFy805295np4Zfs6p1g7xZm7Rjs7DXDKzA2PH7O4tWbdhRXNHX2Xb7z4PGbkctnh04cO5qZumGa&#10;j7dMLGaQyWwaTcTjOdnah0wLgpBXVVHZ09nV29V99PCRspLSwp0FW3NyN6WmpW9IhVqxZFlUeIS7&#10;swuEQkir4DwDXT07hY2JgSFIXXOqGp/PNzAw8PLymjt3LvyxYAdPQZKDGIfd3AA2NQgMkxmAuQ0Y&#10;ff4zo1N/wThV/N0CcyiHKFWnLoBLYEqbakgTQl7x3n05W/PBeWWVB2qPHAfhnWhtBy8qcyGEPNVx&#10;oZgCYcqXy/w9CjkP8a2AHaEHCeDVq1eQ9uA76bZt22bOnOnu7m5mZgZ/4dioJoPBgC/40IAv8t9U&#10;gYbBeerq6rq6uuA86H3OnTsHsQb7dF8f2JpvPiiPZHk38qGrqzNrc2ZU9AxbOws+A0/V/FH3T/9p&#10;PmXynB9ISzXZJZPFB/B6R5iyoyzdDoa8i2VwiQxl+Ehd/6G6/M0U+ZvJ8reTZG9+lL6cpAP1fIrO&#10;iynSZ1O0n02WXNeQXlXTbiFJ6zVEW8jiLBwvQoMWpka1IzEVOJounWvCl1gamjlZ24OxkpOTMzIy&#10;IIhAVwvfbF6+fIkNXf4q8NLjx4/7+/v37t27dOlSPz8/Y2NjUB18AQLDYX094O3tDV8yYLrCwtLW&#10;ytrE0IjP4VKJJAaFxmWyOEwWOE9fV8/f22fd6jUHKw/0dHReOnf+zo1bew/VZe4omLkyNTR5gUvY&#10;HDOvSKlDpMQ2zMh1pqnnXFuvhfY+i1w85jq6znJySHC0j/fwma2qFBdPSHtRDq6Rju5hLl6R/iEJ&#10;EfELlq3bVFRe3XZy4PyN21fu3Lt463ZpwY5l8+Z4OzuZyfW0+Tw+gw7ms7EwD58eMm/mbHDbzvxt&#10;kOq2bc3bnLk5PTUtNys7M23Tpo1p2RlZuZuz0zakLpo3Pz4m1l5hCyKHwMpnc8HrYr4AXA5eNzEx&#10;mTFjxvr163fs2HHgwAEIc/AnA48Q0VRZThnmMKWNDVqqXDYe1aDmXxmd+t93HvgD1KU6XW8QOz+h&#10;sbm1pu5oxYHqnbuLtuRvLywurak70nCiVXUKRN+o8FSHa2IjnPAI7XGL/ZcXch7iGwK+3cPXfywB&#10;QIcI31W3bt0aGxsL2tPR0QHVgfCgy1MNEVEoRNI3VdghFZDzoEdesGABfOkeGhqCmIJ9tK8POO/V&#10;iPIyoCPvP7W0NC9bttTH193cwlCuxeHRcIbf/wWcl/Jn3ILJtN3fc8vUtA8Q+NVkUTNJu4Oud5Fk&#10;cJli+EjD4JGGPjjv9U96r3/QefW99osfJa9+0nmpJnutrvdSXfZiqvQWXvcWXq+HbdzNNNwrNt0j&#10;MFquYzyfJ/PgiG3wNDGeJsJTuTS2gKkc2DMyMgoNDU1NTYU+GrrgmzdvPn36dFRxv+Dt27eQCKur&#10;q5csWeLq6qqtrQ1bmM1mYwkvJSUF/m2AQUGlEokE/jk42No5Ozham1uAFcAQdAqVrRzkpEmEIltr&#10;xYK58w4fqr1x9dqDO3evXLx0un8wr7hkzopVXuHxjoFh5t7RUrsAgWWwlk2Yhfd8S5+Ftl4LFB7z&#10;7Z1TbB2TwHnOjolefnOh3L1THFxirO1DFA4zXL2j/IKSoxIWzluaunVX6Ymugev3H9979vLc9Rvt&#10;/QNrly72cnIQMhkcKhmEB2UglXo6O89KTF67clVu1uas9E2rlq9YtmTp+rXrs0F7G1LT1m/ITN8E&#10;FlSOcOZuAe2tXr4iKCDQUE+fqInXnKpOJhDB5SK+wEiuD18CYEtiJxg0NzefOXPm/PnzEOzOnj07&#10;ODgIDWwkExqYw0ad9rP/AHgJwKZgE7EpqqHN//bYJpikW3UpMuxQFDDK0YamyqrqXUXFkPC2FxSW&#10;Vx44fKyhqaVNZZ0h1W485ZVZVJ4bHeSEd325zN+jkPMQ3xDYiBbGmzdvrl27Bn+KlZWVK1as8PDw&#10;gK/zPB5PKTsiEct52OAVfOdVji5CN0emMqn0L8cbv2qpdjfi8Xh9fX3IedAZ/Xud92nkw6cRZXSG&#10;LXn4+NElK5b7+vrCNuTjqRwNktFUmi1FGEySQsXh9VKoxqsIghU43ho19jp1zlYNfiFVdpxu2Mwz&#10;H6KZnKWZPsAZPcQbj0wxeDfZ4PP38s/f612l61xlSO+RZXdJsmfquk+mSp9Mkj3+QTr0nWjoz6Ij&#10;auKaSfxNGqw1PxBjf1SP+PNPOAGLoaslNzexcXUKmx66fPHSsu27mmuO3Dp9Yfje48+v331+M3rT&#10;h/efP915cP/4rYur9hWGLp1vFz5dbGhA4LB1tHQsTMxjgkJz1qeVbivYV1BUtH1nXHikRCwWCwWW&#10;Jvb6OqZSLZlMosfns6kUAk9AMTGThUb6L1o+q6SiqH/o5KWb17oH+iprDm/bXTxz3s4ZUenOnvPN&#10;FLFG1pHm9nFWrokKj2R7/1n2AbMVAcnmXrEGbuFGHpHW05KcI+bb+ETZeEcqPGdYuE5XuE1z8Y+c&#10;EZ2SOGfphtTMsvKqvt6+KxevXDl3tqu5ec/2/BUL53l7+enq6pNJNAqFzuMKpVI9J0fXqMjYeXMX&#10;Ll+2asP6tLS0jLSNGRmbNufn7SgsLN5VVFJSBqFIefUTKGjAU5iYkDzTxt6JzRPQmByuUCzVM3Bw&#10;cQuPis3YnLN7T0nd0eOtHV3tXb1tXT0d3Se/wnVMfqvAIhDdIOGBSCCxdXT3Nrd1QNSrqqmrrj1S&#10;d7T+eOOJE60d2N0YMMn9Wwo5D/ENoTyM74sD+V6/fv3gwQP4ulpUVDR79mxIe6ATFotFJpOVglFK&#10;jgJfexkUKghPGbYIyrz1Xzz0Nesbc97nj5+Ud3JVOa+x+cT6tNSQkBBIWjImT5vGsaEIPfjyKI5x&#10;OMMgnqCXSDaY9yMFatkPlFWTGTlTOTuJklqi7CjNYICgP0gyuKuuf0/TcPgn/eGf5J//ovv5O9lF&#10;svgiRes2QfsOQeeZmuzpVOnTn/SeTtK9OkX3yhTdZrK8AS/Lp0uy8Nx5JMYsTYoam4rjMxlCHk9H&#10;y8TA0NPVfW5MYtrSVW01R6+cPPXs9v13T158AEl/+vz4+bMz58+tLN/ts2S2aYC3wM6SIuCT+XxT&#10;Q1MHG4eiLdta6o411x7dX1iSn5UTHRIm1ZYI+Xw+SyIALQok2mKpSMiFMjCSODhZ5G5LP1hXdurC&#10;wO2HNy5ev3qkqSE9e2vS3AUhERu9A5bbOs8E55naxlg7J9l4pth5z1J4Jym8ky19Esy94ky8os18&#10;Yq0CE21DZlp7hVt5hlu5h1i6Tbf1CPYIiomMnzNz/op9ldWtbT2XLly6dP4iCG/3tvykqAg7c1MT&#10;Y3M2i4fTJDKZHJCfjcI+ZHrYooVLlyxevmbNelBddvaWnJyteXnbiwpLKvYdOHy8ob5JeaEviEpQ&#10;0ICnMHHZyjW+AdN0dPUFYm09AyMQHlgwPXNzUWnZwUPKm6xC9w0K6cIOHvnta4D93oXFNViBk6ob&#10;BoFa4COA5EB18EEam9tAgcpruPScxI5zGff2r1bIeYhvCBDeiOrOXqPPVcnv4cOHAwMD2E4db29v&#10;mUzGZrOV19IlELEhLAh8EPXAf+A85cEL41T01eqbc95n5X3QVXfb6T7Zu31XQfLMFIWtjRaTC5HB&#10;mMy15Un9WXIPisRbTeA9le83FR+gQYpSp8QTmMs12KsJvPyp3G3qvMMaWkfxOr2a0gGi/BJBfpmo&#10;fx2vdw2n92yS8Pkk0fPJkpdTtJ+pSZ9NlT5Q172vJruB14c6SzI8Q9BvJ+idUNeunSKsnsSbM5k/&#10;cxIn+CeG33dEC3WSE43rYGbq7+KcsmD2pi1ZFYcPnejtPHX23Olz51uaWvcWl8UlJTu4uOrJ5DwO&#10;X0jnOlnaLYhJXjdvaf3+mpMNLTX79qetWpuYmOjh4aGlJ2WLBDwWH2wn09ERi0Q6OiJ7B+vImJCF&#10;S2YdbawbONt35daNU+fO1tW3bN25Z+b8VV4BEQ5uyTZO8RZ20VDWzvH2HikOvrMc/WZbusdbuMWZ&#10;ucdaeCZY+SZZ+yVb+Caaecdbe8yAkGfjGWrnHeYRGDU9evbM+cuXrkqrOlh37PiJEw2NNVUH87Oz&#10;ZycmOFpZClkMEB4eTyISKTo6uo4OLiC8BQsWZ2XmZGZkb926bfeuPSXFZXtL91VWVNXWHmmoPwFB&#10;Dbpj6IuhI1ZGJZU2YOL2gsKFS5YFBof6+AeGhkfOmb8wN28bJKcjx5X3mwO7DJwegoCl2iv273Qe&#10;KORn7cFT5ekHEPUwyYHC4VXVMKZyJBPWEzkPgVAChgPnAdggJzyCBUGBz58/P3fu3P79+8ElkPbk&#10;crlYLMaurwGqA+ex6QwWnQH+Qznvr4Dz3iu/Pbx79+7cpYu1R4+kpqUFTAuUsHkcElV7Ckkfx7RX&#10;59pMZjr+mer0HS1QkxyEp8bhGYkk9lJ15uKp9LQ/EVL/A1f+HaPyB/aJH3idU7XOqulcwOleU5be&#10;i8nil1O0Xk7VfqWm81xd9lxNBs57oKZ7HSeHAucNEQ26yAagvQaC7DhOJ51vuYFtmsLUjdDkKfB0&#10;axxNl88z1pZIjfRcfNzj581enZG2dfsOqPVrNsxMnGnv7KKjJ2czOXQqw0BLNjM6cX9BSeP+2sN7&#10;K2tLKzLWbgj29jM1NVWOeGuJqGymnlTf1MhcXy4X8Pn6BrLY2Igdu7Ycra8+fX7g4vXzPYP9RWWl&#10;y9empcxbEho1y80n1MQq3EwRYWEfbeOc4OA509lnjpOfsqw8E8B5pm6xll4JioAUcJ6xe7TMIdTa&#10;I9TGK8zRL9JjekJI7JykBatXrMvYmJm/bfvunNxtG9aum5Uyc7q/v6PC2lCqrcVlK0c1yXSxSNvR&#10;0SUqMnbRoqWZmdlFRSWVlVXV1fDbqK8/3tSovPhJW1dnb9/JQXhQaUNpBVX1w1OYeOjIscKSvTlb&#10;80F12wt2F5XsPVBT23CiFRJeh/IOq8pBQuy6l6CWf+PYJrgE/KGSGbZzTnXWnepYlS9LdX2Wf2ch&#10;5yG+IUByqsMXlNfdgMf3798PDw9jU16+fAkKKS8vX7JkiZ+fn6WlJY/FYdLoVKJyVFM5yPlz1Buv&#10;oq9W32LO+/j50+eP7z/cvn9v4Mzpsv2V8xYvMjc1EwtFXByZrUHUmUrWmUoxmkIz02AZs6imXIY7&#10;m+3F48dTuLFgvknUxd+TM7+jZP9AL5jEKFbnlZNFVQxpNU/vkEB/ZIrs/RTZW3VdqGeauk81ZPc1&#10;ZPfUpXfV4VH2cKoe1LNJek9/1H3xF9nz76QP/mR89z8Mmn/QPfx/BIt+Ys76E8EcTzDTxJFpeC2p&#10;wNzZ3itkWkx0XExMfLhvqLedhwGDJ8FT9Wk8ex3DcBefbavT2g4e7qqrP1BUum3T5uT4BCszcxqb&#10;yeCymSI+nkEVi3gGBrpGxnpQPr4eGZkbWztbr964cvvBw8vXbx5p6FyTmhMSOd87IN7VK97WOdzE&#10;JtjSIczOLcbJO9HZNwXK0TfFwSfZ3idF4Zlo6Z5g7Zlk4zPTyjPZ0CFK21K5D8/OM8Q9IDIocmbC&#10;7KWLVqatT8tOz8pLTd20aOGyiLBwZ0cnQ12ZQDn4TmKSiCwmV1sig4QXH5e0ft3Gbdt27ivfX1d3&#10;tLW1o6O9u6urt6e7r6en72TvwED/6VODQ9D//pzSlGOV0ICnMBEb5Dxa31R/oqWppa2xuRUeW1T3&#10;OlA5UilIaGBt7I3/llKuAwgbMtzP6499EFWqG52i1N7o9Vl+9/PwfquQ8xDfChDpsHg3Diz2gfbA&#10;H2fOnDl48OCaNWsiIiJMjYyxK0sRcXgoMoEIRcLhx6voq9W36rzPHz89e/Xi/uNHvYP9Owp3hc8I&#10;s7O1lbH4HE2SeBJe9CNO/iPReCpNh6ihS8HbkUgudAYIL5HGX4/nbyAIN39Pg8r/jrz9B9quKfRi&#10;HLeMKqxgSIYnaQ//pPN6qvSNmmzUeZqyexqyBzg51BMNA6hXUw2hhicbQT38fyZQ3eombT/pp9Fk&#10;KzX4jkyWAqI5ncDkUjlSLW0TA3MzKwtzays9M2MtfSmJoU/nBtm4pM5aVJKxtXFvVVv1kbo95RuW&#10;rIieFuJoay+X6ZIZNBaPq6Wvy9EWM+hkPV1tdw+n5JT4rXnZJ5qPX7x64fa9W23dPdWHj2zeWjhz&#10;/gq/4GQH1xlW9iEWtsEK50gHjzgX32Q3/5nOvskOXgm2nspy9Jtl55MCwrPySLTwSDRzjTN0jNKz&#10;DQfhOfuF+4UmRCYtmrN47ZLVm1auTV+xJi0paVZoaISnm7u1haWetoRDo9EJeAaJYKBv7OzklpCQ&#10;nLFpc9neiiNHjrc0t0OkA8n9tU4qC0IelDIDqQyBaQwLTDARuub2rp6W9i4IdsrDVbp7wSvQWatc&#10;Mio5zI7YtS6/7N+/ZmHrA3r72XDKFYNUp/KxclRTtbY/rypyHgLxq8IDwHbYI8jv9evX169fr62t&#10;TU9PnzE9xNXRSVdbCgkPbKe8AJjqSJbxKvpq9a0578Mn5f481ZGQb9+/e//5492njxramjNyshNm&#10;Jtvb2WlrSfhUBl2TwJiiyVLDE0hqJLKGFk5Tl0z2wTNCmKLlNJ21bP1MknYaTrR2KnPlJMqiqcSl&#10;GtQlVOYKJreJKGomi08StQcosht4vZtE+Qt1Zb2fLB/5Se/DJF2o9z/pfpisNzJV/l5N/vn/yj//&#10;h/zFjwbPf9DvJBo0q0uzaNI0oigQR/eZSjLH0SzwdEMyV5/EluHZOjimHp9rrC1ODJ9RUbS76ejh&#10;ozVVewoLNm5Y5+PjLRIJOByO8uwFNlvA5xsbGMp19QQimpmFXlxiREnZroHT/ZevXxq6cLnv1FDu&#10;ttIFyzaGRi0ODJnr4TfHyj7S1CrS2iHe0TvaxS/eLTDJxT/B3jNG4RqpcIu2dY9x9El28E62Bee5&#10;xpk7xkBZuSbaeqQEhsaGRCbFJc+ft3gNqA6Et3jpqjlzF/v5BTo6OFuYmhnpG+hKtEVcrhaPJ9fW&#10;DvAPSkmZnb15S9WBGrAdRDql2HqVhoPH3t5+ZbtvsL/vFDyC+aDzVelBeQDLzzvAlLbAhAFtMB8U&#10;NKDPhm7654s4Ky0CqoMp0IN/2bl/5cLOMYcGpr2xtPfrLvz3FXIe4psD0xuA2Q4D27EHDXiEtFdW&#10;VrZiybLoiEjsttcsGkN1TULlXr3xKvpq9a05792HMee9h5z8+fPbzx9OXThb33Iid3t+fGycs6OT&#10;qUxfi8Xl4SmQ+YgkdQJRjT91ikhD3WUywZ/EXkwSr2Lq5nMMN1Ol69XZy74nzv5ebc4PGrPU8fPw&#10;5LopzCPq7A51fi9B65qmDJz3EoKdpuHwj7LhH2Tvvtd59xedt9/rDP8gffuTbHiy7POfDD//X32l&#10;837U76GadJGNdopM83mG8XxpGI1vQ+FYEuh6BKaOBlWsBkXTYTO1WYwQX+/Crbn7y0rys7MWL5wX&#10;ERbq7u5KoylvBW5gYCASCjksto6WRMgXGBhJ7BzM5i5IPlpfc/32tYtXLjS1dlTVHsnMLYxOXOjk&#10;EeXqHevskWxiFWJoPsPOJdnZN84tIBGc5+QTB8KzcJph5RJp4x5j55lo75Vk65Fk4RxjbBdp5hhj&#10;7zXLI2hx/MxFyXOXL1y2fk1q9saMrWtTsxYuWpGYPAfcZmNjryeViYUiAZvNYzJlYrGVqcncuQsg&#10;4e2vPNjW2gliGxw4A5Lr7OiBtjLe9Q4oJw6eOX3q7KlTQ9AYG/T7opTHQGKd8umzFwaHzkGSA6+A&#10;Atu7ekEho1cw+fmwEZUX/9vXyfxXlUq6qktujo5njg5yjn6QAcyISvNhqz3u7V+tkPMQ3zpfnr0A&#10;WfDt27dPnz598ODB4Mn+rTm5MZFRzg6O0OtxGCwWjY7X0Byvoq9W3+DYJkS9j8pbK0AT6s2HkRfD&#10;by7futF9qr9sf+WSlSu8fHx0ZDIKhaKurj5p0iQcDqdFpGoRqGbfaZr/BRf8AzUGJ1hGla5hG2wQ&#10;Gq3l6c+hC2I0KNOmqPtPmupFmBJIx6+kMDcJJC1UeRfb5Lm6yQsN00/f6X3+Tj6iDHl6DwiyB3jZ&#10;Rbr0Il3nkaY21BN1GdRjdQOom3hzqDaCaaOawRa8XuoP/NBJDN//xJv+Sc3wP36arPkdjYNXuFmm&#10;LEqYvXqub5S/gYOploUuX1dMFynPTDc2NrbWN9EXahuxtay09O2czf2D3DZlbzx1fuDOw0cNLa1p&#10;WTvnL9kQHrPMd9osG6c4U+swc5s4O5dZLt6L3f2We4fMdvKNs3SeYWofbOUcZu8V6+Kb6OqXZGo7&#10;3dw+1NIhHErhFOXinTwtbGlU4oY58xanbcop3FNWXLJvx47dG1MzkhJnenv5Odg5WJpb6epI2cor&#10;hNF0tXW83TwSY+Lytm4vL6tsbGzuBc2dHAQXwSOYD1T3qzWua0b1OxVyHuJbZ9x+Psh5w8PDr169&#10;unn1Wm11TWZaelJcvMLCEtKe6o7Yv1DRV6tv0HnKUmoPa77//Hnk86e3n97fefyw82TPruKiefPn&#10;u7m7S6VS7HJusP5CTRJniob+f/xk8mf1oO+p0TjBfJwQtLeao7uKLZtN48WokwMnq/n9ONlF/XvQ&#10;3gINwmo6+6iG+ARZ9+EkvUc/6X/+yfjzj0YffpKP/Kh7T1MH6gJNWb/lvE6yZSvetIBmkqMpSyBq&#10;hU1m2U+hKn4kEmhTqWycrrmOZ5CrxwwvIwcTtlzAkHH5elo8mUhXV9fExERhYGqqIzcX6lqK5LZO&#10;Zt4Bzqs3rDjR3tB/Zmhv5f6FyzZGxc/3C5rt5h2vcIy1tIuydkx2cJ/r4r3EzWepi3+CnWc02A60&#10;Z+MW6eAV6+gd7+AVZ+MaZesabesaA+XkmegbvACEN2thbmbW1oLdJXvL9u8uLN2ctWXpkpUzZkQ4&#10;OriYm1oY6BnAPz8uJE6RlouD4+yklIzUjWV7K+pqj3Z0dA/0n1YqTTWYibV/tcZ1zah+p0LOQ3zr&#10;fDnC+SXvh99dv3y1u72juLAoPjrG1sraUE9fSyAcr6KvVt+a81Sjmh8/fPj4fjQoj0rw8+eXb15f&#10;uHL5WGPD1u35ybNnObq6SOV6AqaQTeGwp5KpP2ry/99U8fea5j8SrafQfPCcIJo4iqMTw5OGMwWB&#10;BLrHFJzzj2ok+hQaW8OGTHDlMNfh+Jl0acsUWbuG/lOS9WOi5UO80T1Ng/MU2TmyrIet08uWDrAl&#10;UDdI2lBvf9KF+vydIdS7H0zf/sX4nLrp4CT9Uk3ZzkmCZVNYi36kGdLxMpKalE00l/L09IU8AYXE&#10;I9K16HIrIwMFZDxj0J6ZRG6rb+ZpoHCXW+ub6ppYGQaGTl+XtnFzXuH8pesCQ+d6+ifauSRAyLN2&#10;TLJxTrF3n+fktdDRa6GD5wKFW5y1a5zCNdbWA1SXoDyGxS3K2incwi7YyiHE3jXMwzcuNGL+3IVp&#10;6ZlFO3ZV11Yfqq1R3vpga07u8iVLYyKj3F1czYxN5DJdbbGWkMvXEUvsbWyT4hO2ZudW7z/QUH+i&#10;vb0LJHf61Fl4xJw3znNf1riuGdXvVMh5iP+1fPo8/Or104ePBk/25WZtjgqLcLS119GSjFfRV6tv&#10;0HmQ8MB5H5TnfgDvPrx/82742csXN+/eHjhzqqG5aW9Feeqm9JiEOA9vL7mWXIsrEZPYfBxddyoF&#10;yvg7nP5/qjn9RPZQZwSROKE0wXQKxx9HdZus4fj9FDzlRyLtJ1P1qQoSfvEPlDUa3KPfCRt/lNya&#10;YnBnqlJ4D/CGl+jyizQ9cF43S/u3nDfyo9n7H82vEq0v4y0PscwryQab6LINZIm1kGlAxwupalp0&#10;TSYbR6Wrk/kkjoyjcLeDwu6YKmUK7A0tpivcpys8xDIBT4uta6jv5u0VGBLr4Rfq5B7l7htvbhNh&#10;pTwJL8XRY65SeJ4LbFznWDrOtHSJAe3ZeyY6+iQ7eSfZusdaOIQaK6ZZ2gXbOIe5g/AiF85fnJG1&#10;pax8/4mjDQNtza2Haw/v2rFz5bLl0RGR7q5uIDypRFsiAuOJdLV1bK0UUeERm1I3VlXsb21q7unu&#10;A5OdPn0WnAfdKgjv5MkBaHzpuS9rXNeM6ncq5DzE/xqwjnv0CfDp8/u3w+9ev7l9/Ub1garVK1YG&#10;+PrpiLXGq+ir1TfmPFXM+xn4fvD27ZOHj27fvHVm8FRXR+exI0er9h8oLi7Ozc1dtmxZUlKSl5O/&#10;jamjVKzPZYiYdC6TxqGTqWQ8iY0n8MkUAwrNhMm2o7EUZLpCDW8xSY2BIzLwJG0Noh6B5oFjBNIE&#10;i0miFTTtAk1RMVnWQZL3s81u0U1v0kzu4vRuqUuvkrWh7uF1oF5NkUG9/1EP6t2P+iM/GTzTNHmq&#10;YXyZaHROQ69DQ6d1ingdSbRkCiNiEiHkL+o2U9SsJ02RUgiGbIa5qaG1pYlcLmez2XwWz9TAxNXS&#10;0cncTizT4UnE2nITawc3J49we9dQe5d4N59ZFrbxCqdkLOHZe85XuM4yc4g3to2xdp1l6zHX0Xse&#10;lL1HsrVTrLntdBPrae6+MX7BydFxCxYtS9ucs7OkrLrucGNDU8exQzXFBTvXLF8WEx7m4exsbmQk&#10;09IS8/kCDlcm0bGzVkTOCFu/Zm1ZSWlTfUNPZ1ffyUHoTQcHzkDIg85VeU5C3yAa2/y3F3Ie4n8N&#10;ILyPX6Ds0d9/fP/23f07d5uON2zNyY2NjDbQk49X0Verb9h5w2/e3r977+yZIbBdZfm+4sKibXn5&#10;OZuzMzIyUlNTV6xYsXDhwrmJC0P8IiyMFTymiIinEnDKE/ypRDILh4eSaOB0CSRLAgVKMRVnMUmd&#10;RaSwiRSpJgmc56ZB8yFx5mpwFuL5mX+m5E3m1E8VdVEMrlOMrlOM/7bzhn+Ug/aeqBtBXSEZX8Qb&#10;nCTKe/C62XzDNIZ0NpUfq0510iTYTFbTwmtoETSZdJIAVlGFVKStr6NnpCXX44PwREKptqG5jZOH&#10;n5tPtJ1LiLlNmIVNuJ3LLEd3ZcJz8Jhv7TLL3CHR1D4Oys5jrr3XfAevubbus6yd4ywdYxRO4bYu&#10;kd4BCaGRCxYsSc3eWlyx/8iR4231DW3H6lvzszfDZgoPDnJzsLcwVgmPx4PSFokV5pYRoTM2rFm7&#10;t7ik8Xh9b1f3YF//2Il3o9WnrHGe+7LGdc2ofqdCzkP872M08H36/O6NMrucGRiEL9fwFTssJFQu&#10;Vd4v+99T35jzVAetfHoz/Pbx0yc3rl472dN77FBdRcne7LRNWanpmRs2ZqxPzdiwMXNjelb6pqz0&#10;jJzMghVLN04LjzezdaHI9abw+X/i0v6TTfmBTf6OSdAgquMpOC0iQYdCNtYkGqjhLH7kWE7iGKqz&#10;TTS5+lS2MZOvYLFtOdwwPDWGwto1hVNO0r75vezeZP3P/yH//H/130+SQr2ZLIPCjmS5h1fWHSic&#10;8hou9zWkT6Yo68UkneeTdPo1zXrUjPer6xZ9x5/3EyP5z0R7NYLiJw2WuhpbXZ3OpIslYi1dPb5E&#10;myeSCLR06FwhV6yja2RjZe9t6xRuaTvd2DLcxCrCxWuxi/diB8+FCpfZoDoTu1gL5ziFR7Kdx2Jb&#10;98UKlznm9slmttHWTgluvsn+0+dHxCycvWBDVs6OyqqjTSdaG5taqqurIRDPT04M8fOxtzA3k+sZ&#10;6Ghr83kiDkfC5zvZ2keEgPDWlZfuBeF1d3RiN/wGjY3ZDhvSBAv29vSPSW5cfdkvo/r9CjkP8a2j&#10;1Nuv8fr5yzuqkbqqyv0rliyFL9r2Chsmdl+hf0t9Y84b+fTx5ds39x88uHDpYndn16HqmsLtO7M3&#10;ZW5at2Hzxk15WTk7t+Tt3r6ztHBPZdm+mgNVB/cf37vnYFrOjpkLVzrMCNWysVHXFX/HZ/7Ipf6Z&#10;QZiKm6JOUBPiNLVJJHCeoTreUuk8rpEGxwTHA+cZ0DkWNLolnR5BpEeRmfnf03dP4V74P/zrf9H5&#10;/H/0Pv+nwW857y5BF7QHwrurrvN4sg447+Vk2avJugN4i36c+SGiUfkU7RV40WJ1rjeN40ak69Dp&#10;XE0NIpnEF/KFOjockRhMZ2xuxRZKOGJtkdRUz9jW2MLfwibY1jnJ1Xu+u98yV5+l9h7zLRySDRVR&#10;xrYxCvck54D5tu6LFK4LzB1SjKzjjK0jbFyS/KcviEpYuz69YMu2igMHj51oPdnW3lV18FBmZub8&#10;+fPDAv2dFVYGOhI9LZGuWKTF5YDztAWCmPDIVUuXlRQWNR1vAOH1dHX3dvf29/Zho5rQocKj8hQF&#10;6HB7+rs6e8epbqzGdc2ofqdCzkN862D3Twc+qu6dDQ2w4PDw8LPHTwZ6T0LCW71ipY+nl4DLoxBJ&#10;fA53vIq+Wv37nAcbBDujAzYRbC4AGu/evXv06NHZs2cbGhrKysry8vLS09PXr1+/YcMG6MR37Nix&#10;b9++urq6xsbGlpaW1tbW3t5eaNfW1sLMa9eu9fLykkqlQqEQu3kTfC5AU1NTXV2dRCJxuVyvP1H8&#10;/sKwJ7AcSBxdNkPGoutyqHo8mi+P58FiJmnQZhPZaeqcLLyglK5XK7G+o6F3D6//GG/4CGfwWE3v&#10;0VTd51PlL9UN4BHqqZqyHmoo676msj7+YAL1dIrpwx8NuyfLm/4kzP6Bl/4nRsB3BL8/aco0SfpE&#10;GlNbLDKUM2zNWPYWIp4Jl2XAZhqLRdaGxv72jlEuXrPdfOYqXBMtnOKMHCOMHSPNPKJs/BMcpic5&#10;hc40cQoydZlu4Rps4TrdzjPEOyQ+Nnnh/KXr9pRU1Bw61tx4oqm+sa6qaseWLbPiY1xsrG1tbZVn&#10;wYtEbDabokIikSgUikWLFhUWFra1tcEGbG9v7+zs7O/vP33633lJFFR/o5DzEN860Hcrd9+pLs4C&#10;vTl07q9evbp3795gX//e4pLF8xcEBwRamJiyaAyiJo5OoY5X0Verf2vOg+2DBWJoYNqDrXTjxg3o&#10;hcvLy0F44LkMFfn5+bt27cKE19TUBDNgN9Q+efIkNOBpfX09dOILFy708/ODjp7D4cDnwu7TC0AD&#10;FMhkMn2/o/l/z7DFMWw06RIaWYtG1mGSQHueLKYrnZagRplFYG6YwkydwtquKdzLkN9Sl93VlIPw&#10;/uq8KX/Lee//YvThe6NnU82eTP7/s/cX0HEk2bo2/K31f2vd7957ZrqNYmamkqpKUollMduSJbMM&#10;MsvMTLIsZmZmZmZmMjNbZobu+d/MkDVu9VD39HT7HNdee6WjsjIjI6Pk/eQbGWAwJGDQPZeVLMiM&#10;41XfyC+/eq4kW0iCKQCtJy+npS5qoitppq+mbKQkrycro6cgb6jOcDAwXG5uu9V24S4j681GNpsN&#10;7TeZOG1d4LrFfImn2dLNC5Zs0rVepm+30tTJ3cp1vdua7Vv2nfLyj4iIyyirqK1vbGtqaCrMK4gK&#10;CTmyb98qVxdzAz2Ympoabhy1AeqjHgB+bW3tlStXHjt2LCUlBY8LLS0tZGnyzs7OGaGW61+Jc5nH&#10;ta/dEMSnUrSBfLdv30aATk9J3b9nr5WZuZa6BiXvRMVEBITEhUVmouh38z+UeV+2AAN4b968efDg&#10;wfDwcFFRUXh4+Llz5/z8/CIiIuLj47EHZQPYIE16qVkgB6BLYEjjeAgU1C1YmJ2dDbW3ZcsW3I6S&#10;khLuTlpaGhEfCZAPWwteKUs+aY6olI6QuLKooJKIIEtYQEdMeImwhJuQ+N75EkeE5H14Zb3mSvrN&#10;lw4TVr7Ex7gqyLwjrAO/z8++x8d6DM7x6xLaPaF9kp/yhwKUP5/NejFX+wmf3lN+/esiRpcF9ZvE&#10;DepFOMGiWmfnKy7mlbD7TkBdSIQpIamopqSqCQGmr6SkKyOnKynDlpA3VGJYsYyXGdms17FYY2Cz&#10;wXTRFkvXHdZLPC0WbzZduNbIYZWB7XKIPBtXD9e1O7fuPekVGJuaVVRa3dzS2tXc0lleUhoaFLx9&#10;0yZne/sFehwdhjokr5SUlLCwMGgH5sHwc0ME6+vrOzs77927NyoqqqqqCsBDBVKy72fRlutfg3OZ&#10;x7X/TgaRh1COp+mkpCQAb6GDo4qiEjWvtKiYJFlO79vTeV/SjhiUMa574cKF5uZmVJSPj4+XlxcU&#10;HuQdNB92trW1QdIhNA8NDYFz2MK6urpGRkbGxsawH/xD1M7JycG5K1asMDMzA1IAPDJdC3Qe7tR0&#10;rpg5jySYpysiqSImrCjMz+Dn0RTgceYTXiwgup9P6qSESqCQkvd8aZ85EoG8shPzVIG9W4Ls28La&#10;n5nHfsqv8w+Y93Ku9lM+/eeChrfEF9wQM+mUM2uXMY1XMg4VZ62WUAH2tMQkNPG7y0nBATwVZY6C&#10;sgGwJyqjJ6lgpMh01DJYomu51shuk7mLp/WSnVZLtpq7bDJZuMbYEfJug8OKrUs37N283+ukX2RM&#10;amFpVXNT+0B9Q2txSWV0ROSenbtcHOwNdXRYqioMJQU5OTn8xLh3VALSqA2kBQUFoYPZbPaiRYsO&#10;HDiAGsbjAioQTxIzQi3XvxLnMo9rX7tBtZD2upcvX0LhIV6HhYVt3rzZ3tqGw9aWk5YB88iiClJi&#10;EjKSUjNR9Lv5H8S8aR08DT/SqgloFRcXQ3z4+voCeIBfYWEhhAhoB6QhLhN5h+iMNNQJdoJ5BH49&#10;PT3YDy2Ylpbm7+8PtbdgwQIIHdwjETpIyPPwqwqJakpJMWVldcQltISEzL6bb/rneev+F8+m/xI8&#10;O0sqTFg9XETVf77sqfniXnxSXfMU+wXUzgszL4lp3xBi3xBigXwPBHUe82nDn9BO0oR8dwUY9wW1&#10;JgXZj4W0nwjqPRbg3BQ0uCGg3ylu2CSgHSnCCJinsEFQZtU8kQXz+QxnzVWSVVVX0lRT56iq6kgp&#10;cySVdCU1FsixrXVt3Q2dPIA6KDyrRessF661W7TW0WW965rt7lsO7Dx89mxwXEJ6YVFFU31zV0tH&#10;f0Z6TnBQ+N5du5ctWWpttkCPzdJSUdZQVFBWVkYNqKmpaWpqMplMDQ0NCF9+fn784uCfnp7e8uXL&#10;T5w4gRrDMxkeHWaEWq5/Jc5lHtf+GxjC+osXL65cuYJokpCQsG3bNisrK1VFJUVZOUBOSkycrCIE&#10;8lGCbwaKfjf/g5hH+vXApuH3+PFjstBgampqaGhoUFAQadIEw1CBwBtpfyNGaAfIQfCBeUAdeSOF&#10;RGdnZ11dXWlpaUhIyPr1683NzRHxySs93KnMPB5lAWGGlBRbTk5PSlpHXNxmvqD1PIG1NPPOzZGJ&#10;FNOMEtcI4JUD807zSLbNlu3hURoX1LwoBuBRTjFPYIpzP2cegHdfiGIe5fy6D3m1r/PrXePj9Eqb&#10;AntpCgYJUtr7FLW2iCnYCImazOWRl1JWkVcH8NTVOQoMY3kNIymGmbSmOctyOcdutYnTOhMnDzN7&#10;dwvHNU6L17ut8Fy+Yc+WvafOBMQkZpeV1bbXNvdW17eVVjac9fLdsX3PksWuNpZWCwwNdJlaYB5D&#10;SVFbW9vIyAiVADM1NeVwOEpKSvi5gT3UCSgIqbdr1y7UFX56PEzMCLVc/0qcyzyufe1GOq1cvnwZ&#10;GgUKb+fOnfb29lpaWmJCwuLCIhTq6CZNapSCqLiokPBMFP1u/gcxDwp4OgHswe7duwetBuBFRET4&#10;+fmBeRAf1dXVUH6kSRMGpMFImoZgH4BH0qSpk4AQx3R0dBQUFEDtbd261cbGRlVVVUxMDNgTExKQ&#10;EhPREBfXkpKyFpS0FZbePlt61zw5//9XIuR/y+bMVq8U0c+V1EniU/Xhk/Hll62ZLdXMqzAgrDEq&#10;wboiyr4swr4tyL4jNNVv5efkuyauDn8gxHggqPF6ntaruZpvZ7HezGI9FzB6wqc/LGbQL6SbI8VK&#10;4lc+Pl9835/4dEQk4ZqS8mxZZQ11HS1NPUW2iTzTWFnfRtNsoYHNUmO75RbWS6ztlrs5r3VfTi2G&#10;t/vg6ZCopIKyurqmzrKqxsTkTP/AsG2eO5cvX2VnbWNqZKyjxVRRUFCWlWUoKxsbGzs6Oi5ZssTF&#10;xQX1AP6hKlAPUHvQfwDhpk2bzp07Bz2NqqZq8mfRlutfg3OZx7Wv3aBarl27Bo2C2A21AYWnoYFI&#10;Ky4iICgM5xcUExaRk5JWklfA9ltmHunXCrt161ZzczMZnODl5RUQEADm1dbWEuCRJs2fG/AGYQfO&#10;odijo6NI43ikAT+ovYyMDB8fn7Vr1+rq6qLyBQQo4MmIi6qKiqqJiVnwidmJyu7nVz4mphk3Ry2J&#10;V6tCRL9FwbJc2TRLjBUsqgyv/l6iiUe+X0j9X2WemBocwKOYN58Jfz9HB/5aZMELIeMxKeNhMf1C&#10;eU6mmKaPiOJJXkmOmDRLUFxZSEJDXFZNlc1mGqhyzJV1zCQ0KezpWiw2tF1mbuVmZbts8cLVK5du&#10;WrNx594jXhGxaUXlDZW1LSkZ+SdOents2LpmjQe1QpCllaGevpqioriQkLSoqIayEqgG4K1bt275&#10;8uV2dnaEeaKioiwWy9DQEDu9vb1zcnJqamrwlADRPCPUcv0rcS7zuPb1GoI4gHf9+nUoPOgVAA+B&#10;BlGGn5+f6kA4Azl/uP9BzIO9e/eONGySVZauXr1aWVkJkUePTQiOj48vLi5ubW398jXev24gX0tL&#10;C545ioqK8Csg7kNky8rKyktJiArwyc+aq84n5DpfapWwUhAPI1ZMv3Yep1VowYiE1YikVbWkQSG/&#10;VqSwSoSQUun/EYLU6+ZTHhLVvCxCYe+ukM49Ed2/x7yr4mrwB0KQeurv5jHgf/mOCf/wZ9an79mP&#10;+TiTfJwxUc6QIKtOmFEtoObOK7Z8rpD1XCGLWfwsISlDKSUWU19fz1RKlSWvyWFwFnAW2FtbLrK3&#10;dXWxodxz257dew95nwtMSs5IT8v28w3auHHLwoUua9zXLHJaZGZiytHW0VLXUFVU1lRV57C13dzc&#10;ADZ3d/elS5eamZmpqQGIigwGw8DAAPtPnz6NBwvUEh4dKODBfhZtuf41OJd5XPtK7ccffwQwLl26&#10;VF1d7e/vv3LlSgQaKDzSWU5K6o/rq/L3/I9jHhnCiMSbN2+ePXt28eLF0tLSsLCwkJCQ8PDw5ORk&#10;FIbqPU+/xptC2b9sQ0NDwB5Oh9pLTEzcvXu3vb09Ar2CtKSYoID87HnqfIIucyWWC8j5zVaNENRu&#10;4jfqFLMA8IbEzMtFdbLnqgbzygXyyFR+J9YwT7ZPUG1EnHlZlE0zT/vfYd5jPr1xcb0RYe1GMWa9&#10;sOYueY0t4goLBaWs5ghq8omxhaVVlDU1Gboq2kbKbEMVlpGatglHd4GJkY2DmeMiK2d7x8VOi9xW&#10;r9mw/8DRE8fP7Nq5b/myVfb2To72TpbmVhYLzBxs7FwcFzo7Oi12WrjUxdXZ2RnyDmrP2NiYzWar&#10;q6uD/agHDw+PU6dOAXhE4VFNxgMDqLEZoZbrX4lzmce1r8Wmux0ifH/8+PHp06eItmVlZb6+vitW&#10;rMADtbS0NFAH5gkLC0PtzUTOH+5/NPNgz58/f/DgwcjISH5+PoAXGhoaExOTlZWFcNzV1UWJD8iP&#10;X2hkxF5PT09nZ2dFRQVQumvXLjyCMBnq8jJSynwCagJCjnPFXPikT89SDBRkNoubt8tY90tbdYia&#10;ZAtqJnwv7zVP4sxccaoPC6/yhJDmJTH2TWFt+AMB7YdCuj+nHenDckeYAX8kQPmr+VrwD3NY8Lff&#10;M9/NYr2cr/uKh/NQQO8en85VPvZlHmaBlHaaoOqJedK7/xev/Z/5Hb7j1xaT1ZNS1Ncz1mbrqTLY&#10;impammosPW1DO2NLZ0tHA46+LlvHUN/AwdZuyWLXxc4uTvYOSBvq6Rtw9KzNLVavXLV7x869O3dt&#10;27x18/qNAB6Hw4G2k5GRkZeXx+OXiYnJwoUL8feZmZkJGY1aIoZKpvoB/Szacv1rcC7zuPa12PTs&#10;We/evQPwxsbGEKxPnDixdu1aPFmDKMCJOG0iIiLA3kzk/OH+xzHvw4cPqDpU4OPHj2/duoWYiygc&#10;FBQEPkGZFRYWNjY2IgqTcDyFsl9ivb29EC7YtrW1ITfQFDfoZG9jwNHWlpTWEBa1myXsNE/85Hfy&#10;AQJaLRIWbdJW3eJmTfx6qfNVYv4k7TVX/Ox8yV5e5SEhDQDvioTOLRGdf4t5s6eY90hQH9i7KcS5&#10;IahbIsfJEdfyFVE9NkfSjVfSea4oW1QW2APwmFo6arTrsvRNDc0Wmtu72TpbLLDQ0+EwGZo6LDY4&#10;Z2xgaG66wM7ahq3F1NZiQeetc1+zf/fe3dt3AH4uTguNjIyg7fDIRf4OwTxQcP369ZGRkVDVqFjS&#10;pEnqGZU2I9Ry/StxLvO49rUY0XnkHd758+cRR44fP+7i4mJgYKCmpgaFB6KAKwg3EHkIPTOR84f7&#10;H8c8yGKyhci7cuUKBFlqampAQEB4eDgSqMmWlhbyMo+E419kiOM4d/p0CJqCgoK4uLjNezwdlzlz&#10;dJgKclIsHn42r8CauRLbxVRTFUzSFE2zpfWThLTO8cudnie5X1T6sJT8BV6NK/Q8LHdFdR8K6gB4&#10;gNwzgb87D8tTXhb8CR/lk/xsOGkFfcir/YhCI+cJv95zPn34C17957z616D25mvVCWiVzVY6xa+4&#10;/zsxS14x0zmCDBkFloIqi8k2NDS2NrdysnNY5rBohZPLkoULrUxNdLW0tFRVGcrKGspKbIamsZ4e&#10;i6HF1mSamyxYtXzFlo2bVixdZmpkrK6qpqKiQoal4y9QWlqayWS6urru378fTxVVVVUD9HQ2ENMw&#10;1BK3D8tX61zmce1rMSg8AO/hw4cIH4iq3t7ey5YtAz+AN0QZxBrqHR4dcYAW7vu8L40wDzrv3r17&#10;Fy9ebG9vB+r8/f0jIiLS0tLKysqam5uJ/iCh+RcZzhr6PF0L2ULtVVRUBEQFbz+0e9FCOx22pr6w&#10;GLC39L8E1s2XipHQiRHXSRDQCJ+tcHyWKBzMOy5Lzz0mRDNPRBfAu8/PfsKn80yA80uZ94hPB/6Y&#10;FwIRvNR7xqsH4MHvihrcEdHvljVqEdUJlGYdmy9rxSdu9D2fvJC4mqScpibTyMjEzsrW2WHhMkfn&#10;5U4ui+xszQwNdTQZAJ6ynJy8lCS2THV1Iz19M2OTxQudt27avH2rp6uzC0tTS1yEeszC7ysvLw+1&#10;x2azraysPD09IaZJ/6CRkRHUFdQwDDWG9IxQy/WvxLnM49rXYi9fvrx//z5CRkJCwp49e6DwOBwO&#10;Qgw/P7+wsDBQN20IPbCZyPnD/etg3oULF8AkoI5MsIkEdF5jYyPRHyAWDbJfYNB5o6OjY2Nj4CVR&#10;MEh0dHRkNJWdS43cdHiH9QonYz2WmqLUAl5BCwGRg9IaByTVjgjI7potsub7+R6zeddIim1VVrgx&#10;j3Gbl/mQRtpjHjb8Ba/Oa2i1vzPH9Nu5OvBnPJTfE9SFXxfhUC6qh+0dAc4dfs6TeZS/nqMH/8s8&#10;ym+LGl0V0M2Q0onmUV4lIu/KI64mKMoQkVCSV9BU19DX0TU3MXWysHKxsTPSZuky1NnqqjrUVk1T&#10;WYmppqbHZi11cfVYvebIwUMhAYG+53w2eqw31DOQk6YWl8BPrKamtmDBgiVLluzatQvVS+qWVBHq&#10;iqhhJFBFM0It178S5zKPa1+L3blzB4E1Ly9v7969lpaWeJqWlpYmM/kSeYc0+Yg0933el0aYB6FM&#10;mAedl56ePs28kpKShoYGUOrXMQ9PIRAxMCRIJtiJ4N5woTe1vtgryn/9QU+3RXb62gxrITELAeG9&#10;Ysq7RBT3zhXb8n94lv1/f175f2etEBbcICd9fa7GLR6tB3zsBxBtPKwp5gn8YubdoJinB+bd5tOd&#10;nKvzeK7Oy1m6r2Zxfpit/cMs7etC+lf4dLJl9ZJFtLYqsjbIajDFpcE8KXHKFWXlWQxNcz0D+wXm&#10;6vKyGgpy2upqphxdc0ODBfp65kZGdhYWu7ftOHP8ZHJ8QllxSWZa+uEDB22tbBhqGnLQgvLyZL4V&#10;MqN0dXU1qgUiD8xDxaJmkMAzAXaiimaEWq5/Jc5lHtf+UwbZgSgMm+6QSYx8/HLn8+fPr1y50tXW&#10;kRATt8Nzm7Ojkw6TLSEiKiIgKC8jOxMtv7WTKTrFhal5y2QlpeSlZWWlpKXFJYX5BSVF6W9FxcXo&#10;5RrkpWWU5OSnT5zpfxDzUJOoZCTevXt39+7dmzdvIv7i0SEoKAjMS0pKKigoqK+vh87DfiJH/rb9&#10;bBXTaacW+O4bHOgfphZBHRjp7R3o6uztuzxR3taYnJ/tHx2+dcd2fWMjBWlZeSkZTRlFtoIqS0xO&#10;Ya6AyiwBjqi8hYyGmbRahKBSgqRmqyinR8bkKZ/xE16jH/+s+8OfdX6Yw4a/4Nd8wa/1SFRjUozx&#10;SEID/mGW2vvv1R7NV4dfE9K6Icy8IaJzU1T3IT/lz3l04KTnywNBNvzHWQY/zjZ4zaP/ch7nIj97&#10;dI56kYByHo/8Ph7RnbP5zQSEjObzSklJKCrKS3LY8sb66pJqLHmmgbKusbqBpa6Zm7XLCnePDZu3&#10;Hwz0D0xLiS3K909NPHb8pPvqdQ6cBWwpZQaTbWBsunjJ8n2HjkTHJZRWVLd2dCFizgipXP/Kncs8&#10;rv2nbBp4X+LtSyP7P3z4gDCNiJyckLh3125rC0u2FpMsAAvSADMz0fJbu4SomIQI5UhLi0tIS0hi&#10;S+bwlBKjxAFYSKfpb//Bug1/nM4jzENNTk5O3r9/n8hlMC88PJysDVtbW/vPdd7PUEccnAPt+noH&#10;+/tw7tTH3p6B7gujdb0dJfU1KfnZR0+dsLC1VpZTkJGQVBKRVBWX0RSWUuYRUZ0jpMUrri8kZyiq&#10;cO470WAe2cq5as3COg/n6k3ON6CA9yedD99pffhe6ymPxlNejXuCKncFVG4LKt4SUPg4W+PjbPXH&#10;vIzHPBrXAbwp5un8PeZ9+k7vh+/1wbxX8/WvCgN7rCoJZrkY46iQNLBnJSJqwssnKSkmKyctzNKQ&#10;4LCYclpsBRZHgW2kqmejb7XG2X37rv3HT52NKy6ILS7wSYpbf/jAwkUu+gbGBoqaTAlFcysb12Ur&#10;9hw4FB4VU1hS3tTW0dM/2D/MXRv2v5lzmce1/5T9U+AhRr9+/frOnTtNTU0Izbu377CxtJKTlhET&#10;EgZmyJzRv8M6CbTCEwfqEK+xhdRTkJUDdBmqaorQLTT86G+pyaypg3+Ww5T/0czD9tWrVy9fvrx8&#10;+XJhYWFgYGBISEhMTExmZmZlZWVbW9v026a/bT+jHfHhoTHEBjAPTj5CLiLRPTzQMdDb3ttdWV/r&#10;HxDg6OSkJCsnKiAkIyAiLyyuKSHHllGC2lPlE1PjFWMKSS+ZzevOL+LFJxcirVUnymmRMbkganRR&#10;zPiigPZlQd2rItrXRHVuCzFvCmjena92Z67KGx4m/DE/C35HiE25oDZ8kl8HTto8p5gnwIa/mKX7&#10;ag7nJZjHZ/BAxOC+kN6QlN6gBCdOWCWMR3atoNSS2QIMAWGGoIiknJysoqKqGlNFRVNTlWWka+Lm&#10;6LbXc2+Af0hyUnp2aVl0auquo0fNHB1VVTQU5JW0lTUNGTpr1288eOR4bEJSRXVdexe07jBi58Aw&#10;d/2E/2bOZR7X/lP2D4AHe//+/dOnT69fv97S0hIcHLxhwwYHWzvSQU5UUIjWXqJI/x7r4dHAk5WS&#10;Jk2Xmmrqhhw9ywVm9tY2Okw2UIeSEBZKi0v+o/L8ccz79HlphY/0OvK3b9/G1cE8WGhoaFJSUklJ&#10;CRmu8I/6bf6MdsRHhscRG3DqFPOGx7AH5Gsf6KWY19dTWl151tvbxtZWVkKKfx4PgKciIWOkqmXH&#10;MbZl6utKKWkKSrJEZFy+m7dkDt/h70XPCSqV82k1ShicFza4IGI4wcu8yK99VZh9Q0z3nqj2PVH2&#10;IwGth3yab3hY8CcCbPhdYW0w77Yg+7YA+x8z7wWPHpj3UITC3qis4YiMQaacdqKY+lYplVV84kwR&#10;MQ1+IWEJcRFJCTl5VQVFdT2WgdvCpQd3Hgz1DU1NySwqLDvh67ftwEH7pUvUqRHoKlqa7IXmtmsX&#10;rzhx+mxUbHx5VQ2CZv/QSO/AUE//EELnjJDK9a/cuczj2u9nhIIwxOVnz55BjkDhQYisX79eX19f&#10;XUVVUU4e7JGTkoa8A/ag9n4HnQeXFpfARVUVlfW0dRxs7Na5r965bTvc0dZeTUkZ8g5cpBo/RcVB&#10;vhnn/tW/AuYRm5ycbGhoCAsLA/MCAgKio6Pz8vLIsPRfwTxK59Ftm9RwdqLzSPMmva5sdVVVQlz8&#10;7u07zUxMFaRlxQSFVWTktZTVzDgGztb2i63trfSNDTSYuioaTFlJLRlxS2FxBym53VLqR5V1QhU4&#10;4Ur6MZLMeBl2oZROmbxBn6ThgLTxdRHKbwvo3BHUvSeke1+Y81BI94GgziM+1gMe5hM+Nu0U7Sb5&#10;dOCP+Cl/wMt5wMd5wqv7lJfznIdq/LzPr3uPT7dPXK9dgBUppukzV24pn5TT90LM+UKac/jnS4qL&#10;KCkYWVp47t0bGRmdkpKWnkT56qXuTjaOetp6Gioamposayu7zZs8T530SkpNLyqtaOvsRsjsGxzu&#10;6h1A0ERiRkjl+lfuXOZx7XcyQrsffvjh7du3z58/v3TpUlVVVUhIyNatW83NzRUVFYX4+MWFRWQl&#10;peVlZIEW8v4MKJqJlt/acSGIOVUlZVNDo9UrVp44cjQ6PDIjJTUhNm7Pzl3W5hZaGgwFGVkxIWFR&#10;QWFqxaKf5TDlXwHzUMPYvnjxoru7OyUlJTIyEsxDJafRawl1dHQAVFOE+7n9jHbTTvqwYIvwgI+9&#10;PQOdnT1tbW1lZWXRkVH79uxdvMjZgKOnqaqurqSio6FpyNa10Dd2MLNa4eSyfunKNS5LXW0crHSZ&#10;hupKYJ65oMi6eeJbBOWP88qf4FPwnSvjP18uYa5cKq9y3Vy1Zj6tiXnsC7w61+Zr3eBl3eHXBvYe&#10;ClLMe8j7j5j3kE8PzHvMo/N4vs7TedpP57Lv8mrDB6UMe8X0khX0gb31UupL+aR1+MW05grMERMR&#10;UZK3dHQ87u2dnp6VmJDs6+VzZP8RByt7I11DhipDS51pamLu7r72rJdPakpGbUNTa0cXYuXgyFjf&#10;0AhEHoDHbdv8b+dc5nHt97Bp4MHIuOnKykovL68lS5YYGBioqqpKS0tTqwIJCRM5JUWvh0d1GPnP&#10;rwGrICunrqxiamS8yWNDVHhEY239+PDolYuXhvoH0lNS9+3as8RlsZGevry0DIXkf8Dgr4B5Hz58&#10;wBZPFWNjYygAUBccHAzskTVjIf4AqinC/dx+hjri/X008PqGkIbCQ7q9vaupsbWioDguLHLXlm32&#10;FtYcLbY2Q0uPrW2oy7E0NbOxsDQ1NAYF3Ra7njx+wt/X79iRo4tXLDWztdLVYKhIy2iLSOqJyywQ&#10;lzEVk7GTkIWvEJJxF5U/xqfsJcJIFtBOF9FrFGS1iOiMCumeF9V/KMCBP5vPfDpP6ykfE/6IGqIO&#10;p2j3hBfyjnNdSBf+kIcNfzuL9W42++Ms7U+zdR7xcB7ycLokjFqEdMPE2V5z5d1nibv9bz4RGXEZ&#10;FXnLhbZHvU9GJcSdPHd23Up3e0trK7aBsRrblMFxM3fYtH6L1ynv+KzsipYWhEhwrn9oBJyjfRRp&#10;+IyQyvWv3LnM49rvYdPAQ3SemJhob2+Pjo5esWIFaEcmjJaSklKSk4e8A/ZEBASpYQM0XSD+fsKV&#10;/4Brqqnr6egCbL7e59qaWp5OPv7LDyjxX968eNXb2RUXFXNo335XZxctdYaMpJTi1zdWgdQqSYN2&#10;2L5//x4ymkwSFh4e7u/vHxUVlZOTA2FdX18/Rbif289oR5y8yRugByrAIfJamttraxpSYuJPHTrq&#10;bOugrqAsJy7FUFI10OGYGRq7LnKBLzA2YWlqLXVbEhsVXVpckpaSum3fLjf35Rb6BpqKSjqiUrpi&#10;0sYikkbCErbiMtZi0m68Ekv4JPbNkj7KqxQzTyORj1XLx2gQZA4LaE+I6D3g130ooPtsPusfMO+a&#10;oA6cMO/9HPbHeTrUKPX5+g/m6z7i1euTXdAtaRwnb+AvoOYxX3rZfwnJqiooaCibOVjvOXbwXFDA&#10;ll3bLU0WqCkosaWVdeXVHQ0s9nlsCw4IzcnMq2xt7ZmYoF/gDcIRNyH14L0DwwigX8ZTrn/9zmUe&#10;1/5dA8+mUj81sh9bhGCy59GjRx0dHYDBqVOnnJyc9PX1GQwGaCciIgJgzETIb+3iIqLy0rLyMrKQ&#10;ayICQgCYqqKSmrKKmbHJru07UpOSm+sbLl+4+P7NWwAP/u71m7s3b/V1dRfm5Xuf9lrm6gY0aqio&#10;igmLQIPKSUlLiIoJCwgiK6qvDS7xx+m8L+3jx49v3rx5+fLlhQsXGhsbk5OTofPOnj2LbUpKSkUF&#10;FEtLZ2cn6cPZR9vnzpwj3d19Pd39pFtmZ2cPPo6OTIBzpOsmaEeJvLauzMwc77O+m9zXOtvYG7C0&#10;dRlMoM7Jxs7R1h4Kz9HewdLCwtXVde3atTv37M7KyWloaY6Ki929a9/KFaudrBwcLOwWWdq7WDsu&#10;Xrx4zZo17ps3uLqvcHCwMzIyWKCgZiCp4CyqskKO5c2nCK8QZrcqLLjJp/tAzPiTiMHj79Wf8gF7&#10;WvcFWfBH/LrwF/MM4NdEOXAyqv3jHBacrD30wzzOp7m6t4WNbgkZtEgaVfGzouarBvyXtIGElK6o&#10;OIeh5mxjYedsp2uso66hymCoW7P01y9ccnrLvhSf8IrS6qb61rKuzvaLF2aETq5/5d7Z00d5bz95&#10;80o/rwyRnkcj4xewAe1Av84eqkfSvYeP8X+Hyzyu/UoD5wjwiH2g7fXr16Ojo1AeZ86cWbZsGZPJ&#10;VFBQkJaWFhQU5OPj+x3mVZGRkIJ2lJWUhogUFRKWFpdgqFGTK65zXx0dETnUNzB5/8H711PAI/7D&#10;+w8P790f6OnLycg6fvjo4kXOwB7EKDKRlpCUEBGFKhUTEgFE4V8J86D53r17h9q+f/8+YIYKh8jz&#10;9fX18fGJjIzMzMysq6uDBCT9WWA4BobE6OgE/vf39w0ND1O9VAA8QG5kZJx018T+jvbuhvrmgoLi&#10;AP/gbdt2WhmZ6mmy1OUVGYoqxhz9hTb2bs4ucCtLS3MzM4j43bt3Hz91MjM7q7KmOiYhbr3HpmVL&#10;Vy53XrphpcfezTuO7T6IRx+Q+Fxo0DHvM7t27Vy2bKmLrpGJrIrVPEmLOeLHZ0ke+16iYL5ag7Th&#10;dR72fRGjj8IGT2Zp/FLmfZpinuFtIcNWaZNaIZ04fkbYLAVDSWktPgEFcWG2qqIaS1VaSUpWVkpN&#10;TXmdo+tJzz0JXsFVSbkdrV29nf3V/X0dly7OCKlc/8r9py3PwxB20OVwinkTF6DwwL+h0XFsh8cm&#10;Jp8+x/8dLvO49ssMnCMNmNNG9r969erBgwcAXnZ2NlkqAVQghADzyKRiv8Oc0eLCokJ8/CICglB4&#10;CrJymuoaixwc9+7cFR4c0tbU/OLpM4pzP/xIbynaTZPvyaPJseGRsuKS08dPuDkv1mVpqyurTvUs&#10;FaNePZLRhH8U81DPXz5hIA2pB22Nar98+XJDQ0NGRkZYWBiwFxgYGB0dXVRUVF1d3d7eDtSRIeoE&#10;fmOj5yHmSOdMJHp6+sE8Aj9gr6Oju7KyJiUlHQoP9LK1dVBXVmGoqmkzWaaGxva2dq4Anqsr3MrK&#10;ytraet16jxMnT549dy40PCwqNsbH389z43bPjdsOb98feNI3KSQ2KyY1LSM7J68wpqQgLD/7VFrc&#10;9qBz7rt3WC5zMzAyVWcwnQQl7XjFfHkVExUNRvlYV8QM3wlzHs9WnxRgwG8LM+GP+Djwd7ON4LeE&#10;deGkzfPNfC34pzkM+Md5rA/zmE/4dJ/wc65QQyN0WuZq1f6Xyj4hFY8/CevPnm80j09GVkRBUYKh&#10;p2XuaHli78GksKi6jKL+yubRoYnhgfHqocHmC+engynX/1v44Mj44MjUa1eKebTCg9ojbZvYgzSO&#10;oZl3fvLpC/zf4TKPa7/MKHH3RfCF4MDHt2/f3rp1q7u7G5F379699vb2LBZLVlaWtGfKy8sjLSMj&#10;Q63S8jNK/bYOkSdIM09NSZnD1ra1tDq0b39+Tu5gb//923c/vnv/6d2Hd69ef3j77sePn+DTjZwf&#10;37579vjJjavXyoqKTx07vnLpMnMTUxUFJShFeqw6PW8LyPcHMQ/1PP14QQzVjj2k5qHnKioqUlJS&#10;QkJCIKrIcL3c3Nza2trOzk6gDtgjBtSBbUAdeXtHdV2hxyf0dPdD4QF4CfHJR4+cWLHc3dTEXJPB&#10;UlFQ1NfRdbJ3WLVsxaoVK8E8WxsbKDw3N4DPddPmzUePHzt45PDWbZ4bt2ze7Ll1z/a9xw4ej/IN&#10;K0jOaSyuaa9sqq1vrq1vymtryu9oTm9viK4pCUlPORzot3nr9kUubouEpa3nCZ2ZJR0rozs8X+uC&#10;sN5rAe3JX868D/NY7+cyH9PMuyZmfFnIoEdAr30+66Ss9nYeORNeAeP5/ApKkrp6mguXL/Lcvz0u&#10;OLymsHSopm2iqWds+PxQ/1jlQH/DOLd/5n87H6ZRR2g32N0Hpxo5O6nVfMewBwkc0IFHukFu2ybX&#10;fgsjL5bu3LlDlnM7ePCgnZ2diooK2AAwCAgIQN4hPT159AxE/ebOUFUnCs9QTx8Kb/P6DfHRMcP9&#10;Az98+PiXTz/+BeB4/+HHD5+m5d2rZy9I4hOFw/dA4MXxicLcfB+vs+vc1+jrcpTkFCi1J0KJPKqL&#10;6deh86YNLHz8+PGlS5fwwFFWVhYfHx8cHBwUFAT4IZ2fnw/sQe2R0QsjI1P9M+EQeSPD46OjE6Bg&#10;d1dfa0tHeVlVbGzCoYNH3VyX6esZqakxVJTVNbQ0jReYuri6rnBf5bZ0qb2jg4WlpZm5+YYNGzw8&#10;PLDdtm3b+vXrHR0d7WxsV61cufnAviN+PqnJabXV9RPtA9f6Jy4Nnp/oG+seGx+4cLHl8oXq4cGC&#10;ttaYooIjPn7LN23hsLQUZaU288mcUOG08jJ6hHWe8DHvz1F7IKQOvyGqBZ/k48B/+M4Y/pBfBz7J&#10;z4I/4WfAn/Krw58LaD7l15jkZT7hZz0WNHgsoH+PR//2XN28WZqJ/6/s6j8LLv/fPCpyoka6GnZr&#10;nTcc3Z6UktjQ3DDe3j/S0jPYPzrQN1I1ONg4AWUwI6Ry/at2oO4Ln2rYnGrbHKfeznb1UsMr27t7&#10;ccCd+4/wX4bLPK79SzZDZEzbixcvoDM6OjogLPbv379w4UItLS3SYwUGyInRhjQ4AZuBqN/cqZd5&#10;UtJsLeaSxa5HDhxKiksY6Ol98+LlFOQ+/TCVoJ1Se2Ah+fjxE9Xm+cOPTx9Njg+PVpaV+53zWbFk&#10;mamhEUNVTUpMXFSQLvzX8T7vS3v37h2wd/36dWAvLy8vOjoawPP39w8PD09OTgb2IAHJMkMQfOS9&#10;3dAQ1WNlfOzC+PiF3p6BhvrmnOz80NCI3bv2ubi46XEMVVTUVVU12CxdC2srh4VOi5e4wRe5OC9a&#10;7LJsxfK1Hus2b968devWlStXQu3BrKysbKytN27YeCIoICItpbqipquj50rv2M3hS5eHLoz1DHcO&#10;j/SfvwDm1Y0NVw8OFLS1hCYlbzt81MzIQEVedv08icPyrMY5qh38WpM8mg/nafxi5glqPeXTeMSj&#10;BewBeE8EDR4JGD/gNSjl1c39nrFNQG7Nd0JKMsJsDXmOk6n9usXRcdH1jfXjHf1DzV0DvSNDA+P1&#10;Y2Ntly9/GU+5/vU71apJNWx+btv8rPmQHjt/cWAYUm8IW5APR95/RP0/5TKPa/+SkTbMqQ80AhFq&#10;X716dfHixdbWVkiKHTt2IPCpqqoCeKACWYdMWloaW4I9siTel3z6T7iMhCSLoem6yPnU8RPFBYUX&#10;J86/e/0GSPvx46dP7z9Qau8z8JB+T3/1E//hxw9v3r589vzuzVs1FVV+3ue2btzkYGOnoaomLSEp&#10;Jy3zFTIPv8v79+9fvnxJ5njLzc1NSUmB1AsLCwP/EhMTMzIyioqK6urqIPg6O3pIqya2/f1DAF51&#10;dV16Wtbp02c3bdxqbW3HZutC3ikpqWqzOZYWNm6rVy5bt3r5utVu7itcli1xXbFs9bq1m7ZuWbNm&#10;DbC3yGmhsaGRnZWNvbWNi+PCfTt3n8yOi6gvqu5oaezrBlEu9gxfbh8aa+jubu4a7Bxo7x1s6ert&#10;6B+GFxSW+/qFMO3N+dTlneYJr5fXKJ2lUMvHeMDHmBTQuiesBr8upgmf5NOD/+XPJnAyGxmZn/O+&#10;EAN+R0QN/kBM866w+n1eDfhzHt1XfHrv5hu+nWdwhcfs/GyjIHHm0e+l1KSFtBTE5cw0tRYaHfY+&#10;mVmW39vU0dPU0d83Mjx0vnFsvPUCtw/LfzMHzwA8cA5Ua+/qbenoamrtaGxpb8GHgeHOnn5q0tRB&#10;KoEjHz5+iv8vXOZx7V8yMG8qRQfZt2/fPn369OHDhwBeZmbm4cOH7ezs5OXleXl5+fj4gDcBAQFw&#10;DniAwhMUFCTrwQIYMxD1m7uhnv7Sxa4njhzNycgaHx55+/IVMPbx3fsZYAMCpz/+8CULP/5AOZ2+&#10;cuFiUX5BkH/Alg0bofZUlZTVlKk226+KefgtyOMIDL/I2NhYfX19WVkZRF4EbZGRkXFxccBeaWkp&#10;vmpsbOlo7wb5Wls7Wlra6+uaMjNyAvyD13tssrG2V1fXlJNVlJNTVFNlGBmZLlq0eIXHGvdN69du&#10;2bhqg4fbyuVOi50h++ydHJctW7ZhwwYbK2uGuoaZsYm9ta3rQuf9u/bsjQ/yLUkvrKuuaG0abOq8&#10;1Dtyq2/iaufISM/wxMB418Bwc2dPe99Q58BIUUmVX0AYmDdfRdr2e77VUsqFf5Kt5lF7yMd4Ksz+&#10;xcwTp5h3j4fyZ/N1XvJxCPOu81lemW8WJq1zbJa0iqSAqpSgqJ6SvDlz3c7NkanxLVUNnXUtfT3D&#10;Q4MTtcMjdSPc9RP+2znVS6Wju7e5rbOusbmypq60orq4rLKiuhbkq29qgQN7rThicPj+I+77PK79&#10;3D5H/L/6DxQkIJKm9/z44dPLp88vTZxvrm+IjYzesNZDm0l1dlBRVJKVlKI69IvORNGvdmEBQVFB&#10;YQl6bByZ+pmallpYhPooJiEuIopvpcUlQCO2ppa2FtPe3t7HxweC5tq1aw8ePCDDt/9ew+w/MEhY&#10;nIsc2tragI0tW7aYm5sTFQvxCuzp6+sfO3YMdBkdHf1jdR6YR2adxvbZs2dXrlzp7+8H4aD2IPVC&#10;QkKCaQP5yIh1aEEc0NfXV1tbm5CQcPz48a1btxobG2tqaiorKzMYDOAcd2dhYeHs7LxixYpVq1Z5&#10;enoeOnQIwg47mUwmm802MDDAMTATExNbW1sgcNOmTbt27Tp9+jQkZnJycklJCRA7/SoRtQQeI9HT&#10;09PV1UXGFJ44ccLCwJChoGQ+m3+RiEykoEqqrPYEv9ZVUc6bOZpv52h+nKv1aS7zGT/7KR/rlhD7&#10;piCrVVUT3qOo2aOgOSGlOSGpeVNYC/5QgAUnfVvIbNT3BLXhkwJUK2i/mE7zPBUfXqVjfxJbKCAH&#10;X++6ymvfsYSk9PKquraOrv7B4cH+ge7OLjKQcYCesHRoaIisDQujRjjS9uW31AFjE2SWMsRf0sIG&#10;edHdN/jFS6af+E/jNdf/XScCbnBkvKmtIyu3ICo2PjImLi4pJT0rNzE1Pa+wJL+oBCxs7ehqbGl7&#10;MMlt2+Taz43045/2Tz/S0ufTh7fvqDdedB+Qd69e37t1u6WhMTEufs+OnTaWVvIystSElgCeiKiI&#10;oNBvOJcYkCYmLCJBr2wHyIGmuAT2yH2epZoaQiAsqiAja8DRW2jvgAheVFQE4CH6v3nzhtwTNBBJ&#10;/OtGdC2wd/XqVbABsgkR38bGRklJSU5ODhIWYDhy5AiYh1D+NTCPcP3du3fgNLAH2AB74Mr06z1g&#10;LyYmJisrq7CwsKKiAkxKSko6derUunXrnJycVFRUFBQUsMV9gX9mZmZ4eli6dOn69etBRNzpmTNn&#10;QD58JSsrC/DjSDASzLOysiKjzvFYsH379n379iFP6EtcCCIYbCND41tbW7up8RCUAXvAYXx8PLI1&#10;1zfQUlKx4RFxk1SMF2dkKxteE9e7K2v6bh4TTjNPC8x7xse6I6xzW1i7XZ0J71Nm9ilpXZBmnpfS&#10;uiXCvCXyd5n3kJrMhTUowengZwQJq5+aJbVQUN6RX8bF3N5z5fqzPgG5+SUt7Z2QC8ODQ3AgbdpI&#10;aVF4GDgHIzsJtjs6OlDJbZ090BFNrR3NbR1tnd2dvf099MukGaib9hkhm+v/pqPa27t7oeRq6hsz&#10;c/Jj4hOBvdiEpNSMrITktNyCoqzc/NKKquq6hsqa+tv3HuL/CJd5XPupTdMO8KM7OhLmkZ0f3757&#10;/vjJzavXm+sbA3x816xcZWG6QFVRWZhfEKiTEBHDVlRIWEbiNxuHB1U3NUKOfKQJR48Qp8gnLS4J&#10;2inKyuswWevcVwf7ByCYXr58GbT7UtsRgP06Q1Z3795FjIuNjd27dy9goK2tDamHLUJ2ZWXl+fPn&#10;wdepo/8II8yb5jqw9/z583v37kFaoTby8vJAl8DAwHPnzkEBQ/mB36GhoUjjdqDPgDENDQ1gDMxj&#10;sVgLFiwA2h0cHJYsWeLh4eHn54dTUmmDLMNXQD7V/1ZSEqoX57q4uICa4OI22qD29uzZ4+XlBXFM&#10;GlQbGhrABlQgaAFsYAvpXFxcDDkIXWjC1GYqKNnyiC4WUwgXUkuR15sQ5lyVMn4zT/v1PO0Ps5jv&#10;v9d6MZf1ci77EZ/uJL/uX2Zr/2UW+y/fs//yHesvf4IzKf8vrR9mseGv5lP+UEAbDkDCn8zVfM7D&#10;uiSuPyaonSLGCpst784nt3SOhLUqe7GO6ab1m+Oi4ysbGpo6O9v7evrHRoh6+7lB2BHDLQCBADko&#10;3tTUVNvQVFVbX1ZZU1pRXVlT19AMCPZB9s1A3bTPCNlc/zcdkrqnf6irdwAPLlW1DUWl5dB2uYXF&#10;Gdm50Hp5RSUpGVlpmTn4CJ+4eBn/QbjM49pPjdCOlnRT8PvCn00+vjhxvr66JjQo2H3FSj1tXWUF&#10;RWgv0qdRWlxCHJpMROw3XPeclndTjgtRzKPaNkWh+UA+SD22JnOBkclyt6UhgUGdrW3g06tXrwC8&#10;L7UdMDCV+iWGHIATkhWUHAJ3YmIiwjRgwGQyDQwMjh49WlVVdfHixRcvqLGuf5SRcn55vygz9kxO&#10;TkKDIi4XFBTExcVB6p0+fdrb2xtSeOfOne7u7nZ2dhxq9ThFCQkJZWVlLS0tIyMj6Dbsh3SDwgMU&#10;cS60LJQudCEw6ezsrK6uTiYZgNQzMTFxc3PbuHHjjh07UDMwMA/kO3DgAK4FZTndyAnUEZEEWtTU&#10;1KSkpOAAkNJIk6WtpOrAL+ksIhswTz5GXGuQR2tcSPfVXPbLOax332m+/TPj6Syt57OZD3m1H/Hp&#10;kFlXaNRp/eX/wjWJ/z3mPZ6j8ZyHeUXSENjLlTOME1D3EFZZPk/aQELJQFLJ1srO69TZrIKCkqqq&#10;2tamvtFhUk4Y2EYgR5gHkQp5B9oRkQdso2JxX6WV1YizOflFGTl52XkFIB+UB+k6+Dd9Rsjm+r/p&#10;oxMXhscmBuiF7AE/PHBAdje0tBWXVeTjh6mqAfASklOh/GLik6C/8b+Dyzyu/dQQOT9+okezzezW&#10;//jBw7HhkfKS0iA//w1rPSwWmLE1tcg7NmkJSXCOeplHAwny60tu/TuO/IE3IvLAPMpp/qkoKJFp&#10;VuysrDd5rPfxOltZVn79ylXIsg8fPkD3YDst9ZAmiX/dgBBk8vbtW2zJntu3bwN7kDsnT550dHS0&#10;tbVFoqKiYmJi4ulTqj/YH2i40+mbJYaPYP+dO3dQPMRrsDktLQ3yDlpt+/btQBrwxmAwlJSUZGVl&#10;wTCkdXV1odtMTU2BPei/3bt3Q65BJubm5mZmZkZERABp1tbWampqMjIykHo4EbrQ0tJy6dKlQB2O&#10;P3jwICEfDGoPzwRk/s/CwkJQs7GxEdqoubkZHAWAN2/ejGIYstl6mpoOkgq2YnKH5smek9CsF9Ju&#10;kzS8K2R4R9Dw6Xy9p/M4T+ZzkJjk05/kM3g7Wwf+brb2u9k672fRPlsb/m6ODvzVPMqf81D+hI/y&#10;N98z3s1hPhCmFphtlTGuEGCeElI/MFfWmkfSfLaIGZNzaPOOsPiYjIK8kvbG7itUXU23W5LSgm0o&#10;eTVtqEb84hCvuIWcnBxUS3JaRkJyWkx8YkR0HKJqVm5BXWNzz89QN+3TwZrrv4mT2cXITJt0k/Iw&#10;sNfa0dXQ3FpT39jc3gn45RYUZebkwy9euYb/Glzmce2nNs286Rd7n354/+btk4ePJkbHyoqKfb3P&#10;rVy2XJetrSgrJy8jS3qXgHaQXNB5YsIi0HyiQr/ZvJqfaSdGWjhxCRlJakZNGQlJNWUVC9MFWzZs&#10;igqLaG1svnvz1rvXb6BvYAAVtlN39GuNYG+aee/fv7937x6e9MGA/fv3I2QDIQjlo6OjDx9S7wn+&#10;WAPkcMs0+yjDHpQfZYYGheC7evUqIjhKDhqtXLkS+kxVVVVOTo68wwPG8BEA09PTMzQ0BM49PDyO&#10;HTsGMgF12IJe0GSQdAsWLMBhOB7SUFJSEtjT0NBAbq6urlu2bEG1QOFBHUL2eXp6Qk3ixMDAQKjM&#10;oqIi6EUwA7IPeUIagq+4tJmenqkuZ6GMirmAhOf/x39ovmzJbJUafuZtAQMw7wWvwUs+wxd8hs/5&#10;DAC8R7z6L//MfPkd8/V3rDffs9/P0v4wW+fjHN2Pczl/j3nvZmu9m828J6h3X0i/XX5Bvbievyzn&#10;jAjDlk/Kar64oRpznfPSg6eORybFF7bUgXnQeVByAB5QBz2KMqPkIFx6ejoedyD0Y2NjIyMj8dMH&#10;BQWB6P5BIX6BwT7+gd6+AQHBoYkpaZU19dw+LL+bo0rJ9Cv0a1TsGUa6g5p4uh/kw8emNupVK7yx&#10;pf3Zy9f4f8FlHtd+ahTkfqRmKiHM+/TDq2fPH9y5NzI4VFJQePbUaQCPw9YB6gR4+EgHEwBpWo1R&#10;iBIVo3Z+hta/6UAd1VFTRBRbfATwAFpFOXklOXkbC6td23ZEhUd0tLSikFOEpmM9jL6ZX2/TOXyZ&#10;FfQi8DY8PIwIiMCHgDgwMHD58mVAZeqIP85QTqCOYO/LMiP9+vXrW7duNTQ0xMfHQ8BBxkHVQavB&#10;SEdNLS0tMA86D0gD8FasWAGVdurUqTNnzoB8ANjy5cshbe1ps7GxMTMzY7PZ6urqZFY5JKAOQUTS&#10;HIpzQTvyeg9p5AC9CJWZkJAQHR0NguJb5GZgYMDhcJauWb54pZvrggV6Cgq23/E7zxc7MVfuLJ9y&#10;ubhepaRhj5hRv6TJqJjxkLDBAL9uLw87RF4lVEE1Rl49XpGRI6+Vr8hqkGY3ymhPSOrBHwhw4G/n&#10;6sL/8r0O/Mc57E+ztJ7MZT2dx74gZjghrF8kbZAjqr15nhTcVk5liZau61LXI8ePhOWn53c01NfX&#10;4zmmsrKyuLgYGjcjIwM6NSkpibwEBedQfj8/P9AO6eDgYDAP7hMQdNbHH+SLjksoKqugVp39Ge2I&#10;fxmvuf6bOKTe4Oj40Og4PVZveucYPeXmOLUOFDUPNbW0wovX1DsOLvO49lNDtIRPTUryl/ev3z64&#10;e+/y+QuZqeknjx13c3Yx0OWoKioBctISkioKitQLPCgw2mUkpBRk5BToBdC/5Na/46SvChzYA1Ch&#10;JgE8XNfW0urgvv0ZqWlN9Q03r14jxX7z8tXUXXw2SvT99F3Xv2jTSyPBvswBaRCus7MTkXFkZAQs&#10;uX///qtXM6/7uxmRdMRQyC/LSfZA592+fbu7uxtia/fu3QAe2AZ5R1QaFBuAx6QNwFu0aBFU4Pbt&#10;248fP37y5EnoNsg7AM/S0hKyzNraGnpuyZIlOAxmbm6Os4A9GBJkbAM4B0aCajDkgzQuinx8fHwO&#10;Hz4M8bd27VrQ0cXFBYA8cuTIuWDfkz6nD65f72RouJhPYjGvxLFZ0ifnymXNU8vj02zmYbUJ6Pbw&#10;anfM1Wr5TrXh/yqeEhA7IyTuLygZJCqTKCyfIqZUJqhSLqT695j3l3k6YN7kbDjzgqjBRTHDCkXT&#10;ElnDnYKKu4WUbWSVzcRktTnaK9xX7A8+F5CVCDDjyQBiDniGHg0LCwPqyCym07TDnpiYGLAwMzOT&#10;vCiKiI4NCA6D4EMit6CotrF5BuqmfTpSc/038e6+AWwHRyjg0Z1Z+rv6BlDPY+cv4iOYB9ThAKhA&#10;6Dzu3GNcowxB88uWwKm5KH/48ePbd+9evX788NFQ30BJYdGJI0cdbOwgs4AfWSlqkR2aQL9ZXxXA&#10;DKSUFqeylRSl9KI0jVWoOmF+Ad6580UEhPARTNXSYJgYGm3esDE9OeXqpcsvnz5HOcnbR6rw/2Ej&#10;1fWOXsfnJW0AHtJTX/8RBrCB0NPww0foUWyxBz/rs2fPenp6ELvBGCcnJxBOTk5uerABDAgE0mAg&#10;1ubNmyHvIF+AKEi0NWvWgHNQdeQlH4CHTIAxfLVr1y7QC6KQZAjT0NBAVqtWrdqwYQM5BpoPh23Z&#10;sgVHbtq0CTTFVSAQjYyMkPPZs2eBlsKO2oj85H3H9ts52xurqmlJSlnySdgKSW8TU9sjw/SX1QlV&#10;MoyX5USIaYXMk/f9TtKDV3DdfP71c3g3zOXbM0/wiKBkqJBclLhylQSzTkbngqjeVSmjV4JGLwUM&#10;P83mfPhe591cJnyqbws/Bz4qaQxPFGOFzJV3my/m+Gc+lry8o4nJki0e204cwu0DbIGBgb6+vufO&#10;nQPnSBo7kUbNoMxZWVmkXw+kc2lFFSCXkJIWGhEVGBIWEROXnpUDqVfX2NLZ00cP16Ma36ihe/TK&#10;pdPBmuv/UeeuGcu1mYaAOK0JSHzEltoDhffxhw9v3r148vTe7TsDvX0pCYkH9+5bu2q1AUeP1nPi&#10;4BDwIyEiiu0MdP37DtpJiUkQ4MnAJaWgKZGQk5ZRkJVjMbRcnV1Qnvjo2K62jmeTjz+8eQs8E51H&#10;+X/eUEsEe29pQwI29d0fYVM/3M8MML558yaAl5qaCvbY2Njo6OjIyMgAeARRZGg5UAcxd/DgQS8v&#10;r/DwcOgbRHloMuBt6dKloBT0HLYQdtiDw7y9vQkGcMzq1avxLYPBgHBUVFSk3s+ZmYGsQBoEHxQe&#10;pJ6HhwdpGrWzs4OUBPDs7e0BwtOnT0Mz+aZE7A88tXbLOnN7iwUMTX0lZWcpFTc59X1y7IOKuoFy&#10;nGBF/Rgp7XBRzdD5CgGzpLeLSe0Ql94jJr1PQua4COUBvJIBPJJFAiplIhoj/Cxg7zmfPvzjLN33&#10;32n/PeZlyOrFCKq7C8stmiWoISVlxmbbrnRbvccTzAsKCoKMQz3AkpOTs7Ozc3NzCwsLi4uLKyoq&#10;6uvr29raOjo6WltbGxsbK2vqC4rLklLTg8MiffyDAkPC4xKTM7LzqusaqVEL9EA9iAyEXcRgSJAZ&#10;oZnr/yHnMo9rMw1Re1oZECOygIi8ty9f3b99Z6h/ICcjc+e27WYmpga6eoqycqKCwsAP2AMyiQkJ&#10;Uwj8GbR+nYsK/XXsOQU88am1e4T5BbFVkldQUVBUU1KxNDM/dvhIUV7+hbGJZ5NP/vLpxx8+gD9f&#10;TC32exmprmmb2vu725ddUkmRpvkH4NXU1ERERAA8UGlkEhkxMTEAj8g74GfhwoVQYzims7NzaGho&#10;ZGQEMR3kAwXxlYWFBU4Eq6DwNm7ceOzYsdDQUGAAQgckABKwh2APGSJbSUlJwE9bW9vBwQGo8/T0&#10;xFkAHrBK+ArmAXg4BSoQyNy/f7/bhhX2K51NHCyZpnoMXW1NjrahnoGpkckyc/tlFvabjSw3GVrs&#10;YRvu1NLbp8rao6xVKWBQJWhYKmJQLKSXKchMmqca+Z10yP8VS54tk8GjWMun1irGPi+qe0Fc76ag&#10;7g0BnUl+Jvw5L+Wv5rPgD/l14Z3ieo38mqeEVHb8H0E9HiFLcVncxbJly0BiAC8/P7+0tLSysrKl&#10;pWVwcHB8fPzatWs3bty4e/fuQ9pQt2NjY3ieANuKSsuTUjOCQiO8ff2BvfCoWMi+8qra5vZOuj2T&#10;6kxIXjWRdjau/w7OZR7XZhqJ1DOwR9mP1Ds8KLzeru6stPTD+w/YWdmoKirLSUkDchTz6C6a4sLU&#10;pF8zuPXvOHljhwQNPKo7DBmKJ8QnAOapKinrsNi2Vta7t+8AhkcHhz++neLcD+8/UDqP7nFDLZLw&#10;OxoRWMSmdv3uhh9xKvWZeZCez549e/LkCeQIJAvYg2iupqYG4ImLi4NJTCbT2NiYtFUCeHFxcZAv&#10;iOMPHjy4dOlSVVWVj4+Pu7s7tJ2hoSFE24oVKyATIeySkpLIHC44BjQtoBdnP3r0KFQdctPS0pKX&#10;lxcVFcUWeHNxcVm5cuWSJUuQAzgH5uGiSIArEHlgHoiIq+jZGnNsjDhWxhwrE2NrC3N7m4UOTi4L&#10;nbe6rtzssnyvzaLdVk7HjK2PmVh7G1qcM7IcYrj2qS5qVLCuEDfOFGKBedGzZYG96P8jkvCdZNls&#10;+XoBjREB5oSI7k0hyv8e83qkDNtFdf2kWftmSXDmCxrwiQDVkMK4nfj4+IaGhr6+vuHh4cuXL4Nz&#10;k5OTz58/f0EbEvh4/fp1PCK0t7dD5GXm5McmJAWEhHn7BvgFhkTGxAGBZZXVTa0dPf0U86D2wDwE&#10;Ymq4+s+iM9f/E85lHtf+hiFEQiVM98Un9vzx05tXr7c1t8RFRXtu2gyFB+BRfVKoCVCo8eZk7B2R&#10;ZdB809D6N/2ztqPl3RfzrWCPkpwCR1tn6WLXs6dOV5SUXT5/4cmjSQI8inNfDJ+n1j3/fQ20QzXC&#10;pj7/QUaKQdKIy4jUTU1NABKAR4YlkF6aioqKEGSQd5BuIBnie25ubm9v78TEBERMd3d3Wloa5BeU&#10;ma2tLTBmbW1NgAflV15eDlkDIQgSDAwMtLa2VldX5+Tk4ConT57csGED8tTX1wdZYSoqKkhD1YGa&#10;MNIdFBREbuTdHnQkSLlo0aLlDvarFjqtXLp0nbv76k1b1ntuX7drr8fufZt37du4Y8+OjVs81286&#10;7L7m6Jp151av8V27bsTKs9NgdYG6fbyYvreA2hlepVOCCmdElI/PFjk9XyJ6vlSyiHKNsHqzFHtY&#10;UndUWu+KOBP+UEAT/n4uA/5hDhN+jV/7Ki87S1w7/DuZhXNEHb4X0ldQt2UbHDhwIDExEXcKqt27&#10;d+/Ro0d4eoDdvn376tWr0HZgIcQfqJ+Xl4fqgqiLiI4NDovwCwz2DQwOCY9KSE7NzMmrqK4jU/v/&#10;ROf1cnXe7+Rc5nHtbxgCJZgHo3QKnX716tWVCxdbm5rjomO2b/FcYGQsKyUtISIqL029wCMuJSaB&#10;PQAe3VHzN2OenJSMrORU1xh8xJZ0DVWWV+SwtcnaQNUVlRCgH968nV7c/G/4f9iAFtTV1Adc8HNX&#10;kanPf5ChDPj5SALBur6+/syZM+CQmZmZhoaGnJwcgKesrMxisXR0dACzpUuX7tixIyEhAQy7f//+&#10;zZs3L168WFRUBNlnYWFB2iFJk+a2bdug8AA8cBQS5/Xr1xCRIAGw19nZiQvhLORDLgeG4XK4loSE&#10;BC4KTUmui4tC0q1fv37jxo1g3urVq7FdtWqVm5vb9tWrd3us27Vt28G9e/cdO3Ho5On9XufgR718&#10;jpw5d/bYyTNHT4TsPxi6/2Dcnr3xe/ZecNzda+JRoGEfI6x7er7i8Tlyx/hkTgkpnJgremqeWNgs&#10;UWCvZL48sNcvxhqR4vxd5vFpX+XTzpPRT+BVXSGs4DJfQldWxVhZE8hPSUnB3aFaiLZ7/Pgx4EdU&#10;HTRuVlYW7jcyMpJ05vTxDwTtAkPCgsMiAT8ALyu3oKi0or7pp31Y6GXeEHlnhGau/4ecyzyu/W0j&#10;zZuwN2/e4D/2pUuXqssrIkPDtmzcZG1uoaGiCmEHyaUoKw/8QO3JUF0rqaF41FZc4jd8nydHDzOn&#10;ZhejWzjBWiV5BTUlZWN9Q/flK329z5UWFV+aOE930fxxumHzb/h/2FBjXzKPGCpwKvW72zRuX758&#10;+eDBA6CrtLQUlHJ2diZTgzIYDDU1NQgvJpMJyUXeWkFmkeAO1ULe4UHw+fj4QOGRYXM2NjZg0pYt&#10;W7y8vHAYtOD0XDO42Xfv3kH3XLlyBed2dHSAiNHR0VBIgJmpqSlkpThtoqKiAgIC0tLSgChU3Wba&#10;AD8Ql3TvxEf/tVuC1m/z2XEwaN9xr1O+PmcDTwRGnAyKPBeT6BOTGBoZExIRHRcQGOXjm3DyROyx&#10;oyGHD3vv3Lln7aq1TnaLTDlWOhp26nI2qjLuMhIrpcQOzRM4wiOU9J1oLp98l4DGgJj2qIwW/I4w&#10;A/5xrgb8L98z4I/nsSfnseulDEsFmHsktTbyypuIKRmJyEODovZKSkqI/L1w4QJ0LeheWVmZn58P&#10;CQjJGxwcDOCFhoaGhYUFhUWggAnJaelZuYBdcVlldV1DQ3NrW1dP3xDVh57MBgn40c2bwzNCM9f/&#10;Q85lHtf+kSGII6KdP38eT7JBfgEb13kYcvSAHEBIXFgEDsIBb9LikjISUtgJQSYnLYOdVDeWn9Hr&#10;1zmRjJCPYkLUOkGgLENVna3FdF++IsDHt7m+4frlK88mH08taUQaM6dniiEtnGQVpP+w/YF4+5s2&#10;3TQN7QUtUlZWdvbs2RUrVujp6QF4MAAMMgsKDwlQ0MXFBdLtyJEjx48fR/guLi7Ozs5GlIfksre3&#10;B7FgTk5OpIsm1FtUVBSOQfSfHoMIQYknJAg+CCDSlaO5uTk1NfXYsWMeHh44FxeVpddeEBMTA/Mg&#10;9XR1dUFTovNQtsWLF4N527dvxyUiPffG7DgQevBk9DHvQL+wsJBo/9jkwPjUsLTs8IzcxNSMhJT0&#10;jKjohKDgpNOnwLzIkydCjxw5u3fnwQ1rN7o6LDY3cNRSslSSXC0ruUJSdN8snr3fz4/+X7xpsyVa&#10;5yv3ClPA+5vMe8qr+5RHp0nWpEqUc1iB4ymkYiSioM0jgSoCuU+dOhUbG4uaKSgoyMzMJCP2ADlU&#10;lLe3t5+fH9LYA8GXlJqRmZtfUl5ZQy1N2Nba0dXZ0w/OQdsh5g6PTSBBuq4MjlCrm34Zl7n+n3Mu&#10;875h+1tTRcP/2gfkw8fnj59cvnCxuqIyJjLKY/UaUyNjqDoRASGqF6W4BAgH/n3Jp3/HoeeQJ8Am&#10;IigkKihMMZWeohMKUlhAUICXj3pNKCmlqqiMYix1dYPOqKiouH//PoI71Q774QPRplN39+0Zbn9a&#10;25GB86gZAAnCq66uDtUFepmYmEDbKSkpaWpqIm1hYQGSQbpBYJEZwhC4EbUjIyMDAgIAHkguQBFk&#10;ghC0trZet27d6dOn8S2J+9XV1QAbCPflKEBIPaSfP38+Pj4OmQgwAJBr1661s7MzNjZGbhoaGoqK&#10;imSWFuwB8JAtRB6Yhy0UHpmH2jcgyMvH76yPn29AsF8gNadJeHRsclpmTn5haWV1RXVtQXFpVm5B&#10;RnZubEKyfxCwExDi4+/n7XPmxKm9u3auXL7UythQW13VhqFloaruLKHoJCrnwS+/VUz9hCT7rLz+&#10;OB/nvID+bX7tu4K6L3gYz+drvJqr9GK24gN+jYcCjGFpw0FJ/VyZBTE8mrv+j8K6/0eIjRozNNiw&#10;eMW5/cdSzkYke4WHnwoJPRHkHxTpGxB+MiTodFiwf3RIREpsRnZSXmEGSgjaNbV20P1ThhFe4Vy2&#10;/eHOZd63azNni6ZmV/nsP/7l07v3k/cfToyMVpSUep06vWLpMlsraxZDk+pFIkJNFU29VBOXgKqb&#10;ga5f7UQyAnKkRwwuhD1wKTFqrmrQTlFWTk1J2dTQyHPzlojQsMrKyosXL04H92+WeV92NZpx+0+e&#10;PBkeHs7Pz4fSWrRoEVF4IA0ZJG5paQkOkQ6Tnp6eJ0+ehEwhDXSQeps2bSIzquBISBxnZ2dIMRAR&#10;qCNjrktKSoDSvr6+69evP336lKCOXBdp6LzOzk6IobCwsF27drm6ugJvuDqbHniOS4OgDg4O2A8c&#10;gnnEcImdO3eitLgQaHfG2+ecX0BQaHhwWERgSFhYZHR8UkpxWUVtQ1NjS3ttQ3NVbUNlbX1hSXlq&#10;RnZMaHhUUGiwf4CPl/fRw4c8N29audjZycrSWkPLQkV9oZi8g7CM+zzpdXzye/lVDgprDM9jj/Lq&#10;3uJj3xXkvOLTesnLeDVX+UvmDUkZ5MmaxfEx9/5JeeP/I6amrMTSZCw2s92/flvEYd+EUyGRZ8Ki&#10;vMIjopOi41LC01Nic7PSirNzK4sqaoqr68pQwpZ2aLu+3oEhRFmEV3ohIW4b5h/sXOZ9u/bD+w9U&#10;u990MyDi1cdPP7z/iPSPHz49fvhobGikorTM38fXzWWxurKqqpIyhB3Vkkm3YVLwo9Xel9z6d3xq&#10;5kz6RSAFVHrUuayklBC/APYoyytoqqkb6HJWLV8RGxXd39P78OHD6RHfiPuwn79O+xbsy7nQCHVQ&#10;D3gCeP36NZQWEAW5BrpA2EHhgTo6OjocDmfBggXYCXkHJYcDfH19Y2Ji4uPjo6KioLGAH0hA0vIJ&#10;7IFM27dv9/Hxyc3N7e7uvnDhwqVLl5poa21tHRgYuHHjxosXL/ATEKH54MGD3t7e0tLS6OhoZL5y&#10;5UonJycwD2IRtFu+fPlWelE9YNXDw2PNmjXYQt6RseqHDh2CLgR9vX2pbiAh4VFxicnwsMiY0Iio&#10;qNj48qqahubW9q5e4ATxi1ograOrpr4pJzktLS4xJiIyJCDw3FmvY0cO79u5fdumjY4GhtbaOo7y&#10;qpbisot4JJx5JFfPlwH5inm1KoR0+oV1RiWNJkV0Hglrv56n9nK2ynMejec8jMtiepdEOVXSxjm8&#10;ml7fKR38/4kpS0qqSkuZamqvd1nmved4jFdwbHBcYnhycmZeZn5JbnVlWUtTQ1dzc297V3dzZ1dz&#10;T/8gCNc/PDo4MkZaL/Gxm5rjf2YU5vrv6VzmfcNGtB2k3jT26D0f3rybfPBwuH+wMC/f96z3OvfV&#10;Rnr68tIypL2RbtKUApAgxciwud/KxYRoeTel7ehpxuhpVkQEhAA/LQ2GlZnF+rXrENFam5rv37mL&#10;8IrgDkOoRYj/BhUeMdQASUw3bL6ilwrq6enJyso6fPiwm5sbpBWDwQD2yKs7GBmEBwUWFBSUlpZG&#10;FgaKi4vz8vICfiD+DAwMgCgcRjq2AISxsbHl5eX9/f2Q1zAovPb29vr6+ubmZsD18ePHb9++BWgf&#10;PXo0ODgI4IGgUGwgHHKDZAT5wDZc8cSJE6AaCgZxCbgS4EHe7d+//8iRI5Cb586dCwgIIEvwpGfl&#10;QsblFRYnJKeGR8XCSyqqauobWzu6EK36qTmCqZkV2zp76surcFxGSmpsZHRwUKDPOW+vE8dPHD60&#10;wdllhbXNck1dOxklMG/hPPFVc6XW8spmfqdYME+ji09rWFx/UlgH/ma++qs5qs95GXCKeWJ6NbKm&#10;hULaATyM03+SV5IQVxAX01PWcHd0AfNSAmJyknJLskqLymvKahor21sb+no6hno6h3v7Bzr6+tuJ&#10;tqOBN04zj+qoyWXeH+5c5n3DRiAH5n3Zwvnph3u3bg/1D+RlZR8/fMTZcSGLoakgIysnRTFPSox6&#10;hwcm0W/a6GUTfsqtf8cpoNI9VnAVpEWFhKkxfxKSinLyWuoaNhZWu7fvzEhNGxkcApJfPXtOaAeV&#10;880qvGnD7ZN6IB/v378PmQXFBsBYW1tD2zGZTDabDd2mp6cHjNnY2Dg6OkLhhYeHg1hDQ0NdXV0l&#10;JSXBwcEbN260s7MD7WAQghBhQBFAGBERkZqaCpK1tbVB2IF8ABuZULu6uhr8A2UnJyexxQFFRUVQ&#10;jadOnXJ3dwdfIRkhKJE5KEgtLJecDNAS5q1fvx5ABfAOHDhw9OhRnOLt7U0ma84rLCmimjGb2zq7&#10;6xpbsvMKYxOSo2ITCkvLyyoh9dq6+gYo8TQ4DKkHzTfQ3tNW11xWVJKZkg59iUucPXvmxMlj+7d5&#10;bnJftcLc0lKdYS4qbSooYSco5SQqd2ie3Ekh1XRhzSJ5w4viepclDV7zMF/O0/wwV/P9XE2yumy/&#10;pH67IDOLTy3xezk9SSldMQkTNY11TotOHzqeEp1QVFrZ0NTe0NXT2N3b1NvT0tfb2d/VNdDTP9AJ&#10;JzOtUB0yh0Yop5dww84v4y/Xf3/nMu8bts+Q+8snSuf9+OHj6+cvHz94NNw/UFpU7H36zNLFrprq&#10;GpBZIgKCpDETak9OWkZChJppRYLqrilBVmr9TZy8JqQGuYuJI38wD/xTklfQYbJsLK22bd6SFBc/&#10;PjL6kZ5a5c0Lqq8gtN20uIER5Tf14Vsy3Pi7d+9IR5Lnz5+DQFB4e/fuhboiM15qaGiAdqamppaW&#10;lgDekiVLtmzZAjlVU1NzlzacArUH6jg7OxsbG0PkgVUrVqzYt28fxB9AVVxcDOABby0tLUBdR0dH&#10;d3c3EnV1dRB/TU1NI7QBeImJiSEhIVBsa+mZps3NzQG83bt3NzY2gqyQhvn5+aDaoUOHsJNMOf0l&#10;8MicluBiQ3Nrc1sH3ctxvKOnr6S8MjUjKzElPb+opKi0vKa+CTEL+olqMKQXpZvoHx3s6Guub6oo&#10;KUOBgT0/P59Tp054HTkM7G1Z5OKsZ2Avqwzs2QpIAns7/yR6YK5s3HylbHH2mBAb2HvNwwL2PszT&#10;AvYAvEcC2kPShj1iuoVi7Gx+dVMFRUMZ2QXqmqts7A/u2BsbEllaUdvbP9Izdr5rZLxjaLBtoJ9m&#10;XvfAYNfQcA9KBVWH8tNTrtAzjVEDErjv8/5g5zLvGzYKeD8S4IF8L548vXzhYk9nV1pyyomjx1wX&#10;uXC0daCxILnEhUVlpSjmAXhgkpgQtYIPEjKSUr/hGrAU8z6/KSSNqGr0vGLOTgv3796DUvV2dj26&#10;94Co0g9v3uIOEOK/bNkjQZ98/HaMyFzc/suXL2/evNna2hoZGQnltHDhwi+bNAE8MuOJq6vrwYMH&#10;IbkqKysvXLjw+PHjiYmJgoIC4G3lypUQeTjMyckJoMIeyDtgDJJudHQU2g6QA7SAvfr6erK4ORLA&#10;ITQi8FlYWAhcnT59mmRF+Aq4AoHZ2dlXr169dOkSTgcUT5w4ASTDyOyaAB5p8AQLY2Njc3JywNG2&#10;zp6O7j7Ep5HxCwhPFdW1kHqZOfkZ2XlZufllldX4dmAYzBsCVAC/sf6xkd7hvq7+jpbOqurarOzc&#10;sKgIb1+fc+fOHjt2ZPfmTasWu6BGTNU19KVltcUk7OeJOAtIHeaX95Zh1omw26QNHgvoPhHS+zSX&#10;9XEO89V8LSDwppjONWFWtwijlU9lmZSii4iUuayCC0t72dIlJ44fSysp7hwf6xof7xwb6x0c6h4Y&#10;6Ovr6e/vHRjsHqQKhQhLaTsyPuEz+bg67w92LvO+Xfv49j01po1+mQeRd//2nc7WtsLcPCgqKzNz&#10;euZMCmzU8kD0OzZwDkwCiijOUaPR5fCVEB/VweQ3cZCV1nnU5SAfFWRktbVYZsam+/fszUxLvzh+&#10;/tnjJ5B3U+PwUOafNuhB6Ex3afmmbPquJycnQRQAz4OeVwzyTllZmUyhuYA2EIisTgcNBMl1+fLl&#10;e/fu3blzB9zy9fW1trYmx0Debdy4cdeuXaGhoRUVFbdu3ULOT548QQJKjrRngnNAJuQdzgUvISsh&#10;rQBIyDuQDJewsrLS0dFZvHhxeHg4rnXlyhVkgm1VVZWfnx+QvI1eTg/bY8eOkTX5zp49CzqmpqYi&#10;Z9xIW2d3e1cPIEGW96ysqYPCyyssSUhOI2qvpb0TUEHMorXgxHDP0EjvyMjA6HD/SHtnV1lFZWJK&#10;clBYaGCgP7B3+tDBXZs2rlu4yEHfwERBCcyzmSXgxCO2b570KXH1KgHNFkm9SQHdZ8L6P3zBvFvi&#10;ujdEtfvEmZ1CGsullRYJSeqLipvJyJstMPXcuiU2O7NjfLR5YKAZyq6/v7t/oK+/h/ZO+PDYBL1a&#10;6SgK+Rl7lM8IwVz/nZ3LvG/XqGmXaYX36vmLm1evtTU1x0RGATBO9g562jpgmyAvP7BHTYMC0v12&#10;65sjQ7CTmleFzNUiSvXYpN7e0fN20i2ossryCros7VXLlp8+cTIvK7urrX3y/sPPbbCfZ9H89gx4&#10;m2Y8WauIpF+/fn3jxg0QKDg4eM2aNRBYoBdReHp6eubm5hYWFtg6Oztv2LABogqHAWbDw8NQbESZ&#10;eXl5gZRgFQzaCxDav38/QAj1Bi6+evUKcnB8fHxoaAhaDeQD9kC76upqAC8lJQWgxcGQd2vXrrW3&#10;twfqkNi0aRPUW11dHcqGcy9evIizcDlcC5lv374dx+PSYN65c+cCAwMBvOTkZECxo6MDZEVkIjKu&#10;vasXmq+1o6uipi4zNz8uMTkyNj4tM6eptQPBC1Gssxfaamiwd3Sob2xoED7e3TtQ39iSV1ScnJ4e&#10;FRd75pz3wYP79+3bs33zJhdHez0thqqsjJmAqKO0/FZhuQ38UqF/Es8Q0bwozLkmYfhO2OAln86L&#10;uZov52k+EWQ+EWLdEGJc4VU5La5+RFBhkYikLa8Qm6m+dvXyoIzE+tHe1qHB5oF+CDxq6syhoWFK&#10;6FEg/jLOcv3rcS7zvmEDOX748f3rN7dv3OxobUuKT9jhuc3W0lpfl6OurAolJyIoNI0oahbNn6Lr&#10;VzsZ24cEmaiMUnV0wyY10wo9ObWqopIOk+3s6HTmxMmivPyJ0TGql+a0vPu95lX5Cg3SFkbSP9CG&#10;xKdPn6DAGhoaAJ6tW7cCb1paWhoaGgYGBgCekZERJJetrS0Zh7dly5aD9EJ3iYmJEGf+/v6A3NKl&#10;S7EFfsAeHx8fEBEEAhohyMC869evA3iPHj0C7SANkQAFgT0gtqysLD09HdeFRNu9e/fq1atdXV1Z&#10;LBagCw0H2QeyXr169eHDhzgedIS+BPCQM8pw4MABkBWkxHVRjLCwsKioqIyMDFwRwIM0JJNy9Q4M&#10;d3T3wdu7e2vqG3MLimMTkiNj4tIys5ta2wnzEMU+M290cIBiHs5qbe+uqKnNLy6JiY/zDfA/efL4&#10;8RPHDu7ZvWqpm5k+h6mi7CAl56Ko6imisJ5XMuj/iCTzq47xsS6J6L0R1HvJqz2TeXyq52SYJ0RU&#10;nMWkbXgEGepKS5csOh0TWthe39Db09RPlWB4cHh0cBDM6xvkMu/rdS7zvl17/+btmxcvAbzWxqa4&#10;qJhd9GJ4MhJS9Bs1arZoMhQPIg+Ioj7+jF6/ziVEqNVlkScyp5yMTKBH+wGHAJ4hR891kcuxw0fK&#10;i0uuXb4ytT77tP8wNWr+mzVAjiTAv5cvX96/fx/AA6uAHMg70E6BXqYV4DEzM4O8c3BwcHNzc3d3&#10;JzOtEFUHvB05cmTFihWmpqbW1tZQh/Hx8Tk5OUVFRYAT0vgWKi07O3tgYODatWvAKoB38+bNFy9e&#10;PH36FCSDGisuLoZuQ1Y7d+50cXHBFZEVmGdjYwOstrW1gZcoHmAJUQgugnYowKFDh0C7U6dO4cSg&#10;oCBgj8zXBZGHSzc2NnZ3d/f29vbRc5dg2wXdRLcKNra0F5dVxsQnRUTHpmZk4ePQ6Dh9AEWc/oGJ&#10;vv7xvoGx/sGJ/qHxnj5gr6u+sTUpJTU8MiogIAAXOnni+OaNGxzsbA319Tara25W09wtobCJT+zU&#10;n4SC+eVrBBnNEjrXxPSuiug+4GM+5Gc/42fBn/BoPJqrWizMzpqnulVAauWfeDXkJRfZLNjlczym&#10;OLOyuamhq3O0Z2CifxjXHu0b6B7q7R7iMu8rdS7zvl17dO/+9StXWxoaI0LDtm7cZGNppa6iCm0n&#10;zC8oJkSpOmCJ0IgSZL/dOglUM6kopfbg+AiaEr7KSkkDeEZ6BquWLT976kxJYdHl8xdA5SnUQZV+&#10;OYL+22Peh89rwCJB1B6ARxoMEdCXLFnC4XAYDAaYx2QyyTQrUHgAHsDm6ekJ0hAlh4OBnG3btkH2&#10;4QBAcdWqVSAc8AbpRjqq5OXl4Zi9e/eGh4dj5+joKOgF7EHkvXnz5smTJ8AYyJSbm4vcyKhzY2Nj&#10;FAC5AX4eHh5JSUnnz5+/cuUKcgMagbSTJ0+CeYcPHwZKwT+ISKhJaMqQkBDov5SUFFy0qqqqtbW1&#10;p6cHxYB0Q3BCkKLegdGar62zp7KmLjouISwqJiU9s6GlDdFqmnlDwxcHBs/39o/19QM9Y30Do929&#10;A+1dvbn5BcmpaRCR4KvXmdN7du9avXLFIieHoyZm+ziGB+XVtwlLe30nEsArWzZfuU5I85IQ+5KQ&#10;9gM+1iMBwjzmEx7G5Dz1Cgm9AgGtnaLyq7/nV5MVtzbmrDm43Ss+NLe8rKatdax3aKJ/ZARX7Rvo&#10;Ge7jMu+rdS7zvl27fvlqf09vWnKK56YtJoZG9OqvMuCcuLAoUAfIkf6TYtQ7Ngl89SW3/h0XF0H+&#10;1GBz5I/MyZs86EsVRSUDXc7Kpct8vc/VVdXcvn7j7ctX1OSfP/z4I73iOTVZ2jTwvj3mTb+9Iz1U&#10;AbyJiYmKigqINig88EZFRYVMKkakG0Sek5PT2rVrDxw4AMAg6AMtYBjIt5Ve65yMTF++fDkOAA+A&#10;HPAJoBobG6uuribv58BIKL/29nbA9c6dO1B4r169gnQDBXEMSAaUrlu3ztHR0cjIyMTExN7eHjQF&#10;2KDYxsfHIfWg3sBFMg4BqENpkSCNmZGRkRG0IZ+MjAwy5gHyESIP4rKnH8yjRrYBfgDe8NhEZ09/&#10;TX1jZExcaERUUlpGQ3Pr4Ai1IgGiGLaD41f7Ri5294939Y32Eu8Z7Orsr6uqLykoTUlIDgkIPnvq&#10;9NEDh3Z6bt+4ziPJwjacY+SrxDghLufFL+UtIB3PL58qqtoozmqR0rkkqnNFXO8Jv85jPu3Xc7Tg&#10;53n0hmYx/YSUD/2XEFta1Eab4bxp5S7vI8lZ6VWN9Zd6hi/1joz04KoDXaP9HcPQqTOjLde/Bucy&#10;79u1m1ev9Xf3JsbGrV6xkqGqBrxBb5Gek3AwCdqLGpZAaz4ybO43cfoqYB6VIZgH4CnKyqEAJgaG&#10;7stX+Pv41lVV3711e0rSke4q8B++oB384zc3JmF6GAaUFplmBZwAk1xdXQE50E5dXV1bW9vQ0NDC&#10;wgLyDvjZuHEjDiBthmS9G7Bt+/btEHbAIZlCE/IL+ImPj4fSqqysbG5uBnigzMC8Xbt2gV4gFnLA&#10;VyAiUAeSQeFBkAGiUGxr1qzBhWxtbRcvXoz0pk2bQErsz8rKQlbgKKWu6Hd4AB7yBH2RIWiXmpqK&#10;8mML5sXExOD4mpoaAK+rqwvMGxykOvf/lXkjFPMQrWoamsKjY0PCIxNT0uubWqgXfp+ZNzQB5l0i&#10;zAN6KO+mmNfZ1tVQ25ibmRMeHHbutNeZ4yePHTq8b9eeNBvHSH2TQFXmOQX1AHHFc4IykfOkYnhl&#10;a4UZTRLsS6K6VyX0wbxJXvabuUz4RT6D8Xk6IRKME7MltGXETNUVTd3slu3wCI+LKautvtw3CkdR&#10;Rnv7u8cGuMz7ap3LvG/XHt1/cPnCxdLCor27dhsbGCrIUKu/ykhSSwJRfUxExcE84qDUb9hvk9KR&#10;NPNI26minLwOi21uYrpl46bI0LDu9o4Hd+6+f/3mJ4T70sFCMqzw27MPHz48f/78xo0bjY2NYMmG&#10;DRvALXBOS0uLxWLp6+sbGxuTcXhubm7r16+HnAKcqHbC3l4kQBrIMpyydOlS0A5kiouLAw5BOBAR&#10;YistLS0pKSkhIQEIBKhARzJsHMRCVqQFEscAUfi4d+9eEA7shLwD8I4dOwYRCXyCsmfOnCEtloAc&#10;UIc9x48fJ31VcAwuBMJBoUIplpSUkGUcMjMz6+vrQVMYcP5X5g0SnTc6NDre2dNXXdcYFhkTHBaR&#10;kJJW1wjmUZNYdvUOUOFs/Er3yMWugQn4wCD8/FDfaH/38FD3UG9rT3VRRVJUfIiPf+BZH5+TZ04c&#10;OFxsZJGqqRupxIhU0giWU/USljozV+TMPJFsMfViWfaQlN6YrNEjAc4DPp33s7U/zNF5Msfg0fec&#10;NAlW8PdSehIiBlJijAU6CxbbBAQHlVaUX+sbu9o7OtTZM9rT3zU+2DbCZd5X6lzmfbv28umzh/fu&#10;d7d3BvsHLF3sqsvWVlVUpgahi4hOyTtRajUDgBBqTIiPfwa6frUjZ6Buar09KWmGqjqAt3jhopDA&#10;oLbmljcvXwFsH9+9f//67ZTI++Id3o8fPv7w/sPUOPpvzwC869evAwlg0urVq3V0dFRUVOTl5VVV&#10;VfX09CDvrGhzcXFZt24dJFp2dvbFixcnJyevXr0KFQWNBdSBkQsXLgT8ALCGhgYwpqWlBTIOHwE8&#10;sApkgvby8fHZv3//wYMHPT09ydTPhFsw5Lxz5861a9euXLnSxsbGyMgIaZwLaIFkgCJyACYhEzdv&#10;3owTwTwQESAE3nAYSkVG4MFqa2uDg4NByvT0dBQGbCbYA/O+eJ9HJRCYOrp7q2rrwyKjg0LDE5JT&#10;6xqbv2Re98ilzqELAF7P0IXhkUsjo5fHhs4P94+P9o4Ae83VDdlJ6dHBYeH+QQFe504dOprHMUlU&#10;ZUYoqEeraIYpapwRkjr+Hf+xP/NliagWybBmMO/jXN2nc42ezDbIlNYJnS2jKy7EEuaTZitrmume&#10;8/MtKS+73jd2rXd0sKObYt4El3lfr3OZ903bq1evLl++jFCFR/sDBw5YWlpKQX2Ji4uJQY6JS9Im&#10;IQFFJiUrKzsDXf/UydQtIBw1OfXnd3hAHXQePgKl9Dg8xQVGxgf27svNzEKkQ2FevHhBykZ3y/8W&#10;yTY9CIHYdPrTuw+Xz18szM0/c+LUyqXLjPT0NdXU4dpaLD0dXTMTU2tzCwtTM0dbuz07dsZGRoEr&#10;oOMd2srKyiDLli1bBjhBmXl4eEDGgT2dnZ2A4rVr165cuYI/g8LCQtAUEAKlwLZTp04BVEeOHMFH&#10;qtPjyZOksyVACOJCTeIPZsuWLTg+IyMDahL5QIBCBUJBAopAJuiIg3EWqBYQHBqXmJxbUFRRXdfc&#10;1onQ09zeWVFdC9EGhiWlUm2VfUMj3f2DYNjgyBgOoFFHzc5MjXwbnUB4amhui4yJCwmPSkxJp3Xe&#10;GE4BFBG2ZoS2L3wYsETmJeVVGdm5OP2sj/+R4ycPua3eswFWWiMAAPbMSURBVHDZDjN7D13Tzcqs&#10;9XKMg8KK8FQRRqYEs1uAOSimO8mn85hf9+Ns9odZrPd87Oez1JsENStmK2wXUlo7S4wjpWamrH3k&#10;iHdubkVr50BH9/DgyPDg6HDXQEffCAo7oxh/ddwRHFDvodZeoFTs8Nj5wdGRgZHh/uGhvqHBvqEB&#10;bPuH4UPd/X3wnoG+3oH+3kHQnfoKjorCucgNp6MesKVlMcpA1Rhy7uzpx4130KtPoDRfFuBbdi7z&#10;vl0jsXX65RAe8xG/yGxVMjIyIiIihHaioqLCwsIUAn9GtX/sVOslPeYBMlF8agFYstY5NSZPSU6e&#10;rcW0XGC2fu266PBIKLz79++/fPlyqnA/C/3fspEeK7eu3airqvY5671mlbu5yQJNNQ1lBUVVJWUd&#10;Js08Y1M7a5uF9o6rV646e+p0TmbWrVu3bty4AQ7hx4VuA/BMTU2hAqHboLoAodzc3K6urtu3bz9+&#10;/PjevXt9fX11dXVZWVmkiyO0WkBAABIQfAAe4Ad6AZz79u3bsWPH+vXr8acC7AGEJSUlyAd/RY8e&#10;PcK1cCKen7Zv344tLgRk4lxcLjouEcgpragCq9q7ehGU8Q/4B4ABe8l0nxQSrD8zj5pCmuqlQjGP&#10;0nmIVkBXeHRscFhkQnIa0XmIYv+YeRCCiPu4Jpm9DMXw9vU/fPzk0WXrwDxPExt3poGHrMZaaTUA&#10;74iochyvUpKQWtt89V4h1sP5bGDvA5g3m/2Ol/18tnqzkGblHMVtgoqr/iTEFJbXl1bftetoampB&#10;fVNXa0c/EAXs0cz7u/02ASoEXHgPvcwC1St1cBh3SsFscABUm3ayhxCOouDnPeRbnPLZKYIiE9wp&#10;TcGZE57hovQBXKecy7xv16b7ASKkgjcdHR2IjNu2bYMOUFdXFxISAvPk5OSg+ZCmFN/PqPaPnZpm&#10;RZQa50C/t6PWgyXvBaH/FGXlqVHnTgv37doTHx3b2dp299btL1Ud0t/sagnTdz09Dm9ycnJkZKSk&#10;oOjcGS9XZ2oeVA0VNVVFJQBPQ1WNYp42pfMW2jusXLp8p+f2YP/AvKxsnNLQ0ACGgTfAD5QZDLjC&#10;R8j6pKQkPOXU1taSIecgH4Qa/gaAveLi4pycnLS0NGi+yMjIkJAQiMJDhw7t2rULqFu+fPmKFSug&#10;FNesWQOelZeXA6s3b968evUqlHp6ejqutZU2ovBgoCb+tHLyC8uqahpb2to6e0igB/PKq2rIwngp&#10;6Vn4CjGIZl4/hAtCEll8DkciVCFQQbXUNjTheOjC+KRUpLETXwEeg9RAvZnRjTiCPjJs7eiqbWgu&#10;LCmLT0o55xd4+NiJA2s3bnVd7m5s4aDOcpFQWCypuFNMab+Mhu8cqSBe+bI5ivWCmpd5WTeEOM94&#10;dZ/zcm6LaF/j1yyVZucKq22QVHWdI6ImKseSVlnrsT0iKrm8qrGhuQtAopnX2ff32zYJh4gjjZiL&#10;4lFLyw7243Tge2AYym8I+EQatOvs7eno6W7v6mztbG9ua21sba5vbqpvakR1EW9qbW9p72zr7O7o&#10;piTddHWhMuGkihDipwvwjTuXed+ukZAKLfX27dsnT54gcrW0tGRnZyNmWVhYQOFJS0srKCiAfMAe&#10;EjOQ9k99+o0gIEfeC1Jtm5JSlMLTZC5ycDxy4FBORuZQ38DjB48+vfvJAngo23TE/9YMyhvYg+FZ&#10;BJWAX2d0dBQQOrBnn8vCRZpq6vIysmpKykwNBltTS5vJYjG09HU5NhaWS13dNnlswGE+Xt6RoWGp&#10;qalg1aZNm9zd3cnCsABYYWFhVVVVdXV1ZmYm4AfsQaKdP3++t7cX9CLjwSH4sK2vryfHQOoBeFu2&#10;bAHwXF1dzczMIO8APIAT+UBKPnv27PLly5WVlYGBgZB3wOHatWs3b958+PBhb29vPz8/UDMuLq6K&#10;XhYIEYcAD6AiY8wjY+MjomPTs3Ka2jpAOGAAx5BgREdtavox2ofBrara+vComKCwiIRkMK8ZUEQU&#10;wyn/QOfRXBkAD5paO8oqq5NSM3wCgsC8Ixu2erquWK5vaimvZisg4SAsvV1YHsw7/V/C52ZLFv5Z&#10;pppP/RIPE8x7wa/3UkD/ljD7Kj+jTFo7X0Rjs7T60vnimhKKOnIay1dsCAyOLSqtqW1o7+nvA666&#10;Bzr7/9H7POCHcqK9UDbcF6qmu5/CHk4fHB2h2zmhzwZ6BvpaOtqa2loBueq62rKqiqLSkryiwtyC&#10;/NyC4rzCElAc0hl1Sx4mUHWoN1QXMicNnrgQ9nSiZDOL8Y06l3lcowDz4cMHxNaHDx9eunQJj+pQ&#10;A0ZGRlB7ioqKIiIi0Hng3wyk/XOfWlFdSvrzentQe3JS0rosNhTJoX37s9Mzx4aGXz59RvqqzFj3&#10;dVrufGs2PaMmmPf06dOLFy8CeEePHgXVWAxNWiXLAXiQdwAe5VosiwVmK5Ys3bZl66F9B04cOXbi&#10;6LFjh6kWRQDPwcHBzs4OEDpHj7Tr6em5cuUKJGBZWVloaGh4eDh2kr4n+fn5ZPVXKD8YElCBycnJ&#10;wcHB+HtYvHixvb29sbExm81GhtgDRTg8PAzm4W+mqakJuXl6ekJKQgiCskgfP36cdNSEXszIyKCA&#10;R614RzU2Iigj9ABa+UUlsQlJ0XEJmTn5kH1Do+NAVCf9Jg9opJlHJRCe4BA0ZZU1UbEJoZHRQBc1&#10;VmHq3RW1rsKM0DbttJyitFRLB9WUmpKe6RsQfPjYyV07tq9eudLe2IStqKjLL6wvJLZcWNpDRmXn&#10;d0IH5knGzZXLFGF0iGj3SRtekTS+KmXSpqRfL8OKUGb7S6kuklUy4xOWl5RTV1RduXZzcER8aXlt&#10;fUM7Cj44DJ3X3T86MKMY0447QplpJlEJwBiCtaS8qqGlGTKurauzs6cbwq61ox17ahvraxrqqmpr&#10;yiorCkqKs/JyUzMzElNT4pMS0zKz07Nys3IL8opKSsorK2vq6xqbwc6a+kbUDGobspjwj/iMYnyz&#10;zmXet2vTsXXaEGQnJyf7+/sRofbs2YNwqaWlBZ0nICAgKCg4E2n/zInCo7p9ClHdPkUFheSlZTRU&#10;1CBHjh48nJeVMzo49Gzy8V/H4f3MgMCfF/IbMSAfwANU8Aiyd+9eIEdTnXqBpySvwFBVZ2lqMRma&#10;bC2mvo6urZX1WvfVqFI/73MBvn7nzngd2n9g2+Ytbm5uoBTpxrlv3z5IOgDv1q1bL+klh4A37ImK&#10;isIWtAP5oO2uXr0KxY8DXr16hatfuHAByg/qDaLN0tJST09Pmx7/B7CBoMgBfyqtra3QjtHR0aAg&#10;VOCqVavAvHXr1u3atevUqVPgJYAHZpeUlCAEQ3PQuo1SHvhYXdeYW1AExRabkJydV9jW2T00NoHo&#10;DFFCSEaUCmIT3R2jr76pFboQx4OR9BzT1Hyb03ScEdq+cEpTUsyju8yAeX6BwUeOg3k7Vq+imMdS&#10;UGTzCmjzCjjPF14mLL3jz4L75orHzJZJF1JvFWR1S+hdENW/JG7YJKdTIarmJ6FyglfSUkjccA6f&#10;gqQcU1Vz266DCak5dQ1tza0o6SDFvMF/wjxsUQnYouS4i8KS8hRqPfgCUK20ory8urK0sjy/uCgj&#10;JzslPQ2elJaakJwUkxAfERMdGhlBLRYRGpKYkgbw43ZSM7NRG0BgagaOz0rNyMrMySsoKYMmbm7r&#10;wHMGrjg8Rk1MynU4l3nfrkHYzdBSEHwvXry4f/8+gh2CFLTFwoULdXV1ofZ+RR8WKXpGTTLZioSI&#10;mKqisqmRsbPTwrOnThfm5l+5cPHV8xfTM0f/zTHmYN632cL5+vXre/fuAXhpaWnQamZmZgYGBsry&#10;VI8VKDy6PVOTxdAyMzFd4rJ4z45dAT5+aUnJ6ckpkWHhZ06c9Ny0ecliV7KiAsi3fft2cKu0tBTy&#10;7s6dO8+ePYMyIwPG4+LiIiIiIOaKi4vPnz//+PFjVDgMmht/CdhTXV198ODBNWvW2NraWlhYAKIr&#10;V648QM/bglPKy8tjY2Oh50A4R0dHFBJ8xcHkZZ6XlxfEH24BmrKhoQGxBiGGboScYh4USV5hMQJ3&#10;fHJqbkFxe1fv8Nh5wjzEJoCKMK+rl2qZbO/qIS/kENyBvey8gtaO7pHx8yRsgZFfxrUvHV/RefaB&#10;LqWV1clpGX6BIUdPnF6/d8diD/cFlmbK6irKQkLy/HyG8/gX8AmvnCuyjl/qJJ+8nwQjXZKdI6dX&#10;IaNfIWsQpKh5RlxhtYT0UgERpoQ4W0qSzeFY29ufOutXWFrVDXHXNTA4NDI4PNo52Nc39nffn5Fo&#10;i3uEnCWzqYFbIeGRkG5gW1pWJlCXmpkem5gQEhHuFxRI3D84KCAkKDAkOCg0BMwLDgtNSKaYB8IB&#10;dclpmfFJKZGx8WGRMZEx8ZDO2JOTX1ROvUBtx4VmlOFbdi7zuEY1KsKmPvzlLwh2b968uXLlCqIV&#10;adQi03zMQNo/dVEhaoiCpKgY4KeiQI1JgBw5vP9ARmracP/Ax7fvKNRB5JFZNOE05KA1Yd9sBxYY&#10;6h+VT16wASdGRkYKCgpMJlNJTp6hqqbL1tbT1gHw9LR1ly52PbRvf2RoeGFuXn1NbXFBYWRo2MG9&#10;+5a7LQEOASEySs+fHk6elZWFDOvr669fvw5JV1lZCXkXExNDOphA55EpoYFbGETetWvXALyQkBBI&#10;tyVLlhANR+YVO3PmDHQeNFx4eDgUJCi4bNkylFNTUxMPSWTtPTwweXt7h4WFkQlW2tvb6eBCDTkg&#10;owsQ9GsbmwuKSxGdIVnyCikhCIZNMw8JqumSYl4/vZxQNxiJ4xHLcQpgiZ2jExdJ2PoyqM1w5ICs&#10;kHlDc1tJeWVSajqYd+zkaY8928E8c2tzVYaasrCQLC+P7vfz9OfwrJgjvIZX4jiPrI+oWrKoZoaU&#10;dpG4drGEzklhmQPzhF35BBfzCHBkZSw1GU4uLpu3bQsKi65paB0emujvGxkaHoX/Y+Yh1KIwrZ3d&#10;YDaAVFRaAdl61scvMjYmNiE+MTUlOS01LikReu6cv99JrzO+Af7+QYFBYSFhUZHR8XEQfMnpaYAi&#10;xFxOfmFBcVlxWUVhaTkIh6eBxJT0qLiEmPjE+KRUsBBPEmWAKt3UOaMY36xzmce1mQb9B+Yh6l2+&#10;fLmxsRGP6oh3CLuk+6W0ONUVBWkJam5oimf0CARhOPZA1cGRAPDEhKjJzOj2TFUOW8d1kXOAr19T&#10;XcP9O3efPHz09uUrinZE5MH/VtvmN2V47CCvM1+9egVC+Pr6giUmJiYMBkNVVRXPHHo6uurKKsoK&#10;ihB5+rocB1u7o4cOg3a9Xd2XL1xErG2ub4yPjnF2dNJhsta5r9m5c+fJkydBtZycnMzMTAgykC8p&#10;KQn6DJqvoKAA6aioKBxAvqqoqOjs7ATqHj16hJ8e4gxg8/T0NDY2dnBwQG44Jjs7G1tku3fvXjwP&#10;gYX4atGiRQsWLFBWVgbz8NHDw4P0XoHOAxcLCwuRbV8f1aWQbtAb7qH7sIBDDS1t0G1xiSkBwWEI&#10;0FBydH8TegHYsfPDYxNg3tDoOD5C51VU1wJ4OB6qKLewuLquERTEwcgHuREx9zcd14WDMVW19aBA&#10;aET0GW+foydOrdq7zWXLOlMHG/yBSggJSIkI6QiLcUQlHAQll8gob5FUWS8iv0NA7pCk+hlpzRMS&#10;6sskZex5+Jl8PBwRYW02w8XZ4dCZEym5WVU1DY3N7b2d/QM9Qz19A/DO0eHe8+MAPIIrbhn3i/tC&#10;ISFbcTvYg9sBgMurasEk8D44LNLbNyA4PCwqLjYxNTkhJRn8CwgJ9vH38/bzhcgD/7AzpyC/rKqy&#10;pqG+vrmpobkJGhE1AHC2tHcBaU1tHRCyja3tRWUV4B+yheaj5WMqSA+xB9DSFTVKD5Cg3oCiPIj7&#10;M5DwP965zOPaTCMCCyF4cnJyYmIC8fHEiRNubm4mBoZqyipAmqwkNdhARlKKXhVITF5GlnpvR08k&#10;Rju1Hh72U4vNSkiqKCotMDJZs9Ld+7RXRWnZ5fMXXj57DuDRS7R/Bh4S3yrzSPst6hzS9tmzZ3fu&#10;3Onv709ISAA5IK+1tLRUVFTwwAGjOq1oMQ04enbWNqtXrDxy4FB6cmpna/vLp8+fTT7u6+rJTE3z&#10;PuPlusjF3MR0w9p1oA74VFJS0tzcXFVVBcJBtAFCcXFxiYmJuASZdRrp5OTkeNpw8PDwMNQeoIsj&#10;UQZnZ2cLCwt3d3c/Pz/QC3IQovDIkSNQcra2tvr6+hwOB+XU1dWVl5cH8yAuN2/efOzYMRwPwyXA&#10;TshK3FRX7wACzRfMG6ZVTnl0XKJ/UGhqRhYieBfd6IfARHCF0Iz4hJAESVdWWQ1Zk51fCDWTX1Ra&#10;09AERn4el/2PmIfQRjdsdpRWVJNWxLM+/ifPeG/3Orr+yF4X9+UMA11ZcVFxQX6N+XwMHn5ncbnl&#10;cmqbJZRX80ttnC3qySO1l1dm11wJFxHxhYIi5vKyi7XZbq4L9+zZFp4YV9FU39TS3t7ZO9Q3MjIw&#10;1jcwjIgK5vWMUx0mcSOk0RU30tHT19rRhWLghKraBnAIUjUjOw9wioiOCwqNiIiJjkmIB9vik5MA&#10;v/DoyPDoqMgYVE8ChF1uYUF5dRVo19Le1tbZAUcF4u6QM+oT94hQ3kmNeaCm4UZdZeUWxCUmR0TH&#10;xiYmZ+cV0KNEpqQ2+QlQMDj2EBJ8O85lHtf+riEKk36D5eXliHQea9bq6+iSEQgKsnIAm4iAIJQc&#10;JfvEqJ6Z0HaigkJE8OFb0E5ZXhHqxGP1mqjwiLam5js3br199ZrC2xfTidHM+/Fb1nlE3sFu3boF&#10;PoWFhQEb1As8ZWUAT01NDToPCaYGY4GxiZvz4u1btgYHBFZXVE6MjN68eu3B3Xsjg0MxEVFbN25C&#10;Va9zXw3gHdi7D8wD2Jqams6fPz86OlpbWwuVlpqaSkaawwj/sDM3NzctLY104wT/cMyZM2egMqHv&#10;N23adPDgQQhBMmMLiocTN2zYsHjxYiMjIxaLxWQyyRRooqKiADP4B/1Heq/gRgDa6upqMmc0LSmo&#10;sdgAFc2D4ea2DoT+sKgY38BgMA96BXCCHMEB4BnScBwGOQI1AzrimOS0jKzc/OKyCpADRyJ2I+7j&#10;mH/APHyLfOoam8GY2ISkwJCwc36B3r7+PvFRJ8ICN+/ZaWRtoSAjIyooqMwnpCooYquo7qCi6SSr&#10;Yi4kaTpPcMF8IUteYfP5QnqSUubKKo6WZls9Vh/2OhaeGFVSW9UzOtTd0d3f0z/ePzoB5tF4ax4Z&#10;agH2prQd1WMFBWhobi2rrCkoLkvPygF6k1LTcS9pmTmZOXkZOXnpWbmpGekpGelJaSlxSYnR8VB8&#10;CclpUL9ZxWWloF1dU0NrZ3tXX0/PQD/tfRDB5H1n/9QMLHCqVlEtIGt5dW1WXgGyiE1IBlaREa6O&#10;WkW4p+UdNRae1qAo5F958C04l3lcm2nTIRjiA2rv+fPnly5dwoN/SEDQiiXLGKrqSvIKirJyIJyI&#10;oBDgB8iJC1PtnGRAAhLS4pIQeYjRhnr6K5YuC/ILaG9unbz/4If3P10MiNCOcjr9jdn0O1TyFhOq&#10;uqWlBdQBbBYsWACKKCoqqqurAypsNhtCisXQdLJ32LZ5yzmvs2VFxTevXX/++Mndm7fxMJGRkrZ1&#10;42Zz0wVuLotPHDka7B/g7+Pr5eUFVjU0NODnu3r1KpQW+FdfXw9tR0aawyDy8mlLT0/HR+gzCDhP&#10;T8+lS5daWVmtWrUKmUD89fX13b179/bt2wAnRL+TkxM4Z2JiApGHsjEYDFlZWXFxceDZzMxs7969&#10;QCYIigtlZGTU1dWBeQMDA7SkoOQdYg0iDsI0IIdAHBwW6RsQRI1Jb21HUEZIwmEQdjiMxiQ1vBpB&#10;PKegCMIlOi4hv7i0vKq2qbUdmgYhGxmSY2agbtrpyan7K2vqUzOzQyOifPyD4P5BIYkl+ZHZacd9&#10;zi5cvkRbU0tRVpYlKaMjIw/g2SszHKQVzQQlCPOs+UXthCTNlJSXGhlv37gu2McrISulqKasuaez&#10;b3ykjxKw/WN9I8AeSkKNOxwebBiie6nQs3+1tHdClYLToDVoFx4VA8xHxsQnpqTjpqDAauqb6hpb&#10;CoqLsvPzUjLSwDxou5T0tJyC/OLy0ua21tbOjs7eHmruFXqset/QIDUVC6XziE/dKS4NR1Wg3vA8&#10;AexBGSelZoD0UbEJkMgNLW2oDYR46GnUM117XOZxmffNG2Ixad789OkTaXl79uzZzZs325tbwkNC&#10;oSSsLSy11BkQfHBVJWWIPFkpacBPQUZWTkpGTloGUFRTVrG1tNqwziM0KLipvuHOzVvUSnjIlUwP&#10;TSXoNWDhSJA935i9fv2aJF68eHHhwoWqqiofeq1z4AQUAT80NDSQINij1kzQN1y1bPmRAwfDg0Pr&#10;q2vv3rx17/adwd6+suKSmIjIndu2L3Nbsm/3nrzsnJqKysS4eDIOARqdLNDT2NhYg+hKD8UrLCyE&#10;mIuJiYmPj4fCgxqDjj9+/Dj0JTjn4eGxkbajR4+CmmNjYyMjI9B5BQUFvr6+69evBw61tbUh8lBC&#10;JSUlAA+GolpaWi5fvvzQoUPkTR7OhYgEJnF1EJdICgRZBFxEagQe0msxLDI6IDgMzKttaALbEImG&#10;x6ipNQdHx0n7GxRJbUMzlFAUPXq9tLIakMCBOJKO9f+ceUBpcVklkOkXGAKF5xcUEhIelV9ZDk9J&#10;Tz9+6tSaZSusTcyM1JgsGSVDBVVdGUWmuLSGiLiKiChDQlJXWXkBi7nEyXnXZk//4ICsvOyy5tqG&#10;3vau/p7uwb6xnv6x3oGJ3uEL/aP9I+N9Q6N1oyM1w4PAWHVdQ2lFFd2GmQtVl5CcGp+UAkcCmhX7&#10;K3BEcyv4BM8pyEvPzoLOS0xJTsvKLCgprq6va2pt6ert6e7HU0M/mYQMtOvp7+vuozTuF043ctL3&#10;SytLSNt+PBYgf2APl4uIjgNuq1BqquZHqFZQLvO4zOMasekhcdOCD9hDXEaQ7Whti42K3r7FE5JC&#10;XlpGVFCY6pZJD8Wj395Rw89BPhBRX5dD5hXr7ex+ePf+u1dvpvpnfvyBpt0PP3789OOHT9jSTZ3f&#10;IvOIobavX79eVlZ26tQpNzc3Y2NjyDtlZWXgBFABSCD4tLS0sB8abtuWradPnIwMDYPO6+/uaW9p&#10;zcvKiQwLP3fG6+TRY14nT6UmJp0fG799/UZ9TS2kG2mozMrKysnJyc3NxVUg9QAw6DbADzuh84BG&#10;sBagAswWLVoEnrm6ukKrQaVBogF4EKBDQ0PIaufOnc7OzjjA1NQUDAaMUTbQTkpKCoQG8Nzd3bdu&#10;3Xry5MmzZ88GBQWBebgEQAteQudR4ZVugaR00QDVYgkNVF3XCAaER8WCAcADENjW1QPmIRyPTFzA&#10;8Yjdze2d+ArMgFiBOgImGlvawEY6xFNCB4EMwQs5/01HjAN+svMKcJVzfoE+/oGhkdFxSSmF1ZXV&#10;rS1Nra0FxSVRwaF7PXcsNrPhKKqzJGTVBMWUeAWU+YSUhUU0paSNNTWdTE3OHjuZEBFdVFbc2NrU&#10;PNDVMdrfO9Tf2d99YXBkon8IzDvfO9w3PNY9MFw12F/a05VfVAJhB5mFMoPW2II9yWmZuJfyqhrc&#10;OO4CEhBbaFCoQKAuPjkJ24yc7NKK8qa2lm4yq0t/HyBHTTBNt2riY1dfL2Qf3ZJJrS+IqsLtU+2c&#10;I2N0xxlEdqrRElQDSqGk07NyYuKRc1pJeVVbZzetPkFN4JPbtsllHtf+FvNgEH8vnj67f+dud3tH&#10;TESU56bNkHEaKmpU/8zp+aOFRWQlpbSZrEWOThvXeaQnp/R0dD57/IRaAOjDRwpvUy2ZXzi1Eh6F&#10;QIqI355BQE9MTFRXV4M6wAmbzYakA/AgnkAUCD5DQ0MAxtHRceXKlXt27Dp2+IjPWe+IkND0lNSC&#10;nLyUxKRAP/+dnts9N2/xOnUawGuoqX3yaBIVfnHifElJCbAHMRcZGQn8ZGRkQHINDg7evXv33r17&#10;ly9fbmtry8vLCwsLA/Cg7ZycnKytrXE5Ozu7PXv2gJGjo6O3bt0CIysrK4ExFxcXPT09lAoiT1NT&#10;EyWEqaqqIo1TQETIOxyGe4EFBgbiosiE6LzhYQpOlGijIYQ0ojOCLwQcLUSoF05I5OQXQe0BVO1d&#10;vYhECM1QdNTc0PmF8cmpcYkpQCP2tLR3QSzSQf+fM6+mvrGotDwxJT0oNBzMo9chSsO16qheMN3A&#10;b1d7V31JZWpU/Mmd+9YsdHMysbDUNjBkaZvocIyMDCwtzRcvd9u8Y2s6dFJlTXNPZ1t/T8tgb+cY&#10;FBUkV8/F3qHxzr6h1u6B5s7G9q6aptbUhrq4yvK0zGxwGmUGb8B1fISwg9yE/KJF6iBCL5DT0NwG&#10;OialZVDAS02hgFdZ0dLe1jc0QE1CNjIMzhHg0VNLT73MAwVx16hPZIJ7R2VCFpM+rjTz/hrfaxub&#10;6YH/aWBeQXFpXWMzQNj+RR/O6YO/Eecyj2sz7d27dz/SBvh9KfWoxsmPP0zef9hc3wDsHd5/AGxT&#10;U1KhxjDQnTah9pgaDJeFi44fPpIQE9tU33Dj6jXQDmzDuXRHzZ92XSH+6Qcc8+ndXwcIfiP26tUr&#10;6K3MzEw/P781a9ZA0klISAB4SGAL5WRgYAAO4SsQ6MyZM96nvXy8vAN8/cC8uGigLCrAx+/EkWOb&#10;PNbDg/z8y4pLutra8ZCBWr159Royr6qqgs6DkoOlpaVBtwFgz58/f/v27cuXL4E9iDDouX379q1Y&#10;scLExASXI+sNHT16NCUlpaCgAGeBXoAZBJytra2uri7ADMhBjELeKSgoQI+amZnt2LEDQrCioqK0&#10;tBTH+/v7Q+fFxcWBqbhoT08P9CKiDMU8Wn/QzBuH4IMCg+6BEEmlpxEBJPCxvasHYMCRjS3tkERA&#10;AlAXl5iclJoOVmHn51mqEcL+OfMKS8oysvOi4hL8g0J8AoLCo2LwsayyurO7t6u3r6ezm5qhua65&#10;vrQyNzYp7LSP94GjRzx37dy0ee/Wbbt37zx4cP+5IN+E9KTyssq2to7Oof7Wvu6G3s624X4wD7cy&#10;2tHT39TWWd3YUl5bXFmTU1QSnJvtnZqM20lJz0pJz0zLzAHLcV80byhhhxvsHx4dnbiISmhsbcdN&#10;gYvp2VlZebnFZaUNLU0AG4BHJpgG6vqo1RXo1YWIU2sMTbVqUvcI9k/Bj5J6qAqkkT8+4ltcDhdH&#10;1cEBXShpqqdpVw8Ow8GI+9Mw+Eacyzyu/QIDBRErHz16ND4+npWVtWXLFggRPOnLyMhAmujr61tZ&#10;Wa1evRrh786dO+/fv4c6xCmkL/5UFt+kTS9hASOPEa9fv75582ZxcTF4hkoD58APoA44QZVCSGGP&#10;kZHR+vXrAQ+ABwbZFEobGHn69GmyBREXLVoElRYcHAw1NjQ09OTJE9Q8xNy1a9eANIAHwEtISCAL&#10;keOHg8hDAVAk/EaQX+Hh4QDe8uXLrc0tnB0Xeqxec+TAwYjQMIhIwBVMXbrY1cnewd7G1tHWzsLU&#10;jMXQpNYwUlQG9gBmSENPT09cAoi9ffs2MkxMTPT29j537hwkJoQmEZe0zptJI+LQbeABZFBMfCJC&#10;f0Z2Lt1FhdIikGjZeQWxdNcV4LCgmJpPq5NeEI4K958b9+hYRvW/p6UkpXtouA529PSBjiAceBkQ&#10;HHbWx4/qupKSjvyxH2ILl0DgI8VAAh+xE2DIyi0gs3nh6iUVVfXNrYAE3fuDGnJHroXjwWyUpKO7&#10;F9wqq6zJys2HqguLjA4MCceFktMyM3PywDooVyLsUE6UDaeDRsNjE4i8ULo4MT4p1T8oNDMnH/dL&#10;Rl8gZyCfVmz0Pf4SR7bInyAQH1s7unALqFXi0HxVtQ24Lr7FJdo6Ua6ZOfzPdi7zuPbLDBh78+bN&#10;gwcPOjs7IyMjd+3atWTJEmNjYz09PSSOHDmCIIuvXrx4gSMJ8xDlucwjLcak9kCd7u7ukpKSEydO&#10;QDyxaNPR0WEymUAdgAfsYT9IBs1EOqHAAI+MjAzUOWjnQ0+e4uvrC02GI11dXQ8ePBgfHw+lBard&#10;unULjAH/GhoagFXSLTMpKYn0wATqyFyaICL4tG3btsWLF2N7cN/+U8dOnPM6C/c+43XmxMl9u/ds&#10;WOexZpW7i9NCywXmxvqGbE0tJTkFBRk56HuU09LScufOnWAbaIpsgdvR0VHkCeChhPhLAGgJ82AE&#10;LT93BOXquoacgqKElDQwD3ADKiBNEJ3TsnKAq8jYeGwzc/Mrqqe6a9JI+Mw8yqcaThHHEb/oQEZ1&#10;XES20HMgSkR0LCXyAJaIKGjK6rpGgBMYwxb50FyhMEZ21jY0gwrgIs6trKlvaAawelHOHrq7BwEq&#10;CjCdf0ExVVSQFZIOQE2kpsGkxiGQFQ+AMRxJLkTfL1VOmtNUzIXswzHJVGfO2Oy8QghBHEO+ApDI&#10;YZ/v8V91QuWpC1HM60YhAVQyKCK3oBjPDbgjHIZrIfHlud+Cc5nHtV9mRKZAuj18+LC3t7e0tJQM&#10;2HJzc0MEr66uvnz5MpEaiPIwHMll3vTto1qeP38OGoFPu3fvtrGxkZeXh2AC5CCYFixYQMhHFi4A&#10;1cCSq1evoqrxkAHdVldXB6JA0kHtpaSkhISEgIt44IBSxE9w9uxZaEEwsqWlpaysDITDz9HW1oaP&#10;eXl5gCWwV1VVBdqhAPgW+YBYjo6O+O3OnDlTUVpWX11bVVaRHJ945uSp7Vu2rli6DAoPzFvk6GRq&#10;aMTWYqopKSvKyqsqKQN+0Jfbt28HTcGz+/fv44eGeAVroSnBPIAZiezsbJR5gDY64v8NR9BB6C+v&#10;gk4qADNiE5JiEpJiE5JDwiODwyNDI6Kj46g1BErKqwA8Iq2mkDDFAyq+Ix8kiLjBRwR64ArxPTUz&#10;G6ALCA4F84LDIuKTUoCoxhaq4ZTOhwInzqIAQAVBavkFZE738ugF/7DFFZEzgiNUI7kuAR5V4LwC&#10;sA1AjYyhuqiAdhBSEKPl1bVAHa7S0t5JBl2QHpVEHSIrpEHBlvYu8LW4rAKQx/1CX4KvABUcJSGI&#10;xb1MB+t/0XEidTpYTmeFu8CzQk5+IWQoPK+wBDUDmUvXHhX3Z5z+P965zOPaLzDQCxgjERySZXJy&#10;EoEYYRQh+PTp0zk5OfhIaAdlQ2jHBd6X9ujRo4sXLxYVFe3bt8/MzExTU5NMX4I0OAfFBvIBYFu2&#10;bImOjm5sbATwXr58iapGfT579gzkgG4D9sC21NRUqEB3d/dpvYWHj/DwcHwLdQWmAnJAHTR3f38/&#10;9B9OiYqKAqIAIRzg7+8Pabhx48aV9JzRaWlpl89fuDA20d7ckpyQePTQYY81a50dnSDvnJ0WWplb&#10;cLR1NNU0NNXUOWxtSzNzUPDYsWPIE0UCxfFb4+5evXpFJpEB85A/SkKYh53Ql4RwP3dE3s7eqY71&#10;+UUl0HaAB4RdSERURHQcVBoECoBHD0/oI6GKaCYStUEFRHns6aL3w+meLy2QWdBP1FSWvv5QeAAe&#10;Wb0BGo6oHNCLiCEEPjgSVFb0TlxlOnNcCDuRLfQoUIecK2vqCkvK6Wk/M+hOpzFRsfEJ1Pu7PAAM&#10;Wq2NmkQNeKOGEFD50HqLzpxiHi6EAk8zr7C0HAIROeDeG1vaKADTyyfRN/irmEfP34YckBWF6u4+&#10;CDugDsDLzisA8vGRkq70Gnu/Iv//7s5lHtd+gRHmIcABY0gjECMiQzdATCBAT0xMvHjxAt9S+o5G&#10;I5d2MNQS6goJVE5HRwfocvToUagrNTU1LS0tAwMDAM/U1BRyDdhbvnz5/v37Y2JiWltbr1+/DpyQ&#10;c0lt37p1C4zBQwYyiYuLO378uJOTE4PBwBa6qoDucgIOwfAUAgSCcBB50GGkiyZASL4CcckgPGjN&#10;gIAAiHVk++Tho/Hh0ZzMrKMHD691X73M1c3ZcaGtpbWZsQmAB22nICsHqbd44aL9u/f4eZ+DoARQ&#10;QXGUjRQSNwi8kbZNX19fXA5wJfOwUPYz2n12ijTAHgJxfXMriFJcXgm1BN0DbkFOAQwQgojShHaU&#10;02d9xtKUfiJQwWFQSyXllUAQkBkQHObtFxAYEhYTnwQdCcUD7YXL0e+6qHBPwEAzjxpRjp3IBHlO&#10;Z44QCalEGmCLyyozcvLAOaAUejQpNZ2884O4KyotR+YgIjULKD2zF7k1chU6qyl80gnKUWaQHidS&#10;rxtDwnILisB1ukhf6Lyp03+Zk0uT+4LQrKipy8mnWl+h9kDlmnpqrk7kjwvNOPFbcC7zuPZrjDAP&#10;Rlq0IEEQncE5fEXkHTmMa8TIU8KNGzdSUlK2b9++cOFCHR0dJSUlXV1dGxsboM7IyIjD4QBdnp6e&#10;SUlJDQ0NUMx4nsCJU1nQdY6qfvz48fj4eFlZGeQUhBoUHpi3ePFiYBJ4A4eSk5OBw7CwMDKRGI7E&#10;/qamJghEQAgg3Lp166JFi+zt7VetWnXy5EnosHv37t2/f//Jo8nOtvYAH9+VS5c72NotXui8xMUV&#10;Ik+HxdZS11CSU1BWULQyMz+8/2B+dk5XW/vdu3cBPFJCsiVtmyg/mOft7Q1ZifuFxOzu7u7p6aED&#10;8d9zigG0QBkgHU/AGNALYoi8usNXtFPiiRw/zRJyFgIZIhm2wEZRaUVKelZEdKxfYMhZH//QiCjw&#10;CSoHTAI7ySAHinB/M+JPvUKbYhKAASzVNjRBG4FJ4ChoFxwWGRIeSbrbQDY1NLc1trRDAoLZKDPK&#10;QMusqVlRaDz/9R7pUEu9QRykZw4DTYFnZOXjHwg5S/VhoWmHTJDDr2MS4jhdfqo/J+jbSNbno5cc&#10;ys4vLKusRoFRyTiA3OmM0//HO5d5XPuV9vc0HGHh1Aeu0fbkyRMQAqHfy8vL1tYWwIPC09DQQGLB&#10;ggVWVlaQetiuXbsW0i0jIwOi+cqVK+S1KMmBVCnQApucnOzr64M4g5YC7VgsFlRjYGBgfX09RFVO&#10;Tk5qamp0dDT2gHxgIYQXDOkTJ07s3LkTxEUZICgh8iIjI8+fP//q1avR0dHG2rrUxOQDe/a6LnKx&#10;t7Fd6OBob21jamikJK/AZGgaGxgucnQ6uG9/QU7ehbHxyfsP8AdAnnKmi/fmzRswD6AF8Mj0Y6Av&#10;WNvV1fUPmEciO2IQ+YgojD0ISwhMCEZ0BKe//RygvwAetR8gBBeh3SDgqqkF+UoSktPozpNh/kGh&#10;AcGhydTIuALoRYR6ijfkcrSKQj5ITJOJZItL4xLIEIBEhtB2lEjKyUM2KfQ8mbS8y8ktLC6tqKZb&#10;Sql5QVEGGnVTjvSX9wWAYUuYhyORoEbUjYzjxLKqmoTkVDITTXlVLaEmmIRM6HqgMvlFjvLjcsiE&#10;NJ9C5KVn5VCITk1HPeBjS0cXijddsBmn/493LvO49q8a4u+XnJsBNsRi8i22Hz58mA7WXIP6GRsb&#10;a29vLygo2LZtGxClSE+kCeCR7pqmpqYODg4rV67cv39/QEBAREREYWFhb2/v9evXCfZQn8gEgCE/&#10;wdu3byEZgT2wDaINOUDtHTlyBGeRecWys7Mh6aDhYOAcvjpw4AD0JYQdpKSFhYWzszM0IpiUn59/&#10;+/bthw8fInFo/4HdO3Z6rF7r6uziZGcPSaelwRCj5g0X1mWxIf5OHT+Rn5N7fmz82eTjV89f4Nam&#10;/wbIT49ColTQdmfPnj116hSgC/SiPB0dHf+AeUOjFNiQQAyCAz+ISTQSqA73+Ejvh7yjuvgjWk0B&#10;7zNRaOZR8R1wQkyPS0wOCovwCwwOCAkLj4pBqIc+I68DcRgZtYYckOcU8Oi3X3CCJZI5vqUIWtcA&#10;GQfUxSYkR8bEIZGVW1BYUlZRXVfX2Ey0HfxzV5d+MsyAAtvUfVHMxi1MX4iQlVauFOnxFXhZWVOX&#10;mpGFoiampJdUVNFikZ5omx60Tp/+k5D9rzjKj1IBeNR7zdLy+KQU1AbImpVXAEhDvKKQKBV979w+&#10;LFzmcY1rv8oQ9wH+GY8C2Pns2TOifoA0aCwFBQU5OTl7e3soLXyE2gMCXV1dT58+DUgEBQWFhIQA&#10;ZjU1Nf39/ZcuXYJAJI2cQB3JE+SDMgOrysrKcBayWrFixZ49e3B6Wlpabm4uqANwHjt2bN++faDs&#10;hg0bQDsoQgAPBpHn6el57tw5AAk5DAwMNDc3JyQkLF3s6mhr52TnsMRlsb21rZY6Q15aRkVBUV1Z&#10;xdnR6dwZr4qS0rGh4Yd375GpU1EkUp4vX1iOj4+jDLg6sAdDgkzF0traCuVEx3qqjwaJPqDa8Nj5&#10;6WD0LzqwgS09zxYFSzAPhGjt6MotKIZUCo+K9Q0M9vEPDA6LAP8AKjLFF6BIU5NiHniDkIcEPhKo&#10;0EyiXgoCSO30G8Gp7pSJyVGx8VGxCdHxiXmFxSXllaAdmcSEPpeIzpkl/Gc+1XEGl0b8RYbIOSk1&#10;IzM3P6egqLy6FtijlSs1udrI+IXhMcJO6lpwJPARO1EDdE0SdFGFp30Q9Uy9GW1qgbQF7xNT0kIj&#10;ovEQAHKj/KRVE0ciK+rBYnT8Z8X7H+5c5nGNa7+ZIfR/yTykIc6eP3+OiH/06FE7OzsmkykjI8Ph&#10;cKC6ILMAKn19fVVV1dWrVwN1gBB2+vn5hYWFgZF5eXlVVVWd9CI+9+7de/PmDckWsIEBe8BVRkbG&#10;rl27tmzZ4uHhAbbt3Lnz0KFDuBa2QCyYh0vs2LFj06ZNuATQCAP/AEJIwODgYFwRWPLy8tq7d++q&#10;5SsWOjham1uYGZswGZqyklKqisqmhsarli0/ceRoYW7+2PDIw7v3ofCoSXO+YB4YTO4abEZRIRlB&#10;UAhWHx+f8PBwlBBkBfaIdkHQIeEbAR1pWnXNjEr/2KeYRw3Fo4Ug3VGzrbObhHhoGoT4sMjohOS0&#10;/KISqKjmtk5qZT56uQZAgoYcxQkKfqThlO7c30mNLqcEVnlVLT11Sy5ogUyollGadlV1DXVNLYDr&#10;1LRn5C5+zdxddAsq3cEEpwPJRaUVuFxqRjauVVBc1tDSRreUUlgaGqN0LY3kmXr0cz1MUZyqB/pV&#10;aA3dHpuRnZeYmh6XmAJmA/++AcG4nbLKGhCRvl9qaQtaTHOZx2Ue17j2aw2q7kvmffjwAdLn5s2b&#10;WVlZUHLy8vKSkpLKysrOzs5AQktLCwhnaWmpqakJ4QV5hMPi4uJ8aQMw/P39IyMjs7OzGxoa+vr6&#10;Hjx4gNxAPugqkj/29Pb2go5QVGSGaAjHZcuWIb1161YAD/CDEDx16tSRI0cI/2Cg3cGDB7EHXx04&#10;cGDlypUQfzh3udtSextbY30DpgZDTkoGzEN6zUr3yLDw0sKiC2PjVHvm5ynCqRnjPt8pbnO6bfP6&#10;9euNjY0FBQVRUVFkBrL4+HjcQlFREWiBgItgPcU8+r0XEjNC0j91EvERt2ipRE9mRo8lr29qpQdf&#10;U6uwQt/RvUtaEdfwFaWZ6LHnOB5bmh8DyIH2v44cwPG1Dc306PKshOTU+ORUSD0IPmAJgRKOs2jk&#10;UHqLJgc1QGJG8f6p07dMyk/xHjyuqq0HZZNS0yErUfLSiioUBpfDtXCP5LrdnzvyIIGP2AlII42s&#10;4NhDjXxobAbjIRaT0zLCo2ICQ8ICQ8JDwqNCI6KwTc/KraptQIFJyXEWmPcrnjn+uzuqjss8rnHt&#10;NzMKBZ9hAN1z69atpqYmMMzY2FhcXBySzsTEBEyCAGprawPSHBwcIPXAHlChtLQ0MzMTIAQtgDHI&#10;L6ARFITgKy8v7+rqGhkZuXr16v3794nmA2Nu377d3d2dm5t75swZgBM5Q/MBaTgXGg4aq7CwEMIL&#10;NE1PTwdWU+llFqApwTxoTYg/AM/Gxsbe3t7OysZIT19LXUNNSUVDRc1Y33Cd+xqvU6eb6upHB4ef&#10;PHxE0Q5o++zkNkE7Mi4FacAYZZuYmMAt40K4C29vb2APt4Crgyitnd2I2oQ0iLw0Pyix8oucMA8y&#10;axpgpCWwua2jtqGppKIqv7i0qLS8uq4RtMMxNKim4fqZVZTsI2KLer2HIyGPCkvKs3ILSC+VlHRq&#10;5jDsQZ4Qf7gcTYgvG0KnnJTqX3ecThVmiGqexdVRvKbW9uq6hpSMrMiYeLAKgg+aFaBt6+qh8EaD&#10;Fifi6qQA1C33DaBU5KUdKhaoAzWzcvNxLoAHYEfR/Uv9g0KDwiKiqUbeDPIQQOqcKjZ9R/gtpgv2&#10;jTiXeVzj2m9pIMF0ox90WH9/P6L/3r17dXR0ZGVlDQ0N3dzcdu3aBebl5OQAaUuXLgVvIMUAvKqq&#10;KpCPDKEjUg/AgGCCVEpMTEyhJ32GihoeHiZNnWAMlN/k5OTAwAC4iDzP0RYTEwPOYee1a9dQhrt3&#10;70JrwsDL8fFxAAksPHz48JIlSyDvoAuRQBkAPHVlVWkJSSV5BTNjk83rN4YHh5QUFN24cu3R/Qfv&#10;phe4/wTcUcwjnPvyfklDLsozOjqKGwFZqamxvb1xO8BeGQJzYzPFDzp8U8T6Vf0Sp5hB6xskEMRp&#10;9lAMaOsEAzqbqK4lnUgjutG0IAfjXKrbJNUphpZKOBdXR/zD6QAM8AbU0aPgUwC83IKicsii5jZ6&#10;IhWqcwqNhymNSLc90sMEp3L+BY7rIjdkhUoAdbAHJQewAViwCaCKik3IyM4tKqUW1wMOgXNcjj6F&#10;nP6Z8e2ddU0tkLY5+UXJ6Zl0R5v48OhYZJKakYUccCMAHllHAsBD9ZPZNZEDagC3Q67+rTmXeVzj&#10;2m9pIAFhALaXL1+uqKjw8/OD/NLQ0JCWll6wYIG7u/u+ffuAAfAMamzdunXLly8HqEpKSmpra2tq&#10;akivS3yLE4ENMA8GngUHBwNm+JbMYHnjxo3Hjx9DSoI0d+7c6enpIYP2wsLCIKqAxuvXr4OIpFTE&#10;8BHYq6ysRP47duwA52xtbQFdFxcXqE9tLaaKgqK8tIwOi71mlXtEaFhrY/PVi5c+vn3/44epdaCQ&#10;oBa7J8tCfb7ZaV2LxHvaoD6bm5sBaUAdt4Yt7jc9KxdapL6phW7hpGCDiPMr2tYQsokDOV86KAKG&#10;IUOEcqJgKMKBeVNYnWIkQQ6cBthge3dvPT2GPS0zh7z6iqdmVMkFSwBOHEbUGK0XKVKCNzTwiPYi&#10;jaW/1KkCUAWeknpU2AVZIUyz6Qm1Qa/E1HRwi3qRSA0hb6ypbwJ+8cQARwIfsRNasLCUmg4mkZqn&#10;lFqiLzqOWl8wEcTOyQezoe1CI6NDI6LTMmnh2NpOojx19f5BQlzUxs+K9z/cuczjGtd+GyO6B0YY&#10;gNAPMiUnJ2/btg1ySkFBQUpKyszMDMwDb0A7KK0DBw6sWrUKMgsfwbzW1lagq7u7G/SC2gP2IiIi&#10;kpKSSJsksoIBJKTFkszpdenSJZAPsu/WrVvQcOXl5QAkRBVUY0dHBwgHzgGKpFTAZENDA7IFdEmv&#10;UUdHR0tLSw6HAySrKCqxNZm2llZbN26OCgtvbWq+8/9n7z/crKjStg/0vzjn+s73vWHGec2BnDOC&#10;5GgAQQEVAUFAkgFQBEZFaLqhGzrQOdA555xzTmBAzDnnNDPv+a317F1sulsHtFGgn/u6u67a1VWr&#10;wq69fnVXrap66+3vvvra83ymQR3Akzf9ukOes+IiPn7++ecsTEFBAQsMtoE3sfVYQBBBKsO+QI56&#10;x1DHxqweVdK/tQCDWttld+yT0CbtObEFlVO4SXgCPD6aMW1jFpaDLAceImJig8MigkLCg0LDiU0Z&#10;OXmwmYWECrbZpDDPZju5IeFcdrxoU5RQhy7LgFmFuqYWe2GvlMMCFiDa3iBxIjRC4AfFAFhEtDE9&#10;fPQcSBdKG86lZaRmZBPpklIzTprHc0cRGUEgZRaXVZImmRdbRuYuBwf2WKHnEl7dVuapVP0jz7hD&#10;9/vvv6+vryefATxSFCHvuuuumz17NpBbt27d448/vmnTpg0bNixevHj+/Pl79uyBUs3Nza+88soH&#10;H3zQ1NQUHx8fEBAAvZKSkgiL8IMImJ6eDvygGmEOKCbbt9N1dXUR6b6xgrIwklAFbFJSUlgAIhfD&#10;4dAPP/zQ0dFBBFy/fr3csbBixQpwKyddb7755r/991+mTZm6Y8vW6IjIhtq69956+9uvvv75+x9+&#10;+v4HeQnieeSzOQ/gORfzHPFRLjSyFhkZGSzn4cOHgfoBL2//oGCiDBnFNKS0jSl61EcXYltlm1rb&#10;IZAAjyqMMqnRMP0eOUyAZ9PhuSxoXgxUWVMHIeQFQCxbmG20wuLZU5rmhkLqRCpISGnnZeBqJzcJ&#10;leGm5IvPSbZAc4KUhbcfXe/RZRZVtebiHOQDe/LAF4LaEb/j3kePeZkbMI5gc+vh0WMM9PMPDDhh&#10;3rEE7dKzc/OLS1lssqm5Jy8zh/AXcCI0NCI6OS3T9TKjFlO5t3edzzx7pXBAWZmnUvWboJ1IPpLD&#10;9u7dO3Xq1GHDhsG8W2+9FeatXbuWnAfwHn30UTLfnDlzFixYsG3bNkBFvIN5X375JemNzMdHyAfD&#10;6BLgwB4praysDATGxcXJFb6EhAT+RaTr7u4GafQwGuOfOHEiMjSsvLj07Ktn3n79je72jpKCovDg&#10;0Of37V913/2L5y+YO3MWkW7KhIm33njzrTfeNH70mLlz5xJJw8LCJCB+/PHH3333XQ+eXaDIuJ99&#10;9tnrr78O9lg8FpVwKXcfQmtmAY+Lioqqq6uhMpxutWJzQX3EVMgZQvZ1xHDG71PyX8QkTMjkMryz&#10;s5Mt097ezhApXIoqq6zOLyqBF7DuGPQIjzT3CVRUuejYyz2qzn43BIKgRM+Siqqc/MKU9CxgFhOX&#10;AL3cNq8oIuGR4WITkomn8CzD3CJfBtMwPZk5+amZ2aERUccCT0SejOMjCGdNQbjn8QG1vj0acN3U&#10;z3A5FIABjAAM6uwL9gyPXY90cb+/6VxWNvdZMgIfwQbjyIEI/GagOaToMvfj/wHb7WKtzFOp+k1C&#10;CLoEILJOeXn59u3bR4wYAfD+7//9v8SpWbNmEfIYCPYefvhhYhZEJAWuXr163759hLO6urpPP/30&#10;7bffPn36dE1NDUkOeoWGhpL2oF1DQwPVNxV6SUkJ2IiJiWESuciXn5/PQMahK7D08zkaGx1TU1HV&#10;3dEJ8A4fPPTImrX3L1uOF81fMGv6jNsnTR562+D/+es1Q24bNGfGrKeeeooECWvfe+89aMcqyEpd&#10;rEA+4Y8SWJHXXntN1oLA6u3tLSc5jx49KtgTiguBBFSeclgFtwwS3XL9uy/JCIzPVIjJkQwR0c+M&#10;2IywNjMnD2aQkoh3pKX4pFT7wgHq9p60E/eoOvvfbn7UNjZX1TVUVNfCKvgHtIBZQXGpdRkfyW1F&#10;pRXlVTXyLJjqOvMgGBJenrnnIedkQpKcFyVSExkFeG5WOanUfBRK2VUDhObaKtwV8gmu+K8Fnjxc&#10;zfWgGWdyu1ks/+x1WfcQB6tmdSjBPcfLxco8larf5HCCev/rr7+GeTt37pw0adKNN974f/7P/7nm&#10;mmsg3KpVqwh5JCo4t3Tp0okTJ44dO/auu+7auHHjwYMH09LSoN0bb7wBeMh8hCFCUnBw8MmTJyXP&#10;MfCtt96Sd1lkZGTExsbCPLIgIyQmJkI7JiEIwshjR3z9jhyNjYrOy8oOCTqx+oEHZ0ybPnfW7EXz&#10;Fsy4ffrEseNGDB1203XXk/Pmz567fctWwFlZWQluf/rpJ1mL3yaAJ0mXrUFmPXPmDMWyqAEBAeQ8&#10;z3swmGN6ejrYq6ioAI2QDyYJrhDM88SeEAu5+NaXZATEyFIIItjxL3qkKD4yLxaJzBRm7jqPjo5N&#10;SM3IgiWQBuJJxd3bParOfrdwwrLHhR+TljpPSSMa4RAjuJvkdHaeerndZim4Ym9FLyenAjxCHisV&#10;l5hsn6ltXjcPezpPvWQnNJyzMc7c0VhV21BZU0+yrK6jpw6CgtiS8sriMmPISpku3FrQMrCkvArW&#10;koalQU1pZTXTUiZLaJfKYNWgzn3+WZmnUl21oqL3pAU1PvQiogGz2bNn33DDDTBv+PDhc+bMWb58&#10;+UMPPbR+/fqVK1dOmzZt/PjxC+xbDp544omgoCDwQNp788033333XappAhwwI7dRFIQgpsC8999/&#10;/+zZs1TuxLK8vDy5zgcaiX1xcXF0jx075u/r98L+v+99es++Pc9u3fSYeRneHTMA3rjRY4h3t9xw&#10;46033Txq2HAy396nn0mMi2dezPSbb76R5QddrM5v4J9nQGSbfPbZZ3Aa0hDsYDPYg3mQjx6hNSmQ&#10;VSbzwSESGCvFkkA7Cy8jT9qx+tLfW/zLUxaCRvRTAmUiPnLcQBRmq8pDxUh4yWkZtsWKuXuBOroH&#10;6hx71puXwhZsbry5CdcDhK7/2n91nX4F5pG9TMIrLE5Ky4DixDv7xsEUhphHxthLmxTe0X0aCLGO&#10;1fWN5VW14Cq/uDS3oDgnvwg02shrmr2Yd/aGkxHD7S19po2Mh+OiTuJ4kjHdiGjTlCY+KYVpYSHz&#10;ss1hTF5kdvSzYMzRUrDnmv65VuapVP0maSHp6NNPP4VJEGjHjh2w7ZZbbrnpppuGDRt2++23L168&#10;eO3atXAOHE6ZMmX+/Pn33HPPmjVr/v73v/v5+QE5an+oRuCjpia6kdukZQqVNTwAhxT+8ccfA7/u&#10;7m55PR4ICQwMpOvj4/Pss8/ue+bZHVu3PXD/Cjg3b/acBXPmzr5jxpQJk8h2f/vvv/7PX64ZOXTY&#10;PXfeZZ4rlpzS3txCMP3R/WTwf53/QJnfox9++IFFfeedd0hX4DnKvt6dRIsOHz5M4GOBybJAPSsr&#10;CxoxmiQztoD0wDOT8iz5+GiyW1+y4DsnxhQ505Ij2VBszMzMTADsxkMyeCD3kKuoC6kHe6DOsWe9&#10;eSksJLP95iShk5PIYSweCwZI5PwhA6mp65tbiXfwBuoAOfMYF3NKMzw2ITk7r9A0WrGX5ZicSEcX&#10;NJZWVJPbsvMK0jKzk1IzEpLT4pNS5aoh0TDgRKjv8QB5H8XhI77mPfXHsLnDTwZ6+Rw95C0+QpeB&#10;ASdCIF9KeiZlCmJZBUDCKgjwgLTnOl4OVuapVP0mhxNU9PR/9913r776KqEtLCyMtEfCkxejDx06&#10;FATebTVjxgwQSM5buHCh3K6+f/9+UhoMg5fw7NSpU/RQRwM8whzwAwwM/OijjygfStEDHanQwaHU&#10;5iEhIS+++OKGtevWPvTw0rvuvuP2adOmTJ01/Y4JY8becO11113ztxuvu370iJH8Cy6mJCS2NTW/&#10;/fobTnMVuR7pGdd+gyhECmQ7sDWIj2fOnIE9ICchIYFIevToURbyueeeA3tyGyIryNplZ2cXFhaW&#10;lpay1mQy1gtugTTYT1cA1qfsqVBzLlTGdEYGnPX19YRIZg1W2bBE4ZMn7etezfvkCu19eOZBXFSI&#10;fyLzbDByrq4ZctjTm93mWprTxtXe5yAwKy6vzC8qSc3Mjo5LIJUFh5kbG8hq6Vk5gLCmoamqrgHI&#10;FZVWMFpWbn5Gdp5FXTqYJ6sxFVuA8U8mJMXEJ0bHmjcl2WwneS6OEBwQHOofFOznH+TjexzIvXDw&#10;8HMHDuLnXzz0ope391E/aftD7LOgLbAvrzAvgneYJ1v1srIyT6XqNznMcwKTRBzqbvIN2WvJkiUA&#10;j7Q3atSocePGQTtC3vTp0++8806SH1FPnhxG2jty5AjpJzc3l/qa6APPMjIypLkm3bKyMmj6+eef&#10;gxPI9+2333722WdvvfUWLCTKMAIR6r57l9179z13L1q8cO686fax0Tddf8O11/zt5htunDJh4upV&#10;D3gdOJidnnGqo+vjDz789kvzgnuWX1hFP5lVhsiKXJSkENcHu1nYIF9++eUHH3zwyiuvsEYEvtjY&#10;2OPHjx+y8vLyYoGhYEBAAMcHcm2SdQd+5eXlrL5kvl+XEM4Jec3u9p8VFRXQTrZeREQE5bMN6UkB&#10;DvlF5ealevaZme7rZEK43pb/XjqzGNS/ggrLPHM9T24tsENMCqSfxbXX3qqlDQ5wgjsEMrqQLC0z&#10;B4qXlFcyQm5hcUZ2LmuZmJIWGRMbbi9ehkZE4fCok0AuPsncus4kjJaVW5BbUAQd5epdYUkZ/2JC&#10;AMkspGkrkDt42OeQvVlC7pQICgmXE6EAktGYl7krwsLbnla97C7mYWWeStVv6nFuE4ENsPTuu+9S&#10;C5PAnnzyyUmTJt1www233XbbzTffPHr06IkTJ86aNWvp0qXgkJxHHNy6dSujPf30088//zwVNPW1&#10;YA8GAAMiIGCgKOp0iv3iiy9gnpAJ8oE9mEfO2717950LFs6YNn3W9BkL5s4j4f3n//1///f/+39u&#10;u/mWIbcOunvxnQfsu4Fe7j791Wefy113npQSMeQ3pD3Lu/OK4qNcF6TLArOQhDB4xuqwLtAO7B2w&#10;Omgft+bv73/CNkZNTU2VVjmQj9gnYmv8ikjViIMMthibAnG4kJ6eHhMTExQUxNYDtHI2NTM3nzxU&#10;Z0/HARVwQo8wpk/3qDr73fa85bmzmpCD6ph62c7d/IuP1fWN5uma5Db7yDEgFxQSdviI34teJLFA&#10;QhvognkQK6+wODktA2IBtsiTcf5BIfKw6WMBQYHBoWEwMCE5NSOLjVBQXFZsXgdo3rgEsKpq6+mp&#10;qK4FftCTGXFwQMnkOfsmXnNfIKURK4WglOZ73DzY83hQcGxCEryFynCl1r7mnhXpsZp/upV5KtWl&#10;FSAk4rz33nudnZ3JyclPPfXUwoULJ0yYAPluueWWYcOGTZ48mZy3evXqRx55RO7e27Fjx65du/bt&#10;2wcMAgMDCSjElLS0tOjoaCprqm9SI/0lJSWvv/46qBMxC7i4Z8+ehx9+eN26dXNmzJw6cRK0GzVs&#10;xLV/veb/9//5/952080L5szbtOFRn0NeRfkFZ18589lHH3/9+Zfff/3tzz/8Ee/4ZVN89dVXRNKP&#10;PvoI8nV0dECmzMxM1oiQt3//fqIwGZfYB/lAFEREIIr1jY+PZ+shtgNbAxYSFuVWfbqAjTzHBqGf&#10;jZCVlQUv2W6RkZGUQwl0/fz8vK0gX3BwMGwoq6yxZzXl7XSm8WHX6Vc868c/0i3mqWDSiMZcBmOp&#10;qJGpmt247QAhRaUVKemZpLSA4FA5nwnzyFvG5tljpK4ITCwLjYyOiDbPZ4FD8UmpCclphDZyGGEO&#10;HBJw6ZZwIFHbUF7levmtoWlhMYSLjkuwk7tvB7QlEPuYNZg0WM0vBIe2VWdpRnbeyfikkPCoyBjz&#10;dBjGYSEBJyXLTX6e63g5WJmnUl1aEcJIS6QxmEQEIYRt3rx58eLFf/3rX6+55prrr79+xIgRc+bM&#10;WbVq1aOPPsq/IB9d501ARB856Ue2g3MRERHU41TiMoT4KE+RPnv2rBROIfPmzTPXCxffOX3K7QAP&#10;1P31P//rv/7v/xs9YuTypfcGHvPPTs945dTpb7746l/mKWLuB6z8IWJTIEl+ZD6WvKysDICBPeju&#10;6+sL7VhfEXySM5/0E/6EXrGxsfAvKSmJ1Yd/IghHFyLCOTkmCA0NZRNJgYii2JJESUqjKAI0aami&#10;us5eczLvkCNdURf+hnfY9p8N8CTYURfbNjWmASSGdhK80jKzo07G+wcFex/1s21wIE2stKKEf8cC&#10;Tpjns9hnypwIi4iIiSXnASGwZNuYmDewUz61vGnb0tAkUazGvJzBPL0FEBIN4RbIDDgRiplFePTJ&#10;2ESTCHPyiY/lYJLxmVBu6mCBwVt+UYl98mdyVGx8XGIKWKVAxmFebNJeq/knW5mnUl1aOc39wd47&#10;77xTX19Pxf3YY48R9YYOHXrjjTeS9saOHTt37txly5Y9+OCDpDTSnqMNGzZs27aNdEjFba592fct&#10;EOZ27txJPZ6YmNjU1FRZWUkPwzdt2rR06dKpU6cOGTJkxu3Thw8Zet01/3PtNX+79cabJk+Y+MjD&#10;a3wOHa4sLTvV2fXFJ5+63g0kDxL7Q5gH6gCe64M9Gvj+++9ffvllAh/AJqXl5OTALdAOsY4fP+7j&#10;4/Piiy+a55YdOMCKH7aCWMAM/pHVYLyIfjBGl38xgjySG7zJ+VK6FMIBBD3S/JW5UMtTfcMVN/Nc&#10;AcuzfvwjDUKof+tt+0xqZRPyWjtAC1ApLClLzci2L/aLs09KM5fW/M3ltDDSXlikebctw8l5gCrM&#10;JryT8YlJqfZVt0Ul9vJejT1/a+6fo3AyJWtu71uo4b8GWpk5sI0JQyPkmp/JecRE+5xrQh0F1EEL&#10;SmA56drtZprYQI6yqhpbguExS0JSpFiBN7PrsZp/upV5KtWl1bfffis9P/7449dff00sq6iooOZd&#10;t27dggULhg0bdt1110G+4cOHS2MWedPCokWL7rjjjttvv50IeO+99zJw/fr1ZDhgiWDhQw89tH37&#10;dkgAIShty5Yt8+fPpwRC3qxZs8aMGTPktkH/89dr/vIf/3nbzbfMnjFzy8ZNESGh1eWVb7529tMP&#10;PzYnM+HcP/71jx9/+scPP5k3J1x6CfOcq30cDXAc8OWXX37++ecff/yxpNX29na2T15eHusFzAhq&#10;csFPgIcgGZJ+c6bSLY4JYKQMlB4It3//fod54JPSiIDESnOB0LStN7WebVvY4W42+SfW0XIrt226&#10;aR9iQghjIbNyC+KTzPsW/INckCOHBQaH+fkHHj3m7+Nrnr1JsANRiSnp8Ik4CKLMDePm8Zu1xDtJ&#10;ZvIW9eo6c8qRWVD1MwKZTN66BymJhtAuJi6BaJhlLnZWGFhW1bAMJiDa99OCCyABLcxy2jvQKYdN&#10;SQTMKywGySxJTHwicVC2pG2S02M1/2Qr81SqSyuijPRQv//www8///zzm2++WVhYSD0OuuQpLX/7&#10;299uuOEGQCWEg3yzZ8+ePHny+PHjCW3AbMmSJaTAFStWrF69Gv6tWrUKLsqzqp999tmtW7fedddd&#10;TI4g5bRp0yDoDf9z7fV/+58htw6aO3P2lo2bg/wDKkpKz7z8yo/ffmdedA53evjPEAgk7SFAiDgs&#10;+PTTTyFfZ2dnUVERcCK/yrlKwllERER4eLgkOQlznrJnQ4+Cf/oZhx7QCOrosqkRwKOEzMxMYnFz&#10;s2lnQdVvn5tlb6O2ryCnKvesH/9IS8QU7FEdE8JKzPOmS4DQidAIwOblc5RuwIkQc7kuIgq6HA88&#10;geFfZEws6QrUVdSY9x95Ws6OWvaYWh56wTyJj3lFJakZWbbVZSgODotgXulZuZKAORRgkdg4RDqm&#10;NUXZljWt9kZGBspFR/rZkpC1qLScxTji58/S0A9UGAeieK7j5WBlnkp1aeXEGip0ObMH/OS1PseO&#10;HYNhhLPBgwdfc801BL6hQ4cCuZkzZxIBFy9eTNpbuHCh3L3nYO+BBx6AeStXrqRL2tuwYQOF3H33&#10;3dAOgo4bN+7WW2/9r//6r//+f/8x6OZb5s2as2PL1rATIVXlFW+dff3rz7/o8brzc77EEqq5Pnio&#10;x3DCH7GPzPfWW2+99tprp06dkvvtWt2PyszNzYWFWVlZGRkZ6enpaWlpdJ0e/sUIco4UQIJGGwtN&#10;o5jg4OCkpKTi4uL6+vqWFvsyI5KK+1kn9AtvelSRf5jlFCsVcU19E8kpv6gUIMUmJpPtABt5zt4J&#10;fkSwR9qLjo0noqVlZtvWKJVMUlFdB/NYBQhngWeSll07w/WO7tMAvr7Z0K6orCIjJy82ITksKkbO&#10;jlJaIoXZeGfeemETMOPLlqE0247UvDtQ2CxbzxLRPPzMtq8pJ2t6Hz1GgSy83ZKGK7J2l4+VeSrV&#10;HyGJMtJPDzX7l19+WVtbGxgYSFYjpQ0ZMuSvf/0rgW/QoEHEO7Ld8uXLAdt99923dOlSkEb+YwjM&#10;I+dt3Lhx8+bN69evh3kPPvggwymBSYiGAA98/uUvf7n1xptm3zHziW3bYyIiG2vrP3z3vX/8+BNs&#10;s+1W/mmarvzjn//66R//+ulnE/vsu4EuqUA+ay23/SFPzqEe2JMTwozGVIRjxIHCV199JW/mk5dI&#10;CAURAENwkXR42qqtra2srAzChYaG+vj4kP+CgoLi4uLy8/Nr7IM9m5rM69ptbW5O0FELYobYqvy8&#10;KvIPs8AD3pRWVOUUFEGgkPAoP//AI8f8jwWcgHOQz/d4AN3wqBhol1tQBGYqa+osV8z7kuiBPdTp&#10;gI2q3JLvHPYYhyEEOKYiFEbGxJHw/INC7JW/dLmj3J75NE+UrjVP6XQlRewKi+aYwJTJjGrtaDIX&#10;87GhGc6FR52EzTAPDNfZGK05T6UaiKISR9JPPQ7/pJ8cQyghfzz11FMQa/jw4QS+G2+8ccSIEYS2&#10;O++8E5jdf//9cE5SHXhbs2bN1q1b9+3b9+KLL9KFl/yLRDhnzpwZM2aMGjXq2muvvf766+m5c8Gi&#10;7Vu2RoVHNNTWmbe/fv1NHwnPacCC/0BBuB7MuxCx6YDfBx98ICnw9ddfZwOKzp49e+bMGboEaIZ3&#10;dXWVlJTExMT4+fkRpgMCAiIjI52zmsAS5kECqm+pxM0ZTnvKDjD0qCL/MLMYUKTctgdJycgKjz55&#10;xM//+RcPke3gHIGMFBUaER0ZE5uakQ234JO1uVZH9c3qkOS6XnrFEk7KNER3Ecu+EojRCJGFJeVJ&#10;qRnSXIWEZ+7Ty84rraxmHGAAAOiBYfDAHfVM2nOXea7JD2YgsU+2W25BMTBmmUMjouAxS8UIyjyV&#10;SuUSNfjXX3/9/vvvU0GTSHbs2DF79mxod/PNN990003EtXHjxpHepOkmqHv00UfXrVvHR3kUNTV4&#10;fHz8kSNHiH0wj2jIVP/xH//xn//5nyNHjoSXQJFKn0zz0UcfgYre0eoKFYGvT8n2/PTTT1lfsmBW&#10;VhaoO3z4sFzeI+SVl5dLNAR4BMEeVWG/21LBhCR4YNlgHhItDR35FwNlCF1Gpgom3hna2QRGqrOP&#10;+zryopePn3/QidBw0hhkAnUV1XWgjrgmCay3PZfB0ywD/62ork3NyJJWMOYe9rwCaedS19gCGuVM&#10;LwvzK+XwL9bLnuo0NlPZU8RFpRUxcYlEUsiXnVdIAGUhcY/J/3Qr81SqP0ekParp77//Huw1NDSE&#10;h4dv27btnnvukah33XXX0TNz5kxiHMzbuHHjI488sn79+k2bNj399NMwT9r0e3t7k//mzp0L54Al&#10;E5Lwli5dChfT0tKqq6vJQ04jmqtDpsXLL+ibb76Bee+++257ezurLxfzTtgXELK5CHkO80xPr9qw&#10;f+3JPMsSE5uAHAMd4DGabU7SUF5Vm22eeJIZ6X6W2FFzSjOI/vAo8xTNtMzsguJS+CSPnJa2l33a&#10;cxk8TeXOVCXllYkpaUD0RGhEUmp6cVmF5D8Tds0SmnYr7st4v2B3iBQ7OKcoy7yg0MjorFxQCvPM&#10;LYDnTXsZWJmnUv05ch5U9qN9TnRnZ2dCQsK+ffsWLFgwYcIE6PU///M/YG/q1KmLFi2S2xVIe+Q8&#10;uWn9sccee/DBB/nXxIkThwwZwvjCSOgIEQsKCs6cOfPhhx9SuMxlIIi09/HHH589e7a2tpaNeezY&#10;MZjHkQEhT94+SLwzrVfs6xp6VIX9bthGBrIcEjyYCIWBHP9y+sFYflFpVm5+jH36ib33ztx+EBgc&#10;atuVpGdk5+bkF0EUe3OFvI7ctLXx5JynPZfB0wCPgMi8YhOSKDwkPJKSq+EnDPN0rwl72UU7t13D&#10;WcLouAQ//0BKzszJY70AHsU7I1wmVuapVH+OnPgF/CDTt99+29XVRU1NjCPbjR8//oYbbrj22mtv&#10;u+02+mfNmvXAAw8wfNmyZUBx2rRpo0eP5l/EwVusRowYsXDhQuIdVXxjY+Pbb78NABysIklCrg9X&#10;suRaYG/xL7nax9EDyI+KivLz8zt8+HBSUlJmZmZZWRmbRZgnzV56VIX9bjfwxHJpzbQ0sSQwzUxq&#10;7dW73IIi8hYJyd++wYB453s8UF4JRFoqKjPvQ6+srWdkGxBNyZRDv0fh59lZgB6miq+pb7Q3PzAv&#10;c8NDRnZejSuH2ct+7tOVv37PhntGMolpwAJFYBsxNDImluWnZMu8Ogbyrx6T/+lW5qlUf46cVi3A&#10;T+D06aefUi8nJiY+//zzy5cvJ8ANGjTo5ptvHj58+JQpU+bMmQP5pk+fTgocNmwY/2L4uHHjGL5k&#10;yZJNmzaRaVJTU6nQ33jjjffffx/CCQnoXjXAQ//4BfEvmPfOO+/U1dUlJycHBwfDvCNHjmRkZDj3&#10;J7RaCfZ6VIX9bmGDtB+RZCZmILWtvPqOpCXPiYZzcjLzRGiEeWplRhaBTKKSzYXmBnCJhvDJkuai&#10;cx7TMl/SWFxiSsCJUGaalJZRWlEli2endUU35mX7e5YgtovhaubKggE24mNlTV1mTn5IeJS028zO&#10;K2AgS85yek57OViZp1L9ySLkCZAgHzHl5Zdfpprev3//qlWrJk+efP311//1r3+98cYbb731Vrli&#10;R/4j3tEzduzYefPmPf7446QZanmq9TfffPOrr74i4dG14cclmdFVL5gH74uKiiIiIo4fP37MKicn&#10;p6qqSmgH6ZyeHlVhv1sIJLQz4Yk8ZO9va+noghMEOMAWEX0Sznn5mFfTAaFw+ywV0h3ZzgY7AZvr&#10;FKIFnoQ8U5qU39vOAvQw9TvlVNTUSRuWgOBQcJuZmw99WR7Y3NrRDQzau0+3d52yz6bpWYKYcjDc&#10;YF4sJGCGo/nFpQnJaUTVw0d8QyOjSZPSKIZF7TH5n25lnkr1Z6oHkMgrkO+ll15KS0vz9vZet24d&#10;CY9IN3To0FGjRhHs6JL/pk6dSuZbsWLF9u3bqd/JMa+88gox0fPqndAOuT5f7WJNgf2ZM2ekxebR&#10;o0fBXmBgYG5ubm1trdzPJ61XTKPNP4J57rN/FlH2BKCxXMCDbXL7HcHIx/c4IQ9mpGXmFBSXVtXW&#10;gwoqZosWinIxz217jrQX6hx7jHmeWRKmJThm5xVGxMQGBoeFR4HYtNyCYvsmhAYQBeoAgNCxx+SO&#10;axqaauqbiHGAubCkjHiXZN9DSz494mdeLQvIoaBBtX1Gdo/J/3Qr81SqP00//fSTnJQTOXz68MMP&#10;W1paCgsLQ0JCiHGrV69eu3YtsQ+tX79+165dBw4cIMEkJSWRYBoaGqRxJrCkQAohNZJ46FI4XadY&#10;Pl4FTVpYoz7F2n377bek5NTUVF9fXx8fH8h34sQJmEcC7urqgnaN7reu/6HMa24j3tXZi14Eo7RM&#10;87ToE6HhEOLwET/f4+bZYVEn44h3hSXlEJFKGdRZ/MidDG7m2XObzqlFT8552nMZPC1XBIEuxI2J&#10;T2QBwiKj5U1DplFoSVlVXQOLCm5Z1F+5x4CFBHUkuazcAnkPw4mwiONBwcFhEV4+vgcPH4mMiSur&#10;rDa3PJrHZCvzVCrVr4rqmy6g+uSTT6iZqcGpuEktVOJwLjw8nAgI6siCH3300ddffy1TqdhubLTu&#10;7u7Q0FAvLy9SMuQLDg4uLy9nM8qjWwAeIc/1JLNeteFvswk09kkuVKAYJjEEugiW7PnMFmyeKGZO&#10;A1bGxCX6Hg9wbjYPjYgmJxUUl9mrX57PT3Eu4PWPBZ/MhYhGsEvNyIJ5BE1L3PiU9Cx7L4R5BxB0&#10;lLcOwT8WBrP81XWN8JgxcvKLMrLzCIjkOf+gECH34SO+9JBWKY7AWmIvE8IVJuyxGH+6lXkq1WUq&#10;shoBrqmpqbS0VF6OWlJSUl1dTX195swZgPed+w3pKkTMhXkcCsjjV8wDp+0jx9hu5DyAJ6c06br6&#10;e9WGv8/S9OPc1TuGmMzUaGgHLSCKvA+IgHX4qN+BQ96QL8w8RSw1J78Q2Fjgtdo2kxLXTLbrR+aZ&#10;5bHNZ4ibFTV1eYUlianpZDL7Br44SByXmAyuklIzUtIzUzKy0rNy0rNywVtmjnFGdi5DSIQJyakn&#10;45OiYuMJiTFxCeHRJ0mqJDzwGRAcCj4zc/IrzaOuzXGArMVlZWWeSnV5yTkViaAaae8DK3rQp59+&#10;+sUXX3zzzTdOs0+VSM7rvvrqq8nJySRjMvGRI0cCAgKcNizSXLPfmWexJG0pTRMVJ67xLwBm4l1V&#10;jQGMuRM8wsfvuPdR87RoH9/j5lVztn1mJSPZR1PKTQLCPIl6/cgMN4xN+XSrTNorz84rIGXGJiSF&#10;R8UEBof6+Qf5+gceCwgCYywhlvTmezyQSBpwIoQYR7wjIELKRNiYk09eJKpCcf4LQUFjaaW56w+o&#10;2EYx5kFll5WVeSrV5SWpu6WfGEd88Qxz/IuPyBONKiQXL0nAaWlpoaGhRD1vb29P5gn2hHn096gK&#10;f7OpPW1+MhftqEYhCqCyJzZNgxHzwOj8QvAAGODH8we97LsR/EPCo0BGUVmFfYqYeVc7E7p83vW5&#10;fmSe87Ikc9aUwpm1vUGwGFDFJ6UI9mDbsQDziiIWEuZBaHuPvD84hGpBIeHEQbJpcnomwMvOK2Qt&#10;gDekDAmPBJ8l5VVsB0tu8zTOP/W9831bmadSXV5yGp5YtBm5/mGB5wyXftc/VFZsFnJeZmZmeHi4&#10;r6+vl5eXMK+6uhrUyWU8ehCBr0dV+JtNpSmmlgckDKEmbevslvOZICHqZNyJ0HA//0AvH98Dhw6T&#10;meBfclpmYUmZCUQ2D7XYt6I7qAN7DgI95/V7LJxzFpL5UvvLVbqyyuqi0oq8wmKT2zKzk9MygDQR&#10;kI9yPhPDxazcAvjNShWXVRSXVcrLH4h90C7YtIeJz8rNh6MyIwpnLcCJ5zJcDlbmqVSXqYRqSD6S&#10;/xCxDyg6A1Wegnmvv/56UVFRfHz8sWPHDh065O/vT+wrKyuDcU7O61/myYt7LKvMXQQmTtl2K+lZ&#10;uXFJKcAAyHn7Hjt81DT0AHvEqZT0LHkNUF1jCxUwNS94sKcxTQmWTAZO9iaHfjsHa2+5o6I3ZcrS&#10;spz2FbLNkszsfM/dY+7Or60sJKMZu18zhAmI4BDS+QeFhEZExSYk2ZfWlrM1QDiFswVYftaux2L8&#10;6VbmqVRXgIActJPznAq8PiVb5v33329sbMzLywsJCZF3o0dHR2dnZxP1Ghoa5PFjBD5zba9Xbfjb&#10;bGlh7kUzycm+kbW4vDK/uPRkvLlIFnAiBOb5Hg8g5/n5B9ElQhUUl5GHauzjKElFhnn2TKAt0MU8&#10;CzxzstRzXr/HNnKZJYRwzMLOTuZlaGcXo7vVdXeEaXpqVurc1cRzLCcakgszc/MJdoHBYUEh4TFx&#10;9hHYJeZtsxQFXCXquedyeVmZp1JddqL67sE2+nsMQTLQ9WHAixBM97PPPjt9+nRVVVVUVBTM8/Hx&#10;CQoKSkpKkiav9fX1MK9/27DABgsM00YRjBWXVWTm5MmNazCPnHciNCIkPDIkIop+CEE8KqusocK1&#10;4akJWAIJiEIhlhAGNhYwhnnwqcfsfrOZCyVT49syO/goz1uBeVhmh+1HgyuJg/CBcaACK2gXrK2k&#10;oiozB+AlBIWEmRsdYmKTIV5eAdGQNZKSMePbNdKcp1KpVJdGP/zwg7xLCKSlpqYeP34c7IWGhoaF&#10;hSUmJpaWljbL06XteU4JfJ1W0qqlqamJLMjwi5I5S+rmKJMzl6ysrOTk5Li4uJiYmIiICFkA4mZC&#10;QkJKSgoj1NTUsBhMIpcY6TdL1at2/mNM1qT296DgqRYb9TpPvQzkoDKQ4CP9UC2/qCQ7vxDg2Tac&#10;oaERUaA9IyePfzkFXuZW5qlUqqtEMO/rr7/+/PPPz5w5k5+fT8KDeUePHvXz8yP2FRQUwCToAmbg&#10;DYRz4IeEPQKwixITgi4KREwOz8iUzJ3Z5eTkADkh38mTJ9PT0xlYWVlJ3JRlEOYhyulRNf9httlO&#10;2praWCb31NvTkuQ8c+bTRs/qusa8wpKU9MyY+ERia1BoeNTJuMSUNHNWs7j0V57bcrlZmadSqa4G&#10;/fTTTz/++OM/7ANLP/roo9raWmAD8MCel5dXYGAgya+8vJzh0A7YyOU9IZ+AUBh2sfKclh4KrKur&#10;g3yADbzl5ubGxsaGhIQAXRDI3BkuZHVCnvT3qJr/MMMzt80pTcs547pG8y5ZeurNS/7qcvKL4pNS&#10;5dkrJDyAl5GdW1RaXlpRVcm69t91x0ttZZ5KpboaJA18pJ+0d/r0aXgDaXx9fQ8fPgz8CFtgjwQG&#10;iqAOcBJ5Mg/2GHZdjJi8T0G+ioqKrKys8PBwgibYy8vLYy78i6mckCfM6+zsWTX/gXYBj2xnmedq&#10;ulJrniVt7mTILypJTssAciHhUcFhEQHB5nVHaZk55l1HDabNp73y57R2udytzFOpVFeDPBv4fPfd&#10;d++88w50KSwsDAsLA3tykjM0NDQxMbGoqIiEZ8Hkoh2y/PqNEnRRmouiVsyFYBcfHx8QEODt7X3i&#10;xAlwK+c/meTyYZ7TaKWHTQPUssr0rFxoF3AixC/A3JMeEm7uw0vLzC4pN0+PARtuRirzVCqV6s8Q&#10;ae+HH3744osv3nrrLViSlJQEb2DewYMHgR+pKzMzk6hXU1NDFANOgAf8IKGXgdjFSOgFuuBobW0t&#10;JZeVlZWWljLfuLg4KMtMfXx8QC/MY7TL7dymPYFpmmhi+iFZZU1dWWUN8Q62CfDkXgsSXnBYZFxS&#10;Sm5BcVVtAyGvrrGZqaS5aY9iL1sr81Qq1dUg58SmXNL76aefvvzyy7fffru8vDw5OTkwMBDwyMsW&#10;4FBCQkJeXl5xcXF1dTUEAjmgC/YIgS5KoA6MUQ6co8y0tDSyXUxMTEhICDMlXB4+fPjIkSMwLyMj&#10;g4W5LNuwGOZR+0OyotJye69F5sn4xIjok0AOh0XGhEfFnAiNOB4YHBoZnZGdW1FdW13XUGMenNYO&#10;OZR5KpVK9YfKeTWgcyMjae+jjz4i6pWUlMTGxgYEBICf559//sCBA/CPHJaVlQWoGhoaYA+jCYGE&#10;ZBcuMEYhBQUFII1gB+rAqpeXF7Sjy7xeeOEFObcJCxnncrtXocEd8uqaWszN5jl5J+OTQiOi/YOC&#10;MZwDfinpWfyFhEf5+B47esw/Pim1GHbX1FWb5prmJgdlnkqlUl0WIuqdOnWKdJWenh4VFUX2InUd&#10;OnSI4MXHxMTEzMxMiAWKKioqGK2uro4c1tTUBIcESM6FOv5VVVXFOIjxc3JyUlNTwRhdeEaBx48f&#10;p3AE9uAcH4OCgvz8/A4ePMgcg4ODmV1+fj6U7e7upnC5dwJwMoseVfNvNvU4pl537nAXpNHT6L7V&#10;nWDHmPaGvNMMr65rlEeDxsQlkO3Co05KNy4xGQQWlpQVlVXkFhSnZmSZuxMys7NyC4iDVbX1FMVc&#10;ZI6ey/BH2lyPtGtnVtb1vBjzvG/3CGYLMAKjybPcahubiacd3afrzcKbJefjJ59/ya6izFOpVFe8&#10;vv/++48//vill14CV/ApIiICIAEhQhhpz9/fH1ZJAoNGxcXFjCZ3Ggj2gFFjYyNwqq6uJtIVFRUx&#10;Wm5uLgRlqsjISEhGhiNEUiw5UoqVM6j8F/EvZkfak0Y0zAhkAjxKpli69DMvpxL/nba32TkfDQkE&#10;BvDJFekEA+5niZVVmUt3SWkZETGxwWERwWGR0C46Nj49K8egraK6pt48I63SNGkxz6G2z5g2Ia+u&#10;sYXS7EPXZEbOTP9oC3c9n/9ybsXdTVJZX0NHDjA6TzHw1Mtn+G+bvQcf+H317Q/sKso8lUp1Neif&#10;//znZ5999tprr0EvcBUTE0PaI4eBKOETaSw6Ojo5OZnMB5Oys7OFfyVWhYWFBEEGwrmkpKTY2FgC&#10;IvQixjG54FOyHUPgH/8Fh9CREuT+vGPHjknUY7S4uDgGyoPQhHmQtR+Z56Q62HYORe32eSv2qZ5Q&#10;gRHIdiXllflFpbAtITktIjo2KDQ8KCQc4MUnpaZmZpdX1VTXsXxtLRYnlAAjaxuamLDWvEWdpGhu&#10;Y5c5SnC8xHZhrIftanoyr1syrlgmFMzLluG/5pFvbZ0V1bUV1XUgH7B/9Onn7CfKPJVKdZVIWnK+&#10;++673d3dJDmQ5skt+EcII5AR2kh+IFBSGuPQDQ8P5yPiv8CSSaRlyosvvijX6kCahEWQWVpaClk7&#10;Ozvfeuuts2fPdnV1VVRUJCYmSiMa6MiYgBOOgj0n55nYd179/tsN2GygcZHPgsEMJ9Ix0GKgg+hW&#10;WFIO2OISk6NOxpHwQF1kTCwf07NyC0vKAB6MJABZSBiigAoDD9vUhXLod0PFDrz0zLOr04flVC09&#10;dk0N2yTSGf6di31y671Je8TTorKKssrqjOy81IyshOTUuMSUV8++wU6izFOpVFe8/mElLTm/++67&#10;Tz/99I033jh9+jTYI7cR74AcACOHSWKDZNIDzASHzhlLe6nOSPohH9kOKCYkJOTYN9O2t7dTOJny&#10;+++/Z47ymvtXXnmlsrIS7DEjoh7wi4iIkDccyRlUgNfR4SLT77cFngt7xh5swNT4lTX1BSVlqRnZ&#10;0bEJoRFRZLuwyGjCXVpmTkFxKdEH2nkWYicXdhoDQsGeDBeW4B6L0e92rU4v21k7W+/cOVs36sxH&#10;1qimvrGqrqGqtr68qjYzJy87rxDURcbEsfonQsM7T73ErqLMU6lUV4P+5ZZz696HH35IAmtpaSGE&#10;gSuC18mTJyXVkfaAE9HNz88PpCF6+MjwEydOkNIYB1LGxcWlpqZmZWUVFRXJ9TnYRo6kcGjnzBf4&#10;ffTRR6dOnSLYkRRhHqVRFCXk5uYyodwj2I/Mc87jQSzgJADAtQ3mxrtCcytCfmJKekxcIsEuPCoG&#10;4NmXAeUUlZbbk5nmeWOQ0lyos5Y859gyT2yh6GJqvy3/L9kDw+dZTmnas5omibJUlnBNVbXmLYBl&#10;lTXFZRX5RSU5+YWgLiM7Nyk1IyQ8CtoFhoQdCwg6ePiI91E/lp/vS5mnUqmuNsEhCXxffvklgez9&#10;998/e/Zsd3d3s308NBACgRkZGXLdLiYmBhYS4/hIKIRSxcXF5eXl1dXVgAqSvfbaa6+//vo777zz&#10;8ccfQ7tvvvkGpjIL18zspUSwx1waGhri4+MlIxIcSXtyhpO0V1tba5pu9qrlf5ud85Cgq76p1TZT&#10;bKqubyytrM4tLE5MTY+IjqXSD486GctqpaZn5ebnFZLvqkhCAMPC0nWu0kLOtgJ1NwyBDbbHnCo0&#10;aDzHnkue8yy/+7D9r2mZycqyCuRU1gXOZeUVOGcvSbRh5r1OEUGGcydeOOh19Ji/j32R7/MvHjp8&#10;xBdk8mUp81Qq1VUi2INcH9xiyI8//vjVV18R+4R8sAeYAaGSkhIIR4wDgQUFBXwkkJELGYc8x8jv&#10;vfce1ASf//jHP1zF/bLk+Z+glIRH1Dtw4ADwA6iUL29agLie9fvvcZt5151pcmKZ1+JOPPVkHQAA&#10;6o4HnqDeJ94lpWXk5Be5H5hpoOXimfsSHSVICxGBikTGzlMvtXefNrNw3xggsU/mfunsDpc9Lc8F&#10;ZR3Lq2pty9KSrFxolxuXmGJvq489ERbB+nofPXbwsM8LBw+T6vY9d+CIn7+ff9DxwGAf3+NBIeGv&#10;v/UOX5MyT6VSXeUCexL7wBJB7fPPP3/zFwTkiGsfffTRp59+Cu2+/fZbApxzI3xvUbJcSiT2MRpY&#10;bW1tLSoqIjj6+fmBPW9v7+DgYMIf2JNmL64b9dxvOJL2nEgG8hHxL/kvkzCQng4rBjImaVJGY7gU&#10;CFBTU1PDrCIiIgAtsZXMmp+fL7ckMglFyVyk5Hb3U2lEdoauG+eRXRYj12f3IrmG9pJrpF5ylW5n&#10;J5IVkUmkTEQ/Q1g8VocesjjLTNQmcMv9kcTlZKu4uDhWUG4doYs4wvC1D35jU3OQISeoQ0JCoqOj&#10;5dVOFIUonJjOV6bMU6lUV7kAElj6+eefwdIPP/wAxkBgn4KL/JdxGJPxmQqqeZ7G7CGHedIPJl97&#10;7TVqbWrnoKCgg/bWBWnwmZaWBn6qq6ud53+6aGBlAWEkDHDkGnq+GM4sYFh9fT1pFTaQVhMTE+U6&#10;JRiIiopiARgo51QFnDIh8xLwQBckFJT/ygjOOJ6yy2gko/UW5fQpJpEyZTSZl/xLZiqzc8QawW9Q&#10;l5eXJ+efWS8QHm7FZpTb/yEcknPISGjH8MDAwNDQUKBItmZTU/iZM2c+s+IgRr5HZZ5KpbpqJcT6&#10;FWj9Tgnz6MpHMEn1+vbbb4M3ogkEojpGYA8gpaSkUJWDKGp8AYkwgKrZkyvIUMJK+hlHUhqQYEzJ&#10;SeCBorKzs4l0ZBo4RxeRKUEFWZO0xGiM3NXVJaUhKR8ZlLW3M4IDHilZWCj/ZSD/8mQVM+1TkPWX&#10;xGKAH0jG0rJZ4BkigLIpEGCGbawFlMrMzCSWSZhjRUAXAGMbArOj9p3A0iO0k8ffCOFiY2PZthRV&#10;UlIiRxV0X375ZbkKy3GMnNzmaIbvSJmnUqmuWv0S82Rgb7n+7aFfGu6IWTjMQ1SvX3/9NRUu1X1q&#10;auqJEyckiFBHh4SEUDUXFhYCMIgCRaCFnKgENg5mhDSiHh8dMSEUoZY/efIk4cbf358YJGdQqfer&#10;qqqYBaM5BTILkaALMYIshiMZ0xGTy/iMxkIyR1gi5wl7izn2KdDL+kI4wCZIY5uwEVhUlpzjAKDF&#10;8nNM4OvrC8/YSgI2yXBsNy8vL7Lyiy++SI+cupT7QOTkLSvLdmB1Tp8+/eabb3744Yeff/65NFzi&#10;S4F2xDtpYet8ico8lUp19UvQ5cg1tJcEYMg1nluuf/+CPEcg9v3000+ffPIJIYOII3fsHT58mIob&#10;hYWFUeMTd+CHiPoa4Lk4Y2Wh5hLUYQjBi6wm8Q6UCu1ACPW+JCG6xCOAxxylTKZlQiaHWOBKihKA&#10;Cb0YEwnP5COIIorJO5LoZy7AzAln0AsRyPoUy9OnCLtsAZZT2scSRsGVnKiUV1JAOEgmN0eyfeSm&#10;SWgnwY5NxzgcN0ikI/xRVFpaGgGRZWOxpbXRW2+9xQb/5ptv2PJ8d65vwkqyHZLzz0iZp1KprnIJ&#10;t6gNqfg46qdmdP2jlxzauT5fjGQWMheiHlHj1VdfhRbU1MQXKvS///3v1ObU4FTc5B45EQeKqLhN&#10;8vK4tGZ5Z6DFR2EeYjjjA7asrCxPeMASEg+sgl6Mz4SENplEaMoQh22UAC0YmbmzbHJ2kQLlpKLA&#10;iQTGMjMLRBSTGZnmMWFhLHyfgkx9ilhmzkjamyAlvSE2guCN9HbgwAHJcMI5imJeLACkJBHCdUmu&#10;AnJW59SpUy+99NKZM2dIde++++4HH3zw8ccfE+yIdHyzzhfHR+kRMQJj6rlNlUo1IGQpdg5IyPWP&#10;/pZT50ozmc8//xyeFRYWwpLg4GA5U0elDwzAiZznBEIAifRGtU4Co1+wB6sEV4iPEAtWwSfIBBII&#10;PQggUTIxS9qqMI6w0xGlicAGKQ1+yDlGcEI5cEXYBtUoDd4QGYVSBC9HLLMjyNSnXKP2kvyXVYZn&#10;cuM/YhYyHDGcAwJmzTIAbxaP5SRlsinYDkCOGPfGG2989NFHbEy5MseGlS7fI11Qx9cqm71P/fDD&#10;D2CS44AvvtB3CalUqqtaQjvk+tzf+qXaVqIk833//feBFsiBMXCFGl/ijr+/v7RqAWOQj1oe+MEt&#10;6npYJcyzV9nMy9nBIVSDB0lJSVCKvAUeUHx8PBGNf8mZSXpQaWkp2Mi374VgEpFcRQNyxDggRwkw&#10;WPIZnJNH0sAkCWGwmYUUMVAkuDI3B/Qli+A+BMlYTeYIp+Pi4iC03HUAd1FGRgZdlpMFhuisBWvK&#10;+p4+fZqIfPbs2bfffpsY99VXX0lXrsxdiMAhjASWlMNWZX1ZEr4I/qXMU6lUqksial6q6W+//fad&#10;d94hhMEeKl8AA1QO2dcvBAUFwQM4BJPy8vLgFqNJMqPqd4AHFMEVCJE8BOqAh1zWgnDl7vvYQAhg&#10;E4EWig0PD2cWBCmQhoS4QjVCGLmNHumXM430MJrMhUUNCQkRnvERaDFfEAVlSZbMjrlDVrKjtFLp&#10;UywYS1hpn77GunR2dhK55AocPHv33Xc5Jvjwww8/+eSTzz77DEoBNvT1119/8803bDeCHZK7R/pM&#10;555HM87xBz1MS+EcPYDSAwcO3HfffQsWLGBh+K8yT6VSqfpfVMdUvgjsUaFT0cMzOAGNgAqkAXvg&#10;B8aQtMCJMIzEQ9WMSGygAmBADogIvRgTTAIwOCSXu8APIQlBO4p1mvhL8xDGJ58xCWJ2zIsehjAc&#10;7jJTxmFMkEbhiAnJjpSTnp4uJ0JZHsQC8FGWhxiKBMzOpUciKf19qqur69SpUy+//PJrr70G5957&#10;772PPvqI0CY8A2bOWUo2FFuMfsQWQzJQhtPv4E02LEOQnEOmEHr4yH/5+OmnnzIjgMfqwHiAN2HC&#10;hNGjR7ORGUGZp1KpVP0vqa+lnxqcEEPyoPaHGUAFbgEhSVeIBAaEGEi6Aj+RkZHkKsKcMIysBq7I&#10;K8899xxdYCmsYmRJYxLmKES4SLGM+fe///2FF16Qi3BQltEolvAnpxYhJTCTM4pOrARRLOHZs2df&#10;f/11uoDqzJkzdN944w2JZbAEEc4++OAD8pkADPGxT4EfeP/FF18Q3YAccOoBM4dkoh4fe4sRmJAS&#10;KAe8yUDDSdvPv1g8WMsKsjUefvjhu+66a9iwYYMGDRo7diwrzjjKPJVKpep/Se3s+mCr4x9++OHL&#10;L78EHlTKIAf8gCKCCFgCY46EUgQyMAbA6Jdzj9AOAUgZR8S/kBPj5NSl/IseSgB1UFMSIXGNrAbh&#10;wNvp06fBG/T65JNPAJKcP4QckpboZ4g9s+g6tSisErpIP3K4JcN/SYwvY8qmQHzsLSnQkZQs8pxK&#10;PtLD+M5w+llIqMwKcrjw1FNPrVq1asyYMcOHD7/pppvGjRs3d+5ckisjK/NUKpXqksiprB1R+wMY&#10;sshLL73U0NAAhFJTU6mjyXaEPIEcDINYwr/nrSTbATaQRnxB9CNGJtgR8phccmFMTExcXFxSUlJG&#10;RgYxrtTeaUeSa7U3MMjdbIQ22EBKI5998803ZC/Xwl0CWWD9m+jmKQu1czJctXL+61majADq2KSs&#10;TkdHBxuTg4Pt27cT72bNmkXCI94BvMWLF997771sEKZS5qlUKtUlkdT4yPXZVtPkHsLTV7Yt4uuv&#10;v05NXVdXV1xcnJ2dnWifmUn4g2SQj0j3nBXYg4KgLtB9gzbpLcy+5A/CpaWlUZuX25cfURQh8tSp&#10;U5QMWeXco7QQkXOMzBfOsQCgQq6leS6eAIaFdH2+nMRysmyuD3ZLEkDpkSZCrDjb5NFHHyXPTZ48&#10;mXg3fvx4gDdv3rwlS5ZssQL/jK/MU6lUqn6WAxJ6eqQT+kXU4NTXAInURQJraWmhUi4pKQFgmZmZ&#10;ZDWiG7ktyt4YLm07pc0k/5XWkhLjGhsbAafcqS0BDrZJmw7XnDzm/uv69TH7/K8t/kLLd2TQev6Z&#10;TJHr332JuXiOALlZU9TV1ZWTk8MBwbp166ZOnTp48OAhQ4YMGjTo9ttvh38PPfTQpk2b5AInW4kJ&#10;lXkqlUrVzxLeSL+FQt9UYDhhS6pvwgrh7LXXXpPGI6dPn5azkXLHglyBg2rolVdeefnll1999VVG&#10;k/cfyS3bX375pcQ4gCeX0Fyz8RADWTb+ay+0mat3zrIZCnl8vECZdbt45l2IKNZg8PzrdtLDkpNf&#10;2VAcB5CJt2/fvnz58unTp48cOXLMmDF33HHHzJkzV65cuWbNmh07djzxxBOE5v3793NwwLTKPJVK&#10;pfqTJZV7bwmZess12VUtVt+hKYFYepyzshwBxMfHQ7IHHnhg/PjxN9100/XXXy/xbunSpVu2bAGE&#10;e/fu3bdvn7e3t5wf5riBEpR5KpVK9SdLCHfhck121YlV6zM1yioT+EjDpN78/PzAwMAnn3xyxYoV&#10;s2bNGjVq1IgRIyAf8e7ee+9dv349/9q5cyeok2ecvvDCCwcOHOjq6qIQZZ5KpVL9yTLnB/uS698D&#10;RkTY3udX+fjzzz8T7z7++OOmpqbw8PCtW7cuXrx46tSp0G748OGjR4+GfMuWLVu3bt2OHTueffZZ&#10;4h2SRkDCvIMHDxINKU2Zp1KpVH+yLOD6kOvfA0YAzzPFsgW+//77L7/88r333jt16lR5eXlsbOxT&#10;Tz1Fnhs0aNBtt902ZMiQMWPGALyVK1cCwj179jz//POH7Pv24Bw95LzDhw9DPoYo81QqlUp1GanH&#10;uU3i3aeffvr222/X1dXFxMSAtDVr1syZM2fo0KEAb+zYsfTfc889Dz/8MMB7+umnAR5sI9IhyXak&#10;Penysbu7mzKVeSqVSqW6LATwBHvoxx9//Oijj7q6uqqqqsLCwrZt2zZ9+nRQd8MNN9x6662TJk1a&#10;vHjxhg0bduzYAe2eeeaZZ599FubBNkl1wr+9e/dKl4F6r4JKpVKpLi+R7b799lvi3WuvvVZeXh4e&#10;Hg7GSHLz58+XB4kR8oDfvffeu3bt2ieffPLvf/87VKMrYY5+8CbkI+Ht37/fy8uLfynzVCqVSnXZ&#10;Sc5nvvrqqwAvKCho06ZNCxcuHDVq1NixY8l20O6uu+5as2bNli1bSH4wD5hBNVIdeAN49B84cICP&#10;DJeHtzn3KnR2dlK+Mk+lUqlUv0tyNrK3pE1Kj6t0Iv4F3vgXPd/b51n/YB9s/fbbbzc1NeXk5Pj6&#10;+sK2GTNmjB8//vrrryfk0b9s2bL169c//vjje/fuJcz9ksAeXacNC10+KvNUKpVKdVlIyPf6668X&#10;FhaSzADbggULxo0bN2LEiDFjxkycOHHOnDkrVqzYvHnzrl275PqcgK1PKfNUKpVKdbkIwjk9P/74&#10;o9x79/LLL+fl5YGopUuXgrobb7zx1ltvBXuzZs1avnz52rVrn3jiCej1ohUMe962WOlTyjyVSqVS&#10;XSrJmczeAmkiOcPpiEgnE3777bcffPDBK6+8UlBQEBAQQIZbtWrV5MmThw4dOnr06BkzZtxzzz0r&#10;V6587LHHAN6+ffuAmQM8op7hW19S5qlUKpXqj5YLfVYu3FlBQf5LD8BrbW1NS0vbu3cv8W7s2LEk&#10;PIA3ZsyYuXPnPvDAAxs2bNi4ceMzzzzDCKALzkkXhslNeH1KmadSqVSqy0KCwC+//PK1116rrq6O&#10;i4uDZ0uWLAF411xzzc0330zCu+OOO5YvX068I/nt3r3bOY3pMA/geXt7y8DeUuapVCqV6vdKUlpv&#10;uf7dS068I9j9bCXvhfjkk09qampCQ0OBGTFuwYIF48ePJ9uR8KAdge+hhx7avHmzPEsMwskpTThH&#10;Dx8RDNOcp1KpVKpLKCFWb/3wC5KbENC33377zTfffP31119ZdXd3BwcHy53mEyZMuPHGG4l3EydO&#10;nDZt2ooVKx5//PGnn36a8CfxTs5qgjEghxi4f//+fVaGb31JmadSqVSXr2w7DyNJRUhOADoDXeNZ&#10;MdzV98tiEkIV0zofpQfJv6SQ3sNlKrqff/75O++88+6773766aefffbZ22+/ffr06ZdeeglyyDts&#10;4Rb9DQ0N5eXlub+ggoKCEqvs7OzY2FiCXVhYWGRkpI+Pz6ZNm+bOnQvwiHdjx469/fbbSXvr1q0j&#10;3j355JPSXAXCEe8EYBclZZ5KpVJdeYJMoMhBl8jzoycXf4WFMKzP/zKhM5wSkPR/8cUXAA/IdXR0&#10;dHV1tba2VlRU5OTkpKamJiQkxFhFR0eHhIRAL1LXE7+sp556iu6GDRuWL18O1ebNm0d3zpw5o0eP&#10;vummmwYPHjx58uSFCxc++OCDW7du3bFjB+Pv2bPnOfvMTAGeczHvwqXMU6lUqitJoKhPSomET45k&#10;ZJEg0DWefbE4iQ0R1z6x+vjjjz/44IO33nrr7Nmzr1m9+uqrp06dIrrBNrpADsKR0sAbYIuIiDhx&#10;4oS3tzdsg0a7du2CYY8//vj27dsfffTRlStX3nXXXWCsT0G4+fPnk+emTp0qT8u8/vrrb7jhhiFD&#10;htx44418HDdu3KJFi1avXr1t2zYKB05yrQ5oCbfkeh49FyVlnkqlUl0ZcrHLyhkiPY7IbT/99FOf&#10;6Q0EMlz66QFysO3MmTPd3d3Nzc21tbXwLC8vLzExMTw8PCwsDJ75+vrCFQIWSeuxxx7bsmULsezh&#10;hx9esWIF4QwtXboUMoEu8tnMmTPvuOOOGTNmzLKaNm0aQY2BfYrRZs+eLVOBvUmTJjHy7bffzhBE&#10;mSBz48aNQHT37t3PPPOMl5cXoCLegSho58hw7GKkzFOpVKrLV05cc332EMPJbXRdn+0JSWD2448/&#10;fv/99z/88APwo/+bb74hzEnPF269//77oK6mpgbIpaWlxcTEBAcHQzgoAmZIaQSsVatW3XPPPcBp&#10;zJgxgwcPvuWWW2699dabPcRHEf/iIyntuuuuI67xcejQoaNGjWJCIVxvAUVISeBbvHjxnXfeyYzu&#10;vffe++6778EHH1y3bh1w3blzJ0ByGqfIBTz4BIOR0E4AdlFS5qlUKtXVIGj33XffwbMPP/zwzTff&#10;JMC99NJLra2tlZWV+fn5ubm5mZmZycnJCQkJJ0+eDAkJ8fb2psZ/8sknt23bJumNaOXkNkKYZLUJ&#10;EyYMHz4c5g0aNGjIkCEjRowYPXr0OA9NnDhxypQp06dPJ6XRI3GNaeEZMLv/F0RSZHYQDriuXbt2&#10;/fr1gJZgB+2Ilc8+++z+/fsBm2Q76RfaiYReQsGLkjJPpVKpLmsR8iTSSW6Thv4Qzvkob5V7++23&#10;X3311ZaWlurqaiCXmpoK2wICAqAFYANpAAbYLFmyZOHChSANnoEoiIUA29ixY4EZyYx+YRhpDPjJ&#10;hTcBGNMuX76c/Edp6CErYhms2rp1K+zc7qHHH3+c+e7+BT3zzDNPW8k7Xfda0cNHFhgy7du3jyHg&#10;DSwxkB7JdkhoJ5IhFy5lnkqlUl2+ktOVgO2bb7758ssvYdvHH39MknvnnXeAHHnu7Nmz5LmmpqaS&#10;kpKsrKykpKTIyMhjx44dPHgQhIAiEhXEkgQ2fvx4Qtutt956o9Utt9wi3dtuu01OUZLkGOeOO+6A&#10;eXPmzIFzy5YtI5CRxh555JFNmzYRyIhiwAzt2LFDbpiDHHTlLgJJZvCJgZLP+hTjCH7osqgyFf3g&#10;jYH0m5vs9u1jOHmUEWRMhsvIcqpTSrgoySTKPJVKpfo19XlF7VckV9qcfIbod/3v/Kt09Mh/ZRIZ&#10;QQTt6MrTls+cOdPR0VFTUyMZLjExEbYdPXp0z549mzdvJmxBI/IWhLv33nsXLVo0a9YsOdmIplrx&#10;kWwnbUzgmQQ453IabGNasiABbs2aNXKmkZIhnBPa5Kxjn7JAuQKkzFOpVKp/r19iHljqU65/95Lk&#10;Nrquz1bCRTlLieTpJKS6zz777PPPPyfPQbuysrKUlJTg4GAiDmEIwj300EN33XUXSCOcSfsRunLh&#10;TXIbPcOGDZM3ic+cOXP27NlAjkkkujE5eJPWmFDtiSee2LlzJ3ENiO7du5eu9BC2AAPJTIBBf58y&#10;PLkSpMxTqVSqf6+LzXmS2xwJCBH/kutziI/ffPPNxx9/DNXeeOONl19+uaWlpaqqqqioKCsrKzk5&#10;OS4uLjw8PCAggDoaAm3bto0EBrEIZ6CLMEdcg3lQbajV8OHDpTtmzBi5T2DBggWMuWTJkvvvv3/V&#10;qlVyihLOyS3eu3fvFqrt37/faRgCU5FAToa8aCXDZeCVK2WeSqVS/aGCedCOVEeSe++990Bda2tr&#10;cXFxWlpaSEgIlTKRCzJBKblVYPr06VOnToVhEyZMGDdu3OjRo0eOHCkNJm+//XY5VykB7t57712x&#10;YsUDDzywdu3aTZs2Cdjk/QNkOOmRNiPCOWp8YZ58lCFIGox4iiEiFq9PWaBcAZJFVeapVCrVhQpo&#10;ObLhzZyrJLfJEBmHj3Kf3HfffUf322+//fzzzz/88MOzZ8++8sorp06d6ujoaGxsLC8vz8nJIdJ5&#10;e3sDHhLYypUrCXCQbNKkSWPHjh00aNDgwYOHDBlCgJPusGHDSHJgDwTecccdJDnQCOqIgBs2bJCz&#10;lBLghF50gZmkNElsnohyMc0tARuCCjIJkklErsmuWMkqKPNUKpXqgiRgs+cmzdlL19BeYhw4J5Dr&#10;6uqqqanJzs6Oj48PDg728/Oj5gVLW7ZsAVTLly8nohHU4Jw0rURyCwGaYm8bkEtxCxculDBHBBTC&#10;eTYwocA9e/ZIkgOfcMup4oGZC1+9ZDjmFmM6cugocg113xLeW65/X/aSdVHmqVQq1b+XAzx7kc5c&#10;pZOB9Du3E3z22WfywoG33nqLMFdZWZmVlRUREQFgdu7cuXr1aqA1a9ascePGkdtuvvnm66677ppr&#10;riHPmSea3HorSQ7mya0CcI4MJ4R79NFHSYHgDbDBMGIc6Q3YUGvT/6y9xY0hUq2DK2ZHze5lRY+p&#10;760sws7d32bTXR8yJzqtKN9Trn/3kqv0y16sO11lnkqlUv17eTJPzmq+//77cjN4W1tbdXV1YWFh&#10;ZmZmSkqKPKySGpbIRfDatm3bQw89BMDAGDwbM2bMsGHDRowYAfkkydEl5E2dOhUc3nnnnfIULgC5&#10;fv16Qd1TVrt27aJAW3ubKAbY6NIPdeihKjccs/mMIZLALKr+LgMRIzsDQZoMFMm0IsaxLDvXkkVG&#10;kI9XrlgLuso8lUp1ZUio4ynXPy5YrskufkIE6mRCUt2HH3742muvNTY2FhUVxcfHAzkfHx9C2Lp1&#10;64RtBLU77rgDkknDk1FWY8eOJcZBOGlUeffddy9btowkt2nTps2bN4M36Lhjx44nn3xSWp1YNvUh&#10;W4Grzl2PlI/CZmRxb7BNP6h2Iq+3t7eMSTKGeTIhxyt8p8o8lUp12emXcGVv+zbvEwBL5DBnHHPZ&#10;rS85Y9Jlwh+t6HEmZLg0rfzoo4/ee+89CPfWW2+98sorp0+f7urqam5uLisry87OjouLCwwMBEKw&#10;6uGHH16yZAkwmzBhgjx2+SYreRyzPK9y9uzZ8+bNk+ebkOTk4SZbtmwx93W7m1NSWVMRS2UtdXdv&#10;2Xpb5YKc9Fv2Gbm20fmtT2UcRmYj831xdAICZRxlnkqlusLUJwh/j4Di559//sYbb7S3t9fW1ubk&#10;5CQkJAQFBVFRUmk+8cQT69evf+CBB+69997FixfPmDFj4sSJZDiJcZMmTSLJyY0EEO6uu+6Sc5Vr&#10;1qwBchs2bIBzMJIw9/TTTwvqpF5GUi+b04tWUlOrfklydhcJ+diAQjsZiAwS3VAUATyG0D1y5Ag9&#10;jKPnNlUq1RUgOCdBDbkGnS8ZoYcYiPgv/eaKnA18iB6i3nfffff1119/+umnb775JrQrLS1NSUmJ&#10;iYmhcty1axfQAmDTp0+HbYMHDybDXXvttTfccIOEOZLc6NGj77jjjkWLFt1jX46zcuXKtWvXPvbY&#10;Y+CNYCEZrk9RBfeQaUCyf79U3L3lqr8HvFybwy3DNyvXv/sSXDx06BBdmCcHGR0dHewPyjyVSnXZ&#10;SXDVWw7JRPSDNGGh/Mvy7lx7S8D2ySefyOlKDvMbGxsrKioKCwvz8/MzMzPljCV1KJzbYl+Uunr1&#10;6uXLl8+fP5/0JveGS6oDcqQ6uTEckeqgHaiTSLdx40by3FNPPSX3D0Cyw4cPkxSpc+U+AamCYZ5n&#10;lW1rZteZOhneWzKOCslGY5t4NlWVIwY2uBxSyMaU8elhBP7FyBKyW1tb2U+UeSqV6rKToAuGuT5f&#10;pJhQsPf++++/+uqr9fX1QC4hIQHCURvu3LmTWLZq1aq7774bgMld4VAN0TPGavz48WBv7ty5BD5p&#10;fvLwww/Li99E8vQTIRzVK3UxdavUxXRt3WvE7KSmFknFjWy1bCSjuf7dS66RBrxkKyH56NqIvyzG&#10;BIHQce/evfTv3r2bb0pznkqluqwF9uR+uC+++IK49rHVBx98QG47c+bMy1Ygjf7Tp093d3eT5Nra&#10;2pqbmxsaGurq6mpqarKysmJjY/39/akHn376aXkAyp133imX5YYPHz7IPql58ODB9EuTS7Ld1KlT&#10;Z8+eLfcSgDq5kQDIyZt0qEOhEWAjzEnIcOpievjoJA8ZzqwZX9IJwx3ZZOKSraj7kBSrkq3ERmP7&#10;g7E9e/YQqRH98pGvhkOZJ5988vHHH+eb2rRpk7ztb926dfI+CoI4+wM7lTJPpVJdpvr555+h3Tvv&#10;vAPbgFlTU1NxcXFOTk5iYmJYWBgk8/X1PXr0KF0wQ21I3bdr164nnniCCg5KUfGR51asWEFWW2A1&#10;Z86cyZMnAza5T46ER3fatGkQbtGiRcQ+iOi8Q44SqDSpQCmQ6pXC5RQZla8n5CCT8AxJMmME+hmI&#10;TFjrFe/okeEyDiPLcNUvie3MVnW+YtjG97J9+/YNGzbwZa1Zs0belHvvvffyJfJ1z7QiphPW+dLp&#10;v+eee5KSktiprhjm/dJZDnMKv69/yZkNOT3iOULvEyZ8ZKDrg1WPEX5dTNu7zCtXsjqIrWeu+9vX&#10;NCPX0N8t53tBbDRnuzEL5iUDZYjnf1X9vilk8yLX536S3AnAV+z6bPcoBtJlIF+x5xz5yL/kMZXf&#10;ffcd/fKRYCcv2SHSvfLKK4S2goICKqzo6OjAwEAvLy85Obls2TIqOLRkyZJZs2YRzkaPHk1ou/HG&#10;G6W9yS233HKth66//nr+JXcUEPKIevIcS8p56KGHqD0JBNSn4A22kR7oImhKhetIqmAHWvJx4Mi1&#10;Fdz5FWDzdTg3wxmqn49zGe6axiP1Qi8nIoucGMdw+mVMR3wpu3fvBnUczRDgyG0cmsA5jlFA3dKl&#10;Szlk4cAFwvG1ktSvu+66v/zlL+wGaNiwYaR5vuuEhAT2ugGX8zxr1QuRrRb6kKGBW1KJ//r4vyQm&#10;7FOuf18yydKK+MgcWRFqK6oeRI2DqHq+dkuG/H5RpiM+UsH98MMP1HTSdTYmcqrIy0qeW4wllKWV&#10;f/0Bshumj+OGC5fn8oucgf2o3sWaeZ8/hG/8q6+++uijj95++22JcXV1deXl5Xl5eZmZmTExMRER&#10;EUFBQT4+PlSFTz31FKkLLFHNkduAHHXcvHnzOJBH8+fPh3kzZswAexMmTBgzZsyIESPkYc1UdoMH&#10;D5Y374wcOZKEJ5frqBzlxaryiEtKIxyATypQeV8B82KOJDyw56qVrWwdPnCZ50g2hQCJ7SA9IhlB&#10;JFvJc6AzDl35L0VxhAHS+JblzCRg4/hj/fr1Dz/88KpVq/jGly9ffp8VXxAfQR3DEUP4F/GOXYKv&#10;78477+SrXLhwIV8rkGMPIeQxkJ2EqUpKStjxrlTm8fuRX6zrs1t9DpeBUlMg+p2fHz3yX+kRyb9+&#10;XZJLKO0Cx/8lmWX1mLtr6B8uVkQOsT/88EMOrtH7Vu9Zvfvuu9Lz+yVlUqCUyew++eSTzz77zHN7&#10;imTLuJbvMpOzePS4Bv0hkvn22Id/m5jcswT5+PslpfFtyhGMM6SH+C9fOjsAqKuurpYnVYI3ALN1&#10;61YqO+IX9ZQnxiAWJINhAAx0yVNOBF1CL7DHJFLNyYNRGIcuJUyfPn2mfZkq/6IrgGQcJpcGLBRO&#10;GqBkymRkygGB1JKPPvooyU9OZoqcilvqa/k4cCS4Qq7N4b5PznDM/ssZwpEKknF6iwjI1mMSxtyz&#10;Zw8BbsuWLQQ4OVEJzIhu8vw2+fb5auQRbnybfH1QDcIxjiCQ8UnqTCjvked4RU5uQ1CK5cCFkgHq&#10;VdKGRX5ptv5xJQOR699WnuO4BtmBjM+Pk+NNkg09IskcDCGIuDJOX+IQla7kFXrkGjsHrZ9fpJgE&#10;UfULbBzMCHgunZgRXWbK3Ol555133njjjbNnz7a61dLS0mzV1K+iwMbGxgYrPjKjzs7OU6dOcbDP&#10;MgBCQ1qrP2Y7XKxcC2e3Hpvu008/5Uv88ssv5du8dIIQ7GPsdexvNoq7srjdGS9alCOin0Iojd2+&#10;XyS/IOlBlMzCs5uxxfh+X3/99VdeeaWrq0ter5Ofnx8VFRUQEEDFRyVFtUVFRo0GeK6//vprr732&#10;mmuu+e///u//+q//ovvXv/6Vjwy86aabqAEBlVyKo1pEEtcAFYf8y5Ytozakn0N+evhItUhApHwy&#10;HP2EA2IBI0BWWMjsKE2ioQCSZaA0pqUapcbcd/695IjKemAyz3MLIOlnoHxEzhCRPT1sBNieeeaZ&#10;p59+mmMIaWxCngNIHFWQqslzfDsIhvHtsOUlnPFdcFDCsQsHJZBPTkfz1bCfEO/4Kp17/52WtPLG&#10;CYtdc1WVLnxl7izMSy+9RM0/oNuwgEZ+k/zspTZBUnlBL2o0fqJvvfWWbRrWh161oof6ur29nd9w&#10;TU1NRUUFB60XpcLCwoKCgry8vJycnMzMzPT09LS0tNTU1Iw/RMwR0cMck5KSEhISEhMT6aJ4qzir&#10;2P7WSSt6mFFycjJzT0lJocu6swVk2ehx+i83kUv4vqiyi4uLqbsrKytdX+clU21tLYcI0AJmcGjy&#10;2muvyfOxZG+8cPGzZyoR/QyRdo/s+f0iDgL4HUE7fl8cYvJronwOdNhc7GAhISGHDx+mBqR6oqqi&#10;pqPaAj+EM+jFET1V2+DBg2+++ea//OUvoO4//uM//p/Vf/7nfwr2hgwZMnz4cAGeoI5pqQTl3nBK&#10;o96Ug30qUySNUKhhqWoRdaKcOtu+fbtEAcaRi0PgcOXKlZQg1S7iI1Wq84oDkdTpVO4Dk3lENyhC&#10;D+tuL9i54pppwNNXsx0gJyct2exsbTldyaZ2DjgkqUt040tE7A98lWx/vghHfEFMyDfFbrN582a+&#10;Vnm5kjytlLnIVVjnMqEspFxopMtHFqm7u5vd8gpjnmdiI6UhGYKcIQiYycEmIrSh760gnPRzsMzv&#10;E7Zx+Ckv7KcSEfH7py4gfBB0IBnVWZ+qqqqCcGVlZUVFRfyeqZ35SQMJqdMvXBzk+vv7Hzt2zNfX&#10;98iRI86trHxPl1TMC/n4+Lg+e3sza8RioKNWzjhI+n+/ZF69C2SVWXEWQGaHZMzLTSwYSyttBY8f&#10;Px4UFEQ9Hhoa6vo6L5k4MoC1HB6BWPY9RE9JSYlrd7xgsdMyoYh+yuFYDaCy2/eLIPGbb77JL4tD&#10;SYDHD4pZcFzFFqMmorbi8HzOnDkcsJOrwNugQYNuueWWG60IcHSvu+66v/3tb3SJdP/zP/9Dv4h+&#10;hnDIz7QAj7pSrsbBPGmHQslQSpgHyahhqRlJaXLsD7ds3nAFDroyZK99gbhUlEgiCPUpiyqFMDmj&#10;uYg34JnnNDBxVp+PbDc2iPQzAptLmpxAI74CtiE5jKMHojZfEwGOYxS+RHLbsGHD5C4RPvJVLl68&#10;WGjHmIzPVyDHK3wpsvEpX2aHmBEyy9TrRCuSf1GfMCZdFg8YX3nPHgNs8AyMSTgDWuQzjivlpKKc&#10;POH39vrrr3MgLCGMg1nY3tHR0draKmfVOFiWc2v8zvk1Ai0O1QlbJC0qFHoQx++CMZIHdU2fgnBE&#10;IoFcTExMtFvhFymAh6g9EeQT+fn5yZBLJyprcEuPzJH+EydOSPVNFwVbMRBJzd4vCgwMdDhBl8Jl&#10;MUCIrLVsEJFZ0MtMcozi+mDFEOT6Oi+ZIiMj2bsIx8RuwjH7Hnsgcu2OFyyb4Y2kBOI12Vpo2i/i&#10;d8RRoJzwoEsgZsnZwah6gAeH+dRoVG1UcHItjWwHxoRk8nH06NFUgjKQjzKCPA+FWlJOZt5hRc/U&#10;qVOZimnp90QgoWGRlRMayBZr1qxhATZu3OgEBYhI1UwdTS0p1aJUl+CQelZ4ST8DXXXqgGeebArp&#10;5ztl00mMc85VSnzn4INDkKVLl95tW9XKEQniuyDJEfLA3ty5c/m+EN8X4zAJE4I6DjXkIpx8NXwd&#10;zIgNLmK+8kUg+db6lEzCYTQl8LXSTxcKwJErjHk//fTTt99+C+rk1tR3331XqNbe3g7MwBg/Mw5+&#10;+dXJz4+fHNziFy7NwMLCwqhqHVGnU/9KFUa1JXWxVDH0CBVs7OlD/Iypo51+qnJK61H+hUhmx7JF&#10;RUVJpSbH9Zda1HdsFmbHlqFLPxuK43Fgj7Kt2HrInv50Df/94kiC0nJzczmwoEs/1S5zZ91ZEhaM&#10;Ov3SnVP9/ZJlY1GpyuXrZldB8m1eOsmOys4mIZgePjLQ7oAXIUKqlEAPH9l1KYf93B7h9IMoigIR&#10;vyl+IFQ61Fkc71N/UYtRl3HIT6UGeyAQmWzt2rX0UNnRXb16NRUfdSKVoNSVVJFUl3TpZ4hc4xHN&#10;mjULakJBggIBEZEXpYkmIj7efPPNN9xwgwwZOXIk4ISXTAhxmYWc/2RhttlnhgE2llOAR+yjopQr&#10;T+QVak/Y5qplBzzzHLGt2EocGbABOYaQb5NjC74jMDZlyhQOU0aNGsURDEckHI6w2WEeRx5ylpIj&#10;Dzn46HEdTnYVvg4nf4v4FhzcysaHYYcOmct1vQciBvKR3Y8y+S8fGQFGwJE/gnmwyjYr+cVGXBLg&#10;4BkZTk5R/nD+y4jlJKRcAye9yYlHVoC4VlRaUVBSlltQnJmTn5qRlZiSFpeYfDI+MTwqJiwyOjgs&#10;IjA49FhA0NFj/t5Hjx0+4uvlc/SQNz5C18vH1/uo3xG/4/zXx/eYj+9xH7/jR/z8+Xj0WIDv8V93&#10;oJ9/0PHA4IDg0BOh4SHhUWGRMeFRJ6NjEy7KCSlpiSnpSakZKemZqRnZ6Vk5Gdm5Gdl5rM4ltplF&#10;Vm5+dl5BTn5hbkER2zCvsLi8qvaSurK2vrKmrqK6tqyyprSiqriskm+wqLT8/GW7rM23k5aZw/fF&#10;FxeflBKbwP6W1ONr7XezjwWFhAecCD0eeIJ9j53W7s9+7NsXZXZa60AKOXo8gF39CPbrN/MLOnzU&#10;7+DhI88f9Nr//It7//7Cs/ufw0/v3d+ndz3z7O49+55x9z/+1O4t25/YtGX7pi3bNm/d/ti2HXjT&#10;1u0bNm1Zt2Hjmkc23H//qhUrHli54sH7lq+8+66l5LrJk24fM3r8qFFjR40cO2LE6OHDRg0dOmLI&#10;4OGDBw0bdNtQuSfv1ltvHTJkiDxjhVxIjQxWSYHSFMI5k0b1jYgscn2IyhdRs1PhUgVTvUqVSmXq&#10;1LBSFzt1Ll36f4MoSiandnbEcIaIZDQR/5LxpV/qfcRHqfHlv0gWmKpfRD8DPQuUfinEsxzWS2AD&#10;eJBzt6IcCjz++OOP2VtHOGSBYdBOMhzbkw0L4SZPnszhCIcaBHESOeGb4wwOaDjUkO3MhpWNTMnM&#10;hZnKkshS/X5JUawvKyJnOPnYz+c24ZanXEPdAmPAzPXBjuzq66Xvv//+q6+++vDDD8+ePdvV1SXp&#10;raqqiuhGMiB8pKWlJSYmcsQtZxSBTUh4JGyjRgBv/kEhcOhY4ImgkDC3w6kvrCOwMyQ4LDI0Ijoi&#10;OjY6Nh5GxsQlWCfSfzIhiYosNjEZfKZlZvdp4JSelQs5snJhRhG0yC8qLSguzSssuSgXFJcVlpRR&#10;6VP7w4CyyuryqhqQQPeSurSimnkBHvqZHRyqrKkHSDX1jZfUdY0ttY3NNQ1N1XWNVbX1FTV1loXn&#10;LdvlbPvVAOzqkvIqaM13x/eeX9Tza+13c1ySnVfIMYohblYOh3fJ6ZnJaRnshBfnbOnJAdvsxpSD&#10;U9KzwHa/mF9TZEwsh5v81gyhg8yP8VjACfr7NAj3Dwrml2t/vMGQGJYf8jn6opfPi4etvbxfOHj4&#10;uQOHIOi+5w48u2f/3mf/vm8vIWM/eeDxHU9t3rR1w/pN69ZuWLtm/erVawkSK+5/YPmyFUuXLl+y&#10;ZBkVLvGOmpe0MXbsWLA3fPhwuYwEBelxQEhqnG7vUiCprFixguBCHt26daukQCpNqlEhB9igAhU2&#10;SJd/CWAc2DDwN4jShD2IfmQ44CaBDJH/eoJN5o6cBZBJZHyZtofkX5Rjiz/HPylE0MgIAAnCbd++&#10;XS7IQTjYBr3mz58/c+ZMOclM4J4zZw60Y7i0kvVsfgIO2ZJEahgJKSkNcAJRNqkT5ti2zEsWQJbk&#10;90uKurTMg2oCNtQDaXz0HMho5DkZSD/xjlT3nfveAGj31ltvdXd3g7qCgoL09HQIFxcX5+9u6OHj&#10;4yMHLMh8wV4+Bw/7ENrIcPxabGgzOQy2nQiLgGqRMXH8FBOS06ggJAi6c1UWv3/qkbyiEpIipv4q&#10;LCkHP9RlxWW4sqS8sr6ptU83NLc1tuD2ptb2praO5rbOlnbcxZCLcl1TS31TS0NzK6VRlFNOU2vH&#10;JTVzPG8VGGjWosNz2S6FWUHmwuyYNcvAutc1NkNBZ8Euc/PV8AWxFmwutptdKVbEbMZLajt36Zft&#10;JpuOPcfM/cJtv3HptyXY7Y/tbt8P5teUW1DEgSBkdcCME1PT+zRBOSE5NSk1nXHo0h+bkMTRJ+CM&#10;iD4ZFhnDQS2HpxzUWkeGBIeHhISHhkaEhUaGhkQEB4cFBYUEBgYfPxbo5+t/xMfv0CHvF54/uG/f&#10;c3ue2ff07mepqR+2rUOplKmagZ+cc4N5g6xuu+02UuAtVjfffLO0CJ09e/Zd9mV4TEt1LyffCCUk&#10;EjhBBUoPXfqdytowx+q3VdyGYx4yRLKSAqVMPsp/mbUMdCSzRvKxx8ieiyqin4GyFtIjYQ45eW7n&#10;zp3QbuPGjbIB5eIcnOP4QJrXIrYkmwvyATxo98ADD7DBOVCQrAzVKNbZVsxXFpV625m1LJjnsvWL&#10;ZCNccub1ph0StiHXZ/cdAnLe8oMPPnjzzTc9T1dWVlaWlJSQ55KSkuQinFzx8vOQc/nNNK8wiQ22&#10;RYVHn4wyiS0pLjElPjkVw7aU9MyM7FyOkUlgYIxjc3qsywpLy0FaWVUN+aa6rqGqroEu4cPGkaba&#10;BmzqAkugPtza0YVbsKkETT0obuvsviibWswiBxLYEkyxrR3d7mIvlS3n3LSzcxc7K3KJzCqzdmbT&#10;eZAD91i8y9byvbst69Ld2utr7Xd7bkPXwpy3+12o3cts+pvNV2C+fcw+3y+uqm2orKnjZ8VvjV/c&#10;ORYWFvfpbHtenSArp0lIzLkFxTn5Rdl5BZk5eSRRfsLg0Jz5tydX0lIzHaenZWVkZGdl5mZn5dGf&#10;mpKRlJQaF5cYHR0bER4tRJSjZKlkncgiJ+WoyqmjCS5U5QQX8oo0hJFoiOgBfs4pUEYmr2zZssXJ&#10;K571tWXNOdjQc1Fyan/6naKQkAw5hYsckLg+u8U4MrnnVIgtIGIgH5lWIMeKwDbWiPUi15LJWM2V&#10;K1fe6xYkc8RGWLx4sWwraTHkXKVjezphDtpRuGwEZ6ayJCwhw+Vfl1Qyu0vLvN60QwwU5jkREOBJ&#10;I5SzZ8++9NJLra2tFRUVOTk5ycnJJ0+ejIyMBGYgjT3VtpY/SrZjCGwDftJ0Lda2vyD/wcU8ZE4q&#10;mqBWVFZRWlFlzz6Z03TlVbUV1dj0G565SWZSRYM5t+ZmWzNHu/XNrXK0y4GzpC7niNg50O5hqalt&#10;v3PUbA6cTSV+MbbzOhe5LP+MbR66hJa5mFVwrYVZEdxjtH63qW1dNbUMMaBlO3iOcznb4zuyRwlu&#10;CHl+p5fC7KKe+4ksAJZv7cItW9tMaL53167r3nv7wRRI15y+rm/kCNJ9ENnID61Pu3+Yrp+e2PTb&#10;nySTm1PuNXVV9qy7maS2oYaD1Oq66qo6urU1DfV1TQ38omvqa6rrGVhZUVNeXlVWWllaUlFSbG7n&#10;kIbZ0hg7030LrFwckQdVe3l57d27l2iybds2anYgd/vttxNlSIFEQLoEmokTJ0LBee7rUtTvhL/d&#10;9g01wh6pZ0Wm0r1ICa5gQw9ISIG95QBPPkoJMkSm6lEO68hHeoAl8YslB3WEVzkCAHUkOaKtND8Z&#10;P378mDFjJkyYwHYgHN95552A7cEHH+QogRjHujMJE8qtIFBT2p5IsGNLOhkOeS4bH/kXYqOxYCIZ&#10;QSQL3y+SYv9Q5oE3OWmJBHKffPLJhx9++M4770A7gl11dXVZWRl7YWJiIjwLDAwkwAE5aVEmtGNg&#10;SEiItGmUe5YFdey+cmeSuVfXskpAZesCV03U1nmKo2N7PEtVde4X3tF9ur3rFIe67jrX1FmM1uCq&#10;FDyqM9dpxl+0PUw2hWNbAcm0/WM5Kr90tjFF+l1rYVfBbqhLadlcro3mnin2XLbL2R7fkbMiZgN6&#10;DL90Nhvq3ExlJ3R9vFD3kfM8voXfb+cX5ywzi8oQIXcf9lg790KaVbM/XnO2QzYvJZg9trO7s+NU&#10;R0d3e1tXW1tnW2snPR3t3Qyh32WGt5nh4o6OjnartrY2eboQam5urqqqogIpLS3lsJmKBf4FBwfD&#10;P+ruzZs3A4AFCxYAOecqID3S+AUMzJw5Ey7ed999q1evJh6RHeXMp1TxoIWq1la8FyGhFwywqDJw&#10;AhLgAYR4nh50kEZXRpZLPAwRqJA+hTqICR280QXqUEoyLpBD9KxatQqEsy5ylY5oy5oCPLAnJy3Z&#10;DqQ9kpzc9cjKynlLJ8mxSCJZMAsyI2chHTGktxjHkRTSL5KSLy3zgJyDPVIdqJPnm7z//vuvv/56&#10;d3e33N/tXKIj1UEyjrPIcLANybnK3knO3PVTUMDeKSq3j72o4biuvr6hocEeGJoDVYjl/MBIEnJG&#10;yKNalx9YB8A7N9z+ihjS3n2a6tjjh2cLcZ9m7NO2WFuCy67h7t/thdrOyFh+272HXyLb7XBuU0j1&#10;h23gu4RmC7vsXlNxj8W7bO35HckeZX0eyy+FPU5jupfELozz8QJt9vZzX333+Zm7H+zanUw/i+36&#10;JTJHe0DZp9krzp0mkd+yxFnZqrLYUiBDWls6Wls7zhHOmiFmuPMvD+aBOqGdAzwE88yz76zq6uqo&#10;T8iCubm5WVlZ1DxUQVRH3vbhHYJA2HD//fcvWbJk7ty5kA8Eys0PU6dOBQnEIxhJAIIHkI+pqN9t&#10;xXsREp4JBuiBWBQloAKokqLgmRMrEVPJ+PQwvuCN8UXE0Mfsc08AM2CT5Wdppe0JXTKrPPpk6dKl&#10;xDhWAfgxGv1Ajn44J8GOSEcClrsVJdWxGLK0zJoeIQofWXGL7HP5Uj72FlN5ijH7VzL3S8u8n91P&#10;xHeA9+mnn3700UddXV3sWIWFhcnJyeHh4aQ3VphvyLR/ss/dINVxeBUaGsqhVkJCAqgj/BUVFbEj&#10;sjtCSpEcqcn+iuiR/VhOV9qcZ5jHz8MQqLPb/oQcFkqVZH489hfl+l0xnCH2N3maj/JLs/WyNEsx&#10;k9huHz43pmDSVafwaz9vtH9rO5X8pO2v2l2NCiEunS2hbfUkx+CEMKmDzo9l/W6zdudWXzaa2W49&#10;Fu+ytfMdmdVxTms3t7rX6FLZvWPIYrhmyh7u+tYu2C7CmV3Os0DZk/vHriU0szO/I+Zo4OoCdk/z&#10;U4WLdmE8l8Ts/wy0h6SnO7pPA2lGNqM1tjY3tYE3A7Z2odq5eOdQ0LHUEkjg56ipqYk6hFqFehAx&#10;hFqFeoYx6cpzBDnUptbiQJxqCuQQ6eABOe+222671uqGG24YMmTI6NGjSYSQD7oQpAAPSLAV70WI&#10;KpF6mdofmAnwAIxcZqNMAAbG4I2cPJQAJz3Sz78YGTIxMpNAKVgFtOAZnJttnwAwYcKE4cOHS4Od&#10;oe4Hlgr2IBzjMyFgIxRSmuRFChfEsoSCNGc5+SiyzDLYYzTpp4ePjMnksnaOZATECDKJM5VrjH4S&#10;C0b34pj3kxUk8wxwiI89hojkdrqPP/74rbfeeumll9iBqqqqiGUALC0tLS4uDuCR5AKsJNUJ59ir&#10;MjIyiHSMidjVoF11dTXAA5YO3mRP7S03LS7Uzi+zh+X31tsejDzPtr5wqiSn7jb8cAY6IDS/bQMY&#10;5m5g6clXZ8IeZpEohB6DcBefzPLLtBdumZ3HQbRzBKDuV3seuFiWiJ0v4hLZWQBnprLfOjvS77Qp&#10;uVfh7FRmffvDUqz8lOwc5azJLx4DtTT37XPnPIV2Nup1tHdTe1yUqHMEh9Q8tbW1Tg0mTQ2oN6HC&#10;unXrgB8smTFjxsSJEwl8culrvn0sNfx48MEH4QegAh5S7wsekPAASQ+4okACGeNLC0k5zYiYBdAi&#10;eFEgQY0ctmzZMrKa3A8gsq1MjBgoutu+MXXx4sV33nkn/WjRokUsGAlV3ilBl4/8l6KYBeuywb41&#10;CV5K2xxZYCBkeXQuTdLfm2GXrVhguv2T8xwQikh1fGTg22+//dprr3V0dIA6AAbkwsLCABt4Y18h&#10;ySH6netzoI5Il5ubW1JSAueAnAjUCe042mK3E9pJyOtT7ormQu3+jfW05+/c006d0sPuEezhquv0&#10;prFHmbamcI9vKw7zo+X419RWctx9buSeNm0Wzrt7wSwJhTgzukC7ltBlKce4x2jq/rA5W0g0aTvn&#10;U73G6Wd7zMvO3WXP/fB3+hzwsE23xu7hv9dSmi3QsRku+2pvu/JcL3d1ne7qPG2wZ8OfyxD0IiV1&#10;jrkA2N4O+aiL5NFOdIuKijIzM+Pj46nEvL29SUJAAkSBkHHjxhH+yE/Dhg0T/jH8oYceIm8Rm0g8&#10;JCTqXy8vL1hCP7UwH0EIpCEdCkGhERMSv0aOHEl2JITNtJJGklOmTBljH1BJspQ7C0VEN08xIaOx&#10;PFPtO3dYNjRv3jyoCYmZF5ADrsRBFp7syOLJWdO9ViwSS3jQ4+Qkkh6Yx4rIkMtf/ck8RMiDc99/&#10;//0XX3wht9OdPXuWgyNoB8Og3YkTJ3x9feV7Zec4evQowGNHIdXJhbqsrCz2Icavr69nJwNdzqVm&#10;e7DlOm/JcBnIfy3g+pDU4Bduj5/Wee4x2gX7HAXF7oPiHuZX7Qp27p+3C4c9ftKOzWj2vBB1mec1&#10;mB6j/Vu7y6HfXGVhGeoaW2rqm2zsU/ebnfss5UjFfrnnfRGXyJ77nttmz+wx2m92r8Jdll9NP9r+&#10;NOxpCXtQ2GMxHDsnLXsY2pHqTM7jeM5e3nNFwIuUZ81Dl34qKCo3PtLPCByLU3Hl5eUBv9DQUIIa&#10;YCOWwRh4M2rUKKBF8pOHnJHSYAyAAS1yNlIAg+ANAYsMJ3Ft+vTpAI/USCEwD2hNmzYNCsJCRGmM&#10;QLHywiPUJ/AQIzA5y8DyMDkhj0gnSwL2YJ5zR4E0bJGGlywPtENQDbYBDHvR7bx7DJDEvitCv515&#10;4E3yHD3IGfjtt9++//77p0+fJv7n5+eDMWAWGxvLTgDe/Pz8pNVlcHCwPMsxLS0NHMqLV9hjyHPO&#10;OQRBmsjw7XxZrv2a5Bd+4e7xS3PsZlJvy6/xlyynmFwXV7DTKADbObooaIMdM6K+cP16zbmdNleb&#10;gt422dFezOg89VLnqZetX+rofkmmvXDbKti0gDAXTuzlzOr6RrmFQ92vdt0VU2OeNdMsp5HZPTy/&#10;i0th2Q/du7EA6df2q4u1HJlJsXaOrrMa5qCtPyxrYZdZhrh+We416mkqjF+yqxmLpV1zU1tjY0tj&#10;g+vy/4VLwIbkIz2CQM+P9NTU1BQWFhL7qN+o9DisBxhbtmxZsWIFfCKiQR0JfGQskLZ27VoiHZh5&#10;5pln5OwoKAJL8hQ0gMQ4REMmR3J2VAIZQN1sJXcUMByRIB+wklaXTM60hEUE5BYuXEiZcO5u+2wU&#10;ZsQQ5oVYnjvuuENYKOc2KYRlEwoCP8AMHgQYdGEeEtrRNTC5QvTbmSeSc5g/2edhfvPNN59++unr&#10;r7/OF19QUADnYNsRKyIdpfv4+Bw/fjwsLIzAl5KSUlJSAufYRTg+kj1G9ieA5+xDIvqRwznPgUgG&#10;9pb8wi/cPX5CHj73O7xwuxsyCPDMfUUeP2Dz03WIKHcg0S8/aYbb8U3l2KftPRhEB1N12pFb+chA&#10;SrgoE+mYi61/zflSauRyc7+wPOVS3W8uNHdem2f32AfIuR7nVlVb3+Pr6Hfbu9+cRyjY0GmHOzvS&#10;77TzcAYbZE3JcizoLMDvtDkidNHO/GT+7e/RAVsPAzl+ewQ+OatJDx/tKaSLE0fedKlwetRR1EtS&#10;HUk/4/BfaTpeZ1t+ckwfHh4OMyDQjBkzCFukLgIZyQ/SwJ5HHnlkx44dAO/RRx+FN0S6QYMGkdUY&#10;majHfwHPU/a9RU7koqamK7ChSz/DGej0MzLBEZRSLIWDVWIcDIOLwsKlS5cCP7g7adIksiNLJekQ&#10;JINAZg0XIR8QZULIKtcgKZYIuHfvXmYEPOjKTOGf4cmVoN/LPGj39ddff2LfpMqXzTcNyYhuUVFR&#10;AI9jHGhHsCPhyc3jpH55OwmjkerIguwZDrcMyjzEcE/1GMg+J5Jpe8uTZxfi839X5+xxLeQ895jc&#10;MZO40WVp1NBM1UMFZO/DbaCyo8qj4iurqimrrC6tqJanwMjjNKkToY48qjEnv6hPZ+cVZucXejxl&#10;Mdf1dES6F+PktMyU9CymTcvMSc3gY0ZCcmpcYor7+aLq/nG07Z6MT4xNSIpLTI5PSolPSmVT9/g6&#10;+t1JqeZBevIt8/3yLadn5dpnD/Xco36b7dNS5CEp5tFFRe5n8tmHtfaDTUSuref34n4KkvC7yZw4&#10;6ctNjX27ob6ZLvDraDf38OH2dnOeU04gXbioFulSsXhWPkhe3kIPqOO/jNbV1UWX4XSpsqjl8vLy&#10;qBKpZwEGmQyWzJ49m7Q3xr7ge+bMmeQtMtasWbPkzj/+BXXA0sP2CWdwC5IxOXW0l72FXEQ/FSxd&#10;kCPZi3EQ/6IepzZ3yCf3Ejxp3/9H6JR0uNq+rYI8Rxa866674B/LMN/djAXm0ZVWMPTQhZTER8AM&#10;/ygZ1BHyBgTznBsPvv/+e4Ld2bNn+aY5oklOTnYaYQK5APsWElIdnCPVZWdnFxcXwzmnHYocCkmD&#10;FMGYyPDK4y5RZGF3HgJliEjG760eKPq39uTchdgc4fZl97OGzcsBJDYVlpSDsdwCU1MIqDJz8qiA&#10;5GG+9rUJsIcqyTwgODElncoxOjYh6mT8rzgyJi4i+mRoRNSJ0PCAEyHHA0/4+QdelH2POzaPIbWP&#10;0je275FQ96OPu9/LIXa9Z6DH19HvlnnxhdJ/LODE8cBg/6AQdpUeO9Jvd2x8dGy8xbmwHJCnJaak&#10;2b26H+y82cM8UKm41Dzw1o3VPl1W2rdLisvLy6qqISfwazL3M4DAxgZz+e33iLoLSbMDemqs+CgR&#10;kC7j8BHgIf5VXl5eWFhINRgZGXnkyBGwAUWmTJlCupIHe15//fU333wz+Q/gQUQBHoCBeYAKdIE9&#10;GOOcSxTSOITjI7W5RaHrYhtDqNDJfMQyQZR8RJIFn3nmGbmaSOHgkCwICzdu3MhMETiEhcTQuXPn&#10;kkeJg5Pt+3glejIhpQ0U5n1r9c033xDvAB7fN+E9KSmJJAfqJNvRDQoKio6OTkxMJNhxmMNXzpig&#10;yDkVwGw4bpKzATJEJP3sN7Lr0HUGSg+SckSGb32pB9L+rXsgzbE9zOzDpaS0vuxOYOapgPYp9dkp&#10;5vn0mRx3UyOYLGXeMpMUE5do3wVjHjZPDSLvhaE/JDwq4IR5yZHH+x/Os7w7JjA4lFoMVnnb97Mc&#10;OHTYy+foRVpen3SEyQ96H6H/8BE/76PHKFDdn/Zlk4r92MLWvvLuqkvqvp6xbhDYY3f6zfbzN28g&#10;Mm8/OBESGBwmj7cNDouUPfn32zwdNymVnwxRlR9RRnaeUNCemejDGRl9GwhnZebmE0htM/DKyprK&#10;ipqKcvOwp4sVlZjcLgXDbFvyajmIp4fhiOFCOIbLONIjA6WdJ9g7efIkZIIrixYtgnBDhgyxD7I2&#10;GjRo0OjRo6dPn86/5EoegIFDhDOYJKdACYuASrrQi1pbulKVU6d7ylTzbgky6RE00iPEEtEPGoEZ&#10;iH3sscfgH7NesWKFXPMbb1/PSwblI2nv8ccfh5rCPLpXCfOkcYpIaPfzzz9/9dVXH3300WuvvQbA&#10;CgoKPG+w4yfNbyA0Ijo+KSUjO5ejMzk0Aw/yQLz6ppZG+1i/FntvWQ/k/A67r6KbS+imZbZcYzcX&#10;MM7dduY8geVUR/dL/FdOTrouBthL8e7mi+1MWGMeiVtvE1uNPNk2K6+AX52cAySKcUjLz4wefpwh&#10;EVGBIWFASN5DRE8ANu9DCaE64ODaP4hD7GA/eVFZIEfcJ+gxbykz7yczbzsTkwnk8N++RcU1VW9T&#10;3dg3rZhXsTAaM6Wekbe0XJQ9H05PXqSEk/GJ9sybuj8tOww1eHRcQnjUyeDwSPsNhvT4Ovrd8p5I&#10;vlnmyE7CLir7pNk5+8PspeyEsh+y07IzQ3d72NS3XXn3gm1+LAHmZUN2RpJTjd3v+etp92g9bXgc&#10;YngcEh7pvF+MDWL7L8JMYn8mcRyw8vO3540zkuyrIX7JieZ1EOYwVx5qn25eMZYPxYnI7AOs496/&#10;v/DIxs1zFywaOXb88OHDgR+Zj7QH/AYPHjxixIgxVsCGRDhr1qw77cuM1q5dCwXlIh9VNpU4xJLo&#10;Rpd+qdlloAyBcJIIJQLKCIiPMtAZzsiWjM9BNREIJGsy0wfsTYFybY9oKKhDTCLkuCIkq/nvcx7Y&#10;++GHHz7//PP33nuPaMURTWpqqjyG1c++E5y0TiXO7kVwAQaFJWWVNXV1tokEtHM1uzj/0Sf9ZSeQ&#10;ue8QshfS7Yyce4ZkoAy3k5gbwM1lAKcdeXMbnAPPILqkokpORUpWs+8xMe+bBW9wgr2fQ1rW1LwG&#10;LDiUXzusksxkD6hN6pLkZF8/a95AK7YH3cQpjvFNFSDH+/aQ3Dnkd72olvTGbxiU9mnqTeoyFoO6&#10;jB9hRHQskZHFSyBEXozdv8lU6mVWkN8kRyqsMocp6n50QbG5Omt3p/y0rBxSiz1mSu3xdfS7zUmF&#10;lLR4e43W87yCA8XfaYsQYxdT7Vvu4J+zw/ey84u4ILvTsNgVXjG/rD7da3Yuy1SHzr0R2mWnwAv0&#10;Yfvb5IfJoQPrK6HWjdI+bN/KaU7JOG/l5MdLJIhLMpfMzdFPWCS/9Gf27n9ozboFi+8mQsE2OAft&#10;YJ684R1dd9118m5boCjX+RbYp5oRttatW0f42+V+6JdU5QI5qdmp0AWE8Il+S0CX+GjR5uKWAeD5&#10;zKNHxJiS/0Cd3FAPa4mYjOM5Fd0rQrLAv5jz/mlfd/Ddd9998sknZLs2e92ObJ6QkECwg3PSFFNu&#10;J+dHRdUJJIpKTbaDN2Qp59ldtkX+efbk1u+xfTb06Taim2lzL/HRpDf3CCbDyRAxJCZ3utlWbt5R&#10;UlhMlZRhT0VS9VNNsFPK1TJnz7a/anN4bg5szeGnfbW06+3SntfGzLUTG+Y4Jg3h52EPM82RJpUC&#10;XX4MpCtAFXkyLspaaiLn6gjVk4VQakq6eWNnb5vLfuYqoHkDWWoGH3PJoDkFRfYlfxdheZ8LNXKB&#10;uVhSVlxeSajlSEWeea/uL5tjqfrGqlpzOFVmXslrXgHPxvf8Li6NzVVkeQtPnt3D5ax7akZ2v9i2&#10;jjFmPyT0GL7aV8Ofd83Pw+zzF+VQE1Jdx3bmlc6GH2ES2n7B8kPraTkpwo/0iJ8/0UrO8ZoL2Pbq&#10;9YXbnIlhWo5H7RldypQcKemzt6kZJKoyDl1bS1AOtYIsqnlVNfXJi4d9djy1a80jjy5btmzp0qUk&#10;uXnz5t1xxx0Eu/Hjx48dOxYKikaOHCmZDzrKpbWZM2fCv3vuuec+e5/7o/ZNtnJ3ARQEbIIu6nSo&#10;5kBOhgiuegAPGcpZOf9FfJTrf7t376YLAuXEplMOkskvf8mi/mLOc7LdqVOnysrK0tLS4uPjg4OD&#10;AwIC5E47aMeQnJyc4uJiSFdeVctv28Y7V8t77EDIBC/nrrWmVjeTfq8BnpzMdD9vwvVsEc/7h7Dc&#10;7oNrG5oqa+qpdPj984u1AS4+IiaWvdAeq4awp5oTNUePeR3x5fDQHOId8SXMscsCM35Csr9CL36W&#10;TAi0zCvU482hNNCiTNsmJdueyjBvS7fNLIvsBYkCc8q3tNzj3UYu29cbSSt216ngCgb2ZfMeMlfj&#10;TyY0rdpYI2K0tKC5cJv8bV+cJPUyQ/hqOFKR1nHq/jK7upxO8Njmxs4XcUnNHO3s+JYb2HOk2XC/&#10;mB+73WnNfmgbbZkXxINz2ZN7mx3+ouwA215ckAvk+RyYZucV9Gn+26czss0rajkcP2lfOctPleBr&#10;LqsnJl+UDatCTWKzAc5mOBvj3B972h7jmqvv9NNjKRh45Ji/c3ZHrmi86OW9Z9/fH9+5m/CEnrTP&#10;gCZOAbC1a9euXr0aFkK1hQsXzpo1CxAKBYcNG0b4u/nmm2+77Tb6AeH06dOFf2vWrNm4cSPlQCYq&#10;dKHXQfezm6XSF5IZUrnF8B5iWiSMpAtB9+7dS7yTcgw8PfBJaTLV5S9Z2V9k3pdffnnmzBniXWlp&#10;KdnuxIkT0M7b29vX15ecF2WfE5abmwsOa2pqhCgWMOa5QbalvvmFGwjZZ0ICIYZTscpJRUHR77dN&#10;jS6+GrtPdVqytrAA/NTLq2vt8bVJNvyKzNFuZjaHpZExsRxFymkZb7nwYBvacTDI3gn5OL4zjd+g&#10;XYA5p0HgI6VJqxO5+sXRrklaufnSGpMfmH0TZgWxyQNspsm1aVpmW2BTDbER2Bp2iznB1LXYfGSL&#10;kVmdBw/2sN2Yrnvb6bGXMA3yhfQXbuf4Q07tsun4qlgSd8nq/rGzhV22J9jZ+D2+jktgM3fZu+wO&#10;5trH5Ffz+22LMgeUMhfKt3tUq8ylt2UxLtyC6qo686ZZYaptCF1lbvLpy/z3l8xPMrewmF8oP09+&#10;pPz8Sb09kPlvDfZiE5MNOOPNoa09PWNMf5+mirD/NSPTHx4VExwW6Yp3waE2+bmCID3m/NCxY8eP&#10;H/f396dLovDx8aFepoKWRpWkt4cffpggOG/evGnTpk2aNInMN2rUKMl/gJDkJ29FAHv3338/vNxk&#10;X3pA5pOTnxCLcEYVL9BCQEtq/B4yDHRTkB4BpIiPcv2Pf0kh9PCRgXb0K0Cyan0z75///Ocrr7yS&#10;n5+fmJgI3vgmGINvgpwXExOTnp5eWFgI7SrlZXW1tbKnuvKcx6U1U4Nb5rl/GGY4P3755fx+u5kq&#10;s3DuY23nd8Lunl9cKtfk2PPY7Qhn4O24+6o7bHMakR8PDA44EcJO6b5IlhCbkByXlMLk1oZqdu83&#10;98ZJE+qC4jJIBtjkyNcc8FbXynvV+bnW2Bc7OHfsSoAjkLH6LKdZYFly18aRxTbbkH/JFvtly/p6&#10;lmAmuSjLt+O2+4jB/X2p+8t8odZmX/X8BnuM1u927ySeMzV2L8/vtWDMlmlmxNGY+XX/Mtt6LN6/&#10;tT1EMIetcugsJyRcv6y+7JxM7mH+xREnP1JqA3tXAxSsNpjsdUfgr1sml8sB1CqYGFpgwmjfdk4y&#10;M1peYYlpB2cPi/kXyTUzN9826s7JyLYMLiy2D9I3ys7OzszMTE1NpeKNi4uTLjUwkePo0aNU0AQ4&#10;udkOEBIEBYRTp04FgUOGDCH/DR48GCKCRpLfcvu0aIKjnJYEe4DK8ssIAAi6kAGCG3j8q/cQwCaS&#10;CeW/SP7r+nDZS5a8b+b98MMPkIw8J8EOcSQC8KBdQUEB/5I7B+SmAiS1p/u6HUd28hqdcz88+7M/&#10;92wFqQV+v+UyHgUSH8GMtLcsq6whfqWkZ8UnpUadjOPYikMq29jk6Ite3tKMm37vo8dshjMNIC3k&#10;kuRCGoRjL2R/JRrK0hqQuynuHLPTz7/kZ8+vVFbWjHzer90upzzf0m4T+5OWc7DmX+6zsvajqyjT&#10;+tRsqD5tuciE5zapXTaPOV6QmcrY46NrBeWQRd1PtrtHH3a+iEvkvvdDeZ97/9jsKpTsXh3DPPYi&#10;u3v3abn0cKE+t6Fc+zmW9XIFx57mX33ZtageP1tJ3uevy7+3PBacBZCi6Npfosm7fZqRWXjGoUq0&#10;Z7bMjfMya7MMppBWDoixLIzci0VF2tTU1GCf4SJ3O8itfgyhyq2oqCguLs7Ly4OLKSkp0dHR1Mn7&#10;9+8HfrCNnAf2brjhBrAntz3Io16ktac8sWz79u3AT8gnAOhxlhIBMAQMHHmO4IzmKQZeKZKl/cVz&#10;m2x3tin/DgwMjIyM5IiDbY1KSkrkZjskd8t1dMg7U6TqNDsE36JTO/fhc/vx77VAjsO3/KJSjqRS&#10;M8wtBKDOuWub6HY8yNzK5uN73PuonznbblumhEaY9vrRsSbPMX5KurkNyNCuoJijOahZaZ4B0Si7&#10;qd3F+YXzI7Q/YPtyL4Gc8+OUj+5fptj5zZjJnQ1CD0Ps6d8W+W0w3FSR8jhBO4678N6WZTDP6bdV&#10;g5mjzOuibGchN3gY02+W6pefO6P+bbZfjevbcXYG9/5wCe2al+ujqf1de2Z/2db4Zld0v7rB/iLM&#10;ntyn3et+obbli+VY0PWL8FxHT5sqpS+7f7xuNtuLLIwvpV24WUe6TCjUpEyWzQzx3CYetjdEmSNg&#10;Z3wGsgDkToawuUzLO3sJgzJZX0+Z577YJ78gmCeCfFTIVVVV5eXl1MC5ubnEj/j4eOdlRvBM7ihY&#10;tmzZ/PnzJ0+eDPPQpEmTnGdpgsaHH35Y7jd46qmndu7c2YN5AjzCnGWZkTMcEHh5eTkjy5gyggy5&#10;IiQL/IvMKyoq8vf3j4iISE5O5uCCgw42uhyP9JbZNS/Gdh/q5DcpF/ntbsG+22FaYLqPp2TH4iM7&#10;EPsKhGD/MHW0TGuw0ZJXWJJbUASrktMyok7GB5wIBWwHDh0+Ym5987OXi4+S8I4HBoeERwK5hGRz&#10;bw14y8otyC8uBZYgE3CSEft0j8VWq9XqfrdEiN5yVa+9RFVM8qusrCwtLS0oKMjJycnMzISCwcHB&#10;3t7ewAy2LV68eOrUqcOHDyf2XXvttbfddtvYsWOJgwsXLiT5bdq0CexJI0/qfeekJT3AwOnx8fGh&#10;QCDBkCuIbb+kf8M8ojQHEU5DFbIdcm3yXurxFf5bu7OFHDeZXGiPmwwL5V98dB/ryVGeGcJodY3N&#10;puFleWVeUUl2fmFiSlpsYrJpjRIWcTzwhDS5tPfAuW70PnoswD8oJCQiKjo2nkiXX1RSUFxWXGau&#10;w1XXNUBNloFZAN0+7SywWq1WXyK7ENdLruq1l6imyYIygjznTCgIAjMyMkJDQ6nKt2zZcv/998+d&#10;O3fKlCmQj8w3ZsyY8ePHA8IFCxasXLlyw4YNBD55ePRe+4gyJBgAbxIBRXwU8a8rWv+GeWxKNl9x&#10;cTEJT05mErFli/dWj6/w39oyzJxPAzmWbYaCAM+cBHCfRXSfP5RJOuqaWsoqa3Lyi5JS04l05DZ5&#10;AMqxgBOwTW41pYePgQDQ3EUQDw7Jf5k5ecTBorKK0oqqGvOwWnkojLnWwhw7uk93nHrJzkKtVqv/&#10;BFvA9SFX9dpLrn/3ElU01TXJLyUlRdoeUstDsvXr169atYqEN3HixKFDhw4ePHjkyJHwD/gtXbp0&#10;zZo1W7duBX6QD7A5mY9+YR79DPTy8rLguIL1b5hHH/EO8rGJ29vbu7q6+pF5NsC5bU/Wt9q2G3X2&#10;xTpQULIdPXxkYGVNXXFZRUZ2XmxCUnBYpJ9pk3Jc8pzc8kK/L0EvNCIqNj4+KQXIFZaWE+ZqG5oM&#10;3uTZY12n5JSpvc7hJEi5oNW3z19mtVqt7n+7kNVLruq1lwgh1MyIOllaEcpwPvIvYp8kv8rKyqKi&#10;otzcXJKft7f39u3blyxZMmHChFtvvfXaa6/929/+Bv/kKZoPPfTQtm3bnIdZ21BnJJywF++upHsS&#10;fkm/xrx//etfL730EpsP2rHpydEwT/jXp3p8hf/WJuGdA5694GyGn0NdfXNrVV1DSXmVOYeZV5CS&#10;ngnJ7M3jYcfM8yrN2wD8zCPkg/yDgqFg1Mm4hOS09CzztpT8Iqarqaqtr2tsJjUK2CjcZkqXAaHw&#10;T06uuujbh88ts1qtVl8KC+F6y1W99pLr37106tSp7u5u6mpEVc6YNTU1RJfMzMz4+PiAgIB9+/Zt&#10;3rz5/vvvd+5znzx5srwzb9GiRdLCU15g5MQ+CXxyW7oFxxWsX2PeP//5zzNnzrS2tkI7DiLYmmzE&#10;fsx5FjwuqNADe6QdY1vnKYYQzkrKKzNz8+OTUiOizbPpfNxtUsyz8o74HvHzJ9QFBIfGxCUkJKdm&#10;ZOcWlJQZztU1VNc3YmhHgXKZENNT32TereqOdCyDuV5oW0u6kl+fdhZYrVarL5GFWL3lql57yTbw&#10;PO812ojhVN+m0ae72Sf/JfDJXdTyPqOMjIyTJ0/6+/sT5nbu3Ll48eJp06YNHjz4uuuuu+mmm8aO&#10;HTt37tylS5dCPtDICFDBSXhCiCta/ybnvfHGG7LVyMhgj8MH2dx9qsdX+G9tmGdpRBfkgKhq9zMX&#10;5MFgSanpkTFxQSHhJDkIZ2+qM0+ePXrMXx5LD+3iElPyCs2tBRXVtbZVp3PLhORFe9LS3SLGMMzc&#10;cy1tZMxdtHZMyza5SaAv91hstVqt7ndbePUhV/XaS8QPZE9quiTD5YQnAoFCPgphTHpgJAMZk+SX&#10;m5sbHR0N+bZs2bJq1aqZM2eOGjVq2LBho0ePlke6kAIh3+rVq7du3SonPB1gXNH6Nebx9/bbb8M5&#10;NhPbiK1GamaryZbtrR5f4b+1IYowz96uQDKDW6UV1clpGeZG8tj4ENeb5MwzUzAfw6NiomMTElLS&#10;TKorLi2zj/KS55tI80vYBs8EafbUpYGcPXXpaoTpnMMEiozv+d8ei6dWq9V/mIVwveWqXn9BVM7U&#10;ycK2rq4ueTm7sA0xOV34R2iR638ATwYK9hISEmJiYgICAuTG9pUrV86fP3/ChAlDhw6Ff2PGjLnj&#10;jjvuuusuyAcayXx79uyx4LiC9WvM+/lf//v2ex9CEahgTwbaJ4zYdh992jCsL0uEYgQTtqRNij2N&#10;aU4n2icU1DQ0ke0KS8qy8wrSs3LNLeSBJ3x8jx/yNi/lOXzUz9c/0D8oJM60wMzMyS8srayubWim&#10;HIO3TvMaPLVarVb/BtfUN5VUVFGxnoxPPHrMf8v2J+YuWDx0xOi//e1v//Vf/3X99ddPnDhx8eLF&#10;K1asePTRR8Hek08++dxzzx20D62WHgQ56L5om3oiGchHS5n+EfMCzPvc7wgUdEkTm4uSTHhpmUcJ&#10;TCvxy55XNKcWMSysbWwur6rJKypJy8wGaZExsaER0eZJmPalG77HzX11oRFRMXEJ8UkpEDG/qKS0&#10;oopE6I5rPZdBrVar1RduqvTahqbSiurcwuLElDSq38d37n7w4bX33nvvrFmzxo8fT+ybOnXqzJkz&#10;77777oestm7dSuCTB5iBDW9vb9Om0+MhnPT0GPL75ZTmFE7/Zco8/iXYk5vt7Jjm0hrHF2zozNx8&#10;e++BeR6mfcHVsSPmxYyBgcGh4VEn45NSzVNZS8pAnTmH2dDU0Nwqj/CRyAg4nQVQq9Vq9UWZEEJF&#10;atsPNlPHkiviElNOhEXIjQ1wbtKkScOGDRs8ePCoUaOmTJmyaNGiVatWPWbf0r53717YQ6QTDglO&#10;4JCgiI8ypF8k2VEkwCP5CbEuSrJIl5Z5UMq0frR3IDS0tFXb2w8Kisuy8gqS0zLJdoQ5834D+8AU&#10;yHciNCIsKiY2ITk9K4fRKsz71lts+0nXA5rtg1rMs8cs8wh8PZdErVar1Rdmkxyomamr+UhtX1lT&#10;V1RWkZycHBAQANhWrFgxe/ZsAt+IESOGDx8+3b6oT57buWnTJnlR3/79+6EIAkhARWj0G0LYr4jS&#10;KNkTeOg3zOKPYF69faWWTXjmnViFJWWpGVlkO+f5KV4+5o2s/kHBYZExMXEJ9kHPefY0ZrV9NpiZ&#10;3J7JNLNmeWRh6LHz/cXlUavVavWv2zabNw+AJD9Q09Jf39RCRV1WVlZQUJCUlBQYGLhv374NGzbc&#10;eeedt99++8iRI0ePHj1x4sQZM2Yw5KGHHtqxY4e06gRIXl5edEERQ/oXexQF7WAVXfoBHvT6Dc+F&#10;+SOYx0a027QVgBWWlAM8ebnPcwcOPf/ioQOHvL2P+gWcCI2KjU9Jz8zKLbCvAq+XJ0qbjCg3z52z&#10;KdOgzn2+tMdiqNVqtfoCbc6ZUYu6LxVR28ubj2pqahrtO4xKS0tTUlKOHz/++OOP33///WPHjpVT&#10;ncQ+yDd//vw1a9bI+/z27NkDUYRJwjxLmf6RhDwE7ZgRYi5Ay/XvC9YfwTz7SOi6guJSaEeMCwmP&#10;DDgRQsI7eNgH2h0PPEG8S0hOzcrNLzRv8Km2czETCiwFco7NvXS2B+yxbK3KPLVarf6tpmI37Qrt&#10;m5KoVKV2JfzV1ta22hsh6uvrwV56enpQUBAk27hx43333TdnzpzJkyfDPzR79myGPPDAA5s2bXr6&#10;6aftSUfTxpKunIfsF0mxe/fufeKJJ5gRgsHPPvus698XrD+CeeVVtXmFxXFJKUEhYT6+x718fEHd&#10;ET//wODQ0Ihoe90ut6DYPEKFIFjb0GQ3veugwwDPzTZMD9+KC4ruU53OAqjVarX6otwgLwKkdrVv&#10;cDM1vGSJ5mZI0NHRQdSDf6ioqCg5OTkhIeHIkSNbt25dunQpOe+WW26RVxQtXLhw1apV27dvB0uA&#10;RFgCWgxn+kPg7ZlnngF4jzzyCHFTLig+9thjrn9fsH4L8+R8o2wme+OBOUCwo5nhMo65x7yuobSy&#10;uqi0AqIlJKeZhkDmtXbeh7yP+B43zTJjE5KS0zPBYUVNHdPK5gZyPb4StVqtVv/BtjfE96Hi4uLU&#10;1FQ/P78tW7bAOWg3dOjQIUOGjBo1avHixXBo7dq1jz766K5du4h6e/bs8fHxkROSSC7IwZh9+/YZ&#10;/lyMQClTUSzMu+eee+bNm3fnnXcCP7DHXCCZXDukfPoZInO08D3vPe9IRmP4hTLvfMuDu8yVNmlR&#10;2dZ5iklq6puKSssJcIkpaWGRMYHBYUf8SHhHyXknQsPjEk2bzOy8QvssFdd7D6Q0e9DRc+ur1Wq1&#10;+o+0C3G9ROyrqKjIzs4+efIkgW/btm2gbsKECTfccMOwYcMmT548d+5cUAQRn376aZKZl5eX0+pE&#10;qENX+i9KArDdu3dv3LiRkAduFyxYAPbuvfdehgA5OZsKX2WOTMJMZb7Sw5DfyDw5x2j41GxeU+52&#10;q5x+ZGPVNTYXl1WmZWbL0zIPH/U7fMQX+x4PCI2ISk7LAIf2NGazbaViGgtJyfZkpjJPrVar/2S7&#10;ENdLra2t9fX11VYlJSWRkZE7duwAeyNHjrzpppuuv/56eubMmQP2SHuPP/444QzqCGwc9vyG63wC&#10;Tti2fft2oiSog3mzZs2aPn06/ZvsiyDkaiI8A2YyR+Sa3i0ZctHMa27vJN412OY97lOa5iOJrayq&#10;JrewGLBFxsQGBIf6Hg/08T1mLt6FRZyMTyTeFZYQ7eoAXnvXKXKhNLy0Jcv1P733QK1Wq/9kuxDX&#10;l2BeVVVVTU0N2MvJyQkICCDPQTggNMZq4sSJU6dOJYo9+OCDBL5du3aBKzDjoO43MI/J6UJQwAZK&#10;H3nkkaVLl5IpmRGIveeee5jX5s2bmRfYo3zYRlcknGMZhL5S2kUwz2lF4mpj4r5zoMa8/acqPSs3&#10;KjYexPn6Bx495o+JelEn41Izs4tKKyTe1dQ3VdU2wDzztEwbGd3lmEZEnttdrVar1X+8XXzrJXmA&#10;dUtLS3Nzc2NjI9grLCzMzMwk8AGkBx54YN68eWPHjr3tttsIfDNnziSErVu3DhSBloP2hUQS9S5W&#10;Mi3QQoBq586dYG/58uVgb9q0aVOmTKFn5cqVIBYA77fP5GR8h3z0/Hbm2at39mykgZ+5Alff1FLX&#10;2FxSXpmVmx8dm3A88IQ9meknD8yMTUhOy8wuLqskCLZ1mmzHVIwP7Sw+HXZKO0xlnlqtVv/JdiGu&#10;lwh5dE+fPv3SSy+BCuAnrzSCfCdPnoQoGzZskMA3dOjQESNGSOBbvXr1jh07nn32WRgjgjQXJYEW&#10;PcAPYkGvJ598ctOmTffddx+0mzx5MuSTe+S3bt0K9vbu3StX+JhQxOTMlx4KuTjm2ZOZNtu1mX4S&#10;G/GusKQMthHo/IOCfXyPH/E7HnAiNDImLj4pNa+wBOCR8MCbu5FLl+GlLcGxJahBYI9Nr1ar1eo/&#10;2EK43qqtrYVz3d3dp06d6ujoMC80sq80IvDJ3ev+/v579uxZu3bt7NmzpUnn6NGjZ8yYsWzZso0b&#10;NxL4iIO/gXkCPBIbuEL0Q7Wnn34awgHUJUuWQFbgR8qUxpzMCPIxLyYUzv32nAfnhEz027eZV2Xn&#10;FaZmZHsfNU8RO+R9lJ6A4NCT8Un2vrtKIp2xbedCUe5Id+6drnK3A0NIkBTuud3VarVa/cfbhbhe&#10;Ag8I2sE54h3AY6DAT27mkyeWHTt27OGHHx41atQNN9xw0003Ab/p06evWLFCbuCDPZDmoiTognnk&#10;PCe0yTlMIZ+8+Xbs2LF06ScFgj2SpTOvC2HeP994+63axoaqutqm1pbWzo6WjvaWjramtta2zo62&#10;rs66psaC4qLE1OTImOjQyIjDR/yOHg+AdmGR0ScTktKzcorLKqrBXa+tqVar1eqryV2dp9taOxsa&#10;mmuq64sKS0+ejH/xgNf2bU/cc8+9kyZNHTJ4+NixE+bOXXDvvfc9vHrd5k1boZHTpBOMATOYBMMs&#10;ni5CFAJEd+7cuWHDBqLk/PnzJe0R+8iau3fvljK9vb0hHLNAcI6ZMhXzZXL+S2y1zPvff73xztuA&#10;rdoyr6W9jW5DSzPMa24nrjWXVVWmZWVGxEQHnAjyC/D3PurnHxQcGROblJpBwisqLa+sra9vuuj3&#10;p6vVarX6ynJrS0dTU2sjYGhqg3wlJeUJCckngkJ37Xxm+bIVAG/QoKEjho+eOnU6FFy3dgM5jHzm&#10;QE5QJKnrogQ1EQCjwPXr1993332LFi0CezNmzLj//vvJf6Q9/gvk5IyoZEShHUMkKXZ1dbmY9+Y7&#10;b9c3N9U01De3tcK8hpamusYGVorwV1JRboAXHQXtDh89csjH+3jgifDok7a5immfaV4AZB/X0mPT&#10;qNVqtfoqswCPbnt7V3fXS3RraxpKistjYuL+vv8FsDdxwhTS3rChI6dMmbZw4Z2rV6/evHkzOQzO&#10;AS3YQw/4sSC7OIExYiI9e/bsoUxQR8ibMmXKggULVq5c+cgjj8gJVUZzxvTy8mJ2dIV5rnObP/7z&#10;H+Q8CAf27MnMjsbWZphXXV9XVFqSlJpyIizUx8/X64i3t+9R3+PHYuISCXhFpRW1DWbF2Qot+gxo&#10;tVqtHgBua+1saWlvaW6np7PjVEd7N9yoq20sLi5LiE8+dNB7w4ZNCxfcOWH85OHDRg0dMuKOO+5Y&#10;smTJJvtYagEeKCJ+GYhdjMAYXUgGwMhtYG/jxo0rVqyYM2fOzJkzSXvEvocffvipp55iLsBVLgfK&#10;eU5vb28BbUdHh2HeDz//9MbbbzW1tjSSWru72rs6G1qaa+rrCoqLktNSg0KCD3kfPnDoINgLDg+L&#10;iY/LKyTOmvaZ9U2udwA12Wdy9tg0arVarb7K3Nl5imwHK8CewK+psbWhvrmurrGivDo9Lev48cDH&#10;dzy15J5l48ZOvOnGWwcNGkQUW758+WOPPSbYA0Vy+vFiZc9unnuYJ9lx69atDz744Ny5c8eNGzd5&#10;8mTgSv7buXMnM2IEIAcgHeYxbXt7u5t577zV1NZC1Gvt7AB+FTXVJLz45KTQiHCyHcDz9j0SGhme&#10;kpGWV1gg95vLu5ekraY5t6nvPVCr1eqr3R0d3TCPkAf2jFs72to629sMBZuaWsvLqhITU/x8/Z96&#10;cvfyZStuv/2OwYMHjx49migG9h599FGAJPcVWIpdhJgEbkmGkyH08PHxxx+/7777br/9dpg3f/58&#10;kt+GDRu2bdvGXBCAZLSezPvpn/946913mtpa65oa65sby6sqM3NzElOTA4JPHD1+7PBRn6PH/cKi&#10;IlMzMwBhRXVVbUOTvdNA7mdog3z2el7PTaNWq9Xqq8zQDshhaEfOA3UAr7PjlIFfayeBr6S4PDMj&#10;Jyrq5HPPHXjkkUfvuOOOSZMmkcOmTp169913P/LII/LATOHWhUswSUYU+CF6QNqePXvkjvVFixbN&#10;slq6dOn69euZBWIcuCj3Kpxj3j/+919vv/8eOa+6vq6ytoYkF5uYEBIR7nXEx8vH257SDE1KSy0s&#10;KSb/VdXVVJmzmq0toL7zlL2MJ3ed99w0arVarb7K7DAP4DU1tjY2tNBtaW6nh4GkQMFhVVVtdHTs&#10;vn3PQSM4NHz48KFDh5LGSHsbN27csWOHkOyidMg+VPrgwYMAbK+9+Y/+Z599luwoJznlvr05c+bI&#10;hT2GMyZpryfz/vm//2vuz2uor6ipKiwtiUtMOB4UcMTP97kDLxw55hcZE52enVVUVlpVV9vQ0gzU&#10;e2wCtVqtVg8QG+b1ZdOqxTLPtGppbiMeFRWV5uYUeHt7yxv4xo8fD/ZGjRo1f/78NWvWOG0syWEI&#10;ekEmaahyUQJpwIyimMuyZcvmzp07e/bsBQsWrFixArjKG2jl+h+Zr76+3sW8M2+8XlpZkZOfR54L&#10;Cg0h4R3y8fY9fiwkPCwpNSW/qLCCNWhsaG5rbevSSKdWq9UD1D1Q5xjmEe8AHuYjsa+6uq6ivDom&#10;JubFF19ct24dqBs3btzIkSOnT5++dOnSRx99dPfu3c65SroIgAnJLlx77Bv1KIFUx1woGeBBPjIf&#10;EfPxxx9/8sknGY3CWYxzOe+Vs2dyC/NjExOCw8MOHz3y4mEvHz/fk/FxKRnpBcVFlbU19U2NTW0t&#10;rZ3t7d3aPlOtVqsHqD0552nDvBbbnqW9yzRycV/wKy0tTUxM9PLyInVBI7CHpk2bNm/evAcffBAg&#10;SVADSHITgpDswiXMo4dCdu3atX79erAn73yAfARK5ss4BD746ronHeadeuXllPS04LBQP//jh4/6&#10;+PofD4uKyCnILy4vra6vM2dr7TNZzNXKTs15arVaPUDdA3WeBnJi+sFeZ8epzs5TTU1NlZWVqamp&#10;R48eBT+kvfHjx5P2RowYMXv27NWrVxPFYBJBTU5vCskuXBLy6GFyuk899RScW7JkyYwZM2bNmnXP&#10;PfeQ9rZv304KZMy2tjbDvB//8TMZLjw66oif79FjfscCAyKio1IzM8qrKmss8Mw1PPtAMmzg12sr&#10;qNVqtXog2BNynm5vMzcwEOyam9swPTKwubkZ7FVVVaWlpYG9zZs3gz1CGMybPHny4sWL5UEtkO9p&#10;j0eUXbgEdc+7n0xNCRBu3bp1K1asIO1BPsgqj2gh6rW0tBjmffXdt2VVlUeP+x04dPBYoH9ETDSZ&#10;r6C4iIRX39wk8a6prbWhpcm20GF1em4FtVqtVg8EO5DraTmZ2dze3NTW1NRK15Cvub2hoQHSQD7S&#10;XmZmZkBAwNatW++8887Ro0eDPTkDuXLlSrAH835DGxYvLy+mes5Krg6SGkl7FHjXXXfdfvvtU6ZM&#10;ofz169cT9VgMw7xvfvi+pLzM64jPAa9D4VGR6dlZhaUlFTVVtfaRmy0dlnmtLQ3NMK/ZnufsuRXU&#10;arVaPRDcE3VuC+Hkqp6n5a17wAb41dfXFxUVBQYGPvHEE4sWLRo/fvygQYPAnvOy2d/QhkUwKcwD&#10;eNJP2oNwq1atWrBggbxj9u677yb8ETcN837+339VVFf5+B719j2amJpSWllRU19X19RoHjNtT2y6&#10;c54FXrue21Sr1eoB6h6oc9xAKjLAsHcstHfLTQu4q6uro6OjqampsbGxs7Ozvb2dtHfkyBHS2LJl&#10;y8aMGSPvWAdO991335o1ayzILkJy453QDjk94HPTpk0kPHLknDlzSHtgLzc31zLvX/+bW1gcGByW&#10;kp5ZWFpeWlFV19hsX/fac23VarVarb5wQ0ET+GwbTqBYV9tYVVlbUV4dHRX7zDN777n73kkTp44c&#10;MWbUyLF3TJ+1ZMmyJ598cvfu3XLLOQBzJCS7cDGJXNuDfNOnT4esxMq0tDTDvH/+7/+WlFdGxsTm&#10;5BdVVNdW1RLv2vU9CWq1Wq3+nXaYR9e8cq++ubamobqqLjs7LyQ4fPeuPStXPDht2gywN37cpDmz&#10;569evRpKgT2g9aKVC2IXKSaHmhAU7M2bN2/ixImkyaysLBfzauqbUjOyysFdc2tDM9m0u73rVI9F&#10;V6vVarX6ouwwr80+lrq5uU2eWGYe1FJYGh+X9OIBr1UrH5o8+fYxo8dPnnT7nDlz7r//fkAFsQ7a&#10;9wEJvVwouxgx7TPPPPP0008vX758vlV+fr6LeSxZQXEZwGtpN/Guves02HMWWq1Wq9Xq32ADPDfz&#10;HPMR7JH5Ksqrwd6+vc/dt3zl9GkzJ0yYPHr0aLC3Zs2aXbt2yenNv9vXKbg4dsFiwkOHDsmte+vX&#10;r3/ggQdAaXl5uYt5Hd0vVdbUAbyW9s4mFq7zFD09Fl2tVqvV6ouyOavpea96W5e0bQGELc3tdXWN&#10;BfnFERHRe57Zt+ze+0l7t9xyi7TkXLt27ZNPPim0+w1nOOGlPMCT7hNPPLF169YNGzbU1dW5mHf6&#10;lTP1TS2tHd2NLW31zSxbl7wAXa1Wq9Xq3+w229TTEM6e5HSw19V5mh6Jerm5BWGhkdu3PbFwwZ3D&#10;rOS+vYcffpi0B/C8vb1dKLtgkfCEeT4+Ps8888yePXsgn+uedJj36tk3CXbEu7rGlrrGZuDXrK8H&#10;UqvVavXvszx7E+CZu9SbzD18JvDZ18zSNS056xpraurz8gr9/Pwf27yNhDdx4sRBgwYNHz58/vz5&#10;hLPf9nwWJvHy8qIHXu7du5ceyNfZ2eli3tm33mnvOoVrG5qxPbep7TbVarVa/bssb9QDdabpSqPr&#10;ZXsEvvr6JqEgQ8zHuqaU5HQfb9/NmzeDvdtuu+3666+fMGGCvG9v27ZtFmQXoX379h06dOi5556D&#10;fNJPt7u72zDv53/979vvfUjOA3b2kl5XU6t5B3qPRVer1Wq1+qIsjVZ623kmp+lvaiPtVVbWlJVV&#10;RkdHr1u3buTIkUS9ESNGjBs37u67737iiScgFgA7cODAQQ9JkutTjElXmrEctu+M5aMr5ynz1Gq1&#10;Wn0p7ECuh815TmGePfPZ2NBSW9NQVVmbnZ0NnFasWDFnzpyxY8cOHjx42rRpa9as2blz57PPPvu8&#10;fZY08BOGgT26fUqZp1ar1eo/2p6c87TDPLmw19JssFdfb148lJiYKG9XnzVr1i233ELaW7x4sbwb&#10;Ye/evWBv//798I+ugK1PKfPUarVa/Ufbk3Oeds5tyjtmIV+rfT5ZXV1dSUlJcnIy2HvggQeIevJA&#10;zoULFz700ENPPfUUIQ/t27cPjCnz1Gq1Wn0Z2ZNznpaWLPRAOwd7uKmpqba2trCwMCoq6umnn16y&#10;ZMmkSZNGjRolN+09+uijJDwLNSNlnlqtVqsvI3tyztMAz7lR3djevWD5197a2lpdXZ2ZmRkUFLRz&#10;58677roL5g0ZMoS0t3z58i1btjgX9pR5arVarb6M7ECup+2/IB+Bz1gey0ny4x+dnS0tLeXl5WAv&#10;ODh469atc+fOlTacM2fOBHuPPfbYnj17nvN4hVBvKfPUarVa/Uf7PM55mEhHF9SZp07Le9XtHev1&#10;9fVEPeDU2NhYWVmZkZEBt1avXj1hwoQxY8aMHz9+zpw5Dz74oHP3ggVcH1LmqdVqtfpyNyAUBHZ2&#10;nOrsPFVRXh0eFvX3/S+sXPHgzBlzhg4h741etOiuzZu37t695+ndzwIzJ/DRdaTMU6vVavXl7vb2&#10;LnnfkFzqq66uS0vLDAuNfO7vB5YuXX7rLYOvvfaGcWMnLrln2aaNW3btfEaAB+GQ0A6BN2WeWq1W&#10;qy93w7zWlg6iHtij21DfXFVVW1ZamZyctmXL9rFjJtx8021DhgyfOGHKPXffu+Wx7fv37wdy9uWy&#10;L9LjiUBlnlqtVqsva0tLlpaWdoDX2GCez0ng6+w4VVpSceig98oVD86fv2jSxKmDBw2bPPn2Bx94&#10;eOfOnfIIaZhHV5hHvzJPrVar1Ze7GxtbzL3q9sV7zU2meUtba2dX5+nKiprIyJjnn3uRtDdv7sKb&#10;brx1xPDR9y69b/369Y8//rjzTBbYpsxTq9Vq9ZVhsl1Lc7vcq0fgM49rsXev19U25uYUREWdfOH5&#10;g0uWLCPnwbzFi+5G8lJ1kIZgG1HPnNlU5qnVarX6Mrec2JTb9Uh42AxpNrc01NU1FhWWhoVGPrZ5&#10;28wZc8aPmzR1yvTJkycvWbJk27Ztgjq6gjdlnlqtVqsvd3d2nAJy0oDF3J7ecaqjvVvIRz8szMnO&#10;P+x15MEHH54yZdrgweal6vPmzdu8eTNUc5gnzViUeWq1Wq2+rC3Zrrebm9pOdb/c3tZVWFhyMibe&#10;65DPyhUPDhs28vrrr7/99ttXr169Y8eOnTt3PvPMM+Dt4MGDAr8XX3xRXhgrzTuVeWq1Wq2+jNwD&#10;dY6JfV2dp0l+5WVVGRnZIcHhWx7bfscds6677rpRo0bNnz//wQcf3LJlC8wjzxHslHlqtVqtvtzd&#10;A3WOyXnm1r1W05ilsqImKzP30CHvhx5cM2bMmJEjR44dO3bu3LkPP/zwrl27Dhw44OXlpcxTq9Vq&#10;9eXuHqhzLE1aTPOWZvPWveqquqjIk3ue2Xf//fdPmzZt6NChEyZMWLZs2fbt24EcUU+Zp1ar1erL&#10;3Q7kelhCngCvq/N0U2NrRnp2gP+Jp59++q677hoyZMiwYcPmz5+/du3aJ598cu/evco8tVqtVl/u&#10;9uScpzvau4l6zc1t9Hd2nGpuaisuLktNyfD19X3ooYdGjRo1ePDgKVOm3HPPPevXr9+1a5cyT61W&#10;q9WXuz0518OEPMl5GObV1TZWV9clJydDuNmzZ48ZM2bcuHHTp09fvnz51q1blXlqtVqtvtztEK6H&#10;zW3p9gV79JvA19TW2trR1XW6pqbGz89v5cqV0A7mjR8/fuHChUQ9ZZ5arVarrzZXVVUlJCQcPnx4&#10;y5Ytc+bMue222wh8S5cu3b59++7duw8cOADzvL29gR9qbW1V5qnVarX6SnV9fX12dnZISMizzz57&#10;9913Dx8+fPTo0US9devW7dix4wX7BE6YB/xgXltbmzJPrVar1VeqiW7V1dVgz9/ff+3atZMmTRo1&#10;atS0adPuuuuuRx55BOA999xzMO95+zSy9vZ2ZZ5arVarr1SDsY6Ojrq6usTExF27dpHwxo0bN2bM&#10;mMmTJy9fvvzpp5/et2+fl5cX8IN5ej1PrVar1VewyXmnTp0CZvn5+UeOHFm3bt3MmTNHjhw5dOjQ&#10;BQsWbNu2befOnS+88ALkg3nd3d3KPLVarVZfqW5sbIR5wKy8vDwmJub5559fuXLlxIkTb7311unT&#10;p69Zs2bz5s3PPvvs3r17X3zxRcZU5qnVarX6SnVtbS0hD1VVVeXm5kZFRT355JPz5s2DeZMmTVq2&#10;bNlDDz1E1AN7Bw8eVOap1Wq1+gp2TU1NuxU9FRUVOTk5sO3ee++97bbbxo8ff+edd953332PP/44&#10;zDt06JAyT61Wq9VXsOvr64V5TU1Nzc3N1dXVYWFhW7dunT59+tixY8eMGUPaW7Nmza5du1588UW9&#10;nqdWq9XqK9igTs5ttrS0tLW1NTQ0xMfH79u3j6h3++23j7Qi6m3ZsmXv3r2MrMxTq9Vq9ZXq1tbW&#10;rq4umEdPR0cH2MvPzz9x4sTu3bvvuecegHfrrbcuWrRI3rdQU1OjzFOr1Wr1lWogB/CgnTCPfsCW&#10;mZkZGhq6YcOGCRMm3HzzzbNmzbr//vuJepWVlco8tVqtVl+pllOaAK+5uVmwR09VVVVGRsauXbug&#10;3aBBg6ZOnTpv3rzVq1eXlJQo89RqtVp9xbq5GezRFdEP+egWFBQcPHiQeEfUmzhx4rhx4xYtWpSV&#10;laXMU6vVavWVavAmnEMwr6mpiZ6urq7KysrQ0NCdO3fefffdt99+O2lv2rRpKSkpyjy1Wq1WX6kW&#10;2sntCsCvsbGxra3t1KlT8C8tLc3X13f9+vVz58695ZZbJk+enJycrMxTq9Vq9dXmxpb2/KKS1Mzs&#10;o8cCFt11z/BRY66/6ZbElDRlnlqtVquvNkO00orq/KLS4LDIe+9fOW7ilFsGDUlOy1TmqdVqtfpq&#10;c1tnd21Dc21DE9lu3YaNM+fMHz56bHpWrjJPrVar1VebWzu6m1rb27pO5RWWPLX7mWX3r5oybUZu&#10;QZEyT61Wq9VXn6FYe9fpl8urag4ePrJl+xN33nNvWWW1Mk+tVqvVV5sbW9rqwVj36Zr6xpDwKC8f&#10;3/UbNwNCZZ5arVarrzY3trbXNjS3dnRBvpT0zNiEpL1/f/7V199U5qnVarX66nNHbUMT3caW9rzC&#10;ktyCIh/f4+9+8LEyT61Wq9VXm0l4FdV1Ta3tcI1uSUVVelbua2++rcxTq9Vq9dXmts7uqtp6ehpb&#10;2praOsqrarJy8994+11lnlqtVquvNrd1nqqpb4J8jS3tze2d1XUN+UUlkE6Zp1ar1eqrzW1dp+qb&#10;Wjq6T5PzoFt9U2tJRdX7H32izFOr1Wr11eZWk/AIey83NLfaIR2VNfUfffq5Mk+tVqvVV53bzZW8&#10;ztMv1zY0N7W2t3Z01TY0ffzZl8o8tVqtVl9tbmxptznvpeq6BqJeW2d3fVPLJ58r89RqtVp91RnO&#10;QbSO7pcqa+rrLP3qm1uVeWq1Wq2+Ck2qa+863dTWAfxaO7qgG9j76NMvlHlqtVqtvtqszFOr1Wr1&#10;QLEyT61Wq9UDxco8tVqtVg8UK/PUarVaPVCszFOr1Wr1QLEyT61Wq9UDxco8tVqtVg8UK/PUarVa&#10;PVCszFOr1Wr1QLEyT61Wq9UDxco8tVqtVg8UK/PUarVaPVCszFOr1Wr1QLEyT61Wq9UDxco8tVqt&#10;Vg8UK/PUarVaPVCszFOr1Wr1QLEyT61Wq9UDxco8tVqtVg8UK/PUarVaPVCszFOr1Wr1QLEyT61W&#10;q9UDxco8tVqtVg8UK/PUarVaPVCszFOr1Wr1QLEyT61Wq9UDxco8tVqtVg8UK/PUarVaPVCszFOr&#10;1Wr1QLEyT61Wq9UDxco8tVqtVg8UK/PUarVaPVCszFOr1Wr1QLEyT61Wq9UDxco8tVqtVg8UK/PU&#10;arVaPVCszFOr1Wr1QLEyT61Wq9UDxco8tVqtVg8UK/PUarVaPVCszFOr1Wr1QLEyT61Wq9UDxco8&#10;tVqtVg8UK/PUarVaPVCszFOr1Wr1QLEyT61Wq9UDxco8tVqtVg8UK/PUarVaPVCszFOr1Wr1QLEy&#10;T61Wq9UDxco8tVqtVg8UK/PUarVaPVCszFOr1Wr1QLEyT61Wq9UDxco8tVqtVg8UK/PUarVaPVCs&#10;zFOr1Wr1QLEyT61Wq9UDxco8tVqtVg8UK/PUarVaPVCszFOr1Wr1QLEyT61Wq9UDxco8tVqtVg8U&#10;K/PUarVaPVCszFOr1Wr1QLEyT61Wq9UDxco8tVqtVg8UK/PUarVaPVCszFOr1Wr1QLEyT61Wq9UD&#10;xcq8gevWju6Wji567NfaLt8sXzf7RHNbBz2NLe3sFvyrub3ntGq1Wn0lWpk3cM03a2FmvlP7tbqY&#10;x9ctzGNgY0sb5AN7dD2nVavV6ivRyryBa/k23d+pi3l2uIEcAw0U21xpD8t/1Wq1+sq1Mm/g2p3h&#10;XMBjJzB5Dtq1ddQ1ttQ1NjMO+wRD6ptbGdlzWrVarb4SrcwbuJaTlu5418HH+qZWUFfX1FJaUV1c&#10;Xlnb0MTXDfAYLplPrVarr2gr8wayzdnLlg7XN8uuUF3fWFlTX1JemZaZnZSanl9UykcM/Fo7u3tN&#10;rlar1VeYlXkD13zfbZ3dfN+tHd0EPsBWUV1bUlGVlpkTGhEVcCI0Liklt6CooJjUV8vIPSZXq9Xq&#10;K87KvIHrtq5TfPcY8sE8Ql5pZXVRafnJ+KQjfv4HD/uEhEempGdm5uST/PTcplqtvgqszBu4Nic2&#10;3fcq2MaZbewE9U2t2XkFKelZJ+MTwyJjcExcIuTLyi3IyS8i8TFCs+s2hnYmb+8+bc+Ousqxu4c5&#10;Zaq5UK1WX4ZW5g1cW1BhvlNz+11Di2EeLquqKSguS8vMFuyR9kIiosIiowl8+fY8Z21DM/uNtRmf&#10;/cbNPFOOsb3bwXNearVafTlYmTeQbTKZ/U6FVW0We2301DQ0lVZUEfgSktMiok8GhYQdDzxB3uNj&#10;akZ2LkisrKmpb5JbGizzupzwRwnS1LPX7NRqtfpPtjJv4FpoJyaZuSKavYEB86XX1DeWlBvyJaWm&#10;n4xPCo2ICgoJx1En4zKy88qramAemGQPEctTXSz2lHlqtfpytDJv4NqBnJyKdLsDXNHD3mDbtnRU&#10;1zUWl1fmFZZExyYEh0X4+QcdDwqOOhlv2rZUVFXW1EM+c9O6PZlpyGdpKh/VarX6srIyb+Car5WU&#10;5jxR036zxuwTDOHrbu3oJrrxEbCVVlbnFhanpGcR8iAfYQ8EJqVmpGflFJdVlFVWV9U2MKYpxBX4&#10;1Gq1+rKzMm/gmq/c2M08CzwT1Pi6AaH5rm2zFMapa2yuqW+qrmsoq6oh8CWnZUbHxodFxoRHxUTG&#10;xKZmZJP5CkBfdS1jUpqw03NearVafTlYmTdwLa0uLeFcIY/v2nzdrvAH9gy9GELga+vsto1WgF9j&#10;UWkF2IN2IRFRoRFRMXGJCXzOyWN4VW29jYkybc85qtVq9Z9rZZ76Qs1ugCEl8CPw5ReVZGTnCvyO&#10;BQT5Hg+MiUvILSgqKa+srKljNHYsSMluAzgdprKT9SjWZT0dqlarL72VeeoLt3z17Ctt5qEtFdVg&#10;Lzuv8GR8YmBwGNgLi4xJSk3Pyi0Ae+ZZ1Y3mBj45TSq0Iy+aF9WafcnV2sXg0HW/hO5XarX6kluZ&#10;p75Qt5qHcxqzo5DiahuayXNlldXZeQXxyanhUSfDIqPpkvZSM7ILS8pKyqsqqmtrGppsixgDOXYe&#10;EGjhZ7BHmXZIOwPZxzznpVar1ZfCyjz1hdrFvK5T7CIWe2anIczVNjS5yJcE+WKCwyIgX2xCUmZO&#10;fl6heXBLTX0jYza0tLG3QUoDPMs8djuAx95l72Fv6TE7tVqt7ncr89QXbNe950Is8+AVe6HOtHOh&#10;W13fmF9UmpyWEROXGBEdGxYVE3Uy3jyqMyvHNumss006zXlOW5rZkZhKEh47X73ew65Wqy+9lXnq&#10;C7V8+y677kYwO0NdU4tJbK3tVbUNpRVVEC4jOxfaBQaHkvkiYWBqem5BUUV1LamuveuUhZxza+A5&#10;e85LrVarL4WVeeoLt+uOPbfNnsDuIRGNj+ZRZM2tgK28qgbsRcTEhkfFhEZER0SfjEtMzszJh4g1&#10;9U21Dc210sLFjOy6I8JjLmq1Wn2prMxTX6jtPkCPC3v08LHFPqKMfYgRwBgD6QdsWbkFGdl5JDxy&#10;nn1uS2R0bEJqRlZOfmF1XUNNfaO8nMHGu1+9h0GtVqv7z7/GvH/84x/vvPNOa2trY2MjXdRs1aJS&#10;eajpF1RVVVVZWVlYWBgfHx8QEODr6xsaGpqQkJCXl1deXi47FbsTPRTSYdXe3t7W1sZwhtg9rpWP&#10;diYqlUrVD6qvr6eqkZqH6oUu1c7HH3+szFNdqGTf6C32LQT5cnNzwV5ERERkZOTJkyfBXkpKSk5O&#10;DuRjBCmE/YpJpF/ER/ZIZZ5KpepHNTQ0/Brz3n33Xaoejtk9ax9Tn6lUbrHH9Cn5L/tWXV1daWlp&#10;VlZWYmJiTExMmFVUVFRaWhrYY+9iHHZE6UHOPsYu55SjUqlUv19UNZ2dnVQywjyqHRD4ySefGOb9&#10;85//hHky1BBPmafqS7Jv9BZ7El0Zgd2mpqYmLy+PhAftwq3IfBkZGSUlJfwLLnoCzxZgplWpVKp+&#10;FKiDefTANQ6pz2Pev/71r/fee4+h1ETmuN19xC31kUolkr2it5wdC4zJzgPbiouLiXfJyclxcXER&#10;ERGQLzY2lghIEGRflJFd5bqPsVwfVCqV6neLSub/374dvCQShmEA/x8UhFx3XfAgaARbaQsGXfwn&#10;xEuXQKgsodDVgkA9eQm8CV5SD0qRIlOhdihLwb0qiOfAk3pStJD2mfmmTrHLrl4Wnh80vDPzjV5e&#10;3qdvomaziXGEXBMvOTGper2emnndbhfTCnMH90A8o8QfkUrOt4+8v0BAk6Ft0D+4iFNs7MrlcrFY&#10;zGQyCQUK8Z7z4eEBGz6RfFgsJ56Sl0REc4Hx0mq1MJFE5mHCIAL7/b6cefhB5omrcuIx8+hvIPNw&#10;VOJP/cscoECrIdiQfIi9XC6HwEun0zgWCgVJkiqVCpKv0Wig65R2Y78R0dxg/ojMw4QRv5f/IfPU&#10;54jeoG9+A/2Eo2geod1u41iv1+/v75F819fX5+fnZ2dnqVQqm80iCHERd9F14sPFtxARzU5kHooP&#10;Mm86nXY6nWq1WiqVrq6uMKGw+vHxEQXRLLCTQyOhtbCry+fz2OQlk8nT09N4PJ5IJBB+FxcXaLnb&#10;29u7uzv1GSKimWGwNBoNzJ/Ly8ufyr/hYQoNBgN1nydJUiQSiUaj4XA4EAjs7+97PB4URP/s8PDQ&#10;7/f/UBwcHOzu7m5tbW1ubrpcLrfbjQKn29vbPp9PrFQfIyKaGUbK8fHx0dHR3t5eMBjc2dnxer21&#10;Wk3OvMlkEgqFzGaz1Wq12WxLS0srKysbGxvfiWawurqKdlpbWxOnqJeXl7+9QS0W2O329zVERHPh&#10;cDgQZOvr68gysFgsTqfz5uZGzrzRaHRycrK4uGgymYxGo1ar1el0KD4RzWBhYUGv16MwGAyfFV8U&#10;XxVoMNS4iLtiPRHRvGDIaDQaDBnkGiDUkHGxWEx9t9nr9Z6enobD4XQ6xSkREdF/TcTZ8/Pzy8sL&#10;6vF4LF99ff0FCjT0eb8tT3IAAAAASUVORK5CYIJQSwMEFAAGAAgAAAAhAJKsjBreAAAABwEAAA8A&#10;AABkcnMvZG93bnJldi54bWxMj0FLw0AQhe+C/2GZgje7iTY2pNmUUtRTEdoK4m2bnSah2dmQ3Sbp&#10;v3c86fHNe7z3Tb6ebCsG7H3jSEE8j0Aglc40VCn4PL49piB80GR06wgV3NDDuri/y3Vm3Eh7HA6h&#10;ElxCPtMK6hC6TEpf1mi1n7sOib2z660OLPtKml6PXG5b+RRFL9Lqhnih1h1uaywvh6tV8D7qcfMc&#10;vw67y3l7+z4mH1+7GJV6mE2bFYiAU/gLwy8+o0PBTCd3JeNFq2C55CCfmZ/dxSLlz04KkiRNQRa5&#10;/M9f/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hXfhMmwMA&#10;ADoIAAAOAAAAAAAAAAAAAAAAADoCAABkcnMvZTJvRG9jLnhtbFBLAQItAAoAAAAAAAAAIQABby0g&#10;6PYBAOj2AQAUAAAAAAAAAAAAAAAAAAEGAABkcnMvbWVkaWEvaW1hZ2UxLnBuZ1BLAQItABQABgAI&#10;AAAAIQCSrIwa3gAAAAcBAAAPAAAAAAAAAAAAAAAAABv9AQBkcnMvZG93bnJldi54bWxQSwECLQAU&#10;AAYACAAAACEAqiYOvrwAAAAhAQAAGQAAAAAAAAAAAAAAAAAm/gEAZHJzL19yZWxzL2Uyb0RvYy54&#10;bWwucmVsc1BLBQYAAAAABgAGAHwBAAAZ/wEAAAA=&#10;">
                      <v:shape id="그림 3843" o:spid="_x0000_s1283" type="#_x0000_t75" style="position:absolute;top:1007;width:27940;height:3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piwwAAAN0AAAAPAAAAZHJzL2Rvd25yZXYueG1sRI/disIw&#10;FITvhX2HcBb2TlN/kFKNIguC653aBzg0x7TYnIQma+s+/UYQvBxm5htmvR1sK+7UhcaxgukkA0Fc&#10;Od2wUVBe9uMcRIjIGlvHpOBBAbabj9EaC+16PtH9HI1IEA4FKqhj9IWUoarJYpg4T5y8q+ssxiQ7&#10;I3WHfYLbVs6ybCktNpwWavT0XVN1O/9aBcbHjA+l/QmPY1MuL3439H9Gqa/PYbcCEWmI7/CrfdAK&#10;5vliDs836QnIzT8AAAD//wMAUEsBAi0AFAAGAAgAAAAhANvh9svuAAAAhQEAABMAAAAAAAAAAAAA&#10;AAAAAAAAAFtDb250ZW50X1R5cGVzXS54bWxQSwECLQAUAAYACAAAACEAWvQsW78AAAAVAQAACwAA&#10;AAAAAAAAAAAAAAAfAQAAX3JlbHMvLnJlbHNQSwECLQAUAAYACAAAACEArmUKYsMAAADdAAAADwAA&#10;AAAAAAAAAAAAAAAHAgAAZHJzL2Rvd25yZXYueG1sUEsFBgAAAAADAAMAtwAAAPcCAAAAAA==&#10;" stroked="t" strokecolor="black [3213]" strokeweight=".5pt">
                        <v:imagedata r:id="rId129" o:title=""/>
                        <v:path arrowok="t"/>
                      </v:shape>
                      <v:shape id="Text Box 3844" o:spid="_x0000_s1284"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SuzxwAAAN0AAAAPAAAAZHJzL2Rvd25yZXYueG1sRI9BawIx&#10;FITvQv9DeAUvUrOti8jWKCItWC/i1ktvj81zs+3mZUmyuv33plDwOMzMN8xyPdhWXMiHxrGC52kG&#10;grhyuuFawenz/WkBIkRkja1jUvBLAdarh9ESC+2ufKRLGWuRIBwKVGBi7AopQ2XIYpi6jjh5Z+ct&#10;xiR9LbXHa4LbVr5k2VxabDgtGOxoa6j6KXur4JB/HcykP7/tN/nMf5z67fy7LpUaPw6bVxCRhngP&#10;/7d3WsFskefw9yY9Abm6AQAA//8DAFBLAQItABQABgAIAAAAIQDb4fbL7gAAAIUBAAATAAAAAAAA&#10;AAAAAAAAAAAAAABbQ29udGVudF9UeXBlc10ueG1sUEsBAi0AFAAGAAgAAAAhAFr0LFu/AAAAFQEA&#10;AAsAAAAAAAAAAAAAAAAAHwEAAF9yZWxzLy5yZWxzUEsBAi0AFAAGAAgAAAAhALWNK7PHAAAA3QAA&#10;AA8AAAAAAAAAAAAAAAAABwIAAGRycy9kb3ducmV2LnhtbFBLBQYAAAAAAwADALcAAAD7AgAAAAA=&#10;" stroked="f">
                        <v:textbox style="mso-fit-shape-to-text:t" inset="0,0,0,0">
                          <w:txbxContent>
                            <w:p w14:paraId="4C18BBF2"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K</w:t>
                              </w:r>
                            </w:p>
                          </w:txbxContent>
                        </v:textbox>
                      </v:shape>
                      <w10:wrap type="square"/>
                    </v:group>
                  </w:pict>
                </mc:Fallback>
              </mc:AlternateContent>
            </w:r>
          </w:p>
          <w:p w14:paraId="4364C0FB" w14:textId="77777777" w:rsidR="00094D21" w:rsidRPr="008F328C" w:rsidRDefault="00094D21" w:rsidP="008E70FE">
            <w:pPr>
              <w:pStyle w:val="a3"/>
              <w:numPr>
                <w:ilvl w:val="0"/>
                <w:numId w:val="126"/>
              </w:numPr>
              <w:rPr>
                <w:highlight w:val="lightGray"/>
                <w:lang w:val="pl-PL"/>
              </w:rPr>
            </w:pPr>
            <w:r w:rsidRPr="008F328C">
              <w:rPr>
                <w:rFonts w:eastAsia="Times New Roman"/>
                <w:b/>
                <w:bCs/>
                <w:highlight w:val="lightGray"/>
                <w:lang w:val="pl-PL"/>
              </w:rPr>
              <w:t>Wyjąć ampułko-strzykawkę z miejsca wstrzyknięcia i</w:t>
            </w:r>
            <w:r w:rsidRPr="008F328C">
              <w:rPr>
                <w:rFonts w:eastAsia="Times New Roman"/>
                <w:highlight w:val="lightGray"/>
                <w:lang w:val="pl-PL"/>
              </w:rPr>
              <w:t xml:space="preserve"> </w:t>
            </w:r>
            <w:r w:rsidRPr="008F328C">
              <w:rPr>
                <w:rFonts w:eastAsia="Times New Roman"/>
                <w:b/>
                <w:bCs/>
                <w:highlight w:val="lightGray"/>
                <w:lang w:val="pl-PL"/>
              </w:rPr>
              <w:t>zaopatrzyć miejsce wstrzyknięcia</w:t>
            </w:r>
          </w:p>
          <w:p w14:paraId="0B4C2F02" w14:textId="77777777" w:rsidR="00094D21" w:rsidRPr="008F328C" w:rsidRDefault="00094D21" w:rsidP="008A03B2">
            <w:pPr>
              <w:pStyle w:val="a3"/>
              <w:numPr>
                <w:ilvl w:val="0"/>
                <w:numId w:val="0"/>
              </w:numPr>
              <w:ind w:left="471"/>
              <w:rPr>
                <w:highlight w:val="lightGray"/>
                <w:lang w:val="pl-PL"/>
              </w:rPr>
            </w:pPr>
          </w:p>
          <w:p w14:paraId="04B420B1" w14:textId="77777777" w:rsidR="00094D21" w:rsidRPr="008F328C" w:rsidRDefault="00094D21" w:rsidP="008A03B2">
            <w:pPr>
              <w:pStyle w:val="a3"/>
              <w:ind w:left="5197" w:hanging="180"/>
              <w:rPr>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Po opróżnieniu ampułko-strzykawki powoli zdjąć kciuk z tłoka do momentu, gdy igła nie zostanie całkowicie zakryta osłoną igły.</w:t>
            </w:r>
          </w:p>
          <w:p w14:paraId="0D56EC4A" w14:textId="77777777" w:rsidR="00094D21" w:rsidRPr="008F328C" w:rsidRDefault="00094D21" w:rsidP="008A03B2">
            <w:pPr>
              <w:pStyle w:val="a3"/>
              <w:ind w:left="5197" w:hanging="180"/>
              <w:rPr>
                <w:rFonts w:eastAsia="Times New Roman"/>
                <w:highlight w:val="lightGray"/>
                <w:lang w:val="pl-PL"/>
              </w:rPr>
            </w:pPr>
            <w:r w:rsidRPr="008F328C">
              <w:rPr>
                <w:rFonts w:eastAsia="Times New Roman"/>
                <w:b/>
                <w:bCs/>
                <w:highlight w:val="lightGray"/>
                <w:lang w:val="pl-PL"/>
              </w:rPr>
              <w:t>b.</w:t>
            </w:r>
            <w:r w:rsidRPr="008F328C">
              <w:rPr>
                <w:rFonts w:eastAsia="Times New Roman"/>
                <w:highlight w:val="lightGray"/>
                <w:lang w:val="pl-PL"/>
              </w:rPr>
              <w:t xml:space="preserve"> Delikatnie </w:t>
            </w:r>
            <w:r w:rsidRPr="008F328C">
              <w:rPr>
                <w:highlight w:val="lightGray"/>
                <w:lang w:val="pl-PL"/>
              </w:rPr>
              <w:t>przycisnąć</w:t>
            </w:r>
            <w:r w:rsidRPr="008F328C">
              <w:rPr>
                <w:rFonts w:eastAsia="Times New Roman"/>
                <w:highlight w:val="lightGray"/>
                <w:lang w:val="pl-PL"/>
              </w:rPr>
              <w:t xml:space="preserve"> miejsce wstrzyknięcia wacikiem lub gazikiem (nie pocierać) i nałożyć plaster, jeśli jest to konieczne. Może wystąpić niewielkie krwawienie.</w:t>
            </w:r>
          </w:p>
          <w:p w14:paraId="5AB37905" w14:textId="77777777" w:rsidR="00094D21" w:rsidRPr="008F328C" w:rsidRDefault="00094D21" w:rsidP="008A03B2">
            <w:pPr>
              <w:pStyle w:val="a3"/>
              <w:rPr>
                <w:highlight w:val="lightGray"/>
                <w:lang w:val="pl-PL"/>
              </w:rPr>
            </w:pPr>
          </w:p>
          <w:p w14:paraId="3236A01D" w14:textId="77777777" w:rsidR="00094D21" w:rsidRPr="008F328C" w:rsidRDefault="00094D21" w:rsidP="008A03B2">
            <w:pPr>
              <w:pStyle w:val="a3"/>
              <w:rPr>
                <w:highlight w:val="lightGray"/>
                <w:lang w:val="pl-PL"/>
              </w:rPr>
            </w:pPr>
          </w:p>
          <w:p w14:paraId="74A95691" w14:textId="77777777" w:rsidR="00094D21" w:rsidRPr="008F328C" w:rsidRDefault="00094D21" w:rsidP="008A03B2">
            <w:pPr>
              <w:pStyle w:val="a3"/>
              <w:rPr>
                <w:highlight w:val="lightGray"/>
                <w:lang w:val="pl-PL"/>
              </w:rPr>
            </w:pPr>
            <w:r w:rsidRPr="008F328C">
              <w:rPr>
                <w:rFonts w:eastAsia="맑은 고딕"/>
                <w:highlight w:val="lightGray"/>
                <w:lang w:val="pl-PL"/>
              </w:rPr>
              <w:t>•</w:t>
            </w:r>
            <w:r w:rsidRPr="008F328C">
              <w:rPr>
                <w:rFonts w:eastAsia="Times New Roman"/>
                <w:highlight w:val="lightGray"/>
                <w:lang w:val="pl-PL"/>
              </w:rPr>
              <w:t xml:space="preserve"> </w:t>
            </w:r>
            <w:r w:rsidRPr="008F328C">
              <w:rPr>
                <w:rFonts w:eastAsia="Times New Roman"/>
                <w:b/>
                <w:bCs/>
                <w:highlight w:val="lightGray"/>
                <w:lang w:val="pl-PL"/>
              </w:rPr>
              <w:t>Nie używać</w:t>
            </w:r>
            <w:r w:rsidRPr="008F328C">
              <w:rPr>
                <w:rFonts w:eastAsia="Times New Roman"/>
                <w:highlight w:val="lightGray"/>
                <w:lang w:val="pl-PL"/>
              </w:rPr>
              <w:t xml:space="preserve"> ponownie ampułko-strzykawki.</w:t>
            </w:r>
          </w:p>
          <w:p w14:paraId="1F6AF74F" w14:textId="77777777" w:rsidR="00094D21" w:rsidRPr="008F328C" w:rsidRDefault="00094D21" w:rsidP="008A03B2">
            <w:pPr>
              <w:pStyle w:val="a3"/>
              <w:rPr>
                <w:b/>
                <w:bCs/>
                <w:spacing w:val="-1"/>
                <w:highlight w:val="lightGray"/>
                <w:lang w:val="pl-PL"/>
              </w:rPr>
            </w:pPr>
            <w:r w:rsidRPr="008F328C">
              <w:rPr>
                <w:rFonts w:eastAsia="맑은 고딕"/>
                <w:b/>
                <w:bCs/>
                <w:highlight w:val="lightGray"/>
                <w:lang w:val="pl-PL"/>
              </w:rPr>
              <w:t>•</w:t>
            </w:r>
            <w:r w:rsidRPr="008F328C">
              <w:rPr>
                <w:rFonts w:eastAsia="Times New Roman"/>
                <w:b/>
                <w:bCs/>
                <w:highlight w:val="lightGray"/>
                <w:lang w:val="pl-PL"/>
              </w:rPr>
              <w:t>Nie pocierać</w:t>
            </w:r>
            <w:r w:rsidRPr="008F328C">
              <w:rPr>
                <w:rFonts w:eastAsia="Times New Roman"/>
                <w:highlight w:val="lightGray"/>
                <w:lang w:val="pl-PL"/>
              </w:rPr>
              <w:t xml:space="preserve"> miejsca wstrzyknięcia.</w:t>
            </w:r>
          </w:p>
        </w:tc>
      </w:tr>
      <w:tr w:rsidR="00094D21" w:rsidRPr="00A5286D" w14:paraId="7E047885" w14:textId="77777777" w:rsidTr="008A03B2">
        <w:trPr>
          <w:trHeight w:val="6372"/>
        </w:trPr>
        <w:tc>
          <w:tcPr>
            <w:tcW w:w="9090" w:type="dxa"/>
          </w:tcPr>
          <w:p w14:paraId="03AE2293" w14:textId="77777777" w:rsidR="00094D21" w:rsidRPr="008F328C" w:rsidRDefault="00094D21" w:rsidP="008A03B2">
            <w:pPr>
              <w:ind w:left="104"/>
              <w:rPr>
                <w:rFonts w:ascii="Times New Roman" w:eastAsia="Times New Roman" w:hAnsi="Times New Roman" w:cs="Times New Roman"/>
                <w:b/>
                <w:bCs/>
                <w:spacing w:val="-1"/>
                <w:lang w:val="pl-PL"/>
              </w:rPr>
            </w:pPr>
          </w:p>
          <w:p w14:paraId="4A711F85" w14:textId="77777777" w:rsidR="00094D21" w:rsidRPr="008F328C" w:rsidRDefault="00094D21" w:rsidP="008A03B2">
            <w:pPr>
              <w:pStyle w:val="a3"/>
              <w:rPr>
                <w:lang w:val="pl-PL"/>
              </w:rPr>
            </w:pPr>
          </w:p>
          <w:p w14:paraId="68F5CB02" w14:textId="24DE0189" w:rsidR="00094D21" w:rsidRPr="008F328C" w:rsidRDefault="00094D21" w:rsidP="008A03B2">
            <w:pPr>
              <w:pStyle w:val="a3"/>
              <w:rPr>
                <w:lang w:val="pl-PL"/>
              </w:rPr>
            </w:pPr>
            <w:r w:rsidRPr="008F328C">
              <w:rPr>
                <w:noProof/>
                <w:lang w:eastAsia="ko-KR"/>
              </w:rPr>
              <mc:AlternateContent>
                <mc:Choice Requires="wpg">
                  <w:drawing>
                    <wp:anchor distT="0" distB="0" distL="114300" distR="114300" simplePos="0" relativeHeight="251658327" behindDoc="0" locked="0" layoutInCell="1" allowOverlap="1" wp14:anchorId="78E3572A" wp14:editId="666CDA11">
                      <wp:simplePos x="0" y="0"/>
                      <wp:positionH relativeFrom="column">
                        <wp:posOffset>67945</wp:posOffset>
                      </wp:positionH>
                      <wp:positionV relativeFrom="paragraph">
                        <wp:posOffset>104140</wp:posOffset>
                      </wp:positionV>
                      <wp:extent cx="2794000" cy="3568700"/>
                      <wp:effectExtent l="19050" t="19050" r="6350" b="0"/>
                      <wp:wrapSquare wrapText="bothSides"/>
                      <wp:docPr id="3845" name="그룹 3845"/>
                      <wp:cNvGraphicFramePr/>
                      <a:graphic xmlns:a="http://schemas.openxmlformats.org/drawingml/2006/main">
                        <a:graphicData uri="http://schemas.microsoft.com/office/word/2010/wordprocessingGroup">
                          <wpg:wgp>
                            <wpg:cNvGrpSpPr/>
                            <wpg:grpSpPr>
                              <a:xfrm>
                                <a:off x="0" y="0"/>
                                <a:ext cx="2794000" cy="3568700"/>
                                <a:chOff x="33297" y="0"/>
                                <a:chExt cx="2794583" cy="3568700"/>
                              </a:xfrm>
                            </wpg:grpSpPr>
                            <pic:pic xmlns:pic="http://schemas.openxmlformats.org/drawingml/2006/picture">
                              <pic:nvPicPr>
                                <pic:cNvPr id="3846" name="그림 3846"/>
                                <pic:cNvPicPr>
                                  <a:picLocks noChangeAspect="1"/>
                                </pic:cNvPicPr>
                              </pic:nvPicPr>
                              <pic:blipFill>
                                <a:blip r:embed="rId130">
                                  <a:extLst>
                                    <a:ext uri="{28A0092B-C50C-407E-A947-70E740481C1C}">
                                      <a14:useLocalDpi xmlns:a14="http://schemas.microsoft.com/office/drawing/2010/main" val="0"/>
                                    </a:ext>
                                  </a:extLst>
                                </a:blip>
                                <a:srcRect/>
                                <a:stretch/>
                              </pic:blipFill>
                              <pic:spPr bwMode="auto">
                                <a:xfrm>
                                  <a:off x="33297" y="0"/>
                                  <a:ext cx="2761060" cy="3403600"/>
                                </a:xfrm>
                                <a:prstGeom prst="rect">
                                  <a:avLst/>
                                </a:prstGeom>
                                <a:noFill/>
                                <a:ln w="6350">
                                  <a:solidFill>
                                    <a:schemeClr val="tx1"/>
                                  </a:solidFill>
                                </a:ln>
                              </pic:spPr>
                            </pic:pic>
                            <wps:wsp>
                              <wps:cNvPr id="3847" name="Text Box 3847"/>
                              <wps:cNvSpPr txBox="1"/>
                              <wps:spPr>
                                <a:xfrm>
                                  <a:off x="2108200" y="3422650"/>
                                  <a:ext cx="719680" cy="146050"/>
                                </a:xfrm>
                                <a:prstGeom prst="rect">
                                  <a:avLst/>
                                </a:prstGeom>
                                <a:solidFill>
                                  <a:prstClr val="white"/>
                                </a:solidFill>
                                <a:ln>
                                  <a:noFill/>
                                </a:ln>
                              </wps:spPr>
                              <wps:txbx>
                                <w:txbxContent>
                                  <w:p w14:paraId="4C983BFC"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8E3572A" id="그룹 3845" o:spid="_x0000_s1285" style="position:absolute;margin-left:5.35pt;margin-top:8.2pt;width:220pt;height:281pt;z-index:251658327;mso-width-relative:margin;mso-height-relative:margin" coordorigin="332" coordsize="27945,3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7AGmwMAADgIAAAOAAAAZHJzL2Uyb0RvYy54bWycVdtu4zYQfS/QfyD0&#10;vpF8iewIcRZu0gQLpLtGk2KfaYqyiJVIlqQtZT+ov9A+9Ivan+ghJdmxvUDbPFgeksPhmTNnyOv3&#10;bV2RHTdWKLmIRhdJRLhkKhdys4h+eb5/N4+IdVTmtFKSL6IXbqP3N99/d93ojI9VqaqcG4Ig0maN&#10;XkSlczqLY8tKXlN7oTSXWCyUqanD0Gzi3NAG0esqHidJGjfK5Nooxq3F7F23GN2E+EXBmftUFJY7&#10;Ui0iYHPha8J37b/xzTXNNobqUrAeBn0DipoKiUP3oe6oo2RrxFmoWjCjrCrcBVN1rIpCMB5yQDaj&#10;5CSbB6O2OuSyyZqN3tMEak94enNY9nH3YPSTXhkw0egNuAgjn0tbmNr/AyVpA2Uve8p46wjD5Hh2&#10;NU0SMMuwNrlM5zMMAqmsBPN+32QyvppF5LCXlT++2n05n5ztjofD4yNIWrAMv54HWGc8/LtesMtt&#10;DY/6IPV/ilFT82Wr36FkmjqxFpVwL0F+KI4HJXcrwVamG4DSlSEiR+bzaRoRSWsI/6/f//j7tz9J&#10;mAI/fpd37LZRn9ajYl8skeq2pHLDl1ZDvGgpz2Z87B6GR2euK6HvRVX5cnm7zw5CPxHKNwjqRHin&#10;2Lbm0nVdZXiFRJW0pdA2Iibj9ZojI/MhD4BoZg37GQBDqa0z3LFyAHoA42FbaIusm59UDhbo1qnQ&#10;JyfaOtPIQV/pKEkHfU2TSdrpa68QUGese+CqJt4ARKAKR9Ddo/X44Dq4eHqk8kQF3JUkzSJKJ5dJ&#10;2GBVJfKBxXAD8dvKkB3F3eHarhBI/OCFyJXsq+PT7E1k7XsJF5odCoHRWSn+V88+lVRzoPRhjwSG&#10;zuoE9uwp+0G1XmIzL5re1fc2cS1WejH5+Q7t0GX7Fh+Pkjlu1dCsk+l4nIKZwNRQjtnoKp331RhN&#10;06Rbf3sxXpHZVWlPeFMKx4P2jyjvGH9VxaEGh6y85dp1G1pwNJkOXKxV/gIqjIJIkILV7F5AMY/U&#10;uhU1uPUxiZfMfcKnqBSUoXorIqUyX7817/1RWKxGpMErsojsr1vqr5fqg0TJEdINhhmM9WDIbX2r&#10;IK5RQBNMbDCuGszCqPozHrilPwVLVDKcBTUO5q3r3jI8kIwvl8Gpu6Ue5ZPG3TYKyvb6f24/U6P7&#10;JnEo6Ec1iIpmJ73S+fpusXqJlr0XoZE8sx2LULofQODBCs8TrKP37/U4eB0e/Jt/AAAA//8DAFBL&#10;AwQKAAAAAAAAACEA0JYeOIfmAQCH5gEAFAAAAGRycy9tZWRpYS9pbWFnZTEucG5niVBORw0KGgoA&#10;AAANSUhEUgAAAlEAAALbCAIAAABVNUI3AAAAAXNSR0IArs4c6QAAAARnQU1BAACxjwv8YQUAAAAJ&#10;cEhZcwAAEnQAABJ0Ad5mH3gAAP+lSURBVHhe7P1pkxxXdqaLxjzPOQ+YSICkSiWVyjSclnXL7OrD&#10;Pf236kf193P72mmzvqqr6paqqKpiFUGMOUfGPLpHxHnWWh6BJIEEMSRAALleBhw7PLbvycH1+Ou+&#10;3T2+WCxiLpfL5XJdAyWiv10ul8vl+tTlzHO5XC7XdZEzz+VyuVzXRc48l8vlcl0XOfNcLpfLdV3k&#10;zHO5XC7XdZEzz+VyuVzXRc48l8vlcl0XOfNcLpfLdV3kzHO5XC7XdZEzz+VyuVzXRc48l8vlcl0X&#10;OfNcLpfLdV3kzHO5XC7XdZEzz+VyuVzXRc48l8vlcl0XOfNcLpfLdV3kzHO5XC7XdZEzz+VyuVzX&#10;Rc48l8vlcl0XOfNcLpfLdV3kzHO5XC7XdZEzz+VyuVzXRc48l8vlcl0XOfNcLpfLdV3kzHO5XC7X&#10;dZEzz+VyuVzXRc48l8vlcl0XOfNcLpfLdV3kzHO5XC7XdZEzz+VyuVzXRc48l8vlcl0XOfNcLpfL&#10;dV3kzHO5XC7XdZEzz+VyuVzXRc48l8vlcl0XOfNcLpfLdV3kzHO5XC7XdZEzz+VyuVzXRc48l8vl&#10;cl0XOfNcLpfLdV3kzHO5XC7XdZEzz+VyuVzXRc48l8vlcl0XOfNcLpfLdV3kzHO5XC7XdZEzz+Vy&#10;uVzXRc48l8vlcl0XOfNcLpfLdV3kzHO5XC7XdZEzz+VyuVzXRc48l8vlcl0XOfNcLpfLdV3kzHO5&#10;XC7XdZEzz+VyuVzXRc48l8vlcl0XOfNcLpfLdV3kzHO5XC7XdZEzz+VyuVzXRc48l8vlcl0XOfNc&#10;LpfLdV3kzHO5XC7XdZEzz+VyuVzXRc48l8vlcl0XOfNcLpfLdV3kzHO5XC7XdZEzz+VyuT41zefz&#10;2WzGcrFYRKt+TORcKVr1zvTeahkOh5YOgoABIRF/DxW7XC6X631KmbKIq6JVKgv4tkSrX3+wPplM&#10;WuKdiupMsNm+plIp++ktNZlM8vk8kAvDMJvNsmY6nabTaRkOqrFMLpfL5XK9TxmAVsurYi32rlAo&#10;RF9UUNDg58xzuVyuaypIsLJ6FxN2GvDdyYyd1XhxeVU8wtVBOKsFjg4GA8qvVqt8dea5XC7XJ64w&#10;DFkaV0yW7vV6IMDOAZrsKuDFnO9CRiOW1M7SEqv1by/KSSQSdIclGo/H9Xr9iy++4Cdnnsvlcn2a&#10;MqKwXF0nW61BfIV5gAFXNFLBBpwf2CNh+d+RYCrNoOogCKidJWkDVZTj7WQdpMxMJkPfSdy+ffuf&#10;/umfSDvzXC6X6xMUsR16mW8j1rMkDV0MMIgM/X6fBGuAnAEPApFtMBhEpbwbwTZjntWOrJ1XOHdG&#10;ej6b5fN56qJTX3755X/9r//VmedyuVyfpizoAxWW3W6XJaEfql1kG8xboXEl1rzrc5uIWlaCdixZ&#10;eVU+j3Ks4zCPwummMY+fnHkul8v1gQoDBH6I4D+AwQoSF40RK8nGemI969mQzXu9HhEfzo1Go7aK&#10;NXYC00pgKxPpVV2rc6HvSFRnddFOW/IVXVW9AC+Xy9FHKqJ81uzt7f3yl79kpTPP5XK5PlARtSEB&#10;CVuuZIhCBHR+4qtdFSOem5mzwM6awWAwHA7Pz89ZTxrxq21uMEBCmwsEQsVi0X56R7LmUZHVawl0&#10;Vcyjj+CNbiIKZ7mzs/OLX/zCz226XC7Xhy5C9ipQAwZbw9JoYZyzGSitVgvCmbGzS2WsBwB2os+W&#10;hpZ0Og3hSNiSrywRBV4he14i6wjLVYLlVdVLr415pOkR47C+vv7zn/+cr848l8vl+qC1Yh5gIIKT&#10;AF0sbSUkI8TDOZbHx8c4uU6nw1dDnXEOANjmEC6TyWRVACafz9saBPYMeIityP/uRBVRatkLE42J&#10;Um8nkG/MoyI6xVDUarUvv/ySn5x5LpfL9UFrBTz7ilgDlojsCGPX6/XgHMwDeLaGKA/qCPcrjCEg&#10;B9iMeWbsVm4PkSCPlc9WlnhHsoqsXxeXV1Uvg0M3bQToF2NSqVTu3bvHT848l8vl+kBlTmWFIkTE&#10;RsR08NZut1utFkuAB/aI7OYIEbEejOF1Vniz6G9pZIQjJ0t+0kqecYhftbZ3JasLWXWrxGr9W4rS&#10;6COjRIF0mSOAcrnszHO5XK4PWjDsovUJ9A5u7AtOrtvtnp6enp2dkeAr6wnxBjM9VSlmbsW8UqlE&#10;OYhf0UXkrMRX1ttPdu703WnVgJVsjTXjSkQ3QR3FMhSMDMy7e/cu6515LpfL9YHqIvPgEE5uNBpB&#10;PuydMe/8/Jw1/CSwiscrlQqEA3UEerVzohXnWFIaCSuZ4M+vLEkjVioWRUBC63yHsmb8YGnNuBLR&#10;C4aLBKNBdxiZzz//nK/OPJfL5fqJBbQIxQR9sBSt0pUXv+Lk+v1+p9MZDAYPHz4EeJCP9XALzhWL&#10;RcJ6oVIDcXoCMw3g+FWRtgCBWsZ1EZ1OJlO4YkDKaOCO5Xre3c8Ykau5YOhyuVyuNxZsM0MWfVfh&#10;VFgCLWwKZq7X6+Hqjo+PDw8PgR8IJEM2m4V25XK5VCoVCoVMWqZfAjxzd4mE3m+n8HOZ3Oe5XC7X&#10;ByGzetGX5VeANx6PbcYK3g7mrR4kBs4AHrTL5XL5fJ5lPJURyOnN5RLexfDIScxE/Hphz32ey+Vy&#10;fbgyMxfo059XPsQS4A1Xd3Z2Bu1OTk7s4WFkI5RDu6qqVqsZ+VLpNIYR4Ak7oac7mufkzHO5XK6f&#10;WIY3QGWylSQwc51OB9o9efLk4OAA4K1OaWJc6vU6S6wetAOB5LcJKhSGuVODJ3/ku2spZ57L5XL9&#10;xAJjNhVldUkPCmL7Dg8Pnz59+vjxY4DXbDbH4/HK3gE8VCgU7EIgsNOJMAI4RZ38h0DgCqIu5Mxz&#10;uVyuD0vQrtfr4eoAHtiDdnwFaZlMplwuNxoNlmAPhwcCyW82UQh3gW5ydjN6cPS7vcH845Izz+Vy&#10;uT4gAbzhcNjpdOwZK9BuMpmwHuDh6iqVCrTLLW82x8MZ8CLxPXJ2klLiCfSiX13OPJfL5XpvWvGJ&#10;hNwHvrwFe5VApLvd7sHBwf3794+Pj8EeFARytVqtXq+XSiW7mAfSWM9yZfXkBnM5n8kXKYcERYXh&#10;LAje+Q3mH5GceS6Xy/WeJAZsmcCErb6Shk/4OQh3dHQE6s7Ozs7Pz6GawQzOgT0E4fhqW7neQM48&#10;l8vl+skE6mb6cEuWAA979+jRoydPnthtCawEh6CurCoUCnZK07Z1vYGceS6Xy/WeFKp0gmV0kpM0&#10;Zo5Ev99vNpuHh4f4vNVTNDOZTD6ft2t4xWKRryDQNnS9mXz4XC6X6z0pfkH2FZ8H8+ActEPHx8et&#10;VmsymSSTSaNdTWWX8QCeXQi00lxvIGeey+VyvSfJfQPyGMwo8OL57EGa33777cOHD+2ucwPeaoom&#10;WgEP2plsc9cbyJnncrlc71WgDm8H7SDcyckJqHvy5AkOr9vtsj6tL0lYzdK0a3hQEIdnZ0RJWzmu&#10;N5Azz+Vyud6fAB5ObjgcYu9ardbp6enR0VG/37e3nKdSqXw+bzNW8Hk2S9N8oTGPtDPvbeTvVXC5&#10;XK53IqKrXbczgbRZLDFfLILptNfvn52eHR4eHB2JvRsM+plMplgsVSoCO32EJt7uh28Xcr2i/L0K&#10;LpfL9RMIzpmvmKn4NhlPOp3OyfGJAe+sedZqtwoiSFfIFwo5ect5WoHn8fnq5T7P5XK53omIrqsA&#10;q8CbH5ycDQfDVuu82Txvt9uDwQAvwvq19fVsJgP1SsViPp9Pp/WehHhsMff4/CZyn+dyuVzvT6DO&#10;HB7oQgBvMplAuKPDI+zdwcHhyclxr9clZ7lc3tjYrFarlUq1XCrj9rLZXCqVkpOizrt3IGeey+Vy&#10;XbGgHdASr7Z8ScLx8fHjx4/7qsFwMB6PwzAkD5Yul8uVijI/M5fLptKpRCK+tIh+T8LVy89tulwu&#10;1zsR0XU6nXa73ZOTk6Ojo1ar1RtNQOB0Mp0v5ll9MVClWi3k5RoegLR3IMDKJfPkpvWoLNfr6CXn&#10;Np15LpfLdcUirtr95rg6UIfJQ+12uz+aJpKJTDqNq1PeVSuVMsCbR9ftomgsqFPceXh+M/n1PJfL&#10;5Xp/Go/H0A6HZ+/AIz2ZTGazWaGQLxVL9niVUqmUyWSg41TuQ5dZmmAOyKnBE+TZqVHX1cp9nsvl&#10;cv2IMG0yF+U5CAmfVPxk5yHlJrzZDNp1Oh283eHhoT0wmvX82tjYzmTl1a/FQjGXz6VTab16B+Ec&#10;b1cp93kul8v15tLLbC+4tGZuzH4FdbDNHq0C55BcwFu+5TybzZb1ZUD5fD6XzWYyODvzdvKx0lzv&#10;Qe7zXC6X65Vkls7ShsAVCO1uBHuc2GAwwOT1+32wxxp+shfgAbxStZFKJTMquyFBTmbqf64rlPs8&#10;l8vlujLBKhMIBGlBENgFvHa73Ww2T05O7KWvrJnP5+bwqtVqrVaTR63IM6NzqVTa7J1Q1N+T8B7l&#10;zHO5XK4fkZBJHR6cW126M4VhiLGDdmdnZ3AOkeArFMTJYS8ajUa9Xgd7+XxeTmmmUomkPmNFYKeX&#10;/5x571HOPJfL5foRgaYV81ZrcHgItrVarcPDQ7wdS3wewIOLGb39DuCtr69j8gBe9HQVPgt5qBjI&#10;E5BSqp/YfI/y63kul8v1I7o4bxPaBSpWIgh3fHyMvet2u/Z0FTJg77LZbKlUKkbPz0wbLBeJlBR3&#10;wSdqAF74NJarlV/Pc7lcrrfSRYc3nU5Ho9FgMDg7Ozs9PYV5LDudDuuT+opzHJ6+DygH+bB3rISX&#10;F0iH+IaiZ69E61zvXu7zXC6X61IRIbFuJKIzkzpFs9ls2nNVHj45mEwm8A/bRwaMXbVa1Vkq8mZz&#10;HAZKJARpdibT0q53Lfd5LpfL9UoyyKGVH8CiETf5io3r9XqriSqtVqt/4f3mcC4rr77LpNL29rsU&#10;hFMzh7mwklw/vdznuVwu1/cEwwiMPzjlOBwOO50OnDORltOb46kRMZfLFYtFfB4mD+zJWUuk5zSx&#10;GuI7tNCk+7z3opf4PGeey+VyXSpQNdP7zVdzVQDeYDBgDV4wW5BnZhYKQrtSSaar8BXUzfQ9QYDP&#10;LuERZo2jfm7z/ciZ53K5XD8uMMbS5ptAKcCGvcPPIWNes9kEePykSItXG+vZbBaHh8fT+Zkp/B0l&#10;LOaL1YQVQixhVhRbJHx+5nuRX89zuVyuH1eSSJlKGfOwd4Y6OPfo0aOnT5+enZ1dfLRKvV6X1yPI&#10;zeaFTEaeFo2XC4MwmAYUZahTd4evEARGps/1k8p9nsvlcj0TIRG3N51O7ekqAK/X6x0dHeH5EL/m&#10;cjk5j1ksylnNcjWRAJPCSkhpm6NkMqGRlaRcziPSqgSErvcgP7fpcrlcPy6Mnd17NxwO7e135+fn&#10;eDt7VDTRkgBqD88EezCvWKkJzpZIMxFScXsGPJb2Wxwb6PH2fcmZ53K5rq9s/kj0Zem5UPRdb7nD&#10;27GEbZ1Ox14GBOrM29l9C1l9rgqhE4eH1bPb9eKpbFTEhy18J4PAKNBnm1mjQyLroouXfJnJYz9x&#10;rMlU0tIfr17CPL+e53K5PnHZXQMrXTwJSdDH2I3HY5mmMhodHx8fHR0dqmyKJoYP7NnJTLvZHHsH&#10;8FblfBSip1FKJGlIp7SLPsI90er3T1bu81wu1ycrkHYhlj8T63F1RjuohgBeEAR29c5MHrERwtnT&#10;Muv1OkvsHYJ5AM/KnMU+knsPaKy8pE/+I03jDXKYW8gH8eisnbzlFzWFHzcX/Nymy+W6jgJjGtMl&#10;wvOVcCen8+Zz4qA9VAUnB+fa7TZp/BwIZBN+Iid4I1AieyUCnGMrS1CaRc6PhXkKs1X3F2BPH/OZ&#10;hHMs5d1Gwjw5wSkkTCQWzjyXy+X66ESAB3jRl1gMmCEL9Bi7TqcD8Ix5GDv7lfw4ORxeoVAoqex8&#10;prJAZMCLlEhHRX/YoqUwj9EQogcB6APeiL7ABk3Ir3rBT050us9zuVyuj1vwbDgcDgYDEsfHx7g6&#10;0qBu9VAVYr6dvYR29kQVYEDEBJCsFAOkZhEp7kSxZMbWfOBaxGT2CrCH9AxCEIbYVboGzlkifUCM&#10;9Eh7KRNeoi0/TjnzXC7XdRQkY0mUw9+AN4wdIu7fv3+fn1jJkl+hGnhjuba2Bu1srgqWjm1Zsl4L&#10;eyaBg0bOj8Xn2fU8HYRep9uF8clEMpOR+y7SmNpMNpVO4fAkY0L+g4623UeqlzDvmet3uVyuT0zg&#10;DeHkut2u3WBur7sbj8e4PSI7pgY/VywWq9VqvV4nTYg0h2cgJA3/ouKWEiukir5/8NJpK4JqugwA&#10;JmO5colA/iyczeczvYAnFId7Szf7acp9nsvl+mhkl+KiLxe0Wk9irlNUSEC7Tn+IrWmenQE8vsr1&#10;OrxdEOL5oBuOrlgs6JPDMslUMhGPgz0r8AeCcVHq45TaUszPHMaNRsN2u3N+LjNUt7a2yuUKvcba&#10;QsWZwg/mfezPwnaf53K5PgX9AHgSyvWoXVzMcg20A23mY46Ojk/kZQinp2eoeX5+3mm3u91OOi0X&#10;6uSkXi6XL+SLpWK5VCYsWiGfpqJxknsRUunIv4LAibzzdshYzWYhg2h36tkWn6Tc57lcro9VijyJ&#10;YCwTiQSoW81J0ZvuhmctuXqHoRmN5M2uCZmWnySsl0plmJfP5zB5LAn/KX1gZhjK46Gf18fv8+Zi&#10;9ORvmbppJ3sZH5gH/vP5fLlc1hmqOQaBwfzYsfcSn+fMc7lcH7cEZomEzVJpNpsYOvFznQ4xfRZL&#10;Yl9wfkALWyOPUikWs5lMLifBHddIZEzKSU1CPJ9LY/2nwTz+5s9sNp9MxoOBeLtW65wfGIJisVSr&#10;1+AehCDPJ9BfP7fpcrk+BXGYfnEmPelw+RoEm5Zpc1VarRb2rtfrEtkJ9+bqiOyVcqVaq1WrtXK5&#10;UpB3mqflFmw9I4rpiQr9BBWxHKhD+UwmWyjkMXbpdCYR53AhlFsYBgPcMIcOF4f305P7PJfL9TGJ&#10;iEzUsgt7JDBzo9EIyAnful2snqKuR+zGyWXyRblsl8tm5eqV2Du78W65uZUhxZKwv16oj9330Ds9&#10;ubm8/W4xtxs1Tk9OJ/r0GUYhl8tyHFAul0kAxWi7j1N+btPlcn0iMubBM9LQzvzc/fv3WQI87JoG&#10;8xCwYeNqaxvZrHCOwGezM/R8ZnL5nBGWrJM/JjbU9T/Ux848+si4MXD0MYmv1Qmus3DGUYKe5xxw&#10;5AASi4xYrYb/KxSK0ZYfp/zcpsvl+qREAIdPGBQ4Z/chELjtbgSImErJvAzCnJg8eU602bvs0t6J&#10;TYSaQjJ9jytrkDihT1Z6bpP+yUwWvtjLFBLy1JmcGF++4/zGk4mf23S5XK73LeISjmSVtq8IzhGp&#10;EXH55OTku+++szeYHx8fczgvpy+XIpazplJf12JsayQpLVOLvjYC6FHq++LgYDyedLsd7DIHDQyO&#10;vDKJP3rfIr+GsxlHBwzsbD4fDYcfyzlP93kul+tjkpFpJaGVriEKkwByeDubn2nX8Gb6rCx+BXXE&#10;awJctVqt1WpRMVFhAjo/yL8os3S4XgxxKp1mbIMgHI9GQMJm9MiNHXF95PTyfPLHLmeey+X6cLVy&#10;eNH3WAzgNZvNp0+fHhwcgD3cyXQ6lTN0eZmICO1QuVwWp1IoCO4ubKzAE9doX13ADKhhiwsFuVFR&#10;vVHQ78vlvel0or/CCJgnr9bj12izj1nOPJfL9YHqeTjhSzqdzvHxMcw7OTkBeKwEeOvr62traxg7&#10;aAf8MC5sG4ah0hLk6UIkwHPkXVQikcxm5S4OvSc9O1/Mx2N59wKyi6PkYdhJJJPu81wul+ud6SKd&#10;CLuEYHuoCj7v/PycBFRLy413+Wq1at6OqG0TVfR+O2WeOD1BHmVRnn4cepEYGZycPopF3qCUy2WT&#10;eq1UJgdxQIGHDoKF3A/JmD27wvpRy5nncrk+RFmgXcVZgIfzIArbPQmkoRp4y2QyOidTlErJ88PY&#10;hKVJgac+DwnpDHnOvEjKMhvnhL4rMBrDMAwG/X632xkNR7PZXA8/ULTVRy1nnsvl+uD0gxBL2h6h&#10;afNWwF4QBAAP2mHvUC6Xg3msMUaS38hnwFtyczWJxZkXCS/MSCI8MfBjwOyBbBxvYKm73e5oNJzP&#10;ZTILwza/ZPLnxyVnnsvl+uCkyHtGJjwfQRnswTybVY/Jw5EUCgVjnp6Xk5sT4Bsbkp8MiG2XwFtZ&#10;PaWeSxXOZuBO3q8UBvg5RoYBlNsWxVgHo9F4MpnCPx09MYS21Uctvz/P5XJ9oIJz0AsDx/Lw8PDR&#10;o0f3Hz0ZE4nHY0xcuVSq1+sATx8r9nHcN7ZynEhDb/QHRJsv5U8EGFH0Zh/WxjVWG8oZDdaxof4W&#10;Sb/JVUwpOpKuXq6nFP6jMtJq7aYAT16zwMHEWAaVQwrW2hRNRd2co4parba5uVGpVGhDGIT5fE5b&#10;rNSQEpEsvl/vTy+Gyu/Pc7lcH40k3hOe9IYwYnG32+10Or1eTyYTBgFBNpOWu87tJvR0Sl4F8FEI&#10;z6SX0LR/CiT7oz2N3vw3nU7wWKG+vhzq48EI2UgopWttcz4kISDrJA8/T+1FSAIiREr9rvykOUlJ&#10;Wi2dgI0cjKdcIx3IM0v15gR5Q0UqZW9ZyjG0wIMjDI4y5rN5Op2SwrUGaXU0IUj6pPV+HHKf53K5&#10;PjgR3DEZJIjRoO7s7Ozp06fHx8dHp+fJpDwWBHuHBeHgPZfLJ1NJIrJt+IELBi3tkWIjorucjJXT&#10;jMIuu64ml9X4I0CBK/ofW+h2IjIob5AgcJlrgacRIknhWqa8Rkm8suaUNYJM/WrtAXVkgYRm1PBG&#10;gI2lZhbisgmryqVyvS7P4ZTNVn+iMuQvWmRfPhDR/Mt8njPP5XJ9cCL6a/iWoAzqHj9+fHh42G63&#10;e8Mx9q5SqRKCWeYL+VRSnsxCaLYNP3ABnNX5QL4qhoRAdl6RJX6ONQBP4ZOCR8Yq4jSbKAflSaHK&#10;PMGdbC8nOyUpwVzKlQp0q8j/zaCXUE08n03CpAFWTD6fhwKJhD56G3/HgUY0b1Ncpj3OlEYVioXt&#10;ra319XVDo9JayEEtUumHd7s6vXfmuVyuj0Y4DIIwEbbT6Tx69Ojhw4fNZhMkzOPJYrFYr9er1RqB&#10;GCqQmSBGmLYNP3wJkRR4gCoUKxXCol6/j8ObBlPgRHeWAErCHuWa8IWt7DW3dJa0oEbOlIpvU24K&#10;F1lqDTImBjmjlzk2S/Ozlo+fS1aqVarJZuU8cTqdoWwaRjmMPPmHw2HzvNnrdjOZzPb2ztbWJivZ&#10;fMlsKqFyWdBa7dyHIprkzHO5XB+NiK04nsFgAOoweU+ePCH+EuuzhZK80Vvfd5POpPV8ngTdDy3m&#10;Xiq9Ox6BlMjYicMLe72eAESicXSXBXgDbWbLNEjzZ4mbpc3S04ry1yrNZvJVS7KFrpdjAuAkbCQt&#10;t+IJU4WfyQRIMOZBQYpnI0WsbM6Y60TZc2pdX1/D58kGdt7VuLtknvs8l8vlenMRne0p0qenpwcH&#10;ByyJVPl8vlRtFIuFcqWSz+WJuhJwgYReiIq2/LBFv2wZhsF4PJYpJPJkyylpQJLGc+n1NMUJGek0&#10;f/GN9NJXSY9lQgprVUYfmZMJC+GWYEhBxFqBmvBJSrZIL1mTCUFeSriF87MilGIivhoXqGY8Gp+f&#10;n8M8spXL8izTQqFITjZGbCZIVZKyoZT+weglzPuwGupyuVyIkIsHwv10u13cHlRgDXEWb8ciooJm&#10;1JAtDxv7KDTXmw3CWTidysvqAB696/f70+mElcAGGhGj1YQliNewZMUYgrgwSQdHsKbAh1CSRyGm&#10;uDQHJh+2pCgcXKGQz8qbcyXBEQNOWZ+/XcgXCoKxYsGIaAVSQiaTFn7q5UN+ohASOE45t6wXD4WI&#10;VK0EFUmjPhq5z3O5XD+ZAABBNvqyFIQLw/Dhw4fffvstDg8kEGfL5XK9Xl/f2iWki3khDPNRd4OI&#10;w7rpDwUdoqgs4qsAg9UQgk00gkNNxQYcTSSmk2m05asJEmmZggFbI9XoiwhY6n92ctF+X8hdAeNR&#10;v9cDdYFes8xmssqYBMtsLgdi6KxawAGMYb3kydrz1bKUbdNSlH3aJxkCxZz2kXEjD2lbo0v5ns/l&#10;tHU/FHmi1Pdl40ZpHHa0Wm3cKD0Bxfi8RqPBvqCDk+mU4iEi1Vw2/j+V3Oe5XK6PQ8RZIuyzu/EI&#10;rPrOUvxKJpMhjSRSE8oVYNBG7MklUiBZRvFG5rGi2Yw6JVIIpcikXiKjbvQa0qkeAs6ltCYVlRvw&#10;yEF1yzOZwxEfvQOcRvATDaBHRORSqYzzAm9wFN5QAMWyIeVbsRRGHMei1es18N9o6Icves9GqSz+&#10;TewbBi4P4/jkGDaG7o1u2LeTq2L77B5IWjCZcCwi40az+UlZC0GinB+LnHkul+sn1hISIngA8I6O&#10;jnB4JGAenqwEEOwlQSm1d8q9aEOFjm37vAxp5JrJxH2ZMzIS6Axgz3g8CfW1qOKE1HHCQsn9OlLg&#10;RdjVDkiLkP4oonnUC+W63S6GCc9KB6mIKlPpdC6byyulypUywIItNEZbMqWpk8kYEvMVzNhtA7hD&#10;1ugIACM5n6mSr2Yp9TZ9oZxgShRliFrzymJIrBfpdAZvl5NbGmI4VHbHdGqHC4JqqVfwfOn4f4By&#10;5rlcrp9MBO4opSLOQqN2u/306dNms0kaohDC8TER8yTe2yUrDfLCFIBzOfMsJ8wLZ9gUaNfrddvt&#10;TldM5GA6nejESMmlEVwJ+dqiBtlWMKz4VPyJ+wFWct1uNOr3+vC73W6NRkMoBo8qlepaY219fQ3P&#10;RjqldxnCMxygXOEbDMgJ57TtcrciwDs7O+NQ4Pj4pKlvylVsjylfuCjoFfpag5CSlxVYW/lEa19Z&#10;MmgKcZpqxpE+4oOpTv7TG+ftpCp7gV1gW30Ucua5XK6fWERYi9DEcfVDrZOTE9Ksx68QcPF5RF67&#10;dKQUE7o8A9TlIVfzSkYK16mSE2DRH/SBEKIK81IUAH0p37Z6dWl7cDuygAoCCjqiN8bh1Ubj8WAo&#10;U1TgqzzAS29LoD30Ra5Nrq/VanV75x8bATYsoPJuaGdZxaHJ/BEOC8Ch3CHOr7ATvwgR7QmZdIoa&#10;OQ5goLK5HIDUjy1WiTdkEk3FTErJ+p4mOkjPGC4qFYtsZ4alAvd5LpfL9ToijuJdcHgAT563over&#10;wQMcHstcLkfMhSuWWZAnAXmpy/2ZRnv+mN9bEnAR06trI2hERdQ7nUxwSfrb68qKlA1psJ6WFNrB&#10;rR7eri3mrt8fwDPAKJfXdBYlPUKwPC1PsLTTqsJjGIzYHM6B+XqjUYou0UH9YrnMUJQgEBVqwSIQ&#10;SC/GQu4IQvoR2wmJ5fynnAJ97XObCknq0RHTsjB8uXyOsuVsrWKPZitN35ypP4mSv/rVr6Kky+Vy&#10;/UTC4uDwzs/PT09PWZKGCpghYwMifEtwlXmGAEZCsSwkFfEvKuj7ktN99rNEb1nDX8lkYjQe4cYk&#10;dOuJQYK2/iwZdbvXksT8uT7EGXRNp/IUsW63A0ptGg54gDuASzBWr5tnBV0gHIek1+tk2g4Ckyxn&#10;sznOqgzilPf0HVLKI5/zuWxG3gJPG9utNg4VozeVOa5yahO7RWfpp7RHm6Wd4Y+cdeU3XfdDXd7f&#10;1YFCjMLpEVISLnCl2E8pFxIuX0lviQ9Jdhu+PN2UtuG7afZao05v3ee5XK6fTIRLlkCDkKpBX1wX&#10;JozwnU7LlSREwkKzME+lEXmJPom9l4KK8gn3bI3dATOggwIBCRsQECEGlV64NjaJNntl0c6lbEYo&#10;zAsoVs6cyvlTuWrISiiLV6tUK1tbm2trDUybObzl9Bd5vwGtoCWj0XAayIlNWlvIF6rVGuyzKTwV&#10;fU0gpk0u3Mk5xllAXfIgFyg7DQN9nrQ0QU49kuQ/svG5DHgvkRBPgak4l2mp1JvLZc1qy+lbkayP&#10;APvxSE6jR0mXy+V6Z8JRqUcRPolpkDmBaVaSIKpi7OyGvFarZUGpVqttbGwQ7i3OysWtVCqYX4q3&#10;F4oaKS26E08CteCCNZ0OPmmKuYRzVJYFh/k8Sxijcx3lwh65Ce9WLxtZIXrtSh5lYlNp9MqdvAAI&#10;ZFIaC73GJif9IHEyldJ3HmVhrdqjFG5MH/slM1YE88o5HBvA017LkzbJCZUh8/LWPYE7vzJWglQ1&#10;djYXhq8Qjh5JXTqZs1wu6XRQlEtn5PKnmTPptQ7IcvhsP8TmC5lBGn1jGa1mvWS3tYwDXYPhLBfz&#10;OA2gA/aMb3pEDmpfFv+hiN2Et2Z86AP/zBg2TLPfn+dyud6rNKyLiMXEaEsQ+rF3dhkPu2MUJGZj&#10;dDSOiywUrzZ/damNklkW+k3P86Fkot5o1GrVovitDFQgjoMfmqHQmsIxclu9bG+oJBsrZGMBCSuF&#10;QKygEmCkFwjNMYK+kVz9yuVLxRLeTk9RFuCX3FSgVBF+yvYRw8yr0XHal8lk1dwWMXn5fF4BLY88&#10;oWoAo1YVOuexfZhFEhCaPlK7zv05p3bY+8z5qdVTQya0o3bpvohvRjdjYiS6KRtYrSL5id9pNNvQ&#10;c9tq+VukC8mPQH49z+VyvQ+ZwSJ0kpagGzmKGAbCZuGjTqdDNg7Mq9WqeJ3ldS+yCSzkeWOvd5hu&#10;wVsDOx+9qKfhG6hYsRrnRTAI56RraKTM+wC45JU1YmIWyktZSTnklzOIgiw7JSunMrFB6l/lIc4g&#10;CTipWyspmeiFnCvUSnFOoT54bDjoA0l53gq/yslMueZHv2UTqAlkFIQyXCpqR/KMMfvDCgqlRrBm&#10;ohx5XZDaWemTAE/EZtpx8YIURJqtZIDi8vA2SUTf9fhg9UGaUcvSQmdiN1kt5jWfY5CiPB+cLr2e&#10;58xzuVzvXIoeiaHCnGWQRQTQ8/Pzw8NDgEeC6A/wiPqNRoO4jzA3BK8oN+UohF5dEE1itkgrNp+n&#10;L59DskJBQkJbt5AXgs9nrBXkiYRUurk8dsQoCCaDILSbxqF1r9ft93uTyZgCCaw6wbJsJzORuVV6&#10;rBXa6dzZcDTsdjBmXZyh2srZ2loD01kplwGeXjZL0gwIqniivXptLRo8vlNcjMYwOOmM/Ic7RFQK&#10;iAEeG2rrbIaLXOAjD12Itpfxj/or5Uc/6F+2kGML+U8kX2UYzfwBPgonYXaTrmkmskaj9MHImedy&#10;uX5SWVglXBKMSEA7uwZ2cnJycHBgwCM8lUry/P56vU4ghxAKDJEQQ0p5vfmBxGkNxlI5f4Qguoiu&#10;9OjZQr26ptNJFvOR3AVPRYZDtXWCBXkpOdKgH0KSCU2XWZOT8/MmZAFj5AIDpVK5WoVcFX0eirRf&#10;N4+AJ4lYjE539U6DQb8PjsiAZ9vY3JRTmfkChehFMqELLIwMorota6FKiqNVNE+7APSEeWyvJkyu&#10;FMJgmkdCZrOEIX3kLyVXJClCbuxbkTSS9NZGW/eXjp52XDaZU8Z0Im+1hbCFQh67KXDUowfN+OHI&#10;medyuX5SafSXYGrxEdphdEAdDg/s8ZXYVCgUqirIZw5PwvDFePqazGPLqARdRDFcrItMilGmpqjD&#10;MMAvEEJ5I5KMS28nF+CiJ7nImxCQ3hI+JeBDLOKpXIJTAR4IxDIqPCGOSouXk4N9PQ0q9zCMRqyC&#10;uGxCZ4Glticl99NFvab3QjVtNsOGtBgl34WRkY/1j3XkpxxdL+QWVOtm2nhpMMAO9OFhVhZ8s1ws&#10;pR4pUgqSpP7hPylDWi+8ZDtQShqo02MazMbUwDZk/5B0KfOWR08ul8v1zkSc0UAskyFJsMTonJ2d&#10;HR8fAzwSZCD6r25KAyG2ocZg2ZAMxNxF4vUelaKbsq1+ic7WyV9JeVCkpCkTGyQgmMrUlU6nq+Zz&#10;xCYC4Fq1XCoTLsmGNRyqoB3+iXhKnlqtlkrJXRDqtDJgSykVl+eCSsMTECEMQjgBcjBdZ2enmEIq&#10;ouoV8NTbpcGPmEq53iYbKm/sIqj0HS3bLz+QSb7oerLQGHKSlU0oXe6XQABOnwrNL7hSNqRs8YU4&#10;QvGhOYiVL2TZRPAqpNMzv4yLtFxu6aNgsXEySYcuyBiNxyE7jqHAiG9tbWFMyUV3QK227UMRo0KT&#10;Ijfv8zZdLtdPJQmmSi8YA1parRZuj/jMTzCA6A86lqcEBUoa62Ur2fj1JcE7knw1fshfsEGf/jzV&#10;lxtQI7it61tyaAB5QJTgbTiCG2QjrOvNfCN8Gi7NZqyQB87RZixeWV5rEM09gYJ4qoiLeq86HWST&#10;TgfMN9kchNBZPREqIhzT74zchiiGUpiInxKKWe/5wxEDfREiUjgV6IhEcGIt3k5GTy4fiuOs1apr&#10;a2v20h/WkIFK5V2EHbmM2OvaTZDR9M5A549qpQZOQaiNv1Sh9UsztC3LYTRJ+qOT+zyXy/WeREQl&#10;3JPAdjx+/Pjhw4dPnz6FDUQhIjVhGtsEQgi2RHDb5AeaxV7v3OZlwo3BFaI88c/iO22geWAMHnQ6&#10;ncFwiH/RM4VytlHOj4mhkVn/5IeRmbQ8ghKXpr9KLv4STEhA1T9yR90MczQejYEn7pGesh5LB+Fw&#10;SPm8mS2Zn6lbXIGkfr25AjHU9JBGwzEDLZ6PX83RUSF0y2aTUJ+VeD61mAmwTacYi7w8DSBFOQY8&#10;OM8BCp6WoigQn1ev43HF3jE41GwN+EDkPs/lcv2UMrCRgBwAj7iJ7yFBSCXOilXS2xKInny1SPqO&#10;ZZARMwMAVh9FkcwmwTHxC0GTdrbl+Z99TB4MAYD8WimXwTNBX+fZ0HCsV5qmUyJkJBtlgRoIiiuE&#10;oF15HaC8CYjcmDFK0HcVyDU/we3rPyflMqk1lNPI4gipS547LRMscX0wqlKp6jin6TitxGofn5zI&#10;6eXj49PTs5Y+8m2gT8SmmIiaYBNU8pdMgeGQRS5zsptsT1GPtN/q/kjkzHO5XO9chEuWxEeCKAw4&#10;OTlpNpvghLAL4ewyHqFZ7JKaJtvq3UnRIK5IUScS4sUTqbTe+SaX5VLEc5oNrSeTCb6B36EFzChH&#10;DwKTiSfgToiH68MnYXf0/UGyyXg8HAy7XYBndzJgOORGBX1bXtEEjSLmXd3JNtppHQNJtCmrkznh&#10;qw4wouVyOwRr5PJjJk1r2QVDfeobwOt02q12+/y8xRoIDean0wlGkBEY64lQRIPZkI9gT69aUmtU&#10;/ccgP7fpcrneucAA8R2EtFqtJ0+ePH369OzsTOeDjPAfGxsbxGMywB6WiFgcbfl9XdW5TQiEuyL6&#10;UaPgTaduzvTRlP2+vN6h1+8R7UGIZaeRkDCTtfeOyxVHIj5bzWZzPbeZBDNz5YdeJAsHQ3lXg17z&#10;k4dnsolhxrhOAlKyFdFXqo2eDX0Fmi/04WwCIv6Y5Ds2Tc7M6psQkKGOduq7m6ByXwwd7ZjPaR59&#10;rFSr1lqWGDqymjVPp4TTpVLRLCOjZ+1nFLX+D0UvObfpzHO5XO9J4/H4+Pj4/v37jx8/JoZa8Flb&#10;W9vc3MR/EJ5ZAwkIUpfFpStjnlzMkimJOBX+47sSQa7wwYDz83MiPHHT7jrA0zQaa7AN/wcSCPSy&#10;fSR5AxHEoqyZTm6EeWEYnJ6daWHytjywsTKyejKQrXUjJDZJ+ERB0qi3l11Wiwp79hdtowZq0ot2&#10;kX9FNFme+dZuK6rl7ey0BKNNm9kLmFHMLF3mVzkXPRoVCvLA66o8Jcfe6g7zBKZC/Q9JL2Gen9t0&#10;uVzvXERSm6XZbDYhClzBWBA0iUQEViKssYT4T05iaLTZO5PQwIggkxIlbtMeZYDMYcQC8Tc+kFYB&#10;qlKpLPNNcjk9jck6IrxN+JB71WktpBsOBl09PcgCnFMKHSHa5vNyKpNCSLON2Du9f85QwR/Yq+24&#10;Gsn5WaWoDrl2DBumTDIZsKXNE3kuNk0dDPqgjpV4Tznzqlca2ZRf6U5HXtHX5m92HyVRuk1VpSj1&#10;yeaDr7IL71ru81wu1zsXARTgnZycHB4eHhwcYCzgXE2lUJFXoZLNaEfMJqTqdj/UVfk8IZ36PPVd&#10;ceCj5/qCkdxy3u90utPphCbprQQ1Oy0pKFGpmbLAKYWIV5IHTIvsZCb2LgfkZH5mTqdn5tJpUCfX&#10;vgDmcjv7SxqDDEVvLw4btGD5c7EKLV/S/AlnIY4N30Zru73WYDAE+HaREaCTk8GX85j93mQ84Qtl&#10;yincRCKTzVbK9Y2N9VqtzriBUjIzIBjalN+f53K5XCuZpQB7nU4HNsA2oj+WolzGQsljGw0nKyPy&#10;rmWnAEVAADukD/oi9Nu7XoMwwC/BPJ30yEJsDc2DGZpLDKHc1Bbo25H0bTugjn71+wOBRb+PH2RD&#10;eldXrpcr5XwuT4EYL4DEVgRiRHflpOjV+VrDGglaa/TClQpoxfLpnXdiaWfqZXF3MkOF/pCTXtaq&#10;1bX19Y3Njc3NTdqMsaVhdKrX64/YZXqpjwaz5G8G0OaIGlM/IrnPc7lcVyaiJHGWqEJsJWFrYACo&#10;e/LkyaNHj0jACoJsvV6XG/LWNvVEnBJPJCm+X1VYggBLvFG0oc7qk3vSgQAJ/h6NR512h3YmYzOd&#10;ryhvswPJduoVOIErvpKg8fxE10iQP5ZMK+r6uESsD0yANVS7trYOGNgK2clMhatMmVEq0T0+2mM1&#10;msLCqxDtt6IMeCQYf0SNkGoymeCw7ZiDoxBpv86voY+NRsOuqtL9ZlNunLfXXFAIopkMBRnypQoF&#10;K/aEf6zXPaUd+pDkPs/lcr0PEWotQTS0hJxAUxFMiblEZMIl3g7zRCLKFeW18Gnpq1FUsAjUSOHy&#10;n1orvZBGQp4IMxmPiY9YIHgQ6l3ziIS6HLlKt+oOCUSMN5Ccnp7phJceCKFACFcqlcQkycU/uUip&#10;CJReWbeW1sj+EurqtMcr83nWPBJaushqYiUNpqfWI2CGSMAD9kW1WoV5iATYowtWgm1oUGQl1Ad4&#10;7OJlFVEeJHV/JHLmuVyuK5NFw1WCOEtgPTs7Ozk5abXkri/iowVZYijBVKi02kbDqAVb+3rViqI0&#10;IBBiSToWhAEwppFyL9ryOWS0jSiPv8HM2a8gjcaTBuGGDYRP6nblVG0Y4m4TdKdQKFaqlVqtrlCH&#10;eWkAoSgX+sI/qV5aoc2hQXq2Ee5G399aF4CkFS0Fv1cHHzSbNPWCZHbE+vr69vY2Ho40zGYreg0d&#10;GSI2NIpjyvkV5om9Sxn2pApFqoDVavko5Oc2XS7XlYl4cgFhchnvyZMnjx8/Pj4+BhKEWsCAnyCG&#10;AhWxQSmwp4pOPJoo48K3t1IU3zTOWbSTP8RpCARuBoNhWx6z0iPO82u9UpTTkZkMER+YIQBA/kql&#10;IuFeT9vyk1EBzfVFezbjkR6xpINyNlBzmthccEePMFv6rh/tnJJJ/pMs5Jdsb610IrJ31GGe276C&#10;Ovpi11PhH0imtZjRvb09YMbuYA2ZGQd21sHBAXRnE3qKZwWKlpmuhYvo4dem1aheVfuvSpDY789z&#10;uVzvXITXVaglYhJDHz16RBiFfKwhEBM9iaFgjxgq0V7ekxCFII2flnx2jvQqZEFOaiNh/xG2gcNk&#10;MiGyt9syEZ8MRMlb+ztEdgnuYUjj7eoXaVpupZCgX9COlawpVaFFQd+ZZ5Nx5GytMkAsndkgvirv&#10;5A+DojAyIMEOMohYqU19WyVj0V3nVIdI0E50enpKdwAeRyEQHZJtbW2BOuwdNo6WQ3GGAjvO/oJ5&#10;FMX+YhzYWYidZaUlM+w1ftQ6NCG1yv76aJh3hf+wXC7XdReR0RJQgQjbbDbBRl8frYlPAgyIAEoY&#10;MqpFMDDnYMFU46l8vQppc+RPVK6cTJQl7KFJYKAnL26dYuHktGRFuEWgp3ksV2aIrwAAQKrxE8FI&#10;838URkegSNZuSEhaRJXLhCYSIEe3HQ36A334SSC/Wh8FTCLd6gqkfbRxFNrRTvaC3RDJXqDN9AvI&#10;AQCwZxfw8Kbkx9iRDZEA6mxOx/mV/cUm2DgayUprLBVYJdJ++v+BAe/lcua5XK4rk0REFdEW4B0f&#10;H5+dnRFwLYYSZ4mhEIJsrAEJmn+10ZJ6S/dwpdJylXzwZjKJHh496PdZA/AajbpOtpT7zAj6LGkw&#10;rQUPkI8mmr0zh0eaNXSEnwoFeUksgR+csj6CWSTpI0wFeN0ehrIlb/AZy5voKAQgys9K4Sj7VchG&#10;k5YAdYCHw8O3tVot9gjwxrTt7e1tb28DPHYHa8i82lkwj60ogb7TcZhHggwMER20zNLWaB+R0e6I&#10;+Jg44sxzuVxXL9iAiSLUAjyMkRECS0EMtWs/hFFEYgk8/UuD/5Ui4IKkWMoW7tE8Aj2eZjye0DYs&#10;HXQjxJOmVcY8QxquCPKxHjoBKpNloCMNeVlBhU4l4om5WLoZS37SqSTiYSmNleLzBnZLA0ZvGgbB&#10;TAsR5An0rmwOi1SqoljqooPsArv3gK84trW1NZuxYibP+mV20Ew5aTq4ujxJH62dsI0BUdjJfrNd&#10;RA+lo1d5Ivqdy5nncrneRKvQjyQMLklFbMUu2Ck1rAOBHiTYLAk7sUaCzIRRTJVET9lOCKGOAbH6&#10;yh7qkZJHd4KigPKpl5aEQdhqtQ+PDuEBQbxarcC0bDaTsFcE6P1qZKOFdNDWgAESAie9M08snTIA&#10;KvAVk4cBIiOck1e/6tRH6xQlkl07RXa+Jcb64EpG5uTkBAdGSyhcHnQWyDxJCknKLeTkjkNCGiB9&#10;eJGoAJvIB+zIVEp5+51cQQSueh5VJubAMHPYoAu83bp167PPPtvY2MDeQT52BDUGQWDX8NhT0JG2&#10;0f79/X3yMFzsCL4yGiToMpm1Y7qn9KYFWiInb4NL2/kBypnncrneRBbyTBqCxawQFgm4hFq7jEfU&#10;Jt4bRQCDbaJxU2REeafS515aU+U1Rri66VSeAT3RV/elUmn8TKlYyuXyBHEwQ5OsVbakU2SjwfTL&#10;ElqqIvrC9a2Vop+jDPK3fbXy+DTPRNCOJcCDuxwiUAcFM4RUQSPFLEb3lV8o+vuiat2EjRh5tpRt&#10;2ZrRZlvbBRx2UL6ByrwdwOPgwy6pMibkhL60xOhITloJ3iiEnWWJi3v505Azz+VyvYksqJssTQwl&#10;gvd6PWI67gHsEUaJnvgM4iy+gRi6ym+yr+9OAATu4B3BxHg8skkrYq0C8XC5fK5SkSt2hYK0DXpY&#10;iLe2WXeMdiRYCmOUc8YDyaTuzfohwBMXZNtbMfyhyATZGQc8EyspltoxfHqnnzzzRW4NlPcxUIme&#10;9pyFYEyLeZX4LEcbgjt5FprcQUFxZrLpKz9hRnF1WLfd3V07pcka2k9mcgI89hQiM2WtTmnSVEQ2&#10;af2nhT1nnsvlehNZXDdp8BffQMy1c3cIkwEhMHmEUWMeMTTaQG3ixRLekWCQnlZMhPIItEGn0+51&#10;e8PRCKOTkxeiy1vR5dxdOg25lo4wEiAZw0m9vgUhWLNCGR0xHkTnLPF8/KAuUFglYCO9fHdrRp51&#10;UizKdUHYo1NIthr1OvUyYv1Bv9U6b7flqSgKY3mfA+VoMfr3i7SsWFqrJ2/l+Zlw1Ea+1WrZ4FMj&#10;qPvss8/W19dXDg9aUwvV2XU+u+BKZlBHHptnxF4zq0ctVuMnI2eey+V6E5njib6osCqEWmLoKozi&#10;FYQuuRzxlDAaeSMFZLTNO5Y4S5lyGb1JAIGxMAgbjXpVXmiXw4FJPjlRSEbhGc0GRSzNCSH6xXqK&#10;ktKUefTLqMAagx6bK6lYyDdKMK9GBvLSfQxltVrTJzhvbW5tASHQwrbjkcyubLdlss9gQF3yWoa5&#10;3lFhEH2hxGZqzeQwGzoayZvZwRil2dxLYxjebmdnh7r4SoNZT37gSjZMHgNCmrbSo5KKbObwnnXt&#10;05Izz+VyvbaIklFqqdXMeHyGnVUDdcRQTN4KDwTQldjk+UKuXMRsPBAsoUnD4YA0kTybzVRrNdoG&#10;uOCvMo6WCPQMeKYV8yAKXaA7wAAMILrDV1baV3V3yjuT9I4v8p2e0nHySwn5HBiDIxm+ypGAlKDT&#10;T8R4TSZjWqhcHgiYQ8h3KfN0AKW1s3A2EeANe30cm1zAY0OKrVara2trjUZDz9wW6CzV0VQzr2Sz&#10;SS44QgMkTpRs5KG1Vr5WIUc2WqHI1nzscua5XK7XFkhgSRC0BJEU4B0fHz99+vTk5ISwzUpiqNkL&#10;QvDFcLnkxPtg3mw+x0hhoTrdLnaNgK6tqmTScCedSqaW0zXlwx+hiIq2AQ94gGCeEkqm4ZAZGcMM&#10;gbrCalNA6ClJUGprWWW+Uayj2Tf1x2l90DZAWmvIa+JBICupC8sn8yf1WWhsbOU+L0qcy3tuxeGp&#10;hRV73W7Lc8WwaLVabW9v79atW7u7u2BvdUqTbaiCvUMVmDz2F1tRwsrkWR8pgSq0pSJpfTRbJ+rn&#10;Ry1nnsvlehNZECQgGhswUmYdVufWoAJhnSXRlqB5cStEerXy3UlskMzdH4yGIwiRFNJgeopUTlsA&#10;lpy/i07iRZtImFdBPuwXooOQwGBgjTfrtvoqoNMSkRajU1u0RHhBOZQQhnJLQjYjpJSyMpmIeWvC&#10;vEK+kEqlqQp69XpyZpi0lHSJ5DYFkRSLz5PLjuJI5RoeZWPy7JTm9vY25VORNYa+jPQcL6gDezhy&#10;Bof17CPsOIJ5NA/ZCJi0wk9HzjyXy/XasjNgiDBKDIV2pt5oskik86VqvlThUyhX07niPJGaxZL2&#10;CReJYB7nM4/LA6YJqYRtuYI1l3Nu+pqCAfgApYRpuaiUSoIRtRp6+vESsbl5R73RLQQ502B61jxr&#10;teWpygR6Yj4Or1IuF4sFu8BGoAd3NGAuz06R54xQmRUCTGjMQN+iQPNoCdhAwEDpKD6PNMyjELa1&#10;GmkshZFfm2ogJC9iIwRZkyCKwqU6BSclgE4+5XKpVqs2GnXlcRx86b0GnXbzZBFOsql4MjaLzabp&#10;xCLDwOPuhv3JEHPHUcbp+ckRiWRsXi0V1tfX91UkYBjtpDoDmw5OcHp6+uDBg4ODA+wdg5DKFsq1&#10;Rm19M1esxJIZ9t08npzMFqTZQewm9hcJ1rPv+GrlfNRy5rlcrtcWgdwShFQCNLTDN2D1cEnE2UJR&#10;prybw8NEpeRWgRdL8SCCauBqMrF7A/gmTsbOB16UZX5ebDCXu+ui6aCyvdwxP9OpiXLnGe3I53Nq&#10;ZkpwRUtaqCmzjkTlsy1LOWEob9STuZqKpQtzVbTvyjC52Vy3vQKVSmU+NE7uFEwmGQWs2NnZGT/R&#10;Cz0s0EHRNAlrIVTW65RyxZGcNHVvb29ra8vOZwLpVcv5la1AOMUyJmbH+VrRW/JxmSDcuiPjeHXv&#10;NvoA5cxzuVyvLeOBBV+ipz5SRF+PJ4+pzNaqSB7kYc4pmhv5IkE0SwTygtZRv98zdyXnEyXKY4nm&#10;l7u7ZwJU/FEaJck+nQbyZMvJpCMP09IHSOoDo3E2NA+TZpYxQp4+NFnxKvfnGRtgiZ2hBQbA2+Ah&#10;2RV4BkKWUvdVKJvNgGQ5UijJCUYaxWi0Wm0gx1Ab5+gjaTpFwxhq7DWNZMka2gbk1tbWbty4sb29&#10;Xa/X6enKlRrFzY7rvQwyyYiSyQAda9UaBwF2gEJL5Mrj1b3D9gOUM8/lcr22CL4rq2GRlATBMhFP&#10;ZLPyaOZyuQQs8EXAiLAbbfacCMmEZZATBuFoNOx2e+22nNKjdL07W5io7i3yVtFmzykZvZFcKmJD&#10;MUD9vjEYNhUKRWxUPl+AwZRJ4wWRuqEiT5kpoV6YR5J+QQiWfF0Bz3rB0oBn0jKuQACeeqEolgvL&#10;p01N0iAjHA021gI/83ZGO9hMq2Ek6Nrf3//ss8841oCbRjsr2XrGmOLtMI74PEqj8Fqttru7W1o+&#10;I5vjkmgv2bh8unLmuVyu1xZxH6MAVGw2BCL+EpfxKzl5qmX0qoElSi49V4YtE5aQT568Ja5RICqn&#10;3caEe6IzmwMairLJJtFmzymjMyqpKgyDoZzB62CCJuMJ0R+7KWczZVJillKoiZYL8iS4yx15/LVs&#10;p5w/hCtghu6QDarZtA7WI7IZ81jDT2aMrkbid+Mgmerk9o5iMSuvWU8xwgwI7ZER0sdpQjs7kwzz&#10;aCH5cXU7Ozs4vFu3btGwVatkYFVsyEHJiT7hk9JYz5hAx/V1eY+E0FGumDICUgUb6dHDJytnnsvl&#10;em0RWwGSuQeLv6CCAFouV3Aq8MAufhHIhSaXXx8SCGlQhmc4KpBJ/IV84mMk1o90Top4IInhasle&#10;KAI32UCCniDtY4JIsz6nc0exMrmszsIHCPIQ55Qyhk9UIt+EabMZSAAzMIY2kBdY2v1tdNZOMFIR&#10;fUcRLa5IaZvMmYamabkVkOMG/GUmQy9oEgcWdIoEw0KaJY2kMXQNh7e1tWUPFaOpq4YhYx7DYnsK&#10;k8fOokAyGMhJCN7icTmrq7JxZlNr1ScpZ57L5XptETpxG0dHR/aoRou/NVSvQQhoIcGT+ELclcir&#10;X14k+U1CLUYtU6mUKaBYKKZTKYnyvR4A0jN701AeuywmLNrsOeERFQ+4oj5/JhgjvbIo51j1rCYs&#10;IZZbq+wxY5KQ2C5/5GKgwHlBp+iOnTOEClAEP0QhFA4F4QfdARXQiT4aVK5EuFgtTRxtOpPO5+Tq&#10;I+aUZoA6XJoRi8MLmkdjaBv92tjY2FPZDQmUw3pKIEF3aC2cBpbWKduW9ZRMv8CeHABwFGBWW7Zg&#10;R8yXJ30/WTnzXC7XawsmWSDGQBCCzRJhNUo6XdPCLpFU3QbpS9kAeyANf2NxiMXQpViUuwjwMYBn&#10;MhG/hcUiehPBwV602XMiuJMTQI7lnKgwEopQDsGdhmGbABWVCQUoTd7Rs4zs1jSD3mIBIagXY0Qa&#10;sMFvWgVOWEMDWEmn6CyyPl6VKNz6SBVgCCDZaPCVfhm3GGoSdI9s/FSv12EeJs8eY0ZrKWeFYfKw&#10;4erkMwnEtjSbAQHkeiiQB98YX+2LbCiHAlRpRwSfqJx5LpfrUsESjYFiGmwNzoMwChiIwmAPyIAW&#10;Yi4OgzwEa+hF4FXTYKGTv18y913QgrQSnFkeZ8Wn3qgnEkk7I0ewllAej2vI1mt7EqX1yVszfZtA&#10;IA/fGsoUGNShTHiAaBLBnebh4MhEy21bA4OdA4R/tBIXyJpeT/pFdfwEctiQzbGeDAKiMeTHUbGe&#10;rwY/iP7Cj3btBfpBttUHSNMdytQLl3ICNpPJykzOQoHGUB19p22MMKwyY7ezs7O7u0s3rakr2pkY&#10;UrrPJhjxg4MDPCIjQE7yU4IcAaikC/oMM9LUq2OSfMkxyocm/Ych/9jkxPTywIgv9IgRoD+sYwVo&#10;Z9+NJ3KbvzPP5XJdKg3rEgFXIXWwfFQjDLAobOfZwB4B2vK8piTgariHInJjA5G3XJJH+xOKifXy&#10;FJXRiJgm0V+cmjzRhLgm4S4u71YlmsO6gT0/OpSb03O5LC0CWFbBi2TdoQC5mkWZuCIsJeVQCD+Y&#10;07LrXsioQGZzeIivtvJKRN+tSZQpxdoDr/XGCemvzpJlqMnAINAeaIfJs1OU1hhEZksg0sCb7tih&#10;yWpbPcCQuyzY6grb/9Mpmoukok/REurxH6Op/2zpqHBQ8zvzXC7X5SKE2NISBF9QZzMASazwAPDM&#10;bcg2r6NV1KV8sTca0LPZjF0XJHrBoX6/39WLWOQhdsnhvDJPsKB3JkDEjr7JgZ/YhJiezeKQ5JKY&#10;Ff682JSqWVImRdIRNh+PxeSBh3w+jx8yj0hmiZfaUIBHCw0Y0pirY4baO7qj0XlpkbV1UgsiwcjY&#10;KU1M3v7+/ubmpp3S5Ccykwc6kmBJL0AdFpndxNEJaVbSePYUXaNTFMVXNpG6P2ZpF6K5piuR1l+k&#10;d/ZVgSfvuJc1uqHL5XK9TBZYcRu9Xg/fAPDs4hDR0yIpwfctYqgEd0oDJ3pOTh7/aNEZ20e8ltcN&#10;DAaTyRQ2kJN6JKQt7yvAeooR1FknbIiI6hT3svZQiJZBFlzjQG8JsLvXKaRWq5mL4isl8xOFkyZo&#10;0k0y0E7KEO5ekZShMsIyjUQkJ+gQK21Y6JSdz7xx48bNmzcx1gy7bbLqJgm78sdByZMnTx4/fnx8&#10;fMz+Yq+Rk8GkEBtVekGxlG8bfrySowPpvYyejaEOiRxD8LesFF8u+5pkOiW/OfNcLtePC/djdCGq&#10;EkZhHmuInrgxwuiST6/9XBKLUIRrSdt9ePJKcZlOaAArlcTKwFcqpea4Xs8jinHkTiiXi3hoNJqM&#10;5c4EGlOryeVA2pPUZ2lq4S8Q4VEtI2F/Np1MhXgDeYIXXWBbHB6AwUWRk6rpuOGBX2kVMsdwhcxY&#10;Rmu5vUNZLjNQqJoltVAjTdra2trb29vd3d3e3qYBml84t0qQs6tziw4PDx89egTz8HkwmwwAEkwa&#10;KdnWNn/J+Hw0ki6Yz4u+MQjsU3onf7GDZzKYYRDYOVDkzHO5XJfKwiJL4j6csxNl8AECsR4qYIYg&#10;DcBDhGbd6DWk8ToK2SxkjR6d87fM5CwVq1W5ZEXYkrsQ+gP4JIEseiG7vIKAmE5EoxjQSEtKcnOC&#10;XYdjxaUM1pio0zh1egjcBG0USxfYln7BGBJWEXloHpuACjJIufpGhStkhpVEmXSEhgVBoKdb5WZB&#10;0lRHe9bX143EtEHyLcWA0Ejz32cqUIdaywcFrHoE8+gCzbbuXGH7fyqtOkCC7oA4dhYjhnDtciQj&#10;/2wYmx5HLpbTmedyuS6VhUWWRE+Ad3JyQmAlgrAGwNTrdZgHA8gDHpBu9BqSIK+X1iiQWC/S8IWT&#10;S2K55AXr8iQtY08QENm72DooRXtISyyTe8/jevmthinMLe+UsNKjxHOiVsrU+BhiqMbjib27p4ZP&#10;BLOVChYTPFCp2kg5ccqvrAE/9JcEX9+gv5dJ+h2NhqCIdo3EVQvwWIP1pGENfXI0DSCD9ZGEsr8P&#10;4R4+fPjNN988ePDgyZMn7CPaTAY2ZGTsPC3b8pUN7aDBavzYZTvY/o3SqVk40x0aDIZyI39LHljD&#10;YIi63Z512JnncrkuFQGXJfERtAAYTB6hhHiKqyOGyi3kxSJhlNBMBqyJbfU6iqLWD0SZSZ06j6ci&#10;TUAjTrMebzcejwj0hj1qJIIDyPX1DYJ7sSi3wxPShY/65BQt/IUStMipL/F6Yg6ImHRW2Sl+CNCS&#10;gSogCiIt2yznbdqwXKEonwqkVPkjDQumMqTUxSBweMFoG7S0g9F9IzSbEWC/wLzHjx/fv3//0aNH&#10;9iZYusM+AnVYQ5jHhsiOTlbM0zo/Cckxk4yhns6Uub1jvQqrBk+eXMPBEaZ5MpEHozvzXC6XRE/i&#10;YPTlghbx+GAcnDTb551+s909PmsNxtNsoVwo1/QVa8l0rpDJlxZJee9aKluIf/+2s9UnKu45US/R&#10;SmctmnMSm0d+iGWnGVkJ+Gq1erFQhAF2Eg/Hed4SK0NO8uAFC4V8MiUwAGBQA05gyai4mMtkUxQ9&#10;Tyxmqfgik4zzIZHC5gXjUb/TbZ0Nuq3ZdJTPJGtlca5bW1swz/wcBVIpyCGewkIS2mARP9FC7cTr&#10;KD574Wc8GSzmQTLFYM2nwXgw7PQHHawsW9BB2mPEUvzL/EwCOp4bziGM3eHhoV1hjSXTyUwuX6pU&#10;6mu1tc1yrcEOYmWxUo+nZH+lsnnWzGKJkF2bfu15tu9a7Bf7JGOzxCLkE58HfGKzKR8StpJfl595&#10;DGs3HrArB912v9Pqtpqts5Ne+5w9Ox0N+LBmEUwK2TQ5qcKZ53K5bEp35F2An0nC6wyvE93rPdRn&#10;PKbTGXl8pbyRR0Iw+QVTkQvS7a9GYndQQp7DCfykungicS6XrEBeE/IJdbKZYlFuDdTKxSVFvnEp&#10;8qz6YrKv5hTpEfCAnazBP1GFPbUSzFCendjE5NF5eroaoqvtp4kyGUJaC8/Eoi4fPQNWoR1mmibR&#10;AGs/SyAH6h48ePDtt99i70if6TsT8vIWeLkxkY7Ab/oCpzOZLKVSspSo4yEDQa0fns2Thqmi7zoy&#10;iEMQZLvApDskun+RXcluarVa+N0jFaPBPxX+kfAThbBncb0sSTvzXC7XM+ZZuLG4Q4Acy7vLu4SS&#10;45MTdRJhNnqIZTmflxmAck5J7/YV5lwdDCjJIjN+TYO+vBUhmUgCKX2CdD+YBoQwDFClIk/UXMZC&#10;Q96zZliMj75ov/jKSqhizJOi1FPSqRp2Uh9TQsnkIQM4RAwCa4i5dmJzVRSy9NuLkmm0VKpXFwGy&#10;PCNNz0/KOc1ymQy0hLCuF6fO2SOyU47ZLSc2V4WGMVA2INYRlnzN5nLpTNrIT+cZANll2vCr211X&#10;Jm2m7nhtYrRXlXCWYP1q97Ff7KgFtvGPs62PZ+MrP5GHTRg9kI9BZyhIMIZSphXtcrlcq0BDgtBD&#10;4Gh1+wcHBw8ePDw9Ox0Nh7iuWpV4KsEUDIAKIguZ2U6uvyWSbGVFvaVogxYl0wuJgXjNVrvdlwtX&#10;Z7SLSrE+WBliu6GXLey/JXp1EYvLOUyNoXy3pord0aeu2DRUmMd6CLG9vb22tnbz5k3rFxkeP378&#10;zTff4KhIY5jo8upSn5WO5vHXvD0j/uJHhhLRaVsQBv2+POYGDQbC9Ts3b9G2zc1N+kugt5jOfuFA&#10;hIhv8Z3GENwBHstMvkj79b0M8h6JeEKeMqOc+16cj77IWeUPzPbM5IXv0c67sFxpBTxkDo8lQwH1&#10;WU932DsIwnGMYv6YrVhjd3rIscUPxsLlcl1PWShYhRgCPTo6PX/85PGDBw+IwkTOQiHfaKzpSbMy&#10;8cUi5nJD+Xpl8SRu71uAVQnsCbilARzOn7daWC1ieq1WrdcbxWKBBuPl8GC22Q/iZDoRGTJrKhGT&#10;Tq3gQZmES+Lj7u7u/v4+/UJsjDAQMO/bb789OztjK3BINjtVSDAlA2VS4CIhp8teQ5cwDxcZzmZ0&#10;s9PttFrtXrdLNMec/eWXXxloiexm8syY8itb0Qz6BeoI7mLpstl0Th5eQ2RH2mUGQhoKU60ipO22&#10;5IWR+kCkzEPPN8zWMA7gjUFA7DsZpeWr5OmvHQkxFDZtB3/M0o7egB+/yrBYcS6X6zrLwBB9UTYQ&#10;9AHD+Xmz3WoNBwOAR9QgmhD0sRMpeWivuiuJRSLKILZE27+1BHiamM3CiRzFywsWYBvNoGoJ8RrO&#10;rBl63ktuVpfpMtaW78tW0UFzBsTKFTz4iXLgyvLSl9xvTvfJwwiwJA9fxUItX03HJjZcyMp/e1HQ&#10;jLZNJyO5M0ImpgI8GVPMXxAAezuZaahGZGAr9gjNpvEEd8ZEZS9OytILWqc8CAO9eR/BCCk5DOVZ&#10;lHor94cmhvfiCBuuTIyD7RQbARL0iCX7lM6yE/nHaaPBgQvHKOvr65BvleZXslGF+zyXyxUxj1iD&#10;+AoPiLDYoIPjU7tilE6nCR/VWq0sV/Ly6XRKI4dMstSLaAIp/kslX/tRLC8UMY7QR5MI0npTcV+j&#10;m+CHuF6jGWV5CLVwV6unFdYc1bOYJvP6lmJbgibhkuWTJ0+sp/Rra2vr888/397eNrBZbAWKjx49&#10;evjwoU1guXPnDoBR3kfvf0dSaPI1p25e4vPYAVTaXt71T5p1xOjt9Q07O2e2xnhgg0BL2BEsITG9&#10;sMbPojfxydBBOwAP4q1HbKs5yUV2e8x09DCXD0epuOwvOx0tZ6U1gegGvTDI0Rc9AIreRMFQ2PEK&#10;I8CSNGsYGcYNPd9B93kul0uYsYoOHDgTVvAWoM6MBWsIkQSUkkQTedUAAV9mQoC8Z9tKlLIS3l5S&#10;tEjiuzoze2H6XF5KuwQev4qzjM5b0gJthXQi6ghFWNxElIOIm4RLekePyE3op1OUZoGSMslgeViS&#10;h0KMKFRh0jq0cJWl317UpfUKo1iQprU0myMPjjlsIiI7gpzEcdqMd2k0Gngams3ugI7WMMoI9bVE&#10;DAL7YxpM2Qpst1oyv4N9qrepyTUwNdJX1v6rko2w9cVG2HYfqKMXHBAwGowJaXrBr7g3huLGjRv3&#10;7t378ssv7969e+vWrd3dXYaIYaEQtmUktexI7vNcLpe8MIHITsKQQEzB5aBmu0vsJaRWKuX19fVq&#10;tZbOpIlGyavzc4Q1EvJSBQ3cVMd/pGnScDgiTBO1gzBIyOOCk7VaFQjJqxey4lYIkWxLDCMRRUi+&#10;WEzTwJlOyAMz+YEMdA2K0zVKJnpiBXCumLydnR3iJvCgZEQ2u+ONzCQwWGT77LPPiKHwhgyUTSSN&#10;Iudr+jwOJ6yFiWQCTxyn2RrTcTB0U2ZktlokZnp1ig5PhyN6TW9pLXGcJc2gDdCOBOvppRYg+wiN&#10;Q7HagIOBBdzsysFALDLlx/V5yxBcN8zwlwy4mj++2GDSqdlM7tTUE9dXIMo0eNlXoZmKXWArpZtS&#10;10Luo+BAZC7HGdoMEdnAMwkGhiW7BtE8Om5mzhweh0EXbzLRqi6V+zyXyyWn0SxBiCHmEu7b+lxN&#10;Ax7ejviC35FwJZHryuKGFEiRfNQ2Es4k1MlVNwwKh/adXl9usVrMgZbM1yDy53J5QjaR2poBQiTk&#10;k0M+xEsp1YBnxSsL5CGTCgB5RjZLfiNuQg6LldI7vRWB9YwAgZVKCbh8ZT08kIKWwXQVwd9A8IbS&#10;5NXkNN5K1O53ez2apQZU3m0rQ6HDIUDSW/RWF6uI74imMhrWKpONnp7ZlELhm26YK8qGcrWS/jK0&#10;jOf5efPsrNk6P2+3O5JbnsvMkIccWOjZYxlObewVSPanlEfbaOAzyRMDQKxkkK+0nx4xMvSX9WzA&#10;LpApS+fnx8fHHH/wr5GDFcaHMqEdh1/7+/u3b9/mWOTmzZscuNBB+qs1/tDY/UDOPJfLJZHClhgC&#10;gGcX8wgxrCGUlMuVMgfR2RwRlXh6hXPfNODbQr5qcJSbsQl5kKnT6YIoGEg0JO7jc4pF9Tp6EYvG&#10;iGXS64gWWomeUZlaNv/ZSoIgfSGGdpbvucUQwI/NzU3CJTbOmEcjyE/0NzpahKVqRmAFGCl4ib3V&#10;11eXcFuKEeDRauGrzqkhoNPTEcwLQkoHALCRbtqZTIBntGOJyvrUTfJISSpKpknaWXk1UhBM+cJu&#10;ouWFfAGPDhIYPRwVv2H7QD8d1POcwnf+IH5iZPTowRp7BdLybL9EhZLkK02WVconBgHZXzTDBp8B&#10;YWfxjxCR4Ce2pTt0ZGNjY3d3F9TBPMi3vb1te9AOWWwctKoXy89tulwuOQFIyCDiQDs7s0esYeU8&#10;niSgbGxsEjftfCaRlMTLw8qri4goUVBZAA0oFneFCMPtVvu8dU4g5rhenj1WKuICoK8gTaI8H4lu&#10;Io2jstYkBcuv8tc8CqMAz6aH0E0KJHQSK2/dugX2zB+YKIycf/jDH+7fvw8d2ZBmremL61bwW0VV&#10;qnrdexXmi0D7KxtTCG2DQFAP48VoUyNLfsTIgvgsDZvJeTyYh+walaEOBtASi/IyAippWDwJxvhb&#10;Tl+y+bKpdIT1ArvhEMZJRhlwvZtN7+eTy7QcSUiBMnRXeO5ad4nMq40ORVQ6hkpYGQ05KGEooPV0&#10;KJNpaS1DQYLG29Z2BZcdxziQtiMABgT2UxoZrNiVnl+zkvs8l8slZ/CIO8RfIr6d2LRwr+6qgLsi&#10;KqbT8jjIaIOrUgQAgpT8xTfCHKGQ4AwJ5nJmNUWws5OryAIlf2QRGQgJp5KwCTVanIZUyQYVWOIb&#10;6JFdyQNdBE17zzjk4ysbSHkrjOntAYoiwQ8lGF1YStkar1lKJL48sF4m2sTmti1tpArsnY026aU/&#10;S2Kpy3i7WhUw004OOyzo0waaSvOsMbTZGmNpfkKMG7DGNklD9Vear7syV280KFDOBFarqWSKPOfN&#10;c2rH9kFEtpfBXKL0SsRxjBaoLeAfj7xDQ1rKZzkO4gXpfrfba+m7kDjqYom3Y0BoCR1fX1/n6OSz&#10;zz67q8LhcRTCaFC+dRnZUGiBIqv9hXLmuVwuiexEUqgA8Ag3QII4wko5J2YzA+2cnEKKsBVt9tbS&#10;Iu2SkrxAR25Qk/nog063y4E/JIZzuBDIRNgkfJJNTpZp2ORvCelq+y7KXATttxNi9EvP48mNXJSD&#10;VyCM4tsajYbFTQuXUuRSbELAJT8NII/UrszTwp/pB19fRYR/tqIuqgBz2lnE32JrcEOYrSIHGbg6&#10;maNR2NjYWM3OoBnWBlprDaaFtDYqWgGAWQJ4crgg81BElCmNt3fwFsTglivlgpzL1Rv45s/ue6MZ&#10;9JpClhi9AtFaHST5I/tOxlbe9YNYUp0OgtjPvrwFQe7H4Cd6R2c52MLPgTeYB6oRe83ORdsRAP0i&#10;G7IzvXRW6/wR6fGRy+W63iL6cHz99OnTo6Ojk5MTIAFs5ALS2gYWi+ijN+TJOSgyayC7msNlYrKE&#10;QsGNYGA4GvZ7fSHAaJhKpWUKhgrsZTJy+7nyTIKW/JGzlxZShcSKg4QAVGGgPJCXJ0Dx8/NzOsjP&#10;FAVFiKH37t0jUOqJPfF5lAYkENlwuv/+7//+xz/+kfzEVjYh8hJniarIcrI0osxir2mJ4nKuFSzR&#10;Q/7AGYZaQv9kQkvkfYHUZ/MzNabX5VyuyLZe1a6NlSMP2kA2EoKRIDjvyDVLxgE7V6839Phkkc6k&#10;p/paIhtAsoEWGgB1ut2OFLRYQAwooucOi9ms8FUrfFtRfcQ9vUFeLjXK47Nhs7ywEPBJo1kr55/F&#10;5uZlMqnMU+WfHE2B0CzZTYw/1GdY6ENUtI7GamRW0t7IBdHo+3Ny5rlcrhjAOzg4eKKvG+33+wQO&#10;gAcb8qWKzlvE6CSUNAQUyf+SmPJaAqUaCuXYnzhs00wgAdG5WJJ7zyvlMrFueSD/zOKoDHsiOYMm&#10;oZWACJhhnsRSSj49OjDbSgkADM+EUWCJaWALViIrgWKhkc3q/O1vf/vNN99YqCXmwjxIpA2ILuax&#10;FIAkk+Hi9di/WIjpbHfa3U4XdwfttJ340TiosydDU6Mhh2rSy2ML6Zw5JhVbWTNog2VmDe1/8Fj6&#10;y2jt7+9Dd9aTh45wACClyDdKIKGFxePHR8cMO50GQhRVKus7EQtyG4Dmf1vRNauJikmrw5M7CDvd&#10;DpznEIcR4IBHeqI7dGtdZqPYQQZil/GVfXRxZ1leElpyNCBSmUqK0fmu0ffn5Mxzua6RoIuFA3jA&#10;//uEOQIEsbLZbP75z39++PAhh/+sJ4gQ+8BDtSFx8+1FaMNTgU/iFQf2VJpMJfkO3ohCREO9MwEM&#10;DIlnAIwj/VxWHnWGcrkseCHUsdVsKnMpLcwhS7OkC4R+Wk5M5Sv9ouR2u312dqZQmfErMXRnZ8cu&#10;49E7SEBOymRJSCUb7gfossn9+/exvPy0tiYPFyUnmCTb87psDsuydbRaqqABiAQw1oZ1MFg4PX5P&#10;yptxxdngY2R+bLmMzVsFdxrGVrZHhLjsOLFJckc5xygM6dbWNhXJ1bj5jKVetpQX6dUbjfW1Ncqk&#10;fA4saJEeNpBY2BxJhpOV3V4Xr4Xb7PX67CNyqrWVS4lC+OWDWlgq8RPzQK5xPi/+2VC6ia80mGYj&#10;vrJkbFeiatbw783Ws+NIMMKwTUeA7kf327HUEwwvHuE31tWcoHC5XB+FLCQhicn6FCtjA/ZOkBO9&#10;IU8faKnvKbXMby8Nu0Jci7YEUkIpsZzPeCLP3Gq18Jc9gqBE52SS2F8sytOkohhKs1RaWCQCa5RS&#10;aJlIk43wTV8QsZgy6SnxlB5BO/UPddvqoixMgz3zXqTZCvYYjaJMryx1MxLcKZivWriwyiZotNot&#10;rBX8o3eFYkHvu5M7EAj7DL6dN6ZzL/EjOs/o2VNyGF6dbCRX6eAHYoD1poWoI9GtACKZP0Lx1ALG&#10;CnK/I5XK/Y58JadAejGf6oU9dhP2mcwUAmWjul8kRomW286iEHYEadbQcapkVPnXRcePjo44mHj8&#10;+DG7hrZRKR3f3d29c+fOl19++bOf/ezevXu3b9/m0ATgUSZF0QxktVyJnHku1zUSQcQSRgiiCcHo&#10;+PiY424CKLGJIGWH23ZOyTK/veRoPYpfEoKpmhiKw+D7cDBsL2eK4iWoVy6h6QPG5J15ek6ViKs2&#10;KZqYFxWqosGIhMZlsUQEWVAHDFgCMH6CBnDOTBvFKleeFWJptmVDtiIcm/mgkcCDyPsG7Lee0hw+&#10;ek4PBsspxPNzQNUdDYesxHXBqapguEbbqtVaoVhMy2VLa9vLGEM7Ea601+uCadakZCaHEJrOgmkG&#10;TC4VChHlMMKcpiJPLnMyYNQixC3ASvqHcmwLqsg2GU/kloapOGb2Fe2gNB1brftFomqGy9LktM4j&#10;9injaaes2cUs+315Lgz7hV8ZXpiH87b3WiC75W59fZ3dJOTWCTvktJKvRM48l+uaioBCbCIGATzI&#10;Z3ggeFkIBAz8ajnfXtRFIOcPcTYlL0OQc4lEZMLfcChwoi5iHJFOLE+1ms/JUz3NN2jwFJhF5ai0&#10;1GfAYykBXUWctcAKuviJvkCUbZ30T/lW5ipAIyuNKtjWwjEJ1mhT5WImS834GmITaE27QA69k4n4&#10;rfNm84wm0VToUgZ1DWBXJ4Gp5gN7MmmZH0uL6BKtWsLvBaJRNI6iDCoTfVsCAqIcMWQyaXqhZ1B7&#10;+FbGVvuopcmAUXyELyqhewxRqSSnNCkWhwpHORChBP0HoPOFRNEueKGo2vYRYiu6aUjGj5pIk4fD&#10;KfbF3t4eTg6BOpYbGxu4OprNsLDTGXDbR4hm216wr1ciZ57LdR1lIZ6IabGJA3AgRLhR3onT0qP+&#10;K4sPHPaztPhFsdiN4Ugu4J03oykzZi7LZXnWcy6XJ3QSQVmPNEn4kwiosfuHIrNZN7pAjyzUsiRq&#10;s54CibNbW1ss8UBkI//z5VCRbW5YopHKLbmgxdco0yvL3uZD9MfeYexoz/k5zDuncAoETGuNtU29&#10;D6FsFyx1Bg4bGsEFUKJLxx8nV9B3BlHFaDTEmZFgW72PsQCpl4cUgxEDLRdNVwMoNfFVRhirHUhn&#10;IU1J7/Vmp/OvAj/K0OlkUrlPXLsvmzBEUveLpLVHLpwEG7Nb7Xoq4l8X4GdIK5UKnMPM/fKXv/zF&#10;L37xs5/97O7du2bs9MIt9vTZtc9VgSiq5irkzHO5rpE0fsmS4AsVdMqDPPWKqESgMdrJdSEVEdC2&#10;envNoof9yw1hI52f2ZN6WXSmQUDsJuTadBVAQ3CUqKez+ZQ2FvSi0KcxMAqCkkEFn9jEHB49MuBZ&#10;kLUJEXhH+mXEZXOWtrmVg4x5cMKYR05IwJLMF7O9suRVPsCGDrY7bXFOw9F0Kif0qDqfz1Uq4mjL&#10;ZQn06XRGQrxNQ9WeGmPk6yVilHTOR44x0lO40WPSkjIdJsMwUqaeFpZXzINbwdc0ACiUqaMXnTM0&#10;f5ZIJrI5OSlKgRyW6C8yI4Ztp/KEbg5W5GFpuvmLtRpPO5Ci47YjWLIjWC/Wtlyu1+vsC7N6wM/m&#10;0LKPqNpsPeWwNNmesvKvUM48l+saycI3IY1AifngGNwsEcAgKhF9CExEHwthVygNoxIQh4OBWJ7z&#10;JpWOx3LPHKGb6F+v1/TcmpzXQmxCuJMIKDGQ2CftIb6T/wdxkB4hwzZ9YUnAZQ3w3tjYwFIQXgms&#10;RHM2ZH202XOSMK9PbCFkk82YR3vebCiG+i5vnZvT7vd6cJRyMGe1eq1ak+kqWD2+6mlerKRssuyv&#10;COQxXGaOXygaBic4OGFTdiWODmCznl7QcgqvVmViDFUwyKenJ91OVx+2gh2UaTVWI93UuuQbQ5xO&#10;pxgljnUol+ZQIJxmc7IBQjJQuGx2idi5jB67oKmywyl2HqVh427cuHHr1i0snT1WRnbqEmk28hcL&#10;l32sir5fqZx5Ltc1ksUR4gvhD+pACJYETeI7kLAjboIR8YswTR7b6u0lFkbfYkp07nQIhl15PtYc&#10;Zxk9QBkM5HTWIhiANRL4l0f8SgWaLdyMilt2ZCWLswRcwi4BlHKwd9vb2zdv3tzZ2aFfkMA6hVbh&#10;9SICSbOeoSDWk6B8qmYrbcBrx0l5lgx4l8uKcp6QwukUiNra3FpfW6c94qhS8sJbrdaemSI9lcmU&#10;sMDaI3x6sThAYU9BKNoJlsA8dJoGU/w0xwcUzniWy9SSDcPAHtVNHqwbg6OdpgYZQjqYiIsdRHxP&#10;ycntHMgkzd5hrHQKjKCRYsGw1f68KNb+RekpXNkR7GL2BQRl57IjAN6dO3cgH8zjEGQ1qlb1ShTC&#10;+Gsjv7drotRVyJnncl0jET4I/YQVgsvp6enDhw/BHtTRc5lygE8aEVKJhpAj2uw5WcwiaOoMBwwY&#10;4ZDAJHMUjSgSUAWu0XO8jADERGTnD/kdvtVqdsqR8uRNAlbjVJ4nac/okgkRFgGJuTCIwiWrXipj&#10;JW3Alh0dHcEq+sVKlhSCsdja2gJ7GAtiLn2hWJb0y1ws2VhjCURRNAlrQoKoTZvZigGxjpBBGyMH&#10;ClRkXGQNFbGSOsEDXymf5WQy7nTa8gCw5eu8WUmlOrZljPTqHgwZIAvm5DAjS2nSCcZT2kaBJPhJ&#10;R0Pmr5KfDTMZAR5kIr+eGZZm9LpdapQbHBdzUMfP9FWHCsOa5gCGo40udq8rPjgI5H4+ttLybWdh&#10;giFhdHsGfR8NR3CLlel0RgdWLvfSFLZiQFhKq3VwtMCAPcu/Jbsgykq4C+rsQMomzdppTOs7A8LS&#10;SpAmLi+d8iu1WFqHRnQx/fZy5rlc10iED8I6EYrYRAQnNrGSQEasIe6QsAzIMutGL5BcfdKpJRq1&#10;o6gpCfno5SAJqdHRejxBZAx6/b6e0uyyBg+il3XWZL6ivgeVsE5GyS0Ylb9eLiqkFjpChEVw1KwM&#10;68GVTArUCYGW0zZ5oWihlYMYDYI7K403Fnl1MGR6JKijfCoiQY2CJgWwAGlJd5yWPmokbLVb4AX3&#10;RTaCOLSjv5ubG+LkdJBplAye6aW3vr1Q0IpigBloYd9RJvVCNTpjDaMiXCCMYZDBP02iBzAMBwba&#10;6QVrKEfbDwX0rK/MqpXbMyiTrrDL+Gh/puxN+d3OvqroALXwq40Jx0/m7SAfY2WHHZjsL774wu63&#10;Y6fQTm25IFM78dPImedyXSMR2gjJRG3iFNGKmEXwIswBHiIdgZ48RCWysV6j4YtFZLVspAmFEfA0&#10;Jko4V+4RfCMMQNfJZNAfEBJH4zE0KZd1pr7eLYdf0VmOWldU4MsoZfVawKUXBFloR4JQy3qMhd3v&#10;ZRM1Lyvq4nraaUijkaRZQ8gmQJsX4auFaaojGxUhy0zvFPzSIjLg8PR0Jup12h36CzPwMFiuSlVu&#10;wsPomKONBpbm6rYs5evriM0oRM5h6twfdtxkOsFmWSMnE7lJgx7YhT3qTadTjCy/sAuwoUomcau0&#10;UFmPb5sxIpRDx/nHQKMYIvaGYi9gX+qAyc0tNJcUS/uHRG9BHeaYJV9ZyeixZ3HYd1Q3btyAf+wX&#10;67X1mcRPpeSvfvWrKOlyuT51WUwkPDWbzbOzM7BHZMcNEJIMewQmohIiM+n54sXMEA/HX2rwNAcL&#10;WaHxXLBHKNeYOCb0gyQcD1/Jlc1k5W40qU7mK4pHkSkqEgq1BCkP2F5m9fSEYHT1CPYQ5XEthF0L&#10;tXYND1ehDlJeB0FmLVED9gXOUZ2FYOMZ42AGiNjNV0hM1GZzygQDrGFbq5TRYwxJI9aHQjswIICH&#10;KLSk05VLpOPJmGGgd3RW5gWV9B5/PXOr42NHBjrQKrW5ryFBlJ4VhKlR2+RkqtwPoEThJ5K4MRtY&#10;KpUnvbGeX00cs5gt5ZCEzWkSZbGUPRmL8ROb0feCvKRXJnPKEVAiPg/lpQdsTtcZCuH7hXvMKQEA&#10;Y68BHnuBMaTX2shn5ypJ6Ag82xfvWc48l+saiSNxOzYnvhPlCVVEpWq1aqfIiPLEIw3Ckc97CfPg&#10;nYQuCV52AlAiKZtIYI3mrI+wYF1hgExnIIBWK5VavVYqyvVCcAJQbFv1OigKiIRr1kQ1fV8pOU2K&#10;o5JZG5Ab5tEXgMeGdvUOh4etoVOUTqhlE23h94BnsjW0mc1pHgMCq1iyhgEhXtNgRCEggQRL4YNi&#10;jyViJKf6PGs2gXwjueNQrmnh8wAIo1kqle3d5oWCvsVbH3BKvVp1BHlpiYJQk68qxoyRUtOYpCfw&#10;V+klntpOWurwyj2LVANiZEDk1gs9J7mQq4CjIV6/T1fYhDz8RB9l79OZxTwjE4nE7Ob14WT8pmZ+&#10;wTEH+4ldQN8Zf4aLJfvChgjgYa9tfiYHUtYM7Wwk6bkq+v5T6PUG2uVyfdSSgKYH/igKP98XUY8l&#10;v5KNzJbzeVlmk+Ul6hmNiIZ4u15fTjmO1AEAlWVMLNdrNaKhPHNEHzktfnHZJClJg+GygS8Q1VEL&#10;QVbOMOo5RlYS0ClzXd+yRswlDbypzvKbdOsXSKK8TmBBNjgCXZ1VYUOBSFhOVhLESdAdC/oyKQRU&#10;iiQxGMoLCvgVYIAKTF65XKHXtJBNpRlRJ7WHOmeEOqz819KqbbQUMsmEFrmvsqDo5ZimN5TTjLhQ&#10;uekCbkmefF7fMl7K5/KJeCIIpoMBuRjLEUcncvu5Pvub5lF0qSRvUDJa21AwMoFOXVkBD08M4NkL&#10;7GJaQu22C3B4m5ubVMUwMlxsTsIaHLX+J5X7PJfrGolwTNgivptPwrIQkszhkWBJeBKCrWgXv/Sc&#10;mwYxubsLRlGsak70pGQhQE+eKhkq6uS+NH1FjqKOutJEQdlWT2ZSDgHRYmKEvMuhl4gvDHgSqvWJ&#10;ZeDErh4RZ9fW1gSo+qTQyyKsFc5SqlMxGkYtRoMlayzck6BVRG1pkOY3FiIL4iwDfXWt2abhILo+&#10;mk5n1tbWwUaxWIIZfCWzViqQ079ZSGO0CvkTOb5XFluxlAIFo6Tlqzpkm1c5o0DaHMpbiuQUJXm0&#10;N3ozhPRCOqInb603SH8wiR0kr/RXtpFJOnL6NJgGA7m5Xv7l4PA4pmElhUA7dgEOe3Xpjn9RbGb1&#10;SnMviFaxfH79e5Mzz+W6Xloxzw7SiU2ELUwJwd2YZ3ksNsUuu84Ul7uYiYyELjkXJjYPmso93QR/&#10;OZmppxwJpxiQcqm0s7ubzWQ15NulJkKznCqkRompuobSqJOKKfCymBhfzGk5MvvImnK5DOru3bsH&#10;7Qi+RNtVqKVJFKvbRYo6dSHyIooy5hn8WE9RFMtPbM6wMBraSHEtdnxAwjQay0NbaMlIrNKYxvMz&#10;0MXu6FnBqDHk0SGlHJ2bas2Q4dNK9A45WfPKYsSkzMVczKIWw0r+zmVz5rZZyvwUNa/8yKEGS+tF&#10;Kp2ikTlsnzyJjTVGRLGMIDCtHGRLrUeLXQ4mK0+Pj0AdYhfQa0aAgeKAZnVKk11Aw7Q0OY/KkNIA&#10;KwRJkTr4q/T712t7apfL9fGKqIffIkgRm+wInwBEYCJ+EShxTogEKy3EZ5KxVHyeWISLcGKf+DxI&#10;xmap2Dw2C+bBeDblMwrGw1G/25MpIK12q93r9SmTuCY0hRLZLLEUEpSK8qgt4qxSDdZmCYiwEl/C&#10;B0k0FOdHQJcHYlECkXs2xyyKL8G68JWSaSSejDQrrTswBodB/KXNUVcFDD8EtsRdlf1EdYg2UKZd&#10;pesNx4tkehZPzmKJTL4US2aGk3CRSC0S6VksyfpEOpsvVQrlajpX4Fe2HU/G/X4PUwu28nozuHpN&#10;mfqBwWUEYIxC3aI8wZ76BfAk2ERH4NJnel0m+k7LFZl8WzA+5XJpY32dsZIXD+blvQr0iLGlHkYb&#10;2401Zi+zAU2ieTKPCCuaSxeyqVw6mUni6GeLcDqbjKajga1JJxZJGsje7bU756ed8zPqxeGdnp5y&#10;cEADGH92K/1l/PkXxaiyrymY3tretOMD1ltDkXT+9c/lXqGceS7XNZKFnlVsImCxhljf1HcJcfBO&#10;qOJXoZ3KNrE1tpIlXwlnhD/Y09VbvvRJwqLxWGgEQshAzhzRV96Q8EbP7TTnI9ZQksImPTFr2GNJ&#10;M2g/oZYqNOtry0aDplIsIkE4VtMUBWhRlHzWBMGzZJbNZc6IPMdSjCAO0ADcaMg9Es+KeWbhLhT7&#10;blSryrvWG/VGpVJlZ7Fnz07Pnjx50u10+70++wuvpo93WdAU2sfoCfz0YqDuKbHdtJx/BjbObALe&#10;bBefnJzg8AycDD452YRDjZs3b0J69gV7PGrHByxnnst1jaShWAIW0XltbY0AzaG6+BuVzQoxohDa&#10;SCASfDUkWCi0NWxFBOSoH3NnIjLKaceRvcTHXtMqwRS+RtW/uiJbsJC/SEdvqJEmUa81kghbrVbp&#10;gp2HNOlWr6RVZuuXUi+6x1w82fJX/csmpkqKPDICMix217b4rWRSnlTJkKrHEyk4KMIKibZ9nda9&#10;oaBXtVJpAL1GHRtHjexTDmjYU4OBnJDEzdJs2kNP0/KmWRH7yJjHPwZabUPBXjbgrXYx5bDGjorY&#10;p2zIyNudCXSZqldDavrB1w9Efj3P5bpGsjC0CkbELxCCM7OvFulsjdBLL5shQZ+e/WONXMzp90mz&#10;vIhJNhQiLmJQkeKJobVavVKt5rI5OBLXZ2u9uoQ50TNQ5gk9E2ghONQ7rzGX/ADwtvWteARcQrAZ&#10;FBQV8QqyzHQBWlMmVYwnU1wp9CrpA6+pnQy0X04Sapuol74Oh4Oe3ghPkwBePh+d0mQzaYneP0B7&#10;rEWktbaoV1H6bfXMPF6UuU+5amenU1Wk8ef8qsct4lD5BbylUumEvmaBDHxhSR47pmFX2i5mWFja&#10;LuafB3kogpFhhBqNBoO/tbVl93XY5ogMLK12W/NBSXZhlHS5XNdDBC9CG8Q6Ojp6/Pjx2dkZcU2O&#10;7ZfPViaoIcIWEXwVuYiDQjW78qYiOLIJPxFGbM0ikV7EFhm5PbxOQCQaZrMZQgzcskJeUUoKmecC&#10;bGgP8XOgj4ucDMVZIpqHvbh79+7Ozg6GI6Pv1KbB0fY/Jhps/SJxcnJy//79w8NDInunP6S09fV1&#10;7EsulxeI61UreirTF+UVfdNer4/pabdbdoWskM+D9lq1ViqXsssHyujEEMGP1SIV6Z/V17eUwfh5&#10;QTWW7IK53jioxyoATM5C2w5iaNkjeDJMaS6XFejpUNjQsXM5xKFT/Nvg+MaOaVipZYvY3RTCEDHs&#10;jD+jxC6Gf+wj7asdpkiBKNrmA9Pr/UN0uVyfgAhwQMIO1bFKe3t72DIoQkRbOTwTIc/8nLkrZHGQ&#10;r6wnOFKaMkkiiSGTuC93gZXkbd3EPQXea4c/i5gSv9UmcWRu4ZgGUCkQyuVyGrijx3VqjP1eLRZ8&#10;oy/P6eJPBHEDOe03vwIBLpQmLSA7mIEi5n7QcDiaTib8Jj5Pb8Xjv4LcjJFhjUzAYUzY0HohpUhH&#10;3rVkvozOmOGPviRBTj/WajUdJbHC9JEBVFvOH7kmykpGgxEAj4yw/QM4PT1dXeIlK1uRjcxUQYLS&#10;7F+O3YfHoLGePDaGpH+wLz4o+blNl+uayo7NCViEMAIZ2CNe23UalubzyEBAJJCxJM0aMYD68nGC&#10;qV1OI+qxIRnQbB7LywtRK2VMj942gNJy7/mLfclloiqW+vBlmUHKEsb0+v32eZP11oC1tTViLs2w&#10;diLd9JmszdGX7+viT3CU+A7LxdDE6WAGdBUKRVq+OrdJ+wnpo/G4q087g/rEdyCAvZMHi+nr3emv&#10;NFVL1SZJYkU8/fbixryRnjH7ogCTViKdE1bLLrM/ejIzncrI8944YJDptHJTgpy2lZtGDHUMgh3W&#10;2LEFfZaNlrOWyEk3+XeCD97d3cXk2aGSVKPSBoi0LR+onHku1zWVxSnCGcSyWAbtbMkaC15ksAQi&#10;uhEoJV7mcjs7OxzpQx2WdqRPTKTMwWhMGSCPcoiWFG4zQC+eH3sVUTNLQw5VU/RoNMRyts6b1EUz&#10;KL+ub6ghYR1Buun39MKViGhOsZYmvp+fn2PdiOmxxHJmB+3XN4aTAebRO1zRYCgGFyZglOgazcDr&#10;4GjJnF0+tm0ubwKa27nNpZnkr8sa+MZ6MfMAM7VSkdW3qpF9Z7tPeyb9k3sHcfZ6/nOkzxxnBBgK&#10;E5vQHXac0ZE0gwMF4RwHGTAP8W+GChgHq0arE2mFIgb54tcPRH49z+VyyTyOiT7EUs/aDTnqh1LE&#10;LA75CREWJYhuq6N+4h0idJKHbbE+LX3f+kmztbYmD6BS+yXxjvy4R8Kl1vOqymYFk2o1xJBNp5Nm&#10;U6YOHh88pmTsHT6DWmAexKU90WZvpCdPnnz99ddHR0d0M5jLY7cAOUBVmkYv2JvNZ8PBgCY0z5r9&#10;voyJsf/GzZsZYQlggHnJ+QKIyGlSsLcKrMuoL3+zoZx15GhAH31JLn3p0hy+Wqa3FDuRYaclUErH&#10;n480hHoFR0IgWUONqkU4kVOXK+ax6ymB/rLX2LksyUQG+weAGHx74zn+HhYaDu2nj0XOPJfLFV3T&#10;AnXIoh7BjvUW7yxNdIMuxEESLIl3fCVQHh8fA4xms0ncnM5j6/LCtm2sHsAwx0NmsVCvI4K2PGVE&#10;rhCJvaDk8/OWPFP6/Awg7amwGhV99oqG8tcWnaIjLB89evS73/3OmJfMyGVCgFeV527nwYNe+pKJ&#10;mv0+aIfrfVpF32EtzNve3oFe/AdgaCpjNx6NA32ICUQhp8IGyMnhAuNnw6ISLyYsUsk5yauQ7Ck7&#10;j/r9QVHeIfikd33QpekUOPfb5/g8UAf2bF9LJp27hEiYC2QT2o/s6i8HHGbu2bPkj+r4SOTMc7lc&#10;kQhtK9pZLGNJiGDNKhrCOZZ8JUHm09PT+/fvP3jwAKvH10y+1FhrbOllNrIT9GUrfNhrhhlaorfJ&#10;4fCCbvR6tg4wno4GOzs7n3/+ud0TJqdN9cb515V1ii4Q6B8+fPjb3/728PCQNaVqo1gsYGKscMGY&#10;vHlgau+ca3c6wTTI53MQsVyu5HJZcjJIlIcVxIzq82GEeXLbOoOJ4VOywgbcLpDYWN8wH6ajKKeO&#10;dfMrk52GtVsSaNVqN9IWqU92XCwIA31ygNx+0G6eGvNYkhXOgXyW4JyvdJ+jDTpOgh3KmODwtra2&#10;ONogD+VSIEv7tyHVfwz6yGypy+V6dyKEEeiJd3q9R2ThDy+F7CvRm4CNyA8w7IwoVoDAJ5eJ8vls&#10;JqtX8mQCpMVEffDH60kckkRtiDvXd/R0qIL1tIHgiw8DNjSJKqjXNnktEaNXYVoAYY5Sns8pXOcP&#10;v1Iw68NZdHs+wA2DMK5vxZPRkPf/peHhUJrXbXfa3W4Pm7eQJ4GlKZQSaB6cg3BUQSmTsTzvpiVT&#10;YOTZbBROHqpjnKwlVyYZExkWumjl04VlL3CiI7m/sCfTcVnDkQrNYL/TKaiGIDr7kQ351Xw/7YeF&#10;0G5tbY3xZy/wK1rW9ia74KeSM8/lcn1PKxisRFAzEaZNBEocQEfV7/cJi0RAwmKpVCQgynRAA4eE&#10;RUp77ZjIltRGLYRdzBPAw2rCYnNgdl6RGmkqjaFh0WavIwvZlPB9SZnyRweBwsX5hgFYhxlUCPDy&#10;+kq5dErO8fa6vU67DcnOTs9ardZgMASerOdIoSCPRKnKjfkVHKHZpvDk5Lh59r17AKQpV2eS7ObJ&#10;aECiXkjhxl0GE9ziVmlqqyXPzdGBndM8DiNwb41GA+CxH1lJC4EiS8vAT7u7u3CREbDB+UjlzHO5&#10;XJE0SL4gnLGSOC7mzk7J6blNmEfQXIVvsuF79E7nHNkIugTe1fxBK+fVRRWUqfcHyrNOSGOYymV5&#10;JanNnrAybRmR442krZPeIRLaP51dEj3tLJrEj5ObBlPaII+OztmNbkJDaZ++2EhPFU6CUJ5gQnvy&#10;OXlrQalcKlfKEBrbxOCwlRYoE0bACccK0jV95WzUmreW+GMFnvRKvi7sznS+SGuHw3a705Ib6uVN&#10;QICclWSkeaAO7OHhMHysoUc2pYU2w2yAh8MDitYRqysi68cmZ57L5XqBiGgvCWqEaeK1mTwDHpwj&#10;XBaL+ACdta/XlFi/dHuvJ2I03rHbxUf1qAiOZDLyvKudnR2YB3usbURn6tLw/tp6vneUk5R70qVA&#10;OgjDlHZyP/5kOmEtDi9fKFDjeCx3x4N8AAbkUqk0FrdSqYIH7B1YJCOuVM4FZ7B82Rxb6h30ZGAd&#10;pIF5rZa8ZHw8GgPPqAVvLRsQPTSRk88AD5cMYjsdWts+18mvVG3HEJg2BtNkZyzZHEDSa8YcMUQ0&#10;mDHf3t4mD/lhHhtaXS/55/Ehy5nncrl+KMIZIu6jF4Y2ojYxkWCKDSIDQZZQLhE+ekG5+KRoQ6Lw&#10;GzFpKj5vONLpFbTFqrDIS1inYZaNMI0s/eqibVaCdTBqaixmzzChVCgLGNTkySR+aqRrRHx6yBaD&#10;oXjcZrOpvBefVK/XNjbWN9bXG3U5PQjmbCgojyXwKxbknel2CwSbUHK/L0+0gaxQ02p/e9F4+Ugv&#10;5HpkGM6gNXuKpjbPm7S51+synjQJR95o1PHN9vywYrHICLNbGXODorI8BfPsnCfNJsPK5KHVsK/2&#10;xUchZ57L5fqhCGdLuyCmh/C3ogIBzjhBvD47k4tYxFDiOzERZXQCC1uRky0EJjJl/1JDkFiEqfhc&#10;39M2i82m82Bsr+gLJ6PZZDQZ9ibDPhnqldJarVLMZQjQhj0la6Q3YB6b0DtLSCOXgJ9Nx7SBxmSS&#10;sWA8bJ2dDLrtdCKWis2T8pklFtLORTAhJxlgQDYncx1hg03mJC1ojPCf5pNOZ/B8ZvIKBXnQpQIm&#10;NZlMcbF6j7vcDM6A4WUZM5tjqR28dNwwcGSj1Xr6mBXWA3YU2AqDaTDRs7I6W0UkfO1HZ4nZL4Jh&#10;mZpUpM00jNbaaPArmcXXTiaMDB2Bdvv7+zdv3mTYqUArj7Qa9ov74sOXM8/lcr1MhgRkXwmrQI6Y&#10;iEgQYQnQBE27XmV5Xl0US4GIBDEUEVgpFmuFiNH8ZPZuTRVtdhWyHlGd9E3T1G6NEWzo+5JYSacQ&#10;0R8qsBIbZNZWvV0d0pXlcl0OtHGcsBotqeBFoi+5nDwMBcm7DhYLSsNXaY0y/4Q8NIOlHCxcXg6j&#10;DTXJuazOjlFSLOnRZDLudXvtdkvf79RG47HMvQS9tBk/ykjWahHtKIpyaICa2uisJisBM8NeLpfJ&#10;A9XovnHxY5czz+VyvUwWVZGlCY7ERGMSIRIMEBDN5L3Z8T4xmjIpmZBKyDarYYWDVdYTfLF3dgqO&#10;6GyKNn4LUbLhDZmDoVgSrAS69JEleWgS6613K+axEtO2ubm5ttaoVsV3plNCDgaJTS5HVQzgkblU&#10;xvOVsVlwCjMGkziKoFhqZHsKJycstla9UHbCmJqswSaZwKIWsK/Ti87O5LkxmLZe315bHysWC9Bu&#10;c1NusIPW1imazQjQL9DLyDPmFGUTNbf17fOW7dMAHnLmuVyuS0VUJSYS71jy1eIjQCKksiRMEx/x&#10;BDgGi4y21avL4rvVYukVV0iw3gqHdnKRTN+Hbi15exktqGXFPBpAF1iyXt2OuEx+IsOqnXylARl9&#10;KwU2SM9kyo16kJHf9UMLpfwXipEkc0Ffd2AWCraBPXwYvR6NZDwpgHKo6CXsBNZ2xliyyoGIXHqE&#10;WEOZEdrvArpOu9fv2UFDMpFk6JbTaEq0ma+ptLz8gVoYAXoqhzC6QymT3pEHOsI8Rp5G0v2rGvaf&#10;XM48l8v1MhmNViEPx4AhOD8/J0YTMQnixESARxh9AytAyVY4odkIRNglBNvpPgu+No0eX0UV1owr&#10;ib+KCjmHiZQ00hiqoFL6RTOQ4dCyWWfJQJOsv+RUvukLgyIJhV7SPAphCVlBkPBH3zFLsYwq44kg&#10;MF7RTri+pJdURC16yztGLREqpPFzx8fHp6cn+DvIF0zlnX/5fB5PubOzvbG5UatVIV86LZtI2epK&#10;6TtoNG9NM2gMvWO0Yd5q6orWeDmBPyo581wu16uK+EhstWtExEcCLiEbEf3NIUX5XkfEbgRXDHVE&#10;XkK/zumQJxoTeS34QhockmW2DU0ChzcKxyuYXWQeVdARCgQDiDxUx1f4R5pugilatTK1WEU5o/jM&#10;kv3IyU31jYI9qsEg0ikjKC1R1g+D6VQfOk2elz2E0w4UyKMHClOMIoM26A9OTk45HAFfFJhMQS8B&#10;HgcN29s7G+sbJOTSo+wpHUe9fkn36R11019aDsvxrxxkIDoL8F7SnY9RzjyXy3WpLEAjgiNhFM5h&#10;CAAecOInaEeINE68GfAok3KIqmYfrWTiLz8Bg42NDXvZOlSw/BapLb3SmwVltqJqGkDXrJuUbL1g&#10;De1hyVe6RtwnG/npKbaJxtDxZzCQrfBNkRWmN5Qn618ksrARG5I5lU4zenLPW6EAOKkR9uhrzWfz&#10;6B1GlzKPDDpi/fPz1unZWbN5Znf7ATAaQJtpZKUs72836WGJzCPVmS/SRwadQjr6KmCOMxhzBoH2&#10;rK+v7+3tcZCB1WMT2klrl4j9FOTMc7lcl4r4u0oQ9xFuwGY6GAMIi4RmAuKbxUSKpRyiLcFanIo+&#10;dYVoTvC102sGPIv+q8ZciaxeE2nW0AUStl7Aoycz4Qciza+GQGRd1k2EdyhpL0aXYvFpl7aT/Ktx&#10;YgMtP51Jp6mfGnXqph4E6LU6iraczwt/ijfrdjvy1DN5p/k59Or3e+wOho7DBcxoVW6Rr+itESWG&#10;VOysPKVFOisdlAeJhs1mk+MMO6tJLzB2MM9emwDdo8p0ZKLUxy9nnsvlulTEUJaESJbESowIWGKJ&#10;OeArNEJqIH5kLrvxkrBO8NS88jjNIJjiJyjcYi4icEM+UMp63Anx154AYoWw2fPB11AUfXkd2Yba&#10;ahFp1hjU6aAaJhEr6R1NIg/2jsZUq1US5Gc95TAO8JHO6aO05RpbJn3pqx7otdUF3viPEmwMdZ2M&#10;ng0UZQI9ipX/lkhWkZRWsZYWjkbjvlyIsxvvxJjS2kw2U5YbyeVRYXoBL48P1/ZLD6k9k5G+kN9e&#10;BMjg462pXgipYvDZ1nqHVolPQ848l8v14yIQExzNExBtLeITSREJQq0F4yj3czIushVpAjj5CbsU&#10;cHZ2pgZFbsqmcHgDToi5G8t7zynfSng/ooWrviCDDSu/3/5IusXrabUR7KYmCjTaZbLZlEwtEc6F&#10;0DAMsNWgLSZjpYbPHpgp7xE8Pz45Pj46lkt3Lbl0hzWkebAKWwyPK3pffDabY3jVetIXceSIEad3&#10;4NmOXfTiqexNNme0Nzc3QZ1dw4ta+SnKmedyuX5EBEpMGEw6Pj5mSZQkgBIoczIDPnp6Mgx4CfMU&#10;JTLBgzx4FxNJA97qSh6/Ervxdvv7+1tbW6RXJuPNGPO6Itwb86yFJBRLMl2T/hoMrKcskW31OrJt&#10;qESAZz4T45vP5XGHrKRShhcXqFWIw7Z6GLVpIBdTW6128+zs5OSk2Wx2O12OEtgql89VKtV6HX+2&#10;Vm/IHFcOF8TPCfOkO1GdatnZlcPhqN+XiZoUyBoYCfBu3LjBsENN6+anKmeey+W6VBYuiZaYDKyY&#10;3aLAV1CEIQN4wADmsYacRE/b6nlJFA/lBarEcJCnYTd6riNRmzTOg1BrbsOmrtgpxGj7KGK/c9EG&#10;64sxj+bylZX0ceXzpA8q2+S1JBvxWb5vwrDHh+JXVVM8mexXvjHyk8l4OJJpmYOBPCeFsZroUzpp&#10;Ur5QkJmkcn+kvPBBrt4ViqT0BKY0mGHjI+eVQ6xjdLu9DviIQmgSe5ChxiMy7CzhH1Vbaz9JOfNc&#10;LtelWkV2EgYnKGUAMJ9n7kfit8oyPy8CNCWQgSBMkdOpPtex2wV7oJQ0v9br9Vu3bu3t7dm8FUp+&#10;SYHvSFYjjTFdXPlOpRyVIwaq0hmg1CiVsl4ey9nt4u3Ozk5brXPMGchLxBMQrlqrcoCwtbXZaKxB&#10;u6zeIpmU90KIvdOCI7jqSsgnE4UojVEnMZ1M7eodqCNx8fDFtv0k5cxzuVyXigjI0oIg3MIlYDs0&#10;hsqERomvdtZSc/JVtnmR1M0I7fBOcj+ZPtoR40IgJ4iToaTvCbp58+b29rad0qRAc1RWwvvRRc4h&#10;S7NSfaqcb+SrdXn162tJNuIT3cWnvlfmo9jA2mGBXLtjLWv0rrlRvy9vHZL7EZrNTqc7GstzorNZ&#10;eah3Tf3Zurz3oF6pyKOrKZwOWNn6QVIt48lflNnr9eURLb0eKOU3gLelKpfLq91n23yqcua5XK5L&#10;ZZGdEKzRU0I/cRMR9038aj+R0wLrC0UkB5mj0bDT7Zyfyy3thF3sHfDLZrMbGxv7+/swjwgO/HB4&#10;lEyBVnJUxHuR9ZSqrXfWBlbSTnpNF8hjv7JEttXryLaRflEstEPQDgJhwqSzcgOfeDtQxyjBuVar&#10;1e114R9sTKXlpbVleVxnVd7hoI98M7edTmfSKbmAR8u0ECtfyIfGeHS55b/f7coFVPgNNcEkhxcg&#10;k/EngcmTBnzqcua5XK5XEgHRrB6KVqk0sEaciFY9JwIvW/X7g3ardd6K3tONiSFY12q1vb293d3d&#10;+vLRjuS30t4IKm8lC/pCs6VsJY1f+bzohzdq22oj6jEc6UVDufeRv6V2tcJUhw/msIDjg263OxlP&#10;2DSfy1XlVGR0EwLky8lwya3xYhV1TpA6bz2PKVNXoiqQTBOSaZq9gZ6dJhvHFpg8xh93CPBgp3nr&#10;qH2frpx5LpfrR0QotFOaRMZ8Pm9hFJdGGCWAsp6AixNCs+mIzyKc2GceyJpwMhwPetPRIBgPhr1O&#10;r9UcdFvzYJJNxQnfm5ub29vbW1tbMM9mgSKrF+wZAt+FQAW9EJ+l2DHazeOxeSLOcsbvyXginYqn&#10;kjOMUzoVzGejYDoOpsFiRjpYzMOYvPZPX6oX8onPA3m1nnacNGv4KRWf28cyJKlhTmZ5P19iHjIs&#10;40F3Nh33O+fTYd/e3kc2PoNu++Dxw+EQSMl8E1wgQ5EvFOqNuk3zYbjAVTot3pqe0BvpwkzawJKq&#10;Gd5cKpFOxEgz+KNeh+ris4A12VSiWirsbK7fuXOHcox2lG9cf4lf/wSU/NWvfhUlXS6X60UimE4m&#10;8rptqAbkCIsER/sJYIjv0/N+K3ggW29mBadi9+GRoAS2gp02dWKlcrkM6pRx78ne0QVEd2hVS998&#10;S6yvVKs0fhoEU3nQTEzumUskbKIprcrKI07ktUHWR+HEcqoIXy1hwkitesFPDIslqMI6yBqGlOMG&#10;akckbABpko2bnfjNF8s6G1NOZlartUq5nOOwQK+kWuE/EBaPpTRuSXTroxlrqwUzDec4zkAcZPAV&#10;t7fa6r2N/0+lT3yKjsvlensRPYmYp6enh4eHR0dHxOhms0mgXEVMljbrj8wWMVcxHZFAWpLAwIBn&#10;15AIvnwFeJTAr4Sj9xZwDeH069GjR99++y1spgt7t26CCegAoWmzXB5LJq0vdhp2Y329VC7Z+UO5&#10;sW4ZPi2QrsIpQ0Easa2ttH7ZkjUUSNWgCNESyGTrV3lM1cY6I4OfKxZLNE8NGdli8r7ZFwkPB9Wo&#10;1GQEhXlyM1+3S0WUxhEGtLtx4wbemhrpl+042+QirT9Juc9zuVw/IiKjBn/xFoRFvhJJWUOCqEqQ&#10;tWDNUuCmwqkggixpO/9JYAVvuBWAt64iTdjFxFjMRe8z2tJsRPuBgfk8Olit12RSpfYFXgk9QIg8&#10;MCyapSotlAejyB17+C25YrbkHOJXE4PDV/vJvrI1ohZqhLUcCsA8tLLO5GRJmgzkt8tsuYLceAfw&#10;8JcYvmRKdgEtoygSzyshbY+aQWkGdXBOgh3BSsZ8U8VesJFfncm0NlA12WzNJyn3eS6X60dkUYJw&#10;jPs5OTmBEOfn5wY2lsRKAiWhk0BsoXYFQr7yE8JeYAoJ4lg6Qq0aF3l1HCHYqkArQtjXdy3DAOzB&#10;5/35z3+GfDie/du3aAaNn0zG/Z6cDVRgx0qlsjVLX9BTrNtTN3O52eR703lMdMF6sYqutgZZpcYh&#10;lhwTUD7V2TEEGRg9lgwObowq4qlMKpUWL53NpuSVCJCJUmXAreQfKLGQR24iMlEX+4s9RV3sEUqm&#10;2L29vf39fYDHjuAQhJzRlnoQwNKaYWs+SbnPc7lcPyKNonL7neBLHz7JSr4SRgnZxGvjH0GcNXbO&#10;kJWEXfIAtlwuh58jiLPEYZCo6RvGWU+xZDOtKtI637kMAyyhnSGc1pYqZX4iAcBhAB0Jg4BmAWo6&#10;DsmN8XI20E7kalHImv3C9tM1imKgDG+UYNc4jXnWDIaLDamCQwc7OKjra3LzpXIum6UumsTPfGRe&#10;ZjIF9qLSvy+9SUFOqFIXjTe4wnV+YrQ3NjZu3Lixvb1tJ5OpzrZCPxh/W36Scp/ncrleVQRoOzt3&#10;fHxMJLWnZRLEibCsZ0l0lqCr50JJE2cRCZsuQRDHW4BMieDLqGr5SWi8fX+hFiTQYFCNz/vTn/7U&#10;brelnft7kIUWAiAztaPhMJlKVasV1tBJeA7w6o0GjhX4rFXlnQ+rlq8Sqx4ZfhgiGyW+GoqQAY+c&#10;ZIOF0I6xYpR0xoqIdDKToxxKihbLaH0Z89IJufGcKuTMsh6F2IlNjB0F4vBu3rwJTdk7Jttq1VrZ&#10;E4rM1QnPT0/OPJfL9UqygEiC4GiRlKhqfs4iOxGcyM6vBFOCJggxmdszw8dXfiWPaVXyKv3eZMwD&#10;PDDvm2++gXC0eXN3BzcLevB57U7n6OhoOBiY96I/dHA8GikC5YXj8/nizo2bFGV9QZZmueqRmUWO&#10;DxCDY5wjYYcOq/FEVgvAo3A78ciamdxOJr8q8GScEVsxjGz4vHLpJDuFvuAjqZGqqYuK7t27R7G7&#10;u7s7OzvsBTpOZivkYhtI0GBkVv6TlDPP5XK9tgijFiUJIKSJoQRxYiXL54FnkIu2/GBEm2kwVHjw&#10;4MHvf//7ZrNJO9e3NwuFIuCBecPRSK5bnp8DD9bQU4uW2Lt0OiUPPUkm97Z36CyEUGv47FomxGJJ&#10;GkEdu64Gh/hq5SBrho0MS0qr1WowyW6YYyVr5vEX+y0GVdmHn5YjDAqjZCqcjoSsNNhqBLG0HJP3&#10;+eef37hxY319nU2oy5DGCLCDrMDrI2eey+V6bRHcCZ2ItAV3QwjrCcGIeI0sjSznByVaS/SDeQ8f&#10;Pvz6669PTk5o5NrWZlFfMg7V8EhyJ0GrhXOiY/wq3bDO0B35E1uvN8CGuVgDFSNgJQvulH+MDCUA&#10;PClnNqMAciLGhzIsApOHrzBvW9+RS5qVLGexF8/PRGr4aJUNr/mzebclzy/FhUM7jj+oBc5tbm5u&#10;bW1ZyTSJGg11ZDD4XSs581wu12uLuKExP5IFepYWrJH9uspDXLbEhybiPj7vt7/97eHhIZ1qbG7I&#10;2cVKBYYFYWiTTcbj0dnpGV2QGxbEWBE27dEni1xaprPkl+9UovusRNgs6LI6DiBNRcJAedBlFhco&#10;J0tTKXKyhjz8yrZVvXmDJXXxE8vLmDeby4uZaAYjTIvIrKeWw9aZvOCQ2qmUKnB4e3t7NmmFtDWP&#10;bMY8HCGNsQKvjz7Qf4gul+sjEtGZMIppUAMjIrwi1puifB+erJ3mt8QpqUhDEoFZLgcCK2VBIHQz&#10;uuhde/KOu1hcLgriqDBwcr1Ob7ljyVdgabL5mYY0IITTgj0b+oLANX2gNrVQJktk48Zw0R6TNfIF&#10;0mMOabresUf51ALtqBrxlaIq+vxoaiFBReS1TRE1og95v7w7OfNcLtdrS6K+Gp3ou4oobMEURas+&#10;VNFC2h99ueBHZ2GoN6ELUcCGPGxMXspaAlG1Wj2XlVmUU52HOZ1MApmpKhcywQzIwV1BnfPz82az&#10;yUr5bfkGIniDt8PA3VN9/vnnt27dwn6xBtRR5itx7oLIZueP2ZDyR6MxlZ+dnUFZqubgA7Lu7OyY&#10;azRPaRvScauC5UUKXh8581wu15tI0SbkYBmt0otktubiyg9QNM+YZ+00ACC1cHN+YyU4AUg4vFw+&#10;jy9bazRK5bLOVQH5M5kxotfGyE8Cwwf5Vt4O2jEUFEKZbAI1gRDgBHh3796FeTdv3jQg5fSJYlpt&#10;JBm7pSjhhQJ5tJ16JzIpFOJSaY//gDE11uv13d3d/f19aqQKcEsHbdewrfHVElrY9ZIzz+VyvbYI&#10;lxY6LXqudHHlS0L2T65VI1nSZjhheFOGG8X15GEiIRM09UbDvD4XtIrdqzfqtXqtWq3w0dOGdn2O&#10;zRGEQwY8NuQn8qzpIy6BEAk72UhR9iQagEcDoBebmC5iTxv7AtF2PORg0Jdn4rRkRijQBcJUB/Bw&#10;eHt7ewCPiqhCOrK8IVJ227VE3UrOPJfL9doigF5UtPY5FhK1xblcOIv4gYjmWei3phrzYJWBxv6L&#10;sklGebUCy3wuB+pkJiQeTbQJYEy1C+IrG8qpUZ2uAnhYY/MntbZouCyhNT67lGjDhWy95XyhwjAY&#10;6HTQbqc7HI1mc2khbpKKNjY2SFA1/bJCqEu68X3avbz8T1X+7DGXy/VOpOE9UrTqQ5K1irg/0Qdg&#10;2t3irMIQZdOZQi6fSaXmobxHL5NKJ2LxXCZTzBdKxSIGjV9z2Wwuk63k10r5iri8XCGTS8gknmw8&#10;nU1OZpNxMApjiUqjvrH72fr2/trWndpaKZcRV7eIxaFNuJiNqXo8HE+ng/E0mM1CGkVdoDeRWiRT&#10;MRxmbJaILfjEcZ/zkM88DPgM+r3JaDgayEnNQa87HY/Ik0mn7t27h8lDgNYI95Lxv2z9py33eS6X&#10;61oLNmDyEK5orA8uCYIAFrIer2biV5asQStTiI3jK2k585nPi02MyQ1/Pb09DrdbLpdtiiY+L5eL&#10;gi3swpNNg+l0Ej2KBS8JfLF2fJ0un+JmZzv5FUUb6mM5KXmgb+vtdDqtVosEObF029vbd+7cwWWW&#10;StFbh2ibbei6KB8Ul8t1rQXDDFowDH6sJlvykzkh0vDjoisy1JE/W8jki7lCpVAsizOEMiGea9Cb&#10;B5NcJrlRL+9sNnY3qhu1QjkbS2vAxUemE4lsKpXPZMuFYqNSW6+vZVLJJNgLJsFwMBkOZpNRfB6m&#10;tULqWtVOw2CezRFFXX0lHj9Vq9X9/f27d++ur6+DPfrCStvE9QM581wu1/UVYMAS4ZOwR4YKfNWK&#10;fJbAXbFSLrLprfdmv8gJiuCl3qK+CMIA32a36xmHKJZfZzq1UjWfTOS9g5g4SiADxKTSaq3aqNer&#10;lWoun6Oc4WjY68pLjCZjeU6m5F+KIoZ6IyDeDuzZFM1isWjX8NbW1khU9MnUFL7q3SrtMvn1PJfL&#10;da1lJINtLE9PT/kKzDJ6fz2/wgxjG2mYZGtWChezcDbFenV67Xan2Wm3+oPuZDIuF/M5ikjExbqN&#10;RrPJcB6MZtNBp9MHZov5IiVvK0oBTKqPx+LAjZKC0ZjEbDqFk+FkgmUcKOQgHJxDGDuWrIF/NA97&#10;t7m5ubOzs729DfAgKO6T1kqvVNbI6ItL5cxzuVzXTmbUoi8qs3THx8ckgB/kACrkgXaARNnxTOSn&#10;BJRIptisP5Cra532udoveahmtVJhc3gIojBtuDRKhXZDSBaEbM6vMFEfZiZPrAZmwVT+A4dsDjWH&#10;Q7luN9IXDxnqkD1jhRbSJCzd1tbW3t4ezMPnlfWVeNYqyrdGup6XuPIo6XK5XNdDZuZIEABJA5Kz&#10;s7OTk5P/+I//gDF8LRaLuCiWhUIhl8uZz1vRDiwBHjacJxc4sfPz5tnpWbvVxI9NJ2Ns43qjkUln&#10;FrP5eDxKxuXh0bVqTSa5pKsURYFySrNazRcK8Zjc3358dAjSRkN5uetiPhuNxlIOxReLLKmLSqkd&#10;1CF4iaWDeZg8o92qhdY8ls68y+TMc7lc106AZMU8ljAM5mHynjx50mw28VX8CvDyKogi5ymX9x0a&#10;8Oxc6HmvhRuDePDyvHnKhtPxEJ9YyGRz+Vx8HsOZxRcxsFQulcHSaCZWLJlKlkultXpdnsOSlZcQ&#10;ra81KDCdTBRLpXRK3oEHeoPpNFEoWF1sBeoAsN3Jbk9XYQn8+MpP1p0XinauiOhy5rlcrusocWnL&#10;F4KTgDHo97//PUt7cCUogigwxvJgsIwuIGSkz5WeTCbng/NOp3N8dAIvz8/a4tXkVrsgEUtgtZIx&#10;uRZIOYZLMV+pMgSDYkCoWpbHeO5sy+PBbu7u1Bv13a3NWr2WjMdkokqnPRyNBnN5xZ15O7hLe+r1&#10;OgAFeKv2SMk6vVN65foxOfNcLtd1FKHPDJAxA4Yh7Bpe7fT0tN1uT3W6JjYLYfVIg0YzeSwRX3uT&#10;XrvdOjoEeSeddm80Hs2m8t6FcCr3l8M8ZNSTSkBeVt5gNwuCWDxWzOegXaMuZ1D39V21taq8w6GY&#10;z2ay2YxgLrXICdjwmgAPkTDgIX61jiBaIjX5+cxXkDPP5XJdRxnzsEfmkAK9JwF4NJvNw8NDlnYD&#10;HEtcF+JX7J3cc6DvSYBAOK1YJgYdj46azbOzfl9uNo/F5FaB/lAe6bJIKFDl+WUs+S+Wz2bZfG4v&#10;bk3GMulMPptMpdKVYo5mZJPxfCG/Xqvu7O7s7+02Go27f/kZeMPeAV0gR73m7awLKznzXl3OPJfL&#10;dR1lzIMTq2tdkAPwnJ+fw7yzszPc3sHBwdHRUa/Xe/LkCcybTCYsyQnwYA/LRXrR7/XOW/1etzed&#10;QjgAV8TZQUYQt4gnWbEQj6fEi8eyyaQEXHmc5jw215kp84AYnEmIiUwsQspcq9du3rzx2e1bm5ub&#10;v/zHv8HY2X0I/ATtAC2NtKZqq6XZLFdfXS+XM8/lcl1HEfqMFivmmYY6fwTOPXr06N/+7d9+//vf&#10;wz/M3MpI2YZ2bnMenwHCwVBuNg8X5UQiPotVyTNLFFmGiQwbzOTRYvGFMW/WpYyEPcV6ps8em8rj&#10;ofNpIVZqMZPpLfnc2lpjc2O9Wq1u7hYA3u7u7vb29traWl2nveTzeTYEcsY52oOcea8ovz/P5XJd&#10;OwEJSxjGbImgGAi0a2bdbvebb7754x//iNsbjUZABdgUi0Uy8BU7CAtni9lIHtEpAIzFsol4YhHP&#10;UXwyXRAIJXQ6pb4uXk9wxhPzsZo+eW1DfKHPc1nMSOIH5b1Fcio0Pp+F49Go2+00m83vHv7x+Pi4&#10;0+nYOVWsnp3ntHZam1ckXqVdL5Ezz+VyXTvZWU0kTFIZLQRCmsDtffvtt/i8Bw8ekAZ1+K09FX4r&#10;a5fl9M65WTCbBgmZuBIrJZOZRaqRSOUWqfoikQ2SpXkiHyYKM1nmWWbjk0U8vYgnZ7GEnNeMJWWK&#10;SzJNxQCSqsN5fDoNhqPJYDDq9Ye9/gm0w0qiIAiokTwrYIM9a62tRKvuuC6TM8/lcl07wSo4sSKE&#10;AYMEa0BLv98/PDz8WtVqtSDcvXv37ty58zMVifV1OfEIBQ+ePp0v5tMwrjQqpjOZVLaazWTnCXnl&#10;wiKRkdkrCQWbWr1icsr6uL6dT94QFI+nk3JBMatvpiXN+vjCrs9JY2bzPmkIDfMwlyxBYK/Xw4mu&#10;LkauesFXZGnXZXLmuVyuayc4sUKFaQUMm73yhz/84f79+48ePTo+PgZyX3311d/+7d9++eWXf/VX&#10;f3Xjxo1SqYTbA5P9J+1xa9RrT3LxbDJbX4SxaayQyeTHs+x8kZgtCosFHq6YWGSTi0JykW/mK/1U&#10;bZKojVONRaIeptcTycYivR6Eucm8NJ5nxvPiOJGdJorjVH6cLFRmqcSiNAsWg27Q6Zx3W91ev3l+&#10;fpYtpMrlQqNRx+DNZgsxfLF4GOD8nHk/IjfCLpfr2ukHfmgFPIQFHAwG2DuEqQKN+Dx5J/rmJpyr&#10;1WqFglyrI9t0OoU0qWQyrXcRKEblXjwrh1Llj31drtRrevpBZv4slZTHWC9FMfKHH8JwFupNFCO1&#10;d81m8+Dg8PGjx3/65k//8R//8d3971hpJaO0vXzI9VK5z3O5XNdXeDWlzjNa2P15X3/99YMHD87P&#10;z1lz+/btf/qnf2IJ8HK5HCB88uQJXpBsR0/+OBi1xuEolQ5j8hCx8SK1SKWm88UkEe8nYqNkvJ+K&#10;8emmY71UvJtIBpn5KDsfp+fjzHySXkwysTAZC1LxRTJhREzIG9IT6XkiHUtk4sFklkgH8dhkFh+H&#10;01GwGAfj3nAyHo9a7W58EatWapWKPMNTZ8YYZ10vk/s8l8t1TWXX8H6gIAhAHVQ7OTmZz+d2e9zN&#10;mzc3Njby+TwZOp0OtDs4ODg+Pp5MJuTBk7GehLwDfSbvQA/kGZnRH/0rjP6azeQjU1/0b0vqlTkx&#10;d8lk6oL4gsVM683vfCUPRZjb+/Of//zv//7vv/v666OjQ1zpcDgMgpk23/Ujcua5XK5rqovMA1hT&#10;vescfgCVo6MjWFIqlbZVmSV4yEkecHj//v0//elP3dHpZN6dx/vhojuftRfzdmx2OpsexqdP4sHj&#10;5PRBcvpdevrnzITPn7KTb4qDB3zyo0f54aPM6GlmdJCYnCbGp/HZMDEfyTnQRDKWLMZSpUWyxmec&#10;a/CZZtemubWQZbo2XuT7Qea8Oz047jx8dPDo8eHx4UHr7Gzc79AJ64vrJXLmuVyu6yhxZcs7ExDA&#10;g3atFviQlwph9fhpa2vr9u3b+/v7/Iobs5w4M6D46NEjsNfXtx+Iw5vPMW0sZ3O5AqeuTtydpsTk&#10;mc3DAupr8uQ/SV0Qv89m0iQB31K0wdqXiCf0JbNJfiQPjRmPx2enp3/+9lvQe6huTzO6fkTOPJfL&#10;de0ENoQuS5E2hyeX6I6Ojo+Pu90u3m5vbw/m7e7u4vBAHRmA3MHBAdmAonwdJcZhdrbIzea5xSKl&#10;DxFLLGbxxGyWnM1S4SQ9m2TDYSYcZsNBNuwXp2d88tPT/PQsG8onFbZTs9Zs0p5Pu7PZZDEPFrGk&#10;fBI5PtNMdZypjFPlSboSpmthpj5PVWbJ8jRMjYPUeav7pz9998c//P746DCYDGLzIOqP63I581wu&#10;17XTD5gnLi0MwR4GDpi1221cFMyr1+s2V7NUKpGHXx8+fPjdd9/BRTJns1n822I+l/kjYsfwYPpf&#10;NJ9kNWlT/rOVVq9UrH+tUnJVTy/sLcTpsZa88pFzqik5p/q9S33JlHjGWdjvD2gJDO524OWMSqQ6&#10;10vlzHO5XNdOICgIguWJQ3mgCcLe/eEPfwBpYK9QkBfUQbu//Mu/hDLFYhGokOFf/uVfwB6ZYR7L&#10;RWJ/FtubxXdJzGPbQbgxDRuz+UYsth6Lb8RjjUR8LRlvJBKNpH6KmXw+nc0mEyl5w16QWEwTixGf&#10;dHKSTo5TiUkqMU7Fg3QiyCTn2dQijCcWqUwyW0xlS/FUcRHPzfGUi2wyVZjP0mGwOD5ufv27r58+&#10;fZpILGLxZ9fzACeQjr64LsiZ53K5rp2gHSRL6HxL9VUyXbPX6+GZMHO4LnvYGMyrVqtYPTKzEv93&#10;qOp0OiAQKFKO3l+wmnLJOhF/84VVrNd77dT+JeLi5/Th1LFFTFboT+ShARg8fiKDKcpmBlGr0axR&#10;/kw6w5JM49HInojNn9hkIn1b9ghRCP1C9tWFnHkul+s6CjKxNCqQwLdh7+7fv390dAQzNjc37dGa&#10;lUqlXC5DGrKdnZ2RASNIgq9QLYhtBontWXJnkdpdZPZi2b2FfuYZPruzzG6Y2QnSO9PU1iQpn8G8&#10;NpzXJ7HKNF6dJ3LzRD6eAr/xRGwcWwzjYWs+bS7Gx/HJaXJ6kgpOk7FpMhYkY/NUfJGOJzLxZAbe&#10;JTKxeXIexoLpTObWhDOQmMllY9mM0U4YuSSxAPi59+1dZznzXC7XtdPKCeGlxAcFgU3aBHjdbjef&#10;z9+8eRPmZTKZ8XiM65ouZ3WSwWa4sJJCbIYlbg60kDkrH3mvnt7awB+xfoBH/ogkMwvxfur/INOq&#10;MSxxdzaZc8J/0yCYBvqiPbnuJxf3ZGMRZWL7ZBN9pREiIZ3RQqy0i7JaXCZnnsvlunZagQGO4PA6&#10;HXlxD8vRaMRP9Xr91q1bjUaj1+vZfXiH+uZ0UNfv96EgpIxgmciEyWyYzs8yhVmmGGaKUz7p4ihd&#10;GmeKw0xZPtnKQD7lfqYyyd4eZ29PM3uTzG6Qqk2TlSCWnC4wZUE8HqRi3eSik56dpcLTdHCUCo6S&#10;024i6CWDQSocpmZBeh6mFnH8aSaR4QNq47FEEM4Gw1Gr3R52u+CN9kPB1dnR5xF4zeXMc7lc11cw&#10;D849efLk8ePH5/qkMQwatNvd3cXtgbr//b//969//evf/e533333HdgDeJaHDSGKzcjUS3Xyhy8Q&#10;BsyIO4tmYEbIsWxYNLY1mQWkHDFw/JqIiwXUe/LY0Lgl9+3prXuKsIhhlDoej8JZyOa5bDaXy1EU&#10;lg9/KLWoG3xWuJu878uZ53K5rp2AAUQhARIGg8GDBw/sKh1fQUWpVMLqkTg6Ovr666/B3v/6X/8L&#10;t3d8fDwcDtnKoEXmWWIW8knO+QSJ+TQejmPhKB4OYuEgPhvEF8NEbJCMj1KJYSo5yiRH8cYosTZN&#10;NcJUY5GpLrLVZDaXzOTjiXkiucikwmw6zCfH2fgwPe8mw9Zi0uMTmw5jwSAeTuQzC/kE48k8nCVj&#10;MDIJCfuDwfHJ6aPHsFseBEqPFLeuF8iZ53K5rqPEpamwbicnJ+Ct0+mwEpJlMhnMEwl7tObTp08h&#10;Iku7D508KyO1JIu6L4S7Q7O5WDL9wzdZb7mk0ugbdkwLMXra/E+7zpfij1hGLdNOUcoTXqRMKU21&#10;yGSzbIXLnIwnQA4e/+tvfvM//sf/gNCkDw4OrC/LSv2mhWd69spdl8vluiYCA1g9Ev1+/w9/+MN/&#10;+2//7X/+z/8ZBEH3vPXFF1/+zd/84osvvwyD4P/+v//Hb/7Xb8icz+UNMP1BHwSlM+lkIgGEmv0c&#10;AXSREHYlsgUwNsOyzRezWSCICkYwKzkfx2PxVGKRSMQnqbpMXUkWQd48USD6zuZpUJlOxIBbYtqm&#10;DelZm4ZlYmPIF8zHYRgkE4tcPpfCRwbTeThJxOMk0ql0MpailmQsW6lUNjd28KY37+189dVX9+7d&#10;++yzz7a3tylnOp2CcOmzS+XvEnK5XNdRWCscHn7o4cOHv/nNb1iyZmtza3dvd31tDSMFDh8/ftRu&#10;twuFQrVaKRVLxWIB/wd+ctkcAIOFw2kK5s1lWmVsrk/CDGYLu8kOY7aYhzi/+GImxmIh6VkyT57Z&#10;Iinf5ymxcnqyLa6uLrmY0qxUbEpLkvFQPElsBhHjcXkrrNxYEVLmjKpBLA1p1NcA28baJlQLJkG/&#10;30tm5F57aofo+XyerezynnTYpXLmuVyuayegYvce2D15MO/k5ASf9MW9e1tbW7lsFhy2W+3z1jnA&#10;2N3Z/du//ds7d+7s7e836o1CPg/DBoNBt9sNwvhiHsznMxAm81kEb3PBWTjlh1Rslogv0rFZPDZP&#10;zMMY2eJhfD4m/2I+ngnLwrncoAf5krF4IpZIxZLZWDI9S+Rm8UwQz2cWU5BHcxOJFLQLwhlVJJOp&#10;TDZVLBRu3bjx17/466++/LJaLWEHJ9Nhq9umR5PJpFgslstluJjNZp15F+XMc7lc11G9Xu/4+Pj0&#10;9PTBgwe///3vgdzNmzeFH5XKZDKVVys0m6PRCHO3t7f/d3//d9s7O2uNBhDB3g3kfUPnzfPzZLqE&#10;P9M76GIyoUSmbsrrW8NZCFZTiVgylUwlsIFwDccmYGTzcJ7QS34ZvfMuExeXh1PU/MlUOjEXyMXg&#10;6CIdH4sVxEPi8uYBPi+ZWKQzmUa9VqvX735+95d/8zdffvFVqVQKAinytHUG86ga/7e+vg755LKf&#10;PlzNeu1y5rlcrusomPf48eOHDx/ao1VYs7+//8tf/E0+lzs7O/vzt98eHhx0e735bJ5KJYMw7HV7&#10;o9EQNIaYrUQ8lUzKOc5UOpdOAJRELIzFFnH1fIvZdB5MgBwOLxmbJxdBbB7Gw0lsFiYSveRiiBFM&#10;LsYYu2QsEObh4OLZeDw5TxYXqVyYLAbxwjheHMdL5VlvMdeZhovknMJnsUwmkc8Xbt3e39nZvnf3&#10;zt17n+/ubBcK2QW1xOfTcAbFyb6xsVEoyJlYcAgC/ZLeSs48l8t1HdXpdP74xz/+x3/8B8CDE/gh&#10;OPF//N3f47EePX7M+qcHB512u93ptNrtP//pTweHB+1WezKZZLLZ9bW1vb29m7dujcZBPp+LJ+Xh&#10;XuECezebBvIwM8wc9iwuD9FcADydvylv14un5RGacC6RSMzjBRzeLCZX+BYJmSYaS8jL0NlMJe/2&#10;K81b6vPk1X3z+YSf8rkUGLt1+8adO3e++uKLG/s3draxoNuN+lq1Wm13e1AcMNdqNarA52H4gJ/7&#10;vJX8XgWXy3XtFIbhYDDAz0EIltggIAEb8HDTyXTQ70PE4WAA4brdrr0w7+nTp/jCJ0+fkn80HidT&#10;qRJE2ShvrJUatVylmCrm4vlMLJde8MmmYpnkPB2fp+IzeVRmIpZNJnLpZDYxyCcHhdSITz45zsSG&#10;idlQ7uVbzGPYw0UymCdHi+IoXhql6uN0IxbLxPnIo1fS8VhSJ6/I7JVKpXznzq3PP79db1TyhXS+&#10;nLt9BwbvgEN6p8SVNwICP76m/HmbF+TMc7lc1079fn84HMKzVqsFG0DF+vo62Gt3cEpdcBgGQSqd&#10;LpZKhXw+lUw11taEiLPwvNl8+ODhH//wx6+//vq3v/udIEgerAk0sX85PF+hgLkqZVWylp/SaZKA&#10;CunzVjBdInwYTk58oN4/J27Pbu8T/uHt+FFu0xPnF1k/eVYLAKPGtbW1fRzezk4qmez1euFkAomh&#10;Mn2xmxPwfHSKBLXMlm94dyFnnsvl+pQVPPcmHVAHwGzSJvAbjUabm5u3b9+GFvIU6cMjNimVy+Rk&#10;Ddjb3tmGLvv7+yDk5OTkm2/++Otf//o3v/kN5m82G+cLqXIll8lCo1i5XFjfqK+v14tFWAkC86Vy&#10;qV5v1Gr1PPmSKbn7IDaLzQNMXWI2Ss7H6cUosxhn45NcYppNBJlEmIzP4rFwPg9msyluUrko9z9g&#10;2obDEQ4V7NUb9e3t7VpjrVqrlcvlXq9//7v7MA/yCTsFmbFKpQLFDa7ab5fIx8Llcn3KWkV8s1Ms&#10;sXFPnjyBXu12G+BBso2NDbAHJADe04OnZ83mLJzBLNZsrG/c2L/xF199devmLcwTOAE8+sa6Xg+b&#10;2G6TDgJ59CX2C2PGhlgtuxqXTMmL7hCeTwlYqJTL+UIBaFEO9FIHtqCFyqmFeDp9+BkZbEPy0OZ0&#10;KpXN4SALpRImskhBlXKFr/YTpXQ67cODw8ePH4FwSoOCGEE4zZKqpWTXUs48l8v1KQuKWELOGi4W&#10;QK7T6Xz77be4IntmNBTZ29vDNpF49PjRfX568mQyYX0B4N2+fevnP//5f/7P//nv/+Hvf/azn+3f&#10;uNFo1HO5/Hw27/cHBydHp63zcThJZNLpQi6WTI7DcDiZtPuD/mg8DjB08XkiHU9lk9lCOl9KF9cS&#10;2Vosng1niVkw5ZMKB5n5MBOcp6fn6fERn9ToKZ/k6AmfyaQXzkaxOEyd53Lpcrlor7EtlyvZbC4W&#10;S8YSmVkQO292Hz86wunhU+Flo9EAeDhXls68H8iZ53K5roXURMljSrrd7oMHD46PjzF8rMEVra+v&#10;24thW+ct1mMBh/i/bJb1t+/cAXX37n2B7n7++a2bN3d2dxtrjXQ6BS/b7ZZcTgtnoKWQz2PsICtV&#10;4PzwcBFsWKh7wwiCXbGA8iqF6IIev4NivpIkP8ZuOp1OxjL9BFlBLKcB3jFWKpewpJAMq0fLpXA9&#10;edvudE5PT87OzvB5kJtmgz1zriub6zL5cLhcrmshgwREMZ93eHhIuiDPFauaGYI34SwEIWOdCQKi&#10;1jfWb+Dsbt6QO/GSSQA0GOLi5ImXqXQaagWxeBCLzQBaLp/MF2LpzCyZXqSz5cZGsb6eK9Xi6fx0&#10;kRhO5/3JfDBd9MP8OFbB6mUrm9VqvVyuVXKJUmpRmLcLs05pdsKnOj+sxo4a8aO1+HE6u0ilZ4v4&#10;NAiHieS80ajgO4Fvvb6WSqVji9R0FPS6k+Zp9+y01+3ILE2giOwUKF/pl2PvonwsXC7Xpy9CPw4M&#10;DeURKs379+8fHR1hxWq1GngYjUatVoufZuHM3nUA1fBt29vbO7s7tWoVYOL8jo4OH3z3ncAyCEql&#10;0tr6erVWLRQL9m50toJ9/F0sFBr1eqVStgty3W4PB3Z6cnJ6erqYy5Mzc3m5Ulir1Sm5Uq7QgDEt&#10;GI8wdjLxMpDnU5tHBMmFQt5KzuVyWLfPP//sq6/+goblsrlwOmm32xRLk1jiOCnq5s2b+/v7bMYm&#10;lADCLeEyOfNcLtenLHM5ds4QqGDyTk7kNGC325UJkPU6S/j38OFDOaU5HPAVYGTlHrjK7s7u5sYG&#10;6AKHvW6XrY6PTzrtznw2z2WzZFvf2i7X6ulCPp5Jx5LpGLzMFQqVaq5UyeRLiUxuFk9OwsU4WEzn&#10;8VksGcQLQby4SBTiyWI6lZV77VLxfDpRy8Wq2UU1NSolBsVFqzBr5sPTXHiSTM1T+EYpeJEvZOqN&#10;yvb21u7uNqiOJxK93vDsrHVyfH5y3Op2RsE0zvpbt26BPcwrpLSO6zC4IjnzXC7Xpy+cE44HFzUY&#10;DPBGpFkDzLBrOCpM0uPHj+UK33AYj8ewUCANz9Ro1MvlCnQ5Oz09P2/h2Iaj4TSYygOdJ5PhYGA2&#10;MZPOyKM24zH+QBoMGSspmSUql8tkW19f39rcnKvdnLG9Sl6MpzNr9m/c2N3d3dzaWms0ZG5nPm/G&#10;EWLJ73piFruWtXsA9ZbBMAj7Pbl3vtPtDoYDcpKB6jY2NlaXJ+m4+UXXSs48l8v1yWrlcgj9o9EI&#10;M/enP/0Jh9fv9/FzYAkaQZdHjx7967/+6zfffNPuN7ujTrlevH331vaN7ep6NZXLnHfaR2en9x89&#10;aHa6+VIlkco9Pjw5OG6msqXNnb+59dk/7u7+VTy+MeknY0EhFWbC/jwXzxdTxUyimFhkM7nG+ubt&#10;ta27her+Z5VqfT4PWq3e0dHpyXH7/HwSW+SqlfL21vZnd3bu3C6ur8FMPpl0Kjaf52KjxLSTi4U7&#10;9fL+xlYVrxdP51K5RRjL50rjyfiPf/jjk6ffnTWPOv2TUjV1+/bte/fuffXVV/QLKtNxKGgj4DI5&#10;81wu1yeri9M3xuMxfg4zh8/DXYHD4XB4fn5+dnaGWZpO5a11GKlKpby1tbV/Y39nZxe3xIbAg60O&#10;Dw9xe3g71pRLcgNctVqdAbAwJAPCtGGpqBG/hZHDR1JgOiX32aVTGLMkH9ZgIut6LwFqyIsacvF4&#10;QvLoy9krlQoujZ9u3rx557M71ILq9VqhUKTk6WTSardPjo+bZ00wjlPs9ronJ6ej0dCuEdIkIEcv&#10;ILpdxqOn0nnXUv6MaZfL9cnK5moi8HBwcPDb3/7266+/JgHD5NSiYg/mIdKAZ2t7c3d39y/+4i9+&#10;/pc///KLL2/fup1KpZvN5q9//Ws84tOnh5PxGPxsbm5ub+/gpbLltTAIe71Bu90ZjWTaZCKZigPa&#10;hda7kJfiUQL/0RK8ZjYxKchtf2s7O3JNDiwF4TSYTnPZtLyEL76AfY21+q2bN+99cffevS9u37yx&#10;v3+jXm/AMFo4mU5wqDCvWCqWSyUQ/pt//dc/f/ttr9crFAq7e3t/9dd//dlnn4FSqqNwljDvIvhd&#10;PhYul+vTF7zB5+HqMHlYOjBgZzttDZ4Me4Sj+uKLL7788quf/exnX/3FV1g9zBMGDqJAl5OTE9L5&#10;QoFsN1TlcglsUki/3xsM+uIUY/KOIVwdBYIo6k2rqEsu3wVBPp+v12rA6fadO5RQr9cT8cRoPMK9&#10;0ZJut8smjXoDbv3yb375X/7Lf/mHf/g//u7v/pbGbGysL2Jy3fEPv//9/+9f/oXWkH/Q7581m0+f&#10;PJ1Mp2B4f38f2tktCtAOWcdZulZy5rlcrk9ZFvQBj83vuHXr1pdffilU++or0MLXu3fv/uIXv/iH&#10;f/iH//Sf/tPPf/7zL7/84vbt21tbW9lMFpKBusPDQ7BnjAFl8USccj7//LO9vf1ZOB+Pg0F/NBxO&#10;SMcT8twwDBaVyov0YvNkEqgtwnA6mYym0zFmL5VOFgo5eFmplIrFfCaTIksQTHt9qmjyaTZPj0+O&#10;jo/lgh+obXc6Uvp0Spk40Vwux1Lc3skJwAOTtI3eYU9v7IPhMo5w1Wtk5HOtJHY7SrpcLtenJcyW&#10;neIj0GGSHjx4YHaNJVYM8dPqKhrLXF6elrK5uVUqlgaDYafTefDg8W9/+9v//t//++9+97vBYMz6&#10;ra3tf/7nf/77v//7yWT6//3Nn3vd7vHJSbvVBneUkMlkw3A2Hsv8EX2hQnY+XwzYcjyhDXu1BbTb&#10;3t5e31ifhcGTp08fP3oA1YZDec8DaMxkM4VCnv+KJXlBw87mJu0ZDgbHx8c0u7G2hp8rFAp7e3ul&#10;Uunw4OD/+r/+P/fv3//ii3v/r3/+53v37u3fuol9JANdY0MbAaOgy+TX81wu1ycrQj/MszSJWq22&#10;trbWaDQwaoAHQYjPP//8iy/E2/F1Y6NBnkq5Cid6fUhz9N13D7/99luDZT5XYMN6vf7lV1/eunl7&#10;NBo+eNoejSZ4rdF4kkql8/kC5KNSSGMX0rIZefB0EOLS5ql0YrMmdyDg7Vg5HsPUdn/QwxG2Ws3J&#10;ZByLz/FwALrX6+Lw4BxuEV52Ot12uwWe7QTmxvo6/APhj588OTo8orY7d+784q9/gc+rr0n7zWja&#10;ZbyLI+BCfm7T5XJ9slqFeyAEM8zPVatVltDLllsqUJHP53PZnDzTS6c7djud46PjJ0+ePHr0yJ7M&#10;ubG5efvO7d3d3Uq5AkuazXPLKXfQLeRFCgl54Z2cV1wJtiUT8p6ElJi+LFVj4mKx+GQ86WMkh8Pp&#10;dAq0yJnOpBv1xs2bN+2M687ODs2zKZrdbmc8HlN8uVze3JBZNtMggHmnJ6dBGOBTWU/XSmW5I9Bc&#10;3WreCiVbwmVyn+dyuT5ZwSFLAD9gwFeWgAGzBScgkJzPzOXIoOSCW/OUYBJnFuDz/ve//dv//9f/&#10;2uv1IB8e6+7n9/7yZz+7e/cewDs6OoajDw66/f4gDGa5XB6k4e74icJTKWEtlVPvHK8VBolkPJfN&#10;bNby5UppNgtweINBrwnQzk8xcxmdt/nll/f+z//z//3Xf/1z2hVPxIJgEl/EHzx8MByNaB6A/PKr&#10;r/7xH/8xl8seHB5+/fXXjx89ol64vbe//7O/+NnPfvYXhVJ0N97FjlvCZXKf53K5rp3gnDzTRJdI&#10;bo9TyTvKVaBrOp2AGYDX7Xb5CkUAJB4L+AHOvkw5OZ9MxmEg8zNBy+rdCGRmjbi+hNwqINNe5La8&#10;bKlcbqw11tbWqBfjeHZ2RuF2FpQmUOydO3fu3bt39+7dnd2dYqGQSCaxd2EQkIEa84WCtRDj1m63&#10;+71+OJvl8rm1RgPHWq1Vk5mMtt31MjnzXC7XtRM4EiKpolUmPREYzuSl5L1ev63vUkdkg4s4qs8+&#10;/3z/xj4EarXax8fH/d5oMglji0QqmUml0vF4cjaTu93Jj9WjBpmxOR3DwXwhU6uVtuX+v+1yudjt&#10;tg8Onpy3zqBmEE4qlfLNm/t37tzi1+2drVqtqo+VjitrKTxVLJUa9ToetNcVCNOkfr9P0+v1+v7+&#10;/u7uHjzWDrh+RM48l8vliiS3k8dio9EII3V2etpsNrFifLULZjgq3Fi1UiXPcDjgJ4xgEEzxdFDQ&#10;ziKqsZsB1FQ6xTKQh3yOMWeZdKaQL9gkmkKhMBqNz5pn3U6XX6fTKei6ceMGP8XiculxOpkMRyNh&#10;ZyKBKSyWiji5nZ0drOTR8dGTJ0+7nc5kMsGh0p4bN29ub2/hIw3YrpfLmedyua6dFpcIazYNglar&#10;9eTJk8ePH4MlwAN18FLb29sVaKd3ssspx3AG3YJgNp/FZJ5KIhWPJRYLuSkC9ODwYCAecgYAZ6F8&#10;zSSTaTn9KWdA46AxlBfBBhN+pTmNtdrt2zc3tzaSyUQYBoNhv9k863Tk9nnYWSqVdnZ3b9+5k8vn&#10;Tk5Onj6V96FPppN8Pr+9tXVjfx/y5fL5GE1x/ZiceS6X69pJzmm+SPw0Gg0PDg7+9M2f/vznPzfP&#10;mri39fX1e/fu3blzB/a0Wm1+xeHh56Jy9BwpadbYymQiaY5LlnG5HR5jB5+g4HQy7ff6A31oJ+sx&#10;gpTPT1Tx2Wef7e3tkaY8sCrTW5rNfq8HZYvFIj/d/fzzcqnUbrVPTo473S4wLZXLW/KGv921tXWq&#10;iPl0lVeQM8/lcrmeqdfrY/K++dM3396/f95qZTKZra2tu3fvwjzYc3Z29ujxo06nM5OXE4XplFzG&#10;w+fN54uZGL85DEymkrg34d9CnsNSLOZrtWq5XMpmM5PJ+LzV/H/Y+89uO44sPRdNv7zd3sNtACQc&#10;bVXRFItktVFbHbU0ZD5I49z/IbX6f9z7XUO3NU4P3dbo7vK+6IogAcK77b1d3qS7T+RcWETBkCAJ&#10;EEUyX24mYkWGy4gZ84037d7eLvJQvXrathCRpVIJuTYxMZ7NZprNxq56F0tEePWa67qWZeVyubHo&#10;UUIS7+7trq2v0065e2VkeHigPJDJpJGW0v4Yn4y4m2LEiPGNRijftIsQqNdyqpdwrqtv/Ww2G+oT&#10;svl8fnh4eGhoKJFMqNs1d3abzaZ6/sDtqst4t2/XpBC2hJFulAQDhlpomhbSDcLLpNOOephBffSu&#10;Vq9TH3lBQn3JIV8eGMjl8jAc9cK4GxubSEnaQ1GJZDKbyRSgzUIBQQndwrtRmblisVQoFFNppKGh&#10;WuDF5zY/HTHnxYgR45uIbrfbD3Q6HWgjIi04y6rtV7bW1916NWw1tVYja+pTI5Onjp7suslLV1ZX&#10;9p2lPfviqtlwDnWdWpButY3OXmuv2QnsVC6dGAq8VELP+i2jXakMIdFKxkDGO3E4NTPsVfe2tzdW&#10;t9fX2o160rIHi8UDk1NPHz1WzpU0T2tVOzvru4s3lyvbNVtLGoGj21Z5aDBbLAS61vbcncr+6sb6&#10;XrWimcbs8WPj05OBoZmOrVmm63u6HZ/b/HTEnBcjRoxvIuTaGxCxhYRCV9XrdUTe1tbW9tZ2rVoz&#10;LatcUs/U2dEny9towFar0WhAktHVOj16Js/QNT36GfIPv6BPhCDpiaNYdBgycWRUveql0+lWqlW0&#10;GuXArqi38QkF9cIwy6zVqmvr66tra/v7FYpD3g0MDAwODmazWSTg/v5+tVqFoSkTkTcyMjI6OppO&#10;p+VqomxjfCpizosRI8Y3FJAcWygKQCqw3bzCnDqrCSeZ1tDwyOTMgYHhEdNyGu1OrdFsqC8H1dud&#10;jmK5MLAhTPXpBOEbOC809NA09TYCMaRwdWtnwkkMDw2NDA5n0xkKUK/R3NyoN+pUOjoyeuzYsaNH&#10;j0F+FAURyhOBtXotDEK5twVig/Ngu4WFhbW1NTgPAoYLD0WQE57UbUbv2IyaEeOTEHNejBgxvom4&#10;kyQI1Go1+ajstWvX9isVx3GGhoZmI5SKRdfzolefqNemwDqB7xvqop2PzoueP4B2ItpjE1EQ/1uW&#10;eqo8CGBBHTWWTCappaHeW725u7NLIZZtI/5mjxw5cGAmnUrDntISdXHR8/jXNC0Eooi57e3t69ev&#10;00IaQFHlsnoz59TUVCaTkaOg2r5yjfEJiDkvRowY30SIvCMAWwBICFa7dvXK9RvXdnZ24JFMLj9z&#10;8PCh2eOFgeH9WnNtY3u/VvdDPVCfLDAd24KadHX9TzfUGU3+Aj0MtNANQ9ex9WTCzKQS2Uwyk04n&#10;HIcslNloNPb297puN5lIZNLqSfPxiYlSqZTJpCFImLXT6XbayMguiRMJB1abmZlBzNG2xcXFvb09&#10;kuXzebIgAdkmEgk5HMBR9EIxHoyY82LEiPFNBPJIOA+gkNrtdrVaXVldWVpahvPa7RYshQ47cOAA&#10;ogpltrKywtZz3UjeGdBYlNEPA8V70UN6BoKLvaSBmZyEAydNRA+Mo+E6kGrXbaqToy2E2tDQsLx7&#10;k8IdkqZS5Ift6o16vd6gdspMpdSni8ieSqWIpVUUDv/JFyGy2Sy1iDoU9A8nxicg7qMYMWJ8cwGL&#10;1Go16GR9fX1paWlrY31ve6vruolkMlcqD49NlEfGdSe9Vakvbexs7qD3Oq1WG6mXcNQbMX03CJF+&#10;oRa9XwWd5wV+23ObpuEnbG1woHRwZgqC6nY6m2ubG6vrzVbL97xCPj8+MT48NFwqlXO5HNRFSxB2&#10;sCy6LYFChMmU+NSiF7540KS6yFersXNkZGR6ehoiVA+hRzfgQHUcheu60QHF+BTEnBcjRoxvHOQa&#10;GFtIZX9fvS1avpO3t6uevUs4icGBQdgFRZXJZDzPhXUqlUq1Vm22mur9mYEfSSz1eVj5FINiKB3u&#10;U5LRi4Qge3O57OCgertmvV5DJsKpbrcLX1Im8g7Flslm0HyaobvRV9TTmfTgwAB/JKBMpOFW9M5P&#10;CG9vb4+mwnlIQxpGXicSmlQqnKduE43xEIg5L0aMGN84QBWoK2iGbafTuXDhwm9/+9v5+Xk4r1TM&#10;Hzx06PCRI5MzhxKpbLXltjy90ux2Q7PaaO9Waii6ZDJlGppt6t1Wt1lrBp6Xz2YL+YyhwY9NU/fS&#10;aQupNz46NDxUhtY6zfaljy5duXQF9oICEZEjwyPf+taLMCtkRmvsZMJ1u/lcfmbmAEQ7OjJSLBTW&#10;19bm5ub+/u///pe//GX0MmsXUXjixIlDhw6NjY0pur3jcQvFnTEeAjHnxYgR45sIaA/OkNOG6xE2&#10;Nzeji3xmsVicnJwcHByEV1B36oG8bhchJXt7l83U4+tKY8mDChQVkVDID5JYpmVHH0ZXr19xHBhr&#10;a2sTxdZqt8lP+Wi14eHhfCFv3X5JpmGa2WwGkhwfHx8aHk5nMpR+48aNa9eu3bp1a3t7m/Kz2Sy5&#10;SECZ8BwNkLwxHh4x58WIEeObCLlOhsxaWVlZXFxcXV3d2toKfc82jZGx0adOnBifOtBy/ZXNnY3d&#10;arXVbXR9XzMMK6EEoqK8wNCReiS39FAL1ecT2qHfja7k6amkmc042Uwyn8ukk8l6dX9pYXljdaNW&#10;q5EdJTc9Mz05NTU4MCCnKCkODisUi1NTU0dmZw8dPDg8NJxJZ+Basuzvqw8syCMKMDHZEYtkFM6D&#10;iUHMfw+JmPNixIjxjYMQHlyytrYWvd9SsZHrupCXZVsjwyNHZ2dHR0ZazRYJ4MJard5qtbVQsx3b&#10;tmz0HLIu+mYCOk0JNc/3PNcLoC7bTqXVCzbL5RKyLJFQgozsGxvrlWq13W6j/8ql0tDg0EC5nM3n&#10;HXnYAMloWjDZ0ODg9PT0wUOHZg7MoDXluh0lpFIpCG9gYKBUKuXzefiPclTGCDHhPTxizosRI8Y3&#10;DoZhQD+bm5sLCwuIPFgNIQW1ZFJJhBnkMjQ0nEhlao3W2tbu5u5+pdFqdrxAN+xEyrQtdSbTc7Ug&#10;sC3HNizcaPSO6q6hBamEmc+lB8qFsdGhTDrRaTdbzWaz3mjW23poQGAQYb5QgN4UaUFW/Q8AqbOi&#10;RiKZLEVnVo8dO3b69KmRkRGEHVQ3Pj5OpDodms/Df+SNee7zIea8GDFifOMgnLe6unrjxg1168re&#10;HjSGeBodHYVXCsUCak+dV6zXKpUKexF8/IRmkGWWaaHquq5LFmjSiEiLMDBMA5FXyOfhKijKth11&#10;nXBtvV6vQYrJRAIFSRUD5YFkMhFG947eDd1IJlMjw8NPHT/+4osvvvnmm9/73vdee+21l19++eTJ&#10;k+RN3PEQuoBWcThyhrMXFePBiDkvRowY3zjATzs7O7du3bp27drS0lKj0UA5FQqFgwcOwFX5XN5z&#10;vWodddZqNNtV5F7X7frIPNOyneitY+oz5yg7kx+6+paQpj4cFFiGkUomcrkM8mx8fNQ09OWlxcWF&#10;hWq1Fr1XJTEzMzM9PT0yOpKJblGJviobwQ80YSxdQwuWyuVDhw6dPnMGzvt+hO9+97unT5+G89gL&#10;twnF3klyhGlP70eMByPmvBgxYnzjAMnt7u6ura0h9fb392GLVCqVR5+Njg4ODhJ2PbfZbHY7XQLt&#10;TpsE8Iw6E4mU03X54B5bQ7107ONzjOgtuBNuy+cLxWIRCba9vb25tdlqNmElROHwyPDQ8HC5VEql&#10;09FZzRD6JaPvez3Og/UsM51OD0SvJYOGy+UyVDcxMcE2ektZhhqF84BkEcQ672EQc16MGDG+8rjL&#10;+wMRQ0pIKQUWkUvXlcD68sry/OLi3HwXGVep1vYrOhrOD8aGhicOHznx/AvpbHlxabO63fFapruv&#10;OW42GWbSes40bSjJTwRmzvJyfs2u1yvtlJPzOmGt0oQpnYRDnlQ2kS2lO0Frp753df7G/NrK+v7O&#10;6t52YXRofGry5JnTkwdmQkNXD7Ord3QqbWcmHM00oldUR3+E+TN0ypyamhofH4f5xsbGBgYGhNig&#10;TyC3zwiEbns/YjwYMefFiBHjKw88fi90G3KViwDUp36HoR8FOs3m3v7+6trq+rq6kRIGgSrM298r&#10;n5megVfIWG809vf3ajX1vTpyqYfyolORCD5ATBRhUgckhNiDgezo/hTkXS6XSyZTlNxutSuVfaQe&#10;spIE7EW3sVeeNFAF3o+t7wScl6SsaEsL5R7O3r4Ynwsx58WIEeNrAuhHZNCd6N0YqetwEv92Op1K&#10;pXLt6tUbN25sbW6RPpVUjJLJZoeGhsYmpqGtVru7vr65vLK6tb3Tbrd1PVSaylKnIj11slPpRfXU&#10;uWmh03zfJYHjmKmEM1AujUdqLJtJs6NRr0N4q6urtVqNKiC8wehjCNEzDL1bUWjAJ9AeDAfPCQgL&#10;Tcb4Ioh7MEaMGF8H9NnuLtoL+3d2RBfemk31HPr169fn5+Z3d3eIyWQzKDz02cDgIGIKGbe/p57b&#10;W1td293da7dbvq/uz5QXprgRKEjFWFYQhJAoVUKoiWQSSpuYnCiXSrbtQJbIu1q1trurvpaHtstk&#10;VEUQnlKWd5yW/FRwRALaxrYXG+NzIea8GDFifOVxp1SCGOCher1erVY3Vtc2NzYatVoAU3U6sND+&#10;/t7O9vbKysr2jjrlSPpcLjcyrN4EBu2FeqLrGfVmp1JtVmvqvs2W+ppd21BnL5XI8j03cH1DM2zD&#10;tnQr8Luddp3opGMmHatcLo6NDOey6U67tbe7U6tWut222+0mbKeUL2WS6pQmTEmlferqn4N9EO4i&#10;OY5UTq7G+HyIOS9GjBhfeQgxwB8EEFg7OztLS0uIuStXr8wvLGxvbVWq1VqtBgsqRG/zIpmHbNLC&#10;fC4/PT2lHlHI5ykEUnFdr9tlowBXdt0uElGu3rFXvVTTuH2xMAxISBiRl0gmisXCQPQ6se3tLfVl&#10;oq2tbqdL2nwhrz7RkM1CeJJRFJs0+5MhpIguvBO9fTE+O2LOixEjxlcesALcQABGQr2tra1BeB99&#10;9NF777134aMLt27NrSwvryLuVlfX1zegwGazBd+QgW02m5menoH0ctlcteZWat1qvdNoeV3PDzT4&#10;RjdMQ71d0whNXdM19bU8SzcszTKI030t6DqWlknZqYSdz6YLuaxtGmsrqwtzc+urq81Gg5aVCsXR&#10;4ZFSvtjXeSCivPhE5ZeNmPNixIjxlYcQHoDz5M3Rq6urCwsLH5w9e+HCR9evX4P2bs3Nzc/NLS4u&#10;LC+vyDU5soVBmEgkBwbVN8uTqaT6Tt3eXqVSgTjd6I5Ny7YSTgKCgu/6tagA7Bd9aZ0wNAaZ2Y6t&#10;bq5MJlCBFLK5ubmzu9tqtkifTqcL6mt56kreXZwH5Od9gRxUujKmxkeHmPNixIjx9UH01Z4tFB06&#10;78MPP1xeXr5x8+YvfvnL//N//vHnP/v5e7/73c2bt1y363kuzOW5LiIvl8uWSqVDBw+aprmz25xb&#10;2Nzeqfmh5Yc6cg4aw02Gmt91277rWqaRsBwNddcJQhf51xkbKeeyyfGxoWOzh4qFrKmFeztbc7du&#10;3Lx+de7GTVPXM8l0yknOTM0MlgbK5XK73YbDYD6qgy8/+aE60vQlbIxHgpjzYsSI8ZWHd/sr4Qgj&#10;JNr6+jo6Tz6Mt7S4dPPmzatXr165euXG9etLS4vrGxuwSCKRSKczqRQaLJ3LZgmYhlmtqhdsVqoV&#10;uBOJBeVYCD0z+h569B4WmAoSgrTUhxQ8jzCklclkitFro9WZ1WajWq1SRr3e6HQ7xFAIu/IRYg57&#10;4og5L0aMGF95QEL904D1en0pwt7eXqejvj+3vbW9tra2sry8srq6vbPTqNdtxykUC0PDQwMD5UKx&#10;mM3lEF7dbmdrt7G5Vdvahvs6fhCatmM7lmkbvtcNAs80tIRtO6at+aHf8f2ubxp+MmkOlHNjY0Pl&#10;Yi70u3u721sba3vb27XqfqfZCjzPsZxivjAyNDI2MuY4DrTXa3R8Se9JIOa8GDFifGXwoItbiC3i&#10;u91uu91GZm1tbUF4/EylUtCWUmbRo3Wot1azRQCGK+QLY2Nj4xMT5XKZ7GTc399XEi26w7Pdic5A&#10;mvxnGbqhCNVXb9ckJaSlPiXkeaLhEk6iXCqPj40Vi0Vq3NrcWlMfUqh32m0qIg1ZCoXi8PDwyMjI&#10;nfewCB50RDEeE2LOixEjxlcG0MNdDMFPaIOA3K45Pz+/vLwshEckbGeoT9Qp7iIZafYr++rbra0W&#10;OwYHBw/MzAwPDVNIVT3IUGs2/XYn9Hw91Gx1b6ah3r1CDXATSlLXQtNUjyyEfqiHumM6ScdMJ+1i&#10;MTc0WEqnEs1GdWN9dX19pdtpk8+2rITjZNOZUrFYLpZTuTSER4uihivISU5pf4wvBzHnxYgR4ysD&#10;SOLOi2HQEQoMyYWAW11dPXfu3G9/+9sLFy7s7u5CJOxSnz1Ql9ysRDKBYiMl8qvT6UBvXdctlUqH&#10;Dx8eGRnudrq7OzuNRr2l3rriw5HQlVKHEaEC+UgeP1Xd/BNJQLlKl4nugsnmcrRrN7pfdH1trdVS&#10;t2tms1lEpProa3kgk0lrunp7y53tv+twYnwJiDkvRowYXxlEsu1jkhBig8kQdktLS++///4vf/nL&#10;jz76qFarkYy9cIwFgdm2vKFZnam0VBguMw1jcGDg4KFDAwMDiDx1z8veXr3Rdt3QgPLshHoCXX0v&#10;SD23TilUSy5+s1Ey0HKyGSitmM9nM5lUImG5bnd3e2ttbXVjfaNaqZC4kMuPjoyOj49ThXrgwesJ&#10;OyhT2s/Pu44oxuNGzHkxYsT4qgLyiGSYOmmJtltYWLh69erKinr8ThSVoixJobSZygHHKApUSBWL&#10;xZHhEeQaHLmxsbm3u9tutWFQRUWRsFMUF6hs6oxm9EBeRHqqJFgQGs3l8mR3nIRhmFRKORV1UbAS&#10;fRg9SKVT5ZJ6QCGXyynV2O29M0y15Y4ztDHnfZmIOS9GjBhfHYRau9EMXY+A+riBbnjtzvLC4vzN&#10;W8vzC61aI5tMOaZV26+QLJfOlJLZUjJjuJ7edfOZRCGbTGeskdHy5IHJoydmi6NjDd/f6+hbdW9+&#10;q7mw1W53tuqNtSBoFgskzvldt9NwjcCxtWQ5N2z42vbqZru2k3G0YlYfLidmpgcOTA8W88mdrRV1&#10;QbBSvXzlRqPR0a2Uncg46ezg+PjUkQPJfLprdPSc4tF7tV3MeV8mYs6LESPGVwmWCdPdvt3fMDzP&#10;r+xXFhcWNze3arVqp9u1LQtdlUqm0GiJhKPeg5lImL1XZao7LZPJxPDwcKlYIp6YDmi3Wy1YsulH&#10;ZzKhoV756gWeWqDe6Rz2uMpglwo6jpNKpcplhFzZtmz4bkd9J69OYc1mkwKRg9SejUATyNQrM8YT&#10;Rcx5MWLE+CrBsi1NEY8688jGdbubW5tXrlxeXl7e3993u246nR4ZHoaMID8oUD08HiDYuq12q+u6&#10;tuPkC8VDR46MjU+kUplu163XG/VGq9lsEfA9H8pTwktRn7pjJYweP2drGNrtB8pDODeRsLPZTLkE&#10;5xVJubq6uri4SAm6pkfnUUO4dnBwcHJicmJifKA8AAerNsd40og5L0aMGF8dwHNyr78fhIG6PIau&#10;QmDdujW3sbmBwCImnckgv4qlUjqd2VMvz6zWawr1et11XUQfe2dnZ8fGxmzHjr6Hrt66oj6k4Hro&#10;PDSeorUI6rZPHZ2nniXoybzoD60ZvcYllUqnHCfRbDQWwOJiq9VKppLZTJbUqMCBgcGxsVE0ZS6f&#10;M+Lvm/9hIOa8GDFifHWgHpVTgPEURXXdarUKsW1srFcqFQQWlAMbwU+QFZTmh2RQt7G4KLjokYNk&#10;OpMvFKamDxTLA54fbm/vbW7tNpodhJxu2PCdaainFJRWC1QU2k7TEZSU5Ieab5h6ImmlM4mMujSY&#10;gPWoqFKtLi8tLS8tV6oVKoYIE46TzqTzhXw+X0il1VvNQt8L3N4L0mI8QcScFyNGjK8OEHnRF1PD&#10;IGi2mpubG2vr67u7e4g4ZFo2k0FUpVPpeqNehQJ9f3BwoFgsZXPsyUQP0uWi114WBgcHk8lko9FY&#10;XVtdW1tDBcKIsJd6ej16Mk89AxH4BKKHHUzP913PJcq2rCi7elt0oVBE6Pm+t69Id2NtbXVzYwM9&#10;SdtGR0dHRkaopVDIp5JJzTQo2rBuX4aM8eQQc16MGDG+OtB1yCj04KCgXqstLS8vLS7u7O7omoa+&#10;GxsbO3LkyMDgQKvV2q9UPM8rlou5Qha2y+ZzxVJ5YGhwYHCoNDCQzuZ1w6pUmyurm6trW3uVeqer&#10;Xi4WPYyu3lWmHsNDFyrOgwVN1+10uy3fbzsJo1TOjY4NjYwODA7mNV2r1+vbOzs7u7tstra2qtUK&#10;9Dk4NFQqlTLpDHxJU+HpEKq+4/mEGE8KMefFiBHjq4RAXicdovNa25DM1latWnMcByGHtJqenh4o&#10;D4RB2Gm3SaxeOmbwn0mCbDZTQJoVi4V8wbFt+KfVbO7v7+/t7yH4ut0uHAlFAQSf3Iciyo8C2KVO&#10;pfoBjIhYhM9AvlBQr3SJvrreqDdoD+XAjXJzJxTa7rTZS/m7e3twMCQthxDjCSLmvBgxYjx2KJbq&#10;Pcz9e4iY5T7o7b4HgefZiQQ8BEU16vULFy588MEHrud2XRcGOv7UU9/+1rfOnDk9MTGeTqdRadV6&#10;Za+6F+paJpdJZ7NDIyNTBw4MDA/7od5sdRqtrhfofmC22n7H1QwrlXAS6Dq369VrdcSirmuGibL0&#10;NN3fr+z6QddxjDDsDgzkJ6dGILVqpbq2qt40BqGmkikY0TSMdruF7Nvb273w0YUf/Mu//PhHP3rr&#10;t29dvHBhfX0DyIG0I0oG8h4ZCcf4EhBzXowYMR4IdAzs4rqukFYv9g6u6v2+DdLcFwgmQS/d7RJ6&#10;Px4ASQN6paibUOTuR93tdqvV6rY6p7hbq1bVtwvyhbHR0YnJybGxMUSYaVk0ntardiu6VR8rHxoe&#10;QueRv16vo8lQZiSBclQCSUallK6uvqnnEgjKowsQobo3Brq11JvMUqmUYzu+529tbapvOOzuRS/Y&#10;VF+CNQyTumq1Gm1bWlq8dv36pcuXr169cvPmzYWFeaiOWmhAVHgP1NULxXj8iDkvRowYDwT+Hch9&#10;HHe6aSEw0Pt9G6R5EO5KLNkfhLvSSHYg9226bhfK2tnZ2dzcrFQqcPLwEBJuZGBwMJvJynvFaDZE&#10;1+60/MBzfc8NvGw+N3Pg4Nj4pOUkNrd3t3b29vbrjWan64ZBaIaaHYaWYmH1NIRpqaOGiojwdT00&#10;LT2dSWazScgunU0UiplkynS95vz8PEy2uroKAVMdmWipBxn6frPRQNXN3bp17SrEdz364MMKRMsC&#10;gkPgiKJD7B2jhGN8CYg5L0aMGA/Ex2RzG6K6ej++dKjzgN0uKq2yv4/Gq+xXaEw2kzly5Mjo6Ah0&#10;tbm1ub6xgeqCpKE9Tz2hEKqTn91uKpkaHx8fGR0hsLmxsb21tb+312w2KYHDRMDxRxjq4pgd6Mu0&#10;CKs7UJTc0yFSuRxYKhbz+QKkiIhcWFxcWlpa31iv1mqB+oyDesih2+nQR2jMarW2tb29sbG+sbmJ&#10;7Nvb30PnQYeqwJjnnhBizosRI8YnQc4uAsUHEQhLvFyL6qhXd7UhD0QMZHNfkABImPRysjQq9f7o&#10;Vy01klgAL8Fe+5XKtrpXcgfyg9tK5fLhw4cHBgbbnfby0tLqykqz1YSlVBGGFuohOq/rdn0ttBwb&#10;Jgy0cH1zGxbaq9RabReRZ9lJ20nbdlopNM+HkaA0So5qdlV79MBxrGIpPzo2PDhUchJmt9tsNKsI&#10;ze3tbbRmuwWZqZ4hA7qzVq/XatVKlT0VJGCj3iABBx4dVowniZjzYsSI8UDgxEXnAcSQ0kMR2EUM&#10;AfHyQnvwWfTCk/sAOgTwIskgLbJICQ9CVLlK0K/UiqCZBiVsbW2trq0i6RqNOjuKheLk5GShkO+0&#10;O5uot/19aJIyup0uefsFknEH1bW+Dkttb28hE6vVCpEcJYrQif5z4fDo9WPUqBs6/Oe6ve+hO44z&#10;UC6r+0IHBjkEOHd3dxda47CoCKpUXx1CAUfX/5SuJKenXlpGs9OZNPJwKHooUHpP8WiMJ4GY82LE&#10;iPFACFsIcNN9yYVLh+HkHSgQCHJnbW1t9cFYWlpaXl5eWVkhGYmRaDATGkhRzP2g3gOmHsK7+27P&#10;0PP3dnejl54sUS9cG71LrDQxMZnOZGr1GlVsbW97rgdPqgzqHhTNti34DMadW1i4fOXK9Rs3dvdU&#10;9XBxp9OFpyL6tg1DfVT29ts1DZSiUn2ey0FH9684pXJpcnKiWMzV6pXV1eWtrQ0EJQqSjlFtU/Vp&#10;ZvSNIWqHbPmLCC8zODg4PTV9+PCRTCYDv5KM44qSq1698wBjPG6o18r1gjFixIjx+8A/4J1hIBBJ&#10;FwXhIdgByoH54BI5Y0nMnRx5J8jFLogEtYTWSatXVarbTEqlUi/F74Ndkl62EgBw3pXLV9773Xu3&#10;bt6am+e/uYmJiT/50z/98z/7czj13LlzFy5c2NjcoKmg3Wq33QZsZliGevH0OGknnFSWXdVGAHdu&#10;bnc4rERyMJvNWnaWevd3l6klnSJ52ne9aq0W+l04rFxWr5N+5ZVnXnjhBd1oLC8tz81fW1xcfPdn&#10;7+zsbEP8kLOShrhUmNM0kbQcQqPeoAsPHjp0+tSpF1988fnnnx8YGR4ZGaEi9CX9QABepzOVhI3x&#10;pSDmvBgxYjwQc+027tjpdDY3NhcufXTr1q1Ks4KUqfgdmM/zQvRYoqG2yaZ6H1gt03vs7F4IHwBF&#10;Qrc5rJB11C5dveIrYsNkMpGybMv3NUgxm1WfBFIaTX3oPAVfpq0cxPb2W2/duHGj1ajncrkjBw8e&#10;OHDgX/3xH1+9euXdt357/vz5rY0NxJrcbFq3fGRWsVRGYHU9HaYxrBRhL7Qg8EpNXWNLZfIR9UJU&#10;jVZXQ9ilEk4un/O7zb3dPTPsEB4dyA8ND33nhTMvPP+C5rfffvvtD95/D6q7eP2aupBZbyAIbZsD&#10;SCj20vV6Tb0LTfFuuz02PvZ//ev/64//5I/z+fz0wQMcddQN8Tm2J4OY82LEiPFA7GhaHVW0snLj&#10;+o0r77938eLFtZ1VGKVpKHUSBDrMl2qp2x0zbYOYarrVy3kP8PWy7YOflu7BfqapeK0n/5Lq7F82&#10;VxDOy6QzyZQShel0NplIFFLl8+c/evedt+fn50PfGx8fP3Py5Ozs7AvPPoPC++XPf/q79363sbZO&#10;2dlMllx6MQWNZnL5hJOot9R3zP3QIiadK9PaVjdwu66dzFARhIwu7AZmF+Vnm9QbeK16vZ4wffU5&#10;9YEc+uzbz506eepUq7b3y1/+8v333tnZ3ak0mvW6+lis63k0L5vLoRFt29re3obtkL9ITRr5N//m&#10;b/7sz/6sVC7lS0UOPOa8J4iY82LEiPExcAjiE4ST/HYIu6ydPXf16tW9Dy/cvHWztbHuIYW8jg5L&#10;aEqupT2LbcY1yWRq3agYhUAV0NuGprqwJm+cDKQStdX27S55Q0V6lh59EiHMpJBKBgLQdrRsGsoy&#10;MorxEpkMe00ne+vWzUtXrmxtbdkJZ2pq6viJp9F5UwcPXL127a1334YRN7a3VKsizhvJ5JQ6TGej&#10;M42dyv5+x9Mdxy4PjEWnTxOBunSHjnRgInUNUX1yr2PqIXVpQZfjzGfsgXJ5fKQ8Njb23OmnZg7M&#10;rK/M//CHP3znrbd2drZ9lUvdkmPB05lMOg1hW/TD9s62euy93mh32pMTE//23/67v/7rvxoeGVEv&#10;m444j63qlxhfOmLOixEjRg/INbZ3SpCttZ3333//yk9/OTc3Z61sVGtVq6mukAWhunRn6eosZcZ3&#10;2GYj5kO3kUt8Svh7nKdUoB+qz/p4ahMEoboo2MzAhaGrsoRuxAdd24QTmlETOpYB93p29K0Dx1HP&#10;z2mJSqWyu7/X7XYTqeQAGB4qFApD46PbW9vzy4tra2uVWt1Tj8opcsnp6n7LXKQau50ATdb1dNgu&#10;nS6hHpPJvKEeSKBt1EOVupZKdtVdLbSFXvAs0xosZYYGB48enhoZGX1q9kCxWLh+9cI//dM/vfPW&#10;b5WY831KLpfKQ0NDhWKBOqNnNpobGxvVqvosH5p4anrq3/7N3/z1v/7XCD5YXwgPqCOM8aUj5rwY&#10;MWIoKBqS+xVvu2Pky9Layo9+9OPL/99/XFhYPLJZJ/JA20smkyWSaZqNB9GNpHqG20gGJpQxoNQe&#10;Si7KHvGWG219S7marhb4ftBVz3mrOzegvUQiSb0tFe9XDYL+vq1S7tqh73nbhnr+r6YeiAi7huLF&#10;bsqBMTth9DIzVFUmHaTTBJ2BMopqu91WD82hzjy3G71NLNdUd6AU8sVcPheGVkuRkLp2qIcOXJXN&#10;FGFE31evkNZ19Qy7nU26rutHuU3dTyVTI4OFgcHBZ08eHxgoT4wNwZGXL5778Y9+dPb93+3u7rQ9&#10;P5/LjY6Ojk9MlIol2lmpqgfybty4Ua/VOSjbsWdmZv7qr/7qL/78L8bGx1RXRTpPdUqMJ4G462PE&#10;iPEx8MgSQEghU2q1OmpmY2NTvVsrCBLR5wvy+UL0ifB0MoVUSiQcotV7S/ivB3Wy8PeC0Iwl+x2b&#10;5PAQSCbUw2rsIDs/KUwVGv1PLRBaJp3OZtRH73LZrJJlCfUC6KgudVenYkJ5Brzb3dre3t1B/u1D&#10;OIi5Vqvlei4c2btfRn3cXN1OiVKEdMjVdbuNZqOqHhxUN50Cdd9p9CieOv7o2+j8UQILAXWvquvS&#10;FYjI+Xn1pjF6hoLVMSjK9Pf29paXlxcWFtbWViv76pk/SoPTOYCR4WEYsVhQ5HpfhSdH0fsR4/Ej&#10;1nkxYsRQEOcrEgQXD8nV6/XfrF3553/+57X/9QP8+J9109ls9rmmls1m8uoufM0OfDy4GcIRbJUr&#10;T4XqPkw5n+ndofM6utJ+rjrBSTxUovm62k5USKp76iZ/rRVpwbpFOKzZ6jt5VVKS11FCr+VDSe6W&#10;0aHGhufCUk3bgjVrjt1pd3bUUwz+LmTW7VYjVgkTNhQXZHUIN5sr5vN5TbPgqlZbPXLeaKqH/0wL&#10;fk0bRgKqg3kJFzMJcgfRhxq00IN0yyUIN3vowKTiZkstBTbWVubm5zbX1+iTrhcQQ2L6Td1zmkgQ&#10;gCe3trZo+dDw0NTk1KHDh1595ZVvfevbuWKBY74v50m3x/gSEHd0jBgxFPDF4o5xwbjxRqNRqVT2&#10;dvcgv06ny37lzZXoUfffQxIgctfRohnSU3897XUfqOt3pCehSkZR6qN2lrrYFqlEBdRbJAeRYyb8&#10;AVIpJfigHKDu6UymCBQKhVKpxDadUl8Larfalcp+rVZDWvEzmUpCVGREUaqCkGPRlnKV6lR1qFp8&#10;32u31W2ZjXq91VYiL6Iu9QCiev2YPHqvbtWJnkFstjY3N1dWVhbmFxYXFre2t4ikxEQymS8UaB/C&#10;lYPySNxWidVlPN+jQ2hGsaT+4yioVHVUjCeNWOfFiBFDXczDycMIhAng/xcWFt5///3z187fuHHD&#10;+O0FeO6v3MzoyOizNcUFI9Gbl61QvUJMYEQ6r64+L4dPUW6FCMWC6n0muhuolIFaY+sqYfSJHv4r&#10;N5T/QfuorSJENKJKFETLcfUCsdsxgs2gTvGd6NxjzdDZViylAnfUrTBBxTQhnpquDqGt2hF+MNCE&#10;CHUL/jM83eIw26GJDtPT6gl0z3B0ClFvYDFCw4KLc9ET4rCiUmyaevGYYYbIt0IhC2l5bhtydd02&#10;bYUyCRumAzEeOnRwfHwcIoTAocrrN25srG9A3ocOHXr1u999/rnnJybGh4aG0rlcdIgxniRinRcj&#10;RoyeRJMwAeQOGmhvb29nZwfVwl5kGE6fADQEQyjWup//jhL0wA9i7llTKyqKoJRfL+6hgXKKgOpT&#10;1/syWaUCc0r85fP5grryp679ZdWlQHU1UN3eAs9B4epcaP9reWEAuytd6agXSdNqeKvVaivNR6JI&#10;qKkHzeuNWh1eq1WrtSWwuLi8vLyxsbG7s0skZXIs8H8qlZyenn7hxRdfeumlI7NHyuWy+nqfadCG&#10;wcGh0dHRoeEhGhfrvD8QxDovRowYCjhxx1FX45B0+/v7H3744c9//vP2b85Va7WR5T1c9vfcVLFY&#10;PNpSnw/IRp/2DqOrdLJ0NqKLeLWUio8u1YXqYlyomZGDMSJdaETJo21IGrCXVfovumynmZEMtHxV&#10;jt0Lq61cKVSyESQUiXoEUVooyFBrWeqGzpZlwmR1dnlePTorqd4TEwQ/z+6i+ZoqxmtEt5A0Ewnd&#10;MPx8nnDDSdBO4tndim6HSZo2LhGJBiP6gd/ptNGZdEu324Ydw0C9CBTZSQysFrFpCMP9yR//yfe/&#10;/yY/L12+fOXylcXFxbm5Odju29/+1vf/6I9OnjgBQasDMK1YZTxxxCMQI0aMHiKaCBBD1ar6So6S&#10;NZubqB4UEaolukFDqbdI50WIWK33F0Eu8REQoaekYC+GkIq7DXUvJX+S6+Gh3jyt3gINPfnqlkqp&#10;mHqiOzPlul0ioV5iJmJQPcAXAWbKF/LqKJJJ+Aw514g+foSg60TftKNNHKaC1bvmB6sRSePpE6Ut&#10;kyklLbPqm7Q0nXj2EomcVJckIyrd2tpaWFhgxYCCRNuh85B9mVxOt0wdnRe9ijrGk0Ws82LEiKGA&#10;goEzYJTt7W3Y7je/+c0PfvAD68IC7vtQ4GQzmeOeek5gwFPKDFHEttsjLfVMnqi0pK/umnQ0RUHJ&#10;6LUrSfX5uTCLYtO1lLqxQ0ug5CCYyPHsJtUzf1KKHilFI1Tl9LZRmSonCNU2dKNP0KlgdKWQmGgr&#10;V/4iiahJ+yJ6CfeS6gxqU4cs3S1N0fmqEaDqFjX1jOCGrc58VhPRXS1JpJtVz2dos2UbcB8dAiNC&#10;sOxNZZKm+ni6OtKu26UcaoBlSwX1KMLLL78EavX6//7f//utt94KfB9yPHzkyCuvvPLSd74zMzOj&#10;yUceOOTbq4UYTwrxCMSIEUMBrmLb7XYReXt76nbNVquFx8f1o4Tw/rVarVLZ39vd293dJcF9IZ9I&#10;xfurl5GQXz4T225Ft0WquyIRaZCNupj3uRbbkTgE0I36B0QNVyQKROoh45CkIvVgM3iasFz/U5cB&#10;o8cKi6ViIZ/PZrKkNNXTBQFN63bVx2xdV71yTKB+KCjhC9CFHASiEKakKmooFPJwXi6X57g67Y66&#10;DNhosHsMjI6VSyVEI4WhfxX/R5Qc48ki1nkxYsRQwJXDGfv7+zdv3pybmzt79ixSb2VrDRdRbvuW&#10;ZY54mtI6gQthdRzlv9siXzR1d4blq+2xdtUyrXT0SpNcYMJD2Y46uzkYqjskCx6UZBIPEpqirXK3&#10;Sq4wIgO5P9OPtpEg7IVFw8m9nUlP6TfcVn+rnoZTLYBRdFPxim6qtFFqXU9XPLIGpoHc23aQeP5q&#10;Sr0RezllwFxLjoZkW9XVAwkVdTnPuz6QIZ9tQ5RwlQuBsaW1chLVTthwKQHKzOaypWLpyOGnDh06&#10;NDoyms1m0Mf/8oMfnD9/vlwuf++11w4dPnzq5KmZAzO5bI4SoGvaE9PeE0es82LEiKFoSWgCxw8B&#10;AKFA4tE68qwedLi/r8TcxzqPnypG/SPBOhKvXpfrZJHC60HKhGDQTRSIhKJ8WEdq/wyAepRkUjpR&#10;nbVUL0tRGxUThSm0p88iiaaYRpGjus7I4aDqcnBVqQSrpVLJXC5XLBYLhSISEJJDuqm2RSIvap4C&#10;If7QjxShdna7FA+3Ok4C2ps9Mjs9PQ3Bb25urq6uIoWht0KhMDw8Mjw0rC7mZTKmbalmqJYr4ozx&#10;ZBHrvBgxYvQg9AZdLS0t/eQnP/nZz36mXboBl7iGIozAVk/CqQe3u27WVG/SKgWWaVpFT0mYlCIC&#10;7Xh06jERRm+FNm3ybuo+7LOa1CzbbmbVjR5BqK6iOb46F/mvKh1IYj+rFGGxrd5G+ey2gabMNLuO&#10;7VTlg7LdFqwzWPU109zNqicIHx5pV23lvTDRq0C1brTtGOqGnZam2LFJA2mir1489ss8+s/fttXe&#10;pbTB7gWLQ3Yr6sYWy9Cjc6RhqlGvT5ZGX3jhhVe//9zs7OzNmzc++uijeqP2/vtnt3e3X3/99Ze/&#10;9+qZM2cGx9XnYe1UytIsV/PRelktoaqP8eQQ67wYMWIoF88Wokomk9HNidl8Xn1JNZVOZbOZXDYr&#10;n4Uz1L0p6rs/EB5chb5RaimbLZaKA4ODQ0NDiCYykj2Fo7csOFI9NiCfU280EIHVShW1iGpU1/0q&#10;lZ2dHX4iDTudNnoK2qRkyoYCkXNKZkWSC6HGAj36ezQwTcWstB/ll1Yvm87k8jn1iF+hQOPVRT5T&#10;tUHdDirvcFG3ccKWsLWSmYSJZFsqlzKZNL2H9t3c3II7nei9mnQdIpJOoz8hPFVj7Gz/MGD+3d/9&#10;XS8YI0aMbyrgFTw1Tl759+iWRagIzRfs7VsJxzMNL/DbYeAGvqtrvqGjiTy8uGH66qlu03MMzTJc&#10;ywgSWj1htB2jkTTqlr5v+Ot6dy/srujduu5tG17Fb1fdTtXvdHyvqfmZZqdm6hsZo2YbLVPbtzXT&#10;DXbtoGkGe462ng72bK1lhHXHzIVmkLCo/TOB5Ig8H1Wnq7fAhGyjEpSiRJbqurpCaZqOaSVsJ2U5&#10;WSs16BkZNyy1fCfQBtqBrRmDbmhoRsEP/SBIhEHomKERJAeyQ1Mjz588lcvmb9689f577+9u72mB&#10;Vi6Wjxw4/PyZZydHJlJO2kHf6gaF2IGW0GHNmPmeMOIBiBEjBs7/YzKBw9A64+Pjx48fP3ToULlc&#10;DoMA/kOqyV2Xnqs+nofzhxoRcOp+zv3K7u7ejtI6m9s72wi5RqPZdV0yKtWmvlEHqyrRphA9WkdF&#10;QrEkIIwcbDablSrl7GxtbVNmvVGncI9C8FPRDSCP8EKMag3qrPcW0NvF6hoKD4WayWaU6kP65XKo&#10;3lQqzSFwHKT3fHVTTCT7LDLTTo4atbq1tVWtVdG7hw8fputSyZQcFwo6KlqdN46v5/0hINZ5MWLE&#10;UGcUcf1CBH3+gwAsWM1z1/Z29uv1rqnrCburay3EXjLhWjqqq6kHrdCvhG4tcPfD7lrY2NS9iqFU&#10;Ws3W0W3bdli1w+Ww3XT0WkJvm5pr6l5CfZw8TFgZK9VIJVYL1q6t7xjehum73e6a7VcMb90J1tLh&#10;ftpyE04t5diBVbHMtK+evnt4oPDkD5GHwgujPwCFGupPMwPNCELDD83ob6gZDLT8AVeb9MxhzZ7q&#10;6HlPm2gGRqcz2obw3ILrGWkrqftG2szlkoVMqdFsXr92/er1G/DigUOHjs8en56emRydLGQLumar&#10;d8YEpuYZJh2ny2nOGE8SMefFiBFDIbr2pt4cJic58eAonlz0q+O5CLJ0PpdJZ0JDhxi76sZOL+yq&#10;e0C0rrrkpqnn1nwretWYpbRNqAWqwGb0hF/F61KmZ6rbKOVNYzYUpOulpvpqekV958DXo9pHOrp6&#10;qC4qranOoQYJXynCgZa68zH72V/RqfCxiO1xnmlB4OowgSo9onn1j6/2B47l2I6XVlf1GknLNMxq&#10;wmQFUE0ozeplUzSlrYfq03yBichbmJ/f2NjIZbNHjx49fvTY+PjEyPBwKpvtPZ+gio7+52fMeU8a&#10;MefFiBFDQU7xyclGPDtwHCeTTKYLhexguTwynBkq2+kUKs039Gq3DYG50KGp/tq23rb0lq17Gadh&#10;Gx1NqxlhKwhqob8fuDXPbSeM0LHUn7qQpi6MGS4bz+9adU1fT/h1XeuagZt0SoYdZlOGYzWMYEPr&#10;7iP8fK1tm1kv0bWdISj2s8A1ewqvdxkPDooISA/UPetK4YVK6lmhZoc6fznfTwRhxg+zfpDztHI3&#10;yLvhSCccMO2DoZMKQ9RextIL1WZYq2brzZW2u7a2try63Gg2SoNDx5966qmTpyZnpjO5gpOKbjGV&#10;y0dU6evqfTUx5z1pxJwXI0aMHtA5EJ6ECYCsZRUK+fKgel+llUx4rtfsqo/nQY9JEH30LhHd95KI&#10;3lEZBOr7c3rHRfop5ed5negqnplLs1tXz8AZph/6fmAi8Pwg1VHnVKuOesDOCpGJ5riv3pxSchLk&#10;2u80W+2W3Q0s0xr1Hduyh7zPxnnRy8t6iFivt3Vvv06FetXz5pH0ZGcG/Qc9RY8AqkcwNOhcvXYz&#10;KOU43H1HxTfSdrvd3m43PN9bbLS3trb29vaIHxkdffrpEydPnpyemdZDncWDKlZ0KQoW6raNmPOe&#10;OGLOixEjhoI6s3fHnSyEkXrQAqrON/XQNK1kMl8qjUxOHj5yZHRy4tDs7NTBg8PjY5liUU84HS1s&#10;qQuCYWCYlmZ5kIsbeDh9w7Bsx9XVrY/qPKIf2F0fXVUw7FwimbALmmXX7dDzAqfdRnVNN4NEqA8a&#10;jtF1PdvMJFJJM+kHWrZlBqY1eccX+x4GfsR5d7KdfM9BfUPdNG2aSvM09WyEqam/ttHpGoGSouhS&#10;H/0XZHwtH+qpjl9oeqXQmPSMYjeYbIUTnjnZ8Nez6YTH4YQpTbdsM2GZRsqGMc100kwkdIuu02i8&#10;nuRPfXkierHM7wFqd1116rj3O8ZjRsx5MWLEeCCQZWi46KG9bL5YGBgYGB4bnZicnDlwYGZmZnRk&#10;BBWYVN9bUNfG0GGtmnpntK2EkobvV2dJHQuV1kbphOgnJfrQf6iihHrIzXC0JFqrpvjNs70Orn/K&#10;M23HLjlJ0nTUo27oQrRgMODZCSfxCDjvAVtBaKjy5fu38p5reedZkFBfXW8n1YnflqMu5HmOerzv&#10;SkI9p++p97xommOn02k7nQr8IF8sksa2U+RFOaobZigK8kP73Qa7AP2mDrL/qYoYjxkx58WIEeOB&#10;8BApho7zthwnlUrn84VyaWB4YHhidHx4cKiQL2bS2QRyLXqNcy5fIJAvlvLJnI0+M5Saivy93lLv&#10;64IZ1LMBth+YupHRDQs605OuFnb0jub7I203b1rPtIxBw542nKKvhwk7HequF/qulw0cK5k4EH1v&#10;/TNAVxfUkI/8wTr88VMFbv+MknyMlhN4ho7QY0t8YGhm9LrPhGY6gZZG87la0dWHuvqIa0y65o6p&#10;j7pawQvLHd8OglzXU19d2N21Ugm/0/I4QgvB6FCHp2tdQ7Oie3CE8GQbE96XjJjzYsSI8UCgy9Q/&#10;6qxnjxp68kRFKRnn2E4mnS6WSiMjI1NTU4dmDrAdKw6ox9pMC6/e8dQHFTrqipYiHPy7eru0aSai&#10;r8a6noXv92z14fIhw8hk0rOBekKuaCeUOsw41NJ01QMMeV+93/mzcl4k2H6P1SR871bgWh/rPCu6&#10;70XC6rnEIFBP2KnrfORRd22alrU4lIfy9RStNTu24Xv+rttSbyJtt+r1uh+94dN2EnQTpfDH8QAh&#10;uT7nsY3xpSHmvBgxYjwQhrpRX93EQVi8dqSZQs31zVBLmHYumS4XimNDw9Pjk4emZganZwZGxgrZ&#10;vJVO2aaFuGmHXjcM3IShOVZgGwEF6pqrB0i3ltdt6KZr6VZSS6aTs4FeSqZebBkDpjPm61kvqCd1&#10;q+vu+i7EaZmOkU4cjb6r8PCwAvWhdtF5d6q9OwG1wWth9JYWEluBAc/xF+jqyh6Cj79uEMjH+eB8&#10;J9Ah7HRgZEKjFCYOdoxhT59ohQk/KNba7VbT3Nnf2tsOKzX0bMaKvrmu6xZbuD4qA8gaAtqLSPCu&#10;FsV4jIg5L0aMGJ+Cj10yyiRSJ0gVHS40TbSO7TgoMPVV8kzGTqvPqWdMdQmwkEyh9tLZdD6fd/Lq&#10;e+IwKPkNN7qq10b+dQM9idCxHA1GGA9C8h7rqGcksrrhB/6mFbiuu6de4uKldXZ+Zs67D5k8iF8k&#10;Xm5x6aEXxf+wFe1UrypTbxxV4NDBfsLmd9dW8XXHQAvuGqrNm26bbUNXd/W01O2rrm5Z6nSvrz6k&#10;FBWrEHPel4+Y82LEiPFARDejIIXUy8IM6EZxXiSLUD2EezEf/7UcM7CtlO1ky6WRkeHhifHB6fGx&#10;A9OJwXy6VPAdvR14LrpNV69q9k29m0iqs5ta19P88VrTNvRTFT9tGGV2N9srRsfrtLes0NcCw0ro&#10;Kftkh2o+A+ygp+16l/GiSLYcAVDb6NE9OSb+ch1dffABfRsY6l9N75iGunPVsbzowUQ0H80NoltQ&#10;KWGkpg22gkygDXXVO9sGXM2zjIKvdwzNaLR2G/Xm7u7O/l6nXjd1PRm9pZpctt37OkTMeV8+Ys6L&#10;ESPGg4FrV9ftlK7r/YgiNYSaoq2I6nr+X8E1NMs0c8l0qZQfGhwcHx0dHB4cGRnVkxYqre2qL4kH&#10;rTYUmtQMXL+nOcrz+0oVDVdbyKenGooScqZ6Bm7R6Liut29BW1rSSBD/WTkvei2MEE0PH7MdkHAU&#10;lHAiulwIpbGVez7hObZQE/wU3YITsBBQ24CfQUJTt5Z2EuozC42swz/VjHpOcc/ROdKVemVvb3+n&#10;WefoEulMKp1KpSB0gwQQpCow+qpfzHlfJh7la1tjxIgR40540cNnvu8vLS3t7OysrKysr69v3Ual&#10;UtlenSeZ01Tfdx1wzXwuN2nlbMceTeY833eb7QZot0hjq8/yJP/VZjebzaYthzKdUN0hAl10Op2q&#10;10klk40kTNPaRmUZZjepTiGOVdW5RNtSnJSJ3iRabgaQ7HAXHg113ydcTaibVarqsQI9FT3zbkYn&#10;UKNbWLRWJMna0eNzdsSIA6o5WjrahhkbF+oHehD4bU19e33HUWT2dnuXFn6QC123e2ssPTIykj4z&#10;Oz42fuTpU6wADk1Ol8vltG7rhm7pUQW4YXhUnmnQNa/dVU9HOuadbB3jkSDWeTFixHhcUEImWlVn&#10;MplisYjrHx8fHxoagr2QSrBCdX+bgOGqJ9wc9W12P+lppmGmTVt9njz61nk3Ys1IYgWzLfVYn6kr&#10;5aeeJTfNwA863Y7SZLpe97utVqseKN5yDXUtLd+NSES96lK3o+V9Ovq2bUY9Lhjq6rN8WtdSO2A1&#10;ktnRswSqdKXt1NaLrr6pezVvq8Z0dAsqEhUEtnqPjCpLC73oPWNtW314r1VIw8c7WQvWXzFcNOuG&#10;19rb3/MC3Q/8bDqTL+TzqQwiLzo/HKq6IwJGU9Ni9SiFibj+WEDHeFSIOS9GjBiPDOqkn+KYnquW&#10;ANt0Oo0+g/YgPHVLi6Nu2mfbtFwrk3KSCSOLztKrfgcpFWScthFWNJe/fc3dM9yK4e9bfkX3NFtf&#10;TWprTriSCLdSxlpKX7bcBcNdzxirlnddb80HzcWEv5s211PamuE1XH/DCrbNYMvRmkaw76gLcQ0H&#10;/gsgORNahBpNH5IJzMAIg5ZldE3dVDdtovl0K9DTngo4vp52yapiXFP9tR29ldCbtt82Q9fQuqg7&#10;jlU9i2jYupZMpQrqhhcj3/TCdie729B2qs7yTp0EzXZSN7OWYydsBGhg6j61mWYX0gt9Q90kq55m&#10;6NFdzHmPGjHnxYgR45HhXs6LHLiCxJCAGHXFLpcbHh4eGB0YGh4aKQ2US6WMZnU6bctVz+p5jVan&#10;qx7w9uTr6ZHqQlEVaq1Ou4Oa63Q6XpvknXaLfzrNTrvZbO42a+i8rhFaluXqQbfbCTYrrZZ6foCU&#10;ZqdLCXlX3TaSJ6iFjq8aE0TKCl1IjB+101YH0dvKkdy+thf9iNCLV1c10YXql6nEpBGoL+0ZVU2V&#10;XFcvGTXrGfWW0bajMlfSjvpqvGp3G23rOHYmm1VP7ktXhepGGMV2UroqOgrEeHSIr+fFiBHjkUEo&#10;DfR+3wFcDXvZAl/dvq++QLTkbm9ubO4sra6tr69eun7p0qX9pXXi3XpTZVC3zxjqC62WGaqv/+jB&#10;foVtIjqr6URX1xz1aLhVrdeJ6VrqKphVzOZzOdfWYRZ9cY/SDBeNpo8FOlrztK/eGXOqrh63mGi6&#10;lJ8I1WtBXURkGO6l05SZil5knY22TnQOU85t1h21rSbVthVd4XM8dfI0Fe3OoP50zfItDr7SdU3L&#10;rKUdDnnVUJ/D3fTbnuv+ZDzlOAl7qKie3H/uxDNnnpl67mQpV26p5wN1O3oFdUoYj6PzAi0Rk94j&#10;RqzzYsSI8cig6O5+hCdcCMEARUvqSwy24zjJTC5XymUSScs0E5pitbDdbTZb3VZbWBE2shJ2Sn28&#10;PJNOp50wujSYzROh+QESLvR80zCb7VYmmxkYGZqYmBg/MAOjDIwOlwfKo8kCgtIxjMD3nY56/1mp&#10;o96NOe6r7yfkPVplWNG3DwL1+ITWjp4iEIXnRNs772fpRtf2OhHbCQuSN7pSqE5IOiqRbiry0pTS&#10;NK2uY+mG3rJ0Dr+tbvQMz2kt1/VaGofmtUho6J5jIeY6gWfapqMrUrWF82gNotmKOe8RI+a8GDFi&#10;PHbAX2yFDnH9IvgIwxgpM5mwbRRdLp3NF4uhYTQ67a1ataOHTd3vWkaQSdr5nFXM2fmMMT6Snp4o&#10;HT7gjI82E/ZG4FYtvZ1Nm4MDQ8eOHHz+2aMvvnDkhecOnT49cfzY+JHZgaNHE9MTbi615xgt3921&#10;NMf1q6Y2biY6tlHuhpppZP3ACkLH8x0/THnpbNfwYebQ2E8aTdvYSxmVpNFwjLpjdE31hzYMdJVG&#10;04xUCGEZjq9uuEQdmqGWdEPLDzOhnvQDx/fSHTfheYWOn/X8AS/c0cMR37CCIFFr7barfqW63W1U&#10;93aNXMpy6Ah1UVPdQaPIX3WYekF1jEeKmPNixIjx2IG2UzwSndUUzYcQIqatXrxsJBylrgqZXKlU&#10;1LygXq+trKwEge/6nq7pdjKBhkPnJZPJobGx0dHR6YnJUqkUdN1qrep3PfTi9NT00aOzZ5599vTp&#10;08effvrI7JHJmWk03+TYZC6b0zy30WiElWq32y3WO1DurJmiDYPdgDak1DVIpJn62kNgqkcW3EjP&#10;iaoThXcn89x5bS+pntzT1Tff0YW+0mZoRKXQ1FEG7ei+UN9RX4owUwnav1rO0tq6EdSq1YXmfr1e&#10;39W9Vqs1MDmZTqWzuZx6I6mvylTXCFkixDLvUSPmvBgxYnxJwJVDfsJ/EpNAJMFqoZnwtbTplPOl&#10;ZrV+6eKljfWNZr1FhlKxZDlOq9myLWd0eHRsZLJcGBjIl4u5YtD1lxaXdV8/feqZZ049c/zo8aOH&#10;j06MTgwUyqlEOmU6aSORKOQ80/JgkmSi3WwubW8ataZdzA/5hmtbA57hO1YKllInXG3DSVpV2+qa&#10;rQx0Z1wthZuGfznVnTc7m4a3bHbb7e5u0NXa8LbmBIYVmnY30DzdhJoDPfpmoBE9z6C7vquehLCQ&#10;kZpvqTtCQ8M3tSB0jXLHNz0v3/ICM8x1/LrfdXf2AhTkfhWWy9B0J4kYNr0gOrcZEe9twNlQKW3t&#10;/Y7x2RFzXowYMZ4cet9J0A1dd2zbSiT2d3bn5+dvzc0FvgTLHiwAAOZrSURBVG/adiKRVJ8S6nZT&#10;mXS5PDB18NAQKJdJXN3b39jYKGSyJ048/fJLLx08eHBsfDybzVq2rUW3+vMfKtJ1fVQWGktvNLa3&#10;t62NHdd1D2sJmGPUhVOsjKcEmhF4OhzTUYqzmVRnX9cS6j2ZFc31XNdrtLudjlnvkNfseEGoLv8B&#10;S72UTbPU83W6gzKLwkroQaO6EVhEqwcbaIobsXw9nUHgdpIWCbbtkNI2NHWHy36gPkJkJZLqoY5k&#10;mqNW37KF2yDT6Dww5ahCo/e29FcMMT4HYs6LESPGk4Mb3aCoqQ+xqzOIfrixtn7rxs3r124gvLLp&#10;XDqVRs95bbeQzo8MDB0bnxnJlwpOKmh1Kpvb9d39sYGh504/8/or3x0YGU+k04ZuaYrDordnhhqF&#10;OpqRyabTyVStVplbXtpbW9/3OkXTaThmyrCaKcc3jYpt1k193zaKbhK+nM9rVT24kHc3g+6i0dkO&#10;3U7HrWq+2QnatFHT26besPQ6hBoaTd3sGlbHttFfbQtNqbctw7N01zZdmzyGawW+HkaMGpZdu+xr&#10;KV0vd7Uw8DPVdrPVtndrlWrNrrV03ciZtpNKp5yEnXB0RW3q/hd16+ntV5QpFr3fXUIxHhLxeiFG&#10;jBhPDkqyRB48CDq12ubq2urq6s7ubqfTsS0rX8gXCgX1Kb5U0kGsGWaj2dzb21tZXVleWq7Xapl0&#10;emh4aHBgwEylerd7IBw9T73TJALFJ5Lq4QQn+tA5MUqdhWG1Wq3Xa81Gs9PteJ7SbUoVQjKRhPJ8&#10;Xz3z12w1SRFBvSTMUq8MRYHZ6o4bHYmm3vlSr6uXo7VbbtdVZzyVIOvREq1Rm4inVFOU+gs934PD&#10;kIAUlM1ks7lcdHSpbre7s7Nz8+bNixcuXr1yZWVlmRZCdWSTU8G0mbAwHyVEBcb4PIh1XowYMZ4o&#10;YBlD9zx3dWvj1tLi5RvXrt26Ob+8ZKUS+WIhlc0o/jAM6KGQzzuG2WzUYcaNzfWu76ay6aHxsbHp&#10;ieJA0XYs3TLUG1XYOKaiQEpW31VA7gWdduva8txHVy+tbKxWddjEqyQMzzR2U2bFNrbS1k7a2c46&#10;HcdYSfpXUp0Vrb2stWuea7Z9y9UOGvmCnshZyYSV2MyZ+2bwUbY7Z3Wqgbnh6PuWsZM0W5axn1Q6&#10;r26bsB9qT90YoxtmGOihbgahFejllp5yAzsIc93Q1o0B30DQjYaOG2jZll/tdnUI1DQyyVRioJDM&#10;Zxxk622qk94CtD6+pPe5Eeu8GDFiPFFECgaxtb2zs7CwsLGx0W63Rc2gpdgmksl8Pp9KptA6iCqS&#10;LS4uLi8vkwylhE4Kg6Baq7Va6jF2ZJHhOCLXFNQJxQCBiDizbQvuVEIvUK96YWe3i7asVfYroFGv&#10;o9s67Q5b9WLrRoOweguo7aTT6SRq0VafUEAR0qp2p6Pe7tJuea7bJRxlEc2HKGQXh+NHD93TfqUr&#10;1eP16j8nkUAvKhbXdcu2OCjaz0FYpkmWvf29hcXFa9eu3bx1k36oVWsUeJeqk7y9HzE+O2KdFyNG&#10;jCcGT1cPdwe6Xmm3Lly/+tHVK/OrK5v7e023C1P5oUqgnmJ31N0sumW1g3a1VV/ZXt+u7oYpO1nI&#10;mLmknrJcR73x0nd01wz4o0BfD7u6b3u+Fviu5dfq1YtLN85fubS2u4WYGxgY6GQcN9Q2w+62117X&#10;3E3T3zSCvYR/y2gtBI2NoA1bQVGzYW40kT/STeW7uut6frNzId3e09wPh8OtrGFaud2kWTPCbTPs&#10;eN4uTXbdauhnDLOr6wn1hVs96YWWelxPfWA945s0CT5PBqFp2plA93Qj44a1IEh5WgVN2uzsGbRd&#10;aztm23PTBkfOoSfoK8hP2A7qjTovxudB3HcxYsR4kpBLXl23u7e3v762trW1ifZKp9IommarWa/V&#10;EVKRSFJnJNnVbDRRVPv7+7u7u3sKuyi/9fX1jY3NnZ0d4hv1Rttve0jH0Fe3PmohOkxJuUql02mb&#10;pqne5FIssiXcddWje9VqVdReE7WIUGu15KkAy7IReUplplLoM2I6nU63I7usZCrJVi62ofeQfeSl&#10;NKAknkJP5fWPNOh2kYaBHxCmdvVWNcuE1LPq0l6OWkjMIc3NzX104cLZs2cJU6Zkp9J+UTE+N2Kd&#10;FyNGjCcG3fVw+WGnu7a4dO2ji9cuXNzb2EzqZtp2colkwrQgOse2Cvl8OqUeIHDVacx6p91NJFKF&#10;bL6YK+SSGV29+kT3W12/2fUanU612a40grZn+ppt2eubW1urm3tbezsLG5XlnbSVPjxx6Knnv5Ud&#10;Htu0jauN2pwZVobLW+XcDTPY1r1FWxtq+Ak7+VpdP6olT7vBtOsHKTcM6ldSnc2wdt3WqoFb862w&#10;pbU8JJq/ZWl7tr6SdVZzzmLeuVlwliz/Skqrae5K2kR/1hJmQgtdy2glvFZK0x3Nd4Ks66V8d7ql&#10;z3ja2H4ws91Kto1DDaNuJ1IVd8M0gk6YTmjZTMosplpep254mmkjVGqdZsqw1T0xnrpgqe541bQG&#10;6wZ1k2qMT0HMeTFixHhiCH0f3YM62tzcvHr1GqjXG+l0Sr2RxDBQNmwzmWwum0MVoaW8IFCXynwf&#10;fYQqSiaTJHBdF82HBARoNaQegXa7jVzLZ3JIuK2treWVlZXl5XanMzo6Ojs7+73XX0fqua5Xr9eC&#10;MKAcyzRRZYl2Bzk22tWSycQh30ylU4OGhRrrWOpGzWX1zpT2qhl6rlcx1BdiLXWLaKDuxQwRYWhR&#10;zVZSTE+0On7gF9suUWXXh9dzgRZ9EE9dnEPYKp2ngqEWRF9gT2V03djOqHOYt5J6t9tZT2jUWMgm&#10;OXAj6aj3k6aStm6bmmFYhh1Gp+hE9UWcF70QO+a8T0fMeTFixHhigCmq1eruzs7q2tqlS5cuX7nS&#10;ardgo1K5jK+HBuC2BIRkmd1ut9FouIoilXtPJBLqldOOcvLENJtNSI5tPUKno55AIIsWhjs7O0tL&#10;yzdv3tze3slmstPT02Pj48899xwFbWxsrG9sdNptCIXq0JF+tWmYVll37Gx2yEkG2XTomLWEtW6H&#10;26E3ZwZ7XnfN0DtB2DDUF/PUJUHfRwPyX9dQrxrzjLCrh812o67BoZ26pYW6V00ZHTvcT+op30TY&#10;hrq6ZVQPNS/UTE9Vm3ASHInrWCk/2Ddcp9aou02nUjUc22+2ddMsZeD9XBL+1QxFe3JfS8R5ovMQ&#10;eUBxZoxPRMx5MWLEeGJA8WxtbiLClhYXr1y5cuPGDbiqVCyq78rCaqk0XICqQ7ft7+1Va7U6tOeq&#10;DwCp95Vks2zlihoUqEhLXVdTn1aPrqSpGyx3t7Yhtvn5ufmFBUoeHhouFArdToc0aMqLFy8S32jA&#10;c9Fzb2Ho71cpcFRT720Z99RNkna73e1097rqYb21UBW+Z5kINje6A9NRH35QN9pQtRcJNh0KQ/U1&#10;GoHvZ9rqyl82+p5DUn0L0B8I1f2ihipYj77eEJq+upzZicqpZhIcy3rWhkK3E+hIv21pEHngmKVS&#10;KVXIUzpCkXrNUOW6k/NE58Wc96mIOS9GjBhPDmGICLt+7dqtW3MLCwtb21uQQSajXsScjz4qm81k&#10;4KT1jXXkGqxTqVWhLugtlUpBeGxhO8UBEeFBEsJ5QJ4f2N/dQ8ndunVrdXUNGpucnEA17u7tqbOo&#10;VDo3R7Ge5+rReVTP9dx6V7eclOl4iYSvh1tGuBq2F8LuVa29pPnzlrZn6TX0n5M0HRqZMn1Xg/9M&#10;XT2QZ2o+WyPs6GEn6LYtPdSDpqP7pl+xtYbhbRvegJ6FYD1T79rqe4CuaSZgZ10zWu2kriVMI+8H&#10;tGW466dCb6TZWUUDqvez6APpXJIVgKYn7EQ6mYxOkfYQc95nQsx5MWLEeGJAct28dfP8+Y9u3ry5&#10;v79HjHqCDQLTtMHBoYMHD7KFxXa2t2v1ehhq1XqNNDAcQBIpYRV9mQiqgwuVwIrubCQgtOd23J3t&#10;naWlRXgul8uOjY/Dkc1Gc2F+vlqptlst0kN46swkXOl2jbZn6EbOVxfnkk31NfZuQz23t99tUmAV&#10;JUfJpvruuWaqx/UMV51TFIXnRp//UVfq1NcV1GPjeQ1NZufVSzJ1h/b5/nDbhJjNQF36S6jvJ2hJ&#10;9WZqDd0GzXcTDuXspgwOrpJQrboWKEkKiVJamLSTyVSpPADTx5z3uRFzXowYMZ4YqpXK9WvXz35w&#10;dm7uFu6+VCqj3fDyUMvo6OjRY8emp6ds20bqEWnbVrPdwvuje2CQdruNkqvX67VaTZFTt0s8zAGr&#10;kYUwBXbb7Xr0KAIaLpvN5nN5JZzqNYgQXoy+X6su40Er5FdPkbu6+jaeFjYNraYH2+g8x1+3jcWk&#10;tpkwtx1r3zI6mtmCaVzN9fyG1mrpXkMPOjpcqAc0zTThZDvQLNspmU4ymS6almklEqG6baXT1qu6&#10;3ja0lrowp7Usw/HJqOWC0LbRfL7Valm+W3aDjO8PNDtXbDvha27ga23XNbRSFu07wnH07l6JEHPe&#10;Z0L8fF6MGDGeGNQZyGZjXz1mt48bL5VLhUIR+aRO+Ol6Jp2G+Q4ePHTg4IGx0dFSqZTJZGA16Aq2&#10;29raWl1dXV5eXlpaIrC9vQ3/oaKs6CPsAD5rtdqopegZO3UjKFJybX19c3NTSUDPpQrTtJBmSoN5&#10;HtoOmqRqfsKggEBfO0Izam90+lTdL6MeE2xAlshDz1Uv22QvBVIL9bJFrdqOepw8yX+JBM2mSc1G&#10;g6rJLoVHlx0DJVTJHNVLWfyyLFNlhDCj87dUurW1yZFubaljpB1R58X4PPjK6zyspBf6/Wc2+/FY&#10;oQQExBNzV2QfZI9s7+Ny+ikl5kEZHwfurZGGPagBHBfp2XtnAonp/fh99A/wLtyVnhqZb4A53Iv6&#10;fdxVnQQeVOnDg6KoGjyo3hhfLTCgOHqcvoTZ8nNlZWVne/vK5SsXLl7Y3dnFvZeKRdtxsB8c/fT0&#10;9NHZ2cHBQVTa/Pz89vaOpmv7lQpybXh4eGhoCGqBACAPSA4TZUuxIvj42Ww2d3d393f31GudfR+j&#10;zGZzhUKB2ikQned2u9F7yhKYWbvdgqnYOzVz6MDskUPHZgenJtMjg85g2R3Mu/lMo5hppZy6btTV&#10;RTojtKykrjh1L9Hq2lr0CQU9NIzAMpI6ZGel2p6tW0OemTTsga7u+Gauo7GtJNMtx66b4Z4WtAO3&#10;Zuu2obWTiLkA8eeEmuJqONv3TT/Ih/rZdKJda7Y03wx1N2HNTE0dP3UqXyqqPpVJpmvy2IIfRcTP&#10;KnwqvvKch09khggkfGeMQFLKTJO9EnMvJD1p+oVIvOTt//xyINXdWSnNeFAb+m3u/Y7wCQ1m133R&#10;230bxFAsc1v23oteugi9qAdX+vCgEDmi3u8YX3EwoFCLGBJmDCfVarW1tbXFufkbN27Ozc2h2+A5&#10;9fU7Jby0bC576ODBo8eO5bJZNNzlK1c2NzeYhcVyaWRkZHx8vBw9zCBqifRCfkgoiiVMaShHOK9R&#10;q5EMwUThuVwOWkVcNZuN9Y112JFmQTGU0O500GKDA4MvvvDtkydPfuu558+cOX3syBEqShfVKz0D&#10;daOMhZrrkqulVKGlzr8GLasTHR7HBeUYuAnTU0dntjrsTUdf2su6PuSaid756Tvq++yh10XQWW6H&#10;cMnXmGC5jrp9E84jxjV0tGlb3QsavJUw1Xs9LXWZ0y7nDx48eODIEfQuVap6IwjnyRo/5rxPxdfq&#10;et5dzNQPCPqcJz/vhOwCd2UB7BJgxxixgJ+uOpvxGMFEZSrKlXmqe9BBPTwopB+4s8D7QtIQ+NTq&#10;6A22dyX7hPKl2HvxuY8rxlcFDD2zTwYaC9/Z2YHqLl+8uLi4uLm5CYvg1iGeVCqZyWYGBgamZ2am&#10;JicxsGvXriME9/f2kIClgTLKb3R0FM4TeUcCJgtlUji0B9sJID/QaiKrbHV+MDpJaNkWVNdoNCHE&#10;bqdLllQyScMopzwwcOjQoW+99sqxk0ipk4eOHhmeGMuWC3o27WQzfirhZNKaZYaGnlDX66ysiRyz&#10;vIKpOxZ1q1dkogA5Rl9jm0ALarrj+lCR7Ye+admGFTg2KrVh6hXNRec1dbfmGJqhVRzd1Iy6Y+qG&#10;1XEs1+BPb2u6F+rvJg342Es7+UIhPTF88PChiSOHc3n1hH5f59GjBNXNn5qm1gsxPhFfB84Tk8X0&#10;mU4yo/qz6170s7Dt/yRATLS/F9OHxFA+9MNsaUeQM/L8fHygOqlFlrGYOLi3eQ+P6OA+Ri/2AaA3&#10;BIQ/OfHDlPYwoJBelREeSZkx/qDAsPZnJT+3t7dv3rx55dJlyK/RbBAj+zLZ7NDg0NjYWLFQsGyb&#10;ZJcvXbp+/TqzIZ1KJ1LqGwtDQ0PFYhFRKG/O5Ofw8LB6pC96RB1XAJg4yi24TB8kproWB0kxiaK5&#10;3CWg2hPpPHZBn1OTU08df+rEmTMUNaCqtuSDDGY6kcvlMwNF4keGh9X1xeFxthOlIdjXKDlOwgn8&#10;UJ1Q7fqUaQeUauQM9dRgRq1XtVTXRRKarF9dt6Yb/BuEHl3gqEfYtVRbvcBzMLTolbS6PVNdC6TB&#10;3eg43onexmKVchMTE4OHZ2Znj0wfOkR7DGE8WUBGQVVizHkPAeVoesGvJmh/ZOHqwg/mIjGYtZzc&#10;vy8kAbNL0gsoIZpxkeHchnSOsB0MBISNPrn8RwJaQu1smcYyt5NJ9Raiu1p4F8gibVZH8nlpo18I&#10;2345n7U0KeFefGo5/YyftUbBg+p9ED5fLTE+B5g4imAiQEhXrlz51a9+9Ztf/mp/f7/ZaAaB3+kq&#10;4XXwwMHjTx0/dfKkIizX3dreunjx4rWr14IwGBwYHJ0chw6np6f75zZlSlYqFbhzeXl5bW2NAAqP&#10;eCZ16PoYBSlz+Tw54S3EIrnwGojL/UoFi4ELIc5TJ0+dOXP61KsvFouFwUQOraa31Q0srdAn/W6g&#10;Vp+tbqfVbHo7lZ3tnfbqVrVWvbE1DysvLK9ubKxXGx3MzzLUkwzJUH2lPe2puylzvqcbRjpUHibl&#10;ZdUFu5Rh205C6+BJCpU6Jb+QGXIceyJQjxvamkVME4r03P9PQr3wOnV44vTp0+Vnjp08eerIqVP5&#10;TF76EU2pEJmwG53A6vVvjAfjK895gEMA2Jn8FIqSm7swHayKAPEYHCCMBSujZ0UW3dnVT0YM4agw&#10;1SeSntLYK9qu2WxSMnlJ3J+9jwnSZpoH1QnnMRk4RraS4F70G0+zZQUgAbbsVQdzO8CWQ1B57gey&#10;SPZ+Xsrkp+y9C/1ySNnPBcgi8XdBCrwX9Ce5HrT34fGgeh+EL15jjIcB44KpsFLEStWpknb7woUL&#10;P/vZz957620EXHQviaNORbbahw4dfO65515++ZWNzY2V5ZWV1ZWF+fmNjc1EwkHPHTl+TGmsiQlY&#10;irmAvVEgkxTihO3m5+eF9ra2tpitym7V+UbkmvrkLNkHBgbSqRSmyn9bm1srKyu1WhWB+NRTT734&#10;4reOHp09+MxThUIhbyZVo6M3pMi97TVdnW7xtRBvEOxVt7e26kvrVLpUVR+CmFtUDd2t1DkuTx55&#10;qNY56JTyM1rGUw9RpIJond1CqSZT+UQqlUrq6uJFbq+C0HvGKXE4U3o6lUzZmu15rnrfTNf9fzsN&#10;mG/ozLFXv/vd0RdOHjlyZPjATMJOOhHRxZz3OfB14zzshBWfup03WktCUX2WkiPlp7AXe8XJkgUQ&#10;SRoJM4uUdUbuW5l4NKkiopTbi1VRX4KvlIPCF0B7bGkPMQR6u+9Bn/PIhXMBZIEvaSogEkiAxH2u&#10;ugskgH6YflKpZJEyeyl+H1IpAeoivWSkBHJJgrvwoHh184JlUYJUSkx0KI/dOB90XDEeE+R2ymq1&#10;eu7cuR//+MfXLl9hpEvl8kC5XK3W9vZ20XAvvvjiyZMnoZGFhYX16NECcpWKpfGJ8dnjx0ZGRpBr&#10;6uJcZOHMTTkBs7q6SnoID2xsbIgTMDWd9WIhX0imklTE/FWRppXOpGvV6tLSEo2ZnJr6/ptvvvTS&#10;SyOjo7mZAVRUVs4RCo3oahtY6lGFrnqFpq+32o163d2pNJsNr9viWFZ39xCXq9Uamm9xZ6dS2V/e&#10;WmO13OmohxlCr6Vrum2oSXR0LWFblp5msrDiVp6k0GxT5lTTYOIcMHKpdDqpOYrzOsrn/O9sB86e&#10;+s4zf/qnfzr+7TMTkxOZ0gCzIhO10LrjyXQ/auz9V6Yx7sDX4dwmdsxWXHOj0cD4oD1hKSYDMWwJ&#10;C1dhoEwGVpTEkB2XHdFiZ29vjywEJCWlyYzCTMlFMoFUCh7EGY8KUi/NoA20hAC1f3KlpAcEyAvr&#10;APKOjY2RV8ohXrb8lMl/L0gAb+EmICHcCoVIPFkkcF+wl0aSvn8allp6+34fDyqnXC7DdpQglZKM&#10;4+VwHlTOg0D7e6GHw2ctP8YXBBMNcmKSfvDBBz/60Y8219Zty56ampycnKo36psbG+MTEy++8AL2&#10;sL6+sba2qp432K9g+2Pj4wcOHDhy7Ki63jYwgLVQGhbC7GY6Y89QHboNhafeHL2+zjRXxuYFo2NK&#10;F1qmRfTS8jLxqDwimemriLPd3ePHj//Nv/2bl19+OZ/LmcPphJ5IIZ2YSg0Pe9Ls6BphRIJditPC&#10;pK/8gNFRn1Tw29H7WbpdWBnOW1xcvDg/t7q2dmt5gaV1paLY3W1XaWdCPapundjOEu4ayvlYpsex&#10;D/vqHpzCeg35d8DMZzKK8+DLBuqv0/3ZhKr90Hdf/Mu//Mvx75wZHhrW7bSneTHnfW48Yc7Dr2GX&#10;yjQj88WEcJ0SZku8RAIMS5w+wL4hp3a7LZqMrdAeYRgOI4bzKIcEfcKTNAATJAYDJYYsgEjKJEad&#10;cInuGZEmSXVMLaklnU4XCgW8OQmoHWJQB/DYQCNFaVEXh8OBECmdc1/QQmaONFvCZKeRpVKJSBJE&#10;x9SDZLkvyEKl8iQsAShBeulBx0tdbClTyLKfEUiCuwCf0YF0KWEOh5/CwXKw5CVAfH9c+qR7F4gn&#10;DbWzpQRql6KsaFV+L2hWNOge62vkKOsZtqrStLpKStVCfvQ2jXlQ42N8bshgyURDjZ09e/b999+H&#10;IUCxWIThsByGA3NllTYU4XoEpjPzlxGZmZk5fPjwd7/7XcyMdRWgWKaJzFm2sKm8pRpdCP8xlIOD&#10;g0PlAVIODw0lEknq/eij8zAoMZgB4w7/4RpOnTz513/918899xwNyBYL0uCHBJZMORgP1ckFRUCb&#10;b926ReEEaFV0zrbXzmZQZbqkPNUh+Y5aog2E6jtBKc0IID/Log2+pdOqLjxrmetFtfR89tln4Ty2&#10;YpkPmhQxHgZPmPOo/ZNdMBDGwu9jNJgRcwZgRrAXAZF07CIZICDmhd8knhjsTJHAbb4kQCQGSoCq&#10;aYDEA+LJQrx4YcmCeRFgy2wcHR2F9jBT4nuNe2ygUnH9HCbrVqaTuOPe7ntAepl7ckTiuGk2DkJy&#10;se0H2D5o3ImnXvICAiQm5kGJ+yAZtVOdVErGB3URRbFLWigNlipoJ7nIC4iXlECo6F4wrGylECoV&#10;siRvhjX6faFrWIOuG6yjEaPZbK5ULuFth8dG+dFndGqkTAnHeORg1LDkixcvvv322x999JGQEwwk&#10;tAfbQWzj4+P5fH5kZAReJBlExayEvc6cOXPq1KlvfetbwnlsGSwmhcxZLAqRRxZojwBUyt7p6ekT&#10;x5/KRF9gYAG1tLh07dq1re0t6JfVD8szDIhynn3m2b/4iz8/88wzmJBmfjbdT71iwwRwR8xWPBIB&#10;nAlhDpDGwIJLS0tIT3ZVu3u6oWd8laXQVdZbVA/vmQUnxVEY6j5RqxUoh+YaGstP98gMoha2e+ON&#10;N9CjtJDjkgkS4/PhSXIeY8yWsQcEaIm4QgLSKn5i0xgQW5ZL2BDrpv39fZgP62HyECPnJElDJGwn&#10;VAGYXVIOFikmIhODnwTujSd8Z3qaQaSkJ4xLZeGpbhceHJTJJj738UHawMzhMFdXV5k8SD3qlb66&#10;F3IIQMKSEvQ7+a6txN8LleeOZH3Qyb3Q70P6587EVM32rux9UK+AjIDEUTertQVhAclkL4WQUjLe&#10;BXqGLWkYa0YHJ4hQgPwK2ZwkuAvKHiLbICWEVywV8a2jIyNTBw8QwOeShmZIB8Z4TGAUIIDf/va3&#10;v/rVr1BCeHamMIPIwA0PD8NqiC05G49zf+edd37xi1/cvHkTk4C9YLvTEaIRVFepKVCMR8zm6tWr&#10;b731FlsIBs7DKkj86ndeYiXG6ndza2ttdXU9+mIebqRWrw2oa4il4ZERKn39e68fO3ZUncm8v9l+&#10;OmgAtipbfnJQeKStrS0ag/SkVSJA69193I3ZUWer0p2Q2jLReaViOqsePDCNUAurHZbtLT3h5LLZ&#10;8plTBw+qm3o4lqmpKcXK0WRkvkTVxvjMeGKc1zcRcW0EmA8A3sKdwWG4eIwGPSdnBoBwHvFQIFv5&#10;GjLDj9Gzl8TEM3lYMKLGKEocIlYCSxGgClISwK+xxWjYStW0hDSSHpCAeCKlhbSWYnGLLLhyuRwJ&#10;iJT4xwc1DyLe5aihPTieo5N4SXAXSEn7+y3n8IkhgFvppbgNKYG98vMuUAi7yC4dK5HSEgnfBXpD&#10;AiQgC9UBstNjEn8XKEq6TsZdcgEGHZCXw5Sx41gAYcl4F6QcQEqGkuFjoAlkk+leinvAOFMoOpQ2&#10;4zfxraOjY8dOPHXkyJHJyUnqIg2OkpJpT+xTHi0YWbqU4Z6bm/vJT37y85//HN3DqNHtTF4GndXk&#10;d7/73ddff50ANg9bXLhwAd0GSWFLDNDTTz+N93/qqaeYiUAGCAMQW6WES5cuoQujt5RtUziz9dvf&#10;/vbr332NvRDt1StXtrd3XM9lNvFzZ3ubtc6hQ4eOHJk9dZr/TmEPypitz7noYa6xxRrlJw3DnnFK&#10;LMppDMwHqHpzf1V5tLUtXJm+r+6kS6tPqesFdQ1R1031otFKp+m5XqqYg5UnX/r2iRMnnnnmGQiv&#10;fxWTzhTyi/E58MQ4D4iVMNCg7/vQNPh3rIQAW8wXo2FWYByMNAFxvmwJA+aMZMfoKRBOwnaZNqz6&#10;mRW4sHw+TyQmgjlysKwQiecn1iN5KY14nCDxRAJJCVQro71siac0ITyq6/v6xwSOV5pHn3DgzB8i&#10;aZgc/r2gVSQmAVvCZCcLW9xHL0WEuw7qXrDaoEY6ExDoFyuDdS+EKkhGYlHbsviQvQ+ClElABo6m&#10;sgTmMMkraxp2UTJ4UL0yRuxlSxgwImyd6M1V98LQ1QpapcNaUJmsrKNFzMuvfXd2dvbo0aOlUgmb&#10;wQxITL897vH9poHBZdAZaHTbD37wg5/+9KesWRmCoaEhWb8S/v73v/8nf/InzFDoAWEEe8k7yZjC&#10;TGrAchaWYtQAk5EJy3jiBCARSrh27ZpwJLVgiqOjoy+88ML3v/c6PuTsBx+8/7v3mQuZTLrZbK2s&#10;rtCMAwcOPPuM+u+p48cnJifVDSyshpOf8zr9XRMKywQYEuDYOQoaSasuXTm3tr6+cOX63Nyt2upW&#10;s9W0usqGM6k0W99QGWteB/ssDA8Ojwy//P0/hexheuwT48QLUTgHKIEYnwNPmPNweX2zwCDYrqys&#10;sAJaXFxcWFggjCvEmjFr0jNnMEpFShEtRUalrsnhnsRDsWV6MIuYGwSYEliJWhMWiwQkjZwBY4HJ&#10;XvJKsQBelHiqIJJukXhAuP+TXdJsshN+fKBPaEm/RhoQuesH3m/JXtIQkCy0kIkBmOcSDyRwZ7J7&#10;IdJZMV6kt4ghJYU/qF5AAsokF8PU57x+pXdBjoWAHI60k7wMN7lwDZgBAZKRAEiue0ECCVCaQMIP&#10;PDkVpYkqNTodZWy0O5lIvvK9787MzJw6der48eMjIyPYQC99jEcK7IfBZWpDZj/+8Y9/9atfYS10&#10;OAIOGxBiezMCI3vx4sXLly+z5AXkJRkqh4UsPMfsZjqTmGUr7Mh4YbF4CVJiQufPn0dLMccBHAlV&#10;vPHd127euvXLX/zy3XffwbjIy0ppZ2f3owsfzR6ZffW7r776yiusefKFfIJFMJPaeID9PACYLkYl&#10;TqMPLE3m151WSg+Ai1c+XF1dm798FdLdW1rb3694VbXIYw3uul439HVNd211MWVwYnRsdOx7f/aX&#10;2CeHL4QnToweu6vGGA+PJ8Z51MtIY6+oOmbC1tYWyzF+EmZLGNuF7XCgzA0MiyEHYu4YNOQEFNdF&#10;N1yIboOH2MVMwGIAtkhkZP8qvThQbIVkxPNT/C8BQAnEi0lJ8x7ECkA8cu/HHyroNACjyBCzFUj4&#10;QXOG6cTMlLyEiZH+IVIS3IV+V1AmdbFqYbwIPGhNEDVBgVxCllIdw00AkyAvAeJJLGkk412gXnb1&#10;SyCXZLQeeEGG5YK62cHz/L29vZWVZUyu3enMHj+GG33++edfe+01BF/sSh4TGFmWsOi2K1eu/PrX&#10;v/7www8Zu+npafhMLs4xr1966aUXX3yRuf/b3/72woULLNewpUKhwLgAtB2jg0kwVZmnhNnFUhUv&#10;sby8fOvWLZjvo48+Ijs8ihxUTz9MTZ05cfKjCxd++pOfvH/2bLPRyGSyuqGz4qExiPvvv/n9N954&#10;4+Chg+qZOcyYv89GeYrLaRLo/Y6ATXJEBLA3tspMo+UdP7e3Fc/trG9sbW5VtrY3N7cI71cqtWil&#10;2NWCVCqZKhWGhocmDqjbeU4dP03PcKQ4NA5Zio3xRfDEOA8LkAUaxscCDZNF20F4ck+K+C9JiaEA&#10;ObOBEbDcwwjgP6aKMJwQm9BeRILqHBcx5OLoCIutUCMQaiQNJVMFadgLCBAvJkUuiY/qvxvsAlLC&#10;40N/XCSgJs1DmDuJ+8k4WHpS2imFsBUQflD7yU5GeoYth8lPOpCt5LoXpFEzPkpDWFFl9FjIg8on&#10;nmSUJiUTI9URQzxh0K+rn+ZeMDrsJUB6OUmAVsBr2Mb9R41RV7fzokQbDVxk9Dqrq6ysBkaG8Jvf&#10;+ta3/uqv/gq1R3XU/rgH9xsImOn69et0O5x39uxZwkzhw4cPs4odHh4mzKQ+c+YMygxX8KMf/ejd&#10;d99lZJnUBw4ceO65555++ulSqYSFsAimNPwDYWIAJeM6KBnXAVPCeUj2F154AdpjNTMyOPTB2Q9+&#10;+tOfnP/oo0a9rpZi0fUCCjk6e/SP/uiPUJZjkxPMDUz5i9zDIhAz7psQYaxUDFXM23PVCt5vdzvd&#10;TrtSR54uzc3jBm/NzXXabc/SS8XS8PQER33w2Ozk5IQVqtU5XouukELYPmhSxHgYPAHOwz2xfANY&#10;5+rqKpyHlV+7do0wuxhU7LJPYIQBAZaE2DfTA+aD54AwH8ufPueRUqqgkNgsvt64c4hxIkJ7uMIH&#10;6TxsA0ZkQd3tdFhZ/fKXv/jpT3+6sbHppNVXZr7zne/8x//4H9lCpZ9A2DE+E/AteHmGCbAiefvt&#10;t3/+85/DdrAUP+lnepu1LFJP3UM7OoosY17fvHnzXARy8VNddXv22RMnTrA0YQTJKMMNkeABmPs7&#10;OztLS0sUy9J5Y2ODemG773//+8eOHcMk9CC8fu3aW2+9fV49mbefSCTSkWDK5aDY02+8+eZzzz6b&#10;L5WwJ9ViLOqLcd6nwnM7eDUJtypVOG9tbW1vf//GrRscEeSWz+cGxkenp6bHpidzqVwi/qz3o8aX&#10;9F0FTD9a7qjLUbAdtsg67vz58++///6lS5dE4WHQpIS9WPoxASC52dlZlmwnT57E4rFgVoVYM9Nj&#10;YGAAsd/nPOw4YsaPVRpbCcf4uuLOUZYtjgyuSiWVPdwLJ3rWHrWXTmd0Q19ZXsa3VqpVSiEjRoWS&#10;mJiYwM/CpsSoOmJ8Mdw5ByuVCkvby5cv4+IhLZmtBOAwpjBTnjHCOaDV8AYI8a2tLWKIj25YUfdL&#10;MygMDZ6EvLIg5ieeRK6DsHSuVqssesiF6zh9+vTg4GCtVluYU+/qjO7kCg3dID8jziKasZ6ensGj&#10;jIyMYhvRBwpuf5XncSLwPVVJ9OYEy9BZ1GfSaSVXB8qTk1MTU7RrYmh0pDxQTmfSpsHiK/Zjjxhf&#10;hs5Tij466024XldyHjP9xS9+wRy4ceMGk4E2MAEAZs1aD0PHB01OTrIVYQcRCrch5iiHAoGk5ycB&#10;2Up1Med9E3DXKPMTD8jWesC6OAiVLsRsCG9ubPz//vEf//7v//7mjZs4HqzrpZde+k//6T+9/PLL&#10;OFNsFUuTXDE+H+4cHfoTboPJ3nrrrR/+8IcsNehwJjX8xEoXNmK1waIWt09KfqLVIDw4jIXvzMyM&#10;IoGJCeQgmo8CSYMTgPBYIsvlf/wJ6XEm0Cdlkuz555//sz/7M9bEFy5ceOe3b1UrlXan43v+5tbm&#10;6sqqZZnwHGlmj84+c+bM9MyMk1Sv4qS5qumP2W0Enh9VIX2jNmFUI4dDFOHosqJ6B3aURI9PODxy&#10;fBnCWSYALgmjxJQxxLfffntubg7jbrfb8BaLuJGRkSNHjpw6dQpbfPbZZ8+cOcNMIIYlG6Y/NDTE&#10;lJBTGZg7LgkK7J//pARlLhGoiLCylhhfa/RHWcadMGaAMaj3aNz3DxjqS9X8sa7HaMgZLcbUlUvQ&#10;L0cWZzE+N+hGJjuQn/DQ/v4+tCRX6+WCHFOeGQ0/yVbWsq1WiwRIN4YSXiwUCkx8Vr2iAsnFYMmJ&#10;TVLK2WxWzGQRhcfYUQ4ZAZ4BFtnc3FyYn19aWtrf2/eji8WdTpvxZzE9Ozs7Mz0D9dqWrUTel+Ux&#10;jNvOKrpcrlZg/JSWc4yOk6A9loECNCC8MJKfMR4tvozpLYOKUe7s7LAc+/DDD999992LFy/Cf0Rm&#10;MhlYjYXem2+++e/+3b/74z/+4zfeeOPb31Zf6GeVNzAwgAXb0Us6MNleibc9ncwrCQACsjfGNwcP&#10;O/rsJIEYTKBSRvc2qZcS9IHbFUQZYnxO0JN3jgXMxOp2bW1te3sbriKGHmZ1AtWx0j18+DBzXCY4&#10;LAUjsmVgiBwcHITwcA4AcoIVKBknwNIZEkXkUVofUCCMSEaYg/KJIQ2MuLyysra+vr+/12m3WeFQ&#10;CwmKpeL0zPTY+Fg+X9BZD0Xfbv1yoGgMfoX4TPWdBQ/hF/jebT9Gx2Giph+YQWiFmo3ui/Go8WVM&#10;b/wRZorRX79+/VL0yeOFhQUsEsJjOcYiDtM/cOAAJIfIk0t3/MTiWQyi55geMkkw6F6JETARcXbg&#10;zjkW4xuIvjH0ft8DA9cma3llKiH8hkHZTu8N17IF7JdtjC+CO/sQEcbqVm4wYcpDbwwTDoE+h8zg&#10;PIgNPiOlEBXpEXOIPGiPXUBuWyMN7gLGwg9I+fAfWSgKwhMKZBcp2cvyGoolntJIwK7o5KHBCjuX&#10;U0UNlMvFQtFKqMcxMR3VUBAthh4raDO2iowDpvpTG+mtfqfF3uyx4rFzHubLamtxcfHcuXPvvPPO&#10;+fPnIT9MEJvGmrH4Z5555sUXX4TqmAD9G1J6maPhxxQEvagIymQiEM8WWwcEertjfGNw5+jfZSS/&#10;B/neAhai0ighgueVMwf9XERKvPyM8bnRHws6E9aRB8b7nMd2a2sLJwCZHTx4cHJyklVvPp8nPdQF&#10;RTEuDCjsBe2xJobq2EUM/oFkRJKeLTEkxr2wxc9QF5Qm8dQld7Wwbk4mkp3o/Gqn087mcrgd0iSj&#10;e51UW4M7RvzxCz5WW+qPwO0/gA+L/sUuCdF1prrK52nqL8ajxmMnCSwba4PzLl++fOHChbm5OWyU&#10;eJZaWDycB+G9+uqrzz777NjYGMYtfkfyCpg8QDyUFz1R14+XqQUkRhC7rW8CGOL72snHvuTuv49N&#10;ItTUefJu1+20P35HWmR3CrHxfHH0xiIaJhFbqC4mvpx+hPPwCcTDYbAXEx/AQ0x/mePMa7awI7RH&#10;GgaFLJQGSwkRsj5ma1kW7qUevbaCLHK+FI4kvLe3t7m5SY2jI6O5fA5GRPlBqAnHGRwcHBkeFpGl&#10;Whh+bEj9wOMDa7M73RX1Yci+cm5YXi9SIdqhPfjlRzE+Nx4l591pMdi6rO9gu6tXr168eFHed46t&#10;Y9nj4+PT09NyvxYBWXmxIsOmAbOiV0o0eSSAHRMv5zkl5kEgy6emifFVB0Pct43fAyN/3z91bhPj&#10;iAiPDS7Psaxk792qwnMYmJiZlBTj8wAf4AeKSbput9l2Wx2v3VldWl5bWu622qVcfmRgMJtKm6GW&#10;tJzBYmliYgKWguogJEYBJ5BOp2E40XbEMDrs7URvf2Vo5F42EsBqxIBms0kaHMvQ0BBraLYYBoS3&#10;trZGxkwhl8pmQkNve24ymzk4e+TwsaNDY6OFcskLAz/wDRszSPRsQ+51epy40yT5w9QsQ7eV1UVi&#10;7+NYGN7QUvFtm48edPAjA6YmvgOIpWKRaLvz589funRpZWUFw0XeYbIsx2C706dPQ3vwn9g3iN1N&#10;jBhfbdzW3/zbarf2K5BRpVGvo6od21Yv0SoUIbZcPl8qlwYGByE8nAYqEJbCXbAbzQcRsrqFBeVd&#10;ZQsLC4SRfbgOXARuZDd6WyG0J+xI/LFjxw4ePDg1NYUEhDURkYg8uUeUjIACM5kMspIEVIqzEkSN&#10;7uGunzG+lniUnCc8J8DaMEqE3Ycffnju3DkMdyN6RcLg4CDC7tChQ2ciHD9+HJGHOcq5ixgxYnyl&#10;EZ0pVLcmwmTVSmV1ZXVtbXVvb9911ZW8fC5XKOSL0f0pA+VyIXp3bqvVWl5eXl9fh3JgO6iLdTDk&#10;h08g/vr164uLizAnyWA7ITOcyerqKh6m0WhQLIU99dRTZCQ7Oo+Y/tlUsqDd8TAAqpuZmTlw4ABp&#10;HnieIMbXHY+S80TkYfHNZnNtbe3ixYvvvPOOXLvGNLEwlmOT0XewXnjhBQLwXyK6jMyu2P5ixPga&#10;gHksc9n3vZ3d3fmFeXUvSa2Kc4ANffX+SQO1F4mtEknhpJ3og3ZIN/gP3jpy5AjUBTNBUSg/2A49&#10;B73hSVg637p1i5U0P0XqsWWFjW4kS6lUkjNGlAnnkZGVN3mhSZoEEcKjsClSj/RyHvsutxN7oW8C&#10;HiXnYUbA8zysDdP84IMP3n77bZZjWB62WC6XMXTWWXDe888/D+HJDcpwpFikFBIjRoyvMG4/SIBK&#10;29rcnJ+bW1/f6EbPCXTaHYQXcg21Nz09PTg0yOQXPkPkwV54D6gLxSavGySMW2C5jGITwXf+/Pmz&#10;Z89eu3Ztc3OzVquRl12ssGEvyAwmgyMpB/8DzxGmLgrH/9Ak9uKCoL3+40/3cl6MbwIeJecBDB2b&#10;m5+fv3r1KjZ68+ZNjJJITA22m52dZRHHCg6Lx/7kjizWf9h6P7sEYsSI8RUFU1qLnsCLHlFY3NnZ&#10;RuE5CXVPZrVSrdVrtu0MDQ7msjnX8zY2NoSlhA4TicTQ0NDU1NTw8HA2m8U/EAm9sReGk5daoPPw&#10;KjAZxIakw4FAjbgXdCGVwo4kg89YZ7P+JiPJWF6Pqc/iq6ehaCFUFxPeNxaPkvOwLdZfrMLOnTsn&#10;L5NlCYblQXgYsbxXjEWcXMAjXszuTsuLrTBGjK86PM/vRA+J4w1W11Yr1SrzGoaDzzzPJb7RUC9b&#10;qTfUJX/Wx5CZXBaB3qAr/Iac6oTV4DxYKh99QC4dfQUT18HKmF1s+Uk8q+fo4mCZnxQ1NzdHIeSC&#10;AllMo/YohDBLbYQj5MdPPI80NcY3EI9s7FlSYYis2liIofBYi2Hc2DqrNkhucnISkQfhYXmZTAZD&#10;BL2cty8EgvgMZ4wYX22Eoed73a46r1itVkVm6ZqezWXTafUZ53b0wC60pB4nWF3FUSDOoCtYCiGI&#10;NGS5/Lvf/W5hYQECg7QGBwfxHqg0WE0eOScxKamKn+zFveBk5KoKWaBMHBHclsvlWFjjgtiFZBwZ&#10;GenfQBBz3jcZn3/sISqMDOpiwQW2t7cxUzmlubi4iPFBYKOjo6zRjh49+uyzz8J5WCcmi6VieZij&#10;lIP9fZ1MkA6hW/os/qmQs7sCwr3YKP6+6O2+Aw+Kj3Ev8JWCu3o7xmcFfXj/DtR1PMLGxvrq2lq1&#10;Vtvb3YPhmOylYjGXz6dSaLVkIpk0LQvyQ+dBUZAicg1WK5VKsupFzMkkwjMQhrQI4DSQa8RDZqRB&#10;CDLXIDP8CSAZLLu6uipkKenZ0k72Uvj4+DjlE0lpUUNjfEPxmclG/AUBMUdsFMtD0iHvLl68+MEH&#10;H1y6dIkVHMsrDJS1FWx38uTJI0eOQHjpdLpfiAS+fqBD6BY6p/f700BHkVhAuBcbxd8Xvd134EHx&#10;Me5Fr6PvOake47MC5uh3YLTo6vFfq9GA5TY2N9fX1hFz8JmhG05CXVqDcg4eOjgzM10qlsjeaDQ3&#10;N7dIQy4chXwsk/XxsWPHnnrqKTQZ62NWzCg2KsJjdDqdZvRNaWQchEdG3A4/KYq9EgPboSwljHxk&#10;LyRHITgf1t8UiAti9KWpMb6Z+MzDjxlhvn3SQuGxjmOxdu7cubNnz54/f35+fp4FF+svFlYzMzPP&#10;Pffc6dOn5f0I2J/kit3NfYHjoHvp23733gvxL3eityPGJ0I6CsPD5Ylu6EfG+CLAYgVit6i3ne2d&#10;hfmF+fk5uAeLth3bMi109dDgkPqCz4ED5YFyMvpCrNyZwqCgw+A5wOL44MGD8qACHMkWlYbfYB1J&#10;XXgbtjAfbIeToToYERHJz/X19Y2NDXwRVCcP5xHJKJMd+pyKgAsSBo0aHuMbis/MeegYXAb2iv1h&#10;fNjZ3Nzc5cuXkXcL0dcSsP5UKiV2Jp81x9RYapELF8NeCvnaL7XkSMGnelUSSJo7U94ZvgvM2D4k&#10;RiqS8CNH1DqF3u+vBfpdF+MLQgyD6Qz6vbq3vwfhLS8vu9GXwhzbabWanW4H6kK7DQ8NDZQHCoVi&#10;Kp1i7YEboRB25XI5GI61MvQmEwcyI7Jw+wMLuBQSEIMnAezFz5SjD0rDnXAe9IlfgtVoA1oQUsRZ&#10;QZxkB+T92rudGA+Dz2MEGBx2iVGykpIPJrz11lswH2sr13WxRQwdI2OxdvLkSdgO05T5wLrs8Xnn&#10;PzQoUorQ+/0AyPQmIInFfQDZ+8noZ2Hbi3qkkIZ9/dDv8xhfHGJ+AjrW8/2dnZ35+Xl0FwYKt+Eu&#10;EHy7OzvtThvPwCJ4fGK8WCoi9eAkBqITffEcfYb3oAS20BU/KRyGGx0dxZMgEA8fPizv5hXlJ4tv&#10;GBGQZWVlhXppAz9xOO3oMQbSUBu+CF5kFwVS3TfHBcW4Lz4z54nRAOxyc3Pz5s2bH3300dmzZ/vP&#10;frJSQ9hNTk5io8eOHWOd1b+Mx17MlMA3wezoKIH8lE67F9EJIQX5yexl5ct0ZcV6X5AASLif6xPK&#10;/6y4szEUy5AJooP4CkMOgUPrdx1D8zU4rj8cYJb4hP39/c2NzZXV1Z1ddaEu+lhdAoNtNpthEOIN&#10;pmdmhgaH6PxOt4s3wDmwxeahvWq1KvpMLt3BphAYnAfVzczMCHsh41hww3kCCkTqMY6w7MbGBiOr&#10;lGX0kXTaA/kdPXqUjNTSt+3+lIzxzcRn5jyMhiXY2tra5cuXoTpEHgoPwsPIsNHBwcHjx48///zz&#10;p06dgvZYpmFtci4em8O4xctgmlFhX09wpMxhpi4TmJksa1jC9wW7ZC8Tfi966paVBLN3+cFgSUv/&#10;0+dyxV4KiQp7BBC/wCF8LV0DhxatGVwCMec9QtCfGCHWuI1Z7u9h8+1Wm87NZLPlgQEWwerk5NDg&#10;8PBIqVjqdDvqhWSVai56GeHExITwFmpQzJspgD8hBu+BD4HDqAKnQbHsgg7hQlgQ/Tc1NQXtMd2Y&#10;EcwdcuFt8DMYsJzYfOqpp6BM0lMI8aJKY9r7JuMzcx4mhTdfXFz88MMPf/e73127dg1DF2NihYUF&#10;nz59+sUXX8TUsDM5Wa/W1dHK+pvgYvCnTDy6CBfAFKVzWPkymaG0+6JPeKQk2Xb0gnk4jx6+L3AK&#10;q6ur6+vrJGOSUzh5qSgq7BFA2I5t73i+XuC4sEMgBxhz3qMCZn97kaeeN8eAtOhj9KlkCnE2PjF+&#10;4ODBsbExfIKma/Di0uIS1FUulaEuOGlkZAROwpiXlpYWFhbYUqAsSmSMGC/2Mi/Yi7UXi8XZ2Vk0&#10;HJwHLzKJAAXiZ/BF4o5QhHAeHgnGhTihQMohXkpTjY7xjcSnL3nEA0oy7A+3ePPmTeTdRx99BOGx&#10;vMI6sSdWahg38u6VV15hi7VheWKvjxXULiYuP/vtlJ+CeyPliGTRJzFCz/wkEhDGMzKFCJAYkIZ4&#10;tn3+jpznx5KILWAvTQLsUuXe7kDJe19IG0hDG9oRyC413guKpShWHvQ5biIRPelID/R2PzTIEjVf&#10;HYg64NufkWPhwi7KB0SSsn+AjwRSrAwZUF12G70UXwx0y52lydGxpUa24hwx2h//+Mf/8i//wgKC&#10;NPThSy+99F/+y3959dVXaR6jQIxkj/EJwNTpLgJYCH1Lr54/f37h5q333z/70YWPMC3IZnBgsFgs&#10;yPUOaO/0qdOWbf38Zz/74Q9/hB575plnRibG8/k8nET6vT31MB+USZmwo3xgAYOUO+CuXr363nvv&#10;/eKnPyugDqemUIcHZmbgPJaAP/vZz/7pn/6JWTM4NDQ6MqJe77KwMDU5+d3XXvsv/6//m9GEF4Xz&#10;+pD5RbOBxIjZyM9+JJB4rKj3O8ZXHA/kPAyIrfgmAtg36zjcsbzaXAgPa2NtlUqlMNATJ05gf08/&#10;/TSLL1Zt4jrJeKf1PA7IfLu3Fo7rIasmJUcnYL7h8jh2whEj+PwEwkP8pDrZEiPqinjpJeIJMz+Z&#10;XX0qog0P6mEBCUhGFkncL58G9FL8PoQnSMBWSiYXkPBnAlkkL6BSOXZGmcIF/QRU+qD2fFZQLJ2D&#10;j8MPYjniNKnoEfoUSpOWUziLfaojwHCwCyEC56GP33rrrV//+tc4RyJJA+f95//8n4XzaKF0clRY&#10;jPuD7sUk+pyH5c/Pz8NJ1y9fwTPgItibzapbMUdGR4aHh6cmp1B0SLNup/ODH/4Q2isWSy+//NKJ&#10;M6eZMhgDJTAcm9HLo8lL+dAkS2dMhQDDd/ny5XfffRfOm5yYfP6F5586/lSpXKIBc7duvf3222fP&#10;nq1Uqsx46K3dVpfD8UWvvPLyn/3VX5IXS7vLwGR8qUV+9sFEIFLi790b42uAB/pKxl4ch1AX3nB7&#10;e5tV2D//8z8vLS3duHFjfX0dwsOeMGiM8vXXX5dHSmE7zAtHQ0YpQQp8rOgfRb865iHhu2onGQdC&#10;wwC7ZK7i65khHC+7OCJ8In6fsPQAXlJO2rAlMZGAjBy+XHuD/GAsQCEURW+wAhgcHBTykwaw7bfw&#10;LuBwScacBHQaYXqP9NTVS/H7oHapiHoB7SSluOleiocD5VALLkOGiaLkGDc2NiiTADGShiaRhhp7&#10;Ob8YKBAHR/9IF3H4xEi8JPiC4FjoDQJihFgjIEBFRGLAcsL5woUL586dY8nCMeIlv/Od7/yH//Af&#10;XnnlFUaB7OLKY3wysMN+RzFrLl68+Ktf/eqD997f3d2pVKue6wVhQLfPzMwcOnRo9siR4ZGRsdHR&#10;nd3dH/7wh++9+97U1OTrr7/x6uuvYQaMEQbGnGIZzRhhgQwTeXEvcN7o6ChhdN7777//9m9+e3R2&#10;9k//1b967tlnMf2VlZX5ubmbt27N3ZqDMXd3d5mcDOjkxMQzzz578sTJN//kjzDgewdUjORe25N4&#10;ma3Ef9ZpFeMPH5+iDzBr2eLfFxcXMcp/+qd/YjmGZ8QnYpHlcnl6enp8fPzb3/42CyuknjhlcTGf&#10;wxd/PlAp2zttVFrO0QGaATHQYCEtfrKXOdbntn5KabwkI5ICmcykkbxkBFICnSDek3IiDlXMwS4O&#10;nD5B6TJXaQyRbJlyZFHNugdMSCCcJ5OcoqiXjL0Uvw+aQQtpD40XZpLWkrGX4uFAFmqhLukxjoIj&#10;pTQGus950ofCixL+4qAojhQ3x8oAT0ezaQbxD+qfzwrpc7EEWk754vKgPSLlLiFG7fr161euXIHm&#10;6T2a8eKLL/6bf/NvYD5GTRI/qvZ8jYGdSK/Sh3QsSusnP/nJ+++8Z5hGwnGCMKxWWFJ4cB6r4SNH&#10;jiSViae2d7bfefud69evTc/MIK9fevUV1kCwFBbIqppphe3R+ZgfVTCUDB8JCKAjWWpfvXh5dnb2&#10;L//qL8+cPo1HotL19Y12p72yvLy1vb22tkarJiYmYMSTJ08hMb/35ht9Iwf9eS12IpBdYoeSsh9P&#10;pMTH+NrgkzgPyxMCYOUl1/DYArkjA0tC3mHKp06dkmfPMW4cGenJi6WyxY6ZFVFhjxc0tW/WAkyf&#10;ltAAYSwcOm1GxpGSScUhMLvYCmMJ60A5uD+24uVl258J/AT8ZNqA/i4KBASIAVSK3xSR109JWNLc&#10;C0kghQMq6tcoCe4Cacgi4wIIUzKD+KD0n4BoXvcualIIpVEsXdQvv99mEnyO8u8LCmdLgX3IT1oS&#10;7f+ikDIBYdrPgQDpJfiPEWe5JvZ87do1OI94XOozzzzz53/+56zbUJ/4X1I+qvZ8XUEPM3ewRjqK&#10;/tzc3HzvvffgvCsXL+EEhgYHLdve2d6p12ujY2NHZ49OTk4wDZmU9PnS8tLO9vbQ0PDRY0ePPnWc&#10;SUefM0zsIg3Tgf4XnmPyYpByexcDx7a2X8HbMFjHjh079+G5n/7sp0xkmuF2Xdh0eXkZu4ViX3/9&#10;9dOnTrGyOnbiKQoUe8AMxODvNGZiAIHIalQygUSCOyNjfA3wQF8TWYK60KVsdGnpgw8+eOutt65e&#10;vYrdyEUsLPvw4cM4CzwFRoZhEcNWChRDwYJF8D1W0CSAHVM7P5kngAlJ7UwYtoSF89gKmCcrKyts&#10;2csEo5EDAwNwFVs54UYkbA1XEUmxhJUQS6UIS3XESwz18pOjZuKRnh5jS1hYhF1kkZ/S2nshfcU2&#10;6vLeqTk5lntBvCSTn+SS7NQrMQ8JmiRkQJgyxQtQLH0V7e/N+agqFSB9FP0IwOiw7GBoCMjBKif0&#10;iDiVAukQSiPAsVARwy01MqwoCYwZqTc3N4dowLY5dhwuBvy9733v2WefHR0dxYyB9EyMB4F+o1fp&#10;ajoWwltfX//www9//etfL9y8pT6DPjKSzmSYcbVaLbo5c5qZxXSDHbE5+Alkc+rGlvLQIJwHKJNI&#10;CiQM4aHVGEGmJ4WzQLl16xbMhylmkqnpqek333xjenr63ffe+9EPf7i2tq4bOgO3tbm1vLIc+P6J&#10;Eyfe/P73n33mmVKpXBgoiXWRV2wDS6bxhCUGUDUJiGQvk0LSA34CsX8C6rBjfPXxSetr0UMsnVgR&#10;f/TRRxcvXoQnGHusoVgsstqK3pD3lJzSJD3xklFAyeCuyEcO5gmuTRwowMHt7anHg/BZ/GQvDYCE&#10;2BKWGKycucQUEvIWzsPNMdPYCrGRBZ4DRHLIzBP5SYCDogQSSJpHSAYPA2rvhR7FPOxPePnZx521&#10;gEc74Skc0wJ0PmF6mwY8qioYdymKQ6N8BhoQwEgYaAz4ypUrbOE8PCmcJ+M4Pj5+6tSpI0eOlMtl&#10;Fj2y0JECY9wXDBn0QC8x40SB0Z9nz56t7kZfUSgV1bohuhWZwFi0klhmlbm5iWUlEg7rQ5YauVxW&#10;ty16m1lGUYwdxRIGCG5+MmosU+Tr0xgMc3NydLxcLjFYMKu6vPfW2+qbtEEwNja+t7e7s7NrWiau&#10;CcKbnT2Km7KSve90SrOpheYx4kRie4AAkWIGMpcJyGQnIMmIfLRTIMYTxCfpPEwZYQfbXbp0aX5+&#10;HuPD7NiFX2Bd/Nxzz0F4Y9F3rbBR7INdmEiUW53VxJK+BD5gyuG5WD/CYbAdbcajsZCnqcwZ2oAL&#10;Y/5g/bSQg2JpyczBoDFiElCCSDpSwnxA4tkSyU/imVEyNzgcfpJFfgphECORQGokwK5+V3wycAps&#10;qY70bAWy65NBG8DDp38Y9NsP5Oge8ig+E6gFEsJjSjdKrxLT2/3FIL0hncMhUBfoj6D4ZUQDIk84&#10;j6rZhUdm3YZWwBFjHnKqTQqMcV+IeTB3WFKIZ0DqXb58GR0W+EEqnSqXSswrbJq+HRoeLuTzS8vL&#10;pGFU6OFkKpVFzuWyrW6HGQowA+lzJh0JKFmMhAmONF9cXGQcSXZo5gApR4ZHQi08f+4cDgpXQy5m&#10;dyNa+KZT6ZGREeWXBsqMpa8rGwakwTZIRvkUjh+QGErjp5r50UUNCJiJL9KTGJkOWMgjnGUxniwU&#10;52Fb6hREuSxuCLNANmFJa2trH3zwwW9+8xs4D0YRxwF/DAwMPPvss6+99tqxY8fwDpgIttIr79GB&#10;utjeZWq0gdaKCdJaTFye6WHWSWBzc5MZwpb2Y7JMEo5L7iyF9phLBIjHstlF4zH3/nyQKmJ8pYGF&#10;MJR3jaYYDFaNU37vvfdYxi0sLGAkWDXWSzwJWLdhEtgGJtG3ihgPAlMPVmDis25giSmnTOjG0PU9&#10;z2UFl0ln0G9MtFK5zNRjPLbU1/LWScZ0ZHlBGvJmC3mGBp/DQNDthEkAGA6mMOXBqSy4mdRM3unp&#10;6aOHj7DI7XS6rttlBBnHaq1GdlY3JGbUSIYERKoLY4WmWpvCl+wlGXvFZcHEHAXpOQRSciziDXAX&#10;BGg2W9ILIxLA2xAGZKGRbImUtRphoI49aoDYHjVKmEixSX5GPRfjCaOndWQ8sGMGmABqaXl5mYXw&#10;hQsXWBFjc7u7uxgKBqEeIx0ZQeGdOHECwyU9Aw9UYY8C2EffOAj3zQWbI0wL8VM0BkBy4q1kIS/N&#10;IECkiDzahuHiyIAYMTECrBzr54jIIjYaW+TXA2IwMqZ9YCTEYBis4X7605+eP38eK8Klip2gJPBc&#10;YhJiRbizXs4YDwA9Jp0sS09+slXEoBvEmqa6to2AZxvRiWKUarWyX6kg6tVLpifGTcNsNOpwkkxJ&#10;xojhYIwoh0GReS0DAadCb4wO6m18eIQEjF2j0SR+e3ur1W4zeeElvAC5KJ95DSzLpi26pXwCoBxG&#10;lorYRbGURgyHIMMtbRBKYxeMy1YigRwFGdlGh6MgMZhN39ioXcqUn3dCLLD3I8YThVJLQg9sMTi4&#10;gdiLFy+ePXuW7bVr1xBPgBUZaml2dvaNN96Ympo6ePAgag+zwEpIT15MJyrwiwLrvJN+KJmfmAsN&#10;YF6xlcXd3Nzc6uoqq0vqxf5KpRICVM5hYou0Cp7rmzhbsWYKxPgIsAtIyVLRnZXG+OriXr9DjAw6&#10;3PbWW2/9wz/8AzoPk8BCsC6WdxgVYgK/hpFIdhJLIMaDQHdBPExJOkp6m85U3NL1bDgCvlGgJ01F&#10;gmGIvkL/QUqFfH5mZmZiYpL5V683ml11mxs9j/NBCEJjjAWlsaVA4qlIaJV5rc7ZlAeolCXL9vYO&#10;lAnNoeJc1+upL+a0Ijpdo0ViCbYaUxnNKIWkU5OdrYAYAZFURI19CKuxnZiYoAG4F9oAcDgAz4NX&#10;FGdCXtDvjbvQb4D8jPEEoaQ3i1/mP8qJMJzHwJw7d45IoRZ4hXQM8PHokfMXX3wRwsMCGGbSY5Ts&#10;fYSc1weFM4P660d4F0NnS3vkup1ctMNkabycvRRzFNojwC6a17czKfBO6wT9vbE5fl3BoDPQmCiG&#10;9Nvf/vZ//I//cfny5ZGREWwYC1lZWYEL2QULAkmMMbDt5Y9xP9BXIpThqv6iAQ4IXY9digRMi2nI&#10;srjdbu3t7aPNEFPZTHZ4ZPjAzMzI6Cg9rF7B3mqSlG6nHGY3EUx2+p8YwpRMMlgH4cW8ZjtUKuMJ&#10;5ubnlpaWaAZ+CZKr1WvtVkudRy2Vs7ls9InawA98Jjw68k4P0CPm6J5eRXcR+fGTSnE1bIkhIHTO&#10;LtiOg2Ir13oLhQKOJeK7EmFiWGezV46UAODwZfHUr5fy2UpdMZ441LnNv/3bvyWE+TJysrZCQuEL&#10;sGNEFdSCpPv2t7/9ne98R16Cjs5jyMmCWWDoBO4c4C8OLE+shMZAb8vLy3KXM1sID9vC2rCtaF6Z&#10;TAOaLfaHtREv9oeFSQIpE4jFC0nLTwk8wpbH+EMDowwwJ8wbu3r//ffReTdv3sSSURsYA15V3B8r&#10;JyxHjIFt3zxi3BesEug3lqFra2u3bt1ibtJ7rCQGiiXFeYaJOhodGyuXyjs723T45taWWpsODY2N&#10;j09OTBZLRRazLGO393aZlYAOZ7biTxgUmbm4IDIy5WG76elpFrWUnE2lF+YXzp59n0rRYGPjYzAc&#10;zWA9zJjKW6cz2awWaorzmPKack2Mr5gBLgtQHYQqB4JVYBusewBHRAPYtb29TYkcI42BcYXGCOBk&#10;xL2wFS6EaHFBMB/Lbll54y3ZJYUDqZcARyQxMZ4sFOe9+uqrciaBkUPtMWCMPRzDuDLqrL8OHTr0&#10;F3/xF6+99hqDygBDMH2qA2JPj5bzBPgj7P769evQngg7KsKyDx8+PD4+LmcysTksEtAMbIsEMm1o&#10;udAe2165d4BkEogJ7+sNBlqsAnvG2V28ePHnP/85S7qxsTEMCVPBTkiGqWPbLOGxHMkYG8YnA4aA&#10;GJiY8/PzV69ehflgAjhvcnSsWCxlshmoYGp6enBgYHFp6YOzH6ysrgwNDk1OqVXzyMhoOpNGIe7t&#10;7y+trjDTGSCmMKQoi1dGgWl748aNDz74ADZlnX369GkGiKG0DfPqlavvvvfu/Nwcs5shQz5Cv0jJ&#10;o0dnX3jhhaNHjxWKBV3TgzBgCLtB7+IIbb6T87AHKiWA68PP8BNyJUwawuJtcH2kER9CPAFAOUQK&#10;j/IThqPZqEC4llUU3Exr8Usk4CgwMAKkB/d1RDG+fKjxgEIYUcYbFkHYMYT8hPagN+yYn8ePH3/j&#10;jTeQegynsF3fI2CvbPue4ouDemkJZoetAziY2YVjIoZd+CYMC8JjbrCkYo6R5U6b5nAI95t3Z1iA&#10;lUsk6EXF+PoCkxCrwIWxfpcnTbElfCXGw8qdNT7Wy098Fl4V88ZCepljPBj02/nz58+dOwfbMUnp&#10;UvqN/ixkc0dnZw8cOECXjuP9CwW02jvvvru4uDg+NsbqGSIcHhpGBTYazf39vcXVFZm/QiH0P+TH&#10;iBCDkpN3ouJ/XnrpJdiFEew227du3bx0+bI6KV2v0xJ8FDRJ5uPHjsF5R44cwUvIqBu64YYfz3fi&#10;aCQuiwDFkpcAFMixQHui80hAeG9vjwTE43mAZAEkYC8SkC1hYoSkOViMh4UUHpKtrMUB8STgiKI+&#10;i/EHAXUPC4aI3WC4jBBrNwaMSMxXfAF7sbkTJ06w1IJvyIMRYEBCflgMWwk/ErDCYv6weMQ9sR5n&#10;JmBDLKNoIWHsHleFDVEvJlUqlTA7yShmLeE+1PrqDkkHhPMoSiIFpCGy9yPG1wiRp1Kcx/oJ28b/&#10;4knxbqzkWDPhHPFcmBNh3DSmhc2Lg+vlj/EA4Pd/+tOf/uIXvyAg81F0kqUZ33npO88///zoyMjw&#10;8Eg2m7lx8+a7775Lz6PxZmePzhyYgR6SiWSz2divVDZ3tskO28lKl6FhsIT8lpaWUJCUTGnf+973&#10;IA8GcX15ZXV1DX3J6nx9fX2/ss/SHP+Am5qdnT1z5gxrF/K63S6jbhqmp318Hy8liz0ANBxOQPwA&#10;P6lFuE1aAtuxxTaEDtmSnp8cI/Xil9gSJoaMVIe3xJYwKhwmPgrXBPVymBjV5OQkHjXqsxh/EDD/&#10;23/7b//wD//AYGM3jC4WwwDLPoYTLwDbHY3A4In1YChsMRRsCB+BlUj6zwFZU1MaRWFz2BmWxMpx&#10;bm6OhSEmThuwIVqFTWNAkC5iFCvHquSkedSiHqIifw+9HbdBjDRe9vZxb0yMry4wKvFluCSxT1m5&#10;41IBpo7lYD+4Wmw4cfv5PBwWYYwfkF3cWQzAxBR5RIBukVUj/Xnp0qXoFc/rdCb+nQSQQcftDo+M&#10;HDx8aGJqKpvPNVqttfX1nb3dar3Gz1whz9RFl9kJh5VF11N3YFIaY8RWzpcSQy0MGctfamGxe/jw&#10;4enpaconZmVttd5sGIyqbW3v7iwsLnq+Xxoonzh1km0un0cneoHfgq7a7UZLjWzvMCJQCO1n3KlR&#10;XAEgILwlp1VZSeMMOSJYFibj6GAywF5iiCcSTwVILJYmVkfL5aSoqEBiaLwwuoBkNECySEvuiozx&#10;JUCRzX/9r/+VIWd4MF+s4caNGwwGCxnCWJt89Pzpp58+ePCgjNAjAYWLwclPzF1MXIwG0ckEE/uD&#10;56BbITnYDuOgzWQn0M8eI0YffVeCCeFxCEB1KAPsCquG4TAbsSKAzWN1xODm5AwH2YUOo8K+6ZBe&#10;UhP1jutSgM5EhEF7+HcmKROT1SqLVBTzqVOnnnvuuYno5n76EyJk/QpYVbB+BbJsZXRqtRo8BD0I&#10;m/KTsSDA8DEElMzA4QTQTIBxYTUMSEaxDBBhimWlItfSGD5qx1HQPPZKswn3juThAJNRIM4QlyjZ&#10;aQCgPTSAGNIIH9MDNJUVEgdOO6XxQuF4Kg4fi2KZDluPjY0hHjhq2kbh0iSaRyPFUPsWG+NLgLLj&#10;t956i8ULI4ENLSws/OpXv8KkLly4QAzyDs6bnZ3F5hhFxv5eslHz4LNfoaUcCpFysHtcz82bN5ke&#10;+CZ+subCUDBlbIUZxeShfMxOaqE6sb/YUGLcC6wXQyXQ5zzck9xbiHtiF2YD8+G5SInxoy0I44yw&#10;OuwKYGZiaTGEPAj0pxudxgyll3D3dCMB4mUXKfEkLI4BDCRLB9avLDXoYfbyk36G9tjLTyKZ2kIV&#10;wnyUSeHS+bCOlEkawC5GisSwi5RDFsiGqnERZGH4AD/ZS0YCjDXNI/zwoEyaDefBynKuElA7y25+&#10;AvZSLK3i2Fmp0yr4D7e5EgE/ho1Jn5ALDsZtHopeTYxsoBDaRuG0lhKAHCkB8YQxvgSYf/d3f4f9&#10;sSTBbjAjvMPFixexRRwEI4F1wj0oegabIYyGSU0AtoqvonG6c/vwkPQYBwsrDBdbkZszsX4MF6pj&#10;iQQIUC8GRNv6VUgz+Bk7phj3ArcihkEAy8FUsGcMDI+JsbHWxsCIwepwcKzzcLKkFHPqZ/ys9vx1&#10;BR1CV8h0w9ezxdeLGqMzhVHYSzK8BLMVZyKyj3g6FkoQYsDRkxH+g7FILH6fBOQlHlAgyRgXCZOM&#10;sUMwycQnRqiReCkQ6qUK9lIvNZKSYZUWUia7yA4+K+dBtOSiHAC9UT5bmkrhhKXNcrC4RCLZEk8u&#10;trSB45K8NBjI4cDltEqaJ9kJSHXE97cxvhzojIesp7AhlmM/+9nP/uf//J9wD1bFzJ+ZmTlz5gwi&#10;7+TJk6xTxJQBViVgtAQS/1mBWWDE1MtCiZU4AdaJgHrhWrEqTJDy2fby3F57Yjqfu94YX2PgVvom&#10;jXPB62HPly9fxsAIs+hmFSWvcOQnhkRigTg4YpgUfa/0DYfMO2EOuoguZZUgr7SFwCAhJiOdxlRF&#10;0IyPj7NKxu/Tk3Sj5CKB8BOL2sXFRQKHDx8+fvw4zgTWjPiuiROgKIZJTl2ShkFEJOEEIFFKoyj0&#10;E7tYlMN5gPIpAZZFPJGSAA4BEC+gEPyDBB4eHGM/O8cOxM/gqQjTVGiMeuW8Fw3DQeEqpW1sxZVx&#10;IBypSFLyssyieWTBrb3yyiu0Fu1Ip/XdF0dH4RKO8bjRswnsEvtDm//zP//zP/zDP8zNzTFOxEA/&#10;R48ePXjw4LPPPvvCCy8wcpL+XrLBMnqhhwZFYUNiJUDM/eWXX8aIp6amcEykwRTE+2AWUumd2xgx&#10;7kWf88SV4HBXV1c//PDDa9eu8fP5559nkX7x4sXr16+T4NixY3jq0dFRnBduCH9NRnFwUWHfdDD7&#10;mGv0IS6CMP79ypUr0ntCe+yit1FacgUEt07/kwxakqUDXUrHEr5x4wa5cBSnTp1iJQ1NkgxigEUg&#10;PFQ4pAiE8xgCOTE4ODjI0EiZRG5tbZGYLQUyapRDaVAj40jJjJpQFK0FeJjP6ijEYKgOUAWV4qPw&#10;hNAYBwuTUTV6jupOnDhBvXA8h0+l1EXzOByWUxzFe++9h0MjF3nZRQ8Ihf/7f//vOSj8G4cvPpO9&#10;1EUCaUCMxw3FeRgHkx/rxJr/n//n//nxj3986dIljJhI6IdFGcw3PT0N87HAIczqBkICBMSkKEHG&#10;7zNBLOnmzZtQLHYs0wOXhA+CXGWmUayULJwnkOzgc9h0jK89cFW4IQxDzBKHgg9Sn/C+cgUDfvPN&#10;N3GjuCRYkF2vvfbaU089hbPG6WBOGCElCFlKaTEE0pnMU7runXfegcDoPXqMXfh6aOnkyZPPPPMM&#10;XoJ4oQq2hOlJhgNiQ2rjWCiEZKyhYQ6EEQUi3SASEgirMXCMBdUhhhgpnAz0ub+/j7ugLgYXLkGy&#10;Uz7L8ddff52iIB4G8VG5Aqqm2cJ8NEkaBhOvr68jcGE+EmBIEBhuCuAqAYfDkdJIktHCc+fOQX4s&#10;5UXt0VqcG+189dVXMTbhS3SF2Jv0rdQe43FDXc/DzuhxBgzLY6gYV6gIA8JSRXJhdow6kVevXpWw&#10;2CVhGarPZ22YMmbBTMAysDDqwohZgxejj/6QAFOgZCA2Ae6qKOa8GPcCxhJTEfPgJ74VN80iHSPH&#10;47BcY6WF18YZsWDH8FAMZOlnxBpjzrsTQgNs6UnkMjpPbpiUexHpLnaxVKVv6Un4AA7Av4tPZxeA&#10;tFh5kAvvIRfDxKVAITgcACtAG2Q/cOAAxAmHHT9+nAU3iXFQ1Mvo4JFQS2SEJqkU1yQPDeMuIEhp&#10;J9u+T/h8/oFCZPUjLo4tjM4RyRauoklQL00CkBzpaVg/vfJThoFI4HAIYEh0HcRJFlKKs6WL2CuF&#10;U+PnaGSMzw3zb//2bxkDDIjBw/5gIAwa82I8GBUsDMNipFmOwU+sXxh48QhizYQFYiiUyFbCFCt1&#10;AH5KvOwCVIcpYPQXLlxYWVmhiqeffpo5gwOiaowAUAJbElPCnaX1IXvvBDG9fY8HvWq+lIpkK4HH&#10;Xd3XCRgn3YUNA8JsV1dX3333XWwbz4gcwWchFNArWCBOU64tYcPkEqoTw5PSYgB6g/5BskA2169f&#10;/93vfkcA/zAcPcSGieL0cRRQFIwFn7GqoEvxFdKfzHrSb29vw3z4DRKwheTgDJYdxON5KATCYywA&#10;hZw6dUpYkxLkpCLpKZahgT8ohwDUiGQ8dOgQyWSVTDvvHLg7ww8PSqZSAe2kZKEomk2TOF4SsF6n&#10;2YgE0tMeEuAqiQekx5vJvTz0ACSHr+PoMDYOFuZjS1FQNWnoN0ogDRVFlcd47DD/+3//7/yDQTMk&#10;2OWlS5dYAjMwDBiLOIQXxoc1Y22MH0PFOIn1s2pjdcaoY4ukly1FMXiAsY/KV4tuCWB/YhMCFmuU&#10;g+1SKbvkJOrIyAhGoMz2trEyWyiBLVkk5i6wSwKKHCLc9fMLot8SgbQN9H4/NvSquY1ebIyHQH/U&#10;sA3cFg4F94Sqw1ZxTKyr8EpY78LCAo7sxIkTeFh8FonJ1TezuM/7YJ7SpeKyma30JF6CmUunwXk4&#10;CsQK/gEnTk/iH5S93n7RF9kZAlwHPoFkgBUtYUqDKmAO/ABTHrabjUAhOAF4BXYhI+WQhsFiwY3P&#10;IReRNINIiqI65CDCi/KFPB4raDa1R95LPcMOaAO0jd/j8FlOEUODSUZ3sZXDl0jcI83mYMWV4Vox&#10;RZotvUECIqWWGI8b6twmI8SwiWvAmjEvrBxLAnKOHjbCsllMMVRYG8su7B59du3atc3NTVYxfVAU&#10;hTKEfYgDEkiVAoyA4ScLdszkwdYBtWAiDH8vQ2QK2Bno/b4HJLgLvR2PCHJEgLAEYvyBQ0yOAGbM&#10;FkuD7ZB6uGkMeHp6GleF3QLWcKgKDA/y6xtqVEY83D3QLeK76ca16PlddB4qGXeBo2fC4utFALEy&#10;xmPgJeg6mTVMRrpaFBJb6JCZzlymKLnKBQfg9yE8qIu1NYpNLo+JvKMQaoFl8UiAADRJsTgNqqBe&#10;OJLhIwuFPO7xwpYgJ+EnjoVGsqWRNIwDIR6exneRUkgO0H7hQjpB7rvBecpSgLxyjOwijXgtqSjG&#10;44biPIYBzsOSGJUrV65g1sRgiCzisCqkHmEGCcNinBhgWCo6lV0lwGCzVJExw0BlOcMAs5cwNq2Y&#10;MCI2gN0IuUpK+UlGJgOGy7ShKJkt4IsYAYU8bhuKbfQPFrKUZoDE5DBIFnMAj8PiGr8sPgi3i59i&#10;PTc5OYnyw2Yk15dgPF8hyHzEO9NdFy9evHz5MsxHT+IQcO5Mf1w2vSr3vgq3kYUhkOx0KWlIifcQ&#10;H9IfFwLMd4aDjPKQA0UxNAJcBH6DZcrGxsbKygrDJxwJKBZHxKgh2Q8ePAip0Dyp7vEBTyWUBmPR&#10;bCEqWihMxiFjQnKw0jPESEr6hCMVC+So6Rm2fbdJORghxyv9HBvel4Df4zxG5erVq8vLy+zAEFkU&#10;s3bDHBkVBqm/KsHIxMoxO0xWxgw7xo+Ql2UgxIkQhDsXFxcpkwU10hCTxTigOuFCbJqxpyLGnkUT&#10;Fo8dU05/1DGCPiTmvpC9d9oKMTLloqxfFOIH74XU9SWD9jypqr9CEM4jgFVjaRgeEgHjxORYxmFp&#10;GDNGSDyyA6eJDeOLSS+54k6+E9KZAKp76623Lly4gKNgquIc8Ol0L12HHzhw4AB9S5i+JRcdSBbp&#10;RvqTQpja7ALMd7LjQ1jm4mRY74r3EOcgPkHmHYUzcHAeC2jqAuzFn8AuOB9EIaAEPNKXMF4cghya&#10;MBY1EkObaSeNB9JCCE9OVkkWfCYgHmOj34jnWDguYojnJ/3AIXBExJCFYr+EY/mGo3c9r8958jUD&#10;YrBIzHpCfexqBBtleCKLVV9aIB43MR19KQoPgqEz8KzIILalpSU4j0Lm5ubkgh92TLEy0oBa2BLJ&#10;kKvqTZPxxlCYCRQuMf1Rx/TZih1gE/y8F4/bVh5TsZ8KZhFbOlZ+9vGk2vMVAl5JrEtOJ2B7WCaG&#10;h6lgrhgbu4QOMWxWdVg4bhdbkr4VL68KinGbsejS+fn53/zmNyxncQW4afyASDH6s//AGYnZSzfS&#10;gWwlIOUQkI4lvTgQCgGUTDyUwKKEEZFpTiTJZA2NO6Ii/APJSAAFMogovGPHjlEplMkuKpJaHh/E&#10;Ownk6GgPrZUrwZgZOpjmCYfJ2h0jJGXfRxGmqRyROENiSIZ4YMVAITLfVZfdcSx9m4zxCKHu2+Qf&#10;jAwvwKpKOI+OZvCwLayZIUTJMWACxgnAcyyvGCoCWDkxFMKWBOQlIJqdaQAYaSBGwySpR4+gYges&#10;kgDmjktiFaleV7eyQu1s+Sn3MZOSBADixKruBQVicNgQE0MmofyU7aMCJdM/spqjr9jKz8cHJhIW&#10;T4/RpWz7iOfAp4IBEmNj1DA2jIcFGZ1Jl2KNdCDDR5hkeEzMGxeMDff9C7vu6vNvMugN7J95uri4&#10;+Lvf/Y4tbISkY7lAN9Jj/KQb2WK04s3Z0uf0PGHmo8wdAmzJwtDgDfAbAqpgS6T0uTAERTE6CwsL&#10;yMpbt27xkzSUg0NgKBF5Tz31FJzHYoUVs1BL1NgvA+LiCNBUaTkNxk3htegl2gaIIZksvAiz5ZDZ&#10;ciBwHonpHOkKfKwchRTbL7yPu37G+OJQ859/YAhGgkXc//k//+fdd9/F0GdmZrCqb3/726dPn4b5&#10;+sNMQOwyyq5Gkbxi2Wwxd4ySsSeN4sbo5eiMvdg0iWX+YP39sSSSNGQkQCR7ZVYwi5hXAPrkJ02S&#10;9HeB6Ud6gNsSIyMltQNJ8AVBA8R8pQqpi3bS2l6KxwOZzNQI+n3FQfXDMR4ETFFcDCa9FUFOXbBC&#10;Yh0WJVGeC7/Mwu7QoUOHDx+mt/t9y8jS55IsBr1Bv9FX0M//+l//69y5c0i0o0ePIlCE1ehqYnD0&#10;TFiZdHQj3UsfsgtWYMuUYa9E4hNkBjFPcSPEsKUc/AbAmVAIlk/k3NzcBx98sL6+DitMT08zmnLT&#10;HB7pzTff/Na3vkW9FEViIK19rKAraBvtJwwlcwjUS5tZoNPOt99+m8g//dM/ffnll9nFgSMJSImv&#10;E98FhV+6dOmXv/zl+fPnl5aWyEv7X3nllTfeeIOjowOJkcNRlUUgI53W+xHjEaH3GBPmC27cuAHn&#10;/eY3v8FrnDx5Etp78cUX5cUodP0nO1yGli1pGCfClAAwArbYCjZN+f3VHzEYN3uhSWLE3KE9+YlV&#10;YS64J9aPbAkTI0ZGM/ptoC4AH+Ow4EUmj9SO0QDSS7IvCKqjZKrAiGmGWCQViel/cdBgqpCDig5I&#10;HQJbYqhUlLR0vkBSfnHQPxTbL5kYSuYns05iQD+SgPz84sDYKJBulKo5WFrClk7upfh99FsIpDGS&#10;lzAZiZSMWBQxNJ4w8QTYYnuiTkhDFoyEFRVGiBdm+NjCeRCeyBQy0jYZ3xh9MDT4dLrx8uXLP//5&#10;zz/88EM67ZlnnmErQwDoPeYpP5nU9DOdT4dLD9PnrBqxZIoSe2aXjCMJgITZi1tgdQLDwW2UiaRD&#10;OUESrFcoYWpqisS4CADbwXlPP/10qVTqz0fKUc390iGu7Be/+MXPfvYzWkjPyIKADgG9RBFYOuBg&#10;//Ef/1Ge6MfjQXUcxYEDB6A9eB0KlK4AmCKdQAfKzxiPEI+M8yiEvYBkhDEFIAG2FAifYdaiCInB&#10;+zCd2EsMYWrHdCBLYrBjJgbjLSAsMVK7bKlFACWwC0gLQdScR4a+FYLo+D5GL/aLQRospUn7BfKT&#10;LgIq3aMGxcqhMRaE6WHhdSBHx16B/HxUzZBDkzKpVEAt1CsJ7gK7ov5QIEvUIgU8AntpM4xFCezl&#10;JwnYsgu3i11hUWgFOA8rwtviIrG07e1tspMRTzoYPbqAbxKn3O+TGH0wZ+Ge+eh9Sb/+9a/Z4g1g&#10;Hbpd5jWdBrHl83l+MovpfOE2IBYlU1iWIyAaPWVUMqYST4Dxgs9gAmqkKDiPkUIPEWAvVVAUGSnq&#10;2WefRR6xWJFzMJJdhv7LB1VjZu+++67oPJG8w8PDkDTMR/P6bfv/t/de3XUdaXo/kXOORA4kCBAU&#10;g0gqtFojzZru6TRaba+5mEvf+HPY/R185Suv5eWbsdd4PNP/1T3t6eVujbopSiLFjJwzDsJBPMjA&#10;/1f1bJQODgCKIEHEegQVa9d+K7/1PvXuswObLbrzxRdfwHnd3d3QHkPElh22++EPf0inamtrGStX&#10;LIPgBs3jEHFonIfqc9YJIEyKoPkD6ARwiRJTOmwHiKsiBGwOY44Fpn934URQOCJIRp/i8LDUhaVI&#10;w8TW8DHl00Ja4mp8Q1Cg6xdQ+wlZIYAFz7yQokpJD+TeGBQlqtCmhC0qph8jUlFRQTqjh3ERG6l5&#10;tEEZ3xCUqQmiWKrAkGEZieA3BBI74XpNSByoSbSQNmN54S0MooQ5Rch8cYr5Yuja29uxR1SBMQKk&#10;YG5Qb6pDq7E4ECG9lq3RONuSPALgnWCdsQywnd7fdunSpY8//ri0tFQUxVwU2O/hMaoc4qVhypXC&#10;vDCwzBSTrt0t60iDTIg8KYTUgj4gAKwZWMUgEGdpIwDw/1gIlMYMQnVNTU03btwgrv0Z2aUbtr3H&#10;AFrYYcFY0UFahWrpjZrEEVCX6Sksjufa1tbGYD569AhhbRc++OCDv/qrv7p+/Tpx+o4wON5OnWEc&#10;GucxVZxFzGmhQIoEiLsQOEkHKx7Io/G0AbAAiNPCaGF0yIGFhxhqp7yIIUwWrF4g/WZQ+Sw/FJQI&#10;NZJIRdQigTcEBaprhBoBUghZ5FNTU2P2E5QcYjUQcMJvDtoP09ARjTDls94Am03RiThPrTrEesV5&#10;QJ2iIvkB7HYDiZ1QA4IDe6hQudLt884A2wGxURqn6A5nyYUNwrKws+bw5s2bNTU1DCmGmyFFt9Fw&#10;DChtIC9FIQ+kfh4OjJgID5v+7Nkz1JJx+/TTT/FjSMf/Y+jq6uowEawObDpmBEMP7WlGGHmADFyI&#10;yrktL3OkBcUcaYpJZPCJ6PozAqTomjMkAVWwJ2MScYmYR12RZu6Ofb7UFzoOcIhpKiPAXurDDz8k&#10;1OVNdY2QrulpLkby888/Hx0dJZ1RwszCee+//z40yZjQr8PasnvsxqFxHmeDmAWHwn6TR6WUJgRJ&#10;UUA/WB4Ckhy6ciiTQwcUjtYC4tpREiEXEcm/IVQytbjG0IDg3GGAwjUChHbAAs6jInbN2jky+HSH&#10;xEPsFz2CIRgxqlMfRT/uXgMq0kIVDqteddZ29DuQgpW052Ohs05JdEiIDVXDaCpeRVVVle5cJ4VR&#10;0v46FAphWf7lX/4Fmc8++wwHBYvzm9/8BsONo4CzgsdAUQjTOzKShS6r/D3V8hwCHwvCA3h4g4OD&#10;7JAgnk8++QRrrm9ToDMM5uXLlxkxNJYsmgIUjGFEwdAoZBhhxllDzVk5c0iy/9DSJjvTRKIeQu/p&#10;6WEumFkSnzx58uDBg6KiIgjvZz/7GeYILxOqIMthqeVrQwaBRQqf0eZ/+7d/Q8eKi4tpZ0VFBTs5&#10;euHUiV6zont7e+nR7373O92SigAe3l/+5V/CedA5h3SNkMEhlzJ6HCIOjfNigLBCMiolBjIxQGW6&#10;kl26ShCI6xAxxQGShCg97WepEKcutwY4VOQNgVJSqZpnat1m3P36dVBQoAoX1CnAUjdMbtmITmkN&#10;0NPDWuT0C1sDqF0WisKpFzWgLhIJ1RLT28PjPAo0o2nnUbaPPhIhDCR2AjFC5HVIS0ybtrawF2TB&#10;YtJyTExzczMaiymknaTIP8ALgeH++Z//mcH8D//hP1y9ehVz8/d///f4LhDeT37yk8bGRrqJRVbJ&#10;hJrWQxzn0w4YCKcEN4tBw/1iWBjnDz74gB3S/fv3Hz58iAphstk94G0zhhxGIhHIz12WRxKwI2Fb&#10;w6YE2mP6pFEILy8vE1IRiUwTh1ih9vb2L7/8kknPty/ugnFpABQC1/785z8vLCzMy8sjF1mOfZro&#10;CDqDykF7tPxf//VfaXxWVtYvfvEL/DxAr9VBIIVn6/DixQs0E0kUmFHCUaZr2jpA7TA9wpTJgCij&#10;xyHibXHeoYPaCaMbEG2k3h6oRZUqVDMOETH9ojpSQHS/oquOHoE3gWqhNCoipF7MDQuS7WogYaFK&#10;DxEaT0DJKB4LW1t+7GkgsRNOHpCFQwH/A40dHR3FFmdkZFy5cgWzi72A/+gINpGSYbjf/va3GBco&#10;8O/+7u9wUGDB//E//gd77R//+MdwXm1tLWZFdpPGUIWGnfY4O3XOwTjjY0F7TBAzxfgwaBgHxu35&#10;8+ewEZOCk40PDasx7PgoWA+8cAYZ5iOOACMMUcFeTARABubjkEGWWWdCNebwJXyA+/jVV1+RCHkg&#10;NjIyAvXW19d/9NFHzBouJoUo19te/t8LpypoHa4wfh5jQqf0JVv8NnQS2kO1JEzIkHZ3d//+979v&#10;a2ujX1AgJIeZZQzRYcaWkUSModNuzONwYd7DglKizYCtWUdHB3PA+sd2sCljnwLhoXmaM4V7gizO&#10;JBFBUsI6lMzu7JwSiOusytkNK76jBMU55RKJU93hLgMKF2IOjwBYCvoCdBgdf3OoNEaMUP2iOkZP&#10;ZsjBXo4yII71OSywmBUCCoe0sAvYst3Aewhi2684QBtBSUkJcVoOt9EFSqBA4phdjAVx+sImGjME&#10;L2JTsJiYEkwqJolT+HzQJMLkpe+UI0VS/NC16PQCs4BBGBoaYugYXsaWREYJWzFsX4Opn7o5hYZA&#10;ZkwNQ+e0RVMMtKuGC9lUMbyMNisdntA1bWqhZFIIqYutCYWTiCRADOVk+mCFhoYGRyFqCSEyLuWI&#10;QcfFeTSA9qNyNJsWQm8MAtys3zXVPAQYHE6Ri70aISnsDChB1zMRhim9n/dWcWicx4RFw0kScVBK&#10;NIITFkoJ8u9CtIxDTCJxJIOD0wn1SP0Nkt4mooeLGjFSYjhWoEBcNkvpbw4V5QqUUcBGAMtlsYjm&#10;OUActYSrAHGyo7eUgFnEq4MXMX8YR4wIpgTXZGxsjBDbwb6b3hFHyTmrR9EpwY1z9Jifdi06RGDE&#10;ITYMNFzFUGOvCUnEWSFFA8VZZJhTjAbzwvAS17Qy8hgTssCLDD7OH8xHCjKA7MwXakAcGd0Ggv0h&#10;Io5EnpmlELY4ly9fxm1i4rBXVMpkuflykaMHLRfj0hc6SF/oNSMDGCVWUGlpKaMh7UISeQ0Iqssh&#10;PUWMrQB9pKd0EzeaQuB4cjHaXhUPHX5APU4EWOQHArYAowD/yc5iUDAcMBwGRTYFC8JOGUmML9xG&#10;Cj4EKUhiXzA9x2goTxEYJY0nQ6dDDDG+nc5CPxwy1OwwRkZGuru7caPb29vZf+Bek8hZLDjjz3aE&#10;mcKJYbLICJkhAMORC/pkapCE5KBPSmPKoAT2KFTNKSaajOy/lfekAepShJ6yLbOXJHLQRvoFpUGE&#10;jB69E1UDdBJezLcvd0SSbnKKsWJMABnZH6hMtFRZPA4RnvM8jhQYzT0Bhx0IGA5MDFajoqICY4rV&#10;GB8fx9TKemJl2GgTh94wK4jJNGO4MTGYVMwolToz5LEfMLuMNiYYwEAMI2OoLYWIkEHGRmOsGfyn&#10;T58+fvz42bNnbW1tHIZCIdiR7Aw4jIUHg69WVVWFxScXlADndXR09PX14XxTIOaeFNKpiCmDP5gg&#10;CsdbIi9OnvxyIWjfCYD4CdBNmKywsJDGo350BF5nZOgCY0WnUFqE0Un2avh/jAkh+skgIw/tkQU1&#10;lletMj0OHZ7zPE4lsHoYU6xhkX3PEwYFS4GJwXQSB0QwrFgTLCwgCwYaG4phwl3AjaAEZ6089gNm&#10;mv0B48xwYbtxxRhV4gwmg8x4EgdwIbwFz0Fg/f39g4ODsBfTwaQoC4ae3QZFsVORAwfDITA0NKRc&#10;2Hq8IoX4RkwZMyW6ZbLK7MtNKIQmUZ3adkLAINAdIvSLZkPMgMbTTih/bm4OAoPzEFB30EkkkUF1&#10;8V/pF0xJ1xhSxhDHFzBujLbfk70NeM7zOFJYC7kHgtMHgRhLNhSbgqGUb4el4BQmA9qjZAQwtdhu&#10;GSZsjV7dggHyNuV7waAxerhc8kXEYYwbLAgVEQIGU79OQWPY67GxMaiLEErTIQ4fLNjT09Pd3Q3J&#10;4frotzrEQEtLy5/+9Kcvvvji+fPnZGEeoQpCOIBZo2S8IqaMnQ1TKVV5PYV5S4hpDI2kzdXV1fAZ&#10;cXoqLzam5XSNcSspKUESaFuGpJ6DxOEjiyQ9DheHdg+Lh8cRQzYRU4tZ0TNkKOo777xTUVHBKWwH&#10;6eJFbBCqSxx3BKrDeqLeeHtYcw5VmseeYAyhOkJICA8ME0EippwxZPCJYz2Ai8g70X6CWcBwyzsk&#10;o4hQhAdwgAhJgRehQ7l6CGN8yIiYru/hDF21IKILrUxltCGiIsLolCMGeqVWESGkPXA2TQXaadEd&#10;KA19k7KpqdJGzhKSwmbC0TwZGV7oEH22NXgcJvyC9zitwGpgX2RZiGM+SCSFOKYWozkzM0Oc3TS7&#10;N1leXWTDAOGdKKOK8tgPul5XUFBQWlrKRgErzJAykrhu+CIwGZaakUeMIdW1R0cAmH5oUs8e4OGJ&#10;2Ih0dnayIyEv+2xmBHk2H5oXiIGioENdps63H75g540AJSNDycA27TuI9o4RIjM1g0aicjh5lfYx&#10;fEaJXqON8BmIbipbB/xXxGpraxlbBhCap+N4HWwFGATGJxD1ODx4zvM4xcD8aV9MHMuLnSWCWcGS&#10;YouxIMSxLJgeORwYEbJgVYFyebwcuMhYcNwO/fikX54YXv1o5355YlRJZ1QhRUabLByK9jD32H2E&#10;seYAtoP2dIcLcwSbXr58+e7dux9++OF777137do1rD+lMV+EUGBZWRkhce1pThqiOUxxmqrrvQwa&#10;OjY7O4v/Kh8O9XPyiOmiMb3TnS9kYcSQZEjZEJCRvYWEPQ4RnvM8TiuwsITyFTAuWBAZFAwHFpN0&#10;bA1hdXW1uBADLSOrq0zR1spjP7ClyM7Ohu3q6upu3Lhx+/ZtvC5GFUcE2gN4cgwvVh7zjSTDSyjS&#10;QowSoD1cPcQgPD2cAO2RET9Guaqqqu7cufPxxx9TPoTHVEJvGH02K3qddIn9kjhFUREl23Z9B1Lk&#10;Zh0LqB12V9ztomA7aIxmr6+vM1BoHQRP91FRMTdjQoSxpV/0UXdvksLQ0UfGSld9NW7RZI/SMrDB&#10;gcdrwXOexxkB5gBgRzBD2BRdfMNAYIlgR3wR3D5CbApGChyjoTxFkE3XjSQw36VLl9555x2Yj7Cx&#10;sRF7DckxwjgxDDWbD4w1Jp6hJk528uK+kBfrD5gg7D6HgAi5KJ90hJka/BvtS2A7rD+0AQXqvly4&#10;gZk9RVNGg3WplvbD6/RUvdOwMGKMDBF6hHIyRIwtIAsbBSTZHOgKJ6OhHZtChotxIOLx2vDL3uO0&#10;AgMaxLYJT34AESwFVgOTgYnBuGBe8Spm7JtZkOEQq+ptx6tAnIdRLiwshOGguo8++uhHP/rRv/t3&#10;/+7nP//5D37wg1r7zlLcMly3rq6uzs7O3t5eRh7aw0EhO/ad0YbAIACojpCiYALsuzYo4ksmqLu7&#10;+5tvvnnx4gVGH7aDA/SIAvwnhjhFoF+QGd1kfOgF3CbOo5vopyNv4owPw4tkdXU1Dp/2Z0gykgwI&#10;udgTIMlgivaQt1k9XhOe8zxONzAuimARAAYCG4rVgN7w9kjHRmBiMMEuhT24OA+LY7N6vAwMFLsE&#10;KAreqqysvHLlyo0bNz6wwOFramrCUuvaowYfT0VsBzQjHGLWxXbQHnHkKZOpQZh5YTsCa+LZwJo4&#10;6MwXBFBeXo48LiaHmlygJp18MA6EdFacR5x+DQ0N0VMIXopHKDHtKuhvRUUFWaA9xkRXgCcnJ3WJ&#10;mL7rIiejqojH68FznsepRAxdcSijANthU4hjUrEjmA/Okg6wL6STAuFhZWSUld3jFQH/Maq62AgF&#10;yvP78MMPP/nkk7+0gAgbGxs5xYzoqXOA4cZ8s+0gFzY9KyuLCBNBacxIOBzu6+uD7XBusO8lJSXX&#10;rl27evUqhSMMLyIDqN25RycfdI2W46HirdJf+tje3v78+XMGQRwGpH50iqGA3aF5vD00k87iDjJu&#10;0CR+nm4/RoGduhJXxOM14DnP43TDMpe5ninakz9HvKCgoLi4GOaD6nA1MCtYEw5lbZUlKMLjFaDh&#10;FYjj9kFIeDCQ0w9+8IMf//jHP7P44Q9/COdh5ZkIeE6v3+zp6cHFYV6gAU6REdbEgeOQSSG9s7Pz&#10;6dOn+HkQAJxXVVUFlYrzECARCjlFhAdorToL/aN1UBek3tHRwbCwJ9PlSoAqEiJAl/EIUVoyMrz6&#10;dROm1J0skB9MqRFg/NFem9vjdeA5z+NUArsAggMLmWMMyoJ9FB3zwa4Zu4OxYF+MhQX4KITaSsdk&#10;93gJ7L7C2FkNO3HtHsR8paWldXV1ly9fvnTpUn19PXGABa+srGQKoDdMf5598A5Tjs+HNceP0SVN&#10;4hMTE1h24vjf8Bx52awQIS+1UBeE52q3zTk1oMsieFSOQzoyPT0Nk9F9+WqiMUJGErIH9J3x5HDF&#10;foYQb6+3t5fdQMS+uRRhMqLVRDxeD57zPM4CZA0J2UHr2ibchuHAVpJCOtYTkwrk5Bl6PD0/Dp0Q&#10;YHOBc7kYWDhMLgtWONt+5gl7De3dvXv3Jz/5yWefffbTn/70L/7iLz744IPq6mpmBMJra2t7/vw5&#10;jl1fX9/AwACuz/DwMOXAiziIH3744Z07d6BPDpkyW20AJpGZDQ5OPGAmSIs2o3K4eoWFhYwMmwAI&#10;D0BmOHwMnZSQkJ0ZktC8HlGH/BhkhgWOZEPAuOmGT0CZ2gF4vB4S/tN/+k+MOKMPmAxUEEUkjo6y&#10;NSsrKysvL0ebEfUD7XFyIDKTBzA+Po7ednV1YQ5wNVBXIpgVjAi2BmF22aFQCJvLJhp9xgaRiNqT&#10;3Rbm8aqINgIYZV14dIcMuC7oYTow37IejDk+N04hFhx/Rfcu6hI0kFNOOcg0NTW99957hMwavlGM&#10;weFQ3tKpAKMBjWmDJfJjWEjPyMjQo4f0F1KXx4YMKYgxLAwUA4L2kp2BQpmJkxcu1CUKlBZCdcPu&#10;cVAwdAZOvYgAUhhxQb/866zA/AnBsYfHCYB0EjOK4cAoYFCwERgIqBE11oU43dUiJQ+yeRwqdIcL&#10;Dh8bC+0wauxz5VVVVQ0NDTdu3Lh16xasxiFnoUZMOV7d9evX33nnHSIXL14kO5MVFHeaIdNKBKKS&#10;q4cGQvn9/f24tpC9Lm8CMR+6CrcxLDh5UB15YcEp+z1evBG0msMYU+zxGkj41a9+haXAKDCgbEA6&#10;OzvZizGyeOIon26fJRKIR90y5A2Hx/ECVZSjht62t7e3trYSx73AcEBssiBEEEOfAXFMj+6jQ5IU&#10;zIrX4bcBBpbxx5Sz82DYIUJGHrcPYwLbEWGaIDwSse+45teuXWtubobzOAUxkPEMzAt2VfqJBuLG&#10;MSbw1pMnT0KhECyIacWuIiAlRAZ5hgtgjeE52BHCI51DnELGDXkGk7xIkku1eBwUZuAYQRkFgUMS&#10;iRAyGW5wtV/WJAFvLDyOF1JUQqkiEVSUrZte7ISdxXqSiKEhBb1ViruaRIpK8DhcMKqy4MQZZLxt&#10;vJa6ujpY7b333vvBD37w/vvv37lz5/bt23fv3r169SpOHv5fY2Mj2xEm6MzYFmkahpRBkNfLODAy&#10;eHj4bXNzc0v2uRoNFGLI033cQcaBPQFxGA6BeXuzDyHyqDcleNv7Jgge9mTco8GwylIwxPAcAoiS&#10;rjy7IQEPj6OEU0hMAEAJ4TxUF9NAJM1+4I2Iu9qJBSERSeLkwhIRVwkehwhGNXps8UuYCPl82HGs&#10;v+7mwL2D5wDuHYek4wwp19mYF/UCZUNRGRD6DnBkcdoYDXQS5oP/MLCIISCyZ5Sy7BMO0B5go0Yi&#10;zIc1BkQoEElbg8frIHjTLoPINAAipABmAtvBlADdLoXuYjVsrh2QfHDg4XHkwCgAOA9zgCmZnZ1F&#10;Y7Ed2NC1tTUOASqqFEkGOT2OFpgXZiEnJwfaq6qqwvnTp4Jy7es3z6Qpp1OoHBGMJx1vaGigy/SX&#10;rdjo6GjMQwsAYYYiLy8Pb48hIkJG1BjFxhRDe8Ql6fF6MAPNFkN8BohwSCJWA0sxPDzc3d3d1dU1&#10;ODjIIbtm51/b7AZM0plUVo8TDu203H6LCGqpx7/QUpQZr05+HqqLVnMIiERnUcTjsMB+ImZGAImy&#10;+4RYGHl7hYWF8mY4xICcvbmg44Ry4IjgUdDf6urqmpoayE/WFeW0sgG0G2NnBimWlJSwG8DnowSs&#10;MZIA5kOlJezxejB7EKaE+RDtydUjkSkZHx/v6el58eLFkydPnj9/3t7e3tvbizVhAvACNaOCFNrD&#10;41jg1A+ToYef2JZJpbGkqCu7Yw7ZPgNt6QTv8B06ZD0UJ8JoAxl9Rht7HT3mxJkjF3enom3L6YXr&#10;jlSOQYDAsrOzcd3QQ5w2dBXl1OBEgzHRj6AwHzaZFOytvbRprm16zntDGAVFw2QRGGu2XfjUHGpK&#10;4Lwvv/zy//2///fVV191dHTg7eHzYVMwJbjY8J+eZIiZBgok3ek3wkR27+Oi0wmRZ2p3EyrYnVfY&#10;L/0loEZV+hp5lQtQQpDkcUxgFnDaFEeHdcgueHp6emhoCO1ljthNo9IcQoEIYEewIJgY2RGAnivi&#10;cQRg5BlwZ+KZNUd4gLg7FEmcChhzEHUPIIZL4FRMdxDDgcPA4uqhmaFQCIs6MTGBFQXkZWSA8sJ2&#10;SEJ7ZCGRsUIGJ4TQaa/H68Hon7ZjDCVDXFZWdvny5atXr+JZZ2ZmwkMw39jYGGyHk9fZ2ck8tba2&#10;trS0EOnr6xsdHZ2amoIFEcP1xrjAdswu8yT9Jq6aqEURB1I0nYojTxuYY8IYpees7qYRjwrEgdG4&#10;g0B5pZdkVwQENb0UNEOg2UGSxzGBWSBkQnWoCPMiTQYIMK1oI5rDBhkBzmKGnGq5vB4ebwhUS0C7&#10;BPbuMoaBxPZHJ7BvxKWWhNgidJLtWrQ2Ug7GECcEYdQYGYTZzwGKVa5A1OPgMM/nGStu7TggwnaY&#10;LQYzwaAzxPCZoA/84+dBdaC/vx/Cm5mZYU/NWdkXTYYrUBFB9TlAYAgDJlvzrZByXCIgbqltHSUA&#10;KFNQnC0/+vAVYXu5B2yj9gANUIS8inicKDAvqN+LFy/a29tR17y8vNLSUj31jMlgl/b48WPEmpub&#10;y8vLOYsWabqZ2ZfMu4fHq8AalT0sg4wVCubOcohRJQV1xXjqdyK9aQyT68pBLTGk7NLwJbCuQ0ND&#10;uBycwjVEnwsKClBjONKr7mvDDJzGGmRkZDAH165du337Njaivr4e84Hzx2wxB/qM4ZMnT77++us/&#10;//nPX331FdYEh0+vzoP/mBscdt1EgNunZ0rc3gSwWzFuvAVlAmeAoDc76QGTOSDAnl0/w7h2vg2I&#10;YvcEWrgbQTaP44a0QjOCTSkpKSkrKyssLERtUDm2VgB9Q5E4C1AkJDWzJr+HxyEBjWLLLn+OQzRT&#10;KSgnEUJOEWq7j03TxXmEkXHGzUmqHJlHGU/n5L1VS3jmkfCf//N/diPI+GIp2E2w72BizBWi5GQ9&#10;LKJdBoYD86EJ0FTJoMBtsB2c5zA+Po5fCEifnp6es8AjhAKRJxfZgaYWMNPUrgkWSAGKS3sA8w2k&#10;RoQgOsuBoAIdKIdadsM2yiAml0vxOC4wC4TMERvnp0+fsvdCH6qrq+G8uro69mrMERs1dsq4dzdu&#10;3KioqGBX5/KiQuI/D49DgSyGwCE6pjiaht3DDGIPh4eHBwYG9IIVjOqlS5fQVffLNECeUxhJ5HEb&#10;UGDMKYpaZL9QgZNXU1OTmZkZSHscHOYd04wyMQaaiFwrIuyUGWWAq8feOTc3F84DzJYuLjMrcJhm&#10;Ub/26QNRbRYYoB4L7BGeH4Rn7rS1bh/Z4TyFVArQCcwT/Eq9DmqfgxIN+ex0BJX+6oguLRpKfwkk&#10;Ru0uDE54HCuYCEzDkydPUD8OMQpy9VAnpgn1Q/eq7MseL168iAIrF/AbF49Dh7ER1j5g1px14hBr&#10;KQfg3r17uqoJb6GotbW1umdQBKkSiEciEcwmtAdBkgunEMUuKChg3wbnRXOkx0HxnZ/ndiXMEI4X&#10;22R2x4wyIK573gg5RSTJ3k3LTEBXUBdON4DSmKfR0VHtTYgzzcwudodTGCamEIQtqFG5YEHOMseU&#10;ow0RWTjklEiRRECKvHu5mDRD6cgYP/EgsDwbvBtJXSZCmSowBpJHWPLRWTyOF8yI5gLVevz4MRss&#10;4voOS3FxsWR0aUGveWQDh94yoWg4kpxV6OHxhkAVsRUyLLJObmeP+uEn6KcfrF93dzf2LSsrC52E&#10;xiA8vDf0kOzagZEXAYxnf38/hIctxYpibCvtxwjJQsborZvHQWH8aI21G3TAoLthZQoxHMzB+Pg4&#10;W2ZC9h1YGXEAVIQweUkhQgjDEWGPk5GRwX6ELQwTLDeRRKqAKQHWR9wpdUEMeUB70AAkOYsYJUiY&#10;FKrjFCUgDJTIWdvMVwUFqhA1hpBD4CgtBjKRgBoRJtQhWQIJj2MCaqO5wzr8t//2337/+98ziZ9+&#10;+mmdBWfREHQV/4/D69evs0FGCTFD0hmE/SR6HAqwWmI4bcE51GYLksMkEtEOnlNoIBGorr6+Pt8C&#10;znNGD53EeOIS4As+ePCgpaUFBe7o6IDt7t69W11dfe3atXfffVfX7YO6PQ6I4N2Du6ExxXAgwFQB&#10;4oA9C3GmEP5jOplUSI5D5phDdiXsaEhk+snOLLJD0XQC0YalDFM4IadULIfurE6hHEwtXibuJlzI&#10;WbWH2snFWXQlMzMT+2WK22YvlEYgjvxuYAfJS6sIKRMxSULtEoiBiqJwMkLD4mn1JZDYCVqoMgU1&#10;BpCFU0RIpLVEGFhAgUHOnUBMEY0/8urmfvXSfgkgqfHUgOhsNBAAwcEuUEIQs1CbwX717oayUHtw&#10;fHCo/Wb4XspJqJx+2IDV/v7v//4f//Efmda//uu/vnLlSmFhIYPGmMzPzxMiduvWLXTJ/xByVsEy&#10;UcTpjCLoEhHpsOJa9ZIBZHS66uJEkIleC+TVIeWoLq0I0gEpWDwcAP18A6vhnGEPh4eHh4aG4DDy&#10;Yq8waJcuXcJjw1fDE2D/jWXDArjCKYQSsKLPnj17+PAhTiH2lnKKi4uhusbGxqamJkJMYsw69Xh1&#10;7OvfODAfUhejNVtbzBATzKQywdAewPQwVcwucWYaRxDO46w0wykch1IOFSWOIa5EWSjiyoLmQWao&#10;hRQF5XDcQF4EOIv90vVVyaMEri5AXPIxIAtFQXhkJJcTc3ofAxpGyQAVBxAeIYeUEEjshOuCgCQh&#10;KZQPXHZSXt5OB2UkFyEZtZnYDVubAQ1QsapLcUGSttp9J51T1KK6gqTtMQ8OdoJZc4W7CNA4vDpU&#10;nctFOW6UlBIDBDAumAzimIb/9b/+lzjvZz/7GUYB3cBS0DYKYaZyc3MxNHAeGoU8+ubKl5Z6nHag&#10;sTGq4lRxT7BN1+pggRNhsaB7aBSaQ4q0gjIJZZ2weAgDrS+FgB0/ApxlYUb/8oK7hmGEsSYnJ4lT&#10;PkqI+t28ebO0tBQ/j4owRCghRZGRLGTEbKK3g4ODz58/f/ToEd4e6bBgWVmZvkEB57Gl0+VQ2w+P&#10;A2NfzpP10chGjy9zQBZNM1MlkIgMEaZHv94xeUwhYtIAhJl4AbWQGnGKdIVyE8lIHD1A29ASrBVs&#10;R0icSkmnFgE1hbREhEqRCQPqESk6jIH0jOxABSKvwgOJnaCdnAI0yeUSAomd0LhRICVHZ8EcY6BR&#10;erqjStVmylfG3aAoZBgB/Z5KOSQydDobA61PoNXIIT1l3LQnsO0N2BcgoMhuIEZF5AWuzJMJNIcO&#10;Eunp6fmHf/iH//N//g+d/du//dvr16+TTiImTNsmUFVVlZ+fzzAizxDRTVvGy4bC4xRB606QwgcH&#10;u6AZd2shGixGNu4sMUoDSJIiGpPFc5RGBJOFNevr65MkBaJ1rFZAhMVOOpKELCgYDs4jLLHfgwUs&#10;LnJhM7F7+j1IPkMoFJLnAEjnLLa0urr6ww8/hPMuX75cV1dH4S/poMfLsS/nybYykYISY4AM0Lwy&#10;hYQcisMEDtEMUphaZo44IXFSUBoizLTO4hqOjY2xLSIL1TGjgquddJei2gUqVYpLf4lOC2SRjlIa&#10;h8SVorO7gaSECYOknWssGpQjICziASg9TgZKj9llSWigKJB0uh/k3AmyayhYJ+TSIiGjrPx+oF41&#10;DGHtCbQlNANn4bqApCIxQIYqIGZlVxZ1J5DYCYSpUeAQeaom1Nnd2K9eynfgkNKQ3E8Y0Db5eShP&#10;V1fX/2dBs//9v//3t2/fpg0vXrxgC8WwA8SwFAwFEcrU4FMRcTXb47SDOSXUbDKzTg+xQtIi4kCS&#10;iLHuOJQOSOWwY5zCEBGXYpBCdtkrDrFdqByGi0T5cLBUW1sbwhSF7rFIpW+sWTwzVhARS3DZ7L10&#10;hYkq1DC1QXt9yiGE7XDscPKgOqo2zY2P7+/vp7qGhoaPP/64sbGxpqZG9yRrB+zxGtiX8w4KZ0eI&#10;UybTCZg57A6nmDaRnBSIlHA4TCIgLjGmnERURyVI51QOMkwz6ZQPpC7kRcDVSPgqUEZAIWowEYAi&#10;BhI7gQyF0wCXEUgjA4ldoDSyUDJlQgkABYXwUH1C6b1aTjrCQbadIC81EmGpaIeIPBnV391QjURU&#10;u6uaSkmntaQQkYzkFYkB2WkVjWTFkl1DpAIDiZ2gSZwFiEVnBIHETrgGxAB512bVpWJfMj5smBgW&#10;wpGRkS+++OLzzz/HsvzVX/1Vc3Mzid9++y0GBQMBGMC8vDyE0S4KBKqCxqs0j9MOJjTaXEhtUDbS&#10;iUs/ATIiLWhGAsCpGdpOdrKgyVrgKgoQISNAmHRKwGSByclJpaC37KjYV6Fs7GuLiooIWX2ksIQp&#10;jRKoHcgMWkMSXCojEY1FXWFcnDz9hkcLqY44Lbx+/fqPfvQjFLuioqKwsJAUKbDHa+AAnOcmm5BB&#10;V+ggFXFggqV8xKVS0h6FpDDBijB5ZEeYPRQTj7a57NIJJh6dQKVcU8lIIsKEyJDuwFm1R/HdQKvI&#10;yJaNMmkzQFLt3BMIcJZm0DxUHEWk5dS7XxZVrdrJS+8AEdIxuCwD4hoHBDhlM+0B1YskA0IuUb5G&#10;TAIxQB6odsRIUdWARJ0CEgb7lUN1khdcLuISiIE6ggwTxNqGdQC0x25XAjHYrxztggkB2aUGgGlS&#10;JAbSAepCT5iX9vb2Z8+eFRcXf/DBB4Rslu/du4fhwPRgJkpKShhDVUGD6TvDQiEUrt55nHagD2gC&#10;6xqwwGV8mGh0iVkGxAELGW1BZnR0VKqLQpIXaKGht2Qhwmo1+y8LTpFIdoSJoEgkkoViEUOFSCeF&#10;uEAcBSORjESQpEmqFw7DjcMKidUwJhSLfLn9bBAESS52/62trU+fPkWNsW/U+P777//iF7+A+djA&#10;IaYue7weDNkE0X3AlLgQYDWIu0Mgq8G8KqKzRoksmLA9zQqnSAfMcZBk88rQE6JPzLdYTepLOqFK&#10;IxE1QoMJTTUWnOUUBSLDoS0yFugceob+UYIhhO39PpBADCiNU+I8XYIgr1oVSOyEuqOWKBToThDb&#10;hu39vtxMOnCdEpAPYntBCwx51x3kaaqtx0BituC9KwUUQqUqIXoMXfYY0F9KI2Tdap8LMBmQTSDx&#10;asAJQ7UoAaAz6ogQSOwE7WFSEJZ1Gx8fx0BUVlZeuXKFxOHh4RcvXmBiKJZ9MZyHJaJV9A5hsqt8&#10;8mq+PE47mEogwkMxRHKkoyeka9IBywHKwQJ0d3ezhJGRAqPqqAduWWNjI+onzkMhpTakoFRIkqKz&#10;hCI2FAylIq5DilJpFA5kKGgMEdpGODY2hhkJ2y9eYUywKhSlevPz89muURp8/O2333799dc0khqp&#10;7oc//OFnn3127do1lpVWqNfb10YcFjyI7oTTEhk7Z/KciihUIlAcMQExRVA4wuhTiqMHOpRtpTQ0&#10;huk0KmNLRgCQnZBDJCVGyYBElBsdojQSKQQQUZkIqD27gQrSZdSOiGokkbyK7AYyaoxoj9Ui3aWK&#10;QGInkFfEdGObwgHy9IVKiSMDaCdiCEg+BkqnBHIBDtUvWiKBGCBDF1h4xDVuVER2WmuHJJg+UkhX&#10;fE/IXmitqhASyb5fLp0C9IjFySaUBSx7EUjsBA0IYjtBXi1v8koN6DLYb14QRgEQpqnUjgWB9mpr&#10;a2Hc3NxczTJnMVW0B1NCpzAulKYBVBXSARXocaqhpSGlRW2UAqRIhCwNJp2zKAarmHlHczhFBP1B&#10;APaCdTgUsSGsuBgOPac0UrSUiKhAVaRCWDsUDohQEfpJRTSJLAggqWZQL01FHhlO4VmyJ0NRVRp0&#10;CNXpk6UjIyMXL17Erfzoo4/w8+BFlBkZSqBJRDxeA8YPwJWWZmCwmAx2ItgIpioQOVpIX3dDpmo3&#10;0Jsg9mpAEYPYTjACQWwnnE2nAbRNygr2kyddy0MZyUILiRAqu0qQDNivv6QjhjAZtZKJk0iWQGIv&#10;qFIkyQKIwO7BuVcDPIErzGJj7VEpBZKoTkkgBlRH6HrNugWscC3yVwe2QCW4iijzJfVSvk5phOkp&#10;whzCeYQV9hVNGAisWF5eHo2UQfE4q0AZmGIoCqBLqIdWCiGKgQJIPTgU0HObLxbYQIoCgdz23h1G&#10;ZEFhPbTlReuknBMTE6oLDYTtWDuACJswlt709DQbZRoGscFeqCIEJp2EtAAqSo00GFA+trfFoqen&#10;Z2hoiMIvX77c0NBw/fr1u3fvNjc3Uxdi9DForsfBYa6tPX36lI0JB7ILzBazwhRagaPGfhwglT16&#10;oKOEbtm4xYOO2vOxYNxYCVoqCNMdUghZJxwqTsTJ7Ncv7Liyy6ATKiPlBBK7QGmEFKhcysgK1NlX&#10;BFlgOxYbK5Zy1ELqpbWBxF5ABihOFsDK1OErgvJdCdHYM1GgFkIEaDOgtcTRYYCZuHbtGlu3oqIi&#10;3D7aD5TL40yCqYcPRCQAHRAVEdFZiQGpTVlZmQ5jIC0iFFxGLQenaaSonPHxcWqhLhQMRsR4AiLD&#10;w8O6MoQ8/KrrljAcCllYWKg4bAeVYknIC03ie3R0dODetbW1jY6Okpfar169CtURXrlypba2lopY&#10;1/sZH49XgbFo//AP/8CMMo7YU0JmFHeeqQpEjhbR2hkNadhuvNwW78Z+5e9XjrPdNMC1gch+5TBu&#10;nFVpyJh1Y7mKFEIdkm4LC6CMMaAcxFwWQJwU1nMgsROuTOJIamWC/fza/UAJC/aDiKxYlalm7Dc+&#10;pCMgGdWrCAgkXg3K4rpJiu2N2TdIIAYaZ6A4qgs0aJi5pqamW7dulZSU4PbpNz/ZPo+zCvQEPsB8&#10;CUw3mol6SJcAEbQLDUEZnI7tBusd4MxBOXLppNKsOwqkWHws4vImSWGZkKgayY4w2bXdVC20yl3z&#10;J4IYPAeIs5+mKCSpCI7s7OyE8Aj7+/vZqnIK7/CTTz559913L126hGsIWVIavaBf+61Hj+9FHMP9&#10;X//rf2WXwaxg6diSMCuMKTMXiJwMyLq9OfazoS8vn7OC4oQvGR8nCahOYGCD2HYDJAZ0uCdYM4As&#10;igCXfTdcaU6S8KBrg3VI11jJLEUVqKJYbIHETqhGgBhZAAueZSkT8OogC5CxoCiKpeWAw0BiJxBW&#10;1QhjmHQ1CTulRPw8LAW7aQiPkaeQ/a5leZwZMPUOOiREdYlIh1FstoDoNmrGxs5migVictdm7KPi&#10;mEdykQirwXNwFbso2IuITCUh6SIwQFz2E7oSB4sjHQ1LD1FIylQKVVDRH/7wB5w8CA+20xVRXMOa&#10;mpqf//znd+/eraiooAuUT5nqy37r0eN7Ybjtv//3/84cMJcYDiaPCZPdCUROBg6rPfvpyn7lx8g7&#10;Ma2o3VC6QoQF4ih3cPBqHYkp3+VC3RXZE+RyVbvwQGAdQieqxRUFXjJurlJykVfrmYgEXhGUI85T&#10;7RRoGG9/zlONAHn0dnx8nJ0y9oISoMD6+nosRVlZma4gIfbycfM47UAfUCEiCh3knwHiqAq6of3c&#10;fpwnGSgHpXKER5kkUpQ4D41iL8Uhi4L1Ap9hNkkBRJQunoPhFKF5Koe4SgM0gypQXXDv3r3u7m50&#10;GAVGgFx1dXVNTU2o8c2bN+E/mk1eLUMEnP57HBRGUR48eKBpY4KZJEJO7Gfj3jZoTxDbif3SD9rO&#10;/cp5uU0kVzRI2a/e6HIkCVDQGB11p/YDa0+RmIwshiC2D6LliR/U1u9Xb8yhgzrCWQmY0bHYj6te&#10;AppK7TINHKrM/dqPFZMANoJ9cU9PT1tbGyYjFArN2Q/m3blz56J9qyEWCmFMTJDT4yxCOgNQCctx&#10;AeSNYd8Ah4ihYwBKk3wMkJEA0CErXSHlyGmTM0cidVEgEQonkVDpAP3nUMIqWdC6QBvx7SYnJwcG&#10;BnTHSjgcHh0dJYW8ubm5eHi3b9++du1aeXk55Ecv0HMKJC8rAhlbmMfrwMwZ04/XzGQwlAwrexz4&#10;z+nQEWM/G4d6BbGdOCjnoTpB7NUQo7LfC7U/egWq5fu1/6DYz3ar/OhZU8pBl4dWFHlVFGH04Z7g&#10;lM4i5rDfPO6HmPJjDvcEDQPorZ7h/fbbb9kpYz5mZmYqKyvfe+89/DxtwFGSg7bH49TB6QxawYwD&#10;IrAFEVYxUIrEiEg4BhhAtBdJx5SAw2gNlyQpgHKUCDhEzSBLImQJUq086TpLiAAmF4aD8FDX9vb2&#10;/v5+3SaNMqOxaC++HZu2+vr6bHvvMaWRV41H7KBGySMa5jImA0qMCNNMBKv6vc7E28N+tmk/HX3b&#10;QEGltUARhSifTYuFE0bAxQGayqGgFJWgwT/toC9MXNC9l47PflD2mFmOGcNoSG91dnx8/NmzZ/fv&#10;3+/o6ID28PMuXbqkD+np2iZmaz+98jgbwHYxxUD+mdFCq0559rM7qAoCSpRmvmTvK3mxHZBVjAYl&#10;qBDC6PVL1aglJRMhlw5Xox40onlQHSlTU1NDQ0P6iiy+HYSH24eioq4FBQVo77vvvtvc3FxUVIQp&#10;BuRVRUTIDi+qRo/XwMv27x4eJxmoLiaMCFbj0aNHX3/9da8F5gN78dlnn125ciXdfs6Czb7X8/OJ&#10;/egB+kF5oDepEJCGwFWKSLskACAbJ0xezuoQBoKNREikL9rXVuhmTs4SYQeGF0F2fDsxHFs0mI90&#10;JGdmZghhRBQVtsOxQ3VBdXU17h1sh/ZSsschwnOex2mFrBKRaM7D1cOIvPPOO7/85S+vXbuWYwHn&#10;YXSUy+NcYb95T95+h6IITCHpCoXoFPmFLgV5AT4T+ZEI/0UsiOAgkkKcHdjS0hIpcB4MNzw8PGE/&#10;GAQ7kkgJSKKfuHQlJSUNDQ1Xr16F+UpLS3V9QhrucYjwnOdxWoHq7uY8AOdhOPTxWAgvOzsb24Fx&#10;US6Pc4X9OA/N0XVIiEcXHlEngJ5wCihOOmeJwFjEAXkhORL12MPU1JQkSaEooGubJCJJIjLKBTuS&#10;BVcPDw9wCl8Q5SwrK4Ph4LyLFy9evny5pqamsLAQ9273NVWPQ4HnPI/TClQX20QkmvP6+vowT+yU&#10;P/30U90CkJmZ6a5KeZw3MPVBbCdEThASgI1gIFlCy3cGxEkUKUJaeGZESOFUgn0ZCmrG7qqrq4uz&#10;pAPtq5SdMhUxldlEMajYkVbh2+HJ4dvBc9XV1TAftFdeXp6Xl+eur+7XeI83gec8j9OKPTmvra1t&#10;ZmYGC3Lnzh19n0W/iPhd8/mEfKzdQHPgLfleYjVnCTkF2XBIoqgRlsKfi+Y8IuK8gYEB4gAyIz0l&#10;JQUyS9p+LoLSSCcjzEpIPNl+MEvf+iCE5yA893rYHPstITJSKRGvtG8DnvM8TitQ3d2c19HRMTY2&#10;hlmpqqqC7bA+GA7MDRHl8jhXgGaC2E6gFVAa1ALkfkmdiEupAImQmc5CWoqIEYlAllAmcOkQXqZF&#10;Wlpabm6uTCvh4uKiXq1CvLi4GKpraGjAvSstLYXnkATkgg4pgXIoDUkY1LXE4xDhOc/jtALVlVGI&#10;5rxBC8wQ1gQByWCw/CNN5xP70cZ+6dKZ4MAeKtSdmeQSiIuZ9FMxQACq0+/HbLny8/NJRBJVhPCG&#10;hobC4TApTU1N5eXlN2/evHXrFhHUUv4c3ElEUPkebwme8zxOK1BdWYcYzsO+sD3H9GCGMEnsnTEo&#10;qf59m+cS0EwQ2wloBnZBQ4CYRukcEjqrqFOoGYrEKXexkRQdEqEKkSJUp+uTRICuheLeDQwMtLa2&#10;joyMkALVVVZW3rlzR+9MUGnwouqNBmWS3V+fOHR4zvM4rdiP8zAxbJ+rq6sz7BtY4Dxn0Tw8BGgG&#10;xmInJH7CRROroVRwmJgS7UIGkA6TEQISZTN1WFBQQAogjpop5BDyW1hYYLPVbfHs2TNUNC8vDw+v&#10;oaGh0QLyoxyIjSpMmzyOBJ7zPE4r9uS8/v7+sbExLFRTUxP2CMLDnGGGZMU8PAR2RTANIbQH0BM4&#10;Dz0hEVVBtaRdhvGsR1hTU2M57jsvUIdommG8nY+3C+FwGNpraWlpb29//PixOK+5uRm2u2IhztvT&#10;yfN4e/Cc53FaIatEJJrz2FPPzs5iTT744APCLPtZzhhj5OEBRQF4ToDYIB70hDh65fw8y2vGdSNd&#10;EdKjOY8dlbSL0EUIweLi4tTU1JMnT1pbWwlx9QoLC9955x19ALa+vt5z3rHAc57HacWenMeeenl5&#10;GbPyox/9CMvCzlqch1FTLg8PsL791AGAyRxREUGvnFU0xGiBvCRJFCMSJ8XplcsicHZiYmJ8fBwP&#10;r62tDdrr6OgoLS29fv06tIdmVlVVlZeXI+k574jhOc/jtALV3c15GBfM082bN3/xi180NzcXFBTA&#10;ech4zvM4EJx2vTZCodDIyMi3334L2wGUE5K7ceMGyqkHFQBinvOOGP63fY8zCKwVG214zgET5uHh&#10;ECjK/oghPD3GR0acPDZV7pC4g33YLwBZ0ECEV1dXV1ZWCAEyaWlpbMJiXi32Ku3xOCx4zvM4U8BU&#10;AWebCGVQiHh4OKAbkBYRqYpSnMJIZxQhBUn9nodqaS/lDu2GKgCJDmQnFwXCfyI8cSGcp9tEkTf6&#10;akEVQczj7cNznseZAiaJEFMliwaIk4KF8vBwgHII0RbRGLC0FXz9HKAzipCCZDQticyUQlyQpknZ&#10;BJeXYt0NotChu0c0kPN+3tHCc57HmQKGRjZIFo0I5ik45+HxuoimKNGYUogLHFqK/O6KKDwHma3Y&#10;l01zuLy8TAjbEVlaWrIiBqgopQUHHm8fnvM8PDw83grYb+mTQ2vbv/DBjjAcoWPHaJr0OAJ4zvPw&#10;8PA4fGzaL8rOz8/rs7H4fCK8lJQUXEDnOHrOO2J4zvPw8PA4fIjzZmZmwuGwLmbCebBdWlpaamoq&#10;cYl5HDE853l4eHgcMszdLPbHvLm5OWhveXmZQzl5um/TcZ73844YnvM8PDw8Dhm6jXPdfldhYWFh&#10;dXWVxPj4ePl5uraJAIme844YnvM8PDw8DhniM5gPtsPbg/zgNngOVw/C45TnvOOC5zwPDw+PQ4b4&#10;jNA+OGPe2KJ03cZCxFPdcSGePYjmI/oxJuLsUDw8TixQWrRU1oRDLIizJh4eRwwpZHBgkWS/n762&#10;tibfzqis/ZY6pziUMKfk/6HGNpPHUSA+JSVFO47o+4iYFebDw+PEAqVFS1FaIgCDgvnQryYeHicB&#10;2pOhmcSltE5dJeBxLDAvqlAMexGJRNiY2B2JecWch8eJBRrrbIe2aN6aeBwXYhQPN868W9MCXeUs&#10;bIfnB/ZU1JhDj7cKs/VQTDfRalYA6R4eJxby6nSNSFtpD49jhOMtdBKe060rhMQxp8nb79tEdTmU&#10;pMexIF7vxXEXo+Xhado8PE4sxHwyNKirvTYR+5uKh8fRQ6qIUYXwAHFIDrbTFxWMP7Hr7dLezztK&#10;mN/zNEM6ZvQ5ZBOtufHwOJlAUeE8KS2RRHsLuO4C9/A4RjiHASsKOEQ5dRUNoKtobyC6Dc95Rwlj&#10;O5gP7Uo4NlsUC02bh8fJxNLS0tzc3OzsLGE4HF5YWFheXsbESK09PI4S0aQVGFBrQglJEefp2qa2&#10;a5L0OBbETU9Pj4yMTE5OMhNMCbsSGQ5/mcjjJCMpKYmNGhYEgwLtdXR0vHjxYnh4GP6LRCLXr1//&#10;5S9/2dzcnJubm5WV5f0/j7cHTGU0jemSJkrY19f3+eef//rXv2Z/Jj38+OOP33///Q8//NDJo8No&#10;suIeRwPzRen/+B//Y35+figUysjIYG6GhoaYnuC8h8dJhbbM8vlw+ACGZmpqKi0t7ebNm5999tnd&#10;u3ezs7MhPFKCPB4ebwfoobvYjh6ikz09Pffu3fvf//t/j4+PX7x4sbS09Pbt259++mlDQwNq6eTx&#10;MYh45+/IYPy8Tz75BLuAySCE9tgpE+pSp4fHyQSEJ85j07Zpf5AG2JHU1FS099atW3/zN3+DiWH3&#10;xj46MzMzyObh8XYQzXmLi4szMzO9vb1fffXVP/3TP01OTsJ5JSUljvNQy2jOS/TvUjhCGJPR2Nio&#10;T10QZ/SxHRgOpkQSHh4nEOiqAO0B9BYLAgsuLy/n5OTcuXNHnEecnVxKSkqQzcPj7cBxGDq5sLAw&#10;MjLS19f38OHD3/zmN/BfeXk5nPfuu+/iYFy+fJlNmJOPJkuPI4C5g4iNBs64ds2QHyG0Z3+F9fA4&#10;ocCyEGIv9PMJVCcQ11l0GMUmgmJL1z083h4wm4pY9dzE1cOoopCoKBrIxgu4p58l6XEsiJubm/vp&#10;T3+qX1mZNnYobIqZJ93J4uFxMoEFIYTSgEhOwKzk5+dfu3bto48+unr1Klqdnp6empqqXB4ebwko&#10;ociMzdb8/Hx7e3t/f//jx4//8Ic/kFJXV1daWnrr1q3333//0qVLKKS7pOn9vCOGubb5X/7Lf2G2&#10;mIC0tDQoEGvCJLlti4fHyQQqirGQomJxsB0oM34eJFdRUVFfX4+VYQOHPnub4vGWgMpJA11kZWUF&#10;zuvo6Ojr63v06NHnn3/OqYaGhvLycjjvxo0bcB466TnvuGA4r7OzU7eu5OXl4eexU2YatI/28DiZ&#10;gNswMezVFCoRZSbEgkB7mZmZ6LCzRB4ebwNOwVxkeXkZz6G3t7e7u1ucR/rVq1crKyvhvKamJnZj&#10;2FjHec5B9DgamB/wdOVHnMdMaNPhLYXHCQdWBhBBV/dUV7ZuUCMRVNrv4TzeBhxjOc7DosJ5AwMD&#10;cN7Dhw/hPNSvubm5qqrq9u3bOHlwHmznOe+4YF4EpxiER8g07GdBPDxOFNBSjAXYT12xNWkWnvA8&#10;3hJQP0hL8TX7Bkf0bWVlBUPKIWfRPTZebL+Ukp6eHolEIEgRHkBGWzePo4HfX3h4eHi8KaI3XnAY&#10;JAegQzGicSN2QmJW3ONI4TnPw8PD49AAk4G5ubn5+fnFxUV5eyn2HdMZGRmO8DyOC57zPDw8PA4N&#10;OHZ4eJOTk1NTUzDf6upqQkJCZmZmXl5efn4+cSgwEN2GZ8GjhOc8Dw8Pj9dHzCVKcd6SxcrKCnF4&#10;LtV+Pw9Ec15MRo+jgec8Dw8Pj9fEbt6yP+FtRnMbEYAzh7DiSvc4FvjR9/Dw8Dg0QGxwnrtcSQSS&#10;EwUK7pT3844FnvM8PDw8Dg0wGVi32LBv6ofwkpKSUiwgPMd5HscCz3keJwJYh5htL4cyGd8La2TM&#10;5hoESTvB2SDm4XGogNigNMUhMzQ2NTV1ZWUFleNUJBJJS0sjvrCwQES/7ZEuRSUupfX6eZTwnOdx&#10;IsD6j9n/cuisycthds7bz6cHSR4eRwhHWughITS2urq6Zr/sEb2ZIyJd1aHHscDbCI8TgT23un7/&#10;63HCIQKToro4PDdtMTc3h89HYrL9WH96erp+z4vO5XHE8JzncSKgizy7EZzeheD09leEgtR9IBPj&#10;4fGWIA0UmaGTcN7o6GgoFAqHw8vLywkJCRkZGTk5Obm5uboa4RTSZdShxxHAc57HiUC0IRA4JDE4&#10;2AVrOgwQi85oGTBAkOTh8dYg3ZOyufj6+rrew7K0tKTf8FJSUszTeXs9nxetvR5HAM95HicChrgs&#10;ycVEgtOvjGjPT6GHx9uGNE0aiwbCedHp8JyjOim2PelxPPCc53EigHWQsXAQewWnXwrE2E2TZW1t&#10;jbiDTknGw+NtQAQWrWbE0UZFCCE5CC8pKSkxMZF4NOd55TwWeM7zOBFYWVlZ3gX9/r8nsBfiyNXV&#10;VeXV2550SjIeHkeDaJUjDth+AZEfbJecnJySkkLcO3nHDs95Hm+EA3ljWAEiZAFKWVxcnJqampyc&#10;bG9v7+zsfPHixYMHDx4/fjw4OBiJRBDDahDurkK2A6oLh8PDw8O9vb1kp5Cenp7R0dG5uTn4T6wJ&#10;LyKpGgVK212gAzWqnR4erwg8OUXEc2I4Imgp0A97EoiGveQZ+4iOx9uG5zyPN0L0tRpBjKIrjbpE&#10;qXTE9J1MxzcQEowFRQ0MDMB8Y2NjRPr6+oaGhqanp1/i5AEKhxQXFhZmZmbIOzExQXaKgixHRkYg&#10;UU7hAqoxIKYlMW2OBmYoKSkpOPDweAWgYIrAc9J8Ihyi8OgSFEjkJSrncZQwrz0Noh4eb4Bob4zl&#10;DRcqLmAI4DBsAVTEnldx9r9wHq6eBAjllmVnZ9fV1dXW1urbK5ahDGxJAagLN44S9CAU5RDXd1uA&#10;szX6aFlaWhplpqamZmZmsgGnba61CKtAD4/XAFqEZqLM6Bs8xz4MfP311//zf/7Pp0+fou15eXk1&#10;NTW//OUv/+Zv/iY3NzdGjT2OHp7zPA4HYhHLTQZBqgWnILa5uTnMAa4YThiuGJ4Z/hnp8BO0VFRU&#10;lGVBvLCwsLy8vLi4GK7ClAQl7jIWFEuB+HkUGAqFVBqHVEQcCiQLrFlaWkrY2NgI7VEydodioT1a&#10;6xqs0pTCKaAqPDxeDqmQOI8tFySHEt6/f/+f/umfWlpaSEGN4bxf/OIXP/nJT9hyBdk8jg8Jv/rV&#10;r4Koh8ebgcUPW4hCcObw2IAMAa4YJAc5DQ0NQXj9FgMDA+Pj45zFY4ON8MkgJH1akxBmwqDsx3kU&#10;61iKWigBYHooEMKjCsgV/qMZSEKNZCdEgFzKqDLdjy5ApQUHuyjWw2NPoCpoVIJ9kSZKiMqh252d&#10;neFwGO0tKCgoKSlpamqqr6/XtX2P44X38zzeCNIfxxAcilFgl5WVFVwuiEc/tsFGelAXmhG1EEEY&#10;qsMDu3z5MmFOTo6uQ0J7+HzYEUkKqkKAyZRCRbAm9gWwxaYWqoBcdchZLBGFQKKpqamUDK1ihth9&#10;w7I6JF331AHas7suD4/9gMKwz0PNoDcIb3Z2FiX/8ssvf/vb33Z1daHAFRUVtbW1f/3Xf/3JJ58k&#10;JycH2TyOD57zPN4I0SRBHCoSzQB8u8HBwb6+Pvw53VcCCUEwEFtVVVV1dTXck5GRAeuQQjrkh1FA&#10;IdkOE8eIUGa0H2YrjAXy1Ei9gEoJ4Vpd5IRrh4eHaQOeHxSIGMBCwX+YoYaGhosXL7L7zszMVAMo&#10;SiZsv7o8PGIQzXkoHpwH4Lxf//rXPT09aHJlZWVdXd2Pf/zjjz/+GPVGOMjpcUzw1zY93gjwhFvG&#10;opxIJLK0tATPgfb29ra2NhY/fh62gHRIDu+qrKyspqaGLXB5eTlGAQrEvdMvbbAd9EOZlIb8ftc2&#10;BcdSOGpkVOEiUcChriYhQAPYgEO9gJZQGlRHddp6I4aMSuNwv+o8PGIg9SPEpSPE1WMJsM1qbW1l&#10;p8UpKSS0h5KjVP6eqWOH5zyPVwIMxAIm4miGOE6YW8OsdnwpGKWrqwuqe/LkyfPnz4mEQiGoC2qB&#10;3q5evXr9+nVCgAnIz8/XjZTYAnd1UZB10L7Y8M8+DEQ6ApJRCs1Tug4pAfLDnystLS0uLoYXxYJ0&#10;B+YbssATFQuKX1WCTJiuvlK+LczDIxboBrqkaxL4eaj6uEVnZ+fCwgKn0HDdk4USZmVlKZfHMcJz&#10;nscrASaQ6YcDgKhO/Econ2x6erq/v58dLr7dl19+2d3djXcFF0I8eXl5+HPgzp07tbW1EB4MBBvJ&#10;qxMPHQpoD7xF8yiTevHkdPm0oKAA68MptuE0ST8BwsfYKeJwG8KAXLAvueiUyvGE5/FyoHJSEnEe&#10;qwC17+jomJ+fJx3NLykp0VUNtF1ZPI4RnvM8XhVwACH0QCjO0yFrm43t4OAgJPfixYtnz56x4AcG&#10;BqAW9r+QDZvcurq6hoYG2O7atWtFRUV4eFCLriiq2EMEBQJKpnbYi8015Ep1kCspgHqhNMxTJBLB&#10;w5uzD1HAhWv2UWLlFccDlSkqVdzDIxqO89CoRfteodHRUdYCcXZREF5ZWVl1dTUh2qgsHscIz3ke&#10;rwpn9Fnhiov/RkZG4LlHjx49ffq0vb2dQ1gQCsG7Ynvb2NjYbHHlyhVWPl4XrCMbgbEAYhdT7mGA&#10;hrl2CkqhqdTLRptWAawPidSrXx9pMMwH8PloORt2/aborrjiyMrzA0rx8BCcAqNL6I8eP+3r62PP&#10;h75BdXh4aP7FixdjLuB7HAs853m8KmTuWd6KwA1QBZtZvLpvv/32yZMnRIaHh0nBC2TBs8PFt7t6&#10;9WpTU9Ply5crKyvx+cjo3Dvw9i4eYolEqGJW+Xm6ocBd5IQI7b2ca7CdHmaH/xAmBW4mLzTJVp3S&#10;kHcd9/CIhuM8NN9x3tDQEAqWlZXlbtRiOaD5yuJxjPCc5/FKYGE7iw9VwA2hUIi13dnZ2dLS0tbW&#10;xiKfmJiANhBje1tVVYWHd/36ddw71jxsJ9cqmvCACjxE0M4gtu3hUZ1MEnFqh/ngP1KQhM/oCN1h&#10;hw7gaXmueHWEHJJFtIc8cVOoh8dOsEmSgqFC7trm4ODgysoKuyv8vNLSUpw8loDnvJMAz3kerwTI&#10;QAtbDMFmtre3t6ur6/79+62trQMDA7AdJAGR5OXlscJ/9KMfvfvuuzdu3GCf664lwiVa9ogJ2AsK&#10;dOlvDpEWdcWAKgDVEZfPhyeHGcJVxddUG9iY0wUg/5UeIQ/nIQ/IqCo8PKLhOM/9njc2NtbX1wfn&#10;oWO4d8XFxYSsC5Tca9Gxw0yVh8f3goUNRRGBG1jb09PT+tHi6dOnHR0dxGEImAMuKSwsrK6ubmho&#10;qK+vh/DgFXa77pZISlA5mAkA3wimjsNDtGWhOhrmrlJyyNmcnBw24LW1tXV1dbqnLj8/nxbSC/gb&#10;t/XFixf4r3ixw8PDs7OzECEdX/PfGPLYH+iVQByVA6yaaJAiSY9jhPfzPHZClwY3t1jBNhYAWtpa&#10;W19ZWl6Ym+vr7Xv4zQP+uru6wrMz7G0hA0hFu9qmpqbm5mY8PNy7rKys3R6SswsCcW2TDwWi0uDA&#10;wpVPhF4ojvUhbrzPjc3c7Fz8zempqbmZ2cSEhPTUtKT4xPgLceZq5taFtZXVtdVV4mkpqWmpqZRF&#10;duMzrq+LqvEOD52zPU4LYDI0SvqMYxcKhdgIsiMcHR1ln5Senq6rmuyo2AuyI1Quj2PEodkajzOF&#10;+G1OwieTe7eyEolEwuEwblDLixdPnjzBDTKcFw6ztnGecJLy7GdT8Jxwm7Kzs6FAuVYnFpiqqqqq&#10;yqrKyorKivKKouKi9LT0zY3NyFJkdGx0aHCwp7uno6O9vc18inZ8fHx+bg6GIyMk53guhmI9zifk&#10;yeliACDCokA3WBcAbdHlDY9jh1+uHjsRvTI3NljKoj2cpZXV1cnJyZ6e3pbW1o6OjqFh82XX+fl5&#10;ljqrGp9JTt7Vq1erq6vhP70kWiUhc6LWvJw/wvyiIhi6vr6+6WrTlYaGkpLipKTE1ZUVfLs589zh&#10;WG9vnyG99nbInu7D8fiIyk45J61fHkcMNAEQQQ3gObZEejJdnMeej3WBt5dkX/GDtiiXxzHCc57H&#10;DrBTDWKAxRyfQLi5sQHvzc7M9Pb2yvrPzc5uWapDKiUlJTMzE4YrKirCz4PwiODksc5VDIsfKH5C&#10;gAGCtETJaalppaUljY2N165dq66pycrK5lxGRiab8+WVlenw9MDgIKzX2tLS3tERCoXwd8mlHmHa&#10;gCnR41xChAfk5MF5EB7gEAVLTU1lXQBoT4vF49jhOc9jBzait6K4MnEXtjbMF1+np6bx8B4/fvLs&#10;2dPhoSFWtViMNQ/n5ebmlpaWlpeXExba77I6WyDC49ClHDtEV7THcN6WsVZYJbj6ypUrhHiomCq8&#10;PYaCbs7PzYXGx7u6Op88efLwwYNx+0WktbU1FYIhk8Pncc6BPjja09V+tAtFYjsI8PZQlZOzBM4z&#10;/HL12IHvLPg2+S0uLoyNjfX09HR0dvA3ODQ0Oze3bu5AY5GbdY4/V1JSAmEAOA/+YIXLBOjWNQo5&#10;gYT3XZPiLqSkpuKbVlZWVVRU4vMVFxWlpqXFx8XTfoAVC4dnBgYGOzs7BwcHcfWgvZWVFbIyXLoZ&#10;1eN8QuokONrTlgjdYGmgHjBfcnIyFHhyVsF5huc8jx1ISLQXJLe2NtbXzT2cm5vT0+H+/v5vHnzT&#10;2tI6OjK6ML9gljRMtn15UE+g37p1q7m5OT8/X6xJKF4horgp9gQizjQ1IT4hLT2jsKiwoqK8rq6+&#10;4cqVgoKC9Iz0xIREekjjYbjp8PTo2Fh7u7mfZXh4eHp62l/V9IgBVCe43V60/pNupTyOE57zPHZC&#10;3GQWLU7cxtqqeS9XaHz84YMHHR0dE5MTkUjE/Ey/srq+ts6+Vj/m4d7paTw8PMcEIrxotjuxa940&#10;LD4uMwPaK6qsqqQvWZlZ7M2N8TJXq9YWI4vhcHgiFIL+cfVwfDlcWloir7b2KsfjvAENMcpjtV0p&#10;gBS0AuisoJRAwuP44DnPYwfW7CU7dqdbF7bC09O9fb1t7W2tbW0Dg4OLiwvr5qHsrdTUVNy7xMSE&#10;EvtSJRiiuroa5mNhs/LdrSu7EW0Xjgu0IaYZHCammGcqlpdXCgsKrzU3X6qvr62r3dzYiCxF6I75&#10;JeZCXEJ8PFv32dnZe/fuffXVVzMzM/i7elYdAWfUiKhYXRRV3OOsgl2dJp0VQWTegqnnFIeEbAqB&#10;VA4Zk8fjWOE5z2MH3LLEjcOsDw4MDA8Nzc7MsJIXFheXlpZxerDyrGckIb+ysrLi4uK8vLz09HQc&#10;o9N4TwfuqCJ0Jys7q6CgoLikJDmJ/5IT4jFkuk5lXk62srw8MDCgl6719fWFQqHFxUWIDfLDqEU7&#10;taL/UzcUHm8CFsWKfYwViPZYDiwKwGJxuuFxvPBr0mMH4hMTjcFe31hdWx0PhZ6bV3C1joyOLi4s&#10;mKuaa6va1bKAU9PSoLpLly7V1NSUlJTg57G28YpOnaE3v01aJCYl2pdwFpZdvJiXl5ufnw8F4uZZ&#10;9jJbAdiNfcDExMTg4GBPT88Qu4HZWXcPJ5Bdc0Pk9/XnAW5/w65oYWEBDQmHw8RJxMNjL5iWlsa6&#10;4NDpiccxwnOeRyw2cWhWV/BpJkKh9vb2jo720ZGRdfubPI5MQmIC6zsuPo6ljEtUXV1dXl4O+UF4&#10;Qf7TBfMo8Roh0U325vHxaelp2dk5Fy9erKyovFhaCpdDe3h95gKmfTMblgvTptdy4vPhAYvqBJk2&#10;WbfodI+zCs01wLdDMSA8aA/OIyWG8yTmcbzwnOcRi5WVFdyXyamp8fHxkZGRsfHx6elps7C3Lpjd&#10;bHz85oa5ayM+ISErMwsPD+ZzDyeoBBc5BcAUbV/bVLPjExJTU1OKiosrKyvKysvhPGQM2UFm9qYE&#10;MiwtLfX39z958qS1tXVycpKMMV12dtDj/ADOi9jPxhLi/ZPCRpClAfOxYZKMx7HDc55HLFi0w0ND&#10;nR0dmPXZmZmVZVy+FXygzc0N4w9tba2tr5GIWU9NTYXwcnNzWdUcam8L9GPGaUFicpJhNRaDrsrG&#10;XUhKTs7JySktxc0rTUtPp19ra6sw/eaWebkG9guGYzs/NDQ0NjbGcHEIC8rMmQL8jv5cAjVYtSCi&#10;JZCQkBDcA2VVwivGSYDnPI9YzM3NdXf34MR0dXcvLkYME1g/hzVrvDz7yxbUx1LOzDSfoHOfx3PO&#10;TYzTc+KxbYm2TVJCfHx2Fi5sMZxn/Dz7epq4+LjEBMyXuUkHFtQH9nCIcYJDoZDnPA8A1aH8aIg4&#10;z66XE/xw6rmE5zyPndjaiiwtjY2N9vT0jo6Orq6umJfCm6e24/knMTEpKdlsXPlLSU3NsK/ZzMjI&#10;IF/0nWmn6cre1tbmtnvqqHpzays9IwMuz8/Lz0jPsAMQn5SYlJKSjC1bWVnBt4PwAN4eo9TT08Pu&#10;HiJUCRoHf3nzHIJJZ/ZZC272PeGdNHjOO79wfomDseKzs6Hx0ODg4PDwEAZ9ZWV1bW19eXllMRIx&#10;qzfOfC4uNTW1pqYW5GTnQHiOKtyPFggocgoQHxefnGg8vbgL5ik9G8nMyU5JT8svLkrNTF/b2tiM&#10;j1vb3IisLhNJTkiM37yQFBefmpS8tbY+MTre19Uz0NPb392bxMYgLn5zdQ3ONC9wuRBn4h5nGnBb&#10;kn0gVe/YVJyVojghq4wNE2uEhWNzeBwzPOedX7gdqK7DsD6XlpZmwjOzc7Pz9nf4leUVfJetC1tx&#10;8XF4Oexe8XeSk5Ozs3OKigqLCgvz8nLJqHLO2H42JSUlLS0N8sZy2QtUwRUqaN98TNb+8re2vr6w&#10;uDA5OTkyMjozM7Mwv0AiPqIuBIP4BH/nwhkHq4YQYoPSVlbMetEWkGUCdCWcwzO2Ok41POedX2g1&#10;Aq1SXbIbGx+bnJgwFnxhYXl5Sffxm0t7CfEs7o3NTeLZ2VklJaXFJSV5eXl7LmYZglON9PT0zMxM&#10;ffbWEZ67dKmU9bW12ZlZHOKurq5QaDwcnl6zm33jLAru07seZxdsGSE89ou4epAfSoJuoD+AnZPj&#10;PCB5j+OF5zyPAGxRDeeNjk1NTRFZWV01P8gHz9smwGMcsptd39hITk7JycnJzs5mSZ/VxSw/D+iC&#10;LUyGLTO7+C3zEV3r6cUzOJGliHlEfWiQQQvPzETMJ5bgPDsgm6ee+D2+F6I0FAPaA6wRlgM6w26J&#10;PRP6IwFwJpfJaYTnvPML540l2NeFsG7n5uaGR4Ynp6aWl5aMZTe3rRjzzmqVa0MWbH9CYoJ90BY+&#10;ME/a7l7MruTTC7qry1PEDffbV6uYiI1KwPx6Z97JuTQ3a38Jtc7x+tr2HTGwo8c5APpvl4UBh6wm&#10;OC81NRU/D/1xq8ORn8fxwk+DR7ADjUQik5OTPT09uHqLi4vYdZYu6/dCnPmNihVr79Y0P26RmpKa&#10;mpZqHrZ12YGjujPAedgvGS9ZNEJ10zyfaOyb+dckcNb4f2tz8/NT0wZLSxFOGUnv550boBNAcRYI&#10;mqMNk25p0SnPeScEfhrOKbQnFcwG1X4xYGxsrLOzc2h4aHZ2bmN93Tgy8XEsWbyZ9bU1czMLJt6u&#10;Yfw/+xLm77ax0XDr//SCLsh4qYOW8uF6c2cmfQu+hks3kWN8trZw9aYmJycmJubn5zlpiiDfqR8G&#10;j+8Ha8dqgQGHimjDhNroUJIeJwGe884vAsfFui2rq6sL9lWBoyMjeHvms0HrepdKcN1Gv89j6c33&#10;BdbNBT57vXMPwjszYHywWQoxYc6K0WeMHLRn38wSIBIxj6jPzc5GIkvivD13Ax5nDEx9NOc5cAoF&#10;AO7Q44TAc955BwwWiUTMp4IWFhZBJLK8ZG4+TExKZNWaDylsbaWmpWVkZrK+8e2I4O1AACmpKax2&#10;QUU5Kw8xKPLqcL+ZBcc7wamAbeHbbUkhkNgFTpmWWbxEbD/QQTISKSgoqKysJKRTDBQFw3xJlvxw&#10;/JKTkhCbN3Q319XV1dPbOzMzY8X0hQr/k94Zh1QLnWRTyArS1KfZl0qnpKSkpqYm2y8PWzX0ynAi&#10;4DnvnML4K5aiWIo4eaxV+G7Jfvh7T8irATu3tcHZNwcc45rkEFRiq+EUArtl9oOTB6+YJQZwW2Zm&#10;Zl5eXn5+fnZ2tp7VC87tApxn36c/E1mKMFBBqsdZB8rJgtDzeYA9GYekQ3W6GA5Qv9fTQI+3Ac95&#10;5xdahyzRlZUV66jMQXs6tRtwHYvbBGIhaMgw0YFJL8htESTtAwmIYWlqQF+WwNTytwp27tQLyUF1&#10;YjtVHZzehelwOBQaD42PM4w4pEr83j56nAGgKrCdns8jInXF1UNtYD5t5gJRjxMAPxnnF7LIhHoa&#10;HRDRqd2wRANsxLyNhCSTrLMHgi3HIDjeBZoEAqFtBOeisgtB6jbclc/g+HVBCezZMWRwWDgcJsSi&#10;kRKc3oWlSAQ3b2p6enFhwYlpy+9xhgGfSVWsm2e+qIBO4uE5ziO+p6J6HBc8551TsFCdRV5bW9OF&#10;zZfY9AT7lunA19H6pYiDU8vLFz8FirQENZKU6MToQ9uEACrBmhcDHQJOIRkcvDIwVYTsA/QRwYmJ&#10;iZdc+AXUv7qyEolEtNnfXF+nJ65VHmcVaJpoTwpJCocoD4SXkpKSlGTe2CdJrwwnBJ7zzi+0CAmx&#10;0Rh3aO8lfp4hO3PHYnAb58b6+pr5O7R3KEO31A5n0BKcqtnZWfPj2MxMKBQS6wwNDQ1aDA8Pc0g6&#10;PDQ5OSknTJwN39C2GOMSQ4GvDowXuwHaQ2NoGCW/5Pc8hBFYW11bWV2lGTSG+OvV63Ea4bQOTYDn&#10;oD1A3OmAV4YTAs955xRuBWKpsdGimZf8nseKDtjOPqu3inEHy8vB6YOD0ihKP/5TEtSlD9GNjo4O&#10;DAz09vb29PR0dXU9f/786dOnjx49evDgwTfffEP48OHDb7/99tmzZy9evGhvb+/u7kaeXFAjLCjy&#10;1nXIGPI7KJSdgdJYEbo9+24wPDifVEp/ILylSGR9Y9080e9x1qFtlhAkWeaT5igx+pTH8cJz3vkF&#10;C5KQFQvrWCsdIdSp3YDv7OUbGM88MwBX4cfAfMHpAyLgTgtT1NoanDc1NYXfNjY2hieHP9dnAau1&#10;trZCb5Ac5CeqA21tbZyCFJHBBYTz5PbB3PA3zEdfoFJKVi1Bxa8MWkhehgjfzl2hIlFnd8P0yF52&#10;pS7GEzBc/h3TZx7Mu2Apz0CHwWmPk4dgG+Jx3sCyZCtKBLKBSO7fvw+RQBttz1skEIs4s3WFSNLS&#10;0q6AhobGpqarV6/eef89+EAX/YzJ39ggLjaNhmwB4dryCiwHGy0tL+OQ4V3OzMwuRhYX5ufhGHN1&#10;cmlpecXIGPkLF2bCYco0rLi2DqlQlN0/x6dnpCfaNzyZuypT01JTU+w9cokZGenmY7YZGeabCHrR&#10;b0YGKUmJSdnZWUmpqbQStqczplkbmxcSbISaaLK9ZksrzXXchIT5+fmHDx784z/+4xdffBEOzyQm&#10;JSaYq5170+fa+hodr6ut+/jjH77//ge1tTUlJSW5eXlB+R5nFKg0i4KNV2dnZ0tLy9dffz0yMpKd&#10;nX3TorGxsaysDE1g7aDGL7lO4HFk8Jx3TsG8i5nwrh4/fvynP/3p+fPnxPu6eiQQAzgrMTFpZWU5&#10;OSWlproGm97U1HT9+vUPP/4hZCPOA45K9wRnZ6fDkcVFexlzYmxsdGR0dHxsfG5uFraDb6yDZH4o&#10;RNLmsA/Fw3nrxrs0JAhbWc5LSU0xzAQwJBZEOZEQn5CWlpqdnVNQkF9cXHzxYllpaWlOTk55RXlW&#10;ZlZyWio9sQVbVrYFfncoQIQXtmjP3Ozcw4cP//nX/3zv3r2ZmRnzHHpCAm5uILYTtDMxMZGR+eiH&#10;H73//vt1dXUXS0vzCwriEr2ZO8tAUdm69fT0tLe3w3kPHjwYGxvLy8u7e/cunMfmEPWD85D0nHdC&#10;kPCrX/0qiHqcJ4jwwMLCQn9/f1tb28DAwNzc3NKieZHEbuACwXnQRXxcPB4P9JKeno5Nr66p0c/1&#10;gdx2ycZLsyBO6H4yDI2Nh0Khgf6B7u7ujo72tvZ2wp6e3oGBfjbIo6Nj4+NjExOTkCIOKN4V/h8Z&#10;5+ZwuuYXFnAIFyMGi6TO4COGZ5CcmpwKTejpuLHh4SH9sEc6GVbtZzyXV8y9LZGlCIeQKiRqGBJu&#10;3tqCSunRjouQcdaQLSzMzs0N9Pdjy4aHhmm/uYfHvHw0kIoB40MRWVmZZRfLYLuc3NzMzKz0tHRI&#10;OJDwOIuQbqPSVntHh4eH0U6WRn19fUVFBbuurKwsDpFEqYzKeRw3/Bycd7D9ZJXix8Aw8EqQugtQ&#10;GBbfblS34AOIC2oJT0+v2ZdwWnYz96QQIqyQQwiGMrEIbISfPn16//79f/v8c3zKr7/5+vnzZ729&#10;fZMTE9SOY4dfpZ/fbCHG0zK1WvoxpdmXe9p3nhlnC5inFfizX7Mzgsb3M25fQmIix5RFd4YGh+DU&#10;x48fffPNN//y29/+39/93y+++IJm9PeZepcjS1u6pinCw7Pkz3Rj0/7GuL4ESUaWcOxMyebl2urW&#10;3qBVNIK2ml/0aNyG+fJCtPfocSaByqEWqIu9oyt4gpMtYPTzeZL0OCHwnHfewYplucqTYtEGqXvB&#10;8IP9rgJi4enw5NQUTKlFbtIttJM1BGR/wMCJnJycxI9sbW2FeGC73/z2t7//13/985///OTJ076+&#10;Prwx+EkZ7WXK4H/yUwpFUYilNktPBoZ6oBZzTdI+G29gOMkWEB+fnJRkrMzWhaWlpYmJUFdn17eP&#10;Hn15796//O53v/u/v/v8j3/89uG3nZ2d7MpxO23jg0+8Qq5UZWqIM5+Dh62tU7lobr+0JRuh/TlM&#10;r5my5GiLU8v8vv4cgHlGedzmDzVIsq/vEeGhOYGcx8mAn4/zDlYsph+GgMkCo78XMOaGaownZF3D&#10;pciCfS219dIM7bG23ZaWosxlzFCot7cXtntu0dLS0tbW1t3VjXs3NDg4Pj42PT0F18Is1G7dtW03&#10;yt7wQi3ra8Zlsq6e8faMF2XT7QVJAwiQFBqwumYeeMBXpGpzAZND+xJR84TfeGh4ZATfDqprNbd7&#10;2js+tx9ymJqaWl6M0CVKh9vMcOCxbW3R/ukpc32VtlG/2sVJRXbD8JtlemCjVnS7Qx5nG0Y5LYhb&#10;DTK0x3Ig8hKd8TgWeM47p2CVKsKaJA5tsGKx10rcDQw56xqCsYY8Dt6BWeCY0dFR5+0Ji4uLExMT&#10;L168ePjw4RdffPGHP/wBr+7pU+PVjY+PUwvlGDlsgfUaSaE0jk1TRBqCOYxLSOQ/84iv/cfcqWKM&#10;iCTNeQtTlsnPf/RlB0xrTU8pAhqcmpzs6+199vTpvS+//OPneH1/fNHS0t/fB7mtrq7YYgxWV9fG&#10;Q+OjY6PQ9vzcnLmPxjSb4veFYWT+sU0zLbJXg3WjqcfZBroRDSU6NfA4afCcd04RMIJdnISsVQ7h&#10;EXtyDxg/z25mTTzIYhwuaAzOk48IcLbk4cF5jx49+vrrr+/fv0+kq6vL8If5vdBcS4SxLINZDrM0&#10;ZhpgmhA0yRKe47cg5JRhMNsOWFY+IEnIGVZMSmRzDSgVUWS2fURTZkZGOpVFlpbGQ6HOrq7Hjx7R&#10;sHt/vofD1z8wgEuHn6vewf90Z9rcGzM1E55ZXIysra5SlC1nXytm228aIxnbRjMg9qTHWYZRsm3Y&#10;eTewWruvtngcIzznnVOI3licctHgCUIYy5zbC6mpqcaCb21BRVhz5MnY198/NDSEAzc3N0dR5rYR&#10;e9jS0tLa2trR0cEhieY64fQ0hEcWy03mog9FmXeXra3hPFrrYG9UMU8KmN/SAJRBuuU9c55TROFI&#10;ckNsllhMw2Ay8712+wJ7UiwVmp9VyEqKLldyuLC4aHpqf7ycCYfHx80LX0ZGhiHjr+7f7+hon5yc&#10;HB4aXl9dpcqZmfDCwkJrW1tvbw++GhXSAsoy9e0DqqM59nKseQqeiugprQpOe5xRoPbamw0MDExM&#10;TBBHpbOzs1G90tLStLQ0TqGQJLor/x7HC8955xSsVUKWKFAKkZcsS8lvs49hEUw7/hB+Uk9PDz7c&#10;4uIi9AbP4T/98Y9/7O3tHR4eNreoLJsv0Koici/b16NATMZpIoHEeHlx0exmPkSOawV9La+s7Pm3&#10;tmZ+wzNx+yMecfsA3yb8Ry8sA+E3kiB3dIPCKRM2spQEtZlPSYTDM/igX30F633V2tKqi5mTExNz&#10;8/OExs+bnV1cWFxbWzXbd7JvfHcJd2+Y9lvuthGPMw/0Cw1E89EcXfNAvVH4jIwMCM+/ZvoEwnPe&#10;OQVrVWYZKmIpckj8ZZxnL9OJoky+ra3VFfMcAp4cgNt0uzZb3f7+fva8hGNjY/h/EAwZqMUUgg9n&#10;3qciP8wkUhjOGdVTbEJCYnJKSnp6WmZWVk52do5F/j4oKiosKCjIy83LyspOT0+XcaH9iQmW8GyP&#10;okzMFlxI002S/eENb3IpsoSFwrfr6e3t6uqcnJzA66RHo2NjU1NTNH5ycmpudm5peYmizA+KCQlR&#10;Be7GltiO2s0QWeb2OPNAK9Dw2dlZCA/aI8Ihaqi3AKVuf2dYa02rzON44TnvvIPVKIYAL7Hp9qcp&#10;a86tYSdldXV1fs48MK73ZOI2kR3uyc3NvXjx4tLSEgKkYBQwAbAb5WMOOEwIuM7Ua3ww+zSceQwu&#10;Li4tNQ0+Ky8rq62tbWi43NTYePvd23v+meDdd2/cvHH1ahPCxcXFmZlZySnJurqIZ0a5ELPlVfPk&#10;g32LiqFrDnVxFapFklhycjKMmJWVlZefT+bBgQHzEEU4HIkEl0NpsnmzWVIS3ddo7IYGzpZvKA8Y&#10;BnwJRXqcCdipNnc+s+EDKLnRlhSjL1bL/H2bJw6e884pWI2KQDxat8RZsUrcDfjQCJmn1LaMOTe/&#10;UqxHIhG9FRpXj3B5eTkzMxPCKy8vj76qQxWuFmMFjGeJp8V/1uGz97NQP6ySnZ1VUlJSU1N7pbHx&#10;2jvvXL9x47337u75d/eOAbz3zvXrly9fLrtYlpOTzbbaGBpDO5brgPEvt+zdJJvmOXF4HSKiHZwN&#10;6o3PzcmFaPEpaTw8191t3iM1EzYXqQx9Bdd+7fjojtM9Ab2ph7Zq7Q1sqscZR9S0G1ilC+wq6q2I&#10;4NI9jhH+3WPnFKxSReCt/v7+zs7OmZkZ1uSWedvkHmD12k/GmkWrhUwBJC5EFuG2vLy89PR0Vjsh&#10;Mjh54+PjnGX/a/xHC9LNdR5olRP2Fz54MSs7G74pLCikhNKLF6uqqmtqqqurqyorK8vLyi+WlpaV&#10;lxcUcn7XX0EhGfEps7OzM9IzUlJT8NWoPRvqs297Sk9LS0lNpRbagMdJc3EoaTksRu20h9amJKfg&#10;3tXX119uuEytOdk5I6OjT588GRgcDIVC4fAMcuzV19bXidBj/MeE+GCvsAuG1CFOml5RUZlfkE8z&#10;0tLTtynT42wCXQqHw3rN0NzcHCnoVVVVVXNzMyE7MFJQDOm/W3QexwjPeecaLEWcs9HRUWhvdnaW&#10;Jbq6vPetm7hHhvLsnSAcEBPpwWD2sl8S1MJqLy0thYf02x6H5iLj6iqn8LPIbe5jND/dmSuNGRkZ&#10;xcXFtTU1V6408t9VjMTV5mvXmhsbm+rqassrKkpLS4osoMPdKMgvoKLc3Dzz215hYUlpaUVFRW1t&#10;bWVFJV5mIblycyE+6lq197zQNSyOHvIzF3E3zWXYjMyM5mvNd27frqurQ5h2dnd3P378eHhkmB0A&#10;uwHdZaqLtMTo7/5my3yNAc6rrKyqqKzIz8vXixY9551tsIJYOOI8IqSgYOyfbt68SSitIxH9J93m&#10;8DhmeM47v2C5Agw6Ppk4D1panF8ITu9Cgv09DOtvfBq7aTVR828chSwsLMAikAdMxgpHDCzaV0LD&#10;f+I8qBFxFn9KSip8BTldvny5qanxckPDjes3GhoaOKypqbl48WJBgbnYiBdo71LZA2TPysokArcV&#10;FRWXl5VVVVfX19WRkUOcv7S0NCpaW1uPRMwnZFNTUjBApgFwnr1EiQAF/OAHH964ebOgoGApshSe&#10;Cbe3tT16/GhkeHjTfsxBV2hhbppNCSbvPn5w4Ofl5ho/r7wiL980279j+syDSce9g/OePXs2Pz/P&#10;IRs79l63bt1CkzmUGAsNbWRFuBSP44LnvLMJUQ4rLT64k2J7pZGE02XvGdla31hZWg6NjfV29w4N&#10;Ds6GZ/DOoK5AcidYq7ZAAnNoizcxSktLSb2wuUWZUEhBbj6OEZXhD3K4vrI6Pze3BQVubEIbudk5&#10;kNjFsrL6y5cuNVyuqautrq0hXoN/Vl2VC0/kZKdnZqSkpSanptowJTE5ac+/eDw26CglRZKp0Etm&#10;RmZ2FvG0jHSFaRkqKoV0hOFhvFKTnXxpqRVVlU3NVy/XQ7gNdKSrq7Onp7e7p2egvx+ipqeQNAxn&#10;CY+2x+Os7k94xunFKYSh8XRhO7YE5lprWjo56TtjZyYg2t7ZYQxgJmX9wqYZ5B0yHicGTBFA59EK&#10;pbCNM7oRHz84OKiP54XDYTx79mps5m7fvs3Giz0TuZhWT3gnB57zziZYXcCuz51m1KQaE47rs7C4&#10;ODllHsTu6enu7e2dmAhF7Fs3A8lXw5b1b9YNNhITElNSU1jeEGpjYxOmf3l5ZX5+Di8QA5GclIRz&#10;drW5GWfumkVjY2N9fX1VVRWuIYWQUQiKtiA9iL0ayA4VyvTgvYH8/PySkhISU1NTaeXS0hIyFRUV&#10;9iaYO7U1NcXFRaFQ6OG337a2teLvTk+HEXgJve0J847P9bWExIT0jPTklGSG3rztOikR4k/ikE6p&#10;IxsbF9zVTvXMbh00KxfizBbF48QCbXQKCYfBZ9De2NhYX19fa2sr+0UUD7Wvrq5GvYuKivD5oqnO&#10;RTyOEZ7zzgGMUbVuxebW2uqq+Sb5wsKceaIoNDDQ39dnnqcbHR2dnZ1bt7/DGclXBu4WK38dllvf&#10;0IueWdY4UlcarmDxYdBIJKLdcWZWFj7QzVu3Ll261Nzc3NTUhGnALmAj9FM/oSLROKiZoDEUIs4L&#10;fvrLy6MWeDcjI0OcR+Tq1avsxGHfrMzMjfX1tra2L+/fb21pDY2Pr66u4KJB0kGJrwYqNR1PTGRr&#10;z5jolz8cA9qzubmRap4OjGNwMZEJ+IDQHtKMi3m1jXnq0RCh6am5pzQo0eNEwimkndlN1Fs/DXR0&#10;dKBaKDMbu7q6OlSrsLDQ/IAdlcVz3kmA57yzDtwIXYS0H03FmWNP2tvT09nZ1d5uvjLQ29c7OjI6&#10;NTm1sLiARV5b+75XjewEVn7D3pOGoV9dW2PZk5KRnpGWlrq1uYXvkpaaml9QUFhQcLGs7FK9uaRZ&#10;VlZWXl6OB4bjRUbZDvNLm3OAonBQM6FttfEWt0F75OHBfBAhdIiTB+nCuJik0JgxWE+fPmMsJiYn&#10;1uwT9LSHmoMSXw04uKZe+hAfD/0zDouLC+GZmTHz+YhpDs2z+Pa7subxdlE7XTOtNfew2zLsZJmn&#10;QTxOHKSHhIoAdkXoCZw3MTExMDDQ2dnJDi/bvkuhpqamtrZWfp5yEUY7fB7HCN2S4HF2IQdvfX1l&#10;eXlqerq3t7e9rX14eMg8gjY7Oz8/v2meCt+IRBYjS0vmTpP9H7veE6xiln5yEq5Rivk0wYUL1TU1&#10;TY2Nzc3Xamtr2OpyAhrQC01wqgpLS3CzMA3wEMKWXXaYksOFfnQhxDDhgc3Ozg4PD1Mp9ohDuv/N&#10;l/d7ens72tsHh4bwf+FIhmwxEklOOtirMs04bGzgscHx5s6X5GTzzdC0tKLCwqKi4rr6usuXLldV&#10;Vxm/NjMrOTkp3r6ew5BcdMcZDX/PywmG4y0i7KJQLTSKpXT//v3f/va3k5OTzG9JScn777//6aef&#10;NjY2ssFyWVAPq10exwzv551NsNKw7AALGllcnJqasg8kmN0oDk1PT8+Tp09JCU+HV1aW7bsr1yA/&#10;c5HtgFhdW8WfS0hMiE8wH4k1dj8uzrJgMq5PekYG217sfnZ2VnZWVnFx8cXy8szMTHwv8tI8Qhjx&#10;0AmP7gsUjgfJdhuWFcztmllZ8NHi4mIoFHr+9GlLS8vA4CCjBGfjgyG+ah+0CMp6NWxumjeIUjGm&#10;cHl5ZXFhAWvIsK+urs4vzC8vLZl3derpQPPlBvPYIsJ4oQHnGXcc5vS/551oRCuqtB3fDqobGhpi&#10;ZemyOdqlx2bgP3QPSeUyi/Hg68vj0OE574yAFRW9IDlkE4rBnZqcHBwYePHiBST34sXzzo4OmM+9&#10;GBBbC/2QEXpIiI9PTkmxiQcA3Ao9UAI1Qn4wH7YbQ7C8Yl79jOe0FFmyP2AlpKQk5+bmJqembGc0&#10;ICNQyqGAXqvY4NjC1cKA0LSFhYWRkRGojmHp7zX3ai5FIozDsn07cFJSIjuA/Z893xvmIqp5AUeQ&#10;y9yQQh/NnX4XcAeodHZubnp6mmGnLmBuWrlwATKOT0ww76Qxz3LEmQubhzkYHm8RTBk6r69FivOY&#10;ZfZzjvPMRQ7PeScPnvPOCFiBzrLrEOsPent6uru6Hj9+/OTJk86OzpHRkenw9MLiIsyEfRcbIIxd&#10;xs3AahNXCa+IRHt3IrVumBdmXsC9w5jjO87PL0B65pLmUsS8OTrN3FSSX1RoftPaRrSHZxqzTYRE&#10;XPpBQUZxsIPKJMJosBMHcE9XV9ejR4+eP38eNh7wGL4dfujykvkKID1aXVk9qJ9nnDTsmvmSuxlA&#10;GNSA8bRbgZWVlXB4emKCrcac/a7DOh4nI5eWlp5kfhA1pBf4fK/Zb48jBRoFh6Et7J/EeWgUqgXh&#10;gcrKSt2fhQogjO4RInxQpfJ4G/CcdyqB0YzZNjr+YDViYfEkxsbGukGHeeyso6Ojt6d3bMx805yd&#10;KT4YYgibLOZfm91+/dwcHARa/CIVDilh3Xw4YQOqW101LhdYNfeCbpk7VuIuLK2YTwvh30jegUJc&#10;OTHbYRKjzyojBObi0ZAMEdqgcjiky2B+fh62w8NjS46H197ePjw8PDEeQsA0OLJEBKsEAb2ebbIj&#10;iqtmJmK7zVscMiTQPzPCvJikzc2l5WVCPD82CjCfedTdXOo0t7dwmq6p8eoIp1xfPI4LTq+YDiKA&#10;SUGp8O3gvL6+vra2NmQuXryYn59PWF9fn5eXh5/HUnXqpIyKexwXPOedPrC0sIDRdlkWlkRCNpvs&#10;PSG81tZW/Jjnz5719fUODw/Nzs7gYWBHjSm1CDK/Hdjft8yjEYuRCD6fWAcXMzsnh7PYAl32AbIm&#10;NF6IbphO7XmW7rt4NKITXXx1dTUcDsNwjMfXX3/98OFDaA9TBQltHPA+1YPCDTczxF4AC8gOYGF+&#10;fnJycnRklJmC5zIzMtPS0phR/ERz/6t9STFZVAKDQEiKDj2OC5oR6SQROA/9mZubC4VCAwMDPT09&#10;JBYXF0N1FRUVuHqQH34eS1JL1SkzcY9jhOe8UwacgGiDyIoCLCetK4w7ZhR7ioP35MmTZ+DpU2xr&#10;eCbMKbJhWMkpj+StAq+ORq6urS0uLC4szNt3kC3OhMMFRYXYfbog0qLlgC4oV7RF0Kk9bQTyLl1i&#10;AodKZ5ToLyHAtQUQXm9v7+PHjx89eoTXC+GZAWGXsH5g1/ZAgPvF2DQLKwnhMRB4eDRpIhRajCym&#10;JKfk5GSnZ2QkxJuXopmf9yxcj0xeC6V7HBc0BUyKIuK8qakpOG9oaAhXD4bDwyssLKyuri4tLYX8&#10;POedQHjOO2VgpYktiMsmcohZJCL7Pjo6ihODQ9PS0jI4ODgVwptZNb+iQTPxwc0mmxs7bnh5G0hJ&#10;Sb0QZ8iJBhPSWELzffP1dRqJ3V+2gHhIV0eAOiIY87BXI21p5iy5KNyZEnGDcaTsjSq4lfh2GCPo&#10;v6urC6+XnTiGaXx8nG0BYmQEuFYq9i3BELzdapiu0T4GwoyFqXRtdQ3Hj+FZgQnt1+TN739bZmoQ&#10;ppvAdMxCpXkcIzQLTJMi4jz2l2BkZKS/v1+cV1BQUFVVBfPh57E2mUTHedHq7XFc8Jx3ymANoIGx&#10;11EkwfLDxA/YWzQfPHiAQ8MinJubQw4Tqix23eFVmcAevkWsra+Z5/4sn9FQ/oWKFhcXhkdHYB1o&#10;b3Z2FuaDp9U2/EJMxktaZYsxELcRISSRQ5cCMDEQHqwm3w6qw7Ez/u6zZwwIW3JOiYZhI2pPPOD9&#10;mQeHfR+3vTWFNtJU85C8/eIEbcAdnZqeHhocnJicZEeSmZmZkGSeoDf3c9rv16trIj8V53Fc0BQw&#10;KYqI8/Dz9CMxS4+J1XdFysrKiuz3QJg+x3nAT+JJgOe8UwaWDWC9EWdFEcp8Q28svPb2djw8aA+H&#10;BlIxtpI1CgK2M/6FeaujudL2dqHbF2mq7unA38PJW4xE4LqlpSWMBRQI1BFCwCENJsJZIFeMsyQq&#10;AijKRaANsiCmvJAZXdbvKzi7EB6OHUOBv9vb2wvRsieYn5+nZDMsFgzg234gTkTOPsPcu2L7YebC&#10;7ADMfT00nQZDeEuRSEZGRmZWwHnElV1TTE+d3fQ4LjCPhEyhIlJUOA+gb3Aek1VSUiLO0w97SDLr&#10;zs9TRo/jhee80wcWT/RCwmiy0xwaGmpra3v69Gl3d7e8GciANbaxZpgDnrOrjYCF9x1zvD3Y2zAM&#10;p5grqvZHRNoMoVE9aTQJewED4Y1N2i+tQ1EYDlkQukOnzFMF9p3X4kLKJBfWnxQcRPLCcNAYwrpZ&#10;3F3DFOsTJ0Vst7i4SEaMFGNCOaZRFkTe9rXNBPv7nGE6YEfdDMPmxndOrd2PMCVsDZaXlvCOk+w7&#10;sk3byO4vi50YaL7MarIRcR7aJc7TtU04D6orLy/Hz4P8EIteqkew7jy+F8ElMo9TBKbMLSQWHusN&#10;ksPQg2fPnkEhLEWIAcLgbJL5LQlgYVl+ZNzA2WDlYWNV2luC8fOsKTfEEnCerT3efGAMqP2YibQ0&#10;85YufQChtLS00Ly0xSAnJyczMxMC0JtTcH0oCeqC8OggpE4HITNCUiA/BkE/Z8KCnDVt2NjgFJRJ&#10;RiRFnLY5wdBBgcnxsW+1PlxArMwXa8x4u2bMzW+QG5ubdHnNPMth5lEOp3mFR3bW7ffu3r59+9at&#10;WxhNmA8EBXkcKxxjoUVMFhGUkJ0ZK46t1aNHj+7du8ec3rhxo6am5s6dO1euXKmqqkIMjdX+xmX0&#10;OF54zjttWN/AjvLv2soKNpuFh0NjnzbrGBg0rxbD9GNUExMS4Dbj6llfgcXGIelMtyFA/rcf9DI8&#10;ZH/fo0C7BY2zNtqscLkm1ic0i33dPvNuDbcRNHmN0BYsZoSMKCcUM/gu9mrA3ENyJcWgJD8/L9N8&#10;cDUtKSk5r6ggJSUF8wEdYjXoEXwGsekyJnEoDT7D1WO7Df91trWLzPif3tEm+g6n0NygpleDXhVm&#10;spvhg5bkn20St703MqbDwbXbuLXVVTsAwWVMzorsSbf/MuT2ywl2v2KGbp/2/PDTv7h8+TKc19DQ&#10;gNMAEWIxEdewx8Cb0aOEG220i0khhO1w7548ecIChPZQ1I8++gi2a2xsfOedd9iosbeLzuhxEuCv&#10;bZ4ybG2YeyJwoxbm5zH64+Oh9va2lpbW7p5u7D6ODiyIdTQyhpKsrbT2kgDzjMlm+XFsWMFY323C&#10;C2DWpyUzMZquu5kI2TjNgaHJTXsTiI2Z1yUrpwURXdI0+Q4Ck2XTkHQkYu63nJichLzHxsZ6+szF&#10;SWxHbm4uZ+ljb28vNN/R0dHT00NcF0WRxL0zP9dFlsQ6hs9pj1pE8w7WnGCjsN0vMxwaGQo0w6HB&#10;NaEZKP5HaJuUgp7rkFJoAiKMGDRsfTyTxY1YDPCLYXEE6DJOHj4uLSELjeGsqdMOspU12K8cj0OH&#10;mzVNB1OJyo2MjKCB6CpaymRdunSpvLy8oqICdYUCmbvojB4nAZ7zThmw4Maabm0uLBjnpre3jz1m&#10;R0dna0vrzEx42d7ybqy8sfZGXrbSROLirLNhFiGLlpDzhqAsRenHN0sPRlJJAVivcXGJSUnb69bY&#10;XWJWzBCDbY+KM5C8rPOrA3kobWlpGQducnJyHCMyNj42Nj44PIRlwYJgR5DRR1uguufPnxOyy4bt&#10;GAdk2AHQff08ZllI9BA8FX5QzktMtA+EmC4HXTFDZH2+YKy2R8bKGG6zRyYZKQMrYMbnQpw2Cobt&#10;zDjZMTLjtQc2tsxbBbCnWMzs7Gx8hdTUVAqjZNMv2xSFqs5m8jgKuJ2H47ypqSk0ENpDY9HAzMxM&#10;nLzq6uqqqir4z3PeyYT3uE8ZcBYI8RcikYi9F78FDmCPyapbsHfhW2Nq3Bz+SbRXMTGwhgG2/7f+&#10;xroxxsASgpHfvnff+CDWpBrjbO0yhyRy1jgp2G17FsOemAgPJq2smu+gqjpjyc0veaYoU8BBsGFb&#10;tbq6gsWnI3Ozs1B4ODxNN2FBHDhqAUR0ewvngJ55QJ4U3CPTEkMv31GCgSo4INZsd+Xc0Tb+oUho&#10;TI6dGQNLqhwYETswdnw2OMU42MuhcQiYYTO3sOrVOYyZ5sSYwj0BbdMjJnRwcLCvr4+Qbmo8KVCT&#10;ZmbEzIPppsdxwcz75iZax+wwF8wOk2t+qU5Ohu2M4nmeO5HwnHfKwBpbWlwMT4dHRoZbWloePnzY&#10;2tY2Hho31jQxCaMKixlzaD0562sYsPxIZHGur9mv2Fwwz24bmMttUJ19jtve+bICODD8Yf4Ah6Tp&#10;1OqaWeHWxBsrb8J1QwzUhUHmf2omBe6xjT0ArAU3hoPWGk7YhmUT0Uxg4omQ4iRtxy21q5tGmPZs&#10;wf3m2Nid1zE9GijqpDraYAbOvkgUcg2GgiGyfwwQh4aQ7VjxjyU/83kmRo2QzJRj2mu2H8bj1Ijt&#10;CcpfXFx0DxfizkJ7EL/rPqCnGoTg2ONoYZXKcB7THD0vQPNCumQ8TiD8tc1TBogFH2h4eKijs/PZ&#10;06fPX7wIhUJYY3sFLGAdsw6dT6DHmUm3/gqr0nzONC0VA5yckpyWmpaenm6eDDN/mfoSShaBuaxm&#10;LqyRlmHOS8DIZGSkp6alpSQnW6pJTElJpkAoB2Yxy93AsBdkFLT41UAjZSaMDYmLM7dr2rZtXtjK&#10;zc29evXqlStX2D5j/XH1CKEZydMKumlqtdbHuLQWttPm/4Dydpim70dKagrVMyAZ6aa/gKHIysxk&#10;E0+aGSU7PmbILHJyctMRTUs3o5iRwXQwODSMNuMOQ8iUac2h+Z+AU6ooBuwgOEX3GVJolE7l5OQU&#10;FhaK1JWLfpFuxsuOgMfRgDHX+CuCBk5NTbEjYQHii09PT6Ou+mwe80WcqXfymikX8ThGmMUTRD1O&#10;A9aXV1taW548ftLR2YEf0N7WNjMzm5yMkUySOTUTaq2hMfZxxl9JTEqMj4tfM1cu15ISk7ChEBpE&#10;YskvzRjqtHT4DxuNZ5SSbBaqDCzVBRZ607wfiyVLhELwdGCdJfsYABHcnoWF+YWFxeWVZQTsL117&#10;G/SXAOqyxRvCpDfQSV5eniGT3Jz8/PwPPvjgzp079HFychIro5/xxsfHdQPnAnXbJ/DoNNyLUbG9&#10;3zYuVsV1wfPVUVlVaZksh9GxzmRCiv0AuqnCXtclhW7akq1rubFhnLzVVeMb2jvUFxcWGBzahl/I&#10;6CzMz+PD4SVzmpbttydISEmiPCqiagahrKzsww8/fO+997CktIetiMZWy9Z00+OowNwx60Rw49iC&#10;sPfq6Oj4/PPP29vbh4aGent7S0tLf/zjH9+4caO5uZn1xfS5RcRMASKvsTQ8Dhee804ZJsbG7/35&#10;z3/605/7B8ybtDD6mHtIgqnEjcP+QliG5KyHx+LEDuOyJCUm2o+hr2JMi4uKCwsL3nnnHXwR/Lm8&#10;3FzMK94JFh1bjvNiKM8adKpjlW6YGzw3oBZMO8SJ4Z6bm2NjOzszQ3xoaHhubjYUmpicnLCf5TN+&#10;JO1ZWVlVg18RNMY+YmCeo8efLCkpKa8oL8gvePe9O2yZL126VFFRwSm4hJYMDw9DfrqfBXOje1ig&#10;FmNXzLMT0Vc1UfDX4TwoNj8/r6S0lDZYzy0dE4bnh9fL4JgtBv6lnjuk/M0t8zF0sLS0Zq/96mYc&#10;iA56ZrjMfX32O72QIs1jcC2574Hk9FSYkiKtb5lWXFxMS+7evdvY2Mg0Qf8kBqIeRwhmhNUUzXlM&#10;K5z3u9/9jlDvHmOD8tOf/vTmzZvXrl3TNQDPeScOFy78/4GSCwmVE7uJAAAAAElFTkSuQmCCUEsD&#10;BBQABgAIAAAAIQBoCokw3wAAAAkBAAAPAAAAZHJzL2Rvd25yZXYueG1sTI9BS8NAEIXvgv9hGcGb&#10;3USTtsRsSinqqQi2gnjbZqdJaHY2ZLdJ+u+dnuxpePMeb77JV5NtxYC9bxwpiGcRCKTSmYYqBd/7&#10;96clCB80Gd06QgUX9LAq7u9ynRk30hcOu1AJLiGfaQV1CF0mpS9rtNrPXIfE3tH1VgeWfSVNr0cu&#10;t618jqK5tLohvlDrDjc1lqfd2Sr4GPW4fonfhu3puLn87tPPn22MSj0+TOtXEAGn8B+GKz6jQ8FM&#10;B3cm40XLOlpwkuc8AcF+kl4XBwXpYpmALHJ5+0Hx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6LsAabAwAAOAgAAA4AAAAAAAAAAAAAAAAAOgIAAGRycy9lMm9E&#10;b2MueG1sUEsBAi0ACgAAAAAAAAAhANCWHjiH5gEAh+YBABQAAAAAAAAAAAAAAAAAAQYAAGRycy9t&#10;ZWRpYS9pbWFnZTEucG5nUEsBAi0AFAAGAAgAAAAhAGgKiTDfAAAACQEAAA8AAAAAAAAAAAAAAAAA&#10;uuwBAGRycy9kb3ducmV2LnhtbFBLAQItABQABgAIAAAAIQCqJg6+vAAAACEBAAAZAAAAAAAAAAAA&#10;AAAAAMbtAQBkcnMvX3JlbHMvZTJvRG9jLnhtbC5yZWxzUEsFBgAAAAAGAAYAfAEAALnuAQAAAA==&#10;">
                      <v:shape id="그림 3846" o:spid="_x0000_s1286" type="#_x0000_t75" style="position:absolute;left:332;width:27611;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vNzxgAAAN0AAAAPAAAAZHJzL2Rvd25yZXYueG1sRI9BawIx&#10;FITvhf6H8Aq91axWgqxGEbXQU2G1LXh7bp6bbTcvyyZdt/++EYQeh5n5hlmsBteInrpQe9YwHmUg&#10;iEtvaq40vB9enmYgQkQ22HgmDb8UYLW8v1tgbvyFC+r3sRIJwiFHDTbGNpcylJYchpFviZN39p3D&#10;mGRXSdPhJcFdIydZpqTDmtOCxZY2lsrv/Y/TcPjq1W4rp8cqFG9KFdaePj+s1o8Pw3oOItIQ/8O3&#10;9qvR8DybKri+SU9ALv8AAAD//wMAUEsBAi0AFAAGAAgAAAAhANvh9svuAAAAhQEAABMAAAAAAAAA&#10;AAAAAAAAAAAAAFtDb250ZW50X1R5cGVzXS54bWxQSwECLQAUAAYACAAAACEAWvQsW78AAAAVAQAA&#10;CwAAAAAAAAAAAAAAAAAfAQAAX3JlbHMvLnJlbHNQSwECLQAUAAYACAAAACEAZtLzc8YAAADdAAAA&#10;DwAAAAAAAAAAAAAAAAAHAgAAZHJzL2Rvd25yZXYueG1sUEsFBgAAAAADAAMAtwAAAPoCAAAAAA==&#10;" stroked="t" strokecolor="black [3213]" strokeweight=".5pt">
                        <v:imagedata r:id="rId131" o:title=""/>
                        <v:path arrowok="t"/>
                      </v:shape>
                      <v:shape id="Text Box 3847" o:spid="_x0000_s1287" type="#_x0000_t202" style="position:absolute;left:21082;top:34226;width:719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7XEyAAAAN0AAAAPAAAAZHJzL2Rvd25yZXYueG1sRI9BawIx&#10;FITvQv9DeIVepGZbFyurUUQq2F6kWy/eHpvnZtvNy5Jkdfvvm0LB4zAz3zDL9WBbcSEfGscKniYZ&#10;COLK6YZrBcfP3eMcRIjIGlvHpOCHAqxXd6MlFtpd+YMuZaxFgnAoUIGJsSukDJUhi2HiOuLknZ23&#10;GJP0tdQerwluW/mcZTNpseG0YLCjraHqu+ytgkN+Ophxf3593+RT/3bst7OvulTq4X7YLEBEGuIt&#10;/N/eawXTef4Cf2/SE5CrXwAAAP//AwBQSwECLQAUAAYACAAAACEA2+H2y+4AAACFAQAAEwAAAAAA&#10;AAAAAAAAAAAAAAAAW0NvbnRlbnRfVHlwZXNdLnhtbFBLAQItABQABgAIAAAAIQBa9CxbvwAAABUB&#10;AAALAAAAAAAAAAAAAAAAAB8BAABfcmVscy8ucmVsc1BLAQItABQABgAIAAAAIQBFX7XEyAAAAN0A&#10;AAAPAAAAAAAAAAAAAAAAAAcCAABkcnMvZG93bnJldi54bWxQSwUGAAAAAAMAAwC3AAAA/AIAAAAA&#10;" stroked="f">
                        <v:textbox style="mso-fit-shape-to-text:t" inset="0,0,0,0">
                          <w:txbxContent>
                            <w:p w14:paraId="4C983BFC"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pl-PL"/>
                                </w:rPr>
                                <w:t>Rysunek L</w:t>
                              </w:r>
                            </w:p>
                          </w:txbxContent>
                        </v:textbox>
                      </v:shape>
                      <w10:wrap type="square"/>
                    </v:group>
                  </w:pict>
                </mc:Fallback>
              </mc:AlternateContent>
            </w:r>
          </w:p>
          <w:p w14:paraId="3879E8DD" w14:textId="77777777" w:rsidR="00094D21" w:rsidRPr="008F328C" w:rsidRDefault="00094D21" w:rsidP="008E70FE">
            <w:pPr>
              <w:pStyle w:val="a3"/>
              <w:numPr>
                <w:ilvl w:val="0"/>
                <w:numId w:val="126"/>
              </w:numPr>
              <w:rPr>
                <w:b/>
                <w:highlight w:val="lightGray"/>
                <w:lang w:val="pl-PL"/>
              </w:rPr>
            </w:pPr>
            <w:r w:rsidRPr="008F328C">
              <w:rPr>
                <w:rFonts w:eastAsia="Times New Roman"/>
                <w:b/>
                <w:bCs/>
                <w:highlight w:val="lightGray"/>
                <w:lang w:val="pl-PL"/>
              </w:rPr>
              <w:t>Wyrzucić ampułko-strzykawkę.</w:t>
            </w:r>
          </w:p>
          <w:p w14:paraId="37E737A8" w14:textId="77777777" w:rsidR="00094D21" w:rsidRPr="008F328C" w:rsidRDefault="00094D21" w:rsidP="008A03B2">
            <w:pPr>
              <w:pStyle w:val="a3"/>
              <w:rPr>
                <w:highlight w:val="lightGray"/>
                <w:lang w:val="pl-PL"/>
              </w:rPr>
            </w:pPr>
          </w:p>
          <w:p w14:paraId="3C4F0BE9" w14:textId="77777777" w:rsidR="00094D21" w:rsidRPr="008F328C" w:rsidRDefault="00094D21" w:rsidP="008A03B2">
            <w:pPr>
              <w:pStyle w:val="a3"/>
              <w:ind w:left="5377" w:hanging="180"/>
              <w:rPr>
                <w:rFonts w:eastAsia="Times New Roman"/>
                <w:highlight w:val="lightGray"/>
                <w:lang w:val="pl-PL"/>
              </w:rPr>
            </w:pPr>
            <w:r w:rsidRPr="008F328C">
              <w:rPr>
                <w:rFonts w:eastAsia="Times New Roman"/>
                <w:b/>
                <w:bCs/>
                <w:highlight w:val="lightGray"/>
                <w:lang w:val="pl-PL"/>
              </w:rPr>
              <w:t>a.</w:t>
            </w:r>
            <w:r w:rsidRPr="008F328C">
              <w:rPr>
                <w:rFonts w:eastAsia="Times New Roman"/>
                <w:highlight w:val="lightGray"/>
                <w:lang w:val="pl-PL"/>
              </w:rPr>
              <w:t xml:space="preserve"> Wyrzucić zużytą ampułko-strzykawkę do specjalnego pojemnika na odpady ostre zgodnie z zaleceniami lekarza, pielęgniarki lub farmaceuty. </w:t>
            </w:r>
          </w:p>
          <w:p w14:paraId="3F88C85B" w14:textId="77777777" w:rsidR="00094D21" w:rsidRPr="008F328C" w:rsidRDefault="00094D21" w:rsidP="008A03B2">
            <w:pPr>
              <w:pStyle w:val="a3"/>
              <w:rPr>
                <w:highlight w:val="lightGray"/>
                <w:lang w:val="pl-PL"/>
              </w:rPr>
            </w:pPr>
          </w:p>
          <w:p w14:paraId="7D7B154F" w14:textId="77777777" w:rsidR="00094D21" w:rsidRPr="008F328C" w:rsidRDefault="00094D21" w:rsidP="008A03B2">
            <w:pPr>
              <w:pStyle w:val="a3"/>
              <w:ind w:left="5377" w:hanging="180"/>
              <w:rPr>
                <w:highlight w:val="lightGray"/>
                <w:lang w:val="pl-PL"/>
              </w:rPr>
            </w:pPr>
            <w:r w:rsidRPr="008F328C">
              <w:rPr>
                <w:rFonts w:eastAsia="Times New Roman"/>
                <w:b/>
                <w:bCs/>
                <w:highlight w:val="lightGray"/>
                <w:lang w:val="pl-PL"/>
              </w:rPr>
              <w:t>b. gazik</w:t>
            </w:r>
            <w:r w:rsidRPr="008F328C">
              <w:rPr>
                <w:rFonts w:eastAsia="Times New Roman"/>
                <w:highlight w:val="lightGray"/>
                <w:lang w:val="pl-PL"/>
              </w:rPr>
              <w:t xml:space="preserve"> nasączony alkoholem i opakowanie można wyrzucać </w:t>
            </w:r>
          </w:p>
          <w:p w14:paraId="75ED7820" w14:textId="77777777" w:rsidR="00094D21" w:rsidRPr="008F328C" w:rsidRDefault="00094D21" w:rsidP="008A03B2">
            <w:pPr>
              <w:pStyle w:val="a3"/>
              <w:ind w:firstLineChars="300" w:firstLine="660"/>
              <w:rPr>
                <w:b/>
                <w:highlight w:val="lightGray"/>
                <w:lang w:val="pl-PL"/>
              </w:rPr>
            </w:pPr>
            <w:r w:rsidRPr="008F328C">
              <w:rPr>
                <w:rFonts w:eastAsia="Times New Roman"/>
                <w:highlight w:val="lightGray"/>
                <w:lang w:val="pl-PL"/>
              </w:rPr>
              <w:t>do domowego pojemnika na odpadki.</w:t>
            </w:r>
          </w:p>
          <w:p w14:paraId="32264A5A" w14:textId="77777777" w:rsidR="00094D21" w:rsidRPr="008F328C" w:rsidRDefault="00094D21" w:rsidP="008A03B2">
            <w:pPr>
              <w:pStyle w:val="a3"/>
              <w:rPr>
                <w:b/>
                <w:highlight w:val="lightGray"/>
                <w:lang w:val="pl-PL"/>
              </w:rPr>
            </w:pPr>
          </w:p>
          <w:p w14:paraId="01FF39BD" w14:textId="77777777" w:rsidR="00094D21" w:rsidRPr="008F328C" w:rsidRDefault="00094D21" w:rsidP="008A03B2">
            <w:pPr>
              <w:pStyle w:val="a3"/>
              <w:numPr>
                <w:ilvl w:val="0"/>
                <w:numId w:val="18"/>
              </w:numPr>
              <w:ind w:left="5017"/>
              <w:rPr>
                <w:highlight w:val="lightGray"/>
                <w:lang w:val="pl-PL"/>
              </w:rPr>
            </w:pPr>
            <w:r w:rsidRPr="008F328C">
              <w:rPr>
                <w:rFonts w:eastAsia="Times New Roman"/>
                <w:highlight w:val="lightGray"/>
                <w:lang w:val="pl-PL"/>
              </w:rPr>
              <w:t>Zawsze przechowywać ampułko-strzykawkę i specjalny pojemnik na odpady ostre w miejscu niewidocznym i niedostępnym dla dzieci.</w:t>
            </w:r>
          </w:p>
          <w:p w14:paraId="3756AF5F" w14:textId="77777777" w:rsidR="00094D21" w:rsidRPr="008F328C" w:rsidRDefault="00094D21" w:rsidP="008A03B2">
            <w:pPr>
              <w:pStyle w:val="a3"/>
              <w:rPr>
                <w:lang w:val="pl-PL"/>
              </w:rPr>
            </w:pPr>
          </w:p>
          <w:p w14:paraId="1392B3B2" w14:textId="77777777" w:rsidR="00094D21" w:rsidRPr="008F328C" w:rsidRDefault="00094D21" w:rsidP="008A03B2">
            <w:pPr>
              <w:pStyle w:val="a3"/>
              <w:rPr>
                <w:b/>
                <w:bCs/>
                <w:spacing w:val="-1"/>
                <w:lang w:val="pl-PL" w:eastAsia="ko-KR"/>
              </w:rPr>
            </w:pPr>
          </w:p>
        </w:tc>
      </w:tr>
    </w:tbl>
    <w:p w14:paraId="0C9083C0" w14:textId="77777777" w:rsidR="00094D21" w:rsidRPr="008F328C" w:rsidRDefault="00094D21" w:rsidP="00094D21">
      <w:pPr>
        <w:spacing w:line="241" w:lineRule="auto"/>
        <w:rPr>
          <w:rFonts w:ascii="Times New Roman" w:hAnsi="Times New Roman" w:cs="Times New Roman"/>
          <w:lang w:val="pl-PL" w:eastAsia="ko-KR"/>
        </w:rPr>
      </w:pPr>
    </w:p>
    <w:p w14:paraId="1F1B12ED" w14:textId="77777777" w:rsidR="00094D21" w:rsidRPr="008F328C" w:rsidRDefault="00094D21" w:rsidP="00094D21">
      <w:pPr>
        <w:rPr>
          <w:rFonts w:ascii="Times New Roman" w:hAnsi="Times New Roman" w:cs="Times New Roman"/>
          <w:lang w:val="pl-PL" w:eastAsia="ko-KR"/>
        </w:rPr>
      </w:pPr>
      <w:r w:rsidRPr="008F328C">
        <w:rPr>
          <w:rFonts w:ascii="Times New Roman" w:hAnsi="Times New Roman" w:cs="Times New Roman"/>
          <w:lang w:val="pl-PL" w:eastAsia="ko-KR"/>
        </w:rPr>
        <w:br w:type="page"/>
      </w:r>
    </w:p>
    <w:p w14:paraId="6CB1CE16" w14:textId="77777777" w:rsidR="00094D21" w:rsidRPr="008F328C" w:rsidRDefault="00094D21" w:rsidP="00094D21">
      <w:pPr>
        <w:ind w:left="2350" w:right="2268"/>
        <w:jc w:val="center"/>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lastRenderedPageBreak/>
        <w:t>Ulotka dołączona do opakowania: informacja dla pacjenta</w:t>
      </w:r>
    </w:p>
    <w:p w14:paraId="7C3C0079" w14:textId="77777777" w:rsidR="00094D21" w:rsidRPr="008F328C" w:rsidRDefault="00094D21" w:rsidP="00094D21">
      <w:pPr>
        <w:spacing w:before="13" w:line="240" w:lineRule="exact"/>
        <w:rPr>
          <w:rFonts w:ascii="Times New Roman" w:hAnsi="Times New Roman" w:cs="Times New Roman"/>
          <w:sz w:val="24"/>
          <w:szCs w:val="24"/>
          <w:lang w:val="pl-PL"/>
        </w:rPr>
      </w:pPr>
    </w:p>
    <w:p w14:paraId="24EB241C" w14:textId="425CB5FE" w:rsidR="00094D21" w:rsidRPr="008F328C" w:rsidRDefault="00094D21" w:rsidP="00094D21">
      <w:pPr>
        <w:ind w:left="2350" w:right="2268"/>
        <w:jc w:val="center"/>
        <w:rPr>
          <w:rFonts w:ascii="Times New Roman" w:eastAsia="Times New Roman" w:hAnsi="Times New Roman" w:cs="Times New Roman"/>
          <w:lang w:val="pl-PL"/>
        </w:rPr>
      </w:pPr>
      <w:r w:rsidRPr="008F328C">
        <w:rPr>
          <w:rFonts w:ascii="Times New Roman" w:eastAsia="Times New Roman" w:hAnsi="Times New Roman" w:cs="Times New Roman"/>
          <w:b/>
          <w:bCs/>
          <w:lang w:val="pl-PL"/>
        </w:rPr>
        <w:t xml:space="preserve">Yuflyma </w:t>
      </w:r>
      <w:r w:rsidR="008A03B2" w:rsidRPr="008F328C">
        <w:rPr>
          <w:rFonts w:ascii="Times New Roman" w:eastAsia="Times New Roman" w:hAnsi="Times New Roman" w:cs="Times New Roman"/>
          <w:b/>
          <w:bCs/>
          <w:lang w:val="pl-PL"/>
        </w:rPr>
        <w:t>8</w:t>
      </w:r>
      <w:r w:rsidRPr="008F328C">
        <w:rPr>
          <w:rFonts w:ascii="Times New Roman" w:eastAsia="Times New Roman" w:hAnsi="Times New Roman" w:cs="Times New Roman"/>
          <w:b/>
          <w:bCs/>
          <w:lang w:val="pl-PL"/>
        </w:rPr>
        <w:t xml:space="preserve">0 mg w postaci roztworu do wstrzykiwań we </w:t>
      </w:r>
      <w:r w:rsidR="001D4A84" w:rsidRPr="008F328C">
        <w:rPr>
          <w:rFonts w:ascii="Times New Roman" w:eastAsia="Times New Roman" w:hAnsi="Times New Roman" w:cs="Times New Roman"/>
          <w:b/>
          <w:bCs/>
          <w:lang w:val="pl-PL"/>
        </w:rPr>
        <w:t>półautomatyczny wstrzykiwacz</w:t>
      </w:r>
    </w:p>
    <w:p w14:paraId="6BD50D47" w14:textId="77777777" w:rsidR="00094D21" w:rsidRPr="008F328C" w:rsidRDefault="00094D21" w:rsidP="00094D21">
      <w:pPr>
        <w:pStyle w:val="a3"/>
        <w:jc w:val="center"/>
        <w:rPr>
          <w:lang w:val="pl-PL"/>
        </w:rPr>
      </w:pPr>
      <w:r w:rsidRPr="008F328C">
        <w:rPr>
          <w:rFonts w:eastAsia="Times New Roman"/>
          <w:lang w:val="pl-PL"/>
        </w:rPr>
        <w:t>adalimumab</w:t>
      </w:r>
    </w:p>
    <w:p w14:paraId="676B4517" w14:textId="77777777" w:rsidR="00094D21" w:rsidRPr="008F328C" w:rsidRDefault="00094D21" w:rsidP="00094D21">
      <w:pPr>
        <w:spacing w:before="18" w:line="240" w:lineRule="exact"/>
        <w:rPr>
          <w:rFonts w:ascii="Times New Roman" w:hAnsi="Times New Roman" w:cs="Times New Roman"/>
          <w:sz w:val="24"/>
          <w:szCs w:val="24"/>
          <w:lang w:val="pl-PL"/>
        </w:rPr>
      </w:pPr>
    </w:p>
    <w:p w14:paraId="19467D91" w14:textId="77777777" w:rsidR="00094D21" w:rsidRPr="008F328C" w:rsidRDefault="00094D21" w:rsidP="00094D21">
      <w:pPr>
        <w:spacing w:before="18" w:line="240" w:lineRule="exact"/>
        <w:ind w:left="108"/>
        <w:rPr>
          <w:rFonts w:ascii="Times New Roman" w:hAnsi="Times New Roman" w:cs="Times New Roman"/>
          <w:sz w:val="24"/>
          <w:szCs w:val="24"/>
          <w:lang w:val="pl-PL"/>
        </w:rPr>
      </w:pPr>
      <w:r w:rsidRPr="008F328C">
        <w:rPr>
          <w:rFonts w:ascii="Times New Roman" w:hAnsi="Times New Roman" w:cs="Times New Roman"/>
          <w:noProof/>
          <w:lang w:eastAsia="ko-KR"/>
        </w:rPr>
        <w:drawing>
          <wp:inline distT="0" distB="0" distL="0" distR="0" wp14:anchorId="7850965F" wp14:editId="46A5ABF4">
            <wp:extent cx="203200" cy="169545"/>
            <wp:effectExtent l="0" t="0" r="6350" b="1905"/>
            <wp:docPr id="3947" name="그림 394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Użytkownik leku też może w tym pomóc, zgłaszając wszelkie działania niepożądane, które wystąpiły po zastosowaniu leku. Aby dowiedzieć się, jak zgłaszać działania niepożądane – patrz punkt 4.</w:t>
      </w:r>
    </w:p>
    <w:p w14:paraId="404BE0F8" w14:textId="77777777" w:rsidR="00094D21" w:rsidRPr="008F328C" w:rsidRDefault="00094D21" w:rsidP="00094D21">
      <w:pPr>
        <w:spacing w:before="18" w:line="240" w:lineRule="exact"/>
        <w:rPr>
          <w:rFonts w:ascii="Times New Roman" w:hAnsi="Times New Roman" w:cs="Times New Roman"/>
          <w:sz w:val="24"/>
          <w:szCs w:val="24"/>
          <w:lang w:val="pl-PL"/>
        </w:rPr>
      </w:pPr>
    </w:p>
    <w:p w14:paraId="3A0253E6" w14:textId="77777777" w:rsidR="00094D21" w:rsidRPr="008F328C" w:rsidRDefault="00094D21" w:rsidP="00094D21">
      <w:pPr>
        <w:spacing w:before="18" w:line="240" w:lineRule="exact"/>
        <w:ind w:left="108"/>
        <w:rPr>
          <w:rFonts w:ascii="Times New Roman" w:hAnsi="Times New Roman" w:cs="Times New Roman"/>
          <w:b/>
          <w:lang w:val="pl-PL"/>
        </w:rPr>
      </w:pPr>
      <w:r w:rsidRPr="008F328C">
        <w:rPr>
          <w:rFonts w:ascii="Times New Roman" w:eastAsia="Times New Roman" w:hAnsi="Times New Roman" w:cs="Times New Roman"/>
          <w:b/>
          <w:bCs/>
          <w:lang w:val="pl-PL"/>
        </w:rPr>
        <w:t>Należy uważnie zapoznać się z treścią ulotki przed zastosowaniem leku, ponieważ zawiera ona informacje ważne dla pacjenta.</w:t>
      </w:r>
    </w:p>
    <w:p w14:paraId="0659752D"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Należy zachować tę ulotkę, aby w razie potrzeby móc ją ponownie przeczytać.</w:t>
      </w:r>
    </w:p>
    <w:p w14:paraId="30F0F1ED"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 xml:space="preserve">Lekarz także przekaże pacjentowi „Kartę przypominającą dla pacjenta” zawierającą ważne informacje o bezpieczeństwie stosowania leku, o których należy pamiętać przed rozpoczęciem i w trakcie leczenia lekiem Yuflyma. </w:t>
      </w:r>
      <w:r w:rsidRPr="008F328C">
        <w:rPr>
          <w:rFonts w:eastAsia="Times New Roman"/>
          <w:b/>
          <w:bCs/>
          <w:lang w:val="pl-PL"/>
        </w:rPr>
        <w:t xml:space="preserve">Kartę Przypominającą dla Pacjenta </w:t>
      </w:r>
      <w:r w:rsidRPr="008F328C">
        <w:rPr>
          <w:rFonts w:eastAsia="Times New Roman"/>
          <w:lang w:val="pl-PL"/>
        </w:rPr>
        <w:t>należy zachować podczas leczenia i przez 4 miesiące po przyjęciu ostatniego wstrzyknięcia leku Yuflyma.</w:t>
      </w:r>
    </w:p>
    <w:p w14:paraId="267DDBE1"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W razie jakichkolwiek wątpliwości należy zwrócić się do lekarza lub farmaceuty.</w:t>
      </w:r>
    </w:p>
    <w:p w14:paraId="456904DB"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Lek ten przepisano ściśle określonej osobie. Nie należy go przekazywać innym. Lek może zaszkodzić innej osobie, nawet jeśli objawy jej choroby są takie same.</w:t>
      </w:r>
    </w:p>
    <w:p w14:paraId="68EC0F49"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Patrz punkt 4.</w:t>
      </w:r>
    </w:p>
    <w:p w14:paraId="43135988" w14:textId="77777777" w:rsidR="00094D21" w:rsidRPr="008F328C" w:rsidRDefault="00094D21" w:rsidP="00094D21">
      <w:pPr>
        <w:pStyle w:val="a3"/>
        <w:rPr>
          <w:lang w:val="pl-PL"/>
        </w:rPr>
      </w:pPr>
    </w:p>
    <w:p w14:paraId="585E9377" w14:textId="77777777" w:rsidR="00094D21" w:rsidRPr="008F328C" w:rsidRDefault="00094D21" w:rsidP="00094D21">
      <w:pPr>
        <w:pStyle w:val="a3"/>
        <w:rPr>
          <w:b/>
          <w:lang w:val="pl-PL"/>
        </w:rPr>
      </w:pPr>
      <w:r w:rsidRPr="008F328C">
        <w:rPr>
          <w:rFonts w:eastAsia="Times New Roman"/>
          <w:b/>
          <w:bCs/>
          <w:lang w:val="pl-PL"/>
        </w:rPr>
        <w:t>Spis treści ulotki</w:t>
      </w:r>
    </w:p>
    <w:p w14:paraId="3F4C2CFF" w14:textId="77777777" w:rsidR="00094D21" w:rsidRPr="008F328C" w:rsidRDefault="00094D21" w:rsidP="008E70FE">
      <w:pPr>
        <w:pStyle w:val="a3"/>
        <w:numPr>
          <w:ilvl w:val="0"/>
          <w:numId w:val="127"/>
        </w:numPr>
        <w:ind w:hanging="760"/>
        <w:rPr>
          <w:lang w:val="pl-PL"/>
        </w:rPr>
      </w:pPr>
      <w:r w:rsidRPr="008F328C">
        <w:rPr>
          <w:rFonts w:eastAsia="Times New Roman"/>
          <w:lang w:val="pl-PL"/>
        </w:rPr>
        <w:t>Co to jest lek Yuflyma i w jakim celu się go stosuje</w:t>
      </w:r>
    </w:p>
    <w:p w14:paraId="68671AA3" w14:textId="77777777" w:rsidR="00094D21" w:rsidRPr="008F328C" w:rsidRDefault="00094D21" w:rsidP="008E70FE">
      <w:pPr>
        <w:pStyle w:val="a3"/>
        <w:numPr>
          <w:ilvl w:val="0"/>
          <w:numId w:val="127"/>
        </w:numPr>
        <w:ind w:hanging="760"/>
        <w:rPr>
          <w:lang w:val="pl-PL"/>
        </w:rPr>
      </w:pPr>
      <w:r w:rsidRPr="008F328C">
        <w:rPr>
          <w:rFonts w:eastAsia="Times New Roman"/>
          <w:lang w:val="pl-PL"/>
        </w:rPr>
        <w:t>Informacje ważne przed przyjęciem leku Yuflyma</w:t>
      </w:r>
    </w:p>
    <w:p w14:paraId="5675BD8C" w14:textId="77777777" w:rsidR="00094D21" w:rsidRPr="008F328C" w:rsidRDefault="00094D21" w:rsidP="008E70FE">
      <w:pPr>
        <w:pStyle w:val="a3"/>
        <w:numPr>
          <w:ilvl w:val="0"/>
          <w:numId w:val="127"/>
        </w:numPr>
        <w:ind w:hanging="760"/>
        <w:rPr>
          <w:lang w:val="pl-PL"/>
        </w:rPr>
      </w:pPr>
      <w:r w:rsidRPr="008F328C">
        <w:rPr>
          <w:rFonts w:eastAsia="Times New Roman"/>
          <w:lang w:val="pl-PL"/>
        </w:rPr>
        <w:t>Jak stosować lek Yuflyma</w:t>
      </w:r>
    </w:p>
    <w:p w14:paraId="7DF597FF" w14:textId="77777777" w:rsidR="00094D21" w:rsidRPr="008F328C" w:rsidRDefault="00094D21" w:rsidP="008E70FE">
      <w:pPr>
        <w:pStyle w:val="a3"/>
        <w:numPr>
          <w:ilvl w:val="0"/>
          <w:numId w:val="127"/>
        </w:numPr>
        <w:ind w:hanging="760"/>
        <w:rPr>
          <w:lang w:val="pl-PL"/>
        </w:rPr>
      </w:pPr>
      <w:r w:rsidRPr="008F328C">
        <w:rPr>
          <w:rFonts w:eastAsia="Times New Roman"/>
          <w:lang w:val="pl-PL"/>
        </w:rPr>
        <w:t>Możliwe działania niepożądane</w:t>
      </w:r>
    </w:p>
    <w:p w14:paraId="51D5004E" w14:textId="77777777" w:rsidR="00094D21" w:rsidRPr="008F328C" w:rsidRDefault="00094D21" w:rsidP="008E70FE">
      <w:pPr>
        <w:pStyle w:val="a3"/>
        <w:numPr>
          <w:ilvl w:val="0"/>
          <w:numId w:val="127"/>
        </w:numPr>
        <w:ind w:hanging="760"/>
        <w:rPr>
          <w:lang w:val="pl-PL"/>
        </w:rPr>
      </w:pPr>
      <w:r w:rsidRPr="008F328C">
        <w:rPr>
          <w:rFonts w:eastAsia="Times New Roman"/>
          <w:lang w:val="pl-PL"/>
        </w:rPr>
        <w:t>Jak przechowywać lek Yuflyma</w:t>
      </w:r>
    </w:p>
    <w:p w14:paraId="7379951D" w14:textId="77777777" w:rsidR="00094D21" w:rsidRPr="008F328C" w:rsidRDefault="00094D21" w:rsidP="008E70FE">
      <w:pPr>
        <w:pStyle w:val="a3"/>
        <w:numPr>
          <w:ilvl w:val="0"/>
          <w:numId w:val="127"/>
        </w:numPr>
        <w:ind w:hanging="760"/>
        <w:rPr>
          <w:lang w:val="pl-PL"/>
        </w:rPr>
      </w:pPr>
      <w:r w:rsidRPr="008F328C">
        <w:rPr>
          <w:rFonts w:eastAsia="Times New Roman"/>
          <w:lang w:val="pl-PL"/>
        </w:rPr>
        <w:t>Zawartość opakowania i inne informacje</w:t>
      </w:r>
    </w:p>
    <w:p w14:paraId="1A5A5F24" w14:textId="77777777" w:rsidR="00094D21" w:rsidRPr="008F328C" w:rsidRDefault="00094D21" w:rsidP="008E70FE">
      <w:pPr>
        <w:pStyle w:val="a3"/>
        <w:numPr>
          <w:ilvl w:val="0"/>
          <w:numId w:val="127"/>
        </w:numPr>
        <w:ind w:hanging="760"/>
        <w:rPr>
          <w:lang w:val="pl-PL"/>
        </w:rPr>
      </w:pPr>
      <w:r w:rsidRPr="008F328C">
        <w:rPr>
          <w:rFonts w:eastAsia="Times New Roman"/>
          <w:lang w:val="pl-PL"/>
        </w:rPr>
        <w:t>Instrukcja stosowania</w:t>
      </w:r>
    </w:p>
    <w:p w14:paraId="6C1CD415" w14:textId="46A16D46" w:rsidR="00094D21" w:rsidRPr="008F328C" w:rsidRDefault="00094D21" w:rsidP="00094D21">
      <w:pPr>
        <w:spacing w:line="200" w:lineRule="exact"/>
        <w:rPr>
          <w:rFonts w:ascii="Times New Roman" w:hAnsi="Times New Roman" w:cs="Times New Roman"/>
          <w:sz w:val="20"/>
          <w:szCs w:val="20"/>
          <w:lang w:val="pl-PL"/>
        </w:rPr>
      </w:pPr>
    </w:p>
    <w:p w14:paraId="39E9F391" w14:textId="77777777" w:rsidR="00CC4159" w:rsidRPr="008F328C" w:rsidRDefault="00CC4159" w:rsidP="00094D21">
      <w:pPr>
        <w:spacing w:line="200" w:lineRule="exact"/>
        <w:rPr>
          <w:rFonts w:ascii="Times New Roman" w:hAnsi="Times New Roman" w:cs="Times New Roman"/>
          <w:sz w:val="20"/>
          <w:szCs w:val="20"/>
          <w:lang w:val="pl-PL"/>
        </w:rPr>
      </w:pPr>
    </w:p>
    <w:p w14:paraId="29010C50" w14:textId="77777777" w:rsidR="00094D21" w:rsidRPr="008F328C" w:rsidRDefault="00094D21" w:rsidP="008E70FE">
      <w:pPr>
        <w:pStyle w:val="a4"/>
        <w:numPr>
          <w:ilvl w:val="0"/>
          <w:numId w:val="128"/>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Co to jest lek Yuflyma i w jakim celu się go stosuje</w:t>
      </w:r>
    </w:p>
    <w:p w14:paraId="28421515" w14:textId="77777777" w:rsidR="00094D21" w:rsidRPr="008F328C" w:rsidRDefault="00094D21" w:rsidP="00094D21">
      <w:pPr>
        <w:spacing w:line="240" w:lineRule="exact"/>
        <w:rPr>
          <w:rFonts w:ascii="Times New Roman" w:hAnsi="Times New Roman" w:cs="Times New Roman"/>
          <w:b/>
          <w:lang w:val="pl-PL"/>
        </w:rPr>
      </w:pPr>
    </w:p>
    <w:p w14:paraId="0A2F8D11" w14:textId="77777777" w:rsidR="00094D21" w:rsidRPr="008F328C" w:rsidRDefault="00094D21" w:rsidP="00094D21">
      <w:pPr>
        <w:pStyle w:val="a3"/>
        <w:rPr>
          <w:lang w:val="pl-PL"/>
        </w:rPr>
      </w:pPr>
      <w:r w:rsidRPr="008F328C">
        <w:rPr>
          <w:rFonts w:eastAsia="Times New Roman"/>
          <w:lang w:val="pl-PL"/>
        </w:rPr>
        <w:t>Lek Yuflyma zawiera substancję czynną adalimumab, lek działający na układ odpornościowy (obronny) organizmu.</w:t>
      </w:r>
    </w:p>
    <w:p w14:paraId="5D436EC2" w14:textId="77777777" w:rsidR="00094D21" w:rsidRPr="008F328C" w:rsidRDefault="00094D21" w:rsidP="00094D21">
      <w:pPr>
        <w:pStyle w:val="a3"/>
        <w:rPr>
          <w:lang w:val="pl-PL"/>
        </w:rPr>
      </w:pPr>
    </w:p>
    <w:p w14:paraId="7EFD0168" w14:textId="77777777" w:rsidR="00094D21" w:rsidRPr="008F328C" w:rsidRDefault="00094D21" w:rsidP="00094D21">
      <w:pPr>
        <w:pStyle w:val="a3"/>
        <w:rPr>
          <w:lang w:val="pl-PL"/>
        </w:rPr>
      </w:pPr>
      <w:r w:rsidRPr="008F328C">
        <w:rPr>
          <w:rFonts w:eastAsia="Times New Roman"/>
          <w:lang w:val="pl-PL"/>
        </w:rPr>
        <w:t>Lek Yuflyma jest wskazany w leczeniu następujących chorób zapalnych:</w:t>
      </w:r>
    </w:p>
    <w:p w14:paraId="4B2BF96D"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reumatoidalnego zapalenia stawów</w:t>
      </w:r>
    </w:p>
    <w:p w14:paraId="66D5530B"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łuszczycy zwyczajnej (plackowatej)</w:t>
      </w:r>
    </w:p>
    <w:p w14:paraId="20DFB79F"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ropnego zapalenia apokrynowych gruczołów potowych</w:t>
      </w:r>
    </w:p>
    <w:p w14:paraId="41941472"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choroby Leśniowskiego-Crohna</w:t>
      </w:r>
    </w:p>
    <w:p w14:paraId="68E13067"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wrzodziejącego zapalenia jelita grubego</w:t>
      </w:r>
    </w:p>
    <w:p w14:paraId="220ADB34" w14:textId="77777777" w:rsidR="00094D21" w:rsidRPr="008F328C" w:rsidRDefault="00094D21" w:rsidP="00094D21">
      <w:pPr>
        <w:pStyle w:val="a3"/>
        <w:numPr>
          <w:ilvl w:val="0"/>
          <w:numId w:val="5"/>
        </w:numPr>
        <w:ind w:left="660" w:hanging="660"/>
        <w:rPr>
          <w:lang w:val="pl-PL"/>
        </w:rPr>
      </w:pPr>
      <w:r w:rsidRPr="008F328C">
        <w:rPr>
          <w:rFonts w:eastAsia="Times New Roman"/>
          <w:lang w:val="pl-PL"/>
        </w:rPr>
        <w:t>nieinfekcyjnego zapalenia błony naczyniowej oka</w:t>
      </w:r>
    </w:p>
    <w:p w14:paraId="15881011" w14:textId="77777777" w:rsidR="00094D21" w:rsidRPr="008F328C" w:rsidRDefault="00094D21" w:rsidP="00094D21">
      <w:pPr>
        <w:spacing w:before="10" w:line="240" w:lineRule="exact"/>
        <w:rPr>
          <w:rFonts w:ascii="Times New Roman" w:hAnsi="Times New Roman" w:cs="Times New Roman"/>
          <w:sz w:val="24"/>
          <w:szCs w:val="24"/>
          <w:lang w:val="pl-PL"/>
        </w:rPr>
      </w:pPr>
    </w:p>
    <w:p w14:paraId="1FDD1C2B" w14:textId="77777777" w:rsidR="00094D21" w:rsidRPr="008F328C" w:rsidRDefault="00094D21" w:rsidP="00094D21">
      <w:pPr>
        <w:pStyle w:val="a3"/>
        <w:rPr>
          <w:lang w:val="pl-PL"/>
        </w:rPr>
      </w:pPr>
      <w:r w:rsidRPr="008F328C">
        <w:rPr>
          <w:rFonts w:eastAsia="Times New Roman"/>
          <w:lang w:val="pl-PL"/>
        </w:rPr>
        <w:t>Substancja czynna leku Yuflyma, adalimumab, jest ludzkim przeciwciałem monoklonalnym. Przeciwciała monoklonalne są białkami, które wiążą się ze swoistym celem.</w:t>
      </w:r>
    </w:p>
    <w:p w14:paraId="008E55BF" w14:textId="77777777" w:rsidR="00094D21" w:rsidRPr="008F328C" w:rsidRDefault="00094D21" w:rsidP="00094D21">
      <w:pPr>
        <w:spacing w:before="16" w:line="240" w:lineRule="exact"/>
        <w:rPr>
          <w:rFonts w:ascii="Times New Roman" w:hAnsi="Times New Roman" w:cs="Times New Roman"/>
          <w:sz w:val="24"/>
          <w:szCs w:val="24"/>
          <w:lang w:val="pl-PL"/>
        </w:rPr>
      </w:pPr>
    </w:p>
    <w:p w14:paraId="6F7C35BC" w14:textId="77777777" w:rsidR="00094D21" w:rsidRPr="008F328C" w:rsidRDefault="00094D21" w:rsidP="00094D21">
      <w:pPr>
        <w:pStyle w:val="a3"/>
        <w:rPr>
          <w:lang w:val="pl-PL"/>
        </w:rPr>
      </w:pPr>
      <w:r w:rsidRPr="008F328C">
        <w:rPr>
          <w:rFonts w:eastAsia="Times New Roman"/>
          <w:lang w:val="pl-PL"/>
        </w:rPr>
        <w:t xml:space="preserve">Celem adalimumabu jest białko nazywane czynnikiem martwicy nowotworów (TNFα), które uczestniczy w układzie immunologicznym (obronnym) i występuje na zwiększonym poziomie w chorobach zapalnych </w:t>
      </w:r>
      <w:r w:rsidRPr="008F328C">
        <w:rPr>
          <w:rFonts w:eastAsia="Times New Roman"/>
          <w:lang w:val="pl-PL"/>
        </w:rPr>
        <w:lastRenderedPageBreak/>
        <w:t>wymienionych powyżej. Dzięki połączeniu z TNFα, Yuflyma zmniejsza proces zapalny w tych chorobach.</w:t>
      </w:r>
    </w:p>
    <w:p w14:paraId="0B2653BB" w14:textId="77777777" w:rsidR="00094D21" w:rsidRPr="008F328C" w:rsidRDefault="00094D21" w:rsidP="00094D21">
      <w:pPr>
        <w:pStyle w:val="a3"/>
        <w:rPr>
          <w:lang w:val="pl-PL"/>
        </w:rPr>
      </w:pPr>
    </w:p>
    <w:p w14:paraId="5866D146" w14:textId="77777777" w:rsidR="00094D21" w:rsidRPr="008F328C" w:rsidRDefault="00094D21" w:rsidP="00094D21">
      <w:pPr>
        <w:pStyle w:val="a3"/>
        <w:rPr>
          <w:b/>
          <w:lang w:val="pl-PL"/>
        </w:rPr>
      </w:pPr>
      <w:r w:rsidRPr="008F328C">
        <w:rPr>
          <w:rFonts w:eastAsia="Times New Roman"/>
          <w:b/>
          <w:bCs/>
          <w:lang w:val="pl-PL"/>
        </w:rPr>
        <w:t>Reumatoidalne zapalenie stawów (RZS)</w:t>
      </w:r>
    </w:p>
    <w:p w14:paraId="7B7747F0" w14:textId="77777777" w:rsidR="00094D21" w:rsidRPr="008F328C" w:rsidRDefault="00094D21" w:rsidP="00094D21">
      <w:pPr>
        <w:pStyle w:val="a3"/>
        <w:rPr>
          <w:u w:val="single"/>
          <w:lang w:val="pl-PL"/>
        </w:rPr>
      </w:pPr>
    </w:p>
    <w:p w14:paraId="2A0FB667" w14:textId="77777777" w:rsidR="00094D21" w:rsidRPr="008F328C" w:rsidRDefault="00094D21" w:rsidP="00094D21">
      <w:pPr>
        <w:pStyle w:val="a3"/>
        <w:rPr>
          <w:lang w:val="pl-PL"/>
        </w:rPr>
      </w:pPr>
      <w:r w:rsidRPr="008F328C">
        <w:rPr>
          <w:rFonts w:eastAsia="Times New Roman"/>
          <w:lang w:val="pl-PL"/>
        </w:rPr>
        <w:t>Reumatoidalne zapalenie stawów jest chorobą zapalną stawów.</w:t>
      </w:r>
    </w:p>
    <w:p w14:paraId="37D55CC5" w14:textId="77777777" w:rsidR="00094D21" w:rsidRPr="008F328C" w:rsidRDefault="00094D21" w:rsidP="00094D21">
      <w:pPr>
        <w:spacing w:before="11" w:line="240" w:lineRule="exact"/>
        <w:rPr>
          <w:rFonts w:ascii="Times New Roman" w:hAnsi="Times New Roman" w:cs="Times New Roman"/>
          <w:sz w:val="24"/>
          <w:szCs w:val="24"/>
          <w:lang w:val="pl-PL"/>
        </w:rPr>
      </w:pPr>
    </w:p>
    <w:p w14:paraId="0F54B2C2" w14:textId="77777777" w:rsidR="00094D21" w:rsidRPr="008F328C" w:rsidRDefault="00094D21" w:rsidP="00094D21">
      <w:pPr>
        <w:pStyle w:val="a3"/>
        <w:rPr>
          <w:lang w:val="pl-PL"/>
        </w:rPr>
      </w:pPr>
      <w:r w:rsidRPr="008F328C">
        <w:rPr>
          <w:rFonts w:eastAsia="Times New Roman"/>
          <w:lang w:val="pl-PL"/>
        </w:rPr>
        <w:t>Lek Yuflyma jest stosowany w leczeniu reumatoidalnego zapalenia stawów o nasileniu umiarkowanym do ciężkiego u dorosłych. Pacjent może najpierw otrzymywać inne leki modyfikujące przebieg choroby, takie jak metotreksat. W razie braku zadowalającej odpowiedzi na te leki, pacjent otrzyma lek Yuflyma.</w:t>
      </w:r>
    </w:p>
    <w:p w14:paraId="3F5A7100" w14:textId="77777777" w:rsidR="00094D21" w:rsidRPr="008F328C" w:rsidRDefault="00094D21" w:rsidP="00094D21">
      <w:pPr>
        <w:spacing w:before="17" w:line="240" w:lineRule="exact"/>
        <w:rPr>
          <w:rFonts w:ascii="Times New Roman" w:hAnsi="Times New Roman" w:cs="Times New Roman"/>
          <w:sz w:val="24"/>
          <w:szCs w:val="24"/>
          <w:lang w:val="pl-PL"/>
        </w:rPr>
      </w:pPr>
    </w:p>
    <w:p w14:paraId="0BADF381" w14:textId="77777777" w:rsidR="00094D21" w:rsidRPr="008F328C" w:rsidRDefault="00094D21" w:rsidP="00094D21">
      <w:pPr>
        <w:pStyle w:val="a3"/>
        <w:rPr>
          <w:lang w:val="pl-PL"/>
        </w:rPr>
      </w:pPr>
      <w:r w:rsidRPr="008F328C">
        <w:rPr>
          <w:rFonts w:eastAsia="Times New Roman"/>
          <w:lang w:val="pl-PL"/>
        </w:rPr>
        <w:t>Lek Yuflyma można również stosować w leczeniu ciężkiego, czynnego i postępującego reumatoidalnego zapalenia stawów bez uprzedniego leczenia metotreksatem.</w:t>
      </w:r>
    </w:p>
    <w:p w14:paraId="2B6361EC" w14:textId="77777777" w:rsidR="00094D21" w:rsidRPr="008F328C" w:rsidRDefault="00094D21" w:rsidP="00094D21">
      <w:pPr>
        <w:spacing w:before="11" w:line="240" w:lineRule="exact"/>
        <w:rPr>
          <w:rFonts w:ascii="Times New Roman" w:hAnsi="Times New Roman" w:cs="Times New Roman"/>
          <w:sz w:val="24"/>
          <w:szCs w:val="24"/>
          <w:lang w:val="pl-PL"/>
        </w:rPr>
      </w:pPr>
    </w:p>
    <w:p w14:paraId="1EB06E35" w14:textId="77777777" w:rsidR="00094D21" w:rsidRPr="008F328C" w:rsidRDefault="00094D21" w:rsidP="00094D21">
      <w:pPr>
        <w:pStyle w:val="a3"/>
        <w:rPr>
          <w:lang w:val="pl-PL"/>
        </w:rPr>
      </w:pPr>
      <w:r w:rsidRPr="008F328C">
        <w:rPr>
          <w:rFonts w:eastAsia="Times New Roman"/>
          <w:lang w:val="pl-PL"/>
        </w:rPr>
        <w:t>Lek Yuflyma może spowalniać postęp uszkodzenia stawów spowodowany przez chorobę zapalną i pomóc zwiększyć ruchomość stawów.</w:t>
      </w:r>
    </w:p>
    <w:p w14:paraId="7180A810" w14:textId="77777777" w:rsidR="00094D21" w:rsidRPr="008F328C" w:rsidRDefault="00094D21" w:rsidP="00094D21">
      <w:pPr>
        <w:spacing w:before="10" w:line="240" w:lineRule="exact"/>
        <w:rPr>
          <w:rFonts w:ascii="Times New Roman" w:hAnsi="Times New Roman" w:cs="Times New Roman"/>
          <w:sz w:val="24"/>
          <w:szCs w:val="24"/>
          <w:lang w:val="pl-PL"/>
        </w:rPr>
      </w:pPr>
    </w:p>
    <w:p w14:paraId="6FBC7295" w14:textId="77777777" w:rsidR="00094D21" w:rsidRPr="008F328C" w:rsidRDefault="00094D21" w:rsidP="00094D21">
      <w:pPr>
        <w:pStyle w:val="a3"/>
        <w:rPr>
          <w:lang w:val="pl-PL"/>
        </w:rPr>
      </w:pPr>
      <w:r w:rsidRPr="008F328C">
        <w:rPr>
          <w:rFonts w:eastAsia="Times New Roman"/>
          <w:lang w:val="pl-PL"/>
        </w:rPr>
        <w:t>Lekarz zdecyduje, czy lek Yuflyma należy stosować z metotreksatem czy bez metotreksatu.</w:t>
      </w:r>
    </w:p>
    <w:p w14:paraId="6BF07ECB" w14:textId="77777777" w:rsidR="00094D21" w:rsidRPr="008F328C" w:rsidRDefault="00094D21" w:rsidP="00094D21">
      <w:pPr>
        <w:pStyle w:val="a3"/>
        <w:rPr>
          <w:b/>
          <w:lang w:val="pl-PL"/>
        </w:rPr>
      </w:pPr>
    </w:p>
    <w:p w14:paraId="043D266A" w14:textId="77777777" w:rsidR="00094D21" w:rsidRPr="008F328C" w:rsidRDefault="00094D21" w:rsidP="00094D21">
      <w:pPr>
        <w:pStyle w:val="a3"/>
        <w:rPr>
          <w:b/>
          <w:lang w:val="pl-PL"/>
        </w:rPr>
      </w:pPr>
      <w:r w:rsidRPr="008F328C">
        <w:rPr>
          <w:rFonts w:eastAsia="Times New Roman"/>
          <w:b/>
          <w:bCs/>
          <w:lang w:val="pl-PL"/>
        </w:rPr>
        <w:t>Łuszczyca zwyczajna (plackowata)</w:t>
      </w:r>
    </w:p>
    <w:p w14:paraId="38F75CF1" w14:textId="77777777" w:rsidR="00094D21" w:rsidRPr="008F328C" w:rsidRDefault="00094D21" w:rsidP="00094D21">
      <w:pPr>
        <w:spacing w:before="9" w:line="240" w:lineRule="exact"/>
        <w:rPr>
          <w:rFonts w:ascii="Times New Roman" w:hAnsi="Times New Roman" w:cs="Times New Roman"/>
          <w:sz w:val="24"/>
          <w:szCs w:val="24"/>
          <w:lang w:val="pl-PL"/>
        </w:rPr>
      </w:pPr>
    </w:p>
    <w:p w14:paraId="04B55861" w14:textId="77777777" w:rsidR="00094D21" w:rsidRPr="008F328C" w:rsidRDefault="00094D21" w:rsidP="00094D21">
      <w:pPr>
        <w:pStyle w:val="a3"/>
        <w:rPr>
          <w:lang w:val="pl-PL"/>
        </w:rPr>
      </w:pPr>
      <w:r w:rsidRPr="008F328C">
        <w:rPr>
          <w:rFonts w:eastAsia="Times New Roman"/>
          <w:lang w:val="pl-PL"/>
        </w:rPr>
        <w:t>Łuszczyca zwyczajna (plackowata) jest chorobą skóry, która powoduje czerwone, złuszczające się zmiany skórne z tworzeniem strupów, pokryte srebrzystą łuską. Zmiany łuszczycowe mogą również występować na paznokciach, powodując ich kruszenie, zgrubienie i oddzielanie się płytki paznokciowej od łożyska paznokcia, co może być bolesne.</w:t>
      </w:r>
    </w:p>
    <w:p w14:paraId="3C0C3803" w14:textId="77777777" w:rsidR="00094D21" w:rsidRPr="008F328C" w:rsidRDefault="00094D21" w:rsidP="00094D21">
      <w:pPr>
        <w:spacing w:before="13" w:line="240" w:lineRule="exact"/>
        <w:rPr>
          <w:rFonts w:ascii="Times New Roman" w:hAnsi="Times New Roman" w:cs="Times New Roman"/>
          <w:sz w:val="24"/>
          <w:szCs w:val="24"/>
          <w:lang w:val="pl-PL"/>
        </w:rPr>
      </w:pPr>
    </w:p>
    <w:p w14:paraId="59F83EBF" w14:textId="225C55FE" w:rsidR="00094D21" w:rsidRPr="008F328C" w:rsidRDefault="00094D21" w:rsidP="008E70FE">
      <w:pPr>
        <w:pStyle w:val="a3"/>
        <w:rPr>
          <w:lang w:val="pl-PL"/>
        </w:rPr>
      </w:pPr>
      <w:r w:rsidRPr="008F328C">
        <w:rPr>
          <w:rFonts w:eastAsia="Times New Roman"/>
          <w:lang w:val="pl-PL"/>
        </w:rPr>
        <w:t>Lek Yuflyma jest stosowany w leczeniu przewlekłej łuszczycy zwyczajnej (plackowatej) o nasileniu umiarkowanym do ciężkiego u dorosłych</w:t>
      </w:r>
      <w:r w:rsidR="00347CF2" w:rsidRPr="008F328C">
        <w:rPr>
          <w:rFonts w:eastAsia="Times New Roman"/>
          <w:lang w:val="pl-PL"/>
        </w:rPr>
        <w:t>.</w:t>
      </w:r>
    </w:p>
    <w:p w14:paraId="4D85FD56" w14:textId="77777777" w:rsidR="00094D21" w:rsidRPr="008F328C" w:rsidRDefault="00094D21" w:rsidP="00094D21">
      <w:pPr>
        <w:spacing w:before="15" w:line="240" w:lineRule="exact"/>
        <w:rPr>
          <w:rFonts w:ascii="Times New Roman" w:hAnsi="Times New Roman" w:cs="Times New Roman"/>
          <w:sz w:val="24"/>
          <w:szCs w:val="24"/>
          <w:lang w:val="pl-PL"/>
        </w:rPr>
      </w:pPr>
    </w:p>
    <w:p w14:paraId="2854A64F" w14:textId="77777777" w:rsidR="00094D21" w:rsidRPr="008F328C" w:rsidRDefault="00094D21" w:rsidP="00094D21">
      <w:pPr>
        <w:pStyle w:val="a3"/>
        <w:rPr>
          <w:b/>
          <w:lang w:val="pl-PL"/>
        </w:rPr>
      </w:pPr>
      <w:r w:rsidRPr="008F328C">
        <w:rPr>
          <w:rFonts w:eastAsia="Times New Roman"/>
          <w:b/>
          <w:bCs/>
          <w:i/>
          <w:iCs/>
          <w:lang w:val="pl-PL"/>
        </w:rPr>
        <w:t>Ropne zapalenie apokrynowych gruczołów potowych</w:t>
      </w:r>
    </w:p>
    <w:p w14:paraId="527CE4E9" w14:textId="77777777" w:rsidR="00094D21" w:rsidRPr="008F328C" w:rsidRDefault="00094D21" w:rsidP="00094D21">
      <w:pPr>
        <w:spacing w:before="9" w:line="240" w:lineRule="exact"/>
        <w:rPr>
          <w:rFonts w:ascii="Times New Roman" w:hAnsi="Times New Roman" w:cs="Times New Roman"/>
          <w:sz w:val="24"/>
          <w:szCs w:val="24"/>
          <w:lang w:val="pl-PL"/>
        </w:rPr>
      </w:pPr>
    </w:p>
    <w:p w14:paraId="1C66B209" w14:textId="77777777" w:rsidR="00094D21" w:rsidRPr="008F328C" w:rsidRDefault="00094D21" w:rsidP="00094D21">
      <w:pPr>
        <w:pStyle w:val="a3"/>
        <w:rPr>
          <w:lang w:val="pl-PL"/>
        </w:rPr>
      </w:pPr>
      <w:r w:rsidRPr="008F328C">
        <w:rPr>
          <w:rFonts w:eastAsia="Times New Roman"/>
          <w:lang w:val="pl-PL"/>
        </w:rPr>
        <w:t>Ropne zapalenie apokrynowych gruczołów potowych (niekiedy nazywane trądzikiem odwróconym) jest przewlekłą i często bolesną zapalną chorobą skóry. Objawami mogą być tkliwe guzki i ropnie, z których może wyciekać ropa. Zmiany najczęściej występują na określonych obszarach skóry, takich jak w fałdach podpiersiowych, w pachach, na wewnętrznych powierzchniach ud, w pachwinach i na pośladkach. W zmienionych chorobowo obszarach skóry może również dojść do powstawania blizn.</w:t>
      </w:r>
    </w:p>
    <w:p w14:paraId="2AC8D29F" w14:textId="77777777" w:rsidR="00094D21" w:rsidRPr="008F328C" w:rsidRDefault="00094D21" w:rsidP="00094D21">
      <w:pPr>
        <w:spacing w:before="13" w:line="240" w:lineRule="exact"/>
        <w:rPr>
          <w:rFonts w:ascii="Times New Roman" w:hAnsi="Times New Roman" w:cs="Times New Roman"/>
          <w:sz w:val="24"/>
          <w:szCs w:val="24"/>
          <w:lang w:val="pl-PL"/>
        </w:rPr>
      </w:pPr>
    </w:p>
    <w:p w14:paraId="7544DEF2" w14:textId="77777777" w:rsidR="00094D21" w:rsidRPr="008F328C" w:rsidRDefault="00094D21" w:rsidP="00094D21">
      <w:pPr>
        <w:pStyle w:val="a3"/>
        <w:rPr>
          <w:lang w:val="pl-PL"/>
        </w:rPr>
      </w:pPr>
      <w:r w:rsidRPr="008F328C">
        <w:rPr>
          <w:rFonts w:eastAsia="Times New Roman"/>
          <w:lang w:val="pl-PL"/>
        </w:rPr>
        <w:t xml:space="preserve">Lek Yuflyma jest stosowany w leczeniu </w:t>
      </w:r>
    </w:p>
    <w:p w14:paraId="6E29EB2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dorosłych oraz</w:t>
      </w:r>
    </w:p>
    <w:p w14:paraId="592F90D5"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ropnego zapalenia apokrynowych gruczołów potowych o nasileniu umiarkowanym do ciężkiego u młodzieży w wieku od 12 do 17 lat.</w:t>
      </w:r>
    </w:p>
    <w:p w14:paraId="10D42ED9" w14:textId="77777777" w:rsidR="00094D21" w:rsidRPr="008F328C" w:rsidRDefault="00094D21" w:rsidP="00094D21">
      <w:pPr>
        <w:spacing w:before="10" w:line="240" w:lineRule="exact"/>
        <w:rPr>
          <w:rFonts w:ascii="Times New Roman" w:hAnsi="Times New Roman" w:cs="Times New Roman"/>
          <w:sz w:val="24"/>
          <w:szCs w:val="24"/>
          <w:lang w:val="pl-PL"/>
        </w:rPr>
      </w:pPr>
    </w:p>
    <w:p w14:paraId="3715EAC9" w14:textId="43CF44A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5EDD0473" w14:textId="77777777" w:rsidR="00094D21" w:rsidRPr="008F328C" w:rsidRDefault="00094D21" w:rsidP="00094D21">
      <w:pPr>
        <w:spacing w:before="18" w:line="240" w:lineRule="exact"/>
        <w:rPr>
          <w:rFonts w:ascii="Times New Roman" w:hAnsi="Times New Roman" w:cs="Times New Roman"/>
          <w:sz w:val="24"/>
          <w:szCs w:val="24"/>
          <w:lang w:val="pl-PL"/>
        </w:rPr>
      </w:pPr>
    </w:p>
    <w:p w14:paraId="60008B0A" w14:textId="77777777" w:rsidR="00094D21" w:rsidRPr="008F328C" w:rsidRDefault="00094D21" w:rsidP="00094D21">
      <w:pPr>
        <w:pStyle w:val="a3"/>
        <w:rPr>
          <w:b/>
          <w:lang w:val="pl-PL"/>
        </w:rPr>
      </w:pPr>
      <w:r w:rsidRPr="008F328C">
        <w:rPr>
          <w:rFonts w:eastAsia="Times New Roman"/>
          <w:b/>
          <w:bCs/>
          <w:lang w:val="pl-PL"/>
        </w:rPr>
        <w:t>Choroba Leśniowskiego-Crohna</w:t>
      </w:r>
    </w:p>
    <w:p w14:paraId="0FE2E19E" w14:textId="77777777" w:rsidR="00094D21" w:rsidRPr="008F328C" w:rsidRDefault="00094D21" w:rsidP="00094D21">
      <w:pPr>
        <w:pStyle w:val="a3"/>
        <w:rPr>
          <w:u w:val="single"/>
          <w:lang w:val="pl-PL"/>
        </w:rPr>
      </w:pPr>
    </w:p>
    <w:p w14:paraId="0DF61BDB" w14:textId="77777777" w:rsidR="00094D21" w:rsidRPr="008F328C" w:rsidRDefault="00094D21" w:rsidP="00094D21">
      <w:pPr>
        <w:pStyle w:val="a3"/>
        <w:rPr>
          <w:lang w:val="pl-PL"/>
        </w:rPr>
      </w:pPr>
      <w:r w:rsidRPr="008F328C">
        <w:rPr>
          <w:rFonts w:eastAsia="Times New Roman"/>
          <w:lang w:val="pl-PL"/>
        </w:rPr>
        <w:t xml:space="preserve">Choroba Leśniowskiego-Crohna jest chorobą zapalną przewodu pokarmowego. Lek Yuflyma jest stosowany w leczeniu </w:t>
      </w:r>
    </w:p>
    <w:p w14:paraId="35974F8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choroby Leśniowskiego-Crohna o nasileniu umiarkowanym do ciężkiego u dorosłych oraz</w:t>
      </w:r>
    </w:p>
    <w:p w14:paraId="08D336B4"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choroby Leśniowskiego-Crohna o nasileniu umiarkowanym do ciężkiego u dzieci i młodzieży w wieku od 6 do 17 lat.</w:t>
      </w:r>
    </w:p>
    <w:p w14:paraId="29E65B81" w14:textId="77777777" w:rsidR="00094D21" w:rsidRPr="008F328C" w:rsidRDefault="00094D21" w:rsidP="00094D21">
      <w:pPr>
        <w:spacing w:before="16" w:line="240" w:lineRule="exact"/>
        <w:rPr>
          <w:rFonts w:ascii="Times New Roman" w:hAnsi="Times New Roman" w:cs="Times New Roman"/>
          <w:sz w:val="24"/>
          <w:szCs w:val="24"/>
          <w:lang w:val="pl-PL"/>
        </w:rPr>
      </w:pPr>
    </w:p>
    <w:p w14:paraId="05511B9D"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139D0EE9" w14:textId="77777777" w:rsidR="00094D21" w:rsidRPr="008F328C" w:rsidRDefault="00094D21" w:rsidP="00094D21">
      <w:pPr>
        <w:spacing w:before="15" w:line="240" w:lineRule="exact"/>
        <w:rPr>
          <w:rFonts w:ascii="Times New Roman" w:hAnsi="Times New Roman" w:cs="Times New Roman"/>
          <w:sz w:val="24"/>
          <w:szCs w:val="24"/>
          <w:lang w:val="pl-PL"/>
        </w:rPr>
      </w:pPr>
    </w:p>
    <w:p w14:paraId="0B51AEF4" w14:textId="77777777" w:rsidR="00094D21" w:rsidRPr="008F328C" w:rsidRDefault="00094D21" w:rsidP="00094D21">
      <w:pPr>
        <w:pStyle w:val="a3"/>
        <w:rPr>
          <w:b/>
          <w:lang w:val="pl-PL"/>
        </w:rPr>
      </w:pPr>
      <w:r w:rsidRPr="008F328C">
        <w:rPr>
          <w:rFonts w:eastAsia="Times New Roman"/>
          <w:b/>
          <w:bCs/>
          <w:lang w:val="pl-PL"/>
        </w:rPr>
        <w:t>Wrzodziejące zapalenie jelita grubego (WZJG)</w:t>
      </w:r>
    </w:p>
    <w:p w14:paraId="57B183DB" w14:textId="77777777" w:rsidR="00094D21" w:rsidRPr="008F328C" w:rsidRDefault="00094D21" w:rsidP="00094D21">
      <w:pPr>
        <w:pStyle w:val="a3"/>
        <w:rPr>
          <w:b/>
          <w:lang w:val="pl-PL"/>
        </w:rPr>
      </w:pPr>
    </w:p>
    <w:p w14:paraId="501C51C2" w14:textId="77777777" w:rsidR="00094D21" w:rsidRPr="008F328C" w:rsidRDefault="00094D21" w:rsidP="00094D21">
      <w:pPr>
        <w:pStyle w:val="a3"/>
        <w:rPr>
          <w:lang w:val="pl-PL"/>
        </w:rPr>
      </w:pPr>
      <w:r w:rsidRPr="008F328C">
        <w:rPr>
          <w:rFonts w:eastAsia="Times New Roman"/>
          <w:lang w:val="pl-PL"/>
        </w:rPr>
        <w:t>Wrzodziejące zapalenie jelita grubego jest chorobą zapalną jelita grubego.</w:t>
      </w:r>
    </w:p>
    <w:p w14:paraId="69795A36" w14:textId="77777777" w:rsidR="00094D21" w:rsidRPr="008F328C" w:rsidRDefault="00094D21" w:rsidP="00094D21">
      <w:pPr>
        <w:spacing w:before="17" w:line="240" w:lineRule="exact"/>
        <w:rPr>
          <w:rFonts w:ascii="Times New Roman" w:hAnsi="Times New Roman" w:cs="Times New Roman"/>
          <w:sz w:val="24"/>
          <w:szCs w:val="24"/>
          <w:lang w:val="pl-PL"/>
        </w:rPr>
      </w:pPr>
    </w:p>
    <w:p w14:paraId="6F86C88B" w14:textId="77777777" w:rsidR="00094D21" w:rsidRPr="008F328C" w:rsidRDefault="00094D21" w:rsidP="00094D21">
      <w:pPr>
        <w:pStyle w:val="a3"/>
        <w:rPr>
          <w:rFonts w:eastAsia="Times New Roman"/>
          <w:lang w:val="pl-PL"/>
        </w:rPr>
      </w:pPr>
      <w:r w:rsidRPr="008F328C">
        <w:rPr>
          <w:rFonts w:eastAsia="Times New Roman"/>
          <w:lang w:val="pl-PL"/>
        </w:rPr>
        <w:t xml:space="preserve">Lek Yuflyma jest stosowany w leczeniu </w:t>
      </w:r>
    </w:p>
    <w:p w14:paraId="20C87129" w14:textId="77777777" w:rsidR="00094D21" w:rsidRPr="008F328C" w:rsidRDefault="00094D21" w:rsidP="00094D21">
      <w:pPr>
        <w:widowControl/>
        <w:numPr>
          <w:ilvl w:val="0"/>
          <w:numId w:val="114"/>
        </w:numPr>
        <w:tabs>
          <w:tab w:val="left" w:pos="562"/>
        </w:tabs>
        <w:suppressAutoHyphens/>
        <w:ind w:left="567" w:hanging="567"/>
        <w:rPr>
          <w:rFonts w:ascii="Times New Roman" w:hAnsi="Times New Roman" w:cs="Times New Roman"/>
          <w:lang w:val="pl-PL"/>
        </w:rPr>
      </w:pPr>
      <w:r w:rsidRPr="008F328C">
        <w:rPr>
          <w:rFonts w:ascii="Times New Roman" w:eastAsia="Times New Roman" w:hAnsi="Times New Roman" w:cs="Times New Roman"/>
          <w:lang w:val="pl-PL"/>
        </w:rPr>
        <w:t xml:space="preserve">wrzodziejącego zapalenia jelita grubego o nasileniu umiarkowanym do ciężkiego u dorosłych </w:t>
      </w:r>
      <w:r w:rsidRPr="008F328C">
        <w:rPr>
          <w:rFonts w:ascii="Times New Roman" w:hAnsi="Times New Roman" w:cs="Times New Roman"/>
          <w:lang w:val="pl-PL"/>
        </w:rPr>
        <w:t>oraz</w:t>
      </w:r>
    </w:p>
    <w:p w14:paraId="44AA04B1" w14:textId="77777777" w:rsidR="00094D21" w:rsidRPr="008F328C" w:rsidRDefault="00094D21" w:rsidP="00094D21">
      <w:pPr>
        <w:pStyle w:val="a4"/>
        <w:widowControl/>
        <w:numPr>
          <w:ilvl w:val="0"/>
          <w:numId w:val="114"/>
        </w:numPr>
        <w:tabs>
          <w:tab w:val="left" w:pos="562"/>
        </w:tabs>
        <w:suppressAutoHyphens/>
        <w:ind w:left="567" w:hanging="567"/>
        <w:rPr>
          <w:rFonts w:ascii="Times New Roman" w:eastAsia="Times New Roman" w:hAnsi="Times New Roman" w:cs="Times New Roman"/>
          <w:lang w:val="pl-PL"/>
        </w:rPr>
      </w:pPr>
      <w:r w:rsidRPr="008F328C">
        <w:rPr>
          <w:rFonts w:ascii="Times New Roman" w:hAnsi="Times New Roman" w:cs="Times New Roman"/>
          <w:lang w:val="pl-PL"/>
        </w:rPr>
        <w:t>wrzodziejącego zapalenia jelita grubego o nasileniu umiarkowanym do ciężkiego u dzieci i młodzieży w wieku od 6 do 17 lat.</w:t>
      </w:r>
      <w:r w:rsidRPr="008F328C">
        <w:rPr>
          <w:rFonts w:ascii="Times New Roman" w:eastAsia="Times New Roman" w:hAnsi="Times New Roman" w:cs="Times New Roman"/>
          <w:lang w:val="pl-PL"/>
        </w:rPr>
        <w:t xml:space="preserve">  </w:t>
      </w:r>
    </w:p>
    <w:p w14:paraId="4982C920" w14:textId="77777777" w:rsidR="00094D21" w:rsidRPr="008F328C" w:rsidRDefault="00094D21" w:rsidP="00094D21">
      <w:pPr>
        <w:pStyle w:val="a3"/>
        <w:rPr>
          <w:rFonts w:eastAsia="Times New Roman"/>
          <w:lang w:val="pl-PL"/>
        </w:rPr>
      </w:pPr>
    </w:p>
    <w:p w14:paraId="396AADC3"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4C98E336" w14:textId="77777777" w:rsidR="00094D21" w:rsidRPr="008F328C" w:rsidRDefault="00094D21" w:rsidP="00094D21">
      <w:pPr>
        <w:spacing w:before="15" w:line="240" w:lineRule="exact"/>
        <w:rPr>
          <w:rFonts w:ascii="Times New Roman" w:hAnsi="Times New Roman" w:cs="Times New Roman"/>
          <w:sz w:val="24"/>
          <w:szCs w:val="24"/>
          <w:lang w:val="pl-PL"/>
        </w:rPr>
      </w:pPr>
    </w:p>
    <w:p w14:paraId="20517280" w14:textId="77777777" w:rsidR="00094D21" w:rsidRPr="008F328C" w:rsidRDefault="00094D21" w:rsidP="00094D21">
      <w:pPr>
        <w:pStyle w:val="a3"/>
        <w:rPr>
          <w:b/>
          <w:lang w:val="pl-PL"/>
        </w:rPr>
      </w:pPr>
      <w:r w:rsidRPr="008F328C">
        <w:rPr>
          <w:rFonts w:eastAsia="Times New Roman"/>
          <w:b/>
          <w:bCs/>
          <w:lang w:val="pl-PL"/>
        </w:rPr>
        <w:t>Nieinfekcyjne zapalenie błony naczyniowej oka</w:t>
      </w:r>
    </w:p>
    <w:p w14:paraId="6FA250D8" w14:textId="77777777" w:rsidR="00094D21" w:rsidRPr="008F328C" w:rsidRDefault="00094D21" w:rsidP="00094D21">
      <w:pPr>
        <w:pStyle w:val="a3"/>
        <w:rPr>
          <w:lang w:val="pl-PL"/>
        </w:rPr>
      </w:pPr>
    </w:p>
    <w:p w14:paraId="41045F16" w14:textId="77777777" w:rsidR="00094D21" w:rsidRPr="008F328C" w:rsidRDefault="00094D21" w:rsidP="00094D21">
      <w:pPr>
        <w:pStyle w:val="a3"/>
        <w:rPr>
          <w:lang w:val="pl-PL"/>
        </w:rPr>
      </w:pPr>
      <w:r w:rsidRPr="008F328C">
        <w:rPr>
          <w:rFonts w:eastAsia="Times New Roman"/>
          <w:lang w:val="pl-PL"/>
        </w:rPr>
        <w:t xml:space="preserve">Nieinfekcyjne zapalenie błony naczyniowej oka jest chorobą zapalną pewnych części gałki ocznej. Lek Yuflyma jest stosowany w leczeniu </w:t>
      </w:r>
    </w:p>
    <w:p w14:paraId="5FC0A921"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dorosłych z nieinfekcyjnym zapaleniem błony naczyniowej oka – zapaleniem w tylnej części gałki ocznej.</w:t>
      </w:r>
    </w:p>
    <w:p w14:paraId="7D25448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dzieci i młodzieży w wieku od 2 lat z przewlekłym nieinfekcyjnym zapaleniem błony naczyniowej oka – zapaleniem w przedniej części gałki ocznej.</w:t>
      </w:r>
    </w:p>
    <w:p w14:paraId="19C304AD" w14:textId="77777777" w:rsidR="00094D21" w:rsidRPr="008F328C" w:rsidRDefault="00094D21" w:rsidP="00094D21">
      <w:pPr>
        <w:pStyle w:val="a3"/>
        <w:rPr>
          <w:lang w:val="pl-PL"/>
        </w:rPr>
      </w:pPr>
    </w:p>
    <w:p w14:paraId="699730A5" w14:textId="77777777" w:rsidR="00094D21" w:rsidRPr="008F328C" w:rsidRDefault="00094D21" w:rsidP="00094D21">
      <w:pPr>
        <w:pStyle w:val="a3"/>
        <w:rPr>
          <w:lang w:val="pl-PL"/>
        </w:rPr>
      </w:pPr>
      <w:r w:rsidRPr="008F328C">
        <w:rPr>
          <w:rFonts w:eastAsia="Times New Roman"/>
          <w:lang w:val="pl-PL"/>
        </w:rPr>
        <w:t>To zapalenie może prowadzić do zmniejszenia ostrości widzenia i (lub) obecności zmętnień (mroczków) w oku (czarne punkciki lub nieregularne linie czy fragmenty pajęczyn przemieszczające się w polu widzenia). Lek Yuflyma działa zmniejszając ten stan zapalny.</w:t>
      </w:r>
    </w:p>
    <w:p w14:paraId="683214F0" w14:textId="77777777" w:rsidR="00094D21" w:rsidRPr="008F328C" w:rsidRDefault="00094D21" w:rsidP="00094D21">
      <w:pPr>
        <w:spacing w:before="10" w:line="240" w:lineRule="exact"/>
        <w:rPr>
          <w:rFonts w:ascii="Times New Roman" w:hAnsi="Times New Roman" w:cs="Times New Roman"/>
          <w:sz w:val="24"/>
          <w:szCs w:val="24"/>
          <w:lang w:val="pl-PL"/>
        </w:rPr>
      </w:pPr>
    </w:p>
    <w:p w14:paraId="645A23B6" w14:textId="77777777" w:rsidR="00094D21" w:rsidRPr="008F328C" w:rsidRDefault="00094D21" w:rsidP="00094D21">
      <w:pPr>
        <w:pStyle w:val="a3"/>
        <w:rPr>
          <w:lang w:val="pl-PL"/>
        </w:rPr>
      </w:pPr>
      <w:r w:rsidRPr="008F328C">
        <w:rPr>
          <w:rFonts w:eastAsia="Times New Roman"/>
          <w:lang w:val="pl-PL"/>
        </w:rPr>
        <w:t>Pacjent może najpierw otrzymywać inne leki. W razie braku zadowalającej odpowiedzi na te leki, pacjent otrzyma lek Yuflyma.</w:t>
      </w:r>
    </w:p>
    <w:p w14:paraId="63374CF0" w14:textId="63D02321" w:rsidR="00094D21" w:rsidRPr="008F328C" w:rsidRDefault="00094D21" w:rsidP="004142DA">
      <w:pPr>
        <w:spacing w:before="18" w:line="240" w:lineRule="exact"/>
        <w:rPr>
          <w:rFonts w:ascii="Times New Roman" w:hAnsi="Times New Roman" w:cs="Times New Roman"/>
          <w:b/>
          <w:lang w:val="pl-PL"/>
        </w:rPr>
      </w:pPr>
    </w:p>
    <w:p w14:paraId="42E08D78" w14:textId="77777777" w:rsidR="00CC4159" w:rsidRPr="008F328C" w:rsidRDefault="00CC4159" w:rsidP="004142DA">
      <w:pPr>
        <w:spacing w:before="18" w:line="240" w:lineRule="exact"/>
        <w:rPr>
          <w:rFonts w:ascii="Times New Roman" w:hAnsi="Times New Roman" w:cs="Times New Roman"/>
          <w:b/>
          <w:lang w:val="pl-PL"/>
        </w:rPr>
      </w:pPr>
    </w:p>
    <w:p w14:paraId="5B8F848D" w14:textId="77777777" w:rsidR="00094D21" w:rsidRPr="008F328C" w:rsidRDefault="00094D21" w:rsidP="00CC4159">
      <w:pPr>
        <w:pStyle w:val="a4"/>
        <w:numPr>
          <w:ilvl w:val="0"/>
          <w:numId w:val="128"/>
        </w:numPr>
        <w:spacing w:line="240" w:lineRule="exact"/>
        <w:rPr>
          <w:rFonts w:ascii="Times New Roman" w:hAnsi="Times New Roman" w:cs="Times New Roman"/>
          <w:lang w:val="pl-PL"/>
        </w:rPr>
      </w:pPr>
      <w:r w:rsidRPr="008F328C">
        <w:rPr>
          <w:rFonts w:ascii="Times New Roman" w:eastAsia="Times New Roman" w:hAnsi="Times New Roman" w:cs="Times New Roman"/>
          <w:b/>
          <w:bCs/>
          <w:lang w:val="pl-PL"/>
        </w:rPr>
        <w:t>Informacje ważne przed przyjęciem leku Yuflyma</w:t>
      </w:r>
      <w:r w:rsidRPr="008F328C">
        <w:rPr>
          <w:rFonts w:ascii="Times New Roman" w:eastAsia="Calibri" w:hAnsi="Times New Roman" w:cs="Times New Roman"/>
          <w:lang w:val="pl-PL"/>
        </w:rPr>
        <w:t xml:space="preserve"> </w:t>
      </w:r>
    </w:p>
    <w:p w14:paraId="2BDD0E9C" w14:textId="77777777" w:rsidR="00094D21" w:rsidRPr="008F328C" w:rsidRDefault="00094D21" w:rsidP="00094D21">
      <w:pPr>
        <w:spacing w:before="18" w:line="240" w:lineRule="exact"/>
        <w:ind w:left="108"/>
        <w:rPr>
          <w:rFonts w:ascii="Times New Roman" w:hAnsi="Times New Roman" w:cs="Times New Roman"/>
          <w:b/>
          <w:bCs/>
          <w:lang w:val="pl-PL"/>
        </w:rPr>
      </w:pPr>
    </w:p>
    <w:p w14:paraId="5A863409" w14:textId="77777777" w:rsidR="00094D21" w:rsidRPr="008F328C" w:rsidRDefault="00094D21" w:rsidP="00094D21">
      <w:pPr>
        <w:pStyle w:val="a3"/>
        <w:rPr>
          <w:b/>
          <w:lang w:val="pl-PL"/>
        </w:rPr>
      </w:pPr>
      <w:r w:rsidRPr="008F328C">
        <w:rPr>
          <w:rFonts w:eastAsia="Times New Roman"/>
          <w:b/>
          <w:bCs/>
          <w:lang w:val="pl-PL"/>
        </w:rPr>
        <w:t>Kiedy nie stosować leku Yuflyma:</w:t>
      </w:r>
    </w:p>
    <w:p w14:paraId="69873467" w14:textId="77777777" w:rsidR="00094D21" w:rsidRPr="008F328C" w:rsidRDefault="00094D21" w:rsidP="00094D21">
      <w:pPr>
        <w:pStyle w:val="a3"/>
        <w:rPr>
          <w:b/>
          <w:lang w:val="pl-PL"/>
        </w:rPr>
      </w:pPr>
    </w:p>
    <w:p w14:paraId="02F24C4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 ma uczulenia na adalimumab lub którykolwiek z pozostałych składników tego leku (wymienionych w punkcie 6).</w:t>
      </w:r>
    </w:p>
    <w:p w14:paraId="2465191C" w14:textId="77777777" w:rsidR="00094D21" w:rsidRPr="008F328C" w:rsidRDefault="00094D21" w:rsidP="00094D21">
      <w:pPr>
        <w:pStyle w:val="a3"/>
        <w:numPr>
          <w:ilvl w:val="0"/>
          <w:numId w:val="0"/>
        </w:numPr>
        <w:ind w:left="660"/>
        <w:rPr>
          <w:lang w:val="pl-PL"/>
        </w:rPr>
      </w:pPr>
    </w:p>
    <w:p w14:paraId="55810E6E"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czynna gruźlica lub inne ciężkie zakażenia (patrz „Ostrzeżenia i środki ostrożności”). Należy bezwzględnie poinformować lekarza, gdy u pacjenta występują objawy zakażenia, na przykład gorączka, zranienia, uczucie zmęczenia, kłopoty z zębami.</w:t>
      </w:r>
    </w:p>
    <w:p w14:paraId="531378D6" w14:textId="77777777" w:rsidR="00094D21" w:rsidRPr="008F328C" w:rsidRDefault="00094D21" w:rsidP="00094D21">
      <w:pPr>
        <w:pStyle w:val="a3"/>
        <w:numPr>
          <w:ilvl w:val="0"/>
          <w:numId w:val="0"/>
        </w:numPr>
        <w:ind w:left="660"/>
        <w:rPr>
          <w:lang w:val="pl-PL"/>
        </w:rPr>
      </w:pPr>
    </w:p>
    <w:p w14:paraId="2D0F92A5"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umiarkowana lub ciężka niewydolność serca. Należy bezwzględnie poinformować lekarza o poważnej chorobie serca w przeszłości lub obecnie (patrz „Ostrzeżenia i środki ostrożności”).</w:t>
      </w:r>
    </w:p>
    <w:p w14:paraId="497982CE" w14:textId="77777777" w:rsidR="00094D21" w:rsidRPr="008F328C" w:rsidRDefault="00094D21" w:rsidP="00094D21">
      <w:pPr>
        <w:spacing w:before="13" w:line="240" w:lineRule="exact"/>
        <w:rPr>
          <w:rFonts w:ascii="Times New Roman" w:hAnsi="Times New Roman" w:cs="Times New Roman"/>
          <w:sz w:val="24"/>
          <w:szCs w:val="24"/>
          <w:lang w:val="pl-PL"/>
        </w:rPr>
      </w:pPr>
    </w:p>
    <w:p w14:paraId="559C01E2" w14:textId="77777777" w:rsidR="00094D21" w:rsidRPr="008F328C" w:rsidRDefault="00094D21" w:rsidP="00094D21">
      <w:pPr>
        <w:pStyle w:val="a3"/>
        <w:rPr>
          <w:b/>
          <w:lang w:val="pl-PL"/>
        </w:rPr>
      </w:pPr>
      <w:r w:rsidRPr="008F328C">
        <w:rPr>
          <w:rFonts w:eastAsia="Times New Roman"/>
          <w:b/>
          <w:bCs/>
          <w:lang w:val="pl-PL"/>
        </w:rPr>
        <w:t>Ostrzeżenia i środki ostrożności</w:t>
      </w:r>
    </w:p>
    <w:p w14:paraId="5D012E44" w14:textId="77777777" w:rsidR="00094D21" w:rsidRPr="008F328C" w:rsidRDefault="00094D21" w:rsidP="00094D21">
      <w:pPr>
        <w:spacing w:before="9" w:line="240" w:lineRule="exact"/>
        <w:rPr>
          <w:rFonts w:ascii="Times New Roman" w:hAnsi="Times New Roman" w:cs="Times New Roman"/>
          <w:sz w:val="24"/>
          <w:szCs w:val="24"/>
          <w:lang w:val="pl-PL"/>
        </w:rPr>
      </w:pPr>
    </w:p>
    <w:p w14:paraId="1158C783" w14:textId="77777777" w:rsidR="00094D21" w:rsidRPr="008F328C" w:rsidRDefault="00094D21" w:rsidP="00094D21">
      <w:pPr>
        <w:pStyle w:val="a3"/>
        <w:rPr>
          <w:lang w:val="pl-PL"/>
        </w:rPr>
      </w:pPr>
      <w:r w:rsidRPr="008F328C">
        <w:rPr>
          <w:rFonts w:eastAsia="Times New Roman"/>
          <w:lang w:val="pl-PL"/>
        </w:rPr>
        <w:t>Przed rozpoczęciem stosowania leku Yuflyma należy omówić to z lekarzem lub farmaceutą.</w:t>
      </w:r>
    </w:p>
    <w:p w14:paraId="15EABA25" w14:textId="77777777" w:rsidR="00094D21" w:rsidRPr="008F328C" w:rsidRDefault="00094D21" w:rsidP="00094D21">
      <w:pPr>
        <w:pStyle w:val="a3"/>
        <w:rPr>
          <w:lang w:val="pl-PL"/>
        </w:rPr>
      </w:pPr>
    </w:p>
    <w:p w14:paraId="68F3D0D7" w14:textId="77777777" w:rsidR="00094D21" w:rsidRPr="008F328C" w:rsidRDefault="00094D21" w:rsidP="00094D21">
      <w:pPr>
        <w:pStyle w:val="a3"/>
        <w:rPr>
          <w:u w:val="single" w:color="000000"/>
          <w:lang w:val="pl-PL"/>
        </w:rPr>
      </w:pPr>
      <w:r w:rsidRPr="008F328C">
        <w:rPr>
          <w:rFonts w:eastAsia="Times New Roman"/>
          <w:u w:val="single" w:color="000000"/>
          <w:lang w:val="pl-PL"/>
        </w:rPr>
        <w:t>Reakcje alergiczne</w:t>
      </w:r>
    </w:p>
    <w:p w14:paraId="6C9FB92B" w14:textId="77777777" w:rsidR="00094D21" w:rsidRPr="008F328C" w:rsidRDefault="00094D21" w:rsidP="00094D21">
      <w:pPr>
        <w:pStyle w:val="a3"/>
        <w:rPr>
          <w:u w:val="single"/>
          <w:lang w:val="pl-PL"/>
        </w:rPr>
      </w:pPr>
    </w:p>
    <w:p w14:paraId="468FAA7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wystąpią reakcje alergiczne z takimi objawami, jak uczucie ucisku w klatce piersiowej, świszczący oddech, zawroty głowy, obrzęk lub wysypka należy przerwać wstrzykiwanie leku Yuflyma i natychmiast skontaktować się z lekarzem, ponieważ w rzadkich przypadkach takie reakcje mogą zagrażać życiu.</w:t>
      </w:r>
    </w:p>
    <w:p w14:paraId="108C97FE" w14:textId="77777777" w:rsidR="00094D21" w:rsidRPr="008F328C" w:rsidRDefault="00094D21" w:rsidP="00094D21">
      <w:pPr>
        <w:pStyle w:val="a3"/>
        <w:rPr>
          <w:b/>
          <w:lang w:val="pl-PL"/>
        </w:rPr>
      </w:pPr>
    </w:p>
    <w:p w14:paraId="7CAF942E" w14:textId="77777777" w:rsidR="00094D21" w:rsidRPr="008F328C" w:rsidRDefault="00094D21" w:rsidP="00094D21">
      <w:pPr>
        <w:pStyle w:val="a3"/>
        <w:rPr>
          <w:u w:val="single"/>
          <w:lang w:val="pl-PL"/>
        </w:rPr>
      </w:pPr>
      <w:r w:rsidRPr="008F328C">
        <w:rPr>
          <w:rFonts w:eastAsia="Times New Roman"/>
          <w:u w:val="single"/>
          <w:lang w:val="pl-PL"/>
        </w:rPr>
        <w:t>Zakażenia</w:t>
      </w:r>
    </w:p>
    <w:p w14:paraId="76D4AFA7" w14:textId="77777777" w:rsidR="00094D21" w:rsidRPr="008F328C" w:rsidRDefault="00094D21" w:rsidP="00094D21">
      <w:pPr>
        <w:pStyle w:val="a3"/>
        <w:rPr>
          <w:b/>
          <w:lang w:val="pl-PL"/>
        </w:rPr>
      </w:pPr>
    </w:p>
    <w:p w14:paraId="58639F1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zakażenie, w tym długotrwałe lub miejscowe zakażenie (na przykład owrzodzenie podudzia), przed rozpoczęciem stosowania leku Yuflyma należy poradzić się lekarza. W przypadku wątpliwości należy skontaktować się z lekarzem.</w:t>
      </w:r>
    </w:p>
    <w:p w14:paraId="00DC08B6" w14:textId="77777777" w:rsidR="00094D21" w:rsidRPr="008F328C" w:rsidRDefault="00094D21" w:rsidP="00094D21">
      <w:pPr>
        <w:pStyle w:val="a3"/>
        <w:rPr>
          <w:lang w:val="pl-PL"/>
        </w:rPr>
      </w:pPr>
    </w:p>
    <w:p w14:paraId="1446D42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Podczas stosowania leku Yuflyma może się zwiększyć podatność na zakażenia. Ryzyko zakażenia zwiększa się, jeśli pacjent ma problemy z płucami. Mogą to być poważne zakażenia, takie jak:</w:t>
      </w:r>
    </w:p>
    <w:p w14:paraId="7C46CD0A"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gruźlica</w:t>
      </w:r>
    </w:p>
    <w:p w14:paraId="4334E64A"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zakażenia spowodowane przez wirusy, grzyby, pasożyty lub bakterie</w:t>
      </w:r>
    </w:p>
    <w:p w14:paraId="5F738B75" w14:textId="77777777" w:rsidR="00094D21" w:rsidRPr="008F328C" w:rsidRDefault="00094D21" w:rsidP="00094D21">
      <w:pPr>
        <w:pStyle w:val="a3"/>
        <w:numPr>
          <w:ilvl w:val="1"/>
          <w:numId w:val="4"/>
        </w:numPr>
        <w:ind w:left="660" w:firstLine="49"/>
        <w:rPr>
          <w:lang w:val="pl-PL"/>
        </w:rPr>
      </w:pPr>
      <w:r w:rsidRPr="008F328C">
        <w:rPr>
          <w:rFonts w:eastAsia="Times New Roman"/>
          <w:lang w:val="pl-PL"/>
        </w:rPr>
        <w:t>ciężkie zakażenia krwi (posocznica)</w:t>
      </w:r>
    </w:p>
    <w:p w14:paraId="6EB9FAE4" w14:textId="77777777" w:rsidR="00094D21" w:rsidRPr="008F328C" w:rsidRDefault="00094D21" w:rsidP="00094D21">
      <w:pPr>
        <w:pStyle w:val="a3"/>
        <w:rPr>
          <w:lang w:val="pl-PL"/>
        </w:rPr>
      </w:pPr>
    </w:p>
    <w:p w14:paraId="6FDAF28A" w14:textId="77777777" w:rsidR="00094D21" w:rsidRPr="008F328C" w:rsidRDefault="00094D21" w:rsidP="00094D21">
      <w:pPr>
        <w:pStyle w:val="a3"/>
        <w:numPr>
          <w:ilvl w:val="0"/>
          <w:numId w:val="0"/>
        </w:numPr>
        <w:ind w:left="660"/>
        <w:rPr>
          <w:lang w:val="pl-PL"/>
        </w:rPr>
      </w:pPr>
      <w:r w:rsidRPr="008F328C">
        <w:rPr>
          <w:rFonts w:eastAsia="Times New Roman"/>
          <w:lang w:val="pl-PL"/>
        </w:rPr>
        <w:t>W rzadkich przypadkach takie zakażenia mogą zagrażać życiu. Należy koniecznie powiedzieć lekarzowi, jeśli u pacjenta wystąpią takie objawy jak gorączka, zranienia, uczucie zmęczenia lub kłopoty z zębami. Lekarz może zalecić czasowe przerwanie stosowania leku Yuflyma.</w:t>
      </w:r>
    </w:p>
    <w:p w14:paraId="3D977FC2" w14:textId="77777777" w:rsidR="00094D21" w:rsidRPr="008F328C" w:rsidRDefault="00094D21" w:rsidP="00094D21">
      <w:pPr>
        <w:pStyle w:val="a3"/>
        <w:rPr>
          <w:lang w:val="pl-PL"/>
        </w:rPr>
      </w:pPr>
    </w:p>
    <w:p w14:paraId="780D176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poinformować lekarza, jeśli pacjent mieszka lub podróżuje w regionach, gdzie bardzo często występują zakażenia grzybicze (na przykład histoplazmoza, kokcydioidomykoza lub blastomykoza).</w:t>
      </w:r>
    </w:p>
    <w:p w14:paraId="2947DA22" w14:textId="77777777" w:rsidR="00094D21" w:rsidRPr="008F328C" w:rsidRDefault="00094D21" w:rsidP="00094D21">
      <w:pPr>
        <w:pStyle w:val="a3"/>
        <w:rPr>
          <w:lang w:val="pl-PL"/>
        </w:rPr>
      </w:pPr>
    </w:p>
    <w:p w14:paraId="44880CD0"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poinformować lekarza, jeśli u pacjenta występowały nawracające zakażenia lub inne choroby zwiększające ryzyko wystąpienia zakażeń.</w:t>
      </w:r>
    </w:p>
    <w:p w14:paraId="326065D3" w14:textId="77777777" w:rsidR="00094D21" w:rsidRPr="008F328C" w:rsidRDefault="00094D21" w:rsidP="00094D21">
      <w:pPr>
        <w:pStyle w:val="a3"/>
        <w:numPr>
          <w:ilvl w:val="0"/>
          <w:numId w:val="0"/>
        </w:numPr>
        <w:rPr>
          <w:lang w:val="pl-PL"/>
        </w:rPr>
      </w:pPr>
    </w:p>
    <w:p w14:paraId="372F1676"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Pacjenci w wieku powyżej 65 lat mogą być bardziej podatni na zakażenia podczas stosowania leku Yuflyma. Pacjent i lekarz prowadzący powinni zwracać szczególną uwagę na objawy zakażenia w okresie stosowania leku Yuflyma. Należy koniecznie poinformować lekarza w przypadku wystąpienia objawów zakażenia, takich jak gorączka, zranienia, uczucie zmęczenia lub kłopoty z zębami.</w:t>
      </w:r>
    </w:p>
    <w:p w14:paraId="247D794C" w14:textId="77777777" w:rsidR="00094D21" w:rsidRPr="008F328C" w:rsidRDefault="00094D21" w:rsidP="00094D21">
      <w:pPr>
        <w:spacing w:before="11" w:line="240" w:lineRule="exact"/>
        <w:rPr>
          <w:rFonts w:ascii="Times New Roman" w:hAnsi="Times New Roman" w:cs="Times New Roman"/>
          <w:sz w:val="24"/>
          <w:szCs w:val="24"/>
          <w:lang w:val="pl-PL"/>
        </w:rPr>
      </w:pPr>
    </w:p>
    <w:p w14:paraId="7CA31692" w14:textId="77777777" w:rsidR="00094D21" w:rsidRPr="008F328C" w:rsidRDefault="00094D21" w:rsidP="00094D21">
      <w:pPr>
        <w:pStyle w:val="a3"/>
        <w:rPr>
          <w:u w:val="single"/>
          <w:lang w:val="pl-PL"/>
        </w:rPr>
      </w:pPr>
      <w:r w:rsidRPr="008F328C">
        <w:rPr>
          <w:rFonts w:eastAsia="Times New Roman"/>
          <w:u w:val="single" w:color="000000"/>
          <w:lang w:val="pl-PL"/>
        </w:rPr>
        <w:t>Gruźlica</w:t>
      </w:r>
    </w:p>
    <w:p w14:paraId="17A5E790" w14:textId="77777777" w:rsidR="00094D21" w:rsidRPr="008F328C" w:rsidRDefault="00094D21" w:rsidP="00094D21">
      <w:pPr>
        <w:spacing w:before="4" w:line="190" w:lineRule="exact"/>
        <w:rPr>
          <w:rFonts w:ascii="Times New Roman" w:hAnsi="Times New Roman" w:cs="Times New Roman"/>
          <w:sz w:val="19"/>
          <w:szCs w:val="19"/>
          <w:lang w:val="pl-PL"/>
        </w:rPr>
      </w:pPr>
    </w:p>
    <w:p w14:paraId="52B130FD"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koniecznie powiedzieć lekarzowi o przebytej gruźlicy lub o bliskich kontaktach z chorym na gruźlicę w przeszłości. Leku Yuflyma nie należy stosować u pacjentów z czynną gruźlicą.</w:t>
      </w:r>
    </w:p>
    <w:p w14:paraId="72B14428"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otrzymujących lek Yuflyma obserwowano przypadki gruźlicy. Dlatego przed rozpoczęciem podawania leku Yuflym lekarz sprawdzi, czy u pacjenta nie występują zdiagnozowane przez lekarza i odczuwane przez pacjenta objawy gruźlicy. Będzie to dokładna ocena dokonana przez lekarza obejmująca wywiad dotyczący przebytych chorób oraz odpowiednie badania przesiewowe (na przykład zdjęcie rentgenowskie klatki piersiowej i próba tuberkulinowa). Informacje o wykonaniu tych badań i ich wynikach należy wpisać do „</w:t>
      </w:r>
      <w:r w:rsidRPr="008F328C">
        <w:rPr>
          <w:rFonts w:eastAsia="Times New Roman"/>
          <w:b/>
          <w:bCs/>
          <w:lang w:val="pl-PL"/>
        </w:rPr>
        <w:t>Karty Przypominającej dla Pacjenta</w:t>
      </w:r>
      <w:r w:rsidRPr="008F328C">
        <w:rPr>
          <w:rFonts w:eastAsia="Times New Roman"/>
          <w:lang w:val="pl-PL"/>
        </w:rPr>
        <w:t>”.</w:t>
      </w:r>
    </w:p>
    <w:p w14:paraId="1590A21A"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Gruźlica może się rozwinąć podczas terapii, nawet jeśli pacjent otrzymał profilaktyczne leczenie przeciwgruźlicze.</w:t>
      </w:r>
    </w:p>
    <w:p w14:paraId="68A784C0"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natychmiast poinformować lekarza, jeśli w trakcie leczenia lub po jego zakończeniu wystąpią objawy gruźlicy (na przykład kaszel, który nie ustępuje, utrata masy ciała, obniżenie aktywności, niewielka gorączka) lub innego zakażenia.</w:t>
      </w:r>
    </w:p>
    <w:p w14:paraId="7D9CBAA0" w14:textId="77777777" w:rsidR="00094D21" w:rsidRPr="008F328C" w:rsidRDefault="00094D21" w:rsidP="00094D21">
      <w:pPr>
        <w:spacing w:before="11" w:line="240" w:lineRule="exact"/>
        <w:rPr>
          <w:rFonts w:ascii="Times New Roman" w:hAnsi="Times New Roman" w:cs="Times New Roman"/>
          <w:sz w:val="24"/>
          <w:szCs w:val="24"/>
          <w:lang w:val="pl-PL"/>
        </w:rPr>
      </w:pPr>
    </w:p>
    <w:p w14:paraId="00B07627" w14:textId="77777777" w:rsidR="00094D21" w:rsidRPr="008F328C" w:rsidRDefault="00094D21" w:rsidP="00094D21">
      <w:pPr>
        <w:pStyle w:val="a3"/>
        <w:rPr>
          <w:u w:val="single"/>
          <w:lang w:val="pl-PL"/>
        </w:rPr>
      </w:pPr>
      <w:r w:rsidRPr="008F328C">
        <w:rPr>
          <w:rFonts w:eastAsia="Times New Roman"/>
          <w:u w:val="single" w:color="000000"/>
          <w:lang w:val="pl-PL"/>
        </w:rPr>
        <w:t>Zapalenie wątroby typu B</w:t>
      </w:r>
    </w:p>
    <w:p w14:paraId="0CB16A8C" w14:textId="77777777" w:rsidR="00094D21" w:rsidRPr="008F328C" w:rsidRDefault="00094D21" w:rsidP="00094D21">
      <w:pPr>
        <w:spacing w:before="4" w:line="190" w:lineRule="exact"/>
        <w:rPr>
          <w:rFonts w:ascii="Times New Roman" w:hAnsi="Times New Roman" w:cs="Times New Roman"/>
          <w:sz w:val="19"/>
          <w:szCs w:val="19"/>
          <w:lang w:val="pl-PL"/>
        </w:rPr>
      </w:pPr>
    </w:p>
    <w:p w14:paraId="0D512F11"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powiedzieć lekarzowi prowadzącemu, jeśli pacjent jest nosicielem wirusa zapalenia wątroby typu B (HBV), jeśli choruje na zapalenie wątroby typu B lub jeśli sądzi, że należy do grupy zwiększonego ryzyka zakażenia HBV.</w:t>
      </w:r>
    </w:p>
    <w:p w14:paraId="7E87529C"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Lekarz powinien zlecić wykonanie badań w kierunku zakażenia HBV. U osób będących nosicielami HBV, lek Yuflyma może powodować uaktywnienie się wirusa.</w:t>
      </w:r>
    </w:p>
    <w:p w14:paraId="28793268"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W niektórych, rzadkich przypadkach, zwłaszcza u pacjentów przyjmujących inne leki hamujące aktywność układu immunologicznego, reaktywacja HBV może zagrażać życiu.</w:t>
      </w:r>
    </w:p>
    <w:p w14:paraId="4C8F8816" w14:textId="77777777" w:rsidR="00094D21" w:rsidRPr="008F328C" w:rsidRDefault="00094D21" w:rsidP="00094D21">
      <w:pPr>
        <w:spacing w:before="11" w:line="240" w:lineRule="exact"/>
        <w:rPr>
          <w:rFonts w:ascii="Times New Roman" w:hAnsi="Times New Roman" w:cs="Times New Roman"/>
          <w:sz w:val="24"/>
          <w:szCs w:val="24"/>
          <w:lang w:val="pl-PL"/>
        </w:rPr>
      </w:pPr>
    </w:p>
    <w:p w14:paraId="396498B2" w14:textId="77777777" w:rsidR="00094D21" w:rsidRPr="008F328C" w:rsidRDefault="00094D21" w:rsidP="00094D21">
      <w:pPr>
        <w:pStyle w:val="a3"/>
        <w:rPr>
          <w:u w:val="single"/>
          <w:lang w:val="pl-PL"/>
        </w:rPr>
      </w:pPr>
      <w:r w:rsidRPr="008F328C">
        <w:rPr>
          <w:rFonts w:eastAsia="Times New Roman"/>
          <w:u w:val="single" w:color="000000"/>
          <w:lang w:val="pl-PL"/>
        </w:rPr>
        <w:t>Zabiegi chirurgiczne lub stomatologiczne</w:t>
      </w:r>
    </w:p>
    <w:p w14:paraId="6342C34C" w14:textId="77777777" w:rsidR="00094D21" w:rsidRPr="008F328C" w:rsidRDefault="00094D21" w:rsidP="00094D21">
      <w:pPr>
        <w:spacing w:before="4" w:line="190" w:lineRule="exact"/>
        <w:rPr>
          <w:rFonts w:ascii="Times New Roman" w:hAnsi="Times New Roman" w:cs="Times New Roman"/>
          <w:sz w:val="19"/>
          <w:szCs w:val="19"/>
          <w:lang w:val="pl-PL"/>
        </w:rPr>
      </w:pPr>
    </w:p>
    <w:p w14:paraId="134B2443"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W przypadku planowanego zabiegu chirurgicznego lub stomatologicznego należy poinformować lekarza o przyjmowaniu leku Yuflyma. Lekarz może zalecić czasowe przerwanie stosowania leku Yuflyma.</w:t>
      </w:r>
    </w:p>
    <w:p w14:paraId="44BAD629" w14:textId="77777777" w:rsidR="00094D21" w:rsidRPr="008F328C" w:rsidRDefault="00094D21" w:rsidP="00094D21">
      <w:pPr>
        <w:spacing w:before="8" w:line="240" w:lineRule="exact"/>
        <w:rPr>
          <w:rFonts w:ascii="Times New Roman" w:hAnsi="Times New Roman" w:cs="Times New Roman"/>
          <w:sz w:val="24"/>
          <w:szCs w:val="24"/>
          <w:lang w:val="pl-PL"/>
        </w:rPr>
      </w:pPr>
    </w:p>
    <w:p w14:paraId="4EB6C919" w14:textId="77777777" w:rsidR="00094D21" w:rsidRPr="008F328C" w:rsidRDefault="00094D21" w:rsidP="00094D21">
      <w:pPr>
        <w:pStyle w:val="a3"/>
        <w:rPr>
          <w:u w:val="single"/>
          <w:lang w:val="pl-PL"/>
        </w:rPr>
      </w:pPr>
      <w:r w:rsidRPr="008F328C">
        <w:rPr>
          <w:rFonts w:eastAsia="Times New Roman"/>
          <w:u w:val="single" w:color="000000"/>
          <w:lang w:val="pl-PL"/>
        </w:rPr>
        <w:t>Choroby demielinizacyjne</w:t>
      </w:r>
    </w:p>
    <w:p w14:paraId="554D94A1" w14:textId="77777777" w:rsidR="00094D21" w:rsidRPr="008F328C" w:rsidRDefault="00094D21" w:rsidP="00094D21">
      <w:pPr>
        <w:spacing w:before="4" w:line="190" w:lineRule="exact"/>
        <w:rPr>
          <w:rFonts w:ascii="Times New Roman" w:hAnsi="Times New Roman" w:cs="Times New Roman"/>
          <w:sz w:val="19"/>
          <w:szCs w:val="19"/>
          <w:lang w:val="pl-PL"/>
        </w:rPr>
      </w:pPr>
    </w:p>
    <w:p w14:paraId="1C4BC87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występuje lub rozwija się choroba demielinizacyjna (choroba, która wpływa na otoczkę mielinową nerwów, taka jak stwardnienie rozsiane), lekarz zdecyduje, czy można u niego zastosować lek Yuflyma lub kontynuować podawanie leku. Należy natychmiast powiedzieć lekarzowi, jeśli u pacjenta wystąpią takie objawy, jak zmiany widzenia, osłabienie kończyn górnych lub dolnych, lub drętwienie, lub mrowienie w którejkolwiek części ciała.</w:t>
      </w:r>
    </w:p>
    <w:p w14:paraId="22557CBB" w14:textId="77777777" w:rsidR="00094D21" w:rsidRPr="008F328C" w:rsidRDefault="00094D21" w:rsidP="00094D21">
      <w:pPr>
        <w:spacing w:before="14" w:line="240" w:lineRule="exact"/>
        <w:rPr>
          <w:rFonts w:ascii="Times New Roman" w:hAnsi="Times New Roman" w:cs="Times New Roman"/>
          <w:sz w:val="24"/>
          <w:szCs w:val="24"/>
          <w:lang w:val="pl-PL"/>
        </w:rPr>
      </w:pPr>
    </w:p>
    <w:p w14:paraId="449ED811" w14:textId="77777777" w:rsidR="00094D21" w:rsidRPr="008F328C" w:rsidRDefault="00094D21" w:rsidP="00094D21">
      <w:pPr>
        <w:pStyle w:val="a3"/>
        <w:rPr>
          <w:u w:val="single"/>
          <w:lang w:val="pl-PL"/>
        </w:rPr>
      </w:pPr>
      <w:r w:rsidRPr="008F328C">
        <w:rPr>
          <w:rFonts w:eastAsia="Times New Roman"/>
          <w:u w:val="single" w:color="000000"/>
          <w:lang w:val="pl-PL"/>
        </w:rPr>
        <w:t>Szczepienia</w:t>
      </w:r>
    </w:p>
    <w:p w14:paraId="1CD3DE9E" w14:textId="77777777" w:rsidR="00094D21" w:rsidRPr="008F328C" w:rsidRDefault="00094D21" w:rsidP="00094D21">
      <w:pPr>
        <w:spacing w:before="4" w:line="190" w:lineRule="exact"/>
        <w:rPr>
          <w:rFonts w:ascii="Times New Roman" w:hAnsi="Times New Roman" w:cs="Times New Roman"/>
          <w:sz w:val="19"/>
          <w:szCs w:val="19"/>
          <w:lang w:val="pl-PL"/>
        </w:rPr>
      </w:pPr>
    </w:p>
    <w:p w14:paraId="0710101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Pewne szczepionki mogą powodować zakażenia i nie należy ich stosować w czasie przyjmowania leku Yuflyma.</w:t>
      </w:r>
    </w:p>
    <w:p w14:paraId="0E462125" w14:textId="77777777" w:rsidR="00094D21" w:rsidRPr="008F328C" w:rsidRDefault="00094D21" w:rsidP="00094D21">
      <w:pPr>
        <w:spacing w:before="11" w:line="240" w:lineRule="exact"/>
        <w:rPr>
          <w:rFonts w:ascii="Times New Roman" w:hAnsi="Times New Roman" w:cs="Times New Roman"/>
          <w:sz w:val="24"/>
          <w:szCs w:val="24"/>
          <w:lang w:val="pl-PL"/>
        </w:rPr>
      </w:pPr>
    </w:p>
    <w:p w14:paraId="3372334D"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Przed zastosowaniem każdej szczepionki należy poradzić się lekarza.</w:t>
      </w:r>
    </w:p>
    <w:p w14:paraId="3F26E6EA"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Zaleca się, jeśli to możliwe, aby u dzieci, przed rozpoczęciem leczenia lekiem Yuflyma przeprowadzono wszystkie szczepienia zgodnie z obowiązującym kalendarzem szczepień.</w:t>
      </w:r>
    </w:p>
    <w:p w14:paraId="527585F5"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Jeśli kobieta otrzymywała lek Yuflyma w okresie ciąży, u dziecka może występować zwiększone ryzyko zakażenia w okresie do około pięciu miesięcy po przyjęciu przez matkę ostatniej dawki leku w okresie ciąży. Należy koniecznie poinformować lekarzy dziecka i innych pracowników opieki zdrowotnej o przyjmowaniu leku Yuflyma w okresie ciąży, aby mogli zdecydować czy dziecko może otrzymać jakąkolwiek szczepionkę.</w:t>
      </w:r>
    </w:p>
    <w:p w14:paraId="01A0F7E0" w14:textId="77777777" w:rsidR="00094D21" w:rsidRPr="008F328C" w:rsidRDefault="00094D21" w:rsidP="00094D21">
      <w:pPr>
        <w:spacing w:before="14" w:line="240" w:lineRule="exact"/>
        <w:rPr>
          <w:rFonts w:ascii="Times New Roman" w:hAnsi="Times New Roman" w:cs="Times New Roman"/>
          <w:sz w:val="24"/>
          <w:szCs w:val="24"/>
          <w:lang w:val="pl-PL"/>
        </w:rPr>
      </w:pPr>
    </w:p>
    <w:p w14:paraId="1752071F" w14:textId="77777777" w:rsidR="00094D21" w:rsidRPr="008F328C" w:rsidRDefault="00094D21" w:rsidP="00094D21">
      <w:pPr>
        <w:pStyle w:val="a3"/>
        <w:rPr>
          <w:u w:val="single"/>
          <w:lang w:val="pl-PL"/>
        </w:rPr>
      </w:pPr>
      <w:r w:rsidRPr="008F328C">
        <w:rPr>
          <w:rFonts w:eastAsia="Times New Roman"/>
          <w:u w:val="single" w:color="000000"/>
          <w:lang w:val="pl-PL"/>
        </w:rPr>
        <w:t>Niewydolność serca</w:t>
      </w:r>
    </w:p>
    <w:p w14:paraId="40E7F353" w14:textId="77777777" w:rsidR="00094D21" w:rsidRPr="008F328C" w:rsidRDefault="00094D21" w:rsidP="00094D21">
      <w:pPr>
        <w:spacing w:before="4" w:line="190" w:lineRule="exact"/>
        <w:rPr>
          <w:rFonts w:ascii="Times New Roman" w:hAnsi="Times New Roman" w:cs="Times New Roman"/>
          <w:sz w:val="19"/>
          <w:szCs w:val="19"/>
          <w:lang w:val="pl-PL"/>
        </w:rPr>
      </w:pPr>
    </w:p>
    <w:p w14:paraId="1D6E8BF0"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u pacjenta otrzymującego lek Yuflyma występuje łagodna niewydolność serca, lekarz będzie kontrolował stan zdrowia pacjenta. Należy bezwzględnie poinformować lekarza o poważnej chorobie serca w przeszłości lub obecnie. W przypadku wystąpienia nowych objawów niewydolności serca lub nasilenia istniejących objawów (np. duszność lub obrzęki stóp) należy natychmiast skontaktować się z lekarzem. Lekarz prowadzący zdecyduje, czy pacjent powinien otrzymywać lek Yuflyma.</w:t>
      </w:r>
    </w:p>
    <w:p w14:paraId="34FB2AA3" w14:textId="77777777" w:rsidR="00094D21" w:rsidRPr="008F328C" w:rsidRDefault="00094D21" w:rsidP="00094D21">
      <w:pPr>
        <w:spacing w:before="14" w:line="240" w:lineRule="exact"/>
        <w:rPr>
          <w:rFonts w:ascii="Times New Roman" w:hAnsi="Times New Roman" w:cs="Times New Roman"/>
          <w:sz w:val="24"/>
          <w:szCs w:val="24"/>
          <w:lang w:val="pl-PL"/>
        </w:rPr>
      </w:pPr>
    </w:p>
    <w:p w14:paraId="229F8EC0" w14:textId="77777777" w:rsidR="00094D21" w:rsidRPr="008F328C" w:rsidRDefault="00094D21" w:rsidP="00094D21">
      <w:pPr>
        <w:pStyle w:val="a3"/>
        <w:rPr>
          <w:u w:val="single"/>
          <w:lang w:val="pl-PL"/>
        </w:rPr>
      </w:pPr>
      <w:r w:rsidRPr="008F328C">
        <w:rPr>
          <w:rFonts w:eastAsia="Times New Roman"/>
          <w:u w:val="single" w:color="000000"/>
          <w:lang w:val="pl-PL"/>
        </w:rPr>
        <w:t>Gorączka, siniaki, krwawienia lub bladość</w:t>
      </w:r>
    </w:p>
    <w:p w14:paraId="5E3425ED" w14:textId="77777777" w:rsidR="00094D21" w:rsidRPr="008F328C" w:rsidRDefault="00094D21" w:rsidP="00094D21">
      <w:pPr>
        <w:spacing w:before="4" w:line="190" w:lineRule="exact"/>
        <w:rPr>
          <w:rFonts w:ascii="Times New Roman" w:hAnsi="Times New Roman" w:cs="Times New Roman"/>
          <w:sz w:val="19"/>
          <w:szCs w:val="19"/>
          <w:lang w:val="pl-PL"/>
        </w:rPr>
      </w:pPr>
    </w:p>
    <w:p w14:paraId="119FEE8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U niektórych pacjentów dojść może do zmniejszenia wytwarzania komórek krwi pomocnych w zwalczaniu zakażeń lub hamowaniu krwawienia. Lekarz może podjąć decyzję o przerwaniu leczenia. Jeśli u pacjenta wystąpi nieustępująca gorączka, siniaki, skłonność do krwawień lub bladość należy natychmiast skontaktować się z lekarzem.</w:t>
      </w:r>
    </w:p>
    <w:p w14:paraId="3F8FA849" w14:textId="77777777" w:rsidR="00094D21" w:rsidRPr="008F328C" w:rsidRDefault="00094D21" w:rsidP="00094D21">
      <w:pPr>
        <w:pStyle w:val="a3"/>
        <w:rPr>
          <w:u w:val="single"/>
          <w:lang w:val="pl-PL"/>
        </w:rPr>
      </w:pPr>
    </w:p>
    <w:p w14:paraId="0537C52D" w14:textId="77777777" w:rsidR="00094D21" w:rsidRPr="008F328C" w:rsidRDefault="00094D21" w:rsidP="00094D21">
      <w:pPr>
        <w:pStyle w:val="a3"/>
        <w:rPr>
          <w:u w:val="single"/>
          <w:lang w:val="pl-PL"/>
        </w:rPr>
      </w:pPr>
      <w:r w:rsidRPr="008F328C">
        <w:rPr>
          <w:rFonts w:eastAsia="Times New Roman"/>
          <w:u w:val="single"/>
          <w:lang w:val="pl-PL"/>
        </w:rPr>
        <w:t>Nowotwory</w:t>
      </w:r>
    </w:p>
    <w:p w14:paraId="4793FBDB" w14:textId="77777777" w:rsidR="00094D21" w:rsidRPr="008F328C" w:rsidRDefault="00094D21" w:rsidP="00094D21">
      <w:pPr>
        <w:pStyle w:val="a3"/>
        <w:rPr>
          <w:u w:val="single"/>
          <w:lang w:val="pl-PL"/>
        </w:rPr>
      </w:pPr>
    </w:p>
    <w:p w14:paraId="1331D65B"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U pacjentów przyjmujących lek Yuflyma lub inne leki blokujące TNF w bardzo rzadkich przypadkach występowały pewne rodzaje nowotworów u dzieci i dorosłych.</w:t>
      </w:r>
    </w:p>
    <w:p w14:paraId="79F913B5" w14:textId="77777777" w:rsidR="00094D21" w:rsidRPr="008F328C" w:rsidRDefault="00094D21" w:rsidP="00094D21">
      <w:pPr>
        <w:pStyle w:val="a3"/>
        <w:rPr>
          <w:lang w:val="pl-PL"/>
        </w:rPr>
      </w:pPr>
    </w:p>
    <w:p w14:paraId="6375FEDD"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osób z cięższą postacią reumatoidalnego zapalenia stawów, chorujących od dłuższego czasu, ryzyko wystąpienia chłoniaka (nowotwór złośliwy układu limfatycznego) oraz białaczki (nowotwór złośliwy krwi i szpiku kostnego) może być większe od przeciętnego.</w:t>
      </w:r>
    </w:p>
    <w:p w14:paraId="40BF44B8"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przyjmujących lek Yuflyma, ryzyko wystąpienia chłoniaka, białaczki lub innych nowotworów złośliwych może być większe. W rzadkich przypadkach u pacjentów przyjmujących lek Yuflyma stwierdzono rzadko występujący, poważny typ chłoniaka. Niektórych z tych pacjentów leczono również azatiopryną lub 6-merkaptopuryną.</w:t>
      </w:r>
    </w:p>
    <w:p w14:paraId="04BC17EC"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poinformować lekarza, jeśli pacjent przyjmuje azatioprynę lub 6-merkaptopurynę z lekiem Yuflyma.</w:t>
      </w:r>
    </w:p>
    <w:p w14:paraId="3EEE5A61"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U pacjentów przyjmujących lek Yuflyma obserwowano przypadki raka skóry niebędącego czerniakiem.</w:t>
      </w:r>
    </w:p>
    <w:p w14:paraId="590E0411" w14:textId="77777777" w:rsidR="00094D21" w:rsidRPr="008F328C" w:rsidRDefault="00094D21" w:rsidP="00094D21">
      <w:pPr>
        <w:pStyle w:val="a3"/>
        <w:numPr>
          <w:ilvl w:val="1"/>
          <w:numId w:val="4"/>
        </w:numPr>
        <w:ind w:left="998" w:hanging="340"/>
        <w:rPr>
          <w:lang w:val="pl-PL"/>
        </w:rPr>
      </w:pPr>
      <w:r w:rsidRPr="008F328C">
        <w:rPr>
          <w:rFonts w:eastAsia="Times New Roman"/>
          <w:lang w:val="pl-PL"/>
        </w:rPr>
        <w:t>Należy poinformować lekarza, jeśli podczas leczenia lub po leczeniu pojawią się nowe zmiany skórne, lub jeśli istniejące zmiany zmienią wygląd.</w:t>
      </w:r>
    </w:p>
    <w:p w14:paraId="09BEEF4C" w14:textId="77777777" w:rsidR="00094D21" w:rsidRPr="008F328C" w:rsidRDefault="00094D21" w:rsidP="00094D21">
      <w:pPr>
        <w:pStyle w:val="a3"/>
        <w:rPr>
          <w:lang w:val="pl-PL"/>
        </w:rPr>
      </w:pPr>
    </w:p>
    <w:p w14:paraId="7CEEF865"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Przypadki nowotworów złośliwych, innych niż chłoniak, występowały u pacjentów ze szczególnym rodzajem choroby płuc zwanej przewlekłą obturacyjną chorobą płuc (POChP) leczonych innym lekiem blokującym TNF. Jeśli pacjent choruje na POChP lub jest nałogowym palaczem, powinien omówić z lekarzem, czy stosowanie leku blokującego TNF jest dla niego odpowiednie.</w:t>
      </w:r>
    </w:p>
    <w:p w14:paraId="76BC26F6" w14:textId="77777777" w:rsidR="00094D21" w:rsidRPr="008F328C" w:rsidRDefault="00094D21" w:rsidP="00094D21">
      <w:pPr>
        <w:spacing w:before="11" w:line="240" w:lineRule="exact"/>
        <w:rPr>
          <w:rFonts w:ascii="Times New Roman" w:hAnsi="Times New Roman" w:cs="Times New Roman"/>
          <w:sz w:val="24"/>
          <w:szCs w:val="24"/>
          <w:lang w:val="pl-PL"/>
        </w:rPr>
      </w:pPr>
    </w:p>
    <w:p w14:paraId="2B2F9757" w14:textId="77777777" w:rsidR="00094D21" w:rsidRPr="008F328C" w:rsidRDefault="00094D21" w:rsidP="00094D21">
      <w:pPr>
        <w:pStyle w:val="a3"/>
        <w:rPr>
          <w:u w:val="single"/>
          <w:lang w:val="pl-PL"/>
        </w:rPr>
      </w:pPr>
      <w:r w:rsidRPr="008F328C">
        <w:rPr>
          <w:rFonts w:eastAsia="Times New Roman"/>
          <w:u w:val="single" w:color="000000"/>
          <w:lang w:val="pl-PL"/>
        </w:rPr>
        <w:t>Choroby autoimmunizacyjne</w:t>
      </w:r>
    </w:p>
    <w:p w14:paraId="5BCDB4B4" w14:textId="77777777" w:rsidR="00094D21" w:rsidRPr="008F328C" w:rsidRDefault="00094D21" w:rsidP="00094D21">
      <w:pPr>
        <w:spacing w:before="4" w:line="190" w:lineRule="exact"/>
        <w:rPr>
          <w:rFonts w:ascii="Times New Roman" w:hAnsi="Times New Roman" w:cs="Times New Roman"/>
          <w:sz w:val="19"/>
          <w:szCs w:val="19"/>
          <w:lang w:val="pl-PL"/>
        </w:rPr>
      </w:pPr>
    </w:p>
    <w:p w14:paraId="7D9A3DE5"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W rzadkich przypadkach, leczenie lekiem Yuflyma może powodować zespół toczniopodobny. Należy skontaktować się z lekarzem jeśli wystąpią takie objawy, jak uporczywa niewyjaśniona wysypka, gorączka, bóle stawów lub zmęczenie.</w:t>
      </w:r>
    </w:p>
    <w:p w14:paraId="21457899" w14:textId="77777777" w:rsidR="00094D21" w:rsidRPr="008F328C" w:rsidRDefault="00094D21" w:rsidP="00094D21">
      <w:pPr>
        <w:spacing w:before="15" w:line="240" w:lineRule="exact"/>
        <w:rPr>
          <w:rFonts w:ascii="Times New Roman" w:hAnsi="Times New Roman" w:cs="Times New Roman"/>
          <w:sz w:val="24"/>
          <w:szCs w:val="24"/>
          <w:lang w:val="pl-PL"/>
        </w:rPr>
      </w:pPr>
    </w:p>
    <w:p w14:paraId="0130498C" w14:textId="77777777" w:rsidR="00094D21" w:rsidRPr="008F328C" w:rsidRDefault="00094D21" w:rsidP="00094D21">
      <w:pPr>
        <w:pStyle w:val="a3"/>
        <w:rPr>
          <w:b/>
          <w:lang w:val="pl-PL"/>
        </w:rPr>
      </w:pPr>
      <w:r w:rsidRPr="008F328C">
        <w:rPr>
          <w:rFonts w:eastAsia="Times New Roman"/>
          <w:b/>
          <w:bCs/>
          <w:lang w:val="pl-PL"/>
        </w:rPr>
        <w:t>Dzieci i młodzież</w:t>
      </w:r>
    </w:p>
    <w:p w14:paraId="348229AC" w14:textId="77777777" w:rsidR="00094D21" w:rsidRPr="008F328C" w:rsidRDefault="00094D21" w:rsidP="00094D21">
      <w:pPr>
        <w:spacing w:before="10" w:line="240" w:lineRule="exact"/>
        <w:rPr>
          <w:rFonts w:ascii="Times New Roman" w:hAnsi="Times New Roman" w:cs="Times New Roman"/>
          <w:sz w:val="24"/>
          <w:szCs w:val="24"/>
          <w:lang w:val="pl-PL"/>
        </w:rPr>
      </w:pPr>
    </w:p>
    <w:p w14:paraId="00856C9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Szczepienia: Jeśli to możliwe, przed rozpoczęciem stosowania leku Yuflyma u dziecka należy przeprowadzić wszystkie szczepienia zgodnie z obowiązującym kalendarzem szczepień.</w:t>
      </w:r>
    </w:p>
    <w:p w14:paraId="19A40902" w14:textId="77777777" w:rsidR="00094D21" w:rsidRPr="008F328C" w:rsidRDefault="00094D21" w:rsidP="00094D21">
      <w:pPr>
        <w:pStyle w:val="a3"/>
        <w:rPr>
          <w:b/>
          <w:lang w:val="pl-PL"/>
        </w:rPr>
      </w:pPr>
    </w:p>
    <w:p w14:paraId="44FA3E46" w14:textId="77777777" w:rsidR="00094D21" w:rsidRPr="008F328C" w:rsidRDefault="00094D21" w:rsidP="00094D21">
      <w:pPr>
        <w:pStyle w:val="a3"/>
        <w:rPr>
          <w:b/>
          <w:lang w:val="pl-PL"/>
        </w:rPr>
      </w:pPr>
      <w:r w:rsidRPr="008F328C">
        <w:rPr>
          <w:rFonts w:eastAsia="Times New Roman"/>
          <w:b/>
          <w:bCs/>
          <w:lang w:val="pl-PL"/>
        </w:rPr>
        <w:t>Yuflyma a inne leki</w:t>
      </w:r>
    </w:p>
    <w:p w14:paraId="4F33D507" w14:textId="77777777" w:rsidR="00094D21" w:rsidRPr="008F328C" w:rsidRDefault="00094D21" w:rsidP="00094D21">
      <w:pPr>
        <w:pStyle w:val="a3"/>
        <w:rPr>
          <w:b/>
          <w:lang w:val="pl-PL"/>
        </w:rPr>
      </w:pPr>
    </w:p>
    <w:p w14:paraId="12803FF8" w14:textId="77777777" w:rsidR="00094D21" w:rsidRPr="008F328C" w:rsidRDefault="00094D21" w:rsidP="00094D21">
      <w:pPr>
        <w:pStyle w:val="a3"/>
        <w:rPr>
          <w:lang w:val="pl-PL"/>
        </w:rPr>
      </w:pPr>
      <w:r w:rsidRPr="008F328C">
        <w:rPr>
          <w:rFonts w:eastAsia="Times New Roman"/>
          <w:lang w:val="pl-PL"/>
        </w:rPr>
        <w:t>Należy powiedzieć lekarzowi lub farmaceucie o wszystkich lekach przyjmowanych przez pacjenta obecnie lub ostatnio, a także o lekach, które pacjent planuje przyjmować. Nie należy stosować Yuflyma z lekami zawierającymi substancje czynne wymienione poniżej, ponieważ zwiększają ryzyko wystąpienia</w:t>
      </w:r>
    </w:p>
    <w:p w14:paraId="5D22B913" w14:textId="77777777" w:rsidR="00094D21" w:rsidRPr="008F328C" w:rsidRDefault="00094D21" w:rsidP="00094D21">
      <w:pPr>
        <w:pStyle w:val="a3"/>
        <w:rPr>
          <w:lang w:val="pl-PL"/>
        </w:rPr>
      </w:pPr>
      <w:r w:rsidRPr="008F328C">
        <w:rPr>
          <w:rFonts w:eastAsia="Times New Roman"/>
          <w:lang w:val="pl-PL"/>
        </w:rPr>
        <w:t>poważnych zakażeń:</w:t>
      </w:r>
    </w:p>
    <w:p w14:paraId="1822FFA5" w14:textId="77777777" w:rsidR="00094D21" w:rsidRPr="008F328C" w:rsidRDefault="00094D21" w:rsidP="00094D21">
      <w:pPr>
        <w:pStyle w:val="a3"/>
        <w:rPr>
          <w:lang w:val="pl-PL"/>
        </w:rPr>
      </w:pPr>
    </w:p>
    <w:p w14:paraId="11B62C7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anakinra</w:t>
      </w:r>
    </w:p>
    <w:p w14:paraId="14D3BA2E"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abatacept.</w:t>
      </w:r>
    </w:p>
    <w:p w14:paraId="199A22FF" w14:textId="77777777" w:rsidR="00094D21" w:rsidRPr="008F328C" w:rsidRDefault="00094D21" w:rsidP="00094D21">
      <w:pPr>
        <w:pStyle w:val="a3"/>
        <w:rPr>
          <w:lang w:val="pl-PL"/>
        </w:rPr>
      </w:pPr>
    </w:p>
    <w:p w14:paraId="493D5186" w14:textId="77777777" w:rsidR="00094D21" w:rsidRPr="008F328C" w:rsidRDefault="00094D21" w:rsidP="00094D21">
      <w:pPr>
        <w:pStyle w:val="a3"/>
        <w:rPr>
          <w:lang w:val="pl-PL"/>
        </w:rPr>
      </w:pPr>
      <w:r w:rsidRPr="008F328C">
        <w:rPr>
          <w:rFonts w:eastAsia="Times New Roman"/>
          <w:lang w:val="pl-PL"/>
        </w:rPr>
        <w:t>Lek Yuflyma można przyjmować łącznie z:</w:t>
      </w:r>
    </w:p>
    <w:p w14:paraId="506D670F"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metotreksatem</w:t>
      </w:r>
    </w:p>
    <w:p w14:paraId="10177B13"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niektórymi innymi lekami modyfikującymi przebieg choroby (na przykład sulfasalazyna, hydroksychlorochina, leflunomid lub preparaty złota do wstrzykiwań)</w:t>
      </w:r>
    </w:p>
    <w:p w14:paraId="6FD94C76"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steroidami lub lekami przeciwbólowymi, w tym z niesteroidowymi lekami przeciwzapalnymi (NLPZ).</w:t>
      </w:r>
    </w:p>
    <w:p w14:paraId="7E572C6C" w14:textId="77777777" w:rsidR="00094D21" w:rsidRPr="008F328C" w:rsidRDefault="00094D21" w:rsidP="00094D21">
      <w:pPr>
        <w:pStyle w:val="a3"/>
        <w:rPr>
          <w:lang w:val="pl-PL"/>
        </w:rPr>
      </w:pPr>
    </w:p>
    <w:p w14:paraId="71501841" w14:textId="77777777" w:rsidR="00094D21" w:rsidRPr="008F328C" w:rsidRDefault="00094D21" w:rsidP="00094D21">
      <w:pPr>
        <w:pStyle w:val="a3"/>
        <w:rPr>
          <w:lang w:val="pl-PL"/>
        </w:rPr>
      </w:pPr>
      <w:r w:rsidRPr="008F328C">
        <w:rPr>
          <w:rFonts w:eastAsia="Times New Roman"/>
          <w:lang w:val="pl-PL"/>
        </w:rPr>
        <w:t>W razie wątpliwości należy zapytać lekarza.</w:t>
      </w:r>
    </w:p>
    <w:p w14:paraId="28BF5A8B" w14:textId="77777777" w:rsidR="00094D21" w:rsidRPr="008F328C" w:rsidRDefault="00094D21" w:rsidP="00094D21">
      <w:pPr>
        <w:spacing w:before="18" w:line="240" w:lineRule="exact"/>
        <w:rPr>
          <w:rFonts w:ascii="Times New Roman" w:hAnsi="Times New Roman" w:cs="Times New Roman"/>
          <w:sz w:val="24"/>
          <w:szCs w:val="24"/>
          <w:lang w:val="pl-PL"/>
        </w:rPr>
      </w:pPr>
    </w:p>
    <w:p w14:paraId="500153BF" w14:textId="77777777" w:rsidR="00094D21" w:rsidRPr="008F328C" w:rsidRDefault="00094D21" w:rsidP="00094D21">
      <w:pPr>
        <w:pStyle w:val="a3"/>
        <w:rPr>
          <w:b/>
          <w:lang w:val="pl-PL"/>
        </w:rPr>
      </w:pPr>
      <w:r w:rsidRPr="008F328C">
        <w:rPr>
          <w:rFonts w:eastAsia="Times New Roman"/>
          <w:b/>
          <w:bCs/>
          <w:lang w:val="pl-PL"/>
        </w:rPr>
        <w:t>Ciąża i karmienie piersią</w:t>
      </w:r>
    </w:p>
    <w:p w14:paraId="5DF6AAA4" w14:textId="77777777" w:rsidR="00094D21" w:rsidRPr="008F328C" w:rsidRDefault="00094D21" w:rsidP="00094D21">
      <w:pPr>
        <w:spacing w:before="9" w:line="260" w:lineRule="exact"/>
        <w:rPr>
          <w:rFonts w:ascii="Times New Roman" w:hAnsi="Times New Roman" w:cs="Times New Roman"/>
          <w:sz w:val="26"/>
          <w:szCs w:val="26"/>
          <w:lang w:val="pl-PL"/>
        </w:rPr>
      </w:pPr>
    </w:p>
    <w:p w14:paraId="5AFD30C4"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Pacjentki powinny rozważyć stosowanie odpowiedniej metody zapobiegania ciąży i jej kontynuowanie przez co najmniej 5 miesięcy po przyjęciu ostatniej dawki leku Yuflyma.</w:t>
      </w:r>
    </w:p>
    <w:p w14:paraId="3E44AB37"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pacjentka jest w ciąży, przypuszcza że może być w ciąży lub gdy planuje mieć dziecko, powinna poradzić się lekarza przed zastosowaniem tego leku.</w:t>
      </w:r>
    </w:p>
    <w:p w14:paraId="6B6938EA"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Lek Yuflyma należy stosować w czasie ciąży, tylko jeśli jest to bezwzględnie konieczne.</w:t>
      </w:r>
    </w:p>
    <w:p w14:paraId="3EB96457"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Zgodnie z badaniami dotyczącymi ciąży, nie występowało wyższe ryzyko wad rozwojowych, kiedy matka przyjmowała lek Yuflyma w okresie ciąży, w porównaniu do matek chorujących na tą samą chorobę, które nie otrzymywały leku Yuflyma.</w:t>
      </w:r>
    </w:p>
    <w:p w14:paraId="694B36D8"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Lek Yuflyma może być stosowany podczas karmienia piersią.</w:t>
      </w:r>
    </w:p>
    <w:p w14:paraId="0583E320"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Jeśli pacjentka otrzymywała lek Yuflyma w okresie ciąży, u dziecka może występować zwiększone ryzyko zakażenia.</w:t>
      </w:r>
    </w:p>
    <w:p w14:paraId="2FACF042" w14:textId="77777777" w:rsidR="00094D21" w:rsidRPr="008F328C" w:rsidRDefault="00094D21" w:rsidP="00094D21">
      <w:pPr>
        <w:pStyle w:val="a3"/>
        <w:numPr>
          <w:ilvl w:val="1"/>
          <w:numId w:val="4"/>
        </w:numPr>
        <w:ind w:left="660" w:hanging="660"/>
        <w:rPr>
          <w:lang w:val="pl-PL"/>
        </w:rPr>
      </w:pPr>
      <w:r w:rsidRPr="008F328C">
        <w:rPr>
          <w:rFonts w:eastAsia="Times New Roman"/>
          <w:lang w:val="pl-PL"/>
        </w:rPr>
        <w:t>Należy koniecznie poinformować lekarzy dziecka i innych pracowników opieki zdrowotnej o przyjmowaniu leku Yuflyma w okresie ciąży, zanim dziecko otrzyma jakąkolwiek szczepionkę. Więcej informacji o szczepionkach, patrz punkt „Ostrzeżenia i środki ostrożności”.</w:t>
      </w:r>
    </w:p>
    <w:p w14:paraId="1889DF35" w14:textId="77777777" w:rsidR="00094D21" w:rsidRPr="008F328C" w:rsidRDefault="00094D21" w:rsidP="00094D21">
      <w:pPr>
        <w:spacing w:before="15" w:line="240" w:lineRule="exact"/>
        <w:rPr>
          <w:rFonts w:ascii="Times New Roman" w:hAnsi="Times New Roman" w:cs="Times New Roman"/>
          <w:b/>
          <w:sz w:val="24"/>
          <w:szCs w:val="24"/>
          <w:lang w:val="pl-PL"/>
        </w:rPr>
      </w:pPr>
    </w:p>
    <w:p w14:paraId="7C44B5D0" w14:textId="77777777" w:rsidR="00094D21" w:rsidRPr="008F328C" w:rsidRDefault="00094D21" w:rsidP="00094D21">
      <w:pPr>
        <w:pStyle w:val="a3"/>
        <w:rPr>
          <w:b/>
          <w:lang w:val="pl-PL"/>
        </w:rPr>
      </w:pPr>
      <w:r w:rsidRPr="008F328C">
        <w:rPr>
          <w:rFonts w:eastAsia="Times New Roman"/>
          <w:b/>
          <w:bCs/>
          <w:lang w:val="pl-PL"/>
        </w:rPr>
        <w:t>Prowadzenie pojazdów i obsługiwanie maszyn</w:t>
      </w:r>
    </w:p>
    <w:p w14:paraId="72FFEA4A" w14:textId="77777777" w:rsidR="00094D21" w:rsidRPr="008F328C" w:rsidRDefault="00094D21" w:rsidP="00094D21">
      <w:pPr>
        <w:spacing w:before="12" w:line="240" w:lineRule="exact"/>
        <w:rPr>
          <w:rFonts w:ascii="Times New Roman" w:hAnsi="Times New Roman" w:cs="Times New Roman"/>
          <w:sz w:val="24"/>
          <w:szCs w:val="24"/>
          <w:lang w:val="pl-PL"/>
        </w:rPr>
      </w:pPr>
    </w:p>
    <w:p w14:paraId="5ECC114B" w14:textId="77777777" w:rsidR="00094D21" w:rsidRPr="008F328C" w:rsidRDefault="00094D21" w:rsidP="00094D21">
      <w:pPr>
        <w:pStyle w:val="a3"/>
        <w:rPr>
          <w:lang w:val="pl-PL"/>
        </w:rPr>
      </w:pPr>
      <w:r w:rsidRPr="008F328C">
        <w:rPr>
          <w:rFonts w:eastAsia="Times New Roman"/>
          <w:lang w:val="pl-PL"/>
        </w:rPr>
        <w:t>Lek Yuflyma może mieć niewielki wpływ na zdolność prowadzenia pojazdów, jazdę na rowerze i obsługę maszyn. Po przyjęciu leku Yuflyma wystąpić może wrażenie wirowania pomieszczenia i zaburzenia widzenia.</w:t>
      </w:r>
    </w:p>
    <w:p w14:paraId="55C04030" w14:textId="77777777" w:rsidR="00094D21" w:rsidRPr="008F328C" w:rsidRDefault="00094D21" w:rsidP="00094D21">
      <w:pPr>
        <w:spacing w:line="200" w:lineRule="exact"/>
        <w:rPr>
          <w:rFonts w:ascii="Times New Roman" w:hAnsi="Times New Roman" w:cs="Times New Roman"/>
          <w:sz w:val="20"/>
          <w:szCs w:val="20"/>
          <w:lang w:val="pl-PL"/>
        </w:rPr>
      </w:pPr>
    </w:p>
    <w:p w14:paraId="4B6B5863" w14:textId="79D506DC" w:rsidR="00094D21" w:rsidRPr="008F328C" w:rsidRDefault="00D71C09" w:rsidP="00094D21">
      <w:pPr>
        <w:pStyle w:val="a3"/>
        <w:rPr>
          <w:b/>
          <w:lang w:val="pl-PL"/>
        </w:rPr>
      </w:pPr>
      <w:r>
        <w:rPr>
          <w:rFonts w:hint="eastAsia"/>
          <w:b/>
          <w:bCs/>
          <w:lang w:val="pl-PL" w:eastAsia="ko-KR"/>
        </w:rPr>
        <w:t>Yuflyma</w:t>
      </w:r>
      <w:r w:rsidRPr="008F328C">
        <w:rPr>
          <w:rFonts w:eastAsia="Times New Roman"/>
          <w:b/>
          <w:bCs/>
          <w:lang w:val="pl-PL"/>
        </w:rPr>
        <w:t xml:space="preserve"> </w:t>
      </w:r>
      <w:r w:rsidR="00094D21" w:rsidRPr="008F328C">
        <w:rPr>
          <w:rFonts w:eastAsia="Times New Roman"/>
          <w:b/>
          <w:bCs/>
          <w:lang w:val="pl-PL"/>
        </w:rPr>
        <w:t>zawiera sód</w:t>
      </w:r>
    </w:p>
    <w:p w14:paraId="702ABDD5" w14:textId="77777777" w:rsidR="00094D21" w:rsidRPr="008F328C" w:rsidRDefault="00094D21" w:rsidP="00094D21">
      <w:pPr>
        <w:spacing w:before="12" w:line="240" w:lineRule="exact"/>
        <w:rPr>
          <w:rFonts w:ascii="Times New Roman" w:hAnsi="Times New Roman" w:cs="Times New Roman"/>
          <w:sz w:val="24"/>
          <w:szCs w:val="24"/>
          <w:lang w:val="pl-PL"/>
        </w:rPr>
      </w:pPr>
    </w:p>
    <w:p w14:paraId="32C1757D" w14:textId="4B5BA5B9" w:rsidR="00094D21" w:rsidRPr="008F328C" w:rsidRDefault="00094D21" w:rsidP="00094D21">
      <w:pPr>
        <w:spacing w:line="200" w:lineRule="exact"/>
        <w:rPr>
          <w:rFonts w:ascii="Times New Roman" w:hAnsi="Times New Roman" w:cs="Times New Roman"/>
          <w:sz w:val="20"/>
          <w:szCs w:val="20"/>
          <w:lang w:val="pl-PL"/>
        </w:rPr>
      </w:pPr>
      <w:r w:rsidRPr="008F328C">
        <w:rPr>
          <w:rFonts w:ascii="Times New Roman" w:eastAsia="Times New Roman" w:hAnsi="Times New Roman" w:cs="Times New Roman"/>
          <w:lang w:val="pl-PL"/>
        </w:rPr>
        <w:t>Lek zawiera mniej niż 1 mmol (23</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mg) sodu na dawkę 0,</w:t>
      </w:r>
      <w:r w:rsidR="00791828" w:rsidRPr="008F328C">
        <w:rPr>
          <w:rFonts w:ascii="Times New Roman" w:eastAsia="Times New Roman" w:hAnsi="Times New Roman" w:cs="Times New Roman"/>
          <w:lang w:val="pl-PL"/>
        </w:rPr>
        <w:t>8</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ml, to znaczy lek uznaje się za „wolny od sodu”.</w:t>
      </w:r>
    </w:p>
    <w:p w14:paraId="1A898E3D" w14:textId="738FA25D" w:rsidR="00094D21" w:rsidRPr="008F328C" w:rsidRDefault="00094D21" w:rsidP="00094D21">
      <w:pPr>
        <w:spacing w:line="200" w:lineRule="exact"/>
        <w:rPr>
          <w:rFonts w:ascii="Times New Roman" w:hAnsi="Times New Roman" w:cs="Times New Roman"/>
          <w:sz w:val="20"/>
          <w:szCs w:val="20"/>
          <w:lang w:val="pl-PL"/>
        </w:rPr>
      </w:pPr>
    </w:p>
    <w:p w14:paraId="6854D1A1" w14:textId="77777777" w:rsidR="00CC4159" w:rsidRPr="008F328C" w:rsidRDefault="00CC4159" w:rsidP="00094D21">
      <w:pPr>
        <w:spacing w:line="200" w:lineRule="exact"/>
        <w:rPr>
          <w:rFonts w:ascii="Times New Roman" w:hAnsi="Times New Roman" w:cs="Times New Roman"/>
          <w:sz w:val="20"/>
          <w:szCs w:val="20"/>
          <w:lang w:val="pl-PL"/>
        </w:rPr>
      </w:pPr>
    </w:p>
    <w:p w14:paraId="2A22865D" w14:textId="77777777" w:rsidR="00094D21" w:rsidRPr="008F328C" w:rsidRDefault="00094D21" w:rsidP="00CC4159">
      <w:pPr>
        <w:pStyle w:val="a4"/>
        <w:numPr>
          <w:ilvl w:val="0"/>
          <w:numId w:val="128"/>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Jak stosować lek Yuflyma</w:t>
      </w:r>
    </w:p>
    <w:p w14:paraId="71630B4C" w14:textId="77777777" w:rsidR="001D4A84" w:rsidRPr="008F328C" w:rsidRDefault="001D4A84" w:rsidP="001D4A84">
      <w:pPr>
        <w:spacing w:before="9" w:line="240" w:lineRule="exact"/>
        <w:rPr>
          <w:rFonts w:ascii="Times New Roman" w:hAnsi="Times New Roman" w:cs="Times New Roman"/>
          <w:sz w:val="24"/>
          <w:szCs w:val="24"/>
          <w:lang w:val="pl-PL"/>
        </w:rPr>
      </w:pPr>
    </w:p>
    <w:p w14:paraId="7FB54A02" w14:textId="77777777" w:rsidR="001D4A84" w:rsidRPr="008F328C" w:rsidRDefault="001D4A84" w:rsidP="001D4A84">
      <w:pPr>
        <w:pStyle w:val="a3"/>
        <w:rPr>
          <w:lang w:val="pl-PL"/>
        </w:rPr>
      </w:pPr>
      <w:r w:rsidRPr="008F328C">
        <w:rPr>
          <w:rFonts w:eastAsia="Times New Roman"/>
          <w:lang w:val="pl-PL"/>
        </w:rPr>
        <w:t>Ten lek należy zawsze przyjmować zgodnie z zaleceniami lekarza lub farmaceuty. W razie wątpliwości należy zwrócić się do lekarza lub farmaceuty.</w:t>
      </w:r>
    </w:p>
    <w:p w14:paraId="44A006B9" w14:textId="77777777" w:rsidR="00B2198A" w:rsidRPr="008F328C" w:rsidRDefault="00B2198A" w:rsidP="00B2198A">
      <w:pPr>
        <w:spacing w:before="10" w:line="240" w:lineRule="exact"/>
        <w:rPr>
          <w:rFonts w:ascii="Times New Roman" w:hAnsi="Times New Roman" w:cs="Times New Roman"/>
          <w:sz w:val="24"/>
          <w:szCs w:val="24"/>
          <w:lang w:val="pl-PL"/>
        </w:rPr>
      </w:pPr>
    </w:p>
    <w:p w14:paraId="4A2EBB94" w14:textId="554E8E1E" w:rsidR="00B2198A" w:rsidRPr="008F328C" w:rsidRDefault="00B2198A" w:rsidP="00B2198A">
      <w:pPr>
        <w:pStyle w:val="a3"/>
        <w:rPr>
          <w:rFonts w:eastAsia="Times New Roman"/>
          <w:lang w:val="pl-PL"/>
        </w:rPr>
      </w:pPr>
      <w:r w:rsidRPr="001E41EB">
        <w:rPr>
          <w:lang w:val="pl-PL"/>
        </w:rPr>
        <w:t xml:space="preserve">Zalecane dawki leku </w:t>
      </w:r>
      <w:r w:rsidR="00407CE8">
        <w:rPr>
          <w:lang w:val="pl-PL"/>
        </w:rPr>
        <w:t>Yuflyma</w:t>
      </w:r>
      <w:r w:rsidRPr="001E41EB">
        <w:rPr>
          <w:lang w:val="pl-PL"/>
        </w:rPr>
        <w:t xml:space="preserve"> w każdym z zarejestrowanych wskazań przedstawiono w tabeli poniżej. Lekarz może przepisać inną dawkę leku </w:t>
      </w:r>
      <w:r w:rsidR="00407CE8">
        <w:rPr>
          <w:lang w:val="pl-PL"/>
        </w:rPr>
        <w:t>Yuflyma</w:t>
      </w:r>
      <w:r w:rsidRPr="001E41EB">
        <w:rPr>
          <w:lang w:val="pl-PL"/>
        </w:rPr>
        <w:t xml:space="preserve">, jeśli inna dawka leku będzie </w:t>
      </w:r>
      <w:r w:rsidR="003C562B">
        <w:rPr>
          <w:lang w:val="pl-PL"/>
        </w:rPr>
        <w:t>konieczna</w:t>
      </w:r>
      <w:r w:rsidRPr="001E41EB">
        <w:rPr>
          <w:lang w:val="pl-PL"/>
        </w:rPr>
        <w:t>.</w:t>
      </w:r>
    </w:p>
    <w:p w14:paraId="77B1D66A" w14:textId="77777777" w:rsidR="001D4A84" w:rsidRPr="008F328C" w:rsidRDefault="001D4A84" w:rsidP="001D4A84">
      <w:pPr>
        <w:pStyle w:val="a3"/>
        <w:rPr>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8F328C" w14:paraId="7DB1F2BE"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2D4CFDD0" w14:textId="77777777" w:rsidR="001D4A84" w:rsidRPr="008F328C" w:rsidRDefault="001D4A84" w:rsidP="00A64B3D">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Reumatoidalne zapalenie stawów</w:t>
            </w:r>
          </w:p>
        </w:tc>
      </w:tr>
      <w:tr w:rsidR="001D4A84" w:rsidRPr="008F328C" w14:paraId="7E5676EE"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2EBA6F97"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4157C467"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5F16875F" w14:textId="77777777" w:rsidR="001D4A84" w:rsidRPr="008F328C" w:rsidRDefault="001D4A84" w:rsidP="00A64B3D">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7E542D30"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1B642EE2"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561D8943"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4627B278"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C4CA26F" w14:textId="0373B1FF" w:rsidR="001D4A84" w:rsidRPr="008F328C" w:rsidRDefault="001D4A84"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reumatoidalnym zapaleniu stawów</w:t>
            </w:r>
            <w:r w:rsidR="00AD57EB">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podczas stosowania leku Yuflyma nadal podaje się metotreksat. Jeśli lekarz stwierdzi, że stosowanie metotreksatu jest niewskazane, można podawać sam lek Yuflyma.</w:t>
            </w:r>
          </w:p>
          <w:p w14:paraId="630052B7" w14:textId="77777777" w:rsidR="001D4A84" w:rsidRPr="008F328C" w:rsidRDefault="001D4A84" w:rsidP="00A64B3D">
            <w:pPr>
              <w:pStyle w:val="TableParagraph"/>
              <w:spacing w:before="13" w:line="240" w:lineRule="exact"/>
              <w:rPr>
                <w:rFonts w:ascii="Times New Roman" w:hAnsi="Times New Roman" w:cs="Times New Roman"/>
                <w:sz w:val="24"/>
                <w:szCs w:val="24"/>
                <w:lang w:val="pl-PL"/>
              </w:rPr>
            </w:pPr>
          </w:p>
          <w:p w14:paraId="1E7220E2" w14:textId="77777777" w:rsidR="001D4A84" w:rsidRPr="008F328C" w:rsidRDefault="001D4A84" w:rsidP="00A64B3D">
            <w:pPr>
              <w:pStyle w:val="TableParagraph"/>
              <w:ind w:left="102" w:right="12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pacjent z reumatoidalnym zapaleniem stawów nie stosuje metotreksatu z lekiem Yuflyma, lekarz może zalecić podawanie </w:t>
            </w:r>
            <w:r w:rsidRPr="008F328C">
              <w:rPr>
                <w:rFonts w:ascii="Times New Roman" w:eastAsia="Times New Roman" w:hAnsi="Times New Roman" w:cs="Times New Roman"/>
                <w:spacing w:val="-1"/>
                <w:lang w:val="pl-PL"/>
              </w:rPr>
              <w:lastRenderedPageBreak/>
              <w:t>leku Yuflyma 40 mg co tydzień lub 80 mg co drugi tydzień.</w:t>
            </w:r>
          </w:p>
        </w:tc>
      </w:tr>
    </w:tbl>
    <w:p w14:paraId="6D675117" w14:textId="77777777" w:rsidR="001D4A84" w:rsidRPr="008F328C" w:rsidRDefault="001D4A84" w:rsidP="001D4A84">
      <w:pPr>
        <w:spacing w:before="10" w:line="240" w:lineRule="exact"/>
        <w:rPr>
          <w:rFonts w:ascii="Times New Roman" w:hAnsi="Times New Roman" w:cs="Times New Roman"/>
          <w:sz w:val="24"/>
          <w:szCs w:val="24"/>
          <w:lang w:val="pl-PL"/>
        </w:rPr>
      </w:pPr>
    </w:p>
    <w:p w14:paraId="2F9EDA04" w14:textId="77777777" w:rsidR="001D4A84" w:rsidRPr="008F328C" w:rsidRDefault="001D4A84" w:rsidP="001D4A84">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A5286D" w14:paraId="3AF7EB1D"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7C1E8C43" w14:textId="77777777" w:rsidR="001D4A84" w:rsidRPr="008F328C" w:rsidRDefault="001D4A84" w:rsidP="00A64B3D">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Łuszczyca zwyczajna (plackowata)</w:t>
            </w:r>
          </w:p>
        </w:tc>
      </w:tr>
      <w:tr w:rsidR="001D4A84" w:rsidRPr="008F328C" w14:paraId="400268FB"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54038C47"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27296A58"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7AE170AE" w14:textId="77777777" w:rsidR="001D4A84" w:rsidRPr="008F328C" w:rsidRDefault="001D4A84" w:rsidP="00A64B3D">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35ACC4B0"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78A5278B"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3782453E"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1BA7301F" w14:textId="77777777" w:rsidR="001D4A84" w:rsidRPr="008F328C" w:rsidRDefault="001D4A84" w:rsidP="00A64B3D">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(jeden zastrzyk 80mg w jeden dzień), a następnie po upływie jednego tygodnia od podania pierwszej dawki,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77EDCB82"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 jest niewystarczająca, lekarz może zwiększyć dawkowanie do 40 mg co tydzień lub 80 mg co drugi tydzień.</w:t>
            </w:r>
          </w:p>
        </w:tc>
      </w:tr>
    </w:tbl>
    <w:p w14:paraId="72EB004C" w14:textId="77777777" w:rsidR="001D4A84" w:rsidRPr="008F328C" w:rsidRDefault="001D4A84" w:rsidP="001D4A84">
      <w:pPr>
        <w:spacing w:before="7" w:line="90" w:lineRule="exact"/>
        <w:rPr>
          <w:rFonts w:ascii="Times New Roman" w:hAnsi="Times New Roman" w:cs="Times New Roman"/>
          <w:sz w:val="9"/>
          <w:szCs w:val="9"/>
          <w:lang w:val="pl-PL"/>
        </w:rPr>
      </w:pPr>
    </w:p>
    <w:p w14:paraId="3C7746BD" w14:textId="77777777" w:rsidR="001D4A84" w:rsidRPr="008F328C" w:rsidRDefault="001D4A84" w:rsidP="001D4A84">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A5286D" w14:paraId="59BCDD7A"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46E1A67D" w14:textId="77777777" w:rsidR="001D4A84" w:rsidRPr="00AD57EB" w:rsidRDefault="001D4A84" w:rsidP="00A64B3D">
            <w:pPr>
              <w:pStyle w:val="TableParagraph"/>
              <w:spacing w:line="251" w:lineRule="exact"/>
              <w:ind w:left="102"/>
              <w:rPr>
                <w:rFonts w:ascii="Times New Roman" w:eastAsia="Times New Roman" w:hAnsi="Times New Roman" w:cs="Times New Roman"/>
                <w:lang w:val="pl-PL"/>
              </w:rPr>
            </w:pPr>
            <w:r w:rsidRPr="00D97EE5">
              <w:rPr>
                <w:rFonts w:ascii="Times New Roman" w:eastAsia="Times New Roman" w:hAnsi="Times New Roman" w:cs="Times New Roman"/>
                <w:b/>
                <w:bCs/>
                <w:iCs/>
                <w:spacing w:val="-1"/>
                <w:lang w:val="pl-PL"/>
              </w:rPr>
              <w:t>Ropne zapalenie apokrynowych gruczołów potowych</w:t>
            </w:r>
          </w:p>
        </w:tc>
      </w:tr>
      <w:tr w:rsidR="001D4A84" w:rsidRPr="008F328C" w14:paraId="6C97CE88"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3D8989E1"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607B608B" w14:textId="77777777" w:rsidR="001D4A84" w:rsidRPr="008F328C" w:rsidRDefault="001D4A84" w:rsidP="00A64B3D">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78338C3C"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1FC19BB1"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16DB379D" w14:textId="77777777" w:rsidR="001D4A84" w:rsidRPr="008F328C" w:rsidRDefault="001D4A84" w:rsidP="00A64B3D">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72F12D6A" w14:textId="37C3FCBF"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(dwa zastrzyki 80 mg w ciągu jednego dnia lub jeden zastrzyk 80 mg dziennie przez dwie kolejne datys), a po dwóch tygodniach dawka 80 mg (jeden zastrzyk 80mg w jeden dzień). Po kolejnych dwóch tygodniach należy kontynuować leczenie stosując dawkę 40 mg raz w tygodniu lub 80 mg co drugi tydzień, zgodnie z zaleceniami lekarza.</w:t>
            </w:r>
          </w:p>
        </w:tc>
        <w:tc>
          <w:tcPr>
            <w:tcW w:w="3096" w:type="dxa"/>
            <w:tcBorders>
              <w:top w:val="single" w:sz="5" w:space="0" w:color="000000"/>
              <w:left w:val="single" w:sz="5" w:space="0" w:color="000000"/>
              <w:bottom w:val="single" w:sz="5" w:space="0" w:color="000000"/>
              <w:right w:val="single" w:sz="5" w:space="0" w:color="000000"/>
            </w:tcBorders>
          </w:tcPr>
          <w:p w14:paraId="2968423B" w14:textId="77777777" w:rsidR="001D4A84" w:rsidRPr="008F328C" w:rsidRDefault="001D4A84" w:rsidP="00A64B3D">
            <w:pPr>
              <w:pStyle w:val="TableParagraph"/>
              <w:spacing w:line="248"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4"/>
                <w:lang w:val="pl-PL"/>
              </w:rPr>
              <w:t>Zaleca się codzienne</w:t>
            </w:r>
            <w:r w:rsidRPr="008F328C">
              <w:rPr>
                <w:rFonts w:ascii="Times New Roman" w:eastAsia="Times New Roman" w:hAnsi="Times New Roman" w:cs="Times New Roman"/>
                <w:spacing w:val="-1"/>
                <w:lang w:val="pl-PL"/>
              </w:rPr>
              <w:t xml:space="preserve"> przemywanie zmienionej chorobowo powierzchni skóry środkiem antyseptycznym.</w:t>
            </w:r>
          </w:p>
        </w:tc>
      </w:tr>
      <w:tr w:rsidR="001D4A84" w:rsidRPr="00A5286D" w14:paraId="59EC9045"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4E5AAB94" w14:textId="74C3F38A" w:rsidR="001D4A84" w:rsidRPr="008F328C" w:rsidRDefault="001D4A84"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Młodzież w wieku od 12 do 17 lat,</w:t>
            </w:r>
            <w:r w:rsidR="00AD57EB">
              <w:rPr>
                <w:rFonts w:ascii="Times New Roman" w:eastAsia="Times New Roman" w:hAnsi="Times New Roman" w:cs="Times New Roman"/>
                <w:spacing w:val="-1"/>
                <w:lang w:val="pl-PL"/>
              </w:rPr>
              <w:t xml:space="preserve"> </w:t>
            </w:r>
            <w:r w:rsidRPr="008F328C">
              <w:rPr>
                <w:rFonts w:ascii="Times New Roman" w:eastAsia="Times New Roman" w:hAnsi="Times New Roman" w:cs="Times New Roman"/>
                <w:spacing w:val="-1"/>
                <w:lang w:val="pl-PL"/>
              </w:rPr>
              <w:t>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077519CC"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 mg w jeden dzień), a następnie po upływie jednego tygodnia dawka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26B5019"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Jeśli odpowiedź</w:t>
            </w:r>
            <w:r w:rsidRPr="008F328C">
              <w:rPr>
                <w:rFonts w:ascii="Times New Roman" w:eastAsia="Times New Roman" w:hAnsi="Times New Roman" w:cs="Times New Roman"/>
                <w:lang w:val="pl-PL"/>
              </w:rPr>
              <w:t xml:space="preserve"> na leczenie lekiem Yuflyma 40 mg co drugi tydzień jest niewystarczająca, lekarz może zwiększyć dawkowanie do 40 mg raz w tygodniu lub 80 mg co </w:t>
            </w:r>
            <w:r w:rsidRPr="008F328C">
              <w:rPr>
                <w:rFonts w:ascii="Times New Roman" w:eastAsia="Times New Roman" w:hAnsi="Times New Roman" w:cs="Times New Roman"/>
                <w:spacing w:val="-1"/>
                <w:lang w:val="pl-PL"/>
              </w:rPr>
              <w:t>drugi tydzień.</w:t>
            </w:r>
            <w:r w:rsidRPr="008F328C">
              <w:rPr>
                <w:rFonts w:ascii="Times New Roman" w:eastAsia="Times New Roman" w:hAnsi="Times New Roman" w:cs="Times New Roman"/>
                <w:spacing w:val="-4"/>
                <w:lang w:val="pl-PL"/>
              </w:rPr>
              <w:t xml:space="preserve"> Zaleca się codzienne przemywanie zmienionej chorobowo powierzchni skóry środkiem antyseptycznym</w:t>
            </w:r>
          </w:p>
        </w:tc>
      </w:tr>
    </w:tbl>
    <w:p w14:paraId="636781F4" w14:textId="77777777" w:rsidR="001D4A84" w:rsidRPr="008F328C" w:rsidRDefault="001D4A84" w:rsidP="001D4A84">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8F328C" w14:paraId="0935D581"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14F15425" w14:textId="77777777" w:rsidR="001D4A84" w:rsidRPr="008F328C" w:rsidRDefault="001D4A84" w:rsidP="00A64B3D">
            <w:pPr>
              <w:pStyle w:val="TableParagraph"/>
              <w:spacing w:line="251"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Choroba Leśniowskiego-Crohna</w:t>
            </w:r>
          </w:p>
        </w:tc>
      </w:tr>
      <w:tr w:rsidR="001D4A84" w:rsidRPr="008F328C" w14:paraId="0D5880F0"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714C62F8"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1A7DAB46" w14:textId="77777777" w:rsidR="001D4A84" w:rsidRPr="008F328C" w:rsidRDefault="001D4A84" w:rsidP="00A64B3D">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6220548D"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0C0F49A2"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07EF77B5" w14:textId="0880297B" w:rsidR="001D4A84" w:rsidRPr="008F328C" w:rsidRDefault="001D4A84" w:rsidP="00D97EE5">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Dorośli, młodzież i dzieci</w:t>
            </w:r>
            <w:r w:rsidR="00AD57EB">
              <w:rPr>
                <w:rFonts w:ascii="Times New Roman" w:eastAsia="Times New Roman" w:hAnsi="Times New Roman" w:cs="Times New Roman"/>
                <w:lang w:val="pl-PL"/>
              </w:rPr>
              <w:t xml:space="preserve"> </w:t>
            </w:r>
            <w:r w:rsidRPr="008F328C">
              <w:rPr>
                <w:rFonts w:ascii="Times New Roman" w:eastAsia="Times New Roman" w:hAnsi="Times New Roman" w:cs="Times New Roman"/>
                <w:spacing w:val="-1"/>
                <w:lang w:val="pl-PL"/>
              </w:rPr>
              <w:t>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08D00BFC"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80mg w jeden dzień), a po dwóch tygodniach dawka 40 mg.</w:t>
            </w:r>
          </w:p>
          <w:p w14:paraId="306882FD" w14:textId="77777777" w:rsidR="001D4A84" w:rsidRPr="008F328C" w:rsidRDefault="001D4A84" w:rsidP="00A64B3D">
            <w:pPr>
              <w:pStyle w:val="TableParagraph"/>
              <w:spacing w:before="11" w:line="240" w:lineRule="exact"/>
              <w:rPr>
                <w:rFonts w:ascii="Times New Roman" w:hAnsi="Times New Roman" w:cs="Times New Roman"/>
                <w:sz w:val="24"/>
                <w:szCs w:val="24"/>
                <w:lang w:val="pl-PL"/>
              </w:rPr>
            </w:pPr>
          </w:p>
          <w:p w14:paraId="3475DF7B" w14:textId="77777777" w:rsidR="001D4A84" w:rsidRPr="008F328C" w:rsidRDefault="001D4A84" w:rsidP="00A64B3D">
            <w:pPr>
              <w:pStyle w:val="TableParagraph"/>
              <w:ind w:left="102" w:right="76"/>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 xml:space="preserve">Jeśli jest konieczne uzyskanie szybszej odpowiedzi na leczenie, lekarz może przepisać pierwszą dawkę 160 mg (dwa zastrzyki 80 mg w ciągu jednego dnia lub jeden zastrzyk 80 mg dziennie przez dwie kolejne datys), a po </w:t>
            </w:r>
            <w:r w:rsidRPr="008F328C">
              <w:rPr>
                <w:rFonts w:ascii="Times New Roman" w:eastAsia="Times New Roman" w:hAnsi="Times New Roman" w:cs="Times New Roman"/>
                <w:spacing w:val="-1"/>
                <w:lang w:val="pl-PL"/>
              </w:rPr>
              <w:lastRenderedPageBreak/>
              <w:t>dwóch tygodniach 80 mg (jeden zastrzyk 80mg w jeden dzień).</w:t>
            </w:r>
          </w:p>
          <w:p w14:paraId="290B34AC" w14:textId="77777777" w:rsidR="001D4A84" w:rsidRPr="008F328C" w:rsidRDefault="001D4A84" w:rsidP="00A64B3D">
            <w:pPr>
              <w:pStyle w:val="TableParagraph"/>
              <w:spacing w:before="17" w:line="240" w:lineRule="exact"/>
              <w:rPr>
                <w:rFonts w:ascii="Times New Roman" w:hAnsi="Times New Roman" w:cs="Times New Roman"/>
                <w:sz w:val="24"/>
                <w:szCs w:val="24"/>
                <w:lang w:val="pl-PL"/>
              </w:rPr>
            </w:pPr>
          </w:p>
          <w:p w14:paraId="7B8A9E6E" w14:textId="34717996" w:rsidR="001D4A84" w:rsidRPr="008F328C" w:rsidRDefault="001D4A84">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FECD760"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lastRenderedPageBreak/>
              <w:t>Lekarz może zwiększyć dawkowanie do 40 mg co tydzień lub 80 mg co drugi tydzień.</w:t>
            </w:r>
          </w:p>
        </w:tc>
      </w:tr>
      <w:tr w:rsidR="00AD57EB" w:rsidRPr="00A5286D" w14:paraId="4698FF0B"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38F1A0BE" w14:textId="5913BE1F" w:rsidR="00AD57EB" w:rsidRPr="008F328C" w:rsidRDefault="00AD57EB" w:rsidP="00AD57EB">
            <w:pPr>
              <w:pStyle w:val="TableParagraph"/>
              <w:spacing w:line="246" w:lineRule="exact"/>
              <w:ind w:left="102" w:right="57"/>
              <w:rPr>
                <w:rFonts w:ascii="Times New Roman" w:eastAsia="Times New Roman" w:hAnsi="Times New Roman" w:cs="Times New Roman"/>
                <w:lang w:val="pl-PL"/>
              </w:rPr>
            </w:pPr>
            <w:r w:rsidRPr="001E41EB">
              <w:rPr>
                <w:rFonts w:ascii="Times New Roman" w:eastAsia="Times New Roman" w:hAnsi="Times New Roman" w:cs="Times New Roman"/>
                <w:lang w:val="pl-PL"/>
              </w:rPr>
              <w:t>Dzieci i młodzież w wieku od 6 do 17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28B06407" w14:textId="657187DF" w:rsidR="00AD57EB" w:rsidRPr="008F328C" w:rsidRDefault="00AD57EB" w:rsidP="00AD57EB">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lang w:val="pl-PL"/>
              </w:rPr>
              <w:t>Pierwsza dawka 40 mg, a następnie 20 mg dwa tygodnie później. Jeśli jest konieczne uzyskanie szybszej odpowiedzi na leczenie, lekarz może przepisać pierwszą dawkę 80 mg (jedno wstrzyknięcie dawki 80 mg), a po dwóch tygodniach dawkę 40 mg. 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11FA3391" w14:textId="4F766355" w:rsidR="00AD57EB" w:rsidRPr="008F328C" w:rsidRDefault="00AD57EB" w:rsidP="00AD57EB">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lang w:val="pl-PL"/>
              </w:rPr>
              <w:t>Lekarz może zwiększyć częstość podawania dawki do 20 mg co tydzień.</w:t>
            </w:r>
          </w:p>
        </w:tc>
      </w:tr>
    </w:tbl>
    <w:p w14:paraId="41887177" w14:textId="77777777" w:rsidR="001D4A84" w:rsidRPr="008F328C" w:rsidRDefault="001D4A84" w:rsidP="001D4A84">
      <w:pPr>
        <w:spacing w:before="7" w:line="90" w:lineRule="exact"/>
        <w:rPr>
          <w:rFonts w:ascii="Times New Roman" w:hAnsi="Times New Roman" w:cs="Times New Roman"/>
          <w:sz w:val="9"/>
          <w:szCs w:val="9"/>
          <w:lang w:val="pl-PL"/>
        </w:rPr>
      </w:pPr>
    </w:p>
    <w:p w14:paraId="2A75C31D" w14:textId="77777777" w:rsidR="001D4A84" w:rsidRPr="008F328C" w:rsidRDefault="001D4A84" w:rsidP="001D4A84">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A5286D" w14:paraId="416762BB"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02CB040F" w14:textId="77777777" w:rsidR="001D4A84" w:rsidRPr="008F328C" w:rsidRDefault="001D4A84" w:rsidP="00A64B3D">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Wrzodziejące zapalenie jelita grubego (WZJG)</w:t>
            </w:r>
          </w:p>
        </w:tc>
      </w:tr>
      <w:tr w:rsidR="001D4A84" w:rsidRPr="008F328C" w14:paraId="19E7D5E8"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36436B04"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536D4315"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21B3532C" w14:textId="77777777" w:rsidR="001D4A84" w:rsidRPr="008F328C" w:rsidRDefault="001D4A84" w:rsidP="00A64B3D">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778A90F4"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2A0F229A"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6E05E318"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72E60A4C"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160 mg (dwa zastrzyki 80 mg w ciągu jednego dnia lub jeden zastrzyk 80 mg dziennie przez dwie kolejne datys), a po dwóch tygodniach 80 mg (jeden zastrzyk 80mg w jeden dzień).</w:t>
            </w:r>
          </w:p>
          <w:p w14:paraId="7E260C1A" w14:textId="77777777" w:rsidR="001D4A84" w:rsidRPr="008F328C" w:rsidRDefault="001D4A84" w:rsidP="00A64B3D">
            <w:pPr>
              <w:pStyle w:val="TableParagraph"/>
              <w:spacing w:before="17" w:line="240" w:lineRule="exact"/>
              <w:rPr>
                <w:rFonts w:ascii="Times New Roman" w:hAnsi="Times New Roman" w:cs="Times New Roman"/>
                <w:sz w:val="24"/>
                <w:szCs w:val="24"/>
                <w:lang w:val="pl-PL"/>
              </w:rPr>
            </w:pPr>
          </w:p>
          <w:p w14:paraId="09474BF4" w14:textId="00522F09" w:rsidR="001D4A84" w:rsidRPr="008F328C" w:rsidRDefault="001D4A84">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F397376"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zwiększyć dawkowanie do 40 mg co tydzień lub 80 mg co drugi tydzień.</w:t>
            </w:r>
          </w:p>
        </w:tc>
      </w:tr>
      <w:tr w:rsidR="001D4A84" w:rsidRPr="00A5286D" w14:paraId="5B6DEE9E"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21AF3248" w14:textId="77777777" w:rsidR="001D4A84" w:rsidRPr="008F328C" w:rsidRDefault="001D4A84" w:rsidP="00A64B3D">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5928C0CF" w14:textId="0DEA30A3" w:rsidR="001D4A84" w:rsidRPr="008F328C" w:rsidRDefault="001D4A84" w:rsidP="00A64B3D">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w:t>
            </w:r>
            <w:r w:rsidR="00992D0A"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w:t>
            </w:r>
            <w:r w:rsidR="00992D0A"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0 mg w ciągu jednej doby), a po dwóch tygodniach dawka 40 mg (jedno wstrzyknięcie dawki 40 mg).</w:t>
            </w:r>
          </w:p>
          <w:p w14:paraId="0B799813" w14:textId="77777777" w:rsidR="001D4A84" w:rsidRPr="008F328C" w:rsidRDefault="001D4A84" w:rsidP="00A64B3D">
            <w:pPr>
              <w:numPr>
                <w:ilvl w:val="12"/>
                <w:numId w:val="0"/>
              </w:numPr>
              <w:ind w:left="102" w:right="57"/>
              <w:rPr>
                <w:rFonts w:ascii="Times New Roman" w:eastAsia="Times New Roman" w:hAnsi="Times New Roman" w:cs="Times New Roman"/>
                <w:spacing w:val="-1"/>
                <w:lang w:val="pl-PL"/>
              </w:rPr>
            </w:pPr>
          </w:p>
          <w:p w14:paraId="6D9E55E4" w14:textId="6BE320F1" w:rsidR="001D4A84" w:rsidRPr="008F328C" w:rsidRDefault="001D4A84">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6E5203F0" w14:textId="77777777" w:rsidR="001D4A84" w:rsidRPr="008F328C" w:rsidRDefault="001D4A84" w:rsidP="00A64B3D">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Należy kontynuować przyjmowanie zwykle stosowanej dawki leku Yuflyma, nawet po ukończeniu 18 lat.</w:t>
            </w:r>
          </w:p>
        </w:tc>
      </w:tr>
      <w:tr w:rsidR="001D4A84" w:rsidRPr="00A5286D" w14:paraId="32D2E092"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23681AE9" w14:textId="77777777" w:rsidR="001D4A84" w:rsidRPr="008F328C" w:rsidRDefault="001D4A84" w:rsidP="00A64B3D">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6BDD2B9E" w14:textId="3DD41AF9" w:rsidR="001D4A84" w:rsidRPr="008F328C" w:rsidRDefault="001D4A84" w:rsidP="00A64B3D">
            <w:pPr>
              <w:numPr>
                <w:ilvl w:val="12"/>
                <w:numId w:val="0"/>
              </w:numPr>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160 mg (</w:t>
            </w:r>
            <w:r w:rsidR="00992D0A" w:rsidRPr="008F328C">
              <w:rPr>
                <w:rFonts w:ascii="Times New Roman" w:eastAsia="Times New Roman" w:hAnsi="Times New Roman" w:cs="Times New Roman"/>
                <w:spacing w:val="-1"/>
                <w:lang w:val="pl-PL"/>
              </w:rPr>
              <w:t>dwa</w:t>
            </w:r>
            <w:r w:rsidRPr="008F328C">
              <w:rPr>
                <w:rFonts w:ascii="Times New Roman" w:eastAsia="Times New Roman" w:hAnsi="Times New Roman" w:cs="Times New Roman"/>
                <w:spacing w:val="-1"/>
                <w:lang w:val="pl-PL"/>
              </w:rPr>
              <w:t xml:space="preserve"> wstrzyknięcia dawki </w:t>
            </w:r>
            <w:r w:rsidR="00992D0A"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 xml:space="preserve">0 mg w ciągu jednej doby lub </w:t>
            </w:r>
            <w:r w:rsidR="00992D0A"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w:t>
            </w:r>
            <w:r w:rsidR="00992D0A"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0 mg na dobę przez dwa kolejne dni), a po dwóch tygodniach dawka 80 mg (</w:t>
            </w:r>
            <w:r w:rsidR="00992D0A" w:rsidRPr="008F328C">
              <w:rPr>
                <w:rFonts w:ascii="Times New Roman" w:eastAsia="Times New Roman" w:hAnsi="Times New Roman" w:cs="Times New Roman"/>
                <w:spacing w:val="-1"/>
                <w:lang w:val="pl-PL"/>
              </w:rPr>
              <w:t>jeden</w:t>
            </w:r>
            <w:r w:rsidRPr="008F328C">
              <w:rPr>
                <w:rFonts w:ascii="Times New Roman" w:eastAsia="Times New Roman" w:hAnsi="Times New Roman" w:cs="Times New Roman"/>
                <w:spacing w:val="-1"/>
                <w:lang w:val="pl-PL"/>
              </w:rPr>
              <w:t xml:space="preserve"> wstrzyknięcia dawki </w:t>
            </w:r>
            <w:r w:rsidR="00992D0A" w:rsidRPr="008F328C">
              <w:rPr>
                <w:rFonts w:ascii="Times New Roman" w:eastAsia="Times New Roman" w:hAnsi="Times New Roman" w:cs="Times New Roman"/>
                <w:spacing w:val="-1"/>
                <w:lang w:val="pl-PL"/>
              </w:rPr>
              <w:t>8</w:t>
            </w:r>
            <w:r w:rsidRPr="008F328C">
              <w:rPr>
                <w:rFonts w:ascii="Times New Roman" w:eastAsia="Times New Roman" w:hAnsi="Times New Roman" w:cs="Times New Roman"/>
                <w:spacing w:val="-1"/>
                <w:lang w:val="pl-PL"/>
              </w:rPr>
              <w:t>0 mg w ciągu jednej doby).</w:t>
            </w:r>
          </w:p>
          <w:p w14:paraId="1EDF3779" w14:textId="77777777" w:rsidR="001D4A84" w:rsidRPr="008F328C" w:rsidRDefault="001D4A84" w:rsidP="00A64B3D">
            <w:pPr>
              <w:numPr>
                <w:ilvl w:val="12"/>
                <w:numId w:val="0"/>
              </w:numPr>
              <w:ind w:left="102" w:right="57"/>
              <w:rPr>
                <w:rFonts w:ascii="Times New Roman" w:eastAsia="Times New Roman" w:hAnsi="Times New Roman" w:cs="Times New Roman"/>
                <w:spacing w:val="-1"/>
                <w:lang w:val="pl-PL"/>
              </w:rPr>
            </w:pPr>
          </w:p>
          <w:p w14:paraId="1E0D9E7E" w14:textId="416E02E2" w:rsidR="001D4A84" w:rsidRPr="008F328C" w:rsidRDefault="001D4A84">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Następnie zwykle stosowana dawka wynosi 80 mg co drugi </w:t>
            </w:r>
            <w:r w:rsidRPr="008F328C">
              <w:rPr>
                <w:rFonts w:ascii="Times New Roman" w:eastAsia="Times New Roman" w:hAnsi="Times New Roman" w:cs="Times New Roman"/>
                <w:spacing w:val="-1"/>
                <w:lang w:val="pl-PL"/>
              </w:rPr>
              <w:lastRenderedPageBreak/>
              <w:t>tydzień.</w:t>
            </w:r>
          </w:p>
        </w:tc>
        <w:tc>
          <w:tcPr>
            <w:tcW w:w="3096" w:type="dxa"/>
            <w:tcBorders>
              <w:top w:val="single" w:sz="5" w:space="0" w:color="000000"/>
              <w:left w:val="single" w:sz="5" w:space="0" w:color="000000"/>
              <w:bottom w:val="single" w:sz="5" w:space="0" w:color="000000"/>
              <w:right w:val="single" w:sz="5" w:space="0" w:color="000000"/>
            </w:tcBorders>
          </w:tcPr>
          <w:p w14:paraId="0B861B52" w14:textId="77777777" w:rsidR="001D4A84" w:rsidRPr="008F328C" w:rsidRDefault="001D4A84" w:rsidP="00A64B3D">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Należy kontynuować przyjmowanie zwykle stosowanej dawki leku Yuflyma, nawet po ukończeniu 18 lat.</w:t>
            </w:r>
          </w:p>
        </w:tc>
      </w:tr>
    </w:tbl>
    <w:p w14:paraId="5EFE1B53" w14:textId="77777777" w:rsidR="001D4A84" w:rsidRPr="008F328C" w:rsidRDefault="001D4A84" w:rsidP="001D4A84">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1D4A84" w:rsidRPr="00A5286D" w14:paraId="0DB53FE2" w14:textId="77777777" w:rsidTr="00A64B3D">
        <w:tc>
          <w:tcPr>
            <w:tcW w:w="9288" w:type="dxa"/>
            <w:gridSpan w:val="3"/>
            <w:tcBorders>
              <w:top w:val="single" w:sz="5" w:space="0" w:color="000000"/>
              <w:left w:val="single" w:sz="5" w:space="0" w:color="000000"/>
              <w:bottom w:val="single" w:sz="5" w:space="0" w:color="000000"/>
              <w:right w:val="single" w:sz="5" w:space="0" w:color="000000"/>
            </w:tcBorders>
          </w:tcPr>
          <w:p w14:paraId="556B3AA2" w14:textId="77777777" w:rsidR="001D4A84" w:rsidRPr="008F328C" w:rsidRDefault="001D4A84" w:rsidP="00A64B3D">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Nieinfekcyjne zapalenie błony naczyniowej oka</w:t>
            </w:r>
          </w:p>
        </w:tc>
      </w:tr>
      <w:tr w:rsidR="001D4A84" w:rsidRPr="008F328C" w14:paraId="393B282A"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7D606B35"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76FDD39A"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02ABA4D3" w14:textId="77777777" w:rsidR="001D4A84" w:rsidRPr="008F328C" w:rsidRDefault="001D4A84" w:rsidP="00A64B3D">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0DDED918" w14:textId="77777777" w:rsidR="001D4A84" w:rsidRPr="008F328C" w:rsidRDefault="001D4A84" w:rsidP="00A64B3D">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1D4A84" w:rsidRPr="00A5286D" w14:paraId="6DB7F0EB"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2D80B7D0"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w:t>
            </w:r>
          </w:p>
        </w:tc>
        <w:tc>
          <w:tcPr>
            <w:tcW w:w="3096" w:type="dxa"/>
            <w:tcBorders>
              <w:top w:val="single" w:sz="5" w:space="0" w:color="000000"/>
              <w:left w:val="single" w:sz="5" w:space="0" w:color="000000"/>
              <w:bottom w:val="single" w:sz="5" w:space="0" w:color="000000"/>
              <w:right w:val="single" w:sz="5" w:space="0" w:color="000000"/>
            </w:tcBorders>
          </w:tcPr>
          <w:p w14:paraId="3E187743"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Pierwsza dawka 80 mg (jeden zastrzyk 80mg w jeden dzień), a następnie po upływie jednego tygodnia dawka 40 mg co drugi</w:t>
            </w:r>
          </w:p>
          <w:p w14:paraId="4BA410DE" w14:textId="77777777" w:rsidR="001D4A84" w:rsidRPr="008F328C" w:rsidRDefault="001D4A84" w:rsidP="00A64B3D">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tydzień.</w:t>
            </w:r>
          </w:p>
        </w:tc>
        <w:tc>
          <w:tcPr>
            <w:tcW w:w="3096" w:type="dxa"/>
            <w:tcBorders>
              <w:top w:val="single" w:sz="5" w:space="0" w:color="000000"/>
              <w:left w:val="single" w:sz="5" w:space="0" w:color="000000"/>
              <w:bottom w:val="single" w:sz="5" w:space="0" w:color="000000"/>
              <w:right w:val="single" w:sz="5" w:space="0" w:color="000000"/>
            </w:tcBorders>
          </w:tcPr>
          <w:p w14:paraId="7027F215" w14:textId="77777777" w:rsidR="001D4A84" w:rsidRPr="008F328C" w:rsidRDefault="001D4A84" w:rsidP="00A64B3D">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Podczas stosowania leku Yuflyma można nadal przyjmować kortykosteroidy lub inne leki, które wpływają na układ immunologiczny.</w:t>
            </w:r>
          </w:p>
          <w:p w14:paraId="477EFCE0" w14:textId="77777777" w:rsidR="001D4A84" w:rsidRPr="008F328C" w:rsidRDefault="001D4A84" w:rsidP="00A64B3D">
            <w:pPr>
              <w:pStyle w:val="TableParagraph"/>
              <w:spacing w:before="1"/>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 Yuflyma można również stosować jako jedyny lek</w:t>
            </w:r>
          </w:p>
        </w:tc>
      </w:tr>
      <w:tr w:rsidR="00AD57EB" w:rsidRPr="00A5286D" w14:paraId="5BE80F39"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55F2B1AC" w14:textId="18E486EE" w:rsidR="00AD57EB" w:rsidRPr="008F328C" w:rsidRDefault="00AD57EB" w:rsidP="00AD57EB">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Dzieci i młodzież w wieku od 2 lat o masie ciała poniżej 30 kg</w:t>
            </w:r>
          </w:p>
        </w:tc>
        <w:tc>
          <w:tcPr>
            <w:tcW w:w="3096" w:type="dxa"/>
            <w:tcBorders>
              <w:top w:val="single" w:sz="5" w:space="0" w:color="000000"/>
              <w:left w:val="single" w:sz="5" w:space="0" w:color="000000"/>
              <w:bottom w:val="single" w:sz="5" w:space="0" w:color="000000"/>
              <w:right w:val="single" w:sz="5" w:space="0" w:color="000000"/>
            </w:tcBorders>
          </w:tcPr>
          <w:p w14:paraId="5A96FE55" w14:textId="12191A7A" w:rsidR="00AD57EB" w:rsidRPr="008F328C" w:rsidRDefault="00AD57EB" w:rsidP="00AD57EB">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6DA7DD77" w14:textId="03F60A04" w:rsidR="00AD57EB" w:rsidRPr="008F328C" w:rsidRDefault="00AD57EB" w:rsidP="00AD57EB">
            <w:pPr>
              <w:pStyle w:val="TableParagraph"/>
              <w:spacing w:line="246" w:lineRule="exact"/>
              <w:ind w:left="102" w:right="57"/>
              <w:rPr>
                <w:rFonts w:ascii="Times New Roman" w:eastAsia="Times New Roman" w:hAnsi="Times New Roman" w:cs="Times New Roman"/>
                <w:spacing w:val="-1"/>
                <w:lang w:val="pl-PL"/>
              </w:rPr>
            </w:pPr>
            <w:r w:rsidRPr="001E41EB">
              <w:rPr>
                <w:rFonts w:ascii="Times New Roman" w:eastAsia="Times New Roman" w:hAnsi="Times New Roman" w:cs="Times New Roman"/>
                <w:spacing w:val="-1"/>
                <w:lang w:val="pl-PL"/>
              </w:rPr>
              <w:t xml:space="preserve">Lekarz może przepisać dawkę początkową 40 mg do podania jeden tydzień przed rozpoczęciem stosowania </w:t>
            </w:r>
            <w:r w:rsidR="00A92FC5">
              <w:rPr>
                <w:rFonts w:ascii="Times New Roman" w:eastAsia="Times New Roman" w:hAnsi="Times New Roman" w:cs="Times New Roman"/>
                <w:spacing w:val="-1"/>
                <w:lang w:val="pl-PL"/>
              </w:rPr>
              <w:t>zazwyczaj stosowanej</w:t>
            </w:r>
            <w:r w:rsidRPr="001E41EB">
              <w:rPr>
                <w:rFonts w:ascii="Times New Roman" w:eastAsia="Times New Roman" w:hAnsi="Times New Roman" w:cs="Times New Roman"/>
                <w:spacing w:val="-1"/>
                <w:lang w:val="pl-PL"/>
              </w:rPr>
              <w:t xml:space="preserve"> dawki 20 mg co drugi tydzień. Zaleca się stosowanie leku </w:t>
            </w:r>
            <w:r w:rsidR="00407CE8">
              <w:rPr>
                <w:rFonts w:ascii="Times New Roman" w:eastAsia="Times New Roman" w:hAnsi="Times New Roman" w:cs="Times New Roman"/>
                <w:spacing w:val="-1"/>
                <w:lang w:val="pl-PL"/>
              </w:rPr>
              <w:t>Yuflyma</w:t>
            </w:r>
            <w:r w:rsidRPr="001E41EB">
              <w:rPr>
                <w:rFonts w:ascii="Times New Roman" w:eastAsia="Times New Roman" w:hAnsi="Times New Roman" w:cs="Times New Roman"/>
                <w:spacing w:val="-1"/>
                <w:lang w:val="pl-PL"/>
              </w:rPr>
              <w:t xml:space="preserve"> w połączeniu z metotreksatem.</w:t>
            </w:r>
          </w:p>
        </w:tc>
      </w:tr>
      <w:tr w:rsidR="00AD57EB" w:rsidRPr="00A5286D" w14:paraId="12226C64" w14:textId="77777777" w:rsidTr="00A64B3D">
        <w:tc>
          <w:tcPr>
            <w:tcW w:w="3096" w:type="dxa"/>
            <w:tcBorders>
              <w:top w:val="single" w:sz="5" w:space="0" w:color="000000"/>
              <w:left w:val="single" w:sz="5" w:space="0" w:color="000000"/>
              <w:bottom w:val="single" w:sz="5" w:space="0" w:color="000000"/>
              <w:right w:val="single" w:sz="5" w:space="0" w:color="000000"/>
            </w:tcBorders>
          </w:tcPr>
          <w:p w14:paraId="44A25584" w14:textId="77777777" w:rsidR="00AD57EB" w:rsidRPr="008F328C" w:rsidRDefault="00AD57EB" w:rsidP="00AD57E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w:t>
            </w:r>
            <w:r w:rsidRPr="008F328C">
              <w:rPr>
                <w:rFonts w:ascii="Times New Roman" w:eastAsia="Times New Roman" w:hAnsi="Times New Roman" w:cs="Times New Roman"/>
                <w:lang w:val="pl-PL"/>
              </w:rPr>
              <w:t xml:space="preserve">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22B78365" w14:textId="77777777" w:rsidR="00AD57EB" w:rsidRPr="008F328C" w:rsidRDefault="00AD57EB" w:rsidP="00AD57E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75387661" w14:textId="77777777" w:rsidR="00AD57EB" w:rsidRPr="008F328C" w:rsidRDefault="00AD57EB" w:rsidP="00AD57E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Lekarz może przepisać dawkę początkową 80 mg do podania jeden tydzień przed rozpoczęciem stosowania zwykłej dawki</w:t>
            </w:r>
            <w:r w:rsidRPr="008F328C">
              <w:rPr>
                <w:rFonts w:ascii="Times New Roman" w:eastAsia="Times New Roman" w:hAnsi="Times New Roman" w:cs="Times New Roman"/>
                <w:lang w:val="pl-PL"/>
              </w:rPr>
              <w:t xml:space="preserve"> 40 mg co drugi tydzień. Zaleca się stosowanie leku Yuflyma w połączeniu z metotreksatem.</w:t>
            </w:r>
          </w:p>
        </w:tc>
      </w:tr>
    </w:tbl>
    <w:p w14:paraId="67CDE05A" w14:textId="77777777" w:rsidR="00094D21" w:rsidRPr="008F328C" w:rsidRDefault="00094D21" w:rsidP="00094D21">
      <w:pPr>
        <w:pStyle w:val="a3"/>
        <w:rPr>
          <w:lang w:val="pl-PL"/>
        </w:rPr>
      </w:pPr>
    </w:p>
    <w:p w14:paraId="6024D9AD" w14:textId="77777777" w:rsidR="00094D21" w:rsidRPr="008F328C" w:rsidRDefault="00094D21" w:rsidP="00094D21">
      <w:pPr>
        <w:pStyle w:val="a3"/>
        <w:rPr>
          <w:b/>
          <w:lang w:val="pl-PL"/>
        </w:rPr>
      </w:pPr>
      <w:r w:rsidRPr="008F328C">
        <w:rPr>
          <w:rFonts w:eastAsia="Times New Roman"/>
          <w:b/>
          <w:bCs/>
          <w:lang w:val="pl-PL"/>
        </w:rPr>
        <w:t>Sposób i droga podania</w:t>
      </w:r>
    </w:p>
    <w:p w14:paraId="00BF9ACB" w14:textId="77777777" w:rsidR="00094D21" w:rsidRPr="008F328C" w:rsidRDefault="00094D21" w:rsidP="00094D21">
      <w:pPr>
        <w:spacing w:before="9" w:line="240" w:lineRule="exact"/>
        <w:rPr>
          <w:rFonts w:ascii="Times New Roman" w:hAnsi="Times New Roman" w:cs="Times New Roman"/>
          <w:sz w:val="24"/>
          <w:szCs w:val="24"/>
          <w:lang w:val="pl-PL"/>
        </w:rPr>
      </w:pPr>
    </w:p>
    <w:p w14:paraId="51A20229" w14:textId="77777777" w:rsidR="00094D21" w:rsidRPr="008F328C" w:rsidRDefault="00094D21" w:rsidP="00094D21">
      <w:pPr>
        <w:pStyle w:val="a3"/>
        <w:rPr>
          <w:lang w:val="pl-PL"/>
        </w:rPr>
      </w:pPr>
      <w:r w:rsidRPr="008F328C">
        <w:rPr>
          <w:rFonts w:eastAsia="Times New Roman"/>
          <w:lang w:val="pl-PL"/>
        </w:rPr>
        <w:t>Lek Yuflyma podaje się we wstrzyknięciu podskórnym.</w:t>
      </w:r>
    </w:p>
    <w:p w14:paraId="4F39C360" w14:textId="77777777" w:rsidR="00094D21" w:rsidRPr="008F328C" w:rsidRDefault="00094D21" w:rsidP="00094D21">
      <w:pPr>
        <w:spacing w:before="18" w:line="240" w:lineRule="exact"/>
        <w:rPr>
          <w:rFonts w:ascii="Times New Roman" w:hAnsi="Times New Roman" w:cs="Times New Roman"/>
          <w:sz w:val="24"/>
          <w:szCs w:val="24"/>
          <w:lang w:val="pl-PL"/>
        </w:rPr>
      </w:pPr>
    </w:p>
    <w:p w14:paraId="76090F11" w14:textId="77777777" w:rsidR="00094D21" w:rsidRPr="008F328C" w:rsidRDefault="00094D21" w:rsidP="00094D21">
      <w:pPr>
        <w:pStyle w:val="a3"/>
        <w:rPr>
          <w:b/>
          <w:lang w:val="pl-PL"/>
        </w:rPr>
      </w:pPr>
      <w:r w:rsidRPr="008F328C">
        <w:rPr>
          <w:rFonts w:eastAsia="Times New Roman"/>
          <w:b/>
          <w:bCs/>
          <w:lang w:val="pl-PL"/>
        </w:rPr>
        <w:t>Szczegółowe instrukcje jak wstrzykiwać lek Yuflyma podano w punkcie 7. „Instrukcja stosowania”.</w:t>
      </w:r>
    </w:p>
    <w:p w14:paraId="5493ED2B" w14:textId="77777777" w:rsidR="00094D21" w:rsidRPr="008F328C" w:rsidRDefault="00094D21" w:rsidP="00094D21">
      <w:pPr>
        <w:pStyle w:val="a3"/>
        <w:rPr>
          <w:b/>
          <w:lang w:val="pl-PL"/>
        </w:rPr>
      </w:pPr>
    </w:p>
    <w:p w14:paraId="49FE7D56" w14:textId="77777777" w:rsidR="00094D21" w:rsidRPr="008F328C" w:rsidRDefault="00094D21" w:rsidP="00094D21">
      <w:pPr>
        <w:pStyle w:val="a3"/>
        <w:rPr>
          <w:b/>
          <w:lang w:val="pl-PL"/>
        </w:rPr>
      </w:pPr>
      <w:r w:rsidRPr="008F328C">
        <w:rPr>
          <w:rFonts w:eastAsia="Times New Roman"/>
          <w:b/>
          <w:bCs/>
          <w:lang w:val="pl-PL"/>
        </w:rPr>
        <w:t>Przyjęcie większej niż zalecana dawki leku Yuflyma</w:t>
      </w:r>
    </w:p>
    <w:p w14:paraId="431B299A" w14:textId="77777777" w:rsidR="00094D21" w:rsidRPr="008F328C" w:rsidRDefault="00094D21" w:rsidP="00094D21">
      <w:pPr>
        <w:pStyle w:val="a3"/>
        <w:rPr>
          <w:lang w:val="pl-PL"/>
        </w:rPr>
      </w:pPr>
    </w:p>
    <w:p w14:paraId="0417DF3A" w14:textId="77777777" w:rsidR="00094D21" w:rsidRPr="008F328C" w:rsidRDefault="00094D21" w:rsidP="00094D21">
      <w:pPr>
        <w:pStyle w:val="a3"/>
        <w:rPr>
          <w:lang w:val="pl-PL"/>
        </w:rPr>
      </w:pPr>
      <w:r w:rsidRPr="008F328C">
        <w:rPr>
          <w:rFonts w:eastAsia="Times New Roman"/>
          <w:lang w:val="pl-PL"/>
        </w:rPr>
        <w:t>W razie przypadkowego wstrzyknięcia leku Yuflyma częściej niż to zalecił lekarz lub farmaceuta, należy zgłosić się do lekarza lub farmaceuty i powiedzieć o przyjęciu dodatkowej dawki. Zawsze należy ze sobą zabrać opakowanie zewnętrzne leku, nawet jeśli jest ono puste.</w:t>
      </w:r>
    </w:p>
    <w:p w14:paraId="22DB653A" w14:textId="77777777" w:rsidR="00094D21" w:rsidRPr="008F328C" w:rsidRDefault="00094D21" w:rsidP="00094D21">
      <w:pPr>
        <w:spacing w:before="18" w:line="240" w:lineRule="exact"/>
        <w:rPr>
          <w:rFonts w:ascii="Times New Roman" w:hAnsi="Times New Roman" w:cs="Times New Roman"/>
          <w:b/>
          <w:sz w:val="24"/>
          <w:szCs w:val="24"/>
          <w:lang w:val="pl-PL"/>
        </w:rPr>
      </w:pPr>
    </w:p>
    <w:p w14:paraId="55C71B8A" w14:textId="77777777" w:rsidR="00094D21" w:rsidRPr="008F328C" w:rsidRDefault="00094D21" w:rsidP="00094D21">
      <w:pPr>
        <w:pStyle w:val="a3"/>
        <w:rPr>
          <w:b/>
          <w:lang w:val="pl-PL"/>
        </w:rPr>
      </w:pPr>
      <w:r w:rsidRPr="008F328C">
        <w:rPr>
          <w:rFonts w:eastAsia="Times New Roman"/>
          <w:b/>
          <w:bCs/>
          <w:lang w:val="pl-PL"/>
        </w:rPr>
        <w:t>Pominięcie przyjęcia leku Yuflyma,</w:t>
      </w:r>
    </w:p>
    <w:p w14:paraId="5278632F" w14:textId="77777777" w:rsidR="00094D21" w:rsidRPr="008F328C" w:rsidRDefault="00094D21" w:rsidP="00094D21">
      <w:pPr>
        <w:spacing w:before="9" w:line="240" w:lineRule="exact"/>
        <w:rPr>
          <w:rFonts w:ascii="Times New Roman" w:hAnsi="Times New Roman" w:cs="Times New Roman"/>
          <w:sz w:val="24"/>
          <w:szCs w:val="24"/>
          <w:lang w:val="pl-PL"/>
        </w:rPr>
      </w:pPr>
    </w:p>
    <w:p w14:paraId="6F81EB0C" w14:textId="77777777" w:rsidR="00094D21" w:rsidRPr="008F328C" w:rsidRDefault="00094D21" w:rsidP="00094D21">
      <w:pPr>
        <w:pStyle w:val="a3"/>
        <w:rPr>
          <w:lang w:val="pl-PL"/>
        </w:rPr>
      </w:pPr>
      <w:r w:rsidRPr="008F328C">
        <w:rPr>
          <w:rFonts w:eastAsia="Times New Roman"/>
          <w:lang w:val="pl-PL"/>
        </w:rPr>
        <w:t>Jeśli pacjent zapomni wykonać wstrzyknięcie, powinien wstrzyknąć następną dawkę leku Yuflyma, gdy tylko sobie o tym przypomni. Kolejną dawkę należy wstrzyknąć w ustalonym pierwotnie dniu.</w:t>
      </w:r>
    </w:p>
    <w:p w14:paraId="6623178E" w14:textId="77777777" w:rsidR="00094D21" w:rsidRPr="008F328C" w:rsidRDefault="00094D21" w:rsidP="00094D21">
      <w:pPr>
        <w:spacing w:before="18" w:line="240" w:lineRule="exact"/>
        <w:rPr>
          <w:rFonts w:ascii="Times New Roman" w:hAnsi="Times New Roman" w:cs="Times New Roman"/>
          <w:sz w:val="24"/>
          <w:szCs w:val="24"/>
          <w:lang w:val="pl-PL"/>
        </w:rPr>
      </w:pPr>
    </w:p>
    <w:p w14:paraId="6B4B8783" w14:textId="77777777" w:rsidR="00094D21" w:rsidRPr="008F328C" w:rsidRDefault="00094D21" w:rsidP="00094D21">
      <w:pPr>
        <w:pStyle w:val="a3"/>
        <w:rPr>
          <w:b/>
          <w:lang w:val="pl-PL"/>
        </w:rPr>
      </w:pPr>
      <w:r w:rsidRPr="008F328C">
        <w:rPr>
          <w:rFonts w:eastAsia="Times New Roman"/>
          <w:b/>
          <w:bCs/>
          <w:lang w:val="pl-PL"/>
        </w:rPr>
        <w:t>Przerwanie przyjmowania leku Yuflyma</w:t>
      </w:r>
    </w:p>
    <w:p w14:paraId="4B9AA021" w14:textId="77777777" w:rsidR="00094D21" w:rsidRPr="008F328C" w:rsidRDefault="00094D21" w:rsidP="00094D21">
      <w:pPr>
        <w:spacing w:before="6" w:line="240" w:lineRule="exact"/>
        <w:rPr>
          <w:rFonts w:ascii="Times New Roman" w:hAnsi="Times New Roman" w:cs="Times New Roman"/>
          <w:sz w:val="24"/>
          <w:szCs w:val="24"/>
          <w:lang w:val="pl-PL"/>
        </w:rPr>
      </w:pPr>
    </w:p>
    <w:p w14:paraId="05FDEF6D" w14:textId="77777777" w:rsidR="00094D21" w:rsidRPr="008F328C" w:rsidRDefault="00094D21" w:rsidP="00094D21">
      <w:pPr>
        <w:pStyle w:val="a3"/>
        <w:rPr>
          <w:lang w:val="pl-PL"/>
        </w:rPr>
      </w:pPr>
      <w:r w:rsidRPr="008F328C">
        <w:rPr>
          <w:rFonts w:eastAsia="Times New Roman"/>
          <w:lang w:val="pl-PL"/>
        </w:rPr>
        <w:t>Decyzję o zaprzestaniu stosowania leku Yuflyma należy omówić z lekarzem. Po zaprzestaniu przyjmowania leku Yuflyma mogą powrócić objawy choroby.</w:t>
      </w:r>
    </w:p>
    <w:p w14:paraId="79D6EF7A" w14:textId="77777777" w:rsidR="00094D21" w:rsidRPr="008F328C" w:rsidRDefault="00094D21" w:rsidP="00094D21">
      <w:pPr>
        <w:spacing w:before="12" w:line="240" w:lineRule="exact"/>
        <w:rPr>
          <w:rFonts w:ascii="Times New Roman" w:hAnsi="Times New Roman" w:cs="Times New Roman"/>
          <w:sz w:val="24"/>
          <w:szCs w:val="24"/>
          <w:lang w:val="pl-PL"/>
        </w:rPr>
      </w:pPr>
    </w:p>
    <w:p w14:paraId="312F645C" w14:textId="4E7E5DC8" w:rsidR="00094D21" w:rsidRPr="008F328C" w:rsidRDefault="00094D21" w:rsidP="004142DA">
      <w:pPr>
        <w:pStyle w:val="a3"/>
        <w:rPr>
          <w:lang w:val="pl-PL"/>
        </w:rPr>
      </w:pPr>
      <w:r w:rsidRPr="008F328C">
        <w:rPr>
          <w:rFonts w:eastAsia="Times New Roman"/>
          <w:lang w:val="pl-PL"/>
        </w:rPr>
        <w:t>W razie jakichkolwiek dalszych wątpliwości związanych ze stosowaniem tego leku, należy zwrócić się do lekarza lub farmaceuty.</w:t>
      </w:r>
    </w:p>
    <w:p w14:paraId="0229EDAD" w14:textId="744AFB8D" w:rsidR="00094D21" w:rsidRPr="008F328C" w:rsidRDefault="00094D21" w:rsidP="00094D21">
      <w:pPr>
        <w:spacing w:line="200" w:lineRule="exact"/>
        <w:rPr>
          <w:rFonts w:ascii="Times New Roman" w:hAnsi="Times New Roman" w:cs="Times New Roman"/>
          <w:sz w:val="20"/>
          <w:szCs w:val="20"/>
          <w:lang w:val="pl-PL"/>
        </w:rPr>
      </w:pPr>
    </w:p>
    <w:p w14:paraId="7BA15119" w14:textId="77777777" w:rsidR="00CC4159" w:rsidRPr="008F328C" w:rsidRDefault="00CC4159" w:rsidP="00094D21">
      <w:pPr>
        <w:spacing w:line="200" w:lineRule="exact"/>
        <w:rPr>
          <w:rFonts w:ascii="Times New Roman" w:hAnsi="Times New Roman" w:cs="Times New Roman"/>
          <w:sz w:val="20"/>
          <w:szCs w:val="20"/>
          <w:lang w:val="pl-PL"/>
        </w:rPr>
      </w:pPr>
    </w:p>
    <w:p w14:paraId="1D8FA791" w14:textId="77777777" w:rsidR="00094D21" w:rsidRPr="008F328C" w:rsidRDefault="00094D21" w:rsidP="00CC4159">
      <w:pPr>
        <w:pStyle w:val="a4"/>
        <w:numPr>
          <w:ilvl w:val="0"/>
          <w:numId w:val="128"/>
        </w:numPr>
        <w:spacing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Możliwe działania niepożądane</w:t>
      </w:r>
    </w:p>
    <w:p w14:paraId="2B1C357A" w14:textId="77777777" w:rsidR="00094D21" w:rsidRPr="008F328C" w:rsidRDefault="00094D21" w:rsidP="00094D21">
      <w:pPr>
        <w:spacing w:before="12" w:line="240" w:lineRule="exact"/>
        <w:rPr>
          <w:rFonts w:ascii="Times New Roman" w:hAnsi="Times New Roman" w:cs="Times New Roman"/>
          <w:sz w:val="24"/>
          <w:szCs w:val="24"/>
          <w:lang w:val="pl-PL"/>
        </w:rPr>
      </w:pPr>
    </w:p>
    <w:p w14:paraId="743C64F4" w14:textId="77777777" w:rsidR="00094D21" w:rsidRPr="008F328C" w:rsidRDefault="00094D21" w:rsidP="00094D21">
      <w:pPr>
        <w:pStyle w:val="a3"/>
        <w:rPr>
          <w:lang w:val="pl-PL"/>
        </w:rPr>
      </w:pPr>
      <w:r w:rsidRPr="008F328C">
        <w:rPr>
          <w:rFonts w:eastAsia="Times New Roman"/>
          <w:lang w:val="pl-PL"/>
        </w:rPr>
        <w:t>Jak każdy lek, lek ten może powodować działania niepożądane, chociaż nie u każdego one wystąpią. Większość działań niepożądanych jest łagodna lub umiarkowana. Niektóre jednak mogą być poważne i mogą powodować konieczność</w:t>
      </w:r>
      <w:r w:rsidRPr="008F328C" w:rsidDel="00EC793D">
        <w:rPr>
          <w:rFonts w:eastAsia="Times New Roman"/>
          <w:lang w:val="pl-PL"/>
        </w:rPr>
        <w:t xml:space="preserve"> </w:t>
      </w:r>
      <w:r w:rsidRPr="008F328C">
        <w:rPr>
          <w:rFonts w:eastAsia="Times New Roman"/>
          <w:lang w:val="pl-PL"/>
        </w:rPr>
        <w:t>leczenia. Działania niepożądane mogą występować co najmniej przez 4 miesiące po ostatnim wstrzyknięciu leku Yuflyma.</w:t>
      </w:r>
    </w:p>
    <w:p w14:paraId="4BF9EA76" w14:textId="77777777" w:rsidR="00094D21" w:rsidRPr="008F328C" w:rsidRDefault="00094D21" w:rsidP="00094D21">
      <w:pPr>
        <w:spacing w:before="15" w:line="240" w:lineRule="exact"/>
        <w:rPr>
          <w:rFonts w:ascii="Times New Roman" w:hAnsi="Times New Roman" w:cs="Times New Roman"/>
          <w:sz w:val="24"/>
          <w:szCs w:val="24"/>
          <w:lang w:val="pl-PL"/>
        </w:rPr>
      </w:pPr>
    </w:p>
    <w:p w14:paraId="4DA49A97" w14:textId="77777777" w:rsidR="00094D21" w:rsidRPr="008F328C" w:rsidRDefault="00094D21" w:rsidP="00094D21">
      <w:pPr>
        <w:pStyle w:val="a3"/>
        <w:rPr>
          <w:b/>
          <w:lang w:val="pl-PL"/>
        </w:rPr>
      </w:pPr>
      <w:r w:rsidRPr="008F328C">
        <w:rPr>
          <w:rFonts w:eastAsia="Times New Roman"/>
          <w:b/>
          <w:bCs/>
          <w:lang w:val="pl-PL"/>
        </w:rPr>
        <w:t>W razie pojawienia się któregokolwiek z poniższych objawów należy natychmiast powiadomić lekarza</w:t>
      </w:r>
    </w:p>
    <w:p w14:paraId="3ECB7802" w14:textId="77777777" w:rsidR="00094D21" w:rsidRPr="008F328C" w:rsidRDefault="00094D21" w:rsidP="00094D21">
      <w:pPr>
        <w:spacing w:before="10" w:line="240" w:lineRule="exact"/>
        <w:rPr>
          <w:rFonts w:ascii="Times New Roman" w:hAnsi="Times New Roman" w:cs="Times New Roman"/>
          <w:sz w:val="24"/>
          <w:szCs w:val="24"/>
          <w:lang w:val="pl-PL"/>
        </w:rPr>
      </w:pPr>
    </w:p>
    <w:p w14:paraId="1EC7C6C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ciężka wysypka, pokrzywka lub inne objawy reakcji alergicznej</w:t>
      </w:r>
    </w:p>
    <w:p w14:paraId="7122C41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 dłoni, stóp</w:t>
      </w:r>
    </w:p>
    <w:p w14:paraId="5DCAB9B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w oddychaniu, trudności w połykaniu</w:t>
      </w:r>
    </w:p>
    <w:p w14:paraId="4542B2D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duszność podczas aktywności fizycznej lub po położeniu się, lub obrzęk stóp</w:t>
      </w:r>
    </w:p>
    <w:p w14:paraId="2AD2A48A" w14:textId="77777777" w:rsidR="00094D21" w:rsidRPr="008F328C" w:rsidRDefault="00094D21" w:rsidP="00094D21">
      <w:pPr>
        <w:spacing w:before="15" w:line="240" w:lineRule="exact"/>
        <w:rPr>
          <w:rFonts w:ascii="Times New Roman" w:hAnsi="Times New Roman" w:cs="Times New Roman"/>
          <w:sz w:val="24"/>
          <w:szCs w:val="24"/>
          <w:lang w:val="pl-PL"/>
        </w:rPr>
      </w:pPr>
    </w:p>
    <w:p w14:paraId="6DFF06D7" w14:textId="77777777" w:rsidR="00094D21" w:rsidRPr="008F328C" w:rsidRDefault="00094D21" w:rsidP="00094D21">
      <w:pPr>
        <w:pStyle w:val="a3"/>
        <w:rPr>
          <w:b/>
          <w:lang w:val="pl-PL"/>
        </w:rPr>
      </w:pPr>
      <w:r w:rsidRPr="008F328C">
        <w:rPr>
          <w:rFonts w:eastAsia="Times New Roman"/>
          <w:b/>
          <w:bCs/>
          <w:lang w:val="pl-PL"/>
        </w:rPr>
        <w:t>W razie stwierdzenia któregokolwiek z poniższych objawów należy tak szybko jak to możliwe powiadomić lekarza:</w:t>
      </w:r>
    </w:p>
    <w:p w14:paraId="6BB65599" w14:textId="77777777" w:rsidR="00094D21" w:rsidRPr="008F328C" w:rsidRDefault="00094D21" w:rsidP="00094D21">
      <w:pPr>
        <w:spacing w:before="10" w:line="240" w:lineRule="exact"/>
        <w:rPr>
          <w:rFonts w:ascii="Times New Roman" w:hAnsi="Times New Roman" w:cs="Times New Roman"/>
          <w:sz w:val="24"/>
          <w:szCs w:val="24"/>
          <w:lang w:val="pl-PL"/>
        </w:rPr>
      </w:pPr>
    </w:p>
    <w:p w14:paraId="4CFEB33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zakażenia takie, jak gorączka, złe samopoczucie, zranienia, kłopoty z zębami, uczucie pieczenia podczas oddawania moczu</w:t>
      </w:r>
    </w:p>
    <w:p w14:paraId="622DF65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uczucie osłabienia lub zmęczenia</w:t>
      </w:r>
    </w:p>
    <w:p w14:paraId="1850F5C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kaszel</w:t>
      </w:r>
    </w:p>
    <w:p w14:paraId="74F26CC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mrowienia</w:t>
      </w:r>
    </w:p>
    <w:p w14:paraId="1344B83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drętwienia</w:t>
      </w:r>
    </w:p>
    <w:p w14:paraId="4E5BAAE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podwójne widzenie</w:t>
      </w:r>
    </w:p>
    <w:p w14:paraId="2DB793F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osłabienie siły mięśni w kończynach górnych lub dolnych</w:t>
      </w:r>
    </w:p>
    <w:p w14:paraId="76B3575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guzek lub otwarte owrzodzenie, które się nie goi</w:t>
      </w:r>
    </w:p>
    <w:p w14:paraId="592AC02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i oznaki wskazujące na zaburzenia krwi takie, jak utrzymująca się gorączka, siniaczenie, krwawienie, bladość</w:t>
      </w:r>
    </w:p>
    <w:p w14:paraId="581A9BAA" w14:textId="77777777" w:rsidR="00094D21" w:rsidRPr="008F328C" w:rsidRDefault="00094D21" w:rsidP="00094D21">
      <w:pPr>
        <w:pStyle w:val="a3"/>
        <w:numPr>
          <w:ilvl w:val="0"/>
          <w:numId w:val="0"/>
        </w:numPr>
        <w:ind w:left="660"/>
        <w:rPr>
          <w:lang w:val="pl-PL"/>
        </w:rPr>
      </w:pPr>
    </w:p>
    <w:p w14:paraId="0FD2C07F" w14:textId="77777777" w:rsidR="00094D21" w:rsidRPr="008F328C" w:rsidRDefault="00094D21" w:rsidP="00094D21">
      <w:pPr>
        <w:pStyle w:val="a3"/>
        <w:rPr>
          <w:lang w:val="pl-PL"/>
        </w:rPr>
      </w:pPr>
      <w:r w:rsidRPr="008F328C">
        <w:rPr>
          <w:rFonts w:eastAsia="Times New Roman"/>
          <w:lang w:val="pl-PL"/>
        </w:rPr>
        <w:t>Opisane powyżej objawy mogą być oznakami wymienionych poniżej działań niepożądanych, które obserwowano podczas stosowania leku Yuflyma.</w:t>
      </w:r>
    </w:p>
    <w:p w14:paraId="232F85A8" w14:textId="77777777" w:rsidR="00094D21" w:rsidRPr="008F328C" w:rsidRDefault="00094D21" w:rsidP="00094D21">
      <w:pPr>
        <w:spacing w:before="10" w:line="240" w:lineRule="exact"/>
        <w:rPr>
          <w:rFonts w:ascii="Times New Roman" w:hAnsi="Times New Roman" w:cs="Times New Roman"/>
          <w:sz w:val="24"/>
          <w:szCs w:val="24"/>
          <w:lang w:val="pl-PL"/>
        </w:rPr>
      </w:pPr>
    </w:p>
    <w:p w14:paraId="71273660" w14:textId="77777777" w:rsidR="00094D21" w:rsidRPr="008F328C" w:rsidRDefault="00094D21" w:rsidP="00094D21">
      <w:pPr>
        <w:pStyle w:val="a3"/>
        <w:rPr>
          <w:lang w:val="pl-PL"/>
        </w:rPr>
      </w:pPr>
      <w:r w:rsidRPr="008F328C">
        <w:rPr>
          <w:rFonts w:eastAsia="Times New Roman"/>
          <w:b/>
          <w:bCs/>
          <w:lang w:val="pl-PL"/>
        </w:rPr>
        <w:t xml:space="preserve">Bardzo często </w:t>
      </w:r>
      <w:r w:rsidRPr="008F328C">
        <w:rPr>
          <w:rFonts w:eastAsia="Times New Roman"/>
          <w:lang w:val="pl-PL"/>
        </w:rPr>
        <w:t>(może wystąpić u więcej niż 1 na 10 osób):</w:t>
      </w:r>
    </w:p>
    <w:p w14:paraId="085DF17F" w14:textId="77777777" w:rsidR="00094D21" w:rsidRPr="008F328C" w:rsidRDefault="00094D21" w:rsidP="00094D21">
      <w:pPr>
        <w:spacing w:before="14" w:line="240" w:lineRule="exact"/>
        <w:rPr>
          <w:rFonts w:ascii="Times New Roman" w:hAnsi="Times New Roman" w:cs="Times New Roman"/>
          <w:sz w:val="24"/>
          <w:szCs w:val="24"/>
          <w:lang w:val="pl-PL"/>
        </w:rPr>
      </w:pPr>
    </w:p>
    <w:p w14:paraId="170648E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odczyny w miejscu wstrzyknięcia (w tym ból, obrzęk, zaczerwienienie lub świąd)</w:t>
      </w:r>
    </w:p>
    <w:p w14:paraId="6728003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dróg oddechowych (w tym przeziębienie, katar, zapalenie zatok, zapalenie płuc)</w:t>
      </w:r>
    </w:p>
    <w:p w14:paraId="049C20B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głowy</w:t>
      </w:r>
    </w:p>
    <w:p w14:paraId="749F8F7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brzucha</w:t>
      </w:r>
    </w:p>
    <w:p w14:paraId="28501F5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nudności i wymioty</w:t>
      </w:r>
    </w:p>
    <w:p w14:paraId="24CF860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wysypka</w:t>
      </w:r>
    </w:p>
    <w:p w14:paraId="4856901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 mięśniowo-szkieletowy</w:t>
      </w:r>
    </w:p>
    <w:p w14:paraId="3BE1B2DE" w14:textId="77777777" w:rsidR="00094D21" w:rsidRPr="008F328C" w:rsidRDefault="00094D21" w:rsidP="00094D21">
      <w:pPr>
        <w:spacing w:before="9" w:line="220" w:lineRule="exact"/>
        <w:rPr>
          <w:rFonts w:ascii="Times New Roman" w:hAnsi="Times New Roman" w:cs="Times New Roman"/>
          <w:lang w:val="pl-PL"/>
        </w:rPr>
      </w:pPr>
    </w:p>
    <w:p w14:paraId="5C97CE8E" w14:textId="77777777" w:rsidR="00094D21" w:rsidRPr="008F328C" w:rsidRDefault="00094D21" w:rsidP="00094D21">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46DC0A9B" w14:textId="77777777" w:rsidR="00094D21" w:rsidRPr="008F328C" w:rsidRDefault="00094D21" w:rsidP="00094D21">
      <w:pPr>
        <w:spacing w:before="14" w:line="240" w:lineRule="exact"/>
        <w:rPr>
          <w:rFonts w:ascii="Times New Roman" w:hAnsi="Times New Roman" w:cs="Times New Roman"/>
          <w:sz w:val="24"/>
          <w:szCs w:val="24"/>
          <w:lang w:val="pl-PL"/>
        </w:rPr>
      </w:pPr>
    </w:p>
    <w:p w14:paraId="028FC12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poważne zakażenia (w tym posocznica [zakażenie krwi] i grypa)</w:t>
      </w:r>
    </w:p>
    <w:p w14:paraId="5FF22E7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jelitowe (w tym zakażenie żołądka i jelit)</w:t>
      </w:r>
    </w:p>
    <w:p w14:paraId="68ED6CA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skóry (w tym zapalenie tkanki łącznej i półpasiec)</w:t>
      </w:r>
    </w:p>
    <w:p w14:paraId="776D9F2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ucha</w:t>
      </w:r>
    </w:p>
    <w:p w14:paraId="437F714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w obrębie jamy ustnej (w tym zakażenia zębów i opryszczka wargowa)</w:t>
      </w:r>
    </w:p>
    <w:p w14:paraId="0B28E5F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dróg rodnych</w:t>
      </w:r>
    </w:p>
    <w:p w14:paraId="3B0A16C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lastRenderedPageBreak/>
        <w:t>zakażenie dróg moczowych</w:t>
      </w:r>
    </w:p>
    <w:p w14:paraId="0D18D46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grzybicze</w:t>
      </w:r>
    </w:p>
    <w:p w14:paraId="0C98E31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stawów</w:t>
      </w:r>
    </w:p>
    <w:p w14:paraId="604C85E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nowotwory łagodne</w:t>
      </w:r>
    </w:p>
    <w:p w14:paraId="72B9D09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 skóry</w:t>
      </w:r>
    </w:p>
    <w:p w14:paraId="5D855E9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reakcje alergiczne (w tym alergia sezonowa)</w:t>
      </w:r>
    </w:p>
    <w:p w14:paraId="6089D5C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odwodnienie</w:t>
      </w:r>
    </w:p>
    <w:p w14:paraId="22DB7C8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wahania nastroju (w tym depresja)</w:t>
      </w:r>
    </w:p>
    <w:p w14:paraId="594602B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niepokój</w:t>
      </w:r>
    </w:p>
    <w:p w14:paraId="6DE309F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z zasypianiem</w:t>
      </w:r>
    </w:p>
    <w:p w14:paraId="3A02EAC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czucia, takie jak mrowienie, szczypanie lub drętwienie</w:t>
      </w:r>
    </w:p>
    <w:p w14:paraId="1CF5B33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migrena</w:t>
      </w:r>
    </w:p>
    <w:p w14:paraId="18E9973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ucisk korzenia nerwowego (w tym bóle krzyża i ból nóg)</w:t>
      </w:r>
    </w:p>
    <w:p w14:paraId="545B802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widzenia</w:t>
      </w:r>
    </w:p>
    <w:p w14:paraId="554F800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stan zapalny oka</w:t>
      </w:r>
    </w:p>
    <w:p w14:paraId="65F05B8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powiek i obrzęk oka</w:t>
      </w:r>
    </w:p>
    <w:p w14:paraId="50F4E81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zawroty głowy (wrażenie wirowania z zaburzeniami równowagi)</w:t>
      </w:r>
    </w:p>
    <w:p w14:paraId="5E79B41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szybkiego bicia serca</w:t>
      </w:r>
    </w:p>
    <w:p w14:paraId="7DFDE2F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wysokie ciśnienie tętnicze</w:t>
      </w:r>
    </w:p>
    <w:p w14:paraId="0FF9021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zaczerwienienie skóry z uczuciem gorąca</w:t>
      </w:r>
    </w:p>
    <w:p w14:paraId="5ED0DBA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krwiak (gromadzenie się krwi poza naczyniami krwionośnymi)</w:t>
      </w:r>
    </w:p>
    <w:p w14:paraId="0D88811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kaszel</w:t>
      </w:r>
    </w:p>
    <w:p w14:paraId="48CC67B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astma</w:t>
      </w:r>
    </w:p>
    <w:p w14:paraId="64B442C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duszność</w:t>
      </w:r>
    </w:p>
    <w:p w14:paraId="7271CD7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krwawienie z przewodu pokarmowego</w:t>
      </w:r>
    </w:p>
    <w:p w14:paraId="12E32E0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objawy dyspeptyczne (niestrawność, wzdęcie, zgaga)</w:t>
      </w:r>
    </w:p>
    <w:p w14:paraId="3069DBE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choroba refluksowa przełyku</w:t>
      </w:r>
    </w:p>
    <w:p w14:paraId="6826BF9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zespół suchości (w tym suchość oczu i jamy ustnej)</w:t>
      </w:r>
    </w:p>
    <w:p w14:paraId="3191731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świąd</w:t>
      </w:r>
    </w:p>
    <w:p w14:paraId="33F98576" w14:textId="77777777" w:rsidR="00094D21" w:rsidRPr="008F328C" w:rsidRDefault="00094D21" w:rsidP="00094D21">
      <w:pPr>
        <w:pStyle w:val="a3"/>
        <w:numPr>
          <w:ilvl w:val="0"/>
          <w:numId w:val="16"/>
        </w:numPr>
        <w:ind w:left="660" w:hanging="660"/>
        <w:rPr>
          <w:rFonts w:eastAsia="Times New Roman"/>
          <w:spacing w:val="-1"/>
          <w:lang w:val="pl-PL"/>
        </w:rPr>
      </w:pPr>
      <w:r w:rsidRPr="008F328C">
        <w:rPr>
          <w:rFonts w:eastAsia="Times New Roman"/>
          <w:lang w:val="pl-PL"/>
        </w:rPr>
        <w:t>swędząca wysypka</w:t>
      </w:r>
    </w:p>
    <w:p w14:paraId="0681D19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siniaczenie</w:t>
      </w:r>
    </w:p>
    <w:p w14:paraId="3D53546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skóry (takie jak wyprysk)</w:t>
      </w:r>
    </w:p>
    <w:p w14:paraId="40D970C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łamliwość paznokci</w:t>
      </w:r>
    </w:p>
    <w:p w14:paraId="70C90E3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potliwość</w:t>
      </w:r>
    </w:p>
    <w:p w14:paraId="6C34029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wypadanie włosów</w:t>
      </w:r>
    </w:p>
    <w:p w14:paraId="225533C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wystąpienie lub pogorszenie się łuszczycy</w:t>
      </w:r>
    </w:p>
    <w:p w14:paraId="39AF2A3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skurcze mięśni</w:t>
      </w:r>
    </w:p>
    <w:p w14:paraId="0FF23A5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krew w moczu</w:t>
      </w:r>
    </w:p>
    <w:p w14:paraId="5AB42F2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dolegliwości ze strony nerek</w:t>
      </w:r>
    </w:p>
    <w:p w14:paraId="4D82FE4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bóle w klatce piersiowej</w:t>
      </w:r>
    </w:p>
    <w:p w14:paraId="3561F2B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obrzęki</w:t>
      </w:r>
    </w:p>
    <w:p w14:paraId="09A81E4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gorączka</w:t>
      </w:r>
    </w:p>
    <w:p w14:paraId="119F846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zmniejszenie liczby płytek krwi, co zwiększa ryzyko krwawienia lub siniaczenia</w:t>
      </w:r>
    </w:p>
    <w:p w14:paraId="2FA75D1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zaburzenie gojenia ran</w:t>
      </w:r>
    </w:p>
    <w:p w14:paraId="42AB87AF" w14:textId="77777777" w:rsidR="00094D21" w:rsidRPr="008F328C" w:rsidRDefault="00094D21" w:rsidP="00094D21">
      <w:pPr>
        <w:spacing w:before="10" w:line="240" w:lineRule="exact"/>
        <w:rPr>
          <w:rFonts w:ascii="Times New Roman" w:hAnsi="Times New Roman" w:cs="Times New Roman"/>
          <w:sz w:val="24"/>
          <w:szCs w:val="24"/>
          <w:lang w:val="pl-PL"/>
        </w:rPr>
      </w:pPr>
    </w:p>
    <w:p w14:paraId="49812B3A" w14:textId="77777777" w:rsidR="00094D21" w:rsidRPr="008F328C" w:rsidRDefault="00094D21" w:rsidP="00094D21">
      <w:pPr>
        <w:pStyle w:val="a3"/>
        <w:rPr>
          <w:lang w:val="pl-PL"/>
        </w:rPr>
      </w:pPr>
      <w:r w:rsidRPr="008F328C">
        <w:rPr>
          <w:rFonts w:eastAsia="Times New Roman"/>
          <w:b/>
          <w:bCs/>
          <w:lang w:val="pl-PL"/>
        </w:rPr>
        <w:t xml:space="preserve">Niezbyt często </w:t>
      </w:r>
      <w:r w:rsidRPr="008F328C">
        <w:rPr>
          <w:rFonts w:eastAsia="Times New Roman"/>
          <w:lang w:val="pl-PL"/>
        </w:rPr>
        <w:t>(może wystąpić u mniej niż 1 ze 100 osób)</w:t>
      </w:r>
    </w:p>
    <w:p w14:paraId="7B642410" w14:textId="77777777" w:rsidR="00094D21" w:rsidRPr="008F328C" w:rsidRDefault="00094D21" w:rsidP="00094D21">
      <w:pPr>
        <w:spacing w:before="14" w:line="260" w:lineRule="exact"/>
        <w:rPr>
          <w:rFonts w:ascii="Times New Roman" w:hAnsi="Times New Roman" w:cs="Times New Roman"/>
          <w:sz w:val="26"/>
          <w:szCs w:val="26"/>
          <w:lang w:val="pl-PL"/>
        </w:rPr>
      </w:pPr>
    </w:p>
    <w:p w14:paraId="4BC86B6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oportunistyczne (w tym gruźlica i inne zakażenia, które występują, gdy zmniejsza się odporność na zachorowanie)</w:t>
      </w:r>
    </w:p>
    <w:p w14:paraId="62CD365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układu nerwowego (w tym wirusowe zapalenie opon mózgowych)</w:t>
      </w:r>
    </w:p>
    <w:p w14:paraId="75AAA55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lastRenderedPageBreak/>
        <w:t>zakażenia oka</w:t>
      </w:r>
    </w:p>
    <w:p w14:paraId="2E95A62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zakażenia bakteryjne</w:t>
      </w:r>
    </w:p>
    <w:p w14:paraId="3E137B1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uchyłka (zapalenie i zakażenie jelita grubego)</w:t>
      </w:r>
    </w:p>
    <w:p w14:paraId="0C65C3D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w:t>
      </w:r>
    </w:p>
    <w:p w14:paraId="37163E6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nowotwór złośliwy układu limfatycznego</w:t>
      </w:r>
    </w:p>
    <w:p w14:paraId="6B6503E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czerniak</w:t>
      </w:r>
    </w:p>
    <w:p w14:paraId="1D54ADB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układu immunologicznego, które mogą powodować zmiany w płucach, skórze i węzłach chłonnych (najczęściej objawiające się jako sarkoidoza)</w:t>
      </w:r>
    </w:p>
    <w:p w14:paraId="5499CAE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naczyń krwionośnych</w:t>
      </w:r>
    </w:p>
    <w:p w14:paraId="2B09F64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drżenie</w:t>
      </w:r>
    </w:p>
    <w:p w14:paraId="383AE7E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neuropatia (choroba nerwów obwodowych)</w:t>
      </w:r>
    </w:p>
    <w:p w14:paraId="46DE588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udar</w:t>
      </w:r>
    </w:p>
    <w:p w14:paraId="5AF769A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utrata słuchu, szumy w uszach</w:t>
      </w:r>
    </w:p>
    <w:p w14:paraId="609CABA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wrażenie nieregularnego bicia serca, takie jak wrażenie wypadania kolejnych uderzeń serca</w:t>
      </w:r>
    </w:p>
    <w:p w14:paraId="757298F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serca, które mogą powodować duszność lub obrzęki kostek</w:t>
      </w:r>
    </w:p>
    <w:p w14:paraId="4862E70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zawał serca</w:t>
      </w:r>
    </w:p>
    <w:p w14:paraId="1546442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zawał serca·„kieszonka” w ścianie głównej tętnicy (tętniak aorty)</w:t>
      </w:r>
    </w:p>
    <w:p w14:paraId="43B2282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i zakrzep krwi w żyle, niedrożność naczynia krwionośnego choroby płuc powodujące duszność (w tym zapalenie płuc)</w:t>
      </w:r>
    </w:p>
    <w:p w14:paraId="24BAFD5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zator płucny (zablokowanie tętnicy płuca)</w:t>
      </w:r>
    </w:p>
    <w:p w14:paraId="3494D92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wysięk opłucnowy (nieprawidłowe gromadzenie się płynu w jamie opłucnej)</w:t>
      </w:r>
    </w:p>
    <w:p w14:paraId="4D5B870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trzustki, które powoduje ostry ból brzucha i pleców</w:t>
      </w:r>
    </w:p>
    <w:p w14:paraId="4B57296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trudności w połykaniu</w:t>
      </w:r>
    </w:p>
    <w:p w14:paraId="69DC077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w:t>
      </w:r>
    </w:p>
    <w:p w14:paraId="39166EA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pęcherzyka żółciowego, kamienie w pęcherzyku żółciowym</w:t>
      </w:r>
    </w:p>
    <w:p w14:paraId="2C9F555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stłuszczenie wątroby</w:t>
      </w:r>
    </w:p>
    <w:p w14:paraId="779969D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nocne poty</w:t>
      </w:r>
    </w:p>
    <w:p w14:paraId="537ED77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blizna</w:t>
      </w:r>
    </w:p>
    <w:p w14:paraId="441BDEA5"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nieprawidłowy rozpad mięśni</w:t>
      </w:r>
    </w:p>
    <w:p w14:paraId="7C393C8D" w14:textId="77777777" w:rsidR="00094D21" w:rsidRPr="008F328C" w:rsidRDefault="00094D21" w:rsidP="00094D21">
      <w:pPr>
        <w:pStyle w:val="a3"/>
        <w:numPr>
          <w:ilvl w:val="0"/>
          <w:numId w:val="16"/>
        </w:numPr>
        <w:ind w:left="660" w:hanging="660"/>
        <w:rPr>
          <w:rFonts w:eastAsia="Times New Roman"/>
          <w:spacing w:val="-1"/>
          <w:lang w:val="pl-PL"/>
        </w:rPr>
      </w:pPr>
      <w:r w:rsidRPr="008F328C">
        <w:rPr>
          <w:rFonts w:eastAsia="Times New Roman"/>
          <w:lang w:val="pl-PL"/>
        </w:rPr>
        <w:t>toczeń rumieniowaty układowy (w tym zapalenie skóry, serca, płuc, stawów i innych układów narządów)</w:t>
      </w:r>
    </w:p>
    <w:p w14:paraId="3AD4DA8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snu (częste budzenie się)</w:t>
      </w:r>
    </w:p>
    <w:p w14:paraId="12D0E0F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impotencja</w:t>
      </w:r>
    </w:p>
    <w:p w14:paraId="725213E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stany zapalne</w:t>
      </w:r>
    </w:p>
    <w:p w14:paraId="51D17D86" w14:textId="77777777" w:rsidR="00094D21" w:rsidRPr="008F328C" w:rsidRDefault="00094D21" w:rsidP="00094D21">
      <w:pPr>
        <w:spacing w:before="13" w:line="240" w:lineRule="exact"/>
        <w:rPr>
          <w:rFonts w:ascii="Times New Roman" w:hAnsi="Times New Roman" w:cs="Times New Roman"/>
          <w:sz w:val="24"/>
          <w:szCs w:val="24"/>
          <w:lang w:val="pl-PL"/>
        </w:rPr>
      </w:pPr>
    </w:p>
    <w:p w14:paraId="6CC94EF9" w14:textId="77777777" w:rsidR="00094D21" w:rsidRPr="008F328C" w:rsidRDefault="00094D21" w:rsidP="00094D21">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01E7A9BC" w14:textId="77777777" w:rsidR="00094D21" w:rsidRPr="008F328C" w:rsidRDefault="00094D21" w:rsidP="00094D21">
      <w:pPr>
        <w:spacing w:before="12" w:line="240" w:lineRule="exact"/>
        <w:rPr>
          <w:rFonts w:ascii="Times New Roman" w:hAnsi="Times New Roman" w:cs="Times New Roman"/>
          <w:sz w:val="24"/>
          <w:szCs w:val="24"/>
          <w:lang w:val="pl-PL"/>
        </w:rPr>
      </w:pPr>
    </w:p>
    <w:p w14:paraId="2F674DC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białaczka (nowotwór złośliwy krwi i szpiku kostnego)</w:t>
      </w:r>
    </w:p>
    <w:p w14:paraId="291F221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ciężka reakcja alergiczna ze wstrząsem</w:t>
      </w:r>
    </w:p>
    <w:p w14:paraId="2A6B743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stwardnienie rozsiane</w:t>
      </w:r>
    </w:p>
    <w:p w14:paraId="7756541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zaburzenia dotyczące nerwów (takie jak zapalenie nerwu wzrokowego i zespół Guillaina-Barrégo, który może spowodować osłabienie mięśni, nieprawidłowe czucie, mrowienie w kończynach górnych i górnej części tułowia)</w:t>
      </w:r>
    </w:p>
    <w:p w14:paraId="45E50F0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zatrzymanie akcji serca</w:t>
      </w:r>
    </w:p>
    <w:p w14:paraId="7F7F937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zwłóknienie płuc (bliznowacenie płuc)</w:t>
      </w:r>
    </w:p>
    <w:p w14:paraId="5C49B82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perforacja jelita (przedziurawienie jelita)</w:t>
      </w:r>
    </w:p>
    <w:p w14:paraId="132A0AA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wątroby</w:t>
      </w:r>
    </w:p>
    <w:p w14:paraId="4EE69C4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reaktywacja żółtaczki typu B</w:t>
      </w:r>
    </w:p>
    <w:p w14:paraId="0005345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autoimmunologiczne zapalenie wątroby (zapalenie wątroby spowodowane reakcją układu odpornościowego pacjenta)</w:t>
      </w:r>
    </w:p>
    <w:p w14:paraId="62B4E4E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zapalenie naczyń skóry</w:t>
      </w:r>
    </w:p>
    <w:p w14:paraId="50BF990A"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lastRenderedPageBreak/>
        <w:t>zespół Stevensa-Johnsona (do wczesnych objawów zalicza się złe samopoczucie, gorączkę, bóle głowy i wysypkę)</w:t>
      </w:r>
    </w:p>
    <w:p w14:paraId="615EF1C4"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twarzy związany z reakcjami alergicznymi</w:t>
      </w:r>
    </w:p>
    <w:p w14:paraId="126DE3F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rumień wielopostaciowy (zapalenie skóry z wysypką)</w:t>
      </w:r>
    </w:p>
    <w:p w14:paraId="1CCE521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zespół toczniopodobny</w:t>
      </w:r>
    </w:p>
    <w:p w14:paraId="322F34E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obrzęk naczynioruchowy (miejscowy obrzęk skóry)</w:t>
      </w:r>
    </w:p>
    <w:p w14:paraId="580CB2B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liszajowate zmiany skórne (swędząca czerwono-purpurowa wysypka skórna)</w:t>
      </w:r>
    </w:p>
    <w:p w14:paraId="7A3116E8" w14:textId="77777777" w:rsidR="00094D21" w:rsidRPr="008F328C" w:rsidRDefault="00094D21" w:rsidP="00094D21">
      <w:pPr>
        <w:spacing w:before="10" w:line="240" w:lineRule="exact"/>
        <w:rPr>
          <w:rFonts w:ascii="Times New Roman" w:hAnsi="Times New Roman" w:cs="Times New Roman"/>
          <w:sz w:val="24"/>
          <w:szCs w:val="24"/>
          <w:lang w:val="pl-PL"/>
        </w:rPr>
      </w:pPr>
    </w:p>
    <w:p w14:paraId="4848A8DC" w14:textId="77777777" w:rsidR="00094D21" w:rsidRPr="008F328C" w:rsidRDefault="00094D21" w:rsidP="00094D21">
      <w:pPr>
        <w:pStyle w:val="a3"/>
        <w:rPr>
          <w:lang w:val="pl-PL"/>
        </w:rPr>
      </w:pPr>
      <w:r w:rsidRPr="008F328C">
        <w:rPr>
          <w:rFonts w:eastAsia="Times New Roman"/>
          <w:b/>
          <w:lang w:val="pl-PL"/>
        </w:rPr>
        <w:t>Częstość</w:t>
      </w:r>
      <w:r w:rsidRPr="008F328C">
        <w:rPr>
          <w:rFonts w:eastAsia="Times New Roman"/>
          <w:lang w:val="pl-PL"/>
        </w:rPr>
        <w:t xml:space="preserve"> </w:t>
      </w:r>
      <w:r w:rsidRPr="008F328C">
        <w:rPr>
          <w:rFonts w:eastAsia="Times New Roman"/>
          <w:b/>
          <w:bCs/>
          <w:lang w:val="pl-PL"/>
        </w:rPr>
        <w:t xml:space="preserve">nieznana </w:t>
      </w:r>
      <w:r w:rsidRPr="008F328C">
        <w:rPr>
          <w:rFonts w:eastAsia="Times New Roman"/>
          <w:lang w:val="pl-PL"/>
        </w:rPr>
        <w:t>(nie może być określona na podstawie dostępnych danych)</w:t>
      </w:r>
    </w:p>
    <w:p w14:paraId="2682CD06" w14:textId="77777777" w:rsidR="00094D21" w:rsidRPr="008F328C" w:rsidRDefault="00094D21" w:rsidP="00094D21">
      <w:pPr>
        <w:spacing w:before="14" w:line="240" w:lineRule="exact"/>
        <w:rPr>
          <w:rFonts w:ascii="Times New Roman" w:hAnsi="Times New Roman" w:cs="Times New Roman"/>
          <w:sz w:val="24"/>
          <w:szCs w:val="24"/>
          <w:lang w:val="pl-PL"/>
        </w:rPr>
      </w:pPr>
    </w:p>
    <w:p w14:paraId="0300358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chłoniak T-komórkowy wątrobowo-śledzionowy (rzadki nowotwór krwi, który często powoduje zgon)</w:t>
      </w:r>
    </w:p>
    <w:p w14:paraId="3A112C9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rak z komórek Merkla (typ raka skóry)</w:t>
      </w:r>
    </w:p>
    <w:p w14:paraId="3FE791F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mięsak Kaposiego, rzadki nowotwór związany z zakażeniem ludzkim wirusem opryszczki 8. mięsak Kaposiego najczęściej pojawia się jako fioletowe zmiany skórne na skórze.</w:t>
      </w:r>
    </w:p>
    <w:p w14:paraId="31D69E2C"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niewydolność wątroby</w:t>
      </w:r>
    </w:p>
    <w:p w14:paraId="117ECCB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nasilenie objawów zapalenia skórno-mięśniowego (objawiające się wysypką skórną, której towarzyszy osłabienie mięśni)</w:t>
      </w:r>
    </w:p>
    <w:p w14:paraId="48811E7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masy ciała (niewielkie u większości pacjentów)</w:t>
      </w:r>
    </w:p>
    <w:p w14:paraId="1C7A90BA" w14:textId="77777777" w:rsidR="00094D21" w:rsidRPr="008F328C" w:rsidRDefault="00094D21" w:rsidP="00094D21">
      <w:pPr>
        <w:spacing w:before="14" w:line="240" w:lineRule="exact"/>
        <w:rPr>
          <w:rFonts w:ascii="Times New Roman" w:hAnsi="Times New Roman" w:cs="Times New Roman"/>
          <w:sz w:val="24"/>
          <w:szCs w:val="24"/>
          <w:lang w:val="pl-PL"/>
        </w:rPr>
      </w:pPr>
    </w:p>
    <w:p w14:paraId="250EECB7" w14:textId="77777777" w:rsidR="00094D21" w:rsidRPr="008F328C" w:rsidRDefault="00094D21" w:rsidP="00094D21">
      <w:pPr>
        <w:pStyle w:val="a3"/>
        <w:rPr>
          <w:lang w:val="pl-PL"/>
        </w:rPr>
      </w:pPr>
      <w:r w:rsidRPr="008F328C">
        <w:rPr>
          <w:rFonts w:eastAsia="Times New Roman"/>
          <w:lang w:val="pl-PL"/>
        </w:rPr>
        <w:t>Niektóre działania niepożądane obserwowane podczas stosowania leku Yuflyma nie dają objawów odczuwanych przez pacjenta i można je wykryć wyłącznie przeprowadzając badania krwi. Zalicza się do nich:</w:t>
      </w:r>
    </w:p>
    <w:p w14:paraId="489BE459" w14:textId="77777777" w:rsidR="00094D21" w:rsidRPr="008F328C" w:rsidRDefault="00094D21" w:rsidP="00094D21">
      <w:pPr>
        <w:pStyle w:val="a3"/>
        <w:rPr>
          <w:lang w:val="pl-PL"/>
        </w:rPr>
      </w:pPr>
    </w:p>
    <w:p w14:paraId="1F940932" w14:textId="77777777" w:rsidR="00094D21" w:rsidRPr="008F328C" w:rsidRDefault="00094D21" w:rsidP="00094D21">
      <w:pPr>
        <w:pStyle w:val="a3"/>
        <w:rPr>
          <w:rFonts w:eastAsia="Times New Roman"/>
          <w:lang w:val="pl-PL"/>
        </w:rPr>
      </w:pPr>
      <w:r w:rsidRPr="008F328C">
        <w:rPr>
          <w:rFonts w:eastAsia="Times New Roman"/>
          <w:b/>
          <w:bCs/>
          <w:spacing w:val="-1"/>
          <w:lang w:val="pl-PL"/>
        </w:rPr>
        <w:t xml:space="preserve">Bardzo często </w:t>
      </w:r>
      <w:r w:rsidRPr="008F328C">
        <w:rPr>
          <w:rFonts w:eastAsia="Times New Roman"/>
          <w:spacing w:val="-1"/>
          <w:lang w:val="pl-PL"/>
        </w:rPr>
        <w:t>(może wystąpić u więcej niż 1 na 10 osób):</w:t>
      </w:r>
    </w:p>
    <w:p w14:paraId="0D3174FF" w14:textId="77777777" w:rsidR="00094D21" w:rsidRPr="008F328C" w:rsidRDefault="00094D21" w:rsidP="00094D21">
      <w:pPr>
        <w:pStyle w:val="a3"/>
        <w:rPr>
          <w:lang w:val="pl-PL"/>
        </w:rPr>
      </w:pPr>
    </w:p>
    <w:p w14:paraId="3D62061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krwinek białych we krwi</w:t>
      </w:r>
    </w:p>
    <w:p w14:paraId="7490AE0B"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krwinek czerwonych we krwi</w:t>
      </w:r>
    </w:p>
    <w:p w14:paraId="6D71C857"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stężenia lipidów we krwi</w:t>
      </w:r>
    </w:p>
    <w:p w14:paraId="411FA49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aktywności enzymów wątrobowych</w:t>
      </w:r>
    </w:p>
    <w:p w14:paraId="75FB3AB4" w14:textId="77777777" w:rsidR="00094D21" w:rsidRPr="008F328C" w:rsidRDefault="00094D21" w:rsidP="00094D21">
      <w:pPr>
        <w:spacing w:before="10" w:line="240" w:lineRule="exact"/>
        <w:rPr>
          <w:rFonts w:ascii="Times New Roman" w:hAnsi="Times New Roman" w:cs="Times New Roman"/>
          <w:sz w:val="24"/>
          <w:szCs w:val="24"/>
          <w:lang w:val="pl-PL"/>
        </w:rPr>
      </w:pPr>
    </w:p>
    <w:p w14:paraId="42080E84" w14:textId="77777777" w:rsidR="00094D21" w:rsidRPr="008F328C" w:rsidRDefault="00094D21" w:rsidP="00094D21">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4A21B2FF" w14:textId="77777777" w:rsidR="00094D21" w:rsidRPr="008F328C" w:rsidRDefault="00094D21" w:rsidP="00094D21">
      <w:pPr>
        <w:spacing w:before="14" w:line="240" w:lineRule="exact"/>
        <w:rPr>
          <w:rFonts w:ascii="Times New Roman" w:hAnsi="Times New Roman" w:cs="Times New Roman"/>
          <w:sz w:val="24"/>
          <w:szCs w:val="24"/>
          <w:lang w:val="pl-PL"/>
        </w:rPr>
      </w:pPr>
    </w:p>
    <w:p w14:paraId="09DCC0B3"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liczba krwinek białych we krwi</w:t>
      </w:r>
    </w:p>
    <w:p w14:paraId="74D94141"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płytek krwi</w:t>
      </w:r>
    </w:p>
    <w:p w14:paraId="4DA95D9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zwiększone stężenie kwasu moczowego we krwi</w:t>
      </w:r>
    </w:p>
    <w:p w14:paraId="757830CF"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nieprawidłowe stężenie sodu we krwi</w:t>
      </w:r>
    </w:p>
    <w:p w14:paraId="1EF575EE"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wapnia we krwi</w:t>
      </w:r>
    </w:p>
    <w:p w14:paraId="49B9E156"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fosforanów we krwi</w:t>
      </w:r>
    </w:p>
    <w:p w14:paraId="7B066AB8"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wysokie stężenie cukru we krwi</w:t>
      </w:r>
    </w:p>
    <w:p w14:paraId="403903D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zwiększona aktywność dehydrogenazy mleczanowej we krwi</w:t>
      </w:r>
    </w:p>
    <w:p w14:paraId="66541CD9"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obecność autoprzeciwciał we krwi</w:t>
      </w:r>
    </w:p>
    <w:p w14:paraId="43E3AC50"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niskie stężenie potasu we krwi</w:t>
      </w:r>
    </w:p>
    <w:p w14:paraId="10566018" w14:textId="77777777" w:rsidR="00094D21" w:rsidRPr="008F328C" w:rsidRDefault="00094D21" w:rsidP="00094D21">
      <w:pPr>
        <w:spacing w:before="13" w:line="240" w:lineRule="exact"/>
        <w:rPr>
          <w:rFonts w:ascii="Times New Roman" w:hAnsi="Times New Roman" w:cs="Times New Roman"/>
          <w:sz w:val="24"/>
          <w:szCs w:val="24"/>
          <w:lang w:val="pl-PL"/>
        </w:rPr>
      </w:pPr>
    </w:p>
    <w:p w14:paraId="5CB122D4" w14:textId="77777777" w:rsidR="00094D21" w:rsidRPr="008F328C" w:rsidRDefault="00094D21" w:rsidP="00094D21">
      <w:pPr>
        <w:pStyle w:val="a3"/>
        <w:rPr>
          <w:lang w:val="pl-PL"/>
        </w:rPr>
      </w:pPr>
      <w:r w:rsidRPr="008F328C">
        <w:rPr>
          <w:rFonts w:eastAsia="Times New Roman"/>
          <w:b/>
          <w:bCs/>
          <w:lang w:val="pl-PL"/>
        </w:rPr>
        <w:t xml:space="preserve">Niezbyt często </w:t>
      </w:r>
      <w:r w:rsidRPr="008F328C">
        <w:rPr>
          <w:rFonts w:eastAsia="Times New Roman"/>
          <w:lang w:val="pl-PL"/>
        </w:rPr>
        <w:t>(może wystąpić u mniej niż 1 ze 100 osób)</w:t>
      </w:r>
    </w:p>
    <w:p w14:paraId="1291FC01" w14:textId="77777777" w:rsidR="00094D21" w:rsidRPr="008F328C" w:rsidRDefault="00094D21" w:rsidP="00094D21">
      <w:pPr>
        <w:spacing w:before="12" w:line="240" w:lineRule="exact"/>
        <w:rPr>
          <w:rFonts w:ascii="Times New Roman" w:hAnsi="Times New Roman" w:cs="Times New Roman"/>
          <w:sz w:val="24"/>
          <w:szCs w:val="24"/>
          <w:lang w:val="pl-PL"/>
        </w:rPr>
      </w:pPr>
    </w:p>
    <w:p w14:paraId="057D75CD"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zwiększenie stężenia bilirubiny (próba wątrobowa)</w:t>
      </w:r>
    </w:p>
    <w:p w14:paraId="391CFF3B" w14:textId="77777777" w:rsidR="00094D21" w:rsidRPr="008F328C" w:rsidRDefault="00094D21" w:rsidP="00094D21">
      <w:pPr>
        <w:spacing w:before="13" w:line="240" w:lineRule="exact"/>
        <w:rPr>
          <w:rFonts w:ascii="Times New Roman" w:hAnsi="Times New Roman" w:cs="Times New Roman"/>
          <w:sz w:val="24"/>
          <w:szCs w:val="24"/>
          <w:lang w:val="pl-PL"/>
        </w:rPr>
      </w:pPr>
    </w:p>
    <w:p w14:paraId="28785865" w14:textId="77777777" w:rsidR="00094D21" w:rsidRPr="008F328C" w:rsidRDefault="00094D21" w:rsidP="00094D21">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2BE3EBFD" w14:textId="77777777" w:rsidR="00094D21" w:rsidRPr="008F328C" w:rsidRDefault="00094D21" w:rsidP="00094D21">
      <w:pPr>
        <w:spacing w:before="14" w:line="240" w:lineRule="exact"/>
        <w:rPr>
          <w:rFonts w:ascii="Times New Roman" w:hAnsi="Times New Roman" w:cs="Times New Roman"/>
          <w:sz w:val="24"/>
          <w:szCs w:val="24"/>
          <w:lang w:val="pl-PL"/>
        </w:rPr>
      </w:pPr>
    </w:p>
    <w:p w14:paraId="61E125D2" w14:textId="77777777" w:rsidR="00094D21" w:rsidRPr="008F328C" w:rsidRDefault="00094D21" w:rsidP="00094D21">
      <w:pPr>
        <w:pStyle w:val="a3"/>
        <w:numPr>
          <w:ilvl w:val="0"/>
          <w:numId w:val="16"/>
        </w:numPr>
        <w:ind w:left="660" w:hanging="660"/>
        <w:rPr>
          <w:lang w:val="pl-PL"/>
        </w:rPr>
      </w:pPr>
      <w:r w:rsidRPr="008F328C">
        <w:rPr>
          <w:rFonts w:eastAsia="Times New Roman"/>
          <w:lang w:val="pl-PL"/>
        </w:rPr>
        <w:t>zmniejszona liczba białych krwinek, czerwonych krwinek i płytek we krwi</w:t>
      </w:r>
    </w:p>
    <w:p w14:paraId="1574CC1F" w14:textId="77777777" w:rsidR="00094D21" w:rsidRPr="008F328C" w:rsidRDefault="00094D21" w:rsidP="00094D21">
      <w:pPr>
        <w:spacing w:before="15" w:line="240" w:lineRule="exact"/>
        <w:rPr>
          <w:rFonts w:ascii="Times New Roman" w:hAnsi="Times New Roman" w:cs="Times New Roman"/>
          <w:sz w:val="24"/>
          <w:szCs w:val="24"/>
          <w:lang w:val="pl-PL"/>
        </w:rPr>
      </w:pPr>
    </w:p>
    <w:p w14:paraId="3CC78B24" w14:textId="77777777" w:rsidR="00094D21" w:rsidRPr="008F328C" w:rsidRDefault="00094D21" w:rsidP="00094D21">
      <w:pPr>
        <w:pStyle w:val="a3"/>
        <w:rPr>
          <w:b/>
          <w:lang w:val="pl-PL"/>
        </w:rPr>
      </w:pPr>
      <w:r w:rsidRPr="008F328C">
        <w:rPr>
          <w:rFonts w:eastAsia="Times New Roman"/>
          <w:b/>
          <w:bCs/>
          <w:lang w:val="pl-PL"/>
        </w:rPr>
        <w:t>Zgłaszanie działań niepożądanych</w:t>
      </w:r>
    </w:p>
    <w:p w14:paraId="4E31C1AA" w14:textId="77777777" w:rsidR="00094D21" w:rsidRPr="008F328C" w:rsidRDefault="00094D21" w:rsidP="00094D21">
      <w:pPr>
        <w:pStyle w:val="a3"/>
        <w:rPr>
          <w:sz w:val="10"/>
          <w:szCs w:val="10"/>
          <w:lang w:val="pl-PL"/>
        </w:rPr>
      </w:pPr>
    </w:p>
    <w:p w14:paraId="65DF6B93" w14:textId="77777777" w:rsidR="00094D21" w:rsidRPr="008F328C" w:rsidRDefault="00094D21" w:rsidP="00094D21">
      <w:pPr>
        <w:pStyle w:val="a3"/>
        <w:rPr>
          <w:lang w:val="pl-PL"/>
        </w:rPr>
      </w:pPr>
      <w:r w:rsidRPr="008F328C">
        <w:rPr>
          <w:rFonts w:eastAsia="Times New Roman"/>
          <w:lang w:val="pl-PL"/>
        </w:rPr>
        <w:t>Jeśli wystąpią jakiekolwiek objawy niepożądane, w tym wszelkie objawy niepożądane niewymienione w tej ulotce, należy powiedzieć o tym lekarzowi lub pielęgniarce. Działania niepożądane można zgłaszać bezpośrednio do „</w:t>
      </w:r>
      <w:r w:rsidRPr="008F328C">
        <w:rPr>
          <w:rFonts w:eastAsia="Times New Roman"/>
          <w:highlight w:val="lightGray"/>
          <w:lang w:val="pl-PL"/>
        </w:rPr>
        <w:t xml:space="preserve">krajowego systemu zgłaszania” wymienionego w </w:t>
      </w:r>
      <w:hyperlink r:id="rId132" w:history="1">
        <w:r w:rsidRPr="008F328C">
          <w:rPr>
            <w:rFonts w:eastAsia="Times New Roman"/>
            <w:color w:val="0000FF"/>
            <w:highlight w:val="lightGray"/>
            <w:u w:val="single"/>
            <w:lang w:val="pl-PL"/>
          </w:rPr>
          <w:t>załączniku V</w:t>
        </w:r>
      </w:hyperlink>
      <w:r w:rsidRPr="008F328C">
        <w:rPr>
          <w:rFonts w:eastAsia="Times New Roman"/>
          <w:lang w:val="pl-PL"/>
        </w:rPr>
        <w:t>. Dzięki zgłaszaniu działań niepożądanych można będzie zgromadzić więcej informacji na temat bezpieczeństwa stosowania leku.</w:t>
      </w:r>
    </w:p>
    <w:p w14:paraId="472ED7EB" w14:textId="0798EE27" w:rsidR="00094D21" w:rsidRPr="008F328C" w:rsidRDefault="00094D21" w:rsidP="00094D21">
      <w:pPr>
        <w:spacing w:line="200" w:lineRule="exact"/>
        <w:rPr>
          <w:rFonts w:ascii="Times New Roman" w:hAnsi="Times New Roman" w:cs="Times New Roman"/>
          <w:sz w:val="20"/>
          <w:szCs w:val="20"/>
          <w:lang w:val="pl-PL"/>
        </w:rPr>
      </w:pPr>
    </w:p>
    <w:p w14:paraId="10F505B1" w14:textId="77777777" w:rsidR="00CC4159" w:rsidRPr="008F328C" w:rsidRDefault="00CC4159" w:rsidP="00094D21">
      <w:pPr>
        <w:spacing w:line="200" w:lineRule="exact"/>
        <w:rPr>
          <w:rFonts w:ascii="Times New Roman" w:hAnsi="Times New Roman" w:cs="Times New Roman"/>
          <w:sz w:val="20"/>
          <w:szCs w:val="20"/>
          <w:lang w:val="pl-PL"/>
        </w:rPr>
      </w:pPr>
    </w:p>
    <w:p w14:paraId="6B1E3353" w14:textId="77777777" w:rsidR="00094D21" w:rsidRPr="008F328C" w:rsidRDefault="00094D21" w:rsidP="008E70FE">
      <w:pPr>
        <w:pStyle w:val="a4"/>
        <w:numPr>
          <w:ilvl w:val="0"/>
          <w:numId w:val="128"/>
        </w:numPr>
        <w:spacing w:line="240" w:lineRule="exact"/>
        <w:ind w:left="357" w:hanging="357"/>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Jak przechowywać lek Yuflyma</w:t>
      </w:r>
    </w:p>
    <w:p w14:paraId="00A3F902" w14:textId="77777777" w:rsidR="00094D21" w:rsidRPr="008F328C" w:rsidRDefault="00094D21" w:rsidP="00094D21">
      <w:pPr>
        <w:pStyle w:val="a3"/>
        <w:rPr>
          <w:lang w:val="pl-PL"/>
        </w:rPr>
      </w:pPr>
    </w:p>
    <w:p w14:paraId="2D946CF6" w14:textId="77777777" w:rsidR="00094D21" w:rsidRPr="008F328C" w:rsidRDefault="00094D21" w:rsidP="00094D21">
      <w:pPr>
        <w:pStyle w:val="a3"/>
        <w:rPr>
          <w:lang w:val="pl-PL"/>
        </w:rPr>
      </w:pPr>
      <w:r w:rsidRPr="008F328C">
        <w:rPr>
          <w:rFonts w:eastAsia="Times New Roman"/>
          <w:lang w:val="pl-PL"/>
        </w:rPr>
        <w:t>Lek należy przechowywać w miejscu niewidocznym i niedostępnym dla dzieci.</w:t>
      </w:r>
    </w:p>
    <w:p w14:paraId="3224EBCA" w14:textId="77777777" w:rsidR="00094D21" w:rsidRPr="008F328C" w:rsidRDefault="00094D21" w:rsidP="00094D21">
      <w:pPr>
        <w:pStyle w:val="a3"/>
        <w:rPr>
          <w:lang w:val="pl-PL"/>
        </w:rPr>
      </w:pPr>
    </w:p>
    <w:p w14:paraId="4D76823B" w14:textId="77777777" w:rsidR="00094D21" w:rsidRPr="008F328C" w:rsidRDefault="00094D21" w:rsidP="00094D21">
      <w:pPr>
        <w:pStyle w:val="a3"/>
        <w:rPr>
          <w:lang w:val="pl-PL"/>
        </w:rPr>
      </w:pPr>
      <w:r w:rsidRPr="008F328C">
        <w:rPr>
          <w:rFonts w:eastAsia="Times New Roman"/>
          <w:lang w:val="pl-PL"/>
        </w:rPr>
        <w:t>Nie stosować tego leku po upływie terminu ważności zamieszczonego na etykiecie/pudełku tekturowym po skrócie EXP.</w:t>
      </w:r>
    </w:p>
    <w:p w14:paraId="566EEB75" w14:textId="77777777" w:rsidR="00094D21" w:rsidRPr="008F328C" w:rsidRDefault="00094D21" w:rsidP="00094D21">
      <w:pPr>
        <w:pStyle w:val="a3"/>
        <w:rPr>
          <w:lang w:val="pl-PL"/>
        </w:rPr>
      </w:pPr>
    </w:p>
    <w:p w14:paraId="784BDDBD" w14:textId="78945E66" w:rsidR="00094D21" w:rsidRPr="008F328C" w:rsidRDefault="00094D21" w:rsidP="00094D21">
      <w:pPr>
        <w:pStyle w:val="a3"/>
        <w:rPr>
          <w:lang w:val="pl-PL"/>
        </w:rPr>
      </w:pPr>
      <w:r w:rsidRPr="008F328C">
        <w:rPr>
          <w:rFonts w:eastAsia="Times New Roman"/>
          <w:lang w:val="pl-PL"/>
        </w:rPr>
        <w:t>Przechowywać w lodówce (2</w:t>
      </w:r>
      <w:r w:rsidR="008B6723" w:rsidRPr="008F328C">
        <w:rPr>
          <w:rFonts w:eastAsia="Times New Roman"/>
          <w:lang w:val="pl-PL"/>
        </w:rPr>
        <w:t xml:space="preserve"> </w:t>
      </w:r>
      <w:r w:rsidRPr="008F328C">
        <w:rPr>
          <w:rFonts w:eastAsia="Times New Roman"/>
          <w:lang w:val="pl-PL"/>
        </w:rPr>
        <w:t>°C–8</w:t>
      </w:r>
      <w:r w:rsidR="008B6723" w:rsidRPr="008F328C">
        <w:rPr>
          <w:rFonts w:eastAsia="Times New Roman"/>
          <w:lang w:val="pl-PL"/>
        </w:rPr>
        <w:t xml:space="preserve"> </w:t>
      </w:r>
      <w:r w:rsidRPr="008F328C">
        <w:rPr>
          <w:rFonts w:eastAsia="Times New Roman"/>
          <w:lang w:val="pl-PL"/>
        </w:rPr>
        <w:t>°C). Nie zamrażać.</w:t>
      </w:r>
    </w:p>
    <w:p w14:paraId="11868DA1" w14:textId="77777777" w:rsidR="00094D21" w:rsidRPr="008F328C" w:rsidRDefault="00094D21" w:rsidP="00094D21">
      <w:pPr>
        <w:pStyle w:val="a3"/>
        <w:rPr>
          <w:lang w:val="pl-PL"/>
        </w:rPr>
      </w:pPr>
    </w:p>
    <w:p w14:paraId="71F4179A" w14:textId="77777777" w:rsidR="00094D21" w:rsidRPr="008F328C" w:rsidRDefault="00094D21" w:rsidP="00094D21">
      <w:pPr>
        <w:pStyle w:val="a3"/>
        <w:rPr>
          <w:lang w:val="pl-PL"/>
        </w:rPr>
      </w:pPr>
      <w:r w:rsidRPr="008F328C">
        <w:rPr>
          <w:rFonts w:eastAsia="Times New Roman"/>
          <w:lang w:val="pl-PL"/>
        </w:rPr>
        <w:t>Przechowywać półautomatyczny wstrzykiwacz w opakowaniu zewnętrznym w celu ochrony przed światłem.</w:t>
      </w:r>
    </w:p>
    <w:p w14:paraId="3C3A5F0A" w14:textId="77777777" w:rsidR="00094D21" w:rsidRPr="008F328C" w:rsidRDefault="00094D21" w:rsidP="00094D21">
      <w:pPr>
        <w:spacing w:before="13" w:line="240" w:lineRule="exact"/>
        <w:rPr>
          <w:rFonts w:ascii="Times New Roman" w:hAnsi="Times New Roman" w:cs="Times New Roman"/>
          <w:sz w:val="24"/>
          <w:szCs w:val="24"/>
          <w:lang w:val="pl-PL"/>
        </w:rPr>
      </w:pPr>
    </w:p>
    <w:p w14:paraId="265CD249" w14:textId="77777777" w:rsidR="00094D21" w:rsidRPr="008F328C" w:rsidRDefault="00094D21" w:rsidP="00094D21">
      <w:pPr>
        <w:pStyle w:val="a3"/>
        <w:rPr>
          <w:lang w:val="pl-PL"/>
        </w:rPr>
      </w:pPr>
      <w:r w:rsidRPr="008F328C">
        <w:rPr>
          <w:rFonts w:eastAsia="Times New Roman"/>
          <w:lang w:val="pl-PL"/>
        </w:rPr>
        <w:t>Alternatywne metoda przechowywania:</w:t>
      </w:r>
    </w:p>
    <w:p w14:paraId="51FBF137" w14:textId="77777777" w:rsidR="00094D21" w:rsidRPr="008F328C" w:rsidRDefault="00094D21" w:rsidP="00094D21">
      <w:pPr>
        <w:spacing w:before="14" w:line="240" w:lineRule="exact"/>
        <w:rPr>
          <w:rFonts w:ascii="Times New Roman" w:hAnsi="Times New Roman" w:cs="Times New Roman"/>
          <w:sz w:val="24"/>
          <w:szCs w:val="24"/>
          <w:lang w:val="pl-PL"/>
        </w:rPr>
      </w:pPr>
    </w:p>
    <w:p w14:paraId="4961BBBF" w14:textId="5E581C35" w:rsidR="00094D21" w:rsidRPr="008F328C" w:rsidRDefault="00094D21" w:rsidP="00094D21">
      <w:pPr>
        <w:pStyle w:val="a3"/>
        <w:rPr>
          <w:lang w:val="pl-PL"/>
        </w:rPr>
      </w:pPr>
      <w:r w:rsidRPr="008F328C">
        <w:rPr>
          <w:rFonts w:eastAsia="Times New Roman"/>
          <w:lang w:val="pl-PL"/>
        </w:rPr>
        <w:t>W razie potrzeby (na przykład podczas podróży), pojedynczy półautomatyczny wstrzykiwacz z lekiem Yuflyma można przechowywać w temperaturze pokojowej (do 25</w:t>
      </w:r>
      <w:r w:rsidR="008B6723" w:rsidRPr="008F328C">
        <w:rPr>
          <w:rFonts w:eastAsia="Times New Roman"/>
          <w:lang w:val="pl-PL"/>
        </w:rPr>
        <w:t xml:space="preserve"> </w:t>
      </w:r>
      <w:r w:rsidRPr="008F328C">
        <w:rPr>
          <w:rFonts w:eastAsia="Times New Roman"/>
          <w:lang w:val="pl-PL"/>
        </w:rPr>
        <w:t xml:space="preserve">°C) nie dłużej niż </w:t>
      </w:r>
      <w:r w:rsidR="00091741" w:rsidRPr="008F328C">
        <w:rPr>
          <w:rFonts w:eastAsia="Times New Roman"/>
          <w:lang w:val="pl-PL"/>
        </w:rPr>
        <w:t xml:space="preserve">31 </w:t>
      </w:r>
      <w:r w:rsidRPr="008F328C">
        <w:rPr>
          <w:rFonts w:eastAsia="Times New Roman"/>
          <w:lang w:val="pl-PL"/>
        </w:rPr>
        <w:t xml:space="preserve">dni (ampułko-strzykawkę należy chronić przed światłem). Po wyjęciu z lodówki, przechowywaną w temperaturze pokojowej półautomatyczny wstrzykiwacz </w:t>
      </w:r>
      <w:r w:rsidRPr="008F328C">
        <w:rPr>
          <w:rFonts w:eastAsia="Times New Roman"/>
          <w:b/>
          <w:bCs/>
          <w:lang w:val="pl-PL"/>
        </w:rPr>
        <w:t xml:space="preserve">należy bezwzględnie zużyć w ciągu </w:t>
      </w:r>
      <w:r w:rsidR="00091741" w:rsidRPr="008F328C">
        <w:rPr>
          <w:rFonts w:eastAsia="Times New Roman"/>
          <w:b/>
          <w:bCs/>
          <w:lang w:val="pl-PL"/>
        </w:rPr>
        <w:t xml:space="preserve">31 </w:t>
      </w:r>
      <w:r w:rsidRPr="008F328C">
        <w:rPr>
          <w:rFonts w:eastAsia="Times New Roman"/>
          <w:b/>
          <w:bCs/>
          <w:lang w:val="pl-PL"/>
        </w:rPr>
        <w:t>dni lub wyrzucić</w:t>
      </w:r>
      <w:r w:rsidRPr="008F328C">
        <w:rPr>
          <w:rFonts w:eastAsia="Times New Roman"/>
          <w:lang w:val="pl-PL"/>
        </w:rPr>
        <w:t>, nawet wtedy, gdy zostanie na powrót umieszczona w lodówce.</w:t>
      </w:r>
    </w:p>
    <w:p w14:paraId="456C7663" w14:textId="77777777" w:rsidR="00094D21" w:rsidRPr="008F328C" w:rsidRDefault="00094D21" w:rsidP="00094D21">
      <w:pPr>
        <w:spacing w:before="17" w:line="240" w:lineRule="exact"/>
        <w:rPr>
          <w:rFonts w:ascii="Times New Roman" w:hAnsi="Times New Roman" w:cs="Times New Roman"/>
          <w:sz w:val="24"/>
          <w:szCs w:val="24"/>
          <w:lang w:val="pl-PL"/>
        </w:rPr>
      </w:pPr>
    </w:p>
    <w:p w14:paraId="6D06924C" w14:textId="77777777" w:rsidR="00094D21" w:rsidRPr="008F328C" w:rsidRDefault="00094D21" w:rsidP="00094D21">
      <w:pPr>
        <w:pStyle w:val="a3"/>
        <w:rPr>
          <w:lang w:val="pl-PL"/>
        </w:rPr>
      </w:pPr>
      <w:r w:rsidRPr="008F328C">
        <w:rPr>
          <w:rFonts w:eastAsia="Times New Roman"/>
          <w:lang w:val="pl-PL"/>
        </w:rPr>
        <w:t>Należy zapisać datę pierwszego wyjęcia automatycznego wstrzykiwacza z lodówki oraz datę, po której należy ją wyrzucić.</w:t>
      </w:r>
    </w:p>
    <w:p w14:paraId="302761C0" w14:textId="77777777" w:rsidR="00094D21" w:rsidRPr="008F328C" w:rsidRDefault="00094D21" w:rsidP="00094D21">
      <w:pPr>
        <w:spacing w:before="14" w:line="240" w:lineRule="exact"/>
        <w:rPr>
          <w:rFonts w:ascii="Times New Roman" w:hAnsi="Times New Roman" w:cs="Times New Roman"/>
          <w:sz w:val="24"/>
          <w:szCs w:val="24"/>
          <w:lang w:val="pl-PL"/>
        </w:rPr>
      </w:pPr>
    </w:p>
    <w:p w14:paraId="20BB43F3" w14:textId="14D2454A" w:rsidR="00094D21" w:rsidRPr="008F328C" w:rsidRDefault="00094D21" w:rsidP="00D22235">
      <w:pPr>
        <w:pStyle w:val="a3"/>
        <w:rPr>
          <w:lang w:val="pl-PL"/>
        </w:rPr>
      </w:pPr>
      <w:r w:rsidRPr="008F328C">
        <w:rPr>
          <w:rFonts w:eastAsia="Times New Roman"/>
          <w:lang w:val="pl-PL"/>
        </w:rPr>
        <w:t>Leków nie należy wyrzucać do kanalizacji ani domowych pojemników na odpadki. Należy zapytać lekarza lub farmaceutę, jak usunąć leki, których się już nie używa. Takie postępowanie pomoże chronić środowisko.</w:t>
      </w:r>
    </w:p>
    <w:p w14:paraId="4B2A9340" w14:textId="03DE1598" w:rsidR="00094D21" w:rsidRPr="008F328C" w:rsidRDefault="00094D21" w:rsidP="00094D21">
      <w:pPr>
        <w:spacing w:line="200" w:lineRule="exact"/>
        <w:rPr>
          <w:rFonts w:ascii="Times New Roman" w:hAnsi="Times New Roman" w:cs="Times New Roman"/>
          <w:sz w:val="20"/>
          <w:szCs w:val="20"/>
          <w:lang w:val="pl-PL"/>
        </w:rPr>
      </w:pPr>
    </w:p>
    <w:p w14:paraId="79EF0DC1" w14:textId="77777777" w:rsidR="00CC4159" w:rsidRPr="008F328C" w:rsidRDefault="00CC4159" w:rsidP="00094D21">
      <w:pPr>
        <w:spacing w:line="200" w:lineRule="exact"/>
        <w:rPr>
          <w:rFonts w:ascii="Times New Roman" w:hAnsi="Times New Roman" w:cs="Times New Roman"/>
          <w:sz w:val="20"/>
          <w:szCs w:val="20"/>
          <w:lang w:val="pl-PL"/>
        </w:rPr>
      </w:pPr>
    </w:p>
    <w:p w14:paraId="3B5FCD26" w14:textId="77777777" w:rsidR="00094D21" w:rsidRPr="008F328C" w:rsidRDefault="00094D21" w:rsidP="008E70FE">
      <w:pPr>
        <w:pStyle w:val="a4"/>
        <w:numPr>
          <w:ilvl w:val="0"/>
          <w:numId w:val="128"/>
        </w:numPr>
        <w:spacing w:line="240" w:lineRule="exact"/>
        <w:ind w:left="357" w:hanging="357"/>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Zawartość opakowania i inne informacje</w:t>
      </w:r>
    </w:p>
    <w:p w14:paraId="654E0EE8" w14:textId="77777777" w:rsidR="00094D21" w:rsidRPr="008F328C" w:rsidRDefault="00094D21" w:rsidP="00094D21">
      <w:pPr>
        <w:widowControl/>
        <w:tabs>
          <w:tab w:val="left" w:pos="567"/>
        </w:tabs>
        <w:spacing w:line="260" w:lineRule="exact"/>
        <w:ind w:left="360"/>
        <w:rPr>
          <w:rFonts w:ascii="Times New Roman" w:eastAsia="Times New Roman" w:hAnsi="Times New Roman" w:cs="Times New Roman"/>
          <w:b/>
          <w:lang w:val="pl-PL"/>
        </w:rPr>
      </w:pPr>
    </w:p>
    <w:p w14:paraId="7E9ECDE4" w14:textId="77777777" w:rsidR="00094D21" w:rsidRPr="008F328C" w:rsidRDefault="00094D21" w:rsidP="00094D21">
      <w:pPr>
        <w:pStyle w:val="a3"/>
        <w:rPr>
          <w:b/>
          <w:lang w:val="pl-PL"/>
        </w:rPr>
      </w:pPr>
      <w:r w:rsidRPr="008F328C">
        <w:rPr>
          <w:rFonts w:eastAsia="Times New Roman"/>
          <w:b/>
          <w:bCs/>
          <w:lang w:val="pl-PL"/>
        </w:rPr>
        <w:t>Co zawiera lek Yuflyma</w:t>
      </w:r>
    </w:p>
    <w:p w14:paraId="2D4DAE72" w14:textId="77777777" w:rsidR="00094D21" w:rsidRPr="008F328C" w:rsidRDefault="00094D21" w:rsidP="00094D21">
      <w:pPr>
        <w:pStyle w:val="a3"/>
        <w:rPr>
          <w:b/>
          <w:bCs/>
          <w:lang w:val="pl-PL"/>
        </w:rPr>
      </w:pPr>
    </w:p>
    <w:p w14:paraId="1C748369" w14:textId="77777777" w:rsidR="00D21CB8" w:rsidRPr="008F328C" w:rsidRDefault="00D21CB8" w:rsidP="00D21CB8">
      <w:pPr>
        <w:pStyle w:val="a3"/>
        <w:rPr>
          <w:lang w:val="pl-PL"/>
        </w:rPr>
      </w:pPr>
      <w:r w:rsidRPr="008F328C">
        <w:rPr>
          <w:rFonts w:eastAsia="Times New Roman"/>
          <w:lang w:val="pl-PL"/>
        </w:rPr>
        <w:t>Substancją czynną leku jest adalimumab.</w:t>
      </w:r>
    </w:p>
    <w:p w14:paraId="3CE222DE" w14:textId="77777777" w:rsidR="00D21CB8" w:rsidRPr="008F328C" w:rsidRDefault="00D21CB8" w:rsidP="00D21CB8">
      <w:pPr>
        <w:pStyle w:val="a3"/>
        <w:rPr>
          <w:lang w:val="pl-PL"/>
        </w:rPr>
      </w:pPr>
      <w:r w:rsidRPr="008F328C">
        <w:rPr>
          <w:rFonts w:eastAsia="Times New Roman"/>
          <w:lang w:val="pl-PL"/>
        </w:rPr>
        <w:t>Inne składniki leku to: kwas octowy,sodu octan trójwodny, glicyna, polisorbat 80 i woda dowstrzykiwań.</w:t>
      </w:r>
    </w:p>
    <w:p w14:paraId="4A6082AD" w14:textId="77777777" w:rsidR="00D21CB8" w:rsidRPr="008F328C" w:rsidRDefault="00D21CB8" w:rsidP="00D21CB8">
      <w:pPr>
        <w:pStyle w:val="a3"/>
        <w:rPr>
          <w:lang w:val="pl-PL"/>
        </w:rPr>
      </w:pPr>
    </w:p>
    <w:p w14:paraId="02D56A09" w14:textId="77777777" w:rsidR="00F862DF" w:rsidRPr="008F328C" w:rsidRDefault="00F862DF" w:rsidP="00F862DF">
      <w:pPr>
        <w:pStyle w:val="a3"/>
        <w:rPr>
          <w:rFonts w:eastAsia="Times New Roman"/>
          <w:b/>
          <w:bCs/>
          <w:lang w:val="pl-PL"/>
        </w:rPr>
      </w:pPr>
      <w:r w:rsidRPr="008F328C">
        <w:rPr>
          <w:rFonts w:eastAsia="Times New Roman"/>
          <w:b/>
          <w:bCs/>
          <w:lang w:val="pl-PL"/>
        </w:rPr>
        <w:t>Jak wygląda lek Yuflyma w półautomatycznym wstrzykiwaczu i co zawiera opakowanie</w:t>
      </w:r>
    </w:p>
    <w:p w14:paraId="50519138" w14:textId="77777777" w:rsidR="00F862DF" w:rsidRPr="008F328C" w:rsidRDefault="00F862DF" w:rsidP="00F862DF">
      <w:pPr>
        <w:pStyle w:val="a3"/>
        <w:rPr>
          <w:rFonts w:eastAsia="Times New Roman"/>
          <w:bCs/>
          <w:lang w:val="pl-PL"/>
        </w:rPr>
      </w:pPr>
    </w:p>
    <w:p w14:paraId="643CE2CB" w14:textId="4A9ED258" w:rsidR="00F862DF" w:rsidRPr="008F328C" w:rsidRDefault="00F862DF" w:rsidP="00F862DF">
      <w:pPr>
        <w:pStyle w:val="a3"/>
        <w:rPr>
          <w:rFonts w:eastAsia="Times New Roman"/>
          <w:bCs/>
          <w:lang w:val="pl-PL"/>
        </w:rPr>
      </w:pPr>
      <w:r w:rsidRPr="008F328C">
        <w:rPr>
          <w:rFonts w:eastAsia="Times New Roman"/>
          <w:bCs/>
          <w:lang w:val="pl-PL"/>
        </w:rPr>
        <w:t>Lek Yuflyma 80 mg roztwór do wstrzykiwań w półautomatycznym wstrzykiwaczu jest dostarczany w postaci jałowego roztworu 80 mg adalimumabu rozpuszczonego w 0,8 ml roztworu.</w:t>
      </w:r>
    </w:p>
    <w:p w14:paraId="352641CE" w14:textId="77777777" w:rsidR="00D21CB8" w:rsidRPr="008F328C" w:rsidRDefault="00D21CB8" w:rsidP="00D21CB8">
      <w:pPr>
        <w:spacing w:before="11" w:line="240" w:lineRule="exact"/>
        <w:rPr>
          <w:rFonts w:ascii="Times New Roman" w:hAnsi="Times New Roman" w:cs="Times New Roman"/>
          <w:sz w:val="24"/>
          <w:szCs w:val="24"/>
          <w:lang w:val="pl-PL"/>
        </w:rPr>
      </w:pPr>
    </w:p>
    <w:p w14:paraId="66682FA3" w14:textId="77777777" w:rsidR="00D21CB8" w:rsidRPr="008F328C" w:rsidRDefault="00D21CB8" w:rsidP="008E70FE">
      <w:pPr>
        <w:pStyle w:val="a3"/>
        <w:rPr>
          <w:rFonts w:eastAsia="Times New Roman"/>
          <w:lang w:val="pl-PL"/>
        </w:rPr>
      </w:pPr>
      <w:r w:rsidRPr="008F328C">
        <w:rPr>
          <w:rFonts w:eastAsia="Times New Roman"/>
          <w:lang w:val="pl-PL"/>
        </w:rPr>
        <w:t>Wstrzykiwacz półautomatyczny napełniony Yuflyma to jednorazowy, jednorazowy system wstrzykiwania oparty na igle z automatycznymi funkcjami. Po obu stronach pióra znajduje się okienko, przez które można zobaczyć roztwór Yuflyma wewnątrz pióra.</w:t>
      </w:r>
    </w:p>
    <w:p w14:paraId="6C67C1A9" w14:textId="77777777" w:rsidR="00D21CB8" w:rsidRPr="008F328C" w:rsidRDefault="00D21CB8" w:rsidP="00D21CB8">
      <w:pPr>
        <w:pStyle w:val="a3"/>
        <w:rPr>
          <w:rFonts w:eastAsia="Times New Roman"/>
          <w:lang w:val="pl-PL"/>
        </w:rPr>
      </w:pPr>
    </w:p>
    <w:p w14:paraId="4A85B1AD" w14:textId="77777777" w:rsidR="00D21CB8" w:rsidRPr="008F328C" w:rsidRDefault="00D21CB8" w:rsidP="008E70FE">
      <w:pPr>
        <w:pStyle w:val="a3"/>
        <w:rPr>
          <w:rFonts w:eastAsia="Times New Roman"/>
          <w:lang w:val="pl-PL"/>
        </w:rPr>
      </w:pPr>
      <w:r w:rsidRPr="008F328C">
        <w:rPr>
          <w:rFonts w:eastAsia="Times New Roman"/>
          <w:lang w:val="pl-PL"/>
        </w:rPr>
        <w:t>Wstrzykiwacz Yuflyma jest dostępny w opakowaniach zawierających:</w:t>
      </w:r>
    </w:p>
    <w:p w14:paraId="5A955A86" w14:textId="77777777" w:rsidR="00D21CB8" w:rsidRPr="008F328C" w:rsidRDefault="00D21CB8" w:rsidP="00D21CB8">
      <w:pPr>
        <w:pStyle w:val="a3"/>
        <w:rPr>
          <w:lang w:val="pl-PL"/>
        </w:rPr>
      </w:pPr>
    </w:p>
    <w:p w14:paraId="4A7EF9A9" w14:textId="3FF97707" w:rsidR="00D21CB8" w:rsidRPr="008F328C" w:rsidRDefault="00D21CB8" w:rsidP="00D21CB8">
      <w:pPr>
        <w:pStyle w:val="a3"/>
        <w:ind w:leftChars="100" w:left="220"/>
        <w:rPr>
          <w:rFonts w:eastAsia="Times New Roman"/>
          <w:lang w:val="pl-PL"/>
        </w:rPr>
      </w:pPr>
      <w:r w:rsidRPr="008F328C">
        <w:rPr>
          <w:rFonts w:eastAsia="Times New Roman"/>
          <w:lang w:val="pl-PL"/>
        </w:rPr>
        <w:t>• 1 wstrzykiwacz półautomatyczny napełniony do użytku przez pacjenta z 2 gazikami nasączonymi alkoholem (1 zapasowy)</w:t>
      </w:r>
    </w:p>
    <w:p w14:paraId="310B1282" w14:textId="166C9D38" w:rsidR="00D21CB8" w:rsidRPr="008F328C" w:rsidRDefault="00D21CB8" w:rsidP="00D21CB8">
      <w:pPr>
        <w:pStyle w:val="a3"/>
        <w:ind w:leftChars="100" w:left="220"/>
        <w:rPr>
          <w:rFonts w:eastAsia="Times New Roman"/>
          <w:lang w:val="pl-PL"/>
        </w:rPr>
      </w:pPr>
      <w:r w:rsidRPr="008F328C">
        <w:rPr>
          <w:rFonts w:eastAsia="Times New Roman"/>
          <w:lang w:val="pl-PL"/>
        </w:rPr>
        <w:t>• 3 wstrzykiwacz półautomatyczny napełniony do użytku przez pacjenta z 4 gazikami nasączonymi alkoholem (1 zapasowy)</w:t>
      </w:r>
    </w:p>
    <w:p w14:paraId="759AAE2E" w14:textId="77777777" w:rsidR="00D21CB8" w:rsidRPr="008F328C" w:rsidRDefault="00D21CB8" w:rsidP="00D22235">
      <w:pPr>
        <w:pStyle w:val="a3"/>
        <w:rPr>
          <w:rFonts w:eastAsia="Times New Roman"/>
          <w:highlight w:val="lightGray"/>
          <w:lang w:val="pl-PL"/>
        </w:rPr>
      </w:pPr>
    </w:p>
    <w:p w14:paraId="011E191C" w14:textId="77777777" w:rsidR="00D21CB8" w:rsidRPr="008F328C" w:rsidRDefault="00D21CB8" w:rsidP="008E70FE">
      <w:pPr>
        <w:pStyle w:val="a3"/>
        <w:rPr>
          <w:rFonts w:eastAsia="Times New Roman"/>
          <w:lang w:val="pl-PL"/>
        </w:rPr>
      </w:pPr>
      <w:r w:rsidRPr="008F328C">
        <w:rPr>
          <w:rFonts w:eastAsia="Times New Roman"/>
          <w:lang w:val="pl-PL"/>
        </w:rPr>
        <w:t>Nie wszystkie rozmiary opakowań mogą być wprowadzone na rynek.</w:t>
      </w:r>
    </w:p>
    <w:p w14:paraId="7AB60476" w14:textId="77777777" w:rsidR="00D21CB8" w:rsidRPr="008F328C" w:rsidRDefault="00D21CB8" w:rsidP="008E70FE">
      <w:pPr>
        <w:pStyle w:val="a3"/>
        <w:rPr>
          <w:rFonts w:eastAsia="Times New Roman"/>
          <w:lang w:val="pl-PL"/>
        </w:rPr>
      </w:pPr>
    </w:p>
    <w:p w14:paraId="33D61309" w14:textId="77777777" w:rsidR="00D21CB8" w:rsidRPr="008F328C" w:rsidRDefault="00D21CB8" w:rsidP="008E70FE">
      <w:pPr>
        <w:pStyle w:val="a3"/>
        <w:rPr>
          <w:rFonts w:eastAsia="Times New Roman"/>
          <w:lang w:val="pl-PL"/>
        </w:rPr>
      </w:pPr>
      <w:r w:rsidRPr="008F328C">
        <w:rPr>
          <w:rFonts w:eastAsia="Times New Roman"/>
          <w:lang w:val="pl-PL"/>
        </w:rPr>
        <w:t>Yuflyma może być dostępny w postaci ampułko-strzykawki i (lub) wstrzykiwacza</w:t>
      </w:r>
    </w:p>
    <w:p w14:paraId="01FF9ECA" w14:textId="77777777" w:rsidR="00094D21" w:rsidRPr="008F328C" w:rsidRDefault="00094D21" w:rsidP="00094D21">
      <w:pPr>
        <w:spacing w:before="18" w:line="240" w:lineRule="exact"/>
        <w:rPr>
          <w:rFonts w:ascii="Times New Roman" w:hAnsi="Times New Roman" w:cs="Times New Roman"/>
          <w:sz w:val="24"/>
          <w:szCs w:val="24"/>
          <w:lang w:val="pl-PL"/>
        </w:rPr>
      </w:pPr>
    </w:p>
    <w:p w14:paraId="467B5EDC" w14:textId="77777777" w:rsidR="00094D21" w:rsidRPr="008F328C" w:rsidRDefault="00094D21" w:rsidP="00094D21">
      <w:pPr>
        <w:pStyle w:val="a3"/>
        <w:rPr>
          <w:b/>
          <w:bCs/>
          <w:lang w:val="pl-PL"/>
        </w:rPr>
      </w:pPr>
      <w:r w:rsidRPr="008F328C">
        <w:rPr>
          <w:rFonts w:eastAsia="Times New Roman"/>
          <w:b/>
          <w:bCs/>
          <w:lang w:val="pl-PL"/>
        </w:rPr>
        <w:t>Podmiot odpowiedzialny</w:t>
      </w:r>
    </w:p>
    <w:p w14:paraId="05F2EF9A" w14:textId="77777777" w:rsidR="00094D21" w:rsidRPr="008F328C" w:rsidRDefault="00094D21" w:rsidP="00094D21">
      <w:pPr>
        <w:spacing w:before="12" w:line="240" w:lineRule="exact"/>
        <w:rPr>
          <w:rFonts w:ascii="Times New Roman" w:hAnsi="Times New Roman" w:cs="Times New Roman"/>
          <w:sz w:val="24"/>
          <w:szCs w:val="24"/>
          <w:lang w:val="pl-PL"/>
        </w:rPr>
      </w:pPr>
    </w:p>
    <w:p w14:paraId="53DE8A9C" w14:textId="77777777" w:rsidR="00094D21" w:rsidRPr="008F328C" w:rsidRDefault="00094D21" w:rsidP="00094D21">
      <w:pPr>
        <w:pStyle w:val="a3"/>
        <w:rPr>
          <w:lang w:val="pl-PL"/>
        </w:rPr>
      </w:pPr>
      <w:r w:rsidRPr="008F328C">
        <w:rPr>
          <w:lang w:val="pl-PL"/>
        </w:rPr>
        <w:t xml:space="preserve">Celltrion Healthcare Hungary Kft. </w:t>
      </w:r>
    </w:p>
    <w:p w14:paraId="1B786E32" w14:textId="77777777" w:rsidR="00094D21" w:rsidRPr="008F328C" w:rsidRDefault="00094D21" w:rsidP="00094D21">
      <w:pPr>
        <w:pStyle w:val="a3"/>
      </w:pPr>
      <w:r w:rsidRPr="008F328C">
        <w:t>1062 Budapest</w:t>
      </w:r>
    </w:p>
    <w:p w14:paraId="762840BD" w14:textId="77777777" w:rsidR="00094D21" w:rsidRPr="008F328C" w:rsidRDefault="00094D21" w:rsidP="00094D21">
      <w:pPr>
        <w:pStyle w:val="a3"/>
      </w:pPr>
      <w:r w:rsidRPr="008F328C">
        <w:t>Váci út 1-3. WestEnd Office Building B torony</w:t>
      </w:r>
    </w:p>
    <w:p w14:paraId="014884EE" w14:textId="77777777" w:rsidR="00094D21" w:rsidRPr="008F328C" w:rsidRDefault="00094D21" w:rsidP="00094D21">
      <w:pPr>
        <w:pStyle w:val="a3"/>
      </w:pPr>
      <w:r w:rsidRPr="008F328C">
        <w:rPr>
          <w:rFonts w:eastAsia="Times New Roman"/>
        </w:rPr>
        <w:t>Węgry</w:t>
      </w:r>
    </w:p>
    <w:p w14:paraId="56205216" w14:textId="77777777" w:rsidR="00094D21" w:rsidRPr="008F328C" w:rsidRDefault="00094D21" w:rsidP="00094D21">
      <w:pPr>
        <w:spacing w:before="15" w:line="240" w:lineRule="exact"/>
        <w:rPr>
          <w:rFonts w:ascii="Times New Roman" w:hAnsi="Times New Roman" w:cs="Times New Roman"/>
          <w:sz w:val="24"/>
          <w:szCs w:val="24"/>
        </w:rPr>
      </w:pPr>
    </w:p>
    <w:p w14:paraId="30F9F59A" w14:textId="77777777" w:rsidR="00094D21" w:rsidRPr="008F328C" w:rsidRDefault="00094D21" w:rsidP="00094D21">
      <w:pPr>
        <w:pStyle w:val="a3"/>
        <w:rPr>
          <w:b/>
          <w:bCs/>
        </w:rPr>
      </w:pPr>
      <w:r w:rsidRPr="008F328C">
        <w:rPr>
          <w:rFonts w:eastAsia="Times New Roman"/>
          <w:b/>
          <w:bCs/>
        </w:rPr>
        <w:t>Wytwórca</w:t>
      </w:r>
    </w:p>
    <w:p w14:paraId="004FF190" w14:textId="77777777" w:rsidR="00094D21" w:rsidRPr="008F328C" w:rsidRDefault="00094D21" w:rsidP="00094D21">
      <w:pPr>
        <w:spacing w:before="12" w:line="240" w:lineRule="exact"/>
        <w:rPr>
          <w:rFonts w:ascii="Times New Roman" w:hAnsi="Times New Roman" w:cs="Times New Roman"/>
          <w:sz w:val="24"/>
          <w:szCs w:val="24"/>
        </w:rPr>
      </w:pPr>
    </w:p>
    <w:p w14:paraId="15F2C1E9" w14:textId="2AF10798" w:rsidR="00094D21" w:rsidRPr="008F328C" w:rsidDel="009E0A16" w:rsidRDefault="00094D21" w:rsidP="00094D21">
      <w:pPr>
        <w:pStyle w:val="a3"/>
        <w:rPr>
          <w:del w:id="141" w:author="만든 이"/>
        </w:rPr>
      </w:pPr>
      <w:del w:id="142" w:author="만든 이">
        <w:r w:rsidRPr="008F328C" w:rsidDel="009E0A16">
          <w:delText>Millmount Healthcare Ltd.</w:delText>
        </w:r>
      </w:del>
    </w:p>
    <w:p w14:paraId="1D05BBA6" w14:textId="223379ED" w:rsidR="00094D21" w:rsidRPr="008F328C" w:rsidDel="009E0A16" w:rsidRDefault="00094D21" w:rsidP="00094D21">
      <w:pPr>
        <w:pStyle w:val="a3"/>
        <w:rPr>
          <w:del w:id="143" w:author="만든 이"/>
        </w:rPr>
      </w:pPr>
      <w:del w:id="144" w:author="만든 이">
        <w:r w:rsidRPr="008F328C" w:rsidDel="009E0A16">
          <w:delText>Block 7</w:delText>
        </w:r>
      </w:del>
    </w:p>
    <w:p w14:paraId="7FFC9364" w14:textId="4927ABB1" w:rsidR="00094D21" w:rsidRPr="008F328C" w:rsidDel="009E0A16" w:rsidRDefault="00094D21" w:rsidP="00094D21">
      <w:pPr>
        <w:pStyle w:val="a3"/>
        <w:rPr>
          <w:del w:id="145" w:author="만든 이"/>
        </w:rPr>
      </w:pPr>
      <w:del w:id="146" w:author="만든 이">
        <w:r w:rsidRPr="008F328C" w:rsidDel="009E0A16">
          <w:delText xml:space="preserve">City North Business Campus </w:delText>
        </w:r>
      </w:del>
    </w:p>
    <w:p w14:paraId="17AF6FAC" w14:textId="3A7E0DCA" w:rsidR="00094D21" w:rsidRPr="008F328C" w:rsidDel="009E0A16" w:rsidRDefault="00094D21" w:rsidP="00094D21">
      <w:pPr>
        <w:pStyle w:val="a3"/>
        <w:rPr>
          <w:del w:id="147" w:author="만든 이"/>
          <w:lang w:val="en-GB"/>
        </w:rPr>
      </w:pPr>
      <w:del w:id="148" w:author="만든 이">
        <w:r w:rsidRPr="008F328C" w:rsidDel="009E0A16">
          <w:delText xml:space="preserve">Stamullen, Co. </w:delText>
        </w:r>
        <w:r w:rsidRPr="008F328C" w:rsidDel="009E0A16">
          <w:rPr>
            <w:lang w:val="en-GB"/>
          </w:rPr>
          <w:delText>Meath K32 YD60</w:delText>
        </w:r>
      </w:del>
    </w:p>
    <w:p w14:paraId="405BD534" w14:textId="0E8F0408" w:rsidR="00094D21" w:rsidRPr="008F328C" w:rsidDel="009E0A16" w:rsidRDefault="00094D21" w:rsidP="00094D21">
      <w:pPr>
        <w:pStyle w:val="a3"/>
        <w:rPr>
          <w:del w:id="149" w:author="만든 이"/>
          <w:rFonts w:eastAsia="Times New Roman"/>
          <w:lang w:val="en-GB"/>
        </w:rPr>
      </w:pPr>
      <w:del w:id="150" w:author="만든 이">
        <w:r w:rsidRPr="008F328C" w:rsidDel="009E0A16">
          <w:rPr>
            <w:rFonts w:eastAsia="Times New Roman"/>
            <w:lang w:val="en-GB"/>
          </w:rPr>
          <w:delText>Irlandia</w:delText>
        </w:r>
      </w:del>
    </w:p>
    <w:p w14:paraId="1E0EFCD1" w14:textId="1F9A59DC" w:rsidR="00094D21" w:rsidRPr="008F328C" w:rsidDel="009E0A16" w:rsidRDefault="00094D21" w:rsidP="00094D21">
      <w:pPr>
        <w:pStyle w:val="a3"/>
        <w:rPr>
          <w:del w:id="151" w:author="만든 이"/>
          <w:rFonts w:eastAsia="Times New Roman"/>
          <w:lang w:val="en-GB"/>
        </w:rPr>
      </w:pPr>
    </w:p>
    <w:p w14:paraId="146CDADD" w14:textId="77777777" w:rsidR="009E0A16" w:rsidRPr="007E66D4" w:rsidRDefault="009E0A16" w:rsidP="009E0A16">
      <w:pPr>
        <w:pStyle w:val="a3"/>
        <w:rPr>
          <w:moveTo w:id="152" w:author="만든 이" w16du:dateUtc="2025-09-09T06:15:00Z"/>
          <w:lang w:val="fr-CA"/>
        </w:rPr>
      </w:pPr>
      <w:moveToRangeStart w:id="153" w:author="만든 이" w:name="move208323371"/>
      <w:moveTo w:id="154" w:author="만든 이" w16du:dateUtc="2025-09-09T06:15:00Z">
        <w:r w:rsidRPr="007E66D4">
          <w:rPr>
            <w:lang w:val="fr-CA"/>
          </w:rPr>
          <w:t>Nuvisan France SARL</w:t>
        </w:r>
      </w:moveTo>
    </w:p>
    <w:p w14:paraId="2F14FEAB" w14:textId="77777777" w:rsidR="009E0A16" w:rsidRPr="007E66D4" w:rsidRDefault="009E0A16" w:rsidP="009E0A16">
      <w:pPr>
        <w:pStyle w:val="a3"/>
        <w:rPr>
          <w:moveTo w:id="155" w:author="만든 이" w16du:dateUtc="2025-09-09T06:15:00Z"/>
          <w:lang w:val="fr-CA"/>
        </w:rPr>
      </w:pPr>
      <w:moveTo w:id="156" w:author="만든 이" w16du:dateUtc="2025-09-09T06:15:00Z">
        <w:r w:rsidRPr="007E66D4">
          <w:rPr>
            <w:lang w:val="fr-CA"/>
          </w:rPr>
          <w:t>2400, Route des Colles</w:t>
        </w:r>
      </w:moveTo>
    </w:p>
    <w:p w14:paraId="537AAA4E" w14:textId="77777777" w:rsidR="009E0A16" w:rsidRPr="008F328C" w:rsidRDefault="009E0A16" w:rsidP="009E0A16">
      <w:pPr>
        <w:pStyle w:val="a3"/>
        <w:rPr>
          <w:moveTo w:id="157" w:author="만든 이" w16du:dateUtc="2025-09-09T06:15:00Z"/>
          <w:lang w:val="pl-PL"/>
        </w:rPr>
      </w:pPr>
      <w:moveTo w:id="158" w:author="만든 이" w16du:dateUtc="2025-09-09T06:15:00Z">
        <w:r w:rsidRPr="008F328C">
          <w:rPr>
            <w:lang w:val="pl-PL"/>
          </w:rPr>
          <w:t>06410, Biot</w:t>
        </w:r>
      </w:moveTo>
    </w:p>
    <w:p w14:paraId="23E4576B" w14:textId="77777777" w:rsidR="009E0A16" w:rsidRPr="008F328C" w:rsidRDefault="009E0A16" w:rsidP="009E0A16">
      <w:pPr>
        <w:pStyle w:val="a3"/>
        <w:rPr>
          <w:moveTo w:id="159" w:author="만든 이" w16du:dateUtc="2025-09-09T06:15:00Z"/>
          <w:lang w:val="pl-PL"/>
        </w:rPr>
      </w:pPr>
      <w:moveTo w:id="160" w:author="만든 이" w16du:dateUtc="2025-09-09T06:15:00Z">
        <w:r w:rsidRPr="008F328C">
          <w:rPr>
            <w:lang w:val="pl-PL"/>
          </w:rPr>
          <w:t>Francja</w:t>
        </w:r>
      </w:moveTo>
    </w:p>
    <w:p w14:paraId="09FA58A0" w14:textId="77777777" w:rsidR="009E0A16" w:rsidRPr="008F328C" w:rsidRDefault="009E0A16" w:rsidP="009E0A16">
      <w:pPr>
        <w:pStyle w:val="a3"/>
        <w:rPr>
          <w:moveTo w:id="161" w:author="만든 이" w16du:dateUtc="2025-09-09T06:15:00Z"/>
          <w:lang w:val="es-ES_tradnl"/>
        </w:rPr>
      </w:pPr>
    </w:p>
    <w:moveToRangeEnd w:id="153"/>
    <w:p w14:paraId="400597FF" w14:textId="77777777" w:rsidR="00094D21" w:rsidRPr="009958EA" w:rsidRDefault="00094D21" w:rsidP="00094D21">
      <w:pPr>
        <w:pStyle w:val="a3"/>
        <w:rPr>
          <w:shd w:val="pct15" w:color="auto" w:fill="FFFFFF"/>
        </w:rPr>
      </w:pPr>
      <w:r w:rsidRPr="009958EA">
        <w:rPr>
          <w:shd w:val="pct15" w:color="auto" w:fill="FFFFFF"/>
        </w:rPr>
        <w:t>Nuvisan GmbH</w:t>
      </w:r>
    </w:p>
    <w:p w14:paraId="31A4E2B6" w14:textId="45E2F6FC" w:rsidR="00094D21" w:rsidRPr="009958EA" w:rsidRDefault="00094D21" w:rsidP="00094D21">
      <w:pPr>
        <w:pStyle w:val="a3"/>
        <w:rPr>
          <w:shd w:val="pct15" w:color="auto" w:fill="FFFFFF"/>
          <w:lang w:val="de-CH"/>
        </w:rPr>
      </w:pPr>
      <w:r w:rsidRPr="009958EA">
        <w:rPr>
          <w:shd w:val="pct15" w:color="auto" w:fill="FFFFFF"/>
          <w:lang w:val="de-CH"/>
        </w:rPr>
        <w:t>Wegenerstraße 13</w:t>
      </w:r>
    </w:p>
    <w:p w14:paraId="1D9A2820" w14:textId="463B1D62" w:rsidR="00094D21" w:rsidRPr="009958EA" w:rsidRDefault="00094D21" w:rsidP="00094D21">
      <w:pPr>
        <w:pStyle w:val="a3"/>
        <w:rPr>
          <w:shd w:val="pct15" w:color="auto" w:fill="FFFFFF"/>
          <w:lang w:val="de-CH"/>
        </w:rPr>
      </w:pPr>
      <w:r w:rsidRPr="009958EA">
        <w:rPr>
          <w:shd w:val="pct15" w:color="auto" w:fill="FFFFFF"/>
          <w:lang w:val="de-CH"/>
        </w:rPr>
        <w:t>89231 Neu</w:t>
      </w:r>
      <w:r w:rsidR="00190E6B" w:rsidRPr="009958EA">
        <w:rPr>
          <w:rFonts w:hint="eastAsia"/>
          <w:shd w:val="pct15" w:color="auto" w:fill="FFFFFF"/>
          <w:lang w:val="de-CH" w:eastAsia="ko-KR"/>
        </w:rPr>
        <w:t>-</w:t>
      </w:r>
      <w:r w:rsidRPr="009958EA">
        <w:rPr>
          <w:shd w:val="pct15" w:color="auto" w:fill="FFFFFF"/>
          <w:lang w:val="de-CH"/>
        </w:rPr>
        <w:t>Ulm</w:t>
      </w:r>
    </w:p>
    <w:p w14:paraId="3E021C75" w14:textId="77777777" w:rsidR="00094D21" w:rsidRPr="00494296" w:rsidRDefault="00094D21" w:rsidP="00094D21">
      <w:pPr>
        <w:pStyle w:val="a3"/>
        <w:rPr>
          <w:shd w:val="pct15" w:color="auto" w:fill="FFFFFF"/>
          <w:lang w:val="fr-CA"/>
        </w:rPr>
      </w:pPr>
      <w:r w:rsidRPr="00494296">
        <w:rPr>
          <w:shd w:val="pct15" w:color="auto" w:fill="FFFFFF"/>
          <w:lang w:val="fr-CA"/>
        </w:rPr>
        <w:t>Niemcy</w:t>
      </w:r>
    </w:p>
    <w:p w14:paraId="720A7D42" w14:textId="77777777" w:rsidR="00094D21" w:rsidRPr="00494296" w:rsidRDefault="00094D21" w:rsidP="00094D21">
      <w:pPr>
        <w:pStyle w:val="a3"/>
        <w:rPr>
          <w:shd w:val="pct15" w:color="auto" w:fill="FFFFFF"/>
          <w:lang w:val="fr-CA"/>
        </w:rPr>
      </w:pPr>
    </w:p>
    <w:p w14:paraId="17743521" w14:textId="118F6D98" w:rsidR="00094D21" w:rsidRPr="00494296" w:rsidDel="009E0A16" w:rsidRDefault="00094D21" w:rsidP="00094D21">
      <w:pPr>
        <w:pStyle w:val="a3"/>
        <w:rPr>
          <w:moveFrom w:id="162" w:author="만든 이" w16du:dateUtc="2025-09-09T06:15:00Z"/>
          <w:shd w:val="pct15" w:color="auto" w:fill="FFFFFF"/>
          <w:lang w:val="fr-CA"/>
        </w:rPr>
      </w:pPr>
      <w:moveFromRangeStart w:id="163" w:author="만든 이" w:name="move208323371"/>
      <w:moveFrom w:id="164" w:author="만든 이" w16du:dateUtc="2025-09-09T06:15:00Z">
        <w:r w:rsidRPr="00494296" w:rsidDel="009E0A16">
          <w:rPr>
            <w:shd w:val="pct15" w:color="auto" w:fill="FFFFFF"/>
            <w:lang w:val="fr-CA"/>
          </w:rPr>
          <w:t>Nuvisan France SARL</w:t>
        </w:r>
      </w:moveFrom>
    </w:p>
    <w:p w14:paraId="6026F90B" w14:textId="3C253ADC" w:rsidR="00094D21" w:rsidRPr="00494296" w:rsidDel="009E0A16" w:rsidRDefault="00094D21" w:rsidP="00094D21">
      <w:pPr>
        <w:pStyle w:val="a3"/>
        <w:rPr>
          <w:moveFrom w:id="165" w:author="만든 이" w16du:dateUtc="2025-09-09T06:15:00Z"/>
          <w:shd w:val="pct15" w:color="auto" w:fill="FFFFFF"/>
          <w:lang w:val="fr-CA"/>
        </w:rPr>
      </w:pPr>
      <w:moveFrom w:id="166" w:author="만든 이" w16du:dateUtc="2025-09-09T06:15:00Z">
        <w:r w:rsidRPr="00494296" w:rsidDel="009E0A16">
          <w:rPr>
            <w:shd w:val="pct15" w:color="auto" w:fill="FFFFFF"/>
            <w:lang w:val="fr-CA"/>
          </w:rPr>
          <w:t>2400, Route des Colles</w:t>
        </w:r>
      </w:moveFrom>
    </w:p>
    <w:p w14:paraId="522D14D4" w14:textId="44880E80" w:rsidR="00094D21" w:rsidRPr="009958EA" w:rsidDel="009E0A16" w:rsidRDefault="00094D21" w:rsidP="00094D21">
      <w:pPr>
        <w:pStyle w:val="a3"/>
        <w:rPr>
          <w:moveFrom w:id="167" w:author="만든 이" w16du:dateUtc="2025-09-09T06:15:00Z"/>
          <w:shd w:val="pct15" w:color="auto" w:fill="FFFFFF"/>
          <w:lang w:val="pl-PL"/>
        </w:rPr>
      </w:pPr>
      <w:moveFrom w:id="168" w:author="만든 이" w16du:dateUtc="2025-09-09T06:15:00Z">
        <w:r w:rsidRPr="009958EA" w:rsidDel="009E0A16">
          <w:rPr>
            <w:shd w:val="pct15" w:color="auto" w:fill="FFFFFF"/>
            <w:lang w:val="pl-PL"/>
          </w:rPr>
          <w:t>06410, Biot</w:t>
        </w:r>
      </w:moveFrom>
    </w:p>
    <w:p w14:paraId="2684F032" w14:textId="6B3AF415" w:rsidR="00094D21" w:rsidRPr="009958EA" w:rsidDel="009E0A16" w:rsidRDefault="00094D21" w:rsidP="00094D21">
      <w:pPr>
        <w:pStyle w:val="a3"/>
        <w:rPr>
          <w:moveFrom w:id="169" w:author="만든 이" w16du:dateUtc="2025-09-09T06:15:00Z"/>
          <w:shd w:val="pct15" w:color="auto" w:fill="FFFFFF"/>
          <w:lang w:val="pl-PL"/>
        </w:rPr>
      </w:pPr>
      <w:moveFrom w:id="170" w:author="만든 이" w16du:dateUtc="2025-09-09T06:15:00Z">
        <w:r w:rsidRPr="009958EA" w:rsidDel="009E0A16">
          <w:rPr>
            <w:shd w:val="pct15" w:color="auto" w:fill="FFFFFF"/>
            <w:lang w:val="pl-PL"/>
          </w:rPr>
          <w:t>Francja</w:t>
        </w:r>
      </w:moveFrom>
    </w:p>
    <w:p w14:paraId="55DAAAED" w14:textId="4FB2CB08" w:rsidR="008D1574" w:rsidRPr="009958EA" w:rsidDel="009E0A16" w:rsidRDefault="008D1574" w:rsidP="008D1574">
      <w:pPr>
        <w:pStyle w:val="a3"/>
        <w:rPr>
          <w:moveFrom w:id="171" w:author="만든 이" w16du:dateUtc="2025-09-09T06:15:00Z"/>
          <w:shd w:val="pct15" w:color="auto" w:fill="FFFFFF"/>
          <w:lang w:val="es-ES_tradnl"/>
        </w:rPr>
      </w:pPr>
    </w:p>
    <w:moveFromRangeEnd w:id="163"/>
    <w:p w14:paraId="40DC1E37" w14:textId="77777777" w:rsidR="008D1574" w:rsidRPr="00494296" w:rsidRDefault="008D1574" w:rsidP="008D1574">
      <w:pPr>
        <w:pStyle w:val="a3"/>
        <w:rPr>
          <w:shd w:val="pct15" w:color="auto" w:fill="FFFFFF"/>
          <w:lang w:val="es-ES_tradnl"/>
        </w:rPr>
      </w:pPr>
      <w:r w:rsidRPr="00494296">
        <w:rPr>
          <w:shd w:val="pct15" w:color="auto" w:fill="FFFFFF"/>
          <w:lang w:val="es-ES_tradnl"/>
        </w:rPr>
        <w:t>Midas Pharma GmbH</w:t>
      </w:r>
    </w:p>
    <w:p w14:paraId="577FEED5" w14:textId="6F83D21F" w:rsidR="008D1574" w:rsidRPr="00494296" w:rsidRDefault="008D1574" w:rsidP="008D1574">
      <w:pPr>
        <w:pStyle w:val="a3"/>
        <w:rPr>
          <w:shd w:val="pct15" w:color="auto" w:fill="FFFFFF"/>
          <w:lang w:val="es-ES_tradnl"/>
        </w:rPr>
      </w:pPr>
      <w:r w:rsidRPr="00494296">
        <w:rPr>
          <w:shd w:val="pct15" w:color="auto" w:fill="FFFFFF"/>
          <w:lang w:val="es-ES_tradnl"/>
        </w:rPr>
        <w:t>Rheinstr. 49</w:t>
      </w:r>
    </w:p>
    <w:p w14:paraId="61FA4CD3" w14:textId="2F20F516" w:rsidR="008D1574" w:rsidRPr="00494296" w:rsidRDefault="008D1574" w:rsidP="008D1574">
      <w:pPr>
        <w:pStyle w:val="a3"/>
        <w:rPr>
          <w:shd w:val="pct15" w:color="auto" w:fill="FFFFFF"/>
          <w:lang w:val="es-ES_tradnl"/>
        </w:rPr>
      </w:pPr>
      <w:r w:rsidRPr="00494296">
        <w:rPr>
          <w:shd w:val="pct15" w:color="auto" w:fill="FFFFFF"/>
          <w:lang w:val="es-ES_tradnl"/>
        </w:rPr>
        <w:t>55218 Ingelheim</w:t>
      </w:r>
    </w:p>
    <w:p w14:paraId="5A62269F" w14:textId="77777777" w:rsidR="008D1574" w:rsidRPr="009958EA" w:rsidRDefault="008D1574" w:rsidP="008D1574">
      <w:pPr>
        <w:pStyle w:val="a3"/>
        <w:rPr>
          <w:shd w:val="pct15" w:color="auto" w:fill="FFFFFF"/>
          <w:lang w:val="de-CH"/>
        </w:rPr>
      </w:pPr>
      <w:r w:rsidRPr="009958EA">
        <w:rPr>
          <w:shd w:val="pct15" w:color="auto" w:fill="FFFFFF"/>
          <w:lang w:val="de-CH"/>
        </w:rPr>
        <w:t>Niemcy</w:t>
      </w:r>
    </w:p>
    <w:p w14:paraId="02709827" w14:textId="77777777" w:rsidR="008D1574" w:rsidRPr="00494296" w:rsidRDefault="008D1574" w:rsidP="008D1574">
      <w:pPr>
        <w:pStyle w:val="a3"/>
        <w:rPr>
          <w:shd w:val="pct15" w:color="auto" w:fill="FFFFFF"/>
          <w:lang w:val="es-ES_tradnl"/>
        </w:rPr>
      </w:pPr>
    </w:p>
    <w:p w14:paraId="3489C358" w14:textId="1E67105B" w:rsidR="008D1574" w:rsidRPr="009958EA" w:rsidRDefault="008D1574" w:rsidP="008D1574">
      <w:pPr>
        <w:pStyle w:val="a3"/>
        <w:rPr>
          <w:shd w:val="pct15" w:color="auto" w:fill="FFFFFF"/>
          <w:lang w:val="fr-FR"/>
        </w:rPr>
      </w:pPr>
      <w:r w:rsidRPr="009958EA">
        <w:rPr>
          <w:shd w:val="pct15" w:color="auto" w:fill="FFFFFF"/>
          <w:lang w:val="fr-FR"/>
        </w:rPr>
        <w:t>KYMOS S.L.</w:t>
      </w:r>
    </w:p>
    <w:p w14:paraId="2417E323" w14:textId="72EB31D9" w:rsidR="008D1574" w:rsidRPr="009958EA" w:rsidRDefault="008D1574" w:rsidP="008D1574">
      <w:pPr>
        <w:pStyle w:val="a3"/>
        <w:rPr>
          <w:shd w:val="pct15" w:color="auto" w:fill="FFFFFF"/>
          <w:lang w:val="fr-FR"/>
        </w:rPr>
      </w:pPr>
      <w:r w:rsidRPr="009958EA">
        <w:rPr>
          <w:shd w:val="pct15" w:color="auto" w:fill="FFFFFF"/>
          <w:lang w:val="fr-FR"/>
        </w:rPr>
        <w:t>Ronda Can Fatjó, 7B.</w:t>
      </w:r>
    </w:p>
    <w:p w14:paraId="437169DD" w14:textId="24A86902" w:rsidR="008D1574" w:rsidRPr="009958EA" w:rsidRDefault="008D1574" w:rsidP="008D1574">
      <w:pPr>
        <w:pStyle w:val="a3"/>
        <w:rPr>
          <w:shd w:val="pct15" w:color="auto" w:fill="FFFFFF"/>
          <w:lang w:val="fr-FR"/>
        </w:rPr>
      </w:pPr>
      <w:r w:rsidRPr="009958EA">
        <w:rPr>
          <w:shd w:val="pct15" w:color="auto" w:fill="FFFFFF"/>
          <w:lang w:val="fr-FR"/>
        </w:rPr>
        <w:t>08290 Cerdanyola del Vallès</w:t>
      </w:r>
    </w:p>
    <w:p w14:paraId="70F72D4E" w14:textId="53955627" w:rsidR="008D1574" w:rsidRPr="009958EA" w:rsidRDefault="008D1574" w:rsidP="008D1574">
      <w:pPr>
        <w:pStyle w:val="a3"/>
        <w:rPr>
          <w:shd w:val="pct15" w:color="auto" w:fill="FFFFFF"/>
          <w:lang w:val="fr-FR"/>
        </w:rPr>
      </w:pPr>
      <w:r w:rsidRPr="009958EA">
        <w:rPr>
          <w:shd w:val="pct15" w:color="auto" w:fill="FFFFFF"/>
          <w:lang w:val="fr-FR"/>
        </w:rPr>
        <w:t>Barcelona</w:t>
      </w:r>
    </w:p>
    <w:p w14:paraId="55920A5D" w14:textId="77777777" w:rsidR="008D1574" w:rsidRPr="009958EA" w:rsidRDefault="008D1574" w:rsidP="008D1574">
      <w:pPr>
        <w:pStyle w:val="a3"/>
        <w:rPr>
          <w:shd w:val="pct15" w:color="auto" w:fill="FFFFFF"/>
          <w:lang w:val="fr-FR"/>
        </w:rPr>
      </w:pPr>
      <w:r w:rsidRPr="009958EA">
        <w:rPr>
          <w:shd w:val="pct15" w:color="auto" w:fill="FFFFFF"/>
          <w:lang w:val="fr-FR"/>
        </w:rPr>
        <w:t>Hiszpania</w:t>
      </w:r>
    </w:p>
    <w:p w14:paraId="54FF6636" w14:textId="77777777" w:rsidR="00094D21" w:rsidRPr="008F328C" w:rsidRDefault="00094D21" w:rsidP="00094D21">
      <w:pPr>
        <w:spacing w:before="14" w:line="240" w:lineRule="exact"/>
        <w:rPr>
          <w:rFonts w:ascii="Times New Roman" w:hAnsi="Times New Roman" w:cs="Times New Roman"/>
          <w:sz w:val="24"/>
          <w:szCs w:val="24"/>
          <w:lang w:val="fr-FR"/>
        </w:rPr>
      </w:pPr>
    </w:p>
    <w:p w14:paraId="6500FA5C" w14:textId="77777777" w:rsidR="00094D21" w:rsidRPr="008F328C" w:rsidRDefault="00094D21" w:rsidP="00094D21">
      <w:pPr>
        <w:pStyle w:val="a3"/>
        <w:rPr>
          <w:lang w:val="pl-PL"/>
        </w:rPr>
      </w:pPr>
      <w:r w:rsidRPr="008F328C">
        <w:rPr>
          <w:rFonts w:eastAsia="Times New Roman"/>
          <w:lang w:val="pl-PL"/>
        </w:rPr>
        <w:t>W celu uzyskania bardziej szczegółowych informacji dotyczących tego leku należy zwrócić się do miejscowego przedstawiciela podmiotu odpowiedzialnego:</w:t>
      </w:r>
    </w:p>
    <w:p w14:paraId="719185F8" w14:textId="77777777" w:rsidR="00094D21" w:rsidRPr="008F328C" w:rsidRDefault="00094D21" w:rsidP="00094D21">
      <w:pPr>
        <w:numPr>
          <w:ilvl w:val="12"/>
          <w:numId w:val="0"/>
        </w:numPr>
        <w:ind w:right="-2"/>
        <w:rPr>
          <w:rFonts w:ascii="Times New Roman" w:hAnsi="Times New Roman" w:cs="Times New Roman"/>
          <w:b/>
          <w:lang w:val="pl-PL"/>
        </w:rPr>
      </w:pPr>
    </w:p>
    <w:tbl>
      <w:tblPr>
        <w:tblW w:w="5000" w:type="pct"/>
        <w:tblLook w:val="04A0" w:firstRow="1" w:lastRow="0" w:firstColumn="1" w:lastColumn="0" w:noHBand="0" w:noVBand="1"/>
      </w:tblPr>
      <w:tblGrid>
        <w:gridCol w:w="4702"/>
        <w:gridCol w:w="4702"/>
      </w:tblGrid>
      <w:tr w:rsidR="00094D21" w:rsidRPr="008F328C" w14:paraId="6981007C" w14:textId="77777777" w:rsidTr="008A03B2">
        <w:tc>
          <w:tcPr>
            <w:tcW w:w="2500" w:type="pct"/>
            <w:hideMark/>
          </w:tcPr>
          <w:p w14:paraId="76CD602B" w14:textId="77777777" w:rsidR="00094D21" w:rsidRPr="008F328C" w:rsidRDefault="00094D21" w:rsidP="008A03B2">
            <w:pPr>
              <w:rPr>
                <w:rFonts w:ascii="Times New Roman" w:hAnsi="Times New Roman" w:cs="Times New Roman"/>
                <w:b/>
                <w:lang w:val="en-GB" w:eastAsia="fr-FR"/>
              </w:rPr>
            </w:pPr>
            <w:r w:rsidRPr="008F328C">
              <w:rPr>
                <w:rFonts w:ascii="Times New Roman" w:eastAsia="맑은 고딕" w:hAnsi="Times New Roman" w:cs="Times New Roman"/>
                <w:b/>
                <w:lang w:val="en-GB" w:eastAsia="fr-FR"/>
              </w:rPr>
              <w:t>België/Belgique/Belgien</w:t>
            </w:r>
          </w:p>
          <w:p w14:paraId="3FEF532C" w14:textId="77777777" w:rsidR="00094D21" w:rsidRPr="008F328C" w:rsidRDefault="00094D21" w:rsidP="008A03B2">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Belgium BVBA</w:t>
            </w:r>
          </w:p>
          <w:p w14:paraId="5B569B12"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Tél/Tel: + 32 1528 7418</w:t>
            </w:r>
          </w:p>
          <w:p w14:paraId="2487E472" w14:textId="77777777" w:rsidR="00094D21" w:rsidRPr="008F328C" w:rsidRDefault="00094D21" w:rsidP="008A03B2">
            <w:pPr>
              <w:rPr>
                <w:rFonts w:ascii="Times New Roman" w:eastAsia="맑은 고딕" w:hAnsi="Times New Roman" w:cs="Times New Roman"/>
                <w:lang w:val="pl-PL" w:eastAsia="ko-KR"/>
              </w:rPr>
            </w:pPr>
          </w:p>
        </w:tc>
        <w:tc>
          <w:tcPr>
            <w:tcW w:w="2500" w:type="pct"/>
          </w:tcPr>
          <w:p w14:paraId="0C53BA44" w14:textId="77777777" w:rsidR="00094D21" w:rsidRPr="008F328C" w:rsidRDefault="00094D21" w:rsidP="008A03B2">
            <w:pPr>
              <w:tabs>
                <w:tab w:val="left" w:pos="-720"/>
              </w:tabs>
              <w:suppressAutoHyphens/>
              <w:rPr>
                <w:rFonts w:ascii="Times New Roman" w:hAnsi="Times New Roman" w:cs="Times New Roman"/>
                <w:b/>
                <w:lang w:val="en-GB" w:eastAsia="fr-FR"/>
              </w:rPr>
            </w:pPr>
            <w:r w:rsidRPr="008F328C">
              <w:rPr>
                <w:rFonts w:ascii="Times New Roman" w:hAnsi="Times New Roman" w:cs="Times New Roman"/>
                <w:b/>
                <w:lang w:val="en-GB" w:eastAsia="fr-FR"/>
              </w:rPr>
              <w:t>Lietuva</w:t>
            </w:r>
          </w:p>
          <w:p w14:paraId="031D75CF"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C3D3508"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73283B8A" w14:textId="77777777" w:rsidR="00094D21" w:rsidRPr="008F328C" w:rsidRDefault="00094D21" w:rsidP="008A03B2">
            <w:pPr>
              <w:autoSpaceDE w:val="0"/>
              <w:autoSpaceDN w:val="0"/>
              <w:adjustRightInd w:val="0"/>
              <w:rPr>
                <w:rFonts w:ascii="Times New Roman" w:hAnsi="Times New Roman" w:cs="Times New Roman"/>
                <w:lang w:val="en-GB" w:eastAsia="fr-FR"/>
              </w:rPr>
            </w:pPr>
          </w:p>
        </w:tc>
      </w:tr>
      <w:tr w:rsidR="00094D21" w:rsidRPr="008F328C" w14:paraId="07F2003C" w14:textId="77777777" w:rsidTr="008A03B2">
        <w:trPr>
          <w:trHeight w:val="619"/>
        </w:trPr>
        <w:tc>
          <w:tcPr>
            <w:tcW w:w="2500" w:type="pct"/>
          </w:tcPr>
          <w:p w14:paraId="14FC8FDB"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hAnsi="Times New Roman" w:cs="Times New Roman"/>
                <w:b/>
                <w:bCs/>
                <w:lang w:val="pl-PL"/>
              </w:rPr>
              <w:t>България</w:t>
            </w:r>
          </w:p>
          <w:p w14:paraId="3827933C"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14833FF"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Teл.: +36 1 231 0493</w:t>
            </w:r>
          </w:p>
          <w:p w14:paraId="29FF9741" w14:textId="77777777" w:rsidR="00094D21" w:rsidRPr="008F328C" w:rsidRDefault="00094D21" w:rsidP="008A03B2">
            <w:pPr>
              <w:rPr>
                <w:rFonts w:ascii="Times New Roman" w:hAnsi="Times New Roman" w:cs="Times New Roman"/>
                <w:lang w:val="en-GB" w:eastAsia="fr-FR"/>
              </w:rPr>
            </w:pPr>
          </w:p>
        </w:tc>
        <w:tc>
          <w:tcPr>
            <w:tcW w:w="2500" w:type="pct"/>
            <w:hideMark/>
          </w:tcPr>
          <w:p w14:paraId="4D5A5561" w14:textId="77777777" w:rsidR="00094D21" w:rsidRPr="008F328C" w:rsidRDefault="00094D21" w:rsidP="008A03B2">
            <w:pPr>
              <w:tabs>
                <w:tab w:val="left" w:pos="-720"/>
              </w:tabs>
              <w:suppressAutoHyphens/>
              <w:rPr>
                <w:rFonts w:ascii="Times New Roman" w:hAnsi="Times New Roman" w:cs="Times New Roman"/>
                <w:lang w:val="de-CH" w:eastAsia="fr-FR"/>
              </w:rPr>
            </w:pPr>
            <w:r w:rsidRPr="008F328C">
              <w:rPr>
                <w:rFonts w:ascii="Times New Roman" w:eastAsia="맑은 고딕" w:hAnsi="Times New Roman" w:cs="Times New Roman"/>
                <w:b/>
                <w:lang w:val="de-CH" w:eastAsia="fr-FR"/>
              </w:rPr>
              <w:t>Luxembourg/Luxemburg</w:t>
            </w:r>
          </w:p>
          <w:p w14:paraId="1D8A4FFE" w14:textId="77777777" w:rsidR="00094D21" w:rsidRPr="008F328C" w:rsidRDefault="00094D21" w:rsidP="008A03B2">
            <w:pPr>
              <w:rPr>
                <w:rFonts w:ascii="Times New Roman" w:eastAsia="맑은 고딕" w:hAnsi="Times New Roman" w:cs="Times New Roman"/>
                <w:lang w:val="de-CH" w:eastAsia="fr-FR"/>
              </w:rPr>
            </w:pPr>
            <w:r w:rsidRPr="008F328C">
              <w:rPr>
                <w:rFonts w:ascii="Times New Roman" w:eastAsia="맑은 고딕" w:hAnsi="Times New Roman" w:cs="Times New Roman"/>
                <w:lang w:val="de-CH" w:eastAsia="fr-FR"/>
              </w:rPr>
              <w:t>Celltrion Healthcare Belgium BVBA</w:t>
            </w:r>
          </w:p>
          <w:p w14:paraId="5E2B9060" w14:textId="77777777" w:rsidR="00094D21" w:rsidRPr="008F328C" w:rsidRDefault="00094D21" w:rsidP="008A03B2">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Tél/Tel: + 32 1528 7418</w:t>
            </w:r>
          </w:p>
          <w:p w14:paraId="484E8931" w14:textId="77777777" w:rsidR="00094D21" w:rsidRPr="008F328C" w:rsidRDefault="00094D21" w:rsidP="008A03B2">
            <w:pPr>
              <w:tabs>
                <w:tab w:val="left" w:pos="-720"/>
              </w:tabs>
              <w:suppressAutoHyphens/>
              <w:rPr>
                <w:rFonts w:ascii="Times New Roman" w:eastAsia="맑은 고딕" w:hAnsi="Times New Roman" w:cs="Times New Roman"/>
                <w:lang w:val="pl-PL" w:eastAsia="ko-KR"/>
              </w:rPr>
            </w:pPr>
          </w:p>
        </w:tc>
      </w:tr>
      <w:tr w:rsidR="00094D21" w:rsidRPr="008F328C" w14:paraId="3FA75F9B" w14:textId="77777777" w:rsidTr="008A03B2">
        <w:tc>
          <w:tcPr>
            <w:tcW w:w="2500" w:type="pct"/>
            <w:hideMark/>
          </w:tcPr>
          <w:p w14:paraId="69FFB2B2" w14:textId="77777777" w:rsidR="00094D21" w:rsidRPr="008F328C" w:rsidRDefault="00094D21" w:rsidP="009958EA">
            <w:pPr>
              <w:keepNext/>
              <w:keepLines/>
              <w:tabs>
                <w:tab w:val="left" w:pos="-720"/>
              </w:tabs>
              <w:suppressAutoHyphens/>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Česká republika</w:t>
            </w:r>
          </w:p>
          <w:p w14:paraId="117739A6" w14:textId="77777777" w:rsidR="00094D21" w:rsidRPr="008F328C" w:rsidRDefault="00094D21" w:rsidP="009958EA">
            <w:pPr>
              <w:keepNext/>
              <w:keepLines/>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25EB46C2" w14:textId="77777777" w:rsidR="00094D21" w:rsidRPr="008F328C" w:rsidRDefault="00094D21" w:rsidP="009958EA">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E0655D2" w14:textId="77777777" w:rsidR="00094D21" w:rsidRPr="008F328C" w:rsidRDefault="00094D21" w:rsidP="009958EA">
            <w:pPr>
              <w:keepNext/>
              <w:keepLines/>
              <w:tabs>
                <w:tab w:val="left" w:pos="-720"/>
              </w:tabs>
              <w:suppressAutoHyphens/>
              <w:rPr>
                <w:rFonts w:ascii="Times New Roman" w:hAnsi="Times New Roman" w:cs="Times New Roman"/>
                <w:lang w:val="pl-PL" w:eastAsia="fr-FR"/>
              </w:rPr>
            </w:pPr>
          </w:p>
        </w:tc>
        <w:tc>
          <w:tcPr>
            <w:tcW w:w="2500" w:type="pct"/>
          </w:tcPr>
          <w:p w14:paraId="64172EDB" w14:textId="77777777" w:rsidR="00094D21" w:rsidRPr="008F328C" w:rsidRDefault="00094D21" w:rsidP="009958EA">
            <w:pPr>
              <w:keepNext/>
              <w:keepLines/>
              <w:rPr>
                <w:rFonts w:ascii="Times New Roman" w:eastAsia="맑은 고딕" w:hAnsi="Times New Roman" w:cs="Times New Roman"/>
                <w:b/>
                <w:lang w:val="en-GB" w:eastAsia="fr-FR"/>
              </w:rPr>
            </w:pPr>
            <w:r w:rsidRPr="008F328C">
              <w:rPr>
                <w:rFonts w:ascii="Times New Roman" w:hAnsi="Times New Roman" w:cs="Times New Roman"/>
                <w:b/>
                <w:lang w:val="en-GB"/>
              </w:rPr>
              <w:t>Magyarország</w:t>
            </w:r>
          </w:p>
          <w:p w14:paraId="686D7208" w14:textId="77777777" w:rsidR="00094D21" w:rsidRPr="008F328C" w:rsidRDefault="00094D21" w:rsidP="009958EA">
            <w:pPr>
              <w:keepNext/>
              <w:keepLines/>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49BC7B04" w14:textId="77777777" w:rsidR="00094D21" w:rsidRPr="008F328C" w:rsidRDefault="00094D21" w:rsidP="009958EA">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5EC827AF" w14:textId="77777777" w:rsidR="00094D21" w:rsidRPr="008F328C" w:rsidRDefault="00094D21" w:rsidP="009958EA">
            <w:pPr>
              <w:keepNext/>
              <w:keepLines/>
              <w:rPr>
                <w:rFonts w:ascii="Times New Roman" w:eastAsia="맑은 고딕" w:hAnsi="Times New Roman" w:cs="Times New Roman"/>
                <w:lang w:val="pl-PL" w:eastAsia="ko-KR"/>
              </w:rPr>
            </w:pPr>
          </w:p>
        </w:tc>
      </w:tr>
      <w:tr w:rsidR="00472739" w:rsidRPr="008F328C" w14:paraId="447E1D87" w14:textId="77777777" w:rsidTr="008A03B2">
        <w:tc>
          <w:tcPr>
            <w:tcW w:w="2500" w:type="pct"/>
            <w:hideMark/>
          </w:tcPr>
          <w:p w14:paraId="279B9A98" w14:textId="77777777" w:rsidR="00472739" w:rsidRPr="00472739" w:rsidRDefault="00472739" w:rsidP="00472739">
            <w:pPr>
              <w:tabs>
                <w:tab w:val="left" w:pos="-720"/>
              </w:tabs>
              <w:suppressAutoHyphens/>
              <w:rPr>
                <w:rFonts w:ascii="Times New Roman" w:hAnsi="Times New Roman" w:cs="Times New Roman"/>
                <w:b/>
                <w:bCs/>
                <w:i/>
                <w:iCs/>
                <w:noProof/>
                <w:lang w:eastAsia="fr-FR"/>
              </w:rPr>
            </w:pPr>
            <w:r w:rsidRPr="00472739">
              <w:rPr>
                <w:rFonts w:ascii="Times New Roman" w:hAnsi="Times New Roman" w:cs="Times New Roman"/>
                <w:b/>
                <w:noProof/>
              </w:rPr>
              <w:t>Danmark</w:t>
            </w:r>
          </w:p>
          <w:p w14:paraId="17867C48" w14:textId="29673A46" w:rsidR="00472739" w:rsidRPr="00472739" w:rsidRDefault="00472739" w:rsidP="00472739">
            <w:pPr>
              <w:tabs>
                <w:tab w:val="left" w:pos="-720"/>
              </w:tabs>
              <w:suppressAutoHyphens/>
              <w:rPr>
                <w:rFonts w:ascii="Times New Roman" w:eastAsia="맑은 고딕" w:hAnsi="Times New Roman" w:cs="Times New Roman"/>
                <w:noProof/>
                <w:lang w:eastAsia="fr-FR"/>
              </w:rPr>
            </w:pPr>
            <w:r w:rsidRPr="00472739">
              <w:rPr>
                <w:rFonts w:ascii="Times New Roman" w:eastAsia="맑은 고딕" w:hAnsi="Times New Roman" w:cs="Times New Roman"/>
                <w:noProof/>
                <w:lang w:eastAsia="fr-FR"/>
              </w:rPr>
              <w:t>Celltrion Healthcare Denmark ApS</w:t>
            </w:r>
          </w:p>
          <w:p w14:paraId="050E0D81" w14:textId="77777777" w:rsidR="009B5C31" w:rsidRPr="00776F62" w:rsidRDefault="009B5C31" w:rsidP="009B5C31">
            <w:pPr>
              <w:tabs>
                <w:tab w:val="left" w:pos="-720"/>
              </w:tabs>
              <w:suppressAutoHyphens/>
              <w:rPr>
                <w:rFonts w:ascii="Times New Roman" w:eastAsia="맑은 고딕" w:hAnsi="Times New Roman" w:cs="Times New Roman"/>
                <w:noProof/>
                <w:lang w:eastAsia="fr-FR"/>
              </w:rPr>
            </w:pPr>
            <w:r w:rsidRPr="00776F62">
              <w:rPr>
                <w:rFonts w:ascii="Times New Roman" w:eastAsia="맑은 고딕" w:hAnsi="Times New Roman" w:cs="Times New Roman"/>
                <w:noProof/>
                <w:lang w:eastAsia="fr-FR"/>
              </w:rPr>
              <w:t>Tlf: +</w:t>
            </w:r>
            <w:r w:rsidRPr="00776F62">
              <w:rPr>
                <w:rFonts w:ascii="Times New Roman" w:eastAsia="맑은 고딕" w:hAnsi="Times New Roman" w:cs="Times New Roman"/>
                <w:noProof/>
                <w:lang w:eastAsia="ko-KR"/>
              </w:rPr>
              <w:t>45 35352989</w:t>
            </w:r>
          </w:p>
          <w:p w14:paraId="6D6F9540" w14:textId="77777777" w:rsidR="00472739" w:rsidRPr="00472739" w:rsidRDefault="00472739" w:rsidP="00472739">
            <w:pPr>
              <w:tabs>
                <w:tab w:val="left" w:pos="-720"/>
              </w:tabs>
              <w:suppressAutoHyphens/>
              <w:rPr>
                <w:rStyle w:val="ad"/>
                <w:rFonts w:ascii="Times New Roman" w:hAnsi="Times New Roman" w:cs="Times New Roman"/>
                <w:lang w:eastAsia="ko-KR"/>
              </w:rPr>
            </w:pPr>
            <w:r w:rsidRPr="00472739">
              <w:rPr>
                <w:rStyle w:val="ad"/>
                <w:rFonts w:ascii="Times New Roman" w:eastAsia="맑은 고딕" w:hAnsi="Times New Roman" w:cs="Times New Roman"/>
                <w:noProof/>
                <w:lang w:eastAsia="ko-KR"/>
              </w:rPr>
              <w:t>Contact_dk@celltrionhc.com</w:t>
            </w:r>
          </w:p>
          <w:p w14:paraId="42B3AA69" w14:textId="77777777" w:rsidR="00472739" w:rsidRPr="00472739" w:rsidRDefault="00472739" w:rsidP="00472739">
            <w:pPr>
              <w:tabs>
                <w:tab w:val="left" w:pos="-720"/>
              </w:tabs>
              <w:suppressAutoHyphens/>
              <w:rPr>
                <w:rFonts w:ascii="Times New Roman" w:eastAsia="맑은 고딕" w:hAnsi="Times New Roman" w:cs="Times New Roman"/>
                <w:noProof/>
                <w:lang w:eastAsia="fr-FR"/>
              </w:rPr>
            </w:pPr>
          </w:p>
          <w:p w14:paraId="5BA10D7F" w14:textId="74B38FAB" w:rsidR="00472739" w:rsidRPr="00472739" w:rsidRDefault="00472739" w:rsidP="00472739">
            <w:pPr>
              <w:tabs>
                <w:tab w:val="left" w:pos="-720"/>
              </w:tabs>
              <w:suppressAutoHyphens/>
              <w:rPr>
                <w:rFonts w:ascii="Times New Roman" w:eastAsia="맑은 고딕" w:hAnsi="Times New Roman" w:cs="Times New Roman"/>
                <w:lang w:val="pl-PL" w:eastAsia="fr-FR"/>
              </w:rPr>
            </w:pPr>
          </w:p>
        </w:tc>
        <w:tc>
          <w:tcPr>
            <w:tcW w:w="2500" w:type="pct"/>
          </w:tcPr>
          <w:p w14:paraId="019D45B5" w14:textId="77777777" w:rsidR="00472739" w:rsidRPr="00472739" w:rsidRDefault="00472739" w:rsidP="00472739">
            <w:pPr>
              <w:rPr>
                <w:rFonts w:ascii="Times New Roman" w:hAnsi="Times New Roman" w:cs="Times New Roman"/>
                <w:noProof/>
                <w:lang w:eastAsia="fr-FR"/>
              </w:rPr>
            </w:pPr>
            <w:r w:rsidRPr="00472739">
              <w:rPr>
                <w:rFonts w:ascii="Times New Roman" w:eastAsia="맑은 고딕" w:hAnsi="Times New Roman" w:cs="Times New Roman"/>
                <w:b/>
                <w:noProof/>
                <w:lang w:eastAsia="fr-FR"/>
              </w:rPr>
              <w:t>Malta</w:t>
            </w:r>
          </w:p>
          <w:p w14:paraId="0987CFC7" w14:textId="77777777" w:rsidR="00472739" w:rsidRPr="00472739" w:rsidRDefault="00472739" w:rsidP="00472739">
            <w:pPr>
              <w:tabs>
                <w:tab w:val="left" w:pos="-720"/>
              </w:tabs>
              <w:suppressAutoHyphens/>
              <w:rPr>
                <w:rFonts w:ascii="Times New Roman" w:eastAsia="맑은 고딕" w:hAnsi="Times New Roman" w:cs="Times New Roman"/>
                <w:noProof/>
                <w:lang w:eastAsia="fr-FR"/>
              </w:rPr>
            </w:pPr>
            <w:r w:rsidRPr="00472739">
              <w:rPr>
                <w:rFonts w:ascii="Times New Roman" w:eastAsia="맑은 고딕" w:hAnsi="Times New Roman" w:cs="Times New Roman"/>
                <w:noProof/>
                <w:lang w:eastAsia="fr-FR"/>
              </w:rPr>
              <w:t>Mint Health Ltd.</w:t>
            </w:r>
          </w:p>
          <w:p w14:paraId="3A3AC06A" w14:textId="77777777" w:rsidR="00472739" w:rsidRPr="00472739" w:rsidRDefault="00472739" w:rsidP="00472739">
            <w:pPr>
              <w:rPr>
                <w:rFonts w:ascii="Times New Roman" w:eastAsia="맑은 고딕" w:hAnsi="Times New Roman" w:cs="Times New Roman"/>
                <w:noProof/>
                <w:lang w:eastAsia="ko-KR"/>
              </w:rPr>
            </w:pPr>
            <w:r w:rsidRPr="00472739">
              <w:rPr>
                <w:rFonts w:ascii="Times New Roman" w:eastAsia="맑은 고딕" w:hAnsi="Times New Roman" w:cs="Times New Roman"/>
                <w:noProof/>
                <w:lang w:eastAsia="fr-FR"/>
              </w:rPr>
              <w:t>Tel: +356 2093 9800</w:t>
            </w:r>
          </w:p>
          <w:p w14:paraId="420B3F09" w14:textId="77777777" w:rsidR="00472739" w:rsidRPr="00472739" w:rsidRDefault="00472739" w:rsidP="00472739">
            <w:pPr>
              <w:rPr>
                <w:rFonts w:ascii="Times New Roman" w:eastAsia="맑은 고딕" w:hAnsi="Times New Roman" w:cs="Times New Roman"/>
                <w:lang w:val="en-GB" w:eastAsia="ko-KR"/>
              </w:rPr>
            </w:pPr>
          </w:p>
        </w:tc>
      </w:tr>
      <w:tr w:rsidR="00472739" w:rsidRPr="008F328C" w14:paraId="2DFEBE44" w14:textId="77777777" w:rsidTr="008A03B2">
        <w:tc>
          <w:tcPr>
            <w:tcW w:w="2500" w:type="pct"/>
            <w:hideMark/>
          </w:tcPr>
          <w:p w14:paraId="7AF46D8C" w14:textId="77777777" w:rsidR="00472739" w:rsidRPr="00472739" w:rsidRDefault="00472739" w:rsidP="00472739">
            <w:pPr>
              <w:rPr>
                <w:rFonts w:ascii="Times New Roman" w:hAnsi="Times New Roman" w:cs="Times New Roman"/>
                <w:b/>
                <w:noProof/>
                <w:lang w:eastAsia="fr-FR"/>
              </w:rPr>
            </w:pPr>
            <w:r w:rsidRPr="00472739">
              <w:rPr>
                <w:rFonts w:ascii="Times New Roman" w:eastAsia="맑은 고딕" w:hAnsi="Times New Roman" w:cs="Times New Roman"/>
                <w:b/>
                <w:noProof/>
                <w:lang w:eastAsia="fr-FR"/>
              </w:rPr>
              <w:t>Deutschland</w:t>
            </w:r>
          </w:p>
          <w:p w14:paraId="0E1B7D83" w14:textId="77777777" w:rsidR="00472739" w:rsidRPr="00472739" w:rsidRDefault="00472739" w:rsidP="00472739">
            <w:pPr>
              <w:rPr>
                <w:rFonts w:ascii="Times New Roman" w:hAnsi="Times New Roman" w:cs="Times New Roman"/>
                <w:noProof/>
                <w:lang w:eastAsia="ko-KR"/>
              </w:rPr>
            </w:pPr>
            <w:r w:rsidRPr="00472739">
              <w:rPr>
                <w:rFonts w:ascii="Times New Roman" w:hAnsi="Times New Roman" w:cs="Times New Roman"/>
                <w:noProof/>
                <w:lang w:eastAsia="ko-KR"/>
              </w:rPr>
              <w:t xml:space="preserve">Celltrion Healthcare Deutschland </w:t>
            </w:r>
            <w:r w:rsidRPr="00472739">
              <w:rPr>
                <w:rFonts w:ascii="Times New Roman" w:eastAsia="바탕" w:hAnsi="Times New Roman" w:cs="Times New Roman"/>
                <w:noProof/>
                <w:lang w:eastAsia="ko-KR"/>
              </w:rPr>
              <w:t>GmbH</w:t>
            </w:r>
          </w:p>
          <w:p w14:paraId="4FAAC290" w14:textId="367A2ABC" w:rsidR="00472739" w:rsidRPr="00472739" w:rsidRDefault="00472739" w:rsidP="00472739">
            <w:pPr>
              <w:tabs>
                <w:tab w:val="left" w:pos="-720"/>
              </w:tabs>
              <w:suppressAutoHyphens/>
              <w:rPr>
                <w:rFonts w:ascii="Times New Roman" w:hAnsi="Times New Roman" w:cs="Times New Roman"/>
                <w:noProof/>
                <w:lang w:eastAsia="ko-KR"/>
              </w:rPr>
            </w:pPr>
            <w:r w:rsidRPr="00472739">
              <w:rPr>
                <w:rFonts w:ascii="Times New Roman" w:hAnsi="Times New Roman" w:cs="Times New Roman"/>
                <w:noProof/>
                <w:lang w:eastAsia="ko-KR"/>
              </w:rPr>
              <w:t>T</w:t>
            </w:r>
            <w:r w:rsidR="00DE5D92">
              <w:rPr>
                <w:rFonts w:ascii="Times New Roman" w:hAnsi="Times New Roman" w:cs="Times New Roman" w:hint="eastAsia"/>
                <w:noProof/>
                <w:lang w:eastAsia="ko-KR"/>
              </w:rPr>
              <w:t>e</w:t>
            </w:r>
            <w:r w:rsidRPr="00472739">
              <w:rPr>
                <w:rFonts w:ascii="Times New Roman" w:hAnsi="Times New Roman" w:cs="Times New Roman"/>
                <w:noProof/>
                <w:lang w:eastAsia="ko-KR"/>
              </w:rPr>
              <w:t>l.: +49 (0)30 346494150</w:t>
            </w:r>
          </w:p>
          <w:p w14:paraId="64F6DC16" w14:textId="77777777" w:rsidR="00472739" w:rsidRPr="00472739" w:rsidRDefault="00472739" w:rsidP="00472739">
            <w:pPr>
              <w:tabs>
                <w:tab w:val="left" w:pos="-720"/>
              </w:tabs>
              <w:suppressAutoHyphens/>
              <w:rPr>
                <w:rFonts w:ascii="Times New Roman" w:eastAsia="맑은 고딕" w:hAnsi="Times New Roman" w:cs="Times New Roman"/>
                <w:noProof/>
                <w:lang w:eastAsia="ko-KR"/>
              </w:rPr>
            </w:pPr>
            <w:hyperlink r:id="rId133" w:history="1">
              <w:r w:rsidRPr="00472739">
                <w:rPr>
                  <w:rStyle w:val="ad"/>
                  <w:rFonts w:ascii="Times New Roman" w:eastAsia="맑은 고딕" w:hAnsi="Times New Roman" w:cs="Times New Roman"/>
                  <w:noProof/>
                  <w:lang w:eastAsia="ko-KR"/>
                </w:rPr>
                <w:t>infoDE@celltrionhc.com</w:t>
              </w:r>
            </w:hyperlink>
          </w:p>
          <w:p w14:paraId="6D6626A9" w14:textId="77777777" w:rsidR="00472739" w:rsidRPr="00472739" w:rsidRDefault="00472739" w:rsidP="00472739">
            <w:pPr>
              <w:tabs>
                <w:tab w:val="left" w:pos="-720"/>
              </w:tabs>
              <w:suppressAutoHyphens/>
              <w:rPr>
                <w:rFonts w:ascii="Times New Roman" w:eastAsia="맑은 고딕" w:hAnsi="Times New Roman" w:cs="Times New Roman"/>
                <w:noProof/>
                <w:lang w:eastAsia="ko-KR"/>
              </w:rPr>
            </w:pPr>
          </w:p>
          <w:p w14:paraId="47DCE916" w14:textId="77777777" w:rsidR="00472739" w:rsidRPr="00472739" w:rsidRDefault="00472739" w:rsidP="00472739">
            <w:pPr>
              <w:tabs>
                <w:tab w:val="left" w:pos="-720"/>
              </w:tabs>
              <w:suppressAutoHyphens/>
              <w:rPr>
                <w:rFonts w:ascii="Times New Roman" w:eastAsia="맑은 고딕" w:hAnsi="Times New Roman" w:cs="Times New Roman"/>
                <w:lang w:val="pl-PL" w:eastAsia="fr-FR"/>
              </w:rPr>
            </w:pPr>
          </w:p>
        </w:tc>
        <w:tc>
          <w:tcPr>
            <w:tcW w:w="2500" w:type="pct"/>
          </w:tcPr>
          <w:p w14:paraId="02E6061A" w14:textId="77777777" w:rsidR="00472739" w:rsidRPr="00472739" w:rsidRDefault="00472739" w:rsidP="00472739">
            <w:pPr>
              <w:rPr>
                <w:rFonts w:ascii="Times New Roman" w:hAnsi="Times New Roman" w:cs="Times New Roman"/>
                <w:noProof/>
                <w:lang w:eastAsia="fr-FR"/>
              </w:rPr>
            </w:pPr>
            <w:r w:rsidRPr="00472739">
              <w:rPr>
                <w:rFonts w:ascii="Times New Roman" w:eastAsia="맑은 고딕" w:hAnsi="Times New Roman" w:cs="Times New Roman"/>
                <w:b/>
                <w:noProof/>
                <w:lang w:eastAsia="fr-FR"/>
              </w:rPr>
              <w:t>Nederland</w:t>
            </w:r>
          </w:p>
          <w:p w14:paraId="4D84CBB7" w14:textId="77777777" w:rsidR="00472739" w:rsidRPr="00472739" w:rsidRDefault="00472739" w:rsidP="00472739">
            <w:pPr>
              <w:rPr>
                <w:rFonts w:ascii="Times New Roman" w:eastAsia="맑은 고딕" w:hAnsi="Times New Roman" w:cs="Times New Roman"/>
                <w:noProof/>
                <w:lang w:eastAsia="fr-FR"/>
              </w:rPr>
            </w:pPr>
            <w:r w:rsidRPr="00472739">
              <w:rPr>
                <w:rFonts w:ascii="Times New Roman" w:eastAsia="맑은 고딕" w:hAnsi="Times New Roman" w:cs="Times New Roman"/>
                <w:noProof/>
                <w:lang w:eastAsia="fr-FR"/>
              </w:rPr>
              <w:t>Celltrion Healthcare Netherlands B.V.</w:t>
            </w:r>
          </w:p>
          <w:p w14:paraId="7A881521" w14:textId="77777777" w:rsidR="00472739" w:rsidRPr="00472739" w:rsidRDefault="00472739" w:rsidP="00472739">
            <w:pPr>
              <w:rPr>
                <w:rFonts w:ascii="Times New Roman" w:eastAsia="맑은 고딕" w:hAnsi="Times New Roman" w:cs="Times New Roman"/>
                <w:noProof/>
                <w:lang w:eastAsia="fr-FR"/>
              </w:rPr>
            </w:pPr>
            <w:r w:rsidRPr="00472739">
              <w:rPr>
                <w:rFonts w:ascii="Times New Roman" w:eastAsia="맑은 고딕" w:hAnsi="Times New Roman" w:cs="Times New Roman"/>
                <w:noProof/>
                <w:lang w:eastAsia="fr-FR"/>
              </w:rPr>
              <w:t>Tel: + 31 20 888 7300</w:t>
            </w:r>
          </w:p>
          <w:p w14:paraId="6A3FD5EC" w14:textId="77777777" w:rsidR="00472739" w:rsidRPr="00472739" w:rsidRDefault="00472739" w:rsidP="00472739">
            <w:pPr>
              <w:rPr>
                <w:rFonts w:ascii="Times New Roman" w:eastAsia="맑은 고딕" w:hAnsi="Times New Roman" w:cs="Times New Roman"/>
                <w:lang w:val="pl-PL" w:eastAsia="fr-FR"/>
              </w:rPr>
            </w:pPr>
          </w:p>
        </w:tc>
      </w:tr>
      <w:tr w:rsidR="00472739" w:rsidRPr="008F328C" w14:paraId="7A75DF95" w14:textId="77777777" w:rsidTr="008A03B2">
        <w:tc>
          <w:tcPr>
            <w:tcW w:w="2500" w:type="pct"/>
            <w:hideMark/>
          </w:tcPr>
          <w:p w14:paraId="519F882D" w14:textId="77777777" w:rsidR="00472739" w:rsidRPr="00472739" w:rsidRDefault="00472739" w:rsidP="00472739">
            <w:pPr>
              <w:tabs>
                <w:tab w:val="left" w:pos="-720"/>
                <w:tab w:val="left" w:pos="4536"/>
              </w:tabs>
              <w:suppressAutoHyphens/>
              <w:rPr>
                <w:rFonts w:ascii="Times New Roman" w:hAnsi="Times New Roman" w:cs="Times New Roman"/>
                <w:b/>
                <w:noProof/>
                <w:lang w:val="en-GB" w:eastAsia="fr-FR"/>
              </w:rPr>
            </w:pPr>
            <w:r w:rsidRPr="00472739">
              <w:rPr>
                <w:rFonts w:ascii="Times New Roman" w:eastAsia="맑은 고딕" w:hAnsi="Times New Roman" w:cs="Times New Roman"/>
                <w:b/>
                <w:noProof/>
                <w:lang w:val="en-GB" w:eastAsia="fr-FR"/>
              </w:rPr>
              <w:t>Eesti</w:t>
            </w:r>
          </w:p>
          <w:p w14:paraId="7038037B" w14:textId="77777777" w:rsidR="00472739" w:rsidRPr="00472739" w:rsidRDefault="00472739" w:rsidP="00472739">
            <w:pPr>
              <w:rPr>
                <w:rFonts w:ascii="Times New Roman" w:eastAsia="맑은 고딕" w:hAnsi="Times New Roman" w:cs="Times New Roman"/>
                <w:noProof/>
                <w:lang w:val="en-GB" w:eastAsia="fr-FR"/>
              </w:rPr>
            </w:pPr>
            <w:r w:rsidRPr="00472739">
              <w:rPr>
                <w:rFonts w:ascii="Times New Roman" w:eastAsia="맑은 고딕" w:hAnsi="Times New Roman" w:cs="Times New Roman"/>
                <w:noProof/>
                <w:lang w:val="en-GB" w:eastAsia="fr-FR"/>
              </w:rPr>
              <w:t>Celltrion Healthcare Hungary Kft.</w:t>
            </w:r>
          </w:p>
          <w:p w14:paraId="2FEA7D6C" w14:textId="77777777" w:rsidR="00472739" w:rsidRPr="00472739" w:rsidRDefault="00472739" w:rsidP="00472739">
            <w:pPr>
              <w:tabs>
                <w:tab w:val="left" w:pos="-720"/>
              </w:tabs>
              <w:suppressAutoHyphens/>
              <w:rPr>
                <w:rFonts w:ascii="Times New Roman" w:eastAsia="맑은 고딕" w:hAnsi="Times New Roman" w:cs="Times New Roman"/>
                <w:noProof/>
                <w:lang w:val="fi-FI" w:eastAsia="fr-FR"/>
              </w:rPr>
            </w:pPr>
            <w:r w:rsidRPr="00472739">
              <w:rPr>
                <w:rFonts w:ascii="Times New Roman" w:eastAsia="맑은 고딕" w:hAnsi="Times New Roman" w:cs="Times New Roman"/>
                <w:noProof/>
                <w:lang w:eastAsia="fr-FR"/>
              </w:rPr>
              <w:t xml:space="preserve">Tel: </w:t>
            </w:r>
            <w:r w:rsidRPr="00472739">
              <w:rPr>
                <w:rFonts w:ascii="Times New Roman" w:eastAsia="맑은 고딕" w:hAnsi="Times New Roman" w:cs="Times New Roman"/>
                <w:noProof/>
                <w:lang w:val="fi-FI" w:eastAsia="fr-FR"/>
              </w:rPr>
              <w:t>+36 1 231 0493</w:t>
            </w:r>
          </w:p>
          <w:p w14:paraId="46792E50" w14:textId="77777777" w:rsidR="00472739" w:rsidRPr="00472739" w:rsidRDefault="00472739" w:rsidP="00472739">
            <w:pPr>
              <w:tabs>
                <w:tab w:val="left" w:pos="-720"/>
              </w:tabs>
              <w:suppressAutoHyphens/>
              <w:rPr>
                <w:rFonts w:ascii="Times New Roman" w:eastAsia="맑은 고딕" w:hAnsi="Times New Roman" w:cs="Times New Roman"/>
                <w:lang w:val="pl-PL" w:eastAsia="ko-KR"/>
              </w:rPr>
            </w:pPr>
          </w:p>
        </w:tc>
        <w:tc>
          <w:tcPr>
            <w:tcW w:w="2500" w:type="pct"/>
          </w:tcPr>
          <w:p w14:paraId="51DA55E6" w14:textId="77777777" w:rsidR="00472739" w:rsidRPr="00472739" w:rsidRDefault="00472739" w:rsidP="00472739">
            <w:pPr>
              <w:tabs>
                <w:tab w:val="left" w:pos="-720"/>
              </w:tabs>
              <w:suppressAutoHyphens/>
              <w:rPr>
                <w:rFonts w:ascii="Times New Roman" w:hAnsi="Times New Roman" w:cs="Times New Roman"/>
                <w:noProof/>
                <w:lang w:eastAsia="fr-FR"/>
              </w:rPr>
            </w:pPr>
            <w:r w:rsidRPr="00472739">
              <w:rPr>
                <w:rFonts w:ascii="Times New Roman" w:eastAsia="맑은 고딕" w:hAnsi="Times New Roman" w:cs="Times New Roman"/>
                <w:b/>
                <w:noProof/>
                <w:lang w:eastAsia="fr-FR"/>
              </w:rPr>
              <w:t>Norge</w:t>
            </w:r>
          </w:p>
          <w:p w14:paraId="401E4533" w14:textId="65AB2123" w:rsidR="00472739" w:rsidRPr="00472739" w:rsidRDefault="00472739" w:rsidP="00472739">
            <w:pPr>
              <w:rPr>
                <w:rFonts w:ascii="Times New Roman" w:eastAsia="맑은 고딕" w:hAnsi="Times New Roman" w:cs="Times New Roman"/>
                <w:noProof/>
                <w:lang w:eastAsia="fr-FR"/>
              </w:rPr>
            </w:pPr>
            <w:r w:rsidRPr="00472739">
              <w:rPr>
                <w:rFonts w:ascii="Times New Roman" w:eastAsia="맑은 고딕" w:hAnsi="Times New Roman" w:cs="Times New Roman"/>
                <w:noProof/>
                <w:lang w:eastAsia="fr-FR"/>
              </w:rPr>
              <w:t xml:space="preserve">Celltrion Healthcare </w:t>
            </w:r>
            <w:r w:rsidRPr="00472739">
              <w:rPr>
                <w:rFonts w:ascii="Times New Roman" w:eastAsia="맑은 고딕" w:hAnsi="Times New Roman" w:cs="Times New Roman"/>
                <w:noProof/>
                <w:lang w:eastAsia="ko-KR"/>
              </w:rPr>
              <w:t>Norway AS</w:t>
            </w:r>
          </w:p>
          <w:p w14:paraId="2F34C278" w14:textId="6A943388" w:rsidR="00472739" w:rsidRPr="00472739" w:rsidRDefault="00472739" w:rsidP="00472739">
            <w:pPr>
              <w:tabs>
                <w:tab w:val="left" w:pos="-720"/>
              </w:tabs>
              <w:suppressAutoHyphens/>
              <w:rPr>
                <w:rStyle w:val="ad"/>
                <w:rFonts w:ascii="Times New Roman" w:hAnsi="Times New Roman" w:cs="Times New Roman"/>
                <w:lang w:eastAsia="ko-KR"/>
              </w:rPr>
            </w:pPr>
            <w:hyperlink r:id="rId134" w:history="1">
              <w:r w:rsidRPr="00472739">
                <w:rPr>
                  <w:rStyle w:val="ad"/>
                  <w:rFonts w:ascii="Times New Roman" w:eastAsia="맑은 고딕" w:hAnsi="Times New Roman" w:cs="Times New Roman"/>
                  <w:noProof/>
                  <w:lang w:eastAsia="ko-KR"/>
                </w:rPr>
                <w:t>Contact_no@celltrionhc.com</w:t>
              </w:r>
            </w:hyperlink>
          </w:p>
          <w:p w14:paraId="6287452E" w14:textId="77777777" w:rsidR="00472739" w:rsidRPr="00472739" w:rsidRDefault="00472739" w:rsidP="00472739">
            <w:pPr>
              <w:tabs>
                <w:tab w:val="left" w:pos="-720"/>
              </w:tabs>
              <w:suppressAutoHyphens/>
              <w:rPr>
                <w:rFonts w:ascii="Times New Roman" w:eastAsia="맑은 고딕" w:hAnsi="Times New Roman" w:cs="Times New Roman"/>
                <w:lang w:val="pl-PL" w:eastAsia="ko-KR"/>
              </w:rPr>
            </w:pPr>
          </w:p>
        </w:tc>
      </w:tr>
      <w:tr w:rsidR="00094D21" w:rsidRPr="008F328C" w14:paraId="3B015641" w14:textId="77777777" w:rsidTr="008A03B2">
        <w:tc>
          <w:tcPr>
            <w:tcW w:w="2500" w:type="pct"/>
            <w:hideMark/>
          </w:tcPr>
          <w:p w14:paraId="170F55B0" w14:textId="77777777" w:rsidR="00094D21" w:rsidRPr="008F328C" w:rsidRDefault="00094D21" w:rsidP="008A03B2">
            <w:pPr>
              <w:rPr>
                <w:rFonts w:ascii="Times New Roman" w:hAnsi="Times New Roman" w:cs="Times New Roman"/>
                <w:lang w:val="es-ES" w:eastAsia="fr-FR"/>
              </w:rPr>
            </w:pPr>
            <w:r w:rsidRPr="008F328C">
              <w:rPr>
                <w:rFonts w:ascii="Times New Roman" w:hAnsi="Times New Roman" w:cs="Times New Roman"/>
                <w:b/>
                <w:lang w:val="es-ES"/>
              </w:rPr>
              <w:t>España</w:t>
            </w:r>
          </w:p>
          <w:p w14:paraId="4256EC79" w14:textId="77777777" w:rsidR="00094D21" w:rsidRPr="008F328C" w:rsidRDefault="00094D21" w:rsidP="008A03B2">
            <w:pPr>
              <w:rPr>
                <w:rFonts w:ascii="Times New Roman" w:eastAsia="맑은 고딕" w:hAnsi="Times New Roman" w:cs="Times New Roman"/>
                <w:lang w:val="es-ES" w:eastAsia="fr-FR"/>
              </w:rPr>
            </w:pPr>
            <w:r w:rsidRPr="008F328C">
              <w:rPr>
                <w:rFonts w:ascii="Times New Roman" w:eastAsia="맑은 고딕" w:hAnsi="Times New Roman" w:cs="Times New Roman"/>
                <w:lang w:val="es-ES" w:eastAsia="fr-FR"/>
              </w:rPr>
              <w:t>Kern Pharma, S.L.</w:t>
            </w:r>
          </w:p>
          <w:p w14:paraId="1BBAA5E4"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+34 93 700 2525</w:t>
            </w:r>
          </w:p>
          <w:p w14:paraId="627ADDB0" w14:textId="77777777" w:rsidR="00094D21" w:rsidRPr="008F328C" w:rsidRDefault="00094D21" w:rsidP="008A03B2">
            <w:pPr>
              <w:rPr>
                <w:rFonts w:ascii="Times New Roman" w:hAnsi="Times New Roman" w:cs="Times New Roman"/>
                <w:b/>
                <w:lang w:val="pl-PL" w:eastAsia="fr-FR"/>
              </w:rPr>
            </w:pPr>
          </w:p>
        </w:tc>
        <w:tc>
          <w:tcPr>
            <w:tcW w:w="2500" w:type="pct"/>
          </w:tcPr>
          <w:p w14:paraId="1E979C2E" w14:textId="77777777" w:rsidR="00094D21" w:rsidRPr="008F328C" w:rsidRDefault="00094D21" w:rsidP="008A03B2">
            <w:pPr>
              <w:rPr>
                <w:rFonts w:ascii="Times New Roman" w:hAnsi="Times New Roman" w:cs="Times New Roman"/>
                <w:lang w:val="de-DE" w:eastAsia="fr-FR"/>
              </w:rPr>
            </w:pPr>
            <w:r w:rsidRPr="008F328C">
              <w:rPr>
                <w:rFonts w:ascii="Times New Roman" w:hAnsi="Times New Roman" w:cs="Times New Roman"/>
                <w:b/>
                <w:lang w:val="de-DE"/>
              </w:rPr>
              <w:t>Österreich</w:t>
            </w:r>
          </w:p>
          <w:p w14:paraId="394F5220" w14:textId="77777777" w:rsidR="00094D21" w:rsidRPr="008F328C" w:rsidRDefault="00094D21" w:rsidP="008A03B2">
            <w:pPr>
              <w:rPr>
                <w:rFonts w:ascii="Times New Roman" w:eastAsia="맑은 고딕" w:hAnsi="Times New Roman" w:cs="Times New Roman"/>
                <w:lang w:val="de-DE" w:eastAsia="ko-KR"/>
              </w:rPr>
            </w:pPr>
            <w:r w:rsidRPr="008F328C">
              <w:rPr>
                <w:rFonts w:ascii="Times New Roman" w:eastAsia="맑은 고딕" w:hAnsi="Times New Roman" w:cs="Times New Roman"/>
                <w:lang w:val="de-DE" w:eastAsia="fr-FR"/>
              </w:rPr>
              <w:t>Astro-Pharma GmbH</w:t>
            </w:r>
          </w:p>
          <w:p w14:paraId="330E5F0E" w14:textId="77777777" w:rsidR="00094D21" w:rsidRPr="008F328C" w:rsidRDefault="00094D21" w:rsidP="008A03B2">
            <w:pPr>
              <w:tabs>
                <w:tab w:val="left" w:pos="-720"/>
              </w:tabs>
              <w:suppressAutoHyphens/>
              <w:rPr>
                <w:rFonts w:ascii="Times New Roman" w:eastAsia="맑은 고딕" w:hAnsi="Times New Roman" w:cs="Times New Roman"/>
                <w:lang w:val="de-DE" w:eastAsia="fr-FR"/>
              </w:rPr>
            </w:pPr>
            <w:r w:rsidRPr="008F328C">
              <w:rPr>
                <w:rFonts w:ascii="Times New Roman" w:eastAsia="맑은 고딕" w:hAnsi="Times New Roman" w:cs="Times New Roman"/>
                <w:lang w:val="de-DE" w:eastAsia="fr-FR"/>
              </w:rPr>
              <w:t>Tel: +43 1 97 99 860</w:t>
            </w:r>
          </w:p>
          <w:p w14:paraId="49617639" w14:textId="77777777" w:rsidR="00094D21" w:rsidRPr="008F328C" w:rsidRDefault="00094D21" w:rsidP="008A03B2">
            <w:pPr>
              <w:tabs>
                <w:tab w:val="left" w:pos="-720"/>
              </w:tabs>
              <w:suppressAutoHyphens/>
              <w:rPr>
                <w:rFonts w:ascii="Times New Roman" w:hAnsi="Times New Roman" w:cs="Times New Roman"/>
                <w:lang w:val="de-DE" w:eastAsia="fr-FR"/>
              </w:rPr>
            </w:pPr>
          </w:p>
        </w:tc>
      </w:tr>
      <w:tr w:rsidR="00094D21" w:rsidRPr="008F328C" w14:paraId="05120412" w14:textId="77777777" w:rsidTr="008A03B2">
        <w:tc>
          <w:tcPr>
            <w:tcW w:w="2500" w:type="pct"/>
          </w:tcPr>
          <w:p w14:paraId="3D56C485" w14:textId="77777777" w:rsidR="00094D21" w:rsidRPr="008F328C" w:rsidRDefault="00094D21" w:rsidP="008A03B2">
            <w:pPr>
              <w:rPr>
                <w:rFonts w:ascii="Times New Roman" w:hAnsi="Times New Roman" w:cs="Times New Roman"/>
                <w:b/>
                <w:lang w:val="el-GR" w:eastAsia="fr-FR"/>
              </w:rPr>
            </w:pPr>
            <w:r w:rsidRPr="008F328C">
              <w:rPr>
                <w:rFonts w:ascii="Times New Roman" w:hAnsi="Times New Roman" w:cs="Times New Roman"/>
                <w:b/>
                <w:lang w:val="el-GR" w:eastAsia="fr-FR"/>
              </w:rPr>
              <w:t>Ελλάδα</w:t>
            </w:r>
          </w:p>
          <w:p w14:paraId="44BDF20A" w14:textId="77777777" w:rsidR="00094D21" w:rsidRPr="008F328C" w:rsidRDefault="00094D21" w:rsidP="008A03B2">
            <w:pPr>
              <w:rPr>
                <w:rFonts w:ascii="Times New Roman" w:hAnsi="Times New Roman" w:cs="Times New Roman"/>
                <w:lang w:val="el-GR" w:eastAsia="fr-FR"/>
              </w:rPr>
            </w:pPr>
            <w:r w:rsidRPr="008F328C">
              <w:rPr>
                <w:rFonts w:ascii="Times New Roman" w:hAnsi="Times New Roman" w:cs="Times New Roman"/>
                <w:lang w:val="el-GR" w:eastAsia="fr-FR"/>
              </w:rPr>
              <w:t>ΒΙΑΝΕΞ Α.Ε.</w:t>
            </w:r>
          </w:p>
          <w:p w14:paraId="45FB4DA9" w14:textId="512E3D1E" w:rsidR="00094D21" w:rsidRPr="008F328C" w:rsidRDefault="00094D21" w:rsidP="008A03B2">
            <w:pPr>
              <w:rPr>
                <w:rFonts w:ascii="Times New Roman" w:hAnsi="Times New Roman" w:cs="Times New Roman"/>
                <w:lang w:val="el-GR" w:eastAsia="fr-FR"/>
              </w:rPr>
            </w:pPr>
            <w:r w:rsidRPr="008F328C">
              <w:rPr>
                <w:rFonts w:ascii="Times New Roman" w:hAnsi="Times New Roman" w:cs="Times New Roman"/>
                <w:lang w:val="el-GR" w:eastAsia="fr-FR"/>
              </w:rPr>
              <w:t>Τηλ: +30 210 8009111</w:t>
            </w:r>
          </w:p>
          <w:p w14:paraId="54DF390A" w14:textId="77777777" w:rsidR="00094D21" w:rsidRPr="008F328C" w:rsidRDefault="00094D21" w:rsidP="008A03B2">
            <w:pPr>
              <w:rPr>
                <w:rFonts w:ascii="Times New Roman" w:eastAsia="맑은 고딕" w:hAnsi="Times New Roman" w:cs="Times New Roman"/>
                <w:lang w:val="el-GR" w:eastAsia="fr-FR"/>
              </w:rPr>
            </w:pPr>
          </w:p>
        </w:tc>
        <w:tc>
          <w:tcPr>
            <w:tcW w:w="2500" w:type="pct"/>
          </w:tcPr>
          <w:p w14:paraId="129C1D03"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Polska</w:t>
            </w:r>
          </w:p>
          <w:p w14:paraId="0A11B08B"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3AE7DAA"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3817D34D" w14:textId="77777777" w:rsidR="00094D21" w:rsidRPr="008F328C" w:rsidRDefault="00094D21" w:rsidP="008A03B2">
            <w:pPr>
              <w:rPr>
                <w:rFonts w:ascii="Times New Roman" w:hAnsi="Times New Roman" w:cs="Times New Roman"/>
                <w:b/>
                <w:lang w:val="pl-PL"/>
              </w:rPr>
            </w:pPr>
          </w:p>
        </w:tc>
      </w:tr>
      <w:tr w:rsidR="00094D21" w:rsidRPr="00A5286D" w14:paraId="3D685FAC" w14:textId="77777777" w:rsidTr="008A03B2">
        <w:tc>
          <w:tcPr>
            <w:tcW w:w="2500" w:type="pct"/>
          </w:tcPr>
          <w:p w14:paraId="1F32EAE0" w14:textId="77777777" w:rsidR="00094D21" w:rsidRPr="008F328C" w:rsidRDefault="00094D21" w:rsidP="008A03B2">
            <w:pPr>
              <w:rPr>
                <w:rFonts w:ascii="Times New Roman" w:hAnsi="Times New Roman" w:cs="Times New Roman"/>
                <w:b/>
                <w:lang w:val="en-GB" w:eastAsia="ko-KR"/>
              </w:rPr>
            </w:pPr>
            <w:r w:rsidRPr="008F328C">
              <w:rPr>
                <w:rFonts w:ascii="Times New Roman" w:hAnsi="Times New Roman" w:cs="Times New Roman"/>
                <w:b/>
                <w:lang w:val="en-GB" w:eastAsia="ko-KR"/>
              </w:rPr>
              <w:t>France</w:t>
            </w:r>
          </w:p>
          <w:p w14:paraId="7F696006" w14:textId="4C366745" w:rsidR="00094D21" w:rsidRPr="008F328C" w:rsidRDefault="007F4EDB" w:rsidP="008A03B2">
            <w:pPr>
              <w:rPr>
                <w:rFonts w:ascii="Times New Roman" w:hAnsi="Times New Roman" w:cs="Times New Roman"/>
                <w:lang w:val="en-GB" w:eastAsia="ko-KR"/>
              </w:rPr>
            </w:pPr>
            <w:r w:rsidRPr="008F328C">
              <w:rPr>
                <w:rFonts w:ascii="Times New Roman" w:hAnsi="Times New Roman" w:cs="Times New Roman"/>
                <w:lang w:val="en-GB" w:eastAsia="ko-KR"/>
              </w:rPr>
              <w:t>Celltrion Healthcare France SAS</w:t>
            </w:r>
          </w:p>
          <w:p w14:paraId="0895BF6B" w14:textId="77777777" w:rsidR="00094D21" w:rsidRPr="008F328C" w:rsidRDefault="00094D21" w:rsidP="008A03B2">
            <w:pPr>
              <w:rPr>
                <w:rFonts w:ascii="Times New Roman" w:eastAsia="맑은 고딕" w:hAnsi="Times New Roman" w:cs="Times New Roman"/>
                <w:lang w:val="en-GB" w:eastAsia="ko-KR"/>
              </w:rPr>
            </w:pPr>
            <w:r w:rsidRPr="008F328C">
              <w:rPr>
                <w:rFonts w:ascii="Times New Roman" w:hAnsi="Times New Roman" w:cs="Times New Roman"/>
                <w:lang w:val="en-GB" w:eastAsia="ko-KR"/>
              </w:rPr>
              <w:t>T</w:t>
            </w:r>
            <w:r w:rsidRPr="008F328C">
              <w:rPr>
                <w:rFonts w:ascii="Times New Roman" w:hAnsi="Times New Roman" w:cs="Times New Roman"/>
                <w:lang w:val="en-GB"/>
              </w:rPr>
              <w:t>é</w:t>
            </w:r>
            <w:r w:rsidRPr="008F328C">
              <w:rPr>
                <w:rFonts w:ascii="Times New Roman" w:hAnsi="Times New Roman" w:cs="Times New Roman"/>
                <w:lang w:val="en-GB" w:eastAsia="ko-KR"/>
              </w:rPr>
              <w:t>l.: +33 (0)1 71 25 27 00</w:t>
            </w:r>
          </w:p>
          <w:p w14:paraId="73DD1B73" w14:textId="77777777" w:rsidR="00094D21" w:rsidRPr="008F328C" w:rsidRDefault="00094D21" w:rsidP="008A03B2">
            <w:pPr>
              <w:rPr>
                <w:rFonts w:ascii="Times New Roman" w:eastAsia="맑은 고딕" w:hAnsi="Times New Roman" w:cs="Times New Roman"/>
                <w:lang w:val="en-GB" w:eastAsia="fr-FR"/>
              </w:rPr>
            </w:pPr>
          </w:p>
        </w:tc>
        <w:tc>
          <w:tcPr>
            <w:tcW w:w="2500" w:type="pct"/>
          </w:tcPr>
          <w:p w14:paraId="3A86F9BD" w14:textId="77777777" w:rsidR="00FA20FC" w:rsidRPr="002F72A3" w:rsidRDefault="00FA20FC" w:rsidP="00FA20F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6727AC23" w14:textId="2F7E1EE2" w:rsidR="00FA20FC" w:rsidRDefault="00FA20FC" w:rsidP="00FA20F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7803AACE" w14:textId="147385BE" w:rsidR="00FA20FC" w:rsidRPr="00494296" w:rsidRDefault="00FA20FC" w:rsidP="00FA20FC">
            <w:pPr>
              <w:rPr>
                <w:rFonts w:ascii="Times New Roman" w:eastAsia="맑은 고딕" w:hAnsi="Times New Roman" w:cs="Times New Roman"/>
                <w:noProof/>
                <w:lang w:val="fr-CA" w:eastAsia="fr-FR"/>
              </w:rPr>
            </w:pPr>
            <w:r w:rsidRPr="00494296">
              <w:rPr>
                <w:rFonts w:ascii="Times New Roman" w:eastAsia="맑은 고딕" w:hAnsi="Times New Roman" w:cs="Times New Roman"/>
                <w:noProof/>
                <w:lang w:val="fr-CA" w:eastAsia="fr-FR"/>
              </w:rPr>
              <w:t>Tel: +351 21 936 8542</w:t>
            </w:r>
          </w:p>
          <w:p w14:paraId="22F8C9F4" w14:textId="77777777" w:rsidR="00094D21" w:rsidRPr="008F328C" w:rsidRDefault="00094D21" w:rsidP="008A03B2">
            <w:pPr>
              <w:rPr>
                <w:rFonts w:ascii="Times New Roman" w:hAnsi="Times New Roman" w:cs="Times New Roman"/>
                <w:b/>
                <w:lang w:val="pl-PL"/>
              </w:rPr>
            </w:pPr>
          </w:p>
        </w:tc>
      </w:tr>
      <w:tr w:rsidR="00094D21" w:rsidRPr="008F328C" w14:paraId="67AD5A6C" w14:textId="77777777" w:rsidTr="008A03B2">
        <w:tc>
          <w:tcPr>
            <w:tcW w:w="2500" w:type="pct"/>
          </w:tcPr>
          <w:p w14:paraId="682B0EA4" w14:textId="77777777" w:rsidR="00094D21" w:rsidRPr="008F328C" w:rsidRDefault="00094D21" w:rsidP="008A03B2">
            <w:pPr>
              <w:rPr>
                <w:rFonts w:ascii="Times New Roman" w:hAnsi="Times New Roman" w:cs="Times New Roman"/>
                <w:b/>
                <w:lang w:val="pl-PL" w:eastAsia="ko-KR"/>
              </w:rPr>
            </w:pPr>
            <w:r w:rsidRPr="008F328C">
              <w:rPr>
                <w:rFonts w:ascii="Times New Roman" w:hAnsi="Times New Roman" w:cs="Times New Roman"/>
                <w:b/>
                <w:lang w:val="pl-PL" w:eastAsia="ko-KR"/>
              </w:rPr>
              <w:t>Hrvatska</w:t>
            </w:r>
          </w:p>
          <w:p w14:paraId="56DD9C84" w14:textId="77777777" w:rsidR="00094D21" w:rsidRPr="008F328C" w:rsidRDefault="00094D21" w:rsidP="008A03B2">
            <w:pPr>
              <w:rPr>
                <w:rFonts w:ascii="Times New Roman" w:hAnsi="Times New Roman" w:cs="Times New Roman"/>
                <w:lang w:val="pl-PL" w:eastAsia="ko-KR"/>
              </w:rPr>
            </w:pPr>
            <w:r w:rsidRPr="008F328C">
              <w:rPr>
                <w:rFonts w:ascii="Times New Roman" w:hAnsi="Times New Roman" w:cs="Times New Roman"/>
                <w:lang w:val="pl-PL" w:eastAsia="ko-KR"/>
              </w:rPr>
              <w:t>Oktal Pharma d.o.o.</w:t>
            </w:r>
          </w:p>
          <w:p w14:paraId="0ECA6639" w14:textId="77777777" w:rsidR="00094D21" w:rsidRPr="008F328C" w:rsidRDefault="00094D21" w:rsidP="008A03B2">
            <w:pPr>
              <w:rPr>
                <w:rFonts w:ascii="Times New Roman" w:hAnsi="Times New Roman" w:cs="Times New Roman"/>
                <w:lang w:val="pl-PL" w:eastAsia="ko-KR"/>
              </w:rPr>
            </w:pPr>
            <w:r w:rsidRPr="008F328C">
              <w:rPr>
                <w:rFonts w:ascii="Times New Roman" w:hAnsi="Times New Roman" w:cs="Times New Roman"/>
                <w:lang w:val="pl-PL" w:eastAsia="ko-KR"/>
              </w:rPr>
              <w:t>Tel: +385 1 6595 777</w:t>
            </w:r>
          </w:p>
          <w:p w14:paraId="05C04C43" w14:textId="77777777" w:rsidR="00094D21" w:rsidRPr="008F328C" w:rsidRDefault="00094D21" w:rsidP="008A03B2">
            <w:pPr>
              <w:rPr>
                <w:rFonts w:ascii="Times New Roman" w:eastAsia="맑은 고딕" w:hAnsi="Times New Roman" w:cs="Times New Roman"/>
                <w:lang w:val="pl-PL" w:eastAsia="fr-FR"/>
              </w:rPr>
            </w:pPr>
          </w:p>
        </w:tc>
        <w:tc>
          <w:tcPr>
            <w:tcW w:w="2500" w:type="pct"/>
          </w:tcPr>
          <w:p w14:paraId="3D3A589E" w14:textId="77777777" w:rsidR="00094D21" w:rsidRPr="008F328C" w:rsidRDefault="00094D21" w:rsidP="008A03B2">
            <w:pPr>
              <w:tabs>
                <w:tab w:val="left" w:pos="-720"/>
              </w:tabs>
              <w:suppressAutoHyphens/>
              <w:rPr>
                <w:rFonts w:ascii="Times New Roman" w:eastAsia="맑은 고딕" w:hAnsi="Times New Roman" w:cs="Times New Roman"/>
                <w:b/>
                <w:lang w:val="en-GB" w:eastAsia="fr-FR"/>
              </w:rPr>
            </w:pPr>
            <w:r w:rsidRPr="008F328C">
              <w:rPr>
                <w:rFonts w:ascii="Times New Roman" w:hAnsi="Times New Roman" w:cs="Times New Roman"/>
                <w:b/>
                <w:lang w:val="en-GB"/>
              </w:rPr>
              <w:t>România</w:t>
            </w:r>
          </w:p>
          <w:p w14:paraId="02667AAC"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07CC0B9"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3CFA4171" w14:textId="77777777" w:rsidR="00094D21" w:rsidRPr="008F328C" w:rsidRDefault="00094D21" w:rsidP="008A03B2">
            <w:pPr>
              <w:rPr>
                <w:rFonts w:ascii="Times New Roman" w:hAnsi="Times New Roman" w:cs="Times New Roman"/>
                <w:b/>
                <w:lang w:val="en-GB"/>
              </w:rPr>
            </w:pPr>
          </w:p>
        </w:tc>
      </w:tr>
      <w:tr w:rsidR="00094D21" w:rsidRPr="008F328C" w14:paraId="28D53D07" w14:textId="77777777" w:rsidTr="008A03B2">
        <w:tc>
          <w:tcPr>
            <w:tcW w:w="2500" w:type="pct"/>
          </w:tcPr>
          <w:p w14:paraId="0072E14B" w14:textId="77777777" w:rsidR="00094D21" w:rsidRPr="008F328C" w:rsidRDefault="00094D21" w:rsidP="008A03B2">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Ireland</w:t>
            </w:r>
          </w:p>
          <w:p w14:paraId="5239979E"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Ireland Limited</w:t>
            </w:r>
          </w:p>
          <w:p w14:paraId="067A6A09"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Tel: +353 1 223 4026</w:t>
            </w:r>
          </w:p>
          <w:p w14:paraId="21428DD9" w14:textId="77777777" w:rsidR="00094D21" w:rsidRPr="008F328C" w:rsidRDefault="00094D21" w:rsidP="008A03B2">
            <w:pPr>
              <w:rPr>
                <w:rFonts w:ascii="Times New Roman" w:eastAsia="맑은 고딕" w:hAnsi="Times New Roman" w:cs="Times New Roman"/>
                <w:lang w:eastAsia="fr-FR"/>
              </w:rPr>
            </w:pPr>
          </w:p>
        </w:tc>
        <w:tc>
          <w:tcPr>
            <w:tcW w:w="2500" w:type="pct"/>
          </w:tcPr>
          <w:p w14:paraId="1148889D" w14:textId="77777777" w:rsidR="00094D21" w:rsidRPr="008F328C" w:rsidRDefault="00094D21" w:rsidP="008A03B2">
            <w:pPr>
              <w:rPr>
                <w:rFonts w:ascii="Times New Roman" w:eastAsia="맑은 고딕" w:hAnsi="Times New Roman" w:cs="Times New Roman"/>
                <w:b/>
                <w:lang w:val="pt-PT" w:eastAsia="fr-FR"/>
              </w:rPr>
            </w:pPr>
            <w:r w:rsidRPr="008F328C">
              <w:rPr>
                <w:rFonts w:ascii="Times New Roman" w:eastAsia="맑은 고딕" w:hAnsi="Times New Roman" w:cs="Times New Roman"/>
                <w:b/>
                <w:lang w:val="pt-PT" w:eastAsia="fr-FR"/>
              </w:rPr>
              <w:t>Slovenija</w:t>
            </w:r>
          </w:p>
          <w:p w14:paraId="26ADAD27" w14:textId="77777777" w:rsidR="00094D21" w:rsidRPr="008F328C" w:rsidRDefault="00094D21" w:rsidP="008A03B2">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OPH Oktal Pharma d.o.o.</w:t>
            </w:r>
          </w:p>
          <w:p w14:paraId="6FD87AE5" w14:textId="77777777" w:rsidR="00094D21" w:rsidRPr="008F328C" w:rsidRDefault="00094D21" w:rsidP="008A03B2">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Tel.: +386 1 519 29 22</w:t>
            </w:r>
          </w:p>
          <w:p w14:paraId="5EEF9934" w14:textId="77777777" w:rsidR="00094D21" w:rsidRPr="008F328C" w:rsidRDefault="00094D21" w:rsidP="008A03B2">
            <w:pPr>
              <w:rPr>
                <w:rFonts w:ascii="Times New Roman" w:hAnsi="Times New Roman" w:cs="Times New Roman"/>
                <w:b/>
                <w:lang w:val="pt-PT"/>
              </w:rPr>
            </w:pPr>
          </w:p>
        </w:tc>
      </w:tr>
      <w:tr w:rsidR="00094D21" w:rsidRPr="008F328C" w14:paraId="1134CEF5" w14:textId="77777777" w:rsidTr="008A03B2">
        <w:tc>
          <w:tcPr>
            <w:tcW w:w="2500" w:type="pct"/>
          </w:tcPr>
          <w:p w14:paraId="179306EB" w14:textId="77777777" w:rsidR="00094D21" w:rsidRPr="008F328C" w:rsidRDefault="00094D21" w:rsidP="008A03B2">
            <w:pPr>
              <w:rPr>
                <w:rFonts w:ascii="Times New Roman" w:eastAsia="맑은 고딕" w:hAnsi="Times New Roman" w:cs="Times New Roman"/>
                <w:lang w:eastAsia="fr-FR"/>
              </w:rPr>
            </w:pPr>
            <w:r w:rsidRPr="008F328C">
              <w:rPr>
                <w:rFonts w:ascii="Times New Roman" w:eastAsia="맑은 고딕" w:hAnsi="Times New Roman" w:cs="Times New Roman"/>
                <w:b/>
                <w:lang w:eastAsia="fr-FR"/>
              </w:rPr>
              <w:t>Ísland</w:t>
            </w:r>
          </w:p>
          <w:p w14:paraId="7E7D22E2"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21B03D2D" w14:textId="77777777"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Sími: +36 1 231 0493</w:t>
            </w:r>
          </w:p>
          <w:p w14:paraId="0127B19B" w14:textId="77777777" w:rsidR="00094D21" w:rsidRPr="008F328C" w:rsidRDefault="00094D21" w:rsidP="008A03B2">
            <w:pPr>
              <w:rPr>
                <w:rFonts w:ascii="Times New Roman" w:eastAsia="맑은 고딕" w:hAnsi="Times New Roman" w:cs="Times New Roman"/>
                <w:lang w:val="pl-PL" w:eastAsia="fr-FR"/>
              </w:rPr>
            </w:pPr>
          </w:p>
        </w:tc>
        <w:tc>
          <w:tcPr>
            <w:tcW w:w="2500" w:type="pct"/>
          </w:tcPr>
          <w:p w14:paraId="6AD53B02" w14:textId="77777777" w:rsidR="00094D21" w:rsidRPr="008F328C" w:rsidRDefault="00094D21" w:rsidP="008A03B2">
            <w:pPr>
              <w:rPr>
                <w:rFonts w:ascii="Times New Roman" w:eastAsia="맑은 고딕" w:hAnsi="Times New Roman" w:cs="Times New Roman"/>
                <w:b/>
                <w:lang w:val="en-GB" w:eastAsia="fr-FR"/>
              </w:rPr>
            </w:pPr>
            <w:r w:rsidRPr="008F328C">
              <w:rPr>
                <w:rFonts w:ascii="Times New Roman" w:hAnsi="Times New Roman" w:cs="Times New Roman"/>
                <w:b/>
                <w:lang w:val="en-GB"/>
              </w:rPr>
              <w:t>Slovenská republika</w:t>
            </w:r>
          </w:p>
          <w:p w14:paraId="1145A24F" w14:textId="77777777" w:rsidR="00094D21" w:rsidRPr="008F328C" w:rsidRDefault="00094D21" w:rsidP="008A03B2">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77062FA" w14:textId="77777777" w:rsidR="00094D21" w:rsidRPr="008F328C" w:rsidRDefault="00094D21" w:rsidP="008A03B2">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D91E616" w14:textId="77777777" w:rsidR="00094D21" w:rsidRPr="008F328C" w:rsidRDefault="00094D21" w:rsidP="008A03B2">
            <w:pPr>
              <w:rPr>
                <w:rFonts w:ascii="Times New Roman" w:eastAsia="맑은 고딕" w:hAnsi="Times New Roman" w:cs="Times New Roman"/>
                <w:b/>
                <w:lang w:val="pl-PL" w:eastAsia="fr-FR"/>
              </w:rPr>
            </w:pPr>
          </w:p>
        </w:tc>
      </w:tr>
      <w:tr w:rsidR="00094D21" w:rsidRPr="008F328C" w14:paraId="33B3A594" w14:textId="77777777" w:rsidTr="008A03B2">
        <w:tc>
          <w:tcPr>
            <w:tcW w:w="2500" w:type="pct"/>
          </w:tcPr>
          <w:p w14:paraId="31F45550" w14:textId="77777777" w:rsidR="00094D21" w:rsidRPr="008F328C" w:rsidRDefault="00094D21" w:rsidP="008A03B2">
            <w:pPr>
              <w:rPr>
                <w:rFonts w:ascii="Times New Roman" w:hAnsi="Times New Roman" w:cs="Times New Roman"/>
                <w:lang w:val="en-GB" w:eastAsia="fr-FR"/>
              </w:rPr>
            </w:pPr>
            <w:r w:rsidRPr="008F328C">
              <w:rPr>
                <w:rFonts w:ascii="Times New Roman" w:eastAsia="맑은 고딕" w:hAnsi="Times New Roman" w:cs="Times New Roman"/>
                <w:b/>
                <w:lang w:val="en-GB" w:eastAsia="fr-FR"/>
              </w:rPr>
              <w:t>Italia</w:t>
            </w:r>
          </w:p>
          <w:p w14:paraId="05799C68" w14:textId="3EA317C3" w:rsidR="00094D21" w:rsidRPr="008F328C" w:rsidRDefault="00094D21" w:rsidP="008A03B2">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Italy S.</w:t>
            </w:r>
            <w:r w:rsidR="007F4EDB" w:rsidRPr="008F328C">
              <w:rPr>
                <w:rFonts w:ascii="Times New Roman" w:eastAsia="맑은 고딕" w:hAnsi="Times New Roman" w:cs="Times New Roman"/>
                <w:lang w:val="en-GB" w:eastAsia="fr-FR"/>
              </w:rPr>
              <w:t>r</w:t>
            </w:r>
            <w:r w:rsidRPr="008F328C">
              <w:rPr>
                <w:rFonts w:ascii="Times New Roman" w:eastAsia="맑은 고딕" w:hAnsi="Times New Roman" w:cs="Times New Roman"/>
                <w:lang w:val="en-GB" w:eastAsia="fr-FR"/>
              </w:rPr>
              <w:t>.</w:t>
            </w:r>
            <w:r w:rsidR="007F4EDB" w:rsidRPr="008F328C">
              <w:rPr>
                <w:rFonts w:ascii="Times New Roman" w:eastAsia="맑은 고딕" w:hAnsi="Times New Roman" w:cs="Times New Roman"/>
                <w:lang w:val="en-GB" w:eastAsia="fr-FR"/>
              </w:rPr>
              <w:t>l</w:t>
            </w:r>
            <w:r w:rsidRPr="008F328C">
              <w:rPr>
                <w:rFonts w:ascii="Times New Roman" w:eastAsia="맑은 고딕" w:hAnsi="Times New Roman" w:cs="Times New Roman"/>
                <w:lang w:val="en-GB" w:eastAsia="fr-FR"/>
              </w:rPr>
              <w:t>.</w:t>
            </w:r>
          </w:p>
          <w:p w14:paraId="2571FA0E" w14:textId="5FDF23D1" w:rsidR="00094D21" w:rsidRPr="008F328C" w:rsidRDefault="00094D21" w:rsidP="008A03B2">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lastRenderedPageBreak/>
              <w:t xml:space="preserve">Tel: +39 </w:t>
            </w:r>
            <w:r w:rsidR="007F4EDB" w:rsidRPr="008F328C">
              <w:rPr>
                <w:rFonts w:ascii="Times New Roman" w:eastAsia="맑은 고딕" w:hAnsi="Times New Roman" w:cs="Times New Roman"/>
                <w:lang w:val="pl-PL" w:eastAsia="fr-FR"/>
              </w:rPr>
              <w:t>02</w:t>
            </w:r>
            <w:r w:rsidR="0032285D">
              <w:rPr>
                <w:rFonts w:ascii="Times New Roman" w:eastAsia="맑은 고딕" w:hAnsi="Times New Roman" w:cs="Times New Roman"/>
                <w:lang w:val="pl-PL" w:eastAsia="fr-FR"/>
              </w:rPr>
              <w:t xml:space="preserve"> </w:t>
            </w:r>
            <w:r w:rsidR="007F4EDB" w:rsidRPr="008F328C">
              <w:rPr>
                <w:rFonts w:ascii="Times New Roman" w:eastAsia="맑은 고딕" w:hAnsi="Times New Roman" w:cs="Times New Roman"/>
                <w:lang w:val="pl-PL" w:eastAsia="fr-FR"/>
              </w:rPr>
              <w:t>47927040</w:t>
            </w:r>
          </w:p>
          <w:p w14:paraId="2092AE60" w14:textId="77777777" w:rsidR="00094D21" w:rsidRPr="008F328C" w:rsidRDefault="00094D21" w:rsidP="008A03B2">
            <w:pPr>
              <w:rPr>
                <w:rFonts w:ascii="Times New Roman" w:eastAsia="맑은 고딕" w:hAnsi="Times New Roman" w:cs="Times New Roman"/>
                <w:lang w:val="pl-PL" w:eastAsia="fr-FR"/>
              </w:rPr>
            </w:pPr>
          </w:p>
        </w:tc>
        <w:tc>
          <w:tcPr>
            <w:tcW w:w="2500" w:type="pct"/>
          </w:tcPr>
          <w:p w14:paraId="363850B3" w14:textId="77777777" w:rsidR="00094D21" w:rsidRPr="008F328C" w:rsidRDefault="00094D21" w:rsidP="008A03B2">
            <w:pPr>
              <w:rPr>
                <w:rFonts w:ascii="Times New Roman" w:hAnsi="Times New Roman" w:cs="Times New Roman"/>
                <w:lang w:val="en-GB" w:eastAsia="fr-FR"/>
              </w:rPr>
            </w:pPr>
            <w:r w:rsidRPr="008F328C">
              <w:rPr>
                <w:rFonts w:ascii="Times New Roman" w:eastAsia="맑은 고딕" w:hAnsi="Times New Roman" w:cs="Times New Roman"/>
                <w:b/>
                <w:lang w:val="en-GB" w:eastAsia="fr-FR"/>
              </w:rPr>
              <w:lastRenderedPageBreak/>
              <w:t>Suomi/Finland</w:t>
            </w:r>
          </w:p>
          <w:p w14:paraId="09F10075" w14:textId="77777777" w:rsidR="0032285D" w:rsidRPr="00F47393" w:rsidRDefault="0032285D" w:rsidP="0032285D">
            <w:pPr>
              <w:tabs>
                <w:tab w:val="left" w:pos="-720"/>
              </w:tabs>
              <w:suppressAutoHyphens/>
              <w:rPr>
                <w:rFonts w:ascii="Times New Roman" w:eastAsia="맑은 고딕" w:hAnsi="Times New Roman" w:cs="Times New Roman"/>
                <w:lang w:val="en-GB" w:eastAsia="fr-FR"/>
              </w:rPr>
            </w:pPr>
            <w:r w:rsidRPr="00F47393">
              <w:rPr>
                <w:rFonts w:ascii="Times New Roman" w:eastAsia="맑은 고딕" w:hAnsi="Times New Roman" w:cs="Times New Roman"/>
                <w:lang w:val="en-GB" w:eastAsia="fr-FR"/>
              </w:rPr>
              <w:t xml:space="preserve">Celltrion Healthcare Finland Oy. </w:t>
            </w:r>
          </w:p>
          <w:p w14:paraId="2D80EF33" w14:textId="235A87D5" w:rsidR="00094D21" w:rsidRPr="008F328C" w:rsidRDefault="0032285D" w:rsidP="008A03B2">
            <w:pPr>
              <w:autoSpaceDE w:val="0"/>
              <w:autoSpaceDN w:val="0"/>
              <w:adjustRightInd w:val="0"/>
              <w:rPr>
                <w:rFonts w:ascii="Times New Roman" w:eastAsia="맑은 고딕" w:hAnsi="Times New Roman" w:cs="Times New Roman"/>
                <w:lang w:val="pl-PL" w:eastAsia="ko-KR"/>
              </w:rPr>
            </w:pPr>
            <w:r w:rsidRPr="00F47393">
              <w:rPr>
                <w:rFonts w:ascii="Times New Roman" w:eastAsia="맑은 고딕" w:hAnsi="Times New Roman" w:cs="Times New Roman"/>
                <w:lang w:val="en-GB" w:eastAsia="fr-FR"/>
              </w:rPr>
              <w:lastRenderedPageBreak/>
              <w:t>Puh/Tel: +358 29 170 7755</w:t>
            </w:r>
          </w:p>
          <w:p w14:paraId="4665351E" w14:textId="77777777" w:rsidR="00094D21" w:rsidRPr="008F328C" w:rsidRDefault="00094D21" w:rsidP="008A03B2">
            <w:pPr>
              <w:autoSpaceDE w:val="0"/>
              <w:autoSpaceDN w:val="0"/>
              <w:adjustRightInd w:val="0"/>
              <w:rPr>
                <w:rFonts w:ascii="Times New Roman" w:eastAsia="맑은 고딕" w:hAnsi="Times New Roman" w:cs="Times New Roman"/>
                <w:lang w:val="pl-PL" w:eastAsia="ko-KR"/>
              </w:rPr>
            </w:pPr>
          </w:p>
        </w:tc>
      </w:tr>
      <w:tr w:rsidR="00094D21" w:rsidRPr="008F328C" w14:paraId="470AB70A" w14:textId="77777777" w:rsidTr="008A03B2">
        <w:tc>
          <w:tcPr>
            <w:tcW w:w="2500" w:type="pct"/>
          </w:tcPr>
          <w:p w14:paraId="0DE3E4E7" w14:textId="77777777" w:rsidR="00094D21" w:rsidRPr="003C52D4" w:rsidRDefault="00094D21" w:rsidP="008A03B2">
            <w:pPr>
              <w:tabs>
                <w:tab w:val="left" w:pos="-720"/>
              </w:tabs>
              <w:suppressAutoHyphens/>
              <w:rPr>
                <w:rFonts w:ascii="Times New Roman" w:hAnsi="Times New Roman" w:cs="Times New Roman"/>
                <w:b/>
                <w:bCs/>
                <w:lang w:eastAsia="fr-FR"/>
              </w:rPr>
            </w:pPr>
            <w:r w:rsidRPr="003C52D4">
              <w:rPr>
                <w:rFonts w:ascii="Times New Roman" w:hAnsi="Times New Roman" w:cs="Times New Roman"/>
                <w:b/>
                <w:lang w:val="pl-PL"/>
              </w:rPr>
              <w:lastRenderedPageBreak/>
              <w:t>Κύπρος</w:t>
            </w:r>
          </w:p>
          <w:p w14:paraId="7AD125FD" w14:textId="77777777" w:rsidR="00094D21" w:rsidRPr="003C52D4" w:rsidRDefault="00094D21" w:rsidP="008A03B2">
            <w:pPr>
              <w:tabs>
                <w:tab w:val="left" w:pos="-720"/>
              </w:tabs>
              <w:suppressAutoHyphens/>
              <w:rPr>
                <w:rFonts w:ascii="Times New Roman" w:eastAsia="맑은 고딕" w:hAnsi="Times New Roman" w:cs="Times New Roman"/>
                <w:lang w:eastAsia="ko-KR"/>
              </w:rPr>
            </w:pPr>
            <w:r w:rsidRPr="003C52D4">
              <w:rPr>
                <w:rFonts w:ascii="Times New Roman" w:eastAsia="맑은 고딕" w:hAnsi="Times New Roman" w:cs="Times New Roman"/>
                <w:lang w:eastAsia="fr-FR"/>
              </w:rPr>
              <w:t>C.A. Papaellinas Ltd</w:t>
            </w:r>
          </w:p>
          <w:p w14:paraId="7ABCB696" w14:textId="77777777" w:rsidR="00094D21" w:rsidRDefault="00094D21" w:rsidP="003C52D4">
            <w:pPr>
              <w:autoSpaceDE w:val="0"/>
              <w:autoSpaceDN w:val="0"/>
              <w:adjustRightInd w:val="0"/>
              <w:rPr>
                <w:rFonts w:ascii="Times New Roman" w:eastAsia="맑은 고딕" w:hAnsi="Times New Roman" w:cs="Times New Roman"/>
                <w:lang w:eastAsia="fr-FR"/>
              </w:rPr>
            </w:pPr>
            <w:r w:rsidRPr="003C52D4">
              <w:rPr>
                <w:rFonts w:ascii="Times New Roman" w:hAnsi="Times New Roman" w:cs="Times New Roman"/>
                <w:lang w:val="pl-PL"/>
              </w:rPr>
              <w:t>Τηλ</w:t>
            </w:r>
            <w:r w:rsidRPr="003C52D4">
              <w:rPr>
                <w:rFonts w:ascii="Times New Roman" w:hAnsi="Times New Roman" w:cs="Times New Roman"/>
              </w:rPr>
              <w:t xml:space="preserve">: </w:t>
            </w:r>
            <w:r w:rsidRPr="003C52D4">
              <w:rPr>
                <w:rFonts w:ascii="Times New Roman" w:eastAsia="맑은 고딕" w:hAnsi="Times New Roman" w:cs="Times New Roman"/>
                <w:lang w:eastAsia="fr-FR"/>
              </w:rPr>
              <w:t>+357 22741741</w:t>
            </w:r>
          </w:p>
          <w:p w14:paraId="7E34C972" w14:textId="1C997A20" w:rsidR="00A5286D" w:rsidRPr="003C52D4" w:rsidRDefault="00A5286D" w:rsidP="003C52D4">
            <w:pPr>
              <w:autoSpaceDE w:val="0"/>
              <w:autoSpaceDN w:val="0"/>
              <w:adjustRightInd w:val="0"/>
              <w:rPr>
                <w:rFonts w:ascii="Times New Roman" w:eastAsia="맑은 고딕" w:hAnsi="Times New Roman" w:cs="Times New Roman"/>
                <w:b/>
                <w:lang w:eastAsia="fr-FR"/>
              </w:rPr>
            </w:pPr>
          </w:p>
        </w:tc>
        <w:tc>
          <w:tcPr>
            <w:tcW w:w="2500" w:type="pct"/>
          </w:tcPr>
          <w:p w14:paraId="434F913E" w14:textId="77777777" w:rsidR="00FA20FC" w:rsidRPr="003C52D4" w:rsidRDefault="00FA20FC" w:rsidP="00FA20FC">
            <w:pPr>
              <w:tabs>
                <w:tab w:val="left" w:pos="-720"/>
              </w:tabs>
              <w:suppressAutoHyphens/>
              <w:rPr>
                <w:rFonts w:ascii="Times New Roman" w:hAnsi="Times New Roman" w:cs="Times New Roman"/>
                <w:b/>
                <w:noProof/>
                <w:lang w:eastAsia="fr-FR"/>
              </w:rPr>
            </w:pPr>
            <w:r w:rsidRPr="003C52D4">
              <w:rPr>
                <w:rFonts w:ascii="Times New Roman" w:hAnsi="Times New Roman" w:cs="Times New Roman"/>
                <w:b/>
                <w:noProof/>
              </w:rPr>
              <w:t>Sverige</w:t>
            </w:r>
          </w:p>
          <w:p w14:paraId="03260166" w14:textId="292DE16A" w:rsidR="00FA20FC" w:rsidRPr="003C52D4" w:rsidRDefault="00FA20FC" w:rsidP="00FA20FC">
            <w:pPr>
              <w:tabs>
                <w:tab w:val="left" w:pos="-720"/>
              </w:tabs>
              <w:suppressAutoHyphens/>
              <w:rPr>
                <w:rFonts w:ascii="Times New Roman" w:eastAsia="맑은 고딕" w:hAnsi="Times New Roman" w:cs="Times New Roman"/>
                <w:noProof/>
                <w:lang w:eastAsia="ko-KR"/>
              </w:rPr>
            </w:pPr>
            <w:r w:rsidRPr="003C52D4">
              <w:rPr>
                <w:rFonts w:ascii="Times New Roman" w:eastAsia="맑은 고딕" w:hAnsi="Times New Roman" w:cs="Times New Roman"/>
                <w:noProof/>
                <w:lang w:eastAsia="ko-KR"/>
              </w:rPr>
              <w:t>Celltrion Sweden AB</w:t>
            </w:r>
          </w:p>
          <w:p w14:paraId="448F4304" w14:textId="0615D91A" w:rsidR="00094D21" w:rsidRPr="003C52D4" w:rsidRDefault="00FA20FC" w:rsidP="003C52D4">
            <w:pPr>
              <w:tabs>
                <w:tab w:val="left" w:pos="-720"/>
              </w:tabs>
              <w:suppressAutoHyphens/>
              <w:rPr>
                <w:rFonts w:ascii="Times New Roman" w:eastAsia="맑은 고딕" w:hAnsi="Times New Roman" w:cs="Times New Roman"/>
                <w:b/>
                <w:lang w:eastAsia="fr-FR"/>
              </w:rPr>
            </w:pPr>
            <w:hyperlink r:id="rId135" w:history="1">
              <w:r w:rsidRPr="003C52D4">
                <w:rPr>
                  <w:rStyle w:val="ad"/>
                  <w:rFonts w:ascii="Times New Roman" w:eastAsia="맑은 고딕" w:hAnsi="Times New Roman" w:cs="Times New Roman"/>
                  <w:noProof/>
                  <w:lang w:eastAsia="ko-KR"/>
                </w:rPr>
                <w:t>contact_se@celltrionhc.com</w:t>
              </w:r>
            </w:hyperlink>
          </w:p>
        </w:tc>
      </w:tr>
      <w:tr w:rsidR="00CC0777" w:rsidRPr="008F328C" w14:paraId="5FD5EDBC" w14:textId="77777777" w:rsidTr="008A03B2">
        <w:tc>
          <w:tcPr>
            <w:tcW w:w="2500" w:type="pct"/>
          </w:tcPr>
          <w:p w14:paraId="011CC929" w14:textId="77777777" w:rsidR="00CC0777" w:rsidRPr="008F328C" w:rsidRDefault="00CC0777" w:rsidP="00CC0777">
            <w:pPr>
              <w:rPr>
                <w:rFonts w:ascii="Times New Roman" w:eastAsia="맑은 고딕" w:hAnsi="Times New Roman" w:cs="Times New Roman"/>
                <w:b/>
                <w:lang w:eastAsia="fr-FR"/>
              </w:rPr>
            </w:pPr>
            <w:r w:rsidRPr="008F328C">
              <w:rPr>
                <w:rFonts w:ascii="Times New Roman" w:eastAsia="맑은 고딕" w:hAnsi="Times New Roman" w:cs="Times New Roman"/>
                <w:b/>
                <w:lang w:eastAsia="fr-FR"/>
              </w:rPr>
              <w:t>Latvija</w:t>
            </w:r>
          </w:p>
          <w:p w14:paraId="485DEB28" w14:textId="77777777" w:rsidR="00CC0777" w:rsidRPr="008F328C" w:rsidRDefault="00CC0777" w:rsidP="00CC0777">
            <w:pPr>
              <w:tabs>
                <w:tab w:val="left" w:pos="-720"/>
              </w:tabs>
              <w:suppressAutoHyphen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B73A6CF" w14:textId="34B58943" w:rsidR="00CC0777" w:rsidRPr="008F328C" w:rsidRDefault="00CC0777" w:rsidP="00A5286D">
            <w:pPr>
              <w:tabs>
                <w:tab w:val="left" w:pos="-720"/>
              </w:tabs>
              <w:suppressAutoHyphens/>
              <w:rPr>
                <w:rFonts w:ascii="Times New Roman" w:eastAsia="맑은 고딕" w:hAnsi="Times New Roman" w:cs="Times New Roman"/>
                <w:b/>
                <w:bCs/>
                <w:lang w:val="pl-PL" w:eastAsia="fr-FR"/>
              </w:rPr>
            </w:pPr>
            <w:r w:rsidRPr="008F328C">
              <w:rPr>
                <w:rFonts w:ascii="Times New Roman" w:eastAsia="맑은 고딕" w:hAnsi="Times New Roman" w:cs="Times New Roman"/>
                <w:lang w:val="pl-PL" w:eastAsia="fr-FR"/>
              </w:rPr>
              <w:t>Tālr.: +36 1 231 0493</w:t>
            </w:r>
          </w:p>
        </w:tc>
        <w:tc>
          <w:tcPr>
            <w:tcW w:w="2500" w:type="pct"/>
          </w:tcPr>
          <w:p w14:paraId="2440AA67" w14:textId="77777777" w:rsidR="00CC0777" w:rsidRPr="008F328C" w:rsidRDefault="00CC0777" w:rsidP="00432091">
            <w:pPr>
              <w:tabs>
                <w:tab w:val="left" w:pos="-720"/>
              </w:tabs>
              <w:suppressAutoHyphens/>
              <w:rPr>
                <w:rFonts w:ascii="Times New Roman" w:eastAsia="맑은 고딕" w:hAnsi="Times New Roman" w:cs="Times New Roman"/>
                <w:b/>
                <w:lang w:val="pl-PL" w:eastAsia="fr-FR"/>
              </w:rPr>
            </w:pPr>
          </w:p>
        </w:tc>
      </w:tr>
    </w:tbl>
    <w:p w14:paraId="2D0E279B" w14:textId="77777777" w:rsidR="00094D21" w:rsidRPr="008F328C" w:rsidRDefault="00094D21" w:rsidP="00094D21">
      <w:pPr>
        <w:numPr>
          <w:ilvl w:val="12"/>
          <w:numId w:val="0"/>
        </w:numPr>
        <w:rPr>
          <w:rFonts w:ascii="Times New Roman" w:eastAsia="맑은 고딕" w:hAnsi="Times New Roman" w:cs="Times New Roman"/>
          <w:lang w:val="pl-PL" w:eastAsia="ko-KR"/>
        </w:rPr>
      </w:pPr>
      <w:r w:rsidRPr="008F328C">
        <w:rPr>
          <w:rFonts w:ascii="Times New Roman" w:eastAsia="Times New Roman" w:hAnsi="Times New Roman" w:cs="Times New Roman"/>
          <w:b/>
          <w:bCs/>
          <w:lang w:val="pl-PL"/>
        </w:rPr>
        <w:t>Data ostatniej aktualizacji ulotki:</w:t>
      </w:r>
    </w:p>
    <w:p w14:paraId="131224C7" w14:textId="77777777" w:rsidR="00094D21" w:rsidRPr="008F328C" w:rsidRDefault="00094D21" w:rsidP="00094D21">
      <w:pPr>
        <w:numPr>
          <w:ilvl w:val="12"/>
          <w:numId w:val="0"/>
        </w:numPr>
        <w:rPr>
          <w:rFonts w:ascii="Times New Roman" w:hAnsi="Times New Roman" w:cs="Times New Roman"/>
          <w:lang w:val="pl-PL"/>
        </w:rPr>
      </w:pPr>
    </w:p>
    <w:p w14:paraId="3A199400" w14:textId="77777777" w:rsidR="00094D21" w:rsidRPr="008F328C" w:rsidRDefault="00094D21" w:rsidP="00094D21">
      <w:pPr>
        <w:numPr>
          <w:ilvl w:val="12"/>
          <w:numId w:val="0"/>
        </w:numPr>
        <w:rPr>
          <w:rFonts w:ascii="Times New Roman" w:hAnsi="Times New Roman" w:cs="Times New Roman"/>
          <w:b/>
          <w:lang w:val="pl-PL"/>
        </w:rPr>
      </w:pPr>
      <w:r w:rsidRPr="008F328C">
        <w:rPr>
          <w:rFonts w:ascii="Times New Roman" w:eastAsia="Times New Roman" w:hAnsi="Times New Roman" w:cs="Times New Roman"/>
          <w:b/>
          <w:bCs/>
          <w:lang w:val="pl-PL"/>
        </w:rPr>
        <w:t>Inne źródła informacji</w:t>
      </w:r>
    </w:p>
    <w:p w14:paraId="024F9633" w14:textId="77777777" w:rsidR="00094D21" w:rsidRPr="008F328C" w:rsidRDefault="00094D21" w:rsidP="00094D21">
      <w:pPr>
        <w:pStyle w:val="a3"/>
        <w:rPr>
          <w:lang w:val="pl-PL"/>
        </w:rPr>
      </w:pPr>
    </w:p>
    <w:p w14:paraId="4241DFF8" w14:textId="77777777" w:rsidR="00094D21" w:rsidRPr="008F328C" w:rsidRDefault="00094D21" w:rsidP="00094D21">
      <w:pPr>
        <w:numPr>
          <w:ilvl w:val="12"/>
          <w:numId w:val="0"/>
        </w:numPr>
        <w:rPr>
          <w:rFonts w:ascii="Times New Roman" w:eastAsia="맑은 고딕" w:hAnsi="Times New Roman" w:cs="Times New Roman"/>
          <w:color w:val="0000FF"/>
          <w:lang w:val="pl-PL" w:eastAsia="ko-KR"/>
        </w:rPr>
      </w:pPr>
      <w:r w:rsidRPr="008F328C">
        <w:rPr>
          <w:rFonts w:ascii="Times New Roman" w:eastAsia="Times New Roman" w:hAnsi="Times New Roman" w:cs="Times New Roman"/>
          <w:lang w:val="pl-PL"/>
        </w:rPr>
        <w:t xml:space="preserve">Szczegółowe informacje o tym leku znajdują się na stronie internetowej Europejskiej Agencji Leków </w:t>
      </w:r>
      <w:r w:rsidRPr="008F328C">
        <w:rPr>
          <w:rFonts w:ascii="Times New Roman" w:eastAsia="Times New Roman" w:hAnsi="Times New Roman" w:cs="Times New Roman"/>
          <w:color w:val="0000FF"/>
          <w:u w:val="single"/>
          <w:lang w:val="pl-PL"/>
        </w:rPr>
        <w:t>http://www.ema.europa.eu</w:t>
      </w:r>
    </w:p>
    <w:p w14:paraId="743A04D6" w14:textId="7AC5C4BC" w:rsidR="00094D21" w:rsidRPr="008F328C" w:rsidRDefault="00094D21" w:rsidP="00094D21">
      <w:pPr>
        <w:spacing w:line="252" w:lineRule="exact"/>
        <w:rPr>
          <w:rFonts w:ascii="Times New Roman" w:hAnsi="Times New Roman" w:cs="Times New Roman"/>
          <w:b/>
          <w:lang w:val="pl-PL"/>
        </w:rPr>
      </w:pPr>
    </w:p>
    <w:p w14:paraId="10195AF5" w14:textId="77777777" w:rsidR="00CC4159" w:rsidRPr="008F328C" w:rsidRDefault="00CC4159" w:rsidP="00094D21">
      <w:pPr>
        <w:spacing w:line="252" w:lineRule="exact"/>
        <w:rPr>
          <w:rFonts w:ascii="Times New Roman" w:hAnsi="Times New Roman" w:cs="Times New Roman"/>
          <w:b/>
          <w:lang w:val="pl-PL"/>
        </w:rPr>
      </w:pPr>
    </w:p>
    <w:p w14:paraId="70D86B1E" w14:textId="77777777" w:rsidR="00094D21" w:rsidRPr="008F328C" w:rsidRDefault="00094D21" w:rsidP="008E70FE">
      <w:pPr>
        <w:pStyle w:val="a4"/>
        <w:numPr>
          <w:ilvl w:val="0"/>
          <w:numId w:val="128"/>
        </w:numPr>
        <w:spacing w:line="240" w:lineRule="exact"/>
        <w:rPr>
          <w:rFonts w:ascii="Times New Roman" w:eastAsia="Times New Roman" w:hAnsi="Times New Roman" w:cs="Times New Roman"/>
          <w:b/>
          <w:lang w:val="pl-PL"/>
        </w:rPr>
      </w:pPr>
      <w:r w:rsidRPr="008F328C">
        <w:rPr>
          <w:rFonts w:ascii="Times New Roman" w:eastAsia="Times New Roman" w:hAnsi="Times New Roman" w:cs="Times New Roman"/>
          <w:b/>
          <w:bCs/>
          <w:lang w:val="pl-PL"/>
        </w:rPr>
        <w:t>Instrukcja stosowania</w:t>
      </w:r>
      <w:r w:rsidRPr="008F328C" w:rsidDel="002C2858">
        <w:rPr>
          <w:rFonts w:ascii="Times New Roman" w:eastAsia="Times New Roman" w:hAnsi="Times New Roman" w:cs="Times New Roman"/>
          <w:b/>
          <w:bCs/>
          <w:lang w:val="pl-PL"/>
        </w:rPr>
        <w:t xml:space="preserve"> </w:t>
      </w:r>
    </w:p>
    <w:p w14:paraId="399254F6" w14:textId="77777777" w:rsidR="00094D21" w:rsidRPr="008F328C" w:rsidRDefault="00094D21" w:rsidP="00094D21">
      <w:pPr>
        <w:spacing w:before="16" w:line="280" w:lineRule="exact"/>
        <w:rPr>
          <w:rFonts w:ascii="Times New Roman" w:hAnsi="Times New Roman" w:cs="Times New Roman"/>
          <w:sz w:val="28"/>
          <w:szCs w:val="28"/>
          <w:lang w:val="pl-PL"/>
        </w:rPr>
      </w:pPr>
    </w:p>
    <w:p w14:paraId="3DD22CF8" w14:textId="77777777" w:rsidR="00094D21" w:rsidRPr="008F328C" w:rsidRDefault="00094D21" w:rsidP="00094D21">
      <w:pPr>
        <w:pStyle w:val="a3"/>
        <w:numPr>
          <w:ilvl w:val="1"/>
          <w:numId w:val="2"/>
        </w:numPr>
        <w:ind w:left="660" w:hanging="660"/>
        <w:rPr>
          <w:lang w:val="pl-PL"/>
        </w:rPr>
      </w:pPr>
      <w:r w:rsidRPr="008F328C">
        <w:rPr>
          <w:rFonts w:eastAsia="Times New Roman"/>
          <w:lang w:val="pl-PL"/>
        </w:rPr>
        <w:t>Poniższe instrukcje wyjaśniają jak wstrzykiwać podskórnie sobie samemu lek Yuflyma, stosując półautomatyczny wstrzykiwacz. Prosimy o dokładne przeczytanie instrukcji i wykonywanie zawartych w nich zaleceń w podanej kolejności.</w:t>
      </w:r>
    </w:p>
    <w:p w14:paraId="43140A7F" w14:textId="77777777" w:rsidR="00094D21" w:rsidRPr="008F328C" w:rsidRDefault="00094D21" w:rsidP="00094D21">
      <w:pPr>
        <w:spacing w:before="12" w:line="240" w:lineRule="exact"/>
        <w:rPr>
          <w:rFonts w:ascii="Times New Roman" w:hAnsi="Times New Roman" w:cs="Times New Roman"/>
          <w:sz w:val="24"/>
          <w:szCs w:val="24"/>
          <w:lang w:val="pl-PL"/>
        </w:rPr>
      </w:pPr>
    </w:p>
    <w:p w14:paraId="72E39342" w14:textId="77777777" w:rsidR="00094D21" w:rsidRPr="008F328C" w:rsidRDefault="00094D21" w:rsidP="00094D21">
      <w:pPr>
        <w:pStyle w:val="a3"/>
        <w:numPr>
          <w:ilvl w:val="1"/>
          <w:numId w:val="2"/>
        </w:numPr>
        <w:ind w:left="660" w:hanging="660"/>
        <w:rPr>
          <w:lang w:val="pl-PL"/>
        </w:rPr>
      </w:pPr>
      <w:r w:rsidRPr="008F328C">
        <w:rPr>
          <w:rFonts w:eastAsia="Times New Roman"/>
          <w:lang w:val="pl-PL"/>
        </w:rPr>
        <w:t>Lekarz, pielęgniarka lub farmaceuta nauczą pacjenta, jak samemu sobie wykonać wstrzyknięcie.</w:t>
      </w:r>
    </w:p>
    <w:p w14:paraId="1F95451D" w14:textId="77777777" w:rsidR="00094D21" w:rsidRPr="008F328C" w:rsidRDefault="00094D21" w:rsidP="00094D21">
      <w:pPr>
        <w:spacing w:before="11" w:line="260" w:lineRule="exact"/>
        <w:rPr>
          <w:rFonts w:ascii="Times New Roman" w:hAnsi="Times New Roman" w:cs="Times New Roman"/>
          <w:sz w:val="26"/>
          <w:szCs w:val="26"/>
          <w:lang w:val="pl-PL"/>
        </w:rPr>
      </w:pPr>
    </w:p>
    <w:p w14:paraId="3C892002" w14:textId="77777777" w:rsidR="00094D21" w:rsidRPr="008F328C" w:rsidRDefault="00094D21" w:rsidP="00094D21">
      <w:pPr>
        <w:pStyle w:val="a3"/>
        <w:numPr>
          <w:ilvl w:val="1"/>
          <w:numId w:val="2"/>
        </w:numPr>
        <w:ind w:left="660" w:hanging="660"/>
        <w:rPr>
          <w:lang w:val="pl-PL"/>
        </w:rPr>
      </w:pPr>
      <w:r w:rsidRPr="008F328C">
        <w:rPr>
          <w:rFonts w:eastAsia="Times New Roman"/>
          <w:b/>
          <w:bCs/>
          <w:spacing w:val="-2"/>
          <w:lang w:val="pl-PL"/>
        </w:rPr>
        <w:t>Nie należy</w:t>
      </w:r>
      <w:r w:rsidRPr="008F328C">
        <w:rPr>
          <w:rFonts w:eastAsia="Times New Roman"/>
          <w:spacing w:val="-2"/>
          <w:lang w:val="pl-PL"/>
        </w:rPr>
        <w:t xml:space="preserve"> podejmować próby wykonania wstrzyknięcia zanim nie zrozumiemy, jak je przygotować i wykonać.</w:t>
      </w:r>
    </w:p>
    <w:p w14:paraId="739DC896" w14:textId="77777777" w:rsidR="00094D21" w:rsidRPr="008F328C" w:rsidRDefault="00094D21" w:rsidP="00094D21">
      <w:pPr>
        <w:spacing w:before="11" w:line="260" w:lineRule="exact"/>
        <w:rPr>
          <w:rFonts w:ascii="Times New Roman" w:hAnsi="Times New Roman" w:cs="Times New Roman"/>
          <w:sz w:val="26"/>
          <w:szCs w:val="26"/>
          <w:lang w:val="pl-PL"/>
        </w:rPr>
      </w:pPr>
    </w:p>
    <w:p w14:paraId="072516DC" w14:textId="77777777" w:rsidR="00094D21" w:rsidRPr="008F328C" w:rsidRDefault="00094D21" w:rsidP="00094D21">
      <w:pPr>
        <w:pStyle w:val="a3"/>
        <w:numPr>
          <w:ilvl w:val="1"/>
          <w:numId w:val="2"/>
        </w:numPr>
        <w:ind w:left="660" w:hanging="660"/>
        <w:rPr>
          <w:lang w:val="pl-PL"/>
        </w:rPr>
      </w:pPr>
      <w:r w:rsidRPr="008F328C">
        <w:rPr>
          <w:rFonts w:eastAsia="Times New Roman"/>
          <w:lang w:val="pl-PL"/>
        </w:rPr>
        <w:t>Po odpowiednim przeszkoleniu wstrzyknięcie może wykonać sam pacjent lub inna osoba, na przykład członek rodziny lub ktoś znajomy.</w:t>
      </w:r>
    </w:p>
    <w:p w14:paraId="34EAACD8" w14:textId="77777777" w:rsidR="00094D21" w:rsidRPr="008F328C" w:rsidRDefault="00094D21" w:rsidP="00094D21">
      <w:pPr>
        <w:spacing w:before="12" w:line="240" w:lineRule="exact"/>
        <w:rPr>
          <w:rFonts w:ascii="Times New Roman" w:hAnsi="Times New Roman" w:cs="Times New Roman"/>
          <w:sz w:val="24"/>
          <w:szCs w:val="24"/>
          <w:lang w:val="pl-PL"/>
        </w:rPr>
      </w:pPr>
    </w:p>
    <w:p w14:paraId="33292FFA" w14:textId="7EB67364" w:rsidR="00CC0777" w:rsidRPr="008F328C" w:rsidRDefault="00094D21" w:rsidP="00B053A4">
      <w:pPr>
        <w:pStyle w:val="a3"/>
        <w:numPr>
          <w:ilvl w:val="1"/>
          <w:numId w:val="2"/>
        </w:numPr>
        <w:ind w:left="660" w:hanging="660"/>
        <w:rPr>
          <w:lang w:val="pl-PL"/>
        </w:rPr>
      </w:pPr>
      <w:r w:rsidRPr="008F328C">
        <w:rPr>
          <w:rFonts w:eastAsia="Times New Roman"/>
          <w:lang w:val="pl-PL"/>
        </w:rPr>
        <w:t>Każdy półautomatyczny wstrzykiwacz stosować wyłącznie do jednego wstrzyknięcia.</w:t>
      </w:r>
    </w:p>
    <w:p w14:paraId="48DAFEE6" w14:textId="77777777" w:rsidR="00CC4159" w:rsidRPr="008F328C" w:rsidRDefault="00CC4159">
      <w:pPr>
        <w:rPr>
          <w:rFonts w:ascii="Times New Roman" w:eastAsia="Times New Roman" w:hAnsi="Times New Roman" w:cs="Times New Roman"/>
          <w:b/>
          <w:bCs/>
          <w:spacing w:val="-1"/>
          <w:lang w:val="pl-PL"/>
        </w:rPr>
      </w:pPr>
      <w:r w:rsidRPr="008F328C">
        <w:rPr>
          <w:rFonts w:ascii="Times New Roman" w:eastAsia="Times New Roman" w:hAnsi="Times New Roman" w:cs="Times New Roman"/>
          <w:b/>
          <w:bCs/>
          <w:spacing w:val="-1"/>
          <w:lang w:val="pl-PL"/>
        </w:rPr>
        <w:br w:type="page"/>
      </w:r>
    </w:p>
    <w:p w14:paraId="31E2A3EC" w14:textId="1B0278A4" w:rsidR="00094D21" w:rsidRPr="008F328C" w:rsidRDefault="00094D21" w:rsidP="00094D21">
      <w:pPr>
        <w:pStyle w:val="a3"/>
        <w:rPr>
          <w:b/>
          <w:bCs/>
          <w:lang w:val="pl-PL"/>
        </w:rPr>
      </w:pPr>
      <w:r w:rsidRPr="008F328C">
        <w:rPr>
          <w:rFonts w:eastAsia="Times New Roman"/>
          <w:b/>
          <w:bCs/>
          <w:spacing w:val="-1"/>
          <w:lang w:val="pl-PL"/>
        </w:rPr>
        <w:lastRenderedPageBreak/>
        <w:t>Wstrzykiwacz zawierający lek Yuflyma</w:t>
      </w:r>
    </w:p>
    <w:p w14:paraId="5EB757F2" w14:textId="77777777" w:rsidR="00094D21" w:rsidRPr="008F328C" w:rsidRDefault="00094D21" w:rsidP="00094D21">
      <w:pPr>
        <w:spacing w:before="13" w:line="240" w:lineRule="exact"/>
        <w:rPr>
          <w:rFonts w:ascii="Times New Roman" w:hAnsi="Times New Roman" w:cs="Times New Roman"/>
          <w:sz w:val="24"/>
          <w:szCs w:val="24"/>
          <w:lang w:val="pl-PL"/>
        </w:rPr>
      </w:pPr>
    </w:p>
    <w:p w14:paraId="3AB5B622" w14:textId="41FC4967" w:rsidR="00094D21" w:rsidRPr="008F328C" w:rsidRDefault="00CC4159" w:rsidP="00094D21">
      <w:pPr>
        <w:keepNext/>
        <w:tabs>
          <w:tab w:val="left" w:pos="3004"/>
          <w:tab w:val="left" w:pos="5932"/>
        </w:tabs>
        <w:spacing w:before="33"/>
        <w:ind w:left="113" w:right="1474" w:firstLine="1656"/>
        <w:rPr>
          <w:rFonts w:ascii="Times New Roman" w:hAnsi="Times New Roman" w:cs="Times New Roman"/>
          <w:lang w:val="pl-PL"/>
        </w:rPr>
      </w:pP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6" behindDoc="0" locked="0" layoutInCell="1" allowOverlap="1" wp14:anchorId="2B0E915C" wp14:editId="29659600">
                <wp:simplePos x="0" y="0"/>
                <wp:positionH relativeFrom="column">
                  <wp:posOffset>3204210</wp:posOffset>
                </wp:positionH>
                <wp:positionV relativeFrom="paragraph">
                  <wp:posOffset>3338195</wp:posOffset>
                </wp:positionV>
                <wp:extent cx="842010" cy="245745"/>
                <wp:effectExtent l="0" t="0" r="0" b="1905"/>
                <wp:wrapNone/>
                <wp:docPr id="3854" name="Text Box 3854"/>
                <wp:cNvGraphicFramePr/>
                <a:graphic xmlns:a="http://schemas.openxmlformats.org/drawingml/2006/main">
                  <a:graphicData uri="http://schemas.microsoft.com/office/word/2010/wordprocessingShape">
                    <wps:wsp>
                      <wps:cNvSpPr txBox="1"/>
                      <wps:spPr>
                        <a:xfrm>
                          <a:off x="0" y="0"/>
                          <a:ext cx="842010" cy="2457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195F1"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B0E915C" id="Text Box 3854" o:spid="_x0000_s1288" type="#_x0000_t202" style="position:absolute;left:0;text-align:left;margin-left:252.3pt;margin-top:262.85pt;width:66.3pt;height:19.3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MoZwIAAE8FAAAOAAAAZHJzL2Uyb0RvYy54bWysVN9P2zAQfp+0/8Hy+5q2UIYqUsRAnSYh&#10;QJSJZ9exm2iOzzu7Tbq/fmcnaRnjhWkvydn+7rvfd3HZ1obtFPoKbM4nozFnykooKrvJ+fen5adz&#10;znwQthAGrMr5Xnl+ufj44aJxczWFEkyhkBGJ9fPG5bwMwc2zzMtS1cKPwClLjxqwFoGOuMkKFA2x&#10;1yabjsdnWQNYOASpvKfbm+6RLxK/1kqGe629CszknHwL6Yvpu47fbHEh5hsUrqxk74b4By9qUVky&#10;eqC6EUGwLVZ/UdWVRPCgw0hCnYHWlVQpBopmMn4VzaoUTqVYKDneHdLk/x+tvNut3AOy0H6BlgoY&#10;E9I4P/d0GeNpNdbxT54yeqcU7g9pU21gki7PT6PvnEl6mp7OPp/OIkt2VHbow1cFNYtCzpGqkpIl&#10;drc+dNABEm15MFWxrIxJh9gJ6tog2wmq4XqTXCTyP1DGsibnZyezcSK2ENU7ZmMjjUq90Js7Bpik&#10;sDcqYox9VJpVRYrzDdtCSmXDYD+hI0qTqfco9vijV+9R7uIgjWQZbDgo15UFTNGn4TmmrPgxuKw7&#10;PNXmRdxRDO26pcCp/iepdvFuDcWeGgOhmxnv5LKi8t0KHx4E0pBQxWnwwz19tAFKP/QSZyXgr7fu&#10;I556l145a2jocu5/bgUqzsw3S10dJ3QQcBDWg2C39TVQD0xopTiZRFLAYAZRI9TPtA+uohV6ElaS&#10;rZyHQbwO3ejTPpHq6iqBaA6dCLd25WSkjnmNzfjUPgt0fccGavU7GMZRzF81boft09rlrT/Q1KZJ&#10;6DdMXAsvzwl13IOL3wAAAP//AwBQSwMEFAAGAAgAAAAhANFgwGfgAAAACwEAAA8AAABkcnMvZG93&#10;bnJldi54bWxMj8tOwzAQRfdI/IM1SGwQdRrSJApxKqiEoAsWDXyAEw9xwI8odtvw9wwr2M3j6M6Z&#10;ertYw044h9E7AetVAgxd79XoBgHvb0+3JbAQpVPSeIcCvjHAtrm8qGWl/Nkd8NTGgVGIC5UUoGOc&#10;Ks5Dr9HKsPITOtp9+NnKSO08cDXLM4Vbw9MkybmVo6MLWk6409h/tUcroCzDrsDQefP53L7c7PFx&#10;fXjVQlxfLQ/3wCIu8Q+GX31Sh4acOn90KjAjYJNkOaFUpJsCGBH5XZEC62iSZxnwpub/f2h+AAAA&#10;//8DAFBLAQItABQABgAIAAAAIQC2gziS/gAAAOEBAAATAAAAAAAAAAAAAAAAAAAAAABbQ29udGVu&#10;dF9UeXBlc10ueG1sUEsBAi0AFAAGAAgAAAAhADj9If/WAAAAlAEAAAsAAAAAAAAAAAAAAAAALwEA&#10;AF9yZWxzLy5yZWxzUEsBAi0AFAAGAAgAAAAhAF+5oyhnAgAATwUAAA4AAAAAAAAAAAAAAAAALgIA&#10;AGRycy9lMm9Eb2MueG1sUEsBAi0AFAAGAAgAAAAhANFgwGfgAAAACwEAAA8AAAAAAAAAAAAAAAAA&#10;wQQAAGRycy9kb3ducmV2LnhtbFBLBQYAAAAABAAEAPMAAADOBQAAAAA=&#10;" fillcolor="white [3212]" stroked="f" strokeweight=".5pt">
                <v:textbox inset="0,0,0,0">
                  <w:txbxContent>
                    <w:p w14:paraId="212195F1"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Po użyciu</w:t>
                      </w:r>
                    </w:p>
                  </w:txbxContent>
                </v:textbox>
              </v:shape>
            </w:pict>
          </mc:Fallback>
        </mc:AlternateContent>
      </w:r>
      <w:r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5" behindDoc="0" locked="0" layoutInCell="1" allowOverlap="1" wp14:anchorId="24E63DDC" wp14:editId="0D842E4E">
                <wp:simplePos x="0" y="0"/>
                <wp:positionH relativeFrom="column">
                  <wp:posOffset>1814195</wp:posOffset>
                </wp:positionH>
                <wp:positionV relativeFrom="paragraph">
                  <wp:posOffset>3351530</wp:posOffset>
                </wp:positionV>
                <wp:extent cx="874644" cy="245993"/>
                <wp:effectExtent l="0" t="0" r="1905" b="1905"/>
                <wp:wrapNone/>
                <wp:docPr id="3855" name="Text Box 3855"/>
                <wp:cNvGraphicFramePr/>
                <a:graphic xmlns:a="http://schemas.openxmlformats.org/drawingml/2006/main">
                  <a:graphicData uri="http://schemas.microsoft.com/office/word/2010/wordprocessingShape">
                    <wps:wsp>
                      <wps:cNvSpPr txBox="1"/>
                      <wps:spPr>
                        <a:xfrm>
                          <a:off x="0" y="0"/>
                          <a:ext cx="874644" cy="2459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534CFC"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4E63DDC" id="Text Box 3855" o:spid="_x0000_s1289" type="#_x0000_t202" style="position:absolute;left:0;text-align:left;margin-left:142.85pt;margin-top:263.9pt;width:68.85pt;height:19.3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8pBagIAAE8FAAAOAAAAZHJzL2Uyb0RvYy54bWysVEtv2zAMvg/YfxB0X51XszaoU2QpOgwo&#10;2mLt0LMiS4kxWdQoJXb260vJdtJ1vXTYxaZE8uNDH3lx2VSG7RT6EmzOhycDzpSVUJR2nfMfj9ef&#10;zjjzQdhCGLAq53vl+eX844eL2s3UCDZgCoWMQKyf1S7nmxDcLMu83KhK+BNwypJSA1Yi0BHXWYGi&#10;JvTKZKPBYJrVgIVDkMp7ur1qlXye8LVWMtxp7VVgJueUW0hfTN9V/GbzCzFbo3CbUnZpiH/IohKl&#10;paAHqCsRBNti+RdUVUoEDzqcSKgy0LqUKtVA1QwHr6p52AinUi3UHO8ObfL/D1be7h7cPbLQfIGG&#10;HjA2pHZ+5uky1tNorOKfMmWkpxbuD21TTWCSLs8+T6aTCWeSVKPJ6fn5OKJkR2eHPnxVULEo5Bzp&#10;VVKzxO7Gh9a0N4mxPJiyuC6NSYfIBLU0yHaC3nC1TikS+B9WxrI659Px6SABW4juLbKxEUYlLnTh&#10;jgUmKeyNijbGflealUWq843YQkplQx8/WUcrTaHe49jZH7N6j3NbB3mkyGDDwbkqLWCqPg3PsWXF&#10;zz5l3drT27yoO4qhWTVUOL3/eNozYAXFnoiB0M6Md/K6pOe7ET7cC6QhIS7Q4Ic7+mgD1H7oJM42&#10;gL/fuo/2xF3SclbT0OXc/9oKVJyZb5ZYHSe0F7AXVr1gt9USiANDWilOJpEcMJhe1AjVE+2DRYxC&#10;KmElxcp56MVlaEef9olUi0Uyojl0ItzYBycjdOxrJONj8yTQdYwNRPVb6MdRzF4Rt7Xt2tr2rTvQ&#10;1KZJ6DZMXAsvz8nquAfnzwAAAP//AwBQSwMEFAAGAAgAAAAhALjAQRvgAAAACwEAAA8AAABkcnMv&#10;ZG93bnJldi54bWxMj8tOwzAQRfdI/IM1SGwQdRqah0KcCioh6IJFAx/gxEMc8COK3Tb8PcMKljNz&#10;dOfcertYw044h9E7AetVAgxd79XoBgHvb0+3JbAQpVPSeIcCvjHAtrm8qGWl/Nkd8NTGgVGIC5UU&#10;oGOcKs5Dr9HKsPITOrp9+NnKSOM8cDXLM4Vbw9MkybmVo6MPWk6409h/tUcroCzDrsDQefP53L7c&#10;7PFxfXjVQlxfLQ/3wCIu8Q+GX31Sh4acOn90KjAjIC2zglABWVpQByI26d0GWEebPM+ANzX/36H5&#10;AQAA//8DAFBLAQItABQABgAIAAAAIQC2gziS/gAAAOEBAAATAAAAAAAAAAAAAAAAAAAAAABbQ29u&#10;dGVudF9UeXBlc10ueG1sUEsBAi0AFAAGAAgAAAAhADj9If/WAAAAlAEAAAsAAAAAAAAAAAAAAAAA&#10;LwEAAF9yZWxzLy5yZWxzUEsBAi0AFAAGAAgAAAAhABlzykFqAgAATwUAAA4AAAAAAAAAAAAAAAAA&#10;LgIAAGRycy9lMm9Eb2MueG1sUEsBAi0AFAAGAAgAAAAhALjAQRvgAAAACwEAAA8AAAAAAAAAAAAA&#10;AAAAxAQAAGRycy9kb3ducmV2LnhtbFBLBQYAAAAABAAEAPMAAADRBQAAAAA=&#10;" fillcolor="white [3212]" stroked="f" strokeweight=".5pt">
                <v:textbox inset="0,0,0,0">
                  <w:txbxContent>
                    <w:p w14:paraId="39534CFC" w14:textId="77777777" w:rsidR="006D7011" w:rsidRDefault="006D7011" w:rsidP="00094D21">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pl-PL"/>
                        </w:rPr>
                        <w:t>Przed użyciem</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2" behindDoc="0" locked="0" layoutInCell="1" allowOverlap="1" wp14:anchorId="5CC289C7" wp14:editId="2E2C84D7">
                <wp:simplePos x="0" y="0"/>
                <wp:positionH relativeFrom="column">
                  <wp:posOffset>3946525</wp:posOffset>
                </wp:positionH>
                <wp:positionV relativeFrom="paragraph">
                  <wp:posOffset>658495</wp:posOffset>
                </wp:positionV>
                <wp:extent cx="665480" cy="467995"/>
                <wp:effectExtent l="0" t="0" r="1270" b="8255"/>
                <wp:wrapNone/>
                <wp:docPr id="3848" name="Text Box 3848"/>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D3CFCC" w14:textId="77777777" w:rsidR="006D7011" w:rsidRDefault="006D7011" w:rsidP="00094D2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Nasadka osłaniająca igłę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CC289C7" id="Text Box 3848" o:spid="_x0000_s1290" type="#_x0000_t202" style="position:absolute;left:0;text-align:left;margin-left:310.75pt;margin-top:51.85pt;width:52.4pt;height:36.8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WEZwIAAE8FAAAOAAAAZHJzL2Uyb0RvYy54bWysVN9P2zAQfp+0/8Hy+0gLtEDVFHVFTJMQ&#10;oJWJZ9ex22iOzzu7Tbq/fmcnaRnjhWkvydn33Xe/Pb1uKsN2Cn0JNufDkwFnykooSrvO+fen20+X&#10;nPkgbCEMWJXzvfL8evbxw7R2E3UKGzCFQkYk1k9ql/NNCG6SZV5uVCX8CThlSakBKxHoiOusQFET&#10;e2Wy08FgnNWAhUOQynu6vWmVfJb4tVYyPGjtVWAm5xRbSF9M31X8ZrOpmKxRuE0puzDEP0RRidKS&#10;0wPVjQiCbbH8i6oqJYIHHU4kVBloXUqVcqBshoNX2Sw3wqmUCxXHu0OZ/P+jlfe7pXtEFprP0FAD&#10;Y0Fq5yeeLmM+jcYq/ilSRnoq4f5QNtUEJulyPB6dX5JGkup8fHF1NYos2dHYoQ9fFFQsCjlH6koq&#10;ltjd+dBCe0j05cGUxW1pTDrESVALg2wnqIerdQqRyP9AGctqCuRsNEjEFqJ5y2xspFFpFjp3xwST&#10;FPZGRYyx35RmZZHyfMO3kFLZ0PtP6IjS5Oo9hh3+GNV7jNs8yCJ5BhsOxlVpAVP2aXmOJSt+9CHr&#10;Fk+9eZF3FEOzaihx6v/ZRT8BKyj2NBgI7c54J29Lat+d8OFRIC0JdZwWPzzQRxug8kMncbYB/PXW&#10;fcTT7JKWs5qWLuf+51ag4sx8tTTVcUN7AXth1Qt2Wy2AZmBIT4qTSSQDDKYXNUL1TO/BPHohlbCS&#10;fOU89OIitKtP74lU83kC0R46Ee7s0slIHesah/GpeRbouokNNOr30K+jmLwa3BbblbWtW3egrU2b&#10;0L0w8Vl4eU6o4zs4+w0AAP//AwBQSwMEFAAGAAgAAAAhAO9kKCvgAAAACwEAAA8AAABkcnMvZG93&#10;bnJldi54bWxMj0FOwzAQRfdI3MEaJDaIOkkhjtI4FVRCwIJFAwdw4mkciO0odttwe4YVLGf+0583&#10;1XaxIzvhHAbvJKSrBBi6zuvB9RI+3p9uC2AhKqfV6B1K+MYA2/ryolKl9me3x1MTe0YlLpRKgolx&#10;KjkPnUGrwspP6Cg7+NmqSOPccz2rM5XbkWdJknOrBkcXjJpwZ7D7ao5WQlGEncDQ+vHzuXm5ecXH&#10;dP9mpLy+Wh42wCIu8Q+GX31Sh5qcWn90OrBRQp6l94RSkKwFMCJElq+BtbQR4g54XfH/P9Q/AAAA&#10;//8DAFBLAQItABQABgAIAAAAIQC2gziS/gAAAOEBAAATAAAAAAAAAAAAAAAAAAAAAABbQ29udGVu&#10;dF9UeXBlc10ueG1sUEsBAi0AFAAGAAgAAAAhADj9If/WAAAAlAEAAAsAAAAAAAAAAAAAAAAALwEA&#10;AF9yZWxzLy5yZWxzUEsBAi0AFAAGAAgAAAAhAF1K1YRnAgAATwUAAA4AAAAAAAAAAAAAAAAALgIA&#10;AGRycy9lMm9Eb2MueG1sUEsBAi0AFAAGAAgAAAAhAO9kKCvgAAAACwEAAA8AAAAAAAAAAAAAAAAA&#10;wQQAAGRycy9kb3ducmV2LnhtbFBLBQYAAAAABAAEAPMAAADOBQAAAAA=&#10;" fillcolor="white [3212]" stroked="f" strokeweight=".5pt">
                <v:textbox inset="0,0,0,0">
                  <w:txbxContent>
                    <w:p w14:paraId="0AD3CFCC" w14:textId="77777777" w:rsidR="006D7011" w:rsidRDefault="006D7011" w:rsidP="00094D2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Nasadka osłaniająca igłę </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1" behindDoc="0" locked="0" layoutInCell="1" allowOverlap="1" wp14:anchorId="7CF0F502" wp14:editId="42F443D0">
                <wp:simplePos x="0" y="0"/>
                <wp:positionH relativeFrom="column">
                  <wp:posOffset>2536825</wp:posOffset>
                </wp:positionH>
                <wp:positionV relativeFrom="paragraph">
                  <wp:posOffset>523239</wp:posOffset>
                </wp:positionV>
                <wp:extent cx="665480" cy="542925"/>
                <wp:effectExtent l="0" t="0" r="1270" b="9525"/>
                <wp:wrapNone/>
                <wp:docPr id="3849" name="Text Box 3849"/>
                <wp:cNvGraphicFramePr/>
                <a:graphic xmlns:a="http://schemas.openxmlformats.org/drawingml/2006/main">
                  <a:graphicData uri="http://schemas.microsoft.com/office/word/2010/wordprocessingShape">
                    <wps:wsp>
                      <wps:cNvSpPr txBox="1"/>
                      <wps:spPr>
                        <a:xfrm>
                          <a:off x="0" y="0"/>
                          <a:ext cx="665480" cy="542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85E79"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Osłona zabezpieczająca igłę</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F502" id="Text Box 3849" o:spid="_x0000_s1291" type="#_x0000_t202" style="position:absolute;left:0;text-align:left;margin-left:199.75pt;margin-top:41.2pt;width:52.4pt;height:42.7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9cAIAAF0FAAAOAAAAZHJzL2Uyb0RvYy54bWysVN9P2zAQfp+0/8Hy+0gpFLGqKepATJMQ&#10;IGDi2XXs1prj885uk+6v39lJWsZ4YdqLc/H9/u47zy7a2rKtwmDAlfz4aMSZchIq41Yl//50/emc&#10;sxCFq4QFp0q+U4FfzD9+mDV+qsawBlspZBTEhWnjS76O0U+LIsi1qkU4Aq8cKTVgLSL94qqoUDQU&#10;vbbFeDQ6KxrAyiNIFQLdXnVKPs/xtVYy3mkdVGS25FRbzCfmc5nOYj4T0xUKvzayL0P8QxW1MI6S&#10;7kNdiSjYBs1foWojEQLoeCShLkBrI1Xugbo5Hr3q5nEtvMq9EDjB72EK/y+svN0++ntksf0CLQ0w&#10;AdL4MA10mfppNdbpS5Uy0hOEuz1sqo1M0uXZ2eT0nDSSVJPT8efxJEUpDs4eQ/yqoGZJKDnSVDJY&#10;YnsTYmc6mKRcAaypro21+ScxQV1aZFtBM1yucokU/A8r61hDhZxMRjmwg+TeRbYuhVGZC326Q4NZ&#10;ijurko11D0ozU+U+38gtpFQuDvmzdbLSlOo9jr39oar3OHd9kEfODC7unWvjAHP3eXkOkFU/hpJ1&#10;Z0+zedF3EmO7bKlxmv/J+cCAJVQ7IgZCtzPBy2tD47sRId4LpCWhidPixzs6tAWCH3qJszXgr7fu&#10;kz1xl7ScNbR0JQ8/NwIVZ/abI1anDR0EHITlILhNfQnEgWN6UrzMIjlgtIOoEepneg8WKQuphJOU&#10;i0gziJexW316T6RaLLIR7aEX8cY9eplCJ1wTGZ/aZ4G+Z2wkqt/CsI5i+oq4nW3ydLDYRNAmszoh&#10;26HYI047nPeif2/SI/HyP1sdXsX5bwAAAP//AwBQSwMEFAAGAAgAAAAhANFexe3gAAAACgEAAA8A&#10;AABkcnMvZG93bnJldi54bWxMj0FPg0AQhe8m/ofNmHizi6WtBVkaY8QeerIS9biFEUh3Zwm7pfTf&#10;O570OHlf3vsm20zWiBEH3zlScD+LQCBVru6oUVC+F3drED5oqrVxhAou6GGTX19lOq3dmd5w3IdG&#10;cAn5VCtoQ+hTKX3VotV+5nokzr7dYHXgc2hkPegzl1sj51G0klZ3xAut7vG5xeq4P1kF5hL35Ve8&#10;K8zHp91uj+VYvL5IpW5vpqdHEAGn8AfDrz6rQ85OB3ei2gujIE6SJaMK1vMFCAaW0SIGcWBy9ZCA&#10;zDP5/4X8BwAA//8DAFBLAQItABQABgAIAAAAIQC2gziS/gAAAOEBAAATAAAAAAAAAAAAAAAAAAAA&#10;AABbQ29udGVudF9UeXBlc10ueG1sUEsBAi0AFAAGAAgAAAAhADj9If/WAAAAlAEAAAsAAAAAAAAA&#10;AAAAAAAALwEAAF9yZWxzLy5yZWxzUEsBAi0AFAAGAAgAAAAhANIX4n1wAgAAXQUAAA4AAAAAAAAA&#10;AAAAAAAALgIAAGRycy9lMm9Eb2MueG1sUEsBAi0AFAAGAAgAAAAhANFexe3gAAAACgEAAA8AAAAA&#10;AAAAAAAAAAAAygQAAGRycy9kb3ducmV2LnhtbFBLBQYAAAAABAAEAPMAAADXBQAAAAA=&#10;" fillcolor="white [3212]" stroked="f" strokeweight=".5pt">
                <v:textbox inset="0,0,0,0">
                  <w:txbxContent>
                    <w:p w14:paraId="37B85E79"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Osłona zabezpieczająca igłę</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0" behindDoc="0" locked="0" layoutInCell="1" allowOverlap="1" wp14:anchorId="2FDA6698" wp14:editId="689E9B80">
                <wp:simplePos x="0" y="0"/>
                <wp:positionH relativeFrom="column">
                  <wp:posOffset>1254983</wp:posOffset>
                </wp:positionH>
                <wp:positionV relativeFrom="paragraph">
                  <wp:posOffset>1275080</wp:posOffset>
                </wp:positionV>
                <wp:extent cx="665480" cy="365760"/>
                <wp:effectExtent l="0" t="0" r="1270" b="0"/>
                <wp:wrapNone/>
                <wp:docPr id="3850" name="Text Box 3850"/>
                <wp:cNvGraphicFramePr/>
                <a:graphic xmlns:a="http://schemas.openxmlformats.org/drawingml/2006/main">
                  <a:graphicData uri="http://schemas.microsoft.com/office/word/2010/wordprocessingShape">
                    <wps:wsp>
                      <wps:cNvSpPr txBox="1"/>
                      <wps:spPr>
                        <a:xfrm>
                          <a:off x="0" y="0"/>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D4F32"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Lek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FDA6698" id="Text Box 3850" o:spid="_x0000_s1292" type="#_x0000_t202" style="position:absolute;left:0;text-align:left;margin-left:98.8pt;margin-top:100.4pt;width:52.4pt;height:28.8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CfFaQIAAFEFAAAOAAAAZHJzL2Uyb0RvYy54bWysVN9P2zAQfp+0/8Hy+0gLa8eipoiBOk1C&#10;gFYmnl3HbqM5Pu/sNun+es5O0jLGC9NekrPv9+fvbnbR1obtFPoKbMHHJyPOlJVQVnZd8B8Piw/n&#10;nPkgbCkMWFXwvfL8Yv7+3axxuTqFDZhSIaMg1ueNK/gmBJdnmZcbVQt/Ak5ZUmrAWgQ64jorUTQU&#10;vTbZ6Wg0zRrA0iFI5T3dXndKPk/xtVYy3GntVWCm4FRbSF9M31X8ZvOZyNco3KaSfRniH6qoRWUp&#10;6SHUtQiCbbH6K1RdSQQPOpxIqDPQupIq9UDdjEcvulluhFOpFwLHuwNM/v+Flbe7pbtHFtov0NID&#10;RkAa53NPl7GfVmMd/1QpIz1BuD/AptrAJF1Op5OP56SRpDqbTj5NE6zZ0dmhD18V1CwKBUd6lQSW&#10;2N34QAnJdDCJuTyYqlxUxqRDZIK6Msh2gt5wtU4lkscfVsayhgo5m4xSYAvRvYtsbAyjEhf6dMcG&#10;kxT2RkUbY78rzaoy9flKbiGlsmHIn6yjlaZUb3Hs7Y9VvcW564M8Umaw4eBcVxYwdZ+G5whZ+XMo&#10;WXf2BPizvqMY2lVLjdP7n30eGLCCck/EQOhmxju5qOj5boQP9wJpSOjFafDDHX20AYIfeomzDeDv&#10;1+6jPXGXtJw1NHQF97+2AhVn5pslVscJHQQchNUg2G19BcSBMa0UJ5NIDhjMIGqE+pH2wWXMQiph&#10;JeUquAw4HK5CN/y0UaS6vExmNIlOhBu7dDIGj8hGOj60jwJdz9lAZL+FYSBF/oK6nW0PbIdcf6C5&#10;TQTvd0xcDM/Pyeq4CedPAAAA//8DAFBLAwQUAAYACAAAACEA7EdYCdwAAAALAQAADwAAAGRycy9k&#10;b3ducmV2LnhtbEyPwU7DMBBE70j8g7VI3KhD2oY2xKkKAolrCh/gxEsciNchdpPw9ywnOM7uaOZN&#10;cVhcLyYcQ+dJwe0qAYHUeNNRq+Dt9flmByJETUb3nlDBNwY4lJcXhc6Nn6nC6RRbwSEUcq3Axjjk&#10;UobGotNh5Qck/r370enIcmylGfXM4a6XaZJk0umOuMHqAR8tNp+ns1MwYWWr7cfD0z6d5bHWL0Rf&#10;2Vqp66vleA8i4hL/zPCLz+hQMlPtz2SC6Fnv7zK2KuAa3sCOdZJuQNR82e42IMtC/t9Q/gAAAP//&#10;AwBQSwECLQAUAAYACAAAACEAtoM4kv4AAADhAQAAEwAAAAAAAAAAAAAAAAAAAAAAW0NvbnRlbnRf&#10;VHlwZXNdLnhtbFBLAQItABQABgAIAAAAIQA4/SH/1gAAAJQBAAALAAAAAAAAAAAAAAAAAC8BAABf&#10;cmVscy8ucmVsc1BLAQItABQABgAIAAAAIQDhsCfFaQIAAFEFAAAOAAAAAAAAAAAAAAAAAC4CAABk&#10;cnMvZTJvRG9jLnhtbFBLAQItABQABgAIAAAAIQDsR1gJ3AAAAAsBAAAPAAAAAAAAAAAAAAAAAMME&#10;AABkcnMvZG93bnJldi54bWxQSwUGAAAAAAQABADzAAAAzAUAAAAA&#10;" fillcolor="white [3212]" stroked="f" strokeweight=".5pt">
                <v:textbox inset="0,0,0,0">
                  <w:txbxContent>
                    <w:p w14:paraId="0F5D4F32"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Lek</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51" behindDoc="0" locked="0" layoutInCell="1" allowOverlap="1" wp14:anchorId="27C065E0" wp14:editId="1B111D31">
                <wp:simplePos x="0" y="0"/>
                <wp:positionH relativeFrom="column">
                  <wp:posOffset>3918651</wp:posOffset>
                </wp:positionH>
                <wp:positionV relativeFrom="paragraph">
                  <wp:posOffset>1340353</wp:posOffset>
                </wp:positionV>
                <wp:extent cx="665480" cy="467995"/>
                <wp:effectExtent l="0" t="0" r="1270" b="8255"/>
                <wp:wrapNone/>
                <wp:docPr id="3851" name="Text Box 3851"/>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4E029" w14:textId="77777777" w:rsidR="006D7011" w:rsidRDefault="006D7011" w:rsidP="00094D2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Trzpień tłoka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7C065E0" id="Text Box 3851" o:spid="_x0000_s1293" type="#_x0000_t202" style="position:absolute;left:0;text-align:left;margin-left:308.55pt;margin-top:105.55pt;width:52.4pt;height:36.8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ojaAIAAE8FAAAOAAAAZHJzL2Uyb0RvYy54bWysVN9P2zAQfp+0/8Hy+5qWQQdRU8SKmCYh&#10;QCsTz65jt9Ecn3d2m3R//c5O0jLGC9NekrPv7rufn2eXbW3YTqGvwBZ8MhpzpqyEsrLrgn9/vPlw&#10;zpkPwpbCgFUF3yvPL+fv380al6sT2IApFTICsT5vXME3Ibg8y7zcqFr4EThlSakBaxHoiOusRNEQ&#10;em2yk/F4mjWApUOQynu6ve6UfJ7wtVYy3GvtVWCm4JRbSF9M31X8ZvOZyNco3KaSfRriH7KoRWUp&#10;6AHqWgTBtlj9BVVXEsGDDiMJdQZaV1KlGqiayfhFNcuNcCrVQs3x7tAm//9g5d1u6R6QhfYztDTA&#10;2JDG+dzTZayn1VjHP2XKSE8t3B/aptrAJF1Op2en56SRpDqdfrq4OIso2dHZoQ9fFNQsCgVHmkpq&#10;ltjd+tCZDiYxlgdTlTeVMekQN0EtDLKdoBmu1ilFAv/DyljWUCIfz8YJ2EJ075CNjTAq7UIf7lhg&#10;ksLeqGhj7DelWVWmOl+JLaRUNgzxk3W00hTqLY69/TGrtzh3dZBHigw2HJzrygKm6hN5ji0rfwwp&#10;686eZvOs7iiGdtVS4TT/00SJeLeCck+LgdBxxjt5U9H4boUPDwKJJDRxIn64p482QO2HXuJsA/jr&#10;tftoT7tLWs4aIl3B/c+tQMWZ+WppqyNDBwEHYTUIdlsvgHZgQk+Kk0kkBwxmEDVC/UTvwVWMQiph&#10;JcUqeBjEReioT++JVFdXyYh46ES4tUsnI3Tsa1zGx/ZJoOs3NtCq38FAR5G/WNzOtm9r17f+QKxN&#10;TOhfmPgsPD8nq+M7OP8NAAD//wMAUEsDBBQABgAIAAAAIQBRWPIz3wAAAAsBAAAPAAAAZHJzL2Rv&#10;d25yZXYueG1sTI9NTsMwEEb3SNzBGiQ2iDqOUOOGOBVUQsCCRUMP4MRDHIjtKHbbcHuGFezm5+mb&#10;N9V2cSM74RyH4BWIVQYMfRfM4HsFh/enWwksJu2NHoNHBd8YYVtfXlS6NOHs93hqUs8oxMdSK7Ap&#10;TSXnsbPodFyFCT3tPsLsdKJ27rmZ9ZnC3cjzLFtzpwdPF6yecGex+2qOToGUcVdgbMP4+dy83Lzi&#10;o9i/WaWur5aHe2AJl/QHw68+qUNNTm04ehPZqGAtCkGoglwIKogocrEB1tJE3kngdcX//1D/AAAA&#10;//8DAFBLAQItABQABgAIAAAAIQC2gziS/gAAAOEBAAATAAAAAAAAAAAAAAAAAAAAAABbQ29udGVu&#10;dF9UeXBlc10ueG1sUEsBAi0AFAAGAAgAAAAhADj9If/WAAAAlAEAAAsAAAAAAAAAAAAAAAAALwEA&#10;AF9yZWxzLy5yZWxzUEsBAi0AFAAGAAgAAAAhAO48SiNoAgAATwUAAA4AAAAAAAAAAAAAAAAALgIA&#10;AGRycy9lMm9Eb2MueG1sUEsBAi0AFAAGAAgAAAAhAFFY8jPfAAAACwEAAA8AAAAAAAAAAAAAAAAA&#10;wgQAAGRycy9kb3ducmV2LnhtbFBLBQYAAAAABAAEAPMAAADOBQAAAAA=&#10;" fillcolor="white [3212]" stroked="f" strokeweight=".5pt">
                <v:textbox inset="0,0,0,0">
                  <w:txbxContent>
                    <w:p w14:paraId="5784E029" w14:textId="77777777" w:rsidR="006D7011" w:rsidRDefault="006D7011" w:rsidP="00094D21">
                      <w:pPr>
                        <w:rPr>
                          <w:rFonts w:asciiTheme="majorBidi" w:hAnsiTheme="majorBidi" w:cstheme="majorBidi"/>
                          <w:sz w:val="20"/>
                          <w:szCs w:val="20"/>
                        </w:rPr>
                      </w:pPr>
                      <w:r>
                        <w:rPr>
                          <w:rFonts w:ascii="Times New Roman" w:eastAsia="Times New Roman" w:hAnsi="Times New Roman" w:cs="Times New Roman"/>
                          <w:sz w:val="20"/>
                          <w:szCs w:val="20"/>
                          <w:lang w:val="pl-PL"/>
                        </w:rPr>
                        <w:t xml:space="preserve">Trzpień tłoka </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3" behindDoc="0" locked="0" layoutInCell="1" allowOverlap="1" wp14:anchorId="7A9999F8" wp14:editId="71B4AFA2">
                <wp:simplePos x="0" y="0"/>
                <wp:positionH relativeFrom="column">
                  <wp:posOffset>2603657</wp:posOffset>
                </wp:positionH>
                <wp:positionV relativeFrom="paragraph">
                  <wp:posOffset>1350967</wp:posOffset>
                </wp:positionV>
                <wp:extent cx="665480" cy="467995"/>
                <wp:effectExtent l="0" t="0" r="1270" b="8255"/>
                <wp:wrapNone/>
                <wp:docPr id="3852" name="Text Box 3852"/>
                <wp:cNvGraphicFramePr/>
                <a:graphic xmlns:a="http://schemas.openxmlformats.org/drawingml/2006/main">
                  <a:graphicData uri="http://schemas.microsoft.com/office/word/2010/wordprocessingShape">
                    <wps:wsp>
                      <wps:cNvSpPr txBox="1"/>
                      <wps:spPr>
                        <a:xfrm>
                          <a:off x="0" y="0"/>
                          <a:ext cx="66548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19A24"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Okienko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A9999F8" id="Text Box 3852" o:spid="_x0000_s1294" type="#_x0000_t202" style="position:absolute;left:0;text-align:left;margin-left:205pt;margin-top:106.4pt;width:52.4pt;height:36.8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p8ZgIAAE8FAAAOAAAAZHJzL2Uyb0RvYy54bWysVN9P2zAQfp+0/8Hy+0hhbQcVKepAnSYh&#10;QIOJZ9exW2uOzzubJt1fv7OTtIzxwrSX5Oz77rvfPr9oa8u2CoMBV/LjoxFnykmojFuX/PvD8sMp&#10;ZyEKVwkLTpV8pwK/mL9/d974mTqBDdhKISMSF2aNL/kmRj8riiA3qhbhCLxypNSAtYh0xHVRoWiI&#10;vbbFyWg0LRrAyiNIFQLdXnVKPs/8WisZb7UOKjJbcoot5i/m7yp9i/m5mK1R+I2RfRjiH6KohXHk&#10;dE91JaJgT2j+oqqNRAig45GEugCtjVQ5B8rmePQim/uN8CrnQsUJfl+m8P9o5c323t8hi+1naKmB&#10;qSCND7NAlymfVmOd/hQpIz2VcLcvm2ojk3Q5nU7Gp6SRpBpPP52dTRJLcTD2GOIXBTVLQsmRupKL&#10;JbbXIXbQAZJ8BbCmWhpr8yFNgrq0yLaCerha5xCJ/A+UdayhQD5ORpnYQTLvmK1LNCrPQu/ukGCW&#10;4s6qhLHum9LMVDnPV3wLKZWLg/+MTihNrt5i2OMPUb3FuMuDLLJncHFvXBsHmLPPy3MoWfVjCFl3&#10;eOrNs7yTGNtVS4lT/8f7CVhBtaPBQOh2Jni5NNS+axHinUBaEuo4LX68pY+2QOWHXuJsA/jrtfuE&#10;p9klLWcNLV3Jw88ngYoz+9XRVKcNHQQchNUguKf6EmgGjulJ8TKLZIDRDqJGqB/pPVgkL6QSTpKv&#10;ksdBvIzd6tN7ItVikUG0h17Ea3fvZaJOdU3D+NA+CvT9xEYa9RsY1lHMXgxuh+3L2tWtP9DW5k3o&#10;X5j0LDw/Z9ThHZz/BgAA//8DAFBLAwQUAAYACAAAACEAOEMNzOAAAAALAQAADwAAAGRycy9kb3du&#10;cmV2LnhtbEyPzU7DMBCE70i8g7VIXBB1HLUlSuNUUAkBBw4NfQAnXuKAf6LYbcPbs5zobXdnNPtN&#10;tZ2dZSec4hC8BLHIgKHvgh58L+Hw8XxfAItJea1s8CjhByNs6+urSpU6nP0eT03qGYX4WCoJJqWx&#10;5Dx2Bp2KizCiJ+0zTE4lWqee60mdKdxZnmfZmjs1ePpg1Ig7g913c3QSiiLuHjC2wX69NK93b/gk&#10;9u9Gytub+XEDLOGc/s3wh0/oUBNTG45eR2YlLEVGXZKEXOTUgRwrsaShpUuxXgGvK37Zof4FAAD/&#10;/wMAUEsBAi0AFAAGAAgAAAAhALaDOJL+AAAA4QEAABMAAAAAAAAAAAAAAAAAAAAAAFtDb250ZW50&#10;X1R5cGVzXS54bWxQSwECLQAUAAYACAAAACEAOP0h/9YAAACUAQAACwAAAAAAAAAAAAAAAAAvAQAA&#10;X3JlbHMvLnJlbHNQSwECLQAUAAYACAAAACEAtp/6fGYCAABPBQAADgAAAAAAAAAAAAAAAAAuAgAA&#10;ZHJzL2Uyb0RvYy54bWxQSwECLQAUAAYACAAAACEAOEMNzOAAAAALAQAADwAAAAAAAAAAAAAAAADA&#10;BAAAZHJzL2Rvd25yZXYueG1sUEsFBgAAAAAEAAQA8wAAAM0FAAAAAA==&#10;" fillcolor="white [3212]" stroked="f" strokeweight=".5pt">
                <v:textbox inset="0,0,0,0">
                  <w:txbxContent>
                    <w:p w14:paraId="34519A24"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Okienko</w:t>
                      </w:r>
                    </w:p>
                  </w:txbxContent>
                </v:textbox>
              </v:shape>
            </w:pict>
          </mc:Fallback>
        </mc:AlternateContent>
      </w:r>
      <w:r w:rsidR="00094D21" w:rsidRPr="008F328C">
        <w:rPr>
          <w:rFonts w:ascii="Times New Roman" w:eastAsia="Times New Roman" w:hAnsi="Times New Roman" w:cs="Times New Roman"/>
          <w:b/>
          <w:bCs/>
          <w:noProof/>
          <w:lang w:eastAsia="ko-KR"/>
        </w:rPr>
        <mc:AlternateContent>
          <mc:Choice Requires="wps">
            <w:drawing>
              <wp:anchor distT="0" distB="0" distL="114300" distR="114300" simplePos="0" relativeHeight="251658344" behindDoc="0" locked="0" layoutInCell="1" allowOverlap="1" wp14:anchorId="3BC2D376" wp14:editId="43539BA0">
                <wp:simplePos x="0" y="0"/>
                <wp:positionH relativeFrom="column">
                  <wp:posOffset>2603500</wp:posOffset>
                </wp:positionH>
                <wp:positionV relativeFrom="paragraph">
                  <wp:posOffset>2212117</wp:posOffset>
                </wp:positionV>
                <wp:extent cx="665480" cy="375285"/>
                <wp:effectExtent l="0" t="0" r="1270" b="5715"/>
                <wp:wrapNone/>
                <wp:docPr id="3853" name="Text Box 3853"/>
                <wp:cNvGraphicFramePr/>
                <a:graphic xmlns:a="http://schemas.openxmlformats.org/drawingml/2006/main">
                  <a:graphicData uri="http://schemas.microsoft.com/office/word/2010/wordprocessingShape">
                    <wps:wsp>
                      <wps:cNvSpPr txBox="1"/>
                      <wps:spPr>
                        <a:xfrm>
                          <a:off x="0" y="0"/>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5C4AE"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Korpus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C2D376" id="Text Box 3853" o:spid="_x0000_s1295" type="#_x0000_t202" style="position:absolute;left:0;text-align:left;margin-left:205pt;margin-top:174.2pt;width:52.4pt;height:29.5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AkZwIAAE8FAAAOAAAAZHJzL2Uyb0RvYy54bWysVN9v2jAQfp+0/8Hy+wilhSFEqFirTpNQ&#10;W7Wd+mwcG6I5Pu9sSNhfv7OTQNf1pdNekrPvu+9+e37ZVIbtFfoSbM7PBkPOlJVQlHaT8+9PN5+m&#10;nPkgbCEMWJXzg/L8cvHxw7x2MzWCLZhCISMS62e1y/k2BDfLMi+3qhJ+AE5ZUmrASgQ64iYrUNTE&#10;XplsNBxOshqwcAhSeU+3162SLxK/1kqGO629CszknGIL6Yvpu47fbDEXsw0Kty1lF4b4hygqUVpy&#10;eqS6FkGwHZZ/UVWlRPCgw0BClYHWpVQpB8rmbPgqm8etcCrlQsXx7lgm//9o5e3+0d0jC80XaKiB&#10;sSC18zNPlzGfRmMV/xQpIz2V8HAsm2oCk3Q5mYwvpqSRpDr/PB5Nx5ElOxk79OGrgopFIedIXUnF&#10;EvuVDy20h0RfHkxZ3JTGpEOcBHVlkO0F9XC9SSES+R8oY1lNgZyPh4nYQjRvmY2NNCrNQufulGCS&#10;wsGoiDH2QWlWFinPN3wLKZUNvf+EjihNrt5j2OFPUb3HuM2DLJJnsOFoXJUWMGWfludUsuJHH7Ju&#10;8dSbF3lHMTTrhhKn/l+M+glYQ3GgwUBod8Y7eVNS+1bCh3uBtCTUcVr8cEcfbYDKD53E2Rbw11v3&#10;EU+zS1rOalq6nPufO4GKM/PN0lTHDe0F7IV1L9hddQU0A2f0pDiZRDLAYHpRI1TP9B4soxdSCSvJ&#10;V85DL16FdvXpPZFquUwg2kMnwso+OhmpY13jMD41zwJdN7GBRv0W+nUUs1eD22K7srZ16w60tWkT&#10;uhcmPgsvzwl1egcXvwEAAP//AwBQSwMEFAAGAAgAAAAhAFFmBTvgAAAACwEAAA8AAABkcnMvZG93&#10;bnJldi54bWxMj8tOwzAQRfdI/IM1SGwQtQMpjUKcCioh6IJF036AEw9xwI8odtvw9wwrWI7u1Z1z&#10;qvXsLDvhFIfgJWQLAQx9F/TgewmH/cttASwm5bWywaOEb4ywri8vKlXqcPY7PDWpZzTiY6kkmJTG&#10;kvPYGXQqLsKInrKPMDmV6Jx6rid1pnFn+Z0QD9ypwdMHo0bcGOy+mqOTUBRxs8LYBvv52rzdbPE5&#10;270bKa+v5qdHYAnn9FeGX3xCh5qY2nD0OjIrIc8EuSQJ93mRA6PGMstJpqVIrJbA64r/d6h/AAAA&#10;//8DAFBLAQItABQABgAIAAAAIQC2gziS/gAAAOEBAAATAAAAAAAAAAAAAAAAAAAAAABbQ29udGVu&#10;dF9UeXBlc10ueG1sUEsBAi0AFAAGAAgAAAAhADj9If/WAAAAlAEAAAsAAAAAAAAAAAAAAAAALwEA&#10;AF9yZWxzLy5yZWxzUEsBAi0AFAAGAAgAAAAhALP08CRnAgAATwUAAA4AAAAAAAAAAAAAAAAALgIA&#10;AGRycy9lMm9Eb2MueG1sUEsBAi0AFAAGAAgAAAAhAFFmBTvgAAAACwEAAA8AAAAAAAAAAAAAAAAA&#10;wQQAAGRycy9kb3ducmV2LnhtbFBLBQYAAAAABAAEAPMAAADOBQAAAAA=&#10;" fillcolor="white [3212]" stroked="f" strokeweight=".5pt">
                <v:textbox inset="0,0,0,0">
                  <w:txbxContent>
                    <w:p w14:paraId="5DC5C4AE" w14:textId="77777777" w:rsidR="006D7011" w:rsidRDefault="006D7011" w:rsidP="00094D21">
                      <w:pPr>
                        <w:jc w:val="center"/>
                        <w:rPr>
                          <w:rFonts w:asciiTheme="majorBidi" w:hAnsiTheme="majorBidi" w:cstheme="majorBidi"/>
                          <w:sz w:val="20"/>
                          <w:szCs w:val="20"/>
                        </w:rPr>
                      </w:pPr>
                      <w:r>
                        <w:rPr>
                          <w:rFonts w:ascii="Times New Roman" w:eastAsia="Times New Roman" w:hAnsi="Times New Roman" w:cs="Times New Roman"/>
                          <w:sz w:val="20"/>
                          <w:szCs w:val="20"/>
                          <w:lang w:val="pl-PL"/>
                        </w:rPr>
                        <w:t>Korpus</w:t>
                      </w:r>
                    </w:p>
                  </w:txbxContent>
                </v:textbox>
              </v:shape>
            </w:pict>
          </mc:Fallback>
        </mc:AlternateContent>
      </w:r>
      <w:r w:rsidR="00094D21" w:rsidRPr="008F328C">
        <w:rPr>
          <w:rFonts w:ascii="Times New Roman" w:eastAsia="Times New Roman" w:hAnsi="Times New Roman" w:cs="Times New Roman"/>
          <w:b/>
          <w:bCs/>
          <w:noProof/>
          <w:spacing w:val="-1"/>
          <w:lang w:eastAsia="ko-KR"/>
        </w:rPr>
        <w:drawing>
          <wp:inline distT="0" distB="0" distL="0" distR="0" wp14:anchorId="3D8FE8ED" wp14:editId="78520551">
            <wp:extent cx="3669665" cy="3562350"/>
            <wp:effectExtent l="19050" t="19050" r="26035" b="19050"/>
            <wp:docPr id="3948" name="그림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 name="그림 3948"/>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3670843" cy="3563494"/>
                    </a:xfrm>
                    <a:prstGeom prst="rect">
                      <a:avLst/>
                    </a:prstGeom>
                    <a:noFill/>
                    <a:ln w="12700">
                      <a:solidFill>
                        <a:schemeClr val="tx1"/>
                      </a:solidFill>
                    </a:ln>
                  </pic:spPr>
                </pic:pic>
              </a:graphicData>
            </a:graphic>
          </wp:inline>
        </w:drawing>
      </w:r>
    </w:p>
    <w:p w14:paraId="6818FA4F" w14:textId="77777777" w:rsidR="00094D21" w:rsidRPr="008F328C" w:rsidRDefault="00094D21" w:rsidP="00094D21">
      <w:pPr>
        <w:pStyle w:val="af0"/>
        <w:ind w:left="4320" w:firstLine="720"/>
        <w:jc w:val="center"/>
        <w:rPr>
          <w:rFonts w:ascii="Times New Roman" w:hAnsi="Times New Roman" w:cs="Times New Roman"/>
          <w:lang w:val="pl-PL"/>
        </w:rPr>
      </w:pPr>
      <w:r w:rsidRPr="008F328C">
        <w:rPr>
          <w:rFonts w:ascii="Times New Roman" w:eastAsia="Times New Roman" w:hAnsi="Times New Roman" w:cs="Times New Roman"/>
          <w:lang w:val="pl-PL"/>
        </w:rPr>
        <w:t xml:space="preserve">Rysunek </w:t>
      </w:r>
      <w:r w:rsidRPr="008F328C">
        <w:rPr>
          <w:rFonts w:ascii="Times New Roman" w:hAnsi="Times New Roman" w:cs="Times New Roman"/>
          <w:lang w:val="pl-PL"/>
        </w:rPr>
        <w:t>A</w:t>
      </w:r>
    </w:p>
    <w:p w14:paraId="21479F3D" w14:textId="77777777" w:rsidR="00094D21" w:rsidRPr="008F328C" w:rsidRDefault="00094D21" w:rsidP="00094D21">
      <w:pPr>
        <w:tabs>
          <w:tab w:val="left" w:pos="3004"/>
          <w:tab w:val="left" w:pos="5932"/>
        </w:tabs>
        <w:spacing w:before="33" w:line="480" w:lineRule="auto"/>
        <w:ind w:left="111" w:right="1474" w:firstLine="1653"/>
        <w:rPr>
          <w:rFonts w:ascii="Times New Roman" w:eastAsia="Times New Roman" w:hAnsi="Times New Roman" w:cs="Times New Roman"/>
          <w:b/>
          <w:bCs/>
          <w:lang w:val="pl-PL"/>
        </w:rPr>
      </w:pPr>
    </w:p>
    <w:p w14:paraId="53B4A846" w14:textId="77777777" w:rsidR="00094D21" w:rsidRPr="008F328C" w:rsidRDefault="00094D21" w:rsidP="00094D21">
      <w:pPr>
        <w:tabs>
          <w:tab w:val="left" w:pos="3004"/>
          <w:tab w:val="left" w:pos="5932"/>
        </w:tabs>
        <w:spacing w:before="33" w:line="480" w:lineRule="auto"/>
        <w:ind w:left="113" w:right="1474"/>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Nie używać ponownie półautomatycznego wstrzykiwacza, jeżeli:</w:t>
      </w:r>
    </w:p>
    <w:p w14:paraId="54A85959" w14:textId="77777777" w:rsidR="00094D21" w:rsidRPr="008F328C" w:rsidRDefault="00094D21" w:rsidP="00094D21">
      <w:pPr>
        <w:pStyle w:val="a3"/>
        <w:numPr>
          <w:ilvl w:val="1"/>
          <w:numId w:val="2"/>
        </w:numPr>
        <w:ind w:left="660" w:hanging="660"/>
        <w:rPr>
          <w:lang w:val="pl-PL"/>
        </w:rPr>
      </w:pPr>
      <w:r w:rsidRPr="008F328C">
        <w:rPr>
          <w:rFonts w:eastAsia="Times New Roman"/>
          <w:lang w:val="pl-PL"/>
        </w:rPr>
        <w:t>jest pęknięty lub uszkodzony.</w:t>
      </w:r>
    </w:p>
    <w:p w14:paraId="597895F4" w14:textId="77777777" w:rsidR="00094D21" w:rsidRPr="008F328C" w:rsidRDefault="00094D21" w:rsidP="00094D21">
      <w:pPr>
        <w:pStyle w:val="a3"/>
        <w:numPr>
          <w:ilvl w:val="1"/>
          <w:numId w:val="2"/>
        </w:numPr>
        <w:ind w:left="660" w:hanging="660"/>
        <w:rPr>
          <w:sz w:val="26"/>
          <w:szCs w:val="26"/>
          <w:lang w:val="pl-PL"/>
        </w:rPr>
      </w:pPr>
      <w:r w:rsidRPr="008F328C">
        <w:rPr>
          <w:rFonts w:eastAsia="Times New Roman"/>
          <w:lang w:val="pl-PL"/>
        </w:rPr>
        <w:t>upłynął termin ważności.</w:t>
      </w:r>
    </w:p>
    <w:p w14:paraId="6B2FCA3C" w14:textId="236E5BF5" w:rsidR="009278CA" w:rsidRPr="008F328C" w:rsidRDefault="009278CA" w:rsidP="00094D21">
      <w:pPr>
        <w:pStyle w:val="a3"/>
        <w:numPr>
          <w:ilvl w:val="1"/>
          <w:numId w:val="2"/>
        </w:numPr>
        <w:ind w:left="660" w:hanging="660"/>
        <w:rPr>
          <w:sz w:val="26"/>
          <w:szCs w:val="26"/>
          <w:lang w:val="pl-PL"/>
        </w:rPr>
      </w:pPr>
      <w:r w:rsidRPr="008F328C">
        <w:rPr>
          <w:lang w:val="pl-PL"/>
        </w:rPr>
        <w:t>została upuszczona na twardą powierzchnię.</w:t>
      </w:r>
    </w:p>
    <w:p w14:paraId="021D9DB1" w14:textId="77777777" w:rsidR="00094D21" w:rsidRPr="008F328C" w:rsidRDefault="00094D21" w:rsidP="00094D21">
      <w:pPr>
        <w:pStyle w:val="a3"/>
        <w:rPr>
          <w:lang w:val="pl-PL"/>
        </w:rPr>
      </w:pPr>
    </w:p>
    <w:p w14:paraId="45373FEE" w14:textId="27B88FDB" w:rsidR="00094D21" w:rsidRPr="008F328C" w:rsidRDefault="00094D21" w:rsidP="00094D21">
      <w:pPr>
        <w:pStyle w:val="a3"/>
        <w:rPr>
          <w:rFonts w:eastAsia="Times New Roman"/>
          <w:b/>
          <w:bCs/>
          <w:lang w:val="pl-PL"/>
        </w:rPr>
      </w:pPr>
      <w:r w:rsidRPr="008F328C">
        <w:rPr>
          <w:rFonts w:eastAsia="Times New Roman"/>
          <w:b/>
          <w:bCs/>
          <w:lang w:val="pl-PL"/>
        </w:rPr>
        <w:t>Nie zdejmować osłony, aż do momentu, gdy pacjent będzie gotowy do wykonania wstrzyknięcia. Lek Yuflyma przechowywać w miejscu niedostępnym dla dzieci.</w:t>
      </w:r>
    </w:p>
    <w:p w14:paraId="6E737F00" w14:textId="5CEA7E4D" w:rsidR="00D22235" w:rsidRPr="008F328C" w:rsidRDefault="00D22235">
      <w:pPr>
        <w:rPr>
          <w:rFonts w:ascii="Times New Roman" w:hAnsi="Times New Roman" w:cs="Times New Roman"/>
          <w:b/>
          <w:bCs/>
          <w:lang w:val="pl-PL"/>
        </w:rPr>
      </w:pPr>
      <w:r w:rsidRPr="008F328C">
        <w:rPr>
          <w:rFonts w:ascii="Times New Roman" w:hAnsi="Times New Roman" w:cs="Times New Roman"/>
          <w:b/>
          <w:bCs/>
          <w:lang w:val="pl-PL"/>
        </w:rPr>
        <w:br w:type="page"/>
      </w:r>
    </w:p>
    <w:tbl>
      <w:tblPr>
        <w:tblStyle w:val="ac"/>
        <w:tblW w:w="0" w:type="auto"/>
        <w:tblLook w:val="04A0" w:firstRow="1" w:lastRow="0" w:firstColumn="1" w:lastColumn="0" w:noHBand="0" w:noVBand="1"/>
      </w:tblPr>
      <w:tblGrid>
        <w:gridCol w:w="9394"/>
      </w:tblGrid>
      <w:tr w:rsidR="00094D21" w:rsidRPr="008F328C" w14:paraId="6E657897" w14:textId="77777777" w:rsidTr="00D22235">
        <w:trPr>
          <w:trHeight w:val="2551"/>
        </w:trPr>
        <w:tc>
          <w:tcPr>
            <w:tcW w:w="9394" w:type="dxa"/>
          </w:tcPr>
          <w:p w14:paraId="739C62E1" w14:textId="77777777" w:rsidR="00094D21" w:rsidRPr="008F328C" w:rsidRDefault="00094D21" w:rsidP="008A03B2">
            <w:pPr>
              <w:spacing w:line="260" w:lineRule="exact"/>
              <w:rPr>
                <w:rFonts w:ascii="Times New Roman" w:eastAsia="Times New Roman" w:hAnsi="Times New Roman" w:cs="Times New Roman"/>
                <w:b/>
                <w:bCs/>
                <w:spacing w:val="-1"/>
                <w:lang w:val="pl-PL"/>
              </w:rPr>
            </w:pPr>
          </w:p>
          <w:p w14:paraId="518A4547" w14:textId="77777777" w:rsidR="00094D21" w:rsidRPr="008F328C" w:rsidRDefault="00094D21" w:rsidP="008E70FE">
            <w:pPr>
              <w:pStyle w:val="a3"/>
              <w:numPr>
                <w:ilvl w:val="0"/>
                <w:numId w:val="129"/>
              </w:numPr>
              <w:rPr>
                <w:b/>
                <w:lang w:val="pl-PL"/>
              </w:rPr>
            </w:pPr>
            <w:r w:rsidRPr="008F328C">
              <w:rPr>
                <w:rFonts w:eastAsia="Times New Roman"/>
                <w:b/>
                <w:bCs/>
                <w:lang w:val="pl-PL"/>
              </w:rPr>
              <w:t>Przygotować materiały potrzebne do wykonania wstrzyknięcie</w:t>
            </w:r>
          </w:p>
          <w:p w14:paraId="4090923B" w14:textId="77777777" w:rsidR="00094D21" w:rsidRPr="008F328C" w:rsidRDefault="00094D21" w:rsidP="008A03B2">
            <w:pPr>
              <w:pStyle w:val="a3"/>
              <w:numPr>
                <w:ilvl w:val="0"/>
                <w:numId w:val="0"/>
              </w:numPr>
              <w:ind w:left="470"/>
              <w:rPr>
                <w:b/>
                <w:lang w:val="pl-PL"/>
              </w:rPr>
            </w:pPr>
          </w:p>
          <w:p w14:paraId="0546A852" w14:textId="15F189BE" w:rsidR="00094D21" w:rsidRPr="008F328C" w:rsidRDefault="00094D21" w:rsidP="008A03B2">
            <w:pPr>
              <w:pStyle w:val="a3"/>
              <w:ind w:leftChars="50" w:left="110"/>
              <w:rPr>
                <w:lang w:val="pl-PL" w:eastAsia="ko-KR"/>
              </w:rPr>
            </w:pPr>
            <w:r w:rsidRPr="008F328C">
              <w:rPr>
                <w:rFonts w:eastAsia="Times New Roman"/>
                <w:b/>
                <w:bCs/>
                <w:lang w:val="pl-PL" w:eastAsia="ko-KR"/>
              </w:rPr>
              <w:t xml:space="preserve">    a.</w:t>
            </w:r>
            <w:r w:rsidRPr="008F328C">
              <w:rPr>
                <w:rFonts w:eastAsia="Times New Roman"/>
                <w:lang w:val="pl-PL" w:eastAsia="ko-KR"/>
              </w:rPr>
              <w:t xml:space="preserve"> Przygotować czystą, płaską powierzchnię, taką jak stół lub blat, w dobrze oświetlonym miejscu.</w:t>
            </w:r>
          </w:p>
          <w:p w14:paraId="02B3FED3" w14:textId="77777777" w:rsidR="00094D21" w:rsidRPr="008F328C" w:rsidRDefault="00094D21" w:rsidP="008A03B2">
            <w:pPr>
              <w:pStyle w:val="a3"/>
              <w:ind w:leftChars="50" w:left="110"/>
              <w:rPr>
                <w:lang w:val="pl-PL" w:eastAsia="ko-KR"/>
              </w:rPr>
            </w:pPr>
            <w:r w:rsidRPr="008F328C">
              <w:rPr>
                <w:rFonts w:eastAsia="Times New Roman"/>
                <w:b/>
                <w:bCs/>
                <w:lang w:val="pl-PL" w:eastAsia="ko-KR"/>
              </w:rPr>
              <w:t xml:space="preserve">    b.</w:t>
            </w:r>
            <w:r w:rsidRPr="008F328C">
              <w:rPr>
                <w:rFonts w:eastAsia="Times New Roman"/>
                <w:lang w:val="pl-PL" w:eastAsia="ko-KR"/>
              </w:rPr>
              <w:t xml:space="preserve"> Wyjąć 1 wstrzykiwacz z kartonika przechowywanego w lodówce.</w:t>
            </w:r>
          </w:p>
          <w:p w14:paraId="4E439E7F" w14:textId="77777777" w:rsidR="00094D21" w:rsidRPr="008F328C" w:rsidRDefault="00094D21" w:rsidP="008A03B2">
            <w:pPr>
              <w:pStyle w:val="a3"/>
              <w:ind w:leftChars="50" w:left="110"/>
              <w:rPr>
                <w:lang w:val="pl-PL" w:eastAsia="ko-KR"/>
              </w:rPr>
            </w:pPr>
            <w:r w:rsidRPr="008F328C">
              <w:rPr>
                <w:rFonts w:eastAsia="Times New Roman"/>
                <w:b/>
                <w:bCs/>
                <w:lang w:val="pl-PL" w:eastAsia="ko-KR"/>
              </w:rPr>
              <w:t xml:space="preserve">    c.</w:t>
            </w:r>
            <w:r w:rsidRPr="008F328C">
              <w:rPr>
                <w:rFonts w:eastAsia="Times New Roman"/>
                <w:lang w:val="pl-PL" w:eastAsia="ko-KR"/>
              </w:rPr>
              <w:t xml:space="preserve"> Należy upewnić się, że są dostępne następujące materiały:</w:t>
            </w:r>
          </w:p>
          <w:p w14:paraId="132450AC" w14:textId="77777777" w:rsidR="00094D21" w:rsidRPr="008F328C" w:rsidRDefault="00094D21" w:rsidP="008A03B2">
            <w:pPr>
              <w:pStyle w:val="a3"/>
              <w:ind w:leftChars="402" w:left="884"/>
              <w:rPr>
                <w:lang w:val="pl-PL" w:eastAsia="ko-KR"/>
              </w:rPr>
            </w:pPr>
            <w:r w:rsidRPr="008F328C">
              <w:rPr>
                <w:rFonts w:eastAsia="Times New Roman"/>
                <w:lang w:val="pl-PL" w:eastAsia="ko-KR"/>
              </w:rPr>
              <w:t>- wstrzykiwacz</w:t>
            </w:r>
          </w:p>
          <w:p w14:paraId="73379B7E" w14:textId="77777777" w:rsidR="00094D21" w:rsidRPr="008F328C" w:rsidRDefault="00094D21" w:rsidP="008A03B2">
            <w:pPr>
              <w:pStyle w:val="a3"/>
              <w:ind w:leftChars="402" w:left="1659" w:hanging="775"/>
              <w:rPr>
                <w:lang w:val="pl-PL" w:eastAsia="ko-KR"/>
              </w:rPr>
            </w:pPr>
            <w:r w:rsidRPr="008F328C">
              <w:rPr>
                <w:rFonts w:eastAsia="Times New Roman"/>
                <w:lang w:val="pl-PL" w:eastAsia="ko-KR"/>
              </w:rPr>
              <w:t>- 1 gazik nasączony alkoholem.</w:t>
            </w:r>
          </w:p>
          <w:p w14:paraId="375515C7" w14:textId="77777777" w:rsidR="00094D21" w:rsidRPr="008F328C" w:rsidRDefault="00094D21" w:rsidP="008A03B2">
            <w:pPr>
              <w:pStyle w:val="a3"/>
              <w:ind w:leftChars="402" w:left="1659" w:hanging="775"/>
              <w:rPr>
                <w:lang w:val="pl-PL" w:eastAsia="ko-KR"/>
              </w:rPr>
            </w:pPr>
          </w:p>
          <w:p w14:paraId="56314770" w14:textId="77777777" w:rsidR="00094D21" w:rsidRPr="008F328C" w:rsidRDefault="00094D21" w:rsidP="008A03B2">
            <w:pPr>
              <w:pStyle w:val="a3"/>
              <w:ind w:left="720"/>
              <w:rPr>
                <w:b/>
                <w:lang w:val="pl-PL" w:eastAsia="ko-KR"/>
              </w:rPr>
            </w:pPr>
            <w:r w:rsidRPr="008F328C">
              <w:rPr>
                <w:rFonts w:eastAsia="Times New Roman"/>
                <w:b/>
                <w:bCs/>
                <w:lang w:val="pl-PL" w:eastAsia="ko-KR"/>
              </w:rPr>
              <w:t>Niedołączone do opakowania:</w:t>
            </w:r>
          </w:p>
          <w:p w14:paraId="3B8E6CDA" w14:textId="77777777" w:rsidR="00094D21" w:rsidRPr="008F328C" w:rsidRDefault="00094D21" w:rsidP="008A03B2">
            <w:pPr>
              <w:pStyle w:val="a3"/>
              <w:ind w:left="720"/>
              <w:rPr>
                <w:lang w:val="pl-PL" w:eastAsia="ko-KR"/>
              </w:rPr>
            </w:pPr>
            <w:r w:rsidRPr="008F328C">
              <w:rPr>
                <w:rFonts w:eastAsia="Times New Roman"/>
                <w:lang w:val="pl-PL" w:eastAsia="ko-KR"/>
              </w:rPr>
              <w:t>- wacik lub gazik bawełniany</w:t>
            </w:r>
          </w:p>
          <w:p w14:paraId="61F2C6E1" w14:textId="77777777" w:rsidR="00094D21" w:rsidRPr="008F328C" w:rsidRDefault="00094D21" w:rsidP="008A03B2">
            <w:pPr>
              <w:pStyle w:val="a3"/>
              <w:ind w:left="720"/>
              <w:rPr>
                <w:lang w:val="pl-PL" w:eastAsia="ko-KR"/>
              </w:rPr>
            </w:pPr>
            <w:r w:rsidRPr="008F328C">
              <w:rPr>
                <w:rFonts w:eastAsia="Times New Roman"/>
                <w:lang w:val="pl-PL" w:eastAsia="ko-KR"/>
              </w:rPr>
              <w:t>- plaster samoprzylepny</w:t>
            </w:r>
          </w:p>
          <w:p w14:paraId="39C47DDB" w14:textId="77777777" w:rsidR="00094D21" w:rsidRPr="008F328C" w:rsidRDefault="00094D21" w:rsidP="008A03B2">
            <w:pPr>
              <w:pStyle w:val="a3"/>
              <w:ind w:left="720"/>
              <w:rPr>
                <w:lang w:val="pl-PL" w:eastAsia="ko-KR"/>
              </w:rPr>
            </w:pPr>
            <w:r w:rsidRPr="008F328C">
              <w:rPr>
                <w:rFonts w:eastAsia="Times New Roman"/>
                <w:lang w:val="pl-PL" w:eastAsia="ko-KR"/>
              </w:rPr>
              <w:t>- pojemnik na odpady ostre</w:t>
            </w:r>
          </w:p>
          <w:p w14:paraId="421D056A" w14:textId="77777777" w:rsidR="00094D21" w:rsidRPr="008F328C" w:rsidRDefault="00094D21" w:rsidP="008A03B2">
            <w:pPr>
              <w:pStyle w:val="a3"/>
              <w:ind w:leftChars="402" w:left="1659" w:hanging="775"/>
              <w:rPr>
                <w:sz w:val="26"/>
                <w:szCs w:val="26"/>
                <w:lang w:val="pl-PL"/>
              </w:rPr>
            </w:pPr>
          </w:p>
        </w:tc>
      </w:tr>
      <w:tr w:rsidR="00094D21" w:rsidRPr="00A5286D" w14:paraId="3F0C8799" w14:textId="77777777" w:rsidTr="00D22235">
        <w:trPr>
          <w:trHeight w:val="5025"/>
        </w:trPr>
        <w:tc>
          <w:tcPr>
            <w:tcW w:w="9394" w:type="dxa"/>
          </w:tcPr>
          <w:p w14:paraId="45D024D4" w14:textId="77777777" w:rsidR="00094D21" w:rsidRPr="008F328C" w:rsidRDefault="00094D21" w:rsidP="008A03B2">
            <w:pPr>
              <w:spacing w:line="260" w:lineRule="exact"/>
              <w:rPr>
                <w:rFonts w:ascii="Times New Roman" w:hAnsi="Times New Roman" w:cs="Times New Roman"/>
                <w:sz w:val="26"/>
                <w:szCs w:val="26"/>
                <w:lang w:val="pl-PL"/>
              </w:rPr>
            </w:pPr>
            <w:r w:rsidRPr="008F328C">
              <w:rPr>
                <w:rFonts w:ascii="Times New Roman" w:hAnsi="Times New Roman" w:cs="Times New Roman"/>
                <w:noProof/>
                <w:sz w:val="26"/>
                <w:szCs w:val="26"/>
                <w:lang w:eastAsia="ko-KR"/>
              </w:rPr>
              <mc:AlternateContent>
                <mc:Choice Requires="wpg">
                  <w:drawing>
                    <wp:anchor distT="0" distB="0" distL="114300" distR="114300" simplePos="0" relativeHeight="251658350" behindDoc="0" locked="0" layoutInCell="1" allowOverlap="1" wp14:anchorId="579065F1" wp14:editId="1F5AEDE4">
                      <wp:simplePos x="0" y="0"/>
                      <wp:positionH relativeFrom="column">
                        <wp:posOffset>79949</wp:posOffset>
                      </wp:positionH>
                      <wp:positionV relativeFrom="paragraph">
                        <wp:posOffset>97790</wp:posOffset>
                      </wp:positionV>
                      <wp:extent cx="2016821" cy="2635250"/>
                      <wp:effectExtent l="0" t="0" r="2540" b="0"/>
                      <wp:wrapSquare wrapText="bothSides"/>
                      <wp:docPr id="3856" name="그룹 3856"/>
                      <wp:cNvGraphicFramePr/>
                      <a:graphic xmlns:a="http://schemas.openxmlformats.org/drawingml/2006/main">
                        <a:graphicData uri="http://schemas.microsoft.com/office/word/2010/wordprocessingGroup">
                          <wpg:wgp>
                            <wpg:cNvGrpSpPr/>
                            <wpg:grpSpPr>
                              <a:xfrm>
                                <a:off x="0" y="0"/>
                                <a:ext cx="2016821" cy="2635250"/>
                                <a:chOff x="17084" y="0"/>
                                <a:chExt cx="2016821" cy="2635250"/>
                              </a:xfrm>
                            </wpg:grpSpPr>
                            <wpg:grpSp>
                              <wpg:cNvPr id="3857" name="그룹 3857"/>
                              <wpg:cNvGrpSpPr/>
                              <wpg:grpSpPr>
                                <a:xfrm>
                                  <a:off x="17084" y="0"/>
                                  <a:ext cx="2016821" cy="2635250"/>
                                  <a:chOff x="17084" y="0"/>
                                  <a:chExt cx="2016821" cy="2635250"/>
                                </a:xfrm>
                              </wpg:grpSpPr>
                              <pic:pic xmlns:pic="http://schemas.openxmlformats.org/drawingml/2006/picture">
                                <pic:nvPicPr>
                                  <pic:cNvPr id="3858" name="그림 3858"/>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bwMode="auto">
                                  <a:xfrm>
                                    <a:off x="17084" y="0"/>
                                    <a:ext cx="1995292" cy="2491740"/>
                                  </a:xfrm>
                                  <a:prstGeom prst="rect">
                                    <a:avLst/>
                                  </a:prstGeom>
                                  <a:noFill/>
                                  <a:ln>
                                    <a:noFill/>
                                  </a:ln>
                                </pic:spPr>
                              </pic:pic>
                              <wps:wsp>
                                <wps:cNvPr id="3859" name="Text Box 3859"/>
                                <wps:cNvSpPr txBox="1"/>
                                <wps:spPr>
                                  <a:xfrm>
                                    <a:off x="1313815" y="2489200"/>
                                    <a:ext cx="720090" cy="146050"/>
                                  </a:xfrm>
                                  <a:prstGeom prst="rect">
                                    <a:avLst/>
                                  </a:prstGeom>
                                  <a:solidFill>
                                    <a:prstClr val="white"/>
                                  </a:solidFill>
                                  <a:ln>
                                    <a:noFill/>
                                  </a:ln>
                                </wps:spPr>
                                <wps:txbx>
                                  <w:txbxContent>
                                    <w:p w14:paraId="3418EA9B"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 xml:space="preserve">Rysunek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0" name="Text Box 3860"/>
                              <wps:cNvSpPr txBox="1"/>
                              <wps:spPr>
                                <a:xfrm>
                                  <a:off x="909320" y="1386840"/>
                                  <a:ext cx="930303" cy="27586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BDCA3" w14:textId="77777777" w:rsidR="006D7011" w:rsidRPr="009A2CB5" w:rsidRDefault="006D7011" w:rsidP="00094D21">
                                    <w:pPr>
                                      <w:rPr>
                                        <w:rFonts w:asciiTheme="majorBidi" w:hAnsiTheme="majorBidi" w:cstheme="majorBidi"/>
                                        <w:b/>
                                        <w:bCs/>
                                        <w:sz w:val="16"/>
                                        <w:szCs w:val="14"/>
                                      </w:rPr>
                                    </w:pPr>
                                    <w:r w:rsidRPr="009A2CB5">
                                      <w:rPr>
                                        <w:rFonts w:ascii="Times New Roman" w:eastAsia="Times New Roman" w:hAnsi="Times New Roman" w:cs="Times New Roman"/>
                                        <w:b/>
                                        <w:bCs/>
                                        <w:sz w:val="16"/>
                                        <w:szCs w:val="14"/>
                                        <w:lang w:val="pl-PL"/>
                                      </w:rPr>
                                      <w:t xml:space="preserve">EXP: </w:t>
                                    </w:r>
                                    <w:r w:rsidRPr="009A2CB5">
                                      <w:rPr>
                                        <w:rFonts w:ascii="Times New Roman" w:eastAsia="Times New Roman" w:hAnsi="Times New Roman" w:cs="Times New Roman"/>
                                        <w:sz w:val="16"/>
                                        <w:szCs w:val="14"/>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anchor>
                  </w:drawing>
                </mc:Choice>
                <mc:Fallback>
                  <w:pict>
                    <v:group w14:anchorId="579065F1" id="그룹 3856" o:spid="_x0000_s1296" style="position:absolute;margin-left:6.3pt;margin-top:7.7pt;width:158.8pt;height:207.5pt;z-index:251658350;mso-width-relative:margin" coordorigin="170" coordsize="20168,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m8zYgQAAAINAAAOAAAAZHJzL2Uyb0RvYy54bWzcV9tuGzcQfS/QfyD2&#10;PZZWdwmWA9eugwBuYsQu8kxxuVrCuyRLUpac3ynQX2gL9Ivan+gZ7q5kyTES+yEFCsPrITkkZw7P&#10;HNLHrzdVye6k88roeZIedRMmtTCZ0st58vPNxatJwnzgOuOl0XKe3EufvD75/rvjtZ3JnilMmUnH&#10;sIj2s7WdJ0UIdtbpeFHIivsjY6XGYG5cxQOabtnJHF9j9ars9LrdUWdtXGadEdJ79J7Xg8lJXD/P&#10;pQjv89zLwMp5gthC/Lr4XdC3c3LMZ0vHbaFEEwZ/QRQVVxqbbpc654GzlVOPlqqUcMabPBwJU3VM&#10;nishYw7IJu0eZPPGmZWNuSxn66XdwgRoD3B68bLi3d0bZ6/tlQMSa7sEFrFFuWxyV9FfRMk2EbL7&#10;LWRyE5hAJ6IeTXppwgTGeqP+sDdsQBUFkKd56bg7GSRsN1cUP35hdqfdvLMX0rZRh4rYrxxT2Tzp&#10;T4bjhGlegWF///7HP7/+yWJXk9MzknwU7H+SqFViht/mwGE9OvAvFwZmhZWTSbNI9VVrVNzdruwr&#10;cNPyoBaqVOE+1hlYSEHpuyslrlzd2MMfdb7D/7e/CP8JVRfNIsd6Gqe0Lo249Uybs4LrpTz1FlUK&#10;mpB3Z989Nvf2XJTKXqiyJF6S3WSHij6oiM8AVFfbuRGrSupQy4eTJRI12hfK+oS5mawWEoxybzMi&#10;NaQrgFPWKR1qrfBOfEC8iJXPfHAyiKKNexcbZeFRU2yx/slkWICvgon6cFBTT9ItnU6HvWmvqavB&#10;NB0PYl1tKwNIOh/eSFMxMhAxoopb8LtLT/HBtXWhYLUh3GLcpd7rgCP1RLAp6sZEElRn0GXfwozW&#10;I6CfJT3XBbcSUdKye/SZtvS5oYL7wWyIQFOCvHEliWJhg5GGKtRfR9uKxVap0n7an6TDqDm9wWSK&#10;i6I+vLaYx+iZ4jog0UoHo26tWS/H1ptSZS0tCfSz0rE7jjtnXaggI7NBl4deT5zBLiuywmaxiQKX&#10;DvotFguT3QMKZ3DmSMFbcaGw4yX34Yo7XF7oxIUc3uOTl2Y9T0xjJaww7tPn+skfB4vRhK1xGc4T&#10;/8uKk3iUbzWOnG7O1nCtsWgNvarODHJFwSCaaGKCC2Vr5s5UH3FPn9IuGOJaYK95ElrzLNRXMu55&#10;IU9Po1OtQZf62kK50shsQvZm85E723A+4EDfmZZUfHZA/do3Vqo9RQVeqFgXhGyNIphODRA8Ws3t&#10;981YPwIWtWg+YD06X8b6aXfa72FF4nR/MprUgsFnLemn/S5+GkUZDyejccPLVpNatfhKQdmjc3yw&#10;yS3tF8tazh+RnoGPeCV043luJalRIMQan2yNfu3Xgg/3paSzLPUHmaMq4pMkHi49Fnd7cyEg7+3+&#10;0Zu8cqjfcyY2/jS1juo5k7cz4s5Gh+3kSmnjYvYHkGW3bch57d+Qs8n7QA4GLUn+R3IggvtGghCr&#10;/gkJwEMbyO+95B+246ns/nU5+RcAAP//AwBQSwMECgAAAAAAAAAhAFLiNx024gAANuIAABQAAABk&#10;cnMvbWVkaWEvaW1hZ2UxLnBuZ4lQTkcNChoKAAAADUlIRFIAAAHgAAACVwgGAAAAS/OHxQAAAAFz&#10;UkdCAK7OHOkAAAAEZ0FNQQAAsY8L/GEFAAAACXBIWXMAACHVAAAh1QEEnLSdAADhy0lEQVR4Xuz9&#10;hXtV2dKvDb9/xveec97zPM9uF6Rxd4cQQoIFEtwluLu7u7skwR0CBE1wl0YaaDY0tHfvlu31jbtg&#10;shdhLTKh49R9XXVBkrXmkjnG+I2qUaPG/+NY6ey2mZmZmZmZWZYZ2vv/3F6zZo2cO3fOzMzMzMzM&#10;LJMNzX0mwv/PbX5hGIZhGEbmg+aaABuGYRhGFmMCbBiGYRjZgAmwYRiGYWQDJsCGYRiGkQ2YABuG&#10;YRhGNmACbBiGYRjZgAmwYRiGYWQDJsCGYRiGkQ2YABuGYRhGNmACbBiGYRjZgAmwYRiGYWQDJsCG&#10;YRiGkQ2YABuGYRhGNmACbBiGYRjZgAmwYRiGYWQDJsCGYRiGkQ2YABuGYRhGNmACbBiGYRjZgAmw&#10;YRiGYWQDJsCGYRiGkQ2YABuGYRhGNmACbBiGYRjZgAmwYRiGYWQDJsCGYRiGkQ2YABuGYRhGNmAC&#10;bBiGYRjZgAmwYRiGYWQDJsCGYRiGkQ2YABuGYRhGNmACbBiGYRjZgAmwYRiGYWQDJsCGYRiGkQ2Y&#10;ABuGYRhGNmACbBiGYRjZgAmwYRiGYWQDJsCGYRiGkQ2YABuGYRhGNmACbBiGYRjZgAmwYRiGYWQD&#10;JsCGYRiGkQ2YABuGYRhGNmACbBiGYRjZgAmwYRiGYWQDJsCGYRiGkQ2YABuGYRhGNmACbBiGYRjZ&#10;gAmwYRiGYWQDJsCGYRiGkQ2YAGcB//73v+Vf//qX/POf/8yRxnvjPRqGYRhZhwlwJuKJ7t/+9jf5&#10;9ddf5ccffpBvv/kmZ9i338r3338vP7j39Msvv+h7NAzDMLIOE+BM5B//+If89a9/VYH7xone/fv3&#10;5fr16znCPr9xQ+7cuSP37t2TJ0+e6Hs0L9gwDCPrMAF+TRApvNq///3v8vvvv6tw/fzTT/LTjz/J&#10;jz/+qF4uXiXe5Tdffy2PHj2SL7/8Uq5duyYnU1Mlaf/+HGGHDh6Uo0eOSEpKily5fFknB999991T&#10;r/iZZ8xn4TP95D7fX/7yF/Xi+cxMLEysDcMw/hgmwK8BooMAIUpfOWG9dvWqHD18RHZu3yFbNm+W&#10;xIQEWb9unaxZvVpWLl8hy5YskSWLFsmCefNl5vTpMmHceBk5bHiOsFHDR8jY0aNl/NhxMn3qNJk/&#10;b56sWLZcVq5YIatWrtTPwGfhM23ftk0OJB1wE4iTcsN5z1+7iQUTEMMwDOPNMQF+DRDgn3/+WR48&#10;eCCXL12S7Vu3yYxp06Rvr97SrUsXad+mrbSIiZXoRo0lql6ERNQNl3phdSW8TpjUqVlLalSrJtUq&#10;V8kxVqNKValRtZrUrlFTwmvXkfrh9SQqIkIaRjXQz9AiNlbatWkjPXv0kLFjxsiiBQtl965dToRv&#10;6ETEMAzDeHNMgH1AyNlby71/7556gni8UydPkY7tO0hdJ7AIWeUKFaVs6TJSvEhRKZgvv+T/+BO1&#10;fB99LJ86++TDj14wfpddpu/hgw/VPnX/z+feZ4FP80nB/AWkcMHP9DOUKVlKKlaoIGG1a6sY9+rR&#10;U2bNmCl7du+RO7dvayIXYWmSzQzDMIzXwwTYB7//9rs8efxEbn5+U9dPF8ybJwP69lPvEG+xTq3a&#10;Us95u/y/ifMc+Tcyor7+rq7zLGs5D7NGtepSzXmcVfE+q1SR6u7/1Z1oZ5fpe6lUWapUrKSThzD3&#10;PnnPWFRklH6GBpj7f4PIyKf/1o+U9m3bycjhI2TpkiVy8MABufvFF7ombBiGYbweJsA+YM33xo0b&#10;cvhQssybM1c6OBGqULaclHPebiXn9dasXkOaNG4iHTt2kl69ekvv3n2kb5++0qtnL+natZu0d15y&#10;m9ZtpGWLltI8trm0aN5c/9+qZatssxbNW0hsTKw0a9pM2rRqLV27dJW+blLhGZ9B33u79tI0uql+&#10;xhJFi0np4iU0nN7cPZe149SUFI0OGIZhGK+HCbAPHn/1lRxOTpbFCxdJHyeqCBAh3PyffCrFCheR&#10;iuUrSKOGjaSbE6zBg4fIiBEjZezYcTJmzFj9P78bOHCQ9OuHuPXVf/v3HyADAoyfM8pCXS/w9XgP&#10;vd1koWePnvrzyJEjZeLESfq+R44cpe+5R/cezstvq58NT5mwOuH0Ip8VkvJlyko3J9ob1m+Q27du&#10;697i3377zbKjDcMwfGIC7IPbt2/LmlWrJc4JTlREffV+WS9FgPkXEWYduJ3zjPv36y8jho+QCRMm&#10;yqRJk9X4P+KmP0+eLJMnT5EpU6b+x/jZGb//o+ZdK+31Xng9Z7yX8eMnOMEdq/9Odd7sjBkz9f9D&#10;hw5TcUZ8Gzvxre0mHEwyShQrruJbqEBBKVLwM2kU1UBGuQnGpsSNcubMGd1P/G9bDzYMw/CFCbAP&#10;Ll28KBOcUFVyIlQofwEVocLOEOCP3ntfvWHWdgnrErod7gQYgZs5c5bMnj1H5s2bLwud97xk6TJZ&#10;vmKlrFi56j/mfl6+fMVzW/YHLPA6gdfSn3kdXvvZ6/P7xYuXuPe1UBYsWKjvj3+ZKAwaNFg6d+qs&#10;YXXWrsu5CQcCjJUuUVI+c54wn5sQfGzTZjLcCfbGxESdqFhClmEYhj9MgENA5jMhVdZ/KVgxqP8A&#10;5+kWls+cAFcsV17q1K6j66KVK1SQSs4iIyJ0LZUwdPe47hq+7ePEeOCAgepRjh0zVqY6zxNBnjNn&#10;rsyeM0f/P2vWbDXEOtPs2WvMmj1bXxObMXOmesbjx4+XUSNHydAhQ2Wg+4yEpDt37KTrxNFOgCPC&#10;66l3H1U/8vnPfH4ypcuVKi3hYXWlQ7v2smTRYrl65aoJsGEYhk9MgENAbWQqQ927e1f3+/aIi5PC&#10;BQpKyWLFNSO4c+cu0sl5iYRpW7dqpdnBeI2atNQkWkWL/b9kEpPo1KF9Bw3rDhs2/JkNU2FG+IYM&#10;HqJrrmrO+1Qb/AfMu8bzaw2RIe51hg7FhskwZ6xJkyTWuXNnJ7YtNdTM+61f79k+YPcZYprFaLIY&#10;oXWStJhQIM78nTVhtl3hITdq0FCmT5smF86fNwE2DMPwiQlwCPB+Kbhx8cIFXf8l87lgvnxSwXl/&#10;CBLJSqyXjhkzRkaMGKGebq+ePaW18xwpbEGoWpO0ihSVcmXKSpgTNwQNkcY6OSHr2LGjdOzQUbOk&#10;1Zx4t/OsfRBr1y6IpX3My8a1O3To8PT1nPHabd3EgYlB/Yj6uiWJfb/sCSbTmZ+ZZPBZejhvngnC&#10;mNFjdJ2Y9W3eM54w25kIS7ONaczo0XLm9GkTYMMwDJ+YAIdABfjLL+W88+oozegJcOmSpaRZdFPN&#10;KkZ4nwrxeBntBGq482zZfoRwUQGLELVn9Zxg4Rm3btVatyS1adNGWj+zVmxRUmv9grVo3eo/5rzs&#10;Fs5TxSNt2aKFtOT/aq2kJX/Tx/GcpxZ4nVbPrLWae21nrFezxosA13XvlUQrhBQPmM+HR08YHfHl&#10;szHZYH0Yz5mtVKx5U3SkTKnSuqd5zCgTYMMwjNfBBDgEoQS4aKHCWlwDD5KQLOunrO1OmzbN2XQV&#10;KZKw+jgh7uI8XQSzSePGaghbjPM62X8b60Qs1glprPt7jBPS59aqpTRz/zZt2UKaur83bdH8qTWP&#10;laYxMdLUPZ/r4L02Yx8v1vzZY3jOc3PX4VpOnPW67lox7nGxWKx7TrNmEt2kiW4x4lp8HsLMlJ3s&#10;17efhrJHjRolEyZM0ISycePGu59HS1y3OPV+yfxmHZh/EeCxTqRNgA3DMPxjAhwCBPjhn/+sNZ/X&#10;rVkrnTp00H2wZACTDU3FKELRAwcM0EMWSGiaPn3GC8lP493v+/fvL506dnzudXri29wJL55qc/f7&#10;5s4LVmv7zNz/Y9u0lhjn1T43J6KeeMY2i1EvlGtgsYisPs49h+c5i/Wu1a7t02u7x6i567TgtZ0g&#10;UxAE6+KEF8GdOImtUk9t4sSJMkm3Tk1S7xfvni1Wrdxzq1SqLB+//4FmfxO6Zl/0xPHj5eyZMybA&#10;hmEYPjEBDgGn/XAkH14wBxD0c94uCVh4fYReWf/EE2zauIm0dqLU1gkpa7hkQCNWiDEeMeHbQYMG&#10;ST8nxL3795Ne7l+s9wBsgPsdxt9etF793GOfW1/p1ddZ795aaYvkKbxvrVrlRLH3C4919ux19Fr6&#10;Gk8fo+b+xmv3GThA+j6zocOHyzgnoFOdF88+ZbxdwusUDWG9mLB5SyYPTvgJrZcsXkI+fPc9Xefm&#10;UIeWbjIwb+48nayYABuGYfjDBDgEbEPyzvtNTU3VghNsv2EPMAKECLMezL7YUu5n/uXwAuo+k2RF&#10;sQu2+yDEeMeTpk6VCTOmy4SZM2TCrJkycdYMmeh+nuhEb+IU93ceE2ATnRC+YJMwPFPnlTrj+tOd&#10;wCPy/P+lxwdej+s7m+jew8Tp7vXce5g0e6ZMnT1Lps2eLTOwWbNk+kz3vtxrEFbv78S9hRNWJhp6&#10;KIP77NSOZu8vW7E+eOddKeUmJA0jo3Rysm7NGj3k3wTYMAzDHybAPrhy5YpMcyLHoQtlS5VW4S3l&#10;BNcTYDxjQtOIUvHCRXQ/MCFoil4sW7ZcC3AsXr5cFq1eJQvXrXlmq2XRmlXudytl0fIVztzfn9sK&#10;WYitePrv878vWSqLFi+Rxe5frrty5SpZuWq1LHX/LuKxLzw+8Jru/yudrXKvxeutXS2L16+VZevX&#10;yUpnK1avlmXuuYuXLpXZc+bqhIHtUez7ZY0Xb5e1b7YdlS9bTgWY31UuX0E6te8gM6ZOk7179uhJ&#10;USbAhmEY/jAB9gEHMSyYP19imjaVMCfC7H2tUb26ZjV37xYnfZ0HSFlGvGO8YcLQ69etl9179sq2&#10;7Ttk46bNsmHTJlm7ZbOs2ups2xZZtWOr2kps+7N/n9kKbOd2Wb5rh/67Ysc2WclzNibK6vXrZc3a&#10;dbI+Pl4S3HXjt26VNdu3PX1cgK3kOd61na3a5my7u4aae477eYN7boKzTdu2ybYdO2THzp2ydes2&#10;2bhxkwo8tZ7LukkGRxWytYo1bw5h4AAKjjDkuxgxdJgezUjb4aB+qwVtGIbhDxNgH1BicfWqVXro&#10;frPoaC2u0bBBA937u2bNWtm+bbsMGTRYKpUrryFatu4cOHBQzp47L8dPpEjSwYOyKylJtu7fJxv3&#10;75XEA/sk4VCSxB85KPFHD8mG44dlQ8qR57Y+5aisO3lc1p4+IWtPHZf1qUfdY5IlIWmfJG7fLps2&#10;b5GtTix37NsnWw8dlMRjh/Xx606dUFvv/r8h9djT6504IvHuubxOwuGDkpB8QBLda286sF+27d8v&#10;O/fuc+/vkBw7cULOnD2r7xlLTj4sI0eM1IIb1H0mHE34myIiJKAV/DSfNG7QUObNnSvn3eP//OCB&#10;/OUvfzEBNgzD8IkJsA+++OIL2eA8z359+kib1q11C09MTIyMnzBB9icdkLNnz+nhB+yjZa2UNdQT&#10;Tniv3/hcxezY8RNy4MgR2XUkWbYcOSSbnWBuciK70YnlxtMpknjupCSeP/XcEi6clvhLZ2XDlXMS&#10;f/ms/rzxbKpsPuqev2ePetUI555Dh2Tn8WOy5cxJfVy8Pv6cJLjnJl48I4kXnl5v49mTsvFMimxy&#10;r7fJiTOvvdW9h53Jh2SvmxwcOXZczrh7f+36dfn85k25feeOnDt/Qdea+UxkOpOMtWjRYi3GwfGE&#10;HMhAHWgmJvfv39eSnRxLaAJsGIbhDxNgH9y9e1cS4+N1y1HH9u21AEarVq2EjOEk5+meOXP2ZQFO&#10;SZXrn9+Us07IEOAkJ5Q7Txxz4ndMhTfRCWqCiq2zi6edaJ55bvHONjghfV0B1sc/E2EEnOtgen13&#10;DX09RN4JMmK8/fhR2ZOcLIfdZOHM+fNy7cYNuXHzlty688ULAkx1rK6du+ihDqxtkw1NNjjZzwnu&#10;e/nmm280YY2D+U2ADcMw/GEC7APqQW/auFGGDBokXTp10ipWbdu2VW+QUPNpJ8CTJ03+jwCPcgKc&#10;6gTYeZMqwIShU07IjlMp6okmnHeC6URxA6L5TDhfsqvn9d/XEmCeo897+twXDEH3Xs9Z4rlTsi31&#10;uOx2nvlh915PX7ggV53HHkyASTKjAMeq1Wtkztx5Go4mLN3aTUS2bd2qoWeSr0x8DcMw/GMC7IN7&#10;9+7J5k2bZNiQIboOTA3m9s4TZgvQgYMvC/BIJ8DHVYBvyVknbE8FOEV2nD4pG8+dVI/0BcEMZW8q&#10;wD4s8cIZ2eYmBLuPHnUCfNIJ8EW5+rkT4FvPBNj9TAUsT4BJLCP5a978BbonmISztq1ay47t27Vo&#10;iWEYhvF6mAD74PUFeHTuEuCTgQJ82wTYMAwjCzAB9oEnwEOdAHf1K8BO1K47b/KsE7JcIcAXAwT4&#10;CxNgwzCMzMYE2AckYW1MTJTBAwdK506dpF3btnlcgO++IMBUvOJYwrVOgOebABuGYWQIJsA+QIAT&#10;yILu318PZWjbps1bJ8A9u/fQ4iILFyzUAxlMgA3DMP4YJsA+8PYB9+3dW9q3ayetW7V6OwV4/QZZ&#10;uHDRcwEmC3rrli3y888/a+1sy4I2DMPwjwmwD27evCnLly2TDk58qYTVPDZWBZiDFg4cPJT3Bbh4&#10;CenVo6fEb4jXYhyc/sQ2pGZNomXl8uVaKey7777TvcAmwoZhGP4wAfbBjevXZf7cudK0cWOJjIiQ&#10;pk2aSMcOHWTGjJly8C0S4ISERFm8eInzfFtJ4QIFpUH9SJkxfbqknDihUYKffvrJBNgwDMMnJsAh&#10;IKTK2iaikurEc8K4cRJWq5ZUq1JFIsLDpXlMjIwYMVLDstudIA6mFnT5CnpCUu8+fWTTlq1yIPmw&#10;7Ni9WzZu3iLrt2+TVXt3y/JD+2TZ4SRZevSgLDl+6NV27JA+bllykiw/sFdW7nTXiI/XbOR1iYl6&#10;EMP63btkVdI+f9cLsGXJ+9372SXrOIyBgxj27ZMkJ+gHDx+Ww0ePyc7de2TwwEH6mTgRqUO79jJv&#10;3nwtzsEpSZz+VKt6DRk0YIBsWLdeTqamyqNHj/R7s6IchmEY6WMCHALE98svv5RzZ8/K2tVrpEdc&#10;nB60QF1kjiSsWrmyRDdq/NJpSBzVV79ehB6cP3jwYOnXr7/7fy/pN3SIDJ48UUYsmCMjFs2TYYvn&#10;y7ClC15tS5y5x/H4kfNny6gZ02T0hAkyZuw4GTdhop7vO37mDBk9b44M93O9QHPXGzZ1sgwdPVqG&#10;Dh8hg4cOde93iB4kMdT9v7973w3dZyrqPlP+Z6chtX92GhLHEn78wYdSpkRJ/Q4Q4fXr1sm1q9ee&#10;l6S0YwkNwzBejQlwCDhc4KwT33jncY4aOVIaN2yoJwB98O678tH778snH34khZzYUieZJKWCz84D&#10;fu9//iQF3OPYO6vnBRcvoQf4V61RQ6JiY6RVzzhp1buHtOzTU1r27ZWOuce4x/H41j26S5sunaVN&#10;+w7S1glhe/dvx85dpH3XrtLG/c3f9f5jsXFdpUmb1tLACWhYWF2pUrmKHryPcQQhYWfvM7373/+j&#10;RxJyJjCh50+c+PI7jiTkc9atXUfGjRkrx48d04gBIownbBiGYYTGBDgE3377rSQlJcmUyZOloxO7&#10;2jVrqgB/8uGHkv+TT1WcECIE90//97/034/ee1/tvT+9o78LtPxOrMtWqii1IutL7QZRUqthA6nV&#10;yIe5x/H42lGRUqdeuNQJC5MwJ3h1nWiGh9eTuhERUsf9rVZDd81gzw9h1SLCpVL16lK2bDkp4oSV&#10;CUXa9+wZYsvnYmKBh4/x+fkZ77ikm4T07tlTdu3aJY8fP9as6L///e/PvknDMAwjGCbAIXj81Vey&#10;MXGjE5Ze0iAyUqpXqeo82eLPw881q9fQ/+f76GMVX7xBPETWS/EWPWH27MP3P5CCn30mxUuXkhJl&#10;SkuJsmWkuA8rUQZzj3fPK1mipHrTeJ14qKXdz6Wct1qydGkp7h4X7PmhrGjJklK4SBH5DI/WfYb3&#10;nacb+H4D7cN339PQezX3HdSpVdtNRmrp569QrpwULlhQirjP1blDR0nYsEFu3bolXz95ol6wYRiG&#10;ERoT4BBwwPyypUs14ahCufJSqUJFqVypkvM8w6Rpk2hp1bKVeqJsx3nfebwcz0fCEo9j3ZTfBYrY&#10;O//13/KuE2W8Y8TujYznprVgj/NhvA8mCbwnPFzeX+D7DTS846qVKusxhOyD5iQoPn943bpSomhR&#10;jQy0atFCli1Zog3qy/v35ddff332TRqGYRjBMAEOwYMvH8iSRYs0uQpRDQ+rK02jo6Vz586aqDRu&#10;7Dhp16atlC9bTgUKD7lt6zZaM5nfRzuRjqofqQlZPJd11lp1w6VmeLjUqOcsop5Ur5+OucfwOB5f&#10;M7yu1KxTR2o575OEKLzQOm4CQEi6phNCHhv0GiGMa9Zy74nnE86OcO8zKjLKeftR0jAqSt93+TJl&#10;n691N2nUWIYPGy5Tp06VKVOmyPjxE6Rzp85SxQkzoegWsbGy2H1fZ06f1trZv/7yy7Nv0jAMwwiG&#10;CXAIHjgPeOniJdK4YSPdbsMZuH369JHJkyfLypWrZNOmzSpIiCFbcmKaNpOpU6bK2nXrZcXKlbLI&#10;eYOcnTtt+nSZMHGijHY2dMokGTh1sgyYPkX6z5wq/WdNe7XNxKbq4wdOmSiDx42VIcNHyNAhQ2WY&#10;+3fEmDEyfPx4Geyu23+Gj+sF2MBpU2TopIkyYtw4GTdpkkydPsO937kyd948mb9ggUyfNl0nFIS7&#10;STTr1qWrrF61Wvbs2Su7nbEXeYIT4ciI+rombAJsGIbxepgAhyAwBB0RXk8PpJ/iBHbDhng5duy4&#10;XLx0WebPm6/FKIoXLiI9uvfQ/cDXbtyQa5/flKs3b8r5y5flxMlTcuBQsuxMTpaNx47IupQjsubU&#10;MVl95oSsOpf6ajuboo9bc/KYrDtxWDYk7dW9v4kbN8mmbdtl6549svngAYk/fsTf9QJs7cnjknA0&#10;WbYmJcm+I0fk2KlTcu7SJbl45YpcuXZdUtz7xsuvVrmKbr8a6QSfz/3F3XtqN9xnRJCZmBB+NwE2&#10;DMN4PUyAQxAowJH1IlRgqXy10YlfqhOna06kFi9arCFqEpT69Oqt3uGdu3flzr37cuf+l3mmElaF&#10;MmVlzKjR+rkf/Pmh2h33GA5noCylCbBhGMbrYwIcAhNgE2DDMIzMxAQ4BCbAJsCGYRiZiQlwCEyA&#10;TYANwzAyExPgEJgAmwAbhmFkJibAIXhdAebA+m3btsu1G5/L9c9vyvWbt+Ti1aty8vQZPV1orxPK&#10;7adSX1uANzwT4EQE+Nhh2bJ3r2zbuVN27N8vu5KTZceJY7L5DQV4qxPgXU6AD544ISlnz8qFy5fl&#10;0tVrcvX6DUk9dVrGjRuvWdDsBx7tBDglJVW+fPBntRcEuEBBad4sRhbOn6+nInE04V/+8pdn36Rh&#10;GIYRDBPgELyOAFOCsnPHTrJ27To54USKLTwpp045z/eEHDp8RPYnHZBdh533mnpcNp4/5QT4jBNM&#10;J65BhPEFu4I5L/gSInxKNqU4b/fAAdnuvN/tzvvdcfyoiujGc6deW4ATnABvcc/d4QR4n7NDx47J&#10;Ufd+jztvnc+wb3+S7jfm5CMEeOSIkXL8+Am567z7e867v3Pni+cCXMgJcEx0tMyeOUuOuM976+ZN&#10;rQdtGIZhhMYEOASvI8CEYNu0ai0LFy6S3bv3aCga2+X+v3PXbtmxc5fut9104qhsdN5swiUnwHi3&#10;QYQxqPFY95yNp07IVifk250Ibz3qvOGTJ2TTWTzqM85Tfo3rOeM5m50Abzt2VHYeOig7nUdNgQ2M&#10;956YuFGPWaTSF/uARwwbLkeOHJXbTngR4RcEmEpZDRvJ1MlTJGnffvfdXJOffvzp2TdpGIZhBMME&#10;OASvK8Atm7eQObPnyFYKZDjBZa2WcLFnm5IPyUYnmIlO+BLwVl9HgDEnsIlObDc7L3jrsSOy+eRx&#10;Fd+ngv7614u/eFY2nUmVLSnHn4q5E/Ute9173rNbtu7aJWvXb5CevXqp9+tHgBtFRsmEceNl546d&#10;cvnSJfnxhx+ffZOGYRhGMEyAQ/CmArxlxw7ZnLRPNh5JlsQTR/5jTnwTzp2UeLxfvNXXFWD3eNaC&#10;ExDd06mSyFoyP2s4GwEO8pxXmIa1z59SUd9IGDv1mCQePyIb3URhc9J+WbsxUXr2wQNOX4ApRRkV&#10;UV9GjRgpm5znfO7sWfn++++ffZOGYRhGMEyAQ/CmArzZeY+Ib/zZVA0b/8ecSHrC+5piqabPc8Y1&#10;ENzn13pmwZ7zKkt7Pd7fRSfop07IJvf+12zdLD379ZNy5cqnL8D58ktEWF0ZOniIrF+7Tk6dPCnf&#10;ffvts2/SMAzDCIYJcAjeXIB3y8ZjhyXeeadBhS8nmxPkhDOpsunYEVmzbYv07O8EuLx/AR4yaLCs&#10;W7PWBNgwDMMHJsAhMAE2ATYMw8hMTIBDYAJsAmwYhpGZmACHwATYBNgwDCMzMQEOgQmwCbBhGEZm&#10;YgIcAhNgE2DDMIzMxAQ4BCbAJsCGYRiZiQlwCEyATYANwzAyExPgEJgAmwAbhmFkJibAITABNgE2&#10;DMPITEyAQ2ACbAJsGIaRmZgAh8AE2ATYMAwjMzEBDoEJsAmwYRhGZmICHAITYBNgwzCMzMQEOAQm&#10;wCbAhmEYmYkJcAhMgE2ADcMwMhMT4BD8IQE+mizx50+poKVreiA+xiH7mWkBrxnK3OMSTqc4AT4s&#10;a7Y6AeZAfhNgwzCMTMEEOARvKsBbdu2STckHJfH0CUl0IoxtdLbpnLOzJ2VzgG3C28ROnZCNJ4/L&#10;xtTjkph6LMNt48kT+jqBr6127qltdO+N95ng/s/jNx85JGu2bH4qwOVMgA3DMDIDE+AQ/BEB3nzo&#10;gGxMOeaENUU2O9t2MkW2p56QHSnHnR37jx0/Ktudt7nt8CHZ6p6z5UCSbE7aL5v3Z6xtdRMCXueF&#10;11Zz78eJ/lYn/puZBGAnjsjmwwdNgA3DMDIZE+AQpCfAV58JcMO0Arxzp2w9sF+2HDsi25zI7XS2&#10;58Qx2Xv8mOw7dlRt/zPbd+Sw7Es+JHuTkmTPvn2ye88e2bV7t+zalTG2E3PX2+1EeG9y8vPX1dfG&#10;3AQA2+0MQd6aclS2HE2WrQeTZM2mjdKzb18nwOVUgIc7AT58+IgJsGEYRgZhAhyCVwlwSupJuXr1&#10;mixauOglAd7mBHiH82J3HT0i+04cl6SUE3IoNUUOn0yVo06Yjp069R9zPx93vz+ekvLUTmAn/rgd&#10;f2rHPHPXPZaa+uJrnzrp3k+qHHHeOe8vyXnoe51HvOtwsmx3gr02IUF69u4t5cuUfSrAQ4epAN+6&#10;fccE2DAMIwMwAQ5BKAFOfCbAV65cDSrA23fslD37k+SAE6vDTgyPpqRKihO8k2fOypnzF+TcxYty&#10;/tKl53bh0mW5dPmKXL5yRa44Ub967Zpcu379DxvX4XqX3fu86K4f+JrY2QsX5LS736fOnZWU06fd&#10;ROCkHHGTgCTnKe/as1fWrlsnPXv0lPJOfBHgYU6Ak5MPmwAbhmFkECbAIQgU4PrPBHj69BmSmLhR&#10;TjhRRYAXOgFu8EyA27RqLQsWLJR9+/arUKW4x5w6fUbOOOE974T3ohNaBPH6jc/lxuc3n9vnN2+p&#10;qN35gtDuPbl3/77c//LLP2xch+t9cfeeXp/XCXzda9dvyOWrV534X5YLblJw7tx5Oe3eK57zwUPJ&#10;6un37dNXKpQtJ+VKlX4uwDdv3dZrEopGgFuZABuGYbwRJsAhSCvA3eO6y7Rp0yU+IVEIFV92XuVC&#10;J7gNIqOk6GeFpFOHjrLGiQ/rw4iZiq0TuRtOcG8+F9m7Kl54kJ7du/9UML90r/fgz3+WPz986OxR&#10;BthDd72H7rp/dtd/8MJrYl/cvasievvOHbnlRPVzJ8q8XyYWTBgOHjykiVdVKlZ6JsBD5ZATZoSc&#10;z8HnWbd2nQmwYRjGG2ICHIJAAY4Irydx3eJkypSpsmFDvK6rXnIeLR4vAly8cBHp4QR665at6uEi&#10;bIgeAoghiA8ffaX26KvHIe2rx08y3IK9jmfee/JE2xNsJgXnL1yUyRMnSfUqVVWAhw4ZqqL8+c2b&#10;6q0j2ghwSxNgwzCMN8IEOAR/dt7oimXLJSa6qURF1FeBnewEeP36DXLs2HENKS+Yv+CpABcpKr17&#10;9pLdu/eoh4sni/g9+fqbXGePn3ytxkRihvP4a1Wv8YIAE75mgkEoeq0JsGEYxhtjAhwCBHjVipXS&#10;Mra5NGrQUNeAJ0+eogJ8NIgA9+nVW/bs2SOsu+JJ5lYBxhBgQucmwIZhGJmHCXAIHj58KGtXr5F2&#10;rdtI0ybRmhE8YcJEXec9fOSoXLh46akA1498KsC9e8vevfs0+YlwbqAAe17l6xjPf1MLdr30LFCA&#10;MYR2xvQZQQWY9V/+Xe2+nxbNWzwX4KEmwIZhGL4xAQ7BV48eSWJ8gvToFifNY2KkQ/sO0tt5uTNn&#10;zpJdu/fI2bPnZO7ceRqeLqEC3Ef27tunCVWeALPOyv9ZD2ZdVROgSMJKx1TgnAfKFqLXMfYmk0j1&#10;n8zqZ0lf6dh9997w2r21YQSZpKy0AkwS1pWrV+X8hQuaiDZ3zlyJbtRYBbhRZJRMGDtOdm7fIZcu&#10;XZIfvv/h2TdpGIZhBMMEOARPnjyR7du2y5BBg6RNq1bSLDpaGjVsKAMHDNRELLKdZ8+arXuEQwkw&#10;/yKACCLbfsgwJns6PWPrEuvM+/Yn6bYmv3bAeah45yecOJ4+fUazmUkWC/YagYZoI9ZewhjvPa0A&#10;sw0JAT7nrnko+bBs2rxZRo0aJfWc54sAN28WI/PdhCTFvfYXd76Qv/zlL8++ScMwDCMYJsAh+Obr&#10;r2W/E9TJEydKpw4dpH69elKuTBlp7cR44cKFKkbTpk6TiLrhT7Ogu/eQHc77I0uYNVK8Xf7FM2V/&#10;LcU7EFXqKadnhLLZh7tixUpZ7ox//Rjh8YSERNm6dZsmhB04cFCrVwV7jUA76SYTFy9e0u1S3ntn&#10;jXvK5ClSo1p1KesEeLCbiOxPOqDr37y32bPnuM/cXWpWry5FCn4mHdq2k/Vr18kNJ+aPHz+W33//&#10;/dk3aRiGYQTDBDgEP/30k1y4cEE2b9okE8ePl1YtWkjZ0qUlIjxcC1Qgvt26dJVK5StIgU8+1YpY&#10;I0eM0OpYSxcvkeXLlsli9+885xXiSU51j588abJu7UnPJnnmHs/Wp+nTpsvMGTNl5sxXmPv7tGnT&#10;nGhOlokTJqpNchbs+mmNzzJnzlxZtGixLHHvednSZRpe7tiuvZQuUVKKuQlGuzZt3WPm6NarUSNH&#10;SbeuXaV5bKzuka4fXk8/+37nhT9yHvSPP/4of/vb3559k4ZhGEYwTIBDgAf36OFDuXrliiQmJEjv&#10;nj2lQtmyUqFcOannvF4Ss2pWryGFChSUD959T0oULSa1a9bU05EaN2goTRo20uxpkrQQKfYS8zxC&#10;tulZk0aNpYMTP8LahLwJ/44aOVKFL5SNHDFSBvTvL106d5aWzZvrNaLq1w96/bSGgDaIqK/v13vv&#10;vO+K5crLpx9+JPndBCOsdh29dudOnaSx+zv7g+vWCZPYZs2kp/P+2TN94fx5DT3/9a9/lX/+85/P&#10;vknDMAwjGCbAIUBAEBIEhaze8WPHSq3q1aVksWJStFBhKZS/gHq+CNRH770v7//pHXnnv/5b7UMn&#10;yPk++lgKfPqps3xS8JnxnEIFCkhhJ9qvskpO+Bo3auS8zG7Sr29fDf+OGD5cvcxQxt97uUlCCye+&#10;devUkcoVKkqp4iWCXj+tfebeF+8v/8efyMcffCjv/c+f5E//97/0M338/gf6GEpS1qldW2pUq6ZZ&#10;35+4z12tcmXp6kR59uzZGq7/8v59+de//vXsGzQMwzBehQlwCBCSv//97+oJX79+XVavWiW9evSQ&#10;hlFR6gUXzJdfBa5G1WpS1wkT66SfOPFCxEhcat+mrXqGvXr0lD49e8mAvv10n+zwoUNlxLBhrzRC&#10;xwvmz5e1a9ZKfHy8hsG3bd36Stu6ZYtsWL9elixeLDNnzJBJEyfK2NGjg14/rQ0eOEj69u4tcV27&#10;alY3a9qIL58JTzi2WYzzehuqF8+aMGJcpmRJaRETI9OmTFHxJVLw7bffyr///e9n36BhGIbxKkyA&#10;Q4CQIMJ4wuwJTj50SBYvWqSh6Do1a6nQVq1UWdq2bq3CjFCRjISHTKh2xbJlsmPHDtm9a5cK1OHk&#10;ZElNTZXz58/r2vKr7Mrly3Ljxg35ggMa7t6Ve/fuyZfUi07HePytmzflGichXb4iFy9eDHr9tJaS&#10;kiIHkg7Ils2bZejgIerp4wnzmZgwTJ40SbrHxWnRkdo1auoEI6xWbZ1UIPz3nef7ww8/aMTABNgw&#10;DMMfJsA++P777+XypUsqpoSi8RJZF2XtFA9y7uzZ0rlDR01Yqui8w1EjRqqoIUwPHjyQr776Sq/x&#10;22+/5UiB+vXXX+Xrr7+WW7duyULneTeMjNQJRvu27WTF8uWyxYnsuLHjpEVsc4l0n5114hYxsTJ1&#10;0mRJdZ8T4TUMwzBeDxNgH5DVe+P6dTl08KCGXBs1aKAhaEKwixYulF07d8qwIUOkcoUKmhU9cfwE&#10;FezvvvtOhZeMakSOkHZOFGAyln/++WfdPkT5zehGjfTzEULfuWOneu6LFy3WrVZtW7fRyUbvHj1l&#10;ycJFcv7cect4NgzDeANMgH2AgN6+fVtSTpyQObNmqUCRUNW1U2f1ihHn2TNnaWiW4/uoofzFnTsq&#10;uJ4RyiaknRMFmPf1j3/8Q3755RdJ2BCvB1Dw+VizPunEF09+69atMnrUaOnXt5+Gqal6RaWw69eu&#10;mQAbhmG8ASbAPiAT+u4XX2g29Lw5c6Vpkya63tvLeYRHDh/WgxuWLFqkyVhkBs+eOVMefPnls2fn&#10;HhDSTRs3alWrwgULysjhw+XSxYsant63b59MmjTJefpDZdyYsTrJYP335uef6wTDMAzDeD1MgH1g&#10;AmwCbBiGkdGYAPvABNgE2DAMI6MxAfaBCbAJsGEYRkZjAuwDE2ATYMMwjIzGBNgHJsAmwIZhGBmN&#10;CbAPTIBNgA3DMDIaE2AfmACbABuGYWQ0JsA+MAE2ATYMw8hoTIB9YAJsAmwYhpHRmAD7wATYBNgw&#10;DCOjMQH2gQmwCbBhGEZGYwLsAxNgE2DDMIyMxgTYBybAJsCGYRgZjQmwD0yATYANwzAyGhNgH5gA&#10;mwAbhmFkNCbAPjABNgE2DMPIaEyAfWACbAJsGIaR0ZgA+8AE2ATYMAwjozEB9oEJsAmwYRhGRmMC&#10;7AMTYBNgwzCMjMYE2AcmwCbAhmEYGY0JsA9MgE2ADcMwMhoTYB+YAJsAG4ZhZDQmwD4wATYBNgzD&#10;yGhMgH1gAmwCbBiGkdGYAPvABNgE2DAMI6MxAfaBCbAJsGEYRkZjAuwDE2ATYMMwjIzGBNgHJsAm&#10;wIZhGBmNCbAPTIBNgA3DMDIaE2AfmACbABuGYWQ0JsA+MAE2ATYMw8hoTIB9kJkC/O9//1vtX//6&#10;l/zjH/9QMfvrX/8qv//+u/z6669qv/zyiy/79Zdf5bffftPnIqZc65///Kdem9dIDxNgwzCMrMME&#10;2AeZJcCBwovQPn78WG7fuiUXzl+QY0ePyt69e2XH9u2yZfNm2ZiYmK7t2LZdDh44ICkpKXL58mW5&#10;e/euiufPP/+s4poeJsCGYRhZhwmwDzJLgBFfPFSE75tvvpHLly7JPie6K1eslMmTJkvfPn2la+fO&#10;0qZVa4l1opiedenUyQnkEJk5Y4Zs2LBBDicny/Xr1+XRo0cq8OlhAmwYhpF1mAD7IKMF2As74/ly&#10;bcT3xo0bsnfPHlm0cKEMGzpU2rZuI3Vq1ZYK5cpLiSJFpWC+fK+0z/Lll4rlyknDqAbStUsXGTtm&#10;jCxfvlyF88KFC+pd//X331UsEf5gmAAbhmFkHSbAPshoAfbCzlz39u3bGm5OTEiQuXPmyHAnvj17&#10;9JAO7dtLjBPCJo0bS6MGDaRB/ch0jfeFcHfr0lV69+wl/fv1k9EjR8maVavlxPHjcu/ePfn2229D&#10;hqNNgA3DMLIOE2AfZLQAI74kWiGGR44ckYULFsjwYcNUeNu1aSPt2rZVL7ZXr17Sr29fGTRwoAwd&#10;MkTDy6GMvw8aMED69+0nPd37atWipdSrGy5htWpJvz59ZNXKlZKakqKfI1Q42gTYMAwj6zAB9kFG&#10;CjChZ7KUf/rpJ/nCXZPkqcGDBknLFi2kWdOm0rhhQ13Pbd+unfTo3l3Fd9TIkTJxwgSZ7AQwmE2a&#10;OFH/PsIJZp9evaVju/bqEVcsV15KFisuzaKbqpiuXbNGTp86Jd9///3zMHggJsCGYRhZhwmwDzJS&#10;gAk///DDD3L//n056a63cOFC6dypszSMipImjRqrCEc3biINIqOkfng9FU/C0XjHvZ249undW5Oz&#10;POPnXj17Sve4OGnftp1eI6xWbbV6detKVER9936j1SPGQ968aZP8+cGD52vBgSJsAmwYhpF1mAD7&#10;ICMFmPDzV199JRedsO3cuVMmjB8vTaOjpVaNmiq6LZu30ESqyhUqymf5C0iZkqU0GSvavWZMs2a6&#10;Ltw8tvlzi42JcX+LlkbOc65ds5Y+nudVrVTZ/T1WunXtqqJcqXwFCa9dR2bPmiWfO9EkBM57MQE2&#10;DMPIHkyAfZCRAoxYkQx17NgxWbNmjYaXEdLwsLpSv16EinDNatWlWKHC8t7//EmKFS4iYU44WzRv&#10;Lh07dJC4bnHO4+0lPZ3X28O9fqeOnZyAN5W6YWFSoXx5KVKokHz60ccq4AhwnPOMIyMi9P2WLVVa&#10;s6MvXrige4MJhQdmRJsAG4ZhZB0mwD7IaAFmy9GuXbtk3rx5MmrUKBVV1n1JmsJTRXQ//fAjFeBy&#10;pctITNOmMnDAQJk4caLMnz9f9wkvX7ZclixZIuwX7tK5iwpw+bLlpHiRok48P1MBxpNmbblm9epS&#10;MF9+Keu841HDR0hqSqqKKp/LBNgwDCN7MAH2QUYKMCJ36dIl2bB+g0ycMFHGjB6t+37Jeg6vEyYF&#10;P80n7//pHXn3v/9HBbh6laoS17Wrho4T4uP19c6fPy9nzpyR1NRUTeIaOniIijcCXNqJbMniJaSS&#10;E2A850jnVVdwv8/nvOJS7vdDBw+W5EOH5MGDB7oWTSEQDxNgwzCMrMME2AcZKcCsvZ4/d15WrVwl&#10;o0eN1pDwuLFjdc9uk4aNVCSLFiqs/5LF3K51G5k+dZquFyO4rN8iniRxkUXN71YsX+E85AHSPCbW&#10;ebs11IMuUay4lC9T1gkxHnVh+ei99/WaQwYNkkMHD8qX7v2ZABuGYWQfJsA+yGgBxntdtnSZDB82&#10;3AnwWN1KNHLECGnftq1mL9epVUsaOzGmqMbkiZNklxNfhA7hZe8wW5h+/PFH3U7EevJJJ8LUi0bI&#10;oxs31nAzHi/e9Gf588snz8LZJsCGYRg5BxNgH2S4AJ8+I4vc4wcPGqyiOX3aNJk0YYL07tlTmkU/&#10;3TJEJatxY8c5Qdyk9ZwRR9Zrva1DGP8nkeq7775TISYc3aFde10//tP//S+1d/7rv5//3wTYMAwj&#10;52AC7IPMFeBxMmP6dOfpTpQ+vXpJbLNm6glT2WrO7Dmyd89euXPnzgtCGQhbiahshWeMp8zhDYEC&#10;HGgmwIZhGDkHE2AfZLUAd+rYUdeGV65YIYfd9RHLwGzlQPg9Ash5wAeSkqR7t24afjYBNgzDyNmY&#10;APsgqwW4W5cuMmXyZA0p85ocJxhKgD3whI8eOSK9e/SUfB9/YgJsGIaRwzEB9oEJsAmwYRhGRmMC&#10;7AMTYBNgwzCMjMYE2AcmwCbAhmEYGY0JsA9MgE2ADcMwMhoTYB+YAJsAG4ZhZDQmwD4wATYBNgzD&#10;yGhMgH1gAmwCbBiGkdGYAPvABNgE2DAMI6MxAfaBCbAJsGEYRkZjAuwDE2ATYMMwjIzGBNgHJsAm&#10;wIZhGBmNCbAPTIBNgA3DMDIaE2AfmACbABuGYWQ0JsA+MAE2ATYMw8hoTIB9YAJsAmwYhpHRmAD7&#10;wATYBNgwDCOjMQH2gQmwCbBhGEZGYwLsAxNgE2DDMIyMxgTYBybAJsCGYRgZjQmwD0yATYANwzAy&#10;GhNgH5gAmwAbhmFkNCbAPjABNgE2DMPIaEyAfWACbAJsGIaR0ZgA+8AE2ATYMAwjozEB9oEJsAmw&#10;YRhGRmMC7AMTYBNgwzCMjMYE2AcmwCbAhmEYGY0JsA9MgE2ADcMwMhoTYB+YAJsAG4ZhZDQmwD4w&#10;ATYBNgzDyGhMgH1gAmwCbBiGkdGYAPvABNgE2DAMI6MxAfaBCbAJsGEYRkZjAuwDE2ATYMMwjIzG&#10;BNgHJsAmwIZhGBmNCbAPTIBNgI3cy7///e+XjP6U1ugLwYy+lREW7NpYsPcS7D0beQ8TYB+YAJsA&#10;G7kXxIt2Tjv97bff5KeffpLvvvtO2/VXX30lf37wQO7fuy937tyR27dvP7cbN25o+z975ozrs6f/&#10;sF28cEGuXr0qn9/4XG7dvKmvccfZF25suXfvno4jT5480ff2448/6rjD++V9B/ZTI+9gAuwDE2AT&#10;YCP3Qhunbf/666/y7bffat/83LXby5cuqTCeOHZcDh04KHt275GdO3ao7di+QxLj42XZkiUya8YM&#10;196n/SHjGosXLpS1q9dov96yeYts37Zddu/cJfv27pODSQfkxPHjcuH8eX1v950gf+X6PWL8yy+/&#10;WB/Lo5gA+8AE2ATYyFnQH2i7tHvaH233999/V0Nof3WiRb/FaOe04YcPH6q4nXEebbLrA7t27pSN&#10;CYmyeuUqWbRgocycPkP7HTbZtfXhQ4dJXJeurj80k2auz/8Ri23aTDp37CgD+vVz/WqE9qFJEybK&#10;9KnT3HgxSxbOXyBrVq2W7Vu3af9MTU2Vi67v3XSe8gPnoTNx+Pnnn/Xz/PqL+3zuM+Id83kZU/j8&#10;/8BT/sfTkLaFrnMHJsA+MAE2ATZyFvQjwrRPHj+WL+/fd+3wpnq0p51He+zoUTmQlCS7d+2Sba6N&#10;IrLr1q6VlStWyMIFC9QjnTBunLbvwQMGSt9evVVoO7ZrL+3btFVr17qNxEQ3lYi64VK1UiWpUqHi&#10;H7KqFSvp+NAoqoHr4zHSMra5tG3VWjq41+rUoaPr8131fdC/eG/TpkyRObNmyyLnNa9YtlzfP32T&#10;ScOB/fvlqPuMJ51Inzt7Tq5dvaqhbMYhhJrxSgXZjQnpjRtG9mIC7AMTYBNgI2fxF+cNsnbLmmrK&#10;iROyZ/du2bB+vYZ5p2g7HaL9CVFt3aKl80CbSpOGjaRh/UgV1bBataVW9RpSo2o1J7CVpXL5ClK+&#10;TFkpX7qMWjln9JdihQpLwU/zZYgV/ayQlChaVEqXKCllS5bS1+C1KpQtp69fzb2PmtWq63urF1ZX&#10;IutFSAP3fhs3aCjRjRrr5+jRLU4/26QJE2Tu7DmycvkK2bxxk4awWau+5SYirCPjIdOfA/u3kfMw&#10;AfaBCbAJsJG5ECqljdMeaU/0E0SEvveT83Rpq3h3tEUSp0iQQnjxCFevWqXh4xHDhkv3rt003Bte&#10;p45UKldeRS/fRx/LR++9L+/9z5/k3f/+n5fsnf/671dasL70phbs+oEW7P2969437/3TDz9S4Wac&#10;iYmOlk7tO0i/Pn1lvBtDFs6bLwkb4iVp337nFZ/VBC/6+GP3XfG9PU/q+vU3/W75jvmuzUPOXkyA&#10;fWACbAJsZC4IMO0I0aVdPnR9irZ13o1JJ5zQElLevm2brF+3TpYsXqxJTbTDwQMHSo+4OA0b0y/x&#10;HPEkS5cooX30kw8+lA/eeVeFLFifyE32/p/ekc/y5ZcyzoMmpB1Wq5Z6yC1iYqVzh45u/OgtI4YO&#10;c2PJJPWOly9ZKhvc97Vj23Y5kpys3yXZ148ePlJB9jKsbZ04+zAB9oEJsAmwkbnQvhGE77//XpOO&#10;yAZO2p8k8Rs2yML583VdtF+fPtKmZSsV2ZrVnoaO8XLLlSotJYsV13BxofwFJL9r/57w4jniWQbr&#10;D7nN+Bzvv/OOfPzBB+rVI8aFCxSU4kWehrUJoVcqX0GqV6mi4kzYmonJgL79dN17w7r1cvDAAe3T&#10;jFn0f5K4TICzDxNgH5gAmwAbGQdtDrElq/f7777TNUvP4yVDGZFAePHiyBjuEdddWjZvLnXr1FGh&#10;xRMM1r7/iOEhI9gfvvuehqs/fv8DFXHPELwCn3wqBZ3oIfIIX2E3BgQ19zcew7pvfvecTz/66IVr&#10;cW1eg9fKLO+ciQevT8i6Xp0w6di2nXrH8+fOlcSEBDl06JAbh07L9WvXdQ80Yf3vnmVa//brr9qn&#10;GXMwE+jMwwTYBybAJsBGxkGYmTDo9WvXNJM3af9+2bxpkyxdvES3/wweOEi6d+um3i6JU+FOQOhX&#10;hJURwXcyWLDwLBFGRLOE8yZLOZF/miRV+rlVqVhJ6tSspYlRDSOjniZGNW4S1Pgbj6nvHlu7Rk2p&#10;XKHiC9cqU7KkvkbxwkX0NRHkjPbSuR7X9ULWtapV1/dF5jWJXEPcd0xUgUnOqhUrZef2HbqmjiAz&#10;nlGshLGKccUEOPMwAfaBCbAJsJFx0O6uXrmqCUNrVq2SqVOmSP++/aRVixYqWHi5JE/hSeLF4X0i&#10;kHiMeHbB2vYfMa6JEBLKrl65insPNaReWJjUDw9/avXqPU96YqvQwH79ZdjgITJy2PCgNtT9bYB7&#10;DGuyZGGzD/j5tZzhkdauXkPXqhF6PmNmfC48a67L90YCF6/Dd1q0UGH9jnn9qIgIFWUiDWx3YjLE&#10;/mOStygAwniV3thjvDkmwD4wATYBNvxDW6Vd0S4IaX795Incv39fi2BcunBRkg8dkvVr12kRCpKo&#10;OrZvLw0iI52nWEE9ttf1Bnn8c7F57z9iU+Szz6Rk0WIqrGzzQVzxBOs4kSeczXak+uH1pFGDBrrF&#10;p1vnzk5ge6nA0k/Y7uMZ3iIFM5YuWaoe47o1ayV+/Yagttb9baV7DB79LDcWjB879oVrce2B/fpJ&#10;n569pGunztKqeQvdH8x7iahb140jdfQ9siWJ98y6rq5zu89S7JnXnP+TT17I7H4TD5pJDevmJHQ1&#10;b9rs2VrxdK3WtW/PXklNSXH9/5LcunVLlwhYn2fNmPsaOG4Yb44JsA9MgE2ADf/QpmhL9BvqHJ86&#10;eUrLO+JhkaE7qP8A6dKxk24XQgRrVKmqAkObQ1SCtd1XGeLDujAhV/olXiXChbfJa3Tq0EH71ohh&#10;w1QMp7q+RR9dMG++LHOCSgUqtvBQtIP3SQGPvXv2yP69e59b8sFDcvzYcTl96rScPXtWzp8/Lxfd&#10;ZCKY8bezZ87qY48fO6b9LfBaXJvXIOxLH0rYsEG3Ui1dskTmz5sns2fMlCmTJms/Gz50qPTu2VMn&#10;KYwNZD3XqVlTRRkx5jPz2d9EgFl/ZrLCd8b1SG7Til0dOmrC29jRY9x4N0czzw8cOKB7rr1CH9bn&#10;MwYTYB+YAJsAG6+GdULPaOP0mW++/saJ0CkVt4njJ6iI4NUVL1JEPd2PnQeG4Gq2shMRTUbyKSQI&#10;jmdeiLVQgQJSsWw5CXceJOUjWescNXyEVpRCRPY58aPuM+Pc9evX9QAE2jZbcrwyj79gv/zyknml&#10;HzGv5OVff/9rUPP+7j2e5wa7Jq+H8dpa1evJE7l7965cu3ZNRR7xRqzxthlTRo8YqWHt9m3bSsOo&#10;KKlSsaJ6w3iyfIeB30mw7yyY8Vi+d0T8Q3cvuBb3hvVpQtQUMGFcQoj379+v39k333yj758x6d+Y&#10;rRG/MSbAPjABNgE2XiZtqJl1wzu37+h+08PJyc6j3Crz587TNVHWGanwxNru667lep4aYkPyEiKL&#10;kOOxkVjUPCZWRYkiHIP695cxo0a59jlND1JIjE9Q4SWcqiUb79zRcCoiwnumzecEAfEmLiQ/feP6&#10;G2MK7/XK5SuaHIUQU1KTcprz5s7VSlj0ZT5z+zZttM8SxiaiQPiasDJbk/jO+O74DoN9t8EMMWZi&#10;xHoxyWcsD1Cqc6J7zTWr16j3znvi+2RpgdA0Ew3aQXrjlPEiJsA+MAE2ATZexgs14+HRB/DaON2H&#10;QhljRo6Sbp06a1tCKAlx4lURMkV8/XppPJbMZ7KT8cjILm7Xpq2GSAkns62GwxTIokak2MJEPzjp&#10;BJe9xHiTTArYW4ywIRYIL++ZvhjY/rMTBJg+zHvivf0ccGTigy8faGUrPgsJUpScpDgJ/Xjv7j3a&#10;Z1mXRpgnjB+vfbxb5y66D5jvjO+OvdF+Jz3cGx7LvUKEyT4npN+gfn1pFdtc+vftq7Wq165ZoxMt&#10;1oj5XnnffAbDPybAPjABNgE2noJQ0BY9sUDMWBekndAepk2ZqoN/nVq1VDhfZ42Sx3ghUQQAr40M&#10;aDw5kqdio5tq4tKUiZN03TYpKUkuX76sbRnPkbaM/Qtz7zHQeN+hLKcQ7L15lvbzYN7npR/jiV66&#10;dEkT3PCUGadIJuM7q1m1mkYOPE+Y+8H3+zrJW4H3hhrW0Y0bqxATZeDwCy80jSdM2+D98b6NV2MC&#10;7AMTYBPgtxkGUtoJ95m1P0LNt27e0nbMthXCvKwRkuHboW07zeZl7ymh5vTElwHdW8OlT5UtVVoP&#10;SGgQ4byt5i0krmtXPbFogusn813fW+e8rl3OyyYhiqQg+p6Xnfu2gujhLXM4Bft4T506paU7ycjm&#10;Oxvv+uvA/gN0XCHbG8+YqASnNBGV8ITZrxiz1k5ounHDhloGlPV9EuwoeUlo+sb16/LVo6/UI6bN&#10;BI4xxouYAPvABNgE+G0GAeYeM9Dj7XLs3949ezWDePTIUdKxfQddi2XtsUKZspqdi+fqeVnB2qJn&#10;CDSPZTsMYU6uw9acsaNHy7KlS7X+M2Fl+gFbYj6/cUMTlSjkgejQNxFf2v/bCp+de0M0gu/ksR7R&#10;+KWeJcx3RrETBHnb1q26hsz2LwpxsC7PPeO75x5wL4Ldo7TGhKlgvny6LYoiI4x7HLFIdvtcNz5y&#10;zy5cuKDvhXtD2zFvODgmwD4wATYBftsI9HoZRPEyaYd4nZxARGYx4WC2xXjbYdJbY3znv5+uLeJt&#10;8XjaKc+lnjOnF+Gd4anNmjHTicW2pwUhnJgQXn6bBfaPwj3kO6Tc5NUrV9yE5qCsW7tOJo4br8VF&#10;yBqvVL68rhWzbKAe8buvV0cbAadSWOeOnXQLFfePYiskvH337XcaOfnbX/8m/3T30cT4P5gA+8AE&#10;2AT4bYP2RgiRA+9v37olJ44fFxKdyGoePnSYer1REfU1I5kEH0T1Vd4uf/M8XQZ7Bv1mTaJ1vZjQ&#10;9UzXB5YvW6Zn2x5IOqAJVCROeaf2WBjzzWFs4F7yXT58+FCPcsQrJpuZBDa++6dbnHpJu9Zt9L5y&#10;j4oWKqRi7EeE2cLEWj1FRCghOmjAQB0HCYM/PQDi0vO1ehPg/2AC7AMTYBPgtw3aG8X5CfkeST6s&#10;VZ2olNS0cRP1dLRwRoGCOkD7SbLiMbq31PWPpo0ba99h7ZBkKgboa85b+uL2HU0mwlPD41avybVJ&#10;2mh67d8IDd8d3yHfpSfE337zjXqnFErhu2fP8fatW3UcozpZs+hoqVqpkopwepENjPtPVIM9xKXd&#10;OMN9phAKEywS8zZv2uzGvdN6b+1e/gcTYB+YAJsA52XwSLxB2gs3Mzjjhe7euVMWL1go/fv01eQq&#10;b73wVYMy3i4hzMADDkj4YZ9q5w4dtCIVRwwSpmRQ5rWsDWUfjB2s7XNWMEJMVa5RI0ZIp/btpXGD&#10;BnrsI94tpT2596wBpxftICLC5Ix1fRLzxrtxbsP69ep5s62K1wtM0npbvWITYB+YAJsA52VoW9xD&#10;xPfRw4cqiiTsUKqRUogd2rVX8aXEozcAv8rjxROi4Abh6Yb1I3UgHzp4sIY6165erWvIx48ek8uX&#10;LutReD+maYdG1sL9Z4yjn1P8g+plhKfZ50tpzInjx+t6f0x0U6nqxrcSRYvKJ05cg917zzwRJupB&#10;0RRKXDKJmzV9hmxMSNB9zGxdInGMdve23n8TYB+YAJsA52VoW7RLBkOSdPBUWJfldCIGT8SUdV6E&#10;109iDmFI1hAbRkbKgL59ZfHCRVrc/9yZs05w76n3Q9ujX/3+29Ms2fTat5F58N0zfvzNtQHW21mn&#10;5R6xrYn1YgqsMC6MHTNGmsfE6DYxxodg994z2gjG0gNizXIFRUFYfuDAi+VLl8ppN9EjyY52wOu/&#10;jZgA+8AE2AQ4r+GJLuus1CBmoGUPJzWTCRFzhB5rgIXcwPkqwfWymjmonjBl9SpVdJ8pbZgw5srl&#10;y7U4BCchkdDFaxq5A/o1kzIKbLAcwXg0yY1TvXr00PZRrXIVjYowFhJuflVkhN8zMWObGkcgchrU&#10;imXL3Fh0SMcYxlDGIyYAb9NkzATYBybAJsB5DbaDEPrFy+HknoT4eF2nI2mmUVSUVCxXTtf8CCcH&#10;a0sYYUb+ztYVvJs2LVuqeM+dPVvinRd9YP9+LZt45/ZtbUMM5tZWcg+MDd4kjexp9n8nJyfr4Rpz&#10;3D0e7saCju3a6RGKZUuV0vX+V+0lpr40IsxjI+tF6BYo9pGvWrFSE/1uXL+hk8G3yRs2AfaBCbAJ&#10;cF6ARBcv4Yp1N9ote223bN6sBybQfkmyCtxW9CqPBo+HQZeqV6zx0Yapx0zI8sv791VwSbShzdNG&#10;aGtvk3eT2wlsL9w/vFPGQpYRyBOg7jfr+pyjjAiXK11aPeFQ7YbfeWvDtDHWh8Nq1tLjFsmyZ1xi&#10;yxttxmsr3nvA8iImwD4wATYBzgswiLG+9/DPD+Xa1WtaRpIQMUf2sSeXbGXvkPdg7Qfjb0+9mNK6&#10;HYm20rN7d5kxdZpuY6FQB1nNiK+RN6ENETm5cvmy7Nm9W8c+lhs445nCLGS8M5F7VbY07Yi2Rpvj&#10;gA2SvDgHeaubDJ47e07u3b2rlbTy+sTNBNgHJsAmwHkB2hBbQFJTUiUxIVEmT5io24KoC+x5L+kl&#10;WRFyrly+gnq8A/r1d/1hjh4sfzL1pLYF1gsZoGnnRt6Ee/vTjz/K10+e6ElIHD/JcgNlLqk7jRDX&#10;rVVbJ2qhRJg2RlujzbFvmMM2qP1N8h9j6X433rAHnbGX1wscp/ISJsA+MAE2Ac5tBIbuaBu0O9ox&#10;3gVZzqy9cZ8Z/Fi3U6/3v15uM4Fhw48/+EBKFC3m2n+0tgOqKCHmZMxy/UBvhYPajbwJ9xfjXntt&#10;C2+VsYItZpQS7dyxox7YQPYzW9doY6G8YX7P39nexNpw927dNI/goBunWHtmnGLJJLBN5xVMgH1g&#10;AmwCnNugvXBfuKdkH3OWLG11xfLlut7LPa5epark/+TToG0FY1DEQ6Gt81jC1GTAchYsJyBxItHd&#10;L+7q4Gi83Xg5BU8P6tijW89oZ+3atNH14TIlnyZpffjee0HbGoZQly9dxj0+XLp37abj4rYtW3W9&#10;GSGmPTPOpTcW5iZMgH1gAmwCnNvgvtLWSGhhXZZ7NcXdvx7d4rTWL54vIUI822BtBfMKapDhjEeD&#10;Z7Nj+w45cfyEXL9+Xdsl4eZ/2P1/62H8YZykxCVjJduW2H7GiVkD+vWThs8y68mYD9bWMCZ8JGex&#10;fkxIukVMrJ5pvGbVKk0WpC0zRpkAv2VklwAnOgFmbyb1cclApAHyXkhw4V9+5veep8N74T3l+/jj&#10;oA3cBDhv44XnGKBoF6zHUm0Ij4T9my1iY7WwBmHBUOu8hAMprM9ASHZzWK1a0qZFS3e/p8nh5GRt&#10;615IkNfJayFB480IbHuMB4xNlDQlI55EPw7vZ9ykQAtRFy/ZL1g75He0PyaJZEkPGzxYjzj84s4d&#10;3abEtiheg7Ert4uxCbAPsk2AExJ00Lty5YoKJud7cs7mafd8/sWzoZg6Asl7ZMbZM667hnLSNmrM&#10;BDhvw2CEJ8J9JGSXmpKip9FMGDdO2rdpq0UyWMN9VRnBwDBgx3btZdSIkbJ08WJJ2rdfi2nQZhB3&#10;XscwgsGYwphAO8F5OH78uMRv2KDHFHbvFqflSTlH2Ns3HGxtmOStgp/mk1LFikuzxk20lOnypcvk&#10;YNIBTfxC3BH5wPErN2IC7IPsFGCyAfGCmUkmucaXkJAoq1atdv8myM4dO3UdjgZJEgSHbtPATYDf&#10;TriXtC88BCZtq1asdG20ux5yT+Yy4T/CyppwFaR9YJzPy7aQvr37yIJ587T9MfHjFBvCzbSRvLYO&#10;Z2QsnidMO6EtMn7gvXoh6aFu3GOM4UQt2iMinNYT5md+z985+L9Glaoakp4+dapzSg7r+IUI5/ax&#10;xwTYB1khwIQIezsBbta0qbRv104rClEIfaUbRJk9bnTCuHjRYieCk2XkyFHu8ZNk9qzZsmb1GifM&#10;SXL+/HlZu2attG3VWk+hCWzMnpkA5z0Y7Dyv92cnkJyhe+3Zmi9eQ50aNXUACzUpw1gHRpzZkxkZ&#10;Xk+L5i9xbY12cvfuXb2/XojRM8NIj8D2Qhvi4A0O4VjrxqyRw4brVjYypWl3H7sxC084WEgaISZk&#10;TTvu1KGDLFm8WPNdiMhwtCJtP7d6wibAPsgKAZ44YYL07NFDmjRqpNdv17at9HTX79+3nz5u6JBh&#10;0q/fAInr1l06d+4q3eN6SJ/efd3vh7rnTpI5s+fIwP4D3Huoo+GbtI0YMwHOe+BpEIojAsJxcnt2&#10;75F5c+eqiDZp2EhDeIhrsDbhbf9gTZh2w7FxY0aN1gHymBsob35+U7cY5dbBzcg50IZoo3du35FT&#10;qSdl86ZNMmfWLB3fot2Yx9hExn2wpEDPGy7waT5tp107ddZM/J07djyP/tEHcmNUxgTYB1klwN3j&#10;4qRhgwYSVqeO1KlVW2rXrOX+rSPhYfUkIry+1I+IksjIBhIV1UgaRDVUa9igkTRpHC3RTaIlzD22&#10;eJFiIUOMJsB5D7xfQnGstR07elSmuoGJAY3CGgirVwghlGdBiK9C2XJaPGG+a9t7nYCzlYRsVgY1&#10;z/s1jD8C4khb+u1Zctbt27f12EOW2QYPHCR1atbU9kp7DNZWPREmc5/kwKaNm8j0adP0WMNgY1lu&#10;wQTYB1khwBPGj5duXbtKZP36UqNaNalYvqIbRMtK+TLlpVKFSlKlUlWpXq2m1KoVJmFh4VKnTl2p&#10;XTtMajvRrVWzttSoXlPKlSkrBfMVkHeCJDVgJsB5AwQR4SXJhcGMZDzKSi6Yv0A6d+ioJ9SEKimp&#10;Wc5OlPGKy5UuI2GuzeL5UtN3/959Gr5+8viJ3VMj06DtEjomUfDMmTOycvkK6de7j0ZsKGPpRWzS&#10;JmchwrRp2jZnTXNwCOHogwcOyI3r1/WaZOdz/dwyaTQB9kFWCXDXLl0kol49qValilQsV0HKIsBl&#10;K0jlSlVUfGvWrOMEFwGu5wTYiXDt/4hwzRq13WPLy2f5C7zUcD0zAc4b4E0gvhp2vnVLdmzbLpMm&#10;TJD2bdtK7Ro11UsItcUDDwNPgwGsZWxzdz+HaCF8BJxBDPFlm1tu9CaM3AFti/aLYDIOMa5yIMi0&#10;KVN1MlixXHnNkEZo07ZfzxNmfAqrVVs6tu+gCatU4GJHCH3Cq5qVGzAB9kFWCPD4ceO02EF4WJhU&#10;rlhRxbRMqbJSoVxFqVa1hoqtiq4zBFjt2c9Ybff3Cs5r5vxWE+C8DfeMwYuwc2pqqrYfMp0LuzZJ&#10;slWo+4+xtYNtRlH1InSL0bat2+Ty5cvahslYxXtA4C3sbGQWtC3aGMaYQ3Y9+3uPHj2qu0EoFEOG&#10;NJ5wsDaMMcGkrVMoJiY6Wo9HxJtmXON6XDs3YALsg6wX4EpOePGAy0mlilXUuw0Pry/16kWGtPDw&#10;CH1s4YKFTIDzIGnDzmwz4iSa+XPnaSiucoUK6jHgHaS977QH/ob44iF3cJ7y2FGjdY8wfZ6KVgi6&#10;3Ucjq/FEmHZNEuG2rVtlghsTyUkgI9+r2JY2idDzhGnX1SpX0frRixYslH1798n1a9d1bOOa9Jmc&#10;jAmwD7JagKtUqqxrwOr9Vqmu3m5kZENNvgpl/L1a1epSpFBhedeSsPIcCDADClnJhNp27dwlE8eN&#10;1xNkalWvrt4vQhss7MwgRdiZNV8OQecEI/aMX7xwQcWXkLNX2cowshLaNWMQYwjh4xs3buhWpVUr&#10;VrrxcZA0btBAi3aQAZ22XdPWafN4wRyN2aZlK+dBT9LKb1SAo6/k9HC0CbAPskOASbyqWL6S1KhW&#10;U+o577dhwybSqFF0SOPvJGIVLVTEBDgPgjgSWiPsTPYo7bBZdLSG6RDYV4WdeQxh5/rOo5g4frxu&#10;MeJanofAAOWZYWQ1ge0PY0wiGXDt6tVawrJRVAMpWax40MklFhjhoVjHwgULtHARYxyTS/pOTm3b&#10;JsA+yGoBrlq5ilSuiAhXlprVa0lEvUgV2caNm4Y0/l6zRi0pVriobUPKQzBwIJLM5CmKQbIUAwyH&#10;4OP5hqokRBvgb4hv7eo11POdNH6C3rMb12+o+HK/A++/YeQEEMyHbkw9cfy4rF2zRkYMGy4x0U11&#10;XbhQgQIv7RX2wtG091qurfeIi9Nxevfu3XpoSE4OR5sA+8AE2AQ4u+D+0GaYyeP5Uh2NTFEOPC9e&#10;uEjIbGcGKTJJ2ZLUvk0b127n6D5hDjknNMdgxLUt7GzkNJh0MuayTQlPmL3CjDuNGzaUSuUrBK3q&#10;Rh+gL3CSUs2q1fTgEWpPs9TCWEfeBONbTsME2AdZHoKuWMk1NELQFXX7UXjdCGkQ1UgaNGgc0lgH&#10;rl6txtM14P82Ac7NeKE4xNFb92VNi7NR+/bqrVuIgiWmYN5AxN/ZU9koMkrGjR6jAxGJVjnVEzCM&#10;YDAmcbThyhUr9FhDKgVS3U33CQdxNLxwNOvCTFTZJ3zq5CnNm2Ac98LRWE7ABNgHWS3AgduQvHVg&#10;thzVDasX0vh7xQqVpFCBp8k4aRsmZgKcO2BwQCS5HxyCcDI1VTOWR48cJU0bN9ZZPvW+02Y8I76E&#10;4RBfvAAySadPmaqZpVevXNHKVrS/wHtuGDkZ+gF5DxxIs37dOh2TmjWJ1uptJBamjfZ54WiWXogS&#10;cbD/7JmzdOmGOun0Kdq/CXAuIqsFmDBL6ZKlpXiR4lK6RGnNhq5apbpmRIeyqpWrSZmSZST/J/ld&#10;IzQBzs0wS+desC/3+rVrmoyC59soKkqTqZjhB1tmYOAh7MxaWavY5jrwpKSk6Ek0ZJha2NnIbdBW&#10;f3HjL2dbUygmIT5ex7AmDRuqCH/4XvAoEH2BMZooUEsSs+Yv0Ipx9Cn6Vk7pAybAPshqAa5QrryU&#10;dGJZ+LPCUqxIMRVhPGKqYoWycmXKS/GixeXTDz/WBpi2UWImwLkD7gNhZ5KuOA5wjPN8OZ+X0BsH&#10;lae9v0Q8GHDwfKtXrqIJKzxnz65dWuCAsLPdIyO3wzhMHsSK5ctl0IABWvOc7OhPPvww6CEOTFKZ&#10;rDJpHdCvv1bLun3rlnzt+oS37Q7LTm/YBNgHWS3A5cuWdWJaTOs6E1JGhEuVKPVKK1m8pBPsQvLx&#10;+x+aAOdymKUTMt61Y6fWaGYtq3yZshpWC1aQgLAznm+1SpU17DxrxgzZsX27HqpA8hb3NfA+G0Zu&#10;hLGTXAhdktmwQcen6EaNpZJzWAhHp11642dEmLGasDWTUpZyzpw6rREh+gVRIRPgHE52CHCxIkUl&#10;/yf5pMCn+Z0YFpKihYvq70JZ0cJFnGDndzO+4KeJYCbAuYPv3eBwIOmATJ00WcWXbUR4vgwmwQYZ&#10;9j+S7cwJMQh2akqK/PnBA8385N54M33DyM0wVhHNYQ874egN69fLwP79NTuaZZdg68EYXjBFaCLr&#10;RegxnRsTE3Vd2YsMmQDncLJFgJ2g5nODbn7n9XzmZndkN7/K8H6pFvOha2wmwLkP7gP3g/vCDH/R&#10;ggXqzVLhh4PIQ+19RJhrVKmqFbGY4W/ftk2vkRMGF8PILFiiYZ/wsiVLZGC/flo/2tsZkHaSijAz&#10;SaWsZVPnMU+bPEXHbe/whuyMDpkA+8AE2AQ4s6FdsEeX+s7s2e0Z1921pzpSwokvIpt2UEF8OcC8&#10;dImS0q5NG+f5ztDnXr50+fmeR+6tCbCRF2FM5kzh489EOK5rVw1FI8J4vIF9xfOCWcJhmYbM6AXz&#10;52tmNNegr2QXJsA+yA4BLupE9dOPPlYRLpi/gArsq6yQez+Ita4RmgDnChBHjPAwa7W0pWlTp6qg&#10;4vmyrsvsPe2Eip/ZhsR2pDo1aurBCoeTk+Xx48canuM+etc2jLwIYw59hoSqo4ePaJU37xQlvN1g&#10;TgiTWNaKOeShZ1ycRpkY08m58JKxsrrPmAD7IKsFuFyZMk5UP9Pkmo/dQIsQ53eN6pXmxJfHvh8k&#10;G9AzE+CcBZ2dUPH3330vd27fkfj166VXjx5Su0YNd6+KvzST9wzvt0zJktIwMkq3J1Guj+1KXIv2&#10;Zeu9Rl6HcYu2zt52SqtuStwoo0eMlNYtWmohIyaowSavRI0qOAenQWSkDB08WMcwErt+/OFHvZ4J&#10;cA4kqwW4bOnSerA+Ay2NCFHFsyW8HMo+cH/nsWlDlYFmApyz+LcTStagbt285drREZk2ZYo0adhI&#10;ihYq9PRcX3c/A+8fg4nn/bItaahrPxQnoEgBBTvI6MzurE7DyAqYZNLWGXsYn8j4Z8seh/o3j4nR&#10;6BBiy5gY2IcYU7314FbNm8vcOXMk9USKG9/vaqU4E+AcSJYLMGGUfPlVTL1Bl+Ia/KymQvtUbJ8+&#10;5j+PCxV+xkyAcwZ0cm8A+fL+fTl+7LisXrlKevfoqef6evc97f3j90zEuDft2rTV8nyBh+lzXRNf&#10;423Ba++MW4Sj2fO+e9cuGTxgoCYmUiudKGLafkTfQohrVK0mg9xjE+MTdGvSo4ePdDz0wtFZgQmw&#10;D7JKgLt06vSCB/weHrCzD9/7QD5xsznCzAXyFZDPCnyme4RJusr38af6N7xgGhWDdNoG55kJcM4A&#10;4aUdsF57+vRpWb5smW6PIKTMzD3YvcNYiuAekpw1fOhQTbqi7XEfuXeG8TbCGEb7Z5w+d/asrHD9&#10;qXevXtKgfqQmswbrSxiFbWKjm8rIocNk/dp1cuH8BRVy+iZ9NCswAfZBVgjwhGcCXK9uXV0DJqkK&#10;Uf34g490LzCZzhTbKFumnFQoX9E9ppyWqyxRrIT+DTHWNWAnwsEaG2YCnDPwZuwkTVEwY2C//job&#10;Z7sR4eVg945ZO20O8e3UoaMsmDdfqwJxHar6ZNWAYRg5DS+aRL8iouQdY9i3dx9dDw4WTcJwaChw&#10;g1BTZ50xjj5Jn8qqMc0E2AdZIsDjx0vXzp0lol49qewaTZmSpfRwfapcVapQUWpW51SkehIV1VCP&#10;HuR0pPoRkVI3LFxq1qgplStV1vKVZE1bFnTOhg7OQHH+/HltT6z7ss83VPSC3/N3aoS3b9tOJk+c&#10;pMLNFgrun4Wejbcd2j9CTFSJQxfQsjmzZ2ulLK0g55yZtP2L9WESHcmMbtuqlSxfukzXkjkGkSWd&#10;rMAE2AdZIcATJ0yQ7t26ScOoKOcFh0tkRH33/wbSsnlL5xl3kb59+srAAYNkiBPAYcNGyNAhw2Tw&#10;4MHudwOlb9++0rNHT2nWtKnO6NImHnhmApwzoG0cOHBA5s2dK3FdukpVN3l6lfiSTMLxagj1eNde&#10;du7YKRef3RcGHcMwnoow0SD2wVNHfcvmLW68G6zbk6gHnTa6hGfMWEn/igirK4MHDpR1a9fKyZQU&#10;XU/OCkyAfZAVAjzJCTBbULh2TLNm0rlTJxnQf4CMHzde5s+bL6tXr5F169bL+vXrZcOGDfovtm7d&#10;Og23rFyxUkYMGy71w+u9VC/YMxPgnAGzbMQ31n3P1SpXkUIFCgS9Xxj3krZGkYEe3eIkwd17Bhfu&#10;HYONeb6G8RT6AuMZ4xj9gyWaVW5cJCmrkXNmCrt+FKyPEV1i/zCHO3DmMHWm79y+/eyqmYsJsA+y&#10;QoAnT5wofXr1coNyMy3EQHbedCdyq1etlt27d+uxcifd64eyEydOyKKFCzUFP1jmH2YCnH3wHREe&#10;Y7vQ7p27pH/fvlKmREldh2ILWbD7xVIC2fCsD1NqcvrUabrliP2+DDYmvobxMvQLxjKO4TycfFiW&#10;LVmq0cWKbhLL8YVpI4R4wlTQYpLLMYf0M8Z6L78icIzMaEyAfZDVAtyxQwcZOWKELF60WHZs3+Ee&#10;f1rrlrJhPJTdcY1tY0KidGjXLmQijwlw9vGj+64pE8k2iSmTJkts02Za6SrY2hTG70ioY0mBmtDz&#10;ncectG+/3L6VvaXzDCM3QFLWt998o8cPJh86JFMmTpLGDRpqomOw0q44LYx5VStV0snx5o2btLjN&#10;YzdhRoQzCxNgH2S1AJMNzZowIeZjR49qyJGKLzSEUMZ7PJCUpDM9tqsENi7PTICzj0ePHqnnO959&#10;d21atpKqFStpeDlYhqauTen2s/elbp06MnXKFG0zXINZeWbOyA0jL0BuBOPZb27cvO8clPVr10q3&#10;Ll2kZrVqUrxIkZcON/EmvJ/lzy8tY2Nl1oyZeiLZjRs35C8//+XZVTMeE2AfZLUA01CmTJ6sx2bx&#10;mgy86SXbMOM7euSIFnPQTOiAxuWZCXDWwndLuPinH3/S73HxwkXSrnUbqVWtuu73DbU9gsGheJGi&#10;GnpmQpUQH6/HCzLR4ru20LNh+OeH77/XWukzpk2TTu3bS+0aNd0Y+bH2v7R9kElxWM1a0suNowvn&#10;L9AQ9pPHj7UvMwZndN8zAfaBCbAJ8JvA90IYjISOvXv2yKgRIyWsVm2t0EPmZbB7hFGGsl5YmPR0&#10;7Wvh/PkaBaFkJdfjPpsAG4Z/2FJ07do1LVyDZ9u2VWud4AYrXMTvyM2oXzdc+9+Gdet1+Y9xOzP6&#10;ngmwD0yATYDfBDxW2g21ZpcvWepm3x10zyGdPpT3i7HliMcuXbLEie8xTSaxxCvDeDMYn5jAMuYl&#10;JSXpIQwkXJErE6xwEXuDqReNp0x99ksXL6kGMHanNw6/LibAPjABNgH2CwLJveA+870hoMsWL9FS&#10;k8yqQ3m+CDIDAgLNEYOjRoxQr/nmzZvyjbuOfceG8WYwxpFDw/7gC+fPy/y583RXAXkYbE1K6wWT&#10;JU0omgTIgf0HaOLkLe2H32jfzkhMgH1gAmwC7BcEGM+Xk1Vu3bol69askR5x3SW8dh39/tMmf3hG&#10;p8fzZV8wITLOKr144YJ89+23OngE3ifDMPzD2MkYRRSJhNZtW7fK2NFjpFVsc6lcvsJLXjCTYUSZ&#10;paIObdvJgnnzdMzk1DLG74zEBNgHWS3AlKSc5H5OiI+X1JQUeeiu/yoBZtCngfFeeE+sIQY2KM9M&#10;gDMPLzzM98l+X8rZ0V6oXFW9SlUV3rQz7UDj7xXLlpNmTaJluPuOd2zbrlsgDMPIGOifeMGMv/Hr&#10;N8jwocMkql6ERp6CLQmxXYkqWtRqX7l8hevPp1QLGIu5VkZgAuyDrBZg9gFTHJw1wEMHD+k+31AC&#10;TEPgb1yX/W49u3c3Ac4GvFk2CR+f37gh+/fvlwXz50vnDh01qQMPN9S6L79n61jD+pEywg0KDA5n&#10;zpzR7E3DMDIOxvIv7nyhBW2WLF4sHdu1l5LFigddD2YtmLVi6knTL5kUU0gHTzqjxjwTYB9ktQB7&#10;lbBmTJ8hu3buel50PxjewE+Ykn1rlCs0Ac56WAKgY5LswURopvt+CF/VqVlLq1m9SnwRZ4pycB40&#10;tWivXL4iD//8UH7/LfMKABjG2whj1U8//qjLevv37tNoU82q1XRbYNoCRvRLDnKgeAdj4pJFizUn&#10;g3HTS4r8o5gA+yAzBXjsmDEyfdo0LbzRq2dPaRYdLc1jYqVb164ydPAQWbN6jZw/d17Dmtx0RJLB&#10;HqMx8TvWG2lQrG1QNYk1YMKdnnmDvwlw5sAkiAnQt99+q+u+a1evlq6dOuvsmXXdULW5Mf5GqKtC&#10;mbIycthwPUqN9kY7CRX1MAzjj0HfojId4znjHQlZTIKD9VGMv48dPVqXBL2xMyP6pwmwDzJTgEeP&#10;GqUJV2PczSX5itOQIsLr6RmVTRs30RkaIUkOmmb2hdDiZWEM+DQG7hsZs9OmTpUYShwWKKghTeoM&#10;Y5RZQ4hNgDMHvkNCU9wjvhOWDxpFRmkbIes51NovEyNm3mx3aN+mrc6w8X5pI3ynGbXOZBjGiyCe&#10;d7+4Kzu2bZPxY6lO11IqlC0XMlLF8bBxXbvJqpUr5dixY3L//v2QUcnXwQTYB5knwINk1MiR6v2O&#10;cGLH2i9HEXIecNlSpaRE0WIqwmNGjdaErEOHDsnly5ef138mo++sG/QTExNVHLs6AQ8PqyvFihSV&#10;Is7zKu6ezzUK5Msv77/zrglwJvHPf/xD1323bNrkvpsxWmqyYrlymliV3tpv5QoVNVRNfWi2O3gd&#10;mwHCBNgwMgf6F+Mak+YtmzdrQhbjd6jJMhNl1oKHDRki69et03ExI8Y9E2AfZLQAnzt7TlYsX+5E&#10;d4QKMF4w+81au4G7ds1aUrZ0GRVQvKda1Ws4z7irhqnXrF4te5yny8lH2PHjx2X79u26htw9Lk4a&#10;N2okVStXkaKFi0jpEiVVyKtXraZJBh9/8KGUVgEeLMmHkk2AMwA+N6FnohFUq5o5fYa0adVK79mr&#10;wlkYHZ3wc2S9COcxj9Tv8rzrf1TOMgwjc2FyS111jSA6EabiHAekkD/DxDntpJm14OpVqkiLmBiN&#10;WB45ckQTLhkD/ognbALsg4wUYEQOLzYxIUFvpIrvgAHqvUY7b7dGtepSoVx5DXngsYaHhUmHdu1l&#10;mJuhTZo4SebOnStLlyxVW7Jkicx0r0Uou717DIf4s3m8YL58Us6JeP169fSQfrbBFPg0n4oyAsp+&#10;YbbJsHYcuI5hAuwfOjDtgnt/6cJFPZO5d89eUsN91yRthDoSEsMr/uj997Xwe1sn2GS7Xzh/wbWZ&#10;B/KLu6ZhGJkL/Zf9+t+7yTORRGou9HBOTPkyZZ6eUpYmb4OMaA5xYC24T6/eOvZ94ybLiDDj5pti&#10;AuyDjBRgxArRItzINhXWfnt07y4tmjd3ghmhHmylChX1X4rxN4iMUs+4W9du7nE9pJcb5Pv26fvc&#10;urvnIr7NY5tL3Tphz71dzr5s6a7JtqSoyEgpWqiQijqH9uM9P378WGeAJsCvBx0X43tjDf6iE99d&#10;O3bqfl8O/SZqwXaGUGFn7IN339UZdanixaVfnz6yb+9eTbIjOpIR60qGYaQPfY1k1r+4cfBIcrKM&#10;dc5QpHNaOJw/2E4S+jVCHBPdVJYvXabLgOwrRsjfFBNgH2S0AHPjWMhnywkC3Np5QfUjIiQiPFzC&#10;69bVJKzI+vWloRvQY50YtmvT1nnIXVWE01rnTp1VgFs5kSYEXatGTalQtqxE1A3Xs4HxytjaVNW9&#10;r3An0CRq4W3RcAifmgC/HnxffE/MfEmK275tm0ydPEXXcVnPfZXweob4MkEi4W7q5Mly+tQpXUc2&#10;DCPr+bvrzxcuXJBlS5aoFxzhxmDG92B9F6sXVlf7/MnUk6oLRBLfFBNgH2SkADPrImP28qVLsnPn&#10;ThnjZl1UW2HwxgNu1bKltHeDebu2baWtE96OHTqq0OL5BrOePXpK97ju+phOHTupWLduwTXaSpfO&#10;nSWuWzf9XTM3a+vcqZOsXrVK9xV7m8lNgF8PviM6HPeQUP70qdOkRUysVK9cRes4B+uwaa1UseLS&#10;tHFjGTxwkJ62cv3a9Rfug2EYWQde8J07d2Tfnj1u7J6lB6HgBQfruxiRSeo0bEzcKKdPn9axgKjY&#10;m2AC7IOMFGAGWpKf8IKPOy8YMatZrbquGzaMjHKC2kP69e2nnis1hAk79+7VW/r07iN9X2H8vX+/&#10;/ppkNXzYMBnQv78mZnXq+B8BnzB+guzds1eePHmi78MLp3qYAIfG+66YuNDhrl+/LhvWr5dunbtI&#10;0UKF0y01GWhV3GSLtkN5O0SctmICbBjZA07R125MJDeHIwtHuPGT4hyholns2SfiRWLs7l27tbLW&#10;m/ZfE2AfZKQAM4gTvmT98Pq1a7JyxQqJ69pVmjRspCd0sBWJpKuW7v9Nm0Sr4b3GOFEkHP0q4zlt&#10;W7fRa3R0s7j27dqpF0wC1+xZs2SjE1eKeoQKmZgAB4d75hU+IfGCMpF8T+z3Zb8260LBOmqg0Zm9&#10;NaTI8HoyyU2GyEZn+xJZ1IETIcMwsg7Ek3wYau6TET1n9myJbtRIkyQ//uBpDYXAvswhDdSQxkFi&#10;Nwt7902AM5GMFmCEjvVXiu3jBSPCrAV37xangls3LMxdp4qULVVajYxmspvTMzaSs7ZYtVJlXQNm&#10;7TfOXXPmjBmya9cuneGR/RwqacAEODh0Lj4j3i9n8/IdDR00WJo1biLl3b1JW0M2mNGJKXX3Wb78&#10;0jI2VpM4bt+6rRMxrmsCbBjZA32PBMiff/pJ7t+7JxvWrZNuznGhkl2Rzz7T6FZgX6ZyHSFqxthJ&#10;EybI6ZOnTIAzk4wUYOCGYwgh+9AoprFp0ybdkhTtrl2tSlUpXbKUm4EV0DrCDNq+zT2H91a9alUt&#10;aTlo4EDdOH716lX9HLxmqExbE+Dg4P2yPQjvl4QpDulmBlyiSFHJ9/HHvhKvEGk6rnfEGffkkZsM&#10;sQ2CQxd+/OEHMzOzbDL6IImpDx48kM0bN0m/3r0lrGYt3amQNsLFNkIm05SZ7durtxw8cEDHVcaJ&#10;1xViE2AfZLQAe3DDuOmIMNWxCBGTpYzI9e7ZU5MBOK3jdY0TeEjwwfNlnZKTPyhhiVDymqG8LRPg&#10;4NC5SNJgvZZMye5du+nRgWxVeFWd50DDA2ZvcMFP82kW5aABA2TVipWahGVmZpYzbOXy5Vr+lyRJ&#10;oluFChSQ9995+bxgJtT0fybTPI+ylhTRCRVdDIUJsA8yS4CZLRH64Prsy/3cidnpU6eFIwh37Nih&#10;5SfjN2x4beN5e/fulVPOW0MgSRpi3ZnXw0yAXw/WzFkqmDdnjvTo1k23KbBZn07oN/EKY+ZMOIuZ&#10;M1V12DfMWpOZmVnOMGq4k4BFUqw3wQ4W4eJ39OWmjRrLrOkz5NiRo7otkZOWXgcTYB9klgB7oWgM&#10;zxQx9kobslbLdiFO13ld43mILokFhJtfJbqBmAD/B74vvo9f3cSFdaH49eulZ1yc1KlRU0oWK/bS&#10;utDrGh0Y8TYzM8tZRt8MJrppjcfWrV1H80E4MIcD+xkr3eDxbBRJHxNgH2SWAAeCSCLCiBkijNfF&#10;muObmldZyY/wepgA/wfuBd/j5zc+lwNJSXpeMzNk9vBSSANvNlinNDMzezsMAa5WqbJ07thJ68Dv&#10;d2MkWvA6Y64JsA+yQoC5aV6ImMEfMURA39R4Pt6vCfCbwXdx+9YtSdq/X+bPnSddO3eRSuXL6zqu&#10;n6xnMzOzvG14yZxap0V1tDBHoty7e9cEOKPJCgHOCbztAkzHYfJDIgXJcSSvLXb3tXePnrp3N70T&#10;jtKat06k24/cczmNii1iVNIxMzPL2Va1UiWtn0/OBjsYPnzv/RdD0+7/nFpXs1o1adu6tR6qQoEe&#10;xhC/y37sgDEBTgcT4LdHgFnz/cZ9XhIqOLFqYL/+ut+P/dgIaaDApmeEqQsVKKh7tCk32jOuu9aQ&#10;nTtnjpmZWQ43+ionH3FMIdUK2XaYdunp048+1t8z9vP48+fP6wSeMdEEOIMwAX57BJgyoRTbOHH8&#10;uPuM06Rxg4ZPZ78hsiGxUL/nOQg3J6xw6hGHb9xwM2QS7MzMzHK2UaN96+YtMmHsOGnXuo0e64oX&#10;HNjHWQcmyoUIDx08WMcN9IJlQLzg9DAB9oEJcN4WYNbK+QxPK119IYcOHpSlixYLJ6NUrlAhpMB6&#10;FurveMwczt+pQwdN0qCtkBxnGEbOh76KQG5Yv8GNhSOeHzcarK+TmMnRrxxNSjEPJvJ+xkUOczAB&#10;TgcT4LwtwLx/rz43M9j5c+dKl46dpF6dMF3jCdbh/Bidkhrfo0eM1P3Z1OH+9Zdfn72qYRg5Ga/0&#10;7InjJ2TJ4iV6qlyBTz8N2tfZM9ze/Z0DVs6dPafFlXh+epx0mmICnA4mwHlbgAkXaRk6d882b9ok&#10;cV27acIUneqPZDyTeEWnXLxwkRw9fETu3L792pVyDMPIHhjX8GTxaPfu2aNlJ+nTwfr6J84zjmkS&#10;LdOmTJW9u/fItatXtQ5DeqSkpJgAp4cJcN4WYAqfXLpwUcNHE8aNl8YNG6r3GqzSFT9TG5Z14U8/&#10;+kg+ePflghyEpEnWYF2oT89esm3LVl37ffL4sfz9b7n7uzKMtwWWpqjJwOT8+LHjWqKylJuYs+ab&#10;dlxgTKgfXk/PCV61cqWcTE3V56WXiHX8+HET4PQwAc7bAnz//n0nkls0VNyqeXOpXL7C86SrtOu7&#10;dD62I7H/j6IcCHHax3glJ6klO2r4CN3O9O0332o7CnUQhmEYOQuSqBgTCSWfd9rI5JyzvOnz9O/A&#10;Ps94QZIWtaHJhqZ4D+NmegJ89OhRE+D0MAHOewJM50IM/+HeO5+Req4NIupL2ZKl1PtNK6qeGJNY&#10;VbpECalTs6ZUqVhRjytLuzWBzkn4unrlKu57mia3bt589qqGYeRGOLebcT28dh0pVqjwS8lY7/3p&#10;HZ2UN4iMlAH9+smWzZvlq0eP0hXgw04/TIDTwQQ47wkws1ruEfv2OBqwT69eOrstXKDgS8ePEW5C&#10;UIsVLqxnM1etWEkFmAxp2kGgACPSCHjpEiV1C9OiBQs1kcMwjNwLp6GtWLZctyPVcJ4u/T5wjGAM&#10;KOx+V6l8BWnTqpWsXrVK147TE+Dk5GQT4PQwAc57Asz6DBmIa1xHGTZ4iBPLBiq+hJKCebQlihaV&#10;WtWrS/169aReWJieFcqRhDwncD2I/3PmLxv3OU5yzerVGuI2DCP3QlYzCZoc8xrdqLFOxNNGyT58&#10;7z2dfLN7YsG8eXLv7r10BfjgwYMmwOlhApw3BJiwM++VTGREkQ41ZNDTDlWhTNmX1nUwOhnVbljf&#10;ad2ype7pbdq4idSuXkPD1ZzvG9gREW86Jwc3DB44UL+jh659GIaReyGczLrurBkzpUunzuoFp52o&#10;e1ahbFmZ7MZKwtaMqWlr8vN/r/YA2dUmwOlgApw3BJgarWQ8MzM9euSozJw+XVrExEplQs/u86bN&#10;bCQLmsMXShYrLi1jm8uE8eNlyqTJ0qFdOw0/k4yVNlyNiOP9dunUSTvrwQMH5OsnT569A8MwciPU&#10;CDh96pQeOzh0yBAtTxtqiyITc5IvU1NSdOxEP/7pxh4PHAEtefvNNxIfH28CnB4mwHlDgPl8iC8d&#10;g9AwhyywZqPbidJ4v3i1iOtn+fK7e1pFBvbvr4kVWN/efaRMiZJBtykRwmY7wjDXSTesW+867WkV&#10;fcMwci8ctH/DebTJhw65sW+aRDdsFFKA2R1BItbuXbu0pvy3TmgDx0i8X8YE6gIsWbzYBDg9slqA&#10;vfAEBSLYzM3s6/FXX8mjR4/UAuuV8vMT52FxkymdRnIRz2eWld76Q1ryqgB7xzv++MMPcub0GRVG&#10;ZqiEngkhp+1AiC+dy1vLbdOylXqzR44ckaT9Sa5z9ZfiRYq+9DwM0W7WuIlMnzpVDrjH3rh23cpP&#10;GkYuh/3AjPNXr1yRFcuW6XbFYEtWGONGXJeusnbNGjfenHZa8EDHcg/Go0du7GZr09QpU0yA0yOr&#10;BRixQHgJUTCDSk1N1bWCnTt3yvbt22Xbtm3Pjd8dOHBASyhevXpV1ypY43ydI7E88qIA8/mZlJB0&#10;9YW7hxRXR3w54YRs5rQnHHnim+/jT9z9rKP1XWfNmKGhp+RDybpuzKlGbEUIfJ5nhKxbt2gpy5Ys&#10;0ZJ0rDUTbjIMI/eCgFIVC4eHMaBj+/Ya7Qo2BlC+tm2rVjJ39mw9T/zm5zfl99/+UwGP8fLu3bty&#10;ODlZhg8bZgKcHlkhwAiFZ8y2ED1S3486r4twKYv6Y8eMkZEjRsqwocOe29ixY2X2rFmyYvlyFUnO&#10;o0S8aTCI8NsswHx2JiE//vijbgk4e+aszHGdIia6qVapyv/Jpy+FkEmswIvlDNC2rVrLooULVXgP&#10;OzuYdEBWLV8hnTt0dN/Pi9sQPKMkXeeOHWVT4kbtZN99+61+r4Zh5F68BE76MslY3bvFvXQykmcs&#10;W5GoOXrkKEmIT5CLFy5orXkPxmYq423fuk16uMm8CXA6ZIUAezeYm0NombVDBG7B/Pkywglht67d&#10;JK4b1l26u9eNczcO6+H+369vPxk8aLAKMR7yRSeapM3//NNPb60A830SiuczIYTHjh7VvXmc78k9&#10;wlPF0w3MYMaoclOuVGk9v3f0yJGyZ/dundRQWm7Prt0yb/YcaeM83GCH83MttiHgNROxYOmAtpNT&#10;JyiGYbw+lI8c1H+ATtIZR9JmQzMGkAfSt3dvPaQf3WAc8GCMZ1wlRM0BDybA6ZAVAoy3iueLt8Z9&#10;WLlihfTr01c6tu8gzWOaSxM3o2rlPLIuXbpJz159pEfP3k6Ie0qnzl2kZctW0qRRE+d5dZJxziNe&#10;tXKVes54fQiRX/KSACO+NHTuXWpKqh6I0NPdL4SV9Vs6TVrx5WeSq5o1iZYhAwfJmlWrdZ2G7/HU&#10;yVP63UwaP0E9aGa5gc/Fk2ZNiHYxwE2ICC8x6+U98F4Mw8gbkA09bswYqVG1qq73pl3GomhP7Ro1&#10;tQ4AuSNM/gPzQFgSO3PmjEbX0BIT4HTICgFGxLhJX331lezbu1c3fFcsX0HKlCwtFcpVkOpVq0tj&#10;J7IdO3WR3n37S6/efVWE27RtJ3XD6krJ4iWkSqXKEtO0mfR3ArDGza6uXbv2WoN/XhJgPguheBLU&#10;WPflUARqPBdzHYZZa2CHwRBfRJnze0myQnxPHDuu95b1YyISq93vhgwaLA0jo9RTDnw+z326ZamY&#10;DB8yRD3mN02GMwwj53Lh/Hkd45s2bqzV89Imcn7y4YdapjamaVMZ7xwilq5wrDwQYOrDk01dLzzc&#10;BDg9skKA8ZQIWRIu3bSRI/G6SqECBeUzZ6VLlpJqVapJo2cC3KffAOnVp5/0cJ5wqzbtpGaNWvJZ&#10;/oJSomgxqV2zlrR2nvK8uXO1zOLbKsCk+bMRnlqrZCTj1RI2Zraadt2XE43oRNR4pozc3NlzdJ8w&#10;NZxJvMCYxZJU0a1zFwmrVeulWrCIL1WxqrlJ0ISx4+T8WetLhpEX4ahBMqHZ609VvLQJmawNsxeY&#10;vcKDBgzQ7Ug/uEm8B5FOImRjRo+Wqk4vTIDTISsEmMxlMuxYb1y7Zq10aNdek4Q4f7JMqTJOZGtK&#10;k+im0qlz16ACXNA9rvBnhdRrbuA8tMmTJsupU6feWgG+5yYyrMPOnDHjeeUakqtCrftWKl9eGrnv&#10;jc+8Y/t2nQh970Sc+0Ln2e8+/1jXYZjVUrgjrRed/5NPtBh7ZL16+t2QeGEYRt7j1q1bsjEhUcfC&#10;WDceILaBYwHZ0UWdKFepWEl6dIuTrZs361jigQAn7duvRxeWLlnSBDg9skKACUtwncuXL+t5km1b&#10;t9ESiHhmZUqVllrOs23SpKl06NhJhTeuRy/pGtdDmrdoJdWqVpcC7nGIddnSZaSem3lxdJYXBvVL&#10;bhdgwr2spRNNYAvQwvkLpH3bthLm7gsdIrCTYAgx3jDrOA0jI6V3z16yfOlSXfflfnA9jMjE9q1b&#10;pV+fPhJep456yoFbELgO3i8iz/7ARQsW6CzZMIy8x71792TP7j06BnZ0jhLFfAIn9SxHMakvWbSY&#10;Ht6QEB+vuyE8yA3BK+7pxJkx2wQ4HbI+BL1RunXp6kTwMymYL78UdzeyfLnyElanrjRt2kxat24r&#10;LVu2lubNW0pkZAMpV7acijXJRYhvl86dZeniJXLp0qW3SoARzcePH8utm7e0YtXQQYM1XExiFd+P&#10;10EwhBePmIxF6jpTFYt7eOjgQb0HCLkH+7H5XuK6dNEQMyGnwE34dD7KVTaoX9+JeE9Zt2aNfi+G&#10;YeQ9KKxx6OAhPekMD7eqGxMCBZj/EyHDeYqNburGg7U6hnigJ9u3bVPx5nEmwOmQFQLMgM/MCBFm&#10;8zaJQKWccOg68LPwMkJbu1ZtiawfKRH16kt43XpSvWo1KeaEl3UHioDj8VFdZeeOHbqP+G3Kgmat&#10;lko1+/bu03XfVs1bqOfLei3ndXodBCMUTSYz4twiJkbmzJqliREU6yDkHPi98fk3rF8v7du00S1K&#10;PC9w68E7Tsz57nm9saPH6P4+RNwwjLzHo4ePNEFz9cpV0q93H6nhxuBAAcaY4BMlI2GTHS2MIR7o&#10;CcU8WrVoIX9yzzMBToesEGA8VQSQNcfTp087EZ0qUU5oq1WpKuXd4F6mZCmpUqmS1K0Tpr+PjKgv&#10;EeH1pA7H4pUvrx4YN3vUiBEqopRAo3xlXhdgMox5fd47e58p/zh/7jzdKE8ZybQJV56RjFW+TFmJ&#10;rBehpxZt27JV1+CZBHGtwMxlMqnJiqZ6Fnv/EPTA6/J/6kUTtZjnXpusR7YuGYaR93j81WM5c+q0&#10;bExM1O2K7JxIK8AYv+NowiULF6lGEOX0Ip2UwyUx9P/+7/9jApweWSHACCVeMGKCF0YBiFnuOqNG&#10;jtT9wF27dNGqKb179dJtRvyOQwFYt+T3cV27aco76w1nz5zRdQoKiOf1Qhy8NgVHCD1zfxYvXKiZ&#10;yhFhdTUrPG3H4GevzjP7efmMhIiYsOBB8x0wGXpBgN21yXpkgsMeP2a2gdd9vn2J7V9OqFOOn9Dt&#10;ZIZh5D0IJ1+8cFF279wlo0eMdON+nZACzH7gGdOny+VLl57X76e8MIcwNIpqYALsh6wQYAZ8RBhj&#10;/yreHAlZHADAeuaK5Stk2dKlWlllyaLFsti9HsbPK1eulPXr1sn+/fs1BMvBDME8ufTIjQL8199/&#10;V/Ele5z3w6lFZCkTJmaNN22nQHxZd+ExPHbb1q3POwfRB8Q3bdQAMeU7D3ezWcQ2rVfN7+iEI4eP&#10;0PDzhXPnX1jzMQwj78AWR0pJcjLSxPETdLIfTIAxzhEfO2q0PpYKhVhKSorMmDpN6oeHy//3v/63&#10;CXB6ZIUAB4IAIGoIAoM/hyycOHFCX4sbyRmzniUnJ+va5dmzZ+X27dvaOF4n8SqQ3CLA3mSFz8kG&#10;9ytu0rF3926ZNmWqbhNKW5nGM4ST9fTypctI86bNZMG8+doh+M6YsAQKL69BRILvhC1N7A0mpB3s&#10;uggwoWw6I+v3ZEBTvMMwjLwHETcOWUEvGetJvgwlwFUrVZIRQ4dpRJNjUDHG7UkTJuiE/v/7f/+X&#10;CXB6ZIcAe4O/Vx2LpB4Elj1oiJ5n/MzfWHPE62KPWVoPzi+5SYD5flhPeei++z27dsmEceP02EC+&#10;/1CnlPB71mrbtWqtJSV37dgpX7qOFCxawHdIVjVCSiRi6uTJUt09N9h1EeCoiAg9rJ9DGygAYgJs&#10;GHmT35+NC/fv3dOlKSpimQBnIlktwAiB5+V5Qow3rOZuPsIQaPweMUII065fvg65RYD5XnivCOfn&#10;7vUXzp8v0Y0aPTvh6JOQnQHPOKZJtEx1Qrl7504NPf/040/Pw86B35vnXTOxIfpAdjPl5YJdFwFu&#10;UD/SfSfT5PixY3LbTYoCS88ZhpF3YKxgzGP82ZiQIC1iYk2AM5OsFuDsIrcIMK9HVAAB5T0M7Ndf&#10;KpUrr2u+iGHaToDwkr2M9zuw/wCtYsPnwntm8hIMBJjN82zlOnTokJ5IRS3ptNfGeM0mDRvK/Llz&#10;5cKFC3rv//Lzz8+uZBhGXoRxiPGH7UShBJgiHf379pWEDfGyb89eNSpjjRw2XOrUqGkC7AcT4Jwl&#10;wMw8qVa1dvUaGTp4sBO/RlocgzXetB2Bn6lIQ11WsqPZPE+FsK8ePVIvlQhDMBDgb9znxsPmcIyh&#10;g4dIRSfygdf2jMSu2GbNdL8fGexsMwgl7IZh5A38CDBlKqkZTb4J4xVGkSQOh6GAhwmwD0yAc5YA&#10;//jDD7Jrxw7dBF+renUpVax40IxnjI5BJmLXTp3dfZmlSVLcr2Bh50D4+9dPnmhCFdsN2O9XsWy5&#10;oK+BALdq0VISExJUfFmHz+rvxDCMrMWPAFOfoWXzFjJu9BjdjoRNnDBBq2AxnpgA+8AEOPsF2FuT&#10;/fL+l3rIxNw5c6SFe5+IL+UkEcHAhs/PFMwoWqiQtIiNlWmTp+g6zOVLl30lSOEZU8iEz89WJSqT&#10;VShT9oXX8IyylG1btdJjD9lCxvfI+zUMI+/CuEdN525dumgteJa60i6BIcAtYpvrVqTpU6epUae/&#10;Q9t2JsB+MQHOfgH+h3sNxPfokSOyYvlyLUJC8YtghTEwOgOhZw7NHjxggIrjndt3nFf7tSaypQcC&#10;/OjhQz1WcFPiRvW2qZwV+BqeIcAUXae+K0lxPBfv2jCMvAv9nIQqKumRbMUy2IfvvbgDwwQ4AzAB&#10;zh4B1mxwJ2SIGWHdC+cvaP1VvFGqyKQ9hzPQChUooOJLned5zlvmEO3Xgc/05wcP5FTqSdmwdp0e&#10;1kAd6GCvhQDToZgNh1pTNgwjb0FfZ9cDWyA5TQ1BxSEIHBtMgDMAE+DsE2CEl1rMvA6vN2r4CIlu&#10;1FgrWXHkV2BjxwtGDPF+a1atpqEh7gVJVBTTeB34TGRAJz879aRzh45SuniJF17PMxNgw3j7MAHO&#10;IkyAs0+Av//ue7l+7boecDBz+nQ9cQgh5PxjhC+wsbP+wrov94bPwAlH7LtDSEnceh34Lm7cuCE7&#10;tm2XqZOnSOuWrXSfceDreWYCbBhvHybAWYQJcNYKMMJLEhPvh5JveKGk7vN9U40q2F5fjBrPJGVR&#10;MnJQ/wGya+dOTbjy1mVfB1776pWrumd4jOs8nITEAQ5pX5OtT7xup/YdtCKXCbBhvB34EWAOhGE8&#10;HT1ylE7ksfFu/GzXpq0mdZoA+8AEOGsFmOvxnVNa89TJU7JsyVLp06u3VptCYEOl/HP2b+MGDWXQ&#10;gIGyeuVKOXf2rO4Z5nqvm5XsR4DJtKbD8XsO4j+QlGQCbBhvCX4EmLGBYwcZN/F8MQ5tad2ipeaU&#10;mAD7wAQ4awWYspqIL6HjHdu3y9BBg/VYL0LAhJgDG3ig0QHIVuYznDl9RstIeuL7ulnJfgSYvcck&#10;glWtWEkLghxOTjYBNoy3BD8CXMyNGU0aNdYKfHjBGEV9CEuXNQH2hwlw5gswYWdEErHkXF4ONEg+&#10;lCxzZs/WdV++b7YbpQ0/EwL21n2bNGqk677nz5/X4wXZk8t13wQ/Aszrsh5dt1ZtGeM61vGjR02A&#10;DeMtwY8AMy5FRtTXM9sRYYxoHomkRPNMgH1gApw1Asx18H45oWj/vv0y24lp967dJKxmLW3YiG/a&#10;8DPrr5SIpBzlcPfeODv53r17WrSDcpCZKcC8J8JInOs5fuxYSTl+3ATYMN4S/AhwofwFpI4bv9q2&#10;ai1dOnZSa9+mrdQLq6vRs//z//t/TYDTwwQ48wUYzxfx5bvm+L+lixdrubba1WtI8SJFQyZeFfw0&#10;n677Dhs8RNasWi1nTp/WIxzpHK8qNZkefgSYClwVy5XTPcmTJ06Ukykp8k8TYMN4K/AjwGyVZMtk&#10;4wYNJCY6Wo2DWzgY5rN8+U2A/WACnPkCzGs/fvxYt/7s3LFDj/Di+0T0aNRpPV/WX2nAFNugsPnK&#10;5Svk2NFjep8Q8j+KXwHmhCQ61BT33XDIw+smexmGkTvxK8BM0jkvnHEC4wB/jjYtmC+fCbAfTIAz&#10;X4DJVsbzpZzjtClTNGTDSSI06LT7fck+Lla4sIpv29atNVSN+FJsg33DGREGNgE2DONVmABnESbA&#10;mSPAgYlXnCLENh7Et0O7dnrKEUlOwbYcffT++1LZNWAOWRg1cqRmSpPxzPunU7xp2DkQE2DDMF6F&#10;CXAWYQKcOQKM+LJe++jRI81cXrZ0qcR17arfY6nixYN6viRdIYTsreP9rV+3Ts6cOaOZ0xmJCbBh&#10;GK/CBDiLMAHOHAFGrDjwgD27mxIT3bWHSETduhpezucaLluMAhsz4lv0s0JSo0pVPQ0J8UW4v3Tf&#10;NdWuMhITYMMwXoUJcBZhApyxAuyFndkmxLrvlk2bZeL4CdIytrkW20B404ae+R1nblapUFGaOzGc&#10;NWOGngtMqUkObKAzZCR+BFg7l+t0jaKiZNKECVp32rKgDePtwK8AV65QQceIF7OgK8tn+S0L2hcm&#10;wBkrwN52I7KeOalo0oSJethBjarVtMEGNmDMq7dMxal2rVprLVVe+9atW+r58vqIekbiR4CfF+Jw&#10;933MqFHaGTN6ImAYRs7EjwCzD5jxgb2/nM6GdWzfXiLqhut4YgLsAxPgjBVgMp4RX6pdLV+6zDXO&#10;NlKmREk3Iyyg67yBDRjxpQIW+30ptkFj37F9h1y4cEHfF53gj+z3DYUfAX5eirJSJRlmpSgN463C&#10;jwAzPlCnYEDffm48HaE2eOAgHU/KlCxllbD8YAL8xwXYy3jGON/3yuXLek1eo2a1aiEPWPjIeb5e&#10;6LlXj54Sv2GDXL9+XQWc0HNmiC88F+DERBk7ekxQASZJjIlBaTd56N+nrxw6eNAE2DDeEvwIsJ6G&#10;FBOrpWqnTZmqNn7sOPWI7TQkn5gA/3EBRih5HOHny5cuq5ByuH7zZs20Jmpgow00ZpD164ZLXJeu&#10;Mn/uPDl65KhmTVNqkvebGeILXPv6tWvuM27VEHmrZ+vTge+N6lyExmkLPeLiZL/7jkyADePtwI8A&#10;23nAGYAJ8B8XYBorSVd8l+z3pdIV5/ayhvrJBx++0Gg9wysmy7h7tzj3/S7WQ/nv3L6jni+viahn&#10;FnwXhMh3bt+hs9Y2IQ7k5z3y/vU84N27TYAN4y3BBDiLMAH+4wLMuu+jhw/l2tWrWueZjGeEizBu&#10;sIxn/kYCA+u+HGJ96MBBuXH9hnz33XeZKrwefKbbt29L0v4kme/uOXWpS7nJQuD79IzPQIfabQfy&#10;G8ZbA32d8Z8EzIiwulK2VCn55MMXnQkT4AzABPiPC/BXX30lx44elRXLl0v/vn0lrFZtFa5gJxwh&#10;vpwyRKbggH79JX5DvFy/dl2eBKz7ZjZ8JvYXp6Sk6CEPPeO6a2nMwPfpmQmwYbx90NfJ++As8OpV&#10;qmiEjCWpwLHBBDgDMAH+4wJMOHfVihXStVMnLbZRoujL4VzPyIbmuK64rt1k/rz5knIiRX784Qd9&#10;HfYPZ9a6byB0LiYNly5dkm1bt8rA/v01aSLY+zUBNoy3D8Yj8j769e6jDgMRO8aCwLHBBDgDMAF+&#10;MwHmeoSM79+/r/t9CdWE1wnTUE2w/b4fvPuurqFUqVhJunbuLHNnz9Hnsd83I044eh0Q+q+fPNGQ&#10;+e6du2TIwEHaYdK+Z33frtNxeMS2LVs11M7ntopYhpG3Ydwj74Mzy6nQR12AtMemkmDaqnkLzXye&#10;NWOm2uSJk6Rj+w7COeYmwD4wAX4zAabO81UnYIgoDY/Ue5Ku2LrD3t7AhkrD5XhBwrwx0U1l6pQp&#10;cujgIXf9m3pQQ1Z7lq8jwOxdbuk6WUJ8vHzzzTfaXkJ9J4Zh5A3o4xwEQ34I4stEPO1yGlsUmZxP&#10;mTRZd3FgjJ1dO3XWBFMTYB+YAL+ZAD95/EQOHjig4tu1cxfNekas0jZSjMaLOIfVqiV9evWSLZs3&#10;635hhDCz9vq+itcV4OYxMbJ61Wr19vH6s9pjNwwja2HcYwxs1aJF0DENo8BQ+7btZMbUaU4jFqsR&#10;2WN5zQTYJybA/gX4n//4p4Zhv3We4IXzF2T5suXSo1uc1A+vpwJLhnNgA6Xh8ju8X4qUD+jbV5Yv&#10;XSon3Xf9888/P7tq1oMAf+c87zu3b+skYsSwYVLJdZjA9+4ZAkybILv7RkCREMMw8h44BETk6OMc&#10;ItMyJjakAJcvXUZD1Evc2JCwIV6NXBgqY1WvUtUE2A8mwP4FmGuQrXzj2nXZtXOnu8YIXfelIkyo&#10;Os+Eo0uXKKFCvW7NGjl9+rR86TzJ7PQiEWCKfXBaU8qJEzJu9Bhdm077/jHC500aNNS2cd71Ibzg&#10;v2Tj5MEwjMwD8WVsYnxAUBkvQwlwpfLlddcHy1MsxWGMm4yttWvUNAH2gwnwqwWY53mlJn913u/t&#10;W7e0LvKi+Qt0/QPvNljjxKinzLF+tarX0HWSixcu6vfNNbNiu1EoeG08eT47okriRPXKVYJ+BgS4&#10;Qf1I951MkxPHj2vSGJ3TMIy8Bw4HYwP5HuvWrNWclVACXLVSZS06RLIWp6Vhhw4c0NPTcExMgH1g&#10;Apy+ADMjJOmKvbNJ+/fL3Nmz1aOtW7uOJigEa5x4v4RoKLYxqP8A2ZiQIF/cuaMVs2jkWb3uGwgC&#10;zPsgDH7jxg39vISMgn0OBJiN+BzasGfXbt26ROKYYRh5D05gY0xkeYo1XcavUALM/uCxY8aoTjAu&#10;YKmpqTJj+nSpHx4u//d//W8T4PQwAX61ACO+CBX7Zi+cPy9LlyyRzh066vGCxYsUlffT7I3zjLXT&#10;qIj6+jqJ8Qly5vRpXTsmxIMAZqcA89q8D76T+/fuydw5c5yXXj3o50CA69SoKYMHDJT49Rv0YH7C&#10;8IZh5D0Y61giIzI2y4315K4EE2B+R+Ip0bPTp05pZT0MEZ43d65Gzf7v//4/JsDpYQIcXIDJVMY7&#10;JBkB8eVw/Z07drjHDNGGR1WYtBvTMQSLaldFCxWWbp27aBjnsmuUD933+FsOTF7is3F/CRnx3tMm&#10;kvFzDecd0x6WLl4ih5MPy8OHD5892zCMvAS7HEi2ZJlt0vgJWlgolADXqVlLZk6foQfQcIgMduvm&#10;LR0nGkU1MAH2gwlwcAHevHGTXLlyRRvkRfc4ju6jMHnrFi31rEs83LRihfHdIdAtYmLddaZJ8qFD&#10;Kr7ff//9CwldOQW2Q61asVKiGzXW9WwmFoGfi/+ToNWlYyd372fJ/n37NRRvGEbeg/EA75cKecOH&#10;DlORDSXAaMJ85+2SF/PDDz+ooRerVz4dT0yAfWAC/LIAT3fCuSlxowov3h4l2caPHSsxTaKlWqXK&#10;mlhFAwzWMCuVK69FOTjmb/u2bRrG1hOO3OuTfZzT4PNvWL9e3zMl5xBhPGHv8yDAVLVp27qNTHSf&#10;iSgAYWvDMPIeHCpz4thxWb1qlZahZKktlAATNWMLEs/BucBwNDiOtZkbK02AfWACHESAp06TtavX&#10;OO81Wc6eOat7dzu1b6/FKjhAP1jomQaJWNVzjZJ9tZs3bXbPPaPXz8mwLo23371bNw01czB/4Ofj&#10;cyHMZEPy/Wx0ExOOTTQMI+/B+i+npKEFFBiqUqHiSwLMBJ0dHo2iojR69k3AGIeebNm0SSOF77jx&#10;0AQ4HUyAXxZgjghcMG++Ni5mgqz7RtaLUPFlfTfQQ8RooISk2fOLlzxv9hw5c/qMfq9kT+dkKMiB&#10;p96/T1+d0VJeLrCUJp+tZNFi+vk5NYnTk/DqDcPIe7BTg/FAl9tatpTyZcq+IMA4Gez8oD40daBJ&#10;zGQS78EWpl07dmr+S/5PPjUBTg8T4JcFmD277GUbO3q0DB44UGKbNlMvMFg9VK9RMiOkYXISCCEY&#10;EhJYEyGLmqxjz3IahIzYxzd86FBNnKhQtqx8FHDsGJ/36bp2NTerbSGLFy7UEpaGYeQ9mFyzJMUJ&#10;aazjpj0nnDGQ8YBoIDWfNztvlzwZD5bb9u3dp1X/KFBkApwOJsDBBZh/hw4eIj3d99AwMkpDs4EN&#10;MdAQYBomCUw02mlTpkpycrJen2pTpPazvy4nrgEzSaAc5aSJE3XGS0GOj52XH/j5WPPmlKfIevW0&#10;7itr44Zh5D2YXLPk1qVTJwmvU0eKFSr8wljgVfarW6u2lpzctWOHTuI9EODkg4dk1IgRUrlCRRPg&#10;9DABDi7AnGtJqcl+ffroZnRmc4ENMdDwEhFhwtDMDJs3ayZDBg2SFcuW6UH99+7d0+IVf8vG8pOh&#10;+OnHH+X4sWN67+O6dpUw17HSFheh0xX49FOpWK6cHrvI2rZhGHkPxkQOVCDqR8Jp2kp/LMFx0ELT&#10;xo11LKAwEeeZe7DV8vjx47qMh2aYAKeDCXBwAWaDOedc8ruWsc11LQQv993/+VPQMLRneMGsFXPA&#10;fY+4OF1HZqM6ayuUcPzH37Pu4H0/4J1TJGTVylUyeOAgiaofqWs3aT8XEwyOWhzQr7+kHD+hxUSy&#10;u6CIYRgZg7dEdvb0GTf+TdLqdxyfyhnmgeMAP1Nal10T06dOVY0IzHMh0sd4t2D+fGnsHBcT4HQw&#10;AQ6ehMV3sWL5clnthAlvmHMxw2vX0fKSNMJgRSswzxPmcAYSl/CgSeiishbf8R0nxHjDbEvKCRAy&#10;unL5siZeMOmIcTPfUPWt8YwpwUnRdcJO1MbOiXubDcPwDxNpKuPRl6n3TuSP7ZQ4EuS2BI4BLEdx&#10;+htblJYtWapjGhriQc7LpYuXZN3atdLOibQJcDqYAL8swKzhrlm9Rg4dPKib0vfu2avVXYa7v7Md&#10;h3MwCcumzYbGvHA03jJh61rVqutrcubuwgULZO/uPXL9+nUVvpwAM1YmBUePHNEEq/Zt22rHS/u5&#10;MMJPTEQS4uP1OXx3dDjDMHIvCDDjI2MB+SCIKxqA+KYd4wrlL6BjIHURNrvxlCp/TMQ9GA9I5OK0&#10;OM4+NwFOBxPglwV4OpWwNm2S69euPT2E4f599/2c0prOiHCU82xLFCmqIVmEGMENlR393p/+pB5l&#10;vbC6Etelq8yeNUsOJB3Q75WUfRqsVx8ay2r4Xr569Eg7EtW+8HApo5n2s2CE1wnH0x4IM927e1c/&#10;g2EYuRc8X3SAbGYK7XTt1Oklz9czth8Rfiaqd+jAQa2CxcEuHlyLnBdyX0aNHGUCnB4mwC8LcOBh&#10;DDQuwq2IDWulic77I1Qb17WbbtshJM2s8KP3gzdYDJGmfGVE3XDp0qmzrjFz2PWJ4ye0gDlrw7wO&#10;QpzVa6q8ppaQe/DATQySdPsBh0wE+xx0SrK8ef979+yRq1eu5vh9zoZhvBqicV89+kpuXL+hS24U&#10;0SCCF2wMwPHo7ibpbFUiOvjnB3/WsdWD8YT68oShORXJBDgdTIBfLcA8T4/u++lnefL4iXx+44ae&#10;CLQxIVFGjhghjRo00OxgRDhUcha/Z/20iJs9Vq1YSUUMT3POM2/4gRM/T4SzWoDxunld2sG5s2dl&#10;1IiRUjrN3j/PmEiw/jNk0GBd48ELDtwDaBhG7oOdEIxrHMAw04lmUzc+kccSbAxgbGCSzl7fL+58&#10;ofksiK4HCaY/4LA4L3j5smUmwOlhAvxqASak4mUIBorV5+5vFNygMcZER+v+We8wg2Brw57hRbK3&#10;jgMOOrXvoNmCKSdOyK2bN/WYP9ZheK9ZFY72PhvG5yUBjW0GH7z77kufg1kxB01Q5WbOrNm6XvT1&#10;kyfPrmQYRm6EanhU7sOpGDFsuNSvG/6SAONEYBTq4Wzwk04vOLSfJajA+gaMW3jUCHNCfIIJcHqY&#10;AKcvwB6IFLM91m05NQQPkLVijuTq07OXNG7QUIUVbziw8QYaokYWNWspbGanmszkCRNlw7p1cvzY&#10;cZ1VfvP1N9niDbNVatGCherVlyxWTDO5A7163jvbq5o2biJDnRe8bctWO5rQMHI5j93En7F+4fwF&#10;Ou6zzSjY5JskTCbgU6dM0SMI2cLIWBjoLPB/xlp0Zfv27SbA6WEC7F+AgQbGjA+BZG2YowZTU1J1&#10;7YTnc33KVgY23kBD0GjchHMRavYXU4OZjEEKd7DHlnVh1lazWoA5ZnC9mwh07dxZ6tSsqWvBgR2R&#10;pDK895pVq2k29JpVq+T+/fvPnm0YRm6EMZ6sZTKb27RspRWs6OuBYxaRPcYrtlbOnztPD2RhbExb&#10;04D/8zv+tn//fhPg9DABfj0BDgZJB4SR165Zq2uozWNiNDkLsWLtFxHzQjheo/YaNjNLsqkjw+vJ&#10;oP4DZPnSZbJ/7z65cvmKXterJ02jRvwzU5SpX81+YE5zimnaVCqULfdCKIr3i1dcqlhxaVg/Uha4&#10;juh9R977Mwwjd8F6bfz69dKrRw+JjIjQ+s+BYxVizPIaY1rLmFhZuXy5akB6YxHleE2A08EE+I8L&#10;MKGYu3fv6tGFPI/kKuqkxjoRq1S+gooWHm8wAUacWRem6gyzy84dOsq40WNk5YoVWuaNIhlaxtK9&#10;/8zOkiaszroun79zx456FmjabEg+B5vxObqQM4/pV3x+IgImwIaR+7h165bWACCXhQIcaQvxMEaV&#10;dJNuytSSPMpOEJaeTIAzABPgPy7ACCMC9Iv7LtmudCr1pGzbulVGjxwpjaMa6EEOiHBgODfQPE8Y&#10;b5nHkmlMXebp06bpSUUcgO/tGc5MkSMZIzUlRctS4o2zdzntfkDeKzNiZsl8X8eOHVPhph3hBRuG&#10;kbu4fvWaJl9Wq1zleW2DwD7P2FSpfHmNijFusleYdeP0BJjiPibA6WAC/McFOBAt3OG+n4sXLkjC&#10;hngVYdZV6oWFaQWtAq6Bh9rkjhHyJdWfx3MiyfSp03R9hj13iDvblciU5n1ltDfMdoQrV66o6E+Z&#10;OEkPoWDtJ9j7ZEtVrx49daJBRvjXT75+7e/KMIzsgckyByewxEX5yRFDhz0/Czyto8DvateooYWE&#10;5s6erduVOAM4vfGHybkJcDqYAGesAOMJczoI66kXzl/QusnUTOV0JLKHSXDg+w21zw7vksMQCPnQ&#10;6Nu2au3e1xB3DxZroQxKQJL+T6p/Rgsw1ySp6uzZs/qe2ZCf9mQkzz7LX0A6tGuvJTo5TYnsbT67&#10;YRg5H05mY9LM9kfGOsZ7dmYw/qRdKuN4UnI+GDNxKs6dOauOQHqkpKSYAKeHCXDGCjCiiBGWRtCY&#10;YZLVnBAfLwMHDJCGUVFSvkyZl8I8aY1OwMH4JYsW06xj1oYXLVwop0+fVpGkA2S0ABPi5v1SGATP&#10;tmvnLi+dhuIZoapmTaL1oIqtm7fIJWrCus9rGEbOR2vAu3HpxLHjOrlv17qN5nYE6+ufuEl4i5hY&#10;Pabw8KFkJ9q35Je/pF+C1gTYBybAGSvAHogjz8UrpFhFamqqVo+aMG6c7v2lLCV7ajn44AMnxsFm&#10;noSC6BSUf2M9lhJw7DmmZjNnbuqBCG4Wm1HCx6SBtWaqWx04cECPHiQcHqy4CJ5x3dp1NCmDurB4&#10;wSRjGYaR86GvUi6SyfOEseO0Ol+wybaXAU3xnfj1G/TAfnZn+Il2nTp1ygQ4PUyAM0+ASZjyRI2s&#10;QRovwrZk8WIZOniItIptrhW0SNAiJE1jD2z8aZOzSJJoGBklfXr11r14bFdiQzzrMRkB75fPi6BT&#10;bnPs6NHqfdMe2IQf+N4+fO993abUpEFDXT/as2u3es+GYeR8vLXfxQsXaREhck7S5nswHjH+4ACQ&#10;lMnpcCx/oRmMa+lx5swZE+D0MAHOHAEOBVuKqKDFbHL0yFES27SZepl4uiRnpRXhYMbWJrxo7te+&#10;PXvl9q3bGj7mvZJc4YXB3zREzfM4HWn2jJla3Yv9f2nDU3jEtJOKToQ7tGkra1at1gMdEG8zM7Oc&#10;bfRVspnHjBolLWJinpafTbPlEKeAyT+RuvHOS77oxsvXGVPQXBPgdDABzloB5vum5CMeJu9n+tSp&#10;ugGe790rY8lM9FVCTIEPQtJdOnaSCePHy4Z16zUETDayHvb/TIjfdMsSnezmzZsqqrQDjl+k+EZg&#10;iJz355XUZH9g7549tYzl2tWrzczMcrgtWrBAy8kivuz3L1a48EuJoUy6qerXKCpK1385ntUEOIMx&#10;Ac5aAeZ6bFXi4AUO5j9y+IgmaPG6LWNjdbbJ9/+qJC08ZYSPx7J2QxnLmTNm6PahL9y9ZIbL5/0j&#10;Avzl/S9l967duj+wQ9t26nUHCjD/xwvmvbCOzd/Zv8wRjWZmZjnb6KssaTGxLpgvnyZ8pu3fJYoW&#10;k/CwMC1Nu3rVKj371wQ4gzEBzloB9qAhszZMQgNrwxzqwHsis5h1V9Z8WXdlVhrYMdIaj6tTq5a0&#10;a9NGZrl7k3zokIowxTG4Pp/bC0v7hccyQeDEE7zrwQMGSp2atXyFx83MzHK/MeZwzGrrFi3cmDhG&#10;dmzf7ibl902AMxoT4OwTYNZt2U7EnmESFrZs3uy+31l6xCFp/wgxs9BXecPsGWYDfe0aNaV927Za&#10;i5pzONkzzPvn83GPX6dKFe+N98V2A0LbFANpUD9S3k2TCW1mZpY3jck2S0uDBw6UtWvWaIU8JvUm&#10;wBmMCXD2CTCiyPXZk0d2IZ7rWSfEXki6fZu2evxXqL24mIaB3/9A12uotEWNZmatM6ZN06xF1nK5&#10;tp+sRQ/eG9sMvvv2O61xzalHrBWl3YpkZmaWN42+3qRRI3UIOGjGO6HtdTAB9oEJcPYIcCAInifE&#10;bClChNnrO3niJE20wrtlKwAi+6qQtLcmW650GS3cMX/uXNm1a5ecO3tWj02kQtfv7jX8rA0j2Igw&#10;2xXIlqQ2NWu9H3/w8p7gQCNszjGGVSpWlOpVqugEgvdvZmaWvUayFdEyxhH6cLAlJcYWL/uZiNq6&#10;teue1htw4+TrVrozAfaBCXDOEGDPG2bdlkpU1JJmny9VaoYPHab1pBEzb89wMBH2Og+Z1LWr11BP&#10;ePjQobJsyRJJ2p8kly9f1jCSn3B04Ps57NoBNa3Da9eRsqVKyacfBS9PiXGqU6sWLXUP8bQpU/Rk&#10;qIXz5+th32ZmZtlnFPFhIl2zWjUdR4Jte2QrElXuOGylb+/esmvnLo2gMQ687lhoAuwDE+DsF2BA&#10;hDHP8+S+sDaM97pj23YnZlNVhPGEveSswI4TaMxueQz1mhFiiqgTSqJYBiFpvgu8YO81sbR4v+ex&#10;9B06cKcOHbQd8P0Fe12MdSOOKWTt+OqVK7rl6tHDh/pZzMzMst4oAoR9fuNzWbZ0qbSMba7Jmyxt&#10;pY1m4flq+Vs32R8zcpT248DzyF8HE2AfmADnDAEOBkL88M8P3fu8JDu379CQNIczhNfBEy2tHYgE&#10;rVdlJ3MvKXvZzYkwIk6NZz439aS///57fQ0+Y6jOxYQA0eb7GD9unLRq3kLDWMFeCyNbmqxJzgK9&#10;ceOGHnEYTOANw8h86Hv0cZafqP283AmwjoEFCqrYphVgfs+knXGGErNE4t50O6MJsA9MgHOuAPPa&#10;P/34k25VunrlqiTt2y8rl6+QEcOGP6+gRZ3WV2VJc5IJe/2Y0SKebL4nJLx71y65du2aijD7hkMl&#10;adH5aAMUDtmwfr3069NHC4YEey2M/cDdunSRhQsW6OH+nGX8ph3YMIw/Bn2P2u6cenQk+bBMGj9B&#10;J+QU+yHcnHYpq0zJUroDgyp9WzZtdmPgTRPgzMQEOOcKMLNXby2W+/TVo0fqjW5x740jCiPC6kr5&#10;MmVVhNNLqmC9p2SxYhJWq5a0bd1aK3Al7d+v9541HhLAvDBToMfKz8yeyYbmdBO8cA5h4LrB1qGL&#10;FymiJz71691HN+9fuXxZxZ1rmidsGFkLfe/Blw/01CMq2/Xu2UuqVKgYtO9i1SpVlr6u7651j6VW&#10;NOO/CXAmYgKccwU4EE+EKTXJ4fwJGzbI2FGjdX2Xes2cM0yJyld5w4SsEeFazhvu1L6DTJk0WRLj&#10;E+TokSO65zdYoXVEEw+Zv1HqkqSw2GbNVPSDnZJU4NN8+l6aNGzorj9J15C4Jt9/KC/bMIzMgXGD&#10;EpL085HDhktMdFM9azywzwZO0tnvz7jAmMD49/133z+70utjAuwDE+DcIcB4p3wGPNXHVM9ynQpx&#10;Y5M8Qky5SNZfEcbAzhVodDLWfShjyUwX4eY4wTmzZsu+vXu1o3Ltv/31b89e9akA87qI8OPHj2Wz&#10;+w57xMXpLDqY4PMzpe3IhiaLki1MfMe0s5zyXRrG2wJ992TqSY14xTrxpd+nPViFyBlJm+yeINFz&#10;1fIVGvFCfF9361EgJsA+MAHOHQLshXAJB3lhafb0Xrl8RbZs3qKzVvbtcaoJIosQBgsz8Ts6HLPd&#10;/J98ovWkdc+wu/esMRMyJnEqMDnLs19/+UUOHjyoW4waN2igpeo++fDFYwq912B9qWXz5rJqxUoN&#10;m7P9icmDYRiZjzdhp6Ld3t17dEmIvs7OiGCTZsZ8Tjbr26u31oD/zU24vSWpN8UE2AcmwLlDgINB&#10;52BdmJA0WdKcWML6TdPGjTVRijKVhIiDCTEijEgy62VNV09WGjdePeqjh4+oh03yF6LJd0BnRJTZ&#10;FrVyxQoZ2K+fNIyMlEIFCrx0be/6kfUi9BizPXv26B5kkkEMw8hcmKgzrn/pxmnGBsbv1i1aPi2k&#10;E2TZiH2/JGnyGCroUfmK8fKPYgLsAxPg3CvAz9dn3WegjCWJFpsSN8qUyZM1lMRmejzdUHuGEWZv&#10;9ksyV4OI+no49+xZs7T4OtufyJL2RBhjXy8HPrAWjOfMnsFQ16a9cJIKbWa/+46pxmUYRubCxJzl&#10;olMnT0n8hngd1zi+NJj4YuwJZlwcN3qMjh9Xr16Vf/z9j+drmAD7wAQ49woweKFp3iedjnVcQk4T&#10;nOfZOKqBhp1Y8yUsHWzbQaCxfqzecKfOegzh9m3b9KQmNvFTktJbf2Z/L2vGw933hafNddNmYPM6&#10;bH+KioiQnt27az3pG9ev6/vEm+Y9G4aRsdCvSHakfOT2bds1AsVkvELZciEjYYSee/foKevXrtPt&#10;hlTio4/+UUyAfWACnLsF2IMOQ7F0QtKsC5P8NHf2bD1ZqXlMjN47ajQjxGk7oWfMkCmygQi3a9NW&#10;Rg0fIUuXLFFBv3zpkgo8YWk6KKGt2TNm6lowyVhkWKft4IS2ypcpI40io9QrZ1sDYWjK2llGtGFk&#10;LHi+jFcsFV26cFEWL1woHdu11zrQTMID+yZ9lYkz4wH9neWnY0ePqhYQ9foja78eJsA+MAHOGwJM&#10;h/nHs86Ht0qlK4p3IMSTJkzQIhzUgC3iOmIoL5jZMCLMVqJypUrrPmMq4kyeMFGvQzIVpe3ooKwv&#10;rVu7Vjp37Kjtoljhwi+FuvmZ63l1ZZmR37t3T7dSUd7OMIyMg0k4/ernn3/WHRLUb+cABsSXgjyB&#10;fZO+jvgy1nMG+dLFS7RojneGeEZEqEyAfWACnDcEOBDEmI5IZ+IzbHOfhTKSXTp10io4CCIimzYb&#10;MtBYO6bjklXNsYicCbxr5045deqUfHHnC10L5rpjRo3S2rJVK1XS5wS7FlscqK5D+3q65/im/OLa&#10;nWEYGQe7IohSsdSTsCFeunbq/HyrYNolIn7HElEd5x2T97Fty1YtuJORmAD7wAQ4bwow75vP/PWT&#10;J5qBTNUr6sCOGPb0ZCXCUmRFBnbKQPP2DNMWaunJSi1l8MBBWh8Wb/jY0WOaqLV65SoZM3q0NGnY&#10;KOS5xR86Yeb12HM8b+5cbVcU9jAMI2PAYyUyxdLQRjfO4f02imrw/OjBtFEv+iqnm9EnF8ydJynH&#10;T6jnnJGYAPvABDjvCTCd0TPeP5nShKURYj4XCVZ4teVLlwkZjsb4G52XzspMmjrPPI9ylPHrN6hH&#10;jEe7YcMG6dq5i25pCnYdrkGmJUXeSfBav3at/PmBZUQbRkZBX2eXAYmTjG1Uq2OfPuu8wfokk28m&#10;4mxdPLA/yY11NzN8WcgE2AcmwHlPgIOBV/zk8ROdIXO84fQpU3UbEccHkinNfl7Wa4NtWSJ8RciK&#10;2TQi2qFdexk1YqTMdzPnjYmJ6ln36tFDM6ILPdtrGPh8hFzLYBYtJlER9TWczRYJvnvaX0ZkXBrG&#10;2wh9h7wPvFcm2IsXLtJa79UqV5Ein332UujZS7yiXOyg/gM09MyxoexuyOixzgTYBybAb4cAM0Pm&#10;XpNERZENTipatXKljB87Vjq276DCipdL50y7V9DzhBFhPFnK2RHe6ua8XtaAqYzFViNOaKpdw12n&#10;cOGga06IMB2fE5VYozp39pzzhB9YQpZhvCGMT15S5KGDB7U/Mqkmf4Pci8A+SJ9kEl26RAnXf6O0&#10;PCXjPlXq/uIEPKMnwibAPjABfnsEGPvXP/+l3wVrsLdv35YjR47ILHdPWzdvoQlX3PtgXnCg0ZHp&#10;3FUqVpRmrr2QCU19aIS1VfPmep20AuwZYWruAWHs7Vu3yRU3+yZEbhjG68PkldDzRTeWxW/YoIez&#10;MJEO1vfok8+XglyfpeoduyWIjnnjQ0ZiAuwDE+C3Q4ADocORIc3M9/MbN3Qtd9aMmdKnVy+JiY7W&#10;ULLnDYdaI37/nXfV061euYrUr1dPmjZuIq1btpSo+vWlbKnSQYtzYFyTzEvC34Si9+/br22M98Ng&#10;ktGDgGHkNegjeKvspf/+u+90OQcxpTBOw8goLUGbtt9hRKHYltS5QweZPm2aHEhK0iTNzMIE2Acm&#10;wG+fANOB+T4QvW+dJ8znpP5rYkKCTBg3TteQ6tSsqYU70oajPUOYP3FiikdbungJDS3zHLYjMcv+&#10;6Nl68jtpRBhhLuGuS+1ZQtjUlWbtiskA74fJgWEYoaH/Mi6x9ssSDieU9e/bTyLD6+kpZAhtYJ/z&#10;jNyM6EaNZbIb63bv2qXRJ4r3ZBYmwD4wAX77BDgQBA/Pk3ZA+bptW7fqunC71m20cAfrtiqkITxh&#10;DJHO//Enehg/XjHHESLOH7iBIK0XzHWeV+CpVVu/b9aubt26pQU6mNUzwJgnbBjBwfulLCw7GxDR&#10;WdNnSHidMF0Wom+l7av8TB9lstytSxdNnKS/MenNzPwLE2AfmACbAHuzaTokpx2xv3fenDlaxpIz&#10;RAlb4dWGCivTuZldc7whQqwDgRPfYMLtDQbM0qlB26lDB5npBhDC4CSHceQhIuytSxmG8SL0V5Ku&#10;qNu8ft06rTJH3gV9KljEipKw7HQgcZKqeIfduE7BDrzfzBzfTIB9YAL8dgswIofY6az62clKlIs8&#10;mZIqifHxes4wRxXWqlZdveFQIszvEFzWht91gwCh57Ti6xm/5/HsRaxTs5a0b9NGv3PaG7WimQx4&#10;nrBhGC9C/7hw/rysWb1aBg8aJI0bNpSihQppn0rb5/gdYWlyNAYNGKiCfe2qm+i6vo73m9GZz4GY&#10;APvABPjtFuBgIHyEgzmOcPfOXe77mCYd2raTqhUr6fqtF5YOJsSvY165yyoVKkr3rt10cKBMJevS&#10;DBAmwIbxFPoCYxGhZ8asvXv2yKiRI/UwFCJJn3z44pYjjP5JH2OS269PX1mxbLkeuPDVo6+eXTVz&#10;MQH2gQmwCXBa6Oy0CxI8SJDat2evawOLZeSw4dKmVSsNSbOeRKg5WMjLr/FcxJyM6+iGjdx3P0a/&#10;d4qFECKzhCzDeAp9gTXfu1/clZOpJ2Xh/AXSoV07qVS+vB6wkjbxigkyfYsJc5uWLXVs54AGth5m&#10;ZuJVICbAPjABNgEOhjfb/vGHH3W96bLzhineMXP6dK0LzZoSIWQ6emDHf11DhJmlU+aS7GuysEkE&#10;Y6AwATaMp9AX2O/LbgUiRYMHDNSCGyQzBku8ok8xsWWb4KABAzSSpQU33HifVWOaCbAPTIBNgF8F&#10;3jBrTt4Rh2xfIJGjnRPL+nXDdX2JJA86fKg13/SM5xV2bY4DG6g1PXvWLD07+PvvvtdQtJ0dbLyt&#10;0PZZq6XUJOMVxTYoAxvrxjG2/wXrT0xqWdphlwFLR/PnzdOoUlb3IxNgH5gAmwC/Cm/tCSGk5J2W&#10;sUw6IKtWrNQTVzgvmDUm6jz/EW+YcHYJdw1KWfbr3Uc2uFn+5UuXtP1ZpSzjbYXJL/kYd+/e1Z0C&#10;Y0aNliaNGuu+e8pKpu1HXkSJcrHkVXB62QHXX++552d1RMkE2AcmwCbA6UHHJVvSE+IfnBDTZnbu&#10;2KlZ0hzOwJGFr6qclZ6RMIKAM6hQLGDS+AkaNrvkRJjMaCYCnhlGXiawrf/0448qvqdPnZKFCxZI&#10;q+YtdOmHQjdp8y/oe4gvfahxg4Yyc8YM3arErgbWfbO675gA+8AE2AT4TaDdXL50Wddr6ei9evSU&#10;BvXr61ou7QcxfRMx5nlkW3dq30GmOnGnXjReN9434p+Z2yYMIyfAhJewM5XhvrjzhRxOTpaVy5dL&#10;/759tY5zWuH1jL34ZUqW0nN+qYy1ZdNmXTb60Yk4nrQJcA7EBNgE+E3g+3z81WO5fv26GyAOa2LI&#10;tClTtBg8ySHenuHXFWEeT/vjODXu1eQJE2Xv7j3y+Y3P5cnjx5lauccwcgKMOXisX331lZw4cUI9&#10;X/pVRN1wzWoO1afwjKkFPbBff1m+dJmkpqRm6756E2AfmACbAL8JzNK9BBHWqG44IT5+9KgscoNF&#10;p/btpVTxEhoKY3vE6+4X5vE8r2ihwpqUtXDefG2LHBpOe+W1vRCdYeQFvPZM2ybS8/DhQ7l29aok&#10;JiRKn169da8vyY5ptxthCDJecbnSZaRnXHfNz0g5fkLu3b2n/dPrL1mNCbAPTIBNgP8odHIqaN25&#10;fVtPWJk/d662n6aNG2syCN8368OhQmehjJBa3dp19FpeMsmX97/UNusNLIaRF6At06Zp22z7o2DG&#10;urVrZcSw4bqe+1m+/EGr0NGnEOYyJUpqtaupk6dI8sFDcvvWLfnOTYyzc8nGBNgHJsAmwH8UviNq&#10;OLNViTUr2hL1pKdNnarbIGg3hM4Q1MDBIz1jPZjnkWXN8YUUA6EfU6SDbRkmwEZeAaH0ws5nTp+R&#10;ZUuWSo9ucc9POCK5CrFNG37m9xWcd4xIs983IT5eI0XkTLCPPzv7iAmwD0yATYD/KF7ozJvFI458&#10;rxTumDJxorSMjdUzgD0Rfp0ELWb9nKxUxXnSgwcOku3btml1LkJ0vBYDlwmxkVvxQs+0ZcSX0422&#10;bt2qdZs5lzvfxx8HDTt7uwaoSBcVUV+37i12E9QTx0/oLgX6hHft7MIE2AcmwCbAGQmCyHdNBicJ&#10;WhTuoBDA0MGDpU3LVpqgRQEBZu5pB5VgxqEODDTFChfRtjli2DBZvXKVFupgwELsGbwMIzdCf2GM&#10;oeIcxTIYoyaOHy8tYmJDnkDG5JX8ilLFi+sxhIjvsqXLNBmSCnJ4vjkBE2AfmACbAGckzLi9QYWQ&#10;9Jf37+v3jOc6e+Ys6d2jp1bQYt0qcFB5lTHg4Dkj3GzDIDS3auVKuXr1qoajacOGkdugr9BPEEwm&#10;k0xWx44e7cQ3RnMnQu2rJxRdqlhxqRdWV8/3XbRwodaHfvTokYaxc0rlOBNgH5gAmwBnNF7oyzM8&#10;VE45Stq/X4vI94jrLjWrVdd25p2slF5Imr8z8BCO47nDhw7VykAcy8ahEWy14F5ZONrI6dBGaav0&#10;C7YJkXR15swZTV6k0Eb5Z3XWgyUt4g0jzExEu3TsqHkWSW78euwEPCeEnQMxAfaBCbAJcGbDjPzJ&#10;4yfP9gwny8oVK7SMJQlaZDlTt9ZbG0474ASaJ8LM/r3zTZcuWSJHjhxRESbx5PccEn4zjFAgvP9J&#10;uDotmzdtdmPONOnWqbOeu434Upo1beiZySehZyJBLOdMmzJVveYrly9rsY2cIrweJsA+MAE2Ac5s&#10;mJnjobJeS5iMJKpDhw7JksWLJa5rNz0PmG0WrAv78YR5HHuE2RvZ1Q1aK5Yt03uJJ8FrGEZOBZEk&#10;PwLxZUKaEB8vQwYNkoaRkVK5fIWQ240wPF/dFVCjpuZU7NyxQ75wYzfnZ+fEPAgTYB+YAJsAZyV8&#10;n4TdKJGH5zp39hwtO1k/PFwqlSv/dPbvBpr0vGEGKIwtSmy/2LB+vbZX7hnXp13bvTNyCl5yIuu9&#10;TBRPnTqlY8zY0WOkScNGz5dj0oadmXDSF4gQlStVWhrUj5QebtK6bMkSuXDhgrZzxDcnLr2YAPvA&#10;BNgEOCshHI0HQLiYjM3kQ8mydvVqGT92rK5pRdStqxV98n38yQsDUVpjYEKASxYrrtswKNVHSI76&#10;t2fPnNEC9LyOYeQEGH+8sDNn+lIqckC/fhIT3VQquokn3i0h5rSeL+Kb3/UFPF8OKRkxdJisW7NW&#10;dwE8yOG5DybAPjABNgHOSgjBeVnSCOQ333yjYnno4EGZM3u2ZnVS85YtGIEDUSgjXPep8xyKfFZI&#10;BzM8io0JiU6Ez6onbBg5ATxfMvY/d2MKZ/oyvrKEwjnYeLfBQs6YHtPpxJeD9fv27q1jmIadv/1W&#10;fvv11xyXeBWICbAPTIBNgLMLhJjwGW2QLOl9e/fKgnnzNKSMmLI2XKxQYR2gXrU2zN8I3XFGauuW&#10;rWTMyFESv36DXDh/4XnVrJyyNcN4e0gb7Tl27Jiu+XKgfqOoBhrlCbXPl997YefGDRro9j0qwTFO&#10;c0Qh/Sant2kTYB+YAJsAZxfM2hlEGEyY0d90IpyakiKJCQla05bC8oSXKcLBIJWeCLN+jAhHN2wk&#10;I0eMkMT4BDl96rSuNxOqM4yshDbHCV6c5JW0P0nmu/G1V48eKqjlS5cJmWzFZNILOzeKitKwc4Lz&#10;mukb7KvnuvSbnBh2DsQE2AcmwCbA2YUXOsMYTDAGlzt37sihg4dk6eIlWnSDNTIGpVBhukBDiBm8&#10;mjZqrOFo7vnFCxcsO9rIcvB+b9+6LUePHJHFCxdJl46d9NAE1nsR32DtF2MtmMgP52J379rNiW/8&#10;8wx/L+HK6zc5GRNgH5gAmwDnJJjZc7LS9WvX5NCBg7JowUIttUemKN5t/k8+UTF+lTfMAMZ5woSj&#10;Rw4brlWzOF3m8xs3NCTNehyvQwg8pw9iRu6C8YLcA/Ia2OO7aeMmmTF1mk4kI8LqSsEQ24y8sDPi&#10;zOELTCAH9O0nS7W+83H53l3T83xzCybAPjABNgHOSTC75zxUQtJ3v7irGaPct6lTpkjbVq3Vg/BO&#10;hgkcwAKNwY0i9VQUYn9l7549td1u27ZN7zlrct4amgmwkZFoBOf2ba3LvHL5ChnuxpRm0U21tCSJ&#10;hcEynb0264Wd2ZLH8zYlblQRZwnFmzTm9LBzICbAPjABNgHOqTDg4E3cvXtXC3dMGDdOM6QJz3l7&#10;Jl/lCWMMarWq15B2rVvLpIkTZffOXXLPXQ8RRujxgnNLSM/IOXjtBaP9ME5oLsM330hKSoqsWLZc&#10;BvYfoPt2X1X3nPaL+JJwRYU3SkxSXIateSzFEMZm7MqNbdME2AcmwCbAORXEkfbJViWqBlH5Z+b0&#10;6dKze3c3sNVXb8GrJR1scMN0YCteQurUrCnt27R193eMrF+7TpKdoN9w18TTZpDjPpsAG36hrTBB&#10;xONlfy9bgxhDd3DoyKynh45wRi/5C7TBYG0TIxOavewIL+1z9IiRsnrlSo38MDZx/dzaNk2AfWAC&#10;bAKcU/E8CwYhTlZiXe3KpcuyedMmGTJwkNbN9UQ42OCG4V188uGHUqhAAalUvoJmoJLYMmvGTN32&#10;xPYQ2gDesAmw4RfaCh4vNZgZI48ePap1ydlC16p5c22bhJyJwAQLOWN4vyWLFpPwsDDp3KGja5Mz&#10;5EBSkht3bmquAu3ei9DkRkyAfWACbAKc27h165asWrHSDVodJLJePS1hWahAQS3I8arsUjwRBkXW&#10;4xjw5s6Z4wa8A3Lp0iVt5z87T8Yb9AwjGLQNhPfXX35RkWT/OtuDli9bJn169ZLwOnWkTMmSWkAj&#10;WBvEWDqhLZKnwOO7de4s06ZM0Qnho4cPn71S7scE2AcmwCbAuY0nT57ooLduzRqZNnmK9O/bT1q3&#10;aCl1a9VWj9jLMk27PuyV9UOEeWy7Nm30gH/OU+Vow3Nnz8mX979Ub9gwguGd3Xvjxg05TBlV1wYn&#10;T5wocV27SlREhIqvd6BCYNsLNP5epWIlzewf2L+/blHC8yXzn3B2XsEE2AcmwCbAuQ28VLZlaFH7&#10;k6e0/jMh5W6du0iNqtXU+0Bs0wowP+N9eMe6UeCDvZZtWrXWWtTstzxz+owmaBlGMAg5I5QH9ifp&#10;2daMk/XqhD0/wxfPFvFN2/YCjW1GsU2b6XizetUqOX3qlI5D7PPNS+ONCbAPTIBNgHMzXz/52t3H&#10;S7Jv9x5dQ+vcsZPUrlFTBzm8XQQ31BocxmBJyUs86NEjR2mh+1OpJzXzmhAjAy5eD+3A1ojfHrjX&#10;hJu577ot7ptvtArVubNnZduWrTJ39mxNtEJ8yXKmHYXaGqd5CG5SyLnX1H9uHhMjo4aPkLWr1+ge&#10;X47ozIuYAPvABNgEODdD+3308JHzSq7Lfncfly1dqve2VfMWujaMCOPxhvJI3nWDJgc5sC7MaTMM&#10;qlMnTVYhTj54SEONj7/6Sv7ivBMT4LcHEp9Y68UrfejGwJOpqbIpMVHHv8EDB+qB+OFOfEsH7EsP&#10;1sYQX8SZQ/QJOffv01fmzJql4wundjHRy0th50BMgH1gAmwCnJthKwgDJVuJaJeUndy9a5eWoWwY&#10;GaVrwoSbQ3knmHfeqtaSLl9BoupFaKb0/Llz9ZQmQo6sO9MWGJgxxNgzI/cTeD+97Hvv+ECS9Nav&#10;XavCGxMdLTWrVlNv1jtCMOTkzokv4swkMKxWLT14f2NCguYvfHHnzvOkP9pwXsQE2AcmwCbAeQEG&#10;TrwVBsyrV6/qgQ6jRoxQT6VeWF0pW6qUfJa/gA6IwQZLDJFGrCmIQGgREZ4xbZqerETCDXuRWXdm&#10;/RnR9wTZyN3Qdgg3I4ScNPTw4UM9NvCkGxP37tkrK5YvV/Fs0rChRlWYqL1qQofH++lHH2myX81q&#10;1aVZ4yYyaMBAWbNqtXq9hLJZ2uB18zImwD4wATYBzgswmCGKtGfWbvGE9+7Zowc6DB082N33Zpqg&#10;Vaxw4ZCDJ54MHg37itmfSQWtpo0ba+EPqmitWb1aDuIROyGmQhevZe0j9/N8a9Gvv2pBjePHjumZ&#10;0jNnzJAB/fpLqxYtdBJXrnRp3TpEtORVXi9rwmRD1w+vJ3169ZYF8+c/y7I/q+HsH3/4QX7/7TcT&#10;YMME2AQ4b8BghjfKYMq9xhvm3l6+fFmPctN1YTeQcrC5Vz0rWHIWAyu/R6QRYwZbjo5r6ryYfn36&#10;6GCalJSk9X7xtgkj8np4T7w27yOvD6y5Ge/+eG2F/o3wUuiFiduJ4yd0j/nwocOkZWxzrWT1yYcf&#10;aeTEazPBxJff0WYo+kK0JaJuXenetavuD774bJyhTdJWeF1vGSMvYwLsAxNgE+C8BgMb9431NUSS&#10;tp0QHy/Tp07VgxlIhqlRpaquD4fashRoBZxHQxUt1pS7d+smE8dP0EF6x7btWgHpihN5CuazfcnL&#10;mLbQdM6DduGJLuMebYPjAs86z5S1/s0bN7nxbZbuK4/hAAU3WWNJIlib8AxBJuRMWJoMZzzlju3a&#10;6ylcJARyFCGvQ1vkdfO66AZiAuwDE2AT4LwGgxweKUb7ZpsHdZ9pz+vXrdMs57guXXWwLFqosCbT&#10;vHJNz3nCHCPH2nDVSpX1QIjYZs2kb+8+MnXyZFm3dq0OtGS04kkhwibAOY/AiRne7vlz52X3rt26&#10;TMEWtE7tO2gmvLeNjXAzUZBgbQJj0ob4ElEhi57M+6GDBmthDapakbz14MEDbYNeezQBNl7ABNgE&#10;OC/CQIcFhhq/+fob9VaT9u2X+a6tI8J1GGxLldYELQZbhDhUiBHD4/Gypiniwdoy2bGEGvXMYddm&#10;WOdDiMnMZrD3wo6YkTUE3ndvfZesZvo7onj+/HnZunmL9vWecd11vZbMZsSUdvCqULPn9ZLdzMlc&#10;FcuV03D1mFGj9aCPlBMp8virx/ravAevLb5N4gsmwD4wATYBfhtg8EMQqbV77epVObB/vyxfulTG&#10;OM+HWrycXIN3S3WsV3k9njEIM2ATpsRr6hEXJ+PHjVPvJzE+XkX+1KlTuo8YDxxBRozftkE4O+A7&#10;pr8zttG/Wa8/78Z/TsCiX69csUKmT52mEydOIEJ8y5Uuo5Oq9JYjaBuMj4SbIyMipEO79jJ08BAd&#10;OxF09gvrFiPbN24C7AcTYBPgtwEGQ+4lIsxaLWu2JGjRxletXKlrdq1bttI9nng2wQbftEZiDuvD&#10;xYsUlQpuQCZrOrpRI+nWpYuMGjlSlixeLHt279Z2htfFoGyh6cyH75j7TJiZiERy8n9qNlNopVl0&#10;tNSpWUvrMRNq9jzfUNGPQKNt/P/bOw+3qq6sD3//yaRHE6OxYQc1ioLYKIoVEQtSREUBwYKKFHtH&#10;URCJCHYRxQZ2ir0BYteoEx1bMqNmvvJkffu3yPEhBvXgXCHR3/s8+4nDwLn3nnvvec9ae+21O3fs&#10;KAP79VeBY54XDVvOnj2r+/divTgibVxvKGAK+I1QwBTwhwIuiBi4QOPzgLQk9ho+eeKErM/O1n7Q&#10;gcNH6NpNRMJomo8iLaQbEfFWd0F+eWB/18ptD/towRfaY27bulXT0+Xl5brGFBfpRw8f6VpQK01d&#10;tYqavB7rPcT5wvuIOXdcx7C8B+8nip7w3T1h3lcsRVtlrl+TYyaJv5+fdOnU2fYNFmRsTTegGAvX&#10;RVTRBwwZYq4Vk/XGDddN7CldtfjO+px96FDANqCAKeAPDVwcITx8JvD5v3Xzpl6s83bmSXraapmV&#10;kCjhJlJCw3ysHW7dooXtizZSlIioOrq4aGpz2NChEjF+vMTPiNON2r9fk2E+h1tk3569UlJUrOlw&#10;fMcQleOGgBHym8E5stZ8Q7gofrtw/oIUHS3ULmjr12VJyvLlMjtplkyaGK3FVX19fFSeqHyv9/mb&#10;pxggXxTnNW/SRLuj9fHykqARI/UasXxZsl4fSkpK9LFxE4XrBOf4fw8FbAMKmAL+ELEiKIgYF9An&#10;RoBaLV1RoXO3mM+bnZQkwwMCxMPNTbsavSk9iYHfQdU0Imc0ZECRDpoyYK7Ys0dP/fwhDZoYnyCr&#10;U9Nk967duk4UKWpExLyIvxmcI7xnkC/SvmjtmLt9u6xckaLfawgXS826de2qBXaYIkBFs1VgZed9&#10;RMYD10EU2uGaiE5Yq1NTNaJGQw1cA9GMBc8DnyF8nnjz9HsoYBtQwBQwqQQXdiuqQmSKz8DcOXO0&#10;ExYacWDXpLYtW+nmDYiIMQdsNzWNCz9S2mje36Obhy5ZiYqI0GIgLGNCy8NiIxK00bx65YpG5SgY&#10;03S1udBjXvHZ02f6OcbzxMX+fU1z4vUhLa83Rk+e6I5Xd+/c1Xl7FFRVlF/Ulo6HzPUpN2e73sjg&#10;Zknnd/v1V2laa7yrey9eHngP8f7g97GeF+8RCvLQejIkKEhmTp8umd9/r9MIV8x7g88HrwtvhgK2&#10;AQVMAZNKqqY2MY+IIi1Uzm5Yv17Tx6h2DR41Svp6++gFGpEV5geru6i/PKy5RETF2BkHf48UNT6P&#10;uMhDxqjIhpCxLnXTho0q5aNHjsrZM2fMZ/Gy7vqEKBnP0Yq63kcg30cPH6pwS0tLpbioSPbs2q3t&#10;ITPS15jr1FKZnZik87q4OUIlM8SL3Ykw/46sA26QMHdf3Xvx8sCNFK4JLm3bindvT42gY6dM0Wsd&#10;bo6wphd1Aoi2H5jrBXbG+j9z/snroYBtQAFTwKSSPxT3PHumlcvWPrC4EK9csUJioiZqJS0kCqFW&#10;d1GvbiD1iWgLMsZFH0JG0RaOgRQ32h5iXfKQQYO1h/CcWbNVxvgsHj18RMpKy/TGAN9ZSPh9FTDO&#10;+c2bN/UCjpTvGiNdzOdOjIhU2fbx9Kqcm3dqoVkFFEhhvtYqmEM1s93MBAb+XpcVmRuiCHPeMX+M&#10;ZWRYuoRrXWX24amec1wP8PlgkdWboYBtQAFTwOT1IBWK6mVsS7i/oEDTkdicAb2h0V8ac7tdOnWS&#10;tq1aawqzaq9pO/ONGJAGJILvHlLdaHs5cvgI7baFyHjxwkUa/aGiGvseHzp4UIu4EJlh44kyEylW&#10;XKyQq1evavoaKdv79+5phS5S2EjlqkjMTYWj09gv37hYTS8QrWPgsZG2RUodzw3rZC9fvqzdydAY&#10;BRH+yeMndC4XaV5Id+P6DVq9jNQyWkOOMOJFZbm7axedBsCcLs5xdefyVQPvhaaZzfe/TcuWep7R&#10;9Qo3U9j5Km76dG2oUpCfr88NNQF4LeTtoIBtQAFTwOT14LMDofzj/n2VB4SH78aO3FxZa2S8cMEC&#10;iYqM1MgV60shYki4JsuXtHjL/D6iYkgckkGE3d0cD2lRpFgDhvhLcOAoGRs2RqIjo/QzjL7Ui813&#10;EmuOszIzVdAQGFpjnjpxUkrPX5CLZeVyxQgPUSU+70ihWtGcowSMY+GYiF4xb43qYNwMYGDeFN81&#10;7DKE57Y9J0e3i8S5W5WSoku1khISJNZ8/yLNDUdYaKi5+Riu5xPp/u7u3fRcoKAK6WVErDWZf7cG&#10;5nlbOTlpUR1aiaJ5CqSLfZ/RPAX9oJHpwDwzzhNey/+Y9568HRSwDShgCpi8HivCswYiPXwuENkh&#10;MkYVM+aJp/+2/zCiKnyHINPX9Zh+1YCMrQHJWAPHwoB8EAFC0m6uriYy9DER4jCZEB6uQnkRLW/Z&#10;qqlURMtFhYUaaWK7Pat6F98JRwgY5wTHwjEfojLZCAzpW3SFwsAcLhqSYD/cRQsW6ncMW0Ri/hbn&#10;CyllLBHCFpDWObOG9dqrnpPqzpmd8dWXX2qmAo85zXz/01JTJX/fPrlw/rxGu5CtlRmwhiPOz4cK&#10;BWwDCpgCJjUHF2cUCyHFik36sSYUn68VycnmMzRTJowLf1EchE0fsPuSS9t22uADBUI1TZ9WHRAS&#10;RIX5T0R0KDzycHfXaBE9iVFEhIpgFI1h/THWNc81n2+NlM13ed3aTI1AsfsPolEs4flPBo6BY23c&#10;sFH3TEY7TuylO3/uXB3YsAI3BkinBwUGaiSP8+JjxIulQtjkHlXLOC94bdW9ZjsDf4ubExwHx8N5&#10;QQYB6XycF+1QZm6S8B5t3rRJb0xQ5IXrGd5HvKfEcVDANqCAKWBScxAZoRIZEkZ6GpEw2h4ihXnk&#10;8BGN+FBBi+3tpk2N1TlGbNyA7xHWBWPf2OokYndA4EipYt4YIsauTq2cWmhPYzSOQMcnROKoDMbu&#10;TV69eqvw0Lca6VcICUuhhvn7a7OQ/2QEmGPgWDgmmpegHScey7t3bx14bCy9QptPSBE3Ioje8XzR&#10;tARFaJibtbtG91UDf4/MANpL4qZn+NAATdXPMzcB6Fq1c8cOvabBBZcqKvTGCXPTeP+QPme061go&#10;YBtQwBQwcRxIYaItITbqR7oXO+MgFbwieblu8j5q5Ejp3bOntG7RUhrUr6zcRTSLyA0CqWnx1oc0&#10;cE5wbpCatm5AtJrcnEPciGB+GGuAvY3wQ4OCJclE/kh74zp2/dp1ndPFDRPeI/LuoYBtQAFTwMRx&#10;II2Jzwwu9JXzoddMVHxaG/bjM5WRnq5FW9OmTtXvGDZvR9SIeVAtNjICwTphRLXWkpoPWcZ47TgH&#10;OBeIlFs2by7tTQSNZUi9TZSLjleY0x0dHCLRURM1/Y+sAyrV83bs1EpxRLsP/vFA3xO8N0w11w4U&#10;sA0oYAqYOA6kMRFhVU1P4+KPFDWqkJGmRjGUNpfYvVt36UEVMHZjwncO86MQi3PrNhrV1aSS+n0c&#10;eO04B6gqx9Ih967YccpX57mxPAlV4KkrV2n1N5aIlRSXaFHVlctXtJEHdkRCsRyyEnhP8N4w1Vw7&#10;UMA2oIApYFJ7IPrCZxHrS7Fcp/RCqezPL9B1rynLV+iewuFjx2pUjDWvmM/FsiZ03UKKFd9NzHMi&#10;GmxYpQEFNhj4K0TMVSNapI/x3BsYueK1YGtHRP5YhoU5bRRSYT4X5wDnYoCvr3YNQwX1/LnzdM3u&#10;ju25eu3CsieseeaGFn8eKGAbUMAUMKk9rOItXTNromM0p8AGEKdOonjrsOw2UfHmjRslPS3txfpY&#10;fC5RQYz1sdgucchgP40C0coShVbfte8g7Vq3ftGCEXOjfzYRW+LFc8M6XqemTTXKx5686P6F14Jq&#10;5YG+/TQLgDlcNDpBS0hUceNcpK1aJdnr1mnVNZYPIYuAaBfyRTEVrmU4rxTwnwMK2AYUMAVMahdI&#10;GJKw0tT4DiJNiggO3auQrr51s3LjAaSrIea8nTslOytbu0OhX3TcNGtZzyiNlj179qzchKB58xe7&#10;/kB41cmwLoYlX9wgYOmUa8fvxKtXZS/s4FFB2gISy6bw/dM53LVrZad5zeiMde7sOW2AghQ+rkdo&#10;x4nv7YtNKkzUi+83zifOK1PMfw4oYBtQwBQw+XMCkaByF00i0LoRxVyHD1XKGI0/0EgCkWF83EyJ&#10;iYqSsJAQjR6xHhhLf3p5dNfOXG6uXfS7C0Gj/SKWAlU7nF10GRNS3miKgYE0MIb1v/H/uZjfwX7H&#10;1R7DjE4dOuhjYQtGPDbW4vbq3l2rk9FOEkVTY0w0P2kiiqbif1ufvMpIN1M2b9ose/fs1S0h8Zqt&#10;3tfkrwcFbAMKmAImf04gYKRUtQ2m+ZzeuX1bq6rLy8vljImM0WXqiBEy0rFY47rVfL6RokUXrNVp&#10;aZqyXbF8uVZdI5WNZhiovsYcanVjUnS0NvAIMREp1tBC5vi+oCUk/o2fhQQFa5MR7I9b3TEw8Bh4&#10;rFmJidr5CnPbeC54Thlr1sj6rCzZumWL3kjk78vXCB+vBVsMoqsYqpZRQIXXbK3RJX89KGAbUMAU&#10;MPnzYlVU4/P730ZEqOZFyhXfW0THutnB48eajkUKG59npLFR/XvPRI/4rkLY+H4fPHhQZY0mIbvy&#10;8v4w0Ns6e12WbmyPNDd2Y8L3ITE+Xv+9wHwv0OVqfXa25BnhV3cMHDs/P1+7TJ0wUSw2Nbhtbhzw&#10;XPCc7t+7r8+x6iYReA14LXhNT814/uy5SrdqWpn89aCAbUABU8Dk/QUCg+CQxkZjEGsXootGyi8P&#10;7KiE6wA2JUB0is3u0WIS0Wru9lzzszzdHxliLS8rq/YYODY2fkBhFNLHiGDxHMiHBwVsAwqYAibv&#10;L4igrfXIj02kbEXJ1Q0si9I097Vrcqniklw0MoVoMSBW/AzFULgmYGeo6o6BgcfAY1mdpxjBfphQ&#10;wDaggClg8v5iVVxDxNZARPqqgc+7prsx/v3fmgrWdLD5t/Vz/E51f2uNqo/FquQPFwrYBhQwBUwI&#10;IY6GArYBBUwBE0KIo6GAbUABU8CEEOJoKGAbUMAUMCGEOBoK2AYUMAVMCCGOhgK2AQVMARNCiKOh&#10;gG1AAVPAhBDiaChgG1DAFDAhhDgaCtgGFDAFTAghjoYCtgEFTAETQoijoYBtQAFTwIQQ4mgoYBtQ&#10;wBQwIYQ4GgrYBhQwBUwIIY6GArbBuxIwdkCpbjiC6o5rjVdBARNCSO1BAdvgXQkY25BBXtgP9Pnz&#10;5/pvR+0Lim3OIFTdJs38F8d+09ZnFDAhhNQeFLAN3pWAIcRnz57JkydPdODf+Nl/CgQLmeJ42PD7&#10;6dOnKnj8DHuRUsCEEFL3UMA2cKSAIT9IFtKCFCG3GzduyLVr1+Tu3bvy+PHj30nTGoiS3zTwe5Z0&#10;Hz58qMe7deuW3DXP7969e3rsp+a1WJE2nktVGVPAhBBSe1DANnCkgCFfRLs/mP//nJFbfn6+rMvM&#10;lFUrV8nqtDRZszpd1mdny47cXNm/f78cMscvPFooxcXFUlJc8spRXFQsBw8clF15u4xEt0jWunWS&#10;lpoqKctXSPrq1ZKdlSV5O3fK2bNn5b6RMUQN4VZNeVPAhBBSe1DANnCkgJEChnyPmWNtNrKbO3eu&#10;jA4NlQH9B4ivTx/x7u0p/n5+MiE8XBITEmT+vHmyePFiSV6WLMnJrx7Lli2T2bNmSUx0jIQEBYv/&#10;YD/p6+Mjnj17ySBz7MARIyR2yhTZtHGjVFRUaDQMCVPAhBBSN1DANnCkgCG5srIy2bJli8wywgw2&#10;suzezUNaObWQhl83kM8++lhaNGsufby9JXzcOJkUEyPTYqdJvJHe68bMuJkSFRklgSMDzd/6SKcO&#10;HaVxw0by+cefyLffNJR2rdtIv759VehHjxzRmwBIGDcEFhQwIYTUHhSwDRwp4H//8m8pKiyUReZ3&#10;gkaNEr/Bg8XHyLZLZ1dxatZMvvz0M+ng7CxhJipOSUmRjIwMyczMlOysbMnOfvXIysqSjDUZsjJl&#10;pSyYP19CRgXJd+07qIAb1K8vzZs2NaLvJpOio2XDhg1y8sQJlXBVeVLAhBBSe1DANnCkgJ8/e67z&#10;tBPGjxe3Ll3Fs3dvGTRgoEatLu3aSb3PPhePrm4quQMHDkhJSYmmq48fP/7GcfLkSTl96rT+/pLF&#10;i8XHy0sFjGMiuu7g4iJBgYGyaOFCnQ8uLy/X4i0LCpgQQmoPCtgGjhZwbm6uhIaEGuE6i4f5G98+&#10;fcXL01Oc27RVWXYzAo6Pi9MiLMj01KlTWjx1rpqBn+N9Q0QLAeN3i4uKZPGCheJt5A4Bf/HJp1L/&#10;iy+lbavWMmxogMydM0e25+RIWWkpBUwIIXUEBWwDhwr4+XPZvWu3REyIkK6uXcS9a1fp5uYmnTp+&#10;J82bNFFZdnRpL2NHh0lqaqoWau3evVuroQ8fPvz7YX52wEgactyxY4ds2rRJMtaskaVLlkhY6Gjp&#10;bI756d8+0gERt2rupMVYKOhC9fXly5e1UYcFBUwIIbUHBWwDRwoYEWdBQYHETp0qXr09xc0IuL2z&#10;s87/Nvz6ay3Cau3UQgb2HyBTjOwWmkgWc7vbjOwQtb48NhvpYo44ddUqjWwnRkXJ8IAA6e7hIU5N&#10;m6l8cUwMFHqNDglRSWNZ082bNzkHTAghdQQFbAOHFmGZiBOpYkS3UZGRMmL4cPH29JTO5u9aOjnJ&#10;1/XqaxU0KqORLp4wfoIkxifIsqVLK5ci/W4sk8WLFqt442fOlPHh4TJ40CCNqp3btjUCbqoV0Ih8&#10;EVUP8PWVpMRE2bNnj1y8eFHu37/PKmhCCKkjKGAbOFLAkBU6Xx05ckSrl7EsKMJI1m/QYBVn8yZN&#10;VcAdnF2km5u79PftJ0GBoyRiwgSJjIj8w4Cgx40dp3PKlnwh8hbNm0ubVq2kY/v20tenj4QGB0tS&#10;QqJs3bJVysvKVKp4XVVbX1LAhBBSe1DANnCkgNH44ueff9Y2kRcuXJC8nXmyPDlZG2j4D/EX106d&#10;TfTaTlzMwH/du7pJHyNQ/yFDZKj/0D8M/A2G32A/8ezVW9PZTRo1kjYtW0pXV1fpZ6JerA9GtIzK&#10;5/Pnz2snLkS+L2/MQAETQkjtQQHbwJEChvAwDwwJ//jjj5XtKPfl6zrfJYuXGOlNk4lGmEgnjxkd&#10;ptHx5EmTJW5GnMTFvXrMmDFDf2/8uHCNdvF304xA58+fr60uUXQFmeK5ohCsOihgQgipPShgGzhS&#10;wADRJ+aCseEC5mFv3bylc7I4/4WFhbK/YL/k5eXJtq1bdeTk5Eju9lxdvvS6sSN3h1ZDY53x/oIC&#10;7XiF5UlY74tNGf5hHgsbNVSd960KBUwIIbUHBWwDRwvY2oUIA2lgzMNiQIwYT//1VB48eKCdqlCp&#10;fPXqVV0y9KaB38VGCz/99JPKHZKHHK3jWylnjOqggAkhpPaggG3gaAG/CQgNAsVc7aNHj1SAiJTf&#10;NPC7eK4Qb3VzvG+CAiaEkNqDArZBbQsY0SqkBpFivhjD2hf4daNqxFtT+QIKmBBCag8K2Aa1LeC6&#10;ggImhJDagwK2AQVMARNCiKOhgG1AAVPAhBDiaChgG1DAFDAhhDgaCtgGFDAFTAghjoYCtgEFTAET&#10;QoijoYBtQAFTwIQQ4mgoYBtQwBQwIYQ4GgrYBq8S8LiwMXLo4EG5ffu2rEpJke7u7hQwIYQQW1DA&#10;Nnj+7JnuXIR9dNNXr5YhgwargMNCQmXvnj1y9coVI+al0q2rGwVMCCHEFhSwDdDiEX2ZEelu3LBB&#10;hgcESLPGjSV41CjJ3b5dSi+UyqIFC8TN1ZUCJoQQYgsK2AborYxey08eP5YdubkSFBioEXDgiJGy&#10;ZdNm3fJv7uw50rXz+ylgbPSALQ7jjXhjJkZLfNxMc8OxULbn5FDAhBDyllDANsDGBpDM03/9S3bv&#10;2iUho4JMBNxERgwbphFxSUmJzEpKki6dOr+XAkbkn5W5zkT8QeY1D5dpU2MldeUqKcgvkBvXb7xy&#10;f2FCCCGvhgK2gbVnL1LR+/buldCg4EoBBwyT9dnZUlRYJEkJiUbAnd5LAaMADXPcvXr0kN49esrk&#10;6BjJNkIuKSqWO7fvUMCEEPIWUMA1AKI5sH+/Vj+3bO6kAl77/ff6s5kzZkinDh3fHwE3+lZip0yR&#10;06dOy6WKCpltInyXtu2kc8fvVMDbt22Tc2fOyr179/TmhBBCSM2ggGsARHPk8GGJmThROhvZjho5&#10;UlJXrZKcbTkyKTpaOji7vDcCbtKwkXlNMRrdnzt7Vud9ndu01SgfkTGqvysuXpQHDx5QwIQQ8hZQ&#10;wDUAoikuKpaZ02doKnZ0SIgsW7pUMteulfCx41RQ74uAG3/TUKIiImR/wX45VlKi877OrduIe5cu&#10;kpiQIEeOHNHU9JPHTzRFTwghpGZQwDUAAj596pQuwfH385Ow0FBdkjNn9mwZNjRAWjV3em8E3KhB&#10;AwkJCpYN69dr5Xd0ZJRG+F69esnihYvkzJkzujYaTUooYEIIqTkUcA2AgLHmF804xo8Ll7DRo2Xs&#10;mDESFDhKenh0l8YNG4lrx/dDwF/XqycD+/WXObNma5SPaL9r585645GRni7Xr12Xn3/+WQvTfv31&#10;19+OQAghxC4UcA1ApHflyhXZunWrJMQnyJiwMBk0YKC4d+kqrZxayFdf1tO54UULF8qtmzf1960B&#10;SVUddcHLzwGj6nP85ZdfZNPGjTLYvKZ6n38hHm7uMtpE+ROjoiTA3196enho1L/NvH5r7hcDxyGE&#10;EFIzKOAaAEnduX1bDh8+LGvWrJFJMTHS18dH5dvo6wbyxSefaqXwjNhpUlRYKLdu3dI07aNHj+Sf&#10;//ynNvNAlIk1xRBXbYPnj8eGaJ8+fSo//fSTPHz4UJ/jDyZiv3TpkixPXi4+Xt76WjCn3cfbW4YO&#10;GWJuNAbIAF9fmTJpkhZgIfolhBDy9lDANeBXI7BHRlgXL16UgoICTc9CwI0afCP1PvtcPvvoY12e&#10;FBocLOmr0yU/P1+OHzsuFRUVKmNEjZgzhQDrYu0spK8dvZ480eVD169fl7KyMjl27Jjs379ftm3b&#10;ZgQ7WSP6zz/+RJo0+lY6ODtL927ddAOKwBEjZN7cuXLk0GG9oSCEEPL2UMA1AKnWZ8+eaW/k8vJy&#10;WbVypYqpQb36GjF++rePVFr9+vSVqVOmSsqKFNm8ebMcOnRIT/Tly5fl7t27KuKfTfSJY0GImEet&#10;Oqwo+X8xjKjtDvwN/vbl4+Ex8FiIWtFWEjcDuIk4fvy43khs2bxF0lLTZM7sOTJy2HBpb6J4vJb6&#10;n3+hxVjObdvKwP79JTpqot5YoPUmImhCCCFvDwVcAyBgCA7RH0SK6mBEjJ49e+kSHRQufWui4Z4e&#10;3bVAa2bcTFm6ZIkuU9qwYYPKGPPHmEPF2LE9V5t4IEo+e/bsi1FaWqo7LCEtjGIuOwO/e+3aNblY&#10;flHOnT334linTp3SlDlaaOaYx8zJydGxdcsWfU6ZmZmyMiVFFi5YIDOmzxD/wX7SrnVrFXCD+vXF&#10;qWlT8XB3lwnh4yVtVap5vgfk2tWrGsUTQgh5eyjgGgABI40LCSOaxPnKWrdOYqfGmki4vzg1aSrf&#10;fPWVdHV1laH+QyV83DiZbASdkJBg5DZdI8ixYWO0p/LwgGESOHyECnzpkqUaWVpj/fr1KsyjR49K&#10;UVGRrVFYWKgpb4gV89PWsVamrJT4uDgJCx2tjzlmdJjEREfL9GnTdD0vllDNnjVL4mfO1M5XqIBu&#10;26q1pqCx4URHl/YyxEh58aJF+jgQPVLYiLgJIYS8PRRwDYGEMZDuvXPnjpw4cUI2btyoUsPcaYtm&#10;zcWtSxcZ0L+/DAsIkJEjRui2hYMHDdKlSu2dXXSeGI0umjduIr1N9Aw5QtTWSEpM0vT1RhOhYlmQ&#10;DiNWyPVVA78D4c6fN1/T3zjOlMlTJDIiUtPHKA5TobZvL569e+vzCRw5Um8SIiMiZGJkpFY7+w0c&#10;aKTrovPaaK3Z16eP7oCEnY9QrIVCLuscEEIIeXso4LcEkTAiwRs3bmgRE3pCT46JkZHDhmlTjqH+&#10;/jJ44CAVGDYxwE5JbVu30U0cUDXdvp2zbuA/xM9PIiZM0Ih0+rTpMsMMRKRYe5ueni4ZGRl6bKSx&#10;XzfwO5iTXmAEPHNGnKaTZ5rId1psrISGhGixmId7N30u3l5e4uPtLT74r5e3zmOj0hmtNQOG+MsA&#10;3346xoeHy/y583Rp0pnTZ1j5TAghDoQCfksQCaLACfPBP/7973Lq5EndoGB5crLKNDgoSHz79FHx&#10;Yh4VxUyYI8ZaYUSjXp5eMnL4CJXc9NhpJupN1C0NZyfNknlz5sqihYtUwsnmeCkrVqhcXzcwj5u8&#10;dJnO5SKtjP2JIc+5c+bo84Hk8Zwg2v6+viYa95DvTDSMiB1FVu7mZqCPkTS2G4wIH6+7O2VnZWnr&#10;TbScxHIlpN4JIYQ4BgrYASAdjepiVBYfPnRIMtas0egTwkOUiapiRL2YI27RtJn06OahooueGK1p&#10;4rgZM3Q+dlZikko4MT7B/KwyesWIM9Es5mjfNBLi4/Vvk8yxEEVjyRAiYmuOd+qUKTJuzBgZHhCg&#10;ETFS5u1MVO76XSd9nkiZT540SUWes3WbiXpPy6OHj357lYQQQhwJBewAUJCESPjejz/qUiNs0L8r&#10;L09Tw0sXL5EZJgLFxgajg0N0mQ/mfCdGRqkQp0yerPPH2HlocswkHWhziei4v28/6d/XV1PEmMcd&#10;2H/Aawe6VaF/M/4ex8exYqdMldipUzUKxoYKaKQRHRVVOedrfgcDOx2hWhtp7Nzt2+XQwUO6A9Lt&#10;H25zuREhhLwjKGAHULXDFBptYG4YEfHNmzflwoULUlxcrEJel7muMk08vzIqReQL+aIQClK2ht+g&#10;weLm2kWaNW6s2wJibTH2533TQKTdq0dPrVqGwCFjVF2jyArV1oikEWUjKl65YoWsz8rW54WuXWWl&#10;pbqcCYVWSDdjvhfrh1ntTAgh7wYK+B1iLVeCjK9cvqKNL/L37tOK4vXZ2YJNHTDPi/lazLlaAxEq&#10;NvvH+uJeHt1tD2yeEBIUpFXLiHaRBreEm7xsma7jXbc2Uyum9+3Zq88HEbu1qxErmwkhpPaggN8h&#10;iB6tqBjds7CG9vKlSxptYjs/CBDrdw8eOCj7CwpejLydO3UbwPS01bI6Nc32WLt2rco1b2ee9mvO&#10;37dPj4d5aTzO8WPH5PSp03L+3Dm5VFEhP9y6pc8LNwkoKCOEEFJ7UMDvEKSmrQEZIyKG6CBlqz0k&#10;5lgh6KoDQkQaG5s41GTgb7DBAv4ec9LW8fAYGM9/a32JgeeB54PUOZZU4TkSQgipPShgQgghpA6g&#10;gAkhhJA6gAImhBBC6gAKmBBCCKkDKGBCCCGkDqCACSGEkDqAAiaEEELqAAqYEEIIqQMoYEIIIaQO&#10;oIAJIYSQOoACJoQQQuoACpgQQgipAyhgQgghpA6ggAkhhJA6gAImhBBC6gAKmBBCCKkDKGBCCCGk&#10;DqCACSGEkDqAAiaEEELqgN8JODMzU3/AwcHBwcHB8W4HnGsJOOO3f3BwcHBwcHDUyvivjP8HXROS&#10;vmjmipkAAAAASUVORK5CYIJQSwMEFAAGAAgAAAAhAMJ6+R/fAAAACQEAAA8AAABkcnMvZG93bnJl&#10;di54bWxMj81qwzAQhO+FvoPYQm+N/JdQXMshhLanUGhSKL1trI1tYknGUmzn7bs9NadlmGH2m2I9&#10;m06MNPjWWQXxIgJBtnK6tbWCr8Pb0zMIH9Bq7JwlBVfysC7v7wrMtZvsJ437UAsusT5HBU0IfS6l&#10;rxoy6BeuJ8veyQ0GA8uhlnrAictNJ5MoWkmDreUPDfa0bag67y9GwfuE0yaNX8fd+bS9/hyWH9+7&#10;mJR6fJg3LyACzeE/DH/4jA4lMx3dxWovOtbJipN8lxkI9tM0SkAcFWRplIEsC3m7oPw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uJvM2IEAAACDQAADgAAAAAA&#10;AAAAAAAAAAA6AgAAZHJzL2Uyb0RvYy54bWxQSwECLQAKAAAAAAAAACEAUuI3HTbiAAA24gAAFAAA&#10;AAAAAAAAAAAAAADIBgAAZHJzL21lZGlhL2ltYWdlMS5wbmdQSwECLQAUAAYACAAAACEAwnr5H98A&#10;AAAJAQAADwAAAAAAAAAAAAAAAAAw6QAAZHJzL2Rvd25yZXYueG1sUEsBAi0AFAAGAAgAAAAhAKom&#10;Dr68AAAAIQEAABkAAAAAAAAAAAAAAAAAPOoAAGRycy9fcmVscy9lMm9Eb2MueG1sLnJlbHNQSwUG&#10;AAAAAAYABgB8AQAAL+sAAAAA&#10;">
                      <v:group id="그룹 3857" o:spid="_x0000_s1297" style="position:absolute;left:170;width:20169;height:26352" coordorigin="170" coordsize="20168,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GRxgAAAN0AAAAPAAAAZHJzL2Rvd25yZXYueG1sRI9Pi8Iw&#10;FMTvC36H8ARva1rFVapRRFbxIIJ/QLw9mmdbbF5Kk23rt98sCHscZuY3zGLVmVI0VLvCsoJ4GIEg&#10;Tq0uOFNwvWw/ZyCcR9ZYWiYFL3KwWvY+Fpho2/KJmrPPRICwS1BB7n2VSOnSnAy6oa2Ig/ewtUEf&#10;ZJ1JXWMb4KaUoyj6kgYLDgs5VrTJKX2ef4yCXYvtehx/N4fnY/O6XybH2yEmpQb9bj0H4anz/+F3&#10;e68VjGeTKfy9CU9ALn8BAAD//wMAUEsBAi0AFAAGAAgAAAAhANvh9svuAAAAhQEAABMAAAAAAAAA&#10;AAAAAAAAAAAAAFtDb250ZW50X1R5cGVzXS54bWxQSwECLQAUAAYACAAAACEAWvQsW78AAAAVAQAA&#10;CwAAAAAAAAAAAAAAAAAfAQAAX3JlbHMvLnJlbHNQSwECLQAUAAYACAAAACEAVG8BkcYAAADdAAAA&#10;DwAAAAAAAAAAAAAAAAAHAgAAZHJzL2Rvd25yZXYueG1sUEsFBgAAAAADAAMAtwAAAPoCAAAAAA==&#10;">
                        <v:shape id="그림 3858" o:spid="_x0000_s1298"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qEwAAAAN0AAAAPAAAAZHJzL2Rvd25yZXYueG1sRE/LisIw&#10;FN0P+A/hCu7GVGVKqUYRoaC4ms7M/trcPrS5KU3U+PeTxcAsD+e92QXTiweNrrOsYDFPQBBXVnfc&#10;KPj+Kt4zEM4ja+wtk4IXOdhtJ28bzLV98ic9St+IGMIuRwWt90MupataMujmdiCOXG1Hgz7CsZF6&#10;xGcMN71cJkkqDXYcG1oc6NBSdSvvRkFIy2xpC7oeQnGqL/UZ6fiTKjWbhv0ahKfg/8V/7qNWsMo+&#10;4tz4Jj4Buf0FAAD//wMAUEsBAi0AFAAGAAgAAAAhANvh9svuAAAAhQEAABMAAAAAAAAAAAAAAAAA&#10;AAAAAFtDb250ZW50X1R5cGVzXS54bWxQSwECLQAUAAYACAAAACEAWvQsW78AAAAVAQAACwAAAAAA&#10;AAAAAAAAAAAfAQAAX3JlbHMvLnJlbHNQSwECLQAUAAYACAAAACEA9/P6hMAAAADdAAAADwAAAAAA&#10;AAAAAAAAAAAHAgAAZHJzL2Rvd25yZXYueG1sUEsFBgAAAAADAAMAtwAAAPQCAAAAAA==&#10;">
                          <v:imagedata r:id="rId138" o:title=""/>
                        </v:shape>
                        <v:shape id="Text Box 3859" o:spid="_x0000_s1299"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RLwyAAAAN0AAAAPAAAAZHJzL2Rvd25yZXYueG1sRI9BawIx&#10;FITvQv9DeIVepGZbrditUUQUrBfp1ktvj81zs+3mZUmyuv77plDwOMzMN8x82dtGnMmH2rGCp1EG&#10;grh0uuZKwfFz+zgDESKyxsYxKbhSgOXibjDHXLsLf9C5iJVIEA45KjAxtrmUoTRkMYxcS5y8k/MW&#10;Y5K+ktrjJcFtI5+zbCot1pwWDLa0NlT+FJ1VcJh8HcywO232q8nYvx+79fS7KpR6uO9XbyAi9fEW&#10;/m/vtILx7OUV/t6kJyAXvwAAAP//AwBQSwECLQAUAAYACAAAACEA2+H2y+4AAACFAQAAEwAAAAAA&#10;AAAAAAAAAAAAAAAAW0NvbnRlbnRfVHlwZXNdLnhtbFBLAQItABQABgAIAAAAIQBa9CxbvwAAABUB&#10;AAALAAAAAAAAAAAAAAAAAB8BAABfcmVscy8ucmVsc1BLAQItABQABgAIAAAAIQDeVRLwyAAAAN0A&#10;AAAPAAAAAAAAAAAAAAAAAAcCAABkcnMvZG93bnJldi54bWxQSwUGAAAAAAMAAwC3AAAA/AIAAAAA&#10;" stroked="f">
                          <v:textbox style="mso-fit-shape-to-text:t" inset="0,0,0,0">
                            <w:txbxContent>
                              <w:p w14:paraId="3418EA9B"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 xml:space="preserve">Rysunek </w:t>
                                </w:r>
                                <w:r>
                                  <w:rPr>
                                    <w:rFonts w:ascii="Times New Roman" w:hAnsi="Times New Roman" w:cs="Times New Roman"/>
                                  </w:rPr>
                                  <w:t>B</w:t>
                                </w:r>
                              </w:p>
                            </w:txbxContent>
                          </v:textbox>
                        </v:shape>
                      </v:group>
                      <v:shape id="Text Box 3860" o:spid="_x0000_s1300" type="#_x0000_t202" style="position:absolute;left:9093;top:13868;width:9303;height:2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vnwAAAAN0AAAAPAAAAZHJzL2Rvd25yZXYueG1sRE9LbsIw&#10;EN1X4g7WILErDqBGEDAIKiqxDXCAIR7iQDwOsZukt68Xlbp8ev/NbrC16Kj1lWMFs2kCgrhwuuJS&#10;wfXy9b4E4QOyxtoxKfghD7vt6G2DmXY959SdQyliCPsMFZgQmkxKXxiy6KeuIY7c3bUWQ4RtKXWL&#10;fQy3tZwnSSotVhwbDDb0aah4nr+tgo5yk388DsfVvJf7G56YX+lCqcl42K9BBBrCv/jPfdIKFss0&#10;7o9v4hOQ218AAAD//wMAUEsBAi0AFAAGAAgAAAAhANvh9svuAAAAhQEAABMAAAAAAAAAAAAAAAAA&#10;AAAAAFtDb250ZW50X1R5cGVzXS54bWxQSwECLQAUAAYACAAAACEAWvQsW78AAAAVAQAACwAAAAAA&#10;AAAAAAAAAAAfAQAAX3JlbHMvLnJlbHNQSwECLQAUAAYACAAAACEABU7L58AAAADdAAAADwAAAAAA&#10;AAAAAAAAAAAHAgAAZHJzL2Rvd25yZXYueG1sUEsFBgAAAAADAAMAtwAAAPQCAAAAAA==&#10;" fillcolor="white [3212]" stroked="f" strokeweight=".5pt">
                        <v:textbox inset="0,0,0,0">
                          <w:txbxContent>
                            <w:p w14:paraId="321BDCA3" w14:textId="77777777" w:rsidR="006D7011" w:rsidRPr="009A2CB5" w:rsidRDefault="006D7011" w:rsidP="00094D21">
                              <w:pPr>
                                <w:rPr>
                                  <w:rFonts w:asciiTheme="majorBidi" w:hAnsiTheme="majorBidi" w:cstheme="majorBidi"/>
                                  <w:b/>
                                  <w:bCs/>
                                  <w:sz w:val="16"/>
                                  <w:szCs w:val="14"/>
                                </w:rPr>
                              </w:pPr>
                              <w:r w:rsidRPr="009A2CB5">
                                <w:rPr>
                                  <w:rFonts w:ascii="Times New Roman" w:eastAsia="Times New Roman" w:hAnsi="Times New Roman" w:cs="Times New Roman"/>
                                  <w:b/>
                                  <w:bCs/>
                                  <w:sz w:val="16"/>
                                  <w:szCs w:val="14"/>
                                  <w:lang w:val="pl-PL"/>
                                </w:rPr>
                                <w:t xml:space="preserve">EXP: </w:t>
                              </w:r>
                              <w:r w:rsidRPr="009A2CB5">
                                <w:rPr>
                                  <w:rFonts w:ascii="Times New Roman" w:eastAsia="Times New Roman" w:hAnsi="Times New Roman" w:cs="Times New Roman"/>
                                  <w:sz w:val="16"/>
                                  <w:szCs w:val="14"/>
                                  <w:lang w:val="pl-PL"/>
                                </w:rPr>
                                <w:t>MIESIĄC ROK</w:t>
                              </w:r>
                            </w:p>
                          </w:txbxContent>
                        </v:textbox>
                      </v:shape>
                      <w10:wrap type="square"/>
                    </v:group>
                  </w:pict>
                </mc:Fallback>
              </mc:AlternateContent>
            </w:r>
          </w:p>
          <w:p w14:paraId="5D21A91D" w14:textId="77777777" w:rsidR="00094D21" w:rsidRPr="008F328C" w:rsidRDefault="00094D21" w:rsidP="008E70FE">
            <w:pPr>
              <w:pStyle w:val="a3"/>
              <w:numPr>
                <w:ilvl w:val="0"/>
                <w:numId w:val="129"/>
              </w:numPr>
              <w:rPr>
                <w:b/>
                <w:lang w:val="pl-PL"/>
              </w:rPr>
            </w:pPr>
            <w:r w:rsidRPr="008F328C">
              <w:rPr>
                <w:rFonts w:eastAsia="Times New Roman"/>
                <w:b/>
                <w:bCs/>
                <w:lang w:val="pl-PL"/>
              </w:rPr>
              <w:t>Sprawdzić wstrzykiwacz</w:t>
            </w:r>
          </w:p>
          <w:p w14:paraId="6F619E0A" w14:textId="77777777" w:rsidR="00094D21" w:rsidRPr="008F328C" w:rsidRDefault="00094D21" w:rsidP="008A03B2">
            <w:pPr>
              <w:pStyle w:val="a3"/>
              <w:numPr>
                <w:ilvl w:val="0"/>
                <w:numId w:val="0"/>
              </w:numPr>
              <w:ind w:left="471"/>
              <w:rPr>
                <w:b/>
                <w:lang w:val="pl-PL"/>
              </w:rPr>
            </w:pPr>
          </w:p>
          <w:p w14:paraId="0EF8E40A" w14:textId="77777777" w:rsidR="00094D21" w:rsidRPr="008F328C" w:rsidRDefault="00094D21" w:rsidP="008A03B2">
            <w:pPr>
              <w:pStyle w:val="a3"/>
              <w:tabs>
                <w:tab w:val="left" w:pos="3937"/>
              </w:tabs>
              <w:ind w:left="3937" w:hanging="180"/>
              <w:rPr>
                <w:lang w:val="pl-PL" w:eastAsia="ko-KR"/>
              </w:rPr>
            </w:pPr>
            <w:r w:rsidRPr="008F328C">
              <w:rPr>
                <w:rFonts w:eastAsia="Times New Roman"/>
                <w:b/>
                <w:bCs/>
                <w:lang w:val="pl-PL" w:eastAsia="ko-KR"/>
              </w:rPr>
              <w:t>a.</w:t>
            </w:r>
            <w:r w:rsidRPr="008F328C">
              <w:rPr>
                <w:rFonts w:eastAsia="Times New Roman"/>
                <w:lang w:val="pl-PL" w:eastAsia="ko-KR"/>
              </w:rPr>
              <w:t xml:space="preserve"> Upewnić się, że zawiera ona odpowiedni lek (Yuflyma) i dawkę. </w:t>
            </w:r>
          </w:p>
          <w:p w14:paraId="7D511797" w14:textId="77777777" w:rsidR="00094D21" w:rsidRPr="008F328C" w:rsidRDefault="00094D21" w:rsidP="008A03B2">
            <w:pPr>
              <w:pStyle w:val="a3"/>
              <w:tabs>
                <w:tab w:val="left" w:pos="3937"/>
              </w:tabs>
              <w:ind w:left="3937" w:hanging="180"/>
              <w:rPr>
                <w:lang w:val="pl-PL" w:eastAsia="ko-KR"/>
              </w:rPr>
            </w:pPr>
            <w:r w:rsidRPr="008F328C">
              <w:rPr>
                <w:rFonts w:eastAsia="Times New Roman"/>
                <w:b/>
                <w:bCs/>
                <w:lang w:val="pl-PL" w:eastAsia="ko-KR"/>
              </w:rPr>
              <w:t>b.</w:t>
            </w:r>
            <w:r w:rsidRPr="008F328C">
              <w:rPr>
                <w:rFonts w:eastAsia="Times New Roman"/>
                <w:lang w:val="pl-PL" w:eastAsia="ko-KR"/>
              </w:rPr>
              <w:t xml:space="preserve"> Obejrzeć wstrzykiwacz i upewnić się, że nie jest pęknięty lub uszkodzony. </w:t>
            </w:r>
          </w:p>
          <w:p w14:paraId="2B02F265" w14:textId="77777777" w:rsidR="00094D21" w:rsidRPr="008F328C" w:rsidRDefault="00094D21" w:rsidP="008A03B2">
            <w:pPr>
              <w:tabs>
                <w:tab w:val="left" w:pos="3937"/>
              </w:tabs>
              <w:spacing w:line="260" w:lineRule="exact"/>
              <w:ind w:left="3937" w:hanging="180"/>
              <w:rPr>
                <w:rFonts w:ascii="Times New Roman" w:hAnsi="Times New Roman" w:cs="Times New Roman"/>
                <w:spacing w:val="-1"/>
                <w:lang w:val="pl-PL" w:eastAsia="ko-KR"/>
              </w:rPr>
            </w:pPr>
            <w:r w:rsidRPr="008F328C">
              <w:rPr>
                <w:rFonts w:ascii="Times New Roman" w:eastAsia="Times New Roman" w:hAnsi="Times New Roman" w:cs="Times New Roman"/>
                <w:b/>
                <w:bCs/>
                <w:spacing w:val="-1"/>
                <w:lang w:val="pl-PL" w:eastAsia="ko-KR"/>
              </w:rPr>
              <w:t>c</w:t>
            </w:r>
            <w:r w:rsidRPr="008F328C">
              <w:rPr>
                <w:rFonts w:ascii="Times New Roman" w:eastAsia="Calibri" w:hAnsi="Times New Roman" w:cs="Times New Roman"/>
                <w:b/>
                <w:bCs/>
                <w:spacing w:val="-1"/>
                <w:lang w:val="pl-PL" w:eastAsia="ko-KR"/>
              </w:rPr>
              <w:t>.</w:t>
            </w:r>
            <w:r w:rsidRPr="008F328C">
              <w:rPr>
                <w:rFonts w:ascii="Times New Roman" w:eastAsia="Calibri" w:hAnsi="Times New Roman" w:cs="Times New Roman"/>
                <w:spacing w:val="-1"/>
                <w:lang w:val="pl-PL" w:eastAsia="ko-KR"/>
              </w:rPr>
              <w:t xml:space="preserve"> </w:t>
            </w:r>
            <w:r w:rsidRPr="008F328C">
              <w:rPr>
                <w:rFonts w:ascii="Times New Roman" w:eastAsia="Times New Roman" w:hAnsi="Times New Roman" w:cs="Times New Roman"/>
                <w:spacing w:val="-1"/>
                <w:lang w:val="pl-PL" w:eastAsia="ko-KR"/>
              </w:rPr>
              <w:t>Sprawdzić termin ważności na etykiecie wstrzykiwacza.</w:t>
            </w:r>
          </w:p>
          <w:p w14:paraId="2B19CDF5" w14:textId="77777777" w:rsidR="00094D21" w:rsidRPr="008F328C" w:rsidRDefault="00094D21" w:rsidP="008A03B2">
            <w:pPr>
              <w:pStyle w:val="a3"/>
              <w:numPr>
                <w:ilvl w:val="0"/>
                <w:numId w:val="0"/>
              </w:numPr>
              <w:ind w:left="1384"/>
              <w:rPr>
                <w:lang w:val="pl-PL" w:eastAsia="ko-KR"/>
              </w:rPr>
            </w:pPr>
          </w:p>
          <w:p w14:paraId="17FEEB80" w14:textId="77777777" w:rsidR="00094D21" w:rsidRPr="008F328C" w:rsidRDefault="00094D21" w:rsidP="008A03B2">
            <w:pPr>
              <w:pStyle w:val="a3"/>
              <w:numPr>
                <w:ilvl w:val="0"/>
                <w:numId w:val="0"/>
              </w:numPr>
              <w:ind w:left="984"/>
              <w:rPr>
                <w:b/>
                <w:lang w:val="pl-PL" w:eastAsia="ko-KR"/>
              </w:rPr>
            </w:pPr>
          </w:p>
          <w:p w14:paraId="299D4985" w14:textId="77777777" w:rsidR="00094D21" w:rsidRPr="008F328C" w:rsidRDefault="00094D21" w:rsidP="008A03B2">
            <w:pPr>
              <w:pStyle w:val="a3"/>
              <w:numPr>
                <w:ilvl w:val="0"/>
                <w:numId w:val="0"/>
              </w:numPr>
              <w:ind w:left="984"/>
              <w:rPr>
                <w:lang w:val="pl-PL" w:eastAsia="ko-KR"/>
              </w:rPr>
            </w:pPr>
            <w:r w:rsidRPr="008F328C">
              <w:rPr>
                <w:rFonts w:eastAsia="Times New Roman"/>
                <w:b/>
                <w:bCs/>
                <w:lang w:val="pl-PL" w:eastAsia="ko-KR"/>
              </w:rPr>
              <w:t>Nie</w:t>
            </w:r>
            <w:r w:rsidRPr="008F328C">
              <w:rPr>
                <w:rFonts w:eastAsia="Times New Roman"/>
                <w:lang w:val="pl-PL" w:eastAsia="ko-KR"/>
              </w:rPr>
              <w:t xml:space="preserve"> używać ponownie wstrzykiwacza, jeżeli:</w:t>
            </w:r>
          </w:p>
          <w:p w14:paraId="121A39C1" w14:textId="77777777" w:rsidR="00094D21" w:rsidRPr="008F328C" w:rsidRDefault="00094D21" w:rsidP="008A03B2">
            <w:pPr>
              <w:pStyle w:val="a3"/>
              <w:numPr>
                <w:ilvl w:val="0"/>
                <w:numId w:val="18"/>
              </w:numPr>
              <w:rPr>
                <w:lang w:val="pl-PL" w:eastAsia="ko-KR"/>
              </w:rPr>
            </w:pPr>
            <w:r w:rsidRPr="008F328C">
              <w:rPr>
                <w:rFonts w:eastAsia="Times New Roman"/>
                <w:lang w:val="pl-PL" w:eastAsia="ko-KR"/>
              </w:rPr>
              <w:t xml:space="preserve">jest pęknięty lub uszkodzony. </w:t>
            </w:r>
          </w:p>
          <w:p w14:paraId="018676A7" w14:textId="77777777" w:rsidR="00094D21" w:rsidRPr="008F328C" w:rsidRDefault="00094D21" w:rsidP="008A03B2">
            <w:pPr>
              <w:pStyle w:val="a3"/>
              <w:numPr>
                <w:ilvl w:val="0"/>
                <w:numId w:val="18"/>
              </w:numPr>
              <w:rPr>
                <w:sz w:val="26"/>
                <w:szCs w:val="26"/>
                <w:lang w:val="pl-PL"/>
              </w:rPr>
            </w:pPr>
            <w:r w:rsidRPr="008F328C">
              <w:rPr>
                <w:rFonts w:eastAsia="Times New Roman"/>
                <w:lang w:val="pl-PL" w:eastAsia="ko-KR"/>
              </w:rPr>
              <w:t xml:space="preserve">upłynął termin ważności. </w:t>
            </w:r>
          </w:p>
          <w:p w14:paraId="13264AB4" w14:textId="1E829A8B" w:rsidR="009278CA" w:rsidRPr="008F328C" w:rsidRDefault="009278CA" w:rsidP="008A03B2">
            <w:pPr>
              <w:pStyle w:val="a3"/>
              <w:numPr>
                <w:ilvl w:val="0"/>
                <w:numId w:val="18"/>
              </w:numPr>
              <w:rPr>
                <w:sz w:val="26"/>
                <w:szCs w:val="26"/>
                <w:lang w:val="pl-PL"/>
              </w:rPr>
            </w:pPr>
            <w:r w:rsidRPr="008F328C">
              <w:rPr>
                <w:lang w:val="pl-PL"/>
              </w:rPr>
              <w:t>została upuszczona na twardą powierzchnię.</w:t>
            </w:r>
          </w:p>
        </w:tc>
      </w:tr>
      <w:tr w:rsidR="00094D21" w:rsidRPr="008F328C" w14:paraId="5F585C8A" w14:textId="77777777" w:rsidTr="00D22235">
        <w:trPr>
          <w:trHeight w:val="4969"/>
        </w:trPr>
        <w:tc>
          <w:tcPr>
            <w:tcW w:w="9394" w:type="dxa"/>
          </w:tcPr>
          <w:p w14:paraId="5EBAD8DD" w14:textId="77777777" w:rsidR="00094D21" w:rsidRPr="008F328C" w:rsidRDefault="00094D21" w:rsidP="008A03B2">
            <w:pPr>
              <w:spacing w:line="260" w:lineRule="exact"/>
              <w:rPr>
                <w:rFonts w:ascii="Times New Roman" w:eastAsia="Times New Roman" w:hAnsi="Times New Roman" w:cs="Times New Roman"/>
                <w:b/>
                <w:bCs/>
                <w:spacing w:val="-1"/>
                <w:lang w:val="pl-PL"/>
              </w:rPr>
            </w:pPr>
          </w:p>
          <w:p w14:paraId="411E7FC9" w14:textId="77777777" w:rsidR="00094D21" w:rsidRPr="008F328C" w:rsidRDefault="00094D21" w:rsidP="008A03B2">
            <w:pPr>
              <w:spacing w:line="260" w:lineRule="exact"/>
              <w:rPr>
                <w:rFonts w:ascii="Times New Roman" w:hAnsi="Times New Roman" w:cs="Times New Roman"/>
                <w:sz w:val="26"/>
                <w:szCs w:val="26"/>
                <w:lang w:val="pl-PL"/>
              </w:rPr>
            </w:pPr>
          </w:p>
          <w:p w14:paraId="4A191244" w14:textId="77777777" w:rsidR="00094D21" w:rsidRPr="008F328C" w:rsidRDefault="00094D21" w:rsidP="008A03B2">
            <w:pPr>
              <w:spacing w:line="260" w:lineRule="exact"/>
              <w:rPr>
                <w:rFonts w:ascii="Times New Roman" w:hAnsi="Times New Roman" w:cs="Times New Roman"/>
                <w:sz w:val="26"/>
                <w:szCs w:val="26"/>
                <w:lang w:val="pl-PL"/>
              </w:rPr>
            </w:pPr>
            <w:r w:rsidRPr="008F328C">
              <w:rPr>
                <w:rFonts w:ascii="Times New Roman" w:hAnsi="Times New Roman" w:cs="Times New Roman"/>
                <w:noProof/>
                <w:sz w:val="26"/>
                <w:szCs w:val="26"/>
                <w:lang w:eastAsia="ko-KR"/>
              </w:rPr>
              <mc:AlternateContent>
                <mc:Choice Requires="wpg">
                  <w:drawing>
                    <wp:anchor distT="0" distB="0" distL="114300" distR="114300" simplePos="0" relativeHeight="251658310" behindDoc="0" locked="0" layoutInCell="1" allowOverlap="1" wp14:anchorId="790F3883" wp14:editId="6CE0AB2F">
                      <wp:simplePos x="0" y="0"/>
                      <wp:positionH relativeFrom="column">
                        <wp:posOffset>89535</wp:posOffset>
                      </wp:positionH>
                      <wp:positionV relativeFrom="paragraph">
                        <wp:posOffset>18415</wp:posOffset>
                      </wp:positionV>
                      <wp:extent cx="2064385" cy="2711450"/>
                      <wp:effectExtent l="19050" t="19050" r="0" b="0"/>
                      <wp:wrapSquare wrapText="bothSides"/>
                      <wp:docPr id="3861" name="그룹 3861"/>
                      <wp:cNvGraphicFramePr/>
                      <a:graphic xmlns:a="http://schemas.openxmlformats.org/drawingml/2006/main">
                        <a:graphicData uri="http://schemas.microsoft.com/office/word/2010/wordprocessingGroup">
                          <wpg:wgp>
                            <wpg:cNvGrpSpPr/>
                            <wpg:grpSpPr>
                              <a:xfrm>
                                <a:off x="0" y="0"/>
                                <a:ext cx="2064385" cy="2711450"/>
                                <a:chOff x="19727" y="0"/>
                                <a:chExt cx="2064978" cy="2711450"/>
                              </a:xfrm>
                            </wpg:grpSpPr>
                            <pic:pic xmlns:pic="http://schemas.openxmlformats.org/drawingml/2006/picture">
                              <pic:nvPicPr>
                                <pic:cNvPr id="3862" name="그림 3862"/>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bwMode="auto">
                                <a:xfrm>
                                  <a:off x="19727" y="0"/>
                                  <a:ext cx="2041440" cy="2531110"/>
                                </a:xfrm>
                                <a:prstGeom prst="rect">
                                  <a:avLst/>
                                </a:prstGeom>
                                <a:noFill/>
                                <a:ln w="6350">
                                  <a:solidFill>
                                    <a:schemeClr val="accent1"/>
                                  </a:solidFill>
                                </a:ln>
                              </pic:spPr>
                            </pic:pic>
                            <wps:wsp>
                              <wps:cNvPr id="3863" name="Text Box 3863"/>
                              <wps:cNvSpPr txBox="1"/>
                              <wps:spPr>
                                <a:xfrm>
                                  <a:off x="1364615" y="2565400"/>
                                  <a:ext cx="720090" cy="146050"/>
                                </a:xfrm>
                                <a:prstGeom prst="rect">
                                  <a:avLst/>
                                </a:prstGeom>
                                <a:solidFill>
                                  <a:prstClr val="white"/>
                                </a:solidFill>
                                <a:ln>
                                  <a:noFill/>
                                </a:ln>
                              </wps:spPr>
                              <wps:txbx>
                                <w:txbxContent>
                                  <w:p w14:paraId="0AD48FC4" w14:textId="77777777" w:rsidR="006D7011" w:rsidRDefault="006D7011" w:rsidP="00094D21">
                                    <w:pPr>
                                      <w:pStyle w:val="af0"/>
                                      <w:jc w:val="right"/>
                                      <w:rPr>
                                        <w:rFonts w:ascii="Times New Roman" w:hAnsi="Times New Roman" w:cs="Times New Roman"/>
                                      </w:rPr>
                                    </w:pPr>
                                    <w:r>
                                      <w:rPr>
                                        <w:rFonts w:ascii="Times New Roman" w:eastAsia="Times New Roman" w:hAnsi="Times New Roman" w:cs="Times New Roman"/>
                                        <w:lang w:val="pl-PL"/>
                                      </w:rPr>
                                      <w:t xml:space="preserve">Rysunek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0F3883" id="그룹 3861" o:spid="_x0000_s1301" style="position:absolute;margin-left:7.05pt;margin-top:1.45pt;width:162.55pt;height:213.5pt;z-index:251658310;mso-width-relative:margin;mso-height-relative:margin" coordorigin="197" coordsize="20649,2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gUuKpwMAAEsIAAAOAAAAZHJzL2Uyb0RvYy54bWycVt1u2zYUvh+wdyB4&#10;38jyb2JEKdykCQpkrbFk6DVNURZRieRI2nL6QHuF7WJPtL3EPlKSHTsF2uUiyiF5eHjOd76P9OXb&#10;XV2RrbBOapXR9GxAiVBc51KtM/rb4+2bc0qcZypnlVYio0/C0bdXP/902Zi5GOpSV7mwBEGUmzcm&#10;o6X3Zp4kjpeiZu5MG6GwWGhbM4+hXSe5ZQ2i11UyHAymSaNtbqzmwjnM3rSL9CrGLwrB/aeicMKT&#10;KqPIzcevjd9V+CZXl2y+tsyUkndpsFdkUTOpcOg+1A3zjGysfBGqltxqpwt/xnWd6KKQXMQaUE06&#10;OKnmzuqNibWs583a7GECtCc4vTos/7i9s+bBLC2QaMwaWMRRqGVX2Dr8R5ZkFyF72kMmdp5wTA4H&#10;0/HofEIJx9pwlqbjSQcqL4F82JdezIYzSg57efn+2e6LGShysjvpD0+OUjKSz/HX4QDrBQ7f5wt2&#10;+Y0VtAtS/1CMmtkvG/MGLTPMy5WspH+K9ENzQlJqu5R8adsBIF1aIvOMjs6nQ0oUq0H8f/78698/&#10;/iZxClCHXcGx3cZCWfeaf3FE6euSqbVYOAPyAr1A0eTYPQ6PzlxV0tzKqgrtCnZXHYh+QpRvANSS&#10;8EbzTS2Ub1VlRYVCtXKlNI4SOxf1SqAi+yFP0S0o2qMmY6XyrYSc5b8i3ygn563wvOzzPuQWqnCg&#10;Glk1v+gcAdjG6yibE6q9oMyBbuN0PIaQI2EmozRNI932hAGS1vk7oWsSDGSMrOIRbHvvQn5w7V0C&#10;WkoH3GLelSJNRqcjMDisOF3JvAc1XkjiurJky3CVMM6BVdubI09Er1TXsFBqZ6LyIC/cca7vDUYv&#10;uvO/ZPxQMiOQaQh7xLlRz7nHANs7vQusG4U+da5B7sTvsNLxK8y32fbC26s+HU3H0xQCD/qeTCfj&#10;QafvviUzXMMXXUfS8XTQ6v/1DTmCPXRqD3pTSi+iHI4gbxF/1sm+B4eqguV3q11UJa6oHouVzp8A&#10;hdUgCkpwht9KnHjPnF8yi4cAk3jc/Cd8ikqDHbqzKCm1/fqt+eCPxmKVkgYPS0bd7xsWbpzqg0LL&#10;EdL3hu2NVW+oTX2tQTCoDNlEExusr3qzsLr+jDdvEU7BElMcZ2XU9+a1b583vJlcLBbRqb247tWD&#10;wXWXRnYHZB93n5k1nVA8GvpR96Ri8xO9tL5RF2YB2d7KKKaAbIsimB4GIHi04osF6+hJfD6OXoff&#10;AFf/AQAA//8DAFBLAwQKAAAAAAAAACEARiSud5smAQCbJgEAFAAAAGRycy9tZWRpYS9pbWFnZTEu&#10;cG5niVBORw0KGgoAAAANSUhEUgAAAesAAAJhCAIAAADuUg/VAAAAAXNSR0IArs4c6QAAAARnQU1B&#10;AACxjwv8YQUAAAAJcEhZcwAAIdUAACHVAQSctJ0AAP+lSURBVHhe7L2FX1XL/v//+ye+n3uku7tL&#10;EOwuFDtQEVAQsJG2C7EVW+lO6W7YdKpII4iKgtLg/b1mzXZfjsd79ZyjHoH1esxjPWavvdb0POc9&#10;s+r/+zcrVqxYsZqYYgnOihUrVhNVLMFZsWLFaqKKJTgrVqxYTVSxBGfFihWriSqW4KxYsWI1UcUS&#10;nBUrVqwmqliCs2LFitVEFUtwVqxYsZqoYgnOihUrVhNVLMFZsWLFaqKKJTgrVqxYTVSxBGfFihWr&#10;iSqW4KxYsWI1UcUSnBUrVqwmqliCs2LFitVEFUtwVqxYsZqoYgnOihUrVhNVLMFZsWLFaqKKJTgr&#10;VqxYTVSxBGfFihWriSqW4KxYsWI1UcUSnBUrVqwmqliCs2LFitVEFUtwVqxYsZqoYgnOihUrVhNV&#10;LMFZsWLFaqKKJTgrVqxYTVSxBGfFihWriSqW4KxYsWI1UcUSnBUrVqwmqliCs2LFitVEFUtwVqxY&#10;sZqoYgnOihUrVhNVLMFZsWLFaqKKJTgrVqxYTVSxBGfFihWriSqW4KxYsWI1UcUSnBUrVqwmqliC&#10;s2LFitVEFUtwVqxYsZqoYgnOihUrVhNVLMFZsWLFaqKKJTgrVqxYTVSxBGfFihWriSqW4KxYsWI1&#10;UcUSnBUrVqwmqliCs2LFitVEFUtwVqxYsZqoYgnOihUrVhNVLMFZsWLFaqKKJTgrVqxYTVSxBGfF&#10;ihWriaqpRfAxRh8/foQfWyreTogeRnfyfsI/OjqKLf350/RZMiD4qbi/WbFiNbU1tQgO9vFgDShT&#10;LvP28PTHPT9CND3jRRP5mUZGRoY/iSaM+wcrVqymvKb0KgpoCCbyOA4xICU7x+uLO/++eAmggp+m&#10;6jPxjvlvB7BixWrKasoRnNKQamho6P379/2Ment73zJ69+5dT08P9mMLP28PhGO+o3jhd3d3Y4sY&#10;IbqfxoWfHz586OvrQ/KQVDrSUKBzM8OKFauprSlHcBCQChwEQJubm6uqqoqKilJTU6OiokIZhYeH&#10;h4WFhYSEBAQE+Pr6+vn5+fv7Ywv/dxTCxNaHESJCvEhAQkJCXFzc48eP4+PjExMTU1JSCgsLa2tr&#10;29vbAXRKcIibGVasWE1tTbl1cGh4eHhgYKCrq6uiogKgvHr16tGjR21tbTdt2rRmzZr169dv3rx5&#10;7dq1pqamixcvnj9//rx58+h27ncVDXDOnDnwLFmyZPXq1UiAtbW1paXlzp07raysbGxs7Ozszp07&#10;B8Snp6c3NDTAMB8ZGWFtcFasWFFNZoJT0lFqUw/A3dHRUV9fX1paCmv37t27bm5uFhYWADdgOn36&#10;dH19/VmzZi1ihD0mJiZG42T8XYUADQ0NESk8M2fOxCABji9duhTDBk0A/NDGjRv37dt3+fLlyMjI&#10;vLy8mpqaxsZGuqhC8zU+j6wmgWhtfibuf/9F/+MY+tcfxf17nLh/fPoL3Qfi/fxvGn/KF0UP4Im7&#10;l9V30mQmOMxVbLkN5+NH/ITdXVBQEBAQ4O7uDlt7+fLlMIG1tLQ0NDSwNTAwwE/sBNBhhm/ZsgVw&#10;37NnzwFG+/fvp57xws5vFPeEcaI7Dx48CEBjBoC4ECNStWHDhpUrVy5cuBBY19TUVFNTA+KBcqQK&#10;FvrFixcfP3789OnTN2/eIEc0a+hpNLOsJoEoOnmiVTxe3D8Y0Z/ktqpPl0k+E3MUEfXzjuRGNk7M&#10;UUQ4Ej8xVYWhwNtDT4d4IUDj91PRPVQ0WOrn/Ut3svpemswEp82Fth40RyCvqqrK19d37969wLS6&#10;urqKigoQycM3jG5TU1Ng1NLSElvqAWRdXV2dnJwcHR2x/UzOzs4u3yDu0b8XzkXIGEvgcXBwAMEx&#10;bEA7duzAFhBfsGAB2K2tra2jo6Orq4ukzpgxw9zc/Pjx42FhYc+ePevv7x8cHKTdiSX45BMPfKhi&#10;+KnoTyr46Z7xoofxNH4nDZOKRjFe2EkPhuD/jODUg0jR0mjUEAmIEZMcovE7qbihs/oxmvzr4GhD&#10;aFU9PT3V1dWRkZGwfOkKibGxMRAJg3fnzp0gNbi5bds28HEro9mzZ09nBKsc5jC2s2bNwlmfiS6R&#10;f1Xco38v7EfISAw8JiYmYDS0ePFiJGM3I3t7eww2dnZ2sNCRPDAdVjmSgbMOHz6cnJzc3t7e3d2N&#10;boM8YsvNMKsJLoaN/8E0FQNDrugeHMM9YZzoAdwfjOgeKu6u/y4cQ2Onx0PcP34fDsTd+0m8JHH/&#10;/u/insDqO2mS2+C0OaJttba2xsTEHDt2DCyWl5fX09ODB1a2m5ubJ6MTJ07ALgY0QXNwfMmSJYaG&#10;hrDTVVVVqbWurKys9gfh328U94RxQrBcn5oa5gEwtDFgrFq1Crw+cuTI0aNHL1y4cO3atStXrsBD&#10;1+uRZiUlJTExsRUrVly8eDErK6upqQm2EjfDrCaFPjNysQdb7OTtpzvhh43c19dHbzl9//49vScV&#10;xgo8r1+/7vqkd+/eYaR/+fLli0/C2P/fhH9xLr3PFdNWbhBdXfBjJ+KiN7zSu10xC0TzQ5JoIiH4&#10;kTCaVJIZRnQ/BA93F6vvpElOcLQktJvBwUEOh3Py5Ml169YBlFJSUnJycoDm2rVrQe0zZ86A4ADi&#10;VUaXLl2C/9SpU66urjDYYQJTWxhy+IPw77cIIXBPGCcEiP30L9jUYDRSiNhvM7px48bNmzevX79+&#10;7tw5pGTXrl2wwY2MjDAYIPHwbN68GQcXFxejG5Ouw/aNySVapxCPfTw/4AgBpgBrY2Pjs2fP6urq&#10;ysvL8/LycnJyUlNTY2NjQ0JC/BnRO2Lv3buHtuTl5YXmdPbsWbT5PwptHv/CYsDB5HZXRgghMDAQ&#10;oUVHRyclJWVmZiKK/Pz80tLSJ0+eAPdAOb2uDtHk0aSOFzdLrH6AJj/B0bBgMqBNA3mwdhUUFBQV&#10;FWFQwwQ2NTXds2cP0Hn69Gk03Lt37/r4+NC7vyMiItBko6KigoOD0QewRSNGU/6jgr5B3EN/r9DQ&#10;UARLQw4PD0d0EOKFHz3nzp07t27dwlji4uICq3zDhg2LFy82MTHBCIRc6Orqamlp7dy5Mzk5GT2Z&#10;9h9utllNfKHpokJBxoGBAdQvrF2AEiYwDOFXr151dnYCnU+fPgVJExIS0GbQxtB6AejLly8DxIcO&#10;HcKQv4MRGgnmlDBWaPsxMDBA49HW1kb7+UywafT19RcsWICDcQq0devW7du3IwQbGxuEiSns+fPn&#10;EQUGg/v376OhpqenY+TAEIL0dHR0YESh9ju10DEzQPphpCMvLMd/kCY5wdF00AFaWlrQ4BYuXAhw&#10;Gxsb01tNLCwsHB0d3d3dgW/Y4NQwwfb48eOwiJ2Puh49fcLzsteN2963H9z1vnvrxq0b12/dvO59&#10;4/rN69duXLt2/drV61dv3PBmdnlfv+F9/eatG9447PZ171tw8Ht7377lfee2953rN27gYJyCc4nD&#10;GbduIuSbd27dvHvr2q2bnlcunjh3+uhJRH4clviJEyfQD5Eq9En8PHr0qLOz88GDB2Gto1PNmzdv&#10;1qxZGIeWLVuGwQY9h17P5Gab1S8gailTg5S7CztHRj6OjP17dOwj4/798d8wqukerhvDLjRcHDk6&#10;2N//7k13e2vbk5raspKSwvyCrPTMxLj4yLBwfx+/u7fuXMZM8cQJNxfXwwcOOtjZ77K02r7VfOum&#10;LevXrF2+ZOm82XNMjIyNDY3gDA2m62rrqCqryErLSIiKiwoJCwsKCgt8wUmIiinIymupa0zX0zea&#10;bjgDztBwprHx/LlzEeba1WabN2xELJY7LPbstkG8xzyOep47f+Xi5Qcw2x/5hAQFxURFp6emcQqL&#10;ykvLaqurW5ub377uHuzrR45o1rgOBTMyCsfLMvGMoQR4Dj8/0mIhxTXyu5JkxdNkJji6ENAGu6Cy&#10;shLG7MyZM2F6bNmyBXy8du0ajFyYurBcQG3g8siRI9bW1hs3bgToNTQ1lHXUtWfoz1+x2Nxqh90B&#10;B5u9e/bss9t3+ABxB/fvO7hv34F9ew/s3edwYK/DAQeH/fZw+w44HDi09+Bhu30HiJ8cdHD//kMH&#10;9x/ef+AAOfgA2bHv0H4aju0+OwRrZbd7885tS81WGs2bqTdjOqykRYsWrVu3DgPM/v37McAgqZgZ&#10;wGCHqQXLHUwHx+loNH/+/Js3b9bX18PewWyDm21Wv4CAG564u7ATFGLAxIUXtmATD1VkD4D1EVsg&#10;71Xny/q6J4V5+XHRsQG+fqePn3RxPGJrvXvz+o1LFi4ynm6kp62jq6mlra6hrqyqoqikKCevICOn&#10;oqCkJK8gJyUjLS4hKSomLiIqKSouLyMrJyUtLSEpLiwqKigEUovACQp95vCXmJCwhIiojISknLSM&#10;oqy8vLQMQpASE5eRkEIgyvIKiEhBVk6B8aurqIL1elo6+jq6s41NFs2bb2a6aof5NjT3sydP3/W+&#10;HRsZnZ+di1y86ujs63k/Ojg0NjRMckoJPjwCx+SdcdTDK41xP2m5jS9JVjxNZoLDAsIkrrW1taCg&#10;AIw2MjLS1NQEwTEZvHTpEmaC9xjBAw5euXIF+/fu3QvzHAydtWDeouXL1m/dbGMPcB+037931x5b&#10;K5vdcLuIs9ltS5zNrj27rW13MW73rj02NnY2tvaWVjZW1jbW1jbcnTjGxpYej3OtmUDgEKbdvr22&#10;DvY7d1tv2LpludmqxcuWrVq1CvNWJMPFxQVDy9WrMPNvIIW3GGEPLHFbW1ukUElJCWMSgF5RUYHJ&#10;NXLKzTarX0AMuj8XF088B4IPw9geHnj/obvrVWtT85Pq2oqSsqK8gozUtIjQsHu3bnueOet06LC9&#10;je32LVvXrTZbOHcerGMlOXkKYuCVOtjOcEC2hAihtpiwCJw4HPOvEB//545fgBrd/9shFgwACHa8&#10;Q7CgPFiPfzESCPPDCWAncK+lpj7TaMaq5SvAcXvbPS6OThfOnrt/+054cEhyfGJOZlZJYVFNRVVr&#10;Y9Przq4PPb0jA4MMvsfNP5iSoSMcGeTofupYgn9Jk5ng0NDQEAien58Pgs+YMUNFRQXUW7FiBUAJ&#10;cxtG7smTJwFB2Ln379+Hqfvw4cPbt2+DmOcuep31unDWyxPu+OmTh52O7D986NARx0NORxydnZxc&#10;nJ1dXVxcXd1cPdxcPFwZ5+Z61N39mLv78SNHXOGcnFydndxcnN1dnT1cXDHZdcUpR5ydEBQCQVD2&#10;+/YiTGd3t2OnT54+fxYReV70ouMKUvLgwQPMDzBRAMHPnDkDcMMqX7ly5bJlyzZs2AAbXFFREQb7&#10;uXPnOBzOy5cv+/v7uXlm9QsI8z8qcmnvk2BcA9ljcCOjcCODQ7C1373ubqp/XpRfEBMZddf71vnT&#10;Z+x2227bvMVspeni+Qtg2wLZOhpauprasHlhaMtKSQOjQDBALCLA2M5CwlxeC4tivyAfP3UU06KC&#10;wtzDBPG3sJgQORKePzoyDID4wnDkmE+MJkMFHI0RwdKgKLuF+LCTmxIMFdLikjD/VZWU9bS0ZxhM&#10;B83nmMxaNG+B6fIV5pu2YAJx6tgJ7+s3osLCC3PzG5897+1+Ozw0PDI0PMqUyUdqjJM1k08EpzMV&#10;6liCf0mTfB18cHCwvb29qKgIEATBQT1dXV1AHDYsOOjg4ODh4XHixAlY30A8zHDgGwAFx2/duX3D&#10;++blq1fOX/A8fvKEs5vrEVDbzdXFzdXVw93tqIf7saNwHh7HPdyPA9zM7+PHPU7CuTq5Ewd2M1h3&#10;czvq7kEOhsO5Lu5uCARBHXQ8fMTZ+ejx42fPn7t05TKi8759m1IbycC04MKFC8ePH4cx7ujoaG9v&#10;j8nB0qVLkXJsZ8+ejbzMnTv34sWLJSUlXV1drA3+S4nLbEY89HwEwAcG37/tefvqTUdrO1ng5pRk&#10;pWWEh4TevHb9uLvHnl27N65bD/zBypYSl2B4SmgLVsJPOCsohD08E5hAmThmGQSYFhACynEY+ck4&#10;egz965O9zDiykMI9heeYgz85wnoS+LiguKCnIdB1GBzDGzwwAADi9HSkkFnGEccBiAv7VRSVjPQN&#10;1piustxh4XrE6frlqzDMs9MzyotLn9U+aW5ofN35sr/3w9jw75fLGfOcWQdnCf5lTWaCDzN6/fp1&#10;dXX1pUuXYLEqKChoa2sDgrt27QK1gXX6TiszM7P58+fDNqdXOG1sbPbtO+Cwd7/93n1w+w8eOuzk&#10;7IpDT570YJz7qU/u2Am3o+h6x4HyYx4nTh49derYaQ+Xo+4MuN3cj7l5HHc7esLt+Al6PHP6KYQD&#10;5+TmdsTZ5ZCj04FDh/cfOLT/wEEHh307duzA0AKZm5tji6RiuoC5wvnz5zHGuLm57d69e/HixdOn&#10;TwfBgXKwvq6urqenBznlZpvVLyNAB2Y4qgZzQRgTfe8/dLa/qKmozMnIBLWvXb5y1NUdFvfm9RuX&#10;L1m6aN58GK2wteWlZcA+SmdKamF+AbqFIQwPdhIcM6sccDxSky2Dbx6meQczjGawCw+PyL93BMcM&#10;o8lPxkOOZM5CUDRAbpjjrXgaKQYP5idJJJ8AToSxj3DggYWOnQA6IK6lpm6gqzd31uyVS5dv2bhp&#10;z26bIwcP37h6zd/HNzUpubayqqujs//9h+HBoVHGMCc2OF1doY7VHzTJr2TCAurv729paYFhu2DB&#10;AiUlJRAcpHZ1dYW16+3tDSN327ZthoaG0tLS6urq4PjatWu3b9++i1nItt5lY2vnAMgeP3XmjOeF&#10;054XTnp6Hj937tjZs0fPnvE4c+b4mXMnzpw7efrcqdPnzpw+74mDzlzA3lMnzp46eRb7T545f+Ls&#10;+WNnzuJgnIJzT4DFnp4I6pzXxVNnzrl5HD1w0NHOfq/N7j2WllampqazZs3CYLNkyRIkBknS19fH&#10;iHLjxg1kAYb54cOHMZlALpAXDDx+fn5NTU3IIzLLzTarX0PAN9jd19f37t07+nxN/ZOnBTm5sD2v&#10;X75y+MDB9WZrZs4wVlNSgYlKlpKZa4YUjgyCBeAh5rawCDWQyToGITgxewk3BYWJ5UvOkgAfZSQk&#10;ZSWl1JVV1FVU1ZVVsdVUU9fW0NTV1NJS19BW14Qf1r2+ji4Yip06Gp87Qz396bp6Bjq6elrkGin2&#10;aKtr4FyEo6GiqqasoqqorKqopCyvoCgnTy+WIgFgOlIFytMBACknyGYsdCQbyYNDapEd7ISfWVgX&#10;R5rlZWQ1VNUM9Q02rFlnZ2N74ey5iJDQovwClNLLFx09b7rfv+sZeP9hZHCILKdQjrP6gyb5Kgps&#10;H0D87du3kZGRW7duNTAw0NDQMDIygiV74sQJ+igm9sM219PTc3BwOHfuHMPKu9du3rlw+doZz4vn&#10;Ll29dPPW1bv3rz14ePXBwysPH17xeXTF1+cqnJ/vNT/fG36+t/387vn5P/QL8PMN9PcNfHjfx/vW&#10;3Ru37t589OiWv99V30eXfR5d9vWBu+Ljc9XH59ojn+uPfBDm5Vt3vK7fPH/p6jmvy+e9Lp8973X2&#10;7FmkChY3tHfvXtjagLWVlRXmEKdPn7azs4NJjqSqqKggFzt37oyPj4cBjmxy88zqBwsjJW86j6ZF&#10;ZnnMQ4lU+IuKmt69vb3t7e3l5eWoJh8fn0sXvJwOO1ps277GdNXi+QvINUl5BWCa/7dpAr9No+Yt&#10;tVh5RjSxYfkFcABhN7Nkgf0C0/gEp/GR1WdBIWkJSSAVtq2RvgFs2+WLl6wzW7N146ZtW7Za77SE&#10;hXvq2HF3Z5e/5lwcj+yzs7fcvsN80xaEuXbV6iULFi6cO3/uzFl62jpIvCQz5DDmNsNofgFAXEJU&#10;jCSVSS0Ze8g4RFbYsYexzTHwMAsvzEqLvLQsxok5JrPMVppu37IVM98zJ0/53H+YFBdfXFjU0tBI&#10;1sr7B2GS0+JFsWPLK+3x1QHBP/7nVNAkJzit4Pfv36elpR04cICa4aqqqps3b3Zzc7vIyNbWVldX&#10;F4Y5jNzMzMyioqLCwsLUrNyYxJTgqNiAiOjA6NiAmFi/mBjf6JhHMTGPHsc+iot9FP/4UcLjwOSE&#10;oOTEsOTEqKSk2KTkhIQUuMePE8Iio0OiokOTEiLSU4JSE30S4h7Gxz7EWY9jfR7H+sbG+sfGBj2O&#10;C4x5HBgVExgRHRQZHRr1ODI2HunMZZSamnr16tWlS5cC4tbW1mfOnDl06NCGDRuMjY0lJSW1tLTo&#10;TAJHIncswX+a6FO+DCiIsAdbChSqgYEBGN0YVt+8efP06VNUKGZ7jo6OMBTAKV0tbRUFRXJbnoIi&#10;jFDwF3QD12BQ0/tJwDsYtthSiIOM4CCOgdFK7/BTkCE38ynJIQQlGMjG0w0XzV+wasXKLRs2kSVm&#10;J+czJ05iqLhx9drDu/eiIyIzUlIzUtL+mkuOTwj087/jfevKxUte5zxPHD3meOCQjZU1ULvGdPWC&#10;OeTGGE1VdTUlZdj+yvKKSBu5c1FaBqkld61gOsFcWQXH4Sdr+iSnhOkM4smCPg5DruWkpBVl5VAs&#10;upraC+bOQ/hHXd38HvrkZ+c0PKsnN670kueDeIMlaoFWBK0UnniVMnU0mQkO0RpFpyorK7t8+fKO&#10;HTt0dHQ0NTUtLS3xkz4MeeTIEX19fTMzM/ifPXvW2NhYXV2dxSlLzM6LSk0PT0kLT00PTUsPSU8P&#10;ycwIysoIyskMzM0KzMsOzM8OzMsIys0Iz8mIzs6My8pMzshKTs+MT06NiE8IS0zE/qjCnOCCzIDc&#10;zIC8rACclZMVnJMVkp0Vlp0VnJoakpIahoNT0hDR4/SspMyc4uLiurq6hoYGpOHhw4fAtImJibOz&#10;M5J67949IHv16tWYMcAA37Nnz4MHD548eYLcoWVzM8zqB4sSBJYBxPNw//v3vwcHB1+8eAGjOyEh&#10;ITg4GPM5d3d3NLbly5fPmDFDWUFRSlyCh2bQTYiPrIqQPYwBTi1uEJxatXBSYuI4C1bqzBnGixcs&#10;XLvaDMY1GApb1cXR6dSxE5cveN2+6f3w3n1/H9/ggECYrhmpabmZ2QW5eaWc4md1T9qbW9qa/qJr&#10;qm+oqagsKeTk5+TmZmalJ6fGxzwODQxCXA/u3Ltx5arnmXPHPY7CWsfcwsHWDtOLdavXwE43nm6k&#10;qaYuKyWNLGDGgOkCXfNBNpFBuqLCjFv/cTgGUw0cpignj/kExiRk083ZBaNRsH9AZmra8+fP6T1X&#10;tAqoaAen4tbBFNPkJziqGSYqmBgaGuri4jJv3jwwESiMjY3lcDiwuM+fPw8grlq1KiIiAq2kvr6e&#10;9MD8ouisnPD0zPCsrMjc/IiCgrCCvJCC3MDCvEBOfkAJXEFAaUFgWV5QWV5EcV5MUV58YV5ybl5y&#10;dk5MSmpIUmJwanJIYVZ4GTnGvyTPryTfvzg/gJMfxMkPLsoPhcvLCcvNiczJicrOicZZWTlxWdk5&#10;OTmIHbZbbW2tv78/UjVnzhykEDtLSkoAhf3792PGgFycOnUqJSWls7MTxghL8J8pNCqKb3hQ+Ghd&#10;2ILdmAy1trZmZWVh6D148OCWLVsWLVoE40BFRUVWVhYzJ1jcZBmEgTVdSQCwxMjFQOZ6IGGcCDHD&#10;mZVumLEwabXU1GG5my5bYWWx89C+A2dPnb53605UWHh6Smp5SSkI29n2Aibqq86X1HV3vX73uhvu&#10;7as32H7o6R3q6x/qG/hrbuBDf1/P+/dv3/V2v33/rgeed6/fIJaujs5XHZ0v21+0NTU3Pqt/VvsE&#10;iE+IjfN58NDz7LnDBw4C5cuXLDXQ0cVUA7mWFBVnhiVhOudgck1yCgMcHhjpFOhwKAEcA5MckwwN&#10;VTUdTa25M2dZbt9x7tTpqKgo9A50ZExxqDFO64KAnBGtnammyU9wdDbUd1dXF+az586dQ6eaOXPm&#10;iRMn0NNASZARxrixsfHKlSthgwPfUFVVVXJx6eP8wqjcvKj8/OgiTmQxJ7y4KKy0KLiME1xeHFRZ&#10;HFRVElQNVxhUVRhRXhBTUhDHKUguyE/Ky41MTg5MjA9MTQrmZIdXFgVWFQRUFgZWFQfirIrikIri&#10;0LLi8LLimLLS2NLSuJKSOE7x44KimJy8+Jw8jCgVFRUgOCzxoKCgNWvWIMH0wUukCo3YyckJUFi8&#10;ePH169dxMKbqyCAIws0wqx8sHjLgwU94Pnz40NbWVllZmZ6ejiH29OnTVlZWqDUMtDIyMvz8/NOm&#10;TePjg4VJF7ipYyDOLA3jJ70MCMwpyyvoaWmbGBotmjd/3WqzHebb9trZH3c/esXr4sO798KCQlIT&#10;k4sLCuvrnnS2tb9/2zM6OEyf6vwf7j9PxPx591lQX3CjY0jDcP/Am5ddzQ2NZZzitOSU8OCQ+7fv&#10;AOXOhx3tbfZYmG9fZ7Zm6cJFs41NdDW1gGZgmiIbW7qmT0Y1usovIIifAsy6P7N8JCovIztjuuGa&#10;VasPHjhw5swZX19flHNNTU1HRweGTFojPPHqZepokhMcYrobeT94QUEBXVmGxX3s2LHs7Gy0Axi2&#10;Xl5e06dPX7FiBWzwJ0+eAOtgZVxxaVRhEUzviKLCiBJOSElRCNhdWRJQVRJQU+pfV+ZfV+7/pPxR&#10;Tf7DqryA8tyQ4pzwwpyY3Ozo7Ezg+2FCzMOUOB9ORkBlAY7xqeX41pX51Zb515QF1pQFV5WFwpWC&#10;4yXRZaUxJSVRRUURufmxeVyCIxkgeGBgoKmp6cKFC2/duvXs2bOysjKMMZTgy5Yt8/b2xsGvXr0i&#10;03j2RpSfJQCCTnrQqGB9o/wx3CYkJKBp2dvbr1+/fu7cuZqamgoKClJSUsLCwkJCQqKiMEEZMSva&#10;2DJ2N7mmRxeCYXIqKyjCYl22aMn2LeZuTs6XL1wM9POHVZubmV1dXtn8vKGloRHU7n71GuZwf+/7&#10;4YFB8pD68Ah9Zwjx0Bs2GD/dzwUxfeLxLzsSCLkve2xoGLAeHSJjBtkDTpLoRseGyGOliLH//Yee&#10;7rdAOdKJBD+re8KswBSB6SGBQVe8Lrk7u2zduHnRvAVaahry0rIyklLIO0YvaXLnO4xxeh+kgMBv&#10;fNjCZqfXAzDO4UhSPgYGs2fPXr16NcoZpZ2YmIh+ivKnL0dkAM4dXLlVNTU0JdbBATgQHLwD9cBE&#10;ExMTDw8PzMiqq6tLS0svXrwIGxzWbkxMDExdoBMtI764JLqgMKqwMAqQrSiLAHArS4MowatL/AFx&#10;uNoy3ydFvnWFwZWFkaX5sUV5Sbm5Sdk5UUnJgQnxQenJQeV5oWD3U45fTXFATYl/NTk3EK6qJLiq&#10;JKSsOKy8JAoELyuNLimOKih8nJ9PCQ5eQ7DBV61aNWvWLMwSwHRMF2CDHzlyREtLCwS/ffs2h8PB&#10;3AK5m2qt9oeKthkiEAoGHVCFLddPIDE0ONTb09P18uXTJ08yMzJCQ0I8PT13WlgYz5ihpKgoLibG&#10;z8cnJChI4C0oSJ2ggIAAP/9v/+//BPn4RYXJRUtZaWk1ZRU9bZ1ZJibLly7dtGGjjfXuo27u169e&#10;CwsJSUtOrSqvaGtuefPq9cCH/jGYusMjhKeUmxSsJGFckqKJw3F3Yksd9+DfPyPzpxwvnPF+tDVK&#10;8PGOpmGEvOkF/rFhTAyR6NGh/oHXXa9qq2tSkpICfP0ue110dXax3GGxdrXZ0kWLZ8Iq19ZWUVKW&#10;lpQSokvkAgKC/ORpUjiY53z/+g1blJi0hJSQoJCIsLCsjIyRoeF2823nzp4LDAjIzsqqqqzsaH8x&#10;0E9enoXaQRXxKpFXodQzKTUlVlEwRL9+/To/P//GjRvLly+fP3++i4tLXl4erFoQ/MKFC2A6xna6&#10;ivL8+XMQPKW0LDo/P6qwIKKME1paFFTJCa4pCaSOLJ6UBAHBVSU+TwHoorDKwsfF+cl5ebkZublp&#10;OSmPkyOiH0enpoaV5wdXFjyoKwiq4kRUlIRVloSC3RTiNcQDjodXlkSWFUeWFEUW5FOCY1xBGngE&#10;nzdvHiwOGHpIVWxsLFKuo6ODGcODBw/A9O7u7sndQH++SNen4oESW/jpk4GjYx96ehuf1aenpN66&#10;cfPgvv2wKwEjI30D2IkyZJ2X3IBBl3TpsgB+wpaUEhPnA9mFhERERGCea2trYxjeuXOnm5vbnTt3&#10;Hj9+TO+DQi03NDS0tbWhxX748AFNl8ywJuAcC+UHwwJbZAGttLm5mS5aot/Fx8ejbV+7ds3R0XHb&#10;tm2YZdIVJwkJCTExMYx3tJToDAY/4ccEht7BArNdSV5huq7e4vkL1q1ec3j/Qe/rN7LTM9qbW5hH&#10;Okcw2lEhal5KqGdSajITnNYc6hLTXrShwsLCmzdvotuAiV8leFJpWWR+fkRhQXgZJ7i0KKCSA+b6&#10;U/fJjgbEHz3l+DwtCqksjC7OT8zPy8rIzUrPSYxLDot5HJGaGlKeH1hZcL+uIKCKE1ZRElJJkI1z&#10;YYnDJKfDALAeXlYcXlIUUZAf+18IjrYOgmM/+jlSTu99vH//PtL/5s2byd1A/0mhXOEIx8kW5mTv&#10;23cw96rLKx5HRV84d36H+TZjQyNleUVZSWmytstP1nbhoeskxMM8Ck92iohKS0iqqalh/mRgYIA6&#10;3bp1KyaCmEjFxcVVVlaC1/3MV0+HPwnUphjCdiISnCYb6YfgQY6QO9Ac2USjBdAxg4yIiLh+/fqh&#10;Q4d27NiBjonpJtq2srKynJwcBjmAm6IcW35+fu5lA+bpUHgwIsrLyM40MrbasfPapSuJj+NRLy/b&#10;X7x7+xZRIFKkAdvxKJ+UmswER+VhSxvQ27dvAcfPCA6LABD8MsHLymAURxQVhJdzgsuKgODA2hJ/&#10;6sZZ4o+eMQSvKowuyU8syMvKzM3KyEmMTw6LfRyRlhpSkR9YxRC8mgNScwleQ/BNCM5APAxmeDlD&#10;8ML82IIvEBwzBhAcPynBXV1d0coxk7h37x6P4FQ016y+mxh8kzegjo4N9w92tLVXlpY9uv/gwtlz&#10;DrZ7zFaaGk83VFVSlpOSpqY35QssbvIADrkJmvjhsF9BRk5TTX3jxo179+718vLy8/MDuNECKyoq&#10;YHHDvICRgVbKW2HnJoDRBK1cmmyI+5sRsoYMDgwM9Pb2dnR01NTUFBQUYPIRHR2Nicjx48d3796N&#10;noj+CI7DBp82bZoAo//7v/8T+G0afV0X8wQ/uciJYtdW15xjMnP1ipU7t+04dex4WFBwSXFxe3s7&#10;YqHR0YKlsU9KTWaC82oOHnQStBUM+EuWLJkzZ46zs3N+fj76DyD+RYInlpcBqeFFBaEVnKDyIv9q&#10;jn9diS914zj+8Bnn4bMicjtKaf7jory0nNzUrJzYxOTAuMehGalBlfkBVQX3nhT413BCGJsd3Me5&#10;fowLgKspCakuCa0oDi0tCivKj/kSwRcsWIBkI2Fo7uj2mHTr6elhHLp79y4mELDd0EnQUiGaWVZ/&#10;U5Q7RLDeRkYH+/phejc9b0hPTn14776VxU7TZct1NbVgU8O4JjcCMuCmd8jRmT4ctcFhJyrKyRvo&#10;6i1fvHTrps0XL16MjIxEPWLc/cB83BJmKeLhRvxJFDqoUJoKKu5/E1DIC9VnOYKwEyUAoMPAamxs&#10;zMnJefToETgOkxxmFqYs0tLSMjIy2IqLk4c/mfkN8+5c5lIwKX/mUiecgozs4vkLDjjsvX/vPoaE&#10;1tZW+pwEFTcpk1GTn+BoKOgSr169ys7OvnTp0niCY/YKiP9dgj8lBA9nrmSm5OQmZ+VEJyYHxD0O&#10;5hG87u8S/MaNG9hTW1sbHx/v7u6ur6+/dOlSELykpAT5QgYZgLME/w6ihYkGAw0PDr1/19PS0FiQ&#10;kxfg4+vh6rZz2/ZZxiZaauqSomLUHqRAIY8d0sdSGKMboFEi9wXqLJw7z3zTZqdDh69fvhrkH4AW&#10;WFdXh0GXwoUwjImO4RsXcNx0MBr/L3fXxBGTOa64uxij+DNxj2BeI/rixQs06YSEhMDAQFgt6KRb&#10;t27FHFRDQwMQJ+snAvTlXMzTQMxISexxZrVKSlwC9bJw7nyrnZYYAwICAmCxNTU1YWxAaXOjn4ya&#10;EgRHb+ns7ExLS/P09Fy8ePHs2bN5BIcwq/3LBH/0jPMIBK8uDC/Lj+GQe1ESc3KikpP9Ex4HZTIE&#10;ryarKH+T4Ddv3sQedH40bh7BMevkERw5RWeguWb1d4RiRGtBn+/v7+9+/abhWX1qUvIlT68dW81N&#10;DGdwH4UXlwA1PhGE+yInCRExSTFxcAQHaKiozpxhvHaV2ZGDhx7cuUueJ3zy9NXLLkwE6aPhZHj4&#10;7wSHh7eTCj9p8iaQaNZojng/kWuSt99nGaVBdwLi79+/Rym1t7c/efKEmuSHDx9euXKlgYGBoqy8&#10;nJS0lBh5nRa1xyVgfTMPClGgS4uTV8RoqmugO2/ZsuXs2bOYsz59+hQzHpqGSanJfyUTW7QVzNFC&#10;QkIA7rlz586YMcPFxSU3NxesLC8vP3/+vLGx8YoVK6KiojBo03uxk0vLYouKoooKI8o54ZUlQdXF&#10;gdXFYK5/TbFfFce/ihNQxQmqKvapLfSpLQiuKIANDoIn5uUm5OREJCcHpSQGZ6UGluUGVxX61JEn&#10;ekLKizASkEeBmBtRAmtB8+LASk5IBSeiojiylBNekBeTmwMoY5bd0NAAZCPBy5cvx3gDewR7kKrE&#10;xEQQXEtLC7k4deoUxiTMFpE75JFmltU3iiKD+lGAQ8xzlfCjGOHp6elB+aenpvk9fHTc3cN805bZ&#10;JjMxT+f/bRqMPiCb9xihwDQ+/n+RncC3soKi8XQjM9NV1hY7YbBfu3QlPDiEk1/Y3tI62Nf/cYwg&#10;jMYI/Y/6Yirzd+L+MaHETfo4gkMoAd4eKt5OKroT1YEqgEleWloaERFx8eJFJyenrRs3LZ6/UF9b&#10;FyhH4QtO4yPjKPMgq5iQCGObM7fYi4vLy8sbGhquX7/+yJEjGANgq6H7Y2zglT8igp+KF+l4/wTS&#10;ZCY4RBrFx48wfMrKyq5du2ZpaTl9+nQjIyM3N7esrCzgG00EBAclTU1NIyMj0W+BdWLtFnGi8/Mj&#10;8vNCiwtCy4r8ywv9Kwr9qwm+/SqL/CuLAiqKgio4PtUFPtX5QeX54cV50UW5CXm58dnZ4clJwalJ&#10;IHhASXZQZYFPTUFAeUFwaWFQWWFQRVFgFYewuwYmOUPwck5kRUl0WXFkQT4IjqkfUkVHEdjgSBVg&#10;jZTjJ/bHxMQg5To6OrAy9u7di8kmUkuvvKP9cfPM6htEGwb1o+joKAg/8A2TDYNodHS0q7PL+jVr&#10;YU3DplaUlSML38yNECAFs+pNniGkN0hgv4yE1HRdvS0bN10875kYF1/GKa6rqmlvbunpfkvej8o8&#10;OUmjY/VV0dpBpQC7sMcxUYa9FRIYdMLj6IY1a1HOkih1PgFig5PyJ++QwWjKQJy5+15QUEJCQlVV&#10;debMmRYWFufOncvIyGhuboaNT5jNVDcGCeqHxkdK/RNIk5zgtBHAso6NjT148OC8efOUlZX19PT2&#10;7dvn5+eH4R1ydHSEDb5o0SKAMjk5OSEhISkp6UFIxO3AkJuBwdfCQq5FhntFhV2ICj0fHeoZE+YZ&#10;HebFuEvR4Z6xIZ6xwZeigq+FB90MCbwbGHjH3//qvXsX79+75PvQK8z/UnTI+djgi5EhV8JDL0WE&#10;XooKuxgd7hUT7hUbcQkuOvxKZJh3VOSdqKg7oWF3AoMhTAXi4+ORjEuXLi1evBhp8/DwwE/sv3Hj&#10;ho2Njbq6OsxwTC2xH0e2tbV9+PABrZObZ1ZfE+2o2KJ5ANnwoBujAN+9e4e5DmDh6+uLkXLVypV6&#10;2joAN4xu+tUCsJvcysbM3xnrTxRk19Egt0NsXLvuwN591y5dTktKbmtuGeob4H7GF4Yd3MjoGH6y&#10;+jahUlA1lK2oneHhYbTw2qrqmIgoT3IjkN3a1WYYWXU0tBRk5DCCCvzGh9ohtwNhTBUVExERYTAu&#10;KCYmBnNn1apVx44dgz0Ecw2dBbWMukaYCBxRICJoIrKbapKvomCkxRienZ19+fJl2LOKiooYnAHx&#10;tWvXHjp0CFMzFxcXzLYARNjmgOPp06dPnjx56tSpg65H7Z1cbZ1cdrm77T7qYXHM3fyoy5ajLubH&#10;XLef8LCAO+6+85j7tpOu2066WB7DYc62rs4OR5zsDztaO+y12LvX4uD+HW6OO4+5mJ9wtjjqYu3h&#10;bunhvvOo245jbttw4nF3i+MeOzxcLdxwrrutu4eds6u9ozMELtM07N69m77QnH5f/+jRow4ODitW&#10;rJCSkpKUlEQu0DQxwUTuWltbMc/gZpvV14RWgS16Lzy09wIZYASmPpjleHp6bt++HQOnuqqaopy8&#10;BHnym1ylBClAbWHm7kBR5v4T2N0zDAzXrV7j4eIa5OdfXFjU8PRZR2sb7G7yxhL6mDuCB4uGR0aH&#10;2LePfatQKagRHsHxE8B98+p1S0NTVXlFTmaW/yMfx4OH1piuNtI3UJCRhemNGoE9TjjOvL+APhAk&#10;ICCA/o7ePWvWLN7KeH19Paw6HrVp+DSuiahJTnB0y5KSklu3bu3atUtfX1+UkYKCwvz589d90ty5&#10;czFQg+CrV6/euXPnjh07zM23bdi0ffX6LSvXb162Zety820Lt5kvtNi+ZJflcttdpna2q+H22Ky2&#10;3W1qv2ulvbWZrfW6XVYbray27LTcsmPn2s1bVm3evMp8q6m1xWpb6xV2VqtsrNfutjHbbbPaZvdK&#10;m90rbHYth9tltXSnxdJt21aYb19lvsNs07Y1G7du2rRp69atmPpBSA/SrKmpiRQinRs3bsQWbREN&#10;VEhIiI+PD03TysrK29sbeezt7eVmm9XXBDpgi+aBfost6PD69etnz55FR0cfP34chYwyR+fn++03&#10;ut4NZNMJu7gwrDshKTEJRVl5mN6L5y+0sbI+c+IkbMMnNbWD/QPk/nFmwYRsP3v2faIaef+kUDu0&#10;mshUiSlVDIQf3vU+q30SHhJ6+vhJy+07li5azBjjspKi4kL8AgL8Avz8/DDA0dNRieRRIHFxGRkZ&#10;NTU1WD8wjzCXra6u7uzsBMdR9QgfBOcBfcJpkhMcPTMiIsLS0nLGjBlKSkqwXoFv8Hrp0qX0tX8w&#10;tUxMTIDIZcuWoetu27aNfKBy/Yb1a7esWr1hxer1S9dtXLZx84JNm5bs2G62x2bdXvtNB/ZvOXBg&#10;y/79m/fu3Xxw76YDDlv32W+3t7ews7O2sbPabbvNwmqzheVmS6tNdjZb9tmt379ns4PDdod9Wx32&#10;wbPBwWG9g/06B/vVu3et2GmxfIv5yo1bV8Gt3bR6LflCJkgNiENID72SaWhoaGRktHDhQjB93rx5&#10;yAIsCxBcXl4eWYBhDsvi7du33Gyz+ppoX6VcgBmOmXVaWtqFCxcw6VmyZImurq60tDSMOFHmvmPY&#10;4HB0vRVOmty1prFs8RJ7G9urFy9FhUfkZec01Te8ff1mZIB8SoZxIx9HCL7JU/ifHPnkI6tvE6qG&#10;UhUVRNkKDXzoR8GODA4PvP/Q2/22uaGxIDcvLDjkkucFG6tdC+fN11RVk5WUEhEWAbhh4gDcMMNB&#10;cFSlmJgYfqqrq6N+9+zZc/PmzZSUlLq6ujdv3lBjn0ZHG8bE0iQn+IsXL65fvw5MowplZWVVVVVh&#10;1cIAByjXr18PexYQBNxXrVoFYmLubG1tDWsdNvjWTRYb1pmvXbd11eZtq813LNu2fZW19eYD+7cd&#10;cbR0dbF2dbV2drE84mTpCndkl7OjraOj3aHDew8cdth/0MbOwWqPvZW9g+XhA9ZOh3c4HbI6csT2&#10;iPOuI85WjkcsHB23Ox7edvjwBjs7M2trUxjgm83NNpqbrd28dt1mjB8YRWCA09kAZGpqivkBUo7U&#10;YtTB2KOhoaGiooIWCZQD7tgZEBAwuW+Z+r5CX8UWXRcTl1evXtGXVsJA09bWhrEG2w2jI6EAHPNo&#10;Jb3JgTzGLS2rKCc/d+asvXb2/j6+laXlr1929fd+GBkYIq9Votb3J/d7go/9e5Q1wr9VDLGJ6Y2a&#10;whZ+7BzqH+CWLZ3ojIx+6OntedNdUVL68N59OxvbRfMW6GnryMnKAt8QwI1KnDZtGl1OwR5JSUlA&#10;ADNXdCtgIT09vaGhYWBggCX4LypUSVdX17Vr1zD2goCwZ21sbNzd3M6fP3+RkdmaNWqaGrMXzHNy&#10;d/W8evmU1/mzl71OXDh37PzZIyfP7Dt63M7j6O4Tx2zPnLI6d9Ly/CnLC6ctPE/uOHdix5njFmeO&#10;W545YX6eOKvTx22PH9vrcczR+aijk8fBw257DjmRNfTTJ2w8z2zzPImDMdneeeaExdkTO86f2Ma4&#10;raePbj9zzPrsSduzp2xPnbA9etTu6NEjx44dO3/+3OUr5y9fOXfx8vmLlw8fcZk9d4GCgvKaNeuP&#10;Hzt1/uyF40dP7tu3D9mZOXPmnDlzYKoHBgayNvgXxev/VAQM0NjHgfd93V2vn9U9iQwNcz58ZNO6&#10;DQY6unJS0hLMl3lBbWEBQVHmghiMODAdszdNTU0Mn3v37oW1HhMTQy+L9ff3c4P+ieLm4lcSTRVK&#10;+7MC/6FCXB8+fICVVl5ejmmol5cXOvi6NWv1dXTJI/jT+Ojd4nAizA3j5EK0gKCslLSRwfR1ZmuO&#10;urk/uveAk1+A+dMYhgT6ql5gnJk/kVUvZOWXnzlNZoLDyHr58uWVK1d0dHRmz56NvnfL2zv+cRzG&#10;Xsyao6KiYG/rG07fvN387sMHscmJUQlxMckJoXExQTGRtwNDrvr6X/Tx9QzwuxASdDYs0MP/wcG7&#10;N/bdvmZ/85LdNS+7K172V7xsrnvtvu619/KFQxcuuJzzPHbS89iJc25HTx/yOH7wxKn9V7wO3rxi&#10;c/Oi3VWvfVcvOly9aH/t4p7rF23hblx09r3n5v/gZKDv+SD/C0EBXn5+V/z8HgQFB0XHRCUmRick&#10;RccnxsQnXrtxa5XZOi1NXZvddqEhEVmZudmZuY8ePTp06NDGjRthocNsDw4OZm3wL+ozrGBQH4IG&#10;Bt++elNbVR0eHLLf3sHEcAbzjUdZclOaAHk1Fb0vDQSH4UYvnBgYGKxevXr//v1oNoWFhWD3e+bz&#10;pDRwGtdPFnL064ibpp8uFD6M6J6eHthqZWVlISEhHq5ua0xXqSurykpKM68gFxenb4tk7iMS5OMH&#10;ylHX2hqaC+fO27XT6s5N71JOMSA+3D8wOjQyNkTedQ6U8yDOjelX1SS3wUFw2Nog+MKFC93c3EJD&#10;QjmFRbW1tTU1NdnZ2Xv37TUwnL5zl3VIZERheWlBeUlhRWkmpyAtPyc0KcUvLv5h7ON7iXH3U5Ju&#10;pyVeT37sFR/l+Tj8TFTImYigM+FBZ8ODjkfCBZ4LDbwYGHDNz//OA/879/1u3Hrg5X3nwt3750MC&#10;vKJCT0QHnw4PPB+GYYCcdSoy6ATjLiZEX0mKuZWScD816WFK0qPEBP/EhJiU1JTcvNySkvyS0vzi&#10;0oLi0oDg0PUbN6uqatjb70tJSX/2tKHxeXN8fPyJEyfAbrr+Axv89evX3Gyz+r3QyTGWU8rQlZOG&#10;Z8+z0zPv3boDfM+fPVdJTl5aXBLgZu4zod85IxwHwcXFxanpbWtre/ny5djY2KdPnwIWYDcNeZh5&#10;wJKJ5weKUpKMFYzG7/xFRJNEhZ/j0/lDhbhQ/nQB5N27d9XV1QmP425evWZvs2fx/IXqKqrkViLm&#10;Y0D0hiL4iWO+vKwsrzDb2GS3pdWNK1czU9NaG5vI+2npatj4q9C/tiY/wS9duqStrT1nzpzDhw8H&#10;+AeUcIobGhpaWlowYju7OM+YabJrj21MQlxtQz1xjfUlddVFVeUJ+YVR2TlhmZlBedkhhXn+nDxf&#10;Tu6j4tyHnJwHhdmPCrN9C3P8inLucbLh/PKzgrOzIjIy45IzHyelh0cnBEQ/9o9P8MvLDCzOu1+S&#10;87Aw268g26eAnPiAk32fcY84Ob7FuUElBaGc/NDCvJDsrPCsrPT8goJy8pm1qqfP4Kqf1sfGJ24x&#10;36GurnX4sFN+XlFzY0tzY2tKSgoIDnaD4Dt27AgLC0Pz5Wab1e8FlKAlwINO3t/fD/M5IyXV67wn&#10;5tG6WtpSYuIwzeh7qeh1S7BbiI8f+yUlJNTU1MzMzNzd3THLqaiowEQHpjd9MIQGSMXE8wPFjYYR&#10;ogazMHLQweMXEU0MkkdTS/j9swjOE4ZV9ILOFx31dU8SYuPcXVwXz1+goqgkLSEJXnMnWCKikmLi&#10;DMTJt4EA8em6+iuWLHNxdIqPffyipXV0cJhrerME/8eFVgWCw3TS09NbsGCBk5NTUGBgeWlZW2tb&#10;Z2cnzHBXNzcQfLf9noTU5Ib21uftrc/amiufP614VpdRWp5YVPy4sDCqhBNTURpeVRrMPEIZWFmE&#10;bXBlcVh1SWRNWUBNsX81J6ycE11cFF9YlJZTmJqV/zgxPTwxNTwtI6y0iBxTW4LjwyuKQyuKQ8hT&#10;9eQBfbigqmKEGV5ZElHGCecUhOZmR+bkZBeXlNTU1jY2PWtugXve3BqflLLFfLumpo6H+/HSkorW&#10;5va25hdpaWnHjx/ftGmTqanp9u3bQ0NDu7u7udlmNU60b8MDoLx9+5a88SYx8fqVq9u2bFVVVILR&#10;LTiNj/deKhCcLqEA6OrKKiYzjDdu3Hj27Flqen/21mkqJvgf3stpLBAo2dfX9+rVK5gg9fX1z34Z&#10;NTc3d3R00NdI0aRyk/4jRQuE1gIGaXiwc3hwaLCvv6O17XF0zDE39y0bNi6cO19DRQ28RnWjcunT&#10;WGRdhfs2FfIqm2WLl3id80xJSGqqbxgZGCRfihhhvm30y19/nhI2OF1FcXV1DQkJgQ3e3NT84sUL&#10;TLicXJynzzCCDR6fkvy8reVZS1Nd0/Pyp7UgeGpJWVxhUVRBfnhJYWQ5IS9oS15pAvgy5A2pKgmr&#10;LvWt5vhWFYWUFUVyCh8XFKZkFyRn5kUlpIQkJIWkpgWXFIRXl/rVcN9/ElSBAYC8UIU8ml/N8Skv&#10;8C8vDC4nH1AOKy4IzcuJzM3JKuIUV1fXNDQ+bWqBq29qiUtM2bRlm6YGITinqLSpoQUET01NPXr0&#10;KF0Hhw2OfLGrKF8UAxPSCXt6ejgczr17944cObJ8yVItdQ2YY3D0TkFqo4Hg5O1UYuKYfZsuW+7k&#10;SN6qUVBQAFzC9GaITWCBLZoW2EGpAdG4fpwQKQx/sBuTgOfPn+fm5kZFRQUEBPj+MkJ6MC8sLS1F&#10;WfX29sJ4osX+Q4UoUAu0IuCHUBcjZC17ZOD9h7amFk5+ge+Dh0cOHl61YqW+ti5ZUREQZOpamL4d&#10;QVhAUEZSSk5KWkNVbc2q1U6HHcOCQxqePut+9Xp4YJCY4SzB/1nRdXBNTc158+Z9IjinqakJBIcN&#10;7ubuTlZR7GwZG5xL8IqndTDDU0rLHhcRgoeVFEaQj9NzYDsH15YF1ZaSbzvQD11WlfjWcHyrf0fw&#10;JErwxOTgtPTA4nyg36eGE/AlgvtWFgZUFuGAiArmQ2ucwtiiwv/Y4C2txAxvbE5ITtu2Y6e2lp6b&#10;69FiTllrU1tbywv0FtjgW7duxRzf0tIyPDycvRcFQh+mnZn66RY9HPjGgO3n57d3795ly5YpyMgC&#10;1uT5eOaN3rDBYZFhj4yEpJqS8nRdvXWrzdycXCIjImCzY2jkLZsgKIbYRCQ+Jnwa0fcVYkSwNCJ4&#10;wES02MrKyszMTLDy+vXrx44dw1B06NChgwcPHvjnhNghJMPd3d3T0/P+/fvR0dFFRUUwyTHY8Oxx&#10;Wly8qvm+olFQD6IYhe1MPtRJ7hx///ZdeUlpgI+f6xHnjWvXG+jqwdymBKdvxQLQJcm6GbkBSVlB&#10;ccnCRW7OLtHh6JGlb1+/+TgySt5pw6T/d1H8Si/7nfwEp+vg8+fPB8FDQ0LKSkpA8Pb29traWhDc&#10;yMTYeo9NXHIS8P2kqaGmoR42eGX9k6SS0tjCwshCQvDwcmJEg7wB9PM69DuZ1eRDl741xb61xSEV&#10;xZElHByflJ2fkJkblZQWmpIWmpkZWJIfDILXFgdUFZMvZFaRsxAC+VRbbYl/NcKELV8cVlEcXsaJ&#10;4BTEcApySkqKq2uqnzfAAH/S2FxX3/A4IWnrNgvY4M7ObqWlFR0vulqb25OSkijBV61aRVdRWIJD&#10;4zsbgR9zpfHVq1dgCqxvBweHBQsWqKqqSomTN5Si95IFE+ZpbFhncKqKSvNmzd6108r72vWM1LTn&#10;9fVdXV0fPnzg9VgESD0/WkA24kK8SP/Q0NDTp08fP3587ty5ffv2WVlZrVy5EhmZO3fu7NmzZ82a&#10;NfOTTBhxf/wUIXakgSZjyZIla9assbCwwOwwKCgoPz8fvYyOebQAqZ9m8AcKlU9sZ3Jv/ujg8JuX&#10;Xc/qniTHJ9y4cs121+55s+fA6BYRFEJ1k0Uzcucoeau7uLAI9qsrqyycN9/OxvaO960yTgkg3vOG&#10;fIcW6acpH+//RcQS3NjadndMQnzN82dV9U8qntZyqiuKayrjOJyowoJwELy0MIJ5u2xAdTEhL+87&#10;mQzEH1ZzAOjQKvJ62OjCgtj0rKjk9Iik1JCU1JCszMDSghBQ/kkpqE2+r8b9zj24T14y7lsNY5ys&#10;hpP3g5dxwjgFUUUFGYVFzMsJn9bUN1Q/e1715FlUbBxdRXFxdicEb3/JEvx/C30MPQ3q7+9HA0Bx&#10;3rlzB+CbM2eOsrKyqKgo5s7osRIipA+LMp1ZTloGJpiJ4QyrHRZ30XuLS3q63w4OwBQm1jeCQrDw&#10;gEE0ih8tWK8U36jW+vp64Pvw4cOrmc+PTZ8+He1ZX19/xowZlNfIFxgKD/0JmP4cEYR/kh4jTHaR&#10;tsWLF2Ok8fb2zs7OxtQBQyAtN15J/lhRgo9wv+s/NjI6PDjU3fWqpIjz8O59e9s9qGVUN4xuYX4B&#10;ZmWcXNVkblZhPnMqIqqvo7vb0vrBnXs4paujEyMoHXt+RuL/vFiCG++w2hkSGc6pLC8qLy2sKM0u&#10;LsyCOVyQH1GQB4LDAI+oJosnoDD9MoPfJ0scEL9fXfiohhNSXRpZTl4PG5GSHpqQDBeYlByUke5f&#10;kk/eIf4E1CZr6BTfCMEHrq7Eh6zAkEuaIZXFIeWcUE4BYkzKzs4oLMwvKy+urC6uqOKUVQSFhq/b&#10;sBkEd3XxKC2paG/tbG1iCf4FoYPRm/wAPmoowYIuKCjw8/PbvXu3kZGRoqIi/V4X/2/TqOkN40tw&#10;Gh8IrqassnLpsv0Oe/0e+WDejQ5PXkTFdFgES4UAESzZ9eMFZECwxCsrK318fA4ePAgL19DQENQ2&#10;NTW1traGnXvt2rW7d+8+fPgQGYRw2IMHD7Dlrkz/YD169AhRI0bo/v37np6eR44c2bhxI1Koq6uL&#10;KYK5ufnp06cx9jQ0NADiKD1u3n60EA8h+CjMcApxGOMjA4Od7S9A5JCAIFcn5+WLl6orq4LX9PZw&#10;KTFxsqrGrKjw/+s3DO1zZs6ystgJS7ymkiyjYUBFdaBdIRdU3Lh+AbEEN960zfyhv296XnZaXk5m&#10;YX5KblZSTmYUITj5Rk94RUlETWkgyFtdzCX4p8/rYOf9msJHtZyQmpKIPxA8MCPdtyTPv5LzoBak&#10;5vyH4GA3dSB4zTiCFxeEF+TFpWckZyEl+ZkFhZn5BRk5eQ99/VevWQ+Cu7keLSkub2vpaG1qYwn+&#10;RwGyMJnhoZ2tr6+voqIC1retrS2MUwkJCSEhdFNh8tbRaXyigsyLBgUEpcQkdDW1ly5cjI4dFR7R&#10;2tQ82DdA3gQLO55YXdxlGZ5oXD9aiAjph/UdEhICXsPg1dLSAhw3bNjg7u7u7++fn5+PZvzq1SvU&#10;O0APvXv3rru7Gz/h+dHq6elBRBBifMMIRR0fH+/l5WVpaTlv3jz0OMwVzMzMMNKkpKR0dnaiRn5O&#10;6XEfquTd0I2hnHlCZ+BD/7s33e3NrVlp6SeOHlu1YqWGiiqZhDGXr5l7DcltKiA4WoW8tKy2usb2&#10;LVv9H/mUlpbSJwAgiu+fNpB/i1iCG6/bvOnW/bvxackJGWmAeFJ2RkJWenRhQWRhQURxYXhlSXh1&#10;iV8Vx6eqiCx9MI73lbUHNZxHtcXB1WQhO6qwICYzOzotMyotIzQ9IyQ7y680nxC8pmg8wX3/QPDg&#10;cQSPz8hMzMpKzs5JzsxKTM9ISEnzvnN/hakZCO7udgwEb2150cIS/EsCIGjXAiyAtuLiYtiGwDeA&#10;oqKiQl+OAXpji06LHoutopz8/Nlzbax2nTp2PDQwuLaqeqh/gFhtTP8fGyV9lUdwGstPEMXE06dP&#10;w8LCnJyc5syZY2BgABt8165dly9fhlULw7yjo4N3dyNEU/jzRWOHwLi6urqMjAyMLseOHVu7du3s&#10;2bPpKx+uX79eVlYGyv8c8JHn4+kSyngHrKMmh4YH3vdhkI6NjDpz4uS2LVv1tXUBa96NhsQSZ65p&#10;00sjJoZGDrbkNViYydErIggfuUbt0Lh+BbEEN163aeONO7djkxPj01PTC3JTc7Nhg8cUFUYVFUaW&#10;FIVXlYZVlTwqL3hYWfiFLx3XFT+qI/cXhoHgRYXxufkJjIvOzY0oyAusLArCMU+KYb9zr2FiAKD4&#10;flLiA9scBK9h7k1kCB5BZgC5cCB4UkZmfEra48Tk6zdvL11h+h+CN7ME/7LQtcAI4BsGKUzCGzdu&#10;WFhYwPqmr3IEuCFwXFSUPNNBl79nGBja29j6PniUl5X9sr2jr/c9+j+5CDbM3M9A6P27vjqeWT9O&#10;mLMDFjExMYcOHVq6dKm6ujp9ojggIAAoxOAE8xyzDUw1kDxkmc45fr4QLx3hIPxEqmCbI3ng3blz&#10;58zNzUFwIyMjBweHqKioJ0+e0DsyuZn8cfpEbYJsWN/0JSfMzd1jI6MYoft7P7x80VHKKb51/ebm&#10;9Run6+opyStgOCfgpjeocJ/hhCUuY6Crt3Hjxrt375aXlwMmSD9L8J+qzwgeHBJSWFb8vKmxpa2t&#10;trLazdnVyGDGug2br3rfDk1LC8/LgSntX14I2pL7vqljVr39a4qJo+z+RHBKZP/a4oAacp0TBwcx&#10;VybhwHT8JPu5B8PPO57nSJjkGOoQAkE5+epxeElRbEFeZGZmeGLipRs3lyxfqaGhgT4Mu7IVamtl&#10;CQ4RcnwS+hU0MjzS1dFZXFTk8+Dhnt0282fPUVdRBa/p59DQS6mFBUtcTlZuhtEMix0Wt7xvFRUV&#10;oVA/kkk3fQyP66FhciNj9NnP7yLMzYE/hExzgZ/gYENDA8ztlStXGjNfj9qzZ09wcDAggloG3+n1&#10;VUpPHN/S0gKD/dmzZ9XV1TDPsR0vWCpc359XTU0NLGtsIYRDg8IWKcEedC5Qm64t8NIPrDc2NiYm&#10;JtJvqujq6pqZmaGtosXCjKXHjNf3N8x5BP+k8RVK51VIJEoyJzvnxvXrdnv2zJo1S1wMrURMhHmV&#10;gpiomJAg+VqbuJi4jLS0oYHBPjuH+3fv5WZmv3vdTQYGusJOHZoNb8Xmn9AUI3hoSGH57wg+gxB8&#10;y1XvOyHp6WEFeSEVxY8qiwLqyIOU/4CDXV9ZEgx7vIwTU1QQkZ0V9keCt7W2tbMEJ6IUI10UXYkh&#10;yPt3PYW5ebdveNvZ2M42mSknJQ1bm3xLnrn1m36hmDyzIymFTmtjYwM7PT8///Xr12AoDfPnixqz&#10;NP342d/f39HRUVhYiOpGo507d66VlRXaMPaAgDiSQhBbHAnWNzc3w+YFMSMiIvz9/R89ekSvNPr4&#10;+MBPRff8NSEcKgTu5+eHPfBAsbGxaI2ANYxu3oQACYNga9PbH+3s7KZPn25gYLB27VqYscgXjuEd&#10;RoWftBx+jniRUohjKEKO0BJmMN8PEAPEGdHVNmwxaZORkDIxmmG1g1zYrCwtI+8Tfv+Bu9T+CeLA&#10;OoLlxvFzxRKcJfiEFDoM8A0DkBpxsExR109r6h7cuWdtYTl35iwlOXkY3ZTa4DgILjCND1NjVUUl&#10;MMXa2vr+/fvA94sXL6gVSYP9+QLB6ThE0dbb21tVVRUSEgJwGxkZwQy/ePFieno60skDPYTDQMnM&#10;zMyAgIDbt2/D4D3L6Pz5856fBP8ZRhf+qmgI586d44bI6DQjxPjgwYPw8PCMjIyKigpMYugdkLQ6&#10;MLogFzgG7NbT0wPHPTw8YM7TmzqQfhzDywtTDD9PNF5a5phDlJaW3rlzBxA3MTGRlZUV//SFNiEh&#10;8s1kbGUkJCWZBTcH2z2P7j0o45T0vHlL3jrLM72Z9RmExo3g54olOEvwCSl0GLAA1h9Fxps3b0pK&#10;SgL9/PfusZ85w1hZXoE8tsN8+lZUkFyYEhcm9//KS8vMmmG8e/dudFoc39nZCdYgHIgG+/OFqAEU&#10;Hs4wIQCXQU8zMzN9fX1zc3MYs/Sxfnowsow0A9+BgYFHjhzZsmULGoCtra2joyNQC9wDsiAvQvDy&#10;8oIfWGdo/FeE0xEmPAgKYULwgOnHjh07fPgwIoWcnJwQRWpqKvoaxkIkD+lEpWBygHHIxcUFgxCG&#10;TAcHh+zsbFQTEk+rjOb354APsYyPCH6kAUIC0AbQEjAQYlA3NDSUk5MDwUUZwQOrHA0JczgYBLOM&#10;TbZu3Oxz/2FLQ+Po0DBZdmOumrAE/4FiCT5ZxXRJLvVg2T158gSFsN9h7+L5C9DZyPMaAoLctxeR&#10;h6eFQHAFGVl0wp3bdzx6+AjWN71FDKfT0GiwP1+A8vi8wNaOjo4+ePDg0qVLMbW3t7eHkdjT00MP&#10;Ax+7u7uB75iYGFi169evX758+ebNm3E8aOvj44OR6cqVK0AtfoLmPPL+NQHf2NKRgKL8xo0biMLb&#10;2/vkyZPAN8aPTZs2bdy4ETvRODH80Bs2kBEUb1pa2vXr13GMjo6OpaVlYmJiW1sb8jKe4EwZ/HAh&#10;IlrI3N+f2g+EBCNJmB8gCzt37oQlTh8aoJY4fXqAvquSPnl/YO++5ITE9uaWwb7+0cGh0aERYoYT&#10;jrME/wFiCT65hZ7Z29vb1NQUGxt71OMo8K2pqkYfmge+0fHEhMi3iQX5+OWkZebPnrPffu+DO/dI&#10;Mba2ouvSS4gI5x+0wYEzihIIfpjbDx8+RJ0uWbKE3oLS2NiIpCKnGG9giT9//hzVjca8Z88e2N2g&#10;qq+vb3JyclFREfIFsoPjV69eBb55BAd//5oYjBOCUzP81q1bwcHB4HJBQUFubi5GGlAPKUQ7xPbe&#10;vXv0ogIyhbwAixUVFf7+/hYWFpqamtu2bUMdIfG82woJv38iwSFayNxdjJASDIpoBkgVChAlibkC&#10;Bk5FRUVY34KCgthi6kbvXIJHWlxi5bLlbk4u4cGhrY1Ng8ynO1mC/0CxBJ8con0P4v2k8AXUgLys&#10;rCzUMoxBRVk5WNyC08jat8Bv09DlmPcWkRd/62nrWO6weHjvflVZOcxY9FsmPBIgtrDiacg/WYh6&#10;PFwAFIxGsHPXrl0LG9zU1PTs2bO8B9OB71evXnE4nFOnTpmZme3YsQO2MKAJwxYH0JEsPT09JCTk&#10;5s2bKBAIFP47qyjAN05HIPAjNAwtcXFxJSUlNMZ3797V1NRgp42NDYaTAwcOgIDNzc00Lzjg2bNn&#10;oDaYaGBggNRGRERgqgTE00ELW4hbED9YiIhXztxd44SdtHgxucE4hEkDIC4nJwcbXEJCAk1IREBQ&#10;YBofmpOMhJSWmvr82XPdXVyL8gt6ut+ODA7xCM4TL1jq+aFiCf5rETyouhRpCCsvjuUUReXkRCQl&#10;X77hzRIcPRDIRg+EHx2D6fvEekL9whgEaIA8Y2Nj8qly8ikWYfQ6Uea7iHCwvufMnGVtsfPWjZuc&#10;gsKO1jYazq8gpr8TfPD8GJBu376NagW+N2/efP369fr6euxH9sHo2tpaWNloyZaWlqdPn4Y5jMkE&#10;9nd0dMAMB33oOwvd3d1hMsMGR8lQ/v41IRDozJkzJxmdOHHi6NGjMPCDgoLQFMHxzs7OyspKWOJO&#10;Tk4bN25EjEghnTFQgj9+/Bhw19XV5REc3EdmcQBqEPliiuFXEb2ZHcW4b98+NCdJSUkZGRn65D25&#10;SZxfQEJEVE5KRktNY/OGjTeuXktPSW1vaR1j3ob4cYw7GEM0X/DQYH+oWIKzBJ8AQpdAf0CfZzoI&#10;eX4EVnNXVxfswfv372OGrqamJirKXK5knqyDE0J/ExWTl5E1MZrhsMfu3u07Bbl5rzu7RgZ/0uPd&#10;3yKkBPqM4ADieII/f/4c+5F3WK95eXl+fn7AKDAN4xdARDn09PSUlpainVtZWZmbmwPujo6OAPcV&#10;RrDor/0NIQEIBDRHe9u/fz8aG2IB4B48eAB2I0kgcl1dHeCONLu4uBQVFcGYxdwIqZpwBEeSMBxW&#10;VVWhbK2trY2MjOTlyR1NaFd0Jkcvq0iIiBno6llZ7Lx2+Qos8fc9vR9HmPvMP+ln5oslOEvwX12U&#10;2pRiVLC+AYiysrK7d+/a2trCXBITE+Pj40NnExMWkRQln9ECypUVFGfNMLbcYfHo3v3SIk5n+4vB&#10;D30jQxOD4BCm8+AvCI5/UQIwtBMSEry9vYFLGNeAI/aAOGgVwDqoDXxTdgcEBMTFxeHgxMRE2Okw&#10;z/+a0Mwg6omMjMTkAJb4oUOHEJGzszNmA9XV1RhHwXGkav369QcPHszIyHjz5g2toAlHcLo0hyIt&#10;LCxE08JYqKmpKSUmAWpTjsMM5/vXb9gqyMqhadla7wr0839W96Sn+y3yw1Tgf5bFuIH+YLEEZwn+&#10;q4v2dnhon8cWma2vr/fx8dm0aZOOjo60tLQw88oqQnD0NOZGFEnmvRa7La1hfVeUlvV2v6V3gMFc&#10;+mm966siPf4PBAc7Vq9ezSN4Q0MD/kUhdHZ2Aoiwi0+dOoVWDbCieYPvID6M38OHD3t4eIDaFRUV&#10;2N/d3f2KEfD6lwU6I1IEAihj29jYCLv70aNHO3fuRNvDUBEfH08vtAYHB+/evRvJwB4kuK+vbyKu&#10;olCCI2HILCYWaGAbNmzQUtMgS+GCQswLaclr0eBHG5OTkp4/Z67zYcfw4NCqsorBAXIbJURDQAbp&#10;zx8tluAswX918QgOD7oH6FBTUwOTEMYg0EBv3YUNDgHcguQJTLJeqaupZb5p840rVwtycl91vCRf&#10;sGWev6BvHKQh/+MiSfkDwe/du2fGCPUL2xaIpP8CK7CsQfBz585duXIFBAdhgVQ0DAsLCzRvoJwi&#10;kgYF0RNJTH9VNBwqpBNczsvLwyQA9iks7ps3b5aWlqJGwsLC9u3bd/ToUdQL5kYYPyYiwWk2kTbk&#10;FJnicDheXl5bN27S19aBJc7cjkLeIU7eqyMkjDamo6m1eqXpMXePpPiEl8yzBTQEnA5xA/3BYgnO&#10;EvxXF+0VEDVtALLY2FhbW9s5c+bIysrS+3YhEJze8iUuLKKlpr7ebM35M2czUtLaW1r7ez+Qu75A&#10;8LF///qrKCD4mjVrQHBzc3MQvKmpCfuRcfAaQLx69SqMX9jm9CGa3NxcwBE2O3bCjz2DzFtTECa2&#10;CJbalX9ZTDKJ4Ef5DwwMwDiFxX3mzJn9+/fD6k9PT+/t7aUEP3bsWFRUFCYBaI0TmuBIG4oRdZGd&#10;nX3F6yLakpqyCsBN7ANM78TEuU8YyMppqKiuXWV26/qNivLyFy9eoHxo4dM6/QmaYgQPCSkqLW1s&#10;aGpraX9SXuNxxM1Eb8b6dZuu3bgdkp4aVpgbXFV0vyrfh7xNsOSP7vfvpSKO+62GrznmdYalcPQD&#10;EVz3h/B9a4of1hX5VhUGVBZGcfIjcjIjExKvXvNevnSlppqmu6s7p7ikua2tuX0yf+GBhx7alyDy&#10;8Btzsxb52MrrN4X5BRc8PWcYGsnKyIgICQvw8cMJ8gsICwrBSYiJK8jJL5g376i7e1xsbFND49Dg&#10;IAkBrGDcKPNoDI3rHxcBxh8JfufumtWrzVatNt+yxfvGzaaGBjJvGB171fUqLvbx1StXPM+dx/7U&#10;lNQ3b97Ex8eD9YsXL75//35bWxu4Q8Ph8RGB0z1/TUwyieBHXWA8wJwAgwfsfSAb0yBMBUBwtMC9&#10;e/fCBqeL4z09PROX4NSDnCIXnZ2diXHxzocdF81foKakLPDbNMFpfPRpA+YzT6IwyWGhO9juCQoM&#10;LC8vR+5QBbQNQzTYH6qpRfCQkNDikvLmhpYXLR3PyuuOO7rP0jPesG7TdRA8IzWMkxtcU3S3Jvfh&#10;0yJf8PQb3IPakgd1pV91jxhkk4+rcU8sZhzvJ9c9qim+/azgfk2+T3V+JCcvPCcjKj7hxjVv06Wm&#10;2mraHq5HOcVlTe0vml50TGKCo+eg6dO+xPWgJ4zCeB5796Y7Lyvb69x5881bYBNJiUuIMk/rkPtP&#10;hJkndwQFFRQUDAwMMMcHL2C9giPccH9JMbn8AsHXrlq9xnT1ts1bbl2/2fy8gcweRj++6XoNmly/&#10;ctXzzFnv6zdSk1OAThATBF+4cGFgYODr168RAg35uwshozqAXfrirUePHoHgBw8eRFMEtsYTvKqq&#10;CnsmOsFRKf39/e/fv294+izIP8DxwKGlCxdxJ3nk65rkoguaH9qekpwC+I5sYiICM5z3oC9aMhPq&#10;j9VUJHjTJ4If+wPBQ6qLHlTl+jwpCqCfUhvn/KuK/So5n7vq4v/Y1P/DVf3hxMpP300e53xri+8+&#10;KXhUle9XmR9VlBeRTQh+/Zr3yqlEcLR+nmh3Yvg1Ntw/0PS84faNm+tWm80wmC4nLYMuhO5E7+4C&#10;wckLCMXEUNd0SaGmpgZ9iRvCryoCjL9K8BTG+I2NjaWP/6ANwGZECDTk7y6EjBoBdjFOwNjEgAED&#10;/PDhwykpKYh3khGc+lEvaEJ9Pb1VZeUBvn52u2201DXEhETAcWzR3ijE6XKKoaEhCJOXl/fq1Sta&#10;oTiXBvVDNUUJ3t7S8bS87qij+0x94/XrN12/eTs0PTW8KDe0quhhZa5vXVHQpw/S81xAVbF/Jecz&#10;R17qXUM+9fC/HUF2RZE/cZyAymLimO/Wf+b8azj36wp8KvP9K/KjC/MiszKi4rgE15oyBEfPQd9G&#10;H6B9iXSpsY/v3/U+f/IsLSn58P6DmLQqyyvCAMd8Fo68+xuzWuYdhDIyMqampqdPn6b3aQATNMxf&#10;ViR3f5ngSclAJxC5YcOGFStWREVF/dAJB9JGsYuWBkYHBwcD3xCKGnsmH8F5GvjQ96brVUlh0fXL&#10;V9aZrdHR0JKXkRUnrU5ERkKSXt6EX11dHRUB2mRlZQHiP63tTV2CP6moO3rE3eQTwcPTU6MLc6Mq&#10;igLKc4Ori0IrOJ+5kPKiP7qwMk54+dddSGlhUGkBHE5BUGFwlcXjA6cuGIivLggqzw8ty39cmBed&#10;lRH9B4I3t79onkoEJ3bQwGBrY1NUWMSZk6eANvQf2N3oMwK/EYLDDqL3n8hJSevp6Tk7O9N3sdJr&#10;SjTMX1YMMSYYwbu7uysrK4OCgmCDHzx4MDEx8c2bN5OD4F/U8MDgGPPlkPTkVJT8pnXrtYklLgx2&#10;g+DwCEzjExcRVZBXoO+SvHPnTl1dHV0N5wbxIzXlCM4pKW9saGlr6aitqHM/4j7jE8EjUlNj83Nj&#10;y4qCS3LDKgrDSwo+c2HF+aHFeZ+5sILc8G9wIQXZQYwL4eSGFucjtIjSL0VRmh9cQbYRJfnx+Xmx&#10;GVyCr+ARnFPW3PaiuX3yE5zXvfv6+t68fl1WXHLh7Ll1q82m6+qB1LB6hAUEmTefCILm6EKyUtJz&#10;Zs7atm3bw4cPGxoagO/hT19OoMH+mkLyoL9D8NjYWPqGQvDx5xAcvC4vLwfBgW+6Dg6mT2aCDw6h&#10;/Pt6PzTVN6Qnpxx1dV80b76CrByoDXzDdEDzIx7mRYYmJiaOjo7x8fHNzc2oHW4QP1JTjOChoZzS&#10;8sbGlrbWjtrKOjcn9xkGXIJHpabG5eXGlxaFF+dGlRdGFOV+5kLzs4JzMz5zIRlpod/gAjNS/DNT&#10;ArJSg3IyQvIyQ/OzwwpyPgufOE5eRFlBVEl+THF+Yn5eXEZGDI/g6oTgxZyylrYXLVOG4OjnyFf9&#10;s2fR4RE2VtbK8grjHqzg5/9tGv10A3qRtobmjq3mDx48KCgoQM/BiRBCgLjh/pKiKfyLBP+0Dr5u&#10;3bply5aFh4fjJ0KgIX93IWQUKeqFR3DeOjigPJkITnNKRfzMa0/GRsaA8rev34QGBu+2tDI2NJKW&#10;kCSL4MzX++ARZd4nrqKiYmZm5unpmZOTA/hwQ/yRmloED4YNDoLDju3oqqt95ubiYWhgvGHjllt3&#10;7kcnJ8cA4rnZ4ZnpoekpsblZMTmZUdkZkZlpEekp4Z9caGpScEoittiPY+Iy0uO/wUVnpEVmpoZn&#10;pIalp8AhnAj4U5PgwtOS4Udo0dkZUdmZZO07Iz0mMyMxIys+Lf1xXOLN67dWLl+tpanrTmzw0ta2&#10;jvbOrslNcNp56E0psGVCQ0KOubkvX7wUfYZ8Z4dQW1hGUoq8uJlZPFFVVDJdtvzCufMcDod+LAYn&#10;/rKAGC+kEPprBE9NTgZMQfANGzYsWrQoMjLy5xD81atXFRUVwcHBIPiBAwcSExMnH8HHa2yYeX8s&#10;44b7B8s4Jfdu3bHeaTldT1+SeWk4GiHf//0LBP+///s/mOEzZ840Nze/fv16dXU1TkflIrM0WGSZ&#10;+r+jpiDBKxqa29o7XtbWPnV19Zg+3Xjthk03vO+EP44PjYuLSEkOTkwMTIwPTU4ITYqHC0mMD06M&#10;+49LeAwXlpwIKMfnZqXm56bl533VJeRmx2SlR6WnhiUnhHDDiQtKeEwd/AgT+0MQXVJiaGJiRFJS&#10;bFJKbEJSdEzctWs3Vywj36p34xH8xctJT3Bsh4aG+vv7CwsLTxw/vnLZcg1VNdja9JXfcLB98BMe&#10;JXmFWcYme/fYB/j6NTU1ARDoJwjnR/SW7y5kE/prBE9LSaEE37hxIwgeFRX1/v17hEBD/u5CyBS7&#10;lOAhISGTleCfi/kKD6kCtMrhkRetbfnZOZe9Li5esFBCVIxekgHHBQUF/9//+3/CwsJKSkpGRkYH&#10;Dx5MS0vrG/cl6B+U2SlG8NDQotLy502trS86q2qeOLt6GBgar9u4xfvO/Zj4xOj4xPiUtLiUtPjU&#10;9LjU5Hi4tJSE9NSkjLTkzHSeS8nOSM/LyeEUFpQWF5eXlVSUf9UVlZfmlxbnFBXgxJQs2NdpiUyw&#10;1INYEN3jlKS4lOSE5LSE5NTEFHTPjKSk1MePE65f9162bKW6mhYIXswpQ9JbW15MboLTJWzgCSy4&#10;ffv22jVrVJWU0U/IdUumw4Dd8EiKikmLS+pp6+yytPJ/5FtSyAE1KA0hdBuI+n9Z0Y7NEvyXFiU4&#10;80TCxzHyWNmrjs7Ex3EwGoynGynLK9A3qQkKCPDx8ZHlcGFhSUnJNWvW3L17F2Y46ogaE6jlH5Hf&#10;qUjwZ03NTW0vyqtrj7i66xsab9q67aGvf3pWTkZWbn5hMYdTVlZeVVJeVlpeVlZZUVFdVV1bW1NX&#10;V/vkSd3TJ9jWPn1S9+zp0+fP6xsbnjc2Pm/6umtoboJ71vAcJ9bU1SLA6joSJjxVNTXlVZWICDGW&#10;lJWVFpUVF5QUFRQX5nNysvNTUzPu3Lm/csVqNTVNF2d3QvCWF0j9pCc4rO/y8nL6frjpBgby0jLk&#10;mR0BctuWGHPziaiQsLS4hIKM3NJFi29evfakuuZN139u4aK44f38ZYV0QizBf2V9HB5F4dMqAMT/&#10;PfbvvvcfqsrKfe4/tLfZM2uGMSxx/n/9JsK8Ww34FhERERcXnzVr1r59+/z9/evq6qgZjlqmKOeG&#10;+500JQne2NzQ0lZaVe3o4qZvZLx1u0VgSFhJaUVZWVVtzdNnT563NLZiPg6hO7W1tXV0dHR2diIo&#10;KvyEXrx4QbadHR0vO7/qOl+S0+lZ9EQECNE9iKK1tbUZamxqqmt4Xv3sWdXTmorasuKKvNxCf/+g&#10;dWs3wgZ3cnItKippaWlvaprM70VBEwe+UTiRkZG7du1CT1BSVJQib6Ig371kLl0yF44EhckbPo1N&#10;Du7dl56c0vv2HXn14B/EDfRXFU0kS/BfWQzBGTMclTA0PDo0Mjww2NXRWVxYBNNhjekqtEPyRRFR&#10;0WnTpvHz88MDG1xNTW3evHmOjo6pqanom8gvMssS/E8L3Pw9wcNA8KeNzfXNrZzKqkMubnpGxpa7&#10;bGLjExsbWsD19sa2F8/bulo6O1tbX7a1dbW3d7148bqz883Ll9i+6uigfvoT7mVX58tXL7/qsKGn&#10;U0cDefuqq7uriwSFnS9ekLha2189b++sb+2ob2193tLwpKGmqi4mJm7r1u0aGtqOR1wKC4snPcGB&#10;M1CsoKDg/PnzqDUlJSVJ5ul5EJxZ+CarKHQpfOYMYxfHI4+jYpobGkcGyMtPPtOP6DDfVzSdLMF/&#10;ZX0cHQPEsaUEHxkc+jgyOjww9LK9Izk+EQbETCNjDRVVcTFxPkZCQkLUDFdQUDA1Nb137x7McHpn&#10;IXIN0WC/lyYzwdE+QPCLFy+C4BgPQfCg4JCiktInzxvrm1o45RWHnF1AcPu9+zOz81696n718vXr&#10;jtddbZ1vOl4B3EAt3VJYw/+yvR0/wVyQl3EvOzEWf4N71dWJ4/8Icepo+GTni863bV2vW16+xrbj&#10;9asXXW0tL1JTMiwsrNTVtQ8fdirIL2pubm0eR3A0kW3btqE7TUiCf+RiizFwCCHg+j58AL79fH3t&#10;9uzR1tISFxMTFiL3bEmKiWOLGau4CHEwfDZv2BAeGtbe0jrwoQ88IIGME8IDGSkcf1kxuWcJ/ksL&#10;lsHo8DC5pxDtdGR0bHiE2AojowN9/bVV1d43bqAd6unoSklJwfpGWxUUEIAlLigoCIgbGhoeP3Yc&#10;vbWxsXGYWUtBrrnhfidNZoKjvLq6ukBwAwMDTMZB8EePHoEO9fX1zc3NZWVlTk5ORkZGDg4O+fn5&#10;ICBm7vSDI93d3diipeInxgBsIfxEh6GvvYewn/fXt4tZO+GKhvCZEAtdacHB8Hd0dGRmZpqbm6uo&#10;qCC1hYWFzxlhanbq1KktW7YsW7YMHTgwMBBp5mZ7AglmzcgoHIEvzGUYOAODTc8bQgKDHPbYzTGZ&#10;KSspLSokLCQggL6BHoJZKu0YdIrq7OyMigO20Cu+e8f4OSLMZgk+0YT6ou2tra0N3fPq1aurV5NH&#10;haXEJMSERcgSH1noExbi49dUVbPcbnHJ06u0qHhkiL6h/jtneTITnLY2lC8wPWPGjP3799+8eTMr&#10;KwsEb21tLS8vBxPpBQdKcApNhrRc1FI/xMMrFXfvNwtB0bVvGg79Sf2fCX+1t7eD4IiFjhZIMFq/&#10;uro6gMXhcBoaGtAxEhIS0FvWr1+/cOHCtWvX+vv7ozNzsz2BhJkpzBlY3rBrRsdGBobevOzKy8o+&#10;5u4xx2QWfXeVCPPRBgHGrvntt9+EhYWBctSara0t/aABfR02xA1zQokwmyX4xBSy0NPTgz4LiDs6&#10;Ourr6ALi5KYUPn5swXEhfgFZSal5s2Zb77SMCA171fmSQPx753iSExzle+PGDRMTEz09PbShs2fP&#10;JicnP336FINnaWnp4cOH8Rds8JycHHQG4JJCkwdcilEesuHhCfvpX98iBs7EYIcfW/hp4J8JfyFe&#10;XtR0DwhuYWEBgiO1sMExHUPHCA8Px4C0ePFisAwEn6g2OHOJH+we7OsfHRp+1fEyMzXt6sVL61ab&#10;wfoWnEZ6gjiMGnKDljAgDgNcTExMQUFh06ZN9+/fz83NRRUQ7DFw4YY5oUQTzxJ8ImpoaGh4eBi5&#10;aGpqgmmIRmugq0fuLGRePIt2KyEqJiUuoaKgOH/23IvnPcuKS2CgDAPi31WTfBUFKLx79+6SJUsM&#10;DAxMTU0PHjyIFlZZWYlCB8ExcsI2t7OzwyiKI2H5ggjjMQpR2lJR+I4X949vEA2TCj+/eC7+Qhrw&#10;F42IHoy0WVlZaWpqosMUFBSA4PQLfugSSDxGoC1btqA7IeXcbE8gof8ya4sg+FBff2VZ+UXPC6bL&#10;lmupqaMDoCfAYVoqxjBclPmUmqSkpLa2NioO0xGUGLoQN6SJyQIkG2IJPrFE6okR/MgIOml0dLSH&#10;i+uq5SsV5eTJO1KYpisJgjMPbepoajkePBQZFl5TWfXh/XsayPfSJL+SCcsUTcre3n758uULFiyA&#10;uXr58mXsQf8vKipycnICBG1sbBISEoBFtDyY5/AA8cXFxTB48/LyYOhB8OAnzoInIyMDhjyaJqot&#10;8tuE3gXBg1PQ4mFWI3Ya8njl5+djXKmurkYaaj4JEaH1A1voMKA5EobUnjt3btmyZdOnT1+9evWR&#10;I0fi4+Mn5CoKQ/CxkdG+nvdk+Tsg0G63jZyUNPoAc8+JqBAfeQhTiBjfmJSSV0+ABZs3b8aojKFu&#10;YGCA9iKq8f6JIoIBluATTaSePqUcGXnLvG43LDjE3naPrqY2TG/BaXwCzEt7RASE0IaV5RU3r994&#10;9uSp1MSkt2++81x5MhMcQicvKyvz9vYGpufOnaunp7d169YTJ04EBwenpKSgCcI2hw3r6+uLn8Br&#10;XFwcmiCaIxhx48aNixcvenp6Xrhw4dKlS0C/l5fXyZMnYQDu3r0bZ2E8MPtmAbXQhg0bdu3a5ezs&#10;fObMGYT2ma5cuQLjOiwsDGlAz0TrB6zv3LmDE1VVVR0cHNBLkfJjx46hP2hpaYHg6DZIPHpUX18f&#10;N88TSOgFDMHbm1siQsP22TksWbAQE09iwnx6gxUhOINvPj4+cXHxTZs2oV4wjvb29gJ86D+8vsTz&#10;TCAxKGAJPsGExEOktpj0o/qQqZrKaq/zngvmzlNWUBQTEkG7pU+fCfELSIqJzzAwBMTvet9qb22j&#10;gXwvTXIbHARva2uD1Xz+/PmlS5eCgyYmJjDiAPHr169v374dHMR+mLFgNI45deoUGH369GnsOXz4&#10;MBoo7Hdo3759+/fvRxu1trYGRGDRYzwwNjY2/DbRS6nQ7NmzV6xYYW5ujhEFodFgacho6GC0q6sr&#10;AA2+w8qGzp49e/DgwXnz5qmoqCBejCX4FyPHnDlzkHIkA8nG5ADzOOSUm+1fUqiL8e0evZf4xz4O&#10;9g90vujISEn1cHUDvjHflJGUEmVe2klu+mau7IswXzGGAa6mpoZpU3Z2Nur0j6+b4HkmkGj6WYJP&#10;LNGiwJaXfvx81fkyPCR0l6WVidEMOSkZtFspMXFyFYd5k7ispJSxodEJj6OlJSUwPsaf/jfLYZIT&#10;HH0Dzfr58+cBAQHgNYxWbW1tWOILFy6EXayvry8pKQkUAoimpqYrV67E/gULFoCMwCXaHDhrZ2cH&#10;sFLUor3CQ4WfYOufEiU1QqPsph7C7/37MUjArrewsFizZg0Qv2TJkmXLliEZ2AL6wLeEhASSvWrV&#10;KuzR0dHBYLB48WKkB/OG9vb2/v5+3orwrymmuf5Bo6NdHZ25mVlXL13euG69hooa2joMFrR+SnBx&#10;YfIlWVgxsL6VlJRQNVevXq2vr8eEA32AG/REFi0GluCTQH0970uKONcuX9myYZO6siqmj2i6mE2i&#10;MWM2Cb+Gqto+O/voqCgUCzossk9LgIobyp/XJCc4LZqenp6cnBzY3eCjpqYmvaUB9rgCI6ABgAAi&#10;1dXVAUcg3sDAAHaupaUl2qi7uzvMXiqEAKP4ypUr9+/fDwoKioyMpGsdXxWaNV00x1l37969ePEi&#10;jH2E7OHhgWDR7t3c3GBdgulg9MyZM+Xl5YWZ9+PA6kSCNTQ0kFoZGRl6KQ//At8YWnx8fGpra+ly&#10;MM3pLyuaQir8RAfGkNP3/n1FSen1y1d3bDU30NUDsvn+7zdMPIndzbz4G/YLuZVwGh/yjkkPxjkU&#10;I7BFA5kEogXCEnwSaKh/4DW5Fzbn1LETs41NQG00YPr1KFFBYcFpfHJS0utWrzl/9lxycnJXVxcD&#10;8O9QApOZ4GAECgjCjLu5uRlN3NXV1cTEREpKil4DhM1ra2sL6xtGLtiNpubp6UnXox8+fIg2GhcX&#10;l5SUlMAILRVFn5qaill8YWFhWVkZveSIRvlVPf0knFJcXIwQEE58fDwNFlv40RWBeED5woULmzdv&#10;BrvR7rdt23b48GGwHiY8qA2QAd+wypHse/fuIQ3ow+j/6A8QN9u/pFALNJEQfqLtvn37trG+ITI0&#10;bLeVtYnhDEU5eQkRMWJ0C5B7aenFTHjQB4QEBDGMobJu3bpVUlJCP+CAAGnIE1pM82QJPhk08L5v&#10;eGDoRUur78NH683WqCurKMjIYvrImOGE4OIioiaGRtvNt3l7ezc2NpLK/sNqzF/QZCY4bSLYQjBU&#10;MfsODAw0MzODSQtj3NnZGaY0oOni4gImYg/6APpPa2trB/O4DboHKIMthGYHgR0Qz48Og2aKGf1X&#10;hUkTEoAtTunt7aXhIPDxog+CYnBGOlHH6JMrV64EszB7ALaA+H379unr62N+AL5fv369qKgIZ2Fw&#10;mnAEhx9FgfEsKT7h9PGTC+fNV5KTlxQl+IajE0+KbzhxYRFJcXFjY2PMV9LS0lA7KE9as9ygJ7KQ&#10;C4gl+CTQyODwx7GPvW/fJTyOO7h337xZcwBxTCKJEyTXM8WERVQVlWbPnHnkyBGYcbwXFkJ/pxwm&#10;M8Gp0FBQUvAAnUDA1q1b0Z4sLS1ha6enp1dWVl6+fHnhwoXAYkFBAUoTljstWZwI4Sf8NCgq/EuF&#10;cv9TRY+DSXV9uoPij8J+xIh+GBQUtGTJEgwqGGA6Ozuxp6amBt3D0NBw5syZ9vb26D9NTU04mEnI&#10;3x3Gf6bQcAcHB9vb2zEmnTp+fP2atapKysyUU5h8Ow2zTuaBCLCbPhlBPsGjrIzB7M6dO8+fP0dR&#10;IISJktmvilYcbWDUzxJ8ogqMGfvY/6GvrLjk7q3bltstpuvpg9pkNZyfvJQNtoiMhKSqsgom1igl&#10;dAHYIhQvf6ccJvk6OLa8MgLBU1NT0dynT5+OYdDPzw/4xnTm7t27IPiGDRvy8/PRqmAe0saKLRWv&#10;qdGf9C8mhm8VPZEnXgj0JxV+0mYN89zf3x99cv369cAcbHPshO156tQppHz+/PnoJ5hMIOXYD9HT&#10;cS4T1S8qmkKkFrUABGBWcfXq1bWr12iqqcNCQeOWFpfENFNEgNxCC5rTdo/9KgqKRtOn79q1Ky4u&#10;DuciBAwA2HLDneCidccSfDLoI3kH1mBf/4uW1tzM7DMnTi1ZsBAmCKxv8jlAPn66Mi4lIblixQow&#10;p6ysDBNu3kovN5A/r0lOcMo12lZgu2VkZMAGpwSPjo5Ge8JI+OjRIxi2aGEgODXA6ek/X+QNISOj&#10;H3reB/sHLlu0ZMvGTenJKYP9A2gcr192XfK8YGI0Y9niJa5HnOmCD/JFs8bL6a8iNEgCHfLaE+If&#10;HSOv6MSwNTL67k13Kaf43q07drtttdQ0yLsGhUnL5trdn65hCvGR6z/YamtoWmzfcfHiRcyQ6B2T&#10;NL80nokumheW4JNAyA62qMq3b99ifhwQEIB6kZWVFRQUFBAQoA808PPzi4iIgDYuLi5hYWENDQ2s&#10;Df6/RNscPLStsAT/eUKDRHKAbIbd5PNUI6NjQyND/QONz54H+QfY2+5ZMHeegowsDBMY2phsUoJT&#10;iEuIiGELk1xKTHz+7Dnurm7o/MABbevI6a+V2b8hWncswSeBaHZQlX19fagXzJ7t7e319PSkpaWB&#10;b96LfUBwLS2tzZs3e3l5lZaW/v3HOFiCswT/AaKmN2N0A9yE4KNjwwODrzpfZqdnHvc4unjBQnVl&#10;VSkxCebqJSE4uXTJOGEBQe58U0xCWV5h47r1D+8/qK6uhmlDs4lO8mtl9m+I1h1L8Ekgmh1UJQSM&#10;cDics2fPmpqaampqkveGf5KYmJi8vLyhoaGdnR2Krudv31jFEpwl+A/QyCixwZmVQWKDM9u3r9/k&#10;ZmZd8bqEfGmpaUiKiQPTxFGCczkuQq7aC5FHMeWkZPS0dex22yYlJABV6BjIJu0ev1Zm/4Zo3SFT&#10;PD9L8AkqUnlMVdJ8PX361N/ff//+/bNnz5aQkKAGOASaQ3Jychs2bAgKCgJ/BgcHcTw3lD8vluAs&#10;wX+AeCvgcGP/Hhkc6ut9/6zuife1Gxbbts+aYSIrJU0uWjLvwof1DXbDEmcceRcKXU7RUFVbumjx&#10;yWPHSzjFmGzSDFKCI780nokuWncswSeHkB1UJbIGz4sXL7Kysm7cuLF27VpZWVkewfn4+P71r38J&#10;CQktXrz46tWrKEkUyN8pB5bgLMF/gKj1zVjiH0fG3rx89aS6NjIsHAb1nJmz1JRVuMvfzD0nDMQJ&#10;u7FTQlQMNMdOKTHxebNm21jt8rn/kHwG89PVnknW85mqYwk+eUSqkBHqAlUZHx9vY2OjqqpKl1AA&#10;bvqhEniMjIxgoUdGRqKUcDz3/D8vluAswb+/6AVMEHxseHR4YLCp/nl8TKy7i+uSBQuV5BXERUSF&#10;+PhFBcmqNyE4PIJciMOB4CC7vIzsqhUrz5w4lZqY3NX5kpc7mlNs6c+JLqbqWIJPKpFaZG5B7uvr&#10;KykpcXJy0tfXp1/RBLjpKoqIiIiGhsa6desuXLiQm5v7WTnQELg/viaW4CzBv79gd5Pl79GxgQ99&#10;7153F+Xlnz5x0sx0lY6mFgAtytxnQm47YR44/swJTuMHx1WVlM03bwkPCW14+uxd9yT5DP8fReuO&#10;JfikFPLY1NTk5eW1YsUKLS0tcXFxGOCwxIFveHivx4iLi/us85J2wBIcQinQoqFthSX4zxMhzhjy&#10;8u71m7qqGt8HDzet36AgIwt8Mzd6k7e10cuVn+EbTuC3aRIiYnpa2nv32OdkZn141zM6TAA3KUXr&#10;jiX4pBTy2NHRERAQYGdnN3fuXJjh9MZwQBwEhyWupqZmZmb28OFD+qpCetafLROW4CzBv7/GhkYG&#10;P/QPvO97WlMXEhh0cO++6Xr6gtP4yPOWzCIJ8M0Q/HN8wwHuKopKC+fNP3n0WFV5xcjAIOHXJBWt&#10;O5bgk1LI3du3b3Nzc69fv446otczeQSHX0xMDOTx9PQEhXqZl4bjrD/bkVmCswT//vo4MvbhXe/L&#10;9o64mNhD+w4snr9ASV4BFrekqLikqBjz6Dz5AOZn7KaOfNBkuqGF+ba73rea6p+PDg6PMYCblKJ1&#10;xxJ8Ugq5QyE0NDTExcU5ODgoKytTfEPwCDJP9+jr67u7u4PyTU1Ng4ODOOvPFgtLcJbg319jo2Ot&#10;jc05GZnnTp9ZPH+hmpKylBjzDW+y9k1eew+/+H8huLiI6Iqly04cPQZadXe9ArnQ3bnhTjrRumMJ&#10;PimF3IE5MMNLS0tPnDihp6cnISEBuxvgBr4BcXjU1dVRPj4+PoWFhT09PTgFjeFP9WWW4CzBv7+Q&#10;5rSk5MsXvLZt3qqpqka/2E3uHWReXAVGA98i3C+YfE5wOWkZyx0Wfg99KsvKh/r6CbzYVRSW4BNQ&#10;tMSAHZjhV65cmTVrlry8vJSUFGzwadOm0RUVWVnZ9evXnz59OiEhoaurC8ezBP+PaAnCQ9sKS/Af&#10;JLQ5lBs8SAx9B3pLQ9PNa9eRfmNDI1nm2/MSImJiQiJAtjC/oCTz2UCyDs58kH78PYXC/AKKsvIu&#10;jkfyc3KR5eGBQe7DQZNUtO5Ygk9K0RLDtrOzE1Y2yGNoaCgjLY0GL8QvIMgnICwopCArN8vYxHqn&#10;ZXBg0KuXLwkB6KuEvrnNswRnCf53xYsdiUH/RL+Ni4k9uHf/rBnGKgqKsL7pqjfz6UvyIlk5KWkV&#10;BSV5aVlgnTzCg9kk80kH/IWDtdU1z548VVdVM/Chb2x4hDTlydvNad2xBJ+UoiWGbXd3N6rJ2dl5&#10;xYoVCnLyaOowVoT4BDAflZWU1lBRW7546V3v251t7aSi0ZPIyiFL8N+TBX6W4D9CNHYIKUHpNTY2&#10;oqN6uLiZLlsOfEuKicPcEPiNj659S4mJo8mqKCoB08ziuMR/nswUFJaRkMTOJQsW3r7p3dbUPDoy&#10;SthN3SQVLTqW4JNStMQgFEVxcfG9e/esra3VVFUBbjrjpIYL+oiOhhbqtLH+OblxljxI8SesFpbg&#10;LMH/lngJ6O3tffnyZXZ29okTJwAgAx1dKXEJ2NdkwjiNEFxcmLwtVk5aRltD00jfQFNVHQcwj9TT&#10;FXAhJTn5WTNMdm7bHooZZedLMpdEOyZWyaTt57ToWIJPVtFCA1Wam5tTU1Nhhmtragnzw5rhfkcQ&#10;Zg3mpugUrkecqsrKB973jQ0N/3uEXUVhRIsPHtpWWIL/CPES0NHRweFwYGhYWFioMjefoGnSqSK9&#10;BUVCRFRZXlFPS3u2scncmbP0tHRgdJMbVBiIwx7RUFFdvdLUw8U1NTHp3etulAYhOFkT/Mdq5EeL&#10;Fh1L8MkqUqPM9LS7uxvF4unpaTh9upiwCLoDY4CT27Fg3MhISjnY7klLTulsax94/+EjeaEQS/BP&#10;bQ4e2lZYgv8IIQGIemBgAA30/v37u3btmjdvniAfP+xugd+mCU7jB77RZNFSleUVTJevAJVWr1g5&#10;02gGuUdFXAKUJwcwBNfV0t5hvg1s4hQU9vX0cq/nUDdJReuOJfhkFalRRv39/W1tbXfv3l28aJGi&#10;rDzmo58scXQNIRDcfPMW3wcPK0vL375+wxKcKxQc5RptKyzBf4RQqn19fejVaWlp6NJGRkYKCgpk&#10;dY98Po3cfAI0kyuZQsIzjYzdnV0unD23deNmTTV1+hpCIUpw5uZCfR1dW+tdQf4BNRVVsES4d6Gg&#10;JU/ebk7rjiX4pBQtMZpHgAVmOApt/dp12uqaUmISmJ4y5guZgMKUgVnjde58Zlp6V0cnafnfXDAs&#10;wVmCf6toRNwfTKmiuGB901chnz17dsmSJTIyMuLi4kJ8/OTZS0Ehvv/7FxqourKKoZ7Blg2bbly5&#10;6vfIB5hWUVCitxIC7vy/TWOMdCEDXb1zp06Xl5S+aGkd7Osnr8eCMfJnWvOEEy1SluCTUsgd8ggP&#10;zSnM8Pj4+L329nNMZspISNFr+4A4jHEJEdGFc+cdOXgoIiS0g3tHyreWDEtwluDfqvGxwAPuIPa3&#10;b9+i3M6fPw+O6OnpiYmJkRewMcYFoAw6o5kC37C7Tx8/ERIQCBN7t5W1srwiWR9nPqsGYwQEh4OR&#10;fvXS5fbm1vdve1AOBNwswVmCT1ghd8gjPDSnsHXS09OPeXiYma5SVVSGZYMOgjko2j/MHWNDIyuL&#10;nQ/u3mt63vBxdIzcR/ttYgnOEvxbRSOCaPdDi0Rnrqmpefjw4dq1azU0NGRlZUFw8soe5uEdtEtJ&#10;MXE5KRnw6OJ5z/Dg0MfRMQ/v3d++xRwEJ4inT/Qwb7OSkZRatmixz/0H5HI8mi+6NiE4eUUtS3CW&#10;4BNRyB3yCA/N6eDgYFFR0W3vWzZWu/S0tMWZi0OU4BIiYuoqqsuXLL1w7vyz2joQHNNbGshXxRKc&#10;JfifECJCjIgLAsHLysoCAwPRkw0MDOg7H6jQNAV+48NUUVNNfbaxibPjkeT4hJIiTnzs44ueF9au&#10;MlOUlafXcMizmsIiwLe2usb2LVtjIqL+8xQPHH20gSU4S/AJKOQOeYSH5hS1/PTp05ioaHdnVyN9&#10;A3p9CDNRYX5ylUhKXGK6rr7LEaeaikpwAI4G8lWxBGcJ/q2iEfEiRVdE/0Q3XrJkiaKioijzCRJB&#10;5luugnz8ILiirNzCufPtbGz9H/k+qantaG1LiH3s4eq2ZMEieWlZGOBovuLMi8JVFJRw5OEDBzNT&#10;08aGRj4C4mT9BPhGrIybpKJFyhJ8UoqWGLY0p9h2dnYWF3GuXro823gmswhO3gtElhOZdwSpKio7&#10;2NoVFxSR6mYJDtEShIeWIEvwvyleLH19fR0dHQUFBRcuXDA1NVVXV6emN++la2RVREISNsVuSyu/&#10;Rz7V5RWvO1+2N7f4+/jaWFkjF/RlKWjEaLvYaqtrblq3/vzpM4W5+cA3cbwbUf5Ma55wonXHEnxS&#10;ilTnp0Kjnp6entaWluCAwKWLFmPqybR/ch0I1gwIriAjt3P7jvSU1L6e94N9/dxQviaW4CzB/6to&#10;yBDvJ2mOI6Ovul4VFRbev3tvl7X1dH0DaUkpYSEhUWERcTEx8gVAIWGyKqKhabZyFaDMyS/sefO2&#10;r6f3SXXN5QsXwSZdTS0cAIIL8QvgYBFB4el6+rutrG/dvFleWorOzbhPCymE4P9Yjfxo0eJlCT4p&#10;RaqTKTSI+oGg3nfvMBNdvcJUWlyCmN78goLT+ODBTFReWgZdPiIkrLWx+UNPLzeUr4klOEvw/yoa&#10;8niNDQ33936or3sSGhh0wGHvgjlzYTiAxbAgyJSQ+fgOuCwvIwsrw93ZJSYyqq2pZXRwaHhwqLaq&#10;+pibx2xjE0U5eUkxcRFBIUEBAVFRURjvxsbGjo6OgAJqhBv31BAtVZbgU0foCGlJKRvXrVeWV8BU&#10;lbmSyY++Iy4sIiMhtWbV6ts3vIsLit6+6eae8DWxBGcJ/mWND5BGgbiG+vq7OjozUtOOurotmjef&#10;tELmvm9yc6ugEFohWdcWFjHSn77f3iEyNOxpbV3/+w8AECz36vLKg/v2qympYOZILsQLCYviYGbt&#10;Ze7cuWfPnk1LS+vo6OBGOTVEC5Yl+NTRyNBwbmbWrp1WBjq6MLrJ1SBmIREedKVlixafO3U6OT6h&#10;vaWFe8LXxBKcJfiXhZCxRcg0CrJnZPRV58v87NwrXhfXma1RU1KWFpdEy4MdQW9uhVOUlTM2NIKJ&#10;cfumd111DflO8eDQx5HR4YHBkiIOGi5OwbSRgp4SXEhICAC6c+cOej4YxEQ+VcRUHUvwKSQQvLig&#10;0Omw46J5C2DNkKtBzFuD0HdgkmNS63rEKTwktLmhgXvC18QSnCX4l4UwsUWw4AsNv6enBxS+5Om1&#10;Yc06XU1tSVExYkEwH71E48NW4LdpWuoaFubbyPPBqWlvul6NDAyB4EP9A+/fvstMTd+5bTt5mxXz&#10;wUyy9iIkJCoqKiwsvGzZsqCgIOQI5U9jnyJiqo4l+BQSCF5RWnbu9Jn1a9bqaGhSggPf2KITzZs1&#10;e7/9Xn8f3yZU+reJJThL8P8lBEsJjo5XXlYWEhhkbWE5XU+ffLqBWT8hiyGC5KZAKXEJeWlZTANP&#10;Hz+Zk5HV0tgEcP97ZGxseLT//YfOthdx0bHbt5rLy8gyqyjko2uCAgISEhLS0tJr165FddCvTHEj&#10;nhqidccSfOoIBH9SXYsZ6i5LKyN9A3HmjUDoRMLMu4OMpxvCyvG+dv1JTS33hK+JJThL8C+LBogt&#10;9dTX1wcFBro5u8ydORsUlpWUBogFp/ETU5p5OxWs7yULFx3efxBzwI7W9vfvekaHhskTlaMf373p&#10;flb7JDw4dOumzbJS0vSDD2IwPgQEZGRkVFRUUCkJCQlv375FRpjIp4po3bEEnzoaHRlprH8e6Ot/&#10;cN/+OSYzpcTE6WPJ6EpCfAI6mlqo+jMnTpZwirknfE0swf8XwWkIEPXwGhz8AwMDvb29aKboNj09&#10;PWiXEDzY+UfhLxw2ODiINGCL9CAQxAXxEIw9vxTBkU5sETI86LTJycnubu6my1eoKavA+pYWl5QQ&#10;ITY4mf2JiinLK8yZOWufvUOQX0App3hkcIh87g/cYdybrldF+QX3bt9ZvcIUU0WB36aB4LA+hIWE&#10;YIDr6enZ2dmhavr6+hAdjX2KiKk6luBTSKPDwy9aWpPjE0+fOLlo/gL6/Vj0BUE+GEMi2uoaC+bM&#10;PXLwUHFBEa9waMlDXywuluDfaoPT0BAU+hvwjSn/8+fP6+rqampq0GQrGcFT/SVhf21tbWNj4+vX&#10;r/v7+7/YdkngI6O/DsFRXAgWVEVEKJmLFy+amZlpq2vKSEhRq0GIj19EgOBbSkwCBDdbuQpYqSor&#10;f0VejznuYZyxj+3NLamJSRfOnl+yYBG5j5CZMGILgsvKypqYmBw8eDAnJwelyo17yojWHUvwqSMQ&#10;/GV7R15W9tWLl1YsWUpvq4VZQ2/QUlFQMtDR3bPLJjc7B62CdmpsqeeLYgn+JwhO2Y0miG5WWlqa&#10;mpoaFhYWHBwcGBgY8Enw/1Fo32jZSUlJJSUlra2taNy0ehAmT0gk7PN/hOA0BIj7mxF+IkwMOUVF&#10;Rffu3bO0tISxDPKS255ExESZN8ei8clLy6irqMJwcHNyzs/O6Xv/gTwQD+LwCD4y+vzJs8jQMCR7&#10;7qzZaLJizLcxyS3kQkLKyspLliw5duwYYoGx/1kaJr2YUmcJPoU0Ojzy9tXr6opKn/sP1putwVwW&#10;pgzYDYhjKy0uIS8ja755S0ZqOo9F2FLPF8US/AsEx8EQDYQndDM0yhcvXuAwHx+f06dPOzk5OTg4&#10;oIHa2Njs/iT4vyi0b0SKsx4+fFhQUIBugMEAcSFtCJnGODI88o8QnCYDgdCfNECkCtMFdEKMQEj/&#10;jBkz5OXl0dpgd0uKiqHBYd4HmivIyGIyeNzdI/FxHGztkaFhBjfjPnE5Ovas7glydHDf/lkzTGCz&#10;g/5wILiosIiOjs6mTZsuXboEKKCC/k4uJqJ4Rc3zswSf3EJv7+t939bUHBMRifqVlZSib0dBh4KD&#10;ZQP7ZuPadSA4r3xQVhA9/Y9iCf51gsOPEOhycGFh4eXLlzdv3oxTDA0NYZaCQVpaWpqM4IE0/iAV&#10;FRXsNzY2njt3Ls69du0aTHiERhPGq6p/ah0c5/4nDUx6UA4YYDBdIMvf7u4mJiZiYmLi4sR8BrjR&#10;5sgFdEEhWSlpXU1t212705KSX7a/6O99T65eAjfUDKfu47+f1tT6PnxkZ2M7Y7qhuIgo2I2RAKeL&#10;i4lhYLC1tX3w4AHq4n9MgCarmKpjCT6FxMy1h3u736anpFrusEAPQm+iF/aJY+a461avSU1K/swG&#10;h75YXCzBv05w7IQ1+vLlSxxw8+bN7du3A8TA8Zw5c4yMjAwMDPT19YFyntBePxMOQBTz5s0DCufP&#10;n4827e3tjcR0dXUhfJo8aGx07B9fRcEWBUU/nJaamnrmzJkNGzYoKyvz8/OT5ycFhQSn8cMJTOOT&#10;lpA0MTTauW3HHe9bjfXPyZM7SAulNv3YNn071choRWnZzavXkB1dLW0QHIEwtryghLg4yhB1gf7f&#10;1NQEkCE7NElTRLTYWYJPITEdZGRwKC8rx3qnJWODC5D5KPNFFGKDCwmbLlsRHRHZ3d0N7JA2wZQ8&#10;9MXiYgn+XwnOE6xR8jBLScmFCxeAM7AbFN6yZYu9vT3sx127dllbW1t9kqWl5c4/iK6iYLtmzRrQ&#10;H/1t/fr1np6eHA4HDR0JoylEo/5nrmTSINA+SBrIbTY973rKy8sveF5YtWoVxiRJSUkQXJQxn5lG&#10;RixxZUWlzRs2el+7kZud09XROTrE/SwD1wwfHfs4PPpxdGx4YKgor+DcqTMrli7TUFEFweHQWIX4&#10;+MVERRcsWODh4YFuj+wAZJRlU0e02FmCTyGBLnAjo4V5+bt2WslKwgYXoFNS2rlg3yxduMjfx7e5&#10;uRkQB5FwEi18iIYxXizBv3wlk55LWxgMUrRFdBW0ReAMpjTwvXv37uPHj58+fRoAcnR0PMho//79&#10;aMdU8GPP4cOHEZe7uzsaN7Z2dnZr166F4QnLHUBHc29sbKR30ZEY/yEbHK1qdHhkZGAI9jKY++5N&#10;N6xmsu6x20ZPW0f803e1JUTIG8CBcgBdSUkJ5XDs2LGsrKzW1lZAH8HQlECEOPQzaYTjI+XFpSc8&#10;jq1cukxLTYPME8kbVMjFd1ERkcWLF589ezYuLg7lQBvrlBItLpbgU0jo40MjIHh5ccleO3v6sR6w&#10;W4L5MjhsI7glCxbeu327pqYGRc27vI/i+mIfZwn+ZYLzhBNRjnl5eTdv3gR8dXR01q1bh9NBbcjJ&#10;yQmtFgKsYYzDBgeXIZAaDReUR7N2cXFxdXVFW4dwPI5cvXq1iooKwrl16xZC7ujoQApJDf1jNjiB&#10;+NjQMBwI/qKlLSw4ZL+9w6L5C+SkpOmKB0wDsgAiIgKIq6mpLVu2DIMT+uTz5897e3tp7NhCSMw4&#10;gn8cGx4pKSxyd3ZZsmCRpqo6GiiCIrYGwhQWXr58+Y0bN1DyKGSaF5qiKSKm6liCTyWRTkFWF2sq&#10;q5wPH5k1w1hRVo6sKDI3hlOHfof6LS0tBRl4BGf6FkvwP09wnAvzMDIyEq1z5cqVxsbG27Ztc3Nz&#10;Qwj29vZoxPCfPHkS1ihI7ezszNtSWBNrfO9eBwcH8B2iJjlMeH19/RUrVuBEdDxAEH0YKfzHrmQy&#10;pjdi73//4e3rN/k5ua5OzvNmz1FRUEJ7QtsizYu8d1BMVFRUQkLCxMQEmfL390dPRodEGhAI0gAP&#10;zch/CM4MDIW5eYf3H5gzc5aqkjLCIevggkKCfPwgOAYzlH9lZSWGgb+Zi4koUnMswaeUkGPG1T95&#10;euLoMZjbWmrq6A6Y4JJZKbNEia535eKlgoKCFy9egFq0lFBiEA1jvFiCf2UVBb0Lh+EYcBnHmJmZ&#10;bd68GSwGlMFoGNcICg0XFnpYWFh4eHhAQABwj/YNz927d93d3devXw/04yxY6LDKEQhsediesMFx&#10;uo+PT21t7T9L8FHmLkbE8qrzJaeg8I73rY1r16kqKtGZnYyEpKSoGFmqExKWl5c3MDAwNze/c+cO&#10;sPv27VuUGGJHINj+Jz3MSh9tqaNDw9kZmba7duvr6MLcQAMlBBcQpARHeaIEQITu7m5k4e/kYiKK&#10;lBVL8Ckl5JixwRue1Z89dXrl0uW6mlrkcR7m3XAMwYVnm8z0PHuOzs5p24CYzsES/M8QHGUHP7Y1&#10;NTXe3t7UpgaFAZ2lS5eCYuAv1eXLl+Pj4wFiNFlwDdvy8nIOh5OWlubl5bVs2bIZM2aYmprCeAfN&#10;0dmWLFmCXocYkYwbN26UlZUhbYgIFuw/QnCgF/EOfuivKq+4f+eujfWuubNmM88akHfuwAAX5hcQ&#10;+G0ayKumpoaB5/Tp0+np6cA3IoVo7FQ0MVyCgzuwxQeH0pJTtm8l36dHmGQdnLlcQ26DFRHBYObn&#10;5wcivH79mpQAey8KS/DJLVhpwyPoII3PnnueObdqxUodDU3YSegUxKZhbtI1NjQ6eexEampqW1sb&#10;2gYtJWy/WFwswb9ig2NPdXX1tWvXgG9HR0cbGxv0Fm1tbRMTE9Dn8OHD169fT0lJQVCdnZ0wJNFA&#10;ASP4ocbGRpD9xIkT27dvX7NmzcKFC9GUce7ixYutra3t7e2RjCtXroDgiAWJRKP+RwiOSHu639ZV&#10;VUeGhu2zd0AsqorK5AImNQqYKy2wnZXk5OfNm0d7aX19PS0rJAAh0DRwQ0O5/Z7gyQmJG9etZ94o&#10;KwJzAxDnXs8UFQN9MHFBV+/p6eGFNnVEy40l+BTSR2bRcuxjU/1zr3OeZitNtUFwEVFC8Gl8lOBG&#10;+tPdnF0wp0dx9ff3o6y4535JLMG/QHB6IvXgLJjVV69eRWMFr3fv3j1nzhxpaWkpKSlVVVVbW1t0&#10;oRcvXgBAaLKDg4M4a2BggNrUKP2mpqbs7GwY2ps2bVJSUhIVFZWVlUV/s7OzQwfAkICxAf0B8ZJI&#10;f8q9KDgYZ9Hjqb+/r6/haX1cdMzZk6cQvrSEpLS4hJS4BGxwMJeQV1hEUVZ+lrHJzp07g4ODnz59&#10;yuuHf4yXSQ2wxNwMjs3QMAi+drUZQ23iaDPFVkxUdMuWLXFxcShAFBqTG5bgLMEntWDVMNec0OMu&#10;eXqtM1sDG1yCWUIhtxWSriFsZDB9n4MDuATy9PX10S5GGseXiosl+P8iOM6lBIehjfZKCT579mxx&#10;cXFBQUEJCQkrKyucBXBTI5qU8Sc+woOe+fbt2+bmZnQzoAr4FmLexjd//nygH6EhTMD95xOcJg9+&#10;pBDofNXVlZWecf70mS0bNmqpadB3xsIoECDfYCUrdJjlwS6wsth5+fLlkpISZAqDE04nZfTFeBni&#10;AN/EjYymJiUTgn965AwDA2mvsOtFRc3NzdPS0hAgUsJL1dQRqTmW4FNKyDFdB3/67Nqly1s3btLX&#10;1qHXmaiJA5tpxnTD3da77t+/D/LQ+3TJeYyof7xYgv8tggPEHA4HPZACCMK5iI56IOxHv4IZDutV&#10;TEwMZ8F4p49l/iMEpwdzf/z73wAxOmRNVdW9W7dBDU1VNRjggnzkkUs4eMSFyQM4SnLygPvtm97F&#10;xcWvX79GmUA4HZEiATSo3+nbCC4uJoZiz83NRTP9LGFTRDTXaCQ8P0vwSS7kmFlgRLXe9b5lbWE5&#10;08iYJfiXhQxTrtG2Auh8d4I7ODiUl5fTuOhZvHgheOjP0tJStGMcz8/PD4IvWLDgHyQ4ckTPwk/0&#10;eaQ/JCj44N79upradL2b3tgkJSaOhiUjKaWqqLxo3vxTx09kpKZ1dnbSxSIkGKfTbDIB/17fbINj&#10;YKNDIE5i8jG1ujTNMkvwKSR0i+HRjyOj7c0tgb5+++33LpgzlyX4l4UMU77QtvIjCI5W+0eCQ/Ag&#10;UmzpTrR4e3t7nMUj+D+1ioIjwQuIntvV1YV+hXQgWEU5eSE+Ae6yiYgoeQ2skIi8tMyCOfOcDh2O&#10;Co+oq67p7e1Fk6KpRWiI9MvxfhvBRUUIwWHX01wgKBrs1BHyC7EEn0JCTQ6PjA2PdLa1R4aGOTse&#10;WbpwEUvwLwsZpnyhbeVHEBxchn1Nj+dFB8GDSOlOeMrKytCORUVFQXAZGRkQ3Nra+h8hOBWORwdD&#10;3vPy8k6dOrVsyVINFVUpcQnymjTyAD25qALUwgw31DOwt9kTGhj0pLoGaUB0NFO8cHj+3+mbbXAr&#10;KysUIA2W5oUbwtQQLUCW4FNIDMFHh4a7XnTERcd4uLotXbSYJfiXhQxTrtG28iMIjtYJE5IezIsO&#10;HsRII6U7ASkbGxsREREQXFZWFgQHuf4pG5ykdWyso6MjPT3d29t7+/btOlpaspLSEvS9r8yNIoLT&#10;+GUlpfS0tDev33D98pXSIk7Pm7dD/WS1mp5OxQ30j/o2gkuIi6M8MYlBLmiACJ8bwtQQqTmW4FNK&#10;qMmhkdFBELwzITbumJs7a4P/VyHDaCjw0Lby02xweHiiPwEpEFxMTIzeizJ37tyftIpCbl36+HF4&#10;lL5hamyITN8w/g9+6Kurrrl/5+4O8216OrqSEhKYH8AixhiDREpKSmKrqKi4bNkyZ2dnFNTr168R&#10;PoqCxsUTN5Y/6tsILi4mhrkIChAIQ/jQ/wpzMooWI0vwKSR0SeYlFp1tL2Iioo67eyxfvJQSnNxi&#10;yzyBAYLbsASHkGE0FHhoW/kRBHdwcCgrK6NxUZGI/yC0eCAbZwkLC1OCo1n/BIKD2uTWJSTqk/s4&#10;9rGv931j/fOIkDAHW7uZRsYqikrSklIgONKGAQYQRzohExMTpBClVFdXR99TjKLghvtVsQT/NjFV&#10;xxJ8Kgk5Zu4m5BF8xZJlUszXMnkEN55uaLuLJfinNgcPbStTkODDg0OU4OQRGyZw7GlpbEqKTzjq&#10;5r5kwSJ5GVkCVmERJAxCpgBxeXl5IyMjc3NzX1/f1tbWQebj+v8tii+LJfi3iak6luBTScgxS/Bv&#10;FDKMhgIPbStTkOBjQAPzDNjo0PDIwNDA+z6Ek5+d63Xec/2atQY6ejISkgLT+Ph/mwZwwwxHpvj5&#10;+dHfdu3adeXKlby8PECBhPNn2coS/NvEVB1L8Kkk5Jgl+DcKGUZDgYe2lSlIcK4BDoIPDo0Nj/S8&#10;6a6prHp0/8HWjZtUlZSlxSWAVGF+ASEBASRMjPkSJpK3bNmyixcvIlWdnZ3IPgJHLF8O/7+JJfi3&#10;iak6luBTScgxS/BvFDKMhgIPbStTmeBjQ8PD/QN11TX+Pr52Nrb6OroAN332UohfQJx53B9p09DQ&#10;AL5dXV3RLXt7e5F3BIvAEcuXw/9vYgn+bWKqjiX4VBJyzBL8G4UMo6HAQ9vK5CY4z8ONkoowlAQ7&#10;PDD4putVfOzjvXb2c2bOUpSVkxQThw0OiAtO4xMVJrc5Im1ImJOTE3paQ0MDfXiHFsIXQv7fGkfw&#10;j8MjKYlJQNIfCc67HxwI4+WFG8LUEC1YluBTSMgxQ/CX7S+iwyOPurqB4JKiYugOIDi2QDkl+L17&#10;91DO9CYCch4jGsZ4sQSfPASnKacx0p0f0fPHPg4PDKG5lHFKLl/wWjB3nqyklISomCjzmkB4AFYR&#10;IZIqPT297du3+/r6Pn/+HN0PZ9Og/opw6ic3NjySHJ8IHjHfxiSGhoSIKH11rbCQEAhO7wcHxaC/&#10;FekEFFNJLMGnkpg5MTrmq46X4cGhRw4eWrpwMbOYSe4HJ51CQBAE37PbBgRH12DfTThVCE5TC9GU&#10;c//CzrF/D/T1F+blX798BUTQUtegr5MnhjCZtZEvLYiLiuno6GzatOnKlSslJSWwvnkj/18U0gKH&#10;ANBeQfAEQnCwW4hfAA5jBtJAJowiIrxnMmkuIG4IU0M0yyzBp5DGyBM9H0dG25qafR88stttO9t4&#10;JnqiMPqFEOkUQnwChnr6u62s6SrK4OAgPY80ji8VF0vwSUhwuh+e4cGh0aHh9uYWv0c+Ftu2G+lP&#10;V5ZXpM/NMxglRrGUuIS6qtrKlStPnjyZlJTU2trKKwQa4F8RY/tTjn8cHk1JIKsoGC0Ep/HDYfxA&#10;7IhaTFSUFjuvmU410bpjCT6FxBAcE9OGp89uXb+xfau5vrYOuga5HCUsSjx8AgY6ulYWO+/cuYNy&#10;Zgk+FQkO0Z1v33Q/q3sSHRHpeODQTKMZ0uISksynL8n6iYgoZm1oN4qy8nNmzd63bx86W2NjY3d3&#10;NxJDg/rrIsQhi33EjYymJiatW20GcHMJDnYz8wBREfKFh+TkZJDoOwwbE1C0mliCTyFhVjpC3k1Y&#10;/+Tp1YuXNq3boK2u8TuC8wtM19Wz2ml569YtsIW+iJ+cx4j6x4sl+CRcB4cHUMDo3dbcEhcT6+Hq&#10;BiJoqKhhsoaZmoyEFCAuznwWBBCfMd3Q0sICA35TUxPvXIgG9ddEHuWnX1ljUJ6WnLJh7ToZDB/M&#10;Sh/GDyQAUcMGX7duXXh4OKIGfWheuEFMDZGaYwk+pYQcMw6m1UXPC+vN1mqpqaM7MP2CLGmik86c&#10;YbzXzt7HxwclySP4fxNL8ElIcKS5t7e3q6urKL/g4nnPtavMjPSny0pJY3iXEpeQgPGNAV9EVFZS&#10;SltD02rHTu8bN7Ozs+mXixECtjRYmvi/IHKtZphH8I/IBWwNRVk5KTFx5t09XIJLSkiA4P7+/nV1&#10;dYgdkXLPnzIiNccSfEoJOWb6xZOa2gtnz6OiNdXUyXtRBMl1KSE+AfSL+bPnODs6oiQxJwYZuCf+&#10;F7EEnyQEBwXgp9HB393djYQ9vHff2mKnjoYW7F/66kFKT3iAbw1VtaULF13y9CrmcDo7O/v6+mho&#10;CIGGSUP7C2LuQGdeyTL2cWxoOCM1bYf5NjUlZUQqBnbT2wqZdfA1a9b4+vqihF+/fs1L/9QRLWeW&#10;4FNIoDfzZquGZ/UguOnyFSA4uTeMebYO02KYVgvmzjt/5mxubu6LFy/QNhgUERZ9USzBJ48Nji3i&#10;QoLB4vr6+sDAQPSwRfMXwPJF40DLQCuB9Y2hnv+3acoKissWLT68/0BcTGwH86Fhmgaa4L+pj2Mf&#10;R4eGCcHJqt9YfnaOg62dgY6ekpw88E0mjPTGcCHhVatWPXz4sKSkBDMGZIF7/pQRU3UswaeSUJPD&#10;IyB447P6U8dPANaqSsrc+2uZl/JLiIhh59VLl4uLi2FXUYL/j67BEnxSEXxwcBC9GpOvuLg4hL94&#10;4SJleUXBaXwY28k3d8g9fOQqoiAfv5G+gauTc3zM48Znz/vev0dDQQhIKg2Niib+L4hLcHAHYXz8&#10;dxmnxOWI08K58zRUVEUFhRE7XZEXFRFZsWKFt7d3Xl5eR0cH0vB3Ip2IouXMEnwKidrgzCqK44FD&#10;+jq6MpiYEnCT61KYmMKzeP7Cm9euw6wBwXkdnIobyDixBJ9UqyggeGtra1pa2rlz52DeaqiqYWwX&#10;4uPHwA6Cg54gOJiup6W9Y+u2ID//pvqGD+96hwYHEQLSSYPiiSb+LwgNlLzYFgHAM/YRBPdwcV28&#10;YKGmqhoaK3PrK1lFEREWXrx4saenZ0pKCpLNEhxiCT7JhRwzq4s1FZV7du1WVVQSh10lKMTcWUCW&#10;wkHwpYsW37t1G4VMCU5OYgr/i8XFEnzy2OAQ+jCG7suXL6NXo9tIS0gK0zeQMGsXgtP4Yfka6hls&#10;37L16sXLBTm5vd3vECPipemkQfFEd/4VEeKQZvoRw8rQcCmnmHmZLSE4WirSgK0QvwBKY968eej2&#10;yE5DQwMtfG4IU0O0nFmCTyEhx+SFEx/LS0qtd1oqysoxt6CQRU5KcHhWLFnm+8invr6+u7sbpURO&#10;YgkO/+QmOKzvt2/f1tXV+fn5WVhYoM/IyMiIIT5+QnA0DuAb9riakrKZ6apLF7yy0zNbGhrJWgeS&#10;/CnVNCjuj78jEIdxZHgYGq4urzh3+gzi1dXUwlgiKkQ+pkxW5IWFZ82ahXIICgpCb0chIDvcEKaG&#10;aIGzBJ9CQrcYGh4ZGi7KL7DcvkNBVg49VJCP9E0yKxUgBF+1fEVIUHBXVxfKkFKIFv4Xi4sl+CQh&#10;eE9PT21tLfa7uLgsWLBAXl6efCxNhDy8I8Y8xQ6nqqi8YM7cAw5742MetzU1v3/7Dmggd/594iYN&#10;ivr/lhjiINlM4GPPnzwFdyzMtxnpG8AAJ/cyfnqq3sTEBD3f19cXdcESHGIJPsk19nGwr/9DT29u&#10;ZpbFtu2wwYX4BASn8RGCk3ddkHtRVq9YGRkWjtqEWUYpBJHGwRJ80hA8MjKSLjvQSOFBv0pNTXV1&#10;dTU1NdXR0SHGNz+/uKgo/79+4/9tmpiQsKSYuImhka317js3bz2trYMVQG7ZZiCLSLkJ/U7imvaf&#10;LPH6J0+RI6dDh+fNmi0pKk6nBbA4xMXEUBeWlpY3b95Et0dRc8+fMqLVxxJ86gjW0lBff2f7i5jI&#10;qK0bN0uLS9ALmGQJRUAI/RRu3eo16SkpKB+U0leLiCX4hCQ4+klraytNZH9/f2dnJ4fDuXz5spmZ&#10;mZaWlqysLH3ft6iwCHApKSqmKCuvp6W9fYv5rRs3M1PTujo6ySePB4cIwRkznJvQ76SPGBJ4BCc2&#10;+LPw4FBnxyOE4GLizKoOWdgRERbW1tYGgLy8vEpLS2FxcM+fMqJthiX41BE6eF/v+5aGxoiQ0C0b&#10;NklLSKIv8HoEeoectMy2zVuzMzNZgk9mgo9fRUGPysvLu337tpWVFaxvUeaT85TgQuRVZ/xS4hJa&#10;6horliw9dexERkray/aO4YFBQHZ0kFjKZKHje9vgBN88NzLaVN8QFxN71M19wdx5aKMi9J2ISJug&#10;oLKy8tKlSz08PFD4vJfZTx3RNsMSfOpodHjk7as31eWVvg8eblizTlZSCt2BPExPLHFhGUkpDRXV&#10;3ZZWeTk5KB+U0leLiCX4BF5FQdog9HlkYdeuXQsWLJCTkyOmN/PheX5+flHyvkohRVk5nOXm7BIX&#10;HQOYEnAzpvHHEfLEDSIdZQjyPYVi4LmR0RctrdnpmRfOnV+2aDF5vIgxN7AVFhRCgk1MTPbv35+Z&#10;mckSHGIJPrkFgne0tmempl++cHHV8hUgOLkXhcE3nLyM7HRd/b177FiCE9E2B8/kIzi6K30bVGdn&#10;Z0FBgbu7OzgoLy9P2S0mJkY/WwyCS4iIGurp73fYGxsV3dLYNPD+A5BKb/Uj7scR/FP4iO5N16uq&#10;8ooHd+6tMV0FggvxkedC4TBZkJKS0tTUtLS0BAj6+vq4p08Z0TbDEnzqaHR4uPFZfVhwiMsRJ0xJ&#10;mW/Vkqv65AE3IWFVRaX5c+bir6K8fJbgk5ngsMHR1Ts6OtLS0q5evbphwwbgG0lC+EJCQgICAvTb&#10;89IS5N1VWzZsvHPzVm1VNfBNFkxgesPR+7UpZL93P0KwY8MjyAuD8n+/f9eDwSMyNAwpAcH5/zWN&#10;3PcqLCIuJo7BRlZWFukHgNC3UQ7cIKaGaJthCT51BBu8rrrmzk3v3VbWM6YbSoiKwcYSmMYHAxwe&#10;XU2ttavNMFutqqhkCT6ZCR4SFPy8vr6muubG9etbNm+ZbmAgJSkpAusbNrigED8fnyDzFUrgGw3i&#10;/Okz6Smp5OolNb1HyRIKdQToFOLfVYTg5EEhhuAf/z3UP/Dm1evkxMRtW7dKiUugvSKRYiIiYiKi&#10;IoTjYqYrVwYHBXV2dA6QzCI91JFzuW6SirYZluCTUqQ6P2WQ+qGRoWHMRy9f8II1o6elDWqLCYug&#10;R8AGlxQVn2Ew3WrHzvu37zY8q2cJzm1z8Ew+ggf4+OZkZMbHxB5w2KulriEtLkkvagvy8QvxMR/B&#10;YR5b11bXAAW8r13Pzcp+1fGSGMUE3PQecIbgw6PEMTn9oUIx5ubmopDpfTIQudxKvg1IJo9LFix8&#10;cOfuk+ravt733NEFzEKiUJzUTVLRNsMSfFKKlth4P7ZD/YOlRZwTHkdXLFmmxbxXVohPQFiA3DAm&#10;LS4xb9bsI4cOh4eENjc00hO/KpbgE5Lg1y5fuXfr9nGPoyuXLlOUlcNITp6RYRaXyRVCAfKeeOxR&#10;kleYYzJzz24bn/sPnlTX9L//MNw/iNC495+MEI4TB0D8YKEYCwsLUXrKysr0VhlshQUFxYXJp4IW&#10;zJl7xetSUX7B686XLMFZgk8ykXplBP9AXz/MqX32DiaGRsoKivTmWkBcXEQU09NF8+ajU8fHPm5r&#10;bqHnflUswSckwc+cPOV59tx+h70L585TU1JmroeQZy/hQTsQZd5gBdtWRkJKVVEJfDy070B4cEht&#10;VfWL1raeN93cFwcyj03+HEQCUsgm8qunpyclJUUJjmGGziJnG888efRYUnxCOxouS3CW4JNIpFIZ&#10;0Z8geFpyyrbNW9WUVWQlpaTExNFVBafxoReg565ctvzapSu5mdmdLzro8V8VS/AJSfA7N71jIqP8&#10;Hvoc2rcf0zFtDU1Y3Mz1ECEJ8iVM+oQuMcPBdA0VVYzttrt237hyLTYquqK0rPdtD+xucHxkcIjL&#10;8R8sFObTp09Pnz4N1qioqBB8wwYnr9wiswfj6YYH9+0PDgh8/uQpS3CW4JNJpFIZIcvk5UVvuuOi&#10;Y9asWi0jKQW7G41fiF+ArIMLi8hISG5cuz7IL6Cuqvrt6zfc878mluATkuA4oKqsvLKsPMDH1+nQ&#10;YdNlKzRV1SRhzjJvyRFjXv5H1lKYB3axX15GVkdDE+3G6ZBjREho/ZOn79/1Dvb1/8cM/8FCYTY3&#10;NyOzmzdvNjAwkJSUHEdwUT0tHQvzbdcuXynlFLMEZwk+mUQqlckmarm7u7vx+XN/H9+lCxdj9ok5&#10;KKbLILjgNH78lJOSsdy+IyUh6WX7i/4P33pnLUvwCUnwyNCwxvrnXR2dZZziqPCIMydO7thqvmDu&#10;PGV5RWARzQJjO9MsxABxeqkEg7yOhpbZylUH9u67f/tORmpa47P6kaFhGik3oT9MyB0tahsbmzlz&#10;5sjKyhIjXFAYowvGG3VlVdPlK9xdXFMTk1iCswSfTCKVymQTBji6QHER5+qly3NmziL3HUzjh4EF&#10;B4hLiokrysrv2bW7MC+/r6d39JvfEcQSfEISPCYisrWpeWhg8P27nrbmlsLcPL9HPnvt7I2nG9Gl&#10;cAnY48x3eTDO8/82jRjmwiLSEpJyUtIGunpmK01PHT+RnZ7R3fVqeGDo4yeCAyU01/8jL39NCK2z&#10;szMyMtLZ2Xnp0qUoBBQgcy8KuWdGSU4eWbO13h0fEzvcP0juk6EE59F8koqWM0vwySpeNiH08aam&#10;poS4+KNu7jMMpqPZMw/Tc18Ojq6qoap2wGFfWXHJGPMZNm4QXxNL8AlJ8GgQvLEZB6Oy+99/eNHS&#10;WlxY9Oj+g312DiuWLJuuq68gI4t5GWkizEwNoIQ9joYCj7y0rL627pYNm86dOh0VFlFdXvmirR39&#10;imacZoH6aeK/ixBgV1dXamqqp6fnmjVr6NP/ZGYgJIKmLCMhpaGitmnd+rCg4MEPfWREQeRwLMFZ&#10;gk9k0WzCgy1IUltbG+gfcHDffgMdXWq7oHuik2LGLCclg94NuNdWVn9E5/vmaTFL8IlJ8PCI1sYm&#10;svpBMEfeOPzmZdez2icpCYmYo1nusDAxNFJRUKRNBO0DEMeUTeA3Poz5MMblpWW01TURmvmmzbdv&#10;3MzPzQU4kFOaa5oLJjffrYMh2O7u7vLycj8/PxS1kpKSKMS88xbJQ2vG1GHx/AV3vW/3vOkeHhwi&#10;zCJZY/D93VLxy4kWMkvwySpSo0weUcV9fX2FhYVXLl222LZdS00dtgu5XsW8uB/tH3vWrTa7fvlq&#10;U/1z+kgzDeGrYgk+QQlOVlHIQI2+jfQyN5bAGG9vbsnLyrnrfcvBds/yxUsw1MvLyAKUQLkQv4AQ&#10;nwD1oNFIiopLiIrpaGrt2ml559bt9PR0lEZHRwc63vgSYPL0HboZgkLIKO20tDR0dWVlZWKDM3fO&#10;oPlimMHQMnOG8SVPr8Zn9T1v3o4xb91iCc4SfHIImQXB0ctcnJwwS1aSU4AhRfFNb6hF49+za7ff&#10;w0ewzFgbnCva5uCZfASPCo9oa275iOOHR8hwzaw2kHPf9XS0tleVV0SFhZ85cRImtoGuHiU4Wgm1&#10;x+m9hvQ2PmlxSRywds0aR0fHu3fv5ubmon/SEgBWIBQd/cnNyV8VAkFoQAwK08PDQ0tLC0UhJEA+&#10;eSzCPH+EWcJ0Xf1jbh5ZaRlN9Q2DzJNHLMFZgk9okRplRAmO0thpYWGop///t3ceflkc69/+J97f&#10;iUrvvfdeRHrv0iwoYBcbioq9xxZL7KixF4xGxQJorLGDiiJKE5UO0qvm/c7O4xOOMSegxrh4X591&#10;nWfZnd2dmb323q6hqoatD5sktkQYXE1JOcDXb8HceSePn3j5vJRdAWLu6RFkcFEa/NiRoy+K3xm8&#10;vYMbnP/sbG1rbW55UVxy4XwmQtrYocPsbWyNDQw1VFTl+g/gN6WgD4Oj3SAehz21NbVcXFywaps3&#10;b4bEUSb19fVYcSwV5MILRLImH4tQNuxiTlFR0bp16zA7djuKcNM6lkrYoyhamJgmjp+wb/eeOzdv&#10;YVfEtMU7MjgZXJywGhXqF1sTVnz//v1BAQEGOro8kEL4wi8FIR0TEYk6vX75CrZ0MrgElB23cN8z&#10;eNqhw6XFJczanV1vEYNjkfmD8oLycBTW0tT8LC//5vXf9uzcnZw0PToi0trCUlVRWV1ZVX6AjEy/&#10;/ojKsfPn71FRVlTU19d3d3ePiYmZN28etsa7d+8iZPiMBuegIlDgqampgYGBpqamairsgbQB//kO&#10;TVlFUclQV29YzJB1q9f8mplVV1XNLsezpkwGJ4OLFVajwlfIURrl5eXY2F2cB2qqqvHQG332FiPh&#10;hsKRw2OPHDj4+EFuU30Dq+7OniqcDC7Osyh/+tIxX9r3qKysLC4uzsrKWrhwYUBAAJOmmhp/dTiQ&#10;lZXt16+fvLy8mqoqP49hqKvvbO8wJmHUwX37n+Y9aah73dHW3iXc28TOzSHxrmSQQP7CnHu0EWIS&#10;vqhYpH379mH1scNgb+PCfBGJyMjhaMBQT9/Xy3vapCnpJ0/VcoNziffdzZwXIBm8T4K1wzpiTVG/&#10;0PetW7eWLFniYGcnnEJhD9zxKAppbQ3NaZOnXLt0ua665k17J2vwPS4YMnhfNjgWvqGhIS8v78yZ&#10;Mxs3bhw3bhxmbW5urq6urqiIGICpXEZGRh7/IRiXkUV0oK+t6+4yaEripC0bN505eSo3537Zi5fs&#10;xeIoFcms/ljH937+DzAaX9S6ujoszOLFi8PCwnS1tHE4qSa8IhkNGu3Y0dYuJiLq4N59lWXlkhi8&#10;N61ZdAjlRwbvm2DtsI5YUxQFHHLs2LGpU6damJkrC6e/cfSJvpqyira6hqWZ+eIFC3PvP2hramHN&#10;vjdtngzelw0OMEJtbW1ZWRm7F/XgwaSkJB8fHxMTEyy8srIylgcrgn/QNyICdWVVHhE42TtAInNm&#10;sYc/H91/UFtZ3d7S1tnOTqogQ144fL5AMqf/CUbjkzQ3N9+7dw9lnpCQoK+rxxqxEju3g2AcLdtQ&#10;V2+go9Om9RtKi4oR+0uaco9bs+gQyo8M3jfB2vGNBauM4+CVK1eipgz09CWX7oX7CzRUVE0MjNwH&#10;uaJaX5Q8l9yC1Zs2Twbv4wbHn5A5wOaNTQtb2rx582JjY11cXHR1dZm+FRSUFdkn7dmtKcLxnbK8&#10;gpaahpFwTmPm9Bn7dv90/fKV4mcFr2vqMBfp7P5qjn8Fn7Ctra2kpCQzMxOrb6ivj9gfDZo9/c8e&#10;bZBVVVI2MzJePH/h/bvZTezZYuE2G/irj8LLhAzeJ+Elhj5WGesOA7i6umprakHc7MKPcEOBpqq6&#10;g41dVPjgPbt2V7wqEyq6d/dfkcH7ssH5X/EnJDALtCTY88qVK7t378YBHVZEUVGxX79+cjIy/OlN&#10;/rI0Fh3Is89m62nrONk5DI2KXrpw0ZlTp4ueFcC/fEZ/Nce/BYsB7+Tk5Cxfvtzawoq9HYK9iovd&#10;Es6PAwx09CaNn3D6xMmip8/YBx/45dk+ilB1ZPA+C1YTlVtZWZmamhocHGxqaqqprsGe5RFuA0fI&#10;wr9Cnpw0/dTxX6rKKt6itZPBpfA2hwRvK9+gwTGc99GM+AiYEbbAW7du7d27d9asWf7+/ubm5no6&#10;OhoqamhY/OoKT2AIbK4lvEclPCR0fsrcQ/sPoIiKi4tbWlr4rAGfRc/BYmDy0tJStGnE+HpaOvyh&#10;f+wz+NwxR4Qk7C3Jl6/UVFQyg/fdzZzVHBm874LNrba29tGjR0uXLoV2NDU1VdkLweUQMLGoRVbO&#10;wsQ0bnjsru07bl2/UV9TywyOzZR3PYMM3sfPogD8FaPxEZBGHF1RUYGZYtvbsGHDmDFjPNzcTQwM&#10;+YsMpT5Fmn86RFdL28LEzNvdMz52xOrVqzMyMl68ePFnifNl4Ok/g+H8T+hjEqjn+PHjsUOH2Vnb&#10;aKmpszur5ASDyyuoK6v4eHohKjlx7OeKl6/YR+DeTcvhP4Hkt5jhK0IG7wP8eV0wBJsJKhTaQUHx&#10;1+Kzb8MKx518W7O1tJoxdVrWuYxnT/JbGptYAM5jcDI44G0OCd5WvlmDdwdjYo3Qx9YOEd+5c2fb&#10;tm0Txo9HtqaGRjoamhAoDu7khXcWs8vlcux6CwyLYNnK3CIyMhISx0abl5eH4AINFLlhGXjOSGAx&#10;+M/34Eso7dfX12dlZaXMnBXkF2BsYKimJJwHZ083sPtknezsI8MHC/Iq6mhtw/hAklG3rCS/xYyw&#10;ZmTwvoB0XXhBcerq6mCPAwcOxMfH6+joQBpKwqOY/IXPqkrKzvYOqM28h48qX5WhqUPf7PEOfj2z&#10;Z5DBvzmDYxIkYI3W1lZsTjk5OceOpn2/dPmw6Bjkr6+jC2vL9huAMIFfckEfKmfXOdXUzc3NAwMD&#10;sa1u3rz56tWrpaWlkDjy5JkDpLmP3gOLh/kKhcqKF5v3jRs3Nv/4Y8LIOOEDQ4jB2VzgcXSGunqO&#10;tvZzZ6XcuXmLf06IT8WzQqL7T1GDtQBk8D4D1gjrJQUHu+fPn1++fHlYWJi2tra8vLyCPHt+R7hx&#10;QAnbWpCff+rW7di6W9l9hKyW37R38mf0JDn+HWTwb9Hg0j5obm4uLSm5fOHiymUroiMiERQY6xto&#10;q2ughakqsju1IXFE5RC6XP8BOAzE8mODRDGiTC5duvTq1SvsCbD8yPB/LAP+BE+xxRX2H21tbfn5&#10;+WdOp8+dnWJnZc33E7zPL2zqaWmPiR919lT6q+elHW1tmAqLyrPqS/AqIIP3DXgRASQAqhUhzu7d&#10;u0eNGgXDqKurY/NXQBjO2jm7U8De2gYRzIm0Y+xjh6hiFAa2ofYO4Wx4T0uGDP5tGZyDkbFemJan&#10;mxubXpQ8v3Th4vYtW2dNT44MC7e1tIa7+Qk7dDjiYwGyrPDoz4ABWHGU4YgRI5YtW4Yt+fbt29gs&#10;sQxosnxF+Fy6g4GYHZc4fmI0hCc5d7M3rF3n5jJITUkF1sbRJfqy/fpjvlpq6tGDI3du23H35q3a&#10;qmpMiOX8YM6iBmsEyOB9A6yRdKXQR5iSl5eHANzHx8fIyIg/QKcgPPcAgxvq6ocEBM6fM/fXrAvs&#10;Ys+7N2SwALw3n64lg3+LBufjo8/Tne0dOIirr6ktePKUvQ9r9ZrhQ4baWlkb6uohEpeXET7SJrzL&#10;GGstIyODSFxTU9Pc3DwgICAxMXHr1q05OTnYMnkwzrP9MxiOpeXLiQS28LIXL48cOIgdBlqzqpKy&#10;EJvIs/e0CB9o9vX0mjd7zvGjacUFhciWrynPqs+ANQJk8D4A1gVrBHga2wIK6vLly1CEhYUFXIFt&#10;BygKkYqinDyCpMkTJv60c1duzn3mbqZv1mdXMlEqPS4YMvg3Z3A+MvqS3xjC9v/sEkp9bV1JQRGC&#10;gk0bNo4fPTY0MNjawlJTVZ2fuYNbsdby8vLKyspIyMrKIrLw8vJKSEhYu3Zteno6CgqRNUIPSb5/&#10;gs+XLwC01dLUhBUcP2Ys9haaqmrYT2BvgUgfNseeAwNHDo/dvGHjw/sPyOBk8K8crAvbGt9dZKqu&#10;rs7Pz0exxMTEINxB3IODV7btKPJH6uVcnV1WLlt+ISMTccxb1K+0Q5HwRM8gg3+LBudIfmMI1lhQ&#10;K1peU2Pjq1ev2KtU0s8smD/f28vL0MAAypaVkcUqqwif30QQgYYoxx7AUdDT1jExNBro6Dxt8pSj&#10;hw8/evCwurKKBxFYF3SS5ihEFsJs2bwwvKu9401H550bNxcvWAhbWZiYsmyF54kwC8TgBrp6jnb2&#10;81Lm3L55i5cPYEsrPGXa8/X9muErRQbvA2BdOtva+evYOts64OXzZ84unr8w0N9fS12DhSbC3VbY&#10;auByeTk5L0+vXTt3lhSXNDexlw7xTeZdxzYVSb5/Bxn8WzyL8h58cp4Pk3hTU11d3ePHj7GVzpkz&#10;ByWGBTYwMMCS8yc2VYRT5LL9+qsqKmmpqUO76Pt6es1Mmr5n1+7LF37Nf/S4trIajpY8UckNjkif&#10;dxjY+QZ/QgJj/pS6c2riJBdHJ37mnZ+3UVdWQVRuqKePCP3MqdM8tMeySVUOJEsvZviKkMH7ArAu&#10;b+3Yijs6i54+27F1W8LIuIEOTjimZJ8zVlDE8aWCnDw8YGhoiFo7duwYQnUY5lPKgQxOBv9j4TnI&#10;E06BDkpKSq5fv75//34Ul6+vr6mJqYIMewxBTVkF/QH/6Yc+a52ycui01TXtrW2HxwxZunDRsSNH&#10;n+Q+xpJjjSRHiDB4J79W8+5kH4Lyzi6s163rN2ClkIBAxN1o6NgfyA+QVWZfQGYvvQoNDFq/9gdU&#10;TVlZWUtLCwpKstB9Al7gZPC+AFYFEsc64fiyrf3e7Tszpk4b5ORsoKPLriQJH6RntwPIy0Pffn5+&#10;iI0uX76MKvvEciCDk8H/gK81zxA/kXlDQ8OjR48OHDiARY0YPNjGwkpPSwfRsYYKe0s9WiT6yuw1&#10;PeyhSiU5eQtTs8iw8IXz5h89eOhhdk7FqzL2ZlpubWQpROIsMH9n8I6W1rLSFz8fOTpy2HBE3Gjl&#10;yId9z1M4l4KQfKCD46QJE/fu3YvK+sRo5SuEFzUZvC8gRCrYhNuaWl7X1GacORsTEamnrYMjS7Rn&#10;bCnSGNza2ho2SE1Nzc3NbW1tZbX+CeVABieD/wHPkMO1ggQ2OUgcm+LWrVsnT0x0cXTmMThaJGuU&#10;wqch+CfnZfv1h4JtLK18Pb1HjYxbuXxF+i+nnhcWd7a2MYMzawvn+4S2jp/s3qnOrsa6179mXZiZ&#10;NMPVeaCRngGsLbw1gjV3pM2MTAL9/OfNm4fakV4j5avM06KGrwgZvC8AfXd0dbV3YlN9kJ2zffMW&#10;Hw9PHEQKR5NCoCOcgVRWVHJ3d1+9evWFCxdKS0v5hv8p5UAGJ4P/gTQrgBXnQ+AXqLOiouIBttsD&#10;BydPmAjVmhgYaauzR/AhbhwhIl5GS5Xrz576gc0ReiBaDwkImjsrJf3kqYL8p5Vl5c0NjewReX6v&#10;q9Tg6LW0Psy+v2XjphFDhzvbO6KVo3sXjMtoqKiaGZvwk4b8bLh0lfkyixq+ImTwvsDb39G8ccT5&#10;LO/J4f0HkiZPwdaKjYKJW7iGiT7bNHR1hw4diqIoKCior6//9MZMBieDSwoKfcnvbgh5s+FYwory&#10;8ie5j34+krZs0WKE2J6ubqZGxtrqGvyqJgs05BQgcWgXR44Ybm5sGuDjO3tG8p6du37NzCp/+Qrh&#10;NntgAT5ClphhRxe7L6Wjs7So+OTxE7NmJPt6ecPd6FSFN6XIfNdPXkZWRUnJ1dV18+bNOBSAPiDx&#10;Dy6qGOHFSwbvC7z9va2ppel1/d2bt1YsXRYeEmptbikcR7JHHNjnvOXksVFYW1pNmTLlxo0bKAe4&#10;5dPLgQxOBu8pmEVrU3NVecVvV65u3rBxbMJodxdXPS0d4Ty4orqyKiIOBRk56FtduCYJC+tr61hb&#10;WMYNj924bv3lC7++fF7a0tjc2SrcdIVixvp2dKF7XV2bm/Pg0L79cbEjVBXZoz2YHAZnD2qiU1Ky&#10;traeOHEirAEptLS0SBZI/PC6I4OLFFZhUrredLZ31FRWnT7xCyrOQEdXR0NTRYG9BFxugIymmjo2&#10;BzMjk9CQ0GXLlqEAIRbkgHJAAlPzDD8CMjgZvKewuXR0drS1V7wsu/XbjQN79s6dnTIsOmagg5OG&#10;iuQzaeh4EM0frYTK0XYxwohhwxfMmQtH3/7txsuS5/x7gLzRw+CtzS1lL15eunBxXsoca3MLfW1d&#10;7BIQs3CDKykoGBoahoSEzJs378KFCzj2lCyQ+OF1RwYXI9ICQR90tLRVvGLbxYYf1vl7+6DZa6qq&#10;I6Dhj8Jhi1BTVkHEMyNp+sGDB/nGi0zYhMK2z/P8CMjgZPCewubSwW4p6eroam5oLMx/eu70mTUr&#10;V0E0ZkbGCDGYvgWDQ7tCMK6MVqsgfErKyszc3WXQmPiEjT+sv5R14WVJaWtTC/sqIIJxdg8Wi+4f&#10;P8xFaB8aFGxvY8s+Yy+8bBZxPfYNKDRYIDg4ODU19dWrV6gUvuKSJRMtQtWRwcUHlpxte4K+kQYt&#10;DY33797btSN1/OixiEL45X1Z4eQJe5esjKy2huaQqOhdO3fevXsXUQifSook395DBieD9xQ2Fxic&#10;vQOThc9tzS3FzwqxhFs3bZ44dryfl4+ZsQmCbnYKW7hDnJ1OET5hjEaMhJ62jqOt/Yihw1avWHnu&#10;dPqT3MdYqfqaWuG1yOyceOWrslPHT8yYlhTg66erqc2ujgr7A+TA38Ria2sLR2ADKC8vb21t5esu&#10;WThxIlQdGVxkYLGx8Kg1rIV0FRrqXmecOTdz+gxfTy8dTS1YG+0fBheiGaSVLU3Np0+Z9uuFi9IQ&#10;5LNss2RwMniPwcoJHb8LEBJvaWyqLGOXN8+eSv9+6fLwkFAjfQOEHvxzP5Jz2ew2WHZnt5qSspaa&#10;OsKT0MCg5GlJO7dtf3Avu/zlq642dlocHeL6e7du/5S6a9yoMeYmpoi+sTPAZqAoz1BSUjI2No6L&#10;i9u9ezdqCiJA1XRfaxSCJCUeeN2RwcUFFhsLL601rAt7RXNRya7tOyJCwyxMTNmhpwyLP4RbUNiN&#10;VWjPwQGB69asfZz7CCXDJ0ef5wCEjD8GMjgZvKcIsxFuIxFeg8VU3vWmq72j6XU9LHPhfMb3y5YP&#10;jYr28fA0NzZBGAJ9ywvPWKIRs6YsvNBHQ0XVUFfP3WXQ+NFjdm7fkXn2XHFBYV1VDXYGyOplSemt&#10;6zeWLVrs4uSsqaomuVuRvU1LXlZWVkdHx93dHdaAPuARfmehZOEEKUhS4kGoOjK4+MDyA57Amr54&#10;8eLm9d8WzJ3nYGPLLloKB47sEo7wYJq2uoavl/fUxElph4+UvXrFVxx9nsMnlgMZ/BMNPiUn5z7K&#10;X3pCjEep0o4NePP7/RxmcGVlZRhcXV0dOYwbN06UBhdOW0MoaIB8BTHfro7OxvqG5yUlN3+7sfen&#10;PfPmzg32D7Ayt+B3lfDz48I9VcJt4wqKCMYh8UFOzojZkyZPObh3/91bt2sqKrHurY3NFS9fITwP&#10;Cw4xMTDSUFXDZqAoryAPicvKaWpoGBsahgQFrVv7Q3FhUUtzM0qMLwZbkm42FwtC1ZHBRQYWXgrW&#10;orq6+s6dO7tTU0fHJ5gYGiFeQbNXYt+cYveAo80b6emPGDps++Ytt3678bq2lq81+jzxieVABv80&#10;gydOvX8/F47u7HjT1tpZ/7qxrrYeXW0NGmpDa0t7Z8dbdPdzHsDgSkpKiCXV1NRcXFyQj+gM/kH4&#10;3LEYOJDEOufl5WHbXjh3/pDIKAdbO5ian1FBKI3ABO5mQhfuPsRPXS1tb3eP6VOm7k7defvGzfJX&#10;ZfU1ta+ra08ePzFt8hQvNw9dTS1sAOwkjJy8igK7SRE5ONjYTZ867crFX1+VvuCfFmSfhcUmAM2J&#10;DV56ZHBxwepJWHJstqCoqOjQoUOTJkzEtqmnrcMPN9HCeRiORutoZz9rRvKlrAsvip83NzbxTD4X&#10;ZPBPMviUyUkwOPQBg9dUv87Nzbvx2+3r127+dv3WgwePKitqkN/bN28f3H+AdqyISFRWFjG4q6ur&#10;GGPw/wFfANDQ0JCfn38xM2v3jlR41tfTW0dDCwpWFt5UJQQm8grCl5TlB8igb6Cj5zHIdXjM0OWL&#10;l549lf74wcPG1/UPsnN+2rlr3KjR1uYWbEsQvhCErQLxu9wAGQMdXQjuh9VrMJfKV2V/fKFKhDbg&#10;dUcGFyPYZtva2rCat27dWrx4sYerGwJwNFE0V4Qp6soqSCPgMDMyjggL37ppc/6jvKb6hs72z/xq&#10;NjL4Jxl88qRpkPXrusaKiuqHDx+fOnVm794D27ft3Jn604njp3KyH1ZV1jY1tl6/fiM+Ph4Gl5GR&#10;QQzu4eGBkLxvGBzz5QvAr8wg0dLSUlNR9TD7PtZi5vQZfl7exvqGmqpq7B6Vd4eW7OhSRk623wB4&#10;WVtD08zYJMgvYNG8+ceOHH31vLToacGF8xnzUua4ODlrqbEvdkL6rJO80lbZ3to2anDExh/WPXrw&#10;sKWx6d25HckiiQhp0UnTZPCvHyw8QK1hHUtKStLS0qAFHC/yU4Xo8xtqEaBoq2t6ubmnJM/MOHO2&#10;tqpaOF78zKtMBv8kg0dFxmzbmgpxHz3y8/btO5csXj53zoLk5NmzZs5ZvHgZ/nQs7cTp02e3bdse&#10;GhrKY3BM5e7u3vcMjlVAm0YCA992dNVUVuXcvXfq+Il1q9fEx44UXqViqKmmLpU42jcCavQhcTVl&#10;FcQvIQGBSVOm7ti67Xz62cxz5zf8sC4mIsrSzFxDVU1qcIyvqqhkoKtnZ22TNHnq5QsXsbfoEt6v&#10;QgYng38ZsPAAC19eXn727Nm5c+cGBAQg4sZhJW+l/Cke2NzS1GxMfMKenbty7z9obWwmg/cO3uaQ&#10;4G3lnzC4o6Pz+HGJ06fPHD8+MW7kqIiI6JjoYTExw4bEDB8yZHhsbNyYMeMRp48ePcbBwQEGB5gW&#10;OfSxsyjSxeA/2fuqWtvg1tLikvt3s/fu/mnKxEkDHZwM9fTR0KFvBCnC6RF5uf4D+NObiKyN9PRd&#10;HJ0Gh4YtW7wEJbBre2pK8qyQwCBzE1OMzPXNda+uooqQJ3pw5K7tO7Jv30F0A4nTWRQy+JcBi42F&#10;5+dPli1bBn2bm5ujZbJOeB2bXH8ZxOAIwLEVr125+vaNm1XlFZ2SazZk8B7D2xwSvK38EwY3N7Mc&#10;HB4VGRET4B/s4+3v5urp4+OPzt8vyNcnwMMDW5ZfeFikn5+/np6ekpISJlRWVsbs+pLBsQwoJekC&#10;4Cd/5Keztb29pbW+tu7erTv7dv80d1bKkMhoR3Z5U19TVQ3BOFo8N7ia8JljCB1BuqmR8dCo6Hkp&#10;c+Dx2ckzh0XHONjaaaioMd0PkMFosD9Ujm6go1Ny0vTD+w/k5txvrm+kGJwM/mVAfaGoCwoKUAgJ&#10;CQkWFhbq6uzgEoEI+tA3YnBEGDYWVnHDR/x8JK2yrBz6ftPegUr87HEGGfxjDA53w+Awso6OvoOD&#10;s4e7t8tAN2fnQYNc3AcNcmf9bp3rIA87OwddXV0FBQUZGZm+dyWTLwCQ/mTGecM+htnZ1t7S2PS6&#10;prbyVdmt6+yVEQkj47AWiKPR1lUUWCSOPgzOWr/wEJC6siqCcVtLq9Cg4KmJk+JiR7g4sg+daKiq&#10;YWQe5jCVy8kb6Rsgrp8xdVrW+QzEOOw1hwK8WP7FAuk5vNzI4F8zWMi2tjZ4AAmAJcfPoqKiY8eO&#10;YX39/f21tLQgBLRMxCWy/Qf0/7//oKFamJjFRET9uG79nRs32UdOOrsk902RwXsOL24keFv5RIND&#10;uFKDq6mp8acE9fWMnBxdvLx83dw8YWqo/IOdg70jYnBucP5ETx87i/I+aKbo4J3OrjftnfA41uJV&#10;6Ytfsy5s3bQZzg0OCESEoquprS58LILFL+9uMcSWgIgbR6B2VtaRYeGhgcFOdvaQNb+kidEwPmIc&#10;BVkW5iBgj4mMguZuXvsN+wleFJJlEAN8gcngXzmsYt6tPmhoaIArli9fHhkZiQAc2zXiORwUaqmp&#10;qymxW1C0NTR9vbxXrfj+7Kn0oqfPOtrasTlgQyCD9w5e6EjwtvJPGNzY2MzN1TMwMMTPL9DXN8Df&#10;PwhdYEDIe53LwEGGhoaKwr0oiMG/FYN36xAgw+M1FZUPs+9DQwjGRw6PhX8RfUPfirLCew3l2ffV&#10;2A0qwofW8CcrM3N7axv0TQ2NtNUl31kWJM4uhLIT4sqqDjZ2YxNGbdu0+e6t2y0tLbChtEAAEpJF&#10;+irhi0oG/5rhC4k+qqm1tRXLX1hYePDgwaFDh5qYmKioqMjKymK7lvmuPzugVFTSUFHV19EdHjPk&#10;zMnTpUUlTfUN2K7ZViAcmLLEZ4UM/kkGNzO19PL0DQ+PDAkJDw4OCw0ZjC48LPK9zt3dA5Xd3eB9&#10;5l6UD4Nm+t8dDP5WWLvG1/UvS57fuHpt0/oNw4cMdXdxNTMyQcSNdo8NAOKW+a4fNM2v5iOiQaBt&#10;qKtnLNzHIjG48A5bGBxbi4KMrI6GlrvLoMkTE48eOozaRHyEMkFpoOIA0pJF+irhdUcG/5rBonKw&#10;tNhOsVLp6enz5893dnbGFg0JAHZOVXiPJtqkubGJr6fX/DlzH2TnIGqR3OravfuskME/1eDeXn4R&#10;EdGDB0fB44PDo+DriMHR73Vent6mpqYYX2pwNOtvwuBMPcIn6oU3YWEI1rGjpa2qrBwh889Hjn6/&#10;dFlEaBgkjmiaCVpOQaZffwiaXdtEbC7ctaKlpqGrpc1HEDp2pkVBVo5d0hSugiJCD/LzX7F02bVr&#10;10pKSlBlKBBeOF9XsfwJXndk8K8ZvuIACRzkZWZmLlq0KCwsTE9PD5szJK6srIwEGiQOJdFK/bx8&#10;5qfMOXHs51elLySbAO/4FvG515gM/kkGNzUxRwwOg3OJQ9bdQ29p5+3lY25uzmv6WzS40LGTgEI7&#10;RrqtqaWloani5avLFy4uXbgYEnewsTVgj+ArKQqvBecnxLFVoK8mvOyQh96qSsoQt0TuCuymFBhc&#10;U1XNwsRs5PDYzZs3X7p0qbKyEqXBiwVIFumrhC8hGfwrB0sLd9fW1j5+/HjdunXBwcE4pFZVVcXm&#10;DA9A4uxESr/+GqpqZsYmo+PiT6Qde5L7qKaySrIJSDoh/blXmQz+iefBTT08vBF6w93oQ+KhoexE&#10;ynsdDG5hYaGiovLNGVzaweHtHV2IjlG6b962C1+vb2tuKSkqzjhz7scNG6dMmuzn42tiZMzOjcjK&#10;yQ2QkcPmMUBGUThtAq0zsyM2V1ZhI7z7BpuCDHuCGUevGiqqHq5ukxITUZtP8vKam5o6OzpQOBIv&#10;ok6Fav1jeb4O+NKRwb8SWAUIdP+J2sGiVldV38/JSTt6dOKECTbW1hrq6uyWYuEUuIKCAoIztExH&#10;W7vQoOBli5dk37lXX/e6uaHxj/aGrbOzi3Woys8KGfyTDG5uZuXp6YMoGwaPjIiJjIxhQXf4+52X&#10;lzdicH7R45sweM/AttHa2lpdXY0SOHDgQFJSEqIbQ0NDFC8Kit+viQBHQfIYJzvPyAJz4RQ5DA7R&#10;I40/sTMt6hr62jpuA11mJ8/MPHvuZUlpY109e2WKUKRIoENC2JY+fxz00fC6I4N/JfCl4psSX19G&#10;R1dHW3tpccnRg4cSx03wdHM31jfgx4KIM2S+64cWiENGLU3NwMDAhQsXYjWLi4vZlvlFrsGQwT/J&#10;4CYm5m6unsFBYSHB4Yi1w0IjkA4Ofr9zd/cwMzPrbvA+fiWzx2DJUcKVlZX37t1LS0tbv359XFyc&#10;p6engYEBjlIR2qCcEYxjI2HPKwuPLEPl7Gw4O5fCXjiODrG5uoqqlpqGoa4+f6Tz3Okzr56/4AaX&#10;BEG84yflyeC9BzmjjaG99fkYnCeEbYvZHKH0i+LnGWfPLZo3H1ulqaExGhs7TOw/QF5GFgeCauw7&#10;JMoW5haJiYlYx8ePH/+jFfEeZPBPMriBvrGTkwt7DtPb38830N8vCGlfn4D3OpeBg0xMTOAjGPyb&#10;uB+8N2DhUch1dXVFRUXZ2dnHjx+fM2eOh4eHjo4OJM4u9wsXNvnN4Ai9EYaj4ydP8JMNQXguOB2j&#10;8W8ALWdHsneb6hs6WtvYW1PYKXi0A+GkfKdwOuXrQKg6MvjXApaKLxJfPMn6llVc+fXSmpWrogdH&#10;mBoaCU1ReMfDAFk0PPzU0dDE8ICAgHXr1uXl5WHFv+SqkcE/yeBGhibOzoO8vf28vfxgakgcadj8&#10;vW6gs4uhoSHGJ4O/By9ngBVpbW2tr69HpcAOSUlJQUFBjo6OxsbGGuoaTNDv7kJB0C0vvEoFQ5jN&#10;2UtrWceufyopa2NzEh7z2bv7p4c599l7r9o7BIOzT3FC38zjZPDeg5x5NfVhg6MiWB282/zxE4EF&#10;QoFtmzbHDY+1t7FVFa7BsEhClp3EQx9N0UBHLzggcE5KSnp6eq3wAQdMCCSZ/sOQwT/J4KYmFoMG&#10;uSPu9vL0halhcO7x9zonJ2c9PT1+zVpTU9PV1XXMmDFkcA4WXppAu4fECwsLL168iJJBaaNqdLS1&#10;EV8Lmw07l8LPnCgJoTcXt+Bx9sZaaB1pDRU1WyvrhJFx0N/9u9mtTc3sDPib39+iqGBwdh6cz/Df&#10;R6g6MvjXAiqCryYS6FdXV9++fXvn9h2j4xIcbO10NLXYBfb+7MZB2f4D0BTR/BCDuzg5p8ycBX3n&#10;5+e3tbUhH6zaF9seyeCfZHB9fUM7O0dIfKCz6yAXdzdX9mw9+u91dnb2/L0oZPD34EuOPtJI8PLH&#10;SiGWuXnz5ubNm7H9BwYE2FvbGukbqCoqywt3oWCzYTaHyoU7UqQSF8JzWRgcG5ulmfnYUaOPHT7y&#10;NO9JU32DcC8Xund35n4dCFVHBv9a4IuEPkSMI8K8vLw9e/ZMnzptkNNALTV1deH7xWhjCBSgciT0&#10;tXUdbe1Hxycc3LuvpKQEATsaMPJBJl9s1cjgn2RwVVV1PT1DM1NLMzNLc3MrS0sba2s7O1tHWxsH&#10;K0tbC3NrBOnGRmYG+obq6upyAlpaWu7u7mjWZHDAlxx9pJHA6rByF14eVFFRcffuXWz269etg4sH&#10;OTlra2hC0xA3uymFf/FHeLye3ZoiPJfPf8LvasoqWuoavp5ec2fNPn40rSD/aVtzKzuXAhN2SOIs&#10;Pi8+638LzB18YYMLBfz+imOIJPUOPprkx7uaQqH1PYNjSQAWCcsDsORwMQLwzMzMqVOnYosz1jfE&#10;UaAqixvYF6bQ/KByJGwsLBGep27ddvfmrebmZmzFyIfn+cVWjQz+SQZXUlJRV9eCxA0NTYwMTU2M&#10;zc3NrOBu2BxpQwMTHW19TU0dTU0tfiMKN7iHh0diYiIZ/IPwdQFYNSipoKDg6pUrW3/chEjHY5Cb&#10;hYmptroGgnFVbFHoCy81RACOPn4iwfzOXrHC7hy3NrcMDwldNG9BxplzpUXF7BX7b96+EQzeHcwL&#10;5S+Z/ZeFL8A/anCsHdpwS0sLgkrpWQKABNaag6LmQ9CXDOrowFToS3J5Vy8Ys+8ZHIvB4YvU0NBQ&#10;WFgIG6xbty4gIMDE0Ii7G40K8YFc/wEIHdDYdDW1g/z813y/8sqvl14UP+eV+OUhg3+SwdXVtHR1&#10;DIyNzVgMbmaFoNvayg5hOAvALawxEB43MjLV1zdADI5JYHANDY2+953Mfw6Uf1VlZfbtO4f27V80&#10;b/7QqGh7axvE14iAIGtsS/x6Jj9/gkBJuODJQiQc5+LI18LULCQgcMmCRWdOnS4uKOSROOCFBpDG&#10;LGA3yfy+LHwZ/ukYHAMxi+5zkfLnIYCXjzDpH/DhaG99xuDSNeLrC9AM+AqeP39+6dKlERER5ubm&#10;iBX4K7/RrtDM0CE4MNI38PP2mTs75czJ088Li1oaGpGXJN8vCxn8kwyO6NvU1IKdObFzRGdv5+Tg&#10;4Gxv7yTp7JzYGRVbB1NTM01NTUUc5cvJQeUuLi50Hvx/wNcIII0VbG9rb3pd/ywv/9zp9JXLV8RE&#10;RtlZ2ehoaLKz4cJJFX46hZ0Th74VldDH9sbvV1FXVjU1NAoNDFo0f8HZU2xjQ3m2tbVBZ8gfhYb8&#10;pXb78vDV5HPn6c9ucAzBagp5M7C+WH3oFUf9EBYHETqGoKljSVi7f+c1IMnlXT4Y3pdicL4YvI9i&#10;QfRdXl5+7dq1FStWBAYGGhsbY2vlzQn6hsqhb/T1dXQ9XN1mJk0/dvjos7wn7PXf7ATdv7MuZPBP&#10;M7iuAaJsS0sbG2t7eBx9+NrGxl7a2do4oDM1NSeD9xBe8nyl+M+uTli8o/F1ffGzwktZF7Zt3jJj&#10;ahIOYBGMayMYF25Q4SdSkH4XkrPYXEVBCdubJiJxE7Pw4BBI/PQvJwvyn6JOpfNCAaLPf355+Gr+&#10;owbH2iF/aTtBS6uvr3/x4gUa/507d65fv37z5s3c3NzCwsK6ujpYTGhTXRgNdN+xYVpeXH0sBufL&#10;gIXBApeUlGRlZfEXf+OwWpmDFsUumLMAXF5GVk9L28XJecLYcQf37nuYff91TS02W9QOsuPZfmHI&#10;4J9kcE1NHX09I0gckbiJiTk6MzN2VfO9zsjIWENDg78JHgnkgHzI4B+Eh4FYI8lv1GPXm7cdnW/a&#10;O9uaW7DBPM17cj797KJ580cMG+5oa6+lpo4NDBG3bL/+MDg/WYmf7A0qCiweR4c0O50SGDQ/Ze7x&#10;o2modMgORYfM0f8Xi47X3T9qcIAVRAND0A13V1dXYxa3b9/GhDt27Fi7du3GjRuh4wsXLkDisDOP&#10;zaHy92tBaGMorr5hcMwaC8CXAQuD6Jvre8mSJf7+/paWlthOZWVl2QNl754aQwLRwCDngaPjE3Zs&#10;3ZZ7/0F9TS378g5WgmLwfwJeN0jwevpHDK6hradraGxkBncbG5uhg8rZrSmmlkhIOwMDIzoP3kP4&#10;GknTgMU4UBiqReham5oLnuSfOv7LutVrha/gu5gYGGmoqOFQVzC4gsx3/Qf85zsVHPOyjxYOkBU6&#10;dWVVc2PTiLDwZYuXwFZ5eXnQGa9lwGf35eF1948aHE2roqIiPz//xo0bGRkZGO3gwYNodVBVUlLS&#10;+PHjJ02aNG/evJUrV2JDwEZx+fLlu3fvonwwVUtLiySXPmpwbN0ALQHlg1aBYkFh6unpYQNHvPXd&#10;d9/JyLBPs6JTU1LWUtewsbAaOWz4mpWrLl/8lX264d07k8ng/wi8zSHB2wqq6hMNjiY7ZswYGJzr&#10;GAdYWlpa5ubmhoaGxsbGFhYwtYGpgMk7MBxgBIgb+sZUmpqabm5uEydOJIN/BLxesNalpaXXrl07&#10;cOAArOHn56etra3Bzlmq8ItO/BQ5xM3OhgsfR1ZRUNRUVccWGODrN3d2yuEDB0uLS9gT9qjtjk7J&#10;e+O67yoQ+P/zRcrr7uMMnnk+A+qBInHIjxJIS0uDwZEVMkH58EMZgKD7zu3sgweOpKTMGzo0NjIi&#10;ZtjQEZGRMWGhEdJ3aoaHReJn7PC4+LjR48clpsyet2vXnux7D6qr6hobWjrhKRRGF5YTJfN7bW0t&#10;tggoe9asWWjDMDiGfOUGx4x4aSCBkgGSimZvq2+tqai6cvHXJQsWhQQECafm2E2rCLoVZYXPFguv&#10;HkQDw5YeEhKyfv36e/fuYd+JgxW+/LzAv9i6vAcZ/JMMrqOj4+DgYG9vj76TkxNaKjLHTz7E8R02&#10;NjYYEwdlmArSRwyOZk0G/wj4mgKseF1dXW5uLrwwZ86cgIAAHPmyG78U2cM+UDY/My6cE2eXOuUG&#10;yMjLyOoIXxAPDwmdN3vOLz8ff5L7qKG27i1/5yeXuOBxbNjspkMI/R+G1x0Tyrt0zw2elZGJY3/E&#10;4IMHD/bx8UFQjJ/IgZdMSUkJ4srs7OzMzKwtW7bPmTN/yJDhHu7eLi5u7m5enh4+np4+3l7sDRDo&#10;e3n64qeNtb2z0yAfH3+MifH37Tt4IevSjd9u5z7MKy19VVfb0NbaAY9DXtzgycnJaMCI67/+GBwz&#10;am1t5VsZ22Ywa2zmHZ04nsOOHPpev+aHmIgoMyMTDRVV+QGy/L4mdRVV9ukoAYRlQUFBaGnp6emo&#10;I37BQJo5y5AM/tlBmaKhIMHL958wOKLs4OBgBEERAvAIfnKwuw4LC8PWheH+/v5oATgiQxiOnTkM&#10;Tu8m/DikK4sSw7ojCIUmLl68uHnz5sTERB9PL1PhDeOQtUy//gjAhdOX7LW02CZl+/WH0LXUNIwN&#10;DIP9A5OTpv+UuvPxg4ed7R08Ivujw8bIu38Yvjofa3AWg8OYvIEdO3YMMThKBhExgkT83LBhA4wz&#10;YcLE+PjRUVFDAvyD+Xe3oWw/4S1s7COugew7rvgTfkLi/M0Q/v5B4eGRmGrSpKkzk1NWLF916OBR&#10;BPLlZVXNzW3l5RU5OTn8LEpSUhIMjsX4+g0ubCsS52LunR0d0HfZi5cXM7NQntGDIyxMzTRV1VT5&#10;90P4axvYg74KOGjW09Pz9vaeP3/+2bNni4uLEX3zfKQgwy+2Lu9BBv8kgyPQhjgWLlyI2p07dy5G&#10;QGACkP/s2bNTcOA6bx7+hHFcXFy4wRGMk8F7BV9B0P0nrIdVRh/6KCsru3Pnzr59+6YmTgoNDLa1&#10;tNLT1mFPZipJHvnhIbmC8BS+ivBJZXNjU+g+cdz4owcPFxcUvq6p7WwVXiCO4KwDh9ZCAP7Pb5PS&#10;dZGme27wjPPnYUMYEwEEYvDdu3cj6EboffPmzf379y9atCguLs7X19fFZRCsjSjb1zcAvg4JCefn&#10;TEJD2QddpadQ2JdJQiWvR8aYCNI9PLyZ0338o6OGzpo1Z9/eg9eu3XiU+yQn5/7Vq1cPHDgwZcqU&#10;adOmZWZmIuT/yg3OZ8fniDR2dVWVlaj3Sxcurl21Oip8sIWJmaaaOnb8wiOX7PwJO5JTUNJUVUeU&#10;5u7ujn0VDnfQ0hDL8/oCQo39O+KWQgb/JINHR0djy0G2nHPnzqFB8/SlS5cuX76Mtn7t2rVdu3Yh&#10;GIe+IXFucDoP3nP42vHVlAx6B4Zjc0IdVVVVPX78+MzJU9ggx8QneLi66WhqIQwf8F0/iJu5m3Xs&#10;o/iQONKqisoGOrpuA10Sx09AJH7t0uXG1/VdHez0KDvnC4Oz9D9epHylPsXgUCSaFhQ5depUtKW1&#10;a9cikoA0Y2NjYWtEjl5e3tCxr09AUFBoWFgE++SI8OU/pP/rPHhYRFBgKMaBwdFHVI5gHCpHh5/D&#10;ho6YPGnawgVLVq5cs2NHKvYQOOgZN24cJI4YHIX/lRsc88IcAeaIfkVFRfa9e2mHjyyev2BwaJi5&#10;iSlCbzQJ2X7swgk/58aufquomhgY+vn5ISbDMU1BQQFqCpPzPueLrcJfQQb/JINjs7l16xYaK78B&#10;C4dX6CMTKahsgJzHjh2rqKjYv39/fhZl0qRJZPAeglXDagoV8sc6YpVRaBjO0/gT+o11r+/cuLlr&#10;+w4E44OcB6opqyCqwgbJHuAUnuGEuxVk5DRU1dhFznenxYdFx6xbvfZh9n0UclcHu2r3x4mUfxhW&#10;cx9r8HNnziD4xXF9eHg4jvQ9PT1DQ0M9PDz4NRg3NzcMgcGDg0OkXyBBhwT/CAmCcSZ0wd1sOGLz&#10;cBaMI8E7jIaYHSqH/RGPuyKUd/Py8fYfMWIkji+xnxg+fDgOLhGyQIhf/1kUgDli86ytrcUR2969&#10;e6dNnuLl7mGoq6+OQzXhFfPKwssYNFTwk51CMTU08nRzh74RfUMU2Lq71xTgmYP3fn5JyOA9NThs&#10;KzW4mpoaAmoYHK327t27PH+OMOf3ycnJwZgYf8CAAVpaWti6yOA9B6uG1RQq5L/Wka8+Eig9VBMK&#10;oaOt/VXpi9u/3Thy8NCCOXOHRsU42dlrq2uosNc6S95liD6GyPUfgA4braqSsoON7ZiEUTu2bL36&#10;66WqsnIE4O8ZnJew5Mdnhef80QaHjGDwyMhIVVVVWBIN29ra2tTU1NLSEk0agQIk7u8f4O3F3l8v&#10;fXM9El6evvx9yJIhwsVMJLy8fBGwYwSE3v5+QegjjSEuA91sbdmzaY6OA93dPcLCwniMDzt/nTE4&#10;L0wOfqKEMTss0osXLxBybd++feqUqYF+/oa6eioKSjA4f/U8mgSO0tSUIHE1EwOj0KDgmdNn4IAj&#10;Pz8fDQzLjJbG838P6Yy+PGTwXhgczuX3g6uoqMDg2Gwg4uzsbD4vDpvxn4Cjx48fj6kUFBQ0hC88&#10;oFmTwT8vKISujs72ltaG2rriZ4UZZ8+tW70mdugwe2tbXS1thFfo+BObwhUqBObs3SlI6+vo2lnb&#10;DI8ZsnnDxgf3sutr61Dm2Bl0drCDZZ4zL2GUNp/X54Ln/HEGz8zIQAzO7wdHcKCvr29ubm5jY4Pm&#10;ze+McnFxgcTR2FxcPrkb6Obk6OJg7wyPW1vbGBkZYSfh7OyckJBw5swZSPnrMTjPGUXKExxsXzhK&#10;Lisrwza+a9cubMUuAwfqaenwxoC4m7+gGH10mqpqZkbGCM9nz0g+nnastLQUe0oeIkiRzOwrgAxO&#10;Bu8roOzRofa63rQ1NT8vLLp26TIi60njJ3i7exjp6WuqqbP7xIUTKexsuOTsCvvavY6GlrWF5Yhh&#10;wzet3/hr5oVnT/JrKirbWlulpfoPFTLP9qMNDrNwg6NpGRsbQ9+wKhoz3I1WyvXt5uY+yOXjOzc3&#10;T3c3L/SRHujsCo+bm1toa2tjdra2tojE4eiv6kom3yh4TSF/JFC8OEpAHI2dzdq1a8eNG4eS0dbS&#10;kusv0+///R9/1yC7hinchIrGYGJoFOwfkDJz1oljP/N3MEgXtXvmXwlkcDJ4H4GVQkcXOibxN2/b&#10;m1urysoL85+dTz87a/oMt4EuBrp6iLZgbf6ZFURb2GL5u1NUFdkTd+bGpoG+frOTZ55IO/Y070lz&#10;U5NQtBILICGZ0+eD5/9xBs/KyITBYcyoqCg1NTULCws0Y09PTy8vL/T/wAOdz0d37HyLl6+3l5+n&#10;p4+Huzf/XAlicMT7iPSx1aSnp39VMTgvRsDDcNDS0oJNDJsMFi8yMhKLzV5SpMBqH+7GTh1HZvA4&#10;JK6hoqqvrevl5pGSPPPk8RPFBYXtzS3SqufL/A8t9kdDBieD9xVQ+DAdigGVwLs3bztb24ufFRw5&#10;cGhm0ozIsMEDHZ2M9A2wobIbDd99uU22X3+Z7/rz7VlbXdPT1R0bMKrgzq3bKGSYCIWMzRj9z17I&#10;vO4+xeBoCbASGhUiYrg7QMBfwO8dAf7BH9f5+wWxzj8oICAYfXZ3ik8Agnp+rgbxflxc3NcWg/Ni&#10;BG1tbY2NjSjPGzdu7N69OyUlJTg4GDsefhFLTnhiAOLGLhwGV1NSMdIzcLKzDw0MQvR9PO0Ymk1b&#10;U8vbDnanE696VBNAzpI5fR2QwcngfQRWCvxDxszjkg7l2dzY9PJ56W9Xr23bvGVswijXgS5aahrK&#10;wmdW+G2FPAqT7ce+fAiPI1T3dHWLGx67Yvly+KioqIi3CoDSlszsMyFU3WcwOIJKJyenoKCgkA8j&#10;ub2kt11wMLuzkN+4Ir2PxcvLG1uQvb095jhixAgUUU1NzddjcC5Z5I8FQGGeO3du+fLl2NN4eHjg&#10;0AHbrKysrIyMDHtF0QAZ+QEyisIXVrU1NAc6OI4fM3bjD+suZV0oLSrBMRyK/W3nHzXOs/0nlvlT&#10;IIOTwfsIrBA6hHebQOKs/66D/t7+3tTQePvGTYhv2uQpHoPcrM0tdDS0VFkkLgTjwisM8VNJXgGh&#10;GSIyjBARHj5//nwoCe2kqqoKB+OfvZB53X26wbW1tdEsBw8eHBYWFt4NDEGPP63z0R2/i1x627i3&#10;t4/w2gh7HoOfPXu2oaHh6zE4NiWAksnJycHcV6xYgTLBQYOWlpaSAAvA5eSU2Lue2eNdGipq+to6&#10;g5wGjokftW3TlpvXf2uoe80e02UvjIU72P0nX/PGRQbvqcEh3OTkZH4ZBO7mBh8zZgwaCsbEaO8d&#10;YWGmyI1nde/evYkTJ8rLy/O7CV1cXCD0pKSkPxm8iwz+8aDwWYdE944NRCmhgiorKu7euXPq5Mk1&#10;q1ePSkgY6DzQQN9ARVlZVoZFZezEqLKysqISojMFeQV1NXUbK+vgwKBJExO3btp86eLF0pKSlsam&#10;jrZ29uAPdgxC/uwNKu9qQbIYvYHX3ccZ/EJmVm3t619OnIqKitHW1nVxcQ0NDQ8Lg3ClHcwbwW73&#10;/pOUe95hct5xfaPz8fF1EN75ww1+5syZL/NUPTYNbFTdavZ34X1b74awImI7bNRRaclz1NemDRsn&#10;jhuP7cXW2kZTXV1Jgb12mF3BlldAQl4WtSwvLydvbmbm7+uXOHHi3j1772fnlJWVdQi3nfBshbr9&#10;R/Y0nwsy+AcMzqcFSGAIWiQ8C31zgyOC5m+XhcEhYm5wjMbngnRzczP6PAfQ1tZ28+bNxMRETNK/&#10;f3/pM5nc4Js3b8Yeggz+j8KrA6Ksq6srLCy8evUqKjQhIcHd3R1H1qhNgOgMYRnbqGFw2FyFvdNI&#10;V0vbyd4hPnYkvHn118ulxSUtDU0dLa1v2js6W9s7W9vedHSiypAznwWqA2m0tB5Wh1B1H23wC3V1&#10;DSd/SY+OHqqjrT9woGtIMHtI55/ufH39+PvaYHBsNV/sSqbkSSt0nV28/DtaUP5Id3a1daBS2ppb&#10;WhubCvOfnTudvnrFypHDYh1sbDVVUbXKOppa/CI2e+SSvSpWBbtq1LKurm5gYCCCs127diGQQuSO&#10;Iy3pgqGPNJ/7VwsZvKcG5yc9EHQjgoa7Uf3q6urx8fHnz5+vrq6GpvkkgNc6T2NyHIAjTkG0AjX8&#10;v//3/zSELzxgT0AG/2KgcFBEPNHa2sq/gn/48OGFCxdGRERYWlriwAju5mdIcZyEPpATXpGhra5p&#10;ZW4RFhwyZ+asXTtSr166/Cwvv6H2dVdbOztJioz/2FlLkM7ub+Hjk8F7BMaVSFxIv/uJWuhobWuo&#10;rUO9XPn10r6f9sxLmYMCtLW01lLTYLcJCp9wUmB3kbKbR5FQVVTS1tSEB2CDpUuXpqWlQd/YTrFI&#10;knm94+vfrMjgvTP46NGj0XBhcBxwYwc+YsSInTt33rp1q7y8HPnDDsypwpVr/GxsbMRBGYL01NRU&#10;zBfRNzTBn8lEsyaDfxlQOLxGABIoahwkNTQ0oOqvXLmydu3a6OhoNAltbW3sklGtALtneFxBTh6B&#10;m7pw44qeto6rs8uQyOjlS5aeSDv2LO8JlNHa1Ax3dElenfDHl8w4ktn/T/iYmFaaJoP/JVJlC6//&#10;ZeevOroQerc0NtVV1xTmPz11/MSyRUsSRsZ5Cbf/a7DoW4Vd3lBU5i+qVFdWgdNRoXpa2g629gi/&#10;fvzxx4yMDCwnlva9bR/w2X7lkMF7cRYFwh01ahQaLixsaGiIBDZ+DN+6devt27cRicMLmBc2SGSC&#10;2VVWVl6/fh2OnjJlSlRUFMbXF/Dw8JCeByeD/6PwkhEEK7kdUFpoqKDS0tKLFy9u3Lhx6tSpfn5+&#10;FhYWSkpK/fv3RwAOiQvhm5zwpn/Wx2ZvbWEZFR4xM2nGzm07Ms+ee5CdU1lW3tbMXjwtzZ/PAvlL&#10;luB/wmqODN4zoGx+XZq5u5NtKZ1t7dXlFXm5jy6cz8Dh0czpM8KDQxxsbHU0tPgpb9Sa3AAZdCrC&#10;B5uwJ9bW0DQ2MAzw8Z00YSLq/dKlS8XFxVhU5M/rTkqvlu1fhAzeC4PDuQkJCYMGDTI3N/f09IyL&#10;iwsODg4ICEBi9+7d9+7dQ2tAGA7QJhCV41B927ZtQ4YMwcihoaFhYWFo91C/q6srYnky+BeAlwwv&#10;IiAZKgxHe6ivr0c1ofzhnTlz5qCCsH+FvlkArqCgyJ6xVuQGxwE4+gjojPQM7K1tQwODpk2esntH&#10;6t1bt8tfvcKem59G4zlz+Iz+N3xMMnhPYKet+Ctrut50tXdgu3hdU3v/Xnba4SNzZ80ODQrG/lVH&#10;Q1NbXQOmZveZsBv8Ffj9goi+UZUwu6WZuY+HJ7ag42nHcHBcUVGBZoAlwQbID6A/2Fq+ZsjgvTiL&#10;gkgNR17u7u4YH/ksWrRozJgxvr6+3t7eyHDHjh0HDhzAXh2cO3fu0KFDsDOmwgh8fEw+ePBgNH1I&#10;H2ky+BeAFw5PoKxQzqClhT1oJy06/Hz8+HFaWtrSpUtjYmIgJmNj9mVqZUV2z7j8ABbNQQoaKqoQ&#10;AX93nZG+gZebe+K4CZvWbzh54pf79+8XFRXV1tbC48gWmfewOvgCkMF7ArvewNzdCXEXPn1258bN&#10;jLPnUBrJ06YH+QcY6uopyrJ33bBHtNhry2SQYHd8y8iqs4pTNdDV83LzGDls+KzpyUcPHX76JB8H&#10;zbA2lgELA4TiZ0jmJ/Dez68QMviHDS4FWxc279TU1FmzZkHfw4cPRw4A8p0/fz4GwsWIwSFlmD0w&#10;MDA6OpqH20FBQf7+/hgeGRmJyD0lJWXFihWwNnLAOAjMR40ahbgP3keLx7JhRuzuKDL4vwHMC93c&#10;uHED+2C0DT8/PxMTEzXhLaOIu6FvxOD9//MdAjp0qopKWmoa+tq6tpZWgX7+oxNGrV69GqpCDlVV&#10;VTAXKoXvIZAzrxrAq6k7Qu2x6vuWDQ6w+oCn34OPBtgYbe1dnV2Nda8fPXh45tTp9Wt+mJI4KSw4&#10;ZJDTQBMDIy11DdQLP1TCHhcG519JxUBNVXUDHd0AH9/pU6ambtt+/cpVFGldTQ2rePFDBv97gz97&#10;9gwB9cKFCzEt1Dxu3DhMvmTJksWLF2MgouzY2FgPDw9zc3MjIyNs+WZmZgjiDA0NMQTDIevExMTZ&#10;s2fD+PPmzYP0kUNwcPDQoUPR4g8fPlxQUCCEhh1k8H8L3jwQlOF46MiRI6gs7IYd7OwRuLHnfeQV&#10;2D0MMnII5XAwDqHjCF1B+BCXrqa2nY0tIne0BFTl5cuX4a8XL17U1dXxo3JkjqrhMA29u+9QOl+A&#10;gdL0txyD4ycG8lLi8IHYNNj5rhcvnxcWsVcHHzi0bNHiIVHRjrZ2hsIVSyV5Bf5kvCp7cxl7tTfq&#10;SDhsUjPSM7C1so6OiJw7K+Xg3v13btyqqazCzoCdVe8TkMH/xuD4iQ0yMzNz7dq14eHhnp6eiL4R&#10;cy1btgwB9aRJk8aOHTtixAhoGrG28AhceEREBH86DhbAQATdCLfHjx+PCRGGr1q1asyYMZaWlvjT&#10;mjVrLly4UF5ejsaKxSOD/1ug9FD+zc3NMG9xcTEqZevWrUlTp4UEBJoaGauzW4klr6JFn3/oR67/&#10;AER5ULmetg5/Jwk8PmXKlB9++AGqun//PpoNv7KN2pHMRoDXFwfzRV+qKvANxuBIc5AWSoiBnygW&#10;9LFJYgPJzs4+ceznrT9uSp42fVjMkEBfP3sbWz0tbb5PRXXwDrtV+QHsmx7Y76LWzIxMwoJCkqZM&#10;3bppM8J2BO/V5ZX8E3pdHV/7jd49hAz+NwbHhLW1tQjNDh48CBcPGjQILRIBOBorNtd4AUh86tSp&#10;CK5TUlKSk5MxHIE54jgMQbOGvpE5RkN6qUBCQoKTk1NcXNy+ffsePXrU2NiIJSSD/4ugAFGSqH3U&#10;Qltb26tXr+7evXtg776U5JkhgUGQhaGuHozA4nHhq5v83gYhDGffdgFKSkqqqqrYMUdHR+NgC4E8&#10;4vHHjx+XlZUhfmxpaeE5A8yle62h/40bnIMhPI7hRYQSwyFRRUVFUVHRtWvXsPXNT5kzNCoGAbWu&#10;ppaWuobgbnaRGRWBPSvvYHMM19XSxn7XzsoadTd/ztzDBw4+yX1UVVbe2tjU1d4BfQsGZ2XeByCD&#10;/6XBhXbFggI0KbQkbJAIomFwDw8PhNiIqSFrqBzx+KZNm3bs2LFz587U1FQk0Af4uWvXru3bt//4&#10;44/ff//9nDlzYHbYHBF6gPBJexx3X7lypaqqCguGmaJPBv8X4WXIQV1gt/0s/2nmufObN2xMmjw1&#10;2D/ATAjG2QPZAyQdDM4kIqfAHv+Rk4PHtbW1bWxsvL290cywU1+3bh2Mht0/ZAQ98ZqSwmcKvmWD&#10;s6IX4KvPQflXVlbyF5ts27YNgREOc/28vK0tLLU1NDVU1fhZLH5ZgkXfsnL8m6joqygomhubhoeE&#10;JidN37Zpy4XzmfmP85rqG97yr1fz+xGFTjJjkUMG/3uDow+JY+QtW7ZgNHd3dzRfSHzcuHErV65E&#10;C9u/f//hw4cRJoC0tDToFX0MQSB26NChPXv2QPGLFi1CU4a40e79/f0nTZqEABzxBT9bilmwLZwM&#10;/i/BCxDwwpTArpvVFzzJzzhzdvniJbCqg60dAkBNVXUWhgvBOD/3CthT+Kqq7M1JSuw3fhoZGWFX&#10;PW3aNOzOr169WlBQgGAcx1vSj6lK5/iNx+BI8Ogb2wIKB0X04sWL69evIwDCXjAwMBCT6+jo8A8t&#10;sXdRqaqxMhe+aYmf7AYh4aeqorK2uqatpfXgkLAlCxel/3Ly6eO819W1nW3tMDi2LBZ9w+MoTKE8&#10;hZoXPWTwvzc4TyNYvnTp0tatWxFK8/PdID4+Hi6eIbz0CttqUlISTwAE7Eijj5Y9duxYzBfRNyYc&#10;OnTo7Nmz9+7de+PGDR6a8cVDH42aDP6vg5LklSJ4paO5obGooDDzfMaPGzYirIsaHOnl7mFhaqaj&#10;qaWqrIxIUE5GRkFeQU5WVmaAjCyCcVlZeTk5eVk5dVU1C3MLH2+f+Lj4hQsWbN606ejhI2fTz9y6&#10;cbPwWUFdTS3yR7WhY5WIPhTz5s3z4pJtm7dEhQ8ODQweOWw4M3hhEYsZO7tqKqr+MPjGTZnnM6ur&#10;a08cPxkVFaOjrTtw4KCQkLDQ0PAPde+/r+pTOl8fX0cHBycHx4Ew+IiRp0+dqq2pOZZ2bNqUqQvn&#10;L/jlxInchw/rYfDGpqf5T0/9cnL8uHGWFhYjhsemHT36BEqtq0N7RiG/gU8FUMiN9Q0vS188uH//&#10;YtYFZLVj+/ali5eMHjXKw83dyMBQTVVVWUlJVVlFQShYeVnZAf36y/QfoKSgKDtABgMhd3MTU2wd&#10;g8PCk6fP+HHDhvTTp/MePaqprMLmg20KEsdM/+i4xPsEZPC/OQ8uBX+CxLOzs48fP47QG4d1iEFw&#10;yGzbAzAa4ggXF5eEhIRVq1YhTsnLy6urq0PEAUtg2ZA/a9Kd7DVJZPCvBBQpChYVhNgZ+1oE0VlZ&#10;WWvXrkVQ6eHhYWJigsCQxd2KLBhUYsfy7NZDfq5cQXinioaKGkRvbGDoaGvn5eY+cljszOkztm7a&#10;nHn23NO8Jw11r9uaW1qEk7OdrW3tLa3QdGlR8ZaNP44YOizQzz9u+IhNGzYWPn2G4YgfWQx++szG&#10;deu/X7rsx3Ubzp89h6VCa4yKitLW1kYbDoWtP0zkZ+x8vX0c7eyd7B1cnQcmjIhLP3mqrqr6+NFj&#10;M6ZOWzh3/om0n/NyHyHmxZ4v/3HeyZ9PTBg7ztbKOmHEyONpx/IfPX5dXfO78FAlrIq23dTQCM8W&#10;5j+7duny3t0/zU+ZEztkmI+Hp5OdPXaTelo66ji2YUc87K2w7DErRUX0kZaXl8fhDh9ibm7u5eWF&#10;TXjjxo2ZmZn3798vLy/HxoWgXrp99VXI4D01OOAbc1FR0YULFzZs2JCYmBgbG4sMY2JisBWB6Oho&#10;abo7GDh8+HAE45s2bcrIyHj27Bk/ecIdwTNHmgz+VdG9bAFqH7vwa9eu7du3b+7cuah6X19f7Jj1&#10;dHU12J3jCuzZH1n24iT5ATLsq13C4yRyCMyFLzHiSN/Gwgpuih8xctG8Bbt2pJ49nX710uU7CMnz&#10;n5aVvqitqu5oaS1+VrD1x00wuL+3z4ihw6H70qISduD/9vfa6hrE4Bt/WP/9suWbN2zMyshEEIBm&#10;jFYHgyM+CPvvl4NLwLCwyM/YBfj4oR062zsOch44amQ81qKx7vXPR9NmTEtasmDhqeMnnuU9aW1u&#10;QYd9D/46ddJkBxs7GPznI2mPHjysfFXe9Lq+sqy8IP/pvVt3LmVd/OXYzz+l7ly2eMnYUaN9Pb3N&#10;jExQnvwqJT/Tze/y5m8ckxWAvlVUVHR1dREe+fn5YePF8e62bduuX7/+6tUruJvXHa84JCQ12hch&#10;g/fU4BiOHFpaWiBxbMnweE5ODlR+7tw5xNQIhQDyPHXqFPT6HrA22ta9e/cQxyE6eP36NQwuyfcd&#10;bGmF2IQM/pUAZfMSRr3z4m1qaqqpqUHJo+rT09PXrFmD5uTo4KirqQ1Bs/siJAaXhdARNqopsVO0&#10;vFNXVtHX1jExMLI2t0AA6+PhFRkWPmHM2BVLlu7/ac+vWRdy7z+oKqt49iR/0/oNMLiflw+i0e1b&#10;tkLuwnnbNzUVlWdOnt74w7qVy1ds27T5QmYWFobH4Dga4F94QBj+If7rNMgndkH+gYi+Bzo4weDY&#10;G505dbq+tg7xdXLS9KULF506/suTR4+bXje0NjYVFxTir5PGT8Sua/iQofv37L1/917xs8JnefmI&#10;uA/t279y2fKkyVPCg0OxsmjbKBljfUNtdU0UF//4Bo5moHJ2fCPH3voLoG/0lZWV9fT0oO+4uLgf&#10;f/wRG93Vq1cRGFVWVjY2NqLiUFnYKFB3qDgkhPrsm5DBe2pw5ACQFdoHwJjIsKKi4sWLF7A5Wg+A&#10;oJFG/z1gbWz8mESS17vcAGYHkGAD6Urm1wcvW/SRRg1i19vW1obaRL1nZWVB4hMnTAgNDGLf/bGw&#10;NNI30NXUEq6tsSucSuxOFeEmZfZ55QHwO2QEJakIDwrCVqjQ8JDQyRMmrlrx/e4dqedOnzn584kF&#10;c+ZGDY7w8fSKDB+8dtVqCLG5vvFNe2dVeUX6yVPr1/6wYsmy7jF4pPCdTBsbG09PTwSkwjcyu4EB&#10;/HOXn6nzcHW3tbK2t7YZ6OiUMDLufPqZpvqGowcPwcWL5s3H8j/JfdT4up4/PHnkwMHRcfFWZubY&#10;XeHoIe3Q4V+OHT+4b/+alaumTZ6CFXRxcjYxNGIXFYTvlPK4W/poJS8rvv9TU1PT1NTU19c3NzfH&#10;7gpHFwkJCT/88APcjbqAuHl9obKkGwXgA/swZPBexOA8H8lvIX/kie0ZgTk2aQ6O4CSpbkjPdyMT&#10;gAR+8jSHZ0sG/6r4H6WK4ahWVMGdO3cyMzL27d6DUBo68xjkaqCjJ7yUg8lItl9//hwQNMTDSfTh&#10;KTgdemKvOdXWEc6S2yMIDQsKHjUyPj52RKCfPyp6kJNzSGDQ8iVLH+bcb6itQzOoKCs/dzp904aN&#10;q5Z/v2n9xoxz52uFb9XD4IhJDQ0Nra2t7e3tHd4DA+ydP2NnbW5pqKtvYWLqZGefMCLuXPqZxrp6&#10;ZvApU5csEGLw3Ef1da/rqmvu3ry1c/uO2CFDMb6jrd2w6CE4qhgxbDjE7e3uiQMRM2MTTTV1lAOK&#10;S7Yfe0IK7kaHImKlJCOHkkQB8iGIvrW0tJycnIYMGTJ//nxstmfPnuWnvKFvbIZsQ3oH3zQA/ymp&#10;tr4IGbwXBgfIB7lx/2Kg0Eh6BCbE+JiQp9Hg0OcDOUjTWZSviu6lytPo858AP9FasPN+XVdXUlj0&#10;a9aFLRt/nDIxMTQw2Nne0cbCysTACHqCu4ULcYrsOqfw8Dckzk+2IAF58RhTAyGmsoqJgSECUuwD&#10;9LV1LE3NkM/YhFE/Hzl6+8bN3PsPbv92c8/OXcsWL1kwZ97qFSt/PnYMbeDo0aODBw+GwQ0MDCws&#10;LD5waR0DbBw+Y2dpZmGgq2dhYuZoZw8jY/FePi/du2v3uFGjp0+ZCmVnnTt//1727d9uHNizF8cT&#10;wf6B2uqa7N285hZGegaGunpaauooChymYK3Zjk34/pnwGhP2KQbWCadN0FdVVMYxjZmRCaJ+R+GV&#10;cOPHj1+7du2ZM2eePn3KX12ATYlvVqiRv0JSZ30RMngvrmRyum/M3TfpnoDx/2pCDCGDf7XwQgaS&#10;3+/AEMR7zfWNpcUl0BbkBcmuWLJs8oTE6MERCK4RZasqKcNN3/2//4PEoSR1ZVX0IW7W8cCcOYud&#10;b8GYmqrqwrOFChqqarC5p6sbonIe3i6cN3/a5Clj4hPGjR4ze8bM1O07bt26BYP7+PioqamhVbu4&#10;uLi7u3v+GQ+fj+vc3bxcXT145+bq6ebmiSHODk521jY2llYwOJoojgauXbq85vuVQyKjIkLDp02a&#10;Mn/O3FnTZ0yeMBHRt7+3j5W5haaqGnZjfEfFTi4JZ0sgbqSFfZscX2V+uom/XxAJDITxsRsbHBI6&#10;JXHSqlWrdu3ade7cudu3bxcUFEDf0sYPJPXx7UEG77XB/znoLIoogT3evO1obWtuaKyrqil6VoDw&#10;89iRo6tWfB87dNhAB0dE1vyl1dJnT4T3ZLGX1sJT/f/z3YDv+qHPEv/5DqEoRlNRUMI48gNk4DUE&#10;8tgNwJhOdvYuTs7uLoNCAgJHxcUvXrRo375969atGzRokJaWloODg5ubm7+/f6BAUFBQcHBwiEBo&#10;yOCP60KCw4MCQwMDQ1gXIOncXFyd7B1sLa3srW2xJCnCx+dmTJ3m4+GFIR6DXF0cnYwRamtqIdbG&#10;imC/BWVrqKjqaGohLfNd//7/9x3rsMr/959+/+//+Flv9LG+SGD1tdQ10BnpG7i5DBoxdNjKZcvP&#10;nDyVnZ1dWFhYW1vb1NSE0JsaPIcMTgYnPg3B4L93vmGP+b1529XWXl9b9+TR48sXLu7/ae+q5d8n&#10;T5ueMGJkZFg4FGxubAKvwd0QFuzMzrEIN12g4xc/Eauya3rC2xDl+g+Q4w+Oy8rBgLqa2oa6evCa&#10;lZn5IOeBYSGh8fHxkZGRZmZmGhoapqamaNhOTk5ozAjGXV1dEY97eHh4eXn5+gZ8XOft5efh7u3u&#10;7oXoe9AgdxcXt4EDXW2tbCzNzE0NjY31DbBfCfT1Gzk81tvdAzsqWBuLp6OhCWVjyWX69Zf5rh/2&#10;T7L9+vOzRvzmHBZ6C298ZCdM3p1Zgutx2IFs0chDAoLiY0fiOGPdmrX7dv90KetCSUFRQ0MDNk9W&#10;3sKZTN7yeQ18y5DByeDEp8ENzt65wQyOGmxramkQLuVVllUUPSu8fvkqNPT9suUJI+JCg4LhcbgP&#10;mtNUZRfx4DJEpnA6YnPoDLJGpyQneU8TU5twvgXiw/jawjdo0OlpaRsZQKLGurq6/LvbKioq2tra&#10;hoZsIGxuYWFhZWVlY2NjZ2fv5OTycZ2DvbOVpa2lhY25uZWpiYWxsZmRkamOpqi4hGIAACZ/SURB&#10;VDYCZOxRIGI1ZRXsV0wNjbA8+MnDZ+E4Q4HvirDkTNPCxVt+VMFOcAu36GAgrI0SwC4NkyMThPah&#10;gcFj4kctmrcAO79b1397XlhU9uJlTUUle0Soufk9g1ObB2RwMjjxacDg3TtUovD2O6Z1dnalvfzF&#10;q+zbd/gpclTirOkzRsfFR4SFI251tIXNDaFmqalZeC5c5+zeycvIouPXQjGmIHcFReHRRFlZWehb&#10;Xp7dLq2kpKSpqQmP6+jo6OnpGRgYCEI3MTez+rjOxNhcT9dQV8dAW1tPU1NHU0NHQ0NbBYIWombh&#10;dDYTMZaH3wLIdjxy8vID2HNMwj6JLSfvBI8ryPZjt1RiNaF77IfMjEwcbO08Xd3DgkJGxcUj6P5h&#10;9Zq9u386e+r0w+ycuqpqHNBIdo1dktu3JGVOvIMMTgYnPglW9B2dbzu6eMeM8/b3zrZ2uJv1W1pb&#10;G5uaXtc31L4uK32R/zjv5rXrZ0+n7921e/mSpeNGj/F0czc3NmGX+ITvOsoKb9cTrnCyjqURgAsn&#10;0JHAEKgQTpfrP2BA//7d9Y0+f+IcfSB9wZYaQ/PjOhUVdUUFFd4pYN8hzzplBeECLL8GK+xOIOv+&#10;//cfZm3hLkksp7oy+8A/RhPELVheeA0vM7icPFYHBxPmJqZebh5Do6IXz1+wddPm07+cvHPj5tO8&#10;J6+el9ZWVrU1t7xp72xvae1q72Dl2c42TN7gkUCDRwJOl9TBNwwZnAxOfBos7hY64dV3v3d2sSHd&#10;OyEYR4f67erohM3LXrxEVP7z0bStm7csW7x0/OixYcEh/t4+iEZRxVZm5iYGhjoamsL1THabHbtX&#10;ul9/mX79ZWFJeXbLCjo5GfZ0IkwtIyPTv39/uJt7HAkp3OaK8srdO1iYJRTe77igu3fyCK+FDvpW&#10;VMQ4TOXKwqOS/GyPohz7HrQCOzhgOxv8FG4mkZWTYfdxIxiXR8StpKyjqWVqaGxjYTXIaaC3h2dw&#10;QGBkWPjYhFFLFizcvnnLwb37Ll/89XlRcVtTC4qIbwVv2XWFN+yNVCjYt79j1yi9xxutXVLyBBmc&#10;DE58MVBNqK+2traGhobKysrS0tKnT5+yZ4IyM9PS0nbv3r169Wq0zLi4uODgYFtbWx0dHQTRcDSA&#10;jiFowL0MU3P4EITbGAdp6ZtDAB8BYTmPghH8sk541Ag/WXT/3x0fvzvCDCV7BcwUfT4QaT5H/ieA&#10;gTyB+fK3pSPNR9PU1LS0tAwKCho9ejT/WmxqaurJkyevXLly+/bt7OzsoqKisrIy/jQ8b8nUmHsO&#10;GZwMTnwhUE2SFOJy4VVZvAYhr/Lyctj8+vXrqNm1a9fOnTsXvgsPD/fy8nJ0dLQWMDc3NzExMTY2&#10;NjAw0NbWhhnV1NS4WAXJM8tzb/KB0CsTuYxw8ZCflZacnJHcBPJexyeUIhW3FCF7SaQPkADYx2ho&#10;aPDz77q6unp6elhCKysre3t7Z2dnT09PrMWYMWMWLFiwcePGn3/++eLFi48ePaqqqsKejK9+a2ur&#10;dLvjLZmniZ5ABieDE18IZibhHC6vLylQOSyGwByt8fHjx3fv3r127dr58+ePHTuGwHzdunVLly5N&#10;Tk6eOHHiiBEjIiIifHx8IEcLCwsYEwLlPuV65TE4dyvgETG/H5GfjEYMLpzokBOC8f/qMD7Ph8ua&#10;58Az754W5sN2DwAhNpYBuxYsj7u7e0BAQHR09Pjx43msDWVj+WHtjIwMbFz379+HuxFx19bWYmPk&#10;hfDnc9m8fCQ/iL+DDE4GJ74QvKb+B6hNGK1Z+E5NfX09TMedfuvWrZMnTx44cGDTpk1LliyZNm1a&#10;QkICYltI08HBwdLSEg41NTU1MjIyNDREhK6vrw+x6ujoIC4GBrp6hnr6RvoG+jq6uppaGipq6LTU&#10;1N/rgJaWFiZEJsgK+SCgRiYc5InhmIuZAPYfmC/mjqOE0NDQUaNGJSYmQtyrV6/et2/fuXPn7t27&#10;V1pailVoaWnB/gkg6Mb2hXVEW8XK8gJBmq81hw8neg4ZnAxOfCF4NUnhFYcaRKtD4/xg28NA7vHC&#10;wsLc3Fyo/NKlS/AjwvO9e/fyr7D+8MMPCHjnz5+POH3GjBkwaXx8PGJhiDUYBAUF+wegC/T183b3&#10;cHF0srWytjIzt/xTZ2Nj4+jo6OHh4e/vzx/pZO+lHTwYUT9yi42NHT16NDLHtjN37tzFixdjppj1&#10;tm3bsAUdPnwYbRILdvny5ezs7IKCgsrKSlhbuprCGrM0NI2Vhc3R767s7uNIBxJ/CxmcDE58IXh9&#10;QVtoZlxevOLQx1/5T4Ah0oEAY/IwlgfmDQ0Nr1+/rqmpgSIrKirKy8vRhp89e3b79u3MzMyLFy+e&#10;OnUKTXr9+vXff/89JIt/K5ctX7Fk6eIFC2fNSJ4wdtzI4bHDomOGxQx5r4Ojx4wZM3369AULFixf&#10;vnzlypWrBNauXYv9xK5du44ePYrMsRFhR5KXl1dcXIxZYxmqqqqwMFgk7Gzq6ur4RzJ50M1XhK81&#10;QEJYxT+sDbqvLx8C+AjE30IG753Bhdb1R1PjOfM/cd77CYQRJQMxPs//g3Mhg38joLIArzVegxjI&#10;f/IhAAk+MpCOib50ZJ4AGAjFw6SI02FVtOo7d+4gFobQMzIysjIzf828cOF8xrnT6cfTjh3Yu2/X&#10;jtTtW7b+uUtNTd2zZ09aWtrp06cxLTaWC5ju/PmsrKwrV64gTxwEPH36tLS0FMqGo/nGIl0MjnQ5&#10;pX9CX/qz+ypI/yQ1Ox9I9AoyeK8NjhEAEjyNPvLnSP+ENLICSOCnNFseiSDBf74HGZz4CFD1aFSI&#10;eWFVwEN1xMLV1dVQbVVlVX0dfr+uq6mtqaisKq+oeFVW/vJV+Yv3O+wDeECNUBpxND8Rj+BaOgQ5&#10;I//m5mbsMBBfY6a8tUuWg/g3IIP3+iwKRkCGfDQe++CIEhHK9evXEaog9sFccDCLyAV9DEdYhHHQ&#10;7vnySJ3Lc+sOGZzoObzepYk/gybBQFNt7xSeGhU69rAM+24yGtt7nWR0oW3zpsUdDSQ5fgi+MMS/&#10;BRm8pwYXWrKkKSPBmziOKKHpTZs2IcO4uLiwsLCgoKDAwEAkIiIihg8fjuHbtm3DOC9evMD4fELk&#10;IMn0v2FbERmc6Bm83iU/3sEO8f78uQOJwYUn/t+wjyZLHxP9r06AtyXkwPPhP6VDANJ8TCl/Xgzi&#10;i0EG74XBpc0XGTY0NEDKly5d2rhx4/jx48PDw11dXa2srMzNzc3MzGxsbJycnAYNGgSVT5gwYf36&#10;9ZA45oWYHZlgYQDPtjtkcOIj4A3gz6BJ8BbCBc0CbeGVW/zFW3/u+MiYitM9B/5Typ/ny4cQXx4y&#10;eE8NjhwgX4yARFtb29OnT8+cObNixYrY2FgfH5+QkJDIyMioqCjkP2TIEPSHDh06ePBgxON+fn4j&#10;RoxYtWpVVlZWSUlJq/CV+g/OhQxOfASoeg5vCRz85M0DSAwOTXd2oYHxrru7eccC7HePifLcumfC&#10;s+Xw+Up+CPAhxJeHDN6L8+DIB/5FK6+vr79y5QqkDGXzuBsGRySenJy8aNGiJUuWoD9nzpxx48YF&#10;BATwkByi37p16927dxG8I6sPzoUMTnwEqHqANoA0bwz/BRqG9DwJRuEdGsufOsn4QlsC3VvXe/D5&#10;El8DZPDeGRx/RVaw8OnTpxMTEz08PPT09GBwhNtjx46dMWMGvwl36dKl8+fPnzx5cnBwsJGRkbGx&#10;MSJx/ExPT8e00gV7DzI48RHwBiD58Wfwpz86Qd9/0fF83kOSCfG1QgbvhcE5yKqqqiotLW3MmDFO&#10;Tk7q6uqGhoahoaGIuGHwZcuWLV68eMGCBSkpKRMnToTB4XcdHR3MAuMfPXq0srLyr+ZCBicIoleQ&#10;wT/G4DU1NefOnYOmQ0JCoG9NTU0HBwdvb29/f//w8HDE4wB/8vLysrS01NDQ0NfXDwsLW7JkSVZW&#10;Vm1tLV8eSXbdIIMTBNEryOC9MDj+JNjybWtra25u7rFjx6ZNm+bm5sZfrQlNAyMjI/T5C4YQemtp&#10;aaHv7OycnJyM8R8/fsxvR/ngXMjgBEH0CjJ4rw2OBEYrKyvLyclJTU0dO3asjY2Nurq63Lv363/3&#10;3Xf9BfCT6zs2Nnb79u3Z2dmVlZVcu2RwgiA+HTJ4LwwuqJIZHBk2NzdXVVXdunULEh81apSTkxMi&#10;cQXhXfv8+4SKioqqqqrQ9+jRozds2HD79u36+noE7zwTwPPsDhmcIIheQQbvqcEFTzIkvwWg0UuX&#10;Lm3atGny5MmRkZH8hZwRERH84Uykp0+fvmfPnqtXryL6Rs5twndJhPtuP/CRVjI4QRC9ggze6yuZ&#10;3WloaCgrK8vNzYWjz507ly6QkZGB/qlTpzDkxo0bmAvGQQCOBeBT/ZVwyeAEQfQKMvgnGRwjAwTU&#10;CK5bW1tbBJBGn7/CDRli1hhBmjNfKiwSz6E7ZHCCIHoFGfyTDC7IU3JeBRNicn6mmw+R0n00ngb8&#10;Z3fI4ARB9Aoy+GczOE9z+JDeQgYnCKJXkME/yeDIGZMgZ9DZ7aN/yIQPRx/gJ7Ps35mdDE4QRK8g&#10;g3+qwTE+QP74yefIB3Yfwn/yIdKBPN0dMjhBEL2CDP6pBgdc0PjJ5/jnIdKfHD5Q8qMbZHCCIHoF&#10;GfyTDP55IYMTBNEryOBkcIIgxAoZnAxOEIRYIYOTwQmCECtkcDI4QRBihQxOBicIQqyQwcngBEGI&#10;FTI4GZwgCLFCBieDEwQhVsjgZHCCIMQKGZwMThCEWCGDk8EJghArZHAyOEEQYoUMTgYnCEKskMHJ&#10;4ARBiBUyOBmcIAixQgYngxMEIVbI4GRwgiDEChmcDE4QhFghg5PBCYIQK2RwMjhBEGKFDE4GJwhC&#10;rJDByeAEQYgVMjgZnCAIsUIGJ4MTBCFWyOBkcIIgxAoZnAxOEIRYIYOTwQmCECtkcDI4QRBihQxO&#10;BicIQqyQwcngBEGIFTI4GZwgCLFCBieDEwQhVsjgZHCCIMQKGZwMThCEWCGDk8EJghArZHAyOEEQ&#10;YoUMTgYnCEKskMHJ4ARBiBUyOBmcIAixQgYngxMEIVbI4GRwgiDEChmcDE4QhFghg5PBCYIQK2Rw&#10;MjhBEGKFDE4GJwhCrJDByeAEQYgVMjgZnCAIsUIGJ4MTBCFWyOBkcIIgxAoZnAxOEIRYIYOTwQmC&#10;ECtkcDI4QRBihQxOBicIQqyQwcngBEGIFTI4GZwgCLFCBieDEwQhVsjgZHCCIMQKGZwMThCEWCGD&#10;k8EJghArZHAyOEEQYoUMTgYnCEKskMHJ4ARBiBUyOBmcIAixQgYngxMEIVbI4GRwgiDEChmcDE4Q&#10;hFghg5PBCYIQK2RwMjhBEGKFDE4GJwhCrJDByeAEQYgVMjgZnCAIsUIGJ4MTBCFWyOBkcIIgxAoZ&#10;nAxOEIRYIYOTwQmCECtkcDI4QRBihQxOBicIQqyQwcngBEGIFTI4GZwgCLFCBieDEwQhVsjgZHCC&#10;IMQKGZwMThCEWCGDk8EJghArZHAyOEEQYoUMTgYnCEKskMHJ4ARBiBUyOBmcIAixQgYngxMEIVbI&#10;4GRwgiDEChmcDE4QhFghg5PBCYIQK2RwMjhBEGKFDE4GJwhCrJDByeAEQYgVMjgZnCAIsUIGJ4MT&#10;BCFWyOBkcIIgxAoZnAxOEIRYIYOTwQmCECtkcDI4QRBihQxOBicIQqyQwcngBEGIFTI4GZwgCLFC&#10;BieDEwQhVsjgZHCCIMQKGZwMThCEWCGDk8EJghArZHAyOEEQYoUMTgYnCEKskMHJ4ARBiBUyOBmc&#10;IAixQgYngxMEIVbI4GRwgiDEChmcDE4QhFghg5PBCYIQK2RwMjhBEGKFDE4GJwhCrJDByeAEQYgV&#10;MjgZnCAIsUIGJ4MTBCFWyOBkcIIgxAoZnAxOEIRYIYOTwQmCECtkcDI4QRBihQxOBicIQqyQwcng&#10;BEGIFTI4GZwgCLFCBieDEwQhVsjgZHCCIMQKGZwMThCEWCGDk8EJghArZHAyOEEQYoUMTgYnCEKs&#10;kMHJ4ARBiBUyOBmcIAixQgYngxMEIVbI4GRwgiDEChmcDE4QhFghg5PBCYIQK2RwMjhBEGKFDE4G&#10;JwhCrJDByeAEQYgVMjgZnCAIsUIGJ4MTBCFWyOBkcIIgxAoZnAxOEIRYIYOTwQmCECtkcDI4QRBi&#10;hQxOBicIQqyQwcngBEGIFTI4GZwgCLFCBieDEwQhVsjgZHCCIMQKGZwMThCEWCGDk8EJghArZHAy&#10;OEEQYoUMTgYnCEKskMHJ4ARBiBUyOBmcIAixQgYngxMEIVbI4GRwgiDEChmcDE4QhFghg5PBCYIQ&#10;K2RwMjhBEGKFDP6/DM5zAEjwIZ2dndIRpMP/PNp78L/yNMb582h8CBmcIIheQQb/gMExstSMUpAP&#10;/oRMMI6QPcsWwOlS+LTofxBMKM2f54AEzwQDkXN7WxsZnCCInkMG/xuD83wAhvM/vZcGwtwkowH+&#10;kyMZJIAFkFqew/ORjtnR3kEGJwii55DB//IsCp+c9zFtc3NzQ0NDbW1tcXHx48ePCwsLkW5paZFK&#10;H2BGcDSfHPAhAOMgh8bGRswuPz+/qKiosrISubW2tuKvmJxDZ1EIgugVZPC/Nzgmh3zLy8sh36ys&#10;rA0bNixevHj//v34WV1d/fr1a3gc4saYHD45wOTIsK2tDZPX1dU9ffr04MGDS5Ys2bx58+XLl/Gz&#10;rKwMf8IIPDwngxME0SvI4P/L4ADTQtMPHjy4cuXK6dOnf/jhh6ioKA8PjxkzZly8eDE3NxfxeF5e&#10;HnSMqBzheUlJCUJsDoY8E8A4Dx8+zMjImD59OqaNjY3duXNneno6csBw5M/PrrxBOE4GJwiix5DB&#10;/9LgHMTI2dnZe/bsWbFiBULvyZMnu7m5GRoahoWFbdq0acuWLRs3bly9evWyZcsWvWOpwPLlyzHJ&#10;ypUrV61atW7dOigboTfmbmJighxmz549f/58jLx7927sHjBfLGFrSysZnCCInkMG//CVTD4t+g0N&#10;DefPnx89ejS0Gx4eHhkZaWlpqaen5+/vP2XKlLFjxw4ePBiTW1hYmAuYmpoaGBgYGRkZC9jY2PAJ&#10;oX4E4J6enrA/xo+Ojh4yZAgS8fHxZ8+eraurYwtJZ1EIgugNZPAPx+AYH1O1trZihCNHjsTExNjb&#10;28PawcHB8LK+vj7G37VrFyLoDRs2IJSeNWsW8kxOToamARIzBFJSUhCPIwbft29famoqrA25Q/Te&#10;3t5eXl5IREREHDp0CDpuaWmhsygEQfQKMvhfGhzjNzY2FhcXHzhwACGzra2tj49PYGCgiQDsfOvW&#10;LX7WOz8/P0/g8ePHuQKPHj1C/+HDh+jzs+QY8+bNm5jK2toaAbuvr6+rqyt2BtglYDeAERDs092E&#10;BEH0CjL4Xxoc6ba2tlevXh07dgxTOTo6+vn5BQUFIXA2MzObOnXqtWvX4HfkUFNTA9cjiEbMjn7T&#10;O/jdh5WVlWVlZRAu5j5x4kRMDoND3AjDkUZi7969yAQTtjQ3k8EJgug5ZPC/NDgS6EPBp0+fjo+P&#10;d3d3DwgIQBgO/yJ2RlS+efNm/OnSpUs5OTnPnj2DUktLS5Hhi25g+IMHDy5fvnzy5MkNGzaEh4fr&#10;6+tD3KGhocjKwcFh+PDhWBLsADC7tla6kkkQRC8gg3/4Sib6PIGw+ubNmwsXLsSEUVFRCJwtLS1N&#10;TEx8fX0nTZq0atWq7du3p6WlnTlz5vz581lZWZjFRQEkIHcMP3z4MFy/bNkyhO3+/v7YAdja2iKW&#10;Hzx4cExMzJIlS27cuIFlw7y6OjvJ4ARB9Bwy+F8aXCrHoqIiWHjBggUYBwbH5Pb29jD4iBEjxo4d&#10;Cy/Pnz9/+fLlK1euXL169dq1a6F1gPSaNWsg6FmzZk2ePHncuHGYNeJuTAsQ0Y8aNQp5wv4FBQX8&#10;gSC6kkkQRK8gg//lWRQOflZXV2dnZ0Pis2fPHjJkSHh4eERERHR0NLLCVPHx8aNHj4agJ0yYMFFg&#10;fDcwHJbHONA9xsdUmBbRNzKZN28e8nz48GFNTQ1fQuw0yOAEQfQcMvhfGhxTIY1Ea2treXl5bm5u&#10;ZmbmwYMHd+3atWXLlu+//x6h99y5c6H1GTNmTJkyJTEx8T2DYwgidPwVYTjGXLhwIabauHHjjh07&#10;9uzZk5GR8fjxY+gb+WNGoLODzqIQBNELyOD/y+CSkxtwa2cn/tTc3FxZWVlaWgrzXr58+dixY9zm&#10;/GwJFzqYM2dOSkoK+gsWLFixYsXatWu3b9++b9++48ePYyrsCTDTurq6+vp6fvob+XPoPDhBEL2C&#10;DP5hgwMk8JO/sQSTYwj6bW1tDQ0NVVVVxcXFOTk5d+7cwVQXL148c+bMqVOnTp48iX56ejr64PTp&#10;0+fPn8dMr1+/fvfu3YcPHxYVFWFa9vCOkKcUiYjpmUyCIHoDGfwvDY5JMCEMjr5U4ki0CsDCiKNh&#10;c4TSNTU18HLFO5AGiNZBdXV1bW0txmkUaGpqwrRYEh7do88TklmQwQmC6A1k8A8YvLsQkcbkfCDA&#10;EKT5X7sPB3w4HwgkQ/8CnjOP8XlWgAxOEESvIIN/2OCAZwL4T470Z/dEd/hAIPn9DsnQ/86Wz4un&#10;GWRwgiB6Axn8L8+ifHnI4ARB9AoyOBmcIAixQgYngxMEIVbI4GRwgiDEChmcDE4QhFghg5PBCYIQ&#10;K33c4BAcErAb0q2trRcvXoyJiXFwcIDBjx8/np+fX15eLg6Dl1euXbnK0c7e18s7JXnmyZMnS0tL&#10;+XpJkeRCEMQ3w7dlcB6DOzo6Jicnc4OLJgYvr1gjGNwPBp85iwxOEATo4wbnTzxy07W1tV26dCk2&#10;NtbZ2TkpKeno0aPPnj0TSwxeJRjcCQb39pkzczYZnCAI0McNDiOjz03X3t5+/fr1iRMn+vr6Tps2&#10;DeJ+8OCBWGLwqjLB4PYOGD53FhmcIAhGHzc4rM3tBmDne/fuLVmyBGE4DL527VqE5AjDd+3a9bUb&#10;/M3bqrLytStXOds7BPj6zU+ZQwYnCAJ8Qwbv7OzMyclZs2bNuHHjpk6dumjRorNnzxYUFOzevfvr&#10;N3ilxOCOgb7+8+fMJYMTBAH6ssEhOP7uVk5raysMvmrVqvHjx0+aNGnevHkweHFx8Z49e5ydnRGY&#10;w+AwPqYCkiy+LBKDNzQeOXTY19tn6JAhFzOzmpua33R1vXheunL5CmdHpwA//8ULF54+ffrly5dY&#10;zq7/fm8iQRDfFH3c4OhL7dbY2Hj//v3Vq1ePHTt21KhR06dPT09PLyws5AYfPnz49evX29rauBaF&#10;DL40fFGbmpqOHj3q6ek5ZMiQrKyshoYG7Ffy8/MXLlzo5OTk7++PnRCGV1ZWYpJ/96CBIIh/lz5+&#10;FoX3eaK5ufnx48cbN26Mj48PCgqKjo4+cOBAQUHB3r17XVxcEINfu3aNG/zfdSL2NEeOHHFzc4uK&#10;isrMzOTfkbh3797s2bPt7OxCQkJ27NiBw4Xq6mqMjIMMMjhBfLP0ZYNzIDhucNj52bNnO3fuTEhI&#10;sLe3t7W1XbNmTU5ODobA4HFxcVeuXGkVPjrMx/+34AZ3d3dHDP7rr7/C1C9fvkTQPXnyZCw2jhVO&#10;nTr16NGj+vp6LOe/vrQEQfyLfEMG7+joKC4uPnz48JQpU6BCY2PjhQsX3rhxY8OGDU5OTt0NDvi0&#10;XxgsJ4DB09LSvLy8IOvLly/D4E+ePMFijxo1ysHBAf0LFy7A6Tik4OtFEMQ3yzdk8K6urrKysszM&#10;zO+//97Pz8/IyCgpKenEiRPwuLW19ciRI2FwfhaFPwf05cFyYiGbmpqOHTsGg8fExGRkZGCvA4+v&#10;Xr06KirK2dl50qRJv/32GyzPb7ORTihNEwTx7fANGRyJ2tra+/fv79mzJzo6WkdHB/3ly5cnJiaa&#10;mpqOGDECBudaRJ9P+4XBrGFwBNc///yzh4dHWFgYVI6jhN27d2Mh/f39PT09FyxYkJ+fj9GA1NpI&#10;SNMEQXw79H2DS+2GPtRcVVWFMBzuVlVVtbW1HTJkCMyop6eHIdeuXesQ4GdRpBO+x18N/zN8TADb&#10;YtYACcnfhGMC9HnIz0fDEQDS9fX1hw4d8vX1DQgI2LZtGyQ+ffp0uBvHDThQ2Lp166tXr/j4gGfV&#10;PU0QxLdD3zd4d+DHxsbG7OxsONHa2trc3NzOzs7IyEhTUzMqKurEiRNFRUVlZWUYp7W1FT7t7lyu&#10;WoAhXPEcqBM/u4MR+JiAD+HjSCfET2m22GE0NDTw2SFRXV1dXFycmpoKg7u4uGA5Fy9eHBISYmZm&#10;FhgYOGvWLITnNTU1fFqCIL5xvi2DQ6AwZmFh4YYNG8LCwuzt7RF9q6uro48Id86cOT/99FNWVtaj&#10;R49KSkoqKytbWlqk/uUJKdIhkqzf8ec/sbHfIR0Cg3OhQ9y1tbUIq58+fXrv3r3Lly+npaUlJSXh&#10;+MDExITf9Yidjb6+fmxs7I4dO27evAnR83wIgvjG+bYMDiDN8vJyRLIzZ85EbGtqaqqjo4Mw3MHB&#10;ITw8HEEuLHny5Mlr167dvXs3Ly8Pun/+/DkC86qqKqj29evX9QLQKPpQPA/VhbMvHcKZknYM4QMB&#10;guvm5uampibE9ZiE9xFEYxmQLSgoKMjNzb1+/fq5c+eOHz+OXciKFSuGDBliaWlpYGAAjzs7Oxsb&#10;G2Nngx3MhQsXSktLkYlkZQiC+Lb55mJwAJ9CzQh1k5OTXVxcdHV1tbW1raysuMF/+OGHzZs3b926&#10;dc2aNQsWLIA3v//++3379p06dSojIwMxMqLgnJwcaBeh+osXLyB3ROvVArA80ujzn0i/fPkSmn72&#10;7BnGv3//PvYKkHVmZuYvv/yya9eujRs3IvNly5bB2jgswM4D8121atWkSZP8/f0tLCywbNjH2NnZ&#10;xcTE4K9PnjzBwmPHIFkfgiC+bb5FgwPExQh+Dxw4MGbMGFdXVzMzM1gyKioK6pw+ffqMGTNGjRoV&#10;ERExaNAgBL8BAQFTp06FatevX799+3ZMhWA5PT397Nmzv/322507dyD0hw8fwtEPHjzIFoCskebK&#10;vnHjxsWLFzEy9gHYbezduxd7iJUrVyLPYcOGBQYGIn/sPMaOHTt//nzYfMmSJUlJSZi7k5MT9I19&#10;DEZbvXr1r7/+in1DV7dbUAiC+Mb5tgzOT0Dz8xt1dXW3b9/etm0bTAqNDhw40MfHB5EvGDx4cJhA&#10;SEhIaGhofHw83IqQHOH5li1bdu/evX///kOHDh08eBA2R+LYsWNwOkACjsbwo0ePIg2OHDmCnxjn&#10;sADG/+mnn2DwtWvXLl26FLNOSEgYPnw4fI0oGzOKi4sbMWIEZu3m5ob9h5+fHwZC9wj/CwsLW1pa&#10;2Nl0MjhBEALfnME7Ozul56wrKysfP34Mwy5atCgyMtLR0dHCwsLc3BwhOb8dGxF6SkoKBPrjjz/C&#10;3Zs2bUJ/x44dO3fuRDDOz4EsX74cLl4sgPAZ6QULFiCBaBrZYuCKFSvg661bt0LfUH9qauquXbsw&#10;U+wJkC0mnzdv3pQpU2Bw7EIQd+NowMrKytnZOTo6Ojk5GfO6fv16RUVFm/C0EdYCS85XhyCIb5xv&#10;7komJA4PCoEsu/+6urr63r17p06dWrduXVJSEuLfoKAgd3d3ROLh4eH4OW7cuEmTJsGwAAkwbdq0&#10;6dOnI3yeMGECIujRo0cjgb9icn4GBn2YFyCB4fgrwFQzZ87EX5FAf+7cuQsXLpw9e/bkyZORw7Bh&#10;w7DDwKEAQNQ/ZMiQxMREeB8R/a1bt16+fIldDhZYugo8QRDEN863eBYFNkQkjp9QOeLZ169fv3r1&#10;6uHDh5cuXTp69OiGDRvg1okTJw4fPtzPzw9BsbW1taUAInSAn/b29oiUkfD09ITx4d/x48dzs0Pc&#10;s2bNgqMhdOgbih88eDAieh5cIxPE17a2toj3MTkSDg4OLi4u3t7eMHhsbCxyWLVq1eHDh69cuZKX&#10;l/fixYu6ujoedPOF57sfYW0IgvjW+eYMDgNyg3MVcicCWLKmpubJkycXL15E5Lt58+YFCxaMGjUK&#10;EbGPjw9MjcAcqoV54Vzet7GxcXNzg+WjoqLi4+MRrcP7iJ0BhI6fY8eO5dcqMRomwfjQNzzOlY2B&#10;Xl5e/I5vjJmSkgJ379u3Lysrq6CgoKmpiZ/w4ZcusYT8DD4GksEJguB8c2dRpMCDXIVSoaPf0NBQ&#10;VlZWVFSE+PfevXtXr17NzMzkQl+5cuXixYsRX0+ePHnChAmjR48eOXIk4nQATYOhAkOGDIkRQBox&#10;NcCfMA5GhuUx1STh80CrV6/m59b37t37yy+/IPy/e/dubm4u3P38+XPsS7qf7ObLhqVFgi8zQRAE&#10;+OZicCmwIRciXAmJ858AQ/iYPARubW2trKx88ODBlStXMjIyfv75Z4TJu3fvTk1N3bp164oVKxYu&#10;XDhz5kxonQfgEDQSwgnzSRiYnJyMWB7237hx444dOzDVTz/9BGVfu3YtJyfn/v37z549q66ubmtr&#10;w7wAAm32OJBw0ZIvpHRJui+/sDYEQXzrfItnUbgEma3fpfmfYE+AgdIxObBnfX19eXl5cXFxfn4+&#10;IuWHDx/y271v3LiBOP3ixYvnBaB4xOzSPoZkZWVB/Rjtzp07/CZxTAtrv3r1CoE2QNSPXQjmwheA&#10;zxpIFwl/Epbrjz8BpAmCIL7dsyh/C3clBIoQGMCzCI0Rkre0tPAH5YHwgP3fA02DxsZGTCh9Zxby&#10;4WlkjrlI5koQBNFjyOB/idTgiH8hWfT5ECn4E5D8+GQkcyUIgugxZPC/QeLXbnBx9wpMxbNCWjgj&#10;wnYJPH8pQt7kcYIgegEZ/AN8UKZ8IJD8FpAM6gGSCd55HEh+/3cmkkEEQRA9gAz+AT4oUx4489Mp&#10;XMEfgRB/S/KR5EsGJwjiYyGDf4APypSbF32ImI/wKSATSb4EQRAfCxn8A3DJSn68gw/kSAYRBEH8&#10;q5DBCYIgxAoZnCAIQqyQwQmCIMQKGZwgCEKskMEJgiDEChmcIAhCrJDBCYIgxAoZnCAIQqyQwQmC&#10;IMQKGZwgCEKskMEJgiDEChmcIAhCrJDBCYIgxAoZnCAIQqyQwQmCIMQKGZwgCEKskMEJgiDEChmc&#10;IAhCrJDBCYIgxAoZnCAIQqyQwQmCIMQKGZwgCEKskMEJgiDEChmcIAhCnPz++/8H58bjghg4VGkA&#10;AAAASUVORK5CYIJQSwMEFAAGAAgAAAAhAB431vnfAAAACAEAAA8AAABkcnMvZG93bnJldi54bWxM&#10;j09Lw0AUxO+C32F5gje7+VPFxGxKKeqpCG0F8bbNviah2bchu03Sb+/zpMdhhpnfFKvZdmLEwbeO&#10;FMSLCARS5UxLtYLPw9vDMwgfNBndOUIFV/SwKm9vCp0bN9EOx32oBZeQz7WCJoQ+l9JXDVrtF65H&#10;Yu/kBqsDy6GWZtATl9tOJlH0JK1uiRca3eOmweq8v1gF75Oe1mn8Om7Pp831+/D48bWNUan7u3n9&#10;AiLgHP7C8IvP6FAy09FdyHjRsV7GnFSQZCDYTtMsAXFUsEyyDGRZyP8Hy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IFLiqcDAABLCAAADgAAAAAAAAAAAAAA&#10;AAA6AgAAZHJzL2Uyb0RvYy54bWxQSwECLQAKAAAAAAAAACEARiSud5smAQCbJgEAFAAAAAAAAAAA&#10;AAAAAAANBgAAZHJzL21lZGlhL2ltYWdlMS5wbmdQSwECLQAUAAYACAAAACEAHjfW+d8AAAAIAQAA&#10;DwAAAAAAAAAAAAAAAADaLAEAZHJzL2Rvd25yZXYueG1sUEsBAi0AFAAGAAgAAAAhAKomDr68AAAA&#10;IQEAABkAAAAAAAAAAAAAAAAA5i0BAGRycy9fcmVscy9lMm9Eb2MueG1sLnJlbHNQSwUGAAAAAAYA&#10;BgB8AQAA2S4BAAAA&#10;">
                      <v:shape id="그림 3862" o:spid="_x0000_s1302" type="#_x0000_t75" style="position:absolute;left:197;width:20414;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1AxQAAAN0AAAAPAAAAZHJzL2Rvd25yZXYueG1sRI9Pa8JA&#10;FMTvhX6H5RV6000VVKKr1FKhV/8gentmX7Ih2bcxu43pt3cFocdhZn7DLFa9rUVHrS8dK/gYJiCI&#10;M6dLLhQc9pvBDIQPyBprx6Tgjzyslq8vC0y1u/GWul0oRISwT1GBCaFJpfSZIYt+6Bri6OWutRii&#10;bAupW7xFuK3lKEkm0mLJccFgQ1+Gsmr3axVczvm678z1lEu9r/y0rI7jzbdS72/95xxEoD78h5/t&#10;H61gPJuM4PEmPgG5vAMAAP//AwBQSwECLQAUAAYACAAAACEA2+H2y+4AAACFAQAAEwAAAAAAAAAA&#10;AAAAAAAAAAAAW0NvbnRlbnRfVHlwZXNdLnhtbFBLAQItABQABgAIAAAAIQBa9CxbvwAAABUBAAAL&#10;AAAAAAAAAAAAAAAAAB8BAABfcmVscy8ucmVsc1BLAQItABQABgAIAAAAIQDB+j1AxQAAAN0AAAAP&#10;AAAAAAAAAAAAAAAAAAcCAABkcnMvZG93bnJldi54bWxQSwUGAAAAAAMAAwC3AAAA+QIAAAAA&#10;" stroked="t" strokecolor="#4f81bd [3204]" strokeweight=".5pt">
                        <v:imagedata r:id="rId140" o:title=""/>
                        <v:path arrowok="t"/>
                      </v:shape>
                      <v:shape id="Text Box 3863" o:spid="_x0000_s1303" type="#_x0000_t202" style="position:absolute;left:13646;top:2565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e+nxwAAAN0AAAAPAAAAZHJzL2Rvd25yZXYueG1sRI9Ba8JA&#10;FITvhf6H5RV6KbqxkSDRVUQstL1Ioxdvj+wzmzb7NuxuNP333UKhx2FmvmFWm9F24ko+tI4VzKYZ&#10;COLa6ZYbBafjy2QBIkRkjZ1jUvBNATbr+7sVltrd+IOuVWxEgnAoUYGJsS+lDLUhi2HqeuLkXZy3&#10;GJP0jdQebwluO/mcZYW02HJaMNjTzlD9VQ1WwWF+Ppin4bJ/385z/3YadsVnUyn1+DBulyAijfE/&#10;/Nd+1QryRZHD75v0BOT6BwAA//8DAFBLAQItABQABgAIAAAAIQDb4fbL7gAAAIUBAAATAAAAAAAA&#10;AAAAAAAAAAAAAABbQ29udGVudF9UeXBlc10ueG1sUEsBAi0AFAAGAAgAAAAhAFr0LFu/AAAAFQEA&#10;AAsAAAAAAAAAAAAAAAAAHwEAAF9yZWxzLy5yZWxzUEsBAi0AFAAGAAgAAAAhAHHR76fHAAAA3QAA&#10;AA8AAAAAAAAAAAAAAAAABwIAAGRycy9kb3ducmV2LnhtbFBLBQYAAAAAAwADALcAAAD7AgAAAAA=&#10;" stroked="f">
                        <v:textbox style="mso-fit-shape-to-text:t" inset="0,0,0,0">
                          <w:txbxContent>
                            <w:p w14:paraId="0AD48FC4" w14:textId="77777777" w:rsidR="006D7011" w:rsidRDefault="006D7011" w:rsidP="00094D21">
                              <w:pPr>
                                <w:pStyle w:val="af0"/>
                                <w:jc w:val="right"/>
                                <w:rPr>
                                  <w:rFonts w:ascii="Times New Roman" w:hAnsi="Times New Roman" w:cs="Times New Roman"/>
                                </w:rPr>
                              </w:pPr>
                              <w:r>
                                <w:rPr>
                                  <w:rFonts w:ascii="Times New Roman" w:eastAsia="Times New Roman" w:hAnsi="Times New Roman" w:cs="Times New Roman"/>
                                  <w:lang w:val="pl-PL"/>
                                </w:rPr>
                                <w:t xml:space="preserve">Rysunek </w:t>
                              </w:r>
                              <w:r>
                                <w:rPr>
                                  <w:rFonts w:ascii="Times New Roman" w:hAnsi="Times New Roman" w:cs="Times New Roman"/>
                                </w:rPr>
                                <w:t>C</w:t>
                              </w:r>
                            </w:p>
                          </w:txbxContent>
                        </v:textbox>
                      </v:shape>
                      <w10:wrap type="square"/>
                    </v:group>
                  </w:pict>
                </mc:Fallback>
              </mc:AlternateContent>
            </w:r>
          </w:p>
          <w:p w14:paraId="3EDEA926" w14:textId="77777777" w:rsidR="00094D21" w:rsidRPr="008F328C" w:rsidRDefault="00094D21" w:rsidP="008E70FE">
            <w:pPr>
              <w:pStyle w:val="a3"/>
              <w:numPr>
                <w:ilvl w:val="0"/>
                <w:numId w:val="129"/>
              </w:numPr>
              <w:rPr>
                <w:b/>
                <w:lang w:val="pl-PL"/>
              </w:rPr>
            </w:pPr>
            <w:r w:rsidRPr="008F328C">
              <w:rPr>
                <w:rFonts w:eastAsia="Times New Roman"/>
                <w:b/>
                <w:bCs/>
                <w:spacing w:val="-1"/>
                <w:lang w:val="pl-PL"/>
              </w:rPr>
              <w:t>Sprawdzić lek.</w:t>
            </w:r>
          </w:p>
          <w:p w14:paraId="7F0BE69A" w14:textId="77777777" w:rsidR="00094D21" w:rsidRPr="008F328C" w:rsidRDefault="00094D21" w:rsidP="008A03B2">
            <w:pPr>
              <w:spacing w:line="260" w:lineRule="exact"/>
              <w:rPr>
                <w:rFonts w:ascii="Times New Roman" w:hAnsi="Times New Roman" w:cs="Times New Roman"/>
                <w:sz w:val="26"/>
                <w:szCs w:val="26"/>
                <w:lang w:val="pl-PL"/>
              </w:rPr>
            </w:pPr>
          </w:p>
          <w:p w14:paraId="069A8CF2" w14:textId="77777777" w:rsidR="00094D21" w:rsidRPr="008F328C" w:rsidRDefault="00094D21" w:rsidP="008A03B2">
            <w:pPr>
              <w:pStyle w:val="a3"/>
              <w:ind w:left="4117" w:hanging="180"/>
              <w:rPr>
                <w:lang w:val="pl-PL"/>
              </w:rPr>
            </w:pPr>
            <w:r w:rsidRPr="008F328C">
              <w:rPr>
                <w:rFonts w:eastAsia="Times New Roman"/>
                <w:b/>
                <w:bCs/>
                <w:lang w:val="pl-PL"/>
              </w:rPr>
              <w:t xml:space="preserve">a. </w:t>
            </w:r>
            <w:r w:rsidRPr="008F328C">
              <w:rPr>
                <w:rFonts w:eastAsia="Times New Roman"/>
                <w:lang w:val="pl-PL"/>
              </w:rPr>
              <w:t>Spojrzeć przez okienko i upewnić się, że płyn jest przejrzysty, bezbarwny do bladobrązowego i wolny od cząstek stałych.</w:t>
            </w:r>
          </w:p>
          <w:p w14:paraId="721DE213" w14:textId="77777777" w:rsidR="00094D21" w:rsidRPr="008F328C" w:rsidRDefault="00094D21" w:rsidP="008A03B2">
            <w:pPr>
              <w:pStyle w:val="a3"/>
              <w:rPr>
                <w:lang w:val="pl-PL"/>
              </w:rPr>
            </w:pPr>
          </w:p>
          <w:p w14:paraId="7F76DBA6" w14:textId="77777777" w:rsidR="00094D21" w:rsidRPr="008F328C" w:rsidRDefault="00094D21" w:rsidP="008A03B2">
            <w:pPr>
              <w:pStyle w:val="a3"/>
              <w:numPr>
                <w:ilvl w:val="0"/>
                <w:numId w:val="40"/>
              </w:numPr>
              <w:ind w:left="4297"/>
              <w:rPr>
                <w:lang w:val="pl-PL"/>
              </w:rPr>
            </w:pPr>
            <w:r w:rsidRPr="008F328C">
              <w:rPr>
                <w:rFonts w:eastAsia="Times New Roman"/>
                <w:b/>
                <w:bCs/>
                <w:lang w:val="pl-PL"/>
              </w:rPr>
              <w:t xml:space="preserve">Nie używać </w:t>
            </w:r>
            <w:r w:rsidRPr="008F328C">
              <w:rPr>
                <w:rFonts w:eastAsia="Times New Roman"/>
                <w:lang w:val="pl-PL"/>
              </w:rPr>
              <w:t>wstrzykiwacza, jeżeli płyn jest przebarwiony (żółty lub ciemnobrązowy), mętny lub zawiera cząstki stałe.</w:t>
            </w:r>
          </w:p>
          <w:p w14:paraId="0DD56D1D" w14:textId="77777777" w:rsidR="00094D21" w:rsidRPr="008F328C" w:rsidRDefault="00094D21" w:rsidP="008A03B2">
            <w:pPr>
              <w:pStyle w:val="a3"/>
              <w:numPr>
                <w:ilvl w:val="0"/>
                <w:numId w:val="0"/>
              </w:numPr>
              <w:ind w:firstLineChars="350" w:firstLine="770"/>
              <w:rPr>
                <w:lang w:val="pl-PL"/>
              </w:rPr>
            </w:pPr>
          </w:p>
          <w:p w14:paraId="4FC7A41C" w14:textId="77777777" w:rsidR="00094D21" w:rsidRPr="008F328C" w:rsidRDefault="00094D21" w:rsidP="008A03B2">
            <w:pPr>
              <w:pStyle w:val="a3"/>
              <w:numPr>
                <w:ilvl w:val="0"/>
                <w:numId w:val="40"/>
              </w:numPr>
              <w:ind w:left="4297"/>
              <w:rPr>
                <w:sz w:val="26"/>
                <w:szCs w:val="26"/>
                <w:lang w:val="pl-PL"/>
              </w:rPr>
            </w:pPr>
            <w:r w:rsidRPr="008F328C">
              <w:rPr>
                <w:rFonts w:eastAsia="Times New Roman"/>
                <w:lang w:val="pl-PL"/>
              </w:rPr>
              <w:t>W płynie mogą pojawić się pęcherzyki powietrza. Jest to normalne zjawisko.</w:t>
            </w:r>
          </w:p>
          <w:p w14:paraId="38EFB750" w14:textId="77777777" w:rsidR="00094D21" w:rsidRPr="008F328C" w:rsidRDefault="00094D21" w:rsidP="008A03B2">
            <w:pPr>
              <w:pStyle w:val="a3"/>
              <w:rPr>
                <w:lang w:val="pl-PL"/>
              </w:rPr>
            </w:pPr>
          </w:p>
        </w:tc>
      </w:tr>
    </w:tbl>
    <w:p w14:paraId="05FA93B0" w14:textId="77777777" w:rsidR="00094D21" w:rsidRPr="008F328C" w:rsidRDefault="00094D21" w:rsidP="00094D21">
      <w:pPr>
        <w:rPr>
          <w:rFonts w:ascii="Times New Roman" w:hAnsi="Times New Roman" w:cs="Times New Roman"/>
          <w:lang w:val="pl-PL"/>
        </w:rPr>
      </w:pPr>
    </w:p>
    <w:tbl>
      <w:tblPr>
        <w:tblStyle w:val="ac"/>
        <w:tblW w:w="0" w:type="auto"/>
        <w:tblLook w:val="04A0" w:firstRow="1" w:lastRow="0" w:firstColumn="1" w:lastColumn="0" w:noHBand="0" w:noVBand="1"/>
      </w:tblPr>
      <w:tblGrid>
        <w:gridCol w:w="9394"/>
      </w:tblGrid>
      <w:tr w:rsidR="00094D21" w:rsidRPr="00A5286D" w14:paraId="250247AE" w14:textId="77777777" w:rsidTr="008A03B2">
        <w:trPr>
          <w:trHeight w:val="5238"/>
        </w:trPr>
        <w:tc>
          <w:tcPr>
            <w:tcW w:w="9550" w:type="dxa"/>
          </w:tcPr>
          <w:p w14:paraId="79008892" w14:textId="77777777" w:rsidR="00094D21" w:rsidRPr="008F328C" w:rsidRDefault="00094D21" w:rsidP="008A03B2">
            <w:pPr>
              <w:spacing w:line="260" w:lineRule="exact"/>
              <w:rPr>
                <w:rFonts w:ascii="Times New Roman" w:eastAsia="Times New Roman" w:hAnsi="Times New Roman" w:cs="Times New Roman"/>
                <w:b/>
                <w:bCs/>
                <w:spacing w:val="-1"/>
                <w:lang w:val="pl-PL"/>
              </w:rPr>
            </w:pPr>
          </w:p>
          <w:p w14:paraId="24844DBD" w14:textId="77777777" w:rsidR="00094D21" w:rsidRPr="008F328C" w:rsidRDefault="00094D21" w:rsidP="008A03B2">
            <w:pPr>
              <w:spacing w:line="260" w:lineRule="exact"/>
              <w:rPr>
                <w:rFonts w:ascii="Times New Roman" w:eastAsia="Times New Roman" w:hAnsi="Times New Roman" w:cs="Times New Roman"/>
                <w:b/>
                <w:bCs/>
                <w:lang w:val="pl-PL"/>
              </w:rPr>
            </w:pPr>
            <w:r w:rsidRPr="008F328C">
              <w:rPr>
                <w:rFonts w:ascii="Times New Roman" w:eastAsia="Times New Roman" w:hAnsi="Times New Roman" w:cs="Times New Roman"/>
                <w:b/>
                <w:bCs/>
                <w:noProof/>
                <w:lang w:eastAsia="ko-KR"/>
              </w:rPr>
              <mc:AlternateContent>
                <mc:Choice Requires="wpg">
                  <w:drawing>
                    <wp:anchor distT="0" distB="0" distL="114300" distR="114300" simplePos="0" relativeHeight="251658349" behindDoc="0" locked="0" layoutInCell="1" allowOverlap="1" wp14:anchorId="5C5113DC" wp14:editId="02142350">
                      <wp:simplePos x="0" y="0"/>
                      <wp:positionH relativeFrom="column">
                        <wp:posOffset>55245</wp:posOffset>
                      </wp:positionH>
                      <wp:positionV relativeFrom="paragraph">
                        <wp:posOffset>166370</wp:posOffset>
                      </wp:positionV>
                      <wp:extent cx="2154555" cy="2774950"/>
                      <wp:effectExtent l="0" t="0" r="0" b="6350"/>
                      <wp:wrapSquare wrapText="bothSides"/>
                      <wp:docPr id="3864" name="그룹 3864"/>
                      <wp:cNvGraphicFramePr/>
                      <a:graphic xmlns:a="http://schemas.openxmlformats.org/drawingml/2006/main">
                        <a:graphicData uri="http://schemas.microsoft.com/office/word/2010/wordprocessingGroup">
                          <wpg:wgp>
                            <wpg:cNvGrpSpPr/>
                            <wpg:grpSpPr>
                              <a:xfrm>
                                <a:off x="0" y="0"/>
                                <a:ext cx="2138779" cy="2774950"/>
                                <a:chOff x="15776" y="0"/>
                                <a:chExt cx="2138779" cy="2774950"/>
                              </a:xfrm>
                            </wpg:grpSpPr>
                            <wpg:grpSp>
                              <wpg:cNvPr id="3865" name="그룹 3865"/>
                              <wpg:cNvGrpSpPr/>
                              <wpg:grpSpPr>
                                <a:xfrm>
                                  <a:off x="15776" y="0"/>
                                  <a:ext cx="2138779" cy="2774950"/>
                                  <a:chOff x="15776" y="0"/>
                                  <a:chExt cx="2138779" cy="2774950"/>
                                </a:xfrm>
                              </wpg:grpSpPr>
                              <pic:pic xmlns:pic="http://schemas.openxmlformats.org/drawingml/2006/picture">
                                <pic:nvPicPr>
                                  <pic:cNvPr id="3866" name="그림 3866"/>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bwMode="auto">
                                  <a:xfrm>
                                    <a:off x="15776" y="0"/>
                                    <a:ext cx="2122368" cy="2628900"/>
                                  </a:xfrm>
                                  <a:prstGeom prst="rect">
                                    <a:avLst/>
                                  </a:prstGeom>
                                  <a:noFill/>
                                  <a:ln>
                                    <a:noFill/>
                                  </a:ln>
                                </pic:spPr>
                              </pic:pic>
                              <wps:wsp>
                                <wps:cNvPr id="3867" name="Text Box 3867"/>
                                <wps:cNvSpPr txBox="1"/>
                                <wps:spPr>
                                  <a:xfrm>
                                    <a:off x="1434465" y="2628900"/>
                                    <a:ext cx="720090" cy="146050"/>
                                  </a:xfrm>
                                  <a:prstGeom prst="rect">
                                    <a:avLst/>
                                  </a:prstGeom>
                                  <a:solidFill>
                                    <a:prstClr val="white"/>
                                  </a:solidFill>
                                  <a:ln>
                                    <a:noFill/>
                                  </a:ln>
                                </wps:spPr>
                                <wps:txbx>
                                  <w:txbxContent>
                                    <w:p w14:paraId="57143B92" w14:textId="77777777" w:rsidR="006D7011" w:rsidRDefault="006D7011" w:rsidP="00094D21">
                                      <w:pPr>
                                        <w:pStyle w:val="af0"/>
                                        <w:jc w:val="right"/>
                                        <w:rPr>
                                          <w:rFonts w:ascii="Times New Roman" w:hAnsi="Times New Roman" w:cs="Times New Roman"/>
                                          <w:szCs w:val="22"/>
                                        </w:rPr>
                                      </w:pPr>
                                      <w:r>
                                        <w:rPr>
                                          <w:rFonts w:ascii="Times New Roman" w:eastAsia="Times New Roman" w:hAnsi="Times New Roman" w:cs="Times New Roman"/>
                                          <w:lang w:val="pl-PL"/>
                                        </w:rPr>
                                        <w:t xml:space="preserve">Rysunek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8" name="Text Box 3868"/>
                              <wps:cNvSpPr txBox="1"/>
                              <wps:spPr>
                                <a:xfrm>
                                  <a:off x="1054100" y="1905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F57F13" w14:textId="77777777" w:rsidR="006D7011" w:rsidRDefault="006D7011" w:rsidP="00094D21">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C5113DC" id="그룹 3864" o:spid="_x0000_s1304" style="position:absolute;margin-left:4.35pt;margin-top:13.1pt;width:169.65pt;height:218.5pt;z-index:251658349" coordorigin="157" coordsize="21387,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uqFXAQAAAINAAAOAAAAZHJzL2Uyb0RvYy54bWzcV9tuGzcQfS/QfyD2&#10;Pdb9YsFy4Nq1EcBNjNhFnikuV0t4l2RJypL7OwX6C22AfFH7Ez3D3ZUsyWkiP6RAH7wekkNy5vDM&#10;IXXyelUW7EE6r4yeJp2jdsKkFiZVej5Nfr67fDVOmA9cp7wwWk6TR+mT16fff3eytBPZNbkpUukY&#10;FtF+srTTJA/BTlotL3JZcn9krNQYzIwreUDTzVup40usXhatbrs9bC2NS60zQnqP3otqMDmN62eZ&#10;FOFdlnkZWDFNEFuIXxe/M/q2Tk/4ZO64zZWow+AviKLkSmPT9VIXPHC2cGpvqVIJZ7zJwpEwZctk&#10;mRIy5oBsOu2dbK6cWdiYy3yynNs1TIB2B6cXLyvePlw5e2tvHJBY2jmwiC3KZZW5kv4jSraKkD2u&#10;IZOrwAQ6u53eeDQ6TpjAWHc06h8PalBFDuRpXmcwGg0Ttpkr8h+/MLvVbN7aCmndqEJF7DeOqXSa&#10;9MbDQcI0L8Gwv/748+/fPrLYVed0QJJ7wf4niVolJvirDxzW3oF/uTAwKyycTOpFyq9ao+TufmFf&#10;gZuWBzVThQqPsc7AQgpKP9woceOqxhb+OOEN/r9/IvyHVF00ixyraZzSujbi3jNtznOu5/LMW1Qp&#10;aELerW332Nzac1Yoe6mKgnhJdp0dKnqnIp4BqKq2CyMWpdShkg8nCyRqtM+V9QlzE1nOJBjl3qQd&#10;kBrSFcAp65QOlVZ4J94jXsTKJz44GUTexL2JjbLwqCk2W/5kUizAF8FEfdipqX+hW7fbG0I8Y10N&#10;u+PjdqyrdWUASefDlTQlIwMRI6q4BX+49hQfXBsXClYbwi3GXeitDjhSTwSboq5NJEF1Bl32Dcxo&#10;7QF9kPTc5txKREnLbtFn1NDnjgruB7MiAo0I8tqVJIqFFUZqqlB/FW0jFmul6vR7/T4pAmnSBjs+&#10;aYp5hKvjGNcBgdvpD9uVZr0cW28KlTa0JNDPC8ceOO6cZa6CjMwGXZ56feYMNlmRFVazVRQ4BNlg&#10;MTPpI6BwBmeOFLwVlwo7XnMfbrjD5YVOXMjhHT5ZYZbTxNRWwnLjfn2un/xxsBhN2BKX4TTxvyw4&#10;iUfxRuPI6eZsDNcYs8bQi/LcIFcUDKKJJia4UDRm5kz5Aff0Ge2CIa4F9pomoTHPQ3Ul454X8uws&#10;OlUadK1vLZSrE5lNyN6tPnBna84HHOhb05CKT3aoX/nGSrVnqMBLFeuCkK1QBNOpAYJHq779vh3r&#10;Ud+VaD5l/bg5aRTIQaxvD/odqASxvnNcc3rD+fFgPOhiNHK+2x/3BoOal40mNWrxlYKyRef4YJNr&#10;2s/mlZzvkZ6Bj8Me6u05BUKw8clW69d2LfjwWEiaVej3MkNVxCdJPFx6LG725kJA3pv9ozd5ZVC/&#10;QybW/jS1iuqQyesZcWejw3pyqbRxMfsdyNL7JuSs8q/JWee9IwdrafwfyYEI7hsJQqz6z0gAHtpA&#10;fusl/7QdT2Xz0+X0HwAAAP//AwBQSwMECgAAAAAAAAAhAO6Oq1tTNQEAUzUBABQAAABkcnMvbWVk&#10;aWEvaW1hZ2UxLnBuZ4lQTkcNChoKAAAADUlIRFIAAAH/AAACeQgGAAAAoPA55gAAAAFzUkdCAK7O&#10;HOkAAAAEZ0FNQQAAsY8L/GEFAAAACXBIWXMAACHVAAAh1QEEnLSdAAD/pUlEQVR4Xuy9hVtV+fr3&#10;//tLnuf5njM9OnZ3g4Ig2K0gJiKgqGABCnZ3d3d3d3e3jo7Tcc6c/t6/z+uG5WGYjYOKCOz7fV3v&#10;yxncrL3X2sv1vvv+/xxmON40Go1Go9HoF5zp+P/dHDdunOzfv99oNBqNRmMR5oQJE8Tp/i0Vf35g&#10;MBgMBoOhaOPgwYMm/gaDwWAw+BNM/A0Gg8Fg8DOY+BsMBoPB4Gcw8TcYDAaDwc9g4m8wGAwGg5/B&#10;xN9gMBgMBj+Dib/BYDAYDH4GE3+DwWAwGPwMJv4Gg8FgMPgZTPwNBoPBYPAzmPgbDAaDweBnMPE3&#10;GAwGg8HPYOJvMBgMBoOfwcTfYDAYDAY/g4m/wWAwGAx+BhN/g8FgMBj8DCb+BoPBYDD4GUz8DQaD&#10;wWDwM5j4GwwGg8HgZzDxNxgMBoPBz2DibzAYDAaDn8HE32AwGAwGP4OJv8FgMBgMfgYTf4PBYDAY&#10;/Awm/gaDwWAw+BlM/A0Gg8Fg8DOY+BsMBoPB4Gcw8TcYDAaDwc9g4m8wGAwGg5/BxN9gMBgMBj+D&#10;ib/BYDAYDH4GE3+DwWAwGPwMJv4Gg8FgMPgZTPwNBoPBYPAzmPgbDAaDweBnMPE3GAwGg8HPYOJv&#10;MBgMBoOfwcTfYDAYDAY/g4m/wWAwGAx+BhN/g8FgMBj8DCb+foL//Oc/8u9//1v+8Y9/yF//+lf5&#10;6aef5LvvvpMXL17I8+fP5dmzZ/L0yRN5+OCh3L9/X3nv3j25feuW3Lh+Xa5dvSpXr8Arr8Xr167L&#10;rZu35O6du3q8+44PHzyQR48e6fs9f/ZcvvnmG/nh++/1M/3yyy/y66+/6ufkMxsMBoMh72Hi7wf4&#10;3//9X/nnP/8pf/vb3+R7J7JPHj9WQT954oTs3rlLtm3dJps3bpJVK1fKvLlzZeb06cppU6bImFGj&#10;ZdiQIZI4YKAM6JcgCfF9X4tDBg2W0ekjZeL4CTJ18hQ97tzZs2Xh/Pnu/Va5994qBw8ckDOnTzsD&#10;45ozEu7I06dP5YcfftDPbDAYDIa8h4l/IQfC7hHPHiKaf//731Xsf/3rr/KXv/xFRf/FV1/Jndu3&#10;5dTJk7J92zYnwAtklBPm4ckpKtJ9esdIx3btpHl4uDIsJETq1Kgppb8oIZ9++JF88P/+R/70f/7v&#10;a7HE58WkVrXq0qhBgIQGB0vzpk2lbevW0rljR4mNiZHUYckyZdJkWbZ4iWzdvEUO7D8gp50hcMcZ&#10;AUQmiFIQCeBcOCfODXKeRAY4b4PBYDC8Hkz8CzkQv3/9618qjN9++608evhIw+3Hjh2TnTt2yLo1&#10;a2XRwoUya8YM532Pl/QRI2RwUpLE94mVqMhIadOylbRo2kyaNgmToMCGUqdmLalepYqyaqVKUqZk&#10;Sfnso4/loz/9Wf78f/+fT4F/FTEaMB4qli0nVSpWlOqVq0jtGjWkbq3a+n7Nw5s6g6O99IjqKnEx&#10;fTS6MGTwYBk1cqRMnzpVP/u6tWv1XI4eOSIXzp+X286AIU3x448/6nkbDAaD4fVg4l9I4Hn3eLua&#10;v3eC74n+zz//rF4yufWjR47K2jVrnDc9SZIGDpSuTuCbhjaRgLr1pFqlylKxXHkpX7qME/VSUqr4&#10;F/KF88y/+OxzKf7pZ/L5x5+oWH/ywYcv+eH//OmNRN8jv8sxMB68Y/IekPfjfUsWKy6lnIHAZypX&#10;qrRUKFNWPyuGSFhoqHTt0kXPhdTBsiVLZdeOnXLu3Dl58OCBRjSoDyAawPXIGhGwqIDBYDD4hol/&#10;IUBW7x5vF6+XArrLly7J8UwPf83q1TJn1iwZM2qUJPYfIF06R0i4E87aNWpKWSeqCO3biHh+kxTD&#10;x3/+QMqUKKnnEO4MmIiOnSQ+Nk5Shg2TSRMnyuJFi2TTxo1ywN23p06e0pqBx48f6zUiTcA1MwPA&#10;YDAYfg8T/0IABEw9/J9+lvv37muh3sYNGzSUn+yEsHvXbhIWEipBAYFSv05dqVm1mnr4hNvxrPG2&#10;3yRf/z6JoQL57JwD51KhbDmpVrmK1iEE1KuvBgE1Cn2ie8vIEWlaw8A9TKcCBYNcMxN/g8Fg+D1M&#10;/AsYECuvaI+2N1rxaI27du2anDx5UrZs2uxEf6akDB0m3aK6SpOQEKlcvkKh8urzihgGpAyqV6mq&#10;dQsxzgiYMH6CRgOIiFD7QGrg+bNnmh6geJBrazAYDP4OE/8CBs/LJ3RNxfv+fftk8cKFMm7MGBmQ&#10;kOAEP0patWghwQ0bqQdcoWxZKfbppz7FsaiTWgIMADoKKjkDqH7tOlq4GNGpsyT07Suj0tNl/ty5&#10;2kVAKyHFkKQDDAaDwd9h4v+eQXGa15pHSx7h6idPnsj169dl165dMnHCBOnZrbuEBjeWSuXKq9BR&#10;LEcBHeKn4fzX9Pq9kLoW4v35z3o8Kvq9AjwKAL0iPMLtL1mihNYPlCudUZQHy5Uuo/9ftpSj+ztI&#10;4R6v5/dfsvgXeswSjl6BYTHHl0WGnNOfP3ij9ATnwu9xPtQJcCy6C0iDdOncWYanpGh9wOFDh9QA&#10;IApAVMXqAgwGg7/CxP894x9O9GnRe3D/vpw+dUr77xctyPD08V7btW4jDerW0xw+Ao3A+RLA3BKh&#10;xHBAdBFq2vnq1aqtkYRmzmtu3bKVdGrfQXp06yaxvWMkrk8fZb+4eOnft58MThokacOHy9jRY7Qd&#10;j9bB4ampkjx0mM4K4O8TByZKv/i+OjfAY3TPXtLdGTFRkV2kU4eO0q5NW2netJkaNYH1G0gd9xmq&#10;VqqsxkFepDC4VnQ11K1ZS9sJSZEkDx2qdRIb12/QugmKJjEELBVgMBj8DSb+7xl4oIy9pYed6Xr9&#10;+/WTls2bS7XKlbUND5HGm0X080IU8ZARRqroEcZmYWES6bxjxD1lWLKK+uyZs2T1ylXaRbBn1y4l&#10;6YfDhw9rix2fl5G8Xz57Jg8fPpTbt+/ItWvX5eKly3Lu/AU5eeq0HDhwULZv3yHbtm1XbmKC4KrV&#10;zgNfLLNnz5FJkyZL2og0GTBgoBoGnTt1lvCwcKlSsdJbGzgeNbLhDB0iC0QZqI1o6AyNXt17yMxp&#10;0+Xg/gP6+fH+DQaDwZ9g4p+PILxMTzrhfdr1rl+7pm1qSxcvlpFpadKrRw9p0rixesAIli9Byw3J&#10;gxOir+qE1Bumg1ffrk0biYqIVI8+yXnn6c6DnzxpksyfO09H+1JMuGf3bjniDJGLFy7IrZs3dSIg&#10;RPAfOaH86quv9PPjLf/88y/y1YsX8ujxY7lz957cckYAf8KrV6/JeWcInDt3Xnn69Bk5duy4u+EO&#10;ye7de9QgWLt2nSxevERmzZrtPsdkSU8fKQl9+zljJEIjHi2bt5Cw0CYS1LCR1KtTR6pUqqQphM+c&#10;QfQm6QGuKekIIg3du0RJWupwHSKEcXPuzFm55z73N19/bXUBBoOhyMPEPx+BYOLpI6CnTp1S0ScU&#10;TbsaxWqVK1R04vbFG4ubxxLFimnLX9tWrSUmOlo7A5irv2L5ctnhvPETx4/rjACMDxb3IOyPHz3W&#10;mfp8tq+dABIOZ3gQnzcrGbXrDdRhsNC9e/fl2vUb6vVfvnJVbt66LfcfPJS77ud37tx9SQyDGzdv&#10;yfUbN9UwuHT5ily4eEnOnj3nrsVpOX78hBw+fER279krm5wRsnz5CpkzZ65W7ycnJ0tcbKy0ad1a&#10;jYDyZcpqfYCvc38VuaZEUag5oH6Ca0SXQHT3HjJh3HjdcXDFnQd1F1YHYDAYijJM/PMBiCWCwha7&#10;Sxcvyt49e2T2rFnSNy5ewps00eK01w3pE9ImJUAhHYV3jM2t5wwIcvft27TVpTpjRo+WBfPmacid&#10;yX83btzQDX60vL2puBG5+N6JPoVz1Chs3bJV1qxZKytXrJQNGzbKoUOHVdgR+4fOoHj85Gmu+ejx&#10;EzUcbjtjAWOCSAFFj2vWrnWGwBwZMWKERDtjpm3rNtIoIFBqVa+hURLOv6S7DlyP1zEKuIYYAkwT&#10;7NC2naQNHyErndHBeZEOoBbDNgwaDIaiCBP/fABte4g+m/MmjBunOe6WzZpnFPI54f/8k9dv1aNa&#10;vkbVqjrch2l+zMTHe122dJlsz9yUh4hdvnxZWwYxPBAzvHeMkTcFRszZs2e1JmBkerr06NpNZ/O3&#10;d+LZ2wnzpImTnOe+SU6ePCX37j/wKfI5EfHHYMAAwHi4eu26nL9wUSMDhw4flh07d8q6detlwYIF&#10;+j6pySkSHxcnEZ06SWjjEHc9qmnk5INc1gxgcHmRAIynxo2CpFuXKO0OICrDrIAvv/xSvz+rCzAY&#10;DEUJJv55DDxqb0gPuWPE9o4TsvVr12lFfLOwcPVQfYlRTvQq9MnlYyggVkzxa9Oqlfb+T5k8WTY4&#10;UbzohJKd+O8SiCHLgvo7YyMkuLGmKLzPWb5sWYno3FkmTJgg27dvVwH3JfJvQwwEUgsYBXv37tP0&#10;wHhnUGEEtGrZStMCREMoakTYuW6vE1XRmoB69bXbYe6cObphkImBP7vrSjumdQYYDIaiABP/PAbi&#10;gAB/+fSpDpZZt2aNevuxMX10AA3jaREkX8Lji7yWSnVC3LSsdY/qKkkDBqrgLVm0SL38Y0eP6jS7&#10;Z18+e+fFarQkzpg2Tdv0CJdnDbMTjahbu7Z2D8ybO0+uX7/hU8Dfhog/9QTUD9BZQJ3A1m3b1AiY&#10;MWOGpKakSu9e0dKhXXuNBtSqUVNTAlmv6avotQgG1q+vEYWhgwfr2GAiKWwTpA7CYDAYCjtM/PMI&#10;umnPCT854sePHqnwM12up/Mg8SRpMyvmvHa8UV+ik5V4quSjvel1tL8RWh/uhG3J4sVy5NBhzd9T&#10;oKcDa5wgkcfPj9z0zRs3tYCQdAVGSdbCRD43FfVVnYGTnpauBYC+BPxt6KUGHjx8pGkF6gOIBFB0&#10;SAHhvv0HZOXKVdo9QBthe3fdMJy8KAApgT+/ophSr/2f/qTnkTE5sLxEduqsKRW2CT55/FivM2kA&#10;2x5oMBgKK0z88wh43M++/FIuOQHavGmTTJ44UaJ79JAGderqZDuE3JfYZKUn+lk32dGaR1vezOnT&#10;ZeuWLXL2zFmdAEge+n0srrl+7bok9R+gXj6f1dd58PlTklPk8uUrPgX8XRGD4IozOI4dPyFbt23X&#10;NsJxTrQprGR4EcWQNatV12mEufk+IAYD8xDYKDgidbisXrVKTp08qW2PtDyS3jHxNxgMhQ0m/nkE&#10;PPCTJ07KooWLdBJeYyc0tO6Rn89t3pnXUQ/Axjo29Y0ZNVrWrV2nUQR67sm38z54+YiO53nmJ65d&#10;vaqTB/Gkczqn9yX+RARICRAJwAg4e+68pgXodpg/b75+pi6RXaRhQGCuUwGcIxEbNgoyLjjSGQHs&#10;DNi3d692TlDTYZ0ABoOhsMHE/w2A4PLAJ/SLB06Y/+Tx4zJ39hyJ7xOrVePkjn2JSXbiPRNeJi2A&#10;6Lds2kyNh5kzZsrunbvkthMyPExCzQXBw7zqxL9ffHyOXj98X+Lvi6QGMASOO8Ns9eo1Mn78BIl1&#10;31HTsHDdBliuVGkVdwwvX+eSlbyO76lNi5aaBsAAwBhi2iHfkXUEGAyGwgIT/zcAIsyDnvw+D/81&#10;q1bJcCd25IZp32PZzavEMSsZ4cvEua7OI00fkSYrV6yQvXv2yoXz53UdLYN08PJ5PxP/1yepAOoC&#10;qAk4dfqM7Nm7T2sCaBXsn9BfNyR6LYKvqgWAGAgYAMwWaNG0qc5SWDh/vrZUMiSJiIzBYDAUBpj4&#10;vwY8b59c+3fffqd79snv02Mf3LChFsH9UYifv/PC+7SV4e3T9z91ylTnSe7T3fNUlHttZQWtqKyw&#10;iT/MXiRIISLpAAYTDRs2TNq2aSP1ndHGNkIiNn80J8AzApgNENMrWpYsWqwdF6RlMAgLiqFmMBgM&#10;OcHE/zWAB04bH1X2rIedP2eO9tmHhYRI+TJl5PNPXt2/j/Aj+rSShQYFS+9evWTs6NE6Vx/xYMyu&#10;V0RWUPPIhVH8sxJDgN0DagAcOSpr1qyRKVOmyKCkQRIZEamTAynQ9HVeHvkeOX/SNSwKImrjdQPQ&#10;DfH9d9+b+BsMhgINE//XAN44RV4XLlxwnvoUaR4erstzqHz/8/9z3v7/9S0WHmmLY41ugPMy+/Xt&#10;K+vXrVMx/er5Vy9n5hc0Tz87ioL4e5EAogDMC6AwkLn+bBtkRgCtlb7OKzu9KA5tgS3Cm8rokaN0&#10;E+IDd1wTf4PBUJBh4v8H4CFOsR1V3cx7371rl0yZNEm6RUXpkJtXtbx5RBwQFAoBe3bvISPT0mWt&#10;8zgvXbqkS3S8gr4XL17IjevXdfHOju3bZduWrbpK9+TJk3Lz5k01PJg09z4LywqL+Hu5/itXr2mu&#10;f//+A7J58xZZsWKldlDs2bNXTp46pcWAGAC8Zteu3TJr5izpG99XWjRrLnVq1no5LfBVqRxICoD9&#10;AMxiWLN6jdZs0PqJQWcwGAwFDSb+rwDCjyeOOBPqZ+c+ws08fYq+COHnZvseueRWzVvIsCFDZJUT&#10;HzbqcTzm5DMfADHnPZj/v3rVan2PrpGR0rljRxVaFvSsW7tWzp09K48fP9YowftCYRF/QvsI/9Fj&#10;x2Xd+g0yY/oMDe3T6ke1/8QJE2XtunVy4uQpbQ/0dgnwerYKUoPRwxlqdWrV0rkAHzoP39e5esRA&#10;oHOgcaNGEtenjzMiZsqpEydeLlGySIDBYChIMPHPATys8doQZaruD7kLNdMJCJP2yAn/0aQ+jAJe&#10;RyV5m5atdECMhvmvXPEp3rQM0jqWPnyEepBEChCTBnXr6h7+YUOH6rKZk05Q6PV/X7jmBHVgv4SM&#10;wjgfhg/FcvTEc77vYsJfbnnZXWe8ewb9jEwfqUWVtPdVq1JVGgcFqwEwbdo0nQiYdQGRZzSwN2Dy&#10;5CnSs0cPCW8SJlUqVdIc/x9FefjOGwUESC/3e4sXLtJukK9fvNCUkcFgMBQUmPjnADx+qu6p4Kb1&#10;jjY8Fukg5kyHe5XHj0AgjkGBgVoQyJhfwvd3bt/WnnBfYXta+lj+07Nbd2nUIOBluJmOgGqVK0t4&#10;aKhE9+gpy5Ys1ajB+8LNGzdk6OAhaphkD4dz3iweYp7+6FGjVUSzCnJ+kmr+qVOnSp/eMdKyeQup&#10;4z4TRgmtlTWqVZd2zsBKdQbKtm3b1fP3fs9bKcyo4D3OGFu2fLmG8iNo46xXX4c2Zf2us5N7g7oO&#10;JjvGxfSRee67P3bsmH6/BoPBUFBg4p8NiL7Xzvfk8RM5c+aMzJg+XZqFhanYvcrzwyAgIoBg13Ae&#10;Zkx0tOb2r1+7put0XwXy/ezebxLcWFsGs0YWEFhvk1/qsGS5cvnye2spu+uEcfyYsTqbgM9JPQMh&#10;ca/9rVKFihIW2kSmOK/52rXrvxHkd01vHTBivnHjJvXuWTRUyn0fWb+n0iVK6pQ//n6NM7juuHPy&#10;dSwiAswH2OCONWb0GOkSEanjgUn3cL5Zj5mdGAG0cbLbgVkAt27detnJYTAYDO8bJv7ZgKDqVj7n&#10;8e/auVNH7DLXnWlwPPBz8vgxChBoigAjOnZ0vzdKNqxbJ5edB/niq6/0wf8qfPX8uW7Lq+XEheNk&#10;fx/Po2SrH3UDGAAYFPndEsgcgi2bNut64vZt2up1Ke+MgIrlyku9unWlY4eOMsz93VonqozZzS6q&#10;75I62//qNTl+/ITMnDlL2rZuI+VKl5ZPndGW9VpixBEFaNOqtSxetFg9/ezHoiPAKxo8ceKkbNmy&#10;VaZPmy4J/RK0GLBS+QqvLAL84H/+R4c9BTZoIPGxse59FmnKhqJNy/8bDIb3DRP/TPBARkjxqJ8+&#10;eSJnncc/cfx4CXWeOKL7ifNwfT3kIW1+eINUfDOel24AivcQfboE/vmPf/zhHnhEYdKECVK+TNkc&#10;vUo+A59n2JChsmH9BvXCPe8/vwSFVAh57B3btkvaiBEaUg9uFCQhjRtL506dZOTIkTpGl8K5rOH0&#10;d03EGk+dMb7r1q2Xoe4a0VJJVCK7SDPJj2sZFNhQZs+arcV+OR3TGwxER8CRI0dl1arVuja4SeMQ&#10;NSJeNRDIS//oIKcePWXO7Nl6X3gDnMwIMBgM7wsm/pn4fTvfZOnSOeJlCD4nj5+wN94lYfBe3Xvo&#10;7n4K92jhe52HPK9nPz87+6tUqKjHzf5eiEk1Z2C0cx7tuDFj1JNEjAkl55eQ0J2AUUPuf8uWLTJp&#10;4kQtqEtPT5cpU6Y64V2nwk+xHyF4X6Ka1/T69ok04KGPGjlKOnXspN559msIyfuz5rdrlyid8ufL&#10;889Ojn81s3tg+fIVkpSYJM34ripWemX9B39HtwBFgLExMbqS+fy5cxpZ8lX7YTAYDPkBE/9M0JLF&#10;A5kee7a2hQYHS+UKFVSEXxXezcgfB+i0PsT74oWLehxE8nW8O9r+du/aLSnDkrUtkONmfy8+B3MF&#10;2BbYo1t32bJ5s0YMSCnkl/hzThg1pEZoO6T1jyE5J0+d1l75S5evqAjjLSOYvoQ0r4n4Y2jw3vPm&#10;zZdOHTqquBf3UZzHNSRV0SUyUsaPH6+9/bmJUHiRBc7t5MlTmtYgJcSq4D9aD4zxSCqHSAR1ILNn&#10;ztRNjdwjBoPB8D7g1+JPmB+vGeGnnY+LMWvGTOnUvoO2db2qqItwLv3shH+Z1kdFP8WBiOKbbODL&#10;6PO/pAWC/fv109w/opHd8MD7xyAhQrBg/gK54TxwOgjyO/fP+f0NI+Dnn+Wbb7+VL5898yma+UGE&#10;n7A8e/wpzAuo30C9+4+yFE1Cwv1cu5CgYElNTZX169c7g+X0a0cobmEAOGOHosIhg4foSGCiDMWc&#10;YcY9k5OxSAcHEQAMxRXLl2va5vvMxU0Gg8GQn/B78Sds/swJ1759+2RkWpr25FNV/6p2Pn6O9x0W&#10;GipDBg2SjRs2aB78q6++Uq/4TarwMRjw4inkmzZ1qoQ5owIDJGvVP0RYeH/aCMeNGStHDh3WVIU/&#10;iz+e+9mz57Rtb3DSIKlauYpPw4k8PwOXOjrjjggBA37oSCCv7+u4ORFj4fqNm3LKGQBsCEwbkSYR&#10;nSOkdo2aanRk/85evr+7p8qULCkNGwS4z5kkG9at1ymP3IMGg8GQn/BL8Ue4EEsElxD92bNnNRRL&#10;uJ12tZwe3ojJxx98ICWLF9e++4H9++tSnvv37+vxOO7rir4Hfp8w8E8//iibnUfZvWs3NUJy6iuv&#10;X6eujHDeKzv/8SD9WfwZzIOQr1+/QUfzUmXv65oRqWF7HxX7GAr8HkJOSN/XcXMir4cYHadPn5Ht&#10;23fIWGeItW/XXlsBMQB8vb9HvtMWTZtJytBh+l0/efLEigANBkO+wi/FH6Ek1EqI/tTJk074Z2ko&#10;tm7NWq8M237y4YdSpWJFJ/xNdOLepo0b5bLz1PNi4h4PfSIGGADUHUwaP0EiM1sMfX2WoIBAmTp5&#10;spw9c1YNGH8Wf3Lx5Pv37tsvgwcN1ja+7NeLaAnpgJjeMdoGSOEewv82dQlEDJgDcMZ9B3QYjB07&#10;TrpGdVUDIPv7ZyXGJS2hpG5YBnT08BGdKUHBqYm/wWDID/il+ONhkeenZ33t6jXStUsXnQCXk5ft&#10;kTB8k8aNpX/ffjqqlzA/0YO8El4e/BzrnvNIdzhvcuSINM1PI1wQo8RjeEioLF2yREP+jAb2Z/FH&#10;wPHiCf3TeUC3RNZrxbVDcAn3s7iHsb/MA/A8eF/HzA35Xd4bI+D8+Quy2x130sRJOg6Y9/R1D3mk&#10;doMoEzMkGAOMEffiqxf6PZoBYDAY3jX8UvwRflrV2Jw3PCVFggMbakg4p6ptogFU2derVVtD/WtW&#10;r5aLFy/qcfIaPPgp4GMq4KaNmzQ03LZlKy0spF8cI4VoQPeuXWX7tm066IfZBPktGAVJ/BFhBJj2&#10;wrlz5upwn8AGAcqgho2kWVi4dGjXXosBCdFjJNzOobf/TXnz5i05d+68ph4oAmzqDACWP71qIZBG&#10;I9x3yhjgBfPm6+Imb9mTGQAGg+Fdwq/EnwcqZM46wpk8bJi0btFS59S/KtzPAB+8SSbasVznUaa3&#10;TQQhr8HnI5rA6t57d+/qlEHSEmmpwyW+T6x06xKlnyM1OVmOHz/+2i2FeQXer6CIP8QAYFgPFfhs&#10;FOwX31c5KDFJ8/F0RuzcuUsuXrqs43xft8jvj8jxiD5QA0AbILsNqCHh3vF1T3mkA4DOjphe0RpN&#10;ousEA+Bd3FsGg8HgwW/EH7H6+9/+rsJPRT35cir7a1StmqPHT2iWh3et6tW1/Y+RvcePHVdxzg9Q&#10;k3Dnzh05fvSY7vZfsniJtiIyeZBCw9u3b783kSho4g8pwDvirhVDeOY7TxouXbpMB/8wnQ/hpz7A&#10;1+/mBTFAdA5AZhsghkejwIY6tTGnIlKvdTOkUZDOl9ize7fcdUaftf8ZDIZ3Cb8Sf0LkFy5ckNWr&#10;Vkls7xgdx+trjr5HQv14/JGdOms3wAkn/FRm/zufJrNhZPz4w4/aiohHSKriypUrctGdA8L/o/MQ&#10;8zvX76Egij/eNzv5EV96/iFdAOTjaeljkt+7HDyE+HszBxh4hOHBmGEd2pRtuZBHok0YALSOMrlx&#10;ZFq6HD502AYAGQyGdwq/EH8EEk+Kljx68llKExYS6nOErkceyAh/09AmWnhHVwCDePKywO+PgMDm&#10;hu8DvG9BE3/ENzf09bt5Re89iEIcc8bimjVrJXFgotStVTtjF0AOhiYRpsrlK6gBsHzJUi0mpZbD&#10;wv8Gg+FdwC/Enx5qcvQIOCNZWzZrrq1WCLyvBzE/x+tv5V7HHn/G6N67d0+F3+axZ6Agin9BoleA&#10;SEvhnNlzpGePnjrch8JSX/ccNSdEoZjfMHTwENm+bbvcuH79D7dBGgwGw5vAL8Tfm0O/yXn9FMzx&#10;AMYL8/UQxjPzvDDG7O7csUPz7hgP79PTLmgw8X818f4xAEg17N69R6ZMniI9u/fQKYDcY76KS/kZ&#10;6QFqUdKGj9B7zxvdbPedwWDIS/iF+FNAtcM9SNPT0nQlLgV+OXn9n3/yqQTWqy89unaT+fPmydUr&#10;V7RI0HKwv4WJf+5IDcCZs+dk8+YtMmbMWGnXpq0OISKy5Ov+IxXFUiI6OmbOmCE3b9x8uS/CYDAY&#10;8gpFXvwRqaNHjkj6iBHa1semvpxa+iC7+1nNu3jBQjlx4oR86zwvHryWe/0tTPxzRwoM6QC4cPGS&#10;rFu/QfP/jZ0BWrFceZ/5f+5NolIYCMyUoPiPCY4W/jcYDHmJIiv+5OZ//uln+er5V7Jy+XLp0rmz&#10;tvXlNMUPjwvhJzIwfuw4rQ949OiRefw5wMQ/d/TC/14b4qxZs6VPn1jN/5Pn93UvQloD8f7nuNcf&#10;P3ZMCwANBoMhr1Bkxf9vv/4qD+4/kGPugTsqfaSuUiXUmtMDt2yp0jpFr3+/BJ3Zj7f1ixM2K/Dz&#10;DRP/3BHx90YAs3+AEcAYAEwc/KNuE3ZNdI3sInPd6yn+MxgMhrxCkRN/RIkCKfrjWZAzb85czd8z&#10;aMXXQxYSfqUQKzamjyycv0AunL9gQ1b+ACb+r08mALJTgALA/gn9pVK58vLZx5/In3MI/5csVlxq&#10;VKmquyQOHzqk46S5L7n2BoPB8DYocuJPbp4c/dOnT2XlihXSPaqrhlhzKrAivEoqgEEs06dNk5Mn&#10;TspT96C2HP+rYeL/+vSq/0+dOq2bBbt36y6B9Rvogh9f9yaRAcb/dmzXXpYuXiI3btyQb77+xqJR&#10;BoPhrVHkxB/P6GcnSNech8W4VFr2ijnh91Xdj3eF8FetWElie/eW3bt2aWU/w1Xe1+S8wgIT/9en&#10;lwJgAuCuXbtl5oyZ0i0zKpVTESo/b+gMhOEpqbJj23ad7Ihxa96/wWB4GxQ58f/px5/klnu4bt28&#10;ReJiYlTccxzm86c/66a+Hl27ypxZs+TSxUta4Geh1T+Gif+bk+I/2v+279gpqSkpun2wRLHiOc7/&#10;x4Dt0Kat7v4n/I9xi/dvBqrBYHhTFBnxR4zgsy+fyb69e2Xi+Ak6LCWnByqkpYqK6nlz5mh9wPPn&#10;z/WB6g1V+SP6Mzj/7OKPZ5tb+hLFokJf55uVhP81/88K4rnzpEP79lKtShUpnkMnCvdpxbLlpG2r&#10;Vtq58uLFi5fbHA0Gg+FNUCTEHyHiQYg3dOvWLd2NTq9+g7r1XtlLTcFVQt++st8ZC48fPZJffvlF&#10;j0NhFWtVaa+i3Y+lOvDpkyf6c6/v358NAF/iz0AbetovXboshw8fkW3btsvmLVuVFLmdPHlKF++w&#10;UvddLth5n0TcOTeuxfXrN+TChYu65/+s8/TPX7ig58/qYbYLQob/JA9LllYtW0rFcuV+d69C7mEG&#10;U7EfYPyYsXL+/Hk1VG3wj8FgeFMUGfEnVE+u/vTp07q4J6Befe3b9/Uwpd2vQpmyEhIUJOPHjpXr&#10;165pKJWHKfzKPVivX7+ubYKs0mUZENyza7dOXOO17Avw57CrL/GnmO3MmbOyY8dOmTp1msTGxulM&#10;ezhk8BBZtGixu+EO6WpdxNGXeBZ2IvyIOnl95vpj+Kxbv15WrVotmzZt1vPHGLju7iOuwfETJ2X1&#10;6tUyeNBgqe+MVV/3K8QAwFiN7xMrq1eu0s2ONvjHYDC8KYqE+CPCeO3Pnz2XbVu3am90ic+L5Rjy&#10;x+tvFBAoMdHRsmrFCnnhPHyMBzx+vP0zp8/IBvfAZo0vM9aHDRmqHOe8ri3uAX71ylV58vixfP/9&#10;9/o7/lh9nVX8v/7mG3n65TPtY9+6dZvOsaeSvWb1GlKxfAVlSHBj3W+/ZMlSOXTosOa9fYlnYaUX&#10;ysezP3vunBxwIr98+QoZP268pKWlS0pKiowZPUbmzZ3r7q0NctQZlteu31BDiIjI3DlzdQIllf85&#10;zaKg9Y+ulBEpqbLLGVhEoQwGg+FNUCTEH/Flz/6xo0dl6pQp0iwsXD758KMcK6hLlyihS1aWOE/0&#10;zJkzOjudxT13ned6cP8BmTp5svv77loP0LRJmA7/gTyc45znNWb0aGc0rNQ6gftOxBgG5G/IKv5f&#10;vfhaPd4jh4/IWCdwbVu3kXq160jJ4l9opwWsUrGStGjaTPvb8YJJD/gS0cLKG86TP50Z9Zg3b76M&#10;GDFCejvjknuG+zEsNFSau/Onba9P7xiZPm26DvxB+Bn9u2HDRukX31caELEqVdrnvfupM1prVauu&#10;A4IWLViouX+DwWB4ExRq8UeAIKH6K87rpBe6b2ycCo+vXD/k51UrVXIiNVouX74sX3/9dUao33n8&#10;3lCgiI6ddC4AeVa8MI9s+2PmOot/Yt0DnNcechcQw4M0wL+dEcLn8QdkFf/n7toR6t66Zat07RKl&#10;g2u0wwIByyQ96+VKl5FQZ0RNnTJVvV5fIlqY6BXvce6nT5/RGofp02dIn5gYaRwcrAbPZx9/rBGo&#10;jxz5k3uK4r2Y6N6ydMlSjRCQAiAaMmHCRInoHKEDp3x1qHDvcg9Wr1xFV1NTj0LtiVegajAYDLlF&#10;oRd/vH489wPusycPHaqeOvl8X54TD+JK5StIG+eN4fUj2uRNOQb9/WzwW7N6tXSJiPSZMuDhS8qg&#10;nPPMghs20vXA6cNHyLKlS3V5EKkAf6nA9sT/R3ftn375pRa3rVm9Rj1bX8L1sRO90iVKSpC7bpMn&#10;TS4S4o/o07KHt0/VPqkh7p3goCB3n5WX4p995tMIZW1vbJ9YWbduvZxwnv/t23f0OEREUpJTJCy0&#10;SY6hf37OSmqm/hFpeZa59MfE32AwvA4Ktfjj8eBxs/N87Zo1ui4VYUagfT04y5QsKWEhIZI4YKDs&#10;2rlLQ/1e1T41A0wFxIjAK8ND83UMHuY8gMnN8hBuULeudGzfXkanp2vkwF8qsLOK/6NHj+X8+Quy&#10;ePESaduqtd+IP6mLrc7bHz9+gtY41KtTV8+Re+PjDz7Icb4EYX22++3du08uXryk9Q9cDzokFi1c&#10;JJ07dMxx7j9GLVGpLp0jZNmSpXL2zFndPGnibzAYXgeFWvzx2L/99lu54R6cM6dP1yI+RNuXtwVr&#10;VK2m+dZFCxfKhfPnf7OxD9HGGODng5MGqbDj/edUN+CRIULVq1SRblFRsmXz5pe714t6J0BW8b97&#10;754cc4YPC2taNmsuH/gQPVIBVStVlpYtWupkO0LdvgS1MJD6Bnj58hVZMH+B++67SkD9BvLF58V+&#10;d95ZiTFALz9GwqiRo9TrpyvAKxakRXL79h0yIKG/VKuc0ffv61pyX7J9coi7T9evWycPHzyQ//Xj&#10;zhODwfD6KNTij9d/zz009+3ZK6nDkqVW9Roq/L4Em58FBTaUyRMnyZnTp9XLp8LfAxEAjnf3zh3N&#10;p9apUVPnqufkvXkkCoAnRkRhyaJFGdsAf/nFb8T/B2cw3bx1S73YiRMmatrFl/HFBDsm2fXq2Usr&#10;/hE9X8JaGOj18dPWONKJeJ1atfVeySlU75HCRwzQdm3byezZc+TylauaOvCOx/wDWv/I/bdp3Ubv&#10;Z4r8sh+He7JKhYoSHtpExo0eI1cuXy7y95vBYMhbFGrxp80OIWeoT3SPnlpIlf1B6T0sKZRq5x6o&#10;eEpUSeck0AxPWb50mebzQxoFaW81HpivGoCsrFOzlkyZNEnnA5CGKOrtf1nF/8rVqzqsJm1EmoQE&#10;BfsUf0LdRAXo9yfXzaAbX8JaGIhQE/I/eOiwDOg/IMfFPBic3r1X6osSeo/QQTLYXYP16zfoXITs&#10;x2bq34oVKyUpMUmahoX7jCZwXI5Jiou+f7pcMFyL+j1nMBjyDoVa/AnTb9u6TQYNGChNnRdEH3T2&#10;ByUs9cUX6sn3i4/XnD4FUoTmfeVJMQouX7okmzdulAnjxkvPbt01xIphgQGQU0qhepWqMjwlRWev&#10;379//zcphaKIrOLPFDtPsNig6CvyUtEZURTD4dVSIEeYO7vwFRYi2mfPndehPdSHkNLIfr7a4eC8&#10;dkSfMH975+3T5ki9w9q16+T48RM+Bx1hVOzZs1f7/kknlHnFoCpqW8j9M9sCg9YK/wwGQ25RKMWf&#10;BxxeO/l+9u/TS00YNKciKfKnbVu3dmI+zgnVBf3dnB6S/B2GwU9O1E6ePCnz587TymoMADwtLwrA&#10;wxfy39QZ0J5FrQBDgJgYyLTBooys4n/6zBmZN2+exMb00TZLX+JfrVJl6eP+fsGChdreVpiH/Ny8&#10;eUuOHDmqQ3x69+ylRX7ce9wHHhH+8qXLSB13PSKdQI8eNVpWrlylLX3XGHHsjB/C/dmPTRqA4knG&#10;ITP1j/va1/X02LJZM1m8aNHLiJOJv8FgyA0KpfgT3kRcHz18qAt8AurW04l+OeVcgwIDZWD//rJq&#10;5Uq5c+dO5lFeDd6DVsCTzkNbu3qNRgH6xsVpNTsV/nVq1pSa1arpPvbm4U21kHDu7Dna8sceAMKw&#10;RRme+H//ww9y9NgxzfdHdOos1atW8ylW/BzPFwFkut29Qiz+pCxozdu2fYdW+kdFdpFWzgBtEhIq&#10;jYOClWHuv6O6RGk0ZNrUaTrEB4OBKYhenp85AdmPTfEf9RCnTp+Rce6eaxTY8JUb/xoFBMiI4cNl&#10;x/btcvfuXcv9GwyGXKFQij+eOaN1r129KinDhmlIPqdwPGQk6gz3AD5y+LD2RecGPEQR8J9/+kmL&#10;+HivPbt3O5GboNP/Ijp10vxtn+jeump12dJlchiP1hkXeGBZiwmLIrKK/4EDByUlJVUn2DFHwZf4&#10;16xWXSMjiCBT7RDA7MJXWEjU4srVa3Ly1Gkd7LNwwUI1foYNHaZtpJD/nj9vfsZCI/c6Xk+6IKvw&#10;+xJ/r/iPbggmBVIcyMa/nOoKSDcxznralCly9swZE3+DwZArFDrxR3TIy9+7d0/279sn8bGxWmnt&#10;68FIsRV5UTb8bXKic+f27deeh877YQRQX0Auf++ePbJw/nyZNXOmjhIm5LrTeYAUHiL8TAwk91rU&#10;h/144v+dM8J27NihkY/aNWvpSF9f3wXFbqmpw2Xnrt262MZXvruwEO8cIWeOPyN9WdbDTgPqHhYv&#10;WqwkJbBv/wGt6Oe1/I6vY+VE2icpCkxMTNQOinKlS/u8rtQEBDdq5AyOAfrvwV+GTBkMhrdDoRT/&#10;b7/5Vk6fOiWLFy7Sgid67bM/FIkE4C2Rpx8yaLB6RQj464bjeT8eqEQb2OZHFOC2MyJu3LihuX0M&#10;iifOg0P0f/rxJy30w+vn94oyPPH/9rvvZN26ddKmVWutTM8pPF2/Tl1dbHP4yFEVxNcVw4JEzzsn&#10;AkCBHkYAw3owBAjXQ8b94u2T2+e1vrz8V5Hf2e+MB1oCY3r31siJr+tK1T+rgDt16CCbN24y8TcY&#10;DLlCoRR/evRZtZvmPEny7TwAsz8Uyf9TcNXAic6k8RPkvvOk+N03EWXv9zwSWs3K7H8Pizo4byIc&#10;z54/l6VLlkjjRkG/+w6ykhXLVLpTJU9O21exW2GiF7bPLX0d41V88DBjjsCWrdskNSVVr5+v60p0&#10;i2JD2lLZbUFUzB+GTBkMhrdDoRR/tu+xVAevv16t2lpdnf2hSLi/fu06WoTG8J2nT55kHsGQF8DD&#10;xOu/deuWzJo5S1v8sn8HWdkwIFBfxxhb8t5vIoj+RIwjIgdHjx1Xoyk4B+OK+goMAIxctlHeu3tX&#10;u2CKes2JwWB4OxQq8Uf48WjY4MdCHcS9bMlS+vDL/lCkJY8CNJat0AfN1j5D3gFxIQVy5uxZmTB+&#10;vIpP9u8AIk6kYBj+w9z6wpzrz09iHFErgAFAeyQDf7SoNYe2P0ZMM2fi+LFjOu63qM+ZMBgMb4dC&#10;Jf6EMwk1s0AnoW9fzecT8vdVXc7mtO5RXWXJ4iVy+tTp1y70M7waiD8FkAcOHJC0ESOkbs1av/sO&#10;IPUY9PgzsGbNmrUm/rkk4k+EBAOA69atazepWL6Cjgj2dZ2ZRBkX00dWr1yl+yn+8ssvmd+UwWAw&#10;/B6FSvwZ50th3a6dO7W9ibx+Ti1+rPUdnJSko0/pu+d3DXkHCicpetyyZYsMHjRIauVQkEbrn0Zg&#10;hg7TpTWFudAvP4n4E/rneu3cuUsH/oQwadKJvK97nkVUrFMeN2asTrGkuNVgMBhyQqESf3buk2Ne&#10;uXyFtGvd+ncPQOiFmZnqN2bUKB3qw+8RNTDkHQgrX7p0SVatWiX9+vaT6u56+/ouWE4T1aWL9sFT&#10;vW7i//pkKuCkiZOkizN4aaf80McwK4ZcNXHGQb+4eNm8aZPm/Q0GgyEnFCrx//LpUw35T586TZqF&#10;hf/uAQgRHNrNCEPPmD5dhR8v1Vqg8haI/9mzZ2XhwoU6375qpUo+vwta/OLj4mTu3Hna5lfYq/zf&#10;BxmKxCbEpKRBOj3wIx/tlBS41naGFoOn2PP/9YsXmd+UwWAw/B6FSvxZ37t96zZt8Qtu2Oh3D0CI&#10;8LPgh1n8VPm/bl+/IXf49a+/ynFniE2dOlU9e8LR2b8LxD+oYUMZOmSIrFi5UkXMxP/1yeIkhghN&#10;GD9BWjRr7rO7hfueGphGDQJk1oyZup3SYDAYckKhEn+G6qxYvlz690vIsbqc3fq1qleXLhERur7X&#10;wv3vBtRQ7Nu7T4YPHy6tW7bSrovs3wXi36RxiIwaNUo2b96sPf4m/q9PhgixDGne3Hm6HdDXAiuu&#10;NcWv1FhMHDdeo2QGg8GQEwqV+F84f0FmOq+GKv6cCszYsIbgsMhn586dJv7vCHRdbN2yVeLj4jUK&#10;42usL4JEixp96qypZQreIxP/1yZbBJkeuHrVat0QyMbA7Nfau94Yv2nDR2iRK8upbNiPwWDwhUIl&#10;/uT705yn2YIFMj7CzJBRp1Q9jx87Vo4eOWrDTt4RfvrpJ1m+bJl6/ZUrVvIpSIgRYeqZM2dp0dqV&#10;K1dtuM8bkDHCrAGmW6JHt+7ymY+Jlh7J/Q8aOFDOnT37st7FYDAYsqNQif/+vfskvk+s1K1VO8dl&#10;Pmw5Y688+X76nfF+DHkP5ibMmDZNZ87TconQZ/8u+BnGwfz5C+TEiZM63c/E//X58OEj7ZI47Awo&#10;Fij5GmftkZRAn969ZeeOHTrtj30UBoPBkB2FSvx3bNsukZ0668z+nB6AdWrUlKGDBsuWTZvlhhOb&#10;f//LqvzzEhhT5PsfP34sY0eP0XXKvr4H+Of/9z/SoV17WbVqtVy8dFlu375j4v8WpGCSiZW0T9La&#10;52uyJcWA3bp0kZXLl2uaDO/fYDAYsqNQif+mDRt0kQ/eja8HH2xQt5729x8+dEgePXxoLX55DMLI&#10;DFqixz8lOVkNMV/fA2TeAsYalepvut3O+F9SMDll8hTd8Y8B8ImPwj+q/ju4v585fYYcPXJEXnxl&#10;LX8Gg+H3KPDiT8ESeXv6yleuWCHBDRv+7oGXlbSW8eC7euWK9jpbwVPeAq//oTOqMK4G9h/gs8of&#10;IkKs+O3dK1r27t2XIfom/G9FoieLFy2W+Pi+Ou3PV/SL696yWXNnAI+WXTt26v4Fg8FgyI4CL/54&#10;7hSXPXv2TDf5BdZv8LsHXlaGhYSqkfDV8+dake4P63XzE+SQr165qrvjY3vH6A6F7N8BHn/ZUqV1&#10;wM+QwUO02M+XmBlfj1euXpXVq9dIcnKytGjeXIp/9vs5/9RfhLt/A8lDhsrGDRs1PWMwGAzZUeDF&#10;n1Y9NvJdv35dR5zWq13ndw88j1pg1ryFFjtZlf+7wffffS+nT56SRQsWSrfILlKiWPHffQ94nzWr&#10;15B2bdrqYJoT7vW+xMz4erx+nV0KW/Wadmzf3ue1Jx1G62W/+L6yyhnBD+4/yPzmDAaD4b8oFOKP&#10;10+OecLYcbq/P/sDD1IHQAdA14hIHT5j4v9u8M3XX8v+fftkkhMgBs4Q2s/+XVB0RoSmV89eMnvW&#10;bO1R9yVmxtfj9Rs3ZdeuXTJj+gwdYsUky+zXHvGnG4bFV3Nnz5Hbt29nfnMGg8HwXxR48afAjNDl&#10;mdOnZfTIUVrNn/2Bh8dP9XONKlW1FfDIocPW4veOwNjYLZs368jepk3CpNgnn/7u+6DXnPRLUmKS&#10;LF26TM6dv+BTzIyvR4b9sByJ/f7du3WXUjmkXFih3LJZM5k4YYLcuH4985szGAyG/6LAi/+vf/2r&#10;e+g5j2fnThkyaJD28Wd/4CH+rDRl5G/igAFy/NgxE/93hCePn+hWRfrNGwUEqtBn/z4+dwZBqxYt&#10;ZZQz1tav3yCXLl32KWbG1yO7/Y8eOy4rV67S6889n/3aI/60X4YGBTtjeaQWvhoMBkN2FHjx/8sv&#10;v+i0siWLFktMdLRULl/B5wNPl5oEBMjQwYN1EqCJ/7sBlf7z5szRnHPtGjV8Lpkp9uln2t8/bcpU&#10;2bFjp1y9es2nmBlfj7RLkkLZsnmLJPTtl+M+Bf4tNGzQQKdhXrl8OfObMxgMhv+iwIs/1eUnnLcz&#10;Y9p0zWP6GiqD+FcqX16aNmki6SNGaIrg3yb+eQq6LjCoiMJMGDdOQoKCdMQy1eXZv4/in30uURGR&#10;snDBQtl/4KDmqn2JmfH1eO/+A93wt2vXbkkcmCjlfMxYQPypfWH3BcOuLl64kPkNGgwGw39RJMSf&#10;IqcaVatJRMdOMnXyFLl08aIN98ljUHhJy+WZ02dkcNIgqVKhonzhRB7DK/v3QRFgz+49ZM2atXL8&#10;+Am5eeu2TzEzvh5zI/6Q4lcWXPWNjZWzZ85kfoMGg8HwXxQN8XfeZ/3adaRPdG9ZOH+BXL923cQ/&#10;D8CMBM/j//bbb+Xu3buyaeNG6RYVpQNmcpqySPFldM9emu9nJO2t23d8ipnx9Yj4sxmRoUkUU75q&#10;uiIRmR5du7nrfzLz2zQYDIb/okiIPw+6gHr1pV9cvCxbulRD0yb+bw+uIYOSEH5SKYsWLtRcM4V+&#10;GFyEmLN/F5Ccf+eOnWTWzFnqpbKRzpeYGV+PjEem4p9oSmpKqs9/Cx4xzFh9beJvMBh8ociIP4KU&#10;2H+ArF65Sm7dumXinwfgGnoe/9IlS6VT+w5SvkwZn+19WcnKWdoAWUJDZTqhal9iZnw9Pnz0WMlq&#10;ZMb35rTWGpr4GwyGV6HAiz95Zj7XyPR0ad+mjc8K54/+/IEEBTaUpIGJsmb1arlz+/ZvxB8D4tmX&#10;z+TB/fs69OTmjZu54t07d+Sh87ZYZPPrr79mHs1/wD6Fy5cuycoVK2VgQn8dsISh5SvPn5W8hsUz&#10;bVu30XY/vP8rV69ptbq/LPbhXOnJZ87BgvkL3oqbNm2W81kMKFYjjx0z1mfni0cTf4PB8CoUePH/&#10;/vvvZfvWrTIgIUEHx/ja4/9H4v/0yRM5eeKk7Ny+Q9avWyernJjlhuS39+7eI5cvXlIP2N/wszO8&#10;GOjTu1cvjawwxz+nUH9W8hqiA+XLlNVoDVX/R44clavXrvuN+OOdT5k0WZfsBDVs9Fbs3y9BWya9&#10;Y5v4GwyGt0XBF//vvpMN69dLrx49pGFAgM9xsr7E/5//+Kf88ssvutnv2NGjMn/uXBmVli5DBg1W&#10;LzY3TBmWrDvr16xaLVcuX5Eff/xRveGiviwIw4nzfPr0qcyZNVsa1m+gRXzM7M9+7V9FjIAmjUNk&#10;1KjRsnnzFjlz9pyGrbOKZFElqY7BiUk+p/C9Lls2b6GdE96xTfwNBsPbosCL/3dO/NetXes8yEhp&#10;ULeutpdlf9D5En8K1e7dvSuHDx7S9j/6zkODG+vrmDufG7IgJTy0iRa5UUtACJwlQ0W9noCRyi/c&#10;eV44f15GpafruFiE/4/C/dmJ+HMd+ztDauHCRTqdzsT/9WnibzAY8hoFX/y//dZ53qskomNHqVur&#10;lhT/1McaUx/i/8MPP2iof8G8+dKjW3epUKbs734vN0TA8HxHpKTKjm3b5c6dO0V+eiA7++/fuyf7&#10;9u6VpAEDtWfc17X5I3LtyP137RIlEydOkn37D8iDh49+I5JFiaQ07t9/oHMNDh8+Iv2c0ehr897r&#10;0sTfYDDkNYq0+DPjf9aMmZp3flVP9KuIgLEzYJA79jr3AGZRyr+K+MbAvBR/hi917tRZxYr+9KIu&#10;/mfOnJVFixbLgIT+EhIUrAN3fF2b16GJv8FgyGsUWfGnUPDokSM6X75L54gcp6H9EREwVqSyH50Z&#10;AleuXCny64LzUvxZxNShfQfN++/es7fIi//u3XskPi5eKmdOQOQa+Lo2r0MTf4PBkNcosuJPcd6Z&#10;U6dl0YKF0qtHz1cORHkVeXgH1q8vyUOGyuZNm+T2rdtFPuxPWyMLfA65m4O8dZmSby7+NavXkC4R&#10;kTJh/ATZt29/kRd/6ho4VxYb1a5R87WLJH3RxN9gMOQ1iqz409uPl7554ybp37ffKx+UryICFhoc&#10;LJMnTtI0wpPHj4t8wR+V/k+ePJFj7nzZkuhrtkJuyLUjahLdK1pmTJ/hbrZDRbrgD/G/kTmBb/Wq&#10;1dK9azefBaqvSxN/g8GQ1yj44v/dd7LWCXqXzp2lXu3aUvyz3Ik/oetHzns9dfKUTJ86TafTNWwQ&#10;IA3q1pP6derkigHutUGBgdI3Lk42rFuvA4IwRvyh2v+bb76RS5cuyZhRozRvT+76Tar9GwYEyqDE&#10;JB12gyj6S7X/5StXZfKkydK8aTNNAbxu7p9rx77+erXrSIL1+RsMhjxGoRB/BvP06NZNw++5bfXz&#10;ttA9+/JLZwCcdJ7YKpk9a5bz4CfKuDFjcsWpU6bIvLlzZfu2bXL9+nX54fvvNST+n//8J/PTFU2Q&#10;1sB4IsqxaMECaRHeVFcmf/bRx7+79q8iAsaY34kTJuqUvwsXL/mN+N+5c1cn/M2fN1+XHFV4zbQT&#10;UxKbu+s+ZvQYnfCXdUSyib/BYHhbFHjxp3CPKXPxsbHSOChISvponfIl/njniDR/kv9nYM2tW7e0&#10;dx1jIDekr5+59vT2I4Ycr6gP+AGcI/zJXbcd27dLQny8hIWESLlSpVVUEPXs34FH/o7XsPWPHvcu&#10;kV10L8Dp02fkxo2bGhrPKpJFlZwni3gQ6jmz50i4M4KYeJhbVqtcRVcnHz1yVLf5ZTWaTPwNBsPb&#10;osCLP8K9d88eSU1OkdYtWvosPstJ/D0QxmbaH1GE58+faz47N2TQDcYHwl/UK/x9gdz/tatXZcO6&#10;dZI8dKg0CW6sI34/+eDD330HkLTApx99LKVLltLvI8oJP8VvtPix2e/uvft+I/4eEW7Of8rkKbqJ&#10;L7dMT0t39/Ia3YmQ/Zgm/gaD4W1R4MWf0P2xo8d0Sh8te76G9fyR+OPFelEASFg7N/Re7y8ef3Zw&#10;7hhNL168kC2bNknvnr2kZtVqPqMvkDW/JZ1xULtmLYnpHSPz5y+QPXv2qoA9fPhIhd/fxB+PHaOH&#10;QsDrN26+Fm/fueuzO8LE32AwvC0KvPjndqUvhXzxfWJlyeLFcuPGDRUuw9sBg4faCeocrly+LMuX&#10;LpPhyckSE91b2rRqJTWrVf9NKxth/mZh4TKg/wCZPXuOerznzl9QEcsuYMbXJ4YE1/L0mbMyYvgI&#10;2+dvMBjeGEVC/HnQ0VPdvWtXmTVzpi7hMfF/e2SNmJD/f+zE5+KFC7Jr506ZO2eORmJY+ON9DzWc&#10;MTBk8BDZsmWrHDt+Qq5mrvEtyr39+UlSCHQRHDhwUBdUvWpqpYm/wWB4FQqF+J88cUJmz5ylD7Oc&#10;xL96lSrSoW07mTRhggqUif+7AVGAjBXJJ7QgrWyp0i+/h/p168nUKVNf7u73l8r+/CLiT9U/nROJ&#10;AxNznFpJNIbUTGxMjJw5fSbzmzMYDIb/osCL/19++UVOnzqtC3qie/T0meek0IyfNw8Pl5FpaXL2&#10;zBn597+K9hS+9wVqITDI7t27J6PSR/6mhS2gXn2Z5Yy0W7fvqLfvb/n9d83ciD/dFhRl1q1ZS4s0&#10;L128mPnNGQwGw39R8MX/L39xD7wLsmLZconrEytVKlby+cCjDS0oIFAn0p04flxFyvDuwOKkqZMm&#10;/8YYY4jSvDlztcXNl3gZ345EU86eOy/bt23XxUG+Ji9iCFepWFGaNQmTCePGyfVr1zK/MYPBYPgv&#10;Crz4E2a+eeOm9psPTkqSGlWq/u6Bh/gT5qxdvYYkxPeVI4ePmPi/Y5j45z+JqBw5clSWr1gpvaN7&#10;+1y4ZOJvMBhygwIv/vToM6aXHDMhfQQ++wMP8Wfmf6Vy5TU1cPDAARP/dwwT//wn7YJsRpw1a7ZE&#10;dYmSksW/+M2/A+iJPymwiePHm/gbDAafKPDiT6vZ82fP5OrVq/owY75/9gceZPAMleeRnTvrKtqi&#10;vnP/fcPEP/9J7//Wrdtk4sRJ0rFDR5/zFhB/FmBFRUTK3Nmz5fatW5nfmMFgMPwXBV788eCZzPfg&#10;wQOZOWOG9vNnf+B5Dz2q/tu0bCW7duz0y4l8+QkT//wnrZPr12/Q6X9tWrWWL7K0WXpk0FJIULAk&#10;Dhgga1evkYfuuzAYDIbsKPDi702Z+/rrr2Xh/PkqMNkfeFlJrpNFQCzhIWXgj5P58gMm/vlPevyX&#10;L18hSYlJujCp2Cef/ubeh0y7bNG0mXZi7Ny+Q3daGAwGQ3YUePFnyIw3ZW7F8uU6xjf7Ay8rQ4KC&#10;ZP7ceTril4gBv2/Ie5j45z8vXrwk89y9Hd0rWlclszwp670P6fFv26q1jsOm9oVdFgaDwZAdBV78&#10;Ad47ZKd+eGgTHedLmD/7gw/Saz5+7Fg5fuyYPH782Ib9vCOY+Oc/afObNHGStGndRqcp+lqwhPhH&#10;dOykczHYTPnN199kfmMGg8HwXxQK8fdAux8jZZny99nHvnfL16lRU4YMGiSbN27SGf9W9f9uYOKf&#10;/zx56rSkJKdI3dp1pFTxL7TGJeu9Dz/58CPp2a27pr7YyMj3ZDAYDNlRqMT/4IGDMqBfPwmsX1/K&#10;+OhxhtUqVdZ2P0To7NmzJv7vCCb++c+jR49JfGycfPHZ59remvW+9/ipE39es3/fPnn06JEOyTIY&#10;DIbsKFTiz+S+tBEjpGWz5trT7+vhV9H9vGO79jJuzFg5eviIVf2/I5j45x9ZCcwa3+3bd0jP7j3k&#10;Mx+5fo+fffSxrrY+d+6c1rxQ9GowGAzZUajE/7x7oE2bkrHXn73yvh5+jDxlrSyh/z27d2uxoCHv&#10;YeKff2S4z6nTZ2TlylUS0amzevdZ7/mspAgwNSVF7t69q/e+FbwaDAZfKFTif+3qNVm2dKn0i+8r&#10;9evU9fnwIyTKkBPW+27csMHE/x3BxD//SIvf3r37ZNasWdK2dRuf4k8BLD+nHoaxvl9ai5/BYHgF&#10;CpX43793X3bu2CEj09IlpFHQ7x6AkGrnEsWKS2hwY1myaLH8/W9/y/xtQ17CxD//eO78Bdm4aZOM&#10;GT1amoc39Vnlz88qlC0rjRs1kjnOSLAWP4PB8CoUKvH/yj3QWNc7Z9ZsHWSS/QGYlVUrVtJe5++/&#10;/169f2v5y1uY+OcfT5w8KYsXL5aBAwZKUMNG2uqa9V6HxT79VBrUrStdIyNl1cqV1uJnMBheiUIl&#10;/j86wXlw/76sW7NWOrRt97sHYFZS+Dc8JVWuXL6sXpAVPuUtTPzzjwcPHpLx48ZLp44dpVb16j5b&#10;/Gj9a9m8uaQMHabjrTF6DQaDIScUKvEnhI/o7N+3X7p1idI8Z04tT+z37xsbJ9u3bpPrV6/Jzz//&#10;nHkUQ17AxP/d8tHjJ8qHjx7LDifmeP0NAwKkXJky8mcfA67Kly4jPbp20+t/6sRJ+emnnzK/KYPB&#10;YPg9CpX407b3N2cAnDlzRpIGDpTKFSrk2PNc+osSEtmpk8yaMUNb/r7/7rvMoxjyAib+75YI/737&#10;D3SH/5o1a6VbVFeNZhX79DOf9zvfw8CE/rJ1yxa5fu269fcbDIZXolCJPyN+yd1fv35dJk2YIM3C&#10;wnSoD0V+2R+G7Pdn+cmgxESd9vfVV19lHsWQFzDxf7fE479567ZcvHRZ5s2bL82bNdeivpzGWteo&#10;UlXS09Lk9OnTOtba0lwGg+FVKFTiDzAA7t+/r5X8vXr00Gl/vlqf+FndmrWkQ7t2Mn/ePF0JzLQ/&#10;63vOG5j4v1s+ePhIhf/gocOa789poRVRAIxfdlpMnzpV/22Q77fhVgaD4VUolOL/5MkT2bJps6QM&#10;G6beva+JZ1RElylZUmrXqCFjRo2Sa9euacrAxv3mDUz83y0R/+MnTsqatetk8KBBUq92nd/c3x61&#10;tfXzYvrvgBkYP/74o97n1t1iMBhehUIp/uz2P3b0qLb8dWrfQUP82R+KnkfE3w3olyAnjp9Qj4gH&#10;4+uA9/uPe5DSLkgelZGpz5490yEqTx4/0T9pQfz2m2/0wctreC2/V5Thz+JPPh5xZuwuofmrV6/J&#10;hYuX5MyZs0r68vHar1+/IXfu3tPr8ejRY5/Hyonk+3fv2StTpkyV7l27SfUqVX5zf3vk/ib1FRUR&#10;Kdu2bDHRNxgMuUKhFH8q9+/euSt7d++RuD6x2ubk68FIfhQDgM6A9c6Dunnj5mu3QPF+f/3rX7Vd&#10;kLbBzRs3ytTJk2Xs6NEyIiVVxo0ZI7NnzZI1q1bpMpXLly7Jsy+fFfnJgv4s/ggzwo7Q79y5S5Ys&#10;WaqrdocOGSqDkwZJelq6TJs2TTZs2KDe+xVnHPA7vo6VEzEaVq9eI/Fx8RISHCxlSpb6zb3tsUKZ&#10;sjrzYnhKihw5fNjSWgaDIVcodOIPyGf+4gyAW7duyfDkFClXuozPB6PHVs1b6MCfQwcP5WrsqXr7&#10;7iFKioDCKTx7RJ01qQMSEiSgbj0VPcKtVStVkrCQEN0kOHHceC0uvHrlqvz6118zj1Y04c/ijzCf&#10;O3dedjvjc+aMmdKvbz8tyKvkrkXZUqWlvrs/2rVtqwV4G9ZvkKPHjutiHq4LEQMiB76O69Er9psz&#10;e440c8Je3gn8px/5XmFdu0ZNiY3pIwvnL5BLFy+a+BsMhlyhUIo/oU086y+//FKLnIIbNpTSJUr4&#10;nHwGEev4PrFaJHjr5s3Mo/gGxyY1QAgf4+LggQOycsUK7S7o57ywsJBQXSfM9jRSCyxSYcMgBkDi&#10;gIGyZPESOec8wqLeauXP4n/z5i0V9LVr18mwoRl1J9UqV9F7gkhT6ZIlpVaNGjqHv3+/BJkwfoKs&#10;WLFS9uzZqykBjIecjAB+jqFw4sRJGT1qtO6w+PyTT+XDHO7t4IaNNArF7AuKWot6uslgMOQNCqX4&#10;e5759999LyuXL5eoyEipW6u2FHMPSV8PSEKjTRqHaJie8cD8vsfsIKqA8NMutXnTJi0qpK6gYYMG&#10;ujSFuQIYGV6vtVdbQN61Z7fuMst5gtQX/PLLL5lHLJrwZ/FHnPftPyDznbfdw33nDJT65MOPXt4T&#10;CDWeeqkvSkjlChWlaVi4xMXGydQpU2Xnrt1y9dp1NQDw8LMfm5+fOnVatmzeIgP7D9Df947ri62a&#10;NZfly5bJ7du3tR7FxN9gMOQGhVL8PZD73+0epuQ7Ce0z2MfXA5KiqCruIUpoftfOXTr9DO/eV4gU&#10;0b508ZJsWL9eUpOTpUXTps6rq+y8r5x3qEO8/z69Y2TpkqVy/tx58/yziVpR4o0bN+XQocOyePES&#10;6dolSj3+rPdCVjKNj7B9SFCwRPfsJePHT5D16zNqAe77qAO47o7N3v4pU6bo+l4MCF/HpecfQ5Tt&#10;ldzTCP+vvxbtVJPBYMg7FGrxpxDv3NmzGs6P6RWtAuzrQYmnTlSgdYuW+tq7d+7ow/LfPtr+yO8v&#10;XbJEq6cJqeLt87u+5qlnZfXKVdRYIE1w79691+4qKGzwZ/Fn6t7pM2dlw4aN0ju6t6Z+st4L2Ylx&#10;QMFenZq1pKUzUvv27SerVq2W23fu/u7Yly5flgULFkh0r14S1LChz2gWhaykuerUrCmDk5Lk5IkT&#10;+m/BevsNBkNuUajFn2I81vweOnBQ0lKHS63qNXIMkfLzwPoNZPTIkSrQ5EezPiyJAvD/d27flpRh&#10;yVLWPazxrl4VcoUYBTz8GzcKkhkzZjiv8IZ88803Rf5B7M/iT4sfFfz79u2XIYOHSNVKlVWkc5q+&#10;5/Fjdz+VLP6FNAwIlMnu2tEi6OX+vdbB48dPyMj0kdI4KEjH+ZJSyn4c7rmaVatJu9attfPk+rVr&#10;WqtiIX+DwZBbFGrxpxr/h++/V8GeO2eONAlurCH+nAr/yMt3i4qSGdOny+lTp34TJsVTJxrAzynS&#10;4jh/9DCHpBoQPVoON2/aLC+++kq9sKLeb+3P4o9Qk5s/e/ac5v2je0VrlIjuj6z3RnZyP1EbUMMJ&#10;94jhI7SojzA/14soAMWAm9w91Dc+XqpUrKRz/H3dgxilYY1DJHnoUNm0YYM8evjQhN9gMLwWCrX4&#10;88BDZGn7ozivc4eOGqbPKQxbslhxHQfcJzpaF6CQ+8fj5zjUDzx0D9E9e/ZI75699AHr6xhEAngg&#10;45ERzqUau1ePnlrod+7cuRxrCYoa/Fn88dQh7Xh79u7T2fsxvWNU1Bkrzb2Bd55T1IjWVDpDdu3e&#10;o8OBskYSZs+eIx3bt9eplTn9PlGGyE6dZdmSpZr2YsCUib/BYHgdFGrx94DgMvEv3XlTFP5hAPh6&#10;aCLWFcqWlebh4SpS9+7e1cp+jSA4MWMI0EbnSTEUiBBt9t/ngY53h1dGexcFXCPT02XZ0mVy5PAR&#10;7RDwl/HB/iz+Hhncc/bc+QwDYO48GZSYpKLMvUH3CXl+X+t3+Xnf+L6yefMWOX36jHr9J0+ekkWL&#10;FsuA/gM0iuAreoUxgFFK9wpTK0l3MWXyL7/8YuJvMBheC0VC/Mmv37xxQ9atWSuD3QOYJSe+wqU8&#10;PPHKqlepKmnDh8uJ48dVsP/266+ap79w/oIKeUTHTj5zrXh1VP5jPPD7u3bu1OE/PIC9mer+8hA2&#10;8c+IAHgjfs+cPSf79x+Q5ctX6IS/qMguOo/fVwSpdImSEhPdW9asXiPHjh3XAkJaB1NTh0uz8KZq&#10;XPq6fz3js06NmjJ21Gidcsk9Z/l+g8HwuigS4s/Dj/G759wDeN6cOVrVT+jf1wMUkqfv0bWbLJw/&#10;X06dPKnhf8T7jnsIMzJ43Ogx0rFde2kWFq6FfI2dJ0arFseN69NHh6ps27pVHty/r79X1Ef5+oKJ&#10;/29JFODGzVtywnnw69at13G/TN6jx597CG+eeyg8tIl0dsYlm/ro+afl78KFi7LWGa5EkqpXrSol&#10;ihX/zf3qkdkBCH+k+/0lixfLixcvMr8Ng8FgeD0UCfEnx06R3TdffyN73AOVnD2DV3Lqv8YwaBQQ&#10;KH2c97V65Urd9Y+AI+R48QwC2r5tm7b8IXBM92OS4KKFC9Xbv3DhghZZYTTwe0W9uM8XTPx/S4oA&#10;PQOAVMDBg4fUs58xfYYaAhOc2LOkZ/7cefpzogQs/6FlkNfyOlJWxRki5SPqBDFaO7RtJ+PGjNU9&#10;EtyvBoPB8CYoEuKfFZcvX5YRqcOlYf0GagD4KpoifEorX5AzAPDir1+/rkN5/pkp5IRSebDev3dP&#10;Tp86rekBDIIb7nWkB/xR7LPDxP/VxBi4cuWqRgKOHDkqBw4c1BD/pctXNMfPNcJY4GcrV67SeoEG&#10;dev95j71yD1MDQDdKkkDBmqx6o3rN9TgNRgMhjdBkRN/+v6XL12qs/zx7nPK/eP9I1x4/xs3bNRe&#10;aTb+EUXQhT7OAPj+u+/kqa7ufax7BL75+mt94Fp+1cT/j0g9ACLPKN/LzgjAy8cYuH37zkvhv3Xr&#10;tk77GzxosLR4RaEqdQN4/YyonjFtuly7elXXWttQH4PB8KYocuJPHvSY87RYs8tMfgr3fHn//Iy0&#10;QPOwcBmVPlJ2bNuuoXzE32v/8wwBj3j83t/5O0z8X03En9n9ORHDgDa/GTNm6kbACk74c0pTMca3&#10;dvUa0j2qq7a0km7iXrT70GAwvCmKnPj/8vMv6v3v3bNHe6m98bw5VU/XrFZdOnXoKJMnTpIzZ87o&#10;bH8mB9qD9dUw8X9zMiCISX54/UmJSVK3dp2MEdKvGE7FuGmm+TGEirSUwWAwvA2KnPh7Oft77gE7&#10;bfIUzf3TF+2rdQ/vn0l+7ASI7tlTtm/dpuFU8v8m/q+Gif+bk6LAjRs3yaiRo6RDu/Zam5JTZwoM&#10;DmyoRX6H3D9WolP+MkvCYDC8OxQ58ffA1DNGn/aNjZXQoOAcR6/y0KV/Pzw0VCZOmCBHjhyRR48e&#10;+Vz6Y/gvTPxfn1wXZgJQBDht6jSJ7Bwh9evWy3EiJa19zARgcNDqVat0KBV1KFZwajAY3hZFVvwZ&#10;+Xv+3DlZsXy5FvWxJMXXAxZiADD4h4csbX0nTpzwy97914GJ/+uTYT60AW7ZslUn+ZFyoqc/p6LU&#10;8mXKaNHq0MGD5cjhw/LzTz9ZSspgMOQJiqz485CkQv/ihQsycdx4CQps+MqlP0QGateoIVGRkbJq&#10;5UodGkT+37ws3zDxzz0p/qP17+LFS7qrf6rz+tu1bqMRp6z3YFZyn9L6Rzpqwfz5cuvWLRV9jwaD&#10;wfA2KLLiT16UZT3s59+wbp3ExfSRRk6cCKP6etjSTlWq+BfO0wqQESmpsnv3brl185b89S9/yTyi&#10;IStM/HNHhF/b+hjhu2+/TJgwUbpEdtHZ/xScZr0HPSL8VPh36tBB5s6eLceOHdNBVAaDwZBXKLLi&#10;D/CQ/uM897NnzsrM6TN0pC+hVl8PXI/0UzPad/zYcbJ/7z759ttvrb3PB0z8/5heux/CT1sfw3x6&#10;dO8hlStUlC8+L/bKFtRK5cvr4J8Tx09o+6oN9DEYDHmJIi3+ANFmVe8Bd24Tx4/Xef20VeUU/ufB&#10;W6dmLZ0RMHvGTF3cw55/a6/6LUz8/5gIP219TPFbtXqNJCenSFhoEx3h62trJOT+q1erti6Xmjt7&#10;jty+fVvTTzbQx2Aw5CWKvPgDHp7k/7dt2SrRPXpK+dJl1ADIyfMiF8tr+sbFy47t2+XunTvy048/&#10;Fgjvn8/g8X3CxP/V9ML912/clA0bNsqwocOkTctWurGPcL+vew+SeiLyNGHsONm3d6/uq/CGSxkM&#10;BkNewS/EH6+JsOmF8+d1mE/71m2kRtVqOXr/kL8jSjAyLU22bN4st27eVCOCLoD3JbwIAGOHf3TC&#10;6y0Vel+fpSCKvye4eNus2qXIjp/5eu27JteAUD+reidPniId23eQmtVr5NhyyhyKksWKS2C9+pI8&#10;dKganTdu3NCZEwaDwZDX8Avx98b0Pn3yRL2pKZMm6XrenMapQjwzhv+EBjfWVqvdu3Zr9IAiwvfl&#10;heEBsn+ASMTDBw/UADDx/y+9/Dqz9K9dv6EGwPsSf8b37t27T+bNmy+xsXFa4PeqbpMvPv9cX9Ot&#10;S5QsW7r05bpoG+hjMBjeBfxC/AEiSZ80m/oY/Tuwf38dm5pT+B/yoObvWzRtptMCqbpmABAe97sq&#10;AuSYEKH/9ddfdYsga4YfOLEn+nDyxAmNRFDDwMIhohrv6rO8CgVR/PH6WZG7Zes22erI2lz25Z85&#10;e04X6zBZj8+GQfAujAKOed99hhs3bsqpU6dl0cJF7j4boDv9Sxb/4jf3lkfuPdIA1SpX1jz/hHHj&#10;9D6zGhODwfAu4Vfij2gjWqzmnT93rnpZ9FLnNGGNBzMGACmCzh06yrixY3UCoBdyfxcRAD4ngs7D&#10;/7ETd/a2L5g3TyZNmCipycnSL76vdI+KklFp6WoIeMVgJv5PdXre6tVr9Br16tFTEvolSGpKqu7R&#10;X7Z0mYbgiQhgJBAl8HWMtyHizxY/WvoWLVos/RP6a+SI6n5aSbPeWx75OakAUkwUpB4+dEgNPfP4&#10;DQbDu4TfiD9AIBFsQufMSZ/ixKtLRITO/n9VERbGASmAtq1ay2LnzfFwRvw80c1L4eVYePx0GLDE&#10;ZfKkSRLRqZM0bthIhZaCMD5Pm5YtZcP69VoQxuvfh/hPd6JarXIVvXZMqWMa3by58/Jd/BFd8vuX&#10;L19xnvN4qVWtul6nSk50A91n6uQ86sSBibJ48RL1yDES8voz8v4YFSdPnsrw+AcMlLCQUK3sz2lu&#10;P/cbn5PPGx/TR3bt3KVjqfk+31dqyWAw+Af8Svw98HBl8Q+h87GjRkvTJmGvXKnqhf/r1Kgp/WLj&#10;ZOmSJSrMGBEYAHk5BRAR/+r5V3L+/HnN/cZER0tt976MeuXzeUZKSFCwE9q5cvPGzZezCPITdD8s&#10;XLBAPdtyznhiTC1tbAsWLMx38ef9CLUfPXpMUpNTdJMj39nn7jsrW6q0tm6Gu++YVrv1GzaqQGMA&#10;+DrWm5Ljnb9wUSv7hwwarNeiijM+csrx8z3yfTJ5Mt7dU4sWLpSrV65oxAevP7+NOYPB4F/wS/FH&#10;rHnIssGP/HnfuDgJathQSpco4fNBDfHeKNiqX7uO5mYXzV+g+X8MibwM0fLQR9DXrlkrQwcPkcaN&#10;GmlPOCKSNTJBiJ1Nb8cyFxHlt/hT+Lhm9WrpEhnpvOsAqValqrRu1VqWLFma7+JPYR8z87du2645&#10;dto0ve8MkeX64YF37NBRpkyeoiN2L12+4vNYb0pqCkgrMLq3VYuWr5wlAanux+vv2a27Xscrly+r&#10;EWdtfQaDIT/gl+Lvgfn/Fy9elMWLFkm/+HgV1Fc9tPk5EwDrOk8yoW9fWecEmvZBjAgMAB7cb+qx&#10;8cCnjoCWxCOHD8vo9JHSrk1b7Qv39VnqOSNkuPNkdzohu3P7dr4LBkbP0aNHtY0tKWmQ9O4dI8nD&#10;kmWbE2BC4L4E8l3R24+/xn0feNGsyM1+vTAEqO/o2b2HbtQ7fPiIhunfph2Q36WIkJa+TZs2y8QJ&#10;E/X4tarX+N37ZyV5/ppVq2kaafLEiXLmzJmXU/zM4zcYDPkBvxZ/BBvhvnb1qobYKQCs6sSWueq+&#10;8v/8zOvHDgoIVK+NKWxXnReJGL5N4R2GAz3dfJ41a9ZIVESk5tP5LNk/ByQFkTRgoKxfu06uXbuW&#10;p6mH3IBzpSDx1KlTsmvXblnrPsfmzVvUA38XxXSvIu19h5yYU9TXu1e0lClZyuc1Y6Qu2xtjonvL&#10;ho2bVLjfph2Q36W7YMeOnTJm9Bhp48S8aqXKGiHy9f4e+Ryd2rXXmRN79+yVL58+fRlBMvE3GAz5&#10;Ab8Wf8/bRnTPnD4tk8ZPkI5t26lnTz42pwgAXiQhW7w31gWvX7dObt68qUuE3tQI4HN4Wwip7Me4&#10;8HL8Wd8bA4SfMQwmFU976za5fet2vos/1+6XXzKMFcL89NYTSkeI31RM35T01B9znr9W+vftq9ES&#10;vGtfBhzXjsr6WbNm6159qvNf11ghYnD9+g05ffqMrF+/QSY5Ee/ijDXqRrK/X1bymcqUKKmFkWmp&#10;w+XA/gNy1312z+M34TcYDPkFvxZ/HraIJmLNAKBjR49qW12v7t3V66YFK7v4Zn2Q8/dU4feNjZM5&#10;s2Zpm9YTdxyGs7yuGGOAnDt7VosJY2NiXlbRZxcw730ZUkS7Irnir1+8yPewP9fur87Q+f77H+TL&#10;Z8/UC0aE8zvfD3lPRJxQ/tgxYyWEIsTSZXyuzMVwC3CG0+BBg3XRDumC1/3MtAvSzkf3wJDBQzTH&#10;X6tGTS0wzP5+WVm+TFlp416b4oy2TRs36syJ77/LKBo1GAyG/IRfi39W8ADGA2Nv+tTJk6VpZrX2&#10;q3auQ8Ly1Z1QE8adPXOWnHUCjgFAQSGCnFuP7ofvv3de/FYZkJAgYSEhGlnI/l4YArwfn6t3z56y&#10;a+dObbmjdiG/vMasBhPzDl44zx9BvHf/vty9e0+H3JALx5vO7wgAFfdLnPFEEWLd2nWkRLHfj9Ll&#10;GhKa79Sho4weNVp27tylhouv40HOwSPnhKFAu+DiRYslaWCihDYO0VRQ9vfJSgwOokiB9RtonQaj&#10;e4nWmOgbDIb3BRP/TCBohN6fP38uu3bslNEjR0qHtu20eMyXB+4RTxyhrle7tnTt0kXGjBqlHQQU&#10;4X337bc6iz83wkz4fIkTlJbNmmndga+2Qz4HK4kjqFqfNEkjBRgsiEh+iT9pDdITVy5fUeNjwfz5&#10;Mn3adJk6ZaqOsqXg78yZsxoWz+/CPyIP2913N27cOInsHOG7WNJ9j9RsMEq3R7fussp5/xQM+joe&#10;9EQfA+Hc+Quye/cenWXAACHaB3kPxP1375NJ7huMtebhTWXooMGaImLIFNGavOwSMRgMhteBiX8m&#10;EE88dcLvd+/elYMHDupEPUSdoTo55f95uCPKvIZhQeRzCesyQhgDwEsB/JE4Y3RQ+c0woU8+9J2v&#10;xtAgIjEqfaTzHnfIA+dlIyBehCE/wPnQ4UCnQ/LQYdKiWXMJathIgoOCJaJTZxk/brwaABTCkRv3&#10;Jajvirzf6TNnZOvWrTrZj/C+L2HmZxhXjRsFyZw5c7VOwdfxsgo/2/kQ/hnTZ0hcn1gJdudM4V5O&#10;q3kh3yGRo3D3naUPHyGbN23WNs6//sUZbO9oQqTBYDDkBib+2YAXzfCee/fuyZpVqyUhvq8+vL0R&#10;rTnVAPCgx0Ao9UUJXd2a5h72a1atkrNOjJ46Ifnl518y38E3vvrqK5k+darz7Ktpu2HW9+HY3pRB&#10;VhKvXbNGrl299l6G+2CkENlIccJPq1pF95mYW895E2rv7rxpDABm6+ckqu+KCDX5+FOnz8hc552z&#10;SY+BP9lz8Qgyw39aNm8hCxcs1IhB9mMRtfBEn338dDLQ1kinAIONyN/7MtA88v15i6EGJw2STRs2&#10;alcJ0SCDwWB43zDxzwa8dHLo5LOvuof1dudFjkxPl2bh4drj/6oaAMSA/C9DZurXqatCPWfWbDl8&#10;6LAu4XmVd07Yn3kDzd37VKlY8Tdhf4SEqEJIUJCmIy6cO5/vuX4PFKlhpDQPC5caVaqqsH7kzlmH&#10;1rjrU8+dN+N08agR4uyi+i7peekYHVu2bFXRJTSPgZL1O6IVkGhFfFy8rFu33mfYn9w+wk8EY/ny&#10;FZKSkioRnSN0vkLpEiX/sBYEY62VMy5GpA6Xjes3yK2bt15+ZwaDwfC+YeKfA/CoeVgzx3/7tm0y&#10;bMgQFTz6xF/VBpiV9OLH9Owl06dN01XCrOHFW6e2ACMjq9dOtGHThg1a6U/BX6XMOf7UHCCyLZs1&#10;l35xcbJq5Up59uWXmb+V/7h544akDBumHjURiqzeL0YKoXAiAGPGjJUrV6/9TlTzi3jreP/9+yVo&#10;aoLIDa14dAFQeNctqquMHTtOdu3e85uCP1IHFA6S39+7b792BAwblqzTCxne80cV/aQBaOcj5UCO&#10;nyjJtStXdSKiwWAwFBSY+OcAPGoq9jEAbt++reI9e+ZMHQTEKmDa7V4V9oV4wowDbt+mrQxOTJR5&#10;c+bI8WPHdGkPBkBW8SfScOTwYc37x8fGOsFqpumGzh07aivhhPHjNdx/7tw5/UzvCxSrDRqYqF0H&#10;2avcyaWTGqEILj0tXa440csqyPlJ5g4wbhevnfa/OHcNu7rvjqmJPXv0lLQRaTqKmH0AWWsTiFYc&#10;dYYDEQGMg+he0dIsvKkafaQ3iHJkPefsxFhr7Tz+5CFDZd3ate563dDlS+bxGwyGggQT/1cAccZD&#10;xwjAM7986ZJuAqRXu7bzApnkRgQgJyOAn/P3JYsXlwZ166qQMw/g8uXL8uzZM/nxhx9fLnKhap88&#10;/tbNW2Tm9BkyOClJBjmDYdKECbJi2XKdIXDnzh3d7/8+hYRUCKOQXxX5IKyekpyiW/ayCnJ+krC9&#10;58EzgZDpf4z1RfQnjJ8gy9w15ef8PeJP6J+Jf4ePHJVVq1bLqJGjdBdAlcpV1Ih71fcMMXowiNjF&#10;QDvfti1b5fq161pAmpuCT4PBYMhPmPj/AXho8/DGU2eCH1PZZk6fLnF9+khQYKCGvz/10ZaXlXjI&#10;hILr1KwpXSO76CbBlc4jRdCZK4BhgaCzzQ8DgGFDpBog9QIXnUBR2f/9d9+pkcDneV/wxD+nwkfI&#10;ub5v8fd68m9lGgAMAKKnn617FCMePHhI8/lECBgQdOToMVm3foMW9fXr20+LNmvXrKULgRB2X+cJ&#10;uQ58v6R4WPg0Mi1NNm/apB7/1y8ydj4YDAZDQYOJfy6AAUAUAIEmZ08aYPky5sj30tY+XwN5spOQ&#10;+McffKBFg+TwEYqJ48brTIEH9+9rl8G//vkvjQQg8D//9JOmAvAc6a3nvb22vqzpgvxGYRH/7IN5&#10;8OwhxYC3Hb3/p6iPuQQrVqyUYUOHSfu27XRDIQV7iDre/qsiO7yG2odO7dvL3Nmz5cTx47rzwIvo&#10;vM/vymAwGHKCif9rAI8bESbnziY2pskNHTxY2rRqpXP+GR7jSySyEtGkYJD9ARgAw1NSNQpw3IkG&#10;+wHY7vbLzz8X2OlvhUX8szOrIUA64MKFi+r9r1y1WmfzJzhvnzG9tZ0H/0eLebw5AeT3Mf6Yb0Ct&#10;BjUbdHVQ3GdhfoPBUJBh4v8a8GoASAFQtEcnwJ7de7QYj3A+dQC+hspkJ8KJwJAyQDy6RkZK2vDh&#10;snrlSjl/7pzuGcDbL4gCUpjFH+Gnp5/Ngzt27tLlPjG9Y6RRYEMt6KP3n+/lwz/o5CAN4Ak/45hX&#10;rljhPP4T8vTpU/nrX/6SrxMXDQaD4U1g4v8G4MHu8dGjR2oAsA+ge9euOjYWEaEq/FUFYh4JL7Mb&#10;gP7+xAEDdFzu7l275NKlS/Lo4UMt8CP0j8FREASlMIX98fS91j1y+ydOnJQ9e/Y6sV6pu/djY/ro&#10;jv/ctG1CRJ+Kf1r+WjVrLv379tNV0KxUJmJDqN9E32AwFAaY+L8lyMsTATh54oSsWL5cRqSmSttW&#10;rVQA/6hCHPIaqsQrlS8vDes30Kl58X1idZgPwnLkyBG5f/++FvsVhOKxwlTwh/DTukfP/5at22Tm&#10;jJkyKGmQdOvaTXv/GUhEDUZujDRew1Q/Fvn06R0j06ZM1RHLGGmegWbFfQaDobDAxD+PwMOfwr1D&#10;7oKyq51BMmVLltLcMEKZG4HxSEi5YYMGEt2jh8zOXBXMFjhqDbIX/+W3p4n4M/L4j1r9UhH/fOrz&#10;z17cx9Cemzdv6fuz53/NmrUyadJk6dG9hw4gKuWMk+wzCnyR70wLNd1rMdCY59/XGT4L5i+Qs2fO&#10;6p4Dvgvz9g0GQ2GDiX8eQesAvv1WlwLt3rVbpk+dJv3i4qVpkzBdIUvLmC+B8UWqx6kHaNggQDp3&#10;6ChJAwfqFj9qAg647+iq86i/fPpUfvnll3wXHob8DE5M0g6H7C1wCCVtj1TLj0wfmW/inzW8f+bs&#10;Odm//4CsXbtOZsycJcOdIUZ4v13bdhkGmTOsPvv4k1dGLiDCzwhfIgOhQcES06uXjB87TtavWy9n&#10;Tp9+ubYZI8zE32AwFDaY+OcR8MIp9MIzZ04/i4Ho96YboEXTplKtcmX1IHMTBUBE8ayJGrCTHkMg&#10;NDhYukV2kVHp6bpR78yp01pgxvtheGirYGY04F1GBG7fuqWRDeoU6G7IKqKcH3PvGwYEyvjxE+Tq&#10;Oxjvm9XLZ/mOtvHduau9+vTts1Fw3vz5MnToUOnQvr3Ur1tPR/viuWOY/OH1z/T2ufbejobE/gNk&#10;7erV2uHBNSfKg8fvXWcTf4PBUNhg4p/HQAgQYnr1rzsveeOGDdoNEB8bp4teaPFjNDBCmZvOAMjr&#10;ypQsKfVq1ZZ2rdvIgH4JMmHceFm6ZInmnY8eOSIXL1zU2gAMDyICGATvAhQhzp87VyMSDZwwci6I&#10;Kt40OfGQ4MY6Enfx4iU6Mc+XgL8JEXzE3vPwL12+IidOnpI9e/fJ+vUbZOHCRTJ50mTt1Y+Jjta2&#10;vZrVqjvjqfgr1+5mJ7sJalStpqOVu0d11e2Fq1etkksXL+pGQ7x9g8FgKOww8c9jIP54hHjhFAPi&#10;KTIWeOeOHTJ3zhzd9MfaXjzR3FaZQ4wF2tCoB8DrZnFMeEioRHTqJEMGDdbagO3O6/VGB+Odvgsw&#10;tW7v7j0yfsxYiezUWVMa5PgJpwc2CFAjZ87sObLXiTJDdHwJ+ZsQ8fda9c6dOy8HDhzUpTvjxo6T&#10;uLh4aeuMIsL6NavX0N0C1FvoxsFcFF1mJS1/zF9IH5Ema5y3z0pmojhMYSTK8j6nKxoMBkNewcQ/&#10;H0AUgOEvCAnLfdgJ36JpM/XkWdVLjh/v/nVEitfrXnonciFBwdKzW3cVrCWLF8sOZ2gwNOiK845Z&#10;JUs3wpdffqlRAYoGiQwgZG/Sj84AG0YQE3Eg+oB33L5dO8f2EtsnVmbNnKXCf/78BRVrX0KenYTw&#10;vTA+nj0Cz+Q9tgKev3BRTp46rTP3dzujY/OmzbJ0yVKZNm26DB0yVCI7R2iagW19uY2keOT1XHsM&#10;F0Q/sH59bdecNGGibN+6TUf0Zg3xGwwGQ1GBiX8+AJElCkDY+IrzzPfu2aP9/Gx+69S+g06V87oC&#10;fImUL2Io8HqdNOeEj2NgBNAqyMCh2N4xMiRpkC4GWuoMgq1btsjRw6QHLsjdO3f0s7xJwSBC+O03&#10;38o959XT3sjK2jVr1jgvfKXOzT/ILoJLlzU0j5j7Evvs9Kr0EX1y9wzhOeLEnkE8q1evkZnOoEhL&#10;S9eZ+0zTI/XRzBlPDNkhRE/kgXkJr2M8Qa4dPfutW7TQYT0zpk3TNM3pU6f0/CjgJH1iRX0Gg6Go&#10;wcQ/H+ClAggZe0WBFM7hXVJB3sV5ryyGYd886QBEiXB1bj1ZRI/X8jukB/h9ivEIfzcLC9cdBKnJ&#10;ybotcNWKlbJr5045efKk3LhxQ559+aUOqPn2m29U7JhcSHSANja8fEYNw78QLfjrX/WzQ6IZhMKf&#10;f/WVirc3N58/abXzZucj6Er3d/w9i3bw6um/x7OnI4AowanTZ1TwGZi0yXn3rNvFu09JSZWePXvp&#10;Wl2EnmgH58i5Yvxw3rkVfV7P73ONmUXAoiXSJsNTUnRd8vVr1+Qrdz5ezz7fF9+dCb/BYChqMPF/&#10;D8AQQGRvOhFkLsDypctk7Ogxurcfzz2wXv2X6YDXqQvISn6P369SoaLmwjECiDL06tZd+sbF6crg&#10;EanD1fhgzTCLihDADevXa5Rg3959cuzoMV1UA8+dPafieNcJ+cMHD3Sy4YOH9NTfc17+LSfkV7UI&#10;D164eElOOzFnL/6hw0c0P793337ZvWePbN+xQzZs3KiRAor0Zs+eLRMnTpThw0dI0sBEnbHPEJ3u&#10;Xbvp523uPHw+P4YMxXi+zjW3JEVSv04dadu6tQ4qGjdmjCxdvEQjMVeuXNFhPRg1CL/BYDAUZZj4&#10;vwfgSSIwRAHwqBEdNgVu3bJVxZj8PYJHcR+eqi8hyw2zRgToySciQHgco4DiQTxgIgQIYpuWLSUq&#10;MlJ69ejhBLivpDkxnjp5is4rgEsWLZYtziM/uP+AHD92TEPjtL6dPXdOhf748RNy1BkL8NChw7J9&#10;+w4drrN8+Qqt/J83b77O0p88ebKMcMfu1y9BurvzbNumrQQHBWk7Hp+JzwbpHuDz8rk9L/91w/pZ&#10;ye/WqVlLukREaK0Cgn/nzh2NeuDpe+F9r33PYDAYijJM/N8zsm4KxLMm7I03SjU9LX1UnocGN1bh&#10;Ihqgi2deozYgNyxZvLjUqFpVjQAGCzVp3FgjEF0iIqVrlyhln+jekjRgoKYP0p14M354zKjRMtZ5&#10;z6Pdn+np6VpwCIkoDB40WPq7zx8XGyd9YvpIdM9e0qN7d2dgdNHK/LDQJvpetWrUkAply6rQ+/ps&#10;r0tEnutDix+dCLwHLZYU8g1PTZUF8+ZlCL8ztkht2Dx+g8HgjzDxf89AeLxNgRQFknOml/7WrVty&#10;7MhRTQmMTEuXXt17qBFQtWKlt4oG+OJHf/6zRgQ0GvD55zq9jwp4hgt5JH1Ai2GtatW1PoF5Bcpa&#10;tfVPjBOPFB9SPV/NvR4BJmSPZ1+pXHk9Fscu9UUJDeMXc+9JH35u6xv+iEQJOBfqAzBgWJY0Z9Zs&#10;Naq0be/uXb3G3iwEL69vMBgM/gQT/wKMH77/Xtv1dmzfLnNnz5bkIUOkZ7dumr+nLY0VwogqU/UQ&#10;PArh3iY0XpiIsYARxJAhJvFVc0YGhkhIoyBp7Tx96gaoo1i9cpWcPnVaw/sUMFo+32AwGEz8CzT+&#10;/re/aRU+C4NoESTXziCfFcuWy9QpUyR56FCNCDRrEqbih8ee1ymBgkhP+JkoSG1E+zZtdX4/6Qa8&#10;/I3rN8iBAwfkzOkzcuvmTW1rpJAPT9/69Q0Gg8HEv1AB4aI4DS+W7Xq07M2dPUcGDUyUti1b6Urg&#10;iuXKqxFAMZ8WzmUWzREVwDDIq/D6u6RXqMjn5XMj9F5aggJF9fQrV5GwkBCdmMi+A2YZsPSI7Ye0&#10;IhoMBoMhZ5j4FyIg/niv5KvJWyN0VN1jBKxcsUJmzZgho0eN0jY+PGHmB7Rs1kyCAhtqnp6cO+KJ&#10;oPoS3YJARB9jhc9ZuUIFnYLYpHGIevc9unWX/n376WIhOhGYZrhp40Y56Lz88+fOaz7/m6+/0S4K&#10;g8FgMOQME/9CBgwAb1gQlep/+eUv8tOPP+rAHXrvr127JkePHJUN69ZrCJzK/Lg+faRz+w66CwAj&#10;gH53IgJ41AitFxmAFMxlpRcteFtynKzH9d5P3999Dj7LZx9/rDl8uhooImzapIm2H7LSWBcZLV6i&#10;hs75c+d0XDJDieiS+PmnnzSsT5rEa9czGAwGQ84w8S9CINyNGCKM165eleNHqRHYplEBdgowsx5j&#10;gGE6sTExOpe/Y7v20qZlK2ke3lTCnHEQ3LCRjs2F5NOp7mfyIKH2NyHRBkL0tWvU0C2AjRoE6HvQ&#10;ucB7tmvdWiI6dtSRxNQvMOhocGKSpI8YIVMmTdIxyOvXrdOhQ2fPnNUWva9fvND2SIPBYDC8GUz8&#10;ixC8lkGMANoGv/v2O00PPHnyRKfyERanhZDoAG1vu3ftkhXLljnDYK4T2skyKn2kDBs8RPv5IdP2&#10;GIpDbr1xo0ZvxGbh4dKhbVs1NIhAcNxhQ4Zqcd7kiZNk0YKFsm7NGh11TPieNAb1DIw/vnfnrrY9&#10;MoIYwcewYSgSws+5GgwGg+HNYOLvpyBlgKgitAguY4Z3bt+h6QL210O6Cpjux+z7YUOGvBHx4CeO&#10;Hy+zZs6UxYsW6XG9EcIHDxzUED4GyePHj3XSIQWNFrY3GAyGdwsTfz8FuXEKB7/99lv56vlzefrk&#10;qa7+ZeQthYSQ3QMXL16UUydPvpzx/7rEsEDgL1+6JNevXVehZ6vg/Xv35MnjJ9q5QL0CPfhELKwd&#10;z2AwGN49TPz9FEy1gwhtVhJOz0qMhLxg9uP+B2a+p/dZPBoMBoPh3cLE32AwGAwGP4OJv8FgMBgM&#10;fgYTf4PBYDAY/Awm/gaDwWAw+BlM/A0Gg8Fg8DOY+BsMBoPB4Gcw8TcYDAaDwc9g4m8wGAwGg5/B&#10;xN9gMBgMBj+Dib/BYDAYDH4GE3+DwWAwGPwMJv4Gg8FgMPgZTPwNBoPBYPAzmPgbDAaDweBnMPE3&#10;GAwGg8HPYOJvMBgMBoOfwcTfYDAYDAY/g4m/wWAwGAx+BhN/g8FgMBj8DCb+BoPBYDD4GUz8DQaD&#10;wWDwM5j4GwwGg8HgZzDxNxgMBoPBz2DibzAYDAaDn8HE32AwGAwGP4OJv8FgMBgMfgYTf4PBYDAY&#10;/Awm/gaDwWAw+BlM/A0Gg8Fg8DOY+BsMBoPB4Gcw8TcYDAaDwc9g4m8wGAwGg5/BxN9gMBgMBj+D&#10;ib/BYDAYDH4GE3+DwWAwGPwMJv4Gg8FgMPgZTPwNBoPBYPAzmPgbDAaDweBnMPE3GAwGg8HPYOJv&#10;MBgMBoOfwcTfYDAYDAY/g4m/wWAwGAx+BhN/g8FgMBj8DCb+BoPBYDD4GUz8DQaDwWDwM5j4GwwG&#10;g8HgZzDxNxgMBoPBz2DibzAYDAaDn8HE32AwGAwGP4OJv8FgMBgMfgYTf4PBYDAY/Awm/gaDwWAw&#10;+BlM/A0Gg8Fg8DOY+BsMBoPB4Gcw8TcYDAaDwc9g4m8wGAwGg5/BxN9gMBgMBj+Dib/BYDAYDH4G&#10;E3+DwWAwGPwMJv4Gg8FgMPgZfiP+Cxctkhs3bhqNRqPRaCzCXLxkyX/FPzFpsCxdtsJoNBqNRmMR&#10;ZtKgIf8V/6huPWTUmPFGo9FoNBqLMLt272nibzQajUajP9HE32g0Go1GP6OJv9FoNBqNfkYTf6PR&#10;aDQa/Ywm/kaj0Wg0+hlN/I1Go9Fo9DOa+BuNRqPR6Gc08TcajUaj0c9o4m80Go1Go5/RxN9oNBqN&#10;Rj+jib/RaDQajX5GE3+j0Wg0Gv2MJv5Go9FoNPoZTfyNRqPRaPQzmvgbjUaj0ehnNPE3Go1Go9HP&#10;aOJvNBqNRqOf0cTfaDQajUY/o4m/0Wg0Go1+RhN/o9FoNBr9jCb+RqPRaDT6GU38jUaj0Wj0M5r4&#10;G41Go9HoZzTxNxqNRqPRz2jibzQajUajn9HE32g0Go1GP6OJv9FoNBqNfkYTf6PRaDQa/Ywm/kaj&#10;0Wg0+hlN/I1Go9Fo9DOa+BuNRqPR6Gc08TcajUaj0c9o4m80Go1Go5/RxN9oNBqNRj+jib/RaDQa&#10;jX5GE3+j0Wg0Gv2MJv5Go9FoNPoZTfyNRqPRaPQzmvgbjUaj0ehnNPE3Go1Go9HPaOJvNBqNRqOf&#10;0cTfaDQajUY/o4m/0Wg0Go1+RhN/o9FoNBr9jCb+RqPRaDT6GU38jUaj0Wj0M5r4G41Go9HoZzTx&#10;NxqNRqPRz2jibzQajUajn9HE32g0Go1GP6OJv9FoNBqNfkYTf6PRaDQa/Ywm/kaj0Wg0+hlN/I1G&#10;o9Fo9DOa+BuNRqPR6Gc08TcajUaj0c9o4m80Go1Go5/RxN9oNBqNRZojR4+T9FFjZUT6aBk+YqSk&#10;pKbJ0OThMmRYqvszVYa5/05OHSEpw9Ml1f09r+P1/J6v4xUFmvgbjUajscgSAUfMk53gDxoyTBL6&#10;J0pMnzjp5sSvc2SUdInqpv8d3buPxMb1k4QBifq61BHp7vdGqRHg67iFnSb+RqPRaCz0ROQ9Ithp&#10;I8dkePppo9TDH5A4WPrE9pWort2lbdv2Eh7eTIKCgiU0tIk0bdpcWrdpJx07dpauTgdj4/pKYtJg&#10;jQoQCeBYXiQA+nr/wkYTf6PRaDQWemaE9Udp+D5x0FDp13+g9I6Jla5O7Du07yjNm7WQkMahEtgg&#10;UOrXayCNgxs70W/mft5cmjk2CQ2TRg0bScPAhvo6Xt+xQyfp3iNa4vsmyKDBRAMyDIGiYACY+BuN&#10;RqOx0DMjtD9CBjqPvXdMnHSO6KKiHtAgQKpWqiwli5eQYp98Kp99/ImUcv8dGBAonTp2dIZBe2nV&#10;sqU0DAiQCmXLyefuNcU++Uy++LyYVKtSTYKDGksHZwQQNSCCgAFg4m80Go1GYz7RC+kj9BTnIcYD&#10;EwdL34QBmrOPiuoq7dp10DA+oo0n3ygwUILdnyFBwdK0SRNp7YQ+KiJShgwaJJMnTZKJEyfK2DFj&#10;ZLD7/57du0vbVq3d68L0dxo6wyGgfgMJDm7sDITWEtmlq9YFDB6aou9PFMDX5ywMNPE3Go1GY6Hg&#10;SHL5mcV7iD7eeBcnyC2dMAc1CpIa1apLxXLlpWzpMlLeefGBTrzbtmkjcbGxMio9XebMni2rV62W&#10;3bt2yYkTJ+Tq1aty9coVuXz5spw6dUr279snG9atl7lz5sjItDTp4YwBDIjqVatLlYqVpVbNWtKy&#10;VRtNJyQOGqJGiK/PWRho4m80Go3GAkfPw6c1D7Ef6rz8pMFDJaH/QImJiXNefnfn5XeUsLCmGsKv&#10;VbOmVKpQQSo58a9WuYoE1KsvEZ06ydAhQ2Tu3Lkq+BcvXpTHjx/LTz/9JH/729/kf//3f8XDP//5&#10;T/nll1/k+fPncvnSJff63TJl8mTp1rWrBDvDolL5ClK2VGkJqB8gbdq0k569YtznGfYyAlDYUgEm&#10;/kaj0WgscKRKn/B6woAk5+HHazteu7btJbRxiDSo10Dq1KojtWrU0rB8SOPG0qZVa+nuhHpAvwT1&#10;2mfNnClr16yRgwcOyPnz5+Xu3bvy1VdfyY8//qjC/69//es34v/vf/9b/vGPf6gB8OLFC339sWPH&#10;ZN3atZoW6BIRqWmA2s77530pEIyM7CrxffvrnAATf6PRaDQac0Evh4/nDPH0KahLdd70oCHJml+P&#10;6tpDPfym4c2kXp16Uq50GSn+6WdavFeiWHEnxjWlRfPm0jc+Xj31DevXy6mTJ+X+/fvy9ddfy6+/&#10;/qqijtgj8P/5z39U9D168P6fv+d1RAKIEGAwHDlyRCZNnChRkZHO2KgvZUqWkmpVq0njxqESEdFF&#10;BgwcpJ+dc/F1ngWRJv5Go9FofC9E8DOG7yRL/4FJKvY9e/XWwjp68cPCwrX1LjCgoTR0DG4ULGGh&#10;oRIWEiJBDRtKkPs7PP6ePXrKmNGj1Us/mSn8XmgfMX8TYAhgAPz1r3+Vhw8fyqGDB2XhggWSNHCg&#10;tGreQhoFBErN6jW1sDAiIkqLDklN+DrPgkgTf6PRaDS+FxLaJ28e1zdBh+tQqR8aGiZ1a9eVShUq&#10;SqkvSkgx5+WXL1NWw+2tW7aS/gkJmsfv5zz9mN69ZUD//pKSnCKLFi2So0eOyr179+T7779XT/9N&#10;hd+DFwn4+9//rsbEfXfsLVu2yMi0dGnfpq3WAFQoV14aB4eoAdB/QKLP8yyINPE3Go1G4zsjoX0v&#10;nI9nzACe/gOSJD4+QXr1ipFOnTpLi+YtVUDr160vDeo3kEbOow9lCE+TMGnjBL97124ycMAAGT92&#10;nCxZskTmzZ0nQwYPke7dujkDIMYZBP0lPS1NZs6YqWH/s2fOyNOnTzW/Twg/r0A9AB0CWzZvltTk&#10;ZP2MGCV1a9fRwUDdnIayM4BzLegpABN/o9FoNL4zEtqnIp7QPsVx3br30qE5zZq2kEaZ7XnlnGdf&#10;ukRJzeHXq1NXIpxBMCgxSSZNmCjLly2TnTt2aivexQsXtDVv+/bt2pcf7oyDVi1aSqeOnaRt64z+&#10;/O5RXWXGtOly8MBBDf+T788rkAYgqkAx4Ib1G2RQUpK0btVaqletJlUqVZGWLVrpOXKuBb0N0MTf&#10;aDQajW9FvPuM4r0xGspnKc6wlBFarc/EPXL53Xv0kvbtO0nT8IwBPEzew2OuXaOm1HTiWcd50A3q&#10;1tOq+lEjR8nKFSvl8OHDcvv2bS3cI/QOf/75Z7lw/rwW4HVs30FaNG8hYU2aaNU/LX6NnUExICFB&#10;Fi1YIIcPHZJHDx/JDz/8oEaAV9T3pvB+n1qCy5cuy4oVKyRx4EBpFBCg8wWCGgY5w6azzh9IdueP&#10;919QuwBM/I1Go9H4VvR68r3Nef0SMubqszGvTeu2GhKvW6uODsupXLGShspp2evYoYNW6Y8YPlyn&#10;7S2YN182bdwkx44ek+vXrsujR4/ku+++06I7wvcQA4CQPi18DO3pF99XGjO9LyxcOnfsKL179ZKB&#10;/fvrMUkDrF9HGuCsfPPNN+q550UagHqCZ8+e6dyApUuW6ns2DAhUY4Y2wHZtO2gHgLcLwNc1e980&#10;8TcajUZjruh5+Ble/lgl4obIDUtOzfDyY+N1c15rJ/rk8RF62vM+++gT+fzjT7RND2+/Q7v2Mmzo&#10;UFm2dKkcP35c7ty5ox76r07oEemcWvIABsC3336rk/lo78PzJ1WQMixZc/8UBfaOjnaGRV/3HsNk&#10;1cpVcvPmTS3a43ezHvtNwO95nQBnzpzRKETnTp2c8NeQj//8oTQMbCTRvWN1/DCREF/X8n3TxN9o&#10;NBqNuaKO16U9L2VERnvegIz2vO5OSNq376hb8hpnhvRhUMNGTpjDpF2btlq0Fx8bK4OTBsmEceNl&#10;yeIlsmPHDjl39qy20iHm3vCdP6rS5zUI75dffin79u7VqAGGRHxsnPTpHaPRgAH9B8jQIUPVGJg0&#10;cZJO+du2bZsaAaQOvDTAm4Df4zNgADx48EB27dwp48eN0/OkQ4EhRLQqEv0oqO1/Jv5Go9Fo9Mns&#10;nv4I8vnD0yUxaYjmtbt27SFt27TXsH71KtWkZPEvpPhnn0sxx8oVKkijhg2lS2SkjExPl9WrV6tQ&#10;X7hwQb18wuYUz1FBjzfuefueV/4q8BrC9wzwwQC4dOmSLJg/X6K6dNF2wLg+sRr2HzN6jIoyeXnq&#10;AxIHDFSDgxG+GAB/ZGS8CnxGfp+OAgyAPbt3y0BncFD8V6d2HZ1P0KFjJ91B4F1DX9f4fdHE32g0&#10;Go2/IULFbnxvcx7teczUj47uoxPtGLPbrFkLHXHLQh0G8NCexya8pmFh2gMf3auXJA8bJjNnzFCP&#10;mxA9Hj6Cj2jjOb8tEF8iAOTzGcIzYfx4GegEflDSIPX6U1NSZHhqqqYAwkKbaGh+8qTJsn//fp0H&#10;gMHxtiCCgAFAC+Cc2XMkKrKLuy5NpGb1GhIaEiq9omN0/C+pkYJkAJj4G41Go/E3xMunWt+r1O/R&#10;M1or9YMaBTuPvqLuvWdzXsVyFbSIj8U3LMAZnpyiYr9+7TrdkEeh3a1bt+Tpkycq+n/5y1/Uy89N&#10;aD834Bgci2M+ce9Bfz8teGPHjJVY5/3Hx8XpRj8iAs2bNZM2rVtLr549ZeTIkdoJgOHwtiACgQFA&#10;NOHQwUN6/l27ROl1qlWjpqZDaP8bMjRFr6uv6/0+aOJvNBqNfkgvlO8V7JHHHzIsRSfuDRiQJDF9&#10;4qRLVFcVL1bmhoY00WU6FZ3wV6lYSdvz8Pbps4+J7q15d4bfUABHlT5ijyi/aV79dcF7Ecq/fv26&#10;rFy5Ur1+ZgEk9Ounw4BY7csOANizRw/9rBgjeQXe+8aNG7Jzxw5tNaxSsaJuAgxx3j/jiqmPKEiV&#10;/yb+RqPR6IdE/KlE1934zsOP6ZNRpc+IXZboNGoYpGJfu1ZtnbxHeP/l5ryXE/VmaCX97t271eum&#10;J59cvjdXPy/a6nILrw2QFMC1a9e0FXDNmjUybepUSUpMlE4dO75T8edYpBKIKGB4MLOAFcM1qtfQ&#10;NEDv3n20ZsLXd/E+aOJvNBqNRZiIPMTrpBcfwSeXj+izH79f/0Tp0bO3VqeHOO+e8bpM3cNrpUWv&#10;SoVK0qBefWndqpWO2J09a5Zs2LBBjh49qiF9BvAg9IS+yaEjwoTj8fjzy+sH3vvx/nwO8vBXLl+W&#10;bVu3ytQpUzT8T/EhpBWQCv3XFX+Oz7l578F5cwzd/vf8uRod1BOMGjlSax+qVakiZUuX1vx/F+f9&#10;c92978PXd5WfNPE3Go3GIkxP9Jk5z+AZqvQRe29zXnhYU+1Lr1WzthP9Gpq/Z55+ROfO0st5yFTI&#10;jx41SubNmSubN23SnnyK27wBPAhgQQTGCOt4rztBxhtfv26drFi+XLlp40ZNDxApeB0g/BwXwafL&#10;gGOcOHFCQ/2rV62SBQsWyBRnaJBu6BoVJSHBjdWAYklRh/adtHiS76Ig5P5N/I1Go7EIM23kaOdx&#10;psmAxEHSo0e0E/yMzXn1CEuXryhffF5cPvngQ/n4zx9oq16LZs21F3/6tOmyzgnmkcOHVUAJ5yP2&#10;CJ/n6VNsl5+h/dcBQu1557QTMkDII1GBv7uf85rXAefK+RPtYM8AqYPp06ZpJIGIAgYTjO3TRwY5&#10;AyDS/Xfl8hV0+1+rVm1kYNIQ9f5N/I1Go9H41iSMjKAQ0h+WMlxH7LJeNi6+n/TsGS0RkV1UfOjH&#10;D6gfKIEBgdqDHxIcLOFNmkjrFi11NG5sTIxMHD9B1q1dp5XrtOfh4Xuz8fOiPa+wgBA/LYkULtJJ&#10;wHCgs2fPalh/06ZNsmrlSlm0cKGKP2H+4cOHa4RkwoQJMmvmTJk/f76mSWpWr65Li2iNZOwxERgT&#10;f6PRaDS+FT3hJ5xMP3lC/0TpGR0jHTtFSPPmLXTmfLUqVaVc6bJS6ouSzgsto0tw2rVtq3P1x40d&#10;K4sXLZLt27bJieMn5Boh/YePNGSO6OPpIvx4vfmZw3/f4HwpHkT0MYRYNMQY36TEJJ1hMGTwYB0t&#10;vHTJEk2HUGBI0SOpAAYZHTt2TCY6QyDQXWuue1hYU22bHDw02cTfaDQajblkZqEYOXyvaA+xR0zI&#10;5bMfHy+/U8fO0qJFK20xY8ocy2ZqVK3qWE3qu/9u0jhEenbvrp7qQue57t27V65cuaJi/zfn6RIq&#10;z1qw57Gowiveo+f/R2fsvHjxQocR0bZ38sRJ2blzpyxfvlymTp0qqSmpOjuAboHhqcNlyeLFsnfP&#10;Hr1+1ADQ7sfxSCtwDIyqkKBgHflLMWWv6D46MKkgtPyZ+BuNRmMhIN5iuhONFK3S/+/mPEbssjkv&#10;uFGwtuZRtFfVefr169aTkMaNdd48hXsUobEfny10W7dskWNHj76cuoeHi4ePcPmTh895UhOAWD9+&#10;9EguXbwoe5yYYxSxVnhk+kgZM3q0Cv+ihYt0RDFbArl+1EJcuXxFR/tSA0BdARESjkkhIfUR69as&#10;kfDQJlKiWHFtnaSVMqGA9Pub+BuNRmMBo9cOhuB71freIJ6MufrxEhXF4Bqq9cOlTs3aWqz36Ycf&#10;yWcff6L/3aBePQ3tM9ee9jwq0inc88br+ovAA84Vem163lTAv2YW792/f1/OnD6t4Xty+CwHYk0w&#10;cw2ie/aS0c4A2Lhxo67wJf/vpUJeVTBINGHH9u3Ssmkz+cKJP3UWnSMipW/CABN/o9FoNP6eiAPj&#10;dSncI4eP2Hfv0Us6dY6UVi1ba+Feg/oBEuCIqNBS1sKJTOcOHXWpDattGW6zfNky2e4E6OTJk5q7&#10;JrRPeNvzUP0Bnugjxl6lPsN4TrlrwrVZsXyFFugh+rNnzVZDiWtHfn/+vHmybu1aOXjwoLY3EtrX&#10;TgFnOPzRiGITf6PRaDT6pOfhe16+5+mTz9epe070uzgPv3Wbdjpel1B+1coMjikjpYqX0PnxtOx1&#10;aN9Bw/pzZs/WrXWEr/FmyV9TtEcuGm/fK9x7lWgVdvjy8gntcw1oV6QgDzFnC+DQIUPUs/dWDjO1&#10;kDw9Ewu9a4ixgOB7RpMn+t775AQTf6PRaDT+jgi9F87XzXlJQzSP7y3S6dChk+7Hb9QoSOrUrqtT&#10;9ghFNw0Ll1bNW+iKWmbqI2B4reSiqTBnXS75ZsS+KIu8LyDGiC7njtGDp87IYVr0KMzbvHmzzi6g&#10;gG+m8/bJ56eNGKHjeCdPnKSDetgOSLEfdRAIPgbEm8DE32g0Go2/I+KPhz94aIrExSdI1249pV37&#10;jtKsWXOduFetSjUpU7K0lCiWsSO/Xp260sWJx7Chw2SaE/s1q1fL/n37ddgMgk8uGsHCw/UHD98X&#10;EH+8fLz1u3fvynFnDDHZjxA+Vfp9YmJ01e/48eNl4YIFmsc/cOCAnD9/Xm7dvKkzDb5+8UI9fY6D&#10;gL/pNTTxNxqNRj9l1qK94WkjtVL/pZffP1Gr9XnuMnWvSWi4BAc11rW5tOgR4q9Xq7YEOI8/yP0/&#10;Yenx48bJ2jVrda4+Hi1ij8j4G7ywPiF4vHzEmnoGKu/JzTNyl9A91fnk82nR69Wjp4p/2vARMnfO&#10;XM33U8D39OlTFfq8Ap8Nw4vPxQTA5uFNX4p/REQXJ/4DTfyNRqOxKNML7TNedxDtef0HSs9evTWk&#10;36xpc23/ql2zllStXFUqlq+o3n3LFi2lpxOqpIGJMmbUaN2ct2zpUtm+bbucOnlKC/fw8qnaf5uw&#10;dGGGJ/ycP6F9FurQosdsfQbrUJ3Pzn6G8MybO1cH8RApYZDR0SNH5dKlS1r0R00ES3ny0oBC/Im8&#10;YJAQdWia2eqHQcc+Be4BE3+j0WgsCsxStIfYZwzhSdNRrkmDhmiot1d0jHp+DOBp1LCR1K5RS/fi&#10;lytVWiqUKatb9EIbh2i1/qSJk3TELmFrNud98/XXL4v2ED0vpA8Rm6IMzo9zRlDx0P/yy1+0pgHR&#10;J91x5swZ2bVrl8yePVsG9B8g3bt31yE8hPknjB+vefyjR47IfSf23377rVb8I/ZZr2NeXkOOxXs8&#10;f/5clwgxVKlksS80otPNaSwDmUz8jUajsZBTRd89zHmg04ePh9+3nxP7Xhli37pVG93nTh6/Xt36&#10;EtAgQIfvtGzeXCI6dZbevaJloBOt4SmpMnP6dFm/fr0cZoDMlSvy+PHjl5vzECuEyt/AOWP4ENYn&#10;1XH69GnZsX2HtuFNGDdOWECExz9nzhyZNnWaFvItXrxYve4D+/fLhfPnNR1AAaDXovcuwefFyMBo&#10;I+oQ3KiRdmYwcTG6t034MxqNxiJBxJ+H+Qjn7Se5B3ufuH4SERklTcObaRteuTLldPAOW/M+csTD&#10;bxbeVGJjnYc/aZIWnTFtj3A+3uwPmUN4ECo81KzeaVH38n2B80f4Ce2Tx58/b74MSkySMGdQVatU&#10;WTq0a6d5/MWLGLW7V0P65PExGEgLYDhlLYB819eQ9+F7JCJBoWFDZvuXKCnh7n5g0RIFnkSIfN1L&#10;+UkTf6PRaMwlEXpC+smpI3Smfv+BSfpA7+4epJ06RaiXz378xo1DJSgoWMP7tOcR+mVzXqTz9Ack&#10;JGhempDwvn371MOnytybvPeuPdOCCEQZQweDh1z582fP5O6dO1qFT08+LXq05y1csFCL9dg8SE1E&#10;vDOgJowbLxvWr5cjR45oix7hdsLu78tQ4vvjc2zetFk7Cxo4A7BCufI6gpnZDbbS12g0GgsZeWgz&#10;eW9A4mCJ6ROvBVwtW7SSBvUaSHnn4ZcpVVpKlyilufzABgHOGGitu91HpqXJgnnzZOvmLdqLz5hd&#10;QvoUnPkaIONv4Jzx0Cm+e/jggY7a3bRxoxbssRa3X9++EhcXpz35hPSZrb9n924t3qO6nwJI2vu8&#10;uggMifcl/nyPFGaSjujVs6fUq11HqletLp07R+q9Q5QII9LX/ZWfNPE3Go3GLMwo3MvYnJc6Il1b&#10;88jjD3SC3y9L4V5r58mFhYVLEEN4atV2gl9RalarJvXr1JHmTZvqg394aqrmppm6d/7cORV8bze+&#10;vwJRRpzxzrkWX7/4WiMfLBliWQ47CMjXc93SnNHE2uH+CQk6wXDGjBla3EdoH8HHWMBoKAjpEML9&#10;RC6I4LDvv3+/BGnZvIW2bBIBYnATqSFf99z7oIm/0Wg0ZmFGaJ+peym6gS26d6xERkZp2LZJkzDt&#10;165Zo6bUqF5D6taqow/2tq3bqNgPThok48aM1QEy27Zu035zwvqMiSVv7YkVQuGvQKjx0DGEEHF2&#10;5TO7YPzYcVr8mDRwoEyeNEkWLVyoqREm8mEQUARJX763RY9jeAV8BUH8MeiYu0ChH7sBmoaFaesm&#10;Vf5t2rSTuL4JBaLQz6OJv9Fo9Esi8hle/n/b84azOS81TSuyeVjzTMTDDw4Okbq160qVSpWlXOky&#10;UrJYcalQtpyGdFu3bCVJiYnqqW7bulULvRAoxMmfgSATzsfQQRgJx7P2Fs+Y63P61Ck1kObPn68F&#10;e506dNRdBSwoGpGaqi16tDryWjoeCmotBOcI+b7pRti/b5+mKiqXr6CzGxjRjNfPYKeCkOv3aOJv&#10;NBr9klqhnz5Ke/H7Ow+fHH637r00N6ub85zg16/XQPfjV69aTQv38PC7domS2Jg+MmzIUM1Jszlv&#10;546dmqe+cf26hqMRK7xSfwZiTZQDsSfyQfEe6Y8li5fInNlzZOaMmTp9D6OJQr4Z02do6x6LdSiE&#10;JA3w8OFDvZYFeZiRl8JgaBCdG+wJaN+2rRqK9evWd/dThN5fw9x9ZuJvNBqN+cSsHn4Gx0ha5tQ9&#10;Qvvk8buqh99OmoSGOcGvL9WrVJWypUrpZLYvPi8mFcuVl3ZO+JmrP2vmLK0u95bo0NNN0R4C8LfM&#10;Fj1/KtzDw8/q5XPuePp4+YTB7929q7n8VStXyojhwyXSiSHzDfo4A4qaCFIk5PGJmCCgXz1/Lj/+&#10;8IMKftZrWRBC+1nhnTfnSYcB9wMFiUENG2mUqGb1Gtr5EeuMSsY6k+/nPvR1j74PmvgbjcYiyQzB&#10;x7tnc15G4R59+IxX7eMeyLTndezYWVo0b6kz9anYD2wQmNGaFxoqLZo1lw5t20m3qCjp37efTJsy&#10;VTZt3KQtZVevXNVe8vfZUlYQgCh7Hr43X5/QN1GQ/fv3y5YtW5zor9LxunPnzNHdBMnDhsnI9HQd&#10;W8zs/YMHDrzcle+1Ohb0a8p5Y+BgoLBAaM/uPTJ1yhSJ6tJFVy5jQIY1CdduEA33jxxToLx+aOJv&#10;NBqLJBH/tJF4+GzOS9ape95cfQbwIPaVK1aS0iVK6uKV0iVL6drc9u3aaXU5A1pWrlihM+MJWSNq&#10;Xz79Ur1ZCvcKi1C9S3giqC16Dx/KuXPnZMOGDTJhwgRJSkzSMbvsKUhNTpHZs2bJurVr1Shgxe7t&#10;W7detuhlvZ4F0cvPDiIcGH7cC5wPi4NatWiplf0VGdMc2kS6OXGlYJQakpFO+AuS1w9N/I1GY6Em&#10;D1UeruTw2Y3Pw1a9/MxFOoxU7RLVTdq16yDNm7XQMasNAwNV6OvUqqVFe40CArU9j/34o0aOlCXO&#10;U+Whfv36de3FL0hV5e8LiDL57axe/oP79zU3T1cDeXpa3BjCQzh/QP/+0ttdT3r0qY3Y6IyCU6dO&#10;aZU/v4/RUNjgGTsU9+HxszOAfn4MRsL8LGmiTqRDh86a5+deLEgV/llp4m80Ggs1EX7CqqnOw0fw&#10;8fCjo53gd+mmA3gI5fNgrlKpilSuUEnbr0Iah0jnTp1UmEampcusGTNlzarVspvc8+nTKvqIlLcI&#10;BuHH2/Nn8c/q7TKkiMl7REbGjR2rtRCjR41yIj9Fw/tLly6VNWvWyJbNW2Tf3n1yznn6TOwjN+61&#10;O3JNCxv4zBgudCBs3brVGTnDtX4hoH4Dbf/0Qv1x8Qla4EfKqaCF+z2a+BuNxkJDr2jPa81D8Ifi&#10;5bMfPzOs37kzA3jaSbh7EOPd0z6mm/PKlpPqlatIWGiodI2KkhEjRsjypcvk4IGDOo7V6x3Hs/PE&#10;3gtB+4voe+ea1cv32vMQbgoc6bWnQI+qfAynHt17SMf2HSShbz8Z6wwBevPpyWcWP7/D73Mcrmdh&#10;u6ZZrwVpCYzBm+5eISo0yhk77BdA9OkGYWFTp86R2iZakCb55UQTf6PRWGiI6DNXP2nwUOmXMFB6&#10;x8RKRESUrsltHNTYPYADdXMeBVc8jMObhGlIltxz4oABMip9pOae8Urpx75w4YKGrvFmebjzkPdn&#10;IHYINAYQLXZ4uOTnt2/fLksWL9YivfHjxmtx25zZs9XLnz1rtiyYv0DD+gf2H8i8phmDeIgUcE0R&#10;0MIG71rw+bkW1HwcPnRI5s+dKwP795c2rVpLjWrVNdRPjp/iUfY8EOrHMC2oHr9HE3+j0VhoyEMV&#10;zyomtq/m8Vu1aiMNdGtaKfnoT3+WD//nT/LxBx9qER/eGINjqCzXne5Hj2qelhw+okQeP6uXX1i8&#10;0XcJzh+xw1tH+I8fP66V+okDB0rbNm2kSUio7izoHR0t06dNU6OAKX14+ITD8fB9XdPCeF35zJwH&#10;58S+AYxFjB56+EsV/0KKf/a5lPyihBaOdsms6tfiPmpQMunrHi4oNPE3Go0FinhMiHxGlX6KDBg4&#10;SOLi+mlIn5n6jEpt0iRc9+PXrlVH6tWppwV7YSEh0qZlK4mKiNRcPj3l7FPfuXOnVqHTQ47w06LH&#10;LHmq06Gu0f3hB33I+5Pnj7hhAJHq4LowiOfSxYu6Nnfl8uWybOky3aQ3b948mTB+vKZJmLU/auQo&#10;XZ+7b+9eHV387NkzbXnj2hVGkc8OBN+rbSB1ceDAAY16MHWwW1RXCW4UJJXKV9RwP5sb6R7p26+/&#10;Cj+RKV/3dEGkib/RaHxvzOoleSRXyoOU0D678aO69pBWLdtIUMMgLdyjlQrP3hvAE1C/vvTq4Z5d&#10;I0dqGJopawyV4cGNuFOVTtgWz5Q/ye/z93hykAp0hM8zALycdFEC55OdnCfFdxg/VOyzJW/B/PmS&#10;4Ayn5uFNVejS09KdATVPW/T2OrE/ffq03Lp5S4shvRY9rllWT7+wIft14Xy4Z5g9sH79ep3YF9G5&#10;szQMCJCqlaroEifd59CmvfSOidOFTzrEpwAX9/miib/RaMx3IvI8KOnDpz1vWMpw3ZyHlx/ft7/0&#10;6hUjEZFROlc/pHET9fKp2qeqOqBefWno/mzsPLCmTZpIXJ9YHRPL8hcq9QntU5iFIHnAM0WwyEer&#10;Z7tihXpzeLCkBBg7e+L4cS1o88LXiFlRAOfBtaCmgcl52qL34IF2NCDmFK/Rords6VJtyesbFydt&#10;W7Vyf8bryF0G9Xj7Cij8K4wCnxM4FyIWfN+cG1EhjEbaFmn3HDZ0qLR216J+vXo6rhc2Dg6Rjs7b&#10;7xPbV5Ip7HOiT8eJr/u8INPE32g05jszKvZHafHewKTB7kEa7zz87tK2bTsJCw2TBvUDdAc6rXns&#10;ya9fp560d38XHxsnKcOSdQDPgnnzZa0W7u3XvDPi5OWeEbqsRWb8HNFnSt+USZNl4oQJOm1u7Jgx&#10;kjYiTYYMHiIjUoc7D3ed3L51W71aQuKFHZ64Yfwg+l7Ug1G7XEPqIfBsx4werYWQVOpjGHFd9+3Z&#10;q5X93kZCrivXpCiJP/cIIX7SHnj67GiggFFrHFq1luBGjaRWjZpSr249CQ1pIm3cPdi9Ry9J6J8o&#10;g4cka3qqIA7wyQ1N/I1G4zujF8qnD99rz2Om/tDkVEkcNETn6rPxrF37jhIe3lQr9KmgZpY+RVVl&#10;SpZ04l9WmoY2kUGJSTLfCf62bdu0Ah2x91rz/shL57UskOnRrbsu5WGCX0K/ftI3vq90dz9r3rSZ&#10;7l4nzM1Ev5s3b+qxC1sKwPPyuSYIPmH5F064iYacP3tOQ/sU8FEP0a1rV4mMiNCRtN5WQjzea04E&#10;yXfz+0Ul+uGB8/E8fUSfVA/FfOfctWEy4djRY6R7124aYSr26WdS0t2D3IuE+YlEJQxI1CjVyNGF&#10;z9PPThN/o9H4Tvjf0H5mDn/QUA3pI/adOkVIixaZM/UzB6TgXTUObiytWraUqMguEh8X5zzywTJ6&#10;5ChtJaNwD9FHmAnPEqb18s1ZvXxfIPdPGDemd4zmb1s2by7NmznBb9FCOrRrL12jukqfPn1k4ICB&#10;kpKconUDjJ5FKP7o2AUJeOZcl6y78lcsX6GiNjItTSv0WaRDbQRte+zMX7N6tUZFuLYYCXj5CGNu&#10;jKrCBiJCePm07VHrsWP7Dr0WyUOHSXTPXtoWSu9+w8CGUlfvxxBp3aqNdO3aXQ1VjFb19guhp5+d&#10;Jv5Go/Gt6Qm90ok9gk9Yn4r9Ye6ByahTevI7de4izZyXjWdF/hTPqkSxYlLi82JSs3p1nY9OrpnZ&#10;8Cx9ocjs/LlzcveOE6XnGdPhECZE3xNmPPM/8s4R8rVr10riwETN4daoWk3fv2a16joLIN69J+Fv&#10;5gEw/W/smLFayY5YZK0dKAjwzpdz9zxZRJ/PSkEjdQsIG54sOXtSJcHOcw13ojY4KUnFf8vmzbor&#10;nzQAYkiUA0+f43jX1bu2hRHeNcoaCeGewbChuBFjhyhS8rBkbQflPiDCxK6H2rVqS0hIEx0H3bNn&#10;by3oY1rf8BEj9f7OEH4Tf6PRaNQHIoV77MbHw+8/IFFiY+PVY+IhyhAe1uXiSQUHBTsGSagT2WZh&#10;4Zpb7dI54uWOfKbEZXili2TpkqWyYsUK2bZ1mxOr41qMRZueN3Y3t54prz958qR6/wkJCdquRXqh&#10;invYs4yFegJSAi2d8cH4Xwq9jh09psKIKBYkIMoINJ+Lz4e3jtdOuoJVw7TnLXACTxifQTzjnCEz&#10;KDFR0oaPkOXLlsmhgwdf1khgLBSF2oas8EQfwScKguFHPp9ah3Xr1mn0g/uMPQ587yHBjd29UENq&#10;1agljRoG6b1KiD/G3b/Uo1DJjzGL8Pu69wsrTfyNRuNbkwcjy3T6JgxUb6lz50hdokMPftmSpaXU&#10;FyWkBPnT8hUkoEEDadO6tYb1KTSjF5+WKirO+RPxmjZ1ms5NxyNn/zsV/XjjGALMlCf0T1EeIpgb&#10;IHC8/vq169q65vVrs36VnC6RgLrO40P4YeKAgTq7nfAwAlKQgCeL8JOXv+xEfMf27TLdXa+42FhN&#10;aZDLj+3TR4saiXYwW5+q/hvXr8uTzH0FRFCIFCCQGBNFBVmFn3NktgODijB6UlJSJCoyUlc2V69S&#10;VYdA8b0H1A+QJkyC7NBJoqNjZMCAJC3mY0QvBq03prcohPqz0sTfaDTmmjwIM1rzRuia3ETnGfXv&#10;n6hjTbu55wdefjMn+nj59OUjpDVVWGtJQ8bthobqhLQe3btL0sBEXQaDJ8ac+FWrVqlnxp9sShs+&#10;fLgKWscOHaRXj54ywnmuc2bP0XQAs+WJBDCUhnw+YWse+jmFqj1vmYp1ZvnT0tYvvq+0a9NWWwbx&#10;/tnuF+q8QAwTPhddBFS68zvvC3xuwtVauOe8fKIeN67fyGjR27dPaxO4dnQt9I2Pl969onWbXnp6&#10;uhpKCB+RAQrbvBy+r+tTWOF9rxh3tDHS1cH50qVw6NAhrWeYOmWqXhO+VwxPDD7d8+DuS6bzNWva&#10;XCf0sYxnyNCUQtev/6Y08TcajbkmOXyG78RRuMcSnYguujmvceMQ9fJ5sEIK+BoFNlJxjY2JkaFD&#10;huiUOObC01KHZ41Q4al2aNdOWrds6f6/l4ouE+XmzJkjs2bOkkkTJ+nwnkkTJmoom21xc+fOlalT&#10;p6pny0Y5ctuI9KvEzfMIEdLHTkART2bRT5syRQYPGqQhf3K/Mb17a8gf0SC6gOi+z7A4Xj4ePnn8&#10;Y8eOyYb1G7QVjfZEihNp1ZsxffrLwj06IQjr05dP1AIx9IYXvco4KqzgfIiC6MId930h+LQresYQ&#10;G/fCmzRxhmhDNfAQ/5DgEGnRvJXO4u/Ro5fExvXV+RJErl56+ib+RqPR36hFe448BLU1LzVNPX0q&#10;ndmP35Nq/c4R0rx5RrU+S3SYvFe1UmWpXL6CVHPiX9d50WFNwqRXz56Snpb2cpkOg2Qmjp8gAxL6&#10;q2FQt3ZtLbT65MOPtOiqR7duMtKJPTPU58+fr8VpeLYM5Fm2bJlW/RP+pw872hkPrOXlQc8+eW85&#10;D4KQExA+jARm12MwHDlyREWT3n9y4tOcUYF4nDp5Ur7/7jt9fX6IJcKM0CPSfDYEmzSFVu1fvKSD&#10;eOi/xxgalJSk7Whs0qMbgtw+LXwM7SE6wO97Qu+JfVEQfM6B88IYQ/CJyHz94mu5c/uOnHXGDmkj&#10;vj+8/NYtW2l/PimdksVLSAX3J/9Pr36nTpE6oIdZ/DqZz93jFKkWxdD+q2jibzQaX5KHH2FPnas/&#10;JFmHmfTuHStRUd2dp9RJmjdtLg0DGmpFdNUqVdXLJ4dKuxyefJITZcL55POjnSdPbp2cfdcuURq6&#10;7xrZRefvh7jfqe0exoRfGdP7yQcfStlSpd2xA7UICw88edgwrQlgRzwCP3TwEEnol+Ae7gPU62V+&#10;P7ltQtwrV6yUE8dPyJdPv5R//yvnIkAEBEHEACCXT8rgyuXLOt3v4IEDcvLESS2Go0gsvwr9+EyI&#10;PmKG2F+8cEG7HBB7Ch8xhEhTzJw5Uw0iphIudsYQeWyG0jDVkMjAN85Y4DPntg6isIHvjfQO44gx&#10;dI4eOSobN2zUFBFdDIx4bte6jXY1UM9Bu16Q+zOkcai0dPcc63apR+nbb4AMcvc27aeel+9Pou/R&#10;xN9o9HN6Hg/E40f4eTjGu4ckot+qVVtdl4vg40F9/sln8vGfP5CPHGnRa9GsuU7Io3Vq965dOiqX&#10;EP3w1FQNpVNUxT79Yp98qiLv/S7e/mcff6L89KOP9U8Gq5QrXUbDtHj1DOFhIA0DeRjCQ4dAF2dA&#10;IP6E6zEQqAXwls1cuXxFhT0nT5efe0RMPI+b34H//Mc/VTz5eU7HeFv4en+EH4MDIWe6HsZO927d&#10;nHA1lrZO0Ho6w4mfkeMnpE/Ugkp9rx+fYxQlLx9kv058L7Tqkc8nvYHoc18QYeI+5B7inmLvQ93a&#10;dTWXzyKoPnF9ZWDmxj3EPn1URuV+1vt+FPTxb6Mo08TfaPRD8vDDw08dkS5DhqXowzG+X3/18il+&#10;YnNeWObmPHL5eOSNg4Od0DdTL588fYumzbRHnvA9nj2eeGpyiub3+8TE6GsC6zfQhzHrT3kwf/Sn&#10;D+SD//c/SlbvqvC7n2MQ8PAu9unnUsYZCqQRmoSESP+E/rJwwUJZsniJhnTJcQ9OGqSzAHg/QrxM&#10;6+vXt58aALt27tKiOMQUwSgoQMQ8ofdy1HzOjEE8B2Xz5s26RY/FOnQ/UATJYB5SEXj9pD7YXcBu&#10;AqIDRC0If79LI+V9gXPi3PDynz979rKVkWjI8mXLdSwzNSOkiJgLQW0JUShaN7lX8fQpPO3RI1qH&#10;Sg0aMuyl8Pv6t+CvNPE3Gos4s3o4HjMG8KTJoMFM3UvQwqf27TtKWFi4TtqjJY9d5WzNK+PEm2U6&#10;7Z2Yk2+eNWuWihTFe4OcEHfq2FGNg9o1a0mt6tU151+pfHn9vS8Q/UyRxwD43Hn/iH5Wz58/MQY+&#10;/fBjKfVFSY0u8P7kaAcPGqz5bvr7valsLPFhUh/1BAzlYTofUQLaAqkJIP9POB+P+H3B81o94r3y&#10;eahJIJdPcdrhw4dlkRN1hgvRykjxIwN5mLnP7H3EntkEnDuC//WLF2rUeC16RUH4s18niPBTaEkk&#10;hAFPRJIoahw4YIDWOQTWr6+tekSUuEcQ/6bOy2e1LtMjqdqnC4WZE9zj3Osa3nf3va9/H/5KE3+j&#10;sYjSE3q2jqUyaS+zPQ8vnwckD8rOEZHOy28r4WFNdbIdM8wRctryPDYKbKgePwKLpz1h/ASZPGmy&#10;hvXjnFg1DW+qk9HI3SPmH/3pz/JnJ+Z/+j//V/8bUcejL1HsC2cAFMvw9jO9/C8+L64GAcYAPytR&#10;vISULV1GSQEhosg6Waay4e1S0LZ92zbdK09dAF0CtHAxn54QMAOCmBNw/vz5fMvZZwcC5hXv4b1S&#10;iIiXT0/+4UOHtE2RGQK0NDLPICU5WScPJmRGLxD+o0eOvJxl8DrDjAobPC+fIkWiIYxtvnrlitZf&#10;8L3PdoYe0Q/qSRjH3MAJP5MZK1Wo6IzN2prTb9O6rRqvRK6IYhHNYlukif2raeJvNBZRehX7VDQn&#10;ZpmrzwCepuHNtPWpWuWq+iClKrpO7doSGhLihDRKQ/cU29F6N9x5phTW4fm3atFCmoWHa+69kTMS&#10;6OPH00esS5copZ47oo7o481//vGn+nNI1TUGAH+PEVCqREkpW6qMRhgwADAKqCfAIChdsrR7yFdx&#10;79dK8/sIInluPELG7m7auFGLCxnM07RJmCQ6r5DPSvU7Yoq3yGvfBxB/vHPEjCEzRCsYpztpwgQt&#10;euzTO0YHGNGuSKSClcIYNIT/z587rxGOZ8+eyQ/O2OE45Lo5ZlEEEQyMOowjvHwMo5mMJHZGH4Wh&#10;zIUIdsYnBmijhg119wOGKqueSU/FxMRKv4SBOlUST394mjeUxz+L+F6HJv5GYxFg1ta8jM155PJT&#10;tZ2pL6Lfg2U6kTq6lBG7dWrV0Up7QvMU2FV2BgDrSzu0by+DnYDSa890OCrOGRFLyDU8LExDrYTv&#10;EXfC9Yg24l2uTDk1Iio7wS5ftnyGh//RJxlh/LIV3HuUe2kcYAQg/KzqrVi+ojMcyur0v88//SzD&#10;APj4M/fa0u4zVZa6zrho4gQgbcQIzfsi6PSuYwAwtraeE//mTZs673C4hst7RzvjpmNH3VxHQdy7&#10;RNaCPbxXhJrPh7fO6Fzy+Xj6eLDk8GPcZ2vgDC4Wx1CjgNdPe9o5J3qEuDlGUQSGS9aiPa+d8WXd&#10;A62M+/ZpzcO4MWO0foT7zCsCJaJUrUpVjUoh+t2caCH4zNs3gX9zmvgbjUWACD9hfTx8Ruz27hMn&#10;kRFdnJfeTHOiePkIfp3ajK/NECAdatMrWoun8O4RWHry+TM1NVWr6Zmw1yUiwnn6jaVKRSfUpUqr&#10;946IV6xQSWpUr5lxzHoNJKBBoAQGNJR6devrzytXrKzCj3dfzgk8BgLMCOuXVSOhkjsGP8Mg+MI9&#10;5Dk2/13Gef78Pa2EdZzAkwvfumWrev/Pnz2XL58+lY3rN8gAiv3iWcqTKkmJSbqtDyOGFjnE5V0C&#10;0UfwycMTrtYhM857J5zPpjgKFKdMmaL/zRCeubPdz9z/L1qw0Hn62zWfz2IdvHyOwfGKIrw0CMYN&#10;3wn1GN6QJb6n4e67i4vpo/sdWjZrJkFO5OvUrK3dJczap2q/vbtXuzuxoj/fG8hTVLbrvS+a+BuN&#10;hYQ86Dx6nr63Ix/hTxiQJNExsRIZ1U3atm0vQY2CpWK5Clp0R+EeG/TIzTOAh8lntNAxRIcQOqNs&#10;t27Zop4+1dRU67PutkG9elq8x++Tl8fTx2vHw69fL0BCQ8IkLKypFlw1a9ZSGR7eXELczwMCGkm1&#10;qtU1hI8BUMF9Fjx9/qxQ3v13hYoaLShfprwaE7B0yVJqYHh5/3Jlyuo5YKjMmTVb+/DxkvEcz509&#10;q8N/mPJHYSDpigb16kut6jU0xE7fe14hu/dKuJp8PjUI9+/dU++danR68elCYL4+xHiaPGmSCh1b&#10;9G7duvVS7DEcEMR33VqY3+A8YFZP/+efMmofbt64qf35FDpSP0Iev3bNmkJHCB7+F59/rkYjok/H&#10;Sfce0boRktZTolnc69z33P/Q178TY+5o4m80FhIi+oi97sYfPEz3i9Oa161bT92PzyATJpjR6kTx&#10;HiQ33zy8qXRo20535FMhT/4+iS1vzsNHOJkaR1iahTe0lOGxkjenoK5t69bSKCDAGQAV5JMPMsL8&#10;hO/x2PHuMQAaB4eq6Ldo0dp9hjbSvHkrZwy0UMOgQf1A3ZjG6zEACPXzcK/iPHqMgDKZUYGK5TAC&#10;MlIDeP8IAcQQqOQMhqZh4ToVkLa/C+fPa3gd75GuA8bxUvDHRj5mAbC8ZdWKlXm6kAchw+D45utv&#10;5MH9jJA+BpOmRbT7YYFOL6QTgWs6fvx4vaZsEWT2AQWIpAK8Ubv+4OWTdnnozpmhRWwc5FrNmDZd&#10;jU7uLYzLQHdv1apZS+fsU8AX2CBQo1X05xO9GpA4SO93RN/EPm9p4m80FhLi8XjC3zsmTjo6wW/q&#10;vO4G9QO06I7cfYnPiwu5fFqgWjghpB+e4TCI5No1a3XE7sqVK2WaEyaK4zAGWJzDOFQ8MXrKyfET&#10;qua/Kfzr7jzYoMCGOkiF46t3jmeON++EGQMgLKyZij4GgEcMgiZNmqpxUKNazYxcv/Puq1Wp5h74&#10;tdWrp/ivbKmy+vcU+CH8dAcoP/pEw/8UJbKAhRnthPh37typXiT5dK+IjqFAjQIDNa+O6LKOlyr5&#10;vAIeLANmmCxH6yE7BlKSU6RNq9a6Kz/afQa6IJi854X08fKpTyDU/bMzVv6WWbxXlLz87CA6gnGD&#10;cXb3zh1Ng2BQDhk0WO8xCveqV82YDJnRl19Xa1BastaZ5Tpx/WQgYf2hKdqml9XTtxB/3tLE32gs&#10;QPRC+p6HP9g9BAckDtYCJxaQdO/eS718NucFBjaSgPoNnLcUoJX3CDQb6vD0O7Zvr/vxyeEzHnfG&#10;9Bkq6ogTW/Hmzpmrf0fhGQVWtMthCDCal9YqPFdvcQ4GQJsWraSM88oRY0L1Xq6e3D2efUCDhhrq&#10;x+PH+4cYABgEGAHUAeDZ4+kj8hgAmusvVkJz+zWr13I/r6oGAsJPseBnH3+q70drFwVfVStXlrDQ&#10;UBmVPlKr5zmfoc6Aie7prokzYPiTfnDEGeF53QI6z2slpK9evjMw6K+/eeOGFhvu27dPlwgh/LPd&#10;e7Nch/fk+qW7/8aoOrD/gO6OJ7Sfl8ZHQYR3vWipxMt/+uSp3Lp5U7sbdjkDjaJLCvgw2Fq3aqUe&#10;Pt8j9w/CTwEfBirtptG9+2gun5ZUb86+r38fxryjib/RWIDIQw9vJzl1hOY6e/aK0ZnkrZxnRDif&#10;ATx4TQhpKSfGtLoxcY8NZkzXQ7CnIvYzZmg1Of+fPCxZuiHwzvMiB02Yn415CJg3SY7QObP4matP&#10;fp2Vu1T4k/+fPHGizuRnAQ+iTwU+RYMIOKF7wvIIev26zjsPa/ZS/LMaAEGNGmtYl5A/Yk/kwCv4&#10;q1IRY6C6/jeRAToFvMI/6gWY+MfPqTsguoGhw1rgyMzd9Sz54TxpmcPjpibgTSb8ZfVatfXs/Hnd&#10;lY+RQYqEa0QnBAYR4fz169drncTePXvlzOmMLXoU/nljd/HyizIQf4Tf677YvWu3jnhOcfcb+xww&#10;QomK0OFALQZ780NCmrh7gjn7EdIrOkb69usvA51xy/wJPH1mUpiXnz808Tca3wN5uLFQhJAmYk8x&#10;kzeEBw8IL58wqLbmBYXog5NFOAy+IawPKzoyApf59xNZeTt/gaxbu07nv9NCtmI5i2Fm6tx9hvSw&#10;NY/QKwNl2IzHpL6FCxdqSoCte4go4k8/f7eu3TQtwN/RYz+wf38tzKJYMCgo2Hltwc4IcIaIMwAQ&#10;cUS6etXqL/P/CH5WIyCsSVNp1ChYw/1lnIBT2U/xHx4/RgRFfaQRVOQzhR/jhqE/xZ3oQ8S/VPEv&#10;pIIzQmgFY7wwhYlU1O/evVur7RFeRPyPkDU3jVBjLGQU793PbNE7LJvdNUT4uQ7M2WeaIPUSGBrM&#10;lud1CJ+Xwy+qoXzOi2vKOXKuREWopyANgsFz7OhRTSmNGztOekf31joTCvg+/zhjqiMGG7P2mS3B&#10;Cmhm7ScOGuLu+5E+/20Y84cm/kZjPlND+070Ce0PHZaqHn6f2Hjp6v79MaKUhyQbyWhxq1q5qtSq&#10;UUs35xGaZ+98/379ZFBioooSU/bI6Y9x3jtLbpiFP2xoxjY8Cvfo18/Y/z5CEvr2VbHEw6cfnhG5&#10;CD579qn6R+hZD8vqXLalEeamuI6qeqIEkRER0swJLmt8aelrGBik4f4q7jN64fyA+oES0riJVvxn&#10;FX/SFE2ahEv9eg2knDNaEH88fYyByu5POhHI/0MG/RDyp8eb8D/93hg7pDU6d+iorYns96fSn+E4&#10;ePvMfydMjyeaGxFGzKjW14lyV6/qHnj68adOmequbZKMTEvT4j1a9CCePgt3eD82AN6+dUvFDyFE&#10;FDleURV/r2qfc32iK4Yvyt49e3SrILMVuIeILLGAiBZStj7SVorB2iQ0THvzIyO7Sm8dyONt1Buh&#10;97+vfx/G/KGJv9H4jul5+YQzvfY8cpsIf79+A6R7j166iIQHJSF1pu2xAS9j4t2nUq1yZe1fj4+P&#10;l0mTJmnRHp4nVeS06eG9M92OHe+sMm3dyhkJ3bvrzHgEnfD0unXrVNTJ83eJjHy5IY+UAYYBO+0p&#10;oCNnS76a0DdeMflvCtbwrBmpS0SASESDzCp/BL1WjdrqtRP+r+kMFQwDfk7I3xN/L/zPoiBSBXj3&#10;lSpmiD8pjI///KF8+D9/UqH3pv3pfzPkxXn87BYgv85YYabAIfYvnPjitfMZEWBEKrsI899ZPVdE&#10;jPPCSNDZ8c64YdQuLXrUO3BdiCxQyDcqPV179pnBT1QBLz+n9ysqwp/9esFf/5oxvIjrdcoZWhhJ&#10;GJfcbyHBjXVAFFEZOjOoz0D0if4g+HF9E36zPjdr8Z6F9t8vTfyNxndEL6yvu/GHpmhuk13ieEBd&#10;IqOcSLeVcCeS9DQjmAw3YXMem/JaORGiiK2He8AyAIVKfG90LSI8btw49ewJS+O1awHa8BG6Rz+2&#10;T6x6+OT36TknV03+n2I/vFnm30Oq09kgt82J39kzZ37jPfPQ94DgEeKmUHCoOxY7/Qnj0mXQoEGg&#10;CjjeP/l8z5tv3Dj0N+KPGBANYBBQeSf+hPEJ61P0h3B84IQfoaelEKFnWxvi0i8uXoYOGuxEf5Ks&#10;WrlKDh48qFX0hJ3pk0ekcgIihth7BWmPHj7UufF4+fTdr1i+XPvNiY7MmTNHWBE7euQo3RpISxpe&#10;PoV+3nXhOrxuHUFhA9eT68X1pdiR7oYjzvjBOOR+YxhUXJ8+uoSoaTj3Llsf6+r9ENwoWJo3ayEd&#10;O3aWHpl787nvU0dkjNz19W/E+P5o4m805gE9TyYrdaGOe/ANGjwsY65+5ohdJpYRFqV6PmOwSTHn&#10;DZd3wthA2rZpo4I93omzDuDZtEnDzV7RGW1t7M/ndXjwFKDRlsdryM0TCif/z7Y9BvmwUpcCOZbG&#10;YCDwEMeLP33qlPPyb2nYG2HDs+Ohj1frebQe8JR5HetkMR6IFrDBjyp/hvgg9kz5Y/APbYBM/mvo&#10;DJqsrX/e4B+t+nfnyihfPHwq+1nnyx6AMu53aQXrFtVV88fk3BmMg9eNEBFmp08eEc7eMud5rFnJ&#10;OfBazo/c9JEjR7QokMp8Zh50jYpSAyndefiE9elF1y16V6/Kg/v3dUwvtQBZrwvHLQrIfq08epEe&#10;DJ7jx4/L+nXrnEE0UudE1KpWXao4L59aE7bqMTUyNCRUWrVqIxGE9XvHSv/+iXq/M3qX6FZWT9/X&#10;vxvj+6OJv9GYBySUj4c/NDlVH34DEwdpyDM6uo9EOi+/VWtvc16o8/CDtPqZSv2GTvDD3AOUSvwu&#10;EZHqsePhU1GO4ONtI+oYAuRXqcBHuBB+Kt3x9Mn1U5VP0d7SJUvViyU9MHTwEN153rtXL+3ZpzL9&#10;5IkT6jkjpBRv8cD/IxAFQAS//PJLreimvoDCro4dOrpzCndGS4BUd4YAXnyxzz7X4r/azrihwj8j&#10;qtFIc/1U+1d3AlK5UmWpXLGiTuLjOnD+7Z0xw6hhKsU57z279+jnRIARpFcBkUeYeZ23RY8RsqzC&#10;RcwRdc/Tx1Ai9UF3BOuJ2Q+A8B84cEBH7XoFfBgXr4oqFHZwbhrSzxxPzHnfuXNHJxWSVmFgEXUV&#10;1JawK4F7lQFMzGagVY/vjdoUZk306hUjCU706c3XYTxO8E3sCz5N/I3GPCA5TSqYEXxy+PTiN2/e&#10;UleOUrhHXpTCtppO8CiIoqK+rxNuhAjRZu47VeujnJdFARUFeVSW909I0KI+NsBRjKftedOnax8+&#10;vxvvPFdC5C3Cm2pf/5gxY7SHn7qAzZs3y47tOzRUfvnSZRVEz3vGm81tCBuh8PLktMARCseQoFuA&#10;CAMT2ejHJ0/Psh9C+hXKMpe/qtYBMAuAED9FfYhHrZo1td6AqXzsD6DtkJY6BvNQXHjj+nXNL/M5&#10;Eac/+pye8BO9IEJAQRp5fKIUGYWO/aR/vwQN6SP+K1as0M/PdWGTHFEBDJus1wXmxjAqjOC8EH6M&#10;HIwrRP/o0aN6XSgejXUGaCt2JBDSr11H6tSspaH9wMCGasBSn4JwxMX3y2jTy8zpDx8x8qXwm/gX&#10;fJr4G425JA80bwAPDzoeeKwRxePpm0DhXrR06NhZ59wzV79B/QY6aY8QKeJPexoDeRhDy6IavHsq&#10;ybc74SO/zJAYFp0wVIeQdEREhOZWiQYQqubvyFF74X3y9Xj3tPEx3Ied5xgFRAsI2fJQJ4TrtaIh&#10;4l5412NukPX1eMQcD3GmHQ4xZcgNRYqI/8cffKh/0upFCyA/r1i+grYo0mrI52SiILv3yeNTjHjR&#10;iTUee9b3yU4PnseK2BPS97xWFv5QtU+aYNvWbWpQMe+fzoZOznOlTY8iNcL+VOtjxCD2HMfX+8Gi&#10;Aq4Z9K4Z+XyMHYwediVkXK/Z2gLark1bbeckHUWbHn/SxUENB/d2z+gY6T8wSRfr8O/AE/qs9PVv&#10;x1jwaOJvNOaCPNS84j2qlylm6hXdR6K6dncPxYz2PMLfNavVkCrMrndiRyV0506dNEROuH7YkKFa&#10;gT98+HAN1RN2priMMP8I56ESmke0KKyil5wKfuagM4cfA4AJfAnOg6Xoj9dSvU94lqgBVf1MvTtx&#10;4oRcu3pNnjx+osKPJ5tV+N8WnvjiMRIipouAyES7Nm10DoDXpYCHj4gwv71Xz16SPHSoTJ0yRY2W&#10;DU7w9+zerSF5L9ROZCE3wPjAw6cjgWI0xJ6QPl7++HHjtVWPSALRj/numjBlDmMIgSOyQD7fGwKE&#10;EZPb6EdhBteMCApzDLjeFPCtXLFSWzyJvDCauGP7DmpEcs/SZkrFfuOgxtKieUuNYvXMLOAjusU8&#10;CmpZMIR9/VsxFg6a+BuNWZjVg/Fa8yjcI5eJl0+Yk7WiFDhRxR4SEqoePlP38Hbxlop9+pm2PdEu&#10;xoAdqshpGaN4j1A8YkSOnmIzvFJ6o3n4YgQwnpaqfHbpE4ZlLjrhfSamESpnTCq5fsL7HA8B9WbI&#10;I2j/+Ps/1MNDoBG2txF9fo/f5zgICMdFMPEeWauLx86c/blz5zrDZoi0d14ja38zhrrUllYtW0qS&#10;M3AWLFggBw8c0LQD3jb94hyH43Hc7CF2/tsjf+d5+vwOv6874C9d0lZHIidMNsTIosWxj440TndG&#10;xhId80venxqAX50RhIHB+3nXxnuPooScrhnG0uXLlzXCxD1GSom2UMbtMliJYkvuYXL5hPbx8qlX&#10;SUoaIimE9LPN2Ie+/v0YCw9N/I3GLPTC+owaJZdJiBOx7+b+oXTsGOE82VZatEefOxPugoOCdT55&#10;u7btNETPGFzIMhy20I0Y7rwkJ054WPz3jOkZoXu8U7x7PPuBAwZqbp/oAF4+rXl40xlT++ZrARxt&#10;eaNHMbhnmhoEFGUhgAgqbWx4+AhbXoLj4WVjWFD9rZPvnNdIFT7TAzkPhJ8CQ8YJY9Bwruxnx6vk&#10;7zB2mPV+7949De17Yv8qeAKGeBGixlO/4oSLojymF2IUMduAGghSH7Tl8X7MACASwgwEjCLSHkQo&#10;EMCiJvI5gWvG/UDtw9UrV+XYsWOyaeMmmTdnru5EYEAUBaPMM2CDXv269XVUc6PARi/b9LjXY+P6&#10;qZdPpAvRN7EvejTxNxqzMG1kxkIdrz2PByFz9QmFVq9STb17PHtC2xSwMXkvule0sOSFuebklCGV&#10;5eToR7oHLq1rVEszoS4uNk4X7VCVv2XzFn0wU5zHlj1a/No677l502ba608lP14aYW160xFfRBQx&#10;RhTxwBE2X95zXgCDAuHFw2dXPedEFIIcP+1+5NHx7ClAZOENhgEijaHw2HnnFBciRIg+YWe8UT7j&#10;H31OLz9NhIA1uBgPrIMl3dGzZ08dYMR78//UHHgGRtbZ+t57cpy8SnkUBnDNqH8g/ZMRYRqvw5Fo&#10;96xcvoJGZdjRoFMjg0OkVcvW0rlzpPTq3UcSBiTp4KnkzLA+RrDn6fv6t2Is3DTxN/odvZA+Dzd6&#10;kSleSkwaoqNHY2JipWtmHh8vv0loE/eQpGUtcwhPUJCEBgc7NtbFJQh7UmJSxpjd0WN0Uc6ihYte&#10;eqd4+lTEt2vdRhkfF68RANrlaKVih/7qVavVix49erR6/kQA+B082q1btsqZ06dVBL3BNnkpZBgN&#10;GA8IPTUCT53YI6IIPl4jVfgYM7TD4WlTpMj5/v/tvYd3VWeW7fv+lXerytnY2ASTc0YgoSyUUM4S&#10;KKMIQuScc85BQgLlnAPJGOfscrmququ7b+r7+t33xhvrfb91tCkVfbABCxP07THmAIS0zzlb5+y5&#10;5gpz0a9AJgLVT2c9EwA8Ry09GML9JXXvHBAz6XhnRI9gA5dBGhZ5bIIjSiAofAIPfA3om6DswTVj&#10;exz+AzSwQXw89stO9FwzfmdOSp8gi6CQ4LCluVnfe2SVeC/FmEDNa7GXTBzHyudROnFCEyrvazJZ&#10;iUnU8rN1TTSE7+7zYvFywpK/xbAD5K/Ne4znGdJfnp6pjXuBgcHa5ISBDd352M6OGTVa5s6erbX2&#10;tJRUddFjKx7qne15zIlD5qnJKbpohnl9xspI07NoB1XPClgW7JAWJ82fk50jkSa4YL6dkT663mmE&#10;g2RRsdSq+w3hM/JGfZvUNeTIzd5Rz0N1DE7tUxMmtY7K3mbIY5VR1tqUmJ8v27dvVy930u7U2jHM&#10;oeFPDXgGPUeH+CGoRzn4PgiM8gUk3tzUpE16heYxl4WGSWZ6hqb0CZKYhiClT8MaREeQQrDgNDY+&#10;rQzI83bwGgkCCQYpbaDyMePBB4LyEf0jixYs0MkSavg076nlsucSCQkJ1R0S7JJwxvSKV6+5X9N3&#10;93mxeDlhyd/ipYZD9K7NeWvVeSy/sFidyNLSXMt0QkOX6Xje/HnzVBVB/Pi7YzXLmJ6vt7d22pcY&#10;dU/9nea9sitlUl5WriqfWjMz9qT158+dq2lx1uju3LlTTp44qa56Tq2abvTC/AK17sXgJzE+XrMF&#10;asDT61pQA5k9qnJ+lAMy5HwEDgQQECXEAeGTIiZVj9KGWFH4BCmQSLIJTJgyIBNBTb+2pkYX/QxW&#10;2Y96QPI8B36GcgWET8BAbZqgg7IGvQQQP7PmMVFRen3YpkfvA9cbkuP58twfNbh40Q9+d07zHr83&#10;HW3885816OL9cs1cs8PmPcl4KE2PC8x7ePwH43RED9dIpk8WmoB26dIQiY9PkqyclcJSHT4PNp0/&#10;vGHJ3+KlBql9lE2uUfiYkiQkJElYaLiqIBTRjOkzZPqUaTLHqHt89QONcod4MDrJNQp9VVGxjuWR&#10;akYBZ2IYM2C8gyLF6AZlT3qfWfzV5ntJT4PMdBNcmECAWj4rdJmlphRw5vQZbdo7cey4XK+8Jjdu&#10;3NCOfadezU1+KNUrpAvpo/Ahbh6L+jwKn3o9JYiS1SVaH+b10EFPfZ8xvmsmKGlqbNS0PiqTgAGF&#10;T6r+cQIUh7wYN9P5ckNckD3pfIIkxhpJVfNvsiBHjdKnnl9RflVJn7E+VD5Bw1CXPp7ng2tMoEWg&#10;xPXHlpllTpSM8IqIi4nRMUs/H9wjF2kDKlsXPRd5SRC2u5HRkpiUat77War0mVgpXbdB1m2wKn+4&#10;w5K/xQsPFIxTx0fl07SHsqGGyc0uMztXzUmWRUSJn2+AzJk1R1fEjnjjTdc2sndHyqwZM3Q0jREo&#10;iAgSctLwzNOjzkmBY4Li6+2j620JAki1UpNm7I45e/6OFS/qOWpZhEybPFl8vJbofD6d+mQASOk7&#10;negQ8oMjaKjaJyE3fsZR2I5ahCgdIxzqwmyxo6xA/R5Fvyx8me74p/ub5UE0KTq76iFbp8+Acz34&#10;/B72HJ3nwGvitfHzBDWcT0sL1KUHmgdp3MPpD1MjgiueFx4A9BzQf8DP/cf/5Wpq5PE5N3gZj8G/&#10;v8G/O8oqXDd2MhA8FhUUiLenl2svhHkPM16KmRIufAS1rIXGcjcnN19LWwTAfC74fDgNfFb1W1jy&#10;t3jhwQ3NIfrcvAJJz8hyGfDExEmoUfm+vi7HPTaQ0bWPOuLmCenFRKLy0zRtCmGTckbVk+KnqQwz&#10;HVLemO9Qmy8tWaPf62QDwGqD9evXq3ImSGA8D2WPksWrnp8j9d/a4rLZJdUNqUGMENqTEP2DB+dw&#10;SAPCYK4bQ5euzk4NSk6YgGTPrl068oXiJ0DBTtg1IrdDexIuX7qsa31xyhus8B/3+ZFloHRBvwKG&#10;Q3Tio/IP7j+g1weC5/pgzONcX7wACIxoMvzcPG+eP4qXx39ZyX7w4QRLg1U+pRhUPteLgHSlCdbY&#10;1RDo76+1fNL7U6dMVXMpdiyEhoT9fUwvz7xHV5fqZ8PdZ8bCwpK/xQsDR7E8CJQNHfvUMxOSUiTU&#10;KJ8lXt46v4ytLAYmjOe5RpymqsrFXhbVThMbHeNtra2aXkbluxRxuM7tY6hD45vW+s9f0M526vMo&#10;V5z4SOn7mBsvm/awrc026pnvxfwGIvvIKOhvjeIm3Q0pU+92SB9SexLi52ceBOTBeTk/ChvlDOFC&#10;7qkpKTo6OMcoQ/wHIFwCAJ4j6XdnVz2ETSaC9DxBBOd8GPG6ew4OOAfkxeunL4KSCM2SjJvRP0HP&#10;A8EHq4R5fIIUyhHO4zuZhp97/Bf5cHfNIH6uO537lDhQ+TRZMtZIoDrJvI9Hv/eevDfiHX0fz5g2&#10;Q7v4ea/rmB7b9AY89u2YnsWjwJK/xQsBbmKkLrmpcYNjNCk7J0/HlHQ/fnSsLF0arGlP9szPnT1H&#10;F+gsNirfa7Gn+BqCZmse6XfG1SBvZtept5PipstcN5mZGy5Oe2x9g9hJ7WO6w8IdFDJ1aIgL5eoo&#10;MvoAGKtiiYwSf02Npmkd/3jIDCIbqgNC5JycG4XMiN29j+5pFzw1epQ+ZQh6EXg9ZCog3yT87c3z&#10;xV6XRS4ofPoMUPiPe/AcCGD+g5S+IW2yGah8vOIb2aJnFOtZc41R9JA/GRAeH/VKPZ8+Aqe0wOuA&#10;/IbLwbVTsjeBGkHhN19/reUYXBBpbKTkxHspzqh86vgzpk3TTXpg0oRJWrZiaRQTKqh8SN8x43H3&#10;2bGwcAdL/hYvBNZv3Kx1fIgflZOQmKIWpK7NeR46nkfdE5X/ztsjdBMZI0/UsXWb28FDqoRJpX58&#10;756qcWrKkA/K89iRo7qzPCE2Tgkdkscb/ogheHz36XonC0AAsSJtuY740ZnOiFWNIXsa6NgQx4y6&#10;07g3WOWj7obq4HzOjvrurm41C8IxkBHD4MAgDVooOUC8jMdBxLU1ruwGGYHB2/14jqjsxz14DihV&#10;ngdBBGtzIS12FWSkZ2h/xNq1a7WBkHFHMiZ8T99ApuHPRulrc+PANXoZFf7DDoif607ghocDBkkE&#10;lmwfjGBPhNcSmc+Y3sxZujOfzZBY7gYvDZVo3ZufJpmZOZKXX6SlLj4XjtJ399mxsHAHS/4WzxFc&#10;aXxuYtzMSF+yRIStedQw2ZyXkrZCHckYzaOred7cebpAht3wk8dPkGmTJusaUmbEmcnHSY8d9MyQ&#10;Q/QQzeBUKzVWUtTbtmzVET989lHHNPvRvIdL2pYtW9RtD/KnFIBLH7VrTGggfMielD4k6pz7QTzu&#10;wc+osv6P/9DnSOPdP/+TazQO0r/Rf0NTwxgEHTKBDZa6+P9DGji64UGAimQenzQyZA9Z85rJQjzK&#10;83P+zykp8PPO89B6/sC+/Oqqap0Q4HrHm+CJ5j0yJvRPEHyQ/uc5E2wMDoYexMt4ENTwmiH7f/vX&#10;f1OlT+D5oXk/kv0ge0RmiaByvnkv46+PC98og6mTpyrxBwUF65poFusUFq+WUkP2rM510voO3H+m&#10;LCzcw5K/xXMDV2ofX/11aj5CDT8ldYU27oUEh2odn5QnN0U251G/x143eOlSJTxU55aNm1TlK/EZ&#10;NU76nS53yI968uD0OyTETZn/37NrtwYNSzw9teaPSc8Oo8acLXFkAegH4LyQ7s0bN+RrEzSg3jgv&#10;JD3UqX3S8ZwfpUzTHLv5T5w4oY2FECtBCbbAlCHIQvAnDX2k/ft6+zSjAUmjznmdg4n/UQ4ntQ/p&#10;a3raXCcmFVhBTFCFWqVjn9KCXiNDZHSjEzDRT0CWxdmiRz3fKX8MJ5VPQOg08BEo4dh42PyOGAml&#10;DMIyJNwiWbKDvz5ZLHZH+JrgNnxZhCQmJt8f06OvhYDY1vIthgKW/C0eG4PVhgN33/cwDP45bmSu&#10;8TyMeFwd+3n5A6575v0YbEjf06hx1D2mJW+++pqujX379Tdk6qRJEhy0VOvt1Npxnrt3757ebJ10&#10;NuQF2YAHSc8hf2rm3JBpiltiEGfUa3ZWtrAPHs9+zHm4cWMwg8Ln54BDZL9GufJznINzQc48ZwIJ&#10;npfTuEcNnR4FehWSEhL1eYYEB6s7ICUKTIeo4UP2qPL/8d//0WnvUZ6f8z18P6+N5+KMmtEMiMrn&#10;MVDyeBZgU+yMPVJuYESQXge+j0CLbMX/OxBs/Npr9LwfzmsDvF6uH2qf6/cvf/sXLYvQX4LjI+ZP&#10;lKPIUr3+h1cUb7zyqlH8E5X0Q0LCVOWnZ5r3X5FR+YMa9/RzBtx8piwsHheW/C0eCw5hPwi9Mbn5&#10;fndYb74fsmcGmWYl5pFRN8nJqbpVDNWz2GOxzJ0zT414GNHzXLxYR5wiw8Ilxaj8vJxcVb+oXerJ&#10;dOo7q22d9Dak83MHN2pu0n/9y1/lyuXL6uIXFhqqs+8YqDCCRskAG1sUNDVqSHWoDsiC80GUTuMX&#10;5QkavxjxYhIB73zq5owaAjIRKG7Hh4A6Os+PwIRz8No55y+99gcPngvXgiwGZQxKBZA9z4PmRnof&#10;eC6AbX0HTbDFqmJGBMmGOMGHQ/w8B845HA6utRMsEXg6GRKmGRj73GLepxhGJcYnaMDEama69SdP&#10;nCyzdTPkIk3tx8Ziu5uhC3ZI76PyH+dzZWHxOLDkb/GLcFQH0I77tRtkjbkx3Yf5N1/XG9VDblbO&#10;zxMoaD1/zTptWMJ1j9lkjEm8vX3VbW/kiHdU2et43qhR6lHOGB1d60cN8XBTdRznGBGjDk2KnJuv&#10;o3gdJfZzB//PjRvCw3iGFHZyUpLu4Wc8jkY6zv0//4dr3hxF97ikOvhwnhPnAJyP5w1hfmoUM+Y7&#10;TBzgGYCqx9rWqZ+TWiedzhw+xEwwAtk744NkC5y0Pud+1Nc++LlwLoifa8smQYIMTI/YNIhTIRMQ&#10;WO3SoEYdH0Wrvv7/5DIr4voPfg4v6/Hg75HXTMBDaYPMB5MjZKKWpy3XSROaTz8YPVo+GDVaZ/On&#10;T5vu2qgXaK6ruefSy8L6XJwodUxv4PPEZ8XdZ8nCYihgyd/ioRjcYf93hY5FbrKO1sXExEu8eQPh&#10;kc/YHY15pO41CBg4B0RPDR8ls9KQfWZWrlH4aebn4yQ0JFwd9xjP42bI1jzFvPni7eUlwUFBWhfF&#10;0Wz3rl1qN9trFD7NY04NmRvvrz04D+UCGvw2rN+gRMdoHMqakgCjbE/6OJAEZEhQAkmTPYBgUcmU&#10;EpoMUTCFALFjawtpMJvPqBfByKaNG/VrfA+vneyA0zjHeR/ncJ4L4LlwDWkgpKeAHgaCD5Q+u/pR&#10;rJA/tr907jPqyMgeI4SMR+p1GciEEDhw7uFw8Dqd3yW9FN9/973uRuDaYeSEcRE2z7x/KIlA9JMm&#10;TtIelelTp2sWy9fXXyIioiU5ZbnLhW+Ny4Vv8OfGwuJpw5K/xUOB8qAGn7MyX5JTl0tEZIzeuGbP&#10;mqM3symTJsvMGbO0EW+ZuZmlLk/XRr3BNzECB0ifeWQUPo57Hgs8ZNL4CTqaN3rk+/rnZHOuBYb0&#10;o6OipLiwSLvpuZlS78bP3GleU0tco1Ad8ntcAnR3QOyoaBQ1Lncrc3P15r1rx04tKfB10ulPcjhk&#10;gcKnJMHrYCyQVDrugJgNUW5gPG/Tho1Kuszhs12PJj9nex0kzWv/n+Y8TnbjcdU1z8WpR5NtUJVq&#10;SAs/AIIMeifIfPAnwRZ9BtW6RW/QBj/zPCA9lK7zO+B5DBfy57Xy2mnEpJmUxkZ2NtD34GMC1kWG&#10;3DFTmm1AxooGPsb0UPlRUbEmUF6hdtN8JmjgIzAeXNcf/PmzsHiasORvoTceV8PdBk090mjEzYl5&#10;+uSUNIkyKj8oaKksXuylZD/eEP9777yr40g04aFoUO4052GrS2dyrgkYUDWsDmU/fnBImN4EWS06&#10;dfIUJfzxY8fKlIkTZd7sOeqQlxCfoBa7pJyZB0ddknYnpf00yYUbOo9B6ppaLbV1Fvrojv5Nm3SO&#10;/4fvv9f/h3jdkR3/5usEEmQSIHuUNWUJyJtUentbu9TV1enc++bNm+97B7AngNW1EC7Km+91pggg&#10;6yc9IGaeL4EL2QKnY//uhx9qjZ4GPSYYdItfdraWGsh6UF4hC4EvwFcDI3pP+3fwPB28zsG/T64f&#10;JRECJt6TunrYBE1kSHh/pCSnaLf+m6++Lm+/8Za8O+IdbeDzWOj6TDhmPJS5IHp3n0ELi98alvwt&#10;Bki/VMma0TpS+jQgeXou0Tn6aVOnKWEzYkfXPeN1vj6+2riEuplBanPCRJnC+lCjdPz9ArRpD7Jn&#10;Tnnm9JnqTMaKXDIGjDYx15xtVG+pIVhscrmRoqIgfRr3IE1IByJ92mllzu0oYlLyzNBfNgRNypul&#10;M6ThGW+jNAChO8p78OEQLaTPcydbgGKmGY7XtzInV0cRsdZlbS4je+D8ufOaStfNeTduyJcDTYuc&#10;h+cDAT3JwWvi2pGax9QH5c40BIENLnsEN6wipnkPM6CThuzJtDAmSF+B41DIz0P8wy21z+vl98l7&#10;0Ll+2Dpz/djvQGYoctky7Q/BG4LPCT778+ctUA+KsLAISUhMlvSMbP1cFRS5XPhsHd/ieYEl/2EC&#10;UopAG/aM+oDwabpTq1yjSDAQiU9IlqClIdp9TK3yA0PW7498T959e4T6iU+eOEkWG+KOjYmT3NyV&#10;qnjCw8Jl4fyFmgFwvo+mJv6NWQmOe/iRA/6OCQ9GMJjQUMNnFh+iRFVBMv/7//7fqrYGp5N/C9Jx&#10;HocbPmld0u2MtPn6+GijG6QNMTqjbNoIaL7PASSJWmcfP0TR1NikhLpu7TodHSS7ga89JQ3UNhkA&#10;p0sfVamv3Tz24752/p/vdYIPzkM9mnM6HgHM25NN2WuCkJSkJG1AC/IP0OeCfwGWwJQYeC5kGwg6&#10;/h9zLgiQ8zrP45eey4t68Lp4nU4AqJkS8/vVMo15b7a1tmkJZPWqVToNMm/OHH2f837WBj6t5S9U&#10;t8mo6DidXMkvKNZpFj5vTvOe8xl09/m0sPitYcl/GMBF+hsN6W9wbb5bWaA3KJRJRGS0qnzq9njh&#10;T5syTWv52IqSymRpDerGtZc+U9XwTkPcR44ekz179somQ5DMxIeFhGrNfoK5GbJqFBAMkBUICgiQ&#10;5IREVb+bN27SpTI4z6GkUVVO897zcDip3p/+9JOmxemyJwigEZBOd5QfI3iYtZD6pTYPsPnl//bt&#10;2aN7+vEGgPyPHD6i43lYDO/dvUeuVVRqaYHaP1kGSJrHe9IDwoLw6YNwGgnpxCdQcbb3qbo3JO80&#10;8eEGSE9FpXkuandM1/4f/6gBDecbbgevGcIngCMAwmefiZLDBw/KhnXrXb0QiUnqKbFwwQJho96M&#10;6TN0DHUJtrvBoVoao+RFPZ+yGV37kL67z6OFxfMAS/7DAJA/xI/Kp3kvKTlVt4EtXuypqcoxo0bL&#10;26+/Ka//4VV59fd/UJVOaj8+Ll7y8/LVUe748RNSCeG1tEprW7u0t3fo3+sbGuXs2XOyZfMWvUHO&#10;MmT/6u9+L2+8+pqSf6BRmDST4S9Pl7jjOIdahvBRWo7CfB4OR0nz3HQEzyg/mgBL15RKknl9rAGG&#10;BDC5WVOyRk2AQFxMjAmYZsp8owrTUtNklwmQCACYw+d1U/d3xhKd0TyUOq+dx3vSg3M4pYZbN29q&#10;apqAhX4CmifpJ2Bcj6/hZUBKn+wFZA/Z/fv//Hd9rUPxXF7Ug9fO7wXi5/rQ70BJaq4h+VEj35OR&#10;I0YoyGYxm0/HfmDgUteYXka2NrkWm6CatL4z9orStyl+i+cZlvxfIkDyeH6T1ofo1SI3e6Uah+Aa&#10;hic+Kt/L00trk7PNzY30/qwZM1XNeJibGktF8MXPyc5R0j9slOuFi5ekuprlNR3S29dv1GKPdHZ1&#10;S9fAnwQAly9fUdMXGtdYmcs5SY3SF0AnOyYxpJYdlf+8kwzBCM8TgqQBjwAABV9cVKwBEaNvEDyv&#10;GWtbxrtWGJLNzcrWkThS6ShwggcUOQTtpPSf9OBn748L/vgn+fKLL7VHgokEnPfOnz2rPgE0DpaU&#10;lCg2msCL8TMyASyRoeEPouO1DUeVz/sOlc/7kKwTvQ1MX9BoSZaG3+NyE7wF+PlpmWv0+67ZfHpe&#10;5s+bLz4+vmpEhcrPzlmpmTTbrW/xIsKS/0sEbkAYhKBCsnPzdY44PDxSU5OM59GlTx2eTv3Rhpgh&#10;fk+j/iOWRWhKH3W7Z/ceOXnylJJ5lSF8iL3FKPw2Q/wQPWhpbZPGpmZpa2vXAKCnt0+DAr6HVDLe&#10;+mQBuHlSQqAcgPpkhI0bLk1Uz4vSf9hBBgByJDMBUfzw/Q9KFJQr8PbHZ7+qqkqVPV389C7wf/3m&#10;Onz+2edqzctoHml9yAbih3h+Td0chUrHPg2RENYlE5QxHhgTFa0bCVlFzDZCyhJkWihL0FdA1kH9&#10;9f/2t/uNhMNV5fO6dczx44+lrrZWPRS4bpHmM7BowULd7zBpwgTdEslkCh4UBMyk9fGnyBww5LFj&#10;ehYvOiz5v6DghkOKkRsQ6oM6Y05OnqxYkSmJiSlqIhIYsFQ8PBbLjOkzdfSI9L7O1E+YqClNavkp&#10;KalGIa6RA4awLxnCb2hsku6eXiXz/hs39U/Ina+Bjs4uJX3Av2/eui33Pv5Evvzqa/n6m2/lM0N8&#10;PebrqGKsTJkGoA/Am215RoViagMZoWCfdwKCqB3wPFHLBAKOMQ49C/zJ+BeE4jTLOa9r8M+DRzn4&#10;PgIjggWCBlQ656ZcQj0fG2O2CTIdQYaBCQKIPyRoqXahM0aIPTDPDcLnHA8+Dwcv8zH4GhJscg35&#10;PUH6OqZ3zjWmh5MjTZ1TTZCKsyRghHXWzNn3U/sYW0H4q0pKNaUP0Q+Gu8+nhcXzDkv+Lyhw0oPw&#10;8QHHgAdlEuAfqJvBGMebOmmKOouhYEjvo/CDDNnTaU9Kny70Xbt2y7FjbGG7JNeuV6maR9n39d9Q&#10;4udPVfoof0P2nYb4e00gcNOoyQ/v3pVPPv1MSf/b776XP/74J8X3P0CMX0hdXb2mw7E4nTt7jnaY&#10;EwwU5udrdoAatRMAvAgHZMlzJQCA5Em9o+z5E3XPa0GZQzq/RuHzs9rAZx4DsmL8D7KnDr1z504N&#10;oHD+I7XP1+hCR+nTcEjmYbAZklNqGG4H15AgjL4SXY505442b7IPgT4N9jawN59+lCVeXuKx0EPr&#10;+IDx1KVLQ3STJIE0fhW4UzoufLaOb/GywJL/c4zB6oKbDqoDtY+fPnPDzBDjmsd43sKFi3TW/q3X&#10;39SGu9f+8IqMeONNmWICAIg/NiZWigqLZN++/VJeflVT9yj3GzdvqXofDL4GnFQ+RN7Y2GRUf6fc&#10;NF//1BDMd99/Lz/+6U/yl7/+k/zTP//tH/Dnv/xVvvr6G/nww7uC+9lSo0onjBsvY0eNVuczOt/p&#10;qGaUCjIdDkrU3cFrhqgclQphEURomcEQOCofvwF8BiibhIaE6KgZjXz0HFRWVqrhDNeRgOFFCaSG&#10;+nCuI6+fAGxwhgYLZfwL1q9bJ8vCw7UURdmLzwcNqQTIjOn5BwRqAM02yaJVrM5lJt9261u8vLDk&#10;/xwDwmdkiLR+dm6eeuhD9jQcofJx3MNcZPZM1+gR43k0JZFiDw0OUce83JxcVflOLR/iR+FTq4fc&#10;H0b+KH/S/ZB/Q0OjNvuh+D/55FP5/Isv5OtvvpEf/vijEv1f/+mf/4H8CQj4P7ICBA6YyeAJsMhj&#10;kaZXIyMiNACgZv6juUFDes97D8DTOCAt1CnkTfmAHfwYHV04f16DJurR1PD5k5W5+/fv19E9dg4w&#10;XkjXPs2EZAkIHobjNeSA7MnAaF/G3Y+ktaVVzZO2bdkq+Svz1D6ZrBObImfNmKXNqHxmPM3nB+dJ&#10;HPhSUpfr3om8gmLXch2r8i1ecljyf47gKHyFUfnchDS1n73SpfCDglXhT5k8xWWqM+Idnaenq37i&#10;+Am6iz7eEH5BQaHO4p86fUbKr1Yoebcapd/e0Xmf9CF3R+E/SP5OrZ/MgI70NbeYv/fIvY8/Nor+&#10;a/niy6/kcwPS/X/66c8aAAzOABAM8LWf/oyX/efS1dVtSOu4xETHaHZCO6fnzpW1a0o1rU1NlgDg&#10;ZT2czIaj8lGokDVqHSMedvZD+szj46OAvz7jhBkr2KK3TYMBNsXxfYyjDW4kHDyix2O87Ie764jK&#10;xxkRy+KLFy7q2Cm+FNP4nAyY8ZB1ogSGgZW/CZzpicHNUmv5q0v1s0ZW7e8NfBC/redbvLyw5P+c&#10;gJS+awlOoSoQFoBA+MuWRWnjEd75+Oqj8J3RvPlz5uooHUQR58zkb9su1PHLjMKnU58GPcj8QYJ/&#10;GAgGqPU7zX3U++vrG1zK3/zf3Y/uyZ27dxU0+n32+RfyzbffyY8//uk/BQGAPoCvvvpaAwhGB7H1&#10;pQmQgCU6MlLr1pQA6GJ/GQ/ICoJy1CmpaFzjGHuk+ZG1wReMkj9+/Lj2SOzYvkNr+quLV93fotfT&#10;3a1NklwjygKQ33A6HMKH7J2UPrsWMCfi2uBtcPTIEZ18INMF8fO5GD92nIwzYDYfQx5sd5cti9SG&#10;2PTMHN1UCdm7+zxaWLzssOT/nICbEAY8CUkpEhISrr76swzBTxo/UbuPR779jtYop02ZKv5+/mrA&#10;g7MeKX3q+OfPX1CVX11T6xrDM2QNgTsq3x3Ru4ND/mQInJR/VVW1pu8hcIKAdhMUgE7G/Mxj3L37&#10;kXzzzbfy009/lr+YAGAw+RMQkB2gOZC+gcOHDktURKR2VRO8rFi+Qp3wmId/GQ+IyyF+CJxlOTTo&#10;UbNPSUo2r3+5Osht2bxZt+uxRKitrU0zIjTv/fjHH9UUieY9zkMgMRwU/uCD14vSJ8vBdeS9Qibk&#10;hAmY2IyYGJ8gPt7eMnfmLJ1i0cB47jxV+ZTHIiNZn5umFtZYWZNNI9B2DHncfR4tLF52WPJ/xqCp&#10;iHE9bkoY8fj6Bcj8+Qtk6tRp2iQ3fuwHCsbzmEGmeY71odjqYsCj43mGoB+H4IGT8ufn+gzR9Pb3&#10;u1L9vUbxd3Ur8Tca1V9jVH9ldY1U1tbK9cYGqW5plpr2NqnpaJc682dTa5v0mJ/7+JNPNQD48U8/&#10;/aceAEBmgCkAyg+rjKrltQCWopCxYF7+3/713zSV/SIqW4egHJVPHd4ZL2PsrscESngDYMLDnoCV&#10;uSs1C4ITH57xhw4d0mtAHZ9SANeBcw03lc/Ba75/Hf/bf9Myx3fffqv7Flqam9XMiHo+OxcCAwJk&#10;zuzZ8sHoserGR/mL3he69smaaWo/r1C79bG4dvcZtLAYjrDk/4wB8WPIw1IdzHggfG5g06ZONcpl&#10;oYQEh0iyUYiQxfp169VR7vTpM1JWVq6ue00D43nuavc/B74fsqepDwXfRoq/vV0azc21zqiqWoNq&#10;g8rmJrna1Cjl7a1S3tMpZTd6pexmn5QbXO/tlrquTmnt6jIBQJ929zPr764JkK/RBPjRR/e08TAj&#10;PcPcuAPV+z84MEhT3BjkkBZH4b1oh6NMIX2a8EhJQ+ZkNXbs2KEEz4pgiB+PfTb74b2POx8GQdTz&#10;CRRIadMESIqbcw43lc8B8dMHwjjoxyZwam1tldPmPVNirmF8TKyEhYTokiSvxYtloQmUPTwWyeJF&#10;nkb9+0loSLiukE5NW6G9MqT2B5vxuPsMWlgMR1jyf0ZwRvgKi1ZLYlKq+AcEqc8+nvjvvTtSm+IC&#10;/P0ly6j8nbt2y7nzF9SAh7S7k8535vHBz5G/KvwBle9S+jeN0nfV9XWOv8OofKPia1ta5Hp9vVTW&#10;10mlIa4KQ/7lbS1S3tEmV/q65eKdfrlw7/YAbsnVW31S3dMt9Z2d0oTpT2+vfIq7nVH/DwYA/J1+&#10;gO+++17VP30JeODT/c/4X1ZGppw+dVrr/476f16Jj+fmqHya9pzxvD/9+KN88fnnurgH9zgW/RTk&#10;50tiQoKO6dHIR02/sqJCR9Cw2kXVOirfIXzntb/MxO+8Pl4rr9sZ0SN4orfh888+k24TVOJfwErk&#10;tJQUmWMU/Yg331JQNsK4av68ebpNLzIq1hB+ui6tooGPcVhS+q7mPWvIY2HxICz5PyNwY0KNoE4w&#10;FZk5c7Z6iFPXH/3++zLJqH9Po2ySjOrfsGGjnDlzVmfzUeoQuDuSfxCutL6rhq8ufQMp/VZD9qh8&#10;UvYNRlXVtrVJVUe7XDMkf9WgrNOgu12u9HbK5f5uuXyjRy7e7pOLH92UC5/cceHjO3L5wxsaAGgG&#10;wJyzrbtLbhsFyzTADz/80a0HAIEBjYIEABAhLoPsFGAUKzcnR6quV2mNGzKACJ/HA6KmBg9JffXV&#10;V+r9j3c+43h059O4d+zoMTk4MKLH2B4GMxcvXlQVi5pljh91C+E9r6/zaR5OAMXv+b7K//hj7XfA&#10;pRATIwIn+iLCQ0ONyvfULNHkCZO08dVjgYcEBAQa0nfV89mmx5getfy15nO13qp8C4ufhSX/ZwSI&#10;nzok88Us2VG//ffe1/r+ODBmrNYuQ0NCdXf+UUMmbNF7fPJnbO+GpvYh/UZDPjWNjVJlFD4q/5pB&#10;RUuzlHe2S3lfl1wxZH7JkPqluzcN2d9ShX8fHxvF75A/uHdbA4Jy8zNV3R3S1N0p3Ub13rnzoZr8&#10;oP4fJH8CAkYAv/v+B6moqNTubBYBoerwVj908JDOa6OGn1dSRO1Tz6fxrNFcSxrPWGg0Z+ZMQ1DT&#10;tJbPngQ6+BvM9aVWzSw/AQOvy7EAHqzyh9vB64b4yZrgwodZEfsIsNzFhXLB3Hny7ogR8tbrb8ib&#10;r70mY98frfspVOVHRmtanwbZYqPy2VjJ5+m+0h9Q++4+dxYWFi5Y8v8NwI3IRfbrNM2fs7JAncTY&#10;p496cTnzvaHLdujmZx55uvmTemZYaJh2xGNLunfffrXipWuebnwUPQTvgH8PruPTkd/W0WlUviH9&#10;NleDHs16lW0tcpV0fnurlHW0yhVD3KrwIf67N+QipP4g0T8M5vvIAFTc6JHq3i5XANDTKx9/8onW&#10;+CF6dxkAAgNKDjQtUv/nZk+/A53v2NmyvAZieFYHhOwoU1LRkDfPiZS+juhdu6ZKngY+jHcYM2Mu&#10;PyczS/caXLlyRVi+Q8c+gQIBw3A+CHYIelD5f/zhB81+dJpglDG9kydOasYEQx7G9HyWeOs4K0Ew&#10;n40Z02bI4kWLtZ6fkJiiXfv5hS6Vb+v4FhZPBkv+vwGcGX7SkstXZEpMTLwEBgbr7D6GPaT6sRvF&#10;uGfunLmuJiajgn29fXTjXmJCosTFxKpFL8Y4ly5d1vl7SFbVPcRvFH6307xnCL+huUVqGxq1W7+q&#10;zqh8CMsQfkVXu5Sh8G/0yiVD9hdv98tFQ94XDelfIK1PPf9jNyT/MBAk3Lsll83PXzUBQFVHmzS1&#10;tMjN27flq2++0Tn/h2UA6A9gZwCrcrnhY1gUFBgo69atU9Mb6uHP6kCZkt4nAGETITv5IfRNRpnm&#10;ZGfrmuKcnBzZunWrju6R9m9saJDenh7NCKBmef4EDhD/cEztDz4gfjIf9DlQ+sDfgYCW97W/r5/M&#10;mz1bd1KQ7cIHAjdIH29fCQ8z738TJGNlTT2fbXp8ltheSUBtFb6FxZPBkv/PgBsLxI37F+lFOocZ&#10;G8rJzVNwM+JrrNBF1TsOYarwzU0q35B9Tm6+GoqwDjTakD4ufZ6Llwzs058jM43CYekNTW9+Pr4m&#10;MIiVqMgoCQsJ1U5//iT1HxQQqOnx1JRUNcuh47+6psao+06t42PI02rQbNRUvSFU7dRvbJSKpka5&#10;2tigjXtax+/vksu3Ufg3jcJ3k8p/QpAp4LxXO81jNzdJZ1+ffHQPR8BvdM7/QfKnAZAlQJgEXblS&#10;Jglx8br9b8H8+erBTrPcV19+pcSJanyaqXEnBU1K3tmih5PeR3fvSpe5vqTuSUljr1tUWCjpK1ZI&#10;dlaWdvBjLgPp872M6NGpz7mcdP5wTOnz+6KXARdCriXBE+OOOPBduXxZdmzbLpnp6YI51SxD9jTu&#10;aclr3Hj9TCzx8pbQ0DCdgKEnhgY+PldW5VtYDB0s+f8MmAtmwYej2GNjE8xNaZkahwQEBklwcKhE&#10;R8dplzHjenwfaf1Mc8NKMmQfGRUjgYbsvbyWGEU/T6ZOnioTxk0wCn+spjK9jdqlPkzaGxVEA9yR&#10;I0dl8+Yt2uVPEID6JwvAfH9cbJwqJb6enZ0jBw4dlorrVVJdW6cmPDqe19aq6ruCGn53h5T1dMrl&#10;vm65fLNHlf6lD43S/+jWkBK/A0oGZf3dUtnVIQ1dnZqFYLQPkofswWDyJyigNEDz38YNGyR4abC+&#10;1tkzZ+qO9a6uLm2qg0ieJolCVhAVav3uh3elqbFJJw/WrlkjqcnJSvLsRjhqfjcoVhrSyEx0d3cr&#10;qUFuqHyyBBA/Kn84kr5zEETRwMe1YX3uhfMXZKt5T6cvXy7LQkN19wRlHjZQLjS/78WLPcXbqHw+&#10;T3zG0panu3z284tM0L1GG/icrn13n1MLC4vHhyX/h4CbjStVX6TNRWHhEYbEvXU9LpvAIHK6jlkO&#10;giMfVrw076WZIAGFH8Au/YWLZJpR9WPHjFUf/jdffU3efO11eefNt7TBDa97SP/48ROGTOrUWIcG&#10;Pax5t27dprv2McGhDwDyZzQuPCxcn4OPj68UFBXL4ePH5ezFi1JeUSnldbVS3tokZV0o/G65RErf&#10;KPyhJvmHgYCCZsErJtC4xuhgQ6P2IDD779T+BwcADu5+9JGcv3BBCo2qpqt75NsjJDoiUq5cuqwj&#10;X//2r/+qSvrXHI4K5zyQPSRNUAFho/a//vprreezKY/ufBoRISm84cNDQtVjgWUxBCR8L7Xr4Uzw&#10;zrUk0HHq+VxLTHmYZOjr7dVsCUudCG69TQBMU+srbJz8/SvmM/C2TJ86XXx9/SUiIkpStIGvQLNm&#10;7j6PFhYWQwtL/g8B6f6MzOwB0l+i28CmTJqszXiurWCzDGZr2pI/58yao6n8hQs89N9TJk3RAIH/&#10;Z084Cp5xtuioaKMmU2SVIe7dRk0ywne9qlpr39TwIX/m+bHr3WICgGSjPH18fMTP10/T/kEmCAgJ&#10;C5MIc56Y+HhZkZ0tG/fullNV1+Rca6NcZDwPlX/HRfw6nvcbkT+1fx7v8p0+qezukNqWZunu65NP&#10;Pvtcu/tR+u7In+1/be3twuw/e9Yh/yUmCFi3plSqrl+X77/7bkjInxo+qpSZ/G+/+UZu37ol9fX1&#10;6q1P+p7xMsyG+PuRw0dk5/YdsnnjJm3qa25q/gcjnqedjXjeD0jfqeNjavTpJ5/opsFzZ89pBovy&#10;SIp570aYYNXPvPf5DEybMk0zXgvnL1Sf/fBlkZKUnCrp5nO2UlV+qZbO3H0eLSwshhaW/B8AqUVA&#10;nT8mJk5rkGNGjZF3DCFhLMKmMFLTC+bNVw9x9oOzNeztN968b0Ay4o239N8TPxgnixZ6aNNeTu5K&#10;VfOk9WnYq8Kdr7lFa/WQ/mDDHjr5mem/aL5v3YaNEpeQIN4mAJg+fYb4+gdIWlaWJKWvkCX+/uLh&#10;4y2pJcWyp/qqHO1okjO3ewca9wbS+r8V8QMaBc3jEQBc7euWmo42ae/rldt378rnX3ypKX535E9T&#10;IP/P7gA65kePfE+mT5liAoFw2WMImXr649b9+V4IarAy1Rr0X9g0+Jm0t7Xptjz2vKempEiCCaTi&#10;4+LUK/7MmTNK9szvf/Xll5rCRuk7Y3oEEZx3uBxcS+AofSeIwmefkke/CfAqGdMzgVJkRKT5bMyT&#10;SRMm6PImRlbxrCA4xsEyLGyZzuUzplcw4L7n8th3pfZtXd/C4reBJf8HgOJfTbrfKJGlQcE6bsQ6&#10;UAxGIH3S8DTmsTWMruS5s+fonyypoY5Jpz4pzkBD0tTnc7JzBJOeg4cOK5lD+q1G5btW6+KpP2DA&#10;M+C2R6d+a3uHNJvvqaiulgMnTkjxpo0SlZxkiN5H/EJDJH7FColOSxUf8/dFS4MkMidTVu7dKVuu&#10;XpKjve1y1pDvOcjfHUH/Frh3W8puGUIwAUB9T7d09PbI7fuz//959M+x/r19+45sMgRC6n/u7NlK&#10;IitzcqTDXA+UNqTzqAckDWGjShnRu2mCqrraOvWFP2Wu6elTp3RED7vd9evX62Id/k4WgMY0fobx&#10;PlLZnOvXZh5e5APCp/GSyQUCoc8//1z7HXAqPGLe11s2bZK8gV0FBLt8VsiSkf2aN2eerpqmnh8T&#10;m6C9MzTCrlnrcuCza3MtLJ4NLPk/ALqKIf7U1BVaz6dWz42MdD1b9Bi7Y/aeND6bwxhTSkpM1Bpx&#10;Xl6+FBevki1btsrBg4c0pY8HP4RPKp+aPgQP2SvxG/T09ktHV5cSPr76NXX1Um1Qhb1ufb2cr62R&#10;Q1evSMH2LRKRniZB8bHiHx0pgXHREpySJKEr0iQ4NVmCkhMkZ8922ddcJ6c/7H+25G/UP81/V273&#10;S0V3p04edJig5tNPP5Of/vxnQ/7/OPpHMEAAgPo/e/acZGVmaoCF4RFpY2bBIXII6FHVP0TFWBkk&#10;dfnyZa09py9foSnoqGXLZF1pqZrzVBjFSrr61q1bSvg0/Q3eokfWAPJ7nKzDy3ZwDeiLYO9CrwlS&#10;uZ4EabHmM0GQxrTK1ImTZKYhfRpbFy/y0p35lMwY08vKytUpGdc2PVdq36p8C4tnC0v+D4A0JAY8&#10;YWER2ljH7Dn1/SxD/Nu275A1a0olxxA9QQCjeFGRkbqWtaioWLv0DxjSZ9Mea3UhepS946tP8xtQ&#10;lW+Uv27P6+iSJjbkYbFryL+i0ZA+o3nNTVLe3qLd+ue722T75fOSs3ObxOTnind0hPgYhGelS3RB&#10;rgSlJsnisBBJKCmSdRdOy/6Wejlxs9s9Mf8W+JjmP9L/t/T5V5hApqm1VT68+5F89wO1f/eb/+gL&#10;aDLXgJG6uNhYGf3ee+LpsUitcZmdh5QHK3D+Pjilz2QANflPP/lUvfPr6urUiIcGvg3rN8jy1FRZ&#10;GhAoKUlJsnfPHl2fC+k7Vruca7geTlqfa+CofK4naX1sd8m+VBilf8D8booLi3Qt86zpM+/77I8d&#10;NUb7Ynx1Z36U7synY5+RV9ulb2Hx/MGS/wNgZj86Jk4WLlwkkydO1hsb9X0If9/+A1qzpzt/u1GS&#10;EH5KSorO4tOoVmz+fejwEd2rj8pXhW/IHwMex3WPtH5TS6s0GJKrNwFCrUF1e5tcNwFAJQY8g8fz&#10;bvTIpdt9cv5Wrxxpb5Lt18slZ/d2CU5LFr/4GFkG+ZtgAPXvnxArUSuzJW3TOik5fUwOtDa4J+bf&#10;CtT+7xnyN6+Bzv+mjg65ceeOUfdfyPeGbB9M/YMf//QnDRBqDWkz6sfc/yyjJvF4p3OcWv1ggubv&#10;qHMa8AgO2JVPc95GQ/TU7teWrpVtW7fKYRM8MJ53+dJlnTOvr6tXO1nWxDKHbo14/t4jQSDF2OKX&#10;X34pHeZ3dvbsWS2JsEY60rzHg/wD1JDJY6GH1vFpaPX09NL9FJhXpaWl62w+DXxF5rNE74wlfwuL&#10;5w+W/AfgNPpRj8SIZ+KEifLBmLE6pudlbm7M1e/Zu0/OnD0nFZXX5PyFi0r0hQWFasBDnZ+08g4T&#10;FFxggctA934XKt+gratLt+fVG+InpY+nPtvzVOUPrMu9Yojy8h2Xr/7ghr3zwPz71K0e2XD5nCr8&#10;0BWpEpaxXMIzV2gQsCw7Q/8dYr6ettGQ3rUyOUP6/6Ob+vNuCfpp4+M7UmZez/W+Hmns6ZbO/n65&#10;bUiX7n5q/w+qf1L/eALc/eiepukZh5wycZJELFumzno4w2GiA0hD/+XPfzYE/p3c/fBD7do/eeKE&#10;lKxarYFY5LIINePZsGGDqn/G+FjCQ/bAMeKB7P4/YBQv5DecUvuOyteRx//1v3RE7y9//ot8MzDy&#10;yKphlhKxM9+PZtOp09Rrf/R7o9SUh4kWL09XLR+banwuilaV/ENK3/lMWfK3sHj+YMl/AOs2uLbs&#10;Zefk6Tz/yHdHarMfyibAqJ3k5BQpLCySUqMmN2/ZKocGGvj2Hzgo+UaZxsfHa6czTU/Y0168fEXN&#10;d+obG1078tvapMaoexR+RUeblJs/yzrb5UoPvvqG9I261/E8NeCB9P8zmZ69e0P2NdfKmjMnlOCD&#10;khPFa1moBgBpm9dLxMos8Y6JlGU5mbLq1FE51N4oJ250PdP6P4HM1VuGTEwAUG9ec2dnl271Q+VT&#10;+x8cAPB3xgEJDth3vywsXLMuS7y8tBufJj267+nCJ2XPPvxDBw/qiB6lAv5+YN9+XQF79OhRtePF&#10;ZIbggFo+3emOY+Dg8sFwPCB9giBnQRE++1zPLZs2S8HKPElLSdUAysfbW+bOmaMlMD4LWFIHBgbp&#10;bH5CQpI28OXmDazRHSB+d58vCwuL5wuW/AfgsvFdJyvSM2W+IRy89kk7k+LEXpdxPcidZj/+vsnc&#10;JGsMuTOjf9KQEmY9qH9sSsON8txtVNPZ8xfkSnm5VFRVSUVTg1ztNKRPWh+Fz4pc/PQhZiX7B+CG&#10;SCHx03f65Hh/p6w+fUz8YqJk2oJ5hvyXy6qTRyS2KF8WLg0Qn9goydi5VbZdL5PDnS3a/e/ufL8F&#10;CGYIADAdutrUqGZGN6mz//GP/0n983fA6N81ozwJqoICAmTm9OkaBJDGJ7VPYEBZIDoqSryXLFHg&#10;tb9v7171Bfjoo4+U7MkOQPaOynca94abynd3MKpHev+TTz7RRUoEUFEREfLBqNFqRvXGK6/quCrj&#10;elOnTNXUPnP5ySnLtXnP7sy3sHixYcl/ANQmC4tXq+kIKgfynzd7jqSmpmkH/7q167TZLz09Q+Li&#10;4iU/L192GYV5+MgROX7ypP49MTlJFpubZGh4uKSlp8vaLZvl8Lmzcr6uRi51tLg25w0y4FHid0OY&#10;PweI/IwJGrZdL5ek0lXiHx8jIcuTJTo/R1P/pP1J/0fl5cjyTetkU9kFOXmzWwOHZ5L+N49JJoON&#10;gWwSrDUBQK9R7l8YBe8EAA75O0D9UzbZu3efJCcla/qfWXHU/4EDB8zX92otH0vgtaWlstkEYtT6&#10;mxob5Z4hfmd9LqOBw53kObgONESye4AxPdz3qg3hnzbv2+1bt+kmxZioaG2unDhuggl6x+uEC6l9&#10;z8WeWgaLiY3XRti8/EIdhYX07c58C4sXF5b8B0CXP+nLWHMNZkyfIa8b9YOjHil+rfNXVGoXP0Y9&#10;GRmZar2bmJgohUVFcuDQITlm1OiGbVslPS9XwqKjxMPTU6LSUmXDicNytKVeTvd2uggfFQ7p/4zC&#10;/zlo/d/gUEezdvav2LxBlqYkyoxFC3Xcb/mWDZJculq8oyLEMyxYcvfulCPdbRowPLP0/8d3XGt/&#10;e7qkrrNdum70q6Uv6X13S3+wAmbm/+rVClmzukTn/UeOGKHeCsvTlutiI+bx2aUPkeEuR5c/3emQ&#10;HGofwhuOqf3BmQ0HgzcTMqa3efNmnXzw9faWmVOnyeQJE9SMB/c9LKnZmR++LELiExI1E8bnoqBo&#10;1f3UvhI/Ct+qfAuLFxaW/AeAtWhGllHPEVHqpf+GIX8ax+jsZ2wPUx46+AkENhqlSQDA5rGklGRZ&#10;axTo7kMHZeexI7Lh0H5JyMmSBb7eEhgfK1nbN8vmsvNysL3Rpb6HiIBR84z0rT13SiJzMmTSnNkS&#10;mBQvWTu3SsqGUvEKD5W5PkskdX2p7Ki+Kkd6XAGAu3P9FiD1X36zV6p6u6W5t0d6+vq09o/6d9L9&#10;Dvk7M/9ccxbqYPrz9utvaAaA0Ur25bMrnzl+Ov0d1z2IbrgevHangY+sx9/++Z+V8D/79FPp6e5W&#10;PwM2JRabYJVruHjRIi1rjXznXddGPaP2qec7lruZ2blK+ATFNpVvYfHywZL/AJhHZjsf3cuTJ03W&#10;BTw49KH2XW58rvn8uvoGuXDxktb8E5OS1F8/3ij89FVFsv74YdldWSaF+3dL9EoTSGSuUPc9mvM2&#10;l19U8x2a9oYi/Q6R08y3q+66rDBqH7In5Z9kVH98cYEEJieIb2y0TgYUHj0g26uumoChx+25fgtQ&#10;+79yp1+u3jABQEe7NJiA6saNm/KtUeyQ/eDRP/7+3XffyyeffianTp0Wfx9fXYbkMX+BpBnFSs2f&#10;9DUq3xrxuA5eP9eCa8JUQ3dXl1wy79OtW7bomB6NqAF+fupQucjDQ3dQAIysAgNcDXzJhvQZ09M1&#10;1SYYphRmd+ZbWLycsOQ/AFROorn5+ZsbIaNMND0lJSTK9etVcvPWbQVGPczrU48+duKE5BUWSkxS&#10;oviGhUpQUoIUHtone5vrZPPVi1Jw5IAh3mLxi4uWpalJUnTsoKrvk7d6dPzOHUE+CY71tsvqU8d0&#10;3j8yN0sisjMkwgQcIHJltkTl50jC6iJZdfKoHDWP/2xr/7d002B5W6tcq67RoIraP6Y/BAAO+ZMF&#10;4N8//uknTf3j8kfjGct+MFRiXp8u9eF6EORA9mQ7KHHQtf+v//IvalZECQRzI4yRsEbGKXHi+Am6&#10;Ue+t19+QsaPHyIzpM8XTc4mEhIZLfEKSqnzHeW/9RlvHt7AYDrDkP4BHIX+W72DUg+/+xYoK2X3i&#10;qKzcsFbCU5IM+cdrin21IdkNl87J1sorsnL/LgnFkjclUdX5+ktndVSP+Xu3BPkEYPZ/R3WFFB8/&#10;JHGrCsQ7cpn4xcdK4ppVkr5loyw1z21RcJAkr1kte+qr5PTtXhN8PIPa/4DrHyt/r/Z0Sk1zs3T1&#10;9cnHRt1/9/33/6n2D/lT+29qapb8lXla7yf9z3ZDHPvo5h+uB8TvjOlhfIQZT3lZmezbs1e36TGm&#10;p9v0fHyEnfksp8Jj38NjkQSY93dkVIwkJqVoAx8Ldsh6la7bYFW+hcUwgiX/Abgjfyx8r127Ljdu&#10;3lLg1tfe2SWNrW1yvaVZLrU0ydbTxyWxKF8JPjI3U5LXlegcPg156y+elbjifHXkiylcKenbNrm6&#10;7290a+1/KBQ4ZQTU/4GWelm+ab3M8/eVxaHBhvg3SeHh/eITGSHjJk2S4KQE2Vx2UY71dciZOyb4&#10;cOMj8FsA9V95o1fqerqk88YNufPRPaP+v9LxvsHk7/QBUG6h7p8Yn6DkzxbFjRs2yrfffqsK+GVO&#10;9Tuvj8ZFR+nT30ADH8EPK4Yx49m9e7dkGiL38VqiGZL3jcpH6bt8KmbLEi9v3abH+zvLqHyX855r&#10;mx6Ej8cFpG+J38Ji+MCS/wAY82OGOTBoqUyaMElr/vGxcVJWflVT/ah+iKilvUMtea91tElZX7cc&#10;qr0mq44elJR1a2RZToYEL08Rmu52mq9vvnpJ8vbv1pG8sMzlmv5fuW+X7Gup04a9oWjAI4iAzKnn&#10;Fx3ZL0uTEyUgMU4fk2DAPzZGZi1eJCEpSZJ/aJ/sqKrQYOGZpP6Bedzy2/1yvb9Xmvp6pccEAB/R&#10;3dgEAAA1N0lEQVTd+1i+/e77fyB/B9j9XrhwUVYVrxJ/P395f+R7UlRQqH7zj7vp70U6IH16GZy9&#10;BX/+6Se13KVjv6GhQW13d27fLgV5+fo+9ff11xXT48Z8oLbUM2fMlMWLFqvtbizb9ExwgOXuqpK1&#10;1ojHwsLCkr8DV8PfCr1Zoi4h/9joGLl48ZLu3If4ewyaWMDDxj1D/ldu9srp3g452NogpedPqbe+&#10;R8hSiSlYKSWnjin5b60skyITHOg4nscCiSvK168f7miW07f73BPkYwASp47P/P+WikuaXYgpzNOa&#10;f2jGct34R9ARmZOlI4CUB8gSPEvyvzzQ+Ffd0y3NHZ3aS8G6X3fk/9lnnxuya1T1H7o0WLv+szIy&#10;1YIWEx/I8WU8IH9eG537PwyM6bFCl7XDGekZErJ0qcyZOVOmTpqsmDF1usybO1+8PL0lNDRcEpOS&#10;JT0jS8f0CGyZzaeBzzHlcfcZsLCwGD6w5D8AUqEr0rMkLHyZTJ08RdP+bC47feastLS2aac/GYCm&#10;lha5Vlcr5R2tcumOIe8Pb8jZD/tlT2O11vUDEmJ12x5d90VHDsiu2utK9pjwzPX1Vh/+XKP+t1Rc&#10;VgXuliCfEPtb6mQts/9bNyrhe4aHqOEPHf80AwYkxGkAwIIggoWhKj08Fszj4XeAw2FlT5fUmuvJ&#10;tWW0jy5/MHjs72sTFPSZoOus+T1gRKPlmPh4daVjtp+lPC/6AdGT1nea9xhfJK3/0d27um748qVL&#10;6rNfsmqVGh3hJImyHzt6rIz/YJz67tO5HxhgAk+j8iF9gll25luit7CwcAdL/gMgHYqvf1R0rLmZ&#10;TleSWWYCgaPHjusufjrTIX98+ulUZxnPRWrnhkTp3j/S3SobLp2VjO2b1WmP0bu44gLZcvWy7G6o&#10;lpX7d6vrnnbiGyImADjQWu+eIJ8Qx/o6ZW9zreQf3KtTBrO8Fkt4ZrpmA8JWpMnUefPEPzZa1p47&#10;qTbBz6Tzn8Y/9hfcvSFXe7uk2lxPMiufGoX/009/1ka/weTPop+PP/lUGy+TExL19xIWEiJHjxxV&#10;9Y+xz4t+OCof0qeX4aZR+VVVVbJrx05dPxwSFKT1/EULFxqSXygL5i/QlD61fNz3oqJidDYf0sd6&#10;lwU7VuVbWFj8HCz5D4CbZV5BkcQZgpk5Y5aa/LCql/381TW1uptfyb+pWSoNEZW1tcgFHPsGSA0y&#10;PdjRJJvKL2pqf+ZiD3XcW3P6uGYFNl45LwWH9+tInldEuMSvKpTtVeUuEkaFDwEJ0/zHKCHGPxj+&#10;zFy8SIONrJ3btOt/zPjxssDfT/IP7dWxv1O3e59p+r+sv0euG/JnzfG9Tz6RHwzR0/U/mPz5N/0A&#10;ZF9Id5P2x5lu/br1alHLeNuLckDyjsrXbXoDc/l47EP6t2/dkvq6Ojl5/ISsW7tWloWFyQejx+hr&#10;HvHGWzJq5Hsybco0JX78KOITkiUjM0cKila7fPYHuvVt856FhcUvwZL/ABzyZ+6Z7WWQf8jSYNm7&#10;b78u72k3BPVz5A/xnsB1r6lWsndtE/+4GAnLWCE0/605e1LT/Iz/Ja1dLR4hQVoaYO/+/tYGNesZ&#10;ChJGyTNGSFqfqQOCD4KNxNLVWvuf671E/GJjJGvHVtl6rUwOdTY/U/LH8a+6o13au3vk7r17hgC/&#10;067/wYY/zrw/174gv0DGvP++eC5apKtmMfv58osvBqj1+T+cNbos1WFMz9mZT1p/315XWn9FappE&#10;LYsQf19fWTh/vkydPFWmT5th1P5C8fHxk/CwZRIfn+Qa08t1jek5Kt8SvoWFxaPCkv8A3JF/sCH/&#10;3bv36P5+rH1/jvwhUcAY37oLZyRpzSpt/IsrzNNSAPv1j/Z2aAp+QVCA+CfESaZR5E7z31DY/vL4&#10;BAAH2xq04ZA1v2z6C89aoe5/jBxi/JO6ca0U0o9Qd/3Zkv/tfqnp7ZZ29vwPjPyR5h9M/mQBwJ07&#10;H0ppaalMnjhRvf7DjSqm251FPs/74Sh+iJ+6PquF2aZH176OMSYkyKKFHrpR7/U/vCKv/f4P+ied&#10;+9TyMeNJTk6T3LxCKV695v543oPb9Cz5W1hYPCos+Q+AmWdurFj8zp09V8nf39dPbXzZ20/a+efI&#10;3wFjd7vrqtTsJ3VDqTbe0eRH+v+wUdrM3tMTQCc+qlzHAqsrh2ztLmR+zAQZGP/gKhhTkCtekeHq&#10;QEggQB8CzX+Jpau0FEGw4O48Tx3meZbduSHX+nul8Uaf9N6+LR9//Il8Y9T/YPJ3cNcEBzsM2Xsu&#10;XqzK38/bRzf6kSp/Hg+njk+3PlsGUfn9fX1SW1urzYs7t++Qgnzz+4iN1bXR7MxnpwRjeiyWmjd3&#10;nvj5+UtUVKykLk+X3JUF2pdijXgsLCyGApb8B4CKInWKt/nC+Qt1nzk+6KtXr1Z/eZr+HoX8IdPj&#10;/V26dCd7zw7xDA9Vh71so/L3NdWqy1/uvt1KxD4xkdqNv+78aU3XD4UK5xz0EZBl2FJxRaIM0c/0&#10;XCS+MVGyfPMGnUKgGdA/MU6Kjx1ydf0PweM+Nsxj0vVfdrNPqk0A0NbfJ7du3Vb1P9jq1wE+/4cP&#10;H9GlNL7qXDdf8nJzdavf83A46n6wymcS4aeffpLbJrC5VlmpKp8xxaWBQZrSnzJxkoJu/blz5or3&#10;Eh9dFhVnPocrVrjS+gWFq5T0bWrfwsJiKGHJ/wHQLe212EtGvPmWOsrl5uTKoUOHpK6u/pHIHyKF&#10;UGmmKzl1VBvvPMNCJHntall79qRsuHzOKO4LmpJfHBYs3tERar5zpKtVrXeHgoid2v/ephod85vv&#10;76vGP8u3bNRGQx4X5Jjg5IQJVDTw+K0zAAPkz8gf6r+pp0d6zfX97PMv3JL/5198IecvXJCcnBwJ&#10;DlqqhJmWkiJdHZ0D9PtsD0fl07z3xx/+qLa7nZ2dOpt/cP8BWVVULAlx8Ubl+8j0adPVRRIHPl4H&#10;a3QDTUDAznxW6OYXFP1DA5+796mFhYXFr4El/weQV1Cs+8xZgAL5p6akyo4dO6SqqvqRyB9AvjQA&#10;br12RdI2rpOI3ExNv+O6V3LyqOxpqJa8A3tkSVS4zuIzl7/tWrmWBYbCd58AgudAQx8EH7I8RUf+&#10;EkuKtdFwYVCAeAQHmcfdoKOBlAl+83W/kL95rbrnH7vfrk5Dll2q8PH0f5D82f3PuB+76COXLZPx&#10;hjhjoqKkrbV1gH6f7fFf/+t/Vd+BG/035Nq1a3Lo4CEpzC+QZUbJe3t6ybzZc3Ql8fy5Lo99mveW&#10;BofoaGlKynLJzMrRmr7TwLcOlc+YniV/CwuLpwBL/g8Aj3/GqKZOmaojVdFR0bJu3XqpqKj8O/mb&#10;QKCsvUUu3jGEiVJ3o9Yh4AM4/507qeQelrlC0+0rD+xWki89c0Jd/5ZEhkv86iIpOnZYdtVeMyp8&#10;6Ej4RH+njv3RexBbmKe9Bv4JsdpwSNDBRAC7BihRDIXb4GOB3QIs+vloYM9/e5v2VWD16478Gfdr&#10;bm6Rw4cPq53tmPfeV8e/xoYGHZ2jk550+9M6OPdgj30a91D6NO9R0793754+l1MnT8ra0rWq8ilN&#10;kEGif4SNeh+MGWvIf8HAmF6SZOWsVLInne/uvWhhYWHxtGDJ/wFghbosIkrmzJkrHgs9JMDPX/Lz&#10;8uXKlTIX+RsCulbrMvm5dKdfN9U9jPxZorO7oUrtfVHfOPylbVqntf/N5Zdk+ZYNavwTuTJHt/BR&#10;+6de/+C5nhRs/NtZU2kCi0O64x/jIRS/b0ykhKan6kQC5kNbK67IyRtdbs/xVGGuEYt+sEmubG1W&#10;G9+7dz9yS/7s92fi4sSJk5KUmKQLbDC/wemP0Tnm5p82+VPHZzb/b3/7mzbw9fb0SHl5uezft19K&#10;S9ZI+vLlEh0ZKUEBgZo1gvxZrDN/3gLx8vKWYMdnn3r+yvyBBTvWhc/CwuK3hyX/B1BsbsjRMfGy&#10;eLGXzlZzA09LTZNz5y9IN+Tf2irX6+vlKt7+t/pUuUJgDxIb5E8tnRl+uupD0lJk8pxZagC04/pV&#10;2Vldoao8c8cWbfoLTIzTUgALf/hZ8OA5HxdkEeglYMwwaU2xzFjkIbO9PM1zSdZeAOr/YM2Z45r6&#10;d3eO3wKXDPmXNzVKTW2djvQ9uN5Xyf/7H9Rl8bz5PbCylrG4IP8AqbxaoSl3SBllPlTHg0qfmv5/&#10;/2//XVX+Jx+7duYfPnRIsrOy1G6X2r1u1Ht3pIwdNUYb+UjvB4eESZxR+RmZ2VrLX7XatTcftW8b&#10;+CwsLJ4VLPk/gGJzc05ITBFfvwAdt2LJT+SyCDl+/ITa0Da2tPzDYp9Ldx9O/k7jHeobkqXWztId&#10;uuw3Xbkg20wQwKIdsgIewYGyYvN618KfAde/B8/5uOAcBBOk9TO2bpJ5fj6yINBPXf9oQKQMEJgY&#10;r+qfIMHdOX4LPAr5M/9/8+YtrftnZ2ap812gn58a5GDxiyf+UJI/Kp+0Puf++uuvtWO/wQR9p06e&#10;km1btkpBXp6m9gNNADJn9hyZMW2Guu/NmjFLFnsslgD/QLXdZVlUdm6eWu7itW9T/BYWFs8DLPk/&#10;ALafMesfYhQbZj8jR7wjvt4+6sDW3NIq9c3NUm2IqpKVvjd65NKdG9q45o7UHAVP7T93704JNwof&#10;4x/W/646cUT2N9fKxsvnXRv/FntIfHG+Gu+gwlkW5O6cjwMNQEwAQPmh4NBe8YmKEJ/oSJ31T15b&#10;IgFJ8TLXBATLTdBxsK3R7Tl+CzwK+ePyd88o7tbWNl3pO2HsBzrrz8w8Fr+of1T6UB1kEhjTo5aP&#10;ymeXQF7uSlX5kydMlHFjxmj2gdl80vre3r6yNDhMYmLi1X0vL79I6/mDt+mt3+gy5XH3vrOwsLD4&#10;LWHJ/wEwYpWRlaNd2Mxev/3Gm7JowULZYtQeHv819Q1SawKA653tUt7XLZdv9Rny/3mVfrSnXdZf&#10;PCMZ2zZp4x1Oezj97W2slu1VVyU6L1c8lgZKrAkMGAdkGoB6/VCk/gHnovEQc5/Q9DTNQuAz4B21&#10;TKYvWqiGP3vNY5KlGIqMw+PiUcifr3366WfS1dUtq4tXycRx4w35e8vp06e1y/5JyN9J7ZPWJ3PA&#10;mN73339vHudT6enu1jG9I4cO6R4B9gpQy580fqK89867MtYQP4Y89IXQwBcTE6dBI7P5zOVbkrew&#10;sHieYcn/AVCPZQd6Ukqa3thZqDLfBAElJWvk0qXLcr26RupI/Rvyv9rbKZcNcTGv7o7UHEC+NPmt&#10;u3BayX9BgJ/u/t9WWSa766u07o8LIIqc9DyBAot3hor8KSNQ98/cuVUbCyF+goBFYcFK/jzudvP/&#10;x/s6hnTa4FHxrMgf4ie9/+///u//sDN/3969Lve9mBij9L3UUdBj/gId05sza472ggQEBEm0CRCx&#10;3c3KzlV/CGdvvnXhs7CweN5hyf8BkJ6lPov6p0P7nTffklnTZ6jZz7Hjx6W8olIaWlulpsOQf1e7&#10;XO7v1vW07kjNgav2bgKA5jqdtZ9hCBfb33WG5FH5LPhJ3+Yy4CEIyNu/W9PwQ0X+eA7w2GvPn5IM&#10;E2iwUhh3wYVLA2W2j5cJBvJk/YUzWp5gK6C7czxN/Bbkj8rn/5kKcMb0WKFLyeDje/fUZ59temtK&#10;SiQ6Kko8FizQXflkfka/975MmjBR5s6ZJ76+/hIRGa3rc7GDJli0RG9hYfGiwZL/A2DsihptfmGx&#10;+Jkb/btvj5BpkyZLclKy7Ny1Wy5eviLNbe1SZ8i/sr1FrvR2yKVfqM9D4qTUj3S1SOb2zTpjH565&#10;QlYdPyzbrpfrGuDVJ45oVgBCZgSPoGCoyJ/g40h3q+ysuaa9B7gOzvH1lkUhS8U3LloSVhvVemS/&#10;bvo71tvu9hxPE78V+TMSyJjet998I7du3dIxwQP79klhXr6kmt9vRFi4BPr7i+diT/FYyN78hSYI&#10;8BBfHz8JCw2X2Jh4SU5Jk8xs5vNXG4W/QRfsWPK3sLB40WDJ/wFwIwcEAEuDQrS+O2n8BIkIXyal&#10;pWvlzNlz0mLIv77dkH9zk5QZ9c+8vztSuw9D4hA5nfds0wtdkapLfXL27VKv/12112X7tXKt+U+Y&#10;OV3C0tNkR9VVnRYYigCA85y61WsCgDZdLOQZFioTZ83QvQPReTnq909GoPTsSTnU0eT2HE8TT4P8&#10;nXo+aX3HlIc1utjutra2ytkzZ3SFru8Sbxk5YoS8+dpr8sYrr7l25k9lZ76nBAeHSWJSqu7MLywa&#10;SOkbpU+A+OBGPXfvJQsLC4vnFZb8HwLSuVGRMdrNzRgXZj8ZGZly9OhxNZtpbGuTa/X1avN76daj&#10;GfPg3Q/Zp2wolYQ1xdr1z5jd9utXZU99tXbgUxJgKmCD+T7q/vyMu3M9DpzMw6mbPWovTMf/1AVz&#10;xTc2ShJKiiXeKH9KDvgM7G+uc3uOpwbz3C6b51XeODTkD5w6Pmn9b7/9Vvr7+6XaqPxTJ07K9q3b&#10;dFogxSj94KAgmTt7jqb3J02YpNv0FnkslqCg4PsNfGzTg/hpBFXLXUv0FhYWLwEs+T8ELFVJSk4V&#10;L88lsmD+Am3+i4yMkr379iv5N7W0yvWqalWsl24Ygn4EhX72wxtq4Vt0/LAs37Re5+0x39lcflFr&#10;/DT+Me8fkZ0hxeZ7cAdkTM/duR4XLO4hA0BtPyg5UWYt8ZSglCQTiKyV6IJcCUlPlRVbNuioobuf&#10;fyow1wyHxMs3Ho38P/nkU/X/Z0nOREPYvpD/qVNK8P/2b/+mpE9NnzE95vNR+Y3mvHv27JHUlBRN&#10;6c+cNl0mmJ/FkAevAAI7h/CjIfyB9bmM6dG1r4Y8NPANKH137xULCwuLFw2W/B8CGv9WpGepQxse&#10;/5AEM96M/DU1t0hDU/N98r/c3yMXmPX/hQCAbX8H2xtlS8VlSd+6SXyNAg9KSZQ1Z07IoY7m+yUB&#10;uvFZyMMGQL7u7lxPii1XL0lUXrZ4RoRJWNYKSdm4Vh0Gl5h/0/i3/Xq5258bcgzy9scv4VprsyHq&#10;Jt3b/5Mb8v/xxz/p/zWZ616Ql6+LfUjZ46X/xRdfyDdff621/I8++ki6urrk+rXrctIo/Y0bTRCX&#10;mGgI3sP8Dqcbwh+rS5smjBsvM6fP1AU7kVExkpK24r7lLt367t4TFhYWFi8LLPk/BNR0s3LydN7f&#10;y9NLyQbVuGrVaqmqrpHa+gapqq2VipZmKevr0qY/Nfv5mQAA5Y3d7/5Wl+PebK/FMs9nieTt36Mk&#10;v/7iWTXcSTVqPM2QMvX5PY01bs/1pNhZU6H7BUIxHCpcKUnrSnTZzyzPRWr7u7nsgtufG3Kg+tnq&#10;d6dfKgz5s9UPB8WHbfXD4a+//4ZcrajUnfiodh8TjJ04flzufvihtLe1ScXVqzqmtzJ3pcTFxEqg&#10;n796NLBRb9aMmS6Pfc8lEhi4VCIioiUxMVlWZGS5tulR01/jUvrWa9/CwuJlhyX/hwACyCsokuTU&#10;5aoOGfeCcDLTM+TCxUtScf26VNfXy/XWFrna3aFWvxeZkf8Z8qf2jvonAMjZtV1meiyUmQsXSNb2&#10;LbK3uU47/0tOHZOM7Zu1ES/NBAHM57s715OCHf/5B/fqvD/mPmwU9FoWJhNmTNeFP3gRMB1AoOLu&#10;54cM5lpgjVx2q0+qbvRJa3+f3Lh5S7748iu3+/zZ6tfe0SmnT5/Rej1b/RbMnSdbNm/W2fxDBw9K&#10;yerVEhMdY0h+vip7fPZHjnhXx/SwasZyN9a8x9MzsqWIbXpG4VPHd/f7t7CwsHiZYcn/IaC+y7x/&#10;VvZKWbo0RFPFBAAoSur+500AUNPQIDVtrVLR2S5XjPq/SNf/L5C/dt7f7tXGu8CEOPGNipTMHVtl&#10;a2WZbKu6qmQP+dOMF7oiTbMB7s71pKC3gDIDj0GXf+TKLPEICVLyx/6XVcNMBrDffygmDR4Kc+4r&#10;H96Uypt9Um/Iv/PmTbl950P56utv3JL/N99+J01NTXLwwEGJjYmRUSNHat3ez8dH4s3vhPW+ZAIW&#10;eyzSHg3G9BYtXCRLlvioVXO8eaOnLXc58LG2uWTNOlfHvlX5FhYWwxCW/B8CyJ9FLMxzR0ZGy8Rx&#10;E+T9d96V4KCl6vZ39NgxqTXKv769Ta4ZlBn1f8mQ5s+RvwPUP7V3yJeRP5z31pw9qV3/2vhniJkl&#10;PJ5hIeoFQMBAw95QkDELfDZXXJb8Q/sled0aXSo0P9BPRwwh/9UnDsuxnnbd7/+0yb/8zg2p7u+R&#10;FqP6++7ckY8/+VRJ/i9//Sf56z/9833wbzICVVVVsnnzFgkPDVNV/8rvfidvvPKqvP3GG/L262/I&#10;O2++LZMnTNLFOmq5q+tzMzSDw4geSp9eDmdMz93v3cLCwmI4wJL/z2Dt+o1aB6Y2zH5/UsneS7wl&#10;CcOfnbu07t9oiP86df/2Frl0o+eRyJ+0Ol31jPlR32evf87uHbKp7KKO963ct1MWBPnL4rBgyTu4&#10;V8mYbMFQkPHR3nbZUV2hi4Ug/8DkBDX7ofsf18FVhvwPtjfJyRvdGnC4O8eQAPI3wVJ1Z4e09vTI&#10;7bt35cuvvtbaPmT/l7/+VWv/f/zxT/Ld99/L7dt35MSJE5KZkWHUvq/2YDCTP27MWJk8abI276H2&#10;/f0D1XaXbXpkbVD5q43Kd/f7tbCwsBiusOT/M0Ad4uBGU5ivr59u+SOl7O/nL2vXrpO6+kZpae+Q&#10;6oYGKW9skMt9XdrB7pbsBgElj5XuugtntKufDEDimmJdvoMRUNHRA1qH94oIk6xd27TpjwBgKJbu&#10;HO/vNOer1sdKXleiDn/eRvF7RYRLZF62kr8+Xl/HU6v7XzTEzxpkFiNdb27S0cl79z6WHwzxM9KH&#10;2of4f/jjj/L1N9/Ip599Jm1tbbLFqP7AgEBZaH4H7M+fbX4fnp5LVOVTy1+Rnim52rFfooRP8x6d&#10;+7aBz8LCwuIfYcn/F0AAQJ14WUSkur4RANA5npOVI1evVkh9Q5NU1dZJhSH/Kz2driU/v0CaKOqj&#10;3W2qwBnvi8rLkaVpyVJweJ+S/1pDzLj8ocQpAWD/e6CtQT363Z3vccCSIZQ9JkKsF57t7aXeAn6x&#10;0RJXnC+FRw/KjppKtQN+KuRviF8b/e70y7WeLt2Q2NHRqeT/3Xffa9qfuv/nX3wpn3z6qXx49670&#10;37gh165dl5UrV+qehTmzZqvvgu7Mj44ZmM1nm17pgOWuJXsLCwuLn4Ml/18A5J9fuEoNfxgRw/qV&#10;RrO42Dg5ceKkXK28JtdqaqSyqdFV97/d7woAfiZFT/qetDr1/dWnjuqKX9L86ds26yQAPgCpG0ol&#10;1pAxjXmk6Nn+h0ufu/M9Dk6bc6D+N5VdkODUZBk5apRMX7jARf6rCrTMQD8Co4dPi/zLzDW6blR/&#10;XXeXNBtF393dIx99dE8Jnz8Z6evp6ZWu7m5pa2+XxqYmOX3mjCTEJ2jfBfP6/C4SEkxwlJ3r2ptv&#10;lL6j8m0938LCwuLnYcn/FwCRFK8u1foxs+HTp07XTW9LA4Nk67btcvrcOam4XiVVRsFWdHZIWX+3&#10;y+v/Z8if/4PIT/R3ybrzpyUgIU5tfVPWlWhGYGdtpeQf2quOe8z9Z+1kGuDKkFj9Quis+N1qAgz/&#10;mGj5w+9+J5NmzZTAxHi1HM7du0snDPa3Nvy6MgMmPlwDQBCBB8KHN+SiIf6Kvi6p7mjTZkmWJGHZ&#10;e+v2HTXx6evrl5ZW8/XmFmky17SmtlbKyspl9569Erw0WF77/R/0d4AxT3bOSlX77n5vFhYWFhYP&#10;hyX/XwDkT+24oGi1qv95c+fLe++MFM9FnpKVkaWb/q6UX5V6Q2JVhszKu9rlCo1/v6Ca6fg/Y4KE&#10;zeWXdKRvjs8Srf3vb6lT8i89c1xy9mzXWfy4VYU6f09JwN25HgdkHXhsnPwC42IM+f9epi9YoKuE&#10;0zatl+zd22X16eOyt7FGv8/dOX4Rhvix7cXEB/Ojy7f7dPXxlR4THLW3SkVzo1yvr5cqg9q6enXt&#10;w7a31xB/V3ePlgEw/OFr1TW1ukoZc6Ulnl7yqnm+1PoTEpOloHCVTmS4+71ZWFhYWDwclvx/AZA/&#10;RjCMimVl5coSL2+d+WchTIhRosWGlC5cuizNHR1S09oqV1ub5Upvl0vpuiPGAUDCgLo/Nf+FwYFK&#10;/juqKmSn+Rqpd3oAGAVcmpIoxccOaUnA3bkeB87j8hiB8bFK/jgNxhcX6MghDYbU/dkr8Fjk/4DS&#10;p/Rx6c4NuXyzVz0QyjvblPQrjZKvrKoWavjg+vUqqTEEj7VvmwmgMPLp7OrWIABUVF6TrVu3SVJi&#10;ksybM1dH+zDxYYSPSQxrxWthYWHx+LDk/whwAoC8/CIJCQmXWTNny8zpM2TW9Jm65//EyVPS2Nom&#10;NU1NUtnYoLV/3P5Qv0qK7shyAOztp74fmJQgKevX6OKdrRVX7jcDBiXGy1yfJZK1Y4sc6x2aJT9g&#10;Z02lBCXEyiu//73MWeIpCauLlPgfm/wHk/3tfvU6uHTDpfKvdLTJVYNKQ/xkRWpamqXWXKO6hkap&#10;q2+QevNngyH95pZWaW/vULXPn6T82Ztw0QRVO7bvkMSERPFctNgo/tkydfIUXcKDD79t7rOwsLB4&#10;Mljyf1SYAIClL/EJyeLj7SfTpkyTEW+8JQH+AbJ/336pNyRWXVcnlXW1Um4IT4kQ9f8Lo38HWut1&#10;3j+2ME/r+xD+hsvnZW9DjRSbvy8KCpBRH4yVREPOR7pa7it3d+d6HDwx+Tvq3sEA8ZPap9+hrLtd&#10;yttb5GpjvVTU1Gh6v9aQfkN7uzQbYm81YLQPOCq/u6dXenr7FK0miCLVf9IEVBj6JBvFT3f/qJHv&#10;66RFQECQJCanSrH5XRCUAbe/LwsLCwuLh8KS/2OAjvL0zGyJjIyR2bPmyGt/eEXn/pn5v3j5inb+&#10;U8euMORP3V8b/wgAfkb901W/+sQRSd24ThfusO1vzZnjule/5NRRWRwcJO+NHi3xRQU6HcC431B0&#10;4T82+TtpffN6NKvx4d9VPv4G5T2dRuG3yzWDqrYWqWlqdJkgNTVrR39bV5d0DqTyIXv+1NXIRuWz&#10;ypeFPefOX5AD+w/I+vUbJCcrW6Ijo3ST4tRJk2X8uPFacqHWz+hlSamt9VtYWFg8KSz5Pwao++cX&#10;Fkva8gxd8/vmq6/JjKnTJC1tuezas1cX/jC3XmXIHzK8fLPnF8f+jnS3ybqLZyVr5zZJXr9G1/kW&#10;HNmvJkDrL54R36gI+WDyZElYVSj7mmrV6W8ozH4en/xdu/cvGeK/bEifvoayjlYpb26SqwaVLU1S&#10;1doidYboGzuMwu8caNqD7Ht7tZkP9PXfUPB3iB+vhGPHjqvKz8nJlWVh4bJg3nyZPnmK7t1nKQ+K&#10;38sEATj3sWsf1Y9Nr7vfkYWFhYXFL8OS/2MAwikpXSd5+YUSGBAk77/7nkyeOEmCAoN0jexRQ2IN&#10;La1S094mV9tbte6ty35+JvV/rLddtlRckfxD+yR5bYmErEhV178DRuXT9Mcs/tQF89QBcHfddTne&#10;12nU/9Mm/wP6WGfxFSAAMI/H66CUQUajvLdTlxlda2mW6/V1Ul1XL7WNjea1t0gLTXuG9Lt7+5Tk&#10;+2/cVED2pPhJ61Prp9GPDX3bt++QgoJCiY+LF18fX3XuG/n2OzLizbfk3bdH6PVdssRbomPjJDMr&#10;RxfyWNc+CwsLi18HS/6PAQiHAADliQqdM3uu1v4xnVkaECjbtm6T2oYGbWqj8a+8o0W73S9CoA9R&#10;/3Tw4/Nfcvq4JBnyx26X+X7S/juqrkpswUr13me/Pyt/D3e1DInZz8+Rf9GRA7KnulIuGKKH7HEu&#10;LOtqk3LG9Iy6v95mAhyj8BsMmNPH4hjC17Q+9fsBhQ/pOyqf2f2Kyko5eeqUEn5RYZHW84NN4OTp&#10;sUhX7s6cMVOb+uaa67rIY7H4+fnLsvAISU5JlezcPNcaXnP9rZGPhYWFxa+DJf8nAMqT1H/Q0hDt&#10;/FeFOmGiElrltetSXVunrn9XW5q0Ce4yNfKHpOpJ46PyN1w5L4mlq8UjOEhH/pgC2FNfpX0AQckJ&#10;krF9k8vmt7VBf8bduR4F2jB475ZOE0D+r/7hD0r+Ouq3Y4tk7dgqRYf3y77rV+VST4dc7Wo3hN+s&#10;wcy1ulqpqq2VOqPymW5oQ+H39Bly/7vCH6z0aeCjqY9u/vKrFXKQnfslJUblx2n3/hSj6t956215&#10;6/U35L13R8qE8RPEY+EiCQ1bJknJadrRX7x6jdb32bFgCd/CwsJiaGDJ/wmA+szNK5DEpBTx8vJW&#10;4vpg1GhJTk6RQ4cO64gaJMm2P8jzigkAaJBzR8aoeJbooPLjCvNl8uxZEpGVIbuMMt/bXKtGP1Er&#10;syV92yZZfeqYKvZfY/ZDwyA/j8NfaFqKvDdqlMz3XiKRmStkeckqyd6wTkr37pZDVy5JuVH59C/U&#10;GoVfTy2/tVWaIX1MeAa69CH+vv6bcuPmLVX5uPW1GLK/dr1KG/j27t0nq1etlhXLV0hMVLQEBgSI&#10;5+LFMnfOXFX5qP25c+ZpM99SE0zFxMbL8hWZsjKvUJ0VMViyxG9hYWExtLDk/wQg7YzBTF5BsYSG&#10;hskHo8fc3/W/enWJHDl2XGrqG6TOEOU1Q6A6+nfTvVpHidNYt98QfWROlrzz7rviHxOldr4s8yk6&#10;dlCS1hry3LpRRwI3ll2U4yZYcHeuRwEWwYwMbrx0TiJNkDF51kxZ5OcrYfGxkpxlSHdVsWzavk1O&#10;nD2rY3oN5jW0dHZKe3e3pvSdpj1V+IbwIX0HBAOofMx7jhw5KqWlayUmOkaX8YwyAdLIESMM3pEJ&#10;H4zXJj428uGbwPhkZlaupvVXGcJH6bvq+i7St8RvYWFhMbSw5P8EgIyc5r84cwEZ+4PQFi5YKJER&#10;kbJhw0Ypr6iUmsZGudbYIBWtTepyd9Go7ofV/9m0F1ewUt4fM0b8Y2Nk05XzsrepVlfsMv+P8qcR&#10;EA+AxyZ/OvUZ0TOPfbq3Qw7WV8uGE8ck1pD/3EWLZIlR4yGREZKanm6U9jrZd+CAXLpSJg3NLdJm&#10;iL9zUB0fkr9567aSPyofsmcuv7z8qpw6eUp279otJSYAWp62XMJNYLRooYdMHDdeRr/3vowb+4FM&#10;mTRZr1NgwFKJjo6T1DQ28hXoGKW7a21hYWFhMfSw5P8EgPyd5r/0jGx1nJs7e55MmThZpk2ZqsR3&#10;5uw5qayqkmvY2bLxr6tdm/8YlXNH/oc7mnWxz+S5cyQkLUWd/rDgZaMfm/0ydmx5YvLXET0TeNCt&#10;f7q1UQ6WXZINe3dLckaGLPH1Ff/AQAkJC5MVGZmyfftOOX/+os7ed/b0/KPSN4D4AV/Dne/y5Sty&#10;6OAhWWeChhXmdTP5MGfGTK3njxs9Rrv158yeI4s9vSTQ/F9EZLQkJ6fqoqS8giI1TqKDn2vp7lpb&#10;WFhYWAw9LPn/SuQXFEtSUqr4+QXKhHETtIGN7XPb2Ph35qyUV16T66j/tha1/SUAcBn/mABgkPkP&#10;+/NR9/MCfCUiO0N3+pP6h/zpwM/csVW995n9ZzxwMLnfh2PEw2ihUflqxsOI3q0+7dov6+uWM3U1&#10;svfUCVm32QQU2dmybNkyWRq0VPxMEJCSkir79x2QqqoaaW1rv0/4ED0pfRbusGkPpc+mvcOHj8im&#10;jZvUkCcqMko8F3vqXD5jeu+8NUIXIM2YPkNw5YuNo5afISvzC3UTnx3Vs7CwsHh2sOT/K7GqZK06&#10;zpHCnjVjlta058+dJ3ExsepUx9IfRv+uG/WPGU5ZT4c6/13EpW9QBuBoT7vk7t0hSyLDJaYwT0rP&#10;ntQ5f/b95+7dKSu2bNTO/5LTxzRQ+AfSH4BL4bNQp18uM6LXy4iey263or1VrhmcrbgqO/fvl5K1&#10;a6WwqEiyTQBAsDJz2nQ12Dlw4KCa73R19SjxK+l3dqkX/+UrRuUfPiyla0olzQQKy8KXia+3j3jM&#10;X6Dqnjr+7FmzdWzPy3OJ7tyPioqRtOXpkm2uEVv4uF7U820d38LCwuLZwZL/rwTpajrSMzKylfDG&#10;jhotE8dP0LWzKckpcuz4CallfW1tnVRiY2sIWGf/UeWDbHpZ2lN4eL8sTU1SQ5+SU8dk45ULOv+f&#10;d3CPpG1er/v2i44dkiNdhvwHq3zOM2C7i8e+GvF0dxjCb9GSw7W6OqlqaNDFQ2cvXpLNW7YaIi6S&#10;NaWlJkBZL2EhoTKOXgNfPzl44JDLma+rW/8ktU/n/qlTp2XHjp2Sm5srQQEBmtYf8/4ozXQQ8IwZ&#10;PUb37C9Z4iORkdGSmrZCJyI0ra+jepsV6zfaGX0LCwuLZw1L/r8S6wdIjY1/kJ7HAg+t+48bM9aQ&#10;ZKA2/507f159/3HBu073P/X//m6twzvq/3h/p6wxqj46P0dtfgsO7ZM1Z05oBmDVyaOyfNN6iTL/&#10;l7d/txxub9IGPvoHLrEr35A9/vpXDOGzOpdNetfZomcCjbq2VteIHmY8HR1y9vwFKSws1m2E+BJs&#10;3bpV3fVYUYySR/mT1r9SVq7LdVinm5uTK0kJiZoZ8PPxddnvTnWZG82cPtP8e4H4+PhJaCid+0m6&#10;/4ByCE181o3PwsLC4vmDJf8hAkSXmZ0r0TFxMm/ufHn7jTdV/TPfvmvXbl3809TSKrVNLsMcfPEv&#10;3+q7n/4/eaNbNlw+J6kb1xqiN+fauVXyD++TdRfOyIZL5zTlH5qeJtnm64dbG5T4r9zskbLeTs0m&#10;UFKoMOqe7EJVXb3UNTdLU3u7GvE4rnu9/f1y5sxZSUtN08AkKzNL1Tx/kvonU7Fv/wE5f+Gi7Nq9&#10;R/LzC7QfgMa9d958S0aY18RII2t1PRZ6iL9/oEREREtyynKdy6eWf99+d7114rOwsLB4XmHJf4gA&#10;4RUWl8iKjGzx9wuQ8WPHyYyp0yXAz1/SV6TL3n375Xp1jab/rxuSrmgZaAA0qp2mvFP9XbK57IJk&#10;bNukM/109+cf3CvrL5yWTSYoWL6hVEJTkiR703o5Un1NynoM6ZufZ5Oe2u3qrvxmXS3MNj3Ue8W1&#10;a2o4dOr0GTl0+Ijs2bNXdxBQp0fpRyyLkLyVear8/c3zDA0JlfT0dFX6CfEJsjQwSObNmas+BmNG&#10;jZEJ48ZrX4PPEh9ZFhGlG/aYdsDvgNKHu+tiYWFhYfH8wZL/EAGVW7pugxQUrZbY2Hj1pp8xbYZM&#10;HDdBZ90LCwrl3DlX+p/5/+omo9QZAWxrlsu9XXK2t0O2lV/Uzn5G+1T5G/LfcO6UbDHqP31tiYQl&#10;xktuyWo5fvG8Ufn16iBYY4jf2ZWPyu/s7tY1utjpsmiIssMKE3yEh4XLYo9Fmq6nVk9vAo2JKH6f&#10;Jd6ayidTMXP6dJk2sFEPxY/Kx4HP29vXldaPT5IV6S4HvkLzWh1THjuqZ2FhYfHiwJL/EIIUtzb/&#10;ZWZLhFHGC+YvlFEj35PxYz+QSKOyIeLjJ06q9z/1/6q6OjUBwgHwXHuz7Lh8XnJ3bpOsbZsVBXt3&#10;ysZTx2TbmZOSWbJKlsXHSUFxsXoI1JifrTckTz2fckJjU4vU1tXrboGz5v8pNRQWFklsTKx4enpp&#10;H8LIEe/Km6+9Lq+/8pqWJehLoG4PCApoVHz/3ZH3x/TGGvKH+IODQ1XlZ2av1OyG08DH6x0Md9fE&#10;wsLCwuL5gyX/IQYKGPVPABBiSJMOeMh/1oyZWgJYU7JGysqvSr0h/wZD3tTmrzc3ycW6Gtl98oTk&#10;b9ogK9evlZXrSmXV1s2y9dAB2Xn0sOQUFUl0fLwh3lL9+Taj9PHXb+3oVEOeK1fKZd++/eqjn5qS&#10;qlbDZBxQ86h3tg/SnDdpwiQNAt56/U15501Xp/7Y0aN1Pn+6CQIY1Vu4wEP8fPwlLHSZKn1S+yh9&#10;OvcJbniNluwtLCwsXlxY8h9qGFKk2W2NUccpKct1/G/i+IlGab+l2+tio2PkpFH/VdU1Ok/Pohxq&#10;9GUVFbLv0CEpWrNG8letUoVfsm6dbNu1S3bv3y95BQWSkJAo6zds1N4Bmvi6unvUXheXPbr0adyj&#10;no+rHiN4r/7+DzLC/Dlm1GgldX+/QPFc7KUBAOr+jVdfk1d+93sZ+c67Sv7z5y2QQBM0xBnCz85Z&#10;qc17vBZL9BYWFhYvFyz5PwW46v8b1fyH+r/3Eh/1/of8qbtjg7t923Ydp9MAgCkAEwAcO3lSStdv&#10;UHUP1q5fL1u3b5ftO3fKqtWrJSsrWzZu2qzd+BcuXlLCX7duvWRmZGpZQRv55szVXgNU/pzZc5Xs&#10;cdhjDJE1uRB7SHCY+CzxVYXPZj0CFLIUPNeU1OWSZYifJTululHPduxbWFhYvGyw5P8UAFlCmmz+&#10;yy8o0tl3XO9Q2x+MGatueszNY49bV1evKfzW1jZtCNxkyB1nQPoDNmzcKFu2bJUtW7fK2rVrdWPg&#10;5s1b5ODBQ/p1ZvWXDNTz39P0/RiZPGmyUfDz1V0vNjZB0pZnyMqVBYbMV8vqkrW6JpcZfLz1GdHD&#10;mZDv4Ws6qle6/u+pffMayGS4e40WFhYWFi8uLPk/JRAAuNz/1quSDg4J09Q7Kfexo8YoaWcbJc/4&#10;HeN4VVXVcvLUaSV6AoDNm8EWQ/Jb9N+lpaVSVFSko3oofcoH3ku8jcKfoZvyGMNjuyAOe2HhEUbl&#10;p5rHzftPCh5C53mR0neCAHoUyFS4ex0WFhYWFi8fLPk/JTjqn530qG2a5qJi4jTVTg1+0vgJsnD+&#10;AomJipaNGzepfS6KHsc9h/RdIBjYJKtWrdJgAZe9uRpETFSVP33aDB0rROnHxMYPjOFhq1vyd8Md&#10;h/gHwL81MDEqH3MilD5fc/c6LCwsLCxePljy/w0A0bLQhr31ISHhMmP6TFXqlAAw28Fkhy59CL7Y&#10;qPs1a9aYgGCjkj7pfhfxZ6nxzuJFi2TkiBG6OW/ypCmyeLGnhIdHauoei2FrtmNhYWFh8Uuw5P8b&#10;ALWNAicAgKSXLYvURrwphryZrZ8zc7Z4Llqsi3Uw41m+fLmUlKyR0tK1koOvflKSREZESIB/gMyZ&#10;PVtGv/ee/hxOgomJKZKRlaMb86jpE2i4ew4WFhYWFhYOLPn/RnDS7ZQAyABERcWqCdD4D8aroQ6j&#10;eZju4AfAjH5mZpZkZ+dITHSMIXk/VfxzDfFPmzJFJowbZ352gSH+ZHXYI7CA9J20vrvHt7CwsLCw&#10;cGDJ/zeEkwEgAMjIzJGo6Fjx8/U3pD5XvQAoA4x+f5R275MJ8PL0kjmzZuv63PEffKDd/Bj2EDRg&#10;tZtpFD/no4nPkr6FhYWFxaPCkv9vCEeZkwGg2a541Rqj8HPUCpjaPVmAV3/3e3nlv/xOXvv9H+S1&#10;V169/+8//J//Rb8G+YeGhmljX2Hx6vvNfO4ez8LCwsLCwh0s+T8jOB33jOKlZ2TpKmBfHz+ZOWOm&#10;OvSNGztOPhg91oUxY7W7H+Me6vypaSskv7BYZ/It8VtYWFhYPC4s+T8jOFkAVyOgy3gnIyNbEpNS&#10;tCGQXfls0gO+vv46u6/LdbJyNGBwjedtsiY8FhYWFhaPDUv+zwHulwIMoRMIYAuM+x7OgICAQC13&#10;V0H6dn2uhYWFhcWvgyX/5wSuAGCTlK5zBQCk9VfmFyryCoqkeLVrox5BAnB3DgsLCwsLi0eBJX8L&#10;CwsLC4thBkv+FhYWFhYWwwyW/C0sLCwsLIYZLPlbWFhYWFgMM1jyt7CwsLCwGGaw5G9hYWFhYTHM&#10;YMnfwsLCwsJimMGSv4WFhYWFxTCDJX8LCwsLC4thBkv+FhYWFhYWwwyW/C0sLCwsLIYZLPlbWFhY&#10;WFgMM1jyt7CwsLCwGGaw5G9hYWFhYTHMYMnfwsLCwsJimMGSv4WFhYWFxTCDJX8LCwsLC4thBkv+&#10;FhYWFhYWwwyW/C0sLCwsLIYZLPlbWFhYWFgMM1jyt7CwsLCwGGaw5G9hYWFhYTHMYMnfwsLCwsJi&#10;mMGSv4WFhYWFxTCDJX8LCwsLC4thBkv+FhYWFhYWwwyW/C0sLCwsLIYZLPlbWFhYWFgMM1jyt7Cw&#10;sLCwGGaw5G9hYWFhYTHMYMnfwsLCwsJimMGSv4WFhYWFxTCDJX8LCwsLC4thBkv+FhYWFhYWwwyW&#10;/C0sLCwsLIYZLPlbWFhYWFgMM1jyt7CwsLCwGGaw5G9hYWFhYTHMYMnfwsLCwsJimMGSv4WFhYWF&#10;xTCDJX8LCwsLC4thBkv+FhYWFhYWwwz/QP4eizz1CxYWFhYWFhYvLxYt9rpP/vsH/mJhYWFhYWHx&#10;0uP/OPD/AwJiE/1k2QEPAAAAAElFTkSuQmCCUEsDBBQABgAIAAAAIQAKEEit4AAAAAgBAAAPAAAA&#10;ZHJzL2Rvd25yZXYueG1sTI9PS8NAFMTvgt9heYI3u/lTY4jZlFLUUxFshdLbNnlNQrNvQ3abpN/e&#10;50mPwwwzv8lXs+nEiINrLSkIFwEIpNJWLdUKvvfvTykI5zVVurOECm7oYFXc3+U6q+xEXzjufC24&#10;hFymFTTe95mUrmzQaLewPRJ7ZzsY7VkOtawGPXG56WQUBIk0uiVeaHSPmwbLy+5qFHxMelrH4du4&#10;vZw3t+P++fOwDVGpx4d5/QrC4+z/wvCLz+hQMNPJXqlyolOQvnBQQZREINiOlylfOylYJnEEssjl&#10;/wP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lPuqFXAQA&#10;AAINAAAOAAAAAAAAAAAAAAAAADoCAABkcnMvZTJvRG9jLnhtbFBLAQItAAoAAAAAAAAAIQDujqtb&#10;UzUBAFM1AQAUAAAAAAAAAAAAAAAAAMIGAABkcnMvbWVkaWEvaW1hZ2UxLnBuZ1BLAQItABQABgAI&#10;AAAAIQAKEEit4AAAAAgBAAAPAAAAAAAAAAAAAAAAAEc8AQBkcnMvZG93bnJldi54bWxQSwECLQAU&#10;AAYACAAAACEAqiYOvrwAAAAhAQAAGQAAAAAAAAAAAAAAAABUPQEAZHJzL19yZWxzL2Uyb0RvYy54&#10;bWwucmVsc1BLBQYAAAAABgAGAHwBAABHPgEAAAA=&#10;">
                      <v:group id="그룹 3865" o:spid="_x0000_s1305" style="position:absolute;left:157;width:21388;height:27749" coordorigin="157" coordsize="21387,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DAxQAAAN0AAAAPAAAAZHJzL2Rvd25yZXYueG1sRI9Bi8Iw&#10;FITvC/6H8ARva9oVRapRRFzxIMKqIN4ezbMtNi+liW3990YQ9jjMzDfMfNmZUjRUu8KygngYgSBO&#10;rS44U3A+/X5PQTiPrLG0TAqe5GC56H3NMdG25T9qjj4TAcIuQQW591UipUtzMuiGtiIO3s3WBn2Q&#10;dSZ1jW2Am1L+RNFEGiw4LORY0Tqn9H58GAXbFtvVKN40+/tt/byexofLPialBv1uNQPhqfP/4U97&#10;pxWMppMxvN+EJyAXLwAAAP//AwBQSwECLQAUAAYACAAAACEA2+H2y+4AAACFAQAAEwAAAAAAAAAA&#10;AAAAAAAAAAAAW0NvbnRlbnRfVHlwZXNdLnhtbFBLAQItABQABgAIAAAAIQBa9CxbvwAAABUBAAAL&#10;AAAAAAAAAAAAAAAAAB8BAABfcmVscy8ucmVsc1BLAQItABQABgAIAAAAIQAFnfDAxQAAAN0AAAAP&#10;AAAAAAAAAAAAAAAAAAcCAABkcnMvZG93bnJldi54bWxQSwUGAAAAAAMAAwC3AAAA+QIAAAAA&#10;">
                        <v:shape id="그림 3866" o:spid="_x0000_s1306"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2JrxAAAAN0AAAAPAAAAZHJzL2Rvd25yZXYueG1sRI9BSwMx&#10;FITvgv8hPMGbTbSwlLVpKYpS6MmueH5unpulm5clL7Zbf30jCB6HmfmGWa6nMKgjJekjW7ifGVDE&#10;bXQ9dxbem5e7BSjJyA6HyGThTALr1fXVEmsXT/xGx33uVIGw1GjB5zzWWkvrKaDM4khcvK+YAuYi&#10;U6ddwlOBh0E/GFPpgD2XBY8jPXlqD/vvYKHxn0NjfsRPOzM+byS9Hs7yYe3tzbR5BJVpyv/hv/bW&#10;WZgvqgp+35QnoFcXAAAA//8DAFBLAQItABQABgAIAAAAIQDb4fbL7gAAAIUBAAATAAAAAAAAAAAA&#10;AAAAAAAAAABbQ29udGVudF9UeXBlc10ueG1sUEsBAi0AFAAGAAgAAAAhAFr0LFu/AAAAFQEAAAsA&#10;AAAAAAAAAAAAAAAAHwEAAF9yZWxzLy5yZWxzUEsBAi0AFAAGAAgAAAAhAGnrYmvEAAAA3QAAAA8A&#10;AAAAAAAAAAAAAAAABwIAAGRycy9kb3ducmV2LnhtbFBLBQYAAAAAAwADALcAAAD4AgAAAAA=&#10;">
                          <v:imagedata r:id="rId142" o:title=""/>
                        </v:shape>
                        <v:shape id="Text Box 3867" o:spid="_x0000_s1307"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umkyAAAAN0AAAAPAAAAZHJzL2Rvd25yZXYueG1sRI9BawIx&#10;FITvBf9DeEIvpWZbZSurUURaaHsRVy/eHpvnZtvNy5Jkdfvvm0LB4zAz3zDL9WBbcSEfGscKniYZ&#10;COLK6YZrBcfD2+McRIjIGlvHpOCHAqxXo7slFtpdeU+XMtYiQTgUqMDE2BVShsqQxTBxHXHyzs5b&#10;jEn6WmqP1wS3rXzOslxabDgtGOxoa6j6LnurYDc77cxDf3793Mym/uPYb/OvulTqfjxsFiAiDfEW&#10;/m+/awXTef4Cf2/SE5CrXwAAAP//AwBQSwECLQAUAAYACAAAACEA2+H2y+4AAACFAQAAEwAAAAAA&#10;AAAAAAAAAAAAAAAAW0NvbnRlbnRfVHlwZXNdLnhtbFBLAQItABQABgAIAAAAIQBa9CxbvwAAABUB&#10;AAALAAAAAAAAAAAAAAAAAB8BAABfcmVscy8ucmVsc1BLAQItABQABgAIAAAAIQAO6umkyAAAAN0A&#10;AAAPAAAAAAAAAAAAAAAAAAcCAABkcnMvZG93bnJldi54bWxQSwUGAAAAAAMAAwC3AAAA/AIAAAAA&#10;" stroked="f">
                          <v:textbox style="mso-fit-shape-to-text:t" inset="0,0,0,0">
                            <w:txbxContent>
                              <w:p w14:paraId="57143B92" w14:textId="77777777" w:rsidR="006D7011" w:rsidRDefault="006D7011" w:rsidP="00094D21">
                                <w:pPr>
                                  <w:pStyle w:val="af0"/>
                                  <w:jc w:val="right"/>
                                  <w:rPr>
                                    <w:rFonts w:ascii="Times New Roman" w:hAnsi="Times New Roman" w:cs="Times New Roman"/>
                                    <w:szCs w:val="22"/>
                                  </w:rPr>
                                </w:pPr>
                                <w:r>
                                  <w:rPr>
                                    <w:rFonts w:ascii="Times New Roman" w:eastAsia="Times New Roman" w:hAnsi="Times New Roman" w:cs="Times New Roman"/>
                                    <w:lang w:val="pl-PL"/>
                                  </w:rPr>
                                  <w:t xml:space="preserve">Rysunek </w:t>
                                </w:r>
                                <w:r>
                                  <w:rPr>
                                    <w:rFonts w:ascii="Times New Roman" w:hAnsi="Times New Roman" w:cs="Times New Roman"/>
                                  </w:rPr>
                                  <w:t>D</w:t>
                                </w:r>
                              </w:p>
                            </w:txbxContent>
                          </v:textbox>
                        </v:shape>
                      </v:group>
                      <v:shape id="Text Box 3868" o:spid="_x0000_s1308" type="#_x0000_t202" style="position:absolute;left:10541;top:190;width:8585;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MfhwAAAAN0AAAAPAAAAZHJzL2Rvd25yZXYueG1sRE9LbsIw&#10;EN1X4g7WILErDqBGEDAIKiqxDXCAIR7iQDwOsZukt68Xlbp8ev/NbrC16Kj1lWMFs2kCgrhwuuJS&#10;wfXy9b4E4QOyxtoxKfghD7vt6G2DmXY959SdQyliCPsMFZgQmkxKXxiy6KeuIY7c3bUWQ4RtKXWL&#10;fQy3tZwnSSotVhwbDDb0aah4nr+tgo5yk388DsfVvJf7G56YX+lCqcl42K9BBBrCv/jPfdIKFss0&#10;zo1v4hOQ218AAAD//wMAUEsBAi0AFAAGAAgAAAAhANvh9svuAAAAhQEAABMAAAAAAAAAAAAAAAAA&#10;AAAAAFtDb250ZW50X1R5cGVzXS54bWxQSwECLQAUAAYACAAAACEAWvQsW78AAAAVAQAACwAAAAAA&#10;AAAAAAAAAAAfAQAAX3JlbHMvLnJlbHNQSwECLQAUAAYACAAAACEA+zjH4cAAAADdAAAADwAAAAAA&#10;AAAAAAAAAAAHAgAAZHJzL2Rvd25yZXYueG1sUEsFBgAAAAADAAMAtwAAAPQCAAAAAA==&#10;" fillcolor="white [3212]" stroked="f" strokeweight=".5pt">
                        <v:textbox inset="0,0,0,0">
                          <w:txbxContent>
                            <w:p w14:paraId="75F57F13" w14:textId="77777777" w:rsidR="006D7011" w:rsidRDefault="006D7011" w:rsidP="00094D21">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pl-PL"/>
                                </w:rPr>
                                <w:t>15 – 30 minut</w:t>
                              </w:r>
                            </w:p>
                          </w:txbxContent>
                        </v:textbox>
                      </v:shape>
                      <w10:wrap type="square"/>
                    </v:group>
                  </w:pict>
                </mc:Fallback>
              </mc:AlternateContent>
            </w:r>
          </w:p>
          <w:p w14:paraId="02A71984" w14:textId="77777777" w:rsidR="00094D21" w:rsidRPr="008F328C" w:rsidRDefault="00094D21" w:rsidP="008A03B2">
            <w:pPr>
              <w:spacing w:line="260" w:lineRule="exact"/>
              <w:rPr>
                <w:rFonts w:ascii="Times New Roman" w:eastAsia="Times New Roman" w:hAnsi="Times New Roman" w:cs="Times New Roman"/>
                <w:b/>
                <w:bCs/>
                <w:lang w:val="pl-PL"/>
              </w:rPr>
            </w:pPr>
          </w:p>
          <w:p w14:paraId="5F8A85DD" w14:textId="77777777" w:rsidR="00094D21" w:rsidRPr="008F328C" w:rsidRDefault="00094D21" w:rsidP="008A03B2">
            <w:pPr>
              <w:spacing w:line="260" w:lineRule="exact"/>
              <w:rPr>
                <w:rFonts w:ascii="Times New Roman" w:eastAsia="Times New Roman" w:hAnsi="Times New Roman" w:cs="Times New Roman"/>
                <w:b/>
                <w:bCs/>
                <w:lang w:val="pl-PL"/>
              </w:rPr>
            </w:pPr>
          </w:p>
          <w:p w14:paraId="603E4FDE" w14:textId="77777777" w:rsidR="00094D21" w:rsidRPr="008F328C" w:rsidRDefault="00094D21" w:rsidP="008E70FE">
            <w:pPr>
              <w:pStyle w:val="a3"/>
              <w:numPr>
                <w:ilvl w:val="0"/>
                <w:numId w:val="129"/>
              </w:numPr>
              <w:rPr>
                <w:b/>
                <w:lang w:val="pl-PL"/>
              </w:rPr>
            </w:pPr>
            <w:r w:rsidRPr="008F328C">
              <w:rPr>
                <w:rFonts w:eastAsia="Times New Roman"/>
                <w:b/>
                <w:bCs/>
                <w:lang w:val="pl-PL"/>
              </w:rPr>
              <w:t>Odczekać 15 do 30 minut</w:t>
            </w:r>
          </w:p>
          <w:p w14:paraId="518AEDA9" w14:textId="77777777" w:rsidR="00094D21" w:rsidRPr="008F328C" w:rsidRDefault="00094D21" w:rsidP="008A03B2">
            <w:pPr>
              <w:pStyle w:val="Default"/>
              <w:rPr>
                <w:rFonts w:ascii="Times New Roman" w:hAnsi="Times New Roman" w:cs="Times New Roman"/>
                <w:lang w:val="pl-PL"/>
              </w:rPr>
            </w:pPr>
            <w:r w:rsidRPr="008F328C">
              <w:rPr>
                <w:rFonts w:ascii="Times New Roman" w:hAnsi="Times New Roman" w:cs="Times New Roman"/>
                <w:lang w:val="pl-PL"/>
              </w:rPr>
              <w:t xml:space="preserve"> </w:t>
            </w:r>
          </w:p>
          <w:p w14:paraId="59CC4974" w14:textId="77777777" w:rsidR="00094D21" w:rsidRPr="008F328C" w:rsidRDefault="00094D21" w:rsidP="008A03B2">
            <w:pPr>
              <w:pStyle w:val="a3"/>
              <w:ind w:left="4117" w:hanging="180"/>
              <w:rPr>
                <w:rFonts w:eastAsia="Times New Roman"/>
                <w:lang w:val="pl-PL"/>
              </w:rPr>
            </w:pPr>
            <w:r w:rsidRPr="008F328C">
              <w:rPr>
                <w:rFonts w:eastAsia="Times New Roman"/>
                <w:b/>
                <w:bCs/>
                <w:lang w:val="pl-PL"/>
              </w:rPr>
              <w:t>a.</w:t>
            </w:r>
            <w:r w:rsidRPr="008F328C">
              <w:rPr>
                <w:rFonts w:eastAsia="Times New Roman"/>
                <w:lang w:val="pl-PL"/>
              </w:rPr>
              <w:t xml:space="preserve"> Pozostawić wstrzykiwacz w temperaturze pokojowej na 15 do 30 minut, aby się rozgrzał.</w:t>
            </w:r>
          </w:p>
          <w:p w14:paraId="0D2AD7E9" w14:textId="77777777" w:rsidR="00094D21" w:rsidRPr="008F328C" w:rsidRDefault="00094D21" w:rsidP="008A03B2">
            <w:pPr>
              <w:pStyle w:val="Default"/>
              <w:rPr>
                <w:rFonts w:ascii="Times New Roman" w:hAnsi="Times New Roman" w:cs="Times New Roman"/>
                <w:color w:val="211D1E"/>
                <w:sz w:val="20"/>
                <w:szCs w:val="20"/>
                <w:lang w:val="pl-PL"/>
              </w:rPr>
            </w:pPr>
          </w:p>
          <w:p w14:paraId="3FA9C748" w14:textId="77777777" w:rsidR="00094D21" w:rsidRPr="008F328C" w:rsidRDefault="00094D21" w:rsidP="008A03B2">
            <w:pPr>
              <w:pStyle w:val="a3"/>
              <w:numPr>
                <w:ilvl w:val="0"/>
                <w:numId w:val="0"/>
              </w:numPr>
              <w:ind w:left="911"/>
              <w:rPr>
                <w:b/>
                <w:lang w:val="pl-PL"/>
              </w:rPr>
            </w:pPr>
          </w:p>
          <w:p w14:paraId="6F4EF37D" w14:textId="77777777" w:rsidR="00094D21" w:rsidRPr="008F328C" w:rsidRDefault="00094D21" w:rsidP="008A03B2">
            <w:pPr>
              <w:pStyle w:val="a3"/>
              <w:numPr>
                <w:ilvl w:val="0"/>
                <w:numId w:val="17"/>
              </w:numPr>
              <w:ind w:left="4297"/>
              <w:rPr>
                <w:lang w:val="pl-PL"/>
              </w:rPr>
            </w:pPr>
            <w:r w:rsidRPr="008F328C">
              <w:rPr>
                <w:rFonts w:eastAsia="Times New Roman"/>
                <w:b/>
                <w:bCs/>
                <w:lang w:val="pl-PL"/>
              </w:rPr>
              <w:t>Nie należy</w:t>
            </w:r>
            <w:r w:rsidRPr="008F328C">
              <w:rPr>
                <w:rFonts w:eastAsia="Times New Roman"/>
                <w:lang w:val="pl-PL"/>
              </w:rPr>
              <w:t xml:space="preserve"> podgrzewać wstrzykiwacza za pomocą źródeł ciepła np. gorącej wody lub kuchenki </w:t>
            </w:r>
            <w:r w:rsidRPr="008F328C">
              <w:rPr>
                <w:lang w:val="pl-PL"/>
              </w:rPr>
              <w:t>mikrofalowej</w:t>
            </w:r>
            <w:r w:rsidRPr="008F328C">
              <w:rPr>
                <w:rFonts w:eastAsia="Times New Roman"/>
                <w:lang w:val="pl-PL"/>
              </w:rPr>
              <w:t xml:space="preserve">. </w:t>
            </w:r>
          </w:p>
          <w:p w14:paraId="42DFF68D" w14:textId="77777777" w:rsidR="00094D21" w:rsidRPr="008F328C" w:rsidRDefault="00094D21" w:rsidP="008A03B2">
            <w:pPr>
              <w:pStyle w:val="a3"/>
              <w:rPr>
                <w:lang w:val="pl-PL"/>
              </w:rPr>
            </w:pPr>
          </w:p>
        </w:tc>
      </w:tr>
      <w:tr w:rsidR="00094D21" w:rsidRPr="00A5286D" w14:paraId="74CB93D0" w14:textId="77777777" w:rsidTr="008A03B2">
        <w:trPr>
          <w:trHeight w:val="5025"/>
        </w:trPr>
        <w:tc>
          <w:tcPr>
            <w:tcW w:w="9550" w:type="dxa"/>
          </w:tcPr>
          <w:p w14:paraId="6384AA7C" w14:textId="77777777" w:rsidR="00094D21" w:rsidRPr="008F328C" w:rsidRDefault="00094D21" w:rsidP="008A03B2">
            <w:pPr>
              <w:spacing w:line="260" w:lineRule="exact"/>
              <w:rPr>
                <w:rFonts w:ascii="Times New Roman" w:eastAsia="Times New Roman" w:hAnsi="Times New Roman" w:cs="Times New Roman"/>
                <w:b/>
                <w:bCs/>
                <w:spacing w:val="-1"/>
                <w:lang w:val="pl-PL"/>
              </w:rPr>
            </w:pPr>
            <w:r w:rsidRPr="008F328C">
              <w:rPr>
                <w:rFonts w:ascii="Times New Roman" w:hAnsi="Times New Roman" w:cs="Times New Roman"/>
                <w:noProof/>
                <w:lang w:eastAsia="ko-KR"/>
              </w:rPr>
              <w:lastRenderedPageBreak/>
              <mc:AlternateContent>
                <mc:Choice Requires="wpg">
                  <w:drawing>
                    <wp:anchor distT="0" distB="0" distL="114300" distR="114300" simplePos="0" relativeHeight="251658370" behindDoc="0" locked="0" layoutInCell="1" allowOverlap="1" wp14:anchorId="4ADA4A24" wp14:editId="335B2D6E">
                      <wp:simplePos x="0" y="0"/>
                      <wp:positionH relativeFrom="column">
                        <wp:posOffset>-65405</wp:posOffset>
                      </wp:positionH>
                      <wp:positionV relativeFrom="paragraph">
                        <wp:posOffset>172720</wp:posOffset>
                      </wp:positionV>
                      <wp:extent cx="1824658" cy="3219450"/>
                      <wp:effectExtent l="0" t="0" r="4445" b="0"/>
                      <wp:wrapSquare wrapText="bothSides"/>
                      <wp:docPr id="3869" name="그룹 3869"/>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3870" name="그룹 3870"/>
                              <wpg:cNvGrpSpPr/>
                              <wpg:grpSpPr>
                                <a:xfrm>
                                  <a:off x="0" y="0"/>
                                  <a:ext cx="1824658" cy="3219450"/>
                                  <a:chOff x="0" y="0"/>
                                  <a:chExt cx="1824658" cy="3219450"/>
                                </a:xfrm>
                              </wpg:grpSpPr>
                              <pic:pic xmlns:pic="http://schemas.openxmlformats.org/drawingml/2006/picture">
                                <pic:nvPicPr>
                                  <pic:cNvPr id="3871" name="그림 387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874" name="Text Box 3874"/>
                                <wps:cNvSpPr txBox="1"/>
                                <wps:spPr>
                                  <a:xfrm>
                                    <a:off x="1104900" y="3073400"/>
                                    <a:ext cx="719758" cy="146050"/>
                                  </a:xfrm>
                                  <a:prstGeom prst="rect">
                                    <a:avLst/>
                                  </a:prstGeom>
                                  <a:solidFill>
                                    <a:prstClr val="white"/>
                                  </a:solidFill>
                                  <a:ln>
                                    <a:noFill/>
                                  </a:ln>
                                </wps:spPr>
                                <wps:txbx>
                                  <w:txbxContent>
                                    <w:p w14:paraId="65A97F48"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81" name="Text Box 3881"/>
                              <wps:cNvSpPr txBox="1"/>
                              <wps:spPr>
                                <a:xfrm>
                                  <a:off x="520700" y="2241550"/>
                                  <a:ext cx="1233377" cy="79731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207F4"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4AC7F7F4" w14:textId="77777777" w:rsidR="006D7011" w:rsidRDefault="006D7011" w:rsidP="00094D21">
                                    <w:pPr>
                                      <w:rPr>
                                        <w:rFonts w:asciiTheme="majorBidi" w:hAnsiTheme="majorBidi" w:cstheme="majorBidi"/>
                                        <w:b/>
                                        <w:bCs/>
                                        <w:sz w:val="18"/>
                                        <w:szCs w:val="18"/>
                                        <w:lang w:val="pl-PL"/>
                                      </w:rPr>
                                    </w:pPr>
                                  </w:p>
                                  <w:p w14:paraId="74801D16"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ADA4A24" id="그룹 3869" o:spid="_x0000_s1309" style="position:absolute;margin-left:-5.15pt;margin-top:13.6pt;width:143.65pt;height:253.5pt;z-index:251658370"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fV69NBAAACw0AAA4AAABkcnMvZTJvRG9jLnhtbOxXy27jNhTdF+g/&#10;CNpPbPkRxUKcQZo0wQDpTDBJMWuaoiwiEsmSdOzM7xToL7QF+kXtT/SQIpXYSZHHokCBLqJckpe8&#10;r3MP6cP3m7ZJbpk2XIp5mu0N04QJKksulvP0x+uzdwdpYiwRJWmkYPP0jpn0/dG33xyuVcFGspZN&#10;yXSCQ4Qp1mqe1taqYjAwtGYtMXtSMYHFSuqWWAz1clBqssbpbTMYDYf7g7XUpdKSMmMwe9otpkf+&#10;/Kpi1H6qKsNs0sxT+Gb9V/vvwn0HR4ekWGqiak6DG+QNXrSECxjtjzolliQrzR8d1XKqpZGV3aOy&#10;Hciq4pT5GBBNNtyJ5lzLlfKxLIv1UvVpQmp38vTmY+nH23OtrtSlRibWaolc+JGLZVPp1v2Hl8nG&#10;p+yuTxnb2IRiMjsYTfanKDLF2niUzSbTkFRaI/OP9tH6+2d2DqLhwZY7/aBzE35f6oSXMHqQo7CC&#10;tEDXn7/+9tfPvyd+KsTznwlQcVrgLxQZ0qMiP98M2GVXmqXhkPZFZ7RE36zUO+BREcsXvOH2zvcW&#10;kOecEreXnF7qbrCV9+xh3n/5w+U9cx3ldjnFbhtxYV1IemMSIU9qIpbs2Ch0JtDjtAfb6n64ZXPR&#10;cHXGm8Zh0ckhOnTxThc8kaCuw04lXbVM2I4yNGsQqBSm5sqkiS5Yu2BAkv5QIiIKurLAktJc2I4f&#10;jNXM0trZr+DHZ/ju/CZFv+CdvvfTRWTQU8li/YMscRhZWen54WU9lc1G+TT01DDfn2LQGYzblTb2&#10;nMk2cQI8h0f+eHJ7YYJvUcV5LaTLH44gRSO2JhCEm/H+O4+DiABcn4GTTUw3Ro8S/irauaqJYvDS&#10;HbsFo0mE0bVjle/kxgFp4iIOqo6eErvBSoCMm++8jWTRs1SWDSezIRjB8dEwH08g+8AjY+XZLI+E&#10;lU32hx1f9awDtL4ut0Y2vIzwdHtPGp3cEtw365pbFgq3pfUPNbiPykl2s9h4gssmBzEXC1neIRVa&#10;ouYI0Sh6xmHxghh7STQuLkziMraf8KkauZ6nMkhpUkv99al5p4/CYjVN1rgI56n5aUUciTQfBEqO&#10;I20UdBQWURCr9kQiVjQOvPEiNmjbRLHSsv2CO/rYWcESERS25qmN4ontrmPc8ZQdH3uljosuxJUC&#10;g2Ue2S6z15svRKuAeYuCfpQRVKTYgX6n67Bu1DG674z7vnCZ7bIIpLsBAO6lcPP9a6g/6MnzAeox&#10;+TbUT0fDPIB+NJpk03gJR9Bno/F4nOcdpeSzfJyNAjDfyChbePavNdbjfrHseB2pf9gbjUgAyP0x&#10;fHuKgkjB/HstENh2Mxh717COvj6zCm3h3yO+uu6leG+bUAqej/YbAW2n1dH2yzcGfbe18+o1Vvsd&#10;3rIUtt/cciG1j34nZeVNdLnq9AM6Q9w7fDCLKPmfD97AB0I6Pqie5QO8uFGFrSf9w7Gv0P1vmKO/&#10;AQAA//8DAFBLAwQUAAYACAAAACEA46fJPOrrAAC4nwcAFAAAAGRycy9tZWRpYS9pbWFnZTEuZW1m&#10;7N1nuC5FlS/w9oZnPt773FHmfpkrQUzDgUEMKEgYxDQgIFkQCUdAQVQMoChBlKAExZxzQDCAAUFQ&#10;VJQkBlAUEI6MCophBFFnJHjfXx3+PUVTO5wj7MDp/Ty1q2rVSrVq1eqq6n67H9B13YGTlL//9YCu&#10;u2SS8vfn/9N1a63edatvufWTu+4B3Zfe/3fdf580VigF9ci/67oN/0fX7TJp+HqI78rP3/R/dt/7&#10;43/rtpvUN5zQ528oK/D/PeFx6SRtOwE8fJIOnaTz37ecbvXu213ataX8gG71Se2/8Erlrn9//etf&#10;uzGNNhh9YPSB0QdGHxh9YPSB0QdGHxh9YPSBxeQDqz94rW5Mow1GHxh9YDY+MIxtaIawsT5eA0cf&#10;GH1g6AOtWNGCDenG+uhLow+MPtCKFS3Y6Cujr4w+MPrA0AdasaIFG9KN9dGXRh8YfaAVK1qw0VdG&#10;Xxl9YPSBoQ+0YkULNqQb66MvjT4w+kArVrRgo6+MvjL6wOgDQx9oxYoWbEg31kdfGn1g9IFWrGjB&#10;Rl8ZfWX0gdEHhj7QihUt2JBurI++NPrA6AOtWNGCjb4y+sroA6MPDH2gFStasCHdWB99afSB0Qda&#10;saIFG31l9JXRB0YfGPpAK1a0YEO6sT760ugDow+0YkULNvrK6CuL1QfuvPPOu/2eXD2w22+//R5t&#10;d9xxx91gi7Xfc6F3K1a0YHOhyyhjjFH3hQ8kXiRW1PEhbXLw1O8LPe6PPFuxogW7P/Z97NOqEa/E&#10;jcSMxIc65wd1Pbijf8zsH61Y0YKNtpzZlqONFqaNxI+sPc7/ynndSw9+cfekf9miW2P1h3Rrrbl2&#10;99C1H9Fts/VW3VGHv7r7t+t/2u9txvGceTxbsaIFG205sy2nspFrW9pynUs9a+bUg1tfA2uaqcqh&#10;H+bwM3e0tfgPaYb1yExet4ffsK2G1/jD/qYt+MP6EJ72YZ+GeKnLUz7jM5/q1n7Iw7uHrPXQEjfE&#10;D0k9+QaPenR3/bLrynihG+obXvSoy9Hrtttua8LTnnxIW9eHYz8VTeDzmbdiRQs2nzoudtn/+Z//&#10;UXyq9hHl+InyX/7ynz3ObX/5Sx9v9D24cgkMrRR/DVz9P/7jzwUnfNJmzkVm8tnYFk949Zwd0kVG&#10;dKtzZTpFr7otvMFqePSTS/gHBk8dbd1H7exIT/DQhvd+z11a4oRY8dx99u5teeutt3bP22/fPo6c&#10;cPxxnTELXfod+fLwh0OPtKmnXNskvNKWsQgv7ZETX4jfhCY8WnzTNtd5K1a0YHOt1/1FnrGOX2Tc&#10;A+MX8Q0+CK4ePDaIL9VtKWuvyzVteAdW1+O7tZyp7A2nxgu/Gg6GXh59Uw8embXc8EkMUA8s8kJb&#10;84otA5PXCY/g1HzI+cKZn+0u+tY3u2uuvqq3W+T++qZfdQ9/2CPLuuTZuz2r1xXv8AlurWfkwUm7&#10;8jCm1DpqSx2Nck0bWC235h/ahZC3YkULthB0Xaw68Ief/+zfuo988P3d2978pu4db31zd8Xl3y9+&#10;88MrLu/e/pZTCux9735ngf3pT38qdXjvfNtbuit/+IO7+fA3zv9qadf2gfe+u/c99iHLHP7edy7r&#10;eVx26SVlPpAVnpdcdGHvw7OxqznpmnvhNy/o+b7r7W/tzvr8md2NN9xQ5OITn6/nz1fP/XLpB33J&#10;P3Oyj/jtb35d5H/4A+/r+dEZ/a9+eWOxybvf8bbSdu1PrilwfQv/6Kz+g4kt6YK39JVzz+lu/v3v&#10;i041Pp3Ub/jFz7uPf+RDBff973lXhz/eGz5uw7IGsYepY1D0Nn7o64SOLl/76nmFHz2+8LkzentE&#10;zzrH21i8551vL3ah87lnf6m79Q9/6PsXvl/83Jl9v9iR7LTVPOer3IoVLdh86bfY5Rrrz3320+Xa&#10;Zp+d/bfyvkv3KWd5zvCkV7z8ZcVvf/e73xY/zj7dvj3+bA6f+PrjSzuaxz32cf/VNpkf5s5WT396&#10;4Re+8hc8/3mduYqnxGdna1t9+OTHP9ptvNHGhS/6nBdExvHHvLa75eab7za3zAfXcjj6LQX/Uetv&#10;UOYPPvwNz6uv+nGhN7fUweHrUz1nldnjFz//WbEhXHjRC89NNn5id8HXzu/pYj/zcZ1HLun1IINe&#10;Jxx/bPfYRz+2wNGzTWRG72dstdXd4OwCR1x6+lOf2ssXh/785+V7yKGNf3njjd0+e+1Z7Ofclqzo&#10;zr5fP/8rfdzD+0UHvaDHOfrIwxdU7NC3VqxowYZ2GOt3XzdPZQ9zaMk66xbf4t/bbbNNWYO8+pWv&#10;6H2VD1k7uybi8/vf/3vxGXBjIf6EP5+yP0+b+KGNL//kmqu7dZes1/vb1v/6ryVOHHboIT0s/ip+&#10;4BW+yQOT4wl+7GuPLrpmHtXztIY959m7F93D4y1vOrmnI1d6yYtf1L31lDd2T9lyy94m4OZ76Kwn&#10;9Btcfv555xY9tEcvZwO77rxT4W/+HTiJj/p0yMte2j3i4f9U4OwuJsU+P77yh8XO+NL7tUcdWWgO&#10;OvCAgg8u4Rdd5NHjX5/2tN5etS7iFJrYQlnMDw/ylcX+XXbasfRbv7bZeuvupDcc373+2GP6vROd&#10;remyVjr4RS/s5b/uNUf18jNe853rx1CHFmyIM9ZnFz/sHfiTtMfuuxU/il9lPaCNj579xc+X6+rK&#10;xA88rV/4sPGzBqnX8Cef8IbSljky3foj11VjfNonPtbrL8ZZ7//m1zeVueDc8aMf+kCJj2SKKzvt&#10;sH337//+uxJ7Dnje/r3M4153dCclJunjU5/85MIb32duu20/32aKH/pqXiWOiY9gSfZ0Yqc1l+u5&#10;tYf0ykNeXuzMBqd+7CNFFzT6KUbil7EIXD5V/MBTf142uR+Mjg3Ec2NgbRl95PC+9IXPFRnWHWjI&#10;FSfwsXc1Zs5x7ZdyjvTiu9YfeI/xY3Zz7v4Um7572WXF//gMX9A3/sRvfvZv1xdf47f8w3UMfGXi&#10;B76bbbJp4YeXa3/xz8k1j386MwTPXOCjM9kZnf0HOvPDvik85YkFp5x8UnmGAp65Iw5qN38j8/RT&#10;P95J4Jl3r3rFob2+1i7son26+KHdHiDzVX8u/OY3Ck+20y6lTEfywDbfbLM+Rjhjsh4IvrUJXuEb&#10;XeSx2XD9kf6vt+76ff+NcfYl4nd0wUf8xB8/57jawMOn4E50Uo/8cf2x6sWM+KTcuT7/4jfO5exR&#10;nKXyD+eEfEkSQ/6W9ccfbrmlyCCH/372U6cV/8zcMVfsESJP/IiP1vrGn/nwVT+6svCim7jw02XX&#10;9fMtfOGBR67rp37gc/IJry/y6CO2Sc4f0EjOTLJe2n677fp5NF38wPe7l3270GUuXnftT/qYFN76&#10;RMf08fq7dNT/nGPAhScXb+wdMhahk4OJg8P4gfab3/h6aafLs3bZpfv0aaf242AfEn3kBx3w/D4W&#10;X3vN1UW3ul2ZvMCUx/XHqh0/+NgnPvrh4lNZZ8jt/w8/7JXF9/inNXzOOZyf8sck9yvwia9bB2jj&#10;0zn/uP6ny3rfB/ecJT8MDV+0n0BH/nT7F7iSMxq49LMOCVxez0119x9u+tUv76anfc4Oz3xmP7/I&#10;Fi/wFGfs58D03dodH/rW8YNsfdGW+aWOTtLXlJNHZ7T2MWi/dcE3evvoi3gKnjioTAe0+KjTRY5P&#10;eNX42u0Z4Wu/+MJvleuF/oiZ+hgZdN/9Wc/q+aOBF11r3dkoY16fnzqvIXMhJfYf6tOCDXHG+uzG&#10;MX5ofpuzzvkyp/hc/Ef5jE+fXsbC+UH8WD68b5jzU37mrN9YWNPwWX5o/MxnsrOOh7Pj9tv3c8E9&#10;49YYopH4u/sR9MLTXiPxqEVXw9LnyP/8GZ/p3njiG0oyp+r7H5lH5nl4DOOHa7o28iWxIPZhAzzk&#10;0TU5eNY1eIbGuSt+dV+Vt9ziSb196j6EX9YfabO2ZHN8PZsW+xzy0pf0uly/7LrenvvstVeBww9P&#10;ZbobM2WJ3s5K6Ch+aAPbe8/n9PEucSx5bDfXeStWtGBzrdf9RV58Kr5qPoNZY7jGxDfkWX/k/IMv&#10;gZ9y8on93ELrrC/+Z/2Bt+upeQmfTzvnhBv5nnlwvUMHZ6r1R+YGOnwix1rJmKR9uvGBE9nyFs2V&#10;P7iiPAOqj2S4/xm8Yfxwf8I80S65bxu9zCv4kQfPuUParQ/QePZ1/fUeVeZhnu8AzzmlZ1jYBT9J&#10;W/qLlzY6Zr7K2Tjz3b4MDfi553ypt504Hbjf14S/538S29G4TxdecJxX6VN9Tqz9t7/9Ta+b9ug4&#10;3Xjcl23sMuTfgg1xxvrs1x/O1p+//35lfSw2ZNz5CJ9gbz5qL82u2b+APfIR65R9N//Shnbp3nv1&#10;NNYyYHzUfcjwsxavacSLyOGfU52f1vPmCRs+off3FVl/0BMfz2W9/CUHl3vWrr2S5yLS/9wPEdem&#10;Oz+1xmKrxF78X3PE4f18e9NJJ/Q20OZZFXZgv6zp3O/1uzlw/Xf/BW50dX8KPHS1HRI/cm5CD+3b&#10;PuMZxaZieJ41BxeT8qzMU5/85P65ffuu8HfmnFiEJntcOvCVyHf+gSZrFGdG2XvRPbZMX+Y6b8WK&#10;Fmyu9bo/yTvy1a/q5+Fuu+7aXb9s+Zp2/32fW+DszT++/93vFH9w/czeWJt1gH2Pa6j7qfFn533g&#10;bMWPrF/gS3wOf3B7GX6ZNb626c5PY3vPaqDDDy8+Hb8OTis3L8wheyq08X1lz35ov/Tii4qOYGSQ&#10;FV71+gOtdn2WW08Ez/5KX9jKs5n6+t53vaPggXsORLyKzmef9YWiT/r0nW9fWuaiGFPriTY0crKl&#10;7F/oL57RTbLHqPGVD5vs98JTrAKjn1gY+e6RGdNvX3JxwYVvDeksHK5+ih/g4SWnHx6ebaljauwy&#10;lzl9hvJasCHOWJ/d+oOd3MfInj9jb/zrueE6zS8l64+0wXvzG0/qfSa+HHoxg29Kf/zjH8vzScYv&#10;7ZG3xeabF9/Vhvd0+5f4eq6JZLr3STd+LSkHT9mzLOajcx7t0SlrjFpvZXrJ6ansme/Q1M+fwjni&#10;VYf1eGKG507Y1Z5B7Kj3WeErd68LT7hyscQZQmzDFmjVxWJnMMpSdJGr00N71h55dgfceqeWo2xc&#10;6CBt+sRN+mfT6SyugWcs8JDI+diHP1h4xcYHv/Cggqvd73fsvZT12/PvkTtf81EfhrJbsCHOWJ99&#10;/OALV/34R+Xa+bSnPKX3B/5irXrel8/ux4A/DH//Ym/uOSj3DfiOOWROiUvGIfOab7t2mTeeXzKO&#10;fNW10FrA+pvf4jFd/MCTznLPddFTzPnUJz/Ry8r409f92sQ7MvUHXKKT/Zt1kmStD4cOrueeidKP&#10;xCM0w9+/OE92/kIGGr8Hgi95vsYci3z7PesBe0G86limzj7OcsVTOugbfDzdb2WX4d4uv0/K3CZX&#10;fPBbJr/RsSfFux4LcvBCi5/3isSmdPb8WHQWw5xzXPD1r/V8wk9cDR/rUr8/yrtL7LmCl/GY67wV&#10;K1qwudbr/iQvPixPSv/SljrfDIxvJIEFJ/vfzCHwuj008a3kzv/MGTFkOEfCG09lNOa+eyfmGBp+&#10;7ponnsGx3rGfck3kM3CcMdi70Cc61foMy5E1FTx6acdPXtOkHLwaR1/CN+uG8AldXQcLfQ1PWQ4n&#10;vIIfXnVb+p4xCo/Uk4MnoU8KfnJwdpVHx5RDMx95K1a0YPOh2/1FJl/Rl+QZ/9pvwAJPWY6ursef&#10;6rbgDPmBg0Wu9bf4IbmmaYNTp/DA3zzR5jmwxBDXzKxhwKTwdB0XU9CgD69hXrdHN3n6mXZ55mp4&#10;1DihTVtdD61ce+op17ly5CeHH35sJVl/BBb6Wh806Xfw5BL80CSHL6mHT93ftNW04RX8yAmvuc5b&#10;saIFm2u9Rnl3n9f3hj2y/jDfp1p/tOTwVc9gWDeLF/yjjhtiit+vugcR/27xWWywzNvsM3L/JfDF&#10;1p/7Qt9WrGjB7gvZI897P0ZMZ1O/98x5oevpdLhpq69vyh9833vKvj33h9zXze/uzasaPzwWc65P&#10;4oeY6574/Sk+3hvj0ooVLdi9IWvkMbfxomVvZycrOgfgZ12edTPe9XU45ay/W7IXEyxnDfoVvRMb&#10;Y4vAV+W8FStasFXZRve3vsf/67kxVR8TF7QHP3niipiRcnhPxW+xwPUn/dQneqdv8sSSxdKf+0rP&#10;VqxowYbyY9vAXddSno88+mSs50OHhS6TjZLouiK2ghv88IjN8arL09khtHilvCL00/G+t9voFz3D&#10;e7b9DP79PW/FihasZYf4VPyqhTNXMDq4Ds6VvFHOyu3FEjPGebhy9ltofteKFS3YQtO71qf2yXFd&#10;uTD90rhIuZ4bs4Vw3an9aCyvuO+0YkUL1rJtxl+e86YW3lzA4o/yMYasuB/MxRhFhr1ufCfjlrYx&#10;X9hjNxyfVqxowYZ0xh3M84h+C+m3yX4nNp+JHp7rXnbdteM+ZjI2wzGbr3piBfn8xu/v/WbEMyh+&#10;W+a9z+DxqfnSc5S74j7TihUt2NC2d94xeafCbXd0+z93n26NNSbPN1fPIeZ5xLnKH1yeZ/JbpYdN&#10;7tOv1V160UULZu4M7aZuPkmZM/Lc96znWk0bmsBq2pSDY/0FlhyNevK6HH7T5eGbPPThB66c/Yl6&#10;ysENrdz3azzDmudX/WbFO01aOoQ+OZzIi/wWXXBquXhIYOFXl8Ovbku7fCgn/OocTmiU2aHOw7vG&#10;gx+ayIn9Uoe/EFMrVrRgLd1vu+328t6ljSe/51r6T0u65y5ZfX7Sug+eyF2j231Tv4laq7togceP&#10;2nfie/Gflp0DC27yqfjUvgc3vHO+vKI+GXnowiuyw6tuU6ZDLTt9kHuvYWJHnmd1rfE+rxpPueah&#10;DFbrMMRPfahP6Gra8A6NHEyq91iJATVeyuEXXnJtgYc29cJ7cs4fPLmkPXThDR76wBZa3ooVLdhQ&#10;79v1eeIjS/fZp9vo0Y/p9l13EjvWWXNe0n5L1u6WLlmre/am/9KtOVkLXTx5t8RQ34VUj+/EZ1Kn&#10;Y+b4UN/4WGj4VcrBDR95ynCk1OWBhW6mPHLqnPz4duRFBn6RkbYhvnbv6Uoc8Yyn94dOpQt8PCIj&#10;fFv4aUseves6XtGxxQMMPpzQTYeX/tV6hn/NI7wCq/OUyVGu61PJnm94K1a0YEM97yg+eke37+S9&#10;j4/75w26fZc8tKwBrAPmOi39pzW7/Sbxa/fNFkf88Ht179bI77KcAfhOjPcP86+hrdX5kvb8xtzv&#10;xn0PIb/hj1+GHm/nC95TAYYen/weXLtziJasGhZa9NHX+wGik3bfnUhbvpUXOu/HiS70UfaeJO2+&#10;YWkfk5TvRA3lX/7975VzNrT643l58xUePjV+YLVO7OR9Ra3fBcP3LsXoVr4jeevy94uIZ4HHzrUs&#10;sr3j7Zyzvlh+x29M6Oe7HIl10Y/9/D4//H40+V6ENgmud5Pon+9f+s2/b3mmL7XMhVZuxYoWrKX3&#10;nXfeUfYvG06+RTjXMaOWt691z2Tv9OzJ/oXufKWl7xCWORVfHLanXvtAYCuaW1fwU7/Bcq2156er&#10;dXvW8L4d5x08kRcZ6t7f4T005ho6v2PJvPMe1dAkD2+/2Qgfeb4HQC5ZddtM5Zxn5T1c8Mnz27n0&#10;wftMaj7e3ZG26OR3rHC8NwMsyTvEQouv8fHupLTrMx3023fmxCZ46XPWbt7RDC+/eyNf8n2FvGcw&#10;Y+93gelX9PRuMXqYz2kTF8HQRZ53emyz9Va9fvTCQ+49QfDjW+jy3mv98f4Q7eEVW0RebARnISd9&#10;GerXgg1x1Bdz/IgfyKXl/Vnui/FJedqD07LDTDC03hnj3Tnxj+Txt9R9F9b3TWrZrtPetRmc5Ggl&#10;35fxfqHobR6Bw5sufnhvHt0iK/R1HrvAw5Nv3Ffxw/qDbHPOe4Lz7r70RR4dzFFxwjlF9PUOIO8o&#10;0EbP2k7q4OIOfP2xTvDesZq/mOP9Rfpdxw8xml6x1/XLruu8C6qWgb86fq4F9mfGgjy590Brp8sY&#10;PxZ3/OAffCGpFQPil5lDLZyZYHi4tvjtu+sn3+Ff3hfs3jcf9V5hvpfkO0ve0cdf0bsvHT895ujX&#10;lDWzM0j+iAY/3x5wPaaPPsWXp4sf9kzRP/Mi9eTkK8tzPb8v4wdZ+u15APL0Y6PHb9Tvecw7/U08&#10;yLctxJG8Xw2d98zecMMvit5wYie0+b6s/QQ+bKvdN+i8fzF9HsYPulm/kGUtgxc6ayTvG0Nn7evd&#10;ZnSwxrSWAZfG9cfd11KLef1hPBM7co3InEkOrgxvKpzgTpWjzTuP+anfvXuHcOTL0Xrnp/1J5qjv&#10;f2hz5uEaCZ7fj2eua/ccBZ91lkHH6MqvyZspfoSXOSu1+hG+5gue92X80CdnCt4XS5b57dqf+yH0&#10;dV5k72WdFv2tv9gIjeQZoPRH7pss9PYORe9bROcsCK5+SfneZGxQxw9xC43ke5mh843OyMlYfuXc&#10;cwo/+vg2L35wxvhx/4kfxvSI6r3o/Iev1gnMPATjJ/GrFc3zfk587EP4IH/ib/FJ+fHHvK73y7wb&#10;11lldPIe08S06BCfDR98lWcTP8zB4OOTb91GXnLvb8czc+ae8eO40kamPQXc6GdOZn7K8dAnONnz&#10;R06+M+e8NLaX+z5leMZu+IPFhmIy+eastV7wtEviDxrl5GJCHXPoow2tfBg/0ma9Ef28uz06yNE6&#10;C807He1Zo6dzIv2XxET8ktgpY4a375KnbSHnxm6oXws2xFFfzOsP+tffjzSm8ePkYPxL3bxo2WA2&#10;MH5lr8DXzFn+xM/iV9o9g+n7cHyHXOd64EcfecTd/Ep7cFKmo7L5gEbCQ5pu/ZH4kT5Yk6fvyfHI&#10;fZHwbMWP+L7vPISfPnqXfOiS5z3EU8UP12+46V+dJ0bos6R/7JjvwaDzncjEgNrG0Yt9lNlLP9HI&#10;Ez/SXsePnJ9q84w12ehyVg8eWXizEV2l3OfK+kN/8n1iuHR1zoxfUmwUnRdqzm5D3VqwIY76Yo8f&#10;vu9qLHOun7FLbuzZAo74Eb9q2WI6GLp63ZAyv3FOmO/Qk0seue7V4FmffdCTLtEruOjAap+Mf88U&#10;P8jI/iTvd0//k4sfdI3cYfxwDkMXMt2PSP/Mp6w/tCe5x0luK36gsRepz4qU8db32Ci86GJt4duw&#10;ge284w79WNGb/ZPwz1itSPyAi87aor7u2MtEBt6S/rM7Xel8y803F9o3HLfcTuyYNRi90MChP3x5&#10;3R59F2JO16FeLdgQR32xx4/lfVg+fq3+Gdf4nbyFMxtY1s5w+ZprFl/a6zl7lDkZn5GbJ85T41fO&#10;TsAl33J1TZQ8JyBfuvfyb6pqzzcLyFHnv9PFD2ui9Cv9bPUndsCTbwzjR+7fmhfW7cHH07liPeeV&#10;c2/yHvHjrvsvzoLISryyr0u/PT+x5x7PLm3LbbVn6YP9C96SezB0SEp8rPXSzxWNH+jR+W4COeRb&#10;lwxt6DmTx2zwmGIr92HQwGEn9tM337mqbS1+RH84zngir8ZbaOVWrGjBWnov9vhhLqdf8YHU5WA1&#10;vC7XeLMp8wU+7nss8T25OSIp8yvfkXK/NvKt//miNutyOtTzwP1Ifuxc1rmjNvMFPp7TxQ/7l7qP&#10;U/lr5GU+D+PHia8/vpdHbp6fwPv6ZdeVOUMXia5iorZW/NBv/Uif8ct9XXpIzoH4KH3yHUj3Umo7&#10;ujcbG6LxrVr7Ivd4M14rGj9ie/E//fHNUHA8YyfPoNGbPr6XB67d/iXjcuhk3Op1i2dJtEn6FhtF&#10;14Wat2JFC9bSf7HHj3zXLGMan6hza2d+4DofP2nZYjoY//ENBHzxkiLTmsK9SuvVaydnIPjET1Ou&#10;r++eceR3nic75uijel75vjUa8iIj8cP9HNfw7bbZpuhBvr2R67lrKJr4ed0XuiTOmvv6gCdY/D/6&#10;8Rvt9kH0cz/56CMPL31Nv+V+P0eGa646OnniBJnWZ3SUnDk7QwV3XaYHGnnOVl3zfesKHI157Ts1&#10;1n76CJZxdU4rdviGE1janIta15Ej1XS+gxPbspM1EDoJnfvtaDyz6l46PdxD8pwpOm2JH6GzrhLn&#10;3BPmA7ERneyLIk++UJN+DnVrwYY46os+fkzOwYxZ/Ee/6xS48Rw+V9myx1Qwa/h6D2/+OaswxzI3&#10;+Vc9h1OXo99j9916f808oCsdxQS/PcucpkfmhbUCHp7Fit+mTd+Vne1Ej2Efoof2yLU/CB6d6/WH&#10;+CZ+xK7meOSgdz6CBr+cGVo7afP8aeTps/iY+7h4pL8Zo5wR4CdOeC4ef7zIHfbXGDj7hK/PiUPw&#10;a1x9o4d4i0a78Yre2m74xc/L8yba0r+8kx4vdHVcRpM4q91aVD/Qh0d0PuiA55c1ZGwRWy/EXB+G&#10;erVgQxz1xRw/jM2Xv3RW/3uE7K/r3PUn9eH9tpY9poJdcfn3i3/GX11b+CIdMuetifkVX+KHrt3a&#10;gpffR3hGyvjAeeELDpys308s87D2NTR48WvffKFXfjdjfvFt7dYG+qdvkTPsA74SeP0dR/XQ5Lcm&#10;2n372p7Ld+LzvO0uO+1Y5os5U//G1nc6Y2O5e1D4xibKnvHw7AZ9JbHS9f76ZdcVvWr90KGxtthn&#10;rz17Gs9ziRc5d4Gnz77ZzY6xFb70wEPyrciMv2fLwCJP3605xMuddti+8DAuvo/tm7/2SXDhoZM7&#10;F2YjNOKPtYezZ98jpcOuO+/cWSfCpWNNH50WWt6KFS1YS+/FHj+Mk1Sfb9b9NIbawfJsZ90+27Ln&#10;oc1lPsK29uI1rfnm2THt/HnXnXfq5TrLyLyo3/EWvfhYzUtZm1hFprUCHoH7zmqul9batY+2eNWw&#10;4MZe0Yu86BNZkSdHVyewmlY9dDUv8KSMhXa86JByzQ9ecOEpy+HYJ9Q2tD4Qr42J3HooeobPUL56&#10;raty6vLYQT7UAy14rUN0C4/U07fUo8dCy1uxogVr6f2XiS32m/z+dsP1Hz35/dqak9/gzldaq3vu&#10;5Pe3z95k8+IHF03mRUvfFmwuxocMe/jED9d/Zy+ubc7/rCmyJjC37Qfoim4q/Wp48OKvaM0HSfzI&#10;HOKTro3RI9dj+PYLNc/aVvHl5NGtxokOdRv8GiflyNEenJp3zWO68pBfjRsZwWnl1ilslHhax4/g&#10;x6at/tUypiqHT00fmBw8Nkg9vJLX+Aut3IoVLdhQ7zvv1Pc7Ju//2Lvb8FGP7pau53f78/P+IL+/&#10;XbpkjW6Pyfs/1ijvD7qw6bfDPsxFPf7h99jrr/eoMnczf3Mvhv+yOV9279ZcXhndIkuOJzmJH/jx&#10;U8+7W5tk3mTumEstfwULHD90OZNNXFoZXdHU9yzp4VxzZXmtKB1b2D+d9+Wzy9kQm3hWJXFMn8V3&#10;fZa+cOZn50y3Fe3LfOK3YkULNtTxzjsmz9LcfltZfzx+Ej+sPZaus9a8pP3XmdwfmcQP7w+i+yWT&#10;s4ShvvNVz9yTew6RT3oW3u9szUW+aW3iuU337LI3WBl9yYi8xIfca801Tu4c4ilbbllkmzfOFJxF&#10;hnYoO3Mqc0lMApPEkCH+bOvu3yZ+0SPPuc6W/m/BS5+iv/jujCk2lBurrAvH+PFfe8na7q1Y0YLV&#10;NMq3T95/esfty/cvj9/A+wsfMYkha8xL2mcid7911+h222Szbu21H9ZdNDn3Guo7X3V+WM+1lDNX&#10;46/2v/HlldE18wG/rAvwDP/k8PCv64FNJTe48tBGxlQ0s4HHFnBn0mE2/GaLk/5EZl1Puc7nWr/Z&#10;9mMh4LViRQs21JX/eAfZ0qVLy/uT1/jHfyzXfrRznR78/yYy15js9yey11rzoZPnOxfO/oXd6rgQ&#10;nwXno3Ue3BoHbLapllPGZxIrIgPP+txOvcYXa2Za+wznVE0/Wx2HeDk3vDd4DXlPV49dEmPZAyx1&#10;tMEZlqfju6q1tWJFC9ayC5s7P7WuzTrUunmuU/bzWbNP9x7NVj9G2Oxj1Gir0Va1D7RiRQtW06Ts&#10;muHepH399cuuK/ez3dOe6+Q5LM//Ru7fcq81fRvzcZ6MPjCzD7RiRQs2lS2t8YZr4alw7yt41p7i&#10;Wb3mvK/kjXxn9qvRRquGjVqxogVr+UNix0KYswtJl5atRtiqMZ9WtXFuxYoWbFWzy9jfcb6PPjCz&#10;D7RiRQs22nJmW442Gm20qvlAK1a0YKuaXcb+jrFg9IGZfaAVK1qw0ZYz23K00WijVc0HWrGiBVvV&#10;7DL2d4wFow/M7AOtWNGCjbac2ZajjUYbrWo+0IoVLdiqZpexv2MsGH1gZh9oxYoWbLTlzLYcbTTa&#10;aFXzgVasaMFWNbuM/R1jwegDM/tAK1a0YKMtZ7blaKPRRquaD7RiRQu2qtll7O8YC0YfmNkHWrGi&#10;BRttObMtRxuNNlrVfKAVK1qwVc0uY3/HWDD6wMw+0IoVLdhoy5ltuarYyPsS9DW/ec77E/L+srl+&#10;l9iqYveF2M9WrGjBFqLuo05zH9PyrgYxInGjjifjmMz9mMynzVuxogWbTx1H2QvLJ8WLvLfU2NRx&#10;RDnxZBy3hTVu98V4tGJFC3ZfyB55Lk7/8t0F35X0LRnfe0y67NJLZv2u53HsF+fYD8etFStasCFd&#10;6uecc2532idP60499bTuk5/81PykiexTP3H6RIfTu09OyjfddNOi8OPsBdhSOSm2HeZTXddz3hB+&#10;ycN3yGdYD/4wD329vvjERz/cLVln3fLObO+r9u7svLfae6z5jm/ftmSE/7At9an6l3b5VDxquHLq&#10;yWvawCIv9VpOqxy8Vj6EtegDgzsV/kzw8JhNHl4t3OnaWvhTwVqxogUb0t9p3TrZA2+y6RbdP/zD&#10;P3QPfKD0oHlKf9+tttr/7R70oNUm6UGTGHL6Pfx3qP981zMn6aE8jAFD/Yx3aFJWr2HgdVt4ysFb&#10;PAPPfiQ04SNPuvYn13T5Zp648bSnPKV8Y8l3lnzXXhx55CPWKTHF2iS6kYt/vo0AHjm1TpEzVXtw&#10;tSvDl6tLoQ9e+hS8wOW1/PCr21vlmn9oIrfGhxebR3bwUocfHso1vKZVhhd9QwN/uhQ8vGvayIkM&#10;eOFT92G25VasaMGG/MSPOyffkHriJpuX+LFkyfrduuvOT1rvn9fv1pnIX/uhD+8etNrCjx+1Xxu/&#10;3LcY2riuxwfQKqcOJ/TxBd+J1l77UM2rLtffhAnP5PCin9z+xPc13/fud/bfl09MgPuyg19c1h++&#10;5eEbe/yy0E90jky848OB1Xn0RifVbcq1vOiZHH7NWzny2EQ9tgdPGspo1Yd06VfksWN0Mx7gdR+C&#10;l5zs2D6wyA1dDU+5zpWnS/j5FkFsoA4f/8hKvYalbTZ5K1a0YENeJX5MdNnENyPXWKt744lv6E4+&#10;Yb7S8d3rjz2223nnXbsH/v1qk33Mp3r7DPVeCHVjlXGT04nPxW9aOgYvtHBq/1cOPdwksPj+dHyD&#10;Hxx0kZGyel3OfIluH/7A+0r8sA7Zcosn9WNQ00RODYtMbeCtthpHX9Wn4lXTx0bBlaOlO7zAw3+6&#10;PLQ1Ta1vXQ4fsMSTmj7jFbzkcIZ6hY7O6Xvwp8qDF12HeT12Lb2n4juEt2JFCzakEz/++lfrj80m&#10;3597yPL48Ybju5PnKZ00+Wa9+LHaaquVM5Chvgup/t3LLute/cpXlDlmrrH3xhttXK7Znz/jM/28&#10;q3V2Znn0kYd3j3vs48q3up7+1Kd2hx16SHfJRRd273/Pu8qewZ7i7LO+UPzvh1dcXvCcSez+rGeV&#10;eVLzU+Y3v/vdb7tPn3Zqd/ALDyrfeqWP73wf9opDuy987oz+Gln720Xf+mZ3wPP27zZ94iZFxjZb&#10;b1W+nyt+oLf+ePjDHtnPA7TgEn3o6XvdQ33UX/6Sg3sexx/zunvg0BmeOel7129508kd+WTiu/lm&#10;m3WvPOTl3Y+u/GGRn37qY3TYbdddVyhuRE/9UP7xhPdrjji82+GZzyxy8d1g8g1oa67jXnd0t+y6&#10;awv/Xte7YtVHP/SBPr5mnIMTPc/6/Jm9nfC1N4Qjke/bw+B8ZrrEHpd//3t9vBE/0LMReu30Ce/0&#10;cUXzVqxowabia/2x5poP6U56/XGT9cfr5yWJHdY+O+20a/egB/795Ay37Zt1HxKPp7OfNnjo+GtN&#10;v6JlvH5yzdXd8/ffr4yfccx385RTN66+pX3rH/7Q+z8d7BvgZJ7IjZN8k42fWMrm7B9uuaXo+YPL&#10;v1/k8BXzhb7ps9z16be/+fVk7m1daOHFr8KXPPrm+onHl790VpHpu9I1Hj3EEzB0eMV2cvC67czP&#10;fKrvH/7sc8Mvfl7iDlq47HPN1VeVtsxdeHR3FuO732RFHprYZ51HLum+9tXz+jE7/dSP9/Z41i67&#10;9PCpxpHOZMolcsWk5+23by8vciMz9mMbsRRN9MXDN8rTtzp+wtEuHm62yaZ9H/AXP7RFT99DJy+y&#10;5NFDOQkOH0gfQq+dneQf+/AHe79I+4rmeA1pWrAhTuqLPX7oR/xDXqeMf/q6MnnG3rfxrDGMdfyN&#10;L/IPcTfxQbv0khe/qMwTc+WqH11ZxptfPmaDx5SzB3tn64Cddti+52lNkv5c/r3v9r6U+MGX9AmO&#10;3JknXSQx6NuXXFz6f8Zkbie28TN+D/9Pf/pT96R/2aL31z12363z7T8x66TJuhMNHePD6bucT0nx&#10;dfEDPDZWZgs8ahudOLk21HyUXd+d49KbrNe95qju1ltvLfHQmiUytth887L/19+ViR9kZf5d/9Nl&#10;xfZ4S/ppLfC2N7+p6H3IS1/S604n/fjAe9/dzy3j2Iof+q+NrGNfe3ThHRn4uDee/uuH+MGO+n7C&#10;8ccW2ew2TOh+eeONvY3JQI8nevkYP5avd1Zm/ZE5ZPyUWynjlryFMxuYsbMuz1zle9apaGv5Xz33&#10;y/31F06ep/jOty/t5+RLJ2eUtT6uMfjyOfsUsvh8a/0RXdFb37gPG1rr+5ovX7fP8pxH4Gd/8fNF&#10;D3ODD16/7LoiD19yd91558Iv/hk6OZhET747jB/s8Iyttirzcq/n7NHjW9PQtbbV299ySmmnh3tA&#10;1i+Z5/BO/dhHit7WM7HvysYPukv2JuTFXm895Y0FHv5wxFf3ruHoqzFkI7rRK/s7bcP1h71G4kbk&#10;yMUFvNFL4kfwfLO1bguOnF7aol/axvhxzz3SysYP5wnG0jjJhym+Luc/ieEZi9nmzsCtp+NXL3zB&#10;gYVXxj5jbB5Yk9CDzDeddELxmat+/KNSR++aGj3cU3CN4ROS+EEnfFrxI3LQXzGJO+REJ/sEfg4n&#10;/o6XdU7knXLySQWfrF122rH3zew/zCn8ok/6J49tY1PxA3/ytDuvCY7zHOsLdWNz6cUXFVx48F98&#10;0AuKDO2u+xkHeqaPkZ36isYPfcIXH/sKsvRL7tyDLG3RCW7s4Iwq+utL+um8ITyG8UOfEjdiI3kr&#10;ftChxKbJmij9iy51Hrnpi3rky8f1x9+2/nCGaSwyXmzaStpzP9IYrGiyL8A3crIfMNbmauanujbx&#10;xR7C2SZZ4GIDHnyM//KrC795QdnbpA+uTXDRiA+RWZ+faudz9j7oMt9POP64e6yBXeetg/kZHY8+&#10;8oiCrx/2PuTQPzLN0ehCduBy8LqtPv/AO2fA9Lng618rcVRf8XnzG0/q7YCXvR443F133ql//pVN&#10;onPKzizoOVX8iI5w6gSeufmN879a5EUmXTNmNY0ymjccd0yv34smcQFMsv5gO3YQP8iQnIvlmbzt&#10;t9uuO+JVh/X0rfhBD8meaig/9ciMTpGFjg5sK54Ff2VzfRnStmBDnNQX8/nH4Ye9svhg5pB+1yn+&#10;wt7WBenziuaf/dRpvf/h6VprfDOm8cXU5WBysuS/+fVNHX1dd3KdktNNwnerpz+94JvTZET/Z267&#10;bQ+PDGeLodNnuJIyGaGFk7jEryPvmKOP6vXTF/qe8enTS3vsWesfu0Zm9i9w0JKhPxs9fqNyHXd/&#10;Qp0e9jDWWpHz7N2Wx9JaR3zJJUc5tJ85/ZOl73X8MEfJzRyTt8Y0Y2AO451+5Uy3RQMm3tADvn5l&#10;DLP+AE//teVMFvxbF3yjY1tl/ZgqfuA/XfyI7SM7/cU3vD/0/vcWG8CZygbapkv0GLa3YEOc1Bdr&#10;/Ij+7Ma2tb3TFpvDqdf0aZ9t7hrO1/lDGfdl1/XyIiM6FFmTtXPg6rWO1qLORVwDrQF23H77Mlfw&#10;zfkpfOsP8qRHrb9BP1eis/2NNr6E1jWTr9JVvnTvvfq56HqPzn4qPN0jAqNncrTuAemrVLeRIaHX&#10;Vu9frC/A6OK8lP633Hxz2avF188564u9j7vXnNjp/Ji+daI7fuRZo9Gvjh/utYKRU6+fwJIyHnJn&#10;w/iFp3Uh2uDWOfwrf/iD3q701A4ufsTm1pd4iG+xySte/rISS90DDky/0EaGeBQ9posfwQ+t3No2&#10;fNnG+a+zpeCEZkVyfIb4LdgQJ/XFHD9cX6T0ZZgb36S/xcbveefb7zZuP122PH7gjW94J48eaaOj&#10;Pbi4kXPO0NbnHzvvuEPfl5yr8jVz0HUNX3TmzJ///OfyzII2OF8595zSRiZ5fJmvSTmHyfkpfMl9&#10;kOgh32evPQs87emPnE9J8d/EDzwC13btZC1PTzpefOG3Cj86HnjX86za2DM01iJkS6E79GUvLXT1&#10;/ew6fqBlj9BET/R1ii2yH4k9PItT46UcPu4tRz86pD3xAx/9d66VZ2g89+9eFtzXHnVk328xOXy1&#10;rWj8QKOfzlpdR9hSTKOfcp6xqWVE39nk+AzxWrAhTuqLOX5kPR5/1+86gbOx8fYcxMra2P4Fj/Az&#10;t2ufD1+wxDOwrHmUDzrg+YXeudz5553bj5lnyfGmNx3xQHflD64ouqdvzl1POfnEcp32DAe8zAs4&#10;2z7jGWUfblz9diV2sJcxx8HFMPd54ZPpXIXPi0XuY4LTLzLTL7ThF1rzhw6u7bHN3ns+p/QfPLQ5&#10;T6bHL37+swJ3XyXP0eH77ne8rex56OJeLhnwjS9e5J/2iY/1crR7PtZ5r+u7Z+4iD65y6NTf9fa3&#10;9n2mq+fHwIcpeotN/Iacp2y5ZcHDs44fYuCGj9uw4JjP7Bd+xxz9ml6e85xat9nGj9DI+dTBL3ph&#10;z9M+NzY3Xnyl7i89Qh+dpsrZf9jWgg1xUl/s8cMY629y5SQ25gfq+z136axtGtskv+Br55fxcg8G&#10;L/M342Pc6rFLXZ74Yc/Cx6MjvaIj/ZLMBTLx5hNw4JrnwZe7TwrPfPSsafhlT0CO5JrojBludLTX&#10;yL2F8I+NQoeflP7zX/NZggPf+p2e9l/4gNdrdTRkmmfw6ea3v3iyi/0Z/VzftUn4RBdlz81EbzEx&#10;ernPrJ0+cvMpeOTSy30nObh1V/jDV6/x6ZT7VGick0Zna7LYQfwIXOzAk/542hOhhSsGgg1tom22&#10;8QNu/Cf34vBkA/HPdSD2OOjAA/r+8LX6fk10nyrHc9jWgg1xUl/M8cPcYEPjaKyGSZvxBndtT59X&#10;NP/1Tb8qfhLf9uxzfJMfSuqSZ4js6f0WzRyJT/EFz6sbG3zoFn+gn/sQeV6IfvX5h3sr7gOkP3LP&#10;l8E795wvlWco4tfa2MNa1/nKjTfcUK5f0c+zYmJpzUvZOvwjH3x/b0sw/NO/2JYcyfrDXgU8ccXz&#10;Jpm/oU0chJNnX+BoF4ezDsEnvOkuXsR2dFCHQy/2cI8rMUHu+Qs8E7eiNx72I2jhofcsD9zYJDqr&#10;K2fNhMbvwoKb+GHcoq+y9Ubkwb034kd0w8897shzdkRHz/W4numPdPVVP+7tFVo5+ukS/YftLdgQ&#10;J/XFHD/0gY2MXfpT5+ArYsuati7jYU/LrpK58MXPLX9+DF5keM5hvclvmI21a+v1y67r/SrXEntm&#10;91OtqXPW6fkyPCIz/NQzH1xTzv/KeeUa796hPUft967Vrv8S3W761S/vZpeaP7uYU+YkfGeAuX7W&#10;PFt2DQy/2Dd59Mcj5fQleejlkrMIaxn2sI/xeyD3qvBIGuqON3va07AhevaYSgY+fu9jniVGvfdd&#10;77ibjnjSx/oMjjG0tvPcMb7axA/wrDnkT9jwCSVGRzY+90b8SN9dj8iU3CO2x6MLOfoOTl9rVD5i&#10;HaVNqu0W2DBvxYoWbEiX+mKOH2ycfrRsVY8pvBZO6KfL+aq1gWe/jRc/lLuvYf45l3A/I36nnQ+h&#10;i8yMeV3POlNb+qIcXDBlNDV8yDft8jqlT+GdvMYJbXDldXvgtXztgdOl1QbGl+XBRUeH8E9b9Ape&#10;ncOBH9xhObjagxNYLce889sU4yZZi7gP7Jk6ZxSHTM5s112yXj+GcHJ/NHzE/dCGjzWb9rpf90b8&#10;0AfPz2fNRF6emdWmr55r/P/snfd/XsWx//c/uBer2nKRVd3p3cGmBhwgoWOqwZZkSCGEcm8S+r00&#10;iw4B3HAg9G7AAeOCMR1sOqbZVrENKUCoIe2b+533nGfk44d9pEdPPZLOD+d1zrPPKbuzM5+dmZ2d&#10;JX7XcNHsQ6MD9TJapDr7sMJXlur5vowfqdqU63LrB/R1bE1wwvqMfuUamlsZsYjffPON9p3xXq7r&#10;VOj30WbDR86M+YWuQ7bfIxaNeSCTffqLg9+0iT7kGt0RXSO578x+sWfoZx/2hXUGdATqzbuQa3w1&#10;RseOtvVa7mtXsm+LuX3i6+09nPk2/QDGUG/sGexevpNcd983KPNhha8s1fMxfnRvH0I3G++NV+DD&#10;C887V+ff4SX6b6cddlIfObZDuP/oR55PRf++UE4bTObgfQ6bv+0L9bc60i/0Ib4S1j4Ql4esYIfg&#10;DwVbWNP20UebuvpM+0/sAt6BrmHtP/H441L2KfoHfMG94Afv4Nu8A/yAlvxvtpHVL3xGn7X7OCfb&#10;y3YvvMV6I/se7Xn91S39UHav7+zDCl+Z71nKYvzoGT/of6OfYYmdjSf533z+XIfL7dm+fIYGdlj7&#10;+lp7zDdA34T7x37TPuJkw+2izMYNysPv4L/wvcnXvJcyu4/32Lvsm8ZHyc+abUs591q9eBeH/c+1&#10;fYd77f32zeT3Jv/2YYWvLPk5+x3jR/f4Yf3M2frOzlZm/Ue59R/0pTyMKUbzvnimLdbevlr/cL3p&#10;K2sT5danXNOH9jvcZiuz/+258HvteXvOzjybfJ/9l1xuv+17/Oaa++3a/rNy/kuFKfY+39mHFb6y&#10;5Gf//W/khvxje7nq6mrXPGO6a2luKcrR3NTsZrbMdHvvta/kD5L8p5IHPrm+xfxNH/H95LOvLJkn&#10;rM+LWf9cf9vokOv3FuJ9hu+p2hAut75DR7C6hf+3suSz7x7KfOXJzyb/Tn7G6hS+L8xz1j7ffeFn&#10;7NqHFb4yuz98/pfQBfwoK6vQvOflkv+8GAd538lbWFFRqfnf2cMhXM/4unsdKaZPTJ9MecCHFb6y&#10;5Pf/+9/oo7LuesFt7tJLWxPHFXIu/HHZZVe6Sy5J1OGyKyQ2YV2MH6LvJPdZ/DumSa55wIcVvrLu&#10;vouuA5ZoTnb09EIfYkv9P9lLgnr861+Bn6G7+sb/xXIU80BueMCHFb6yZHqH7TGu1YYCQ4pwmN+H&#10;Oibbe8n1jn/nhm9iOsZ0hAd8WOEri/kl5peYB2IeSOYBH1b4ypKfi3/HvBTzQMwDPqzwlcW8EvNK&#10;zAMxDyTzgA8rfGXJz8W/Y16KeSDmAR9W+MpiXol5JeaBmAeSecCHFb6y5Ofi3zEvxTwQ84APK3xl&#10;Ma/EvBLzQMwDyTzgwwpfWfJz8e+Yl2IeiHnAhxW+sphX/Lxi8WrheLqo0crqGLV6Rak+MY38/N1T&#10;H/mwwlfW03sG4v/Gc1HFDuoVrC0I1m0Xq4+MTnyf9Z3UqVh1SfXdYO3D5vwaqe6Ly7fEGR9W+Mpi&#10;um1JN+hBHnz29Hr8sUfcp5/8WXMOk2s9Kgf1sn1Wii2zrGHnYG9H8haTnzkqdKIen376iWNPz3vu&#10;vL0rd1jM89/l+WSa+LDCV5b8XPz7/xx5CMnPT55actaRY5e8k1E52KuO/Zmi1FfkbCdPelRoZPVg&#10;TypwDXoVG2uj1F891cWHFb6ynt4zEP8np/rVV8ySo9XBf+SjBEOichh+RMm+sj0fokYr+ow9hdmX&#10;IWxvDUS+7k2bfVjhK+vNOwfKvewZwn7P6CDsyc5YFhXsoB5PLHpUsY09UootE4zpHMgoR9RoBb3Y&#10;S4N9cotNq74kPz6s8JX1pTYVsq7k5EfnZe+0KGEHdWHPenQj9lMqtkzwfQ72o2R/xyjqH4wDix5d&#10;GCl7r5C8nMm3fFjhK8vk3QPhGfRxbJgo4sfKFctVP+pobyuqTIT9CYzxYG7U9A/2p4/xo2d/abJM&#10;+7DCV5b8XPw7oDXzL+gf7JkRNf2DuQ6wrW39uqL6BE334Ex92O8yavhB38X4EeNHoXFt0SMPK36w&#10;72rUdHL202WvaOaJkN1C0yb8PcMQsPaBe++OHH7g/wbbFv/+saJibZhmfeHap2v4yvpCWwpdR2Ti&#10;uWdWKt9xjpr+wR7ryAT7pRUbPyzWgzH+sYUPRQ4/wH58RYsfX1R0WhWaj7P5ng8rfGXZfKM/P/vC&#10;c8+q/vHs0ysihx/oHeAH2FbsPmhvW+84wA/G+KjpathTsf0S2y+FlpOXXnhe8QNfQ9Rkgv26kYml&#10;Tz5RdPx45603HQd4tmzJ4sjpH+vXrVX9A1oVW1crNA9n8z2fruEry+Yb/flZxnhs+uVLn4yc/sGY&#10;St3w0RS7D8DXwJ/b6p5d+XTkaGW62vPPPlN0WhW7r3rzfR9W+Mp6886BdG+H6OSMqcRaRM3/QUz9&#10;jddfq3HZ4TnUQvcP4zmxsBzoQ6tfeTly+sf7770bGVuv0P2Tzfd8WOEry+Yb/fnZqOMHa02Itygm&#10;ftD/xIxxRHWuO8aP3vs+6FcfVvjK+jMGZNO2KOMH/pjbFszXNR3ZtDHbZ9E/0NE4wA/WLUdNV4vx&#10;I8aPbPk8k+ejjB/IKLFazEsWU//46ssvNQ6FWJRrr7pC52Gi5muO8SPGj0zkP5tnGFfJacGYipwS&#10;gxSlcRX/KfEMrPH77LNPC+4XtHkMaGL6x/XXXKU0ilr8aYwfMX5kgwWZPhvo5q3qG4wSdlAXZJS4&#10;FHyWzOVm2sZsnoM+Nm8LhrD2Ft0jxo/M5DWbvsjHsz5fh68sH9/uL+9EPplbiJpOTn2Iq8d+IQa1&#10;kPQO5ykkjh4diIP1hjF+9A/sgJ98WOErKyTv9bVvgR/YL1HTP5DTNe+8rfZVoeMa8LeAIfTlU0uX&#10;qA4EnRY+9EBsvwhN+hqPp6qvDyt8ZameH+jlZr/0dk2p5TsEc7jGd4JOzxH2o2zauLHrt/2fLk6B&#10;H8G6sFbNgxruK/NNhMtyfQ2G8B10M/N/LHni8aCNiXyP6bRlS3oENOK5sA1k9NvQ2dml34Sf6+k7&#10;sf8jM0zzYYWvLNe81V/eZ/iBjPTEo+H/4W2T740i550dbXps6GzX8k7J2cHcziaRk8729VrG/XaE&#10;35Xq2t5/y9zZjiNM80Lgh32DnEHXXX2lHsT7I/fULVW9w+Xk5QjfH9BCaCTl+g55DzRSuoHFQlfw&#10;mP94jtwn4feluo7xI8aPsHwU6joT/DB5MP5nzKRsY5euIfKl4+tGwRTkLJjXQReB/9MdV+2+hx+4&#10;T30g5IiHLtTZZDsfdArPFf/1r3/VbzN3y0GeR9qQLn6YnmZnaPHRpk3u448+CnBF39WpOME7OzuE&#10;llIG9ppelwozwuUxfsT4kQ9Z6OmdmeAHfM7x0SbBjM42t/rlF909d4mOf/W17pxzLnDnynHRhRe7&#10;W+YvcMuXLZN72hUzWL9q2BPm/VTXikkiS+xLgP3AulfDDTv31L5M/ufdZruAF/g9LO8pdaVehm2p&#10;6m7l1gbTQ9av/UBssYVu9s1z3EUXXezOPVfode6F7rprb3CPPvKo++Ddt5Wm0JZn7Xl7X6oz+ME8&#10;PGtzMmnzQH3GZ6v4ygYqfXpqd6b4Qe72m2+e63bYeXdXVlbmSkoGudLSEldRXu7Ky8v0GCRlFRUV&#10;rr6+wZ3287PTHrNNRmyMJ7ci+DHnpt90xZHlEz+MZmAI9goxY6xr5VC9IGG7WT27O6OHgR3oaKf+&#10;5AxXXV0ttCpxW231n0KvQV20gnaUc+yy+2R36223K0bxbHfvt//ef3dNjB8Z+HV9WOErM56Iz5v1&#10;PBtjGV+xEUxejSc5M/51iq6xcUNwfvKpFe7UH5/mtt1uR+H9csWLktJSV1VZ6eqGDXNjR45w42tG&#10;uNHVw9yIqiGuTP4rF3wpKyl1Y8eOd6ee+lPNlYhc8b12Oeu71c7Zcu8IG3tZm04dwRDy+NCHYRsj&#10;H31qOgj5iJk/Rg/hQJ5T6x6B3Qa9NiTo9vxzz7kTp013DY2NrqKsQmkxWOhWP3y40mqc0GvsyOGu&#10;XmhXKbhbWh7Qq7S0zG0vND77zP9yq159Ve3ADdIH9EkqTIFGcf6gzfydDl/4sMJXls67BuI9zFGi&#10;9+I/NXkN4wcy3iEy8/JLL7nJe+3nygeha2zlqocOdrs01LgDR9e5aeNr3PTxta5FjubxI13TuJGu&#10;eZxcj6tzJ8pxhFx/r7HWDa8aLPJT7mpqa0QfOct98N4a0dU7XBu+VjmHv2vXfP+Pf/jY3XrLPMWP&#10;V1e9ojaMza3mu8/wneK7hTYc1IfD6hc+d4p8d7S3i7+4zd1//4PuoIMPc8OrhwuGVriRQ4e5yaNq&#10;3ZFCm820qnHNE6ATdKtzJwmtjh9bKzStV9oOG1LpygRPGuob3cxTf+bWrFmjOLJR6hH+rl3j4yXX&#10;QSF0s3zTvVDv92GFr6xQ9elr3yE3sY5b4lswPgyf20VWXnz+BTdhwrZip5SIXlHlfiCY0TR+lGsS&#10;Xm+eIHghmGFnu+Y3x4yx/F/jWrgeV+OmjG5wNUOHikyVueqRI90ZPz/DbcIe6Eb/YA4Cubju6qt0&#10;T5hCyAf6zTfffKO6x8IH71edA73D8MOHtfhFP1z3oWtqOcVVij6GTVI/bIQ7eGy9th86KH2EXjPA&#10;2QTtZlA+rlrp1DyBe+qEVrXu5HGNbsqYOtHjKt2gQVu5XXaZ6N56+y2lV7iP7Jrc8MS39TUeLGZ9&#10;fVjhKytmHaP87Tdee7XLvjc+DJ87BF923X2SYEep22dUjfB9vfB3teoZMyaM0HOz8n+AE03oIBPA&#10;F34jE4IjiSPAkVoZf0e4iQ11Yv+UuFKxa/afcrB7//33voNfJqPMVbz4/HMa/8n+atCzEPbLB1In&#10;sJUY+rD+AY5Y3cK0WiOyveee+7oSwY0xI6rcAYKVAY2gm2Et10aTWsEQ0UGEfgGNAhxpgZ7gb4J+&#10;xwmebF87QuhV6iZN2lv90eHv2jX7kCbPc0eZ96JQNx9W+MqiUNco1gGfIPOS+O1tTrFdxvuPxT/K&#10;fOvPfnqaYEe5270h4P/pCZ4O8AGMyPw4bnyj266mWn0CO+860b395utuo4zh2ADYNcgpugf1Yn7B&#10;9sr7+uuv844f4JNh1ttvvvEdbENm1S8kNMKX8/Zbb7idd9ldfBylbud6wcgJ9YqT2dCn69kJgtdi&#10;5+xUXyN6W7n75X//KpjvZT48YcugFxEDSF8WQj+LIi9nUicfVvjKMnn3QHiGPZexC5jjwE+JvCIP&#10;69Z+KLp6u6trGCUyUeJOGNugY+LMsaZbZI4byAV6TPOYGjdNZKNh+BBXLj6Co4850bULdqzDT5jw&#10;NVAfsxuYf2EuhHngfPcN/pXHH3tEfUOp/B3oIO3rg7zKhx8x1VVUDnGN0ha1U8S2OxmaZYGv9iz6&#10;yXSxA48dUy9YW+oaR411az94V/FL53akv6gjsfX4mL/84ou80yff9C/U+31Y4SsrVH360ncYp7CZ&#10;8Z+SP9P0YHiSGKbW1ivFhi9XX15gr4ueLTxsfJ3VWXwh6OfNgh9Hin+gZliVqxIf44IFt4pcSPxU&#10;Yp4DGUU2iKV6ROWjVbEu32Ms7yfv2ewbb+iii9HHzsyxrBPMPfGkZvF3DBYf6RB3lGDGDGnTTPw9&#10;YndkRSPDnnH18i5swVq3fV219EmFmz9vvuKqxdRQJ3RJ7C1o1Zf4sJh19WGFr6yYdYzqt//2t2+V&#10;39B50T10nBc+BD8629e5HXfcxQ2pLHcnyLxA4OsTu3zrwKeRrVzgJ5whcxFm/x8hes2QilJXX1vn&#10;7r3/AcUvi780DGEdPXMM5GpFvvOFIdguHOhl7M8HXQwzwud1ogcddfRxMidVInNLle5Y8Xeie8wU&#10;2yVb+mzxPLSS97YInhwrWFsmcSOT99xb53nQFa1OLzz3rOofzDNHleeiVi8fVvjKolbvKNTnL3/5&#10;TPEDnddiCrDpN236yJ119n+pz3Tn+pE6Lxv48wLf3xa8bWNkr8+if+icA3ZQtY7VB46tkXFcYkoq&#10;BrubZs9VvQP5AEeQEfQQbJjbb12QN+ywfvnTH/+gtMGGMfnkDJZhW3G+UvQz5mYHDy53P5S6M2eC&#10;HxQfUYvoVzqv0mu6eOxC5sN5P+8SLNmhboQrEcxasvhJt65T6pKo16qXX1L8AGetHfG5+3gQH1b4&#10;ymI6fpeO+BawXbBhumRjAzk3VrkhxGrIHOsR6B6qO3v4OheykXiH6SM719fIPEOFGz16rPvg/fe7&#10;METlVuQEf80N117t/vmPf+QVQ/CZYgswppsfF3qBHWDsG6+/7urqGkTvGOIOG4NvmXnX/NBo8/wV&#10;NlG1YFWt2DClrqmpRfpN1tptDNYUgRv4h6hzzO/f5XcfTXxY4SvzPTvQy2w/NcOPYIxvd7/65Tka&#10;I0Y86eYxNDd2S0oZE59Bk+jm08VnMEpiV8tkDrSp6RTXJnYVeofqIWJHYOMzDwOe5LP/VixfpthK&#10;XDjfglYcxHi0y5z2kUcdKzJcpvEZ6scRH4XFd6RsY6b4gp7WpasF8WfVEkMzbvx4qUub+JzXq/7I&#10;fDOxssw355M2/endPqzwlfWnNueqLTZeETfA2Mqalo2ifxww5UBZnyHxSo0Sx9TF80HMR85lI/F+&#10;vsMcQ/PWI92JEp9WVVnmRtbU6Foy5NfsmBeee0Z19Ddffy1vMoJf5dGHH1T/B3Qx3SfA1w7Jpfi+&#10;GyrYWi0+jxkyrzqDWA2JeZkekvGc0ymBIegi+EG2lbh3YnKWLl3aZXuCs+DHE4sezRttcsV7UXmP&#10;Dyt8ZVGpb5TqQU5A9F32NTEZIfZ63LjxGvMxReTYYpjg25zLRPid4jtADolTZe5itwbxE4p8zJ+3&#10;QOWD+nGYXUG8Sj5jyIiXJ3Yd3wsYojpQQg+68oprNGZlstAHH3Cz+EuVTuhQ4Tbl6LrLNhIM4Ttg&#10;7X6j6lyprCuaOvWYLn9MgB+zdN45SnwW5br4sMJXFuU2FLJuNmeB7LGWBBv/zt/dqv4PZGXZsuUi&#10;t7LOq3Qrd7z4AGfmSAbSkasAo2SeQXyFU+W7rJXZe5/91MZnfQw+XnwRYB5+kFzRzXDI5nTwrTD3&#10;Qiy4+YU2CW04yHGym8S6DRYfzbHIs/g9poMhUl+Nwy0QvaaOaxAbr0zj1d6QccDw/6YbrnMP3Ht3&#10;zmiTKxpH9T0+rPCVRbX+xaiXYQj72jP3YrlPGb/I3VEq60B3rsMfyJGfMTUZT4gDQQZniP2CPDJ/&#10;sa3UgTW+S5Ys1fV16r8UHyr60m+uuyZvMoIsgqtLFz+hmNUpcXTqZxBfw1333CdyW+p2kBhTXeOT&#10;wI4mdA/Rm5Lbla/fzPXUDBsq9Clzl8+6UvUjsC5eA5Oe39TkzocVvjK7Pz5vXjuycsVy9UUafjC2&#10;H3LoETLul7hjxo5JzNsWBj/AqRZwg/FbMATsOkRi1ciRMe2Ek12HxKRafD1xlsg388+57k+wlTVB&#10;4Cp518FUvtspegfHYYcdpXU6UmO6gnoG640Lhx1gEnTaUeaqhsg6vanHHN+lf7BfH3ZXrunSX9/n&#10;wwpfWX9tf2/bZboHzxHbwH5I+NsY28GP7STnRIOs/WoaN0bGU7Ajf/OS4bFZdQ/W4zGeC34EtkCd&#10;qxte5RoaGt1aiadnfOXAh8q8M3MjvW1/T/f//e9/c8y9gE+suVG/h+QU5JscI0YEuU0UM6ANNFK/&#10;BNeFwRCljXxr31ENqivuvvseXfoHuhkxMj21M/4/0FN8WOEri+kV5A0N04F8gK2XXep+/+gjOi+J&#10;3j5kyBBZ05aQYZHlQtkvYSzpuhbfwu711WLjl7v5C36r80Pg3GurV+k8A/KM78JygYSxMdzOnq7t&#10;ee7jfQtlvT76xyaJq2DOltxhUw46WA/yq+3RSOx9YXC1ixboZYkDW2/62Gp3uMSBbDVokORlGhfg&#10;nOhK999zl2If7TC/Tk/tH8j/+7DCVzaQaZTcduMry631hOAI4+zTT69Un+XExnrJPYHuUSjbZbNs&#10;mIxwZs37j2Q9SanYU80SC2Jr6ixnCf4Jk/1MsQPa2LMmc8xnkycAPCXe44XnXhBcrdKjQvwNh0ud&#10;bF4qXN9CXeOzRV87XtYg4qsiB8LbEjtGfR+UNbjoTtbH0Mfal8wH8e//i/ePEv7vDR8YL3FmrLr8&#10;kovdMyueUtvl6quv0zyDU8Tv0CI2xAz4VHHEL9/5lpcWtZ8aZV3aYI1HbW9b1xVHxro2bH3abnLf&#10;GzqE7w3ThHzrzL1AG2wlYrNO/8XZOtfBfEej2FPN41lXW0RsFbrM0Hj2GvGhVirm3yb5UsGPxxY+&#10;pLoTc2nWrnBb4+st5cWna/jKYroFdEPWjK9YG8Z6tGefflpkZYP76U9/LmtPymUNKXMLI0RGNsd/&#10;5Bsr/O/HRqhxk8ReIEfzKaeeJvVsV18Nc6uMs/grbKy1dmXS1/ZsYBvNcsuWLE7YBG1um223l7X5&#10;lXrsLXEXQbxY8ewX9TWTx0lwZI9GmecWm+qss34p9W3XtYX4htDRoAPtMvpkQpf+/owPK3xl/Z0O&#10;6bYPfjJZuW3BPMUPcoyzT8sPf3So5kM+WXFD4rnImRWyu/0ynj/dROdH5ftHyVwHc6aDhwxzq156&#10;QWO6lj65WH0gzI2Y/mHtSpcW4ft4Fl2ftXn4PowmT8ha34oKwQ6Jp+c4XnUP/Lv5a3dPdMb/0aTr&#10;kka6o6U+zOEePfU41ZdWLF+quEruI9qXDU3C9Omv1z6s8JX11/Zn0i7jKeb5sF9eXfWy6h877bSr&#10;5EUm/42smdM1+8RkFHucrdE1MfXDh0oO0BL361+dq3Ly8osvqpyz5hQaZDPG8iw0Ia8Z8d/gB+M3&#10;8WqnnvITWQs0yE0cVa/HdIlLUewo0FyLD0v4PrlkyXN4omBr1eBKt+de+4r+0emefyaI6QH/MuGN&#10;gfaMDyt8ZQONLqnai5wYfhBrdMXll2oc6kbhvVGjx7jRI4YJdghmSHwS+nEx8SPImYO81rqdJdf7&#10;f/7Hf7gDD/qRW/vhB+49mbtF1tmPlraaHzVVu7srhx7//Oc/1V4htpU5bY1ZF//HHpP2coPFpjtu&#10;3Gg9mLclTmXzuqDC6yHgB7nuwZaTBT9qZK309tvvKHjXKWunn9eYHuw708u6a/tA/8+HFb6ygU4n&#10;X/uRE2Rwzdtvqu08VNZ0bl8nurmMrazrII9WM1hSLF1d9fRgvJ8yutYNltwgjY2jNd8FugH1Xyhz&#10;rYaHdva1NZ0ycrCRS4kcxOBH2/q1st/TSNmfZZjE1DfqYbI7vVg0se9Kv2DHEIc6Qfbbqauvl3xC&#10;7Tq3fVXrLHfPnbcrXaBJtnRJh3Z99R4fVvjK+mr78lFv46lAVydOao3MUT6v69UmyprbAD9Yp1Vc&#10;/FA7QeYZmiTnGT6ZygrZ105iQR584GG1YVjjhg6F7pCNjNizrHuHJrbuZe6cW3Q+inVy1EXrk5BZ&#10;cgkWDVfBEGJzwFehz46S4wn/8oeyfv9NWZeMX5n5Z2uXnfPBS339nT6s8JX19Xbmov7GR5yROcZa&#10;bP333n3X3XHHXcqD+7LngMzZtoAdMn9bVBmxsTZx3nPUcIkdL9c97Ngf9iHRPZCVzz77NGsfCPYP&#10;cfzgh869SOzYCcdPk9gKWeNaVB/Qd+0jxTGtE3PI1W6yYD5xbYsff7zLrgvHgNDf1ve54KP+9A4f&#10;VvjK+lObs2mL8dHm3IWtqqtfdlmr+AlL3IHERon9YvFRYElUMIR97vBF7DpxD839+bSs32Gukjiy&#10;XNj6xH2DqbruRWIptt1uB4mvIIfSd2W4mDTR+Rerk+gg+0u8DrEpc+fM05h7xgQO5rYNO6zfs+Gd&#10;/visDyt8Zf2x7Zm2CV76+quvVPbgM2JPfyExUsR+HJ6YF8T/gX9/C141ni3SmfpsI3lzBg8e4t77&#10;4APNBYK+gNyjT2VKD7CHXNL4TsEj8nitFjsAW2mnhD+omHjx3W8zf8sh+qHgx48kbxt7DF904cVq&#10;1xHTQ79+/vlfYr1DfOvd8YUPK3xl3b1jIP5HfmB47DrxQeKLbJn5E+HBUneM+POJ2bKcFkWNs0zC&#10;qZNlzcdesjcssSB33n2frKlf1yXzn376Sbd80l0fg6fEmqLzE9fa2dHmbr55ntgEZbLnnuWej5AO&#10;ovqh1EfwY4bs5Xe45K6HJmee+d/Sjg3ar+R4NJqYDtIdDQbqfz6s8JUNVPr42g0/oXMwds+bfbPK&#10;DvsQkJN3mvoFySWO/hEhmaEuMtaylyxj7TnnnK8x9+QBQVbWyZwu7fK1N50yy+WovlOxXU7/+Zka&#10;93GY5OmJEoZu1kUC3xS25lTpM+yX5uZTdSy4/tpgXo0+RrdKp/0D9R4fVvjKBip9wu0Oyxfzk+jq&#10;zGEQ93zwDw9TuQzb+oGfLjoY0iL+3OPEviK38hFHHq150InBR294+cUXspIV8iFCD97TLnI3ZcpB&#10;qn9ME30MGd0st8W/7uoXsWG4niY+VGLYjzhyqtKEuEBsmI629Yqp2cTGhPmnP177sMJX1h/bnk2b&#10;2GOIcfteyQNI3o+JEye74bJ2fws5iZDvlHrNGIPs1kpOkKFum222071yyUGAz5O96bKhx0KZyzGZ&#10;6xQboLFxlGuUWDpi17agSYR0MsWRBIagkxFbR6401g9jm7Kfd3jMyIY+/fVZH1b4yvpr+zNpFzot&#10;+jo89ugjC3WN6c477+bqhyMviTiHBHbYPEwUZKglsZ5v+7pq2Weq0n344YcSt/Ks+kCy2XceGWPM&#10;Ru5Yt/rqqtVqD+xSbzZCtOaxsaeCfhIfqth0XLPuYLdEHqE7brtVdSnyY8Mfsf6R2ofqwwpfWSZy&#10;lu4zfQ3jqe9bsj8S+LEokXts9OgxEmcp+b9C4yvYESXdnf0R2Id+r1G1EktW6e6TXKT4PSyO5Ztv&#10;vslIB/n222AfT/IO4zOYffNc8QWVue+Lr1bbHzE9TOPG6CfBDsP1uqFVbpdddlddEh8Ofcsauijz&#10;pq9uVsbZrtOVw0zu82GFryyTd6fzDNhu7bRzOs8V6x4bi8i9ztqXx3+/SPN6sfZljNgFxo9RPAfx&#10;2iPdAWNq3KCtSt2lF1/aNW+CDwTdIRO6soYXeSOPErbcr399nsTSyZ6Usq9cQIfNchpFulCnMdXD&#10;3Zgx4yQupkNzCDEXjU8n6jxJ/ch3j07M+kXWNnFNGX1pscX5aocPK3xlmfBVus/Qtr7i57Z6Wu71&#10;1atXuQ2ydp+Yiu3qiu8b7E4+Z8j8Lfu/Hi5rPipk/4TTfna65syx8fY9Wb+Sbp+F78NPAH7gOwVL&#10;TjjhJNU/jiHHRkgfi/L1eNEd0SFZg7tQfDngx4plSzOiR5g2+b422Vn9ysu6FoHcTX/+0x+76g2/&#10;5gs7aJsPK3xl+aID7Xvwvnt0HSi5q/L1nVy+l/4AP+grYi3JW0XsKXvPRllGdC2fzIVMExsGf+Fh&#10;hx+l+oLtG7186ZMZ0f/5Z59R/FjzzttCiw73/f2niH1UITEwwf57xVyDnG5/bFtT7Vj/iA5GPmz0&#10;MXzLueSbXL4LPdh0YWxp6ssB7rF2h3g+2mLjXb4wxIcVvrJctj38rqefWqZtpu3gSPi/KF6bvfXU&#10;0iU6/8J+bq+/9rrO/+0q67DS5ddi3Kf5jDTmssYNHzzYTdxjL413IPaLPbUz3VPq4Qfu0z7cIHFj&#10;4Adx63UjhgstJMfG1oKpfDPieshOgv3E75AjFtyAH9mDM19ylwvepm4c4B1z5+RehC/RBYnjIz6J&#10;NdbohLn4nu8dPqzwlfme7W0ZbUX+WG+Brw3soI347eFdaID/zfrMsLO338nn/dSJ40nJq0U/IXtL&#10;liyT8bzcTRK/ZJTlhNiUYN6hxo2uHurGT9hG1vJv1PU7d9y2QPeUSqa59UUyTa2cM+Md8zfEbnZI&#10;jtWaGtbEgx/Fzb/Wm77YSWxPfL7tbWvdytA6YmtncvuL+Zs62UE9yDUAL+KvQX7sN2XgIPsj0q82&#10;9mWzViG53T6s8JUlP5fOb9pIna3enPE70i6wAuzABsDuZh6RctMZo9hv1mbqxt4vxH+QM2L5smU6&#10;XzlpVPTHWcOPrSXnRdXQYbK/drC39qKFDyqvffH55zpWpUv/f/zj76p7PHDvXWILbRJ6rFNdjL2Z&#10;0Hd0nXzEdQ9wZg+Js2dOarmM38+uXKlzUsTW0efp0sL4o5BncAG9HVlC98CWJvcb+gd+LewZ/sNH&#10;ZW2hPblqkw8rfGXZ0sQwjzgBMBH84Ez+K9r8pqy3Yj6DNvMtsCbbb+bzefZwu/aqK6XuG93DDy+U&#10;savE7SN5Lnoz5hX8XnJecIi87CS2FjHbG2TtDmPWM7IWd9all+h+LfBWsh5itAzzHdeffvJnlTXm&#10;XtrWr3e/veVWtQMmNgb5X4njL3g7M8CrSQ3EsJe6p2UseElyO8Kb6MW+dltZsc7WB9ZPpgtjR+Lz&#10;6Ghbr3t4LX58kYzLz6hc3X3H7/IiUz6s8JVlQitrn2EHsQb0C3gJfpC7Zp3si8acHz44sBLbhueM&#10;Rpl8txDPYH+B8ZvEfpkzd776T/cfE238IOcnskxekt2RF/GhviB7s3wsPLfqZWTmCtUPoV869Oce&#10;9phDb3zumafFl9Lh5s2Zr+/dU8ZzYk8D32n09bI9JQcI9FghY/jqxL7ojHXGS6nw1P4v5Nn6hjMH&#10;+4UiT3NvvlHHYjCkvW29+kO4xn7hf/Onmjzmos4+rPCVZfst6M9+I+AH+WVoE35/sAMfAvJIG7m2&#10;vjI6ZfvtXD5Pnagf/prZsu4dXXHOXMmzJbx3QMT1D5VlwRDwI9jTodStfGqF6B+dbu0H76mea/lQ&#10;oVkq+hsNoAPjG/hBDkf67sc//pnYL6USOwaWkjsx+tgBpk5qEH1M8i8sX/Kk6MKvq2164/XXpqRB&#10;Lnkq23cx1wLW0Q/MOdMPYAV+AfbhwcfPf9hj9Jn1X7bf5XkfVvjKMvmW1ZX60gawgxxV+E3/8PHH&#10;2k7WvqOXsA70jtt+qzoWz2XyvUI+A/7NuelGtfnnJMbc/SXHaJR1dWJB0UHAj33E11sm+QbulRhU&#10;8AMbEn2Q/V+7o79hCvdwLHrkYdUbyXUK3zY3taj9coDqYsSNsRdO9OPHvi/1ZQyYM3uu7Av8juIH&#10;/GrtLSRvZfKtL7/4QvO4IEfIE+Myfco6LeblbY4MfZE25apdPqzwlWXSJp7Bj4G+BD7SNuaYaBc2&#10;NwfXjOX0FW0LfydXbQy/M9trky3agz7VIbKn8drCe+w7F2X8CPKx12pegQOkruzbOEdizfHhbJS+&#10;wEbGn22xi6loFe4X5l107kWeV/xontkn8QPdsUzosWD+As1niy4MTzK2p6JDVMoND9gPHV+p7f2H&#10;bDE+E1tGnBLtoa+4P1f+RR9W+MqyoRXtou7oT+i7rH1Hv2Jemnhb5jEWzJuzxbgX5tFsvp3rZ61e&#10;2Jq3LbjFbZQ2zLrsCtljttQdFHH7Bd9psKdVtWBdneLH/Hm3uI82is9N9plkH3D6iTkYa6ePfmAo&#10;YwJn7sfnjR+oL+sf+0vfVUpM7pyb5+i4hr6PLH715ZeRxw/6yDCfcY2YD2SO/kDG0PWXPvmE4orN&#10;d/r6NZMyH1b4yjJ5t2Gc+TY40ybTP7hm3Tg8CEaGv9Ed/4bvK/Q19UJuwHF0/XZZ733+OReILJa4&#10;QySPVZT1D+ZuZyT8EcgL+jr4AY+hf7CPL3KDzgtdrf+SaQwNOMAZ7ken5Hn6s0nsF+yivma/4Psm&#10;JpccqPCn4Qd5bpPbH7Xf1h+c2T8U3Yn5QdPxORMvTXwImJhpnKCv3T6s8JX5nk0uQ644KLc2BetE&#10;WtU3jJ+YvkH3QAcxvQS9Ofxs+Dr5G8X+bTIFf+m4K+0577wLNH/3IbLvbZTxQ3N+6nr1aveDMY1q&#10;Z8yZTf4j8beJvWx+NvZe66kPGO/QHeFH9m1gDoc+bWqa6crFD7m/7DfHHi/s0xSlHAap+ge8I/4U&#10;PCUfFL5T2sbYDS8Xm+/C36c+YTnjv3AZ8WOMyeSYMD8IcocPBP8j+EKfmYzau8LfSPfahxW+snTe&#10;Z3Q23iOPbrDH0iyNbQEHaQ98xpiHDxLbhXGL9/OcvcN+p/PdQt9DHekD5qHpF/CDWIqo44fmghcf&#10;KnMi+5EHVfSEu+68W9ecbpA+YM6PHEALZf0YOBnuCx+Nbe4F3CGOhPnb6Sc3qV4zRfSbIFYt4pgq&#10;GAem4P8AP+bKXDz8yD6+8CY08bW92GX0TXL/0GfIEPUH+xiXkTl8IMgd6xuZ+6SPiZWw9ZI2JmbS&#10;Jh9W+MrSfTdtMvwg/oZ6ghPImbWDthCzTxuJNw3TwjAkXJbut/N9n/UXYy/6BzoiWHjeuRcE69ES&#10;uddTjXHFLm/WWC6ZT5XzHhLfRcz98qVLNYYWnkMvxA/FkQ4tmXuhD6EBYzZ6zOmnn6lyuJ/MRZHv&#10;vej7RCXwoSfagx/so838C3yKbknbsOXgyXToUch72FsC/Y+4S/rN/FHUAT5dKGMAOgj6P7IHjjBm&#10;MxeDn4ucL9jg2caC+LDCV5YObYzO1D/Ir9Oqcy60kz4xHsXXwfgNtnzy5z914Qc4yIHP22TV3pnO&#10;9wtxD/UK7P5WjWGnb84/78KE/yPaY+3MCbIeVnL5kAd1N8EPxttXX3lJ5D+YB0N/sD2g6INUvGV9&#10;As7gr6Nf8Z8yj3PTb36j8evE8pu/hXNP8lvs/w+SvNLEn7a2XuXQxRjX0D/IQWa8WAj+SvcbxDqg&#10;2yNHjGX4EVm/Tt8gQ2AK/3HgJzD5I3YCvSNYXzdL4ze5P9M2+rDCV5ZOu8J1YA6JdoGP8BcHGMix&#10;6NGFGlOL/m9+Y9qNXKKr4CPmYK1MOt8t9D3EbMNbxA2r/ZLQPw6NuP7RtPUINx0fr2AIezayF92m&#10;je1u/bq1ym/ohei39Bv8Bl0NK4zG4T7mPnRk7Vv6WHSQhQ89JPaL7FEl79e869CkD8R/0Hf4T9El&#10;aQ88iuzhswu32ehQzDOxHugPxEMwp4mehLzgOzX8APvBd/jU1sUge4zlrDWjjHdwzqZ9PqzwlaVL&#10;L7AMTGA9OPMT8KHpT2Aibbjphuu0zYYPPMP70Rktlx5n9C9kNd1vF+o+9nukboxRfQk/mmUf3Bki&#10;J/gzt5H1c9Uja2TutkNtfMN4eAu9EJ8GfOXjLcrQG1mvpHMvIm/QoVPW73/43juyj1al27FO8ENx&#10;Q77XB/HDfDv4DOArHx0KxW/J3/njHz5WjAfrobvZWozZ4bpiq9CXYAxyiOwxRjCXy3PIIfpj8vt7&#10;89uHFb6ydN5pehD6EpiIrgRmUFfqjZ2M7cJ/6E9h3YPYMfAeHCXWhdyTyCgx7ul8u5D30CbaQP/Q&#10;NvN/RF7/EDtC18CI/VI/rErydOyo62WNr+CxoO9madtS0ZQxjjh3+melrLvrFL7kUAzqbHOjRkku&#10;R8kHSPx6EMMe/fjTZP0DvQP9inmKVHQoVnlH23qlPXWD/+gzcIL6ImPIIX3EHmetl12i/7HODP8H&#10;/+MTYT0u+U2QN/o9Wc9Mt20+rPCVpfs+cJq17cgXdhZtha8MR8BIcILfvJN688ytso8KfuE3xd6h&#10;ne/Ks9zHnHW63y7Ufax5Ud6SuvUt/Ah8EidJHnb2i97/gAO1f7D3yZuzcUPgq0cvZkxLRU/4k1h3&#10;aIB/QMcG8EPesUneMXny3m7oYPayqJU5XPKbgyPR9oEk4we8Cw+j32cqW6nol205GIBdAg4g+8gX&#10;4zJ4vlD8prwfmeLAnwW2rFguY7mM4dzL89gG+CiRMdpoNkBv6+bDCl9ZOu813AMHqB/1BScY36g3&#10;bYU38XGE28j/9BX+fOSR+4J1na26LjedbxfqHtoYzHNepfpV38KPOskHVu2OHtegvtPm5lO0j6A3&#10;R+AD3aD9Q/xDKv8ptgv8C19CC/oZDOLgPUdPlb34JBZ8muY/DdbARB4/xC/EHlLnyr58tAO+RR4Z&#10;C22MKxSP9fQd7Bfqhv+NenJAd+QKOSInC++g3tjaYAQ4YrIIz2KfsuYd+wVbIFOM9GGFr6ynNvE/&#10;eIeehE6EfgtmhA/qbLhp+MiZNfuUkz/TMDLAD9aFr0w5DqZTp3zcg75I/+Er6Ev4QS4OcpDt19gg&#10;uXLK3bXX3LBF/9BXtAccpw/xtfnox9gMT9rcS7iPub7wwv/VueGDyL8u8SaBHRNt/YPYYfy+5I43&#10;OaOP8e/4aFDMMubG0P2IH1DcR++TAz2CORnqb5iHfLHWgvka7rE+5ozcmezxHmsTz9h1T2cfVvjK&#10;enoP/zM2m/8NX3AyX4F34IStk6OetJO2oQ9zP7YLZ/RiaIQvJJ1vF+Ie6ssR1K1V54f6En60aOxY&#10;rdutvs4NGrSVrPV+6jt9BO3xaUB7/Fe+ccnyJeOXg1eT+/nuu+91JYNK3GRygGyNzyXa89roRgfJ&#10;esJyWf8y6/JWt0n0KfoVnmR+qTfyVAg+5BvMTxDjhu7OQT9g6+PTZnwzXqX/uI8ckx1t67Vd3Ev7&#10;iDPmGcYC+jRc93Tb7MMKX1n43d1dEyOL/cKcYDJf4S8G09G/8J1SR9pH28zewTbjOXADHkZn6e57&#10;hfzP6gt+oLtjc/Yt/AjmX9jnqqZmpIxdCZ+n0DvcV5Zjkvm/ZD7iN2MW/UjMAbwbfpZr4o6rqoa5&#10;8SPFdhF7qakP4McBEu9G/sK5Ej+mtpi0C/xgrUimvoF88ia4hi8A+qM7cMZ3iMzg6wj3G/cZ1sCv&#10;9BH3gzPgB7xMLEX4mXTr7sMKX1k678PuQu+lrqZHhHmLfGq0D78w76O+X3/1lfIi/USbrH1BfOos&#10;fU863y7kPa+/ulrbgY7Vl/CD+I+TxjdqnOWUKT9wHR78oD34NBiTsKWxn5NpS//Sj4xZ8G64j7nm&#10;Hd/73iQ3ROTx5PEjxH6Jdl4D9I/9xdYqLSnT/GkbJQ4OXgQ/8etnIlfJNMv1bzAeXZ5xFnoz7qJX&#10;EFMKHuCj4pvMI/GbeBb+p13WRzzHWGCxaPi7fPpmd3X3YYWvrLt32H8dwnfwFb4P82OEeYu5dHjy&#10;tdWrtU/oF3RknjFfgrUN2xr8t3dH4Wx8RF2RL/wA9ME5556fWP8StfW35DA2v0Owz+t+o2vUN3Hh&#10;hRdJvFcwFoX7iPZwoBOiCzMPZrSn/fAX4xl9xnhn/Bh+R2dHpzvjjLNcmfgjDxS5JN6kRerBoXvP&#10;yvxx1OZkNP9HYv0tc9HwLzoxvgNrf5TO7BGluCC+Kupq8sbYBm9iW7IfHTIEzjDXEu4jkzP60GLQ&#10;wCD61/g8nfb6sMJXls67iLmh7uj3Pr4yfDGbEoxEDwbnTQfjOfIn8Z5wLr10vl+Ie6AtOh/yg57O&#10;nOV5ifVzh0Zs/b7uPavrbcUHgeyKHdE4YqgbPmyYe/2NNxQnfDwFL6LPwnemC9NuDtaj0mcc9CdY&#10;k/yOTtFBVr2ySvUc8rzrt/Gjqi9V6pI4R2lOJhk/aBfjMuOYtb0Q/NWbb+AnYM4FmUF+6DfqTVwH&#10;/RPMx8xSDEzuI34b7tj9jO+mf9i5p/r4sMJX1tN7+J/8HtSbevnwgzrDl+gg2F6Ge9gB2Du0nWdt&#10;Lhvdi75L59uFuMf4iLgd8IO1VbQTnz2xz5GLH5P5FsZ+cn60CHZMGiXzLjLHcPiRR7sNoqMTb57M&#10;V2aPmK+K/sL+t7ajc4ErlKvOLP2V/I5NG0RHlvfv/4MDxadQ5o4e2+CaxkoMCIfsfResyzW9KBrn&#10;ZPyADy1vTSF4q7ffoE/Qj9ATkRt8ivAi18yBMifLGIysMS9De5L7ifspZxzkXvwL4Tn7dGTPhxW+&#10;snTaB1Zz0AYOX33R/ZE96gsfgvGMY+YTpk3M2XIPdEinDenULVf3UB9bI0K9WTN2/gUX6Zr1g7v2&#10;i46GTAR5NwQ/RGaPlViu8rIKydE3yM2Zc4tb3x743JL7iN/0AfY1Y4GNv0Y/dC98XGAovMe9ye+g&#10;bK3owpfPulrsuhK3q+R6P2VcvR6WA17XxnTZVsWnlw8/wEjWUdD2qPEh+IHPEPsEepv+wTWyhF/D&#10;ZIy5DF8/Wb/Rj/Q1Pkf0jt74i31Y4Ssz/unuDF8Rt8i45MMP2oVvDvuZ+oKN2Gvca+Me17Qd/EAn&#10;6e57xfoviK+VvefASOmvG2+4UdZ8VLgpRcyfbDZBgBmBPDaz3lZltMZNbCBfYZkbM3aca1u3Tmnu&#10;G5PgKfrC4m/op2+//bbLLra9EonBNawxPrQz7+0Qurz/7ruuoaHBDa8a4o4ZP0oPbCjW9WNb2REF&#10;O0bzwUo+FJ1/kbrDhwsllpP2s1Y+aviBnDP/hcxZn1FnO+gf1rcQD0KcGWOd9Y+d6SftK/kPWUTu&#10;eC9Huu31YYWvLB1ZBe+YvwXraIfV087wJf8R90JcPvohWMP/dj//2zxNFHPHQVv6g7Zi57PnKznv&#10;ir1/A/5I9U/iW5CYC34Hx0jNq1gpuS2Ij7ru2uuF1uiyQU4I6xs7g/Fcc7YcXPAi/U/byekyR/at&#10;gO/M5rRn7aw8KfoNvy+8QHQz8aOOkHh2jqNk/d70CSNcs+AIuQSCtf3M8RZXB9F8jrJ+f/68+cqL&#10;8CrjBPjx+ed/idw4hnzbHKXRPXymD5inoO+IPcW3Ef7frpE7fOTgB/NppnsUAz9M/6DuhgdWT87o&#10;UbQZnzZ8aPMX4Xu4NvyIar+Bf+D6BqF9VPCDNfnqL5X9GTTPmMpjjYz5Da5aYjGGDRvqrrriKumX&#10;ji6/ha+PDPuRH+LIsDHhK/iJ/BLwGbhvz3J/cv/xH+X6n6yn23uffSWebJAeI2XPzGPFlmmSORj0&#10;DnIagXvqEyniOl3sF9YEkY+eeuNPCOQzmMMGO9MZQwt1T0/4QR+YHUBfWn+F+4oyDuLI0PfJd2i4&#10;kW57fbqGrywdujCPwvwz+BGup10zh0SfgCPWpvC9ds34TnuiiB/QgfyS+KeihB/IH/szYK+QHwj5&#10;PGRMg6xjq5Txv1Lz4qB3sEetxUdZv4TP1gfoH8gRtiYHfWe5hfBP8b8vxod38VygVwY66Htr3nZH&#10;HDVVj4rKKlc9tModLhgyAz1J9KUZYwP9I9hfojh6yL7s/yL6x+9uv0N5E/60fNK0JR3+L+Q9PeEH&#10;/Qg2mI6oWC59E+5rww+TNzDT8IOzXXfXLh9W+Mq6e4f9h78JHcTqFa6rXdt/nK2N/Ge/aWfQHn/s&#10;kn2rWGdwmTXE+K2YY2DfA92zUfKfBjnHC8D/omsEa1sTNorOh4pfgbkNGc+nTWgQf0e1zn0MG1Et&#10;Nj17EohfI2FT6DpZob/1SfgM/ekLypAb8ieE/VX0MfcgX+HnwtfhPqZ8g8SDwMccV8yaJbGpVbJX&#10;QpnbU/Z8a5a1wOCHYl5if81gvlfaIzZOYN8ENGXfq3z5StiPjz2Mly5dpn4t2hDgR6vaAMXit1Tf&#10;hQ/R07Gjw7S3a/oIjO+pn7ifccHn5yk0fiD31IP4DeNBa0+6ZzDF9Mao+j/we6v+ITKJP3i25DCv&#10;FP9pPvef2yIHD7aK4MTJ6P4iUy0yL4rf9GQpP1TWcQwROSC3aTnx2HPQx9sT+sCW4086fQIfsoYA&#10;e5P+TeeZ5HtU55H38C78zf/7P7K+TtaaVFZWum1rJE+I4B2YMR19BP+qtAtMaZZ4WcUPxctAV8kX&#10;frBWp0L23XxyseSDlTrCv8Fc4Xf3NUsl04UsBz+C/B3s4e4fC5L7Ifk32MJBPHGmcXI+XcNXlg5t&#10;gjUrm+dUkuubzm/ikww/iJ1OBwPTqVsu72HfOY15Ex/kR7L30mzxn1aIPOCDyxd/q68g4Sewb6jP&#10;QNaXkGPjJJlrmSR7UlYNGayxsA2No9w1V18vOkeQ6z4d2vvuAc+Re3gUXsuUV9vWr5dxPFjrv2lj&#10;p7vs0lZXUxvs4V07vEr2n62RWHehn7SnhZi3rcW/Ohb9JKHPJTDE2p7r8ySZn6qQWJXly57SuH7a&#10;abmusN1yyT+5eBdyYXY0eoav73oq4zn6F/3Scmr0tm4+rPCVpfNe9A5iavG7Zcpn8Cp7AOOno23p&#10;fLfQ9xATQeyOzWE88cRi0X3L3PckziHXfB1+n8mS+gmY/5Q5luMk7+9k2WulqrLClUsdttthR/eL&#10;X5wt6x6ILUfmA1sj0/6w5+A1rsGQnvgy+X/DIPqW5+0d7FN9yGFHusFiz5B7Y6T4RSaLHJ8obSJW&#10;Fb/qFj6R/8/emb/ZVVV5f/8D/b6SmlPzmKGqkjAlhEzMUzcBMjAKhKRSiYqIiqJMgiJCgv2qOHW3&#10;U6uA2u3ziKCNtnYzCYIgEPF1gAxVSbTfVhQRfbt5f3m/n33uKk4O+9577qlzb1Vi/XCec8++5+y9&#10;195rfffaa629dxUxZKnWJNcpNuapJ5/y9FHXaB3hdh+nX2seS1MesRKRHvx6G3ayD0LPzE+xRXrf&#10;rfY0TFNm8p0QVoTSkt+Fnm0tHH7pUH3TpmHvhybzG4bKmqo0cB8bMTqf0bPz+V/49abEasflPdff&#10;BdlBnjiX6bR5c9xQV5traY78skODw+56xdHvekF7IXMepeYsrEO3sSmyZ1Y+fwEzuJAn6AULjO60&#10;d76lfC6fj57Zq2iX5n7U9XnFP7KGaP78IdHTLB2qyR0rLF4tGpnXQLPXtUwXqcJ9sLvDdXV1qT77&#10;hG9RTAH70WDHxz8xVfxWqlzit4k/TdsPyffgDXQsfGxgZamyiv0XwopQWrHvk+nYFVmzmKxr2mf4&#10;y/Y+tX1CkmVM5TP+ceIf0PcYR718SlaXrzjOzW5p0vrWwp45kvfRwln3r8ORgp/Sx0/5OA3p6h4X&#10;sItG+jq2UPY6jvbe0V3j8Tqdb3d0X7d8Kk3e18iZVUuWLHO33rrd7ZGfP20bT9f3dine+Mb33ez3&#10;ZeVsCfypHZqPLdHc5lzZRXxb4J9Wm40w1ym01ajayvZ457w7zvjdTNvrvVCc6xZvp418VNhaLlY+&#10;lHXKqWcc4JsivoBxjJjbqeS5ZNmMYVxgB/HbHpOFx1n6lb2UwUi+TZaT5jmEFaG0NHlh0zEfTBZa&#10;+AZ5tLXJrA1MU26t37H1H9QVHYm7raE7TuOmP7NR8/gDbJ7xMRNZ8PKATOBjiPwMPi4T3me9u/7f&#10;IBlZLV1+meSnu63D21gadObC0YuPce9+93vdY488JPvGrknxT9Z+qsZ36DljwuSx3TvdFz7/BXfu&#10;+Re5BYsOlz2n0dUdVuf6OrrdCp1bcy6+X7UPttbNaqOo/YQXwlib94AbB8x9Yu3P+1G8bpfbqrhY&#10;dB32O/qw4mO8LKoe6FnMx8EP1o/UmsdKlQd28D92C3QQ2i1Lf0ArsTzYHIixLVVmsf9CWBFKK/Z9&#10;Mp0YWHwwfm1qBkykLdgbGr8U63mT+U/1MxgJT4GT9Bk6Ofjxs5/ucG2S8WZ0EJ0tu1W+hBHFWbJn&#10;oI2Tdh/Rnhj4S7iiWC/tMyx/QzRmajwc7HCr5ve4uvrD3Bu0TxhrSBoa6lyP9Ov33Xiz2/1CFItM&#10;2cR0RHaYbONPFr6r5jf4mLGh49ciHmH/3n3uqqve4+PfGhVfjo0C3aRHNtfj58pXPdwhnFAb0874&#10;bHTHbhLttcbv13S619qf99FTety6uXN823Z19agtx6PxQDEyHsvUvozN+J2mmu+S5YMhyAjyn2VO&#10;SR/yHXMF9Gn4OllGmucQVoTS0uTFO6ylBT+IG8jCZ2Aia3PpN/RGw9q05Vf7PeYv4LXhh8ViwW+X&#10;bRz1ceyH93a7CwfnuY3SHeBn41u7s6ef1609D/e7C3Q/S3hxgnyIw9obrEW6NP7XJsVIdAozTjjh&#10;ZPee91zjnt7xjF9Xstevb9UYKdyivahD1jEoSx9V6xv42eggVgR8HBet4/JzPS5+uuba6/y+RC34&#10;mORrnaWY1lbZS4ZldzpRvqf1asdL/LxPdhPtpcD80fYMsLa3+8jQgDtd2IHPhbnLO995tT/D169p&#10;UnvSrtAJHxLHXm2+qjT/P778sh/H2Ks2a3/Q3uyDaPtpVFoH3g9hRSgtTd6s/aXfwUXORoGuCR5X&#10;fxhvpKEXDMK/nabcWr6Dngd97KuL/QMehx5o2/XCL92aNeu8L4azVOd3t7sTtV/PavEye4OcKfvF&#10;qeCEdHB05uHeTtc+u1lYUe9jl1iD16l4r+OOP8ld/pYr3H33fsvnT97Ef8HT9Dm/KZPyrU3tnqZt&#10;p/M73jcjev3d0xjxjcfJAt0//clP3Oc+83m3ZfTNbuWqE9zs2a3C7XrfjuwL3S776wLFlSxTOx8v&#10;XCEu5xxh+VrtI8A5lcfrbM05nXzToLid2e6NF186sZcBWBy1cVQuY8V05EPqCLaZnGXpU/afYC5O&#10;HtNF/0C+0O+JsYIHwA9o5UrD44Y32GHxb9cSG9KUZWffEvtnY1S87ziH/n/97UfcSaec7rGAuDLO&#10;MiA+BHtnSzPxGY3+6u3rd6vE/xddeKnsJ+93X/7SXdrz/BfCBnAi8ulbG8bL+Ev+bfwRyXmkf+G/&#10;+eI/fsm9/cqr3Jmr17oVK493tG3UzsIItb21P31B7Fp3j2yy510k2WFvjNfbD6xv8Y/Cy9NND2Z+&#10;Z7bdrPxgfgr2+0rD+6F3QrpGKC30bTLN2hjfpq3RpB/S4Ia1AfzB+8zLsC8ny5jKZ+gjJhbdqFgs&#10;JvoIOhj+Sez38PX119+kc0VuVNzlLdp74zPuq1/9Z+1b8LR0i8iOYXMg7BgTertwyPOw2qKS9rN2&#10;PFTvvi0K+gnYOi6dhLGJOBfaK5J7zT3kE2Mu/bWvfs3dcccn1Ac3uuu0zxNnS9x111e0h8HzPhaW&#10;tg+11Zjkk7LAj1JnaU0VP+aBH4yB8DI8l5WOEFaE0tLkbzpQtH42it+I+rb4XjWhvqPf8EsRp5Wm&#10;3Fq+A36YTS1Ud9Lga3AEXmYfDGIxsFn4q4AHNn7yLjHdjIFgDrpH9Bzpa/xfjMeLlX8opxvWwldc&#10;E7H5akP4hjanzbAr85v3saH4NpR9dJ8uy4P/iYn1/yVwxPJiDGM8rCWPpSkL2zJ8iL8ia3+j37Ne&#10;DZueyW6asuPvhLAilBb/pthv6oANhHgbcA29CGyzvqZPytFKn/IO+EGcluk0xcqsdTrzF+aMYGSI&#10;FupvmOnnIPC06IF2xgx8C+gdnm/1LumMnXt2a64nefD+YN3Jm/e5p2m3UF0OxbSovfZMtA1tC17A&#10;Z1GbRvqItZ1hCc/ehqS1fPQL6fQFZwEYz8Xbi3TGAPyj6NLTjQ8Zx7DDYdsN1T9OS7Hf2AhYiwFt&#10;WekLYUUoLY2cGoZF/hPF3Tz4wAT/IxvF6Iine/nTHMZixNOUW8t34Clwn7WZ8XrP/A7PAw7WdrFx&#10;wObiteSxtGWhO6BDpMEPcNdkizsX+y+z31dW7KCeIawIpaWhyeqBbwn949v3ftOPqcZDacZRewfb&#10;0HS0ext+GDYabTP3Qws/6GdscaxzwgaShv9r+Q5jNboRMWQmM2l4kHEc7GCtK/qL7Q1l+45VSkMI&#10;K0JpafI1PYg7e9+hG8Vpi/8uRiu0ResOtvt1eGnKreU7Y9KDvd1bulUaeorROZM+vfHG+pbxmf62&#10;sbGWvFauLPbxBgPYfzAtP0EXczewhzGeOE+bN5QrL/R/CCtCaaFvQ2nWzuxJ4vf4Ex5QZ7vS0Gn7&#10;Pk3H9S8RfkSxbcZjaWiaeWd640WyfxjHSIv2XNs2rfQPkzHi68EA1qsn6x96Nn6NdOjoDJ8Xf/sb&#10;T1tWDAlhRSgthBXJNOgy2ogdxU6Ajxk9EHqsT0K0WRo2LWI7wfyX//CHifySZU3V8wR+FGw7Vu+Z&#10;+8GFD+X6y/T8e7QHO3xsfD1VfJcsF3lnX3zGaFsDgw25HF1gCGcegDvMfch3MrSFsCKUlqx/sWfD&#10;EPZcoY7E3oAbae2n0IffBdvwZOgqVr/Jps/gx6GFE8XkDR0fvkX/IAZ1snyT9/fIBhiCfZcYdLAD&#10;vcJ0jCRd8XQ7JxLbDvWaLv5b6mJ6EHjB3AwcgC7oidOQpM+emY+BqfRb/CysvNs/a34z+PGXgR/o&#10;zGBIZP+YXvMXeNfGac54RVdnvRl4R51N3zeZ4h4fv4k9IAbB/BMms1lkIqRrhNLS5m06w6uv/reP&#10;TUEHwR4KbWnwA32Rb4gdpMzJ0Ja2zpW8N4Mffxn4gRwid8yl0T+MryvhlWq/i95AvBDjtO1DFseJ&#10;OH4ge3Yx32FOZuvbJ0NbCCtCaVnaghh0sJF6QhcYEqeJ39Bk6diDwEVoIz7GMDZL2dX4hvpQX2ji&#10;XOkkLTPPhw62mKzhQyR+rBr8lDVPk3fu6OjMX8AQ7BrF5MxkDd2EmFrexz9hMpZ1nA5hRSgtC63f&#10;uvcejwXEyFl/JGWMdOZu3ImpQDbZ6zurPzpLPdN+Q1tj06Xtv/Pt+2bwQ/if7M9D5dnm3OyTbXaC&#10;tHxSi/dM3rkzD+GcXuQNOQr1gaXbHsWM0y+++FuPi4ZHWeodwopQWpa8LUaFvf6s/kna/HytoJtw&#10;rgp0Pfjv3580XVnqm+YbcA39CL22GE1JGmeeDz6coW8Zq7HF0deTkbE0fFXpO3H8sLPO0fepd4gv&#10;TS/BrwH/cjau5WE6SKV14P0QVoTSsuSNLRR9Av0PmmxOGZcn0szuA9aDo9hLoGk66iC0A7Fx2L1D&#10;/RSnbeb3wYcb1mfI29juXd4Wh65pspZFDvL+xrDM5H6n9o0F5/BVGE4YHXYnHX5lTMeeAyZavSw/&#10;e67kHsKKUFoledq70RrB7R5DitEFffzHhd0U2ogBsTym0936C5zjos7WPzP3gxcrQn0Hdlh8FnGe&#10;04kPqUtc5uFD9HbsIMV40uv50qegBf0DnQVM5IrnVSmdIawIpVWaL+9TN9booIMQY2t20nh/WdoL&#10;hb1qb7/tQ54eo8nuWcqvxjfQREwLWB+nY+b3oYUfjNWm6+MbrQYvZc0zLvP8xo6x/dZb/NhbSicG&#10;W1iTBtYwtmctP/5dCCtCafFvKvnNWfXYG1nTb1iRlDXoYq8d6AJryH+64YbViXqB4dTV1ogn6Zl5&#10;PvixBF597AePeH5kPXklPF+rdw1HGHuJJcWHC36EMIQ0aMJ3y1wnrzqGsCKUlqU8ZA29A/xgn5OQ&#10;bgVdpNMGzF+4OIcqS3m1+Aaa4CvmWTt0vsQMVhz8WBHqQ2SNcxvQn9H9a8FbWctgDS12Q7ABWkJy&#10;5tM1fyG2O899/UJYEUrLStsrr7zi51v3KC4spH9AK+ncsUuCNdiDrLzppIdQFy7GI/CDfgvx3kza&#10;wY8p7B8Ez2IrmM7jGXICbiA34F0x7IAnGauxkeTpTwphRSjN5LnSOzpWqXNuzP+Crww/L/1FvJnF&#10;rvN9pWVW8318QvQR8xfmMfw2fdHuM/hxaOCHxRPYPKGafFVp3iYX/+/VVyUzkd+BmG14rxiGwJ/I&#10;F3v32veVlpt8P4QVobTkd2merY7mrwjJF7Tauh/izMy3ZGN9mnJq+Q71IoYM/ODsjXhfheibwZKD&#10;E0vgSXz003UdJ7LFxfjL3AXbB7zGczGew5+EnsL59nnFRoSwIpSWRUYNP1gLx15rcVkzGkmzeU1k&#10;797u55ycA5EXjVnqXuobMAR60BtnMOPgxAfjv2J3+pUYK/YHND4uxRNT8R98SKwlY5ntpxmSMWiE&#10;nucUO8a7+DL4No86h7AilJalLOrIZT5n1voU6y/oBvPRVdCxoHU69xuxfuzRavhh92L0zaQfXDiD&#10;b415ATqx8XEWGajWN1Yn1npYLEF8LE7yG/xJ7Bg0/fQnO3KTrRBWhNKytgMYAN5Rb861NV0jKW88&#10;c+HHZQ7D+W7WRlnLzvs76kOe0IRfGj+YrZNI0pPsv5nn6Y0f1n/Y4ZgDsO8V49gPHn4ol3E6b16E&#10;B3/3uxf9fIT1L8ZfJkf2HL8zb0G2wMa86hPCilBalvJM/nfoHAfmXU/96IkJOkth5Z1f/IK3uWIb&#10;ylJuNb8xmtAbwcQd8uGa/yjeVzO/pzdehPoH2YMvuX9T4wP4Qf9Wk58mk7edkxKXqxBdlkYcPjQR&#10;b2Zj4WTK59sQVoTSspRjdQTvmHexp2G8j0wXMfq4j+nd+791r5dNxvYs5VbzG6OJ+F/6ws7vga44&#10;HTO/Dy78sDGAO+vBbY07c27r82ryVaV5Uyd0YOKldu18oSzvgYsWy/nnP//5oJi/QCN6Fr508IO9&#10;kpAraCkmX/z3xA8f8/iBDllpu1b7feMlzh4GP1jbDc/N4MfBhRdJ/ovjB/MX5NLG6mrzVJb84UPs&#10;HuBckpbQM/Sx7gK7PzKZpczQNyFdI5QW+jZNGj6UP/3pTx4P8HeiXyBrxWTO/iNm5Ct3fik3OtPU&#10;Nc079BvXb/7z/3iawEX6awY/Dm78oP/sImYanyi2AvbRsz5Pwx+1egf5Yf6Mrh7Ci2QatOGP/odP&#10;fzJXekJYEUrL2i5gHRdxb3ZWVjlZ4/+vf+0rvn1eeun3E/TSj1nrkdd38TpgP/X7DcguTH/Rp8l+&#10;m3k+OHDFdGL6ED8F4wK+QPgm3ud58VEl+Vj5jMX2mxgwdCR8EuXkCR6EPvyFxBzE86mkHqF3Q1gR&#10;Sgt9myYNermIu8fnWU6exnbv8rQ+/dRT3uZqezSCQdMhHsT6D9ojX/N2b6u3PipH38z/0xtPkDPO&#10;U2FsR9/PU9dPIy+hd2wM5j/4j9hs5i7wn+FeOb7iPcY7YrHIJy9ZCmFFKC1EV5o0kzfmIuanhlYw&#10;M4Sb4AfprIFBf/za3XceQK/ll6bsar9je/unseuU69+Z/6cWV0x3RM6YZ+MvZJ9y+G068Rw+yWju&#10;ss3XE3mxupfjIXQqaMpTLkJYEUqbbJnYflnLaLTSTyH8sDNw+B8/LhiC/cTwcjqMB9YW3/vu/V6H&#10;vEfrrEK0lOvPmf+nFjOS7W99iN4BfmC/BzumA8/F68A+wcxdmGchJ0k6Qs+Mx9iDWWOXJx6GsCKU&#10;ZjJTyT1eT2JQ6RP8YWAIfWX9FaeX9uB/4niI3UGPxL9NXuht8TwrqUs13mVfGeo3HeLYD8Bl9Dtd&#10;+wrtHMdq2tzamHbnN9eYfA5jen9cl/UH71q+pEX9tde/x7v8t7eQzn92Rd9Hz3vHWZMRnUuCX8PG&#10;B9L37WVPS5W37zUZIA/e44rKqw3GWBtRrsVAE6cJ38Rltxp8lCZP+J4xlLoQc4p/gfanjeJ9ZH2X&#10;vLM2hLE4b59mCCtCaWloTL4Tl3ViXcCPeAxqksb4M21C/Ad2V+STvOxKljNVz7ZnCfsOUPda8nu8&#10;rfgN3yMD3Im3sbrsl2ySxjUmmd0jeTXZRX6N//aOR9/vU+wD8gw+0P7gOBixz/i0cN+96wXlqfPO&#10;KJPyYxfvc+3R92PK99e/Jk/FxxS+5Zu9KsPwh7JNFqgndTJ5TtJZrWfKtLaA57CL8wxvxfl4KngN&#10;zLA6UCfkiL3Wfd+on9K0iY11xMNZXnnQEsKKUFrWsgy7wQ30J2I7jFdoiyTt8A1pnrfUNvcU9mCY&#10;jnui/vHll8VnH/I6CDKbpKWmz2pL0x3ADLCBNoTHnv/5z91X7v4n98H33+ze+tYr3dlr1rtjl610&#10;g4NDrqOj3TXU17vGhgZXX1/nGurq3Szd+/v73BFHHuVOPuV0nSvyY48H6A7I9w033uyWrTjeDS9Y&#10;5FpaWvW9votdjQ2Nbs6cOe6ooxa7k08+zV18yWXu6quv8deHP/wR97D0771gj+rMBZ5F/S19SPX1&#10;WFPAoJq2ocpEz8dOQL+yhnM64Ad1MDnC74Iewfow+oI+oe3KtVN0HnUUa3Yw4Yft4wGNzNn+7Xvf&#10;9bQa7yTppk0MQ7g/+/SPvXzSbtOlL+NYiq5Lf3J2T5KWWj8z5u8S/3/7vvvczR+4xZ1/wcXu8COO&#10;ds3Ns4UPja6poUly3uAaGxtdt3BjXleHW9jT5Y7q63XH9Pe7xbov7tfvgR431N3peme3C1Ma3VVX&#10;Xe327de6EPXhmOR+zpz57rA3/E83p6PFHdnX4Y7u6z7gOlLPw12drr+9081uanF1deBL/cTVqHr0&#10;9Q+4E086zV1++ZXuox+5wz326KN+vkWbQUeEK+XlIs82ht9sjRk6b7yfp/o3Mk/caDxmzNqIe7l2&#10;wFbH+E3ckmFRHjSFdI1QWtaybA0L+gP4gf3XaA3RDZ6a3kx/Mq4zP8D3S1550p6Vpvh3xO8wVmGr&#10;Mbqm4k5b3b79I27e/GH3P/7qDR4n6iWzzU3CjLpZrr2txR3R1+5OntfjLp7f7zYP9rmR4R43yjXU&#10;7TYPd7lNukYXdCm9y21R+rrBOa6psc6tWXuu2yPsGJee8PgPH5d+0uBapG9cMjzPjQz16lu+f+3a&#10;uqBHeeh5YbfbpGvd0By3amDAX+BSQ0O98m1U3Rp0Nbp6PTfoee36C9wDDzzkxw/6nbjlWrYlug/r&#10;mojRjPsppgPPUQfGKHiNdSxjah/kx65y7WRrX4inMl9EnI+z/g5hRSgtS/7xeuJDQS9kXW05WuP/&#10;0z74SfmW82Ty1L2y0BT/hrpwVg24Dr4jw/G65/Hb+AP9jfz9HMXbJyL74/33f8dt2LDRDQ0NSy4b&#10;/FjPXKS3vUP6RI87df6AO89jxevlPC7zE7+HwBBhygLJv+S+s3W2W7Hy+MJce9zdfedXpJM0uJ7W&#10;lggzPPa8hh0T+cTwBGyyC1zaMNznzprf41bN7XNDXW2uraXZz58alW9ra6s78eRT3e3bPuyeeuYZ&#10;jR86e108sFt6z/jewjoB2Uv26zfzHj/fkb4y2bambWlrcAObODGo9DV9PB3w47/+6/96PRdeIzYq&#10;Db3Q4/V54SJ7FmI3gZY86QlhRSgtLjeV/rY6g+vsCZeG9vg77MuG7sIeS+BQpeVX833qQ92Il6Wv&#10;4vXO9bcwgzEZPeDhhx+RTWGjGx5e5OcELZK/ztmtbvFArztraMDLJxiArG6WPjG6UNdw5wE6QljO&#10;u/Vet9dL0EFGh/rcvO4Ot2DhEd6fA323fmiba5LOcEQvOAMupMEl9JHewhXpJl7vUdqo9JfR4X53&#10;oTDlpHm9blBzKvAPHQV7zKpVJ7jtt/+t5jTIQuTLwb5DW+Td3sgbckZ/suepjVV2ryYflcsb3YN6&#10;xWOoyvHXBH4IG4m/wmcDLXnSE8KKUFo5+kr9b3hHDCq+J+gqR3v8f94n9va2Wz7oz70pVVYt/7N+&#10;wAZSSSxgnLbQb+i1NkLv4MIf++gPHnHnn3+Ra23DLlHn2pqb3ZH9PW71IDJpOoMwQDrEiPSCET8X&#10;4Rk57UuFH1u83tHndZAtwqDhrnbX3dMzYZt411XvkWzXuRPn9Hv8GE2BH6NDwjLVgYu5DboI2DOq&#10;Ozi12esw1I9L8yvpS8fPGRCWdAlLwJF6d6TsOLdv3+71DnDD2w0LdpJQG2ZJo81ZjwafwkfWv8nf&#10;teQxykJ+sMcwd8EOaLxRikbjIdqK3/Anspd33UNYEUqbTLnWD8SSgp/Qg0yUot/+s7Yi7gX9CzvI&#10;ZOqS97fM0YiNw4Y6pjHR6j2Zu/U9edD/xMy85fK3uc6OLlfXWO/myfa5erDfXQYmFK4tCzS+S05N&#10;r/DzD8niCPMRr4e89p+9E7pH8iz7CHgkXeTovm7hRZPoUn+p30Y3v0k6zyy3ZnBQGCCMipUZys+n&#10;eT0lmsOQP9i22X9XqJPyIS/wZDNzJ+EIZaM7XSJ9aml/t5stHQtb7jFLl7v77tX8X+2Cncz4YzLt&#10;zbfW5sR4f+Pr/zSh48O7duXNO2nzY78O+AufMvOqNDQbPYYf6O7oICaLdk9bh2LvhbAilFbs+1Lp&#10;1u5WV3zWzC2hyc/ldS/X72ZTwPZB3/I9bWN5liq/Fv8xNhAPSP/ioy5HT+h/5AD7MnQZvfv271Ws&#10;xh73sY990h29eKlkRzYN4caZsn2OoCMcYF/I79nPX7wsC3sW9bilA92ydTYL79VXqt/IyBZvm13r&#10;MUBY4LEhv/KTdKFXgSkXCyfxCzU3Nbtm2VrPOuts9y/33z9RLz8eeV1N9hLhQaUXbf+Ln//M85ed&#10;314L/gmVAW/HbYfwF2MneymmpQt64mM0/MmeSKHyJpMWwopQWtYykC/DEWJQiWHn/JQDZKVEf9MG&#10;vIu+yj5t4AfnrpCn5Z21bnl9Z/s+E9uXtn8PeE/0ganM6aF3t2yGO3VdccWVrkV+k7pZwo7WZrdx&#10;wVy3cajTbRlMY3PIKNPggjABnww6wdJ+6Tyz6t2//9v3fR3Xrj3P48cF3m6BvoBekbGsFN8x99qs&#10;enhbjuy5J8zt8XOaBvmF+/rnuqefftLXC5uI992pDQ9o2xK8lXwPu6TFKOXFG5XmY+MivG3fsseM&#10;1281ziTrXOw5jh/wFXJjPiUrw/KfzD2EFaG0rGVYO3DHxwl+EBeM3TyOj8XawcZj2gMdhNhAzomJ&#10;43PWuuX13Zj6h/GBdZvF6CiVDo3MUbj7uHPNFW684f2uRXEbdYe9wcdoXDrEnALcQOevosyCH5Jr&#10;bChbdF81t1d40ai4ne95389ZZ631+HGZ5hheplNgwOTwBfsq9hLRrTkP91PnDXh7MfU65phlsgs9&#10;6ucy+GPAkVJtXew/+Av8Z46AHpIXb2TJx8ZGvsXfCnbY3hfIjMlEMVri6bxvehV7tJMn+eeFISGs&#10;CKVlaQerq30LboCDxOjEaSz1G/rpW9oMPf8exaPiy0Xfny4YQlwP4xZ1K0VLsf+gzcd8a45ATPjb&#10;336VZLTe9Wm+8jfz5nrb6MgC/CfYQRmPC3aDKspuJK9d7jiPHw3u+7I/0RerV6/xc6mtHs8KNosq&#10;1mNkED2ox20SnkV6EXbbbrdBeg/+X+JbhoYXetsy46zFrhZr62Lp8BixPPg48jpb2vg+650xF0xD&#10;ZojbZsytxOYDTdBrMZisI7O6HCz4QX2trpEetc3bC9DXi/VlPN3LVgFDSCdulz6uhi5mbVvpHfqw&#10;C3/x85/1NJlulXac2Ku2GN+jdYXq72uvvd7HcfR1tMoPIX+F4q+8/RObInYJXZGfojpzBm+3FB4g&#10;s9heV87p9fGq3/vXf/U4fqbwgziTLbJHeFur14eqUxevB/n8zRdNOdiDC22iOpw0Vz4a2UMWyseM&#10;nKC/xdt9bE96Oz0+DvTjSvs/7/fhJxsb8Rfgd0VeuMAEw4W4nIR+27vRfqDbJmJa8qxvSNcIpeVR&#10;5ou//Y0fp22/jBDNoTRrB8Y/8Jc2JSaV2Hhr5zzqN5k8iBvAvksdjX/T9jNj5q7de9zHP/5JP572&#10;d7a5SzXXHyF+cxDdvYr2jjK6wyrhB3iB/kHfrD5rjY/P2Iwe5OdR1deFSs1/8EufOE82Xukhy5av&#10;cj/7xS99PekHrkrmM7bHlc25J8MPk/nWxlv4h3mx7ftp41IavuIda4PorIBtXnYmU6/QtyGsCKWF&#10;vq00DXlHzyeeFBlL0w5JPOEbfLnkQ0xNpXWo1vtWJ9bkMk7Q18m6F3vGF/mNe7/t+gcGfCzmRfLN&#10;jhTGf2wQ3gdRRs5Lydhk/pvu+LFJ7YQ+cmx/p7cXLVp0hHviiSf8/JZ23bO7/N7k9At9xjwBG321&#10;eCRNvmCH4QexHtQJnRt5QX9Py1eGH4y3xK6js3NeDHWw/NPUp9w7IawIpZXLJ+3/2D/xQ1fSDnGc&#10;oR2xoxoO2fq8tOXn+V58nCJGljpxrkOleubzoqdDMVr1WqeyUnFTyDtzBz/f1+9ofUr15gil8GW6&#10;4we21U2a4xCH0j57tptVd5gb3fJmt3vnCwWfeLr5CzZGbKdmY8yTT7LkhYwTy2Y6LTzFeiDDhWJj&#10;kaWbzKCD2Fk21VhPHMKKUFqWNgh98/ef+oTfV8zHD4o2o7fYHbzgsv+tXdA1sTnY+rxQWdVOMxxn&#10;DsW6bzAeXdHqGq+3pYXul19+hZv1hlmuu63VXer1jGi+P8K8BfthlW0MBzd+MH/i6pU9FQxudL19&#10;/YU1IrIfpuAx+gT8x89he1VVm3dK5Q9fsU6WuQuxbPAROFDJ/AWakBW+ZW6Nz8H41e6l6pD2vxBW&#10;hNLS5lfqPerN3nDsIY+/0rAgJFPl0myPW9avka/pAnm2TSla7D/K42IdDPoHWE9f+zmM+i5EI2lc&#10;6JY7nt3hOrXWnfn76fInbJSfxWyYpeS6ev8pjtXbaCMfMfZT1t8/+MCDomm3W7vuAm8PuVRrc72P&#10;RvOH6tUlhc5FXeWLYZ63ST6hw/vYj6TBXbJhkxsr7IFSjpf4/wHFtyCvzBGsb6fqzpiIHsR4lHat&#10;XJJG4zvwA7s+6z+gx/g1L9pCWBFKy6u8b9/7TS9n+F+RsyTdaZ5pE/CH8cL2V2YeYxiSV13L5RPv&#10;C8o2Hwz+v3K0QcM++Ws3j7zJy+dirUfbskAxHsznvW0yhex4XSXf91jPwpwAedyocX1xX7f3b0Q+&#10;ot2KX9/qfcvrFVfOev+tHmvyrUMleIRu5tf+KG7F3+WnmiO/d2d7u3vyqR/7fdHS8JSd5fbKK69M&#10;uU0e/ICXGGfT1D30jo1R8CHYwdkv8DM8W46vK/k/hBWhtEryLPUuZ/hiE8JO4GVI2B+iv1wa7YIu&#10;g17G3DUuy3m3UTF64mXyDmtwse9Qd/QP7jYOxOmh7qQ//4ufud6+PsV5tCo2ak5hHNd4PqVjuuSx&#10;gAn4aJdoTS/jOfVF/9g0slX7EDW6czTWsy4ODKlE3vN/F/spvqCCj0q6yGrpRqzxu+KKd2idTLox&#10;ihhPZHY6+POI04av8VOmtRPG+ct+2zgLT96j2KS4XOQ11oawIpRWTIYqSaf+4AZ6Im0Uki2jvdTd&#10;vkO3QwehfRg3yD+vdklLF+VZuejAYCPx+cxN6L8QRpLG/x/4wC2ar9e5kzVvtzl8JAdTJ5OM58Se&#10;emyQjrGot9N1dnZ67EAHufLKd8p/2+j3IYp0lSmevwi/ojqjN0V1x57apX1EhoYXKB7kNdtZKZ4i&#10;xgJdlr7kStv/eb/329/8p+ch+IgzUsvpscVo4juwB7sc8ka8VJyuvHAyhBWhtDzaifqzfhCZx6Zj&#10;Y3SxNiiWbnYk7vT79ltv8fkiy7XGD2sXaLP1E3EfTKj/9+/TPoOKa1q7Zp23JVw4qDUtC/EhRLFR&#10;+Y/R4fkFdhb2B9so3X+TfvM8Iv1/k+qzWXtybJo/5IZ7ut183dE99mjOeP211/r9wlZKL4nsH1Ec&#10;iP+tbzfK3rtpiuc06ERLtBdjo2J4H3zowdfptzb+wD/gOD73bR+6xZ+FPlUxRfAPl519x1p701OL&#10;yUGpdJMteBF5Y/9T49U87yGsCKXlUSbtg90CO2OWfUCS7UX/M2agf7C21+pIOfa7lved4kPGDXww&#10;8KgfA7BzJOZorGUdF34s1P7D7O9FnBh7bXifrZ/H10j/UFlbNVbbmhrsHuxHyB4gW7BJan4yp6vF&#10;LVp0pGhhzfR+d9tt2/0+qodLL/Hx9P4b+Zyx23hdoLYYGMJa9ks6VXH/dfKH33zzh17X/hP4ob5B&#10;zrDBY6t8TPurwC+15B/KsjGP3/Az+2wRMwb/hMafJD+FnqGRC15E/wCXqiELIawIpeVRNu3z+9//&#10;zs/toClEd5o0a1Pu+N3QP9BD8IFMRTyI8Zv5YLDFQQe8abwap4uzDh579Id+X5yjZDf1MiBZxmaJ&#10;DhDt6xXWGULykjWNPUrBLS/3wosoprTHnStbwulz+93yvgHXIr/QylUneDqIBb/7LvYvrHddbc3a&#10;L6zfrdZ+ApcW7L2+7rKLjBTWxmStVx7fXaR9G9lflfXC8bbnN30C71jfPPaDh6N5p+xoJst58Hva&#10;PKzMl//wBy/ryAYxY9SPMTJZ/zTPNne+R3YPxmvyS1ufSt4LYUUorZI8S72LbRmst3WOadoi+Q5t&#10;YxiCjBLPHvm6nqx5/9P34IdhCDZz6kOdjT+T9d+nNaK33Xa7/BoN7q/F56Z3IH/RXlzVxw4vo8wz&#10;fJxaj3wtA4pd69O61jYfn07MenNzi+vu7nEfeP8H/fo+dH32OFmx4jjXJJtqs9bQsy9Jc7PWsGlf&#10;5HWyl/h9k6d4/oI/d6swsKdttlsgHS/Z/oYdhiP4BJFZ1ldgF6jlGGTYAf/YGQvEwFI3fJTwd7L+&#10;lTzje2H+Qt+Vksus/4WwIpSWNf/kd7TTpz7+MY/3rHeqpC3sXZNLs00yf2UOgw2d8kyWk2VX4zne&#10;/+Rv+2cybnAZzlndo/ted+FFl2hfjTp3AX4MyVt01WjeAk75S7qHyl4v7Bhony0caHSDQwvciHy0&#10;H/3ox3UOxLfcLzUmR3IW+cn8b+0v8KNnn3Zf/vJd7rprb3Cnn/7X2h+sVXhY7xb1dLgN+JIKNDE3&#10;8rg4UaaVXb17FO/fpbMl2Cuk0f30uec8n1lfIJM2PiNXrI0nztP6shp8UipP+JWyLSaSOT51pL7G&#10;4wfyTzqf5djuXX5cZU6N3l+qDln/C2FFKC1r/snvaKs7vxida4vemKVdkt8gp+zrjp5GeyfLrOUz&#10;e0VRD+bSRftefHHiiadorcts2Rqn0H+hOdN6zT2amnRmVF29u/zNb5V96nnxbTTmRXsKpPB/aqxk&#10;rcawsAe9ZZF0EeLJI5tqFE+Sx5wkbR5+XiYbyHHaoxX8uPuugq3e5gMFuQQLuYiJZk8ZZNhkuZY8&#10;Q1ngGGt/iT/0+yDpGT7PPH+RTOAHhBfBD4tdz5uuEFaE0vIoF92Q/rExGp5LYkGWZ3iANcq0P/Kb&#10;R12z5sE8E13YbCA25sXpQi4XLz5G+nX7RKxFWtnI8z32IV2qPQFnt7a5JUuOlU9IY578LOAebcoY&#10;yD1e99BvzoXhPMqP3/EJ+aN1hoRiL95YsIGk2h81Z93E+3Gl/5wu2wx7ud/xsU9IPiOdw86mMroY&#10;o5Ev7JXwJldevs20PESZxEUxp9+h8yXBDOpHP4T4J9QHyTS+j/bF2+blIm1dKn0vhBWhtErzLfY+&#10;bRWdZaM+k88kSXeWZ7CbuGN00Kk+N4y6wI+MafRhqP9Jmz9/0M1XXMXUxorJRtDe5teM3HDNDapr&#10;pBeDG8y94V9+l+sTsAP53LV7p1t+7Aqvg5w2P4rH8DGhkuU8ca9cXuDHJmHj2do/Bfy4/vobRUd0&#10;3gNtHx/TWe+C3OKnKMaztUhn7s0cHDyjvY13QvxTrj/4n37Dd4tdEJtctWgIYUUoLc/y2b+UMZr4&#10;0TRtUe4d2pqLtUa011TuH4WeCG3oQsX2ykZOOZfgCMUoTMRN5jwGl5Mx/j9X5yRwDkS31t88+5Pn&#10;xHORzmzzFniXdi3X/pxpuV++3bE9u9zjjz7kZssGe4T375rto7Z2HWLfOG/mQulA9dornj2f9++L&#10;bAmmU5lcch4RPINdGB6vte5BmbQx/ILOarxMPYvOf4UP5foEjGQNDXEt2HfylN94XiGsCKXFv5nM&#10;b/oHvQoZY10P4zXzPdojDa+G2o3v4Afbp40zdqkjuk6tbWKUx1gCfcX2U2a8bpCev7ifcTmKvxjR&#10;GS7+TAPxfpRWZszGbwLmyNcQxV2UeV/v4pPwur3Hql75X/t8LDrnW+9VTBv7nyXb1+TM+DrUR3E+&#10;5/0lx6zUWnrOp+McBmQ5rY2HdwttIv0hsp+UpgvbrN8HTWuVwQ3bb5l2uUj+IM6h2jQy6n4l+gw7&#10;7E5dwQ4u1sbDL1yT4e9y35qNJV6OrQX1+6cF+iDZJ2meoQ37AL6Xau5pEsKKUFq5dkn7P+2HfRm8&#10;JWbDsCPOg2naJ/4OWGvfs2cC/p1XX/3vKcEP+ML2iWe//biubHUGP1lTcrT8A1sU5+kxABzQxW98&#10;F4Yrxe6RbHH+UhQvAoZE+4EVv28oyKYfn2U3Xay91RtkX2RvMWJLrX7xO3gRb9/4f/YbXuWKxsz9&#10;OuPqYuU7S/IrmcY+7LGueL2S9fZxJNDjvzM8LXIHZzxd1haUB072ygYzV/hY59afe6Ffq0gd47TQ&#10;D8x54UWzzdVC/0AGkBfKwlcMv+JntfbM406/YYtlHGOtSFr5rPS9EFaE0irNN/S+4fsfXnrJ4yK0&#10;wXO+XydhKxrbHZ0lTD4Rlm/zMYXUwcoM1adaaY8/9qjvN/ZJok5Jfnj2mWdce0eH/C8tiptod8Pd&#10;Xf4a0jyCc+sPV8w42FL60ju93YrT7nHLBvrdKvkayl/skdGntSsD7rT5OttWOsLceYPu1zprZr90&#10;omQ97RkauEwHsXS785/JJXaoG2+8OVpT3NflbZgr5+is2xT1w1/CtVxxKEtk1z1S35dug6iNOLdz&#10;gc7ZHJbv2Ldnr353t2odrtbyy6e8cSPzl2jNkcfDgn0Ymwf+CfTFWvOJ6SHELKP/oCsUa19r50ru&#10;5IUtEBl78onHDxn8MJmFLuyMrJ2dbLsZf6OD/FzraxhPTGerNV9QXrQ/WnReL3VL9vue8XH3ljdd&#10;7vr7pF9LD2GvddbRRdcs3eu93Q/bX9FLdosmyUaTYtAa9Ju9yxqUR6mrWbp8vfbn4hvWhtTpuzVr&#10;z3X7sF+I37B7JOtqvkTo4Dd4n3yHZ48hBXvrd3XWAzYQ9jRBfptER6l6TfwHHbqgh4s6FqW/0Dac&#10;bcX5eI26NzXojDqdldOo52Zhc710q+GhRW6n1qH9XL5M9pllvkx9odf2W8f3YmON8We17oYbpudw&#10;7jpygC6EzTrUtlnS6A9wEWza8ewzhwR+WB8hY5ynB20WQ2bzjyxtZXMgk1V0Qb83mXRD00urxQ/J&#10;fOEP9o4yv7vpRsazXk61ppy1+5/73Be03/oN8g/cVLhudNdd9z73tre9Qza/0QOuzZu3uIlL/21W&#10;jNfo6Jv8/dzzLtR5bGv93sbsb/zaRdpad6b/T/dz1vnnk0453R2zbKU/i+F/P7fD8yx7hYbsH9SX&#10;MZL9XbErGR3xO7+RS/qQ97HD4jNdpjKOXb7Snbn6HF9uVJc1qg91fH19zzo7SuO+YcMmt3XrW3wb&#10;QCsXdtDXtQttoeua916rtrvB3XD9+9y1193k3vve690NOkPncY29e4XX6B/szW56FvVkH17WyZvv&#10;Bb5M9mfez1YGd3gTGyDzeHA5arswPtPGlVzIAj5AZAx7gZWbNz2huUooLa9yjQ4wHxlD14dW2o6r&#10;kjayd83GQB/Aw+iCYDpxyXnVu5J8wBD6Dvo488ZwzeiDn8dE817V1Y/50F3u0l5axL3v4xx62kv8&#10;RJwX8RpgFGWM6zl+7SmMtX7vH/lW8Y9QznghfZ/sRsw3dvOs9JD+QRszJ6Tu6IrE1xjWGz3WD3ZH&#10;Rsf1PpjE+nnopUy7qPd+xbDG68pvT884+oF0Nj1z4duB3qhuKdrJ07dTY3kU++vronrAG+Qf3aP5&#10;GGdKs3YKnbWS/p3Mu6Z/kAe+Y/Rw4hjgYeMTa8fJ3KET2yn4gW14MnUu9W0IK0JppfKo5D/DD+Ks&#10;kPHvfYczTKP+NL6stN2QH76xPti18wXfbuQPj1uZldRzMu9SnsUDMbbRlyZrEf+Oe1n8u0//vXvn&#10;O97lRrQnT7lrk8ZexuCL33ipO1tnsKz2Y3qka9i4zdlO8eucs9e5U6RrLF9+nD/bwOsD0gk45+BY&#10;3c8440zpf0/59rdxOdT2+AFJhwZ+Wz/xbHTFv0Pet916u/SPFSpnhVvqr5W6o4+sUvnHueUrjj+g&#10;rtT7LOklnhb9Pls6CDoV99VnnuPOWbPeXbYJnSxFW23aIt3szdJHbnJP/uhHkVyCKx5Dovkkv+EP&#10;5rrVlK8QH4Ehf3z5ZT++IOPIAvVBj84LQ1jTgW7FGIYvIVSPPNJCWBFKy6Ms5MpkmbWqYCOxqMX4&#10;MM6TpX4bD9MH/AZPiC1hHbSdM5VH/dPkAX3opeyVD2+wJ5nRZ7yxU/rkquNOcm3a46ah/jBd2DBK&#10;X9gBsFdw4ZPkzCRixVm/xp1nYrUPvBpcm/Yk72prc72Kde3V/sw97VxtrrtVcWOyLyDP6Am0r9Uv&#10;3tZgBRjo21U6BPjBb941uuLv8/uzn/msr0drc7NibFV2e4ePtSXeNv77wLo2+vpAj9ECXf6CRtmE&#10;sAuVayf+50w62ovfraL/05/6O+kjkWxSZ2jCJgB+MHcwW0Sa/s3jHXgEvRv+wF9Im8XbNNmeWZ6j&#10;8wC2+zU1edS5WB4hrAilFfu+0nTDD77Db8VaGHiRPg3xb5q2o+15jzysH+gf4grhD/PlUma8/Err&#10;nuZ9y587+jGX2Wd8HaWnPqbzWpGThT2dbq1iFC5SfES5643eH9mjtWlRzBlxFbZW97X1aQf6SP26&#10;XvbkwCfsfZzyC8vfGcW89jn28GhuaVb99muOoPm1+iHZ3vQJskbMH/MYbMO8Y/hh7/t2VzoY/ta3&#10;XinZrdceh32+XIs5mfDLTvhmD6yvxbFE75lfFv+01gfreqO+K9dO/H+h2ojYsTOIX5f99mzpLrt3&#10;SUct0EfdwUHmDtgv0/Rrnu/AG+x/g26ATcnGPdrQeNnaNeud/iJ/bMR51j2ZVwgrQmnJ77I+03Ym&#10;Y9iHwV/DjbzazvKDP9BxmONTX8qt9tpso407uhVjDPxhNhrsjNizmjU2L+kXBtRw/VwUmwWGKFZC&#10;MSbL+ok/neU+85nPy/6hfSYC+AEmU3/4kP04Q30EbewthI3i+V/+0p19znofl7ZB8WMetyzWzTCs&#10;6nfiTrrcxcIvcOwSxcftEX5E9pXIDklsDvoHewRan2Xl6Uq+Q9dhr03mFoxtzF2yYkSp77B3w/vV&#10;Po8ihBWhtEraqNy7zP94B/miDSejexRrQ3iauBnaEIyHR+yqtr5q9NGH8An2ORtjqC8yiC4Ofmwi&#10;7rTq8kQ8GnGa0Zhu4/tJigWpV3zVeedf5OtHHUPtSbr9F8IP8JrL9L8lS5drzqQ9oT1+QF9M/6kB&#10;rdF+yl3SV/r8PGbz5jdpjmZjezT3IjaC2DHGE+uvcnybx//w4A6tkQO70E1trAu1+2TS8E/A+6zl&#10;ML7Po/7JPEJYEUpLfpf1OU6LnbmBvTPPdozzeNyXC59Qfta6p/nO8ufOmgr6kLkUcxjqhf4xLv9t&#10;c1OzO9LHrzMfieS72nfW27LfGPoHGHK+9v0g5qRddonnnv1xwb9zoJ+QOhsuGE4k+dr+x7/zw0ce&#10;9HuBHN4TlTEV+0FH5190ufOEH9hA8HPvHWN+C3ZE+IF/nzMNasETcb6hPPYohC/QfWi7ZHvm8UwZ&#10;6L7xsqvxO4QVobQ8yjbZsrzQrZijgce0WVzuJ9OG9ImNh+gglIHvkXKpQ7IeVp887nF+fPHF33o+&#10;IY7Y6EEvwtcxd+58N9jVqnlE7fADzMD+wZ5BrBlhnGaf8ibZXq+++r1uj9bQWj3tbu1I38R1KPuf&#10;u193J5rwJePXQWZPVYwrsfhbvA5SW/2D+HX2g2b9LfbX6xVTs2+ceRhxcvv8nuTohczH4IVq66Nx&#10;vnrppd97fsSuTtvlOW7G+4RxExsLZcOT8Trk+TuEFaG0vMqMy5ed+Yivk3bMCz9oR/Liwo8FDt+j&#10;fSANO6qJH5a33T95x0cddh7DNOoErccsPdZ1SHY5J7vaekex/Nkr+USdHcFalZ7ePvfAI4rFAQc8&#10;X++ZsDkSP/KrX2mcLGCI53n99jEsikcZk+2VbzZt3Ky86kVXk87hHIjOgfC22xrT6G3M3e6U+Zqf&#10;Sb/61Kf/Qdjx2hoH9hJmTKm2bQCZMT4wvmdNJWUTUx6X98n8Np4yHqN/mJvB81ZuXvKbzCeEFaG0&#10;5HeTfaZdwWJ8JMR55anHkRdtavN21qEw33zlj3/0Y021xxvjGdqIGEfwC/6gPn5PS43z69af5+fm&#10;Gwo+imIyXs10bIyXST9YMtDnmhubXE9Pr3v3u65xzz77rNsDZhBPLTwZV319DJjSjI5f/8d/6Gy3&#10;MR/f9Y9f+KI79bQztG8Qser17nTtfR6tYZOew3piv6a4NnM0316sw5UfZqnmh/hxH3roYd/2UQza&#10;uI85gh+YU9JH8f6aLF/Hv4/ny28u9sbF5oeMWyz9ZLDDviU/43vmRehXxPpRZjX5PYQVobR4u+Tx&#10;G1zkYh7IHgzFdGNrn0ruYAcX39BH7EuLL4ZYUOpe7TO3DfPpu+hMqW3e72k04g8iDqpJ+w6vH9T6&#10;2xrZP15XjuYx7LMzukAYorW4+DrrGw5zbbJ9nnLqGe7t73i3fM0/8L4jbDboi/uFzazV/cY/f929&#10;WfHlQ1pfwhreOtmDZ2tdzZnSZ0b9nCU6AyI6U7K2+gf+XuZqw1pT16x1MfAA8sUFTzAuowOwVwt9&#10;lAc/h/KADyydchgv4XdsE9SFuLVK+LrYu0YXPA+GPPPjp/x4iY5jcmb1yPsewopQWl7lJvsL/y3z&#10;NJOtYm1USTrtafoMbco+PvRb/IyYvOgJ5QONdrEuirLZXxEaoPNXGtNv+eBtktcGrYMt+DinAEMY&#10;o7cKP7CnctbtifLH9Cq2rFn1Qu/n7Abir2666WbVW7KntsTfuOSYFW7WYaxtI16t3p+TsKinx60b&#10;HHBbFun8b+09ClYhw35vjprTpjPARU+3aFm48HA/lsATNqbAb6wvoI/iMh7qyzzTaDt4gTHFZL0S&#10;vi72bpw28kXvoBzm7nnWP5RXCCtCaaFvs6SZXNm36PfEiWJXpB3+P3vn/edFdf3/+x98P7IsyyIL&#10;LB2kCIJYQayoGAvECooGpOQT/MTEAlhRYdm1t9hTLIkmFmwRkURFQ5qoxF6ApcSaRPNIVGLJ9zzP&#10;vM/u7Jv73n2XmXdh54d5zLzve+bOnXvOfd3T7rmZ+ijfcutbbO28h7jXYvAM38k3sicAso/qaPKN&#10;6n8Rm8GaNb9XOyPr7zV3BzESok8EeT2KM18HNlTBD5mvW+wwYjsgJ/xhgmsTZQ+YnrLGf/yEiS34&#10;fveddwvudXd1tTWy72Y/d4zIT6fKWFU9ReSY72B7QCcDl6QcDEFP2k72iRFTwI7posOwLnfKVFlf&#10;nMJtxhayH2MLvoMP4pTtoT/vsJgj02WJ/7G25MvXvuds/DBPor8QA00bjBdtzEV59mGFryzKd4br&#10;Mt0CXyd96uuXKMqIncQOgQ5j9Ay3I65r+BNfITZUvgP5g3hx1oWNGjVGbI2y/5z4QRQ7mK+xFYhe&#10;Uczx1uZdMu6DfGHsPyd72ffp5UaM3FXaHuiES5c0iL+m1o0ZKHJGKdvZLv5IjpOhfSXWv1rW4TTp&#10;vGT+c2Jp4QPsmEbzOMeXvYOYMd5LnnfjZ5vb7He+Z5VpRW8JfHub9R3YT3l3+nxt7Ynq7MMKX1lU&#10;70uv57VXX1FdFHrSD/n2YUfPEWOC/IHumd6GuH+bjMXcF5azZmEDqekmc7jsuyR7WOpczZxdwnEZ&#10;xJBL3kGNE+nrRkiM/YCBAxU/iE9dsPA8jX0bPxBZiTYXR1Zqg3HtYofYXQT3dhHbx87i33pl3bpA&#10;V0jJt7auMbymPS551OrlTC5j1uqxZwnzJEd4XUNH/Nve/+CQYQdjCPssPFeMedKHFb6yuMZYsA6x&#10;SW1a7fVRof9hD7G4Hfq7GHMOfcZ71jz/nNqzsIUofqgc0uxWrFjhqrtIHmXJI8b4QJ/Ap1rseM3w&#10;2NQ2SF5l1T1EFhkr+hX2UeQP8GOWxGLVyO+jwDxpcznix/Gif2GXOWzykWprgvZmQyVHMfok8kAx&#10;eIB3gB/EWuPzURu0YAdtikreph7TXdjDne9jPubdcetnPqzwlcWFH/St7R1XKEa09zx9TBw7Mgi0&#10;jOt7fPUiY0FT5h7oTNzEVvF/bpR4zZGjdnOsU2XP+Jkjemu8VUnlD2wVYBg2kWG9ND8ivhX8t6wf&#10;+Y7kMWJNCXtVBjlXy0/+GD+oXnOfLVvaqLEpxhf0Pb585uewbOCjWRRlhk+csbnguwU3bKxzjgpD&#10;kDuQZ2zdCzhl3xinHOLDCl9ZFP2ZqQ7W2qMbMkcYreM4M46hI7Yl7JpGX+vnTO0rtByeYe6x9Wc2&#10;H5JD5zTRYYiR3LW+nztN5v3A91i6Mak+k5ReMnNXiaEYKGNR7KVgB/4X8pDgd5kqsgl2UbXddKBP&#10;hOWbqK9ni/50mmAvca4zOUb2dv0lZ0Af2beXOBb8RoxReIuzrYk2mhoP2O+oz/AWvjf8xdjQ4+Br&#10;6oSnwBDbjwJfMd9i2BHXd/qwwlcWdb9afXwXcYCM6Shj8tLpRP/CP+SLg5boFMh2cfWrfZ/REPwA&#10;J2mH0ZtY6rUv/Nn17t1HYkG6uoNTMd/FXJO73XhWXBBs4Cy4sI/gR1VVtaxFXKnzJmtru4ld8mSJ&#10;u5+tskrpsC5ou9hhRF5iXc+poreMFHtvlfieTxdc3izYga3a8Jp+Z/5gPYHJ9dA/Th4gZhFbJvxN&#10;HEE6X0bxm+9DluEgJ4btocZ3gR9xfp8PK3xl4fEQ9TX5QpE/wutEoujXcB30Lf2MfMdYxh9CvzI/&#10;xNm/Vjd7gIFdhh+0p3mD5KQQTPuBxGkhg+wsuTimyZoNy+ux3dguxjyfWmuvtlzBkImyRwzrWYhZ&#10;IH6TvKXgx2z2WxH8YC+IkrQz1RfYX5CByEcwQfK2d+1ao2uLXhY/28YNkttR2gwf0N+W65xvCdPd&#10;aBQ1X1Mf/h50ZuJNaEOYJ6O6Zl5E9iCXMDhlto84v8v6yocVvjK7P+oz38hBTA9+zqj61FcP/cw6&#10;Ouwt2CPwj9v7o/6ucH28w3IVWLsUz1I+gbffeUv3TGHv2F379dO1X6Uak+AG70aPIv8Qey90k9j2&#10;p1ZK7mTpP/IMEhM+W/yj2GxUBikGrmV6R0qPmiKyBznoyaty1VXXquyxSewB2G2gO7gdxGU2OnJz&#10;QZ+49VbeQSwG8i5zo80dxgNRne37eAc+Hmz08FwxvtGHFb6y8HiI+ppvxa/GmCYfFP1B30bZ39Rp&#10;R5C7OcitwrdYX0f9XVY39ZPTGdmZmMB0voHe+BOnTD3e1cjcvq/M+TMlLmu2rEFjjJYyHmTCoGAN&#10;K3tM0W5yu4MfamOlbUX23yJvBNgW+Kv4zV7dfXrWul49e7vrrr9+u/41XjI7BPvSx0FrX53MieAH&#10;a/bS6Z7vb+Njex7ZgzL2NCCeO05+Tv9GH1b4ytKfi+q3fSv2YnQYbOOMJaN5VDIf/QseYUcjnw80&#10;xZfH+60NUX2Trx5iilkriK3H6G7n5g3B2tA3Xn/V1db2COyT2FIlFnw2tswi5hhKl3vKEz9ERtpF&#10;DpGP8CGP7l8v+8x0c7Nmz9mub+ljaA8fEasI3eEvH42iLvv8889bcmiS95F2GM0LPVOXHfA0vj2+&#10;jfm3GPxsfeXDCl+Z3R/12cYvOUrRK7BNEGsDpqqML2O+0L4OP0+fgyPoo9gjWEtXjP5m/kG+Qs4K&#10;t4drvhNbKnsyLF58qcjh1W5g755uOnq9YEeQTyvQK9LHd9y/yw0/LIea2l+kfw4SWa2qy05utzF7&#10;uJckVgybaXr/QnP6ONirqbFo+dZZH8ecCN2tDelty/e38TG8zLeR7wPdhbnRbMNRj1VffT6s8JX5&#10;no2qDD2UAxnfYkTxZZtclm8fpz+neJSyOWCPQJ/gGwzDovqe9Hqgp63h89mIwQ70dIsRn/9/Z4rN&#10;odbVsw5W7AwzRY+JGycy1V9u+EE7T5dY3dMk/mSPAX017wDx9WtWPyf5BDa79exxIzgcPhhrHORw&#10;ZTzbupB0OkX9m3hjsIMc4fByuE2FXht+UC+yBz4eZPdiYgf95cMKX1nUfRuuz76ZGHNkfHAUWzl9&#10;VGg/h5+nPsMQ7FrQFj95nPKHYRMyJvIldmLa5Ps2eCGw+Wx2DbLOBL8u+UmH9amTXJ74OYJjttod&#10;TB4RH4jaSKJaoybvwK8idWJLxafBfgpPrXxK243/hXxlxKqon1nsl5mwJ/dyvqH1wH4brOWVNpHT&#10;g5h6kTkOHiLr+mT9Hjkg99l7gu79yF5cQZ9uL69Cc+YjsBv5lnX7Yf6L6tr4yM6st4Xm7KWqfBeR&#10;LG28Y7IH/lrGDHsphf1KUX1Xe/X4sMJX1l4dhf4HftDnfLutUcTPajH9YQyI6hofHvgBXY3ehX6H&#10;73mrG1kW3mWOMLpnwhH4g+O+e+9z+x9wsObWqJV1MgdKbo0gn0awv7yOKRlXWhaRHxV/bLDmHtsC&#10;OXhkjpdx+tKLL4pusNFNP/k0jT89UeLXsetin8kdJ/zPoKehr2nOVInpmKO/iecP8rayLpj1ON1r&#10;ZB8YiWE77oTp7i2ZZ6Ah/cWZI51HrL+ROfFv+ugURxkxRsi45L9Nb1Mhv+07+a5gr+VG5eWPP/qw&#10;KD6lcF/5sMJXFn4mjmuwg3pZD4OMSXyGjxcK6ffws/jIoS16hb07ju+yOv/xj78rjZmPwEXkEehv&#10;c0m4bZRvkX0fyUf8zhuvyr5zsuZEYkBrZRyPqO/pZgwfoL5VcnwG/tZAVohiHBM3hgxAvazFH9tP&#10;ZCCJV7f9MtkDj9zxx8j6frNFRPFe6iC/85yRkk9JMIS6Z47s62ZrLpE+Eu86JNiDW3w/xJbe9/N7&#10;JB4lsBvhV6Y/M/EL5c2iS2Avp/8N0402cZzhKdZLMEex7on3h2lcyDX8YbIqMc3IHsTlF+O70vvK&#10;hxW+svTnovrNN9PXnC3W9t577mrRYQrp5/aeJRYA/LBYgLj7/p+ffprSza5s4XWwI8CKtvq6zS/h&#10;/88661zXV2LciTMb1LuXmzREcv6kch+qjE8sqIy5gg/qScWFnS7z/e4D+rXgB+vnyJuGPnOE6C+B&#10;LIS8EMF7pQ7i0YIcKMG3zBb54wTByj0lv2IP9pSTvEYTJh7gVj65ym2QPOpg2lbNqS74IPixVexI&#10;YLOP7vxP/C82+qh411eP8RFn4tXBK/w9YVr62pdLmdaV+k7y2jDfIt8WYx5M/2YfVvjK0p+L6jf9&#10;bH1udeKfB7exp+bSr7nca3IfeUHsvXGd+T50NPDq8mVL1UYOn4MT8EJ6u8EUlU9S9+j8KbrDyxLL&#10;eOKJ010PyQlGbpzuMo5HiHwwWWQBzdsT1ThW+UPi2ERHYY+8AQMGSA5U9l9qdmefvUBkoRq3/2Aw&#10;I2rfkMg9Etd6osS+7Ctxa4N71epaX9brjRo9RvahvEn7ayM+FrE3s88ufUW79Cx4gs0yvT/5zf/4&#10;24gDjovO1BvmZ3J94Ofj3T46+9qZTRnfy33INWAHe2GZDdFsAXF+Y7huH1b4ysLPxH1NH9xx681q&#10;K6Cfwn0fvs6mrzPdQz34epZLLsx0/Irj+3gH+MFBDKzyfAofMrUxXG7fjR1w7Qtr3Xfn/a8bPXqs&#10;xltWy5645APbrX8fd7hgyXTJA2a2VovvCuKumONTuoHM7ba/E3YHXfMrtgzyB3APssDMEYPdwF51&#10;bvgIyR8k/cVatGUNjRqfMk4wRfUXtWkig6QOjX9P2WcUX8AY8pERl8875T6e0YN1b6Inyfu/Lcd+&#10;A/uJbNVT1s5WK0Z1797D7bf/Qe62W2/X3AHWB+F+yeUanRg/Zxz0DddpYxmfCLI0c4HqGymZIZc2&#10;t3cv+SiwqcET4fcX89qHFb6yYrXJ5mryGDBXY0elDwvlnXQ6UB8YxfwQp9wXno/4HvAjHIPK3JTe&#10;tky/4UEO+IV72A9p9TPPuPnzz5T4h3GyLkVkfLErssd2z9paN0rsBAcNHSQ5mkU+EWzQOJKQv6Ql&#10;/4+UYTfF5mH2Br0eNkjW5NS4iTKGwTuOu++5V+0fdXW1kqcHDAE3ArwI4lQEn1K23CAPQd8gHh87&#10;q7aBeNG+bvKQvrI2b5AbUt/H1UoeaWwq5BWpk7Wzk484yl1zzfVi+3lD3hnoduxfWygPxI0fhhvQ&#10;nDz7+BKxTyBrmryZiba5lMMzzEFgB/vIFGts+t7jwwpfme/ZuMrof2whxOMS/9ssMim8w7hh/OTS&#10;15nupZ5Hlz+o8h+2zTi/xeoGO6A5+hnfQxuyxQ/uhyeZyxjHms9YMMR+s7btmdWr3YIFi9zUKd92&#10;e+yxp+yNjc1A8hyL3YB9WfpJPMmw+t4SN9FPfDkDVe85Rmwox4p8cIKcT5LjRDnI7XHk0H66dp/n&#10;TjnlNGmv2Ba2bnWvvvKK+mNqpN79xY96tOg4+JZPEuzRQ7DoOJEzjhIdZJLsX72P6CG7iY41VGw2&#10;HHWCa9Wi/3Sr7q7r8Pr37+/Gj99P3nGqu+mW29z6d95RvaSZ/hGdie/kvdDR9l/IRNOOyuPGD/gW&#10;WnNe83yQM4o15dAYmhWKf/Z98M1D9/9SfUnoa8ZfpTj7sMJXVqy2mSxAXCi2CTCcdQuME/o/KhpA&#10;C9ujHD99XN9nPEX9YCH+Q9Zk8h258hTjx56BhxjTNqa2yu93ZR3e+o3BHjPsF/0H2Xth1szTXf8B&#10;A2W8giO1elR3FRmlS5Xr0qWL+mK7i28Y/3A168/kPjCjpqZK7vl/mmf96iuv0XFs9obRkvOoWuyZ&#10;VRKbUpvypRI/jk+1q6zfQQYifzvXtTW1gje16oMmDxH7KbDXzPh9J7jrrrtBseJdGQObZX84dKTN&#10;WzbpN2yVuWLj+sAmiv2RfVxt/OR7jhs/TP6A1ugW6C+sywA/4N9s54qOvg8eYB4il0nce5F0NC58&#10;WOEr66ieqP4PjzfkDcab5c2IkgaMX/IJYR/HTmu4xTnchii/i7VNfA8+H8NBeKEjfuF/u4/n7KDM&#10;5GKuGXPkJFJbp+KTyCdSzrh/6IHl7tprrnE//MFZ7oQTprkDDpqkNslBgwa7uro6tTfgV+kqY7/n&#10;znVul2HD3b4yxllv+6asywGraAfvXnJZgzvwkMPdGNGZAmwCM+SQ58GO+r71btDgoW7vfSa4wycf&#10;5U6fPc+df/5FetwiMsbatWtbvoE6oTO+FDCRGFyTrfQ7U+8M8HJ7W3M2fWfzf9z4Ybzy6SefqG2N&#10;uC7aZ7jB92TTXt899ix1PfPbVcq3zH/Gt/buYp99WOErK2a7DFMZx0Hu4StkzL3Qosf4+jefMmhC&#10;TjnsqNDc5g/eGyVdDI+w3eFXAj9or/FEPm3P5xl4T3O/p+x5NmaJMwFz+L1F8oypX1Svm9Wfodik&#10;eCQ2kNR4CO5BtwjGO3YKOwIMkzWQIkvYs/m0N8pnaAf4gc0rTl6G1kGezCBXsuGeYUg+3wSf2PPo&#10;8uyJiiz72WefxTLX5dI/PqzwleVSZ6H32tjlTJ5BZDX83Pi4oxpz1IM8QxwZMgg0t/gT2m9tKPRb&#10;ws+TGwr8WCf7hdu4Mr7Ih6/yfQYM4Ptb2yD2PbMxpOyVYEHzxsAvan3F+6z/eZYDWQG8aHsENk/G&#10;Dv9zX75tjeI5+1Z0CuJ/wzSJ8hr+Ic6HeC5bpwB97cj3W3ge3KAfkZXhV+bTOHg01/7wYYWvLNd6&#10;873f5mqTBajH+gz6M+bzpUP4OeNp5H/0SGQQdGzez7utHfl+h+85fPXQnphXG4d2DrcttmvBDBtL&#10;+v06romlCA5ynPI/WMA1+9Xzn/UVugXXHHqfYlCgd1h5+D/svXZfbN+EnNTBAY3BsuXiq487fp15&#10;CDu5xazb99u5o7Zm+p/nWcNN3chR8KfxaClxxIcVvjLfeIijzNcXyGnMG9AeLKEvM/VztuVgusmW&#10;5ORgXCMf/O1vH7eRQ6L4RqO1+V+IXQu/P9s2F3of72zbd0E/BmM/0NO5DmSG4DfP8F57zvCBcq0v&#10;9R//22HtpH/tupRnm3PQhZFlo6Cp1QG/Gn3BKeJbmY+CPm0rd1kf5toXPBfIyUH8EM/zfnu3taUU&#10;Zx9W+MpK0TbrI86sUUYuhP7kODBfbr40sXHAGfs+tk3kA+gUNV2Mv2g7B757xh7jy8ZnrjyV3N+x&#10;3GF9ZH1t+OGbo/Lhb5v/7Qxu4C9EBgFL8uVNa7edaT92OuY4YuLDsnk+7Y7yGR9W+MqifGeudUEf&#10;9q2FPoy/Fb9+rIU2+dKIsQsGGY1WPP6o2ibAEfgrDhohP4FR6C8JbmQ//o1G+Z6hMzJIsB6lyZET&#10;PVce9N0PnxgWYdOCvsjJ5KHwyR/5tp/5jbkTbILfDa98bSp2mQ8rfGXFblf4fdAI2xRjGt0PPaA5&#10;ZU/KlyY8By0Yx9AaPAGfsG+iZxpfhNtRyDVth79o+9tvvdnm3YV8Q/JsxzgEnaGvzRH42gqhZfhZ&#10;xjK581rmNpmH4Cnjqyjo8/zqZ1X2wP5XTthBP/iwwlcW7rNiXjOO6TMbz9idkUHoU/iCsZ8PjWz+&#10;h694nt/MG8S84h/D5hLld8KzYAf4ZO+k/Rz5tD95pmPcsD6yPiYeEQxHHomCtsaX8CS0xT9vea/g&#10;S+Mxa0e+5yCHe5P60hP8+G9etDN9gtxzjEFyOtk4zJcu4ecMh8AleGz107/Vdhp+wW+F0I52g3u0&#10;Pfze5Dp7HMi3rww/yD0LDZBdo8IPZA/WUDHnwI/Gk4XODdhP+F74ktgF9CLDqyjaHlUdPlnDVxbV&#10;+/Ktx/qOM2uwiQOK2kZl9EIWxZ/LuhjeZ9jFdb7tx5dpPp58x0HyXH5Yg+0DWYC1KOAH9qd86Rh+&#10;jrkFPy11rlq5oo3NI1/8MLmF5+0an47t2Ryez8JtKdW1Dyt8ZaVqn41ZzhzEprLHJ3ZIxpPNLVGM&#10;LeYOaMZeC4x1ZBDTm6wdufaDPYcNDLmGuSSKtiZ1ZI8lYAcYYn56bJ250tF3P/OK2T1M7iiULoYZ&#10;1EOdyErIrPgMrA3Gk/a7lGcfVvjKStVGxh/9FZYB8I8xvrFDFkovex5accBrrK9HXkSftVj6QmjG&#10;N2BbYZ66W3Jx2zuTc/YYUEhfIaeCH+TbgW+wj0fBz8wJjG1kA/gmX5kj/duoizKwBFkJviF+gTFg&#10;81EU7Y+iDh9W+MqieFdUdZi9ytaRpPd/Pr+N/hYzyV4h8AbyqdEtX9rxnPEutrB82pc8UxjWMLaZ&#10;b0yuNF7MhaZ2r51t7RTxgMw9UeAHddg8Bs3BOvDD1ojbu639pT77sMJXVup2ht/PXI69m3WI9HdU&#10;Y8t4gDNyI7Eg6J7/+te/8p6voDeH5VvFhxhVe5N6ssMUeIS5nFwZjEVbbw1dspUrbdzambXbxGSQ&#10;kzkcR1QoTayt1MM1OjTzGPIT77b3h8dDKa99WOErK2Ub099Njnb6lLyP8EWhNLPnkUGQdU1+ZH00&#10;dhZySBVCO541Hz42PHtfcs5u/BfaT4xDs6EyH5CzC9zIdSwaDxCLhG6LjgsmRcmDtBX+Yw7ju+Fx&#10;eN1iVmhDtpiXPm7i+O3DCl9ZHO/Ot076D9oRTxMV7aCbyh0pWz20o4x4NeYZZNRC2ms2G2LXCx0P&#10;yfO54Q50NHrit2NtbK74YeOW58yPw7xi9do7oqCNzV/UCY/jCzTsypcH43rOhxW+srjen0+90BDd&#10;Aj4wP3mhdEMGBT9MFgWXoGOw7/VSlXvz3bcM+0mwhjiIASq0rcnzueEH/QWfQF/mA2SHfPmO57CB&#10;E0tObjHGOLyCfBMVXYz3qJsc7uT6CONXPm2P6xkfVvjK4np/PvWCH+R2IlbUsDoq2qXXg3yKrIMe&#10;Q05L6EibaUO2becZ9GTqiLu96e1PfgdYQ78zLoO9hdrO50bT9ujJPRysrwQ7iCGIo29NjlF9SzAP&#10;/zB2WmujndtrazH/82GFr6yYberoXfQhe5miV8ATcdCROqkbeeS5Z59Ruz26M7YXo2E2GGK+G/YH&#10;Y95L8CN32SEK+kJLxiZxy9hQWY9pfGb0tN+ZzsSm47+B7/CrRtEuXx3ISrSVMzxH/s5MbSp1uQ8r&#10;fGWlbmf4/dDb7NJx2hOQd6Fj84b1jrXf2LEsjidbnqPd3Iu+xTzi45ekLF5MgYZGS/YDgY7MC0ab&#10;bGjJXGFrN5dLHqI45wFwg/oDf1FjC8+Fx0C5XPuwwldWLu01mq/98590LuAc1/iD72zegv+IHSWn&#10;NvSF57LhO7uHOY84o7jamtSbGYMYizbeLec+MYJgAvJhR7wNDV/9yzqVW9CZw/v3RN3vtNP4DhmH&#10;OAVscMb3xk8dtblY//uwwldWrPZk+55AlpS+Fd0iahpmqo8YHnAAeRLeg5bZ0JN8E8x5jz38UNHa&#10;mukbOmM5cwBxgZzXSew6NGTe6Yh2hi3YzW1dtsm7jPE4+5L6iY+Eb15+cW0LxmWjM2c7hqK4z4cV&#10;vrIo3hVlHdAOXbSY8VjMDcF6h0bNc5gNLbnnow8/UNspuk+cPJfU7ZdBbKwjQzL+mxqWtKxtMoxI&#10;502bG1hfy35fYA42cGRPcIgjjv422YO6LWch+fasfdnwnN1bjLMPK3xlxWhLLu8gJhTZDntYHHT0&#10;1Qn/2b5iT614IivZl2/Cz4fvBZtNlH4+XxuTsu0xBNxv3hDEedH/YTsWsWCZ5BDGKv/hswE/GMfW&#10;v6YP2e+oztRr+ES+Et7Lbxsbmdpq/xf77MMKX1mx25XN+7BNE18TFe06qoe5AfpiBwW7kInD81cm&#10;2gYyc7Buq6N3JP9vP/4L7ROTP+yMLgLfwGPQzEc3K0f20Dh1sZkyf1h8UFz4QRvtQN9Fxg77/LIZ&#10;F8W8x4cVvrJitimbd0FfdAkO8Nl4g7P95gyd7b8o+JC6wAPwgxgA5i+bpzK1G5sd97/2yl8ia0uh&#10;39KZnodmHDbm4Rl86fAQ+G/4AS2hoWEHdOU+4j9Ze6f8JPpLIX2XDT+q/0Xeg50N+SM8R2XisVKV&#10;+7DCV1aq9mV6LzRmD2H8IeytqPwhfc4cEfBJ4D9HXm3esL4gmhu/UC/18S58KfBVWI/JROdw7Cm8&#10;YfUl5+hlDV+fQi/4gjMYAO4jUxhehPGfa3gO/mKdN7FicdjYFCNSukrQriD3zCb23JF9duBZw7lM&#10;Y6Acyn1Y4Ssrh7ZaG2x+QD9El0UvVbuC8Ifyioxx+GSD7CGt+8ZHNGap2+xnvBP8gA9Zm0+brH3h&#10;M+VgDbqW8a+Px5OyeLEEfqD/4RPwHFxgb0PjJTtDO+aBTz75h8aNk5cQ2vB8VDRi/z/aYXuBstcf&#10;+//pO1IYx17i8MwDv7zPy1dhHivltQ8rfGWlbGP6u22OCHIjNLqnnlyR2kNtgzvvvAvc6afPdXf+&#10;9GfuvS0bJQbnHTmiWZsA/xmGgCPgwpJLLtb1ELQpk/xB3BE5F+EPcg9ExYdJPdljjtEOOYR4CuzZ&#10;lMFbJn+EMQT7CPninnjsEY3jMt2n0D5X+Vh4B/wg/xD1EidGvc3Cp7QJfqUMnfeJxx5N8ENolI4B&#10;hf6G5sgA2JegdVPTVW6XXUboPvBVVTvpfvJDhg5zxx0/XfznL0U2ZsEADuhsMUW0AX6A/3zfRX7d&#10;n/34dpVdeK5QHkyezx43rK/CeiM5ocAGy8kTphk0JG6L/8Nx6lHRDZnD+Oe++x5w06af6kaMHOXq&#10;evV2I3cd7WbPnudeeullR34R2mCxY+E2ltO1T9bwlZVTm3We+Pob9/7777vLFl/sxo3d3VV3rXY7&#10;96xzhxxyqPv2t4914/fdz+28c08p7+YGDxri7rrzHqUbciL7zW+VveGNt/I9w5PIQMwTrOdD/gDX&#10;bD6jz4gfQMfCVmNzT77vS54rnGb0IbgPTcgJCI1M7oBu0JA1/mAHsQHgRr6yB3oJ+jN4wfxCPZua&#10;N7k1gl977r2vzHHd9Ojbt78bM2as6927Xvi1xvUUPj51xmnKV6++ss47J5XLePRhha+sXNpLO4zO&#10;X365ze255z6uqkuVGzBwsFu04FyNDbqyqVH4o0nwu8FNnTrV1faodbW1tW7pkqVuM/bViOwh8CJ8&#10;gYwLPxIvSNuMJ+HFjz/6UHVtckVENYclOFIYjoDj+DXIJWkyo2H+H3+/Rud9bJfoENAsX7phC1Ve&#10;kzrw+8Irjz7yqBswYIDgRFeRl0e6U06e4a4S3rn6ikbl3cmTv+W6dOniqqur3UknTpd9iP6d4EfE&#10;+ovNF998/aU76OBJrnv37m7ChImuadlSd7XotcwdjGf0CmTA733vDMH23oojN990U0rfLFyP0LlJ&#10;sAg9lhwN2NrC6zrBEWLHkE+IHYNvk7Ff2NiPqv/IyYDMGJ4XiUmEhvhssVMF8kIB801K7gCHqOvR&#10;hx+WeW6Q6yrYcdKJJ6p9FByDT7HHGM/OmzPbVXfr6nYft1cLvoXbWU7XPlnDV1ZObQY/bL648MJL&#10;BMu7uD59+uo4hQZXCmYYLRi70OesH/zA1dXVqU6z9LKGvGXSdP41TEAW5j34c8nZbrpMsM4vWG+h&#10;eCN8lF5H8rv4mII9CruUzUXQi/UFjGNijNE5oAtnxr79zoVW0BsdZlNzsO5m2PCRrntNNzd9+inu&#10;SsEN5jt4xjAk4NUmd+hhR4j80dV9d9584XO/Ta1cxqMPK3xl5dJea4dhyLPPrna1In90E3nvgkUL&#10;FDsCmkCX8NHkjjzyaNe1qqurqalxd995p8qTW7c0u4/FjweNc+ENu5e1mMimHMxd+NzCMgi4gq8Q&#10;Wy/8hDxizybn4uMGfa56xPIHlT9MF2a/UsYvsan5YIWPlps34U/Z4t59620345QZInd0cXvuNUF1&#10;lVbcQM8OZGVw5MqmBtdT5rlu3ardddfe6L6JWHa38RPV2YcVvrKo3hdFPYYdzBnbvvjCjR41RmhT&#10;LXbT46T/W/G8DX6IXMK6qaHio6npVuNG77a7xuggP8BPW4WvfDzQXhnzUjDHBPtvE49yucwprHui&#10;bcQnUQZfouNQV5S2l/balvyXmZ7QDXs2dCEGBJ4kvzV6L/t28H8U/ae8ITS//robxb9SJzJyvbvg&#10;/EUyxzW0zG1gB+1AXkb2mTt7js5x6ORbRHYxe1oU4yaOOnxY4SuL49351gl+hOPGn3jsMbFt9HAj&#10;xQ92leAH9GiDHSKHXHtVgPMXnLdIba3dxPY9bfoMsaeKjVxonK8/xvaLgd/AIWz3yCDIG7QT2yrz&#10;iuFMVLwZBX931jqgAboKPII8CLZDI+we0DC6ftnsrrziKtVF4LeZ35mptlLeBVYE8gb4Edg+sKFO&#10;nHiAqxIZeb+JB7pvvhZ/3lfZ58nMdzwV8pwPK3xlhbwj6mfN9sEcT91ff/VfN2G//dWmvejcc7z4&#10;cXnDUqVZk5xVDhk6XGTE7u6nP/6p2jXzkT/ABPgNGQb9Bbl3neaXwP+zzLFfM2sYLPbUMCY6/sw8&#10;xybvaL9vsGczfrGBMN9gTwXzm7F1RuSfe+nFF93AQYNFv65xBxxwcIovmxQv4EHwy+x0tGXZkktd&#10;3779xP9S5S65ZJngh6ytSvCjjY07Ciwx/cXqwsZ0edMVYtfo5iZPPkLpAr4jGwb0gWbIJMHB9Q/P&#10;/L74dEVmGTHSrX+HtVHBfqOMO+YnsCHbMQi/gR08wzU+QJNHsX1g5zeezKXebN+f3Nc+VqT3D7Ti&#10;ICYYewf0ATu4D9rzX/oz2fzmWXy2PM+cMmXqcYGuPHqsa7jsEvUNBnJxIB+jL8GLyisig3zntO+o&#10;37Ze4kE+/OB90YElt0AqHsB4vdzOPlnDV1ZO7U7wI7fxkg3vd6Z7EvyILh7chxW+snLCj/S2fCkY&#10;jR0M+xT+dZM7wHY7treHXOEmTTpU/Gk1GjO8WdY8WqygnfMdU8gY6NTYTln7Yvt8I4NEq18nOJIP&#10;jcAPaMS6WovzyKee9GeI89Ay8bn84p57JVaghxsiejI8iBza6mdp9Qti78fmzn977rmv2k5vvfkW&#10;sZumdPPUOZ3ny+W3Dyt8ZeXSXl87vlIbyNfuwAMPFptGN/fDH5yp9DIbVTp2BHpno6x9u0jjQer7&#10;9hN+alZbGuObNQotvCDX6XzS0W/kWPCM+7DT8dueyVc2tueTc+70SO8zww/8ZOQkLITW4bo3bUrl&#10;dxC6H/Gto0Wf7q5+28alSwRDAn16e14M5jh0mNoeO7shQ3ZxX335hej8QV4jwxEf35dDmQ8rfGXl&#10;0NZMbfhi2zaNs7ns0qViu65yRxxxpOqUYLoP86EhcwLnCRP2V9/v+bJuFx8M8xK6K+unw7yR7TXP&#10;ghfgELEhxJNpfSkcSuwfhY//bGmR6T6jATIi9lNycWe6N5fywIYu61uef17WYvV0/QcMFv4LZItM&#10;fGjl3533XeHdajdt2ikqe5R73IeNRR9W+Mrs/rI8f/OV2Jq+cX/76H1XX48OM0SxAdpkkkGMbsgg&#10;dXW9ZE3CIPfi2j+3YIjxWC78w73oKMxv8BJ7jbCWM9+6cn13cn922GT0ANfJTxhVDt1NG4PcDEcd&#10;NVXtprq2ReaoK0S2uErmq8CW36q72DyGDrOX6C7EQK5auVJjPvAxqp8xiT+N3P+SjmFqTxU/1zff&#10;/Ncdf/w00SGrxJY9U/y0SyVOuC29TH40WkK7Y46ZovF+Q3cZLhjyoo7/QvQM+JO4As3XHdJdkvGd&#10;3fiOu58MP3gP1+gx2EJYl0tZtrQPZM1U3h95bpP48J58YoWsx6pxw8WvF/j7/PxnfMg9l1x8kcZE&#10;77HHXu5L4eF0/i7n3z5Zw1dWzt9A28DqrwRDVq18UnC8m649gjbBGoNAV2mlWVuaXr5sievXf4Cu&#10;4501a25Kd2m1WeTCz+zV8fRvVmlOIea2MK/mUk9yb7xYA0aYnklf479lrQHxH9nSzJ7HXhboLhvd&#10;t46colgwa+bMdtZStOU/1lWQf+KyS5e4ryXmsNzHWrh9PqzwlYWfKbdri7EhJhV/+bhxe4sfvZs7&#10;Y/731G6VaR4w3wyyyIknnKS277pevdxLggGbNua3VvaFP/3RrXv5JbV/ZMuHCVbEixXp/cu4R89U&#10;+UHO/OYamxXX6fdn/C2yCzhkNvcbr7tW5NgaN2z4rqo/Z5qvwuXo1wMl90Tv3n1aYunLbXy11x4f&#10;VvjK2qujHP5D9rC4kPPPu1Bi+HYS+9VA1TmDNTFtMV/9ZroOIfCtEctT16teYsq6u0WLLmiJ98rI&#10;OzLnZPoPXmQ+Aj+4znRfUp65D+Psm0w4YXvUZau/gEHY2bn/jTfecDuL/4Q8M8cee7zqLuSfCWOF&#10;73r+/DPUZ3jggYfImowg/1Q5jKds2+DDCl9ZtvWV4j7Wy6O/8G4wZM1zz7sa0UFZwzh3zhz15W5P&#10;O1v3GOg2yCD/d8Z8iTWudXvvM17Gfuv6bXDAjo742mQOm8fsd0fPJf8XD0ugiWGE0dXoZeds6EEd&#10;mzfhb9vqFi28QGym3cTvsrPEBSxW/57Z6NvyXqsdlbiPww6brHIv8dPGw6UYQ/m+04cVvrJ86y/V&#10;c+PH7yc6TJXbffc9QnHDbWWQMF3Nnrr33uN1vdPNN93aogej3+aiF2fDe8k9xcOLuPra1kzBG7vt&#10;NlbliEMknxWxYgE/+exulAXlDZcudv37D5S4x77us3//S+c+5r9SjZl83uvDCl9ZPnWX8pk7br9D&#10;bSA1NbXuvIXndihHMlewhmrBOWcrH0yU9U5bZH5BD8llToqLV5N6yw9v0E3hjRuuv0FjiOrq+rgL&#10;z1+Y4jUfdgTzVxB7tEzsdHvJc93crFlzRPZo3ceqlOMm13f7sMJXlmu9pbyfeFTyghx26GSVKfff&#10;/8AO8YP5wtbcjRu3h/pw7r9f9tYV+ZT5BRkksWWU3xguPa5uduP3m6j8Mm/uPOWzy8XuQbxpWL4N&#10;X4MfrOXfaacurofYTIg7snwxlabD+LDCV1ZKPMj13fjAsKe+t3WTGyTrp3tIbpCGyy5N88WkzQ+C&#10;H9hUOc743vfUdsL6SXK1f/Th+wl2tGMvLv0YLg2uYTt54IGHNOZ5L8njHdjpW+0bpqeEscNiGtF3&#10;yJF8+OHfEl4N7HeVprswLn1Y4SvLdQyX+n7D8RPEL4tda4bkw4eOzA3Q1WcbRwZRDJF78KeRJ3vr&#10;Fvx8wZqYRP4ozTgtV3xi3cz8+WdqvOI0yWkaxonM103uUokXI78YeZQbljaqvYPYA2SQSsMQH1b4&#10;ykqNB7m837CD81133iWyRI3u82B545gDzF66PZ0FW8T+ta/sH0NMz0MPPKg+Onx+5crHSbtKg2v4&#10;X8aKDQMdBEzYnpd89vomd9JJ09XuwZqJjz54T/0ulYYbNh59WOErs/sr4QwtOMCPbds+d7uNGadr&#10;Ic+X/MronmBHYMNqS1+TTfh/ruiyyC2nnHKq+vo+/OCDBD8SHaYNDyx/aLnaPfbZZ0KW2MFa/SVu&#10;l2EjRP7YWWLdnxDZA107WKuPDFIJ4yvcRh9W+MrCz5T7NbgBfvxH8jdx3bjscs1teIDYUQO5I832&#10;IXoNekvgrw/iQtgDol7yiYyQdQzYTte/G+Q/Tub60sz15djv06afJvjR1c2bOzdr/MDGyt4MRx99&#10;rOxNKHYPsSHYeKpEGcSHFb4y+8ZKOUML4spo7z8//dQNHryL5Pqolf0uLxKsAD+2x5B0+XPCeNb2&#10;d5EcHitl3glinMuRj5M2xY9pFnPWLDrLJo0ba5Z9UQdLjPMAxY5g7mkrzzJXEQvCnmaB3Nvoxqjd&#10;tJvw1JM6tyF/VMqY8rXThxW+Mt+z5V6GXIj8QTunnXSyYAF7Ak5TOUPXVGdYm2s4wn4Q5FRdfPGS&#10;wIcrfJOM1fjHajn2MbZzMGSL5BYj5uOxRx/X9Zbsexj4VK7ILIOIztwo+ZKXLblM7R7s8/7ll/9J&#10;2UoT/ChnHAE/OB5ZLrqq2FHH7j5O4zwCPabtfGG4YWfymOFjO/nk09QGgh5TjrydtKl4dEH2YN3L&#10;BRcs1vhE1rqYnGF8Ez6bvY3YouOPO0H0aOLF5la0zBEe7z5Zw1cWfqYSrtFdTJ9UXUZsU8SmV1V1&#10;cSdPP9lrPw3TnWv4gvW45GX4q+Qmg3eSsVq8sVpWfS20xwfHPoV/3brZTTr0cMWPxRddmFnuEB0Z&#10;uxp5aNgje+CgIRqL9Pprr+s6fZONK2E8ZWqjDyt8ZZmer5RycgvdfpvEtMu+xN1ljdy5Z5+lNhCf&#10;H8Zw5Aqh/Vjx3fSQNZVvvSF7g+S5x2VZjYNEhsprDmCtC3IHa+W2yL6U5OoeJn4U4xXfGd7StTBi&#10;i581c5bGmU2ZcpzGNgYxjq36daWMo/R2+rDCV5b+XKX9RgbZ9sXnbtToMbq+ZcL4QG+Fvqzdx9/i&#10;44FJhxyqNvZlDU3qh0mwoHPKH8R6YPcgX/v9v/yV+m0PlDVSQRyi3xaP/IqtHv4iHxn7Lj/7zGrV&#10;p002rrRxlN5eH1b4ytKfq7Tf0At5saGhUeIFq3XvqIsuWKQ6SoAbfh6YdtI0jSObJGtpEv2lc2IH&#10;cwb2U/CD9ZQLF56va+5nzDhVbae2/+R284/gxzWyDuY4sZGQz+qQQw5THoQPDT/sXGnjydrrwwpf&#10;md1fqWdoxpqYv//9b65vv4E6Fxx99DEqc1jcWDr9saurv178Nv0lVtByRiQySOfDEfW9CI5wnjFj&#10;pvhRuroF557rAj+ef+5BNlkia/SrulTr/Q0iw1qMuuGGxY5V6rjyYYWvrFK/z9ptvlww5Jqrr1a/&#10;7PDh5LjFB5OJ/svcogXnqvzBOustmxP7aWfFTmQPZJBNsp7ykEmH6/oVje0QG4cv9gO+AlumTj1W&#10;7B5dXe8+vXX+gR9N/jAMMR6txLMPK3xllfht4TYbzUwOOVT0ka5dq9wcyU8G/YnxSZc/wBVs5/hw&#10;mW9+s2pVXra3zjrmdqTvJs8YsR+cx44dJ/tc9/fySyuWBGs0uY+cmDNnznFflflecuHxku21Dyt8&#10;ZdnWV873gR2GIysef1zjQUaMGB2ygaTHgwgPyBzCOjrmkAQ/Op/e0oKB+O5FdyGfA3vEjRjpz5GM&#10;zZRYD84nnHCi6sn19f10b4hK11V8Y9uHFb4y37OVVGZ6p8kf7G0+cf+DFEPmzpmdwf8S4Af7+iB/&#10;rErkj04rf+G/ZX+XjRvedXU960QG2X07+ePqK4KYIfy2V19OvMdgyYfayz3wq1/pvgBff9261qWS&#10;xk57bfVhha+svToq4T90TQ5b48i6pUeWP6xrbJFH/TaQIO4Y+SPBj04sewh2kMtys8gf5KPrKrLo&#10;bruN2Q4/2Ksy8MU0uukSo2jr5LZ9IeuwvsF+X3nrazsa2z6s8JV1VE+l/f+10vMrN1z26mDP7Usl&#10;jpD8p+ivduCXWXDOOcIHVYofb735Rqedf1vkeMZSJzyIHVMZZMPbbjD6i8RzYD/FZkYedXSWa64k&#10;3pSjQeIOyafc3d111z2KHTuCrdQ3xn1Y4SvzPVvJZdATX8wZ87+vvpijjjrGsU86eiuyCDIo1/Pm&#10;flf4oKvyjPnwOuP46ezfDO11n6jmdwU7Rsna2yGBzCo8YjzDmXj1C85bqHHqQ4YOd5/8/eMdJtbD&#10;N959WOEr8z1byWXEs38jexMjl5KrsK5Xb7fsssViB2nQucT8b+Rgxv4xe/a8JP6jE8odhpsafyoy&#10;yGZZA3PgQcQkV7ull16Swo5Wuzv4MWnSoeqzW3zxJaovk+cjkT92LNtP4IcJ4gDnzZsvMka1GzR4&#10;qMggl7botcgj7M/RX/bGfe3VVzT+0PgpOXcuPQb9xdbwn7foQsWPKVO+reviAttZIK8uueRizWc4&#10;ZOgwyTvzT/X32b5yOyKG+GQNX1klyxqZ2v612LPwy3zw3l91D1LiQQ4/fHIgl4oOc7jsDcaahZkz&#10;T9e4ZdZeJrjRuXDD6I38EegwG92LL7zg6uv7yrwySGSQxSl+wffS4A6V2DLihRacs7Bljb75/jLx&#10;YSWX+7DCV1bJ39he2wM7yFfuzO//UNdEsf/gD8/8vmNtVI3kCxk9enf3zluvuw3r1wt2iP29E8vw&#10;nfnbsZ3qHkCyrzprcM8+e4H6V8hlir2D9ZcLzzlLctzVqbz6948/cLave3v8V+n/+bDCV1bp3+lr&#10;P9ixbds2nSfeev11kTvrZE+fnQQ3usv5f+Socvffd39q3nlX7O+J/NFZMYS4U/QX1s/pOqjm9W7U&#10;qGAtd8+6npLfbrrbdeRojTOcNu1ksXeIv3YHjPdIH0c+rPCVpT+3I/w2uRIcId/QwgWLdF1DdXWN&#10;+vevu/b6YM2D8E3zhvWCI51Tdu+smBH+brWfyhqYZpE/0GM2C0+sWrnK7T5ub83rgc6y0//sJPJH&#10;T/fEr3+ttnls9DvCOGnvG3xY4Strr45K/c90F874YojvOW/RQnf+okXu7bffUn0FmQPcgG9YQxXm&#10;qeS6c+EpeouuoRPs2CprYTaJDML5tlt/rHuljhkz1h0nOQrhI+zzlToucmm3Dyt8ZbnUWan3giNv&#10;v/Wmxn4sf/D+FrxgvtH4IeIPE/tH0gcpHrCYkHdkriFHEHGHb77+Wgt2wE+VOhaybbcPK3xl2dZX&#10;qfehy1jbf3H3nWpTJ94UvQXMsPXbCX50LpmjPXqbT+aBX96rc85zzzytPGS4YWfjqx3x7MMKX9mO&#10;+O3hb4LWtjaGeYVYwp/f9TPFDbCDsvZ4Kfmv8+EKfEFcELGG995zl2KHzUOJ/rLj237S8YPfRv+7&#10;f/YTlUffeO3VFtkjsX90PozoaF546P5fiu5ypXtd+OQ//9nWEmfaGWQPxotP1vCVhcfajnzNvIEc&#10;8vKLa1WHeeyR5eqvM1m1I35K/t8xMcb8L5yxoULnDevfdTfdcJ277eYfKXakj4vOgCE+rPCVpffN&#10;jvjbZE5kEGiPDMKaXGQQtaEm/pdOq8NBfw6wA1s6OPLIQw+onosOsyOOh2y+yYcVvrJs6qrke2yu&#10;CGMI/MIabewgiVyxY8oV2dLVdFc7B/Jpo7vv53e32M0qmf/zbbsPK3xl+dZfSc+Z7YM2gyMcTz35&#10;hNpBwBCTW7PlueS+HQtzdP2+yB2cb/nRDe76a65yH334QRufSyXxexRt9WGFryyKd5V7HSaD0E67&#10;/vzzz92Prr9WbSHYykyPAUtMpgUnwtcJblQ+bhCnDh2RN8K2r43iz//VvT9Xfvj9755XPjFeKXf+&#10;jqN9PqzwlcXx7nKv0+wgL/zpjyqDkGNq3csvKV99/NGHLb5d+Ax+S+STyseNdOw3uynlxBZiK4UP&#10;OMMf5vM3vbfceTrq9vmwwlcW9XsroT6bV1gb8+SvH1cMQW7FV4cMi8zBGd5K5I8dCzugJ3Q1OZNY&#10;wp/ecZvGmWJTp9zmF/jEeKUS+DrKNvqwwlcW5Tsrpa4wfzC/vPqXdco/6DPEGsJfyLeGHYn8seNg&#10;iOks0Pa3T61siU9/7OGH1OYRljcS/GgbK5bgR9Af8AUYAt7BL/wGI26+8XqNObzrpz92f/rD71vk&#10;D7PNgyvJUdl9AG5A29tvuUnlzh/fdovGexgf2NmwI4wnlTI/RtFOH1b4yqJ4145QB3zy73//2z21&#10;4gm1oRHnfutNN7pnn/5Ni6xrMi8YwjzG2eRh+53gS3HxxWRE+h/6WAwH5diuOPMfa+GQMYI5oknl&#10;DmRNs3PsCDwc5Tf4sMJXFuU7K7ku5hswhAOee+KxRzTGjByY2NTw94Z5Fd40/qQcvk2wo7jYYX0O&#10;Ppi+GcZ2rrGL41ch7z60xMaxauUKyWH6aYvsWcl8G1fbfVjhK4vr/ZVUr+kydra2f/LJP3S+wi4P&#10;77GWG3nEeJQ4Z67h4+YNwXpefidHcfoAzKDvwXGlQyqOGNs3tnDWWyNHBnvXNrlfP/pwi85qNGbe&#10;sOvk3Grv8GGFryzps1abiOm8xlPgybZtX7g/rPmdyiDwIfx443XXqCxsPl/kD+PhBDuKgx30M3KH&#10;yn6CG+gu5Oh4+jer3E9uv7Vlnx/kjkeXPyj7U65v8aWYrGn0TsZAK25YX/iwwldm93f2s2GGndP7&#10;AyzB14ceg78PmYQY+Dtuvdk9LDmJ1jy/WvkXfjZ5mvmRazvMDmt8n2BNK9bQb9Yfhgnh33Ztfclv&#10;ZIzfPbfasRYSzGC9PQd+NHJ3rP3zn9SmlU5Lfmeis+/ezljmwwpfWWfsm3y+GX4z+whn5jv8f9hG&#10;0G1MRsbmev99v9D/4F90HB0P6Dip2BLGwPvvvaflNi46+9lw1/qK/qVPDIPpL2ygz/x2lcM/hh0D&#10;rLD9BFkvu+LxRxXjP/vsM9VJ0vXRfOjeWZ/xYYWvrLP2T67fDX4YPxqWUAdY8rePP3LrXnqxRTbB&#10;ThLMhdjsGlVeAWvAEhsPjA/GSmfHjfD3G4ZgSwJj+Y8zfpI7f3JHS6wG+iMYTfkr6152xAyn0zOR&#10;L7bXSdL7qL3fPqzwlbVXR/JfKw3AiXB/wJ92UA62cA9lrK1hDPzx92vcg7+6L7XOptFdd/WVKmuj&#10;B5nvJjx+OvM1dlDTTT54/z29Xv30bzVOA5sT+iJrHd9843XtZ/yu1v+coYH1f5hOyXUrD+fSFz6s&#10;8JXlUmdnvxeMgFd9fGpxBHamr7iPAzxhPXjgx2lU2dviSjozZqR/u60ZwNYZ5KptFBvTUpXf3hXd&#10;xfrU+JC+tf422ZD/wtd2b3LODUd8WOErS/o1t37Npb/gb+6Hn+Fz8tH8f/bOZ0VqIAjjeQLx4DOL&#10;7DyDiAqeRPCkqHhSRHHxsIsXd2fZu3tZX8D8OvtBO5RJetl0Z4ZvoOlMJSTp+vOlqrrSwQ8fahGO&#10;Omofv3/7muKYKJZRvnXXzg7hP+MlhmOMilvAiDynRJxCfpT3lORjlPDfx95etyOsiGjm8e15PMW7&#10;XOdz34X4hfkB8iT45mAKuVbFNNiV4v9DwIpoDDle4m+8f/smrbsBT1h3FNzAbxOP5Wfov/vl9Bbe&#10;RlgR0SyHZeWwy198EuHKn+vrlHPFZpgLJsb5eXqSnsnyPXI7i+xwn2mM8cvnT6lGD5+MuXDeTVFt&#10;KLwDd+XH7fLS/5fT3QgrIpplsJwMct4qbwJNcTs02tXV77TmJvPANOYnyb3ih+wzPozd+0k/b0LN&#10;hurxGK/iFOUvhBvC25yf3l5WbyOsiGiWw7JymOKvbANbIX9I3nDIs25SXMPaAqobwR55ZhPbqB+z&#10;0Vb7dG/4Tmxz/7pnanmJ1xgjPgfvouCHTfHJ++vqaYQVEc1yqSuXXX6DG2AIz17t+3F8nHIB+CKb&#10;Rw871knDDsmPkCvQe2P815xFK6yIrpuwop+P5T6VG6Unx0E9DLV2NGo3hJ8au/u2+ij+R1gR0XS8&#10;+zZyw37kr7Mtn52aNN43B0N4TvNNAXx+cET5Vfo15kfADxrYAr6dn/1K78ASq4AffIP4ssdBdI4x&#10;G0Pa6N6YzUdYEdHGzuF9y8tVtpNjh3wSemyQuqkhN3KUtpkHhq7ne+QDtKSBHfhG1Nvic1A3R46Y&#10;dapVKyqcVG9dW17XSngcYUVEKzmnj717Gct+chzJ+QydRh6E+ZmhdmTTvX71stuen6XnOz5JwpOb&#10;vqZPgn+hGArc4Nr4RcP3H6njH+ZVmLPWXIrGpHGKB/rv/u71rJSnEVZEtNLz+vj6ssXeVP8ATqiW&#10;Vd/Qk/2yryZ2cC3FKmynXOnFNtWLEquwRiDvJf8PN6xL9XVpLs8jrIhoc8/n49rIWs9qYQg9siD3&#10;SEzw7MnjfzBDudVa8Qu4Iezgmh8/vEs+EutwcJ9gB9incUCzv9FGl0psOMKKiFZyTh/bRu7CDPEf&#10;m4TGd3yJD5ivwQ/g+S97roEfXIv5IBrbXJOac3Atn0/ivo0ZbXRHOlPaR1gR0UrP6+Pr6oGwA/uj&#10;8V+2yHwM+RDiBOUe1NfAjxSv3OQ/2OZ75OAZ6/koZkFfuGc1jcF6VFePSvkdYUVEKz2vj28vd2EI&#10;z3jmNsg1gCVgBnZcAzt0LeIlxUys38P8LPMuuZ4I73Kat9vr0ZgMIqyIaGPn8L51yhj8UD6VtcV5&#10;d4bvTqguRLHE0jiSxy9c+8XzpwnPdG/cp3VonTo0JZcIKyLa1Hm8f33yVyxAT56SWnBwRPkPxTDY&#10;95INfLq82KbG+oK8N8u6YPI3iGGsP+vTnzkyibACmpt5YB2wDszRgTk442P28/lguVlu1gHrgHXA&#10;OmAdsA5YB6wDh6oD97que9A3fvf7xvZfAAAA//8DAFBLAwQUAAYACAAAACEApAMqpeEAAAAKAQAA&#10;DwAAAGRycy9kb3ducmV2LnhtbEyPTUvDQBCG74L/YRnBW7v5sEZiJqUU9VQEW0G8bbPTJDS7G7Lb&#10;JP33jic9DvPwvs9brGfTiZEG3zqLEC8jEGQrp1tbI3weXhdPIHxQVqvOWUK4kod1eXtTqFy7yX7Q&#10;uA+14BDrc4XQhNDnUvqqIaP80vVk+Xdyg1GBz6GWelATh5tOJlH0KI1qLTc0qqdtQ9V5fzEIb5Oa&#10;Nmn8Mu7Op+31+7B6/9rFhHh/N2+eQQSawx8Mv/qsDiU7Hd3Fai86hEUcpYwiJFkCgoEky3jcEWGV&#10;PiQgy0L+n1D+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931ev&#10;TQQAAAsNAAAOAAAAAAAAAAAAAAAAADwCAABkcnMvZTJvRG9jLnhtbFBLAQItABQABgAIAAAAIQDj&#10;p8k86usAALifBwAUAAAAAAAAAAAAAAAAALUGAABkcnMvbWVkaWEvaW1hZ2UxLmVtZlBLAQItABQA&#10;BgAIAAAAIQCkAyql4QAAAAoBAAAPAAAAAAAAAAAAAAAAANHyAABkcnMvZG93bnJldi54bWxQSwEC&#10;LQAUAAYACAAAACEAjiIJQroAAAAhAQAAGQAAAAAAAAAAAAAAAADf8wAAZHJzL19yZWxzL2Uyb0Rv&#10;Yy54bWwucmVsc1BLBQYAAAAABgAGAHwBAADQ9AAAAAA=&#10;">
                      <v:group id="그룹 3870" o:spid="_x0000_s1310"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8WFxAAAAN0AAAAPAAAAZHJzL2Rvd25yZXYueG1sRE9Na8JA&#10;EL0X/A/LFLzVTZTWkLoGkSoepKARSm9DdkxCsrMhu03iv+8eCj0+3vcmm0wrBupdbVlBvIhAEBdW&#10;11wquOWHlwSE88gaW8uk4EEOsu3saYOptiNfaLj6UoQQdikqqLzvUildUZFBt7AdceDutjfoA+xL&#10;qXscQ7hp5TKK3qTBmkNDhR3tKyqa649RcBxx3K3ij+Hc3PeP7/z18+sck1Lz52n3DsLT5P/Ff+6T&#10;VrBK1mF/eBOegNz+AgAA//8DAFBLAQItABQABgAIAAAAIQDb4fbL7gAAAIUBAAATAAAAAAAAAAAA&#10;AAAAAAAAAABbQ29udGVudF9UeXBlc10ueG1sUEsBAi0AFAAGAAgAAAAhAFr0LFu/AAAAFQEAAAsA&#10;AAAAAAAAAAAAAAAAHwEAAF9yZWxzLy5yZWxzUEsBAi0AFAAGAAgAAAAhAJAzxYXEAAAA3QAAAA8A&#10;AAAAAAAAAAAAAAAABwIAAGRycy9kb3ducmV2LnhtbFBLBQYAAAAAAwADALcAAAD4AgAAAAA=&#10;">
                        <v:shape id="그림 3871" o:spid="_x0000_s1311"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MgxwAAAN0AAAAPAAAAZHJzL2Rvd25yZXYueG1sRI9Ba8JA&#10;FITvgv9heYVeRDdpsWrqKtJS6MGDteL5kX1mY7JvY3bV9N+7QsHjMDPfMPNlZ2txodaXjhWkowQE&#10;ce50yYWC3e/XcArCB2SNtWNS8Ecelot+b46Zdlf+ocs2FCJC2GeowITQZFL63JBFP3INcfQOrrUY&#10;omwLqVu8Rrit5UuSvEmLJccFgw19GMqr7dkqqFbrtDLVho+D/Xh2PJnBJv88K/X81K3eQQTqwiP8&#10;3/7WCl6nkxTub+ITkIsbAAAA//8DAFBLAQItABQABgAIAAAAIQDb4fbL7gAAAIUBAAATAAAAAAAA&#10;AAAAAAAAAAAAAABbQ29udGVudF9UeXBlc10ueG1sUEsBAi0AFAAGAAgAAAAhAFr0LFu/AAAAFQEA&#10;AAsAAAAAAAAAAAAAAAAAHwEAAF9yZWxzLy5yZWxzUEsBAi0AFAAGAAgAAAAhAANp8yDHAAAA3QAA&#10;AA8AAAAAAAAAAAAAAAAABwIAAGRycy9kb3ducmV2LnhtbFBLBQYAAAAAAwADALcAAAD7AgAAAAA=&#10;">
                          <v:imagedata r:id="rId41" o:title=""/>
                        </v:shape>
                        <v:shape id="Text Box 3874" o:spid="_x0000_s1312"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EOyAAAAN0AAAAPAAAAZHJzL2Rvd25yZXYueG1sRI9BawIx&#10;FITvQv9DeIVepGZbFyurUUQq2F6kWy/eHpvnZtvNy5Jkdfvvm0LB4zAz3zDL9WBbcSEfGscKniYZ&#10;COLK6YZrBcfP3eMcRIjIGlvHpOCHAqxXd6MlFtpd+YMuZaxFgnAoUIGJsSukDJUhi2HiOuLknZ23&#10;GJP0tdQerwluW/mcZTNpseG0YLCjraHqu+ytgkN+Ophxf3593+RT/3bst7OvulTq4X7YLEBEGuIt&#10;/N/eawXT+UsOf2/SE5CrXwAAAP//AwBQSwECLQAUAAYACAAAACEA2+H2y+4AAACFAQAAEwAAAAAA&#10;AAAAAAAAAAAAAAAAW0NvbnRlbnRfVHlwZXNdLnhtbFBLAQItABQABgAIAAAAIQBa9CxbvwAAABUB&#10;AAALAAAAAAAAAAAAAAAAAB8BAABfcmVscy8ucmVsc1BLAQItABQABgAIAAAAIQB74eEOyAAAAN0A&#10;AAAPAAAAAAAAAAAAAAAAAAcCAABkcnMvZG93bnJldi54bWxQSwUGAAAAAAMAAwC3AAAA/AIAAAAA&#10;" stroked="f">
                          <v:textbox style="mso-fit-shape-to-text:t" inset="0,0,0,0">
                            <w:txbxContent>
                              <w:p w14:paraId="65A97F48"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v:textbox>
                        </v:shape>
                      </v:group>
                      <v:shape id="Text Box 3881" o:spid="_x0000_s1313" type="#_x0000_t202" style="position:absolute;left:5207;top:22415;width:12333;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cCIxgAAAN0AAAAPAAAAZHJzL2Rvd25yZXYueG1sRI9BawIx&#10;FITvBf9DeEIvRbNroYatUVSQ2kMPrv6A183rZuvmZdlE3f77plDwOMzMN8xiNbhWXKkPjWcN+TQD&#10;QVx503Ct4XTcTRSIEJENtp5Jww8FWC1HDwssjL/xga5lrEWCcChQg42xK6QMlSWHYeo74uR9+d5h&#10;TLKvpenxluCulbMse5EOG04LFjvaWqrO5cVpUCps5xQ+ffv9Vu6f3mmTHz6s1o/jYf0KItIQ7+H/&#10;9t5oeFYqh7836QnI5S8AAAD//wMAUEsBAi0AFAAGAAgAAAAhANvh9svuAAAAhQEAABMAAAAAAAAA&#10;AAAAAAAAAAAAAFtDb250ZW50X1R5cGVzXS54bWxQSwECLQAUAAYACAAAACEAWvQsW78AAAAVAQAA&#10;CwAAAAAAAAAAAAAAAAAfAQAAX3JlbHMvLnJlbHNQSwECLQAUAAYACAAAACEAwrHAiMYAAADdAAAA&#10;DwAAAAAAAAAAAAAAAAAHAgAAZHJzL2Rvd25yZXYueG1sUEsFBgAAAAADAAMAtwAAAPoCAAAAAA==&#10;" fillcolor="white [3212]" stroked="f" strokeweight=".5pt">
                        <v:textbox inset="0,0,0,0">
                          <w:txbxContent>
                            <w:p w14:paraId="2C1207F4"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4AC7F7F4" w14:textId="77777777" w:rsidR="006D7011" w:rsidRDefault="006D7011" w:rsidP="00094D21">
                              <w:pPr>
                                <w:rPr>
                                  <w:rFonts w:asciiTheme="majorBidi" w:hAnsiTheme="majorBidi" w:cstheme="majorBidi"/>
                                  <w:b/>
                                  <w:bCs/>
                                  <w:sz w:val="18"/>
                                  <w:szCs w:val="18"/>
                                  <w:lang w:val="pl-PL"/>
                                </w:rPr>
                              </w:pPr>
                            </w:p>
                            <w:p w14:paraId="74801D16" w14:textId="77777777" w:rsidR="006D7011" w:rsidRDefault="006D7011" w:rsidP="00094D21">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v:textbox>
                      </v:shape>
                      <w10:wrap type="square"/>
                    </v:group>
                  </w:pict>
                </mc:Fallback>
              </mc:AlternateContent>
            </w:r>
          </w:p>
          <w:p w14:paraId="738D53CD" w14:textId="77777777" w:rsidR="00094D21" w:rsidRPr="008F328C" w:rsidRDefault="00094D21" w:rsidP="008A03B2">
            <w:pPr>
              <w:pStyle w:val="a3"/>
              <w:rPr>
                <w:lang w:val="pl-PL"/>
              </w:rPr>
            </w:pPr>
          </w:p>
          <w:p w14:paraId="0FD4C9E0" w14:textId="77777777" w:rsidR="00094D21" w:rsidRPr="008F328C" w:rsidRDefault="00094D21" w:rsidP="008E70FE">
            <w:pPr>
              <w:pStyle w:val="a3"/>
              <w:numPr>
                <w:ilvl w:val="0"/>
                <w:numId w:val="129"/>
              </w:numPr>
              <w:rPr>
                <w:b/>
                <w:lang w:val="pl-PL"/>
              </w:rPr>
            </w:pPr>
            <w:r w:rsidRPr="008F328C">
              <w:rPr>
                <w:rFonts w:eastAsia="Times New Roman"/>
                <w:b/>
                <w:bCs/>
                <w:lang w:val="pl-PL"/>
              </w:rPr>
              <w:t>Wybrać odpowiednie miejsce wstrzyknięcia</w:t>
            </w:r>
          </w:p>
          <w:p w14:paraId="71514727" w14:textId="77777777" w:rsidR="00094D21" w:rsidRPr="008F328C" w:rsidRDefault="00094D21" w:rsidP="008A03B2">
            <w:pPr>
              <w:pStyle w:val="a3"/>
              <w:rPr>
                <w:lang w:val="pl-PL"/>
              </w:rPr>
            </w:pPr>
          </w:p>
          <w:p w14:paraId="56238686" w14:textId="77777777" w:rsidR="00094D21" w:rsidRPr="008F328C" w:rsidRDefault="00094D21" w:rsidP="008A03B2">
            <w:pPr>
              <w:pStyle w:val="a3"/>
              <w:ind w:left="3217" w:hanging="180"/>
              <w:rPr>
                <w:lang w:val="pl-PL"/>
              </w:rPr>
            </w:pPr>
            <w:r w:rsidRPr="008F328C">
              <w:rPr>
                <w:rFonts w:eastAsia="Times New Roman"/>
                <w:b/>
                <w:bCs/>
                <w:lang w:val="pl-PL"/>
              </w:rPr>
              <w:t>a.</w:t>
            </w:r>
            <w:r w:rsidRPr="008F328C">
              <w:rPr>
                <w:rFonts w:eastAsia="Times New Roman"/>
                <w:lang w:val="pl-PL"/>
              </w:rPr>
              <w:t xml:space="preserve"> Wstrzyknięcie można wykonać w:</w:t>
            </w:r>
          </w:p>
          <w:p w14:paraId="2BEC9720" w14:textId="77777777" w:rsidR="00094D21" w:rsidRPr="008F328C" w:rsidRDefault="00094D21" w:rsidP="008A03B2">
            <w:pPr>
              <w:pStyle w:val="a3"/>
              <w:ind w:left="3397"/>
              <w:rPr>
                <w:lang w:val="pl-PL"/>
              </w:rPr>
            </w:pPr>
            <w:r w:rsidRPr="008F328C">
              <w:rPr>
                <w:rFonts w:eastAsia="Times New Roman"/>
                <w:lang w:val="pl-PL"/>
              </w:rPr>
              <w:t xml:space="preserve">- przednią powierzchnię ud </w:t>
            </w:r>
          </w:p>
          <w:p w14:paraId="2E6E754D" w14:textId="77777777" w:rsidR="00094D21" w:rsidRPr="008F328C" w:rsidRDefault="00094D21" w:rsidP="008A03B2">
            <w:pPr>
              <w:pStyle w:val="a3"/>
              <w:ind w:left="3397"/>
              <w:rPr>
                <w:lang w:val="pl-PL"/>
              </w:rPr>
            </w:pPr>
            <w:r w:rsidRPr="008F328C">
              <w:rPr>
                <w:rFonts w:eastAsia="Times New Roman"/>
                <w:lang w:val="pl-PL"/>
              </w:rPr>
              <w:t xml:space="preserve">- brzuch w odległości co najmniej 5 cm od pępka. </w:t>
            </w:r>
          </w:p>
          <w:p w14:paraId="5E96DA2C" w14:textId="77777777" w:rsidR="00094D21" w:rsidRPr="008F328C" w:rsidRDefault="00094D21" w:rsidP="008A03B2">
            <w:pPr>
              <w:pStyle w:val="a3"/>
              <w:ind w:left="3397"/>
              <w:rPr>
                <w:lang w:val="pl-PL"/>
              </w:rPr>
            </w:pPr>
            <w:r w:rsidRPr="008F328C">
              <w:rPr>
                <w:rFonts w:eastAsia="Times New Roman"/>
                <w:lang w:val="pl-PL"/>
              </w:rPr>
              <w:t xml:space="preserve">- zewnętrzną powierzchnię górnego ramienia (TYLKO opiekun). </w:t>
            </w:r>
          </w:p>
          <w:p w14:paraId="5C3CA399" w14:textId="77777777" w:rsidR="00094D21" w:rsidRPr="008F328C" w:rsidRDefault="00094D21" w:rsidP="008A03B2">
            <w:pPr>
              <w:pStyle w:val="a3"/>
              <w:rPr>
                <w:lang w:val="pl-PL"/>
              </w:rPr>
            </w:pPr>
          </w:p>
          <w:p w14:paraId="1D5D07B7" w14:textId="77777777" w:rsidR="00094D21" w:rsidRPr="008F328C" w:rsidRDefault="00094D21" w:rsidP="008A03B2">
            <w:pPr>
              <w:pStyle w:val="a3"/>
              <w:numPr>
                <w:ilvl w:val="0"/>
                <w:numId w:val="18"/>
              </w:numPr>
              <w:ind w:left="3217"/>
              <w:rPr>
                <w:lang w:val="pl-PL"/>
              </w:rPr>
            </w:pPr>
            <w:r w:rsidRPr="008F328C">
              <w:rPr>
                <w:rFonts w:eastAsia="Times New Roman"/>
                <w:b/>
                <w:bCs/>
                <w:lang w:val="pl-PL"/>
              </w:rPr>
              <w:t>Nie należy</w:t>
            </w:r>
            <w:r w:rsidRPr="008F328C">
              <w:rPr>
                <w:rFonts w:eastAsia="Times New Roman"/>
                <w:lang w:val="pl-PL"/>
              </w:rPr>
              <w:t xml:space="preserve"> wykonywać wstrzyknięcia w skórę, która znajduje się w odległości 5 cm pępka lub jeżeli skóra jest zaczerwieniona, twarda, tkliwa, uszkodzona, zasiniona lub jeżeli znajdują się na niej blizny. </w:t>
            </w:r>
          </w:p>
          <w:p w14:paraId="14FDB6DF" w14:textId="77777777" w:rsidR="00094D21" w:rsidRPr="008F328C" w:rsidRDefault="00094D21" w:rsidP="008A03B2">
            <w:pPr>
              <w:pStyle w:val="a3"/>
              <w:numPr>
                <w:ilvl w:val="0"/>
                <w:numId w:val="18"/>
              </w:numPr>
              <w:ind w:left="3217"/>
              <w:rPr>
                <w:lang w:val="pl-PL"/>
              </w:rPr>
            </w:pPr>
            <w:r w:rsidRPr="008F328C">
              <w:rPr>
                <w:rFonts w:eastAsia="Times New Roman"/>
                <w:lang w:val="pl-PL"/>
              </w:rPr>
              <w:t xml:space="preserve">Jeśli pacjent choruje na łuszczycę, nie należy wykonywać wstrzyknięcia bezpośrednio w uniesione, zgrubiałe, zaczerwienione lub łuszczące się miejsca na skórze lub zmiany skórne. </w:t>
            </w:r>
          </w:p>
          <w:p w14:paraId="645D561C" w14:textId="77777777" w:rsidR="00094D21" w:rsidRPr="008F328C" w:rsidRDefault="00094D21" w:rsidP="008A03B2">
            <w:pPr>
              <w:pStyle w:val="a3"/>
              <w:numPr>
                <w:ilvl w:val="0"/>
                <w:numId w:val="18"/>
              </w:numPr>
              <w:ind w:left="3217"/>
              <w:rPr>
                <w:lang w:val="pl-PL"/>
              </w:rPr>
            </w:pPr>
            <w:r w:rsidRPr="008F328C">
              <w:rPr>
                <w:rFonts w:eastAsia="Times New Roman"/>
                <w:b/>
                <w:bCs/>
                <w:lang w:val="pl-PL"/>
              </w:rPr>
              <w:t xml:space="preserve">Nie </w:t>
            </w:r>
            <w:r w:rsidRPr="008F328C">
              <w:rPr>
                <w:rFonts w:eastAsia="Times New Roman"/>
                <w:lang w:val="pl-PL"/>
              </w:rPr>
              <w:t>wykonywać wstrzyknięcia przez ubranie.</w:t>
            </w:r>
          </w:p>
          <w:p w14:paraId="6BBD6CDA" w14:textId="77777777" w:rsidR="00094D21" w:rsidRPr="008F328C" w:rsidRDefault="00094D21" w:rsidP="008A03B2">
            <w:pPr>
              <w:pStyle w:val="a3"/>
              <w:rPr>
                <w:lang w:val="pl-PL"/>
              </w:rPr>
            </w:pPr>
          </w:p>
          <w:p w14:paraId="5D05CAA0" w14:textId="77777777" w:rsidR="00094D21" w:rsidRPr="008F328C" w:rsidRDefault="00094D21" w:rsidP="008A03B2">
            <w:pPr>
              <w:pStyle w:val="a3"/>
              <w:ind w:left="3217" w:hanging="180"/>
              <w:rPr>
                <w:lang w:val="pl-PL"/>
              </w:rPr>
            </w:pPr>
            <w:r w:rsidRPr="008F328C">
              <w:rPr>
                <w:rFonts w:eastAsia="Times New Roman"/>
                <w:b/>
                <w:bCs/>
                <w:lang w:val="pl-PL"/>
              </w:rPr>
              <w:t>b.</w:t>
            </w:r>
            <w:r w:rsidRPr="008F328C">
              <w:rPr>
                <w:rFonts w:eastAsia="Times New Roman"/>
                <w:lang w:val="pl-PL"/>
              </w:rPr>
              <w:t xml:space="preserve"> Miejsce wstrzyknięcia należy za każdym razem zmieniać. Każde nowe miejsce wstrzyknięcia powinno znajdować się co najmniej 3 cm od wcześniejszego miejsca wstrzyknięcia. </w:t>
            </w:r>
          </w:p>
          <w:p w14:paraId="423B3776" w14:textId="77777777" w:rsidR="00094D21" w:rsidRPr="008F328C" w:rsidRDefault="00094D21" w:rsidP="008A03B2">
            <w:pPr>
              <w:pStyle w:val="a3"/>
              <w:rPr>
                <w:sz w:val="26"/>
                <w:szCs w:val="26"/>
                <w:lang w:val="pl-PL" w:eastAsia="ko-KR"/>
              </w:rPr>
            </w:pPr>
          </w:p>
        </w:tc>
      </w:tr>
    </w:tbl>
    <w:p w14:paraId="6C557199" w14:textId="77777777" w:rsidR="00094D21" w:rsidRPr="008F328C" w:rsidRDefault="00094D21" w:rsidP="00D22235">
      <w:pPr>
        <w:ind w:right="1248"/>
        <w:rPr>
          <w:rFonts w:ascii="Times New Roman" w:eastAsia="Times New Roman" w:hAnsi="Times New Roman" w:cs="Times New Roman"/>
          <w:b/>
          <w:bCs/>
          <w:lang w:val="pl-PL"/>
        </w:rPr>
      </w:pPr>
    </w:p>
    <w:tbl>
      <w:tblPr>
        <w:tblStyle w:val="ac"/>
        <w:tblW w:w="0" w:type="auto"/>
        <w:tblLook w:val="04A0" w:firstRow="1" w:lastRow="0" w:firstColumn="1" w:lastColumn="0" w:noHBand="0" w:noVBand="1"/>
      </w:tblPr>
      <w:tblGrid>
        <w:gridCol w:w="9394"/>
      </w:tblGrid>
      <w:tr w:rsidR="00094D21" w:rsidRPr="00A5286D" w14:paraId="43C271FE" w14:textId="77777777" w:rsidTr="008A03B2">
        <w:trPr>
          <w:trHeight w:val="5805"/>
        </w:trPr>
        <w:tc>
          <w:tcPr>
            <w:tcW w:w="9581" w:type="dxa"/>
          </w:tcPr>
          <w:p w14:paraId="24F3F2B2" w14:textId="77777777" w:rsidR="00094D21" w:rsidRPr="008F328C" w:rsidRDefault="00094D21" w:rsidP="008A03B2">
            <w:pPr>
              <w:pStyle w:val="1"/>
              <w:spacing w:before="76"/>
              <w:ind w:left="0" w:right="2736"/>
              <w:rPr>
                <w:rFonts w:eastAsiaTheme="minorEastAsia" w:cs="Times New Roman"/>
                <w:lang w:val="pl-PL" w:eastAsia="ko-KR"/>
              </w:rPr>
            </w:pPr>
          </w:p>
          <w:p w14:paraId="3DB250BC" w14:textId="77777777" w:rsidR="00094D21" w:rsidRPr="008F328C" w:rsidRDefault="00094D21" w:rsidP="008A03B2">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11" behindDoc="0" locked="0" layoutInCell="1" allowOverlap="1" wp14:anchorId="4BEAB372" wp14:editId="05F2F821">
                      <wp:simplePos x="0" y="0"/>
                      <wp:positionH relativeFrom="column">
                        <wp:posOffset>-20955</wp:posOffset>
                      </wp:positionH>
                      <wp:positionV relativeFrom="paragraph">
                        <wp:posOffset>116205</wp:posOffset>
                      </wp:positionV>
                      <wp:extent cx="2408555" cy="3092450"/>
                      <wp:effectExtent l="0" t="0" r="0" b="0"/>
                      <wp:wrapSquare wrapText="bothSides"/>
                      <wp:docPr id="3882" name="그룹 3882"/>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3904" name="그림 390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05" name="Text Box 3905"/>
                              <wps:cNvSpPr txBox="1"/>
                              <wps:spPr>
                                <a:xfrm>
                                  <a:off x="1688465" y="2946400"/>
                                  <a:ext cx="720090" cy="146050"/>
                                </a:xfrm>
                                <a:prstGeom prst="rect">
                                  <a:avLst/>
                                </a:prstGeom>
                                <a:solidFill>
                                  <a:prstClr val="white"/>
                                </a:solidFill>
                                <a:ln>
                                  <a:noFill/>
                                </a:ln>
                              </wps:spPr>
                              <wps:txbx>
                                <w:txbxContent>
                                  <w:p w14:paraId="091475D9"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BEAB372" id="그룹 3882" o:spid="_x0000_s1314" style="position:absolute;margin-left:-1.65pt;margin-top:9.15pt;width:189.65pt;height:243.5pt;z-index:251658311"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puKN3AwAACwgAAA4AAABkcnMvZTJvRG9jLnhtbJxV0W7bNhR9H9B/&#10;IPjeSHZt1xbiFG7SBAWy1lgy9JmmKIuoRHIkbSn9oP3C9tAv6n5ih5TkxEmHdnmwfHl5eXnu4bnk&#10;6Zu2rsheWCe1WtLRSUqJUFznUm2X9Pfby5dzSpxnKmeVVmJJ74Sjb85e/HLamEyMdamrXFiCJMpl&#10;jVnS0nuTJYnjpaiZO9FGKEwW2tbMY2i3SW5Zg+x1lYzTdJY02ubGai6cg/eim6RnMX9RCO4/FoUT&#10;nlRLCmw+fm38bsI3OTtl2dYyU0rew2DPQFEzqbDpIdUF84zsrHySqpbcaqcLf8J1neiikFzEGlDN&#10;KH1UzZXVOxNr2WbN1hxoArWPeHp2Wv5hf2XNjVlbMNGYLbiIo1BLW9g6/AMlaSNldwfKROsJh3M8&#10;SefT6ZQSjrlX6WI8mfak8hLMP1nHy3c/WJkMGydHcIzkGX49B7CecPBjrWCV31lB+yT1T+Womf28&#10;My9xXIZ5uZGV9HdRejiYAErt15KvbTcAnWtLZA4uFumEEsVqiP7bX3//8+dXEl2gOawKgd0yFsq6&#10;1vyzI0qfl0xtxcoZCBftFOSZHIfH4dGem0qaS1lV4aiC3VcHkT8SyXcI6gR4ofmuFsp3HWVFhUK1&#10;cqU0jhKbiXojUJF9n0dALHPeCs/LsGGBjX8D2AD0wUREeQ8slOCgMbJpftU5GGE7r2O//KTGXi/G&#10;6N6gsfFiOprMo8YOSgGF1vkroWsSDEAFopie7a9dj20ICaiVDoQBM8sqdeRAzuCJ+APi3kQBoT1w&#10;R7mBX4yeMPy/2vCmZEYAZUh7pBt0U6eb29Blb3UblDMNWuhDQ7sS32Km10jwd2iH5jl07Wg2n09m&#10;SBm5m8wmad+fQwe/xjW66MkdTWZp17/P59bpSuaDHgPp55Ule4b7tymlF1HSUMrDqP84g/uqguXb&#10;TRs7a9QhDL6Nzu9AhdU4c5TgDL+U2PGaOb9mFhc5nHic/Ed8iko3S6p7i5JS2y/f84d4HCxmKWnw&#10;MCyp+2PHwq1RvVc4cqT0g2EHYzMYalefa9Q6imiiiQXWV4NZWF1/wpu1CrtgiimOvZbUD+a5754n&#10;vHlcrFYxqLt8rtWNwZU1isoOzN62n5g1veY9DvSDHkTFskfS72KD1p1ZofsuZeyLexah9DCAwKMV&#10;XxxYR0/aw3GMun/Dz/4F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CQP5e54AAAAAkBAAAPAAAAZHJzL2Rvd25yZXYu&#10;eG1sTI9Ba8JAEIXvhf6HZYTedJOGWInZiEjbkxSqhdLbmh2TYHY2ZNck/vtOT/U0zLzHm+/lm8m2&#10;YsDeN44UxIsIBFLpTEOVgq/j23wFwgdNRreOUMENPWyKx4dcZ8aN9InDIVSCQ8hnWkEdQpdJ6csa&#10;rfYL1yGxdna91YHXvpKm1yOH21Y+R9FSWt0Qf6h1h7say8vhahW8j3rcJvHrsL+cd7efY/rxvY9R&#10;qafZtF2DCDiFfzP84TM6FMx0clcyXrQK5knCTr6veLKevCy520lBGqUJyCKX9w2K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TWm4o3cDAAALCAAADgAAAAAAAAAA&#10;AAAAAAA8AgAAZHJzL2Uyb0RvYy54bWxQSwECLQAUAAYACAAAACEAndx4OEWIAACY6QkAFAAAAAAA&#10;AAAAAAAAAADfBQAAZHJzL21lZGlhL2ltYWdlMS5lbWZQSwECLQAUAAYACAAAACEAkD+XueAAAAAJ&#10;AQAADwAAAAAAAAAAAAAAAABWjgAAZHJzL2Rvd25yZXYueG1sUEsBAi0AFAAGAAgAAAAhAI4iCUK6&#10;AAAAIQEAABkAAAAAAAAAAAAAAAAAY48AAGRycy9fcmVscy9lMm9Eb2MueG1sLnJlbHNQSwUGAAAA&#10;AAYABgB8AQAAVJAAAAAA&#10;">
                      <v:shape id="그림 3904" o:spid="_x0000_s131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pXlxgAAAN0AAAAPAAAAZHJzL2Rvd25yZXYueG1sRI9PSwMx&#10;FMTvgt8hPKG3NqsVqWvTIvUPa3va6sXbY/PcLG5eliRu0356IxQ8DjPzG2a5TrYXI/nQOVZwPStA&#10;EDdOd9wq+Hh/mS5AhIissXdMCo4UYL26vFhiqd2Baxr3sRUZwqFEBSbGoZQyNIYshpkbiLP35bzF&#10;mKVvpfZ4yHDby5uiuJMWO84LBgfaGGq+9z9WwZveeVl9bscnadKmS6/186mqlZpcpccHEJFS/A+f&#10;25VWML8vbuHvTX4CcvULAAD//wMAUEsBAi0AFAAGAAgAAAAhANvh9svuAAAAhQEAABMAAAAAAAAA&#10;AAAAAAAAAAAAAFtDb250ZW50X1R5cGVzXS54bWxQSwECLQAUAAYACAAAACEAWvQsW78AAAAVAQAA&#10;CwAAAAAAAAAAAAAAAAAfAQAAX3JlbHMvLnJlbHNQSwECLQAUAAYACAAAACEA/EKV5cYAAADdAAAA&#10;DwAAAAAAAAAAAAAAAAAHAgAAZHJzL2Rvd25yZXYueG1sUEsFBgAAAAADAAMAtwAAAPoCAAAAAA==&#10;">
                        <v:imagedata r:id="rId43" o:title=""/>
                      </v:shape>
                      <v:shape id="Text Box 3905" o:spid="_x0000_s1316"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jh1yAAAAN0AAAAPAAAAZHJzL2Rvd25yZXYueG1sRI9BawIx&#10;FITvBf9DeEIvpWZbrbRbo4goWC/SrZfeHpvnZtvNy5Jkdf33Rij0OMzMN8xs0dtGnMiH2rGCp1EG&#10;grh0uuZKweFr8/gKIkRkjY1jUnChAIv54G6GuXZn/qRTESuRIBxyVGBibHMpQ2nIYhi5ljh5R+ct&#10;xiR9JbXHc4LbRj5n2VRarDktGGxpZaj8LTqrYD/53puH7rjeLSdj/3HoVtOfqlDqftgv30FE6uN/&#10;+K+91QrGb9kL3N6kJyDnVwAAAP//AwBQSwECLQAUAAYACAAAACEA2+H2y+4AAACFAQAAEwAAAAAA&#10;AAAAAAAAAAAAAAAAW0NvbnRlbnRfVHlwZXNdLnhtbFBLAQItABQABgAIAAAAIQBa9CxbvwAAABUB&#10;AAALAAAAAAAAAAAAAAAAAB8BAABfcmVscy8ucmVsc1BLAQItABQABgAIAAAAIQA6Sjh1yAAAAN0A&#10;AAAPAAAAAAAAAAAAAAAAAAcCAABkcnMvZG93bnJldi54bWxQSwUGAAAAAAMAAwC3AAAA/AIAAAAA&#10;" stroked="f">
                        <v:textbox style="mso-fit-shape-to-text:t" inset="0,0,0,0">
                          <w:txbxContent>
                            <w:p w14:paraId="091475D9"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F</w:t>
                              </w:r>
                            </w:p>
                          </w:txbxContent>
                        </v:textbox>
                      </v:shape>
                      <w10:wrap type="square"/>
                    </v:group>
                  </w:pict>
                </mc:Fallback>
              </mc:AlternateContent>
            </w:r>
          </w:p>
          <w:p w14:paraId="7CD00D5E" w14:textId="77777777" w:rsidR="00094D21" w:rsidRPr="008F328C" w:rsidRDefault="00094D21" w:rsidP="008E70FE">
            <w:pPr>
              <w:pStyle w:val="a3"/>
              <w:numPr>
                <w:ilvl w:val="0"/>
                <w:numId w:val="129"/>
              </w:numPr>
              <w:rPr>
                <w:b/>
                <w:lang w:val="pl-PL"/>
              </w:rPr>
            </w:pPr>
            <w:r w:rsidRPr="008F328C">
              <w:rPr>
                <w:rFonts w:eastAsia="Times New Roman"/>
                <w:b/>
                <w:bCs/>
                <w:lang w:val="pl-PL"/>
              </w:rPr>
              <w:t>Umyć ręce</w:t>
            </w:r>
          </w:p>
          <w:p w14:paraId="549DBD84" w14:textId="77777777" w:rsidR="00094D21" w:rsidRPr="008F328C" w:rsidRDefault="00094D21" w:rsidP="008A03B2">
            <w:pPr>
              <w:pStyle w:val="a3"/>
              <w:rPr>
                <w:b/>
                <w:lang w:val="pl-PL"/>
              </w:rPr>
            </w:pPr>
          </w:p>
          <w:p w14:paraId="427C6039" w14:textId="77777777" w:rsidR="00094D21" w:rsidRPr="008F328C" w:rsidRDefault="00094D21" w:rsidP="008A03B2">
            <w:pPr>
              <w:pStyle w:val="a3"/>
              <w:ind w:left="4297" w:hanging="180"/>
              <w:rPr>
                <w:lang w:val="pl-PL"/>
              </w:rPr>
            </w:pPr>
            <w:r w:rsidRPr="008F328C">
              <w:rPr>
                <w:rFonts w:eastAsia="Times New Roman"/>
                <w:b/>
                <w:bCs/>
                <w:lang w:val="pl-PL"/>
              </w:rPr>
              <w:t>a.</w:t>
            </w:r>
            <w:r w:rsidRPr="008F328C">
              <w:rPr>
                <w:rFonts w:eastAsia="Times New Roman"/>
                <w:lang w:val="pl-PL"/>
              </w:rPr>
              <w:t xml:space="preserve"> Umyć ręce wodą z mydłem i dokładnie osuszyć. </w:t>
            </w:r>
          </w:p>
          <w:p w14:paraId="38843A6E" w14:textId="77777777" w:rsidR="00094D21" w:rsidRPr="008F328C" w:rsidRDefault="00094D21" w:rsidP="008A03B2">
            <w:pPr>
              <w:pStyle w:val="1"/>
              <w:spacing w:before="76"/>
              <w:ind w:left="0" w:right="2736"/>
              <w:rPr>
                <w:rFonts w:eastAsiaTheme="minorEastAsia" w:cs="Times New Roman"/>
                <w:lang w:val="pl-PL" w:eastAsia="ko-KR"/>
              </w:rPr>
            </w:pPr>
          </w:p>
        </w:tc>
      </w:tr>
      <w:tr w:rsidR="00094D21" w:rsidRPr="00A5286D" w14:paraId="162E07BB" w14:textId="77777777" w:rsidTr="008A03B2">
        <w:trPr>
          <w:trHeight w:val="5201"/>
        </w:trPr>
        <w:tc>
          <w:tcPr>
            <w:tcW w:w="9581" w:type="dxa"/>
          </w:tcPr>
          <w:p w14:paraId="159BE38F" w14:textId="77777777" w:rsidR="00094D21" w:rsidRPr="008F328C" w:rsidRDefault="00094D21" w:rsidP="008A03B2">
            <w:pPr>
              <w:ind w:left="104"/>
              <w:rPr>
                <w:rFonts w:ascii="Times New Roman" w:eastAsia="Times New Roman" w:hAnsi="Times New Roman" w:cs="Times New Roman"/>
                <w:b/>
                <w:bCs/>
                <w:spacing w:val="-1"/>
                <w:lang w:val="pl-PL"/>
              </w:rPr>
            </w:pPr>
          </w:p>
          <w:p w14:paraId="1875A6F7" w14:textId="77777777" w:rsidR="00094D21" w:rsidRPr="008F328C" w:rsidRDefault="00094D21" w:rsidP="008E70FE">
            <w:pPr>
              <w:pStyle w:val="a3"/>
              <w:numPr>
                <w:ilvl w:val="0"/>
                <w:numId w:val="129"/>
              </w:numPr>
              <w:rPr>
                <w:lang w:val="pl-PL"/>
              </w:rPr>
            </w:pPr>
            <w:r w:rsidRPr="008F328C">
              <w:rPr>
                <w:noProof/>
                <w:lang w:eastAsia="ko-KR"/>
              </w:rPr>
              <mc:AlternateContent>
                <mc:Choice Requires="wpg">
                  <w:drawing>
                    <wp:anchor distT="0" distB="0" distL="114300" distR="114300" simplePos="0" relativeHeight="251658371" behindDoc="0" locked="0" layoutInCell="1" allowOverlap="1" wp14:anchorId="5525CA0D" wp14:editId="25C53A2D">
                      <wp:simplePos x="0" y="0"/>
                      <wp:positionH relativeFrom="column">
                        <wp:posOffset>-31199</wp:posOffset>
                      </wp:positionH>
                      <wp:positionV relativeFrom="paragraph">
                        <wp:posOffset>93345</wp:posOffset>
                      </wp:positionV>
                      <wp:extent cx="2256458" cy="2921000"/>
                      <wp:effectExtent l="0" t="0" r="0" b="0"/>
                      <wp:wrapSquare wrapText="bothSides"/>
                      <wp:docPr id="3906" name="그룹 3906"/>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3907" name="그림 390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08" name="Text Box 3908"/>
                              <wps:cNvSpPr txBox="1"/>
                              <wps:spPr>
                                <a:xfrm>
                                  <a:off x="1536700" y="2774950"/>
                                  <a:ext cx="719758" cy="146050"/>
                                </a:xfrm>
                                <a:prstGeom prst="rect">
                                  <a:avLst/>
                                </a:prstGeom>
                                <a:solidFill>
                                  <a:prstClr val="white"/>
                                </a:solidFill>
                                <a:ln>
                                  <a:noFill/>
                                </a:ln>
                              </wps:spPr>
                              <wps:txbx>
                                <w:txbxContent>
                                  <w:p w14:paraId="3718DF71"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25CA0D" id="그룹 3906" o:spid="_x0000_s1317" style="position:absolute;left:0;text-align:left;margin-left:-2.45pt;margin-top:7.35pt;width:177.65pt;height:230pt;z-index:251658371"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LyFl4AwAACwgAAA4AAABkcnMvZTJvRG9jLnhtbJxV3W7bNhi9H7B3&#10;IHjfyHJjuxaiFF6yBAWy1lgy9JqmKIuoRHIkbSl7oL3CdrEnal9ih5TkxEmHdrmw/PHv4/kOzyHP&#10;3nZNTfbCOqlVTtOTCSVCcV1Itc3pb3dXr95Q4jxTBau1Ejm9F46+Pf/xh7PWZGKqK10XwhIkUS5r&#10;TU4r702WJI5XomHuRBuhMFhq2zCPpt0mhWUtsjd1Mp1M5kmrbWGs5sI59F72g/Q85i9Lwf2HsnTC&#10;kzqnwObj18bvJnyT8zOWbS0zleQDDPYCFA2TCpseUl0yz8jOymepGsmtdrr0J1w3iS5LyUWsAdWk&#10;kyfVXFu9M7GWbdZuzYEmUPuEpxen5e/319bcmrUFE63ZgovYCrV0pW3CP1CSLlJ2f6BMdJ5wdE6n&#10;s/npDIfMMTZdTtPJZCCVV2D+2Tpe/fyNlcm4cXIEx0ie4TdwgOgZB9/WClb5nRV0SNJ8V46G2U87&#10;8wrHZZiXG1lLfx+lh4MJoNR+Lfna9g3QubZEFjl9vZwsKFGsgeg///X3lz//IbELNIdVYWK/jIWy&#10;bjT/5IjSFxVTW7FyBsKFnYI8k+PpsXm056aW5krWdTiqEA/VQeRPRPIVgnoBXmq+a4TyvaOsqFGo&#10;Vq6SxlFiM9FsBCqy74oIiGXOW+F5FTYssfGvABuAPhqIKB+AhRIcNEY27S+6ACNs53X0y3dqbDab&#10;wr1RY4v56WIZNXZQCii0zl8L3ZAQACoQxfRsf+MGbOOUgFrpQBgws6xWRx3IGXoi/oB4CFFAsAfu&#10;KDfyi9Yzhv+XDW8rZgRQhrRHuoGbet3cBZf9pLugnDdBC8PUYFfiO4wMGgn9PdrRPAfXprPX8wU8&#10;SYI/F4vT5Wzw5+jgRbpcjAZOT+eTfvzl3Dpdy2LUYyD9orZkz3D/tpX0IkoaSnk86z/O4KGqEPlu&#10;00VnpbMow9C30cU9qLAaZ44SneFXEjveMOfXzOIiRyceJ/8Bn7LWbU71EFFSafvH1/rDfBwsRilp&#10;8TDk1P2+Y+HWqN8pHDlS+jGwY7AZA7VrLjRqTSOaGGKB9fUYllY3H/FmrcIuGGKKY6+c+jG88P3z&#10;hDePi9UqTuovnxt1a3BlpVHZgdm77iOzZtC8x4G+16OoWPZE+v3coHVnVnDflYy+eGARSg8NCDxG&#10;8cVBdPSkPW7HWQ9v+Pm/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D1mxQC4AAA&#10;AAkBAAAPAAAAZHJzL2Rvd25yZXYueG1sTI9BT8JAEIXvJv6HzZh4g22lCNZuCSHqiZAIJsTb0B3a&#10;hu5u013a8u8dT3qc917efC9bjaYRPXW+dlZBPI1AkC2crm2p4OvwPlmC8AGtxsZZUnAjD6v8/i7D&#10;VLvBflK/D6XgEutTVFCF0KZS+qIig37qWrLsnV1nMPDZlVJ3OHC5aeRTFD1Lg7XlDxW2tKmouOyv&#10;RsHHgMN6Fr/128t5c/s+zHfHbUxKPT6M61cQgcbwF4ZffEaHnJlO7mq1F42CSfLCSdaTBQj2Z/Mo&#10;AXFSkCxYkXkm/y/If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fcvIWXgDAAALCAAADgAAAAAAAAAAAAAAAAA8AgAAZHJzL2Uyb0RvYy54bWxQSwECLQAUAAYACAAA&#10;ACEA7D4woMZ+AACY6QkAFAAAAAAAAAAAAAAAAADgBQAAZHJzL21lZGlhL2ltYWdlMS5lbWZQSwEC&#10;LQAUAAYACAAAACEA9ZsUAuAAAAAJAQAADwAAAAAAAAAAAAAAAADYhAAAZHJzL2Rvd25yZXYueG1s&#10;UEsBAi0AFAAGAAgAAAAhAI4iCUK6AAAAIQEAABkAAAAAAAAAAAAAAAAA5YUAAGRycy9fcmVscy9l&#10;Mm9Eb2MueG1sLnJlbHNQSwUGAAAAAAYABgB8AQAA1oYAAAAA&#10;">
                      <v:shape id="그림 3907" o:spid="_x0000_s131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CjCxAAAAN0AAAAPAAAAZHJzL2Rvd25yZXYueG1sRI/NagIx&#10;FIX3Bd8hXMFN0UwVWh2NIoLopkhVcHuZXCeDk5s4SZ3x7ZtCocvD+fk4i1Vna/GgJlSOFbyNMhDE&#10;hdMVlwrOp+1wCiJEZI21Y1LwpACrZe9lgbl2LX/R4xhLkUY45KjAxOhzKUNhyGIYOU+cvKtrLMYk&#10;m1LqBts0bms5zrJ3abHiRDDoaWOouB2/bYK86tqbwzNedrzpWneY3v1nUGrQ79ZzEJG6+B/+a++1&#10;gsks+4DfN+kJyOUPAAAA//8DAFBLAQItABQABgAIAAAAIQDb4fbL7gAAAIUBAAATAAAAAAAAAAAA&#10;AAAAAAAAAABbQ29udGVudF9UeXBlc10ueG1sUEsBAi0AFAAGAAgAAAAhAFr0LFu/AAAAFQEAAAsA&#10;AAAAAAAAAAAAAAAAHwEAAF9yZWxzLy5yZWxzUEsBAi0AFAAGAAgAAAAhALs8KMLEAAAA3QAAAA8A&#10;AAAAAAAAAAAAAAAABwIAAGRycy9kb3ducmV2LnhtbFBLBQYAAAAAAwADALcAAAD4AgAAAAA=&#10;">
                        <v:imagedata r:id="rId45" o:title=""/>
                      </v:shape>
                      <v:shape id="Text Box 3908" o:spid="_x0000_s1319"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5frxAAAAN0AAAAPAAAAZHJzL2Rvd25yZXYueG1sRE/Pa8Iw&#10;FL4P/B/CE7yMmTpFZmcUkQluF1nnxdujeTadzUtJUq3//XIYePz4fi/XvW3ElXyoHSuYjDMQxKXT&#10;NVcKjj+7lzcQISJrbByTgjsFWK8GT0vMtbvxN12LWIkUwiFHBSbGNpcylIYshrFriRN3dt5iTNBX&#10;Unu8pXDbyNcsm0uLNacGgy1tDZWXorMKDrPTwTx354+vzWzqP4/ddv5bFUqNhv3mHUSkPj7E/+69&#10;VjBdZGluepOegFz9AQAA//8DAFBLAQItABQABgAIAAAAIQDb4fbL7gAAAIUBAAATAAAAAAAAAAAA&#10;AAAAAAAAAABbQ29udGVudF9UeXBlc10ueG1sUEsBAi0AFAAGAAgAAAAhAFr0LFu/AAAAFQEAAAsA&#10;AAAAAAAAAAAAAAAAHwEAAF9yZWxzLy5yZWxzUEsBAi0AFAAGAAgAAAAhANRLl+vEAAAA3QAAAA8A&#10;AAAAAAAAAAAAAAAABwIAAGRycy9kb3ducmV2LnhtbFBLBQYAAAAAAwADALcAAAD4AgAAAAA=&#10;" stroked="f">
                        <v:textbox style="mso-fit-shape-to-text:t" inset="0,0,0,0">
                          <w:txbxContent>
                            <w:p w14:paraId="3718DF71" w14:textId="77777777" w:rsidR="006D7011" w:rsidRDefault="006D7011" w:rsidP="00094D21">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v:textbox>
                      </v:shape>
                      <w10:wrap type="square"/>
                    </v:group>
                  </w:pict>
                </mc:Fallback>
              </mc:AlternateContent>
            </w:r>
            <w:r w:rsidRPr="008F328C">
              <w:rPr>
                <w:rFonts w:eastAsia="Times New Roman"/>
                <w:b/>
                <w:bCs/>
                <w:lang w:val="pl-PL"/>
              </w:rPr>
              <w:t>Oczyścić miejsce wstrzyknięcia</w:t>
            </w:r>
          </w:p>
          <w:p w14:paraId="7493062D" w14:textId="77777777" w:rsidR="00094D21" w:rsidRPr="008F328C" w:rsidRDefault="00094D21" w:rsidP="008A03B2">
            <w:pPr>
              <w:pStyle w:val="a3"/>
              <w:numPr>
                <w:ilvl w:val="0"/>
                <w:numId w:val="0"/>
              </w:numPr>
              <w:ind w:left="471"/>
              <w:rPr>
                <w:lang w:val="pl-PL"/>
              </w:rPr>
            </w:pPr>
          </w:p>
          <w:p w14:paraId="4760F23F"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Oczyścić miejsce wstrzyknięcia gazikiem nasączonym alkoholem, okrężnym ruchem</w:t>
            </w:r>
          </w:p>
          <w:p w14:paraId="6D3A2523" w14:textId="77777777" w:rsidR="00094D21" w:rsidRPr="008F328C" w:rsidRDefault="00094D21" w:rsidP="008A03B2">
            <w:pPr>
              <w:pStyle w:val="a3"/>
              <w:ind w:left="4117" w:hanging="180"/>
              <w:rPr>
                <w:lang w:val="pl-PL"/>
              </w:rPr>
            </w:pPr>
            <w:r w:rsidRPr="008F328C">
              <w:rPr>
                <w:rFonts w:eastAsia="Times New Roman"/>
                <w:b/>
                <w:bCs/>
                <w:lang w:val="pl-PL"/>
              </w:rPr>
              <w:t>b.</w:t>
            </w:r>
            <w:r w:rsidRPr="008F328C">
              <w:rPr>
                <w:rFonts w:eastAsia="Times New Roman"/>
                <w:lang w:val="pl-PL"/>
              </w:rPr>
              <w:t xml:space="preserve"> Pozwolić, żeby skóra wyschła przed wstrzyknięciem.</w:t>
            </w:r>
          </w:p>
          <w:p w14:paraId="6AAFB024" w14:textId="77777777" w:rsidR="00094D21" w:rsidRPr="008F328C" w:rsidRDefault="00094D21" w:rsidP="008A03B2">
            <w:pPr>
              <w:pStyle w:val="a3"/>
              <w:rPr>
                <w:lang w:val="pl-PL"/>
              </w:rPr>
            </w:pPr>
          </w:p>
          <w:p w14:paraId="71053BCD" w14:textId="77777777" w:rsidR="00094D21" w:rsidRPr="008F328C" w:rsidRDefault="00094D21" w:rsidP="008A03B2">
            <w:pPr>
              <w:pStyle w:val="a3"/>
              <w:rPr>
                <w:lang w:val="pl-PL"/>
              </w:rPr>
            </w:pPr>
          </w:p>
          <w:p w14:paraId="70D428CC" w14:textId="77777777" w:rsidR="00094D21" w:rsidRPr="008F328C" w:rsidRDefault="00094D21" w:rsidP="008A03B2">
            <w:pPr>
              <w:pStyle w:val="a3"/>
              <w:numPr>
                <w:ilvl w:val="0"/>
                <w:numId w:val="19"/>
              </w:numPr>
              <w:ind w:left="4297"/>
              <w:rPr>
                <w:lang w:val="pl-PL" w:eastAsia="ko-KR"/>
              </w:rPr>
            </w:pPr>
            <w:r w:rsidRPr="008F328C">
              <w:rPr>
                <w:rFonts w:eastAsia="Times New Roman"/>
                <w:b/>
                <w:bCs/>
                <w:lang w:val="pl-PL"/>
              </w:rPr>
              <w:t>Nie</w:t>
            </w:r>
            <w:r w:rsidRPr="008F328C">
              <w:rPr>
                <w:rFonts w:eastAsia="Times New Roman"/>
                <w:lang w:val="pl-PL"/>
              </w:rPr>
              <w:t xml:space="preserve"> dmuchać na miejsce wstrzyknięcia ani dotykać go ponownie przed podaniem wstrzyknięcia</w:t>
            </w:r>
            <w:r w:rsidRPr="008F328C">
              <w:rPr>
                <w:rFonts w:eastAsia="맑은 고딕"/>
                <w:lang w:val="pl-PL"/>
              </w:rPr>
              <w:t>.</w:t>
            </w:r>
          </w:p>
        </w:tc>
      </w:tr>
      <w:tr w:rsidR="00094D21" w:rsidRPr="00A5286D" w14:paraId="3170B5A0" w14:textId="77777777" w:rsidTr="008A03B2">
        <w:trPr>
          <w:trHeight w:val="5664"/>
        </w:trPr>
        <w:tc>
          <w:tcPr>
            <w:tcW w:w="9581" w:type="dxa"/>
          </w:tcPr>
          <w:p w14:paraId="26F090AD" w14:textId="5FDD7B70" w:rsidR="00094D21" w:rsidRPr="008F328C" w:rsidRDefault="00094D21" w:rsidP="00D22235">
            <w:pPr>
              <w:rPr>
                <w:rFonts w:ascii="Times New Roman" w:eastAsia="Times New Roman" w:hAnsi="Times New Roman" w:cs="Times New Roman"/>
                <w:lang w:val="pl-PL"/>
              </w:rPr>
            </w:pPr>
          </w:p>
          <w:p w14:paraId="75EAF6EA" w14:textId="77777777" w:rsidR="00094D21" w:rsidRPr="008F328C" w:rsidRDefault="00094D21" w:rsidP="008A03B2">
            <w:pPr>
              <w:pStyle w:val="Default"/>
              <w:rPr>
                <w:rFonts w:ascii="Times New Roman" w:hAnsi="Times New Roman" w:cs="Times New Roman"/>
                <w:lang w:val="pl-PL"/>
              </w:rPr>
            </w:pPr>
          </w:p>
          <w:p w14:paraId="520F6671" w14:textId="77777777" w:rsidR="00094D21" w:rsidRPr="008F328C" w:rsidRDefault="00094D21" w:rsidP="008A03B2">
            <w:pPr>
              <w:pStyle w:val="Default"/>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56" behindDoc="0" locked="0" layoutInCell="1" allowOverlap="1" wp14:anchorId="1A55A7F1" wp14:editId="599B63A4">
                      <wp:simplePos x="0" y="0"/>
                      <wp:positionH relativeFrom="column">
                        <wp:posOffset>-8255</wp:posOffset>
                      </wp:positionH>
                      <wp:positionV relativeFrom="paragraph">
                        <wp:posOffset>40640</wp:posOffset>
                      </wp:positionV>
                      <wp:extent cx="2294255" cy="2997200"/>
                      <wp:effectExtent l="19050" t="19050" r="10795" b="0"/>
                      <wp:wrapSquare wrapText="bothSides"/>
                      <wp:docPr id="3909" name="그룹 3909"/>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3910" name="그룹 3910"/>
                              <wpg:cNvGrpSpPr/>
                              <wpg:grpSpPr>
                                <a:xfrm>
                                  <a:off x="4991" y="0"/>
                                  <a:ext cx="2289264" cy="2997200"/>
                                  <a:chOff x="4991" y="0"/>
                                  <a:chExt cx="2289264" cy="2997200"/>
                                </a:xfrm>
                              </wpg:grpSpPr>
                              <pic:pic xmlns:pic="http://schemas.openxmlformats.org/drawingml/2006/picture">
                                <pic:nvPicPr>
                                  <pic:cNvPr id="3911" name="그림 3911"/>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4991" y="0"/>
                                    <a:ext cx="2284272" cy="2819400"/>
                                  </a:xfrm>
                                  <a:prstGeom prst="rect">
                                    <a:avLst/>
                                  </a:prstGeom>
                                  <a:ln>
                                    <a:solidFill>
                                      <a:schemeClr val="tx1"/>
                                    </a:solidFill>
                                  </a:ln>
                                </pic:spPr>
                              </pic:pic>
                              <wps:wsp>
                                <wps:cNvPr id="3912" name="Text Box 3912"/>
                                <wps:cNvSpPr txBox="1"/>
                                <wps:spPr>
                                  <a:xfrm>
                                    <a:off x="1574165" y="2851150"/>
                                    <a:ext cx="720090" cy="146050"/>
                                  </a:xfrm>
                                  <a:prstGeom prst="rect">
                                    <a:avLst/>
                                  </a:prstGeom>
                                  <a:solidFill>
                                    <a:prstClr val="white"/>
                                  </a:solidFill>
                                  <a:ln>
                                    <a:noFill/>
                                  </a:ln>
                                </wps:spPr>
                                <wps:txbx>
                                  <w:txbxContent>
                                    <w:p w14:paraId="5F314EA3" w14:textId="77777777" w:rsidR="006D7011" w:rsidRDefault="006D7011" w:rsidP="00094D21">
                                      <w:pPr>
                                        <w:pStyle w:val="af0"/>
                                        <w:jc w:val="right"/>
                                        <w:rPr>
                                          <w:rFonts w:ascii="Times New Roman" w:hAnsi="Times New Roman"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13" name="Text Box 3913"/>
                              <wps:cNvSpPr txBox="1"/>
                              <wps:spPr>
                                <a:xfrm>
                                  <a:off x="1136650" y="584200"/>
                                  <a:ext cx="1104181"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88F90B" w14:textId="77777777" w:rsidR="006D7011" w:rsidRDefault="006D7011" w:rsidP="00094D2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A55A7F1" id="그룹 3909" o:spid="_x0000_s1320" style="position:absolute;margin-left:-.65pt;margin-top:3.2pt;width:180.65pt;height:236pt;z-index:251658356"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U0lSwQAAA4NAAAOAAAAZHJzL2Uyb0RvYy54bWzcV9tu4zYQfS/QfxD0&#10;vrHlW2wjziJNmmCBYDfYpNhnmqYsIhLJknTs7O8U6C+0BfpF7U/0DCnJa8fbbYJiC/QhypAakjNn&#10;zhzKJ683VZk8COukVrM0O+qmiVBcL6RaztIf7i5fjdPEeaYWrNRKzNJH4dLXp99+c7I2U9HThS4X&#10;wibYRLnp2szSwnsz7XQcL0TF3JE2QuFlrm3FPIZ22VlYtsbuVdnpdbujzlrbhbGaC+cwexFfpqdh&#10;/zwX3L/Lcyd8Us5SxObD04bnnJ6d0xM2XVpmCsnrMNgLoqiYVDi03eqCeZasrHyyVSW51U7n/ojr&#10;qqPzXHIRckA2WXcvmyurVybkspyul6aFCdDu4fTibfnbhytrbs2NBRJrswQWYUS5bHJb0X9EmWwC&#10;ZI8tZGLjE47JXm886Y0GacLxrjeZHKMoEVReAHlaN5hMsjTZLuXF919Y3GnO7uxE1A5ipAj9xiZy&#10;MUv7kwy1VawCwf745dc/f/otCVN1Ss/IcT/W/yJNI/kUf3W1YT2p9pe7Aqv8yoq03qT6R3tUzN6v&#10;zCsQ0zAv57KU/jE0GShIQamHG8lvbBzsoI/6btH/+XdCPyMW0CpyjMsYpXWt+b1LlD4vmFqKM2fQ&#10;ohAO8u7suofhzpnzUppLWZZESrLr7NDOe+1wAKDYahearyqhfNQOK0okqpUrpHFpYqeimgvwyb5Z&#10;ICMO3fJglLFS+chpZ/l7xItY2dR5Kzwvmri3sVEWDg11oIX+hl6D3nGv7qJxNhnELmobAdBZ56+E&#10;rhIyECLCQFnYlD1cOwoIro0LTZcqxKhLuWgQC5oqzkubPDCood9E0JHJ1gu70MoAfcwhmEiJeg4S&#10;7RrQMXoC+7NU6LZgRiAF2naHTIAhkumOuu87vSE69agAtSupVeI3eFMTh+Y/g3g2PB5ko2HQn954&#10;mGXDWp6azibBmkA9SL+ywagb378c+E/AjBVpAV8X0ovA8x3Im1opTYWKlQw12GZFlt/MN0HssmGL&#10;xVwvHgGF1SAEUnCGX0qw45o5f8Ms7jFM4m727/DIS72epbq20qTQ9uOhefJHYfE2Tda4F2ep+3HF&#10;SErKNwolx5a+MWxjzBtDrapzDXKhfRBNMLHA+rIxc6urD7iyz+gUvGKK4yywsTHPfbydceVzcXYW&#10;nKIiXatbAx3LAu2J63ebD8yauiE8CvpWN6R60hfRN/SEOVt5YB2ahpCNKIL0NADBg1VfhF+P9f1D&#10;rO+/lPVZfzQCk+nWHY4H7Z3ckD7LuoNsTBoHhzHUZhI49S+xfk9o5ssDQkOsT0DIUR9hUln26c+m&#10;Iny+1eq22wzOP5Yiytx7kaMtwudJqC59OG5FjnEOtW/OLxW8yStHpz1nYe1PS2NUz1ncrggna+Xb&#10;xZVU2obs9yBb3Dch59G/Zmed954etCz5H+kB9/YrKUJo+89oAD66gfzOV/2n41CV7c+Y078AAAD/&#10;/wMAUEsDBAoAAAAAAAAAIQDA2xzLUBYCAFAWAgAUAAAAZHJzL21lZGlhL2ltYWdlMS5wbmeJUE5H&#10;DQoaCgAAAA1JSERSAAACJgAAAqcIBgAAALIihjsAAAABc1JHQgCuzhzpAAAABGdBTUEAALGPC/xh&#10;BQAAAAlwSFlzAAAh1QAAIdUBBJy0nQAA/6VJREFUeF7svQd4VVeSrn3/f+5/J8+90z0dZrrvzHS7&#10;293OOYFtHMDGJhljcs4555xzEkLkoCwkMggBIgtEDiLnnHOwwTh0d/3rraMty/QBJKFwxKnveeoR&#10;SGentffZ9a2qr2r9D4fRzvabmZmZmZmZmRWwhTj7H/tbtGghcXFxZgVg0dExMn16uEycOFH6Dxgg&#10;zZo3l1p16kjT5i2kY+cu0rdffxk+cpSMHTvWWZjZj2yshDobHTJGRo0OkQEDB0v3Hr2kfYeO0rx5&#10;S2nYqLG0a99B+vUfICPcGI52n/E/jmMlxO1j5KhRbh+DpEvXbtK8ZWtp3qKVWpu27XW/gwYPkWHD&#10;R+ixQsaE6rFz/77YfS48NlaGjxgpffv2l46durjvbgv33a0rTZo21+dllHue+F5HRUX7/e6bmZn9&#10;2OAi6eTkf+yfMWOGGAoG3377rVy7dk2OHz8ha1LWyfSIKAkNmyAzEma5/6+V7TvS5NDhI3Lq9Bk5&#10;feasmTPGAjtx8pQcPnJUdu7aIxs2bpblK1bJ/IWLZNaceTJn7gJZ4P7NGO7avUeOHD0mx9wY+xtH&#10;fnf8xEk5euy47N23XzZv2SarVqdI0pJkmTt/odvXfJm/IFESk5bKmrXrZJu7J/sOHNR95tZ9YT8n&#10;T53Wa+Jnbu3XLG/Mu1c7d+2WZctXyoz4WTI9PErGTZgsCbPmyNat2+XixYvy5Zdfyvfff5/+bTcY&#10;DA8CXMSISQDgm2++kbPnzsku94JbsjRZpkwLl7BxE2Wec4hbt++QffsPqMM0R/WDeU4cMgGRWLsu&#10;VccrPmG2REXHOVI3W5KXrZAtW7fJnr37lEDw+fs5fG9/3j4Z74OHjshmt33y8hUyZ958iYyOlQmT&#10;pqjTWbFqtWxz9+bAwUO6zb37y4lxDjg6js9Pu9+Ba5nvFc/IbEdcx0+c4p6PqTJ5ynRZ5AgshJlJ&#10;B6Tkz3/+c/q33WAwPAhGTAIEd+7ccY7zqKS4mfhsN9OfOHmas6myaPHSDKfKS9DfCzLYzCMORD4g&#10;bDvSdsm61A2yeEmyJMycLbNmz3UkYoH+nwjK/vSoRk7Gj2NBejZt3iLLVqzU/UJO4t1xiMrwO46x&#10;a/deJSicE9vklFAcPnJMZ9/rN2ySNPcTx/Yo+zPLO+N54v7sdt/PVWtSJDp2howdN0GmhUe57/B8&#10;We+ei3PnzhshMRiyCSMmAYIvv/pKndvCxMU624eUTA+PVMdHCsdmzz8YYwHRgHBs2rxVli5boakW&#10;CEl8wixJcmROUy3b05RUEPlgm5xENRhztidlsz1tpyMMGzVVNG9BosTExUvsjARZkJikjmnLtu2O&#10;nBx+pGgH57t8xWqJiY3X4+zes1f3Z+Qk8Iz7wv1Jdc8Ez8DU6REyNmyCklaIMt/ba9evy1/+8pf0&#10;b7nBYMgKjJgUMHhpMaO6cfOmOtmYuASZPDVcJk2ZpjOw1Slr76uJCCbj+nHOOANmqUSRtjoisMw5&#10;75mOkEQ7R45DmDtvgWp00JNAKB7VqbOdd2yPoKTt3KUpIojJtOmRSk4gRitXrdHUzv4DhzIiNNk9&#10;NjoZ9jV6TJhqWtifR6xyeg1muWv6PDjjvpDCQYMUF5+g31lSORBjnoHLl6/I7Tt3jJgYDNmEEZMC&#10;BC+sP/3pT5qDvuReYinrUnXWxQsuPDJa0wbM0HGu/l6QwWSZiQGiUwjbwkWL1YkTNp83P1GSl6/U&#10;meqOtJ1y8NDhDGeeWw6dc4BwkLLBIa1YuVoWupkyAtuZs+ZoFIXojXcOzJi91I6//fkzZuCJ7rom&#10;OAfHNW3eslWPx7UbMSl4U1Li7ucx953c7+4Lz2Fc/EyZFh6p392omDj9Hp85e06++uor993+Lv3b&#10;bjAYsgojJgUIiMl3330nt2/fkdOnz6qqP2z8JBXP8bJbkrxMowJGTHykAAcNKSFtQpQEAkfaC3IC&#10;Sdi6bYdGUzLrPHLTmXtOCcLDcUglcX+WLF0msXEJ6pSiY2aoCJKoDSSDz/F5f/vzZ3v27pfkZSsl&#10;MipWCcqGjZs0OsR+jJgUvHEPuJ9HHFHc5e5v0pKl+n3le8tkYt6CRZK2c7fcvHVLJx2mLzEYsg8j&#10;JgUIXlpff31Xrl27Lofd7HpR0hIJDRuvin6qS6gyQQiZHcf2uJhHAiAZRD/Q3yAyRXOD6JSqmChH&#10;AhgnUihU3uzbfzDfnDfnBmHkmAhVEdpCkCgXjZ85RxLdvVy9Zm36efkqqvj8w86P/VGiTFqKlADP&#10;AKXijAHH9LeNWf4Z94+o2c7de2Rt6gYlyGPGjtdKLVJvqes3yjF3r7/++uv0b7nBYMgujJgUICAm&#10;9Dc4e/as6hZwbLzk6GFCSoDoALPyYHRIXmQCh0wkhCgJAkP0HGg7GKvljqRo9YobOz6Xn+kOjsP5&#10;aXpJK4N2OhKx3pGJZE3BQSxmxM/UGTUVPV7U42H3Em0CqQAIF9sSCYKQIYo1YlLwxn3nfnOvSd3x&#10;XR0VMtb9jHZENEWOOtJy5cpVTc8aDIacwYhJAQJicv36Deewjsj69Ru01HVM6DhfnnrtOn0BMjsL&#10;FofES98jJJ6WA4e/cnWKEhGEwVOnRUhEVKymuYgkQNwKWhzskZTde/bpjJlIR5wjUIiYiaAQ5UHY&#10;DDmByPDZ+93TA45gbdi0WUnJ4qXJep2emNeIScEa40/Ui2eSHiURkTEycdJUN5kYp0QUgnzjxg25&#10;e/eupnEMBkPOYMSkAMHL69Lly5quWZq8XGJiZ2jEBKdGJCAn4snCbFwn1wshgXTgkBcvXaYzU0Lm&#10;iFyJmlBGiyjUI244en/7y0/j3LlfXvdZqnaInPi6z87XNB2zbPQHXN/9dEPsg/TP8pWrVLvCdlwv&#10;Ti8QrjNYDfIJqeTeIUinNB2NE4LXaDeRIHp35MhRuX37turGTFtiMOQcRkwKEBAT1Pv0QcCB0ZiJ&#10;Bk044S1bt6sj4oVYkNGA/DKu0SMlGiVZtUZnoYTKaWiGuBQdB23iiZJ4olIIQSCMD+fgzahJK/lS&#10;O6naDp9roE05BCtlbar72677ilkhWrpt6nolq5Q/E4FBZGvEpOCMe+s9m4jUI6JiVA9GdJNOzfz+&#10;woUL2uEVUbuVCBsMOYcRkwIALy1mVLShP3b8uHvRrdAX3dTpkTJ56nQVd+5wM+THmZBwbThaHPmh&#10;w76+JDRE8xqYUYbLOkFoSqhywTkTRSJK4hESf/sNBOOaPCeGkBXSGTdjpkZ8KHFGi4Buxov4ZL7P&#10;zMqp5kGXQtSFMmTW5yFCZMQk/80jnJBm7if3jkgYS0aMGz9Jo2F6b06ckBs3blqkxGDIBRgxKQB4&#10;/UtQ7h84eFBnxeMnTlZigrATh4RzepyJifeyP3TkqHvh79JOrZAP2vHTWA5SMnfeQk1nkALZvmOn&#10;7N3nq25h20Aem4xrO3xEUzCp6zf4UjvOiXF/IVpoR4iUoUvJfC1sR0QIJ8j6PLHu81Qgrd+46b7p&#10;H7O8M+4NhJAIF/1puIfhaEsmT1MNEZMKnkk6vPJ9tkiJwfDoMGJSAICUEC25deuWOi6cFcp+mjQx&#10;G8NJ44QfF2LCdWA4bF7yOF9e9DRLIzJEFQoREqIjpD2IGtHHhVTGxk1btCKlMEYLuF5Pl8Csmr4k&#10;RMaiomOVeFFSjNCV1A+Rk2PHfev/QGiIIJEyiHSf5/kgtcPfvLH0dzyz3DXGmeeOe8MzSKUczyeT&#10;CEhJ7IyZ+nxeueqrwuF7bcTEYHh0GDEpAJCHhpSccS8/Uhc4H1qQI35lJk0YH2f2uDggL4IAGcHh&#10;sloys086tZK2ouKGSAmRBP6PlsTXA2S7RhTYjn3423cgG/ePKAfkBMemolg3wyZCRgt9LXt2/4aA&#10;EVVBBE20BGKCkdJCd0TjLjqM4iAZByMm+WOMM2POM8i9o4SbfiWTpkyXmbPmyopVa/R7Ssk/32mI&#10;icFgeHQYMSkAaAv6S5fkgHNCOB+U/ZQcErJHMEnlxv3EkYFunDOGA8W8CAlRAZzzRl2ld5VGhhC1&#10;srYIkSKErqykTGTAc9CstMu27MPbr79jBrJ54+CNAdcGOYFsaJdfd/001CNF4Lv3uzJKoHF8U9zM&#10;HD3DylWrlaxAdNifv2OZ5Z55zzDEg1JvUnFE9ELDfKsHE83ieT5//oJGP4mUWLTEYMgdGDEpANDn&#10;4OSpUxreJ4WBYxo7bqJWbVB94TmmwuiIvdA3jcLovUEVDVoKdCLM+okIERWZOXuOpmuoakAcipYk&#10;xX2GUtk97oWPQ/BSHEQccMgeQfF33EA3nJwXOYGY4dxGh4zVFB4/WUma6MkPXWwP6OdIHYRHRGuj&#10;NX7HPoyY5K15pITvIESSyYNXITZuwmRNw/HdPXvunNy8eUu++/779G+2wWDIDRgxKQCwNg5Ol1kw&#10;TdUmTp6qkQNSGKyVgvMprE6YlznXACHhhT5rtk/MqqkLZ5CRhFmzZe78BUpSVqesU50FAliIDKJP&#10;Uj3b3U+iB4iAfdGTo3LU7Ztx8XfcQDeIFfeca+K6aRQ3cnSojBg1RoaPDJHQseP1OWBWTmpnk3N8&#10;9HDRMZsxU58VxseLmvg7hlnuGN87L8JFCocUI+vhkMLhvqEN4pkkhfPNN2hLrBLHYMhNGDEpAPBC&#10;YyZG5IDF2lD4U5FD6J4Igb+XZWExzp+l+pn5Ux47yV1bSOg4bRxH6oK0DUvEJyYt1koTVmj1iBg/&#10;GRd0N+vWb9AuqjgGSmvT3O93792nDgHnDFHhWF5EBUfiRVWY7RYkqfNm3Drrdud09JivP4tW6Lhr&#10;o/zXNy5h6WMzTiMnEBQiZzMSZmq6h89BSmjmtWLlKo2mEXHhWv0d1yx3jPvmpd0g11ThQCCJbCbM&#10;JN26Xs6cPWuaEoMhj2DEpABw69aXGq5nLRUabxHWJzzMCw8n6+9lWVgMwkCYm1k/YsH4hNkq8qRB&#10;GtEAdDSIXcnZMwZ8/ng6meDa0desS13vSNpq3Qetv+l+CpHhJ23aEc1C4mhWRm8TRLJEXBDWQgAg&#10;KwUZWTnpiAnXxHmQloJYca5JS5JVNOnTl0zUKBnEg94mjBG/g8BR8UGUiUUKWT2ZNAKpLlYaJmoC&#10;0fF3XLPcMZ4dSAkCbNJrREkgkEQ3+Y4ecqSFhTetZ4nBkDcwYpKP8ARyrKdBFca09IZqpDlotY7I&#10;rrA7nYOHjmhUAGeLkZ5amrxCHSt9SnDO/JtGVUQQiHIQYcAgJhAMnDifIYQOoWGBNMLotADX6JJz&#10;FGhTmL0uWJikBIb29Rs1JbRToyrsy4taYN4xPPN37tmxe/fnGcfimiAllEOTkoFIeZ19EU9CPlgT&#10;KTwiSlvPU/Xhm5lH699wglRp+XrbRGj6i1JjrpF+LoiC/Z2T2aOZdw+JSPmqcBJ9Ec1JU2XchEn6&#10;nB1xYw8p+fruXRO7Ggx5BCMm+QReYqyhQROmc+fPq5jR16RpukYRWOiN1YQLe5ieiMUqN9PkmhDz&#10;ktJhlkkHVCoZPGORQmalmSMbXDupCiIgVKjwOaIkzFrjHQkhqkTvCH6yfy0xnjNff+JEID44eBw4&#10;kRQiN6y5Q5Rh7/4DGp6HMHAcHFDm886ueQSEfRH1Yd/0nuFYdLBFN8OKyOgRZiTMVtIBsYJsIGal&#10;oyvrq6ChobKDn5w7n+VzpHVI9ejn3bZU7SCGZWw4nr9zMns0434yth5RpHyfiigmEDS6I2J18eIl&#10;Fa9/952v9bzBYMh9GDHJJ/z5z3+RO46UsCQ6zhuHRUvrKW72P39hYnqZ7B59Ofp7aRYWo3IEcSfR&#10;AaIEkARSNpCThxET/k2kw+fk92eIYXH0iGlpZpXqCMeatamycvUa3Q/dYYmeoF3R5mXu3zgRFkJk&#10;zSGiNssdCSSKg/aFdA/OB2KR+byzaxoVcefKasCQCvbNMSCcRDdI2XA+EE8qObzoByskE0FKc9d1&#10;wu3jypUrKoa+7H7S1hwyhaZk1OhQn4WM1ZJi0mBEnxgDNDb+zsns0YxIFM8c2ibIMDogLN4R4eRl&#10;y/WZpO08PUtI4xgxMRjyBkZM8gm8yCgtxCEiYsRpa08ENxtDN7HF/c5bB8bfSzPQzUtjIFCFDNCI&#10;iqgGL3kVfa7foKHwpe4Ffz9i4oXSPWN/nvE5ohO0sCf6QdXO+o2bNQUGuWNBNY6J88fQaXjaHUSk&#10;S9yxKVfOnO456By8F0Fh/xwz8zXda5yHT8x6XNM0O50T476tc9eIJgYdDJEQn6CZ5fDH6z0mDcA5&#10;8Teun+tmVWn6X3gr0fKT/58+c0ZWrVojUxyhGeu2RXTJfmjCR2k5wmDSZf7Ozyxnps+as337D2oK&#10;BwKIxgchMveNSNz2HTvktPuM13beSInBkHcwYpJPwPnQuhryQXqDGTDVGMyq+T8OnZkwzs/fyzOQ&#10;jRe7F+3A6S9IXKRpqtlz52mkg4gCglYcKy99dBVEF/h9Vq/XIyoQg8OOTFDNw+wWwoHmBOePmBjS&#10;w++SlizVhm0YuhZ+eroX/q1EZY0jKpu3KFHIythDYIi4EAFiW/ZDozgIGPeThnEQTcL/9CXh3hK1&#10;oeyXiBFl0ETLSOV99dVXWtXhzbz5yUycNVf27TugkRdm6qw2rc9JZLQSLAgeESV/52eWffOeXe4t&#10;yyNAHBEicx8pEYbYkpajSzPaMAikwWDIWxgxySfgeM5fuKhOzVsKH5EjMzNmwczcSQ88bNYeiMY5&#10;82LHYXrXp6skO0eKmJXoBIJWUhSkOYguQAioWMkOEfPICeYRIbQrEBMiFDgVCAakhX1rVGXDJnXy&#10;3lo8RFEQ0vJ5HBAaFpw9ugL26e+4nrFvxKykqijpJUJDqmVUCCmXUG2UFjImTCa630fHxOkxmYEj&#10;mLx06bJGzBBNfvvtdxnrqmQ2nhH0C9euXZOT7lxWrV6j4wgxQWdCegGCZ8Qk94xnSrUl7vu3YdMW&#10;JZJESiAlRN2oCuO+063ZS+EYDIa8hRGTfAKO6NTp0zrTRv/gm5FNUeEmzhynmB0nHUjGeeMsiZaw&#10;IB8REwgXlTVERYgSoDUhAgAxIaVC9ADCkpNrZhtPqAgxgeQxnvzb+xukBf3Hrt17NWrD8YlcIJLF&#10;+VDpQjqN9Av35N60kj8jfYOwN37mLNW00JfFF+6PzOg3Mn++b0XkFHc8tDFHncO7evWapgCYbUNA&#10;HgSc3507X+vsnJQfM3bEsNPQp7gxRZRJ1M3f+Zll37jnjCeiYqJoRLmoiIIIIt6mUo4I18Pum8Fg&#10;yD0YMcknQExwlszQadSEo0E3QP4aDQYzt8IYLcF4uZPiIPJDfxKcPSkOCAh6EAgIpIHSX4gJaQ2u&#10;GTKTE2LC8bQc1+2b6AspFAzywf7QC/AZojiQF4jRnr37lXzQU4QoBis44+SJfrAPr3TZ3/E8I6pC&#10;KsoXcfGVLkdGx6lD0+Zn7hhHVFh7StuVX758RcWSX399N32Rt4fPtr2UDpETxo2UFNfGM0PZKuMH&#10;2fN3fmbZN54R7h0rB8+In6WREqJgdCxmMc3j7u83bt40YmIw5COMmOQxvBA9ratZtI8XHu3H0SAg&#10;hiTNgFP399IsLAYJwLGjHSFasmjxEk2rkJuHFCAq5Dq99IYvdbJXQ+Q5IWMQCEgNVUxa1hk3Q2Jn&#10;xGtlU2ai45E9z/ibR1YytCKOPBHlQa/ij5h42/E3IkI0h/P1GJniZtUx2keF3iIXLlzUxnmE/Lnf&#10;nnH/PcsqvGeGqh1EwmhYiJqQJpozb75Gge49T7PsmXdPeY5IM9IIEBE1FVQYBJuJBMQSkpid+2cw&#10;GB4NRkzyGB4pwWnt3LlbBZo01yJkPH/BIl3+v7CH5o+fOKWzTipkcKJUGaGFwJF7kY3kZSs1/UE3&#10;WCIrlF5CEHD8/vb5IINcEInhmIhdSa2QRkFP8rD9eQ6JY3NenOODojfsj2vgeLTJx4HRY4T0DddC&#10;1RF/5/7iwHKrTTmOkOND7kgpaPdRIya5ZjxD3H8iaIiYuZ+QP76XPEuQVnqWkIIjgmXExGDIPxgx&#10;yWPgqL766raKH3nZ0WcD0Su9NiifpW/FgYOFW8yIoyc9Qstu0g6kR3D4pCKUROw7oLoLBKc0CmON&#10;HJwCDj0nxISZLKW67Ic1ZUgbIbhFD/Cw/fF3DBJCpIdzx/i/v235HdeBJoYOrty/YSNGq4ZmzZq1&#10;GgWj9Ncr+80tB8Z+0DbQH4V0Dk3ZjJjknlFyzdiSYuS51UUUJ03VbsM09yMlx/c2c9TLYDDkD4yY&#10;5DEI7VMmnFmoqetuzJqjIWQWp+Nv/l6egW44c4iHilvXrtN0CjNOOpqSKoF4ePoT0jsIRZmNUpFD&#10;GodtH0Yk/BnjRZdcOqtCgojUEHpHbJqT/fkzj7xAWigjpaEbTouoDxoEyFBa2i4578gDizLiwHIT&#10;OEIWikPnwPUhxqSvCVEa05jkzLinnvaI1B1CZohyRGSMPpuQaiqhiJ4RLaGvjMFgyH8YMcljEN6n&#10;GoeQMfoKwsU0AyM8TyUAs3EiAP5epIFuvOR5iRMdgYwQRYiMjsl4uXuRCESjRDRw6HRE5br5G9vn&#10;hEhAakhx0J/EW3tnTcpaYQHA3CImXkSF7q5Eg+bOX6DkgPuHEyPahTDy9u3bSj5ze0bN/igZRmNC&#10;5RbHJuJEHxYjJjkzj0jzbEL4WN2bFA5lwQiZ58xdoAJpKqLu3LmjKRyDwZD/MGKSx+AFhyOliRqr&#10;xCKaRFxHXnuXczBeVMHfizTQzZt5sobI4iVL00WoCaovYTFCb4bKyx4iNnJ0qJbqIhb1t7+sGqkv&#10;BKtELXDUCGtp1Y5uJbeIiZISd28gjkRLotxsmntHXxHSKmhLqLrJKxCBodQYDQ2lzSz4p11I3TgX&#10;drF0QRn3FFKCpkjF2I5I01WXKitWcl6xco1+xmAwFCyMmOQxvnIzahwJZZ409GJmhpARh4POAude&#10;WIkJjhsBKtGSRVoiPF+vE90M10VURNMu23fo7JRIA6kIUiP+9pdVo58I44feA8KjKbGdu5Ww5BYx&#10;4fwhOlwL1zTFzarpO0NfEdJG/O3mzZvpdzn3ATHBibKmEukxUoCkHIjUcGx/52z2YNO0XNpOWeEm&#10;CfSwIVKCEJ3vpVcdl5dk02AwZA1GTPIYVGvgmBHY4VyY9UbHxmvPDa9cNrecaX4bjpOeJHR41fVo&#10;aCzmSALCVCp1ICW87EmFeGva0EmTKIu//WXFGCtSQ5AFek4QgdGyZHcuXpTG33bZNe6Nki7nsKjE&#10;CRs/UdM4pI64JvqUEA3LC5DGQTQNASGNQw+T6RHR2gcGB0r5tb9zNvNv3neM55HKqoRZc/VZ1LWM&#10;nJFiZRkABOqk5gwGQ8HCiEkeAcdCjvrqtWtaxsqsl5chDblmz12gvyvM2pLjzmj7TuSCCiNEhIh7&#10;EaDuP3AoI2xOS3qqHBIXLdFwOWXDNDvzt98HGY6FGS9RGoSvRF6IYHBcFtJjLDmnRyEmbKuCV7cf&#10;SAEdYek1Q78SVvjl3pGmOnfuvPa3oLV8boPnhvJyKkIgtJARUkhR7thoIFLWri/0VVz5bZ6uZLt7&#10;bhBLM0FAr0NajkkCJftnz57TMUcvZDAYChZGTPIIXvfO8+cvqhjUexGSCiCygAC0MBITJQjOcSMK&#10;JSXjWxcnXBJmspLwBtVkQB5w8PybEmmqZ0hJUImE1obyYX/7fpCxP/ZLtII+KBASxtRbjwcixGce&#10;lZiwH66NdXZUrJze4ZVUDmvV0NQNBwZ5yEon1+wCx0iU7cLFS+owp4dHqSYJ7Q7PDSXRRHP8nb+Z&#10;f2O8IHl0+OUZZMFH7ilRzBUrfS3+IZqUfOdWHxqDwZBzGDHJI1BqyKJtzPJxKKwSi8iOmT4RBDQR&#10;/M3fizSQDecPoYJ0UPZLrp4ZPSkVSAjX5JEESAQiUfp/0HofEpGybr1u62/fDzL2R1ky6RWIHikO&#10;uueyX0TEj0JIPOMYLOYGcSLkDxlAsEu0hHblRISYfedlTwsW+aOLLNdKq3t6a7AmD+Ps09LscgSt&#10;cEba8tN4HrifGFVMRL8o9yZagq4EwodWiL+dO3/BSoMNhgCCEZM8Arnqixcvyl7nnIkqhIZN0IXm&#10;WGsFB84srbASEyUIbgZKtQqCV1I0rAEE2fJICUY1DhES9CAQCK4dvQmr//rb94OM/eJEIAxLliYr&#10;yaEnCmSBtEtuEBPfMfbJutSNqomhZwnEJNpd3yp3Hfv3H1RxZF4SE6IlpB3WOBLC7B7BMMSIMWTW&#10;D6mDHPk7f7MfjOeBcSJaworQfAchJVoaTCM1R/SIWp53pOTWrVsaLTEYDIEBIyZ5BCo2WOtki3sp&#10;8hJEaBcZRQOnFI0kIMTDeft7qQay4bwRr9JQjaZpVMWwfgzpGiINHkHg2jSn70gEaReICcJNIh7Z&#10;TUWwT0gc6RU0LVT4kBoiErVx02Z15I9CTNj25CmfI4M0UoLMvRo/YbL2XiHKBflhlWBW/s2LniUY&#10;lThX3DFwmPR7gcjSjA9nynVDShD4cg/8XYeZz7ifjBHPhTZSc985VmamfxDpPxqpLXfjSTk26VbS&#10;rrndIM9gMOQcRkzyCFevXlVntnLVau1DATGhLBHxJI6ZdEhhIia87D2CQLQEUkL6hsgClSubnUPH&#10;EXif59o2b9mmTh1dDcQEwS8aDdIlmff9IPORBp++hNQRJIj90QdmbeoG1blA8vicv+2zYjgx7gmt&#10;3onwIDhFU4IR8sexnT5zRtdNYWadF8QEbcnt23f0XDgHSsrRJFGRw/WiNzl8xNfzpjAS2vwyj5R4&#10;ImlSOPS7mTLNVxpM9Cs5ebmuW0UVjhESgyHwYMQkj0CImNk3IWRm37QTx8EgXvR0GI/iTPPbMhOE&#10;1A0bVTgY4a4LgrDJERAqdBCNep/n+iAiaDOoSFqydLmSCNI42UlFcMxjbrwoB8bJ0LuEFAtpISIo&#10;VACxv0cZS0giaSec/7z5iUoI0M1AJH0pql1y5cpVnVkjjsxtYoJzRFB78dIlJUdEhHCiVHFBaokM&#10;0TnYu87C9NzkpzEuPHdH3TjR64aVo2lqyP0MGzdRxk+YpCmxfe5ZpeU8RDC376XBYHh0GDHJI5x2&#10;L0kcKQJKHCmOjpQGszh/L9VAN33hOweONoYIAl0z6a2xbMUqJSX8jc9AJDD+j1jTRySiVACrvUac&#10;08jOjJ8KoIOHj2hvlKXLVuhYktpgfzgf9nciG/vzzCNanDMpEsgWTosZ9bjxVG1MlQWJi5Rcnjh5&#10;UjVDeUFIIDpES1gIUNccSlnnCFGCjBgVom3oIUYQvD1792dr3ILRuKf6jLr7SQk50TxKyolWck/p&#10;3osY+8qVK1aBYzAEMIyY5BFYR4WZLjoBmqqREsDxMfv291INdGO2DinBUaN3oDxYFyJcl6qEgyhQ&#10;ZlJCWocZK46eiAndNknhQDROZmPGz3F3792nLecXu/GE6BF5gvSQfvGO62/bBxlOjH2zD3qvEIGB&#10;RHGvqJ6KmzFTIyjs+/r161q1kdvExCspp3rroCMlED76pvDMjBk7TuLddaLlIf3FarhGTB5s3FMi&#10;cjTcW7Q4WckzonPEwzyrjC/kD4ExpMTSOAZDYMKISS4Cx+XZYefw5s5bqCFk9ALoFliiv7AtwMbL&#10;HiOFg5gV/QPdTxG9ksZBWwIR4TN8HqLgdXylbwSiQxw+kYDsNkDjs+yLNAbEBp0KGhOOC0HiWN75&#10;ZTaPID3I2BZSwv2AXBHyRxyJ4JW1cIhUHHAzb28xt9x2Yjwjvp4ltzTtt3HjJl8zNXd8+myMnzhZ&#10;IzaQJsbeu1Z/42Tme1a4r6zWvXjJMk0zEqWkqopqnJWOlPAsUVX1jRv33CaZBoMh92DEJBeB8yJE&#10;zCyYMmF0GMx8WYCNrp2sgIsg1t+LNVCNl72X7qD9PIQE3czSZcu1JwlVDzhN7/NEISAlrDHDui7x&#10;M2fJzNk0X9uo+8q87weZ52g4LtERjov2gt4ea1N9x+W8MI6J0+GzRFdIlyGUJQXCcTEiLlS74Ohp&#10;yMaaKXwGojVvwUJNN1EBExEZrQRomyNDdHj9/vvcD/fjFJmxM3MnssZY0cxtytTpmnKAGFEKTSqQ&#10;54XxZSyMmPg3xkVJprv3PJNUNLFcAUsIkPrjeSVSSboMLQ9E02AwBC6MmOQicDZUbly/fkMdIK3a&#10;Q0LDtJ04UQZKW3Ge/l6ugWpEOYiI6Ex06TIV8s6aM1/7bPhSDId/RDhI13g9TqjcoVQapwsJyA4x&#10;gXDgkGme5h2X6gqiG+hN0J2wPy8dQ+QDBw/5YwVeKoYI5VMaiiHCpUKIaAuEiegVDgs9B9U3NDGj&#10;ZwgRGYSwNDn76quv8iRSwnMCgUWAuck9E6Rspk2PUIE0aSQ6zFK9hTNlPI2UPNh4VrhnPBvzFixS&#10;kkkKh/vOs4fg/OSpU6oT+u47Kw02GAIdRkxyEczEvvzyKy1D3OQcMWI7iAm6CK+HR+aS2sJgpBEQ&#10;E250L3eiFpRd0kGTplVEKSAGmQkHJIGW8QsXJWkTNNIRaFIgalklJjhhT6dClMN33AglJpvd/3HW&#10;VOqwP84BUkJqB1KyeGmyRhsI5ePkmTlj6DZIlaA1oIsqhuOCkIweE6Zt3xHzrlq9Vs6cPast57mf&#10;uRXyZz8eKaEXCroV9A6JbpxIIUFKSOF4K90SKeHacLr+xsjMF82DvDJO6zdu0ogazf5oN8/9JErJ&#10;ZOCYe5auufFm7L37YDAYAhdGTHIRODKEjGgGSCPgHEnlkNLxtRPfrS9Rfy/ZQDQIAivZQkKWr1yl&#10;0QQcJ9Gf7Wm7lBzgODPP5nG2NFtDoDp77jyNdnipl6wSEz5HZAmygU6F40LuIB2MoXdcPocgVyMl&#10;a9dpzxhIEOkejotxrhjiViwpvSkcmhJm1lRsECkhcrI0eYWe57Vr19SJ5ebMmn2xz7vffOOej/N6&#10;nOUrVkl0TJw2cSPtMCO9NJj+L/5In9kPxjPH+PC8kZbjnqNlgsAiNI9zzwupsCNHj6Y3xrvj7oER&#10;EoOhMMCISS7iO0dMWAzszNlzqmugGgXHRzqDmRvaCyIB/l60gWi8/Enh0EANZw5BIM2wyr3wKV/l&#10;75lJCUZ0hRVcye0nzPItkkakCKKRVScL6SCNARnKOK4z1Vw4IuIdl/3h4CFCHBNSQrSBtvc7HIGh&#10;jJnzodcJaSeIToojMFRH0R+EsmOiJYgkIS+0oz/nSANOLLdn1hATiCvpIcgU4lpEmayhRGkw0RvO&#10;3xsrj/DdO75mPmNciObxfEJ8Z82ZK2HjJ6pGh0owSOievXt1ouCRTIuUGAyFA0ZMchEeMeHFuS4T&#10;MSEFQdQBh8Qs796XbKAZDp/zZNYOoSJEHhc/S39ql1d3LZlTUh5JIKyO/gPHTwSAtAmCWa8F/8Oc&#10;rLcP0kGUfEJKiLx43WUhFpmPy+c1YuJ+Tx8StiHaAAlhJo3jos8J18I+SY+w3gxaBLQmvnLS8ZmI&#10;CQu6OWLy9dfpd/TRgUPEIDsXLrI438H0PjDx2iuF5l8q0ESH486fc+S8jZD4N8aF+8lzQIM9qm3m&#10;zl+gxI5UGGRPm+/RL8h9Fs2XwWAoXDBikot4XIgJs3VPUErVCukbbfblnDkkAOeZ+To8Z8E2zPiJ&#10;buDsiRRBJogSQTge5mw9UkIUxCs1ZgxJyaAtIVri77g4KaIMkBH+7ZXX0ngN8uIRHk+3gqAWMS5k&#10;gPNEj4AQFtJyyn0WkWRugBk6URKErnSORaBJOoq0FMfE+DciYSJsXkTt3vSY2Q/GvdT0zc5dGimD&#10;/KIpgeRBhr1n7ty5c1qKzfgbDIbCBSMmuYjHhZjgHHGSlNjiNJmNhkfG/FWXV+/zOAvIANsgfKXD&#10;Lc4C8SspmYc5Wf6OsV/IEPqcxCTfQnocG5LitbzPfNx7t/fs3r9nNrYnigLJoXssEQtm2tyjDRs3&#10;6TmQbskNEClhxn7jxg05cuSoakogeDhRdC1Tp/siJUR6KHXl2A87/2A1j2Dy/SF946vASdRoExod&#10;7iPpOaJRx44fz7P+MwaDIe9hxCQX8bgQE6IWpBWSFierpgShKFEQ0iWU6eLccRLe5/k3Wg5SPGg8&#10;KMslVYHug+jEw5wt27NPtCCp6zdoiSfkhi6ovhTHFj0noh6Zj5sT41w4Fp1UKWmGHBC5YOaNhoVU&#10;y003084N4Bip0GJtFvYdP3OOVghR2UQaiWtDHwEp8cbV3zmbpRNKR9wOHDysY8bzCGlFJwTR4/8Q&#10;y0OHD8uVq1c1SmW6EoOhcMKISS4iUInJqdN/HVXw2b2f8/2etAgEAxGhajwWJmlKh+oHzt/7nLcd&#10;TgNtCS3oiXR4glX+74lVMx/nXoNsQDpI4ZDqIKrA7BetChoVfs/f7z1uTszbB06OSh4iQZpSiUvQ&#10;ipjd7lg3bt5Mv6M5Bw6RNvYch0hJjCNqpI0Q2/JcoGkhUkKUSdv0uzF41Gt7nI3nTtNw6c+IRygp&#10;Cacah74vNMQjDUdHXY+UGDExGAofjJjkIgKJmODoSK+Qj8f50e0UQSC5eVawJWXC79GLeEYpLn1D&#10;1qSkatSDvh6zZs9TkkJbeM7f36ye3yFExGFQIrzQEQrSPjS2wpk8zOF6s2HODWLDejWU0SK2hdxw&#10;XhATf9vm1LgPrIWDxmOyc24QByI1kC96jDwKcIw8B6dOndHIE51ISTVMmjxNf9IHhmNzD4gEGSHx&#10;b4wLzwb3iueTsUxetkLJMiSP8WTNJqq3eDZJmXnpGyMkBkPhhRGTXEQgERMcOcejPTtRB17otFqn&#10;4ymiQdau4fc4SNInGOWq6ELiE2Zrt1pmpZADzh2CAXnwl0rhWHwGhxsTN0MJCuJSym+zUmFCxIDP&#10;QW6IkpDqoDU8TdA4p+07duY6MWF/pIg4Bi3gISacP8LJq9cejZigUeE+40gR1ZJuoJEbFSOkjNDM&#10;oJNgPHP7uh4n47lhHHn2uC88Gz6NzjQJdd+riMgYjeRBvunU+/XXd42UGAyPAYyY5CICiZjQhExX&#10;5XUEgVQCERBml6RYiEpQUklrdhy/Z+hJ6FZLi3ZICQ6bihjC5/6OgePAEJOiP4mLT1Dnyzo6pHY8&#10;XchDiYn7DN1ccdZsSxUQhrYlMWmJpjxwTnzuUTUmnrEvSovnL1ikKSuMRniQCSposgucIboGxK6k&#10;FHCkkDwEvJASZvhcD8SQvzE2/s7L7IfUHmR17z5HrrenuWd4pd4jUmGMJ1Gu+fMTJS1tlzZQI4WT&#10;F+saGQyG/IcRk1xEoEVMWAKe9AhVLqRWiJiwjgwRDfQURFEyExMcKd1HcQAs+4/4lBkpzdT8HQMH&#10;Qqj90JGjWiWBoJMqiaVuv4he6V3CeTyMmGi43n2Ome+WbdtVlMrsWNvHzyZqskpJBOH8o8dyZ/wy&#10;ExM0CkSI0LUgoLxy5Ur6Hc06mKmzRhKL8kE8aKDGjJ7xIDVFJ1IlJe769Dry6TkojMa94VkghUfH&#10;ZJ4Fxg8yMiZ0nEa3INWUd9OrBFLCEgI0UjMYDIUfRkxyEYGoMYGcEIkg6qBt253TJ4Liz3CmRE0g&#10;A7rgnfs//TUQw97vGDhYjkE3WKokaAlOe3CICYQlK8TEi7xAUHyz5P1KdEiz4IQ4F84PIuFpVh62&#10;z4fZj4iJIyWIYCFWa1M36NL4WQWREkgJuhLOia6zEDxSDiwk55WxEqGiBwzXx3XmVuTncTHGjjHB&#10;iCaR1uMZIMJH9I6urmHjJsr4CZOUYFPpxCKIrE1lnV0NhscLRkxyEYFGTHC+HjkhHUNIHOeItsKf&#10;0QOClz66CEgJs1JSG8xeH3QMSl1TN2zKIBI0YiNKwzEPH8l6F1PPOaG94FyJ4jB2aD/4SfSGJmWe&#10;NuNRyMnxE6f0GBAGokOsr0J0gzHA4WUFXvqGGTtlwfRsYXbv0+dEqDhT179x4wgxhHBxff7OJ1jN&#10;u+f6HDnSiTCb9KN3771F+SB4rNatjfC27dB02VdfUYHznRESg+ExgxGTXEQgEZOMFz5pEndMCAoz&#10;UV7+9zMqb3DMOGsv1QNhoXfEg45B1ASBKg3LiG6wojAEh2gLpCarBILPYTgpojScD2Rk9pz5GoHQ&#10;XhXOwfM3rier+/VnRC1IFfj2P8+RkigZP3Gyc4gr5PyFi+l39MHAISK4PH/hgjunA1q9RNQIPQmz&#10;fCIlkDvSN4zD/cTDwWyMB/eCtB8VUYiy6e9C9MrX0dVHSuITZrlnc43s3btPzrjtEBhDComWGDEx&#10;GB4vGDHJRdyPmDDjJ/Lg00gE7iJ+lA971TmeeSW//j7vGc6Fa+Ma2cbTqkBsWLfGS11kh6BApjzN&#10;CZVBiGopEyWlw+8geezXIzP+9vMgY1siOmgYIFNEOEi9QMhYHfphoCyV9A0rEUOUcKgsJDd+wmTt&#10;6opj9XqVEFHydw7Batwvxp97DFnmXpK6gRRDPiOj47QRHesYTZ0WkXHf+RxCVyIlpicxGB5fGDHJ&#10;RdyXmLgZOaJKHP/jSkyY8RKGJ0qCboMIBwTFW/APJ5QdYkLUhLGisoheJjRtI/KEBgbygMDUi0Dk&#10;lJhoU7g1a3WfaGNwhFklJqRvEMkectemXV0TZit5mjBpiqaEmPWvd/ccrU0g3/OCMO4ZnXchrZBZ&#10;Ik2+hSJnaqSJ8mrG0iN3mzZv0WeIkmBazUMIjZgYDI8vjJjkIjxicubsuR8Rk5mz56jDZ4ZOCsLf&#10;yzoQLKfExCMSXBvheHQAtAmnPBbBLdfNzDg7BILPeoSH2TT78UL8ODD+r4THHZfP+dvHgwxigiZk&#10;5arVGumgd8rDiAkpAwyhJTN31r9hbSAaqI0dN0HLWOlESuv51SnrdIbvkSd/5xAsxr30jLFgTHgm&#10;eNZI+dHkbsLEKTI2bIKEhI7TaAm6H1KKO3bs1FQZqZu7d++a0NVgCAIYMclFEN6/ffuOXL12zc3o&#10;t2v3Ul60hKJXr0kROq8eOnzU78s7EOxRiAkOB3LCPtCaUIJLuTF9SRDC8vucOGgiLaRKGDvC+Tgx&#10;9o2gdOt2Xzfa7ERjPIOYoIvh/CBQRDmmTJ2us3dm5v6AU6RPCavWQkrWrVuvUSHKgkkDsQ8qmjhP&#10;hLUQNY4T7MTEezYgpzTdoxoKbQ9jx/0kSuLT5URo/xqILakxhM6UA0NK+G5ZlMRgCA4YMclFMJND&#10;kHf3m2+03TgvXRpCUamC3sIrd/X38g4EyykxwTxywmdJ59DeHceDk0FQCrHIiYNmG5/exLdf0mI4&#10;r/kLEzXagd6EqEp2iQmOcqvblvb5rJODaDUmdoZ2wr18+XL6Hf0xvkFTcv26256y4E3akI0ICQJN&#10;fqIlSnFkBYfKOEBKOK/sntvjZkS1IGmkztakpOozwZgzZhASxo/UDem6de754zk85e47+h1ISea1&#10;bwwGw+MPIyZ5hIMHD6nuAGLCDJ+wtK/CxX/pbSDYoxATzwjTe9UVhOmJmiBoJOUBwYBo5MRRexEO&#10;Ui2QE0qT0ZzoQoH79mdEJrK6b4iJ18eEhnKQx1mz58jmzVvkytVr6XfRl75hps6M/datL9PPI00J&#10;DSkHImKkgYiKEW0hIsC+PVLi79jBYNwLxoHngYUcafS3Zm2qzJ23UEuzJ02Zpr1JICWUBKMxQZPD&#10;5xn/O19/bUTEYAhSGDHJIwQrMYF8aJWFc95sT9QIvQACUa8TbE4iJzh62pMzhqSKZs6eK+GRUdoz&#10;BSKEQ8sOGfBPTOY6YrL1r4gJM3ZSdGfPndcoC9EatC6UF+NYKWfm+kjfIOr0SJK/4waLaQrOPes0&#10;9yOKxH3ypcyiVE8ybXqkPhv0fSFK5fV4IQ3qWyHY+pMYDMEKIyZ5hB8Rk+g4jR7QFfR+XVQDwXKD&#10;mOBccEpsQzSD0k/f+jkrdOZ8JJ1A+Nv2QQbhoF8KKR0acEFMEKvi7DY4skKXWY6bHWLCtc2bn6j3&#10;B3JCdGeT29flK1fVKWKkEKgEQex64MAhRzCX6kx/3ATWv5msOiL6a0DGPE2Jv+M97sa4e8YYoCch&#10;SrI2dX1691ZfOTbfB6JMELulycuUVJ49e86N8deaBmW9G0vbGAzBDSMmeYTD7sU8Z+4CrdRAv4AD&#10;pGcGs35/L/ZAsNwiJjgmIhiIXhNmzdVQPYvx+VYc3pujyiTP4UFOduzcrakUykohJrTZZxVlZuhZ&#10;JSboHlLd+bE9a7CwcCELGBL5YB+3HRmBkGikxDnOXbv2yMqVq3XNlpDQMF8nUvdvCGewt5pnvLz7&#10;TkQQjQ1pGXRVvu6tcRk6HP7N94IVrqnMOXX6tNy8ecuErQaDIQNGTPIIOGbauuM8qdogekK1Bo7Z&#10;38s9ECw3iAlOyiMRCFMhJCzGR/qDlYohJ/frJPsw0/06B0h0YuXqFCUVCE45BuW5OEQ+42/be437&#10;A1Hk3oS4WTzL6NNCHqJBVOvS5cu6yjDr5uxy+12UtFg/S58SZv3RCJozFuV7tGZvhd0gJZ6ehHQW&#10;Whua1hGJYrwgJXwP0OFQjQMhOeE+f+Xq1fS0zbcWITEYDBkwYpJH4EVNO3IWh8OhkSpYvGSZNpXy&#10;93IPBMtMTDh3hKZEPXKii8FZ4YBY3I/+I8ycIRIrnGPas2//Izlx0gRoTTg/KjlI6xBBoREXLfhP&#10;sm8/22U2nChpBqI5Y8aO0/QCHVsTZvp6zjAWEBSMSEl4RLSSFzq7Ei1ZsDBJm8cxNuwr2AgJ1+sR&#10;EtZDgizuSKMvzBpNiYVHRMnESVN1TCmj9oj53r37lex5JcBeysxgMBg8GDHJI5x0DhIHj8YiMipW&#10;IpwtSlrq683g50UfCIYAESKCAyFyQFknUQWcjr/PP8hwXDhteo0Q3SCyQSifMmIcmJf2yIlDhwjQ&#10;UZV0AaJKyAVpFaImh48eU2fJvv1t6xmfoddMYtLijFQDGggqbFiXhSoRIl5JS5Zqe30EmxipHMaG&#10;0mXIC+fiRUv8HedxNcbX0xLRqI7nBCErY8UYEn2CzHnrBRF5o0vuhYsXNUryzTd0b/1z+rfFYDAY&#10;foARkzwCL25C2kRKICbT3UualAMLx/l70QeCQUAQ6EJMIBDMfJkBQ1j8ff5BhqNGD0J0gwUMKe8d&#10;PjJEZ85Uw+DUckpMdJbuCAhiWkS1pAkgFqSKDjjnB1l4GDGBTFDaC8GAgKADokvvyNGhMmLUGP1J&#10;FAWhK78nfYPDpbrK61PiiW0983ecx9UYX6qsSE2uXZeq95duv0SfGL9x4ycpwfOVUO/V3jA0p0Pg&#10;6olbLVJiMBj8wYhJHoEVUNeuW6+pAYgJ0QKqE7bt2On3RR8IRtqCclgEoMx+aSAGSdmzN2fEBOcP&#10;SaA6g1TLuAmTVW+CI8NZ4dgeRiD8GdvobN2RHnpjxMQlaMqM6IcnsOW4/rb1jH341mvZreQEwkGq&#10;iS6kPucaouRkVMhYPW/SEUR9OHcvfZOTcy/sBilk3FgXiSZzlG7PceMSERmtQm9ExJBxIk7rUtfL&#10;PkdqEQ97qwFbxY3BYHgYjJjkEVg6f8uWbZoOgZiQJsDxkT7w98IPBCO6kdlR038kedlKTVn4+/zD&#10;DHKC8yaysdzNnH0VGfO1WoPF29gv5MXftg8yb784SaIvaFgYW4ifCmy1X8zhjEhGZsu8D428pOsj&#10;qOqh3wb7oPmXFzkhykOpK7+nkoTyVrYLxvQN16trFzlynbJ2XUY7frq3oiXBuA9E2UjvIHC9fv2G&#10;VjehJzFSYjAYsgIjJnmEi5cuqRNjdVSICZUf6CDIteNUA3G2TckrZAHHnhvExDPSHpAdKjVwZqSJ&#10;iMTg4HJCTDxjDCFSaFh+ENjO0Vk81SFENjzjHCBeXKPPjmvUBcPZEhWi7NerpPL6beBstZpk9Rpd&#10;TJB9BRMh4VoZ56PH0JMc0WeaiBr3kfQXixciCqbkmkgJqRuqlCDmX371lRERg8GQbRgxySNQborT&#10;RPjHCxsnxxov2nbbOUNm3YHm4PKKmLDfrdt2qNMiRYR2BZJC1IRx8LdNVozx23fgoBKKFbpK8Lx0&#10;8epsJYSrHGHxjBQM18V5bNu+Q0kRVUM40Ywo0dJlSh7RR6AroUspFT/LHIliGy+FEyzE5AdSctyN&#10;0R7t0EplGSk+muZNnRahhISuuTznjC0kD1IOKfnmm2+MmBgMhmzDiEke4cqVK86h73XOeJUSEq/b&#10;5Vr3ckcboeLPgCUmm3OVmODY0H0QLWK/pHQYixRHFhgHf9tkxXCces779ss6RywgEUQ6EMLSQwOC&#10;4hlEiPJiyBFEhSoSKpBIrfEzaXGykhK0QES36OzK/uheS5qHe+alb4KBmHCNXC/3B+0RxI11bqi0&#10;oWRax3nSVB1nxpV0GKsuZxa4WurGYDDkBEZM8gisQsvS+LzQEXwyA+clTkkrs3wcaqClc5jtEkVg&#10;wT1KYimNzQ1iQlSEVArkBKIWHRsnkdExmh4hveJpNvxt+yBj/Oj2Skky/VHQNyDADI+Mllmz50ni&#10;oiTV+GBEanCg6FswZviekVqClCDcJAKgUQBHJvmcdpR19+tRCFRhMggJ94Pnk2osiBuaEYgdpISx&#10;IVISERWj6RzSOtzX8+cvKCGhg6uREYPB8CgwYpJH+PLLr+TsuXMqAkQ4SR6enDzOeLdz9KztEmjE&#10;5Afx6wbtucLS9LlBTLhOnB3OnZRK7Ix4dWy+ip99SohySkyoDoHsoTFBC0JVDYvxsW+ug+Ox0jFR&#10;kuUrfI3jIF1UjRARIXqDuNWXvhmnzdNmxM9SEuN1veW8H0ULU5jMi0IRASH1RYk7GimiUJBrVlSm&#10;NwnjQ3rrlLsHN27c0EiJRUkMBkNuwIhJHoFKBDpcMqNntj42bILm5ZmFs/Ius/BAc3ZoKDg30hwQ&#10;E0qdc1oufD+jnBfiQCpnSfIyLU/GCWYnIuGlUxg/r+09pITIFGSDVvH0TiH6AzHkmiAZaCSY/aM/&#10;8dZwoaKENBupCY1qud+RbiKd5a146+8cHidjLLlO7oFXQk0p8JKlvrQbFWUYY4WehGcYEezpM2eU&#10;kBgMBkNuwohJHuHu3btaKnnUzT6ZoVPdQQgckkITMyIFjyL8zAuDLOHAWS0X5zx/Qc47v97PEEjS&#10;b2Tm7Dmy2Dm+NWvXKXEgauLv8/7Mc6RoV0iVkcLR1MLCRULvGI4BqSDa4VXl8H9SDlsQyq5crVEs&#10;X1XJREdMwnSlYFJA8xcmqUAZMsY5cSx/5/A4GdcIKeGZpM0+ZJSeLZFuTLWtvCMljBUEMHXDRn0e&#10;zp07Lzdu3tR1bgwGgyE3YcQkj/Dtt9/JV1/dllOnzugMk7JK2nTTx4O8PG3ZA42Y4Ji8tXI8HQYk&#10;Csfu7/M5MV957xpZuChJCcriJUuVCGTnGF5qiNQT+5oeHqX6kKXLlut+SEXwdz7nmZdKQigLGZo9&#10;d4ESEaIkGJ15iaLwNz5DNIbt/B3/XsOxZzZ/nwlE41xPnPSNjY+UbtH7TvSJ9vsQNiIlPLfeUgKn&#10;3TbXb9yQbxwhMT2JwWDICxgxySPw0qZckn4OCD7D3MyclVYptcTxk5/PTvoiPywzMfHM01n4+3xO&#10;jMgFaYJlK1ZqN1hm5iz0RxM2f5/3Z5AGTwdBaibKzeaJmKAjYUwhFJkJAv8mugJpIfXjVQZRWoxm&#10;grJgFgPU6E3aTm13n/l4DzKP9GSYO7fskJqCMMaD8+M8ISRErNDi0MMFfQ0pR9I2kD0qmpId4du+&#10;PU1Jyc2bt+TuXSsDNhgMeQcjJnkERICQE5bOx2FSLUK6gOoP+mXgIHGW/hxHQVl+EBPWskGfQIoI&#10;waqv+mWlsG6Nv8/7MwgA54SGhIgJa7Kgh0FDgrO9N2rB/yElXi8VIgK0mUfQSYqCtA5dX7l+0jfH&#10;T2Rd+4ODpy8NZAayxD3l/PydR6AY58X5ca5U3SxNXqG9ZSBolEmz5g0i4jlzF6jW5sSJE7rWDYvv&#10;kbr5/nuLlBgMhryDEZM8Bnl4dA+EwwmPIx5EZ4LDD0Zi4kU6SBugCcEBol0gxePv8/6MqIg301+9&#10;JkXLVr0xzUwGvKgA4wwZgsQQoWHdGwSv6nznLdCIDcfPDiHBOBYkhJQS6R9PbEvKg2ohrnP/AV/X&#10;WQgP58H5cF75HVHhXL3x8O4BaxihJyFKQnSE5xPCRhXOvPmJkgrRc9eHwNVrKW8wGAx5DSMmeYyb&#10;t26poJAeJmghICbM0NFuBCMxwZHjGCEVEBNSBjTuwqH7+7w/g5jgWEmHEXlBC4ODhXzcS0w4Ft1d&#10;+RwVO5ASIiWkcKjioZQ4zZESIjnZJQsci2gJ5d+ME2klokBzHdlJXLRE9Rqsr4NglAgZxIWx9AiK&#10;v33mlXkkCoJEF1dSN/R5oVcNpNnXlC5WZs+ZpxE+PsN40I/H+pMYDIb8hBGTPAb9THCYs+fM19b0&#10;2MxZc5UA4DT9OZGCsrwgJjhEb7aO4RwhFowJQmAiF6QRWNuGv3uf97cvz9gerQqlxuhVIB00haPq&#10;xtuWnx6B4XO+NXCma1kwUQE0KZQN44Bzmnrh89xDIiScA03I6IlCym7KtAgtiYYMIfRdvnKVniuR&#10;GaI9bOcdN6vXnRPz9stxNLLj7jFjNXf+Ah0PUjfcAxqn8TtWBD7k7je9SXxpG4uUGAyG/IURkzwG&#10;y73jDOgLQot38vhET5ipZ6dENj8st4kJDhGnC0FA48H+ISDoFtg3AtRRIWO1YRdlv0QtiCY8zEHj&#10;0Dkn9oejZ90bfvK7zI6Y/xOtQrzJMWiiRpUJx1202KsGejTSxfkSkUGrQaSBEmv6tJAygnghqtWF&#10;CxdRgZSsURRSSmsdASCdRToF8oRGJS+iKIhxec4QF1MqzYKHRKpI14SNn6hEiigeVTcb3H05fOSI&#10;XLp0WQWuBoPBUBAwYpLHoNEaDhLRJRUOCAtZVp+qFGaw/pxJQVluEhOPlEAiuE7IA+JUOobOnjtP&#10;e2QQWRg5OlQiHVEjooCTpiHdwxy0t19IAasEHzp8NCMC4R0XMsT1kOKJiZ2ha+BQFszYQxJIrezb&#10;/+it5r1jcY0QDAgS+yY6gv4FUkR6hwUGEfpSohzhSAHnNGfefL1uFiFEo/Ko5+LPGCPGgYZzNLRD&#10;fM3qyURKQsPGq3AYokSaibGj6ubrr+9qpMRgMBgKAkZM8hi85I8550CInFk0JcPMVJk9E9L3Qvn+&#10;nEp+W24QE64HBwtR4Pp2OodH1ILeLTSaI4qAg0brQSoBfQMpD2bx6DEo12XbRxkXnDEEh4gE4lYW&#10;ndMqnPR26qRdIBJ5NfZcP9dOuoq0yXJHSiFDNIILj4zRclyMcZi3YKGSVKI3SszcdkQ42AfnB1nw&#10;d4wHGduwrZISR3jYN6SEaiSIGZEjxp6oCcQNQnXh4kXtu2NpG4PBUNAwYpLHoAPsSecktAplQaJG&#10;TOg2ShUJs1TPCftzMPltuUFMiFqQtiFysM7ti9JoxL4QEnQ26DBIG9BcjTHg3140AT0GvURwlDjV&#10;nJIGnDtRC84/1u2XSAk9SxJm0ZNjhWpOvP3nxPE/zDxS4KWvICibt2zTdBUVQJwD18+4cO2cFykf&#10;NC+s+4OolzHP6RiwDeSGY7NyMseiLBoySOQIQsLYU3Wz3401vXZuffmV9t0xgavBYChoGDHJY9x1&#10;L/szzllQhbJosU+Aic6BCAEOCOeVFyH8nNijEhOcPM6UKAn7IYXhNeuaNj0yQ8tA9ASihuYBw3Ei&#10;voS0IVIlasK4eKmZrJAH73MYpMhXGjxPx9uXLorV62HMIS55ESnJbN65cBwMsuIRFqp4WDOISAmV&#10;QZAmtB7oj+jHgg4EIS/jnnkMMH/H8sz7DMchUkL6BmLISs6MgacpIUoDOdO28jduahdXW3zPYDAE&#10;CoyY5DGYhV68eEmjAMnOMeIYICZEEBCB4kBwVv4cTX7boxATHCIOGEJB6gASRpWHLqw3a64sWJik&#10;kQJ0JpA0jsWYUF2DEJjKHETBpLso/2VlW3qAsM+HOWSMz3i6E/QdRCOovIGY0J8DksJ5cUyiVHlN&#10;TO5nHNeLZkAcEMyS5mGs4h0pYayIrLGAHmPliXq5roeNA4RE9+3GlBJl7gGpKyqEWBKB6JG3cCJj&#10;desWXVzvaimwwWAwBAqMmOQx6AFx9eo1dSxECoggUJ6Jw6bxGo4HZ+LP0eS35ZSYeKQEZ8c+iASQ&#10;miFNwfo1pHRwhnR3hbhwvYwHkSJ+Ioz1Ftaj2RfRDfQoaC7YJw43K04ZwsH+2VdEZIx22yUaAeFB&#10;dMtYc0wvCuFvP3ltSqCInLjzOJghmCXCtFGJG4SVknIiSPyb1A7jwD14GJliLLWniiM8kBJftIoO&#10;t3RyjVAhLtEiqm4gJV45sEVKDAZDIMGISR6DFz+9TM6dv6BRAPL7EBNmsqyhs3X7joCpzoFUUMaK&#10;g8RyQkyIgGib+Jmz1TmSsuB3kBE+w2czkwJ+R2QE4gKhYC0hqkbQmxAxyLxt5mPeazhlPkvZLtEZ&#10;RMZjxo5LX3U4UfcFafG3bVaNc4DYeMJe0i3ohCBcHJsqH47B/eScPRLkEavM130KS/8df2d7ng8I&#10;FOSMBnBEOIimpKxL1QZ0XCOfvXcs+D+/R/DLeC91947nC2KGUR5NWg2ty+UrV4yQGAyGgIYRkzwG&#10;uXvSOXSAxTEQSRg9ZqxEx8bpsv84kkd1mLllOFrEp5wX6ZScpHJwyDhRUgmQDY9Y4KQzO+bM2+Fw&#10;cfQIROkvEu0cqRKbpCWS4s7Ha4J277aZDTJA9Q+OnX4xVOGgbSE1xDo4nBOEwt+2WTWugQgHvVjW&#10;pKzVVvqIVvnJejMQMqJDnAc6GYiel4bxRyg8YwwOH6FDLcRqmy+944gEXVippCGSBGH0xpJ9Zd6W&#10;8+L3RJ6IUHH9REuIlEBKqLzZ4+7t2bPn5KvbtzOaphkxMRgMgQgjJnkMXv7Yd84Z4HyZDdNUjH4W&#10;OpN3jmyf+31mR1VQxux/tXO4RDpw8NkhJhhO0jOcMJb5d9iDtoOgQURwyDhXxLIsJOdr3/9ggTBj&#10;S0t40iCs+0LlE+kLogc0F6OB2cPIzcMMYuNbn2etNlEjTcK9hAQhXCVKgbAUcgBxgaB4GhHIA4TC&#10;3xh41495kR9EuhAzroE1fRYvWZoh3M18HYyxF8EhDYd4lmvnnEhjLUhcpPtjAT5Erl5reSMlBoMh&#10;UGHEJJ+AQzh8+KgujsZMnhQDOpMVq1brzDqzo8oNw2F5M2nPcJDM+Ek9+DN6rZA6QChKnxVEqUQH&#10;8ivVxDlyPAgGpA1igrP31sGhS2tmp4wj5/9KGNzfceT0RUHsybpECEnR8aDlYCzuF7HIqvlIgy9i&#10;ol1eFy7SlBNaEO3w6v5P+3mIHeO3JD3qtMJdD71TSNWo8DdT5OPec+J3/I37BLlBp8N6NpRZk16D&#10;7NBQjmv37jFVUKR7FrjjRzjCG+aIiVcSzOdPu89a+sZgMBQWGDHJJ0BMWKk1OXmFCjPp/hnlZve+&#10;9VqyvrKuP8s84/YMBwcRgfSQosFIZ+CocNb+jJREbFyCNjxDfEpJL9vhkP0dN7eNc4YEMR7oTehS&#10;Gh4RrU4ZkkSqIjNJ4johJThx+nVARIhgQEzQquDIIRFKStLHJfPxsmuZyd6evfv1fBhPIjpoWCBU&#10;VL0QpSCiwvmTSuF+6+KN8xZoBGe9+zwiVc4dYuXdM47h3TuOw7kzDrS5J7XF/ugUy/VyLt540cQN&#10;ckSfEqI4NFDjWKTS+BwlwZa6MRgMhQVGTPIJEJPTZ85IinOwtKaHmBCiZ5aNg8vsnLJqOB3PWeLk&#10;SIUQtt/lyAQLy6HZwGkR4vd+MtP3xK3Jy30CV89wbqSYpjsyAEmhugNik1/ExHPKXAul1GgraN1O&#10;KTGCVlbEJWLhXTef55px4DhsCNWwEaM1WkL0BMLA+fNZf8d7FMs87qRRvA63RDlI5XBfiYhFO0LC&#10;+TCuRH+4JsjJWkdktmnZtC96AkHJfJ5cGwQEMS/kBK0M1Upof9iGYxNBIlJEZAZNCW3miRhRhcR9&#10;Pu4+Q4t5SoINBoOhsMCIST6BGev58xfUeRFyZyZNSodUAGul4JCz60C9NAYObOu2HRpVgHCwfxwZ&#10;BtmgRwZiSqIgRGhIM6jA1TnQzMSEWTbOjzQAVRykdoiy4Dj9HT+3zSNnOF30LkRxSIsQLeC8SE2g&#10;s/AiDYwZn+O6iargnGkkRtSH3xHtIaLAPv0d71GMfXK/vHvAcTyCQrpGO706Mogehf41jDtjSot8&#10;X7fXuUpeIBDcO+4h1535GB7pgZwsW7EqPXK0Vj8LIUP/A1FBIEvbfSp5iBStTE8PXrlyVRfjI4Vj&#10;MBgMhQVGTPIJEJMrV66os2R2T3UOrdJxojQE8yo3suNEfbPmQ6q/wMHNcwSEihbWhBkbNkFLZhFA&#10;ojvgOEQeaN6VtGSpphwgI+g3mJH7UgaJOsOHmCA65e9ELojCcH75YThjT2OR5q4LR4zGggZhjJmP&#10;cPiqXbh+0hVJjrwQWaGZGqXYiGdpSc/+sjum2TH26xkkBeN4GISF8/PSaRAVUj1oUUjhkXKhPTzn&#10;6pETyA3bemmnk6d8ESQiI5AQCAdRIB0bRxiTl63UsWE/XPfUaRF6zyAzFy5clK+//tqErgaDodDB&#10;iEk+AWJy/foN53iPajMtZras7kokgFk1zgaHnJ2oCY6X7Ygi4MCJKJAqIAqDxoF/8zsiJVrO6hwj&#10;5cB0QIVwkKrBYXoGSZk1e15G1CQqKsb9f45WhKxYsVKWLk12+0vKe0tcJAsWLJR58+bJjPh4R7RY&#10;hThExk+Y5AhInH6G1BQpDUSlRFQgYBg9UCg5Ttu52+fk3XjmFTF5mHFcyAn3FXIH+UCkSpt4xpmV&#10;fblPREIYey91xue9c+Yn9xlC67Xwp/cN183aQ951h0dE6X5Ia9Ez59atL7W5n8FgMBQ2GDHJJ0BM&#10;aLRGLwlmu5AGogCkH7RNeHopKM70Xgd3PyO64JWWoh8h6kFEgeoPfofO5N4GYByDWTyzc5/9ULXD&#10;dhCZKEdMwhxpGjRoiAwfPlLGjg2TcePGy6iRo2TQwEEycMDAPDeOM2jQYBk8eIgMHjJUhgwdpj8H&#10;unMKGTNW006Ic0lLsQ6Przw4UnUcrDXD9RYkKcE4thdF8QgKpeHcf86dyBnpNvQn6FFIr5H+gYRk&#10;JiZsDzkhOkaaSCtwEpO0sovrRiBMtAvCe/zECS0NhpRYq3mDwVAYYcQkn0A4ndD61WvXlBAgLqUr&#10;JzN8qjhwSLt279UUwL0O7n6Gs1Jdw67dmtLwlaP+sAAeDs2fY87sMHGWOMr1GzZolGLK1GkydNhw&#10;6dmjl7Rp0046tO8oXbt2k27dukvHjh2lTes20rpVa/2Zl9a2bVtp166dHrNbt27Ss2cv6dy5i7Rq&#10;1UY6deosYY4ozZ03X7U6RJ5IZfBvxpV0B2Nw73UHgjH2XoqHCApr4sTEzVBCRaQLckIaivvnESt+&#10;8n+eGxryobuhQofUFf1KIDVUBR06fFiuXr1qhMRgMBRqGDHJJ0BMvnWz2Nt37siZs+dUpAoxmTh5&#10;mjokel1QYZEdYsJniZrg5CAoRAlwyJ62AofmbzucnW7rSMnWrds0XTN8+Ajp7Bx+g3r1pWqVqlK9&#10;Wg2pXau21K/fQJo2aSotW7RUQtK2TRtp7whDh/YdpFPHTnliHZ21d/tv3769EpTWrVtLi+YtpFHD&#10;Rr5zcufYoUMnGUhEZcgwGTJspC6MyDjioPNTsJtdY+y9CAhpOMTQ3Hv6tlBVBMkgTQMJgcBwD4+5&#10;e+VFS6ik4nMQWpqvoVchUsbnISW3b9/R6JzBYDAUVhgxyUdATnAa165fV10J4lQqcxB1ootA58Hi&#10;bv4cmj/DyXkz6szm/d7fNhh/O+TIDOLSxW72PWzYMKlRvbqU/OgjefO11+SVF16U994tJmVLl5Ev&#10;KnyhRKVO7TqOoDSRdo4oQB66dOmqUZS8sK5du2lUpH279kqIGjhyxPlV/KKifFa2nJQvV16qVasu&#10;DRs2lnbtO0rf/oN0BeFFSYu1Kgailh2Cl9/m3R+NnDhCQeqGqpvI6LgMouFpjjRS4n5CWr2Gawhn&#10;w8ZPVC0QDfEQPxOJ+/77P+nzZWJXg8FQmGHEpABAbwnEpzgWFS5Gxmi3VTQCzKT9ObPcNGbsGzZs&#10;dDc/XoYNHeacfwspV7aslPjwQ3n7rSKOnLwuRd98S94t+rZ8VLyEfFaunFSrWk0JQutWrZQwdOiQ&#10;xxETdwxSOkRrqjsSUq5MWfm4RAl57513pfgHH0qVylWlefOW0rVbDxk0ZJhGD4gmQEoYQwiav2sP&#10;JOMcIR60y9+4eauWFGMb3LPBdUBMMPrSrFqTonoUdCUQE5qp0auFtA/3886dO+lPl8FgMBRuGDEp&#10;AHz55ZeSlrYro28ITobwPOvE5AcxYaaOnqRbl65SuVIlKf9ZeSldqpRamVKl5eOPPpIib7wpzz31&#10;tJIU/l+pYkWpW6eOplQyNCZt2uaNuX1zDIz0zRefV5AP3n9fz+WFZ551P99wRKm6dOveUwYNHiaj&#10;RodKpHPYOG+uDUf9oIhRoBjn6JETVgYmKoKRluM6SNORwqFUmP4nvggbZca+9B8RtnPnz+vzZBU4&#10;BoPhcYERkwIAOgBC9ehMaI5F1ARyQpUGM+UH6UMexdivzsB37ZapU6ZKzRo15O0iReWjEh/JFxUq&#10;SNWqVaV2rVpSrUoVjU68/vIr8k7Rt+WTkiWVHFSpXFlqVK8htWrWyjerVqWqRktKFC+hEZzXX3lV&#10;3n+3mNSv10D6Dxgso0JCZYJz1pQME3EqDITkXuOcVfNDDxdnkFN0JWiGaK6WvGy5RkpGh4zVFYPp&#10;HAwJo/ScSIm3WrDBYDA8DjBiUgC4c+drdT50ViVqQnUFs2HC+OgN+FtezPpxfNu2bdd+JEMGD1G9&#10;xltvvCFly5SRxo0aaUoHsWmrlq2kXp26UumLL5xV1KgKWpNSn3yipKDYO+/mmxV//wPVulSuVFkq&#10;V6wkldx51KxRU9q166DREhasw2lTPksEobASkxPpkRM0Rp6gmcZ7lG/TPI6urmPGjtPeJ3TE5e+X&#10;Ll/WxflMV2IwGB4nGDEpALB2CevmbN++Q0s/ISb0NKGVPOun4HQI5ee2k2W/q1evkZiYWOnSqbN8&#10;9GFxee2VV6TC559Lh/btpXv37tKnT19nfaRr165artu8WTNpUL++VHKkAFJCeuep3z+Zb/bqSy8r&#10;MWncqLESJtI8VA/17t1Pq3GIICTMmq3RJtIghZWYYETJIKWkcqgsokcLfW6oOKKTLx19aUF/1BEX&#10;dEpff33XIiUGg+GxgxGTAgCz3EuXLqt+gAoMhJu0p0fcyCq5NERj1pwXxGSlc+BRkVHSsUNHKf7B&#10;B/LKiy9qJISICeW59Avp16+/9OrVS+gfwufQelCiS0qF1M9br7/hszfeVC0KQll/xt/QhWQ2tuNv&#10;b9/zWZ/59sdnvM9/UOw9Ted4hKRr127u3HpLv/6DZOjwUTp2rDlD9IlmcoWVmBAhg5TQzZZIyZKl&#10;y7S3CVVb6Epi4+JlMR1t03bJpctXlNyiK7FIicFgeNxgxKQAgCaApehPO4eUmrpBq3JoEIbehK6l&#10;9KugL0XeEpMOSkxeePZZef/dd6XiF18oOenSpYv0d8SEqElvRwB69ugp3bt1l3Zt20m9uvWkQvnP&#10;NQXkWfnPPtOICxqVzMbvypf7zJGZMhrx8Ixt2EfFCl/438btj8+US/88qaQmjRpL1y5dtelb7959&#10;HCkZqB1gISZ0TaVzLq3a0e0UVmICKeH+kI6iBJh1byAkENbw8ChtWb/fXR8LQdILhyZqlsIxGAyP&#10;I4yYFADoN4EA9rKb+aL58Bb0i4l1s2LKRTdu0WhKXhCTtetSZebMWdKta1cp8cGH8uxTT8tbr/9Q&#10;edOwQQPVmUAE+vbpK/369lPr1bOXRk+oymnRomVGWoXPkgaifDizEX2htLhJ4yZunw0zrHmz5tK2&#10;TVvd119t066d9kkhQsNx2JbPU0LcB0LiCFO/fgNkwMDBWiI8fMRorWpa4cgWvTzyYszy0jhXryrH&#10;E7qyCB/PQ8iYMF0xeHp4pKb4iJTwvHz1la/dvBESg8HwuMKISQGAme63337nnMxXsnfvPm2aRWvx&#10;iMgY/TfN1wjp57aTZVa+Y0eaRk0GDxwkn3z8sfzx97+Xl194Ud4pWlTeL/ae9jIpX66ckgL0JqxZ&#10;M3jwYBk6dKgMHebIwPAREjI6RNfOmTRpskyePEWmTMGm/sj4/ZiQMTJw4ECNcnhG35RxYeO0Kuje&#10;baa4bdhu4oSJMmZMqAxlbZwBA3W9nCHu34MHDZH+/Qc6GySDBg9VYhIdM0NWp6xV0XBeRJny0kjf&#10;eCXBpPCIlFA2TjkwETTSN8sdUdm5c5ecOXNGySxpQGs5bzAYHmcYMSlAkNLBMS1MTNLW9CxGFxUd&#10;p/qCnbv26Gw6Nx0tjpCOr0QXxoaOlbKlSssff/d7ef6ZZ7UM98Vnn9P/0/mVpmZEKIYPHy6jRo2S&#10;sHHjZPr0cIlPmOlm8ImyfMVKSXGE4H6GyHah+1xkZJRMnDgpw+LiZsiSJUv9buMZ2yYlLZb4+AQ9&#10;5oR0ogIpGjhwsPQfMEgGDvIRk9i4BNWXIBiFeN1vvPh9Vs3f9rlp3nEQOENKWOuISBl6GQjJGGeI&#10;XWmgduDAIbly5apWcv35zxYlMRgMjz+MmBQgICaQD9ZKYeY/PTxK10CZtyBRVwf2SoZzy1l6Ast9&#10;+/ZL+LTp2sfknSJF5dOPS0rVylW0SucFR07ecCSlVYuWEhUVrWmfmTNnyuzZs5WQLE1epuRhy5at&#10;2tL+fkbF0SpHMGbPniPR0TEZtpAFCx2R8LeNZ2zLaskca/6ChTJnzlwlRFFu+6ksXDduovb0GD4y&#10;RHU5LF4IwbtfJZNHAoioQARoZgaR4d+kt+jtwrgwPrlNBu819u2lb9DErN+4WRZnCF0na2t9IiWQ&#10;km3b0+TcufOaviFSYukbg8EQDDBiUoAgJI/jwbHOnb9QhZyUhtIsjG6fR4/lbhfTU84hnnT7wxEn&#10;OEffqmVLFZxSiovItVaNmloJ885bRVRfst6RAxb5o339utRU/T/L9VPKimOHDNzPIAGQF6IjEAvP&#10;Vq1arakJf9t4xrakZjgWmhgsJWWdRmkSFyU5MjJTy4RHjg7VRe8gcTh6f6TCIwLaWG73HhUWb3Wf&#10;p5U7pdlEK/bs3acEBXKSeT+nTv94/HLD2C/H4Do5Pmsk0VyP6hsiJeERUZq+OehI0/nzPlLiNVAz&#10;YmIwGIIBRkwKEBATBI27du3JWDV29Jgw/Ul64gDO0s30cZT+nFxODcdIS3r6lrD+DULX0aNDdF0a&#10;1sphPZoRw0doFQgOHccNmVBzjtxrme5v355xznwePQspHc+8tIu/bXxkwOe4iWZAIqi2gXjw71RH&#10;kJY5cjJn3nx15r4S6wWyI22Xbufth+0hGRAcRKWkrjY5kkRjMhbCQ8ODLmXN2nWy1p0PHWMhh4hP&#10;OQ7XuHffAY2seNEU9vkoESxvO/bBfU3buVu7t8bOmKn33BO6ktZj3K5evaaaEkiJwWAwBBOMmBQg&#10;mAVfv35dnR/OkUgJGgPKhykPTXMOEieWF8RkydKlMnjQYK2soSx41KjRKni9l5gcSScmREmwvCYm&#10;XrrJV6WyTRc73LrNRxhYSwiBKGmPaeFRGjWh4yt6nMxkgdV4d7tzJupElQv9YRAVQ2KITOH8iVQk&#10;Ji3RHihz5y3UvxN9YU0afs/4r03doMdmET0liRCUHEawGA+u7cjR45qioSEc692QuiPyg7aIc2XM&#10;zrjP02oegbQ1UDMYDMEGIyYFCJzOrS+/lDNnz6nTx0ESzp86PVI7wm7cvEUddG4TkxOOmCxfvkKr&#10;Znp07yED+g+4PzE5eizfiAnbsEYMkQ7IAKmc9Rs2+qImjpioZsURCFrQ0xEVo43/rt17MyIS2F53&#10;3kRIli5brtEnyB6t6yEBkY4AQAAhIBCRqJgZMsX9ftz4SRq5GJv+uZi4BCUtK1et0WgK5OfAwcNy&#10;xJGTnKTX9NrcmLGPlLWpeg6+NvPjZVTIWC0J3rfvgEZKICVe6sbSNwaDIdhgxKQAQZUFHTyv37ih&#10;bcapzMCBsqgfM/s1KescGditjtCfs8upsb8VK1ZK6JhQ1ZZQkuuPmBxwBCI/iAmf1UiJ2+dB0i+O&#10;WHCszY5ceBETogwrVq3WtWJI4xAxiYiKlSXJy7VTrm7vSANakQ2OSCAoJVIyc9bcdCKyUKMky5av&#10;0hRKyrr1mtIhSrF4yTIlIbPneJGV+Tr+RGOS3DaQH/a3fOVqjWyRGtqXhTHIbIwjY8f1cyzIJxEf&#10;dEUJ7vwoF+Zzt2+b0NVgMAQ3jJgUIHA+f3IzYxpmXbx0SVatTtH1UFg7h2oTZvyINI+fyH1ikpWI&#10;SX4QEyIPniYkMykhdUPzOYzeK/wffYnX5wNyQiUTxIKeL5wP+4U0sGozTcogLiyCtw4R77YdKn6l&#10;EobPQWD4uW//Qb0+rgstywZHhNCesA+2JULDMSGLRGggLaRhuC9EdjJHajJff+brwzgWkRIWbQyP&#10;8Imcudf8f70jO6TMbt68aUJXg8EQ9DBiEiBgUTbWSIlwM2j6WUTFxGnZ8IaNm9Vx+3N6OTX2xwrD&#10;w4YNlw4dOmoFDuLX/CQmOOuMSIkjJehCiEJATCAQSk7SRa9aQux+QhYYH8pqqV6ZET9L1xri/CAa&#10;RFZWrlqt48b4ISxduXqNpsPQ8XCs+52rdx6c2w537PXuXrAtZbszZ83RyAZkKHZGgqaBfEsH7HTH&#10;PaKRHn/EhP0yTnyGdFTioiWqH5o8ZbqWBUN41qxZq6Tk8uXL8s0336Q/DQaDwRC8MGISIKALLA54&#10;7twFEhUdm+4EZ6rgMzspg6wYxASS0KNHT2nUsJGuhUMDs+ZNm2lfkwcRE4yow6MSE/6ukRIcd3qk&#10;BMEqlTBEIjiGkhOPmGxP03TKlGkRqgNhjObNT9R0F3oUyAyRDIgDotL5jpwQTYGssD+OxTH9nasX&#10;1fDICULXPY7MID4mikI1EL1mSOlASjgG+ye1gw6Gcz/hZ9/sj+tAK8SqwOhWICQ00psRP9Od3wrt&#10;/Hv16lVN4VgFjsFgMBgxCRjgmHDYRAWIBEyaPE11CMtWrFJygFP1NyvPjrEPnCXRAxqntWrVWqpU&#10;qizt2rXPKBeGmBQr+rYMGTRYCQGkBOeO1mPT5s3am4SoCREKyMn9jHOmBwqRmblz52UYXV0hEfyd&#10;fWiExBELxK2QEP7P3xDeksbB8W92RjRpQeIimTBpim9dobh47ZBLmoZyYcSu6ELCxk9SHQqRE/bH&#10;mHLNHvnwNy6Y93fMN06+sYLQMF4QJtI3kBMEtFQGkdZB40JfFK+sO/M+IDmMnW+lYHdPp0zXFE50&#10;TJyWh0O8WJSPVJ6lbwwGg8EHIyYBgq+//to59OPa8XSec7CE+xFHUp0DOXhQKiKrBmFgBo+zp817&#10;zRo15ePiJaRO7TrSs+cPDdawtq3baEv4WbNmS2xsnMTExDiHnyBz582Txe6cIBic6/2Mpmi0lWe7&#10;zOvhJLh90NF1TUqKLr6XvGy5/n+JIzD8m8obOsPSiI3t582br+cQ485h8pRpWsES6ohJ3IyZSuKo&#10;miFqAoEjmjE9IlpLirlGSAkkB6LgbzyyYmzLuEM8IE10al2ydLneIwjkHEdO6IlC1Q5ECyLjkRkI&#10;F0JbxLdEwFgxmPNDUAspOXP2rKbwjJAYDAbDDzBiEiCgOuesc1REKRYvWaolrMz+EUeiT0AnwQzc&#10;n/PMquGkqXRh/1TilPrkU3nt5VekTKnS0qRxY/msXDl55cUX5cXnnpfKX1SU7t17SK9evaRb127S&#10;o0cPXZAvJCREF++jvTzE5X4WNyNeF+QbOXKkbudZSMgYmTZtmkRFR8v08Ah3nawRFC4REZG6T9bS&#10;of08/2ZRP9b0YRE/FgDs07e/DBo8TELDxqenQnwVNaR0qKghgjGbqIwjCpACL33zqMSEfWgExJET&#10;Gr9p2sgRIVI6RD8SHYGCjFFBxT3CSEshpKWyBzEz9zIyKkbPdfPmrdrVFTJqKwUbDAbDj2HEJEBA&#10;ieiVK1fk6NGjWp2DDkHb0yfM0m6lpCW8KhB/DjQrRgSBaMf48ROkebPm8m6RovL0H/4gbxcpoqTk&#10;/WLF5Lmnnpann/yDfFDsPV0/p1qVqpruqVa1qtSvV09aNm8hHTt2VMIygJV/B7Hy8DAV0mLD041V&#10;hPs4MtGxQwdp3ap1hnXu3Fl69+kj/QcMkL59+yrh6Ne3nyMtrGI8RFczpkqoV89e0qVTZ2nbpq00&#10;a9pcGjVqLG3btXfkZICmcuIcKSBygdaDhfxYX8an+/ihYsbfGDyKedETIk+klubO9+lNIESUIkNO&#10;IJC+yMomTfvEOZI2bsIkjX7NmbtAUlM3qNgVTZHBYDAY/hpGTAIEzJxxVpcuXdI0RGR0rHPA47S6&#10;JGnJUq3OQefwKMSEUtqpU6dJyxYtNUry8gsvypO/fUJXF37j1dc0UvKHJ36nv3vp+Rek6FtFlLQU&#10;ffMt/fn+u8Xko+LFpfSnpaRC+c8dWakm9erWlaZNm0rz5s2lhVoLNYhPg3r1dZXiypUqZViN6jXc&#10;NvWkYcNG2g4fa9igoa7XgxC3Tq3aSoQ+/6y8lHHHKVXyUylXtpxUqlhZmjRpJj179dVxiYmdoRUz&#10;lPNGRsX6NCfJy1SsmhvRJX/mRU8gJ+hsECZr1c7suRIdG68pGiJSdJzl99xDyozRxXB+pLfoV8Nq&#10;wUTIDAaDwfDXKPTEBNEga85Q0cDL/qsvv5Jbt25p90ycPX/jM4EOzpHzRQS7e/de7WNCxARtAo5v&#10;1Zq1WinyKMQEESnRDUhJEUc2ICbPP/2MEpJX3L+JlkBKfvffv5Fn//iU/u7VF1+SV5zxWYx/60J/&#10;RYpK8Q8/lLJlykiVyr6Iyg9WTSMtFSt8IWVLl5FSEIx0g2RU+LyCIxoQlcpKQojMYHy+9CefyofF&#10;3pO33fmxyvFbr78hJT4s4bb5Qho3bio9HDGhQyu9QNB3ME6U8hKZQGtCpISIBgTC3xjkhnEPOM7O&#10;3Xu0NwkdZFmED0EsuhkWG6QUGALFGjiUOKMVgjChKaEsmOfSYDAYDH+NQk9MICSQkGvXrsnBAwdk&#10;1cqVkrRokWzftk0uXLggX375ZaHopOkRLJzWYef0mHHTz4SmXjheSmXvXRMmu0ZFDSmWzxw5KFem&#10;rFR35KFhvfoa3WjXpq1U+qKivPbSy/LCM89KWUdeWrVoKW1atZaWLVpIs6ZNpUmjxtK4YSNp1qSp&#10;tGrZStq1bScdO3aSLp27SJcuXaWz+5lhGWmYZrqNZ2zXqVMnLVXu1au3rtNDygcjfdO9azfp1KGj&#10;im9buPMi+tK+XXvp2q2H9O7TTwYOGiojR43Rdu5EJNCazHLEbfHSZNXi5IauJCsG+UHsunnLNtUB&#10;ERXhXnEuCTPnqK6ElBPniEgXsevZc+czSInpSgwGg8E/Cj0xIcpAH4hjx47JosRE6eccXBvn/MKn&#10;TZNdO3eqyJAoRKA7As4Pg2iddk6Vmbg29oqIlnFu1s06OjT0eiRi4hz36FGjNToBuUALEhMdoysN&#10;UwVDiXDJEh9p6oYVh9GjLF++3JGkJJk3n+qYORJPnxBavNO63Vm8IwZRUTESERmlYtbp08PVpk2b&#10;rloWOsoSpfGM38XExMqcuXN1n/PnL9DjY/Q5SXLHTE5e5o692P1ugcydM1dm4+wTZsk0R9RCxoTJ&#10;sBGjtToHQSlRCvqBkEKh4og0S16TEgzyAwkipYP4FSJC1AQtCVESKofCxk9017RIz4tnFALtkRIj&#10;JgaDweAfhZKYeA6c2SeRkp1pOyXRkZKhgwdLlYoV5eMPi0uHdu2c042W1HXr5NSpU+mrtX4b8Gkd&#10;zu/ixYuqByEKQNUHqYv4hNmqPUE7kVPnS08NGqlRFtypYyethFmzJkUboeFoIRPly5b7qwZre/ft&#10;07bwRFw2bNikVSX0DuEcWeCOFAplvl4aA4MszHdkg1LjcEdYPNNeJmvW+Bbm286qwb7urtpIzZ0H&#10;TpyIEX1MOC/ST2gzqMCh7Jbmah4xGTtugpI3RKds96ilwdmxH7Qme7R1PYSEaiHuFZESyr2J5rAI&#10;IffTSysaITEYDIYHo9ASE0otqWLZv3+/xDnn19k52sqOlFBpQjqi9CefSKMGDSQ0JERSUlLk3Llz&#10;qj0J9Nw+xETTUocOO4e8Xp0xThiCAgHw2qvnOzFxJAQyATni35wff6PdOqSA86LfimeU1K5zhIJI&#10;SOYy4mXLluv2XAPbZzYf6fKlYrQPyK7dsmnTZq1SIrXF2jjoboaPDFESQJRiYWKSNjhjeyIY+UVM&#10;ICWcL2JbUjmc1+gxY9XotwIpQ7CM2PXWrS/1uQt0UmwwGAyBgEJFTCAkvNy99M2hQ4dkWXKy9OzW&#10;XYq/97489/QzWlWCePPpP/xRXnruealfp65ETJ8uaW5mTp8QBLKBPHPlvG59+aWcdUQKB04305Gj&#10;Q1W/QFtzyAVEAOftz2E+yO5HTIhU4GinTZ3mIyZvv6Npnn3pJAiiwbmwPeSE/3P8CxcvqZ2/cPGv&#10;DD3FbkdOaEnvpWqw9et95bLetvfaxUuXdfvjJ07Inj17tePs8uUrNZWF1mZM6DgdDzQdCEyJpLC6&#10;cE7GIycG8cEgJZRfUzZMNItzwrRiKG6GRkrOuM/fuHFTI3UGg8FgyBoKFTGBUJCSgZTscEQj3p1v&#10;vz59pFrlKlpBQkXJE//132q//81vlaSgmUBzMnH8eBXGnjlzRiMngeosICaQpxs3bqgDpyMqznjq&#10;tHCdmdPTxCMS/hzng8wfMVl9DzFBGFvMEZMhg4coGSESwk8IiWf8Dud86fKV+xokg8+x/8RFSRm2&#10;0TnyY86p+9vGM7Yl+qHExH0e8SgN1CBnIW4sSJfQrGzBwkWSun6jNj3Lj0gJx4AAMVYaEXIka2Hi&#10;Yq2cgpSQzpmRMFNWrFqlpIV76BFhg8FgMGQNhYqYoCuBlBw5ckTmzpkj7du1kxIffCivv/KqkhAI&#10;yW//878yjP+/+OxzuvZLzarVZNzYsZKWlqbVOghiAxEQExzZt99+Jxedg169OkXCxk3UtXNoIubr&#10;leGrPvHnPB9kfonJ6jXabZb90ePkszJl5V03XjQ5I40CKSF9QwSA6AUi06wSEyI79PpAROsZ+6Ki&#10;xd82nmUmJhvccVlrhpJcqpRCQsM0bTJz9hzdN+eX09RWdo1jQEq0wZobC7q4Tg+PUt0LxIQIzuo1&#10;a1Ufc+HixYwKHEvhGAwGQ9ZRKIiJ16PEE7ouXLBABvbvL+XLltUupURKMhOSzEbk5KnfP6nL+bdq&#10;0UKiIyNVEHvy5EnVqQRqKTHndP36dRWXUplDxIRUBj1NEHviHHGU2XHI9yMmOHdSE7SA94hJv379&#10;lRSgoYCQKDHZyCJ+WY+Y0OsD8SrpIs84FqTD3zaese0J9xlSSWy/bNkKFbl6xIRqF1JckBzSSpx7&#10;fhATzhttDe3uk5ev1FLg8RMna+ky6+AsXpKsZApSQpm6RUoMBoMh+wh4YoKDhkD8IHSNlc4dOkrF&#10;zytIkdffUOJxb6Qks3lpHXpzfPLRR9q3Y0y6IJbICWkdiE8gAudGyoAF4xB+UukBOVmxcrU6fWbv&#10;2dFW3I+YbHfkg/1NmjhJypUu8yNiQrWMpy3ZunW7+2yauw8HH0pM0IqcdOen1TW7dmcYx0F74W8b&#10;zyAmnC+CVoS5pINo/x6ensqhTJj2815aySNp915vbhuRGUq2aXY3a848mTh5mq+x2oyZGtWBdJ07&#10;d147+H7zTeBXgBkMBkMgImCJCYTES2sQOWANmZUrV0qPbt21aoRICSJXf2TEn0FQSPfQ3bRurdoS&#10;ER4he93slj4nhNy94wUSSDehM0lJWaeREvqZsO4Ka7DsP3BIHXJ2tCZ+icmq1bLN/Z5IwMQJE/+K&#10;mKA/weFCUHY4p7xz5245ePCw7s8fqfAMYnLu/AXtyQJB8QxSAvHwt41nuq1z8JAuKoOIECUmLpLI&#10;6Jj0/iA+YsL1kC7KS2LCfjHOhWOtWbtO18bx9C6k2IiU0K337NlzSqINBoPBkHMELDGBkHgdXVXo&#10;GhcnfXv3lqqVKmubdK91uj8Scj8jcvLH3/1eSpYoIW1atZIJ48fLyhUrnPM8rZETqn0CCaSvcHZU&#10;tzAjJ2IyNmyCLu/vaT1IY/hzqP4sq8QETQ6L6ZHGwRlr+a8jcbuc88UBHzp0RM648/JHKjzzqmuo&#10;zuGznkFWskRM3Oe4dqImkKKVq9dIwqzZSko0lePGgBQTq/jmZSqH/TI2abt2S8q69TLPESJIydTp&#10;kZq+IcVEus1XgXNDtUEGg8FgyDkCjph4kQuvJPhoutC1Y7v28tGHxVXoCrl4UPrmQcZ2pHWKvf22&#10;1KhaVQWx27Zt0z4nXofYQImcoH+5fv2GOj16mqA18a2sy5osq2XL1uytoptVYkK5MK3r0UtADDgG&#10;Cwju239QyRC/g3D4IxWZDYIBCbnXLrnf+/t8ZvO2hRhwbIjYgsQkLRNGbDprzlxZl7pB00OcT24T&#10;E/aHEZHiGKRv0LVMd/eAqiAW56OBGk3lDrmx49mBlJiuxGAwGB4NAUdMfiR03blTEhculIH9B2h/&#10;DU/omlNS4hmRFshNkTfeVEFsZEREhiCWKA2kKBD0AYwF5wM5IXoBIcEpR0TFqJOkIyoRDX+O1Z9l&#10;mZhkarCGYz5y7LiSkwPuM5TBEqHICjHJDTt7/oIcO3FSIyNLl63Qpmp0fKUVPQLULe7cObfcJiYI&#10;XQ8dOaoLJ0IKGW/Erhq1cvfAt2DfaiUtiF0DVadkMBgMhQ0BR0zI0WcWunbq0EGFrqwySyomu+kb&#10;fwaxYT+srPtJiY+kYf36Mmb0aFmbkqKak0ARxHrN5CBqEBBEsJOmTNM0Ak6SZf4Rx/pzrP4sJ8QE&#10;B3346DE56Jw/XV6xY8dP5hsxIWpCCggytDplnUYsKBcOj3TkbN4CSXHkDLKU28Tk8JFjsj1tp3bb&#10;9dI3iF35GRMbLyvduDE+ly5dkq++um1CV4PBYMglBAQxIXXCi50weEZH12XLpGf37vK+c5Iswf+g&#10;kuCcGgSFyMlLzz8vdWvXlsjwcNm1a5emdSBInE9BpnW8tBKGwJOIAemcyVPDtUx13oKFsm1Hmgoz&#10;s+KYc0xMjhzVvxOZOHT4qPvdKdWA+CMSuW2kdDDICb1DYuLita8LYxAVHafN13bv2Ssn0sfgUQgK&#10;23oN1PamC13R81AJRQv8cSwaOCNB9T6kudCU8Nx698hgMBgMj46AICb3Cl1nxMVJn3Sh68uZOrr6&#10;IxePakRhSBGVLF5CO8ROGDdeVq1YKadPnQqoDrFUqSCypBolIjJGHeWMhFmyNnW9RgzQWTysdDg3&#10;iAmRBBx3fhETzzge1UF0WuX6EZ5SEUPUBMKCDoWUU06IiUdIuFa6yLJAIekbIiWQEvqncLy4+Fmy&#10;atUa1dlwPjyzBoPBYMhdFCgx8WaaOH8iJcePH1eha4e26R1dX34lTyIl95oniGUBwGpVEMSGOWe9&#10;TdM6gSKIvepIG0SB1AKEhIX9cJpLly3XRexI9eBY/Tlezx6ZmDijfJmy3/wmJlT47Eu/fsiIluuO&#10;CZOomDhZvmKVjgEEzYseZYWgeJ+DaHnX6asAStFIiVcSTHRmhiMlHIcxob+MtZo3GAyGvEGBEhN0&#10;HKRMrjjHszMtTYWuA/plraNrbltmQWzrFi0lIjxc1q39oUNsQQtiadpF1IQ+IqxcS2UIQlB6aqyi&#10;o+rOXXlGTFT4evBQOjE5VmDExFc6vFMX7ouMitVVhlmfhgqd5VQpuevgXEl7PSx6hEFIMAgJIlfI&#10;DYJWxjTC7Z/xpW+MR0rQ81xw52FpG4PBYMg7FCgxUVJy5Yrs3btX4mJipWP79vJF+c9V6AopyQ2h&#10;a1btR4LYjz6WhvUb/EgQyyy5IAWxNIGDnECU0FUgAMVpEjWhYoRVbh/W0yQnxAQnDymhVJj+JUeP&#10;+ZqZQRT8EYi8sgvppcOQCFJaVMUMHT5SRoX4VhomzZK8fIUKVomscN7+xsAz9sVn2B+Eg9RNYtIS&#10;jUZNIU00xSd05Tg+oeshLXP2ImgGg8FgyBvkOzHhpU4IHCcPKTmw/4AsTkpSoesH7xbTlAodWv2R&#10;h/wwyMkzf/ijppHq16kr4dOmqe6FJmwQKc69ICInjBvHRYezLnW9c5zTtdkY5ISOqCtXrXHk4oiK&#10;QO8XLcgJMYHskCIhVeSLRpx0Tv1svhMTBLAcExEs3WgRofbpN0D69h8oQ4aN1K64LOxHvxEiJ5wv&#10;ERbIB3Y8PTpCBIhr8K4LUpK6YaMsWJiklT5U3tDEjkhMvCMpkEAazF27dl2fWU/sajAYDIa8Qb4T&#10;E79C1169fELX51/IU6FrVs0TxH5cvISmdcaHhclKBLHpHWILcuG/m+74rAY8e848XTsGYsLsftHi&#10;JZrOgWDcL6WTE2KCc0fsuXvPPq3IgfRQKkwEwx+ByEvzyAk6kHHjJkiDBo2kdZt2MnDQECVpRI/i&#10;Z87WRmykXoiCbNqyVYkMBITqHbrXsj1RF1YCXrw0WVM3pIYQ004Lj9RVnBcsXCTr3PY+oet5JaVG&#10;SAwGgyHvke/ExOvo6gld27dtKx998KG8li50LWhS4pmmdZ55Vt55q4hUq1xFwkLHyvbt238kiC0I&#10;cOxDhw/L6tUp2g59wkQ6oU7QReXWrd+Y0Qk1t4gJVTiQEhw6aQ/2g76koIgJxorD/fv1l48ccaxZ&#10;s5b0HzBIxk+YrK3q6YxLaoc0zIyEmbJw0WJZ5cYKkkK6a936DY60rFTiQdTF17BtolY5UYbM71a4&#10;v0P+TqVXZpFGg1AbMTEYDIa8R74QE17oGULXK1ckzc1YFy5YIAP69ZPyZcrmWZ+SRzVPEFuUDrHN&#10;W6ggdu3atarz8LUgz/8VZKkGYQbP7H9p8jKZOi3cOeNxWp3C4n4438zVKTklJsOHDddoAY3VvEgD&#10;JMWLlkAQ/JGH/LCN7hq7de0mb772ulSrWl1GjhwtMbEzZMpUxmK8GkSDdExUdKxGlyizTnQkhWgK&#10;KR9+TxkwqwND7og+xSfMdqRkla5NxDIAN2/eKlDBs8FgMAQj8o2YeKQEoWtsTIyufaNCV+dc0JQE&#10;SqQks3FOpHV8gtiPpEE9OsSGSEpKijZhYzad3yWjRJxu3rwp589f0P4dUTEzlJgw84+dEa+aCKIm&#10;6Cnu1ZpkmZiwVs6QobpwH23oiZhgR44e12iJF7nwRxryw1j1uEunzvLqSy9LnVp1JDw8Qit15qSv&#10;+kvEBGLCuGiqa/I0LflF1IoxVvwOYkKTNrajGmf79jQ5fPioXLx4UcXO3qrTBoPBYMg/5Ckx4aWO&#10;48aZqtD1wAFZsnix9OzeQ4WuOPyCFLpm1TxB7GvOEdavW0+mT5vmnPk21Zx4/Szyy4ExgydSg06H&#10;iAZOlY6kOGAiBPx/0+YtmnZB9JmZnGSVmBRzxGTI4CHaaGz/gUNKSvbuO6D7y2/Rqz9bv36DdGzf&#10;QV567nmtnpoze45eG7oS0ltEkajW8ap2qGAiXYOR7iFKQnQlNi5BFiYmqZaEyqPLbt9ffvlVRiTM&#10;oiUGg8GQ/8hTYkL6BgcKKdmxfbsKXXv37CVVK1ZSoSvRCH9EIBCNc33q909KyRIfSeuWLbUJ24oV&#10;K+Ts2bP5Koj1yB5jS0opJWWdpiAQbaI1iY6dIctXrtKyWVI6RE6yS0zeLfq2DOg/QIWjEBLIiSd8&#10;JY3jjyzkp2UmJo0bNpL58xdolIhFDRcmLpIJEydLr159pEfP3jLJkTVSOEmLk2XR4qWyeEmyEpiU&#10;tamyefNWTdvQNM5XCnxH72N+R8EMBoPB8APylJh4QtejR4/K3DlzVeha4v0PNPIQiJqShxmRE8qZ&#10;EcRWr1JVwsaOlbS0tHwVxHIMjNn85StXtSwWISz9NsZol9Lp2hl1dcparUbJXKGTVWLyTpGi0rdP&#10;P0cANmpUhjJh9kOp7oWLBZfC8exeYrJgwUIt6UVfg+4mNDRMWrZoKW1at3FkeIY2hjt+/ISKgvlJ&#10;ozqqwkiJESGBPH/zjY+Q5Gf0y2AwGAx/jVwnJrzUmc2T4oCU4LgXzJ/vE7qWLZchdA1ETUlWzBPE&#10;Qk5aNm8uEeERPkHsiRP5Loil4RqkiFk/UQG0FaRzWHl4/sJErUCBuNCzg8jJA4nJwUNKTMoqMXlb&#10;+vXtr8SExmqkcCA2nr7EH1nIT8tMTJo0aiwL3bVCoEhhUXHDNUJYWjRvIfPmztUUDUJWFt3jJ8+m&#10;pWkMBoMhMJEnxMQTuu7fv187unbSjq7lMzq6FlZSgnHuXuSEtA5N2EJGjfqRIDa/nB4kCHJCBQmp&#10;CYSwk6dMdwRlqvb0oEpn89ZtulIu5OR+xITfo7GYkE5MSOX07zfAOfqtGi3xOr1ihYmYtGrRUqu/&#10;iIwgZL1712ffffe9RUUMBoMhQJFrxMRLL3jpm4MHD8qy5GTp2c3X0fWZPz5VqDQlDzMICpoTBLx1&#10;a9eR8Onh2jDuzJkz+dr3gmPc+vJL2bVrj/bmiHCEhM6lCD5pr77CEY8tjpzQpn3jps0yenSI1Kxe&#10;Qzp26KjRnlV+iEkxR0wGDRwk27anaQt6SoT9EYSCsqwSk9YtW0nSoiT5+s7X6aNlMBgMhkBHrhET&#10;HHFmoWtcbGyG0PWVF18q9JESfwbRoqqoZPES2udknHaI/bEgNj9AhIpUC+WuS5Yuc+QkRlu0Twun&#10;ydgsXQMGzcmipMUycMBAqVa1mhITymxZBwZiglBWiUmp0lqVM3TIUNmzZ6+cPHVGUzj+CEJBWbaI&#10;SZIjJm58DAaDwVA4kGvEBF0JkZIjR45kdHT9sNh7KnQN1D4luWFcFx1i3y1SNEMQu3PnzgxBbH6A&#10;saeiBC0FgleaiflWxvV1Q6VfB63aI6NipGvX7lLZkcX27drLtOnhsmLlKo2oKDEZP0GJyXvvFJOR&#10;I0aqIPbc+YsBUYmT2e5HTIgIecSkkRETg8FgKJTINWJC+gJSsmrlSgkNCZE6NWvJG6++Kq+++JK8&#10;+Oxz2TY0HAhlEZrmZQoIvQjEibVxnnvqab/n8jB7+YUX5PVXXpFPPy4pPbp1U8Elol+iR/kB0jme&#10;4PjU6dNanUJah9JhxLDoTiIcKaGMtkOHjlLpi4rSyjntsWPDHIlZqIsCZiYm779bTEaPGq1VLAXd&#10;TM2f+SMmrIWzJmWtzJ03X4YOHabN8IyYGAwGQ+FDrhETRJjrU1Nl4oQJ0rljR6lVvbp8UuIj+bh4&#10;cfnoww+zbR++9568/dZbGnGBMORFeTHRDggJPVXefO017Xjq71weZh9/WFw7w1b47DNp0ayZDBo4&#10;UCuRTpw4kT46eQtP3wM5uXHzpopVqdRhkToarsXOSFBiEhIaJm3btpOKjpgQUejXr79Mnx4uycuW&#10;a/WOl8pBExQyOkQFs4FGSjB/xISF+UhVTZkyVXr26Cm1a9WS1q2MmBgMBkNhQ64REyofFjsn0Kd3&#10;b2nepIk0rF9f6tepk2OD2HxerpwUf+99efPV15RA+CMXj2JEYiAlpGFKlSwpVStV8nsuWbUGdes6&#10;R9lIWrZood1h6XSb30Drg7aF0lj6d9DVdGHiYiUnoWPHS8eOnaVmjVpSv159TeegJZk1a7bsSNsp&#10;Y0PHSulPPtW1crxUDsLXQLOUlLXS3hEsolVe51eiPrGxcTJgwEBHvtoqMWnfrp0sXbLEiInBYDAU&#10;IuQaMeHlv2/fPiUnM+Pjtcsra+Lk1KZPmSL9+/aVps7RM4snJeSPXDyKUVWDDqZmterSpWNHTUH5&#10;O5esWpyzeDeGs2bOlA0bNuiaK/kNiAmRkzvufly6dEmOHj2mzce2btuhFThxcfEaDenerbsKRLH+&#10;/QdIZGSUCmJJ47z9VhHp0b2HrrLLujQYUYpUZxCAVMz9m9+p8ffcsPT9sW+OwbH0eOnH8M4lPj5B&#10;GjVoqBVRFT+voCshEynp1au3IyS1pVnTptLJ3U/0Pps3bdIUl8FgMBgKB3KNmOAQSefgDC+cP689&#10;PR7FDh86JIsWJsrwYcOkoZvd043UH7l4FCNFVOGz8tK9S1eJioiQLZs3+z2X7BiiV66fiAW6m/wG&#10;aR2M+8Hxb9+5I1+6+0JE64IjSvv37Ze1KWtl7JhQLRumF4vX16Ralaryxquv6aq9LVlNOSJS4hNm&#10;qs2YEa8RiejoGImJiZUY9++4uBlq/A2DMDyKsQ9vnxyDY2H8Xz+Tfi4hIWNUaPysu38fFS8hLZo1&#10;lw7t20vVylXknaJvq75k5IgRkrRokRw6eFBL2A0Gg8FQOJBrxCS3wequGzdskMkTJ2kpLjN5f+Ti&#10;UQyBbTXnzAYPHCSJjgTRvfVxBikeWrGjfeF6+/TqrU4cnQZEpHrVavKxc/SIeBGOho0Nk0mTJquN&#10;GzdeRowYqWvoDHTjNWTIUEcah8swZ/wcNWqUhIaOlXFh4zJsvNtm4sSJziZlGDqWceN++EyYM1JI&#10;kI2RI0cJwlXSMf379VcNDP1U6L3Ctt65DB08RBdT5JkoV6aspnNaNG8u9erUkUpffCF9e/fRJRB2&#10;7dzpSOIFjSAZDAaDoXDAiEkQEROiKKTcbt64KYcOHZLVq1ZJXGycjHaEoGvnztoptZFz8k0dUWEF&#10;6DGOLEBOMNIlXTp3UdFsY/d3qnrQcrRp00baOuvSpYsSCYiFZ+hUQkJCHGEJVdKCjRo1WolMxucc&#10;wYHs9HYkqXOnzkqQIB1169R1RKOuNGvaTHr17KXpJ+9chrvtOnXoKA3c55q48+G8u7pzG+QITZg7&#10;RuLChbJnzx6N3hHFs/bzBoPBUHhgxCSIiImX5sFRk+ZhjI8dO6bdUUc64jFk0GAZ5ojCCEccQh0p&#10;mTh+gkyaMFGN30Eaypf7TD7/rLxUr15dateuLbVq1lRr3KiRtGvTVglC1y5dpXvXbkoo+vXtJwMG&#10;EGUZqNa3Tx/Vr3Rzf+dzkB20Le3atpOmTZpKFXc/Pv3kU/nk45LyaclPpEqlykpYSD1558LKziGO&#10;4AwbOlQGOlLDPkndoO0hHXfi+HG9Nq7Tu2aDwWAwFA4YMQkiYuIBR016A3JCamff3n2yYtlyXUJg&#10;+bJlsnL5ClmzerUuTrhu3Tq1BfMXaESCahesadOm0qpVK02hNGnSROrWqaMkgh4paFVq16yl2pUa&#10;1aprisizmo7Q1HJ/q+n+BgmpWOELaVC/gWpcICD8u0L5z5X8VPi8gjRp3ESjJJyXdy4pa1I02rPc&#10;nfPSJUtVS0LH3bQdO+TUqVN6TQWh7zEYDAbDo8OISRASE+BFThCG0qH2+vXrct05dP3pDPGubzXe&#10;m2qHDh6SyIhIad2qtbRs0VIjHr1795bu3btLxw4dpHq1arr430vPvyBF3nhTPnjvfXm7SFF59aWX&#10;f9SMDnHte+5eYvybz6sAuVt31a0QOYG0YHVq19HfJyYmqrDYOxc9t+s39HwhIXQc5pxJ21CB8727&#10;JkvfGAwGQ+GEEZMgJSbZBdVGMxNmSof2HZQ8QEpIzfTp00f1JdWqUtHzqpZgU25culRp+eTjT+T9&#10;Yu/JO0XezrDiH3wopT4tLSU/KimvvfKqPPnE77QcnLQP+hOiJuhLICUNGzSUvn37yqpVq5R0GAwG&#10;g+HxhxETIyZZQlaJyfNPPytlSpWRps1aSPMWraRJk+bSqFHTDGvmft+yZWupW6+BfPj+B0pkjJgY&#10;DAaDwYMREyMmWUJWicnLL7zo/l1devcdIIMGD5OB97EOHbtI6U9La0dfIyYGg8Fg8GDExIhJlpBV&#10;YvLKiy9Jjeo1pd+AwTJ0+Ci/NmTYSOncpbuUKV3WEZM/GjExGAwGQwaMmBgxyRKMmBgMBoMhP2DE&#10;xIhJlpBVYvLSCy9KlSpVpWfvvjJg0FAZNGS4DB46IsNI4/QfOETate8kpT4pZakcg8FgMPwIRkyM&#10;mGQJWSUmLz73vHxRoaJ06tJNdSb9Bw5WrQkEBevXf5AjLf2kRcs2UvLjT+QpIyYGg8FgyAQjJkZM&#10;soSHEZOaNWrIu0WLyuuvvCoVPv9CWrVuK506d5WuXXtIt+69pHu6dXaEpX2HztKwURNHTEoqkaGP&#10;CS3pjZgYDAaDwYiJEZMs4UHEpFu3btKsWTPt/ErHVjQmDRo0kjp16knVylWl4heVMqxa1WpS25GO&#10;mjVrKYEp/WkpXX9n0KDBRkwMBoPBYMTEiEnW8CBiQvdXoiYdO3aS1q3bSENHNCAgNFh787XX5fmn&#10;n8mwIm++pc3VKn5RUQlKs2bN3fY9lJQYMTEYDAaDERMjJlmCP2ICaejQvr2uldPcEQxWGlZi4ggF&#10;xIRoCF1gaUvvWbG335FSn3wqlStVlrp162l7+/ZunyzoBylp4e51Pfd7zIiJwWAwBB+MmBgxyRL8&#10;ERMiJfXq1pXSpUpJ+c8+0/Vt6tdvoBGP2rVq6yJ9pHbKlimbYSzQx+/5LJ+rX6++LvZXuSKpnopS&#10;o3oN/R2kxIiJwWAwBB+MmBgxyRIyE5P27dtLv379lJhUqlhR0zXvFCmqEZJKjmCwujBkgxWG72cQ&#10;E6IqRE4+LfmJLvxX9M23lLiwojApHn4aMTEYDIbgghETIyZZgkdMOnboqCv+hoaOldGjR0v9evXk&#10;3bffUe0I94hF+tTe/yBLxirEkJIXnn1Of0JaqNDhGK1atjJiYjAYDEEGIyZGTLIEj5h06thJ+vXr&#10;L5GRkRIRESltWreWjz4srtGOt15/Q157+RV56fkXfiR4vZ+96MjIS889L8899bT88Xe/V2LSvGkz&#10;GRc2ToYPHyHt27WXvn2MmBgMBkMwwYiJEZMsAWKSkJCgqRzKg8eGjpXQsWOlbZu28sXnFVQjUq9O&#10;XWnSqJE0qFdf6tSs9UCr66x+7TrSoG49qei2L/7++/JpyZIaJRnhSEl/R37atG6jVT+rVhoxMRgM&#10;hmCBERMjJlkCxCR+RrxW3rRo3lw6deyoVTRU4zRu2Ej69ekrM+JmyIply2VZcrIsXbL0wbZ0qSxb&#10;6j63eIlMmjBBOrRrJ/Xr1nX7a6aREghKY0dyevfqJStWrDBiYjAYDEECIyZGTLKECxcuyJzZs6Vz&#10;587SpHHjjMoZohpoQmbNnCUncjB+33//vezatUsiIiKUhLC/BvUb6L6bNW0qgwYOlJQ1a+T27dvp&#10;WxgMBoPhcYYREyMmWcL169dlg7sfEIiRI0eq9gNh6oTxE2TunLmydetWuXrlavqns44//elPcub0&#10;aUlNTZWZCQkSOmaM9OrZUwb076//njVrluzZs0fu3r2bvoXBYDAYHmcYMTFikiXcuXNHIyKbNm2S&#10;xMREmT59utrKlSvlyJEjcvny5RyRh7/85S+aprl48aISkIULFzqyM16io6MlOTlZ0tLSNI303Xff&#10;pW9hMBgMhscZRkyMmGQJ3377rUZNTp06pamX1atXqx08eFBu3LihpIS0TE4A6WD7S5cuKRFBo5K6&#10;bp3s379fzp07J7du3dLIisFgMBgefxgxMWKSJUAMIA+QBKIjp0+fljNnzihZ8UjJn//85/RPZw/s&#10;m+2Jylx25OTkyZNy7uxZuXr1qkZTIEU53bfBYDAYCheMmBgxyRJIuXgGSfAs8++xnCDz9rm9b4PB&#10;YDAULhgxMWJiMBgMBkPAwIiJERODwWAwGAIGRkyMmBgMBoPBEDAwYmLExGAwGAyGgIEREyMmBoPB&#10;YDAEDIyYGDExGAwGgyFgYMTEiInBYDAYDAEDIyZGTAwGg8FgCBgYMTFiYjAYDAZDwMCIiRETg8Fg&#10;MBgCBkZMjJgYDAaDwRAwMGJixMRgMBgMhoCBERMjJgaDwWAwBAyMmBgxMRgMBoMhYGDExIiJwWAw&#10;GAwBAyMmRkwMBoPBYAgYGDExYmIwGAwGQ8DAiIkRE4PBYDAYAgZGTIyYGAwGg8EQMDBiYsTEYDAY&#10;DIaAgRETIyYGg8FgMAQMjJgYMTEYDAaDIWBgxMSIicFgMBgMAQMjJkZMDAaDwWAIGBgxMWJiMBgM&#10;BkPAwIiJERODwWAwGAIGRkyMmBgMBoPBEDAwYmLExGAwGAyGgIEREyMmBoPBYDAEDIyYGDExGAwG&#10;gyFgYMTEiInBYDAYDAEDIyZGTAwGg8FgCBgYMTFiYjAYDAZDwMCIiRETg8FgMBgCBkZMjJgYDAaD&#10;wRAwMGJixMRgMBgMhoBBQBOTTRs3ypTJk6VNy1ZS4v0P5MnfPpGr9vILL0rNatVl6OAhsihxkZw8&#10;eTL96AaDwWAwGAoCAUtMvv76azl08JAsS06WaVOmSp+evaRZ4ya5au3atJWQUaNk7uw5snXLVrl8&#10;6VL60Q0Gg8FgMBQEApaYfP/993Ljxg05c/qMHNi/X7Zs2SLr1q7NVduwfr3s2rlLjh87pqQEMmQw&#10;GAwGg6HgELDExGAwGAwGQ/DBiInBYDAYDIaAgRETQ7bxl7/8Rf785z+r/elPf9K0G/ads2+/++4H&#10;+/Zb+caPffsd9p18h33/Xcb27AtjvxwDMxgMBkNwwYiJIVuALEA4vvrqK7l+/bpcvHBBdUBHT5yQ&#10;fUcOS9rB/bJj/17Ztne3bErbIalbNsvaTRsybP22rbJlV5rs2LdHdh7YL3sPHZRDR4/IiZMn5fz5&#10;83L16lW5ffu2HgOCYjAYDIbgghETQ7YAWYCUQCIOHz4sO3bskLVr10pi8lKJWTBXJs2cIePiomV0&#10;1HQZNCFMeo0YKl0H9suwPiEjZNiUiRIaEyGT42Mlcs4smbNooSxbsULLww8eOCAXHNm5deuWkhOD&#10;wWAwBBeMmBj+Cl6qhrTKN998oz1lrl67JhcvXZJTZ07L3n37ZP3GDbLYkZH42bNkUkSEDJo4TjqF&#10;DJcmQ/tLvYG9pEbvrlK+Yyv5uEldeb9u9Qz7tEUjqdi1rdTp212aDu4r7UYOlj5jR8uoSRMlIjZW&#10;Ehcvlg2bNsruPXvk2Injcu7iRbnijv3lV1/K13fvasrHYDAYDI8vjJgY/gqQEvQflE+fPntGtqft&#10;kCUrlknsrAQJnTRBBo0cLt379pa2PbpJ017dpHafbvJF367yad/O8kHfjlKsVzsp2qONvNattTzf&#10;tYU83bV5hr3UraW82b21vNuzrXzQp4OU7NdZPuvTWar17CT1e3SR1r27S/f+fWTAiGEyypGd6TNi&#10;ZZE79padaXLi9Gn56vZX6WdpMBgMhscRRkwMGfAEp0Qlbt+5LVeuXpGtadsldvZM6T9ymDRo21I+&#10;qlRe3v70Y3m9+Hvy4kcfyLMVy8of61eV37esLb/p2FD+q2sTtf/bpYn8R5+W8vMhHeVnI7vKz0Z1&#10;U/vloHbyq57N5T/d332fbSpPtK4rTzaoIk9XKSfPly0prxZ/X4qWKinFK38uVZo3kV6OpETPmSXr&#10;t22R85cuKWkimmPiWIPBYHj8YMTEkAGcPU7/2vXrsnPPblm4OEnCwqdJ56EDpXqnNvJBkzrydPXy&#10;8ptKZeTXFUvJf1QtK/9ev5L8olUt+UWH+vLzro3l592b+H52aST/5gjITxwR+cnQjvKTYT77af/W&#10;7jNN5Rfu7z/v5j7r/v3zDg3kFy1ryS8bVZF/r/W5/KpSafmNIyl/rFFB3mpUSyp1aSsd3DmEhE+R&#10;WUmJsmHbVjl97qxW9BgMBoPh8YIRE0MGvPTN0ePHJGpGnDRp30a+aNpAijty8FrjWvJU63ryq86N&#10;5Gc9mslPereUf+3XRn4yoK38ZGBb+an7+W/u/z/r3UJ+lol4/KxnM/lZL/c7zyAi/M2RF/72b31b&#10;ue1a67Y/cT/V+rZ2f2sh/9GlqTzRvqG83LyufODO4fPmjaRex7YyKHS0rNmwXu5+8036mRsMBoPh&#10;cYERE0MGKNO9fPmybNyyWXoNHSxvli4pT39aXJ6o8In8Z63P5T9a1FRi8a/928j/HtpR/mVEF/nf&#10;wzvJvw7p4MhJO/mpEorm8jNHSCAmSk7usYzfQ0wcwfk3R1Z+ChkZ1E7+j9sn+/uXEZ3l/wxqr3/7&#10;Rbt68uu6X8hvPnfnUvZjebnMx1KlWWOJnTtbrl27ppU7RHoMBoPB8HjAiIkhA5cuXZJdu3ZJwry5&#10;0qxPD3muQin57eeOlFQrK7+uVV5+Vb2c/Hu1cvLLmuXlF44s/KJBZfl5sxry8zZ15BdtnenPevKL&#10;9vXlF50bZpAQv9bJ/d2Rjl+0qeuztnXl561qy8+bVpNf1K8kv3T7//faFeQ/3LF+7Y77f6uWkd86&#10;gvTH0iWkdP1aEhYxXQ4eOqR9T+7evWt6E4PBYHhMYMTEkAEWM0xeslRGho2VKl3aye+qf6ak4FeO&#10;JPzKEZNfl/pA/vPNV+S/XnvR2Uvyn0Vfk//7yXvyq4qfyq8cefmVIxH/7sjKL1vW9BEPf4TEsw71&#10;5JeO1PwH+3bbsf2vP/9Yfl3iHfnPt9wxirwq/1nsLfm/JYvJryuVkl/VqSD/t0oZ+e8yJeS9WlVk&#10;QOhoSU1NlePHj2tfFSMmBoPB8HjAiIkhA7v37pWo2Bjp0KuHlGpYR54o+5H8ypGC/2hQSX7ZpKr8&#10;0pGDX1YuLb+oUlp+7kjCvzlC8dPGVeWnbevKTzrUl590aiT/2r2Z/J++reVfhrSXfxnWwb8NdUbq&#10;pk9L+deujd12DeUn7evLT1vVkp82rCw/c4ToF1jNz+SXtSuowPbfG1WRX7tj/tfHxaRohbLSeWA/&#10;mbcoUXbt2aMdaI2YGAwGw+MBIyaGDGzetlVGjA2VGk0bSrHPy8gTb78hvy7zofy7Iws/79hAftq9&#10;qZKOf3ak4h+GdZS/G9lF/i6ku/xtWC/52/G95W8n9JH/NbGf/K8pA+T/mz7I2eD729SB8r8m95e/&#10;ndhXt9Ptx/bS/f3diM7yj4M7yP/u31Z+gmC2UwP5ZYua8itHioiivFGyhDTv3FGmxUZL6uZNcunK&#10;FSMmBoPB8JjAiIkhA2s3rpeeQwZKqZpV5fWyJeU37xeR/6j4qfysdW351wFt5J/HdJe/n+YIR8xw&#10;+X/iR8n/mDnGZ7Ny0dhfwmj5G3eMv3Pk5p/G9ZL/M7i9/FvnRhqx+fVH78orn5SQ2u1ayYjJEyQ5&#10;ZY2cv3TRiInBYDA8JjBiYsjA6vXrpOuAvvJR7WryYr0q8h8Nq2ia5Z+GdJC/G99H/nbaQPmfjjD8&#10;v/GjHYEIkf8xOzRvzBEUiA/H+l/hQ+RvJ/aTfxzdVf4P1T71KspzdSpLpW7tpfe4MTJ/5XI5feG8&#10;ERODwWB4TGDExJCBValrpWO/3vJeveryVKem8tNhneQfJ/SV/xk1TP6fhHQykjm64Y9U5JZ5x+CY&#10;CSHy/8aOkL8P6yn/2ru5PNmlqZTu31XajRkm8clJcuL8OSMmBoPB8JjAiIkhAxnEpH4NeaprC/lp&#10;SHf5h6kD5W/iRvonD/loEKO/m9hH/rV/a3myRwspNbCbtHXEZIYRE4PBYHisYMTEkAEjJgaDwWAo&#10;aBgxMWTAiInBYDAYChpGTAwZMGJiMBgMhoKGERNDBoyYGAwGg6GgYcTEkAEjJgaDwWAoaBgxMWTA&#10;iInBYDAYChpGTAwZCGhiMmOU/H1oT/lJl0by+xa1pXiH5tKgd1cJjZgmazeslyNHjsjRo0fN8tjO&#10;nDmT/rQYDAZD3sCIiSEDAU1M3Dn8w8C28rMan8nvPn5PXin1sZT4rKzUrFdXOnbqJP379JUBffuZ&#10;5bFFTA9Pf1oMBoMhb2DExJCBgCYmsSPkn7o1k3//qJg88fRT8uQzT8szzz4rL7/0khR58015t+jb&#10;Uswsz61F06bpT4vBYDDkDYyYGDIQ6MTkH/u1ll9ULC1PFCsiL35QTN75uISUr/iFNGzYUNq0bCVt&#10;W7U2y2MLDRmT/rQYDAZD3sCIiSEDAa8xGd1Nftq2rvy+QVV5r3l9qdmxjQweO0YWJCXJ5o2bZMum&#10;zWZ5bPv37kt/WgwGgyFvYMTEkIGAJiZWlWMwGAxBASMmhgwYMTEYDAZDQcOIiSEDRkwMBoPBUNAw&#10;YmLIgBETg8FgMBQ0jJgYMmDExGAwGAwFDSMmhgwYMTEYDAZDQcOIiSEDRkwMBoPBUNAwYmLIgBET&#10;g8FgMBQ0jJgYMmDExGAwGAwFDSMmhgwYMTEYDAZDQcOIiSEDRkwMBoPBUNAwYmLIgBETg8FgMBQ0&#10;jJgYMmDExGAwGAwFDSMmhgwYMTEYDAZDQcOIiSEDRkwMBoPBUNAwYmLIgBETg8FgMBQ0jJgYMmDE&#10;xGAwGAwFDSMmhgwYMTEYDAZDQcOIiSEDRkwMBoPBUNAwYmLIgBETg8FgMBQ0jJgYMvAjYtKlmfx0&#10;VFf5x0n95P+LGip/M2OkEpS/iRnhbJj8z6hh7vfD5O/d//8lZqT879h049/O/iV6hPxT5DD5x+mD&#10;5R+n/WD/FD5E/jlquNtmxA+fdfbPzv7R/e7voofrvv8m2lnMcPkbt0/fcYfL34f1kp/0bSlPdm8u&#10;pQZ0NWJiMBgMjyGMmBgykEFM6tWQpzs1lX8b1ln+ZWxPJSd/P3WA/IP7+Y/jess/hfaQfxrdVX7i&#10;iMtvQnvL82H95aXxA9VecP9+YWw/eS6ktzw9tKs82betPNGzVYb9YUAHeXZEd3l+TB/97IvjBsjz&#10;4/rLs+7fvx/bR/49pIf8i9vvP4V0k3/i2OP7yD9M7i9/P6W//PPILvLTXs3lD92a+YhJiBETg8Fg&#10;eNxgxCTIgUP/05/+JN9//70sT1ktHfr0lPfqVJWn2zSQn/drIz8Z2lF+Orq7/NuYnvKzUd3kl0M6&#10;yX8MaCe/6tNKnuzdWooO7CRlh/aUL4b3Vvvc/bv8oO5Stn8X+bhTCynWpI4UrVs1wz5o2UA+6d5G&#10;yjliUX5wD6kwrJd8NqynlB7aQ94f1EVe7Nde/rt3S/mVO/a/D+wgP3fk6OfuuP8W0l1+NrCd/LxT&#10;Q/lDh0ZSqk9HaTNysMQuXijHzpzWa/jzn/9sBMVgMBgKOYyYBDm++/ZbuXHjhpw7e05mz5snrTt3&#10;lA8qVZDnqleQX9X+Qp5oVU9e7NVW3hrSQ4oO6S7FHOn4aEhPKeNISOVR/aVR6BDpMG6UdBkfotYp&#10;bKR0GDNc2jrSUL97R/m8UT35pEalDKvSsok06ddD2o8eKh1DR0gnt21HZ+3GjZTmY4dK7ZBBUmFk&#10;Xyk1rLcUd8Tl3cHdpIiz1wZ0kWfaN5bf1Ppc/litvJRsVl+a9ugqU2fEyK59e+XmzZty9+5dIyYG&#10;g8FQyGHEJMhx584dOXnypGzZvFmmTJkqzVq0kOKlPpWX3ntXfvPGK/J62U+lfIvGUr93N0coeknr&#10;wf2lW8hIGTx1ooyJDpdxMZEyJS5apsbFqE2OiZKJkeESNm2K9Bo0QBo0ayIVq1fNsBbt28ng0SNl&#10;QsR0mRQdIVNio3X7ybFRMsFtO9btb1TkNOk/MUw6jRgqLQb2lQZ9ekj1Lu2lRK1q8ux778jTRd6Q&#10;EuXLST237zHjwmRt6jo5fea0khMjJgaDwVC4YcQkCOGlb7777ju5dOmSrE9dL5HhETJk8GBp06aN&#10;1K5VSypW+EJKf/qp1K9XT3r36iWhoaEyYcIEmT5tuiTEx8uiRYtk+bJlkrx0qSxZvDjDktzvFy5Y&#10;ILNnzZLRo0ZJi2bNpErlyhnWtUsXmTJ5siyYP18WJSbK4qSkjG2XLlmi+0tOTtZ9xMbEOrI0RcLC&#10;wmTY8OHSvn17qVyxkpQrU1Zq1aoprdu0dr8fpg9xamqqnDp1StM5BoPBYCi8MGIShICYfPPNN/Ll&#10;l1/Kgf0HJNyRjUb1G0i71m1k0KBBMn7ceJk6dapER0bJvHnzZNXKVbJx40bZsmWLbN++XXbt2iX7&#10;9u1TS0tLk82bN8umTZvU1juCsHrVKiUckJlmTZtKhfLlMwxiEhMdLavcZ9atW6f79bbd6va/a+dO&#10;2b9/v+zdu1d2un9v3bpNNrn989nFjrzMiIuTqZOnyMSJE32EZehQJU5jQkJk44YNSrgMBoPBUHhh&#10;xCQIQVTh9u3bGi1JXZcqPbp1l1dffEnq1KwlU5zT3+Ac/OFDh+TatWuaHrl165aSGIx/X79+Xa5e&#10;vSrnz5+XY8eOKYnYs2ePWtqONCUby5cvl7CxY6Vxo0ZStnTpDIOYJCQk6GcgObt3787Y9sCBA5pW&#10;4rzuPbZ33MuXL8uJ48cdYdmqUZthQ4ZK9arVpEG9+jJ39hwlXCaCNRgMhsILIyZBCBw3xOLgwYMa&#10;2ejbp4+U+uRTadu6jURFRcnatWs1NbJxw0ZZm5IiK1es0M/NnzdPEmbES1xMjEY9ot1nY6JjJC42&#10;VmbEzVDj/9OnT5fx48dLj+49pLYjO5mJSfNmzWT4sGESPj1cjxUXGycxbn/RUdESFRmpURos1u1n&#10;htvvrJkzNe1DmmfVypV6Xtia1Wtkifsd6aJ6depK44aN9HxOnjipBAaCYjAYDIbCByMmQQjSHWfP&#10;npUN69dLvCMaEIVWLVqqxgT9SJIjIdGOeIwZM0YG9O8vXTp3Vq1I7Ro15fNyn0m50mWUZJCagRS0&#10;btVa2rVtp9bGkRv+36J5C6nr/lbpi4qqCfGsWtVqGkXhM3y2bZu2vs83ay4N69eXalWqyGdu/xyD&#10;nxUrVJD6des60tRa+vTuLaNHj1ady+zZs/U8JzgC1Mb9rY3bx+SJk2RD6no5euSIRlkMBoPBUPhg&#10;xCQIATEhVTN//nwJdeSjb+8+Gi0hcjIubJxMnDBR/920SVMVwlapVFk+c6SixAcfStE33pSib74p&#10;7xQpov9HJNuwQQP32SY/siaNG7vfN3Skop6SF89IuTRu1DjT55ro5+q5z1WrUlXKfFpK3nvnXXn7&#10;rbekyBtvyLtFisrHJUrI5599JjWrV1dS06ljJ0emhqsOZtDAgapjaeqON3TwEJkZnyBbN2+Rq1eu&#10;pF+twWAwGAoTjJgEIWimhr7DizbUrV1bypctp8SgkSMJTR1ZqFm9hpQv95kSjxrVqrvP1HGkop40&#10;dn8netKuTRvp0qmzEpihQ4YoUfixDVNhKmThR8Znhw770ef4HdGa/v36Sc8ePaRThw7SulUraQZp&#10;qV9f6tapo6SE6EmZTz+VsqXLSC13fs2bNpNaNWpq9Obzz8pL65atZOTwEZK8NFnOnTuXfrUGg8Fg&#10;KEwwYhKEoEwYHUnPnj2lXJkyUuydd+TFZ5+TV154Ud56/Q0p+lYReeuNN9TQnkBKOrRrLwP69Zex&#10;oaEyfdo0iXfPytw5c9TmzZ2ba8b+KDWOjYmRyZMmyaiRI6VH9+4aXSG989LzL8iTv31CfxZ54015&#10;/ZVX5WV33pwzJAqiReXOiRMn0q/WYDAYDIUJRkyCEBCTlDVr1OETbSB1QlVOqZKfSJOGjaRls+ZK&#10;WF59+WWpVrmKVr7MSpipfUcQoFISTGnvjh078sS2b9smmzdtknWOPC1btkxLlsOnT5f2bdvKu0Xf&#10;lhcciYKkEDEhzcTv3nbEhKgJ4lqEucePH0+/WoPBYDAUJhgxCUJ4xKR7t25SplQp+eC99+TN116X&#10;hvUbqL4kIjxCUzYvPfe8NGnUSBYtTNTmZQhmKeWlZJeqHqpf8sSuXZMrV67osS5cuCBnzpyR/fv2&#10;aeoJ8kRUp3XLljJt2jTp1qWrfFqypBR96y1NR3G+VPccP3Ys/WoNBoPBUJhgxCQIATEhIoG+o16d&#10;OvLF55/LR8VLSM/uPWT5suVaItypfQd54dlnpW2r1rJl0+b0LQsOX331lUZtEMG+9847Knql6RpE&#10;qmaNGvLJxx9LnVq1pGvnzpoKOnXyZPqWBoPBYChMMGIShKAq5xBVOXPnyqgRI6Rzp05a2hs6JlS2&#10;bd0mO7Zvlx7dusmLzz0XkMSk+Pvvq9aFPiy0rqecmWqd/n37ason1RGWy5cupW9pMBgMhsIEIyZB&#10;CIjJxYsXZWdamq5tM3HCBOnapas2Ozty5Igccg6/X58+8tLzzwckMSlZ4iOJcASEkmA6yIaMHq3V&#10;QRHh4ZqignTRKdZgMBgMhQ9GTIIQdH5Fw7Fv715diG/a1KnSs0dPSYhPUNHokcOHNfoQqMTkk48+&#10;lqiICLlx/bqu30Pr+4EDBmglD03jjh09qp83GAwGQ+GDEZMghBETg8FgMAQqjJgEIYyYGAwGgyFQ&#10;YcQkCGHExGAwGAyBCiMmQQgjJgaDwWAIVBgxCUIYMTEYDAZDoMKISRDCiInBYDAYAhVGTIIQRkwM&#10;BoPBEKgwYhKEMGJiMBgMhkCFEZMghBETg8FgMAQqjJgEIYyYGAwGgyFQYcQkCGHExGAwGAyBCiMm&#10;QQgjJgaDwWAIVBgxCUIYMTEYDAZDoMKISRDCiInBYDAYAhVGTIIQRkwMBoPBEKgwYhKEMGJiMBgM&#10;hkCFEZMghBETg8FgMAQqjJgEIYyYGAwGgyFQYcQkCGHExGAwGAyBCiMmQQgjJgaDwWAIVBgxCUIY&#10;MTEYDAZDoMKISRDCiInBYDAYAhVGTIIQRkwMBoPBEKgwYhKEMGJiMBgMhkCFEZMghBETg8FgMAQq&#10;jJgEIYyYGAwGgyFQYcQkCJFbxORPf/qT3L17V27evCnnz5+Xw4cOy66duyRtxw7ZvnXbg23bNtmZ&#10;tlP27N4jRx2RYPsbN27I119/red3L4yYGAwGQ3DAiEkQIreIyTfffCOXL1+Ww+7zK5Yvl8mTJrvt&#10;+kmPbt2lQ7v20qFtu/ta544dpZc75uBBgyUiPEJWrFgh+/btk0uXLsn333+ffoQfYMTEYDAYggNG&#10;TIIQj0pM2J5oya1bt+TgwYOycuVKGRcWJk2bNFXS8Pabb8nzzzwjzz319H3t5RdelPfeeVfKlSkr&#10;bdu0kQnjxkny0qW6v9u3b+v+M0dOjJgYDAZDcMCISRDiUYgJ2xIp+fLLL/WzS5YskdAxY6RH9+7S&#10;zBGTihW+kHeKFJEnf/uE/PY//+u+9swfn5LiH3wg1atVk5YtWkivnj1l4oQJsnLFCjl58qRcd6Tj&#10;22+/TT+qERODwWAIFhgxCUI8KjHB6aMJ2ex+DympX7eeNKhfXzp26CCtW7aSTz8uKX944nd+CYln&#10;Lz73vHzx+ee6Tfu2baVp48bSqWNHiXCEY9OmTUpOMpMLIyYGg8EQHDBiEoR4FGJCioVt9+/fL4uT&#10;FishqFG9utSsUUOaN2smjRo0kBIffKjEBHv+6Wfk5RdekFdffElee/kV/T/RlOefeVbKliotzZs2&#10;VWvoiE3b1q0lZPRoWbBggezcuVOuXbuWflQjJgaDwRAsMGIShHgUYoIw9fSpU5KSkiIxjggMHzZM&#10;2rVtK3Vq15by5crJ++8Wk5eff0F+/5vfKiEp/v4H8lnZsvLF5xWkSqXK+v/nHDn5w+9+L6+/8qqU&#10;+PBDqValirRq2VJ69+olQ4cMkYkTJ6oYlqiMByMmBoPBEBwwYhKEeBRi8t1336lAdd68eUoIRo0a&#10;JQMcKWjYoIEUe/sd+aMjHE/9/knVkHz4/vtSp1Ztad+2nXTt0kV6OeJRt3Ydec997ln3dz4LQSlV&#10;8hNp366dDHGkpF+/fjKg/wCZPXu2nDp5Kv2oRkwMBoMhWGDEJAjxKMQEQepet11sTKwMGzpMRo4Y&#10;IcOGDdOIR+lPPpWib74lH39YXPUjHRzZGD9unMyaOUvmzZ0rCxcslAnjJ0g3R1JqVK2mVTmke4ii&#10;NG3SRHr27Ck9uveQvn36yqxZs1Rn4sGIicFgMAQHjJgEIR6VmKD/YBsIBORk9KhRGhGhwqZC+fLS&#10;zJGMfm77GbFxsmPHDjl37pxcuHBBLl68KLt37ZKlS5dK6JhQJSdPP/kHebfo21KrRg0tG0YM27tX&#10;byMmBoPBEKQwYhKEeFRikrYjTZup9erZyxGToTImJETLfevVradaE0hJdFSUbNiwQRuw/eUvf0nf&#10;WrQM+NixY7Jo0SJp1by59jR5u0gRqVq5srRw/2/Xtp0RE4PBYAhiGDEJQuQNMekl9evVl0YNG7n/&#10;j5Hly5fLwQMH5OaNGz8iJrSch5xs2rhROnfsJM89bcTEYDAYDD/AiEkQIi+ICWSiUcOGjly0kMiI&#10;SNm9e7embyAimYkJ4P+HDh2SPm6bF5591oiJwWAwGDJgxCQIYcTEYDAYDIEKIyZBCCMmBoPBYAhU&#10;GDEJQhgxMRgMBkOgwohJEMKIicFgMBgCFUZMghBGTAwGg8EQqDBiEoQwYmIwGAyGQIURkyCEEROD&#10;wWAwBCqMmAQhjJgYDAaDIVBhxCQIYcTEYDAYDIEKIyZBCCMmBoPBYAhUGDEJQhgxMRgMBkOgwohJ&#10;EMKIicFgMBgCFUZMghBGTAwGg8EQqDBiEoQwYmIwGAyGQIURkyCEERODwWAwBCqMmAQhjJgYDAaD&#10;IVBhxCQIYcTEYDAYDIEKIyZBCCMmBoPBA9/HP/3pT/L999/LN998I7fdd+fmzZsPNL5fd+/e1W3Y&#10;9t7vuMHwKDBiEoQwYmIwGDzwPvjuu+/0u3rt2jU5c/q0vgMeZKfdZ65dvarbsC37MBhyC0ZMghBG&#10;TAyGwge+N3x3vegGhIDvI5GLr+98LXfu3FG7/dVt+fLLL+XLW7fUbjkjysH3BeJxr1117wK+q6dP&#10;nZJ9+/bJxg0bZMXy5Q80vmd73fvjlNuGbdmHv31fd8fk2JyDdz6cG1EZ73w5d66Ba+GavCgM13rv&#10;u8MQHDBiEoQwYmIwFD7gsPk+4ej5/p4/f16OHTsme/bskS2bt8imTZv0+V+9apUsXbxYFi5YoLZg&#10;/nz33UmQyPBwmTRhwl/ZxPHjZZz7DoWGjJFhQ4ZIvz59pHvXrg+0fr37yNDBQ9w2IbrtBLcPf/uO&#10;cMec6Y7NOXjns8Sd26qVq/RcOWfOfY97X/C9veCuiWvjGiEtEBVD8GGGEZPggxETg6HwgagCEYiz&#10;Z8/qd3T3rl2SsmaNzJ09R6ZPneaIwEQJCx0rQwYNlu5dukibli3VWrnvVd3ataVcqdLy3jvv/rW9&#10;/Y4UK/q22ttvvSVF3nhT3nrt9QdakTfekLfffEveTd+Offjbd1l3zLq1auk5eOfTzZ3b4EGDZGxo&#10;qJ7zNHfuc2bPljWrV8sud02H3bVxjURcuGZD8MGISRDCiInBEBjgu+BFQkhxXL58Wc6cOaPfw8Pu&#10;O8J3NC0tTTZv2uQc9xpZuniJzJszV+JiY5WMhIwaLX3c97Bt6zbO+beQpo0aS+0aNaXCZ+Xl048/&#10;Vvvko4/kHfcde+7pp+W3//lf+WrPPfW0Hptz8M6ngvsO16pRQ8+1pTvndu7ce/fsKaNHjtJr4trm&#10;zpmjUR/ICtfOO4c0E+8m3gvnz52Xq1ev6pgxdkRW7n3PGAovjJgEIYyYGAyBAb4LfEf4Pp44cUK2&#10;b9smy5KXyZxZsyUqMlLGhYXJ4IEDpUunTtK6ZUtp0rCR1K1dR2pWry7VKleRL8p/LqU/+VQ++rC4&#10;FH//A/ng3WKOCBSVN197TV598SW1V154UZ5/5hn5wxO/80se8tI45vNPP6Pn4J3Pm6++pmSFc+Wc&#10;S3zwoZQq+Ym7lvJ6TTWrVdcID9faqkVLvXbGgLGIiY6WxIULZW1KiuzcuVPHjLHz954xFF4YMQlC&#10;GDExGPIePOcY3zfEnMzqKcflO3H79m19RtFSnDt3Tvbv2y/r1q2Tme47SBSkZ/fuGgGpUa2alCxR&#10;Ql5xDv3pJ/8gv//Nb/0SgMfRuNanfv+ku/YXdQxqVK2q76NBAwbKFPf+mT9vno7Z/n37dAwZS8aU&#10;sWWMGWvGPLOQ9t53kSEwYcQkCGHExGDIe3hkBBHnxQsX5ciRI7IzLU2fUb53pCt4jsePDZNhQ4ZK&#10;L/cdJCpSt1Ztqfh5BSnzaSn58L33NcLwzB/+KE/+9gn53X//xq8TfxyNa+WauXbG4MP33pNypUtL&#10;9SpVpXGDhtK+bVsdMwS749wYIrTlHZG0aJGkrEmRHdu3u3fZEbl48aLeA95d3BND4MOISRDCiInB&#10;kLvgmcb4bnkREr4rPIdXLl+WvXv2ysrlKyRhRryMDxsn/fr0leZNmzoC8rlGA95/t5gUffNNeeOV&#10;VzXt8eKzz6k+gyjJH373O3XST/zXf/t14I+7ce2khBgL0kIvPf+CvPrSy/Lma6/rmL3/zrvycfES&#10;ql1pWK+edO7YUUaNGCGx0dFa2kzFD9od7gVRFC+Cgnn3zRBYMGIShDBiYjDkLvheqHj10mXt7XHw&#10;wAGdsaOFSEpcJJHhETJi2HDp3qWrNG/SVKq55x1txcvOyf7xd78PqhRNbhvEhTGEzBV7+x35rEwZ&#10;aVC3rhKUEcOGaSSFe0AFExoe7g336PKlS3rPICuGwIIRkyCEERODIXeBgzt54oRs27pVFi9KkvBp&#10;0/S70alDR53FV69SRT4v53t2Pyz2npbkQkrQUBgpeXTzyAki39dfecURlLelZImPpHzZclK9chVH&#10;VOpJxw4dNO0z3d0b0j1b3bvjxPET2vzNEFgwYhKEMGJiMGQfPLeebuTu13f1Gbt185bcuHFDn7l1&#10;a9dJfNwMbTxGmganSLrBS8NkNn/ONSfGvtg/WgzSHRAdNBnYs398StNBzz/zrLyQyV587nl5yRnE&#10;6OUXXtTUUW4Y+2KfvDc4RuZjYpwL5+SdH+fKOXvamdwcl9/+l29sPGP/b7z6mnxWtqw0c/dm6ODB&#10;7l7FaUTrqLt33MNb6eJZ3lmeaPbed5chf2DEJAhhxMRgyB54Zgn581xRAUK3VVIDC+bNl6jwCBkz&#10;OkT6uue2dYuWWu5aqmRJbUD23NPP+Hecj2geGcHRv/rSS/LOW0VUZwEZqvxFRalaqbKeR8N69aVF&#10;02bSumUrtTatWkmXTp31uzegX38tw8VJQ6YezQbrvthnn9699Rht3LvDOy7nwLlwTtXcuXGORJBK&#10;unPm3F976WUlLnkp8GX/aFK4NzWrVtOqJ3rAUAUV6d4n3EvuKe8uGrxxr7nnvC8N+QsjJkEIIyYG&#10;w/3B83mvMXsm5E+Fx44dO2TO7DkycvgIdfT0Einx/gcZDpZoxDOOMJBayE0nm3n2z75xtFSrfPTh&#10;h1KpQgVp2qiRalgGOnIwdNBgdbg0LJs9c6a2hMcWeT1A0tLkwP79cvTIUe0FwnftUYx9EHk4cOCA&#10;9hfhGIsSEzOOO9t9n0lvjXHnBJHhHDlXmqxx7lwD1wLR8sbNu15/Y5ET88aNYxDRQUD7trtn9FJB&#10;OAuBGjl8uDvX2bJj+w59f3HPvcjJvWbIOxgxCUIYMTEY7g+eT1qh45QuXbqkzyG9MtanpspC59in&#10;TJrknv2eUr9uPfn045KaxsDh5YZWhNQGaQ4c5+uvvKqO84Ni76legvJhogxEG2pVryEN6tV3zrSl&#10;dO/azRGRQbo2TfyMeJ35L0pcJMuSk3VBPtq873ckBDt08KCcO3tWr43vJl1nc8PJsg/25Y0bx+A7&#10;7h2X9vkb1m/Q5nEIUTlHKpQ4Z0hUj27dlBgQValTs5aWBFd0hK9c6TIZuhyIH2OixM+NEdEVf2OY&#10;HeOece9IQXEv69WpK7169HDvt0nayC113Tp9T/IM8CyQ7uEaLYqStzBiEoQwYmIw3B9/cg6WJf2P&#10;HzumzxdRhqlTpkg/951ghl+lYiXttso6MXQy/ePvn8yY4ftzflk1tqcclrVoPv6wuPYyQbTZ3n0n&#10;KC+mZfvkiZO0DNbXsn2JrFy5Up0nbdt37dypFSf07uA7gBgXgkD1Cdejdu2afjdIUUAkeBfkBjEB&#10;7It9sm/EwLrCcPpxKdc9d/acO6eT7tyO6TkePHBQz5lz5xq4lqVLlighYO0cFh1kkcD+7to7uDGA&#10;tFSq8IWmrIq8/oaO1aNGpDJHoGhixz2lCy3kr4m714w7955z2rx5sy6aSCt8rtOQdzBiEoQwYmIw&#10;+MCzSKie55omXF6UhCX9VzlHSQt0tBPNmjTRiAU9NIhqMNPOCRlhG2b6CD9JKSAKZbZOCghn+0mJ&#10;j6Syc74QoB7duisZiXLfp6RFSRqx2bN7j5w6eUq/v5wvJIBzxxBs4jA947owvu/3GtftWW4h8z79&#10;HdM7n8znyDl758+18L6A1OD8+R5DWqhyio6MktGjRuuYNIMcOuLAWFHdxNgxhozls089pWObE62K&#10;R1K4t9xjIjNlHAFt1riJPgPRUVH6TOzds8cXPXHPSubGbbk5lsEOIyZBCF4SRkwMBl931i+dg0E7&#10;QroG8SOajPFhYe757CUtmzXXUl8Wn2P9GZqd+XNqWTWahNFErfj776tQlcXsEIYiFh3Yf4CKaKdO&#10;nqIVI4kLFsjqVatky+Ytem5EGzhPWq+TTuDcHzfwboCwcH3Xr12TM6dPa7t+SntXr1qtkQsqn4hi&#10;jBk9Wga5733Xzp11DGvVqKmpruLvva9jTLrH3z3IqkFOqOT51L1veAZaNmsmvd07jy6zPCMpq1fr&#10;woK85yBTj+P9KCgYMQlCGDExGHzACeLsmQUnJSaq+LFp48Yqhny3SFHVjzATzy1NA9+pTxzJYZE6&#10;lv8PDRmjz/W6tWs1DXPCff9YOZcZOVEDylhxendu39ES5W+/8a3/wnf43u/V4wCuyYuwaBTFERSi&#10;EowBY0FaiLE5f/68vqtIB6WuXadjOHZMqBvTrlKvTh3Vi1C+7O8eZMcgJ0+7e88zwLPAM8GzwTNC&#10;8zbII51leYZ4lgy5AyMmQQgjJoZgBM89Tp2UAc/OaTcbh5DwHeB5Gti/vzSsW0/1Hcy40R34c1YP&#10;MtIBbOc1+nrvnXdUuPpZmbKqTSFFg7hybGiozIiLkxXLlsvOtJ1y5swZXXyO7xfnaXgweIcwVpCW&#10;s27s0nbskKVLlsr0adNlgLuPzZo0dWNeTt4p+ra8W/Qd7QiLkJi+MmhJIJrZTcNhEJXXX35Fq4jq&#10;OwLUr08f7eqL0BiCcvrUKbnuni0iPh6BNGQfRkyCEEZMDMEInnueRxzHwYMH1ZlMnTxZevfsqQvn&#10;lfn0UynmHBl6BRxXdjUKGNu8/MIL8v6776p4lRRD3959ZFzoWCUii5OStJR2+/btGiHhGfdao/Pd&#10;YtZ97/fF8NdgjBgrxowmd0SZKFVm8b6EhAQJCRkjnTt1ce+kJtK4cVNp6u5DPUc6q1apKqVLlZK3&#10;Xn8jRxEw7i/PBs/Iu0WLSulPPtFnx6vkSV66VMuwecZ41iy9kzMYMQlCGDExBAN4zjFmrjyHpAKI&#10;ktAcLckRhNEjR+q6NRAS1lnxBK3+HNK95gklvVA/3VVJHSDGRCSLs+rRtZtMHD9BFi1M1Fb1NO1C&#10;H8Isn3PCseK4MM6T74WRkoeDMfLu692732ikCSJw9uw5997ZI2tS1srsOfNk0qSpMmLEaBk1eoyE&#10;OmI4dOgw6elIaMsWLaVC+c8zlgXwRLN//L2v5DurkRTuP59/wT07EBREsqQC6d9C9IT1eHjmePa8&#10;6AlmeDiMmAQh+HIYMTE8zuAZw/GTtkGrcdg9b6mpqfoMUenSuUNHqVOrlopaEThCMPw5H3+G42K2&#10;zcwZ54aeoXrVatLSPft0f6XENToy8kd9MCAlXlTEZtE5B+8u775CRs5ov5TDsn37DlmXul5WrFwl&#10;i5KWyPwFiTJn7nyZNXuuzJu/UJIWL3E/F0i8u//Tp4fLcEcg0KM0b9pMnwNEs6zwTNXVU0/+QX7n&#10;CIe/e+/PMkSy7lmqXaOmdOrQQUkv79PUdaly6OAhfd9yzhYRyxqMmAQhjJgYHnfwjOMImE3TkZS0&#10;zfiwcdoynj4YdP3k2aNK5sknnsiW3oCZMiWpiCHLliotLZo115WD586Zq9UjkCDEmfTxoCEXwlXP&#10;KXFe5phyBsaN8SP6wPf75MlTst29i5atWCUJM2fL9PAoiYyKldi4BFmwcJGsXpMiW7ftkJ279sj+&#10;AwfV9u7b7/6/Wza6d9pKR2JmzpwlY937o1vXrlKjWnV59+13tLndH7KhL/KIKs8S0ReWCGDlaCq6&#10;wkLHam+Ww+6dyrPIc8A1GB4MIyZBCCMmhscRPFc4fxzAlcuXVcNBxGJmfLwMHzpM9R40RqOVuz8H&#10;cz/zUjaE/ek+SoSkasVKGrqn+RflvUsWL9ZnnkZiPHsWFXl08J7C9J7euSPXr9+QCxcvyglHSPbv&#10;Pyibt2zVCMmCxCSZkTBLYmLjZdbsebIwcbEjJWuVtBw8dFiOHjsup06fkdNnzqqdPHVajhw9Jvv2&#10;H5ANGzfJoqQkCXfvk0EDB2map7ojKGUc4SSC8trLr6ST199li7zSo4bnhGdEFwx0vpVFHg+4Y/KM&#10;3HbPCATLSKp/GDEJQhgxMTyO4LmClJw/d047itJrYkDfftK0YSMVotLanUhJdkSPOCNICV1Gqa6h&#10;DT29LKa45x/tCM5mt5uBs3w+DsfTj9is+NEBuYOUMKa8S0jZbN6yTZavWCnzFyySufMWarqG6EjS&#10;kmRHUlZL6vqNsm37Dtm9Z5+SkmPuvkBkMhMT/s3vICyQEwjMutRUWbx4iSS4d8yE8ROkX7/+Ggkr&#10;X+4zeeO113Uxxuw8N2hP6ArMM8daSk3cMwiJhSSnpaXpM8qzasTEP4yYBCGMmBgeB/AcYTzPPJek&#10;TFj5d8e27TJ/3jz3fPXSzp2kXJj1+nMg/swLzZOuQRSLfoCF3nAupGzmz52n4sbHudFZQcG7n4wp&#10;Y4su59Kly5qGWZe6QRYmJklEVIxMmDRVpkdESdyMmaopgZDs2r1HyQgREY+EZNXYBhLD9qR55i9Y&#10;KOPGjdflAMqVKaspHsqMETpDVImiZTWCwrMHSSld8hPp2b27Liewfds21R1BTnh2uWbveTYYMQlK&#10;GDExPA7gOSY6wcudiMWWzZtV50H31PZt2uqqtbR5R6SaFXErjoaZLs7nnSJFtfcIC+V169xFQkaN&#10;krjYWFnpZussSIeGhGfboiO5C8aSCMm1a9fllCMLe/bskw0bNsmKVauVgJC2mbcgUcWtS5OXa8pm&#10;0+YtGaSEKEhOiEnmKMqevRxzo0ZQIty7bPjwEdKlS1ddO6fiFxXlw/fed+/GrItkPaE0ayBV/Pxz&#10;ademjT5PrAfE+jvH3TF5X9mz9AOMmAQhjJgYCjN4fjCPlJBCoeKGJf67OhJB2oYl9Cnhzc7s1nMg&#10;zG7ZB5U7EydM0O8Iq/LSBA1BK/oARIzM6vku3ft8G7IPRtC7p5ASSMLWbdslcdESiY6Jk9i4eImL&#10;n6lpm5Wr1zgyslVFrJAR9CJeygZSkjltk1VjG4ztj584KYePHNUozY60napDSUxcJFPd89Wvbz+p&#10;U7uOFHvn3Qxy4u9Zymw8e55OiZQgz+YX5ctLl46dVJ+0LmWtXHTvSp5lj5wE+zNlxCQIYcTEUFjB&#10;swMp4P6yci7PIqvsjgsL0ygJ+Xy6e2Y1zI7DyFjRt3gJXVXWt2jbIImNjpG1a1J0RVlm8V7I3ZD7&#10;+O677/VdgcAVUkAUJHn5Cpk7b4HMcIRk9tz5jqQsllWrqbTZrtoQCElOSEhWjX1DUoiioENB2xIX&#10;N0P7oahItmo1Kf3ppxpdY8E/niV/z9i9xrPJM0ovlbat22grfRrv7di+Q7vY8mwHe/WOEZMghBET&#10;Q2EFzy6rupKf37Bhg0yZNEnauZd7DeckIBboQaiI8OcQ/BmzWLq9Vq1cRTq7GSwN0XASPEcsnIej&#10;oEkWzz0RknufZUPugPcE0SgiH+s3bJI5cxdok7TEpMWOEKxSfQmi1l2798qBg4eUlNwras1t8yIo&#10;HIfIDBEaoidLlyZrmfG4sHHuHdhT030ffVg8W0sYPOOeUZ5Vlj+oXqWqIyitNTpHFRnPNs+4ERMj&#10;JkEFIyaGwgZIgRcpOXHihN73qMhIad6kiUY7iHpkZcbq6UhwIpQNE1bHMVBpQ8t41lxBcGmi1vwB&#10;7wLspnPE9CXZ6sjHwkWLZeq0CImJi5flK1dptAIyAkHwRyDy07woCsRo/foNMtO9p4YPG64LB9Lm&#10;nmfKE8jynPl7BjObF7FDC9WkUSOJmB6uWikWc+Q59FKGwQYjJkEIIyaGwgZe0hCSrVu2ykz3nNIb&#10;ggXx6BXBi50Kmoelb/i7R0aokGhQt5707N5DZ6pJixbJ9m3bVUeCMzAhYt6D9wBOl5Lgc+fPa1+S&#10;xPSuraRuELducr9D6+FFSPyRhfw0iAnnATlBcEuZ8bx58yUsLEy6dumq0RPtIlvsPV2i4GHkhGeS&#10;Z5fGbLzXICdDBg6S+Bnx+t6FoBA9CTYYMQlCGDExBDJ4PjzjWcV58Sytd06AKEmn9h2UkCBSJW3D&#10;yz8rpIS1UIq88YaU/bSUtG7ZUiZNnCirV6/WFYbZvxcp4ZjYvc+tIXfBGEMAGfPDR44oKaF7K7oS&#10;T0sCKYEIYHmZtrnXOJZnpHP8GdoTequQ4lm7LlWSkhbLRPde7Na1m3aRpYcJ4tisPJs8w57wmn45&#10;lCkTPaFPDlqqYOsabMQkCMEDbsTEEKjg+YSM4LAuXbqkz+PqVatksiMSHdq1l/Jly+kM099LPrPx&#10;widUTpSEMDtkpkHdutLbPesR06dLSkqKnHLPGGuu4CAN+Quc7Y0bN3XxvS1bt2mztGnhkVoWzP8h&#10;JTh/f8Qhr8wjIl66hnMgMgL5wNJ2/rWhfUF7smr1Gl2LZ9SoEGnvyHOVylWk2NvvyMvP00fnj/IE&#10;qcaHkBSMCOBnpcuomBvN04rly/U7wJpPjFkwwIhJEMKIiSGQASkhnQJh2LF9u8yaOVNTNw3rN5AS&#10;738gr7/8Spb6kjALJUxO1QTiWFb7nTZlqpIcnn1PZGh6koIB446uZPPmrZK8bKXMmbdAEmbO0d4k&#10;rGkDKcnv9A3ExCsX5hw2btqibe9JKy1ZukwWL0n+K9P+KguTNNITGxsvkyZPlWHDRkqHDp2kVs3a&#10;8snHn8hrr7wqf/jdk1nSnfBs84zzrJNuHDRgoMxMSJBdu3bp+zQYYMQkCJHXxCR8eri2XYZY0GOC&#10;Dpk4AIxafZzOvr37pFePHkZMDBmAsGK8fImUHNi/X9vK93TPSTX3fLz91lsPDYtjREkQt7K2zdtv&#10;viVVK1WWftoOPEF1JDyPXlg8sxnyB4y9Fy3ZtWuPOnWqcGictiR5mWxx98grBcbuRyAe9PfsGlES&#10;SNDR4ydUaLtz9x4tWV623BGmufNlRrxvLZ7omBlq/JvFAuk8y9/iE2ar8W+MxQRHh4RKr959pHGj&#10;JlKmVBkp8sZb7p36opJlJShZSPHw/FapWEm/A3QcPnXqlL5HeYc+zs+tEZMgRF4Sk2ZNm8mkiZO0&#10;4dXGjZtk3bpUDZl7tnPnTiUcmzZulC4dO2rY0oiJgRcszooXLi/flStWaOqmS6fO2lvkvXfe1fbw&#10;/l7gmY0maTxTRd94U7fr2KGDrvC6cMEC99zuUHHr3SCZdQYqvr57V65SGnzsuKxdt14X4Js9Z76S&#10;AMgAnVeJWvgjEBART3OS2XJKUDIIiTsXIiSkZTinpcuWa5fZ+QtZk2eBzJw1R8kIhIOf2lvFnTMN&#10;34iaEE0hquJZ0uKlMmv2XPf5GBkbNk4GDBioupHqVarp8gYsDghB8fcMZ7YX3DP/3tvvuGf5C+ne&#10;tauET5smKavXyGn3HeG74mlPHjcYMQlC5AUx4d8NGzSQxo2bSOiYUFmyZInMmTNXJk+eLKNHj1Yb&#10;NWqUJCQkOMKyUZKXLpU2rVrJs089ZcQkiOHN+rz0DQLUbVu3yphRo329ST4srpEPwttZKQdmXRJK&#10;L2knj5Zk/vz5ssMREsgO+/7WHeNxfJEXBnj3+sbNm+49c0K2uPtMn5Jp4VEya848Sd2wUQ4ePqIk&#10;AcJwL4nwSAm9Tu41Pu9FUB5GUjJ/ztsffUqoCqKJ2px58yU8MlqmTItQAgJBIWpCB9rwiGiJm5Gg&#10;PVaSFi9RXcl6d94QKrZHG4Pxb9bcYQ2f1WtSZLkjXbNmz5FBgwZL3Tp15aPiJeTF5573+wxnNp55&#10;nn2+A/RK4TsxeuQo2eKO50VO+O54Y/u4wIhJECK3iUmIIx3dHJtHiV7JzVLbt2svI0eMkoEDB0nn&#10;zl2ktduHZ7R0ZvXOkSNGSLXKVVS1bsQkeMGMj9QNepIjR47IxvUbJHz6dGnRtJnOFOmomZVVXb1e&#10;EGVLldbF9gb1H6DPC1qnixcv6vNghKTg4JFPOryeP39BIxNEGUjfkAJZkrxctqft1EjJ/SIg/O6I&#10;Iy10fU3btVu2btuh5cS0jSf9AsHISvQEEsNnDzkStGvPXkcktmuUJHnZCpm/MFFmzp6r7e9jHQEh&#10;6kH5Mj+jon3EhPb4/z97f+FVZ7bs+8N/xHvv/b3jHeP+7jn7bGmXtMXd3d3d3d3dE0JCiEEgJASH&#10;JEACAeKeEJeOdLwtbbt7733OrXd+amXSqznPIjgLeOYYNUJgrUfnrPrOqm9V2d8nHjgkKQbMZGQe&#10;U3By7vxFJctyjQhemCvmHPwOgmyE0bHUPRk9arRWKa5do6YBKO+/MURJ6Ie1ULt6DRk+ZIhypY4b&#10;XYeuZu2whioSMdYFJpVwFDcwWbN6tUycMEHatm6tPSQo0wwjHencqbN06mCko0e6de0mvXv2ls4d&#10;OknNatXlr//xHy4wqcQDhcpcpBdNYkKidu8dZoBFc/OOybyBK5IfpU31VoAudUnCQkM1VMg85ti2&#10;nHxF2lGWt4HO4R3wLiCWJqceUeMPMMFLcdIYdQy59Xz4AhQAELwR9MshXAJhFkBBanF+m/gBfq6b&#10;4wCE0jOyNBwDV4TrIazENRHKOZz2+hzRsfq3nbt2azoznpO9+/br70LD9ihQoVw+4MS7XH5u4feA&#10;l9TUw7Jr1y5ZMH+BDBwwQBrVb/BGMjdrgLXAmmjaqJEMGThIli9ZKvGxcXLzxk2d55CJK8pwgUkl&#10;HCUBTCip3MQsGL7zycdV5PNPP5Ma1WtK/br1pVGDxtK4YROVurXrSY2qNeTTjz+Rd//2tvz53//d&#10;BSaVbPy+e/6nfPP1N1r6PTk52YCS5eqqBmQQW88LkPA3lDl1TL745FOt3jp3zhwzhyPkqpnXdgfJ&#10;XK9obu7yOHgXhNKeP38h5y9cUkBBCCc+IUlDHzYLxwlIWAFwXDXG/fjJU3LgULLsjdwv23fuMv9G&#10;yREDIgAaGP/coR1+Ru59+XsKMBVmj2YaUGLOH2KAxpat22VnyG713pBlk3nsuJwweg++CPwSQjqQ&#10;XRHOZ3v4bN8ZKsHbd+pn+CyhG9tcEAAGmRYvjr0GfuYaThjgjI5bbuZ8/379pPoXVeX9d97VOa1p&#10;xQ5zHmHeszZYIz0MEF++dKkcPHBQ5zw6nTVlQzvlebjApBKOkgUmH8oXn30uNWvUlvr1G0qzps2l&#10;ZYtWRlqrNG3SXIFKLfP3j97/UHe7LjCpXAPFyc6ZugyQofeEhWtJ+L69ekn92nXUZZ1X3xEbdweQ&#10;wCUZMXSYrF65UnePZIMRuuEc7vCf8euvv2m9kouXLiuIwLDjdTiclq5kV4y4L8KrFUAGn7NhEbwZ&#10;hFvwXFApFhIqYMLWP+F4HkByX793JfuanD5zTtORCSNFm/myPzpG+S1cD4Ak5XCa9ubBo5NkjgeA&#10;wouC14T/c+1HM7IMADmhPxPK4bt8DgHoEJY6kp6hXiBAyg0DUrgGex9cE/d8zIAfeHirVq2WUSNG&#10;alM/AArh7bzSilkbEMEJdfbp2VO9hLtDQzW1njVF5mN5n/8uMKmEoySBSZWPPpbaNWtLEwNAWrVq&#10;K+3bd5JOnQjpeKRjxy7SoUNnad68pQEwX8hf/uQCk8o22D3TsI0S8wnxCVrJtUGduvKJmTtkKgA8&#10;8vKWwDmhSmazRo31u7t27JSszEytkAngccvJ+9/AWF67fl3JroCI6Nh4Y+gPqfHGg2A9Ct5AJLdY&#10;7weAg5AOjf0Iu9BTZ+u2HbJ9Z4iCE8AP/BHrObFhFMioiUmHNGxDtgyejj1GpxxKTlECK2nKcFcy&#10;zXG5vl2h4epNIT04IfGgnDrtKY/PsQE6V6/dUO8P/BQ8PyHmc3iBKBK3KzRM7zXLABiOedtcg/d9&#10;cA9cFyCL0M7u3WEyc/oMaWOANqTYt/LI2GFtsEZYK598+JGC+QnjxinRm07YrK3yzjdxgUklHCUD&#10;TMYaYNJYPv24itSpXVdatGgl7dp1VFDSpUt36dq1xx+kTeu2Us3sDlyOSeUYuJZRloRY2NWRKRMT&#10;Ha3vrXOHDvLBu+8p4PAFSPg9wm4RN3aXTp1l2pQpCkpOGOX/pVHIv/z8y+uzucMfBu8ckMhapBcO&#10;/AoKqEEcJRSD0cYwv8lT4iSAjgsXL6v3whOO8YCCyKho5azg0SBEdM7oKk9V1gw9J4ADTw2hF64j&#10;8cBBycjMUtBBV2N4ItRSwYuCNwYQBZjJzDqRk8YM2AFccA2EbABCfA/wwufx4IQbXRoTF6/ek7Sj&#10;mZpxhLcGIEONlOyr1+WaATmEsLjO9PSjErw1WMaPHS9tW7dR/h0ZZnhO3gTSIX53MHoRnb1//371&#10;nKDfWWs8//IY1nGBSSUcLjBxR2kPlCPkPObdzZs3JSJ8T055edzXbyK58jfCN8TX+/XuI2tXr1Fv&#10;ywWzy31mjN4Pr16pEnaH/wze+U8//yxPnjxVo374SLrWAKGYGmAAUIJhh3fhBD7yEr5DajHHxXNC&#10;vRE8J7vD9khoWLjyQPBiaD0RAzLgjwA0CMkQfiEMY9N8yezhZ0I1cEwAFmTmkKEDoCGDCACBl8Ty&#10;RQAm/Aw4wYMC0IDjArghPEVYiGviXvdFRutx9ZoSD0iqeQ4ZWcfVWwTXBWBDyOeQAU5bjF6lGSA1&#10;eOibQ1jnz3mEdey6qPb559KuVWsDbMaqHrx27ZquNdacC0zcUS5GiYVyGnpCObVq1pamTZtL69bt&#10;NGyjoZzO3X4X8/9WLVtL1c++cIFJJRjEu5k3eEpQmIcOHZJ5c+ZojRJCMihWJ6WLoHjZNdp0YLoC&#10;U6I73Sh/5sf333+v87k8Kt+KOngXvBM8ZC9ffm2M+jU5mpGpQIEaIBhtslfggWDcMfJO4ONNYkM7&#10;pOOSXYM3BACybsMmCdwclANGCK1s3LRF/08GDl4Wzn/FgBrCLIATQBMAJnjbTg3DxJhjkfkD2AB8&#10;cC5f12n/xrUAtPgO5Fl4LBRhI3OHayDcFGqAGV4VAAqemXTzXAAnhIhOGFATa84bEBAoY81Gr4WZ&#10;6zWqVlM+yd8McM+Ld2LDmxRvm210eVJSUg4hlrVX3gixLjCphKMkgAnF0ho3aKDx0WpfVJP6dRso&#10;0RVwgucErgnCz23btjd/8/SP+ItZUC4wqbgDZZhDdDUKOzwsTMl6lImnH8ibwje4sykuhZIeZ+YY&#10;VVwPHTyoNU8AJeV1R1iRB/qFwl/wSgAfFBijIBl1P+CA4OHA02FBiS+Dnx/huwoGjE7CCxKxN1KB&#10;ycZNm2W7AQNkzgA4PCnAhzVrBi4JKccAEkiqgASuD8CAR8Vzjcf1mHBZABxO53YSQAwgAw8I9VGy&#10;jp3U6yKkw3m4DkiyeGQg1Ubs269dlbkOABv8l81btsqK5SuNfp0jQwYPUd4JoR28hb6KDLJWWEuf&#10;fVxFvS1UifUQYi/kEGJ5L+VluMCkEo6SAiaN6tdXrsBnVT6VGtVqSv16DaV5s5ZKggWgIK1atdEs&#10;nYYNGsknH1Vxya8VfDDXIOMxrxLi45WsWq92bTO3PNVcnZSsFZQwoITsAzJvCP9AmKX/EmCHHTnH&#10;d4GJfw3eCYbw66+/0eJnhDC2BG1TLwRggLCIJbwWBZQgfN8SSfFUED5ZvzFQNgZslm3bdymXhCwb&#10;uCZ4SK7fuJVDhKUEPqAFb0bQ1u0KGMjYIXQDuABkFNSjwz3xHa6J73NdgJtsc89nz1/U2igeYm2Y&#10;BARuURBFhdnd4XtlZ0iYpi0HBe9Qz1JCYpJsCtgk44xObNemrVSvWi1PrwkCOGFt1atVW7sTx3kR&#10;YstTpo4LTCrhKGlg8qnZCVevWkPq1KorjRo1laZNW0gzA1AQQjxNGjeVenXqSpUPP3KBSQUdluiq&#10;HYIvXJDoqGhZtGCBdGrfQcMyeXlKvDMO4KDgKQnavEXOnD6tgIQ5yBx2h3+Of/zjn/Ls+XO5Zowx&#10;hh5+BUYXrwGVVvOTGpwfsSDAQ0C9ogRUyLWeUM5W5bPEG+NO1gx8lkuXs197Mf5Y5RXPBTyQ1CMG&#10;wBjwYNONiwqaEI4BOCGD5/TZc/oMOB/ZPmT98FyohQI4AZRsNgCOQm6QcvHqAE4CzdyHd0LBSvhY&#10;rB88zU5rx3pOPITYdkaPz5f9RpfS5uEbo/MtoPd3MO8Ck0o4SguY1K5ZR0M6DRs01tolCD83rN9I&#10;U4q1jokLTCrcQOlZouud23dkjxJdza4PouvnX6inxBcoQSDCQvyDgzJ10mSJ3LdPMw1IB0apsvNz&#10;gYn/DgDpLQMWDh9OU04HdT7glxBGgSgKKAFQOBnyggjAhGNduHQ5hyOC92Pt+gBNBcYDciQtXbNy&#10;IJiSqQPxlfDJHgOWAEx4WKhdcuyE5zOAnKJyX7yFY1DHhGwc+CSQYakeS8iGkBHnBkxtMkAKUW9J&#10;xD4N/+DZwXtDP55ws4bQ0R0NsK9Vo6a89/Y7jmsHYW1ZQmzbVq00MQHdCOmcNcn7cYGJO/xulBQw&#10;aWiACdULCdFU/byqgpOa1WspQMkt8FA+eOc9t/JrBRooO4T5Bf8DRUiX4Plz5moDMpv+6KRMERQq&#10;f8eTRo2SQf0HaDfV22Y+2vok7vDPwXsHMPKO8JKRAkv7fwww3Am8GfAuisNTggBK8ETg3YCzst8Y&#10;fNKFMeyBW4KVcIq3JO1ohnpMACeQUcncwSuxY5enyivVWuGckOHD8e69Bk02zFRYcML3uFeOiTeH&#10;ayBDCG8JwATQRAYPJFy4N5sCg2TL1m3qSQEskbFjARxAiee5Y8dO7UMGOKn2GuDnlbHDWmLNNahb&#10;TwsYpiSnyI0bN/T9WDKsvwIUF5hUwlESwGQMwKRefUXyH77/gYKTKh9+bI7xkRH+fS3md/wNb4kn&#10;Fc4FJhVloOTwaOAtuWveQWxMjCycN196de8hVT/9LF9EV8I3bVq0lOlTpkrIrl36Pl+8eKHzjmO7&#10;wz8H7x7wyLvC65BmdvyEUiL3x2g4B+N842bhUoOdBP4GXghqhFBnJDKK+iGR6jXBSwOfhTBNxL7I&#10;nLolEGMBJh7+xgG9LmqLEF6idw7l7iHlAnYAFBagOJ3/TQKogNNCKjLpwbZ+CueF20IaMmANzwgg&#10;heaAeHIASvBfSD+25+dY8HIoxLZz5y6ZZfQuYZ2a1WvkixD7+SefSI+uXWX+3LkSvT9KgT5r1J9D&#10;Oi4wqYSjRIDJqNHSoF49eedvbyk4ee+dd42hIRXUk+Zm5a9/+rNWNfzbn6nw+Sf5j3/7NxeYVICB&#10;gmNe4SbGW0ITvSWLFmt6b/UvvlDQ4QuUIMwNQAkVYEcNHyERRheRecM8/e3X3/TY/qpEK/vgvbAD&#10;h2B58xYVWT2VUKmYGhuXqLwOGx4prKG3Yr0YhITodROxL0rC9ti6I4kaugFspBgjjtdkQ0Cgck4I&#10;7+CRAJhwbXgrCJXcun3XXPMdLXZGSAggAVGWvwFOAAUF8ZzYz8KjOXnqjBw4lKLkX6rSwh0h5HTt&#10;2g0tDsfPMbEJmhEEaMKjA8fFcnDssRCAGNd09uw5CQsLl6kGuFPCvka16nm2b2DNwdfSVPtmzWXh&#10;/AVy/NixnI7E/rquXGBSCUdJAxOV16AkN5pnoViQws8uMCn/g/mEYSJF9MH9+3LyxAnZtnWrDB4w&#10;UNMXabTna1fHPEBxwilp37qNjB8zVraauXXm9Blt+sZ84/ju8M+BUfN4yX6TR8aAYvCtxwIvAR4B&#10;6owUFZAgGGgADh6Ns+cuSNLBFCWQ4ikh5dbWJ+Hv/ExYZNWadbJ85RpZtmK1BAVv1+uyZFiMPUIY&#10;h//THBACrBZAyzymngvCT97l7Z2uC+Ha+Psdc30ebshFPRbpx3hx4NnAKYHQikfpHNd/4JDySwjl&#10;WE8JGTwcy+n4gBXAklaJDd4m06dNl+5du2mtE8iuvrLcWHusQdbiwL79jO7eouCEDDfWrD9ytlxg&#10;UglHSQITwjN4RP5qFokFH7kXigKS1793gUn5HzZ88+r7V5KeliY01BtiQAl1bQAdzIPcc8AKuz08&#10;JU0bNVai6/59kZrF8+TJE79Vmu74ffBuPNlX32u4gVodcCgAJZ7U24tqiJ2MbUEFww/o0K6/KYfV&#10;4MMV4V+ACCCCvwNeILoSSlq1Zn0OMNmxK1RBB0CJa8LQ81lLMoWIyrEgn6oXRjN10rWeCZ/hs75A&#10;A94gwAuNAgE4XB9gxHJs8BpxzuvmOIAgKt9yfLxKeEq8Oyz7Ogf3zzXzfQrW7dkToXq7U8dObyTE&#10;sgbxWjaqV18G9x+gnbyPpB5Wz4kN6/jTcIFJJRwlAkxec0y8gQnxTchZKga1e4sLTCrOAEBQxAle&#10;yXazk+vbq7fUoiDUu+/9NwVphfePsrSgZOjAQUp0Ze5RA6O89viobMNDdv1evSXs+CloRqou4RIM&#10;ugUAGNbcktv4+hI1yMbwE+IAQND5l9ANnhJCM0kHkvX3GHXAAecjA8gCkxWr1qpQBRYSLH8HSHAN&#10;FpjgaSGFmJAKAIawD5VaARcUiLOeGO/vWuH/XBvHIXyjvXbM9cFrAXwczThmdNlDDXHevnNHTp48&#10;rd4TC4DgyXg/J6dn4C2cj+u2hNhJEydJpw4dfyfEGv3qtOYQPCs1q1aT3j16ytagILl965auXcCJ&#10;Pw0XmFTCURLAZKz5XOOGDTUrB+T+7lvvmH/fVXLWh+9/6Pn33fc1nVj5J2+9reCFReQCk/I9UGzn&#10;z53TtN4ZU6dJc/N+KKONt8RJOSKW6Nq2ZSuZNnmKeZ8u0bU8Dg3fGUN5+vQZY9hTNXSBMcZbQu0O&#10;gII15AAMfuZfxMnoOgkGG28CjfbgZUTHxGu6L837KJ5G0bZr12/KXcIyxsBDYCWMQn0QgMmadRu1&#10;6Bpg5vTZ8znXwDVxbMIjHnByQUM4kFMJDcH/sKEYvBqEqS5fwdtyJ+f7/EuoB2BE2ArvCIRfzgXP&#10;5bS55ps3b8nTp89UADgQYKkAS9aQFn97Darsc3J6Bt7C5+wzsYTY2UZndrOEWKNj/8MHOMFDydps&#10;2rCRTJ082ej8CDl79qy8NOvOnzYCLjCphKMkgAnNo5o1aSIff/ih9svRlOHPvpCaNWoJTf2oW1LL&#10;/MzCoYIh5egBMG5WTvkcKDHmEaEW5gxFnGZOny5dO3XWRo6+wniI9ZQ0rFtPRo8YKXuN3tGdm5mT&#10;GDqO63pL/HvY9493i9ACvBJInFpe3RhoQjgYfG8DjjH19mrYv/kyxvZvHEeLkxlwQPYNng+E0AtF&#10;0wAjHBMBlABUCCmROrxy9Tolv5IiDDmWTB7vc3IN3teG54OMGAiwGVnH1GNCTRQqs9LkD08MoSDA&#10;AcI5AQhk2ZB+HLo7XEJCwxWcnDlzThsYUgH3xYuXctfcB+TckNAwJcTiibG1U+yzyP0MnMReP+cG&#10;UMFbUUKs2RRYQiy9dZzWnvVUwumiq/f0qVNl3969cvfOHd0M+Mvac4FJJRzFDUzWGmAyaeJEad+u&#10;ndYy6Wgm/ID+A2TUyFEyadJkmT59hlkA02XalGkyxeyOJ02apD0gqG3xtz//2QUm5XAASH549YMW&#10;PTtqlC3zoGunTloK+52//c1RKSJ4yCDitWzWTMaOGv2a6HpaXr16pXOLuekO/x4YLlz/33//yhjI&#10;R8rnIBUWYIJHA8+DDXtYY8rPGGDShsl+4V9ABN4GjLK34fX+DkCBdF5KueOFoA4IHgwKpRE2sQXb&#10;MNQAGGqSwO/gc4Fbtsrqteu1rgkkWYAN53U6lxVr8LlWyukDfkjjJcRDQz4Iq3hOtMy8uX7CVdRR&#10;IWWZui2EcPCaZBpQc8dc+/dmXgNKKDh3ylwv3yeEg9cEQGGJtfkFJd7Cd7h3jmEJsdOmTNU6J9QC&#10;yquQIWuUtdq5Q0dZunix1ht6bI75ww8/6Nou6+ECk0o4ih2YrFkjM8xuuVfPntKje3eZN3eu7DYg&#10;ISkxUY6aXcHJEyfl5MnXYn4+YRQZKH3IoMHy3ttvu8CkHA7mAe/nmFHAsPyHDByktUo+ePdd3ZE5&#10;KUNACcqS5n2kBO/dE2Hm0h+Jrq6nxP8H7wggee/el2pcMfgAAS0MZowv9UrwPjx4+Lux5f/0sqHg&#10;mc18OZp5TNNmvQGMFYwuoATvBGRSjk3KLUYd4IEHhf4zfNd6G8iuIYWYa6HEO4388JZQDRZQQ6M8&#10;aovkPpe3cBwbKiFkA/AAZAA21FMTHqEZNPz+uNFlBw+lamiJiq6eSrNHlYQLYMNTQmYZx4Kci/cF&#10;zxKeF7oPA2z4G+dzupY3CddqvT2XzTkhxO7eHSZjjM6uY0AHHmlfpetZo/BNvjBrlkKGmzcFSlZm&#10;ptw3+v8fZi2W9XCBSSUcxQ1M1q1dqz8PGjhQRhiDs2P7Drl06ZIaHFy9NrPCCv+nAiHVCDFkLjAp&#10;P4P3B+ERw4SnY6d51xPHT1BeiZMC9BZ4JV988qnySgj/Mf94T9ZTgsFzgYn/Dt6Nff/wJSBfYrBJ&#10;wY2Mipbk1MNy0RhIp7DEnbtfqjeDXjFwQ8ja4d+s4yfV+4DXAANtjS0VWDHcngycVAUWVHbFa3H8&#10;5GkFIXyHz1rjnH31uhJYad4XEBgkGwI2y6bNQUqQTUg6YM51QsMu3tflJFyDBSiW1ApnBmASbI5N&#10;F2IA1sFDyZruC8mW+wFsEVp69vyFZir9+ONPyr+6kp0tcXEJWsfEc88n9DlxbKdnVRCxz4v7x2N0&#10;zACeVStXaQG22jVqKqcvLzIsAt9k/NhxSlw/feqUrm0b1imr4QKTSjiYcMUNTAATgwcNMuBipOza&#10;uUuuXLkiz549c+zLwP9v3bolc813PnzvPReYlKOBCx9le+vmTe32O2HcOGndoqXuvJyUHmI9JbVr&#10;1JD+ffrKsqVL5eCBAxoGYj6hBF1A4v8DvaEhHGO48CZA3CQzBi8AXhCKkxHCcTK0FmhAYMWAayXU&#10;yCjNYCFT5tKV7BxDrZ4S89ljJ05qM7u9kfvVGwFZlH4zfNaSRfk8P1tyLBwXAAycks1bgpUfQuiH&#10;68PLAgjKfW2+hPsA/HA93Bvhl3CjI8k8InSFEOYBmFFUjuqxT54+VS8JVXAfP34i2dnXPN4S7td8&#10;9nBaeg6vpLAhHCexXp5L5thRBiQuW7Zcw+UN6zdQzwmJBk5rE8GD2ap5C60hBBkWG2BDq2U1XGDi&#10;JwPF/CYpruECE3cUdNg5+OMPP8iX9+5JxtGjsmThIm2096ZaJYCS941ypInf6lWrzK7umM4zlLc9&#10;rjv8d9h3BIB89eoHefzkqWaXQPAM2rpdwQAt/WlWd+9L55RXwjoY4lvGyOMFISsF3gfgBPBhvRkY&#10;V0AJvWIIeVAkjcJocfFJSmrlM7lJtYAhvDcQSwEJeCbwmhDC2RUapt4SeDCEWAAZua8tL7HnIKRE&#10;mIiQEuTWjQGbJXjbTgUmgB4Az4+vvX88J/QPFV6TU454snsMsOI6uK/i8JQ4Ccfj2RBmSj18RNas&#10;WSvdu3XXRIN333o7TzI62Tqs5RVGn6NTrbe7rNanC0z8ZHhcpP/SWPvf//6rKu1ffvl7zkTn78U1&#10;QVxg4o6CDN4X4TfmIQS5I0eOyKaNG2XIwIG623JSdlZQhpTDpqrr9KnTtH8Oc4zCToQE3OH/g/fv&#10;8Zb8pgaQzBbbzZcwCbwKwiik69pwjJPRtLt6PAZ8H2NNiIZ+Nt5Fxsh8gdwaFROrmS7UAyHrBXCA&#10;UecYHM8eE8ABOZby91RR5V8AA5wURAucGSBFSAbvSu5re5NwHsCSBSaEbvDGQIjFA8L5ARo//Pij&#10;fGvmNZk4AJWMjCzlnsBBoTQ9WT58lut3Ok9xCM/DEncjI/erLqU6bJ2atfLcPCCfmbU8dPBgCQ4K&#10;ksyMDHn8+LGu0bLgfrnAxE8GSh8gAtP9m2+/kxcvv5avv/lGJ/uvBqwwQVAOxTFcYOKOggzmC+8d&#10;sJxt3uuWwEAtbd0YN7HZiTkpOSsU2Wvfpq3MNXMFsuulixe10BQhARSeO/x/8J7QP+giwAEeEngW&#10;eD3IMiGEQmaIL1BixYIJjDbpxPA0ACeEW/Cc8H+8IngWKHIGp4PjKyfDgBkLSqy3gfPhhYGAC7E0&#10;ZPceSUg8qKRUCphxjM1BwQpySGnm+3zH6dryEs7F94+kH1WPjOWVpKQcUW/Ni5cvPfLipYICsnaS&#10;DlDPJFrCwvcqmCFzx1MDpfgaGToJz4Znwnkg7VIddtHCRdK5Yyctfum0Rq2wlvGaDOzXXzZv2iSX&#10;L13SNc/aLy7bk9/hApNSHBhkhIWOYv7hhx8ViHxnFPVLAxRAqHfvfmkm1R2d8CxgFuLTp0/lpQEq&#10;oPFXP/xgjO7P8osx+HhXADT2uPkdZQlM+Jnz33xNfnWBif8P5tgrM0cfPXokhw4elCkTJ0mdGjW1&#10;kFNeGTiEeOjPMXrkSOWjXDx/QZ49fVaoOeuOshusedz6rGcMLGXUqeuB8YcfAlhRvoSDoXQSazgJ&#10;OeDNIBxEyIXaIymHj2hWDYCCDBy8DOhCCyos8MEA8zsKq6VnZGnpdwqq4XnRsIv5HSEXqtBynRzD&#10;gprc15OXcD6+Q/aQLYMPXyQ+4YACsofmbwDtr8xn0dfaKyghST1JgBJSiMniwYPBfVtvj9O5ikM4&#10;NsKzwvt03IC6CANOyNSp/kVVBR++1iy/Z03Xql5DJho9TFblw4cPc8iwpTlcYFKKw7rDWeSeyX5J&#10;yzhnZp1QVyVxwQOHknWXwCJl58CkPnwkTXsrsBOg+dPVa9d0kj9/8UKPxTEL4m4rS2Bid1+ce/aM&#10;mS4wKQcDEH3z5k05kJSkMegeXbtJlQ8+1Li0r7g1nJJ6tetIt85dZO3qNXLSKEjIrtRJKO3dlzuK&#10;NsguwfBi8KmKGhoWoQYa409vGOstcTKUTmJ39RhOwkCACrgkeEgAJQhEUTJ4qIkCbyK3Qef7eDEA&#10;SgAPQj6AAI5HyIbf83+4JlwzQIjzFhQU8B3OTcdiuCIAMjxGhJvw+vBMEAAJuhqdjYcEQjD/BzTB&#10;xwG0cCzE6TzFLdwnwI1rO2zsCiUdBvTrL00aNdLKr05rlrXMmv74/Q+kq1m3y5YskcSEBLlx/brq&#10;8dIcLjApxYFRxrCT1cBEx31J+hmpbbTlRiif7C1r1yMB+hkqGZJH7ynyc9IstlsKMLw9J/kZZQlM&#10;uE4M3eXLl2XW9BmazuYCE/8ePEvIrhRi6tWjh9SpWVNDNE7KzQppwd27dFWvWFxsnDz+6qsyi1e7&#10;o2iDkDIABKNP+AYAgQE+e/6CApKCGnw+aw0ndU/IdsHDAG+D2iMAEzJ+4Jzg6bCf9z4HYAVvDZwS&#10;QiYIBFk6BwNMAAqUk0dfkurL53Mf403CZ7k/eCmQZ7lvCLX06qFWC6nBnM9T42SfZgJB6MVjAmjD&#10;I+QpAPf7MyrI+YsinIdzcv3wWmLNGly1apUMGjBQuxE7rVkrrG28Jj27d1e9mnbkiG4oSnO4wKSU&#10;BmDAukPZKeBytEWAyLfn34DALVqtkNx7WxzIdsfkX/o90FwqNGyPxjphoYPGqSqImx3AgxHBAOQ1&#10;ihuYgMZnzpghfXv3kT5GlhqkHRMdraDhK2OQSJ/juhCuE1BCCfMRQ4fJR++/L7WNoevWtasLTPxs&#10;8K61kJZ5nuG7w2TY4MHSsF499Zb48pTYDJwWTZvJTAM890fuN/Plgrq73VF+BjqC90/I+P79B5J5&#10;7IQSOfEG4M2FCEr6r5NRfJNYo4nRxvPg8UREKNcE4fhkr1BADUDh/T0LFABKeJLDDVgAlOAVAYxQ&#10;Bp6wCz1vAC1Uo4WjUhjSK+fC0wIA4fhwVtDPEHYBHnBO0ON6Hu0RFKXeFArHoZchCVOvhO8jXDOZ&#10;S5YkrGDF4bzFId7AhPd06FCyBAVtlXFGvzZu2NjTq8zX5uL//B9d46z1wQMHSuiuELUJpZlC7AKT&#10;UhosdHgiuB8pAkT80QISuliGGMUPIidnn9gq4ANvysZNW7Qz5uq1GxSY8P9Nm7dqmWUY53sMmKCT&#10;p+bRm50ChY8gLOU1SgKYUAoZ91/b1q1l2NChsnDBAp1c58+fV3ACfwY5lpUloSEh5ruztBzyx2YB&#10;1K9TV3p06+YCEz8bPMP7RonC0F++dJnWOiAGjbvXUaEZoZokWTgQ6GjMd9fsiq1Xzx3lZ+DZYiP1&#10;8mu8JVfVq0EaruoaAyaoJQKwcDKKbxJrMK/fuKWhDkIu6DvACUACow8oAUzwOfs9jC2/s/1huBaA&#10;DICJRniEd2xYhawfrhlvBiCHv3lfQ36E1Ge8DYSF2AiStoz3Gv2L7uV6ASl4SKjNcuLkae2xw7Wz&#10;+eQaIfRyLQj3RfgnB5wATMw9OZ27qJID4sx5IN0SVtpprnn69JnSrm37nBRipzWMsMZZ62wwlixa&#10;LEfT07VMAJvM0hguMCnh8V//9TvZ9cv799UdyoRmkuMR4V9clxQPgl8C+YtKh5b5TuwVEAIgAcjw&#10;HRvyIcyzzvyMC5RdA02hQMe28qCvTJ6iApNLFy9J8NZgLT0PMKE2xQQDKAAl8Aratm4j/fr2laWL&#10;l0h8fLyCBzpYImFhYTJz5kzp2b2HNGrQQIFJowYNpW+fPjJu7FiZPGmSOe482b9/vwtMymgwPxA6&#10;/Z48cUJ2bd+hzfYoOe+kxBA8KJDnaKneqV17WWDe4bHMTMf55w7/HYTZEIAkhPzbd+6pt4SOwXh4&#10;SXvF0OUGDfkRjKUFFxhnPAroOjgrhELwPGDA+f3de78DCfs9D5j5vWYJ+hEOCRwTjvntt9+ZzdlN&#10;DQPxO7wZfI6QCjwR72vxJZzHAie8JYSLADe7DXAinG67FXuXusebwjUB1LgOQBDfBRDBkwFAeTxN&#10;ngJxhMAALrfv3tPzcD6naymIPPC6bs5PmIxnRZ+hk6fPKjDBzixfvspsHIdLq5atpdoXVc2a/Q+f&#10;3k+EcgB4tncEb5PjWcfU42/1Q0kOF5iU8LBkVxY5KW8wugEjIH1cgywucuGpLMjkBlGTcw/j+5hB&#10;/lr62EwqUtTgmFgPCzsMvr9l63bZErRNduwMNTuPfVpJETciC+Sbb791DOswqYoCTK6a7wEClpld&#10;9MoVK2TZkqUyYthwBRrkwjeoW0/atWkro0aONH9faY6/TbZv266y0ACI4Wai83fimFQlbN6kqYwe&#10;NUrmz58v8+fNl6XmeLExsRr2scMFJqUzMErMWQzTLaPYQnbt0mZ7rZu3UG+Ik/JCseEWJoTTvXMX&#10;5aLEx8XJbaOcXT5J+RroBjZSrB+MG4YUw0w6LroKTgUVTgtqUC2wQPAo0P8GvQZnheqxGG64IIAI&#10;DCqfs9/F6AIsCOvgkSA7Bs8K34Fvd87ou2fPnmu4UDsdGyAAGACgcB68KN7Hy0u4TgssSE7AoNMx&#10;mBC6x8O9xejd3fosuP4M8zzQt2wIuT7ACdfPOQFYcGjQ4QA6JcUmIEnmd5l/SIHmvE7Xkx/hu1+a&#10;++O6OT/hI85LbyDOq88j8YA+kwijQ2n2t2D+AunWpauuadaur7L175u/t2zWXDcmtJ+4fu2abrKx&#10;KyW5tl1gUsLjH+YFfvPNtwoUiMvuDNmtHg9ABYudhc9iYlIhTFKEn+kvYSc6k4yUOtyIhHrsogag&#10;AE4CzILhuJRj9pRIPqGxYSYRysZ7EhUFmDAh6XMTHRUl69etk1UrV5pJPl8Z37WqVZd3//aWfP7J&#10;pwpOOrXvoGWRCc9MGD9BZdDAQdKlU2dp0qixfG524PRPadWihUyfNt0cb70StNasXiOJZgETArLD&#10;BSalM+xuGZftiRMnNHOKLqR5pQbze94joHTqpMmSfOiQmXv31VC4wKR8jd8J+t/qRonwMpkoEEsx&#10;phhr9BLGsCDGVI2n0UfowTNnz6uhRHcBSsjwwVOCoeYzgAjvYwOA+B6AiOZ3fIeNHYDpggEqpLRC&#10;zoQDAbDZY/QE9VHwIHO9NiPG+3qchHPyOXSuJ+PnuPJGCKHjJQGYEF6PNc+Cfj10KiYcxbVZQVdz&#10;H4SWOAb/5+e09KPmex59zQYTTwv3QljKEnOdrikv4Tv2mgnZUFUXDwnH5dlokTljD/AqYWu4hpMG&#10;qJ0310NLCNYqJHXWbl5rmwSFujVryfSpU7XRH88aHVGSXhMXmJTwIKTCQsOtB2JmUjLBbd8EJi0L&#10;wdfEY9Lp9w0CJpYKOAGt0zALNE/xILwwFBci5MPx+QzgBK/LA7NoqbL522+/k5aKAkzYTaMIjh49&#10;KiEhIdr3ZPy4cdK/b1/p2L698hDatGylHhHCNUOHDJXRZsdNHj0CUOnTq7fyUShRTgyTz401f5tn&#10;zrl2zVrZZXbpWVlZ8vz589dndYFJaQ2AJ88dr9iesHAlv0GEY1fly+WrqcEGvJAaHGDeBeRmjASg&#10;2AUm5WvwztAXdA6GE0GWic2SwZuLIQU8OOkrJ8kxnOZ42VfhXZzT0AeGmTojVEWFn8HvAR7e3+V7&#10;1ugSPrJeFlKDSTGmgNiX5m908cUrzb+UX9gZEqqAoiCGHx2L9+LqtRsKyCjfgIeBTSAhLLwke8x5&#10;KeBGaItKsHwWT4nnZ3glfPe86nV4hHBMrPcEj7gFJwA9MjKTDh5Ski5AhufDNeAdcro+b7EbV7w6&#10;nNt6ZrguvDNkDdmSE1TB5WdIxlpmwpznq8ePtXjapo0BmvrP2vXlDUUAJ6QQD+jbT3abZ5udnS3P&#10;nz1z9MYX13CBSQkPagCAnPFu7AwJUz4I4AFEiwuQxcgkc5qAiF2cTN6U1DRlsEPqYlJrpUQz4U+Z&#10;Rc2CZRFBygKgEO4hZkuM9I5ZcPS4sKMowIQd1cuXL9VwUYAHQNC7Zy8DTPrJxAkTZcb06TJu7DgZ&#10;NnSYpg7z86SJk2SyQecI3hMLVCZOmCBTJ0+RUeZzgJWhQ4Zo6vEhc2/XzCLyzuRwgUnpDHZC14yy&#10;I6sKnkgH87zZUeUVh4Z70suAy4Xz5ktCfLyG4DhOQVLY3eEfgwKOeFrRTYSF2eGjuyB2soGyBtRJ&#10;V+UWC0owpDnFx+KTciqnQnpFp6HbSL/NrQf5Lufiu2TWABTYlLHpgj+SbQw+vBJACUIpeFr/o/8I&#10;awNk7PW+CZhwbgAE+pJjA0LwatO0b390jOpXjDsZPxbsAErYcAIueD48MwAc9wU3kJ8BDgAIAAp2&#10;gGNwLDaT6Gu8GgDAa+bvADDu2en6vIVr5Xh4g/DCsznluXA876aKPO9Ll67oeyPxQAt0GjvAs/rK&#10;PA/09+IFC6WP0d8Q1p3WNsLaRwe0bdVaq3VH7d+v4KQka5u4wKSEBsYfIw7Pg8lIiIVUM3LdWewg&#10;ciYXizY/kxFEzqJhtwFJllglVRFZJCB9OmcST2RysjDXb9ykvBNceCfNoqHTpY0Ncl2FBSbcF25+&#10;mjydPHlSwy6AklEjR8ny5csVJMydM0f/D+8E0MHPo3MJYR1CQGvWrJHpBsxAliWbZ9u2bXLhwgU9&#10;vnd2kQtMSm4AHnivAIlX37+So2Znt2LZcunXp6/upny5eW3X4CYNG8r0KVNl/75ITQ3GW+KO8jPs&#10;+0coq37R7KbZ8aNj8GxAUIW34KSXfAlAAECAAQdYWG4Inl28MOgpQAoGHfDg9H0MMIAFMGAzGfGE&#10;pJifz549bwDwV+oJRqiiDaAieQAeCOCATVtegIS/oX85PxVkuRa80DQnRHfiKQGU4AGB9wdh1/t4&#10;gA4KXwJkbNYNoIDQCToYbsdpc50KOsw5uB/ADGX30eGE9QlJsck8b+5RN6nmerzPwc8INoLvW0CE&#10;p90DSui+HGVsSoQej2cE8ZdzAIieP3+hm2OekfcmgTV6ybznmKhorSfV3OjUv/35zz65JuiA2jVq&#10;Sl+zgYRTmJ6WproCW8K8Ke4NiAtMSmgQp2VCPDS7R9ArJZaZrCxK68kAyeYHzSO6uF9PRiY15C8y&#10;fAAsTFgACm5EQjy4XomFwhoH9bPTAM1zLty0GKCiABPLQeCzB5IOGGCwUVauXKlEWDJ1Bg8cJC2b&#10;t1AA0axJU2netNl/k/Zt26mHZNbMmUqIhUgbvDVYMjIydMdNHJNnaIcLTEpuoFR41iir++ad7gkP&#10;l6GDBkvDuvWkyocfOSordlG4f6t9/rn0M8pq65YguXL5slZ3Le0qke4o2uD9oxNo0ocuQa/QoA5P&#10;CYCA8AibKCe95CToM47Dhsmm2yonLtZDdOXflMNpGn7AyDqFhjgG58TA4lUhJKHVYA0IwFNAJdrv&#10;zXxlo/Xzz7+oAaZcAmEMjD0bMqrG5qVb+RvGm1AIJFY2dngelFhr7p3uxmz+4K1YcOF9PK4dMjDX&#10;BBhA+B7PDm4OPBeOSRKD1dOcj5AWzwSvCbqaYnVaIfZ1WN/7HPwMKAGQ4NFhA4qnHK85x0e3c35+&#10;h025YO7lprEV2B082+hpJ+8lm1Q2f1ezs2W70f+EafCawCVz8o7yO0K6cAeHGP1Oi4mvzDnYPJaE&#10;Z9QFJiU0eGHsPkDiTKINFEcL2qY7kN9T4v440fOSW7fvqiuQyXfgYIrGWFEaTFbr8mTyAkBsahjh&#10;nA0BgQpOiI2ePn1WdxlMypcvXhQKmDAAJyBlwMOdO3e0jT11R9atXSeTJkyUju07KKmKiVzlQ2ep&#10;Vb26kmDHjRsna9euldjYWDl37pw8evhQn51F4na4wKTkBkqFZ467l+e5cvkKadqosfa6yYsUV/Wz&#10;z6R1ixYyc/p0SUlOlp9/+ln+YXZm3u/NHf4/WGvoBIAp+oSKqWShYDgBBhhVdIuTXvIWdBmCLsLA&#10;YripmIoXAV4FYQsMPyEO9B/HBJTkNsT2GNqfxugyT4fhaImJidfjeTwlHmPLXEMPPTCfB0Akp6Rq&#10;mAhPAgAG3Wj1o/2Z4/MvFVmpx0I2EPw/ro/rjDbAiQ2ghm0AJAZQ2O973y/PhQrcAAMAAiUbAET8&#10;DL9j3/4YTYOG44FeJj0Ync99c20AQE+WjidTh8JsVw248n4enNfj0bmhABGdjxcHzgteHc7FNbBx&#10;BZwRpqE7Pc/Hesd5RpSt8B78ns0I6/7I4cMyZ9YsadOypW408lrz1Ddp0rCRrF29Wht6fm3AD3PH&#10;BSblZLDIIWZBQIV1Tt578LadGg/kd6Bmp52CL2Ey57gBDTDBZWeBif0MC4eJfcLsRFjQnrDOVgUo&#10;1E5hgVy5clVLTJPxwg63MMDEDg97/xvNwMCgJcQnqNdj0YKFMmbUaBk5bLhPoUnUkkWLJGjLFklM&#10;TJSLFy+qYeS5oXByDxeYlNxAqeBBO3P6tD7DsaNH5xlzRlBQLZs1M0B0gqYUQ3gtbuXkjtIZ//zn&#10;vzQL5969+xrO2B8VK7tCwtTgUrHUprR666PcYsEERhQjiSHG4BOmIDTCRgkDbEsj4A3xNsD8jHAe&#10;vApswuBuQI4FaLC5yyJV2XwPXomda/yLFxgvAQbaE4rxhJ/wQHAt6Fp4LOhP7gWgwe8BJXguqBlF&#10;OATQRHiJDEiIvlxHXptHjxf7ot4n4Iu0Yvgz6FnOj0cDoEPSAp4cOB8AEkAG1wMHBm86nin0M14l&#10;SL72WaDPOQff4ToJhUXHxilw5NicB68T1/ns+XMFGYUZeE3CQkNlyqRJutFgQ+K05q2wIZlgNpSR&#10;e/fKhfPn5RujO1xgUk4G3hLcmCwUunGuXbdRs2WYxJYXkhuB5yX5ASZMZgoTeRbMBVUsFAbCtUko&#10;CWUDOYzFduvWLa3KWhRgYndauAtxG1IQ7Ya5NzgiJ44d04I8vuSUUSLwEUg9JssHwwjaB+k77bhd&#10;YFJyA6XCu0PRTJs8WQmvtApwUkpW6FI6qP8AoYrv+XPntPCSC0zK52CHDSA4dvyU6hR24QCBY9qP&#10;y9Om/026Ct2DjsKL4PHaGh1FqrEBFRh9j0cgS3WiJbp6G3yOz3nQiwAKT1bMASWxagaOASl3zfEB&#10;UN79t/gXXYvxJrsHnUdiAV5pPAzoQdJ+uS/CLpwfLwghEUrKc114SvBsEHbB0AMOuG+ukevyvk5v&#10;sSBM05/NtVKfCv4ggAFvCF4bNqVsEAEenAfAAmGW6zpvrhlwEmXAFxtITwXbiznPgnfi8QId8YC7&#10;18fhuGT83FZS6xPtTv/LL3933NDlZ7B20dlhu8M0TEOWndOat0ITQHQE1b73GZ1B+NcFJuVksPsH&#10;wTMxySXHY8KuAWDBhGPi+ZrwTpIfYOIthH5A6CiYEAOIyMUnTZkYKAuJhXHa7JBTDDAJLiQwKc3h&#10;ApPiHygTlBngkvTBNatWScd27bQeja9dE3wTatXUNJ+hQR8EaLxmhd2tuaPsB+8OT0TSATgSpJcm&#10;6wYKY49xdtIv6C7EGlAABboIbzCgAL0HeZTNUExcvHIgMMS+jvf7Ma4pgEFPEfbW/jNGh3Hs77/3&#10;cErYuHgDkydPnyqgwPMBMCFUBCkVYIKQMABvBMCA5wFQAseFUFXEvigFDpFRnuJxAA2uJS9AYsUC&#10;CDwyh5IPa4IDJFQqvGrK7sFDeh8cH74fG0TOg5cErzYgiWfCdZOpiRcEki31SLgOvEa8B66ddgAA&#10;vcioaDlmgBahq59+YiNX9NApQI81jMd0/ty5WviScvW+iLDohprVqknHtu1k5fLlusFEhxQn18QF&#10;JiU0mDgsENLGiAUyKXH3wU5nMjOpnSa7LykoMEEBMLEBR3HxCVqEDXDC9bAjSj18xOxCslxgUokH&#10;SoT4PCA61exwp06erIWU2BH5ijNDjmvSoKEM7D9AgoO2yk1j0DBsJVnTwB0lO34HJsaQGh0FiZMM&#10;E8IN9Itx0i/WKKOXPIDkjMcDYb6PhwRgAt+ClGPAACAHY8t3nI7HRgpDzWaK86uXJd7TLZi0YFKB&#10;8QpYzoQ1gHAn8BpQs4QaIXgk8JDgUeD6OS9FLLku0owBCoROAD14SfZHm2s0YIZrJGyFF4RrzM+m&#10;kWeAwKfR8vPmOJyDY+MdUXKqAVXoW66N58HvOD/AiJDWBXONeKY8YIrmfxfU4wSQw5tDeIlnwffw&#10;InFPAKfvvvteQYnl2RRlsHaZA7dv3ZId27Zr8gI8EvSAkw5AN6AH6DI+ecIEOXTwoOoQdElRr8UO&#10;F5gU82DBIExwXIogYc2HN2gXIGFjiE4TPS+xOxJ2APkBJiwYlAbkWyY0YSSACZVjydghDpuaeliS&#10;k5Nl69at2r/GBSaVa6BEcOPiLdkdEiID+vVTN66vnRJS9bPPpX+fvkqQTTmUrIWWrLFwR/kcFpgA&#10;CDCGGFiACUYdPWYNsLcAWNAvfE8J+WYuYEDxDBDSgAdB2BjPLJ9ho5SXwSe8zXEIfRPS8Oi3VA2p&#10;YPDY1TPPcu/ImXeQYTHknBPvCKAEkMF54dwRLvFc3/6csg3w7iCQUsUVbwvhpTuv77Wg+hmgAOji&#10;eXF+2wsN0i42ANDBs/AUWEvU0BRAyQOGrmj4i2tlI4k3Bx4OwIa0Z54nPwNkrt+4oXVmvIm/uZ9H&#10;YQbHQV6+eCmHU1Nl9cpVuvGoUbWaow5A0BGEc0kf3mV08aWLF+XZ06eFDiflHi4wKcbBJOHFQApl&#10;orHAaPyEG45Fg1sOr4fT5H6TgMpBy0xmFAiTnkWA69Pp8ywuu6OhqiILAYCE54SQzq6Q3ZIAGzwu&#10;XgIDN8vMGS4wqWwDRX/j+nWJi42VhfPnayVe6pI4KSLSBdkpNarfQGbNmCFxMbFKnsZouKN8D9zw&#10;eHjZ9GBEMabs9DH2AAtIomyACFnwLzVN2Nlj8D07+0QNM7D5QUgJpmyBBSWAmzcZewy0DbmQTpyY&#10;dEj1FmEadvS+wgQYVI5N+AhgxGYNjwN6Fp0JsFFvRnKKAhM812zOmXUobgAA//RJREFU4P3FxCUq&#10;AAMQAC7y6ynJLYAZ7pFz4TkiNEPYHq8RHhqeJ5wbrg3dTagMgi33x7NFr8MloYgcwAwvCbqaWlSA&#10;HEI/PHf6AZWkZxKuIERYiiTOnTVbmjZqpGveKX0YoRo0mTzz58zVgowU3fQu8VCU4QKTYhwsEtxr&#10;xP5A7EzOdRsCdLFCjqLQGgvVaXK/SejJYEslM7mZvLhOQdtOn2eBISw4CgEBaIjVEvOlp07Q1m2a&#10;b09Tp/XrN7jApBIOlBwdgFetWCH9+/TRYmq+vCUoKKo/tm/TVgI3bXpdlvq5GjV3lO9BPy8y9TCu&#10;ZOWQCUOVakISZIpA5CTMQIiEzRUkU3QJQIDP4R0ICNyiXDrCFXT0RVdZkmt+DD5ggjAIYW/0G9/n&#10;u9QqsTt6p8HvabuRakCNNjE95Gliil7Ey4zgQQGYwM+gCNl2cw7AA0AM3chnCuMpscL3uEd0Lefl&#10;fHhHACSkOVNFFl3LRvWweZaAOjznfJbeNtgFvEM8OzJ78ObwTCnGCdGVz0H6JZTl6zkUx8ATQzsK&#10;qm4Hbd4indq31zUPAHHSCegKwjl9e/WS5UuXSubRo+rZKo7hApNiHOxAeTHE/9gtwEgnGwd0DhJm&#10;wuLyc5rcbxJCMrgc2RmwcIlTgvbpz+D0eSssOBYeuwIUC+lsEHE3bfZ4cnbsDJHVq9e4wKQSDZSb&#10;LagWGxMjo0eOlMYNGsgnH37ks7gSMeWaVavJsMFDJDY6RrOoACXMeXeU74E3gnAOabjXjD7BuJNd&#10;QggBPaPpr0Z/4dHgbza9FgOPR3id2eisXrtB22HA8fDmk9gNkpNu4vcYcwAR3BKM99bgHarj+B3X&#10;83czx/IKVygwefDAXJcn+5EwN7qX0BAeE64DDgdeHYAJ3hwAFw0J8UJY8ML5yGgsrOfE3idgCs8J&#10;HiBAnKcwXJSeFz4LnBl0ORtUNq/odDwphNZ37uJ5bpGNAZtzQjg8Fzwl3CfPoThCN74Ga5k1Tfo1&#10;XpNRw0coEV6LrjlsWNAL6IxG9evLiGHDtFQ9JFp0S1H1ggtMinGwwKn2SvoaLj2yYfBOsOCIMVJU&#10;iMXiNLHfJAAQJimuVpQD9VDwgrzJA2MXC+clFY2dDohce/a87kq8bNlyF5hUooHyofYA7zlo82bp&#10;2qmzfPrRx5ptk1v5IIR3qPg4sF9/WbdmrXnGJ9Tti8elJHdw7iidYYEqO/KnT59peJhdPAW/8NDi&#10;MUnzEv6PB4LwMMYTIwofgpodeFYAAxh6NkVOOskKAAAjTpdezkMGDoAITwY7d67nTaELrp3GdPHm&#10;WrgOQBSgAL0IOLFF1zguHmxCVAAfwAqJCGTFoBf5HF4MvgdQAaAUFJwg3JMFJ4RouJeMzOMKhBC6&#10;EuMxIWyj1XDj4jV8RVVbvDkAPUo74D2Cc8Nz9O5zVpKDZ8nzpmzDKXPuDevWy+ABA6Vx/QZat8hJ&#10;N+BRQXfgXQkMCJCbN24US9E1F5gU4+ClklPOBAU0ECfEOwG/hDgnLjkmWu7JnB8hZsoxQdcIuxcP&#10;aevNHhiL5vnskbQMJZaxM4FrsmLlGlmwcLEHmOx1gUllGICKe/fuyfFjx7TxXv06dXzGkRFIbnQO&#10;XrVipSQfPKTPl7lekrs3d5TusLtxytJjCJ+aXbpnM3NBe20dM7qH3T5Zfmy6MJp4YNkosdv3pMLG&#10;aG+Y/IRF7IYJrwHHZbNFYbeomFj17rJ+7TXlNTCmAAnODXeE8AmABPFw8o6r4cfgh4VHaPgbMEKo&#10;CI4MQIrfAbbY+AFQ+C7cPHsfb7qX3MLn+S4CwCHjiNoplwzwgVeCpxvuCfaBNiWQcEkpJuTPPRAS&#10;4zNkIrFWi4u3kZ/B82aDjR2gmvPaVau1A3FetU3QHXVq1JR5c+ZI5tEMuWv0A9yzN727vIYLTIpx&#10;/GYmEN6SWwYtg8pp5gSBCfQLSgYYsBidJvObhAXMroLS8rhV+Zl6JDdv5d8DwwJm8eE1IZbJLmfZ&#10;8lUeYDJzluwzOwqq1brApOIOlMWLFy/kWFaWFtYbPnSoZtr4UjjElz//5FMZPWKkREXul6vZV5W9&#10;74ZwKub417/+U7kGGMTnZp7cf/BAu5PjAbhhjCtg5Y5ZX1deh4bJdkG/EdrBA4D3Iz+gBKPNseC0&#10;wL8jNZgQNTVM2Lzll7vkBEw8YZIratzJMsLoA5wAJp5SCWna7A+BpGs3e+hVvCt8D93KZpBjc61O&#10;95GXcI/3zfdoykfohqJxmWwszfm4BsAS14UnB0ACV4dSDpBdeR5cP3VbbAZOaQ7WNgUz6TJO2Hbc&#10;6NGqI9AFvjhon1f5RPtrbd2yRTIzMopccNEFJsU44JfQXOqCQd1JB0gVJgMmUBcH+eoUzvnyQf5a&#10;hucWwkDET/G+sLugZwQ7ApC90+edhAVP/JfiQywM0uaWLFupwGT27Lmy3ygXysu7wKTiDpQF7zjC&#10;rPXxY8dKu9atfdYrQBGxU2pQp64y7ynARPyZef5/jUFwR8UbGHoME7t03jNde9n94kWBk2T/vWd2&#10;1IAIT62OJAUlx8ymB2/Dm4AJhp6QBwb78JE0JeSjjzKzjimoYHOXXy+BL2BCjRD4MfDoMPiUa8BT&#10;HBIarkCAsA66lE0agAiBe8JnCU8BuABekFPxejjdR17CPWoI3Vzb2fMXFQzxrDgv5yB0w7XSKBCA&#10;Qh81QAmhKLiIZEnhveJdcI+lOdARlmty/uw5bTHSqF591QW+iLAfGh3SpkVLtRfhYWGqg4ty3S4w&#10;KcbBQrZpdxTUIVZIuIS4JkQrgAEL0mkiv0nwuJADb5nnuFPtMZ0+7yQsFBQHrHUWBY26LDCZM2ee&#10;7N8PMDE7JBeYVLiBsmHnhcK/cuWKNuFq26qVVnAkTuykbOCcQH4jjLMlcHNO6emi7ITcUT6Gfc/e&#10;4gEtHj4KmTB4hUkTtnw3NkoY4jcBE8vBIEwEMIDrBkiA60HPF8BQfr0EfwQmQcp7IRREiIZrI4Sj&#10;RFIDCAAmhEn4P2AATw+ABHCkISlzDAi8cD0AJ5B8Txjdh2cHcJIfz4nlmBC+yb56XXkscEtIgcZj&#10;g4cEYAIQIxxPzRK4NWTgcH48SIC+b779Vr1XZTXsO6ddSPCWIA3n1KYirA8eGtVga1StqjqFLD/q&#10;mlhvD8cp6HCBSTEOJ2BCuAQUTIwRb0lh3IIIsUkWL71vACYAFUBGQUJDLBoWGYAG1yU8k6UGmCxc&#10;tETmzVsgUVHRynB3gUnFGyhwSG1k02QcPSozpk2XGl9UVca9r13QZx9Xka4dO2np+fi4OC2m5o7K&#10;O5hDgBLCPDTNS0w6oIacXT+bneuvSa9vAia29AHABnCAFyM5OVVD4CQP4CnI727bG5iwCYTvgnHH&#10;6ANM8KJQu4mwOh4JvBaAEULh8GQI2cArASThSaZfDp/hs3wfPQm4wAtD87833RsebEJA3B98Pjal&#10;NN6jvAPHxRZQLI3rwyuDN91ThXavgiPC/YCSn3/5Jd/PoCQHYd/EhESZN2eu9OjSVbvGO+kKWw0W&#10;nUK/rSOHj+h30TkuMCnj4QuYMNlvGkDApH7TxPYl9KDQugG7QhWYsDspKGcFUOQhY90xC/OoVoBd&#10;unyVB5jMXyjR0TEuMKmgAyX3rVF4kF4phjRk0OA8iychENomjBsv4ea5njt71jzv718fzR2VceAt&#10;wdC8fPm16h9AAOFgDD2bHXQRm5836Tj4E5Y065EYDU1TWp55anfr+Rl/ACYbA9UrwrHxdmDs8USg&#10;g8mO5G8AEq7V6k6uF0Ev8jt7bbsMWIKYut/oREJWhMDf5A3ibwAYQjEAmj0RkXoM9Oy+/XBwPE0C&#10;AS54Yiz/hWvnZ3gohLFs+KYwBr24B2G78wZ0RoTvkSkTJkq92nUcdQViOWmD+veXyH2RSoJF5xQG&#10;YLnApBiHEzAhHZf4K5PaaTLnV2CQs9AgcUHSIsMHdM6icvq8k7BwACfsamDC41JcvWa9x2uycLHE&#10;GESPi7YowAT3Hbns8Bhs9+LYmJgcSU1JlZMnTsp1c/0g6vySKPMDTEJCQiQzI1N7PrCrc8fvQ5n2&#10;BpSkp6fL+rXrNEXYFygBsOCapQU6mTjHso7JA/M+fzFGyR2Vd5CJBSmSrrakE+MBQIdQNAyDbEGJ&#10;k/G2eocQDrqMrBS8EoRysrJOyM2bt5XTUNDhDUyopwKnhGOS4UPWC8CEeivoTjZ0eEjYmHEt3t5r&#10;e30UhQM8cAyABcclhE5oCJ3rfW8W0HB+uCh4Sfgc+pnv4AmBUwLXhaJ0pChTch7vEgCJYwNMACxw&#10;Yjg/Jef9AZDY8fdfjE0za58NH6XqWzVvoeDDl+6g3kmnDh1kzerVcuTwYQUnhSHvusCkGEdJAhMU&#10;AUoAkhQTn2wci/adPu8kFpjAFMfdSWdNdhOrVq+TRUuWGWURLw/N34sCTAAQN27ckNTUVAnYuFGL&#10;d2EErYwZOUqWLVmqNVOumN1JfklubwImCw0w2Wl+l5aWrtkDbqn0Pw6MygUDFHfu2CETx4/XZ/gn&#10;H8oFUFLlgw+ld4+eEr47TOPMAD2O4Y7KO5Rbgn4zugOPAHwO9ByZfhh7dIsTKEEw4IR6CIvYMAtp&#10;sqTpkgnIzhr9WdDhDUwoZhm8bYdyNgh5oyvxWPB/gICGmwipm2uxIMpeH9fO7wAH2QaAoMO5To4L&#10;wCEkQwLDg4e/fycHlFzJ1kweAAhebcAG1V7JvqEKLsfCE0OVWbwpFF4D+NAzh9YiPD+uhVITbOz8&#10;CZgAKn768Sf56tEj1QXwzeCksXlx0h0AFhoAQqwn6+/s2bOF0hsuMCnGUdzAhMXC5GexMPFhk0MU&#10;w9XI75y+kx/huHBWaPtNk0HK5i9dvtIspESzQAoOTFAOKC3AwwNzveS/AxZGGVCiXSqNkfv4tTRp&#10;1Fh69+ot8+bOkwTzjL766isFEW8CKG8CJvPN9W7ZEqT9f86aXQnZURhT3gnHhkhWGJdieR/cM8Jz&#10;YAdDrYEuHTtpLNhJsZAOWOXDj6R+nboyfsxYfZdUBXVH5R02tELBs2vGaBO6wSNAW38MLxwNJ32U&#10;sxEywOPGrdsaqrBdczHeGGXAAuECjFd+vacMrofPY8jhu8C/ozQDhH5KIcApQfcSakpIOqD9fSyJ&#10;Nfd1egvXzL3A3wNEUCYeAi2bOHQm98Lfb9+9px4U7h3vM8CFyrMhRig0py1D0jI0BMSxODegiMJq&#10;VKGF/EoIC87JVQNY4NbwDPxVR6ED0AUjhw2Xap9/IR+8865Pr0n1L75Qr8mcWbP0O+geq4fyO1xg&#10;UoyjuIEJi4i4J7UBdJdBupuZ+CDugnBLcgvKAvIsiJ7eFBs3bZblK1br4qJTZ0GBCagaUiU9FmiB&#10;vXrVahk6eIj06tlTunbpKl0Myu7apZt069ZD/+3SqYsMGjBIVqxYIXFxcXLp0iXdMeU13gRMZptF&#10;QGl9SuzjJkZZZGdf03ultDWx8cq440d5A8xQ/vv3RZrnPkBqVa8uH773nqNSwU1bt1Zt6d29h3YQ&#10;psprfmtKuKNiDgwKa5wNBKCfzECyVqgDQvgCw+tUBgEjT7gZA46RR4cR3sDY4/UlZIIeK4zhYl5j&#10;LAn/XLlyVdc8mzZkK31mDCBBr1GyAf1rEwXQB7mv01u4ZjwnXDc8GnQkBFpKyms6tAEXeD+4H3h6&#10;lrwKyACMwG2B1AuxFlACGEHgtRDGgSiMt4hNYTp8F3Ptj588VYDFPfmTt8R7oANOnjihPXG6G51O&#10;ho6vhp8f0L6iWjXtVr43IkK+f+0JKkhIxwUmxTiKC5iwOOyiZnEQtwRZ03PBEsWKCkxA+hyT3QUL&#10;b/nKNepeLAwwweDfN9cDEztgY4AW2qlds5a0btlKhgwZJlOnTpcZM2fLrDnzzP+HS+tWbaRl85Yy&#10;dMhQWbRokcTHx5vzPnp9NOfxJmAyffp0mb9gkaxYtVbL7dOnyHYoBeC9NMCJ98PiRwF6doGvD16B&#10;B+8GBU6J761bgqRFs2YKPnwVSqL0NPUIpk+Zqq7b7CvZqlTcUXkHa4Z59K1Zb9QawStBQTA65GKo&#10;8R7YkDJ6i3AHOobfWc9D6uF0JbrioYWbgqfk8ZMnWhcFg2W9MvkdeED5LkadGk8UnoRfYhsKkqFD&#10;DSk4eXiY8VhYvZpbH+YWzz08MoDqhqZCox/xgkCCpWqsdgFOSVVCK+098MoQlsGTRMidkv7oZ/QO&#10;AjDBW0SFWUDM1m07DZBKVLBCc76ff/7Fr0EJg83NdbPx3BMWLjOmTpO2rVr7LDOAbkHHNGvSRAID&#10;NmmxtYJuDF1gUoyjOIAJi4JJzUKiJTaLgRx4dgRUBExJTdN8f6sICiMsOgBPqgES5Pezy8Cgszvg&#10;+m+ahURBrYJ4TB4/fqyIesf2HTJ86DCpXrWaNGzQULp36yFDzP9HjBwto8eMlx49eknjRk2kWdNm&#10;MnLESFm7dq3yUZ4YJZXXyA8wmTtvgWYZrVm3UQKNMiENkTh4ekaWpgNCsCPEgweFlESuuyC7tPI4&#10;IK89Nc/28qVLsmLZMqmfB6seoU5Bn569ZPOmQMkyc++hmQ//+mfpVp50h38Nb2BCSi2GmFogpL3C&#10;myDjEI8JRpgwB15eeBesOVtuHv2FoMuoeUJ/Gzww7MQLswYBJlRGffTVE9WH6EaACUYfIIG3hBA1&#10;QAUQwTWhM/PjMeE+0Nds3tAfnlooIRq+4p7Z0OHxAJhAbqWDMDoergjeFHgnHMd6XpRXY3StTRsm&#10;RTrLABg+Y/sB+TMoYaArCbvTxoINTr8+ffMsU4/UrVVLli5arLoH/V6QkLALTIpxFBcwsaAEZA6y&#10;Jl4KqQoXITsNdiFFBSagdRoL4lZlVwEwYRGyKG9cv65chPwCExQXmTi3bt2SA4lJMnXyFA0H1Kxe&#10;Q8FJ82YtpHXrNtK+fQcFJHhTWjZvITNnzJB9+/bJuXPn9Pt5jYIAE/r/0O2UPkV4T6i1gOsZD8px&#10;oxAosc1uy1NZsWIDE0I4165elUMHDsr0qVOllnknTkrECspmzKhR2hMH0ituWN6vOyrvcAImeArg&#10;mOAJ0DCJ0RsYYX4GkKBbKOIIl4IQNB4FCLOENzxk1+90F15YT8HvwOSxng/dRVg62AATwAikfjYo&#10;gAquA0IrdUjepDet/gVYZR47LnQkxvvCcdAjoWEROfcD0CLbhj5oEGPxjPAMvrzvAUCANH6HxxsA&#10;Q3E3Qj2UfuBvdKH/pwH96CA/xyX6ntAlj8x9HTYbyfFjx8lH73/gqEOswGObOmmyHEhKkqvZ2fKd&#10;eeeSz/t0gUkxDidgwgJhx0AWDZMeyb0QmMQAgjtmsvI5Fi99FSjAg0FFCeD+JPfdTv7cxymI4Gol&#10;7ktDLooksaABJiB5jHb2lSsyZ+YsnXj5Jb/iqiP9Fxb2+nXrpEf3Hgo+GhlgUq9uPQUoTZs0NSCl&#10;ubRs0VL69+tvAMVGOWYQOA2j3pTeWyBgYu4FYLJ2/cYc2WQUC/UESCNUcGKeIZ1UUQ4gefoc/R7i&#10;8XMtUYDx4vlzyTiaoR4QQmy+CiThfiUbp7pRJhRTgvfDc8F4VKTn4Y6CDwtMAKnwQiDhIx5vZKam&#10;ukIuRW/xdwtKyIbBgFMOPiYmXkM6NKajsmtRs0+4ph+Mznj67Jl6JPBg4C1B8G6ge/GYACr4G80F&#10;rxrQBCDw1oVWJwNY1Ntz67aCDEAJYRwyIdngINZTBDghLEWICG8Nm06AmdXlFpRQr4R7Rv/zvNCz&#10;lh8IyGNjVF7WFteJLkAnZBuQsWjBAt3kvP3Xv/kMC39W5RMZ1H+AbNoYIEfT0o2+fZrv+3WBSTEO&#10;X8CE2COuRCasN6CwE5lJzYIgfpnTaTM6VkEJgASUze9py82EB8R4H6egwncBOPAv2MUQ8sCYs7uB&#10;dX/+3DmtDPrR++/nG5gwaX824IFddlpamgRvDZa5c+bIoIGDpEunzq8JsF1l2NBh6inZFLBJa5oA&#10;SiC+vonHUBBgghIBzO0K3a1CiWm8QqQOUu2W3QvuWHYyFy5c0mcKedffCWiFGdQg2LsnQiaOGy/t&#10;Wrfx2Rfn3bfelto1akjXzp01LgzPiHdq4//uqLyD9c26YPNBdVZSfOGjAUww+qTJWkHvEfLg74CT&#10;w8Z4e0Ic2UY3PsoJ3+ApKMq84pp+NesVcJJ99apEx8Tq5gNgQn0UapcAJChTb/kfdmPnrQstkCD8&#10;AiDJyDqmBTHhgpAmzPdXrVmvHhPABfoYnUk4Cm4LKdAADYANetWGbwAl6BfC4/YZQf4lA+frr7+R&#10;X4ytKE9ri+vketEJ6OygzVukZ7duUqdmTe0+7qRTqATbpmUrtSFwUyh8md/7dYFJMQ4LTOhjkwNM&#10;DGIHeeOhsIQoFgITWL0kZhJ7ULqnGybuQVjbhG9YGIkHDmr4hu9jQC24KSowodAROxyY5SxkgAk7&#10;HLgnFEAjHJNfYMJks8oLRA0yJkMnLjZWlixeImPMMUaPGi2jRo6S5cuWyz4DME6cOKFF2Hhm+eF6&#10;FASYoJAAH7wDUvNQlNwjigv3LoWYiEGjaPgbSgZPETtCFAa7Q+7lTdfkr4P3Yd8JNWXWr10r7Q0o&#10;qVnVd18cUoTbt2krkyZMkP2RkfLk8WP9fn4ViTsq7rDz6R//+Kd2HCY9l6wT0nCpF4IXAdBPCMX2&#10;mQGU4B2AcwGhnjAAfAq71ou6tuz8Zq2iy7TA2oYA9YrawmVcFzqYEAzhl0PJhJIua6gF/Wu9JIAS&#10;gAT6F+DBPQBEVq9dLyuNXkQ3UtaeKrAQWNHHhHssIHnwWh8jHE83fWfPaZYj3hueR/rRDD0HHh6A&#10;mUe/lK+1ZZ85+j06KsrYiMnSoV07+fTjKo46BQ8sOgcy/ZpVq7QzudUpSF7DBSbFOJhwlFVmMYLQ&#10;YaDndBc2CwKvCUIcls8wwamCiDv0kEHhdOlkUQEQQOzsSDCafB4AwyJwAhoFFRaQ8ljMNeB2xdVq&#10;gQnXSYpoQYCJ90BRsLPCA3H58mVJSEiQkF0hWvxs546dkpiYqJwSQAmpfizQ/IyCABOyBnh+VFRE&#10;kbALIj2RZ0upabwpKB4UKZ1NqYGA4gCUoaR4h7haASlvWkD+OLhm3gOg75xRkBCZSe/DW+IrxY+2&#10;5gP79TcKZLUcST2sFT7d4Q7vAa+DkOvz5y8UyMPtYN3Qyh8PJJ5emtLh3eVv6C1ACYC/pLxvGDrW&#10;rAeYbNImeZBd8VBYjweF1uCeQFKFp0d4BW8xVWApNMn14s3AY4ynxW5gfg8JB2iZBnS07VGWWxej&#10;U9k08jc2ppBk8Xqz+cF7hG55Ygw6HiOeQ3ke6Pb0tDRZv2atDB4w0GdNJDJz0Dn8nZomp06dUp2E&#10;bnKBSSkOFh9uOkAEhYRA6iwWDB+TlVgoC5ZQD2WcmbCAAVLvQNbs6lkccEt0cZvPW08JC4HJ770Y&#10;Cisch8UMAZb0P7wLxQVMUBQsPEAaIRrSgClLfOfOHRWY3d+YZwTQIHTC5/MzCgJMCNfwzHE5o4B4&#10;hoAwYuG8F7wkIUZh8DkACsoLJRaxL9IAmBQ5bd4VwO3rb77J9/X50+Ca8Vzx/ClBT78bCiL5AiVI&#10;3Zq11FsSYXQAYAZj4g53eA/mlQfw/qoGlvXx7Nlz5Y2Q7faVAfRPnj5T4MLfIKf+ZDYp6EW+izEq&#10;SWBC2BwwABk12QAN+CEUXYNnwt/wphDWQTdEx8RrYgFghZIJdrMCCAGMIGuMkLzABpNsIvgzeGfw&#10;lABCvPUp+pnfo98BaJR2QJ9yLjaXeNItZ6s86hTvgffr4oULsi9ir5JbfWX62d45ZPqNHTVaDhvA&#10;SJIDz+FNzyA8PNwFJsU1mHR0hrx//4Gy1wEmIG9CMyByjCI7eFLH8IZQ+RBEzc6dhUFvBttCHLef&#10;XQDFBUiscDzAjiXA4moEmHD+s2YXQb+ZyRMnaRGuggKTkhoFAiZmdwSRlxgv7HqeIemMkIvpaQGx&#10;jdgvSopUacI6eLaofwBgiYv3pDTisgZo/mjObZE+Hp7iVq7FPQCG35l5SCyYhn2DBw6SP+dRQtqW&#10;kV66eIlkmjlKoz+3L447ysOwwIQNHSFcwiescfrSAFLQrfTLIYWYsI6nANsOT6h8p6eXDmBk5ep1&#10;sh6Cq/kcHhaEz7JhxKsK7wSejLcuRq8g6GlPijSZjlkGjMRpiCsuPkk9SnhRCtMHyF/HLz//Il8a&#10;XYquWLF0mTQ3+tjqEScdgwzo118LPKJbeBZv8hqFhoa6wKS4xm+//UN3C0xSXHkgdCY8Cwb0Ts0Q&#10;2NzEMeGSMHGJxR44mKKfx0tCbJIJzmLT+GUJARMWE+gftya7jZWr1yrbPMsY7eTkFBk3ZmyFAiY8&#10;Szg9NhWQ+0Zp4ILm/tk14e4lLq1xcgMaSYfkeQDgbDZBeWDS//Mf/9S0PrhCWzZvlp7duvtkzvN7&#10;iqpBjN26eYvcNnOCXc0/zFx2hzv8fQBM7ty9q54JQAaJAgATEgkI4VJpFX2LN5o6J5pObACHAhTz&#10;M2EbgAmeFXgpEFsh7OL1YPOCR4VijQpMjN7w1sXoFN3gGeAB54bv4I0FmKDf2fTR8JBsRTY2FWWw&#10;Af/2m2+VIL89eJt0bNdevbG+dAzSrUsXzc6hGeDDBw/0GHmNXbt2ucCkuMbff/1VXZqQSjF4oPVl&#10;K1YrOCFlFVch2SEsEs2BNwuACU2YAQIsFRQxnpYgW9yAxArHta5HrpWFyzWycFOPpElcbJyMGjFS&#10;Pnj33QoDTB6+vm8LUixJjfsHfBBWQwHxXbwnKCoIfZS4h6vCcagy+f2r3/t6oBRLwj1d1PGbmYd0&#10;b46LiZUF8+Yr6PC1m0GhEObpZcBL9P6onBh4eXc3u6NyDObpXaM3We94nfE4AyCoSEvtEs20MXqA&#10;9U14ZZfZdOANAcSwvgnxsNbR1eg+Ni4cj+zE06dJ9U3OyeqBJ2I3iwj6Gh1CWX70Pd5vKsSiT6mK&#10;y7Hwtla09cS9cE/oChIc+vXqrRk4bHCcdAwCAXbe7DlKmr169ar8+ve821xQqNMFJsU0QMVUNCQM&#10;wORk8hOrhIxp+SMQYSFRsVjgP2DwmMAWjDgBieIWa6A5J314SGfLASaHj0isASZUZa1IwCT3M+B3&#10;gBO8WwBDUhrZLfEsINBxDBQXYDJsDzumZP3MFXM83vHzFy/1mshU8LfwDvPwlAG8ARs2yvAhQ6Vh&#10;vfo+gQlF9OrVrq0x4BRzj79WoJ2dOyr+wEgSOmd94pXGywmpFa8Jmz28wgAKSsVDfPXw+jypwJ5M&#10;oh263vGO8LkXZl1TJp4y6p7U6HQFHHhBqC0FL48wO8J50DF4SiDb4mXFY0PLEMI36Ig3eQbK80BX&#10;UGxtwrhxyjOhI7mTjkHQQTQA3Lxpk9FNJ5VnktfYFrzNBSbFNSB6gaBhheMW9JRG9hCyACsQowAC&#10;TO5r128qIIEoC0AALJSUh8RJ7PkIG7GoKhsw4d5teEdTtokRm/cCcQ4FBkBBea3fGOghwG3drvVe&#10;qJSbYgDMJfMeIf7R5wJw4k/AhGeVmpwiM6ZO1Z4WVT/9zFFZAFZo6NelUydZvHChHMvKemM9GXe4&#10;w58GwIS1nJaeoZl4tj4Rhc9Y09SIIizu2YBkq3cj7WimVtIGmLCm2SjiOX301Veqw1kDgPtnz59r&#10;cgDhHw/oISnhmHpYEbwpe/ft17+h4wn32N5ceFY5Rn6zDsvj4DmdNCAMbpo29qtR02c4h8KNnTt0&#10;lLmzZ2uXc3RUXiMoKMgFJsU1SKVj9423BJ4C3BJCN6TTAUSYsBhDCwq8JbfhLC2h1wXs9MoGTJDc&#10;74B3gwJDSdFfBxCiVSSNAiO8A7sfgAIZDu8KnUEfPXqsOyxSpG2BtrIagCMU9avvv1eXKVUXa1St&#10;pqEaJ2WBEmnWqLGMGTlKthpFANP+Hy4wcUc5GtQCAUBQeoHWH4AHwAkkVNYxHhMrbAj5HNwT9APZ&#10;kITU2TCSUQSYIERhw7NwyiiiRnIA3hASFig7wNpHyNQhzIM33IISvLCEOOwxkIo68AbRB2d7cLDa&#10;iRZNPQ1CnXQN3pSG9erJyOHDJTYmRrP+0FW5nw+/QwIDA11gUlyD/itnzOQEhYOyETJyKDREqXkM&#10;ZFmCECfBJQlhqzICk9xCoSQb3sGzRegGHhDPh1ovZFkBTAjvhO6GdZ+oChAwyjkAKGXpcQAUoSyo&#10;QRIWGqo7FECJr9jvX/79T0pco7w0fJRbN28qf8Yd7igvA8NGWjLrFkI7XBCI7Hgw4IxQ7ZVaUWTp&#10;2FAOGw7WbtKBg1q6gQ2jp3eWp/CZHfyfNF9CNqxzMis5vooBInhaOIdmURrQQ80WUvT5XmUY6AoI&#10;sAlx8dqsr0vHTj51DYUdq3z4oXTr3FlCd4UoIRhd5f28eZcAQ3QobU1cYFLEYZExaVC4+Eg5Y5dN&#10;6ikGEoIrC8fJGJa1/BGYhJrFZ3YCxkiNGD6i0gETK9Z7wjsj3Ib7lxRvXMXEpJevXCOUqaZGDVk8&#10;ZFaxE3vw4IG6gu18QEpzsKiJ3X716JGWjCYF2ElJWGF30693HwkO2qoZPI+/+qpCu57d4V/De50U&#10;RuwxyJSjKSBF3+B7sC5JDSbMQuVsClfq5iJin65fqrjCKWFdA0q8PRzeg+Z6Wg/I6Jnbt+8qAGGt&#10;Q7BFMrKOy5Xsa0ZnfKU9tzDUTsepqAN98+TxEzlt7NuObdtlQN9+PitLW2lYv75m5zx66KnrwjHs&#10;wFMCKEHXr1ixwgUmRR0W5cE5SEs7qi5/FgYLAXTNAiADxskIlrUATCDkQtKFUwGJbN++SBk2ZGil&#10;BSYI3wGcEKOG3U8aN3VoeFa4bqmBgILDK8Z7ZifG7ov3zK4pP0WEinuwU3vx/IVcuXRZVq1YKQ3q&#10;1nNUDghhHAofEcZhx3PPKHVqn7jAxB2lNTDkbOYowsi8JRzK/GOtU12UOjwXL1zURp8ILfdpdcH6&#10;ssaffzkOXC9COoRvIKACPNC9hNEJu+DdALQALAjHUMGVtUohOF+pvKxfdvWsZcpA3Lp1RwmyHrmi&#10;4aGvHj+W7163sijt9V7Wg3fF+7t39552lUeXoFOc9I2VurVqyfIlS+XSxYvmmT7/w7P/LwMEAYkU&#10;4Zw7Z64LTIo6ACXEI2GH04+BXizaWyEqVklZLBaQuZMBLGvB6GJUyeUnNTbBTLCwsHAtyvX+O5UX&#10;mFjeCd+1nhMbo6beDMqP8A6Fmsi6IsQDt4jaBXyWWiDeu4HSGD+aRY1rNe3wEU3Nq1OjpqNyAJSQ&#10;Jvzx+x/I7Bkz5dzZs8qPYh5Xlt2eO8p+YJS+vHdPjmUdUzANGAEIYLBuXL+ulUK3BQfLkkWLZfGi&#10;RbJ06VKzadont80c9wYmAALAiQKIFy/lzp17Sk5no3A0MyuHsEpIBg/HvXv3FcRgBJnzvtYpx8Zr&#10;QsNBSkHQMBDviRV0PoDIHqOyrR3ul3tHd9D4deb0GfL+2+846hwrNatVV51z2ABGaibxDuzgGerG&#10;6vIVmTh+ggtMijpYEC9ffi3Xr99UI0+1V3bSCYnEMM+oV8JfgQnFwyCMkXmCxyQ6Nk527twlA/sP&#10;NMDknUoLTJwEDwoMf1IBCc+xI6NaLqAEMAoHxVNY6ZQ550NdtCjN0lJYgKHzBjjZbsJ59bCg7gD9&#10;c1YsW66K3h3uKK1hPcwAkCwDHAglMmfVI3L1qmRmZEhMVJSsX7tOxo0ZI13pTN65s/To1l2WGXCC&#10;EXTyTrCD9xjKn+Tp02dy89YtuWg2hXDA0MFsMEgH/uknD1G9snk4SnLcvXNHli1ZKtU++1ze+stf&#10;fGbn0JNr/Jixsid8j5w7c1bBqB2AS0I8VJQdMniIC0yKOkDOEJ9gd1OBEP4BRp5qrhfNooBMef9B&#10;8RjH4hbSm3F1svPXtLeoGNm6dZv069PPBSa5hOMAMFFwKDp2YPTjoScGHjIKPPHecSNnm50ZhDpS&#10;iUtLAb4wiv5oerrGcGmu9cUnnzoqB9ytpAl3MM9yc2Cg7lrd4Y7SGoRsACWEafCIDDNGCJk+dZoS&#10;sadNmSKjR46U3j16aqZHrRo1zHytIfXq1NGOtsePHXcMObIBAPTgdWEXTzsJAAohdkIx8FAAJfy9&#10;Mno4SnLAr9u8KVDatWmjqcG+QjqfVflEm4VuXLdejhw+op2K7XvgvdwyYBIifveu3VxgUtSBW494&#10;o22IBzChGyU9Wfg9PVqKyzgWtwCajqRlaNVTWoNjZDdt2ix9evV2gUkuseEdG+IBpOAaTklN0+dH&#10;RUkaf8E/oWspu7PcBK+SHMRm42PjZP7cedKtS1f55MOPHJUDHT9R+EMHD5aw3bs1xu8Od5TWgMt0&#10;2xiggwcOKNAAQL/31tvy6Ucfa80d2ugTZuR3ZHmw+0YgVg4ZOEjSjhxxBBb83wqbAcIwABgr/A7x&#10;/pw7imc8efJE9oSHy4hhw1S3+Cq29rH5Pdk7c2fP0T5eDx8+zHkPeLEuXbykVV9btWzpApOiDtD4&#10;hQuX1LVPFUH4GgAUUtUAJRgwjJmTsStrAZikpWcqKCEnv1wCk40bZcaMGTJv3kIFJoTRCKnABSlO&#10;YJJbeKfwSU6dPqvhMMAJGQEAFLxQN2/eVnBSWumDkAV3h4QqCa1ls+bywbvvOSqHz4zixzU+a8ZM&#10;iY+L012LO9xRWoPutMxVCm3hHQFAk7r+tgEepLd/+O77Bph8KO+9/U5OXQyKAfL3fn36aB0M0k0t&#10;WdYdZT/wgCUmJmoBNYqt+fLWwkFp0aSpVoHdZXQ4ISALTNCTVKxevWKlesdcYFLE8fjxE00l01LH&#10;ZrdMt1oaw+Hqh5eAYXSBSdGGL2By9uxZCQgIkBkzZ8q8+a+Byfadmj3DO4GwWpLAhLAOTbzI2qE2&#10;wqbNQdqlmBLW8FAoX48CLY3BLpQwTg+jGOrWqu3TnVr98y801LNh3XpJT0uTl0bJu8MdpTV+NmsZ&#10;MExDt9kzZ8knH33sIWT/+S/y7ltvSxUDVKqaOVrlw4/lrT//Vecs3bH5W6/uPWTXjp1y/do1BSfw&#10;EtxR9uObr7+RjKNHtQ0GYbmaVav9N72D4PWqU7OWdO3YScM5N2/cyAEmkKEJRc+aPl1DPi4wKeSw&#10;7kCycVJSjmiDKOpakKURl5CoHS6dDJo/SbkGJt9/r8Bk06ZNMmvWbJm/YJECk+07QrT6I6x8uCAl&#10;BUwQjg04gatDrRN4JqSLk1JMWiLnZ4dYGgNlvWKZpw05XhFfxY4oHT1x/HiJCN8jZ8+c1ZQ/d7ij&#10;tAYGiDl38eJFWTR/gTFCVdRjAjDBS/JZlU+llpmjn3/6mbxjwDXekr/SbPLdd6VT+w6yfOkySTK7&#10;81MnTqhhgzAJv4p1xrFdUmvpD94n2X2EcyaNnyD1zMbISfeQDUjIrkmDhpptdeXKlRxg8svPv0jK&#10;oUPKL3rbvHcXmBRi8DBxI4LY4ZHQb4aiasFKIt2j/XLoQ+NkzPxJyjswOXfunJYvnjV7Tg4woWQ8&#10;VRptv4ySBCZ4TTRb5+49LWPPu6d5I1V0qTBJejGku9IYVy5fVlcq2Th4S3wx4ykNPX/uXCWf3bx5&#10;U5+tO9xRWgN+CAACD9+K5cuVLKlhnHffU+8J3pKaBph89smnOcAEkM3fmzZqJMOGDJEF8+bJsiVL&#10;ZPUqs9537pLkQ8laGwOuAyRKd5TugGxMR/NDBw6qDmrko3EoOgndRPbOzGnT5cL58znABM9yYnyC&#10;9OvTV/7P//5/XWBSmAEqB5QQFyNcsCdin6aMAkwI41CMK/vqdUdj5k9SMYDJZpk9e64seA1MKEnN&#10;84dfAmgsUWCCGHBCsSbShKkOSyiJHjt4Teg0SnZASQ0WtYfo959mx3JOpkycpHF6J6VgpWmjxrJm&#10;9WrJzs6WJ48fq5FwhztKctiNnGbN/PYP1ZvwC9YYYEHaOjWTACV4SapVrZYDTCDAwjN57+23zd8/&#10;0gJd7Vq3lm5dumhWWavmLWTIoMGa9g6Zkh24O59Lf0Dyv//ll3LyxAn1aKFjfOkgfs97nTB2rHYa&#10;/pexo/9p5sUPr15JVOR+6dyhg/w///N/ucCkMIMFxstgN0wVQXbKkF5pkU3rbfoz4N53Mmb+JOUd&#10;mJw3iHvz5i0yZ848WbBwsQITAEFGZpaGUag7Uhr8ni/ve3pqxCce0D46hPSQoxmZSoAtqYGy13n4&#10;zTearTB6xIg3loWGGBu0ZYtm8fAM3Ti9O0p6MMdeff9KHpu1cuP6DTlz+oySWGdOn64t8T/9+GPN&#10;2EAAJFW/qCrVDUCpUa26hh6bNGokbVu30VomQwYNkqGDhxiAQmrqF9KsSRMZ2L+/drmlDT+7d3eU&#10;7qD559cvX2qBxy2bAhUw5rU5eusvf5XhQ4ZKSnKyEmfhC0GI3rljh7Rp1Ur+1//4ny4wKcz4h1lo&#10;9EegfgkkS1z36zds0oJb6cYYnb9wUTM2nIyYP0l5BiZ00T1//oJsMUZ27tx5snDRkhxgQuo2xePu&#10;3L1XKsCEcM6FS5e1UVjk/mitC7Np81YNKbHwSmoAkCmshkLYHxkpgwYMfCMwadOylaYJ80xxe7sx&#10;eXeU9MCL8eD+A+2rEh0V7UnxnzpV+vftK80NsKhetaoW/SNk8+F77ys4qVunrqaNdu/WTYYMGSIT&#10;J0yUObPnaJG1BfMXSI+u3dSLApiBUNmnVy9tXulypkp/oEN+Ne+Yjc6esDDp2LZd3sDEvOf+ffpq&#10;YT1C0NlXrhiwelrWrVmrWTsuMCnkIOeassZUAcX4EMKhNT5dLU+Z3YCtNOhkxPxJACYUCWOXT7or&#10;ja/KEzC5cOGCBAVtlXnzFuQAE0rF002Ue+MdlAYwIVwEp4gUZVKVASaQYCHAMk9KagAsHj9+LGfP&#10;nJFtW7dK7x495G2zG8mtCBAIhoAW3ODRUVFuqqU7Sm3gxbho1mqEMURLFy9WnghEVurt9OndW7p0&#10;6iQtmjWThvUbSEuz2+7YoaP079dfxo8bb9b2PFm1arXZgARJSEio7DV6YPu27eo1IYPHZvMQPsCw&#10;EVKASImXxvIX3FE6g40StZQojvfuW2/JX/70J0ddBAkWYInnNv1ImhxNS1d+CmToRmYOuMCkkIMd&#10;ALtkQAiGiKZ9GCJ+pskT3AZ/bdznLRjvwwaYEIICnESUO2By0QCTYJlnJvTCxUsVmFBD5vSZcwpK&#10;eEcVGpj89g+5d/eu1oRYu3qNFi/yBUzYkZLGN2LoUC1u5XpK3FFag1AjbvsF8+bLAAM4ACEYIH5e&#10;uGCBNp1cuWKFrDYAJCBgkwQHb5Pdu8Nk//4oSUxMkuSUVDl6NEM5W+jcgwcPyfRp07X3ynvvvKsc&#10;FZpWzps7V7IyM7USqe0a7I7SGwCTlEPJmllDdekP33OupQQw6dSuvb73aPOOY6KiZU9YuMyYOk3q&#10;167jApPCDhjEN41Rx1sC8ZX6FbjuSVO9dv2mghKMopMR8yfxpLmmKVkTcBKxd78EBm4pP8Dk4iXZ&#10;GrxdM3IWLVkmy1asVgIqoTTAQmmAEqSsgAkkQtjwsTGxstAofeLuLPrcigC3KkWPWhqDwOKHj+IC&#10;E3eU1oBDEGHsC14QvCJUd632+RcycsQICQ0NlZSUFAM6juu6varcsDuqQylOSd8p77X81eMnuiFZ&#10;vnyFNG7YSKp89LF89MGHWrtnwrjxsi9ir5w/e07P6QKT0h14YalnMnvGDGndooVW8nUK6UBoJqQ8&#10;f85c2bFtu+zcvkO2BG6Wscbe0Hz0f/1//ocLTAozfjSGkqyP6Nh47TFD7RKKq6UaI4+3BFDCYspt&#10;wPxNCEXRDjxwS7Cm2ZLiumPHLhnQf0C5ACY06dq2facsWrxMlhtQsnrtBn0neK2c7rekpCyByeXL&#10;l3W3Qa8RSGdOwIQ0PXaXMN7ZoWaaXaULTNxRWgOQsDt0t/Ts1l3q16mroKR+3boyaeIkiYyMVFCS&#10;nX01ZzP37PkLefHya59CqHzjxgAN+dQ1O2xIsoAUqh5j4AgNEOJ0gUnpDoAJzRiXLFqk1aXpceRU&#10;tgBggq4iZTgwYJPQZ2f9mrVaEZbvuMCkkIMGbWRh7A7bowW9IL9CHKW9tuU1lNZuvSjCAo9P8HRE&#10;3hmyW8vq79sbKcOGDJX3333X74EJ7c137gpVUMI94LVKSDqoIMHpfktKygqYEFKk2+q2rcH6roiz&#10;U4wqtyJAOdQzCrxvr16yasUKTdNzgYk7SmvQzt4CE+Zo44YNzVpuJ7Nnz5ao6BitksyG7umzZ0ae&#10;y/MXLx0BiRU8vdvMTnvggIHSpnUbadakqbRp1VpGDh+uqcMJ8fGa5eHO8dIdABNIrJQjgNjcwIBP&#10;uG259RHAhEKQUyZNVl4QnaRXLl8hQwcNlhpVq7nApCAD9M1EJ45GbYpjx09qwzh6s0C4TEw6oH1T&#10;cD86GS9/FIBJbHyirFy9TsFV6uEjEhsbJyNHjNRKi/4OTPBahYSGySpz/QGBQbJ9Z6gBA4fNfZVu&#10;DZmyAiaEFE+eOCnr162TwQMHSQOzG3VSBPyucYMGWi6asvVUzHWVtjtKa+AxCd8dJr179pJWLVpK&#10;69fZNnPnzpU9EXvNujmmwMQJhDgJnw0PC1dybC9zzA7tO0inDh2VVDtn1izZGxGhBdzcOV66A2BC&#10;0bQtgYEyYugwA0Ib+dRHcIxGDR8hC+cvkEULFpr3Nlv69e6j4R8XmBRgAExgev/88y/ylTFGZLNg&#10;DClDjreEMA7VRqlp4WS8/FHKOzChuB0F1fCWbNm6XcIMQDyclq79a5zut6SkzICJeS70l2Bxd+vc&#10;RWpVq+5TETQ3u8rxY8bK9m3btEqmq7TdUVoDYEJq6MD+A6SdWcNIt67dZMqUqVogMenAQV3LTiDE&#10;SahPRNox6cPDjAHs2b2HdDXzn3T5iRMmyK4dO+T69evuHC/lwfMm/Zd+RrS9oGaSbcToLXhwIcfi&#10;QSP8hkDKp2geJetdYFKAATAhpk9Rtdu37yrRde36jRIUvEONEfVMLl3OLhekVyvlEpg0aqyKhyZ+&#10;V7KzJTQsQtZvDJQdu0IlKiZOMjKPlXpxu7ICJqRh0l+C9vGtmjdXgquvmG7bVq1l5vQZSkK8dvWq&#10;q7TdUWrj5cuXsj9yvwwfNly6dO4sHTt0kK5dusiYMWNkyZKlmgIModUTwvGEcfjZl1CfiGydFctX&#10;yITxE2RA//5afK1vnz4GqAyVzWbHTmVjNyW+dAc65YYBhOhqGjS2b9PWJzD5/JNPVGd179pVpUvH&#10;jtKofn2tXO0CkwIMgAkpaA+NETp3/oIawdVr12uFTwik9EXBIGKknIyXP0p5BCa4B6nZQeEyWPyQ&#10;jwEBABSq7p44dUbToJ3ut6SkLIHJwaQD6glp2rCR7jZ8AZNunTprel6yATJ3zY7TJQa6o7QGwCQm&#10;JkazLvBudO7YSYHJiOHDZc6cuVqf5MyZswZ0vFDgATCBa2LX1+MnT3UdPXn61Pz/KyXtx8cnaH2T&#10;KQaUwzXheN2MgevRvbv20KFuigtMSncATL68d09SklO0fEEP8z58ARNt5tewoXQw4AVp27KV1K1Z&#10;S9sPuMCkAIOHDrfk2rXrGsahWqoa9JCw171xrskto/AflAPSq5XyCEwaN2iozPtHBgycNsoMTwkg&#10;gBosR9IzFDTyHpzut6SkLIFJYkKClqJvWLeeVPngQ8f0PDJ1qLRIah7kNHrkuMDEHaU1vvn6a4mP&#10;i5fJEyZqKQLCLnhOhgweIlOnTJXgrcFy4sRJJb+yXgAnpAXD18M7wvoCnFBp+675P9l4MTGxsmbN&#10;Wpk2dZoMGjhIOnfqpCEiqsWSeQaPygUmpTuwkU8NeKTTMOEcWgX4Kl/w8fsfKCcOrwlCxVdC0TT5&#10;c4FJAYY+dLNwTp06KzGxCWoQ16zboLwGKo1iDMm9Lw/ZOFyjNaZ0Ri5PwITeGuvXrdc6MpDmAAEb&#10;N23RqrsnzLVezr6qyszpvktK7j94JJeuZMvRjCyJjol/XQm45IEJHjx6jgzs11+7Cvtq4EcJaHqM&#10;RO7dq2EcdrBlCUxYSxgNKteSWQSJt6zkt19/1etxR8kN2ibgqaOrNRl/EF8J5wBSRgwfIWsNwDh8&#10;+LDc02rZX6m3hJA4NU3wihKyvX7jhlwxa+zcufOSnpYuISEhsnDhQhnz2gsDqbZpkyZaJ2X2rFlG&#10;T59ygUkpD3TKyxcv5Kp5X+gayMjontz6CB31/tvvSHXSxuvUUcFb8tnHVbRApAtMCjCY5IRxtIR7&#10;WIR2kYX8GhkVK6fPvq40av7u78CE62PRA6IuXLysISmACQXWuDdcpKNHjjLA5D2/BCakvS5fvlwV&#10;VHLKYQkK3q5pwnEJSdqvhnBaaVfd5Xly7tTXvXI8c2NLiffKgQBMBgIVXwElTkoA4fc0zYqNjtFs&#10;BQxFWQETzktmG3ytV69eyTOzwyK1ExdwaQsVQnkWbiPDkh30UDmWmSUb12+QyRMnaXYOTfk6dewo&#10;vXr01IwMeCb0vqLH2OMnT/Tf42bDl5ycIikpqZKaelgOGXCDfgoLC5dlS5fJSANqKGvfvGkz7ZdT&#10;p1ZtlRnTp2u2mgtMSnewtmnmx+Zn/759MnzoUJ86CU8KOgsvL4IHBW8JRH0XmORj8LCtMr1790ut&#10;+7E5aJtmgZAunJB4QAt64YHA6BcEmNjPF/R7RRHOg+HGw3PGGPfIqBgFJnA16IablJQkY0eN1nLC&#10;/ghMqAw4f958ST+aoWGowC1btSXAgUMpcv3mLbljACLvwuneS0oAJoSQDianSnjEPgUmW8w10dTv&#10;+fMXr++i+AcE4FCzc8QN6rT4raAcSM0j7AMIwFAUBpjYtVAUwTsBKCEMhdv3+rVrurulZXppCz2G&#10;7t+/r14bp2utKFLWg3dNGimFAMkg69+3n4KJFs2aa2+cUSNGSuCmQDlswMclo0vZAJKlQ+n50JBQ&#10;5aDs2rlLtgVv0yyelStXydgxY6VThw7SsH59qfr551oBluZ/dCUmPHTCvF8XmJTuYK7lF5jkJS4w&#10;ycdAkXrShH9W0tX+qFj1lFDGnb4syWZXTGl0wgfERPMLMB4awYDyHQTjxu+cPlucYoEJRvzk6TOa&#10;6rxy1VoJC4/QHQo7k/HjxvktMKEy4MwZMyUx6aB6JwAlAAFK699+/Q7KAphAfuaaCO0R5qPwW4bZ&#10;JRI2KamRX2CCe3SCeacZGRny9ddf61wujMFC0QMqfvrxJ/U0PDE7W4DOzRs35fKlS9o9lvTlVLPL&#10;PXTwoBxITJKY6Ght3kbXUSR8924J3RUiO7ZvVxJzcFCQbN2yRf8tLaHOQmBAgEqwuQaeob2+wgid&#10;nQF9qSkpciQ1tXBy+LAcy8qSMwYsXTAg95LRKbbz6hslO1uzIe7cvqPvBOBJmIzNlD8AE4DfnTt3&#10;tCLrhnXrpG/v3lqJmGJaVG3t2L6Ddg+GzLph/QYFKYR3Fi1arCnBixYukuXLlsua1Wtkw4aNsnbt&#10;Opk+fboMGjhQOrRrL/Xr1pPqX1RVb0mjho1k7py5cvr0aReYlPJgrv34ww/KYWM+o3NcYFJCg8X9&#10;yy+/GEX8rcY7w/fs0/RUPAwYItJT+T2ZIJaoZT0geYmCEmPQ2OFjUO8VANQURTgH15l97boWiQNc&#10;rTDAJML8i3GlXDnuVtqP+yMwQQFNnDBJrzfMGDzaARCGSj+amQNKSgPgeQvnpbgexFeaIVJbhR5K&#10;VLRk3pTEQAl89+13ErJrl9YocVrgVgAmtJknU4HO2PkxWPw9t/BdjB6ejlu3bsm5s+e0O2hCXLxW&#10;9sTozJ8zR6ZOmiQTxo5VUm4/Y4Ro2EVvDBUKbLVooSWp+T0VIvnc2FGjSk1GDR8uQwYOkgF9+kr3&#10;Ll01rTHn+gohHIOCUtOmTJEZ06YVSmYZQ7t86VIt0b09eJuE7NwlYeaZUpjsTbInfI+G6ZIPJasX&#10;6OHDhx7+jHlf/mCcAUkvX7yUmzdv6n316t5DOQZ0u37nb28pQGln3gGcEwqlMTeo5Apg6dmjpwwd&#10;MlTTgufNnSdr1qzRRn+LFy+WKZOnaPsM+CWAk6ZmHbRr206WLlkq540uc4FJ6Q50BJt4gCi6ZtaM&#10;GfqOnXRSXuICk3wMHjS1S+4b4wMIYSe8fsMmNYyEPo6fOKUGiK6XGHbCOpBKyXjBw5Jbrl67Yf52&#10;XUmafPas2R2dM8CGvwFOLLBxMoDFIRybAkW4SskiscAEzwmckxPHT8hUs+A/et8/gQl9NkaNHK1p&#10;2rtCdqu3hHug82hRPCUWLOL9sF4sRD1Zb3gffI45ELk/Rr0ltCqg7xDz4dvvvnt9F8U3ULgo+2dP&#10;n8m24GAt8+20wK2gHGbPnKm76vwO6yX89ttvdRd+754Bs2Z3TggEz0B8XJwWzaIBF70uSEXmHBRL&#10;GjpokAwyBoNMoK6dOhsg0lJaNG0mrZrBwG+h/0f4G9VopxggM90Y9dKSyRMnyvgxY7Q3Rx9j+Nq3&#10;aZNzTfkV7oMCUtxXRwBWnz4yevgIGWOAT2Flmll388xuf8mixVpafc2q1Zp2mR+Bv0G2Gi70rMws&#10;uX37tnrrmCdlPQDCrGGuh26yfXr1krcMWP7rf/yHcg0+q/KJNG3cRL0fSmJt2EifMfwRgMfoUaM1&#10;+wavCZ2Hw8PDZfPmLcozgfwKX4Umfo3NOmhrAM6SJUsUNLvApOwGG5f5BkjCG3HSSXmJC0zyMX79&#10;9TdjfL6S8+cvKp8EsuXGTZu1WRyGB2BCHRP+D5GU7JDY+CT9HRyD3JKSmqZ/SzxwUAmbfC/eHPe4&#10;MWw3bt3WMEtJkmg5LsSyS5evaBZJeMTecgVMvvj0MxkyeKjZNW2W7QachISGS4zZsROWKsoz47sA&#10;DLxJlLzGAwaRlv8DTpy+Y4XvkSHkaejoqUB74OAhA1Cz1cNQ3ANjw3HZgW5cv17LOzstcCuFASY/&#10;/fij3DdzkfRiPCKEQJaZnSi7e+bFpAkTZKb5ecG8ebJs8RI1oquWrzAGdZn+u46d7QaMZaCGbHZu&#10;364hE0I5NgQSaYxoYrwnBHI4NbXUhFBT8sGDkpSYqKGmvUb3eYdm8iPcB94qUrCLIyQVtHmzepwA&#10;JMjqlavyDUwAhYvmL9ACeosXLFSvS1RkpFy6dEn5HWU9CIczZwG6Bw8ckCGDBhv98oGGi6t89JFm&#10;2lEJdpQBtTPMPeDxIJQTEBAgW8wzDQoyz9cA8H37Io0OPaI9yWINMAakwCcBzHzy0cdS1Wxa6tWp&#10;62bl+MFwgUkJD8I4pKaSSguxEX7JJiNUfsXLoTvlqBgNKZCJYZvJ0a13T0TkfxPqn9Awj1L2fIfP&#10;wlchw+TK1esa2snPLr2wwnExvHhrIJBiRMsLMKFk8ReffCb9+w1QXgx9ivCWHDSGBs9TYZ8Z3+OZ&#10;40m6eu26gjaeD9whPF/8/t6XHu8J8uDh7+fhu4DJtPQMBa0bAgJ1nhxJS5frZn68+uGH13dRfANX&#10;KeEU3PYAATq2Oi1wK/kBJjZcg6eEEMDTJ0/k1ImTEhG+R40dKcl4PCAfU2GW4kjdu3SR0SNGahoo&#10;O3ZCEBAc42Ji1fifOH5ciXBfPXqk3BbSm1lPXL8VOCucr9TFnJdz/+p1LQURjCzgEC8ABFo4Ntxv&#10;YYV28VGR+2WLASg8y4II4ATAOHjAAA1R4X3hnQACeO5lPezcQrjPcWPGaki22hdfSM3q1bUR39Ch&#10;Q2W+AVehobslIyNTTpuNBl7oEydPSnr6Uc3OAfyzHtFfR43u2rMnQoEMHkO4DO+9/Y588nEVmTBu&#10;vPKpeL+AE87rjtIdLjApocFkZlKjTDFQeEMI4wSZHbGn5kdajuch3SwkvCl4PyBkRkXHSVx8ooKX&#10;3MLn4CJEGeUdFR2r30k6mKw7fusxKUmeBIYUT8CZs+cUDLHLB5jsN+DqqgFGuEBnTJvuV8AEI0AM&#10;nd4KtWvWloEDB8uyFas0jMN1k+YMqCoMMAFo4BXhmZw+c069WgcOJWsNEtJ96b0Df4VQER2l8YLg&#10;TcFLwnviXxRligGuAE2tqWKuic9zXEBVcQ+ex6OHD3NajNevXcdxgVMvgCqL1KSZN3uO3Lhx4/UR&#10;/ji8Cd5379xR4wEQDNq8RVYsXSbz58yV6WZnSjdQQOssdrWLF6tHJHTXLvU64InIysxUDws7dUAQ&#10;xFjSpdm1Awb8hYxZHIP74Jlh/CzvxiklOb9y5/Zt7RQNeZjslILIwQMHtX8UIHXm9OnG8I/RXiXU&#10;uKFPjT+N8+fPy6qVK3Ut4+moV6eO8knoczNr1mztGpxi7gkwkmLmVGJSkuzbt0+zcsjO2RuxVzk1&#10;EGGZi927dlMiLaEh+Crvv/OuDOjXTwEyqfFfv/xa5507SncATBYtWKBcRXSQU30lX+ICEx8DpYOy&#10;ZkITYydbRUGJ2RFv3xGi4CPz2HE1PHfufqlGDYNFLYtz5y9qXZOTp0D7p/+bEPrheBBPTxqjD3GW&#10;XQAgxxq7wu788yMcG54Lnh7Iu3AiACYApNvGKF25ckX7HOBq9SdgkpiQqCz8Jo2byJChw2XpspUK&#10;TAB5GWYnRZ+iwjw3zVAy749030MpqQrUeM+Az91hEUpmxcOFZwlQSfjLZmHxrviX90d4jjRyvGmA&#10;0nPnLmjaI00fi3sAdu4bow+AWDh/vsbXnRY4CoEYPnUCFsyb7whMLADHwJLql2JAGcccOWyYNtaC&#10;mAqhdcumQImOitJzki3Csci0ePjggTx+/FheGACCEWC9kC0EoKfJIMfFgHMO1lRFAibcE0KYgvtk&#10;nhZWAG/fmecGSZRnWRB5/NVXmo576MABDQnB2eHdUeSqJOvoFGYAwPbvi1QuzYB+/bWSMwClT+8+&#10;MnHiJFm3br3s3x8lUVHREhYWpiEcCK8LzJykPslkA46pX0JZe2oa0XOFkNA7f/ubh0xrpH3bdhpe&#10;JDOMjDFAsTtKdwAK4UpReh4d5NQqw5e4wMTH+K//ep2B8OqVgoVkg+BtvYxw5Q8kq8eBv1kDh1Fk&#10;942hA2QQ5oFgmpew8+bz3oaypAVjeiX7mhJ5qfoKiXTFyjVqTL8018JOl931xx/4DzDB/X/QKJnh&#10;RiG1atlaho8YJUuWrpDtO0MMuDqkAA9CcWGACcACcEgoBsIq4aHNW4IVjFDmfvfr0BuZP/sio1+D&#10;k0wFoLxDACmgBp5Q4GYzR8x3mR9UrXz69Jm6/Yt7YMQgo5IRs2DuXANMajkucPpUfPjue1K7eg3N&#10;+EBZeA8LvgERAB1CN4QShg4cJD3MThTjRggI7gSAJdvcKztwjLE7/GcA/ACHeFz2hIcr92ewAfER&#10;5udnz569/pR/jIdGR9JLZYMBICOGDVd+SSMDTjq076BEV0iupA3jVaG0/HRzL6NHjVIvCH1wACQQ&#10;Y2vVqKFFIN9/5x3dlePhxVvy7ltvSYd27WSpMYr0kbpp9DCg0R2lO/C8rjbvsDbvybwXp545vsQF&#10;Jj7GfxqF/d1338tdo/wxenhI1m/cpDt0DDidhDFIABFvI4dhtO59KsHCTchLtFpsrmOUtHB9eBcI&#10;f5BFQnfk5QaYxCckmb89lFs3b2p82t+AyaGDh5Sd37Ztexk5cowsWbZSeTyEWwAGgLzCABO8JXhB&#10;CKvtjYxSwXvEcbOOn5SjBsAdNs+KAm4AOTgtUTHxCoj4DN9lPhC+gxRNqI9wED09qPXx22/FnxWR&#10;X2DC7rHaZ5+bHWkL5SLwHe+BQQM4EUpIiI+X1StWygxjGCiMxK5bAUlyshq8e3fv6u6c3T2Axh3+&#10;M8ojMFm/dp2SYKlLRKZd3Tp1pXmz5poujPekd8+e2k+nXZs20qxJE2lQt540qFdPmjRsJM0aU3q+&#10;vtQx8x6AUqNaNeWsQIwnw4eMMIjJZJE9N/fvhnJKf8C72hwQYEBkC/N+Py8Q18QFJrmGDeHgmn3y&#10;5Kk2iYuLT5AdO+mLs1HDHnBLIEZiCOmR4m3kMIzeAgh4kxTGmBZFOCchJ4wqRhZehAITs+PnWthV&#10;k2nhb8AE8tu4seOlQ4dOMmr0OAUmhF3wdAAS8VIV5Fnad4TXg67EeF94HvCAABpwhyAi37p918PJ&#10;OXdeuSdkAQGIaN5IeCcuPkm5OhF792t/HKoB4416/PiJeiIwGsU98gtM6NQJ/4Qun2R+oCwYdp4T&#10;EsIDAvly5fLlmjqLUoefsGnjRv094QV2nKwJFHxFCsdUlFGugInZ/MBH2rhuvQweMFDBBB4PSKtf&#10;GIBSzQAM6pp88dln8slHHyk/CqP21l/+ouFl+CSEf6gc27pVKwXdzZo0VcDSpJFHCPnQe4eNwd+N&#10;7nCBdOkP3jNFFHt266a9cPCaOOkoJ3GBSa6BixpOABOa7Ax2yXANCOFQVI2MGpjhGCq8HRh5J6Pn&#10;z8I1E7rg3uBQEH5YsWqNhihIiyYG7G/AhF39kSNHZOqUadKjR28ZN36ickwABlnHT+S8j/wCEz6H&#10;V4sw2vmLl5SnAq9k7779Wq0VoAOhlc/h0bprPqe8HPMs4KGQEk5oZ4eZG2RaUQ0YsIJXDfB66tQZ&#10;7UT99797sgKKe+QXmODmputw7x49ZHtwsPaGQUljyAAbN2/c0BANvATIrQP69tOiSHw2LS1NgUxJ&#10;ACt3FO8oT8CEbC9q4ezcsUPbJFQ1AOTjDz5UQOLpdYMXpKZ6Ppi/Wuvkz3828hf9XO2atRSItG3T&#10;Rrp06qQNAfGuDDSAmmwcuFT0jyIbjA0Nz8YF0qU/Hj16JLt27pQ+5t00rFdPQ8pOOspJXGCSazCJ&#10;ASW44bOyjqvhW7dhk4ISUoFJC8aLYkFJfg2hPwnXDT8CIAJ3ArIm5NeEpIPm7/4LTEghnDt3nmbk&#10;TDYAZenyVerhIKUQnghAoyDABFCC14vvAzQgrpJ5dfbcBfN+7+ccj+eF8HnACgDlSHqGnpsuwtt3&#10;esrPbzHfB5jsDgtXcizeCEBJSezWigJMuCZACZkkyQfp+DpPG/wRvqGE9I5t27RqI54UN2xTPkZ5&#10;AibfGMBOCX0yhiZPmKjA5NOPq0h9Y7xatmipnpAmjRqr1wTOiBK4X6cCf/7pZ9o9mPTiLp06Sy8z&#10;r4cOHqyAZPHChRIeFiYnT540+vuuevpcD1/ZDReYFHEwaZnAVlmTmULGCrtoPCU0uMOrQJlxXPbs&#10;pgsDSKyByy2lDW44J2mx8Ci2Bu9QY7p85WqJT0wyk8k/gQnvJivrmCxcuFiGDRshU6fNlGUGmOzd&#10;F6VF7gARBXmWfJbQD+8SDxjAhFAO4IyqvU7f8ZbTZ89r6IuMHciyzI9Nm4PMv0HKR8LbVpKZAIUB&#10;JtuCgpRLYomupPVCdB0+ZIj07dVLqDoasHGjpB054he1L9yR/8FcgwOUeTRDKwFPmTjRb4EJvVRw&#10;8xMmpDhg35691PPR28zB/v37S/9+/aRfn75a9ZWKrlTWpVw9/+/fr7/yzCZPnqz9suDCrVyxQisP&#10;U6zvrNk0avjGbGRcXknZDheYFHEATJjIKOM7ZnFTVRDjQgG0tesDlFtCCAdOBpk41sXvZLDyEpux&#10;g7eFfzGm/K60gQm8GFKZyTiBrLnKAK8lS5crl+ahmUzlBpisMMAkMkqJrzzHggATKusCHiA2U38k&#10;1tw7BeaoWXL1+g3H73gLvBTSxSEME+rDq0bW1q6Q3Zo2DLG5JEivdhQUmLCzDNqyRYnNfA+iK/VJ&#10;CN/Q44V/IQviYge04AJ3R/kZ6K/Lly9rGi5coTEjR/otMAFEvXr1SuvwAE4IuwAsqHZLL5xFCxbK&#10;cjM3qXy7wQAXwDNNHwEetEGgZktqaqqGGkld5xjnzp6Va9euaesEG75xM8fKdrjApJADQIKbD2RN&#10;7QXCNxgqimNtDDAGe8169ZYQwsGbgHve1hrxNoD8jGAYEYwk8uV9A0TMZy0Y0RTiGzfV8AFuCD/w&#10;N77jbfRKSux1cv1km4SG7ZHVazfI0uUrZeGiJRITG2eu5WE5AiarZZ8BkIUprMb7gdx6JP2oJCQd&#10;UIEAq20Bbt5y/I638P74PsRb+xzxPjF3IM7yHFGOJTUKAkwa1K2rBDTIhihwD9F1hXTr1PkPRFdc&#10;4ByX6/aH8A3r065RjAzrtDyIDd/Z6y+NQcjtuAHKlKInq2qIASWDBgzQsI6/AROeDWIBCnVW6KRM&#10;awIMWYSxQxRTTDMbBoqxEZbhHvgs4VHuFfABGLOCfoCcbeduaT57dzgPF5gUcqBAfvnl7wpKbhvQ&#10;gKeEOhZk4OApQTSEYwwPqbWACoBEbi8H/+f3AA0MFp+jTgiZL2RyAHZolpd2NENSjSHhWFQQhbDJ&#10;d/i+t9ErKVHQZIRME1Jg4ZfALcFbssAY/Bhz7w/MtVQWYAIBmOqu9NkBlFBCnvcFgHT6jrfYMBAV&#10;YWnYBzCB9MrxyNiifsk//1lyruR8A5O339Fy9d06d1GviKcnyxb9mfDOrBkz1fWf7odEVwwL14Mh&#10;IsT6zddfa+qnPwu8HK4VY8m1l9aunb5GtJmnGu+oESM0NDewXz/lXPgbMLEDAAGY4Fk9e/pUeScn&#10;T5zUcMxlA1RoQghRlucJEHE9IOVruMCkkAPFYYmulA8nI4M+OHQOBpRAhiSEQ3VUS7C0XgdvIwUo&#10;8ZAir6tRouormSKpR9Il8cAhLT1Pe36yOOAxAHQIC/FZvocHw/t4JSUAE7JL8AhQl4PCahBIFy1e&#10;KvMXLJLo6NhKA0x45oBDQjGE7QAUx4xS1BRh856dvuMtvDfeH2AG7tGadRu0Pw7eEr7/jQG77J5L&#10;ahQEmFAdk+63tJrHQ0I3X4iu9FPZvm2bXLhwQfu9+BvRlWvhmrg23P6UuKbirD/L1atXtRIuxEsb&#10;UiiNAW/oQFKSTJ86Vfr27m2AaGcFJ2G7d/stMAF48o4BHKxvPCLffvOtPjvACN4Rb4DnekDK13CB&#10;SQEHBgM3Igvgzp27cuLEKS2aRqExwjcIvBJKz8fGJWpNCsI48AYwSPALMEpWyOIAuFBinmJbeERI&#10;KYVICcEULgdgBGBC7QuyOfgMO26OWVoeE87D+a5cvSbJBhhxv9QCwdjPnTdfS0CTtVEZgAkN+WgP&#10;QIE5wCekZki0VOsFaDp9x1v4HNlZNA/E88R8AeAwT/CWABxK0sjnF5hQYI3sBgiEVMts17qN9DOG&#10;C4/Jxg0blOiK4S/ugSFhN4xxVoNjgBreBPrJfPXVV9q1mMqQ1My5ZYDy9WvXtBjWpYsX5eIFj5zH&#10;22jAYsbRDC3yZjsB+7PExcZqGXQP9+GENlkkw8neU0lJVmaWrF+7Vvr36SPtWrWWtq1aKa+IPkY8&#10;c3e4o7SHC0wKOEDhKGNil4RvMG6EbwK3eGqVYGQ8rvndarDOmYVPpVQPWfKMFtnCCOVIVIxWDcUz&#10;QigoxoCRWAN0EhIParEu6oUkG6BCGAfXPzyGi5euyC0DEmxoyMn4FbfgJcBbgvGkZDp1OwAmhHHm&#10;zJ2n/Snum89UDmByX8NrZNXw7pNTjihQtBwip+94C5+l3gnvmoJqzBmqwvJ8v//+lc4xfwAm9Kig&#10;9kNNA05aNmuujdMs0fX0qVMavsErUZyDna0F/oAQgAfG85h5f1T8JE00fHeYVpXdtGGjrF+3Ttv2&#10;L5y/QK9t8sSJOTJt8mSZPnWa1laZO3u2zkt/lnlz5qjXgrTr8WPGahqr9/2UlIw167Rrp85Sr1Zt&#10;LQHeqF596d6lq+zasUPDIe5wR2kPF5jkY/zuNqTU/Hc5RFcABWBE+SQGmGzZul3/DzDBy4HxUs7I&#10;VQ9nhBCM3SFboc09acXB23ZohgY7cI6L8cczQpiIzJFsA2ysh4SwSkGNaVEFYwy4YqdPCINrBpgQ&#10;xpk9e45ERu5XQ1UZgAlkZDpCAyqofMt7BVQASvJDRgasHkxO1To3zJu1Zh4kHjiopFeMMl65knQ9&#10;5xeYUAOCdvBU1gSYEMIhJRhQgkejsC7y39eTh5SKu5375j3hJYEPAvCHvEhhvNjoaGMkd2p/FADI&#10;pAkTlaAJz6V75y7SvnUbNaZffPKpNhxEPvnwI63yye/btmwl3bp0kQF9+/q14KVo0bSpVP2UomEf&#10;5NxLSctH5v1SHfUv//4nDd9V//wLDd9tDQqSB2ZO865dKV5hziPMf4S1wJooyXVfnoYLTPIxmDQo&#10;zG+//e4PRFfCK7Spx7hQajx8zz7dQeNNIMPi1JlzctuAGHbSkFUx6oRp+K4V6p0QtgGI4GGhTwoh&#10;HUIFhHngLeD6B5SUFp/ESQAmeH7gQXDdmzZv1UZ48+YvFNqNR+6LVBd75QMm27XNAO8Y0JifY504&#10;dcbMj1jtncTcIVUYjxhtDKyS8idggvGiquumjQE5RNeieHT4Lp4WuhGTXnz50iXJyszU7rbMI0BI&#10;4KZAWbNqtaavLluyVJuqQc6k4yjdi+fPmatekLmzZsnsGTO1WWDOv0bmmN8vMiCG1NF1a9bK5k2b&#10;tEicPwsp2WtWrtLOufY+SkMmTZgg7Vq3VlCClwwgSm+ZuWbDkZKSoiEyV4pXrmZna+Vk1iEcKEJm&#10;dNVGV7nDBSb5GiBciK5MomPGMFuiK1k3kFzhftCEjaJZhGboIEymBl4SjBWCYQdc4HWAZ+It2Vev&#10;6+8BIHhY2H1j6CBC3rnrqVtiPSVOhq40hGuxXXSp2UEa9GKAybwFMsMYhL1798qXxshURmBC/RJL&#10;bnb6vLfwGXhHlKDHWwYoISOHQm3PX7wslV1TfoEJO+i3//o3+ezjKjJj2jQ5lpWl9XoAFUW5RsAX&#10;oIS6KPApIFkuX7ZMJo4bryTb9m3aSpsWLaV18xbStWMn6d+nr4wdNdqAjdkatqFuBbUp9u6JkKjI&#10;SEmMj9fjkDZKd2srN83xyc6geBhzEw6UPwsgDe4MBsv7PkpaTpw4YQDebG3YCBilkyseJzJzaJYX&#10;GhLqSjFL5N59khCfoNlQ8IkAK8wB1qY7XGCS50CBYtQI3+ApOXHipPI/MEiEbyiiRq8TQElcQpKW&#10;aSfMgdDaPvvqNUfD9N/lj5/xR8Hwnjp9Vj07hCAAJtQwmWd2pTOmz/BrYELPmczMLJlvrnXw4KEy&#10;ZeoMA0x+L7BmQzC8C6d7zy0WmODxUI+JMfBv8phwfEizgNOUw2lKHiaURyhoT8Q+OWWe0zfffPv6&#10;ikt2FASY4OKn7DeeCoBEQQEJQOsfv/2WkyHDHCEDJSP9qIZotm3dKsuWLNFd+5CBgzQ006lde01R&#10;7m1Aygg6FU+cZM6/SDYHBkpE+B7NIMHDcva0hxx63RhXuBCsVa7PlfwJ+g0+04P794UW84S+rJcM&#10;YNKjazf13qxdvcaVAggeOgAd/zr9HeHvARs2ytYtQUoy3hexV+c14J85TcE7SN2AarhWrB2I4Mzx&#10;ypBpRHYauqFrp05St2Yt9eY56SgnqfDAhPDNy5dfa/YNO1o8Bexu8ZJ4wjWxknY0U1JS05S8uDcy&#10;WsEJrn3CNtdvvLnYVnkRDK8N4xDCIpSzcvVa9UIoMDELy3+Byd/l6NEM5cL06z9QJk2emtMrB64Q&#10;YAGvVP6ByX05aoAO6dsADEJweLwALIATp+8ASq6Z+YCHJj7xoIdbYsAt2VtkX9F/CABcGiO/wISd&#10;M0XWalWvLsuXLlXvQ0EHxo/0TdzVp06elLDQ3QoyZpk5g4cEoudULRE+Q8EPyhxuAwRXgAvK+khq&#10;qipserlczb6qc4z2908eP9Z0Vrwv3BPnckf+B/qN50fhvAVz5ym35O2//FVBCfVrBvbrLwvnzXc0&#10;rK44iwUcFKvjZ6fPIMx1Qo9TJ03S+U9LB36m/8/USZO1B9XqFSu1w25iQoKuHYjgZKeRCg04qcjA&#10;BO9hYECAtGreQj15ZAg66SgnqbDAxO4oyJD40hgsbdQWFZNDWMWo4DWgGRvhFzwJUTHx6p6nbgm9&#10;cgjR4GVwMlLlUUh1TkvPVB4NNUzY6a/bECCLFy8tF8AkLS1dppvr7NW7r4yfOFmBSVh4hPKFeIf5&#10;DcUggBiIzYTw8JpQRv5NdWUoTHfh0hXJPHZSIg2gJRRIKXrqmJB9RabOd999nzP3SnLkF5hoVs77&#10;H0i92rW1pwjvNr/D3gekVgDEhfPnNWQzdvRoJaSyCyILpG2r1jJy2HBV1HhDUMBwWAAzJf0cKvuA&#10;00C4K/nQITWGkG5pL1+7eo2c90KJd7g+ruRPIGgTasQTAkBx+gwy0+iiIYMGSZeOHZXf07JpM33u&#10;PH/AISCxRZOmMmTAQFmycJFZO2FyNP2o1uOh2i0eyIrsNcFTxCYFrhMcN7x4TjrKSSokMGHX9fPP&#10;XkRXY4BI66SPyYaAzbJt+y5t2ob7/tSZs8oJoQYJDeG2md0voQ64GBgpDJiTkSqPAnkX4i73v9kA&#10;M4AJpfeXLF3m98CEnWFycrKMHTtOOnToJKNGj9WMIrwVHiB5Wnk++QYmBnycMPcFRyXEAAvCeITu&#10;bL0ap+/cuHlbjp84rd6SkN17crK3eJZkcOFlu3bthjwzSsd2Fi6pkV9g8ud//3d5+69/1WwXuq9i&#10;xPI7AIMoUNzRB5MOGCW9Qcmqk8ZPkDEjR2lqL2RWdpZ7wsK1fseZM2f0uuBz8c5cYFKyg903Xij6&#10;zYwbM0Z3phhG3jc9knp07apAkrRrV/InpKfPnjFDydczp013/AxChV1qAgFMOrZrp/Vj8A40N2CE&#10;DDgyzkabz7BOIHvTBoL+P3hhAPiQ0Onv88KssYroKcSOrFi2LMdbQljZSUc5SYUCJnaH9wei6+uK&#10;rp7MiWAN4WCMIC/SRZYUXgw2Jdp3m9034R2PW/9GvlNHy4NgsLknyL2AEYxqkAEmdMNdbhaMvwMT&#10;dhdJiUkydPAQaW4W/dChw5W4yzuFI3SIejPnL+abZ8K7JWOKbCp4KvujY5RXRKiL+cAxcgtemcNH&#10;jmrtE3gphHHopQQ4gQSLJ4qMLDxtz549z3HVloRxzi8wQeAc0D6eDA2Ikm8a9prZjV+9ki1JCQma&#10;GdO7R0+tg0IvlqDAzeqevmQA/Jf3vlSiGyCGUBbvqjRSpt0h6smCNBykXaKHSo0vqirJEC/ZF59+&#10;pkayV/fuMqBfP1fyKRCGqZA8eMAAGdi/v+NnEEid9KCCQwE46dyhg6e6svkeYJCaNmtWrVLjTBdk&#10;Qp6sodYtWpjjDtBMtZioaC0s+PfXIL4irRc8Q4sWLJAP33tPdZCTbvIlFQaY8EJRhE5EV9rS43KH&#10;8Lpn734lLuK2h0/ALviyMSTwTMKMYdm+M1Rrj8DHcDJo5U0wqBhrDPElY2SiY+I1lEXZfequbDVA&#10;bMWKVeUCmFBVs0+v3lK/Xn0ZYoDJ8pVrZFNgkMcD9rp5HuGc/ABKeCSeImnHXrcNiNMKvXjLKKLH&#10;nIBzQnYVnjPmw/kLlwx4OaAeEgDuFiNkdQFKmF+EhPC6AU747tdff6PXXRK7IbwRGCXqkcAdaVCn&#10;ruMCt8KOhbTSNwETiK6//fqbljiHKJsQFy9rV69W8mpf8+xHjxgpmwM2KSBC8eAZckfZDUivVMRd&#10;uWy51lEBmMAvYZdav3YdNZjUrhk/ZowrJSToSDyIrI0JY+FbTdG1hpcEUjh8LPQpPBTeESE2SMnj&#10;xozVDLW42DizLm/Iyxcv1EtZUcAJ+gGeDeR7J52Ul1QoYEJDPlIhPUTX4+opoSYJRgRQQuYN9UXY&#10;WdswDR6T02fOqRue8A67Z9rZ+3LnlzcBmHCf3O+Zs+e0Ui19XQhp7dwVaiREVq9eIzNJF/ZjYIIB&#10;jI6K0kyP2jVryfDhI2Xjps36buF6UNgOTxfeCkCEL56IFYALz+Ti5SvKUcFbgseMfjfRRlHYpn70&#10;z4GfRLn6jKxjCl7wlCgIwdMSFavf4/8AYLK8SDXXXkgXL8tX5lyAiOIeeAXxmlDEjNokjes3cFzg&#10;VvILTABRFEdjDhw6cFB3dUMHDZZpU6ZoC/qo/fvllHkm1LvBK4lnxB1lN+7cuSP79u7VkANrA0AC&#10;OKEFQZ+evdS7FbB+g/ZEcqVkJHjrVtkSGKh8FDKjtIKxee7we+hbBGBZvHCR/h3+yto1a9Rgkz7P&#10;3wiHhoaEKDmcZoZFqS/kT6NSAxMACS8ShYqnBEV98qSnoiu7WDwDuN3DIyJziK428wKDTYYFYIUm&#10;bhgnqncCVKg94mTQypsATABZGGwMMFksABNShXeHRUhY2B5Zu3Z9uQAm1A1o37atVDeKd+zY8ZpZ&#10;BCcIoMD9kG1Ehg6ekDeRlnkugBfmAgXwCAXxPPCY4YHZGRIq+/ZH6XzQonkGpOBZIaOL8A28FMAH&#10;cwfiK+HBHTtDZP3GTQqY6DicdCBZLptjw3X61396qkIW17Dz/lsDDqgV0LxxE8cFbgUyHlkD9G4B&#10;0PA8AUzs0AAXpAMTeuL/zIHjBoRtC9oqI4YM1R47uKUzMjLUS0PKI5/l/BVld1deB0CTrA/4DhAw&#10;P6/yiXpKCBnMnD5d0zUPp6bKyRMnXCkhOX7smBw1+iE1OUW5PmwUZs+apR7Gpg0baXhn8YKFysOi&#10;5xM1Z/aEh6sXsmfXbppiP3G80Wc7duj7ZC2W17Vl9RL8OkoAoDcqJTD517/+U93l7N5uGYOKp4T2&#10;/WTXwKXAyJBBQTddOAUYLFvojJ/JxsHgwL0gMyPtaIYSICsK6ZX7JBxBrQ9CDLZFP9wMPEp790XK&#10;BoPkyxMwqVOjlsydM0/Jy6Tpkva8zoATQAMp38yBqwaA2pokiK9nw2d4PswDvGYQaTkmwDYmLl7B&#10;KpV98abhTSGbCRDE/4+fOKXAltAPAIWwIe0K4ClByiXrKy39qAGGd7Tb8C/G6BcnOGHAA2G3Bfvf&#10;aYFbIW2YXipUYeU5HjxwQOuInDl9Rq6QjXTjpoYFHj58KOfPnlP+CFkJVGcl2yNk5y65ceOGghqA&#10;jAtI/GNQT4ZmjBAtGzdooKXpGzdoKGPMbpxKuZCW6XhMlpQrJSNwvWhGeePadU3bTjcgBe/uhvUb&#10;1JNF+jBCOjdrjzYNmQbkh4WGyrLFS1THwlWBnH40PV25Wui74tYVpTHQC9Ap2LycPn1aPUcUeHTS&#10;SXlJuQcm7NwAJYRvjr8mum7aHKTGCuNria7WxW9BiceTcE9JrxF79yvHIOXwEXXbU1TtTaGA8iLc&#10;K6RX0p/Z2WM4V69ZL1uCgpWXQUfhgIBN5QqYNKhXX8MKNw2gIOy23YAFOkLjIeO9k2EDuLRcE1/A&#10;hN/zdz6HVwkwQzYWGVrwjACqHAtAQiiQ+UTIBgCEhw3ODh6XW7fvqieO7/F5vClBW7driIm6OTz7&#10;O3fvaofd4s7UyS8w+Y//82/y6Ucf5+zg2KFBytuyebNEmN1bUkKiAhUUa8qhZNkdEqoekx3B2zQF&#10;mJ0hBaLwTFb0wlDlaVDICx4DVXZJT33H7E6bNW6iO1X4QTRPpEYM3jFXSkbYGKOffjKgnRR56ASQ&#10;wS+YzeChQ4dknXZ97quhNjLYeCdUBwbok5kDMbZZo8YyavgI2WtssGbqvHhRoll9JTXQC2xeKCiH&#10;p2782LHy1l/+6qiT8pJyCUy4+d+Jrt8r4DgO0dXsbC3RFQOiRNfU34mu1kg9eG2QrhvDBhGWLsKQ&#10;Fun8SxgA7gEAxsmYlTe5/+CRZh9xb4Q62PETygnevkNiY+OVeBUYuLlcAZMmxriym6c3BdwPgMKy&#10;5auUDLti1VpN3SX0AsiAQ3TLgA48YL48KPZ31nvC9/C6AEzg5ISEhmk4UPkjBqTgXcNbwmd/f84P&#10;lTALCMZzAreJzCeuDa8LgJc5R6iEuVtcuyEUIQXP2rRsqV4RAIjTQkeoJUDdEZq7DRsyRDv2skuD&#10;gLcpIEC9IihGdtoL5s3XLJ4VSw14CQyU6P37tTswJeNtj5BCy82bqpjZbaLAUWJPHj+RJ0/KRp4+&#10;eapFygBehINRrGUt3plNebn1WZsU+aKmDKRXQnZtWrYy73SFHMvMki/Nbv7vv/z99afdUVrDZobC&#10;AYrct0+5JF06dNTNAAabkA2eEQoeEvrp2LadcrnWGxCDNxPiOccob4N5ygaM+05ISJDRI0f6rF+C&#10;rkJn8XeEmks2e6dcAhMWKkgVRWKJrlrRFaKr2dV6E11tPRILSqwBumsMFYaEdFEIlBgcdryAHIwY&#10;n/c2XuVVuFe8B+zwSWcFuEF8paZLYtIBM3kSZfPmLeUKmDQ1u4sd27brzuS82ZWQXbRw8VJZvHS5&#10;Fl3DawI4iTMAAUB2HmNqAApeEbwjFqDYZ8S71jlhwCufO2PAzpH0o1r7Bg8TQoPHfZHRyis5c/a8&#10;fs473MfxLJcHLw6hHsAMtWKoLsu1wGWhZD1zF4NTHOPV969kX0SEhmlIE/WlBKghgIufDA1tjrdg&#10;odZVAJgAUOAjaN0G8y9pp4AXuCUdjMIkgwClSf2SeQaskAGycf16o1A3FkoCDfDZuWOHKuy4mFgN&#10;G6GMqYNSFpKakqru91MnT2nqJqCprAXAhoJnrmCgfAFZ+A3jx4zV9GBKfr/31tvS2RhAdubs2B8/&#10;fqwbOHeU7sDbwSYEcIIncvWqVTJ+7DhddzR6TE1JUWDO+4FQPnniJM3oIfSDNxgiLCnE5W0ATNDL&#10;eIMIZ40cNsynTuL36CwANcLGifmLripXwISbZoGi1NnZAEqU6GqUGx2CMbiUF6euBZwSXPOW6Opt&#10;iDBO7KLPX7ysu1u+y3cotmYBjP1seRfuHa8ChhHgBjDZHBSsmSMHDx6SxMQk2bIlqFwBk2aNG2v3&#10;WsIYFwzwpB4LHZIBJwATwjp4KwAEvF+yachIAohSowSgCoiAYwTJmZ/5HSEvQAzet+TUwxoG3GbO&#10;A8ihsSMk2LOv+/Lcd5gnFuBcyb6mnyWkQ/jHlq3Hm8Jn8PIV127oh1evJHp/lLL/KarFwnbymrAz&#10;6dyxo2bZQJYN2bVLPSRawdIAE1yu7G6GDhqk9RjwrFT7/HMND9SoWlV35FR7BaxQF4PPDR8ypFCC&#10;spoyaZJ6ZVYYkEN5743rN2jWQlnIlsDNErw1WAmJpN5SF6SshTRwXPo0haOH0Ncvv9a4/c8//axA&#10;g/mDpB05IsMGD9HdJooecAJfAUIsnilCAuVx513eh7VVeL3ITsFI45kE2E+fOlXfD+RQjDierSCz&#10;OWRjMGzwYF2LtHLAG1qc3tXSGP/XXOuL5y+U+0SDTu7HFzCBFPv5J59otVykZtVqORViyxUw4QWx&#10;yHBzPjAGAAOifV9CwjSeT5iCnSpFsCzR1Qlo8Ht2vAAR3OwQZDkOBFHvz1UEwYhCziS1ld07z4jQ&#10;RFR0jKSYnWJS0oFyCEyaGKO6U16ZhYvHhOufO3e+LFy0RIEJoIT7xAsGGfbAoRT1GKkYwACXCA4J&#10;RGca+VHDBuIrf6eOCV40AA1pwxRe43d4XsjWgkvyJuB689YdOXn6jCSZ75FKDGAGDMbFJ8nZs+d1&#10;7jKHi2P8+MMPyiUYboxTnZo15aP33/cJTLp07KRAYJ95jvBIjh8/rtV02bGF796tjcho3b9h3Tr1&#10;pND8DSGkM2fmLPWs2PoMSxctlmWLCy+kSFLCHqCE5waAlLsXSWkIlTgRSMH8y73j0SlzCQjQ8Bqe&#10;D4zWNgOcYoyxOmHeGURLAAthqHizKRvUv7+GcFDo/NurRw/1ohEqICxUXN45dxR84DnhPZ08eVKz&#10;cmabddSnVy9dX/C2MOLZV7I1vMPco6Abf6fXFOEQNuC/lSOPFzb6sdGB3Ftw0Fbl1gCac+sjdBRE&#10;7To1aiq/BoG8bavElitgwkvGtYl77NKlKwomyJCgyBZuc1zt7I6vXL2WQ3TFiOQ2JDfN3y5cuqwu&#10;d9JBI/ZGGuOVrK52789VBAGYUHgMMEIqK+mwGFvu+8iRNDlg/i2vwIQdBQx3QlFz5s6TBQuNwTPA&#10;hLlg7xGAAcmXbKStwTu0IBqF0fAc4VEhTAMPBE8b3g3+hXMEIZoMHcrU29CNDQW9CZgQ4sEzg3eF&#10;jC+uhwwxwkE0iLxo5i7XXhwDw0MYhKqSTRs1kk8//ti3x6RDRwUEsTEx2qKdUAHhULg6uJQff2Xu&#10;69Ejbb6FUsQAIvBCLl+6pD1wMtI9aZF4Fgor8XFxBgSFaE0HCwzKDpisVPc6oGvyxIlasZNuyGUp&#10;eJUwTnBFGtavr56qRvUbyOABA2WjeWaHDh5SV/+Fc+fV89Wvdx/1lABMeM/ULyG+j2fFpnW7o2wG&#10;zx5PF2GbNKNvCZXyLkcOH67NLUm/h2OF3gW4YMjhi7FOAaFkyrHGy8vgfqkETVo065owsCMw+bfX&#10;ZHyjsyjnryX9W7fWCtZ4fcsFMAGQsMB+NqDk6dNnr0uDp6uRxW2PJ4Dd8aGUIzmpvnmFZDAaeBHY&#10;JQNIYuMTzI44Q7NxnD5fHoX7R/AOpWdkvSa9btTwAh4BvAakslYYYDLnd2DCvMBbgTeE+yQbiVAM&#10;wAAwAhCheR/PgvLy/KsAxfyNHjgUUUtINKAk85hylJgv3nySNwnP3YITOhjD7QHw4JkLDYuQTHPc&#10;x4+fyq/UDjG7WV/ExvwMngu7rZnTpunCZsdBf5zcigCDBW+E4k+xBrSRHpzf86Js7IYAAEOtIFJQ&#10;CyuAHMIVACSKg5WlkHGEWx0PBSBlidnJ4lIvS8ErNWH8eBlgjFSn9h1yerBQm4TU7XUGUJE1RQE8&#10;iJP8nhg9O1Bk6ODBcjglpUjzyh3FM3gHcE3wfDDvyaCi+N3ggQOVZ4X+ArTwdxoxwjPBs0nn7j1h&#10;YboZwPNVXt4luoIOynj36GrdyegcdE9ufQTJlYaTbVu1kt49e6rQ14msQUrYlwtgoqDk55/lxYuX&#10;mmGDax0XOWnBZODAl0hOPaKudowBnpK8gAkcAFzz8YlJeiwIjRTmopmf0+fLo3D/8Gt4HoA4spTg&#10;OlBbA/4EYQy8ARURmAAyACSnz55Tfg2eC8J2WcdPKM8D4d4Bo4AzFTMf+D3eJRoCEgqEyAr3xPKU&#10;nJ6zk5D1xedvG1AIkfbAwRQtbAc4xFsDUOK9WCJsUYEJtQ/oSdG9SxepWa26Y7MslEO71m1k7qzZ&#10;ErkvUuPb+d1J8zlCqChYQkcoUTwthRWalj00z4fMA66jLAUex2WjU5hHGAHIpNSYKEsBtAE2SeGG&#10;IAyfirAOip6U0sH9B2iKKaE3iMikfwNIa5l3T+M+wEuWOY4LTMp+8A6wX3iv0K07DQiGSE5BPEBK&#10;hLG5NGHEq3Lm9GkFnTRjxHsHSI004JkuveUJmFwzmw+8P9Qwofy+L2BCheJunTtrhiBCjyGACjwT&#10;vwUmvAiEG6VTMArtljESGFVSXelPglDMCvc4hgRlT7aNL0DC7xG8KgcPJWsmD8CE8A87Y8I/Tt8r&#10;jwIw4X5If4aIyY4dEIc3AE8CVWAzzW6+IgKT0N3hCjqoM0JKL+EXK3gyABo8G+YLXjLCNDYby37O&#10;gtu8AO6b5EtzDMKKx0+c0rAQ5GPeAXwf0oc5B/eQX4DgNADsGFN2+7iB69Wu7QhM+B3E1WlTpmp6&#10;MXHtgpzXrkUreDGLIvAeUNj+IgAviIr+IhgygCA9i/BSAaB2h4ZqOIe+SDSZW7NylQLN7rRpqF5D&#10;4/QQl+nNAnm2vBizij7s2qGeDOEb+CWTJkzQWkJsKMjQQQ8QMqWpHzywiePGK8mcJoCEXZmjHMPf&#10;3ylrm5IC24O3yVhjO6iv5KSP8OrWqVlLSfsTx/MsJmhRQMLNn31cxb+BCS+D/jdPnjxVTgmhF3ae&#10;cEpsq3nIq+xyMS6ELTAqvgyJNTTspOGnsLNm93ra7Kbt952+Vx4Fo8duHxBGuAoAB8ck0kx8uDUQ&#10;hzMNIKuQwMTMC8CXLarnPR/4mTnAPOF9wxtBACWFBSC+hPPwDvDypaVnqJcPYELoCI8OoPH58xeq&#10;cAo78LhQYZEd9YhhwzR+7bRDQTnwN3ZrZKJQmr4o53VH6QwAHHOf7Jr42DgFJnhHunTqrDtqUlDx&#10;hLH7BHgCWCBRXjDrwh3+NQCZFMQjhAiHhHAO5ejDw8KUawK3C0AJcXnGtOnSqnlz/ZewHF5G5oG/&#10;r1mACbpl3Zq12qW5Yb16PjdKAGwyypjHc2fPVg8L3j+yC/0WmHCDKF36jLCrZcdJvQpACcodUHEw&#10;OUVd9YAKdsF57W75PcYaA4RLH+NFKIjj2t4q/N3pu+VRMLxwcUiTxaNErRayVeguTNiKHfsx8xwq&#10;GzBB+D9igWpe86YownGZb1SGpeQ9xdrooxNMN+ToWAWIfIa5XtjBrpp6FTt37NQdGD1znMhm6jqt&#10;WlU6t++g7zYzM9MFJuVgsEEDnODROXz4sKZfwidp1ay52WGOUiBCwUGUORwigMrO7Tvkmpn77vCv&#10;gSeMDJ2LFy9qLRMqwbJe161Zo6nd/A3yOb104ILhUcBwwzW5/roarL9nWKHLIGZz/XjvSAH2RcaH&#10;T0Jq9PKly9RLBAmd+UyJAr8DJihLhJf48uXXalgolEZWBRwJsipwiVPlFS6A5QC8ybAAOgAfuO/h&#10;l9CwjXg/KaL8jr9jJJy+Wx4Fg0jFV8IIPCueG5kheJgIW5Fmi9ekvAOTcwaYbg7cbIDJ3Bxgsis0&#10;XDsD46lgfpTle+XczC2uJT7hgIbU4PtAxKWyLKXqiwJMcPmjtKKjojW1F6Kkr/S8Tz76SFPyKJSG&#10;+9gFJuVr0ESR4ncUpWIn2q93b43RU3MGYEJDOFK790dGajaVO/xrsM7RYwAQ3hFGuEXTpkbXzpcj&#10;BnTaarCAFEjNbVu20vdNUUL+Dukcu+jPg3ukts7UyZMNYG6YZ5YgHr45s2Zrd+ZtwcF6z2NGjtKw&#10;pF8CE+u+pCkfXAHSPUn1pB5EWPhe5YVgcPGkYIBR/G8CJngQKKBF6ichIXrqhIVHKEgB/GBASmLX&#10;XFYCWCOMA6jj+eFpopAcoSs8THS9PWUAR0UBJrNnG2Cy4HfyK2RoSK+0HShrYILANaH9AeRjgDXl&#10;7QknAoppRFnYgaLCBXw0/ai68NmF+SpoREpp1c8+E4qjkbbrApPyNSww+eCdd9X71b51G2nZrJnu&#10;SslwGNC3n6Zdk63DnHCHfw274YboSo8cwhdwLAhhEIolxZb6NHhNKJpI479pU6YoZ4gMnrNnz2oU&#10;wZ8HtpvsIsLKeD7QOU66iM0TJfrxFlE+ICE+XonepO3Xr1NX/tf/+J/+BUy4MV4eFfHgfoQbYwk/&#10;AqNKOII+JRRCg9QIKHEyBk6CoWbXiqFmp4pR8HhdTunfnL5TngXvEIRgjCG8HFvvBYMNpwKDePr0&#10;mfIPTM6ek8BNgTJr1hyZv2CRAhPShSmqRiYOIKwsgYkV5iutE+hcvCs0TALMfCab7MqVbOVSFZbU&#10;xnp5/uyZVlokhZSaFr66ebJLoUZAz27dtRLlv16f198Jde7wDAtMeIfUgCADx3pLMAIjhw3XQmxU&#10;EoUw6w7/HKx3UofxFEyZPFlDsIQ0tm/bpqXcSfQgHEJhPYoQQlhfMH++ZmrBU/HHNWuviZAjXKi+&#10;vXorKHHiuyFsnvr07Kl6/NSpU8qTI7uQXkKEePwOmIAIiaXRORaCIPF4gAnKnFoU1OTAU4LhxQvi&#10;ZAScBGMMtwJgAyDhXy0xbox3QQBOeRE6J3O/cGjwDNE/hud4+EiaprFWFGBy1gCTTQGbZNbM2TJ/&#10;vgeYkJZLrRbrVfMHYEJIievhuiC/ElajhgpgGSCOC7QwygZgwnOgEBM7D8itVE50UgbwTNipwEWg&#10;0is7N0JBRQkluaP0hgUmvF/ACdkLgJLPq3yiAIUUU0IEZEVg3Nzhn4M1i2cEzhDdvWnP0KVTJ83Q&#10;gV9CQ0kaZR4x9m+z2XSNHTVahg8bpiXeCQPBK+MY/jTQIVwXumhvRISGGKlCbJvy5RaACaGsGLNB&#10;omwAoUeyjwI2BkjLZs39D5hwY7dv31FiJiEIwje4vaNi4rTWxLkLF3OIqgUJvVAmHFBDsat9+2N0&#10;Rw0JlmqvBQE45UUIT5GtRCM6DKFtJkd2iOXalHtg8t13cubMGZ3MM8z1z5u3UIEJTRwBn3goIDb7&#10;AzDhfUCAxVtHdg5EZEJOeP8A4zYdsKCD76AQqOJKbJd+N/SgcFIGCPHe1i1amJ31VlVygBPO7Q7/&#10;HxaYoNQtyGRXivekcf0GGhqgISFNAKk14w7/HKxZ7BycEbhe06dMldo1asio4cMlKSnJ03HbyEMD&#10;XqhzQiYWeo/2BPTd4bv+xjVBh6BL8NQRdmrfpq1PUIIAWpjLhK9wRACkKTRHzR64NX4HTEifRFlD&#10;0qQehXbCDQ3TEAQN1iiCVhAggVFSfsn1G1pIDTd/xL4obfLH8TDQ1Jtw+m55FgxhRmaW1mqhlxDg&#10;jh06oSwa11V0YAIgo2Ca/wCTuzqv6dEDv8k2GSQ7CkVTWM8FSg73KeCGfhzEpek065SiZ4UmiKTz&#10;UYWVcvQAG3f4/3ACJoBQ3neDuvW0PsZps1YhUBZXLyZ3FP/AM2q9C3i36BfVqH59GTJokLZquHDh&#10;ghYgJGxDuwl0MNVgV61cJVlZWcof8rcy9egvj6fnqjbkxOvhRHpF0E0QuOmKzf2g2z0FVF9oqjTe&#10;o//f//P/9S9g8ujRV5pRQVt+XPKQXvGc4Aa3GTgFMTSAEsI49Cehbwk8FQpc4S3heHcKeLzyIjdu&#10;3lbviJItd4Vqd1t6AmUeO6HP0AUmpSs8c67FNp6EM0W/Hrw6T82C/uGHHwvluUDJ4dblu9SuoNke&#10;NS0wWL52LHATyARIP5Km5aN/+vGn10dzhz8P71AOAiBB8JrUqFpNa2NQiA0lD1h1h38Ou2Yx5uhb&#10;qsEO7Ndf+zStXrVKy7lfuXxF3yPN8EilxRPKv3hQ4GTQ/M+fBvr5trEb8EQWL1wkjRs0dAQm6CR0&#10;E7V4ZkydptVu8f4wX9HncbGxmm32b//7f/sHMOFlIXfv3pPY2ARZv2GTpvOSVkkWzoWLlzV0Y8VJ&#10;+TtJjhE+e07d+xBAASbU9yjM8cqLQLaE+Erq7DYDSnbu2m0AXqwaRheYlL7AY+KZU3cnLiFJu2HD&#10;+TmSflTB8zfffltoY2LXDh6QJcY4sfuirLMv4lndmrW08uQ+874ph83OzR3+P7yBiWZYffqZhnHg&#10;m3z+yaeyYvlyefjwYc58cId/Dvt+EEIYZMjRYmD61KnaJ2n92nVKfsULSnl3SO3U+Fi6eImsWrFS&#10;4uPi5YHRGf70jl99/0qLx+3fF6ktEcis+ZMDMPnLn/7k8fCZv9Ni4fLFi+r15V4AYocOHpQRQ4fJ&#10;3/7857IHJlwYDc1+NDs3imIRfqBmCa5uuCWEHyAxOin8NwkGGoIrBgBjhfcA4iuptE6fryhCyAtA&#10;RwiHnTncGoiw9BO65wKTUhc4UXjo6GqN5w4y8uagYC0SSCG8p8+e6w6qKAMC2aYNG6Vbly7aTvyd&#10;vzmTYMnggCSLy/VoWrpLlCwnwwITdpykDLPr5F1CfqUD8cb167VDtDvKz2BTQLXXXTt2aEYK6cGQ&#10;YMnAAZjAQ0lKTNJO3NSoQR8HB23V7B1/AiY0+KTPE7VImKM1q1Vz1D2A6tpGNxGaorwBtVvsffzd&#10;3G+60Uczp02XTz6uUvbABLcWruxnz19oijDFzwAm/EtvHLwdN4xSd1L4bxLqR2CgACOkauItwZMA&#10;AHL6fHkX6wHKvnZdeTqkpbIzj9wfo838bPdlF5iUrgBMyIa6nH1NideAEioP844uXLhodrqPtHt2&#10;UQbvbndIiDYIo77FB+++56gcPqtSRVnz7M7I5IEEy+bACooiv+KO0hu5gQkeE4pRkZFDptU2Y7Ce&#10;Pnn6+tPu8LfhtH7Qa/TIAYhsDQqSKRMnanGyxIQE9SAANOmFFbJzl0ybPEW79RIquWh0Bt/3lwGv&#10;Cc/PvDlztEvwF59+6qh7mLfNmzSV4UOHyi6jwwFe9j7YmNFIc9WKFVK3du2yByb/+Mc/5WuDuAgx&#10;0PWVsAPAhIZzGVnH5eLlK8oTcVL4vgTjjEE6f+GStsCH8BoTl6BGAb4Khtnpe+VdMICEBnhmADFI&#10;lgCTmFiyVI7JpcvZ+ncXmJSucA0AQjxZELm3bN2uwCQq2obX7slPRhEVZXxllBg1BFAOdBqmdLmT&#10;coB4Rhnz/n37yto1a7TYEzswupiSEQCz/snjJ/L82XPdCb0yu7ofXr1SgXSHAoHTwobCn5RjRR/e&#10;oRwN37xOE27ZtJkM6NNXU8AxEO7wzwHoh08B4MBTAtnzrrFrdIKOCA8XGnFOGDdOZkybps3++Nx9&#10;ozNSk1Nk47r1+u4b1qsvM6dPl7NmA+9Pa4/NDfwXul/T4+fjDz501D2EcSC3zp45S7k0ZB55AxNS&#10;hqnn0qply7IHJrysp0+fabEpSsRv275LgQn9RPCWoMwBLU4K30kAJdZAU2SL45Caidfk+MlT2nWW&#10;Oh9O3y3Pwn3znAgZ8NzozUJfIQw1O3MA2RWzY3eBSenLA+akuY6bt+9oRhhl6Qnn7CVD7Ei63Lh5&#10;U72GRdE1FFoDZBCiIcWQGhdOyoGsjk8/rqJxYKqFUrwpaPNmVSzsepIPJWsNBXZq7My0zoCZEwiK&#10;hOKHuJlZtyhbd5TO8AYmpFui5Okm3al9exk/ZoxWC3XDcv47APMAEoA/IYxTxhYlxMVrmGbC2HFa&#10;jh19u3TRYl1/rLHs7GzZtX2HTBo/Xiul1qpWXT0nkEb9CZg8evhQQ0xdDeggVANwdtI91N5B58Cj&#10;ocz+UwNo7H3AsSMdGsDSvWu3sgcmIKX7RuFREAyCKjt8dvqQBAERBS2mhoFmd4qXhawHMlPgWeA5&#10;oX8Mvy/I8cqLcN/cG2EqGsRR8RVgQnYT965dlK/fcIFJGQjvBiELDM7Ujl27tX8RNU20keTlK1oH&#10;oCjKhlomkFkpxETbdLJznJQD8ud//5O8ZYxbXbPjJqxD+Gfe7DmaRkyceKuZE7TZJ9RDfRTY9ghZ&#10;AqQEUnMABYshxKuSX0Exc59FkR9/+EHnAzvKXxCjwAsqpGuid2xGAEajMILXCCHVu6RBWm5ggluc&#10;NOE+vXqpl4zU0m/NM3ZHwcf/Ne/uP817dHrHuYX5gjB/mEfe8+pnMy+Zm3gWmafMV2rKMPdJp6UP&#10;DqACkueesHBZu3qNFlCjvUCfnr2E9v8Y7cOph+WZ2axjvBeZjQNrtGmjRgpMZkydao5xpsyBCedn&#10;zjP/79y5o+0Q4DpBvHfq14XAi8KmcO90If7aC0jzbNn4ZBw9KoMHDSp7YMILpe4GO0eIr+wmKQhG&#10;2AVDes8Y0oIYFwwvpFcyeah0CvGT7BR65Fy/cUuPx+7V6bvlWXhGeEto0ke9DPoKAUwg/FJFF+Il&#10;zwVvkgtMykYAzBS+AyyTCo8nj7om9HCik3ZRlA3KEK8G8eq5s2YrAdZJOSCk8v3lT/+haX3UT8A9&#10;TOx69cpVyvwnNZFYL4ozYMOG32XjRgkMCBAqUm4ODJQtgZu1dHZ+hLRIqkLa3hiFkUQjFKXKyshU&#10;kEQpaxTcubNnCyTUj7hp1gA1IchkIZbP7q1A8vSpeo8wPugwjFVJGgtvYIJgAAjjjBw+XHuOABzd&#10;DKvCDQ/P8QcNhTm+69cCGMc78MCsYzyJlJb3nldwJLIyMxVQAD4SzFzft3evklsDN23S0OnypUu1&#10;1DyZNmTjzJw+QzNZILeuNOuOjcH24G26MaBPDh4GOGM0vYNLtHL5Cj1vWQMTQAngjPl/zmyIuBeA&#10;B3PTVx0lgNUso6tTklOUrP/Dqx9eH+11ew3z/K8YOzXBALQyBybsfMi6IdwA4VXTW0PCFKhgaDEs&#10;BTEud+/d17olGKbEpEMSsXe/Cv8nhFPQ45UX4Z4AXnhGCImFhIYpMKFAHc0QecYAQBeYlJ3c+/KB&#10;dsUmdZt5TssFiv4BVr7++psiKRt2byxs2qqvWrlSU/KclIMVlEc7s1NDUeApAYQATAAoKEtSiqmf&#10;QKt9K/369NHQQYsmTRXUsGOvX7tOvgTlyq6QY1KzoTAybswYrXDKdVrPzo5t27XVf0EEr9KBxCQF&#10;OBiT8+fOa3y7IEJ/IlzPcHvwVvH8SwuY4ConVNexbTutHMo9ERqAB+SOgo9//Pab8iRIz3V611bw&#10;SJJFQz+ig0kHVGfaOcU8pDorc3Ph/PnKFRln5iyN+uBd1K9TR2sINW7YUDq0ayf9DeCgjQCfD9u9&#10;W3km4bvDFOyTmdK7ew/zvRYarkO6dOwoY0aNMufarqDIH4AJYI75j4eHnj/w13zVT0IoVQAwo4gc&#10;uoo1YwdeR0AOPLe5c+aUPTAhTfjChUuyJyJSO68CSiCrZmR5gISTgs9LCP1QURMXOYRXClrRVZff&#10;sWN1+k5FEAxw9tXrcuz4SeXT8Cw92U171PABSuCgeACMC0zKQvDm4R1JMO+HSrxca+CWYPVw4epl&#10;18CCL4zSYceOovjy3j1Vbi3MbppaJr4UBeGctq1byywDQuCl8B0yA/h55fLlqlxnTZ8ukw1AIcaN&#10;EPLp16u3dG7fQUENipMqj3kJIKZ5kyZ6rt49emqqMga2IAIooivyUPMv4ISaD+wwF85foLtPajwU&#10;RPAGkVpN0zvKYEMcxTAURPYafRkVuV/iYuN0dwy/B17OiePHCyynTpzUwlnsugGWTkaRzAyA3Ufv&#10;va/EZkJ1bVu2Ms9miNaEwDjSf8Xp+K7kLaS6HkhMNDpmr3Kt8OzxMx1vvYV3DohgzrBeAPPLly6T&#10;ZUs88wq9CagHcIw2a4V+MJ07dFQQTxdopFb1GtK0UWPp1KGDcsEAIXi8ANqbDbBZY4DKpPETpHuX&#10;rtLMfI73TMn6Af366XmSEhL+QBotq4GuQmcBMsIMoBo8cJCCZkddY3QQ3LYWTZtKoLlPiPboKnSW&#10;Heg9gAqhr2XLlpU9MHn16gfll8ADIYRD3D0uIVFOmN8VhPRqBS8LcfzwiH2yb3+09ifBMGOkvrxf&#10;8crPW8EAw8mh4iuEX4zemnUb9TnQpwWjiLcEroMLTMpGeP6kbBNW3BcZrXMerxY1Zx6Yv7EwibUW&#10;Rumw44Az8cLsRHADQ5ZjB4NC8KUsKE/PLgz3MMo2PjZWYmNitBkcCjrMHAc3tJXtwcHqkoawh5dl&#10;zapVeQq7QeozUJUUTwxl0xcvKLgwH+FRkOJM2Il6D1MnT9FdKf+nXXpBhI6t8HCY3+PHjJVJ5mfK&#10;+RdE2CHCD6DFO0Wh6O4LcBs1YmSBREmPBmxhjACJ1LHgeeUWrhUggrscY8XuE68YRq6N+T1do4ca&#10;kOJ0DlfyltFGeL68A8IqgAXm2pxZs/4gOv/MnAMYez4zSwEyv2de8S8ePURDNJMn63EB1/379JUe&#10;XbtpOKZD23ZG2uq/nQzIB7xQ/ZWsHI5jz8fvGtVvoN4WCLKUA8Bjwxov64GeumM2u/T3AZxBfPWl&#10;a2wWGfePTsFbgq7ybsOBzuOYhIfWrVtXdsAEhMSF4QYllZWaG2QqQNo8lHJYzpw7n28PB8YWA4Ti&#10;p2AVfXEgfRK/J4xBF1cbFnL6fkUQ7o37JB2VZxgUvMMYvQDN/KDInCVgusCk7IT5CQGb+Q7Rm1DO&#10;6jXrJS4+yczPOwrSWZiFASZ8ByFuGxMVrUqtujFg77/zrqOygGdSr3YddTWjBGnsB4GSxlpI8qFD&#10;Hjl4MEfwDCB8DiGt8U1Cmemo/fuV8Ear94D1GwosgCDSKXEDc614cchEyZGxYwskeGBQkm1btVZj&#10;z7/tCih4i0jfpMgZ2QZwPgCCBRWya6jgWvWzz9TV36pZc8fz4XnifGQ9AEoIj3FujoFnDKMAKdZy&#10;UFzJv0AkBuw1adBQ2sDlMIChc8eOmtr6B+F3r4XS6QDRSQakAiiYV3QKBpzQ8sEKnkc8ewBrAC1A&#10;llR9gCTnAVjCBwNcDuw/wBxjsvJP8FzyeX7PuwewpqWlKdHUH0J2eDvw5OF1BKBTn+SvPkivttrr&#10;SAPg42Ji9fqtvvIe9nfw18oMmICOKCr1+PETJamu37hJPSZa7TUzS41sfrNnMLY2VZYOxHhJqIdC&#10;GOfEyVNK+uTvfM7p+xVBMHrnzl9UXk3I7j1q9CjrTw0TiMD2cy4wKTvhWnj2hHPgARG2XGWACQXw&#10;IC2zFiCx5l6wBRk///Sz1j7AK4BS++LTzxyVBfKZ2cUQZgGczHjtUqaCaHEKx8R7AqhAUaO4Cyrs&#10;TqdPmaKKn7g9wGLIwIGFFowKOzwnAJBfwYDhagcgUOisZrVqUqNq1YKLMYgeF391Vd4cE0OUW9g5&#10;A0j0s9WqqzGDZ0LBNad360r+BZBOmX8AJmCP58s75Rn7EsIS1Asa2L+/DB4wQAabeUXhMDyQABU4&#10;WnhM5syard5C5j+AAw8LsmDuPAUtAA5IritXrND1ssEIYSHmPJ4WzgGQYeMAB4ZMuF+9uBllNfB4&#10;EAYjlNq1U2cNUfkKG+Pl69CmrYaGU41uQp/nNQgplxkw+fvff5VvvvlWbt++IwcOJatLmxLqntLp&#10;Z5WsWRBgQo0ICouRKptgjgGRlmOh8PG8YBQqOjA5bQweQISmfQidhZMOkCadnfM5F5iUnXAtpHQz&#10;t7k+wpYAE7J04FTBA6LYYFGACRkix80aIP7NDgyviK9On+8Yo1blw4+00iKkVhSscjmKUQACHHeQ&#10;EeLkKNmCCkAC6durl/Tp2VN6de9eJKE6JcCkcwfc6IWXju3aqcJt36aNtGvdWtq2wvtSQDHgEXIk&#10;5GAASHMzv3ODEoRUTAwmFV8xngAUDCk7fqd360rBBKNqPU/58T59/skn2peKd08opme3bjq34FEx&#10;VwEsABX4JnhMSKclFThgw0blA0VFRmqGGbyiu3fuyPVr1/Rnqr7ScRjya69u3dXzOdvoN7yPpNfi&#10;qfAOgZTVwLNLBiCeIgr94RXxpWf4+wBzHzyDY0bPkfCS18CzWmbA5EdjbL4yyprqrBjTtes2aqZC&#10;csphuWQAhk1tdVLwVjCyCJ+z9TuSDh7SGigYJ/gWFBXzJ+NU3GKfAeCLjA+Iw1QWZTduC3h59xpy&#10;gUnZiX1PABDI2LRIgAcEgARE0+TvyZOnRQImKIxsc9+8TzgLpBn6UhgQYP9mlHB1s3PHWBMiIcY9&#10;f84cWWjmgCslL6RZwknweIamyfTJUxyFqpo9u3bT94knDK8NJcq7md0qYSlXSlcGGUM7btRozYqi&#10;q/cC8x55l4RsLEeE9wphlTR7snbgccH/gsMF0IAwTcp79pUrupmgcjPeAuZCv9591DsIvyg8LEyb&#10;5NFPpqyH5bJRm4ViaHBnIGMD1px0DAIJfvrUabInPFwuX7r8h2wcp7F9+/ayAyawb2/evK0GBE7E&#10;6rUbtPBU+tFMBSVk17zJqKDo+QzKHvc4gITdZ2x8ohxOS9cuwhyLzzl9vyKIfQaEqigoF7J7j7bV&#10;p3ZLbFyiZJkJD+/G+/MuMCkb4dkDopmvHkAeb97VZq3dQ1Ya2Tlfmr8VBZiwo6I2B4oOoipK1JeL&#10;FcACOKEKLG5nFCAKkyJHuTMXXCk5OXbsmHaUJX050zx7J2H+r1i6TEmQ443wL6EBDF5CfILutF0p&#10;PTlkdCf1SjKPZui7IyOLGiaADbhZkMg1u2ffPv2ZOjzU8ImNjtEqvWR0ReyJkJ07dgh1gQjrAD6p&#10;WzJi2HDll+Bdgct17do1JbySCVPWA/1CvZx79+6p5weSPaDEl45BCPVs3LBBnw9l9r2zcZzGrl27&#10;yg6YECsjQ4FU3hBjRNes26AplKS7YmQJ47wJUFhQwg6UzBuKqUH6BJhQlv3qtesVnlvCM+BZwa/B&#10;QwTp16YJw7UhIwdwZj/vAhP/EDx8ieb5U+kY4bqZt7yboqQNW0I5iiPGKEHSc6nE6MtrgjRp2FCW&#10;L1umRcuo6grPhWtwpZTln87VRhFIjxi4NatXq6tfQYnZWfLOKPZGpVBXykCePdO+UrSEoKYHOpTe&#10;U/SzAeADVBAqKANYaPuAxyQ0JFSBx+xZszQNnvRhOEakFsMtoRjboYOH5MGDBzo3CqsPinvg7eA+&#10;z549K2vNXKQsgZNOQdA5CGnT3DNN+/C0vCkUtXv37rIDJk/Ni6R/S2RUjHpKNgRs1jDEyVNn/pDa&#10;6qTUrfAZjC48ktQj6QpMCGFALPQuP1/RgYmnFP01DYN5UlADJNzswAnjnDt/QTM+7OddYOIfghfr&#10;SPpR9RZu3xmi9Uz4GQIz2Tl///XXQsWS+Q4xXBQAbcRJa6X2BXFzX+CE0vSk4EZFRWkdDQoducO/&#10;BoAxMT5BK/NOnjhJXehkhbDTtpV4XSlDMe+AkM36detUqHZMB11CN0hoSIhKyK5dBlDukOCtwbJu&#10;7VqZatZdv759ZdiQIUrupuoynwfMXL9+XSML/gBI7KD+yOXLlyU6OloJ8xRZdNIp6Bp0DqRiUvLh&#10;o1ApGd30Jr0WFhZWdsDkkTGQuK4JPcAtgRcRHZsgZ40hxZjkB0zgLSF7h7olxOip8EqKMP/Hi5Lf&#10;45RnAXgBNOAn8AzIbIJITBM/wjjwdQiL2c+7wMQ/BA8XnCDeWWjYHtmwMVC9XZBgHz95qu7SN7k8&#10;nQZKjIXPLpsmfMS9yfywaaVOSgTWvJLTzA6IKo5uMzj/GxaY0OQN/kGNqtU0zZiU8Do1a2nGjitl&#10;K2TrUAwNrweVXdGrCxcsVFm0cJEsW7pMVq9abQDJOgUxVGieYDYOPbp312qnhHoAI3gkvvv2WzXi&#10;eNH8aXzzNRueNAVVFFVjHjrpFCpLo3Mga8+ZOVPOGntjibtvAlpgkVIFJlyQrV8CqKC5HJk4KGRK&#10;p/N/ysk7KXJvwdjgLSETh7bxlLOnhTwGidDQ6TPn9PhO361oQqgK8AG/hPRo2unjfeJZkN3Eztz7&#10;WbjAxPMMAHQ8F56ft/A767HL/b3iFMAioJrrBETyzvCaHDiYou/sydNn8ksR0wLpB0MNkLYtW6kC&#10;IdPASYlQgwNC5Tizs6G3Bz1B3OFfwwITilkRnqP+BQaQQl3UxHDFf4TQBSGaTQGbZFvwNpXt27Zr&#10;+CY8LFz2hO+R8PBwCdqyxejeGdK3Tx8FKfR9AoxgwP3JS+I9CF0RlsET275NW/nEgGMnnQLvpGa1&#10;6krSJkMQnkx+76lMgIndzeHRiDYGJCAwSIFJxL79Sli9nH3VUZFbwajQhA8Dkn3tuhYUI6shfM9e&#10;VersQonfY1ycvl/RBANHMTrCOFR53WgMHELZc0Aez9n7WbjAxPMMACGEAeEhWQEQ8DtCY8wvPpf7&#10;u8UlHP/GzdtaY4Z3RXFBSMv7o2Lk2PET+l6576IMytNTypyYNbFgCkn5UiLsvKlKSWlsCGru8K9h&#10;gQnVdEkfpWIszRopcAUZE+6CK/4hFCGE0IzH8sqVKyrZ2dly7eo1NdAXzl+QrMwszWpZuWKljBg+&#10;XD0ohEhsRVR/BSaPjD7dEhgoXTp20s0OJQecdAreEjY7FF+jBxCcN78FJnhLACUQaEhhjdhLa/4A&#10;2bErRMvQUxETA+GkyK1gLOgQDG+CsA/gBoVO0zoyevh+fjJ6KooAPCAM8xzoJLx+Y6DZeW+Vg8mp&#10;xtDeVFDi/SwqCzAhnAcwow0B3g+eAwIgAHgAQiBfEwKzAh8HvhLA1jsUWBIAhWNzXVwLJeohbfPu&#10;IIIDVC5fzpbvi8j1wPORaNYVBZ56de+hrn8nJQKjnngwIR+KoFHI6Z//+KdfK8jKNh4ATAwAgTBJ&#10;PQyEDA9qYLjvqPwMbCDkdBpApqenq9eEaq90FIY0y5rzt+HtUMALSziRAnR4YH1l46Br4EHhLaGo&#10;GrrIb4EJ7GKa9r148ULDDBRBA5hQaCr18BHNpCH27qTIraDQ6aJ7ynyfdv6EcAgDxcTF6+8wKBif&#10;ygJM2HVDcg3ZHa5GmQwPMnIAaYA3jJ+3Ya1MwOS8AR4eEHJTAQdka54LLQ/IWDpgBAB3KCVVPU70&#10;rCEsyN8JB5bkXLLABM8N3h3S3OEHURiP9UCdk2+MAivKQAHSOZeURapR4hVxUiIQ1YgJo0wgqrHj&#10;e2BAHDwXf1SUlXHAO4D/Q4rmtuBgFd4TnhQXmJSfwXrC/l26dEnfH5lVZMRF7Y9SrwLAxd8G1wQh&#10;nuaBh1NStKcQBebgrPki1FMEcKL5XGxMrJauh4zvt8CE2BnM3DvGWKSnZ2jZeEh/FJpi14/r3Zuo&#10;6S1254oyh1NBCIdGaGT1RMfGaYYDTez4O0q/JHa5/ihXzc4fAiWhADwlWr8kPlGzm3iWuZ9DxQcm&#10;O5RrAwChRxCeEUJdh9OOKmABDEO0JnuJZ7U7fK/WEEEICW4O2qaZXXgx8OoBbJhT3s+wuIR3gRcH&#10;EMK17QrZrZ6TQPMu0zMy5cXLl0UyOlSBZaeCS3nZ0qVar8RJiSAoGBj0ECuDg7bKiWPH5atHj3SX&#10;5I6yH6QEEx7YZ0BmRESEytGjRxWwuMCk/AyAyZMnTzTNm/Rvagdt37ZNs1Z4l/4ITHAooEdOnjgp&#10;O8y1Uo2WUI0vUIJQ7RXPyiWzOeR+0UX5HaUOTIifeaq9XlSSKoWlCMMQhsCNTnyfHaqTEn/w0PIC&#10;PNkMVIvFS4BCTz2Spt4Wvl9ZAIkVgAkl+OHqAEzI8CAUwI6f55X78xUdmAA6bFdpPElHM49pKnmi&#10;mW/0YYKHs9MAALwSfC4mLkHiDJCjON/+qFgFKpBR6dcEqAHclRQwQQDRACiuV+vwmOunDg2NKKkC&#10;W5QaBmwEqEmCwgsOCpL2rdvIe2+/rXVNnJTJW3/5q9DQjoqxe/dEaEinMJlB7ij+Aenw5MmTEmOM&#10;GWndCEClIC5yd5T9AJjwzijIFm3eIV28SQ+m5gkG3B+BCTrghtGFeF7p/QPp1VePJnQL3YTbtGql&#10;adRfGXuDDiqIHil1YAK35M7du7qbjYyKViPC7hDDmn31uoISX0aA32MoUOLsZvcYAwOnwmbhwC3B&#10;EFc2YALIoG4LIG+r2W3DUQDoAd4qIzBhPoUZcAGJFC8IQA2PHMAD459i5k7a0QzJPHZCi88xnwDF&#10;CJWCafrIfKIuDM8vN0enuIVjQ4AFRAGI8PjQP4cMNeY8a+af//xXoYwPoIbNALUQUCr0rCE2zG7H&#10;SangmiXtkT4dVBmlKumbyke7o3QGreJPnTql3ZohTSLHzfvBmLnApPwMb2BC1208JtQ2IQWX3/sj&#10;MKHNxWljB1avWCl9evZSb4ivzQ26hYaUA/v1U9CF7kEHoYvyO0odmJAKBYAgjo+3A7c5ruvklFSN&#10;52M0cwML+zuMBGW8qW5KqGJ3+B51fdOZGMBiQU3u71d0wYOUejhdwxLUgyEMQbda0qgrIzDBA0eI&#10;EIC2OShYa7rwf+YcXA4I09dv3pI75tnY+ZIfyf0ci0sAJoQwIX7HxiUoR2bFqrV6vYSR2G2wsAtj&#10;fPgOwvdTkpNl+tSp2jiO2gJOSgUiG6nDgBPY9JTd5vyF9di4o/gGwOQ0wCQuTr0miAtMyt+wwCQr&#10;K0s3C3hL4JkcOXLE74AJ8+q/zPWiA1KN/pgwZqx200ZH+CK9oltIEaYbOBya3wyosXoov6PUgAkP&#10;G8QEgYbsB3a0KGBa80P6S8/I8sktwXhgYAEfHk9LjO6A4ZUcTE5REq3lAZSkAfFXgSxMoTq4E1TQ&#10;RWjeR4l+jG/uz/OMKgYw+V7LPgcEBJjrnyXz5nuACU3x8JpAIg0Lj9DwDB6l4ydPaZaOhmfMc/nS&#10;zJeS9ITkV7gGrol5jEcHEAUwIUQJafebb7/TeiZFMT64Udltkwo8Yugw7VTrpFQQUodpykUn3wgD&#10;/lGWPP+C7HjcUfyDXik0fNN+KwaUIHi0XGBSvgbriAwrOCVUhqWT7pbAzVquHk6XPwET+GUQ4Ck7&#10;EL57t/LPIMijI5z4JfyOjsujR4zQewJIFyYUXCrAhEUDSuQCv/76Gy0Exk4WToQnmyZBjYav3T2e&#10;EIwvvBTc8YR/8LakpB7WdE+MLO72yghKEDJvAGyELQAleE0oR59hnrMT2KswwMQsmLNnz8mmTZtk&#10;5qzZMn/+IgUmK1evU3CyNXi7ckcgAXu6Vd/+Q2iG5+APc4ZrYH5zjQBMQk8Ak/3RseZ32Wan/MLc&#10;/89FUlgoQypKEgagBTtcE1/ENX5Phg5cE8psU3cBwjpeF3eU3XCBScUYrMV7d+9KYmKicjBI/964&#10;foMcSDqgzTf9CZgQxn1kwBKF39avXat1SfLKxMGL0rFtO1mxbJkkHzwkt2/dKtSGptSAyW+//UNr&#10;7OPVAFCs37hJs0j2RXra8tMfJDfpFYV9/8EjJbTiZTmSnqHKmp0wsXiyeFDoGBt/2PmWlRACA+yR&#10;Nk34gtAYYR28ULfvVGxgcu7cOQk0yHz27Lkyf4EHmNClOiBwi4b6jqSla+iwJDNriiq8D66P2ilH&#10;MzLV8/U7MLkiz4xBKiowse7jcwbIkW5KfQFqEABAnBQMws6HmiapZmdHzQXegTvKbrjApGIMDDXr&#10;aX/kfi3rTgdwsnLSjvgfx4QIx8ULF4zu3avdx/PK6kOX4EkhYycsdLdkX2FT9Vz+6z8Lfj+lBkxQ&#10;ao8fP9ES3MTRdUe7bYdmSuDCxnh4Gw6UNWADsAKvBA4KIAZAEh1DFk66Hquy8kq8BaOGVwAScNie&#10;fVrWnGfLM+JvuT9fUYDJKwNMzptFsyVoq8ydt0AWLlqiwARPHKCE50EaLs+gpAmsRZHSACZ8l2dI&#10;F9QjZmNAS3VcsjDrfcWKa1arpu3Xg8z8oEoldQjcUXbDBSYVYxAewQsZGhoqK5Yv13L1vNML58+r&#10;Z9Kf3iX1Vg4kJclCs0Hp2a1bntw0dMlnH1fRGifomK9fehr2FeZ+SgWY/Nd//V/59tvv1BhS9IpG&#10;ewATYum4rm2tCG/Dwc94Qm7cui3HTpzUDB6yTlDW1KPAg2JTgyszKEF4TmSWkF5Kd9qATVvUG0Wd&#10;l1u3Kx4woUcIVRJZxIRytm7dJvMXLJaFi5cpMIG3FJ+YpPOG9gYWuPrrPOG6/jswWaPNKMkO4vq/&#10;NqAAZjzZOXg/WOwFWfB8FnDCd69mZ2sH06YNG8kXn3yqFV+dlA3AhRL1UyZPkd2vd0CkrLpSNpJ9&#10;5YocPHhQdoeESER4uGZ0uMCk/A2ACSXqASSLFy3SjsOkCt+6eVO9wP7wLtETXCf2YHtwsPTv00ca&#10;1Knrs6UFGTqfV/lEdYrWLrl0ST1DBdVTdpQSMPkv3fWRmgmhjxoShHIgvdITxFbX9DYc7HBJH+Y7&#10;VOHE4MJHoTKnbUznxEmpjMJzIBRGCjX9hio6MGlYr74EbNggd+7ckQyzkw8ywGTRkuWyZNkKWb5y&#10;jYQaw046MN4G5pa/h/mcgAn3AVeIejSELAHvDx89Uq8FcV8UhwUoBRl8nkqhe8LCNeuGmPGH773v&#10;qGyoRVCreg3zzNvJqBEjZdmSJfrcXSkbWbZ4iUybMkUmjBuvO+09Bpy4wKT8DQUmRjcFG4NPx2Ea&#10;+2WadQ8fg9BJWb/L/2vsNZ4OOoyfOX1agQZ9tiDE+9rE/P/buw83K6urf/jvn/L7vc+T5EkzMRqN&#10;vTfsvaMUxQ6iIKggItJ7771L71VBBFRARQTFkhgTS2JiiqlPefe7P2u4yZHnDDMDwzADZ1/XukyY&#10;c+5zl33v9d3f9V1rnfD9H6Srml2e2uZ1Ynq+Hhqaw2F4GwyYWFQ5SoutFGEpnXPnzQ+QUSpGLBbr&#10;Dz/6RXp9247IuimKYhF3Enlyqo2Zmm9oO96AyXlnnxMlnLElsm3G5PmEKenTb2CEQBRNwyA1lTBf&#10;OWDiWqQ5C8l5pqvXrguW8MOPPsq7qj+GkPxQgYm4r4VwXH7u99/bplp6lsAtiiV993vpJ3lROu2U&#10;U9OZPzutYkfJTvvpKbErlcr98IMPpsmTJlWASRMc+4HJuPGpx3M90tQpUxsVMOGvbYDoYPRmat+2&#10;bTCrwjXViV7Nyzat70ljRo5KG1/akD7/7LPDuo4jCkwsnJT8f/rTn4PhwJZwmHq5YE2Wr1yV3nhr&#10;5zcABkfCobyz+90oyc3JVKUGL0krV60NsPLBhxWmpNQAExlLRMTShAk/6Sw4bZkoOjF/XOKcmxIw&#10;Mbm9KIDJksVLUqsWLdPVV14VO43lK1aE5kiG19DsxFVMjWytDNCwbaX3qDGb5yF7CiuizoqKtICJ&#10;cGdV5+2pwRguW74ibXplc343dqdP8nf0wRHeQZnWZXdChI42fnHd+vTsM92CgQJAqtOaWIywJz/N&#10;iw/x27VXXZ2a335HpBNXrOFNp2iN0aSX0irUpQdJZRz9YVOhu/CwocPSU08+FTVMXtm0KX344Yfp&#10;T40AmPDb0pnXr1uXhg0Zkt/129MPv/e9smuDNcPaYbPY9eku0azvvXffPeyQ1BEFJpChE/xldoxb&#10;t74aoRvdUxUAi07Cscju+QYwsUADMSpwLstOc+LkqkWZkBMrwKECL6UL+/Fu2CWVQxWe46hHjh4b&#10;jBRhMQcNuJTes6YETDhcjleBHwWIFFJr3fre9OyzzwWbwIh9zZNFi3Wn3hyi6Opq4jRG8zw8I3oq&#10;afMqGgMmytK7NunxMq1orLxDigsCMO9l0Em7pQdFXVLyLIyqMXrWY0aPTjdce21Ua5SlU27x+XZe&#10;eHQdvv6aa1P7do9GLZTl+f2VDlixhrf1GVBqzMh5FKG9ymg6w/unplCfXr1Tu7y+6i78an7vP/74&#10;49iAHW1gwm+/9cYbaVw+L/VILrv44mrXBqEda4fSAqPyusB3fJU3TIdaELIYRwyYOCknp9eHqpar&#10;8+5dmi9gAmhgQ7AlpdVemfRfpcFf2lCVGqwIm4JqW7NztHhXQjj/2zBM9BSExVKGsVKAiTL/b+7c&#10;FWGCpgZMzB+gxEvC8f7mN7+NOTEg7xSf6PRk6t6jZ1K23bViFOYtWBwF5Vyr+9GU5ojn8VGe1+9n&#10;MKU7ttANYDJsxOh4ZyZNnhbhT++O5wqseIc2ZRD2UX4n1Ab629/+nnc6/1Mr5qS4txzaogUL0n33&#10;3JvOOePM9ONqtCZ2RJiSu5vflfr17Zc2vLQh/T47RHFojI33vGINZxyb98LO1nM82o6sMuo2/pmf&#10;IYakS15zW7VsGbVM3shAQEjOWne0nqe5ZG5hVNevXZu6PPlkurJZswj1lisrgEkFSs7Oa8c9LVul&#10;+S/Mq7cq0UcEmDgxOzgL13vv7Y1aEjIMUO0WVQXVxMuVBS9Erxwn42A15ONg9TphqHm7YH/ncHy+&#10;3AJ/vJp7KAygx4uCYkIbnJpidNvfeDN24j5TfL6xAxOT2vwpXhKMm1CVUODAwUPTs889nwZmUCIk&#10;yEETRG/avCUAcDm9UmO3mP/5nD0j2hihy1Lx6+o166I8vU7a2EaNGnVG9m7o0L1r1+4AboAGh1Xb&#10;RcFnxbYVQ7r7zuahXSi3AKFrTz7xJ+mSCy+K+TDvhRdinmBdPKPKqIzKqP0ALrFebR96ON1w3fVJ&#10;EUNCftEF79PRAiY2GbK/3tn1TtQ6anV3i3TaKadEJk45bYm1Qt8tYd3ePXvlDctL9cbeHTFgYtFz&#10;o7dt2xGiVU5EiAEdbaEtQjIW5ViY8/+2MGs8R1eCurbwvph3Z0AMJqX4bLnF/Xg2ztj95NTU7kD9&#10;AyYLFy+JjstCY00NmBRMiReFyFUnaY5a8bT+AwfHfMIsFPVsMCVNEZSwYl4zlYzNf8AEQJEu7Pn5&#10;d+ALOBszbkIIY4mcJ02emtauXZ8XNqLYP8TC4P2rzQD+9uzenRbOX5C6d3s26FhVHQ9cgNi38r9/&#10;99vfic8MHjQoz53XokplXVqZV0ZlVEYVAFAbxGbg4gsuzMBkZNQL8T7WB9twqAPbYT1Qgfa5vB40&#10;u+TSg2rPrBVXNrs8devSNc3Pm5V38sYQ6KqPUe/AxE114y2SH2ewgS2ZMHFKMCUTJk2JxXbjple+&#10;oQEASva8uzcKqRFw2gXrGkxjQuxaSQ0+uAEd7pEMp6V5UslSAUxoEYKZyiCkKQATLyV6+u9//0fE&#10;zn+ez3l7BlvLlq+McAawCnSZGzK1gJLX89+LcGDpPWmqppeP0KXsovkLFqe38svu/XCNGCHhLDV9&#10;hHiEsYATuqKik/Tvv/oq7mFthvuNPt6xvaoarB0SavZgJafPOfOs9Phjj6WZM2ZGA0UC3CKkUBmV&#10;URk1D/6RRuuOW2+LEClgQpdxtIb3l8nW06hPB2HVW+nKyq0B1gZrBCYFuJo4bnyUrP91Xr/++79q&#10;t/bUNOodmFig0O9ACfpdldeRo8ZGjHzOC/OiCNjrkfb4L6DhfwMgskiEIizMHM+GlzeFONbfLc6l&#10;C3jF/mVAx8633wmNhR01qn94BiZLlq4IUex72alhE4rPN1ZgUgVKqkAthkzxPdV+AVraCoXTAFsp&#10;5NiDN3fqf7M3ru1YBiZYIM8YK4Qd8pyBtSlTZ8RzBtq8L+qdOEZthbA2EcR2WKl1a9elDhlwSEmV&#10;gVPdLkla4C033Zy65l3SokWL0q9+9av9eofKqIzKqHk0NmBivXBOH37wQZowdlyAjYMVU7M2WCOs&#10;FY+1ezStWbUqff7Z57GW1NcGpd6AiUWOWaCI8ULwumZddHeVysmpyBIh7gM2Ctq9ii15b38TOlVh&#10;7fTpTLSnL93pV6y8FVk50Xl53sJviF9VPsVOlQK7xgZMTOb/ykhbGMKOH6hVeE8zO5kp0mYJPxVO&#10;U5sFC7Q7n7/5U3ofmqp5Hsz1eI6AiUaEBTAp/RyQDoxhSIjDgdCqFPxJkZXkvriP3sPaLhI+t/ud&#10;3al/n77piksvi5oFKNxyi9IPvvvddO5ZZ6fb86I6fPjwtGvXrtiI1BeFWxmVcawO/tG7JvypPsid&#10;t92eLjj3vDRm1KijCkysFxhqnYCFZTAlsnCq25xYG6wR1graEjVZ6guQFKNegYmT+2fePf0qL6Iv&#10;b3olQjLKzo+WRaA42sZN6e28AKKlOUqLbFUIYnsIGFV2JZJds259pAsXAKZ0Ea/Y/zb3URisimFY&#10;EAyVWibu6Tv79CWNFZiYN0I3CgvZfe/Mk1z4T3hC2AYjoObNvPmLAqyaF+YM9sB1lN6Hpmquo3gf&#10;gC6AAyDDNmLCSj/nfQA0MSfeE+9VEdaZOWtuZK99+tlnES/GZNRmeAZSFRWw69zxiUgLrjZD59+/&#10;FcXWLjr/gvRk585p+bJlURPFwlYZlVEZ1Y/wj//8Z6x1SxcviUaaV1zWLI0fNy6E5EdrfJbXC809&#10;tTpQcFGF14OFc4V71TLq9HiHNDtjhp9/9FGsIfU56hWYFJQQp2G3TlcyLu/kUM2yCogzi7CM3SG6&#10;3r9xqFWpwZNC+FfpGlw3c5+kWH+z8uvYtGrN2sjIcQ9LnXhjASYFmLXj1lXzrexsly1bsU+8Oyqc&#10;M6Gn8N6WfA6cNFBbsG2l96Apm+fhGWJCtuZnIiyjsJqMHEC+9LOum/msdg0rV62J2iY0RVLr1xCW&#10;Z+AmXuxdrM3wHH735ZfxnHUFVaoeTVtuUSriy4BLi+Z3pRHDh6cXX3wxamrU9+LU1If7UZOVG+U+&#10;d6BVRtMbWEzshFLvixctSm3uuSd6UU3Z1ym9oUcxl97dsyfNzZsSBdJsSjTjK/fuF4YtefiBB9PU&#10;yVOi/grhbn3PyXoDJm76X/7y1/TbvMDJIKAF4Fjs5lDTin+9vWt3LKqAyc+zvbVzV/y7naHPKDu/&#10;Ii+0O/L3OR+fK3WoFStvnLWdMkc2ddrMCHtgTYrKr40RmNjNf/2Xv0TYD5DFhDjf6TNmhZPlmCdm&#10;QAuwEktjzw4MSR0r5nmEuHVXlU5owaLFAdKBDtdd7juAjPdp85ZX4/0R0mHS7BWZez8fT8y3NsOi&#10;4rN66GzO97pv7z7RG0O1x+p6Y6BzdXl+5MGH0tjRo6OnhkXXjvB41pu4l66fCW9hrgiEiYy9W+4x&#10;ZhBw9LdSPZDv+v/uIUf1ySef5Of4fnzH94FHIB7g9P7UN31eGUd2eLaen+evirWeR61btsygYE78&#10;e0MO5yKkZJ69uH596vV8z3TbLbdGyQAbj+re+R9+93vx3vv8yxs3xpw+EkXh6g2YuFBO5oPsZFSl&#10;FJYZPHR47OZC8LqtqhswJxl0dF5Y7Q6lgSojbkFds3ZdtO/fvadKP3CgQ61YeSNu3ZDvuXL0tAZF&#10;KXMiUQDkQIDXGICJxfVXv/51aJGkhAOmmDUMG6E0kLoyA5XNWzEluwKUHGtMSWHxPPK7AZDTCUWj&#10;yynTQ08jFFfuO56pe6K/js+pfIslE/aiTSE8r+0uzKLCGf7pj38KJ4jSbdWiRTr7jDOCGSlH6Yo/&#10;/+RHPwrxnnoMCrXp9myRKnW2x9sowAVQUoCLd97JgPPlTWnJkiVp2dJlwTBt27Yt0q3/nsFcMXzX&#10;977+89dR14Igefbs2aFH2PTyy2nnzp37q72qEXU8A8CmOIBJIPWjjz5Ky5YtS89265ae6NAxni+Q&#10;2pDjH3n9xXToz4P5UCCNtkQzvnLvu3/70Q9+EHVLWjRvnqZMmpw+zL5eWOpI1F6pN2DihdKoT4xc&#10;xoAdH2Bix2s3X6T8WlDtDvXCeTEvwoCLzypRX+gHfK7cYlyx8ibshXmaPnNOhM/U+hg+cnQwKDJX&#10;ihofxeePBjAxcYtFGyjhxN7OgGNVBk9KsNPEAFTOf+r0WaGPURzOuauKeiwDVGALMwKoS4FWgJBe&#10;RIjTcyr3ncK8KzKU3EOALsKnEybHu/XFF78J51WXnTWHp0fGM127ppuuuz4Wq3JF10rt8ksvTcOH&#10;DUvvvffe/hBS8bzre8FqbKN0Xlug3T/AQeok7c327dsDiMydOzeNGjkqjRs7Lt6ztWvXRk8Rny+G&#10;42Cd6A2AkFkzZ6X+/fpHyXJF7dasWROlzPfs2ROAx+fseq29ft+zPtbvd1Me5ocwDhZsxYoV+dn2&#10;Sz2eey4D0LW1ZjcPZxRz1XoACJl/2JIe3bunSy+8qOy7XZiNiCae2ld0eeqptGb16iPK8tQbMPlb&#10;XoxUeZWJY7dLG2DXvmTZ8sg0KJyjDBIpkVgVAEbIh0hW/RK7vwOdaMVqtvc/+Cj0BoqryWQZNnxU&#10;OPkZGaisys+DuBh4KT7f0MCkeBksnEXoJn47gw8N6yZNmR6F94rdPq2M6wnhbp4Lwn7HOjDBCkmP&#10;d0/osbAmL2/akp/T3rLfKYyw2WbA94B8hedGjR4X/1/RtT/+sYr6r+3w2d15hz9/3rzULYOTq6+4&#10;MgSv5Rarws4966zU8fHH8/yZHUwA0FmEGo5lR+nazGnXih3BNm17fVvoB0YOG55GZJs6dWpaMH9+&#10;/FuwJbIN8z0CWuxYgYpiOB7nBWwANurErFq1Kq1auTIcwcIFC9KkSZMC4AAtq1auis/YgduJ+16F&#10;RWm8owAmuvYqsKZDeve8zq7NgLOhgEnB5n3661+nlRkc9enVK7W4s3k6/dRTy77bhQnjKE/fNfuJ&#10;FzLIfjsDZyD6SI3DBiYultGXyAwpwgni3ZgQNHMRTrAAc0rErQsWLonMC0I/XYZfzY5Kr5Dic+UW&#10;4YqVt6KOiRRbegNZUPrI2D1LsQVO/J1zL6whgQkHZfHm9IQfsDtEugrvDR0+MsSuAAqR68ZNmwOg&#10;Ck+5Ll2Rj2VQwsx37w5Qv3jJ8gDs9CXAGXax3HcK874QyL6yZWsIzoV03FOhUVqvX3/6ad7Z/Dne&#10;0doMCxdgwXHOzfMBxatmQXUKffbTE3+Sbr7xxvTUk0+GE+agPWvHqu3vNqVRrHnmtUUe6yGrSf+T&#10;6dOmpc5PdEpXXX5FuvXmm4N5mjplSlqdgcVbb70Vn3N/gQiO6kAg4Zjum78DG5gRHYS3bt2aZs6Y&#10;Efe4xV13p3Zt20XL/CmTp6QNGzZEZ9ovf/tlnM+xDgib6vC8gVHMovBN7169o7u3udFQwMQ5+C1z&#10;StO9G6+7Lp112unxjpd7t5l3nyC2xV13ZUA8M5iWYvNxpMZhAxMvkUWI6JVwryrWrbGaYljzIm14&#10;7z4WpIiJ2xFPzw5TzZLleWenlbt6DRWm5NDMfcOI6DMk1RZjBZwAJuh9+g2OCxjxDDjChgAmxeJt&#10;fpjI6pNs2fJqFE0DXu3ugZIZs+ZGjRvdprFpzvF4AqiuVX0f9XswiIA6RrGKaTx4l2Q9djx76cPr&#10;8rOfMm1miM6xJ0SwgM3vfvf7Wjsqz6sIJ7zyyit54XwmXXrRxemkH59YbW0TgjhtzzniQQMGpi2b&#10;N8eODF18rDlI1wNMAACobEBDuGZ53gEL09gBt334kXTn7bendo88kkaNGBGMhyZtMs8K8erBRvEb&#10;BXuiAB763856+LDhAXykantn1ZEYNXJkpG0CRt5fz66m36iMhh/BVOSNgjAdBk1DzJ7P94zQaUMB&#10;E2CXfmnl8hXpyU6d0pkZlHh/DyZ49e5fcsGF0XSQ4LUh2LnDBiZeAAvfhx99FDs+jlAYByiJYlg7&#10;3ghHE6Ak7+yIW4V3ABgOSpdhoMQCaoEut/hW7ODGgQMn7mFU0F2zNpgrRe1kuAiR2IVr8qfZn88e&#10;aWDiJSh2f1/94Q/p3fx7L0oLzyAJIKEpIZAO0XMGqsJNdBauwfkVzE656z3WzLynEwEoCcGxJcIz&#10;7kdNBQY9+yLVGPgE8mi7lO0X2iOC/eyzz2sNEHyu2GxIIyRyI27VE4Mwrtzi9e28eKltYJF7tG3b&#10;2NkLV1iEa/u7TWW4HoABwMBmrMtOhb4Gk/HQAw+me1vfk7o8/XR0jF2yeHGEWghWUficj++6vzUN&#10;v2PhtyvlBICNj/N7sWNHfr9XrUpTp0xNffv0TU90fCJ+UzuBgf37R8iHBoXzqIzGNQB+6yv2i2Zo&#10;8KDBaUg2jTRLtUZHaliP/b45MnjgoKjwStwOlFRXTO2H3/t+1FoxtyeOnxBCbtdhXh7Jd/uwgcmf&#10;//x1fkGrmo8R7ak4yvHo2WIXyBFaXGUd+P/ROXjhogAmCxYtif4uxQ75eHFE9W2FE3cPA3BkJw8k&#10;0pto9lZkuaxYtTqAi/sdhe2OMDApaEOiaLv3qRmIAK3SmekgVKl9acOmcJ5CfMV1HC/zwHUWwEJ4&#10;S1aS98KzKwVp5b5bmGP4jHfMs1VgzzPXfViodFO+7z5jUart8OyYnbqOoSOHj0j33XNviN+qW8CY&#10;BU5dBnOHRgVdbA5wsEdyEWuo4R66FpkImBI1HEZlAHJP69bp+uuuS9dde21qfsedaeiQIQFIADPz&#10;3/eKe1pYTePAz7OCRcE+bs0gdHIGjR07dIyw0aknn5xat2yVhuXfxtDQMfw1Ozufr8uzr4wjNwBM&#10;WTDE0HPmzIn3amxeez3LIwlMzB1AAqDQ00Y34wfvfyDSfqtjSpgQzqkn/zTd26p1Gj50WDA7n/66&#10;arPBjuQ4bGDy+99/FU7OwkrECpjYrQEg6jLYyVl4Uc20Dgqo0ZUsWrI0UiNpHyysFujjxSEdKXP/&#10;gI5d7+wJZopmQ0gNUCQuBU7Wv7QhwKLngUE5UsDEYohJE2agffHMgRG6o0gPz+BU1gltBTBVEzNw&#10;LJprjhBcZCetDVCCRfIuFSLw2oSzfAYo9UwXL12exo6bGM+d+FnY1O8cinP685/+HP0ztGjv07NX&#10;doCXpxN/eEKUqy67kGXQctbpp6dbbrwpQkAEfqpKYheOZDy6IYaFGIskPPXuu++mxYsXp4H9B4TW&#10;44brr0933nFH6typUwAVWRZ0NgAM+r6+FvECGHFijq/D8/Rp0yPl9OYbboz2821a3xNZFgSKbwof&#10;/epXlbBOIxmAIjZLdpXaJRPGT4iChppoAi1HagSY/e2XeV3/IM3L8+Lx9o9FnaJTTjq5Wu2Y+kXe&#10;dWXne/boEWHE9/NaZU43xDgsYPI//2NX9UWwHhwPQAKYEDLSm1hcC+MogRIOUsYBXYmF1K6wAkjq&#10;zzgpDq0Ai0r8T8j3XCVVgmRhNE0Ut23bnl7Jz0CL67oAkwItMwtlsViy4v8zjsh5vLhh4/4sLYJc&#10;zldqeJWeZGeAVk61Ng74WDMgEijZnAEiQOHezJg1O+5NXRlEn1VwLZiy6bOiDgojiFVszTOp6xBy&#10;sMuyS5o9c1a6p0XLqGMgbFPdghZFmL73/XTT9TekkSNHRi8dzIHjlM6dpjKK8zW/ASxAa/369an7&#10;s93TjfkaL7+sWbroggvT/W3uiwqeBK60JMCD+3co9/1goziXAiS99eZbadrUaalTxyfSrTfdHOG0&#10;a6++OvQAdCdv7NgRzqS4DlYZR2dgz4RCZMMAJjOmTw+xuAyX0no29TFKn7e5aE3fmDel+mEpJ0/s&#10;Wh1b4t32jnvXWza/K83M5/mrTz6Jd7g2Ycj6GIcETIoL9oII49j50jFU7c4nRV8TGQWcDgeJqpcO&#10;rNaCSrBi30I/2BS7uQowqX/j9FD7itvNnqNOyNjI1gASOC9FzbTQXw6YjB5Ta2BioTVB1WpAZ9uV&#10;ofs3b96cF8k3Q3GuyJ4URozM3HnzgyUhch09dnx6Ic8NabGEutiC4xGQFOb6ldoXYlPtdVZ+TrKq&#10;hDwP5Z0owKgQDhGsYnUL8oaBvudwHKQFVYGvfn36RBl61SEPFtJhPvNY+/Zp5oyZ6dWtW6O+CfbA&#10;mmHtaCrD+TpvIMBu185xyODBEZ8/O1/jFc2aRfhGhgXAIuuCI/C9hhiAEpHyhAkTgp4/42enpXPy&#10;eelc+/STT+V3enY4QxoXu/KmdO+PtVEKTIBG2VqYrZ0ZzFpT63N4zjaH5mJoodasjXCMXjhnZcBR&#10;3caCYT6BkrvuuCOY0g3ZVwDlDTkOGZh48VBEH3z4YezCMSUKO0lPlWmjiiVgoofLuvUvxoI7e84L&#10;kSZq8Szo++PZMR1Jw1a4x+6/mhaEsLI1OCsdnxdmR7h69dq0dOmyNHrU6FoDE8/dIhcv2MqVkYXx&#10;yEMPRabA0CFD8y5gRpqXwYieN543fYvy+EIUiu2tz88eKJWpdbyDUnVaAHYZNNhE7xGGCYtyKPdF&#10;+wGp+Arr0RcBo8KrQnuHA0zsztHAq1etCnCin0Z1GTqFafSnBkrbPH8swPQman04VlNxjs7TGmdR&#10;/lV+HsqIq9Z55+13pPPOOTeo8Dtuuz0yKxYuXJj25GvkCI60MLB0AEwcD0FlnwyOMDinZ3Citgzt&#10;iVo06p9gcry3TeXeH4ujACZCnATi48eOi1CcrK76DuV4381FGwLHV1MHmL7wvPOrFbEX9q3/99/S&#10;tVdfEzVOVq2o0ivVN3CqaRwSMHHRXlg3ml5BuECbdmEaqamcj8XVjpDoEYMiNdhOzqIprAO0WHwr&#10;bMmRsSKkI1QmrDZz9guRCVPY1AwgaFAWLlyURo4cVWtggsrDhgAlAwcMiJ3ZyT8+MVJKH3no4dQr&#10;L46DBg3OYGRMdAaWISJ93LzYsPHl0JQU4bvj8fm7XmEaz0Y6MDBCA4RZov+RxYZJPJT78t7eD4Kp&#10;lNUjnEoEK6xDx3U4wMQzl+XhuS/KDlh/nFN+clL63re/Uy1z8h/f+nakGQpzdOv6TFqbd2zmFnBS&#10;sCaN3Uk6P2uc3iavv/Z6gPAbrrs+/eyUU9OPf3hCCANlLM2bNy8cPyfQ0Nfm2QB7mBNOruXdLSJ1&#10;27srDfT2W25JvXv2jAwhwkugqTjHymjYYS4J23gWysCPyRvCaVOmRgZbfQGTYu55zuaj1GThovbt&#10;Ho3GnOqRVPfOYkq809bzh+5/IL6nPg523PEachwSMPEyQOpU+/QlduD0A3bFwjRi5BwQun51XpAs&#10;jtqzWzA3b9m6X/BabnGtWP0YxwacYCWE0qQQC6XJ1hDSGZed4Zy8m56VwcjQocNqDUzQ2hZpdLZF&#10;8IJzzwtNwZWXX566dumSRo8ZmwHJqDRk6IgAJsI3nKTwEabkeBW6FuaZAGbeAaCdNgvTSAwOsAvH&#10;CMMdCjBxXBlZhLTeyfoCJr5r4bRAadY3dPCQCOnYfVXXiVQZ++/lv/00A5jWLVqmYUOHRpqiGgoc&#10;Ked4OOfUEMP5WePUB5k4cWLUJznvnHMCcP0sL/IEhD2ffz5t3bIldDTWxIa+Jr9nPZZOTFQJhNx1&#10;552hNcFqnXvW2bF5sPsVcvUMPUv3vzIadmDeZGsJb44fNy7shTlzQydUX4yE+VCEcHa9vStCed26&#10;dA1xNN3IwdpLeJet53fdfkekE2PhimKADT1fDgmYuHAnvHevHi1V+hL9WTg+ugW9cfS9IeoTO6cv&#10;0PvDQlxk6dg1lltcK1Y/xrEVu3NgwPNYu259dO8dpJdOBg0TJ00JGzBgUHqqlsDEC4TeE6u0Y/xB&#10;3pVxQCb+0Ox8FuQdNeYMUK1iZmaFANNOHiA5XoWuhbl+IlWZSstXrE6z585Puijrqh2Afd/9aUzA&#10;xA7MwsQBChsohT6gX/8AJ3ZX5RY5Jo7NOV5y4UXpvjxfgBOLXZGl09BOvK7D+WEZpk2bltq1bZuu&#10;vuqqYErY+eeem+6+664ALJrxYZDdn4ZmIoodMufx9ttvR9jmmbxB0L/IM3D/f/SDH6bmd9wRjIr3&#10;G/vV0DvgykjBFqpZInQ+YviIqBG0fOmyCAEC6/UxzFnHAkDpSro+3SVdc8WV6fRa9LwSfr3rjjtT&#10;vz59IymChtA8ORoM2yEBE7vmX+WFkH4BQ6K0OP3CvAULQ/BIvIe2X7lqdRTQUuV1ybIVadv2N/br&#10;Sg5l4a1Y3c19LuqWAIxaAUjbHTFyTBozdkL+7+jUJ0/EYEzm1A6YKKes+6wFGigBTm7KwKRfdlYz&#10;Z81OY8dPiF49hM6yTTBonOOhABLfwa65BtldwoOAFtOFutSKf9/7fpV+pQBBjWGuFdcBPGi/4L1R&#10;bE6Y0zOpAu3/6md0KFYVynk9QE5Rw6Y+gEnp+EPemcu0WbZkaaQEK7500BTiDE7U2Lj8ssvSo23b&#10;hd4kqqDm823ouHVth3vF0XPghKW9evaMTAYshOsEyG/ZV25++bJl4QSO9gCMgEY7ctVmb7r++v3P&#10;AHXvOdEHbdy4Mej5xnrvj+WB1SKQHjJ4SFTwVd5dEz0p+f/8xz/3ferwhnkr5Pryyy+n4XkjAGic&#10;fsqpEdYrfS9LTdj1xz/8YWp2yaUBaoWagNyjWaTvkICJhn0cBRGr6q1SQYlfNR8DViyOtCQz8w4c&#10;YyKEQ5SnaFThKCrApGHMfeagOWrtAGTpTJs+M2pdSCHuP2Bw6tGjZ+rSpWuaO/eFDEx+USMwWbli&#10;ZeyAT8kLdLGDvObqa9LTT3cNoOO4uhvPzsdTWl09m0JXUu4cD2aFMy9qr8g0EvLYsvW1tHnLq98w&#10;wMvffA5AMUd9vzHMNecBVGnWp3Q8wWuwSfk9oQFSih+TWO67tTXHx1Kq8iusarNQ38DEpoQj3vve&#10;3ugL80Cb+9LFF1yYTvrxj8suekzc2m7sqrxzk9Y6efLkYE4s1I1xYD6qGOG9UaHzoQceSKecdFKk&#10;WHLy559zbnq8ffto0AcINHTGQrlhVystmB5mXn7vOKTi/gOHzlnNlYkTJkZhuMZwzsfb8N6sWb0m&#10;2EbVgmk4ZKx98stf1huD9bs8b9XR0blYYbQL8nMXojlYIbWT8rt50fkX5DX93kh51wvnd1/+Lt71&#10;ozUOCZj89a9/C5ABiCiWVZUKOiEWRK3qlcaWZaB+hpoVVbqSXbHjrQCSo2PuOwcPINIzTJ4yLbQm&#10;vfr0S92fez517fpMemHevCjcdDBggiYUq9ar48rLr0jnn3teOuuMs9KNN9yUOnTsHCJowETquBAO&#10;fUvBXlT37IFVf+e8OWeAQtYOR2ueyfACdoU/MHEyWRQOA7JKzb8z5d2xc29lh1wKUPxOud8/kuY3&#10;mXN4a+euAFDAiJo/3h3XATB6Nu5BuWPU1lwrkKPnjvAqxoS+x/HrC5igdB2LkE8Kcf++faMcuti0&#10;sMHB0og1+1MZVhl1sW87d7Fwu/2GpooPNpwP5hC7MGTIkHTjddfvvy5Ovtkll0SPGrtdmpnGwD54&#10;JpybIl4c04P33Z++953v7C83ThNz8403paefeiotze8/YSQA5nuN6d4fywMwkTTQp3efNGzosMjy&#10;eiNv5PWV8iwOdXiGQASwKaV9zKhR6e4778xg9Jx0wve+/7/ew8LMC/Pj/LPPiQZ9fXr3jrW90Eod&#10;zXlxSMDk6zz5ORxxbMI9TkjdBEBl46ZX0pp16yNTx65NvFv2gYW3sexej1fj9N94a2c8I6m7smV6&#10;9+mfnu/ZO8DJgvxvGu0dDJhYtE3+F/KuTO2Gx9o/llq2bJUefOiR1KXrs2nQkGEBeoAfIZx3dr+7&#10;H5SUe/b+DXABQjhQ8wrrseFl8+jFSHXW3kD2ChMCEapYmedVKShRVRgz5/MaAgJFPqdmymvbtgfj&#10;criMRF3NtZnzQAnWQl8ooMG9B9ydozom3o0ixFnuOLU191pmj0aAdCsK6smE25N3QBaa+hwWQvNE&#10;Z9TBAwfGwiZTB2VcXSz7+//x3aihwNE/92z3aHwnvi6N9XAW5voewDcmZPy48dH756ILLth/DYCJ&#10;NFw9TlReFT45mjvLYhSA0fuJjULJEyefnMEgwMhBnXPGmSGEpXFQvZYjc+4VYNIwAzBZsWJF6pVB&#10;reQBIRN1oAinD2f+++5n+RivvfpqFEPD5l2c5+xPfvSjqOBa+g4W5h3FANosYNcG9O8f9VWwhPWl&#10;dzmccUjA5M95t0RLgiWpasY2MxZbi67OqJyS9GCZOBs2bgqnY9GtzjlVrGEMQMBECK1w5Aqf9e47&#10;IPXq3S/17N03nhsh38GACcqYiMuOcsuWrWnGjJn5+33Tcz165mP0C7aErqjIvuKUi2df7pz8O8cs&#10;g0sohmMFRNTfAHo5V5k9RSl7Dl2aM/Ah06cAJoAKHZN+TUqxK/TnO+rmrFy9Jm197fWYh+XO4UiZ&#10;6waGMBmuTQaO8xLGUVRN2EVjy4MBt7oYUa37MHnqjLxZmBobBozl3vw86xuYmAdYEzvvl158MZT/&#10;F59/QYCT6hbDQgwrrHPnbbcHpa2mgxh7YxJjitNzIE888US65qqr0iknn/yNa7jmyqtiV/pOfo8U&#10;VGsswIR5LvQBQgUEr0S6dGB2x+796aeeGtqYLVu2RIqxZ1gBJg0zApjk+S6Ta/CgQdFhuD6ACTBK&#10;9zVl0qT02KOPRv0gmZIHYy/NBe/qRRm8dnnqqWDZZKCZD/W9VhzKqBMwcfPoS7744jdRCEpmx8jR&#10;Y2PxtzuVkirzY/XadVFkzSJpt9rQO9WKlTeO8qO8gwdOhDs8N0W4Bg4emgFK/yi6BkhYcDka2pED&#10;gYlJC1EDJ2jsZRlEDBs+Mg0YOCSyfYABzIXQXTmWDDPg9zlrYES2kHNZ/+JLASAADsAD0HV+KtVi&#10;ADh1gEXH6pcy2CUWFRahNWFCVJgg8xKrom4KcEMDpS8P9kUp/t35d9/fB5ZK7019mmMDG0X4xrm5&#10;NudElEoQ7N+Ke3Q4gMR3f7Hv97Bh0Ssngx+ghOgcaPsov3/1vdhwZsCEMAYGjd7ksXaPpuuvvib0&#10;JhZFTry6RdFu/p5WrVK/vn1jpwacWLgtskdrWN/8Pn3J9LzzvLv5XSF4LaXDXdN111wTnVaFohpb&#10;hovn7Hlge9rc2yYatdkZF+dPqNy+XbsQsKvSTOfTGBzR8TCAeBVf2z7ySOre7dmoCYQxLMJqdR3W&#10;YeASEBUa7dzxiXRdfv9k4Bys3Lx30+aAoPvRfC5qqij8BpCby40BqNYJmPztb9KQfh9aEc5Hl1is&#10;iaqunIL4NiYlRIh5h8oR0AhwTuUW1Yo1rIXDBE4yONi+480Is0njxkr06Tcw6fYr5KHgz1OdO4dS&#10;+0BgYtJavE3iT371q+z41sX3o2PwmPHBVtCBYCfKhSc4Yg5ZCAOAlckVAGTWnCjJDoAAFoAEAEKv&#10;ZC5ty3NJbRzfVcnUvAJu9ry7N0zW0a78b87f56QnC51w1BgKnaw5afPTZzjy0vOqT3NsYNw5vrwv&#10;bAZg+S/g9XJ+T4StvEcB3Moco7YGmES4KP/ea9t2ZPCzIA3LGwaMiYwfPal0dz4SwMTu3IJqYUUj&#10;W3Qfe7R9Ou+ss4M1qW7H5t+1WxfW0XhOeqLsFouj+PbRGua18IY0yRHDh6crLr88Ms5KF3kLO53M&#10;tKlTI4zj84ez263v4TkL0xAYP/zQw5GNUwpM1LJoc0+VyJHwkmOrAJOGGYTJKrBen4Ft24cfDmDy&#10;848+Sl9lcOtdquuwOfTeeZZPPtEpQIm6Qd//j/+odlPg3fNuCuvJklOpW+ivYG2cR5MDJkI4FkOF&#10;soARqv/xsUNeHdk49AEyIiy6nIadMed0ODvCitW/ffzLX4UeAdNAsKzZW78BgyP0pg6G3ggd2j+W&#10;fvSDH5QFJsVO+de//jTaDRTi5ylTZ+R5sSw0Ih/9vEpsymmaA9gD88GuHtjArmFC1Dxhdviyhcwr&#10;7IljCHNw3lieuswhv+s3zUMAZ0YGX9gTwMDvqq5azMv6nJuO5beDdcqgRPFBtUoIXWk+hJqEb4TS&#10;6otFLH4PKNu4aXOanoGh99IztXnwrqJoj+RiA6T6DXTyqBEj0+0331JjimJhdndSz8W4teuXoXC0&#10;dm5+V2jGdRC3WrwPPF8L/o3XXx8N2CzmqO9DcSqlwM61FlY4B2DBZ+p6D3weE6L2SvsMEgtavzh/&#10;zwQYFEpQkA0IO5Tzr4y6j0/yhkWhu7PzvFKcUiinruETzxeA9h2MtdL2NCXYj4PVFCoMSCWEvvWm&#10;myLcpzIscGruN6ZRJ2ACob3//odBQ899YUEsgDqirl3/UuxC7VoVUHsv74otlhb/A6n8ih198zyq&#10;dB27Ip2X01YQjTZB/5x58xakB+5/IJ3w/e+XDeVgzlDYCuwBNnrh6MWjHge2BDj13DlfcwKDIaNm&#10;bQYx2BAp5JgSQEGYhcMGGF7a8HKAJVk4WBHnGHMov9B1mUMFIMLaSC82P+mfMCfCKZg9cxSz4bPl&#10;jnEoVjAlANHGlzeFGBwD5DddY9RzyX9zXs6v3DHqan6TlsexXSOQ570kPsca/SL/zldf/aHODq4u&#10;w0KJ6bDAyVSx4D30wIMRrim3OJaaHbxURcXKhHVoO9DbwikNvZN3DbRTKr0+83SXdObPTvtf51sw&#10;JpMnTYrPStE9FMbEtXEG3iPXWpjjyVRC0ztufQMTjknnZ6GEBfMXhHOrAJOGGaXA5N7WrdOavKH3&#10;vGmUajvXfQ4gfhVDOXNmMNtF+Ia4vHSuljPZcw/cd38aOmRI6Ep0wi5E0I1p1AmYiAFbdIkOpSEq&#10;oiUtkXOzs7UoW3CLBZ9VQEnjM8/Ec3r/g48ipEMwKrVUgz+N98aOHZda3NUiL2jfKwtMLOAK7GHI&#10;CF2HDR8V80A2FhCCLXN8/8WkARx+Q7YOZoTzJGQltiV2VZDPjt8cKgW0xTyq6xzy+eIa380g4M2d&#10;b4fYF/ByngASxsh8rQ9g4rccx7m7ZmyP6xVOAfoIXbFEwlB+sz4BkXuF5VqydEVcm8J52gEIYb33&#10;3vvpq7yZwG4dSWBiTnCinKnwhlDgxAkTYmdO/V8drcz+Pf+9qmjZydFkTP0F2Trvv/9+AB7HPpLn&#10;XjroLYSThJU6Pt4hnXbKqf/rfF2L3en4sWMDAJTTxTjfwpw/x38gO/L3/ExkIwE3MiGYayY+Fxpz&#10;LkUq9X8dwKQU96TcffFvzkuNFXVLZBCVMldqykjzl003ZV9zxUMBVpVR91EAE0zcA23apI0bNuyf&#10;4zWNYi4BEFgOwBhTct3VV6efnPCj0G1VFzpl5q2QpKyscXnuyjoz1woAXJtzaMhRJ2BC9Lot70CJ&#10;E6dOmxm6ArFzcftDdSIVa3grHLdnJuRAUCrUoFLrpPzfAQMHBzBR4VJBrO3btu+bAVXZGBbj997b&#10;G4AUkCGgxUZIzcWWSA+vYkm2Rp0OThJDAsxy1HQQGASARd0bXXY52HLnejhmPobY9/0PQgPltxU1&#10;I9RW5wSbc7i/6x4CG1gQYROaDkJXbJDrDaErUJIBvfOoL0DiOH4b8yOEQyukkq+wGhbTvQUeLTz/&#10;+Z8N43gsbvuZkxdfjJRgGgcOvrrKsIWJe2NYWrdsWVUSmyB2XwOxhtrNKU4lS2L+vHmRJvyzn/70&#10;f51nAJMrr0qjR46KkA8QUQpM3AMLvX9zL377m99EbSCC1B3btwcbg1WSnaF4m0q4kyZO3G9CRHPn&#10;zInS8gSqa9esSVvz/AEggBj3FssCtJQDFH6feH1UPj/hAmyUrJzi/Dkwu2bCXt3A1dEAlCrjyI/9&#10;wOTMs9KD998fc+F/8npam1EIXXftE7palzElZxxE6FqYd0sDP+/is12f2c+UmJ/lwG1jGHUCJp99&#10;9nnaHGGc+ZEiTFdAYGfHZqGsr0W3Ykfeil2+0Jswy8JFSyNjhHPr0bN3atWydbrw/AtT9+xc3nzz&#10;zX0zoAqYfPb5F8GESA3nfKXzCh1wyhgYgIW2QhgDcGXCNz4va4bwFXgR/uPQCxah3HkejhXX6PhY&#10;GYBaurFwknMEJLAc5b5bG3N8wMY9dKz1L26IuiE0LSHiXbk6wkaF0LWuWpmDmevy27KMgD9MFIDo&#10;vaTTwWYRqjfkbsgixyGLf+/Nu3YVSC2Et950c+zqyi2ahf1LEHt6urMQxGbn3ZCCWKEULeIBA+JE&#10;wPzA8wRMpAuPHD4iOgpzFqXAyb32/90DYkfl91evWhViWTqap558MirJ3nXHHem2W25JN99wQ2hW&#10;CrvlxpvSbTffEjtb6b5tWt8TqftTJk+J/iXSfDEitDClgKgYfn/Hjh1RKwMzAhQCI8X5Y7BoDK5o&#10;dnl6ttuzcbwKMGmYcTjARMhH+IbQtXOnTunaq6+uUehamEwsvcz0zTG3gWTz0/w5JoCJHZgy9Gh4&#10;4jq7bDtCi2C5xbNijd84beyGHTanKhTwTLfnUps2D6Trrrsh9e8/IO8M39k3A6pSKmV5SNf1+SnT&#10;pkfbfpk1GjoCOUAJIe3UaTNC+Am8cNKEn2+9veuwwMChGCdOt4IZKmqgcOYANRaj3HfKWQF0mDCR&#10;e1eEq2hKAAJshWveL3TdF74pd7zDsapQ3IcRpnI9iuVpC0HPUoRWLT5HY1jsfp9Bka6pC+cvSE91&#10;6pwuvfCiSLstdZLVGeFsCGL7VRV9QjkXgtgjObAfWzZvDpr8gfvui4X/wHPjBK7MTl33VVktzk2o&#10;LMIzeVfLgajkCTxs2vhy7G4HDRwYtPutGXBccN75UR/owONWZ9gOO10hVRoc54ZNAniAIr/n972X&#10;BVOzOV9Dpyc6pdPybvqEDPZKKX7nf8L3f5BO/9lpkUFF6F4O4FRG/QzvQhHG08Omb+/ewWK1y8B3&#10;c97I1bRpAHIB80Loqk6JUKIO16XzpJx51+iL/F7nPB9sFN7IoBUAb6yApBh1Aiaqgq5YuSZ64wAl&#10;euEQLapHUW7xrFjjt9h173k3mA6VSLFg3Z/rmdo/1iG1anVPGj1qTCyyxfCC6adDT6IPiwaO+u5w&#10;yEIlNCfYggXZ6B6ENbAkSsrXt/CztgZI6EVDz8KJqw57qMAkAEm+/kir3r4jKtRigjTkE6Ly32Ur&#10;VgZTEtebj0+8W+54h2MffvSLCMNhn7BdAKVn59refvud9Omnn4XDOhrDoqc0+qe//jTtfGtnmjVj&#10;ZoCTW/KuDfVc6ijLGcdpMb3rzuaxkAMnQhlf/va3+37hyIyqzskrU/8MiFTDVOvhwHPj2HVLfvaZ&#10;bhFqEc4BDmhCOB7pm/Pmzg1QxRnYGd95++3pqiuuSOeedVY66cQTQ+dx4HGrMzR90PAZDN1+y60h&#10;muz4+ONpYAY7QI9mbUJezqE4D9k2Dz/0UHQVFkI7cEdd1bTthChbv37dugowOYLDu1AAVnNFNhRG&#10;rFvXZ9L2bdtqBCYqur7+2mvR8M87BJSE0LUkPFfOvGPYMkLnzh06pulTp0WYUghHGLDJAxMXUNiH&#10;H/48HE6RjcMBqRUhrbPc4lmxxm+cth09B63PDKDxfK++6amnn0mP5wk9bdqMWPiKOUCv8EHejev3&#10;gikBSoR/dCy2Y/e/Q/AZYYzNEeKIomZCGdmhC9nUVzijtuYaZa5gEtRuId52rTUBE+dZWMGSuI49&#10;7+2N0BBw5h2gt3Iv5sydH7VS/E34Bnhwvb5b7viHY84D04XBlHatdglR8caNm/Iu/pP0hz/8MTuc&#10;o0fR2yXa7VH8WxAjrJOduYWVszwYOPE3n8FYACeAAkHq+3v3BjC2mP9//1Ne/Hk4A7CYO2duerLz&#10;k5F5w7GXO7/zzj4nNCgEvuh4TAvmRO8g1TexI5dccGFU1lQWXHabbJj/+Na3/pcY2P92vYUdCCKY&#10;na+MC4wTWl711huuuy4KdY0cMSJt2LAhQJXQkf9qDtfyrrtDWFzueP4N4NHjSJipAkyO3DBXMZfY&#10;LaLwUSNHRsYagPL2zp3fmMPFGus73h8s3M633vqG0NXzNx8O9v54vt4fGVnPaM46e07om4BW76Rj&#10;p8aNS2oGJm6SBc7ua3feodGXDBw8LOhqlTgJ++zcyi2eFWv8xulynpyuMAwR6+Chw1PPDE66duue&#10;ne0L2cF+FA6heFkIXzEjgIhUYTt15ePNiagCLGyT5wUdCYYEIOGcGxqQFFYFTHZFuMq5ASeAiaqz&#10;1QGTj92XfWDEZ4rCbZu3vpZezMfBBBV9b2ZnQBLXvWpNMEPeB8DhSACSwpyT33I9nplnASABWwSj&#10;Qh+e2dEe//1f/x3pjcBJUZ3y6suviHCNnXu5hbUwC/BF51cJYvv27pOWLl2awcn76YvPv0h/++vf&#10;Yj4Wi3l9DAAcMOmcd6bXHwSYnHLSyVU70SeeCHp9d54bilSpBsuBXHPllVGYrdx391t2Hj7z05/8&#10;JO7FGT87LarM6m2Dfj8YeHNfTjsFi9IstXukbRo7dmxat25dZHlsykCJMNf5lftuYY7dovldFWBy&#10;hAf/KRQDNOqtJCOmw+OPB0DZ/c47++duAUi8s4DMLz/+ON4Z86tTx44Z0F8VTEl1fagK805h2GRj&#10;PfF4h2Ar39i+I9hL2V1NZdQITLz8mvZ9mRc7dD/1vzRhOhOVOxWRIv4rt3hWrGlYwQio+UEzhA0b&#10;MmxEdB4Wnng/O8Gq7I7/jEVM6Ec2DoBaVf13fMwLLQjoKjhwn+E8S1mSowlMFHYTvsH0OE9Mg8wc&#10;AKLcd4oKuVEULgMsdUKEMYlnhTEVMou+Pfl+KeKmrL4MI5oTDBRAcySv1+/Q+SxctCRCaqruAkcA&#10;GKrWs7LQHe2B2XA+UmPfevPNNHvmrNT9mW7ptptujt1fucW1MM6TIJbDvv3WW1OP555L816YF1li&#10;4uTmooW8voCJrBe1PbrmXeZNN9xY7fl999vfCXBi8e/xbPe0Lq+DL2RAA5RcfMGFGVycWGOmhGs7&#10;7dRT4xi35Hsh3EP0S7+iIu6JJ1TfgO3f/s//Ce3JT3784xC4Yk769+8f7MmEDI66PPV0anbJpWW/&#10;W1gFmDTMKAUmUnQnTpwYtUcAlHf37PkGMDGXrbM0SvpPjRw+PLV/9NEAuprtCd+UY8BKzftC6KoO&#10;D1BDU+Ld8w42hvWgtqNGYOJmKaxmkdWbxCIImNil0Q5YjO2Kyy2eFWs65vnSCq3PDltpev1WVIPF&#10;jGDKqkR2f0//+Mc/gxFQet7f1T/xWeyBvkhFyKZgSAor95tH2vyu83A+2iPQgihND5gI6xBtq+VS&#10;nGPBHAEW6p/semdPzG+pxrQpVV17p0bYZNKU6cGWACWu2+eVhW8oEAb40cwAiFOmTo8aNEAKwPKP&#10;7GgsdPXlsA93OA+LIiYHOOH8n37yqXTpRRdHeKI6B1xqMmRuv/W21C2Dmjlz5kR/EJkpdpc2T/Wx&#10;6ErrXbx4cXqu+3ORSVQTcKLTuO/eNmnm9BlpxPARoUsBSmhIOH5OxA4WAwJonHLSScGOKNwmHHTb&#10;LbeGmPGZrs+k53v0SD17PJ/at3s0Nc/HufrKqyJ92i5ZSMj3hYMAHsd1fLvnM08/Pd2RQU3HDh1S&#10;pyeeSE926hxpwmdncFPunAurAibNQ1OD3m8sc+VYG+alcGbBmAjLdHn66Qwgx6f39nX9ZvzsH7Of&#10;9TmiahWU9ZK69OKLa5yHDIvmXRJCVJ4+hK55zfvyt1WFChvTelCbUSMwgaZ/my/O7tcu04IclSXz&#10;Ii2MI5be0FkWFTsyxqkJBRA0CwuoBivVV8jACwOgAicFMMGYACWcIzZCxg3HzjmXO35DG1BibnLi&#10;aqyYs5gdoRxgwnUUICrYkTzHCVb9zecBGIXS6EhC0JsdPwD2L5Zka7CI6rAAM67bscqdS32b0FLx&#10;nBRW819hHdeLLWlsw6Jo14ZSfjODvf2C2BtvijAGR1luwS1MkTA9eIQoOF/6DvVAZCs4rnXqcMEJ&#10;nYgU5T69eweDQR9S7lwK4wgUkRs6eEgaMmhwUPQEqudn0CEU4+/nnnlWuu6aa1Prlq2iaJvaLorI&#10;cTxqlixZvCStXr06QjHr162PVviEjnbUMn98HnihB7ny8stDdwOQOL5Q01VXXBki22HDhgUwAd4A&#10;GqCp3DkX5n7fdeedafnSZekvX/9lf1isMup3mJM2dUCvbCnNFaWMjx83LnoaASRkEtZWNUoWLViQ&#10;BvbrHwXYiKyB2ZrE0p4loSumRKhUQ80dGZQ0FaFruVEjMIGmP/3ss6CIV61eE/US7JLtFlH/wjgW&#10;9XKLZ8WalnFqnDV9iLBAVZn66aHH4NwV2PvrX/+2H5jQonCIS5etjBCOudAQbEFNVpyDeemcpArr&#10;G6N4nDCMKrBAlDCNjBl9fbB+QLbrAEgKdkSoiqiUoLdowPfmzl35fhD0VlWpLQBJQ16391EWlXML&#10;bU8+P+naP88LoMWusQ2LI+cHQFioifoWzJufnuv2bBQsw5ocjKb2t2JXePlll0U675DBg9PGjRsj&#10;rGMBdt1+p7CDjdLPcR7OTd8YGUCRlZOddrmsnFJDrV+fQUeXp7ukfn37BeDo3q1b1CfBcHAWwjSA&#10;w+hRo+LY6qTQsjhnzdvcC1T/13/+Otgf/18BNdkYH7z/fmRuACvCNO0eeSRdfMEFEUoCPM447fTU&#10;qkXLNCL/bdGiRemJjh0jDFSTOJK5n0JHGsn94auvIoRw4P1jlXF4w9wiOgWgX85zdeyYsQGsAU/1&#10;RPhXoIRoWZbX052fjA7dZ+VnC5AcKJY+0OK9yO+OkKCO8JgS2hS/6V1rqoCzRmDy93zjdJEVjxef&#10;RxkDJmhjVT5R93bJ5RbPijUtK1gDdTk8XyELznlR3tUBK9LFOQDMStQ8GTU2gIl0VeEOzrrccRva&#10;zEfzEqug0zUtlGwyIEsRuRCpvr4tgDV2RH+eDRs3BQsi1RczApgolObz2BJgBkMo7bg0XFXu9xvC&#10;9DlS0p++BzBxjsTLwFFjBCalA6NTCGLnzp4d1LMMghDE1hDWsRCfcvLJ6fJLL00P3H9/gBOFx4q6&#10;Hpx7bUITzsFcFl6SjQMwaKo2sH//SPFVO6SmJoTOVUgGa6LEe8/nn08DBwyIqpzCOg/d/0Dq26dv&#10;mj1rdnrppZdih6xpm9892HDunArAUlT7VEl38sSJqctTT6XWGYzce8896cEHHkxPdu4cQMp90G+o&#10;JqakMPeRDgUjA/hISaWxAZjcQ3OoCAFUxqEP99A9VShQGjem5Lnu3YM5eS2vTebe5ldeSS/MmZN6&#10;5H8XQvQeAOAHAyTM/PPZckJX86cpj5qBSUbSv/jFL6PsPGclA2Po8JHRoEx/k4akryt2ZM1z5NQx&#10;BwqiCdPIttH1l8N+NwMSixbHvHTZ8jQ+MnGmhwNXvKyxpI2XghKZY4TaAMas2XNDM+Na9MsR+gBC&#10;Zs2ZF5/BqEyZNiPYkf1alAy4gBiFzIq0Z/eooRmSA82mABgZPnJ0aEw0U1RXRf2Sxg5M7OI4Z3VJ&#10;FGGTrROC2JtvqVU8/Xvf+U4wEkqrYycef+zxNGnipLQtPyeAh0PnEA420OfSfO1aZfsMzo6d0FBo&#10;SWVOlWprI2DlQDAjN153XQCSYUOHRsYFhmTu3Lnplex09MDhLOxia1MoDhgo2CX3CYOClgdQiCIV&#10;rZsze06IG/2eSqDSqoVwsCnlzrWcuYeXXXxJurdVqzQoAyp6E7U2gKdSBqUyDn14jp9ncEn4itUi&#10;fh00aFBoTdasXpPWrVkbocD7Wt+Trmp2eWTUYOJqmnvsG0LX6YSub4SmxJzxu0151AhMaAo+/PCj&#10;6BoboshxE2OnzHG9+977R3Vxrlj9m+epTse6FzdE5gnGRP8VTv3N7ETQjvQUa9auS9NnzA5nLryn&#10;0ik2QZrtkZ4Tjs+AYiDB+QhDCcc4d7VTMDzCNwAJIK3OCL1MFIDLVvTu8e+YISygTCShEdk2GJKt&#10;r22L4zl20eF4v5U5r4YwgIgR5TpP1waYrN5X6PDz7Gz/q5EvSpwdK3aTmBNhHSWzr7ysWaTMWpxr&#10;CkfQWfjshedfkB5v/1iaPn16xPE/2ldwjHMtqGzG0fo3YkTpmNs4i4WLUu/evdPdzZuniy64MCpq&#10;1rRTPdB8HvUurbnX8z1D2EhEyxkBFBicUgaC1TSKzzHfYzYFgBcwtUWF5bw5UA+D2FVYh+akpnTS&#10;A809BsIwPNgePXqINIW1sEkFQKkJ6FVG+WH+mQNYEeXgx+e5AQSPGD480suHDRmagWHraBNgztf0&#10;/Mw1n5Ol413p8uRT/6ro2kSFruVGjcCEpkCXUoLB2XlnqQCXZm8KSaH9yy2eFWva5rkKbwAbRS8c&#10;4QKs2eeffxEF1l5++ZW0IDt44RGpqjRHwn36wQAMR9JxF8wOQCKsxCFLW5dpo3gacapQk5L4o8aM&#10;C63M0Aw8FH8zf9m4CZPib1WAZGSUdAewsBCyzVwLLY1Mm2BIMhgpdy4NaQBRcd1YHDog5y6cRny8&#10;65130m9++9smtVuyu6OnqNKczEu9s2OXjXBR3v3XFGP3t6q02RMjzfb+Nm2i3okCY0I7v/7Vr8Kx&#10;Wqw5V2yFWL6/Cdtw6uqA0IGcf865AUrqUpW11OxeVaslmsWcDB82PC1btizCN64R+3G4zh2gCuo/&#10;gy89U2Q2yeC58Pzzo1quDKC6gioG4J1/zjnpzttuq6oqmwEKFktvliL01BgF1U1hlAITomZzjvi1&#10;fbt2Eeq76/Y7Yq7LuDoYKPFc/d2zujjPM+JYLQoASZluUow9p2Nl1AhM/vKXvwYtvmjxshA8WgT1&#10;QRGTR2uXW0Ar1rQNQ4D9EMaYn3eUHLgQniZ1H330i7R37/t5N7gtrVq1JkIfRZdpxcfez9+tz2Z1&#10;5UyNEc5ZuXfC1qgxks9ldt45YEBGjBoTKe0ASd/+g1KffgPjv/2y9R84ZL/5NybLDCjRZwYoMd9L&#10;wzWFlTuXhjTn4LoJenVuds8BE6G29S8SKO+JDLqmBEwK0IAN+Pm+ePuYUaPS3XfeGWGd2ohi7foJ&#10;AC3utCFdn346OvdqPlmEdQADoRQ7SztXzQWrqrv+IMAI6jwYmkNw7Mx5OIbwyLVXXxOak3HjxgX7&#10;IBQDFB3uc8FgSJNeuHBhZOBon+/ciV39/sHuU03m3Dk9GVLXXHVVatu2bZoyZUqwM373aLU3aOqj&#10;FJjIwqIjAbwBaSxJMffKPZNS82w95x9lAKqqr07U5rJsSYDkWGO1agQmX3/9l4hn251p3AeYzH1h&#10;QRR34sDKLaAVa9rGKcvC2bbjjdBoYEyEDPSB2ZSf++bNW9LGjS+n5ctX5jkxLQ3OIEDIhybj9e1v&#10;xHexJuWOXc4ODMlgbDhfx3l71+4ocEY/gSXA5OhDAxirubJiFZ3I4qirgwURjgE0ABP/BZqKUI30&#10;5v4DB+8HK+qw+JxQFYZlXXbuhL+ydcqd59E2wMT9weR4/1xzAQoJX/3td9kJ/ncTXKAsrICDtEr9&#10;W+za72nZMoDGqSedXOu4+6knnxxalafzrhRV/lJ+poSdW7dsiZRcYZanOj8ZBdvOPO20w3Lm5QxA&#10;khlzw3XXR+O9wQMHBtWuKqtKn0IkBK2cvevFggBlHD92B4Dx/4vMHAzJO7t2BcCRykw8KeQlbbom&#10;ce6hmNL3NDPACfAzNYMT2SSei3OsD+bneBjuEZYJMKbbUXsHKLnvnnuiYq+eUeZ0uWdQaua8z3kH&#10;hG6kjZtTstEKPZV351gbNQKTP//563AKdsYyctDjYvScQwWYHJuGKfBsAQMhOwJY7AOAMl2WikZ1&#10;GbAsXrI0TZw0JRy+cA4mTShFbQ9Ao9yxy5nPYt+EZThdoRmhlCJbZtXqddG5F3jgjM1FIaQJk6YG&#10;GHFeSrIDIpgQ//X/sTwA01TNBvN5jhw9Nv5WMCn+9+h83mqbCIVgXwCiupx7QxpgUgh7dTOeMXN2&#10;ABP3BaDS/ftPf6piCJracM60GBZa2SEW3mnZKcrYueaKK9PPTv5pMCLlFu9SswP1WaLONq3vyc7g&#10;uTSw/4CgvZ/t1i21uefeSDfmfGtzvLoa1kWpeZVhZezImKDfeO7ZZ0Osum5tBu8ZZGAipA0LLQmX&#10;ACJ0Map0cjgaZ2oIKMVY2KZvnz6ho5HiqzAdR/XtvIMudw6HY4UjdP7qptzTqnXUaFHqHpiyO29K&#10;jNzRGu6Re0VgLaNKbZzmd1Q9O20IAMDaAG1z1LM2jzp16BhzAVD8OANFIPZYBYo1ApM/5YXi1Vdf&#10;z6BkYjRqw5hwEqrAVoDJsWkcYMFgAAaYMg5/wKAhadDgoWlMBgIzZ8pymZ0d+7gIkQTzkIEAHZKe&#10;NADGe3s/CPaj1AimARAmywX4kfrKsW7N80yIQnEzQGGFSq0LF4fIFigePmJ0BkFDU78Bg4LtYP4/&#10;lqRgRgAS2USTp84I8a4MmzkvLIisGwBm2IhRAUicL+Di2DJaFJErzbgpd1+Otnku7mFV35+NARJd&#10;z/wFiwPMffb5F8FwNuWFimjPgotV2LlzZ5o+dWoUGLvhmmujmimnWYQuyi3khfmMUvY3Xnd9uuO2&#10;2yN757prr42Mm+9+++A9eurbgKVrr746eutI68VCCMesyKBDkThARRVQbIrdtUyepUuWRENAtVHo&#10;EW6+6aZ0/rnnpRNPOKHeWZ5yBmDRrQBw92aAJ4vkrbfeirAE5sQcOxYd4uEO7AXmCxsGeKriiuVq&#10;c++96ZyzzornFyHDMve8sCJsQz9FVH3d1dek9m3bpamTp0R40rvhHTmWR83AJO/AiB4t6oCJHas0&#10;y1df2xaOq9wCWrGmbRxgITDFWmjc6NkPGz4yDczgZMjQYWnkyFFR2GnAwEGpZ68+qU/fAeHwsSuy&#10;RVavWR+ZPRreATeFARyyZRQrUxdH2nlUV12wKH5HyFBogtMNVmTilGBjiFcHDhqa+vQbEIb1AEj8&#10;XcaQYyg45thSl9UkoTuZv3BJCHidF/DiHDEnBNzz5i+K8zGXlZ8vQInrL3dfjrY5N5lHQqv0PrQl&#10;w/I1FcCEMLmpAxPDLhBzgjmQOSNjp3/ffsGAXHDeeVH91MJdblEvzOJf9Nk596yzA5AI3dCt1JT5&#10;UN/m91D3wiNqnnD0jzz0UACOjo93CEYHUMFKaE+vC3Pbhx+JbA2VZK9s1iydfcaZUfCtLunAh2XZ&#10;OdL3ACeXXXLp/k7G6rFgeIpMo8r41wCqsV7YjNcyIKEp6d7t2dSqRYt08YUXRo0ZILU2oFrWjXT4&#10;e1q2Sn179U7zX3ghAKzwnvCfd+RYHjUCkz/mmyD1UhdZzonzsJjb4VYqvh67VoATIRWMgvAJdmTA&#10;wCGpT59+qWfPXqnHcz1S92e7p2755ev+3POpV+9+ARhkuKhvIoQCyAIOwjwM+4KpCN3HPuZCKIj5&#10;bqlViVSrmBGhl94Z/PTs3TeAyZChw9PYcROqBKsvbYz5SI+C9RCOUWNHui+wotqrFHfHBEyEdWQR&#10;EboqQV9Ub3XNjRWUsAKYSIdWjRcLBGwda8DEAo8Kt/j+KS/0HCGnLbaODlf9lL6ipgUeOEGXW+iF&#10;Pfzvg+1WHY/5zMGs+FxNv19qfhtTg8J37kSM0ntPymADq9O3d+/IhOnw2ONR0t7ffQ5DRJRanHtt&#10;f7M218EOeh37/uZcADu9fVQu3bt3bwBH4KQyquardw5QkwlGzyQMCXzSGwnHAHnF/S57r/eZv//g&#10;u9+Nrtrm+oD+/UOfhCUBerwT3o2mng5c06gWmBQLA5W/eHZVzL4qLVRNE4LExhqLr1j9GCdtdw6I&#10;AqTCKcDC8z17Bxjp1KlTevihh1Orlq3T/fc/kB57vGPq0vXZ/Pc+AQIAD+EXoACwZVgPAObZ7s+n&#10;rs90T091eSZ1fqpL6tT56dT5yS75+90yyOkZAKRv/4HB0GBqZAaNnyBEMz3NzGBn3vwFUeTNXARK&#10;hIQ4beFFTrooLY99wbgwIlcAC7sSDSh3vNloha7lDDBxnVKjtYeQwi2U43qExqqyP6po9mNhWHwJ&#10;CIUO6E50wh0xbFjqmJ23wlKYEM693AJfW+MIiiJpCpRd0ezyAAq33nRTsBV33nZ72B233hZVOf3t&#10;miuvSs0uuSR690gxrgsDwzlJ68VEnHPmmXEszAlR7vJly1K3rs+EBgZgAUjKHaOcuY4oVX+CUvWn&#10;pUsuuijCR0SyxMC333JLnL8Ccrfka/NfWUl0JNJPNQt0Tn7zwOsB7PxNKEmqqzToPRn405wcz6OY&#10;m2rxKKInvVqqunCd8ONV+d4ClqX38mAGAOqt5Jl1eOyxNHzo0NAYCQkJ3fi9Yx2QFKNaYFJFp36d&#10;PsnOye5MhUk7XYugFu8W/wowObYNMFEFdtMrm9PiJcsi/AGYPPd8rwwguqZH2rZNN95wQzrv7HNT&#10;s0ubpTvuaJ4efOiR1KFj5wAdAAaQ0rNX3wAjrNuzPTIAeTqDmCdS23bt4/P33f9gat26TWrT5v7U&#10;7tH26ckMVJ7r0TP1HzAwjczzbvKUqemFF+aF5kQK8+vbtgcYAZpoWeguAJJgSt7ZnV7auCkANOGr&#10;sA1WBqiaMzcfY9Wa/c0nfa8u2UNH25yr66PDEQLD/AAmGC09cojtvLfHyuJVuhONDq2ffBLpskI7&#10;6pUI7RCYllvka2uYCGESQOehBx4MgaxqqmPHjAmhoYZobFqeg9J/h2dg1LtXr9S5U+cQ0ja79LJg&#10;Qcodu5zJ2kHp+02F0Xo9/3wUhhMi2bZtWxozanToEYgko1dPDTvswgCeqmJz50fGkYaC/fv2jUJe&#10;kyZMjPRS/VlG5+OPGV1lamoQ5T6a32O1XLAi0p0Bp9Jj/1s+NsYJWFJhtl+/ftEGAFg8ngewAJQQ&#10;Mus51KdPn/TIww+nm/KaiPXSBLIuoBUo0W6gd89ekclF02POYw29A96F4x6YVAl4qqp8qiqJMlYj&#10;QtGtra+9HuXHK8Dk2DbAxE7cDl22jdBBMCa9+qTuPXqkDh06pFvzrlIsVJfTli1apfbtH8/Aomvq&#10;kcELUAKM9O7zL3uuR6/0TLdnA3w88UTn9NhjHVLbto+mBx54KD308COpc+en8vd6pYGDBqcxY8bm&#10;RXtGWrx4SVq//sXIDgMmSs+PsxaKIaotKr7qAAyIaDJIh4LtE1JSJJCe5J3ddUtnbizmnAlfFZLT&#10;HkKVWiExuhoZOccDzftfedcoY8VOclAGrmo66BdCT1LQ5eUW/eoMG4AJuKv5Xenpp55Ko7PDXrLE&#10;fFuftmzZEgY0rFq1KnQgs/MaSQg6auSoAEcPtLkvQIRzOPnHJwb7gnWojrK3K/a+3HH77alP/j72&#10;YceOHdHkjaMnetVzR98bYt/qrofDA3L8HkAC6GBIWrdqFSXqB+Z7Qyz5wty50Rxu5cqVUXJev5aX&#10;X345qtLKfFJoDluDqWmR7+XVV14VTBQQQnxZeh0Ai463NDL0Js77eJhzrs01Yiz4RWEs7KQKw9vz&#10;Jsk9fD6vh7fcnMHdWWfVKo3bffUMzRW6J/NH9pa+Ryr6vrvn3fTPfxzbOpKDjYMCEzURxOxXrl4T&#10;wERqJtEiB2Gnqkx3uQW0YseGcfyAgE68nKGwiCyYQUOGpdEZNIwdOy4NHTI0XqahQ4el8XlnNnPW&#10;7Aj7yKZR9wRLMWs2nUmVzck7AX8PoeucufH56TNmpqnTpqdpGYT4+8JFi9Ny/WzWrY9QjZ43QIcw&#10;Rqngev/57dxVVYI+Aw/N94Q4qorCjQ/hK6BCLFrMW3NaWKT0WpuCVQtM8nUXPXIsoMfycH1f/vbL&#10;9F4GzDJa1Crp8tTT6Y7bbktn/uy0iOdjQco5g3LG8XPCKr86BnAyZvSYND3Px/nz5qUpkybnHWzP&#10;CLc8/OBD0dWY4x+W5zumg1PX64Rjf/D+ByLUAyQASeV+j9N/6MEHA9jIytHcTaaLnbfQiKJZwgGY&#10;GzVc/r3Mjts5C60Iv1x3zTWhZQBmMD0TJkxIw4cPz99/Nnr/hOVzV/tEbZipU6ZGbRdASI2U3bt3&#10;R42UNatXB4gBOJ7p0jWEt5dedNE3wkkcKeExcKK67epVq+O8j/UUYsCEnobGQ0EzlYP1uZmSgV+v&#10;PDceyfMCS+K5B+NUzbMvNfdVKwDMCkCiOaPsnXVr1wUokTZ+PIuLqwUmf/3b30JfYie6fOWqACbj&#10;J04JkMJJ2Ek3xV1nxepmH/78F6Hd0IWX0JR4dMw+0akaJ8IKO3a8mXbufDvCDMBDkQ6seqw0XKGg&#10;woRhhFGKz+zZU5UyHLa76rtCMn6zCNEAI1gRDJ05pzw8YOH/73y7KtQkw0cqu0JqnDU9Cz2KAmy6&#10;CDu3Ih3YMYCactfbmM15A2GymxYsrAImQqzYLPUSLKDH8s7VcH1FbP83v/lN0OjrM4Dt07NXBgXX&#10;RRM0LAInWh1rcaD5LGfCsdzd/K7UtUuXqDsxdMiQAD035OMKq9jZMuADW6MQnPDLnuzcsRCTM4hR&#10;Jp5+46Qf/zgA0oHnoIsyAKE/0C/z8ywyLFwT56fhG7AijAQo/ce3vunkHI+I9szTTw+G5ImOHQMg&#10;ydiQSirdWJnyjh06pksuujidla9JTRIgQ02S3r16B6Bw7/6RN5/u41++/jqcLhZACf21a9ak0SNH&#10;pvvuuTedsi8DChjy265J6EoK9rSp09JH+f0EqJz/sTKK90jopGBKiuJ/mKa5eUOF7bqvzX1RLwcY&#10;AYjdp5rmnb/5TAFK7rz1tgi5rV27Nu3Oa5T32DPxm8f6u3ywUS0wgYI/++zzcCLi2RZ8MW3OyK6N&#10;42iKu86K1c04Q6CAnkP9mhEjx4RDxIZgIYDUciE9jh+gADjMocLMm0MJATpeAUYIVmXgvPb69jgH&#10;uif1SMJRZ1BinqpfAlBjW4AdAKepA2nXvuONt+IdxDgpMCe8KivJJuJ4GhZtjpxTRKkvW7I0Mlv0&#10;HyEeLMIRdWFPhIOwAZxuqxYt0wP33R+iUWXai89wLM0uuTQcvHBPUbL9l7/8ZYR9OC0aAWmePkcc&#10;W/obN15/fbAxMo0OrNrJEar6yjmtXL4itW/3aKQ7Y0cAAyCFE8TutLz77vTcs92jaBvGQ9YGsGGn&#10;jf2Qblw0Q+QIfY8TdU06E/tsuaFJJyGnLsajRowMNuD6a66NVGuhncL5KvglY0S21M/ze86ZHgvD&#10;vAIU+T/3Qso6dkl/ohfmvhBgVUVcAPZSoCQD1dLnezAzFwFcomngVW2SwRngrli+PH7DPBKpOJ4B&#10;STGqBSZekE+CtnozHJJYPTGhDA27T7vZCjA59s0zZjRFRJbYEgCA41fPRnikXNo4IAEIACdAQWE+&#10;eyjzpjiepnrOZYMmgouqapQoqCZ0Q1eiRL75ilXYkecuYOQ3fbepz1fABBjDDulbpbMzVkivoC+/&#10;PL4yJCzenLqFnDhQWEJWBNFgAQxoP+okTM1OlzBVDxNg5OwzzkinHlBxFjBxXKJROhehEGyD9ZKz&#10;l0q74aUNIZh9snPnyN4p3UHLkBGq4fgAq9IMqlKnCGyoVktcftbpp+8TzVY1CmyRQcmggQOjoqjC&#10;bEWjPeCAIBOD9OD990eWTrGD931OlFgX4OBwy43SkAUNycoVKyMEdOcddwTzoqotB3vxBRemJzp0&#10;zMBoZrTbB7KOheEZuIcAXhRIy3OKRkemjXt69RVXhEZIGM39rE3YpjAg8ZJ83whchd70c9q+bVto&#10;i9xzc9mcrgCTgwCTP/7xT0Fdvfba62n+gioKX+x+fX7pLPacTAWYHD+GdRAymJTBKUZCawI6EsX3&#10;SnUf9W3mWAFw3t37fuhdNm3emkHJ0iiaJhVZmFHtlGkzZgUoocHAqHDkvt8UwzalVrBF7gEtjRL0&#10;k6ZMT1OmzoiCdMJlqObjdZQ6dLt9joTjpvmQNksXIbxThCTKOY262AXnnhtdeLEVQii/+/LL+H1O&#10;xX8BBeEY4ETmkHAIxoLwVQM3zl6IoLosC/8OcEyaNCm1ffjhdFV2hr4r1NTirrtSr169QsyKWfF7&#10;xbH8l3Nbt2ZtaERKz5lWRXEvbAtNDF3LwYZjFWBLj6HuGYhpTigVmQhWwTgZOr2e7xkMjd1+ddfT&#10;WIdzLZ4ZMCKsRr+Egdv2+rYAnqrvCut5bgBiKcisyYBCWhLP7qcnVWlziKUH9OuflixeHCJu99jv&#10;V8DIN0e1wOQPf/hjsCLi9wSFGrXZnUnXFKu3C23qC37Fam90H2p/YEoAVKyJTBfN5I4kMAEuhH8A&#10;Emm+MlCUmFc0jZYkapNkBy20pOKrSrVS2c1dgMYcberzFChxHwAzlXSnTJsZ1w2ILVm6IsJs3tfj&#10;dZQ6mC/zTld4ZaO5OnNmlHQX1rju6qujhw6AcrjgRM0TFVw1ZSOQ9XtEoEWtCewBcEJ3YqdNq6EW&#10;Cm0KEapsGJ+rbnfMwdsUytDp06t3hJUU6rrphhtTvz590+oMBPxmEQoCIhhg5jyWLFqUWjS/6xvn&#10;zDkCJTJvhJKAmoMNx8OecJxqlkiHlSYtFVntmOJ4Qhqq1WJYXFNTAifOE8vknmEtZNjQ38i66tXj&#10;+WjC2Lply6j7osZNXWrmRPjshydEB2jP3bFoSWbNmJk25s2954eVcY+rmwfH86gWmNiB7dnzbvTk&#10;mDVnbtSCIC7UI6dY8MstohU7Nu09IHXzltBzSBvGUGBOdPgFVOsTADgOZ8wcG9Dw20uWLQ+mACDB&#10;4KkWq7aKrBuhG0X/MHnHClPCXEOEsPJ1KZtPfC6cNmLUmACJagy9++57xwyVfqjDws4pco5Ygz98&#10;9YcqZ7N9ewCUJzp0SFc1u3x/V9cixFHOqdRktChKjNN5CHPIDrL7xS74bcbhCS8pCjd61KhgFmSy&#10;qINCr+D8/vJ1VTiHY2LOHbjy/V9+/HHa8NJLaeKECREykcb7aNt2kcosDAMwFA6N+d/Eq65ZSjMg&#10;VJyv6xSeUqukSwZG0lExHAcbxf0EUBwXE0VT82SnzpHain3CnEhpdg8+yH9vjE62uD/F9bDiXhP/&#10;AgfCb69s2pRmTJ+RevXsle67t02E6wALACwqt+ZrrQ2g9RlzS8rweWfTktwYmV6eCaG050O78ve/&#10;/b3JAbmGHDUCE8K6ApjozbHl1ddi0S+3iFbs2DUAQchg+YpVoeuQ9cJBCu/s3vPefjBQ7ru1tQLc&#10;FCwJkbW6I5yvEI3fxRQARRibKsZgebB4QIkMsmMBjJSa68FO0nW9+vq2DAyXBChxD1w7HY3P2K1X&#10;xr8G5wOsEYVyCBxDzx49UruHHg7hoWqn6o7QS9SVQRESKTJd2txzT6SM2mUvXbo0bcmgY/c770TX&#10;YIJGoR41UKZMmZL69ukb9UWADZkzWJ13du0Kp86Eb+zaARIMhaJogwYOCqai2zPd0uTJk9POt3YG&#10;6DkQAPj/WBA7cRk9tCzF+QImNDPN77gzPd/j+WBcvvp97UN/gBJwAnwpzCZbCIPD+eqU+/xzPaLh&#10;olAIcNKYHG0BRJyX+QCQeTZCbZ7VsqXL4n7pxaQdQPM7m+8HJaXPvCYzj8wLnYDpb27LIFD114H9&#10;+4eWZEcGyOZiwXJVxsFHBZhUrFZmx75txxshfqZriDLz2TkCKhiNIhW33HdraxxsoScRntCleEle&#10;OLT3H5sBibLyqg9jTTA3/k4MWiXGrvr9YxGYCEu9vn1HWrv+xWBJhg4fGTWFXP8v8jV7V+20K+Nf&#10;g0MqtAN2xYVuYNH8BaGxePThR9Lll1y6vxPIVOMAABY0SURBVO5JXdgTQIZ2gBhV7ZTLsiMT4hAy&#10;ImqcNnVqhGuk7xLHSuGlV1C87ZmuXdP9be5LzW+7PWqV+KwCXUwdkSLrQ9M87R46dugQjMs66aT5&#10;WK6l3E7bv2FS/KYKrzdn8FWc7+ECE44UOMEIuQ7XqPaGYwJ36p7oouvv7ndjAiYYH+cONLk/7qEQ&#10;mxRrgLLdI23zs7stNbv00nTeOedEmI4AGiNU+swPZuaDeaTxXrQYaNsu5tjihYuiLo2wXBHqA5A8&#10;u8o4+KgAk4rVygqwIGRCz6HUu4qqdu3Kw9OglMvOqY2ZTywErvk4BSjRcViWjUJp0tVl3tA56Rhc&#10;JXB9Zz8g4sALK/cbTdXcF8LjlzfJQloc1w+YEB+/nkHZ7373+7yDpuY/tgurHcrgIEuNg/r5Rx9F&#10;jH/cmLHZKT2SrrjssijFTqBKfyLL4lBCPD/M33UcOpACTCxYsCDSbrdmp61q7KiRI6P8O7ZGaODa&#10;q66OEJOqoYyDV6ZemOj881RTviLde++9saP/5Je/PGioxN+EjjZs2BDC3+uuuXb/ubkeacetW7YK&#10;xkY2j3BCbUdx/zhWZdIxAOq7SD9Wr6XzE52ipsvHH38cAKDc+R3J4fcAkIIZwShhJlzjF59/Edk1&#10;ABsmauGChcH6qP9y041V/ZY899JnWVuT6eS5y9zyTGlJ9HEaP3ZcFLFT48WcK+5fqVXGwUcFmFSs&#10;VlaEE4hL9c3BXujTMj/vCjTMk8Irlbfcd2syx8YKYF42bqoqloYZEK4BSvxX8z1F3ZSVV9QNeClA&#10;ybE6H12X6xPSUt118tQZafyEycEezZu/KIBZoTWo7MJqHu5T6DDyPH11SwYL8xekkcOGpy5PPx1Z&#10;LNdccWWkgQIndALlnFF1ZoeN/j/z9DOixsfdzZunBx94IJqxPf3kk1F4TQM8QlaCSLtsWg2fVTWU&#10;XX/ttZGKqv7I6aeemi675JLomzNt2rTY7XO+rNwAGlQknTVzVjAuspGKc/NbutXKJKKjoLs5FE0S&#10;BgpAkso8cviIaALomgE8IEx4RKikIR2v3yoYHaAIawMgOReAUMl/QKF7t24BGvRD8mwUuhOOOvGE&#10;EwJglD7Lmszc8Lw9P8cxd1T+HTcmb9QWL06vZR8JAP8+bxqcW2XUfVQLTLzAu3fviQJWM2fPqQCT&#10;49w4SGwGdkRbAvoSaboytja8vCm9sQ8olPvugVbKbphLvgfYSIXFkmBGiFsHDByShg4bGSzBoiVV&#10;tUkKQFJkhR1rDEmpFWEt91xqdnT4zoBw8pTpkZ3kPvwjO4vKDqx2w33i2IU9ADr0OpZBuqvaHo+1&#10;ezRdnYECwSO9QJ0FsvmzvgPY+L729XQYmrlhF/S/UZeEENXn//3//t9wisJChX1rn+ZFZVDMCcZk&#10;xowZoR8p95z9GwM07NK1hwB+pBYX5+WcLr/0shDgSv0l9sQq1HW4d+4brYRsJJlJwh73t2kTrI5w&#10;jsq19T0fi2ssDAgvjON3LeqAOC86GNVZAZKJEyam7s92j/Ok/fAs1GFRKK4An3V5vj7r2Xi25siV&#10;zS6PUNCIDG6JnM0lc8o9+s/8Xjq3+r4Xx8uoFpiIZarqqaMr0aFMiJmzXwgxYgWYHH/GSXKEWJNV&#10;a9ZGUTOgYbbMkLwgcp61ASYFGAEspL/a9W999fXQT+j/IhUZ4CHw1AJh1uy5GQitjFCG+eg7zuV4&#10;mIN0PbvffS8YIroeYA0wmTZ9VlR//eDDD2OnaIGuLIB1G5ws2p9D48yEXGZMm5769uqd2j38SLor&#10;OzNsRvQ/yc63ziClxHz3lJNOCrHseeecG8683OdKjbhWKXx9eezCq8uiwWJwhLJ4sCX6+SiiVlpx&#10;1u8LG+k0LKShholrr+swz3wPMyF0A8gRej7evn2aOmVK2rplyxEBJn7XPAe+OH6pycIzhMOEzbKF&#10;iIk1LRw9clRUpBUW8xzvuPW26ECtO3Lp/a2tASLunzlgLgAj5gY9kTYIyvLLylLK31xyf6pjtSqj&#10;9qNaYCIPHzsyb8HCoNHHjJ0QreT1Hfn4l8fuLrVi5Q2gAAiEXIT3gIYh2VGqZSIzhwhVJk2575Za&#10;AUp8FphRG2Xx0mWRgixsAwDTk2BJIuPm5Veqmu/teTd++3hgSpjrw1BhogA/90d6NGCi6uu6dS+m&#10;DzIQROHbmVm8K6P2w/3iQDj2YreNSZAVQ2iqOR/nph7IheeeF7tkItlyzqs2pr+NNGOahNoIK2lC&#10;7m3dOg0eODC6GzvHckPtEucu60PNFo3/AJ/SiqQc68033JimTZkapfNpLw4lxABwFIAOK6HwmLBI&#10;URr/SAETDJfrB6j0JZJNs3xZXjOmTo06MUJk6o0onU+XQ8iq7gjND/0HDcmhgkrPCsNygZotdzZP&#10;XZ96OprtrV29Jqq27s2g9rNPP417+s99oKTyLh7+qBaY6FYqDXPW7BcCmOjLsWjxssjMONadQsWq&#10;N8DAvMBsABAc5tLlK6K+DUda7jsFqBEOAkiKPjfSgGlUzC9ZPhgB/wV6sCeYAgwNJsb3jwdAUpjr&#10;JHqVjbN67bpgSdwf2h7CV9lQb775Vmwg7GA5WA6hwpzUbRT3jBVZPNgJTkeWjIJmD953f4R4LsrO&#10;Th0UmSiFUJbTL+fQDtf0plEnRYE1YlNMh1ABjQcg8psvvghWG3OwdcvWNGfOnKgSS59SHIMzVrNF&#10;tsj997aJiri0g9iHw9nV+66U6HHZQRP6EtvOmT37oMDEv/keQARouNfOw/3GhPwxO3bO3b2nE3GN&#10;0npdMzACCGEmhJBkHbkvNDMtW7RIVzRrlq/7xGA3XHOpld7Tmsyz9Ew9W4yTZw3gePYqturF9MKc&#10;uWnba69HIT+gMN67DESKOVQZ9TNqBiZzXgjnI669ZNmKaCJWASbHrwEXr2zeEnNCwzzzghBTFo1W&#10;BeW+U4SB/F1TPRVaaSaECAlbNaIj6JSBEwLXNeuqBLX7sm4KlqTcsY9VC2CyT9MDwNHySJXGmGCW&#10;FDvUu8j9FPIBTiz6h+Nwjvfh3hXgRLhg19tvR62RRQsWponjJ0SYp0P7x2LnTDNiN063wCGWc3SH&#10;Y9iVC88/P916083Ro0XF2EEDBkQNlHnZOQMZa9asCUCgwJlsH2xBaV8f4QsN49QdUXWUGNS1AQaH&#10;40QxAtil2fm3pdzKQAKeDgZMfKe4t+YqDSNQreAYkCOt9rVXX00vb9yYVq1cGf2Eoo5LvjbC1ac6&#10;d457r0kjwOa+CKtccN55EfYCwErvX13NM/QsVQf2bKVDP/5o+wBA2DNzYOOGDentPCd+neeG63A9&#10;lfftyIxaAROFrKoWwlVpx5s7K8DkODbAhEhVppaU4QkTp0RoYfWa9cFulPsOYPHO7j0RktHxV/O5&#10;ELcOGpr6DxwcHYunTJ0eLMmmV7ZEwTaiz1KW5LgDJtkwUAqoEf3KhPIOAibuGzE6oDJz9tx4Hp9/&#10;/q++KZWd26GNYtfL3EcOXNjCzt6O/q0334rCZwP69kv3tb4nGrJJMz6cEE91ZrdvBy+UQBQrlETj&#10;cOvNN6d27dpFJpFQiqJg1197XRVIyjv9UpDkO4rJ9XjuuThvBd8AhOIaD3U4htocBKZSoOlLAImD&#10;ARP3kzPH2AAkQkqKwenIrLsudspxRo4YEanTj7Vvn2675dbIYAI6XAtzL7Aa7ov77h79Wz0AQ8fy&#10;LD3Te1u2Sn1794msrTfz+1ewTOaCORHvWIUlOaKjVsBES3lUMvpYhc0KMDl+DVggVp07b0EU+dJx&#10;ugqYrAtgYm7QkfgcTYh/e23b9qS1QXTFnTVnv5YEUzJl2vRoSqdTsb47b771djAAjnE8CFwPZiF+&#10;3fNusCbujVTp+QsWB1uFaSo6PROov5Pv8xdf/CaEkJUYd/0PDknKLnCyasXKNGnCxNT7+Z7picc7&#10;pHszSFHQjLZBo7eTfvTjcKBFaKGcIzwUE2JQd+Oaq64KgKJPjRRjZeF1UeasS3+PA7/oggtCf6Eb&#10;8pTJU0I/88orr0TKsPBQbUztEkyBQnFv73w70pJXLF8RYloASbbP4IGDomnhurXrQqfzSvYd/veK&#10;FSuijP6CefPT3Nlz0ozp09PkiZMiHDNi2LAIjzzTpUvq1KFjsD4yfHQyvu6aa0K0esL3f/CNe3A4&#10;5t54Jp7NT/IzouPR/fnmG29M97RqnTrmZ+laJo4fH8/YtX/6608D8FdGw44KMKlYnQzgoA9ZsHBJ&#10;Vdv9KdO/AUwKUIIlUX9DS37pxbRKRTl5GTdACUCikqwdv4wbTlgFV993nON9nmGngBMAz71R50WI&#10;SyiMEF2vIinEWBOhNHWHZC1U6OX6H8AeTQENBCr//b178276jcjmWZB31lJGO3XsGGETmSrqYwAG&#10;9RnmEZoRbqB/kP6qSilthX8r0oxLP+//azxHK3HFpZel5nfemR5t92h6rvtzaXg+37FjxtbKJoyf&#10;ECX11VPR8di/9e7VO3r3AEdt7rk3slSAlAH9B8Sx/Ub7Rx+Nv915++3pputviLonBKoyhK658soQ&#10;6ir/TsdxfgYh5555VoAF6dR0PD/83vdqJRSurbkfnomKvRedf0G649ZbA4zoX4TxeXH9i/FM39/7&#10;foTyfvfl7+KZV96nhh8VYFKxOhnQYAeP/TAvdPbV7Rbj8dbOXQFI3tv7QQYl7wQoWbx0eYQCgRJZ&#10;JVVpwJPTnLnzIttEXRIhC98r93sV+5cBa1FL5o03I73afZVaLZym/gux8Cf53TyUjIvKqPtwn2kl&#10;hDU05lPmXD+eRx58KN18ww2hVeBsw9Ge+JMACcISBbNRn2xKTabS7E+ys5epoioshkCxsdrYIxl0&#10;PP7Y46ljh46pfQY2D+Xru+vO5gEwLr7wogAY1119TYReWrVsFQyS8BJ2B4jy2+XO6UhYcV+//W//&#10;Fvf6Rz/4QYAc2hHP4rKLLw6Q9HC+Lj1+hI82bdoUz9CzrLw7jWMcHJi8XAEmFfumASbmAIGqGiZC&#10;OUAHfQg9hKwbtW6KXb3sHezIuAmTY4dPxElnAvT6PEdb6EnK/V7F/mXeO/eKKJbodUG+5+PGTwoD&#10;EIFDKcT//Od/7nuLK+NIjlLdhGqjb735ZjAoQhfSZ0cNH5Gd33Mhomx1d4tgDC4877z005+cFDv3&#10;I5XRU878lrRXqcR63GAMLs3AqTbW7JJLQ2iqrgsQAnAJs6iS61roW/xvehDsx0UXXBi/4beAg4a+&#10;TvdWJpIqujdce21q3aJl1Fzp0b17Gjl8eDwbtWE8KwzJxxmUeIaeZYUdaRyjBmCyKSj4CjCpWGEA&#10;hJDC+pc2RI0b7MeQYSMCwOo+jDWR3jo1zxfiTCJXacUTJ1dl3GBJCgBzoMC13O9V7JvmPmFOVMoF&#10;/rybgAkBMRbqnd27Q6RXEeUd+eEeC/FwZjQoBJKo/0h//eMfI+Nk8yub07y5L6RhQ4amzk88kVrc&#10;dVe65MKLQociBEPvQHhZCDmFG44Um+KYju93sDYceJ0sn6v/qla7/3yz+S/zb47LSq+l3LkcjhX3&#10;p7gWYSy/7V5GqCvfW/dY9pR7rqGeNN/Nr7wSpeI9G8/Is/LMVGn1DAthcGUc/VEBJhWrk3GKO3e9&#10;E5kimsoBJjJEJk6aGmXS1724IVgR9TYYpkTIQUhHMTV1cLAkAElFR3Lo5h5K2160eGnUNdG3SMuI&#10;bdvfSH/4Q6UCZWMYX2fn9/EvPo5duVLwMk80kOvds2d6okPHCPlorHf7LbdEWOTS7EyjKNhJJ0cI&#10;4jv/Xn/6imPFgB7l4N0j9woAuSbfu9vyPXQvH3nwwRDSEiZLY547Z04Ift/I6w5mBCCpjMY/KsCk&#10;YnWy2K1nYCLMxykKz1RpR8ZGtsjMWXMidDN46PDI2sGqrFn3Ytr62uuRMrz3g3813qvMo0M39V0w&#10;Ty++lIHg3HlRUwY4pDP59aefRq0Iu/jKOHrjP/9Z1ZOHiFLBMI5R+fu3d+5Mr7/2WjhM2SoyVHr2&#10;eD61b9cuKs1qnX/OmWemE75/aF1vj2WTmSRkdM0VV8a9at+2XWhFxo4ZE/fSPX391dfiHr/37nvp&#10;Fz//eVRmJVoGFCsZNk1jVIBJxepkAIXsG7t1JeNpTNTVAE5kiGBJgJSq3kpzozgYsSZdhO+WO2bF&#10;6m7Ewp7Dlq2vpoWLl1SJiidMjuwcwO/3X31VWYQb8cBmFcLZba9vS8uWLosibv379E2dO3aMcvQ0&#10;Kdrpn3/OOcEOnHXa6aHloOkg6NToD3ugqJoaH8IsQhpCHOWcemMy5+hcnbNzdw2uxTW5NoyIDsuu&#10;2bW7B+6FrB7dfN2jfn36xD1btmRpvoevVwSsx9CoAJOK1cmqgMme2JnLzCFuBUr6Dxyynznxb8I5&#10;BLKKqgElH3z088q8qUcritbR9WCuKsCkaQ3ARFdcostf5+f5rno127ZH5VOdajWlmzl9eho/NoP8&#10;IUNT7169orW+uikySgg6b7u5JAR0xpnptJ+eEvoKTp72ohwgaAzm3IhigRDnfPYZZ0RIxrW4Jtem&#10;wqtU3m5du8a1DxsyJI0fMzbfkxlp4fy8tqxcGfdK6wD3TnpvIWCt1PFp+qMCTCpWJwNMOEQ7dfNh&#10;8tQZAUj6DRgchjUBSta/9C89SSV0U/8GmEQvnezMFi9ZHoCwAkyaziCyBE7s7j2nom+M0I8wnL4x&#10;X/3+q/TFF1+kD95/Pwqi6RWjNPqUSZND0Nnj2e6pw2OPpTatW0fBNeENrII+OwVAiaqpTNXUfZVT&#10;y1mIWvcJV+tqvlvumGH5N6Nqaz4H5+KcorjZz06Lc736iiuivLxrUHJeQ0DXNjlfo8qr69etD/Ch&#10;toiKsV/9/vdxb9wj98o9c+/cQ/fSPa0IWJv+qACTitXJAAwak037apQI5QAmg4cMjxL15okKpcI3&#10;WvZzoJX5Uv/2DWCSn0MFmBybg7PlhDnlDz/4MCqvatq3fu26SHmdNXNmVCodPnRolMqXnqwDblRS&#10;faRtsCuqqd7TslVoMu66447/ZQqNqSB7+aWXpWbSg+tgl19yaYRXHKPcsf2m39ZE0Lk4pyc6dIhz&#10;dK56+AzL5z5h3Pg0a8bMtHjR4qgYq7w9nYgmha6daLUi5j5+RgWYVKxOBpio6MoBasQXWTkZmKjo&#10;qgKsGiVK1mNKOM9fVJiSI2IVYHJ8DGEJzxEzwDkLV0T33U8/je67xJ0YlXf37IlmeDuzM5cFtGP7&#10;9miKt+GllyLsITQExGBbDjThIl2Un+zUOcIndbEnO3WK744bM7bssdUM8dvOwbk4J+fmHJ2rc3bu&#10;7+drkF7tmlyba3Strtm1uweVEM3xM74BTB555JFon81GjR6Tnun2bGrb7tH08MNt00MPP5I6dXoy&#10;9cmTcMTIkWnkyFEVOw5txIgRqU/emXXt+kxq3/7x1KbN/an53S3iv+3zQmXO+Pvw/Lly369Y/diw&#10;4SPSwEGDUs+evVLHjp1Sq9b3pjb3PZC6PtMt/jZh4sQ0IzuF4n2u2PFnFvfJkyen0aNHp8GDB+e1&#10;u0809DvQnunaNb/L7VOrFi2jxHxdrGWLFlF63jHKHdtvDsm/7Ryci3Mqd64Vq1ipwSIFMBmS7d2K&#10;VaxiFatYxSpWsaNr/8/Q/x9f8awQgz6HagAAAABJRU5ErkJgglBLAwQUAAYACAAAACEAG2j2pd8A&#10;AAAIAQAADwAAAGRycy9kb3ducmV2LnhtbEyPQUvDQBSE74L/YXmCt3YTE2OJeSmlqKci2AribZt9&#10;TUKzb0N2m6T/3vWkx2GGmW+K9Ww6MdLgWssI8TICQVxZ3XKN8Hl4XaxAOK9Yq84yIVzJwbq8vSlU&#10;ru3EHzTufS1CCbtcITTe97mUrmrIKLe0PXHwTnYwygc51FIPagrlppMPUZRJo1oOC43qadtQdd5f&#10;DMLbpKZNEr+Mu/Npe/0+PL5/7WJCvL+bN88gPM3+Lwy/+AEdysB0tBfWTnQIizgJSYQsBRHsJIvC&#10;tSNC+rRKQZaF/H+g/A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0JU0lSwQAAA4NAAAOAAAAAAAAAAAAAAAAADoCAABkcnMvZTJvRG9jLnhtbFBLAQItAAoAAAAA&#10;AAAAIQDA2xzLUBYCAFAWAgAUAAAAAAAAAAAAAAAAALEGAABkcnMvbWVkaWEvaW1hZ2UxLnBuZ1BL&#10;AQItABQABgAIAAAAIQAbaPal3wAAAAgBAAAPAAAAAAAAAAAAAAAAADMdAgBkcnMvZG93bnJldi54&#10;bWxQSwECLQAUAAYACAAAACEAqiYOvrwAAAAhAQAAGQAAAAAAAAAAAAAAAAA/HgIAZHJzL19yZWxz&#10;L2Uyb0RvYy54bWwucmVsc1BLBQYAAAAABgAGAHwBAAAyHwIAAAA=&#10;">
                      <v:group id="그룹 3910" o:spid="_x0000_s1321"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S+4xAAAAN0AAAAPAAAAZHJzL2Rvd25yZXYueG1sRE/LasJA&#10;FN0X/IfhCu7qJIaWGh1FQi1dhEJVEHeXzDUJZu6EzDSPv+8sCl0eznu7H00jeupcbVlBvIxAEBdW&#10;11wquJyPz28gnEfW2FgmBRM52O9mT1tMtR34m/qTL0UIYZeigsr7NpXSFRUZdEvbEgfubjuDPsCu&#10;lLrDIYSbRq6i6FUarDk0VNhSVlHxOP0YBR8DDockfu/zxz2bbueXr2sek1KL+XjYgPA0+n/xn/tT&#10;K0jWcdgf3oQnIHe/AAAA//8DAFBLAQItABQABgAIAAAAIQDb4fbL7gAAAIUBAAATAAAAAAAAAAAA&#10;AAAAAAAAAABbQ29udGVudF9UeXBlc10ueG1sUEsBAi0AFAAGAAgAAAAhAFr0LFu/AAAAFQEAAAsA&#10;AAAAAAAAAAAAAAAAHwEAAF9yZWxzLy5yZWxzUEsBAi0AFAAGAAgAAAAhADsNL7jEAAAA3QAAAA8A&#10;AAAAAAAAAAAAAAAABwIAAGRycy9kb3ducmV2LnhtbFBLBQYAAAAAAwADALcAAAD4AgAAAAA=&#10;">
                        <v:shape id="그림 3911" o:spid="_x0000_s1322"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JxxgAAAN0AAAAPAAAAZHJzL2Rvd25yZXYueG1sRI9Pa8JA&#10;FMTvBb/D8oTe6iYtSI2uYkv/CF6siudn9pmNyb4N2a2J394VCj0OM/MbZrbobS0u1PrSsYJ0lIAg&#10;zp0uuVCw330+vYLwAVlj7ZgUXMnDYj54mGGmXcc/dNmGQkQI+wwVmBCaTEqfG7LoR64hjt7JtRZD&#10;lG0hdYtdhNtaPifJWFosOS4YbOjdUF5tf62C9fHLr6v+zX6fD/SxMnJTTdJOqcdhv5yCCNSH//Bf&#10;e6UVvEzSFO5v4hOQ8xsAAAD//wMAUEsBAi0AFAAGAAgAAAAhANvh9svuAAAAhQEAABMAAAAAAAAA&#10;AAAAAAAAAAAAAFtDb250ZW50X1R5cGVzXS54bWxQSwECLQAUAAYACAAAACEAWvQsW78AAAAVAQAA&#10;CwAAAAAAAAAAAAAAAAAfAQAAX3JlbHMvLnJlbHNQSwECLQAUAAYACAAAACEA5y7SccYAAADdAAAA&#10;DwAAAAAAAAAAAAAAAAAHAgAAZHJzL2Rvd25yZXYueG1sUEsFBgAAAAADAAMAtwAAAPoCAAAAAA==&#10;" stroked="t" strokecolor="black [3213]">
                          <v:imagedata r:id="rId144" o:title=""/>
                          <v:path arrowok="t"/>
                        </v:shape>
                        <v:shape id="Text Box 3912" o:spid="_x0000_s1323"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bcyAAAAN0AAAAPAAAAZHJzL2Rvd25yZXYueG1sRI9PawIx&#10;FMTvQr9DeIVeRLP+QdqtUURaqL1It168PTbPzbablyXJ6vrtjVDocZiZ3zDLdW8bcSYfascKJuMM&#10;BHHpdM2VgsP3++gZRIjIGhvHpOBKAdarh8ESc+0u/EXnIlYiQTjkqMDE2OZShtKQxTB2LXHyTs5b&#10;jEn6SmqPlwS3jZxm2UJarDktGGxpa6j8LTqrYD8/7s2wO719buYzvzt028VPVSj19NhvXkFE6uN/&#10;+K/9oRXMXiZTuL9JT0CubgAAAP//AwBQSwECLQAUAAYACAAAACEA2+H2y+4AAACFAQAAEwAAAAAA&#10;AAAAAAAAAAAAAAAAW0NvbnRlbnRfVHlwZXNdLnhtbFBLAQItABQABgAIAAAAIQBa9CxbvwAAABUB&#10;AAALAAAAAAAAAAAAAAAAAB8BAABfcmVscy8ucmVsc1BLAQItABQABgAIAAAAIQAwejbcyAAAAN0A&#10;AAAPAAAAAAAAAAAAAAAAAAcCAABkcnMvZG93bnJldi54bWxQSwUGAAAAAAMAAwC3AAAA/AIAAAAA&#10;" stroked="f">
                          <v:textbox style="mso-fit-shape-to-text:t" inset="0,0,0,0">
                            <w:txbxContent>
                              <w:p w14:paraId="5F314EA3" w14:textId="77777777" w:rsidR="006D7011" w:rsidRDefault="006D7011" w:rsidP="00094D21">
                                <w:pPr>
                                  <w:pStyle w:val="af0"/>
                                  <w:jc w:val="right"/>
                                  <w:rPr>
                                    <w:rFonts w:ascii="Times New Roman" w:hAnsi="Times New Roman"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H</w:t>
                                </w:r>
                              </w:p>
                            </w:txbxContent>
                          </v:textbox>
                        </v:shape>
                      </v:group>
                      <v:shape id="Text Box 3913" o:spid="_x0000_s1324" type="#_x0000_t202" style="position:absolute;left:11366;top:5842;width:11042;height:8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ylwxAAAAN0AAAAPAAAAZHJzL2Rvd25yZXYueG1sRI/BbsIw&#10;EETvlfoP1lbqrTgQFUGIg2hFJa4BPmCJlzg0XqexSdK/rytV6nE0M280+XayrRio941jBfNZAoK4&#10;crrhWsH59PGyAuEDssbWMSn4Jg/b4vEhx0y7kUsajqEWEcI+QwUmhC6T0leGLPqZ64ijd3W9xRBl&#10;X0vd4xjhtpWLJFlKiw3HBYMdvRuqPo93q2Cg0pSvt7f9ejHK3QUPzF/LVKnnp2m3ARFoCv/hv/ZB&#10;K0jX8xR+38QnIIsfAAAA//8DAFBLAQItABQABgAIAAAAIQDb4fbL7gAAAIUBAAATAAAAAAAAAAAA&#10;AAAAAAAAAABbQ29udGVudF9UeXBlc10ueG1sUEsBAi0AFAAGAAgAAAAhAFr0LFu/AAAAFQEAAAsA&#10;AAAAAAAAAAAAAAAAHwEAAF9yZWxzLy5yZWxzUEsBAi0AFAAGAAgAAAAhANt7KXDEAAAA3QAAAA8A&#10;AAAAAAAAAAAAAAAABwIAAGRycy9kb3ducmV2LnhtbFBLBQYAAAAAAwADALcAAAD4AgAAAAA=&#10;" fillcolor="white [3212]" stroked="f" strokeweight=".5pt">
                        <v:textbox inset="0,0,0,0">
                          <w:txbxContent>
                            <w:p w14:paraId="5B88F90B" w14:textId="77777777" w:rsidR="006D7011" w:rsidRDefault="006D7011" w:rsidP="00094D2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v:textbox>
                      </v:shape>
                      <w10:wrap type="square"/>
                    </v:group>
                  </w:pict>
                </mc:Fallback>
              </mc:AlternateContent>
            </w:r>
          </w:p>
          <w:p w14:paraId="33D9EB92" w14:textId="77777777" w:rsidR="00094D21" w:rsidRPr="008F328C" w:rsidRDefault="00094D21" w:rsidP="008E70FE">
            <w:pPr>
              <w:pStyle w:val="a3"/>
              <w:numPr>
                <w:ilvl w:val="0"/>
                <w:numId w:val="129"/>
              </w:numPr>
              <w:rPr>
                <w:b/>
                <w:lang w:val="pl-PL"/>
              </w:rPr>
            </w:pPr>
            <w:r w:rsidRPr="008F328C">
              <w:rPr>
                <w:rFonts w:eastAsia="Times New Roman"/>
                <w:b/>
                <w:bCs/>
                <w:lang w:val="pl-PL"/>
              </w:rPr>
              <w:t>Zdjąć osłonę</w:t>
            </w:r>
          </w:p>
          <w:p w14:paraId="4A2F16CE" w14:textId="77777777" w:rsidR="00094D21" w:rsidRPr="008F328C" w:rsidRDefault="00094D21" w:rsidP="008A03B2">
            <w:pPr>
              <w:pStyle w:val="a3"/>
              <w:rPr>
                <w:lang w:val="pl-PL"/>
              </w:rPr>
            </w:pPr>
          </w:p>
          <w:p w14:paraId="0B8AC3B7"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Przytrzymać wstrzykiwacz jedną ręką za korpus z nałożoną osłoną. Delikatnie ściągnąć osłonę prostym ruchem drugą ręką.  </w:t>
            </w:r>
          </w:p>
          <w:p w14:paraId="65830604" w14:textId="77777777" w:rsidR="00094D21" w:rsidRPr="008F328C" w:rsidRDefault="00094D21" w:rsidP="008A03B2">
            <w:pPr>
              <w:pStyle w:val="a3"/>
              <w:rPr>
                <w:lang w:val="pl-PL"/>
              </w:rPr>
            </w:pPr>
          </w:p>
          <w:p w14:paraId="6E8AACAE" w14:textId="77777777" w:rsidR="00094D21" w:rsidRPr="008F328C" w:rsidRDefault="00094D21" w:rsidP="008A03B2">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zdejmować osłony, aż do momentu, gdy pacjent będzie gotowy do wykonania wstrzyknięcia. </w:t>
            </w:r>
          </w:p>
          <w:p w14:paraId="590F7842" w14:textId="77777777" w:rsidR="00094D21" w:rsidRPr="008F328C" w:rsidRDefault="00094D21" w:rsidP="008A03B2">
            <w:pPr>
              <w:pStyle w:val="a3"/>
              <w:numPr>
                <w:ilvl w:val="0"/>
                <w:numId w:val="0"/>
              </w:numPr>
              <w:ind w:left="1384"/>
              <w:rPr>
                <w:lang w:val="pl-PL"/>
              </w:rPr>
            </w:pPr>
          </w:p>
          <w:p w14:paraId="41856F4B" w14:textId="77777777" w:rsidR="00094D21" w:rsidRPr="008F328C" w:rsidRDefault="00094D21" w:rsidP="008A03B2">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dotykać igły ani osłony igły. Mogłoby to spowodować ukłucie igłą.</w:t>
            </w:r>
          </w:p>
          <w:p w14:paraId="370B58A1" w14:textId="77777777" w:rsidR="00094D21" w:rsidRPr="008F328C" w:rsidRDefault="00094D21" w:rsidP="008A03B2">
            <w:pPr>
              <w:pStyle w:val="a3"/>
              <w:numPr>
                <w:ilvl w:val="0"/>
                <w:numId w:val="0"/>
              </w:numPr>
              <w:ind w:left="1384"/>
              <w:rPr>
                <w:lang w:val="pl-PL"/>
              </w:rPr>
            </w:pPr>
          </w:p>
          <w:p w14:paraId="64AA10ED" w14:textId="77777777" w:rsidR="00094D21" w:rsidRPr="00F90B57" w:rsidRDefault="00094D21" w:rsidP="008A03B2">
            <w:pPr>
              <w:pStyle w:val="a3"/>
              <w:numPr>
                <w:ilvl w:val="0"/>
                <w:numId w:val="19"/>
              </w:numPr>
              <w:ind w:left="4297"/>
              <w:rPr>
                <w:lang w:val="pl-PL"/>
              </w:rPr>
            </w:pPr>
            <w:r w:rsidRPr="008F328C">
              <w:rPr>
                <w:rFonts w:eastAsia="Times New Roman"/>
                <w:b/>
                <w:bCs/>
                <w:lang w:val="pl-PL"/>
              </w:rPr>
              <w:t>Nie</w:t>
            </w:r>
            <w:r w:rsidRPr="008F328C">
              <w:rPr>
                <w:rFonts w:eastAsia="Times New Roman"/>
                <w:lang w:val="pl-PL"/>
              </w:rPr>
              <w:t xml:space="preserve"> nakładać powtórnie nasadki na wstrzykiwacz. Natychmiast wyrzucić osłonę do pojemnika na odpady ostre.</w:t>
            </w:r>
          </w:p>
          <w:p w14:paraId="011F4BC9" w14:textId="77777777" w:rsidR="0032285D" w:rsidRDefault="0032285D" w:rsidP="00F90B57">
            <w:pPr>
              <w:pStyle w:val="a4"/>
              <w:rPr>
                <w:lang w:val="pl-PL"/>
              </w:rPr>
            </w:pPr>
          </w:p>
          <w:p w14:paraId="4953DDCC" w14:textId="15B000FF" w:rsidR="0032285D" w:rsidRPr="008F328C" w:rsidRDefault="0032285D" w:rsidP="008A03B2">
            <w:pPr>
              <w:pStyle w:val="a3"/>
              <w:numPr>
                <w:ilvl w:val="0"/>
                <w:numId w:val="19"/>
              </w:numPr>
              <w:ind w:left="4297"/>
              <w:rPr>
                <w:lang w:val="pl-PL"/>
              </w:rPr>
            </w:pPr>
            <w:r w:rsidRPr="006C0E92">
              <w:rPr>
                <w:rFonts w:eastAsia="Times New Roman"/>
                <w:lang w:val="pl-PL"/>
              </w:rPr>
              <w:t>Prawidłowe jest pojawienie się kropelki roztworu na końcówce igły.</w:t>
            </w:r>
          </w:p>
        </w:tc>
      </w:tr>
      <w:tr w:rsidR="00094D21" w:rsidRPr="00A5286D" w14:paraId="3D1A12EF" w14:textId="77777777" w:rsidTr="008A03B2">
        <w:trPr>
          <w:trHeight w:val="7028"/>
        </w:trPr>
        <w:tc>
          <w:tcPr>
            <w:tcW w:w="9581" w:type="dxa"/>
          </w:tcPr>
          <w:p w14:paraId="4BF47EC9" w14:textId="77777777" w:rsidR="00094D21" w:rsidRPr="008F328C" w:rsidRDefault="00094D21" w:rsidP="008A03B2">
            <w:pPr>
              <w:ind w:left="104"/>
              <w:rPr>
                <w:rFonts w:ascii="Times New Roman" w:eastAsia="Times New Roman" w:hAnsi="Times New Roman" w:cs="Times New Roman"/>
                <w:b/>
                <w:bCs/>
                <w:spacing w:val="-1"/>
                <w:lang w:val="pl-PL"/>
              </w:rPr>
            </w:pPr>
          </w:p>
          <w:p w14:paraId="7DB0BFAE" w14:textId="77777777" w:rsidR="00094D21" w:rsidRPr="008F328C" w:rsidRDefault="00094D21" w:rsidP="008A03B2">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58" behindDoc="0" locked="0" layoutInCell="1" allowOverlap="1" wp14:anchorId="3F4C33D8" wp14:editId="394A7188">
                      <wp:simplePos x="0" y="0"/>
                      <wp:positionH relativeFrom="column">
                        <wp:posOffset>42545</wp:posOffset>
                      </wp:positionH>
                      <wp:positionV relativeFrom="paragraph">
                        <wp:posOffset>144145</wp:posOffset>
                      </wp:positionV>
                      <wp:extent cx="2246630" cy="3975100"/>
                      <wp:effectExtent l="19050" t="19050" r="20320" b="6350"/>
                      <wp:wrapSquare wrapText="bothSides"/>
                      <wp:docPr id="3914" name="그룹 3914"/>
                      <wp:cNvGraphicFramePr/>
                      <a:graphic xmlns:a="http://schemas.openxmlformats.org/drawingml/2006/main">
                        <a:graphicData uri="http://schemas.microsoft.com/office/word/2010/wordprocessingGroup">
                          <wpg:wgp>
                            <wpg:cNvGrpSpPr/>
                            <wpg:grpSpPr>
                              <a:xfrm>
                                <a:off x="0" y="0"/>
                                <a:ext cx="2244523" cy="3975100"/>
                                <a:chOff x="0" y="0"/>
                                <a:chExt cx="2244523" cy="3975100"/>
                              </a:xfrm>
                            </wpg:grpSpPr>
                            <wpg:grpSp>
                              <wpg:cNvPr id="3915" name="그룹 3915"/>
                              <wpg:cNvGrpSpPr/>
                              <wpg:grpSpPr>
                                <a:xfrm>
                                  <a:off x="8456" y="0"/>
                                  <a:ext cx="2236067" cy="3975100"/>
                                  <a:chOff x="2106" y="0"/>
                                  <a:chExt cx="2236067" cy="3975100"/>
                                </a:xfrm>
                              </wpg:grpSpPr>
                              <pic:pic xmlns:pic="http://schemas.openxmlformats.org/drawingml/2006/picture">
                                <pic:nvPicPr>
                                  <pic:cNvPr id="3916" name="그림 3916"/>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bwMode="auto">
                                  <a:xfrm>
                                    <a:off x="2106" y="0"/>
                                    <a:ext cx="2236067" cy="3794760"/>
                                  </a:xfrm>
                                  <a:prstGeom prst="rect">
                                    <a:avLst/>
                                  </a:prstGeom>
                                  <a:noFill/>
                                  <a:ln>
                                    <a:solidFill>
                                      <a:schemeClr val="tx1"/>
                                    </a:solidFill>
                                  </a:ln>
                                </pic:spPr>
                              </pic:pic>
                              <wps:wsp>
                                <wps:cNvPr id="3917" name="Text Box 3917"/>
                                <wps:cNvSpPr txBox="1"/>
                                <wps:spPr>
                                  <a:xfrm>
                                    <a:off x="1517650" y="3829050"/>
                                    <a:ext cx="719455" cy="146050"/>
                                  </a:xfrm>
                                  <a:prstGeom prst="rect">
                                    <a:avLst/>
                                  </a:prstGeom>
                                  <a:solidFill>
                                    <a:prstClr val="white"/>
                                  </a:solidFill>
                                  <a:ln>
                                    <a:noFill/>
                                  </a:ln>
                                </wps:spPr>
                                <wps:txbx>
                                  <w:txbxContent>
                                    <w:p w14:paraId="5CED8464"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18" name="Text Box 3918"/>
                              <wps:cNvSpPr txBox="1"/>
                              <wps:spPr>
                                <a:xfrm>
                                  <a:off x="0" y="176530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3193C2"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F4C33D8" id="그룹 3914" o:spid="_x0000_s1325" style="position:absolute;margin-left:3.35pt;margin-top:11.35pt;width:176.9pt;height:313pt;z-index:251658358" coordsize="22445,39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VBD/cwQAAB8NAAAOAAAAZHJzL2Uyb0RvYy54bWzcV81u4zYQvhfoOxC6&#10;b2z5NzHiLNykCRZId4NNij3TFGURkUiWpGN7X6dAX6Et0CdqX6IfKdGO7Gw3yWEPPUQhpRly5ptv&#10;PtKnb9dVSR64sULJaZIedRPCJVOZkItp8vPd5ZvjhFhHZUZLJfk02XCbvD37/rvTlZ7wnipUmXFD&#10;sIi0k5WeJoVzetLpWFbwitojpbnEx1yZijpMzaKTGbrC6lXZ6XW7o85KmUwbxbi1eHtRf0zOwvp5&#10;zpn7kOeWO1JOE8TmwtOE59w/O2endLIwVBeCNWHQV0RRUSGx6XapC+ooWRpxsFQlmFFW5e6Iqaqj&#10;8lwwHnJANml3L5sro5Y65LKYrBZ6CxOg3cPp1cuy9w9XRt/qGwMkVnoBLMLM57LOTeX/I0qyDpBt&#10;tpDxtSMML3u9wWDY6yeE4Vv/ZDxMuw2orADyB36s+PErnp24cacVznZSh4m4bwwRmd80HSZE0grs&#10;+vv3P/759U8SXjX5vCDB48FwlJCncuyPuqPxf+XYS7st18dpPu38hTS1YBP8NaXG6KDUX28JeLml&#10;4UmzSPWsNSpq7pf6DVipqRNzUQq3CR0G/vmg5MONYDemnrTQR+I79H/7y6M/8n3lvbxh7UZ9WteK&#10;3Vsi1XlB5YLPrEZ/QjW8dadtHqatPeel0JeiLD0j/bjJDr281wtPAFT32YViy4pLVwuH4SUSVdIW&#10;QtuEmAmv5hx8Mu+yFKWGaDkwShshXa0S1rCPiBex0ol1hjtWxLh3sfksLLqJzFc/qQwL0KVTQRn2&#10;ummfMbuGesyX8clgPAoNteULgDTWXXFVET9AwAgq7EAfrq0PD6bRxMcqlYcthF3KELwqRRahDErL&#10;z0tDHig00q3raiDFnRUW9J6hJj65ZohcfTNCuG2sBmYH9XiRNt0WVHNk45dtsQztV7PsziP1g1p7&#10;no19ZRpTr2HErfGlYZR/X0cbFWUrZekwHY+GOA+8aB33TroYB4BiFcbpyWAIWfGqlg5GzffX1+AR&#10;mHVxtoCvCuF4aIAW5DXij4oXa7DLyo/cer4OKpgOBxGLuco2gMIocAMpWs0uBYhyTa27oQanG17i&#10;xHYf8MhLtZomqhklpFDm81PvvT0Ki68JWeG0nCb2lyX1GlO+kyi5P1rjwMTBPA7ksjpXIBf6CtGE&#10;IRyMK+MwN6r6hIN85nfBJyoZ9gIb4/Dc1Wc2LgKMz2bBqJaqa3mrIXBp6ABP+7v1J2p00xsOBX2v&#10;IqnoZK9FatvQE3qGRr0UoX88sjWKYLqfgOBh1ByP3471uD0dsv44VhoN8hLWA1hPZzC/Hw/pyPde&#10;rz9Ouw3heyPQf9hwMspWVJRnik6L8M/RGE94Ai6O+ujFlmw1zKcTHu5zjca1+8C6Tcm9Vyk/8hwd&#10;Ee4robD+JrnTN8oYToCoccHaW+VQyJc4NvbetY7qJc5bj7Czkm7rXAmpTMh+D7LsPoac1/YNMZu8&#10;96Qg1G5H4v+FFDBnvpEYhI7/QvvjFg7kW9f8x/NQld3vmrN/AQAA//8DAFBLAwQKAAAAAAAAACEA&#10;EsR9j88FAgDPBQIAFAAAAGRycy9tZWRpYS9pbWFnZTEucG5niVBORw0KGgoAAAANSUhEUgAAAhoA&#10;AAORCAYAAAC0uQuJAAAAAXNSR0IArs4c6QAAAARnQU1BAACxjwv8YQUAAAAJcEhZcwAAIdUAACHV&#10;AQSctJ0AAP+lSURBVHhe7P1ndFVn0+aJz6fpNb36/2FmremefnvmNYgcDDYmR4OJxgYbBxyxMTjn&#10;nMEZMDnnHEUOQggUyDmJnHMOIggQSlD/+1dbtzjGxzZBkoVU13rqQZbOOXufneq6q66q+t8c2jtb&#10;Y2ZmZmZmZmaWw/a6s/9tzf/+v//vUqxYMSlTpoyZmZmZmZmZ2V0ZnOK//Jf/Io5jrFWiwS8WLFgg&#10;u3fvNjMzMzMzMzO7K4uNjZUSJUrcIBqwD/5gMBgMBoPBcLfYs2ePlC9f3oiGwWAwGAyGnIcRDYPB&#10;YDAYDLkGIxoGg8FgMBhyDUY0DAaDwWAw5BqMaBgMBoPBYMg1GNEwGAwGg8GQazCiYTAYDAaDIddg&#10;RMNgMOQKrl+/LteuXZPMzEzJyMiQ9PR0tbQ0LO3PlvV3Xst7eC+fYTAY7m0Y0TAYDLkCiMLVq1fl&#10;4sWLcubMWTl67JgcPHhIDhw4KPv2H/iDHTjgzP3t2LHjcvbsWUlOTpbU1FT9DIPBcG/DiIbBYMgV&#10;QBLOn78gR44cle3bd8jqNWtl4aLFEhufIPMXxP3B+B1/W7NmnezYsVOOHj0mFy5c1OiGwWC4t2FE&#10;w2Aw3DUgFaQ9UrIiGElJSXLixEnZtWu3rF27XhISFsms2VEyYdJkGTt+oowaM+4Pxu8mur/NnjNX&#10;Fi5cLOvXb5Dd7uF0/PgJOXPmjJw9m+SIxwX9/NDUisFgyP8womEwGO4aOP+LF5M19bF9xw5ZuWq1&#10;xCyIVXIxeco0GTtuggwbPkoGDhoq/QcOkX4DBv/B+g8cLAMHD5XhI0bLOEc6pkydLnOiomV+bLws&#10;WrxUlq9cLVu2btXPv3Llimo6IBsGgyH/w4iGwWC4Y/hIxuXLl+XI0WOSuGmLxMUvlImRUxyBGCR9&#10;+w+SPv0GSu++A7KtT7+sf7Ms9HdYX/f6vv0HKiEZNGS4jBg1VsZPnCzz5i9wn79ZTp48qWmVlJQU&#10;JTjsg4lGDYb8CyMaBoPhjoHY89SpU5oiWbl6jUTPm68kY/DQ4dK9Zx8lGkOGjZCRo8fJuAmREjll&#10;mkYrpk2fJdNmBDZ1+kz9HX8jtTJm3ARHLsboZwTRDgjHME2vzI2OkZWrVsmWLVvlwMGDmlYhwmFp&#10;FIMh/8KIhsFguGOgm9jsnH7M/FglGJAKyEWvPv2kZ+9+mgqZMm2GzItZIIuXLpPVa9fJ+g0bZdPm&#10;LbLJvQ8jCsLv+NvS5SskLmGhzJk7T0nH0OGjlGzweUQ7SK9AQmbOniPL3Gt37tqlehAjGgZD/oUR&#10;DYPBcEvAmaONIIJw7vx5OXnylOzYsUti4+I12kAEglSIj2IQmZg5K0riFy6WVWvWKqnYuXuP7N23&#10;Xw4eOiyHDh9RO3DwsP5ul/vblm3bZf3GRFm+YqXELIjTyMe4CZNkmCMskAxSLL369FeyMX3GLFm4&#10;aIls2bpNjh47Lknnzv1Bv2HpFIMhf8CIhsFg+EfgtNFiEMGg9HTr1u2yZOlymTVnrhKKAVkiz4GD&#10;h8mYsRNUBLp4yTJZtXqt6iq2bd8hu/fslX0HDsr+g4eUYBw+clQtIBuH9G979u6Tnbt2y1YlHJs0&#10;HYMYlIjJtOkzlWCg3xjgtjV02EglODNmzlZdCFESxKIXk5OVbBjRMBjyB4xoGAyGPwEnTQQDIzoA&#10;ybh06bKSDPQRC2LjZcTIMZoe6dajt3Tv2VsrR0aNHqclqvTM0EZcN5GK2zUiHxAUohZLly1XsqGR&#10;k34DdJtsu0evvkp00G9s2bZNS2Jp+MU+h3YYNeJhMPw7MKJhMBj+BJx0cvIlOXnqtIouaaKFjmLR&#10;4iUSNTdaJkycnJXKGCiDBg+TkaPHqhaDyMPyFatk85ZtSjJ8iiQcibgV470QFtIqGxM3yZKly5RQ&#10;TJ46XSMnQ4aO0H1Av0FkJSp6nr5mw8aN2ofjxMmTVg5rMPzLMKJhMBRS+FW+j17giDFKRi9fvqJp&#10;CFIYy5avVOc+afJUba5FyWn/AYPVwdMXAw0FUQxSJQg7SX1ADiAJd0MyMN4PYcF2792nKZiAcCxX&#10;gemkyKka4SCqQZQD0jPa7eNUR3roNopQlcqUS5cuZZGNIEpj0Q2DIe9gRMNgKKSAVOB86UeB9gKH&#10;fPzECTl8+Kh7BuyVdes2SJxz1l4bQWrE98ag3JTfQT4oaV26bIVqMRB13i25+Cvjc/cfOKjbIGKy&#10;ctUaTeFQGotYFN2G9uFw+wf5GD8xUv++Sfdrnxw/flzOnTuvEQ6LbhgMeQcjGgZDIQQrekgGwsmT&#10;p05pmmHd+g2yeMlSiYmJlZkz58jESVM0JTJ4CJqIID0xeOgIGT12gva+mB8bp+Wo69Zv1MgH6Y27&#10;1WT8nfG5pGI0urGH6MZO2bBxk6ZqFsQl6D6NHDVWBan9HNlAt4FmBCJC9INKlm1uP6mW4bsbDIa8&#10;gRENg+EeAgTBpzeYbko0ghU6Qs0bdkmSseQscz/r79zPEAtmkZy/cEFOnT7tHPch57C3q9CS9Adp&#10;EHQPRAW0cyddOrGsKMb4rDTJwsVLZUPiJtmxa7dWiuSEHuNWjM/3hAMjRUOqJnHzVt2nGY4god2A&#10;HLHfpFP4DsNGjFLCER+/UMnG6ax0CsfP6zcsnWIw5A6MaBgM9whwhJ5gkOogFbD/QCCUpCrDG7oE&#10;dAwbNiaqbUxMlMSs/0bQuXbdelm1eo2mO0iNREXHaFdOUiEIPCEVlJCSfhg1Zrw24iJ9EjV3nsQv&#10;XCTLV65SkuG1GLkZxfgnU7Jx4KBWpvCdaeJFumTmrDlKipivErQzH6w/k06Jnrcg6C7qjhWpmFOn&#10;Tsuly5ctnWIw5BKMaBgM+QiQib8yHCEkg4jE0aNHZfPmLVmONU77VuBc6SlBW2+0EzhVumtOckTB&#10;//fY8ZM0HULHTS/qhFhoJ89efbVclQgAJAOCgf4CkefadRtk67YdSi6IYIQSjH+LZHjzEQ72iX2D&#10;QKxZu057axDF4HtCNnq570azL7QczE/hWGl30Z275MyZs5KenhH2uBsMhruDEQ2DIR/BV3+ofsIR&#10;CspLjzhnetA5dZzoDucUaUy1YuUqmb8gaGIFgSAaMXzkaE0RDB0+UiMTNNDC0Cr4/0a7QEtvyAX/&#10;8jccMcSDz6BEFFICaYmNS1DB5cbEzUowWP3nRXrkbox9QyxKdcra9Ru0nTnEK+guOkpJRhCxGSQj&#10;3PHib/EJizQaciArukEPDggd0SMjGgbD3cOIhsGQj+BTI4xc3+9W6EQSFi5arJGF6W4FTq8KRJqM&#10;XR/uHOcgRyCoBOndt78aK3aMcs+/MggGOozRY8ZreSgr+7nzYjSNQvQCcoHAE0KzfccuTUsQLfAk&#10;I78TDSItkA1IGZUwq9es02M4O2quTHDHDlLlyQYki5JdymHnL4hTQeyhw4e1xToD44xoGAx3DyMa&#10;BsO/DKIYNMjyZaZUgbC6XrVqtQovx44L5ogQ/qfywxv/7SMTau5nXx1CCgRSQefM37v1VOO/A2Hk&#10;aG24xRwS9Az0pGCgGcQC54yT9uLOe4Fc3Gx+f/kOEKSgHHarVqfQUAw9ipbDDgrKYSFo/Dxi1Ggl&#10;I2hYiB6dOHFCz4dv+JWReaPLqMFguHUY0TAY/mVAMs6dO6fkIjst4hzilGnTtVyTJlRELTAqP0iR&#10;MOODFAeh/5mzo2RO1DwlDlOnzVRtxeix4zWFAhHp2r2XkgxW8hMjp7rXRkvCwsVuO6t1Bc82KRVF&#10;VOpJxr1ELP7K+A4QJb4PURl6b0AiiNrMc8eXclhKdRkAB9GArKHdmDZjphISSn3Reux2x8ULRiEc&#10;RjQMhtuDEQ2D4V8CDosVcsrVq84hHlLHTwSD8kwIgk+B9OzdV6MXkAw0FJCLefMXqCNkKirVJDhR&#10;KkpWrlqtJIIKkWDlPkqjGzhSiEvCosWqXfCRC1b8aC/u5QjG35n/Lp5w8J19lQ7Hm4obojukUHr0&#10;6iPde/bR445IFmKGeJZjhkaFcuDLjmyQ3rLIhsFw6zCiYTD8C8BJoQHAeeH4COvPmDVHdRMINyEY&#10;6uyGjVQNAWJGiMP0mbN0ngfNsnCAkA1SH0uWLVcdAqkQ9Byzo6JV0zF56jQVi7J6pzR1nSMj2x3J&#10;gFyEc8wF3SAdnnBAziAbC+LiHXmbrceYaJE2/MrqgEqUg8gRFSxr163TxmSUFNP0K1Q0ajAY/hpG&#10;NAyGPAQEw0cyaIeduGmTEoMJjgygw0Bn4fs+kB6hbDVmQaxWTxCpwOHx38weIQWCkDNy8jTVcQQ2&#10;IYtYzFC9AYSERlaMa9+0eauSGi/sDOeIC7r5CIcnG5CuTVu2ypp165WsRccsUEJHCTBVOhA+yAaR&#10;IYgIqSnSKkSPjhw9KuezRKM+whFqBoMhgBENgyEPgUNiFcxqeN/+/VrpgBNDlIhwEyN0P3DQEO1/&#10;AQlZuGiJDjajhTbTU+mbQWokIBlTVY8xZNhIbUiFg6RRFdERVuorVq2WzVu36UCy/c65hnO+hd0O&#10;OuKx15EvupxCOCB1RI6IJEH8OB+kr0hBEeUg6kFUiZQVZIUJsecvXJTLV6440pGaPZ7eYDAEMKJh&#10;MOQhCLNTVYIAkz4V4ydEapgeR8bqGcOxUR2CSJFUCmSCvhZEMSAe3tBpMMNDza2y58fGS8LCRZpK&#10;QavBqnsLM0hCylPDOdrCbkQ4/LA2+m+sdwRimSN1nJ9Zs+equJaeG75rKhEOCB3pqOiYgAhSQrtj&#10;506deHv+/AUlkwaDIYARDYMhD5GamuZuur1KDmjvTXgeAaJfLQdNtoJyVf6lwRTVI+PGB2F7Uik4&#10;N0agL1y8RB0iq/CNmzarwBGRJxUWlGfiOEOFnjjUcI7WLGhljnnCgfiTklj6mMQT4ZgxS4W4CHL9&#10;/JSgCmi4NjrzOg4mxdJcjSoiohsQjrS0dBOQGgo1jGgYDHkIHM/2HTuUNEAqIBgQDTp0+pJVNBeR&#10;U6arVgCjyoRUyYLYBNVpMKOEWSVUjyRqU62dmhqxqEXOGeTMd2INptouU3II4fCdWCEZ2m3VEQ4E&#10;pBMnTdZIEwPqNm5MzJ4Fc/ToMUlyxAOSaUTDUBhhRMNgyENANAjPQyBYFUM0aBhFSSvpD9IeRClW&#10;OiJBpIIOnRsSN2uqZcvW7fpenB9OjJQIzlBLVC1qkaPGsYRsEOFAQEufEc7BmrXrZbE7R4hGJzlC&#10;OHzkGCUapLyYFougV3Uyjoyg80CDQxqL84Quh6iGwVDYYETDYMhDaETDkQUiGvS2gGhAOGgFvnT5&#10;Ck2BUEK50zm3PVmpDx/W90Ti7yyc0zS7fbv5uHLsORdEjra680f/kgVxCRptQozroxukv7wRpSLd&#10;osPblq3QlNnx4ye0NJYx9WfPJmnVCgSE7qNcG6RYLOphKGgwomEw5CHoLImGgkZRVC/gkCAapEvo&#10;CArJYAWt2oosYhHOEZrlvXEusstid+zUUflU9dDPZO68YBYN03LpLgrpIFLlx9PTFIxyZASmpL+0&#10;7bsjK8xi2eWet5TKkl6hcsX6chgKGoxoGAx5CIjGgYMHtTqEnL5WMmRFNDzRIMx+KIyjM8sf5iMc&#10;EEGiTpTF0otj+crVSiQYfOdLlolYkVZhBH/vPv2z9RzMWuGc0wl20ZJlmpZBRHrm7FmdeUOJbLoj&#10;HJAOSmVD+3QYDPcajGgYDHkIHMepU6e0ogGnRNidBl2UsUbPW6AiT3QY4RycWf4zIhxoZNDLcE5V&#10;w+GIAxoOhKOUJtNIjSgH1UNUrZAyI+JB7xPOP3od+nLEL1yseo6NiYnZkS0lH2fOZJMP03gY7kUY&#10;0TAY8hCsTi9duiQnT56UxMTN2sGTVe7gIcM1vI54cMPGTdnagHDOzSz/mNfO+JQKaTHEuvQv4Twu&#10;X7lK4hMWKZFgFD2dWwcPHaHRDm80BSPKAfFgiF7QgXSG9k0hxbJjx05JSkpSHQdkwyIbhnsNRjQM&#10;hjwEDgJngdPY71bC0fNilGTQL2OIc0BTps7QqobtO3ZpCgUnFs7BmeV/Q2eDlmMjWg5HOPywu8lT&#10;p2vXUdInVKmQPvNlsuh16NNBZ1hKaHktM2y2btumKbcTJ06qgJQIh3UfNdwrMKJhMOQhIBo4CLQa&#10;x44fVycSDFIbpikUnAtj31nJUoHCKjmcEzPL/+ajHJQikwqh5wm9T1auWqPnl1bn82Lmy6w5c7V6&#10;hR4qlMZCPCAdkA+IyNjxE2Ta9Fk642bZsuWyefNWrV6hSsVguBdgRMNgyGNANsi1U95Irwxy+VSg&#10;+O6grHYhGzTmYkXsS1wtlXJvmU9/+fSKT7F4XQfnlqqTNWvXybLlK7SzKJUrnP+AeNKavp8abemJ&#10;fJFWoXHY1q3bJCkpaALmZ6tYOsWQX2FEw2D4F4BTQKuB08HRMGmV1SvOhZ4MOBvKIRmmlrhpiwoD&#10;ea2lUgqGQUBCox1UndCBFHLJqH+qUdBpMCCPChaui0BAOkLFpXQgZb4KmpBTp07L5cuXJS1Lv2Ew&#10;5DcY0TAY8hA4Ah/RYCUK2SCFQrUJToW+C+ToEQlSkUBYnfJHwu6+C6hfHfsVs7dwDs0sfxrni3NI&#10;tIpzCung/AbEY4fqOrgm6NFBlIMOpEQ50HBwbUBKx42fqJN8t23froP6uJZ8wy8jHIb8BCMaBkMe&#10;whMMVqDnzp/XEeN79u6VRYuXZpe6Mvvk9249tQySyAaOhnw+pY9rGaDmnBCj37fvDASjOCojGgXH&#10;OJecU6pXONcQTQgnzcAQkDJwD7LRxxlVLAx9IwWz/8ABLYWFcPjqFIMhP8CIhsGQhyCXnpx8SceJ&#10;b9uxU3PzpEgIhyMAhGR07d5LunTtoY2e+B3VKEx6nTBpijaDIs3C9FZKJxGMsgq2lErBMYiG13GQ&#10;Mtu8ZZuKSBctXqYdZWn0RQoF3QYRsNGQ0RmzJX7hItmwMVEOuWsBImtEw5BfYETDYMgDQDAYG37h&#10;YrIcdo4E3QWOgUqDgYOG6goVYoFBNrr16K3Gz5h2l+zdTx3LsBEjZWLkZO3NsGjJUh1lTp4fcSFR&#10;Dj90Ddu120bG34vG+cE4VwHpOKjneNXqtarhmBg5RQZpKiVIs/Ezg9zovbFu/XolspANi2wY8gOM&#10;aBgMuQwe9ClXr6oWY8vWbRrFoJ8CLch98yZSJnSNZKVKBIOfaeTEqtVHObDuPXs759Jfc/SkWiAq&#10;M2fNkeiY+Tr9lYZfOCI/UyMYKb9WV7p0HEU86HUe4RycWf41CCNkg+6jVKgwrG3s+InZA924dkaP&#10;naBC0pUrVzmSuVsrm6ybqOHfhhENgyGXAdG4cOGCJG7apGkPJnqiv4BE9Ozd1xGN/uokJrgVKcSB&#10;0HgwnAsBYBDtuEE2eqp+w0c7iHJovt6tbCErOBxEg0OHj9L+HAxrIzWzcNESrW7BUUE2jGjce8Y5&#10;IyrF+UOjA+GAWNJRFrLB+ed64PxDQCCbkEpr7GX4t2FEw2DIJWgkI+WqTuVkNRoXn6D5dKIVlCtC&#10;NiATpEGISuA0WKliRCXmzJ2njZyYhYEzwXlAUkaOHqd9N4YOG6khc3QckA2ISy96LkA+3M9ERIJy&#10;yAmq7SC/TztsmkWtWLlaIx2USGYLTLds1fQL++rTLJZiyT8Wmk7hHBGhYgJsjLtu6CBKZQrXFWJR&#10;RtSTXiF6xrwUrkGaxBkM/waMaBgMuQSIBtM4cd6LFy/VAVtEHDAiDjgC0h04fXooUDmAs8fQcJDu&#10;QAQIGYAU8Lqly1eqLiM2Ll7TLzT7IjfP0C7SKUo6iJSg9+jZR8mHn6XBUC86TxLpoDSSCAr7NHX6&#10;TM3tU9lCq2z2A30Hug6cmndw3sI5QbO8M84BJJDzQ6v69e46gTzOmh2VTWSJcPEv55drBVJy8eJF&#10;vSYxgyEvYUTDYMhh8CAnL07IGke9ZOkyfeCjvSC0TRSCChJaSuMkCG+Hcyg320HnYHjtTq1EYFLo&#10;Ov3sGEdWiHxAXEaNHqeRDmaneKEgqRkIRzihKX9DYEpkhTSLH+QF8aGJFOJSKh8wQvYqKjVBab4w&#10;jr9Pp0Akli5brroNiGTffkEaBeJJwy/6cRw+fFhn7BDZ4Po00mHIKxjRMBhyGBAM5lCg+kcTgTiP&#10;aALhbKIZ4ydEav6c9uOsSFmdhnMkN1v2Sjar7BHnErSwXq+RiMWOdDBqnBUsJGbuvPmqzyAtw7C2&#10;ceMnyYiRDPIaoftBmD0gI5CNrLHlzkmhEYG4sEImfUPUhc9ctHiJrHbkZpMjOUQ8cHDh9tMs7wyi&#10;wTWxe88+vRaWr1ilZJFW5f48QzbQ/JCS2+ReQ0WKnwRrQlFDXsCIhsGQw+ABTq8MWkPT3RFtBREF&#10;HvrDR4x2zn+epkWCktPb00H4VSzOBUdPhGOP+xyiDZAPX9ZKiStEZNPmrbJ+w0ZtZY4GhBXvpMgp&#10;WrEC+QntRMo+0gSK7pPk+fkb+4zDIuVCxITqFvL+aDo82fDGPrFv3sLtv1nOGteDvyY02uXOCWk2&#10;9Djjs0SiRLIQig4dNsKRztlKSE6fPq1kw3cSNRhyE0Y0DIYcxlUtZT2h6Q0GYOGo0Uwg1qOx0uIl&#10;y5QIhHMcOWne+UBAKKtF68G2iaYwK4Nuk+gzIB7jJkTKmHETVWgKAdHyWrcS9uTDl9+yUg6Eq7Gq&#10;FfGiUnp50DwMPUqQYglKaL0jDLd/ZjlvkL0t27ZrMzeuPcgh1x/nr1effo7ojpKY+Qtk06ZNcuTo&#10;UY26QTYssmHITRjRMBhyGIjuiCbgzKn44CFPmgKnvnT5Cp1bcqu6jLsxv9Il2kD0xEc5QsWmRDs0&#10;9bJqjfbciI1fKLOjomXy1GmBsHDwUM3346TI+fM9fPksug5EpZFTgl4edCtlBDqfzbbYricb4fbP&#10;LOeN402EC20N5I/zyXA2qpQQCUMch48cpZEtqo2IbECMIRsGQ27BiIbBkEPwIlCaJJEyYU4Jugwe&#10;7lSEUIbIahNHwMoznKPIafMRhb8znBO6D0SmkKAVq1ZrBcqsOVHaVGzUaCpavK6DoV6BsBRBKf8S&#10;+SAKQmQk2q2iiZoQPYFw0D47u2vpjqBr6Y6dpHZ2a+QDMuL3I9z+m92ehZ5Xji+iXhq3Ud6MGNkT&#10;RqJTc6PnyQ53Xvz0V7RFJhA13A389cO1hOiY9ByzdzZu3ChwCyMaBsNdgJuLVSEi0OPHT+iQNFb+&#10;OGHIBjqNhYuXBLoGRzLym2OF+PiKFsgQ1TD0aKACBUeFkBASMW3GbC2nZbgXWg6cFs4LAqLdSseM&#10;d+RkikyZOl2Hwc2cHaURkrnR84OupXEJusrGiKJs3b5Dt2uRj5w32pZv275T1m9I1KqTGbPmqDYn&#10;0OUMdD+Pk6i50RrZOHr0qKSkpJhA1HBXCCUYJ7MGRm7evFWmTZ8pERHFjGgYDHcDHs6pqWkqAt23&#10;74Dmx4lkQDTocTF95hxNK5DCyI8OlX3C2YeKTNlXGkN5kSmRCb7D/Nh4t0KeqeH4YJJoEOHAPPHA&#10;EJgGjcmGakSE40CLbLQg2irbERCqWCA3RjZy3vz55DwSqUIQPMcRC1JeXJucH5rGTZ85yzmDLXI2&#10;KSlbs2GRDcNfwV8bPPMgFpDTtDQsIBgXLlyUU6dOyXa3iGChQuVab/c8+H//3//PiIbBcDfghiNE&#10;ePTYMV1B0kiLPhWEqCdPnSFxCYtlQ+ImdeLhnEJ+NwgAZGDrth1alrtw8VKtbIBwICQN2qUPU6JB&#10;q3TapDOBlp9psw7hoEsp5IQy2iDKM0kJ2crVa1SsamQjd4zj6dNiS5atkBmzZmsVEZENyOGIkWNU&#10;IEo1ypEjR7LHzHNNGwyhgGB4cgGpgJwec8+8A+65tnvPHtnmFiNUpJE6XhAbpyk7Jk//8msn+Z//&#10;8R9GNAyGuwGrQLqAIrSk5wSpEjQMPNDRZqxbv/G2embkR4MEsDrGaRGSp58GpANNBsJXejWg44Bg&#10;eaLRrUdANPoPGKwkA90KDcsgJJANIhuzZs+V5StXa+TEazbCbd/szozjyXElOsU5o7EXkQ3SKJwH&#10;qopo6jV1+gxZlyUQJY1iAlHDzYBo+MjFmTNnZOeuXbJq1RqJi0vQvju0wh8/YZKMHDVWFxbc96Tp&#10;vuvwg/w///N/GtEwGO4G6ekZ2ghp+YqVyuIRR0I0KAelmgMRJE4aZx3OGdwLhsPydvBQlojUfSei&#10;EZS4QqjQZwwbPkoJB04MkqERjX4DtI8DDyD+zmh8BsYR8cHh0VyMKgmqYvjMA+6z6YR6KMx+mN2+&#10;BefssApE6fhK9dPM2XP0OvUCX85H9LwYTZEdP3FCIxusXgmRWxql8CA0LYLmjOvg/PkLKnJHOIye&#10;hwgG9z1aNLQ/RCdJj5JKDRoBBpV2pOa4x3/r1EX+43/9LyMaBsPdgFAiD3KGoREqxNESlp40eZqK&#10;KtV55kMR6N0aK2WcF6JOojaQKtIhOuRrxGgNz0M4mLviBaMMhqPkkg6pNJQisgEhi5obo+9nMilV&#10;MAXxeP2bxrHkfBE5Io1CJ1nIBufDnydKmukmu3btOiXOlL5ybRvRKDyAZHDOiWoRteDZRUfZ1W4x&#10;QfQSQTcRTEqkuYeJhnEPB43+Buk9jh4L0Tgl/UysHjlqjBQpUtSIhsFwN0AMtXfvfq2ygMUjtOPB&#10;PXXaTNVs8JD3Fs4J5HcL3f9Qg1yFGuSAlQ5j6SETPIQ4DqRSMB5Ek6dMk6XOyVFeSZSDVAurHypZ&#10;OH6r1qxTZ+g1G+H2x+z2LfS8cWwhdOhjEOWim+H8oKmhUywao23bt0tycrKSDZyPoeACIumNlBkk&#10;g35A+xzJIErLGAW0WCwMeLb59OjvXXtkpUiDUncWWBBXKs7QaPBe+vUsWBArJUqUMKJhMNwNyFvu&#10;cSt7yrhwpjhOxJE8xOknEe7Bn98MB+Rz+VSZoDfhIbFqzVrtNLlk2XINlVLuGs4QiPIaenDwYKKv&#10;htdksNrhQcQIe+atMEtl+oyZOmxuzNgJ2YPgSKNANiAq6zZszE45WXQjZ43jidYGzQbnDMdA51pI&#10;MhUppLjo/roxMVGOuNdTjcIq19IoBQNe0AmJPHfunBw9ekzJJ/cb9/369RsCQWdcvC6WKFtHc8Fz&#10;zadESJWgu4JYcK/z7KPChNJ1rimGPupgxh07Jd49E0qWLGVEw2C4G0A0drsHNykDnCqhRNp5M5CM&#10;eSPhHvb5yXDiRA9w6gg9IRjL3GqEVBBkacq0QOQFEeDhEs4gFaRAEIVOmDhZw6oMcuM9RDZYKQcT&#10;Y4MR5oRWqVwh1TJ+4qTs0Curaz6DTqP08+DhF1qRYoTj7o1jqaTSnW+tRskqQ+RcQTQ4F8NGjFTn&#10;scERvlMhAlEjG/cGQqMUnLNQ84LOJEcyWFhACuLiF8mcqLkSOWWa3sc06kPDw7OM7sBcExgEg+uE&#10;Z11ALBL0WUHqFGKBxod7FiLLZ3PvMpCxVCkjGgbDXSGbaLiblJuRECNDrWD3pBLCPezzi+G4eSDw&#10;cKDEkfklRBQYP888FMStkAIeLlTRQBoQdN5slLjyGh5SdBTlgcXDiH/pnUFYlRAr4Xn+hZzMnRcj&#10;CQsXqVZAox/uuKHl4OHGe2kUxsqKYxiaTjHCkXO2m2oU5yCWrVilwj6cC9cwKS8EojHz5zvnsU0F&#10;ojYb5d6AJxdELng2BYLO83L27FntcUEEY7+7l7bv2KG6KCKQLAyILAa9cYIhi9yL/LcfO4D+jPuZ&#10;qqW4hEUa6WRRQtQC4vpX9+SSpcuMaBgMdwtuZhxh5OSAaPCw5mdSCjD8cDdffjEeEITQGTFOMy7C&#10;6BAm/vURByIbPFg0ReJICCmUUKPrKd0neQ2vZUw9k15Z8eC8iFBAInBenmxAJiAkaDUIrS5zDzyE&#10;iIhIWUER2SAiAgmBjLDq8p1ELZWSc7YvSyDKNRAIRKM0HI6DofEaAlEcEQLR48ePZ3cQNeRfQDJC&#10;UyMHDrp73JFJqsO4X+nSy72JFoeFAfecRi6yUiPcqywcWGCw0OC+5L5etGSZLkQoa2eIIs820qxE&#10;Qv0CINw1ZkTDYMgB3Ew0WOFPnjLdOeXFWrIZ7ub7t40HAw571+692vETJTn7T2SBnCxiTh4u9F2g&#10;TTUpIHqB8HoiIKG2a89eHeSl+d0NiRqFoIQS8jFv/gIlLfTMYGXE8VEBaBYho105o+f3us+hQmea&#10;2+5g96AjAkI1xIhRo7P2JU7FizQN4+HGdiFJfIe/e8iZ/b1x7DCcBWmUpctXaqUA4lx0NZS+Dh4y&#10;zJGNKI1s0GeDyAbOzIfmDXmP0LQIUSaeQRCLK1dSNIJx7vx5jV5wXrmvWDBMmTpDU7qkP9BZ9HOk&#10;gvsRg2BwzynBd+QDHRXvWbxkqZJ87m2ecXweZN/fe7dy/xnRMBhyAKGpEy3jJHUyIVJHsufX1Emg&#10;xwjKUtlPStEIi/KAiXKrHaIXDEfbmLhZX+cdOw+Vmz+L3/E3XkMKhpUOKx4EnZADxGEIy2bOnqur&#10;JDQaiD+xMWPHyyJHSPbtc+/dsVNWuhVTDCWyU6bqqooUCykboiKsttlXOlyyqmKVtsORDo1y/MPD&#10;zuzvDYehAlF3THEMlC9y/H0VFTl7Oohu2LhRBaL0WPACUUPew0ctOA/0uaBDJ/c0aYxNmzfr4oCq&#10;D9KPRC6YJB2kRrygk9EAQeSCBoMIs3kdUUwv6Azu/016//PZXCPhrp1/MiMaBkMOQImGW9UjmuQm&#10;piEVN3D0vAUaCQh38/2bhkNmdcLDiAcR6Q0IwLTps9xDYXkWudip3yl09fJXKxd+x994Da/FeDBB&#10;PPgMHBgPwA0bN+lDbGLkFH3oEdWAdMyLma/tiw8ePBjkjw8c0Ick7bKJsBDGR0zKcSVXPMk9FKOi&#10;5+kDjNbufD4pAJp83bxvZrdm/vxx3li9BrNR5unx9/NrcEw4I/LyvvQVHYAh7+EbanEeDrlzt96R&#10;elKQM2dFKSknckGlCPcMix8qvtT69NfIBeRd9RZR0UrefSkqiwTuVS/m5HoIvf/DXTv/ZEY0DIYc&#10;AESD0P/0GbP1JiYkSVknuW2cdrib7980Hhg8UChJZZ8pYcPQaEAG/OolpyMEPLggN6RBKInjWEE2&#10;COkuX75Co0Io4anh37Nvn6xctVqjK2PGjtN2xoTy0Xfw8Bw7foISJIgLLcwJ+0Oe/EPRoht3Zhw3&#10;FYgq2WA2yhwVAEOg0dhQjULpK5ErJhVfyhKI4vgsjZJz8GkRL+gkXZWUdE5TV8fccT90+LA+cxhe&#10;RhRwbnSMTHCLBfQWATGn4+sA/TcoRx2u0UFSmBAMqsm4dyCU69Zv0OcB931u3DdGNAyGHEBaerre&#10;pPT7R4eA8+Qmx4mzSgh38/2bBtEgtaEljWPGa7qE/hdMU0WHgbPmNTn90OFzcVCEY2Pmx+lDEQ0A&#10;g71YKa9Zs05LKVmpIWI7fOSIJG7aJHHxCSocpZX5z7900kZBrNLQePDgpEIlfuEiPdboN4jCGNG4&#10;M+O4cZ5UIOrIG90gIcwc5yCXP1AFolzr69avlxMnTmhkgzC+EY2cA8cSAse9cOHCBTnszguRJvRP&#10;CYuWqH6C8+K77KKpIR3CIodzxM9EVdFb8BrudTRXRCzRZEEuqDKDYOzYGWiecougG9EwGHIAPGTp&#10;/4+gEiEoRAPBI+JKVvA+7PhvOz+2z37gSNas26CRBFIXaB8gGZCA3HTSN7Z/SKtceAhCNMgbD3Ok&#10;Id6tsJiA61dyKc6BUVa5yZGNqLnR0qdPP/n886/k+w4/KtlghQ2h46GKOp6KGHpvIExV3cZB023c&#10;ifnzBHkmUkSfBEqdIXYcb3/OiDbhqFhlE4XCKWZkBPNRDP8MyISPXHhBZ0rKVe1x4WeMcGxJKZIa&#10;oVoE8TRpEe5bX4rK+eid1f+EKCHRC4ghuivmCNHHwgs6d+8JtFaYfy75Z1Nu3StGNAyGHABE48jR&#10;o1o6NmFSIHakjJMmV4SfQ0vAwt2IeWU8SHDA7M+Klas0hMpDibArq5vcSpncbHz+mrXrHTmYmfXA&#10;HKQPTYga+WZIhhe7Ufu/a9cumRMVJT/+8JM89+xz8vHHn0mv3n01B+0ftoSFIXZUuVDfjzZm5649&#10;efJ9Cqpx7LIjG85ZUD2EZoNQfPeevTUaxjljDsZOR+6Yj3LhwkU9b4Z/xh+jFhf1+NFhGL0S0Tmq&#10;RSj7ZjrqzFkML5uoCxlNOWYJOrkHNHKBoNPdzzNmztH+NIGgc4V29vWCTvRSnNNw5zo3zYiGwZAD&#10;SHcPixMnT2pUYNacKOf0xijR4EGM2JIbHef+bxMNts/DhpUNZWuTJgfTVpm8yoMot1c23vh8Vmjk&#10;iXlIQhaIThCOp5EQjgqywb80Gjpw4IDMnj1b3n/vfalepaq83v51GTx4iCrlKcfjvRgjzxG5IXAj&#10;97x5yzYjGndhHDeOHwRUNRsrEIgG54xZFxxznB39ThAUMnyLiBSpFMM/AzLt9ReQDMh+fMIivQ8Q&#10;Z5NS9FNREUMzCRmdEsed35EuQVhNtIkOnV7Qyb2MmJPoBefOC7r9/R3uXOemGdEwGHIArErQFOxy&#10;9w43FTc/RAMnSJkgeW5W2Nzs4W7EvDIeNKRHeBjR44IwLN080Tfw+3DvyQ3jYUdInkmQHCsaBPEA&#10;pepllyNkhI55AEM0yE8fOnRIZs+aJW+98aZULFdeXnu1rYwYMVKbfZF/pvMoD2RCx2hkyFnPnhOt&#10;ESbErb4899960N7rxnGjV4r22XCrZFJtwXTeYDYKZcpoaOgmS0kkx5qR4oT/PWks7PoNSIVvoHXi&#10;5CmNgELiIP5EMNBeoLuYGBmUdXNsvSaGiB/XtY9eaDkqgk4IhruHiFyQoqWU/t+KWvydGdEwGHIA&#10;PEivpKTI2bNJ6tRYUfuppISaWaHwAGZlEe5GzCvDYVC6Rg8Kum0iwCQqgEPOa6JBbp9afXVabuUG&#10;0UBnscWtnM+dO6+5aqbi/ololL9f2r/WTsaMGasN0XiIsf8IWlnh8UCm4ofVIA9jHt5EN9geD2Aj&#10;G7dvHDOu3SAatk1TU3R/pXKINuVeJ4MTpJcM5cpc75w3yAaksbDrNnhGnDlzVu8/qqm4/9BPUNWD&#10;mJnUR2haxOstSAkyOVUFnVmlqL7HBc3xIH9c26FN7Dhf4c7jv2VGNAyGHIAXdLF6o+QvIWGRCrSo&#10;WyfEOdatuHGGaAYQQv5bDwIcLUSIFA9RDPK+PMB4EPCgwgHnhRNmGxAb9gOHRctrwsEQg40bN8np&#10;02c0nIyDuploPOCIxhvtX5cJ4yfIKvfA3upWcTT6ImrEA5s+GzyoWWmjP6FREUJS2i8jEqV00xMO&#10;Ix23bzgyzh1hfsSJiA596WtArhm8NVymz5yllQ2kUpKSkrQM9mpqqlZoca9gBS3KwXfymgtatROZ&#10;u3wZYedlFXYSrYMca4fOUWOzI0JEPzl2Pi0CyYC48Ro6DKOh4vmBZoOoBemQe+m6NaJhMOQAPNEI&#10;Vi1ntK4drQCrPW21PWykKvQRQLKi+bdSKDhWCAVOYtGSpapKx8mzSqK1Nw44r4gGIkMqRCA85KN5&#10;4N420dCW5Nt1pU2/EsL6c6Pnu5V2EH6mSgKnR/dRmn+R/+Yc4CiDqhTTb9yuccxYOXMMOZa+SRRk&#10;eohvbT1gkK7EIRtUEjEfY6M713v37ZMzZ89mVacUvOFsXK+QqoPueuX4cE0SeUB4jbMNel1M1shF&#10;0EgraPtN2m+EIxWk/CDLHE8iccwO4prmM9B5ca37XjFGNAyGQgjIBoZjRKVPtGDU6HG6wqO2nTAz&#10;wtC16zaoY+RBkdcPC7bHaPBtjuwg7MOxQ4LCVZ3k5r7x2b4pFA8hdBp3QjRY4RGh4cHLvtOOXFuq&#10;xyfoiHPIXpDjHqykg4ZG9BKgNTqEz39fi2zcunGcOF4cc65jnJ+fpcF5DJp7BX1kcKIcdz87g3PN&#10;e9ApsMpHs0B6jEggxAOi7iMd+SnaEbqQwNhX9pnr01uqs/PuWt3nrqnVjgDTcp/vTNqDviMQL62w&#10;Ii3ijg3HKEiNjNHjRgoxmC20Qtau36CRC8gKxIJjxrXKMffXa7hzk1/NiIbBkMNgqBEPAppPzZo9&#10;V1fUOFEeKHTfpNcDD2ceGnnt4NjWfvegwsmTtqBckf1CsEojH9p582DLbefL5/LwpPqF7d4p0Vjj&#10;HByEwT94+ZeIDSF7ZrWQ/+YhjyjXd0eMnDJV0zUQLVaJnnD4zzC7NQslHDhEoks4Sq4p9AaksAj/&#10;B0JGWseP1Bb9XP+Q2u3bdwYCXXetkV7hnF+8mKzn3BOO/AL2hSiMDitzJOnkqVM674XIBZExvgf3&#10;zeYtwZwYXzXCd4ZMYBwLrj+IGHNjIF9EL7RDZ4igk3vC34Phjvu9aEY0DIYcBisd5g8wOZEOfISU&#10;ybsSJsXhsXLhgcLDhIdUXjo47xyYC0JnUMpamYvA7BC6mFJ7T7g3NLIR7nPu1jzRYFs4nvETJ+cI&#10;0eBzcXwcW6JKhKxxfohMOfZ+XsoIt7rkIc8D3kdFCtKDPS/MX0t6PbnrGLKRuCkYRc45RbhIJQpp&#10;ApxstmDUHXsiS1Q8cS+g82BCcKK7FnDcvvEXZCO/gAgG+0UJKjqL9es3ank419acKMatz9brCXJB&#10;FI0qKiYP34imjZKx4yfpdYheiE63TDcm9QS5pyKNazA/CzrvxoxoGAw5DB9m5eGEw+PBQg4WosHD&#10;ltI0Uij0kWBwmScbueXUbzbvIHiwEaalNTEPQB6SrEZ5KEAA+LsnQwhYeV9O7SOfQ6tzcs+URCIo&#10;hIxRsUAvBqp3fInr7RIN//3YbyJHHGdSKb6MlnPAtkgZoVFBt8H35TvevJ9mf2/+ePtjjoPEWbIq&#10;h+RxbiEUo8aM12og7gEMsSMOmN8Fgsdp+lq6V+7du1eOHj2qRJ1mbcz3oAoJMSXXwgXn8CGhXB8I&#10;Lr2Rhrl6NdB+hKZd+JnfQV54DdVMoe/js1gY8NmkPhivzryds0lJun00JfTIYb8oC4dgoLciFQqp&#10;YFIzEQv/vfjXfzc0K6RPISF+IvKKVas1kgYx4xr10UNvocc03DG/F82IhsGQS+ABd+LESQ3j85Ah&#10;XMqqnRU1Th1dBBEP/8DJywcL2/IaCR58POR5GBJRgGywb6xKWXGx2iL6kJPpFD4DZ8SDF5JDiBnF&#10;PaklhkQRQsdp3C7RCDX214sWNZXivk9QSjtaiQa9H2g0RWdL/o6TvPkzzG7POA9cy1wvkDz0SJBZ&#10;Vv40siNtNcaRSp9WwSnjpCHiNLejAorzATFcuHiJvpdSUAgIUUDEw1w3fH7oOacnBfcavTuSky85&#10;YnEjGkJkhJQHrbxpZ8904NB95hrZvn27pnMgpWyLbVISTSUT7bsho+wXKUadjOrIEUQiiFoExEIF&#10;nSOD2SIarZk1R4XJLCqCctS12tOF4wIZ4ziFu24LohnRMBhyCRANHnDHjh1TxT3CMFbTlLLR4Q9t&#10;BGFjVjdEDny4NK8IB9vBGdOIiaoAIhukMHACGKSD/eNvCNN8SJf38N6/snDb8uZfw/dEtDk7aq5W&#10;h/CghmjwIGcipa9KwO6UaPjt8TdSQZS20o4ZQqUrT2c4BrZJuJ8Hf7jPMLs98+eY64TrhesG5wqZ&#10;o9IJEsu1FZz3oCyWcx+Ud/ZRMk7KAU0NDaqIGuC8J0ZO1nNHF0xICIQAYoBpRQbNqtx9BNkgauGF&#10;m0QxiI7Q2pvXJLrX+vdhOMGY+Qv0OuDz2RbbhPyyKPDRiiASRmfOPtI9pByV3xMpQ/SJJmh+bJym&#10;RRB00nPEp0O4vkLvcSzc8SuIZkTDYMglQDR4yOEoEbwtXbpcw62EU3lg8fCaOGmKOnMc4I1BYHkb&#10;widlgJ6BFRyRDdIJ7Ce1/sGqLEa1DNTxE4FhlcrqD/KBk+dBygrTr9D+7gGqxGb3Xn0vEZMJ7vuz&#10;MiS6wMOaY3HYvR+C4dNPd0M0vCnZcPtHimTajNnq4CA36Gd82bERjdwxjr2PLEEIgmZVi/W6gnyT&#10;0qLXiS9HpjKDawIBKWTDG79HZ0MDvMlTp2mEhHboWFT0PCULRA8gxmhF6LaJbXI/8zv+RmUM2/Xv&#10;w4iokc5EOwKx8dv1Ak6M/UHIyfZZILAPAfmZolEYutAStdHIhSNA3E9cl56c/9N9UdDNiIbBkEuA&#10;aLCiSk1N07zvrl17dMAajpwSNyIbODxyuHQIZHXlNRHhbtbcMnXCrPjdg5HQLlNVeSgj5qNrKM6Y&#10;UDH7SUgYx8zffX0/eWuIA4SDh+rfPVD37jugJIX3QmKInBBd4AGOQBCyQwgckuFz6zlBNNgnSM6W&#10;rdt11dnfkQy6h6IN4LvgANn3cO81uzvzx57rGkLKdUKEg5QcnS0hrzSxYhge1RqQiPETJ+n1ho6G&#10;e4XIAUb0I5gcG5w/yKk3CDzXE9EIiANEAOPnIEIxStMbaCpC30f6g2uQSAoLALbBf0Mw6DRLi37S&#10;JUQ7uGZJocQlBNc/+05kDmITSry5n/yiwZMMIxpGNAyGXAMOk1QAlRSEbxGToQ3wYWMenDwQyQMT&#10;LeAhnNtVH+GMbXnCQZibhz8PVpoIUTnAQ5rmXjhnHAKrQ/aZ78MwJ1ZyOGxy6Dx0t27foYJSjGZg&#10;/A7HQmSE90NgNMftHupsY8GCuKz24+eyjlyg9s8posFrtrhjy3diuzgm9CjsDytQjne495rlnnFO&#10;IB9cM0SVSDngxJk+ynliGi+EA0Kgka+sVAbnD7LoDeJBugWCQI8K0hmhRrWRpstUTxFEs7Lfr5GL&#10;IHqhkQu3LZpnkQoh2jFz9tygeZYjpJRik2aDLBOhIWJh180/mxENgyEPgDiNVsTMOqA8jjQKTo5V&#10;lgpE3QMOskFNPY5bH2RZEYJwN25uGM6YhyYPTypCSDPwUEUQR/Mhoi5qhJ7dfjLQCcJAbpuZKdNm&#10;zNRQOA4C7QWvjXYPaFaqOA5ez9A0hLAM5CIUjsPgZ1I2hLlp3041gUdOpk5YYbLyDFInRjTyg3HN&#10;cV6I5HEeNzsySoQMfQPpRHqdLHTnByc/PzZer6Wo6Pl6/dGjxhvXHCkMog6k/SCuoUb5Nn8jmkhE&#10;C1Gwfy/pE65VPnv+gnjdFmk9SAUpF/YD4u3LUCHNPmrh0yLhvpvZDTOiYTDkAYhqkA6gioIV+wH3&#10;gFq1ao2u2FhxeWEZxAPnt9jdmDzYGPXMw0zNOUKcIcbDDeNBHWrhbvJbNf8Z/rPZzr79QU8KOonS&#10;dyMIcy/RFR4Eg4c6oWVSH6wKic6weuRn8t3k3GlQNGTYcHXuvTU8HYj/iGSQ98YBrFu3QcsYqTQJ&#10;7Z+QU0SD78LKmY6gmrrKIhp8ByMa/56Fu+ayr3dnkBAcOuQ3NOWiZGTd+mxTUrJ8hYpNlZQsiPuD&#10;0cqb8wxxofoj9L3cZ4kQiO03+lj41Af2V/ef33cs3Hczu2FGNAyGPAROlM6hOFUeajwEyR/j+NBs&#10;4KT576nTZ0h0zHwtyWRVxQORtASRDsLMPHAJ3eI8eTBiPBT/yeHeifGQRUjJ/nqyoVGO2DiNUqDj&#10;YJ8JObP/vfoE6aDQkDVRG8gURugaAsI8EggLTgKxLD0NIBaQMo+cIhp8ByJEpHcQuXK8yb+jN0Gc&#10;yPE0opF/DWfO+YEAeJ0H591bQEC26D1C9AHtUKjxO/5GOTeEIvS9fBaf6SMURhxy3oxoGAx5BB/V&#10;wHlSjYLokRI9wr6UWfZ0q/yu3Xvpip+UAs6YaAGlgFHRMTp8DN0ETh7niN7Bkw7fXMs/KHPS/ErT&#10;z0jhgU0+HcJBjwGcNboNBpcNHTZC+jsiAdHwxKJ7z95KovhuEA7U/QzbohskD3iG0DHZExIWSjJA&#10;ThENnAj6DISuhNFVhDtmnFbTsDrG2eQGSTPLOQu9FjXCEGKQbK5PCDfXFPdCqO3eE5BxH6kIfS+f&#10;h/HZbCPcts3uzoxoGAx5AE8yNKLhVu5MeOShh4iS9sWIzyAYOGPSCkQC0G2w6kY1j/YBbQRRDvQM&#10;gTBtmb6fDowYK7egp8BmXd1547/v1ggvr3PEhrAzlSHkryE8sXHxSpRoNY3jHjLUq/iD7pvaD2Fg&#10;0JCJssAJkyIlel6M7vfuPXu0EyPH5a+Qo0Rj6zYNnU+aPEWJBsQI4sYxwhkZ0TAzyx0zomEw5AEg&#10;Gj6SQXtlQrmkTYhWUNGBGh6CQboBvQPCUEpJSU14goFpHwDnqINeAPP07zh6hJikW0gLIIpjJDp9&#10;BviX/0Y9f1fm9oV9VaHdRAR2k3RwFgPL0JXQewDn7VMlkAt0GbyW/SNyQDRh46agORkPn0CTcfVP&#10;UYxQGNEwM7v3zYiGwZCLwIl6ksFMhVOnTwupB58uofOgL8GjXwDtsXHoqOBJlbDyxxCyUfaHw2by&#10;KCRDOxlOmS4TJk5Wp0nDIwSOfkIkn4UgkxI+nD/bCHoF9LsLC/oZeCM1QlqkW/dewb/O2AYVJaPG&#10;jNXvSXqF9ATjs0+ePKkEg9kSVJdANBDIcnyI9vj+GR5GNMzM7n0zomEw5BJwmF6TQSvyAwcPqqiT&#10;iARpBAgARAMygNMj8oAWI8E5v5Wr16gGA4U9jpCUCLoI0iPMJqHfgJKPLIU9TYTQSgTRjVlayUED&#10;LE1nQDYGDlaiQGrm9249pUvXHrlifDYEhKoTBKJoN/i+kA0qS9CS0EvkkHPqzKc4dvy4toemEocZ&#10;FRCP3Kg6MaJhZvbvmRENgyGXANHAabJiZ/4COgo6DLLax+kjmCTygDiRKAUkAlU8gstAvHajxM5X&#10;lmDMJsEx7ti5WytP6HnhG2MxW4HoAV0LISD0C/BNj0hveLIRjiTklCH+xJEjZiXKMmbceHXuCEAh&#10;HfEJC1XnwfdlX7dt367lvidPntJhahwvDyMaZmb3vhnRMBhyCRCN5EuX5LhbtePMiDbQhVA1DG7F&#10;T2oDXQXNsFatXqOVD5AKFPChVR+3YzhLnCrVKL7ZFukWoh1oLXSmw6ixIVGOvmEjHPyONAipkV5K&#10;igLtxV8a6Z+stAwECkdOCscb24N0UEXDfBcad6EhmRfDdMsE7YGwfv1GraDZt2+fzjs5cuSI/rvX&#10;/feWrVtlcuRkJRgPVqgob77+xh0RDdJQnmgwupx0FKksIxpmZrlnRjQMhlwCRIPUAGWgXpMR6BeG&#10;a2QDnQWNuRh9jbOEZODsIAzhbtZbMd574CBtnffJtu07lXBQNYL4FOJBJCEYeR2jkRRIAIQCYuEN&#10;cgFhCJ2gyb4zxvuvjIiJ14QEMySCdtG8H2Gotomm/bMz/cyhIzSaw+fqgCpHgNgf0kccKzo/Inxl&#10;UBURkIWLF8vIkaOkXdvXpOpDleXdt96WiRMm3jLR4NgS8aEsmFka9NEY6YgPkSTSWXwGBC/ce83M&#10;zO7OjGgYDDkMnzJJT0+XHc6BURGC06aRFQ6cVT0OjkZVOL+8cHCHDt9oeoRTJWWBA4fwUPHiRaJB&#10;NGKwEgU/UIpKE3QfVLj8lUEO6LjJNEvmofioiYpTmVORJXoNFZIGFnRE9T03ID2kdhjDTZSEwVkQ&#10;mSnTpjuyMlDat2svdWvVlg8/+FAmTpwkqxxx4BjeCtEgzUR5LvoVviPEiFQO0SSaOBnRMDPLHTOi&#10;YTDkMNAYnD9/3t1gRzQlQLoCB45GAoEkugn0GoTyaS6UlyF7toXOA7LB1EnmSCBAZeaDnwFBmoW5&#10;D6R0SC0wewXxqe/XEc5ISaALoQU0EZPYLJEqPT8wZp5oOS4zUphT4cgJ24OEqXDVEZ4grTNGSQ4p&#10;Jo2AIJh1xw3SQ0OzTz/9XF5p86r88MNPjmhE6r5xHP/pGEIi+N70A5nmCBERFiIq7Av7zmcY0TAz&#10;yx0zomEw5DAo20S8SJUIq33SExANSIYO8cI5okUI0WOEuzlzw3xUg46IdFJEUIougtbmpHBwxNpt&#10;1K3wISMITdGOMHMFUvRXhsaB19Hm2wtUeT/pm8CY4Lo923DsbJO0BUSFChqIDUPaJkZOVsJBwzL0&#10;H0RbMEpof/r5N/m+ww/Sq3df7eUxPzZOozN8H77bXx1L/73ZLr1FIDJEXCgRRseChsaIhplZ7pgR&#10;DYMhh0GPCJwpTbVYpQcr80ESOWW6JCxcrGWrrK7D3ZD/huGE92URD2aa5AX54fMhB5AUSIgnHTh9&#10;SnWJdBDlQPtBQzD0HpAOKlp+79pDU1GBmHamkhRfOfJ3ZIFtQn4gMxANupXyfsqJ2b4RDTOz3DEj&#10;GgZDDoOeEJRuolUg7E80g6gGDpQKh527/t4h5rX51b430hB5QTTYFmSDihAIB5EQhKs+wkEKhvQL&#10;wlDSK1SJUClzo037QE2pUE1DZQ2C178jcH8mGsO14ylaFYbFMZ0z3PvMzMzuzoxoGAw5BN+g6/Tp&#10;M6odIIpByJ/VN6JKUiY4Qhxebjvy2zW/T7m5b/6zITJEUAKCsS+7JwgkIHHzFh00R3UI1TqQDsbS&#10;036d9upEMRCVIhyFcHB8SYFQscLrtm7boYQhnGaDbSvRmDNXxakQDd5HZYtPv9z8HjMzs7s3IxoG&#10;Qw4AkkFzqdTUVDl27JjEuRW2r+AYOWqsCh8pL0WXEe5GLOiGkyeC4cfNo5Wg2ymEgugFEQnarkdF&#10;z9MIBqYzXtzv+JnBczQeY3YKVSja9KxXX61SYb4KzcFmR83VChJSMZCYm8kG+0DUBHEqehlIy/gJ&#10;kSp+RU9TWM+NmVlumxENgyEHcM0RjbS0dLl06bJ2ucSZ0QxLw/PTZqg2g7RJYVo1+wiGJxk4ckgG&#10;egharHNMqPqInDw1mzxwvBgjTwSIFur8DaPJF0SDMlreM278JK0c6ZFVFgvZQNMRG58ga9dvUFEq&#10;22TbofvD9uMSFulr2SbprekzZmn0BHISuv9mZmY5Y0Y0DIYcACkTxr+fOXNGtm3bIbPnRGuPCCaz&#10;zomaJytWri50JZSeYOzdd0CoQiGCwQTXhYuXaLqCiAWRHogYRGKsIw8QAHQTVOdQseOjGtj8BfEa&#10;/aCMNmZBnOo2qE5Bq4FmA9Eon8UwOsShkLpQvQn/7tq9133GMk3DjB47QYaPGK1D6WhkZkTDzCx3&#10;zIiGwZADoEEXczoOHjyoKRIcGStt0iYLYuPUyRK2D6cdKKiGYyeKAckgNUGnT0gEBMF3AIVAEIWA&#10;QODsSaWsWbdejxe6CcShiZu2qDFgjmoeUiP8nqhIzPwFmgbx4lD0GjQXozEXs2JCoxr8i+h0iSMq&#10;EJlAXDpEu5NCfvJTJZCZWUEyIxoGQw4AokG1yS5371CiOdGtzCEahOepaihMg7tw6HxPRJn00Fi7&#10;boNWkEAuGGSGzmLqtJkarYBgQAogEaQ1cPZEIiAI4YzP5V8IDKSB91KiCmEI+m3003TIIncOEH4S&#10;pbiZaDD9luZhvA5yQspmQVyCbp/P9q83MzPLGTOiYTDkAP6SaDjHmrBwkTbBwskVBqKhJMORBSpK&#10;0D4QtWCIGuSCBlnoV5YsXa4kgcgEzcEgYZ5g/JOjzyYy7vUQONIw4ycyFXe4tlFH5OkbeYWSBwzi&#10;Qb8OiAXt0mm/PmDQUO1cymdBdHh9uO2amZndmRnRMBhyAEY0bhiOmuZfEIh58+NkZNbANUSXjGWn&#10;9TnHwhMLjoknAli4zww1/zreB5EgVQV5GTuOVu8DNH1CBQqRCzqwhhINIiGIUZcsW65NwYiE0JsD&#10;PYgfrsZ+3cp+mJmZ3ZoZ0TAYcgBGNG7Y7r37NDqwYtUarRChOyrRA0pYSaOg2WDCbLj33o5BBohQ&#10;ILJFZIoQlHJiiAP9MYImXhuVXHiiAYlA47F67TqZMzda25wT1SDagsjURzWMaJiZ5ZwZ0TAYcgBG&#10;NG4YoldIxrz5sdlVJWgiiDzQmCtUN3G3RrSCz0PjAakhQoHuAoEo26bhl98exutJ09AJlP0j+tHX&#10;vX5S5FTVkdBdlPNkRMPMLOfMiIbBkAMwonHDqAyhSyciTTQZkAymxG7OxfJeji0lr/ThoFEaeg1K&#10;ZRGbhhKbg+5fmoYR1YhfuFiGjxyjEQ1KaxGnUoYMETGiYWaWc2ZEw2DIAUA0zp+/IHucwyMET+i+&#10;sBKNLVu3S2zcQj0GdPUkUsDsl+25WN7LsSVVghaEiAbpk9FjxmnFT2gqJDSqgU5j3IRITZ+gI6Hs&#10;FoKETsOIhplZzpkRDYMhBwDRuHDxouw/cEB7QeC0IBqjnLOLi09QASLCxcJANDZv2abD0GjvHT0v&#10;RpavWKnah9wkWpAJOo1STkzHUDqFDhsxSnuYsN1QooER5aAPB1EXBrNhkEJEpRAl9tO/9uZtmZmZ&#10;3Z4Z0TAYcgCZ167JpcuX5djx49pqnNkcEA2aQVHeSSkn4frcSh3kJ/NEgzbh82Lm6/wR0ik5qc24&#10;2SAapEkgNwxMo/qENArEIZRoeEMUilCU+Sr09YBoDBk2UmbOjtKyWPaVc2VEw8zs7s2IhsGQA6AF&#10;+dWrV+XcufOya9cezffTrRKxIToFdBsIFvcfMKIR7j13axANenMwF2XwkOHSu09/HdFPf4y/Ihrs&#10;J+dlxsw5mnJh2m7klGka6SD65KtVQt9nZmZ2+2ZEw2DIAfjprSkpKXLYOaf5sfHaqXKAW10zHIz2&#10;21Q04LzC3YgFyUKJRtRcUierbqROcpFo0MKc1u9Dh43UiAbHnohFOKJBaoTqGFqjM0OFtAnvGTNu&#10;oiQsWqxVKZANIxpmZndvRjQMhhwARIOoRnp6uhw/fkIFkDiuvv0H6mA1tACUfLKqD3cjFiQLJRqI&#10;QRFdbkjcJDtzsQX7nRANOpdSCbN4aSAK5T1ENmj2tXT5Cu3PYUTDzOzuzYiGwZBDgGxgTHAlJN+v&#10;/yCNatBEirka/A6HiPM6FOZmLCgG0aAtOFNRZ82Zq9NUaZCVm0PlOK5U+0yeMl2GDB2hqZO/Ixr8&#10;974DB2WX+xv7hngXUoiug7JYSmXXb0zMFoWGvtfMzOz2zIiGwZDDOJt0TvsxEMkg768r5RGjJS5h&#10;kewImb0R7oYsCIboFb0EwkqIRlQ0fTSWOAKyNdfEsBAN379k0OBhSjQYlkbK6q+IBvtCKos0Cc2+&#10;hg4fqSSF0fNMd2VOC68xsmFmdndmRMNgyGGcP39e1q1br9oMhIlMFMXpxSyI1dkbpE9ya2WfH4wU&#10;CaPe4xIWKtFAYEnTLka/M9E13Hvu1iAa9MBg3smAgUMcuesvQ4eN+MuqE4zfcR6YyRIXv1AjMBDC&#10;AYOGyLgJkzSlYtUnZmZ3b0Y0DIYcRnJysuzYsVPmO2JBuSWdJ7EZs2ZnD/oqyKJQnDPah1Vr1src&#10;eTFaPkob8iXLVuh3x/F75323DhyiwGcRKaJh18hRYzVlRSSJHiax8QnZ6apw78do3kWvD0gRRIX3&#10;6gTYBXFaLcPf2Ua495qZmf2zGdEwGHIYKVevyvHjx2XLlq3aQ4NwPFqN0WMn6Mp++cpVuuoPd0MW&#10;BKN0FOeOmDKWSMGkyUq4otx3R0eBMJS/50SkgM/gsza5Y01JMRoLtBaUFdOZdPGSP7YgD2e8f/2G&#10;RFm0eImKSdHUEIEKZqWs1rLkwiDiNTPLLTOiYTDkMDIyMuXSpcty5sxZ7SExZux47akxYNDQoPtk&#10;1ko5J1b0+dkgHFRvTHbOmwmupFDQQkA2SFfg4InsEJXwOohbOR7+dbxH55bs2KmpGnQVkARakBPN&#10;QCNCBOmf+mFoRGTnLi0/hgjSf4PPgSAR1aB9+q7de8O+18zM7J/NiIbBkMOgHXlqaqokJ1/S1fDU&#10;aTO0LTaTRQcPHSHTps9SB4hock8B1mvwvTYmblbtBNEGvjcplNlzomV+bJwsdg8fOqbSnp223/St&#10;8JGOcJ8HWeBvPmLC8aO7J59P9GHEqLEaOYIoUE7MILfETVu0SdrfEQ32k88jAoNWgzbmDGUjDcN4&#10;e1qbs39UqeREFMbMrLCZEQ2DIYdBiStkIz09Qx0YlQ8jR43RiEbQFGqCOto1a9eps8Rx4rwKmgPD&#10;gaNvoNqEdBGpk4mTpmgaZdz4iUrAGNW+aMky7cZJ628iPfS3gBzcbEQmOJ7+Mzl+EANSJAxGQwDa&#10;o1cfrRpZEJcgGxzJIUX1T+SAv/EatCNBL47pqtGAFJJCIQqz1hEa/u7PVbjPMTMzC29GNAyGXAKE&#10;4/iJE7J23TptXOVX3DiwyVOnKdmghwPTQn0lSkFyYt6BqzjUEQP0EhwHCAZpiclTpsmsOVHaJnxB&#10;XLxGDngg0diMdMXNtmr1WtVMQAYY8Q6Bo/8Fx5O5Mj6awbFVHcyuPRqFuNVjum//Qa2MQcQLeUFb&#10;07N3P5kYOdWRIaIjm5XkFNQIlJlZbpkRDYMhlwDRIH1y7NixYNBaiIaAlTIllOg1IBuhkY1wN+q9&#10;aHwXnLKPFpB+WLtuQxZRWKTlvvTYmDl7jkydPkOd+4RJkVqlQtTjZqN7J5EQKkPQYAwfOUYjGRAM&#10;iAYC0MgpU5W0IDi9XfLGfnIeSOdoFGr0WOnWo7duB70HD0vSK7wu3PvNzMzCmxENgyGXANGgJTnz&#10;T44dO+5utuXqKL1zpF8DzhXHSOogSBvszRYvFgTS4b+HJxw4fyI4EK8VK1dpEzNSE1OmTVfBKCkm&#10;WogTpQhSF8M1ShGMfh8oPXv3VVKBQQL4F6Et5cP0LdEokSMK23fu0u3dznFkH732Y9nyFXpuOE+Q&#10;wrHjJshcR4oQjPId/GeH+xwzM7M/mhENgyGX4LUaDFu7ePFitgZg2vSZqtfAcdKNkhW8tup2Tpfe&#10;ExAOHNntrMbvFeM74agRftJrY61z3MtXrtbUBKWwRHhoG454FCPVMm3GLD1G6CY4Zr9365ltkAzG&#10;wo8Z64jAvJjs43cnIluOtReaQiii3PaJZnCOID9Mhl26bLkSER8tCfc5ZmZmfzQjGgZDLgGigflh&#10;a5cvX5aTJ09pa2sqG8j/s0JHxEj/B1b0OFcmiuLwCuKqme+Dgw7EnQfVYUMKcO4QMcpI0UF4I/pB&#10;ugX9BoQDpx9KNPr0C8S1CE2JkFCmeqfHzu8bBllBU8I2R44e84cmXkRjIEpsI9znmJmZ/dGMaBgM&#10;eQAIB5ENyAbOkJU6s1D69B2gKQBIB1EOyAYraSIfOFjGq+Nscbo45YJY9cD3wWnz3fieW7ftUOEl&#10;0Q7En0R6Zs2J1qgG6SaNZPTso+mSkaPHuWM5V48XglOOUbht3K4xbA1haMLCRdr/g/QNKRTKc+MT&#10;FmrEA3IEKSlo58PMLKfNiIbBkAfwkQ36a+CYlq9YJdNnzJYhw0Yq0ejavZemAVg58zuEojNnzdF5&#10;IazUKf0kZM+qv6CF7Pk+6FJ2O8fNgDOafDGjZMbM2VqdAplA6Amx4Fh16dpDjxPNz2bNjtL24Zou&#10;ce/PqSgD+wMh5LgTZSKawQwVIipBb41F+ne2V9DOh5lZTpsRDYMhD+DTJ5cuXVLHRLkmUQ00APR+&#10;6N6ztwoP0SDgUBGMQjZoREW5JWF8uowGvSZ26GwPVv/0nGAVj2P0DaW88wu30uZ33niNfz3RBIzP&#10;2bsP259t2amN7PTGjdTGnRqlp6QfMCI2tBBnLDtaDfQqVJmQTuKYQC6IYnT+vbv88lsX+a3z7+r0&#10;JzmHzzh6jgn7/Vff+U6Mz+J48H3Zp0mTp+j+cG6IbFCFwv5qCa3bdk5t18ysIJoRDYMhl0E0IzU1&#10;Tc6ePavOi34QrMRHjRmvqQCv0aC0kx4TiEVZzfMaKjJmR83VfhOzZs/Rn+dGz9eGVHTWRO+xbsNG&#10;Sdy8RQeW+TSLd7w33/CeYHhSETj93RotISpA+gHHTcdNb7T3pjkWlTGkKBjHvmjx0rsyunmiu6Dh&#10;FroHNBaU/zLmnYZbCDw5Lp5kEMX4tdPv0vHHX+T7jj+qtmXs+Ak6S4Z943vwncJ95zsxf5w4RqRw&#10;FsTGaeks03gpUYYIxcbF67Z37NxtRMPM7G/MiIbBkEvw6RIqT5h9gtMiKgGBgFigy+jlrP/AwTIx&#10;crKmSUgDrFy1WrUJCxcvkXnzF6ggkegG4XtC95R9kjag9wQVGpSILnPvo+IC7QC6DsL6bM9HLEIj&#10;F0QpWKnzmoBYbNL3KZlw2yZ6gi7CG+W3RFXYFukcBo9NnjL9rixy8jTtEkpPjBEjx8igwcNU2Mkx&#10;8aWrpJO86BOi8fOvneWb7zrK519+LZ1/7+reN0p7cFAJwveAMN38nSELkIBDYR5+f2f6niyyQans&#10;Wke2IESjRo/V/dShbZFTdGIsbc7Zln9PuM8zMyvMZkTDYMglQDSuXr0qFy5clMPOAdHfYfacuUoS&#10;CMGTJmH1jsAQZ46zx2HSFApDjAjxoLlV9LwYt+Kfpe2x6VRJR0ycPsJRmkvRP4LPwOLiEzRiwM3N&#10;ALNQW+KcMkQCEqPmXodBKIgu4DhJR4QaZIfIgS835TvcrUG2pk6bqb0v6J1BvwzGu9OiPajG6aea&#10;Fd8zA+v8ezfp+OPPjmx0kE5dusoAR9Dob0H0BxLA94B0QOaIQiAohSQweG1/FhEI9xD8O+M9pI2I&#10;+HAumKEybMQoJRr8S/RJh8RlaURyKqJiZlaQzIiGwZBLgGhAMg46JweJwMEOGz5Sh6tBNIaNGK3T&#10;QokiEIVgRY6zUl2E+5d0AI6SlAirZogHUQscGySBvhPMCqG7Js4WEoLjptyTzpm0PP+zjdEIAkaJ&#10;LcJGHD4OE4O8QCpw3J5oIMzE+B3pDlInoeTlTozmZZAaCMckR5yIbDDEbOjwUapP8ccIMgb5wCAb&#10;nbp0k59/7SSd3b9UnvD3AYOGaqSH90PiSHGQYoKgaWrDHVeO6Z2SAB8FoqyV40EjL0gG+8c2g9La&#10;1UoOKdsN9xlmZoXZjGgYDDkMCAZGyoRZJ4gGcd44f7QFfZ1zpLRVp7g6BwWh8KH3cDepNxwlDi/o&#10;rLlZIyQ4ffQDkBgiI5SAsh0cLyWZOOG/MogOrycVAtnA+BycKYTiZl0F5ADHjcOFGN2NEW1AEMt2&#10;iMgQKZkxc47uA8QDwkS6aIwjIKPHTlBSBEli/gj7DhEh5eSJSBAF6avG72kfTtSHSA/aEqpZGCcP&#10;gbsTLQevJ9XEZ0XHzNd9ozQZUjRh4mQ9v+hlIIt8Pucz3OeYmRVGM6JhMOQwPMmgymSvc2xEAlhp&#10;B8LPAeoEWQWjq2CMPFUeOLJ/Ihr83a+ucWiE632kA9JBGSxkgGgHqZDY+IS/NQaT8XpKbSE8GJ+z&#10;fkOikgnIQKixr6QQ2Dbk6G7M7z/boV8IpANHzT4gOGW/IFGBLVUjNUJ6h/SQRnKyBKQ4eiILVINA&#10;PDDIBmSL4z5p8jSZMzfaHZelqrXYtn2nHsdwx/ivjGPPcWefIRtEooY7ooY4lO3Q/4QUEykbolBo&#10;RcJ9jplZYTQjGgZDDgOSQb8MBqptTEzU9ERvLV1lBTxUps2YqQ49COkH4sV/IhneeB2khPdgODQM&#10;J8hqPVx3zb8zXk+J7J69vD8oZ/WfGc78dtmHuzE+w49+Z5ve2Af258b32KukhGjC9h27nKPfoSkK&#10;KmOo3iHSgnYEcSnpICpCvKAUQ+dBiSwpGSIcVOtQRcN3R7fBvtzKsffHHYJCRAkChKgVgS5zWCA2&#10;NPaCvEE2Qnts3Oq5NTMrqGZEw2DIYUAyzpw5o9EMdALDR4xSh8e8DPL7dJZkZWyOKLxlO3V3fCAi&#10;kA7ttbF5q0ZbiH7Q1IumWVTCoE0htYKglIhRaEmsN8gGugqiG0SYICnMWoHc3O7x5z3sB1EjxKGQ&#10;GAgOkapA2JugURoIEq/lu4T7HDOzwmJGNAyGHAalrHucc1y0aIlb9U7L1hKw6kaTQKqD6AMOzkjG&#10;n80TDUgGkYfNW7YJ81+IIgQdQ+do9GDchImq2yBK5MWilMSGEgxvEA8iHeg70FegCSFFQ+Thds8B&#10;BBESQYVQgjvHaEogOehG+Hy6mVJyzHnm8yFM4T7HzKywmBENgyGHceHCBUlM3CQ03womjgYpk6i5&#10;0Tecz21qBAqL4cSJAnCMELxSZUNjMqIHiEapiiFlQQ+O8Y4woMGAbBCt8EaE4WZDtIl4E0KSPcBu&#10;3nxNc+x0ZAZSc6uEAxLEfvIehL6QH8gFESs+n30g0gHZoNoIUsJrD1j0yqyQmhENgyGHce7cOe3l&#10;QCidFS7RDJwPIkZSJhZOD284YSI9lPNCMGIWxKrDJjVC+S4VMQhAqfrAuVMdQ88QSAiRIt8TJJzx&#10;Xi/IxRCOQg5Us7F2veo/IA/h9utm8xEXXk9KB4Ep+4AGhMgGxvnWz3f7CNnwAlEjGmaF0YxoGAw5&#10;DFqNE+anzwIrXP6lRJPfQTLC3YiF2XC+3nnjuFevXadlqUQdGJ422JECoheQDcga+gxeoyWrWYPm&#10;EJYeOIjzD29oJmjnTi8RLxiFEJCCoZ/HhsRNOivG70u4/QxnPrJBegfSwj4TPeHzNV3mPj9h0WKN&#10;fJAG4jsa2TArbGZEw2DIYZxxRINqCE8y6FcxlZ4Zq9Y4omFljzcbzhdnjSOmT4ePZBAhIE3CkDXI&#10;AI2+tI+HIxhEhkiv+L4Y/+S8KWldvnKVpksgA0GlyBAdakeLd8pqGRp3u0TARzYgO0RG5sfG6z7T&#10;Jt4LRINql/jsahTI5u22RDczu5fNiIbBkEPwjbpOnzmj4XoqHUid0BQrOmaBrqr37Tdtxs2Go0bH&#10;QCMvKklIOdB0jAgE/TRIPVDSipPGoTNNFmICweC9t0IOOO68Xzu0RtGhdZS2PCfqABkg9cLfb4W0&#10;hBqvZfu8j+9AXxNKXNGQEDHh/JOmocSZWTZeo3PQve92tmNmdi+bEQ2DIQfgm3SlpaXJsePHdQVO&#10;+JyVLStmIhw0vTIR6J8N0kCEwkczxo2nI+gEbc5FSSvkAkJxt46Z90MGIIEMRKPLKEPtEOoiNIXo&#10;ECFhW+He/3fGZ/M+ohVMvFWB6MTJev69Rof+KZANCCfRG743JCXc55mZFSQzomEw5ACuOaJB/4wL&#10;Fy+qsyJET+8MukciYKTrpe+dEe5GLMyGc4aEEb2gx8WMWXM0XRLa0vt2UxrhjPezLVIciDSJMhDV&#10;IMVBNQtN1LZu36EE4Ha3xet9GgXhJ5EToiSUNw8ZNlKjGlS/MKWX78g+0HzMNDtmhcGMaBgMOQDG&#10;wV9JSZHTp88ooaDKAaJB6SWrdK082LHTiEYYoxsoUQAqN3DCRANw0oyv907/bkkGxmdAWhCQQiro&#10;pYFwEx0NOopFS5aqKFQ1FHewPb+fbIPPoM8GhGbchEgtqUWzw/Zo2kbEi8ZjzF/hO3Jd5MR3NDPL&#10;j2ZEw2DIAXiiQUdQHJknGuT/IRqUQEI0LFT+ZwslGjhmLEg1bcnRVBOOHIdOKoY0CZUtPrURlLrG&#10;a3ty/n43Tt9HNojGQCYWxCZkC0QDAepoHRpHpGvJshU674V29D5yE+4zzczuZTOiYTDkAK5duy5X&#10;r6bKuXPn1cFEzY0JUifOqcydF6N9ISx1Et5ujmhg6Cho2MVqP9x77tQ82UAjwTbQTiDaHTN2vDp+&#10;BtPt3LXnrqMLvB/iEAhEN+t385oNyAbNwxC8Tp85Oyt6k6gEx5MN3n+3+2Bmll/MiIbBkANADIoQ&#10;lEFqOEeqTBhZzmTPmbOjtPcDofScXKEXFCPNwOwQHD9pk6joGEc24rVCI7c0DHwuHUchghANIk8z&#10;Z0XJMneeIAc54eT5DB9BIXUW4whUpA5iGyN9+w/UdApNxHwXUXQbVNd4QaonHOE+28zsXjIjGgZD&#10;DuAPVSfHblSdIAKMnDJVx7KzajWi8WfD6ZM+WLJsuRI0BpMxz4TuqjjdcO+5W/sT0Rg1VkWo9OrY&#10;sTPniAZkgXNOSSsRGgSvCF0hGL41OmSU1A2aEf7uK214nxENs4JgRjQMhhzCzX00EP8xUA2nQu8G&#10;ulni4Mx5/NGIALGSX+mIxbz5sdp3BMe72Dldogs465xa3XvnjyNfuPhG6mTU6HFKABi0llMRDW9+&#10;m0QpqDSBzNAjxItEuUYGDxmuqRS/D5ASND1cL7zPrhmze9mMaBgMOQxakHNj4UC0hbZzJpRS4mBw&#10;cOY4/mjZK/5NmzUSROdOnG5s/EJNN/lUQk4cMz6D7eHE0U0QVYAQMtE1Zv4CrUbZtfvuxKB/Z3wX&#10;IhYrVq1WLQppkyC6QQnscBkzdoL2XUEQS7dSBLG+dXm4zzMzuxfMiIbBkMM4m5Qky1eslCHDRmgu&#10;nhUzDo0GVHfSfbKgG06UqAYOddHiJdqsi2Zac6Njsqt1cuKY0fabCaq0Gt/kCAxVJ/S44BzR74Io&#10;FOWtkIHcOj+e6LANiBXanTlzo5VYUf2C+SgY4lSiGxATu2bM7mUzomEw5DB0TLxzInSCHDlqjDqP&#10;AYOGalic7pfecYa7IQuj4UCJWJAmWLV6rWolxk+I1H9j4+JVq+GP2d2s7NkOhAYHjz6DaAKTXIk6&#10;TZ/JLJrVsnnrtlxPb/HZfA9fkeJTKWPHT9LW6FSlQLQ4BjQSoyqFbqJeKMp7jXSY3UtmRMNgyGFc&#10;vnxF9juHxhAvyhdpcU143vdqYJVOCgVnYQ4jcLwYZIPVOw8lVvM00SLlFD1vvlag+Lbd/vW3c+x4&#10;LQ6az8CxT58xS6s/evXpp459jtseE1Z3ur+zH+E+IyeN/YE47XLXAQSC8mcqT6ZND/bLj5tXoejE&#10;ydqXhd4iPrph6Teze8mMaBgMOQxakSMI3etWn+gAqGygAgXh4ZRp03VsOD01/ArdHEZgHAeIAM20&#10;li5brhEHOqtSErrQOVnIBs3QWNWHOltv4T7Tm4+YoHmAuIxw54SOoJwXUlxMXd3izsleR2TuJmpy&#10;u8Z+K+HI+t5cG5OnznD7N0YJEASVyiXEqqSSKJOFbBnRMLuXzIiGwZDDyMjIkEuXL+u4eKIXdIHs&#10;02+Apk+Gjxyl4XAaQ+HYfCg83M1ZGA0nSkoBrQQrfCJCU6ZO15JXVvXoXBBJUpXB627V6fJazgXv&#10;Z7Iq5wJHjnYmcso0jXIQzcDp57UD5/zr93bb53ujy4iZH6ffGWEsAlEMokGJNN/XCKrZvWRGNAyG&#10;HEZoT42dO3epg6TyhBU0K1TEjpRxUs4J2cDJmOMIjGOAI2WFT7dQVvgzZs3WdAID6pgTEhU9T0tf&#10;ccoMMCMNRbQCkhBq+zB3bDEaglHJETk5GHLGeaBLJ59HI611Gzbq69h+Xp8Htsf553uzD3x3iNSi&#10;JcuUXJDmgRzRzAxNx7+xj2Zmd2NGNAyGXAKEg+Zdq1evlVmz52gagAoUcu+qPYiZrwJE0ihENiwc&#10;HhjHAKKAAJRUQfzCRbq6R+OCboMoB91DKX9d7Jzx8hWrlLQhtEU0uda9h3/ptMnv6fY5LyZWnTUR&#10;DKa1Qvqo7KBBGAJUUjIc/3D7k9fG94c8QTaI3lANQykslUzsZ7j3mJnlZzOiYTDkEiAaly5dkuPH&#10;T2j+nZSJz7vz76gxztHNm58d2cC5GtG4EdVgdU86gWOHWJIGW4zfp88EkQhNK4ybqASE7qvTZ8zU&#10;du9U98yaE6WVJBC60e44Dx02UgkGRK9vv4FK9tCArFi1RjuBEhHJLyks//1379mn5dA0+aKfCMSL&#10;YxLuPWZm+dmMaBgMuQSIBnoNUignT57SFemESZHq5BAhUlaJk2RVvcytyqkoIGz+b4Xw84v5747h&#10;/CFgrPDpfUHfCcgGEQ4iEqRUaB8+avTYQMswboL+ntklQ4cHfUy6de8lv3frKd179lGigfiTSg6a&#10;g1Hx4dNW+eV4h37/cBbuPWZm+dmMaBgMuQSIBuPj0WskX7qkDpPw/iy36qaSwOsEcI6s0ql8IFSO&#10;8+O1lkoJnK4nG0Q3Ejdv0VHuyxxpI8LBDBn0LpTDTp02UwkExAMyB8lggm6Xrj2UZBDRgIDQn4N0&#10;BLoNX2YcbttmZmY5Y0Y0DIZcBGTDRzYuX7kip0+fyapEmawRjd5uhR2UMA5XwsFgrZWr1mhkQ8s4&#10;HdnIbyvuvDb/3TkORHvo7MnxIa0AKUOPQdXI3Oj5Milyqja96td/kJKLbj16a0QDkkH3TUgGVR3b&#10;tt9oAGZEw8wsd82IhsGQB/BkIyUlRQ4cPJjVNGq2rr4RJuIYaexF2J+IBytudAmkC3wZZ2F3iIFu&#10;Ya9s37FLdRsQNlIppEAgaJMip2j/iQEDh2iKhPQU7bz5HZoOiMgSd9xJUZnWwcws78yIhsGQBwiN&#10;bCQnJ2cLRAn5+xU4jpF+G4wO99NEGZ3OCHVW8IWdaOzdd0ArdCAYEDG6edIDY/SYcRoR4hgSISJd&#10;gkEyEIxSIkp1CqkSoiD5SfhpZlYYzIiGwZCH8GSD7qEIRHGacxyhYK4F/R1wjn41PtKRjZmz52jj&#10;KqIb6BMI+bOqZ0Ve0ML+fBfSGZAqKiwo5SQ1QgSCjp6UqzKjhL4X07KmnoZqMSAZRIcganRhZdz8&#10;3HkxsnLVaiV1Xo/hLdw+mJmZ5bwZ0TAY8hgIRCEbly5dlqPHjst251BxhjELYnWFzkAtL14cNmK0&#10;rsrpjsmUTwSQkBNW9rk9/Cuvje9CxAHB7OIlSyUuPkGbVJEWoTR4ytQZSh4oC6ZyBFLmJ54SzaDV&#10;O+WsM2dF6WRW2pj7YwV5gcSE266ZmVnumhENgyGP4dMoGKTj6tWrcuLkSV3FkxLAmbJCzxYzOuvZ&#10;u69OGkVrQKOq1UyBdU4Z3QKRjcBurNZDLdyNn9vGSPZw+4Ld2N8bxveACDDPhA6eEKtxjmARmfCa&#10;C44DZaretJrE/Q6iQZ8MSl4ZWqfHJmTaa+i2w+2rmZlZ7poRDYPhX4aWvyYHjb0QflLiSiOviZMm&#10;a/krjhSiwaRRnebpfk9jKrpFLnIrf6IhOGjaU7N6x8kSGWAVT4UGkQ9SLQec0w33EMgJw4lDFmj7&#10;zfaomGH7fB/2hX0iDUIKhH0lasH4d77r0uUrtd02A+gYl04aiXbjgwYPk379g+/etXtALLx5skHF&#10;Dr00Jk+ZrgSFFJMORytg0R4zs3vZjGgYDP8yiGqkp6drZOPCxYty8tQpHTO/ZOlyiZw8VclG777B&#10;ip5IB2Wx9OFgtU9ahZbcC2LjNK3CaHpW9Iw8R5egxENJxw1dR24YJIPJp4w9pyoEZw+pQMjqiQVl&#10;pURsIAQINKmuCbp8TtMOn6Q+BiPqpOzXEQh0Kj2I6nTv5YhG0HQrlGhwPAYMGqrpElIllAVvzZru&#10;yv4Y0TAzyx9mRMNgyEfwpOPixWStkqBNNkQDp4uzhWggeCSNAtlgfgqOlsFtzE4hdcAgMkSTzPhg&#10;SixttpnnQb8JCEg4Ixqyecs2JSY3G+2vIQ28ZsNGRxzCvF/JxLr1GlFgexAeSnghS+gtEhYu1jJU&#10;r7lgUBjpEYacEcGgx8VwR5yowCFqQyqE743YEzLB94WAeKFsj159NLXE34jw0C2UCh0/aI2Ihicb&#10;RjjMzP5dM6JhMOQj3CAaFzW1QMSCaAZOFZKB88WxQkCoSMFpM82UVAtRAgSjkA5vRDsmT52hItO/&#10;tukaXZgXs0CjDTcbn+0FmVR7hP0MRxjU3M9oJdgu2581G4vS90fPW6DpHrbDZ8bMD7aH5oTx7QxP&#10;g5CQQuG/ISUa+ciaW4I+BULCMYBsBemk/tp/ZMSose57TtPXQzg2b90WpIsssmFm9q+bEQ2DIR8B&#10;knH58mUVhy5ctFhX95AMVvE4VE0TOGdNlIDZKUwupUcEznn+giBaMMM5eR8xQFhK223SLD5CcMOG&#10;ZdlwHTxGV82pjiTcbGxz3IRJ2Z/zx8+4YVTLMB2VHiBKhqbNzLaAyMTqfpI+Yf+JuKxes1Y2bCTN&#10;s1XLWbdlaTmChlwbNCLDa+MTFjoSEfTNYD+IZEC8iPL4SA+/0/4jbltoPygFJo0SiGTDPwDNzMzu&#10;3HzE0KdQEWBD8LnvAp3WXtVqkdotUaKEEQ2DIT8AUejBQ4fUyUIWfAknzpUoBumH1WvWycZNm7Vr&#10;KA4aHQRlnKRHSFdAPBYtxjkv0ohBEOmYJzNnz1URqdqsKG3HrZYVfYiaG6ORhpuN9wbRiRvvzf6c&#10;ECN6EUQu5ut2ExYuyTb2CQ0F+7lu/UZNwZCOITWDWJQ5Jtr10/3sSQaajoSFEKg4/Q4cDwgP/UZ0&#10;WFpWFYrXbQT6lcHayp1GaLyftI9FNczMct48wVB91r79WV17d2qKFU1WsEhYpgsLet4UKVLUiIbB&#10;kB9w6tRpXeUTjRg2fKSmBugZgaPnxuUmZoWA8JLVAxZUefhKj2AFgTH+3Fd8sLrXiEGIETnAEUNa&#10;1q3foNslXXOz8XseHDh/ts/7bv6sG+a247aHIHTnLqpOAmN/eBCxj+wvtm9/sP8Yv9ehaY58QEhI&#10;oZBigQRxLGgvzsMKsShCUUhFKMnwAlGiG2g5SLGQ6kErwrEyomFmlrMWSjKoLuO5wHMCYhEMOZwh&#10;44mEjhorv3bqIv/xH//LiIbBkB9w9OgxiY9fKEOGDpf+bnXOyp0VOo6XGxlnzQ0e7sa/XcP58qAg&#10;1MmDAqJwsxAU4/eQFciCr1wJ93m3YjevgvwDChJDmWswkTXQZ/CwgiyEpoIYRjd67ARt2kWaxBui&#10;WFJLEDOICOJR9C00/WLf73a/zcwKuoXemz4FwvOGBQvPgEAUvlkF10ElWRBFhcwjPif6SDQTHRf3&#10;HuLugYOGajO9Dh1/kv/5P//DiIbBkB/AzR7tVvJ9nLPkBh08ZJg6WDQH3tHn1Oqcz8G80/d51Zvt&#10;RgTi7tue++3xWTy8qFShSgbBJ3oSBJ8zZs6RqOgYjWhQthqXsFCJFumghc74lwcbaSLGxevIeLeK&#10;gozwcCOiQbqJFAupHDQgEBq2GW6fzMwKu3Ffcm/7CCnPGu5P0rJENUmBINCmso17lTQu9ypaLNKZ&#10;RBuJItLJ2Jeo93X3IM8xhNs//fybRTQMhvwCbnaGqZECIKIxavRYt7IPnCUPgbtx8n9nfO6tWLj3&#10;3o55UkNKB70GJIKKEh5UQfXIGK1agWxBQCAR2hckpCEZKyz6dUAc+DyMByMtx6dMm64CWip1IGo0&#10;8kIw62edhNsnM7OCaNyvB7GbohShiwruCe4d31iPPjRELtBRkTKF1PsUJqJwyASpXLRQ3GNEEGkk&#10;yJwhBkJCKjC0ZYizEaBzT/fs1Vv+3//v/zOiYTDkB4QSDVYGaBMQgOIo+Vu4B8q9ZDzoeJChN0Ew&#10;OmPW7D+UxEIwiFbQj2OdIxfZTcd27JQd7mGoERb3GTw0Q48Hn8vqa9HiJRq6pZqGqAZpJz6T7qk8&#10;SEP3xcysoBokg07AdOrlnuHa37J1u94jXqgJMScSSKSCqpB5pCsRjvtS9hmz9Pkz1t1DI0aO0aoy&#10;yAMkAzLBvzyjIBLjxk9ypH6aissRbms/n4WLdRvcezNmzpSIYsWMaBgM+QFKNGZHKdGgtTY/0/QK&#10;Z1sQiAYrKEKxRGl4MI11D6gJk6a4h1ycplHof8HqyhMKCASkAmNVxjHAbo6w8Dvew3Hi4cnKixUW&#10;0Q2IDBNw+ezQfTEzu9fMX/fe/P1ws/nIIQJrohRUeSGy5t4gQgGRmDxl6h9IBBFFTyLQhmHonTRq&#10;0buf9q2hzB4Cz+soZUczxWexGCK9S9SRe/yI29dTp07JuXPntCdQYmKilClT1oiGwZAfwEMCckHp&#10;JmPiEUQS+idfyt/CPXzyu/kHImSBqhTCsZMmT9H8LpEMunoudw8pIhaQizv5nmyDhytkgwfehImR&#10;+sAksgHpYBtU14R7r5lZfjVPGjTtkRWdgIhv3bZDS9tVnEm33g0bVVC9eu16TXlwD9CnRnvsUME1&#10;P1bnCKGt8L11hg4jQjEkm1BAzNFWELUgPUKkAuH1uAmRGtlgYUC0EGLBZwX9fJarKBRBN8SGadRn&#10;k87J5ctXJDU1Tec4gT179kj58uWNaBgM+QEFlWh4EsCDEYHnmLHjg0hD/EJ9QPLg1JQIUQv3+nCf&#10;80/G8SECQp8RhGr9Bw7JzhPT4wO1fLj3mZnlR/P3DfeFVn8owdiupegIoamo0uqs6HmabiXVgSaJ&#10;KAORCi/QpLyURnuQhyBqEUQs0FgE2gqiF4P0PqFxH4QCIsG9SS8a7k/SnTt37nL3cKCNgvgcOnxY&#10;iQWRi7Nnk+TChQty6dJlndlE40FIBp2OgRENgyEfwRMNUieENPmZPOe9nDrhgclqB50F+WHIE6sl&#10;Vkf8N3/ju/G6cO+/HePBzIOYbqRMf1Wy4Wz6jNlu1ZcY9j1mZrlpXNdc3xjXZ3aEwjnsUGEmAmcv&#10;zAwVZyZu3qLzhEgtoq2gVT+VHwxcpIyUe4kUoddPkOpgoYL50QVBxCIgFLzGizWJ+DEpmcgFowjQ&#10;VxBxRKjN/co+nzlzVgkEEQpPHG4XRjQMhnwEbmxPNFiBsEKJT1isYVL+Fu5Blt+N/eZB6kWgEA1W&#10;W3xPSAEPXV5jRMOsIBrXNqTCV3gogXALB9IdCCWXLl8hixg8uGixxMYnyHzmC8UsUGEmkQoElgil&#10;IeZEGzT1MWrsH8SZAXkIIngD3XXPSABKTRFDk/agaoQeF2gpEEyzeGGEAdv3zfg2bdqs5ALyc9jd&#10;i0yRPnf+vI5ESE1NlYyMDLl+/XrWk+r2YETDYMhHCCUaPDAQS5Jf3Zi4WVXk4R5k+d34TjxkSV1Q&#10;UYKqnYmtPEj5HeQgJ0gGn7H/AO3b18uUqTO0WZARDbO7Na6rUON6xnx0wkcogihFEKkINUg2Dtw3&#10;vFKCsXqNxMUvcvfCPE15kEYcP3GyjBk7QRgQSA8Y0hxcv4EFEQj/M6XbRCjQVWD8jtQHAnLIxcTI&#10;qdlVXEQoIN873D4ccPt44sQJOXPmjCQlJcl5RyQuXLyo06KTk5OVVFxJSdH0B+SCFEhGRmZ2GsSI&#10;hsFQAHDIPcDIjxL2ZJVCWJMZJThJHmjhHoT53bKJxsZEFafRTn3suIlKOPheORXR4DN40HuNBgSD&#10;BzMPYGaxIJoL9z4zs78yTyw8mWC1T1rDd8oMBJlb9NomMkCnTEgEYkyid8tWrNKqMUo9Y+Pis6cX&#10;c48TnYBYDB85WqOXRCE8ueDeD6o/6EkxRFMcRDFojjVx0hSdlEwjP0gKJeJ8Hp+7IC5Bu+siBGV/&#10;IDY7d+3S70EKBEIRqqG4U+JwuzCiYTDkIxw+fFgrJMizsmJhVT7ZPVBQdt/rRIOHHiFbVOvklenk&#10;yffKKY0Gx4fVIw95wst0JmQVyApxbvR8jQqFe5+Z2V8Z16UnGKQ9gpRHoqYcSEHQdpt0BGkJrmci&#10;E0QTuP7QT5AihCCwYECQyfyigFSQ1nNkwl2jKspUo+pjsEYyiWhAQHg/n0XahL4zXNtsn/4y2x3Z&#10;4b4iSsF+UlLKCIPjJ07IiZOn5PTp03JWoxY3RJppaWmaAiE6cTcRituFEQ2DIR/hiHtQ0OyGh42u&#10;aNyDiFJNHjA87HCmd+uQ89p4CLLvPKR5QBPR4CFK1IGwLgSEvDUkgVAz3/F2iQevxxHwAKbbKBU7&#10;EDUe2JPc6o9JtpTghXuvWcE0rh+Ma8NHJLi+uBZ372EAYTDsjwGApDaIUlD9xHXKtULfFaIVNLmi&#10;eRxlo+gpuJb8NOGp06ZnizKHDR+l922Q4gh0EzeiEoM1woZuCG3FUHdd8noICKSbclMEmZR8I8qc&#10;PnOOTk2OWRDrthdUf2zess2RikNy4kRQ5UF/iitXrmSlNzKyUxw3WyipuNnyCkY0DIZ8BPKnrPp5&#10;6PBQgmiwqmHGhxdq3WtEg/3lIc/qi4c2JXnBg3W81vXzMOUBzt94yIe2F7/V78rrUebzUCYkTQga&#10;okG+et58OoOusc6ghcw8yfDXXtAdE/LAtOKN2jgOQeTiJUv1uiGtwbVJCuJPQkxHKkhV0IabLpiM&#10;BqDSg+jE4KFBygNiEWqkQiDUXIO+ZwyfiW4C0SdpRLbPfqxZgyBzvaZgIDfs5/YdO2TXrqB53UF3&#10;L5w8GYgziU6kpKRkRyfykjDcKYxoGAz5CKdPn9EHDqslylsRehFy5SGII+Zh6R3wvUQ4/P6y/wmL&#10;lriH70SNNvCgHjVmrD7QEYquXb9BtjiyQUfD0AjOPxmOBOU+D3RWlHQxZCXJw50oCg9uHtjh9s3s&#10;3rJw5z+cce1AQLk2sgeErVkrSxyRZ0IwDn/W7DkakaCvCwP5iDSQ1oAo0AWT8tBQ82Wj3br3UsE2&#10;//LfPXr10fSHj15APOhhwah00ipoNIhKsg9oPNg/7nUflUB4CXEgOpFtGqW4YZlhIxNZD458DiMa&#10;BkM+AmItHCwPJSonGKxG9z5W6TTQIYSrK5zbTC3kF2PfIROU8CHQRH9CXhuiwWTIGEeo+BuOgI6G&#10;CNtY+f2TkS5hxQlxoRkRTYlYTRLiDgRxu3VlG26fzO4t47r3kYo9ewNxJnM80C6sWsMcj9Xa0GqR&#10;uy4gtaQ6iJpxLVDRRRQNHYVGJhwZIIVB9JD7jPTGjeqOIZoKIWKhkQlHRiCylJxDIJgyzOchap47&#10;L0arw/TajUvQbbIPaJA2b94q27dnlY26/T916rScOxeUjUIuSG/cC1GJu4ERDYMhH4GVDeItHqSo&#10;1FldMR2RyolJ7uGI4yWFwkOW19z8EM7vxiqTvDj5Zqay8n1IbfDAhiggfCNnrcK5EaP1Ac9/hxol&#10;fIEFf8cIY7OS9LMYIBxoQJjt4EnGvXi8zP4cwbhBMvZppAKCQeqNqB9pDs476QrSc1wbEAmf4uB+&#10;gkgQsSD6wBhzRJi+oRW/h1xw7ZHaI1UCMWE2D42yiIggKt7qiA3X1T5SmW5/EGHSJfPY8eNyHDtx&#10;UgnFmbNnlVRcuHBRLmaVj6Zo6WgQvfAaCiMaBoMhz8BDhwcQkQ3EZ+PGTwweiO4h6Ftp83tt2Z2l&#10;1/AW7iGdX439RYvB/JHl2ZNc52j7ZJwD3/XPhqMYrpU4aFcIV3ft3lO6dO2h9nu3nhrGJmzNypNc&#10;OytKwuf32vEpzOavZwgFxJTrfLcjFTh2iAVpMK4bmkwtW7FSI30IjBFNB4RziFZtQTr5V6s53D1E&#10;xILIBdcSaTvILOnJUaPHKalA0Mn1R8SCaBsRCppoUSpKHwoIPvt36vQZJQ9Bt8xUJQuGv4cRDYMh&#10;H4GVDWQDsRd6BsY3j584SZ0nZIOHIl3+qNbggetX6vci0YAAoMVAk0GPC3oQ8FAnCsHq8WYjPbIg&#10;NpjvQB8BiAfRHsgFJAPi0a//QCVnzFNB64JjOnDw3kwzFVbjXHl9hY9+kW7j2iAtwWwPekeQdoNQ&#10;Er2AnAb3yI1W20QmIBL0niDVMWduMAgMvQS9LbjeNmzYqLqJxMTNKsKkNwaCZO49tB3cX0QsiFSc&#10;PnNGIxOXiEq4+5OoBNoJ7lfD38OIhsGQj+BFXkQ1jh07rg/BmPkLZOSoMdm9NVjVU1ePyJEHIiu+&#10;e41ssK+YX7XyQMexYOTdCYtjrGRxNhASVpSQK5T55NzJmft0CUI9fuY4kYYhksH7+exgW+H3w+zf&#10;sdBzH3r+GSDGecseb+6uf5pe0YiK/iuQyKHDR8gAd665H4KIRRC14N7ASI2Q+oBgkEqBrFMeqkJM&#10;d7+wrePHT+gI8ytXUjSVQY+JG5aqkYqbBZoqyKRk1BELyMW1azdEmYa/hxENgyEfgofa+QsXdObA&#10;+vUbVXBGSR2rNB6maBUYrERpHo6X1RcPah7e4R7s95p5R4RTgEwh6NSKgaXLVHDHapYKAS+WJQc/&#10;0a1umaPCyjeIZNybDc4KsoWeV19yShSBttxEGEijIe5FCMx5psyU0lK0EkTzdH6NO+eIfUmRoL+A&#10;UFBdRPoEMTGpFJpp8Vnr1zMZeLvsdeTl6LFjcup0IMT0Q8KMJOQNjGgYDPkQPqqBeOzI0aOaBpgb&#10;HQwj86s4hG2Ejkkp8LBm5c8DPFjB3zu6jUNYyD5joc6ItArpFHoQMCMlqCwZpJEMtBrDR46SyClT&#10;1cHQS8OLP++V718Q7Obz91fmzytRCypF0FmQxkAPgUYHISfXeKDTGa4kkkgV55uoRWhUj14zM2fP&#10;0TQi0QqEmfSaQIRJmoOumPSdYJaHijA13UGUwkcnCr4IM7/AiIbBkI9BiJZa+wMHD7qH8jqdaYCI&#10;jRJOHC15aao1aOjFGGlWb3Q95GF+r0Q3vAMiAkEaiFWupkic86CZEQSCVBGliKxkveizt3M6iP+I&#10;btBNlTw+DizcNsxyz0LPn6a+ssSbO3bulm07duo1ic4imAmyKatZ1lolCGgmEF76aiMIBETCV4Jw&#10;vhFvQjyoIkGwCRkhjYIOh+uDWR6kQtBOGPInjGgYDPkY19yK66qWvJ53D/TDqj1A1DZm3Hh9CAel&#10;r8P1AUzomLAz5X4463sldYCT2scq1zkoWogzjArRH9+HHhusXGnbTPQCgtGla3clWsyQmD59lkY7&#10;SB/tyIpkhNuGWe4ZRIPjTkSNaigIBf1eVqxao70s6IJJ0yq0M6RBvIiTwXqQB8giugpfXeUjFpxf&#10;zj/VQ6TD/JCwbW4bO3ftUVJDSSntuJMvXVI9hSF/woiGwZCPQWiXqAahXlZskAceuKRReEjjfCEb&#10;RDdQ2CN+W7hocTAW2q0ovW4DZxDOSeSV+VUvhlNS4R8r36w8PaveREcylixboTMe0FuQf78RMqe6&#10;pJf8/Esn6fjDT+57D5DIyVMkPn6hkgw+izH6//b3vJctNDLhLfRcqTjXnS9s124smBVCqkqFm+48&#10;0OqdDq9xzANx5GLajNlKKpg9E6RCgh4WkImgsdpg1Vxocyz3N17D/A8mlEI0iXrQ8Ir9Y/oohCJU&#10;sBkq0rTqj/wLIxoGwz0CHqoo5Zl7QE6a7pmkTXDIWnXhHtisAukiygqS3DcPf5wCTuPfcsJsl+3j&#10;sPyql/2nHwjtoOmiiPCPCatTps3UHP0Q53D4PpAMnBCr3p69+shnn30hr776mvz80y8SGTlZ58Js&#10;3bpNHWS4bZvdunEMOUcQCciDr/KhQRVaCtIURBaImkEAKBOFUFARgsYCgkjp9ZRpwUwQ2szTWI3o&#10;hCcYvtsmfSyoGqL9N++haye9VLgW+HxSK2x3t7teSIuQPkxJuWo9K+5RGNEwGO4RsGKDbFCSd+bM&#10;GRW/4aynTZ+lK0TfoIjmRJT3kcuGjCAU9ZGNcA4mtw2i4UPr7AtOBCcVNFmarPuKM/IrXb5Hj159&#10;Hcnor46JaoOpjoAMGDBQ2rV9TWrXqCkfvPe+TJgwUUt8qTAxonH3xjHkHAXkYpOSC44vqSmIK7oI&#10;iAElpqPHjNfzhjAX4oBgk/MXpD8CfYU/j8G5DAijEgxHQKgSQWNBmoxrguuD8eaMNodMX7hwIbuT&#10;JhEMrntIhok3700Y0TAY7hHwjPWpFELHlOkdcA9onAFzF2hcNNg5bB+SxgmQ46ZUEEJCRQYPdQR6&#10;rFoJhUNA9h88JAcdGfiniAd/x3BIPkLBZ9DhE30EK2Av/KNzI1oRhH9UzEAumP3AipUSVBoojRl7&#10;Y39xUOwzwj9SQuMpWZw6XUt4ydEnLFwkI0aMlFdebiMVypaTV156WQY64hE9L0ZLXkkVEb0JbJNu&#10;f5P7roz6prqB/brZ2F9y/f5YkB64VcMx+ijRPx232zU9xs5IBXFuOM7h9iHU2P+gcybnIBh1Hmqk&#10;pTgu/hhxLXBuEBCj+8H8OeJYQwI47oiPEeJS7QPho6SYFAekwRML/oVoUAUFkUC4yWvRDSHyhPBy&#10;vmfOipLomFhtvsY8kk2bt7p93ycnTp5UUkEqhDQI1/hfmeHehBENg+EeAw/cjIxMJRuElAktsxIl&#10;rI3Yjgc9joBVJH0HSEXQVnl21FytzqBtM30LWLmij6BCADEmBMI7znAWSjDYHo4aZ47ToscFjZXo&#10;6xF0b4yR6TMIo89QR0PkAvEfDoiqGV0FOwfF6hdRK7/jNfQLgTjQsZGUiA/hb3aOMnJSpLR/rZ2U&#10;L11WWrV8Ujp2/FFTLDgztCmUR2KUwaIPoKKBihWiJ6zKQ43QP02cWLWzeoeA3eyc/8qIoLBfOHiO&#10;xz8dt9s1f5xpXgUJ4hyxzXD74g0RLWSB78Tx4/v570obbbqpEkHyx8iLMklxoKHAOI7+HJGCI+3h&#10;p5n6EtOg8+YA/ZlrbOjwUUpwiXQwcRgSyTH3x5b94vxxvexx38VH1mhGRwkqvWIuX7mSPVzMdBYF&#10;E0Y0DIYCAB7QOClWpDh3wtqkHrr3DMZa8zOrTZwJq1QEo+Tc17tVLqv+7RAO5whuXil780LAbILh&#10;HAhRBELfODM0FuTocWDMnEDQx0qXVI5vER5qCDsJrRPNYDw3upL5zhmuc87p0KFDGjr3IXN+5nez&#10;Z82St954U4lGsybN5P0PPpKff+0c6FOc00MHgCEopFSSFTWOlMgIK+o/mFulQ2pwijhmvgdRH4S2&#10;/2REaHSwlnPwEI47iYj8nWmUyB1nBJYBkdsUdj9Cbbkjj6TJGP6F5oEohP+ufH/IJtEijpOPRvhz&#10;w7wYHXnufvbj0H3Kg3H7vm8LaS1IYSDaHKHHGILBeffkgijWLndMqAYh4sY5NPJgMKJhMBQAEOWg&#10;ORErRkLirOLJqeNs6bWBg8DBoIWgHwWqfgiJjwAQgYiet0DD5X9l/J1IAatW3oND86titjNqjG+0&#10;FDg0+lxQLaIOq1cf/ZkqmYGDhzgiNFImufeR+0fQSffTHY7A0AkVB0VzJUhGWKJRxhGNps3kgw8/&#10;ll9+6yw9biIa3liJQzoQkvppsKE22h0HH9rnWEA+cND/ZKzc6f0QjAef/4/H7XZNj3P0fHXgepyJ&#10;QITZj1CDTPBd+E5UH/3xuwZj0D3BuHGsAtIRpDwgDmOzU1ZEiPiOXBeINCGTELKlS5croYCYkWoh&#10;DQPhQrS5f/9BOXIkGIPOBGK0RJw/S3kYjGgYDAUEPNQRz1EGuG//fk0/4CRwHjhcX8WhYe8sh+Od&#10;DqtUjJ//8HtHUkhz4IxwVvzLf/N7HBUERoV/jkx019VxLzV+hgBAMFgV90HY6V472L1/1OgxjuhE&#10;yvwFsZq2gETgnJhYC8Ggc6MPo5OzD0c0mjd7VD7++FPp3KWbbh9yQ8SGf9lHBLH8HgtKKQfdZDd0&#10;IaQF+C56DPT7/r15Jx0cnxvHJcdMj29wjINzwrb+fv+Cc0F6Iygb9d/PG38b4M5pcC6H67GCkNCj&#10;hLQJRAvihIYGzQ+pNaJWlEgTKWNi6dmkc5KEnTungk16uzBkLDn5kpZeX7lyRSMYvuzUUiEGDyMa&#10;BkMBAqtHHwU4evSobNmyVZj7QBSClTir9yAXPyFoluQcDg4Tx0TEoWu3nvLLb120XwWj14lKQCbU&#10;0WU5VB8lIHqBk+vUuat8820H+fyLr+TjTz6TL778Wjp2/Ek6d/5duvzeVX7v2l26de8hvXr1lt6O&#10;dPTu3Ud/HjFypMyZPVtWrVwpBw8cUCd1c2VBOKJxvyMaTz3ZSn788ScZ7vbDh++JAkTNjVEtApU4&#10;rMz/ykjVBJGYSaoxuB0jckNJsRIOCFluWBaxQCzroy+IZ8PtjzcIJaRhYuRUFQGHfl+OBxEujo2P&#10;xKiGJWGh9r0gQkHaCi3IfncuaHt//MRJbeN9+fIVPS8Gw53CiIbBUICAk8YpsKq8dOmSnD17VgkH&#10;YW3u623bs0ayr1qjOg0ICE537PgJWb0q+soPP/ws33//gyMdPVQ/MW7CRHXmlJhOn0naYI72PYiN&#10;i1cNQKdOXeTNN9+WF154UZ50BIB/P/jgA/c5P8oPP/7oCMGP8pMjBb/8/LN06NBRPvroI2n7alt5&#10;vV17+dC9rnOnzhIXGyvn3GoZkhS6Cg5HNLTq5OU2MnjQIImPj5eNGxM1ZYSAkiqc/e5nhmjt2Yt2&#10;IrztcscCMSx6ixVuBX87tpjZHDELgrTRpCm5Yhxvogwc6/kL4jW9BBkItz8YjbLQzNzQjuz6w/el&#10;umPfvgNKIjhGWjFz6LCmqo4dO6akgjkhSY5YIDDm2gktLbXIhOFuYETDYChAgGh4wzlgEI/09AxN&#10;SwTkI0knWSI4xDkR8ZjrCMcktxru06effPnF1/LJx59J167dZcqUqUIJKSWPCE2ZiLly9RpZs3at&#10;rN+wwRGOaEckfpZnn2ktDRs0lBrVqkvjho3k1TavyNdffuk+64ts+8r990cffijPt24tdWvXkVo1&#10;asrDdevJS46YjBo5UskEzg1y4RGOaFQsV17eev0NiZw4UTZv2uQc5ElJc84ww31PqnF4zz8ZVQ6U&#10;VJ5wzvXwEcpTb91ISyU6h65TRhMW5YqpJsKRCwS7ECLKaUlhhNsf7MjRY5p+IrXBOfalouEtOE5c&#10;Fzebv2a8hV5PBsOdwoiGwVAIgKPAkeBoIBzoIc5otOOY7HYPgTVr1so8Ryj69e0vb7z+prR5+RXp&#10;9FtniV1AJch6rTTB2dGVlBUxkZHVq1dLZGSkfP7Z5/Jo00elRtXqUrF8BalTs5aSiU8++kg+eP99&#10;eeftd+Tdd96Rjz74UN5+6y15okULqfxgJXmwQkWpVrmKpkH69O7jnHeikgZW0R7s781E44Hy98vb&#10;7t8pbtvbtm7V5mU4xdsBr0cLwrhwpnvejqFRoKSYKAolm7lhRGSIzDDfhj4TfgrpXxnnkzJRSp4t&#10;AmHIbzCiYTAUEvgohyccrOpZ+Sa7lf2+fftk2dJl0r9vP3n2qaeledNm8tOPP8qqlascuTio4j8/&#10;X4IV8363ql+8eLEMGzpUycPDdeoqcShdoqQjD5XlaUce3n/vPXnz9Tc0TfJa29fkrTff1D4YzZo0&#10;lfvLllVRZ+VKD0nLx1tIp06dZOHChc7B7tXQvUduEQ0Qeixux3DkHAcIUUouGZ+NsZ1Ud57YZrh9&#10;CTUfkbAIhCG/wYiGwVDIgRNDx0GEYkC/ftKq5RPSqMEj8tMPP8r69evlxIkTWlHgAUE55MjH4kWL&#10;ZMigQfL+u+/Jo4481HNkg/bgzZs2lXavvipff/WVfP/dd9KxQ0f59ptv5ZOPP1ZdRqsnnpR6teso&#10;OWnSuLG8/NJL0qVzZ4mOjpatjjhAajxwoLlFNAwGQ97AiIbBUMhxN0Rj+LBhqsV46YUXpPUzz8oL&#10;zz0vb7Z/Xb5xJKN7t24ycsQImTplqowePVojJO++/Y60feVVedG97uUXX5R2r70mn37yifTu1Utm&#10;zpwpGzZsUAGrhxENg+HehxENg6GQ426IBiLODt9/L+0dYXj15TbSts0r8slHH0uPbt0lctIkTYck&#10;bkyUpUuXyojhw+WHjh210uS1V9vKG+3by8cffqi/G9C/v0yfNk3WrlmjxMHDiIbBcO/DiIbBUMhx&#10;N0SDiMV3334rr7ZpI62eeEKaNW6iBGLEsOGyKTFRtR/Hjx+XA/v3a78MyAevf+LxFvJ0q1by7ttv&#10;y48//CADBwwwomEwFFAY0TAYCjnuhmgQpfjm66/lhdbPSYOHH9YeF88/21qmTZ2qr4MoYF5EunXL&#10;Vvm9cxepVa261KtTR9q1bSs/duxoRMNgKMAwomEwFHLkFNGoX7eelCtVWp575lmZOX1G1qtvlNby&#10;vr3ugdO9a1epUaWq1KlVS1579VUjGgZDAYcRDYOhkCO3iQbwpbUHDhyQnt17SI2q1YxoGAyFBEY0&#10;DIZCjrwgGh4Qhl49ehrRMBgKEYxoGAyFHEY0DAZDbsKIhsFQyJHTROOpJ56UcWPGaD+MpLNJOqhL&#10;zf33pk2bpNOvv2rrcSMaBkPhgBENg6GQI6eJRoN6D8tXn38hkyZOlMmRk2XqlCkydfIUmTwp0n1+&#10;f+258cD9FYxoGAyFBEY0DIZCjpwmGveXKSv1atWRJx5vKU+3ekqee7a12lNPtNI5JzWqVJNSxYob&#10;0TAYCgmMaBgMhRw5TTSK3VdEihcpKiUjikvZko54lCsv95ctJ2VKlJISRYvp3yL+s4gRDYOhkMCI&#10;hsFQyJHTRCPiP+9TK3ZfUSkRUUxKFS+hVrxohJIQ/3cjGgZD4YARDYOhkCP3iEYQ2fAG8TCiYTAU&#10;PhjRMBgKOXKaaARpk2JSpmSpP1npEiU1ygHhMKJhMBQOGNEwGAo5cppoQDLKlS4jD1ao+Cer4EgC&#10;ZMOIhsFQeGBEw2Ao5MhpokFFScX7K0i1KtWketXqUqN6DalRrYb7uZpUrvSQlC9TVqMeRjQMhsIB&#10;IxoGQyFHThON0sVLykMPVHJEoo7Uq/uwNKj/iNR/+BGpW6eeEo4K5StIiaIRRjQMhkICIxoGQyFH&#10;ThMNylirPlRFHqnfUJo0aiqPPvq4PNrsMWncsInUrV1PKlV80IiGwVCIYETDYCjkyGmiUb5MOald&#10;s7Y81ryFtHj8CXniiafkiZat5PHHWkrjRk2kauWq1rDLYChEMKJhMBRy5DTRqFCuvNR/uIE89dSz&#10;8vTTreWZZ56TZ9y/T7v/fvyxFlKzek3tq2FEw2AoHDCiYTAUcuQG0Wjw8CNKMm62xx9vKbVq1DKi&#10;YTAUIhjRMBgKOXKaaNBuvF6dh4OUyU3WrNljWolSqpgRDYOhsMCIhsFQyJGbGo3mIfbYYy2kcaOm&#10;Uq2KaTQMhsIEIxoGQyFHThMNmnWhw2jSpJkSi0bO+LdZ00elUcPGUrVyFSMaBkMhghENg6GQI6eJ&#10;RllnNOdq+Egj7aHxcL36Kg6l4qThIw2l6kOVpaQRDYOh0MCIhsFQAICjPXrkqKxauUrmRc9Ti4+L&#10;l61btqijvn79etYr/4ycJho1qlSVNi+/LB07dHR/+0Y+//wL+fKLr6TD9x3ki88/l6eebKXdQY1o&#10;GAyFA0Y0DIYCABzy0iVLlBy0eeFFtXffeltGOiJw0JGCv3PEOU00mjdtJj179JA1jjQsXbJUYmPj&#10;JD4+QVasWCFzo+bKl454VH6QzqFGNAyGwgAjGgZDAQBkYdrUqfJMq6eyx7BXcc78u6+/ke3btuUp&#10;0XjumWdl5vQZus3Lly9LUlKSnD9/Xq5evaqkp1ePnlKjajUjGgZDIYERDYOhACA/Eg3SNbyW96ak&#10;pOh2jGgYDIUPRjQMhgKA/Eo02G5mZqYaP0MYjGgYDIULRjQMhgKA/Eg0wsGIhsFQ+GBEw2AoADCi&#10;YUTDYMivMKJhMBQAGNEwomEw5FcY0TAYCgCMaBjRMBjyK4xoGAwFAEY0jGgYDPkVRjQMhgIAIxpG&#10;NAyG/AojGgZDAYARDSMaBkN+hRENg6EAwIiGEQ2DIb/CiIbBUABgRMOIhsGQX2FEw2AoADCiYUTD&#10;YMivMKJhMBQAGNEwomEw5FcY0TAYCgCMaBjRMBjyK4xoGAwFAEY0jGgYDPkVRjQMhgIAIxpGNAyG&#10;/AojGgZDAYARDSMaBkN+hRENg6EAwIiGEQ2DIb/CiIbBUABgRMOIhsGQX2FEw2AoADCiYUTDYMiv&#10;MKJhMBQAGNEwomEw5FcY0TDkEK67/7mH/bV0uZaZIhlXL8jV5NNy8exxOXPsiBw/dFCOOOeEgzp0&#10;8JCzw3Lo8DE5cuKMHEu6KKcvpsj5lHS5nHZN0jKvyXX3cbcPt/3rGW43UiUjNVlSL52VS0kn5Nzx&#10;I3LSbf/Yzds/clyOnEySY+eS5cylq3IxNUNSMq5L+rXrt759/c5pbrOXJT3lvFw5f1LOn3bbO8Y2&#10;2JbbzsFjcvjIKTl26rycOn9Fzl1Jk8vp1yTVvTWTw5b1UXcDIxp//f0MBsO/CyMahpwBnjkz1Xmt&#10;s5J+ab9cOLJaDifOkQ0Lxkr0mIEyrldPGdKjh/R21qtHb2cDpHffUTJo0jwZE79OZm3YJ8sOJMn2&#10;M1fl9JV0yXDO/vaR5pz+RclMOy4XTyTKsW0LZGvCJFk4fpBM7dtDRvbsIX11+32cDZS+A8fLkMmx&#10;MnrhFpm35YisP54sB5Mz5bwjO7e6/euOWF2/eloyLuyScweWyp6Vk2X5nMEydXRf6dOzp37PXj1G&#10;Sb9B02XkzOUydeVuWbznlOw8f1VOpl2XS47YQDbuFkY0jGgYDPkVRjQMOQNW9hmXRFL2Serp5XJ0&#10;/QhZM/lzmfjzc/Lds4/IC1WrSNNKD0kNZ1Ur1XDWQGrUfkYav/a9tO40Xj6ZuEz6Lz8o8/Ymy66k&#10;VEm7E+97/bIjGick/coWObF9smyK+llm/f6adHupsbxbu7I8WfUhqf1QZbftms4ekVqPvCRN3/xV&#10;nu0+U76buUHGbz4lq047p3s5U9JulWhkXnXcZrekHo2Vwyv6ysKhb8igL5rIO8/UllpV2FYDZ09L&#10;3YYfSKuPBso7Q+Kl58KdMv/wRdl++ZqcSSeCkvVhdwEjGkY0DIb8CiMahrtHRrJcSzkml09ulKOJ&#10;MyQxuqdEDf5I+n/zhHzxfC1pXaOc1ClaRCo651dcnWAxZ2WleInqcn/9Z6Vmm8+k5Re95e1uU6TT&#10;xOUyYfleWXEsWfZdTJVk54Vx+X/t9jOdXXUvSJarF3ZJ0t4Fsn/ZEIkf+40M++kF6fhqA2lX535p&#10;VuI+qVb0Pimp2y+u2y9Ztq5UbPSS1ITsdBguXwyJk4Hztsv8Hadkp9v26TTSG3+x5Wtum5lJjlvt&#10;lTPbomTXvO6yoP9b0uejhvLek/dL0+olpGSRIm47ZZxVk9Llmku1x9+Rph90kTd6T5NfozbLpE2n&#10;ZP3JS3I2LVNS3Gb4JrdGb/4MIxpGNAyG/Ibr16/rPbxlyxYpW7asEQ3D7cK7/+vO5x6WjKRlcnLT&#10;GFk66ksZ8eVT8t1LDeT5Jg9Jw6plpWrpYlLeOb7AyWM44AiJKFJGSpavLOWqPSKVGzwrdZu/J0+8&#10;0U3e6T9fOq88KlEHLsqRS2maWsDf/9kJ88t0uX7tvLNDcv5AjGyf/bPEdm4tXd9uIq88Vk2aVL9f&#10;apctLpWK3Cdl3baLZW/fkZ2IclKqQnUpV6ORVGvSXhq1/lXafD1ZOs3eLNMPJUticoZcDEt03O8y&#10;zsn11B2ScnKBbJvTWeZ0fEG6vVxXXmtUURo8VEIeLB2RtS1IVRkpXvxBKfdgHalUv6XUbfONNP9+&#10;qnw0LlEmbz4puy+nSZLzk2lhv+OtwYiGEQ2DIb8AgoFlZrpFVEqKPltKlSplRMNwu3APdufk5XqK&#10;pJ5ZLxd3jJats76QUZ8/Kh83KiMtHigi90d4YvFPhuMv76y2lK3yitR5Z4A8M3qddF9xVNaevCwX&#10;Mq7LVcc0rmUrNL3rdw4/84pcSz0omZdWyaHV/SW223PS95mS0rZ2hFQqyeeG214YK1pDIkq1lsrN&#10;fpAXe8bIL6uOyZxjV+RoSqaku03hxtytE2z3eqbb5hFHrhLk3I4BEtfnNen6dFV5rXoZqfvAA1Ku&#10;QmV54KFqUr1GTalVwznUGpWlVpWKUvX+UvJg2TJSvubTUurJ36Xxd9HSNW6PLEu6KofcRlLcd8z+&#10;ircJIxpGNAyG/ALux6tXr+q9e+TwYb13IyIijGgYbhepzuGedVfUATm1ebJsmfCFzPiuhXzrHG7L&#10;ysWlRqn7pHSRm5z531pJZxWkZLmm8kCzT6XuO6Pkg+ErZJxb8a9LzpTjqaECTf7FsWRIZtpZST21&#10;UpK3D5a1kR9Ivw8ayWu1IqTx/UWl3C0THWf3OaJTrI6Uq/Wq1P9giLw6Yo30XXlUEpNS5Jzb3FVn&#10;QWwj023+qqSe2yIXtw+XvXPfkxFftZQ3GtWUZrUaSu3m7aTBK9/IK192lo69+0nXPl2kT69vpedP&#10;r8vXbRtJu0YV5dF67jvW+1DqvjZUPpu0Tibsvyjr3XeEUBnRMKJhMNzr4L49euSIrFm9RqZPnSbf&#10;ffOt/Pf//t+NaBhuD9evJcv1jL1yPXWZ7IrpIlFft5Quj98vz1ctIQ+VKCqlihSRYvdFSLEiJaRE&#10;iTJSukw5KVe2vFQoV14qlisrFcuWlvtLl5ByxSOkdNH7pMR/utf/p3t9RCUpUf4pKVvrS3nyy4nS&#10;IXa3RB5LlS3JGZKaGcQUAqKBoiFFMq4cluTd0+T4/A9l7u/N5eMnK0n1EvdJhaJFpMR9RSWiSHEp&#10;Xry0lCxdVsq6fahQrpzbNtsv5bZfXMoWZ1/vk+JuXyOKlJbiFR6Rsi2/k3pfTJcvJm+W+UcuygG3&#10;3fPOj2UquUlzm78kV44tkxOLOsq6Ac3k19fqS5MaD0uVh1+Rem/2kRd6zJOuc9fLwn0HJfFAouzd&#10;s0C2Lxsoc3u1lT5tqzlSUk+qPfisVH3sR2nTL166JJ6V+afS5YwjUzeiNrcHIxpGNAyGfwM+TcI9&#10;yLOEVMn5c+dk9apVMnb0GPn+2+/k8Ueby//vv/03IxqGWwWO0DnE1NOSeX65pB0bIctHvye9Xq4l&#10;7R8qIvVL3+cct3Pw95VxjruylHmgoVRr9pw0evkNaf36O/LOu+/KB2+9Ku+1e1LeeL6+PPNIJWn4&#10;YHGpWvI+KUME5L7S7n11pFjp1lL3lW7SZuRK6bz+rCw6fkX1Eum6dfaBiEqSpF7YIidXD5Itg5+R&#10;ke9VlZcfLi2lnJMt/p8lHdGpIKUq1JOKDZ+WOq3byVNt35I3335b3nvzFXnvtZbS7pl60qr+A1K/&#10;fFGp7MhJafa7ZBUpVqOdPNC6t7TtnSDDt56SVZcy5Rglr1TWuO1ev35Bkg/Fy6G5n8iyLrXk2+fq&#10;S50qLaRysy+kxU8z5dPZO2XS9rNyIDVDzqefk9SreyT54DzZNu0LmfNdffnu6TpS94Em8kD9D+Tx&#10;39zrFx+VyQeuyIkUR2WMaBjRMBjuIYQSDJ4Vmzdtktj582XQgIHyxaefyfPPtpYa1arJf/0//g8j&#10;GoZbQUAyWNtnXjooVw9OlctrPpXpXZ6Udx59UOo6Z12x6H3OwReXiKLVJKL44/JQkw+l5fdD5MMJ&#10;C2RAzGJJWLZMViycJkvmdJPo4e9I7w+byftNyqum4yH3/mIqnrxfIorVlgdafir1f54tb83aK9N2&#10;JsmJtEzB3WWyH9cvOTsoV84skt3Rv0rsV4/I70+UkScfKuY+A23GA1KsaH2pUP91efiTPvLy4Cjp&#10;PjNe5i9eKMviI2XxrE4yY8Ab0vWdhvJm3eLSvGIRebC4e1/RChJRqqWUr/u5PPlNpHRcclCmnkiX&#10;nZczJV2d2VVHNM7LxQMLZN/M92Xhz9Xkq2eaSd0qr0jdZ7pK++ErpEfiGUk46Vh9BmWyVyUz85xc&#10;Pb1eji/uIusGtZAeb9aVhlVqS7k6baTed+Pk1dl7Zfg2hK8ZRjSMaBgM9xS493g+nD17Vjas3yCj&#10;R4yUzz7+WF587nlp7J4jtWvUlMqVKsl//a//1YiG4VbgiUa6ZFzYKZe3DpGz0a1l5Nf15Kk6ZaWM&#10;c24lcHL3lZSIso0louq7Uve1AfLe2JUyZMcZWXbqkpy/elVSL+6Xy0dj5fj6vpIwsL30f6OmvNOw&#10;tNS9v6iU/M+izkk6slGknJR6+FWp8MZwadVnjQxddVR2p2RIktuFNJzxtXMiqZsk+fAUWT/+Uxn9&#10;cjX5rEZRaVwWJxvhCENtKVa2tVR/9ldpPSBeOq4+JtGHzsupyxflyvldculwlOxf8rtEd39Buj1b&#10;TtrWLSY1yrDt0s7qSpmKL0vDt/rL6zO2S99dl2VdUpqkZgaltKFEI+EniMajjmi0lYdb95A3R62W&#10;3lvOyaLTqXIx0zH9a6mOaFyQ1DMb5eSyrrJx6BPS65160qhqTUc0XpI634yVl2fukaFbjWgY0TAY&#10;7h1wb16+fFnvPzgDz4/x48Y7kvGJNKrfQGpXryGV3TOourvXa9WqLf/NUieGWwNOMMOZIwtJW+Tc&#10;2l5yZNKjMvCj6vJ4zZJZPTKcFS8nxWo+J8Vbd5fHf5knPeL3yNKTV+TAlQxJvZYp19LPSUbyHkcS&#10;4mR3zC8S3+NJ6da+qrSoUUrKFiniPoeIRAkpVulpKdXsd2ny2Tz5PWaPrEhOk4PO1192TuV62gm5&#10;dj5BkrY6stK/nfz66IPyUvn7pFYxt/0ijuiUe0xK1vxUGr87Ur6ckSjjDyXLhgupkpyRJpmppyX9&#10;4jY5u2OaJEZ+IrO/ripfP1VW6j9INIUeGw9KCfpevPyLPDZslXy/4rQsPnpZrmSg0vhj6mRpl5ry&#10;zXMNpE7lJ6Vq82+kVee58vW8vTJ11zk5nEZ57HlJvXrAfddY2TnrG4n58RHp2LqO1HugkTxQ/11p&#10;/ut0+TDhiEzad0WOX7HUiRENg+HewKVLl2Tf3n2yfOkymTRhonTu1EneeesteazZo/LQAw9KnZq1&#10;pHHDxvKkeya1avW0/J//5/9lRMNwK8AJopK4IldPb5RTy3+XPcMell5vV9IGVd7BRZSqKMWbvy2l&#10;vpgmL47dKlO3npGTKRk3SlS190WKZFw6JJe2jZFDUW/JZOeAX254v1SMKJLVbyNCIko2lYiKX0rd&#10;58fJN5GbZPa5q7I147pcyHQOOeWQZB6fJqdWfCczfn1K3qlZXhoVuU8e5L1Fy0hE5Rel1GPdpNWP&#10;MdJvxUFZ6bZ/iDLZ646kXLsq1zMvyJVT6+TYks6ydVAD6fXWg/KofgdIjiNNZWpK+ac+k6qdY+Xt&#10;6EMSvfeiXErPlExJc98hWS4fWSzH4r6W1b0byA9t6kr9KvXlwfrtpd57Q6XNwGXSd8leWXv2guw/&#10;t1/OnF4pRzeNlsWD35Chr1eXdxvXkRr3t5IqTb6TF3otkJ/Xn5G5J9LklIlBjWgYDPkQoYJP7snU&#10;1FQ5fvy4LFm8RIYPHSZffPa5tGj+mFSvUlUqliuvz4FH6jeQ5194Sd59/0N566135f/+v63qxHBL&#10;wAmmObskKc5JH1/0i2zrX1O6t68gTaoSCQgIQrEyVaRMq0+k4i8L5PVZB2Tengva4fNG50v+H0Hp&#10;GUk7OF3OLv1Coru3kLebPiA1HNEop59T1BGGBhJR4l2p2WKgfDRqjYw9kSJrUq5JkrvQr13aK+n7&#10;x8iRuA9k/PePygtVy0gN9z59b0RZKfbw61L21RHyYt9VMmHzSdmb4d7nNusojts2UZlUST+3Uy5s&#10;HCjHpj8lwz6vLa3qlFGSQ/VL8dKVpfTj70mFb2dJm8idMn17kiQ5opHmPuGa9g7ZKOc2DZCd09vL&#10;4M8ek1ca1JJGtR+VOk++L03e7iRv/TpQuo8ZL4PHDpaxozvLyF4fym/vNpf3mj8oLR9uLJVqvyO1&#10;2/SXD8eullGOxKy6kCnn06281YiGwZD/4AkGgk+eFRs2bHD342x3L/eQD9//QJ556mmpV7uuu6+r&#10;S133L5GM5597Ud5970P56pvv5cOPPpX//j/+hxENw62Ah3mqs4ty5eRqORz3g2zsXkW6vFpOGlch&#10;7YDGoaQUL1tbKjz/jdTsuUQ+jD0u8QcuyRVHNHj3DaLhnGraOck4ES0X1v8oCf1by+fNK0ujiKJS&#10;SZ29+6z76khEkVelWuNu8uagpTLAfc7iixly2jm6zAs75eqOwbJ/djsZ9mUDebxyaang3kfFSUSJ&#10;clLs8Q+k/OfTpd34bTJ3V5KcdUTjqtuqCkl1TzIlM/mApO4eK8mL2svEH5vIC/XvV6JSklLbkhWl&#10;eOPXpdQHE+XZEYkycdMpOa5iVEeYrmdIZspBSTs1T04n9pB53V+RX1pVkzY1KkjdKjXkgeoNpMbD&#10;TaTRo82l2aNN5PFmDaT5IzXkkWr3S62KZeXB2k9KmRa/SqMvZ0mnmJ2ScDpF9qVdkyuU7xrRMKJh&#10;MOQzcH8RxTiXlCRr3HNi+LBh8sXnn8tzzz4rD9epK7Wq15BaNWpJ40ZN5LnnXpC3335PPv3sS/m+&#10;w4/y86+d9ef/8T/+HyMahltBCNE4sUoOLego63+vJJ1fKSuNKkdkEY1SSjTub/2V1Oi2SN6POSKx&#10;+5NvimiALKJx/M9Eg/RHUDlS3dnTUrn+D9KmV5x02XZBYs6kyYmrKZKetFmSN/aSHZOel34f1ZKG&#10;lUpIaQgC+1DqASn17Jfy0K/z5d3Z+2XhgYvadfOP23c/XzkimYemSNq6j2RGlxbyWsMH5CG3bW1V&#10;XuJ+iWjwqhR7fZQ82W+NjFp/XA44onHRvS+DT8k4K3J1q6SciJJNUzvKlC+ekJ+eqibP1S0ntSoU&#10;l/tLRkix++glUsxZKSlRrLyUKV9VKtDu/OmPpcGn4+WNoWtl3Ibjsv1ympx1h9ZakBvRMBjyE3g2&#10;pLh7n4oSBqMtX75cRrp7/uMPP5QnWrSQerXrqOCzVo2a0rRJM41ivPfeh/J9x5/kx59/k986d5Uu&#10;XXvI519+I//j/zGiYbgl/BPRwME5x1q6ipRu8aFU+Ha2tI3cJTN3Jsnp9Ex9Z+AOcKdB6iT90HQ5&#10;u+yPqRPmogRaiYecNZMHH/5Unvk9Sr5bd1ZmHr8iR68kS+rpDZK0opNsHP6EdH+7ijz8YHEprkSn&#10;hNt+Nbn/pY5Sp9cS+SzuqCw9clmHo7HtPxCNlGNy7dgMSd/0lUR1ayXvNnpQarttExlRolH3ZYlo&#10;M1Radl8hw9Ycld2pmZLk3qfpl2vO8WackvSL2+XExqmyeSqTYl+VLm89LO2bl5eGVYpLifv4HlSx&#10;VJZSZRtLlSavScPXO0qbTmPlm8lrZfiqY7LyaLKcdJ97xX1khrPQ/bsdGNEwomEw5DSSk5PlGKkS&#10;9xyYMH68dOzQQe/ZZk2aSN2ateThug9rFOPpp56V9q+/KR998pl8820HjWL82ul36dSlmxENw+3i&#10;JqIR21E2dKssXf5ANJyVrCARDdtJ8bfGyDMD18rYjcdlf0q6nHfOPoPcwPVMZ2mSeeWoXNk5To7M&#10;e1um/tJQXm4UKgaFaLjP+c96UrHuW9Lil+ny8dJTMunAJTl86YKknFgtxxM6ysq+jeW3thWlVkVS&#10;N+xDGSleuo5Ueu03aTJktXRYdlpWO3KS7rZ9sxO/fvW4XDsZJRk7OsqCns/J500ekkZu26Ruihcv&#10;LxG1XpKI1gOkRaclMmjlYdmemiGn3ftQqWiO47ojSxlXJOPcNrl8IEr2JnSVmL4vS8/360rbxx6S&#10;SuXLSfkyNZw1lyq13pBmb/WUtn3nym8xm2Xm3iRJvJguJxzJ8B1Pvd0JjGgY0TAYcgLcS9x3Kvg8&#10;dkx7Y0ydPFk+/fhjqV/PPY/Ll5ey7j5/sEJF1WK88PxL8t77H0mHH37OJhedf++ebUY0DLcJ3GBW&#10;1cnZRDm9oqvsHdFA+rxbWR6rUVJ7aOjE0ogyElHVObwWv0jTb6fLL9FbJfrwBdlxMVUuUyKafkmu&#10;pRyVlJOOrCzuKisGP+M+o5o8UYvyVj9K/s9E4yMlGhfl0KUkuXxsuRxZ8K0s6V5ffn65vNS8n2gG&#10;ZKOsFC9TVx5q10maDl0jHZefkTUnUkLmpIQg9aRcPzNfMvd2kgRHEL5rVkUec9uu5qzkPxGNLFy/&#10;li7XU05KRtIWObs7VrYvHC7xE7vIqL4/y08dO0jH7zs56y2/dBorvcbFy6hF22Te9hOyOSlFjqVd&#10;l+SM6zqd9m5hRMOIhsGQE+BeP3L4iKxbt05mzZwpfXv3kc8++USfC1UfqixVK1eRenXqyWPNH5eX&#10;X35F3nck4+tvvpdffu2cTSxuNiMahtsAHhGlQ5qkn98hyZsGyek5T8uIL+vK03XK/LFhV5kGEvHQ&#10;61Lr5Z7y2pAE6bb2iMQePi+nL1+V1EvHJfXMGjm3Y6KsmfixjPu6vnzxVDlpWKmYlNR0w98RDed0&#10;Lp2RS0eXyoHoLyWhUx358YUyUuNOiEbaKZFzcXLtUHdZPKCt/NismrRy26Z6RYlGzRcl4pn+8vhv&#10;i2XgikOyzREN944/EA255o5HRopcS7sgqckn5eKp/XLy8E45sHubbNuyVbZu2eFsj2zfcVB2Hzwl&#10;B05dkOMXUuQCwlL3Vj8Z9m5hRMOIhsFwJwgtXc109xv308qVK2Xk8BHyrbu3Wz/9jNSrXVuqOYKB&#10;HuOR+o/I88+/KO+8+758/sVX0qHjT0oy0GMY0TDkAHDWPNBpQX5Aru6fJJdXfSDTOrWQN5tWlFrF&#10;75MKRe5TAWRE0SoSUfxReaDhu9L0837yxvAo6TV7ocQuWykrl8yVVbHDJCGygwzv+Ix8+3wleb5u&#10;MalWFjHnrRKNJXIg6nOJ/7WWdHz+DolG+mmRCwvl2tHesnRQe/nt0erS2m27lrNSxcpJRJXWEvFY&#10;T2neIU76LjkgG66myzH3MalhPurfhhENIxoGw+0CgsH9z0h3BJ8H9gUNuKgq+eSjj7VsFaFnRXfP&#10;Va9STRo4kvHss8/J+x9+LN91+EF++qVTtg7j78yIhuE2EZCNa1dPSsbZBEk/0EcWDW0vnZ6rLi88&#10;UERql7xPSjI1VYeqVZLSFRvIQ42fkfrPtZdnXntb3nYs+MN328uHbz4v77zSXF5sXl2a1ygltcoX&#10;lXJ09cxykv860ShaViLKPykRtX6RJu/Pks7zd8viy+myz/mzFCMaRjQMhgIA7ht6Y3APbdy4USZN&#10;mCA///ijvP5aO2naqLG7px+WenXqSsMGDeWpVs9Iu9de154Y337fUX7+tZNqMv4qihFqRjQMd4Dr&#10;cj3jvFxP2SzXL0TJ5lnfy8RPmsl3TcrIkw8WV0Fn9tj3ooyJLy2lSgdj4mHGD5QvJw+UKyMVy5SS&#10;8iWLSRkEoERCshxkviAaRRzRKN1SIh7qKI3emCa/RO+UWEc0djt/RoVIfkN+IBqPPFxfSQA/sy+I&#10;yfhsto3x8969e6Vn9x46aOnhOnWkXdu2RjQMhjxGZmam3p/JFy+qHgOSMdndT1999rk82aKlPFy7&#10;jlSq+IDUrF5TmjZtJvTGePfdD+Tbbzto2eovv3XJFn2GIxY3mxENw50h0zmejKMiqVvk6JrhsnLY&#10;WzL6o0fkgyYVpVHpolLJEYegeuROLR9ENCo4p13Pfc4nUdI1bo8su5IuB50/s4jGn4nGi88/L83d&#10;A4m6+vavvSYTJ0yUY8eOKUng9T40y+d1+72rNG7YUEvk3mjfXn784QcjGgZDHoF0CcPQKFvdvGmz&#10;zI2K0vvvi88+k1aOZNR25KK2lq7WkxaPt5Q2bV6V9z8IBJ8//9JJtRi3ki4JNSMahjvD9QyRaynO&#10;LsiVYwlyYk03WTHyVenRtq60eaCY1I+4T8pmCzvvxPKBRqP68xLxZB957KcE6b/8oGy6mi4n3ceY&#10;RuPPROPlF1/UbfNeWhKPGjlKV0lHjhzRhxpkgWhGXFycDl96smVLebpVK3n37beNaBgMeQiIxtkz&#10;jHRf7+656fJjxx9U8MkQNO6tB+6vIF7w+fbb78qXX3/3pyjGrUYyvBnRMNwh8LY83DMlI3mHpByd&#10;LQeWdJPZv78uv7/cSN5tWlker1lGalYsJuVLFJViSjogD+7n4uWkeIXqUq56A6n5yCPS+LEG0qRB&#10;dWlQobTULJYlKP1LouHLW5fJoXlfyaIudeWnl8reeXlrUqxkHuwqi/q/Kj80qyJPOgdd3dmtlrfm&#10;F/xbRAPR2FdffCkvPPe8tHriSUcgnpDX27d3ZKKzRE6aJLNnz5a42FhZMH++EonBgwbJxx99JE0b&#10;N5ZHmzbVSMgn7r979+olsxyRgJwknT2btSUjGgbD3YJ7g/uIqCL3yj5H+JcuWSJjRo2SHzp0dIuE&#10;l1SHUaVSZRV81n+4vjz7TGt57/0P5StHMhB8hiMPt2NGNAx3gYBsZKaelfTk3XLuwELZGT9YFg39&#10;XEZ3aC0/tq0urzYtI3UfLCYlikAcIpwVlxIV6kiZJq9I9Ve/llc6fCPf9/pSfvqqjXzapJq8Urao&#10;NHBkg3kj4YlGshy+dE6uHF8pR2O/k2U9Gsgvr9wvtSrw2bdHNK6nHpfrp+dJxp5fJK7Pi/KNI0fN&#10;nYOu6qyEEY1bIhrDhg6Vzz/9TJ51K6LmzR6VJo0aK+GAEHzz1deqXCdqgUEw3n3nHSUjVSo9pOVy&#10;DR5+WF5wZIMoR3R0tGx1xOH8uXNZWzKiYTDcLbwe45y7ryDyU6dMkd87d3b30BvyWNNmwpTVurXr&#10;SKNHGslTTz0jbdu2kw8+/FgFn0QyEHyGIw+3Y0Y0DHeP65ly/VqqZFw5KSnHVsqZxHGSOLODzOrW&#10;Wn5/r6G89HgtqV2tmlSvXMNZbandvI088k4XeaZrpHSaOVFmrBghM0Z/JQNfqC9fOcLQsvh9UkqJ&#10;RkVn9R3ReFee+HWGfLr8lEw+eKMz6ImFP8iqfk2k02s3dQYtE3QGbTx4tXy/9EZn0JuhnUFPzJGM&#10;bd9LTM9n5ZPGD8kjzkEzayW7M+hzA6VF5yUy2BGNHY5oENQ3opEmRw4fluXLlsmokSOVaDz5hHvP&#10;Iw01r9vQvfeJFi3l+datpbH7HftRtXJlR0IayWOPPiq1atSQMiVKStmSpeTB+yvIY46g/PbLr7Iw&#10;IUHTK7Q99jCiYShs+ENfC0cSuD+55242yIPa1ataOUKK8tKlS3+y8+fP60j3nTt2yPSp06Tj9x00&#10;klivTh0pV7qMuzeraqrkmWdaq+Dzm+8CguHnlOSEGdEw5ACuuRsjQ66lJUv6xYNy5dh6ObZlnmxd&#10;OFrip/aXcUN6Se8ePaRn957OekvvIeOk35R4GRm/RuI2zJUNm4ZJ3NhPpM+z9eS9MhHStKiPaFR2&#10;9phUevgLea7rPOm4IUnmnEjRWSdXT62TM0t/kXWDm8vvb1SS2g94olFaipeuKQ+88pPU77dcvlp4&#10;QlYcvSJpjmjcTDV01snRGZKe+IXM6dZK3m70oNR0Dvp+ZzrrpF4bKfbKMGnZc4UMX3NU9qZmCmtt&#10;eqPmN+Ql0cD549x3uAfXnNmz5Vu3jRaPPa4ro/r1HtaoxtNPPSWvtGmjOoxHmzSVR5s1k6fcz089&#10;+aRGMSqUCyqQiGwQ4ejds5dsStwkp06d0oemhxENQ2EDJMOnOiDd3BNonW62w+6eOLB/v+zds0fv&#10;g3Vr18qqlSv/ZAnxCTJtylQZPHCQfP3lV6rHaNKwkS4K6tSuI48/1kJeeqmNIxnvy5dff/sHPUY4&#10;0nAnZkTDcIdwbvu6e7hfz5RrmRmSmZEmGWnOoV+5IFeTz0py0glJOnlYTh495G6KQ3LQ3RQHDx2W&#10;Q4fdDXLspBw5dU6On3GvObFQzuwcKCtGvyNdW9WSNsWLysPOSVIeG/GfNSTivuekyiM/S9s+C6Xb&#10;zosSm5QmJ1KvSOqZRDm3qotsGvWEdH+3qtR9sLiW02YPVXuxg9Tuvkg+nX9Elhy+JFcd0fjj9Fa3&#10;YrhyWDIOTpbU1R/I9M6Py6sNK2o0gw6nwfTWtlLszdHSauBaGbPhhBzKnt6a/5CXRINVFqun06dP&#10;6zTHn3/6WVq2aKmRDKIakI4Xn39B3nzjDWnfrp20ffVVtdfattV8cHNHOqpXqapWt1ZteemFF2Xk&#10;iJHuwXlYt8ND1sOIhuFegI9AeOMewbh+Q417LT1MdCLNRyeceYJBlRZkYuuWLbLW3ZtrVq36g61c&#10;sUKWLl4iCXHxMmvGTBkzarQMGTz4T9a9a1f57JNP9T5r2qiJkntaidMbo1Wrp6V9+ze1w2fHH37S&#10;3hi+quR2BZ9/Z0Y0DHeGzDS5nnZBrqeckMtn98qpwxtl//YVsnnFQlnpLvzFC1ZIXOxmWbbuoGw9&#10;dkGOpGbI+UyGqvFm/u+6XE8/L5mnY+Xi5i6yeHAb+b5FNWkRUVQ1EjqJtVh9iSjzhtR4oo+8N3yl&#10;jDx0WVZeypCz6WmSfm6bXNrcT3ZNeVkGflJPHn2opJR37ynxn8UcSagkZVp+JlW+mSXvRO6Q6N3n&#10;5HTGNcFVZuq2cUruxk/eJyk7R8n52FdlXIeG0rp+eR0Rrz1ASj4gJZq+KaU/iZTnR2+RyM2n5SRt&#10;w/Uz8h/ykmjwWTwcIRu7du6ScWPHytdffSXvvP22tHvtNSUXb7/1lnz4wQdqH7z/gbz/3vvO3pO3&#10;3nxTXn3lFW3q1eall+W9d96VTr91kgULFkhSUpLuS+i+GtEw5HdAMrhuuUcuXryoqQqu5RPHT8jB&#10;Awc0HYjt2U3kYZtWe1BdtcYZ9xwpyEULF0p8XJzEzl8g82PmS3TUXEceZsikCRNVB9WvT98/WZ9e&#10;vaVHt+7ye+cu8sP3HeSzjz+R999970/Wvu1r8mSLJzTaWKdmbalZrYY0zEqVvPnmO/LZ51/JDz/+&#10;ErQQJ4qRgwTDmxENw50h/ZJcv7Rfrp1ZLce3TpMNcX1lzqjvZeD370mHdm/Kh69+6xzOQPmyS4wM&#10;X7pfFp1Pk71p1yVFtRKBs2dMfNqhGXJm2ZcS3aOlvNv0QakVUSRIXUA0yjaTiOpfSp3Xxsm3UxJl&#10;zpkU2Zp2TS4655OZvFfS9o2Ww7EfyrjvmsmLVcpIDUcQIBsRxcpL8XpvyP2vjJCX+6yQcZtOyE5H&#10;NM64zeqId41JpEraue1ybn0/ORzZUoZ8UkOeqF1aB7oRGSnOqPuW70vFDrOl7dQ9MmtnkpxPz1R9&#10;Rn50aXlJNHiw+tUaTh6B2dy5c2X06NHSs0cP+eXnn+Xbb76Rzz/7/A/22aefyReff65/47P79e0r&#10;UyZPkaVLlsq+fY70paTo5/L5HkY0DPkdXHuQ7pMnT8oBRyz27NkjO7Zvl9WrVknMvHkyY/p0NUSY&#10;I4cPl57du8tvv/4qvzr76ccf5asvv1QS/sbrr2un3FccAW/z4kvy0vPPy/OOkD/9xJPyxOMt/mQt&#10;H3tcWjzaXB5v9qh28XzEEYn6der+yYgaUk1SrWo1ecTd108++ZS88kpbef+Dj3WkOyTj106314Dr&#10;ds2IhuHOkH5Orl/YJNeOz5LdCV0ketBr0uujhvJWowekSfEyUqXoI1Ky+JtS99n+8sG4tTL8QLKs&#10;vJAuF5zDz7yWJtcyL0l68j45v2m47JnW3pGFh+X5+uXk/iJ0FXWO8r5iUqxSKyn+aGdp+Hm0/D5/&#10;j6y8lCaHnT+5cv2aXL96SK6dnC6nV3WQWb89Le/WLC9N7gtGvEcUKSURD7aWkk06yRPfzpHuS/bJ&#10;ouQ02ZeW6YgOqZ4rci39jFw+tkIOxf0i63vXla7tKkrTasWdg6ZMtrSUKFtXKrb+Ump2T5D3FxyV&#10;+fuT5bLbd9zZDTeYf5CXRCMUvBciwPshHDExMTJh/AQZOGCg/N7l9z8ZRIQV2pTJk7XEjlI73k+4&#10;ONw+GtEw5AV86oPrjfQFpPfK5SuawiBKcSErSkG68JQjFNwTNKTjuiflt2P7DlnliEV8fLySiznu&#10;Wh09cpR079pNfur4g1rH777XHjP0nEG7hGapZYsW0qhhQ6letao8UKGClC9TVkXSN6y0lCtVRsqX&#10;dub+9neG7imc0RejcqWHtAnXE0+0kjfefEe+cI7/h59+zTVicbMZ0TDcGdKT5HryOrl+erK2IJ/w&#10;VUvp0KKStK5cSmpElJRy91WX4kVbSpXm38kz3aLluyWHZeb+i3LsaoZcTT8v6Zd3ypUj82V71A8S&#10;9evj8vNLleTRKiWlzH20LnfO3pGFEvVekrLthkrLXqtlyIqjsjslQ845L58G0Ug9JteTYuRs4u8y&#10;v/vL8m3dCvJ0xH1STft1lJCI0k2kRNX35JE3BssHketk6N7zsjrpqlxIS5WMq8cl7dw6ObV5nKwe&#10;855M+ugh+bRFaamrJbLuvf9ZWUqVbyk1X+0irUavlZ/WJsmyEylyNTMQlBrRuAEiEDyUIQM8eHft&#10;3CkbN2yQlStWyqJFi/5kSxy5YDubN2+W/fv3ax6a97MPoZEMDyMahryAT39wrXG9c21u1zTHBo1M&#10;LFq4SOZGzZXJkyZp/4lhQ4ZIf3ev9HLEmdTFz+5eoZz7808/lU8+/Eg+fO99eaNde3nxuef1nsSe&#10;frKVRiIea9ZcS8Efa/6YWrOmzaThI49Ig/oNpIG774g6eGvUqIk86l6PYJMunX9lEIhnn3lWnmv9&#10;/J/s+edekJdefFleadNW3nnnffniq2+lww8/y89/M9Y9p82IhuHOkJEkcnmtyPmJsn7CpzLslfry&#10;4UPFpVnpolL+vggp/p/lnLOrLvfXayd1PxkmbZzD7r/igGw+mSQnzuyWs4cXyNH1/SSmbzvp3qaa&#10;tK9bQmqVKSoldCBbSYko9oCUfewdqdphurSZvEcmb02SM6mZkuo2fQ0RavopkUtL5fyuwbJk4JvS&#10;vWklaVe2iNR1ZEOrT4pUl2KlWknVJ76XJ3tEyRcL98i0Hcfk4OmTcvb4Rjm1a7Jsm/+jTPv1Gfm5&#10;ZWl5qUaEVC2FALWse28DKfNgO2n83mB5J2qnDN6bIhvPpUuqIxr5Ff8W0eBzIRt8BitBXscqkAc2&#10;uepwxgqRsjtPMHg/n2NEw5BT4Fq6nnVtcg1xnaEr8mJLjVi4a5WUx2V3LXLNch0RYYMo0yMmavYc&#10;1UjQ/bZvr97ufvhBPnz/fZ3P88Jzz2l326aNm+jgMbpq1qpeQ2pWq67G0ED6xHAPVn7gwcDcz7zm&#10;kYcbSJPGTR3BCMhGC3e/kc54+mlHFJ5/UStAvL3atp28+dY72jyLNuB/ZR9/+rl89c138l2HH8Pa&#10;984Y5/7jT79qRUluCD7/zoxoGO4MmRdEUreKXJknm6d/KxPfaiBf1yoqzcvfJ6Xvw2ETGSgnpSo1&#10;lQef/kQaftJX3u8xRoZETpPIKSNk2vhfZFK/t+TXt5vK6w3KSbMKReSBYvdJsSKOZJSoJsUqPC41&#10;2v4qzwxdIh1XnJKEI+6BkJ6VusAhZZ7X7V86PEs2Tf5WIt+sK980KOk+h9QH279fIorWlvK1X5Ta&#10;b/wsT3cZKR2HTZTxUyJl+sQBMmX4VzL015fk+1frycvVi0kjt98Virn3RTwgEeWflvsbfifP/jBd&#10;Oq08InNOp8ueK86Z5mNf9m8RjdyGEQ3DnYDrAVLBtePLQ/fv26e9JDZv2qSloCuWL9dIBV1ro+ZE&#10;qYZi9KhRMqB/f+na5XftmvnlZ5/LR+9/IG+1f11eev4FeaJFC+1q+0iDBlK3Th0doV69anXVQCCy&#10;5L8RXNatXVfLRxs8XF+Fl1R4NG7YyBGLx+WZp57V9t4vvviyvNzmVWn7Wjtp//pb8tZb78q7730o&#10;H370SbZ98tkXWnL67fc/hCUQ3n74CZ3F3TfWyi0zomG4M1x3jifziPMEibIvvrvE/dhcejxdQp6t&#10;XlTKalQBh08FSAVHNupKhTqPSt2mT0jLVk/L00+1kGefbCRPP1pTmtSsIDXLF1OSwQTXiGIVJKJi&#10;Syle9zN57Ktx8t38HTLpyBXZcsGtRjLdqle37f6fOSuZp+Rq0gY5sqSPrOn5uAxo/4A8U8cRFXW0&#10;6C3KSIkyVaVcjYZSpXFLafh4K3nqqaek9ZPN5dkW9aVlw6rySNWyUr10Eang9rkk3UtLOZJT922p&#10;1GawvD5wqYzfeUY2plyTk+m+YiZ/woiGEQ3DDXA9MJmUDrYQi2VLl8q86Hl6zYwYNkx69egpP//0&#10;kyMSX8i7b72jFVDPPvW0XvuPP9pcmjVuovdAA0cW6tWqLXWUQNTSDppKIOo3kEaOODza7FFp2eIJ&#10;eco911o/+5y88MJL8tLLr2gkon37N+Stt9+V9977QN5//yP54MNP5ONPPpPPvvhavvjqG/nyq2+1&#10;xffX33aQb7/rKN85MkHUgbSGt44//iI//fKbpjn+zhBzdv495/pe5LQZ0TDcIdKcwz/n7Kic3DhG&#10;Eke2lYmfVpd3Hi0nNcsWlXJFKVHF4TnnXSRCihUtJiUiikvJYsWllFoxKRVRVFuTF1ddRjGJuK+M&#10;FC/7sJRr+J5UeXWovDFwiYzafELWXM6UY2nXQrp7un+vZzq7KumXD8n5HVPk8Jx3ZNZvjeWDVg9K&#10;VUcc7i8WfG4EqRi277ZdInTbxSKkZFG//fuk2H2OmBQpLyUfbCYVW/8kjTvOle9nbZeFx5PliNtu&#10;svNj+bGs1cOIhhGNggyimFwLpD1UpHkxWc4lndNzT7UH1+/BAwe1eRU6oa1btqpOKHruXBk/bpwM&#10;QpzcuYt0+PY7jVC0a/uaPN/6OWnxWAtNZdDThbHoDz1QSVMclR98yN0/zh6qLNUeqqKpkLq16kjD&#10;RxpKM0cuWjhyQaqD9EY7Ryjefuc9ec+RiY8+/lQ+/exL1UF8810H6YgWggZYSgZ+15SFT1vcqpHe&#10;uBXr0jVv0iB3YkY0DHcISkTp4HhRkg/FyrElv8nSwS9Jl3Z15LkaJaRumSJShghFltP7e4MQlJeI&#10;iDpSttrLUq9dD3m272LpHLdHFh25KEfTr8vFzOtyQyLBDziWDJ2zcvXEMrm4ZYCsnviu9P2wobxW&#10;t5g0esCRHY2s3KLdV1Eiij8i99d9U5p8MVrejkyUoRtPyrbzqXLRbY6JrfnZlRnRMKJRkMH5RU9x&#10;5vRpjVLQlRahJj0oYucv0PJRGlb179tfuv3eVX768Sf5+ssvlVS82f51LRl97ulnVIyp0QqGOTZs&#10;JE3050bySIOGamgnmmeJL1u6+4DZH889+1ygl3ilrbRr97q88ebbSiy8NuLzL75WfQStu4lKfN/x&#10;p6xIRKd/RQ+RH82IhuEOgbMPHH5m8jZJPTpN9if8IJHft5Svm5WRVpWCdMQfnPlfGlGHKs7Rt5IH&#10;Gn0rT/02S75edUwmH7okBy6nO4JxXQhmZAc0srd9Xa5npsi1qwfkWvJSObyqjyzo2lp6PltK2tSO&#10;kEolHIEJu70wVrS2FCv9slR9rLO8NnCR9NhyRuLOpsmp1Ezdrt9ifoURDSMaBRmIOhkKRr+V9evW&#10;SVxsnEydPEWGDhmqkYovnMN/tc0r0rzpo1KrWg0tByV6WTKimFqJohFqxYsUVStbqrRUq1JVGjdq&#10;LI878vH0060dmXhFXnvtdXn7bUjEx5rmQB9BVEIJQ0hE4p8iE6Qx/hRxMKJhRMNw52AKauaF9XJ2&#10;+1RZE/mjRP70onR6o5G0e/whebRmGalSNkJKkp7IduzBlNViEZWlfJVHpEqTp6XBsx/IE290kzd+&#10;miqdZ22UKfsvyLrzqZKU+g8O5Fqa80ZnRVL3yLn982V7TA9Z0PdN6fvF0/L+8/XlmQaVpFHFUlKt&#10;6H1yv9uHIJ0TlLEWL/6AlHnoYanwyFNS9+lP5Mm3+sp7nedKv7idMv/oZdlxOVOSM+8NB2ZEw4jG&#10;vQjOG6JNJvYy+AsiwTldt3adLF261BGKWJkbFSXTp02TMaNHy4C+/YJOmB066jC/d996W159uY20&#10;fuZZaekIQ5NGTVRDUYPKD2e1atSSOrXqyMP16ussHqIXRC1UlPlMa3nl1bbS/vU35e133s/SUHyu&#10;PSa+/vZ7nV5KZOKX3/KuDLSgmhENw90j84ojG2fl6tntcmbbHNkV21tih70vQ759VD5/sYo8VrOs&#10;VCgeIaXdSqKErijKOaspZco+LjVaviuPffK7vN5rkvw4ebmMWrJXFu4+K/supslZyln/ydGj1bh2&#10;1e3DRUlNPiDnj6yQI5siZeWs32RKz/bS7Z2m8t4jleTJ0hFSq3hRKaOrmtLOKkqZig3locfekIff&#10;6/r/Z+8v4Ku8trVv+HufI+975Dm2z9lnO+7u7u4Ed3d3d5fiBAkJgUAgCRYhjgWIIAkJgSQQCAFK&#10;W0opTpG21zevsXJDoIsiJRAZc+//LxSy7rXWLXNecyh6LfXCHM8obA9PRUTqHVx9aCsuxmZsWWGo&#10;0FChkZmGpJemwWvzOrRQEKacshAWYytYlpvlt5lSut5xnXT0nTB+AoYYMcFKme3btkPLZs2lCmYD&#10;NvCrWVOCNKtUqIjqRlBQSDRu3ATNmjZHixat4ODAAM3O6NqtB3r37of+AwZJHQkKijFjKSgmpwmK&#10;Wbb0z1lzpUomm4rNnbcwLcjSZsWwt3gq744KDR0fZ7CI1tN7+PneBTy+dhCpkU6I8JgAt4W9MLF/&#10;O3Rq0QwOTZuihdDe0A9t2k1C36kbMHFLEFYdise+pG9x6tsn+PLhB6aSMhPmp5t4/kMSbl70Q+LB&#10;lQhZPw4bRnbFtLbN0L9FU7Rlyd6mDobOaNN5JLpPWoPBG4OxNJjvfwsx3z3D14/NBJhFBIY1VGio&#10;0MgMwxIWFBG0VDCu4u6du3KN2PuDaaapqanS+4NxFlZGiK+3N7Zs3oxlX3wh3YApLrp06izxErVr&#10;1JQmYAzWZJXLUsVLokzJUmnBm2VQoWx5sVqwLkW79h0kbbRPn37Sx4MukDFjmSJqqzHBapgUD2qh&#10;+LSo0NDxcQZ3Lz8+wc8/fIdnd1Nw53o0rseHIu6YN0J9vbB75w6zU9mBncIugy88vQ7A5+BphMZe&#10;womUm0i89QhfPnqOe0/NrueD1vlnRmg8xI8sL377Am6lROHSqWCcDtqLg5474Gfe21Pe39OwB557&#10;grD3wAn4R19CxCXb+3/16CfcNyrnRxUaKjR0vPeg0OD9xOwQWirY+8MmJo4j0D9ASs+zsiZrVSxe&#10;uBDTpkzB6JEjzfUcgJ7du0sLc1otbAGb9cVKwVoUdWvb0klZRbNF8xZo3cpBsj5Y9bJH954SpMnY&#10;ihGsPcEAzYmTJXWUAZq0VlBgWMGZthgKFRqfEhUaOj7SMAszK3b+9NwIjqf4kS3jf7iPxw/v4v69&#10;O2ZX8734YW3cMbDL4X3ce/AI9x8/waOnz/HDc1sKKxf5D1vm+RnYlItt659I2/onj8xnuH8XD8z7&#10;33vl/e/izt37uHv/Ee6Z93/4JN37i8k37ZBZZKjQUKGR0cNyhdBawXvGqrLJe4OVXu/dvScBmze/&#10;sRXIYorp0SNh2Lt7DzZtdMKiBQsxacJEDB08RPp9NDOigYGbTCNl5UxaKGipIEwrrVa1mtSrYDop&#10;S2x3NKKiV+8+LyplUlBMmmwrpz177nxxdTCegmJCXB520klfBGbaWQyVjEOFhg4d2WCo0FChkZHD&#10;EhiMqbClmd6SNNOkRFtvG0kzDQmVayRlu51dsGrFSsyfMxeT0uIsunfpKkWxHMz9xV4f9WrXQfWq&#10;1SVgs1b1mqhTq47UqWjcsDFatmiJ9uIG6SbigimlQ424YDopi12xRsWMWXOkmBWFhIqHzI0KDR06&#10;ssFQoaFCIyMHhQavBXuEsIMpi2KFHw+Hn48vtri6SpdSNhUbPHCQFMJqniYkWFWzWqXKqFSuPMqV&#10;Ki39P1j4itkfTRuzqiZdIB3RpUt39OrVV+IqRowchbEsvS1Fr9LVphDLxctATa1RkXVQoaFDRyYa&#10;XFTZ2Im9GN6HqMhIM9kvlYh8FRo63mdYrhC6QdhcjI3vWBiL3XgZY5Fs1oPz585L/QpaLtgGnVaL&#10;dWsdMX/uPIwbPUYqbbZv0w6N6jeUduQM0ixVwgrYLCvBnJXKV0StGjXFYtHGoR26GnHRty/LdA+T&#10;TJBx4ydhytQZEk9BFwgFhL1FS8l6qNDQoSMTjYsXLmCr6xYJkHsfRg0fLm2o6etWoaHjfQbdIRQY&#10;bD52JeUKzsXHS8OxoMAgeHp4SnzFsiVfYOb0GRg7erQ59wPQu0ePF5U2G9dvIGW8hRcNxBqisVgs&#10;bKW6u3Tuip49ekn/D1bVZMMwWi2kVLcRF8wIsVksbFkhlqXC3qKlZD1UaOjQkYlGVFQUxo8ZK4sp&#10;+yvUrVULDVku+S00qGvr11C0YCEVGjlk0J3B781zxGuYvg06r9fDBw8lSFMCNe/dk/NIa8X3t2/j&#10;u+++k/NGN8i1q9ekqyktY4cOHoT33r3YvMlZOpgyeHNg/wHoYMRC4waNpM15+bJlUa50abFWlGWa&#10;acnSqFi2PGrWqCnFsJgR0qlTF/SkK2TwUIwcPVZqVtAFwjoVc9j7QwI2ba4PCw3YzFrwGlnXbOHi&#10;l9eRQpHXNz2jxozD73//vyo0dOjIDCPc7CSHDxmKwvkLyG5xwtixWDBv3luZN3sOepldJosXqdDI&#10;GYPfWapq0tVhzgGvE69jyuUUc80TEBcbJ/1AThkBQQtF2JEwqbTJRmM++/ZJCe8d7jvg4uyMNatW&#10;Y/GChWK1mDB2HIYMHCRFsmgla9W8JZo0aiKWito1a6NWWvvzBvUbyt83b9ocbVq3kdbnvXr1kTgL&#10;NhiT+hWTpmLaDCMw2MbcLDiWoLC3cClZC15HigimDdMSRZcXY2looWLALqElgy6xXr374b9+9zsV&#10;Gjp0ZIZhCY2SRYtJ4aKwsDDxk78NVlbcuGEDWjZrpkIjhwzGVtBSwVTSpKQkxMfHG2ERLYLC19sH&#10;njs9sG2rm2SArF29BksWs3T3DLGYsXR3n5690KlDR6lbUb9OXbFW0IrGeAq64MqUKClWC1bdZA2L&#10;5s1boG279ujcpRt6GkHBSpvDhqWlmRpBwVbnXGheVNdMC9i0XCGWpUKtFdkDXlNeZ7q9mAXEKqtj&#10;x08UkcksIcJ7pHef/mjZygH/9u//rkJDh47MMCyhwcWUBY34LHIRfRvc2e7etUt2oB9HaNTF7Jkz&#10;pSw0gwKZ0vg5Rk4SGvwOdHtQPFgWimvXrkkVzYSEBJw9exYxMTHmmpySFuhhR44gMCCtCJYICmcR&#10;m8u/WIY5M2dJFgj7gYweMRKDBw60xVW07yCWskZGONSqXkOyQUqZ81kofwG5Z/Llyo38efKiYL78&#10;KFKwEEqXLCX1LFjau02bdlJ1k23RhwwbIammk6dMF2HBNuiWtSK9oEiPvcVK+fzw2vC68fpZFgpa&#10;oFifhP1eaKFg8TPLOsF+MCNGjMbQoSMk3obBvIMGD8Ug82eKC94fFKK9evcVuvfoJSXh/+3fVGjo&#10;0JEpRnqhsWTRIrFUvMugWPiY6a3c4dKMzpgR7phVaGT84HeVapopKYiLjRV3B3t/7PL0koBM1qVY&#10;vHCRzSphBMSwwUPQr08f9OjWDV07dRYR0bFdO7l+TC9t0qChCApap1jGu0bVqqhaqRIql6+A8ube&#10;4HksVqiwdDllR1MRGuYnRUaJosWkaFYNI0bY4bRly9bShKxb9x7ShIw1Lbh75SI0m2W9zQJliQx7&#10;i5mSeVloBAaLmzFtmOKC1olxEyZJlVUKCQqHHj17S5ZQh/adJMC3UYPGqF+3gWQQsUEdC6rR2tXR&#10;3IddunRD9+695DWW2GjbtgP+4z/+Q4XG5xhWpT0rqIvQHPqhcKLiovGpsYLQJBBNgtGUF6SdF8Lz&#10;ROydQwu6SmjWLlWsOBbOny/9IOz93uvQteHl4fmKRYPm78kTJyIuLk7e397rCEUEFzf2nFi9cqXZ&#10;8baQINRJEyYgNDRUPgODBrnbtr4HX8f7zd59aN3L9kb6+/311/F41j1s3VP8bOzqed6IJY+dO9G3&#10;d2+UNOdmQN++2LF9uyzI3968Ka/PrMP6vtZ34/fi9bKCNK0Aza/5PY1wOnL4MPbt3Ystm12x/Isv&#10;MGXiJBEUHduzR1Az1KlZS1wabH/O6yytz9PaoVMk0DrBGJ/CBQqKVYIBwhYUFsWLFBXXHH/yv1/8&#10;O//NnFtaMapUroJ6RqDQXcJFhCKDMRg9zO5ULBpDh4vLhH54BnmmFxv2FjPl02JZkXg9LGsFXVi2&#10;QM1F4tayxVYskGyf6eYa0jpFgcHgXVooevfphy5duxuR0F6EZuO0OJ2qlatKvxkRo9Jnprq5V+rb&#10;soxaO6Bjxy7mPjEio1dfuVdo5ejarSf+6780RuOzDE5A1gTLyeeBmVTv3mV0+PvxvZmobt/+XnZ2&#10;N8xkRXPrp+Ty5RRcuHARCQmJOHc+AfHnzitpnDfng+clyZyfS+Y8cWdu7xxa7Nvnjb69zGJqHuJp&#10;U6ZKq2x7v/c6l41Q4K6X/nZLaDAjYOTw4Th48CBSU9/8vpcuXUZ4eAS8zM55xvQZUoujcoUK6Nq5&#10;MxYvWiT9aWimP2cWweTkZPkOXPwpPpi9YMHy07Q+UBxQKNgbXHC52LLwk1WzIf0xvvnmG7GusPEW&#10;i0LRVRAcHCxFoRizwhiU4oWLyA6eoujggQPyu3yGMuvgM87vy/Nz/dp1EU2se3LAfHZaaXa4u2OT&#10;kxNWrlghlTQpLEaNGIGB/fujR5euYqFoVL++uDoYQ0GRQYFQIE9eERP878rm71lls1bN2iIQbDvN&#10;5pIB0rZNO7Qzi4VF+3YdzM60o/xM//ft2rSXRYU70w4dO4mbhGZve/ToaduxcjHq338gho8YJTEa&#10;3BnbW/iUTwvFBd0gLwI0p82QwFwG6PJaUUgw1Zht8pl6zKyijh06oZu55hSThNe5W7ceIjYYlyOY&#10;3+3YsfOLe6hL527o0b3Xi/tgsDnuMHN8ulfGjJuAseMmYvyEyRgwaAj++7//J+cKjZc7rJdWhfRY&#10;u630WDuvX4OTqbUzexMUF5yAODFzgv76m5u4aiai9yH16jWksBuiWcSSki4g7uxZnDx1Gic+IceO&#10;hZtJ8xACg0KwPyAQfvsDlDR4PgKCghF64CCOHjuOyBMn7Z5DCxezi+UiysV09MhR2GuEh73fe52I&#10;yCgsXbpUmlFZQoOdLvv37Qcvr12IOnnK7uvIcSMydu/ei1WrVmP4sOGyYy5dogTq1a4tPSmmTZ0q&#10;C6Gfry8OHTok7pTY2FixdFB4WFy+fFkWfcZ00AXAXfvrcBfPBZeCgi6ZFCOQrNdz3qGYobigCyk0&#10;JETiTlYZQTF61Ci0b9tWTP9FzOLKOAMKMU8PD+mpwWPbe8beFT6r9p7jD8F67vl80wrE55uijLEW&#10;dE/t9/WDyyZnLFm0WNJHeY1oiWJcTO0aNaT1eVUjHBg/QasUXRy8H2hxoKWCVguxYhhKFC0uBbKY&#10;Vko/eDsjErp07SYTPxeTESNHY1zaZD9h4hQbk6bIojMx7Sf974R/ZjMy1regtYIpicPN62m94K60&#10;T18jfIy4YBXP9h06wsF8Zoc2bY04aSeLEhcVWjXsLXzKx+F1S4U9iwWvAa0VLNHOXjB0cdENwuvI&#10;a0jh0MZcM2YLseQ7LRKVK1SSn40bNTbXta2IiW7dekqKMl8jLfbN63k/iSXL3Cd0m1FcSuXWtDb7&#10;M2fPlfgOpjDzM1iMMsIjx6a3WhYFTgo0c3PRt02GD3Hv3n1Z/Dkpfse8c8k9v41bt77DzZvfGlHw&#10;jVgPvvzyBq4LX77k+pey6+NOPzn50hu5eDFZxEFCQhLOmsny1OkYs2CceC/CzQJzzCwUXMQOHT6C&#10;oOAQ+Pr5w+cTsnuvNzyYKrfTE+47PLDd4L6Df87Z8DzIuTDnxcNzF/bs3Qdvs8jYO4cWS79Yhrat&#10;HWRRGdCvP5zMgmTv915nn7ePEQTTpOyzJTRo2uxmdsTr1m0w77vf7uvI7j374Oi4HlOnTpcdTdVK&#10;Vcxri6K6WfAcWrXCsKFDsXDBAmzatAnbt283omQ3fI3oCAoKwoHQA7Izp4slxAgDWh+Czd+HmJ8H&#10;zH+/Tqj8e7C8lj/5Gr6ex2GvjICAAHh7extx5AU3NzesX7ceM2fMQJ/evdGkUSOJLWBMAeMOWN9h&#10;mTlfgYFBRvQk2X3G3gkjAGjxofB55Tl+K9aznw7z7KdcuYKkCxcQb0TTmTNnJHjzyJEj8PPzk++0&#10;cvkKTDfXatiQoeb6dBN3SA0jFthMjIGZhNfOEha0XFjXND0M3CxeuKhYM+rUqWsTG81bigWjU2ea&#10;r9MKZBnBMXz4KIwaPe6VXSZbp0t3U2aKmMXBlqI4TxYLLlLMJmAmAcUHAz+5yHCx6T9gsKSxcsEi&#10;tHz0M9eCAoYLnb0FUvntUGDYBMXLgE2btWImJk2xXSdaLBioydgKisN+RiSwZX7vtFgJWigoIigO&#10;GWvRtEkzKa7GLrkUGRLw2627CFWmKQ8dNlKqtvK+4fWdOo2VW+e993XO0QW7aLHgruP+fe6ymItu&#10;RISU3v1KJh4KBU4YdAcI587j7Nl4REfH4ISZPLgTPBJ2DIePhL2CteDv8/HDLrNTfBNeu/eYCXWP&#10;WaR3Y6eHF7a7e8Bt2473Yqvgji1u27F5yzY4u2zBxk2bPylOzpuxycUVm123Yqv5HNu275TvktPh&#10;eZDrYs6Lszk/m8x5snf+0jNlyjTpAcFdexezWNAUbe/3Xmf9xk1mMRlhFqzqLxYi7oJZ32DuvAXY&#10;4ORi93VkrREiM83CMmjQELQyu+LyZcqJ64aihRaNUSNGYtbMmWIx+eKLL8zi/gVWLF+OlStXYs3q&#10;NVi7Zi1Wr16NL5Z+gblzzC5q4kRZRPv06PkL+vXqLf0weEwKo6VLlsrrrWPwmDz28mXL5CePSYvK&#10;oIEDRfSwKBljEapUqmz+28F855FYvmKlCDl7z9i7sGefDwKN6Dl46PAvnuVf5+gv4LPvt9/fiO6d&#10;RiRuEivR4sVLMGf2HEydYnaXo8diqFn4+zIav2s3tG/b3pzzlmjcsFFaO/Q6qF2rtuwuK5nvSvHB&#10;OIu8RlSkFxkWBfLkM4KkCEoaccLCWRRiTE/lDrVq5SpyP7DuBV0pdKN0aNdRAva6mcWEC9BgIxzo&#10;k+eud5K595hlQJFBkzv990TEB/34ZlGbanavtiwEm/XDgv59ChXuru0tNMpvJM2KQWsF42F4nSgW&#10;R45iPMUwKeXevXtPcWk0bdJU7iOKh0bmvqILjS4xuj26md8Rl5e5/xjUO8CICQrRIUOGi0uF1gpe&#10;TxGh5jqzBgqv+0xJWX7Zap+Cx+7nfAPZQmhYwVa0TtBsabkkaJ2g2fK+BF3dl8ArCorb33+fFtPw&#10;nVglrlxJxYWLyUgwuyIKijOxceJ+CI+INELiKA4cPCyEHjiE4JAD2O8fKDtE7uQ9KRLMJLfT4yU7&#10;dnrBdes2rN+wCavXrscas1tc67jhF6x5jbXrNgqO6zdi3XqnD4LvuX6j8yeFImOL+b7b3XeaCX+3&#10;mbz3mV2yd46H54Hng+eF54fnyd75S89kM4GzCBKFRudOXWRisfd7r8N7ZtiwEWJGtxYhCg0uxnPM&#10;QrHuV+4L3qMzzWQyxExYrVu1RoWy5cTtQjcMu26OHzderApzjIiYMX06Jk+ahHFjx2KkETbDhg7D&#10;iGHDxerRt09fqcvA17F5Fr/D6/AzcTGsaRZSLrB9jPCgu4bwWKNGjsKE8RNEXFC0LJg/X95z9OjR&#10;6Nqlq7yOQoN9M5o1bS4TLM22q1Y72n3Gfg3rueNzs9nVTaxQHub5fRPpn3F55g0UOOnhs++0yQVL&#10;KJCmzzCfe6zZGQ42i3pfKcHd3ewoaTWiJaOrgf7xzmaH2aljJ3Qw586KnWjd2gFNjOBkm3QKhrKl&#10;yrxooc5rw2A8y/ph+2/zM+3vGCxLaBUhJYsWN+KjAmpWrynBfKyJwd0rA/w60C9vPhMXHu6Ah5p7&#10;aFSa8KArRZqamcVmxovFxmYSZ4ZC+hoZXAQts769hUZ5M5YrhOeR59RKMaWg4DmfPnM26KKgmJtg&#10;xIXEWYwcLemkNoHRC506dRU3VpOmzaRCK0VqVSPG6xjRyvuIQoPXmW4Qvo6ulHHmWBSOTE9mcKh1&#10;La3r+TrW9f2Q65wthAZFBt0fjx49FncHa/bbTJg2AXH+fCJi4+JxOjoGkVEncOy4zdXAHQgFRFBw&#10;KAICg+FnBISvXwC8fXzNQrFPRMQOWhrSTOBcMLZtt1kQCC0K28zf2f7tVWw7WTe4mN0sRYf8vnnt&#10;m+BrOIF5cZdl3pu7rL3vyT5vX7ObssUEMF7iU0HxdcDsBg+ZXV6YOa88v8fDI3M8PA9hR2332cFD&#10;R+Q82Tt/6Vm5cjXamQmDwX6DzM5/yxY3u7/3OhS/s8yEVL9OvRdCg1aJHmbn6uzsIve3vdcRxpJQ&#10;CH2xdJkRFkOk8RVjAxiESOvE7FmzzKI/V4TG9GlmsjNCgG4duniaNm6CZoYmZuFiSixdACxRzSwG&#10;63Okh+mTDGDkQsjJkFYTvp7HIez8OdwIjimTp5j3nS1CY/48s7s2fx46ZCga1KsvWRV1a9VB7159&#10;zK5rOlasWiPPm73n6tewLIGEf35vS5w1L6SD8wEF5Zq168wu9AuxFE00k+yYMeMxykzuI80C8Tp0&#10;SdDcPcLsKLmrHDZ8pC0ugsWOevcTcdLJiBGavBmwRzHC/iF0kdBK0bJFK3GZEKYaUqhSTNStXVda&#10;r7OaJ3/WNfcG/44WE15jG7VQx1wDChC6XmhK53EczLVt366jpDSyquPAQbZ4D8ZvMJ6DbhWKDi6K&#10;XITsLS7K2+GCbQkMWgx4XukGoXuL53uQOe8UgbRA8dq3cWBMTHu5F+iyooWCSOCm+dnV3CudO9nu&#10;E1owevbsLe4z3k+W5YouEFubfVs33E9xDTO10LACNS2sAE3LemEFZkrGxoMHErV+7dp18dfGnIkF&#10;A+QOHQ6TyZSLMHeXW7ZuF3MxTc2OZidDC4K1s+HOzsY6YdUa4oiVZrdkwf/m7/C1m1y2iNiwNwlR&#10;oHh67RGrB60f+/2DZLJ/E1yEaI6lOyY8IgpRDBpkAN97cOp0NM7Gn5cMBwqsT8nF5EtC8qXLaaS8&#10;FxcvXkJi0kUkJF7IRiThPElIFF644H4Fd/cdIg6YekhLQpARjfZ+73Vi485i9eo1smhbizqzTujC&#10;CAwI/NV7gp+TWScU2FzUmzVpKi6Kzh07Yu7cuVi8eDEWLVxkFv0FRszMEqHB8tQUFRQzxNo9S9Ci&#10;ERkStGilXL4GYyxo3aCYKpGWakm4G2fGC2MvKGjobli0cKERQEuxfNlyET2MZ+DxaQ2ZbMSI47oN&#10;RqB7itCy91y9Cf+AINlYMEZlr5kbuKmQ+CI7z/L7YnNpusNl81aZX5YtX/ViQZFgvXdBdrZMQ2Qw&#10;HV0YdGUYzC6XO1AG4E2eMk2C8myBm2MFNiuT1MQ0fzxrGjDdkAF+NKGzJgaFBq0ktCzJNTPXgNeN&#10;P0sUsf03LSblzL8zlZGlxh1at5Fj9TU7Yhbros9+8lTbYsXd8Ou74Fd3vjnPypH++7/kVQuBdT/Q&#10;esHzSIsFzyvjIvr1GyiigTETFIA1WVytfEWxXolAN4K7ldkI0A1mVWnldaE1ilYPuj1mmI0HLSJ0&#10;g4kVKl2lVmJdM342e9/hY5LphQZFxfPnP0r0Nt0fjGZnMCYj269evYZLly+bBYrZFvE4dSoax80u&#10;8sDBQ2YiCTS7fF947dojlgJOABQZm5xdscHJGRvpszY4GdHBHYizmRQY48Df4STB2AdaL7YzsG+n&#10;lxEOuwSaSz3NMWnx8PH1l0mLFpHXCQk9aHb5R3DE7Gi5s2XgZmTUyTdCoRAdc0a+BwNDuXhYC9S7&#10;wvMgKZRGbF27/mWWgZan00Yk+Xj7SIVDdi/NqcycMVMWUy7E3bt0lRgFe7/3OptdNkuWSq1qL2M0&#10;ypUqjZEjRuLQocPyrNg79+RK6lW53yhyN27YKAGkLPDExZyL/vhx48SqQbGxZPESLFywUPphMH6j&#10;vUMbsUJQHPXq3uODoGjp0qkTOrVvLwW56Cph7MbiRWantWCBuG34GXr37IkG9epJC/LePXthzZq1&#10;Rhz5yfNOcW7vuXozJ+Q1DKSmFc5m2Tzwi+f4t+AfEGw+336xUHqYTQfnDmse+XC8xMVDC5SzueYb&#10;nMyGyYgtumcJN0jLV64Sa8o8I1IYnzN7zjxMNcJt4sRJGGPECGN5aC1jGnXXzl3Qvl17OLRsJfcd&#10;3V4MtKV/n2Z3WkKYmcDKoM3Mv7ektcOIlg4dGOeR3uUyUqw2lruFCycXNy5on2Ihy2zwO6cXEpYL&#10;hBY4LroUFIyvYAl3STXtP1DcGgzCpAWJ7hBaJOhGo6Boas493V0UfbRa0eXFWAspAz/clk5qs1TM&#10;lJgasVKY988s5z7TCo2XIuO5iAxmf9BaweDM2Ni4NGvFEbEU0M3Ah9jNCAS6KRh4J1aLNL80RYS4&#10;OWgyTftJ6wb96AzY9N0fAH8jGMQFYCYcWkEYm0GBwEmJ8Rq0FtiIwanoGBEFjOWgMIg7e+4X0LLA&#10;OgrnjADgjpEigDv2N8Edp2URoFggl1OuvDdMd81qQoO7ah+zm55odsod2toqG+ZUOMnTEsHURVoV&#10;mjIS3M7v/QKzUNQ2ux7uTN9XaPCe4f3G+3XXrt3yGr4v01wZE9HBLESsREnRs37dOrg4G5G+YQNW&#10;Ll+OVStWSC8Nj50eUsHyQ9i5Y6cRSi5wXOuIDevXy5+l0dfqNWJhoVWG9UH4Weh3ZqDkOPN59uzZ&#10;K88mn0FakOw9V2+Gv59mdTLPKL+7vef4t0B3LecIzhWcM2TueDGPfBgnzWYq6sQpcf1SYAWHWuIo&#10;RAg0cPNDd5hknzHbyNfPbLq85Xzx+nqac76DfVC2bcfmza5wdFyHJUbYzZo1G5MmTcaoUaMx0Ai+&#10;HkZItDM7alpCrDRIxt4wWJgxHww4Ze0OipEmTZpJ1UgulIzzoIuFAYu0xnDXbG/xyc5wgafIoDWB&#10;cRBcaGltGjhoiFggKCIo2BhnxIBN1j5pWL+RrQJrmtuDrhD+Lq1IFHN0f9C1NnrMOAkEleBdIywk&#10;a8gIGbpBbLEWNlfIok9krXgXPqvQsMTESxfIU1shnwcPcOfOXUkn/UbiLa5LQajT5kENCzuGoKAQ&#10;ERcMvGIcBEXFug1O4v6gqZJ/pmtkgxEZtFbQ90oLBOMY+ODRzEpRQUFx9Fi4pIiyzgAnBJqgaVHg&#10;xGNZCLjj42Rsj/Q1LTID9haSzA5dXbRktDcigxH2TOfLqVBgWEJB+k6Y/7b3e/bg71uvfR+hQXjv&#10;8F4/cOCg1HdgOmmjhg1RqkRJMbdz4Zk5cxaWLlliBMBqrDOiwHHtWikS5unpCf/9+xEUGPhB+JmF&#10;kMdwNYse63VQzKxauVIsJ9yFMwiUhapoyahvJmTuwulKOXr0mAhzWsQy47OYStLNFR8DzkX8vpyb&#10;OE9xvnoXKHjSQ9cyrYgUatxU7fcPkHorW81zuGHDRiwz53fOnLkYb8T/4EGD0b1bdxG0DdN6pDD1&#10;mdekSsXK4oZhoCl326zlwd02C0ExxZI7bSumg4uhWDnSYgI+ldn+Y8DPyc9rWSloMUhfXZPfjQGz&#10;DJyl24I1StgXRGqRGHEgmSH9Boh4oJBo1YrBvk1EwNFyZAvUbSApp53SYitorWCpd5ubarpYKvje&#10;L8+d7fzZw953+Jx8dqFBt4gVY/Htt7dsMRZmx8FFnwKAgXRBIaGizikWWKthq5u7xEcw0JImRImT&#10;2OEhVg2aKUVMBASJ0g81qv+ImZCYQUL3BXcDJ06elsBQPoDceViWBz683F2ntyzwweakYW9yVj4O&#10;ltBo69BG/PfpF0vlw3kfoUG4gHHXvHfvPlnIBw0ZgnoNGqBx06Zo36kjevQyO6yehnRuD5rfhw4e&#10;LI27xpid8IcwavgIDDHH6N+3rxyvVw/be/Qw79WlR3c0b9kKVatVk50frRurVq4SCxifX2sTkFOe&#10;UREw5vvSesl5Kn2szftACyrhnCduZ3PdrSw7FpcLCAySKrUeHp5wc9uGTZucsZqpukaE0r03Ydx4&#10;c92HoG/vPujSqTNam2tEd0u1ylUlpZYBpo0aNUarFq0lMLF3r77iXmGJa4oOK8uBi6W9hSmzwYXd&#10;FrC5QNxCdFFMmDRVgjbpAqEVh1aHXuZ8dOL5MEKCMMaC5ds7depiC97s1kNiL/iTMCWV9U569uyD&#10;fn0HGHE2XCwfUrfCLM4UGHS5MD7HslTY+3yZnU8qNCgsXloxXrpFGHvxzTc3pXgOBQYj9BlEyWhw&#10;5v/T78hAzBWr1mL5yjUv2LjJRQQGrRsM7mIe/HHzsFBEUDzwQaJg4EPJSTQ9nKDSk37XYE1c6bH3&#10;0CsfBwqNbWYy69i+A4oVLiJiQ/ntsLLkWLOQv6vQ4H3PxYsLOM3wS5YvR6cePdCsTWs0aN4UNerV&#10;QbnKFVGsRHEUKVpUKFqsGIoZihcv/sEUI+YYRYsazM8ihhJGJFWsWR01GpkdtKFmnTroZj7LmrWO&#10;siDy+eZGICc+o9b3fX3O+lA4/1nzIudKnlfC+ZhFBSlM0gsSBq17e/vA1XULlrP42PTpGNC/v1g7&#10;mE1UtKCtfwqDSkuXKIXKFSujUYNGRnB0ljLVY8ZOMIv1HFm0X92hf8hu/NWdvHWs92KRLaXTLubz&#10;8TNSGDHOgq4KCgAWPxsydAT69R8ksRIUEuwJ09CIYfaJYVAte8ZIMTVmVjVrkdaUrqe4Qmjt4TEo&#10;ViTFdM78V1KGifUZrM/5Yecnc5DhQiO9e4SWC4oK1q9gFT2KgHPnE424iJXALMZH0LfouWs3XLdu&#10;h5MzYy1YaMhFClHx75iWxoAoBnkyYjw49KCkEDK463S0LZiSfldOmHxwctIElFXhteLCxmBD7lhZ&#10;0En57YwbMxZOG51kcXiX54C/w4WGC0t4VBSct27B8Anj0WZgX1Tv3gFF27dA7nbN8L9tmuJ/2jTB&#10;7x0a4w8tG+KPzevjz03rfjB/Is3q448tGuB/WzUyx22CP7Rvjjzd2qBYzw6o3KU96rd1wODhw83m&#10;Y5uIDM4dXCDtfQ/l45P+3qDLhvMt3WwUHNu3u2P1mjVSgI33Ha1RDBBm+nOLZs2lWBirTzao10Bi&#10;Epiay508LQBM4RwvVo5Z7x08ysWXu3wu0hQuFAFMDbVamXMh/wVjxkmMgwX/jhYJVr8cPmK0pBaz&#10;/bkFi9j17zcQfXqzuqZBgjX7iriw+r5QPLBCakcjNvjdmB7M78zvymwdihDGWjA+wwrcZFEsWkUo&#10;Xvi9KSiyqoh4Fz660LCsFumtF5blgjUu2DApKSkJkZEnERAUIpYLlmhmECfdIbRgMCuEP1lxksKC&#10;WR4s3cw0VdZqoAvEFox5ViYdCgsrfc/y2VpWCnsPjZK54LWKN5NXWNhRKScdwP4gym8mJCTUPGdR&#10;8my8q9DgM8PnJyY2Dp779mH2F0vQdfoEVBw7EH8e1Rv/NX0o/nnROPzT4vH4F/Pz3+aNwn/MGIbf&#10;TRmE/578YfxuymD85/Rh+Pc5I/F/54/BP/PYSybgPxeMxV9njkSZsYPQrH9vjJsyGZ67d8tzznvm&#10;Xb6T8nFIf29wjuU9xbmX8R6nTp/GsePhCDabBbrdGOexdq2jBPKOHz8effr0EcFRsXwFaQDHjp+M&#10;6+DunzUhuHjTXcDaDnQRpN+9W3Cxev3vKEoYG8EqlrSSWM3CuKhzcWesiD2kHomBjeP4322NOGjT&#10;pj1at24rNUmamc9KkSCBmg0aolb1mpLmK3EUzMBp1ER+p7VDG3OMziI2+B2YOcL3H8KCWAzaZN2K&#10;cRNtLhAjgOgykqqr5jO/DNy0WXSs75hd+ahC41XrxVOpysnujGwo9OWNr8QUF2MEwpEjR7HP20/E&#10;BQUFSyCzZoVU6dtgq0/BFFPGXPj47RefIVPvuDOjmuYOWCcZRck44hMS4BMchC82rkPPJXNQbuZo&#10;/G7mMPyz40z8nx3L8f94rcTfeSzH/7ttCf7JZQH+ZcMc/OuG2R/Ev2ycg392mY9/2roI/7D9C/w/&#10;nivxf3Yux/+3eQH+e/UMlJwzDi1HDcWUObOx19cXl69csfuZlc8HRQgtHhQgdF3TXccsF8Z2zJ8/&#10;H4MHDpQaLwwkrVapsmRUsQ4Lsy2YadGtew8phc2aIKwRQiuFpGimcxvwpy1OYr5Ug504eapYJVhG&#10;nYGTTA+lyKBlgRkdLVu1ltRQBl6yfbntz63N+7WyFTZr0lTiSBjEWq9eA9SpXQ81a9RCVfO5qrKx&#10;nREXrJJLdy7rvxQpVFjcIZUqVpJaJHw9YzBo0aDIsOqLMBiUTcVsQa/vV6o7u/LRhcazZzbrBTNG&#10;UlJSxd9LCwQrRzLbwxbQ6QHXLdukhoXzZrpEtolVY7dRw37md1iDgkFJjLdg4CZVMwUG09C4m6Gq&#10;tnezK4rycfhVoWFEwP9v1yoRBH9n/vz325fiH90W/yb+wRzj73csw/8x4kWFRtaDGz9amSg2GHPF&#10;eZ/ulUOHD8PPbBZp5VixYqUEko4aOVICfluZBZ/xCyyZzZ+0FDCOgcWq6NKgO4W7fitOgS4GWgUo&#10;Rvg7nTt1lSqptIrQMsHgSro1CAVHrz59xdJAAdK3X3/zsx/Y3p6Fx9jlltYLERoNGqG+iI36Uj21&#10;FrNAjOCowSJZRlSweFmRAoVsZfQLFkKZUqXl3yg0KGjoNunTx1bam64Zpp1KLYu0z25v4c1pfLDQ&#10;SG+9sPUXeYpHj1kC/B5ufntLrBdRUSclSJPxFBQTjLVgzwXCYlmsb2EFczL/m7nhVMMUFVYgJ4OS&#10;ePOmd4eoNeNVLLPmu8LzaMHz+rHgdbICyZSsTXRsLHbv98Mix9XovnAmyk4f+arQ2L1axMb/z4us&#10;FAvHb4HHkGOlHfOl0JiOkrPHovmIwZg0ayZ27duHC8m2zcbrWPe0vXs+o+Czp/ORbQ6ysOYV3kcX&#10;zbVKSEwUSzZrHzGN1tXVVVKXBw8aZBb7llIKndUuaeWoU7uuCABmYljuFHaTpauBf2blSwZT0pLQ&#10;0AgEwl4ejIVgVgctGwy0ZC8QiccwooRWBpbe5k+6VxgbwuOz1X0L8/7NWbq9eQsJ2GzarPkLS4dU&#10;UTUCiMGd5UqXlcBWBnmWL1tOhFFz81qKHAoXZo1IOuqwkWJlYdM5xoxYZb4pkmyuEltDspzgLknP&#10;BwsNigwKDDYuY4My9hZhhDKDMZlCysBOVuakC2TzFjdb9U0DM0ncd3qIZUOsFwcOSmU+1rGgCmZ0&#10;swZ6vTvWg81FnueNbqW3QasQhRzPNStC2goMsfDYbyPmDJvRRUuRMyVrE3roEFzct2Pa0kXoMHsy&#10;Sk0d/kuhkVEYsZFeaBSfORpNhvbH6CmTsXXHDpw2i5a9+48WT97X9u75j41sgswzZwkbe8+mYoPn&#10;h6KD8w43kswO3L17jxRomzF9hqTJMkW2RbNmUieF5bYZTEnrBiuPSofZUWNlIe9sFnUu7rQktGGM&#10;hBELbFLHTrQsaEVhMX6CrZssC4bZuo/OlqJWtj4i0yRYVPqImPfl6ywk0JOIRaS3iBGKCL6HgxW/&#10;0aS5/KRFhJ+la1emqdp6jTBAtIcRHHwd/5ut9NlnhP1KGGjKImb8XAwApQsouweApuc3CQ2KjG9v&#10;3ZKbiOIiMDAEXrv2pou92CixF7ReUHDsMjcX87OZHsWS21zg2AvCmhx4HCpha6dg76ZVXoXnyfKN&#10;WhUOaRF6E5yQKejojuJDz0WFliS2u/8tWA3qWKmVfWUoMpWsy7YdO7F49WoMmz4FzSaPQrFJQz6L&#10;0PjdqukoMmMU6g/shcFjRsPRyclW2v+1+4+ZZ5xTLDdrRsJnTOru0Opq5izdFP06nKM4p/M8UaAx&#10;eN9yrYQeOAC21F/+xTJxqbDsvdWRlpVH2TzPVsSqC1o0byFN4OjeYDAnhcLoseMwOa0gmGRwpFkP&#10;uJDbUkVfpovK381nkS2r9f0cmwgxr00PxQnjRChUGG/B40+cNFWyY8YaIcMgT3Y/tWpnUKCwNgbd&#10;N4wHoZWlRrUa4n7hZ2VhLjbAo/hgnQymtNLSwc9Dy4a9hTm78c5Cw3KRPH7M7JF70m+EooAP3rHw&#10;SOl6ysJZjLtgcCcDO1n+m0W1GNTJgltUsry5eJNxYeSNx5vQHvZu2MwOP7c8UGkPFc+P5U6wrA1J&#10;F14tlsOHjlaF+HOEIsFGnDmvliigpYCV/JgG/DpM6WUcC9ODpSNt2FERcm+C1VBZp4SigOWL2RPG&#10;Jgzsd4R9V/bs9TFCcq8UVON9YMGqrErWY4PzZsxasgQDJo5D4/HDUXTi4M8kNKah0NQRqNWnG3oN&#10;GYyFZkFih+PX7z/ewyy9zfva3n3/cTmKsGPhEkMWaTZYJ09H2302fwt83ima+PzbLDYUOS/nhw9F&#10;RFJaHyXOPZyDrPnot2HL+ONcxznv17DmQ1o4+FmYscLAURZiGz5suHTxpTulWpWqhmripqhfv4EE&#10;Z7JSbYVyFSSYk3EYXOxpwaAgoEig2KCrgg3pbBkdL90UvwUegxYIBniysR0FCiue0oLC6p20tljZ&#10;LqyOym64tpb8DUVoUCxRHNFawhRX9iXhZ1Wh8dpgG/YHDx5K9U7eWGJePXBIHnDGWVBQMAaDTctY&#10;FpwNgFjnItQ8+EfNjcTFkA8Nbyy+njdcVhUUb4Iig9/Leogs14RlZeDEwZK/7MxKKLrYT4WTFydI&#10;nk8GwhKWSA8IDJHOr9YizjTfX+C1Gzul0ZKtRbWbWSR+HZsAoIWJlideN7q1WLPkt8Jrz7gbF3P9&#10;GezLCq72FjEl85NZhMZ/rZyG/JOGoGr3jujQuxcmzZgpGxh79x9dtLyv7d/3Hxc+a5z3WNPHwzyD&#10;dp/N3wCfd3aVZdYd49w4H1hzw2+Bcww3G7QAHTcbRFu1ZNt89Fugy5TzuyVg3oY1L8aZ19ASdfjI&#10;EalEunGjE+bOmSuCo0P7DlIErHrVatJJlh1+C0vX3yKSKsseK6xZ0aVLVwn2lKqao8eaRW2yWCMs&#10;FwWFgr3F771IJzgoYBhvQasIBQffixkwrHrK+AzW4qClgwGrjCehAOnarae4WmyN6Gz9YNj9lsey&#10;+37ZjDcKjfQ1MJ4+e4Z79+7hm2++QVLSRRw5ckxcJGyDvGbteqnaydbpDPJkUS2WAedumXEXCWax&#10;5U6eCzAXYsstkhVEhvU5iWX6sywVlrXCptBtKv3CxUs4n3gB8eYhslwTPAcUFFZ5XxYYCwwOFVhH&#10;hOXSOal4sLPjTptgsLWr3imdZNmvhdahVWmVUVesWvMK6Sul2v5u7Stt7X8N+d33+P23wc/JCZ/3&#10;ABcrdplk51wl6+FsFu25y5Zh0OQJaDJhxGcVGnnNe1fq0g4O3bpi9MRJWLZytd37733u/d8Gn0Mb&#10;rz57Hw+6nB3XO8nmjaKdzxM7UFvzw4fCOYZzNwPwre7T1nz0WwgxAoZ9oygaKDrendPyGooVbroY&#10;s0cL1erVazBq5Ci0bdNWmukVZcXg/AXSVb4tYARHYVQoVx5169aToE5moDBOgos8g0EpOOhSsWpW&#10;2FwpLytuWtYKewvj27Bea4kPC+vYfC++L99/3ITJIoIYMMp4ji5duqNP3wFSXyNHC40LFy6Iq4QN&#10;zm7duoUraS4SLpbMDmHnU+5cuYOl2OAOmSpcKnUa5U21THMiF1wGTFlxF/YW88wMP3OKERb8DkkX&#10;k0Wt04RJ06ZlmeCOgN+X7oggWiGMeGCfFXaEpTVirzfdCt4ivljxlGm83A1ZsOMsA2SlPb2b2Y2l&#10;uRv4k3/H9F+xFLhsEUsRJx278PXmWFbPFwqXt2J2YvxctErxs/5W6D5jUTVOFrTQ8Jxw96RkPXz9&#10;A7HOdTMmLJiLNtMnoOSUYZ9HaKS5Tmr36Y7eQ4dg8fIVZpH0fnnf+fjJzp8LJ10qvKft3usfEVox&#10;tplF32YV3G7/efwN8DmndYbWRv6Z88DHcEPaLJkGM89sMfDP8m/p5qMPhefEssKwI/aHwHmS14/n&#10;daURW1OnTsdAIxrYKr1B/QaoW6cuatdk6qnNrVKlUhVxrbCQVu1adSQegtVHmYXCWhms0slgTloQ&#10;WEiLAaVWoCiDQyk+PlRovA0elyKC8SJ8L4oKqUAq1UdHicuFIoSixN7rsxt2hUZiYqKUC2dr9gsX&#10;L+KYUaqMseCNSqsFrRhU3BQbvLnYvIxmOMYSMNaArhG6Dy6nCYzMbMG4SiyrRZrlwoIC6aL5Hgz6&#10;ij0bjxNGXNANRPVOcyYnOro1uEvgpMCOsbb0XSesM7sR7kgYEGvFrKxxtJ039m6xcDT/Ll1mjZjg&#10;hMIHnzsXPry0avDPPD7PM60fXMxfh/VJ+Hl4HbhI8DOywNnboHCkILQ1lrPiRD4cm+83zTyaZGvD&#10;/cv23EpW4IS5Lzx9vDF/zUp0XTADZeylt2YUrwWDFp81Bk2HDcTYqVOwbacHzsTZ5hnCDZAVx8Sd&#10;Me/p1+/zj82LjYV53vjc2VqyfzxoaaD45+aNMU+0RHAe+K1wbuEcw27XnJc4J6Wfiz6YtDmNx+Nx&#10;Hdd/GDJPplnIly5baRbqxRKUyTRXFsRifANLl7OFetu27SQ4lKXNKTSYHsuqoyWLFk8LJi0l7hb2&#10;WaE4YfoqX8eaGuxRMmbcRDk2F/r0FgnLSsEeKvYWzHfFOg6PablaaOFgfAeLkUlBL/P3tveyf4zs&#10;xC+ERsGCBXHixAnponreLBxhR4/JrpcqmL5R3gwsEb7ZKO/de7zNzvWQ2dmfMg+9rcmRFeBpb1HP&#10;LLwQFkZMUAxZMRWW75DBV3R9nDodg4ioE2bhjpCCYwFBwaK8OQHQcmDtEhiTwHPCc2N70JywnrVC&#10;GLPi4voCl81bZKfCh12sGAYKCu6SKCQ4uXCi8dsfKKQXEJzYaJqkoHsdBoLSssI4GAaR8Vq8C/yu&#10;/N48D/bOk5JzeWvBLnsC4WORTmi8rWAX713OOXRhcoNj+f4zEoobtkCgsGFtCJu4+XjQhcBMGlZE&#10;poXQJmZsc8JvgXOLJWA4fzFei5YNay56b2jN2botzfrCEgZbXpnv3he2nKAI4jrDTRvn0VVrHGUx&#10;ZjVQ1tOYNn0mJjNFlTUxho9Af7Ze79IN7dq0RfOmzdCARbdq1ba1smeFz8o2qwetIbR0MCiTFhLG&#10;SvTvP0isDEx3ZY8UW0XSeUYU2HquUCTYWzSV9+cXQiNv3rzSgvng4SNyU3Ih5CIqQZ5GXND0TxcJ&#10;F14uwuw3kpD4svYFH/ysIDTST04UFlabZAZmcmHnd6TAokmQDyRNpLTg8GGwio7x4bACHml94LnZ&#10;aUQDH2SaAf38ba4EwmPSncDdECcSa1JhK3y6YCzfJrNIOInZsEWfc7fGz2izGiT+Arp0LEsChQOv&#10;xbuSVd1aSsaSVYSGtWGwnmd79/jHxpY9dlHmPT53fP7sPZcfyquWGisTJf288GFwbuEcw7ixcLMx&#10;4QaFmTPpRc77wHmMmx9uRg8dOSouU2u++xD8A4OlthLdYXSP0RXGQHeuQTZhs002a6zH5GTWpPXr&#10;N2Lt2nVYsWIVlixeirksTT5tBsaPNyJk2HD06dUb7dq2k6yPenXqSawHXS7MXqlerYb8XdMmzcTF&#10;wpoXrMPBWhcM7qTVIae4NT4FvxAaf8uVy4gKF7mwNIVZAVAM8uMCyhiNiKiTkkdOtwJjGCwLgUX6&#10;Cetzk34i4qJqpVbRPMwHmg/fsfAIicbmTU5xwRubsRF0gTDI1RagZQs0o8Km+4OWC8ZNMOCRjeFo&#10;PqXFg0GwoQcZGHVc4jhoGbHS1DghWVYffqZ359XzmxHYO3dKziUrCY3sjP35IHNgiTvOaRRetPZY&#10;892HQDFE9zQ3XyziyM0uN2f24HydHm7k/Pb7SyFIxr2tN3P3wkWLMXbsOPTp3RcOrR1Qv05dVK1U&#10;GRXKlEWZkqVQtlQZafDG2hxsoMY6GHStDBsxyiyMkyWjhDU3mCpruVhyiqvjY/MLofGnP/8ZS5et&#10;ELM/zf80izFAh4sw88epiJmPLSIjk+6GrQfUehCsfG1aX2g5oBLnzUqTpOUKsXWQ3S7BrYTf29Ww&#10;1QguWjQYiU+FLdHafv4S8MkMEp4THo+ZJRQWp6JjJNskfSqvBQUOPxM/n73PrSiZhawiNJTPx+vz&#10;rGXp+VAY18UNLGsInTHz5/tYcujmpmWYlhbGqdFCsm+fN7Ztd8dGIzpo9VgwfwGmTp6C4UOHibWj&#10;c6fOaN26tVQhrUN3ixEcLDvO2A+6VxgPwmBU9l1hOXG1cnw4vxAaf/jDH8UXxt08Axz3+fiKuuSF&#10;pFmPAoM3lezK01S3vZvwU8LPYN30ryttBiTypo00NyFbzDOdi6qXkc2sWJo+WNMW3LRe3CPbjLiw&#10;AjCplikoGAdBIUE3BkUEXRU8PoUMHzKeG8u8yvemEEuPigwlq6BCQ3kX0s+9nN9en/M+BGvufh8s&#10;lxbnYs7JdGlZFpZouoykqGGkmctDsHOnBxwdHTF37lyMHj0aHTt0lLLnrEZKypUugyqVGERaS4JI&#10;WdGTPVJYoIsBnRQb6S0cFvYWWMXGL4TGH//4J3MCl76IxaD/jQsrFSdvAHs32+eENzlvcN5svMm4&#10;+PPz0iVCKwNFErNEaJGh348+P/r6WMH0ZdCm1UV2u8Ra0H3Cipm0eli54bSG0PXBm5kPgwoGJTuj&#10;QkPJblAMcQ6PjIxCUFAwPDw8sGHDRnViytsAAP/0SURBVOko279ffwkobdGsORrWqy8WjhrVqksQ&#10;KauQduzQCb169sHgwcMwesx4KUk+Y+Ycca1YgaMqNt7ML4TGX/7yV2wyO3oGLXKxpiq0Flcu6PYu&#10;4OeECz4FEAUGA6cYBc5MGKbjWjnZjIi2VQ/cLN+NooKuEVb4Y2dZVt8LDgnF4bBjYrVgyiePld5y&#10;wXNAMcPzwBtWhYaSnVGhoWQ3OG9zDud8HhsbhxMnbH2eAsym0tPTC05Om7Bo0WJMGD8BvXv1Rovm&#10;zaX8uWSvVKoiabQN6jUEG6yx2Rv7nbAmB1NVaeFYxCwVFRt2+YXQyJU7t7gMqPxeuEjSFtbPubha&#10;78/PwsWepjLLghEbFy+uEWaMMCWU4oGxFVZVTcJ6FYw7ocBgahetFrRy0GrByGv6+Whus8QEv7cF&#10;3zP9Ofic50FRPgUqNJTsRvo1hPM653mucRcu2NKiKTz27/eH62ZXzJ+/AEOHDhW3SuMGDVGtchVU&#10;qVgJlSpUkrocLAjGtvQDBw7BmLETMIVdWWfNxdx5L1Nj1cLxkl8IDaa3ssMqF1xeEHsX7FOT/uag&#10;wOBNQWsLBQLrSzCok2Vr6RaRuhabbVVLmX7KynpMP/X02iPxJsyaYawGM00oTthymlYb+vV402WW&#10;76wonxMVGkpOwRIdXANY5uDQocMSSOrqugXLly3H1ClTMXjQIHTu2AlNGzeVtFj2Walbuw6aNW2G&#10;dm07SHlxafAm2SpzVGy8xi+ERv78+XEkLOzFDt7ehfnU8HNYNwMtGIyZoCWCGSBiuXBylup0y1as&#10;Tus7sFb+jmmqTD1lLX5Wy2QgJ0UKRRRFBbGsF9b3zSzfWVE+Jyo0lJxC+o0s1wTLWi7C49Rpca1s&#10;MaJjzuw56NO7j3SXrVC2nPReKV6kKMqVLmtER120b98RAwcNlXbytGy8cKfYWXhzGr8QGgUKFMDR&#10;o8fsXpBPBS86BUBymj/tTFy8pI5KvYu0+AumpDL+gnEXG5xc5CezZPh3LLK1z9sPQSGhUmGPlgtb&#10;YbEkuZHsvaeiKC9RoaEoX+KiERy0chw4cBDu7juwYvkKTJk8BQPSgkebNWmK+nXrSUv4xo2aoFUr&#10;B3GpDB48VDq5sn0902JZgpwWDnuLcE4gUwkNy6LAImDiIklIlCp2bDXPehdsZEQxwSwRVua0tYve&#10;LMXFdu3eB//AIBw4dETSmJiOa6tlkWiU6UUJ5lTXiKK8Gyo0FOVL2fAyhoOVWrnZDQs7Cj+//di2&#10;bTtWr1qNSRMnoVfPXlJ7g1kqlRnDUaOWlDvv1KmLZKmwoRrjN8TCsSRnpsJ+dqFhiQsKAAoBCoLz&#10;tGLExkmFOOkW67VHBAYrctI1wgqdbFDGTBK6R9gxkK4UVpVjsRcrS0ZFhaJ8GCo0FMU+tHKcOROL&#10;w4ePYMuWrZg9Z66kxzZp1FgCRitXqCh1OBo1bIQOHTtjwIDBL7q1sg4HW8jTupGTYjg+q9BI7xuj&#10;BePsufNiwTh4OExqeFjpqRQUzCBhzQuW/ba5Rnyl+hsLaUVGnZR0VMZfWPU+eEwe3977Kory66jQ&#10;UBT7cH1h/AY3w0eOhGHv3n3YuNEJs2bOwpBBg9GxfQfUr1dPgkUZu9GoYWOJ32B5czZxY5VRto/P&#10;0d1bP4XQSC8wGJhJCwQzP9jkh+KBAoPuEVowaL1gtU66SVhoiy4S1rZnuVm6RugWsYI7eTxLYFjY&#10;e39FUX6dV4XGbJSbMQq/mzEU/7x2Bv7PjmX2BcLHwhIazvPx3yunoeTssWg5cogKDSVTYK1dlgWe&#10;G9yIiEj4+vpJAbCJEyeigxEb7CRL60b5MuVetKrv3r0HRowcg8lpsRs5xbrxWYQGL9LF5MtSq4P1&#10;7CkwGOTJrn2sSEo3CWMwHNdvlBRV9hqhwGCNDFowGJzD19IKwmPZew9FUT6cV4TGwlkoN2UYfjdl&#10;IP559bRPIjT+zn0Z/nn9bPx+8QSUnjoSrYYPwlQVGkomhGsQLRwnT56SEudbtmyRviqjRo5Cl06d&#10;JWCUPVTq1rV1i2UflZ69+mDYsBESvzFj1lzMY7BoWgyHvYU6q/NZhAbjJ6RAirkwbEzGZmUspMWU&#10;VCmutd5JSoTTbULx8bIlfZwIDKYeWRYMjcNQlI9PeqHRa/4MlB8/GP89ri/+ecUU/B/3L+wLhI8F&#10;hcb2pfiXVVPxh1kjUGbcILQaOkCFhpIp4RokQaNmXWLQKNe1I2FHpdro8uUrMG7sOCn8VatGTVSu&#10;WAkVy1eQKqNtHdqhX7+BGDNuImbNnocF2diVkuFCg+4LCgJeCLo4GENBlwe77AUEhUghLcZg0D2y&#10;xrDOiAwW2aL7hBYM9hqhwODreAx1hyhKxnMuMRH+oSFY7eKE/vNmovKwPvhD/0749+lD8f+unoZ/&#10;cJqLf3Cej793XYS/37oYf7dtiREHX+DvdizD3+1c/nb4e8SIFoqKv3dbgr/fYo7lMh//sHEO/r+V&#10;U/AfM4biLyN7o+LQ3mg3dCBmzp8Pn/37jdBItfuZFSWzwHWK1abZM4vxGxMnTJTYjQZ160kNDran&#10;r1unHhwc2qBXrz4YlVbOfHZah1jLnWJv0c4IKHD4vvMXLk5jyYs6IB9D/HwSoUHrA9UeBQaFg39g&#10;sLhCmJa6yWWLWDIoNtx3eIgFIzjkgLRet7WkP2dERvKLSqUqNBQl42HLblbQ3brTHaPnzkLNnp3w&#10;5xb18L/dWuN3g7viP8f2FdHxf+ePwf9dOgH/unIq/sVxJv5p01z8kxEL/+Sy4NcxIuWfze/+y/rZ&#10;+Jc10/Gvyybj/y4aJ8f8r9G98bsBnfAH8155OjZHDfPevUcMw+JlyySFnRsOe59ZUTILXKdYt4lu&#10;/tADB+Hh4YlVq1ZLH5WunbugSaNG0h2WKbEN6rN/ioMRHH0xZux4yUz51HU3KCYYLzJj1hzJjpk1&#10;Z54tfiRNbNh7zfuQYUKDJ9oyKdF/ZRMZxyVbZIubuxTZohWDPUgoNtx3eiEgKFg6rsam6xbL11su&#10;EhUZivJp4PPHejTePj6YNm8O6rd3QK6q5fC3utXwl2Z18adOzfEHIwb+x4iC/540EL+bNQL/tXAs&#10;/n3ZJPy7ER3/vuot0GJhfvc/F43Hf80dhf+eNgT/M6Ef/tcc88/tmuIvjWvjr3WromC9GmjQsS2G&#10;jx0DR8d1Mmmr0FAyO1yruG5xDbMyVLj+bdvuLtkpvXv1QuOGjVCpfAVxpVSrUhXNmjRDn979ZFHm&#10;Yk+xYau9kfGBohQ1FDgTJ0/F2PET5SdLqUvDuDSXjoW917+NDBMaPMGcrNgBlcGetFKwHDhbsW80&#10;IoMNzthFlQ3O9vnsl6JcTG1l7AatHzqZKMrng9H0p2U3dgDzly5Bk/ZtkKdSWeSqXwN/dWiEP3dr&#10;hT/S6jC8B/7XiI3fj+uH308YgP+ZPBD/M2WQYfBbML9jBApfw9f+79i++MOY3vjjwM74c9dW+GvL&#10;+shVpyqK1qqCFp07YNqsmVIk6ZiZrDmB2/vMipIZ4SaZFnnGF7Lx586dHli+3Cy+48ajZ/ce0pq+&#10;erXqqFWjFpo3bQ4W+howYBDGjpuI6WmC41MIDQqL4SNGo1//gfL+gwYOkZb4/Ay/tXdLhgkNTlRU&#10;cceOh4sVg3EXa9dttFkx1juJ24S9SphtQhcJK3imD/JU64WifD74HJ6Nj0dEZCSWrV6Nlp3aI1/V&#10;CsjVuiH+1Lc9/jikK/4wogf+MLKniI0/DukmwuOPfdrhT73avhu9ze/27WDERZpgGddXRMsfhnU3&#10;/94GuZrUQYna1dGhZ3d8YSZmHx9fqc6YqkJDyUKkt27QncKaT6wwyvobtNIxO4XFvWjZYN8Uxm80&#10;M4KjV+++stAzKyWj3Si0nDBGpG+/AVLzo3UrByOAWqJH954YN24C5sxbILEbtK7Ye/3b+ChCgyfS&#10;OplMORXfVHQMDh0Og7fPfmx1cxcXCUUG62OwlLi37/60VNUYsXxYrhELe++jKMqnIb3Lc+v27Rg6&#10;dgzqd2iLin06o8iQHsg7qCv+0qd9mmAwpP35zz0c3o3urYW/dDM/uzngTz15jHb4a/9OyDO4O4oM&#10;7IZK3dqjeddOGDd5kpkz3GVyZswW5wp7n1lRMivp1zauk9xU02IYFBQMx7WOGDpkKBxatUbtGjVR&#10;sWw5KfbVsmVrWeiHjxj1omeKVeTrY1s4KDRYSGzwkGHo3Lmb9Gxp1KAR2ji0FXfOqNFj5TNYzeLe&#10;V/h8FKHBB58nj+ah2Lh4sWIwaMvDc5fUwWA8ButibN6yTXqWsPInq3kyFiMh0daeXcWFomQerOeZ&#10;EyLTy51dXTFt/jz0nDQW9Yf0QdlODsjfqDb+Urc6/tyqAf7cuaUIjT8O6izWjrcyuAv+1K+DERlG&#10;bLRrgr80rYu/1qmGgs3qo0znNqg/sDf6TBiLWYsWYoubm5ic6YalpVTnCiUrw/uXQj7JCHlmprD2&#10;xtatblJ7Y9DAQWjRvLkU+2KgKBu2tW3bDn379sfYcRMkKyUj6m1QODAeg1YNuk969OgtYqNZsxZo&#10;bmAq7qBBQzF1+qwXsSP2jvMmPlhoWOqM2CYlm1nIFkDmB9et28SKsXTZSqmN4bx5K/bs80V45AmJ&#10;aFdxoShZA6sYke/+/Vi0cjl6DxuMxq1aoGzZsihYsjjy162BvB2a42/9O+HPY/rgT5MG4E+TB/46&#10;5nf+MrwH/ta7HfK2boQC1SqhcJEiqFipIhq1bI7eQwZj2apV8PXbjxMnTqrAULIl3KRLA9HzCSI4&#10;Vpl7fsjgwWjetBnKliyFksVLoFrVamjWvIXETtCqwOJeDNC0YiY+tuig5WTEyNHo3LmrdKStXLEy&#10;qlSqgo4dO2OMETtSYGwB3SjvHiD6m4QGBQYFw/kEWxrPoSNHxWIhaavOrmLNoMBgS/eAwGBp804r&#10;xkVzYqnodOJQlMyPTITnzkvRvD2+vljv4owFSxZLqeVho0ZhwKTx6DVzCjrNmYLW86ag2fypaDJv&#10;MhrPm2QX/lvz+VPgMNe8ZsYk9JwyHgPGjTGT2yizo5pqjr0EG5xd4O3nh4jIKMTHnxPris4XSnaD&#10;9zTXUFoOWeiLwtrJaROmT5uO3mldYZkGy2BR/rl7954YNnykERzTM6xfCoWMZdno2bM3HBzaSkVT&#10;h9Zt0LlTVwwaPFRKqFNsvOv7v7fQ4IkhlhLjbociIyjkADw8d8PF1U0sGOs3bpLS4ft8fHE47Chi&#10;zsSZ37X1JaFAUT+romQNrA0FJ8O4+HhEnTolz3RAYBD27vOG+65dcN7hjhWuzpi7fi2mrlmBiauX&#10;YdyqL37BeMOkVcswzfzO/A1rscLZCU5ubnD39IK3mSuCQ0IRduz4i07MGiCuZGestZT3N612jEGK&#10;OnECu3fvlqqiw4cNlzTYsqVKS0fYenXroUP7jiI2pk6fKe6Oj23ZoFuE7hFWKx0/YZIRFsPQtSuz&#10;Y1qiXp36aNu2vcSNSPqrETvv8v4fJDR4UigY2AiNsRbBoUZkeO2WehhsfkZYPtzHdz/CzLGYfUJR&#10;Yu94iqJkLTgH8PlnEPfZs/GSCcLnPCA4GF779mK7lwe2eOyEy84ddtlq/s3dyxO7vb3hH8j+RWGy&#10;m+N8QmGhqe1KTob3P92FbNK2auUqDOw/AE0aNJQS5lUrV5ECX3RrDB46HBMmTH6lOZu9Rf63wNoa&#10;kyZPw5ChI9CuXQcjdBpIzIbNsjIKk6bYLCtvCxB9b6FB9cVJhjnBVjyGm7Ry3/wi4JO9S4LMzoT1&#10;M3TyUJTshbXZoKWBuzDGZtG9ERMbK9aOCLMjOx4VhaNvgP/G36FAiT5zRoI8eQxuRnhMtXYqORne&#10;/5K5eToaAQGBcNrohOlTp6F7t+7iRqlWpZqUL2/VsjX69OlvFvHJYl2g2LC3yP8WeEwKmUlTpkkw&#10;KAVO61Zt0ERcKW1/ESD6JqvGOwsNy7zDiYAig5OEf0DwC1eJNEJzdoXnrr0SpX7SnCT+Hl/D16rZ&#10;U1GyD3yeCZ9ta25IIWZDwV4kbHz266TK7xJrjrDmCZ0rlJyM9VxxQ09XCtdjTw9PzJwxE+3atkOd&#10;WnUkOLNG9Rpo3boNBgwchDFjGaQ5Rxb7X1vw3xceh5YKprVOnDwNQ4eNAAuK1atbX8ROly7dpe39&#10;21Jf31locDLgF2d0LPuQsOHZdncPsWKwEJctHoOpq0ekhsZ57lDM779+HEVRFEVRfh2KDVoMafHj&#10;mrx9uzvmzp2HAQMGonmz5qhVs5bEbDRt2gxdu5oFf9RYsWxwwf/YbhQKCMZsTJw0VawY7dp2QPPm&#10;LcW60aljF/k7ig3LjfL6639VaFi7C0KRIWlup6Lh47dfyoevXbcBq1Y7YpPzZvjtD0DUCZuflSZQ&#10;7m54ol4/eYqiKIqivB2uobT62dbe01Lga82atRjQfwAa1m+AShUqomTR4qhXpx569OhlK1tuxEb6&#10;wl4fw7rBY1BA0EXCjJShQ0dIgGiTRk1Ru2YdtGnTDiMtoWN+5/X3/lWhwS8pJlHzRSkgIiJPIDAo&#10;RCp70opBdwljMtjD5OjxcCkjTpGhAkNRFEVRPg5chxnryMQKBol+8cUyDB0yBK1btkLFcuVRq3pN&#10;tGjRCt269cDQYSMlSJOxFR/TjUJoKbHFbEx/ESDasEEjtDTvzQBRulb4bxQ66d0obxUaVnR5eGSU&#10;lA1nUzSmrjIug/Uy6EI5HhGZVrVP62MoiqIoyseEayrXVooNBomGhIZis+sWTJo4ScQGK4jWqFoN&#10;tWvUQtu2HTBg4BCMnzBZXBkfU2jwWBQRVjaKLUC0G1q1dECjho2lZPngwcMwc/a8VyqI2hUa7Clg&#10;iQxaKRhzwRbuFBnsV0JrBgty7fX2kYI6VsQ4VZeKDEVRFEX5uHBt5bps1bQ5Hh4BZ2cXjB41Gu3b&#10;tkP1qlVRvkxZIzrqi6WBYsNKP/2Yhb14HMLjWqmvHTp0Qu2atVG/XgOxqrCCKLNRWPyLv8vMmFeE&#10;Rn4jNJjXTpFBd8nx8Ej47veXdu6sj2EFfkqNjGPHpagOf1ctGYqiKIqScVhig+stM1JY4I6WjenT&#10;Z6Brly7SI6VOrdqoW7uuZKSwbDnjNmbMnPPRA0QpXuhGmTBpKvr3HySBoew6y0qiTINlnQ1530VL&#10;MW7CpNeERv4COHjosLhLGPjp6+ePDU7OYslYtWYdNm5yMcIjAFEnT0kGCkUGv7iKDEVRFEXJOLjO&#10;WtCyQW8C2857eHpixoyZ6NK5ixEatVCmZCmpt2HV2pgwccpHtWoQHovihZYNCom+/QZKi/kmjZug&#10;thE73bv1wKRJU6QWxy+ERr58+eAfECh9DQKCQsSSsdoIDKsY1x4Gfh5j4GfCC3eJvROiKIqiKErG&#10;YFk2uA6HHT2Kbdu2Y+6cuejbuw+aNGosreYZu0Gx0a/fAEw0iz4bolFw2BMOHwqPN33mbHGX9DXv&#10;w54odevURXu6bwYMxvjxkzB85Gj8/n//96XQyJMnr1T29PHzl2BPCoyVqx1tgZ8BQRIUysBPS2Tw&#10;y9o7CYqiKIqiZAyWZYNrMItjRkadgI+vH5YtW4ZhQ4ehTWsHKVnO4l6WZYOFvdgfxYqz+BgWDlo1&#10;GIvBOhs8PhuxtWjeUjJRGBzaq2cfceH89//8z0uhkSt3bmnxvnXbDlvgZ1qDtD17bYGfzOe13CX2&#10;vryiKIqiKJ8Wig7Gbfj6+WHFihUYPGiQuFGY/krrRqtWDrLgs/Pq20qGfyisozFs2Eh06dINrYzQ&#10;YOorLRxdu/XA73733y+Fxl/++lesWuMo5cRZJ8PNCA5aN8KOHkds3FkN/FQURVGUTAbXZGajRJ04&#10;CT8jNlauWInBAxmkaUt/rcmS5a3a2NwZE6dICurHFhqM12BBrxEjR4vYaNK4qQSIUuT853/+50uh&#10;8ac//QkLFi4Wlwm7sTK7xOqsyHKotGQQFRqKoiiKkjngmsxwBoY10Cjgt3+/WDaGDR2K5k2aolzp&#10;Mqhdq46UD6fYYGqqVVTrYwkOHosxGxQxAwYMEpdNk0ZNpOPsv/3bv70UGn/44x8xd/5CaZbmuWsP&#10;Dh05inMJtoqfGvipKIqiKJkbeh5oIPD28cHy5cvRr29f1K1VW7q/1q/bwIiN9lJGnMGhVjM0e8Lh&#10;Q+Hxxowdj169+qBtm3aoU6cu/vVf/zWd0PjDHzFvwSIJCA09eEiKdbE5mgZ+KoqiKErmh+v1i5Ll&#10;fn6YP38+unbtikb1G6BC2fKoVbM2unbpLjU2ps2Y/dEzUWjZoIhhddJ+ffujTq26+Jd//pdXLRpL&#10;l61AUEioNHFhF1Z+aJpl1F2iKIqiKJkba72mceDkqVPYtn07pk+bhq6dO6Na5SqoWqmKZIbQ4mA1&#10;Q2O9i4/lRuExaNVghssoc/zGDRvjX/8lnUXjL3/5CzY6OUsDtfMJSWKCUYGhKIqiKFkPFvVite8d&#10;O3ZgxowZUq68Xp26UkGU5coZtEmxMW36rI/WYp5CY5E5zoKFSzBlynR06tQF//Ef//FSaPwtVy7s&#10;8PCUNBkru0SFhqIoiqJkPeiRYKVvNmPbutUNo0ePgUPL1qhaqTJKFC2GRg0aoVfvvlIDg+4OK+31&#10;Y1g2KFrYgK3/wCH43X+nS2/NnScPvH39xL+jMRmKoiiKknWhoYBGA1o2QkJCsdFpk3R9pWWDBb1o&#10;1WjdygG9jdhgqXAKA8ZsfCzLBl0yw0aMxv/8z+9fCg2WID9w4OCLuAx7H1xRFEVRlMwP13EaDdgb&#10;hZ4Kdn3dvt0dE8ZPQMsWLUVo1KpRS2I2Bg0ZJl1XWdDrYwkNHoflyX//+3QlyNkm/ujRY3Y/sKIo&#10;iqIoWQ/LssFSFUeOhMHRcR2GDx8Bh9YO0oCtTu266NylmxTbmjJtplg1PpYLhQXCXmmqpkJDURRF&#10;UbIXlmWDYoMdX/fv98e6deulL0r9evVRrWo1NGrYGB07dpYy4nShsMW7Cg1FURRFUd4KhYYFq3yz&#10;xkbogYNYMH8B2rZpixrVqqNKpcqSkdK9e09MnTYjrZjXb6+xoUJDURRFUXIQjNdgg1RmojBeY9pU&#10;1tjoIpVDpcZGsxbo338gxo2fhFlz5tsVD++DCg1FURRFyUFYLhSmvR4JO4odO3Zi+vQZaNG0mfRE&#10;oXWjRYtW6Nu3vzRJs2I1PtSNokJDURRFUXIgzC5lJkqYERvOm5wxsP8ANEjr9FrD0LZtO4wYMUqa&#10;pFmVQ+0JibehQkNRFEVRciC0bDBeIy7uLAICArFi+QoMHTIUrZq3EMsG28v36N4To8dOwPQZs6XS&#10;pz0h8TZUaCiKoihKDoVig61GTp06DW9vHxEbfXv3QcWy5VC9ajVp9c5iXqyFMWfeArFqvK9lQ4WG&#10;oiiKouRg6EJh5dDIqBPYvWs3ZsyYiZbNmksGSr269dDc/Llf/wGYwkyU+Yveu628Cg1FURRFycFY&#10;waEs5hUZGYVNm5wxdOhQtGzRApUqVED5suXQvn0HjB47/kWnV3uC4k2o0FAURVGUHEz6Ghvx587D&#10;b78/Vq5ahSGDB0uX19KlSqNJ4ybSVn70mHGYNXvee2WhqNBQFEVRFEVgcCjra7AB29IlS6X5WoWy&#10;5SQTpWnTZiI2Jk2eJoGh71o5VIWGoiiKoigC3Sgs6EXB4eHpJSXKGatRrUpV6fbq0MoBI0eNsXV5&#10;fceUVxUaiqIoiqIIdJ8wOJQxG+zkvmb1GowYNhwtmrdAxfIV0KBufbFqsGrojJlz3ikwVIWGoiiK&#10;oihC+niNmJgzCAwMwjrHdejdqzcqGaFRvUo1OLRui/4DBmHCpKmYN3/RW+M1VGgoiqIoivILWKL8&#10;9Olo+Pj4YsrkKWjWpIkEhzas3xBt2rTDkGEjMGPWHMxf+OsuFBUaiqIoiqL8AsZqXDBiIzw8Ao6O&#10;jhg8aBBaNm+BapWromaNmtLllSKCjdfoQnmTVUOFhqIoiqIov4DuEwaHMuV1z959WLRosbhQ2OGV&#10;JcpbtXLA4CHDMGnKNCnkpUJDURRFUZT3gmLjwsVkHA8Ph5fXLkyfNh1NGzWWlFdWDW3Xrr2IjRmz&#10;5r670MiXLx+Cg4KlV72iKIqiKDmbc+fO43R0DA4dPiy9UNq1aYsK5cqjcsVKqF2rDjp37ipiYs7c&#10;BZg7b+EvGDV6HH7/+9+/FBp//OMfsXD+Arg4uyiK8hFZsngJpk+dpmRSFsydZ/e6KUpOhy3kN250&#10;wupVqzF65Cg0rN8ApYqXEMqVLov69eqL2Ojbtz/69RvwCzq074j//M//fCk0/u+//ivq1a4jbWIV&#10;Rfl4lC9dBnn/lkvJpJQoUtTudVOUnA4DQNlkrVnjJqhZrTpKFSuOQvnyo6ChUP6CKGn+u2K58qhS&#10;qbIU9XqdMqVK45/+6Z9eCo1/+Pt/QO6//BUF8+ZTFOUjki9XbrsLnJJ5sHfdFEWxUSBPXuTPnecX&#10;cxn/m/Df7PG3P/8F//gP//Cq0PjrH//0ykEURVEURVE+BGoKFRqKoiiKomQIKjQURVEURckwVGgo&#10;iqIoipJhqNBQFEVRFCXDUKGhKIqiKEqGoUJDURRFUZQMQ4WGoiiKoigZhgoNRVEURVEyDBUaiqIo&#10;iqJkGCo0FEVRFEXJMFRoKIqiKIqSYajQUBRFURQlw1ChoSiKoihKhqFCQ1EURVGUDEOFhqIoiqIo&#10;GYYKDUVRFEVRMgwVGoqiKIqiZBgqNBRFURRFyTBUaCiKoiiKkmGo0FAURVEUJcNQoaEoiqIoSoah&#10;QkNRFEVRlAxDhYaiKIqiKBmGCg1FURRFUTIMFRqKoiiKomQYKjQURVEURckwVGgoiqIoipJhqNBQ&#10;FEVRFCXDUKGhKIqiKEqGoUJDURRFUZQMQ4WGoiiKoigZhgoNRVEURVEyDBUaiqIoiqJkGCo0FEVR&#10;FEXJMFRoKIqiKIqSYajQUBRFURQlw1ChoSiKoihKhqFCQ1EURVGUDEOFhqIoiqIoGYYKDUVRFEVR&#10;MgwVGoqiKIqiZBgqNBRFURRFyTBUaCiKoiiKkmGo0FAURVEUJcNQoaEoiqIoSoahQkNRFEVRlAxD&#10;hYaiKIqiKBmGCg1FURRFUTIMFRqKoiiKomQYKjQURVEURckwVGgoiqIoipJhqNBQFEVRFCXDUKGh&#10;KIqiKEqGoUJDURRFUZQMQ4WGoiiKoigZhgoNRVEURVEyDBUaiqIoiqJkGCo0FEVRFEXJMFRoKIqi&#10;KIqSYajQUBRFURQlw1ChoSiKoihKhqFCQ1EURVGUDEOFhqIoiqIoGYYKDUVRFEVRMgwVGoqiKIqi&#10;ZBgqNBRFURRFyTB+ITT+8R/+EXlz5UaRAgWVTEzh/AVQKF9+FMibDwXy5JWfBQ38O/6b8nkoRMw1&#10;4LXgdeFP/r29a6j8ksLktXPIe5v/LaSdZ0VRsg4UG//4j//4Umj827/9G1o2b4FuXboqmZXOXdC5&#10;fQc0b9oMdWvXQe2atVGvTl00btAQLZs1RzuHNmjfpq3yCWlHzHlv09pBnp9G5lrUrlELjRs2kn+3&#10;ex2V1zD3dceO6NC2HVq3bIVG9c05TLu3mzVuglbmvPL88ly/fv4VRcm8NDHzILXFC6Hx17/+Fc6b&#10;nBHgH6BkUvz3+2P3rt1Ytmw5xo2fiFGjxmLSxMmYO3ceVq9eA1fXrdjmtk35hLhtdcOWLVvh4rIZ&#10;a9c6YvbsuRgxYhTmz1+A7du2272Oyuv4Y+/evdjpvgMb1m/ArJlzzL09BpMmTcaSxUvgaM4r5yY3&#10;O+dfUZTMyxdLv8Cf//znl0KjUKFCiI2NxcMHD5VMyoP7D/D111/j4KHD2OTsijWO67HRyQUeHl44&#10;dDgM8fHnkZh0AUkXLiqfCJ7v8wmJOBt/DscjIuHhtRtfLF+Fvfu8zb9fwIMHDwR711OxwfPz7be3&#10;cDX1Kk5Hx8DDczdWrl4LJ+fN8DPi+tjxcMScidV7W1GyGMEhoShQoMBLoVGkSBFcvHgROjLv+Pnn&#10;n3HfiA1Oxrt278NmVzczGbvCfacnjoQdQ/Kly0i9eg1Xr13HtetfKp8AnusrZoG8nHIFZ2Lj4O27&#10;3yySjvAzO/VU8/fPnz/HTz/9JNdOh/3Bc/P06VNzb9+X87jfPxDrN27C5i3b4B8YjMiokyLm9L5W&#10;lKzF0WPHQSOGCo0sNDghP3j4EOfOJSAwMATbtu+E4/qN2OTiipDQg6IguehRbNi76MrHh4tfKjHn&#10;PO7sOfj4+mPFqjXm536kpKTIAvrjjz+q0HjLoBijKPv6m5uyC1q/0RnOm7fKeTx2PALx586r0FCU&#10;LIYKjSw4uFg9fvwYly6nyOS7e6+3ERpOsvvjLvBM3FlcTL6ElCupdi+6krGcO58g14EuLR8/f1ww&#10;zxPdAk+ePJGFVMevD97ft259h5ADh7DBiUJjC7x9/MxkFY6z8So0FCWroUIjCw5OxFy0vrzxFWKN&#10;qAgIDMHGTS4iNvbu80HkiZOIN4sdzc/2LrqSsZxLSERw6AGxMPntD5Bd+K3vvsPDh4/w448qNN42&#10;VGgoSvZChUYWHJyInz17htu3b4tVg3EZm7e4ifuEQYiHjoQh+kwsLl66bPeiKxlLQuIFHDh0GG7b&#10;3LE/IEhiNr68cQP37t0T94mOXx8qNBQle6FCIwsOTsRcsB49eoSbN7/FqdPR2Oa+E47rNspPmu0j&#10;Ik9IrIa9i65kLMyKOHzkKHZ6eCEgMFiCdq+kpuL77+/g+XMVGm8bKjQUJXuhQiMLDk7EltigOf58&#10;QgI8vfaI68R1ixt27d4rC11CYpJOyp8BCg0uirwOgUHBiDpxEsnJl/Ddd99JoKOOXx8qNBQle6FC&#10;I4sPxmokX0qRWACXzVtlUt7itt0scCGS/WCluerk/OmgJSkiMgq+fv4ICg5FeHikZAjR+qRC4+1D&#10;hYaiZC9UaGTx8eTJUxETLNS1Y6cXnF22YN0GJ+z19kXMmbgXaa46OX86LlxMxomTp0TsMd34mFkg&#10;Y2PPSpE1xtbo+PWhQkNRshcqNLL44ML11VdfS5yGr18AXFy3SqEoD89dsthZaa46OX86WDAtOuYM&#10;Dh46ItVb+fPEiZO4bv6N9TR0/PpQoaEo2QsVGll80BTP1MmExESxamx39xChwaDQI0ePmYn5HC4Y&#10;saGT86eDmUBMO2aNEwqNwMBgHD58BCkpV8TVpePXhwoNRcleqNDI4oMBoUyb5OR78lS0BCCuWuMI&#10;163bEBQSipOno3E+MUmrhH5CWL+EtTNoUTpw8LBZJH0REBgkz5UKjbcPFRqKkr1QoZHFBytNskro&#10;d7dvS7YDAxDXOG6QyXmfmZzDzAW2gkLt3QDKx4euKvbkYForhcbuPfvkuiSZ6/PDDyo03jZUaChK&#10;9kKFRhYfnJTpPuFOmTEAwSEHsG69E5w2bcZOz13SL4LxAio0Ph0UGkwtZqdRuk68du3Bvn2+SEhI&#10;MkLjh7Qrp+NNQ4WGomQvVGhk8WHmZJmYrck57OhxSXOl0NiydRv2efsi6sQpyT6xdwMoHx+ea2ae&#10;0H3CQFAW7vLatdf8d4IKjXcY1r3Mc7fJZYsIjd17vCUGibEvKpoVJWuhQiMbjdu3v5fsE+6gWbhr&#10;o5OLtI4/Hh6pQuMTwnPNOA2KjUNHjkpg7nYDF8nHj1VovG1QaHz33W0RzVvd3CWTaqfHLgQGqXVO&#10;UbIiKjSy0WBQ6Dmzi+aEzNbxq9euxyZnV1nsuPDR5Kxm508HF0Sa+123bJPF8nT0GSkbb1mgdNgf&#10;PDff37mDyKgT4v5z3bodbtt2SKv4EydPq9BQlCyGCo1sNB48eCipleERkdI6fu26Ddjg5CLZJwxO&#10;5L+pZePTQVHHFFdWamXTu5OnTuPu3bt49uy5tov/lUGhcefOXXH50Tq3dZu7Cg1FycKo0MhGg9kn&#10;N258JbUz/AODsX6js2ETfPcHSAYEs1K0dfyng0KDbiu37TvEqsGFkzVP6D7RLq5vHiI0jCCjMGPG&#10;Dq1zRIWGomRNVGhko8Gqk2wdz8JQBw+Hwcl5s3R0pXXjWHgE4s7Gi1XD3o2gfHwoNMIjo7DDw8uI&#10;jZ3iCmAVV1qetOfJmweFBi0/p09HY+8+HylCp0JDUbIuKjSy0eDi9fDhQ2neFR4RJdknaxzXi587&#10;9OAhsWqwJLm9G0H5+FBoRJ08ZYTePrkGFBrXzN/RLaA9T948VGgoSvZChUY2GvT706px7959M0nH&#10;YMvW7SI0trnvwP6AQESYhS7pYrLdG0H5+FBosDKr735/7NnrLdYNWpSYuvlEe568cajQUJTshQqN&#10;bDQ4QdOq8ejxY3GTsH4DYzTctrnLhM3ARMZp2LsRlI8PhcbpmDMICAqGt29awalz5/HllzfwWOtp&#10;vHGo0FCU7IUKjWw2OEnTqpGYlIS93j5S7IiWDQ/P3VLwiBUr7d0IyseHQiM2Lh4HDh0Wi9Khw0fM&#10;QnkKl1NS8ODhw7QrpuP1oUJDUbIXKjSy4aD/n63KA4NCpFgUMx4oNlie/Nz5RLs3gvLxodCIiz+H&#10;w2FHERgcInEyx8MjpJDX/QcP0q6WjteHCg1FyV6o0MiGg+6T1NSrUlmR3VxdXN2wboMT/PwDpVeE&#10;vRtB+fhQaDDVOOzoMQQFhyIk9KD8OTExCffv30+7WjpeHyo0FCV7oUIjGw4KjS9v3JBJ2cfXX6pS&#10;rli1Fnu9fV/0iiBcCO3dFMrHgef33PkEqaUReuCQWJTYzZU9UO7eu5d2tXS8PlRoKEr2QoVGNhzP&#10;f/wRX3/9jXQPDQgMFtcJhcauPfskxdWqEKpCI2Ph+U1IvICTp6JxJOwYAoND5XrEnImTFFcd9ocK&#10;DUXJXqjQyIaDVSdvfvut9D05cPCQlHCm0PD02oOIyBMvKoSq0MhYeH4Zj8EMoIjIKBEZ7KbLgNDb&#10;33+fdrV0vD4socEGgXtUaChKlkeFRjYcFBrf3b4ti1yYucDbzERNoeHhtVv6oDDzhFYNFRoZC88v&#10;g3LpKmGxLv+AQOndQdHB66PD/lChoSjZCxUa2XCwcNfdu/dkoePumamtFBoshc0LzoWPC6BO2BkL&#10;zz8FHYUdr4OPn78smgzS/fbWrbSrpeP18cJ1Eh1jc53sUKGhKFkZFRrZcFBoPHjwAF9/cxNnYs9K&#10;bAaFhvtOT4kViDt7TkqR64SdsVBo0EVFVxWFxj5vP0kzZj0NurZ02B+vCA1vFRqKktVRoZENB4XG&#10;o0eP8d3t76VuBs3PFBps7MXsh9PRZ2Tx05bxGQuFRsqVVLEeMTCX8RmbnF0lzfWbmzfTrpaO14cK&#10;DUXJXqjQyIaDE/WTJ09x7/59idPw9vETocHdNAMSI6NO4nxCkgqNDIZCg3BhZEAohcaGjc5SSO2r&#10;r78WQchrpePVoUJDUbIXKjSy4eBE/ezZczx+/FhM975+/iI0mObqtz9QOrvS0qFC49NAscG4GPY7&#10;2bjJBQFGaFy7fl1KxTNwV8XGq0OFhqJkL1RoZMPBiZoLGAt38SLv9w8UobF5i5uIDhaQYiEpFRqf&#10;BpvQSBCRxyqtFBoMEmWX3R9+eCKWDR0vhwoNRcleqNDIhoMTtcWNr75CQGCQTWiYRY6VQtnFVYXG&#10;p4NCgxYk/8BgbN22Q4RGYuIF3PruO4mlUaHx6lChoSjZCxUa2XwwFiAwKFiFxmeEQoMprgwC3bHT&#10;S2I04uPP46uvvpaeJ7Q+6Xg5VGgoSvZChUY2Hyo0Pj82oXFB+pzs2r0PQcEHcCY2ThZM1jtRofHq&#10;UKGhKNkLFRrZfKjQ+PxQaCRduCiFunj+2Vzt5KnTUsuEFUIZS6Pj5VChoSjZCxUa2Xyo0Pj8UGgw&#10;zZhpxbYOrodwPDxCMlFYuOvZs2dpV0sHhwoNRcleqNDI5kOFxueHQoPWi1OnY3DocJgIDcJqoWzn&#10;zzRXHS+HCg1FyV6o0MjmQ4XG54dCg+mssXFn5dwzKJSLJkuRX0lNleJqOl4OFRqKkr1QoZHNhwqN&#10;zAELp9FVEnXiJIKCQyX7xNcsnBcuJBuh8STtaungUKGhKNkLFRrZfKjQyBzwXDMglD1PGKex1c0d&#10;Xrv3mutwHg8ePtQKoemGCg1FyV6o0Mimg5M1sRXsUqHxueHiSPcJC3eFHDgE581bpGU801zv3rsn&#10;mSfa+8Q2VGgoSvZChUY2HJyouWhxl3z9yy/hH/CyMqitBLkKjU8N4zRsVo1kHDoSJn1ntrvvlDRX&#10;Zp6wL41aNWxDhYaiZC9UaGTDwYmaO2T20WCbcr/9ASI0bE3VAhAewV4n2lTtU0KhwQWSLeOPm/Pv&#10;6bUHXrv3ICIyCikpV3D79m1Jc1WhoUJDUbIbKjSy4eBEzQDD+/cf/KJNPPtt2NrEq9D41FBsMCj0&#10;5Olo+PkHysIZdvQYzp6Nx5df3jDC8AcVGmao0FCU7IUKjWw46DahKf727e/FcrF3n48IDbftOyS1&#10;8nT0GSQmXVCh8RmghYlxGYzT8A8MQqj5GRERhUuXLuPRo0cqNMx4RWiYe1eFhqJkbVRoZMNBocFM&#10;hm9u3pTaDbv27BOh4W4m7MNHjiLO7KBp6dAJ+9NDcRd39px58MIRFHIA+wOCJAvlbPw53H/wQIWG&#10;GS+Exuk0oeGuQkNRsjIqNLLh+PHHn8xEfQ/Xrl2XiXmn5y6sXL1Wfh5jIGhCIpIvpyDV/Lu9m0LJ&#10;OK6kXpNOrgwCZZXQfd6+spjyv+/cuaNCw4yXQiNahYaiZANUaGTDwewFuk1Y9po7Z1oyaNHw3LUH&#10;EVEnkHjhosQKMGbA3k2hZBxcJGlNOht/HkePh2PX7r3Y5r4TYeZBvP399yo0zFChoSjZCxUa2XBQ&#10;aNy8eVMqUYYePAS3bTtEaNCFwkDEi5cuS6yACo1PjxUQesGIwMgTp+DhtRubXLZIrMY3N9lgzVZP&#10;IycPFRpvhvcP3W+JiUmIjY1DdMwZIS7urLpDlUyLCo1sOJja+tVXXyE6OkZqaDDbZNWaddhjJm1O&#10;SlzoOFmp0Pj0WAvFJXMNGJS7d58vXLdukzgNij+6vHJ6SXIVGm+G909CQiK8vX2wasVKLJg3X1i3&#10;1hEhIaFixbT3OkX5nKjQyIaDQuPa9etSL4MTtYurG9au2wBvM1EzOJQTNSesq3ZuCCXjEbFhrgGD&#10;chkM6r7TEwFBIeJOYSVXBoXm5KFC483w3uEGYtHCRWjZrDmqVqosdGzXHhvWb5BCfPZepyifExUa&#10;2XDQ/H45JUVSWbmIUWhscnaVUuR0p9i7EZRPCxeM+HMJkuZKlxaFRtSJU1LQ6/vvv0+7kjlzqNB4&#10;M7xvTp48hWlTp6FKxUrI+7dcQr3adbB82XLEx5+z+zpF+Zyo0MiGgxUmExMvyCS9ycVVSo9zsj5w&#10;8LAU6rJ3IyifFi4YzD45EnYMvvsDjNAIltRjprl+++2ttCuZM4cKjTejQkPJiqjQyEaDEzQDQR8/&#10;/gGxcfGSzbB23UaJ0diz19tc7HAp1GXvRlA+LVww2M2VWUDBoQcQGByCwKAQs5Cewo0bX6Vd0Zw5&#10;VGi8GRUaSlZEhUY2GhQZ7G/y/Z07OHkqGlvctsPRCA26T6xFjJHp9m4E5dPCBYNukugzsZLaGhQc&#10;ir3evlKS/Jr5t5w8VGi8GRUaSlZEhUY2GozNuHfvvmScsBW88+atcFzvhF279+GIWcBY+pqLm70b&#10;Qfm0cMFg2/j48wkSmxEcEoqdnl5SLZRZQVxsSU4cltA4ZYQGLXHscqtCw4YKDSUrokIjGw025frm&#10;m5uS/sYd8gYnF6zb4AQfP3+pPMn4DC5u9m4E5dPCBYPprLQwUQAGhx4UCxQXU/4drVOsp5ETxQa/&#10;8507d+We3b1nnxEZO6RPjwoNFRpK1kSFRjYaDx48lOZctGZwgl7juEHEBkUHs01ozdBGapkDLhhc&#10;MCk2KACZIeTkvBleu/ZIiuLTp08lTTknFu+yCY07iIo6CU+v3SLAWHROhYYKDSVrokIjGwxOzISx&#10;GayTQQsGJ2bH9RulGBR7arCQD0VGTp6kMxtcNAiDQg8cOoyNmzbDw3OXXMOHDx/iyZOnOVZosBx7&#10;eHikxBdt3rJN4jT2+wdK7JEKDRUaStZChUYWH5yUuRhJ2fFvv8VxMzlTZDhv3iIxGl679yKcbcjZ&#10;RM1M0Jyo7N0IyueDrhKmtlIUsh8NK4be+u47ERu8rjltiNC4fRuHw46JyHBx3QpPrz1i9Yk5E6tC&#10;Q4WGksVQoZHFB0UGTewsW33dXFC6SegyWb/R+UW2CRcutWRkXujSortrh8cusCQ5g0Ovf3lDLFR0&#10;oeS0QaFx69Z3Usxsg5OziGZ2uQ07elzqjORksaxCQ8mKqNDI4oM73kePHpmJ+RbOnTsvE/LK1Y7S&#10;qGufj9+LyVmFRuaFLftZT4PprXR70SpFd8o3N2/myL4n9oSGt7mXWQeGZdpVaKjQULIWKjSy+KA1&#10;gyWrLyYnm11xOHZ6eInQ2OLmLqbm09ExUqRLhUbmhW4tdtVldVD/gEAcPhIm1439ah4/fpx2pXPO&#10;UKHxZlRoKFkRFRpZdFixGUxp/fLLL8Xczt3wlq3bsGbteuz03IVj4RE4dz5RTPM5eXLO7LBuRkxs&#10;HA4ePoKgkFBp7c8HkwKEcRo5bajQeDMqNJSsiAqNLDg4Ef/4409iVqc14/z5BInIZxqgs8sWaaDG&#10;VMBTZlfMbBMuZCo0Mi9McY0zC8TR4+EINYsrxUZI6AGxRD3IgZ1cVWi8GRUaSlZEhUYWHJyI6TK5&#10;e/eeBIBGRJ6QTJPVa9bByYgM9x2esmCxHoOVaaJCI/NCoXEuIRGRJ06KVWN/QKAIRdY+uXf/ftpV&#10;zzlDhcabUaGhZEVUaGTBwYmY1oxrZtKJjj4j1gwWe1q7bgO27/CQTJPIE9rXJKvA+iYJSRek78nh&#10;sKPwNiLDw2u3pHKyFHdOGyo03owKDSUrokIjiw1OwozNoEn97Nl4ERlbt7lLcS6KDV8/f5w4FY3z&#10;iUm4bHbK9i66krmg1YkuLlowGNC7e6+3dNxlE7zvv7+TduVzzlCh8WZUaChZERUaWWywrsJ9IzK+&#10;/PIGwsKOSR+IjZtczITsgu07PHHwcJiIjEspVzTTJIvA68TAT6a0hkdEShnyTZs2IyIiSipk5rSh&#10;QuPNqNBQsiIqNLLYoCn9ckqK9IFg3QWKDFoyWJzLPyBIsk8uXrqMFC03nmXg4sE4DQbtRprrSrcJ&#10;2/vTuvHd7dtpVz7nDBUab0aFhpIVUaGRBcZPP/0sLeAlLsNcNIoMTrzMMmEbeNctbvD1C5DqkizO&#10;xUUrJ0/GWRFeLwrDE6dOi9BYvXa9WKy+/fZbKcrGxZdk98HvKOX0b34rHW1Z4VaFxktUaChZERUa&#10;WWA8e/ZMfPVXzUJ06nS0iAr68F02bzWT8Fbs2r1XKoCeiT0rAaBqyci6nI45IzEa6zduwqEjYbh+&#10;/bpUfn32/HmOEBrMpnr8+AcJdA4MDJbzwF4nfvsDxK3ETCoVGio0lKyFCo0sMFgdkpkJEZFR8PH1&#10;E4HBolwUGdz9BoceMCIjTvz8/L2cPBFndXgdGdC7eYsbDh46IhVf6T55/MMP2V5o8PuxAB3dgwyO&#10;9TPnYf2GTXIuWDU1yiywbKmvQkOFhpK1UKGRSQcnXQZ+3rtnq5XB9tg0H7tt3yGBn+vMBMzqn0Eh&#10;B6T+QuKFi2LJUJGRtWGL+ACzk2eQ78FDh2UH/9XXX+Phw0fiQsscg5+DXWWf4cdnD/Dkwdd48O1l&#10;fHslHqnxJ5B4OgLRUeGICLeIQMSJ04iITcSJpGuIT/0WKTfv45t7P+D+k+d4ag7Ho/1k7vlHRlR/&#10;991tJCYmSZovhQZdhBTTtOYxDfiVe/zqVVxLuYQryQlIij+NuFNHEREWipBAf/j6+MDH2wfewn5z&#10;vFD4BhzFwaPRiIhJwJmES0i8fBWXzPGumGNdtY5pF74nLYVXkHolGclJcUg8E4Xo44cRFhyAIPMe&#10;fuxVY97HNyAUAYcjcSDyjHznuKQUJJn3uZzKejb2jv3uqNBQsiIqNDLpYAorC3JdvpyCKCMkfPf7&#10;i69646bNcN2yTXqasJcJq38mMJVVq39mC1ghlFVBPYyIPHDwkAgPXlcW7uI9kTmG+Rw/PzHcx9OH&#10;V/H91eO4etoTp/athO+qSXCaMQJzxg7HiKHDbAwbgRETZ2LkYmdMcg7AKt9T2B15BZGXbiH1zmPc&#10;Z5Vbig0jNB4+eiTxGUz1ZbAzXScU17Tu0NpD1+CL+9z8vJqSjNSkM0g+cwQnQz0QuGMVNi+fjpnj&#10;R2Bo334Y0LsP+pE+I9Cv/wwMG70K81Z5wXlvGHyPxyLSiI3zqdeQbARA6mvX4lXMe167YoTNBVy+&#10;GI2zkQGI9HXB3nULsWLiGEzs0w/De/fHgL6DMWTMDIxdtBFzXXyxeX84AqMScOKcTWyk/sZnVIWG&#10;khVRoZHJBi0ZXFBozbjx1ddSS4GWjM2ubli+co1YMtx3eiEwOEQacbHzp70Lq2RNuMAeOHhY4m4O&#10;GqERbYRkihGRFJ2fX2gYNfDzT+YefYafnt/Bj0+u4/7XJ5BycjOiPCdg58w2mNe2NHpXyYtaRXO/&#10;WATz5sqDvCWrIl/jfijTdwnazfXANLfjcAu7iKjU73D90VPceWbuefP97j98hK++uSlBzZbQ2Obu&#10;gSNHj8nfSd8exiBdu4arqVdw5cJZJJ8+hLjQHQh0nYdNs3tjfI8GaFKlFIrnyY38Lz5DKeTN1wgl&#10;y/eBQ5/5GLd0B1bvOgyfqHhEXkjBuZRrSKFwMYLjl5YN/j3f7yJSL8cgKTYU4X4b4LN6HJYObote&#10;NcqjZq7cKP23vMifqwiKVWyEyu1GoNXY1Zjg6I1NvicRGJmI2MQruGREDcXGr1tP3owKDSUrokIj&#10;kw0G/bF/SWrqVTEV++33l4JcjMdgGqvlLmF2AhumMcPE3oVVsiaMQWBgL+M0DhrBwQyjCxcuSjDw&#10;5xUaFBnPDQ/w49Ovcf/GSXx1egei9y3AjuVDMG+kA4a3r47O1QujQYncKJM/bYEXjOgoVBJ5KzZE&#10;0QZdUbPDSLQfPBvDFmzF/J3h2Bp+FcdT7+CrH57jGyM0rr9VaKTiasp5pCZGIC5sD4JcvsDm6cMx&#10;d1BHDOlQH63rlEflEoVRKFcu5HvxGQohb54KKFSsPqrV74RW3Ueg78RlGL9mL1bsiYRv5HnEXkoV&#10;y8aVX4iNVPM8JiM54QTOHfXEUa+l2LJwOKb0a43ujaujfqliKGO+Y9G/5THvl9+8RwWUrNEM1Vr2&#10;g0Pf2Rg8ZTOWOAdjz7F4RCSliqhRoaHkJFRoZJJhWTKYYcCAzsioE2lBgdskhZVCwxIZVrM0igzN&#10;MMle0A0WHhGFoOBQcRccPx4hTfMYt/D5hAZjMn7Czz89MVrjGzy9fxZfndmOM1uHwWNyY4zpUA0N&#10;q5ZEpZKFULZQHhTPmwsFzSL/UmgYcudD3vxFkb9IGRQtWQWly9dFtVZD0Gi0C/qtj4CTERtn7j7B&#10;pXsPkfL1N28QGvFINvd9amoKUpMicSl6D456LIbjqG4YXrcS2lYshRoli6BU4QIonJeLfvrPkAd5&#10;cxVAvjxFUKRIKZQqVw2VGvVAzV5L0XXOXqz2jsLRhBTEp17H5avpLQ50mVxGaso5JJwKQMTO+fCa&#10;1wNTejZCw2rlUL5EMZQqVBjF8hdEEUNh/ixUFMWKlUKJ0tVRtmJH1Gw4Dj3HOmPp3kjsjbmMqAt0&#10;obx63d8VFRpKVkSFRiYY6QM/2fKdlgwfv/1w2+YuBbmITWSESkGnhMQLdi+mkvVhx9YTJ0+L+4Tt&#10;4g8fDsOZM3Ev6ml8nmHe9+fn+PHZHTz5PhrfX/RCzL6p2GFExhSHomhRKT+K5Em/qL8Ns+j/rSAK&#10;lGmMos3Go86oLRi3Iwo7Lt5G2Jff49zVryRW5ZdCI84IjURcSUlA0kk/xPguw54lAzCpTS00NwKn&#10;cu5cKGz3/eyQOz/ylaiDArUHoWbv5Ri/fj/cj5/HkfMpSEixCQERG3SZGJGRkngM0SGu2LtkCJb2&#10;aYCeTWoYsVQdpSrXR60GLdG8VXs4tGmHDu3aoH2LRnCoVwWNqlZApVL1UKpMJzTqNg8jNgZj7eEE&#10;hMZdtmM1eTdUaChZERUamWBwp3r//oOXgZ9+/lI7gALDxdUNHl67JOqeNRaswE97F1PJ+iRdTMbp&#10;6BhprsZg36CgUKn2+rXZ5X8+ocEaHj/g2YNU3E30xOWAcdizyAGj25VH43L5UL5wbhR43YLxVvIi&#10;X8EKRmy0QNnmY+Aw1xOjgy9jU8xXOH7xOmLNgrnndaFx9owRGrFIST6J0wFOCFw+GKsGNkTPOmVQ&#10;MV9uFDPHfRGT8VaM2MlfBvmKN0K5RkPQeaoLZnidMGIjCdEXrhghYLNqXL12FVeTonD51G6E7ZiP&#10;VUPbYWD9KmhSuzFKNuiNet0nY8iMVVi83g3rXLfAzc0Zm1fPgeOUnpjZqzHa1amDimUaoHrrUWg3&#10;3wtTd53GnsgLr1lN3h0VGkpWRIXGZxy0ZLAY16NHj/HljRu2wE/f/ZLOt8Zxg5lknbHTY5eY0RmT&#10;wToZmsKavbmQfAkxsXE4ejwcwSEHpFAVK74yMPizCY2fHuPnH2/jh1vRuH54ESJXNcPy/mXRtFIB&#10;IzByIx9jMHLZXCMFipZFsdKVUL5iZVSvWhXVq1RCjcrlUa18KVQsUQhlCudBUSMKbAtkQfO6Mihc&#10;tiUq9v8CTTacwOSAJPjGXELUmTh47PHGOiM0thuhwbiVs2ejkWwW/UvnQnF42zy4jmiBiU1KokmZ&#10;AiiYm58hP/LmKWwmtBIoWaocypWrhEoVKqGqWZCrlC+LSqWLo3yxQiiRPx8K5cpjRElB5MtVEkXL&#10;t0DdPgvQfUUwvvA9g6NnLyPZPGOS8notFanxh5B81AlB68dgSoeGaF66AqrXaoeynWaj48xtWOZ1&#10;FIEnk3AiPgGJF+Jw9vheROyYBa9ZXTDCoS5qla2CSg17ofZoZ/TbeAyuh87hghEaPP6vZ7r8EhUa&#10;SlZEhcZnHBQad+7clZiMU6djzKISiK1u7mLFkGJcnrtkV0uRwSBB/p69i6hkHygmGZ/AGB1asXyM&#10;8OQiyyZ6n01o/Pgdfn6SgHtXfHBm2xh4DK2GCY0Lo2bxvGaRs7lB8uUrgyKVm6N0m2FoPGgGhkxf&#10;hMUrVuCLZXOwYtE4LJjUA+O710bvhsXQoFx+FMlLscHXF0L+YrVQvNUEVBq3B33Xh2FjSAx8jp+A&#10;i8durF2/ScR2ROQJJJ6PxuX4A0g+uQPeq8diXsfa6FGhIGoUyYv8jAEpWB75SjVEhXpd4NBrFAaN&#10;m47xU2dg1qzpmDFhGCYO7IAh7eqidbUyqFwgH4qb9y9g3r9g8doo13I8Go12xxSXo/A/fQFnjRBg&#10;YCgDT1PPhiL5kCP814zAmLaN0KBsddRs1h91Rm3C0HUh2HYgFqeTUpGYcsU8o8m4FHcQ50PX4cCG&#10;UZjdvRlaG8FTo2ZHVOq1Ch0WBcLRPwZnU6/jorneFBv27oM3oUJDyYqo0PgMwwr8pDWDqXpcVLig&#10;sD4GLRmsl7HDgymsoWJGZ+0A7V+SM6DQOGdEJeN0WE9j7z4fHDpsK0X+/HMJjadX8fODQ7gVvxYh&#10;C7tjcf2S6Fk8Nyrm5SJnFvi/FUf+QrVRusVI1JyyE4PcIrA1PAEJ16/h0pVoXEnyx9nQlfBf0R2r&#10;B1RGn/pFUKYALSF8vREcBcohf9VeKNx6OVpP8sJM90PYGHgEK7fuxKp1G+HptVsK1l08fxqXT3sj&#10;MXQFts7sg8G1K6B+vtwoQ6tK7oLIW6I+Ctbojwa9F2LC6l1w9j8KPyPSIk4cxdEgdwRsno0tM3tg&#10;rENtNC1aEOXN+zOmI1+BCihQtR/KtluJAYv2Y8fxc4i6cg0JdG+kGqERG4SLoavgu2oohjk0Qu3y&#10;dVCn3Ri0nOeNqR4n4RuZiAtMj029Zp5nIzaSInH51E5EehmRNaANepSrgDoVW6O0wwI0m7IHS/ee&#10;wCnzu4nmeqe8dv3fhgoNJSuiQuMzDAZ+sszyjRtfiSWDMRkM/GT6KgtySeCnERm2wM8kzSzJQTD+&#10;hu3iWZwqOCRUrFq8F3gPsA/I5xg//3ARP323D1+fmIPdU9pgfMUiaG1ERhnGZeQqjLy5a6JQqS6o&#10;1XsZurlGYXHU1wi78QD3f/4JPzy7hWcPk3Dn8n4kBc1E4PL2mNOjGpqXzI8K5vVFuFDmKYa8xVsh&#10;f7WxqN9/DYY5+mL+ngNY4OyO5Y4bpW1+dEw0ks9FIOnoVkR7Tcaa0W3RoVJJVDCvL2rESr58xVCo&#10;SjuUbjsLHaa5Y8WeCATHJiMm+TJSrl5CcnwY4g5tQejmaVg20AF9KhVHQyN2SuY275+3pBEp7VCs&#10;zlR0nbgdjoExCEm8ijOXjXAQoRGMiwfWwG/VMIxs0xB1y9VC7VZD0XiKO8a6HoXX0XM4m3wVF5kF&#10;lnoZl88dxYVjmxG2ZRIW9WmJjmUrolaVtijXeSkcZvtihc8pxBihkWSutwoNJSegQuMzjPsPHkgR&#10;JgoJNkijJWPDRmdxmez03C2++dPRZ6Tc8qXLV1Ro5CDoHhOrxvkEKUW+Zes2KdjGv/tsQuPBefx4&#10;YzuuHxmPrWOboX+ZwqhvREIJLnK5SyFv/rYoVnky2oz3wpwjl7Dnq4dIePAMz4zQeP7jY/z47Dae&#10;3InDnUs7kBg8Fe5THDCyUhG0zJcL5cxCny9XIeTNVwv5inVG9fYz0W2hJ8a6hWD6uu1YttYIjd27&#10;EXMmGhdjjVgIWI2wdX0wv38DNCpX1AiV3CjAQlkFy6Jk436oMdwJAx0PYNvBOJxOuoILV67iyrVU&#10;XLl0BhfPBuNk0AZsn94bMxqXQ+dSeVEhP2M7ipr3b4giZfujzeC1mOcVAa+YFEReuGoTGmcPIPnI&#10;egQ4jsT4tg3QuHQlVK/bDZX7fIGei/divd8phJ1NQVzyJSMUE3HhdADOeC+B39K+mNihARoaoVG5&#10;TldUG7we3VcfhFNIHBKYRmuut8ZoKDkBFRqfaFiuEpZYpr+dgZ/7vP3gtm2HVPtk/xL6olnxk1kG&#10;VhdWdZfkLHjNKTbYu8bfCI1Nzq5SJZT1Iz6X0PjpbhyeX9mE1OCh2DCiITqVLIRqZnErykUub3nk&#10;Ld4XJeuvQs+Fh+CS8C0ifvgRX/74M+R/rCT60zP8/OxL/PTgCG6dX4eDy/tgSZ0S6F04F6rlYVGt&#10;/GaxLId8eRqgYtNRaDl9K/o5BWLCajcsXbMBu/bswpnYU0iKDsWp3fMRsMABU7tWRc3SRqCkxYgU&#10;LFwFldqNQfM5ezDJ4zR8T1xAUkpaFU7hAlKvnML5E3vgv2Ik1nSphsHVCqJaEdvr8/6tGgoXaY9m&#10;PRZivOsROIcnI+xcqi1GI+EYLkVuw0HXqVjQqzm6VK2IujVboGTzkWg2fBmmrPGEq/dBeEvtkwAE&#10;7VqPPeY91o5ohd6N66Bq2Vqo0mwwmk7bjlHbo7DzWCIuXb0uIuN9M09UaChZERUan2hwkbhz5w5S&#10;rlzBqVOnJZvAFvS5RVJZGZMRHHpQfNFa8TPnwoWEYuPCxUuZR2h8H4PnFx1xeX8/rBpaFy1LFkQ5&#10;s7gV4iJXsDLyVh6KUh02Y6BjJHZdvo1zz3/GrfS1xX7+EfjxW+DpKdxJ2Y7IjUOwsWVpDCuTC7UL&#10;MCWVQaElkDdPNZRpOBANJjih82o/jFq+BUtWb8DuPV44ExeFhFP+CN8+DXunNMT4tuVQrWQB8zqK&#10;lBIoVLQu6nSbjp6rArHI/xxCzlzGxStGqPOcyrllRdF4XDgTjMPOU7B1eH2Ma1oCtUrw9aQ8ChVu&#10;hgadZ2LI+lCsPpiE0Ngr5jVXcTU5BpfPBiPKdy3cpvfG1A610b5BHZSq1gyVGnWBQ/ch6D9iPEaO&#10;GYcJ40dj3JCeGNG1CXo1qY56leqhbBkH1Os4Df1W+mFJ4Fn4xyQjhfEf6a77u6JCQ8mKqND4RINx&#10;GbRkMPCTlgy2ev9i+SqxZLjv9ERgUIi4SzSFNWdj231fx8Xky3JPZAqh8d0pPEtYgUv7emDJ4Fqo&#10;X6IAipvFrQAXuaJVkbfBWJQe6IHhbjEIvHYXV378GXdZTNQaFBo/3TZi4zzufbkPMW5jsKNrOUyo&#10;lhv1i1Bo0KrAEuFlUaJeT1QfuQatluzFkCWbsXj1eiM0PIzQCMe5qH1GJIyD+4jqGNm8BKoWZyAq&#10;rRHlUaRYCzTruxCjXcOwISwZR8+xr0j6xZzB1BdxMf4oorzmYd+sFpjRpTzqlePr08RKoTqo3WEi&#10;eq30N2LlPAKijThhHY1rybiSEotzEXtxxHkitoxrhqEtK6JMscLIn7cgChUohCKFiqAYKVwYxQoW&#10;RNEC+VEkf3EUKNAAxcr0Rcu+KzBj+1FsP5mMY4mpUrDr9Wv/LqjQULIiKjQyeHBxePDggbT6jo2N&#10;E0sGW4BvcnHFug1OrwR+MttAU1gVwmZ5IQcOwnXrduzasw8J5t5gUTcKVmYtfcrxutCol15oFDKL&#10;XdWhKNXZGQMcI+CZfBtnn/yEb9MnyIjQuAU8i8Hd1J2Ich4OF4cyGFk+N+oUotBgqqtZ7HMXR9Fa&#10;HVCu30I0mrkNQxY54wtHJ+z19kRsXBjOHvdE8Orh2NSzIgbXK4LKRSg0ihiqo2jxTnAYtAJTd0Rg&#10;a+RlhCekSlv2l+fUJhiSz4Xj1N7F8FvYDnO6V0b98nS/8DjFULBQDdRoNwadl/pijk88/E5dMq9h&#10;fJQR/6lJuGg+Q0zgRgRtmIAV47uij0MdNK1aBlWKFJTzUVAW/bwoULAEipStjrK1HFC35Qi07/MF&#10;Ji7eDdfgaIQaAXQmWUuQKzkLFRoZNLgYkB9++AE3btxA3Nl4qYvAYly0YtBtwi6s0rvkdAwSky7i&#10;Uoq2eldsMPuEaa10qe3z8cOZ2LP45ua3IlqfP/+0aa6/KjTylkPe4j1Qov4SdJsfjHVx3+DIg+e4&#10;+vQnW4yGxGk8w8/Pv8bPj47j+yQnHFnVFyvql0S/YrlQPa/V+IxBmQVQoHIzFOs4GbXGrMfg+Rux&#10;ymkz/Px342z8QZw5sg2+CwdgpUMp9K1SABUK0BJSwtAAxUv0Q8fh6zF/70l4xaTi5MVr4p54eU4p&#10;NC7jcmIUYnyXI+iLLpjfpwYaVKRQsdXzKFCwMqo6DEfbBXsxdXcsvKMuSoyH7bVXcCU53oiNQ4g5&#10;7A7/LQuwYUZ/TOraFO0ql0XV3HlRKlc+FMxTBMXL1UGF5r3QqP8MDJy5CQs2ms3F/hM4EnMBZy9d&#10;w8VXBND7oUJDyYqo0MiAQYHB4kpPnjzF7du3JYOAvSs8PHdLgzSyfYcHAoJCEGUmDQZ+2rs4Ss6F&#10;QiPMPJy7du+TGit0q13/8oa0i//kQkNiNNbh8v7+WDW8HlqWThejkaukERutUKzCBLQeuxMzDl6C&#10;5/WHiL//DE/Mc/D85+f46adH+PFRMp5844vrEQvgM6cTplQtivb5c6FirnQdVnPlRb4KDVDQYTSq&#10;DV2JwfM2wHGzm3lO9pgFNBjRB1ywe0YvLKpfFD3K5EP5fBQapQxNUaLkUHQd6YKlftHwjr+G05eu&#10;v+aeoDsyxQiNk4j1X43QVeY4A+qgUeWi5vWW0KiEyq2HodXc3ZjoFYO9L4QGX29+mtdfu5qIS0lR&#10;RvTswhH3pdgyZySmdG2LrnXqolXtemhYpwmate+HDqMWYsgXO/CFxyHsCYvH8bjLSLxEwfLhIoOo&#10;0FCyIio0MmBYXVhv3foOF5OTcfhIGHaanamzyxbJMKE53D8gSCwZrPipvUuU1+E9cfRYOHbv9ZYU&#10;6OiY2M8nNB4m4PlXO/Hl0clwm9ACA8sXRoM8uVBS+puk1dEo2RV1eixDT6fjWHL8Gg5cv49vzXPw&#10;4KeHePbsGzz6JgI3T61B9PYBWDe0PrqWKYhaudNSZF8XGq1tQmPo/I1Y77oNgcF7cC4+AKdDNsJj&#10;YjfMqVoQXYrlRrk8dLm8j9C4gpSk04gPWofD6wZg6ZAGaFyluHn9uwqNq9LJNeXyeSTFRSDuWACO&#10;+Hhgz2YnuKxchfUrVmP1SkesddoGJw9/bA84joDjsYiMS8bZC6m4xOBUFRpKDkSFxkccVsVPxmV8&#10;//33uHTpsgR/7t6zT/qW0JKxyYiNXXu8cTw8UgI/teKnYo/LKanS44QdTPf7ByLmzOcTGj8/ScFP&#10;d4Nw88wy+M3pjFm1iqNT4dwoLx1bGUhZCvkLNUDZZqNRb8IODN0SCdfIZJy5dQuXbqXgq6+jkRrr&#10;iRjPsdg3qwkmtyuP2kXypotrSC806qNgq5GoPnQ5hi10gpMR5cGhRmic88OpQEe4j+mMGWXzoWPB&#10;XCjLYlvvLDQYZJtqhIYR96FOOOY0BMuHN0bjqnS90DJSwAiNCqjYagiazfbCOI/T2B1x4VWhIRix&#10;cDUVV1KM4Ei+gIuJCTgfH4+zsXGIM8TGnkXs2fOIO38B55IuIenSFSRL1dDrcqyrHxibYaFCQ8mK&#10;qND4iIMi4+nTZ3j48BFSU68iiqXF/fyxdZu7WDI2b9lmdqg+OHg4THzuKjCUN3HZCNBj4RHYZ4QG&#10;rV+fU2jg+Tf4+fFp3Lnojoj1g+HcpTyGV8uPaoVoUbBljOTLWw5FKzugXJtxaD5yKUYv3YjV7u7Y&#10;5L4Jbm4rsXnVBKwa3wZTO1VAx5pFUSY/C22lc5uQXHmQr3xdFGwxDNUHf4ERRmg4b9uB0PRCY3Rn&#10;TC/zoULjKq4knUHCgU04vmkoVoxoiibVSprX83vkQ/4CZVC6WX/UnrIdg7ey3kWCOUb6zJXPjwoN&#10;JSuiQuMjDsZl0GXy3Xe3cfZsvPjWWSeDZcX5kyKDu9Sz587jYjIj2lVoKPaxLBqZQmj8dA8/P7+K&#10;h18dwgXvqQiaVhtz2hVD3VJ0OaSJjVwFkK9gKRQqVQ2lK9dFtToN0bCpWcibNkLzJvXQtH41NKxa&#10;CrXKFES5wnlRMH1shgWFRlkjNJoNRvUBizBy4Ua4bN+JAwf34vy5/RkoNHic3MhXoBiKNOyBsqNc&#10;0G3DUbgePocU84x+SGGtjEKFhpIVUaHxEYaVYcLUw5s3v5VeFYzLoCVDmqS5bIGH1x6EHjiMuLPn&#10;xGWiaazKr0GhER4RKWLVFs8TLWXrb9/+Xlxzn3T8/AN+/ul7/PD9WXwT5YhY1x5wHlMb3eoVQ8VC&#10;uVGMzdUkXuM3QqFRpjYKNumP6v0XYLQRGls9vHDoiA8Szn8aoVHUCI1yRmh0V6GhKB8NFRofYdCS&#10;wfLi9+7dlyZooQcOScfJjU4u4jLx3GVExsFDOGkWC4oQigztX6L8GozdYSl69jsJDArGcSM64s8n&#10;4Ouvv5Fspk87nhsh/RjPH13Hw9Qg3Aj/AgfW98Wi3lXRs0Y+1CqRB4Vk0f+NUGiUroGCDXujZt/Z&#10;mLBkE3bu9cax4wFISgj4JK6TMmz/PmU7hmyNwg51nSjKR0GFxkcYFBmPHz/GN998g+PhEVKQa/3G&#10;TVi7bqO4TLhYsN07+1cwm0BdJsrboNA4Ze4ZFu0KCg4RCxn/+5q5d548eZJ2532q8bP5/0/4+fl9&#10;/PQwCY++CkJSyEL4zGmNhZ1Ko3OtIihfNB+K5MsjLpH8ZuF7mbKaB3lzF0C+fIVQsFBRFClSFMUK&#10;F0SJgnlQNF8uFEgvUERoVEfB+j1Qq89MTF7mgl2++xERFYykpKBXg0ELfexg0IIoULAiKrUeguZz&#10;dmG8ZzT2RKbPOskcqNBQsiIqND7CYFwGd5rnzp8XM/fGTS7Y4OQsrd9ZbIm+dtbSoMigNUOFhvI2&#10;Usx9cjrmDA4eOiyF3kRonI7+TEKDw4iNn8z7PvsWz++fx83z3jjrPRd+bJA2ojkGtqmMVtWKo1rB&#10;vChlFj6psUFLQYHSyFeyDorXbI0a7Xujea/e6Ny5Cfq3LIE21fOjQtHcr4iS14XGbj9/RJ4IxYWk&#10;UElv9ZzYHXOZ3lr8A9NbE6301v5YOrg+Gld+1/TWzIEKDSUrokLjIwz6zVkiWio57vTC6rXrpZeJ&#10;r5kkmcbKqqDaw0R5HyhIGQB6+MhRccUdCTuK059baPz8kxEbT/Hzs7t4cucC7qeG4kqUE45sGwvX&#10;ma0xpWMVtC1ZUDq7Sn2MXGYBL14X+Wv2RqXus9Bx0RaMd3XDitVjsWNadczpWgRNKuZDfiu+441C&#10;4xAuXDiMmIObsXtGbynY1Z0Fu/LTEvE+QoMFu05Iwa4DaQW7Gr5zwa7MgQoNJSuiQuMDh1X9k4F5&#10;zAZg4B7rZWw2E+m69U5w3+Epi8RZ8+Cz8qcGf35eOEHTHUHBl3zpsmAF5WZG8cfPdSY2zgiMY1JV&#10;lj9tFo1rn0lopBs/PweefQ88voSHXx3HlZNbEbVrDnYuGo55fbtiRPv26N2uPTq174ROvcejy5iV&#10;GLrcC4v8j2JL+EH4eM3GwYW1sLJXYbSskjfNfZLbCI18KFC6Foo26oX6A2Zj5qqt8AkMMd/7qHmG&#10;jiHm8FZ4z+2HZc2Lo3fF/OlKkDcyQmMQOo1wwiLvU9gTa5UgT39O00qQJ0QixsdeCfLCRmhUQVWH&#10;EWg7P60E+QkVGoryMVCh8YHDVjPjKR49eixCgkWVWIyLbN7iJtkCJ06dljRWukw0+PPzwoWbgbjx&#10;586L+COsyppZ04ztCo1T0bhq7qPPLzR+BH78AXh+B88eXMfdr+JxIykcCVEHEBHohwPePggw+PgY&#10;Ag7D9+AphJyMQ9Sls4hOOojw3TMQPKUaFrcrgGbl8qBALlswZt5cRVC4XH2Ubj4AzYcvxKKNOxFy&#10;KAxxZ6OMMIxCbNh2+C0egDVtS6JftQKoWJBCg66Peiheog86DFuHuXtOwCP6Ck5cuGqn18klXDof&#10;IU3V9i9sh7k9KqN+hcLm9RQaxVCwYA3UaDsGnZf4YLbPWfidSs5094YKDSUrokLjA4etZsZjfP/9&#10;HUTHxInLZPnKNdKVlRknBw8dkUWNE4OFvQugfBoo9ng9TphJOiIySrBKwGfGa/MLoXHkqBEapz+T&#10;0PjJ8CN+Zt+S50/w/MkjPH38AD88uIeH9+7g/p27uGO4e+8h7j5+iodPn+PJsx9FjNtgv5O7hsu4&#10;/3Uozu2ZAr9hlTCrcV40LpUb+UVoFDRCoxSKVmiKSg5D0X7cUqzcsgdh4ZHmGkWb63caccc8ELhy&#10;CDZ2K4tBdQqhUmEKBLo+aqFY8a5oM3gVpu2MgFvUZUQkvi40bG3ik8+xTfx87JvVEjM6W23i2b21&#10;JAqyTXz7Cei1wh8L/c8hIDrziVB+HhUaSlZDhcYHDk72N7+11cygqKAVY+XqtdIsLTj0oC2VVZul&#10;fXZoSbKsGeERUfDbHyhFsLx9/BBirlN0zBn5d3uv/ZzYExonP5fQ+PkJfjZC4dkPN3D363jcSAhD&#10;4nFvRPlsQfB2J3g4u8LZxQtu+yOwJ/5rHL/xGNcePkt7sRliAfkOeBqLu6leOOU6Als6lcWYKrlR&#10;twizVGwLfd7cNVCqSgfU6jQGPaetxDr3fTgWeQIJiXFIuXIWCSd8cMRlInaOqoNRLUqhanGWP6dQ&#10;KIdCRZuifs856LcuBMuDz+Ng3GVcZG8Rcy4lPfWaEQ1X45F0JhiHnadg6/D6GNe0BGqV5HsXMJRH&#10;4cLN0LDLDAxZH4pVB5MQGpf5MsRUaChZERUaHzAYn8F01pQrVySjZM8+H8kyYXGuvd5+4jJhPQ22&#10;fbd30pVPAydlLti0ZrBQWmBwKFy3boOT82a4uG7Frj37JLYmKwgNxvt8PqHx0AiNr/DDvTjciN+H&#10;uP3LEbhmNDaNaYeZXZuid8u2aNVqADpNWo8hu89izZnvcfLmD/iJvX9YzO6nZ/j52Q38dP8ovju/&#10;HodW9sEX9UuiT9FcqJ6PqbBc6CshX55mKFe9Nxr3nIzBc9dgk6cvjkedNM/SOfOsJSEpJhQnPedh&#10;/9xWmNy5CmqUKmReR6tGERQsXB2V241Fy7l7MNnzNPxOXEBSytW0/iKGqxeQeuUkzp/cA/8VI7Gm&#10;SzUMrl4Q1QrbUlvz/q06ihTtgGY9FmLCljA4hyfjyPnM14dIhYaSFVGh8Z7Dapx27/59McUzFoMV&#10;QDc4uUjNjKCQA1JYSat/fn5ozWAMBuMxjoVHwmvXXqlt4mhg3xlaNSJPnFSh8bbx8z0jFq7h0e1I&#10;pBxfj+ObBmPLuCaY2KIU2pXLj6qFi6No0doo224i6i0JxuiAFPgl38Wd5z/h0Y9P8fz5XTy9dw73&#10;L+9AcvBU7JzigJGViqBF3lwoJ6XICyNv3trIV7gLKtUfAYeBMzF26Tq47fVH1CkWuUsyQuMSkuOO&#10;INZvGQ6v6opZvWujdtnC5rV0u+SVYlslG/VD9eEbMXBtKLYdjMPppCu4cIViIxVXks/gYlwwTgVt&#10;wPbpfTC9cTl0LpUXFfKb1+cuirz5G6JIuQFoM3gt5u2KgFdMCiIvZL5AYRUaSlZEhcZ7DEtksEDX&#10;d7dv48TJ00ZkbJe6GXSdeHrtQZg5oXSZcKHQANDPC88/xWDY0eNSz4QZQStXO0rALv+bN3+cmZgz&#10;43XKXELjgREaN/Do23BcClmAQ0taYkXfCuhcoxAqFcqD4nkLIH/BcijSsC/KDN+Mrk6RcDn5JZIe&#10;P8fNp/fw+Mk13L9+AKmhc3FkZXss6lkVLUrmRwUjMopwocxTDHmLNEO+CkNRrfVUdBm1ADNWb4TX&#10;/mDExJ1F8qVL5nxcweVz4UgIWYfITQOwYFAjNKhQLK0xW27ky1sMhaq0Q6k2s9BhqjtW7IlA8Jlk&#10;xCRfxuWrybh4NgyxB10R6jIVywY4oE/l4mhQIDdKMuMlbynkLdEOxepMRddJ2+EYFIOQRHP+L2e+&#10;dHQVGkpWRIXGewwKDaaz0m1y48ZXZhE4inXrN0qZcfednggICpHFgNYMTgiZbZLKKfC8M5WV1gy6&#10;sVjPZMvW7dKqf62j2dFK6rFZeMwixoyhzHidMpXQwCNz79/Eo1tRSAmajbBF9bC4e3E0LpcPBcQi&#10;wcW6CPJVaoUCrWeg0WQ3zPQ8Cp/zyYhgJc7EQ4g9vBGhq/tg05AqGNSoKMoXzIP8UpEzH/LmL4eC&#10;FTqjWJOZaNBrMfpN/gIL1zvBJ/gA4hMSxEWZytbsiSdx8ZgbYrwmYdXYtmhbvTTK5jVihXU4chc0&#10;YqEeCtToh/q95mPcSg84+R7CvkNHEBZ+CAf93ODrPBMu03tgdOvaaFa0ECoYgVLEfIZ8BSugYNV+&#10;KN9hFQYu9sOOY+cQlXINCVf5DNu/Pp8LFRpKVkSFxnsMCg1O8rdv3zbnKBlBwaFSnIsWDZrhWX6c&#10;xbkYE2DvZCufBlooGPwZcyZOFmnWNNlgRAYtGazWylTkk2KSz7wl4TOX0Hhi7v27eMKmauFfINap&#10;FdYOKY9mlQq+bPWe2wiGYlWQr0o7VGg9GO1HTMPYRV9g5pJ5WLx4ChZO6YfJPetiQKNiaGIEShGp&#10;6snYiNIoWKQhyjQajloD1qLDxHUYOXc1lhvxHhBy0IiUJDkXV69dQ+qls7h8xh/nDjli+/wBGN2s&#10;MloUz4MK+c1nyJ0XeQuWQ76SDVChbic49ByBAWOnYuyUaZgxYyqmjRuC8f3bY1DbOmhZpTQq5cuH&#10;4nS5mM9QsHhtlG05AY3GuGOySxj8TyUhPvU6ko3IyEx9TogKDSUrokLjPQbdJg8fPsR1c+JiYs6I&#10;uFi1xhEurm7Sk4IiQ4tzfX54/mmt4CLNQF0KwdVr1olVw1atNULSWmn1oChRofG2waZqT/D8fgoe&#10;nnfGVd9e2Da1NtrWKILCZpFjbxNZ8FgJNG9hFChUHEWLl0KZMmVRtmwZVChTCuVLFkOZogVQskDu&#10;NJHB17AGRi0UKdkFtbrORYeFXhi8wh1Tv1gHRyMMQw4ckv5AvD5C6kWkXj6J5Hg/BG+citXdamNo&#10;5fyoVyQtRZbvn9uIn/yFUbRICZQsUQqlS5ZC2VKGEiVQumhhlCxUAEXy5jUCKY8RSMxaMZ+1bDPU&#10;6bsA3VeEYplfLI7FX8alq7bKoio0FOW3o0LjPQaFxt2795CcfAnHj4dLV9YVq9Zii9t2HDl6/MUO&#10;WWMzPg9cnHn+E5MuSDYQhSADdenaYrVWVm5lvAYX8MxaqMsicwmNn8AU1Z9++AZPvwzArZMLELKu&#10;B6Z2roKW5fOhchEW3UoTG+8EM0UKIH/R2ihStQ8qOcyCw/gNGO64F9M2emCxo4tkBfE7X7h4Kd15&#10;ScG1a+eQkhyOqL1rsHdmTyzqXANdqpZA+by5UdQc+4XoeRsUJfnLIl/xxijXeCi6THPBrF0nsCM8&#10;CdFJ5hmmsEl3PTILKjSUrIgKjfcYLNLFviZ8mINDDkiX1uUrV8Nt2w7paXLpsjZN+5xQZIjLxCzQ&#10;/oFBklniaAQGhYar+TNdXWdiz4rIoDVDhca7jrTurc/u4ccH5/Dwui/i/WfDa1pTzHAohlaV8qOI&#10;WehfWcjfCOMymJZayoiMTijfYykaTduFAcv3Yr7rHqza4oH1m7dJAbxjRszzWr08L1elHkbq5Xic&#10;O74HER7zsH1WD4xtWR1NC+VBxdxWM7d3IHd+5CtRBwVqD0atPiswbn0A3MPPIyzhChJSaOV69Xpk&#10;FlRoKFkRFRrvMSg0WKSL2SYs+uQqRbocscPDSypOqiXj08OJl+f9ZVxGLMKOHoOH126scVyPVWvW&#10;wXkza2Z4ixi8mHzZ7nEyG68LDTbsk3vM/P0PP3xqocFBsWHe96dbePboPG7Gbkfc1sHwnFAPo9pW&#10;QJ3yRVC2cH4UN4KjcK5cErvxcmE3IiSPWdgLFEWBomVRtGRNlCrfHDU7TUbrBd7ovz0a090PwnH7&#10;Lrhs34mtht3mekVGnZDA6pfnhcLQiICrKbh8/hiSInfg4LbZWDW0IwbXKo/W5UqgSonCKFEoPwrl&#10;oWsk/WegwDGfIU9hFC5UAiVKV0b5Bt1QredSdJqzD6t9TuJYYgrOXzWCNRO6TCxUaChZERUa7zGe&#10;G6Fx46uvZXfJCqCsm+G0abOIjtPRZzL1Djm7QoFBSwZ3vtExsdLplC4tXhsG6m5ydk1LZQ1HbFy8&#10;WDLsHSezQaHBOBO6eig0WH2WZdP5+X/44Ye0O/JTDiM08Nz8eIgfn36NBzci8dXprYjeMwPblvTB&#10;jIGN0a9pBbQsWQA18uaypY1aC3wuuknKo3D1FijTqj/q956CzuNWYPwab6wOPAu3iEtw8QvDetft&#10;cDKi0M0IjX3efkZonHxNaJDrRmiwLsZZXD53DDGHvODvvBQu00dg3uBOGNqxPhzqlkdlIzgoeF6K&#10;jcJG7FRA4WINUKN+Zzj0GIm+k5djwtp9WLk3En6RCYi7fFUCQF/t+pq5UKGhZEVUaLzjYHzG02fP&#10;xHTtHxAEJ5ZdNovZNjMpBgWHiElehcanhwsyRca58wmyKLPPDItysUor2bHTU0SGVGo1i1ZWsTrZ&#10;hEa8xJpQZFBAMYj1svkOn0docFBs/Iiff/oBPz75Gk/vx+PWlUDEH1iOwA2DsW5Ec4ypVw4dShVG&#10;zaKFUawQKYZiRcqiZLWmqNB5DOpPXIe+a30x3zsGnidTceb6HVz88luEHDmODUa0EwoNH19/seDY&#10;FRrXaNVIRWrKJVxKiEFiVAiiA7dhv/NcbJzVDxN6N0PLWhVRzsxlxQsWQlFDkUKVUKRYM5Sv1g/t&#10;+83H+KXbscrrAPYcj8Wx85cReylVAkBTzXtkVmsGUaGhZEVUaLzDsNJaGQiamHgBe/f5pPn93eTP&#10;rKdhNVCzd5KVjw/PNUUD272Li+HoMbEsMYiQ7ixamljbJNCIQLpTMnOGiT0oNJjFRKFBiwbjS2hJ&#10;YyDy5xMa1vjRPBSPjPr+Fk/uJeJmcgiSjm7GkW2L4T57PFaOGY4ZI4dj5HAyCiNHjMfoqQsxcY07&#10;5ngegdPh8/A9dxPRN+7j5sOn+Pb29yIS+Uyxwi5dkYFBbA8fY0dopMNcy6tXLuHqhVhcOhOGU6Ge&#10;CNq5GptXzsSsCSMxrH9/DOzbD/1Jv5HoP2Amho9ZjQWrveCy9yj8jschKuESzqelslJk2H2fTIQK&#10;DSUrokLjHQb7Ndx/8ABf3rhhJr9o7PTYJUGGbtt3SP+MqBPsx5CkQuMTYYkMLsbMMOEi5eG5W3qY&#10;0IpBlwn/+8DBQzgdbXa85nf4u1np+qQXGiGhh7DfP0isGoxDefz4cwsNZqE8M/yA50/v4Ie7X+Lu&#10;18n45lI8LseewvmTUThzIgonosgJwymciDmLUwmXEZvyNZK+voNr3/+A7x4+w+NnP+KWERoUio7r&#10;N2KjERosFU9xRYFIt5i982PDXM/UVFxNuYQryQm4EB+NuNPhiDp2EIeCgxDgtx/7DX5CIPz8D8I/&#10;6DgOH49B5JlExCZeQlKKzZKRGVNZ7aFCQ8mKqNB4h8Eg0Fu3vsMFc14YnLfFzV2Exk6z8+IEaaVL&#10;2jvByseFEy0XYSuNlcLP1y9Aqn4y8JPXhcGfAUHBYGdW1jXJ7Bkm9uB3ZIwG3T7sMssiYyI0kjKD&#10;0Pjtg1ZCPlestHvz5k0cNMJCYmpcXsbUsEdNVomp+VSo0FCyIio03mE8f/6jWDMY8MkJnwsZFzR2&#10;/2QGinZq/XTQksHFhxUj2fZ9f0AQtrl7pImMjdjuvtPsXAMlw4RFuay4jKwoNBj3wwwaCg2mU3Px&#10;vXTpciZwnfz2QaHx9Okz3L//QK4ny/evXssMoS3yjDHjhHE3KjReRYWGkhVRofErg5OhNSEyCO/I&#10;kaPw2rUHGxm05uQMHz//FyXHuTDYO8HKb4eTK6Fg4LmmleLk6WhxJ7AgF60ZjMtgfIbf/gDJVuBu&#10;OKuKDGITGi/TWxkQShcd//7zpLd+3MHn6tGjR/j21i0RhHyWKBbZnJCiii4vCvjs+lzxnmR8UYL5&#10;7ozveld4Xx88eAjjxo5DpfIVVGgoWQIVGr8yaNp99uw5Hj58JA84J0OWsaZ5lwtccOiBF5NhVlzM&#10;sgqWFYPuKWZi0JJB1whTjNnDhMKPC9Sefd6y6+dOmL+blRep14XG5y3Y9fEHhcaDtLinM2fisHef&#10;L1YZsbjVbbt83+xezv+KuZ85+bq778D6devfmXWO67Bo4SJ06tARpYqXUKGhZAlUaPzKoMuE/vDv&#10;v78ju2Smsq7bsEkqTu7euw9Hj4fLZGjtuO2dYOW3w8WGuz9JYTU37J693iIsmMZKv76rEX8Ugfw3&#10;xjVYFiYKFHvHywrkBKFx7959+T78XiwPT6sUA6z5XS2xmJWv4a/Be9TNbRsG9uuPJg0bvTONGzQU&#10;UVG+dBkUzJtPhYaSJVCh8SuDEzpFBkUEJ3sWf+LixvQ7phvSfP+r6XfKB8NzzkWGCy7FHDuxMgPD&#10;x3e/ERmMkdkosCOrWDKM6GNMQ1I64ZeVxV9OEBp37tyRmBPWB/Hw3CVCg/E2vM7MrrFcX/bOT1aH&#10;323N6jVo2qgxShYthlrVa6B5k6Zo1bzFr9KyWXM0MWKjYrnyKJSPTeFUaCiZHxUavzLoQ77+5Zey&#10;S/bd7y9m+vUbN8Hb1w/hEZHiM9VgtYyBIuGlu+QsDh46jF2790rPknUbnOQ6cPe719sXh8wiTJeK&#10;1dTO3vGyGjlBaNy+fRvnzydIxgndYCtXr5WW/lbpcV7/7Cw0Vq9ajcYNG6Fa5SoYOmQoVixfIa6R&#10;X8NxrSMWLViIju07oFQxdr9VoaFkflRovDY4AVrcvXdPFi9O8uydIamTZgcdmtYSPjubdj8XliWC&#10;55Xnl4GCjMnwMiKDNTLYLZc7X2YnePvuxzGzG7YCcrOyBeN1coLQYFprTEysVNrd6uYu15b1T05F&#10;x9g9J9kJS2g0bdwELZo2w6aNThLvxfv+1+B9EWWE2JQpUzXrRMkyqNB4bXACZLlxq4EaJ3ea5jkR&#10;MuiQOy7GAnBS4OLGh9/eiVU+DO5i6SqhtYg7W6Z27t7rLRklFBos/U7XFVMgaWKntYNikBOwCo2s&#10;M/icff3113KNGQhq1abZs9cH7Flj75xkJ9ILDbpDnDc5y31s73fTw3tc01uVrIYKjdcGJ0AWEeJk&#10;fs081KwuyYqTjM+g2Z5lrtmDgcGJFBnZaXH7XPAcEp5PnleKB9bBYKoqBR4XIAZ9WvExBw4dkV1v&#10;/PkE+X3LxK5CI+sMPmdffnkDYeb70YpBocF4G19zzRlrY++cZCdUaCg5CRUarw1aM6xMk4TERInH&#10;WLXGEc4urtKwi24TLoQam/HbscQFF1WpKZCYJNU8ubhSZGx39xCRQVcJe2BIyfegECmcRqtHdnOX&#10;pCe7C42ffvpZvkto6EG4bdshaeNbzU/2pok7m/0XSxUaSk5ChcZrg63gb3//vVnEUiTgkzvo5StX&#10;m8nQXWo3WH1NuBDYO6HKu0ORIa6S5Es4Y8Rb2NFwKcLFeBiXzVvFVbVuwyapxLpnn49YMk6ein7h&#10;tuI1UKGRNQcFfYq5hvv3B0rcE4XGTs9dUmadbjN75yQ7oUJDyUmo0Eg3aM59+vQpbki58Rj4BwTC&#10;des2CVKjNYMplJwELbeJvROq/DqWFYMCg5NtQuIFyRhh3Iv46s2CQ+sFq0RSZLBmidfufbLgnjXn&#10;nqKEr+VxsqvIINlZaFjuyYsXL9k6Ia93kuvOWBx+33MJiXbPSXZChYaSk1ChkTY4+TEA9PHjx5Lt&#10;EHLgIHbs9JQgRJYb9/XzlwZelslehcb7YQkMcjH5shFsCTgdc8YIjHDpgMu+MYyBYfdOBnyyIJfn&#10;rj3wDwyW36Hf/qIReDnl3L8uNI6EZQ+hYYkM9muhZYqdWh3XbRT3Cd1lxyMi5e/tnZPshAoNJSeh&#10;QiNt0JT77BmbPN2XGAxaMDZuchGzLgMSbSbdhGxtrv/Y8DxZvLBiGKFwNp4ZJSel/fmu3fuw2dVN&#10;im8xFoOZJSzvzsJcXGRZqItFuDgx8xg55dzbExqnKDSuZW2hQTHPXi2sChpnnjO6JnnNWUeDPU7Y&#10;pJBi3t45yU6o0FByEio00gZ3WfeMyGAkPGszWIsfFz1vHz/JgniXiUCxYYkLWiC4cLAeBkVDlJkk&#10;6QZgeqqH1x6xYrAQGt0ktGRsY/dVs7NlzxL+Pt1U9o6f3fml0DgmFrWsLjT4nLFj6zff3JTsLZb1&#10;p9BgfAbvCwYD06Jo75xkJ1RoKDkJFRppgy6TGze+MrvteAQEBom7hNUn2YMh7OhxmfQ5Odg7icqr&#10;WCKDiyUnz5gzsVLzIjAoVApvcXGxXFJOmzZL4OeOnV7S3v3wkTBZgBgLc+Fi1m6M9lvIrkKDVkNW&#10;BGUgKFvgMwaKQoOuM4p5Ni9MvpT9nzMVGkpOIscLDfqMCa0ZSUkXXrSClz4aZoftb0QHJ/xE82+a&#10;0mofS1RcTrEFeHJHyiBPigXGFRw6HCYxLix2xpbuXFjWOK6Xc+zKWAyv3QgIChF3ik1gJMu5/lBX&#10;SXqhYx3jQ47zObEnNE4boXHNfI+sLDT42b/++htpmsaKoKvXrMP8BYuN4HQx98h+aYF+/Hi4ZHdl&#10;Z46Z7zhn9hzUr1sPjes3wNIlS83cE2b3d9PDAmd+5jyNHDESFcuWU6GhZAlytNCgwGBsBs25t777&#10;ThZFdgbd4mbLfGAdB5pzKTK4gObU3fXboHuE54ixFwzw5GR4yEyaFA/MJNnp4SXnlMLNcpGwJgZ7&#10;l3Cx4Tmmb56Lj1WA67cIA77WctlQ9PzW430OsqvQYBDo9evXxTqzbZs7xo+biG7dumPQwEGYMH4C&#10;pk2ZilkzZ2GuWYSzM7NmzESXTp1FLFQqVx49zTmYMXWa3d9Nz5xZs+U8tWzeAiWKFFWhoWQJcrzQ&#10;YHCaLaX1K5nQWZ2QIsPF1Q17zCLJXTYn/ay4K/5U0OTLRTEiMgoHDh2Wlu0M7mPzs5Wr1mL5yjUC&#10;LRk8twwApAhhnRK+jq+nMPgtVoz08Bg8JoULY0MoElVoZI7x6PFjcZtwR79ixSq0a9MOpYqXkAZh&#10;ZUqVRjkDW6CXL1M2W8PvWbxwERTIk1egaJDvbud3X8GcmzIlS6FowULIlyu3Cg0lS5CjhQatGezQ&#10;+u23t3DuXIIEfbISJXfenl57JCuCAYlZZZHi5+QCxQWbu3kutKw9wXRBWhxYg4IWAy68b4O/x2Mk&#10;Jl2U1547nyhuDVZt5DlhnRFaISIiT4hFIig4RDJFmJJKawWbntF6QTa5uIpFgwF/e739JIOHVg/6&#10;4/ke7yvk+HsUE+kDTZkpxM8UdeKU+Pr5mUIPHsLBQ0fMTR4un5Ofl6XLWbeDrp3MbO3g5+L34bkK&#10;CTkg8QyMdblu/i1LCw3zvFEEMsNk/vwFaNqoiSy01oKpfBgqNJTMTI4VGrRmMDDtu+9u22IzzI6R&#10;MQTsqcG+Cyx1zaBELmKZcSGyBxdfigQuvjFmN3z0eAQOhx0VSwMXLVbf5OJOAfI2KCq4eJ86zcX7&#10;pFm8I3DELHbcXfPcePsYUWHEGEUFa17YKnm6iBWDYo3uEYoLVvn02+8viz6zeXg8dlul+LHcJPzc&#10;9r6PPdKLDC5YPBa7u3LhYh8aihlmCjGbhVYpZg+xGBSzWfh52Vaeize/kyV0eDweNzNdZ54XiqaA&#10;wGCB5z/+3DlpREYLXFYdTB/nYsjrMH3aDDSq3xD5c+exu3gq744KDSUzkyOFhhWbwZ0hTwIXKnaN&#10;5GJppdpxYueCy8UwqwiNlNSrYoGQct7mwtKFwdLd+wOCzEJ/WIQCvxeFx9ugW4O7aC7KFBYM5tzr&#10;7SMWi+1GkNnSf52wbMVqrFi1BitXr5WeMBRqUunRiDVrUY+IOiGCgMLgfUTF61gig4swj0XXAq0V&#10;/H4srsaaJ2vX2VrJW+3kifVnsVa5uIr4oQWG35Fi6kMET0bDz8P7kuedqcC8JhTEN29+KwI5q457&#10;///23gK6jivL956Z996aftMDb77p7nSnO81Jp0OOmZltmZllZltmkJmZmZmZmUmmmCHmxExxYicO&#10;9v7Ob1+Vo8hlFtwr7b3Wf0m6ulV16tSps/9n0/n8c01hnTlrjkRGdpTixYpLutRpFBnTptNMCsOL&#10;o2zpMjJ2zFids/zGk8GQmEh2RMMjGd98860WDTrpVtbUbWAFjKJidc4OkgQ1hlogIe3FYgCpQMl7&#10;O2JOjl7RE5SJkoUsPBPue3x/+sw5WrCMfmHPEdJSKQsO0cBiwGdUdZzjyBmkZunyFW4Fvk42bt4q&#10;O51yRKngvoEYYIV4FWXOsZACJlPqcaxZu14zhLCqQBLVejHN3av7m3RZLBiAmBDug/+zEy/3QH+Q&#10;usw29LujrRuc2++6iQHGHS4g3HkQjb1798u5c+fVAhfKROPevXtqTeJ59e7bX9q2ay8tmrfQdM2e&#10;PXpK7169DS+B0SNHybp163UO8BtPBkNiIlkSje+++14ePPhSiwaxSRdKB0sGkx9KdtPmLarMiB1A&#10;uQUz0aBt3kr/+IlTGpvAPaBU2VadlTxWBu6PdNIAAu6Np8N9zx3POQLpqAGQngrBmDbDERdHLqh/&#10;QAowKazEQUDQUNq4RnBL4MqBYLxKX3r3iPJ9RDLcpDpj1mx11QDSIyEcZA1hgfECKL1gSkqZQzq8&#10;+h3cH64eSAjtx2JAm702vkw74xKkClN7BHcQmTm4vmgTuwqTJRVq4hF8NizEqjZ6zHg3Lkc5ojrZ&#10;kdR5amHiGVAjwvDiIH6HWCreM7/xZDAkJpIl0cDHfc2RDOIv1q7bqLuEks9PjAarZGIzUJKJrWye&#10;B7TRi1eANGGdgQiwZ0jMfUOIW1C4Ff+LgF1rIRW4S7BwUDJ8ybIVqrjXbdgkmxyxwTXCRAcJoN9i&#10;Egu/Nr8oOBeEhYkU6wMZK7PnLlA3CEQI8oBlY8UqCn5t09gGjUk5dFjB75Ag3DhYCDDbcyyEg76B&#10;sEBOSG/mGlwrrtr+sohNNDQQ9PIVuXfvcyXKoSS8c4HS4w/l6rVrSkp5bvT/wsVLNI6I5wSR9OsL&#10;g8EQ2kiWROPBgweqUFjpYmL3ikctdkqI1TK7R54LEZcJChGSceDgIXc/Wx7tHYGLAGJAJgiBkuyV&#10;ASnAWvP82KqKm3gPyASKmOsQaHroyFGhbgbkgr7EZIuCRlnQJs8y4NfmFwXn5Bq4YbBkYLmgauso&#10;tyrGdUOtDtIlDzhlTBAr/UFVUdrkgeOJE9m7/4BmouBa4jz0E/1Fv23YuMmRko/0u4m9MkxKROMH&#10;9849/PprufvZPTdGzrlnuEH7fPzESRooTAaSZ0H06wuDwRDaSFZEA9Otl2mC1YKdI1nxM+lhBWCF&#10;DslAYQb7pIcSR5ljPSCgEUKA8mR1zxbrxGUQJImyQnmigHFpoGxfBByH5QdlHZNEeEQiJmL+j/7z&#10;EPO7fvfyLBA7gaKlPDklzAn4xCVE/Al/UxzsqFNUbNjm1y7A57Rfz+WIEsewRTnn6DdgsLpRiNmA&#10;YLG61nNFH+vXppjnO3WaNODT2k/Eo4BAvwXSiiE+9J8Xo/Kkc8YERJcsnSRBNDSN/Cu5eu26jkEC&#10;XHHnMVaxIEIgTwQBuTMYDPGDZEU0vv7mG416Z7LHmqEbeo2bqOZz3Wth125dCTPhPY8ySCx4ihPF&#10;RVwB2RMoTYI0iaEA8xYsVpLhxUugEFF2uDaeF541wCNeT+uTmG3iWhzvKVn+Rim/bL9yHqwqxF8Q&#10;R0OGC3EkPLPNWwM7vHKNZ51fyYH7DufD+rFh0xYtLNZ/4GAlZwQDc87tO3er4kPZc4zfuegTiAXX&#10;xtpDLAhKE9cVViRIHpYkrEiMK+p3sGr3rD7P6ge+QzAoVrZQJxq4TQi85p4IBIXQQRTZ52SjI3ZY&#10;xhhnT+prg8EQ2khWRAOXybXrrKqOa5wBpneIBsGT+O9RPs+jBBIbTMgoVZQ4q28UGqtDJm/uCcJB&#10;HAPFtTwFzzEvC/ojNvic8wKuAcH42Cn7k65NR4+fVGsIypH2UeyLVT9kgO+h7L02eeeLfY8xr4OF&#10;AGVLXAUBhAMGDdGiaus2bFRLBuf1zhX7PLHBd2jvx2fOqSuImJP+A4eoVWPg4KFq4Vq7fqMcjs5C&#10;oZ1eW7z2cDzkDfJAfAFtI9AUxUn/E39A3A9ZP2T5LFm2XK1lUe56EJjY5/VrJ/0EUcRKRdZJqBON&#10;u3fvap9hlcKlx1glZggCSZ9gQXpSXxgMhtBGsiIa7GeCSZviUaxkyarAqkFBJFZauE1QAH4dFSxg&#10;MqaNrADZL2K9U7Zst07tCszRU6fP0vTcHbv2KBHxO8fLwrs2ihKrANYSAi0J0Ny+Y7cqXUqQr1m3&#10;UYMrWdWzEy5EiLgIVv24A1C4xHhwjjNPcFNxLZQt90BFT1bBuEyo2wEpwPqAuwjLiae0Y5/DD3zP&#10;I0lYI7AEQTT69h+kIFaH6qX0HwSHNvB9wO9HjwWyXrBUQDDmL1ykgbIUBfMCTAEuGT5DmRILQoYO&#10;z4W4F+6HyqSc70lt53/0F0GuS5etdITtiG5GRsErFHcoCe3FXYmLb/XadTJj5mwljNQ+IQWasRwK&#10;BN9gMLwckhXRuOSUBaZaJn6UAStPVleYqI9HuxdQKH4dFSzwVtT4/1klUx8CVwmmf+IMsNTsjtoX&#10;iFlwStzvHC8Lru25DPCrU9Br5arVSgK0TsWUaapsWc1jKfKULu3ic1b8EDxW+JASUmHpd+4n9rVQ&#10;OpAIjadwypnj2C8FkqFEY9IUVcRYJvjuiygpvsu9UNgMi0FMokE/ci0sQhAKz6RPGyE9jJUfA0kn&#10;KzEhvZb7hPxA9GY6Bapw56FPsHIQB0Q/YOXAQkG9E87nEZnYbWSFD2kj9Zr6JFiIbt26rSW8v//h&#10;h+gRHRoC0bh586YSLMYnfUefQaIgnZ6LyoiGwZA0keSJhlcBFLcJ5XlJp0M5kLVAxgKBaZilvQk/&#10;2Cc7yBC+fjZ7W7BwiSoxLBkoOjInWGmjvL24Cr9zPC88Bc55uG4gJuGQxhxgSVmydJkqwkBtioka&#10;NwF5A/xOrQSvJLn3OX9PmTZdlSeWpZhVQ2M+A35yn6x4SVvF8jRg0FAlAxANYjW2btvxSmQK1xIx&#10;EBAN3DEQGdpIYHCgnspWJXR677hK9h/QtF7IA98L1CcZrSSKfsC6gdUCCxm1OYjX4Dy0HYsTJAZM&#10;nzFbC4WRjuwFH8cee3yGCwc3GO4dLCnEFzGWGdOhJNT9oHQ6VVxxJU1xhJM+I9UYwsq9x3wuBoMh&#10;aSHJEw1qZmC2PX/+vK7AqRqJgqCCJCvTLU5Zeal1wU4yAK4fJmz2GkEJcS9YEMi+0PRMN3GjGLmf&#10;V53AY5IMCAYWBNwF8xZQjXO2THIEg1U61gXdT8R9BtlBuRK4SVAkymS+I0Sz5sxXiwYET1f/7hhW&#10;thAOXCvUuYDIeGQDYGrH5YLFBFdETItGXBMNyqfTj1qDJPrnipVr1MVDn1MOHAIxc/Y8Jaq4cWgT&#10;tVcgF7hxIE1RjjyQ5QMgEqTdQipw0UBsA3E049R9sHzlaiWMxC7EJhu4lEgD5RiIBm6mr776SpU2&#10;KdqhJLSZzeDoB947iCk/GUu4hIxoGAxJG0maaDAhY2q+6JTlnqgoVXooRpQzyhDlQACoZx4PZqJB&#10;22gjdSAgGV5aLitkFDYKGcWMZcC7l1e5H46FZKAAUbQE8aHwWc2zikfpozTpS88CgMIl80IzLXbu&#10;1mBL0oghRgTbcjxKBkXN/iMEX2KRof1YLQiu9Pz13APxH7gZ+D/PjetxTEyiAQl62fvEkuIRDdpB&#10;rAVECSLEPXJPmPYB8SaUWsdNRZwIFg1iDDS+x90j/U5/XXDtpu2Av7kftczs2q1xGtw316P/vPRO&#10;SJx3vHcvZ846ouH+x8p/viORH398RlOzGdOhRDRoK+2+cPGiWg+xck10JJO+g3jwDOir2M8mVOA9&#10;65jARfsq757BkNSQJIkGkxt+YfYzuX3nrk5mKCyvIiS+dBQHSlvTGN0qOpgnBhQQ8QooLMgR/n8U&#10;3Ti38mYfkmUrVqqyY9UbV/eCwuR8rMohMVgocAFQ4Io+hHDQDlbqxDNALlj144enqBd9TnsBBIjz&#10;QAwIEsX6wjkgSZAlFDuxMqQcE7vACp/7oJATtU7IMOGZcQzWAI5jRQz5oY0eMXme++Y79CfHaDDo&#10;kmWPlD6kg43osLZQKZa+Xbt+g1pcZs+Zr+2EWEF4aAs1Lrgn7o/2+l2L60CG6BPOD6HheAgHv+NK&#10;4BqQGS+wlXuJTTTOOMISaqXHeQ9pM+X+P/74rBsry9SFNNmNHcYNFkbGB/cbu+9CBTxbXLK4gBgH&#10;xxwp99yAft83GJIjkizRYBWFNePylau6twKKCYXFShilhsLG/86E8LxKKrFAG0nJxcyO3x+lO9Qp&#10;KxQ/kzf3QmAjigoLBMrtVUEwIittlB2rfBQeq3wsCzNnz9HN07gurhrcC7g9mGBpA6t42kG7AZMx&#10;n0PqsI6gnCEQWAcCVpmRSmCoYUEAJJM252C3WZ7biOiCalgccL+g8D0rDufjuzGtAU/DI+Xv2ocF&#10;BaKB4p8xc46usLG8kCkC0eBeCVhkwzhIHeQA0GasG/QNVhfunXP6XYuxRdto56o1gfgOLDpck/7k&#10;viFspOqSxUNf0Xfswgs55l65Ppv/4TphXIcKcFvyDuK6hHhyH2SbMG6xbuBW4p7jaswmBrivbW6c&#10;rl27zo3HzbLD3RNjwiPAHnFkLHiIPU4MhqSOJEk0CJZ74CY4Nk1jxYQvGJ/6GKfY8KnzNytsJji/&#10;Tgk2oHwIRGRlTcl0rBn9yJAYNkLGjh0v051iXLRosaxYsVJWrlz1Sli1arVscMqWkuUEPqKAvawW&#10;CmWx8sdFQpqqt5J/XiXvgeMCm6LNcYo04BJBeaOEUexYPaivwKqXQFL+D+EgngPSo9YUdywWEOp0&#10;xHY7PA18h/4kCJO4EKwMtAGLDe4eSOnsuYGy9IwZ7ne8IwMQO1weAUvEOI05geigaLzr+10PcE2s&#10;NJAYgkYhipAY4lV4lrgTuC+e7yanrFBaS5e4e3dKuXPnrtK//0BZvHiJ7Nm9W/bv2xcy2Lt3r+xy&#10;/bl54yaZ50hGv34DpF27DtKzVx8Z5fp2Os/Ukcu4GLeJhXlurIwbO06GDhkqo0aOkgnjJ8isWbNl&#10;OUR88xaJigrsDMwYgXgY0TAkRyRZonH7zh21Aqxfv0nJBQoCkzhKkl0iWWGiJP06JdiANYDVH0GY&#10;rKwHDR4mXbp0lyZNIiS8arhUrVxFalavIXVq1Za6teu8EhrUqy+R7Ts4IjNABg8Z5votEIsB0aDu&#10;CKZ+Yi6YPGkXk+eLWoRQugRO4nKBMHBez42igZZOyQ8fMVKvTzwG/4OUEDy5cNFSDaScM3eBZq2w&#10;euR8z0s0aCurTVw0uHtItyQ1d7VaJwjiPKiEBhLA6hvCwf2T8eJVEMUKASEiK+VFiIa3tw7kjXgN&#10;rgvJYWwOcvc6xPV1r169pVXLVlKrRk0pV6asFCkcJqWKl5Ra7vlGNG4izZo2DRlENGkiTRo1loZu&#10;TFWvFi4l3X0ULlhIihctLuXLlguM23DGrf9YDAVwXxXKlZeypUpLefe8KpWvILVq1pJmEc2kW9du&#10;MmniJFm9eo3GKjFOjGgYkiOSFNHAZQLJIDaDmyNLAt86gZND3GSOssLcj5XDM7fH7pBgAROSZ3an&#10;vZjWWV1j0h/gVtadOnWVao5k5M2dR7JmzCTZMmWWbJmzSPZXRO4cOZ2CKyf16zeUtu0ipYdbfRL8&#10;SGwCJIdAVGIbIGkxTcJ+9/Ak0PcoaK8mBefFfYKy7eNWvZ06d5OWrdtK+w6dpHvPPnrtuY7g4NpY&#10;vmK1VuEksJTYBgqteaTxWe2gvQFz9zF13xDIiQl/8dJlakGh9ggVQQlM1TgNrUIaCD7FmkEgKqSI&#10;57Bg0RIdX89PNE5ryXMIElkkXANrCueif7t26ymt27SXWk7pFi9aTJ9l5gwZJVO69JIpfQZ9vjmy&#10;ZpOcIQTamyNLVh1XtJ/7yMj9OGRx9+aN29hjMNiRLXNmyerancW1P32atJLygxTy/t/fkfcc+Mln&#10;eXLllvKOgLRt01ZGjRotS90YIzgawnnajReCe3kP4hVcIxpnzwaq8jJOX3RhYDC8KpIU0QjUzPhG&#10;7n3+ua5adcv0SZi+J8ukydM00I+gO15CbyXu1ynBACYCJgYUFKuhQMl03AgjZKhb+fbvP0jauEms&#10;bq3aUsOtquIKWEYaNmwkLVq0VoXft/9AVfSY9/Gtr1y1VhX1q/QdLivIEyQBCxNpurgQsByg1Lt0&#10;6yFtHMnp0KmLIzp91dKBawN3Du4HKmWSQQRR4DMyh86eezrR8PoTKwz9ydggJoSfWBoIDIYwEG9B&#10;mjBxE16GiecyoY1aWnxqwI1DMOOLEA1cLRAmCAaxKBAlsi9w0fTu01/aR3aSiIjmUq9OPQmvUlXC&#10;q1Z1K+Zqvs/JkHgIr1JFKlWoIOXLlJECefNJutRp5O0335I3//Rn+csf/igfvv+BEo3SJUuq1aZR&#10;g4bSu1dvRzLnybp163XjPuI6EgKMUYAL59Chw0p0eP+Cee4zJD0kKaJBpskX9+/L1WvX1DSOeRof&#10;PwGEi5cs11UshY94yYKd1dM2lCLmfBQUPnyUHURjzNhxMnHiZJkwYaJMGD9exo8bF2cYO2aMIzLD&#10;lGAMdKt5AjGxOBCMSZ2M1WvWq9skLogGCp94GVwhuCMCRCpANnr27iu9+vST3n0HqILHkkIWCvt/&#10;YNngOEgC8Ry4YYi7eNrzpL18B+sH2Sq4L4j74ByeVYT/Q1BxU0EGGDdkpEA2IFqQVS0rPm2mBuG+&#10;HNFYKMuWr9JYEF4+CJNXD4V77dtvgAwZMlTGuFUwz2Lc2LG+z8mQeBgzerQMHTJE+vTurSSiYL78&#10;kuLd9+Ttv74pf/3jn5R4FCtaVCo6MpLfEZHsWbKqdQNXypgxY2XyZOqvzNZYjvgE15g5c5b+XLZs&#10;uWxx494LVDWiYUhIJCmiQZT7jZu39EViUkdRQDRwn+BPR2mzO6tfRwQLUEooLVbfWA5w9aDUUHDD&#10;nTLCpL/Ire7Xr18vmzdvlu3btsnOHTteGVu3bpVNmzbJ6tWrtagZ14JkoFwJYES5goBF49VqH3hE&#10;A1Mye19ACMniIJMEVwIrfMiGVxYcAkIGBpMkQbG4XCi/jtuFYmA865jFvrzrxOxLyAAppgx4yAVE&#10;A6sFFpKY8SZYu2gX1gb+j0sH8kMAJ9YH2gogPlyX9nAvXCPmPcZETKJBtg33QiAqBAfShLWGfobU&#10;EJ9CcO/yZctkneubbe65+D0vQ+KBZ8L7t2L5chkyeLBaOXJmy66uoQxp02lcTeOGjaR5s2YSVrCg&#10;pEyRQrLlyCFV6taRpp07Ssu+PaXt0IHSdtig+MWgftKuT0+J7NFdeg8eJCPGj5Mpc2bLItfujVu2&#10;aMZYqATEG0IbSYpoUJ4ZxULZajbGonIjwXasTlEIntnQryOCBShKz8S/J2qfKjRIBgQDywK1G/a7&#10;e7l0ya2gP/lELn/6qVy5fPmVQeXUE1gZ9kRp/AMkg4BIlCpuAogAVSpx4bxqNceYRIMUUdwJXIfn&#10;ROwD94q74keiMV4zYEjhhRSw/4m34RhWCdwvfOa5xLzroOA9kkGqLsGjFOHiWvz0FD597ZEU2kZW&#10;DC8GJcUJBiUAlOvgalm0ZKkCskLcDBYWiNfTxtWTiAZjktojuGpI/eQ61JmYO3eBbHKfHXSK4IJ7&#10;Ln7Py5B4+NS9c5cuXpRz587JypUrpXOnTlKhXDkpXbKUlClVWpo2aSLDhw2TESNGSJVKlSRVypTy&#10;foZ0kqlsccnRsKbkbNNYcnVrI7m6xy9yR0ZI3oa1pEDVClKiVjWp0LCu1GoRIc07tpc+gwbKgiVL&#10;lKD7jVmDIS6RpIjGl199pdYMlBIlskkhZIXMqpm9Kjxl4tcRiQ2UkbcCp4YCyg7FRGYCyocVNfU/&#10;tm/fKVeuXFE3EcWQvHoFxKZAtH7EN/o5/+d7fJ8YlifhPi6nq1e1+BClwwl61OBP9zsZGYFU1AlK&#10;BAgGjUuigfIlmyQQt7BRLSjeviaAWAnSYQnWPOVIAVvRU1MEskCgL8fjiqDPIJO4QADEgzTWwAZw&#10;O9RyAFnCcoL7guwZSILn9vCICecgZoNA0cA+LWM0O4baIQRxso8JIEYEywqWMq4X+z49BIgG6a2b&#10;NRgUkgLRgPyQnosLifghLDcQ4wULFsvWrTvkzJlz+lz8npchkeHeJ96pI0eOqCslomlTadigoTRq&#10;2FD69O4jixYudFgkjd3f6TNkkL+kSyV/LJxL3qhSQl5vUlVe69BAXuvYMF7x6+bV5Y1KxeRPBXLI&#10;3/LnkPcc0hbOK7lKFJEqdWrJ4JEj3DjfH/TxaobQR5IiGlQgRNmw8qTWAnEFrF7xybNqRaEw6ft1&#10;RGKDdvGyo7A0LmMz1TgD+2OgfFCmxARQuOn27dtKICiGdO/ePd3Vky3Er1y5+gj8zY6Zn332mX4P&#10;ssEESWaOn7Bh1wU34ezVLdmXPHKbYNrf5lbtbEWPwqeqJwoyrokG5AaXyDZN412k8Sie+wSCg/UA&#10;gkEhMYptYVWBAGEJwLKBpQfFDzmDQEAscDtppsrK1VqTg3HBuSEJ1AHhHFg7vDHBT8YIz4Dsk3Xr&#10;N0TXvJikVheOg/DQFopvEV+BFYZ0aUhN7Pv0wHlZORJPgvuJtkI0sM7wOWSHc2K5InAZ69GSJcud&#10;Ejumz8UkeOWMmyvnzpkjPXv0kHZt20rzZs2VaMyZPVvmzp0rLVu0kPwFC0iKvDnlzyULyG9qlZX/&#10;bl9Pfj6kvfx8aGS84j97tZBftKgpr4eXlj+UKih/dYTjnTzZJE3+3FK4Qjnp2LOHrFq7VoNEGb/B&#10;OjcaQh9JhmigQL/44r6aowN7Y0xSqwYrchQByi2YrRm0zVtNa+VMt6qFKAX2hpiqxZxOu+dy/fp1&#10;Ry4+15UuBAMzLuWpCWZkdezh2PFAKWT2eYGYQDYgJ6zC6KvYhOPu3btKYrY45UxMi1a/dP2IawCL&#10;QKC2xAS1IvD3q5A2j2iwkodoaLqnIwM8O4DyJkbEs2pAtCAQEAD6KWD1Oa1BoF5JcyxXECM2PeN8&#10;ECNqVrBtO2SN/2GNwQJBbATXpx2x78N7FvQdxI4AWLJtOBaSgdWFiqX8znWp0cLfWKH8+sM7H88H&#10;Fw/uPNoH0YBkMMEHAlB3KeGinYxdfmK14bn4PS+T4BBcKGvXrFGrRq+ePaVN6zbSu1cvmTZ1qsyY&#10;Pl06REZKuYoVJGvp4vJ2heLy64aV5d97t5B/md5P/mXmgHjF/5nQQ/5jQBv5ZWQDeb1GGfl9oZzy&#10;l+wZ5e2cWSRziTBp2LaVTJs1SzO3GJ8v+z4bDM9CkiAa338fqJ1x585d9Xnj40c5eftIoLwwDwbb&#10;i0R7AMoOhcPKllU9ZnQUp5dKSczE1q0os9NKKlCCKEoU/i53v6zccTmgdD2wGicAdqc7H8QDiw4u&#10;FywgDx9+rRaOmMrr1q1bbmVzRFavDlQDHeUIDmZ+4kQofOYpSZQhlgiU/sv2qXevPCusENwfbaad&#10;WKT4nWtRx4JYDVxg3AsprBzPNSEJBMuisNnl1Iu9wBqDxQBrEBaMua69jAOPZEBuPJLxtLZzfxBU&#10;zgHxgrBiHaHeBvvKQDg4b8Dqs0GtExDFmMTFe7ZcCysQwatj3bjknLTDiw3hWlSq1QwcR1wYuxQu&#10;456xTuEKi/28TIJDLl++LFu3bJGpU6bIwAEDlFiQjTJl8mSZPm2adO/WXWrXqyth1SpL2qrl5E9N&#10;q8v/G9BW/mneEPmnBcPiFf8ya6D8bLwjGwPbyS/rV5Lf5c0uf8qUVv6UP4d8WKGEVGgZIX2HD5WF&#10;Sxarq/Bl3mWD4XkQ8kSDyffbb79zK/wHOimjdEmVRDmxCme1ifIKVqLhWTJQVLSdNpMtg0UBMzrB&#10;oLh+iEEgvZPvEDuAy4DV9LTpM3XFDTGBYHnQFf6Uafp/FCLxBRxP0CerZPbNwJXiCeXaWenjYoBo&#10;4DLgdzI91Oy/dr1aByAFEAQ+e5ayfhIgSpyXe8GSQewEFhvIBysrFCwZHzxDMjH8iEaAnJ3T2Bvq&#10;aNAmz2UCCBYFpKpy35BN3CGQNT9LRmzwHSZfNt/DwkI7yVCBfLC3Cy4eiA1uHUiYV4eDZ+mdl5/8&#10;zTXpW/oOosEzhngwJmkH32GMsrLkfzx3AkMhfRBL3F+QQyMawSeQ9x3bt8usmTM1A4XA0H59+yrx&#10;mDljhvTv11+at2wplevVkXw1q8iHEbXk107x/9O8ob7kIC7xz3MHy7/MGCD/Z3x3+e9GVeV32TPK&#10;H9OnljdKFpS/Nagq+Vs3kSZdOsjoiRNk644dOhfFfg8MhrhAkiAarPiYjM+7CZtVJyZ+yAZBdygZ&#10;lNezFEtCgnYA2sRqFqXNypw0VlbyBCBSAZRMB1wLWC1QQqz+PeVGbYfBTglrAa/hgRLh1GKAoOB2&#10;wBrAZx4IKIU4sJKmnyAbBIt6QaKQtG1OQZPCyaZikApiG7w4BlwXEBZW5bQFRYkCfZk+ZTM7FDbk&#10;gme0ZNlyJRJHj53Qc0IaiNmgDUq4Jk5WsoVCjn0uJkcU9seuHzmWZw1h8YArKqbyf15wDJksbJRF&#10;PAZgbEEY6A92qVXiMH6SIwdL1M0C4aENHEub+Mn1sTxR7hxXCySQe6ad3rUYB14AKmXZIYi4jeYv&#10;WCi7XT/h0uKZXXbfvXL5iuEZwL3I+Ma9+PDhw6fGJr2qcK2oPXtkwfz5MnLECOnSubNaNKhvA9kY&#10;NHCQtI+MlHoRTaR03RqSuXk9eWNQB/nnBCAaHv555gD5j+Y15fUcmeSNTGnlN1VLyu9b15W0LepJ&#10;qfp1pGvfPrJ6/XrdsTnmO2AwxBWSBNF46IgG28GjtDGjk5aJwib7BDM/k3iwEQ1PQaLIsbqgWKdM&#10;m/kow4QVPUGOrPYBBIMgQZRQwGIRqG9BkCKrYFbVrL4hIwCSgAtBzfvuGMzxxFxANnjo59yKnUBD&#10;yAYT8SeuTazYsYRgIeHcKNdDh4+qiR9rAaW6Wd1DfgimPPKSfl3PaoG1hnZiLdmxa7c+J66FwqUt&#10;uBi4V4iPttkp29jn4vpqFXB9SZAox8cEbpqXefY8GywgXJd4DCwaq1avUYLEebFA4IqhjQACxtjb&#10;7YiIZ5kJxKHs13vh+bLdO890w8Yteq/etRgLtJOsmo2uX7hfAmFHsqkbFqrxE3XTrv59+ko/w1Mx&#10;oG8/GT92nKxcsUL279+vMUyM8fgiGgRcHzx4UJYvXy6jR42Sjh06qFWjf79+MnjQYOnRvYe0bdfe&#10;EY2mUrZeLcnaor78PqGJxqyB8u+R9eXXJfLLbwvnltfqV5LftKkrf69bWTIXKSRNmkW493qpvicx&#10;3wGDIa6QZIjGrdt3dLJGCUI0UFD8zmqSVWYwmQU9kgExIiaDeAJ8/aSUekGYpFGinCAXWGiojomV&#10;ghU0qaYoNhQ0K2lW2aScovixjuBOgCBAslDoEBGqT0I2vNiL/fsPambKgwcP1KrBJIMyxZoyyZEN&#10;UmlZwRMHQb+iQEkTxgWDBYKYkH0HPtJ7QYk/S5Hz/4vAfR9rCIW/IE8Qjc1bt+mW7Shw+gTXBP1C&#10;H3Cvc+bNl52OiPgRjdjn5j5iw2uj37FPAs8HxU/fUn9j2YpA2XNcMbSTMYV1CBJBXAjZJLNdvxIT&#10;RB0X+ov/UyOD+BB2e9Vntma9Wtk4h3ct2vZoPOzaoySzT7+B0r1HL+nQoZM0qN9QShQtrhUm2QMl&#10;Nth342Xh7ZGTFMDeKnly5pLKFSpK185dZPbMmXLAkQ1vjMcH2SDQ+vixY7Ju3Tqt5Nq+XTtp3aqV&#10;xmp07tRZOnXsJO0c0WjglHm5OjUla7N68vuBkQlLNGYPkn/vHiGvVS8tr1cuLr9qUUN+1bauvFG5&#10;hLyVNrVUrlxZK4nyfjEWX/RdMRiehSRLNLBoYIbGNx9sFg3aglKhXeyzAbGAAOC/h3CgaDDHe24S&#10;KlNSywF3EKXISbMkDgFFRgAl5ILzoaw8pUqMAcoQosUqmQJmxH5AVnBFEMB4zBETyAYrvvMXLmjA&#10;I24WiAZugYA747iei+sQCMm1UfyQl+2ODMS8rt+9euD/nAe3A4oYKw0WHKwwZI941yF9FQXPveFa&#10;IRaFwll8h+v4nTs+wDPi+UCAcNsQF0Ob6Xeqy9JWtViQoqsZKKTOBrJnIGgQEMDfZJkALB64hbB4&#10;cLx3LZ4X/cP9QQ7pe9xiPXr2kTZt20t4eHXJlSOnfPDue7px13tv/13eVbwtf3/rb7rPxt/+8teX&#10;Ase/+7e39Zx67hDE+++8q/uLsAldvjx5pHSJwG63XTp1kqXuPaI+jJfiHdeCy/bMmTNaWXf8+PHS&#10;NjrFtXWr1hLZPlK6dumqaOyIRrEK5SR19Yrym56t5J/mxn8w6CPMGSQ/79NKftWwsrxeq5z8qnVt&#10;+VWbuvK7SsXlL2lTSblKFd27OP2R2+9Z77LB8KJIEkSDGI277oXnJflJjIab5FlZohCCiWigUFC4&#10;KBxW9pAiijUR3IlrA2sCZAByQTAkREP3a3Eraupr4FqAXHAOyBX3HXPlDvibz/kOFgJV7u7ckLBA&#10;WfZ5SnJOucmFwFC+y/+53hR3LawppFxyHdrLJETJYpQlbSF+BKsGyhiywfX87tXDefd/j/hQM4JC&#10;ZBTbws2DNYb78NrMOQkWpX24G7D48BwTmmjQdxAsXhKIBmSBAFOsEfwfsnDC3RP76kBANOZk5Sp1&#10;WfEcsXTwExcRBJh01WPHA6QwZn95zwxg7WGHWoqlQTa6de8pDRs1kaJFiqoiZfdTylynd0iXJq2k&#10;SZlKlawShRcE+3NwPOfhnBncuTl/SCF9BsmcMZMSsYrlK+jW9PXr1pMSRYtptc5hQ4Y4Qn1Ms6oY&#10;53EtX3zxhVy8eFF2794tkyZOVGsGxbvY6h9rBi6UQQMHSkSzZpInX155q3Be+e92DRzRGOxPCuID&#10;cwbLzwe0lV9GVJff1K8orzmi8VrrOvKHaqU11bV8zeoyYcoUHeuM+We9ywbDiyJJEA1SW3nhP3U3&#10;RNAi7gUyFVDMxBagaFF0TOR+nZDQQGGiTFG6pLKi/Cl1TSAmSgoLB5YFUjsBQZ7EWhDLgSKiOiak&#10;Iiax8MD5Y/7NpIFiw0qAsvPSRiFiKPF9bgXNqgzlSawBRGOqIxGsxAlQpZ2qVB0BgHTg5qB9xH1o&#10;jZI9UVoanAnKIzxcl7bxO595ChmChHUF9wtWG+qcQJxQvvQJx3ikhvtkl0tW9wTJkmabkESDtkB+&#10;sLTgxuG5UJeD8cW9ev1Lm/gb0kh/BawYq5SosZEf/Yj7BNcPacL0h3es33XJPoIsU7+DGir9+g+S&#10;9u07St069aRShUpSsUJF97OilCtTVkoWLy4F8+eXrJkzK9nA4sHqHqR4733dvjxlig8l1YcpJbVD&#10;mpSpFfyeyn0OuUBBhxUqLKVKlJTyTjFXrlgpZFCpouuHsmWleLFiUsL1Rb26daVjx45KNsIKFZIi&#10;hQtL75493Rjfp9khuFDiWgg4JQ6Ea0yeNEmJBiXIIRq4Tth8bdTIUdKyeXPJliWL/D57JvmPFjUT&#10;nGj82+D28otWteXXjasq0fi1+/2PNcvJO474VKhfR8ZMmazWOW9h4Tc2DYaXRZIgGvhfsWrcvHlL&#10;V+EoU4jGvAUL1b/OSpyX50mTe0KDtsQmGqxeUf4EAtL2wUOHa+aB7hw6doLGRXAfat58gYlAlbdT&#10;+JCTDU5Jeu4TYkGwXJBiSsYJCo7YDSUarg3UdGAFzh4dHgHwYjVYoaN02YmUVTuWB1wM3BOkwvs+&#10;BIfPCHgl1oEVP5kXPBdICn9jDfCsGY8Tja3qrkgsosG9QCIgEJAyyBU1PmhfzO9BHiBqkBKeKW3l&#10;GAJHCQblM/7n3WfM68QGpAvrCP1KobFB7vn36z9QBg0arAGhw4cNl5EjRupKubNTqg3q15ciYWFK&#10;KrBS/P3Nt+Sdt/6mxCNtqjQBK0X6jG7Vn1myZskm2bJml0zu9/Rp00vunLmkfNly0rBBAw1gJHiR&#10;gMZQAf3Qq2cvadyosVSuVElq1azlfm8kdWrX1n1H2KKdPiMoND6JBrU0uMbkyZN/QjS6dO4iI4YP&#10;1x1f+Zw4kjeyZUx4ouGu9W/DOsj/RNaX15pXV6Lxm5Y15Y+1y8s7pQpL+aYNZNSUSTpeGacJ+Z4Z&#10;kgdCnmh4AuGgMigT++SpMzTwkeJHxABQYAnlHKxEYxQr1wGDVakMYSt4BxQ+ZbixbJAJQkwFygzF&#10;5nfOZwFliALDZYGFhPPjQqF/qNVAcCjkgTbEJhpev6EkWZUzaLBKkH5K+yAokAJMr55bwSMZ7JgK&#10;+UNBE1/CNWnDpi2B+I/YyjdYiAb3TLvoN65NMCdtJ7uH+/L7PuD5PI4fLUyxj4sN7p1+p/8JBMbS&#10;RRYS/Yf16dChQ7q/xo4dO2TRokWaPhleLVytFMRbvPmnP2vsxYfvp1CCkS1LdsmZM7fkyZNfChYo&#10;LIUKhUme3Pn086JFikmTxk3UtL9w4ULZGxUlx48fDxkcPXpU1q5dKwP695e6depI1SpVpEL58ro9&#10;e7WqVaVF8xYyedJk+eijjxKFaBCbMXrUaJkyaZK0b9tWg1UTh2gMkf87srP8f12byGtt6yiUaNSv&#10;JO9UKiFlWzWV4Y5o7NgR2PuHMe83Ng2Gl0WSIRqI7nXiVs/40inbTaaFpwTVEuBeICZ+v45ISLBS&#10;RskS8EjKqEc0cJNAALA2YN1gRQvJQEGjmKkV8TzKyg/cO24kyBfnx1ICScAqwUqGVE36i+uT6UH2&#10;BIGJp06feXRN+o4VPiSAgUMMDN8lq8ILgsS1QM0I2ksNCj5DSfJ/XFm4Z/gbNwqkJPYzCSaiQbsg&#10;G5iUiWkhK4hYDbJ6/I6JC9AnuteN60dcaWQb8VzoixMnTmg9DUz1kA229B8xfIRbydeUtKnTyDt/&#10;e/sR0UiZIqVkzphFcmbPJXnz5pcCjmQUccSiaNESUiBfQf28mPubjcAoMEV65qlTp+TatWshA8jD&#10;kcOHZTGEa9Agp9xbSpXKVaRc2XJSqWIliWgaIRMnTExUokFpcqqEJjrRGPVTovHrFjXkjXoV5K8V&#10;i0mJlo1lyJSJmlFlRMMQH0hSRINgL5QUigwFiAuCNFeUHHUPmMQTUlk9Caz2NYVz127NLoFoePEY&#10;KHoCASl7jbme2AwUNHECZ86+XCVOoETDTSQBq8LYRxYTlBjKE5eGunCGDtdsF1wqKHssDt41+Un/&#10;8RmuFlbelOImAJLjITFkkuCeIc6DWA7OBRHBEoAbi3vmvMRsoMRBzHsKFqIBaBcgc4n7eEQ0Tpz8&#10;SZvjEowN+pbsFJ4/VhQCb3lRz7r/3bhxQ+ufsEX5pk2bZMyYMbqax0VCBsabf/6LIxpvSuoPU6mr&#10;JHeuvI5kFJKwMKdQSpSWkiXLSOFCRSR3zjxq0ahdu7Z0795dtztHYfIOhQrIJKFglke6Bg4cKLVr&#10;1VaiUb5ceSVR48aNM6LhQzRec0Tj9Xrl5fcVikpYi0YyaLIRDUP8IUkRDeI0LrlVKAqQmgfjHNFA&#10;OVDUihvFtO8pzvhSFM8D2kBMAzETbP7FqpV4DBQ/7cV1AbnAYoBrhTRdFC2WkJdtN5MHrhPKi2OO&#10;h1BANsh2oQYEhGzosJHaBvYN8SYdFJ/fNTkfLgQIAemf9DdZMxT7ImOGeAbuA6Kk+4Rs2KTxHVgD&#10;KKxF3Ejsc4JgIhoesDCwxwuxMhAN3Ee0JT6sY/Qr90/WDdYuyB9Eg2dHkbU7d+7oOEe57dy5U1fs&#10;xFiQeUEQ6FsQjb++KWlSpnGKLYfky1tAiUWxYiWldOlyUqZMeSlSpLjkzZNfiUbNmrWkS5cuqqgp&#10;PhVKgrsUsgGJQNGPHzdeGtRvoEQD1K9XX8aOHWtE4wlE4zeOaPy2QhEp5IjGQCMahnhEkiIa7E56&#10;+/YdVY5bt+/UFTUporgfqMVAFgOrRU9JJBbZQJFQmGnJspVqAcCFQVwGChplvWDR4uhKn6s1hgL3&#10;A6tqJoBXIRoobogAZMIrXQ7poBopbfDIDitpsiRw7zyJaGCJ4H+4UrAWEQdDXQ3SP3GbkJ1C3Q3S&#10;aombIYX12ImTj0jGk8odByPRIJiVOiSMo2XLV2ncief28fv+q4BxCaEkJZtS5WMcueG6BNyecP2H&#10;RYOy2rgO9u7dK9OmTdM4i5chGsWKFpc6teuqRYNYh1AkGij6Tz75RKKiotS6A7kwohELRjQMiYwk&#10;RTTYxRWTKuXIWXWioCh4xap97PgJWieCVTUWhVdR2q8KMguwZkAqSMVFuY8YOUbN8wQBUhQLawZE&#10;g5RUFDeK92UULfcIIAW4LqhdQXwGmSeQMMgGBIMYEbZkV6KxMLCN+dN2OeUzlCKgXfQn38W9w7UA&#10;fwP+x3cgJx7B8zsnCEaigZuL50E6Lsqftnh94/f9V4HXN4xRXIC4/yCgK91Y2O/IJtv+4zohTgPl&#10;On36dGnqiAb1JGK7TrJlySZ51HVS+DHXSZ6ceaS4IxqkzZK5gUWDwlZYS0IFEC7qYxBbsnHjRs0w&#10;qVO7jqb+GtGIgae4Tt5wRMNcJ4b4RpIiGj/8wE6u38qXX36lLpRtO3ap0sSMj2LFwkGRKS9NFMXn&#10;1ynxDSwFKBGCPXGboNypCrp02Uo1kXt7Y2CmX79ho1oXmABeRtGi2Jk4uF8KZeEioS/IyoF0EK9B&#10;bAgkA2BZIaZC3RxuBf0kohFfCEaiwZ4nFFaj9gfxPqTqxhfR8ABhY6zyvBgbVGNds3adIxd7VbGi&#10;2FatWqUpnrVq1NTCW2Sd/PWPf1KrxofvfSAZ0mVQspEzRy7NNCmQv5BmnhC3kTVzNgkrFCb169aX&#10;Pr37aNbJIaeQ2d03VHDu7Fk5cOCALFu6VEaNHClt27TVzJMypUsr0dAYjbEWo/GkYNA/1Ksob1Uq&#10;LiVbNpGhFgxqiEckKaKBKZUNwiAbd+7cVfM226sTqEh1zUBtjUUawMjOnIn1QvEy4xoh+4N2QTTY&#10;JA2CQTwAgZiBipKBXU1xm6D0X4YYeS4OXEZkkhCoiZWH+Ak2TsOigkXjEdEYNkIDVMmIIQaDPkru&#10;RAPrGHuUEKCLxSkhiAZb4lPoi+dF4S62jmfL/0WLFqubY8liR6AnTpJuXbvpCv6DaLfJXxzRIPPk&#10;vbffkVQpUgaqfjrCQR0NSEf2rDkkU4bMki51OimQr4A0qNdA+vXtJ1OnTJVVK1fKpo0bQwYb1q+X&#10;ObNnS4/u3TUglgJepUuWlDKlSmmaa5PGjXUXVSMajxON37SsIX+tX0lSVCkllVo3kxGW3mqIRyQp&#10;ouGJBol99ZXcvHVLlRZls1GuBPMRE4HygoCcPP2xKi+UcXwrU87PdXiJCQSlrDbBmMRG0C6CJsks&#10;QYGRhkpFTKpRYuHwSgNjnfA799PA9diWHQKj2TiOXEyeMk33EIF0QXBwpfxINEYqwaHGh5elk9yJ&#10;BhYoiouRCkwfQsLim2jw3HCZQQZx/Q1z42To0OEyePBQGTxwoPTq0UPaOeVVu2YtyZc7j6a0/uUP&#10;f5Q///4P+pM4jXcd2fjg3fe1eBcFvXCnpE6ZRn/n82yZs2rZ7hbNmkuXTp2lf9++MmSQGwMhgkED&#10;BkinDh2kerVqEla4sFZKpboppcdLO7JRu1YtGe0UPbVHvP1O4lqeRjSoDDps6FAlG3yeM3t2+UPO&#10;LPKfLWsnLNGgMigFu9oHCnb9CotGq1rylzoVJEXJMKnStKGMmTJF2OyP/Y8S6z2LCzBXeS5dQCwY&#10;4PeEnMcMP0WSJRoBF8qXboK5pooBpUohL+pTkNIJ+SDIL6GUKQMdxYSVAEJBPAaWBLIKSMVlzw8y&#10;Dfg/Ba7iimhgzWAnV9IluQYZONRnYCdRrCZkNAwa8iPRgPhgbUmsoFkjGgFANHj2WFEYI4Mcweja&#10;tYc0btREKpYrr3t5FC5APYwcWqwLlwkkw8Nf//RneevPf1XCwaZrWjH0b2zC5uB+f9t9zl4nWTJm&#10;lgJ580nRwmFSqngJKesUdKigTMlSUjysiG6klidXLqEcef169aRGeLgUKlBA72egIyOHDx/WIFri&#10;t+JankY02OukL1vX9x8gTdxnuXLnlr8WzC3/r239BCYag+TnA9rILyLC5df1K+rOrbp7a7XS8rds&#10;maR8taoywbX9UIyCe35jMhTAXEX7mSt4h9g6AQTTFhTJEUmWaOBCAZ9/8YW+PGSckLaJZYO4CJS4&#10;V3IXhRHfg5DBD1kgY4FUT1wXxEaQUUA8BjUuaAsFsiAi3h4fuFGwLqB8X4ZoaCrt/gN6/8QXQC4A&#10;vxPYOH3GLHXdxCQaBKGSIeKRjEs+540vGNEI4Nz5i0o4Sasl86T/gMHStm2kVChfUTdXY6+SVB+k&#10;kA/fe1+zTdiB9Sd4O7DD6082Uvt79I6nMf7WPVHe/0DPB2EJNaRLlVoypc+gRKNq5cqq6Bs1aCBF&#10;CmHhKCGDBw7SQmekBRM8GtfCHkuXLl2SPXv2yMQYm6qxe2vHDh3VtYULpV6DhpK3UEH5e8kw+UXH&#10;JurO8CUF8QDdJr5XC/lVnfLyevXS8qs2deSX7evLb9m9NdWHUq5cOZkyZYqcdIscxvTLzDOJDZ2n&#10;okkGiyvq9DCHEV91+OhxtV5DPPi/912/8xjiB0mSaMQUotOvX7+hMQ4EVuLzHj5itK4USRul+iVE&#10;JL4HHkryiFNYpHxSI4MgP4gGAaoam+HIBEQEYoD1IUAIlmlao6fYXmalgdL2rBmQC2IMUJacl+3N&#10;sW7EJhpq0XBtpc1m0UgcosG9QjhxsRGfQWn4jp26Su3adaVoWFEpmC+/waFwwYJSrGhRKR9tzWjf&#10;tp1EtmsnzZpGSCen6BcuWKgWBywPWDnjWu7evSsnHZHZsGGDZrjgzqJCKVvEs9cJJKODa0e9Ro2k&#10;SNkykiq8vPymR8uEJxo9IuS1GqXl9crF5VctashrbevKH6qWkncyZ5Cq4eFuHpgtH58NbAcQikqY&#10;eYp3hurJpNKTCEAs3uq169V6TZo98SeJ4Q42JAOiwYZrmEzZRh7lRUlyiAYbiqHMqfsQn5UePbBC&#10;JU4ChU/RLCo+klKKC4WsElwmKC5eFFJLiZOgfaS3onBwf5y/8OJEg/Nyj2rFWMVOopuV7GzfuUut&#10;JfPmL9QA0B+JxkgtEnbw0BGteZHQE48RjQC4VwgiljfNmnIEsGfvftI+sqM0bRIhjRs2MoBGjbWO&#10;COXGcVdEtmsv/fr0lUkTJsrqlat0i3iCQL/77ju1dMa14JJh59ZFCxfKyBEjpGOHDtIhMlItGT26&#10;91Cy0da1qX5EUylbq7pkaVpH3hgQKf88L4GJRrem8lrVEvLb8mHyWuOq8nqr2vJWjXKSpmAeqdu4&#10;kcxfvPiRAg5FJUwcBpYMrBib3Xw3f+ESdQuTAEB2HcXvmPNIVed7RjQSFkmeaOA+YZL55ptv5PTp&#10;j9VdQJwGLgu24kZxJMQ28pjtKGqF4iStddSY8bq5GdYNCAiDnxcd5Y6VBUKCS4WqoChcXC7Pq2i5&#10;Dxg+JAEWj+WCIFDSZXHRcH7cKTx80n8hFx7RIBhU22TBoI8A0aAGCWm/jBcIAEXKsD75fT8uwL1y&#10;z4xXrF7e/jTDR4yUcePGa0VQw+MgE2fB/AWyfdt2OXkyUOAMSwbzQHwIhdN279ol8+bOleHDhuku&#10;uJAMNnpjN1zIBkSjTkQTKVm3hmRsVld+NwiiMdSXFMQp5rtrzB0i/2taP/nPyPry61IF5XdhueQ3&#10;NcvK7yNqSKr64VKwSgVp16WzrFi9+qUspokN5iZw2r2LvJMUDaQSMfM77wzWWqy0uKrZCJJFFvFn&#10;LBJC1XoTikjyRMOL18CyQbEjYhUIvkTZQzgo4sUGX/E98Dj/zt1RugsoKaXsZ0L2BxYLyACKheuT&#10;1gipwPKAm4PKoN4GZ5CV52kf39Fzue9DGAj8hNnD6qmPwYtGgKnGgjjlyYsYk2hg/aCaJwo/oXe9&#10;DUaioaukLduU+GGKJUgTcoiry+/7cQHuFTK41pFE3dBt9Dgt6saz2esIK/t7GPxx+vRpLWhGXAYB&#10;4bz78WHNQGITjS6dO0vvXr0004TUWrbzb9e+vdRo0kgK1KoqKZrUlNcGtJN/SgiiMc+RjFkD5V8n&#10;9ZL/blZdXs+TTX6fJb28Xi5M/tywquRoVk9qtmwug0cMl41btoRcbAbz0qMFlZvT2MyR+Zygf49k&#10;eESDgGrIB4sosms8C3JCzm3JGUmeaMSUa9euO4V94BHjxaIA6YAFEzyEko/rl42BDD4+EyiLTnot&#10;1gxKgeO22OpWXgx67/soGOo2QAKIIcGNQczEDreKxupB+571cvAdXiIUNseROou7CCXlpa2ySueF&#10;48WMSTR4MbUE+e496h5IaDOjRzQgQhAN2rJg4RLdvwai5XdMfCPQj7sdyVin1iFIoDdZ+X0/LsDk&#10;6fUBgcEEhEKMsaYQgGgSHHL1yhXZsX27zJ41S4YOGaJEo3+//jJ92jSt8cE2/i1bt5YK9WpLlmrl&#10;5c1G1eS/+7dREuBLDuIQ/zJ7kPzr1L7y76M7yy/rVZTfZUorf0j5vvyuUC75W83yUrRNhHQa0Fdm&#10;zJ0ju6KiQk7pMs8xJzCfMT8EFlSTokkGpQNGamo4JIPfsQgy765zCzcvw8+bT0Pt3kMNyYpo3L37&#10;mbu3M1oBj9gIsk8IDvWqhXo7ivp11MvCexmIAyE4ie3rWZ3itsEsTjxGzJUx10exHXAr+o1OyZCW&#10;y46rkA4vLuBZbeT/lDnn5dPYAkdoYPlqPXHMX32Z7lxPIhreJnRYWnAPJORLSNu5Ju1jq3RcPtNn&#10;ztHgrsQkGmQoQTLoT4J3+Zv6JH7fjwvQD0Y0gl8uuee0ds1aGTN6jFoy2rVtJ/369ZPZjmTMnTNX&#10;A1LLVagg2UsXl/crlZQ3mobLfw5smyBE43/N6C//Nqqz/Hev5vJa3Qryu4I51aLx+xyZ5INiBaVq&#10;q2YyZupkWbdxo7qPQ03ZMh94izK2CGBzSEgGJfupP8O8hwVjybLlOs8HLBsTZNbseeoC9azEz7N4&#10;M7wakhXRePCAbaVvyHGnxDCDs5nYhIlT9HdSCcm0eJYSf1F4ihP/IYqectIQDbJeUFiYx2P6+hn0&#10;lJ9ml1P8iTPdS0GGCm3EXI/S4+XwY+H87REbiBPXg0gQh8FPzsd5ISsQH9wosYkGRcQgNriYIDsJ&#10;kZETE177SfOFaEyaPE3vH9cFFie/Y+IbEEFIGWQPosFPFD596Pf9uIARjeAWXDHg7NmzmtlCvQwy&#10;TZo3ay59+vSR+fPny/x583QfmizZssnb2TPLn8oUlteaVpN/79dK/nnGAPnnWQPjFf9nfA/5z94t&#10;5Fcta8rrtcvJG+XC5I8FcspfMqWTDLlzSkSrVrJ0JYHfCf+evwq8uY95kyq9bHQ4bfostRRjucBK&#10;vXL1Wp3viIvDZY01F5KBZZfv8R0K4hHbgRWVecfvWoa4QbIiGt98862bpO/rPiiYz0gbhP2ygkeB&#10;4FaI6zgAsk1YnQdeiJVKbhjoxEZQnZRsEoiF931eIAJTyT6BCPA9zH3sPrtxk5fqGtiDJPYLgnLC&#10;WsFKm+qiEAzSV3EVobSpSMrLiSJ/EtHAvMjmYcQi8JJCbBJyAuJa3n1g0RnviCDxJSjcxCIa9AEK&#10;HuIGjGgkb4kZ93X06FHdnh6CwRb1lEInpXXmzJkyc8YMqVOrlqRMmUr+8OH78ka+bPLrikXl/zWu&#10;Jv/WpYn8W9em8Yr/aFdPftmgsrxRpYT8tVIJeadiCUlTrrjkLF5UKlaurIXEmIOYE+J63osvMD94&#10;ixHeP8gCWXws4HCR8I5gwcDViZUGK/XRYwHrKPFxZKDgMidGjnR/FoAnTwUqRPtdzxA3SFZEg8mB&#10;7JObN2/JdnfjFKtitUxEMiY2Ag4ZwH4d9bKAREBgNm7eojEZmPZg1sRe4CfkZYl5Te9FgmzwEmD1&#10;ICASMkTZcHZ2ZXXNcUwQMYkG5IPYC0gNgaSkd7E/BnnkBJjy0kF8nkU0qJwKOSFDhe8lNNHwJpLN&#10;bhLB4pTYRANfLvE1TExkAa3fuFldXhajkTwFokEmGzV69uzeIz179JDyZctJ2dJldI8V6miMHTNG&#10;xo0dK+FVq8qHH3wgf3zzTfnjB+/JG+lTyW+zZZRf588hvy4Qv3g9X3b5Y56s8lburJKqSH7JXq6U&#10;lK5TU5q2aysDhwyRRUuW/KQCsN84DDYwP9BeLDBYXMnOIy6DBRzukXkLFir5wEXM/EhAPD+ZayEb&#10;uKJZ6PF9iuGhAKm7wXf8rmeIGyQrouGtRNhmmy23mcAZnFg1cGUQB+AFP8aVcmUAQwxQUvgNlU07&#10;hcELAing/yiVmMd4ypaVNBYMVtCQDYgDLxK7sEKKeEFg6yi8EydPa0wFQZyPvj91hrJ4siR4MXlB&#10;udaziAb7nyxcvEy2uOOwnsRVXzwvvMmE+h8E7UI02Fbf66uEbg99heuG2iY8NywtZOXEJ9GgZgqu&#10;Mogmwby429hpd8XKVXL8+HHf3UwNCYNz587pHHnq5EmZN2euNGzQQHLlyCl5cueWsEKFpGaNGtK1&#10;Sxfp2b27FhJLmyqVVmBNny6dZM6cWTJnyarulPhG1pw5JWe+vJI3rJCUrFheajSoL+26dpExk9xq&#10;fs0a2bNvX5zPd/EN2sniDYKENYb5i8UbQZ+8JxRlhFQwV3j3xZzBXEomG3FWP4mTc/My5J350+96&#10;hrhBsiIaCGQD9wmbB61xq9OZs+aq2Y1gSRQI/niUXFy9eCh4MkvInmCAU3iJVTpkgP+h9P1WE4EX&#10;6pwSCYKWyHTAz4g7hDRVcsIJJsVywfbhvECr1qxVy4yXqYFiRFFhzfCu41kLnkY0cNXg5qHATUJb&#10;NDwwOWBRwdqE1YkJxMuCSejVF9clkBfyBtHALUWfxnd6K2QGgor/ma39+/Qd4NBfUyYHGBINbD7X&#10;t3cf6dOrlzRp1FgKFyzkyERqyZAuvWTLkkUK5s+vFo7KFSrofjS5HQkpXbKUNG8aoZvXUWejZ/ce&#10;0rNHz/hFz17Su08f6TtggAwdOULGO4IxZ/4CWbdpk+w9cEDTthlnfuMvWMFcxLzJAgw35szZcx3R&#10;GK0uVkgDpQp4X5njvGOYL7y4NBZdxKBhBWFB5VVmZp6NeR1D3CJZEg12dj3rViVknyxYtFh9e2Mc&#10;2UBZH0WZPUdmx/MCpgypQFmw3TdKHUsDK+Snrc75nBeElS0v1r79B9WMDgHg5UL5YonRmhwTJjsS&#10;M0UmudU/n1NJklQv7g/3C8d7ypnzPo1oEAwK0+cl5mVGmSYW0aBiKveK1Yn24ILCipDQk2PMyqC4&#10;TsjmIdod0uP3/bgAzyhQgnzJoxLkkR07S9Uq1SRX9hySOX2GoAD7jGRyCjY2/L6blODdd9qUqeSD&#10;d9/TfWU+eO89SfVhYM8Y9o5JlzqNkgw2f+sQ2UEWLlyk2Ur73MKB1XVC4KND4LBaOwl2Jxic+cDL&#10;XkuMd/tVQHs9CyMWaYLFCfCEMGABZb7yFlUxjwuQjQuB8gZLV+hiigUm1hAWZPQR5/YQ81jDqyNZ&#10;Eo2HD7+WT93NsypdvnKVEg3M0sQlRLmByMsYV4WqCMwklYoXAqIBYNRkuTzv+VGs3lbvRFKzqoYg&#10;4G/EXDhn3nyN4cCtgmLiPngRP4omGbx43rX46Uc0KIfO3iusDrCa4EZKjPRWD0wMxEFwX8TSULjK&#10;y31PTKKRUCXIeUasviiZT3wGRKNT565Su1YdCStYWPLlyh0UQJFmzZRZMjrFmzF9Rvd7FsmZLbvk&#10;zZ1HCrnVfJJE/gKP9lrhXtOlSRsgFu5n5owZJVeOHFLA/Q8rRr269dSKMXXKVHWhQk7jahGTHMFc&#10;5L2PLEKYV1lsMWfRv8wNzB1+cxb9zo7duJ6ZV1igYcFlHoWAcGwokq9QQLIkGgSE3rh5U6ONMZsx&#10;4EaMGqOKmjr5rAQ836Vfp70IUOgrV63WVSkKgxeD/SuIsXje8wfY+HklDZwPKwXpq1FuZURMBhHW&#10;uDlYAWNup/0oQkhC7BePn35EA5JBkRt2tyXglGt4k2JivHi0mT7CXUQQLM8JopWciAbBsMT1jBw1&#10;VgYPGa5uk85OabVq0VJaRDQLCjRu0FCqVQ2XsmXK6c6y1aqFO+VaX1o0a6Gr+KQI0ljbt2sv7dq0&#10;lTq1akuRwmGSPUtWJVdFwsIkvGo13XelX99+MnnyFFm+fIXsdO8nY5f3ibHt98wNzwZ9d/jIMXUp&#10;ErOGtZM6O6SzshDx5jq/OYv/8d4yX+J25ljmPRZ+xGl4izJ7PnGPZEk0iBi/9/nnOhixLBBwSOlt&#10;qnYuW7FSg4ywajyNHT8LHMOxKKllbqKBZGCqmzlrjqxyihxXyIucl+964LxMWLh4TrmXg2wSiAMT&#10;WUxy4CH2efyIBi4TIrExQRK17blMYh+fUOAeiU3BzEnMCTEqweA6iW+iQX9z76Q3Q66YDCEaPJux&#10;Y8fLhPETZfLESTJl0uREw2Tg2sDGZcOHDZeOHTtL06aOeLRsLZ06dZH+/QfKmDHjZObMWUkSM2bM&#10;lGnTpsvUqdNkwICBulNsuCNYdWrX0Q3eunfvLhNc33gEwxsrtlp+dfBuYKnFakusG25oLBIEi2OB&#10;9TvGA8eyXTyEBKsGafxYcqmpoTWG3JzI/Mn3/I43vDySJdEg//3hw4dy6/ZtLZjFYB0waKhGIsOS&#10;WdEzGGO7HV4E7CbIsfj+WJUTFU3uNsoKBYLV4VUmHY5l4kLpMol5eNZkxv/8iAbZMFTWozCYZ+L1&#10;Oz6hECAaAX8qRIMaIsmBaHDf3B/kkWsRhwNJhaAuc89mE7VUoqLkwP79iYb9jgBGuTGyy60MV61c&#10;JaNGjZGu3XpIn34DXFvHyxy3QlzpVpxMLkkS27ZrgPfWrdvcfa6SWY58QCywXkBCFi9ZquOVPWkY&#10;Ox7559m+yjtvCLwfB92cSn0h3guIOPFoW9zzIG7K7xgPHMucjrWWxRTvFEQDqyHxHbzTWIH5nt/x&#10;hpcH702yIhoIZIM0VzZcOnL0qK7iCYRk0A0ZOkI3saJjmCReJkaB76MsOJYo6HkLFqtrBvcJpINB&#10;TaGuV5l0OPZJ8Pu+B/7vRzSo7UFwlcZ2uBc5PpToi4CXPZiIxpq1EI0F8U40UEhYM6gDQK0Vngtk&#10;g831IMUXL17UOhrUcEgsfPXVQ23D7dt35PjxkxoXRDYV7YSokpXDZM44S+qARKC8sAACfuczxgbj&#10;1CP+z/NuGp4NJRpukUYNDLaQIPDdq+z8rMwRjmVOJjXWyz7xiAbznjffG9GIeyRLouEJVg3SXBlo&#10;EA2sGqzs+RuFQnYBCvlFJwi+z4DFlIdJjtr67LyJiwbfIkGOKKrEmHi4JhNkbKJBrQpSZmkbKwO+&#10;43d8QiGYiIbnEyYbB4WPS4f+iw+iwbihPgqxQgSCEqTMLr9b3OqZ/926dVsr3CamBEj6V0o0GMes&#10;KHHvYBEL7DR8QOsW+N2fwfAq8IgGwZ+jxowPZNjp4m3bc1s0AoXwArt4P7JoaM0gs2jEF4xoRBMN&#10;SAYKlzRXajewut+wcdOjtCe/znsSGKiqyPdEaW0LzHvqmnDnxW2CwmT143dsfONJRIM8dLJZPGXO&#10;Sszv+IRCMBENTLUE8JI6rBVdqaHhJqy4agfPxAMF0iAZ1EHRuivRxBdyc/XaNa0Bg+svMYXrY9G4&#10;cuWqeyasLhcq0WDiJoCVd+b0x1Zp0RD3YF7AWka9IAofktJPsDglBBh3fsd44FjKDRAwT7o88zFE&#10;g+wVAumZk6kkevEF53vDs2FEI5pokOYEQya/mgGIO4X8agYlA9RTBH6dGBt8H/Mck+6ChYvUZULB&#10;JWryY1aGOSdWDAT34BENSpWzGg3sYjtDAy4xH8L6jWj8CK5LwBluDILQDh46Eqe1VrhX7gkLCe6R&#10;ZStWKckgeBg/9KIlS/V5UdEW1wUWhcSU7777Xj777DPX5gtqAZsdvRMyLkdqn9DWxI7xMSRN8K5g&#10;KaYsAZY+svioUYTFkaw0v2M8XLgYnXWyc5cG/WMNIeuE8btrz14ds7yHzzvPG54fRjSiiQbbozO5&#10;U4ocEzmuBDYkw/fH/iAe2fDrxNjgu5j3cL9ALrxCXQxolDuKPKGVpYefEo19muZFei9tI0UW0yH/&#10;5x78jk8ocP1gIRpMYGw5TUAv7qW43h8CwsJuteT4sx8DY5CYHiZCUq5xv3EtYiPImCLGKDGFNuDC&#10;OXnqVCAF170vEA3ImLcbcWKNb0PSBvNXIGZqvZtbZ6tFA8sGFkAWhX7HeOA9g6TwjuF6wUL5qI7G&#10;/oM6ZvmOEY24hxGNaKIBEYAZL1q8TE3AmIKxblCN80W3EmawMuGy+oW8UH0OEzgDGlMz50qswcx1&#10;WTnD7AlqJP8cCw6WDRQ798h3Evtlox20j+dBECbWFsgbvv+EUGLcP20A9MuceRCN8WptgKTFRR95&#10;1+B5EByMtcsbM0OGjdBgNUqfM7GSIRUMJAOhHdevX1dTNWSaTC0ytvCVcx82WRviC4wr3j/dIM2R&#10;f60M6ubXGbMC7o8nkQXeMxZQLFbIKmSOx9LMvM/cR1wUx9i4jR8Y0YgmGkTNq7vETfSYgLFoTHXE&#10;AwXHngCs0hjAfp0YG3wPdg3LJuaD1R5md/z8rFoZ9H7HJQR4kVBsKC8sGpTUxuoS2E326abHhARm&#10;TszyBESyYuY5sBpJKLeONzFxPWJtSG3F8rNy1Vq1qvgd8yLgOXANJkZvG3qsN4xF3Y1yzDg1B+OP&#10;Jhbi/v37ie4y8eTbb7/VyrqU08a9SHo4q8qly1fpuLLJ2hBfYGzxvqj7w81Zug+Qm7uJg9O5Ojqg&#10;M+YcwTG8Z7zLjFni7wjMJ0tK32m32HpWDQ7Dq8GIRkyLhiMa3qZkRNCj5AgIhQXDop93Jc0gJ2Nl&#10;tjuelR4rYTbwWbFyjWYwBAPRwPyPAmVFysZyy1esVmuL3zGJAfqQFDRiRwhUJYgWBU/bE6L/uAYT&#10;k2YOuXaQogzxXLt+Y5xkVPAcuEcmRcgEW/kzRhgvlMTHSrDTrdCuXr2q4zRYrBkIlXXPn7+oEztu&#10;Hp4RZAPSykRvRMMQX2BsYWHGYsycgMuXuZuFIYtE5l3ILosE7xjeZeIv+JyNM3m3WPzhOmF3642b&#10;t7hxe/In1zHELZI90YBAMFniKoEd47uD8RLJjCmYaGYC3FA4KDm/TowNFMgup8Qx52HWY4VKmdy1&#10;6za6wX4i0YkGyg3LCqZGiAbECp/ns6K2EwKeAmZi2Lx1m0yawjb+U9SFQFQ4ZC8hFBnXYWLiOdI3&#10;xGjwDNc75fqqGUO0nzHgkQyIDGOOFGgA8WVXXsYm2R0QDA/BIBCNM2fOKXGGkEM0GOvr3MTvuZX8&#10;7ttgeFUwtryFEvMyWXOQBhZzuBrJ8uOdZRwyhxC0zYKB94zvL1m2XLdZwJXNwhJrBt+3dOz4RbIm&#10;GkTwf+wG4dKlK5TdsipjdY+ZHL8dgZKr167TQEQqhaIY/DoxNlBSKHEmYUqbs1KFwKA4KW2e2ESD&#10;wEPiDihSQ8VLTJD8/qw89ISAt8pnZQy5wG1CqeCt23bqxJFQfcdkhiULSwM7/KL8SYNj9fOqRIN7&#10;CBCZEzomFi5eooGfQ91YwefMM+H+r167rmQ42IQ2nXTjmEJdVLslxgeLD/dCiWcjGob4AmPLmyM0&#10;RsjNz7jtqDeDK4T3lDT9PXv3KblggUhsF+/t4qXLlBRjAcFySHVRSAZWZgiJ3/UMcYNkTTQCJuDz&#10;OrETp4CfD1KAhQOSwUqWwKEVq1brgIQZ+3WiB14ClAgKkUwBgkkhGkzEBBGymU9iT8RcG/aO2wTT&#10;I/cOIEasAvyOSUhg8sRFgpL3TKMQP2IYyP7xOyYuQf8AqnOqP9dNRt7mTQSQEYT2MkTDOy/wYj8g&#10;e7jqmCCZKMk0wbrExHj37mdauTaxa2bEFM+q8tVXX8kxR5IoROdZAjFbk6EFieUe/frAYIgLeO8R&#10;7yGl4CEXuBvZeVrTrN2cwV4mKLcdO3dpZhRknveM77B5JOREXX1uzuNdh7z4XcsQN0j2ROPSJ5/I&#10;1q3bVZmxqiR4k5UrJANFR5Akygbi8CzzGoOVwU+BJ2XabrUH0UBBrXbnY7dVCj0l5kRMMRoUOams&#10;tAnXCe4hAi/jIsjxVYElgZUIEwR9SN/zDOi7542ReRXwbCCLKEwmMQgo/l8i1DG1EpfwskSD80Iy&#10;1CXjSAxmXkgogZ8Ep81fsFC2bduh3yGVlaDLYAkARWgLbcKd89FHh5VgQI6wAmKCpgAc/vPEHN+G&#10;5APmin0HDuocNmfe/GgiEajAjBuFLL/5Cxar25OFAu8ZhIR5nnlF0/kdyWBeSShLaXJFsiYaTJqX&#10;r1yRPXv2avQ8A1ArMUZnOZDaSpwGpnt2B3zWip+BjzmPDX4YyPgNMdPNmbdATXcH3EqVgZ2oRMO9&#10;UNwHbSSrATMj90oGSjAQDVb6kApKWWNJgmTwOxaOhCIaXOf4iVMaj4FLjTGhG+65yQpSBuHke8/z&#10;HC8B9z36nfNyfwSskWHCbsGcl8mRwOPtO3a6/38st2/fVksGij1Y4jIQbzNCSo9TqRSLndd2SDk7&#10;EmPNS8zxbUg+YGHH5oNky63fuEnJhWcZxHLB2CTmiZ8UTOQ9Zo7Hikj1XXaB5RzP+y4bXh7Jnmjc&#10;uHlTA4vIJmB1qdknbqWG8iXjhBoOBCOy+n9WZDKTLC4Wqtax+g0M7lEan4FZGX8hvsDEHNQoPGID&#10;IFFsRgTRID4DJXHyVOKURY8JrAWsNPCnErjFlvqQokOu7+LbvMlzCVilzjhic0iDHUlLZgt9xgUW&#10;KuJZAn11Wokl/en3PPmM/51z5IJxwYRIjQkKttHnuGM4t5dG7RGYGzduyoMHX0aP0OARCA+ZL/fv&#10;P5ArV6+pG9CrEcOqkY0CqUVAn9ikbUgI8H4x3pgz2LwSK/TsufN0HmeBMH7CpGhMdgRjui4YcfGx&#10;r4nW5HHH2VhNGCRrosHESSllTNXEAJDqhEKZ6pTAmnUBtwKDk8mUGIsjx54eLMlqFQWOqwQTHVXn&#10;YNEwaCwGBIJSSz8xB3eAaBxXxYbVBaVHfAbuiucNdo1PYEkgDoItnAnCxNeKSR4rTEIQjTNnsUod&#10;ka3bdypBZEVEmWJvwz2yKwgQxSpBwCZtik02+J3PsGAwCUKSuAeyMhYuXqYTISsviIYWI3OfE5B2&#10;PZpkJPamaX4C0YCYEzty3o1hyCkEHJ849WF4f7y0Qpu8DQkB3jHeP8YcJB2iiwvYC3Jn/lY4AkJg&#10;OQXxqG9E0Dsu7MSei5MTkjXRwBT84MEDneCxauAmGe6UCf685Ssx269Qfx/BQ0vd6hqLBAMz9uD0&#10;lAoTLbt7okAgGSgoFNWy5at0hQwR4XuJObhpK0oNgjF3/gINdvVyz1l5+x2TEKBPiB/B2kLsAv5W&#10;fKveJl0obNrud2xcgTZgzWCyIr0UFxrE0yMaQ4aO0HYRbEYgGeQBdxNto++wVvETwsZnBJrtP/hR&#10;dDzMOnfcAi0QhHLG0kWGCYSPvvfqZQSbu8QT2vT119+oxYV7Xrd+g1p4cP0QOE1WFp8n9vg2JB8w&#10;zmKD8QfpYK5m3gAsolio8F6ePRfYXiHmMX7nNsQtkjXRYFJn8mRHTExwKF9IAhHJ+PsICsW0zUoW&#10;kxtxAnwPFh1zgDKAMYtTDwHlyPdRTmw9z0SMUsIaAvP2BnnMh5BQ8Ng/yo/0Xcz3WFt0de5eRO7N&#10;77j4Bv3BBEE/0jYIHrnu8xcu0qBJz00Rn/0WkyxqISpHJiAVPEssWowJ+gsTLOQT1xgWIYIg+T7P&#10;nhUTqyliOzDjEgND/xKURg0OjmM8EdvAZ5AMJsSrV6/phmnBVJQrttAuAlQ/vXxFzc7cGzFIvC/c&#10;K0QdkhXfZNBgeBqYI5grWNRB9j0wNnm/E3P+Tc5I1kSDyROrBhP8tWvXdfXMJj0oORQLSgGiwIQK&#10;0SAAjkHrEQYPTLL4/RYvWa6rVHz6bD8M0eBYzHgoy8Qc5J4y54UjTgBFSoYN/vWdbgV/9Dg7yiYO&#10;0aBfuDYxMDt2kVK6WF0L1GlgpZwQEwQkjL7B8sSzxvLgKVLIBWmnECAyLBgTEBDa6MVYEBCJGwS3&#10;GYQEHzHuMyLd+b7nKpkwaaq6GjTV2Y0J9gzBXRLMJAOhbV9++ZW6TUiNxvrHvXH/BErzXsQm4AZD&#10;QoPxx1zBnBET3vxh4zNxkKyJRky5e/eulrVllUpkMpMo5m1WsygMghN3utU1fnkUEmQDMzv+PrIF&#10;UE5kEaCc2AkW1wmEA8VC2VsYtt8DSCjwohHsyWqUDAEyKDDhY7khkO+jw+wjkjgxGigoYjN279mn&#10;/lSUNYoZqwuR4X7HxDV4PlgX6AuNXnd9E7BszdfVe8C/u0+tEJAKyAdkhK3cqb1CcTaPYKB8Acfz&#10;N98l15+9b3ALYUFiDBGIjOsumGplPEkgGvddW085crTJEQtIlZIwd+/0WWKRVIPBEPwwohEt1AYg&#10;tZBJk9UrRMPLNoBoUPAFQoEyYvWGYiKtisBFVncok0Aa1Wg9BiXORExQI52c2IGWKHNW65AM3Du0&#10;DSJFsCsWl6h9B3SF7XdsfIMVB4Fcq1av0yJQuBjoc7JiCKT0OyauQdwKzx5rA+QgUB9ijla75H+s&#10;5NncjDFCoS2CfiEgWIQgHlg6IBMEek6fMUvjXyCfuM1IbcYFhOWL81y9dk0+++yeFuT6JshqZTxJ&#10;IBq8I0fc8+C+cStCtHAJkVGVWG43g8EQ/DCiES34n/GVs8na2nXrNaKerbqHDh+ppAFXAwFwRNdT&#10;JAY3CrnbbFVM8CiKm9xtCAouCY7HmkGV0UB9hEChroQ23WHJILr6xMnTGkdAbIC3PTKWF5Q6W7GT&#10;Qooi5PsEZSZEOwMmzkvaN/Qrq2T6jj4c7QDRgIBAkjzTp995XhZ6fXdu+oesIK6HZWKMIzm4z0hl&#10;JWbj2vUbGsdDyXoIwmUIhyObEE36lMwYgkcJiiQ7iVgfiEhU1F756PDhR26z23fuyEN3DtwkMetk&#10;BLPLxBPaeO/e57LPkSzIFe4iyDWlxwmeNaJhMBieBCMa0cLk//nnX7hV6xU1kbPqx/wdKFk7Qle5&#10;FN4iuI+VKpv5sIrFPI7ipoY+WQoz3KpW/fTub8zq/ETp4LaID2X5LGDSxipA7APFr3ALkVnDPQEs&#10;B5j8ybLBdYTCQPkmRDvZCh7rEO4cXBL0FQSIaqr8hBSR2YE1CFdVXLcJSwppbhAs0t9YpY9xhJFs&#10;CqwSxOxccs8MlwFVZAMFq77Wlf3NW7fk00+vyNmz5/QecKlBUgER7mdcm6k6e+XqVc3UgKBQuvv7&#10;ELBe+AlEg1TwXW4cBQJbpz2qS0DKIM/Hr48NBoPBiEa0MJGiSDBns8KmjgamcAL5COxE+RF/AXCP&#10;eHEYAwYN0VX4vPmLdCXLqpaVMYQD8zuKHNeEVwcioYkGq+ntO3cryfAKknnpmriGuA8+mzl7nmyL&#10;trxosGsCtBNFjyuK+AfcTyh52kZ/85P+x9KCVQGyAVHzO8/Lgvs87EgGsTcQSKwYgU3wpmql2AMH&#10;PtK6EVgePOsDP7///gclptSVgIBg6YCAxATZTPwfxLRg/PBD8Fsv/IR7v3PnrlpwsNRhsSOWBdcQ&#10;Fr6E2IfGYDCEJoxoxBKUArtmUrQJggBhQBFTDwOSgYtktPuJtQOXCf55qldi+mf/h71udYfixNfv&#10;xUEsWrJUK4ay6o3vNE2AQibYkOtxXXzqpGNSyZF2Y53B6oKiQKmiXFEemP3JQGGFTzs5T3xYYSAY&#10;lGKHQNBXrIqxBtFfPxK4oZpeSibPlq3b1OoB2fAiyP3O+zzgXiAYnAtLD4qTbBJIjWYbuf6BZOx2&#10;5OOc64NgrNKZ0AJJIpbk+vUbmsrrjSEKmpFxwrvCc/Hrb4PBYDCiEUswbWMqv37jhmaUYKWY4FZv&#10;uEfGT5ykihnyQeol0feQC5QWZZkxkWO1IE2ToEsmYxQnJc1R9viy4zvNlfPSBup2bNux61E5dLI4&#10;IBq4B4g94MFDjlCquFIIZMXigdL3Ui9RHnFpheE8AJIBmcGSwPUCwZ8TVNFD5mgP1hbIHX2PC4VA&#10;TYp5QaBok9/5nwWuTd97JAMLDpaUseMn6bVRoMTi0C8X3TVwFWCxSO6CVYbUVvpwzdoNSrQDabrL&#10;lahpsOwF2/3SYDD4w4hGLPFcKCgYahzgf8Y6weqN3TVJc6Ws7Q6nxE+ePC23bt3WSfjbb7+LjvP4&#10;XIMFd0ftU6WOmwWSQjzHmrXrhKJfxAWoeyKacLyqIvcUKAqYmAwCP8lywF0SWKlTdGyUWg0gTtwT&#10;MQRkQDAAqB3iZckQ4Md3CHSEbHiK/WXJ0Y9tY1+CaEvCYXZn3a3FriBBkBwCQPkdRU98BAQD0oE1&#10;CQLAvZAWiqsF945n2XjeNvE9taS463MOqnVCwrhf3DQQMa6Ly4xAzy/u39fnibsjuQuuIQJBsXIR&#10;y4M7EXLIXjCQZ4j1y5I/g8GQ9GFEI5Z4fniUDEF/dNLx4yfk6NHjDsf0d1IcL7gVnLcBFntTfPfd&#10;90pQKCP92b17qqQDe6UEXBaQDVI3UeLe3iJe4CUKM/aDeV6gQJnkIS4QDDb82rR526PdQUlB5PoQ&#10;DgIuj7jVJ8exQygBjbhXcBHNnjNP24gSgRRRSp20RVb+KOeXdVlccMdwLDU6MLHv3LVbK0lSU8Lb&#10;/MizJOAiIauBglBbtmyThYuwNkzUmhbcC9YHgjbJ+KGSKSW/n7dN9BG1OigARkoy9VIIPoXg4Krh&#10;Oa3f8GOlTg3cjI6rSO7ypeuLGzdvaZwRFjCeB25DdtUNlB4PWOn8+t1gMBiMaPgIZMOzbBDUh8WC&#10;IFEPKCEC/jApe8rIO4bf+ZyaC9RbIDjUc11gWSB9ksmaTbuOupUgGQsQDhQhq34m7GdN2p6VAGCy&#10;xuoAscEKwcZdc+ct1EJKXrExLCsQHMjNTacwvEBF7gOlCoFa70gILp6hw0aqZQPFvtiRFVb+uDnI&#10;mvmxnQFy9CTwf8gF8NoWKNG+XdiRFdJDRg7WHoiEp+QhNLSPKq0QOYgOtSxwoaDcCBYl84d0UraS&#10;12qmkLXoawGvfR68z+lnsmo2OqKCdYpsoWHDA1tHQ65wJ0Eyrl2/LvejrRneM03uAuH+9PJloQ4L&#10;BA3rF8+McuuehYnn7jdWDQaDwYhGPAhk4969e6rgUG5YNlD2mJtRcKTCkh4LKSCOgi2OUcSs0nVX&#10;waes1Pkc6wUKnE2smOhZ4RNUSVVNglO9mBKsBVgK2O7+0KHDqiwgTZ4EXD2k9F7V/0NGAlYG187x&#10;k5R44DbCEoIVhn1IaCdBnFgHUN6QAxQNZILdabGQ4LMneBOixXEUvaJtKClWwhMmTtb2secH/YDy&#10;h8xgYcEihJWIdFDOv2nzFq1VQt+h4PgJ2cCETyAi8RSQjgPuemygxLWJrSGbBGsMyhFXEbEE3B/n&#10;wpIBaYHsEBCLC2D//oPyqetfSAZuM7Nk/Ch32eHYjUnccYwviB8EECLIGHzaeDUYDAYjGvEgKCmU&#10;FUoLiwHKD2VKUCNBh4FVNCWu2Qk0oDSptUHNCJQlSpvVuN8Dg7yg2FH21Pug1gNWEwqD4SJhda4p&#10;mu53AlZRsCedMgjEkgT21PDEi0XhcyUbh49oVgE1RLC+YEUg8I+aCVRLJZWRdqJgKHBFvAkEgTaT&#10;4rjHtQdlxL4vuEdIGeX+Ai4cdvocKxRAUwU/e54WufJqMODKwcJC+8DXrl20mToVe/bslUWLlqql&#10;hfsjdoMATkhRoLbJMm0bBdQIGoV08ZOKnJT8xuXC9u4QL47lnkjPhHRQTA0lihvs/v0Hj6xUZsn4&#10;UW7fvqNuE5492UpYyiBoXil1nt/zxsoYDIbkByMa8SxUglT3hCMGTNRM0LgLWJ1DCFCYFD7ydgJV&#10;wrEnSpU3xxBoxyRPxgVKHUsBBIOMCawElEYniNE7J64SrAXEN0AIIC23nBJ/1gqdPTcgG1wTssEe&#10;H6SXck4UC64YyAHkBTcDij2wa+l21+Yt6s7gM7JryEaA+HAMhEXPEe2i4H6xsmAlwdXDSjhm4KWn&#10;4PnpBSHiRsEygssD0gJRUcLg7hWyRkAnFiOIHPujEJ/CTzZno7+xonDdwDET1KJB/2zZukODYj2C&#10;Y1YMfyGtlXFHGvfUaTOUgELSIJcQYrNmGAyGp8GIRjwLCgwfN5M1Su2Am5xJi0UZT3Mrcs+dgsJE&#10;IRK/gCKGeFD4C8sASpnVP26MBU7ZsopHgaJ0WZmrm8T9JKuEYwikJO32/IUL6o7AYvGsFTpKHTcK&#10;7STrgnog6zds1uvRTtwcWEkABIJqovjpMaHTZqwLuo26+x9t4X5Q7vyOC4a4kZWOhGBhwRKCVebq&#10;1avqIoGMxbYi8Dt9hyuFolkoM1wiWEwoEU9fQHzoMywuuHuwWOhP+gT3jAP9S7sgItzLsuWr1Nqh&#10;tR/OX9Sy4FgxYpIck5/K5ctXNIiXMUllWaxyuLwgHzwXs2YYDIanwYhGPAsKLOCi+FZN87gDzp27&#10;oIqcmAF83uMd0cDvjeWAkuf8pKooVgqCR2fMnKMKfNTocfp54HvuOw6sLiEbKNIVq1ZrvMaFCxfd&#10;dQIEg7Tb51GifIfMGQJFSdGFcJw69bGm8QZcM/OUZBDbQKYG1gksFbhDYv5OG9mnREmG+z6WEZT7&#10;ZqfcDx8+Kp98clnuOOVOX+C2iW3J8IS/+TzQru/0u2p1ceTkxImTavWBhGHlCJTEphjZJHWL0D4P&#10;KEb2UGE1vtW1AZKDq4QqlwT0Pun6Jj8KNUWwXkFk6WcIHcXdiA8ykmEwGJ4FIxoJJCgyb4WOkmPy&#10;ZidM9o7AYoElgjiImbPniG5Y5YgFShJLAZYDzP1M8t5nkA/KnnPcWne8pqK6VbpXaMpzB7yooHRZ&#10;4ROQSUojMRK4cXa5FS1podQCIaZE3ROLAxYW3Cn8TkYJrhMIAAXLcAMRrMnKl8BOXDNYTbCevEzb&#10;IGzEvdy4cUNrgOBKiorap/eOlYhrcu2Y8FxRxJ+cPn1GPv30UyU6PAcjF88nxGBAiiEYjEHGH3/j&#10;ZvObVAwGgyEmjGgkkKDUgBeA+eDLLzUzhXROTNO4VVDIO3bs1FTP5StWaxCj5yaBhJAWiwuFXWSJ&#10;jdDiX06BX7r0qQYzPtp6/JuXD2jkmIAVAevG12p5oC4IwZoo+MuXL6vLAaVNhgkKnNoc/I7L5dKl&#10;S3L16nW57tpz8+ZNDSSE+OA+gvx4wZZc40WFtnlkjXbRf5A2rERciz64dv3GT3DjURvuuTbcj+6f&#10;wAZpL9M/yVHILMLVh4UIokH8DaSOZ+43qRgMBkNMGNFIYEG5efCsB4H4iM91xf9xdEbJ/v0H1BrA&#10;ipz0VGIb9kTt1Y2+WMlDMCAoKPFAZdIf4ww8vKzEPAf4AbhzeyRJyYdT3Dedgr967Zq6WVD2KH7I&#10;hEckYiL2OcHLSMzjY1/jWYh5LDB5snh9RL9RkAuiS7YUsToUWyPOhRRnv0nFYDAYYsKIRiIKEzlK&#10;mVU6ZINVP2Z9XBaQDh7QhYsX1XRN0B3EggwWVu6s0j9332d1TxxGQqzQvfZiMSG+AVKBKwM3C797&#10;LpH4bodJ/EvMsXns2AmZM3e+FjjDbULWEVlAEJDYE4rBYDDEhhENExOTxwSSgZUMIkuRNrKLSMfm&#10;J7Ev1FEhc8hvUjEYDIaYMKJhYmLymGDJwEpFVVCq21KrBYsGGTyUHieeiGJdfpOKwWAwxIQRDRMT&#10;k8cEawbF0q5cvaY1NKhFQtE1ApSpZUIcEaXH/SYVg8FgiAkjGiYmJo8J9VQI8MVqQVozRdGo3UJ8&#10;BjsEU3GWcvh+k4rBYDDEhBENExOTx+Srrx7K5StXNH2ZmhlUeqUoG+nVFOqCgDxpPx6DwWCICSMa&#10;JiYmjwn1Rqgwi5uEcu/e/jJr1m3QvXewZtgeJwaD4XlgRMPExOQxoVYKNV101+H5C7UcPnvHrN+4&#10;+dHuwkY0DAbD88CIhomJyWNCqXgqf1JSftbsuTLBkYwp06bL5q3b5PSZs7bHicFgeG4Y0TAxMXlM&#10;qPLKJngLo3fvpfT4jFmz3YSx09JaDQbDC8GIhomJyWMSqJ9xUDfvI+OE0uPsu0NFUCMaBoPhRWBE&#10;w8TE5JFQehywWd3uPXt1q38yTqZOm6k1NPjM6mcYDIYXgRENExMTFQgGm6hRFZRdhXGTjB47XsaN&#10;nyQzZ8/VNFeqhBrRMBgMLwIjGiYmJireRmrs0MuuvOwcPHT4KBnriMb8BYv1748OHdZN/vwmE4PB&#10;YPCDEQ0TExMViAalx+8/eCAXL12Stes3ypBhI2TchEmydNly2bFzlxw5eswqghoMhheCEQ0TExMV&#10;3Cbs1nrnzh05dfpjrQI6eMhwzTjBbRK1d78cP3HKKoIaDIYXghENExMTFYjGgwcP5Nr161pmfOmy&#10;lTJo8DDNOFm3foPu2AoBMaJhMBheBEY0TExMVCAan3/xhVb83LtvvyxYtFgGOqIxddoM2bRlqxw9&#10;fkI+PnPWKoIaDIYXghENExMTFQJBP/vsM0cmzsj2HTtlzrz5SjSmz5wt29zfWDPOnr9gRMNgMLwQ&#10;jGiYmJioQDRu374tx44dl/UbNskMRzAGDBoqM2bNkZ2792haK24TKz9uMBheBEY0TExMVCAaN27c&#10;lAMHP9I9TqZMna5EgxoaBIJeuPSJWjOMaBgMhheBEQ0TExMViMa1a9dk9+4oWbhoqUyaMk0GDx0h&#10;8+Yv0kJdEAwjGQaD4UVhRMPExESFiqCfXr4sW7Zul9lz58uUqTNk7LiJsnTZCi3U5TeBGAwGw7Ng&#10;RMPExEQFonHp0ieyfsNGmT5jthIN9jhZtWadprv6TSAGg8HwLBjRMDExUaEq6IULFzU+Y+KkKTJ5&#10;6nS1bGzYuFmOHjvuO4EYDAbDs2BEw8TERAWicfbsOd2ldfSY8Uo0+H3Ltu1y7PgJ3wnEYDAYngUj&#10;GiYmyVy8zdS++uorOXXqtMydv1BGjBorU6bNkOUrV2lq64mTp3wnEIPBYHgWjGiYmCRz+eGHf8jD&#10;h1/L3bufaSzGrDnzZOTosVo/Y+36DRK1b78W6/KbQAwGg+FZMKJhYpLMhdLj9+8/kGvXrsvefQeU&#10;YIwcPU7jMzZv3SYHPjokpz8+4zuBGAwGw7NgRMPEJJlLoPT4Pbl48ZLs3Llbpk2fpUQDF8r2Hbvk&#10;0OEjuseJ3wRiMBgMz4IRDROTZC6ktd68eUtOn/5YNm3eooW6Ro0ZLwsWLZE9UXs144Ty434TiMFg&#10;MDwLRjRMTJK5kG2C2+To0aOydt16mTBpimadLF66XN0mxGecv3DRdwIxGAyGZ8GIholJMheIxuUr&#10;V+TgRx/JylWrZfzEyTJm3ARZvnK1HD9xUs6dv6CbqflNIAaDwfAsGNEwMUnm8s0338jFS5dkT1SU&#10;LFm6XMZNmOwwSVavWScfnzlne5wYDIZXghENE5NkLl9//bUGe27avFU3UBs/cYpMnjJdt4q32AyD&#10;wfCqMKJhYpLM5eHDh3L8+AlZuXKNzJg5RyZOnqZbw2/ask3Onr/gO3EYDAbD88KIholJMhcqgh4+&#10;fFS3hmcjtckOWDa2bd+p8Rl+E4fBYDA8L4xomJgkc3nw5Zeyb/8BrQiK22T6zNkaq0HpcSMaBoPh&#10;VWFEw8QkmQp7nFAV9Iv792X3nijd24RsE9wmK1etkai9+y2t1WAwvDKMaJiYJFOhIigZJ7dv35Ht&#10;23fKxMlTZfTYCVp6fO26DWrlMKJhMBheFUY0TEySqVAR9Msvv9RiXWSckNIK0Zi/YJFs3LRFDn50&#10;yOpnGAyGV4YRDROTZCj/+Eegfsbnn3+uNTLWbdgkY8dPVFARlD1ODh85ZkTDYDC8MoxomJgkQyE+&#10;g/oZt+/clTNnz8uatetlzLiJGgy6cvVajc84cfKUXLz0ie/EYTAYDM8LIxomJslQIBqktV6/cUPL&#10;jK9YuVoDQYnTWL9ho3x06LDucWJEw2AwvCqMaJiYJEOBaHzxxX3dGn7vvv2ycPFSGTl6rGaebN6y&#10;TY4dP6FVQY1oGAyGV4URDROTZCg//PAP+eyze3Lq1GnZsnW7zJk7X0aMGitTp8+UbTt2yanTZzTj&#10;xPY4MRgMrwojGiYmyVCon3Hnzl05cuSoxmdQpAuiwc+du/bImbPnNBDUiIbBYHhVGNEwMUmGAtG4&#10;efOW1spYsmy5lh4fNXqcVgfdE7VPK4Larq0GgyEuYETDxCQJCbEX3377rdy7d09uXL8h165dcz+v&#10;y40bNx7hzu3b8tndz+TcufOyefNWmTlrjtbQwKJBsS6rCGowGOISRjRMTJKQQDSojXHs6FHZtHGj&#10;rFu7VjZu2Oh+3ySbN22WLZu3SNSePXLk8BHZuXOXLFi4SC0Zw4aPlKHDRqpFI2rvPiMaBoMhzmBE&#10;w8QkCQkukevXrsvKFStlyKDB0rd3Hxk8cJAMHTxEhg0ZKiOHj5AZ06bL8qXLZOH8BTJmzDjp07e/&#10;9O03UAYNHiazZs9V14kRDYPBEFcwomFikkQElwklxU+ePCnjxoyVBvXqS3iVqlIjvLrUql5Dateo&#10;KXVq1pKIxk2kfZu20rpFS6nPd6qGS/Vq1aVmzdrSvFkL6e3IyQhHSEaPGv0TjB83XmbNmi2LFi+R&#10;pcuWy7Lly2W5IzQrHFauWq31N7a7CWXXrt2ye/eenyAqaq8cPPiRHD5yVI4cPabps8djgOJg1O3w&#10;glD9JiuDwRCaMKJhYpIExCvAdevWLafYd0unjh0lX+48kiFtOsmULr1kTp9BMmfIqMieJavkyp5D&#10;cmbLLlkyZpKM6TJIRvf/TPwvazbJnyevFC5YSIoUKqwIi0aZkqWUmES2j5QuXbpK167dpHv3HtKj&#10;R0/p26evjBgxUqZNmy5z5syVuXPnPcK8efNlsSMna9aslU2bt8i2bduVjOxyBMQD7pr9Bw7K0WPH&#10;5eMzZ5VsPAvUAKHOx/PAC2yNK/hNpgZDcoXfOxITW907/5YRDROT0BaIxr3PPpPz58/LqhUrpWH9&#10;BpI6xYfy9ptvSYr33pdUH6aUtKlSO6SRNClT6d8/wQcfSsoPUsiH73+g3//g3fce4f133pX3/v6O&#10;pHbfK5C/gFSoUEGqVasm4eHVpUb1GlKzRi2pW7uuNItoJh07dJRuEJBu3X+EIyN9HBEZPnSYjBs7&#10;TiZOmChTpkyVqVOnPcKMGTNltiMoixYtllVYR9ZveAwbNm6SLVu2qtVkZ7TVZE/UXrWWQFT27gP7&#10;Zf/+A1rZ1LOeAAjMsVigIqpnSTn98Rk54wgOFpUngQJmuJSU5ESTF79J12BITuA98Mg/2Wq8J7Hf&#10;Hd7dN91cZETDxCSEhdgMMkwOHDgg06dNkxrVwiWNIwbpUqeRQoUKS9my5aRSpSpStWq4VKxYWcqW&#10;KSelS5eNRhkpWbK0lChRSooWLSaFChZ2hKLgI+TNk1dy5cwluXPmlsLuXMWLl5BSpUo5lFaUdMeV&#10;KFYiGsV9UapESang2lC5YiWpUqmyunTCqzqyEo3qrr01HWmpU6u2kqTGDRs9huaOyHRoHyk9HXEZ&#10;MGCgDBs2XEbh1hkzRsaMHSvjxo1X9w4kBivKkiVLZcWKFerWWbV6jayOiTVrlbxAXHbs3KVE5cCB&#10;g+reeRIgLidPnX5EOCAbfhOvwZCcwHvAOwFZh7zznsR+d5YuXSZ//vNfjGiYmISyQDQuXLggG9av&#10;18BPlHralKkkZ46cUqNGLWnZqq2079BZOnftLu0iO0mLVm2kWYtWATRvKU0imkvjJhFSv0EjqVmr&#10;jlQLr/kIlSpXlfLlKyopgVQUc8TBQ5EiRR35CJP8+QpI9mzZJX2atGoxiYnUH4KUjvj8+BltC1hY&#10;Aoj5/ZifxwRungL58ktpR26qOqJSp04dadSokTRp0kSaNo2QZs2aS/PmzaV9u/bSowdkZIAMHTpU&#10;XTojR46SUTFAzMmE8RMeuXoWL1qssSarVq56ItatW6++ZiwouHk++uiQHDp85Ik47EBBNKwpGosS&#10;bUHxcBI44vIkMHHjRjpz9umWlqfhrANpzKw0PWtMfMGsPAHEXOHHGdyz4/nxHIHfs34eMKaw4FER&#10;+PEx9+PY9MC4ZfxCHoDfOD/o3gMsiRD2zY64857EfnfGu3ftD7//gxENE5NQFojGSafI5s+dJ507&#10;dpLijgCg4PPlze+UcVNHMHpIj159pXffAdK9Zx8lHB07d3uEyI5dlIi0adfBkZC20rxF60do6khI&#10;o8ZNlYTUqVNPatSs/QjVHYmpFl5DKleuJuXKlZfikI/CRX4KR0QKYyVxJAHrSGzkyZ1XcuXIJTmz&#10;5xRiRLJkziJZMj2ObFmySZ5cudV9U9TdH5aY8uUrSMWKFaVSpUquDVWkigMkJLxaeCAItiZunTpS&#10;r07dx9CwQUNp5ghKy+YtpF2bttIxsoN06tDxiejauYv06tVbBvTrLwMHDJRBgwbLEEfqnoRhQ4fJ&#10;2DFj1cIyc+YsmTtvvixYsFAWLlykwE1E7MriJUsVWGA8rHCTMxaXzVsCMS24i3bs2PlCwL2kpCja&#10;leQF4cYlPPKEAvOKvPkp3+QCyBb9AEFEodM/fv32wnDKnufHc+R54jb0e+ZPAyR548ZNatGDVC9b&#10;tlzHWmD8LZFFixfLwkWBsemB4O9JkybL6NFjNEB86JChj43zwe49GNB/gLpHe3TvIV27dH3s3cEi&#10;+ctf/NKIholJKMv3338vHx08KOPGjpVG9etL/jx51IpQsEBBRxZaSc/e/ZRk9Ok3UHr16a9/xwQk&#10;BEBCuvXo/RN07dZTujhAVjopMen6CB06OTiSEulISvvITtKmbeRjaN2mvbRo2VrJSt16DR5D7Wjy&#10;UrVadUcYqjrCUkHKlC33GHDvhIUVUaJRsGAhdQmFhYXpZwDrCj/z5c2r1g/PEoL7KL0f0qTVYNmM&#10;BMtmyKjHZH0aMmUWAmlzOjJEIC0BtU8DQbWlS5ZSt1AjR2patWwl7dq1k/bt2ys6dHDEplMn6ewI&#10;TOcuXQIBttEguHbkiJE6yU+fPl1mz56jlpcXwfz5C9RkjZto06bNst0pm5iZQHEBL4iX1S5kI7m7&#10;k7A+QDIgB4ccKdjr+sev314UBE9DNjdv3qJEAZLq98yfBsgulgXIAePLIwWMv06dO0tHNxYjIyMf&#10;jU/QuFFjJe+4Pwu5uSR3zly+Y533IYd7L7K5RQLvSex3B0vlv/3f/2tEw8QklOX7776T3bt2Sf++&#10;faVqpcqSx00I6dOml2LFSqiyh2D07T8oUcC1ITGdunSX9h06PYa27TtKK0dGmrdsI02btZCGjpA0&#10;aNjkMUBIqlSpJmXLlX8iICRYO5gQM2fIJJnSZ3wCMijBgGikS5NO0qZO+3R4QbQpAkGzz4PU7vtZ&#10;HTHBkoOlp0L5CgGrS5WqiqrEp4SHS40aBNTWlJo1a6kFBpDd0ywiQlq3aq2uIIJsO3Xs9EJAifTu&#10;1VsGDRwkI4YNlzFuVYqiiUtMmjjpkcUGaw2rZFbLyRUQOywBcxwxnD59hvaPX7+9KIg/4vlhVcCa&#10;Bknwe+ZPAxY7yC7koV7delKndh0da4y/6tWr61isWjUwNj2ULFHSEfd8ksWRBwh7yqeMf94NwAIn&#10;9vvz/rvvyc9+9jMjGiYmoSzfOaKxZcsWN6F0lJKOXOTNnUeDNytUqCTtIjsmOtHAigLZ6Naj12Po&#10;2r2ndMFa4ogIFhK1jvigrbp12mhMyZMQ0aylNG4coZaSWrXcRPoEUDMkvFrA5UNwLDEo5ctVeCLK&#10;lS2vMSpesOzzoZBalEDhwmF6LIG0JdzkDUqW/DGgFhB7gjuI30u474UVducoUEAKu+PDYqQbPy+K&#10;umuWcNcs7a5Vzp2XuJ2KuJriEJUrVJQqFSupuwpXVW2nuAjoTa6gVg2ZWAQ4E/RM//j12wvDkWie&#10;H8+xtBsbxbDg+TzzZ4Jx6I4t7sYFJCLm+GM8liwZGJseirnvFS5cRMdzwWg8Ps4L63fCwoo6Qk2g&#10;eJnH3h/G/3/9138Z0TAxCWWBaKxft16aN20m+fPmk/xuFc2LTwwFro3EJBqA6wPcNy8LP5ePHwJu&#10;oD7qBnoSIDhqYYl297Rs3daRmNZPRHO3EiRgFgJTg/gU16/PAq6gso6gYFWCZICYgbTFUBg+KOr+&#10;lz9/AcmcMZOuDr2V4suCVeijvzlfXCHGeXVFy8o2xmfJGTFX+L599zLgXLGsBy8CxhL1cnJkyy75&#10;8uTVDDLG2k/HX4zx6QD5KFPGEVSyxaqGS3h1R6R8xnqt2nXV4kgcVxM3B8V+f2o4cv8///MLIxom&#10;JqEs3337naxcvkLqOCWIgoJosAKvV7+hKtTEJhrBBs/KAukIxJ901356EgIBs52ldVviTdo8FyKa&#10;t5SGjZpI7br13STMRPx8qFW7jiMp4WpFKVHcrSydAngZFCsaCMxlxVmgAKnKBeIUjDEN5s2VR4N5&#10;c2TLIdnw0ydzZM+aXXJmzyG5c+VWhe7Xd68CAqtxD2I98HvuT0bJAGmoUFnT3FmEMNb8xqAHiHWD&#10;Bo01Iy2iWQuN9/Ib62S1tWrdTq2OWCRjvz+N3PG//OWvjGiYmISyUH588cJFamL90K14UAKkpTZp&#10;2lwVqRGNnyKmhQXC8TzwrCXde/Z+Lmggbfderv97qGvoeaFBt126SYdOgSDbl4W6mpwS8LKGGjRq&#10;HKeo37CR1HUkqmbNOlKtWo1HadDJHRUrEYdTTRU5/ePXd68CnmfrNu3UGuf33J8GrJsdO3XV8dXZ&#10;EQDGmt8YfAQ3dxAMzjj2gsP9xnoPR9gDlsS++p7EfncYh7967TUjGiYmoSi4TCg9fvvWLZkxbZqU&#10;LFZcA68KFiikJn5iGpgkjGjEHTySEuxggkcxsKIkfRmLTFyCQF7SoVnNNmveSkkthCa5o3GTZhrU&#10;TKZV2/Zuhe/Td68CnicKHZLs99wTA2zK6PeueCDY+7Vf/9qIholJKMrXX38tN27ckFMnT+rOrAR8&#10;ffDu+5rmidmzddtIVTY6GfhMAIakCxRRTCuMtyKNKwSsNdFpz075sVLGCmPoqmng9AuBzn599yog&#10;/ggSGUrvtBENE5MQlgcPHsj5c+dk+7Zt0qdnLymQN5/uV1K8eEm3uorQFRCKxoiGwWBILBjRMDEJ&#10;Yfn888/l2LFjsmLZct0HhPoZRKVT3KppRAstqsWq1oiGwWBILBjRMDEJYfnss89k3759MnP6DGkR&#10;0Uyr85FiSHQ5AViYb41oGAyGxIQRDROTEJbbt2/Ljm3bZcyo0dKgbj0t95sqRUoh+p1APdI3vaAx&#10;vwnAYDAY4htGNExMQlhu3rwpmzZslEEDBuo265nTZ9DN1NgSnkwDgsaMaBgMhsSEEQ0TkxCW69ev&#10;6zbM7GtBuWOIRvq06bS8NnnyEAwjGQaDITFhRMPEJITl6pUrsnD+fGkW0UzKlCqt26yz3Tr7eVBw&#10;x++lNxgMhoSEEQ0TkxCWTz75RAt11axeXYoVKSp5cueVQoXCdM8B9vPwe+kNBoMhIWFEw8QkhOXC&#10;hQsybuxYKV2ypOTPl0+3dPZqaFDcx++lNxgMhoSEEQ0TkxCWc+fOydDBgyVPrlySLUtWRzTya2or&#10;5aC7G9EwGAxBACMaJiYhLGfOnJF+fftKxnTpJWOGDLq7Y8WKVXTvCVJb/V56g8FgSEgY0TAxCWH5&#10;+PTH0rtnL0nzYUrJmD6DhBUpKuHVa+lGV+yJ4PfSGwwGQ0LCiIaJSYjJP/7xD/nhhx/k+++/l5Mn&#10;Tkj3rl0lxbvvK9EoUbKU1KnXQNq0i9Q9TvxeeoPBYEhIGNEwMQkxgWg8fPhQPrt7V6J275bItu3k&#10;g3ffk0wZMknZsuWlcZMIaR/ZSUuP+730BoPBkJAwomFiEmKCNePevXty/vx5WbVypTRr0lTe//s7&#10;GgxaqXIVad6ytW6mRlVQv5feYDAYEhJGNExMQkwgGrdu3pSjR4/KvLlzdY+T997+u2TPml2qVasu&#10;rdu2183Uevc1omEwGBIfRjRMTEJMIBo3btyQjw4elJkzZki92nWUaOTIll3Cw2voZmpduvXUPU78&#10;XnqDwWBISBjRMDEJMSEI9OrVq7J3T5RMnjhJalWvIe86opEzew6pUaOWtIvsaETDYDAEDYxomJiE&#10;mEA0Ll26JJs3bpLhQ4dJlYqV5N2/vS25cuSSOnXqSacu3R5tD+/30hsMBkNCwoiGiUmIyXfffSdn&#10;z5yVZUuWSs/uPaRMyVLyzlt/kzy58kjDho21IigZJ7Zrq8FgCAYY0TAxCTGBaJw+fVrmzZ0nHdtH&#10;SomixeTvb74leXPnlcaNI5RkkHFiRMNgMAQDjGiYmISYQDROHD8hM2fMlDatWkvRwmFKNNhQrWlE&#10;c+nTd4CRDIPBEDQwomFiEmIC0Th+7JhMmTxZWkQ0k7CCheSdv70tBfIVkIhmLX1fdIPBYEgsGNEw&#10;MQkx+fbbbzW1dcTw4VK3Tl0pUqiwpEubTkqUKCUtW7XxfdENBoMhsWBEw8QkxASisTcqSvr07i2V&#10;K1WWImFFJHeuPFKpUhVp0zbS90U3GAyGxIIRDROTEBOIxq6dO6Vr5y5SplRpCSscJgUKFJJq4TWk&#10;XfuOvi+6wWAwJBaMaJiYhJh88803smP7DunQPlKKFy0mBQsUdESjoBENg8EQlDCiYWISYgLR2Lp1&#10;q7Ru2UpJRv58BaRgocISXr2mEQ2DwRB0MKJhYhJi8vXXX8uG9eulQb36ki1LNsmbJ6+ULFla6tZr&#10;IB06dvF90Q0GgyGxYETDxCTEBKKxetUqCa9SRdKmSi15cueVihUrS6MmEdKpS3ffF91gMBgSC0Y0&#10;TExCTCAaq1aulMoVKkjKD1Io0ahaNVyaNmuh28P7vegGg8GQWDCiYWISYmJEw2AwhBKMaJiYhIj8&#10;8MMPmtp67949WbxokVQoW06JRt48+SQ8vIZENG9pRMNgMAQdjGiYmISIQDI+++wzuXDhgkybOlVK&#10;lygpqVJ8KAXyF5RadepJy1ZtpUu3nr4vusFgMCQWjGiYmISIPHz4UC5fviz79u2T4cOGSdHChZVo&#10;hBUuIg0bN5W27TtItx69fF90g8FgSCwY0TAxCRGBaHzyyScStWePDB08RPc4Sf1hSilatJg0iWgm&#10;7Tt0ku49+/i+6AaDwZBYMKJhYhIiAtG4dOmS7Nm9W4YMGixFChZSolGsWHGJaNZCIjt2kR69jGgY&#10;DIbgghENE5MQka+++krOnz8v27ZulQH9+knhAgWVaBQvXkKat2glHTp1dUSjr++LbjAYDIkFIxom&#10;JiEi9+/flxPHj8uKZcula6fOkj9PXkmTMpWULFnKvcjtpHPX7tKzdz/fF91gMBgSC0Y0TExCRD7/&#10;/HM5eOCAzJ45S9q0bCW5s+dQolGmdFlpF9lRA0F79env+6IbDAZDYsGIholJiAj1M6L2RMmUSZOl&#10;WZOmkjNrNiUa5cqWl47RbpPefQf4vugGg8GQWDCiYWISIkINjd07d8n4seOkccNGkj1LVt3rpHz5&#10;itKlaw+1ZvTpN9D3RTcYDIbEghENE5MQkbt372og6PChw6Ru7TqSJWMmJRoVK1SWbj16+77gBoPB&#10;kNgwomFiEiJy+/Zt2bB+g/Tt00d3bs2ULr2kTWlEw2AwBDeMaJiYhIjcunVLN1Pr0qmT7nOSMW06&#10;SZ86rVSqWMWIhsFgCFoY0TAxCRG5eeOGLF2yRDNOypYqLdmzZpUc2XNI9eo1rSKowWAIWhjRMDEJ&#10;Ebl+/bosmD9fGjdsKKVKlJD8+fJJWFgRqVu/oRXqMhgMQQsjGiYmISLXr12TuXPmSP26daVk8eJS&#10;uFAhKVGilDRo1ER69jaiYTAYghNGNExMQkQ8olHPEY0SSjQKa1XQhkY0DAZDEMOIholJiMjVq1dl&#10;1qxZUrtWLSlatKgUUqJR2hGNplZ63GAwBC2MaJiYhIhcvnxZJk2cKOXLlZN8efMq0Shbtrw0adrM&#10;iIbBYAhaGNEwMQkR+fSTT2TUyFFSqGBByZolqxKNipWq6BbxRjQMBkOwwoiGiUmIyKVLl2TokCGS&#10;K0dOyZA+gxQuFCZVq1WX5i1aSy8jGgaDIUhhRMPEJETk4sWLMmjgQMmWOYukT5tOihYpJjVq1pZW&#10;rdvZrq0GgyFoYUTDxCRE5OKFizKw/wDJnCGDpEuTVooVKy6169ST1u4lNqJhMBiCFUY0TExCRGIT&#10;jeLFS0iduvWlTdtIIxoGgyFoYUTDxCRExIiGwWAIRRjRMDEJYvnhhx/k22+/lfv378uRw4elZ7fu&#10;kiFtOkWpUqWlfsPG0rZ9ByMaBoMhaGFEw8QkiOX7779XkvHpp5/K5s2bpX3btpI+dRrJmD6jlC9f&#10;UZpGNJfIjp2ld98Bvi+4wWAwJDaMaJiYBLFANO7evSunTp2S5cuWSYuIZpI2VWrJnDGzVKpcVZq3&#10;bC2dunQzomEwGIIWRjRMTIJY/IlGGsmSKYtUqVLNvcDtHNHobkTDYDAELYxomJgEscQkGsuWLpXm&#10;ERGSNrUjGpmzSLWq4dK6bXvp3LWHEQ2DwRC0MKJhYhLEAtG4c/u2HDt6TBYtXCgRjZtIulSpJasj&#10;GuHVqkubdpHSpZsRDYPBELwwomFiEsQC0bh965YcPnRI5s2ZK00aNpK0KVMZ0TAYDCEDIxomJkEs&#10;3333nVy/fl2i9kTJtMlTpH6dupI6xYeSLXNWqV69pqa2du3e04iGwWAIWhjRMDEJYvnu2+80tXXT&#10;ho0yfOgwqVa5iqT8IIVkz5pdateuKx07d5XuPftIn34DfV9wg8FgSGwY0TAxCWKhWNeFCxdkxbLl&#10;0qdnLylfpqxY8ACsAAAFs0lEQVR8+P4HkjN7Dqlfv6FaM9i51YiGwWAIVhjRMDEJYoFonD9/XpYu&#10;WSo9unWXcqXLKNFgq/iGDRtLj5591G1iRMNgMAQrjGiYmASxPIlo5M6RSxo1aio9o60ZRjQMBkOw&#10;woiGiUkQixKNc+dk8cJF0rVzFylTspR8+N77kjtnbmncOML2ODEYDEEPIxomJkEsEI2zZ8/K/Hnz&#10;pGNkBylVvISkgGjkckSjiRENg8EQ/DCiYWISxPLtN9/Ix6c/llkzZkqbVq2lWFgRSfHue0Y0DAZD&#10;yMCIholJEMs3jmgcP3ZMxo8bJ40aNJCihcMkfZq0UrhQmEQ0a2FEw2AwBD2MaJiYBLF8/fXXWhV0&#10;yKBBEl6lioQVKqw1NEqVLC0tWraR3n2NaBgMhuCGEQ0TkyAWiMZHBw9K/759pWK5cko08ubOK+XL&#10;V5RWrdtZRVCDwRD0MKJhYhLEAtE46IhGP4hG+fJSJKyIFMhfQCpWrCyt3ctrRMNgMAQ7jGiYmASx&#10;xCYaRYsUlYIFC0mlylWkTdtIIxoGgyHoYUTDxCSIJSbRqOCIRrGixaRQocJSuUpV3bnViIbBYAh2&#10;GNEwMQligWgcOHBA+vTuLeXLlZMiRYoY0TAYDCEFIxomJkEsDx8+lKioKOncqZMUDSsiBQsWlMKF&#10;w6RqtXBp266DEQ2DwRD0MKJhYhLE8vCrr2THtu0S0aSJZM2UWXLmyClFixaTGjVrS7v2HY1oGAyG&#10;oIcRDROTIJavHNHYvGmT1KlZS1J+kEKyZs4qJUqUktp16ktkh85GNAwGQ9DDiIaJSRCLRzRq1agp&#10;H773gWTLmk3KlCkn9Rs0kg4du0gfIxoGgyHIYUTDxCSI5SdE4/0PJEf2nFpDo1HjCOnYuZttD28w&#10;GIIeRjRMTIJYYhINXCc5c+SSSpWqSOMmzaRTl+5GNAwGQ9DDiIaJSRALRGPTxo2OaNRQopELolG5&#10;qjRuakTDYDCEBoxomJgEofzjH/+QH374Qe7fvy8b1q+XmtWrq+vEiIbBYAg1GNEwMQlCgWRQQ+Pm&#10;zZuyYvlyqVa5ihENg8EQkjCiYWIShPL999/LF198IZcuXZIF8+dL5QoVHxGNyo5oNDGiYTAYQgRG&#10;NExMglAgGndu35ZTp07JjOnTpULZcpLy/RSSN09eCa9eU5q3aCWdu/YwomEwGIIeRjRMTIJQvvvu&#10;O7l+7Zp8dPCgTBw/XsqULKXBoIUKFpK69RroPifdevQyomEwGIIeRjRMTIJQIBqXL1+WvVFRMmbU&#10;KCldoqSkSvGhhBUOk0aNm0r7Dp2le8/eRjQMBkPQw4iGiUkQypOIRpGwItK4SYREduziiEYfIxoG&#10;gyHoYUTDxCQIxYiGwWBIKjCiYWIShGJEw2AwJBUY0TAxCUIxomEwGJIKjGiYmAShfPvtt3L+/HnZ&#10;snmzDBk0SIoXKRpNNIpqDY0Onboa0TAYDCEBIxomJkEoX3/9tRw7ekwWL1okXTp1koL58yvRKFa0&#10;uDRr0Uq6dOshPXr1NaJhMBiCHkY0TEyCUCg/vjdqr0yaMFEiGjeR3Dlyah2NEsVLSqvWbaVr917S&#10;s3c/IxoGgyHoYUTDxCQIxSMaE8dPeEQ0sGiULlVa2rbv4EhGX+ndd4DvS20wGAzBBCMaJiZBKP5E&#10;I6WUKV1WIjt2VpJh1gyDwRAKMKJhYhKE4kc0Un+YUsqVLS8dO3f1fZkNBoMhGGFEw8QkCMWIhsFg&#10;SCp4jGj85S9/kfXr18uZM2cMBkMi4dixY7Jw4ULp3bOXhFepKhnTp5f3/v6OFCpYWBo2biqt27Y3&#10;GAyGkEDtOvXkf37xix+Jxr/+67/Km2++Ke+9957BYEgkvPPOO/LnP/9Zfvv6b+V//r//kZ///Ofy&#10;s5/9TP7rP/9LfvmrX+nqwGAwGEIBv/jFL+V//+///Yho1I7+xWAwGAwGgyEO8U91/n/brI5yPBQ7&#10;XwAAAABJRU5ErkJgglBLAwQUAAYACAAAACEANPcinOAAAAAIAQAADwAAAGRycy9kb3ducmV2Lnht&#10;bEyPQUvDQBCF74L/YRnBm90ktWmJ2ZRS1FMRbAXxts1Ok9DsbMhuk/TfO57saZh5jzffy9eTbcWA&#10;vW8cKYhnEQik0pmGKgVfh7enFQgfNBndOkIFV/SwLu7vcp0ZN9InDvtQCQ4hn2kFdQhdJqUva7Ta&#10;z1yHxNrJ9VYHXvtKml6PHG5bmURRKq1uiD/UusNtjeV5f7EK3kc9bubx67A7n7bXn8Pi43sXo1KP&#10;D9PmBUTAKfyb4Q+f0aFgpqO7kPGiVZAu2aggSXiyPE+jBYgj359XS5BFLm8LF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lQQ/3MEAAAfDQAADgAAAAAAAAAA&#10;AAAAAAA6AgAAZHJzL2Uyb0RvYy54bWxQSwECLQAKAAAAAAAAACEAEsR9j88FAgDPBQIAFAAAAAAA&#10;AAAAAAAAAADZBgAAZHJzL21lZGlhL2ltYWdlMS5wbmdQSwECLQAUAAYACAAAACEANPcinOAAAAAI&#10;AQAADwAAAAAAAAAAAAAAAADaDAIAZHJzL2Rvd25yZXYueG1sUEsBAi0AFAAGAAgAAAAhAKomDr68&#10;AAAAIQEAABkAAAAAAAAAAAAAAAAA5w0CAGRycy9fcmVscy9lMm9Eb2MueG1sLnJlbHNQSwUGAAAA&#10;AAYABgB8AQAA2g4CAAAA&#10;">
                      <v:group id="그룹 3915" o:spid="_x0000_s1326" style="position:absolute;left:84;width:22361;height:39751" coordorigin="21" coordsize="2236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wg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cJSn8vglPQK5/AAAA//8DAFBLAQItABQABgAIAAAAIQDb4fbL7gAAAIUBAAATAAAAAAAA&#10;AAAAAAAAAAAAAABbQ29udGVudF9UeXBlc10ueG1sUEsBAi0AFAAGAAgAAAAhAFr0LFu/AAAAFQEA&#10;AAsAAAAAAAAAAAAAAAAAHwEAAF9yZWxzLy5yZWxzUEsBAi0AFAAGAAgAAAAhACt6jCDHAAAA3QAA&#10;AA8AAAAAAAAAAAAAAAAABwIAAGRycy9kb3ducmV2LnhtbFBLBQYAAAAAAwADALcAAAD7AgAAAAA=&#10;">
                        <v:shape id="그림 3916" o:spid="_x0000_s1327" type="#_x0000_t75" style="position:absolute;left:21;width:22360;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GQtxwAAAN0AAAAPAAAAZHJzL2Rvd25yZXYueG1sRI9bawIx&#10;FITfC/6HcAp9q1kVxK5mpbZUW6EPXvD5sDl7wc3JkkR321/fFAQfh5n5hlkse9OIKzlfW1YwGiYg&#10;iHOray4VHA8fzzMQPiBrbCyTgh/ysMwGDwtMte14R9d9KEWEsE9RQRVCm0rp84oM+qFtiaNXWGcw&#10;ROlKqR12EW4aOU6SqTRYc1yosKW3ivLz/mIUuBW+f+vdZhJO29+y+yrG7eW4VurpsX+dgwjUh3v4&#10;1v7UCiYvoyn8v4lPQGZ/AAAA//8DAFBLAQItABQABgAIAAAAIQDb4fbL7gAAAIUBAAATAAAAAAAA&#10;AAAAAAAAAAAAAABbQ29udGVudF9UeXBlc10ueG1sUEsBAi0AFAAGAAgAAAAhAFr0LFu/AAAAFQEA&#10;AAsAAAAAAAAAAAAAAAAAHwEAAF9yZWxzLy5yZWxzUEsBAi0AFAAGAAgAAAAhAK0wZC3HAAAA3QAA&#10;AA8AAAAAAAAAAAAAAAAABwIAAGRycy9kb3ducmV2LnhtbFBLBQYAAAAAAwADALcAAAD7AgAAAAA=&#10;" stroked="t" strokecolor="black [3213]">
                          <v:imagedata r:id="rId146" o:title=""/>
                          <v:path arrowok="t"/>
                        </v:shape>
                        <v:shape id="Text Box 3917" o:spid="_x0000_s1328"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VEyAAAAN0AAAAPAAAAZHJzL2Rvd25yZXYueG1sRI9BawIx&#10;FITvQv9DeIVepGatYtutUUQUWi/SrZfeHpvnZtvNy5JkdfvvjVDwOMzMN8x82dtGnMiH2rGC8SgD&#10;QVw6XXOl4PC1fXwBESKyxsYxKfijAMvF3WCOuXZn/qRTESuRIBxyVGBibHMpQ2nIYhi5ljh5R+ct&#10;xiR9JbXHc4LbRj5l2UxarDktGGxpbaj8LTqrYD/93pthd9zsVtOJ/zh069lPVSj1cN+v3kBE6uMt&#10;/N9+1womr+NnuL5JT0AuLgAAAP//AwBQSwECLQAUAAYACAAAACEA2+H2y+4AAACFAQAAEwAAAAAA&#10;AAAAAAAAAAAAAAAAW0NvbnRlbnRfVHlwZXNdLnhtbFBLAQItABQABgAIAAAAIQBa9CxbvwAAABUB&#10;AAALAAAAAAAAAAAAAAAAAB8BAABfcmVscy8ucmVsc1BLAQItABQABgAIAAAAIQAgDZVEyAAAAN0A&#10;AAAPAAAAAAAAAAAAAAAAAAcCAABkcnMvZG93bnJldi54bWxQSwUGAAAAAAMAAwC3AAAA/AIAAAAA&#10;" stroked="f">
                          <v:textbox style="mso-fit-shape-to-text:t" inset="0,0,0,0">
                            <w:txbxContent>
                              <w:p w14:paraId="5CED8464"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I</w:t>
                                </w:r>
                              </w:p>
                            </w:txbxContent>
                          </v:textbox>
                        </v:shape>
                      </v:group>
                      <v:shape id="Text Box 3918" o:spid="_x0000_s1329" type="#_x0000_t202" style="position:absolute;top:17653;width:22371;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wSxAAAAN0AAAAPAAAAZHJzL2Rvd25yZXYueG1sRE/Pa8Iw&#10;FL4P/B/CG3ibaSeMrRplCCtuB6d1iMdH82yKzUttonb+9cth4PHj+z2d97YRF+p87VhBOkpAEJdO&#10;11wp+Nl+PL2C8AFZY+OYFPySh/ls8DDFTLsrb+hShErEEPYZKjAhtJmUvjRk0Y9cSxy5g+sshgi7&#10;SuoOrzHcNvI5SV6kxZpjg8GWFobKY3G2Cj4P++3XKZe7fHX7Ts+U98U6GKWGj/37BESgPtzF/+6l&#10;VjB+S+Pc+CY+ATn7AwAA//8DAFBLAQItABQABgAIAAAAIQDb4fbL7gAAAIUBAAATAAAAAAAAAAAA&#10;AAAAAAAAAABbQ29udGVudF9UeXBlc10ueG1sUEsBAi0AFAAGAAgAAAAhAFr0LFu/AAAAFQEAAAsA&#10;AAAAAAAAAAAAAAAAHwEAAF9yZWxzLy5yZWxzUEsBAi0AFAAGAAgAAAAhAEterBLEAAAA3QAAAA8A&#10;AAAAAAAAAAAAAAAABwIAAGRycy9kb3ducmV2LnhtbFBLBQYAAAAAAwADALcAAAD4AgAAAAA=&#10;" fillcolor="black [3213]" stroked="f" strokeweight=".5pt">
                        <v:textbox inset="0,0,0,0">
                          <w:txbxContent>
                            <w:p w14:paraId="673193C2" w14:textId="77777777" w:rsidR="006D7011" w:rsidRDefault="006D7011" w:rsidP="00094D21">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00B66E2D" w14:textId="77777777" w:rsidR="00094D21" w:rsidRPr="008F328C" w:rsidRDefault="00094D21" w:rsidP="008E70FE">
            <w:pPr>
              <w:pStyle w:val="a3"/>
              <w:numPr>
                <w:ilvl w:val="0"/>
                <w:numId w:val="129"/>
              </w:numPr>
              <w:rPr>
                <w:b/>
                <w:lang w:val="pl-PL"/>
              </w:rPr>
            </w:pPr>
            <w:r w:rsidRPr="008F328C">
              <w:rPr>
                <w:rFonts w:eastAsia="Times New Roman"/>
                <w:b/>
                <w:bCs/>
                <w:lang w:val="pl-PL"/>
              </w:rPr>
              <w:t>Wprowadzić wstrzykiwacz do miejsca wstrzyknięcie.</w:t>
            </w:r>
          </w:p>
          <w:p w14:paraId="71AD607A" w14:textId="77777777" w:rsidR="00094D21" w:rsidRPr="008F328C" w:rsidRDefault="00094D21" w:rsidP="008A03B2">
            <w:pPr>
              <w:pStyle w:val="a3"/>
              <w:rPr>
                <w:lang w:val="pl-PL"/>
              </w:rPr>
            </w:pPr>
          </w:p>
          <w:p w14:paraId="235B2800"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Przytrzymać wstrzykiwacz, tak aby było widoczne okienko.</w:t>
            </w:r>
          </w:p>
          <w:p w14:paraId="7B1A5ACB" w14:textId="77777777" w:rsidR="00094D21" w:rsidRPr="008F328C" w:rsidRDefault="00094D21" w:rsidP="008A03B2">
            <w:pPr>
              <w:pStyle w:val="a3"/>
              <w:ind w:left="4117" w:hanging="180"/>
              <w:rPr>
                <w:lang w:val="pl-PL" w:eastAsia="ko-KR"/>
              </w:rPr>
            </w:pPr>
            <w:r w:rsidRPr="008F328C">
              <w:rPr>
                <w:rFonts w:eastAsia="Times New Roman"/>
                <w:b/>
                <w:bCs/>
                <w:lang w:val="pl-PL"/>
              </w:rPr>
              <w:t>b.</w:t>
            </w:r>
            <w:r w:rsidRPr="008F328C">
              <w:rPr>
                <w:rFonts w:eastAsia="Times New Roman"/>
                <w:lang w:val="pl-PL"/>
              </w:rPr>
              <w:t xml:space="preserve"> Bez ściskania ani rozciągnięcia skóry, należy wprowadzić wstrzykiwacz w miejsce wstrzyknięcia pod kątem 90 stopni.</w:t>
            </w:r>
          </w:p>
        </w:tc>
      </w:tr>
      <w:tr w:rsidR="00094D21" w:rsidRPr="00A5286D" w14:paraId="6C09B309" w14:textId="77777777" w:rsidTr="008A03B2">
        <w:trPr>
          <w:trHeight w:val="8391"/>
        </w:trPr>
        <w:tc>
          <w:tcPr>
            <w:tcW w:w="9581" w:type="dxa"/>
          </w:tcPr>
          <w:p w14:paraId="2C5537F6" w14:textId="77777777" w:rsidR="00094D21" w:rsidRPr="008F328C" w:rsidRDefault="00094D21" w:rsidP="008A03B2">
            <w:pPr>
              <w:ind w:left="104"/>
              <w:rPr>
                <w:rFonts w:ascii="Times New Roman" w:eastAsia="Times New Roman" w:hAnsi="Times New Roman" w:cs="Times New Roman"/>
                <w:b/>
                <w:bCs/>
                <w:spacing w:val="-1"/>
                <w:lang w:val="pl-PL"/>
              </w:rPr>
            </w:pPr>
          </w:p>
          <w:p w14:paraId="5C50A9BD" w14:textId="77777777" w:rsidR="00094D21" w:rsidRPr="008F328C" w:rsidRDefault="00094D21" w:rsidP="008A03B2">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59" behindDoc="0" locked="0" layoutInCell="1" allowOverlap="1" wp14:anchorId="2EE452D1" wp14:editId="77F24EE9">
                      <wp:simplePos x="0" y="0"/>
                      <wp:positionH relativeFrom="column">
                        <wp:posOffset>32385</wp:posOffset>
                      </wp:positionH>
                      <wp:positionV relativeFrom="paragraph">
                        <wp:posOffset>203835</wp:posOffset>
                      </wp:positionV>
                      <wp:extent cx="2052955" cy="4870450"/>
                      <wp:effectExtent l="19050" t="19050" r="23495" b="6350"/>
                      <wp:wrapSquare wrapText="bothSides"/>
                      <wp:docPr id="3919" name="그룹 3919"/>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3920" name="그룹 3920"/>
                              <wpg:cNvGrpSpPr/>
                              <wpg:grpSpPr>
                                <a:xfrm>
                                  <a:off x="248" y="0"/>
                                  <a:ext cx="2052707" cy="4870450"/>
                                  <a:chOff x="248" y="0"/>
                                  <a:chExt cx="2052707" cy="4870450"/>
                                </a:xfrm>
                              </wpg:grpSpPr>
                              <pic:pic xmlns:pic="http://schemas.openxmlformats.org/drawingml/2006/picture">
                                <pic:nvPicPr>
                                  <pic:cNvPr id="3921" name="그림 3921"/>
                                  <pic:cNvPicPr>
                                    <a:picLocks noChangeAspect="1"/>
                                  </pic:cNvPicPr>
                                </pic:nvPicPr>
                                <pic:blipFill>
                                  <a:blip r:embed="rId147">
                                    <a:extLst>
                                      <a:ext uri="{28A0092B-C50C-407E-A947-70E740481C1C}">
                                        <a14:useLocalDpi xmlns:a14="http://schemas.microsoft.com/office/drawing/2010/main" val="0"/>
                                      </a:ext>
                                    </a:extLst>
                                  </a:blip>
                                  <a:srcRect/>
                                  <a:stretch/>
                                </pic:blipFill>
                                <pic:spPr bwMode="auto">
                                  <a:xfrm>
                                    <a:off x="248" y="0"/>
                                    <a:ext cx="2049918" cy="4697730"/>
                                  </a:xfrm>
                                  <a:prstGeom prst="rect">
                                    <a:avLst/>
                                  </a:prstGeom>
                                  <a:noFill/>
                                  <a:ln>
                                    <a:solidFill>
                                      <a:schemeClr val="tx1"/>
                                    </a:solidFill>
                                  </a:ln>
                                </pic:spPr>
                              </pic:pic>
                              <wps:wsp>
                                <wps:cNvPr id="3922" name="Text Box 3922"/>
                                <wps:cNvSpPr txBox="1"/>
                                <wps:spPr>
                                  <a:xfrm>
                                    <a:off x="1333500" y="4724400"/>
                                    <a:ext cx="719455" cy="146050"/>
                                  </a:xfrm>
                                  <a:prstGeom prst="rect">
                                    <a:avLst/>
                                  </a:prstGeom>
                                  <a:solidFill>
                                    <a:prstClr val="white"/>
                                  </a:solidFill>
                                  <a:ln>
                                    <a:noFill/>
                                  </a:ln>
                                </wps:spPr>
                                <wps:txbx>
                                  <w:txbxContent>
                                    <w:p w14:paraId="03ABC41B"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23" name="Text Box 3923"/>
                              <wps:cNvSpPr txBox="1"/>
                              <wps:spPr>
                                <a:xfrm>
                                  <a:off x="0" y="4114800"/>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15ABDA" w14:textId="77777777" w:rsidR="006D7011" w:rsidRDefault="006D7011" w:rsidP="00094D21">
                                    <w:pPr>
                                      <w:jc w:val="center"/>
                                      <w:rPr>
                                        <w:rFonts w:asciiTheme="majorBidi" w:hAnsiTheme="majorBidi" w:cstheme="majorBidi"/>
                                        <w:b/>
                                        <w:bCs/>
                                        <w:color w:val="FFFFFF" w:themeColor="background1"/>
                                        <w:sz w:val="24"/>
                                        <w:szCs w:val="24"/>
                                      </w:rPr>
                                    </w:pPr>
                                    <w:r>
                                      <w:rPr>
                                        <w:rFonts w:ascii="Times New Roman" w:eastAsia="Times New Roman" w:hAnsi="Times New Roman" w:cs="Times New Roman"/>
                                        <w:b/>
                                        <w:bCs/>
                                        <w:color w:val="FFFFFF"/>
                                        <w:sz w:val="24"/>
                                        <w:szCs w:val="24"/>
                                        <w:lang w:val="pl-PL"/>
                                      </w:rPr>
                                      <w:t>Następnie powoli liczyć do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924" name="12-Point Star 1038"/>
                              <wps:cNvSpPr/>
                              <wps:spPr>
                                <a:xfrm>
                                  <a:off x="73660" y="617220"/>
                                  <a:ext cx="865493" cy="805276"/>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5CD6D" w14:textId="77777777" w:rsidR="006D7011" w:rsidRPr="009A2CB5" w:rsidRDefault="006D7011" w:rsidP="00094D2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Pierwsze kliknięcie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925" name="12-Point Star 1040"/>
                              <wps:cNvSpPr/>
                              <wps:spPr>
                                <a:xfrm>
                                  <a:off x="53340" y="2697480"/>
                                  <a:ext cx="861059" cy="80010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B20CF" w14:textId="77777777" w:rsidR="006D7011" w:rsidRPr="009A2CB5" w:rsidRDefault="006D7011" w:rsidP="00094D2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Drugie kliknięcie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E452D1" id="그룹 3919" o:spid="_x0000_s1330" style="position:absolute;margin-left:2.55pt;margin-top:16.05pt;width:161.65pt;height:383.5pt;z-index:251658359" coordsize="20529,48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u7iUQUAAGgVAAAOAAAAZHJzL2Uyb0RvYy54bWzsWFtu4zYU/S/QPQj6&#10;T2zJ8hNxBmnSDAZIZ4xJivmmKcoSIokqRcdOt1OgW2gLdEXtJnr4km3FaeIATdEiH3EoiZe6j3PO&#10;JXXybl3k3h0TdcbLqR8cd32PlZTHWbmY+t/fXB6NfK+WpIxJzks29e9Z7b87/fqrk1U1YSFPeR4z&#10;4WGRsp6sqqmfSllNOp2apqwg9TGvWImHCRcFkbgUi04syAqrF3kn7HYHnRUXcSU4ZXWNuxfmoX+q&#10;108SRuWnJKmZ9PKpD9+k/hX6d65+O6cnZLIQpEozat0gL/CiIFmJlzZLXRBJvKXIHixVZFTwmify&#10;mPKiw5Mko0zHgGiCbiua94IvKx3LYrJaVE2akNpWnl68LP14915U19VMIBOraoFc6CsVyzoRhfoP&#10;L721Ttl9kzK2lh7FzbDbD8f9vu9RPItGw27Ut0mlKTL/wI6m3z5h2XEv7uy401wYN+H3THhZPPV7&#10;4xCFLUkBdP3xy69//vSbp2/ZeA4IMIwA1v0hDrvDvwuxZbkb5D7bR4KsMjrBny00Rg8K/TQhYCWX&#10;gvl2keJZaxRE3C6rI2CyIjKbZ3km7zW/gD7lVHk3y+hMmIud3Afbuf/5d5X7QLFKWamJxoyosK44&#10;va29kp+npFyws7oCO6EZanZnd7q+3HnnPM+qyyzPFR7V2EYHJreYsCdBhmUXnC4LVkojG4LlCJSX&#10;dZpVte+JCSvmDGgSH2LtEJnUgn6Gg3AOYymYpKlzdOOMcrsGebz56jseA4FkKbkWghZ5WgjZ0Cca&#10;jwPATtNnMB4Oe5o+DT6QOFHL94wXnhrAQfikX0DurmrlHaa6KcrVkqs0aa/zUvvO8yx2qdO6ys5z&#10;4d0RKKJcm+wjws0sLKgsdQ1UbHaIUBX1INO1yz6uHuT/ICW6TknFEI1adgdVoUPVjcrUN3ytcBUq&#10;pNipSrE8ucYTiyB133jr9KMRrqDX6/W7EAklUcMwijDWCXJVGAbjyGlYEA26RsJeXoOtZJriNAlf&#10;pZlkGvA7KTcZ3yqeq8EmKjWS6/laa17QH7hczHl8j1QIDmwgxLqilxmAckVqOSMCvQw30Z/lJ/wk&#10;OV9NfW5Hvpdy8eO++2o+CounvrdCb5z69Q9LojQl/1Ci5FhSuoFwg7kblMvinANcUAZ4o4cwEDJ3&#10;w0Tw4gva9pl6Cx6RkuJdQKMbnkvTodH2KTs705OMNF2V1xUELdAMULC/WX8horLckCjoR+5ARSYt&#10;ipi5mhPVGXh6mWn+qMyaLALp6gIA1yPbDF8P9b19qO+5SoMgh6AeiVV4D4Jo1Mb7TtMeBMOo17eY&#10;dKrlFOWZorMD+OdojAK8BywOQExdy0a2LPLJhOndm9W4XR7U8j5nqo55+ZklYITenejCqn3jRt8I&#10;pVB8p3F6tpqVQCEPMbTzlanx6hDjxkK/mZeyMS6ykgsdfStl8a1zOTHzLTBt3C0pGDqA/I+kgErx&#10;SmKgGf+Q/lYHmi33P9XoIkf5IDya8ayU3rUkwgu6vZErq+W97X2P9LhhbzAwjAefw7DV4EaDfjSG&#10;uqhdxgg79qFuH483OJzYRBBqaLY0VO1ENNE2+wV0sl3W7d1VuBZ3sFTsb4X7JMA43HLGSYB2OiUx&#10;Mzsf7AeMKmL5xgI0s5qiubqtEqbjNDPNIm5tlAaGr60SeSNsz1GJBk5vKvGCLcO/rBI4X5sDblsl&#10;Ik10JVbPUol+rwcLtS8IcdbAxkBpDJqaPZKPBkG3P3Yyge8R+jmg/ci24E0m2puJ/7xMjF3XeZOJ&#10;F8iEOsGpk0Xy5MkCn/N007CfHtX3wu1rjLc/kJ7+BQAA//8DAFBLAwQKAAAAAAAAACEAYoVSP8bD&#10;AQDGwwEAFAAAAGRycy9tZWRpYS9pbWFnZTEucG5niVBORw0KGgoAAAANSUhEUgAAAeAAAARMCAYA&#10;AABBMkCnAAAAAXNSR0IArs4c6QAAAARnQU1BAACxjwv8YQUAAAAJcEhZcwAAFxEAABcRAcom8z8A&#10;AP+lSURBVHhe7P0FkF1ZlqaJ9sybMXtT1fa6e7q6raq7rSuzMjOYxczMzMzMzAoxMzNLLjkIXMzM&#10;zKwQhThCQRmRWevtb10/Cg+PI3CXw4W1zH6Ty/3igf3vf+F/cFbVYb/BYDAYDIZ0A9yrP4jBYDAY&#10;DIZ0A9wbIOCZM2fK/v37DQaDwWAwpBHg2t8RMH8wMzMzMzMzSzuDa42AzczMzMzM0tmMgM3MzMzM&#10;zDLAjIDNzMzMzMwywIyAzczMzMzMMsCMgM3MzMzMzDLAjIDNzMzMzMwywIyAzczMzMzMMsCMgM3M&#10;zMzMzDLAjIDNzMzMzMwywIyAzczMzMzMMsCMgM3MzMzMzDLAjIDNzMzMzMwywIyAzczMzMzMMsCM&#10;gM3MzMzMzDLAjIDNzMzMzMwywIyAzczMzMzMMsCMgM3MzMzMzDLAjIDNzMzMzMwywIyAzczMzMzM&#10;MsCMgM3MzMzMzDLAjIDNzMzMzMwywIyAzczMzMzMMsCMgM3MzMzMzDLAjIDNzMzMzMwywIyAQ8j+&#10;/d//Xf72t7/JTz/9JM+fP5dvnj17e3zzjXz//ff6mr/88kvCO5mZmZmZpbUZAYeQQZA//PCDPHz4&#10;UK5dvSrnz517a1y8eFFu3bqlrwkRQ/JmZmZmZmlvRsAhZJDvo0eP5OyZM7I+Pl6WL1321li1cqXs&#10;3LHDveZZ+frrr+Xvf/97wruZmZmZmaWlGQGHkD19+lSuXLkiMdHR0q1zF6ldo+Zbo0nDRjJi2HD3&#10;mjFy9uxZc0ObmZmZpZMZAYeQoVBPHD8uE8ePl6KFCsu//e9/fWt8/MGHUr9OXfeaE2T/vn3y888/&#10;J7ybmZmZmVlamhFwCJkRsJmZmVn4mBFwCJkRsJmZmVn4mBFwCJkRsJmZmVn4mBFwCJkRsJmZmVn4&#10;mBFwCJkRsJmZmVn4mBFwCJkRsJmZmVn4mBFwCJkRsJmZmVn4mBFwCJkRsJmZmVn4mBFwCJkRsJmZ&#10;mVn4mBFwCJkRsJmZmVn4mBFwCJkRsJmZmVn4mBFwCJkRsJmZmVn4mBFwCJkRsJmZmVn4mBFwCJkR&#10;sJmZmVn4mBFwCJkRsJmZmVn4mBFwCJkRsJmZmVn4mBFwCJkRsJmZmVn4mBFwCJkRsJmZmVn4mBFw&#10;CJkRsJmZmVn4mBFwCJkRsJmZmVn4mBFwCJkRsJmZmVn4mBFwCJkRsJmZmVn4mBFwCJkRsJmZmVn4&#10;mBFwCJkRsJmZmVn4mBFwCJkRsJmZmVn4mBFwCJkRsJmZmVn4mBFwCJkRsJmZmVn4mBFwCJkRsJmZ&#10;mVn4mBFwCJkRsJmZmVn4mBFwCJkRsJmZmVn4mBFwCJkRsJmZmVn4mBFwCJkRsJmZmVn4mBFwCJkR&#10;sNmr7G9/+5v8+OOP8uybb+S+u1Zu3fpKrl27LpcuXZZz5y/IqdNnXoD/X758Ra5dvyE33ePu3r0n&#10;jx4/lufPv5O/2jVgZpYuZgQcQmYEbPYq++mnnxyJPlFSPXrsuGzbvlPWxW+QldGxsmjJMpk1Z57M&#10;nB3AosXLJCZ2tazfsEm2btsh+w8cUlK+feeuI+HnCa9oZmaWlmYEHEJmBGyW2P793/9d/v73v8v3&#10;338vDx4+lKtO7R47flJ27Nwtq9eskyXLVsjCRUtl7vyFjnTnypRpM18AEl6wcIksXrJclrrHrXIk&#10;vXHTFtm774CcPnNWbty86a63B/LNN98qsfNeZmZmqWtGwCFkRsBmiQ3y5XzduXtXDh85KvFOzUK6&#10;kOtUR7KTp86QWRDtoiX6+xUrVzlEK5Ytj1LynTtvoUydPss9drpMnzlb5rj/L10WJXGOwPcfOChX&#10;r16VR48eq3vbzMwsdc0IOITMCNgM+9vfAsT77Nk3cteRL+7m2NVrZd6CRTJthkemc1T5Ll+xyqnh&#10;eNmwabNs27FTtidg0+atsnbdelm5KkaVMKQ9fcZsR8YBhQwZo4p37totZ86ck3v37uv7/fjjT/LL&#10;L38zRWxmlgpmBBxCZgRsBvFBgpDhxYuXZMfOXUqUuJghXdTuqphYJVjcyYcOH5XjJ07JydNn5MzZ&#10;cy9AItaJk6fk8NFjsm//QXVbb9i4WaJjV8v8hYuViHlNSJxYMfHk06fPyv37X8t3332vJGxmZvZ2&#10;ZgQcQmYEHJnmxXp/+utf5fl336kaJYN5x45dstARLsp10pTpMmfeAolzSnjXnr1KsCRj3bh5S259&#10;dfulIAP6+o2bcvHSZSXk3Xv3qfsZEkYFj584RV9//oLFmrB18uRp97yv5OnTZxob/uWXX0wNm5ml&#10;0IyAQ8iMgCPPIDfirz/88KPcuXNX3cE7d+1RVUqC1bTps2TO3AWyPGqVrHcKdv/BQ6pwL1+5quQL&#10;wfoRrwf+DiDrS47Uz5w7L0eOHlcijl+/UWPFuLZR1/PmL5IVUdGyecs2OXHipJY5ffPNN0rCbBDM&#10;zMySZ0bAIWRGwOFvEK5HupwL6nq//fa51vUed6QHKRKzHT12goybMEmVL0lTW7fvlGPu7xCvH9Em&#10;F5A374frOWpVjKpg1DDvO3PWXFmzNl4OHT4iN93jvv32W3WL85lNDZuZvbkZAYeQGQGHv6Emv//+&#10;B3n46JGq0pOnTsveffs1PkvCFCp09tz5SoIQ79r4DbJz916N8164eEmu3bjpS6jJBar4wsWAW5pY&#10;8sbNW5WIZ80JvDcu6aiV0Vq6dPDQYSV+Gnn88MMPCd/EzMzsdWYEHEJmBBye5qlegOKFyHAH73bE&#10;ShONaU59Dh85RjFy9DiZMXOOuoa3bt8hp8+ekytXr7021vs2YCNw0X2ePY6IV66K1dKmceMnyagx&#10;42XCpKkyz5Hx9p279HM8fvLEVLCZ2RuaEXAImRFweFiAaH960TIS8kS9ojYPHDwk23fsUmULyZKF&#10;jOoECxcvVRVKMtTuPfvU5Xzp8lVNonpdrPdtwOe76kj41JmzATXsVG90TJwscp8HMp7hFPGyFSu1&#10;Dnnf/gNy9tx5uX37jrrO//rXv8rf/26EbGbmZ0bAIWRGwOFhxEqfPnum5Ea28i6ndOlcRQkRmceo&#10;yjHjJmq8lZ/JSI6JW6OKl4YbJFl5Gc5pSbyJwfvwfteu35TzFy66z3FMk7EWL12mdcfEh8dPmKyZ&#10;2KjkgwcPa39pSNiaeJiZ+ZsRcAiZEXDGG9m+qLrvvvtOHj9+Ivfu3dNEpCtXrmpdLv2UaeVI7BZF&#10;64djx09o7S2JU2vWrddmGYFmGHMVs+cuUNJdsnSFrHJKk/grypM2k5Afrl4/kkwvQP58jiNHj8nW&#10;bds1I5uuWqj02Qmgnpja4uPuM1+9ds1duw/0mP38s2VMm5l5ZgQcQmYEnPEGgZD1Sy3uhYsXNROY&#10;TGG6TaH8IE1iohApsVo/UNITaP84QyZOnirjnHLkZ1y5i5cuVzWsAxIOHnKEfdqR+kVNcqLXc1q7&#10;m98EvD+fg40ARMzGgBgwNcjz3UYC1U52Nh21aIGJy5qMao4ZCWYkmpmZmRkBh5QZAae//fWvP+t0&#10;oIcPH2rdKyr3xIlTGuuk2xSu4WXLV2pWMH2VvSxhSJbkKVpDTpk2Q0lp7PhJglsZ8DvctShdJhPR&#10;nzlu9Tp166KOISzIDdJNywSrt4HnlmZzwEZhz779sm79Rlm6PEp7SkPATGBiEtOatev1mJ07d0G+&#10;un1bnj59Kj/8+KOqYUvaMotUMwIOITMCTn9jGhAuZvotb9i4SVZErdJYLURLbSxECsmibCFgyAaX&#10;MklKuGb5lwQlyod4PIoX8Lst27ZrwwvaRaIiT50+K2fPX9CuVKhLSorSM86bEngkzOfVRLJTp+XA&#10;oSOywalemoNAxKj7ABnP19KlXbv36ObiwYOHer2ZS9osUs0IOITMCDjtDTLARYrqhSBQvCg3Gk/M&#10;W8DkoMCwAlzIuIxRsWQnk7FMhjKky2NpmEF8FwJe7sgWlYtKRvEuXb5CtmzdrvFgiMhLqPIjuFAC&#10;ZMx3ueQU8RG3YSHGjYfAGxKBFwCvAJuYLVu3aXz4httk0F+ajlooYmvmYRZJZgQcQmYEnLbGwo/L&#10;mWEDJFVR6gOZQrCU20AiuFRxOa92v8ddTN/lvY6gDxw8rD+TqczkoTXr4lXl8nidTOSUIM+jXeS+&#10;Awc1SQvXbXpnM6c1brjvob2laWt59pxmS+90ipfNCMdRE83cxoVmIsSHiRtznM+dO68JbfSXNhI2&#10;ixQzAg4hMwJOG2Ox97KbmX173ZEipUFk9uJanjBxikycPE1LhKh9JUmKxCuI9OjxE5rVjAt5/4FD&#10;moy0cfOWRAQcyAomLooqPnTkaIB4HUn5EVi4gQ0GrmmS1ahfZhPC8Zg8ZboeU1z4/I54+vETJzQ+&#10;/OjRI/VAGBmbhbsZAYeQGQGnjUG+DDuAfHGLrlkTry7jKVMD8d05Tq1BvLhOcSnHxq1R5YZ7lTKh&#10;wID7lYlc0Ou1dSSksnnrNkfKu5WcNbHKkREKEaXoR1jhBtR9oGzpkrbLJMEM9zsTl8j4xrOAGsZD&#10;wPFdG79e9uzdJ2eder59545OfzISNgtXMwIOITMCThujtIiaXpTpuvgNMpYmGGPGy4hRYzXmi6sU&#10;0kXBAn4mrrtgYaDciJgw8U2UHUQMAdPNiuQqpgtdvnpNrodBjDc1ABlTK82xYZNCP+uZtLacMFnG&#10;T5zsjuMUdVXzNxLfvnLPefbsmXz//ffqoWAOMWRshGwWDmYEHEJmBJw29v0PP2jmMW7lxUuWaY/j&#10;MWMnyNjxEzVzGfXLIATcyus3blJyIM67UbHlhdLdsWuPKjzinidPnQnU70K+TvGGS4z3beFlTAfq&#10;h084tbtfjx+bGmqoiZkzXpHNDZ4FNkQ7d+1WMmaD9ODhQ23jCRGbmYW6GQGnk+HmxJUGyLJNCe7e&#10;uSNHjxyR8WPHStGChXwJNbn4+P0PpF7tOu41x8me3bt1mo3fe78p+J6hpk7IwN1/4KCWF1Eyw9AD&#10;yJcWi7OcwqVLFe5R3KbEd3c4QqBJBi5l1FxGd6YKZUDIxIg5liS1oYjJLqcVJx4IQFMPsszZIPHY&#10;p0+faciAa8273kwRm4WiGQGng0FM169dk927dsnGDRskNiZGoletSjbmz50r48aMkZbNmkmOLFl9&#10;CTW5eP8v70iJosXcazaXEcOGS9SKFb7v/TrExcbK2jVr5PixY0pooWTfPn+uaozJQ2ToQsAMQWAg&#10;wuat27WlIk0mDhw6rOU11LqS4QsZoMpQuH7kYng98AzQbIRjyTkgI1qHPdDeculyme0U8YxZc1QV&#10;kxRHVjrng6EVJ0+ekqtu8+OVMQUGP1hjD7PQMSPgdLAfnarcsX27DB86TLp17iJNGjaUhvXqJRu1&#10;qleXyuUrSMG8+eSj9973JdTk4i9//DfJ/Nnn+poVypaV+nXq+L7369CscWNp3bKlzJ83T27fvp3w&#10;zUPDKDsi6YcsXRpmoLpIpoJkL1+5pnFLSPb6jVuq2LyyIQ9+xGJ4c3jHkePKcfbc0zt27tLzQB0x&#10;GdOEBugiRrwYUiZcsMWp5tOnz+g1R69pNrtGwGahYkbA6WDszM+eOaPKd/CXg6RWtepSpkRJKVKw&#10;oBTMl++NkS9XbsmVLbt88cmn8u6f/uxLqMnFn//wR/nw3ff0NXNmzaZE7PfefiiUL79+h+KFi0jz&#10;pk1l5IgRsnHjRm3bGErGDF5Kj2i4QbkQBExfZ0iA2DDE4EcchrSBV7pEoxKGUOCajl291p0bEt+W&#10;aNY0sWLCA7imUcX0zj5w4JCcSGjhec2pakqaHjx4oOqYcww5m5kFkxkBp4PhFiOT86uvvpI5s2ZL&#10;jSpVlUw/+fBDdQG/Kd7781+UeN/5tz/Jn/71D76EmhJAwrwmr+33vi/FO+/Ipx9+pAq6U4cOsj4+&#10;Xi5fvqwZq6Fkf/35Z/n6wUM5e+6CKi4ImMxn2kQyLhBC8CMKQ9rAU8Mcd6/FJW06yZymuxYlYCTG&#10;kaFOnH5iouEP8+Yv1IQ52oZSzkTDkxs3b8qTJ0+VhM3MgsmMgNPBcImRXUyC084dO2TU8BHSqH4D&#10;yZMjp7qScQP7EWOwAvLnM0PCxQoVliYNG8msGTPl7Nmz8vjx45DLpCYxjsYPX92+oxm5zLXF7Ynq&#10;Ikv3QoIKNndzxoCa6auoYnceSNZCFXOeAoMwojRsgCKmzSVlYZw7MqqJ6ZNFTcz4MCVhZ85qzJg5&#10;xYkTuczMMsqMgNPJIGEW+vv37stptyufMW2aKmGSqT54511fogtWQMCocdzW7du2k5joaDlx4oRO&#10;uIF8Q21R49xQ1sLghb379svMWXM0xghooXjSqeBgnkoUCWDzQ3wYRXzx0hXNPj/lCJUWoGRHU58d&#10;HRunIQT6bdPgg37dqGK6mdGzm6SuVTGxsmfPPrnkyJxQibmlzTLSjIDT2SAoXLSU/IwYOkyTnvLm&#10;zKUkHOxKGOLFXY1qL1ygoNYPz5k1S93OKF82GKFsGqs/d15bTTI4gWQfFm3qexm3x5ABU8LBBWL0&#10;uJlpdUkv7k1btmqf7hUrY2Th4mVKvKhi1DGETGczJjJt27ZD48U3b93S1pckcNEH3BSxWXqaEXA6&#10;Gzc4u25qeo8cPiwzp0+XurVqqRImGcqP+IIFkC/Kl2QtYr4rlq+QY0ePapILfXtDPfsUFUxJy5kz&#10;55SEx42fpAs3PZ0pR6K5hinh4MKvqviyquLT7tyxWaJcjLIxypog5bg1a7XDFr2n8WyQyEU3s/j1&#10;G5S8OadPnz1TEjYzSy8zAs4gg4RRwgcPHFQlXKt6DcmTM6cSXLAp4RfK9/33JX/uPFKvdm2ZP3ee&#10;XLt2TZ48eRI2ZR9sjr759lu5c/eebNu+Q3tBU/6Cclq2YpX2dD5G840LwT0o3/Cry/rS5SuqkOlQ&#10;Rl33oiVLNV48aYo7r9NmariB/t78ncfSactrRmNmltZmBJxB5inhO04J79u7V2ZMm671tNkzZ0m1&#10;Gt/Ugqd8Id/OHTvK4oWL5MiRI2GjfD3DhU627ItpSEuXq1qizzMkjIIiA3fnrj06WIAF22/xNwQH&#10;PBKmWQrqmM0THc9I4GKIBp3POK+4qBctWaYJW7QRJWv6W7cRMzNLazMCzmDzlDA9nkcOHy5VKlSU&#10;3NlzaFkQxOdHiOkJ1C8bghxZs2nLysWLFqnyJeEq1I2Ng7cRor8w6peYIIpp246dmkXLgIUx4yZo&#10;aRKNIHBJ83sSf44eC9QJA8iYhR53qNe4w+LFwQfOx+kzZzW7PW71OnVFo4Zpfcm4SXpS02Xrlnsc&#10;SphBHeGywTQLPjMCzmCDAEjMunf3ruzauUumT50qTRo0VCVMn2Y/Ukwv4ApH+ZJwRcwXtzPKF/IN&#10;h5pKFG9gDOEjrTVlsD5DFhgruNCpI0/9jhw9TgmYf70uTKhhHkcTiHXrN+qABkiblpVHjh7TRf6i&#10;I2WI2I8IDBkHNkp0OTt4+IhOrYJ0GYdIG1JakK6IitbGHmzE7t27rxs07lMzs9Q2I+AgsQAZ/CAX&#10;LlyQMaNGSdmSpZSEUcGoUD+CTGtQ50upEdnO9IhG+YZan+eXGarmp5/+qmMIUa8MWfDUEESL2k0K&#10;fu9h1JhxqpogZJ5Ddu3CxUu0zIXXgszpGc1rQ8IeUMUeUGOmkDMOnAO8FTT4iI1bqxnTbLg4p5Qx&#10;RcesltOnz74YhWhK2Cy1zQg4SMxTwrTOo2/0lImTpGmjRpL1i0yqhNOThD3lW6xwEenQtp127yLb&#10;mYQrYr6hbp7yRd0w5o4aUuK9uJdZhIkHom4pZ2ECEg0fcDuTDc3jqDNNXN5CFyZm2VJzSoIPsUUe&#10;y0AB6ojpMU3ccev2HRpb3nfgoGbpUseK+xpiNiJOf3DMIWHiw9QTc44YgUhjD9QwGzI8HAcPHdbW&#10;ljRrMSI2S00zAg4yw91FAsi1q1d17m+JIkUlW6bM6ZoZTUtKSL+J2wDERMdonS/Kl4UnHBYflC9u&#10;9HPnzkt0dJy2Mhw/cYpmPEOcuB8PHzmqbmkyniFKCBNVi5uZmcCxq9foY1msIWBc1B5+VckB5Tx2&#10;/CRtmegl+5AAtGHTFnVX0++YuLGRcMbBI2JqwClbYsNFmIFzh3eDzdbuPXt1wwYJmzvaLLXMCDjI&#10;DIJDCT91ahMlzOxfWj1SewsppiUR89qQb3FH+kw2mjVzppw8cUKbbISD8vXsSQL5btm6XRtuTHaL&#10;LAPgWXiJCR47Hpjzi3uSciNihjT4J65LK8RDjpwpW9m5e497jR2qoGNiAyp5edQq7SNNjJh4IqRL&#10;cg9KGbCwz5ozX/+O2kJhQ8ZbHOnr2MO9+zUJCGXO+7EJsF7U6QM2QtR600OaOnDyADh/1A7TX3rX&#10;rj1y0Z2PZ89+HX1oZvY2ZgQchAYJo4QfP3okV50Snjp5ilQoU1Zjwqk1BckPuJ0h+dYtWkpsbKyc&#10;O3tWlSIu23Byu92+fUc2b92mk3WoBZ3hCJKGDEw/8og3cYzWU0ioVCXlBGJmwYacaY0YGBhwRo4c&#10;Pa7kvH3nLlXKuKEh5LlOKUPExBgZqUf8GGWM8g6UOc10i/08t+gv1U5NfJ5djuC9iUx+hGFIXXCe&#10;OccXLl7WRLqt27ZryIGYMB4MrhN+95V77LffPnf3aGh3fjPLeDMCDlLzlDAJIAxwGD1ypDRukDYD&#10;HHgtHaxQuIg0bdxYlW+oDlZ4lZG5/fjJEx3kjvqcTo/guQtkhVOtqB4Spt5GbfJcyBJXJq5lknuY&#10;qMQEH1QuMWWUFIMCIFrc18QZZ8yaq/2K+TzEHr04MnHotevWO3W8XZXx/gOH1DVOdi6KnA0ApOH3&#10;WQwpR4CEL2mZ2cbNW3UDhRKGiOmehZuavz98+EgTJ9mgmpkl1/Cg7HabbCPgIDVImJv76/v35eyZ&#10;szrAoXrlKtq2EsL0I9PkguQulO/nH38i7du21ZnFJ0+eDNnBCq8yNhQo3M1btirJoTohX2K+EKan&#10;ev0W5TeBp5RVJSe4rlHH591izftS+qJtEp26YugD3bYYm4cbmtIXFDlk7GXiTpw81SmvGZphTVYu&#10;buuV0THaWpE2i7weZOH3WQwph6eEOX9sdjhXbIbwVuAxoWRp/cbNutH6+sEDrSE3M0uusb5u377d&#10;CDjYjRPFTpsBDiOHDZcGdevqAAd6R6dUCXvtJXkNhuo3qFtPs50vX7qkRIULPNwM1+HOXbtVxRDX&#10;Q23Gb9ik8Vbcjn6LcWrCI2jIGQUL6aNo95HcpRN9NmlbRBK1iB8TK0YZ81lJ9PK6NqHIUNNkVZO9&#10;C6Gj1iALSAF1hppHIYPE7nI2B6aa3wwcJ44bmyc2aZwXb4OEh4Ksaa9W+PvvrX2l2e8tIKICFS5c&#10;I8+++UY9J3fu3NXM+qVLlxsBB7uhQlHCd+/elaNHj8rM6TOkbs23G+DgtZfkNWiysTIqSo4dO6bZ&#10;zuFaaoF7mEQpEqGI6aEoA67nq+mmJBOrZBZ3iBLChDgZOk8C2MFDRwKua7for1u/Qd3WCxYt1cWf&#10;TG0IGVWM+xoiWOoIOWolTUHWK5HTbpFYNORAXBqlzL8QPu/F+/t9NsPv4W2YOHa4nrl+8EpMdhsi&#10;YvY08TjmNnAsqExUMjNLbKzdVF1Q2cI1wv1HWdumzVv02hn45WAj4FAxdtiBAQ4HZMSwYVK7Rk1V&#10;wrij31QJe8qXZKsCefJKvTp1ZN7cuS8GK4RjZifHjfgvCU1z5i3U0hJc0DFxq/V3fgtvRsFzf0LM&#10;ZEGjkHc41U6mNW5qPj+xYhTxhElTNJFrwsQpSgiBeHa01q5u3LRFFTJZ3aj+7Tt2KqGTwc1GxJRw&#10;8sBmCa8FGxw2bngjtGGHu468BD4WWK4zU8KRZ4mVLj0Gvn3+XPvKf/31A73PyJ7nXuYexMs1d94C&#10;me420Z06dzMCDhWDHLm5GWV4wJ0jlDADHFCxbzrAwVO++XSwQidZsnixHA3DwQqJjd0nmc+U+UxP&#10;KAcipkem8hmnPP0W3IwCN6tHwiz67JhRsAx/QBnTyIO2l9zExIxRw8QmlYgnTdXvBilAxrixSfSa&#10;t8DB/UvskqQuWjCePX/B4sfJgKeEjzslzIaIkjU8EGyGOK4xsas1FAAJUytsFlnmbfJJ8qSPOB4t&#10;ygm3bN2mG2KSPhcvWZ4QWpqnFRHUl/cf+KURcKiZp4SPHzumAxyqVaqsAxwoUYJgk5IuQPkCiDpX&#10;tuyBwQoLw2ewwqvs66+/llOnTiv5oBxZOElkYjoOStNvwQ02eKQccIee1qxovg9qDBKAfCltGj02&#10;0DLTawjC7+jSNdb9S2OJ+Y606XcNmV+wLlzJhhe/p4nKqpjV7loKtK8kJLAufr0O+SdUhBKy7Ojw&#10;MwSKJ4RwLZOb8/z5d5o3c+fOPad0L+t8aVzM5JqQs4HHLVByGEishHy157gj5THjxhsBh5p5FwAD&#10;HHa73TjZ0a8b4ICLGuVbuEAB6dyhoyyYN1+V77Nnz8KqyYaf3XTqhZpa6msh4EWOtOhq5bli/Rba&#10;YIRHwmwaUMWMzkMR0+qS78aOGjXsdeHiZ9QvcUuaSqD+2X3zO5K4yKRGCYfSMchoeEqYwf+UhREa&#10;mLdgsXoeaOqiSvjIUUfC97RWOBw9SpFqnMtAMtX3OjeasZXchyhdQjxcC9T9L10epY19Zrt7DQKG&#10;bLUDnrsPGdxCAyDuW543b8FCI+BQNXbY7MDOnz+vAxzKlS6j7mhUMGrXI19+/uCddyXTZ59L/bp1&#10;ZcXy5WE1WOF1RvwFN5C6bKfO0J0nSTV+C2wwwnNLs/gnhpfIxXdhRjHDAyBZGn2geCmZgRDYfKCW&#10;lzDf2O2++TtkTSkNMWGUsPcefu9v+D2840+yW0zcWk3IYsODwuFaC2RH39N71Eg49Ixz5qldzmFA&#10;8f6kWcz3738tFy5clP2OQPF6QLbca3ib2PjihSI/gPDQ3PkLtHSQAS08Htc01QjevRYXt9oIOFSN&#10;i4MdGS5WmnVMnTxZmjZqrL2jUcIQr6d8abLRsV17mTt7TlgNVngTO336jJIPsTp2o5ARCU5JF9Vg&#10;gke4LPLcsLg9yWSm3CgpaPhB9y0ShGihSFa0tlB0mw2+Mz2r+T3xKDKqA+0wA3XFq9euU28AO3nI&#10;3O+zGH4P7/xQosRwjXXxG9W9z0AOMtPJcCXphhIllDD3qlloGIRLJQi5IyRRXb9xQ87icTocyMGg&#10;OQu1+7iYOdfca5p34Ta1KF08TpoI6Uh3x85den0cPX5C7zGvFNC7joyAw8C4YCiBQNVOHPfrAAeU&#10;sDdYoXHDhtpkg9aW3mCFSDGSY9T96lQKvZohKhbOxAtqsIEFnhvVczdTq0zJ1OYt216AjEqynPfu&#10;O5BQC3xc/+WmX7Y8St3txJ7YmUMIxMFp/gFBo4T5PXXGuKNxp0Lyfp/F8HJAwpqcdeKkLsqBePyU&#10;3xxzlDAKyiw07K9//Vnjunfu3lPihXRJepwzd75MmjztxbAV8izGTQgMWmFCGlUVVB4cdvcg6wsb&#10;2hs3f21nC5JeP0bAYWBebAJVywAHpijRz5kGG9UqV9GRgrNnzZITJ05ElPL17LBTiKhBCJhJRNxQ&#10;5y9c+t3NkJHg5mQxJy5NxjOKlpuZciIaPkC4ZD+vi9+grmN+x9/4Hf/yd/5F3ZPhTaIZyUEeARP3&#10;XeMIgsfTzxjXNLt21DBtMYldsTGBwCFiPovfgmH4LbzzxvXEOeP4o4Sp10YdrV6z9kVMmOxoNstm&#10;GW+smWyK6GJGHsz9r79WpQtxHjt2Qje1xGo1g9lt2ue7+0eVrgP3FnkkhLJiV6/VHAympNFQx+sn&#10;HyDf19fbGwGHiXkXFAR73SnhhQsWSLMmTWT40KGyYf16jRNzoUViTIrCd2JzEDCuWG4UiM7vhsgo&#10;cLOieCHfze7G5+am8QZNHyghWrZ8paxcFauqChKGgEn6QHWtio6T5StWBVpZJtQIE48kDgUBA34G&#10;cY4Qzpw9q8eAxC1il17Ly0WLl+lr4zrls7zJAmIIIJAcd1XPHzOgvXPHMWezc8L9nuzoSNv8BqsR&#10;EqBs6OnTZ3LDnTvyKPAOrVwVmAdNKAFPBuePeynQeGVOQhe6dVrC6E0sw0sF4eIJ4TpIzubVCDiM&#10;zFPCZOkdOXxYSXjzpk06z5c0eeIakWgQMGoQAmZHi1IJFgL2FBQ3MqUtxJfYVUOOxG4hYjpcoXDZ&#10;Ze906p3dOS0oid2i5nFDQ9rsxOPcc4lB8TyyMRc6UiXuzQKCy4wYFY05eA26baGIcVcTv8LFpqrN&#10;HSNelyzrpEkjBn9455He33vd9cUxRAmzeJOkgzI+4o6n1zHLXNLpY4E8mV80WfVpgtKlKoL7n0S5&#10;g+4+wvPDusD9xj0wcxaDUQIVA2xquT9wQbM5haSJ6ULYvAak+zb3hhFwmBkkjMolzsuOm5GGEDLE&#10;HGnK17NgJmBP+e7as0/JkVgSxMnnhARJ3qDkhYEO9KtmgWfHDSmiuC66n8lipmHHufMXE1paemMR&#10;D2icGDKAhMnQZGdP8hVkzvuyc9/nyDgubq2WTbDjZ0gFj8dbQL0xr3f9hqnh14GFGAXEuUAJr3UL&#10;NkqYrllkxKKEjyd0zIIQzNLeIF8tG3rwUO8ZQiwMYyEZkdI8QjCcH7xGnCPv2idXBMKluoBKAcga&#10;1zLnlteBeJOjdF8GI2CzsDcK47nBiOGwCHrj5PxuiPQENy/xVjKZGQpBm0ncwJDv7j17HfGdlSsJ&#10;N7rf818GHs8iofEst+CjdlHGxK6oV8U1ivsa1xslFVfcY4mTo9LY8XOcKKsgNhwTu0bVNyUUNC45&#10;c/a8bgAgGr/3NgSOv25s3EYPbwabKjaAuDZZ1I86EoCEIQZTwm9vAdHhDTz4Xp49+0YJ9/adO3LV&#10;nYez7pqlUsCrEljsNrpc4zRPYUPKJgnSZfazjgCNX68bVOrkPRdzWl3vRsBmYW/ENNnlstvFzYQb&#10;CXLyuyHSExAwCwMuZuK4fDaIGNcvxOyRb3J32Tye56FwIWJeiyzn9Rs3qcrGLcpCg7KFCAhPMFbv&#10;klPSuLZZpGhlGZjENFOYyuSV1uDuJvbF6/q9t+HX489xZwNE84XZ7hji1mSxJ+GNY3jHEcR3332f&#10;cJWapdQg4MDAg+dy526igQebtuiGmxJENj/kO3AO6MGMmxkFHLUq2t1zG2Xn7j3aGINhKGx8WR88&#10;FzPkm9x78E1hBGwW9kaJCPWwuKCJxxErpbTH74ZIL3BDc2PTn5pOSiRRsVBDlOy4/Z6TUvBeLCiU&#10;R9DDGDWGG5pY8GX3XixcKDGvZzaxSjYFlG717f+lDB46Qpt3oBoY9oAixjXOAgXJp9XiFOrwNkF4&#10;DzjukADHHjKOd0rYm6JkAxzezCBawLHSgQfueqX3Ml4cjjXE6w08gHjnOVUL4eL9AtPcJlzjuo54&#10;V6wMuJgp2eO+0A2vU8vpfS0bAZuFvREXRfFxQ6LquDlPnjrje0OkF1gwuOEpHSJBiqQryJfPyqLt&#10;95yU4qYDO3kIkyQvFiXc0RwT3vPRo0cvmrqQIIT7DjXM8WrWvKV079lb6x7JliZGhorGhY2Llc+b&#10;lgohlMEx4Tzr5scRA/Oe2QhSK0zSG0qYmCQkbAMcXm9co4k3iufctXfgwEGN6eK1IW5LCIdjy2ab&#10;63zOvPl6vdIGko231s3vP6BeJgZrsBH3lC7nyu88piWMgM3C3q5cvapExzSSyVOmaZITC19GEQfv&#10;Ccly45Oo45WqsBik9WfatWevxiRRs4As6Lv37iUcqV8NIl6wYKGUL1dBWrdu6wh4jPuclDRNVLc0&#10;84lJ7iIjFILBJc0CZkT8e3BcON8MwEAJE+tHCeNhoJWhjsR0x41j7s3iBpFqiZUuxwO1y7Ehi5nN&#10;IWSJl4ZSPGp0qc2lGQbldozmpFkGG202kFQD4GImpwJPmOe18TtPGQEjYLOwN3bLlBvExMSpK4qm&#10;+YyUYxQhcVa/GyMtAUnhZibBg105sSn+JdM5rQmM2Fh0bJw25iAZi+Qsjk9SQ2VMnjRZcmTNLg0b&#10;NJQxY8e5RS0wQo0JQAEVt1BLniiBYkPDdwqmxS1YwDn1lDCJPYkHOOiwjFUxmiDElCtimHgiIrV1&#10;JcTreWOo0cU7wHVFHfXevft1I00uAqVBbCR14MGsOZpEpUrX3eMc3y3btmuyJcebDY6ndLk+M0Lp&#10;vgxGwGZhb48ePdaBDBs3bdaOWCg/lCdklBHZ0CwAXoJOQJkv07gVZUV+j09NkMnMKEYyPhmPhuub&#10;z5NUdVHGxqhLeonXqFZdxo+fIIsWL1HyxoNAyUagZGmWxpOJC1OqQakUr2dK+PfguEAAlIjFxq3V&#10;5Dbc+hxHNjOoY+pLaZhDmRIKMNyJ2CPcX/72NyVdkqlU7T59KtfdsaJsi0lDGtN1mxWaYzDsYMy4&#10;CXr9emVDLwYeHDioZItHJhSuQSNgs7A3FjPinGQ5ouCIDUFAGxz5kQnsd2OkJRITMG0ladiwecv2&#10;VE++8gOqG3ccqgs3KGTKZJekJTF+BLzKLXLUJpM4RnkNiiOQWTpHjycuafpVW/MOfyRWwsTemcuM&#10;ixQCgYwBcWGOL9clnglKahKfl3AxiJd+BdybZOHzXbn+2cQR1qANJGVxXKf0Lid5EgIGbFjxvPB3&#10;3NB4syDepAMPjIDNzILIIL2ly6J010wck7IfkjH8boy0hEfAWv+7fqOqH5Kj0oOAeV/cxbTTwx1P&#10;0gqxsYcPH2k2rmd+BBy/foOSB648MkchEBZEr90lr4dSoe4aEuZ7+n2GSIenhCELyl/wKlAiR6cy&#10;ss1RdjHud2RJ3759OyzbV6J6ie/SOpdaXWK6JFORSMUGmWMBho8co3kHgYEHi3SDQi9zb+AB8WC/&#10;YxwqMAI2ixgj0YVYG/EjivBRw7hOT7hdd3qQnwd25uzST7sFmLpfFCSKEkKG3EjE8nteagCXO8ob&#10;9UD2tRLw8Tcn4PMJix6LHzXMmgjjVBxZ1RCwxjSdOsHNTU0xijul9czhCk8Jcw1w7e3dt183YlyX&#10;HEfc0hxHNjMoQY5zINv8ho4eJT7PxB6aTwSzoXJR72wg+MxcYyhdGr9wXRACogxo/YaN2uoRL4rn&#10;DSBMpG0g3SaZmC817DrwwCldrl+uP6oI0vJeSQ8YAZtFjBELpnSBWDBZkuyqqQfkxk5PVzQLMAsH&#10;pE/yFZNzcAXjSiMGmJa7egie91jnyNQbwJBcAvYIhAUQFUfLS1yFHE9vFB8LKTFNEmFQ3RmVcR7M&#10;8K4DiJjrj+OIGia+rrHh8YFRdxASJWPEQr3mKYzLI2YazAYBB6YNfaPES6iDMJD2H3fEShZ4YGhI&#10;wIOC8g9s4hb/ZhOHW5p7hfsCzwHHLFw2dEbAZhFjxDnv37+vLliGaeP2Cyi2GB1MgDpML5cWCwjv&#10;BUGxGOF6o1Zx89ZtqoT5LCw2fs99G0CGuN2pm2SxQ3Wcdos6GaeJh3W8ioC91/JImF7VNPWAcEnI&#10;IjGL2PDc+QGXoXbPcqrl8hUb+O8HTw2zmSGGzjQlvAqa5esUMR4S6oe5TvBcECPmHKp3wT3vq9u3&#10;5eGjR3oOIWYUZ3okb3nZyj+4jRt1zE+ePNUB9l85sr12/bpew2z2IFGU7ga32UTpkjsQyMWYo/eg&#10;l8HMd2a6F14V7guS1VC6HJtw3bwZAZtFjJH0Acmwg+YmpyMO8WBiTix6XkccvxslLcDCy+6exCbK&#10;J3CLexnFLD5p4RZnkcflSetLVBYx8fMXLmjmKY3rPXsTAgYsjGwUmIdLLBmXKUSBakPRUGpDT2my&#10;vSn7Svxcw6/gWuA4kgnPUA3czsyDZlPjlSyxYZo0ZZpes3R0osVi3Oo17vrZEyDjq1fltlPHT9Mp&#10;cQvypZUmniUULt4VZunyeXCp0+YRNzL3F73FCXkEvkOgL/uiJcvVzb5p8xbdeHiuZYiba5/Qhad2&#10;/Y5ZOMAI2Czi7PHjJ+rKwxVGe0BcsShBbQV58JAuJKjTtN518/osNHwWypCYNYormnjwJkfCECVq&#10;mMWVRcmLed1IwefivVjIIHbc3nxfFkJcfSTBoJoSD4t/UwJO/Np8Pj4vLv0ljthxK+JeR8XR9g+l&#10;nPS5Bn9wDdKpCSVIngDnKbFyhIQJo9DpCeXIOSW/gcEbEBnuXs4rAzfIfUAl47qmbSPhBkiT7OOX&#10;4ZEDj6NHOI1aIFiU7Vfus3luc66FU6fOqBpnahabr9VrAgPs2XR56t0beMBn5/cvrnGUriNerkli&#10;3Fw/fscinGEEbBZxBtmwwJw9d04H1LNIoD7ZlXtKmJ14SoguuWAxg+y9GCClUSyoECTlF7jsWNjo&#10;onTKETEL3zUWVZ/XehU8hUUJEsoJBUVv3LVr1+uiijvxdXXALyNg4JEwnw8FB+FCvhAFngZVwGdN&#10;Ab8puC4gJDZeJOvhwicBCVVMBjskhuuW69bDTEdykB5hFTwphDVotIIa5fjzXAiaEAzeilOnTr8U&#10;uI4ZGIH7mPAC8VgIk+uTCVlcn5ApbnI+B/2tdbSfI9sA4QYatbBpQAnrhCG3QeAaZ5N20l3vkC7f&#10;T69pd22Gs9J9GYyAzSLOtPD/l190d6+doRzJQUgkhLBgkHGJEqYzVXooYcAChOrh86yL36hDDzwS&#10;Jl6LW5rZpPsOHFLFwAKGO/msI0TcvzyXhYzPy2sBfgYs5Cx2THphIcQlyPfF/bzHKSza+yW15BJw&#10;UhDLRmGj0pYtX6kKn02N32MNrweE7HlLIGKOL+S6dPkKJUGvHtubPUzyFqQMMdL5DUKGtFeuitXn&#10;EUumRePLwAaK644YPkTOtYjLeOHiZXrt4Arn/OI90jDOjMCkJ0IPuMx5L57LvbR95y69rvHk8B0i&#10;kWhfBiNgs4gzr/vO9z/8IPfu3dNFDVUBMbFzZzEjGYTiftymLH5+N09qwlOogcSV06o8SF7CTc58&#10;YDYJLGqoyYCyWaduxy2O2Ighs2FAsfBdIFsAQbPooWbIsOY5LI50XqIvNu5N3JQk7iS1tyVg1BIb&#10;GrwKLMS8F9/N77GG14NNoKeKyVPgvNLVjFgxwwV2uM0ZKhUPDnFjXNZsfMhyJw6LWuVfHYuoZMl1&#10;HugH7gfINJAkNVfDNLwOgIB1Y+iIH08N1yUNWCBaNlmcZ65d3NKodnIciP0nDqGkx4Y2VGAEbBax&#10;5tUpEhOmeQQLCosPzRBw46ESiG1BwiTHXE1wk6XHAoJyZZFlMdvi1A7JKpAvbmNm9bIYQsS4A2mr&#10;CeFB2CSzMKUIV9+efft1+ALlK2RYs7EgmQeFxHdDMVMi4lfO8jYEzPHB5Ul5CWqJDQSfCZXu93hD&#10;ysGx5rpUdeyul0NHAoRMIhTXBJsuEu4A1wuZ6ajkNwVubTZr3msArh3IHmUL4RIewaWNh4NNpN/n&#10;NPjDCNgsYs1TwkxbIUGF3ToKQhNcnEIgnsaihdKEiFGmFy9dSTdF7MVT+VyMs1Ols3O3xtKIC0Ny&#10;nruQRRGXoad+SITBfY1L3Zt+hMuQxZTvgyomyYbeuxyDpJZSAuZzc3xosUkdqxFw2kO9J+6Yc70Q&#10;Njl77oJuGrleCVegkgFuYK5jvCFvCrwruLy91wDEcGkgwuB64voocjYAbBr5LH6f0eAPI2CziDeI&#10;GBXIuDPcziSVEEMbOXqsluqQvYkblRgscVSvNhHgVgOBeGsg9goBvQosUm+KpM/l9XEvk0hDQhUk&#10;TOYpsT1idMTgSIKZOCnQyIGmGIC+zygaEnJ4Ph2VEtf9JrWUEjCfkePB+5AFjcuTzQENGNi8+D3H&#10;YIhUGAGbRbwFVPAP2kQA1y3xMrI5GUIPeUHGuH2JqUXHrNYSClSdZpdu3qJxWJQp6oLxZ2RRQ9So&#10;TNQr/1IaosrB/YyrEBIkLvYyQPJkv/J8XgslA4itsREgNqxj2Vas1Eb1uJeVeBOm6wAtAdJkqxVK&#10;npQ1oVYePHigdb+Jy46SWkoIGHcomxK+G3FBCBhXPmqd7wAx+z3PYIhUGAGbRbwRB4ZwKMfZs2e/&#10;LFm6QmOlEDAYNYbxZxOV1CAV/g9ou0imqReTpV3gmnXxOqSAkg9ImRgsrjxIiMxVfsaVTMwZUn4Z&#10;IHFcf7gASW4hngdQvGwCeD9c5LjLSXYaNWacNq4HfGY+J4qXcYPEgBnHSD9eSrASlxu9zFJKwGwe&#10;iAcSs+aY4QInFg0pW3zQYPgtjIDNItZwO3vE63VxiloZo2qSofNkf5J5jNLEjYriBSQ9oYCJuVJH&#10;DOkSh+VvxFc98H/NSnVkxOtAmjTbIK5M72QySF8GjeM68uR5xG1R5ZrJuiiQyQq5TnIKl25TKF2S&#10;s/g9ma6QLgqZmk8U9NVr1+Thw4dKvmw2jIANhuCAEbBZxNr33/+gXYKOHDmqpEerPGKnKErIDtIN&#10;ZEGf1QQijfcm1NXyf2pxSY4iuYXYsTYscCqVjlq4qVHEkCfESAwW1UyGtYcx416OxI/zFLcHT5l7&#10;I9twkS9avFQ3Crz/oUNHHBne0vIiBixAukzOeRPi9cwI2GBIexgBm0WcoXxxx964edNd6weVuGhW&#10;QNyX4fioT1pBUgJEpieES0IUBOPdOPw/kKV8QckFkoZ4yBJl2Lpmm+4MuJ5RwvR6pvGFp2BpYABB&#10;JXYdpxS4xsnaRv0yZAJ1ThkKdcFMOtK4s9ss8BkvXAjUY/LdaU/IcArKsDgeHlkTE08tAub7sjHh&#10;/UlU83uewRCpMAI2izhDGd5yCvGgI1gIC+VLLJfsZ/ru0uAAUmV6D6otMfEmRtIsZR7rdZ6CnCnN&#10;QClD0pRtHDx8RGsnUdZ0JqKbEMPGR4zyJ9Y3BWoYpUzcN5B8NVUTsmgsEmimECipogkHbm26YVFb&#10;TBb10aPHtG8wbniImGQ0LyaeGgTMe5KkxjHluPg9z2CIVBgBm0WMoewgl3tO9eE6XrN2nRKTDqZf&#10;slxju2QxX3ZEkZJ+yy8DRE2zhAuOjCFiFDKuYpQ2REy7RtQ3hDzFKWNtFTl7npY/kUWMOkfdagx5&#10;6YoX4P/8nr/zODYQPIfvRAMFOh4lBY0YvDg0sWLaEvJZIGOOCSoZorxw8aIMGTRYMn32uTSoV18m&#10;Tpj4RgT8Igt6zTrdEDBGj/7BJJVdcn/ze57BEKkwAjaLGGPcHnHfixcvK0FAVLTao1EFLmfI8YL7&#10;W1J389vipgODHQI1stdVFdMoARcx3asgQRpnEMddlpD0RRLX1m3b1X1LJjUJVbi3UZce+D+/5+88&#10;jmxnMqYpjUJl05RD4dQohAthK5YwVWehZlDTFQtiJvEM8ubvJJaRVNa3bz8pVqSYtG7VRiZNmvxa&#10;AgYcOzwBfH4IWOuA2dgcPOy+t9UBGwyJYQRsFjFG7evdu/fkgFOgkC5xWGK+1KzSwg+ChED8bpTU&#10;hqria9fl5KkzSqKQ50bKlxyBEj9GjdLJiH7OuLAh7aRJTDzfc3F7fZ8DdcMntPEFrwNoF8jrQooQ&#10;KzFiEsQWLFqqpEvzDtzUuK0hZE959+s/UOrWrS/de/SUSZOnOFKPV3X7JpuTQCvKydYJy2B4BYyA&#10;zSLGaLRBUhLqkDpfADngdobEIJbUVL6vAu8DCePupTkGLf1IVIJI+T9khTs30GErMOEo6ebAU5ve&#10;YxLHnonF0sYygABB8/peYxCaglCLTE0yjT1QzTFuMcA9DfniFh8+crT06NlbBg8ZrjXPsavXaBMR&#10;3vd1x8kI2GB4PYyAzcLeKL8B1x1ZEe/EBYvag2ggH8gqqboMV3jE7xE33x1ixkW8ectWLccic9lr&#10;8EGCF2VRDFYgYY1yK0j9dceL4wxpE8vGpY4S5738HmswRCqMgM3C3rzkK9yntJMk3knCErFRXL1+&#10;6jJcwXdFIaOIaQ8J8ZKAxbxhapeJQUPAKFePhInljh47XuPl9Jxm9B0q3e/1PeDy1mk6s+dqMxHK&#10;sVDifo81GCIVRsBmYW8kX1FeQx9lXKvEfumhDEmQDOV3Y4QLULzEtlG7lFWxCSGBi0xs6pQZK0ds&#10;mKQ0unNRq4wbmpmvlBBBxF7NMmSM54CRdMx65XVf5ormtefMna8KmI5i1EKH+7E2GJILI2CzsLfv&#10;vvtevn7wQJORUGUoOeLAxH7D2S2KqkftkpzFwP7NToWui9+oyp/saEiX48BIQ/pX4zamPhg1jDua&#10;30GclEuhijlutL3k563bd2o8mZiz33vjcl7iSHyuJnnN0/eiqYnfYw2GSIURsFnY25MnTzVBCWJB&#10;zeF+piEGbthwbQ6BMsXdDPmSAEWmN6VHJJ7RFpOsZwgSMkYBUw5FS83EZU4e2LisdyRN7Hz8hMna&#10;tIRYMYMiUNR+708WtsaTFy7WumY6gUHYfo81GCIVRsBmYW+oX4iIDlA0u6B5BaSEesON6ndjhDJw&#10;N9OnmgxnspEhP+YZo3oZDgHhbtm2XQkUVzSueTKjIVM8AklBkhaPiV+/SUuUArXTgfItsqn9sqKZ&#10;V0zJE6RNr2pc/keOHtcGJy9zWxsMkQYjYLOwt9t37sihw4dVkaH+IAWII1yJANLcuXuPEi9qn05f&#10;1P3yO1pCsvFAHbP58GqfPRL1g/d3EraIE3u9rKkjhuT9ktiOnziliVfElIkd81jc4OG66TEYUgIj&#10;YLOwt9u378jBQ4ccIcUqATOhiGYVfjdEKAMSxKWO25juU7S5pANW3Op1OocYlQs5JyXLNwWNQXDj&#10;kylNy0waeJDIhnJO6srHvU+DEeLHlCOxEeAznOGxTqEnfqzBEKkwAjYLe4sUAsb1TKnP3n37X5Rb&#10;4YKGDL1OWiklX0DpEc07mH9MHBjg1qfPM8Se+LH8n2OMm5rELciaZh9kT5MYlvixBkOkwgjYLOwt&#10;KQHjgj5y7PgLF6vfjRGKgGTpD7156zZVnqhfXMSem9nvOckBKhe1i+ols5m2lbwPzUyIsSd9LJsB&#10;NgCULhE3jluzTj/P62qIDYZIgRGwWdhbUgLGNUsDDogpnAgYpQs5rl67TscqbtuxSzOPU+s7QuKo&#10;aEiUCUzEgdnMUKqU1KPgPZZsc8iXsYiMQty2fad+zsSPNRgiFUbAZmFvjB88cfKk1qJ6daxk/4Zb&#10;QhDZymQ4k2xGljMDJtJCbZIRTXIVU5QYakGrSX7n91jiwCRgoZjZ+FB3TIJWOG18DIaUwgjYLOzt&#10;yZMn6hKl6xOqjR7QlODgIiVu6ndjhCJQu5T+rIqO1bpekrHSYgACcdzomNU665eSLggf17ffYyHm&#10;mNg1WrZEW0rKkQ4eOhJ23geDISUwAjYLe/v2+XO5e+++xirpbzxn7gJ11b6qk1MogizlNWvXB/o1&#10;79yt3y8tEp7IpkbJMjsYV/TyFau0RMn/sad11jLESyx47vzA5ofPhYva7zkGQ6TACNgs7I0+0I8e&#10;P1F3KJm7ZAfjqkWdhdOIvPQiYGYYr9+4WZYsXaHZzajbPe7Y+j2WpC1ixripdTjDrLmaDX0ijT6b&#10;wRBKMAI2C3v761//Ks+ff6clNCQEMZAhNm6t9itmtJ7fjRGKgHDXrtugBMyA/7RyQTMTGHc+U45o&#10;aTl77nzZtWef72MhWRTzBkfYJGLhgaAjF6T8sjaWBkOkwAjYLOztb3/7myPhn5WgSBqCCJj2Aymg&#10;5vxujFAEww42bNyi8VkGKezZuy9NMo5J9uLYMTUJ8iWpDe+C32NxM7MJ2LV7j7qrUcGLliyXdZo5&#10;fdL3OQZDpMAI2Cxi7MKFS7JsxSpVwLihUYr0Jw6XZKAzZwM1usz1pRRpoyNhWk+m9vdjI0PpUWBk&#10;4SJVwmSV+z3WA2VfxIEZBoEXYsmywHMsEcsQyTACNosYu3Hjpo7cgziY0ENZzG6nEsMlIeii+x50&#10;pdriSJg+0DTi4PuldrkVfbTJtEb9QsBsZA4ePuL7WA+4odetD7THxAPBUAdqglHHloxliFQYAZtF&#10;jN2/f98p3qMS5xTiVO3ONEdjmXRxCodsaEgWEj5w6IiqTYiOTlTEWlPz+0G2Cxcz5WiGzHcEzPFk&#10;+pHfYz3wGch+pmSJRDgmJEHIaZUoZjCEAoyAzSLGvvnmG1XBxCMpRYKEme5DxnDSVoqhiBu3AjOA&#10;GUW4wREvJEz2MfHgfQcO6iAEiDilbt8rV687Ir2gynW2O34QMO9B60uymv2e4wGSJSmMkiTULw1R&#10;VkRFa70yJOz3HIMh3GEEbBYx9vPPP8t3330nZxzZMox+UsKQAPoZv6yRRKgBcoXs+D4bNwcylVHC&#10;savXKAmfPnsuxe5oMsap96WjGMlU1PV6r3v2/AXf53jgPSF/BvUTAqAlKESMK5vf+T3HYAh3GAGb&#10;RYz9/e9/l19++UVVMFm8ZOXihmZUHrFhlGM4uENRwRAirmKyjZn+xCaDYfy0qKQEiDaVJGiRBY76&#10;J4ELNzEKl3/JnvZA60iSqFCruJtpwIH3AAJF/epxe42Lm40BJEwsGAJHQZMIx7EnccyLw1tSliGS&#10;YARsFlH27//+7/Lw4UMdHkA3J3oU4w5FKW7eul3Jxu9GCSVAYpAZCU40G9m6fYdEx65WsqMMa9Hi&#10;pTqgn5nBuIQhVuKz1EVTTrR7zz7tGuaBpiUro2P0udTxEr+d5hQw7meG7NPO802mLfG5aP+Jy58N&#10;AQTMsY9bs1bd04wwNAI2RBKMgM0izp5/9527+L/SnsQrolYpmcyZt1AJBbKinhbyglRCmRD4/JAa&#10;5Mb3gkTJjGagftSqaI0PswnBG4AHgIQtwM8A4uXvDF7AUzBx8lQZPXa8xn7pgsVjqAn2e++XATf0&#10;0WPHdbA/hD5+4mStJ97ilDS/NxVsiCQYAZtFnOGG/v777+WmIyjUH2SCGmO+LWQDIdE1iwEOoUzC&#10;fG4IDdLDrQwR870Y2M/3hmz5rt6/uIYhZQY68DvczfR5nj1nvoyfMFnGjJvgCHiCzJu/KKGX9plk&#10;Z1fjhmZTgHscFT5pCnH4eTrWkNGFuLJDfeNjMLwpjIBDwCCMH3/8Ub799lt5/PixfPvNN/q7tzHi&#10;oSQlQURPnzyRr7/+Wr57/lxdtJFi33zzrZw7d8Gpr+1KwpOnTJdZjogXLloi8Rs2aiITCg/C8MjY&#10;7yYKJeAuDqjiU7Jv/wF1PQMymyHemNjVSrwMz0cpky2O4h01ZrxMmDTFbVQCg/Uhc8g0uUTJ43ke&#10;sWVIH7c4NdkQMc1DvB7R4XCsDYbXwQg4BAzivXPnjpw9c0b27N4tp90iRUnN2xjkC5lfu3ZNDh44&#10;KOvj18vFixe1bWOkGD2iGVV41ZErsU7UHolFkAFNJnCN4oKlbAnCgYT9bqJQAsSGKobkiMcGEq9Q&#10;x6e0aQek6MV7yZ4mW3nc+EkyxinfBe53uJ1p9oGLHjJNiVLlObw/2c+QPu81ZtxEPd7bEnpYX3Wf&#10;0e+5BkM4wQg4BOz27dty8OBBiXEL45RJk2VlVJRcuHBBSRgiTY6hcFHPT58+lTOO0Ddu3CizZ86S&#10;wV8Okm1bturkINRxpBjHg0ENZAJDBsy4HT5yjIwcPU7drbhHo2MShhucPOXU42UlD8gYNXnNqbmM&#10;dpny3nyGxHgZOXqPRYXy+XEhQ6YMWCA7ev3GTVomxCYE1TtoyHAZ4Y4HJEwTDdzOKVG+ScFrQPyQ&#10;8IqV0Xqs2fSQnMWGB5XufQ+/5xsM4QAj4CA3COLggQMyacIE6dq5s9SpWVM6tG0nM6ZNk507dsi9&#10;u3cTHvlmhupD+Z48eVJmzZwp7dq0kbq1a0vlChVl9qxZcu/ePXVLRwIJc2xR/GxGjhw5pi0V6VMM&#10;AUM+qDLiwqhi1BntHSnrwV27d/9BVYLqonYEBqFAGH43WVrDy3g+f+GiwnOZ+xGlFxNmw0EpEmRH&#10;vTBuZ1zOnkuY5KiBXw6Rjp26ypdfDpZJk6ZojBjXcWqQIseKz8jnINkL1z/ubc/FTWctvgffwe/5&#10;BkM4wAg4iM2rW41etUoa1K0nBfPmk/ffeUdyZcsu9Rxpjh87Vk4cP66k+jrXMWTD6z179kwuXbok&#10;sTEx0qxxE/n4/Q/k3T/9Wd7981+kT6/ecvr0aXnw4MFbx5hDwThmxNbv3buvcdAFC5dofSvkO27C&#10;ZKcCp2v8M4DpWjJDNjAlS6vXxmvZ0p59+9VlCgFCbBAcpOER8pvAezxAUfMaADcsKvV1gHRxITNY&#10;gkxiPg/q0vtMiR8LqbFp8NQuWdGBUiwynCfIiFFjdeMBevTsI02aNJM+ffrJ1KnTZN26eCVg73On&#10;BhHzmSh/inIqGBLm2DNdiU0O3ykc3P4Gw8tgBBykpmTplNnNmzdl8sSJUrxIEfnik0/lnX/7k3z6&#10;4UdSIG9eadywoUydPEV279qlbupX2U8//aTxzmPHjqnSbd+mrRQrXETec8T7lz/+m75u3Vq11cW9&#10;d88eef78ecIzw8885ctm5KLbjKACcYNSjoQblCQs3K1kAlMuAxgiH++UGgqYfwF1tGscEUPGqEPi&#10;p1sdcVBHe/DQYVXIECLDC14GVCi1tNTfsgmgRpYMZchdy4Dce7wJcJ8zoYjneOVDfCaab/zu8cwM&#10;jo5VovPKiyBc3O4QMP+CAQMHS9duPWXwkGEyyT2Gki2OFTXUKFfInI2C38LypmDTwYaAY0ZWNJ8F&#10;FYwa5xjgGuc9aLPp93yDIZRhBByk9svPP8stR74H3Lno1aOHfOJI90//+gf5t//9r/ovyJ4li7qP&#10;x4waJUePHEl4pr8RLybhivgxavqzjz5W8uX1wJ//8EfJmyuX1KhaVebNmaPNKsLV2NwQO799+452&#10;coJ0STYi0YhpPRAv5KkLf4Lau3ot4OYlBrpv/0FNRoKk6aY1xSlkCAvFTGvLgEJepwqTx3kknhQM&#10;goDQGR8YtTJGM7FR4XPnL5LpM2arCvfI8FUYP3GKus55nj5/3kJV636P5TVpIcn3RW1CuLjcX4Zh&#10;I0bLaPc4ypBwT8e4BYNjhoKmq1Vyy5CSAhUNCfM6HBM2BMSf+U5Ll6/UciX+xmP8nm8whDKMgNPA&#10;iKFCnhcvXJB7d+9p/2HcxMkxkqFQtuPGjNG47wfvvPuCLD3gPi6YL780qt9Apk2Zouft9ldfJbxC&#10;wPgsuJSJI8+dPVs6te8gRQoWeqF8vdeC0D//+BPJlzu3DBk0SE6fOqWx0eQmeZGxfdMtluDRo0f6&#10;/sHmzkbd32Bz45QnLlj6GntxXuKhxB/JEE7sYoWEIeSLl66o+uMx1NNSD4vypNNUYA5vvKpMypi8&#10;GltI+GXgMTw/AKew3XNRrbxO3Op1+pqvA+/H596ydYe6bimr8og9KTxVHBO3RlX/MkdyibHUHQOU&#10;MccD1zSZ0MzwDUyPguQXyuKly/S5vBabCLKnUfocs5S4jDm2ECw1ymvj18vCRUtlwsQpupnhs9Jr&#10;mtdOLbe3wRAsMAJOA3vk1CPkGRsTK0ePHtXEpuS6dFGsC+cvkGqVKkvenLnURZyYfAGqFSLNkSWr&#10;qtrRI0fK/n37El4hYA8d+Z45fVrmzJottWvUlOyZs8iH7773Qk0nBoRMPLh1y5ayccMGVcwQaHLs&#10;zu3bsmvHTgUbEJQ0m4lgsvv3v9YaWOKOuJ1Ri7g/d+7eo6rOU75JbxYWf1yhGqt1jyF+efnKNXXF&#10;EnPlufRMxp0KCfoRblLwOEj8hdvaPZ/642PHieNe0IzrNwEqEfIDlx0uXb76u8eAcxcuyqkz57QP&#10;NITHcIXE4LjwedgI0JSD40LvZ8gQ5TyWkqRxE92/E1VFe3OVUfuo1dcNZXgZOLYcR+K+uPU5J6hg&#10;vBOxbiNCfPtl58VgCFUYAaeBXb9+XeOs3Tp3kZHDR6hLN36dW0QOH5brjtQgVxSxX6YxihPliAId&#10;Omiw5M6eQ93FkG1SwvQAoRbKn19JeKpTwkeOHJFzZ8/q59i2davGdVs1byF5c+VWwn7Va4GqjvRR&#10;3ju2b9fP8jIjlvrs6TNV+8ePHZMtmzfLgnnzZPDAL2Xc6DGybs1aLXUi6zoYjGNLG0oWehZ51Bxd&#10;niAQ4o2MxWOert+N8ip4Cg4SRKnxOpAohPo68DjUNOQNifN8gLs7LdyuvOYVt3GAjEne8t7PA0lW&#10;xHghYzYF1OWudyod9UyrTtzcM5wqxu3ONCncxcz3pZMVj9niyPuA+15MXYIwk6NYeTyfi1g4bnwU&#10;ON4J6oT5DByr8+7c+T3XYAhFGAGngUGelAyhTCG94kWKSstmzWXkiBFKxDdu3FAS9nPN6ri802ck&#10;euUqJc33//KOr/pNDAgVEs7u3g939CinhBfMm6/NNYYNHiLlSpWWrF9kUjc2j/VTv4lRIE9e9zr1&#10;nWqeJbdu3Ur4ZL83EpmuXLkiWzdvkYnjxkvzJk2lQtlykt89v0aVqjJqxEjZvGnTK18jPQ3yvXP3&#10;ruw/cCiQ8ewWdxZ63MS4UFG0KVVYqo4TiJjXUSXqCPl18FQrz4GAeD7gtdLC3eqpeO+zJsWvyj5h&#10;M+GuxSPu2HDMSBCDCKNj12i8molGlGlRsoQaJlPc66lNYxPIlNd80+/hHUM2MLSlRH2julHDEL+W&#10;J7nP4vdcgyEUYQSciqYK6/lz2elUA0ToERoEStZy7Ro1pH/fvrJo4UJHTJu1hAiVisrETQshP370&#10;2BFnvHzZf4BULFf+N8T4Orz75z9rTJiYcbvWbWRAv/7qdiZr2u/xL8MXn34qhQsUkH69+2gSmBfL&#10;/cHh/v37cvnyZTnmVNuObdvVTT7ky0HSsF59dZV/8sGHge/rSLhLx06ybMlSLXsKBnv48NGLulMv&#10;tokSZigDatDvBokEQHye+vzVlX5MY687nRoFqFKys5metC5+o8Q4EoZoUaczZ81VRQwJk4gGaRIT&#10;J1mN4w2hJ2czwefgM+CexzvBRslTwrjHz7jPiOvf77kGQyjBCDgV7fm33yqhRq9cKbWqV39BaChO&#10;EqZQoYUcQZYrXUZat2ipiniVeyylQV4DDGKo0yZPkcrlK2i9b2JifB1Qt/o+mTJLnhw59b14z3f+&#10;9Gffx78MuKkhUlzaixYsVLK965QjoEQJ0h3Qt5/7e12p5DYJRQoU1NjyR++9r+TL98V13rRxY5k2&#10;darGoIPBbjkSwKWK6oUkUGuQCuQLSfjdIOEOiBGVisubOCsql8SnZSuiNBmL2C/uZZqUkLiFCmXT&#10;EihnWq//XxUdp92z6BsNERMjpqZ3RVS0U7K79fgmRwnzWLwCqF2S1FDbEDD12CR/bXPnDJXs91yD&#10;IZRgBJyKhno9eeKEzJk9W6pUqOhLbh4g1+pVq0qP7t21FSSql0zlLU4Zk6mc5fMvlND8npteKF64&#10;iPTq3kPmzp4jG9avV0wcP0HatWkrpUuU1M9H0pbfc7NmyiTVq1SV4UOHytEjRxOOUMYaygplRmIP&#10;CpisX+KwySGHcALfGaI7feacegFQl6vXxGtmOGqTGDkEDAGieKkf3rBpiw7137Frt8aIAaQdmJ60&#10;zinWZeqWhjDxMPA8L3bLcfb7HC8DsXo+FzXXTGDyXNxewhzEzuePxHNnCA8YAaeiMVFo/959MmnC&#10;RClfpqwvMXmAvKjjLVqokLaBxGXdoV07aduqtZQoWkzjta+L/aY1Mn/2uZRxRItLm65ZTRo1kkpO&#10;mdORK5P7G5/vZQldlDSVdN+jZ7fuv8vMzijDvYpL08vcpVSH/s4s4JG2iPN9IURivCROoW5pzoHS&#10;XbMuXjO0IVbqfSFBmoaQoYzyxK185ixDHBjmQOLWeff7MxpHx6OAKp6/cIm6pCFyCJSNDhsgv8/y&#10;MuAWD5DwYX3NeQsWaZ0w54/PirrGVZ3SuL3BkNEwAk5Fw31MbHf4kKFSungJX2J6GVCSdLpC+ZJQ&#10;5feY9AYEy2fBrQ34+U03BWwwcEO3atZcdm7fkXCEMsa8lp60aKSWFXW2KiZWVRSk7HdjhDsgXxKt&#10;yHaGzOYtWKyzkOkJDfFyrCA/v+e+DBAh8VmyoGlSQlcrVDDuaWLHEHVKNjoo3V1OabNJwHvhlSfh&#10;juazUvqEEjYiNoQajIBT0a5fuy6rolaq6itasJAvMb0MKEkynpNDcmkNPhOfRXtFO7xK8SYFjyWO&#10;XKt6Ddm0cWPCEcoYo9/zk6dPNakIQoCEafiAskouyYQLIF/UL9nKqF5GMZL0RPLVqdNnNSaMAvV7&#10;7ssAuUKE1BpvdZsuYse4sFGsDLI44lQ0/a2TS5TE5ylrIqmLUidc4zNnz9NzSTyfBiZsJFDYvHak&#10;eTMMoQsj4FS0i27hoeEF5UP5cufxJaZIQ9lSpWR1XJyWLPnVPaeHffPtt/LV7Tta2kLyFeqJdoq4&#10;LyEivxsj3IGqZAOCMoWA6WpF8w+/x6YEtPIkUQtXNM07+Bd3NnXWyY0Fe4Bgd+/d/yKOz/CIwIAM&#10;NlQbdJg/TUiUhH2ebzAEG4yAU9GYJEQDC8qNcmTN5ktIkYYSRYrK/Hnz5M6dOxk24CEpAdNmkYQj&#10;hgCg2PxujHAHrncGQNBKkqxmYr4cD7/HpgQoVlp14t6eMGmKJk+Rgc5whZQecxQ58Wc8GbTuxLWN&#10;woaEFywKxPRRydQv81hTwoZghxFwKtqxo0dlQL9+UqZkScn02We+hBRpKJy/gNuUjNVOWV/fv59w&#10;pNLXkhIwwwpIFmIxj1QCJvMZ97PXEpM639SMh+NZ4PWouaY2GJcx7SpRxri3/Z7zpoBcUev0vV68&#10;ZLkOlfAGUmjbymPH9f1TqrQNhvSCEXASo5TorFuYaZJBO8crl91icfOm3L93T1sqouJeNlhh3969&#10;msWcI2tW+fC94EikymjQkINuXHt275avkgyK8IwmJAyMuOtUMqBT2NkzZ/QccPxT0ks7sfkq4O2R&#10;rYA9AqasCDWJOuV3fo9NCSBJSJAJR9Tvkr1MfTEDMN427o6L+fyFS0rCuNAZokFXLt6HjlkxcWv1&#10;XNNSMyWxbIMhvWAEnMQuucUhavkKmTdnrqxcESUb4tcreUAGdIB6FRls37ZNG3Aw1OB17R4jBbTi&#10;7Nenj2xYv0GuXb2acKR+a48fPVLCpVc2oJPYimXL9Rxw/Dn29+7e1d7TKTGLAf8eHgGjUL2pRiRl&#10;+T02JcD9C/A0cMxJmGK4A8P3cRH7PSc5gIRRuJxDstnJiEYF0wQElzRlZtQr8/fklj8ZDOkFI+Ak&#10;RutF3MgkUtEQg0YUXw4YICOHD5eJ48fLjOnTZcH8+bJi+XKJiY6WtavXyEZHLgw9GD92rA7O9yOi&#10;SEWWLzJpR63hQ4fJkkWL9TgxpIFNTpQ7hoDEtTGjRmv5FuD4UxPdvm07rammScnlS5dSTMA/kAX9&#10;5KnGByECWicy7SeSs6ADSVhH1P3MVChKfOiElVpZxLwGr0XXKgiYTGgymIk7nzufem0/UbgkX/E+&#10;NOjAu+ENiGCoPxsMkr+IPV+K0M2WIXhhBJzE1q1dK9UqV5HMn3+hLR0ZcJAzW3bJnSOnqjkGDdBv&#10;uXCBglK2VGkdYN+4QQNp17q1ql8Ix4+IIhWUVZERTstKjlP7tm31ODGTmGMICuTNJ3ly5tK6YZAz&#10;azZtocnv27dpq524aIeZUgK2OuDfA+VPDByFilpk5CAbFNy1EKffc5IDXoPXItmNzlhMUKLL1v4D&#10;B5X8/Z6TEnjvw3mkhIpErJmz58q4CYEBEZxvzjXej9RU+AZDasAIOIlRMlO+TJk3GttHt6pMn36m&#10;pEE/ZPovB0sTjWCBVw+czW1m8ufJo52/aDbyJi56um21dRubpYuXyKlTp1JMwJ7h+ly8ZJkqYGpU&#10;iX3iovTcpX43SLgC0sI1iyKl1SRlQtQBQ1Kp4bL16oHp5Tx5ynTtDc3PqOyLl1LfJex9H+qBvU5c&#10;gf7R07VuOGpVtLqk6egFWVNbjAs70s67IbhgBJzE1q+Ll5rVqmsrxZf1OfZArBeihnQhGf7ld36P&#10;jVRAtJAwTUbojsVx4pj5PTYpIO2+vXprbJ05ym9LwFcdKVByoxN8nEpaviJye0HzffneECJ1tShg&#10;XMQo4tQoR0LlMuc4bs1a7YgFCaJCmTecFolv3vchpEDLTL4HwyA4z7jAUeGQ8qqY1TrdCRLmcxgB&#10;GzISRsBJjPm1TRo0VDcoCtePGAzpA+YpM+rw8KFD2ubzbQn4zp27sm//AW2TOH3GbJkzd76qPjo/&#10;RWoyFoSIm5ihCdTsQsJ79u1XAvUIKjkkxWNxCx89fkIT3RhZSHbykqXLdaYwKhWi9HtuasAjYtzr&#10;lCmtos3m/EWBRDCniAMu6TjZuYt2m6eSPSrRYEhNGAEnsR3bt0u7Nm2kUP78qtb8iMGQPkhtAn72&#10;7JlTwddlh1NHs+bMU9coE5HU9Rqh4+2Yq8t337VnryZiLV66Qr0ETDuCoJITE6b71DVHfnSjYlAC&#10;bn5GFOJ+JgOaGHxaext4bcDmgc2Fl2i2clWMqnAypJmExc/8no0G389I2JARMAJOYsy77dmtm5Qu&#10;UULd0H7EYEgf4IUg+5x5wkyaelsC/umnn+Tp02dy8uRpHTyAMiMeDAnv3rtPs2QhHL8bJVwB8UCK&#10;uJ2pCV7qjsWKlTFKxgw6OOGOFe5alCukxvEBPCcx+B1/ZzrSMUe0xGFpwEHy1dJlK3STw9/8PkNa&#10;AoXLRoLvwtxiLwlvkiPi1W6jwXfj8xsBGzICRsBJjJm8gwYOlCoVK+k4Pj9iMKQPyIyeMW26PHz4&#10;UL7//vuEM5Ryox81JHzDLbi4J2nkT4ww0EEJ1+sBbaHod6OEKyAeAMHiNqY2mBItSpNQjbhwSZ5i&#10;g3L4yFFVyyhLiIukNsDPEDgdqCgH4lgSZ6culxaRKE3iwRnh5kfdkvRFmAEXOKMX6chF7TMJaHwm&#10;I19DRsEIOInRTnLM6NFSt3ZtyZY5sy8xGNIHlHwtXbw44cyknjEZCdLYvGWruiInOKIIdFBao32G&#10;IzFDlu/Kd8YlS3wU8p2/YLF6CShTIpmKmO4eR8R0szp0+IgSMmD8IAS92alchvkTb+V51OOiOikP&#10;ol6X1/d77/QA34/zesF9DuLDzC721K/f4w2G9IARcBKj3GX61GnSrElTrf/1IwZD+iCtCJjxhA+c&#10;qj7rlNy69Rs0SWf2nPnazhD1tnvPPnW9smC/afwzHMB3vXL1uqpZ6nXxEqCGmTTE+EbA/wElXOvi&#10;N2ptL1nUEC9EjTchMK93gXanQhEzIxgXdUZvaK6778c4REINiZPM/B5rMKQHjICT2Hm3WCxasFA6&#10;tG0neXPm8iUGQ/qAPtLUAKeV0R0L12iMIxB6FdPUf6b7l/IkXLGeaovERZrvjHsWdzOZ47hto2Pj&#10;tGZ44aKlCjYuEC6xXkYOjhw9To8hYwLpz0wiF3XWkRZXNxjeFEbASYzm/9GronWoPgTgRwyGtAV1&#10;wsTfq1WuLHExsQlnJvWNIRC3b9+R48dPytp167VHNBm7kPEKp+g2bt6icUNclailSFLDAOKEhFHE&#10;Bw8f0dpajhPKlhgvxwny9bpO4Xam1jY6ZrU+9rgjX1y+kXbcDIY3hRFwEmMSD72dvxwwUNsk+hGE&#10;IW3x8fsfaGexNi1bal12WhlZ1SRmPX36VGOCKGFc0Si5QBvDOVo+Q7MOb8as300UzkAJe0RMNjFj&#10;C0lgmrdgkcZ4GX6A6oWIiaOv37hZy41w8Uaq98BgeFNENAGzADNa8LvvvtMxhAyN379vvyxcsEC6&#10;dOykPYz9CMKQtqCjWH537BvWq6fhALpg3f7qKy1FYhIVvZ1T08iM/ur2bSUOymWIZ5KcRRtDiAZi&#10;ZqwevZJxqYaja5rvojHSa9fl4uUrctZtOBhyQAIVE4xo1kHsl2YddM0ie5yBB3gNqPclgY3RgIcO&#10;H9WMal7HyNdgeDUinoBZ0O/fvy8Xzp935LtPVixbJsOGDpWG9etrIwg/gjCkLWhbSRvKCmXL6ixh&#10;PBKMhDzuVCoNORiskJoGobMRY2zhjZs3dc4sKo9GHWRIT3RqmMYduF4hYubM0mwinDJoNQHLkeZ5&#10;Wjm6Tcb+g4d0MxK3eq0SLLWzNLEgwSrgbp6uk4diV6/RWC8lTGxMSOLitYx8DYbXIywJ2Jt+8/zb&#10;ALniVr506ZKcOX1Gy4wYObhzxw7ZvHGTxMbEyOJFi2T61KkyavgI6d6lq1Ne9aVksWLy2Ucf+xKE&#10;IW3hDXDIlyu3jjIc0LefjjOcMG68LJy/QNauWSNbN2+R3Tt3ad328WPH5MyZM3LhwgW5fv26PHr4&#10;UDOdk0vUXDeQ8J2799QljeKjiQTNOmgogXua5CIm7jBJicb/kDWj7kIlq5ZNA58TlUrfZEpyqN8l&#10;1k03rK3bd0j8BndfOGKlTnruvIUyZeoMdTNPmDRFlS/ZztQJkwlN20pqg3k9v/czGAwvR1gS8M8/&#10;/6yNG266xQayZf7s4kWLZcrkyTLUKaruXbtKi6bNdCxepfIVtOtV8cJFpFD+Atr8IWumTPLphx/J&#10;O3/6ky9BGNIW3gAHXNGMJcQdXShffilasJCUKl5cypcpK3Vq1pLWLVpKrx49ZMSwYTLVndv5c+dJ&#10;XGycDvBPSfMOPCKQNuT9+PET+crdIGRJ05px4aIl2tAf9YcapMUiBEXHJ5QiBEbG8I2bwU3AxHJJ&#10;KmPjQGwb1zK9kWmYQekQbRoDU4RmqPInwWrsuIky2hHwXKd4KUXa7YiaDQrflySrSCvXMhhSC2FJ&#10;wCyiZLiePHlSFRP9hDt37CSNGzSUqpUqSbHChdW9zAL/uolHhuAECpkxkCWLFpPqVapK44YNdXQh&#10;yXOx0TGqhh89fJRwRSTfUMNs5O46NXz8+AlVe5AuhIQaBJDUHKcQiRmTHUzmL40piCWTOYy69LpG&#10;oZBRnAFcftHaEfJKLngeREqsltfyXpf34L14T96bz4A7GfcwhMnkI5po0DSDz4o7ndhtIN7tNhcT&#10;pyjZjho9ToaPHPMCI0eN1e9LYw6vqxWf39zMBsPbITYuLvwI2HNB79m1W3p17yGVK1SUooUKSy63&#10;YKOoPvv4YyVfVNbrZv4aghOcO8Ybfv7JJxovhoxJmuNcjxoxUnZu3yE3rl9PuCKSb6hhrqPvv/9B&#10;Hj1+rISGEsYNPd6RMJnS4yZM0uxfVCPkTMIWSpJYMY9dv2GTbNy02anM7Zo9TD0toMkFJIbr1iPp&#10;5IDnQap0oyIxzHtd3oP34j157zVr12snKvpeL166XF3HuND5fCRTkVy2fMUqrefFzQ6YEsUmIzEB&#10;j3AEDHA/Q9i4qr0uUkbCBkPKwL0THRMbfgTsGXHedq3bSMG8+WyyUZgDtzWzmPPkyKkx4+2OiK47&#10;tfi2Fugf/Ve55l5r46YtsmDhYm21iFrEVUtyFq5blPDM2fM0MxhFyYCHqJUxsnJVrJYyoaBRjwDl&#10;iQKl4xb9iHFfvzkOqoJluADxWl7Le13eg/fiPXlvGopQlxvodz1HyZVSIQgZAibBisfzWGbnBp4X&#10;/UIRs7nwEq8oN+K7LVy8TNY4tQ/xs3mgq5QlXRkMvwf3BPcGG1U6sCXOvTh3/qLePwsWLgpfAj55&#10;4oRMHD9Bk6pyZM3mu3AbwgNe4laZEiVl9sxZ8pW7+L/55puEKyHlRonavXv3VW1CXNNnMkd4QSAZ&#10;K36Ddsza5YiUUh0GvUOsHogNQ9oMM+Bfjyj5mefGrV6n2dao5ZQAwk36ut578d7bduzUGC89nPmZ&#10;zwfhkzxGuRDJVyhxfmZsH//yN68FJZ+NNpOMKJzllL8XH06cjIbLnUUlnDLCDYa3xQ23/lA/zwaV&#10;HgKEg7hX9u7br/dXINFxrQwaMjR8CfiGOwDr18XLwP4DNIEHleS3eBtCHx+8+566oRvVbyAb4tcn&#10;XAFvbw8fPpIzbqe6wd0wKEhUIclX1LySyMRN5iUg8S//Z4fL7hZyg/AgaQiZGw9AjvRQxv2bEjAo&#10;ITomTklSiTbhdXkP3ov39FzcuKxZANh9/2aB8HbmiWLKEClxZGqdIWQWC0qM6AXNmEIUPi0niQfT&#10;bhJS3rRlq3ufM+656T/pyGDIKCRWt9zzSfMzdA1w9x6jORlWsmv3Hrcx3vyiugCPGZvZDp26hC8B&#10;P378WM65gzBvzlyNDdLi0GK+4Qli+/Vq15Gxo0bLkcOHE66AtzduMkiOciRuGNyzkA6JViRA8XfP&#10;/erdlNyIHplBgIzCg6QY8ADoKMVuOBC/TT5IpCKDmaQqyNJ7Xd6D9+I9eW8+A4sBi4KnUPmM/MwC&#10;wXfArQ1xMwsY1zK7cjK7mZWLAkalRznCX7xkuSr/qQnud1zSuKmXrVipU5Bo2pF4gTIYwhXcQ9xT&#10;3GMo2xfJjXtIbtyp3ig2x+RLcO9wjyxeskxzRAhZUdpHaIh7atDgIeFLwGSx4kKkZpQMaFyUlvUc&#10;fsCzQZwfT8emDRu1Fji17Ny5C+qCnTp9poKMZ244vxszFAD5snhAvhAvZLvILQS4l71YLzFudugs&#10;EnS9YvEAC9z/SdjCE0AiGslabEqWLIvSMY7eRsRgCGVwHScFG2sP167fVK8SlQWM54Rw2aySP0G5&#10;YqBHeqBN68jRYzVhMzCoJDCshHuNoSZUTkydNj18CZgEGjoc0Xxj6KDBUrFcecmayWb8hhO8bGg8&#10;HPPmzpXLly7JkydPEq6AlJuXfAVRoXqnOdKhIxQxVna9fjduMMPr50xrSRK3uPlj4wJJWF4cmt9p&#10;spj7O2MESfQis9qD50onw5rFZt6CxXpcAq7obTp2kPfwe3+DIVjhESwbU7q5keGPR4kwDjkRhGK4&#10;/rknuM65R9i4roqO1WRLnQzm1C0eIlqzakWE26hSdYD6pdqAfAk8adTQHzp0RD1XKOjo6JjwJWCM&#10;chJ6CS9ftly6du6isWC/hdwQmvjgnXfV/dy0UWPZvnWblp9RPvS2Bvl+++1zvQEhGXa1EBUuYG4c&#10;vxs5WMECAzGysLCBYAcOqOsNTC7aqar+nPteEDVAKb8MZ86e10UJ9zQdwsiUJlmLWBfv4fcZDIZg&#10;Bdc0YSPua/ImuOe9jSYbVKoJyP6n2oEcEPIfFAn9AKibR+16HiHuK/I0iPnu3X9AN+y8B+WMCEI8&#10;sz///IuuVXv37g1vAsboinT40CGZOX2GNm3ADW2x4PBA5s+/kAplysqX/QfI0SNHEs742xv1vw8f&#10;PVYXE65nVB5xUtxOxFb9buRgBbt7+leTDR23Zq0mgZDERbY0349kMhYfFiG/5ycFSoFYM4sUO/+J&#10;k6eqa55Ma5SD33MMhvQEhMemE0XLxhLvDImRgfyLY5r7oDFbyvm27VBlG6idj9fOcCjbRU7Bcn0T&#10;s0XR4vGBXBcsWvKinh51y3OYAobCRSkTD2bEKffU9Rs35N79+/L06TP58cefElaXXw2uDXsCZtrN&#10;o0ePZMf2HdKqRQt1WVosODxAm8q2rVprG8qLFy4knPG3N9QvPaG379ylLSi5Cck0ZjcLAfnd9MEK&#10;YlaQJa70ldExutiwyz97LpAdjeKFpFHKfs9PCh7HAodqhsxRwCgEsqUPHz3m+xyDIT0B+UK4bDyZ&#10;ZY0SJYRC+AXPDa5hCBVPEDkPk9w1zEaSVrPjJ06WceMnqaL1Ws9SPw8pr1kX79aBHVqPr5PRLl6W&#10;W+5++PrrB0qyrBvPn3+nbXB/+PFH5R4ULyEtP89cRBBwIJ73k5w9c0aGDRkiJYsVlyxOOfkt6IbQ&#10;AB4M4r/ly5SRcWPGyi5HlHfv3k04429v3Ei0oSQOCgET19niFCQ3XajEOSFKyJWMZ9SuzjdevUYX&#10;JMYNQqJ+z3tT4K5DSZOURQcwdUM7Yvd7rMGQUnCdslHkvsP7FGhkccERbKArHB4cNoPUsaNsqcnH&#10;G8M1r/X2awL17GQks2FEwZJkOGv2PA2h0KiG2C1ql6RDHkOOg6rbdev1dXa4DSyvraR76ZLccJ+J&#10;/gCPnzyR7777Xl3LhDuTaxFBwF5bwa9u3ZJlS5ZKh3btpVjhIr4LuyE0APnSTpRpSWtWr9ZZzt9/&#10;913CGX97I3ueXS0uJXbI1MCSfMFNjlvLb6EINqBq+awsGnx23Oi4yli8IOY3VbwvAwqDxC1NOKEF&#10;Z1S0xsj9HmswpBQQr9eClWs50NDigHp1IEdcwBDscnf9Qa4QKg1zUK7cu4m7uvEvv+d+5rHEd9mU&#10;khvBZps8BsIoKFtIlk34gwcP5dGjx/LkyVNt7sPawKyB16nbN7GIIGAODgfq5o0bsnJFlPTo2k1K&#10;FS/hu7AbQgOEED5+/wNp3KCBTrtC/SZ3+tGrjHjNs2ffuHvhoN6wuKpo3YgrK1SSsCBgPivqAALG&#10;jUac6vKV1HGho0BwO6McKL+gSQg9qf0ea4hssNnzQhdew4qAmg0ME6E1Y4BkAwNEcB3TqS1x9yhy&#10;GDZt3qLXsrZQRdEui9JYLbFZrx0sHhm8PdTcehnJeGhexG3dc1HG9E1HLZPtzGby8pVAbgeE+803&#10;3+oa8Le/vX1C56ssIggY98CzZ8/k1KlTMmP6dGnepKkUyp/fd2E3hAY8Aq5ZrbrMnjFTjrob9aG7&#10;cVLLAiVsP8tRR17spumDvCom1iniPeq+TbrABCM8AiZxDOVLHS8LWWrFsImH07gDVx6vTeYnsTG/&#10;xxoiG1yLkC+kGyjzCShZEpbwmuBpop6WASK4fiFKCJPritwF2p9ynWlfc7cZnuY2xWDGLM99vFjd&#10;x1yDxGnJQN62bYe+Lq5jkq/wBqFq2Qh8dfuO3L13T71cqNunT5/Kt99+K9+5TTzE6ynblLiVk2Nh&#10;ScC/TrL5XjOgr7idzcGDB2XF8uXSq2dPqVi+vI4j9FvYDaEBzwVdqlhx6dmtu46d3Ltnr3o5vFnA&#10;3ERva5AMO2tImNgQu3B2y36LTLCBRQ91gZogw5NEsk2bt+nv+FtKXdCekuF1o1ZF60KICqFMi57Z&#10;fs8xhA88MiWMkbj9ohefZdMHfo3TOlXrCJAJXrh4yT5mkAibQkIYXDfkEqBmVck61YqCpfoAlzEu&#10;ZDqwsQnGEwUJ8xjI2RsswmvgRua1GR+Kmr7kCJfPeefOXXUfI8SCzcKSgL2h6lcd8W52O6EZ06ZL&#10;967dpE7NmlK8SFEdX0cmtN/CbggNeElYmT/7XIoXLiL1atWW7l26ypSJk9w53yTXrl5NlYYcLCjs&#10;xqkBxIWLG5rFxG9hCjawUNIM/qTbRNBakkxPXHc0F2Gx5O9+z3sdWHhRE7jjaU7CIqllSG5RRdn4&#10;PccQPoBwA+R6Vt3FuIoDvcMPaByVMAdqdv2GzeruJeOYzSuKluuF2Cv3EsoVl7GOwnT/qrvYEbCO&#10;zVy6/EUi1FqnaCFXXpdMZlQz8WBInusQ8mda2U13Pd+5e1ceuA04bYjJSv4GVfvddxqv/VsK47Rp&#10;aWFBwJ7i5SA/f/5c7t+/L1fdArxh/XoZMWy41K9TV7Kb4g1r0JAjV7bsUq1SZXfOh8nGDRs05ED5&#10;2XN3E7L7TYlL6dr1626nvkkXDnbf7LhZbNhZp1RBphf4fCgUXOZkc9JqksUQt5xX+8vixWMgVQ98&#10;N8jZA/9PrHiI1+HWZpFl0YTYWWi97Gq/z2IITnCNeOfYO79XriZWtdTSOmXriE7VrQObLO19vJfe&#10;xwndoTZs1M0ppEmbRVqXombxjjDAAzA/m2uQch+uGU/dUmWAK5lEPkZjkrUM4e7ctVs9KrzfeXdd&#10;eaETXMY0ygkHC3kCZkHF1YjL8bK7SJgBvHjhIi03oj60SsVKOqideKHfwm0ID6CG6fUNCVcuX0Fa&#10;t2wpQwYNkrmzZ8uO7dvd7vim5gHgHUmOkQXJ4AOUIwRMPGrr9p3q4kqtWGpa4aYDi+tl9zlJNsFV&#10;xwKJouf74AJkASVuSyIKpIq6x23ouRGBJsc4FY0LEZKlJR+xX5QKbkHchWSj8jgWbb/PYghOQLgQ&#10;K6EWzj/XusZk9wRmTqM6GZ3H9C7OOYoUkkTRMkyAawCiJbwxZ15gLraXFc/fIWMGmZBtzLWHq5iN&#10;G9cd7mKuPWLBeGVQ1FxvuI6vXrvmNge39P77+uuvdSP95OlTVbRkILOZDgcLaQKGfDkRBM/JgsX1&#10;OHb0GB28QIwXVWQdryITEHLeXLmkWuXKMmbUKNm7Z48OacAdlRwlTOzo8uUrstUtRCR/kBHNDn2/&#10;UwC44YJdBQNmkzIajYEJKFWvPIOyJNyClHHQoICOQCy6JK2wGHtgUd6zb7/G7ehpy2hCno+imTx1&#10;uluEl2iPWxQUhO/3GQwZB67RgNL9daiAp3i5ho8eO6EbNO0RnjDFR5OgHHlCplwvNKUIDBcIDBQI&#10;jKQMjKX0gLrlsXhFGPCxclWsZixDtnhdyJCH6Hnve/e/1nuLGtrkborDyUKWgFlE2QndczukrVu2&#10;yKQJEzUGWKt6DSlcoKCqIRZhmwEcmWDj9fnHn0ienDmlZrVq2gd82tSpsmXTZu2YxabtTeyHH35U&#10;l9dRpxDZ7UM8xLBWr12nxIQKZkHxW/iCBSy+xII9EkatstCykcA1jbuP37FYUp5Bwhb/94ACWhu/&#10;XhU0xwB3IYstxwJlQ2IaCoaFPRQ2JJECHQrvrk3cyPTv5hzh0oVs2WyxmcJtzHld5hQtqlXVrCNd&#10;jcW6/5NZzL+UmeFWRs2SMMX1410nvFaAYA9qeIbKAdzGZ86c03pa4rOB7ONbch/idUqWUCH3Ft7L&#10;lNbQhoOFLAFz4gi0nzp5UoYOHqLj6Ohu5fV5NuI1cA14yVrMgmYa1pcDBsq6tWvdxu3NumahlAFE&#10;uyo6TmNWxLBQj7jnUBDB7ooGngpC9eAmRomg4hm4z/dgMcW9CKGyyHojCAHxb0BdJcTrKR49Btu2&#10;h4Q7PhLBxpBzTUiBcw1R4u2AbAkbeEqWYQLeyDzOK2qXzRXql/aLXBdszOgEh6eDMAXnm+uJDOPH&#10;j59o0itKVuHEEQLJAwSbGN499aZeqHC2kFbAxH1JtpoyabJUcotrruzZzeVs+B3+8sd/040Z3pHp&#10;U6fJ/n37NKaUHKNekN09sVPqEUkcIaGJeBbdscgqhtz8FsJgAosmCzOfF0VMFmvAzUwW6/4XIwdV&#10;IblFl01HQPUy43S6JtPw3VFF2vv5yFFd5IPdCxDO4NhDiMRP2VjReAU1SjhhI7W16wLei0DTikBy&#10;FPFaNlScW802dtc1JUEMHOHcQ7S0FT127IScOnVaa3fJOEbNkmlMC0Ya1eBJgnzTumFFuFrIEjC7&#10;J3ZTLKTU9zJkoXiRIrrY+i3ChsiF17SDawT1y6aNWHByjOlI9H4lWYmFjIH0EFKgveMmLYtggQoV&#10;F2ziOCAIZL9eU9Api+/CAox7mkWbeC/qiDggna/YeBA79L5zqHzvcAPHnQ0Qnhg2Q5Du2nUbVLmS&#10;EIWSxWuBquWaxYNDyQ/xXdzPPB7XNOfx1q3butGEWJ+7+wOBQ5gPVzEkS5WJN07vV4UbULVmKbOQ&#10;JWDPuEgYNTh/3jzp2L69FMqXXzJ9+pkRsUG9IZBvkYKFpHHDhk79TpWTJ0/qpi25RfnM74S0qTXc&#10;vXuvrIhapfWL9JddvHS5unCpi/UygUMtGYnPy+emjIgGG3wXNha0l2TBHuPId4pbvFG+xA5Z7Mme&#10;DQXVH8rw1C0eCy8jnV7FeC3YIBHP1VIgtyEiw5h+3IQLyNZnc8i5I0OZZDtit5w7kulQyF49OJnG&#10;uJGZ4kN5jxFq+lnIEzC7MMpLbty4IYsXLZKWzZpps43333nXd1E2RAaI/xL3Rfm2btFSVkZFyfHj&#10;xzVvICWJH3hcuNZIHvnKLYwo4Si32KEsIGG69qyKjtXSCjr/hBoxoYApNSLbmVZ+uCbZYDCOTTNg&#10;HQHzO1pZUkOMYoIcTPmmLSBf3L+QJUl/hAhIfCIUQqweVzJJcVx/k6dMTxifN1ObXFAGFB2zWrOb&#10;uV7J5r99+44OhveaVCBgkg4VsNhs+lnIE7BnBP8ZyD5n9mxp16aN5M+TVz75MJAJ7bdAG8ITXuIV&#10;JWiF8heQOjVraSe0c+fOqfJloXkb4zpDCdNLdo8jWxJaaI2HixbVwYJHDI04HG5BiC2YSAqly+YA&#10;tRuIGZ7V+l4UEdnMTIYhy5vyomEjRkmv3v1k8JDhMn78JFm1KkaVVygq/GCA56r3XP+essWTwNB4&#10;iJZaWMIZuPfJLUDhsukhFKDD4t0mDzVLGIBcBOqw2SjNcYQ7f+FiJV0GyuORwb1M1jPXIXFb4rXB&#10;2I4xki1sCJhdG+qGvs8L5s2TRg0a6MCFD63lZETBU75kxLMRIz/giNuY0ZaSnf7bute4zjwSRk2w&#10;WJKsRJOOaTMCI9CYvIJCoTSDoffBpBTZEKBeUVSo3Q2bNutUGUgXlyXfgWkyUxwB9+7TXxo1biq9&#10;evWRSZOmyJo165QgTPmmDB75ejFbPCUoU+qutavUzl2ycTPj9dZrYhS9jr1kKZLgIFvULX2ROUeB&#10;LOUoTZ5iXu2hQ0e09OeKe32uzfvawOKxPPvmG43lpsTzY5a2FjYEnNgOHTwo48aOVRKmMxILsmVH&#10;Rwbe/8s7ki9Xbs14njVzpiZcsTHDvZaaxkLG1BRiZ5AZdcHE3rzFkektKBEWVkgalQP5paVyZIGn&#10;9pNFnveiAxZtBM9fuPRCXdG3N7HaXbx0mbowie/SNpDFngQdFvaePXtL6VJlpG3bdjJx4kRHDEbA&#10;HjwyTZzABrGiaNng0LoRDwMbMB1IcDphIIHX2MRdF4mVrXaYWhWtHaZIemMzhBdCBxG480ITGK4p&#10;b2g8jTLY+O10KpeYPaR77949HaOXGhtNs/SxsCRghrMz/WjShAlStVJlyfpFJl2Y/RZsQ3ghs1O+&#10;bVq1lkULFjpFcEgHaJPBmdpxLS8m/KNb7B4+fOQW4uuaFMNiygIJoaGKIWUGIeBKpESERdpvQU8N&#10;QO5XHSFAAKcSyJZkKpJ0SKhClTM0gVguyooJTygrXOcQLgs6CWYnT56W0+6zDvpykGT5IrPUq1NX&#10;Ro0cJatWrZLDR468iP/6fYZIAcTLpoqkKDYl3ng9WisylIAyHlqWbti4Rds4UgZEQpsOJHDXR+Ix&#10;e2yAAiMvZ2vCFG5kspghWTKVN7hzt8OpY4ibBCzUcyAMEJj0w/QvMpeJ5zJCk+vS4rihYWFJwLha&#10;cBFu37ZdevfoKeXLlFGXJJnR1qAjPOH1gi5doqRMnzZNlW9qTEN6U2PBY74oagQiIz5HchYlIGSi&#10;0kd35+49+ncWbkiMRRTlhILywMIOuXnwFFZiBNRWEsXlXlPnrDq1fejIMdnlCGDTlq3a7Yp6ZQh3&#10;0pRpMnrMeBk8dLgMHzlGy1JI1iGuiBo76UjkllN2xArZuIwcPlzvmQrlysmAAQNk3vwF2owBooF0&#10;UHj+uKQKkM/2KvD5UelJj0F64lflGjiWSeEdW75T4u+IVwNCpHYast2+41c1C2lGx8ZpUxPGNOJV&#10;8BKkuB6ADiRw5wOVS101rmU2Q0wBilsd6JdMQh8uas4rnaRwJ1MORwjELDwsLAkY9wskfP3aNe0P&#10;PXL4CO2C9OmHH2lZit8CbghtMJaQ4fxDnGrb5kiCAdso3/Q0aieJu6FQWJRpboArERci4wxRw8Rb&#10;WaRZYJn2gloiUYaEG4A7G1XFooti9sa9eX8HgZjhftmxa49s3bZTs2JpthATu0ZfH8LlvTRRxy3+&#10;vP+ESVOUfPv1/1I6dOwiI0aM1uHlLPJnHJlSXvX1gwcvEnUSE3CxIkWlTZu2MnTYcE32QZ3xPrjY&#10;E4MyF74zBEL7SjpskZDmBwifjF48A3yfxN8vvQCB0iHKm+qT9DPy+YmRs6FiI8P3874rMVodSOAI&#10;k2MdGLH328HxxGj5G6VbC0iQco+lfA1PBG0/yU7mfUnmI3574sQpPe9kK193Gy+y7ak9J3mQ8xGI&#10;4/5i7uUwsrAkYM90IXn2jWzZvEVaNmuurmiGuPst4IbQBlnv/Xr3kfi161T9ZqRBxHfdwnmYUiVH&#10;VLgXUT00saCTFMqYhvW4fYn9kbHqAWKCkBhcTpyQxBwW6sSPod6TDlUQIYu7lgu514dgR4waK8Md&#10;uQ5LgiHDRsigwcOkU6euUr9BIxk+fKTschsAFnlcl0ktMQHny5tP6tStL506d3MkPFIbcvBeL1oZ&#10;JoDm/Hw/vivud9ysgT7CvwduVtzhkBku+sTfL70AsRK718zipSt+9xn5/IENzMzABsZ9v8TfVRuT&#10;JDQnCZzbwPn1jgHeBb4jxO1NAeKcEgdGRePh8Gpw03uzaBYcFtYE/OTxYzl/7pwsmDdfalSpqkP4&#10;rSwpPJEzW3Zp07KVzJszR06fPp1wBWSMEYf79vlzjc+hZlG5xPFQnPRWJs7H4szijmsYpUp7QIBi&#10;wnXJwu2NfENdeX8H3vNJzCHWPM4t+MNHjFLXMiVDg4cMc2Q7VL4cNEQGfjlIBgz4UjOZu3btrkq2&#10;caPGMmTwEFmzZo2cPXtW6+iTWlIFTCLWqNFj9bN503LYQCSG93khL+KcfBf+H8CvvaW1v/Rir/F/&#10;YHxd4u+XXuC9vePPZ/7dZ3QgXv5iEEGi78q5xNVMBjJqFi/Eth071fOBW5pYMESLqx5VC+GSKIWn&#10;AdJlaDy1uN9++1yVrbmVI9PCmoBv3bolW536ZVhDscJFfBduQ3iAGD+ZzwzjP+gWv4w2cmCIC+Mu&#10;xK1LD93Dh4+oCqJbEQRKgwtUFKo1OaB5PsprpCPE4SNHK+H2cyTbt98A6d9/oCPcgdLf/dyvbz/p&#10;3au39OjeXTq0ay/NmzaTZk2bKgYOGCCLFi7Ue/2RI4OklpiAy5cpK3379JUli5do/BfXuA5kd2ST&#10;GLt27wmMtHOkhOqDsEg6Ql0GwHzYACA1ssVTegxSE3gkIOHEn4/Pzedno8F3Ib7L9/O+Ky5sNlfE&#10;ia9euyG379zRKT8oWa/cJym4HvxgFrkWlgTMTUACzq6duzT+W7dWbcmeOYvvwm0ID+DdKJA3nzSo&#10;W1cmT5ok+/bu1Q1YMBihENyMX331lVy8dEkzZsmYTjz4gLjw0uUrZPyESdKte0+twaUsCPcoCitx&#10;XJKGGHPmzHWPnejId6h7bF/p0qWrdOvWXYl3mFPCY8eMlQnjJ8hwtyGBiDt16ChNGzeRli1aSLu2&#10;bWXokCHaOY7BFGTRJrXEBEz+xEBH6jHRMRqfJC7JaDkyvxODpCaGqZ9LiF+TcEZDiQB+nS8MIHLm&#10;wyY+BhmFAKEe+d1n5PNzrvguFy5e1E2U913JhCbe//DRYx1MQPkP647XTcrM7E0sLAmYBBzigLie&#10;q1epqgk6VoYU3vD6PmfLRNlMHRnhyIMh/MFgqBwWZpQRZMxCjdvxu++/FwaSk7F/3S3q+x0hzZgx&#10;U5o0birt2nWQ5Y6QmURDFyMeAyDGEydOKBky3xgl26VTZyXW9m3bKdlCvvPmzpWlS5bIlMlT1N3c&#10;pXNnadKokbRp3Vq6de0qo0eNcop28RsRcKXyFWTIoMGyYf16efDggbpL9bskxV/BX7UOlRppvufL&#10;QIN/MnoTH4OMgjd0wO9zKtz3oUeyfr+E78r35zhwXj3SNUVrllwLGwLmwudmIZ5F/Sfki9uNpgzW&#10;iCNyQAtKZkPXrV1bJk+cKEcOH1blGewxtvv378uxY8dk6pSpUrVyFWnUsJFErYjSjWTiGC2L/fnz&#10;52XN6tVabjWgf38l38oVK0qLZs3c76bLxo0bdfNBQ5rt27YpWffr00fKliot9evVk65dusiY0aOV&#10;oN+EgCsnEPCmDRu1qYmZmVnqWFgRMG5nFiz6QRMPzJMzl7aihHyt/jcyoH2g331PlXCDuvVk5IgR&#10;snPHDlU4wWweAY8fN06HiVSrUlWWL1umQ0aIIXvmR8D16taV3NlzSMN69WWTI1/KVvACQaLcEzdv&#10;3pThQ4fJF598KuXKlJFOHTsaAZuZBYGFPAFDvLi8UAmHndphUenQtp3kyJLVlG8Eg2z3AnnzSu0a&#10;NWSSU8IM6rh79666SIPRIODjjoDHOmIsmC+/un2XLV2q5Pk6Aq5do6Z88eln6non9p3UmOA0euQo&#10;ddGXKFpMOnboYARsZhYEFvIEjGuRReHSpUsyc8YMqV2zpi5g1Pua8o1ccN4ZRUjtd8P69ZVwtm3d&#10;qsowGM0I2Mws8ixkCRjlC/myUDDnlXmvbVu3ls8//kSVb+oRrxF4qCNf7jxSp1YtmTJ5spw9E6h7&#10;JYkmmMwI2Mws8ixkCRjyZWFh/OCcWbOkQb16UqRgwTRwO1vjjlAHPaJzZssmbVu11rjqyRMnfZtP&#10;ZKQZAZuZRZ6FLAGjYEgwOXXylAwa+KUmoXzm1C8LRqq6nf/VWleGOogHU4ZWs1o1mTh+guzcsVMe&#10;PniQcCUFh6UGAVerXEVioqM1cevG9eta2gTodtW3V289DkbAZmbBYyGtgFmYrl65KvPnzpNmTZpK&#10;Sbe40JCBnX6qkfAfPvP/vSFk8Pknn0iBPHmlkyOelVErtVVlOCpgNqHNGjeRvr17S68ePaRH126K&#10;zh076pQoPENGwGZmwWMhS8AUvlP3e//efU2umTRhog5cyJ87jzbeIAmLHf9bE/G/ZfP/vSFoAdFA&#10;HO+/8658/MGHUqxQYalfp46MHztW9jnCuX37dtCVJaUGAfOdKcGi9O6dhE1oYnBsjIDNzILHQpaA&#10;vSQs4lvXrl3T/r9xMbEybcpU6dW9h9SuWUsK5S+gijjpAp0svJfT//eGoASEwdjJPDlyai14z+7d&#10;3eZsgqxauVIOuOua9pSQC9dOMFlqEDAbTjYcn378if770fsfKCBkvEIcHyNgM7PgsZAl4KTmdcJi&#10;4SDGN2bUaKd66qoaTrpIJwsf5/X/vSEoQRJermzZlTRGjxypBENMlJwBrpFgtdQg4Hfdd4d8M3+R&#10;6TfI9PkXSsIcHyNgM7PgsbAhYAxVQ1OOa1evya6dO2XRwkW6cLRu2VKqVKwk+fPkUXWUdNF+JYyA&#10;gxqoPsINObNmkwply2kYgqH8tCLd5TZiNx35Uvsb7A3yU8sFjdvdU76mgM3MgtvCioBROAC1Q4zv&#10;66+/1gYdNJEfNnSo9gcmUSXpIv5KGAEHNchuZhRhRUe+A/r2k1VRK+XUyZNKIFwDbMpCYTpNahAw&#10;x0PjvTSgSQqLAZuZBZ2FFQEnNdoOspBcvnxZNm/aJNOmTJF2bdpI6eIltENS4oX8pTACDkp4yrd4&#10;4SLSsV07mTppssSvWyenT532JZRgt1RRwBwTp3Y/+fDj3+KDj+S9PwemgRkBm5kFj4U1AaN8UEAo&#10;IWqGz587J1HLV2hNZJmSpX63qPvCCDgoAfmifFs1byEb12+QO7dvy+NHj3W8XLB1uXoTSw0CZhJU&#10;1kxZJU+uPL9B7hy55dOPPlEVbARsZhY8FtYEnNTu3bunmdK9e/TUuki/hf13eD+X/+8NGQpcz0z3&#10;adOylY7eY6ZrsGU2J8dSg4DJfM6XJ5+UKFbyNyhWpLhk+SKzEbCZWZBZRBEwCTmzZszQmtB8uXP7&#10;Luy/w5+z+//ekKGg1pfEonq16ygZMekIEg5VSw0CphNc0SLFpFKlqr9B+fKVJGe2HEbAZmZBZhFB&#10;wOqGdovzyRMnZNDAgVKscGHJ9Nkbdrj64xf+vzcEBSqULatExLjBUIz9epYaBPz5J59JyRKlpHr1&#10;Wr9BlSrVJXfO3EbAZmZBZhFBwMQFv7p1SzbEx2vMkIlJuDD9FvTf4V8/9P+9IShAs5VuXbrIiuXL&#10;5eqVKwlnPPTMCNjMLPIsIgiYBebggQMyfepUqVyhou9C/nIE6icNwYlsmTJL1cqVZdiQIXLk8OGQ&#10;KTtKaqnlgi5WtLhUrlxNqgBHvFUdKlWqIrly5DICNjMLMosIAkYZLVqwQNq3aSOF3OLmt5C/HKk5&#10;2tCQ2vCacDRv0kTWx8frkAWasYSapVYSVl6SsEqUlFIlS0uZ0mWlbJnyUtb9m90dIyNgM7PgsrAm&#10;YJpyoIaOuYVtQN++UrJYMcnkFiq/hdwQ2ihVvITMmztXx+8F26SjN7HUIGC6vBUqWEjKlS0v5cuV&#10;lwrlKzoFXFWqVakmecwFbWYWdBbWBEw9KMMamJbUsnlzbb7xwbvv+i7ghtAGU7D69OqlxHQlBGPB&#10;qUHAxQoXkcGDBsmCBQtl8uQpMm7seLcpmSdLFi+Rpo0aK5kaAZuZBY+FNQFTlkLtL5Nwkh/7NYQS&#10;Mn/+uQ7cJxZ84MCBhCsgdCw1CLhenTqyb+9eTTq8ePGSHDt2XF+XTejokaO0bMsI2MwseCysCZjM&#10;Z9QvizKlR34LtyE8wNhJVHDTRo1kdVyckg6tSEPFUpOA+d6Q6p07d/Q4GAGbmQWnhTUBU/fLLNhG&#10;9etLjqw2WD+cQXyT/tCUJc2cPkM9HxBPqFhqErCX+8Bj//73fzcCNjMLUgtLAmbxIf67c8cO6da5&#10;i5R0i85nH3/su3Abwgs5s2WXoYMDJUkowFCx1CTgpGYEbGYWnBaWBAz5EgdbHRsntarXcIvTpzqo&#10;3W/BNoQXSLTr3KGjRK9cJefOnUu4IoLfjIDNzCLPwpKAacbw448/6vdgEWnTqpU0adhI+wbXql5d&#10;h/MzDalIwUKSL1duyZ4lq5I0cUSImj7Dfou7IePw8fsfSObPPteaX2K9RQsV1oEalcqVlxpVq+m5&#10;5Rx37dRZZs+cKbt27pIbN24kXBHBb0bAZmaRYR4/3b59WxYsWBB+BEwMjIWKxYKB/Lgjd2zfIevW&#10;rpOVK6Jk7uw5urjgnm7epKlUr1pVFybcl5999LHGEv1IwJC+IK7LhugTGkzkzOU2TSUd2dTQdqI9&#10;u3WX4UOHybQpU5VImAW8d89eOXP6tNy4fkMePXwUUsMZjIDNzCLDWJcePHigCcJtWrcOPwJOamSF&#10;Pn36VCfm0BXrxIkTsnXLFu0fzHSk0SNHSr8+faR927bSoG49qVC2nKqsj5zq8iMGQ9qCRZ8OV7SZ&#10;LFuqtFO2DaWTI42BjmzGjRkrc9wGalXUStmyabMcOnhQLly4YNOQjIDNzILWyEv69ptvdZ06cfy4&#10;bNy4UUaOGCFFCxcJfwLmy0PCLNAsZiwid+/ckWvXrslFt3ifdqrp2NGjcsB9b5QUHZW6du6sJOxH&#10;EIa0BYPlc+fIoXW9E8aNkz27d2svbwjqzJkzcuniJe14def2HXnodpJ0vvrhhx8ifh6wEbCZWXAa&#10;/HPxwkXZuGGDjB87Tlo0bSblypRRkRf2BJwcu3/vnqoqFn4WKz+CMKQtiPcWKVhQ2rZq5VTupoQz&#10;E95mBGxmFj7mlQJCvNwzdOcjKZgKjXp16ibkHX0m7/7lHSPgxIYqXrtmjbqkkz+4wZAaIBmuQJ68&#10;OmCBHWMkmBGwmVn4mEe+3Nfbt22TqZMnS8f2HaRc6TKa/JsrR04pVqSYFCoUAS7o5Nj5c+dl0YKF&#10;0qFtO0388SMIQ9oCF3SubNmlvtsprlu7NuHMhLcZAZuZhb55PSi4ZwlzHjx4UMaNGSM1q1eXAnnz&#10;ynt/fkeyZs4iRRzx1q5dV2rVrmcEnNiMgDMeZKGT+Vze7RajV65MODPhbUbAZmahb9xrN2/c1LyV&#10;2bNmSfdu3aRGtWqSP09eKeDu64IFCkmlilWkceNm0rFTF2nUpJkRcGKjecOC+cwObit5jIAzFFy0&#10;SxYt1nhKuJsRsJlZ6JpX+nr3zl3Zt2evTJk0WctbP/7gA3nvL3+R9//yrhRy5FunTn1p376TDPxy&#10;iAwdNlJatm5rBJzYjh45ootVnZq1tAzGjxgM6YO8uXLLnNmzlYCIp4SzGQGbmYWecT+yNn311Vdy&#10;6OAhvWcH9h8gDerVkyKFCknWLFmkYP4CUrZMOalfv6FTvV2ld5/+MmToCBk2fJS0atPOCDix4Tro&#10;0bWrlCpeXD7/+BNfYjCkD/LkyKnJC9TOJSahcDQjYDOz0DPIl/uLMkmaAtEkiO6KVHJk+uxzye/u&#10;5dq160jnLt2kT7+BMtSR7rARo2X4yDEKI+AktnvXLq0BLlG0qHbF8iMGQ/qARKyxo8doN7NHjx6F&#10;tSvaCNjMLDSMdYi+A0+ePFGPKd0V6crXtFFjKVu6jOTJmVtyOxIuU6qM1KlTT9q17yj9Bnwpg4YM&#10;f0G8RsAvMSPg4AEjJIcNHqLEhAo2AjYCNjPLaOMe5J5BGMyeOUvq1qotRQoU1F71WTNl0VhvlcpV&#10;pXXrdtKn7wAZOGjo75SvEfBLbMvmzdKscWPJnT2HtkP0IwZD+iBb5izSv09f2Z0wWMEI2AjYzCyj&#10;zKvrPXvmjMSvi5dpU6dK6xYtJV/uPDpHIHfOXFK8WAmpWbO2tGrVVnr16aeJVn7E68EIOImxsFUs&#10;V05rUVl8/IjBkD5gtGD3Ll21PSjtJ42AjYDNzDLKvnX3xIEDB3SYD001ihYsJLlz5NR7r5D7GeJt&#10;2aqNdOveS/oPHCSDSbR6BfkCI+AkFhMdre5njwRYgOjMREJWJnegs3z+hY7EI9BOtyYWy2I6Gq+E&#10;/p/ge2ISiXRQ0/uZO3YcM45VSUcAhQsU1F0jXgZasnFMv/jkU/nkww/V6+CNhMSl075tO1mxbLmc&#10;OX3GCNiZEbCZWfqY182KQT50SNyzZ48mWrVt1VrH2dLHOWvmrFIgfwGpVq2GtOvQSfr0G6DE60e2&#10;fjACTmJJCfiDd9/VbFyyosuXKSNVKlWSRg0aSId27aVr5y7Sq0dP7e85ZdIkHW+YL3fu3xBQpIOG&#10;GiWLFZPGDRpKb3esxo4aLQP69pNObgdJQ/L6jjSqVq6sF3ThAgU08YrNDiQMKfOYObNm67AMI2Aj&#10;YDOz9DKPfNn8L160WNf6WtVraH+CvE5A5HGoUKGSNG3WXDp17ir9+gcSrYaNGOVLtn4wAk5izGhs&#10;1aKFKlrA8P6WzZpJz+7dtT/04C+/lMkTJ8nihYtUmcVEx+hoQ7Lh5s2Z40i6rKo+G+ofAG7kRvUb&#10;yKiRIyVqxQqd2Ru/dp022Jg5fYaMHzvWLe6DpHfPntKxXTtp1riJ1mBDQNWrVJUB/fpL1PIVpoAT&#10;zAjYzCxtjVaS3333ndb2HnHrOvcJLucSRYtLzmw55HMnDAoWKCiVK1eRFi1bS9/+A53qhXhf7W72&#10;gxFwEuOg79i2XVbHxSmIP9JMm4WNcYWHDx2SkydPyoXzF+TypUs6X/irW7fk66+/1r7F9C8mexoF&#10;50dIkQbaefbp1UuPJSqWbGZGCTIGElJlNibHFCLYtXOnboAYwMCxXB8fr/V1HOfHVoakZgRsZpa2&#10;RnkRowPXrl4jg504qF+vnhQtXFjDZRBv4qYaJFqheslyHj7SCDhDjcWsXes26kYlbuxHSJEG4r0T&#10;xo2XU27T8sBtUsz8zQjYzCxjjI098d6ffvpJ77VzZ88q+Q4a+KWULllSPvnoI/n4gw8lyxeZpVy5&#10;CtK8RWvp0bOPL6EmF0bAqWi4K/r27q2LHPFLP0KKNJCgNnP6dPUUEE8x8zcjYDOz9DfI95dffpEf&#10;f/xRKy22bN4iUydP0VkAlStU1FgvowNLlSwltWrW0fKiHr36yoAvh/gSanJhBJyKhsoj1kkT7uxZ&#10;svgSUqSBrOeFCxYowRBXMfM3I2Azs/Q1yJf7ifvj4YMHstFd30OHDHlxP33w7nuqeksULyHNmreU&#10;vglJVn5EmlIYAaeiXXALI4lFzZo01UECfoQUKSAJjQW/QtlyEr1ylV7kZBWa+ZsRsJlZ+hn3EffV&#10;nTt3NPeESguynEn8LF6kmOTOmVsKFyysHa2aNm2htb1fDh4mQ4aN9CXSlMIIOBXt2tWrmhlNeRKx&#10;Tz9iihSwcFPTywW9Yf36sE6gSg0zAjYzSz9DDNy7d0+OuXuOSoxK5cpruen7f3lHMn+RSYo6EqaP&#10;c9euPWSQI146WvkR6NvCCDgVjQzqDes3yJAvB0nJYsV9iSkp9IQzNSNPXilbqrSUc6B0x++x6Q0S&#10;yejHTH1u6RIldfHms7GQv67MCvLNkSWrlhWRRW72ajMCNjNLeyPWe+/uPTl54oSsilopw4cO1R4F&#10;NAbKnyefFMhXQMqXqyANGjaWDh076xCFl/VxTg0YAaeiUYrEgjZ5wkSpUKasLzElBU0nihcuIg3q&#10;1pO+vXpLvz59lez8HpveYB5ypfLlpXnTQB105w4dpXTxEkrMLOZ+z/FAKVaxwoWlW+fOvqRg9lsz&#10;AjYzS3sjEZSeDfRxoGIlf548Wl702SefSnEnmurVbyjt2neSvv0Gyq/lRf7kmRowAk5Fe/rkqaaw&#10;L1qwQKpVquxLTLSqJEGrmCPdapWrSNtWrWTo4MEyZ9YsWRO3WptVtHG/4zFv09aSxdZr6/inf/2D&#10;72Neh+JFimqDjFkzZ8qqlStlxfLlblEeoRcuHWHYOGTPnEXfg4U68ftA3jWqVpMRw4Zp/a/Zq80I&#10;2CwSLXEW8jfPnskjdy0CkqJuuWv/woULmlsDzpz5bd8AZrd72O2wa9cuHaazbt06vT/iYmMlLua3&#10;WLxokYweMVI7GZKfwvSifE75FnfCok6d+tKxc1ed25vasd6XwQg4FY0s39u3b8tqR6R1atb8DZl5&#10;yJU9h7az7N61q8x2pLtp40Y5c/q0uq9R0BD4hHHjtAMXj/V7jTcB5A0JfvrhR7qI+j3mdWBhZ0PA&#10;hX/r1i1NWOBG4IKfM3u29OjaTVP1eY+kRE8DDiaF8Lhz584lHCGzl5kRsFkkGtcz5Mt1RQ4NlSQA&#10;ot28aZN2zFvk1CpACLA2kqlMc59uXbpovg3o4tCpY0dp3KiRrq/ly5ZVb10pp2oTA+FDuI8+9Llz&#10;5JL8efNL1arVpXWb9tKtRy8Z+OUQJd+0cjknhRFwKhqB/WduF0fMk7jCe3/5i7Yty5U9uy58JCR1&#10;bN9eS5VWRkVp3fBtR7wMd/aMwfN03+rfr5/u0BIT4ssA8RGTJZ5MExD6KtPOsU3LVlLFESRxW6Y7&#10;vWl7TMib4QlsEuhExXeiPZtXrM7NwmdnEDUKt3mTpqrmUcy8P4TMz2QVEme5cuVKwrcze5kZAZuF&#10;uqFkESF0kkLBEmtFWNy4fl1n5zLG79SpU3LixAlVsWzkWSsRIatj42TRgoUyw13TYNqUKTL4y0Ha&#10;Mx61Clo2b66hulrVq2v/+MoVK0olt75VTED58uWlcKFCks2tXVmc+Mj8eSaHL5Igk2Rx62EOt04V&#10;c/dC1SrVdIIRJUZkOacX8XowAk5Fg6AgKi4u1B/Tkxji0KRhI13McIkw8B9FycLKYvb999/rouoZ&#10;/7908aK6UehJ7UeQSQGxokCZKsR7TRo/QbOxd2zfLmNGjZKKuFrcRfem7THz586jF/qMadPlyuXL&#10;L8g3cccYPvvNGzc1mYH3WTh/gd4wvH+h/AWU+Bmmv35dvHvcjYRvZ/YyMwI2C3WDfHEbQ7Js3CFX&#10;+r6zUcfbx7VN0tOXAwdK506dtEd8zWrVVZjg8SNvpkzJkgryYBj3x9Q5SjoBqpXEzjw5c0lRt8Ev&#10;Xaq0lHqBUtosA1cyGcylSpbWZKoK5Sv+BhUrVJLKlapIjRq1pFmzltK5Szcdms8Eo7SO9/rBCDgN&#10;DAIdNWKE1KtdR5OXpk6erCTFIstiCIm9zNhFsvjxGgwpgMSJ5frFcT3lS1IUoxBZiCc68j24/4Bc&#10;vXJVX4dBEf1695Ea7iInzf6j99/XYRFJX8t7PRZcbgYW3y2bNvsuzokN1c+Nh2uaHs5TJ03WXSux&#10;Y3a09M++f+9+wqPNXmZGwGbBZF5sls029zdeMLxzXKdf3fpK3cX0aCdGe/bsWTntSJdriZ7vC+bN&#10;VwXLNfflgIEaqmrlBEnd2rWlerVqjgArSdHCRVSJfvLhR/Lphx/Lpx9/ot7CLz79XDJ9Br7QvxOj&#10;zZYZZH0BYrZlSpeVym5NS4wqTs1Wq15TatasIw0aNJbmLVpJi5ZtfoOWrdpK67ZOUXfsIr379pch&#10;GUS8HoyA08CeuEXq4IGDOlAAN8vp06c1NoyrGTX5qppY/gapEQ+eN3eudtVixKEfaXrKN2+uXNKp&#10;Q0fN7OMm4Cb55tk3+jo3nPqk0JxNQJNGjbSkCBdx0tcCvAeuauZdUk511d1kKPJXGZsJbtSnT57o&#10;7vf0qdPuO+9RIuCmhECeJyIQM38zAjYLJmOd4rpj83z50mU5dvSY7NyxU9auWaud7ejvPsyp2X59&#10;+0q3Ll2lXZs2WnJYt5Yj2SpV9PotV7pMIO5aqLDGXosVKSIlihd/oVZLFC+pQK2WLVtOKlWqrHN1&#10;a7jrmeH29eo1kMaNmkiTJs20GUazZgHgMm7foZN06tztd+jctbt06dZDuvfsrYMSevfp/1s40mVm&#10;L+VF1PcOS8MSozeBEXAaGIskiQWQFxdySoznktE3aOBAja9CjJ4K5l+A8iXmykXPTcHQ6KT9lnl/&#10;drC4xSdOmCBNGzfWBR5VnZjUeT2IOad7vWFDhmjvZr7Dq9T6q4xjwIaD7wFBm73ajIDN0tq8EJKn&#10;bLk/uTY4108eP5EHDx44wr2nyZZsvpn6hoDgWlvoVC2kyyxv1GxVtyaVKlFC8ufLJ9myZFEl++G7&#10;77s16QMdVP/x+x/qAAN+/5lTt9mzZtMa22KOkCFbEp/q1m0gDRs1lSZNm+tYPwbaQ54kQ/Xo1UdJ&#10;cnA6lAJlJIyA08A8940XO02J8Vzir7iQu3ftps06WEAhSk/5Fsqf3ynfDjJ/3jw5cviwki+kmdh4&#10;f17r3t27mji1eOFC6diuvQ7Jx9XjETCvWaRAQY3hoqS5EfkOr1LrrzLvRn+bYxBJZgRsltbGtcOG&#10;GFcy+RtUXBw6eEhjtbExMbqOTJo4UYYPHaazz7t27qzesKaNGusmv6pTqDQKoslQEadqCxcsJIUK&#10;FpTC7mfiriVLlFRyrVCholSqWFmqVKn6Qsk2ckqWfsqo1zZtO6gLuEtXR7bde6la7dm7b4IyHST9&#10;Bw7WbGSvDjcjFWpawwg4SA3iY5dK7GX61KlSIG8+zU5mQUQNQ57EmJcvXabKl8e9iRG7mT93rrRu&#10;2VKKuJsHFcxrsjizkI8fO05d1okXfbO0t7ci4Jo19XpgFvXePXt+s2niZ54PAbNpY/E0Ag5P41xz&#10;fXgbX0JQbMg9TxRrBFnJxGxJBqUudu7sOVoX27VTF6nr1pOSxUtI9mzZVLm+/847uj6849YG1gfA&#10;NUSsNmeOnDobt4Qj3UqVqkhdR7IQbNv2HaVTl26qZFGxqTU1KFxhBBykxs3EjcQNRPY0bp9S7uag&#10;c1ZRt+Ps0LadNhCnqwtp/5D1mxiPZaFnce/csaMqotzuZiJFn7KhXTt3adnAm76eWerY2xAwyjen&#10;WzQb1qsv27Zu1ZCD53ng+qEchAYqn370sZQtXVrrJY2Aw8+4Tu7cvq1j9U4cP6HuY0oaqeVH3U6Z&#10;PFmGDxsmfXr11nu/VfMWes2Qhcz1Vsap2xJug4aiLeTUbZFCRbRUh3gtQ+gp9WE4QS2nahs0aKSx&#10;WRKd2rTroKTbvQdx1/7St/9AdR8P+HKwZhf7EY8hACPgIDeI+NDBgzJl0mRtCQlZkr4fvWqVxmlY&#10;KBMrntcZj2Vhpv6Yjl103apcoYIUdAqbSU4s3sl5PbPUsbch4Ab162tzgcYNG0l8fLzG8lA9PJaw&#10;xOXLl9WtSDZpRfe6lIAYAYef3b17VzfkVCPQwGLs6DHSpVNn3aAxWD53jhzaItbzenkg/PTpR59I&#10;npy5pViRYlLenW/KdCBZCLZdh47StXtP6dO3v3w5aOiLkh0vgSkp/IjG4A8j4GA3R4bXnSLVWltH&#10;mEMHD9HsaOpvWQxTqlRZYI8ePaotJqdPnSYjhg1X1zNuK7P0t5QQMJ2BhgweLK3dJqpi+fLSwKkZ&#10;mrygeGhusGPHDomLi9PrBdJF3dSvV0969ewpE8aP19c3Ag5u83I4OB8Q7JXLV7Rznhe75TrgPM6e&#10;GaizJUmqizvXqFtCVFxHJEsVK1JUVW1+d23lc5u1QgUKqbolbktJD8q2bp360rhxM2nZso20w5Xc&#10;GVXbS1UtsVkaVTAVyEg29WAEHAKGKqUsCSImfsO/LMosxilVq+qedCoJhUSjDLrU8B6WMJUxlhIC&#10;ps3nCEeS3bp2deq3odZZNnAES8egnj16ysABA6VD+/bS0CnkenXrSu1ataRtmzbu9wNk8qRJsnzZ&#10;MiPgIDfIl/uf2O2Rw0dkQ/x6WbJ4sdb7s5HivJcpVUrbzhJG+uKTT1XlfvLBhxpy+PyTzyRH1uxS&#10;uFARKVeuvFSpWl3H7DVp1lzjtV26dpdevfrq8AHitShcynPIPkbp0pYRtRvuyVAZBSPgEDAvFkw2&#10;K4TJv/wuNQzCJUGD2DBuS3M/Z4wlh4BxKW/atEnLysgNaN60qbRr206aNG4s5cqU0ZrLim6xpXyN&#10;jkIk29WqUVM6dOggrVq2lEYNGqrrGgLGZelHqkbAaW/ca5xP7m16B9ArgOYWJ0+c1AY227aicNdo&#10;oiVd6fBS9XYbq/Zt2mqrW4adELct4K6XLF9kVqLFjUx/YzKUixct7v5eRjs/1albX5o2ayGtWrfT&#10;DGRKfcg6hnQzuhlFJMMIOATMi9tys0K8b6N8/YzXs3KhjLXkEDDNVfbs2aOtPylFg2x79ujhSLit&#10;FCpQQOvDqemm/vLjDz5QRVSrZk0ZyuxTp5ho6desSRNZvny5tkX1y6A3Ak57Uy+UI1+OKZ3kdu/c&#10;pb3Tp02ZKgP7D5A2LVtLreo1NfmSa4IBJ/RoR+1my5RF8ubKo+VAJYqVkNK4katU09pamla0bdte&#10;OnXuqmU+vXr30wk//QcM+lXlOoXrqVtVtqZuMwRGwGZmQWBvSsAs2riMaQE4c8YMHQvZsH4D6Ufs&#10;r3NnKV+2nCbqJQYJWk0aNZbhjlAhaQi7b+8+GkNkyhUekKRmBPz2xrliw4wLmdpbMpRJnCSMRGep&#10;vXv26sSfmFXRMnvmTBnpFC5tG5s2biLVHZmWdMRK20XaMaJws2fJJrmy55Q8uXJLwfwFVd1WU5dy&#10;fWncpJm0dos52cjU1A4YSAbycEeupmyDGUbAZmZBYG9KwHg+SLzjd/v27ZNpU6dqhjPx3u7dukvr&#10;lq2UbBODBZ1WpZA0SVujRozUnr0oacgXVZ3UjIDfzjhPeJU4vrdu3pLjjnA3b9osy5YslUkTJsqA&#10;vv2lXeu2mijFhkiHDzg1yyCUHE7lKsnmK5AwWKCMVKxYWZtaNGjYSJpTb9u2gypckqR69uorvfsG&#10;2it6DSw8dTt8pCnbYIYRsJlZENibEnBiQ1ERK1y9erXMnTNXpk6Z+lqsWL5cu6vh8kSZvcyMgF9t&#10;bFoS52VQ+sX5uH7tuly8eFEzlelORy0uDS9QuMOHDJUuHQNTgCgHK1ygkKrazz75VBupeMMHsmfJ&#10;KoUKFNTa2+rVakrDhk10iADD4j11qzNrLW4b1NCyLHeOOFcktPmheYvWRsBmZhltKSFgzY53z0PJ&#10;6lSaM2dfC2Yzk+wDabwqkc8I+NWGsuWckTR17OhR2b51m5b0ERZgRnaPbt2cwm2jMXc6zFWuUFEH&#10;xBfOX0DHdTJOTwcRlCot5cqW17m0tWvXlQb1G2qDi1aOcDt06KztGnv07KMKt/9ASoGGugV9hMVt&#10;gxycHzwQZJNz3hgC4YcGDRsbAZuZZbSlhIDT0sKZgFGv1LuT9f/d8+/kW/ddnz19Jo8fPdZSvHv3&#10;7mnv9Lt37mqMHFWbFMy8pW4+LjZO5s+dJ2NGjZbuXbtqyVdZR6q5sufQ/ty0jdUhBe9/8GIwQU73&#10;txKOjKtUrSb1HeG2aNVGOnbqouqWRCmUkWUlBw88Mk2sZHHzUxdNUhvnDPd/v/5f6mxhkt7YNHXv&#10;3ks3UJxbBk34gfGJRsBmZhlsRsDpY8RmOZ6QLOVcJ44d11pobWoRt1qb3cyYNk27jFErzfcmMSop&#10;mHndqkULLQdSheuOUcmixbRnOwPjIdk8ufIEJgC533vNLrQGF4VLOZBbmLt26+mIt5/0dYv3QLpM&#10;uYX9RWayDxkY0h8QL0QLuRJvJ7O8c5fu0qFjZ908NWzUROq5jRTnlqS4cmXKSUlGLZKdXrK0jlms&#10;UbO2L4oWLW4EHEnmlTQZ/JGa5V3JMSPg1DHOn1dWR7KaN4jgxdi9J0/UDX/o0CGdeb108RLtBMew&#10;il49eiihVq1cWVGubFkdz+kNJFDw8wsk/C4R3neK94vPPpdcjoQZvcegAiXdps11wab2FqJFPaGi&#10;UFMazzXCTXdwzD11O3T4SF+Fy7lic0TdNBsmJjkx2L9J0xbqPq5arYaULl1GiuuEqCKSO0cubYDC&#10;dQD4mUx2HuOHXLlyGwFHgnkLk2bQkjjy7JkhCZ65BTqjhlAYAaeOaWzWqdtLFy9q5yiaWTDMBGU7&#10;xSna4UOHSv8+TsV07qKj9hi/GRgiX1UqliunNbfFnWItXbKUWyBLa6wWFUvZT6GChfXnvLnz6qJa&#10;IH/g94oC/L2QdpyCeEs65cMCW8apobJly2sXKnosM9AAlVS3bn2nhJtLa6eEUVO0evQjCUPaAOKF&#10;YCFXXMaoWrLK27brqLOJGzduqhsnYvM0MqnmiJYs9Fq16kht9/t69RoqAaN869arr41OeHxt9/ea&#10;NWpJjeo1Ffyf12IMox8qVa5iBBwJhroj7vXtt8/dYv+13Lz1lSEJbt+5I99kANlhRsCpY48fPZLT&#10;p09rL+x5c+bq52bgSKUKFVTNMk/7ZXjvL+9o3PbXUXulpGLFKm7RrasNLho0aKyJUgyTr87i6hZc&#10;XXgdGMfHYly/QSP9f82adaRChUqOjBlan19yuPcm/oty/vC997VrFSVGldzrk+UMAfgRhSFtgNpl&#10;ahNjE2nJyShFzh9Ey6apsNtsZcuSVWP4KNlsmbO6a6KQJs6VL19RqjOswhFwc0fW7Tt2fjGCkcQq&#10;1LPfe/rBypASjIxQTcr47jslKRZihVuIUEePHz9R4rp9+85Lccst4tev35ArV67KhYuX5Nz5C2+M&#10;02fOytFjx+XgocNpggMHD8m+/Qdk1+69smXbdtm4aYshCTZt3uqOzx7f45fW2Lhpsyxdtky6dumq&#10;CTzBRMDlypSVvk41rli+Qs6ePed77b8Od+7clbtOmVKu8+Tp01/vr2Tg6dNngc3jzVty3t0zR48e&#10;k507dsraNWvdsVqmAwnGjRkjA/v313F7DJJH2TIDmYYkdAf7t//9ry+FzrqFgN3xL5Aw6xYSZTIQ&#10;6oYFF4KtX7+RNHKqplmLVrqAtmvfSTp26qrDCwCuSn5H6RCuZ57H86u7xb2iW7wruteExFFTJGFR&#10;ikJs0W+BNiQPmnk8dIQMHDREE6OIrxNnb9+hs2aWE3/H+4CaZTOlmyeHem4DxSaK//N7zjnnqFLF&#10;yhq753eNGjXRdp4oVx1W4UgX1zTDKggteHH85CTQGQEn2A8/0BIuQLIsFl+5RQPc+uq2XL9xUy5d&#10;viInT532XTw97N27X7Zt3ykbNm6WuDXrZFVM3K+I9hDri6XLVsiMWXNlwqSpaYgpMn7iFBk3YbLh&#10;JeD4+B+7tAUNE1gw6rqFmqb6wUTApRwRsTGYMWOmbNm6zffafx0OHzkqx44flzOOwK9eu/7i/koO&#10;rrnNLffgbrdJiomJlZmOcGlAwpjOCmXLaZvGxMMIaMmJgoFYUZ6M3fMjXg9+BFyuXIUAWboFGCKF&#10;UIkB4qqkLtcbOk9pEKpKkRBHJKHKiyXS/pH6XYYe9HTPYQgCyomYImRNgo/fAm1IHuj+xRziXn36&#10;SWd3jCE4kqSqVasppUuV0T7ZmT77QjPSc2bLIUUKF9V6a84x5EtHMQi2fYdOgRGMCf2yE8ftE8fu&#10;QSCGnLKBFSFLwF4yEcr1xx9/kudOuaJUHz565HbZD7WcAJfi9Rs33A1/Ta5evSaXr1yR8xcu6iKA&#10;4jx16swLHHG76X37Agpxx87dsn3nLsU2t8P2FOOatfG/JdUkiFoVI8uWr5QljkwXL10ui5e8DMt+&#10;hwULl8jsufMdCc+RmbPnyqzZ89IEc+Yu0PdatHiZIQELFy+V+QsXy9z5i/T4+B23tMZESHjEKGns&#10;FousmTIHFQEXLVzEqYfWMmz4CHe8lvpe+69DTOxqiVu9VtbFb5DNjsS9+ys52Lxlm3udOHf9LpLJ&#10;U6bKMEd63bp1l6Zu0azqlG6xIkXVdeyL/AU1fssCTHZyzuw5lWhBDrcQZ8+aXX9HfJfHE/stXryE&#10;W6CL6HNZqCkdYhGnbhcVizJCKaGgUEfNGHbgVJY3yo8FvIdTtvRh1h7MbgGHnJk2ROkK7kr+jvpl&#10;gfdboA2/wlO3HEvcxxq7dQq0s1Oibdt1kBYtWrnzEAgTcE4C3oqGGj7A24B7mfNWulRpt6ksFRhS&#10;UbuenjvivrxGYARjbz03EDkE6/dZUgshTcAB8v1Rnjx5Knfu3pMrjmTPnD0rJ06e0t32nr37ZAPE&#10;uW69Q7zExK2RpcujZN6CxbrQQnQeZsycI9NmzJKp08FMmTotgCmKGTJ56gyZOHmar3rxMHHyVJk0&#10;Zbp7ndkyd95CXdh/g0UvxxJH2CtWRku0W2BYqFY7sk8LrN+wSbbv2OWOzX5DAnbv2asbrU1ugY93&#10;x8fvuKU1lrnrcra7Dju4RYBWhMFEwJBWvfoNpGu3HjJy1Fjfa/9NELg/pskUdy9591dywPPxFLAw&#10;9nXKhLpZSI46SxZPlAsL6ctAnA+Fg6uRGG616jUU6mp0izGxPcqFSpFA5RZpMluzu3PxwbvvBWp5&#10;3/tA63k/duoaBUWGK3Hdz53qzuI2TXlz51HiRjXz+sQUeU/qPSEKPBxeE42kWbfJcVtGKjhOJKt1&#10;79knUALkzinqFncyKpbuYahazkcedy5oclLZbcxeKNvWbnPkzoUOqejW0xF4YAwjr+mpXB3F6FS0&#10;p2yTq2iTi6AlYE/dEpclO/XRo8cvYrDEgHBjXbx0SdUssdO9+w+o+xeCWRe/3i1q62SlU6SLUJeL&#10;AoqPf2fNmSfTHMlCthClh+mOgFV5zpkvc+YtUAL9DZw64vn+ijaAJUtXqAJeuSpWVq+Jl/j1m94Y&#10;KGyIcfeefbJ3337Zt/9gmuDQ4aPqxjt77rwhAVxDJ9wx0Rj84SO+xy2tsXnzVomOjpXePXtLnhy5&#10;goqAUZat3eI1xC1M3D9+1/7r4N1/nqfhd/fXG4D3ZjM8YeJkxXiHMeMmyMjRY1+PUSx4AeIb6Ai8&#10;j1M4HnAJ0zShU6eu0sYtiC0cadJvGW8EypqhCB6KOSVMC0lV03ny6UQib+gFBJw/bz5V0GRDk7BT&#10;pkxZqVyZRK7a0sApMlQyQxPYNOikoj79VA2rOnaLflov+MEKvjcECwlCiHT+8mpuia+31fKf1po5&#10;TtIa6paNFIlweCEqVqykhFusSDH1WLCR4vcQtLbxdMe7u7u3UM6EA4YGybEOWgL+618ZRE27t681&#10;/nr8xEklpi1bt8tap2hXatw0St2pc+cvVPftzFlzlUxVxbodM0Q7feZsvXHnO9XrKVFcviuiotUt&#10;5gEVEr9hoybibNu+Q8kwMXbu2qOJTMeOn3gFTurnPHHytJw6fVYX9jcFRHDu/EVN3rpw8bLbXKQN&#10;OJZ4CoinGQJgM8cxuXzlqh4fv+OW1iAEsm3bdhkyeIhOLwomAq5UoaIMdp9rydJlukH0v/ZfjcPu&#10;+x04dFj27DsgO3fv+d399SZgg839v3nLVsUmB8JChH7wHr0WUatk+YqV6m3A4+QBt/r8BYvcBnyO&#10;THIqe9y4iYoxY8fLiBGj3Dlx5JiAvo6wu3btLh3ad5LWbmFv7gi1UcPGUtsRLO7N4o6kcWNn/iKz&#10;1gMn7vOcLXMWzX6GIChLIq6MQiZpCzXvtZn0W6jDHWw+flW3XdSbQaJb7dr1pEL5ilpjy6YnX978&#10;7ueiWtqFSxlXM+q2eYtWurFp166jPl9beLqNFa5kPA9eCMDzNgTLRidDCdgrjaF2jxueJCjit2RL&#10;kvh00ZERCxM331qnaqPcTcTNMsfthomV4irGNQzhomBJYpo5e57MRsXOXaC7beKxPC8mdo3erMSg&#10;SJLiZmYx8bD/gFOHJIo4Aj11+ozGiBMDgmSRJinLYEhtkF28z20wR44Yqd2UgomAa1SrLuPHT5D4&#10;9Rs0+9jv878ON27ekivqtbr8Ius/NcD6EAgj/HovJxeBvI9dGpteF79RVq9Z91Kwcdd8Dbepn+7W&#10;nUmTpspYR9RDhw6XXr37OAJo7wi5kVRzyrlCwpSj4kVQzQV1Y0WGe95cuZ1CLqyKDeUWUGqNpZUj&#10;HVyrGoPs01/6DxycSBmH5mQjiM6L3Q4aEmjd6LVsJEM5UH/bTePmfH+yjFGtqFtcy1WqVhdmHRdK&#10;8DoUzF9IShYvpbOP69dvpKoYwkXdQuDJKQEKBmQoAf/kyBfSxaV89ux5zZbkRsAlS7x2+YpVCYRL&#10;vNZd8Oomnifz3G4Vtxa7WTKIUcQo161Oue7YtVt2790n+xyhsuOGVI8cPa678OMnTqk6PXnqjKrO&#10;xGVA5y9c0sXBU4hJgUpiEfFbXAyGt0W4EzB11tw/19zG2vM4pAYChH7xN/dycnH23AU54zbYEDrr&#10;A+vEy8BawjrFhh2PHPkDO92ag9eMUrJ16+IlNjZOVqyIkkVOAMx2qnqCO3ZDhwyVXj16SpvWbaRe&#10;XafqHDmT4MXYQZ3zy9xmd95JDqL5AyQEKUHGNPMPxdm+id3KuH5RpLiTW7VuG4jFO/VauXJVjbVD&#10;sLTsJMmN0p9AclsDadSoqbqdIWbIlsYlZCiTRR4YUoHCHaTv4albv88SrEgXAtbm5z//rAlT1Nl+&#10;8w01fSRO3dUbANcuMVBitsSJIFqUbSBxY5pMnjJdVS4xWv7O4zSbcss23b1S4oBq5bUuOgK9ev2G&#10;3vB+C4HBEIwIdwKONLD+ENLAc8b6tnnzFomKWqmlU5Bxu7btpGb1GlLCkQ7xYxLvGENIHJkmEGRa&#10;owAbN24qbZ2q9po8oCBReW8bL+a5EDqExWu9DIndtUmfA+ElLrViFjHxbBKbUPAQLjW4lGupwlXi&#10;ba7ESllQ+QoVpaj7/jQpyfJFIIkNEoaAeQzueep3vU0I7xNqm5DXIV0ImFju1w8eaJMKlCc7yO3b&#10;dyqJomAp2SHJArcySVD8TPIU7p7YuLXuxt8om7dud+p2jyZbHTp8RBUtyUS8HuqVi52dNTE9U6qG&#10;UIMRcPiBMBoqHWFAZQbrHo1eNm7cJNHRTmwsWCiTJk1WQu7T26nD9h2kYf2G2qyDdpheUleAkMtp&#10;Mw9io5Axcc2Uu1tHK4FCmri5UaeUSiUFv+fvEC3km/Q5lAFBjsRbiWMTg0XZ8jlxEZcrW0Gzk0mI&#10;0uYj7jqqWauOkivuY+qqSUyjVKih+7dp0xZK0rjhdUhFr0CWMpsOPACJNwPhglQl4F9rc3/bDJ0S&#10;IXaCkCdkStOJ6TNmyfgJk2Xs+EkyZtxE/ZdaSGK3uJ4hZxKfIFtcQ7iGuaD9LnSDIdRhBBx5QDCw&#10;tuHO3uBIeenSZTJ06DBp3qy5lCtdRhO3vIYi/ExmNS5bSA5XLh2YiKtSW/wqcuL3ZP1CpBAohEb2&#10;d/cevZTMUai/g3t9SLVTl+5KtJqZ3AfCDdTd4gaGcOnixechK5n2jCRH8TmpqabhRebPM0mWTFkk&#10;f74C2hubxCnc60wRohEJsVsIne/A8Hq/zx/OSDUCDiRU/axTR8hcZueHQqX9IfWVWoO7LOpFxvIc&#10;BzIPSZIio5ksZK8Uh7IMkis8tzLqFmVrbmVDuMIIOPKAp85zU2sp5d59TnislyVLlsqkiZNkQP8B&#10;0r5de6lXp65TxRUCJTYFCmmtMbHSmjVrqZuWulYUMeSamISVeB2p0ZaReCk1sLRirFWztlSuVFnK&#10;uNfQEqnagQEDiaGlPe4xuMLLl6ugQM3yvqVKltJxeyVLlArUTDuFW9YpdMiXf70BFNRVV6taQ7u7&#10;NW7MCMa26lJG3QYalAzQ7mC4sSHfcFO3b4JUIWCU78+//OLI9zslX3Z1ECnZx8Ruae83YtTYF6BZ&#10;xcJFSyR29RrZum2H1l6SBGHuY0OkglBKMBHws2fPfk/AjhyMgNMHdOxDhMS5NXLihIlKxLQEzfT5&#10;F4EBAX95R3JkzyElHRnWb9BQlSxuYQjXW9z5GXJDuTJ/GPdvsaLFJWvmLNpQ5E9/+KNkdsq6SELX&#10;r8SgFWcWHucU+Lt//stvhlb82V0TtPakQcmnH3+ir0fjC5LKqHuu5q4XVC5tNiF+mluownUE6yEx&#10;CUUyUkzAJFVBuA8ePnSLxK1fkw2c2qWTE25mspUpDUL1akyXciCnhGmWQbtHras9cVKfy04Q8jWV&#10;mz7gOLPh4bhnVO2r4VccdptQEnUGDfxS8rnFjPKVSRMnut8f1raq6WUkTEL4zMzt37ef9k+uUrGS&#10;DB82XGLj4vRe9bueDKkLL3bMGrlhw0ZZtGixjB0zVnr17KUuasqcSrprhElLkCrqlKxiOoJR2gMZ&#10;E5tt3KiptmFkohP/omxxA9NGk2Qn2jbS35os48Ro1LjJiwES3mMVFSq9UMOoY2p0K1SoqKMW+bei&#10;e0wV99noBEYSGc+vVqWa1Hbv37BhY63XJSGLEYyoYAYYQNDhGN99E6SYgEmsuufULhcJqfixjlhp&#10;eOHFdAGZzCRV0QuWVn/Ec1G6LPjEP4jpQrpGvOkPjjnnAeWFq58kEUPGYefOXVq+0rtXb8mTM5cU&#10;KVhQBvTvL+vWrZPr168n3HVpb9Tl37lzRw4cOCBdO3dWAi5ftpz0d58lKipKzpw563s9GVIXrIeA&#10;NZK1kgY9p919ShIXseIhQ4ZKrZq1VH3SEhOVSgMQyJKync6du0mjhk2kUP5CkitHLnUVQ8J0hSJx&#10;iiSrF60XnUrWjOZEIMGLv+HWpnMUj/VAl6qujuQZdkC8GBLRphkQtiNe2nrihmbcImP8UOtffPq5&#10;5HLXNY1KvBpeEsp0FrIjYYsBv4KAcTFzY3ouZi4IFg1KgEiqWh61SjtNUaOL4qUBxrIVKyXWKWF6&#10;Me/eu1/oEAVZ89xwJVy+FztXiC0p+O4Q3cvA8cTldPDQkdeCGDkNBMgK10b1CZ2CkgNc/xud4uL8&#10;rY3foL2yDRmHBe6eGTtuvDRr2kyHMeTOkUOn/KA8Z0yfLsuXLZM1q1fL1i3uftq9Ww45ZXToUACn&#10;Tp6UK5cvyw1H1K/DxQvuOnSPP+auNdQ1RLt3717ZunWrxMbEyOJFi2TuHGpXx0utGjXVBV2kYCH9&#10;XKNGjZa4NWtfXEMkSXIt+l2jqQHaph45dly9ZOST+N03yUegqQ6EhufB715NDrjfPSGRlmsar43H&#10;is++xwkesqjHueulc6fOUrdOXSlRrJgUKVRYCuQvoEMjUKuQLvXFuXPm1tgszS1at2mv3aZIfEqp&#10;6oSgtaEGJUdOaaNkScxiqlMgMauVJmYx4o8NATHjsmXKqnKGfHWovVPeAWVeR+q4nxmIQPYzcWFI&#10;3+99wxFvRMAkWFG7Szbz0WMnEjKZo7RelzpdxrihducvXCLRsW6R2L7zRW3uBXeRe0lUXKjhSLwe&#10;2Fz4ES3kiiuJJiMvA657Ou1Q4/w6kLhGNzCOv9cNLCUgFs/5CyDQLN+QMaB+kiQVyk1QNAyGJxOW&#10;+Gspt6AWdYtrrRo1pH27dtKnTx8ZOXKkI8RRitmzZstqR86bN216LVZGrdTHT540WV2aw4YNk4ED&#10;BkiH9u3V1UzHpvLE8apU1Y5NEDD1qSyiLVq2khFu0fCuHzbbNMTxu0ZTA9q9bt167VzHhtHvvkk+&#10;duumgaQnRMHbErsXPkuPtY3X5328xC3WWNqXzpgxQ7p27SqVKlTQa4esaWYf0wKTofIkbpE9TVyW&#10;BR/lSicqL3vajxheBUib5wGvHvhFLbBTyJAzyVUQtHa8UoLu/mJgRtOmzdU97Y0HZMPJRgHXeKSN&#10;ZvQl4H379mksiMYZdKq69dVXmli1Z99+beeIwsW1zAQh3M5MF1oeFa2xXbpQ0TGG3SWk63chBSO8&#10;ixsS5QLn89Nh58zZ83LKfXduVL4XGxD62pI4tt+RKlnee/cFQI9b2tlt2LT5N1i/cZPGxalrfhkY&#10;4kDDejwJtLrzm5jkYd58+tYGOoPR6zplCAyf0Lad8xboaxoyDvQd7tmrt8bMIF9Q1hFwlUqV1CXN&#10;wkobw+JFi0qtmjWlXdu20rFDB+nUsZMOyx/t1OnECRNei+GOcHl8j+49dMZvq5YtVenyuszSxV1I&#10;EhhZt7wfBMy/FStUdItjB/c5J7zot879T36H3zWaWqDxDvkj3B9+902ykZCHQmtber9D7knv1+SA&#10;jTNeqF1OldIS01sLkgW3hmjnPreeBOYm+/fTTgw2EHgImPi2fEWUjHGbqVZug0T9MOeLiUAQsM42&#10;zldAXb+oYNzDNdz5rle3gTQhM9kRYgfNTO6RUG4UyKaGWFMzJkufa9QtZUcMsqerFaMAiSGT3c3g&#10;ChQzLm1Utd9rhCN8CRiXFOT78OEjJV4aoLMjhWy5+VBONMvgd5AuFx+kBFExSMBzy4SS2tWdJYkP&#10;Fy4q2eIOhlxpM8c8YG42Wl4S66b5OyrUm+HLcQEQGuQWmLSUCG6xYgTbr2rz92DKC4oCZauDI3wW&#10;Iw8sSEuWRanrn/g6nym58GazEiLg+6EMDBmH2LjVMmfOXCHbla5IWb/IJNWrOtXSoIFmvzIW74vP&#10;PtNh85Blg/r13QLaRFo0byEtW7RMBnh8CyVe2iLWrlnLqZC88smHH8q7f/qzqqcyTu02btRY1TCZ&#10;srigSfyhRpVBJni5VkbH6PVHEx2/azQ1wOZw8tTpMmHiFHeP4Cnwv3eSg0kOqHcdOeruy9/dq8kE&#10;9zv3LRtine2csBYkB3xPNjKsJ/RAoPnQmwAPwaroOD0nvDfzkTt36iJ1atVRdzSNPPLlySu53QaO&#10;bGdGJ7Kxoz6XzlPEZxnhR0IVipTkK2pzUayoWEjYjzRSAtRyQCkHVDJxXwgf4m/fvqMmZvEz3b4g&#10;a7/XCEf4EvD6DRtUvTLdZ73bITJBiAuMWZ6QDK5mFnHiQIePHFO3K43WiYP4kVtGg40An+3addw3&#10;Xv9YGsInjKFzO0oU7d79BzWuyoaD3TEkRY0yNwWE6402ZPPBceAGhFg9lxyzg73RhnT14sbUm9NB&#10;bzTqnxl16G62pGDBYUFjcYtbvU49DS/DuvUbZWNC72tUd+LZtm8Kdt7E2Yix4SInGcuQcQhUEGzV&#10;rkgQHiqmRvXqjmCbS6OGDd2iWluqVq4iFcqVk0aOlDt37qwZsdSK9u3bV3r26Cndu3V/LXgOjyep&#10;auCAgaqgcW1DumReV3AqqXHDRtoqkTaJlJ2ghgcNGiwLFixSxef1P8YtzAbc7xpNDXDvLVy8zPd+&#10;eRt4k9O8+/NtAAEzec1bA1IKXTvchmD23AW/24i8Kaa61xkxcrR0cSqSuGoVd70QCy5TuowUzF9A&#10;Z+USTmB2Mer4s48/VRLOkyuPFC1cVLOaSaKiO1WLFq212YZ2pGJuriNMHeOXwrjxy8Dr4b6mVhkE&#10;JkKl7RD8YIIvAc+ZO1fVES5RiIYLBOJYtiJKiQlXNC4Q3LMXL5HRHKjfDVbFy2fDtXz+4iV1I+8/&#10;QDx2tzZPZyPBkH7IVQf1O3JV97q7uTxXW2CnO0eJ17vYGRLB86JWJopZuddSVek2LQyHYLFSbN2m&#10;WeA7d+9V4jtw8LAOikgMMsQDQyMYaeifKetB41ZnAuMOz7qNRKAZffJAnSHxeRJJcLlzfAwZB81y&#10;ded01qzZUrliJSmQL5/+i1od9OWXMn3adJnrFDJJUosXLZbFixfLqlWrJD4+XtavX6/Z0mvXrn0t&#10;4t3jeDw/x8bGStQKt7FcuFDmzHZKbrpTm+MnuPcbJB07dNTYMwTcqEFDbQ5BDJVrj80rMUiuPwab&#10;+F2jqQE2xrhZk94rbwV375E8yj354v58C7ABYQ3x1oCUgDWEpFW8Cay5iUk1OZju1qsx4yYoifXo&#10;SYvI7hp7JbmJec7EXmn7qE02KlSSkiVK6xAE4q/EigOqOIu6rYnNeslcuIbJT6C8KbVHJnrxZEgX&#10;MK85NQk+2OFLwMNHjFLi1faQk6c5Mpqjbldclbhmg9XFDNF6cdxLjlRY1LykKG5m4izs2kns4MKH&#10;RHHdvEhG8oY/TJ2uLmHIlx0ujyFOB+FGx6BQ1+oOnc5dEDnZoIDpKMRwkiZ3sLDi2uYz4VkIJde8&#10;IX2xevUa6dCuvXYqquQIGBf04MGDZaEjyZjoGNnoNsAQ59KlS93/o2WDI9NNGzcmGxB2bIzbNDqQ&#10;wLU6Lk5WrVwp8+fNl8FO7eKuRvnmzJpNS6NQvNxL3F9+nzuUwKaTe9K7P98G5ISwqfbWgJSANYQN&#10;AWROR0DWmJQALx0Kn/VK80Pwxjm8CIFNmiIjR41VEu3lVG3Hjl2kSeOmWqeLB6SQU8nkG+TImlWV&#10;Ml4YelETn61cqaoOwldV3L2nJkqRSZ0W8eJIgi8Bc3Jw0aD4vKxmEo5OugsOUgvW+K5XvA4B0l8V&#10;1blu/Qb9Drh3VeU6IsUdzKaCi5OfuWh1SH/C3GBivcR8vdgoMW5PueJyR6ly47FL50b23IheeYOn&#10;KhODTQGj2ILVTW8IDuzff0AWzF8gffv20yHvZB9XqlhRalWvIfXr1JXGDRtK/br1pE7NWoH/O3Xa&#10;pGGjZKNR/QbudeoqGtSrp6hXu466oxnATzY2yrdr5y6ycMFCOemuda7hcNg8ar5HkvszpSCcpeMM&#10;E9aAlIA15DdJnm6NSQlYn/a4dcqbceyBMBVET8iQ8BprGy0v6bIVRRx/8RKZNWuWJukNHjRIurhz&#10;Tn5BFbcJLFakqMaSGZlInTGxZRKn6tStr4lU9IqGjInv+hGM4dXwJWDS1Ml0RunhrvWUm9/FnBFg&#10;EUisdr0bgYuYiSPM5mQnuXT5ClXyKFxKpWgOMm7CJG2Nye9wMRPfjo6J090nu3ztznU80J0LIjXF&#10;akhPsIGjK9bCRYulecuWkq9AAfnki8/lj+++I3987135wwfvyR/fd3A///Fd4H6fUvAavKZ7PQ9/&#10;/uB9+fizzyRPnrzS2S3EjNAj05b7zO/zGsIDl6/gFTijDWE457QehYhp9kFOQqZPAwmADIdgfGDh&#10;wkW061WDBo2lbbuOmlBFDJd4Li5q3Mp+hGP4LXwJeNTosbpbIv4CEUFCwaLc+BwoXWKYFOiTqYxS&#10;XbN2vWYEE0uhz7QmWjjy9UYckmG4DBeyU8PEaUli2ua+I4sLpM3OE5cSu1kyuSF173sbARvSCxAd&#10;/ZYpXRs0YoTUaN5UslWvKP+rXFH5H9XLyD/Xryz/o2Z5+Z9VSsn/rFRC/leFYilDxeLyPyuXdK9Z&#10;Vv6lTkX553qV5F9qlZc/VC0jX1QoJaUqV5Rho0fr/UX3K/PchDeu37ihguPU6dPqPaQt6qpV0TJ3&#10;7jwZP268DOw/QEMj9evVk/LlymsLTFAwf0EdylC1SjVN3qIRBy5q6tqZwGSu6VfDl4AXLlykBOR3&#10;ojICEKCnej03M7FolG5M3Gp1lROvHj12gowcPe4FGOhPMhWxEeK+uJN5Hs/ndfzey2AIBhw8dkzm&#10;Ll8qHUYPk3x9Osg/d24s/zS4o/znSX3lv47oKv9tQFv5731ayX/v2Vz+e49myUfvlvLf+7WRfxrS&#10;Sf7LuJ7yX8b31tf9X/3bSbb2TaRai6Yya/EiI94IB15GvDKsm+QeTJgwQRMDCzjyJZOaunFK1yhz&#10;KligoDb8oJyJ7GmyphMPYfAjoEiHLwGvWBGV4S5nj3DJsiZGghonjkH7RFr3UaJA1iDZ2V5Tirnz&#10;F+nvSBjDfR6/YZPGPHbtcSr38BE5cZIMzosvksj83tdgCAa8IOAxwyRvv05Kmv9pdHf5/84dKv8w&#10;40v5x8n95B8n9pX/OKG3/MfxvZKPiX3kHx2Z/8O0gfL/zB4i/zBrkPwn97v/MaSzZO3Y3AjYoGAd&#10;Vq/MhYtyQOcWb1SBNmb0GE3Oa92ylZbIkTNQrGgxKVyosDbWIMuaYQ4tW7ZRRUxzDUvW+j18CZip&#10;J34nIz3Bjc+Jp8yBulUULHFpspOJ544aM15BXFdjuYuWaivHHbt2a1MQVK7nRoZseT3gqWm/9zQY&#10;ggUvCHjscMkzoIv8U99W8g+OdP+PqPHyf6wA4wJYnkJ4zwfuNf+vJaPlH2cOkn8Z1UOydGlpBGz4&#10;DVgzWUdZTxEwuKsZnxkTE6stTcmaL12qtGT+/AsdDPHJBx9JtizZtMkHfaHpFa1TjxwJDzcSfgFf&#10;Ao6LW+17EtIKenLdjU4zD+paA7Hdg7Jt+04dFICipQEG8VzIls4xkDGuZZQwMV0eS8IYmcns1iBv&#10;j3D93tNgCGb8hoAHJhDwlH7yH1ZOSBP8f5aOkX90KvhfRhsBG94MiBySVteuXSezZ8/RTmkd2neQ&#10;enXqagkbihgUL1ZcKleqIvWpJ27lFHE3FPGXqoj9SCmSEBQEfMORJORLrSzlTriZKRsifksTELKW&#10;J0yaovW5lAzFxK6WLdt2JBDuaSXtS5ev6s7MEqcM4QAjYEOww6tCIUZMoh5kzOxiasnptlanTh0p&#10;VKCADu6nNzWKmAlN9Rs0ko6dumpLSj9SiiRkCAF7ihcXMfOByUCmuxbF6LGr17yI7dLijYbv/Eyd&#10;LmqXciEGPlAqpMlU7gKweK4h3GAEbAg1XHUCyJtZvGzZchk9erR0dIqYyVplSpXWjGlaXpYsWUon&#10;HzVr1kKJuHef/krGkaiIM4SA1d3sThaNPWhyQVIVTTJwL2vzdad2+Zm2kHSsQhHTZYoGG5RFUfNr&#10;atcQzjACNoQauFZQxBedIqZxCyVsa9eslXlz50n/fv3VBV2yeAmNEwfGJBZU1zQNPZgpHImKOF0I&#10;GIIEenJomOGIl0EAuJFXxazWeC6ES9kQU0roTkXbR9o90n+WvtOoXVO6hlAG9wCL1ItEloQkQb/H&#10;BiMBq+cqwe2I94rvYARteBm4Vs6eDQwaobJm1KjR0rZNWylXpqxO2qLDFp21GJHYoCENPTo4Iu6j&#10;LS4jpSd0uhAwNykng7ZrtEtjUAFtH4nnMuiAOO+s2XM1k5nG5jTWIAmLhCoaY1hHKkM4gPsA4iJJ&#10;kE0o/cn52e+6DkYC5h5kA03Y6Li7N/kOwdQvwBBc8EQXMWJEFK5piHjc2HHqmiZRi3pihkHQ5rKM&#10;I+a69err8IjUHvoQrEhTAvZ2yywyjP2jRykZy0uXRWndrjebk+bhjPwjvkvPZep+IV0jXEM4ATK7&#10;qN2Gzqh7jpwHevhCYtwria/3YCJgPhf/4oVi2AhDTfj8NGeAkBN/R4PhVaBdMA2UZs+aLV27dJUa&#10;1Wtoq0smMKGIixYpKrVr11US7unUMG5p+kyHqxpOMwLmpuXmZLGhGTiNMSgbooRI5+M60kXxMvyA&#10;sV7c0CheTay6ao0yDOEHTwGjHDds2qJ9yBldyUxmNqmJ1WYwETDKV+s+9x/UkZvcy9TbH3MKnt8n&#10;/o4Gw6vA9U+i1m7HCbGxcTJ9+gyNDzdp1FiKFi4iX3z2ueTLk09KlyqjYxA7duoivfsOUJe0H4GF&#10;OlKdgL0bFvLlBsXtsComVsf6MdCfkiJ+XrxkuU4d4qbGNQ3p+r2ewRAu8MrtmOXMtU/eA6EYQi6H&#10;nLI8f+GSuw8CWf0HjhyRORlKwE1k2oL5Gqcm8REXIh4qKhKWLF2huRlsrs0FbUgJ4AnWfLwoa9as&#10;1WYetWrUlCxfZJLMn2eSLJky6xjEunXra2y4b7+BwqCH9BjyQDY2bTRBYLhE2sWjU42APTcVO2LG&#10;9dEYI84dWLKb58ydr8lV8xYs0qYa3MiMyeJx3NyeC87vdQ2GcAH3CBUA3CPkQtAqleEgeIZQlgFP&#10;0MGA12jfPpm1ZFG6E/A/OwLO3KWFVG7aSEZOnqRtXFHp3LdRbrPAwJNN7nN66tfuW0NKoPeCu3Yu&#10;XLgoR9zmk/rhGU4N096yQf0GUrxocSlcsJDky5tPypYtJ/Xc75hFrEMeHAmnpUuayU5kZjdv0Uo6&#10;dOwiPXv11bnHfo99W6QaAXs7GhYPkqyo22UQtA5FcKqXZCuUMG0lifESG/Z7HYMh3MHiA3lxH6CE&#10;yYOg3p2JXbRTpeRu47ZtMm3hfGk/eqjk6ddJ/luvFvKPE/sktI8cr+0j/0OUP5m+MWhrmdDa8v9a&#10;PEr+4/SB8i8juknmTs2lQuP60m/4cCVckiUZdkI3OtQ6nepM+RpSE3hNuR+2b98hY5warle3nmZK&#10;M+xBBz04Mq5Vq86vQx7SUJVCupUqV5EKFStJ3XoNpHWb9tK7b/80If63JmCIFzLl4NEggwUF9zJu&#10;Zm/YPbW8DIEmwQqCZvHheX6vZzCEOyBgL65KOR4Kk3GaVADQ5Q3MX7xEhk0YL8379JC8TerK/6pV&#10;Tv6pSxP5j2N7yD9M7a9DGf5vR5pKxH7k+hr8n8vH6vN1uIMj3v/fqO7y37o1kz82qyXZGtSUCg3r&#10;Sb9hw5SANe7rNgZ4tVC+ZLVeM+VrSEV43lPygOLXb9DWlv369lM1TBMPZhAXyF9Ahzw0btRUunTr&#10;IQO+HJImzTt69u6r6remI/xy5Sro3ONGjZtKp85dpV//L32fk1K8NQGzkJBAQhIV8SyGJbBbZkjC&#10;/AWLtMkGf+Omhag50CxAfq9lMEQSPCJGTRJj3bpth25WqRAYNmqMdB8wQBq0biX5SpWQP+fMKv+7&#10;Whn5506N5J8GtdexhP+PI8//c/k4X4J9Hf7vJaPlH+YM0QlI/3VoZ33df61SSt4vnFdylS8t5evX&#10;kX5DhyoBk3BF3NpzOdv9a0gLcF0BrjGutU2bt8iMGTOlaeMm8tlHH8t7f35HPvnwIylcsLAOeOjZ&#10;u1+auIZ5TRK/GjmiL5CvgGTPml1KliytarirI36/56QUKSZgr7yIsgTKKVg4GIIPAZOowWB8VO+B&#10;Q4dVHbPQmOo1GH4Lb8HhXkJdUqq3nphrtLufFi6UkePHS4du3aRGk0ZSomVjyd62iXzUvrH8oWNj&#10;+ecODeU/t2sg/6ljI/nPXZrKf+nVUv7rwA7yT0M6/w7/dVBH+X8HtJP/3KOF/Cf3vP/avqH8S4dG&#10;8qdOTeWTLs0ld6cWUqZNM6nftrV0HdhfRk+ZLMuiozVkRM2vNg0x8jWkE+AK7ofNW7bKlMlTpH3b&#10;dlK5YiXJnSOn1g2XLFFSatasJa1at1XFmppdtFDVvF6nzt2kbp36UqF8RZ3qpOrbKeHOXbunmhJO&#10;MQGfd4qWsX8kkkC8ZDczJpDMTlxpuJspt4CobddsMLwc3BssOGxSyaNg94/i9AaTLF2+QiZOmSpd&#10;+/eTmi2bS5HaNeTzsiXkvXy55Q+ffyr/mukz+YNTyH8qml/eq1JaPqhb+beoU0nerV5O/lKppPxb&#10;wdzyr59/In/KmlneL5hXslUoIyUb1pUGXTpIv+HDZObcuRK/cZMcO3lSh5zweTzitXvYkJ7wvEN0&#10;0lq3Ll6GDB4sZUuXlsxffKFKmHaWFR0pt2zVRtWwH8GlBMR5AeMTyb5u166Dtsykj3UFR8J16zbQ&#10;8Yp+z00ukk3ANBJgRi879bXx63VwAhnOU6bNlPkLl0js6rX6N0qLLFHDYEgZvNAOKmDPXlTxJlm4&#10;ZKmMnTRZBjii7Nint7Tu2EGaNW0mDRs2ktoN6kvNpo2ldvvWUqdL+9+jUzup07GtNGjdUpo0aSot&#10;WrWSNp07Sbf+fWXQ6FEyadZMWb5qlWzdtl17rrNpNo+VIRhASesJd03+/9n7C+66smRbF/0P97Xz&#10;znn3tnP3rqrMSnQa0szMzMzMzMzMzMwgW5LZlplZZnaamRKr9j7xxhdL06mUp0GspRXRWm+WpYUT&#10;Rh89cN269TJk8GBp0qixlC5ZUgrky6+kWLFiJY3RduveSwf/J1WyFK/BazEsgsERNarXVBWMIkYJ&#10;9+jZRwYMGpqo94o3AZMBSRnCqjXrNdGKDM4Zs+YqEdPbmb+zcJjL2WBIOFCbkKCniGlQQzc5vE6H&#10;nCLYd+iQ7N2/X6L27JXwiEhZ6sh53qJFMmfRQpn9HhbJ/GVLZfHKlbJh0ybZuWu31vHSIOfA4cNy&#10;+PhxOXH6tFPd59/lapjaNaQVcB9wTdJFi74Sixcvke7duztVWkXy58krP2bKIiWKl5Q6detrqdKw&#10;JKwXhlx5vX79B+lr16xRW0mfxKxAo5DuiUoE+ywC5mZkEYg+f1F2Re3RQQnzFizWeC+ZzitXr5Nt&#10;O3a53frZwHhAI16DIcUAaR47fkL2Hzgoex2xQsqxscfhgPvb4SNHNR+DBc3vdQyGtAwEHURMUu+i&#10;RYulb9++UrN6DSmQN58UzF9QihYpJrVr15VOjiip5R2eRC0sPSWMOxolXMWRLyqYDGmUN0o4MEAi&#10;/qT/WQTMDcvM3h27ojS5SusW587XukDKE/YfPKxuaUiag2S7Z4Mh5YC3CTcdnieU8sWLl/4K9zv+&#10;ZurWEMzguoVfuI6PnzghmzaFy+hRo7WNZYlixSXj9z8oEUOOrVq1kUExpJhUJIwShtg7duwidRzR&#10;F3NKGDJu2KiJ1g4nJCP7owTMl71246ZEX3DKd/ceWb5yjVO8i3Rs4MLFyyQ8cosmW3GDQ9J2YxsM&#10;BoMhJYA3BxIeP268NG3cRJVw3tx5dLADSVMdOnRWwoQYk4SIY5Tw4CHDpWXL1poZXaF8JSX8xk2a&#10;SY9effRv8elb/VECZrdMfSLdb3Azo3znzFuo83sjNm+VY8dPKvnartpgMBgMKQnyI045ftqxY6fM&#10;nTNX21hWq1JVM6Qh4nJly0vjxk2lZ6++WlaUEBdxXEDiuLaZ1NS+fSepW6e+lC5VRmca814oYRqE&#10;+D3XD74EvCFso5IqypfEKmK+s+cu0OYa9HPeFLFZDh85purY78AYDAaDwZASgIgpVQrbECZdOneR&#10;HFmzSfYfs+q/TFVq4dRqD0jYESMEmhQuacgcIm7dqq2Ud0Rfrkx5VcKNHAmjhD93cIQvAa9Zuy5G&#10;+e7ROb1/tpVc+k75MijfkjkMBoPBkJqAh/DEHnUkvGjhIunZo6fUrllL8uXJq6VKTFVixnDXbj1V&#10;CSdF+0pIHILt1buftGnTXl8fxV2lcjVp0qSZdOrSTQdH+D03NnwJeNnyFbJzV5QqX4YoeMqXhCum&#10;uBjxGgwGgyEtAV46duy4REREyoABA6V0yVKSM3sOyfRDRilSqIg0a9Yy0L7SkXBSqGDgKeG2bdur&#10;Ei5ZopRmRzdo2Fhd359S3L4EPHXqdM12Jt6L8oV8Ub5Hj5/Q8YFW32swGAyGtATykMj6pyRvzZq1&#10;gQzpps2kYL4CkidXHildqqzUq9dAW0ySmJXUSrhVq7ZSq2ZtJWEStPg/PaU/lh3tS8D4ykm4YqiC&#10;p3whX76gJVsZDAaDIU0ihqNwSUPEkydPkYrlK+iQf5RwAUfGjZs0l34xA/79SDEhGOHInNej/IkB&#10;Dvny5JPatepqUlb/j/SN9iXgPn37O/W7QEuNUL70pEX5+n5hg8FgMBjSEEjMgoTDwyNk5IiR0qRx&#10;EylcsLDkypFLE7Po50wXq6RWwt2799J4cMUKlRwqS02niNt36KyZ0cNGjH7veb4EjESnrzPZziRc&#10;WVtJg8FgMAQLUMFwFrXCtK+cNm26ds3K9mNWyZYlq+TPW0AaNmysSjghDTQ+BJK8evbuJ02btZTi&#10;xUq498nvyL6h9OrTz7c8yZeAeTDke+jIUZ2I4vcFDQaDwWBIy0AJ472N3LxFhg8bLg0dGRYtXERy&#10;ZM2uSrhRo6YqOFGnn1M29Cl4owxR19Wr19R4sNc3mvcZ6d4jdlKWLwEPcR/00OGjOs3IMp4NBoPB&#10;EIxACcNhDHJgCMn06TOkXp16qoTJkCYmjBIeNGSYI+FRH81Y/hx4rmj6Rrdr11Hq1KmvJEyLTMqT&#10;yJiOTfS+BDx5yjSdR+r3hQwGg8FgCCbQWAolvG3bdhk6ZGjMEIf88sN3GbR+t60jQjKZk2qAAwlZ&#10;tMFs07a9tqvEFU2GdJeu3aXfgEGqhHmcLwEvXbZcpbvfFzEYDAaDIZhAPJhcJmZdk5g1YfwEqV6l&#10;qnz1xZdaolShfEVp2fLPAQ70fY5LqvEBrwEJQ+oo7LKO5BnmX6NGTWnfodO7xC9fAl6/IczKjQwG&#10;g8GQrnDDCUvc0Zs3b9GOWYXyF5B8ufNqdnS1KtV1lCGzf5MiMxoQD+7QsYvWH1esWFmKFi0mjRo1&#10;URc1BN3aKeT3CDhs40bfD28wGAwGQ7BCJ/xdvyEnTpyUZUuXSb++/XSAw/fffKsu6cpOpdJAAyXs&#10;R6jxBUQOoXfq1FWqV6+h7TGrVauhpUl9+g2QVq3bvU/AcecBGwwGg8GQXuANcNgQa4BDzmw5JE+u&#10;3FLdEWT3Hr2dQg2MMfQj1s+FJmU5Eh44aIi6ogsVLKTubhRxh46dpXmLVkbABoPBYAgdeAMcIOH5&#10;8+YrCVepVFmyZs4iRQsXVbKkbIiukH7EGh9AwpA5pUkNGzbRIf7FixZXEm7YqLERsMFgMBhCDyRm&#10;HTx4SHtHd+zQUbJm+VHLk8qULqvzfXv37a8qOCnKk4gH9+k3UOiOle3HbNovumbtOkbABoPBYAg9&#10;eN2yDh0+IlOnTJWG9RtI2dKltWyI8qTWbdonSd9oCJhmH5Bw8+atpFTJMjo/uFSpMkbABoPBYAht&#10;bNm6VcaOHSsN6tWXLBkzOiWcU+rUrqeu6IFJlJQFEfN69KKuUqWa5M6dxwjYYDAYDKGNo8eOawXQ&#10;4EGDpXzZclIof0EpUayE1KheS6caoYITm5QFGFHYsVNXHdqQI3sOI2CDwWAwhDYoT7pw4aIsW7Zc&#10;2rRpI6VKlJQfM2XWzOjGjZvpWMHEuqIB3bZI7mratLlk/TGrEbDBYDAYQhvEg2lZuXt3lMyYMVPa&#10;tW2njTqyZ82m4wVbtGgtvXr3fW+gQnzBcylN6tChsxQuVNgI2GAwGAyhDbo/gvNOBR88dFgHN1Sv&#10;Wk1yZMuuA/bLlinrlHH79wYqJASQcO8+/aVylapGwAaDwWAwAEqTrly9pj2j+/bpq52yCuTLr67o&#10;OnXqSc+efZIkKYv5wPUbNDICNhgMBoMBeCMMjx0/ofXBgwYOkjKlSkvG73+Q0u7fJk2aa6csP1KN&#10;D2hT2bxlayNgg8FgMBhi48qVq3Ls2HFZumSpNGvSVPI6BVykUBEpV66CtGzVRoYMG5nooQ2+05CM&#10;gA0Gg8EQylBXtCPhXbt2y+hRo7VJR4mixSRH1uxSo0Yt6dm7n7qiE5OQZQRsMBgMBsMHcObsOVm3&#10;dp0O8q9csZJk+PY7dUUzSAFX9PCRo33J9XNgBGwwGAwGwwdAQtbhw0dk5YqV0r5dO8mbO48ULlhI&#10;ShQvKU2bttCa3oRmRRsBGwwGg8HwAXj1wZDw6NGjpXKlSpoV/f033+lkI8qJhg4bmSBXtBGwwWAw&#10;GAwfAFnRkPC56POydu06GTZ0mNYHf/WPL6V4seLSvHnLmPnB8e+SZQRsMBgMBsMngAo+ffqMbN68&#10;Rdq3bSdf/OffJHfOXDrVqFWrtjJoSPxrg42ADQaDwWD4BKgNvnz5ihw+clTGjR0nlSpUlBJOATO6&#10;sEb1mqqChwwbEa94sBGwwWAwGAyfAdzRlCbRoKN///5SrUoV+f7rb6RYkWLSpi2zgwfp3F8/svWD&#10;EbDBYDAYDJ+Jmzdvyb79+2X5ihXSvl17yZblRymYv4DUrFlb2rXvKAMHDfUlWz8YARsMBoPB8Jm4&#10;c+cnuXT5ipw6fUZGjhwlhQoUlLy586oKZsYvWdF+ZOsHI2CDwWAwGOIB4sEkZS1evESaN2su5cqU&#10;k7y58ki5suWlQ8fOMnjoiM9qU2kEbDAYDAZDPOCVJu3YsVOmTZ0mLRwJ58yWXQrkKyCNGzeVnr36&#10;Kgn7kW5sGAEbDAaDwZAAnDx1WrZu2y4DBw6SwgUKSh6ngitVqqLD+/v0HfDJ5hxGwAaDwWAwJABX&#10;r13XBh2zZ82WGtWqazIWKrhihUrSqVNXGTFyzEdJ2AjYYDAYDIZEYEPYRunapatUKFdBpyVBws2b&#10;tZSBg4d+tCzJCNhgMBgMhkRg//4DMn/+AunYoaPkz5NPcmTLrmVJnbt2lwEDh/iSLzACNhgMBoMh&#10;ETh//oKS8ITxE6RsqdKS7cesmhHdpGlzTcjyI19gBGwwGAwGQyJw7foNiY4+L8uXr5BWLVtJqRIl&#10;pXjR4lKhfEVp377TB2PBRsAGg8FgMCQBdu2OkuHDR0i9uvWkYL4CkidnHmnSpJkwKQkSNgI2GAwG&#10;gyEZcOz4CVXBfXr3kZLFS0jWzD/qoIZu3XvJAJ8WlUbABoPBYDAkAS5duiyHDh2WWTNnSeUKFSXD&#10;t99JmdJlpHmLVr6xYCNgg8FgMBiSANdv3JTo8xdk3br10rZ1G+0TXcIpYWYGt3Vky6jC2LFgI2CD&#10;wWAwGJIAtKikT/SevftkxIiRUqtmLSlapKjkzplbGjZsLMNHjP7LvGAjYIPBYDAYkhAnT56SJUuW&#10;Ss+evaRcmbKSKUNGqV6thranHDxk+DsVbARsMBgMBkMS4uKlyxK1Z6+2qKztVPC3X30tZcuU03nB&#10;vfv2f6eCjYANBoPBYEhCEAs+dy5aubRVi5aSJWMmKV6suNSpU086dur6blShEbDBYDAYDEkIRhVC&#10;wnv37tOSpMIFC0nhQoWlWNFi0qxZCxk2fJQRsMFgMBgMyQXGFU6aNNkp37pSwingrFl+lNq16mhN&#10;MCq4ddv2RsAGg8FgMCQ1zl+4qCVJw4YOk+pVq2ksmPaUXbv31ElJrdq0MwI2GAwGgyGpQY9oGnOs&#10;XLlKWjRrLv/8+xdSvFgJadmqjTbmaNmqrRGwwWAwGAxJjZu3buvA/h07dkq3Ll0lU4YfNBZcvUZN&#10;bcxBhywjYIPBYDAYkhg05rhx85bWBQ8dMlTy5s4jBQsU1GSsho2aSJNmLYyADQaDwWBIakDAZEQz&#10;L3je3HnSrGkzKV+2nOTInl2qVq0mDRo2NgI2GAwGgyG5cO3adYmIjJTx48dL3dp15NuvvpKSJUpK&#10;7Tp1jYANBoPBYEgu4IY+eOiwrF27Ttq2aSvff/2NFCpQSCpUrGQEbDAYDAZDcgE39IWLl+TosePS&#10;t09f+eHb73RAQ5EixY2ADQaDwWBILhALpjMWPaLHjh0nhQsUlIL5C0ie3HmMgA0Gg8FgSE6ggilL&#10;mjdvvsaBS5csJVkyZzECNhgMBoMhuYESXr9+g/aHZlZwhu8zGAEbDAaDwZDcgIAZ1r9gwUJpRzLW&#10;N98aARsMBoPBkBI4dfqM7Ni5S/r37WcEbDAYDAZDSuHy5Ss6JWnUyFHyw3ffGwEbDAaDwZASuHX7&#10;jg5pmDF9huTIlt0I2GAwGAyGlADZ0JDwqlWrpXKlykbABoPBYDCkJLZt3y5t29o4QoPBYDAYUhT7&#10;DxyUfv36GwEbDAaDwZCSOHXqtIwfP8EI2GAwGAyGlMTFi5dkztx5RsAGg8FgMKQkmJC0avVqI2CD&#10;wWAwGFISZEOvW7/BCNhgMBgMhpQEbSnDNm40AjYYDAaDIaUB1xoBGwwGg8GQwjACNhgMBoMhFWAE&#10;bDAYDAZDKsAI2GAwGAyGVIARsMFgMBgMqQAjYIPBYDAYUgFGwAaDwWAwpAKMgA0Gg8FgSAUYARsM&#10;BoPBkAowAjYYDAaDIRVgBGwwGAwGQyrACNhgMBgMhlSAEbDBYDAYDKkAI2CDwWAwGFIBRsAGg8Fg&#10;MKQCjIANBoPBYEgFGAEbDAaDwZAKMAI2GAwGgyEV4EvAS5Yuk7Pnog0Gg8FgMCQT4Nr3CLhBvfrS&#10;q0dPg8FgMBgMyQS49j0C/t//9/8jX/7t7waDwWAwGJIJcO17BNyuTRsZM2qUwWAwGAyGZAJc+x4B&#10;79y5U16/fm0wGAwGgyGZANe+R8CHDx8WMzMzMzMzs+QzuNYI2MzMzMzMLIXNCNjMzMzMzCwVzAjY&#10;zMzMzMwsFcwI2MzMzMzMLBXMCNjMzMzMzCwVzAjYzMzMzMwsFcwI2MzMzMzMLBXMCNjMzMzMzCwV&#10;zAjYzMzMzMwsFcwI2MzMzMzMLBXMCNjMzMzMzCwVzAjYzMzMzMwsFcwI2MzMzMzMLBXMCNjMzMzM&#10;zCwVzAjYzMzMzMwsFcwI2MzMzMzMLBXMCNjMzMzMzCwVzAjYzMzMzMwsFcwI2MzMzMzMLBXMCNjM&#10;zMzMzCwVzAjYzMzMzMwsFcwI2MzMzMzMLBXMCNjMzMzMzCwVzAjYzMzMzMwsFcwI2MzMzMzMLBXM&#10;CNjMzMzMzCwVzAjYzMzMzMwsFcwI2MzMzMzMLBXMCNjMzMzMzCwVzAjYzMzMzMwsFcwI2MzMzMzM&#10;LBXMCNjMzMzMzCwVzAjYzMzMzMwsFcwI2MzMzMzMLBXMCNjMzMzMzCwVzAjYzMzMzMwsFcwI2MzM&#10;zMzMLBXMCNjMzMzMzCwVzAjYzMzMzMwsFcwI2MzMzMzMLBXMCNjMzMzMzCwVzAjYzMzMzMwsFcwI&#10;2MzMzMzMLBXMCNjMzMzMzCwVzAjYzMzMzMwsFcwI2MzMzMzMLBXMCNjMzMzMzCwVzAjYzMzMzMws&#10;FcwI2MzMzMzMLBXMCNjMzMzMzCwVzAjYzMzMzMwsFcwI2MzMzMzMLBXMCNjMzMzMzCwVzAjYzMzM&#10;zMwsFcwI2MzMzMzMLBXMCNjMzMzMzCwVzAjYzMzMzMwsFcwI2MzMzMzMLBXMCNjMzMzMzCwVzAjY&#10;zMzMzMwsFcwI2MzMzMzMLBXMCNjMzMzMzCwVzAjYzMzMzMwsFcwI2Mwsndr/+T//J8EwMzNLfjMC&#10;NjNLZ/bvf/9bXr9+LQ8fPpIbN2/J+fMX5NSpM3L4yDGHo3/BseMn5NTpMxLtHnP5ylW5eeu2PHDP&#10;e/nypfz2228xr2hmZpYcZgRsZpbODOK8d++enDlzTnbtipLVa9bJ/AWLZNKU6TJx8rS/YPrM2bJg&#10;0RJZtXqthEdslt1Rex0hn1UihoTNzMySz4yAzcyC3P7rv/5Lfv/9d3n+/IXcdIr39JmzsmfvPgkP&#10;j1RihWDnzlsoM2fPk9lz58vc+Qtl3vxFivkLFuvfFy1eJouXLpflK1fLxk0RsmPXbjly9LhcuHhJ&#10;7vx0V168eCm//vqr/Pd//3fMu5qZmSXWjIDNzILcfv/9D3n16pW6kLdu2y6LlyyTWXPmydTpM1Xh&#10;8vMi97tVTgmv27BRNjmlGx6xRbE+bJOscKQLEU+bMdup4qkyeeoM/XmeU83LVqyUKEfmV69dl6fP&#10;nsm//vWvmHc1MzNLrBkBm5kFqaF6Id6fnEI9F31edu2OkiVLVyjponRRtitWrZGwjeGyxRFz1J59&#10;sv/AITl0mPgv8eBj7v8HZcfOKAmP3CJr1q6XJctWuOctVZUMcc+YNUeJe+euKDl56oy6pp89e65u&#10;btSwJWyZmSXcjIDNzILUnr94ocr0wMFDsnZ92DsVC3GuWbde3ciHjx5z5HxBXcmXLl9RlXzl6nV9&#10;HuD/Fy9d1iQsYr9Hjx1XxRu5ZZu6oyHgmbPnKqGvXLVWtm7fKWfOnlM1TLKXuaTNzBJuRsBmZkFg&#10;KE0ID+X56tVrefz4iVy4cFHJEvKdPXeBI8u56jZGse6K2iOnzpx1ZHtNfrp775Mgznvr9h25fuOm&#10;kvHR4ydk246dsjImhuyp6kVLlis5Q8I/3b3r1PAz+fnnn801bWaWADMCNjMLAkNpvn37Vh49fizn&#10;HfHu3bdfXcsLFy2VOfMWONU7X5YuWymbHTkePHxEzp6LlmvXb8hNR6p+hOsHSPj2nZ+UhC874uY1&#10;UMTbd+xSRb1w8VJVxLzfipVrZMvW7XLi5CklbsqezMzM4mdGwGZmacxQu2Q2//HHH/LLL786cnsj&#10;T58+1Zre0055bnfKdOmyFTLHqd4p02aqMl26fJUq02MnTqrqJVbrR7LxAWTM65BVjdJev2GjZlNP&#10;nT5LE7X4mYxpYsrXHdlTtvTzz7+oGubzm5mZfdyMgM3M0pChdHE149bFzXz9xg05eeq0REXt1Tpd&#10;XMIoUeKyCxYu0ThtROQWTa7C5ew104A8/Ug1PvAUMbFi3NIkbW3fuUvWrQ/T90Z1z1+4WJavcOS/&#10;eascPHhY358krV9++cUStMzMPmFGwGZmqWCQk0e2KMbfndolvvv27c+qJO/du6+u5v37DzjlGaZq&#10;c5pTnuMnTpEpTn3iCiYpCvfwcad6r12/6UuiSQlc0/qZHNlTvgQJk/Q1aco0mek+D+VPu3bvURKm&#10;m9bPjoT/+AM1bNnSZmZ+ZgRsZpbCBhlRQvTmzVt58uSpI7e7ci1GZRJzpRsVihKX7/IVqzUJirgr&#10;yhe1GbYxwinR3XLg0GHNXCa7mTisH2kmJXgP4sqBz3lCdrnPGbYpQpYtX6VNPWbOmquu8Q0bw7Xk&#10;ic8WiA+/USK2jGkzs7+aEbCZWQINIvWUrAdin58Cipf63fsPHqpaPH78pGYth20KdyS7TBXl6LET&#10;ZMy4iTJuwmSN81KXS7Yztb4nTp5WNQq54Sb2I8uUwNVrN1R9b9u+U+uHaXXJ5+WzE5detWa9HDx0&#10;RO46Nc9mg+/tHTMzMzMjYDOzeJlHuF73qUePHjsS/EkVLLW2lOdASiQmQT5+oG4XhQhx0ZVqzboN&#10;sswpWxTuvAWLlWxRvfwO0kUNQ9C8ZmzFm5rkC4g1U0PMhmDP3v0ai6YEirgw5VB8D1phbt22U5X9&#10;1avX9HgR32YjYkRsFupmBGxmFg+DfFFyKDrtQHXuvCPVw45kdqjLeOnylVqTixqcMHGKL4jjKpxa&#10;RDGOHT9J/89wBJ5L9yo6U9HP+fiJU0pyEC4gKSq1iTc2+Cx8LhT5RbcxwC2+KSJSNxN8J74b33Gh&#10;21CQvU3HrsdPnmiGNyRsZhbKZgRsZvYR8xQvyVEPHj7UGCgkcvTocU04IjN5bYyCpQ0kxIN6pSsV&#10;atZTtLhkZ8yco8QMMeFmppyHx0G4KF3iqRD5nn37dRACahq1S/mRH/mlJbAx4HOeI1v66DFNDuM7&#10;0biDBiHEsMnYDo/crO0vz547JzccaVPXzGYGMuY4m5mFkhkBm5l9xDzF++DBQ43V0ugCIoFQ6A5F&#10;PSwxWsiUutzFjnAY/7cpPFJdsoCfKd0hgcqr3aWEB7LGvYx79szZaKd0r2ibSEgeMvPKidKS4v0Y&#10;3qlh99n5Lqfdd9rpNik07eB7T3Xfe8q0Gdoqc+nyFaqIqTG+d/++KWKzkDQjYDMzH4MQ3v78sw61&#10;v3Llqhw6fEQ7TzGyD/KlDhdlq5nJjpCJ424I26RkC6kS36VTlEe+qFwSlSBolDLuah6D0vVUbrAQ&#10;7efAI2Ji1mR1b9wUqceJ+PBst/mYM3d+QBFHbNaYOG01f/rpJxt7aBZSZgRsZuZjlM6QvYs6Xbch&#10;TIlj+ozZMm2GU7rzFmqsF3IlmYrHnI0+r8lIh48clb37Duj0oE3hm1X9BZpWzFMVSO0uKpqEKmK7&#10;NLnwYrt+RBasYDPBdyI2fOnyVad0z+kmhk0HHgJc77Nmz1Mvgjf2EKK+7DYjT548Ua+DmVl6NyNg&#10;M7MYI96ryvftW1WkR44e09Ig1O7kqdMDrmNHGgyvX712vRIpPZkhlmPHA5nP+/YfVCIhBhqID6N+&#10;1wZU8toNss39nte9cPGyL3GlV+BOR+mzSeH4UCuMR2CmO55saji+zCXWsYfuMcSHcfs/e/5czwfn&#10;BVVsmdNm6cmMgM3MYowY5PPnL+SmI1+IFYIgeYrB9ihYXMe0goR8cTnjWlaCdcTBwHsSsah9xRUd&#10;sXmLbN2+QwkFRQzpnjp9RptYXL5yLSgSq5ISqGFIGMVPuRZETH/pjeGR7jgv12PsufVp5kFiG20v&#10;GfZw4+ZN7Q5m4w/N0psZAQeh4Z57+ybQoP/e3bty69atROO2A69H/M1rmBBqxve+5UiCmCT1q5TP&#10;kLEMOZDZDCngdmYAAQpu3YaN6k6FfEmq4t9Vq9cpqUAeZPtSE0z7xlAj3E8BMg70lz6qQyRw6eOK&#10;prUliVoo4vkLF6kHgtaXqGey0NkgkZFOJzGrJTYLdjMCDkJ78fy5XDh/XnZs3y6LFy2SyRMnJhrT&#10;pkyR7du2ye3bt1VthGJG6m+//S4nneIi0YqSITpRUTaECuZ3qF7IlcxmyoVQtzSg8ECTDebonnRK&#10;l1F+KD06XREHTW8x3sTCiw9TO0wmNKVLZExzfIkHo4a90Yd4HvA2ED9mIASxc9zTTIoK1c2iWfow&#10;I+AgtLtO9e7cvkOmTposbVu1kioVKiYa1atUUSI+dfKkW9wehGQSDAs6RArx0kACUMNKr2NqWlG/&#10;ZDZDvMR6iftSE5yUE4hCGRccsbKB2eI2N8tiGppQ3sUmCNBrGs8E8fUzZ87JvfsPdPISnbUYZEGc&#10;2HNTGymbBYMZAQeh4TLeGLZRhg4a7IizquTKnj3RyJc7jwweOFAOHzqk5SAsZqFmuN9RsbhBAYs/&#10;MV9I+cix49qVCnVLgwzcp7hFvZpdyDc9lRGlBjxFTKyc80Cjk8gtW9X1j3uf7HPc1CTBrVm7Xsu9&#10;yEI/5kj7Iklt7vg/f/5cydjc02bBYEbAQWjXr12TlStWSrcuXaVwgYLy9//3PxKNr/7xhXTt1Fn2&#10;REXJrZs3NcYWasbCTcx24eIlWnbEgo8au+QUrh9hGJIXEDLxc8gY7wMkTClYwDsxUT0VeCiWLlup&#10;GekQ8fXr150qfqbejIAi/nMIhiljs7RmRsBBaEbAyWPM5GXBJ8mKuCMKmGQr4rmeyvUjCkPygPro&#10;2OMP8USwIeKc0NiExDjGIGoHMmL0ThUTnydEcPDgYTl56rSezytXr8lt91qMfvz558CMYjOztGBG&#10;wEFoRsDJY8S9b966Jfv2H5CVboEnC5qFHmXFIg4h+BGFIXnhNfUgzn7l2nXtN73vwEEd+gDx0g7U&#10;G/zggcz1RYuXavLWlq3bApnUl2jyESBhU8JmacGMgIPQjICTx3BTPn36TMfmEXsk8YcuVpTJkKVL&#10;spXFelMPHPebbhN01alivBKcE5p6RERu1ZIw6rEh5MAQjEXaJpT/U+JEeRgxY1Q0Pb1pfXn7zh1N&#10;4vrll19CMuvfLPXNCDgIzQg4eQxVxPd+8+aNKiYSsabPnCMLFi1VEmbRRwUbAaceOPaA80BYABc1&#10;AyxIjKMj2a7dUTpxac269Y58aaRCJvVMmTBpqm6o+Jk2mHg4SOBiU+WNRzQzS2kzAg5CMwJOPiNR&#10;B1c0cUfcl6go2iXSSpIFm4Webk4eEfiRhCHlQcIWdddkUKOMGelI289NtAN153H5itWy0G2kIGSG&#10;QdDZjAx3aovp5c3AjQcPH2nbS+u4ZZZSZgQchGYEnHyGCmbxvXfvvsZ+mYA0bfos7QFN1ytKYzwl&#10;bElZaQdejBgixkVNzJ4yMZKwzrjzRXb7rqg97nxG6EQqb4QkzT5wU/N7ennzWmRQQ8JmZsltRsBB&#10;aEbAyWceAT969FjOOxVMxyu6MdEZi4xbSHjn7iitCY4+f1EXexb+uIRgSBvASwE5Q8x4Lw4cPKzh&#10;BDwaZFHj3aCN6Fx3bvF4QMJ4OB49fqwNPkKxIY1ZypkRcBCaEXDyGck4xAPv33+gC/bOXbs1XsiQ&#10;AJQwMWHc0rg1d+/Zqy5P4oh+i78hbSA2CTMaEUWMdyMwpzhCh25wXtlkoY5xW6OYaezBWEozs+Qy&#10;I+AgNCPgpDVUL6RLecrTZ8/con1X3cx79u7TkYJk11JrOmHSFG3+wL/0Kl7l1DBDF1BNPJ62lMSO&#10;z1+8JBcvXVE36LXrN61NZRqD564+F31BE7eoHaa7Fu7oqdNmagMWGn8cPXpcxyK+ev1afnP3gxUu&#10;mSW1GQEHoRkBJ63hZqSF4U33vRkbiAKCXFG6EC/Z0BMnT1PyHT12QgwJT9UFm45ZlLkw65dSmDCn&#10;qDZv3aZu6gOHAs0gSA6yaUhpB7EVMYMdGI1IeVKg29ZyTdLivLLx2rFzt5w5c1YnMVlilllSmxFw&#10;EJoRcNIYypdkG8qOrl2/LgcPHtJuSjR28OAl6wQwU//P7ylpgZQnTqa8ZZr+jr9Pnzlba1CZDUzH&#10;ph1OIR90Kgt3NklBuEBxWVM6Q/wYEkCNWXlT6oHjzzkhG5rN10KnhjmPjESk/SXEjIfj1SunhH/7&#10;XYmYa8fMLLFmBByEZgScNIbbGeV77dp1jQcud6Q5f+GSQH9hp2qJD27Ztl3H5KFoKWvZvHW7dmBa&#10;HzMLmElJlLf8qZSnKhkTUyR5CxUNGTPEf33YJl3MSQJCWVEqQ8nMKaewUGI21CF1wDHn2DONidgw&#10;rSwZPUkTFhLvAJ4NErjYMHmNO4yEzRJrRsBBaEbAiTcWT2o+ifEdOHBIG/rTwjCQZLVMxw7iPka1&#10;ok4BTR9YpE87NYtaomUlo/EoYaHONBAnnqptEWljGUCgNSJua/6PqsJ1TQYubS5RXCRzMYYPVzUZ&#10;uNcdGaDKPGXskbIRc/KC48vx5jywOSKkQPId523ajFmaKc0YShp32MQls6QwI+AgNCPgxBkTcn79&#10;9Te56xZd7fu8eq2qHMh39doNSohkwUK+KB4W5tsOtEHk/5evXtNFmqQrsqAhY9QRKpqypYjNW1U9&#10;s4ATS0YB002LxZzh/jSBoPwFeDFkFDI1xzxXh/07xb133wE5fOSovgfvx3v7EYchaaDn2W122Gjh&#10;cmYKE+eD88O5IwzBeaJLGgl2L1++0sEOFhs2S6gZAQehGQEnzn7//Q958eKlZiyvWBkYuoD7mAQc&#10;ul1BdJ8Tk+XvflCl7AgT4jzkCHSXI+bwyC26eHvtEYkhk9AVF6hn4syo6aXLVsiGsI3qEsU1ipva&#10;73MYkh6cR9zSeEE4/pQq4cWYMm2Gxvj5HY8hc96adpgl1IyAg9CMgBNnKBcm47CIEudjUYWIt+/c&#10;7RbcM59Fvh+D565GQUdfuKgxXsbp7XcqGYLfvmO3KitiwpAyTSFY4Ikl4+akMYTXIMJL6KJJBMME&#10;+Mxk7O4/eEhVOpOBdFKTU25+n8WQcKCGOYeQMC0rOQ+cDzwlhBw4F9HR5+XxY1zSv9tAB7N4mxFw&#10;EJoRcOLs/oOHSoQkUM2cNVfLTkiwon4X4vRbjOMDTwmzgAMImXguigp1zXuQdYtKZnE/eCjgvibu&#10;HOg/TU3qXM2yJn48fuJkjS0TP6YZCO5Q3KIMHWAsHxnWVuaUPOD83bh5W067TRRxYcIVZL1PdOdj&#10;+ozZEhYWLhfdeWRTh2fFzCw+ZgQchGYEnDDDVfjrr78q+VEiBJExGYdRdcT7SH6CLP0W4qQGCzuk&#10;jHrFFc4Cf+z4SSVUErveDRFw6phexcSKiR/TrQkFFkgWW6rZumRVs6Gg7vjwkWOqjCFl+iCj4HgP&#10;vrP+TJLXZ7rYDQFwnIj7a2e03VGyctVavXbwnOBBQR2fOxctDx8+0vvGlLBZXCNZj2YudFZj5Om9&#10;+w/kpltvVq5abQQcbGYEnDD7xZHvk6dPlaAgNciMNpMQ3ukz5zTRKiVJyVPJsdUxWdDUCqPGz547&#10;7z7rKdm7/4Bs3b5Dk7qWLF2hXbiIWwdUcaDkibgyiV6o+nXrNyopkLFLghix6OMnT2mmNUSP8kaF&#10;895+n8vwPnDxc45IvKPzGUl2DOjQzlnu2G/YsEnd0Shh3NFmZrGNTdmLly/dPXfHbdbOayIfIaXB&#10;Q4YZAQebGQEnzLgBqPllopGqyVlzVGkSn0Ud+i28qQXI2Yslo5DZNECoECs1yBAxg+eVBKbPUnc1&#10;iV24qKk/ViJ2j+P7bdm6TW92XNZb3fO9LG+NHZsSjhfYJJEMxwKKhwLPBMd8nlPE292xPX/+oiph&#10;asxNCYeecc4pUXv95o08e/5cHj565K6bQGImm1/u4c1btmkPAZq89OzVxwg42MwIOGHGwgjZbgjb&#10;pFnPKBdir5BvWoyhegqZzxZQxoHxel5SF+P1vGECkAAZ1ID4JJnUKHxi3JA0qpm4MuRMDTL9j1HG&#10;vG5Kud3TAzyPBefhyNHjurGhhA0lTDgDJYyrOqCEf4u58sxCxShvpE6cjZpHuFwjhLnYNJNkSYIl&#10;m2ZyT/oPGGgEHGxmBJwwg2hQkDTd0Mk3S5drmVCwqUCPBALDBI5q8hZZ3NzcuKNRwrioKZvxGoBM&#10;mTpDiZiGEqhlSHvHrijtg3z5yjV9TVPCnw8vfk/MHU8DAxzYBHGMt23bqVn2jLSkTtiUcPoy4rnk&#10;k7DBevv2Z91sMcQFtUtjH4iXGn42uYS4yJznvmPTz/1JHwCuFzLpx4wdZwQcbGYEnDC7cuWq9nrG&#10;XYhaoQyILGSIJ5jIx1PG7LJRxcSvGSJBghDfCdcWCtgbGgExaJnVjp2aQMT/UcQ8jkXixMlTpoTj&#10;CW8TRDydTRwqB88CiVmUk5Edffr0Wa03Z6G2jlnpx2i8gov5wYOHet/gSVLX8tZtuhkjcZJrgLwM&#10;1C4EzGafkkPa2FJxQV4HHpRFi5cYAQebGQHHz7hh2LHS3YisVdyy9H3e5giJpBq/BTYtwSPcP5O1&#10;AglbHogvocbYeVMqE7YpXGOT3oAIyJYuW3TVgigYvccxmOyUMpnUO3btdovIWc2Utphw/MDx4tjT&#10;KIXYPMcadzTAM3H16nV58uSpxoRtiENwmbduUF5G9QRq9/Xr1/Ls2XO9DyHeqL37NAykXrVZc/Se&#10;A2zE1M08d75O1WKsqbacPXZcczq4b7l2wjZuNAIONjMCjp+hQEjAwl1I3JfYy4aNmzSRJq13l/KU&#10;LuTIZgHFTmY0C74H4sHspiFYJi8xxzhi8xZZFdNiEzXMxoPEDxQvSWjrN2zS3TmEweLBAoE721pe&#10;xg9/KuHLgdaV7viyqSEMsDhmkhILNS5K4oPWtjJ4zOuYd/fefd1kcR4PHDykG3dIl/sLZUtehZY0&#10;uk0voR2ULn+npSzlgdxX3LfcvxcvX9ENs7fR3ejWISPgIDMj4PgZ7iJuInarxGDmzlsoW9zNgeuV&#10;G8tvYU1NxFa8uLhI+KFDFws8SWN0YKJ0Ki6i3A4bEmaXzeaCeDeJH7ihvSxplDBJQnTTYvEgLsWO&#10;nWMCefBcSJgFgs/g9/kM78NTwiy0JPmhfvAwkBDHceU8opxQwqaC05ZxPojTo3aZDc45opSMLGY2&#10;o+RJEN6hSQ6hKxqxcE+RW0HSIz+zsYeQ8TDt3bdf1xbIlnv4Y/eREXAQmhFw/CwuAROTwe0KEbEb&#10;9bsxUgss5CzWfDYGRVD/G7klUELEzc04RHbWsYkXomVsIi5PwILPYkG3LJKCvOxowC4dEuY1UMIo&#10;34WLlmhiCDHhtes2KMFTpuQRsbmkPw2OEYvtxUtXdDBHYLj/Mt34LF6yXM/daaegAm0rA5OUzFLf&#10;IF/GS+Kh4DyyiTpz5pyqVr0/3L1E3kig7G+RAhJG6TJoBU8a55bH0tGOevuzTumSmwF5Q74fu3+M&#10;gIPQjIDjZ3EJGHcsriEvFuN3Y6QW+Dx8LtzIxKkZDA8gSAgVdUUf6dgEDJlC0nT3YsQh3482iezM&#10;PeKNPRKR3/PYy1euyNlz52TdhjA9LhMmBXbzLC4QOu5tYl2QsN9nNbwPFlxvA8UM4UmOgFHBYOPG&#10;CLnqFniyZlFaZqlvhATwTHDOCOVwL5GwiGfIqyQYNWa8gvuIBE4ImfuDznOMJo3tUva7Jj4GI+Ag&#10;NCPg+FkwEDCfg3j0kWPHVfVCkLSZXLt+g+7CGeBPaQMZtywUuMU8eDFh3M+0ssRNjSrWsYhOiWlm&#10;piNzdu6QOQvJMkfmxLNOuh07GdS7dkdpjJgdPtm8uKfZ3aOGiZ3r0Ae3SJlb+uPwlDAxe5Qw3gbN&#10;Sp86Q5Pftm7drslylCiZEk45Y8Pz5u1b7YTHeYJwicly37AuoGLx/nDdsz4QkuF+4f9samm6greI&#10;+4Hzyj3H8znPn3IzfwxGwNtfwfAAAMOqSURBVEFoRsDxs2AgYOJFLAb0dcZNzGfcuClSyxvI3ibz&#10;GTXKzc5cYnbccaF/cwhkSgfaWgbix6f1+5IYArmysyc7EzUN+TIX+Z47Pgfdfb9m3Xotn+AxxDFJ&#10;MPES1vgcN9zr+31+w5+AhFmQWZwhWxZujbVPma71oBz3ixcv2wCHFLRffvlVh7CQLHfo8BHtRsWm&#10;lOY0JCl63qJxEybpGrHEES8lfXiYyL1A6XI+UbvcY9xvnns5IcrXgxFwEJoRcPzsrdv5Pnj4SBUk&#10;pQK0cGQnmxZiwN5ijZKFfFGrxJaIIXqkl9DPyGtDxh4RsPBAwmRs0ggARcYCc9stJs814eSGxn6p&#10;F6ZzzwK3EaCMCdJGjVPnyDFkaIQ3BpHFyO+9DYFmHWyCcFWymJMdzfEk5o6H4uxZG+CQlEY8l2PJ&#10;wAOULpvKG24tw7PE/cW1C/FyLaNs8fboyM/5i/TcEOIhkYp7b+eu3ap0SaZipCjnEdJNDNn6wQg4&#10;CM0IOH7G0HRqMSE0drwQEG7eE04Z4lb1uzFSCpAvCzX1uxTv4+4i41KzKC99OovyU/AIHiKGyNnN&#10;Q/IMboAMiGddunxZXr16JW/evFFVBiGTMIT7lBGIZE/zLyVLkDHPx5tAS0wWJr/3Nfx57AMEcEpD&#10;Aiz4KC5K4agbjo6+EKOE08/9llpGPFevX3fMcQ9zv3PMvTnOWqM9fZZez4QEiOfSNINNKUmZ3Btc&#10;03iNPLXLhDTvHkxq8gVGwEFoRsDxM29XTImN1gE7cNORtYjr1+/GSCl4ChVFjjJfs3aDxoH5XXKo&#10;SyYsQZ6obEgVJYDr+8HDh5oNihJ78+at3L9/X/bs2euO1zwZM3a89O03UIYOHxXo9BQzBhH1fMwp&#10;ZqY38T383s/wZ9tKarTZvMxfuCRmgMMiVcKQMF2Vfv3tNy2FMfu4QbTEdHErQ7iPHj+Wnxw5MmiF&#10;Wl26TMUeeEC4hZp37nuIGM+PEq8q3ShdB06655H1z3WcXGTrByPgIDQj4PhZ4Ib9t7r8UHCU5tCj&#10;lcQm4sB+N0ZKgJvccw9DZjTEiIjcqiSZHO4ugOI/414fdzdxSfpHcxwuOZVGsxLceJAAbvtTp07L&#10;6lWrZeTI0dKiRSvp3qO3qgdUHJ6EhW4hI3mFOHJab2iSmuA8cj5Z4Emg45hx3OmWxaYLUiZO//jJ&#10;U/XWmH3cNKHKbRJx39Nz+3BMP3TuaUq+SKCi0xseHu51NozqWo6IVKXruZYJ73Dd0gvdi+2mJPkC&#10;I+AgNCPghNllp3ZXuhuR+CdEjIuVhS+lbzoPvCcbAHbgKCFqd6knTM7RiBDBtRs3ZfeefZpgBfAG&#10;HD9+Uqe4eMYid+HCBdkYFiaDBw2SypWqSPv2HfXxlCmRqALIpqbuGPfd+QuX5Oq1G/q9UuN4pnV4&#10;Stgb4EAohE0Q6gxXKRsx3P+0O6QRRKg37MAb4yndV68CLSDJHr/j7lfuETKR2TySoQzJciy5Jsnz&#10;wMXPJgelqzHd3VFaQeAlU3lJVH7nKSVhBByEZgScMGMBZKfsDbVHceIWJM7DwHW/GyQ5AUmxAWBG&#10;Lw02+GwQWXLGVXlPvivvA5GScU0cmKYfuEE9i03APbp1l7y580jrVm3cghGubjsmueDSQ2FAJKvX&#10;rNdNBMrCUxJ+7x/K4Jh4ShgSRgmzEaQTGZtC6k8pIePvuFX//e/QTcxi88EmBOLFvXzebVQps9vu&#10;CBfXMdcb1y9ufDwy8xcsUvUbGHiw2T1ul1YQEHZiYxN9/qKStqd008om0Qg4CM0IOGFGnJOeySS/&#10;sFsmNoRLiixHVKHfDZKcuO0WgKPHT+iCgUsYYiMem9Cs5/iATGbizcTI2Ihs275DFzrPYhNwx/bt&#10;5YfvvpeWzVtIVNQet6CdU7KFMFAaJBWxCLKxwZVOJyBPZZgSfh8cF5Qw55qSJO8Y0jVr2fJVmoV+&#10;Ljpanjx5oolx9JDmfKTHPtIQ7X/9VyCmq+P9fg4MPHj+4oVmMTPMwmuQAbmyYST8QTIVx8y7j3Xg&#10;QeRm3cCQQ0GWPqV4af0aNAIOQjMCTphxY+PioxzBm99K8T3/T41YMAsD5RH0pUb9ssjgJkuJzGKU&#10;N0piiSNfElNo/IEy8MyPgFu1aCl79+7Tz0cJF1mm1Ljihia5jRpXSBiX9v6DgUEXJLUYCf8VKGGO&#10;NYoMckHVEaMMuE0D4RG6k7E5xKNAKc2zZ8/cPZn+aobJNyD5D/fyLXdMyF7WxjBuo0d3NzbLeFsg&#10;XkACFVnNJAFy/eI9IqmQ+4Z+6TzfU7rBsAE0Ag5CMwJOmEEqjBRjkD01f+ygqXVFhaBGUjoWzHuh&#10;Jne7xYbWdiSJkMF5yanH5P4cxMIoxSJGhqKg/Ona9esxR8qfgFu3bCX73efzXgMihkDYPLAw0swA&#10;d6o2m3ALC3+jpAMlktLHNhjA8YAk2Kig3PAosJGhIQTHka5lhAcOuI0Os6whKVQiwwIgLhRxsMSJ&#10;Vem6z8vn/sNdW6wvZH3jYib0wfc7dCgwTQqCJY5LqRDHgusK70DsgQeU7dF3mWMXzCEPI+AgNCPg&#10;hBmurj/++JfutFGbXsYkblhIkJs5JTtjsQBDUMS2KJtgU8ACRMzKIy2/5yUFcBPv3L1Hy5ECyVSr&#10;tE+xZ59DwCx8HDNt3rFzl5IFKgXyILuXZh4cZ+KdeBisVOl9cI4512fORmt2LpsZXK1ck+QpcDwD&#10;82QjtZsZihj3NeEU3NMeEadlY4/AxuHlq1f6uW+478v1wKYX7xPhjLCNEboBQf2TPEV+AVn2bBDX&#10;rd+o7Vi9kiHNYI5RusG+uTMCDkIzAk6cPX36VG9iXKUMOUAJayaw1rSmXF0wiwaLKe5cdvWqRN0i&#10;xCQWPgcE5/e8pABJKSx+uOCJo1EPfOXq1Zgj9HkE7IHPyUaCTlu4BlErtLIcPXaCbnDIQuU7Ue4R&#10;97mGPwGRELskMTBsU7hmnFOrzSCN8RNpDTpTz5PG2c9Fy/0HD5TYKLFDYcZGalnczwHYIFCvy/XO&#10;52YUJl4nNhfce961AviuXI/UStM9DM8A+QoXYjbHwap0PwQj4CA0I+DEGW5oFgOUGfElEjoWL12h&#10;RIEa9TIl/W6YpIbXiAP1w4JDSYXXIIAyCxqFJIdyxPXtTX4h9kjTguvue3sWHwJmUcQdjaphGARJ&#10;ZShqajFxG+KeZjIQmdcQf0p6GYIJXJMcR0j48NFjWjrDsaR0zmsoASnjosXFDxEfdNcNAzUuuA0Q&#10;yvL+/QfahhG1+cuvvyZri0vIlddnreCeInGK2tw7P6Hqb6h3hM0loQhm5HK9bQgLV1VL2RB5GMS8&#10;+ZnvtHrtBr1OyImgTI77k+sU8iVJMj0m9RkBB6EZASfOWDRQDpAsSUS4YCFh6jFxAVIGAgmnxM3O&#10;ewAysSEoyBcXHAsuCSbEuS47lez33MQADwCLIW54pr7gAcA171l8CBjwHTwiPu+OH+5tSJjsaGJ4&#10;Wm/svhvfMSW9DMEG7zhCNlyfniKO2LxFiQoVPHFyYBg84yNRyOQx4P7fuTOQtAXx8RrEjIkXJ5dx&#10;H/H6DDt5+OixbqwInzBli80BiX0odmLZhCW4DvjcqFyvoctSd42ER2xRVcy1zrVDsxi+O8eA7+Hd&#10;I37HK9hhBByEZgScOPN27k+fPnMLViAbmOlDJH2giIlJUR4EmaTUrhvCZ7GldhH3HIqUf8kEJSOU&#10;RZgsT5pd4LZmgWJx8nutj4Hvw3uhVCk/4nsTq2X+MOrJs/gSsAden7pq3IYoHt6DWbgstiSZka1q&#10;BPz54FzhWaB8jqzojeERGiMO1HAv0Y0NWewMeCCRDmVMPgEeFLLUNV56LlpfA2Im2YnX9IBaffjw&#10;oSPQR38BiVFMyeIawwPjPZ57gg0qypa2j7w+XiOSorbt2Kmfj80An4XPGIjpLlR3MzFd8hxQ9Hh7&#10;KL3DxYzaJwbOdcF7pUZNfmrBCDgIzQg48QYJk4VJZx0WKBI9GJ5OaRJkweJASQOLTkKILr7gPRgz&#10;CMGyIEFeuOpYXFnEWLiIE6MgcctBwowGjO/mgO/DYkwGNE00aEi/2ZH8WbegUuriWUIJ2FMrXnIW&#10;LkX6R0MUEAO9o/nsfs81vA9qxXVT49Qlx41YO6EJNmpkztM9DZVJwhaxU5Sm1se66xjPDl4dL9GQ&#10;cAOPJ9SiiNgsu/cQY2W+9Km/gAYW+90mjc5seIXYPLFR5XziLvaasPD6ZCxPd++NF0nf3wHVyzmH&#10;hNkwUKPLBoLyNJQuSVSEVyB0vpsqXncPeNeP37FIjzACDkIzAk4aQwVTg8hunyShNWvWa2cdFBuL&#10;DJm9LESQCTvzlCBiFiMUhjeYn3pQFAOKgtaZEDMLGTEy4sYoTRrJoyAor2KBZorSlauBhQ1AuqiL&#10;gJIKDN8nWYpFm5moKBja+9H/2bOEErAHL7mMrG56HuNW37Zjl6omFl2/5xg+DciYY4u3BOKkgxnX&#10;CcqXjHY2aihNstCJsRLfZ0NJ/BglqnW07jHMu4WUuba4rghBxAbeF5TsylVrdSPI/YC7WOvG3bn0&#10;Wj5CwLwPapzXZjPAY3kur8Nni9q7P1Cn6869N9oPwg0lov0QjICD0IyAk8Y8VzQkTNcdCCMsLFwJ&#10;mAWGhYZdP6QFKbJo+N1ESQlVwu59PFcfixbuYtx7xKtRMEudqkCBsICy6KJKaGWJ25FYGtnIuKsh&#10;XPCuuYFTMyysjD3ku7EgQ5C8F83tIV3PkpqAcUHiSuezsCnwe47h04C0IGHPLUwCH9cJx5VrhY3b&#10;XqeO2TzixeH6XbsuTOPxSpBLlmuzFM4HFQAkyqFWUc+xwe9muHsA8iZMQSgB8kXR8lqQMspWXcmb&#10;t+q1hSo/6DayR92mkLF+XHt8NqZlEdclkQqvjad0/b5fqMEIOAjNCDhpzSNh+u+iBlGFkBPuNEgO&#10;EoEEcf2iJFn4EhqDjS94H1QDMWnI1RsoTkIOCyIKRjOnHQlTK8liiEpmQeTx1I7yM+RNEwNihTPc&#10;4spiTLwONzGzkqknZUPiWWIJmOPkddvShieO9Cl7YkFOjqxuw5+DNjjGECDXDJ4drgOuCa4BsCl8&#10;s3aYYvOGGuZa4vzEBtcHRL0ct7V7rPdcEqZwSTMEgWuLODNZzt5kITZebLBCKY6bGBgBB6EZASet&#10;QTyBlni/aj/k06fPKumiEKjNpZSGHT/kx4KDG9VLGPG7qZISkDxJTSxsLKyMKkTdsugRD6ZzFnG8&#10;HU79aqzOER4qGbJlcUXxoGBwQaJsYsd9cVez6fj111/1GCQlAQfqgo9qbN3byBw4dFgzulPCkxCK&#10;UHXsrheuy6tuk8g1g/r0FDJhigBIoDorJ9wGiQ0Y1xKhlr/ihIY3iNfy2D+fS6jjvFO3F/V1PdJl&#10;U8r7ksfANWsK9/NgBByEZgScPEbDAFrjkf3J7p7YFuUSY8ZNVBVHfIt4GfWZKGXtPXs+EHf1FiOI&#10;GbcgLjdcuyxMARCLDcRjEwviu7wHiyGuZVU423eqCiajGbLTBiOO+Pj8NMbADUzMDvc1E41Qpy9e&#10;vHhP+XqWWAJmo4DiJZubz8CxO3z0uKqjlPAcGAzBACPgIDQj4OQxXNEoQsgUtYv6pXaRDj30pNW4&#10;8ILFmuiCwsSFx1g03HkoT2JulDBRWkG2J7FYCNJTE4CfKSlJDFDhvAeKl/gvbmjiusSFtYeuI1tq&#10;RfnsqF4SoOh4hdsQxXPNbQweP34iv7lz/KF+woklYDYHbGL4bJOmTNMYImrK4n8Gw58wAg5CMwJO&#10;WoOAIBy6+aAwaSRAXJWhAp6CxI0KmZE5jDuX7FL+D9nxO9y6uHu9Ug/KLjZv3aZZoGT/Khw5Q5rE&#10;aROKiMit+vrEqYnTodIp/6C5ARuFQIOGQPN6fg8x4wYmY5pOV5QasdH4lCWegM9p7JnjwWchcQdX&#10;pt9jDYZQhRFwEJoRcNIaY95oQkEiCSoRciNuSokF7lwID/LjbyhPlJ2X3ERJEF1/yFIm85RMZP5P&#10;0gt1mhAuZAwJUkqEK5YM1MSAmDRK16u7RJ3jJmezwN9R57ijIXwm6Zw+fUZu3rylLmfivZ/TvN8I&#10;2GBIfhgBp7B5yS4sggnF1atXZcXyFdKtc5ckJeAuHTtJ1O7dcvPGDW3V6Pfen4L3/UAwGJ/z9es3&#10;2kKP+C6NL1CSKFvczbiWKe3ALe2XPIQ7lVgvceBAoss57WELUUPKW5wKpkaTjFISoLyYMvAa0I8a&#10;Mz5JQNkI7nC6WhHjpesRSWUMn6DGl3gv6vdPfPjcGQEbDMkPI+AUMhY/VOXLly/lwf37cu/evQTj&#10;4IEDMnP6dGnjFsT8efL6Emp88c+//0NatWgh69aslSPu/N+8cdP3vT+FBw8eyOPHj+XVq1e6iKdl&#10;oxMWTThQvsR86TgFAePWxQVNP2NitpAvrmm/5CEIGGLm7xAxyVGQMYQOCRL3pLMVCUkoaJQ0tZOo&#10;Yco/IE3cxhCyH6nGBxAd5VMoeHWDR2x2SjxQH0wzfEa5kTkNiAWzYbh8+Yq6pmlJ+OjRI6eSX8rP&#10;P/+siD53zgjYYEhGGAGngKEoIF/md96+dUtOnTwpx48dSzA2rF8vI4cPl0YNGkjuHDl9CTW+gIAb&#10;1qsvs2fOkk1hG5Xk/d77Uzh96pRcOH/eKa+ftLY2LdsLtxk6deqMumshLly5qF7qHimZIWvZK6n4&#10;VOKQ9xgPPC82vOYJlOHQho/Xp3kGyUkkKXkxXD9i/VzwfIh87HgwSYkdMMqO7xYbxLBJkGLO7I6d&#10;u5Scz7mNCK7qJ0+e6EbxzBl3bIyADYZkgxFwChgEjALGrXv27FlZu3q1KlhIdMigQfFGl06dpF7t&#10;2lK8SFHJ9H0GX0KNL774z79J8cJFpEXTZuraHti/v+97fwqzZ86UrVu2yHlHwq/cIp4WjZgv5IuL&#10;llgtcV4yhSFhsopJWKKtI8Tpd9MkFBAzdZLUaPL6tBKkOxQbABRxQH0vUBDLpesQv6e0iK5DqHLU&#10;c1ywYeBvPGalezw1y177QGLONFagVaDXnpASJSYgUSfMsHfAc3G3b9+x851ajozcIsuWLZdOHTtJ&#10;3lx5pGuXrvp7v+8WF3RBIlubpiFeGRIZ4VaGZDD8CSPgFDJImDjb/n37lHibNGwohfIXkOxZfow3&#10;fsyYSX749jv59p9fyZd/+7svoSYE37jXy5ThB339bD7v+zloVL+BqujDBw/JU6ek0qK9fv1a3a70&#10;0aUnLsMCICnIDPesdvJxROl3wyQWqo4d3iniK4EG+yhikrWIFwOmIFHfS9kRE5tOn43Wx9FYIS6o&#10;P1a3t1OdkDo1ygCyJBbNJgMXO81FGBG3Zu0GJXZUKURMMhcqdbIjSmLfgUb+szXRiwzvzp27SpnS&#10;ZWVA/4FKon7fKy74THwW4urUI3N8rROWwfBXGAGnsOGeXeMUcL8+faR8mTJKdF9/+U9fQgwmQL5l&#10;S5WWPr16yaaNG+XSpUvy+tXrmG+dNszbBDE0HIIiYQlFSL0vP6PYaKzhd6MkFzz3NO0miRVTAgVI&#10;/CI2TWMPmnrQDetD7f0gdV6DjYPXGxgEYtHn3nU7gjxR9xAhyptsbUiZGmEUM/XNAW9A4JgEyqxm&#10;SJ++A6RJk2YyevRYidq7Tz/Tp7pZ8TmIgaOqIXWyyskcRxnzOf2eYzCEGoyAU9jevnmjiUrhmzZJ&#10;z+7dpWK5cpL5hx98SS2YUKl8BRk2eIjGj2/cuPEu6zYtGeRLYhgEgNsXVy/N5hcvXaFqk5Z6N26m&#10;fJtEdU07QiOJi88AcFOjFCFWiBei5nF+zweqrGPInNfycP3GX2e58tqQIyQaUM6BNoXEZyFpvALU&#10;L69eu05d4sSnR4waK/0HDHbKeKaOsGNzwOv4fQ4P/J04MP2pjYANBn8YAaeSXXYKcdXKlaoYy5cp&#10;q27fb4JMCf/jP/5TsmXOorHjvr16S2R4hH6vn9/+HPMt05b98ccf6n6GGFB72qhChxJEqpvX7wZJ&#10;b4CoYyvmQOZ2wA3OMUB9Uz+MRwA17LmnSeqiExjHDXc2Xb1wf39ICfO6kC3dwXgN4s9kY3Ps2Qz4&#10;PcdgCDUYAaeSvX71Sm7duqVKuHfPnqqEs2bO7Et0aRVkTlerVFmGDBosYRs2aP0w5UdpTfl6RhY6&#10;dbE0pyD2SYyTuC9tI1GCfjdIeoOnklGoECRuYq+fNE1DNoTFxIhXrtHOXiSnQbyQMMlUU50KZtNC&#10;iRPxcmYP+70PLnNUNj2q6SjmDeTHHf4p9WwwhAqMgFPZrl+/LqtWrJBePXqoEs74/ffy9Rdf+hJe&#10;WgGJX5l/yCiF8xeQfr37yJbNW+TK5cvy+29pu3sWbRgvOKW3bdsOLcOhpSRxUFyw6VWVeYo34OK+&#10;obFh4sKMqmPjgVsYZap9pTVBa70ScADr1RWN6iUrm7gwJEyCFuoY9zIDKSB03iP2+5LtzTGlU5hO&#10;YZozTzPMP0baBkOowQg4lQ3FSGcrlHDf3r2lQtlykv3HrL7El1bw/TffSvUqVWVQ/wEStn6Dtq58&#10;+eLFZ/UYTk17+PChMGoNoqErFY039h84qEQBifjdIMEOFC/ki9olo5pmILTFhGBJvgrbGBjmTy0w&#10;REztbtSevdpNi4Qrr+UmGxW8BajfwNCHuUrMxIxRunEzm71Mb7KwUdCAUideL1S8DQbDp2AEnEaM&#10;xhWrV66U7l27SrnSZeS7r75WF68fAaYWUL4ZHPlSPtW/bz/ZtmWrXHObh7ROvJ7hfoZc6JWMAqYO&#10;llIZvxsjPQDyRfUS32U2L+VITHDCHYxrmeQz6of5PUQKQeOSposXGdhxQZY4w9wXLVmuPagpUcKt&#10;jAr+kFuZjGsS3SBg6pKJL+Nx8HuswRBqMAJOI0Zy0MWLFyV840bp16evlijlzJrNlwhTC5kz/KDK&#10;F/KlGxcx3xfPn2t5TzAYigwCIL5JVi4KMD0mX+EODpDvdSVV3MveoH6ymInL7nLKFEIlo5kMaBQy&#10;WdFkSEOmPDcuaB5CpnTE5q2qgqfPmK2bGZQzBO33WQ4ePqINRebOW6hua94fF7jfYw2GUIMRcBoz&#10;2gCuW7NGu12VLVVKvnQqmC5VfoSYUuD9GdZQpEBBdTujfCk1Cja7cfOm1r2ixGgBCSmlRzKAgHEJ&#10;Q6q4l8lARrXyvSHL6AuXNEkKN7Hf8z8Ez5196MhRJVWym1HSuLMhZr/nkC2Ny5v353OguE84le33&#10;WIMh1GAEnMaMJvi0caQHb/++faVMyVKSM1u2JO149bnwiDdf7tza4Wrk8BFaaoTbGeUbbBYqBEx5&#10;Ed8L9y/1zsRqwyO2yL79B+XUmbNaY+yXOPUpeMoalzMJVcTQceUTF97rXvuGI2f+Hvs5qOvNW7bL&#10;8hWrNRGLz3LoyDEl8riPNRhCDUbAacxw5xJTpRk+pT2dOnTQDlNfffGFL0kmJ4hBf//1N1K9ShWZ&#10;M2uWDpFgYo43ui7YLFQIGDfyHke+G8I2aS9mQPZxQkjXD8SUd+/ZqxnSlHKRFb19527t2BW3Lhi3&#10;NYlXJGB5ipmNAZsAMqVjP9ZgCDUYAadRY3rS+ehojbWihMuVLi05smZTRepHlkmJ2C5nhjNMnjRJ&#10;e1gzRhGFHqzmETAqDJcofZHT44QesowZe8gABJQq2cxnzkYnCfkCJjpRxkS/ahK6qA0mLsyUJ0g4&#10;9mPJkCbRjdgvoxe19MuRNS0/rSGHIdRhBJxGDYXJ9CSUML2Vu3burHXCZCH7kWZSAvJF+eJ2Xr5s&#10;mZw7e1YHK9DGEfUbrOYRMPFLhgMwRQh3qt+NEcwgIYpsZzKPiQGfj5ln7PfYhID4MvXETE3iOJIR&#10;TYkSCV0XLl3+y2Nxh6OYKX8iG5rypYjNW7QhxyWn1GM/1mAINRgBp3GDiBngwAhDb4ADgw++/jLp&#10;m3WgfHE7o3wbN2goUydPlhNOvTx9+lQVebDb7dt3nPrapYMHGMKwYtVaRwSnfG+MYAZql0zvqdNm&#10;av2uDnJIQncvrwWhHz5yTFU2zTlwc9PYI+4wCx5LBjVlTmSeU7rEY3FL456O/ViDIdRgBBwExmCD&#10;Rw8f/nWAQ4akH+DgKd/mTZuq8j3pVArkSw/lYFa+nt27dz8wo3btelWHJA9RpuN3YwQz3hHw9Fmy&#10;c/ceTXZKKvcz8JKxKOHCnT9p8jQd7g+p8t5+j+U4E3unAQojIKkntmxoQ6jDCDiIjEEHNOsIdMwq&#10;K1kzZU6SAQ5ezJcGG3Vq1pKpU6bIWdzOMeSbXuzRo8dywileMoMhYKb9MIc3qZKT0gpiEzD1vn6P&#10;SQoQP4dU6RPN+9Ex60NJbbj614dt1JaW8+YvUi8EzUGY9JSejr3BEB8YAQeR0azjzu3bEhEeHjPA&#10;obySsB+pfi6YaAT5Zvzue2ndsqUsW7pUjh49+s7tnB6Ur2deL2g6P6HEcEN7YwjjZu8GM9IiAZOg&#10;tXX7Dke8q2SmO/Y05tjtFPO1GzeT1D1uMAQTjICD0K5fu6ajDCFhlHCm7zMkaIADyhcFnT9PHqle&#10;uYpMnzZNB+lDVGl1olFi7NWr13LLES19jgOzgOdpZyySlohT+t0gwQhNwlq9VsuDaLxB0lRy1NzG&#10;h4DpsoW3IWxTuBIwmwPmDhMzpiTJ7zkGQ3qHEXAQGgMcrjkSRgnjjiYmHN8BDpAvpJ3DPa9t69ay&#10;aMFCOXzokDx//lyzr9OT8vXs119/lSdPnsqxYyfUFUorRbJ3IQayev1ukGAEvZZpO0nJD2qfjljJ&#10;scGIDwGjdFHBxKTpiDV56p+JW3w+v+cYDOkdRsBBbD/duSOrV62SHt26aYkSCVS4k/0INzZwO3/7&#10;z68kV7bsUq1yZZk9c5aORUT5pkfi9Ywyqp9//kWioy9oIw7m1C5bsVK2bNuuHaLSSyySsh/Krei9&#10;zL/0Y4bkkur7eYlVf0nCWrVWJx/FTcLyQKwXEj589Lg+h9IlMqgZaUhJksWBDaEII+AgNmLCuIzJ&#10;jqZZByT8qQEOnvLNmyu3tGvdRubOni2HnAqh3hiFGIwdrj7X2FxAwtev39CRhLihScQig5f+xukl&#10;GYtOWLSd3BgeoS7fjeGRwtD9pGr/yHEibk53LUhey5DWrpd9Bw6+V4bkgePK806dPqP119QEz52/&#10;UGuy+az8LTnc5AZDWoYRcDqwx48fy9o1a7RZBx2zUMFf+PSORvlCvlkyZnLKt4osmDdfle+LFy9i&#10;Xik07P79B+ouZfGnlSJEjHqjtjU9tEfUXtBnz8ne/QfezfDF9Qsxe/HgxGw0eH3cybui9qgr/10j&#10;Dkfyn3Llo85xiy9eslybcjCsn+lMeuzTUSKcwfA5MAJOB0Z7SJp10DGLUYFMUWKAwxd/+3OKkldq&#10;VDBffmnTqpXMnD7jXcwX5RtK9vz5C42TbnFEgAKGBGhLSWOJ9BALRk3SLhK1CbkRn924KVK7UVGP&#10;y3eERBOqOC9cvKzkjpJlGIPXcUsTqj4Ra0Y5U34UHrFZjz3qGfKmIQqJWrfvmCvaEDowAk4nhuuY&#10;5Kw/BziU+ks82BusULNadVm6ZIlcvXpV3c7p2eX8IfvFbTgeUhN88pRTwStlwqSp6koNxCPTT2cs&#10;VCVJThDlshWrNfmJ78iIQMgOovZ73qdAohVubdQvm5c5cxdoSRHq+lOvyWNQwTREwQMxbsJkjQmz&#10;OaBWOKGfyWAIRhgBpyPTAQ5OCUPCKGHc0blz5FDipb1ky+bNZdrUqXLkyBFNuCLbORSNOPCbt2+V&#10;oCK3bNPGEKgxkoIo20Eh8rdgjwfj0j177rwcOHhYlTCzeMM2Ruighm07dupEIwiaHs4kVJGIRhJV&#10;XKCkj7vNCsqVumm6WC1ctFTjuAsXB3pq8xqQ56eOGaqbY3vy1GlZ755HJjrHftnyVTo0AgVtzTkM&#10;oQIj4HRkqFlIGCXsDXCoUrGS9o5uWK++LF+2XKKjo5V8GXkYiuoX43uTkPX06TONWzJQnpId3KGQ&#10;1GH3O1RasCcFeYlPuJshWOLekCXKlQSoeQsCSVD8jo0IfaOJhccFtdIMUFi5ep0+jxre8ROnaJ3x&#10;2nVhsmff/nj1deZzocB5XfpD48Lm9VDVDI5AJRsBG0IBRsDp0CAXYsLr1qyRyRMnSq8ePWTm9Oly&#10;8kT6GayQFPb255/lhiMnFCKZ0IzVwxVNTBKX6mmnCElcSg9EzFhAVCezeFHAZIGz2UCFMipwsyNg&#10;kqMgYQ8QJL/jsStWrVFPAZsU6n4p4VqydIXs2BWlLukrV+NXZ4wKRlFDuijg0WMnaHtKXNMkeFlC&#10;liEUYAScTo3ELLKjr165IseOHpWLFy9qwlWwjxRMSqPbF65ob0oS2dBkRU+ZNlPJADctNaooMr+b&#10;J5gQUMK3NAkK9Xnm7DlNyNp/4KBE7dmrrnfisLEJmCQ1lPHqNetk/gLivbM0Zsvx8WqMUdZeZrXf&#10;+34IN2/dUS8DJAy5jxozXttTsiFgQwRB+z3PYEhPMAIOIvv57c/y4MEDuXf3rty/f19dyZ9Ss8R5&#10;KTN68+aNb3tJXNHUE/O6jx49kidPnuj0pf92v0/vhiua74/LnqxoWiPS2QkXK6oMEoaAIAlUHsQF&#10;MaSHRCFIE1VMjBgShYyp66Um13M7o05XrVmvM39JtuK48C+xcgbwc1x4Db/X/xQgbFzjNAiByHFn&#10;EwbAJb1l63b9fUKI3WAIJhgBB5H95BajPVFRsm3LVtntFNvpU6eVhD9mEAwTjVC+fjFfCPyaU0W8&#10;7sEDB1Qt3759W/74Pf1MQfqYcUw4PngHWPAZMr9s+Up1t05zhIMqJlN6kyMj3KNnzkWnC3UGseHm&#10;hQT5PrjaUaS0l+R74nrGLU/fZhTveKd8Z86aqxsUOoeRlHX5SsKHWOAW5zN4s4JXobJjaopR3IeP&#10;HNUNj7miDekZRsBBYB6JHj92XKZPnSYjhw2XsaNGaznR2dNn5NXLl/GO66KGUb63b92SyIgIGT9m&#10;rEyfMlXmzZmrRIwqxFUdColafE+O74sXL+XY8ROywilfBjWMGTdRxk8MuFzJ9qWzFJnDR4+d0IEH&#10;EBYKEBKBvL0s4OROIPLIM6Hgc/J5IV5c0nwHkqgg1f0xGdPr1m9UNUq8d/jIMdK3/yAd8B8euVmO&#10;umN0JYl6S/NZyLLetTtKPQ6UhC1YtERj0qhySJ7va0lZhvQII+AgMBploNA2rF8vLZs1l0rlymvb&#10;yTYtW8mSRYvkzOnT6jqOj+FmPh99XjZuCJP+fQJtLGtVqy5NGjaSRQsWqJsbUgqFeDEbHHpEP3z4&#10;SPbs2aejCidPma6JQRAC7lFGF9JRaunyVRqzhKBwlZIBDCHjwkZFQnDJ6TaFiCBOSqUSAlQlnxMX&#10;L0lZhw4f0RgwhLd67XqN7c516n/m7LnqAZg0ZZr06t1PGjVqKqNGj9FJUjw/qdzwt9334fXo3EVz&#10;Do417w0J4+bG9W+uaEN6hRFwEBjkevHCBZk0caIUK1RYBynQ2apAnrzSrXMXWbFsuZw9c1YTr/7l&#10;SPNjhisadXvlyhVZv3adDOo/QCqWLadtKjN88632kh7Yr7+ccmoI9zYknF7NK0ciTg75MisYV/NE&#10;R7oQMMqXuCQxT8p1IKf5ThVCxjS1wEVLBvGOXbs1cYgGFyQ3RccoY9Ql6hjCxNX7IfB3HsfjUXwQ&#10;Es+HLOMS6PkLl9RNTPlUAMfjBRQ+iWV8XhKvIL0/3b/TNRnKAwlXEHDXbj2kRo1aMnTocNm//6Bm&#10;PHvfydtwJEah8nxIls0Mxxm3NwMe+Hmvez++M+9lKtiQ3mAEnMYNkjh39qwsX7ZMOrZvLzmzZZcv&#10;//Z3JUyG6JcsVlxbSzJOEBImkepjRmb0vr17ZfasWdK5Q0cpV7qMjiSkWxads2ja0bxJUx3Mf/rU&#10;KXntyDq9GsoX7wLkC5mtXbdBiRUCXqQu50D7RppVMFGIsYWU8ezcHaVJSl6ZDmU9EPf6DZtURdLW&#10;EkVJiQ6kwvN4fcgvNlDO/J5BEMRBqdPdvmO3uoBRfxvCwrXONi54Hxpq8J4kMMUHPGdD2CYdBYiS&#10;Z1NBO8kpU2co4cYmYFzwY8dPkoGDhkrnLt1l7LgJ+tyoPfv0mBxzRM5mAzJOjCKGWCFhyr5w8TPL&#10;mFgwRMznpCSMNpeei9/vNQyGYIQRcDIZxOnFblFYxFz5XXxiqt5rbN+2TXp27y4Vy5VXleq1l/SA&#10;au3SsZOsXrnKkfU5fU+eF9v4P5/j3LlzMnXKFGlYv77ky53nvdcCkHLf3n3UPf3w4cN4f2ZUJd+X&#10;9wNxP0taMeLmNOMglkszDs/lTLlN2KYIzQ5GicYmF35GqeJyPnrsuJJReMQW7bdMGQ11sjSWQFGS&#10;sEStLSoZd3XsEp8/S322S+QWyHaTjvRjTOKiJctVZZN1zGbgL3DKEGJahDvcPZb3XemI9HOBmifD&#10;m+SyQNnVXP3MNMJ4D46QIeVxEyYpEeOSJi7Me9K8Y6v77GxMiIdznFCxDLNIqCJG5aL62djwuVDk&#10;fFc2NTRHSSzRGwxpDUbAyWAQzi+//KJq84LbuR92CujWrVt/IeJPGY/h8fRrXrRwoVSpVElyZc8u&#10;X33x5XuECSmXLlFSxwsSv412C+Ijp+piEx9lRgf275dZM2ZIi6bNpFD+ApLp+wzvvRbInSOnTkua&#10;NGGiXLl8OV6xYFzcxJdJ7uL9AO+dlszb2OBiJw6KKoSUJk6eGqvE5sg7UolNJp67FJcxQwkgH1y6&#10;B905hoy3OVJFwaKMqaMF/Ayp+BEwv4eEvb/r82Oew+vw+79gx07ZFbVXXbNkK+NKpnzoc0GZES0f&#10;cT/zeqj3jW6zwQYgNqjHXb1mvSZGBdzvSzURjZIkSBhPAf9HRfNYOmXhisfNjascsowvCUOukDBk&#10;yxhFNiIQMW5/ysHwGHBO/J5rMAQjjICTwSAsFndm9aIiZ0ybrkRE1jGk+jkEDOERq/3pp59k5IgR&#10;6m72I8vY4DEd2rbT2O756GglQ8/Onj3rCHWCNKhXzxF5Dt/ne8AV/cO33+lQh+PHjulmwq+G2M94&#10;LG7wAwcOaMx6onvPM2fOxPw1bRjHlmNDA44wRzYoy4Dyna2EhCJOCIF4gJwhZtzMXl1t3CYXcUFD&#10;DBQ3bljAZ4Do/V4/KcBrozZR8sStvff1QGYypUBsKvh8qHTcwSSiea0jY7uqiRUTL2czw/eGhNms&#10;+L33p8Dnorc0IQCSsnBHUwrGZoakLL/nGAzBCCPgZLBffv5ZbrkFLmp3lIweOUoaNWioLl2IeN2a&#10;tRqDpTMVbSGJQfq5aCFqWkcuXrTIKdam8t1XX/uSZWx88+U/pUzJUtK+TVuZOnmKuq6jdu9WzJ45&#10;U5o3aSJFChaUHz5B5sSYmRtct1ZtjS1Tb0wWdlxjI8FmA8XLXGHKl5hLPHXyZOnVo6fUr1NX2rdt&#10;K1s2b9ZmIHyntGBv3/7sNjZ3lWCWOnXHAs98WhKS+B3kS3JRQgmY5+KmhoQgYpKmmPQDwX4IPM7L&#10;UAbJ7W711CabBe89YwOlGX3+ohIernZi1BBxoDnHOo0d4yZHoeIqnzJtRqBcyylkYuk8FjVM7JYO&#10;XPFxS/O56AlN/BwFjquczGxc+ngITrjr8ZL7jH7PNRiCCUbAyWDaWckpzpXLlkvTRo01sSlb5iyS&#10;P3ceR8YNZNiQobJ+3TpVyBAbJBbX6Fy1etUqadKwoWY+//Mf//Aly9jwBu6jXqtWqiy9e/aUAf36&#10;KRq712Eykg7r/88/5wR/CLxW8SJFpXvXbrJq5Sp1occ1CJjPiYt5myP70SNHSpNGjaRA3nxK8t+6&#10;TQNjEefNnSs3btxQd3pasCdPnqpKw9VKjJHYJsoXJQhxQhQJJV/gPR/SAZDdp+A91ntuYt7/cxH7&#10;veIi9meHjFHFqFKSrxjujyImDrx8xepAm0p3DAPx4smqjnFTk4yGm5zn8zq8rt/niAvv/SF/Yueo&#10;X7wTbJQYXcjv2ND4PddgCCYYASeD4X4+6BQDTTNqVK2mZMY8XsqHiL3Wql5DunbqLBPGjZcVy5fL&#10;7l27dEoRCU9vHaG9cKR8/do19/dxqlizZsr8WaTpgfeDbCtVqCBVK1dWFC1USL73SeD6GJiiVKl8&#10;Bd0w0AQEsmXDAOFecgqegf4bw8I0o7pPr96qmBl7+N3Xf6p1Pv/4sePkhFPzfL/UNDYMuJ/vuMWd&#10;GKun4oj7orZQg6jXuDdJKADS47tzDKgRZi4yCVaMH8SFHrtXNLFj3MERkYFMbTpXMZiBSUnU8DLU&#10;glGF1PIyyAH3OgofZev33h8CSpy4L+cK4qU5CrF6fkYJMz6Rx3wusRsMaQ1GwMlgJEBt2bxFiatC&#10;2XJKRJAiJAoJZ/w+g5Jbvly5pXqVqprhvGD+fDl27Jg2wCDxaf/efdK9S1d9POTN8z1S+xx4SviH&#10;7wLgdXAt+z32Q/BiwY3qN5DNEZFy1322y+6zHXHXBxuH4UOHqsIv7DYVZGJnypDhXY2y9xqo4cED&#10;BsrO7Tt8VXRKmhf7ZdEmIxhVBQnjVoVwPAXqd6Okd6BQvdg1pAtxknzFcArcvxAsCVe4l0naosxK&#10;idipUX7GfY/ipTaaY4pngYxtMsN5Dq8Z3wQq5gJD2rjwIXyIl9cNKOE/W2Jy3vyebzCkdRgBJ4NB&#10;VLiPaZJBnW5sUouLH526LVemjLRt3Vomjh+v9bcLFyyQKRMnSe0aNXyfk9LAFQ3Zrli2TObOnuMU&#10;7Vgte6pZrbrkz5Pno+o8T85cehzWrFqtLvfUNFz9r1+/UXcqGbzELilxISs4PvNs0xPYcHhuZmK9&#10;KF3c8WQ2e2VLxHzDNkVqJjKkiyI+cPCQDmPwQIY17mn+ttVttnjOnLkLFLioIe0TjiwTEtsmLEA8&#10;Gbc3542yKRK+cE2jhOmiddk9xojYEGwwAk4GQ+nRU7lp48ZSMF9+X2LygFJFOVL6U7xIEalYrpzU&#10;cKoY1zUK2e85KQ3KlUoVL65xZWqEixUuInndZ8M1TnLYx9R5DqeMaZ85e+YsOX36dMwRSh1j/u/9&#10;Bw+1xAhXJsMFIBuIAVXsd4Okd3jKFw8AJEky2rr1YapsyYCmSUggSey8JmWRWHbx0hU9XhBjbPA7&#10;EsnoXEXsl4xoVDR11RA55VMJGWaBa5wNAjFo4s5e4hdKODAcYoc2BUnOrHGDITlgBJwMdu3qVVWz&#10;VandzZbdl5g+BNzElBORtPU5mc8pAT4TGdYJcWOj8OvUrCWjRoxU13Vq2suXr3Tx3xW1xymoBQq6&#10;T0Eaobp4czxIPqPHM3W/KEwai6Bo+f1V9/eEZIRTRoUypmsXZEkmM81N6AoGgfs950PwVPoFd54C&#10;nbLWqWub8jGUcCAmvFOVMJsJXNd+r2MwpDUYASeDkaA0ZOAgKVqwkGT+4QdfYvoQUJPEXiE8Yr9+&#10;j0lp8JkgXhDfWDTquULZstKrew8deZiaRter6Ji5vyQLMXIQpQb5hqr7EkXLCEY8AXTsIp57+Mgx&#10;VZyeu5iBCX7P/RgoPeI1cGmTnEUCFWqY10cF+z3nY4CEOU+ECtgcEKPGvY0XA4JHCdO4hH7c8VXY&#10;BkNqwQg4Cc3LsqUnc4+u3dKUik0tUIJVuEABadmsmWzdsiXmSKWOPXr8WLzOV167SMjG78YIFeBa&#10;hhSZ7kR8F9UKKfs9NiHg+Hq1vKhVYu4kTiUk2c1Twri72TjhKqfciSYgZF0HSHiHJm2pEnaPTcj7&#10;GAwpBSPgJDQaatBf+OjRo9K2VWsl37SiYlMLxLjZiNSoWlXC1m+IOVKpY0bA7+PM2WgtJ4LMcMcT&#10;703KeDj1uqhr+lbPcMecbGqOeULJkefgEsfFTS335i3bZbGWQDFC0als9zMudFp0spEwEjakZRgB&#10;xzGvVAUipUsVrRX5ly5OZNHyN9oyAh4b2/gbtbJ7ovZI4wYNfQkp1OCVXpUsWkxWLl+uxyxuK05+&#10;x/Hk+AGOM8ebY6/H34Hz4XfM42NGwO+DOC8lRExZolSIMiTUo99jEwISt+iixevTrAOiTCq3P8SK&#10;miY7G/c2wxvoxkVogSYrZE6jlnkvHmtEbEhrMAKOY/RrZpAAU4VIGtq/b78OU6AtJGU0d+7ckXv3&#10;7mm/Y8g2NiEwj5cSpE1hYdqUwo+QQg3EjPECFMqfXzti0SUsbktKjhvNPe7cvq246hTYiePHtWUn&#10;OOAW8ItO8dDII+4xj4/FJWAGChBPDOX6X4+AmQalCtgdn6RUwMSBUaq8BwoYVzSJVPw+KRLfeB1U&#10;Ow1CcHWT3R4Y4LBY65Kj3KaCsjMvnu33GgZDasEIOI49uP9ADh08qAMNZs2YqROBZk6fIYsXLpLI&#10;iAjt/kRXJ8b63b9/X5UZrmdvuk60+/3ihQu1wYYfIYUqKLOaPGmSDpegJSVq1jtubGaYPcxxB/Sw&#10;phaaDlpgyqTJEh4eLufPn9fH8tyEWGwChgw0CevgIXVphmoSlkfAZECTSUypD1nhfo9NCCA+Bj4Q&#10;XyYRi9nDkCW/S8pkKb7Hjp0BEqYvNe0wIWL+DwnjjrbkLENagxFwHGOBP+EWoaWLF2sDiXq162gn&#10;KIbUd2zXXnr16KGDFQb276+9jxk8AEHPmTVLhy1QfsTzyID2I6JQBdngrZq30OM0Z9ZsmTt7tm5w&#10;aNc5ZtRo6d+3r2ZKA5p8NGvcRL0IoEnDRjLHPZ52nYkh4GfPnyu5eGRAFi0lSaFchkQsFeW7cVOk&#10;EjHtJiEzv8cmBLiAT54+o4leZJ7HLv26noTHHNXO+9AIZN2GMO3GxXvRapSypc1bt2sJFMSPi93c&#10;0Ya0ACPgOPb0yRM5e+aMTg+qVK68lgN5NbAkVZHVy/xdQJvGjN9/rw0pcmfPoX2Qy5UqrfHOzBni&#10;V36U3kEyVsG8+aRKhYp6fPLmyiXZf8yqx4njyPHk2ILvHDje3rGnlnjIoMGJJuBXr1/LLad2iXXi&#10;Cp01e542nMBFCVH43SDpHZcuX9XMZ/otkwlNowtcxn6PTQhwER91r0eJE20tIUT6bl9xJIjnwe85&#10;CQGEihcDpcs8YeYTE2KgHSYNO0jQ4rsxHpLMbyNgQ1qAEXAcY9gAowLnzpmjXZ/8yCQuqI+FYGig&#10;QY9nsn4hEL/Hhio4RtQEs1HJ8kNGPT6f2+Magh41YoTG14nRJzQG/Otvv6kKpvMVCok4MGUxxCRR&#10;Rn43SHrHtes3NfFq774DssYdC5KZdu/Zp8QZ3+EJfjjrjiteBo4zLuFFi5dp3D0pkrD8oKMMaQJy&#10;5KgmZ61YuUYTvzjXzDLmc+ACZ5PB4xLSZMRgSCoYAccx4pPXrl3TObg0kPAjhLiARLxmFTTRgFg+&#10;1h85FOF3fD6HfAHDK6ZMmvRudnLcLOrPNS/bGrXLYAGm9rA4r3XKjwYOfjdIegeJScRGISRctdTT&#10;olZp7ZgUsWBaXIZtjNANDx4HYrK8F6R3x+fxiQWvy3fiHONKR/GuWRem34uWmPSRptsXWdL0s8Z1&#10;baVKhtSCEXAco+wFN+fa1WukcoWKvoRgSBl4pI2Lf+b06Uq+SWF33YVPwwYWYuKE/PsuLpkEqi+Y&#10;4BEWg/M5JmxMcNUy+AClymB8CDq+BHXDKUtIEHczNcAkvHGc6TeNy9/vOUkJ1LWXALbHqXvaYAam&#10;O80NDIhYGBgQwXeku1ao5gAYUhdGwHGMRZ7M5m1bt+lABD9iMKQMIGBc+7my59DkraQiYFpSkg1N&#10;0hFtEhlLuN4pIiWcCxd9b5T0DMgVsmK+LpOh1qzboOU8lPEEYqbR8S7h0fIgjnHkFm0XSfazuvuj&#10;9qbIMeY7QcIQ6yWnchnuv3N3lH4GpjPRPYtNAd8V93tSll4ZDJ8LI+AP2N49ezQDFwX2ua5SQ9LC&#10;ixsXL1xEQwJJRcBv3751C/RP79okQsB0UGIuMAlJ7wYQ+Nww6RWeYsRtS8YwU5GoDY5wBErSGmSK&#10;miTJCbLisXgLIDgP9H/mb9GOYBnmz5Qiji+9mmkZSaIXLunUSHjjfLLBIN6PwmfjhSKmA5gRsCG1&#10;YAT8AdvnlECj+vU1Cxci8CMIQ/IC9Zs3Zy6pWa2azldOTBes2Pavf/9bm3/cuHlTs6BReyg0MnQj&#10;Nm9VdYyCC6W4oOeKpkSHxhaMIuRYUB+MakQpQsa7o/boOEeOEYQcff6CKlrA/yFeyrx4jjeEAbcv&#10;ZB7oTBXo0ez3GZITnsrnc/I5GBLBBKiDhw7rpsNc0IbUgBHwB4yGENStkrELCfsRhCF5QaY0M5IZ&#10;5LBp48YkI2DPXrx44RTZSXU/Qxa4JWnov33nLjl67ISqIhbmUCJiTwlDVChDkpVWrl4bGMzv/t0U&#10;EakNOyAvkpggXLwGENne/Qf07yhLyn60GcbMOe7/KzXzOCmHPCQGbDK8jQNxf/6fHBnZBsOnYAT8&#10;ATt+7Jj06NZNWyhSXuRHEIbkBTXBlIJ17dRJJyklNQFTlvTgwUNVQCTk0CiC+uAFi5Zo0s6+Awd1&#10;dF5S1qumdXhK2CvnoWSL2DiKeOeu3apuaapB/JxjxnEiVozCxd2MNwGXM6AvM2VAxH1x/6aVBDe+&#10;X2wXOv8PpU2WIe3ACPgDdub0aRk2ZIhULFtO63r9CMKQvKD+t1rlKjKgX3/ZvWtXkhMw5UyUJdFC&#10;9PCRo0oguEzHjp+kREJHJWblotxCeaGGqLyey4HZwdvUNc0UogWLlqrrnjg6TS8mTJoq4yZM1rpb&#10;NjLEfc9fsKlEBoMfjIA/YOejo2X82LFSq0YNyZUtuy9BGJIX1P/SCnTM6NE6kCE5CJjXpPQMcvAy&#10;o6kZpTwJtzTuV5KSUIFM9oGMQs1d6SliNiIoYtQw6nfp8pU645dOUxAvLme8CNT8oop3OeULaaM2&#10;jXwNhvdhBBxjLMbegky27YXz52X61KnSuGFDyZcrty9BGJIXtKmkD/S0KVN1MhVqlfMDEtqMw888&#10;JcykJUgY0oWAUXI0boCQyZwNDKsP1ApDKOmZVLzvB9hwxI4N4y3ADU28nOYWo8dOkDEOEDCxYmqI&#10;jxw9prFVU74Gw4cR8gTMwkvdLx2wGIl34/p1nWi0MSxMBg0YIDWrVZecpoBTBRm+/U6qVqokfXr2&#10;kqVLlsgpp76uXL6sE5VIoOLcJYV5Gy+ug/v3H2jdK405SDqiYQPuVdTwqjXrtL0hyUYoOxJ4iA+n&#10;J0UMWbLBIAGNrOZADPiwxnFxJ1OqxXGgrSObFGp8cduTeLXebVKotSWxDaJOb8fGYEhqhDQBs/Cy&#10;6KJ8mEN76tQp2bljh6xeuUrdz21bt5byZcpI1syZfQnCkLwgC7poocLSsF49GdR/gI6EjAgP15GQ&#10;N2/e1NaUSWkeEVOmdNspN4iH8hsGvY8ZN1Fjw5AxsWJqXGnXmNRDBVIbKFbivadOn9EktM1btynh&#10;sgFB7U6YNEWPA8eDmC9dpVauWis7du1+V74F6ZrqNRg+jXRNwH/88Yc2739w/75cdsrppFswDx44&#10;ILt27tTZvuvWrJWli5foqLuJ4ydo0lXvHj2lQ9t20qBuPSlbqpTkyZlTvv/mG1+CMCQv6BmdLUsW&#10;KeZImK5krVu0lG5duigZTxg3TubPnSvLly2TNatXy6awjTpHmAH+x44e1Rg+Hg2ugYQ08MAjwuSk&#10;kzHD3snyRQ0T8yRBSxVf2KZASc6+/TqBB9KidSONPNKq8oNgSSjDnUxDDOK6Z85Gay9sCHfHrigl&#10;XWK8qx3x4lIOxHmn65xdzxuA+5nvz0aEciXI1yvb8ntfg8HwPtI1AauyvXNHjroFed3adTp7FpLt&#10;2rmzNGnUSKpUrCQlGI2XM5cmWuX4MauqXWp/KT1i/CDDA2ywQuqADmSQMHXYjCskJvxjpkw6cYrz&#10;xXlj7nKFMmW1a1m7Nm10rvCEceN1Y3X82HG9BvByxDdmHGhJ+oe8euU2cA8fqVuauOcSR0jTHQkR&#10;76RuGFVIti8qETKiLhbX7U1HdH43XGoDgkSl8hnZMBDPxd0etjFcvwelQyRVEfueODmQWDVuQkDx&#10;Tps+SxYtXiqbwiM1KY1JR7wWZO65m035Ggyfj5Ag4B3bd8jI4cN1yDsx3TJO2RbIk1d+zJhJSdZv&#10;8TcEB9ggeWMOixcpKlUqVdLEuZ7de0hEeIR6QH777bd4E7BnxJl5vkfC1MHSVpEELUgJQFqowhWr&#10;VmuMdJtTzMSJSdqioQftF4kZQ3gQH2U5ccFcXojsc4DSRLnGfQ2ytCHF02fP6XvxnkweIiGKz3Lg&#10;YKBZBv2eielCvNudgo/cvFVHEc6dRzOS6e8A+fL9SLIaNWa8bjhwOa+lf7J7HWqkveH2RrwGQ/yR&#10;rgmYdoO4Iemi1LRRY1VOqNsfvvvunbq1NpPBDbwTsVUy5zdPjpyqihfOn59oAuZ5//Vf/63xZhK/&#10;Lly4qBnRqERIGHKiBIfGE5TgQMQQGURFjSyNKIgjr9+wSUucduzcrQMO4uKoU+sQPB2aPgYIXN3F&#10;Pq9BeRCvT9kUIwV5T5Q55UKoW28KEGVCuJAZP0gvZNQv/9IPm8/OkAKAuxkSJuYLAUPG/J8Rjhvd&#10;5mb/wUP6mXBrW7KVwRB/pGsCxvXIorl1y1Zp2rixujDpL+y3kBvSB9hU5ciaTUdJLlm8WDdhxIET&#10;SsCe0TXryZOn2jWLeDCEO2PWHM0EZsg8RMsoP0qYljnC43fEiUlQ4vFrY4gONzYxZQ8oasYAokYh&#10;0f0HDn0CB1W98jwQ+7XIUqZ/My5iZvCSlQwBQ7Z8lnfE637H3zaFb9Ze2PRFBny2jZsiNf67ISxc&#10;PzvZzjTaoLFGoN53irrgiQ3TBYv4N12uLl+5ZkrYYPgI4uZfXLx0RZYvX5F+CZg4HovvsWPHZEC/&#10;flK6RAl1O/st3Ib0AVRwhbLlpHvXbrrx8mqHE2tPnz3TOba4a1GAuJ3JhkZtQpy4e5kYRDISCpVJ&#10;S2RRk9hEkhIThSBOiC4uaZL0hDqGoOm9/HGEa79lam23bNv+l9dSOAUcGDSwX8nae29itnwuyopO&#10;njqj34XkK2bhUjIEUNf8njIiXNZ8Lz4z35kNBPFvhuoT9wYkZ0HoDGnAzW5K2GDwBxtTwjXcZ9xj&#10;hKa4vyZPmZp+Cdizq1evytw5c6Rls+ZSIG8+34XbkD7ABovzPHfOXDl18mTMFZBwQzlD4HccsaA4&#10;GdPHoAFczdQEQ7rMm419s0FCJCVxwxGrhdhQzpCfR2wBBOKxu6L2KJl6yvNj8FQ09ba4nCFY7/VQ&#10;yBAt035OnT77F9c1u+7Yn5EFAcKk5jewG7+sj/M+J3FjNhEkaUHCvKfnpoZ4iRF7rndUMgqe1+D1&#10;Yr+PwZCewX3E/c69xD3P9c99j0eIBEXuf+++Ih9D8zD27df7hc332HHj0j8BP3zwQHsJjx092qmj&#10;sr4LtyF9gGSsIYMGy6GDh7RhR2LNS8K65MiFEXu4nHHn4qqFnCCvG3HqgD1XrEdwkB83pUd0cROn&#10;zsXcoChTVdIfAQqb4fKQOjd2QL0GXoubndfnxuf9vKQtPgOfJfZnxBVGMhdEjVJmMaCsCBf66rXr&#10;NNEKxR1wZ4eryxrwu5Wr1ugGBPKFiJl4xHMPOMXPLODY72MwpGfoPR5zL3EvamWB27ySpIgnik06&#10;uRiEc8i5oIc6G21CP7vcJnrmzNnpn4DfvH4t165dk3Vr1+qMX+LAlnyVvkAyFolYlJVRH/zo0SON&#10;/ybWfvuNPIKXjvxOyfyFS2S6u2GUbNxOFsLzuynTMrzdOkR93H0nVDQku3zFKt1cQKoo3IWLl8iy&#10;5at0wUD5Qry4ollUWDxILFu4eKm6ookNExMOj9ysu3xvA+L3/gZDMMBTtrHVLZvWgMIlhhtQuWx8&#10;T5+N1nuJDTnqlt4A3AvcN9xX9A1gJjb/Ll26Qu8lkiWPHDmWvmPAnhEHJhmLDkq9e/aU/Lnz2IjB&#10;dAZiv0UKFJTWLVpotyzI91//+lfMFZBwI4uarljEUckipi/01u07tdQHlel386Zl0CQExU1smp04&#10;sV3+JY6Lm5nvhssZVRxwZx/TDG2IFfVN3Jhdvg61373nXYMS4uIQ8u49e1URxFXcBkOwANLFq8X9&#10;zUYVbxPXPPcBYR7cx9T8U2kAmWqVg/sX0iWUtGPnLr0PIGNmZkPM3D/Efs+7ew9PGE1+aHu7devW&#10;9E/Ant26eVOmTp4s1atU0VIVv4XcEJzIluVHqV+njowbM0ZnOSeVPXn6VG9AyIldLESzd/9BJbK0&#10;2mzjQ2BXj4uYZiFkMKN4IU9ql4kh66YiHt8LV3eU25jgmicuTkw43BE5MXFI2FSwIS3B88zEVrex&#10;Va6ndAnbXHTXNjX1KFuSKaMcoeL5Wbd+oyxdtlLL9bwQDJUBJCeSkEiCJF4lEhnxkPHaiL8PdeSD&#10;a0OGgB8/fiybIyNlyKBBUrFcOd+F3BCcKJQ/vw7PYEfJRiup7PHjJ7pzZXdLrHP+gsVywClDr/OT&#10;342e1sCCg/uMnTeuc3brWhblSJjMaZKtWGwuu7/H53uhENjZszBB5NQI89qUJUHCt42ADWkEkCvE&#10;yqbRS4rSioVYGf9aird1m5bysZHkX6ocyI+guQ5uYw88FiUcULmH9T7AO8Tr37x1S+7dvy+PnzyR&#10;l69eaQ8ByNevGiOkCPjt27faEzpswwbtiuW3kBuCE2VLldaJSffu3dPznFT26NFjOel2wTSeIP5L&#10;Qwvcr343eVoFBAz5sujgaqZ+mWQrXGO42CBnTxn4Pf9DgKxJPMHNhiqgMQk1xtqO0y1ywbJBMaR/&#10;cI1zrQamex1RlcrmM2LzFt2M0qyGqV5sIgGDRrzZ1riYIWNCM0fdvR/tNqs3btyUBw8eaqtaQl0Q&#10;rEeyHqig8PAhCykCxg3wxO1KcFHSM5h+wj98+532HPZb1A1pH8R+8+XOLW1atdJhDMRsOc9JZe8U&#10;cMRmbUaB0oNgcNMGi8KDWFl8IFwSqcjiZkGBkEkqSShR8jxUBYsaTUggYGqjiZfz2hYHNiQHuO64&#10;btlUojgZgBKoJIjWaxGPDhn5qFot83NKFdUK4WrjG6doA6p2559qNoq2rLs01MRjAnkQhzTuq7Fb&#10;d//g8aEc8eHDR/L8+XN58+at9otPTJOfkCJgDhRlJfedSpo5fbpUKl9ey1aMgIMXObNmk9o1amqJ&#10;2elTp3QXmpgbIq4FYsDR2vjCy2QkgQniCRaCYcFiEdHkka3bVc2zOFE6EV/VGxc8H5ceyVgQMEqY&#10;RY2SKiNgQ3IANUt8lWtaXchuY8n1zPWNh4fMfTL4aQVLRn+ga91c7eFOVjLXKmWEEC4ky+tArlyv&#10;9+49cPf8M7eRf6OJnL/88ou6kClFpLPiH3/8SznEU7uJXWtCTgE/dQsqC/WYUaOlXKnSuoAbAQcv&#10;sv/4o1SrXEXj+nv37NGEB26WpDJej502825xUdGWcZfbHeO6JdHIb4FIa4CA6YKF+gXEuVi0SLjy&#10;e/znAvJl0WIoA6MLIWASUVAPxIGNgA0fgnftEMYIlPZcd2o2MGTEGyrCNYSiPXr8hNbW4nmCMGk+&#10;gwsZwqUhDeBnAKmyyYzcvE3JmFgu4Hf8fb8jahQyNfXR0Rfk6tXrctd9nmfPnqs7GcKFJ/77v5Nu&#10;E/8xCykCxj157uxZWbt6jXTt1FkK5sunzfuNgIMXmTL8ICWKFJUObdvK6pUr5crly+oeSipjohYL&#10;BjtsyHf2nPnqosLFyqIRd2FJi2ChI9GEukRqfnG/EcdGxfs9/nPB63IMyPj0XNDElvEQMFgioa5t&#10;Q/oH1841R7zawMKRLvcTiUwkNNFfPNDEYquW+aiidRs7ytzmzFugg0LoyEZjC5rDhEdsUa8LneVw&#10;GfNa1OeycaaEEJfxU6dqWReo6ScxCi4gVwTCZcNOHDe2sk0pS9cE/C+3k2EBpRMWyVcopPlz50mf&#10;nr2kepWqkjVTZp2KZAQcvOD84cVgtnO/3n1k0cKFsmPbdok+d07u/vST3mTsaBPqKmIIw/PnL5Rk&#10;iP+SwETZDvWxqGC/xSWtgcWOhQny3aBdrTZpbIzPz98S6obGAwDREvOlEQfJKyS04Bb0SjD8nmdI&#10;H+C68ZTsuyYVblMH8UGsXF/ETinj4zoBhCa8XulUE+x3hKuq1pEnnhM8TahYBpSQgYzHhvvNy9zH&#10;fQwpb3YKd6cj3b3u2mNzecq97oWLF/Uz3Lv/QDOQIVsIFlJNq5auCfi12+ncvHFDonbvllkzZkiP&#10;rt00Xlg4fwHJljmLdk6yjljBDc7ft//8SjdThQsUlKqVKkv7Nm1l9MiREhkRIbdu3VI3ckJ3tdy8&#10;vzsCZyEhI3Lq9Jmq8nBnsbD4LUxpDYEY8DltDoBimLdgsZYgUYaRmFg2ZUtklNLIA+8ABMxiSa2x&#10;JqwkkNgNwQGuK1Wy7hqCbL2GFWzAINh3TSsckW52ahaXMBnFbNboH75oyXKnbFe73wVK4iIit6p3&#10;BvXLpg4vDaStA0POX1RSp4EF700TC5QtSZKqbt09jgtZVa3GbInX/uFUbdLmhCS1pSsCZrHkoONq&#10;uO0W3qNHjkjY+vXanKFZ48ZSrFBhHUnot5Ab0ge+/vJLyZcrt1SrXFkGDxyoJWd0QLt586bG/0mo&#10;wNUU35uSnTVxTpI5WDxYMFhoEqMgUwp8PhZImgqQ/UwimbeJ8Fx2KFYWOIjzU6AFH40KmIBEr9sl&#10;y1ZqsgvHhsxSbebhFkoj4OAB58ojVC8uC7F6apZsY64hrhMIkWsGsiWWiuvYyzxGyXrxWdzCZBVv&#10;Co/QTRrgHoKAAW5lFC0dpaiz5Xk0vUAhnz0bre//wJEsY0DxQpEUlZbVbEIs3RAwCyqLK+R78MAB&#10;mT1zpvTt3VuaNGykw9lpP5kpQwabB5zOgSKmNCnHj1l1/GS92nWkX58+Og1r9+7dcufOHQ1LQMLx&#10;MRI1cI2xcHgzgNmls0CxYPktamkFdxxwEXqKlc0DBEw5EnOMmbJEaz2SW1hIPwWUDW0oUbtsRqiX&#10;pD6ajlgswizi5n4OLtxy50uHCrhrBG+PZhg7Inw3ltKRI+5hrhPCGMT8lzv1ColS+83ADkr1ULko&#10;XlQs7mGSniBVNnqBVqbntI72oiPyK1evKtF7Hph3qvbJk0BS1OtAUtSvv/4mv/3+u/zrX/HfOKd1&#10;C3oC5oT88Xsg1ksHJGp8p0+bJg3q1tXuSMQI/RZqQ+iAHtFNGzWS8WPHyY7t2+XypUu6UQtkO36e&#10;a5pdOHFgBt0HZuLO1sWGhQqFECxqj5IhCJQFk3Z6tJCEPFlQUSJsMj4Er4YSJbNi5Wpty8kgBsDz&#10;yUalnaXf+xpSH57KvXnrz8HwAY+GlwjlDRVgkxWYBc15x8vhxWE9FzIVAVw73AtsRpmeBQGjeHfs&#10;jNJkqhMnTinZXolxHRObxVVM0lNCvFDp0YKegFlEGTt37OhRWTBvnnTp1FlqVqsu+fPkVcX7z7//&#10;w3dRNoQOMv/wgxTKl1/jw61atJDJEyepl+TB/fu6w/4cI7ZEEf4hpyDJwJw6babWGrLbZ9EKFtXH&#10;okuZB25DrxsQAxi0MYH7NzbhxgWLKxsQmm14k5OmuONA/JfSJlySLOZ+72tIPXjEq14Qd36I1bKZ&#10;9GK0ATdxgGBRt2zEPBXLNQLITMa7QVyWa4fnB0ZjBuZO87pcW3SIIvP43r37qmY997EXn/XINylq&#10;aNODBT0B43Y+5y6CNatWS+sWLTUhx7KaDX5gZCEbsto1asjypUvlklPCL1++jLmSPm64v37++Ret&#10;GyQLc5ojHxQAiSQoBcaTscAFixIOKKHbunDiFiSrGxc0i25cQL6QM8qXuaYoX1r1kXRF3Bc3Nosz&#10;r2eu59QF4QaPcAEbQ65LlO6Fi5d1k0QYYvvOXUq2bKYo60HR0umNc8vvULxc14zMg2y5RniNu45Y&#10;TcUmnQU9AVO/dc9ddMfcAjJ00GBNwKG9JIut3yJsCF1kyZhJihcpqrkB+/buladPnuhC8jnGjp0u&#10;OOzqD8fU1FKWxKJFDAyiIinLiwmndSKOrYr4zCTXnD13XhWNh0CCzUlVSShf4n2MZJw+Y7aqXxZr&#10;FnFihCTm8HrBsgFJj9Dz6a49zidxXMiWBhbkKqBoIVXULaETPBYkzHFu2XgdPBhQt6haFLIOFXDX&#10;BrkPGpt99EjjsnSI8hIZU7JeNr1a0BMwFwEXxJPHj2XenDlSsVx57fH81T++8F2EDaELcgKaN22q&#10;A/vJik7I7p1MTOJZh5zio+3imHETlYwY1o8bl7IJlAKLod8imZYBecaGl5SD+xHlSxOS8RMm69hB&#10;lC9JVyzakHgwft/0BiVfd+3RRQriJSZPrJ+YLeVznDsmei1eslxdzsR5IWoI1hsq4LmGPwSzpLWg&#10;J2AuCnZjxBcOHTyo9b5tW7WWAnnyqhK2Ol8DYYkfnfqlFI08AfIFEtoti5wD6oqv37ihymLlqjVa&#10;VwsJQ8i0vSO2RlyMmFiwEBOEi7uSz0xje9r/MeuXBByPfGc5EO+lny7lTDRRYAE35Zv84PhynPGu&#10;sMGjJAiiRbGyCfIy02leAVC3uJm9IQRsDvkXbwUu5QvuvDE2j2lfqFr6HJuiTXkLegLGIGEunlev&#10;Xsndu3dl4fwFUqtadR20QLMNv0XZEDqAfIsWLCSjRozQjmh4TBJaT8i1xnPZ8N1wKpqkLEgYJUxc&#10;dNqMWZoRSukFJJzWS5Q8sLhTEkI2LK0kifeS3TppSiDWO3b8JI0TonqZHMPib8o35eBtkCBfXMSU&#10;9ezZu09dy3SIWrx0hSbGTZ46XebOX6jnieQ6MprZJPFcmlZQ2kPYBcL12i96qtcs5S1dELBnXExc&#10;XEfc5582ZYomZdH1irpQy4YOLZCIh/Kl8Urt6jVk8ICBsjkyMsHKN66xeKGEiZNBtmvXhcnCRUs1&#10;K5iyHjpOUTd59NgJzTr21HBqK0VPSUGeuJfpWqWxQrdQa6zQKSVKTfgOxLfp79x/wCBp376TjBs/&#10;4V22M9/H7/UN8YNHrF6iVGBg/EUtCfpL28aDh/T8sPkhbkvOwQ6ncFG6nLPNW7art4LWjTyGpDqI&#10;mtclfouLme5QdIYySzuWrgjYU8LPnj2Tq1euypJFi6RB3XqSJ0dOqwcOMZCER3tKlO+IYcM0SY+y&#10;I1zISWFca2RGU8ZEYtbly1c1Uxg3LTXCuKQZh0aSEkkuqGEW2tQmYM+NSScr3Jd0LqIFII055i9Y&#10;rJ+dul7ivKhfFFXHjp2lbJmy0q9ff214b8o3aeCRL54HiJf8AZQt1wvu4ojIzZrsh8ufzR1hAEIA&#10;JMNRMkS/ZM4HE4NwSd++c0fLfuiBjNJ9+/PP2sSCa96Ubtq0dEXAnnGx4WakKceUSZM09kd2NPFg&#10;K1FK34B4CTtAvtSD9+3VWyI2heumLD6NNz7XWNBY5Fj0GG+GGqEsh+5QuGyZ4IKLkBGGLJRkGyc3&#10;gbGwQ7Is7GTEsjizAaAfNIqKMhRKTFBMfDbqmslopp0kIGkHt/riJcvc7xdI27btJI+7f7p27qJq&#10;3+89Qx2xj7mHwLG/ouec44/bnnKek6fPCG08jziypdMUTSuI4WrHqZjmF7iWIWCSpUikYoAGZExo&#10;gL/zeDZQAeL9SedWkyCYUmP0zJLG0iUBsygSp3vy5IlOxWECEjNjcUlaUlb6BtnvDNooU6KkDmSg&#10;H/jt27ffJZkkhwLwepDjkv7p7l1NimGxZAD49JmzNWOYQQ4bNm5SVyILMgu030KeFEBVeQ0XIFyy&#10;XUnGoVMRI9xwLzPWjTpmpjvxGfk/3axomo8Ku+QW9j179srq1aulQ7v2Gkdv16atHHCv5feeoQ7v&#10;mBNvBRAuJKvj9fbulx27onRzFo6q3bBRjzVxW7wkqNsVq9aqtwQXMucKIkbd0vSC8wiZa4OL+/fV&#10;pUxfc643HRz/yy96fSM8TOEGl6VLAvbMU8LEhPv37Sul3aLMQuK3cBuCG3g2UL+Zvs8gVSpUlN49&#10;esgWt9ihCiDHlFiYIGJiwz85NUQDA+otUZe4pQNNDhZKmFPjuBi9IQjUz0LIuCBZZD8HxG5Z7FE/&#10;zD1lsWeRJm6IytWF3ylVYoF0OUI90bcXFzPlKKPHTtCkKtzLJO4sXb5SlRVJPWfdhvW+W+SZl3r2&#10;7FnZGBYmHdu3lx+++16aNGqsjfVPnT4bgNYLn9OB/GRO81k8AvLAd+NzMmydz+33feLi6rUbukHB&#10;U4CqTC7wHsRd/T6DB84L3wH8+b0CAwn47t6xoGaa0h8IFy8B4Hj+qWa3yKaISD3OEDAuf1zJHHsa&#10;X9Cfm4EEqGBIl2uDfskQO27lt29/1vXMLH1ZuiZgFA8XLa0qt7qd/Yjhw6Vc6TK+C7ghuAH5Mmij&#10;YL78MnTwYJ39zChKr7YxJQyS571YLB8/fqwLOGoYVYMahvxw8eKWpo0lg8ZxMbJIs1jjGj585OhH&#10;gcuSxR1VC8FSXsLijpuS5CmUFeVQKG4ahQSU7lyN7U6ZOkPGOeIdMXKMTJ02wxHASvfeO3WxZ6F/&#10;8OCBPHv+XDt+sXE9Hx39FwKuUqmKTJw4RYkDQBwQCQlom8JpX7hDyYZELUph+Jnvhvtdmz18xvcD&#10;XuclNhYeiScHaDbC+fH7DIDPq+qVZKftO/X7BEA/7Mh3JAoIO6xZu16T7yBTvA36/Z2aJWGKxCnc&#10;xjRr4X2Z9sOIPQiehDaOP00vHjx8qJ47ml68ePlS3rwJtG9MyevYLOUsXROwZ7QbvHDhgixftkzn&#10;Afst4IbgBgRMiKFk0WIyd/YcuX/vvg7oSE0jQYsFlQUX5UPLv5mz5ioRBzBLf8cCTukSizoL96fA&#10;a+HOXuUIgHgtJMvrTZw8VchaRuGOGDVWhg0fJUPBsJEy3JHuyNHjZKT7/YiRo2Wye+zChYtkd1SU&#10;PHSfMa57ngWfeyY2AVcoV0GfSzcsxbyFOtqQiUgQ/7r1GwND09134ftAzLTtpAMT8WYydnGvfgwQ&#10;Nu5XNhiHDh/RbF68BckB3iOQTfzhz8Lmhu8AsfJ9CC3wPfEo8N1JjMKLwGaHDQl/08lA7nm8Npsl&#10;SD6QKHVJY8WPnaJ9+fKVuz4CHaXMQtdCgoCpDY4ID9f5sLih/RZwQ3ADFzTx/by5ckv/vv106tEN&#10;pyxS0yAxXOCPUMNXrsrx4yclas9eXdRRS3QkQg2zeLOYkwiFm/pToPEHcVzIe45T1JOnTHeEO0ZJ&#10;d+KkqTLBqdRBg4dJjx69pWu3ntKlS3fp1bufDBw0TAl0/PgJ0q9fP2nerJmMGjlSTp86pYo3Nhn4&#10;EXDTRk0kMnKzZuuCM2fOycmYdpWAkqsAPJI7IQcdiaJ+UZKx4TX5jw1UIsSHqsdrELl5i8akcaMn&#10;B7zmFBAlpO99jj1gL9gv+9xnZ6QemwHvOwHOJaRKSZaq9egLGje/evWaU7TX1b1NchQTgB48eKgN&#10;L/AuvHabQog3UIdr7RxD3dI1AbOg4L45c/q0TJo4UUuS8ubM5buAG9IHqPttWK++THQkc2D/AR1V&#10;mdCmG0llLLIQGoqc+DAj2ljUUbP0kSYJhzgxNcSU/9DUAzJFuaJivXhtADPUnRxonj9bXcljxo6X&#10;gYOHyOChw7Xd4JixE6Vbj37SrEU7adSktTRo2EJate4kXbr2lsGDh8vkSZM1oSp3jpx6rNis0MQm&#10;domWHwF369xFrjmC8YzjCpmg5mjyQKP+uNDOWu77krFLbBNFC6htBbjUPeCihfQgRlTnOqeikxMQ&#10;/O6oPRp3Vfe4+wzgyBEH9xm9WCzEypSf2N/r6dNn6uHgOBmJmiXU0jUB3793T5vuz5g2TZo2bqzx&#10;wYxuIfFbuA3pA7ihC+UvIPXr1JWZ02fIObeAPnQK5L9SsQGBFxuG4EhuIj7MaENixMQ4SeZBTaGw&#10;Ihwpz3TESs1tY6c4W7ZsLQsWLlI3pgfUJo9fvyHMqdmJMmHCJJk9Z66Sb5euvaRugzZSpmobyV+m&#10;jeQt3VrylGolhcq2kJLlm0qzVj0csY+RLp27SdXKVaRb166yc+dO/UyoYM8+h4ApeUHF0eCBuDHq&#10;Li6YnIMHABVIBi9j6t4R2d17fwHuWTJ9rzvSJjZKElJyArVKMhbnguz12J/lnls7+LyP3mUcv9SM&#10;Y+97xSZfyzw2S6ilawI+deqUjB871i3GdSRn1my+C7YhfeL7r7/RnuBrV69REv7j999jroq0bVcc&#10;8Sxfuky6dOwkBfPmk7KlSkv4xk0xf/2rHTp0SEaOHClTpkyRyIhImT17ntSo2VAyZCkuf8tcS/5X&#10;ppbyPzO3lv+ZpbX83xnqyf/+poKUqthSuvccKj179pf27TrI6NGjZffu3ZqoSHtNzz6HgM3MzBJn&#10;6ZKA77ndLIMZZkyfLk0aNZLCBQroYAa/hdqQPkE9cOniJZSEqQM/c/qMJhvFdrOmRUsIAU+ePFk2&#10;bdoksxwB16nbXDLnqiB/y9ZE/sePneV/ZO2i+F+ZWzoSrisFSreUZi27SocO3aRTx84yccIE2bNn&#10;jxGwmVkqWLokYOp+x40ZIw3r15ec2bLLP91iTJas30JtSJ8gKYuypO+/+VZ7gq9cvkJzAWKTTFq0&#10;hBDwpEmTZMOGDTJr1nxp0KitZC9QS/6Wu538X9n7yP+Vo6/8f9y//yNrZ1XD2Yq2kKo1mkmz5m2l&#10;S5duMm3qNNm3b58RsJlZKli6IWDiMJQb3b51W5YuXiJNGzWWIgUKyndff+O7QBtCB6WKFZeO7drr&#10;KEIyfh8/eiy//5Y2XdIJIuCJfxJww0btJEfBOvK3PB0c+faLQV9HwF3lf2ZpKz8WaSGVqjaWpk1b&#10;S9cu3WX6tOlGwGZmqWTphoDJyLx+7Zrs2LZd+vfpK/lz59GEHFO+BuLBtKds1byFLFuyRE6dPKWb&#10;tbRoRsBmZqFjQU/A//1f/y1v37zR9nmR4REybPAQbcLPCEK/xdgQuihepKh07tBRFi1YKOfOnNVe&#10;utRjpiUzAjYzCx0LegImqQa384H9+2XYkCG6yDIJ50ub/2uIAxLxaNTRpmUrWb1ylVx0BPPyRdpS&#10;wkbAZmahY8FPwL//Ibdu3pR9e/bKwH79JX+evFrrm3RTj2x8YbDD65IFAefKll1aNG0mK5Ytl/PR&#10;51UFpyUzAjYzCx0LegKmwcLz5881/rtk0WLNeCXphviv32Icf9j4wmDHP//+D70eihUuIs0aN5HJ&#10;jrAOO/J69PDhX5pPpAUzAjYzCx0LegIm+5k4Hq30Dh44ILNnzpLObvEqU7KU5MmZS8cPkoTDIuy3&#10;OH8a5soORqB6Gcyf8fsMmpAHkXVo206mTZkqO7bvkDu377zX/zgtmBGwmVnoWLogYDKgIWESsc6d&#10;PSvbt23TRJshgwZJ44YNpUTRYroQ+y3Un4YRcDCCDVc+R7zVKleRvr16y+KFi/S6oAzpzu3b8ub1&#10;ayXftNbH1wjYzCx0LOgJ2M90As2jR9oHesrkydK6ZUspXriIxoZxRbI4f355khFwMADF67maOc/E&#10;euvWri0D+/eXyIgI7XXMYI603jjfCNjMLHQsXRIwiwckfOfOHTl29KisX7dOJowbL506dHCKqLLk&#10;y5U7HkMZjICDAd9+9ZVOuqpcoYKWGtFiceWKFTqY/+rVq3o9oHjTeuN8I2Azs9CxdEnAcY348KWL&#10;FyV80yZVRFUrVZLcOXKoavJbzP8KI+C0Ds4jsf7KFStK7169JDw8XMMRqT2QPyFmBGxmFjoWEgSM&#10;6/HJ48dKwjt37JC5s2dL29atpVD+/JLlh4yfIGLrpJWWQWlRwXz5dK7thHHjZNvWrXqeGfuX1pps&#10;fI4ZAZuZhY6FBAHjdiT2x6ICGd91iw19gRvUq6ezY61dZfAiV/bsUq92bRk3ZqwcP35czy/nOVjn&#10;tBoBm5mFjoUEAXvGoowqonEHMcJSxYtL9iw/fqYr2pAWkSVjRi0569enrxw/dizmTAevGQGbmYWO&#10;hRQBs6jQhP/06dPSq3sP+e6rr3VUod/CbggOUOtL/LdZ48ayN2pPzJkOXjMCNjMLHQspAiYTlozY&#10;8E3h0rxpM98F3RBcoMUkJFy1UmVZvXKlPHr4SM9zsJoRsJlZ6FhIEfCzZ8+0LGXyxIlSo2o13wXd&#10;EFwgfEAMv0SRohoHpsUkGdDBakbAZmahYyFBwF63LOqCGdbfrnUb7Qvst6AbghN5cuTU87pw/gI5&#10;Hx0dc+aDz4yAzcxCx0KCgL1WldHnzsnQwUO0KxZxQ7+F3BCcoLFK6RIllST27I6KOfPBZ0bAZmah&#10;YyFBwDTdpzUlNcCtmrcIJF8leDiDIS3iq398IZkz/CBVKlbSDlhWB2wEbGaW1i0kCPjJkycaG5zh&#10;FpvqVarGsxe0IRjA+SQZq0iBgjJ29Bg5deKkPHjwIOYKCB4zAjYzCx1L1wRM7BfcuH5dli1dqj2C&#10;ixYs5LuAG9IHsmXOomMHGbhPyCHYzAjYzCx0LF0TMLHfP/74Q04cPy5DBg6S8mXK6gLtt3Ab0gcy&#10;fPOtVCxbTnp26y47tm+PuRKCx4yAzcxCx9I1AbOI0JB/x7bt0rhBQ12ciRX6LdyG9AHCC/T3LlOi&#10;pGa8B1tLSiNgM7PQsXRNwK9fvZKbN27I6pWrtFk/CzNxQr+F25A+4BFw6eIlZPbMmRr/pzFHWp8D&#10;7JkRsJlZ6Fi6JuBHDx/K0cNHZNaMmVK/Tl3J8WNWzYD2W7gN6QMeAZcsWkwmjB8vly5d0mH8hCOC&#10;wYyAzcxCx9K3An792ingm7J/7z5ZtGChjB4xUgb26y/du3aV9m3bSvMmTaVOzVpSqVx5KVOypDbn&#10;yJ8njw5oYMydlSqlHbBxonabhhtkOnO+KDni/DVp2EjatGwlXTp1kr69esvwIUNl6uQpsmvnLs2E&#10;JgxhCtgI2MwsLdnP7n6LCI9IvwTsNeB46xbgZ0+fyv179+TGjRvaKWm/W3Q2ucVlzqzZ2pyjZ/fu&#10;QielerXr6KKXN2cuU8tpBJQYkTxHAxXKyFo0a6bna5TbUM2eOUvWrF6tNd4nT5xwBHFVfrpzR1Xv&#10;G7cBg0iCRf1iRsBmZqFhD504WDBvfvol4LiGCiIrGkWEMrpy+bIccd91y+bNsn7dOrfwLdW4IT2F&#10;WWxo8J83V25N3vIjBkPygoS5XNmyS9mSpaR1i5YycthwmTZliixauFDPF8l1hw8ddhuq83Ln9m15&#10;/vy5zgP+97//HXPGg8+MgM3M0qchBLiv7t29K6dOnpQN69e7e6tD6BAw2bCQMAv0726hJjnn5YuX&#10;8uTxE3n48KEqZPpFo5J37dwpY0aNkgZ160kep4b9CMKQvCAMwNCMQf0HyPq161Td3r51S+66C5jz&#10;9fTJU3f+XuiGim5nXNzBlvUc14yAzczSn7EmIf64x6J271ZuoStjrhw5QoeA42OXL12WWU4NN2vc&#10;RPLnzuNLEIbkBa0lKR+bMmmyHDl8JGjiuIkxI2Azs/RjrFmIg2dPn6mnjlDZmFGjpU7NmlK8SFH5&#10;9utvjID9jC5K7FKIOebMms2XIAzJi0zfZ9DsdUICBw8cNAKOY0bAZmZp2/74/Xd5cP++5qfMnD5D&#10;GjdsJOVKl5EcjlPy58knOXPkMgL2s9OnTsmg/v0129YmJ6UOPBf04IGDZE9UlBFwHDMCNjNLW+aF&#10;OclFISeFNshRu6Nk3ty5WnWT0YmKjBl+kMw/ZJRiRYtLqVJljID9jB0LJS1k3uIK9SMIQ/Liu6+/&#10;cRugUtLJEcCWyM1GwHHMCNjMLG2ZV3lDPhGVNswn792zpwqJwgUK6n1UqEAhqVKlmrsHW0idOvWN&#10;gP3s2NGjbsHprPFflJgfQRiSF3QtK1yggDRu0EAzBo2A/2pGwGZmacNYm0jupfcEWc4HDxyQaVOn&#10;avUG/SVYyzJlyCg5s+eUqlWrS8fOXaVv/0HSqnU7I2A/4wDiMiAO+fUXX/oShCF5wXFnA1S3Zi1Z&#10;u3qNEXAcMwI2M0sbRqIVbW8Z/EMPeho+UUFTslhxp3gLSoF8BaRihUrSqGFj6dChs/QbMEiGDBsp&#10;rdu2NwKOa/jxSRWvVb2GLzEYUgZeHTD12KtWrDACjmNGwGZmqWue8qXxz/nz52XpkiXSsllzKZQv&#10;v4q377/5VgoWKCTVqtWQdu07ybDho2TEyDEyasx4RZt2IVQH/DmGD596LUbZ1axW3ZcYDCmDL//2&#10;d3X/03py4fz5QdXRKqFmBGxmFjz26NEjOXv2rKxbu05GDBsmLZo2k9IlSkoBd+8WLVxUypUtL/Xr&#10;N5L2TvX26TtARowaKyNHjzMC/pCx8NCgY3NkpJYg+RGDIeXwj//4T02Cmz5tmhFwHDMCNjNLXaOt&#10;8crlK6Rzh46SO0dO+eafX8n3TjTkzZNXatasLR06dtZYb1ziNQL+gNEg+/79+7Jq5UqpXL6CLykY&#10;Uhak7k+ZNEnjLJBwMHe6+pQZAZuZpU3D3UyG84sXL7RPBC2MWZcY7FO5QkXJmS27I+FcUqpkaald&#10;u660a99R+vQbqLHeuMTrwQg4jj1/9kwXnrmzZ0u50qV9CcGQssjoFv8J48bLq1ev9AYwAg6YEbCZ&#10;WcoZsV7WoBvXb8jSJUulTavWUr5sOfkxU2bJmvlHyZMzt1QoX1Fat2mn7ubBQ4bL8JFjfJWvByPg&#10;OKYzhI8clUkTJkqp4iV0JCEEwIhCwEzhgvny6d88VHJKuXaNmpq0xU6oWKHCGoD3I5NQBRnNxEVI&#10;qKpVrbpOnapWubLW+XrHsWjBQjpukMlHzPTluPM84sDEV+gD/fLly3TtijYCNjNLW0ZOEKr3+rXr&#10;OiNgjhNnDFGgvKhAvvySy6ne4kWLS7Wq1aVFi9bSu09/GTZilLqd/Ug3NoyA49hdtxBF7dotI4eP&#10;kOJFisj3X3+jhFuhbFlF5QoVNNBOk46+vfsoaJW4ZNEiLbqeOH6CdHInh6JrPyIKVWTK8IP21WZO&#10;LyO4Vq9cKdOnTpNBAwa+O44d2rXTjUw5RzolihaVAnnyKgkzjapfnz7aHIUC92CedvQpMwI2M0tb&#10;xrCXy5cuSUR4uFuH+krZ0qV1Sh7cQHlRlcpVpVmzFtK9R28ZMGiokm9A9X5Y+XowAo5jTx4/1lFR&#10;K5Ytl149eurEij69ejlCHq4Y7Ra8eXPmyIZ162XD+g2K3Y6wz545IyeOn9AReZMnTnRkXc6XiEIV&#10;2X/M6sh2gBzcf0CP76WLF+XQwYMSvin83XGkfo5jN3zoUH1sb3f827ZqrWn9kPZFRwik+/+XEbCa&#10;EbCZWdIbIS68bMwTv3v3rhw7ekz5gKls1apUkcwZM0n2rNkkjyPhypWqSKvWbaVHr75KvH4k+zEY&#10;Accxeni+eP5cbt+6LWdOn9aOWGdOn5EL588rIIHr16+rUr77010FqeiMxcN9feXKFVmzarXUqmE1&#10;xLHBSMeZ06drsTrHl44xjBO85xStdxxv3bwply9f1szCc+fO6fE/fuyYngN6qhJ/4fxYDDhgRsBm&#10;ZklveNhI+Lx+7ZpERkTK+LFjpWmjxtqWOG/uPJIzew4pX76CNHWqt1PnrjFNNUZ8lss5LoyAk9C8&#10;DDniBI3qN/AlolDDF//5N43jEi9ZuXx5zJEy+5AZAZuZpY5BvGzwmTWO2OLaHzZkqHa0Kpgvvw5R&#10;yJs7r5QpXVZdzv0HDtEM548lWX0KRsBJaLgtIOHDbmEk3ulHSKEGyDdrpsxSvUoVoZ+z2cfNCNjM&#10;LHWMWC8lqLt37dIk3PZt2kqlcuWlUP4CUjB/QSlerESgvKhdR+nVu58MpatVAlRvbBgBJ4PhOm3X&#10;uo2SD92c/IgpVPDdV19rW7YWTZpq3ZzZx80I2Mws5YxwFqIJ8uXa3r9/v+ahkAxKEmiWjJkk249Z&#10;tba3Xv2G0qVrDxk+YnSiideDEXAyGAtX/759JX+ePJrF60dMoQK+PwOoe3Trpv21zT5uRsBmZiln&#10;uJ3v3L6tCaG0u+3Vo4eWSBYuGBigAPFWr15TmrdoJd2695QBA4fIyA90tUoIjICTwa5dvSoTxo2T&#10;KhUD3VH8iCk2aLdIrJThA19/+U9VzvycVtSz99kYqcVnozaa3/k9Ni5+dDtIdpNkkOOaN/u4GQGb&#10;mSWvoXrpakV976uXr+SAU70zp8/QaguGvzAsn0znokWKScOGjaVrt54yaPAwXwJNLIyAk8Fu3bwl&#10;c2fPkSaNGuki6kdMHjxyo/kEiy1kxfDmiuXK68Xg95yUBiRKs5EGdetqI42SxYpJ1syZfR8bFzQu&#10;oW561owZcvrUqZgjZPYhMwI2M0s+g3i5tqnEYHTg6lWrZOjgwVK/Tl13r5XRblZFChWRSm6da9S4&#10;qXR29wjJVsNGjPYl0MTCCDgZ7O7du9pLukunzlKiaDFfYvKAmqSgmyzhTh06ytjRY2T40GFag4zr&#10;1u85KQ2aivTp2UubaFCf26pFCylaqLDvY+OCzlZd3XFYvXKV1v6afdyMgM3Mks9IlKXE6ObNm7Jw&#10;wQJp2rixrmV4GxmYny9PPqlerYZ07NwtWYnXgxFwMhhp7JsjN7ud1ZD3GnJwolG8uKbp+NSkYSPp&#10;3bOnI7fJ2oxiT9QeLWNav269ZuHRhhG3L27q2K/zKZD8hHIlBovrGKKP72t8+9VX2n6zUf362unr&#10;4IEDsn3bNlm7erVMmjBB47rNmzSVam63SKIVHavivg+JDBSw06CEOl+zj5sRsFkoGtcbbWYfPHig&#10;IBv56pUrcurkKTl54qTi6JEjst9dq6yPW7ds0c5UIHzTJglz1/+6tWu1R/PcOXPUA+mH2bNmyYxp&#10;07ShUvOmTbXjHgPz8+bKI2XLlJN69RrqEAUmGCVFlvOnYAScDPbs6TM5sG+/THOKMe5IQ8gXoqro&#10;iLln9x6yeOEiOX7suLZYpIb4l19+0XGINKggjpw7ew4l0c+NuQIIkNIfelLny5Vbx/l9+8+v4vUa&#10;AAIvXaKEDOjXT5th/Brz2bhR6MuMS3nt6jUyasRIaVivvuTMmu2992GWL4XsuHseuhvL7ONmBGwW&#10;isa6hyql3SygAQ/EqqQ5c5aC0iDqchEsTCBq0ayZNHdo2qSJ1K9XT2pUr64eR8JeXu9+PxDuY21j&#10;HUaoUGJUrVpNHaJAkpVHvEmVaPUxGAEng9GxidaUy5ct0w4qEChu3GqVq2h9MAsZCpK6WNpX0kmL&#10;VPjYQwZIi4fcUJjFixRV4o5Njn6AeCFALq46NWvJ0EGDpX+fvtqbuma1akrm/P1zk7sgT/ozL128&#10;WG7cuBHzyQJxFG6Yp0+fSnR0tOzYvkPmzZkrA/r200SGKhUrae0cAykYTs1NRPcwuoWZfdyMgM2C&#10;1cgoZoP+/Plzefzosdy7e1fve66jM9qq97gmYu7bu1c9aapa16xRcM1PnzpVlSkYNXyEChTWE3JI&#10;QOOGDaVu7dpSo1p1qerW0spunalUsaJUqFDBqdcyUqJ4CVWzuXPm0rGAH0XO3OpuLuxESo0ataRt&#10;2w5a2zti5BhfokwuGAEng3ER3rxxU7Zu2SpdOnVSN2zrFi1l2pSpsnFDmJxwOzzanEG8b16/0Ww8&#10;SC12i8Xffv1NjrjzMGvGTO2qBXH6kWRsQKzs7ko4wuYiPnnypBxzO8ldu3bpOD+IEXLGpe33/Lgg&#10;4YrkKVw/kK1nXq9UFmnmJ3PD3bl9R86fP68uIYZTtHA3TmFHwrwnrTl5DLEXs4+bEbBZsBr3N+7j&#10;y5cuq8t435697vrZqF4+3L5jR4/WHJLuXbtJEydMCM8hLgDeOrpN5cudJ4BcuTUJNatbz/DmgexZ&#10;smroLr8jzmJO6ZZ29wYo5VCyZClFhQqVtGwIUv0YatWqIw0aNNLyoq7desigIcM13psSqjc2jICT&#10;wVCzENa5s+dk0YIF0rd3b52UdGD/AV3A6IPske6HjAXw1q1b6spGxXLhEcv1cyPzOwga90rt6jVU&#10;iW6OjFSXNsSHO5u4yegRI5XMIUYSv4jXxn0t8O1XX+sFTwx625Yt2vf6F7ep+Jh5/VNRynSSmT93&#10;nn4OdrJcT/yNx5h93IyAzdKCeZts1imuC9YR4rI33f1NbJae+KhaXMUHDxyUPbujtG/yyhUrNAY7&#10;ZdJkDU0xNa5D23bqLiZMVbtmTVWvJYoV1zUtS8bALN3sP2bTHsuqXp06ZdBBPidcGPdX0K1XhfIX&#10;lCKFi7jnlZTy5SooydapU+8vqFu3vvZnJobbrn2nj6JDx85aXtSrT38lXz9yTAkYASeDQayQMK5o&#10;Eo+iz53TfyHlt2/e6uIWV/HGNf6Okn7y+InMmTVbE7ZQt36kiXsa8i1fuoxTn2N0esdPd+7ozQMg&#10;P24eOnQxcahF06aS113oxEDivhYglluhXDkZM2qU++zR6m7+FHl6NyyKGPcTHgDc02Q+P3v2TP/2&#10;se9rFjAjYLO0YNyv9EUm34NGFYTUdu3cpWU7ZA9Pd4qWka1UazCYnuYVeMwqunWjLDO+HcFS2UFy&#10;JqP7ULUoV0gUxVq6VBltclGmTFlVrVWrVtc2j6jSho2aSOMmzaRly9bSzhFUhw6dpGOnLtKpczfp&#10;4q5ZGmL07NXXkWe/v4A5vCRPMRLwUxg4eJgMHjpchg4fqUPz/cgxJWAEnMYN0tq6ebPGcbmwUa4e&#10;UeJyJokgl9s51qxaTZX2tq1blbgh3tiE5ylUpgzhCm/asJEOwEc5xyV14ra4icgqxKVklnKWGAKe&#10;MWOOUwLNJEvOcvL3rPXk/5u5ZQxayP/K2Ej+fz/UkYy5a0jxklWcWmgknd2iZgQcesa6gEB4++aN&#10;esnY5OMlQySgbjnvp91mnRAYnrMN69bJgnnzZMzIUdKjW3dNgGrWpInUYnZ36bKaxISKzfj9D9rE&#10;gvaNuI6zZckqOdxmHmWbL3deKVSgkBJvFbdW1Yoh2yZNm0uLlm2krVOtnbt2lx69+iiZ9uk3wJHk&#10;0CRt+5gWYQScxo2bBQXNPEpcObEbYEC+xErq1qql/UtJ0cdtDdnGdW/zOuxqUeGk9rPIt23VSut0&#10;KXWKTcCNGzTUOmbel2Qws5SzxBDwFLexqlShinz9TRb5+1c55X//M+87/L9f5pb/+CKHfPVtdsmc&#10;MauUK1POLaTtjYBD0FgHGAt65fJlTYxinjmb7TmzZ6sHbUD//tK1c2et9ydkVQe3sVO3XIvUzIIi&#10;DsWKFNPEp5IlnOJFzToyrlC+olSpUlVq1qwt9eo1kMZOzTZv3lJatXIk27aDdOzYRbp066HD61Gx&#10;qNY+/QZKvwGDlXBRpYOHjtApQxqTTaFs5NSCEXAQGEPocedSllS4QAH5zqngDN9+q8ld9evUkZHD&#10;hin5onxZOD9m3HwoYeYWkxihfU/zF9DELAgdMu7Tq7e6nHA/fer1zJLWEkXAkydLhXLl9frI+H0G&#10;p0YyxSCjZMrwg2T8LoO7br6T77/5Rkq6hbNtm7ZGwOnI2HSz+Ubdsha8fvU6oHAd2VICePfuXbl9&#10;+7ZTuVc1H2XDuvUy3ynb8WPHqSuZphRVKlVyxFpEcuXIodfN9998q9cM559riusIZUuctmiRojoX&#10;t3qNWlLfqdmmzRzRtm4n7Ymvdu8pvfv2DwkVmxgYAQeBeSU/JDjUcWq3VPHiUql8eXUFLZg/X7OU&#10;Sfln0YyrfOMaSpiblLgsCRTEhEm2IiZMDR1ZyxAzcR9u5E+9nlnSWuJiwLOkUcOGjlxLSo3qNaSR&#10;Ux+AfrYkqdDhp1KFilLGvWZdt/Hq3KmTEXA6sj9jtnfcBvqskiyVGKtXrdY8krGjx8qgAQOle5eu&#10;0rZVa/V0Ua7IPc91VswRKsq2SGGnct3PqFtcxgFVW02zh+u664jriXm4rVq3lfYdOmm7RlW0vfs5&#10;0h2gA+oHDkLNjlAVm1I1tcEII+Agsn179kjvHj3Uddyze3eZP3euKtmEGMTKDcvCS5F7rWrVtVSK&#10;ODIF8NzIZilviSHg+W4z1q5tO7dI1pVOnbtqdicg4aRn777S0f2upVt4IelWLVtKt67djICDxNg4&#10;ewqX/A7uXTbmnDPCRCR8sgkn6XGvWydWrVgp06dM1V4AHdq1l1rVa0rRQkUka6Ys8s9/fCFfffGl&#10;er0Y/kJ1RYZvv5cs7m8MnC/hNnCVK1fV8XstSIRyJIuiJS47aMgwR6qjHHkYoSYFjICDyJiyRPH6&#10;2jVrNNnq1KlTqmQTYp4S5sZFQS9bskTjQJQvsfDipjZLeUtUEtb0GdqogNKN0iVLS+WKlRWVHMqV&#10;LS+lSpZSlUOzgmpVqkrHDh2NgIPE8EbhTuY8nY8+L4cOHlJ1u2b1alm0cKE7j7RXHCX9aLzjzisN&#10;fOrWqq3qlp7yXA8o2qKFi0rhgoWVZMuVLScVyUB26vZdzLZxM7dJa6Oky+xb4rTEaAcMGqLxWcjX&#10;3MlJByPgIDLiOvSZhnTZBSeFQcTspqlN9sD/zfWcOpYYAp44YaJmsMdOqPsQ6MxG+YgRcHAYKpcE&#10;SzbL9IynaxTeKiauUTKYN3dujc/69QkgJyBvnrxSunRZqVKluvY7JvO4U5du6hmBXCnHMTdxysMI&#10;OIgM0uVGxPVEMlVSmKeEIV0P/J/fm6W8JYSAJ0+eLJs2bdIkrDIljYCDzbiXOfYkS9EPmVJBzu32&#10;7du1Xe2SxYtV4XqNLcjZIDsZLwbxfBLqiNnSVpGmFYzTQ+GWdYRbsXxFbVpB3BZ3ctt2HbWetkfP&#10;PlozS5KUVwtrBJzyMAIOIvPiQElNjrxeXJiljiWEgKdOmSqRkZG6SJctVcqXcOPCCDjtGMeatrQc&#10;b5pdcP7JTO7etavUr1tXkyNz58ipbWQ5DzTQ+f7rbzUr+cfMWaSgO5eEGGhmUSdWN6huPXppeQ+u&#10;Y8p6GDJAUhRkC7zkKCPe1IMRsJlZGrL4EPCRI0dk/LjxMmbMGJlNDefYsaqOmMBVslhxyZ+Hvrq5&#10;tRNRAfdahQsW0npOxrC1bN5cmjVpKsOHDdNmC0bAyWdMEXv29Kl2p7t86ZKcOnlSDuzf/24gwfKl&#10;SzURkvPXv29fPYeNGzaU6lWdwi1dWhtY5HPnz2vNSAy3eLESOj6vcqWqUrdOfWnWvKW0btNeO0Z1&#10;69Fb47Yk4KVmlyfDp2EEbGaWhiw+BHz8+HFVv4MGDpLevXrJkMGDVQXjiu7m1FODevXc4lxH6tSq&#10;LY0bNZJWLVvJxAkTdJbqtKlTpV7detKlU2edXW0EnHyGa/nC+fMStXu3ZifTJ5lkKQaWVK5QUb0R&#10;bJDYKNEfmZazdLeDcEmaQ91SBlS7dh0tK2vZqq0j2q5a+tPXEW1/bWIxTAl3yLARqnRjK1y/hd+Q&#10;NmAEbGaWhiw+BMxjSb4a6xRw61atpFWLlrqwo6JQtzRVqFShglQsX17VFETcu1dvrQllrmrD+g2k&#10;n3vs3r17tc6c+L9nRsAfN+K2gXaOb+X5s2fa6ILaeZpcnDt7Vudne2P36Co3c/p0GT50qHR1x7Bp&#10;4yYBL0XxEpInZ275MVMWyZ41m47JowyoQL4CmrFM/S3ZyWQmU3PLAIFu3Xu9U7e4k/0WdUPaARsg&#10;zhMhgLhg09S4SXMjYDOztGLxIWBIE5JcuGChKtySxQMN8Avmy+eUVDbJkjGjdjPK/MMPbpHPpMoK&#10;pVXKLe41q1WXFs1bOCU8TcdIQiaxE/uMgD9ubFaYEERnKQh3/959ErEpXBOmJowfL31699ZZtrj8&#10;y5cpqyEB5mvTOlaHEzh1SzlYcfd7XMnEb+vWbSBNmzaXNm3aqSu5e49eOqO2b/+BOig+MEDgT4Vr&#10;6jbtY8SoMZroRlewuGAaU9XqNY2AzczSisWHgKnVhgR2796tihaXJq1Fazi1+ynQnIH48ZbNW3wH&#10;bqRnAiaRURWsI1Hc7hxDyvt+uvOTjtNkIMHly5f1+zNBjOlicUHrV2rxqcln9Cbztgf2H6BDU3D9&#10;lytTRomW0Z60c/RagzKkgFF7zLOtUKGiTgBq2rSFZiezINPsIlBvm/KzaQ3+4DzgzuecsPlBveKB&#10;YKoSSW54JCBURht279lbO4OxgQJ4Ldq266AejNZuY9Wmbft3aN6ylZQtV94I2MwsrVh8CNhzgz64&#10;/0Cn15DYE7U7SpOqPoXDhw7pqMm7d+9qWVtcS88EzHdj80KP9evXrmlL1m1btqqreO7s2TrYZNwY&#10;t+C6TU3XTp2laaPG74EyIDY7eBKqOCJlXCjZysRzGSyf3ylcZtvmyJZdCuQvoAMLcClXq1ZDpwCx&#10;GLNQ93ALNu0bieMOcgqXxT2gbq3ZRVoB5Ivnof/AIbpB6tGrr05uYq4wpV2NGjWV+vUbagZ6lcpV&#10;pUSxEurdAJSE0c6TZjgMqahWvcY71KxVW0qWLG0EnJ6MRZkFxpBS+Lf82x3zpCoPiw8BJ6fx3YKR&#10;gL12jWxMaFzz6uUrddWjcNlsMHLv0qVLqmxp2bhxQ5jMmzNHRgwbLt26dNUOUvRbr+GItUL5Cu9U&#10;LM0sULLv8PW3gd+5fxlWQCtHjhHNMBgunydXHi0PKla0uJQrV8EtuDWlbr0GOn4P9dO1aw91L7Og&#10;K/kS03XqyrpMpRw8ZcuGx1O2g915wNWPyx/Xf+8+/TTZjdrp9h1i1KzbPDVr0VIaNW4qtevU0/BB&#10;pcpVpELFShpSyJU9p2TJmFl+zJRZcmTNrv21CTPg8ajsHuehZq06UqZsOSPg9GIsPqiZZ8+fG1II&#10;z1+8kNdv3qiigrQSy8FGwIkzmtXQze3+vXuaeXxw/wGJCA+XpUuWyNQpU2TokCHSu2cv/U6tmrfQ&#10;gQS1nBqp4BZCYuPE0IsyNL5kKbdollU1Q4MLFlZG7vF71CxJUsUdudLwgjF85R3J0taxUqVA68+K&#10;tAF1aqiaI3L+ZfGFiMu69ylTmmH0vH45qeYWbxQxo/po+8ji70cWhqQF5Dt8JMlRI6Rf/0HamASP&#10;REDVtpHGjlxrOYVavlx5KeXON608tezLncsaNWvrZgoCVjgF3LhJM62/ZoOlQ1AaNpbG7veEF1rH&#10;DK3o0LGL9mP3wFhG+m0bATtDvXixobhgR/2n4nkffwB34/8O3M47dlepj4FF+xfgSPPnJMCbN2/l&#10;/oOHcsUtkoaUwdVrN+TOnbtOYT1SMkZ1+Z2bzwVTbEiq6tiuvY6bTEsE3LlDx3cJW1zvce+DxIL7&#10;zO/+iwsex/v/+utvery9YQT0SmawPAr34IEDsn7tOpk+dZoM6NdPWjRrJhXdYsqYvR+++07+8R//&#10;+V5zki//9nf55p9fa6yW1o3FHclCmigcYrUN3KIKGL3Hwlm3bn0lz6bMu3WqiP7JxPyI91GX6wGV&#10;VMGRc8kSJaVQwULuM+RUpUyCHIPqcVHSHpIFmrIiP8IwxA+euiUJCoUbO36rKnfQUD3WPXv10ZIu&#10;xig2adJczwPeCsYsFnIbryxOxeLhQNHmypFLO455sXvOrY5fdMoYlzTxX1QzMfzPTZKzMqQYY1F5&#10;5XbOL166GzkWnj17Lg9I0Pjprty+c0du3rr9Hm7cuCnXrl2Xi5cuy9lz0XLq9Jm/4tT7OH78pBw+&#10;clT2Hzgke/buk91RexONXbujZPPW7RK2KcKQQtgYHikRkVtlizvu23fskl1Re3zPzedi2fIVMtTd&#10;wA3dAk8taFoi4MYNG8mmTeESff6C23hc970XEopbDvfu35cnT56qZ+HFi5fv3YvP3e+ePn2m9+Pl&#10;y1fk2LHjsmvXbvcZNzqFu1RmTJ8uo0eN0jKszh07SoumzXTcXsVy5aRooUJaY8tiyhQgPwL+x3/8&#10;Tf7593/It199o6VBeXLn0WQpFmOUD3NvIVNIuCEqx6kfFmEWUfoqazy3T3/p1buv9HALu4eAsuqo&#10;xMxwetQVgw8Y7ce/KKY2TgHj6iSxx2+hNsQPkG0g+3iAlm5Bsrj+GaPIxonRnAyhIGZLXJ5yL0Z2&#10;1q/fSM9vo8ZNdKNVxxFt7Vp1pL4Oqmj6rp1nZ863O7ckXv1Ziz1UhgwdofOPRzryDzkCjt1K8UP4&#10;b+CUblxAvnfv3Xck+9NfcO36DSXVo+5mP3T4iCPMg+9hz979Sn6Rm7fKmnUbZPnK1X9ihYdVf8HC&#10;xUtl1pz5MmXaTBk3YbKMHjvBYNAdNGoKNyZtBtMSAVepXEUmTpoiG8I2yc5dUb73QmJw8tRpueSI&#10;9brb0N66fee9exGixuvA/bh16zZZsGChjBw5Sjp36uwWytpStHBhyZYli47Xg2ATCpQwcV9PCZdw&#10;ypVBBl4sl4UZlyPkSzKVDjXo1VcGDBwsQ98lUQVaPMZG3BF+qDL6Mb9byN3PJPvEfozh4/A7zihf&#10;NjIcV1y/uIY1QcoRLuEDlOwP32VQZMqQUc9xyZKl1NMB+XL/4R7u48gbtewRqt/7JxZBT8CQJ+5c&#10;CBQXIDto3IH3HJneojDe7dS5qS9cvKQ79zNnz8nJk6cdoZ5QBeoBEt22facqmdiAVDdsDJc1a9fL&#10;qjXrZOWqNe8Bol26fKUsXebg/l22fJUP+P2fWLxkmcxfsFixcNFSJeTEYpF7TV575eq1+llXu89s&#10;SGa448z5X7J0hTuny2XR4mW+5+ZzAcH17tNXZ/qSQZuWCJjRhuPGT5Qly1bod/a7FxKDdRs2SnjE&#10;Zr3n8OTEvRf5XUTkFt0AcP9MnTZDRo0aI/36DZCOHTtLE6dQajqVSjy2tDtunwIuYeK4jOij3WPB&#10;/AUVZC3nz5tf8ufLL0UKF1ECLuIeU8D9jceR2YorkgQrFnRixbglUVM1HEHXc4s9BN2SWbpO+ZLA&#10;gwpDHZNJS9wx4B4NZNdCFszZ5WfI22+hNvzpVg6o22Fa/hM7dtuqVVsdOsE1gGpF6QLIV392KhaV&#10;W8P9HdXLv7Vr1XXPaSLNW7TSc6UjGHv31fIir9kJ78l7+32mxCLoCZiY0MuXr+Snu/d053zREe2Z&#10;M2dVseLa3eJ2yrgK160PU2JavHS5zJ23UKbNmC0TJ097hwmTpsr4iVN8gUJ9h/GT3sPYGKBmIVQW&#10;488BC/Yq95k2hW9+b7FJCLa6DUSU+84o9SNHj8vxEycNyQw2cvucekMR4oL2Oy/xwVJHbmPGjNUm&#10;GdSLpiUCZrLOqNFjZebseXrP+N0LiYK7v/zuv7jgcdxveAxYxFAnZBAP1kV5gA6PR5V+Crpot26r&#10;CgnlQ1wXEN/D5VymTDkp5Y4/seC8ufNIloyZNAP6q398oa5qBcPtYw24RzlT65svTz5N0KpUqYrU&#10;cq8HIWv2s/tsKN3AUPv3FVzsxdnwV3CeUaPEb1Xduk1Xs2YtHakG1C3nivg6HpCsmX/UzRLxdTZG&#10;EHCz5q00XkuDEzxNOglq2KeGVCTvOUmzBIy7GHL97bffNckiEIt9JHdi3MLEW89Fn5eTp87IwUNH&#10;NPaGgmX3vBHC3RCmKhB3r6pTB3buqIz5CxfLPEeU8+YvegdU6BJHzu8UrHse4Pkr2O07okQFr1u/&#10;8YMgHshn2Llrz2dj774DToEfk2PHTyYax0+cktNnzsn5CxdV8XOMUP+G5EMg7h+4Dk+cPOV7XuKD&#10;yM1bZNas2Tosn65VaYmAa9esLQvdvRO52W1qN4b73gOJgXe/evdefKD3t7t/Fy5a4jbYC9wmYY7b&#10;ZM9ym+IZMnnqdJk0Zdp7mDDREfm4iW5TMc4t7G4RHj5SMWTocOnnFuhebpHv7gizc5euTs220jgg&#10;yqoG8cPKVXRDUr5sOSlLVrNTyfRtZuAFINmKoQmFVS0XC4wHJIvWETLKC5XcxJEyGbLa1zkmgYda&#10;YE91+S3Y6RWQHQlTkCHHgMxkyrTYsHB82rXrKM0dgTZs0EhrbgNx+JiEuHpu04SyrVlLQzdkLHOc&#10;ibETt23Zso26onktYsKBEYxpo+QrzRIw5Eum44uXL1XdstCxQJGosilis6xctVYWONJkNz5jZuBm&#10;mzp9ZswNN8PdYNP1/zNnz5W58xeqaxAXMTcr7q71uLsit7zDth07VTETizp46LCqSIB7GjXN4spC&#10;y+f4EFiQA5mx1+OBG6rcb9y8lSTQhJbbdwwpCI6537lICLj2li9fIb169tKmDmmJgJs3bS473H1y&#10;+crVd5uPpMSp02f1fvPuvfiATTjH7sDBw7L/4CH1BLEZjnAbctYLNuVxwSYC4NJmPYiNtes26Iab&#10;tYLEOEgdl/cUt65Mduof4h6OK5TmDH37S7duPRxJdJCmjlRrOiKg3Ig64GxZsmqckZphQBIYx5LO&#10;WNSIUt5UtWo1TcTCBYqywx2NQg4lRRxwLY+UAYOG6DEgIxy3MElqxGbLlnbHM39BVbaEZnD/U/KF&#10;twLvgiZHueOnyVE9+2j8Fne/tu8c8uc4xtgKN7nV7ecgVQkYlfvvfwe6+VBCE2gJ51TuT3c1qxgl&#10;h5tv3/6DejMRi4V4Fy1Z7kh1kSYxQbCz5y5winaRI+QlGgeFaEl8YkdNXAllGrllm76GZqru3qOv&#10;ifL0ECDYaI0Tox49sDCw4ECWLLRsBgyG5MKx4ydk9eo10qd3HyniVFRaIuDWTgXu33/A93MnBTSE&#10;5O632PdfQnEu+oJWILBpJxwT+17/fBxVUmdTjodt67Yd70Asev2GTYEcALepX7R4qcyZO1+mOrU9&#10;evQYGTBwkCPl7tKmVRsdvlCvTt1A16yKlaScU8x0zaLe2KsvZuIRhFLLKezAxKM20tGRkDfxyFPG&#10;ShxBSMwQHySI+kTdEg+HKLt07S7t23dST0ALR7heLS0DKAgH4L6vXr2mupE5Rhwv6qj5HZnogclQ&#10;XZy67aXtIHFP46YOFg9CqhJwwMX8m5YckOUI+bGT5QInZguZElOd4wgWokXlTndqF8JF/ZIIstY9&#10;jh0u8c/de/bqDpi4HLvpM45QcVPzuucvBG5MbnB27x6pesCt7akQiDY2PKXDxsBv4TAYkgqhTMBe&#10;pnNSgPsYQsfDFPs+jw+ugKvX3in+2ASPOGBtYdNO2Aey1xAEyZ1OkUPaeNQok9q8eYts2BAmS7RU&#10;aoaMGjlKp1IxHrK6I+XijoxpW0ldsE5G+jGrxi8hHJKGiFOTxAW5jHBEFnzKeJzWxhKfJ7sY0oFo&#10;IVhit7jnNfktXwH93jQ2IUkK8sXFzGPJTMaNjMLVIRV9GFIxSBVz3DGMwbRJSRECJlMZpfubU7pv&#10;3/6shPv48RO96VC6XMQQp0e8JCdBsiQ1kSw1a/Y8mTMPlbtYFi9d4Xad6wPxVqdm97oFgZ3qiVOn&#10;9YbgRuHGM7I0BCNCmYDTK9gMsC5RZrXXkXJERKQsX7bcqeVpMqD/AGnbuo2OiuRc04mrQN68jpAK&#10;aAcusrVJCCOJqEXzVtrog3pjsnTJmv7Tneq/wH8KAdfvqI9gpL4PJAeJ8rPnzuVvsRtbUAtLZjIl&#10;VZRlQZQQZgdaOLYNDCTwEt7ITKajFB3DitM7uWBhKVKoqJIxapc4L48lcY0sZwgX9QzB+n2PYEWK&#10;EDA38y+//KolQlyMp8+clT379mvCFLEWEihIgiI7GaIFuJNJmkLh8jiyTMk2PXIUd/FpOX32XMBd&#10;HMtFDPGy+2Un7XcjGAxpHUbA6Q+esmeNQj1TCklo7cDBQ25d2y3h4REa9585Y6YMGzpMunTuLA3q&#10;19fkLhr605Alp0PeXHmkRLHiQtMIXNQQMcovMaTE81GSEKcfcOuSINbVKVdUOD/3jOlhzd/4meQm&#10;rwNYoJtUA/2MlStV1TKtgrHmG6N4SUILtHIMtG8kk7lFi9bajETdyd16vnsPNhrEcSF6WkcGn/r/&#10;OJKcgANx3VjN0F+9loePHmunG5QunZ+In0C6s4mZTJ+lWYr8i5uZDGX+RuyWuj+yhI+fPKUuH9zE&#10;5go2pGcYAYceWNMIjUHKm7dskUWLFsnw4cOlTZs2UqN6dVXFeXLmUtc0ZEwNMuVNdOKCsLSHtFOg&#10;kJSfIub/7zKMnVpFqRKDJb6MQiX5S9Ghk7p5YwOCIBnqXd9jB0izhbsWaERCvJZsZBRt9Ro1VdFS&#10;voWSJQucsiDKtwrkza+uZbpPMfcY0uX1tT5aM5MDMe7YnzsUkOQEDPlCuvfvP1C3CwsKSU9kG1Lz&#10;Sh0uJIuLWbOTlyzTEp9N4ZGyY+fud2U5sUtqULioWyNfQ3qHEXDogTUNzyDr3OkzZ+TQocOyffsO&#10;Wb9+gyyYv0DnNvfr01dat2qlU5ooc8qRNZvkz5tPk5Jo/kGpDUo0kEH9V6WIQobgKOuBaBkeABEy&#10;aKJc2XLq8tXGFDVr6Yi82GBsHq04IVSakhCnxT3uxWwL5MuvJVdFiwZKregoVapUGS258hRvLaeG&#10;KQdq06a9dOrUVUkXl/I7dTt0hH7mYEmcSkokmoA9xRtojv6rlg3hbiEpAbfxqjXrlWgnTAoU0VPA&#10;T1wXN/OyFStlY3iEJk+x+4OwuRD9LlJD4sGNjjssJcBmyUuICSXwvYHfMfkcEGJZuXKVJukYARtU&#10;xBw7LpGRkTJnzhx3XfSSio4QGXWX6fsMWs4EETKJCXXapVt3zZr2SA0QO+3Wo5e2zcT1W94RI41C&#10;MnzzrSpUuoHRsKJcufJKtrFRpkxZVdy0a0SB835cC5RTeaMZUbi5c+WWgu56LeZIHQWsDUhq1VGV&#10;TNMT4sGobjKgUeuxS4P4jO+Sp3xIKj0j0QRMFvOzZ8/kpiNOSJeWjsRsqaEjhku5ECVCqN4VK9do&#10;/R3JVpqx7HZ6xxzx4pr2yJfFy+9CNCQOHFe8CLGzOpMTeC7IRMeTESrg+3It8929bPv4giSdxYuX&#10;SHe3kBZySsMIOLTBmsi1RIb1HrdmooqnT5v+LnmLUYoli5fQGDHxYsYcUhvLwAAyjlGbzLCFDCFp&#10;YrMNGjTWpC6ainglT6hTHkctbWyQBEVLzaYxY/ZoRkKMl0YivA9tH3lNfq5dp67Uql1H59wC3pPf&#10;1anLzNxqmtVdBWJ2j6f9I+9LvS+fkXgzpBycWd4JR7wJWAcaxAwwoIyIjOarblHfv/+g1uiibmnr&#10;OGbcRFW8NMWg+9T6sE2OdPdp8hQkkJ6JFqUZX/ipoQ/hFohRWp8L4uckgEAQbJTIyExOEEagaQq1&#10;16ECakVJFNSsfLdg+h2XT4HWqSidTh07veuEtWnjxpi7L+VMCfj8eQnbsEFHI0LArVq01NIav+vr&#10;Q/C7fpMafvdTWoDf2pBYcEzZqB1x1xiJW4MHDZZqlau8a4/5xd/+ri1MqZMNxGubK0HS1zpnthza&#10;1IJ2jLijacMI4SW0ZAflSky534BB6lKG8CFxjRk3aupIuZ4qYdzSNM/gM6KccZ/jzq5YsZK2kUQl&#10;Q8Qo5HfThEKEhONNwAwfZ9DB5StXArsyp3hJqiK+S83urDnzZMHCJdpxShOptmxTtcuCDPmivtjV&#10;JdcFmprg5oDo2GDEVprsYCmRQiHFBeVTNAvg+FADTZLahxDlNjDEyal5pm8wSWqfC84R3gc2QpwX&#10;yr2SEzQoCAydWB4yIHlwxao12gCG7H6/4/IpzJo9V5s4oDRYMMu6xSvMqR7CPGx6U8oIKZ08eVIW&#10;L1wkLd0ijruyVo2aMnfefPVwcV/7XWdxQeMbNt7kdtD8xu+6TgxossGG0u/eii+ozjhzlt4BF/Se&#10;9e7jhMLrLcCG2W+9SAjYcODJwsuCN4L64qlTpkqvHj2lUcOGUrpkSXUZFylUWEmOcYqUMzFaEVc1&#10;sV6aV1DaQ5YxDT4S6v4lZgsJk0lNLJeYLpnRNNggk7lT565KyHSpoqyIEYDVqlV3m4Maqo5xh6PE&#10;a9asIzWq11JlzONoQMLr4Z72e9/0hHgTMMlVx4+f0KkluJdRuChdYry0gSTeyyIPWbCj1/KgGNey&#10;t1v1u7DSA7jZuDEoMwDc0BwDEmsozCcmHhdbt+/QVpgcs1Wr6aqz+oOY7zY2eBhos+k1pY8PvKER&#10;KQW8IKEGv+MQH9BCjyzTMqXL6Ti8Mm5BXbd2rYZ6IOGUMqoYDh08KFMnT5GG9erL919/o/2OGWA+&#10;eux4/ax+11hcUN3AOkH3OjYoftd1YhC2MUI3pX73VnxBsijrFuVB5KR493FCcf7iJbnsiDg5BAev&#10;x5oKGVOOyRozz22OOnTooP2pidV+GTMsAtVJrLdY8RJKwGQut6a+tmuAhD0lnFDVyfNiA2L2ALkD&#10;iBpCRS0Tj/bKliBhErbYHNCak1GBTChiIhEknNDPFCz4KAHjYqaU6OnTp1pGxIneu2+/I4uNbse/&#10;TKbPnC0zZlE6tEQHFoRtCtcdL0qODOZLl6++I16/iygtgQuaz0kiDTtX1CsuW3bDdNRil81N6SlV&#10;XI06BziKQfh7FHx37T0bHqmgWQjZ3xwvr2VdXLAokRnOAkWTEb+pSR6ojfbqpHWIBAMlPhNem07i&#10;8ngndFZxMoJwRGB4hVN2TnGzwUjvYBY0niBUMPeD33H5FMY4cmvevIUju1Ka3JI3Zy7p2qmzLF60&#10;SDZHRsqRw0fklFOm0dHRcvnyZblx/brcvHnzL/jpzh158uSJvHr1SvHy5Utt88p9fP/+fXcv33rv&#10;OVevXtXXPH7suOzds0fCN22S8WPHSasWLaRkseI66YcaVHoej3MbjZmz5vheZ3FB7gcesYWLl6mX&#10;wO+6Tgi4X3hNftbrOSngjj+9nxkzSX9o7z5OKFgLtmzboevCzpg1Ir4gjMOmAO/BocNHVfHHBusR&#10;ngAet8Td3yNGjJLWrVprDTEhDMqWIF8yplHCsQdD4AKGkBk63zhW+0t6MUOUZFRDmkmZnczrMX4R&#10;4kcpQ8Q6JL9OfalWtbqCtpQka+GO9nuN9ISPEjBuKHozn3fES8H4kmXU7i5QBYbypTUk5MGFRkIV&#10;8cW4DTGCRfF65IvriI0GypVYHq4zboQt27arC5cuXLhWITTqmHUIxLSZCjp3eYMg/oLJjDycqrHx&#10;uCArnOfQYvNTowy9YRIsEHwW3MqfC1zWO9w5pEk9Xcf4bskJduSqAryEJNzx6Rlus3k2+ryGZQKz&#10;pgO9hOOLhQsXSZvWrTWxhrF2NPDn36Ju8SQGO2b0GJkxfbosWbxYlfGWzZtl27ZtfwEEeu7cufcI&#10;9uLFi3L06FHZuWPHe88hzrx40WKZNHGi9O3dW5o3bSoVy5eX3Dlzqpr64j//pgTc3akmOjix0fC7&#10;zuKCKUdMF/vU5jI+gMhp3MMmlPtmos99lRhwTwYmJsW5j+MJ7mvAugC8dSI+mD5jtg6cQeSwQWBT&#10;GxusR3jOOB8cG47JCKc227frqIlSlRzJMvcYd7Q3UvHbf34l3331dWA4xDffyg9OIZPEVcyRM+VJ&#10;JFx1iKkvhiyT0hXsKeR3qtipb5KvGJzQu08/9bD0d+QfaLyR/mcj+xJwVFSUPHr0WMmUsggSQ9jR&#10;z3C7XkiHrGYvxsvujsdEu4UW4vUjt7QCSBZ3ECRLBy0vLksmNrtL2lpCtiTUsHhsCGMQ/4bARBT3&#10;fSFANhzs6OlPzbFQzAlgzryFuuP3BuyjOD14AyLIBEchoRABNw/vwY6b2FrcxJ7Y0J30rihV3qhw&#10;jvvngjgzI/NQ85wrSDE5gQeB6wEPSHoOO8SGt4Hz4v4JAVmuPXv0lCqVKmt/YNyHmX/4QXJmyy5l&#10;SpbSpv4d2neQQQMHyaiRI2XihAkydcoUJeVZM2fK7FmzZMH8+bJi+XJZt27dO6xd45Td6tWybOlS&#10;/fuc2bM1m5bnTp402RH7aOnbp69m1lavWk2KFCokhQpQ75lfsmTKJF/+7e9SvkxZGTpkqCb/sCH3&#10;u87iAuWGi9jvek4otm7bKZu3kNewVT0P9BHw7qfEAILzPFKQfOz7N95w6py1QLv7eWtFzDoRL8Ss&#10;MerGj1H8n8L06bN0UlOf3v2kkyNSRik20BgsU4XKunNbROt48+XJK7lz0OAjmyPgnErQ/I2GGdQG&#10;16pZRzOm6VIVmKPbW5t4xB5U70cqCQHEHIgnj3T/xvR0TsLXT6vwJWBao9FUnEHxDAiHeAG7TS5S&#10;kisY+UVSFYsGRO0pXr+FKa2Az4hbmcQnFPvO3VEaf0VRskPHtavjDfmubudJ/MpTtYw25GbiAteb&#10;090MEDMkjRpVRbp5i5Ik7iBIEkIHOnnJLUaoak30cCSItyCA87oR0Laa7rPFXZD/ikCpCuTGMY8P&#10;cKtDiGxAOA7JjVCI+ceFF5cDfsfkc0ADBpr1N27USBNpqL1kLGHJ4sUln1sgs2X5Uco5ImzerJm0&#10;dIoYtG/XTrp17ao1ov369nVE2scp1a7SqWNHRWeHrl26SI/u3fXvQ4cMkf79+rnfdXXPba8uy6ZN&#10;mkrtWrU1fpg3V27J+N33Wodco1o1KZAvn2aw1nDETLvEnTt3qXfD7zqLCzYkXLf+13PCceHiZY2x&#10;ct9wD/15PyUchJkYPepNQPLu3wRh337deLCpJl/GWyPiC0SOzkl2G3c28XHJ1g8IBMibMa2o6HHj&#10;J6nKJPO5m87X7SKtWrXV5hi1atV1KrmKlChW0hEwtb7ZJLNTyYxQzJIxs2Ys03iDCUT16tXX7lXJ&#10;NTLRU8f8m5Svm5bhS8BkOqLIcGd4I//Y1eHy2O5uPtQUZMFC47cQpRZ0AYxRuRAOrsFAUlS0ki4u&#10;PjKyUfQbNrJzXqO7XW+0IQlOkC8/Q7bEsHA1o2a5+OlLHdu9tmNnlMZfuGH//+3d93+VZbrv8b1n&#10;zp7z2mfPnuPMnnHGPc4oFgQdC1JCDUkIaZQkhPQGCSSkEBJIQksoCUiTqqKASFVA6dJVQAW7qIA6&#10;YzvnP7nO873DYjiyFAgruSmfH94vC1mLENbzfJ+7XZeEdmTqYtaNQb+36Gelm5FusDf6Qwr8OhXc&#10;+NetezEIzTo35duvTx9LT021scVjLC8nx7IyRrup6CYFbUAVszRynT1rVjAqnmMtLS3u3xsbGtz5&#10;3RDVF54a/D/92oKnnrJ58+bZrODf9Vq9h0bdU+omW1UQxoX5+TYqNc3yc3OttKTEkhMT3TGk0rEl&#10;9lpwzehBUtdXuO//Zqb7mbtvBA+5umZD1297nDuvc/BtgR7aNxK6T1wLhbn2mejBXjvPL73/XC21&#10;cdXMm9bMFc7rX9oYDDDWmDbOLly0xObMbXWtE9WdqUhndkdluJaJWvvX0kfMoGh3jEmNIbRGq3PA&#10;ZWVtpSS1jqta0h2xXnw7CBvAzbPnuCBSICmg9BeojQD6QGn6Uk+1HbGz73r9oAsoGOXpyVjf6+n3&#10;P3BTttoQoWnf0LqRezp0fz7Vn15/cZemvkZTWvqga7305DungpGypno/vqTQgp622+hC08Wq9T/R&#10;zyU00gyNNkN0cevndTuNCHHttIasoyWaYtYNMKpXL3dTnBtck5oyfu3VV23f3n125PAR5/Dhw+6/&#10;t2/fblu3bLFNGzfaS+vXuynmF55/3lkTWPvCC+7/6df0NZqK3rFjh+3evdsOHDhghw4dsoMHDtq+&#10;fcGIK3gvfV1rEOYTysuDB4A06x/V1z0UqL2eHiZvtIfvSAjNYOhB+dJrt710L9A9oe04Yvu0jfY1&#10;0g+1P7x22hCrBjYaOH348SfuoUBLbtrtrZH68RMn7dixN4PR+mHbtWu3KwSzevXztnjRYvdglp+X&#10;72Zj1AxCMzA6Hjegb3/Xx1gtA8vKK92O6qZZc1wIhwsahBc2gHV+S+Gr0Z/CS5t29AEI96H1QRdK&#10;aNOUAldb/TUlpSlxfcC0Q/nYm8fdLmRNE2/YuNn9ebQxQlPJmkoPNfLXdLLKZaqnsEJXU+u6CbrW&#10;hqF1TEat6CR6qHsnuCnqBpiXneOmn4sLi1wt4BfXrQtC97DbeKXAPHSwzf79+90676tBoGrt95WX&#10;X76i7du2udHsnt177MDrr7v3VJjrn9qQtWP7DrfeO6ao2PKCkbDWhXVD1kmAcN83bg2632n2TrOF&#10;x954015++ZXgQazVxpWUun0J+jxqiUJLI9pZrR3Vo4IRs0bF2kWtBvs6Sqdykwpjt5Z7m0wnt0fY&#10;AJ49p8UFUqgTkcJNfzHh/sI6Wyh89f3oZqUnO62xqrylRq/aLKXRrDZAaFOUCoNoE4QeJkIbxw4G&#10;I4dQ4weNkvVk6KaOg9DV06aeWPX0+n0Q8ApfRq3oLKHPtXrGqsqRwle1f5MTEt30c0nxGGdscfFF&#10;NdUT3dTywgUL3GaqpU8/fUUaYU+ZPMUV+NfNVe8Tet/iwkIryM1zu6Dj44bY+HHjg/de6DaI6XsL&#10;933j1qAZAH0GNbOnpTRtpDt67A177bWd7pzx8uUr3JJF+fgyyww+j/Fx8W56elAQxtrApXKTKnFZ&#10;WTnx4i7q22VDVXuEDeCly1e6KVeFkO+pJoVfaGpI0zqa/tK0jEa7Ck+tSeusqaaXdSa57RjBs7bK&#10;jXbbWhxq7UPBqwb+WlfRRih9wFiTxY3q0+DBV00ZmpuaXfjed8+9dt9991uXrg9al4cesi7dulmX&#10;7m2ioqMtMz/PxldWWlVdnU2qr7+igpISix82zHoNGGAPPf74xffq0i147wcftPsfeMAe/dujbhNO&#10;fRDU+/e/7ka/N8qDODqX7pO672p2cO++/fbcs89ZQ32DWy/WZj3t0m+bnu7juiOp5GVZWYXV1tXb&#10;zJmzgkFdazAibjtaxIj4n8IG8MZgtKj1B62p/l/Poz8Frx4Ezp7/0j746GNX1u7g4aMuULUzUOGq&#10;DVMvBOGr41Fas9auZu08VMlGbWDQRimdzVTw6gk+tIatDxWjW9yINAvzfvCAqXZ0akGn8L23Zw/7&#10;65Bo+0tKvN2dnhIY5jyUmWpReVk2uCjP4sYWWnxp8RX1D772sZwM6zp6pN0zavjF97p7ZJL9NW6Q&#10;3d+vjw0YGm8ZwQ326aeXuhZ5emj1/UAOP3SfDI2Mdcb/+PETtnPnLrdhUGfTm4JR8YSycnfuWOvF&#10;6gWsEbG6LOlIk3Zc106ud71/L27WIojDB/C+4Akn3F9CZ9FftsJRF7vCUtWodGxIO/o0jayNUxrp&#10;hsrd6eC8Rrs6w6fpZa3javpEr+WGgZuZNj1pilijUoXv3cVZdlfVWLtzapXdOa3a+VN1if25MNPu&#10;zk69avr6u8oK7E8TS+2P9RUX3+uPk8vszwWj7f7hCZZUkGcTJ050m3L0QBDu+8PtKzQ40q54rRev&#10;XbM2+LzUuCNLar7Q/cGurl2hjjQlDE10ZSfVj1hVrlSAg9HwDRbACl6NTHWxq2iERq7afr93/4G2&#10;zVTByFzruqo3HWr4oKL3Gu3q67T5StNk2kCl8NUUMyNc3MwuBvBDXU0jX4Xv75pr7dfL59h/rJjr&#10;/Hpxk/2mpcF+M3vy1Qu+/j+fmu5e++tlsy++128WTLc7JxTZ/WkpllRU4G6oBDDCCQ2SNCo+E4Sw&#10;Pqsq0rJi+QrXz3p8qaqpqffwQFfrOXZwrI0YPsKtEau4R0PjdFcBSwU4woXT7eCGCmD9hepC14Yo&#10;bZLS2TXtVFbjARW6X/z0clcUQ+u9u/fss7eOn3CBq7UJvTY0pRwS7vcAbiYXA7hbNzftrJGvwvdf&#10;X3nW/nXb6guea/PKNQi9xgm9z2r7txeX2O8aKuy+0SMtaWwRAYwrCt1vdf/VoEfLfLo3b9q02a0T&#10;6/yw1obVLtG1I1RVt5ThVlpaZvVBCKuyVrhwuh14DWD9hWldQZVyFLo67qRNVWrqoLKNbrQbCNVI&#10;VkUYHS3S2V4dbNdrFL5sDMGt6rIAnlbtRqoKzn/Z8XzE/Y/1S+23DZV2XyYBjPbRLObnn39hJ0++&#10;7Y4xPb3kaWtsaDQVkxmVlu521qtlYkpSiqs9rd7BKuqhSl0t856ypxbePiNirwGspyUFqBb1dYxI&#10;I16F7qXF0DXa1RS0yjt+9MmZ/68QSGgXM6Nd3KoIYNxsdD/W1PSlx5lUYnXLlq1uV//ojNE2eFC0&#10;PfHoY645RMygwZaeNsr1DVY/YYVwuLC6FXVqAIemKPSXouosqsai0axGtVrPdYXLL7Tb04hXu5nV&#10;zkujXX29bgI6m6v3Cff+wM1An9+2zYXnXVOQ0ANluAfJGzGAQ9fwpWfm2eyIn6LPtT7rqq+9bdt2&#10;W7RosdXV1ll+bp4NTx7mdkxL6shUyy8odO0IVeJy9tzWi7Whw4XXraBTAzi0wUpHgtQeTx1IVBpS&#10;VapCrbdUc1nVt9TMQFPMbceGvnOv1UXOaBc3OwWYdo6+deKkO8v+afA5V6CFe7C8EQM4dA1ryUiz&#10;Vxrh6Hz+pd83cKkfgvu3e+gMPisqhalCM2vWrLWpjVNdoRmtC6vtZp9evd368JgxpTZ5SqPd6vWl&#10;OzSAFZa6qbRNRbTtbFbVqtcPHHYjXG2w0pEiNT9QwwO1FdOIVyNjPTEpdBnt4lajAFaFOe130O79&#10;o2+86eqNK9j0a5c+ZN5IAazvTUGrIj1aMtJ5fBW20bWqUfClf0bg56jc5YmTb7uNWqqspTabyYlJ&#10;rsylCnkkJSZbbm6+VVVNtMbG6TanZV7Euy/dCDo0gBWeumh1gb4XPOnrHK+6Kqk6lXYzq3KVmnWr&#10;7KUaxWtHs8pB6mJXaOv1jHhxq9FMjkaNOq+u5Rftczhw6Ih7QNUo4dLp3BspgEWlX/XQoOtWM1gK&#10;4FCnr0v/jMDP0eDK7f8JRsNaH968ebM1NzdbQX6+26Sl9eF+UX1dMY+83IJgNNxgzbNb3NnhcEF2&#10;s+qQAA4Fr37AmkY+GYSrppVVpSrUX1fhq8IZmopWuy5NNes1jHhxq9NnXFPOClz1i1U3LrX6fOv4&#10;STe1q9FBaNnljWB0rDaAPgI4objQqiqrXLWjT4JRr743NSxRq9ItL29z7TlVR10PDFy3aA99bvQ5&#10;//TMGdux41WbP3+++7yrvKU6LvXq0dMSExKtoKDIqqon2YyZs1xv444u4qH3bp2/0Jqa57Q1l2hR&#10;/+PFEZ8Oj3gA6weq0as2aKjV1a49e11Tf003qw2g/qmm/gpeVbc6c6Eus16j0S4jXtzq9BnXw6ZG&#10;u+o6o9Gv6pnr6J1KrGqEGVqGOXTosDu+0ekBPHqkxRfmWdn4MluyZGlwTzhgewPbgmv3tV177PDR&#10;Y25zpDaRcd2ivfS5UWboWtB+gqPHjrkZF3XeUsMHjYa1Y3pg/4E2fNgIV9JSa8OqLb2gg0JY76n3&#10;njp1hhUVjbH8/AJXwWtmEMat8xeEfU17RSyAL95Uvv3OTa/p4tRNRT13Q6NeVbDStJWKbKhJfmia&#10;Odz7Abc6XTMKMLXQVAiruptqm2v3v3pSqxLcq6/utIK8/CCAH7K7RyTaHyeX238ubrJfbl5pv1Ax&#10;ju2rA+HD9Gq41wdhrvf65dZV9j9XL7D/qh1v96UmW2x2phUH4T9nTott2rTVbZDctHlrEMSvu400&#10;umky9YxI0myKNmqpJeeqlausZOxYS0lKdhu0BvYf4LotFReNdS1zZ81ucaPUSO+UVuemp4LRbm3t&#10;FEsdmWZJiUlBCBdadRDCGoFHciQcsQBWmKr5s3ZGHgie2nWsSGd6XeWq4KJV5So92SuYP//i7MWm&#10;3jw543am6+arv//D7X9Qo5FDR465c+8aCe/ctddWrnzG0lPT22pBxw5yNZx/r2pYK1vs39cttn/b&#10;ssp+GQSogjRcwF6JgvdXm1bYv69d7N7zjjlT7C7Vgh48wAamJFlmZpYL4J0797jmJsdPvu3CV8tL&#10;LBkh0vR5+jbIhnPnzgd58aYbDbe2tvUj1m5plbTUurAaPLhKWg3TrGXegoiuDSvMFcIqDFJSMt4y&#10;MjJd8KcF1+H4sgnu/0eqetd1B7ACVEGqKWc9sevpWOd4VTpSbQE1AlafXvWV1NdcusEEQBuF2Tff&#10;fe92R6ttpqq+acZIU20jg4u/W/furkPRPSnx9t+lefaHpkl2RzAS/l8vLLRfrV9qv9y4wn6hUXEQ&#10;yL8IRrI/S1+jrw2C91cvLrH/eHae3bFopv1hZo3994Qiu3dYgnXv1dOi44e4ognz5y+wI8GDgVrR&#10;hTaJ8eCMjqZrQrvrjxw5aqtWPWMTysvdLmlt0Orft58NSx5u48aXu0DUGm2kR8IKWQW8jkTFDxka&#10;/J79XRhXVdW433PBouufAm93AOsC1NOK1m+1EePNt47ba8FTsqbRQuu9O17d5Z6atc6l8NUPkydm&#10;4HK6LnTD0WhY54J1Plgj4h2vvmazmmdbTm6uRackW9dB/a1LQqxrG3hX5ki7Mxit/r4k135XXmS/&#10;rRlnd0yttv/dVPvTZtS4r7lj0jj77bgC+31Rlt2Zl2F3jR5pfx6RaPclxVuvlERLShtpVZNqbOmy&#10;5bZr12539EjXeuhoIAGMjha6JtQbWzultRlwxrTpVlxYZEkJiRYTHePODOdk51ll5US3WUobtMIF&#10;XXtoqlnNIqbUT7WxJeNcj+PUkek2ckSaK59Z3zjNTYNfz3R0uwP44g/nzGduJ+fmLW07nNU4Qed6&#10;tdarM7+aYuOJGbh6ulZCtBFr9+49tnDhIsvNz7fHevSwbt262333dgnc6/7ZpWtX6/LY3+yeAVH2&#10;12FD7S+jR/y0tGT7S/A1+lo19m97nwvvdc+99nAw0k5MTrLyqkp7fs0a9/CsEwrMXMGX0LXwWfBg&#10;evjwEVv69FLLGp1pvXv2ticf72FRvaPcyLRm0mS3USqSo2AJBXFN7eQg8Ee431N9jktKx7sR8vVM&#10;f19zAOsHofA9d/4rO/XeB27ziIpqaNpZU2Y6aqRzvQpfbcYifIH2014JnaHft3+/Pf/CmuBGMMfq&#10;6xusckKFlYwZa/k5uZaZlW3pWVmWkpNlQ/JzLLog1/rnZVlUbqbTN9A/P8sGFAS/lp9tsblZlpyd&#10;aekZGZadmelKAmqndVVFpU1tbLTFS5bYhk2bXIEQha9mrriG4ZvOoWuvhPJp6dJlVjOxxi2RaE1Y&#10;R5W0Tqvp4ilBKOrMcKQ2Sul9VJFLG7C07pyamu5+L4VwQUGxTQqCWaPv9rRVvOYADo18dUzi1Z17&#10;3EYrNU7QWq82XqlCjg7ra6qKp2bg+ij4dC0piLXxyRXwePeUHTxw0HWaee651bZ48RKb29JijdOm&#10;WcXEiVZcNt5ySsZaxpiii7JLg7AeP87GlJdbWRC0UxoarKWlNbiRLbXVwXuoUP7BQ4ddYQ2d3dd0&#10;87ffty0ZEb64EYSyRw+F+pxu377Dpk2bbmmpaTagX3/7W7fuNnTIUCsqGuuOKrUnEH+KRtV6P50L&#10;nlQ7xdLSRrmRsNaGs7NzrToI0vY0kbjqAFaY6kagpgga3e5xm602ulKS6zdscmUkVVrvo+AJ5evg&#10;SeXHrwdw/RSGGgloOu7UqdN29OixYHT8ur322k7buvVlt0727OrVtvyZZ+zpVSsvWGXLgv9e+Zwe&#10;lJ93NXhVeWjnzl124MABO3rsjeCaPhVc219wtAg3PH0+9YB46vR7bpf03Dlzrbio2OJiYt254YT4&#10;BHdsqG5ygzXNmuNGr5GYltZ76L2aZs11I2GNgFUyM2FoouXk5LkpcAX0/OBrwr0+nKsKYF307rhE&#10;8ASuM7w6VrT6hbVuvVdTzzo28U5wM9DTeWjN99LXA4ic0MOwRsW6EWmD4/nzX7rzkwpRjWA/OfOZ&#10;fXzmjPOJ85l9+tln7tf0NbpWNZLQNa330HuxwQo3A30+dQ3oYVF7kPQAuXz5CisvC0IxKcke7f6I&#10;qyetWtIamUayaEdoJKzpaAWu1p779ukbBH+8GwlXVdfY7Lnzwr42nJ8N4NAfVGtAKpt3wu3K3OXO&#10;9qqDkUa+OmKkmrZngxuAwvfHPywAACJN+eSmpIPsUXelZ555xu1jiBscY0Ni4mxo/FDLzMy2iooq&#10;195QO6QjORJW0I4bV27JiSluFKzRcF5e4TWdTf7ZANbTsMJXtWmPHnvTNmza6hopqGG+asFqNKwj&#10;SKrmE3p6/vEPCQCAjqAQVvbotMCp06dt7dp1Vjep1kalpbs60qonPSx5mI0pLrHp05siNhLWxiwF&#10;7LQZTW7Uq6CPHhhtyUkpNr6sIvj/zS6Ew732UmEDeO++fRfDV9NVJ99517bteM2Wr3zWVr+wLhj5&#10;bnZHj/RrnO0FAPim0fDx4yds/YvrbUrdZHdWeFD/gReKdgyz8iAYZygYIzQSltBIWKGrEbBkZ+Va&#10;eXmlTQ0Cf55KZf7MSDhsAO/Zu88Fq+o1q5CGRrtr1q13Aaydzhr5ajs4VXEAADcCDQQ1W6tjezoh&#10;MK91niva0a9PX+vbO6qt0X8wElaThUiOhLUmrLCdMKHKtBkrKTHFRgxP/edI+GeKg4QN4J27dgVD&#10;+i/dbmd1LtKUs44ZrX3xJVckPtSAm5EvAOBG80kwQNS6cGtLqw1PTrF+QQCrlGRyMEItK5tgzeps&#10;NG9BxEfCCmGNguNih1jm6Gwrn1B5oWxl+DKZYQP4lW3b7eTb77p+n+pVqk1XCmLVqFXLKBopAABu&#10;VDqqpx3SKqO64KkFrsdwzKDBFtW7j2trOHZMqTU0TovoSFghrJFwWTDyzcrMsaSEJLcmrFBWXelw&#10;55LDBvBLGzbarj37XUlJrfnqrK/694bqORO8AIAbnY7bvfnmW7Z0ydOWOnyEa+TQt0+UJQ5NtLLx&#10;E2xOMGpVcP44GNtLIetGwhVVFjs41m0E07S0dmGrYcSPvz5sAC9estRe2rjFha9KS6rohubVOeML&#10;ALhZfPPNt65ozd69+2z+vPmu5Gp87BCL6tXbRlxo8B+q5xzJkXBD43RXDETrzmreoBHxpEmTLxtx&#10;hw1gpbU2XGnqWX1J31NB9mD0G+4PCADAjUybs9SxT03+00emWtf7H3CjU5WSHDeu7Iq7la+VjiAp&#10;hNVPeOiQBOv9ZC8rLCh2VbIu/X3CBnDjtOnuqJF6kmot+NyFguzh/mAAANzItG/pzJnPbP/+193u&#10;6ML8AksIwrd3z15uJKyCGhoJa/QaiZGwpqLVQam2rt6dEVbDiNEZmTZ+/ARr1C7sRW0hHDaAtTi9&#10;c9dee/udU27Hs3Y7s+4LALgZKb+0fKo8U4P/Z5551nKyst1IuE8QwmrioOlorQlHYmOWXq/paIWw&#10;NmWlp2e46WjVqVYIh+pFhw3gOXNb7c3jJ+3zL866J4dwfyAAAG4mmsl1PewPHnJHlLJHZwYj4Xg3&#10;RZyWmm4TJ9a2u7VgOKH1YIVwxqjRbmOW1oY1ClbYV1RNvDyAly5b4Wo/q7IIZ30BALcC5ZkrXXn2&#10;3IX60c9aUX6BdXvgQRs8KNpysnNtYk3tzxbPuBYaCSuE1SWpsLDYYqJjbFQQxOOCUbBmmssrqi4P&#10;4LXrXnQdUsL9AQAAuJkphDUS1nR0c1OzDYmJtSGxcW4qWseGtHY7a3ZLREfCqhmtUfCo9Aw3Ja2p&#10;6LEl4y4P4G3bd7hvMNw3DgDAzUwj4bZyy2dt08ZNNrm2zjVw6PlED4sdHONCWCPha2kt+HO0Hjyj&#10;aVbwnnWuQtbA/gNdGOfk5V8ewLv37GXTFQDglvZDMNBUA4eX1r9ktTWTXCtDTUWrvWBeXoGbJnZH&#10;lIIADResV0tT0a3B+2hTVlHx2OD3iLHhw0c4lwWwuiGF+2YBALhVaCSsfsLvf/ChrVv3ok2qqbGM&#10;9HTrH9X34o7l6TNnubrR4YL1WoSKdEyqnWy5ufmWnj7KBgwYcHkAh/oBAwBwOzh+4oStWbPGqiur&#10;bGC//jYgkJGRaRUV1W5ntAI0EmeEtSGrJghhTXP37NGTAAYA3N60HvzW8RO2bNlyy83Osfi4IRYT&#10;PdgV6qiqnuSqW6lkZbhQvRaaim6ePTcYXZdbvyDkCWAAwG1NhTq0MWvPnr02ffoMy0gfZb16PGl9&#10;evW2goIimzajyXU1Cheq7VE3ud7igpAngAEAtzWtByuE1Xho+/Yd1jSzyZISEl0LQ7UV1Dne+vqp&#10;EWthqF3RozJGE8AAAIi6/qn17tatL1txUbH1i+rrWhjGxca5Zv4/bqjQXtqQVVJaRgADACChqWjX&#10;R3jpMhs/brzFB+GrqWid3dX5YG3KCheq10LryWUTKglgAABCVAfj3Lnz9tZbx23lipWuheHDD3Wz&#10;wdExlpmVY5Nqp4QN1WtVWV1DAAMAcKlvv/3OPvv8C9u9e481NjTa8JRhbmd0bEysFRWNsZnNs13N&#10;6OtZDw7bDYkABgDczrQpSw2JPvjwI9uwYYM11DfYsOQUe/ThR2z4sBFWHYTn9JnN11UliwAGAOAn&#10;fPX13+2t48dt7dp1VlpS6nZFq0rW6NFZrsGCzge3N4QJYAAAfoJGwV8HIaya0eohPHLESIuPi7f+&#10;ffu73r5Ns+bY/AWL2jUVTQADAHAFZ8+dt02bNtvkuimWGoTwI9262/Bhw91UdHub+BPAAABcwTff&#10;fmcn337HhfC4klLrev8DNnDAQMsYnWmV1RPbVSWLAAYA4Ap0Pljrwe+eOm2zmmdZvz5RNrD/AIsZ&#10;HGN5+YU2Y+YsNwq+lqloAhgAgCvQ2eDvf/g/dvbsOTcKrp1U65r493qypw1LGWbV1ZOsadbca5qK&#10;JoABALhKCmFNRW/ZstWqKiqtx6OPuSb+athQW1dvc1vmhw3bcAhgAACuks4Ha0PWqVOnbf68+TZ0&#10;SLwNjh5sCUMTrSC/yKZPb7rq3sEEMAAA7bBhw8YgdAssLibOnny8hyUlJFlt7ZS2hg1XcTaYAAYA&#10;oB2OHDnqGjaUjBlrfXr2suiB0TamuMQap85wZSrDhe6lCGAAANrhiy/O2smTb1vLnBYbENXXej/Z&#10;y9JS0618QpU1Nc8JG7qXIoABAGiHf3zzrQvhtWvXWkFenlsPVpUstS2sm9xgTy3UsaSfnoomgAEA&#10;aIdQw4bXXz9gs2fNtpzsbOvbu49FDxhk5eUVrk60+v6GC18hgAEAuA6n33vPNm/ZYpPrJtvAfv2t&#10;V48nLSsrOxgF19usOS1hw1cIYAAArsOXX31t7733vi1fttwS44e6loXxQ+Itv6DQ6hunhQ1fIYAB&#10;ALgOKs7x9398Y9u377DxpeMsdnCMK86RlJRsFZXVNu8njiURwAAAXIfQWvCJEydt5cpVNqF8gsXH&#10;xlm/qL5WWFjsSlS2zl9AAAMA0BE+/+KsHTx02BYtWmwjh4+wHo8/YaNGZdikuikuhAlgAAA6gI4l&#10;ffzJp65ZQ2F+gfXp2duSEpMtv6DIJtc3EsAAAHQETUVrPfjw4SNWV1tncbFxjtaCJ1RUXVYjmgAG&#10;ACAC1LJQfYNPn37PVq16xsrLyi0lCN++faIsP7/QHUlqnb/wYggTwAAARJC6Jak4x5LFSywjLd0e&#10;fqibpaamuSNJCmECGACADqC14Pc/+NC2bn3ZSseW2BOPPW5JiUlWPGasWwsOVccigAEAiCCtBX/7&#10;3fd2/PgJq59S76agYwbHWHJyipVPqLT5CxYTwAAARFpoLfijjz62VStXWVFhkaUE4fvPteBWF8KV&#10;1TUEMAAAkaQQPv/lV7Zn7z5buHCRZY3OtIfuf8BSR6bZ1OkzbW7rU1ZRNZEABgAg0r759jt7591T&#10;tmXLVrcW/MC9XSwhPsEmVFTbtBnN7p8EMAAAEabylNoRfezYG1ZTPdEF8KABgywnJ89qJtVZWXkF&#10;AQwAQKSFNmN9+NHHNq+11QYPHGRxMbGWMDTBxowptdJxZQQwAACRFtqMpbXgDRs3WlVlpaWOGGE9&#10;n+hho9JGWfGYEgIYAICOolHwoUOHbcWKFVaQn2/du3Z1a8E5OfkEMAAAHUX1oU+/977t3LnLJlZV&#10;29+6dbeY6ME2YkQqAQwAQEfRWvC5c+ddjejmpmbr/WRPi9Z6cNwQAhgAgI6itWBNQ58//6UrzJE6&#10;YqQlxA+1qKi+BDAAAB1NQfzKK9ussrLK0kam2uOPPkYAAwDQ0RTAh48ctWVLl1lpSak9+vAjBDAA&#10;AB1NAaz60Pv3v27TGqfaI926E8AAAHSGc+e/dJux5rXOYwQMAEBn+e77H+zrv//DVixbbo8/+igB&#10;DABAZ9CRJJ0L3rx5iyUnJhLAAAB0Bq0Dy8FDh6ysjFrQAAB0qndPnbKmpiYCGACAzvTpp2ds6dKl&#10;BDAAAJ3py6++tnXrXiSAAQDoTNqItX3HqwQwAACdTVlLAAMA0MkIYAAAPCCAAQDwgAAGAMADAhgA&#10;AA8IYAAAPCCAAQDwgAAGAMADAhgAAA8IYAAAPCCAAQDwgAAGAMADAhgAAA8IYAAAPCCAAQDwgAAG&#10;AMADAhgAAA8IYAAAPCCAAQDwgAAGAMADAhgAAA8IYAAAPCCAAQDwgAAGAMADAhgAAA8IYAAAPCCA&#10;AQDwgAAGAMADAhgAAA8IYAAAPCCAAQDwgAAGAMADAhgAAA8IYAAAPAgbwM1NzbZxw0YAANBBlLWX&#10;BXBU7z6WGD8UAAB0EGXtZQH85z/+ye776z0AAKCDKGsJYAAAOhkBDACABwQwAAAeEMAAAHhAAAMA&#10;4AEBDACABwQwAAAeEMAAAHhAAAMA4AEBDACABwQwAAAeEMAAAHhAAAMA4AEBDACABwQwAAAeEMAA&#10;AHhAAAMA4AEBDACABwQwAAAeEMAAAHhAAAMA4AEBDACABwQwAAAeEMAAAHhAAAMA4AEBDACABwQw&#10;AAAeEMAAAHhAAAMA4AEBDACABwQwAAAeEMAAAHhAAAMA4AEBDACABwQwAAAeEMAAAHhAAAMA4AEB&#10;DACABwQwAAAeEMAAAHhAAAMA4AEBDACABwQwAAAeEMAAAHhAAAMA4AEBDACABwQwAAAeEMAAAHhA&#10;AAMA4AEBDACABwQwAAAeEMAAAHhAAAMA4AEBDACABwQwAAAeEMAAAHhAAAMA4AEBDACABwQwAAAe&#10;EMAAAHhAAAMA4AEBDACABwQwAAAeEMAAAHhAAAMA4AEBDACABwQwAAAeEMAAAHhAAAMA4AEBDACA&#10;BwQwAAAeEMAAAHhAAAMA4AEBDACABwQwAAAeEMAAAHhAAAMA4AEBDACABwQwAAAeEMAAAHhAAAMA&#10;4AEBDACABwQwAAAeEMAAAHhAAAMA4AEBDACABwQwAAAeEMAAAHhAAAMA4AEBDACABwQwAAAeEMAA&#10;AHhAAAMA4AEBDACABwQwAAAeEMAAAHhAAAMA4AEBDACABwQwAAAeEMAAAHhAAAMA4AEBDACABwQw&#10;AAAeEMAAAHhAAAMA4AEBDACABwQwAAAeEMAAAHhAAAMA4AEBDACABwQwAAAeEMAAAHhAAAMA4AEB&#10;DACABwQwAAAeEMAAAHhAAAMA4AEBDACABwQwAAAeEMAAAHhAAAMA4AEBDACABwQwAAAeEMAAAHhA&#10;AAMA4AEBDACABwQwAAAeEMAAAHhAAAMA4AEBDACAB2ED+A+/+y/3CwAAoGMoay8LYAAA0GlcAGdd&#10;+BcAANAp/iXr/wFGNBBKSrmjwwAAAABJRU5ErkJgglBLAwQUAAYACAAAACEAm70NgOAAAAAIAQAA&#10;DwAAAGRycy9kb3ducmV2LnhtbEyPQUvDQBCF74L/YRnBm91sYrWN2ZRS1FMp2AribZpMk9DsbMhu&#10;k/Tfu5709Bje471vstVkWjFQ7xrLGtQsAkFc2LLhSsPn4e1hAcJ55BJby6ThSg5W+e1NhmlpR/6g&#10;Ye8rEUrYpaih9r5LpXRFTQbdzHbEwTvZ3qAPZ1/JsscxlJtWxlH0JA02HBZq7GhTU3HeX4yG9xHH&#10;daJeh+35tLl+H+a7r60ire/vpvULCE+T/wvDL35AhzwwHe2FSydaDXMVghqSOGiwk3jxCOKo4Xm5&#10;VCDzTP5/IP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lru&#10;4lEFAABoFQAADgAAAAAAAAAAAAAAAAA6AgAAZHJzL2Uyb0RvYy54bWxQSwECLQAKAAAAAAAAACEA&#10;YoVSP8bDAQDGwwEAFAAAAAAAAAAAAAAAAAC3BwAAZHJzL21lZGlhL2ltYWdlMS5wbmdQSwECLQAU&#10;AAYACAAAACEAm70NgOAAAAAIAQAADwAAAAAAAAAAAAAAAACvywEAZHJzL2Rvd25yZXYueG1sUEsB&#10;Ai0AFAAGAAgAAAAhAKomDr68AAAAIQEAABkAAAAAAAAAAAAAAAAAvMwBAGRycy9fcmVscy9lMm9E&#10;b2MueG1sLnJlbHNQSwUGAAAAAAYABgB8AQAAr80BAAAA&#10;">
                      <v:group id="그룹 3920" o:spid="_x0000_s1331" style="position:absolute;left:2;width:20527;height:48704" coordorigin="2" coordsize="20527,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UFxAAAAN0AAAAPAAAAZHJzL2Rvd25yZXYueG1sRE/LasJA&#10;FN0X/IfhCt01kxhabOooIlZcSEEjlO4umWsSzNwJmTGPv+8sCl0eznu1GU0jeupcbVlBEsUgiAur&#10;ay4VXPPPlyUI55E1NpZJwUQONuvZ0wozbQc+U3/xpQgh7DJUUHnfZlK6oiKDLrItceButjPoA+xK&#10;qTscQrhp5CKO36TBmkNDhS3tKirul4dRcBhw2KbJvj/db7vpJ3/9+j4lpNTzfNx+gPA0+n/xn/uo&#10;FaTvi7A/vAlPQK5/AQAA//8DAFBLAQItABQABgAIAAAAIQDb4fbL7gAAAIUBAAATAAAAAAAAAAAA&#10;AAAAAAAAAABbQ29udGVudF9UeXBlc10ueG1sUEsBAi0AFAAGAAgAAAAhAFr0LFu/AAAAFQEAAAsA&#10;AAAAAAAAAAAAAAAAHwEAAF9yZWxzLy5yZWxzUEsBAi0AFAAGAAgAAAAhAPVh5QXEAAAA3QAAAA8A&#10;AAAAAAAAAAAAAAAABwIAAGRycy9kb3ducmV2LnhtbFBLBQYAAAAAAwADALcAAAD4AgAAAAA=&#10;">
                        <v:shape id="그림 3921" o:spid="_x0000_s1332" type="#_x0000_t75" style="position:absolute;left:2;width:20499;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MjxQAAAN0AAAAPAAAAZHJzL2Rvd25yZXYueG1sRI/BasMw&#10;EETvhf6D2EJvjWQH2sSJEkohkB6b5pDjYm0sJ9bKldTY/vuqUOhxmJk3zHo7uk7cKMTWs4ZipkAQ&#10;19603Gg4fu6eFiBiQjbYeSYNE0XYbu7v1lgZP/AH3Q6pERnCsUINNqW+kjLWlhzGme+Js3f2wWHK&#10;MjTSBBwy3HWyVOpZOmw5L1js6c1SfT18Ow3DWLyE4/vpos5qZye/nL6GstX68WF8XYFINKb/8F97&#10;bzTMl2UBv2/yE5CbHwAAAP//AwBQSwECLQAUAAYACAAAACEA2+H2y+4AAACFAQAAEwAAAAAAAAAA&#10;AAAAAAAAAAAAW0NvbnRlbnRfVHlwZXNdLnhtbFBLAQItABQABgAIAAAAIQBa9CxbvwAAABUBAAAL&#10;AAAAAAAAAAAAAAAAAB8BAABfcmVscy8ucmVsc1BLAQItABQABgAIAAAAIQCgZzMjxQAAAN0AAAAP&#10;AAAAAAAAAAAAAAAAAAcCAABkcnMvZG93bnJldi54bWxQSwUGAAAAAAMAAwC3AAAA+QIAAAAA&#10;" stroked="t" strokecolor="black [3213]">
                          <v:imagedata r:id="rId148" o:title=""/>
                          <v:path arrowok="t"/>
                        </v:shape>
                        <v:shape id="Text Box 3922" o:spid="_x0000_s1333"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hyAAAAN0AAAAPAAAAZHJzL2Rvd25yZXYueG1sRI9BawIx&#10;FITvBf9DeEIvpWZdRerWKCIttL1It168PTbPzdbNy5Jkdfvvm0LB4zAz3zCrzWBbcSEfGscKppMM&#10;BHHldMO1gsPX6+MTiBCRNbaOScEPBdisR3crLLS78iddyliLBOFQoAITY1dIGSpDFsPEdcTJOzlv&#10;MSbpa6k9XhPctjLPsoW02HBaMNjRzlB1LnurYD8/7s1Df3r52M5n/v3Q7xbfdanU/XjYPoOINMRb&#10;+L/9phXMlnkOf2/SE5DrXwAAAP//AwBQSwECLQAUAAYACAAAACEA2+H2y+4AAACFAQAAEwAAAAAA&#10;AAAAAAAAAAAAAAAAW0NvbnRlbnRfVHlwZXNdLnhtbFBLAQItABQABgAIAAAAIQBa9CxbvwAAABUB&#10;AAALAAAAAAAAAAAAAAAAAB8BAABfcmVscy8ucmVsc1BLAQItABQABgAIAAAAIQD+FvxhyAAAAN0A&#10;AAAPAAAAAAAAAAAAAAAAAAcCAABkcnMvZG93bnJldi54bWxQSwUGAAAAAAMAAwC3AAAA/AIAAAAA&#10;" stroked="f">
                          <v:textbox style="mso-fit-shape-to-text:t" inset="0,0,0,0">
                            <w:txbxContent>
                              <w:p w14:paraId="03ABC41B" w14:textId="77777777" w:rsidR="006D7011" w:rsidRDefault="006D7011" w:rsidP="00094D21">
                                <w:pPr>
                                  <w:pStyle w:val="af0"/>
                                  <w:jc w:val="right"/>
                                  <w:rPr>
                                    <w:rFonts w:cs="Times New Roman"/>
                                    <w:noProof/>
                                  </w:rPr>
                                </w:pPr>
                                <w:r>
                                  <w:rPr>
                                    <w:rFonts w:ascii="Times New Roman" w:eastAsia="Times New Roman" w:hAnsi="Times New Roman" w:cs="Times New Roman"/>
                                    <w:lang w:val="pl-PL"/>
                                  </w:rPr>
                                  <w:t xml:space="preserve">Rysunek </w:t>
                                </w:r>
                                <w:r>
                                  <w:rPr>
                                    <w:rFonts w:ascii="Times New Roman" w:hAnsi="Times New Roman" w:cs="Times New Roman"/>
                                  </w:rPr>
                                  <w:t>J</w:t>
                                </w:r>
                              </w:p>
                            </w:txbxContent>
                          </v:textbox>
                        </v:shape>
                      </v:group>
                      <v:shape id="Text Box 3923" o:spid="_x0000_s1334" type="#_x0000_t202" style="position:absolute;top:41148;width:20529;height:6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TexwAAAN0AAAAPAAAAZHJzL2Rvd25yZXYueG1sRI9Ba8JA&#10;FITvBf/D8gRvdaOC1OgqRTBUD7bGUjw+ss9saPZtml019td3C4Ueh5n5hlmsOluLK7W+cqxgNExA&#10;EBdOV1wqeD9uHp9A+ICssXZMCu7kYbXsPSww1e7GB7rmoRQRwj5FBSaEJpXSF4Ys+qFriKN3dq3F&#10;EGVbSt3iLcJtLcdJMpUWK44LBhtaGyo+84tVsD2fjruvTH5k++/X0YWyLn8LRqlBv3uegwjUhf/w&#10;X/tFK5jMxhP4fROfgFz+AAAA//8DAFBLAQItABQABgAIAAAAIQDb4fbL7gAAAIUBAAATAAAAAAAA&#10;AAAAAAAAAAAAAABbQ29udGVudF9UeXBlc10ueG1sUEsBAi0AFAAGAAgAAAAhAFr0LFu/AAAAFQEA&#10;AAsAAAAAAAAAAAAAAAAAHwEAAF9yZWxzLy5yZWxzUEsBAi0AFAAGAAgAAAAhAIuW9N7HAAAA3QAA&#10;AA8AAAAAAAAAAAAAAAAABwIAAGRycy9kb3ducmV2LnhtbFBLBQYAAAAAAwADALcAAAD7AgAAAAA=&#10;" fillcolor="black [3213]" stroked="f" strokeweight=".5pt">
                        <v:textbox inset="0,0,0,0">
                          <w:txbxContent>
                            <w:p w14:paraId="5715ABDA" w14:textId="77777777" w:rsidR="006D7011" w:rsidRDefault="006D7011" w:rsidP="00094D21">
                              <w:pPr>
                                <w:jc w:val="center"/>
                                <w:rPr>
                                  <w:rFonts w:asciiTheme="majorBidi" w:hAnsiTheme="majorBidi" w:cstheme="majorBidi"/>
                                  <w:b/>
                                  <w:bCs/>
                                  <w:color w:val="FFFFFF" w:themeColor="background1"/>
                                  <w:sz w:val="24"/>
                                  <w:szCs w:val="24"/>
                                </w:rPr>
                              </w:pPr>
                              <w:r>
                                <w:rPr>
                                  <w:rFonts w:ascii="Times New Roman" w:eastAsia="Times New Roman" w:hAnsi="Times New Roman" w:cs="Times New Roman"/>
                                  <w:b/>
                                  <w:bCs/>
                                  <w:color w:val="FFFFFF"/>
                                  <w:sz w:val="24"/>
                                  <w:szCs w:val="24"/>
                                  <w:lang w:val="pl-PL"/>
                                </w:rPr>
                                <w:t>Następnie powoli liczyć do 5</w:t>
                              </w:r>
                            </w:p>
                          </w:txbxContent>
                        </v:textbox>
                      </v:shape>
                      <v:shape id="12-Point Star 1038" o:spid="_x0000_s1335" style="position:absolute;left:736;top:6172;width:8655;height:8052;visibility:visible;mso-wrap-style:square;v-text-anchor:middle" coordsize="865493,805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9uaxQAAAN0AAAAPAAAAZHJzL2Rvd25yZXYueG1sRI9Ba8JA&#10;FITvBf/D8oTe6qZWRKOriCJIPRQ14vWRfc0Gs29DdjXx33eFgsdhZr5h5svOVuJOjS8dK/gcJCCI&#10;c6dLLhRkp+3HBIQPyBorx6TgQR6Wi97bHFPtWj7Q/RgKESHsU1RgQqhTKX1uyKIfuJo4er+usRii&#10;bAqpG2wj3FZymCRjabHkuGCwprWh/Hq8WQXTvTyNVle8TMx5o7M2G393P6jUe79bzUAE6sIr/N/e&#10;aQVf0+EInm/iE5CLPwAAAP//AwBQSwECLQAUAAYACAAAACEA2+H2y+4AAACFAQAAEwAAAAAAAAAA&#10;AAAAAAAAAAAAW0NvbnRlbnRfVHlwZXNdLnhtbFBLAQItABQABgAIAAAAIQBa9CxbvwAAABUBAAAL&#10;AAAAAAAAAAAAAAAAAB8BAABfcmVscy8ucmVsc1BLAQItABQABgAIAAAAIQARU9uaxQAAAN0AAAAP&#10;AAAAAAAAAAAAAAAAAAcCAABkcnMvZG93bnJldi54bWxQSwUGAAAAAAMAAwC3AAAA+QIAAAAA&#10;" adj="-11796480,,5400" path="m,402638l119246,324480,57977,201319,203248,189107,216373,53943r132371,57006l432747,r84002,110949l649120,53943r13125,135164l807516,201319,746247,324480r119246,78158l746247,480796r61269,123161l662245,616169,649120,751333,516749,694327,432747,805276,348744,694327,216373,751333,203248,616169,57977,603957,119246,480796,,402638xe" fillcolor="black [3213]" strokecolor="black [3213]" strokeweight="2pt">
                        <v:stroke joinstyle="miter"/>
                        <v:formulas/>
                        <v:path arrowok="t" o:connecttype="custom" o:connectlocs="0,402638;119246,324480;57977,201319;203248,189107;216373,53943;348744,110949;432747,0;516749,110949;649120,53943;662245,189107;807516,201319;746247,324480;865493,402638;746247,480796;807516,603957;662245,616169;649120,751333;516749,694327;432747,805276;348744,694327;216373,751333;203248,616169;57977,603957;119246,480796;0,402638" o:connectangles="0,0,0,0,0,0,0,0,0,0,0,0,0,0,0,0,0,0,0,0,0,0,0,0,0" textboxrect="0,0,865493,805276"/>
                        <v:textbox inset="0,0,0,0">
                          <w:txbxContent>
                            <w:p w14:paraId="2F55CD6D" w14:textId="77777777" w:rsidR="006D7011" w:rsidRPr="009A2CB5" w:rsidRDefault="006D7011" w:rsidP="00094D2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Pierwsze kliknięcie </w:t>
                              </w:r>
                            </w:p>
                          </w:txbxContent>
                        </v:textbox>
                      </v:shape>
                      <v:shape id="12-Point Star 1040" o:spid="_x0000_s1336" style="position:absolute;left:533;top:26974;width:8610;height:8001;visibility:visible;mso-wrap-style:square;v-text-anchor:middle" coordsize="861059,8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tjxwAAAN0AAAAPAAAAZHJzL2Rvd25yZXYueG1sRI/dagIx&#10;FITvhb5DOIXeaVJFqatRrGApFRF/HuC4Oe4ubk7WTdStT28KQi+HmfmGGU8bW4or1b5wrOG9o0AQ&#10;p84UnGnY7xbtDxA+IBssHZOGX/Iwnby0xpgYd+MNXbchExHCPkENeQhVIqVPc7LoO64ijt7R1RZD&#10;lHUmTY23CLel7Co1kBYLjgs5VjTPKT1tL1bDUt2/VucfddgM14PLfd1vZkX1qfXbazMbgQjUhP/w&#10;s/1tNPSG3T78vYlPQE4eAAAA//8DAFBLAQItABQABgAIAAAAIQDb4fbL7gAAAIUBAAATAAAAAAAA&#10;AAAAAAAAAAAAAABbQ29udGVudF9UeXBlc10ueG1sUEsBAi0AFAAGAAgAAAAhAFr0LFu/AAAAFQEA&#10;AAsAAAAAAAAAAAAAAAAAHwEAAF9yZWxzLy5yZWxzUEsBAi0AFAAGAAgAAAAhAK+DW2PHAAAA3QAA&#10;AA8AAAAAAAAAAAAAAAAABwIAAGRycy9kb3ducmV2LnhtbFBLBQYAAAAAAwADALcAAAD7AgAAAAA=&#10;" adj="-11796480,,5400" path="m,400050l118635,322395,57680,200025,202207,187891,215265,53597r131693,56639l430530,r83571,110236l645794,53597r13058,134294l803379,200025,742424,322395r118635,77655l742424,477705r60955,122370l658852,612209,645794,746503,514101,689864,430530,800100,346958,689864,215265,746503,202207,612209,57680,600075,118635,477705,,400050xe" fillcolor="black [3213]" strokecolor="black [3213]" strokeweight="2pt">
                        <v:stroke joinstyle="miter"/>
                        <v:formulas/>
                        <v:path arrowok="t" o:connecttype="custom" o:connectlocs="0,400050;118635,322395;57680,200025;202207,187891;215265,53597;346958,110236;430530,0;514101,110236;645794,53597;658852,187891;803379,200025;742424,322395;861059,400050;742424,477705;803379,600075;658852,612209;645794,746503;514101,689864;430530,800100;346958,689864;215265,746503;202207,612209;57680,600075;118635,477705;0,400050" o:connectangles="0,0,0,0,0,0,0,0,0,0,0,0,0,0,0,0,0,0,0,0,0,0,0,0,0" textboxrect="0,0,861059,800100"/>
                        <v:textbox inset="0,0,0,0">
                          <w:txbxContent>
                            <w:p w14:paraId="3F8B20CF" w14:textId="77777777" w:rsidR="006D7011" w:rsidRPr="009A2CB5" w:rsidRDefault="006D7011" w:rsidP="00094D21">
                              <w:pPr>
                                <w:jc w:val="center"/>
                                <w:rPr>
                                  <w:rFonts w:asciiTheme="majorBidi" w:hAnsiTheme="majorBidi" w:cstheme="majorBidi"/>
                                  <w:sz w:val="17"/>
                                  <w:szCs w:val="17"/>
                                </w:rPr>
                              </w:pPr>
                              <w:r w:rsidRPr="009A2CB5">
                                <w:rPr>
                                  <w:rFonts w:ascii="Times New Roman" w:eastAsia="Times New Roman" w:hAnsi="Times New Roman" w:cs="Times New Roman"/>
                                  <w:sz w:val="17"/>
                                  <w:szCs w:val="17"/>
                                  <w:lang w:val="pl-PL"/>
                                </w:rPr>
                                <w:t xml:space="preserve">Drugie kliknięcie </w:t>
                              </w:r>
                            </w:p>
                          </w:txbxContent>
                        </v:textbox>
                      </v:shape>
                      <w10:wrap type="square"/>
                    </v:group>
                  </w:pict>
                </mc:Fallback>
              </mc:AlternateContent>
            </w:r>
          </w:p>
          <w:p w14:paraId="620A0E45" w14:textId="77777777" w:rsidR="00094D21" w:rsidRPr="008F328C" w:rsidRDefault="00094D21" w:rsidP="008E70FE">
            <w:pPr>
              <w:pStyle w:val="a3"/>
              <w:numPr>
                <w:ilvl w:val="0"/>
                <w:numId w:val="129"/>
              </w:numPr>
              <w:rPr>
                <w:b/>
                <w:lang w:val="pl-PL"/>
              </w:rPr>
            </w:pPr>
            <w:r w:rsidRPr="008F328C">
              <w:rPr>
                <w:rFonts w:eastAsia="Times New Roman"/>
                <w:b/>
                <w:bCs/>
                <w:lang w:val="pl-PL"/>
              </w:rPr>
              <w:t>Wykonać wstrzyknięcie</w:t>
            </w:r>
          </w:p>
          <w:p w14:paraId="36D253A5" w14:textId="77777777" w:rsidR="00094D21" w:rsidRPr="008F328C" w:rsidRDefault="00094D21" w:rsidP="008A03B2">
            <w:pPr>
              <w:pStyle w:val="a3"/>
              <w:rPr>
                <w:lang w:val="pl-PL"/>
              </w:rPr>
            </w:pPr>
          </w:p>
          <w:p w14:paraId="3DDFADF8" w14:textId="77777777" w:rsidR="00094D21" w:rsidRPr="008F328C" w:rsidRDefault="00094D21" w:rsidP="008A03B2">
            <w:pPr>
              <w:pStyle w:val="a3"/>
              <w:ind w:left="4117" w:hanging="180"/>
              <w:rPr>
                <w:lang w:val="pl-PL"/>
              </w:rPr>
            </w:pPr>
            <w:r w:rsidRPr="008F328C">
              <w:rPr>
                <w:rFonts w:eastAsia="Times New Roman"/>
                <w:b/>
                <w:bCs/>
                <w:lang w:val="pl-PL"/>
              </w:rPr>
              <w:t>a.</w:t>
            </w:r>
            <w:r w:rsidRPr="008F328C">
              <w:rPr>
                <w:rFonts w:eastAsia="Times New Roman"/>
                <w:lang w:val="pl-PL"/>
              </w:rPr>
              <w:t xml:space="preserve"> Przycisnąć wstrzykiwacz </w:t>
            </w:r>
            <w:r w:rsidRPr="008F328C">
              <w:rPr>
                <w:rFonts w:eastAsia="Times New Roman"/>
                <w:b/>
                <w:bCs/>
                <w:lang w:val="pl-PL"/>
              </w:rPr>
              <w:t>mocno</w:t>
            </w:r>
            <w:r w:rsidRPr="008F328C">
              <w:rPr>
                <w:rFonts w:eastAsia="Times New Roman"/>
                <w:lang w:val="pl-PL"/>
              </w:rPr>
              <w:t xml:space="preserve"> do skóry. Kiedy rozpocznie się wstrzyknięcie, rozlegnie się pierwsze głośne „kliknięcie” a niebieski tłok zacznie wypełniać okienko.</w:t>
            </w:r>
          </w:p>
          <w:p w14:paraId="4921D271" w14:textId="77777777" w:rsidR="00094D21" w:rsidRPr="008F328C" w:rsidRDefault="00094D21" w:rsidP="008A03B2">
            <w:pPr>
              <w:pStyle w:val="a3"/>
              <w:rPr>
                <w:lang w:val="pl-PL"/>
              </w:rPr>
            </w:pPr>
            <w:r w:rsidRPr="008F328C">
              <w:rPr>
                <w:lang w:val="pl-PL"/>
              </w:rPr>
              <w:t xml:space="preserve"> </w:t>
            </w:r>
          </w:p>
          <w:p w14:paraId="3193209A" w14:textId="77777777" w:rsidR="00094D21" w:rsidRPr="008F328C" w:rsidRDefault="00094D21" w:rsidP="008A03B2">
            <w:pPr>
              <w:pStyle w:val="a3"/>
              <w:ind w:left="4117" w:hanging="180"/>
              <w:rPr>
                <w:lang w:val="pl-PL"/>
              </w:rPr>
            </w:pPr>
            <w:r w:rsidRPr="008F328C">
              <w:rPr>
                <w:rFonts w:eastAsia="Times New Roman"/>
                <w:b/>
                <w:bCs/>
                <w:lang w:val="pl-PL"/>
              </w:rPr>
              <w:t>b.</w:t>
            </w:r>
            <w:r w:rsidRPr="008F328C">
              <w:rPr>
                <w:rFonts w:eastAsia="Times New Roman"/>
                <w:lang w:val="pl-PL"/>
              </w:rPr>
              <w:t xml:space="preserve"> Mocno przyciskać wstrzykiwacz do skóry i czekać na drugie głośne „kliknięcie”. </w:t>
            </w:r>
          </w:p>
          <w:p w14:paraId="74568ED5" w14:textId="77777777" w:rsidR="00094D21" w:rsidRPr="008F328C" w:rsidRDefault="00094D21" w:rsidP="008A03B2">
            <w:pPr>
              <w:pStyle w:val="a3"/>
              <w:numPr>
                <w:ilvl w:val="0"/>
                <w:numId w:val="0"/>
              </w:numPr>
              <w:rPr>
                <w:lang w:val="pl-PL"/>
              </w:rPr>
            </w:pPr>
          </w:p>
          <w:p w14:paraId="37B267E2" w14:textId="77777777" w:rsidR="00094D21" w:rsidRPr="008F328C" w:rsidRDefault="00094D21" w:rsidP="008A03B2">
            <w:pPr>
              <w:pStyle w:val="a3"/>
              <w:ind w:left="4117" w:hanging="180"/>
              <w:rPr>
                <w:lang w:val="pl-PL"/>
              </w:rPr>
            </w:pPr>
            <w:r w:rsidRPr="008F328C">
              <w:rPr>
                <w:rFonts w:eastAsia="Times New Roman"/>
                <w:b/>
                <w:bCs/>
                <w:lang w:val="pl-PL"/>
              </w:rPr>
              <w:t>c.</w:t>
            </w:r>
            <w:r w:rsidRPr="008F328C">
              <w:rPr>
                <w:rFonts w:eastAsia="Times New Roman"/>
                <w:lang w:val="pl-PL"/>
              </w:rPr>
              <w:t xml:space="preserve"> Po usłyszeniu drugiego głośnego kliknięcia, nadal dociskać wstrzykiwacz mocno do skóry i powoli policzyć do 5, co zapewni wstrzyknięcie całej dawki.</w:t>
            </w:r>
            <w:r w:rsidRPr="008F328C">
              <w:rPr>
                <w:rFonts w:eastAsia="Times New Roman"/>
                <w:color w:val="211D1E"/>
                <w:sz w:val="20"/>
                <w:szCs w:val="20"/>
                <w:lang w:val="pl-PL"/>
              </w:rPr>
              <w:t xml:space="preserve"> </w:t>
            </w:r>
          </w:p>
          <w:p w14:paraId="52480F29" w14:textId="77777777" w:rsidR="00094D21" w:rsidRPr="008F328C" w:rsidRDefault="00094D21" w:rsidP="008A03B2">
            <w:pPr>
              <w:pStyle w:val="a3"/>
              <w:rPr>
                <w:color w:val="211D1E"/>
                <w:sz w:val="20"/>
                <w:szCs w:val="20"/>
                <w:lang w:val="pl-PL"/>
              </w:rPr>
            </w:pPr>
          </w:p>
          <w:p w14:paraId="317A6B5E" w14:textId="77777777" w:rsidR="00094D21" w:rsidRPr="008F328C" w:rsidRDefault="00094D21" w:rsidP="008A03B2">
            <w:pPr>
              <w:pStyle w:val="a3"/>
              <w:rPr>
                <w:color w:val="211D1E"/>
                <w:sz w:val="20"/>
                <w:szCs w:val="20"/>
                <w:lang w:val="pl-PL"/>
              </w:rPr>
            </w:pPr>
          </w:p>
          <w:p w14:paraId="4075B5F6" w14:textId="77777777" w:rsidR="00094D21" w:rsidRPr="008F328C" w:rsidRDefault="00094D21" w:rsidP="008A03B2">
            <w:pPr>
              <w:pStyle w:val="a3"/>
              <w:numPr>
                <w:ilvl w:val="0"/>
                <w:numId w:val="20"/>
              </w:numPr>
              <w:rPr>
                <w:color w:val="211D1E"/>
                <w:sz w:val="20"/>
                <w:szCs w:val="20"/>
                <w:lang w:val="pl-PL"/>
              </w:rPr>
            </w:pPr>
            <w:r w:rsidRPr="008F328C">
              <w:rPr>
                <w:rFonts w:eastAsia="Times New Roman"/>
                <w:b/>
                <w:bCs/>
                <w:lang w:val="pl-PL"/>
              </w:rPr>
              <w:t>Nie</w:t>
            </w:r>
            <w:r w:rsidRPr="008F328C">
              <w:rPr>
                <w:rFonts w:eastAsia="Times New Roman"/>
                <w:lang w:val="pl-PL"/>
              </w:rPr>
              <w:t xml:space="preserve"> zmieniać pozycji wstrzykiwacza po rozpoczęcia wstrzyknięcia.</w:t>
            </w:r>
          </w:p>
          <w:p w14:paraId="7ED27CC6" w14:textId="77777777" w:rsidR="00094D21" w:rsidRPr="008F328C" w:rsidRDefault="00094D21" w:rsidP="008A03B2">
            <w:pPr>
              <w:pStyle w:val="a3"/>
              <w:rPr>
                <w:color w:val="211D1E"/>
                <w:sz w:val="20"/>
                <w:szCs w:val="20"/>
                <w:lang w:val="pl-PL"/>
              </w:rPr>
            </w:pPr>
          </w:p>
        </w:tc>
      </w:tr>
      <w:tr w:rsidR="00094D21" w:rsidRPr="00A5286D" w14:paraId="3628FCA4" w14:textId="77777777" w:rsidTr="008E70FE">
        <w:trPr>
          <w:trHeight w:val="7799"/>
        </w:trPr>
        <w:tc>
          <w:tcPr>
            <w:tcW w:w="9581" w:type="dxa"/>
          </w:tcPr>
          <w:p w14:paraId="4B264AE4" w14:textId="77777777" w:rsidR="00094D21" w:rsidRPr="008F328C" w:rsidRDefault="00094D21" w:rsidP="008A03B2">
            <w:pPr>
              <w:ind w:left="104"/>
              <w:rPr>
                <w:rFonts w:ascii="Times New Roman" w:eastAsia="Times New Roman" w:hAnsi="Times New Roman" w:cs="Times New Roman"/>
                <w:b/>
                <w:bCs/>
                <w:spacing w:val="-1"/>
                <w:lang w:val="pl-PL"/>
              </w:rPr>
            </w:pPr>
          </w:p>
          <w:p w14:paraId="7442603C" w14:textId="315769D4" w:rsidR="00094D21" w:rsidRPr="008F328C" w:rsidRDefault="00094D21" w:rsidP="00D22235">
            <w:pPr>
              <w:ind w:left="104"/>
              <w:rPr>
                <w:rFonts w:ascii="Times New Roman" w:eastAsia="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12" behindDoc="0" locked="0" layoutInCell="1" allowOverlap="1" wp14:anchorId="16F9224D" wp14:editId="5AE199AE">
                      <wp:simplePos x="0" y="0"/>
                      <wp:positionH relativeFrom="column">
                        <wp:posOffset>-11430</wp:posOffset>
                      </wp:positionH>
                      <wp:positionV relativeFrom="paragraph">
                        <wp:posOffset>77470</wp:posOffset>
                      </wp:positionV>
                      <wp:extent cx="1905000" cy="2247900"/>
                      <wp:effectExtent l="19050" t="0" r="19050" b="0"/>
                      <wp:wrapSquare wrapText="bothSides"/>
                      <wp:docPr id="3926" name="그룹 3926"/>
                      <wp:cNvGraphicFramePr/>
                      <a:graphic xmlns:a="http://schemas.openxmlformats.org/drawingml/2006/main">
                        <a:graphicData uri="http://schemas.microsoft.com/office/word/2010/wordprocessingGroup">
                          <wpg:wgp>
                            <wpg:cNvGrpSpPr/>
                            <wpg:grpSpPr>
                              <a:xfrm>
                                <a:off x="0" y="0"/>
                                <a:ext cx="1905000" cy="2225031"/>
                                <a:chOff x="0" y="22869"/>
                                <a:chExt cx="1905000" cy="2225031"/>
                              </a:xfrm>
                            </wpg:grpSpPr>
                            <pic:pic xmlns:pic="http://schemas.openxmlformats.org/drawingml/2006/picture">
                              <pic:nvPicPr>
                                <pic:cNvPr id="3927" name="그림 3927"/>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bwMode="auto">
                                <a:xfrm>
                                  <a:off x="0" y="22869"/>
                                  <a:ext cx="1905000" cy="2046587"/>
                                </a:xfrm>
                                <a:prstGeom prst="rect">
                                  <a:avLst/>
                                </a:prstGeom>
                                <a:noFill/>
                                <a:ln>
                                  <a:solidFill>
                                    <a:schemeClr val="tx1"/>
                                  </a:solidFill>
                                </a:ln>
                              </pic:spPr>
                            </pic:pic>
                            <wps:wsp>
                              <wps:cNvPr id="3928" name="Text Box 3928"/>
                              <wps:cNvSpPr txBox="1"/>
                              <wps:spPr>
                                <a:xfrm>
                                  <a:off x="1123950" y="2108200"/>
                                  <a:ext cx="781050" cy="139700"/>
                                </a:xfrm>
                                <a:prstGeom prst="rect">
                                  <a:avLst/>
                                </a:prstGeom>
                                <a:solidFill>
                                  <a:prstClr val="white"/>
                                </a:solidFill>
                                <a:ln>
                                  <a:noFill/>
                                </a:ln>
                              </wps:spPr>
                              <wps:txbx>
                                <w:txbxContent>
                                  <w:p w14:paraId="7639C838" w14:textId="77777777" w:rsidR="006D7011" w:rsidRDefault="006D7011" w:rsidP="00094D21">
                                    <w:pPr>
                                      <w:pStyle w:val="af0"/>
                                      <w:jc w:val="right"/>
                                      <w:rPr>
                                        <w:noProof/>
                                      </w:rPr>
                                    </w:pPr>
                                    <w:r>
                                      <w:rPr>
                                        <w:rFonts w:ascii="Times New Roman" w:eastAsia="Times New Roman" w:hAnsi="Times New Roman" w:cs="Times New Roman"/>
                                        <w:lang w:val="pl-PL"/>
                                      </w:rPr>
                                      <w:t>Rysunek</w:t>
                                    </w:r>
                                    <w:r>
                                      <w:rPr>
                                        <w:rFonts w:ascii="Times New Roman" w:hAnsi="Times New Roman" w:cs="Times New Roman"/>
                                      </w:rPr>
                                      <w:t xml:space="preserve"> 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16F9224D" id="그룹 3926" o:spid="_x0000_s1337" style="position:absolute;left:0;text-align:left;margin-left:-.9pt;margin-top:6.1pt;width:150pt;height:177pt;z-index:251658312" coordorigin=",228" coordsize="19050,2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1VjAMAADAIAAAOAAAAZHJzL2Uyb0RvYy54bWycVdtu2zgQfV+g/0Dw&#10;vdElTWIbcYo0aYIC2dRosugzTVEWUYnkkrSl7AftL2wf+kXtT/SQkuw6CdBuHywPyeFw5pwz5Onr&#10;rqnJRlgntZrT7CClRCiuC6lWc/rX/dXLCSXOM1WwWisxpw/C0ddnL/44bc1M5LrSdSEsQRDlZq2Z&#10;08p7M0sSxyvRMHegjVBYLLVtmMfQrpLCshbRmzrJ0/Q4abUtjNVcOIfZy36RnsX4ZSm4f1+WTnhS&#10;zyly8/Fr43cZvsnZKZutLDOV5EMa7DeyaJhUOHQb6pJ5RtZWPgnVSG6106U/4LpJdFlKLmINqCZL&#10;H1VzbfXaxFpWs3ZltjAB2kc4/XZYfru5tubOLCyQaM0KWMRRqKUrbRP+kSXpImQPW8hE5wnHZDZN&#10;j9IUyHKs5Xl+lB5mPai8AvK7fXk+OZ6OK29/sjsZD0/2UjKSz/AbcID1BIef6wW7/NoKOgRpfilG&#10;w+yntXkJygzzcilr6R+i/EBOSEptFpIvbD8ApAtLZDGnh9P8hBLFGgj/63+fv/37hcQpQB12Bcd+&#10;Gwtl3Wj+yRGlLyqmVuLcGYgXAAfMkn33ONw7c1lLcyXrOtAV7KE6CP2RUJ4BqBfhpebrRijfd5UV&#10;NQrVylXSOErsTDRLgYrsuyID1+hoj5qMlcr3nDrLPyDf2E7OW+F5Nea9yy1U4SA1smz/1AUCsLXX&#10;sW2eldoPknlebumr46PJSQRoFAyQtM5fC92QYCBjZBWPYJsbF/KDtkaXgJbSAbeYd63ChNO1LEYs&#10;4z0kLmpLNgw3iO96Ova8EDDsjKSE6gYTxYaOwrXmRjowekLI/+rcu4oZgWpC2D2Z4ZbtZXYfkHqj&#10;uyC0SUBmcA0dTnyHlUFSYb7Pdgfd0OhZlh9Oj9DToaWzdIJ7tid5ZOFkkqHr+57PDqcn/fq2aXcA&#10;/yIHe5AHcraAt5X0YiB4z6vnakveyMGuqmD5btnFRsyOYwVhbqmLB0BhNbSBEpzhVxIn3jDnF8zi&#10;7sck3jP/Hp+y1u2c6sGipNL2n+fmgz+IxSolLd6SOXV/r1m4ZOp3CpQjpB8NOxrL0VDr5kJDXGgs&#10;ZBNNbLC+Hs3S6uYjnrnzcAqWmOI4C2oczQvfv2h4Jrk4P49O/V11o+4MbrgsdkBA9r77yKwZePEg&#10;9FaPomKzRy3S+0LOO9yGASQdrfgswdp7934cR6/dQ3/2HQAA//8DAFBLAwQKAAAAAAAAACEAvjMt&#10;+w96AQAPegEAFAAAAGRycy9tZWRpYS9pbWFnZTEucG5niVBORw0KGgoAAAANSUhEUgAAAcsAAAHt&#10;CAIAAAD5lcI7AAAAAXNSR0IArs4c6QAAAARnQU1BAACxjwv8YQUAAAAJcEhZcwAAIdUAACHVAQSc&#10;tJ0AAP+lSURBVHhe7P13dBtH2u6L3j/uumfdu/fZ5zv77P19Y0mMypIVbCtYki1ne2zLecZxZpzG&#10;OXscxjmNozJzAAESBAiQBAMYAQIgQTCDIEEAJJEDM0VJzDnI96kqEKYp2SPLkk3Z/a5XrUKzQ3V1&#10;1a+eqq6u/n99yxlnnHHG2YUxjrCcccYZZxfKOMJyxhlnnF0o4wjLGWeccXahjCMsZ5xxxtmFMo6w&#10;nHHGGWcXyjjCcnYR2ylq/h9nMrYBzP+bM85+WeMIy9nFZHNzczMzM1gGoMkAusjY+tnZ2enp6amp&#10;qcnJSbYxZ5z9wsYRlrOLycBNhteA4SdIusjYn9j2zNjunHH2CxtHWM4uJmMaFsZIip9ntMBf/Xzl&#10;CMvZr2QcYTm7mMzPy++b/28LzP8HqnCZ+f/AGWe/rHGE5exiMrASAnZiYmJ0dHRwcPAENQQWWX9/&#10;P5bDw8PYcmpqCrv49+eMs1/WOMJytlSMiU1m/lWnvj01h/XEEZiZmRsfn+w/OeD1tpnNzXW1+lKN&#10;tlihLFaqihTKwmLixcoSRYmqTFdRqzeYm1ucHm93b9/g8AjjrP/o9PhYss4EGFvDGWfn3TjCcrZU&#10;zN+wp8bWgIqTkzMz0wSA8PGxqf6TQz5vh17fUFxckp4uS+Ilx8TER8bERUTHHo0ijgB+8lNSpbLs&#10;QoVKV13bbHV09hwbGxubniYHgiEAA1j9J6PGzsgZZ+fXOMJytlTMj7qFNgeHej0F1B4/3m+3u6qr&#10;6woKisViKS9RkJjA5/EESUkpAqEoOVUsFEtSRGkI8FNESSmpPIEwkZ/MF4rSZTkFxcrq6urW1tbe&#10;3l6gFmKWHJsaO48/Bpxxdr6NIyxnS8UAPtaQB/JY4312Bnpzdnxs8sTxAZvVWa6tlGXm8JNS4uN5&#10;CfFJAoEQMjZXXlBcolaqS1Vl5SWlWoVKU6RUSTJkwG5MfGJEdFxUXEIcjy+VSpVKpclk6uzsHBwc&#10;nJiYmJycDChZnJ2SlkMtZ+fZOMJytlSMwY5hjgXmZufGRic7OrqNjWalQi1KlSTxklOSRelSWZ68&#10;sKREU1lZo69v1Dc01Tc2GZrMBqMJAX2DsbquXqPV5RcpZDlysTRTIBTHxcWlpKTk5OSUlpYajUaP&#10;xzMyMhLAKzs7jIU54+x8GUdYzpaKBdrsCEBgDhMbbW/vqqqqzZLl8hIFERHRsbEJGRlZWm2FydTs&#10;cLjbfJ1dXb0d3b1tnd2+DuLtXT342dF9zO1rb7E5DUazqlSbmZ0bHR0dERFx9OhRoDYrK6uqqqqt&#10;re3kyZPgLJQs113A2QUyjrCc/ULG0BmgGPsJYz9hTEVOTU2Bej09PS6XS69vKFFq0sTpwGuyIDUz&#10;I7uwQFFRUd3cbPV5O9rbuuBt7V2gKgjrbe+CI4Cf7rYOENblbbe7vEZLS2WtXq1WZ2dn8/l8oBZL&#10;hMvLyyFmfT7f4OAggywzxISwlhqLGGecnbNxhOXs55qfRt9/dsTCAQM6Z2ZmADLW0wpbuD2WACsC&#10;2AC86+zsBPtKSkrEIkliIh+6NTGBn54uU6vKwNyWZpvT4fH5Ojo7ejo6ukFYUHWRQ8x62zsZYW1O&#10;d6vD1dLSUlNTU1BQIBKJeDxeYmKiQCBgYtbpdELMMsginuyKWISxRJgZu1jOOPtJxhGWs59rfgJR&#10;Y8Q8G/PvTKXr8PAwRGt7e7vNZtPr/XpTKBTGRMfFxiQIU8S5ufllZboGQ5PN6gRbAdauzt7Ozh5o&#10;WPxchFfqRNUyznra4B04uN1ux8GVSqVMJsPBExISkpKSMjIyFAoF1ns8nhMnToyOjuISECsWScZc&#10;dlEstpxx9pOMIyxnP8sYiQKGNYxK/t/fhxT7ycTsBLXx8fGhoaGuri6r1Qqw5uXlpaWlQWPGx8eD&#10;gPyk5HSpTKPRGo1m6Favpz2AV3hHe/cPEZb1ycLn1/T4fD6v1+t2u5ubmyFmNRqNVCpNTk6GmIVB&#10;2BYVFUE4d3d3Iz4Q1D8E1tPXcMbZjxhHWM5+lgFDzCg/CX2wDPxEgMEUJJ2cnAS5xsbGBgcHjx8/&#10;3tbWBt61trY2NDRotdr8/HzISeAVjXfWhAcBC/KLSjXlwKvL6W3zdYKwHk8bQaqvs62t098PC1/A&#10;VuZUt3Z62jtZ56yvowsatrOzEwDFeaGUAVNAVi6Xi8VinC4uLg60RRzq6uoQJVC8v78f0Ub82WUy&#10;wxWBvP4fnHF2FsYRlrPzYAymTJwCo8xAqJGREaCqt7cXaOvr6wNYEUB7HBQD4EA0JiShWCMjIyMi&#10;ItiYKtZyr62tbW62OuxugBW6tbOjh4DVR8DKAn4/E2G9hK3MQVgSwHl7enqwBD0RAbvdDs5aLJbK&#10;ysqcnByo5ihqCGRlZVVUVDgcDtQEuCJUDFguvEwW5oyzszGOsJyd2YgEpRYI08C8M9ycOjUxMUkw&#10;OjDQe+xYR0enx+t1Op2MX8Co0dgEVVhZWQWr0+vrDYaq6mqVWl1QUEA7Q1MTICB5PEFyMsKpqaKs&#10;rOxihUJbXq7X661Wa1t7Z3s7VGcndCvz9o7u7i6cCCsXcPY0wrJ+WDjUK4MsIN3W3h5w/HQ6XTa7&#10;3Ww2V1RW5uXlp0kkPF5SbCwRs4AsKgBjU5Pb40G9MDw8PDMzSy6ZOU0Kzjg7G+MIy9mZDRyBdpsH&#10;KzEEpueIz5z6FryZmpkdGp04PjDU2XOs1e6qqtUXKVWynLy0dJlIkpEilgiEYp5AmJCUHM8TJPKT&#10;EU5Kxk9BdFzC0aiYmHhebEISL1koyZAVFCs12opa+u6A0dwC5epwe92+djb66sK5r6Pb7euwOlwG&#10;o7miuq5QoUpLz0QMI2Pi4nl8sTQjr1ChbzAC08Njk7je6blT5NoXvKfAjKUPzP+bM87mjSMsZz/B&#10;gJjxqZnBkfG+/gHgqcXmBBMrqmuLS9TpWTlAKvAUl8gHUgFWGk6KjkuMiI49dDTym4OHvz5wCAGs&#10;SeSnpKZJpbJseWGxRqur0Tc0mppd3nZQ1QPF2kGGuLZ3kfcILpz7sCRn6cHpnB5fq90JxCtUpbLc&#10;PEGqGIRFHYB4ArK6qhpLq93b0YXqZHSCzNHFYIol63EGc2EszBKKM86YcYTl7AeNEYSBA0uQZWr2&#10;1MnBYZe3DcoOVJVkZEGZxibwYuIT4dCkoGqyKE2amQVO5eYXyguKcvIKsnLzsCUELLYUCEVYWaqr&#10;pHKVdLTanB4oVofb52nrgNOXBfwO9i3C4nl0djp2CtATp3N62sDZRpOlTFeVLc9PSk6lMxvEgrYQ&#10;2qrScnOLDUSenp5mJAVVkSaBJGLGko4zzphxhOXsBw28YNIMYQTGxsa6j51AmxoNaig7NKJ5gpTI&#10;2HiqSZOFYilkbLa8IL9IWaRUwREAXmU58oysHDBXJEkXSTJyC4qwu6m5FVq1rbOno+dYZ08fAvOP&#10;/smzKajjX0DDgqrAK3OcFBEAZFF5gPiArLaiCpFPS8+E2qaqnJ+WLitUqMora1wuV2dnZ39/PxIE&#10;ycLSijPOzmgcYTn7MWO6DJAdGRkBVsCd3Pwi6FBAh8wNmCLKBFNJL6quskZfozdU19WDQSUabV6R&#10;QpqZnZwqBoWxJfAK1CrVZWiJt9gcUIuBblaQtJ1MLNBDdCvVlYBdAH8LmXh+vaO7l0I88EyMvHdL&#10;QN/WAUHdbLXXN5qqavVMqkObA7IJScm4HDZ9TFNTU1tb2/DwMFOyWMJYbcQZZwHjCMvZDxrYihYx&#10;bHx8vKOjo76+Hg18gVB8OCLqwJGIOB4fmlSWCzlLlF2dobHOYKys1euqaui8VkowNTUtHQ61m5Wb&#10;X6qrRCvb5SU9rcArQxvpDCWBHtolSlAL9Up55x/HyvB3IRwHZzwNdBdARNOOYIJ4qmfbHW6vwWhS&#10;qkuhwVNEElQVpEskJkYsFiuVSiSI2+3u6+sbHBxEDYRUAmr9accZZ9Q4wnJ2ZgNeIcqwHB0dRbu4&#10;rKxMKpXGxCdGxyVgyRMIgU40nOnIgXShWAoApaZJ0zJkoGm2PB8aFmAqq6gCewHfJkurpdVmdbid&#10;Hp+3vXPB21ZL2oFaxBmiu9HUrK2slhcWS2Vk+pgEakKhUC6XazQag8EAPcveUIAFko4FAuHTzZ/W&#10;nP12jSMsZ2c2lH/AYmpqqre3t7a2NiMjIz4+/tDRqKjYeAH5cEA2MJqTVwiegqqgbYoojbokMzsX&#10;LWvI2GpoWktLq90JqhK16O9jhSwlinURy5asd/b0dXT3Iv7grL6hCQodNQ3YmpiYGBsbizTh8Xhq&#10;tRqQhZ7t6uo6ceIExCwMSceAGyAs+xkwrPGnNWe/XeMIy9mZDeUfaICABTgKCwvRND506NA3B49A&#10;wJIHVvmFBcUlhYqSEk2ZqlQLnpbpKkGfqlo9GyRgbrECSXaXf1grbfv3IAABS9vmZ3xNYMk560lg&#10;/bO0c9bRZGlpaGiorq5WKpWZmZnshTTo2dTU1JycHJVKxboO+vv7JycnGUM5nv6ejSMsZ2c2EGFm&#10;ZmZoaMjhcGRnZx85ciQyMjIhKTktPRONZYVKoy4rL68EUuvrDI1oRLfYoFXbvLTnlA4yJa+uBuZp&#10;ne/uJGylAwYuGsLSPg3UEKSDmKG2ra0NaWI0GrVarVwuT0tLA2EZZ9mMiKWlpc3Nzdisr69vYGBg&#10;ZGSEfbGGqVqGWiwRZknN2W/YOMJydmYDApiGBSnAEeA1KSkpKzcfYAVSG5rMjWQ0qx1gtTpc0Hdu&#10;XwdB53cDAOjzq3lOMbDS7lcyyP9Cj8Q6X05jTq7L/5OuaW9v93q9gKzZbK6rq9PpdAUFBQE9C+Px&#10;eFKpNC8vr6ysDJLWarV2d3cDtePj4+BsQMwGApz9ho0jLGc/aEAA64ctLCyMiooiDeG8gqpavd3l&#10;YePz2ZN3KDtwkw5+6qGE9Y9mDSwZqvAn2ktAVCHd5XssW5qOaONyiJMw+9nVSa2jowN1j8fjcblc&#10;BoOhvLw8Pz9fIpFAxkLMRkdHs0dhMplMpVJhAxAZex0/TmY5GKMG4PoTmrPfrnGE5ezMBrwywXXy&#10;5Ek0e/l8PjSsUCyprKmDYgVu6JsCpCsA0PErU/KBrO9GmC50xqaFvmiDi8oR+XnHhXR0Nbfamppb&#10;DcYmJE6JulReUCTJkNFXFchLbsI0SUZWbo48P6+wWKkqraypNVla3T7s19vXd3JsdPLUHJL7R52z&#10;i9Y4wnJ2ZgNbZ+kLS4ODg3q93t8K5gmU6lJTc6vD7QVJWbcA4w7TejRwUdPznJ300iJZzK22+kaT&#10;RqvLyStMEUliE5IiomMPHI44cPjokagY/EQtlS0vKNFoq2vr29qgavvpUNqpmenZOTLowE9VYHeO&#10;OteXcFEbR1jOzmwo68zYcAK0gtEEPhIZnS7LLq+sNppbFo1sZYS9+PXpubiHzlaDy0eCODw+q8Nt&#10;NDfX6A1lusoSTVl+kVKWkyeSpEPVCoSi5FSxUCwVSTOkGVn5+UVqdVlNtb7ZYu3o6B4aHCXzHICz&#10;ACvwOvvt7AxH2IvbOMJy9mM2NzcHfdXf32+1WvPy8g5HRPEEwtz8worqWkurDaqNfjq7l/a3so5X&#10;MopgEYB+806f4xHC0lfUmIrv8bR3Oj1toG2TpaWqVk/eJC5UZOXmiaUZbE6ZyOi4qMjYhPgkUaqk&#10;sEBRX9/ocbcN9A+PjU7OzrApeAlnOcJe1MYRlrMzm1/BnjrFvv7S29sLGZvIT47n8dH4lRcU66pq&#10;WmwOcITJN5AFeCX9sBfP2wTnywPinaQDrWY6e45hSf9EpkZssrTqG4zVeoOuura0vKJIqcrOK0jP&#10;zBGmiPn8FB75aI4wS5ZbUqIxm1q8nvb+/qGZaShZ6hxhL2bjCMvZmQ0lmw3YZJ9RGRwcNBgMOXkF&#10;0F9xiXyBUJyZI9dWVJPvvLg8/tFadF7Xhej53TiZZNZLXqagw37J/AZkIDC0Laoc0BZ/cnnJuGCX&#10;t43NRWtqthoam0o15XnyQnA2NiYhDsmalJKbk1+urbTZnCdODIyPTU1Nsq5Zzi5W4wjLGTHGUywX&#10;BfAn4BU2MDBgNptVpVppZjZQEBUbzxOkZGbnKtWlVbX1zVY78IGWMh3oeraQpVQijgB+smlf/NLP&#10;LwwX77I0PRDtgAcujf0k8J0fLMxADNTanR5jo7mmRq9Wl2VnyZNRdcUSyKany0qUGoPB6PN1DA2N&#10;Tk9PsxvBbhMLcHaxGEdYzogxpMJQmGfnp+tn4dHRUQjYnp4ek8lUotHKcuTxPP6BwxGHjkaCs0Kx&#10;JL9IWVvfwMQstBsgAjJSvrAXZMlc2gwx7CdzP0nZ8zGCIdKy7uiGE85eXIQ9N/eBv75Ot8tnszob&#10;GppUqtKsrNyYmHg49GyaOL1CV017DAYmJiZwO3CbcEfYrWF3jbOlbxxhOfvOUHSBVGYMrydOnLBa&#10;rQ0NDRUVFYWFhRlZOSkiSXRc4sEjEfsPHTlw+GhETBzELNYXKkrYe7QVNXWVNXVgrqHJjLYwJa+X&#10;aDe/rPO/NbtwDD9zwlyCXb8Y/M0Ttq2ji3xAt418pdzhcEPPVlXW5skLU4VpERHRcKk0s1xbyV4J&#10;Y5BlNwi3xn/DOFvyxhGWs++MlWEWQON0aGioubm5uLg4LS2Nz+fHxsYejSZ+JCrmcEQ0NOzBI/CI&#10;wxFRkTFxsQk8Oid3aooojU0IW6Ipq66rN5rZ9FptgXfASHu5vYv9JKhlMhaQDUja3zZYA95BNKzP&#10;28Hc6fC0tNjMphaNRitKlURHxcVExycm8pVKJWo4QHZ8fJwJWHaPOLsojCMsZ35bWHQnJydPnjwJ&#10;vCoUCpFIlERNKCRzwoqlmemybDgwmpxKZixMShbGJfLZ1LER0XFHIqOxjOfxhWKJLEeeV6hQqEq1&#10;FVVsmhho2/pGkwHctTmhbYHa9q5e1jlAxzxRp7RdzKPfnnd0d7R3+3wdkLGdnT0dqFp8HXaby2Aw&#10;atRaWWYOL1Fw5HAkkj0/P7+urs7j8QwODkLDsnvE2UVhHGE58xsjLAzq9dixYxaLpbCwUCAQJCYm&#10;QsPK5fKysrJGUzObS9vUYq03mqrq6oFOADQ3vzAzOzctXZaUkgo9y4QtRW0sfoK87JMzIkkGNsPG&#10;eYXF2BdHaLbaHW6vy9vmoh+aDYjc34WMxTX6Ol0ur9vlg4Ztb+sCYREgPbM2Z2ODSVGsIsMMYmPR&#10;gMjMzNRoNDabjYPsxWUcYTkjBu2K9ucs8DozMzA43NJqLVGphami2Lj4JL4gV55XptXWGxocHh9o&#10;SB9YdTrJy0uuJktLnaFRV0WGeSrUQC15JT9FJElOFfNTUnkCYSI/BQo3gNqEJIFAKBKKpWyGWXWZ&#10;DvvW6Bv0DUY2WRcBLu09AIPY07D5wU/kcZmPjjoIdN0yEM8/NAusvGheKoN09bV1+nyd7e3dHZ09&#10;7bicdjrXQVuX3e6uqq5DE4AvSOYl8eFpEmlZebnL7RkaHpmZJX2xc6e+c/99nDeur/ZCmz+h5y2w&#10;BgEkfqA/hyMsZ8QIYb/9dubUtwMjY05PG3ApkqRHxyUm8JPR0q+orrO02u0uj78Vv8ChPR1un83p&#10;QaufaNvmVuhcfUMTJGqZrhIIhVzNyvW/MxqbwANnicfGR8Um4PiAL9anpWcSbUu/8t3QZG6xOcBZ&#10;2oFA3hADzQlh2zoolcjTsAUwJWvoZt89Q4MvpNjF5f7Id/UgYS1Wu8FoLihWZmTlsG+hi9MzNVpd&#10;q915YmBocmZ2ahaV4rekXpz9bjgXK96czr3QxgAasMAaBFj6syVHWM6IBQjbe7wfihJFGmyF8IQg&#10;Je9u2Z1AWFdvHx0M8D0naGOwI4AgsOvoPtbe1Yv2PpgLXNbWN+AIClVpfpEiM0eemiYFUhOSko9G&#10;xR6NioFHxMSBtjHxiYJUcbosm325tqq23tBkrjeajObmVqCd4JVOkEjHci1EEnwhW1mUFm1wETku&#10;gVUbuBBcNVoM1XUGVakWNyI2ISkuMUmYJi1SqpAsPX0nxqdmQNiZU6emFhAWRhnLadgLayypYf7f&#10;3zf2J46wnPkNzUwU1InpWZRqoJB+uVqAlj7ELPQpLe0MXt897mdOuk3nn1BRtJEpYrGGvb/k8Pjs&#10;Lq/V6Ya8hTQlU/w1mUHwypq64hJNXpEiXZaTIkrD6aLiEkBbyFugFnBPTk0TSzPJiIRiZVWtHruz&#10;sQe0r4DQPDATAqjkjxvtKECY4vh72LqYnF4RLoelNg13It3UZeWALG4KHV+QnC3PbzQ3950cmEYh&#10;pjIW5r+XC8QUZxfOkMILazL2E8uAep0hs/jMcYTljBiyxtjk9PH+QaO5RSTNiI5LIF+LKSg2GE2s&#10;2LOeUAB0kdORAH7SMcZRZ7wgK9mS6UpsBl44PaRXob7RBNSW6aoKFSWyHDnav0AtTyCETMPZI2Pj&#10;AVyothSRJDe/qLS8kg1CgChGDJutdhzB7vY63CC4Bw7+MtBjSePJInDxORITS3oh7NWMzs6eY7g6&#10;XHuJpgwaH/Kf9N4kJaN+MrdYj50YmJyewe1jxdt/Ozn7ZQ2JPz09PTk5OTIycoJaT09PX18fIMsR&#10;ljNiqHdPDAzZnG6wDBIJQhKtddr9SibQYtoQSyBykdM3tQgLKILJq/egA6iKvbALU7JYso1BXvyV&#10;aFu3F+cCJa0OF07RYLLoG5qq6+o1Wh3pTMgmnQns+VhENFG1iBIEtUiSnpmdi4ih1VxeWYPtwega&#10;vQHwbSRz1rpwIpwUUVrIrIvNWYVE6iSqZMm1IG2RVk2WVl1VbW5+IdIBdQ/0bF4hqkBzT98JAllu&#10;qOwva0hqpDlj69jY2MDAwLFjx6xWa2Njo16vLy0tNRgMWM8R9vdorCjC/L+//XZ6Zraj+1htfaO8&#10;sDg2gYfSi2Yp8OckIweYmCJO2rDfd8Zf6n5GgKTzqpZp2IXOuExkL92ehOE4iIv2AECc6huM5ZXV&#10;RUqVNDOLnyKCpD0aFXvwSAR9TzcqCpETCCF4c/IK84uUBcUl9JO3Km1FFVgDauNQC8/L4hb4ufSd&#10;IZWm4bFApzPSCimGNTaXp9bQiOvlJQuRGjxBCuqbZptjYGiYTV8AW3RnOfu3xlKMmX/VvzOkMxTr&#10;0NDQ4OAgtGp7e7vD4bBYLABrUVFRdna2QCDIy8s7fvw4R9jfo/lz03x+QmBmZhZt/LxCBaQiyi3o&#10;VlFdGyj2F8KJTCMBgmOwA21hIj/byOe/Wu1Oo7kZqIVkKy7RSDJkiFJkbPwBytnDkdHALOKJljL4&#10;m8hPwV/F0gxZjryyRo/difqbn+WLVQwsfJE6koVWGyRgd3ksVjuUu1JdJhRLUd9A3aOOaTA2oZyj&#10;2LPuv8Cd5exsDMlF66Yf7GbB+sA2MCTy8PBwV1eXzWaDYi0vL2efwpRIJMnJyWArG0UuEolOnjzJ&#10;EfZ3aizHsDDK5NjYOEovIAVapYjS0Pysb2xaWM7Pu88Tlug19oEvKoexhkz7AikHSQsR3dBk0Wgr&#10;yBdZxGQ+hKPkhd0oSNpDRyO/OXgYgZh4Hh31lZQoSJEXFCHaLTYHOMvEICXsRd1pQC6BERaJ4/a1&#10;213eFpuzvtEE9QqNz/pkc+R5ZrMZ5XliYoLdVtxTdnM5OwdD6QBGYSwAuTo+Pj4yMoIURk3W2dnp&#10;dDrBVijWwsJCqVQKpCbQL7rHxcXx+XywVSwWZ2RkYGOOsL9TW0hYFMvjJ042mppT09LjeYJ0WU6Z&#10;rgoN9oXl/Lw7hSlzCEzS4eCmNMR62kbu7eg5BjXqcHtNzVbo2TJdZX6RAlo1Oi6BzocQCdQmpaRm&#10;y/NRMSSnpoE10LM5+YXaiiqb0wMw4eBUFxOfP9fF5/OEJamEBKGX04HqsI50F5QIxZKY+EReEmmT&#10;Go1GNEtBBNzT6elpdnM5+7eGFCPSdL6DhVlgzdTU1NDQUG9vr8fjQQprtVokNagKjKakpDDFijA0&#10;rFwuVyqVkLQ1NTXV1dU6nW5wcJAj7O/UkHVYUUQAGcjX1l5eWQ1CxfP4hQpVo8mCMryoqJ93Z2MP&#10;gA/oTers4RgZ4+Vww72QbE5vG2JidbjNLVYwpUipEggh3MgECBHRsfyUVHlBsaq0HJBFezkSsOGT&#10;WWuhZJshgL1tEML0UVvbolNfRI6UQSrNV0j+B4aAbKvdVVvfUFBckpwqjksgn0nIz89vbm6GzgIU&#10;cFvZjebs3xojKQtA+0NwBAYGDAwMgK1er7ehoQGKFQwVCoUQqlFRUTExMRCtSUlJEokEKV9WVlZb&#10;W2u327Gxz+dra2tDGAfhCPs7tQBhkatQJq02e3GJOobMj5UCAQuiQQYuLOcXwkEKJsqgXtlQBDSB&#10;La12NrSgzmCEV+sN1XX11XWGqlo9IqYuK4dwo4MN0uMSk0BUYZo0O68A0jUrNw+t5ph4Hk8glBcU&#10;aSvI5xptTrfT48ORF536InKWSvP1kP+hIpaoNlrszqra+tz8QqFIjKKenJxcVFQEFvT09LCby9nZ&#10;GCMslqiZRkdH+/v7wUer1VpfXw9BClkKsAKjEKqpqanQrVhCsYKqJSUlACsUK7Qt6jYgFToXeMWy&#10;q6sLARyQI+zv1BYStq+vz2S2gEoAVlKyEDhzedshARcV9fPuIAV9PYGwFW5qtjY0mUFSTXmFUl2m&#10;UJUq1aXFKo1CpdFodZDYgCaWCBcp1dnyfFQGhyOioGdT06TYBtHOK1QAu3SAFy8zR66rriWMJd/E&#10;vZiGE5zugXoIaYUAk/xYCT0LpU+kvUIJvEZHR/P5/NzcXJT2sbExdqM5+7cG0QpjI666u7shQkFM&#10;sBUpCcUKoRpBDQH8TE9Pz8vL0+l0jY2NLS0tTqcTOO7s7OygxgIulwsBrOcI+zs14DVg4CwI22hs&#10;yskriIqNT05Nq2swAknnV/e1d7EvJJL+1vmXFMijLZyFtXaB1PwiJZr8iAZEGcIKdWmJRluiKQNn&#10;QVswtLhEA7bir6mSdDbw/khkzKGjkQkJSelSWW5ufolSo1SqMzKyoOcSE/gZ6VklJZqaGr3D7va4&#10;23q6+9pxRrevq6u3u/tYZ2dPV2dvd9cxLNlM2G0XyUBaQBaOADhrd3stdIgb0kckyWCjCwqVqoYm&#10;S1fv8anZ2Zm5U5MzczOnyFvRAUO1CsOtRwbwr7r4jeVnFsClgW5sWAWWLEDXz03Nfjsz9y17EW5s&#10;Yqr3eD9S0u7yGIxmVOFIRuQ9kSQdBQFNokRBikAolmRk5eQVovFUUqrVVdWgSkPz6HQJgjoPS1R7&#10;qAiJemjvmuTeOPh9GsttzAKEhSqMjIlDfkLbnImmhbnnZzoZMPAdYYnTGbMIXpFfgVecHRk6RZQm&#10;yZCh1Q+SqkrLIVfVZfByVSlQS2hbUKzMzM6FaE1KTo3nCSJj4g8djYqIiI6P44lSJSBsdVVdubZS&#10;IBDGxiQkxCeJRdKC/OK6WoPF3ArIej3tLpfX5+vweNq83nZC1bbO9raujvZuQJZMbXVazJegMyWL&#10;AKuioNKbrXbcNSCAjS5AQ0SWI2+ytPadHByfmpmeO4XWyjSgMm+47wyyCPhX/VaMZmr/RbEwjP1k&#10;2J2Ynh0ZnxocGT8xMIQ0RA6sqqtHZsvKzUPmR+LRWTJId5lQLE2XAa3FyIf1jSZAtdnmoP1O/hcI&#10;A3eEOUdYzvzmz3fUFhEWRRTIo4+tv5d7frb7wYowMiIyH+tGrNYbAE1IBKksG3kZYeTmqlo9RFm9&#10;kbwjC4e4MBhNyOL6xqYavaG8sgbbQE1AqSH/i9KkwOuRw5FxsYmAqR4KvNFcW1Ofn1+UkixKTOQL&#10;U8Q5OXnFRSWAb7PFSl6ioFTFkszH6uto85GfULIdF8mw2XnC0hqLvvFFOevGjQNkU8SS2AQeSJFf&#10;pICS7T1+EhoWAnZi+jsVy279b4ywrM5gihW5mq1BgF0jwmNjY8dPnED7CXUScpe2oop8Vl1ekJ6V&#10;Q+d+E/EEQkhXsTQzCw0lRUlpeUVVbT1jq91FnrvCaeIT5wjL2Q8aLV9+CxAWzXMQFtoQbXZWdM+3&#10;+wmL/Iec6nB7yStkBcXI0NLMbODAaAYA7Q436TZF9p3PzWRwEhkSQF7JJWMDsAYiAs06S6sdUYXC&#10;lUoyIyNjIiNiMtKzKitqLJZWtP2bmix58sLEBH50VBz+lCxIzcrKrdBVm80tDrsbSIVohXRFgDnR&#10;sIsjvESdpMn8q1+BSgvJxRoEQENyqjiadqnLC4rMLbaTgyNTs3NQsswW5QH28zdg7HKQnxlhKW+J&#10;YSWWExMTyOdut6eimsw6hKYS2kARMXER0XFoCSG5gFdJRlZxibqiurbJ0mJ1uGkOJPmQ5TpkS6Qz&#10;0MnelDldgnCE5cxvLC8yY4RtMpnyChVoH6FYot5m+Wlh7vk5TvNlF+uBRQCghCJAG1ah0oilGWiI&#10;lWi0NfNfq0XupOBgXwVnjiOQZ2JMNeCvNNzl9Pgsrbb6BqNKVZoqTIOSTU5OhVZtMlpOnhjs7TkO&#10;1JaV6nKy8/j8FPyVlygAggsLFEqlurKyprXVzj4u4O8igKq9SPphSSGnBdifsP41XVDnLTYHbh8q&#10;S75QhHsJXVZQXNJosnT19gGyzHDT/fngN2q4xqmpKfaCAHs7wGKx6PV6rVZbVFQMjKamSRMFKWy+&#10;C2Ea+ahcdl4BmkTlldV6NJqQiHR6Yva0gKY5eNpFp+DwP2bEX08vIOxecITl7AyENZnNaDGxsQSV&#10;NXUu+k2Xhbnn5zgDAeMmAYGnDQIBZ2EzcxerNGjMsnlbIBaQfUluplNk0Szr12g0TwcyN3kxAX/C&#10;Zk63D9JXqVCLUiWxMQlCoRhUPXlycHJiemR4HOhsbDDl5xUdOnj0668PHDkcGRtL+meJ2q2sAYsD&#10;evYiIixz0pENdU9l/nzKkKSzuTw1egMdOCzGDeUJUgBccGNwZDyg7Pz54LdluDpmkKtga3t7u9Vq&#10;ra2tLS4ulkql7FOeEZGREK2xdFQi2ApVoauqaTQ1m5qt9Hud5BMedP4g8roKfc+QNKGQ5Uju9U97&#10;5h/9wrZZ6DS7coTlbJ6wKGlsOTg46PF6lepSaFhoH41WhwY7Wut+xs03RZHbApnpJznlI23sU32K&#10;fFxnMKpKtdny/Jz8wqpavc3pQbZeuH3AT1/D/LuN27tcTm9NtT43N5+flALIKhSqjo5u4HV2Zm6g&#10;f7i397hcXvDGG28/9+yLX325/5uvD4K20LOZmdngcl2dwWp1QDm3+Tq9PgJudrEoQrRTYukOpF2Y&#10;GiR56d1B2AFpb7XXN5ryi5VCsTQyNj6ex2edMG1tbeyDtbCFOYGFl4ixPBmIFY0gMaATzX+2cqHh&#10;T1Cso6OjJ06cgGJ1OBxGo7G6urq0tBRszcjIEAqFPDRgEhOxTE5OlmZmZcvJo1RtRRWqIoPRxGom&#10;+MJUXZTI7OePrGTrseQIyxkxlmVZGLmzu6cXrcsEfjIkT36RshrcgTiczzF0oJU/A52Ds+zIIIuj&#10;QWRBwKLMywuKgXWwAI2y0xXB2ToEr6fN2GhG218kksTExBfkF9vtrhPHB2ZnZkdGxoeHx4qLSh79&#10;2xP33Xv/Bx98DCV79EhUXGxifBxPLJICsoZ6o8PhJh/Wnp+hEUva+9buPddL/oWdpi0jLKkbbHTK&#10;8+q6ekAWjZLImDieQJiZLW9sbOzu7h4aGhobG2MUW2gsMywdoxUBeVQFQ/RYhLEeS6AWVJ2mhmvp&#10;7+/v6upqbW2FYi0pKQFVmWJlr10lJCQQsEqlcrlcoVTW1jdA0ZtbbHaXNyBXz4uzAsIRljO/TAgQ&#10;dnJycnBwyNJqR7spJoEnkmQo1WXNVjvphKJspY5AIHwOTp4MAAQIt9icZbrKtAxZoaIEKGffL/j+&#10;xj/Fka3bOm1WZ3V1XVZWLsqULDMHwO3s7JmZnp2ahM9o1Nq7777v5ptufeed97EBwJomTgdkExLI&#10;cK7CQgX2tZhbnS7vPGHJ0yTWNlx8uiXp84Ql94hWD2SKshabAxqNzpeWFpeYhKZxbm5uVVUV2s7g&#10;EapV5AGWGZixzLBEDPFhbIWxeDLDeuB1eBhNk14oVrfbbbFYampqAtMGiujH5wFWiFaBQCCRSLBS&#10;oVDodDq9Xt9oNFodbtToYCuTrrjLixLznJ0jLGd+C0gD9hOB8fEJZLvM7Fz6MSh+Vm6eocmMLIJc&#10;OK/jfhZhKarIEyrkPCC1RKMVCEXFJeqGJgsEF2TX/COFn+4dXR3Izd52s6kFrIyNSQA9a2vrsWZm&#10;egbqZ3pqBkJ13+13XX/dTdCwUklmWakOjgA/KQWcZT0GpaXlxiYLwIRywioDVh9cFI479f3RBYSz&#10;Lm8bqsma+oYipUoszYjnCaDpxGKxUqmEmAWeoP5w65caW5khVsilMBY9FkZsoQYGBgba29ubm5sB&#10;VlA1LS0NMI2Li8PVRUdHs9mt0tPTCwsLy8rK6urqjEYj5K3D4XC5XE6Xi3GQZWZaM3EalrPzbSyz&#10;sryLJQws8nV2q0q1qWnpEDspYkl5ZQ3EJlpSyIW00JLsGMhMP8mR85DbGLlwFnOrDRoZhIWGZdNm&#10;Q3+dM2F97YSwcLvdpVKVgpipqWlabQV+Tk1O4xKxzMsrvPWP+6695oYP3v84MyNbr2+AYlWryrJk&#10;ucArSiWPJ4D+VWnKavCnVjJijD52I4N1Fp1uaTpJWFqkaSLTdKaVBGpNXA4aCuw9JdAHbeeUlJSC&#10;ggLgCcQ5fvz44OAgsIUsgWzAliyT/FpG8yMxZFHIVcRtfHy8v7+/p6fH5/OxKVkrKirUajUkOa4F&#10;YI2KisJ1JSQkgK2oQrBeo9GArWaz2el0er1e9j4rrL2DsI8mGqmEKGHP2y3GAbHkCMsZISxyMAJY&#10;IgybnTt1YmDIaG6G3uEJhDwyeT7BH1qaBH/0KSqIE8hMP8mRjxmtWBaEhgVhhWLyJBeFv9Xhovrr&#10;HAWyDxVAOxkM4HR4NBptfDwPhC0uKoGkHR+f+vY0wkqlmYZ6o8fT1tpir6szFOQXC1PECfFJcB4/&#10;RZqZXaarMkH7+TvpLg7CMqfDichgeESbqNr5r/igDjMYTWW6yry8PDScwVkejwcSQQAaDAa73Q7O&#10;TtPZDinZlgphgdeRkZHe3l6AtampCVRFxbDwyRUsKSkpNTVVJpPhT1Cs1dXVuCI2CYvb7Q5Mc0Xn&#10;DCAG8RsYr8ISbR6458E5wnLmN5aDAwHY7Nzc0PBIR2eXvt4gTpPExsVL0zNLVOpGY5PT5W7HH7p7&#10;fG3nSNjviYWuHuBLW1EllWXLcvKA2kaTBRRAdmRKmWxMhdj8vv6RsPQIZ3iRpq2jqx3KpKPT7fao&#10;1RqCyRShXJ5nNDaNj03g0qYmpwoLi2677fYbrr/xww8/Sk/PbGhoxPbtbR12u7OmpragoChNLEmI&#10;T4yJIy/1A7IabQWbydvla0dM2KgdOIvhkvVAQsFZAiL1WFFnj78qqqrzC4vFkvQkfnIi/glTC4oU&#10;Wl2lEbfA7e3uOdY/ODQ8PDoxDkmLzIGa+NtTNMAcYeIkcGa1S7OSfyXZYA6bfrc7HAdkTraijgDO&#10;wHxmbm5sYhJxOH5yoOfYca+vvcVqq280VtfU5RcUZWRmIcZxCbzY+EQskwQpIrEkKydXUaLCJVRW&#10;15ibW1BZu71tqHRJ31FXd3tnF/O2DqzxO0MqbmXAAwn4M52lOQ7IEZazxYaCARUDyYBWlVwuh8yB&#10;OkhPT4dwgCJgs7FBCyzMTz/JkeEIYWmGbgHX6hvkBcXpspxseT7tjoBSJpmSup+wAUYwcGADKoRP&#10;6zXDZlSkQK2Ulpai2QhDOxGqZ4JO+D81NVVcXHzbbbfdcMMNH330UWZmJpqZVNCQXVpbW6F6sGN2&#10;djZfkBIRHRsVlyBOzyxSqqGvURk4PL52MkkNqSHYeN7FEViqzj7zxYo6iz95QcNoKi2vzMrNp6Nl&#10;eZExcahU0tIzc8nM5dXYoKOjZ6B/eHpqdm7229lZP1URJh4IzPoJGzBkIaxhxtbMBymRCZT9x2EB&#10;sgfD66lvZ8FW8jH5b8enZ46dGIDubjQ1V9TUFRQrpZlZAvpZo9iEJHg8TyAQihDbrNy8Ul1lVW19&#10;Q5MZ9wiVBx3wx6YLIJ0kaBIFvnL2izlHWM5+zFAaAKNjx47p9Xq0xVhDDO3K2tpaq9VK8Ao7LVed&#10;jSPnIc8xOAJSDrevydIKGZuTV8C+GV6jNzTbHOwJLzYmXAh0+5JCwrQtRe3pgOvoZB1tiJ1Wq0UT&#10;EoRFm9FkMo2Pj7NhPWckLLanmO3A7qhFdDpdLp19JiY+ESU5OTUN0QP9Tc2tbjrmHFFCxM65q+TX&#10;cJpuNP3hjLNQ5UASGchFPxgRC0mYwGPzAkO8F5OpyOpNpmaX09vZ0dN37GR//9DQ4OjI8PjkxMws&#10;KMiwCMF5mlGuEvP/xhoG04VIJQL2FPA9Njo5ODhy8uRg3/H+7mPHO7qPIW5Wh7u+0YQ0LygmUwAD&#10;prH00+64IwlJAqA2PSsHfyotr6is0ZtbbVb6lgquEZkqUJeQi11w+b+k49RYcoTl7MyGsgEZOzo6&#10;CvRAukLARkVFAVjAU0NDA7RtZ+c5dkoi5zHCUkj1IsDemlWVaiUZWYAsSnuZrgprSMOclBn2/gwp&#10;MxQQ7E3wH3DSS9COOLtcrpKSEj6fn5ycrNFoUCtAw/4IYSFgsSODLER6S0uLoZF8qwZlOyk5FUoW&#10;0AFk9Q1GxJZ2cZBxwXTemNPisPScJBp1Ep7/CYqh2LvJt8HdTZaWWkMjbgFqOPL1oCRBHPmsZDJI&#10;JkqVZGfJVSWldbUGs6nFbnd1tHefPDE4PjY1g5b8LAQqY6m/Ez9gLCPNUqMrTvkF7+wp0Hl2Zm5i&#10;nLxod+L4QHtbl93mAsrrDUZdVU2JpixbTqrbFBGZMxA8jefxERn8xO3IL1JSqtYZjCZzi63F5my1&#10;g61EseKiQDS4P7fMZ5XAJQcS5BdwjrCc/ZixMgPIDgwMADegkkAggJJNS0tTKpVoSrvd7oX56eyd&#10;yArm/p/EnR5ffWOTQqWR5cgzsnPR7tNoKyqqa9GMZe8vQi2CBRTNrG+RHeR7R4a3d3YDkXa7HdzM&#10;ysqKi4tDrQAZDubiWtjD6DMStqurizxcZp24NOD2eNE+VZWWp6XLomLj4agAausbwSPEhET+YiIs&#10;Ea2BNKfOmgJEyZLXbcmMXB1Gc3NFdV2hQiWVZZOv0SQmRUXFRUaSofrCFDE4W1xUUqopr6nRm5qa&#10;0cogF991rBfqllpfX9/xeesncpd83Rrre3p66J9O9vWd7O053tPd19nZ09HR7fG0MbDigDhsUaEy&#10;V14gzcwiU9XQz1zSuQJSQFh+SqokQ0arXgjWhlaHC00cxJzBlF2On63+NQFneGWa/Rft0sFJseQI&#10;y9kZjOEVAagPSL/e3t6mpiYGWZQ21u6ur69fmJ9+kpNJNLpJJybJ9F09HT3HoFVRZqBbyyurIaPQ&#10;RBWKJShsdDrOCsgViCygzeH2gbbgGrZHxkUZW3RkaFigHxWASqVCPEFYMBQCFiWciSkQtqio6IcI&#10;y/oKWNjjIwNIq8m3EopRyKNiE8TSTH1DE6LBFBMT4IsjsCQdSc1qJlonURiR9CfFnjrplsW1OMkc&#10;ES5zixWpXaM3lEDS5hWmp8uSBakCvhBL4smpqULUs+mZGdk5OXn5eUVFhQq0EkpLS7VarU6nq6ys&#10;rKqqQq1mNBpxI8rLy/FXLHXllWVlOrWqTFGsKsgvlssLsrPlsswcqSRTKBTzk1ISE/hoKfAEQoFQ&#10;DLkqkqRnyfNR6Worq6tq9VCsbLoAm9PDuuAX9hHhKrCG1RNscgasDDR96F/J5Qe2/wWcIyxnP2i0&#10;TUdaeSzAIAukZmRksLcPIQwVCoWllbxrGMi4dPIhohpo9iI5jGWy0xwl/LueMqxBSUCZYRRAKSrT&#10;VQFqaJuniCSQjfSt8TJtRRU4C1EJClta7cAtWECZ6wXvsDthtMdnd7rNZjNKu0wmg+JGlVBYWAhB&#10;CiXOruWHCMv6FmBMxiLgbSMHRMFGo5UvFB2NioWMQgSAIVrCL6YnXYgnbtM8YeEEsrgKutIPWSbM&#10;A1eEyzQ1t9bWGbRlFcBoRnqWKFUCDibEJ8XGJsREx0dHxREng/oTUlNTxWIxuCuVSpFJYLm5uaiG&#10;5XI51uBPWALKIpEEgE7iJcfH8+JiE6MiYyMjYqCRcRzoVTJLeiJfKJaiHVNQXILWA+0KMNtdHkQm&#10;kM2Yk8wzf1HwQMZjjp/M/VvSC1x0hAvtLCURB46wnP2YMSqNjIx0d3fX1dWhzABb4GxycjLYV1mr&#10;p1NnEtUAws7nZvIMChmaCI3TsjUpxmdyhl2A0txiq280acor1GU6pbq0oFiZlZuXLstmU8eS2ZBV&#10;mtLyCqhdXXUtpFZDkxlcNppb6hqMFdVk8qT09PREtC/5/Pz8/OrqauAV8WeEnZ6ePmMvAQPr96yz&#10;y+VrR5tUoSpNTk07dDQqKzcfcQuU2EAZ/s04rSPJTcSNQ1vB7vZabc6WFhvUY4OhqbamvrKiRqPR&#10;FhYo8uSFUKDAriQtQywiDIWx54rIGMghWDLDGqwHglNT0yB+hSliOFCbJsZdkkHDQggX4paWoFqE&#10;0K0CVdkMLKhK2UcEFkXyYnGOsJz9oJ1a8D4PoxIgOzU1hbYzlCzKRHx8fGRkJP16dlF1XT3oZrHa&#10;oTWo3PCRFhkVsAsJSzDKHj7Q3sBFzoRtR/cxxiwcodVOmqt1hkZwlg0ziEvkw9GETEPJzMnLzS+S&#10;FxYXlajVZeWlukosoXXRbEV5Bl6hrKCb0Fz1er3j4+OIPAXsD47WOp2w7R3kzYjqOgOdxDotIjoW&#10;KIBsZ6WFvBbx28JrwClhiaTF5beh4qQTk5PJxrztXk+7tdVhqDeCthW66lJNeUmJpri4BPUucgXa&#10;DaAmlCxoiwZEUlIS8IowE7aAaZYsNyc7T55bAKQqFCqttgLIrqtF28QMjjvsbiedwo1V2CSf0Nyy&#10;KHoXi3OE5ewHDWydXfCKOgMu1oyOjnZ1dQFJaACi5KDhzBMI02U5RWS64ho6GhGiw4MSwohJsxoJ&#10;MLm3wIlWWugAMXOaL3uAWohZ2i3oRltV39BUVVevrajSaCtUpdpilQbCNregCJyFqoVD3qaI0hL5&#10;yXGJZFQZIJudnV1RUQG8Qr0i5og/uwoQ9od6CRhYA9bW3oE4QBSD7/SxDx9NV1wgoof6w02KDVHr&#10;gRL1G3AKNca1+TXzH9fxef3udvlsVmdLs81ibgUZoW0N9Y0GgwFVr16vr62traGm1WrLy8txCxBG&#10;0wd/0usb9HUN9fWN2MXU1NxssRJvtgLZ7NuUOHgbSc9FT6u+i97F5RxhOftBA4yY+X/TNTP0axwA&#10;lsfjQdM7Nzf3wOEItJ3Zx2bQgoaKRPuu3mgympvJd+KspLcUUpR2mHocbi+I6aIPqRwe3+lud3mx&#10;GVqFEMIOtw8B4lQX4yBoMJpbbY2mZkhmtVYH2AF8ZAi6UBzPE0THJdDvf8RFx8ajiZqfn08exLW1&#10;LZoyCvE/e8L6KGFRc6TTB+v8FJFSXQqlhTKDwkM7MUnH8cJCdbF7gLAIs4qwq/tYd/exrq5e9vS/&#10;HQTEJcN93znIiCwB8/nIO6lISRjqNrYyYAzTHk8b+wYlwpDGRCC3k8/2sGN6/R9ooQIWUaL18cIY&#10;XkTOEZazn2AMTwgMDQ3ZbDYoFJFI9M3BI18fOPTNwcNAm0AokmSg8S6fd7TiyRePleoykLdMVwkx&#10;iBY3Wv36BmNtfcMir29sguNP2AA/a+obEIDX6Buwl666FgIWh8ovVuLgImkGTpfITwFbo2ITDkdE&#10;HYmMjuPxEQF5PplCyWKxdHd3M/WKmCPaTMOy7o6zJWxbu8vXrq2oxoWB46lpUo1W12p3gjvzhCXj&#10;nBYWqt+CU/1I8UocVO1kXzCjHGTdBac5Sb1AAnZSY+Mx8BPryQNEEJQyGtuDrcTpRyexGmGvtx3k&#10;dbt9CMzHhEaA9gt/F7eLyjnCcvaDRvQewETf2CGAIu/toH09DQHY1dUNeZiXlx8XF/f1gcOALGQs&#10;JGRCkgCN9NgE8ubl4YhoUA+BuMSkZBH5Wid9I7Ygv0hZpFQVl6ixXOTQpIUKBMifwGVsiTVYyguK&#10;2ec/09JlOBSoGhUbf/BIBMj+1f6D+w8dPXg08sDhozgX8AoKN7fajh3rA1uZ4qZG3ojHT9ZFMD4+&#10;DsLeeish7IcfEsLSeQnOQFhvW7vT24a6AWwFYcXSjNLyCkpY2ktAhxPQ/pDFReviddZjgwv8rnnO&#10;5Cr5pk5XO2jb2cO8vR1/IrSlyrQdwhUMhYYNSFcwFqxd6O0gDutz8DK2+o8JB3n9TjqIvqMqwMQ4&#10;dTE6R1jOftDmZudmZ+YAVkjA2ZlT+Dk+NnWs94S11VFVWSvLzElM4Av4Qn5KqlSWXVCsLNFooe8A&#10;IyxVpVqIzeISDeMmoIkNKF4VWJObX5SWnpmUnMqm7ILjIBCkQBgCgZVJyUI0zAVwIfmoMvAdm5AE&#10;jB6NigFPP/9q/+dffQOOxyXygT8cU6HSlFfVNFvtXT19iOr01OypOVIxkPcy6cvvU5MzuCKgdmRk&#10;vLio5Jabb7vllts+/PCT3Nz8hoYmyDSmsBY6yr/D7dNoK6SZ2Yge4gPCttgcUHkgLCk286WIc85P&#10;d46wnP2gEelKCTUzc2pm+tTY6GRPd5/F3Fqi1KSJ03mJgsREPgJQo+BaQ5PZ0mqfnyu+DVRCuNnq&#10;MDVbG00Wg9FUVVuvKitXqkshTjOyc0FSsBJSNDImHsSE2j10NBJamDoRxfsPEUf4a/gB4nTNUbLm&#10;wKEvvzkIwkLARkTHpogk+cXKyho9TmRqsdqc7vbOnqHB0eHh0dGR8bHRiYmJqcmJ6YmJ6fGxSfxE&#10;bTE5MaVQqG684ZY/3nL7Rx9+mpOd19hgIh2C38crnBLWizpDkpHFTxFBQZfpqjjCcn6WzhGWsx82&#10;2jPANCCodPLEoMnUXFSkTEkRxUTH85NSsrPJi+o1+gYyZ6zTTd9qJdkIuQr5yeVtt7u85PEUedjF&#10;nlBZGpos9Y1NlTV1Sk1ZVm4eHeKakyJKi4lPPBQR9cXXB+BffgM/CHp+tf8QVOq/vvz6sy+If/HN&#10;AdYtgG0+/3r/F1/vx09o2Jh4nlAsyckrpH0LxJUQs+WV8MqKGja1ts3q9HjauruOwSFgQdiC/OJr&#10;rrkeGvb99z+SyXIaG3+AsB3fIyxorq3gCMv52TpHWM5+0ObmyMQcICwCUH8upxfqNSEhKT6OJ+AL&#10;8/OKamr0xkaznX6ykPaakRe0CHrmX57x0LcwKW2JqnWS167IY2LAF0Q2t1iN5L3MBgjbdFk2+HU0&#10;KhacPXA44uCRCEha8vNo1MGjkVgyB0+Z4D14JBIeWH80OhZyODouIYp6dGxCbAxxqGyRSJKbk89e&#10;pa/XN7Y029qR33v6srPkN934xzv23Q3CSqWZRqOZPMw5nbDtXag5ynSVqAkEQhGkt6pUyxGW87N0&#10;jrCc/aCROZVnoWC/HR4egwAs11amCtOOHI4UCsV5eYU11XoIQ4edfFCLZiPkITIPHnu8TvBKCRtA&#10;LZb0yQnhLyUv2QDbt9qdBqMJwrC4RJOZnStMkybyk+N5fLBMJEkXp5M3uGQ5edl5BdnyfATkBUU5&#10;eQVZufnZ8gKsBJqlmVnkXa/0zNS09NQ0KRRxslCM/ZN4yfBkQapYJJVKMrFMT5cBtRq1FrSFBv/L&#10;I48+/tjf//WvL9OlsqYmC3gK+C7EKxyERfVQUVPnHw/L4xcUKznCcn6WzhGWsx82Nn5g9ltwp6Ki&#10;GniKjoqLi01E+7q6qq7ZYm2jr/owdHbQj8qQ/NTFHgSTx9CMrWAuxW4X07lk5fxrBXCsh7C10eGu&#10;9Y1NQG1+kQJN/uISdVlFVVVtPfluDZlYqw1aEsrX7vJYHS6sIQNmPT5Lqw0b1NY3VtXVg4O6qhp1&#10;mU5RUqooVkFlyzJzxGJpcjKZsiQyIuabrw/iEo4ciUQ98dWX+99845/ww4cjMtKzTE3NbBzS6YRF&#10;5Gv0hrwiBdgdFZsAsnOE5fws/fdIWDZ4B4FT9PWeaWrsTzA2RClgWINtYAizJTO28emGbdgIIbZN&#10;4FwXpZ36dnpqdmho1OX05mTnRUfHgVMQg9qyCrS1wTwvSNkxP6DnfHiz1d5osgBn1XX1oC2ZScvl&#10;sfs/s0wm4e7oObZoF7jD7bXQ9xqarQ5zi7WhyaxvMNbrGw31Rn1dA+oGtaqsqEgpzy1gSlYkkiQm&#10;8g8dPPrBBx9//vlXhw4dhTavra2HHscVERnbTgZswnF17R3d4HhNfUOhoiQpWXjoaBTELCEs/Wre&#10;/Dtdv6k3Djg/j/57JCwFpp+VDIgw9hN/XbgSAawJhBkuYWx3erDFRg9DjsC2YQH/3y42OzV3amJ8&#10;qu/YSbOpRZKWERMdDxmrVpcZG83khRz6fjoZfH5arjpnR3ZEk5y908XGJFBnH6pjOfUMI88BODpV&#10;nb/DF1LX4fYhhqgY7DZXa6sdcttiaW1tsQPbuvKqEqUmS5abxEv+5puD4OzhQxE8nqCkRGMwGG1W&#10;p/+i6JB4Mg6U9sPWGhqhqZOSUw8djcyS54PjDKy02HCE5fwH/fdIWGYMhcwAwQBPAz8hbBeuoRsS&#10;Q5hBlh7me8Y2YAG2GVt/kRqucnBwBKgCldiEdUqFuslogXrt6uyF0PMPGj8tV/0Mp+9H0h4GZEfq&#10;tCeBdiawMMuyC51swKbyottgTXsneQcJfHS7fHa7C2wlU0M1NdfVGsq1lQqFSibLEQiEwOvBg0e+&#10;+frg0SNR0LbFxSUNhiabzYnrgpJlMtZHn8sZjCZVqZbOrRWZmS1vaLJgJetN9tFpSRfGh3POA+7P&#10;kL9PDev/TdeApwyyATjiJ9uGqFba6g/8KWBse2YIwxYdhB3/IjVcHwRsY6MpL68QeE1JEVVX1bFh&#10;T+SVHoqw80tYJgnBWdoGJ+KUhunMW/O0ZVl2oWMNtqSEpQ/QIGaheaF83WR2EihuRJtNb5qbkw/1&#10;mi6VsY91H9h/eP83h0DY/fsPRUbGCIViKHRA1unwdMy/JwoNiwMazc1lukqhWALCSmXZtfUNbAQF&#10;i+HpUeKcc+Ysb/weCQsDDcfGxvr7+48fP37s2LGuri6v1+uk5nA47Ha71Wptamqqq6tjMwPBGhsb&#10;LRYL1mMDZi6Xy+fzdXZ24ggnTpzA0cbHxxlzfwOEhVYtK9VJJBloU2dmZjc2mND0hqoFWwmA2CQg&#10;p+Wqc3YiQmmgff7FzYW+cMvFPv94zU0GJ7gsLVZEVV/XUFlRU6opVyrV0Kf5+UWFBYqCguI8eWFW&#10;Vm5GehaZ0lQkxdWlJIuio+Pi43mStAwoXKPRDEDjAnH57R0EoOYWW0V1rViaefBIJJa6qppWu3PB&#10;47vT4sM559R/14QFXnt6emw2G8OoRqPJyclhUwjDUlNTExIS9u/f//7777/11ltvv/32O++889ln&#10;n0VERPD5fJFIhC3JfMJpabm5uWq1GhQ2mUxutxuQxcF/G4Rtb+sqyC8GgCD6QCj2wJ3oVkpYv4w9&#10;LVeds1MpyoYZ4CeZvZCuJ/0GBLjdvWzEwiL3EmFL5o1G2OaknyatqM7NzZdKMqG7RakS8BRsLVFq&#10;UFtUVtZUVdXCIWxB0iajBRdVVqbDNcbFJsbExIvF0oqKapvNya6xnXZWNFsdVbX1aRkyaNjUtPTS&#10;8koLQE6fv50xSpxzzvw3QlgQDYIURgYYzdEPriMAn52bmZwaHRo+0Xus09fmdjhaLc1NDXpDra6y&#10;XKMoys9IT0tKSoqNjT18+PCXX3z+wXvvvv2P19585aU3Xn7p1edefuaxpx7500P33HbX7TfdBr/7&#10;1jvvv+vPjz306PNPPvv6C6++9cob77z08oevvfavd94+8Pkn0Qf3x0dHpCYL8nJyyjTlleW1NRUG&#10;s8HuaPb4XO7e7u6hk/3jwyMzk5OI1bczs8QRoBGem57BVQDKlPzf68H4FQ2Edfs60tIz4xOTpBlZ&#10;Kk1Zk7mlDexDpmHtYhb+fpb6OY7sGPBFf/oRR6510U/IAK9Qmgp1qVJdJs3MSpPKJPQz+sUlmrLy&#10;SjTt9Q1NjeRTCK2WVluLzUEyfXsXtGiTpUVTphOKpLHxvKjY+EKFqrGJIJTGpNvlY18Pa8nMzj0S&#10;GcMTCBUqTUOTxUk+auIfgrYoSpxzzpzl5IuSsKQdPo8kGKPSqdm5U9PA6uzcLKA7NzszOzMxeaK3&#10;r9lkVitLRMnCiEOHP/3g3Tdfe+GZvz/64J/v2Xf7H2+55ZY//vGPt9562003XH/NVVddvevKq6/c&#10;ec2VO6/fc+3VO67asWXbZRu3XrZhK5ab1226fMPWnVu379m265orr752195rL9923RXbbty54+ar&#10;d9923d7bb77hjltvvu/uu/72yKNPP/n8P15555t/RSTFCXNlWVXlOnuL9VhXNyCLWJHo0dmeApVB&#10;4BKWjiGaDrcvNU0am5CUnpWj0VaYW6wLc88ScWRcwI4OpzXlFSqgMdNl5Bv67BNPWAlamltt2MDq&#10;IMNpnajy6Ef04ICjp63T5vSwfXmClCOR0bIceUV1HUDMjo/NgO9mmyM7ryAiJi6ex88vUugbjDgp&#10;OTv3pIvzH/aLm7CgEnneRI0RanZ6Zmxo+DhVrE6rzWxsqqmoKs4vFCTyvvjsXy8//+IjDz4ECF53&#10;9c6tm9avDA0KXrEsODg4LCw8PHx1aMjK4KAweGhweFjIyrCQ0JCg4KDlK4JXrAgNDgkPDcUSK1eG&#10;hcERwM9Vy4KZr1y+PHzF8rCgZaFYBgetWbn20vVbdm+/5p7bH3rqsefffevtA19/I+QnF+UV1FRW&#10;WYxNXqeru6MTqnZybBxxJm9P0fgvMv+l/ko2PTMLJKWIJCBsRlYunfHEuTD3LBFHxgUioU/VZeVk&#10;3lhJhiwnD2K20WSB9iQdu3S2bIpU1gvhl8n4yXpRvR1dOAKoiurkcER0cqqYMrSJ9gX3YjOcAmgu&#10;LlHHJSbBM7JyyiurUf3grzgalP7C+HDOecB/IxoWhGW9BAPHTwCsZWqNUJD81edfvPn6P57422MP&#10;/fmBu27fd8sNN16z5+ort++4fMumzRtWr10VGh4CdAKo4WGhK0NCVq0IXrNsBXzdJUEblgVvWB6y&#10;annISviK0FVBYWtCwteuwDYkvHpF6OpLgsL/sCIsNGhdGPHVoUGhoUEhoSBsEDi7PDw4bGXIqnUr&#10;N1526a7d2/fecM21t9x409377njkgYdefPY5ADcpPqFAntdkaOhsax8ZGJqdIq884HLYVQRoy670&#10;1zIQFkhNTk2LTUxCAxlMAXAX5p4l4si4zVZ7iaYsM1ueLS9AAHiFAm2xO13eNtCTbYO8zkZ9+ccb&#10;UAHb2eP/JhhoCRmbmSOPiI6LSeBBCAO4hL/0a7jt3b10ltgq1DfxELqiNNDW6nBhX+AV+wYiwznn&#10;C/3iJixgxGZTPnHihM/ns9lstZVV8qzsIwcPQa7eve/OPTt3bVi7bnVYeFhQMPWQkBVBKy75w4pL&#10;/nfIiktCg1aEBQUFLw8JXgFJujYodMOKkI2XhGz+Q8iWPwRvXrFy/fc8fP3ysHUrwtcFrdwQtGoD&#10;1iwPX7dixfog4msA6pCg0LDgFcHLLwla9l+hK3Dk0LCgVSHL14SuWLUyJIycevkKBC7btOWaq65+&#10;6vEnPvnwo2RekrKwuFFf73E4u7q6jh8/Pjw8vPAFs1/XQNhWuxM0YRpWW1Hd6nAtzD1LxMHNJksL&#10;dCs/RSQvKCKffm6xUZIS9sGpdCWvhNEnZmQoGHOEO7rZx8HISC/sVlyiSUoWRsclJvKTS8srPf7v&#10;F5DnbE6Pr0bfkC3PFwjFCUnJoDkgjr0IxLk3Djj/Ab/oCQskud1utVodHx//8ccfv/js848+8pc7&#10;b9t37VVXb7/s8kvXrV+7anU42vsrgkKWB2EZvGxF0LJLglcsC1kBvbkibEVw8PLQ4BWrgoM3Lg/b&#10;vnzlrj+svv5/r77pf62++ZI1N12y9qbl625Zvv4WLJetuxnLFev/GLTh1qCNt5I1a2/6Q/jVfwi7&#10;CjsGhW0KCdsQHhoGyIYFXRJGCBsSFrRyxfJVK5aFha4ICl0RTOKwImhN+KpN6zdcuW37TdffcM+d&#10;dyG2b7z2+tdffJmamqpSqZxO5+joKC6NyVj/pf5KNjNLewnE870EZNa+pdhLQN65qm+g39FK02gr&#10;bGQexTbG03ndymZCIGGW4xlhkeMRplmfPLBqtbsgfiUZWdDs8Tx+aXmFy0e+w0g3Ju/mGoymYpUm&#10;LT0zNoEnkmSA5BCwICxOxGLCOeeLfEkTloEG5v89P9AKurW/v7+zsxNsra+vz87O/uqrr5544omb&#10;b775ss1bIFpXhYatDA1bFRZO1GtwCMIAHFYSwi5fsW716muuvmrv7t3XXb336l279+zce8Vle1at&#10;2fGH0N3L19z4/6y67X9t+NN/XvrQskv/unzT35ZvenTFZr9fsvEv1P+K5R82PPJf6x9Zfuk9l6y/&#10;ffna60LX7lp76a69V++98bprbti7+4ar91yzZ8/ObTtXr7o0aHloeDBoS0Q0QW1QMCKGyLBIbliz&#10;dvfOK/fdetsrr7yCq8jJyTEYDOBsb28vrhFXikSY/f4HX1mATKZwgdUu64cVSdLjEvngjqq03NIK&#10;bUi6MtnULQDWwsz0izly7TwoyYN+cB9kZNNrVdboETFkZUbPwPYs2szZ7iS7z8MX24CwDo+vvtGE&#10;5n8iPyUmPlGpLrU6XAArU7gImFus2srqjKycyJj45FQxJC3SJ/BGL+ecn+4soy5RwjKegi8szB5n&#10;YYnWNAPr4cOH33333ccee+y2227bsWPH2rVr16xcBcUatGx50CXLmC/7z/8ikA0JhZ5dt2o1/KYb&#10;bnz3nXe+/NfnUUciDn759Wcffvnc06/vuequkA1/XHXZff916UOXXPHUJdueW7715UW+bPOLi3zF&#10;ZX+7ZPOfQ7fetWnnvpvv+Ov7738YGxURH3U45ujB/V9+8drLr914w21rV28ARtetXgPcA/RBlywP&#10;RvTmHXHDX1ExXHvttbfffvvjjz/+z3/+8+jRowUFBS0tLUNDQ0Aq7Zslb/FiCeayBGFhmk4XykBY&#10;p7cNQEGjWCiWFBSXGM3NBEn+fsxfnbBUWnp8FqudEjZHkplVWatnxDwbx0EYcIngpVqYvrtVlZSc&#10;GhWbUKRUoUaxu8grbDgmxCzUMcRyTl5BdFwCP0VUpqtsNJHXZ+ELD8s55wFf6oQFTWAIgC8jIyMg&#10;Tnd3d21tbUJCwhtvvHHnnXfu2bNn3bp1ISEhwdTCg0NBWGjDNeErL12/4fLNWy/btHnPzl1X7dp9&#10;wzXX7rh82+YNGx964EGJRFpXXeO2Oc31xpIC7aFvEvfd+Uz41gfDtz3+X9tf+c/d7//Hjvf+sP2z&#10;Rf6f2z5d7Ntf/s8dz4XteuKKG/721+c+ypUXOGwtXofF2WJsqKtOE4kffOhvq1et27b1smuuuhqS&#10;efeOKy/fvGXTesLctatWrwoNR2xJnINDwqnhWq644op77rnnww8/zMzMhJ6FmB0eHh4fH5+cnEQi&#10;gKoBsCJZYCx8IWx27lR7d29+sTIpJRWMzZbn6xubKIwIj6hOBKF+BcjivDTjfkdYgFWWk5eZnVuj&#10;NxD6nx1kafy/R1ioVMAa+jQqNj6/SNlkaWkFYunbseAs5GqTpVWh0rAPPsoLinVVtTanh3vSxfkP&#10;Oc2oS5Kw0G7MAJGJiYkTJ060traqVCoej/fee+899NBD11133datW9evXx8WFhYUFAS8hoaGhiwP&#10;AltBseuvufbh+x94+fkXP/ngo4Pf7P/miy8/fv+DB/90/5Xbd/z9iSe1Zbqezu6J4dFOV1uFpu7o&#10;Qf6+O59btuHPyzb/7X9t+8f/3P3p/3fbB/97x6eL/P/Z/sli3/mP/9r9evjVz2+9/tEHn/6woFDZ&#10;7nOf6PYNn+g63t1eVaF74u/Prlmz4U933/v2P9746l+ff/7pZ/98861n/v7UXfvuuHr3HsjqVaFh&#10;jLArVqzAVeBaVq9efdlll91xxx1PPvnkm2++GR8fr9PpOjs72ZdTkSCocljKIJUuKGFnZuc6e45p&#10;tLpUSTqYgma4vqEJuQRoY0hC7gF3ApnpF3Ocl2bc7whbVVuflesnLH20dVbDp3CQRYS1tOJQ+uTU&#10;NBA2r0gBidpqh3glHbVsM6vDXV5ZLRCK6ecX06FzrQ7yYsLCw3LOecBZ3lhyhAU4SMOY2tjYWFdX&#10;V1NTU1ZW1kcffXTfffddeeWVGzZsAIyAVCyZAUwbN24Es/ZcueveO+968dnn9n/1tVScVltZ1Wwy&#10;11VV58qy3njtdZD31Vdea22xz0xMn5qa7fV1VWrqD+9Puv2O5/+w/sFLNj/5P7e/+x9XffN/7Pji&#10;P3Z+tMj/x/YPFvl/3/7m/73rrZC9r2y+4e9/+vuH2bmFPo9rtL9nbnp4enLEZm1+5bU3Nm++DKAX&#10;pwjLS8sqtbrCvHxBIu/Dd9974m+P3Xz9DTuv2LZl46YNa4gMB2FXrlyJC2G1xebNm5me/eqrr1C1&#10;OByOvr4+pAbpf10w7xdLsQth0zOzIGy13pCVmx/PI99zra4zgDeQcoyzWJ4ly86vM94FCNtsc1TX&#10;1QOvaekyiErE8NwJS2CtTyYzbS8mLDZAauBHTX2DNDM7gZ8cnySQ5cgtrTZOw3L+Q85yzpIjLMAB&#10;iLA+gYaGBolE8vXXX7/00kv79u2DvluzZg0a1KxnANIPhsb1tdde++CDD4JlX372LyFfUJSXX1dd&#10;47Dajvf0nuw7bmtuwZo3X//Hjdde9+orr9vs7m9nvz01PXesrae6rPHwfsG+u14O2vrkim0v/4/t&#10;H/+3PUf+3zsP/p973lrk/233G4v8/3flu/9913uX7Hl1043PPvj8F/ICZZvXPTVy/NtTYzNTI3Zb&#10;y2v/eGvzlstee/mVvOwcS5Op3eP1Ot2N9YYKbXmOLCsuKvqzjz5+9u9P3XPHXXv27Fm7di0uCrUF&#10;UHvJJZeAtjAG2ddeey0qKio3N9doNPb394OzqHuQShdUw4KwPX0nTM2tRUp1bAIvISlZo61ottrR&#10;bgZkWe5ZChoWDXmgX5IhAxk15RU20nN6joRd2EtQUKw0WlogWgOP9Tp6jrGZDItL1KhvYsiIgvR6&#10;gmHbwsNyznnAaUb9tQkLTpC3Xen7o6DGzPTM1OTk2Ohom89XWVGRxOO98PzzN99009atW1etWsUU&#10;KyQeIAsAYQ3wunv37scee+yLL76Q5+TU1dR2tncMDw6Oj4xOTUzMTc9MT065Hc7C/II3/vGPm264&#10;ERrWanV8O4czfdvX1VdTaTp0MPnWu14K2vpE0PYX/69t7/+3nd/8f7Z/9X/t/uci/z93vX2af/g/&#10;dn2wbNdLW6978q/PflqQX9zu9U6MDMydmpyeHrfbWt984x9XXHb5G6//ozA/32V3IEpzM7OT4xMT&#10;Y+MDJ/vbvb7a6prUFOFnn3z68MMPX3311dDm4CxkLK4R9QfrN0CNgmu/8847//nPf0rS0iwmc9+x&#10;Y6MjI7iuuVlUFND8p3BYJCML+5P1Z9vM7OzJgUGn21tarkvg8WPjEwuLFQ1NJqsdWGvv6CLTsHrb&#10;fgX5Nk9YEnb52kH8Gn2DWJqZlJyqUGnAOyZjgcXALnC2V2BHOB1LQCoJxlm7i0w+UF5Zzb40XqRU&#10;NZFjuQleKWFRTlC1gMKVNXVZuXlRsQkCIXneVd/YxJjOSM055wFn+e3XJizwCkDQaVDAWYCjr6cX&#10;TfuMNMkH77732F//duO112/asBE8Zc1niNbly5eDREDSAw888Oqrr6IdDZ1bWVlpt9u7urrY/IE4&#10;MiTe7Ows5LDb7S4sLPzHP/5x/fXXv/bqa04bJezctz09fdpK49eHk2++56U/bHokeMcL/3vbu/9z&#10;xxf/sf2L/3vne//W//vOj/9j18crd7+4+9q/PvXUOwp5QWdbx/Dw6DQE4OyszWZ7+5Xnd2zdhPPm&#10;5eUhbpOTk4gS4sZsYmICsYUs1Wg0KSkpBw8ehFaFEt+7dy+ubtmyZbhSQBZLcBbi/fZbb3vq8Se/&#10;+eLLkqJip80+eKIf6caoOjMxOTdNwnNTZBKZ82KIISLc19dnMBhSU1Pj4uIyMzO1Wm1LS0tbWxti&#10;jhaGz+dbmJ9+FUcmho5Eg10oluTmF6GZD91NYUpydvv8RIh0DVlJ9yJdyQya9BFWu4/My+UxGM0a&#10;rQ5qPTImvkSjtVDBvvBccJe3zWhuLi7RRJAhBclsEgMrBTGbQXHR9pz/nn1JENavvOh0UyDF0Ml+&#10;c6NRIhI/+9TTOy7ftnbl6rUrV60OJ5MBBDpeIeu2bdsG3bp//36FQtHc3Hzs2LEpOpIpgDByYNqO&#10;XoKExRKG2KKxj2hj/cDAALYvKio6dOjQ448/ftVVV+EaYUzPgrOoXcJDw9atWn3jtdd98M57hfJ8&#10;CPPhgUHyxi007NQMZCxScnbyfA6SRVQRN4fDkZWVFR8fD87m5uY2NDR4POSDVh0dHUuBsABls9VR&#10;Wl6Zk1eYlZtfUFyClj6yMsnchHcEefNgZZN5kz9hLwhSwJetwZ+sDhfojN1jE5Ki4xLVZeV0nMDi&#10;DgcUFfAUp2NzFEDwyguLwXQ6TQF7Buj/TAPnnC8NwgKvAOPM7MjAkNXSnJede+Crr1989rmbb7hx&#10;w5q1IeSFqKDgFSuAmHXr1u3YseP2229/+umnP/roIz6fX1paitIOPEG3BromGWdh+LkENSy7aMRt&#10;oeFPJ06ccLlcVVVVQqHwk08+efTRR/ft24frZc++oGTJBDTBIRvXrb/9lltff/mVxNh4VbHS0Wqb&#10;HBuH9j817W8HnC9DVJF6iBu0KlQ2mzkXWlun01mtViQpg+zC/PSrOERlq8MFXQn5CcKmy7Kpkq1v&#10;NDXb6fsCYChbMrB6yNArMi8BeR2LPq/DeuCRvjWrTsuQxcSTt2bR/KcbLD4dNsZ6sFgkSafvJvBS&#10;06T1RpPN6cbR2Jy2fr6fti/nvzdfKoQFXkeHR5xWO6TrKy+8dOtNN++4/AqghI7SJ+9BhQWHAK/g&#10;I7jz+eefy+VyNK5RvPv7+9HWBkMZCyhXiSGMNUzVLs1eAnbpCGANGTNBxSyuZWRkBG1wNMyBsw8/&#10;/PDee+/dvn37+vXrV64k032FBQUjTTasWYf0uf++P3347vs5mbI2t2dsZHRqfILJ2PNlLG4IDA4O&#10;mkymgoICgUCQkJCAQG1tbUtLC/kua9evzxHaT9rlIlO3NBUUK8XSDLAvJ68AwG1oslgdbif9NiLU&#10;qJvMVEDYyvpenWSCVyx92MbSaqus0aelyxIFKeBmuiynuq7+jITFLvR5l7lIqZJmZkXHJfAEKeVV&#10;NU3NrThsRzcRxQhwhOUcviQIOzUx2d3RWVVekRSf+PILL6IVvGXjpeQl1+UrINmA17WrVm+//AoI&#10;urfeeismJkapVDqdTrAVVCI0pRZgVsDAVmywxAkLW/QThs2OHz9usVgQ50OHDr3yyivg7BVXXBFO&#10;X/wlLwSHhsMB2XvvvOut1/8h5CfX19Yd7zk2Nz1DembPt6F90NPTU1dXBxkbGxsrEolQw+En6ytY&#10;mJ9+LWdTZLXaXZU1dWjmZ8vz4bn55MsGJZoyqFEd1bRQmmBuk6XV1Gw1t9ggcuEgaWl5hVJdmpmd&#10;C/Uam8CTZGRptBVo+J/xZS0QFqUF56ozNBYqSqLjE6PjEmU5cm1FVbPNgb/6JTNHWM5/FcIyoMBY&#10;GAQ81t1Trin7+vMvH3ngwat37dm0YeO6Vash1oKXLV8ZQpgC1XbLTTd/9dVXCoUC0qmvrw8MAjdh&#10;AWAhgEOxA1JF6H/gg/VLjbCBiLF4BtawC2EBJmY7OzsbGxvz8/O/+OKL2267be3qNah1QpYTyCJZ&#10;woJCNm/YeM2eq/728F9io6LtrdbJ8cnp8Ql2nIXGjv9TDTuyVEUkoa+9Xm9RUREIGxcXl5ycXFpa&#10;iitCwiIPLfKF2ev0lefmrC1/xuMAaogE8i6WVqe70WSBGgVnAUoI0oSk5OTUtLT0TMjbQoVKodKo&#10;SsuB1FJdpapUi5+ynLzkVHEiP/lwRPSBwxFxdILthiYzU7inn5GtQYFpsTlxnJgE3pHImLjEJKhm&#10;iGjIXrYBiy3zwL6c/96c3f1fmrAotDCU3qGhIYfDUVJcfODrbx558KGrd+8BW0mv67Lla1auWv6H&#10;S6DUANmVIaGP/vVvAI3L5RoYGGBsCoDpxw2bLU3Cno0hlSBmrVYrdn/sscfWrV0LqgKv8ODlK4KW&#10;LUf6XLpuw67tO59+4smEmNjKcl27x8tGy7IURmrjpP7D/UQL3CmEsTxx4gSuCDFBMyIyMjIzM1Oj&#10;0dTU1AA0bIQsMhMyEKjEntTTLk7yk/nCbPdTPXBkOBQieY60wGkHK9nMS3tIrQ6XucVao28o0Wih&#10;ZNNl2RCn2XkFeYXFeYUKNO2xXqEqzS9SgqQEr6K0I5HRXx84DLySrznIciqq61rIhw5B7TPHnBaV&#10;TpvTw6YpSOAnR8XGg+Paimo6s5cPxYlG2O/YhSbI4uNw/pv3X42wKPbDw8OADpr8b7/x5t133HnF&#10;lq1rwlcCr+EhoaErgtevXoPlmvBVq8LC161e8+LzLxiNRsg6iCn/gc7OLmrCIq0QeRDTbDa/9tpr&#10;my+9FEhF3QOHrkfdQyY0CAnFzyu2Xnb3vju/+PRfZSp1d3f36OgoEoqd6yedcZFh38BBcL+gqXEX&#10;ZDJZdHR0VFQUn8/Pzs5Gw9xgNJPvAtLpVlk2QsaiTp7dL8xwP9U9ZJaZ+am8GGFPk4TsXCyAfAzA&#10;gfgOtw+oRUtf39BUVavXVdWUaMqKlGq064tVGhC2uEQD/qaly+IS+WDr/sNHoUSlmVkQtkZzM66G&#10;RR7Lhedi3tFNOiUQMVOzVaPVZWbLo2ITEpIEuflFYC6d45ENYPCnA9DP0mThQTj/PTi76ReKsAAE&#10;SiaW/t/UgFc0gU+ePAniZGVlffbZZzdef8PmDZeCFGFBwWgFrw5fuWnDxuuuvmbPzit3XrEdDeEN&#10;a9e9+vIraKXiaEy9siP7j/ijhs0uUsJiS6QVu9iOjo63335786WboFi3X34FaqOtl25CKq0FaSlk&#10;IWnB2fvuuvvA1/tRafl8PkbYRYn/Uy1wB2E4ICCLmNTW1gKyTMkmJyfn5hcq1WWULA7QjUwLQFD4&#10;nYI7IxbP0hcSltLqDMij6787PsvHcKxkqhYRa7K06hubIE5VpeXFJWqI2azcvNS09ISkZLTxDx6J&#10;ZDM0lumqGk3NuApaMfyg6uzsOQbHBuC4wWgq01UKUsXxPD4ZuVVQXFvfiCPQCJDIIBooXawfY9Fx&#10;OP/NO8uZF5CwYASWLMyQAcr09vY2NDSkpqa+9NJLe/fu3bJx09qVq1eHrYQog4Zdt2rNdVfv/ftj&#10;j//t4Uduv+VWQBYoeeXFl0FJHAS7M+7A2Fl+3LDZRd1LgBoFgfb29rfeemvLpk1Xbt+x79bb9v3x&#10;1puuv2H3jp3r16yFjA0LCoGkXbtyFXkeeOutH3zwQVlZGeowiF9gkaX/ORh2hCHCLABDZABZ9pYE&#10;1Cvrk42JT0xKFqIlDngBN1aHm35nkJAxoDoXEvAnOultWAg7drSFznhKxmBRsjME01OT97WANkAW&#10;yEP7HZIT+FNrdbIceVIKmaLw0NHIA4ePxibwoGd1VbVm8pasl8WZxR+BwKmZ05N+h04o1vpGU7os&#10;B4kQFRufIpKU6si3vp10AgcSH1pPoOLB0RYdivPfvLP8cwEJy4yFQbrx8fGBgYGmpiZoH+D12muv&#10;JW++hpJ5skGKNeGrIM2Aj9defoW+s//JIw88uOfKXZdv3vLKS37C4iD0kGdLjYuasIEr9Xg8b775&#10;5rbLL7/mqqsfeeCh119+9aP3P3jqiSf37t6zaf1GMgFuaBggizTE8u677/7yyy9LSkqcTieAyBh9&#10;DoZTswoShmgzA7JPnDjBuoajo6OPHDny9YHDh45Gscm30ADXVdeCYoAOxCBAQ/sl24CYhdnupzgZ&#10;r4p8GQCl3eU5o1sdrlaHC0ubk3QRoJnv9LbZ3V6sRDRod4ERGpZ2zhYIhOKI6LivDhz6/Ktvvjl4&#10;JEWUBh3ajJ39z6l6KJ1Jz/JCuDMnYKXDCVjbn0w9Y3Uo1aWSzKxI+iXagmJlZY0ejLW7vLhw2tXA&#10;eH3O1QznF6tfWMIuNBRO8GVkZMRgMACvzzzzzK5du9bQOVxAh9Cg4JUhoZdt2nz3HXd+/smnBbly&#10;i7FJKkp79qmnr9q1+/ItW1956SWHw4GiHiDsWYID571ICYtoBzYGK3GQ7VdccdWVu/728F8SYmJr&#10;K6vSUkVPP/HkLTfcdOm6DeHBoUjD4OUrwkNCt2/ffuedd7777rsKhaKnp2d0dJQd5Kcazo5EZqmN&#10;MGgLw9G8Xm9VVVVaWloEtaNRsfTDViloKaeIJaCVJEMmy8kDaErLK+sMjUZzMwi4MNudvbMXBAA+&#10;HAFqsdlqN7VYFzmEp7nFhrM0mixwo7mlqbm1yUIcP6vr6iGuCxUlkJkQmHGJfLD1wOGIL74+8NkX&#10;X3382RcgrEiSXlWrxylAQ/bmKyEsfQsWvihKCwmLn7gwyF6cS1WqjecJcHCxNCMrNw9Rgh5GxcD2&#10;wgFZYeP8d+UXlrCkZM7MsmHwY0Mjc9OztuaWlCT+O2++df3ea9mDGgKFYNKNuPXSzX++976PP/gw&#10;PyfX7XBOj08U5xe++uLL1169FwR5/dVXQRkcEGUepR0B/zn+nWHji5SwbEuCt1On2tra3n77baDz&#10;6quvfvTRR3Nycjo6OoC5pKSk559//rrrrtu0aRNaA0FBQaix1q5ctWHturtuv2P/V19r1aWdvvaR&#10;waHp8UlcMnkfYXbOH/h3hvSZm8V/iAmi8S3k7PDQWHtbV4OhqbiohMcTHDkcmRCfBKSCKeBXZrZc&#10;kpElFEvE0kzoWbS7AVlwB/IQmDMYiaptsrSAkmAl9GKzzcEkp9XpZvS0tNqAS2zTYLIYmsz1jU3Y&#10;C8s6g7G6zgAFioY8HIEfd2yjrajWVlSpysrzCovT0mX8FBEE5qGjkVDcX+0/+OU3wOvXH3z86aef&#10;f3nwSATirNHqcGpEicbNPx4AxYP1BqBgoI0PmGIlfGERYg7I1taT7ySC4DHxvORUcXllNVhPCQte&#10;n7nDgfPfvF9wws5MTM1Oz6CUToyM9nX3lhQpXnnhpZuuv4E9omGDXhHYsnHTA3/68/4vv1IUFLZ5&#10;fMODQ9irOL/g5edfvGbP1ZeuW88RFoS94oorGGHlcvnQ0NDJkydxiqysrHfeeWffvn2A7ApqtEEQ&#10;dvnmrXfvu+Ozjz5Gmg8cPzExOkbeqSUvKAOZZ0VYJDPpJMBOxE+NDI953G3l2kpZZg4/KQVsFaaI&#10;CwqKQU8I1YYmMwAKGtboDWW6KsjGIqUqO6+AMleanJomTJOiHZ2bX1hcogbOACBdVQ1zoFBdpgOL&#10;QWQAEQJQmpmVmpYOdoOMAqEIwII6xhqITaBcliP/cQfrISPhUNNkoqzYeGCU4fXL/Qe/OnDoq/2H&#10;vvh6/xffHICS3X/oCDQ4KgmculilKS2v0DcY0cYHHGmRIFSdhyPpMcBKVngWOjYm4wrKKxBznkAI&#10;RQ8VDwkPJUumlZkn9aK9OP/N+wUnLJuWcGp8os3t1ao1hw8cvPmGG8lwzmXL14SvAgvWrFy1ecOl&#10;d96+78vP/qVRlvhc7vGRMfJu0typQnn+C88+t5d+C4AjbICwjz32WHZ29vDwMNaPj4/jLDKZ7N13&#10;373zzju3bNkCDYs2AfnMYkjYulVrAFnUW7oybWdb+wydI4bMsIPEOzvCzlHCzs5+Ozk509nRU1lR&#10;k5mZnZjIj41JEIulJSUaQ72Rdnq20VYwGYcP9YeWe32jCUKySKkG7ESSDL5QBNIBstLM7Jy8gvwi&#10;Jf6kVJcp1WTUFMJgK1aCrQyL2BJgTUoWot2dkJRM9hVLIUXBL0Aa4P63jrPk5BWCtlTApsbz+Dga&#10;BGZsAg/LuMQk9i5WZEx8RHQsljiRQCgGwRFh1AGVNXUNTRao2lY7+Rgie07FaBto+C90XD4SAeob&#10;VYtImgEZy767g+NAFzs9bS7uSdfv0i8sYWnbcm5ybNzjdEGQfvDOu/tuve2KrZeRVz9DyJOZoEuW&#10;XbZ5yyMPPvT151+gPdvT2TUzMemXWnOnCuR5LzzzrJ+wr3CEffvyyy/fu3fvE088Ad3a39+P65qd&#10;nR0ZGfH5fCqV6uDBg4888sj27dtRgZFxssEh4OyV23c8dP8DX3z6L31N7dQE6ShA7UWS9yzSD2mM&#10;JMKWM9On+k8OmZqa0fLn81OSeMnAq0atxRqb1Ql8MAAhM4E+rM8UYEKTv9HcrG9oqtYbKmv0aLyj&#10;5a7RVpRoyhQqDSimUJUyB2pLNFqwCdoWErJMV1leVVNRXQs8VdXqq2rra/QNdQajgb7zSjtbyduu&#10;/8bNzUZzM5Q1BCmOgKNBNavLytmpC5UqKFbITCAbNGcoDzhPkJKaJgUfUQGw8a2oRVBC5gl75ldp&#10;UXiwGa4XOh21QlQcmT02v0iBI1gdLm4swe/TL7iGnZ6YPN57rFJbHhsVfde+O1aHr6SvFQRDvYYF&#10;h2y9dNO9d9195MBBtULZ4WtDS5axlSGgIFf+4rPPX7/3mk0bNr768iscYS+77DJo2CeffFIulwOs&#10;gUTAYTs6OjQazSeffHLrrbduWr8xZPkKtBLCQ0LXrVq9ddPmvz38FyE/2d5iHTzRD8KyJgLb98cM&#10;m1AfGhy1211qdVlycmp0VBxa+6qSUmOj2etp93rbvbQJjBY0shHJQ/NtYeQt5CcPHagE7EIJNlsd&#10;4GON3qCrqgFG0aYGcNGU1lZUgb+AKZk3wGSBBGYP4pk0pvAifaAswLLsjzuiMe8kDm4yjVY7agJw&#10;n/bztgK+9Y1NUNkAeqFClZGdK0gVQ9hGxcazd2cPRURB7QK+ADFwj4iBkqyQLDoXc1w1vdgOKFZt&#10;ZTWEdmRsPDQyIIvjA/T0FYZ/H3POf2N+gQk7Nzc6ONRYbzi8/8BzTz1z+ZattPUaGhYUAshCvT72&#10;l7999a/Py1Qa4HVydIw8jZnxC1h4fq785edfvPn6GzZvvJQjLAi7bds2aNhHH300OzsbhMUGbBtc&#10;4NDQELbJzc3FZrff8kekWOiKIHAWyzXhq666chdaA7y4BFOjcV7D/vsEDGjY7u5j1VV1mZnZ8XE8&#10;AV8IvDYYmhx2dyeoysbV+/OT/wXWeRqyzkeSvZDPsDIgb4Fai9VubrVR2LWgcQ3Bi5XQgE4PnIwk&#10;pQfxd18SUM4/bsIa2h/6Y87iAKf7siOQJY4McOMswD2IaTCa6wyNgLuqVJtbUJQuyxGnZyanpsXz&#10;+EBtRHQcKBuXyBeKJfKCYghhxJlC/wxStL27lxKWzNSFK0IVkpqWHkePg90h2+sbTdh30V6c/+Yd&#10;uQ7L80ZYhj8Yyjy4AAp4HE5Jqvjxvz2K5irYujosfMUfliEA9XrX7fuA15IiRV9PL/u8ChFWxP3P&#10;u/Nzcl967vnrr7l2M6dh53sJrrrqKhA2KyuLERZ/wnKWvoLBXq6VSCRvvPr6DddcuzpsJRoKgGxY&#10;UPCl69bvuGLbU48/kZMpI10xk1MzSJT50WBsd3rO7xnSeHbm26nJGWjVnOy8uLhEiSQjO0teV2fA&#10;mo727va2rjYfQd5pTpg47yyfLVrpdyZL533xX3/YAyc6s1PY0fGqlMvYBVkcDsbZnG4IZDT8WWcx&#10;HaVQr62oVpfplOpSkFSWk5dGn4/FxCceiYyGI4Cf2fICQNbmJB8B6+ju7ezpw5KdCxfIlqwuAcFR&#10;W+QVKUSSjOj4xJh4njQzS02mUjS76McUQGFShZAJa5bEzGScXzhHfsDyvBGW4YCVeQR8Pl9OZtaH&#10;775/yw03bly7jnW/QsBuuXTTvltve+ett8HQdo93fHhkemKSUBXYBGFn6dOY7xP2tZe5flg/YdmT&#10;LtZLAAukNi6zp6cHkBWnpL703AvX7b1m66bNq8NXhgeHrgwNW7d6DbTtF59+plaWtHt92DhwcBgO&#10;wk630JA+wOvAwHBLsy1NnB4TE58ly1UoVMZGM9gKwkKSEcielqt+dUe2BrJZ5mbZmkHW6W0zt9hq&#10;6xvZewfpsuyMrNzMbHmWPB8aNq+wOL9IkVeI21iElWnpshSRJCGJDHGNjIF6F4K/wDGOwEDJTsSO&#10;TPpGAHE6eBbcBIgbmiyQrjgCZCwOgqMpVBqD0WRzeQB67AJAI5Iswpz/Vp1lwvNDWFZQsQQEp6am&#10;BgYGlErlP9986+477tyycRPaqiAsmbUkfNWN117/xmuvZ0qk9lYr8Do7NU3GzJKmKyUswhxhfwph&#10;YSyMxJkYH2/UG5ISEp958u97rtxFvr5D+mRQt4VCxv753vvQbqjWVbB3vWCMzuwg7LwBw1FHhsch&#10;Vyt01fyklNjYhPz8Ir2+wWp1AKzMIecW5qcl4sjWjKqkx6CT9BjQDgqv0dysq64tLlHLcuTJojSe&#10;IEUgFLEXBPKLlCCguqxcoyW9wwiAwtgyN79IKJbS78ok8FNEgG9lrb7VTp5csROh2LAAztXexQhL&#10;BlRgaTCaC4qVAiHp4Y0lH6bNUKhKDU1klhzalUGENosw579VpxnjPBGWlVIU14mJiePHjxuNxoMH&#10;D9539z3bLrt8FZkxOix0RfDGdev37Nz17N+flqSKXDbH+PAoeeoSGAMPZwKWI+xZExbGtvf/OHWq&#10;v++4pckUFxV93133bN54KdRrWFAwOLth7brtl13+l4ceThdL3C43qkDEB4mDXXAuoJYdJ2BI5pMn&#10;B5uMloL84vg4Ho8nUKvL6Le82wKE7ezoWZiflo6z3MzCAFqr3alvMEJUZmTlkM/MFBQVlajxU11G&#10;RuZCmdY3NjXQUQqgMHs9DHzELnBtRTUQDFCCs8mpacUl5HO2ICzjKXQoCE5PxOZs9K9xt3VYHW7s&#10;DqoC4nSUWFKqJF2pKcNZ2AgwjrC/eT+fhIWxEj4+Pm6xWFJTU5966qndO64EXkODyOAB+M4rtj10&#10;/wOH9x9oMjRMjo75O14ZWxf6af2wHGF/hLAwtiUoifQ5NTM7OTZeW1n13j/fufmGG7dsvBQCdsUl&#10;ywBZBHbv2PnRe++rVaqOjg6yMTWcC2F62u8Mydzbe7yqsjYjPSshPkkkklRX1XW0dy90QHZhflpC&#10;TvI0AR8yN3BmtLQo1KXSzGwwUpyeSR89Nbm87XCQjsEO2zMpSgUmUb7smVuz1VFRXZtXWByXyD8a&#10;FZOWIcO+oCfdkvAU2+AsFK9kvloWpnwnb3OZmluhjlNEaVGxCRHRsdDOODud4fvX/4gk5xfazzNh&#10;wTIYxFF+fj6wcuMNN0C0kiYqmZdk5ca16++6fR/wWqpSH+89Njs1fSowNnORc4Q9a8JiM9bSZxsD&#10;sSDs3MxsV1t7XnbuP998C5DdsGYdIywquTUrVz34pz9/+eWXOp2O9RUEDkJP+50RwvYc15ZVSCWZ&#10;SbzkzMxsQ72xq7OXsRXqFUvfmYbfLwVneZoGeiG7DUYTyAiHGtXQh05QtcjuKADI93AGRy/tV0WY&#10;UpI8yILbXJ4mS2tFTR0oeehopEAoUpVqoXDBX/YkDSwmevY7wpLZDMBWBDp7jkFBQ8kq1WVp6bKo&#10;2HhwFogn3QVGM/60MM6c//b8ZxAWJRoICPCRhifGx/tPnHDY7DHRZPTrxvUbwsPCglcErVm1euOG&#10;DdfuveaVl14uL9N2d3ZNTwFBs4QiDJfsIPM+R98Ek+fkvvDc89dec+2lGza+yr1x8KOEDRyWrUIa&#10;jo6MeFzuzIyMZ556eveVu1aGhYcGh2AJ37XzyocffCg5iY8NRoaGkNTU6ZNG5vSgM9MznV29JWjk&#10;SjJSUtNy5AWGxqZ25BvwqKObBSDDFuanpeMBbmIJtYiWPtSrVJZdWaM3t1iBNuR4QBBOIUuKARw/&#10;2Xq2hh0BChdHsLTas/MKImMgZJMRKK+ssbu9dBvyVI3tHnBaoqiCpqiF4G00NReXaIRiSUx8Ig4B&#10;2jIla3O6cXxsCShjr3m4+/2MB+f8InKWkXArz4mwUJqzgf5TQtip8UmnzZ6dIXv95Vf37NxFGqcr&#10;Vixbtiw8PHz37t3PPfecQCAAKMfHxxkXcBgEwAR2yICxlbm5uc8///y11167cePGV7m3Zs9EWLbl&#10;QsNKlrC4amxjNBqPHj36yCOPXHHFFcHBwaGhoViuXr36ql27333rnyVFCp/Lw15ACLxKR+4parjp&#10;2ZnJaWSOIqVaJMlITZPKC4rQOg5knSXuyNn0SwRkmCpa8cBZQlJyuizHaG6xu8gnvuGLdjmjs4Gu&#10;cIfbW1yijk8SJPJTJBkyyFgcBxL1hyBIMU2KFjZweHyQzLX1jQoVICuNjkuM5wnE0sxCRUllTZ2l&#10;1YZtunr76KzeJOaM7Kx6oGHOL1bH3cTyXAkLuqIoomQiANE5MzvUP1CqUr/39jt33Hr71k2bgy5Z&#10;hiIdEhKyatWq+++/XygUtrS0DA4OMjQwEGB5Oik4wsLOmbBsRyZsjx8/rtPpANl77rln7dq1uB1B&#10;QUG4I7g7D/35gSMHDlWV60YHh0ijgTxgJGAljjD+n5mFEGOERQM5J68Qmmth7lnKjpy9iLAQjxlZ&#10;OZCiYB+Tlot2+SHHEVA2XN720vLK1LR0gVCcnCouVKha6NdiCBBP2wVOpyEnY3LxV0SAvUwBJQuq&#10;4giALBtmm5WbX15Z3QyVSz8LhiXSHDtiSeJJB3UtOjLnF5GfB8KyyQlPzZ4aGRxy2R1CvuChP9+/&#10;a/uOjWvXL/vP/wJbt2zZAkp+8MEHdXV1/f39U/RDWwABp2F/3NiWuFLY2ROWGf7EEmpsbMzr9apU&#10;qtdee23Xrl3r1q0DZMPCwtigjif+9lhCTKzR0HDiWB+ZtQDHQ305P5aDERbCDYQVCEVggcF4sRM2&#10;99wIiyUOUl1XL8vNQ0s/IUkARW9ugfakGvNMXzn0E5Z2OGCJlMQRWu2u2vqGohK1WJoRx+ODszxB&#10;CpS1qqwctZfd5ZnfnvTtshjiEhYelvOLy382Yal0RWB6YrKrvaNaV/Hx+x+wYZhkJGZwSHh4OKD2&#10;8ssvZ2Zmtre3A6+s5MMYYSlAOMKewdiWJHXOibDMcBCc1GQyQcY++OCDO3bs8LcqgNngkD07r3z+&#10;mWeT4hOM9QZUkASvOCTrKwBhp2eQP9AcBmET+aSJXWcwLsw9S9lPJyy5hKycRpPF5nQDXoxfZ+MM&#10;o9Cw9Y2m/CIFCBuXyIeiNzVbcRb8CeVn0S5wIkW/6+clR2DKFErWaG5GfMTpmXGJSZExcTHxPKFY&#10;qlSXmlusdBvGZf95WRHl/CJ1dvvOhbCkf4BACswjhB0eGDTU1sVGRT9w3583rd8QdMnyEPptvg0b&#10;Njz88MPJycnNzc3sQ9zMUPj9x6HGwgFjG3CExZKkzk/vJWB/IntSO3bsmFqt/vLLL++8804I2ODg&#10;4DUrV+IerV+99ubrb3j+6WeyMzI729rHhoZnJqf8fetz385Oz3T0HEPTWCzNZAPmq2rrF+aepeyn&#10;ExYUS5dlQ4cCsqwrdtEuP+ykPxTN+IYmS6FClUw+ekg+KwsgMgiekbDMEQ2cCE4DnWSkQXev29eO&#10;OGi0OjrMVgRxDcimpqUXqzSIXpOlBVIXBRIb0zJ5tjUB50vQfwZhZ+ZQAomGnZ4FbY/3HJNJM558&#10;7HHIovVr1q4OCw9ZHrRu9drdu3e//vrrGo0GhXx4ePh0vjAE+H/MG2MER1gsSer8DMIiuWBIAfIG&#10;c07OM888s2nTJjQsVoaFs69LrFu9Zu/uqz7/5LO66ppj3T2To2PsoSUgOzM929XbV1FdC/UKwoIs&#10;CLPRo4FizzLQUnM/zujDIuRpl7dNV1UDvMpy5OoyXXWdgXZ7ks2wxDYBRNKfgYOQ8oBtGKZtTk+d&#10;oRHSNUWUlsBPzitUNFvt+CtkKT3RdzsyZ8ekMfETlpYxJBd99uX2NdsctfUNQDbYCsJGx5MeA0lG&#10;VnllTYPJgg3oxoFrIcdkYSzZnzhf+s7u1LkQlvQMjE9gOTk+MTo45LTaD3z9zY3XXrdh7bqgS5aR&#10;RmhQyPbLtz3wwAMxMTEWiwWFHHaWfGGM4AiLJa4U9lN7CRbZ1NTU+Ph4fX39xx9/fPPNN2/ZsiUs&#10;JGRlSNjK0LAVlywDZP/2yF/iY2L1NbXD/QOzU9PkPebpmdmZ2ZNDI81Wh0JdGptA3vtEwGhpabE5&#10;0GRmuce9JN9KYiQiMKJhOnGiXaHSyOkEWkp1GX46PWwsag+kLqQ6oyS2R2FgjjUoDwBoZ08fDgVd&#10;WaarTEpOFaSSJ13FJWqrw4WDs6Q4N0fE9A1GQBbtg4QkQWRMXHRcAmoCKG59YxP7OjrigFOwiKGU&#10;onqbJ/Xio3G+BJ3dqXMk7NzUNDTs8MCgy+Yoyit4/ZVXL9+yNTwklEyaR9/guv2Pt3711Vdon3Z3&#10;dwMHDI7+3X/UGEM5wmKJK4X9TMIiBWZnZz0eD5/Ph4y96aab1q9ZQ6Y3pDMcrgwJ3bNzFyCbEBPX&#10;5vbOTEzC2RCuiemZnr4TkFr8lNSI6Lj0rBxQBs1YKEBkF1LglzhhaSsenGq1O+sajFCg7PsuuCJT&#10;cyuRk2xjsj1xP2fpXgigYNCDEMZZWu1KdWlUXEJcYpI0M1ujrbCRD810AXmsFJ2D4+B2l7fR1Kyt&#10;qM6WF8QnCQ4eiTwaFQOCozIor6pBUqMmgAbHKeYJG3j3bPHROF+Czu7UuRA20A87cPykrkz7+Sef&#10;/umeezeuXQdZtIZMs71qy6Wbnn/6GZlM1traOjAwgF3OnoxsS46wWOJKYT+TsMz6+/vr6uqio6Pv&#10;v//+jevWhwcTGbs6jDyQXLdq9d49V73x2uulKnVvZ/f0xCTu7OzsqcmZuaGxCbSps3LzQBahWIIA&#10;8ATigA5LWUwhK4NEFJqkJrC7PC12p6qsXJyeKc3Mgp6tqK61tNro1wfIVcAZudh1wbEv7R8gYwCw&#10;ZXVdfXZeAfCXyE8uVJQgERweHwCNzbDNwlOfvaPI4UTsnTFdVQ3Sli8UxSXyE/jJAqEoW55fVVuP&#10;mEPqslMghks5zTk/3dnNOhfCzk4TATs3M9vX3SMVie+/977dO69cFRYOXx0WvvXSTbfd/Mevv/jS&#10;aDQODg5OTExgFwYLtvuPG0dY2PklLDbGXTh58qROp3vxxRfR2sBtQnUIAUs7ZMkIWfIp9U8/05So&#10;Th7ro4SdmwJkZ+fQTC4tr0gRpcXzBPwUEfAEItjJ3CXkffyF+WnpOCUmKEk6SbFElQCxaTQ3q8t0&#10;Ull2iliCJSBrMJqgInEVdLJXRi7SPzB/ELLEn2v0hrzCYlDv0NHIFJFEV1VL5jCc7x/AiVjgpzot&#10;ciRuTGXXG03aiqrMbDlOFB2XwBOkFBQr6xubAFlKf7IxQy3nF4v/XMKODg7ZW60Hvv5m+2WXb1hD&#10;ZoBlEz9ft/ea1156OSNN2tvbi7INLGKXsycj25IjLJa4UtjPJCx7rQPpAPN6vUeOHPnTPfdsv+wK&#10;qFfWnxMWFLx25aort21/+IEHI48cbW4yTYyNz0xPz3777cypb08OjjRb7flFSjSxj0bFiiQZqlIt&#10;myCKMWgJOiKGPA0wMVwyMKFdj2iTkVLSDOhx8Avhypq6RpPF3GprsTlsTg9g56bdnSAv6hFTc2t9&#10;owl4TU5Ng7qMio3PySvE9vS9W3JMOjbgZ3WVIKqsogJqcUaNtiI3vxDRS01Lh1iu0Tewab9RVqle&#10;Jt0FC3fnfCn7TyMsLeykVJP/ZmbnZud6OrtqKirfefMtOvEraW+uX70WsujP99wbdSSiUqs7fvw4&#10;toV6YoX8LPnCGMoRFktcKexnEhbpj42RdFNTU7gjiMwH77x32823MA27YQ25ZSHLVwCye3fvefmF&#10;F7PSMx2t1t7u3onp2YnpuZHxqe5jx+sMxoysnAOHjsbEJ2Zm5wBMkF2sF3KRL8xep6/8xXyesP43&#10;AtCib3W4AFlTs7W0vLKoRC3JkMHTZdmAplJdVl5ZXWdoBD1NLVaAVd/QhJZ7oVKVmZ2LZjv7fKxI&#10;kg6ZifqGHJBeFMQvEoGc5ac76wWmtRSJIWosEBbtg9r6BsSwVFdZa2ik3HczwjLnCHsROcskZ0VY&#10;WtKJsfDc9Mz0+ISlyZTCFzz56GPAa/Ay0thcFRq2lfTAPluuKfU4XePj4wAc2wt2lnxhDOUIiyWu&#10;FPYzCYtDBc578uRJi8UiThU9+ejjl67fwGRsWBBuXHjwsuVY3nHrbZ9+9HFJUbHH5QaRcRakOdKw&#10;q6urrKwsNTU1JiaGz+fn5+dXVVXhUOCC00MnUqHlH2qRIoCMSfLQd5ngyFgLs92v4oghC0CcNjSZ&#10;K6prs+UFaekyqEUsAVnAVKPVaSuq6Ycaq8DcvEIFEBzPI5MWRsbEpaZJoXkv9KvDKIcUtTbIaquD&#10;fEt80QacX0T+0wiLUhoo1SDs0Ml+ZVHxx+9/cMett0MEha4IQlmFILru6r1Y2WKyDA+QHliUz8Be&#10;ZwkFdiKOsFjiSmHnkbCIQ09Pj65M+/Ybb5LJ0cPCyb2jkIWjpkQFue+Pt371r8912nLgGNvD0AQZ&#10;GxtzuVzl5eVisTg2NjYxMVEikRQVkelgIPrQuAZVkZNoNmIPi8hLTfS9pl9Hw57u0JudPccQPbvL&#10;Ax1qNLdU1epVpeQT38zRPAd2s+X5ELbJqeLYBF5EdCwcsl0olhYpVRC2oN6iw55fZ4/XkJ4Oj8/p&#10;JV9KX7QB5xeR/wTCooyxlj7CWKLEHu/t4yfyHrr/gR2Xb0PhDA8mBXXntu1/fejhxNi4vu6euVlC&#10;t8BebEcW+HHDwbElR1gscaWw80hYBBANj8N5eP/BG6+9btP6Davp99WDLlmOJevqwcq/P/Z4UmJi&#10;XV3d4OAgtkcaQs8ODAx4PB61Wi0UCgHZ+Ph4SFqASVdVi6a3i76JQIcTdSDgl7S093ApEJZKaT/u&#10;aYCMHABq0SqvqW9Qa3XygmJJRhYkbVKyMI582ZtMmH0kMiY6LkEkSVeoSuvpYzHsuOjI59dBWNoI&#10;IIWTtgCW4ng4zs/SWc7/94RFYQ6UUoQBzZmp6a62jq+/+PLaq/fS75SEQA2tW7X6jttu//TDjxQF&#10;RSMDg2RemJ9Cw4CxvTjCYokrhf1MwjJjh8Jhcfv6enrTxWlPPvr43j1XrV21GmyFhyxfER4SCsKu&#10;CV9103U3PPf0sxCqODXSHHhFMiL+Q0NDVqtVq9VmZGQkJCTExcUJhKKMrBwowfpGU6vDxQZvstdD&#10;O7rJSH6GtoXZ7ldxSivWZcE4S1YiDJHYYndW1dbnF5E+AX6K6Gh07DcHjxw4HBEVG5+UnJqRnVtC&#10;ptwGXskTpwt6LYz+tFj6WwNLc8Qx52fpZ0tYGCufCKCIknE/x0+YG41v/eONrZs2rwwNg3rFcvPG&#10;S59+4kmpSNxiMk+NT85NATXnYjgFzsURFkuS6D+bsGxLLHFM0hKZJfNMVukqDn1z4ME//RkVZPDy&#10;FavDwilng1hbZP3qtYAvkr2kpKSjo2N0dJTti/Tv7+/3+Xw1NTUymSw5ORkSL57HF0ky8ouUFdV1&#10;RnNzq92FRi5YRjhLB+1fUCqdvTNmoQ6wu702pxveYnPQ0QJNpeWV7Ak+63U9hH+kZ0CSV6iorNXj&#10;oqBeGV4vqKhEgfQ7jS2J8BKQ/5yfs/8EwgYMxQzlzeVwqIqVTz/5dygg8rRkRRBk7OWbt4K5FWXa&#10;4z29czOzsxxhlwZhccvYxliy1BsfHfM4XfLsnJeeex53MOiSZayvgBCWjCsgy62bttxzzz1fffUV&#10;INvb24sdWeIzMdvV1aXX68vKyAer0ayOTxJA7qXLsguKS9DoNlparA43gaz/LalfHxPQqi5vu8Pt&#10;bbE5G5osdYbG6rp6dVk5e5VWJEnnp6TSl4OT6PwAskKFChVGo8nSaneiwgBbWQm5oISlTt80o2GU&#10;TG5+2IvafwJhWdFCAOUTTcWqioojBw4+/MCDKJ+r0LJctnztylU7t23/7ONPrJbmqbGJ2ckpMs3o&#10;ORmjAEdYLHGlsPPSS7DQ5qZnxkdGnVb7Jx98uHnDpWBrGFohIaHf89DQ7du3P/zww4cPHzYajWxq&#10;NKQ/zosAqD04OIiLKi2vSE4Vs6ftZJx8sjCvSFGmq2qg38IibKKijI0rCIhZ5Dk4OII8h5WUX2QS&#10;LHCQOFWL+Cvdy7+S7u4nNdN32IXtSA8IEpEPbWF7Mjfr/Omwo9Pb5qCjXKFY0divqq1HnIvJl7oL&#10;2RSCB49E7j905OCRiCORMcBrVm4eNqhvJN0COAI7I+ecn42zjE0703vb6ZeBkI3ZCGvkWGTOf0NY&#10;lC6UMTKmUi5/7+137rp935rwVSiNUD3bLrv83jvvjo+ObfN4IWBPzdJvzJyT4Vw4EUdYLHGlsPNO&#10;2FNoYUxOdba1H95/4Opdey5dtx7V5PfwGhIKGbt+/fo9e/Y8++yzWVlZC79PQSN1ampqqq+vD1kH&#10;MFKVlmdm5/IEQuhZiNnUNKksJy+/WKkq1VbU1BnQzLba0TZnwKKPv0gfAglTFCLnwfGTQZPBcZ7L&#10;5E9w5FTkWrYx/graIsvOa2R/zqYHpA+IaG9Aq8NlNLfU1jegpV+mqyxUlCCSIjqheEISGeJKOwQi&#10;j0bH8oWizGw5NtBoK6pq9RC5wDGOw47JOedn6SwfBhxrkG+Rk5FFO7rJOJYzExalHcb0C5adnZ2J&#10;8fGPPPgQCueq0HD2eOSm665/9aWX5VnZx3uPgV9kjtFzJQDOhRNxhMUSVwo774QlX+KaO9V//ERK&#10;kuD++/509a7d61evOZ2wK1euXL169Y033vjJJ5/gErxeL3t5BHeB9TwgMDw20XdyEDirrNGDX2hr&#10;Hzh8FB4RHRuXyEfrW15QXKqrRKvcSGc+tbu81D0ALtrsZEySp40NTiLuhpP1bKASDkv+5Ca74E/Y&#10;0r872Yb8xAYI+A/o8kA1A+XmFpup2Qqq6xuMaOmry3RKdSmUqZBMnp0UER13OCL6wOEISNdvDh7+&#10;5uARSG+pLLukVAuymlttNqcbJ4W76PQLC8sP55z/uH8frERAsNE1jLAIT06fibBMvaJQIYySjwL/&#10;+Wf/2rv7qk3rN6AokgZmaNj99/7p68+/rNSWDxw/QQQsR9ilrWFxd4YHh4ryCv75xpt377sDMnYh&#10;XsltpZ+oAGS3bNly3333ffHFF3q9/sSJE0hP5ASWGWC4H2OT0ycGhlBR1zUYZTlywOvrA4cA2cMR&#10;5HlRcmpauiwbgMvKzUfDvFCpguAt01XpqmqgFqFv0XKHZmwwWQBEMA6KGHAEJaEiWygxISihgulf&#10;ycbYAJtBmdboDTgCjlNaXqkqI8Na84sU2fJ8gB6CFIG8wuKCYmWhQlWkVMly86CsE5IEiFJUbPwR&#10;qNeIKBD2q/2HDh2Ngu5GzKFz2RuxpMOhvZMbjsr5T3WCV/r5S9b9xVpjcEZYoPbMhGXv9qBQodhj&#10;iQbjW/94g70RBA9ZHrR21epn//5UanKKrbl1dGiYFWAyl/M5GWMoR1gscaWwC6Fhv52ZHR8Zra+p&#10;5cXF//2xJ7Zs3LSIsKFBwbCwsDBAFqd+4IEH+Hy+xWIZHBwMxI3cDjp3wejE1PH+Qai/4hJNZEzc&#10;kcgYtMGhYeGJ/OSkZCFPkAL9GJtIniNBS0ozs3LyCoE/qEtVqRbMRftcXVYO12h1Af5W1xkqa+q0&#10;ldVYic3YNghgryKluqC4BAIZJM3IypVkZKH5j8Y+mv84UTxPIMBpMnCWApwFhMUyW14A1rP3uHgC&#10;YXRc4pHI6P2Hjuw/RBR3PI+fLssp0ZQBsoHuY/iiIsQ55z/i/ucBVLqiDYTaGhmJNcXcbVjTNjk9&#10;fQbCoiCx4oRGIsp2ZWXlC88+tzp8ZdAly0DY4GXLN6xZ+/Y/3lArS070HiPfPqBfIiGcPSdjDOUI&#10;iyWuFHb+CUvvzuTomNNqVxQWvfna61ds2bqIsKTuDAkJCgoKDQ1dvXr1rl273njjDZFIBMiywVuI&#10;AKrbyZlZ3O2B4VGb01NRXSvNzKa0EoBWICCACxoWl6gLFCX5Rcq8QgV0JV0q8ouV+CugCahhg0JF&#10;CeMmAtgRS2ARsrSI/ml+jRrbKOAqckzIYbYZwjgUZa4SzM3NL8L22LK0vEJXVUtJXV9VW4/oAdza&#10;iiocAdvIcvLS0jPpEAIeVC0qBlQGkgwZ/gqBDAUNvHKP8jn/Sb6AsASvdvL2oAN1dn1jE1ppjebm&#10;wZGxHyQsUAX94vF4MjIyUM5R6ojGCQ1dvmz5mjVrPv/XvxwOx8T4OKjwUzm4yNi+HGGxxJXCLlA/&#10;7PTk1InePnOj8dOPPt5xxbbgZSvYTIbUQ8nnLOnssRCzIctXXLp+/a033fz6K6+S6Q37js9MTRNM&#10;z6JNMzc5OdPXd7KqsjYhMSkyIiY6Oi4jI6u2tt5mxU3zut1tbg95mt/qcFlabchkyG219Y1EnFZU&#10;UUFaBhqCswiAlaylD/UpycySyrJZDwO4DJKyzUogZqnsVZfpKENrAETa22A2t1iho+f7dttc/kEI&#10;HWis4afD7bXSOGBLRABnxwEhclPTpIAr7Z+Nikng8VNEOfmFjaZmOrahg8pY9gyNjVvgnn1d7E77&#10;Sf1jUbq8bR0oX7D2jo7Ozq5uWE8PW9PW3o6VWIv1PmpYQzaiW2GJMNYwZ1sy97W1OZ2u1tZWs9lS&#10;WVlVWlqqUquLFQq1WjM0PHzmJ11YAlUnTpxoaGiIiYm5//77w8PDQdhVq1YBtdu2bTty5Aj7mizb&#10;8idxcJGxfTnCYokrheFen/9egrlTs1Mz4yNj7R7vof0Hrt69ByRlk0uE0fkldl6xfdtll5PxzkHB&#10;gO+q0DDo3Dtuve3IgUNVuoqezi7SWJmZxa3uPznkcbeVKDUx0fHxcTypJFOj1rY027zedp8P2bez&#10;neRpMiQQjGuxOy2tdmDO1NwK0tXoG+DgHeuERQCSU1tZDXTOdxpUlFVUAcfAKNuAuKGxzkB2IZ22&#10;9MM2rNPW5vIAqQyFdMRMD8AK7GJHiFkcClJ3XguXMSEMoMty5CJpBsQsVbLxUbEJQrEUgrfV7nK4&#10;fYg2e3ZBRy9wU1td9I47SG8ic6zpIghdYF3zhjCYthC2Cw3ABVhQrltaWsxms8lkamxsrKur0+l0&#10;arW6hJqKWnFxMftZVlaGknsGwjID3Xp6ehQKxUcffXT77bf7v1q6Zs2OHTv27duXkpJy7NixgNoF&#10;IAIPQ36qMYZyhMUSVwo7/4Qll08mSJubmR0ZGEyKT/jjjTevW7V6Je1+BWd3XH7FfXffc++dd20H&#10;ZFeuovPCkFkLrty248nHHo+JjGrUG8ZHRqFhpyZnOzt6DPXGLFluTEx8Wlq6rrzK1NQM5ra3d7X5&#10;OgOEBZ6gJaErQT00oIBCp4cNA/CyB/e0YUVWApQQmwHHT5CObYAAc2xGHMchD2rJMFgy6tA/tIu0&#10;0bz0Ey/gOERuUYk6LT0zRZTGEwhBUoSz5PnygqL8IiUgq1BpCopLcvIKRZL0RH4ymeolgQdtC/Q3&#10;W+04CCuNjLALyyrnF6X7h1L1dpAXu3s7EJg3YJRZ4CfDa8BAVa/Xi3Y8kOJyuVCowdb6+vrKykqt&#10;VguwFhQUoIkvFAqTk5NFIhHCDK/l5eXV1dW1tbVDQ0NnJiwKPAxcF4vFL7zwAlAFwgYFBYGwN954&#10;I4p9Tk4OewYCY4TF0r/zTzTsC3xwhMUSVwrDrT3//bBIAdJjPjczMSlJFT1w35+2bWUwDQ5ZHrR3&#10;z1XPPvX0c089/ccbb4J0BVtDVwSvCg3fuG79NVdd/ezfn5aKxF6Xe2RwCDfE7fZpyypEqZL4eF5u&#10;bj7w6kRD3dfR3tYFB3/b6bCVgNMHrKS5TVtqJNMjxyOvU9VJhOfpTksF+Sv2Cqxh4CPHoSWHjY8B&#10;BHEKUBvStbquvkSjzS0oysyWSzOzM7JyANa8QoVSXaou02m0uvLKmhoijY0QyBXVdWW6KmA3kZ8C&#10;JctPEQG7EL84FI0kqSE4wv4W3J+paGYjhO0JUJVpWFgArwGYQqgGVGpVVRWIibY/06pKpRK6E0tm&#10;RdSwBn8FdtHox45WqxWHcjgco6OjZyYs0IYlTnnkyJH7779/586dISEhK1asAGHvvffet956C2IY&#10;xR5cwJaMg2yXczDsC3xwhMUSVwo7/4SdO0VSgL4YAiWbl53zwjPP3nDtdRvWrIVcZYR94dnn3nj1&#10;tacef+Ku2/dtvXQTmxcmnE6yfvP1N370/gcaZUmHr218fKq52VpUpExOTk3iJSsVapvN6fW0+7yE&#10;sB0d3V2dvW30ZVOmLileqfsf1hMmMqfr2TCXH3LyCgCjMIoK9sVKD50ehbLP/5IYTtRic2grqzOy&#10;cqFbhWKJWJpZpqus0RtMzaSjFt5qd1mdboebzTZA1K6djLr1ALhZuXlQsmxKrfLKamzJzhuI6veK&#10;K+cXm7N6muUcmicZYL9nICzkKpgDsDY1NRkMBiAVxARGsrKyoDIFAkFsbGxMTExSUpJUKoV01Wg0&#10;FRUVer2+ubkZ+/b19Q0MDECxoqiCqmNjY2jTM0L+GGHB8vfffx/Uu/TSSyFgQdj169c//vjj+/fv&#10;B9pxIBwFW2KJ8s/1EixZwrIBy1iSwOycVq35+P0P7tp3x8a168ODyRt6e3Ze+ezfn/rkgw+PHDj0&#10;0Xvv33rTzavDoG/DySRqoeGXb9kKzYs/6cq0vb3Ha2r02VlygUCYLEjVqLWkf2BevQKvgCwIS/n4&#10;PQ/QCksgjJHu3zrTHQsJS7nciTJDIEjfUAQooT2LlGqxNAOUzM0vhFw1GMkUAyApAzR2pIWNaGc6&#10;YIBoYfxssrQqVJrUNGkknVgLUhewpoTtJafjCHvRO5n1DQHkEyd9mcXmcKGosr5USFQgEihDqx8G&#10;qpaVlQGdkI/QpGjvw6BPARNYfn4+wAoNC7BCqLa2toJRoDPYiuIJUgVKKMoyK84MX2d+0gXDnxEP&#10;wO6yyy5bvXo107BALTgIqIPcjNAMsrBzRgAOgn05wmKJK4VdEMLi8LNEyU5NTNZWVh89dPgvDz68&#10;cd16MolPcMiOy6948E/3f/35F1p1KRTuk48+vnnjpevIe19hkLFrwldevnkLto+LioZiLSvVZWZk&#10;A69isRRhMsdfezdzQJb1EgSyOFWChKqBNXQlAeWCn2TNAvfPhAIHBOGnb0nZR76a5fS2NZos6rLy&#10;zGy5JENWRKbNNrY6XMAuStTCs5zuOA62LK+syckrjInnRccnAtOQvRTiFOW0K3nRXpyfF2e3kiY1&#10;m7g94OT+zt/37249vSPkT/Nr6FB/OuQDztaTXfzj/+cbT6xSn6+JUX2i4q2vr6+urgZMQc+cnJzM&#10;zEwoUxifz09NTU1PT8dK8BR4RasfehYwBVK6uroA0+PHj/f390OrMqGKMj41NbUIUwiw4sxWnoGw&#10;2AFLoAqEffnll6Fbw6hBxm7evBn4A+Ahb1mxh2F7bMz2PQdj8eAIiyVJzQvTD4sUIH7q2+nxSaOh&#10;IZnHf+bJv2/esJH1BiBw8w03fv7Jp5Ymk6mh8eA3+/909z07r9gOeRu8bMXK0LBVoWFX7dr92kuv&#10;ZKRnSdIy0sTpQqFYKs3UllW4XT6mYYm3037Y+VJxIRzlB4UTBQblrbOnD439yhp9XmFxRlYuQMm+&#10;J3aWWETVgE2hf0s02oSk5KNRsfKC4oYmCxu2hYPgRBxhL4RTvH5H2IVhOG3Lz/cyza/0M5did56k&#10;/pqY3SZkQzI+z+lutpI5KpssLXDUvnUGY1VtPerRMl1laXmFVlcJtqrVataFCpKitKKIwYAgrIGG&#10;raqqqqmpAYihI71e77FjxwbpzPRQkz8JR8zOQFj2ThdQhROAeuHh4VCvIGxwcPAVV1zxwQcfQFd3&#10;d3ePj48THrApujkNu+T7YRlhv52dc1htOZky4BLKlIwlCCIPtXZcse2fb7xpajB2eNtqq6ojjxy9&#10;a98dYUEhdOQW+fbMxrXrbrv5j88+88Jnn37BT0oR8IUpySK1qszl8jIBS8YSgEe+Tt8FphKa+fNK&#10;p7fF5tRoKyBg84uUKEUoVJCuC7XPjzgruthFW1nNF4qORsXk5BUAuDiCi3xc1j8B3aK9OP85TitI&#10;UkfON1P80CRq1K89yRCR+e0X3key2cI1bIQJ6kK0Y6wOF5v5t7rOoK2oRpVZqChBvZstL0DLBs2t&#10;hCQBT0A+bZmRlYPGPvBaWloKkgKjaPKDNoAGyl1PTw9TqbCBgYHh4WEIVfAQVDk3vMLOQFh2OJyg&#10;oqLi0UcfZf0D4CwCO3fuPHDgABOwIAg7H06M7c8ZASzeHGGxxJXCLhRh6ajYUzOzbW5PSVHxO2+9&#10;vW3rZWCof0js2nUvPvtcc5NpuH+gr6e3VKV+9cWX9u6+av2atavCwsODQwDZ7Zddfv11Nz377AsH&#10;Dhw+ciQyOiquqFDpdHiYemWEJU+9LjxhUSBpEe0xt9iKSzQiSYZCXWowmuk0tSifC0vmDzot0l2m&#10;ZquuqkYgFEPDnomwnIa9AE4FKekT7zkWUKNYBjZgfeVEmdJJftHAx51ttbuarXbcryZLa6Op2WA0&#10;6RuMNXpDRU2droq8v4cqVltRpS4rL6YD8uhbhcVZuXlo36TLcmQ5eXmFCoWKSFRoxKamJpRZSNSO&#10;jg5IVLT6QVKGUdjpxY0Wze9WLvr5I3YGwuI00Kc4t1wuv++++wKEDQ0N3b17d1xc3IkTJ7ANjJ0D&#10;SxYttvtPNXY9HGGxxJXCLhBhyViCmdm56Znu9s6aisrPPvp429bLgVcyZiAkdN3qNc8//Yy9pXV6&#10;YnJybNxls/MTeS8+9/w1e65aE74Km7G3pTdt2rpv310vvfTqe+99ePDAkcIChbXV4UH17+skMrat&#10;6xcgLMrefGnsgXIpUqpSRJKCYmWtoZER9iyxCDHl9rUDqapSLU+QEhkbn1+kQLsSBZv2EhDCcr0E&#10;59np4BAECFWJf+8TxfjJNsMdRCVnI01+MhMQeMpgSt6BVpUClGTSiawcsTQDVSPEaXJqWlp6JpuV&#10;AjWuukwH5tbWk6+1t5APpHtc/g/Rk4Oj1Q+hevLkyYXdqQtb4QgAbiiSzE4veljD/uT//aN25n5Y&#10;nNtqtWZkZNxzzz2sf2DVqlUgLMp8cnIy4sS2xJnY6dkp2cqfatgRu3OExRJXCjvvhD01PUNenGXT&#10;+J76FirVamk+cuAQ7WldAXEaHhy6dtXqp594sqFOPzY0MjM5NdQ/0FhvEPKTH/3LX7dddvm6VasB&#10;WbJl2OrLtm7bd/tdTz/13GeffZGRnmU0mh12N8Da0dHd2dkDyLZdyJZ1oDQiDB0ERVNcohaKpemy&#10;bFVpOdQNazwu3OWHHBoWZQ+Nyuy8gui4xNgEXommDEUah2WFH8KKvoCweEfOz9lZPwB9hZ/0mZLZ&#10;1GwOS6vd3GI1WloaTBY0RNDYR7VHP0thqKzRg5UQp1CmJaVa+raIUl5QBJiKpZmpaVKhWIIl7j7W&#10;ICdgM2xcZzBaWnFvfV29fUOjE6MT01NzZPaUWSI2/HCEBcoUCzNjf2IKEhb4E9sSxrZhf/Kv+lE7&#10;M2Ehm1tbWzMzM0FYgBWEhYaF7d27F4SdmJhgWwbOzc7KVv5UY9fAERZLXCnsvBN2bmaWdBGw5alv&#10;AdCu9o746Jhd23eQJ130s0AQqn99+C/FhUU9Xd1T4xNQssd6evW1dR++98Edt91++datK8PI99nC&#10;wlauXr32yit3/+lP97/55tsJ8byqqhprq93rbW9r62hv7wSQfBeyZQ22MshSvdODgoRCBf3CxmlV&#10;19XTTy2QCQmxMZUt3ymjhWuYt9icKLQiSUZUbEIiP1mjrbA6XORBCj0REPx7JCyE3mKntSaWxMma&#10;dlRvnV0L3L+mDU62IXkATtaQcAeWWI+A29vm8nitdqelpdVoMtc3NNbq6yuqarS6SiXoWVScI8/P&#10;zMoWS6RwkFOakZkhy5Zl5+JPRcoSdRlUbDV2qW8wGk0Wc3Nrq83h8vjoubo7e3q7e/t6+04cPznQ&#10;P4SiOT46Pjk+OT0xNTM9O/cjhKXF7rv1zAJ/XWRsy59FWFh/f39TU5NUKr3rrrtWrFgREhICJQv2&#10;3X777UKhMEDY82LsYjjCYokrhZ3/XgLs+n0fONnPT0gEYYHXsOCQoEuWrw5fef/996PVgtRD0wmn&#10;Q0p2d3eLxeK33noL92XlypWoaJENkBnWrVu3e/fuv/zlL19++SWiV1dX53K5sKPX60XkSYlaVGjP&#10;o3eRj8e4vKTRB4xCqKD9WKRUZ2TlgrN5hcX0+4wtIC+ah612F3vjwOpwQ9vaXR4adpEXEBykUw9y&#10;B/InnsdPFKTIcvLwE+tZJwOWxMlZTovDb9rbO7rRHFnopJN9vqudPdXsQGCBsTejfPPvmKLwOhwO&#10;FAEE0BRubgYIWxEwm80NDQ0GgwEZprq6WqfTBcafKpXKgoICQEAmk6Wnp4uogT/IXWzgFHsPlQ1E&#10;RU5jA1EhBNkk8bTcEPNn+KVkZybsyZMna2treTzebbfdBsJCxq5atWrnzp0PPfRQTk4OLsm/3fkw&#10;jrCwX5iwg/0DAl7S7h07QdhwOjvBujVr//SnP0kkEqT88PAwbvHU1NTY2BgyNO74E088gfisXr2a&#10;EZbNcIjoPf3005GRkQqFApsh2l10GiIiWE4rt+fRWTMThIXYhFxttjrQtFSoSiUZWcI0aWpaulia&#10;kZNXqFSXVlTX1tY3QNiWV1azWQ1r9PhpwHpoobxCBdQrGQkbl4h9y3RVJvLlXA/pEJwnLOX44gj8&#10;tv10wsLJIDz6JNPn60B7hXYKLTYGUygzNuC0oqICAGXoRIlANgYxUWGnpaWhIkemKioqwl+BVzUa&#10;92Vl2AU7mkwmi8XCoAxMg9cAN6y3txdIPXHixMJXp1DEGF79+XxJ2pkJi4tB3XLw4MEbb7wxKIhM&#10;zowStXfv3r///e9Il/N7VRxhYb8wYYf6B1KS+Fft2s26CODr16y95557UlNTUU6QiRlhkf6gLdYc&#10;OnQI/N2yZQsyAwyEBWc3bNiANs0///lPNGugSnDL6CuI7d62C9iyZi136EzaFUum5nTSmRKraush&#10;YCUZMr5QFM8TIJBNOuY0Ktp/hwAQXKIpU5WWk0clZIatPDa91pHI6NjEpGx5fp2hsdXuBLtxFvaM&#10;C77w1L8TP7OGpXglQ/G8lLBkHjWiWHHTkfNbWlrAxMbGRsZW6E3QA/REMZTL5ZClqLmRSfh8fmCG&#10;FJQRVMwAa2VlJfYCl1FkkPOPHTsGecfoieyHfIgSjazoz8kLDH8KlC9WcGDs55KyMxAWEUWNgdT5&#10;9NNPr7vuOuAVhQoa9pprroFmgWJnV+7f+mcbYyhHWCxxpbBfhrCpySnX771mVVh48PIVQcuWr129&#10;hhEWpaW/vx/3l91lZG4Ih9LS0gMHDrAuI9ZrxHoMduzYAfJ++OGHWVlZer3e5XKBsG0XspcAhIWG&#10;ZW8csEfDgCyYiyZ/faMJQrW0vAIMLVKqi8iM3SoEgFc4JC0cK3PzC6FYk1PTImPij0aRrzOkZciw&#10;F7QwwI2DA9yQrgjgyAtP/TvxM2hYNt55/r0SMibP28aQCj6WlJSg8GZmZmIJnqLoga0gLBtwiqYw&#10;AGowGNDAB0aZOEVhQVaBPkVW7+zsBG2OHz8eGH+Khn+g4DMLhP35mRpbwwwbsG38f1tKdgbColzh&#10;mpFY7733HpDHihMIe/XVVz/55JNIQXb9/q1/trGk4QiLJa4U9gsQdnhwKCNNsu+Pt25av3FlSGjQ&#10;JcvWrloVICzyOkt2LGG4ELQBIUzeffddIJW948fq3bVr1+7cufPRRx89evQoGoMoQiBsx2mF9jw6&#10;2Mce9AO1tCHvb8XTMBllZXW4zS3WBTPPVsLLdFVgKDSsvKAI8pZ9VCYiOjY2IUmcnon1RnOzp51N&#10;+MKkcYCwZzW09rfkpxMWitXl9NrtrtZWu8XSajKBrU06nQ4YRYuWNf+hTCFUwdn8/HysB3nRrAFM&#10;QVIwtKenB/U0lCmKJwp1wICagLHMxmzhGlomvjO2Eub//X3zZ/ilZGcgLK4cKQLkoURBw6JJyPrd&#10;QNgnnngCKYjL8296PowlFkdYLEke+UUIOzo8Is/Kvv/e+3ZcfsWalauCl61Yu2r1fffdh3KCUsHm&#10;pcQZ2RJ3YWhoCHckLi7ukUce2bt3L8CKeheEXblyZXh4ONL5lVdeiYiIQN5AubLayRdZUFYpDX/Q&#10;F5bqs3e6I33Wv0BmMryyMQAOt9fSam+xkZm/Tc2tjWwAkNGkrahWqEtlOXKBUBQVm3DoaFQ8j5+W&#10;LisqUdfS/gF2KOoBwvrPtQSdDtFfnKTUv7dNIOxf4x+Fusi/vzt7okXZyvoHHA63sdFcV2uo0FVr&#10;1NriopKCgmJUqGzKPlS97DVTC+g733mKirarqwvKFDkHspR1m7Ih/QvR6c+f84Y1zAJhtn6hYUd2&#10;kDP+dQnamfthQdicnJz3338/QFjWS/DMM88AH6CYf7vzYSytOcJiiSuF/RKEHRouKVY89/Qze3fv&#10;AWFDlgetW7OWEdZqtQYIi3yMvRGGnTx5Uq/Xx8bGPv7445dddhk07LJly5YvX468sWXLlltvvfXF&#10;F1+MiYmBqNHXN9icHgDL09YJ3jk95KkUgyB7zRw/F5X8s3d6WMI+chD6ahCgwF7BohsAiMTxVzf9&#10;qIzD7aMvqltr9IZilSZFJDkaFXMkEhLW/yXEBvIlxDZ6wO+daCk7IyPizBI5MIvCgjejSAqgEsIy&#10;sIalFXPaAiBOwnRCSBzERWY973C5vW6Xz+tpx9JmdZpNLfX6Rm1ZRX5ekUyWky6VQa2mJKdmZGQA&#10;stCqaPRApSJ7oLQusp+VaX8rxhH290nYERD2+aefvfaqvetWrYGGBWd/iLA0UqdwOVAlgOyXX375&#10;xz/+cdOmTWz8Fuuj37Fjxz333INrj4qKyszKRsMcTXWAD4ybZ9935byju7ez59iClT/ZKSYYPii7&#10;/RwhBGEIxlmwtDndjabm8sqa/CKlNDMriT7aggvFkvwiha6qtqHJjMoAePIj+/tnWbIeuPZ5x0qk&#10;6jH6uhTDKAXoGTajuzP3pyFZgy1RzUD4G83NqCCrqmpLS8sVxSqiVfOLiwqVSoW6hHSuaiFj9fqG&#10;piYzwAq5Cq3a19cHoRqYpWSRsQz4ezaOsL9Hwo4MDSsLi5596ulrr967fvXaoGXLV4aFn07YwEnx&#10;kxkyRmZm5gsvvIA7tXbtWkbYkJCQ9evX79mz589//vM777wTERWN1neZrrLJ0mJ1uAFZVqpp8WYQ&#10;JFhkpf2nOvYFEBc502KQtGwDHBza2dxiq6zRK9SlmdnyeJ7gwOGjX35z4JuDhxOSBEVKtcEItpK4&#10;gTLsmAgsPNFS9kXEZFqerg9wk1wUSe151Q9xSqXuvNPGBJx9wsfSam80WeinH2qVJerc3Py0tHQ+&#10;PyUxgc9LFIhSJYUFCrDVaDQ7nZ6B/uGZafKIH4YSSpvsZzv8/ndoHGF/l0+6BgYL5HlP/O3RPTt3&#10;gbDBIGxo2CLC+nelRksT+VYQpAo2SEtLe+6557Zv3x4eHh4WFraCTr0GVXv11Vc//vjjn3z6r+i4&#10;BGlmtkKlqaiuMzW30iFQ5IX0wIweDLvn4FBblA4EInQNnYebfg2s1e5qsrRCYFXrDeB7cYlakiGD&#10;XOULRQePRL734cfvfvDRF98cYN89BFbQNGYwovQBaukEo98/3dJ0RlJSl/hRSyoVkibkr4S2LKnp&#10;NmTyFCf5QpoHap2+Z+GAUKVz+pEXUtVaHXvTn37HTIG6R1miUalKIVfLtZWganVVXb2+saXZ5vN2&#10;9HT3nTwxODU5i9K0MHsgYwQyDGeLjCPs75Gwg/0D2ZmyB/98/xVbL1sTTvphV4evPJ2wOCnkCVsy&#10;wmKJv5pMpsjIyLvuuovNzr58+XKIWdAWqvaWW2554aWXP/nXFxHRsQKhKCs3r7S8ggpGD4o64ywF&#10;2TmyjGk0gANMBLjBDvqylpeN1tJWVIERuflFPEFKoiAlMiYuLpGPMNTrM8+/+OIrr3/yry8lGVl1&#10;DUantw0HYcqaSjzyzdqFJ1rijpijpmEfmqSd3T6aIP40YY6aA5eJlG+xOaDoTc1WfYOxuq6+TFeF&#10;yg9Ixd1JTZOmiNJwp1LEknRZjryguLy8Uq9vaG2xo1Y83tc/NDg6OjI+OTE1NTkzPYVsMItCOTNN&#10;MmrAkDFYhuHsdOMI+3sk7MDJ/gyJ9J477ty0YeOq0PDQFcGBsQQLCYslroLFirUEEcBNOXHihEaj&#10;+eCDD/785z8jniyHwJYtWwZh+9Ajf6Es++JwZHRSSmq2PF9Vqq1CExQK0+5CsacKdDEyztJBQyAV&#10;x4E0NhhNtfWNkMklGvJOAZCRLssGKZKShQlJySJJOnuPtqC4JJ7Hv/fPD/71sSehZLFNo6kZOhqU&#10;7+g+Bkd8gCcasYsJsrgEYNTmdLfYnNTJA735aagaKmv15VU1gKmqtByJQ2fzU5RoypRqOBkaDMjS&#10;gcMqiH1sAz2Lige7OxweJlcHB0YmJ2bIV4rnvp2ZnoN0nZslmQdFiXxY8zRjeY2zRXYGwiKxWHfb&#10;P//5T0Aq8KLk7t27GWG5eQkuMsLi8unUhQiQEjI9c/LY8aSExD07r2QTa0HDrlm5+t577xUIBBaL&#10;hY2HReL7d19gLBrj4+O9vb1VVVUffvghcsWaNWsgYJFDkE/WrVt35ZVXPvzww1988UVUVFRERER8&#10;fHxqaqpMJgOUzWYzm5ET5vP5cKVIN9zrrq4uNr6HvdiO9fiJ++hp6/O19/s6O3xdLm+XzekjUw0Y&#10;Ta7aWkdpWUOxQpslz0xNE8bHJh89EhcdxYuOSvzyiwNxsTyhUFxcpKivr0eFgahmZ8vuuOMOyAUk&#10;bEpKSk1NDc4eMJyOGc5OTurxIMD+RIb3Uvv/s3cWcFls+/rf5977P+fe02ef2NtE6ZKQ7m4kVUK6&#10;u0QE6e4yQMHC7kTEbgW7A6XBVkClxPg/a9bLuxHdim7dxp7n8/sM6x2mZ63vPGvNzBry4n2/OFO/&#10;KjoNhpgLC6Fj3im64wPXhXmRRoIuDSOxPRhJRf9FtxPH7fLly/Rlf+xpVVXVwYMHd+3atXXr1vXr&#10;169Zs2b16tVLliyZP39+SUkJhji5KNSbN2/esWPHoUOHTp48iXmxnSjsDx8+fPLkCco1ziwupfRc&#10;s/ooegNhcYipScnNzUW+pITFECXH3d0dKAQ7OJN+DFGGsoTFEHsKIdN/dA/LISzTt9aLZ8/hYRfN&#10;XwDC0p5feEaOEuInXxEGfS5evIjyhu1548bTkb29vdgknCMUYF9fX11dXXrXC/kEtAVkdXR0QkND&#10;s7KyULAxTWlp6YIFC1auXFleXr53797Dhw8fZXTu3LmzZ8+ePn0aCQypzpw5A8pDQMCxqvOHj50/&#10;VHX0UNW+/cd27ty3czts1/bDGzcfXrVmZ9my9SWLSubMK5pZMC8pMTNmRvLsWSXLl63Zu/fgsWPV&#10;ly9fAaSAj45HHZu3bDI0NFRQUPDy8kpPT8eW7N69G1tCtW/fvv379wNP9LlOCLSqrq4+fvw4yIVt&#10;gwAjiG4YTQ8UfVUJJx3HhKsbQ1BNTQ2lJFaBQwEhTdeCMTgaOAjYDGwMNglHDGQ8wHxZGsUTohuP&#10;MRiCrfQdf5oY+N1pTIkdxLxgMRaLNYLa9OBQtuKE0jMO/aKcxuo1vYGw4FpHRwfOLsrG5MmTKWFh&#10;UmRlZe3s7GBG3via8AeLnlSWsBhiT6FPQlhu/7BYz4uXHW3tZQsXKSsojiUfOOAZM3K0sIAg7fkF&#10;O0IJy5n3VVGDg/8i8ejRI5TYZcuW+fv7S0tLI5NAyC3IKjC22HI4XEpVcLagoKCwsBCuFrSFpV2x&#10;YsXy5cvhp8ACFH5KDYoGyj4MQYfNW3avXb9jxZpVS1cvXrBs7sy5s/Nnzc0rXJyTvzw7rywtuzgl&#10;OzM1OzsxPnNq2Ax/v7DSksVHDlfX1Tbdu/egq6sbmQGmrLe3Z/v2bUZGRsjAMNdhYWHZ2dnYjOJ+&#10;weLB32F74Pvg/gYK2RKoguhWAWRvFNgHCIKGKDUUxxi+U7iWUG4C7jgCOA5YFE3QowE4VlRUoMQh&#10;D2BjsHk42gsXLkS1YC4jHFgcTIzfuHEj8jy2E/PiCoHzgm0AwZGXYOFxQnGyQFKUa5qAXUUpRvlC&#10;LsVR4mY/JH5RTmP1mt5AWBxlFOlLly6hljGQsOPGjTM1NUVGZAn79REWR6CfsMTD3n+woKRUUU4e&#10;bKUfkgFhca6BPKx94LMEg0Q3g9lMcnbu3LkDpuTn5xsbG+PE8fPzI6uMGjVKXFwcVXJXV1fAC5jA&#10;yQUCkJ3gkQEI2gMI4As6rFq1Cv8CPvATKEE1FmPAX4h0xbRsQ2npyllFcwqLCvJmZydnZkXGZYZE&#10;ZAeGzwqcVugRlOIeMiM0OiU2OtXPJ9TO1iUrs2DP7oO1Nxp7usm35iBcCfr6nlZWVqA2pqSkhEpY&#10;fHw8DDX2FMKGUdE3lChJIcp6rjCGaxghOs1A0fFUYBwEaMIzvl2AKebFkgfOiLVAxKAya4SQmbdv&#10;385wfieAi83eynxZGkP8C0vAokBqWF0gG/4U+b+5ufnmzZuoiSLnoETQQ8E9cVxhDI4PRH/ipNM0&#10;OdOsPpLefKers7MTyEB2t7a2poSFBAQENDQ0cNmEL/iIpwHnFUtDLmcJiz2FPgVhSQts/7dkep50&#10;tTQ0zSmcJSctA7byonI/YqQgv4CjoyPKM/wObYx74xoxkntGcHaQT1DTRLGPjIw0MzODk0VuAWFH&#10;jx4tKioK2xgbGwuAovyj5MNYgSk4NSAp6AnMFTGCsc3Ly4PJhZDmGEvGWpYtXlNctCQjOystOy0j&#10;LyU+NSM4IsnRI9rGJXGiU4yOmY+G+RR7z5DY6BQPN38Lc5uQ4GmwsdVVpzqfdNO7McgPT5/2VlRs&#10;gzlQV1eHgQXfUfenX2bGFQLbjwMOu3eFETIezh2EE4qfqK2T5oyjR48wOswIezFI2Cnwjl4qqJCm&#10;7H67MBfoSRmN5YDLWD7lL1aH44ZNPXv2LDYDG1NTU4PNwxD0xMbTXcD5gjNta2t78OABLo208xTk&#10;PQjnETtPzxfETQwSPbOsPpF+lrDgFK6WqDmizHAfLJeTk0ORQC1j6Ox4p+iJR25jCUvy+ycibH/0&#10;dfe23394/eq13Kxs6XHkW7O8PGNGg7B8/LCcKNKooOAY4sgDspzZB4gYnn74YhoI9U3sOyxnaGgo&#10;LsC4DCPDDBs2DBlGQUHB1tY2JycH7ICramhowGlF7RUVaqAEnhFwAW1RZ8dBi46OBmFRW8f+gjs4&#10;hsSpbd21ZPGajKzM2MTYyPjp/lOjbFzCtE191YymqhqHiqo4CatN0pvk4+0Z5Oke4OsTEj0jsSB/&#10;zp7dBx4/6nzOODPsTu/T3m0V5XDZICwOLOCOzcABp/sC4UwBUgAWgAvfR+GFNOrXYBngi+mxj7hI&#10;oGJ38eJFDAcJ/hGHjgtHhsNDEmr09I4TFgKGYi0QIT2Txnrr6uqwDdgSbBIYiu2kzabYbOwCRHaS&#10;0cA0zg43MVADp6FilvGTMIYzKauPpDcTFlc/5DAUAJQQPj6+kSNHYjhmzBiUGZgL2k7HPR/0PNEZ&#10;P0B0OSxhMcSeQh+dsOQeF/MUAeJF3/O7N28fP1aVkpgkK02+hEjvdFHCwjFhSyBagDnzDxDdQmhg&#10;GiUfx3zJkiVWVlZSUlIiIiL0uQJ+fn4JCQlnZ2fwF3hFjoLDAiOo1QLIgLOmpqb8/HwYTG9vb1SP&#10;UE3GlFgg/ltfX3/5wo0d5aTjxJBpoW4+7hZ27ir6jsJy9rwy3vyKfjzyHqMUHUTUpxgbWoaHRa9Y&#10;vm7WzHnpaTnbK3Y9fNhOYYK96O7prmDaYXEBmDZt2sqVK7Fk+i8M6Y7QXabXDGQhrsAylAUInuMt&#10;wh5BMJJUSKOMDEW0YRTnF9ykGrguump6zYPo5tFTQ7f8LXrjBBhJxfk9YAxXnH+w+kh6M2FxUnHi&#10;kd0dHBy4hIWThYfNzc1FBkVWwMmm5+MXnhiaXVjCYkiO46fwsMwjBASyz1886+mtv1G7u3LHjIjp&#10;4yUkx4wcBQ/LP5ZXSkIyICDg3LlzmBzrwvagJNO53ymwAFhBbomLi0OlB5ClDQXgLPysjo5OVFQU&#10;DCmyDaUDhlgFjg8EmMK64kxhT5cvX37q1CksCtPg1ONf9ddb9u48lJeXFxwW4ujuYmTtLKdlzy9j&#10;P1rae4y8/yh5nxGKLvwqDkaGllGRCZs3Vc4tXpiWml2xbefDh23kUDICYbdXVoCwyF2UsIA4/Rdn&#10;B/qFMVj1RxH2cSjirHiAOPO/Va9vOasvVm8mLM49IAtH4+npSQmLooKhjIxMfHw86kSotqB4MLmU&#10;I86c7y+aY1jCYkiO46cgLDWw5FNwL5529Vw6f2HNylVBfgFS4hKUsOLCIhqqauAg9gKTY13YnjeW&#10;/zeK5hbUZ3fv3p2WlobDTms8EPKMuLg46IY9OnjwIHaEejHMQtcCu0cJ6+joiPr72bNncWnn/qu5&#10;rvXgrsMFefnBYaEObi66lq7SGs68Mq7DpcNGKkT8ID/t34pBY9W8zSdMjotJLd+yq2TeIhB2W/mO&#10;Dybs6+L8763iTPr+4sz/VnEmfVWc/7H64vVmwtIycPHixeDgYFT64EegESNGgLChoaGVlZUoTnAu&#10;9GQPnSNvFGbHQljCYkiO5ifysMwjBPSZrbOnTpfOnefp6i41ToJn5Kgxo0ZLiY8z0jdITk6uqanB&#10;llANcY10MuQWVHhv3ryJ8+jh4UH7kEWeAWF5eXklJSXNzMzmzJlz5swZWFRMjNNEdvXFC/B01qxZ&#10;enp62NMVK1acPn0aYMV4TINKdEv9rcN7jhbmF4CwU1xdtMzdJDRceWQ8f5CePkwh9l/yMf9QnMaj&#10;HmRlYZ8Yn1FRvqdk3uLPQlhs7eviHMe3irOOAeIscYA4/3hVnP+x+uL1s4TF6QcmoqOjFRUVBQUF&#10;Ue8DYVHs3d3dly5diuok9RoQpuTM9kGi+YwlLIbkaH4KwjLtsP1Pa704caw6NzNriq0dwArC8owY&#10;JSMlPcnKOjc3F4ed0mHoq8OU2Hiou7sbF10wdPbs2T4+PgoKCpSwPMxDsvgJ8s6bN+/KlSsUr3Qu&#10;cBnT6+vru7m5UQ9LdxbbANS21t86sufoTELYsCmurlrmHhIa7jwy3v+RnvGjQsI/FeL/rhTFox7K&#10;Iey2X0rYDxZd2kcRZ4msvhW9mbDI+jjZMKoZGRmmpqawrqjxgbASEhJWVlb07jDMCKbBlCgMnNk+&#10;SHRdLGExxJ5Cn8DDMi2wvX3Pnva9eNq3d+fu6OlR5qYTxIVFgdcxI0erKCq5u7rOnz+/paUFW0IJ&#10;O/Q19jLPR+PII3Hnzp2jR48WFRVZW1vjVNJHC4YPH46akK6urq+v79q1a5ubmwFWrAgCRgsLC/Ev&#10;7Onq1atx5X7CfEsc/8I0rXWth3cdKiStBFMd3Ny1LbwlNL1Hyfj/a3z8fxRS/66Q+helhBFq08wn&#10;2PS3EixOS/tSCMv538+LM92r4vyP1beiNxMWZxpZvKmpaebMmU5OTirKymN5eEYOGyEuImpmajpt&#10;6tTt2yraGcK+QNFFucXUH8pZzIrFfDLCBl+/evXl82fYwlu3bu8/fCozf4G+pf+P4+xGy/v8Wzby&#10;e/nkv8ul/F1hxjvjzwqxf1eK5VP2Vdac4uk5/VXCPr96pWZ6UIC8pMQXSNjnjIelhH3+9Fn5pi0+&#10;Hl4aqmpCfPzkWYJRPFpqGmHBoWvWrEE1H3h938NOL7GYBQkc/4cPHuzYXhkWHGJsaCQtJcXPyzf8&#10;x2H8vLxSEpJ6Orqpycn79+xtqOPczQdh8/LydHR04HDBPlhgbjssCFvf0LJn36H8vPzQkHAXZ089&#10;cz8JTZ/hsv5/k435p1LCPxTi/qkQMVY12NxsSmx0WkX53pJ5C1NT0rZXbH/48D58MInnL7q7e7ZX&#10;VLKEZfVZ9LOERWlBeVu4cGFYWJi2lhbfmLE8I0aKCAoZ6Oq5OjmvX7O2/WHbyz5S6ySEZRr4ODO/&#10;p2hh/oSEvXYFjEGZvXXr1v4jJzML5utb+f04zna0gve/5aZ/L5/0d7nkvyvOeGf8WTHm78oxfCo+&#10;ylr2np4RDGFbHj3qZAj78uqVG9ODguUlpb5AwsK3vnz+8hmcNqL36ZoVK22sJ46XkBIYy8vLM2bs&#10;aB4jPYOUxKSKigo4UGwJPeycmd9fgNrlC5fKFiycGhKqqaYuKijMO5qHf8xYPp4xEmLizg6Ocwpn&#10;Vh899vDhQxwiYDQ3Nxd76uDgMIiwSNxobqk8eCg/v2BqSIS7k7eBWYCEpt8wuYA/y8/4XiX2e8Wo&#10;HxWCBVX9Lc2d46LTKysOlJYsTElJqaysePjw7ouXfeTW3vOX3d292yt2fVLCsmL1c3oDYWnmA2Hv&#10;3bu3devWjIwME2NjYX4BlBCUEzlpGVNDo8XzF9y/c7evu+cFKbeEsOSF9w8SyhJW93kJ+w+F2HfG&#10;nxVjv1LCMne6Xjx/Sjzso7b2eUXFeto6gnz8/GN4mX4JRk+0tCqZO6+qqgq8w4qwMVSc2d9XzNfC&#10;r126vHTR4ik2tvLjZYSQeUDyESORhZTlFV0cnJYuKgPmsF9QYWGhhoYGqkosYVl9e3ozYZG/QTe4&#10;jGPHji1YsMDa0kqYX5B39BhUKlG1RCGZXTDzVnNLT2cXCIuKJ2pjpLHvg4R1YY2fmbDyce+Mr5iw&#10;nFaCpz1POpvrG7LTM5RIjwSjcL3kGUHudDnY2W9Yu76uro62qFINfeMH6/nLp109nY8eVx05mpqY&#10;PNHCUlJsHNhKCSssIKimpBw3I3r//v1Y4/379+nTWu7u7ixhWX17+lnCAlXI4iDd5s2bHadMAWHH&#10;jByNYgnLg7peenLK1YuXOh48fNbb97yPtHbBInHmf09hXVjj5yXs9/IJ74y/fOWE7e3qvtN6C9Sb&#10;MT1SVmo8eAfC0udhvd099u3e0/5qhy9D3/jBev4SNH/e29fS0LizojI9JdVITx91IFyeEYCsiKDQ&#10;RAurxMTEnTt3Njc3z5o1S0tLi20lYPVN6g2EpVyDnenu7kapq66uDvT3B1VJaRw9BoTlH8s7NSQU&#10;ZbKprqH7SSenEtr7FRP2n3JJ74yvmLBM31qdHY8unD23Ysky8iSs+DgehrACvHySYuLTw6edPXWa&#10;3rDCkG7M0Dd+sHDGmIsu1gjLvGPb9uCAQE1VNTEh4eH/+YG2NUmKk37aZs6ceZz5eK26urqzszNL&#10;WFbfnn6WsEAVEtDly5ejI6NkpcfD7PDxjB07igfh4eK6vGzJ+dNnnnQ8JoT9Gu90yQ8kbOI7gxKW&#10;V9lbSdPOw3PaV0fYx+0dhw8czM3MnmxlPU5UjGfEKMBOQlRMS10jLSn52uWrdBUfgbC0L1q45s4u&#10;1HLOnT4zu3Cmu7OLoqzc8B9+JLlozFgMsYM440VFRW5ubtLS0u7u7itWrKCExapx6nF1v97UzBKW&#10;1VetN7cS0GKGIdI1NTVZGZk6mloojfxjeFEsQVgL0wkJsXF7dux81NZOCNvHvPn+QcKKsJZfjbAZ&#10;BfN1LX1+ELcZJef1L9lp/5BL/Jts0r/lEt4ZIOzflKLHKnkpaNi6u4dv37z1ayLss+c4UxVby8lD&#10;VPoGQvwCPCNHjR3No6qk7ObkMq+ouLGunjPxLxZ5sKS/p8S+7p7WpuajBw/NKig0NzEVFhAEW2lz&#10;k7CwsImJiaurq6Gh4bhx4yhhz549+4TpuQ2nvqOj40YT62FZfd16A2GhgYRFdlw4f76Drb2akoog&#10;Lx/vaJ7Rw0doqKi6ObusWbHy3u07KEtfGWEtfP7DEPafMoSwfyWEjX5n/EUh5m+KM8Yqeiqo27iB&#10;sJu2MM/Dfg2Effa8r6f37q3bZQsWWptbysvICozlZZpExxro6EaGT9u0fsODe/c4E/9icQlLIPv8&#10;RffjTkD2wN590dMjDXT1JMXGAbI8I8jbtFJSUsrKypKSkiIiIvR5WO47XTggQG1tcytLWFZftd5M&#10;WHAKQ0rY27dvl2/ZGjVt+gRjE0E+fhjYkcOGj5eQNDUyLp41u6munjzQDhv7lRA2s2C+npUvp5VA&#10;NoK2EvwgH/3O+KtS7N+VYniVvBQ17Dw8vqpWgmfPux49rr12PYt5ikBEQAh1EYQQH7/lBPPczOz9&#10;u/e03X/ImfiXC1uKeMZ0N4NgbrI11NYtW1wW6Ounq6UtJiTMP+anToeBWhDWzc1t2bJlp0+fhnWl&#10;55H1sKy+Ab2bsMjoJ6qri2bOdp7igDIJwo4aPgKFRFNNPTUp+dyp0086HpEHCT40u1KG/oqEXUDb&#10;YXkG3OkaphDxzvibEnnjgFfZW5G0w0ZUbilv/UoI++LZs5vNLYcPHJw+NVxCVIy8aDCaZyx58E7A&#10;eYrjquUrLp2/0PnoMWfqXy6GqvRtFM6rKKSNouPEseqSomJUfRRk5HCppn0JQSCsuLi4g4PDokWL&#10;Tp48SXeWbSVg9W3o3YQFKZobGyu2bJ0aHCouLIKqJQjLP5ZXRlIq0M8f42FjyRMFXwlhM/JLtc29&#10;/i06aYSMx/fSU/8mE/+X8fH/kQ15Z/xZPvIv8lE88u5yqpNdXcO2bdzc3ND0VRC2p6v71PETSxeV&#10;ebi6iTAtocAr35ixkmLi4SGhRw8evn/77rNecsY/jrClfZyPh2Oxz3qeYkxf79O2e/dPVlXnZGZZ&#10;mpkryMqNHTuWdnaBITws7e9i//793P4usNfsswSsvna9g7AYAnNPHj1GEU2KT5AeJynIyzd6+Eie&#10;EaOE+AXsbWwXzV9w7vSZjgcPUYporoUwFzfxTlGGfiLChgQHgbAvnvUT9vCJ9LwSDWPX7wXNf5R0&#10;/Ns4/79ITv+jxPR/Snm/M/5POuRP40NGjneQVjB3cAzcvHZ9Y11jf78EL65euR4RFCz3BRCWLoSb&#10;xvDRw7Yd2yoyU9MmWVrDPPKMHCXAyyc9TkJdWTUlMenKxUudHY9BQDrLR9CLl897+17gsgPCMX3N&#10;PH/2HJyFn71/5+6WDRvDgkOszC0EBATgXocNGwbI8vHxmRgbh4WFrVu7tqW5GdMj2tvarze2VB44&#10;mJ+XPzV4mrtjP2FlA/4sN+N75djvFaJ+lGcJy+qL1psJO0h9Pb0tDY15Wdn6OroSYuK0U1FRIWED&#10;HT1UPGFjH9y5SwnLBSISlBrvFJ3lExE2KCgIP7EcLOTOnTsHDhwoKChAYRMSEhIWFkYhh3sSFBQU&#10;ERZ/ZwgKCmHbMCOmnzhxIsAHFD569AjrxaXo6tWroaGhwOJnJyw9aDSNDUP63u07a1eugoFVV1HF&#10;BXIM880YZQVFVyfnhSXzWxubX6Aq3/Mxvx88SNh4bAY27MGDB3V1ddijgIAAOWkZUUHSIIu8hK2S&#10;l5E10jOYVVB442rN0+7e58wLvrWNLTv2HSzIyQsPDPd08DIxCxqv4T9CNuBvcjP+rRz7L4WoEfLB&#10;wixhWX3BGhJhUd17eO/+8rKl7i6uKKWoY8LGCvEJKMkr2FhPLC2e21hbR4soN+NyE+8Uyh6m/NUI&#10;O2fOHHt7ew0NDQMDA319fRMTEwyNjSe8M3R19QwNDbW0tJSVlZ2cnLDBXyZh6UJoopf5GtCVC5fy&#10;c3KNDQzHS0oJ8vKTHnwEBI31DWZMj9yycdODu/dA2A9+Je+9hBOBfTlz5sy8efMcbO1VFZXAet7R&#10;PHw8Y0QFhWSlpEODgiu2lLc0NHU/fvK4raOuqWXnvoOFOfnhgdM8HLyMTP2l1P1YwrL6ijQkwpKn&#10;KR+27d25KyMlbaKFFf9Y3tHDR8B9wIPIj5eJiZpx7tTpR23kFjCdfuhkgTAx8vqvRtjS0lLURkEu&#10;ABEgi42NjYyMjImJH0LExsXFBQcH29nZwYJt3ry5vr7+CyQsFV0UtgFL21lRGRIQJD1OUmAsH9wi&#10;Q1ihyVYTZxfOPHrwUMeDhyAsqvOcOT+BsCXcHcSxunnz5sGDcKa5k62sxYRFeHnGkDtvo3kAWStz&#10;i6y0jEP79t9uaW2//wAeduf+Q4W5BeFB0zymeBkY+0mq+bCEZfUVaYge9nnPk84rFy6uXbUalU1U&#10;60b8MAy+g2/MWGF+QS8398rybU11DfRZcVqKMNMQczCd5VcmrKenZ3R0dGpqam5ubkZGRnZW3jsj&#10;MzMzKytrxowZHh4eERER9J36L5ywmLG6urpo1mwb60mkfYD5djcujTCz/t4+FVu21tXcgFvkPL76&#10;yYQtwSHCEGnsaUdHBy5O+3fvgYnWUtcQFxbBJtHspCyv4OLoVFI89/yZs3dab12rbdi+Z39BTv60&#10;oAiGsL6SqixhWX1NGhphkRWfvXh4996JqurpU6ehrJKb0TxMj7ECQhYTzApy8w7s2Xvr1i3KMkpY&#10;pOncbxdl6K9G2AULFsC0+vr6wpCmpaVRwmZm5rwzyFSZmZjX1dUVjK6srGxqavpiCYsFQnCLAIq/&#10;j6+mqjpp8RxJ+l6RFB9npGeQlZ5x/eq1rsdPSPsA8PqJaUN3jSZwjrq6upobGlcvXxno56+trkne&#10;9RpN3vUS5ONXUVDCBq9Zuer0iZNnL17eumN3fnYuCOvl6G1o4i+p5ssSltVXpKG2Erx42tfzpAtG&#10;NTczS0lOAVVO8tjWsOFiQiKaauowRIsXLqLd3yHjUsKiINHZ3y6AALP8aoSdO3cu8Dpp0iTYWB8f&#10;H9T3vby8fH0D3hne3j7YQicnJ0tLS8y1Y8eOlpaWL5aw2CQcCmwGrh+GevoSYuI4X0AYz4hROH0O&#10;tvZlCxY+etiOM0vu8jP3/T+dsPE4BfRsYsPoOe163HnmxKni2XPsJtmIC4uOHj5SYCwfLDacrK6m&#10;VtyMmJVLlx2uOrGpYkdeVk5EcIS3k4/RhAApdZawrL4mDdXD9nZ2YXj39p1li5f4eHjqaemQxypH&#10;88DDigoJqygoJsTGHTt2rL29HfYEc6B4D5EvtLx9IsIGBgbiJ90SWGwQdvbs2RMnTpSRkZGXl5eT&#10;kwPFlJSUFOSV3xnycvKYEuDDFmIJ69evR0H9AglLF9Ld3X3jxo2dO3cGBwfLy8jCwDIvGowZNWyE&#10;uYlpZmr6jm3b25ln7OBhX/yCl54/WM/7nrXffwjIxs6IlhpHvis+8sdhGJL+aMTE1ZSUw4KCN2wu&#10;X71hc05GVljAVE8HeFg/CRVvlrCsviINsR32xdPuHhTCtgcPD+zZm5uVbT/ZVkxIGITlHc3DPG3D&#10;72BnD+igVAOymAPQGWIOpgz9NQlrbW0NtiorKysoKACasrKyKsrq7wwQGbNgRikpKVtb2y+WsFQd&#10;HR1HjhwpLi62s7MTERSCQyRd9ozmEeLjxwVy7cpVF86c6378BOeU9IP1OQgL+9zX09tc35ifnaMk&#10;J083D5ft0cNHII0cNcHIOD07N292cXJ8Uqh/mIeDlwFLWFZfm4ZEWNgN2lrX9ehJS0PT7sqd00Kn&#10;ykpJoyTwMB3XI3S1tOPi4rZv306/V0rFmf+twmTI678aYUtKSvz9/YFIHx+foKCg8PDw4OCQ4OCw&#10;d0ZgYBA2zN3dHYAOCAioqKj4YtthsTTs7LJly3BINTQ0BEi7OQ/TF8FYnLXE2LiT1ccf3L33rKeX&#10;gPU5AdEnvdP1Rr0gn8Z4/vDu/aJZs5XlFbCREqLi5LLN9NIN2irKyds7ufiFhEeETQv2CQFhDU39&#10;2TtdrL4uDZWwnB4/u7qfdvXU1lwvzM0jrXui4iCsEL+AIB8/yoOlpWVhYSFY09nZiUJOqfFOYTLk&#10;9V+NsAsXLoyKivL19Y2JiUlKSkpLS0tISMjMyHlnpCSnpKamRkREuLq6YuE7duz4MgmLKWFgz507&#10;h73T09OTkJAQ4OPn4yFPfQCvVuYW8+eWNNc3wD+SFljm3VbyjbVfn7DPniPa7t2flV8Iwo6XkNJU&#10;VZMfL8NUjMaMGTlKREBQQVnNxMLaw8XNx9UXhDWeECjF3uli9VVpqK0EtCgyn+R63nb/wbbNWyLC&#10;pk4wMiEPM8LJjhwlLCiESjeItmfPnrq6uu7ubs687xJl6K9JWPAL6yJgzcwsKCjIzs7Oyy18Z+Tk&#10;5Obk5MyYMQOEBUzLy8uBwi+QsF1dXcDr6tWrsZ3jxo3j5+cfyzNm1LDh40TEJlpaZadnHD5wsP1B&#10;20umXoITStiKZf/6tGFW2vHg4eyCQg0VVX1tHV9PLyszCzFhEYGxvOAs35ixAiJiMoqqpoYmdpZ2&#10;TpNcjEwD2OdhWX1dGuqdLlhXxumQeNrdc+nc+SULFwX6+Y8TFUOdDo5DiE8AMjU1nTt37q5du+7e&#10;vTvEHEwZ+iu3EtC3BsLCwuBJQcZp4ZHvjPBwFM9p3t7e1tbWWMIXS1js5saNG5OTk/X19UcxIm+I&#10;jBgpJz0+PCS0cltFQ21dN3PfkhPknH7yp7XeIKyU6XNrTuFMbXUNcxPT+OhYJ/sp4sIiY0eNBmHH&#10;jIKbFRQQk1SUkTfUMrIxs9M18BZX9mQJy+or0lAJSxDQ3/PAs76+9ra26qqqxMRERQXFsUwvSaNH&#10;jQJnFWRk7SbbzswvuHzhUm9XT29XN5mLaWGgtcLXSzIWiMV+XMJu3boVvOMSli6qtbX10KFD+fn5&#10;kydPlpeX19XVNWCkpaWl85r09Q309PQxDf2JBJaGhJqamqKiIgCNDaZPa2Hh0I0bN8BraWlpLmHh&#10;4kFezpa9S+Twvj9hMfLZU9JzFdnt7h540me9T2uuXM3LzrGYYCYlIQlIkfuQ/AJwstjy7Kys5qYm&#10;mNxu5rwMiA8n7Bs2jC6TgpvBKA1SDaIZgAbSzLe8ZuUXqikpG+sbRE+Psp00WXqcBAiLzR47imcE&#10;rt18vGJCQkoyCvpqumqaDqKKLsNkvP8mH/l3+enfy4WPkA8UUvVhCcvqi9XQCNsvmi8pyACCxYsX&#10;29jYgAUowCOGD+cZMRJVPFVF5ZCAwO3l21obm9sftqEs9TH9KpHy/6bnLj86YTHvQMLW1NTgX4Ad&#10;zN2xY8cKCwstLS2xwaKioiIiIuLi4khIvkkS/aI/MRkq3ZgeW4glYINv37795MkTbGRvb++lS5ew&#10;2ZSwsLe/DmEJGfvr+C+eka8JtDQ0btm4yd/HV368jCAvP6wrQlBAAFcFZ2fnFStWdHR0YKtwlDhL&#10;+MXC0qCBp4lcTSlbmaAXV7KRSPSR5wdA1bb7D+7cvNXa1Hzx3PmUhEQ1JRUDHV1vdw8TA8NxIqLI&#10;SLhaA7LDR4/+YdRInpEjRPkE5cfJSstZCsg6gLB/VwBhI76XmzpSgSUsqy9a70dYCPkSxQmizwOl&#10;p6dbWVkBQKPIh77JDWsxIWHU+PKyso8eOnzv1h2GrRwPS76G8FqupoXzoxAWU3IJy20luHLlCrO9&#10;z+/evXvmzJmFCxe6ubnBjeLaAH55eHi4vkn4F0TTmB5CwsnJyczMDGbQ1tZ227Zt9+/fB0aBVxyK&#10;48eP+/v7y8jIoAzv2LEDlvZXISzBFjCC4fNnzwGsii1bE2LiDHX1BXj5yEt3zNfXcWGwt7efM2dO&#10;dXU1tpYz78cWtpAeZ/LkCbWr1Loy7hVj4LIft7W3NDSdPXlq367dq1esnDNzVkpi0iRLK1FBYSnx&#10;cbqaWrJS0uTds1GjmQd4+cYICIwcO5ZnxHC+kWNExwrzCWmPErNmCcvqK9KQCDsoO9KfIAhYsHnz&#10;ZtSOVVRUyOdAmBcfhfkFVRSUvD08F8wruXz+4uP2R71d3Yx5eUr633otW6NIYmkfhbAQCFtbWwvG&#10;AVLAaFBQ0MWLF7GpWEh7ezv87KpVq3x8fKytrWFy4+LikpOTExISUCwHCeMxTEtLwyUEw9TUVAxj&#10;Y2M9PT0tLCwA08OHDwN8WB0wCtQeOHAA/wJho6Oj9+/f39zc3NPTg+3nbNa7hN3EEBsJvR9hwZCn&#10;5J5V15POE8eqcjIyp9jYyUmPx9UOpwNBvkahqYl9PHToUEtLy0d0r1SMhX1FYD3Aiq0iSO149PDe&#10;/bu379xsbqm5fOVk9fFd23csWbgoJyMr0NfP2sJSV1NbRlKKPj8gIiDIxzwPi2A63Bo7hp+fh59f&#10;kHesGL+whOC4sfyaI0QsWcKy+oo0JMISY/Iq6ZDGGJR81I5hjuDshIWFUUhG/DBMkJcPFT1NNXU/&#10;0rdIeWNdfdejJ9TAMh52cLamS/5YhMUsTU1N4F18fDwIC5gePXoU7hXjOzs7b926tXPnTlwSzM3N&#10;AcTIyMicnJzZs2eTHgdeVVZWVnZ2di4jpMHZpKQkgM/b2xvUw8JPnTqFBQIoWDJ4Wl5ejvGysrIo&#10;4SdOnMAawbJfg7BMx4OP2tqvXb6yYukyf29fFaZLQNKH78hRqFJoqKh5Mh8ZpP3UYKvoWjhL+MWi&#10;J+gVYVRv3+P2jub6xtMnTgKpG9euW1hSmpmaFhkeEeDjN8XWztTQSENVjXTozscPuwrCIoT5BQR5&#10;+fnHkud2GQ/LCw/LKyIsNU5cWUZBTU5VQnrCWAkblrCsviINlbDEmwyAHRIULjCGe/fuBRFMTUyk&#10;x0mMGjYcpRruA0VFX1snIyXtwJ69qL329T4lzwZ9esJiq27fvg3GwXKCsHZ2diDU5cuXnzx5ggoy&#10;UIXqfExMDAiLfwGy2HL4OwB0kKh7zcjIwDAxMRGzREVFRUREYAg/u3TpUmwh7YSho6PjzJkzZWVl&#10;qIkrKSmByLjqYCS2fOiGERNjiKVBQycsmfrZ8+7HnbCHa1euipgarq+jC/c3avgI0j4wmme8hKSr&#10;o/PMwsLq6mraZEyPJ8RZxC8WFoVl4lBg+Q8BNgiOtakFxD+4d9+KJctyMrNmTI+cYmOrrqwiLiwq&#10;LiwiKiQsMJaPtgOMHTWaZ8RIDEePGEkaB8byiggKSYqNgw3HpULXyEjfxMTYQH+CgbGpjrGKxhQh&#10;eSeWsKy+Ig21lWBQyUQCxRU4QwUctXLwMXL6dG11DRQSIT5U6/hR0ZORlLaxnpSWnHLk4CGYrK5H&#10;j2krARYF0eVAdMkfi7Ao6rQ1YObMmdra2oaGhrNmzUIF+cGDB1gUwAeHu2XLFlhX4BIO193d3dHR&#10;EQlU/IODg7FqDAMCArAxgYGB+Im0s7PzxIkTMRnGwM+uXbv25MmT9+7dw7qwTCQqKytBZEyD1ZWW&#10;lra2tuKw0AaEIW48PSCYGPo5wkKDjgZ+dj56fKulde/OXbFRM4z0DWSlxo8cNpz03juWl5dnjIqC&#10;Umpi0v59+8GUnp4euhAqziJeFRZIL6XcBHc8TQ/cI5rAEEtG5eDChQu41q5fv35pWdmcmbOSExJD&#10;AoJcHJwsJ5gb6uqrKiqJCgoBpoy5JjxFgr4NiJ98Y8aKCYuMl5Ay1jd0c3IJDw1Ljk/ITE3Pzs+P&#10;SUoK8PVxtXeytbDR1nMVV3YbLuvzN/np3ytO/6d8+AiFAJawrL5kvfedLq5Q5JBHAUFUlpFlVyxf&#10;bjdpsqSYOOp6sLEo5yICgoqycvaTbRaVzr9y4eLdm7eeMq9pYkYUVAAIhKLFGMv5iISFYGOXL19u&#10;aWlpbGwM+7l69WqAFcsBqrBeMBGerri4ODw83MnJydTU1NbWdsqUKcCZm5sbhoApqErvcWE8JtDQ&#10;0LCysgoLC1u2bBlQguo2d8ux7/Pnz/f29oYvxsRADNwc/ovNwH8hzpa9VVgUhnT6txMWxwQJTIxV&#10;AG23W1qrjhydXTjT2twCCKMdbINZYkLCsIF2k2zgIhsbGtva2rjtA285pPRfVEhjFUhgPB2DBD1r&#10;EC4h2E0ch/v37+MIoNKwbt06XLeAMCcHBwNdPQUZWUBTkI8f9IStxoahZkNbA0B/5jLMhw2WEBXD&#10;BACu9DhJXKH9vX2KZs7aumlz9dFjZ06cqjp1ct2WLdkZ6dOCwrwcPYxMfSTVPEfI+YKw/1aO+pfi&#10;NBBWWNWXJSyrL1a/lLBUKOqnTp3KSE2zsZ44TkSMWJURIwWYBjUtNY0gv4AlCxddOn+hu7OL3AZh&#10;hNJLYUGX87EISydG4d+3bx9c6qRJk+zs7KKjo48ePYo6LDws1tvV1dXS0nL48GFAAZYT9fqioqI5&#10;r4qOmT17dkFBASbIzMzEzzVr1sC93rlzB4jBhsEs37hxAwSEtwVeQcPk5GT4ZcoyrIi7Pe8UloYh&#10;Jobe3kqAKenEWAs2oOrw0Zn5BaiDj5eUGjV8BC5swBnsoYKsHMxg0azZZ06ewuzcjaGzc5fGFUZS&#10;dEKYGMLyMZ5sUD9tMQZXU+z+tWvXcBx2794NO48DWFhYmJCQgNNnbW2NeoOcjKyooDAcNCo0CNoO&#10;gCDfgR82YtSw4QK8fFLjJNSUVcxNJ0yxtdNUVRsnImqgozt9avjiBQurjxxtrKu/f/sOLh43Ghp2&#10;HTwwKz8vIniqh4O7gYk3S1hWX5d+KWFp2QMKGxsadm6vTEtO0dPSFhYQJI/aMEULVT9DXb3QwKDy&#10;zVtuNbe0t7VRsKK40iVgdgw/CmExMYQEFn716tUlS5YEBQWh5g5rifTp06ebm5thvkBYLBkUhrOD&#10;nwVtL1++DGd69uzZM2fOYHju3DkMMT2ExJUrV2pra0GWBw8eYC4sHLNjIRhZXl4eHx9vYWFhYmIC&#10;jm/cuBHrpTtI94tuzztFJ8P00M8RFtNgyRCWjDTMI65qc+cUuTg4yo2XEeITAFuBMxx5cRFR1M0L&#10;8/JPHz/x8N79p72E+HQtELPCN4hZORHSmAyoxYUTSMVlCQcKq7t161ZdXd2xY8dwZcK1JyoqCmaf&#10;frhMXl5eWloa5458X5LxrdgSBDiLC60QvwDsqqT4OFRxYFqV5RWN9A283Nzjo2PysnOcpzgoKyg6&#10;2tkvKCk9evDw3Vu3cSVGPLx773p9/fY9e/KyMkP9g93tXY3NfKU1vFnCsvqK9OGEpRxBUUQCQ1Dg&#10;+tVr69esDfLz19HQhJOFYUF1VZCXH0ULkI2Ljtm8fmPNtWsotJhx4OxIfBTCcqcHg0DD6urqefPm&#10;Aa/GxsY+Pj6owx44cKC+vh68wGQQIALggiAwg5geDL19+/bdu3eBXcoUJDDEBOApwErRRhd+/vx5&#10;bHNiYiI8spmZmbOz8/z584FpzI4JqOgucDburcJiMcT00M8RFgukOwhhs3EZKCkp8Xb3UFNSJq2u&#10;o4lnxCVNSnycmYlpbFQ0LngErz0gJbGldC0Qs8LBosuHkMBPJLDLcP1AKjhOG1gXLlwIOx8XFwfP&#10;jv2dMGEC2CogIMDDwzN69OhRo0aNHDkSw9HMYwy0QYDgXlgEFwB9Hd1JlqQPl6nBoZmpaSXFc9eu&#10;XL1r+479e/ZOnzpNTUnF1dFpxdJlZ0+d7ux4TJ+e7ux4VN/cvOvA/sLcnKmBoR5T3IzN/FjCsvq6&#10;9NEICz1pf3Tu1Jlli8uC/QNQ9SN9bvHyM5Alz2/paGqFBARuY17nhzmi6MESaKn+KISliyKcYGAE&#10;XO7fvx8V2EmTJmloaIAIAMTmzZtBDVhR7sIxBD2pZQO5MIToEuh4CAk6MQT0wPOuWbMGJg7sVldX&#10;d3V1zcrKOnr0KP6FiTENZsf02CQ6fKfoZHT5b2mHpcIlCmYcNXR3NzcVBUWYxFHDR9AqOYhGupGc&#10;Eb15w8brV64+6yXPb2A3MBddEV0CRH9yxRnLCBtD8QqIb9++vbi4ODIy0tbWFnsqJSUlybztJi4u&#10;Tj+EDsLy8fGRN6cZIc1DPkU8Au5ViI9fWkISl1u7yTawq/DUoOqxQ0fqaq7DqD5ua0eGuXf7Tn5O&#10;LqbBpWLNipXkk5oP2170PXva1XPv1p2auvrKfXsLcrKnBoTAw+obe7KtBKy+Ln04YQERWhopfQiS&#10;nj5FgTl9klRd7W1sUfUTExYZNWIkPy+vIL+AiKCwkYFhUlISYIqqdNvDh6RYP2cI+/zFpg0bA/z8&#10;NTU0hIWEQkNCP7gdFsICyTKZ1mEsB1Xa5OTkyZMng4aAOGABZICz8GUwuWDljRs3wNxBqqmpwby1&#10;tbVIYwhdvHixqqoKxFm2bBl4GhAQQL8oA4+Mn+Xl5Si33K19383G9BhiFugnwqqoujg7b+QSljnK&#10;nU+eXLt6dXtFxYyoGQoKCvQ2Ec8I8kKdmJCwurKK0xSHxfMXXjx3nnymG5zvY14BwMYwgUPN2TYS&#10;WCUJXEza29pQvThz+vShgwfLt5avWL6itKQkOysrKjLSw93d0sJCTVVNXExs+PDhMKpwrFRwrDCw&#10;Yxjx8/MDu9gkbS1tmOgptnZ+3j4xUVEFuXllixZXlG87uH//5QsX796609PV9ewpc1V+9ryjvQPk&#10;1dbQ9HRzh4c9feLko7Y2spHPnj959PhGQ2Plvn2F+XkRoRHeLt4mFgHSmr7D5Xz/Kj/9X8oz/qkY&#10;MZw8S8ASltWXqw8n7CAhv1LThxr0wYMHU1NT4XpkZWVRAiFeXl4UQngfEyPjkICgTes33GpuIQ9v&#10;9TFvVYKw6zdgvLa6BhxZxNRpv4SwAwVP2tTUVFlZmZ6ejoqtnp6elpYWfd0gOjo6Pz9/6dKlW7du&#10;3TYEYcrCwsKpU6daWVmpqKjIyMgYGBj4+/vPmTPnwIEDKLTUF3NW/J7CbmJICn0/YWXGjwcuXZ2c&#10;t2zY2PnoMY7Ss96nSDTVN2zdtHnG9EhjA0MJMXHS0MnLh+AfM1ZRTt55imPRzFlVR452PGwDxTAX&#10;fSuBdrNC4wUOKoxtT29vV3dvd0/Xk847rbcunj1XsaV88fwFCTFx7i6u5qYT9LR1cI2Ul5GVHicp&#10;JiQizC+AtcCl0tYAJEi/iIyQgJ/FJYG+ixwaGopLDg4XKhC4gMFu37p1i7ZiP3r0CGcERwmXQEJY&#10;5vk5nAWcFNQDwL4zZ87QznTwLyRuNLdUHjyUn18wNSTC3cnbwCxAQtNvmFzAn+VnfK8S+71i1I8K&#10;wYJfZN9adBe44oxl9dvTxyQs8EqHra2tu3fvzszMtLCwQL0SeEU5HDZsGAqnEL+AnpZOYmzczort&#10;tddqnrR3vGC+nrB5/cZAXz9NVTUU44jw8I9FWAjVdjBr165dM2fODAwMhPF0cHBAeYYJjYiIiImJ&#10;iYuLQ31/KEL5BJrhW+kDXvhZUlJC3xnDXoMaH5Gw46Wk1ZSU3foJCxq23X9w7jRphImYGm6kpy8u&#10;IjpORBSEHTV8hIigkIKMnO3ESfnZuft27QGFn3b3gMjPe58+68Gw7yXtEQKAfdr36GE7uU1/teb0&#10;8RMH9+2vgGNdsrR49py05JSw4BAb64mqSsqigsK0VZe8ucD5BjivwFg+wJQ6VlFRUdhVkFFfXx8H&#10;xIP5wjkuY0VFRatXr8bRPn36dEtLSyfTFzvdL664uwx924RlalOc9iJWv019ZA+LBAUNoAPIIkOj&#10;bi4mJgbIolIJMwvCSoqPMzUynh4+be3KVU3MO7WwVJvXb/D18lZVVEJhDvsFT2sNEsAHwsI3wUBd&#10;u3YNZnPjxo1z585FOaS4xDVAXV0dZe+dsra2xvTh4eHx8fGA9ZYtW06cOIHtvH//PlbxC0sRnR17&#10;CvUTVkpdRdXD1W3zho2P2tof3Ll7/vSZeXOKbCdNxnhxYVEQUFRImI9nLAirLK9ob2OblpR85MCh&#10;m80tvaQz3xcvnpH7Rahu4/CCtmBu95POu7duo6q+d+duVMlzMrJCg4JRnTcxMNRSU4dlVpCVkxKX&#10;EBUUgmMV4uPHuSAxmrwXQF9jxZUSp1JcXBwHBBeqsLCwnJycsrIyIPXs2bO1tbVwrDdv3oRjbWe+&#10;iYkzSPPDQDHY+fY9LHf5SGB3uD9Z/ab00QjLFa0GAjr19fXIzcjTqDyiFgnjA8iOGTkKtgjmy0jP&#10;YFpo2Ma16y6cOfu4rWPDmrX+3j5a6hqCfPwfkbCYl86OIo1aPEo+KFBVVbV161ZwoaCgAM4U3PQa&#10;giIjI/Py8pYtW4Z5Dx06hC28d+8e944Z3U66rg8QZseQLoHrYTXV1FFhX7l0WV3N9eojR8sWLMJF&#10;SGqcBGy+EJ8ACMs7mkdMWEROeryjnX12emZl+babTS3ktQ6mswI4344HbXdabzbU1l08d/7owUO7&#10;KnesW7W6aObs5PgEsNXB1g71CVmp8bDA/KDnKObsMC8sYMmgKoawrvCzWIW2uoaxgaG5ubmNjQ2O&#10;Brz/7Nmz16xZs2/fPrAVtRYcih7mBubAfWEOzE9i9pUjOuZbJSy2n7t8pHGlx5GhP1n9pvSRCUsz&#10;E4bIT+T5revXN2zYAKcDyML4kAZZ8qLkWBEBQUkxcRVFJUf7KYV5+WdOnFpYUurt4amnrYPy/BEJ&#10;i9nBVlKYmPv74D69Sw6fBbcFltXU1AAQ54egS5cu3bhxA3OBJrdu3Wpra8MOgimcNb1qW95X2E4M&#10;6RIoYWWkpbXVNR3s7Aty8yq3VRTm5js7OGqqqsNact43HTMWBxPsg6vNTEvft2sPYNrbyXSt/fxF&#10;9+Mnt5pJ5wAA6/KyJZgg0NcPS7Mys9DR0FJVUobtlZWSFhcWEWTacMkLVwxh6TMJpGVg9BhgV0xI&#10;mHyBbYJZgK9fQmzc0qVLYd4PHz6MA4Kj0dLScvv2bRwK+vQF91Bz92WQsJv0jEA0/Q0TFrkXZYEW&#10;h0+9OlZfrD4mYZGTuGUMGQtpDK9cubJo0SJvb29AVlJSknkWnXwgZDTzko+asoqPhydsWmpi8hQb&#10;O4YgAsEBgZSwA3MnV5yVvb8wL8nvr/XG8voq3iLuPnJm7l8sEIN/cUa9S8ySOEugaSwTaSwB6ics&#10;sY2TLK2ip0fBdcLMwvgDfKTPB+YVKTEhERlJadTxs9IyNq/feO3Slfb7D5rq6i+dO3/u1OmD+/Zv&#10;3rBx0fwFGSmpWIKLgyPtGUAALB0xctSw4YApGDqW+R47TgRFNiaQkZRSVyb9YU8wMsYZcbKf4u/j&#10;m5qYtHRR2a7tlcePH69jnnV7fWfpxtM09ojLF+wahGsbTeNfdBo6/bdB2IFLo2nsFy7DWBGEug72&#10;feBk3ASrb14fv5VgoFDMkNWuXr0KJ4v6OOqYSnLkASO4MPgjkAKOVVNVzdzEFN7KzNiEvvYTGhyC&#10;ujxmh9/EEIUNJZMpj7/Iz345ovtC07SwYQfpeCTq6+sBAgnxcdLjyMOkRnoGmmrq8JuiQsI4aKi2&#10;k6M3hldVUXmy1cTM1DTA9Nqly2dOnkJi49r1xbPmwGx6uXlMtLQyMTTS1dIGW2F1YVcFePnIFY5B&#10;Kh3CBcPAIs0zgtyEVFFQNDed4OXukZKQuGBeyaZ167HMC2fOXr10uf5GbWtzC2w78Eobguj2f7Do&#10;Qfg2CEvzJzeN43Pt2rUjR46sWrVq2bJlp0+f7mQ6uoTocaNpOj2rb1uflrAQ8jH8HXwZIBsdHT3J&#10;ylpuvAzpsgB13BEjUbyFBQQlxMRBEAUZWRg0CVExEJZ6WORCOuRm329D2CnsEYYQHUN3kI6BSQwN&#10;DRUXFUMNXUp8HKwrsDjyx+EjfhhGjacwv4C8jCw8prOD46z8gr27dh8+cHD18hV52TmR4dNsJ042&#10;1NPHQcaBhecd8eOw0cNHAKDE+TIPBvDxwMeOAU+lJSSV5OTpd17B4okWVrCrKYlJC0tKd1ZUnj15&#10;+k7rTXofkvuJLXou6MbTLf9g0eV8e60EuAJh+du2bZs5c2ZkZGRMTExZWRn26y7TSTEmoHtHJ2b1&#10;zevTEhY5CddzEBZCttu3b19Weqaj3RRFWXlUSMcwvdihlgoWIMSERYBd0DbIPxA5EjMiLyJTfpPZ&#10;EbsGWjHVaHIPhO4mxuBAXb58GYQdJyaO6w04yFyKRpF3CvrfQwVezUxMXRydfDw8AVkMUZ03NTQ2&#10;0jfQ09KWH0+eYMXhFeTlo1cyck+M8ao41KSlFZjmGQO8ourg6eYeEzWjaNbstatW79m56/ixqkvn&#10;ztdeq2ltbH5w5273k85nzLN05DMw5Nmvj3mvBvsLfTOEpdee3t5eVL/Ky8tjY2PNzMyUlZUNDQ3d&#10;3Nxmz559+PDhhw8fYqX0dGMWTEznZfUN69MSlpufkEAWRA6r3FaRkZpmP9lGQ0VNkkCED3VVFH5y&#10;C5u8bTlSiI/fxclp+/btsLEoYyiBFEOkQDDiLPprFvaCwQtBKi2ZOERg6+3bty9dugSz7+LigksO&#10;vCe5oc98LJ3aT3KsxvLKj5cBT20nTbabNNnU0EhRVg7oBIJhTnHFguFlbluRxm4MBXj5BPn4x4mK&#10;oYqgqqisqapuqKtvZWbu4eqWGBtfWjx366bNp4+fbKqrb7//oPvxE4JR5vWEFwjmZRCkuTFQnJ35&#10;UNEj8M0QFlm0s7OzpaUFWTc+Pt7c3FxISGjkyJGioqKKioru7u7z5s07ffr048ePu7q6cNIxC844&#10;nZfVN6xP7mEhmpWRQPa63XoTRmn+3HlBfgEGOroipCbLQ+6PM4RFGszV19UNCgqaNWtWVVUVqszI&#10;iFgCcjAwhKz5cQvGZxH2BUeDprFH+PngwYP6+vq9e/fOmTMnICBAXV2dn5ePd/QYHA0QE2afHhzK&#10;WfhTWenxSnIKqOOPl5TCMey3qGNGDhsO1GJiBCYGoMWFRRRk5HCoHe3sQwOD0pJTFpbO37px84G9&#10;+04fP3Ht0uXm+kbY1c6OR33dPRy84hjjSDPfpHjRx3zQEHgl43+6JPzys0ByxjdEWGwtPAHwmpSU&#10;BLyOHz+eB1e9ESP4+PiEhYWxgz4+PkVFRceOHbtz5w5yMmbBkaTzsvqG9ckJi2xETGx/LRjFuP3B&#10;wwtnz61cuiwiLNzE0EhKfJy4iCi52cJUYEcNGw7Dhcu+jY0NLvuVlZUoD/TtoG6UlV/8bP+XIC6k&#10;sDttbW2tra2nTp3auXNnQUGBo6Mj9h32hyByxCiY+pE/DhvV35EKMEpISl8EYIL+SwDjmAetQFsx&#10;YRGpcRJy0jJK8gr62jqTLK3dnV2mhYblZ+fgmB/ad6C5vqGz43HPk87ezq6+3qfPmO+nkZZWDkYZ&#10;r8p8IBY/Xzztoy/dkZGYrF+cPfkFwhGAvg3C4hrZ1NS0Y8eO5ORk4BW+lem2gbxiQ4ciIiJqamo4&#10;uYDsxYsXsWs49Sxhfwv65He6BgnZGhkLlu3y5csVFRWZmZnOzs7IfPQl91GjRuGyP3YM+ewoqrQ2&#10;1pNCAoKKZs3eVbnjysVLD+/eBxRIyUfp6X3lASlaYN4oOsGvJKyOOj5uEEg9I0HfWwWnMBLGEATr&#10;6X30sO3qxUtrVq7KTs+AwTQ3naAsryApJk7v+HOaTZl7U5xWVMac4r/k9SrSofVwFOAxY8bgoP34&#10;44+wS7KysqCVnZ1dWFhYampqcXHx6tWrUfIPHDgAiN+4cePevXv0vjZngz+fGMC+g7A3G2uPHdiV&#10;l5PrGxju4h2mMzFISMNlhJLbX+WD/igf9r9KMf+nnv6DZqSlpWVsbCz8Iy7JiYmJ27Ztoy2eVLgw&#10;418fkbC93T3kVDKBs9nb1X310uWKLeVJcfGWE8ykJTiPJA4KEQEhTVXyCknRzFnHj1Y9bu/AvNhN&#10;0BnLRAIu5IM3idUXq1+bsNS+IVc9Yd6wQrGHcXNwcEC9WFpaWkBAgHYwCvsGd4Y6MojjPMUhPTl1&#10;07r1yJd1NdcJZ7t74IWxKG6OxDIhptRwxB1DJ/gUoiuCOL8hpLmERQJUJU6Q+YmpUKL6nvU86Xrc&#10;8QhGvqWxCfX05UuWgq26mtrS4ySokQdJKV5BVSQIVUeSIP8i71lxvh2A/woLCMLtSkpKysnJwfnq&#10;6OiANQEBAfBxS5Ys2b1796VLl4BU6v0hHHaI1ic4G/z5RE/QOwl75MBuENbHf+oUV381M09B1Smj&#10;FJ3+Lu/3V7nAPylO/7Na4jAN0hdPXFwcqjslJSUgbHl5+SclLGk5wfHDtfPZ864nna2NzeWbt2Sk&#10;pJqbmIoICo1mPuw4CK8IZGlBXn76JvTc2XPOnjzd8ZB82ocs8BdsDKsvXJ/Bw2KI8oO81cV8zeX4&#10;8eOrVq1CwXBxcQEjhIWFx5BHNUeP/HE4OCLEL6AoK2dmbALOzoiYPq+oGH72+pWr9+/cpVWtz5g1&#10;sRf0gsH5DTEY5fAUgX/2PmUMLMEuKZDMhwsPkQdX183My4+aFuHq5GygozteQgq4xP5SwpJWaQ5P&#10;CXNHDSOfhxk9nDzchlJKmwVkpKR1tbStra19fHzAF1yoysrK1q9fv3fv3hMnTly7dg311vv37+Mg&#10;U6pSsH45JRkbA72dsM31Nw7u3ZmXlxcYEuHoFqBr6S2uYc8jb/tvOfd/ynn9QyH4e+Xpo1T9LSws&#10;cARg1UtLS5OSkj41YZkrJTmz3Y+f1F6r2VlRGRs1w27SZBlJKXpnklwXRw6GLMbgrEmIiqsrq3q6&#10;ui+ev+BEVfXdu3fpcaCopUNW35J+bcJSJtJchQSKPQoAOEtbIb29vdXU1ISFhODUABTkV6Z2TB7e&#10;FBUSVlNSdrC1T0lIXL9m7anjJyhB6APwPT09dMnchXOZwlnxJxAWTgmLlXJGIUXaBJiGS5D2aR8c&#10;K+0ioO3+g9utN69cuHho34E5M2dNDQ4xMTCEbyX3sgY4UyQ4TwIwhMXu478YA/6S72CTd66kFWXl&#10;tdQ1bCZOCvTzT09PX7x48b59+4BU2gKAA4KjgX2nHn+gMAb61IdliMI2QG8nbEPdjb27d+Tn5QeF&#10;RNg5eOiY2EurmgvKmvLKThwrO3mMnMMYeVcBBVv6CR8Qdv78+cnJyb8GYZ/29XZ23Wxuqdhanp6c&#10;oqupJSkmTk+ZAC8fvRwOxCs5oaS1h5xQgbF8SvIKnm7uBXn5qMPR84XciwVjU+kaWH0z+gytBBjS&#10;/M0VMlZjY+Phw4dhZhMSEhwdHDXV1FHhIqzhPATKi6EQHz/gYmpo7OHiCtcwZ86c1atXY64bN26g&#10;ROH6j4XTcotl0tV9UtGNh+hKqahXpT1adXd2Pbh779K58/DdSxeXzSooTIiJC/T1n2JrZ6CjJz9e&#10;hnQSOJLczoJppYE6Jn01gJRS5tErlFgJMXFNVTXLCeZuTuSeVXpKaklR8dqVqyrLKw4dOnTu3Dlc&#10;oh4/fgx0YmN+bsPoGLrlX4LoVr2dsE0N9Xt278zOzvXyDtAzMBMfrzlGWGk4v/KPgto/COn+R8jo&#10;P0ImI0R0tbW1w8PDKyoqQNiUlBQkPilhcXIft3c01dXv3bk7OT5xstVEqXESoOewf/9n5I/DkGlx&#10;mRyEVwTO8ujhI2jDupiwCKDs4uhUUlJSXV19584d6l5p6WD1LenXJiy9PYXMzR3i6o2MhfFtbW3g&#10;7P79+2fNnOnm7KKtrgG/Ji4sCpfHz/T8xDyoJAwzKyIgOF5SytjY2NPTMysra8OGDcim4CxyKlxt&#10;e3s7rBwWi1yL5XNW/MlE9wLrwi6gMD/pePTw7r17t+7A4Fy5eOnoocOLShdET4+ynTTZUFdPVVEZ&#10;uJQSHwcjg/3CNYNnBHlNC0jF3hGPQ750LYC9hieSkZJWUVCEXbUyswjyD0hPTl0wr2Tb5i3nz5yF&#10;HW5/0PaorR0Yojs7kBd0kyAcWK7wkzt+4MSfS3RL3uFhGxpQuQFhPTx8NTT0hITH8wtKC4rIC4mp&#10;CIurCYtrIgRFlKHg4OCtW7eWlpaCsODpJyUsLpx1NTd2V+7ITE2bYGQiLiLKP4bTMxnoSRJM0/kg&#10;wjJBXrFBwDFIio9TVVJ2cXGZNWsW3WtqETjrYPWt6NcmLEoOzdwQdwwdCQuG8gbInjpxcsOatTPz&#10;8sNDw2ysJ6koKokJiZBcy2RfYvFGjIK5k5GR0WE61ffz84uNjc3NzV2yZAnKEmpeqDJjOaAtShcW&#10;Tlc0SHS9EHdjkEYup04Qov+iE0N0JMT53S9mGeTVtbt3716/VnOiqnpHxfblZUtm5RekJafEx8R6&#10;uLjBfqopqwCsQvwCKIcjfvhx1PARcOVAKvaFPo81athw7J2k2Dg9bR0b64nw6cEBgbDqedk5i+cv&#10;3Lh2/Z6du86dOlN7rebBnXucZyp+OpavbBVn1M+MpOKM/Xyix20gYZcvXw7WwIxj8/AvQKe15eb+&#10;fQfy8wr9fAPNJljqahsY6pmYm1pPtrK3n+xka+1gZTbZUM8U9Jw+fTpOfVFRUUZGxkckLDaDUo87&#10;PS5mNZevVmwpT0lInGhhKS0hSZ7xYG5FUozS9M8Q9qcpcVkV5BNQU1NzdnYuLi6uqqqCP8DqsBas&#10;ka6OJpgNYfW16tcm7OviZmKaJk6wqwvu7Nqly1s3bk5LSrGbNFlNSVlCVFxUUIifefuL3g4aNmwY&#10;Dw8PPz+/gICAiIiIpKSkm5tbUlJSWVlZeXn54cOHL1++fPv2bRRUlDEUDCyZApSKpjGkBpBmZZqA&#10;uGmawJTYNq6YBZAWZOAAywcmWltbjx8/vmHd+pyMzJDAIIsJZopy8qgMCvMLigiQ5g5s9sgfhwOm&#10;I34Yho1nWldJ8yvsDCw5gn6T1UhP38PVLW5G9MKS0sryipNV1Y119R0P2nq7ukkX2p1d5NM73Dtp&#10;SHy1okdyEGHPnj375MkTHHD8C8e2vh4ednd+XsG08AhPd28vd69Av6BpoRExkTEJ0QlxkbHTQ6f7&#10;e/k7OTmlpaXt3bsXqEpPT/+IT2txJ8P2INHV1XXz5s2KLVtTE5NMDAyF+QVwWnFdHMjQoQccA3Iv&#10;DLiXlxe2/MSJE1g+cildIwoFXSn9yeor1RdBWG5Oonr+7Dk48ritA3A5cvDQsrIluZlZqCYDtUz3&#10;/iKMaxhF+9vHcDTzST4M5eXlTUxMUFaDgoIiIyNR6mbPnr1o0aL169ejsnn06NHz58/X1NQ0NTWh&#10;nMDhohxCDx48oI+Ictb+qnWFQGGAoK2tDVPCqLa0tKCI3rhx49y5cwcOHNi0adPixYsLCgrgo0OC&#10;g92dXScYm4CVqOwDoLQpGQkmSII2BQiM5UP5hGPV0dCym2Tj6+k1fWp4enLqnJmzVi1bvnfn7tMn&#10;TsIrkb5XHnc+J498MR80Y16sImClgfRXK3re307Y5sbmvbv3FeTmB/oFWFtYGurqmxub2lhNdJxs&#10;42Jn72RjY29tZT1hwsSJE+Pj4/fs2fOJCIuNwQUVG4bMs2PHjqS4eJuJkyRExWilinrYQfQcSpBq&#10;2ZgxwsLC6urqMAclJSXY/Vu3blHDgQs/hqyN/dr1+QlLhZwEkEHUHj7DX+bDJ0/aH91qab1+5erm&#10;DRtzs7JdnZy11TUkxMRBKFz/6cdpIORUSluYWSlGEhIS48ePRy3M2NgYFbGIiIi8vLylTAfS+/bt&#10;O3bsGCqkly5dgs+9cuUK7UYaRRqCJ6W2lArj8d/a2lpMCaTCqO7fv7+ysnLz5s0LFy6EZaYPmcnJ&#10;yWF1UpKS8K2CzPdXUITIjWOm4wXGrpInIlEgYVqF+PjBVhVFJTNjk0BfP+zXlg2bqo8eq6u5frOp&#10;5e7NW7DwsKu93b04Di/o47TAPgjLZSs3vloxgH0HYVubWg7u3V+YW+Dj4aWlpk66s+Hjx1BCRERC&#10;VHScqLC4kKCwAD8OPq6pOCnz5s3LzMz8iM8SYBpsCbIlrCUuzDjpKSkpxvoG4yUkSSPPmLEI1Es+&#10;lLCogxEJCgoqKCggI+FQnDx5EtkPxYESFqseynay+mL1+QnLZHXOg0TIzeQHwIFMxRAEacSzvmeN&#10;tXUobAtL5yfHJ9Lu+s3MzDQ0NMaNG0dt7EjUwn/8ccQI1MZHDmOENP2oFCpi4KyDgwP1tjNmzEhM&#10;TMzIyABz4T1nzpw5f/78JUuWLFu2DEMIIIZouqysrLS0FNMUFhaiAGCuhIQELCQsLMzDw8PS0pI8&#10;XiYsjHX95z//+fGHH3k4b2ER94ohyiEqkiiHsLRS4uN0NLUmM22s00Knpqek0k6tDu8/ePXiJdjV&#10;pz29dH/JEcAQF5runl6gtrOrr7vn+VPO1ww5bKVH6asV4eu7Cdt8cO++/Owcd2cXJTkFgGzUMOBs&#10;JA+JESRGIUbighoYGLhr1y6cRxAWF9GPRVgI2RJbgorL7t27cerhlyXFx6EK9cM//zVq2HCcZW7T&#10;6vsG8gn9cC9yKbIQMrOjoyMyW3V1NS7q2GysnSXs167PT1jkYJhWlCia6aHnzJerEdw3TVFNftrV&#10;0/Gw7XbrTfjZfbv3LC9biuzu6empp6cnKSkpICAAG8vHxzG21BpgDG1JgEdADhYTE5ORkVFUVJRn&#10;BNeANOCroqKiqqqKmhqyOE0joa2tjSEdiTGYWElJCf/FEGmYJllZWRRs8F1UVJSunbRUMJ0JkCDP&#10;BsC6ktdbRQSE4FjlpMfra+v6eXlnZ2Ru31p+5sTJpobGW603792+87i941F7R9ejJ9hlDjdxMEib&#10;QH97K/4yYzhppicB0nSA+GrFAPYdhL3V1LK3cmdKfKKN9UR5adLjrRC/gABziqn4+Pnga3GCcMFD&#10;/Z162I/bSoDtuXbtGpaAqzKu06gbCfLykzuuw4F4cj8A19EPIywCAmGReZBvkZdocwEOCCDb3t5O&#10;KnNsK8FXri+uHZakKWV+CjCX6ZcEWe3Fy67Orsb6hlMnT1ZUVCxevDg9PT08PBz50srKytTUFGRE&#10;bZ0ij8Esh7PU5NL2BAxBQ2ofqDAZpoGQIKBkJsB4DDEGP6k1xhCiI+mUEP4L4SeWTFY5erQAH7+w&#10;kLCUhKS2pqa1pZWbq2v41PDE+ITszKwli8v27t5TV1v78MEDlB/sL7l+0JZfJk33EYGxXKTSn7jw&#10;cH/+FF+tyFl/lbCoN3AJi4MDwjY3Nm3fVhEaFGxkYGhuZmZlYWlsZKSrqwsSgaq42uH6h6qMu7s7&#10;CIt6Rk5OTlFR0Z49e4An6v4gVPDB3KEQFkcYx5lzeSMJ8lJs7fUbFeXb0lJSJ1pZS4pLkFPM9F5G&#10;EQkzO3o4+XYkF5rvFTy4KA8fQV4THzV6zGge5BwtDU13V9cFpfPPnj599/adp/AZ/cIW0iGrr0hf&#10;Sjvs24WMhdJI07iqoxDCpGB49+7duro6FEtYDNQQY2NjfXx8wFlYVBEREfgCQj2GsBASFIXwPvhJ&#10;ycgVnYxOM5ib8CiM0aBIpSMZlnLaf+m/6E+sVFpaGuV/woQJQUFBKPO4Ely4cOHmzZutra3Y4M7O&#10;zkfM4w3YI6bg/EYfymEA+wphlyxZMpCwSKBuvnHjRtSdceH09fWNj4+fMWNGcHCwk5OTjY0NKuxe&#10;Xl7JycnFxcVRUVHe3t7R0dEwwidOnACd6U15rKK3t3eIhGXqDQxh+0iit7O7paGxsrwiJTHJ1MhY&#10;XESUl74U+xooP2KICAqpKSn7eHjOKyquPnoM9RtAFntB9wVZhbOtrL4SfTWEHdSSQIWRKEhtbW3X&#10;r18/dOgQOLtixYq8vLzIyEgUSGdnZ5RDc3NzfX19GB8UMFTtJSUlQUBU7UFGUJKKopMilQqspOL8&#10;7u+GDu4YtTlyU0tKSk5ODh4KC9djBBPt4OAAUgCsAEF2dvbq1auxVSjPXV1d2FpsP4wVhpy96hfd&#10;L86P34yw19DPeVj8CwcN/8X1yc/Pz9LSEhOAj3FxcTExMaGhoRgJRURE0Pb0kJAQnOuEhIR9+/bh&#10;oot56UN4WA4SWMiQWglQhwBhwXBrmWoAAHnzSURBVNm+Zz2dXfU3avfu3JWenDrZylpUiLx9N3Y0&#10;6QF9EBM/bsAgCwsIaqmpe7q5l86dd+nc+daWFlrdQVbH7gCyLGe/In0dhIWQw2j2Qm7DEGnOPxhX&#10;C2N4//79O3fuwPWggF2+fPn48eOoLa5fvx7eFoUQxRLgs7OzMzY2hiFSUFAAZPn4+ChGqXsdSFKI&#10;tPMx/pSmMcT0ADQKKmwyKqe2trb+/v7wTYmJifCqAMSOHTuqqqrOnz9/5cqVmpoabAy8NraNbi12&#10;YeCWkyL+G6704ThAAwm7bNmygYQFGXG4YP9LSkrgW3HMcRmbMmVKYGBgeHg4LqLAJc4pbCxMLq6m&#10;SJSVlYGeOOaAEW0lwBLej7B9pFuJpz29LY1NFVu2pqekWk4wl5UeD7AK8vELjOV7vcOBjxuU43Cy&#10;KgqKHi6u8+YUVVdVo9JDDwi2EXsE0e1l9eXrqyEshCLBlEoipIFalCJkO+79ViSQ+fBfDDH+3r17&#10;8LanTp3avXv3pk2bQMCCgoLU1FRUNlHS4IBQqlE4afmEkAA0Ufe0sLCwtrZGYXZxccFIOFMkIHd3&#10;94CAAPjTlJSUtLQ02p0VqrEowPv377948WJrayt91Ia7qTSBTcX2QEjQ8VzRXfsNiu7+IMKeO3eO&#10;Ehaip/LWrVuHDx8uLS0FTH18fHA9y8rKKiwsnDVr1uzZszEvzubUqVNxkZszZ87Ro0exQBxnzEvP&#10;Aob4OdQ7XS9IZz2djx7fam6Be02KT7CbNFlqnASoN/w/PxADS743Qe5hfroYPXwEgpdnDCCrqabu&#10;4eK2cMHCkydPwkDgsoFtxB7hsNDtZfXl62siLBUtG1y9PhL5jw5pNbOtrQ258/bt201NTQDutWvX&#10;4C7hMeE0z5w5A/6eYIRMXF1dDVCWl5evXbt227ZtKNinT5/GBLDDGKLww2FhCIOMJWA5N27cwDKB&#10;gLt372IVWNfjx48xpLU5ujEQd/MGbSez4USDfv5GhEMEDSTsihUrcIRxDOnRwBAT4CTi3OF8HTt2&#10;7NChQzgp0MGDB/ft24fqAk4NEhASOCM4EfTg0+VjCfTaNkTCvnj+4knH4+tXrm4v3xYfE2uopy8t&#10;ISkiIMg7mmc0+WTnGNKbBB//ICZ+3IBZHjOSdP4rxE8e79NS03Bzc8vNzcVeI48xFw726YKvSV8l&#10;YZHJqF3lZjUm45Gf9L+0jNHx3DQtclzRkRDSKIe0KALHjY2NV69evXPnDq3d4790yXRKOobOiDR3&#10;pUhjCfhJ/zVIdBokMBm2nI7kivvf35RwKKBBhOX2S0BFp0SCHjdUSgDH+vp6DKGbN2+2tLTU1tai&#10;6tDe3k7PNfdkIY0EPa0/R1iIOyXU3dnVVNewo2J7BmkcMBPmFxw1bDh4xzySRT7egzR9SAsJzvMD&#10;/Z0S/DSG1PTf8ITsgMcPSAK8pj/pEpAYPZxAnG/MWMbGjkTwjBglwMunrq6O+tOCBQtQSXrw4AEu&#10;IXSz6TbT7YeQYPUF6usj7CcS8ijKMKiKMs8trhDNxKw+uujhHUjYVatWgbA4BTjm9L90SvykoISf&#10;xX+B4EHCyO7ubpw+7iwQ0nRGjK+srHwjYekVERMggeXXXr+xa3tlalKyhekE+EfyxjNB4eAAYUnn&#10;GIyr5SN995Du0ukQFGbeQSAI5gC0P5gxoxmeMs9KjyGfBKbTA6kYM/w/P4Cng9aFoK/Venp60g8p&#10;4jKDnaJ7R/WWSzurzy6WsBwvQAo0I2RWiKbpvzjTsfqookd4iISlP+mpYc7Jz4rOAmF6/Hw7YfEv&#10;TIlpINTBDx88NHf2HOcpDgoycmLCIhKiYlLiEkDt4BgnMU5EVFxEFEPyIi/ThzrBLnkBgTD35whL&#10;EEy+38F89JN5fxpLGCcqJsQvICEmLiIgKCn22rrExwkKCsrIyBgaGgYEBCxfvryuro4+7Ud3k3tM&#10;6E9WX5pYwnIKMFPifsqmA3/SNER/svooYpg5JMIOFB0/SJz/vSqMx3LeTlj4VgwxAdxxbW3tiuXL&#10;I6dF2E6abGxgaGJgaKirp6OhieGgMNI30NXS1tfW0VbXkJUeLyYkTD7tM5p8pQL0pA/MvpGwqPUT&#10;04r/M00NYkIiGiqqelraGqpqRnoGupraBjq6g9aFMNDXNzY2NjMzc3Jyys3NraqqojdUsY/YeOwg&#10;hnSXWX2BYgn7k0iZ6xdnFCP8pMWV85vVxxDDxg8hLHVtA0UnHnSC6Ji3Exb/whCcBbBA2FUrVybH&#10;J4QGBoUEBE6fGh4RNjUsKDgiDIlXAv+aGhwyfeo0X08vPS0d+FzaQSVD2NGEsMyH5gYRFmMIYZkP&#10;doCwmExZXtHV0YkubUbEdKwuMjxi0LoQYWFh4YxmzCDf9di7d29TU9Pj/vuB2H26v6y+TLGEfQWs&#10;XHH+14/X1wswq18oelTfl7Dk3LwqOiWENGciRnTM2wlL8YQJANn29vYrly+frDp+cN/+Q/v2Vx85&#10;erL6+Mmq6mOHjwyOQ0cO7TuA4dqVqwL9/PV1dMWFRQXG8oGwCD6mH7XX8MpDTC7TFEsJCyhbmpkv&#10;nr8Ay6k6fKTqyNGjBw8dP1o1eF2Hjxw+dPjIEfz7KNzrxYsXb968CbxyH5nAXjC7y+oLFUvYdzCU&#10;/hdFkc3KH1f0mA+RsBjz+si3C1NilrcTli6NTokhQPuC24EZDeYl2kHxAqa5t+9l3/MrFy6lJadY&#10;mZlLiIoL8vLR5leC1zcRlrlvRp4xYJ4WGCkhKubq5HziWHVvTy9Z4NO+vu4e2qfa4GA2FTsCcfMh&#10;hgPTNMHqCxRLWFafRyAa9L4edujC7FjO2wnLmfQ9xe3n7NqlyxmpabCiMpLS4CbPSPJxI8CUNsi+&#10;HqOGDYeBJZxlPtvu6eZ+6tQpbCdYyezuL9pfVl+mWMKy+jyiTGEJi+1kCfsNiyUsq88jyhSWsNhO&#10;lrDfsFjCsvo8okxhCYvtZAn7DYslLKvPI8oUlrDYTpaw37BYwrL6PKJMYQmL7WQJ+w2LJSyrzyOK&#10;lcePHxcUFFDCgn0gDvdZ+l8iClAIq+hlen7R19dXU1MLDw/HWurr6xmgfSDRWMKyGrpYwrL6PKJY&#10;4XpYFxeXFStWcAlLxZn0/YUlY/lYAoaUsIaGhurq6lwPiwk+ePksYVkNXSxhWX0eUaa0tbUNIiz3&#10;GwfQB0MQzIIGEtbY2JhtJWD164slLKvPI8qUhw8fFhQU6OjoUMKePn16YDvsB0MQ83IJS9thTUxM&#10;NDQ0wsPDly9fXl9fz5nug8QSltXQxRKW1ecRdZd37tzJy8vT1tZ2dnZetGhRdXU1bSWgxPnlhAVe&#10;u7q6tm7damRkpKamFhISsmTJktraWvzrgxfOEpbV0MUSltXnUV9fH2Da1NSUkZGhrq5uZ2dXVFR0&#10;4MCBBw8egH30GYAPhiCdHcx68uRJW1vb2rVrDQ0NVVRUgoKCFi5cWFNTwwCWJSyrTy6WsKw+j551&#10;Pr1X33Jk576I0KlqSsp6enrBYcFzF8zdd3j/uSvnrtZevXrjys365odNdzpa7z+509Z171HPwye9&#10;D588besaGF1tT+4+ar/f0Xbv4cO7d+7cam5tbWi82dBUf+36hTNnjx05unnz5rT0dA0NDSUlJUdH&#10;x8LCwsuXLwNnLGFZ/QpiCcvq86jnweOrJ86uK1vu7ugsISouLSWlrq3u6umSnJE0v6x0Q/mG8h1b&#10;923fdWzXwbOHT1w/fanp0o3Waw2tNY2DoulGw9XGuis3as5evFBdVXVgz97dFZW7t21fv3L17IKZ&#10;sbExnp6eeob6UozMzMwSExPPnz8PqHG24/3FEpbV0MUSltXnUVfbo7NVJ5bOX+Rs7yAqKCQqJCwn&#10;K6Oroz1popW/r3dqclJ+Xnb+zILZc4sXLilbuXb1uk0b1m/euG7TxvWbN70SWzatK9+4ZtO6pauX&#10;LyhbUDy3aPbswpkz85NTEr18PM2szTX1taUVZURERMaPH29qajpjxowLFy58sIGFWMKyGrpYwrL6&#10;POru7rly+fKGdev9fHxBKKlxEtpq6tqq6hqKysbaum72joEe3j5B/r7hwUGRU0OjI0JmRARGhAVM&#10;CwucPnVgBE0LDQkLDJ0aFBoeHDYtZOr00PDIME8/D0c3RyMzQ1UtFSUNJVklGUlJSXV19SlTpqSn&#10;p1+7do1phmVbCVh9crGEZfV51NnT3dDUtP/AgajpkUryCvLSMia6+tYmZjZmVs6T7UN9/GeEhPtP&#10;DfYJD/IJJ0PvqYGeof7uIX5uwb4Dwz3Q28/Xw9/PMzDIJ3hqIPAaETMtMDzAL9TXydPJxmGSmbWp&#10;uo6qjIyMnp5eWFjY4sWLr1+/Tu+DcTblPcUSltXQxRKW1efR4+dP27o7rzXU5efnGxkY6mvquEx2&#10;TIpMKCtauGnFxsqN27etr1i9YtWyJWWLFsyfP29eydzi0nlzEUgMjPnFRctmzy6bM7tsblHZotJl&#10;KxcvX7N0S+Xm8u2bNmxcs3rp4pmZ6SEe7vLy8oaGhllZWfQ7V73MNxA5m/KeYgnLauhiCcvq86jr&#10;5bPel88fPO5Yu3ZtgG+Alamls41T/PSERfPK1q7Zsn79tpVrtqxZtmrtkhVry5avXrRs1cIlKxaU&#10;IVYtWvpKLChbX7po9cLFa8qWLF+xbMma5UvWrlizdcOajWvWrVuzqnTBnNSMCFcvZWVlW1vb1atX&#10;X7hw4f79+78EZyxhWQ1dLGFZfR51vnwKwj7q6Txw4EB+Tr7rFFdVeXU9LeMJppPMJjqY2zib2bv6&#10;unhH+oamTostSMiYlZxdmJRVmJg5MynrlUjMnJ2YXpiWmZ+emZCSHBYT5Tc9bKLzFGvbyUCqrcEE&#10;Ox3jSUraRkZG4eHhR44caW5u7urqYtthWf06YgnL6vOo78VTxNOnPdevXCvfVB4fnSgupcArNv5f&#10;QuP+T2zcn8fL/kVFVVLbQMfUerKzl1dwRMC0GP/waBJIDAi/8Bl+UyO8IiNdp0+fEBag4uUk6Tjx&#10;36ryP8pIDxMTHzuMT3yksJG0Zmho6KJFi+rr67l4hTib8p5iCctq6GIJy+rz6Nmz3mfPnr54/uzJ&#10;w/aaS9cWlCwGTKU09UYqqn6vpTXSzGyk3WRhKytJ60kKUxzV3dy1vX10vH31fP0M/AMGhr6vn567&#10;u7qXm6Kni6jnlLFuNiOcrXjsLfitTMfqaguPkxcVGu9o7rR69erz588/fvz4l4OMJSyroYslLKvP&#10;pL7el0+fvnz2/MXT5/fvPly/boupg6vcBIvRhkY/2k4a6+02IshrhLfLcA/HYW4OGI7yduEN8BII&#10;8hEM8R0YwsE+Uv5efL6uwz2n/NXH7s8BU/4a4jQ8xI3Px2WM7URxbeOxEkquriFnz57t7Ozs6+uj&#10;7hVQ42zG+4slLKuhiyUsq88k4PVp38unz1/2vmh/+HjzlkpL3wBZG9vh1hY/+Lvxx4UPT53+t5yo&#10;P+VG/TEn8o+5UX/Jj/7HrPjvZycMih9mJgjlxI/ImfGvrIg/5kX8cWbUH+dEf58b+UNC6D/8XAVs&#10;pvxdUX1ycPTVq1exTi5hkaBb8QFiCctq6GIJy+ozCYx7+uxl37OXvc/aH3Rs2VwxySdAYbLtqIlW&#10;P0z1FcpNHF2a+e9FOf8sy/0XiTwMv19E4p+LX4l/L8geVZT247z0H0oz/1GW9Y+l2f9YljOiLHtk&#10;buz3U72F7ad8L6/iEBR57tw5ClYMQTSIsxnvL5awrN4omrXoeUSajmQJy+oz6fkLEtCLl4/aO7Zv&#10;KZ/i4aMxyXbM5En/Fxnwz9kp360p/N3qot+tLn57fLe66Ls1c8iQpOcyP4t+vyz/r7MT/xQTIDjZ&#10;aoS8go93IH1Tlub7p7DPv0AsYVm9UchdyFr04k3zGM4pS1hWn0ksYVnCfnOieay3t5fmMSRYwrL6&#10;TGIJyxL22xJyFxes9CdLWFafTyxhWcJ+W6JI7e7uvnPnzqNHj+7fv9/X18cSltVnEktYlrDflnAG&#10;29vbz549u3Hjxq1bt5aXlz958oQlLKvPJJawLGG/KtH8Aw36yRXyVV1d3eLFiwMCAvz8/KZPn373&#10;7l2WsKw+k1jCsoT9qoQTRJ/2QxpDesqQ6OnpgXW9dOkSrGtOTo6Hh4eRkZGmpqahoWFzczNLWFaf&#10;SSxhWcJ+PcLZ4eYfpIFaCGnkpdu3b585c2bp0qXh4eG6urpKSkqSkpKCgoKysrLXr19nCcvqM4kl&#10;LEvYr0fIM1y80vMFwj569OjGjRu7d+8uLi4ODAyEdZWQkFBRUdHW1lZVVcWwtraWJSyrzySWsCxh&#10;vx6Bp8g8OEfIPEhj+PDhQ2SqFStWzJgxY9KkSQCrtLS0lpbW5MmTfX19g4KCvLy82FYCVp9PLGFZ&#10;wn494hK2s7Ozvb29pqZmz549ixYtCg8Pt7KyUlNTU1JS0tHRsbW19fPzi46OTklJiYyMvHnzJktY&#10;Vp9JLGFZwn49wtmhhO3o6GhsbNyyZUtERISxsbGioqKCgoK6urq5ubmnp2dUVFRqampmZmZWVlZ8&#10;fPydO3dYwrL6POp6+bTzZW/3y6d9L/vaO9oqtpY7uvlrWTvwW9v/edrUHwpz/mdFyf9bUfz7/vjD&#10;iuL/Xc6J/0MsK/4jE39YMee79YXfrZ353ZpZTCAx8/fLs/5cFPP7eO+RDhP+rjZ+SpAPS1hW76We&#10;nh56L4u+Aos03CvYevTo0ZUrV8bExFhYWMrLKampahoamEyaaOvl5RsePj07Oy8zIyc/b2ZWZm5W&#10;Vu6D+w9YwrL6PAJbu1729vQTdtvW8ilufhrWU3gn2v0xIuzfhdn/tXLef68q5sb/rCr+fysHRD95&#10;/2flnN+tnfm71YhZ362e/d1qStjsP8+J/UOcD4+d2T+VZZz9fVnCshq66OlAbuEOQVjgdePGjcnJ&#10;yQ4ODjCtsrJySkqq5mZWHu7eYGtiQkpGRjZLWFZfivoAOgavz/sJa+/hpz7Jfsxkuz9Ehn4/K4tU&#10;+dfP+9lY1x9rwd/ZTMz5L9JWMPu7NbN/vzz3r3Pi/xTrJzjZYoS8nK+XP0tYVkMXda84L92Mbt68&#10;ee7cuVWrVkVFRU2ZMkVFRUVKSkpDXdPCwtrHxz8mJj4tLZMilSUsqy9FL54/JfGyDwHClm8tn+zp&#10;o2RjO8LW5r9nBP+1KP27tXO+WzPvu9UlPxtrSPxu1bz/XV70/5YX/8+Kud+tJsD9bl3xfy/P/+vs&#10;pD9FB0pYWgtKKUY4BbGEZTV00XwCznZ1dd2+fbuiogLW1c7OTltbW0tLS0lJSV9f383VPSx0Wlxc&#10;Ynp6FtxreloWgiUsqy9Gz/pePnv68gXMQl9Hx8Ot5VsneXkr2toMt5v839FBfy1O+27drP9aNfe/&#10;V5RyYuVrsar0v1bhXyX/u7z4/y2f+z8r5hHmroPznftfKwr+Ojv5T9FBEpYTBaWUpjsFs4RlNXQh&#10;n4Ctt27dqqmp2blzZ0pKyqRJk1RVVeXk5DQ0NExMTNzd3WfMiElNyQBJQVXiXrPycnLyWcKy+mJE&#10;PnDQ9/L5Mw5ht22Z5O2laDd5uL31f0f7/604+bt1BX9ZMvf7RaWIfyAWl/59cenfEGWlf6WxpPQv&#10;S0r/tKTk9yvm/dfKeb9bVfLd+tLvNpZ8twneduZfilP+NzZYwnKSoJRKpFMoS1hWQxdySH19/f79&#10;+0tLS729veFYZWRkFBUVTU1NnZycQkNDY2Njk5JSAFNK1Yz0bDhZ/GQJy+qLUS+HsM+f9XR0PKio&#10;2Grl5qw40WL0ZPM/Tff5YWbc75dn/37JrD8sKUL8fmnR75cV/b9lxf9DWgOK/2vlK/G7lcXfraIG&#10;dt5364q+Wzfnu+W5f5od//vYQGFra57xilM9w1jCsuIK1X/kgUEHHCN7enq6u7sfPnxYV1e3ffv2&#10;7OxsT09PmFZpaWkQVldX18XFZdq0acnJyRkZGcwTWcTAUg+bmZmDoLTNyy2EpUWwhGX1+dT7nHyk&#10;C3h53tPWfm/L1k2TPVxVJlmOnWz+t2neIwri/m9p5h+Wz/o9aWMt+p/lRf+9fM7vVjCxqoh5+pUb&#10;4Ons71YiMfd36+b9bm3R79YV/W5F/p/nJP0hLlDQ2mqEtKy/K3unixURzQNc4chDoCoOPv159+7d&#10;Y8eOLViwICIiYuLEiVpaWqqqqvCwdnZ2fn5+M2bMAF7T0tIoYSleuQHOwtJSwuZk5yNYwrL6fOp7&#10;/pIw5Xnfi577D+9s2LjG0dVZy8xU2Ej/R097ocSpI2Yn/n551ndrc0msy/tufd53G/O+25T33ZaC&#10;77YyUc7E5vz/WV7wf0sL/7R01l/KZv15UcGfFub/ZU7y92nT/hTkPHaC/jAZKXd3T5awrCBkAO5x&#10;RpoeeQxhYB8/fnzr1q0jR47MnTvX3d3dyMhIQUFBXl7e0NDQ1dU1MjIyJSUFrhXGNpMRk2QJy+pL&#10;FbJ234vnfS+f9zCE3bxxjZO9vYaODr+C/L/NDAR8XUbFhfy1IOZPxQl/Lkn664LUvy3O+Nvy7L+u&#10;yP7Lyuw/rcr+46rs/1ud/b+rkc751/KCEYsKRpXm887K4c1NH5udMjIufFig2/9Z6I1QlhktKerj&#10;5cESlhXEzQMD08Drw4cPz507t3r1arhUW1tbWFdIT0/P0tLSw8Nj2rRpiYmJsK6UrVBubm5eHmmB&#10;ZQnL6gtV38sXT18+R/S87Glrv19ZsdnbxUVHS3uMmPiflOT/Y2H8Vw/b/4ny+e/EoP+XGvqHrGl/&#10;yov60+zY/5sT+4c5Mf9TFPNfRTG/mxvz3dyY/y6O/Vtx8g8FyT9mJYxJiBkTGcEzbeoIP49/21n+&#10;t8r4f0kIjpEQ9vN2ZwnLiituTsAx7+3tpY+7rlu3LiwsTFNTU1xcXExMDIS1t7cPCgqKj49PTU3N&#10;YF4n4BrYnJwcMJYlLKsvV93kxdnnj1/2db7sfvS47eDeHcnhEXYTLCTEJP8uJv5vZaU/GuqM0jXi&#10;0zHh0zflMzTjNzbnnWA51sySx8JqpJXVcCurYdZWP1pb/cPG8juPif/rOOmPdhN/mGA90sCcR9ds&#10;pLrOSGWVv4sKi0iKKimMjwtj+yVgxRHyAEwrhjjgHR0d169fr6ioyM/P9/b2NjAwUFBQ0NDQMDIy&#10;cnV1BXCjo6PBVto4wPhWYDQrPT2dGYlxLGFZfanqfQ4D+6L35fPeF087Ox+fO3Nq/pwibzf38VLj&#10;hwkIjBwn/h8Z6b+Pl/7L+PF/GS/zZxmZv8jK/VVB/i8K8n9WVPiTksIflRT+T5kJVbk/aEr/QUX6&#10;D0rSf5KV/ruU1D8lpf4mIPijiMhwIUEZ2fHW5mbZiYkoSBRkKF1IMLDl1BbfV8/6nqF0grBXL1/J&#10;SE83M50gOU6Cd+xYntGjmSHPmNE8vKPHDAqAFYQV4uMfM3IU8Ipwc3Y5ceIENqm7u5tuDzaMs47f&#10;jLD79HRwfjMEfPvFhh4oOhk9p1zhpPT14RTjH+QUkRH9Q/wLCfpfZIHurt72to6rV2u2lVckJCTZ&#10;2doryCtKSkppamrbTLYNCg6JjolNSk5NSUvPyMpGpGdmZWbnZOXkYoh0Bn5m5WRm5w2MjKzcrJz8&#10;tPTsnNzCrOx8xD2WsKw+l0h5YISiAsQ0NDTs27cvJiZGSUmJh4eHn59fWFj43zJS3yvL/Udd6Uct&#10;1RE66qP0NEfpaY3SfzX01Efoyo/SkR+lJcejJsOjIMkjO+5H/jHDeEaN4R2rpqQc6h+4pGRBa2sr&#10;2IqVcr+0DNENeF9xi/fFixdhZ0xNTVGpxDaPHj16zJgxo0aNIonRPGNfDSB15I/DBPn4Rw0bMXr4&#10;CJ4RI10cnaiH7enpoUvGFtLEb0f0REA0jaMB0Z8DRcdDSDOTE9ExnB/Q8xcEo4StJA2qDgz8C0P8&#10;F/9CRmhpuXXw4JG5c0uDAkPNzCw1NXQUFVR0dQ0cpjgHB4VFxybEJ6WkpGdmZOdmZOelZ+WkZ+Vm&#10;5uS9PTBxVm5+agbsbGFmTj7i3gOWsKy+AIEsDx48gM0sKSmxtraWkpIaN26chISEkJqqkJ6OuJGB&#10;5AST8RZmslYWctaW8q+GnJWZjLmevIWBvLm+nLGOtLaqpJqiwDgxXkEBLMLGelJhbv6+nbvv3r1L&#10;/Q5tIqBFkq79fUVLNZYGwqLOaGlpKS4uPhbulYeHl5cXeCUJnjF8rwZsLM+IUSAs8Dp2FA//mLHc&#10;VgKusEzOOn57wiHFEUBOgOjRgJizxCEpVzhKEM4jfXwVCfoN7a6unq6u3iePuzs78aMHQ6QfPeps&#10;b3vc3v748aMu/Oxof4L0zdY7Bw8cyc0tcHR0UVZWExOTUJBXNjUx9/byi46OS0vNTErLSEnPSs/O&#10;zczNZwnL6msVLT9IoNigkLS3t1dXVwOy06dPd3FxmTBhgoyenoimJr+KylhFRT5lJSENdRFNDWGN&#10;V0JIXVVIVVZQWUZQabyokqykivx4VSU9E0N7R4fIqKj5JaWH9x9srm949OgRiiVWh+HAVX+AsLV0&#10;3suXL2dmZlpYWIiKig72sK81wvKO5hk9fCT/WN5Rw4YDuPxjeN1d3E6ePInt4VKDLv83KALO/joN&#10;PRrgJob0NNF/YdjV1XXv3r2WlpZGRleuXMElqqqq6tixY0ePHj144PDOHXs2btyyds2GNWvWr161&#10;btWqtatWrkUCYzAsW7xs3tz5hYWzc7LzI6ZFTZpoq6Wpq6qqAQNraTHRzzcwLjYxNTWD9DCQlZuR&#10;kwdcIsBNEBbDQTx9PVjCsvqCREsOLUJUKFEdHR21tbUHDhwoLS2NjIy0dHDQnGAupa4pICM3VlKa&#10;f7ysoIwchgNDYLyMkLQE/zhRfgkxKQU5DT0dI/MJwWGhpQvmo+zV1dY+vP+gj+nic+DqaJqzKe8p&#10;OiOWAMLm5uba2NjIy8uLiYmJiIjAzGII4IqLiI17NSRExUQFhaXEx4kKCmEoISru5+1z7tw57DWu&#10;LhhCdPm/NWHHgc7Ozk4cB9hSJGBIkROgx49hP9tR/2hra7t//z6oCqQie+zZs2fnzp3r169HPiks&#10;LMxnlJGeFT0jLiAg2MPD293dy9PDx83V09nJDUNPTx9XFw9rq8mGBibgKagqL680bpyUjIy8np4h&#10;pgwNCY+PTwJbM9KzEYSYuQSRlJsEuCxhWX1dAqdQtAjtXk2ggDU3Nx8/fry8vHzpkhVz587PzMiN&#10;nhEfEhzu7xfs5xcU4B/yagQH+wUgwkPDkuITZhUULpq/YNOGjSdPnLx9+zYttwAqXT5EV/0LCUuX&#10;0NTUtHnzZkA2KioqKCgoAIU7OBjDwMDA4ICgkNciwMdvanBIsH/A1JBQ4LV07rz6+nrsMrYQS4M4&#10;K/gtCXsNjOKM37hx49q1a+fPn0c95siRI5WVlTi2GzduXLFiBao1xcXFGM6aNSspKWnGjBnR0dG4&#10;AOOYe3h4ODk5OTg42Nvb29jYWVlNmjDBwszM0sLC2sLc2myCJer+CIyZYGqhr2ekrqaloa6toqKO&#10;oY62PiYAjiMjoxMTSe+umRk5pG+BLLAyL50BK8NW8hMxiKevB0tYVl+QULS4YKVNb3Q8RsLCoFIP&#10;23L37oObLXdqa+rPnj5/cP/hym07K8p37Ni++5Wo2LmrfPv+HbuqDx25fO58U13DnVu32x4+xBJg&#10;iMgqwERmyXRdSBCY/QLCYl665UDD9evXQYT9+/dvZwQuVFRUkETF9h2vxfat5bsrdyKBYfmmLedO&#10;n0adF0vD7tMlf/AmfVKRozZAzMEjQnrgBNyRXOFfGMO0rBLhdECwqzhuODt0iCOAY4hqPg7dpk2b&#10;li5dCpimp6cDoLhWeXl52dnZmZiYKCgoqKioKCsry8rKjh8/Hj8hVB3kGMnIyEhJScnKyCsqqACd&#10;MKrgKWUrEibGZiYmZiAvCVOLSRNtJ02ydXZ28/H2h3VNiE+meAUXMzNzkMgiYM1Jy8ymMRT3SoMl&#10;LKuvTc9fvnj6oq+z9/H9jnstd1rqmppvNA6O6/Ut12pv1ze137zT0/74eQ9mwGz9WGX+9ic/ssCL&#10;Bw8etLS0wIoOUkNdfeO7orWpGbgBejiLY3jESX1JAisZeP4kXGCw2ZShdAIIY/AvJOg0NAGMoibR&#10;2tra0NBw4cKFkydPoo6/ZcsWVPDXrFkDns6bNw+VgPj4+PDwcHhS1OcdHR1tbW0tLS0nTJgAturr&#10;62toaCgqKgKvqqqqmpqaOjo6enp6GG/IyNjY2JSRmZmFpeVEOzsHFxd3dzcvd/c3BBwrKj0Aa8S0&#10;qLjYxOSkNNqp66AgT1+9BtB3BktYVl+bABzyqA2K7/PnvX1Pu3oQfd29AwNjeh939j3pImx9+pz5&#10;wOIrWP10hAVBuNYMNf2BetrT2/eu6O0mt8JBK87iGFRxUl+SKCsx5G4eTUP0JxXFLr2zT48JLj+4&#10;2Jw5c+bgwYPl5eXLly/Py8tDBd/Hx2fKlCkWFhba2qiwq8CNSktLS0pK0mdIxMTE4EmVlJQAU2AU&#10;nLWysgJzMYuLiwsQ7OfnFxgYCByHhISAy3C7MTExcXFxsbGIhMSElJTkdAQSCQnJSYmpgyI1JQMB&#10;sGZm5JA+BpkOXgcFS1hWvwlxyvFPen0MKf0vnr0aBAeYsn8hTHx0Yc2c1Bu2E1vFfEn3rYHtpL6P&#10;s5QvTJz9YER/0jRISq8KGAOednZ23r17t7GxEZV9uNTjx4+Dpzt27Ni8eTO1qKBqSkrKjBkzgoOD&#10;nZ2dra2tjYyMwFY1NTVU8yE4Uwg/4VVBVfwL1nXixIn29vYODg5ubm60aRs8nTp1KpensL2JqN6n&#10;oILP1PDzQEbShWBOdn5uTgFG/Bw9SWSR/4KwmJXOPShYwrL6TejZyxcDAwV90BhEH9O5AfNFGqYr&#10;GQQIi/LPWcYnEQMfjgb95OhVmL4xKLEwLV3mFyWyB/2tARhy0/Cn8N1UtBUVLvXEiROVlZUrV64s&#10;KioC8uArXV1dUc1HXR64VFdXh1FFNV9OTg5DpEFSmFMzMzPQFuYUztTLy4veJwRDp0+fTjEaGxtL&#10;h0mMkhlh+ampqWlpaemMmF4ESUetwGQmcJmeDchm0S8OZOcDo5ShA4PgNYvAl0C2v1PXQcESltVv&#10;QrRrmIFB3rJ9LXpevkT0kulJ9BEQc5oKiD42bhmCvkuv8fTN8aWK7AFjseFSAdOOjo47d+7U1dVd&#10;vHgRPD169Oj+/fsrKirWrVsHo1pYWAg7GRoa6u7ubmNjY25urqOjQ29AUaoqKyvDotImVAMDAwsL&#10;Czs7O5hTX19fmFP6+n8CqvTJyYBmDmwoMMiIm87Pz4dLhXJfFSbgCh6W8JFhK4J2DkBJOjDofwcG&#10;F6zcYAnL6jehnpd9XS+fdr/s63n5bBBVudHz8nk3049Mz8sX3Ui/eIb4pISlVXswiPP7jaIrfWd8&#10;JDFQJ+L8HjAG4o7BGsmAjuuP/jGviIvXnp6etrY2sPXUqVPl5eUlJSXwj1FRUR4eHnCghoaG9E6U&#10;rKysgoLC+PEyGMK6GhsbYzxsLIALi+rt7R0UFDSNUUREBHgKZwqhpk/BCheKwJIhcuMpL4+MIXX+&#10;XPyEac0GQF8NOguC2FfOSExMPuICJ0u+Tsj42Zyc/NcjO4fBKPGwxMZirkExJMLSyQYE7ZcgNR2o&#10;L8zMzkew/RKwYvUtCFX4Qa9UQJSStM0Uwk/CU9L7Cf71E2Ex09Pe593dTx91dN65c7+15faN6/Vn&#10;z144ceL0kcNVFRU7Vq9at3BBWUH+rNiYBB9vf1ubKWYTLDU0tJWUVGVlQFU50FVeXklRQUVNVVNf&#10;z8jSYuIUeycXZ3cv3wC/wJCQqRGR0XEJyampGVlweYM59fXGa86X7VuLFatvU5SngClXhKcMVbkJ&#10;0BZ4fUY/Psmg9vmzF31Pn/f0PH38qOvevYe1NxpOnTy7a9feNavXzyycExeb6O8XZDPZ3tTE3NDA&#10;hLxgqqKhpKiqoqyOGr+2NqyqoYmxmbXV5ClTCE8xcWBASGhoeEREVPSMOMweE58Ul5gMtialpqPu&#10;PMR3T7+aYAnLitVvShy4MngFc+kYamNpc2pvz7POJz0dHU8ePmhvbb1dW9tw8cIVUPXQoaOV23fB&#10;q5bMW5CeljU9YoarqwftcUpmvLykxHgMYVcV5AFXLT1dAlYrq0n29o5enr6hIeGRkdExMfFpaZnk&#10;jX7mKShS9c7Mzc4rQGSR10/z6IunLGFZsWL19YlpFeBo4E/Gwv6kx4+7bt26e+ni1QMHDq9buxE8&#10;TUxICQud5ubqOXmSHbyqro6BpqYOMKqioo4hfhoamphNsMR/nZxcwVN//6CgwNDgoLDw8OlRUTEJ&#10;8cnJSWnJySRAFhIZzN38TPIta9I0ydz/Yd5AzWE9LCtWrL5KUZjSNBK9vb1dXV0dHR337t1rbW2t&#10;r6+/du3ahQsXqo6dgFddumQFcDBtWqSHu7eFuTUwqqigIi0lKyUpA7uKGD9eTlVFw0Df2Np6spOj&#10;q5eXL6iKun98XFJKcjp9Yp/QBBDJITfiYVrT07O4YKVwwb/SMnO4wRKWFStWX6uoY6WJ7u7uBw8e&#10;AKxA6qFDhzZs2DB37tyUlJRp06Z5e/k5OrhYWFgbGBhraugoK6kBrzra+hiamppPmmhrazPF2dnN&#10;09OHvlo6LTwyKjImJjo+Li4RbpcaVZCU9I3C9JNCn3/CTwS5iZ/B2FgmCHMZEvX3osISltXnE1OH&#10;e+VG8McVZzWsvgDhdOBcM+2l5C4/Pe/0X1QYQ+5K9Y8k5+9NwmT0sf+HDx8Cqbdv366tra2pqbly&#10;5crJkyd3795dVlaWl5cXGRnp7u5uamqqrKwsKTkeITFOepy4FEJCQlpPzxBstbGxd3f3Cg4Oi5we&#10;DZdK0UkfLM3NLaBG9QMCDBpMpc8dr3WURZ5apfQn/W339wmLnzSdnVeAiVMzshGMGSdDXCfwr5y8&#10;AnJwmEduSdMzY+Rx9OiDYuTF3PSse3fvsYT9gsQtOVScsay+CdGTS8UZxYh7rjEeCToBxB3z9OlT&#10;AHegMBLD9vZ2VP9Pnz69f//+8vLyZcuWzZw5E+U7NjY2KCjI1dV18uTJFhYWhoaGenp6urq6GKLi&#10;b2w0AR4WXtXJyRVUJe2qQaFTp0bQRlUAAnQg9f3+16JycwhEBqFziPHlEnYAahGkK9j+3mBpMP0W&#10;Eubiv1nAaH4hhqAqaVNmcEzaPRiq0oYRitfU1IzkpLT4+CRY/rjYRBzPWzfvsoT9skRLFylzH9XS&#10;cpY+oJxzfrP6tYQTSn0rRM8vEhhPzwWGvb29MKQdHR1tbW3wpNSWNjY2wpneuHED5vTatWvwp1QX&#10;L16sqqoCWBcuXJiTkwOq+vn52dnZGRkZ0ef/x40bR3v5o+9TGRgYWFtbOzq4gKqBASHTI2YkME+o&#10;pqdlpaVl0no9MWK0LZVW/LM5L0cNhOZ7xZdIWBoErGAlB5cMSV95zgFelfGtWSnpmclpGUlMIJGY&#10;kobDFpuQHB2XGB2bEBMdPyMqNjIyGt4fhxQRFjYtJGQqIigwNDx8+u1bd1jCfqFiMPjR9Poy6RhW&#10;v5o4x32AAFkM6X9BW1T2wVPaBfW+ffu2bt0KW1pcXDx//vy5c+fCn2ZmZiYkJMyYMSMqKmr69Olh&#10;YWE+Pj6Ojo5Ap4mJiY6ODkjK7d8PSJ00aZKzs7MXI39//9DQUNquSnrtS06jeKUkxZAYMeYlfS5e&#10;OcG0sf70833iCyQsDRAWeOVitP9JMk6zQHYecaxkmFeAaXC0pkVGh02LDA2fHhQa7uMf5OrhPcXJ&#10;xc7ekT6AoaOjr6Otb2BgbGJshirCRGsbeztHS4uJjo4ura23WMJ+KaKljrE45OlFWhn8KGJqlpz+&#10;O7hFmtWvL3p+4VU7Ozu5XvXevXu3bt2CUT158uTevXvXrFmzYMGC3Nxc2FJg0cnJCaA0NzdHHR+G&#10;VFxcnI+Pb+zYsby8vHQI8fPzCwoKiomJSUtLq6ioGBoaTpw40cHBwdvbGxSOiYlJSkridJiSmkm7&#10;PkGQii23B7/+NgESOf0tAwOwOwidQ4wvmLDEvaakZ1F/mpaVk5qZjZ9JqekJyWnxSak0YhOSIqPj&#10;QsMj/INCPLx93Ty9nVzdbewdJ1hY6xoaa2nrqatrycjIi4lJiIlKSEnKyMspYYyhgYm11WSK2rra&#10;RpawX4pQ/MBBWvZQ8OBo2j+Surq6enp6uG9VctbH6tcVjjzOwv379+lnEXbt2rVly5aVK1fOmzcv&#10;KysrLi4uPDw8ICDA3d3d3t4ethRUNTY2BlhNTU1hUVH919fX19XVpb1VwasqKSnRrqq0tLTgWzU0&#10;NPAvuFdMgynhYTEL5rWxsYGHpR2qolabmJiSns5YV6YHP/pIAMe6Ms0CwCu9gUMnoP8dyM2hx5dM&#10;2LRMEDYzKTUDVI2JT4KzD4uIBEk9ffxdPbzsHJwn2tiZW00ETC0nTraxdwBYbac4OTi7Obl6OLq4&#10;2Tk42ePnFGfYVTtbBzs7hyn2To4OLj7e/u5uXsFBYf7+QQH+wTc/tYdlLBTRwIKNNMZQV/XmAo9x&#10;TOCfL5hvnSN+GvkciyXR9/Jl34uXfc9fPn32oqfveU/fM0R3b19Xz9PO7qedpLPmp91Pn/X2vcAQ&#10;4zu7ex93dT/p7uGku3uQ7urt637a96S7d1Dgv5j40RNE1+PObqQ7Hnd9umh79Lj9UeeDtkfNN29d&#10;r62/dqOOxPUPjKs1tVdrbiCQrqmta269dfvu/fsPO9ofPcHuIAat/VcIHMP2x53YTUTH407mwHY/&#10;woElx5aciEHH/32DOV9kOeS89/bRzPBhgQyDHIVhL5OpniKDvSuQCelcJEOCpMjaTDMr/WIKLnIw&#10;qrdv366rqztx4gSq/6WlpXCUERERbq4eEyaYy8srigiLCQoICwqKCAmJ8vMLCfALiYqIy8rIq6io&#10;wRYZ6BtNMLUwN7eytppkb+dgM9l+ovVkCwsrjEECY+yBABs7mCZzM0t9PSMNdS0lJRVpaRlZWXlV&#10;VXUjQxNMBgqEBE8FZAFN8ngABShzU4sbGMnBIuVjdm5/cMe8Z7yKtjcE6uZDCMZKk45dcnAByCvM&#10;yy8knbaQbWYmIHabBBnJ3IBC0DG4hOCKQn8iTW5GJaelYJiSHhubGBUVExkZHRIy1Z98P9HH3t7R&#10;wnKisbGZmqaOooq6rIKSgrKqlq4+OGs92XaynYOjizsQHBgSFjZt+rTIGdNnxMTimpWcnpKWkZya&#10;jotXWmY2XDBpgsC60rNR7D6nhwVeIYpgZEcICTK+n6oDYwBzMQ8JpsQinjzsePKg/fGD9ke37z1o&#10;vX2vqfVWfVMroqH5Zn1TS11Ty436put1jddu1F+9Xnu55sb5y1fPXrh06ux5GqfPXXhTXDxx+tyx&#10;4ycPHa3ad/Dw3gMkkPhEsXvfgb0HDmG4rXLXxi3liE1bK35BbNu4hQTSm8sryit3bt+5e9fe/VgF&#10;1vWp9+Vn4gizXmzAERzSw8eOnzh9lolzJ8lZGHTw3y/OnL+IE3rh8lWc39qG5obm1tqGpg+IusZm&#10;ZJ6bd+7ffdCO7PSwA5nq8UNksHcFJr7f9gi5EXzH5RzD+w8eNDQ0nDlzZs+ePevWrUPFf86cOQAb&#10;vGpISIiLi4ulpSVsppKiKmqXAvzCY3j4eHh4x47hHzVyDO9YAVGRcah+qiirkzZVbX36+r+NDWyS&#10;q7eXH1ySK4yWF3nDivQDMC1qWnhkWCi5xxIYGOLrAyPs5ezsBldFgrFamNHJyTUoKBSEJc2vjMck&#10;RvVV14kYEhY/Yry2AW8O2hzMjey8gvxZ9LFTemHgNG70XznoxQNgTUvNhG2Pi0vEjoeHT4e7DAgI&#10;xqGD37SynGRuRq5S1IEiQFh4UlubKRNt7BGT7aY4OLu6eXp7+wX6BQYHhISFkE4XYmbEJcQlpcRh&#10;sYkpyWngdm5mDnnMAL4461fuvZAylGrgGJoGT1F1pWCFpUW6l/nqMmq03V1Pu7p6uzp7kWc7O7sR&#10;XWTY9QQWrONJe9vjtrZHN+obwc3rdQ01tYh6xMUrNWfOX6o6cerQ0WrE4arjh48hUXXg8LH9h47Q&#10;Qr5zz/7N5dvBoHUbt6zdsInG+k1bBsWGzeVrNmxavmrNoiXLShYsLi5dUFzyCWN28byieaXFJfPn&#10;zC2dM7eEpos+KObMK8XsNLAoxKyiebOK52HJzEiyCgwHbcAnDqyOxNzSBTiYCxYvWVi2dPX6jWtI&#10;4PhvXrcRMfgUDD1wsnBCt1XuxMk9cPjooWPVB44c+7A4Wn0CuL90tQZ1COQoXJVrkMHeFVdRb7he&#10;iwzZcuvOnfsPcaW/dOnywYMHV61alZeXh+q/k5PThAkTULtHvV5eXl5WVlZCQkJEWERIUBS+lYQA&#10;J+BhpaRkVFU0dHVBYGNDAxNTE3PiXmGibKe4unj4+Qb6+Pj7+gaAp5HTo+l3UxLikxMSyBf96KdT&#10;OA8MxSXiv1GRMeFTp4OtmHHatEiMhI8DekAiEOonhPXHF0pYGgPoSRuLSZo61v4XH6hpTU0hD04l&#10;JabGxiQAirgO4doDUuIA4jDieGpr6SkqqND+wMzMLGH/HR1dcPUKCgzFxGFM9zWxCUnMIwSZSanp&#10;IGlKemZKOnm6AMPUjKxkJpGelUOf9Po8hCXutP+pIzpmYBps5bb6P3jw4NatW83Nzbjy19U13Lhe&#10;X3Ot9vLlaxcuXD539uKZ0+erjp04erT6yOGqgwePHNh/GFG+fcfW7TswZGInYsu27es3bV25Zt2S&#10;5asQy1auXrF6LWL5KsSaZSsRq5l/rUQsXbGKidX9iVeCTLliVdmyFSDswrJli5Ys/6Qxf9GSBWVL&#10;kcD2rFizbvU6Qh8w6ANi1doNq9chNmKIRWGvsVgQjcaCxUu56/oVAweQBI4kE2QzFi9dvnjpisXL&#10;VjCnY/Dxf9/AQnCyypbhtK5etmoNTvcHBE46hiD+pvKKrRU7tmyrJDWAn/LYzwYm3lpRibrCjt37&#10;du09sGP33vUbNi5evDg/P58+ners7Dxx4kTanApx2lX1yD1oLU1dGFUEyryujoGWli5GoqYPvBro&#10;G+vrkw9Qq6ioKympYoiJMcbIyJR+PBUuDP7L2cnN08MHAAVGAdMZUbHxcUlJSeS+FnkYKzUT6bjY&#10;RIwHf/GTIgmQeuOrBF8mYQlYGa+KNMCKLSe36RjO0usE9oh+mysmJh4XEvAURtXFxR2GdPIkO9h/&#10;auQdHJztbB1gVG0m20+aaIs0jh6pDfiR2kBUVAyuQOQqlZxK7oDBBeeQFxD6txYYZR5CoF+izcrJ&#10;YEbSCejds8/jYQemqcDWnp6eR8wXm2/evFlXV3flypWzZ89WV1cfPnx4PyrL2yq3bqnYuGHLmjXr&#10;VwCCS1bMmT139uzi2bOKZ80sQsycOSevcBYTs/Nnzi6YNadgVhECP3MKZubkk8gtQMx6NTBfMS3e&#10;DIJRrtZiOKi4MrGaATSBHersKD+oaFfu2vOJAguv2LELCVKJPlZ9pOrEseMnj5868wFx7PipqhOn&#10;kag+eeZI9Qn4sp1792/fuQfL38bEJ92Rn4+9iIodu8GjTVsrcEgZwhLIljEXPFzPXjsFQw0sAdSG&#10;QZ5ZNDefZIzZNAN8QCCTMDmKLAS5BWOQfmcUziYZj8lvM7PyClDGkpNRM42L6ldEv6YygquFUwrw&#10;D3Bz80QJR40Vhd/DwxvO1MXZHdVVWCr6iX/EeGk5MVEJAQFhAX5hfn4hfj4hJPATCXheiXHS8nJK&#10;IC/p78pyEub18fafGhYBntI+BAhk0zIBVlhXBFAFQtEaNGHWayz7kgnLgSwT2CPYVULbbEJbYBG2&#10;E74exxAH09JiIq5SqqoasrIKcrKKuEqhKgDUgq24GoUET50+fQbsLUwuloOA7cXSMtKz6TWJw1Am&#10;gFRmUxmjCpIO2HjC1n7+MoT91b9xAJii+t/V1dXe3n737l3AFBb1xo0bFy9ePHXq1LFjxwhP9+/f&#10;s2fP9u3bN2/evG7dutWrV69cuWrZ0pVLUfYWL1u0aMnCBWXz5y8qLV04v3QRYsGCxYsWLsF4Tskk&#10;9odYD7CSWJiVq1euXY+KP2qdqHuuZaqf636qUW5FdXL7rj079+zbs/8QYve+gzAde/YfHBR7D5D/&#10;7jt4eP+ho0eqjledOHX8FG03/DRx5lz1SYLFcxevXKmpvVJz43LNDVQ8PyBQw718jcyL5Vy4fPX0&#10;uYsnz5zHkqtOngZ5gd1TZ8+fPHNu8AZ8yiC4J/Q/i/ViiIsHLiE4BUzs373vAM7CoOP/nnEIthGV&#10;mI1btuEsM+0/mz8g1mzYhEoAMhKozdR1SFVmKIF6EmaBW4dDL1mweFbRvNlzYAJmFhYWYjhnzpzZ&#10;s2djCM2aNYumMczPLwDp6L0XVGkpDVHfj4mOR/UfbjQsdBqMFSq24MKkSeQr/1ZWk0BS2FvgA1RF&#10;DRfeFlVdZSU1pMERanLBZfJda1sHGDc3V0/YW9JcGxEVG5tAX4qlwalZv8qyL5OwwCg2FccHBwqH&#10;CJacPN4fOs3PL9Dd3QuXKNKKaueIIfCKn+SITbTFQbAwtzY3t4JjdXfzIl8CCwqbFh4JtpIDnpoB&#10;pGLh3JZckqaf9srO5dT9mfe7yBtccKzMWwlMHwt0DDGtDIvpfwl8P5CwACWt73PFOFHOSDrNwJGg&#10;Kqr/cKnQkydP7t+/39jYSKm6b98+wHT9+vXLloGeixYuXLhgwYLS0tJ58+YVFxcXMZo3rwRsLStb&#10;BsguX74KHnbVyrVbt1aUb92+rbxye8XOyu27dlTuPnys+vCx48Af4mj1CQQScHAgyPlLVwCaS1ev&#10;c4bXrl8eEOAXAETv1xOWXbvBuXf/M1FTW9/f2vupAssnTX619bUNTQ3N5DZdXWPzh8WN+kZ606a2&#10;sZlZLNl+pkmRsy9M+/XgDfjEQdY+YNWkfRNHngl6YXjlgH9AYCE4szjdF69cQzDn/b3j/KWrp89f&#10;7L8G0KyFysSpd8bR6pPIjbgYA/ew6vDpFdu3b9u2rbxfWxnRBIb4F4QkqajherB2A3L4MviDJStg&#10;JqiTKJm3ADFv7vy5xaWowM0snJOfPxNlFzimCAYsABfyxQEzS1BVQ11bSVFVZrw8p4ssyfFSUjIy&#10;MvKqKhqAsq3tFLhjeLfIyGgQCnyhDhdkAeUJU5heB7H8dE4/WIAIcXBgyqtOjWPWEARD/S/yw7lT&#10;4vQH5xn+14Izni4NM2bTz7pgDHlagPPQGLaK+5oZ3CV2mbpUkBHeHIjEvuPKYWfngGsJdpy0qCqq&#10;6OoY4CdgSlqr/QKxsxHTomJi4hG4tCQlpQKpsPMpKekYYrHEtzKvCJPrDfNMBV01EhmMb6U7jg3m&#10;EpbuHX4yB4fsJh3Tv7Mf6mG5MIUoRiGkuU9cIf2UEewqKv63bt2qr6+vqakBVc+dO4e6P/1u2qZN&#10;m9asWbNixYqysjKAFXhdvHjxkiVLQFuMhHuFh92wYcOmTZtB0optOyord+3auXf37n379h6srjpZ&#10;XX3yePWpkyfOnDp5lnD00tVBcfEKsW8obzfqmxpbbjbfvN3UegsJNtgYSuCyRK9JQD8wjes0qhTM&#10;dfodQSc+cx7VhXOoKOBiX338xBB08vSpc8cB6CPVBw8cQSbfs3v/7l373hg7d+yBt9i8uXz9uk0o&#10;KCtXrEFNDuTNzSlArRbQBDpDQ8J9fPxdXNxhXWFgra0nm5qaGxqaGBqYwPbq6RqaTbCEEYbF8/by&#10;I7SdHk1abBNTwS/SegDYZednMQ2LWblMW0d6Jn3lieHFK4Rl3tMnHWyDJjn5hTkFMzENnRFDTAbu&#10;IMFM8FMwExD0cPiFWehrDkxgGwhS07KwScAiYBoVGRMWRoyql6evs5MbnKmjowsStEUVjhVGFVRl&#10;Hvwl/deQRlVPX/CX7Fp8ErmEDDDCQ48PM/IfTtiBonilosAl3GUI+/jx4zt37ly/fh15Z+/evUDq&#10;0qVLwVDAlGtR58+fjzFAKlC7efNmXMn37Nlz6NChY8eOnTx58jzc56VLV65cvXrlOuLatRs112qv&#10;19QhamsbEHW1jfV1TfX1TQ31MGtNr0UjhsTBNbUMKjxssPHOILWHZtQeWkgNoIGTo5AYQtDpG2uY&#10;uggYff1G7RBUh2xcV9dI7+teu3oDeR6JN0RNLcrClSs1Fy9cOXfuIoaXLl69cJ5zE/jkyTMnTpyG&#10;/zhyuAp2BL54zer1S8qWg1nglK9PAFCrpqZJOtMaJw1vKy+npKtrgJHOzm7BwWGoboNopJWTqSDD&#10;wwIWIAUQSW6XZ2QRy0adKXWgDGf7mcJhLgKTcf9LbrWnZfSbu5+CLITaQI4TzElNJ+2eACvxrRmk&#10;S6qEhGTwEVcL2gIAqlpaTNTS0lVRVldQIB9ZMDaeALDiQoLrRGBACHYhPJxzfw8+l9ve8pMjfv/4&#10;tQlLecpNU6TCvXZ2dtKnqVtaWurq6i5cuEDZCnSuWrUK5hQ8LWUEyMK3Ll++HC51y5YtO3fuPHjw&#10;IKgKe3vmzBlY3StXrgDNcL5NTU0tLa0tLbdINHOiuelmU2ProBhUPBAN/UHSza00Bk7ABhtvif48&#10;Q3+i9jPUChCZqz/jNaLahGhqRk4eglpJIDM3tjQ2kEBW/7nAlGSyxhZwmUzc2EIKQlNrMzaYGQkL&#10;AhzDpZw4fvrQwaObN5WjZlhcXIJ6MRwreGprM8XKahKcLBwfOKWvb2RhYY1qtZubZ1BgKLgGIick&#10;YfJMLjqBCSSYGjENpiGyv6GA/qT0TExJi09OjUtKiU9KSUrNAGTBGopRboDXoDbzcirpPyUmPikq&#10;Oi4iImpqWARYCQMOB+rp4ePm6omavpOTK8w4thk8xdbCjBsbTQBtMdLLyxf8hb2NYd5S497BQ9Bq&#10;PrHDTLPDQG4OPX5twtIWAFCV/gRkKV7hWGtqauj71OAmGIqKf0lJCezqXEa07g/gAqlHjhzBlOfI&#10;Jfji1atXbzDC7BiCzmBrQ0NDY2MjMl1Lc+vN1jutrbdbW25Tzv6UyWhepPmsGTn7lWhqvdXUehsF&#10;A+n6phYES1g2hh7ILeRdlX7Ocog5hCAelmkEJ1mOjLnVDNPxLjU3t1DCcrJ3MxP9Wf2V6B9PDEfL&#10;LS6UCWGRYNDMKRcN8DqNqPNRR3zhwuXTp88dO3Z81869mzZtXTB/cUHBLHg9X9+ACRMs6Dv1MLYK&#10;8soGBsYgl79/UOSMWFSvQUPKTUoKjvHs7yolNTOb1vH7R2alpGcRXMbERcyIiYyOA2cxZiBbaYDd&#10;CSlp0XEJ4dOjAkOm+vgHevn4A6YTJ9oY6BvDaCsrq6moqGtr65mYmNEGDQDX34/pYjEsYvr0GfCq&#10;lKqxMQn0DWD4X9qIDKoS00oJy9y8IsPX6DmU+AyE7WUEqj58+JA+EgBKgpi0b8qVK1eCrfQOKfCK&#10;NNgKu1pZWQn4VlVVofoPi4q5mpubW1tbsQSI5jN6KafCfyEQluNeqZNlIEtoC9QCozRXNQKgTHkY&#10;ECgVyO4Er6SooK5HphlYEthg4y1BCMsEQ1gSSA+a5o3xCmGZTDgUwkKUqgNzOx0zMOhIDoubb/5U&#10;EBjOUsJiSMfTQPrmzTuwKZTLmODG9frLl64dPnyMfvGwqGheZGT0lClOMLNwspoaOhoa2vp6RrC3&#10;dlOc3L19Q8MjgEu4UYCSPp9EYUofv09ITotNIDwNDZ9OekXx8XP18Pbw9kN4+pChh7cvFsL89B8Y&#10;bp4+rh5eTq7u9o7Ok+2mWE+2nWRjN3mSnZmZpZ6eobaWHoK2F9vZOXh4eIOt4VOnA6YpyUBpbm5O&#10;AbkrlUGcKZAKx0oehmV6saF4JZylT3T9zBtrQ4yPSVimAYBU/Dk0ZURH0gTsal/fs57epx2PHjW3&#10;tJ47f+HAgYPl5dtWrFxZVrZk/oKFpfMXzCspnTtv3tp16zds3Fi+bdveffurjx8/e+4c4sLFS1ev&#10;Xbt+oxY+FUFsamMTCVSjmkkgwf1J8mUrcifHqDbBtNJ8RjMfrt5MxmokhCUM/Zng4JUSlpQTZgw3&#10;UAC4RWjowS1ONJiRr45hYuCYtwSZ+JXlD57gm49Xd5/EoAk+aQxaNTeYChAnzWSbVk6t/9UgtSVy&#10;H/U2/cmdhQks/GZDU1ND4+BAPv8p3UTyPAElydIkGrEuglHOz5+CyfMNDS0NpEQQyDY1k8nI9IzV&#10;oCUFBYQZg5+tzS03W1pvY0ryk1kmvE1tbSOqjnC1Z86cP3Hi9N69B9av3zx3bmlaWpa/f7D1RBst&#10;bT15eSU5eSU1DW2riZM9vf3CpkXGJaBan014kZ2Xlp6VnJqRkJg6PSrGw8vHwdnN0nqyrr6RipqG&#10;gpIKEkYmEyaYWxqbmmvp6CupqMsrqcgrqSoo/xRyiioKSqoqapqa2np0ejNz8plF2Gd3Ny/arhoK&#10;bEfMiItNjI9Pgt1OAM5TM9Mzsmm3Aymp6ampGbRHguwc8igC0rQ1AP/NwKYyjQNI034JuD0bvFd8&#10;ZMIyDO2jbKViAEvU09MD09rceutGQ9P5S1cPH6su375jxeq18xctmV1MXscsmle6YPES5k2YTTt2&#10;79t38HDVidMXLl+9UY+T+zHv4zMtADRuI3M33yStAQMmePO6BrGVCVKSafmh5YEUktdmhB9hgjML&#10;puSsmkxMpueWpf5Z+ovfgIX8XDA3Usiduut15N5IDfO0FnOb7jcU2HfEwDGDjtLHDXr6kG0QOGvk&#10;tP7ExPcL7qKQoIsatK43BiZmMi3DXzKGLITJS+8ILJ+zUmbj6ULeGUzmJFvL/MS6SGAk3QwkkOUu&#10;X7txtPrExi3bZhXNnRGX4O7lO8HCSkNTR0lRVUtT18Lc2t7O0c83EHVzwC4tjTyxMGNGbEjwVBcX&#10;dztbB5BxgqkFXKeqqoaqioaRkSlmwUhrq8lGhqbq6loYiVBT1cQEKsrktTRFRfLoLvwylk/6VNU3&#10;NjEhXS6Qdy6cXF2c3X18/MPCpkVMi4JvpYRNSkzNSCeNEgggjHlMKpva6i8tfpaw9LYVZSu5h9X/&#10;hADweufOnStXrhw8fGRrReXKNevnLyqjL7aXLFy8bCWhasWOXQcOHz1x+ty5i1cA1ktXr1+9XouS&#10;U8dpkPpoQbMIN8Cy5pt3GB+BXMjp4YUh4E/tsPSmMFN3Q1bj5C0MKTexeXQMlkMc5avBlHlym5jM&#10;TnIq3QyyLuRaUpfsRzbJx8y/mIUPKfdfvV53pYY8v3nxSg19JAjDgY+d/TaC7DLyDHmClTyOen3Q&#10;UfrYQXMOyR44a8yZJdfODwjmdJMLM049FoJ8QnLIq/nn9WByLNDGeVaBiaGimcnYP+U9kuWGEHR2&#10;ZF2kmRxLgjkO5CDUNjbTJx9wIuCK9h44tHrdxplziiMiZgCsIKCcrKKCgrKx0QQnR1dQNSY6Hu4S&#10;bEUVXlNTx9zcyt7e0dPTx9cnICAgGBNMDYuIiIiKioqhPSFgDKZHIEH7o/Hy9PVw90bArgKpNpPt&#10;EROtbSwsrMFZTQ1CdnU1LdB50iRbZyc3H29/8o1b5pnW5DRy6wwIQ9D2CiQGAe6zx5sJS8FKRalK&#10;vwNMO1s7ffr0nj17wNLSRWXFpF+SkrmlCxaWLV21dsP2nXvA1lNnzwMW9Omo/nxwi2Qp5rzSc/xR&#10;giyZwpSTVzjtAFg1STPBII/zXwyxAcjH/U/S0Ge5+h+2r4NtbOQ++s59sJEbKPkIIAD4O3fxMglC&#10;BEJDpM9euHTm/KXT5y5g95lXpM7jGkPfXzqJn++Ko9XkpaZDx6oPHjkG14/MzXR2Rfqm+e3EHrLX&#10;5K055KKDR6oOHa0adJQ+buA04Xzh3HEvZmdxHj8oMC/zUgMxE8j8b8w/rwd91aU/TV61QN5jsuU7&#10;gqnl1F9j4jpz4WdKFilobw1OBe6nItDQhNmR5hQZ8nIKYyCYtmMkkLf3HTqyuGxZSnK6h4c3qKeh&#10;rg3kGRqaAKYgo6Ojy4QJFoAvfQkVrhNUJV9MgMFN+6m7A/LIV3oWecaW3m7KzEUa09BOA0DqGVGx&#10;YaHT/P2C4FjBaGdnN6DW0MAE3hahp2tInnCwscfysVJvLz/Q2T8oJCQ8IjouAZyld8y+GsIyjQEc&#10;gbC9vb13796tqak5fPjw1q1bV6xYsXDhwiKm56dFS5bBtDJgPXbs+Kkz5y9eulpD7SrlGkPVgfFx&#10;Ccsxp9QCMJmGGoGfbi/QIUCMiVtu3W25fRdcxmYgeyE3I2cTaBJ0XkOgsIGM2BHSBddrsXPPvh27&#10;92Jnt1Xugn/fsm077WWG9vGBn5vLt+NorFhNulZZsmLV4qUraAcx3Jfl3xLk9colyxYsXrpg8ZLS&#10;hWWlCxcj3d8rym8lsNfYd9SKSE80zKEYdJQ+bqxZT16k3lxesY305Ui6SijfvpM5m+8dzCvXB1EK&#10;mHcIT/5cFno9yEti1SeqTpxCxgOpiXm/UvPO6M+0V8FomAMUN04+f2vQAsgE46BJkF49mXlRQGiQ&#10;WhepezFtbgAuKhNV1Sf37jmwevW63JyCwIAQeFjaBxUCNX1U+QkBza1BWzhT4BK1+FTU45levent&#10;JgTSOdn55BY/7f2AuRmFyj44S7pnTUlPSEiOjU0AnWNjSO9f0yNmANYB/sHwrUAqfWALqwB5J5ha&#10;6OoaaOsZTrCwcvXwjoqJYxoKyKMOgwD32ePNhAVVnzLvYsG33rlzp6Gh4STzKeCVK1fOnz+/pKSk&#10;tLR0cdnSlWvWgSzIVbBvOM0M3ciVkFwtQTHOBZNyltZEyPkbeMp/YfQTlthS5tpO+3slr0sy1oC8&#10;9Ygs2288qc28eOrshRPkNZtTzEuNR1Awdu8jgcSuvfsrduzatHXb2o2bN2zeOijoa+mIsmW00yZO&#10;kO6glpLOosCIefMX0u4BaZP07OJ5zJD8fHvQLgr7uxPk9CU4t3ThbypKFizCAUSVCLuPg4CjMego&#10;fdwoWbAYNMeJY/rfAnNX93fH9d6xYvXaVUzfF+s3bd2wpXzDZsTg/PNzsXHLNlyeSXe9pEdgTl+9&#10;b49+1890kVF9AvUkpj9c5PC3BdPBMSpV5+DcURaoeWcKSH8wrxeD4Cg4SDP1MzLj+QuXL128evz4&#10;qW3bKouLSvz8AgFZeXklQQER0mvteHkYWzhZeEwXF3cAEVgMDQmfNi0StAUxYVRp1wfZWXn05VQK&#10;XBr0LVXAFyPpNKARvTdF/4t5yftpzBsHsK5Ojq6kUUJDR01TR8/Q2N7ROSIqmjYRfE2EBV7B1qtX&#10;r1LfSjsNAF4XLVq0du3abdu2HTh4mLwIePIMqsao3TCekTYncSrjDAQHXhXvtNxC3B2ISBrMRXVg&#10;vD7mpyDT98/C4JW0rgKvTE2/HvkGuQdmGtsG9CMvwnVW7NyNKwHy/ep1G3FVgMdkbCYpTnCOMEoI&#10;FLPFy0hRoR0yofgxhfyVQIGEyQJGMeVSpncPaoUY7KJkrmSWQPqdWbZqDelvcP1G0tHMhk0r165/&#10;Z8BJwQJjO8kL7Dt2Mx1f7f6txe59B3bu3U9O2Y5dTOWgctBR+riBM0XBisCpR2bAeaQ/3xp0rlei&#10;33cvQaJk4WJcJwZlnp8LZDZcWubNX4TZ6QbQq/g7g6khkc4nMQsy23JOh5zvCO6VAGRHlgPZK3eR&#10;ahnpZa1yJypnzJHfiXMBR4+Cg5+k37XK3fQl3fKt29ev21RYOBsG09HBRUlJVVZGASEjIw8/S4ew&#10;tDra+rCZkyfbubt5Abj0jdW4ONJ0wDWwBKnMWwBI5+UW5ufPxBj8l9IWZhnjqfkFkQFZ0gVBbALs&#10;bfSMuJDgqaSBwtXdydXDLzAYCwbIUpg22UGA++zxZsL29fW1tLScPn26nPnk+pw5c4oZgbCrV6+G&#10;mcW/rteCpYNZ+WFBHxtkgrlHRKDJDPub8JlmVtIOQNNIAKakXw+moxBcb3GlZb4+cOrgEfL1AWSa&#10;Ldsq4SPWbtiMIoHsiPKDWmdxyfxZRXNpl4b5M0l/dAWzi2YWzcXIQiTmFMNyviWwBAB05RqSQRFM&#10;d6uku+iBgYwLLiB30l64djMGeaD7+Lk4UnXiaPXJ6pOnicXo9yPYr99aMNdI8i4/0//W2UFH6eMG&#10;KivIJOs2kW7XV63bAPS8fkJfD0yzai0mfiVw6YUBBythvRmDPDjz/HyQiVHRmTlnLieK3h0Fs0jW&#10;LZxdjCB9JHJ67Bzcg+KgyJs5G4FZ5swr7Wf6Mobp74hly1etWrl2w4bNmzeXb9q4dd3ajSXzFsCi&#10;Tppkq69nRDquVlQRF5cUE5UQERYXFhIbJy4FY6ukqGqgbwzUwtt6eHgDi+AyfRIgJSUd0OS8yZrB&#10;QSqAi5+krZa+2Mp9pvVn3hFISk2PiomPjI5FAixLz/p6WglgYPfs2QOvSnsPwHDNmjVbtmzZu3fv&#10;iRMnLl26dO3atbqGj/YkTX+TECfNeFikSfWfaWRgfDHjXpEGW1GROXX2/LETp3CNxfWWVOr7Wz/J&#10;hZ20Zi6B35zL1DeRJm18sKhLl3MMJrGfa8jFfN0GeExyJWdaUQFlXMYZOB6kVbBBcfDIMXAQBpkp&#10;/GeqTpxCgImDglbZyM0T5ss0SA8laNWM3vq4xnSpxTR3/LYCe037xLrE6ROrZtBR+rgBlCMj4ZJG&#10;zyZy1BtP6OuB6QfFoaNVyB4HDh9FPqG9XNJbdkOII7gG79izr79xv3Ir04v8O4KZctPWivWbtpJe&#10;1Umn8utw7X97MLU34mSZChynsYtp43pHLGT6C0UsmL8YbC0uKiksmJ2UlEq6CvQNhEsFQJ2cXG1t&#10;p5CeZUzM9fQMtTR1NdS1Sb8B8sryckoqKuoYaWZmaW01GdV8+ukaQJY2GlDrinRaaiZ5DIvxraT1&#10;4Gd6U6QBeCWmpMUlpaRl5mTnFVCcDaTblxBvJuyjR48WLVo0d+5cuNeSkhL41n379lVXV1+5cqWh&#10;oaGpqYm80tpIuqr6KMG9408MLENYuNob9Y01teTBEY5XvV7LsLUG/EI+RkUSmQyVI2SU0oVlMA7w&#10;oSTIl1FK4FVRTYOnQH0NNbjlqLOvXrtm/UZUw1Hl2bln3669+4HR/YeOHD52vPokiEk+DHXizLmT&#10;Z86fu3gFRZ3eaR0UN8ijWuQeGjYVP69zHt7k3N6lQRujmf0iLdGw2wOX8Jagh6L/AkMOBZbzWwsc&#10;NHIQsO9MlWXoR+/DgrmEk/XirNGnSph45YS+Mei2DQpmIbS1ijRYYVGDVvfGwGS4qOCKgox3+twF&#10;+oTDUAI2v5q0hp1kWsMo019x6G8KTEZpvnMj+WbS5jf68ddj+fLVS5Ysh1uZN2/+3Lmlc4tLi4rm&#10;zZkzd9asopmFcwoKZhUWzi7InwVixsUlhodP9/b2o12G6+kaqqtpyckqjpeWk5VRUFBQBnn19Y2s&#10;LCe5uXoGB4eRb9jEJmJGwBRIpU20MK2EuUybLG1SeCNkc/JnwrcyD2zlgbADe5/5cuLNhG1ra6Md&#10;CMC6VlZWHjt27MKFC/Ct9fX1zHt9LY2NjQ1NzRQKvzwYoJAEabRlnkVFSUOWBelQbYRlOHDkGK7z&#10;FTt2wW+iKocLLyplzI2RxfOAUeYrT2XLV4Kk6zdtwYUddgDZCJlpz4FD9KEfxJGq46h10qdzztFH&#10;rC6Rx3VhG7Gia7X19HFUDJHvsUm0+fjVoG3KzH08pnBS2g4M7Ajnhh7nXh+ZhtnBdwQHLszRYFpF&#10;fotBjy09FAPyxqcKsroBhx0xaHt+LribNzDIQpjl9E/DuQPxliBzMa1eyHL0gk1d/DuDaR9jOmW/&#10;dv3CZXJLauCjY28Lcr/rAtPd7SnYi0NHq/s7vX1bHD5cdfDAkb17DtBeE/ftPbh7974dzNtEJL1r&#10;357d+5Go3L6romLHpk1bV61cu3BhGawuqv+pqRnR0XGBASEuzu6TJ9kZ6BvDz4K2ykpqhgYmsLQO&#10;Ds5wwZHTo+kTCBSstN2AftYQY0DegWylkZVLfGs60+0s0+/M19NKAMIuXbp0//79Bw8eBFgbGN/K&#10;eX+1X00tb85nHxD0NQFkNbgAUjtGBrp2HZkG7hJXXdSGcKUFVYFUmFPSbsV8FrBo3nxwdtFSVHo2&#10;oI6/c89+1LmAY1zeL1y5xlQ5iZWAp2AeGGS8CXEN1ISSx8vxE4H8TcYwnhH/RTDPvtC3dAbHgMJP&#10;0ozffD24RZEieIiEJYulszPx05MYv53gHsP+g8w9Gp8kXjmzTHA34L2D4pVzBkkwhH1HDNhBOgv5&#10;Sa6v74qfcjKnrkP6QBhKYEoKdMaMcwrFO6OuDkE6VCRxo74eP2vJTwwRtTcaaJCeZa5evwzin790&#10;6tRZOJrDh47t339oe8XOlSvWzJpZlJyc5uzkZmJspqigQi2tkpKqjo6+pcVEV1eP4KCwqMgY0i1W&#10;CukVm97yegthKU9pd1+0Z6+vhrCPHz/evn37+fPnq6qqAFamA5YmLl6R/ugeFtnl8rUbp89dJF+R&#10;OnysYsfujVtI6yrwuWjJcvp86PxFZQsWkzunsLEbNtPPZO2Bt8V1mPkOygXMDk9KTGgj3TZSYGid&#10;DqvAGCRo3e0nmJJ/kczNcJC+LMu8HPHqFtIguZ+AgEATP5kHBl+fhmNk6BrJxaOVXDzeGVg1U+rI&#10;o4jkoYvbdwdN8FuKgcdz0L8+ZpDL5IDDjuCu9y2BGWkeGBj9y6TTDLwSvzM4E5OcQ+LNnR4MCno1&#10;ovMizc3hb48BGZvMSClPGmTeFaT3A6Y3mYb65vr6JhCWdtxFu0wknc4wvRxg2IQCUt+EauD1mrqa&#10;a7UXL15BnDt7sarqxJ49+7durVi8eGl+/szYmATwFK7W1NRcQ0NbU0NHV9eA0w+hg3OAfzBsb2IC&#10;6SWLNBQwvbcMZCuNtCzSay1pgWW+O5DFNMV+afFmwvY87QOGcPS5sBjK+XtjYCEYYnYmT5BmViYf&#10;k7dUGdJxcgb85skz53bvO7Bu4+Yl/7+9M3+KKsvyuP9G/zAR093RE10R1dNdbuwICLLvq6CAoCjI&#10;jmyyZpIJubKolAsCCogC4lZuKCoooiAgOyQJuWcCWjXdFdWuNRUx594LDJJUCXZRoe3J+HTGy4R8&#10;gBH9qe8779xzz5yDiFpcdoT9k8HvJy09dOTo8Zr6c/BVuDR59KQXTCoDWRr9OARBPmZ0ummQb0/P&#10;05s3bpeXH4uLS3R2ctu0yfRPf/rzf/zHf37x5y9tbeyDAkPYLIK8PC6rzC6UYlmqZQeQbQVsqxvW&#10;AWakYODDxrX8iqytYeHjzLAAHJDaE40J8J9fyI/j8qm+gaHOrh5WY22+dKX2bANtAyBdL8dPVlfV&#10;1NU3NDWT/qeWlta79+53dDzqetJHtoqBoCpXrO1YEARBfnW08P/9SdXoqKyvb+BWy51T1bXF0jIO&#10;hxcflxQSTAYnsiYEB3snT08fCLnwfmZmNqiWJVmQKTwzn8IzuS02v2BswcKL+Xc3LL0pTC+jyBng&#10;AF6yWv7I+ETP08G77R1gz1O1Z8Cn5cdIPwA8Hz9ZdbquvrH50rWbt+8/fNTTPzg8JqNKJXMD6GU+&#10;ubqHsy35cQiCfOSAYVUqLcAG1A4OkM0X2ts6LjRfPna0IiMjy9vLz9TE4qu/bdy00RRs6+sTEBUV&#10;fSAlnTTScvmkPkvbDARFYraHGIm0tOWAqNYoyf77G5YBhgUtwnX9qGwSrvHbOjqv32qFS/7a+nN0&#10;IUDl0RMnIbqCWJsuXPrm+s3bd9vArd29/UOj47TxRQM+XVgrTc9MTr74ZyEI8vHDBtRq1GSm7VwB&#10;V6kdG5voefK0re1BY0NzUaEoISE5LCwC8qyVFdmN3NnZzc83EPJsXGxiTnY+aZilLVwsus5tuE0b&#10;vD5Hw7JnCJ6QQ3ueDjx8/OTC5W/qzjaAVckik7IjZUe+JpG1oenSN9futj+AxDoqk7OW+7m7UhCB&#10;2S/Ayvxzdwbmig8IgnxCkNnhaj1kWLZ1KSRZeKlUaCDPyuWKkZHxR4+6b1y/VVV5Ojsrz98/yNzM&#10;6i9/Ids1brXb5uXluztyb+qBDHITjI7mgkgLnmUx9nM0LARPuLqnS7CG2js6r928BRG1our0sYoq&#10;Vg2oIa1Wl6/eaLl9t72z6wmJrGTbbVJghcS68KNJAZfpFQ2LIJ80dKNG1pYAnoVjMCywkGcVU+rR&#10;UdmDB53N5y9JpaUJ8cnbt+9wd/dysHcCnJxcfX0DIiOj4P3cHA6XS0ZxE5l+coZV0F0FFbTtaVnD&#10;goL/H9JkR4qt8D58ihZeyUt4s7uvv+3BQ5BozZmzX584CYkVomv5sRMQWyG03n/4+OngyDhdrwVi&#10;ZdVVgP049nONfzSCIJ8q85s8Erey/W8WH1D/gnknJqZGhsf7egdaW++dOlXL5wsCA4JNTMz/67/I&#10;NC8rKxt4CZIlzQZ05qxUUsq6aEG1bJ0CvAl8sGFpmy0BnAhylJQeYu+LpKXwEqS58J2/zM8Y9scf&#10;6b0pYlgSHqns3vlnmoP007E4yZQKx/ApOakJkOWtHY+6ILc2nL9wsrrm6+MVxyoq4aC+oanp4uXr&#10;LbcfdD7uHwK9KtChCPKZMLfJ3i9CJAthVqEGwLP37t5vbGgWCiV798Z4uHtbW9uam1nZ2Tp4efqG&#10;h0fGxMRlpGdBgCX9W7RtluiV3vUqLTksoeu+PgxmWLozObwsoRuVk63L2Uu2ouy9fLhh2Tvs+p19&#10;J4RZuYIssoaLfQin38zvMVN+rOJQ+dETldWNzRevt7Q+JsOGBwZHxlh7AHwKDYsgnwkrMSwkXLKi&#10;QUW23YVUOz4m7+sbeNjxuPn8pUNl5RBd3d29LMytv/rbRrCth4f37si9mRnZXA6fDY5hnQbwTDad&#10;XXHYXALRK31mq8WYWOcly5bnrujMH25YBV2rRwIsMSy5l0X6WweHOx51g0bPNV0gg1bpdCuQbG19&#10;w+WrN9oePOzu7QcFQ8hlJ1TR8IuGRZDPhJUali0YU5MFY+xWGDA4MHKnta26qiYnJz8iYo+ri4f9&#10;VkcAwmxYWAQJsxlZnHweuFUsKmaLEQR03dcHUCgUg09BiDSrEpnS4gCZL0MkS6d9U88u/eASPtyw&#10;9Bvm7kFBDh2VyfsGhu60PTh/8QrE1dLD5SWHjhw+erzp4uVrN2896HwMXx0eI9P56DLWBasSO6Nh&#10;EeQzYYVVAmbYxf0G5D6YSjsyPN71uKelpbX+TEMBtzAkOJSFWXMzKxdnd9BuSkoaj1cklZIB3pBk&#10;P9iw4EQwLMgRgPTKF4oBkl5BmtSb80l26QeX8OGGpWYk3wDRtbd/8P5DMkyAlgVqyo+RkitbNdAO&#10;mbavn4hVRXpa4fvhU2RcBT2Gn7LktAiC/BuzQsMCC7UCONbBtTLkWd301KRqclI5Pi7v6uq5fPkq&#10;ODQqKtrby8/Wdm4lmL9/UOz+hOysPPAvqRWQHLrUeiuBCRTgFQlzObzM7NyUtEx45vCKQLhEu8Se&#10;Sz9lzPKGffWWGpaOSgHDsvk9YEb2b8REyZBNKkGvt++2nWtqrqg6XU72na2qrjnTfOnKvfsdT54O&#10;0OZWxRSIdeGfmCobzon1AQT57ACNvB89PIOLGVrdNKDS6DQQ7EBEGp0Sgp1scnBwpL2to6npQlnp&#10;kejoWAcHp//+y1cbNmx2dnLbs3sf6JBupiAoLBKRO2CSEkAIkVYoEYEiF/Ez/QYlINlCoZjLL0rN&#10;OBgVHRsUvDMuPonD5QsEEomkVCItE4nIx+lppeBdwDgy/5Jh1WSEj06jn6GGneujInolhiWNrgPD&#10;Y4+6e2/evlPf0PT1iZOHyo8eP1l95lzTlWtke0T46pTqV5u/hSAIshgIbnI5GSJz/VrLobJyCLOO&#10;21zAsJs2mXp6+ETtiU5Ly8zJyedweBBmwXALLVxwvBgi2Xe1CIikpcywkGEPpGeGRex2c/MMD4tM&#10;TkrNyc5nvQpssQPbUowVf8VG51mFYRlkyqSKTJakVdf7TRcun6isBreWHTl6srqGurWzt39obGIS&#10;vo3FVQRBkF8dlVKrUetBssNDYw/ud5471wQaCwwMNtlsvmE98aybq2f0vtiDmTmkxwAyZqEInokH&#10;V2BYekeLFFv5AlFGVu7emFgf3wAvT19f3wA4J6+giN1Jg4+z5jDSLiYpMW4OW7Fh2URU/QxIdnic&#10;9Lq23rvffOlKRdXp0iNflx+rqK0/9831m53dPSPjE6ykQKsKaFgEQdYE0KtBP8vugE1NqfqfDl2/&#10;3sLJ5wVv30nC7PrN1la2rGcWwiyZGsMnU2NWatj5Ji2IsTn53JS0jLCwCG8vPxdn9wD/7bGxpNTL&#10;5wlI/YH2LYC+4eTGp1qpYUkhld6hGp2Y7HjUdfnqjVNk04HKw0ePH6+sPn/xyny3gIz2t7JaLVuD&#10;sPTfBUEQ5F8H3DpteEZ6uZQasgxMNjU2OtFys/XEicrsbDLTwM7OwdzMysZma1BQSGJCCofDIxf1&#10;0tLFegWWNez8nS5yUFAoyOXwUlMz9uzeBxnWydHV2dktJDg0Pe0gnw/OLiHTZ+jsxA83rFyhHidL&#10;CUbaOx5duPxN5enaI3TPwVO19Veu3XzU3TNOdvcmZQTmVvDs4ptjCIIgvzLwP8Ms65ZVq3QQY/X6&#10;Ga3W0NvTf+5sU35+QWBAMOjV3NzKysrG29sPgmduDgeS7GK9AssalvTD0mYslmThWCQqTk8/GBGx&#10;x8PD287WwdXFA45TD2QUcAtZNZZ4ljj0nfMsb9gXr98QOc4bFgLsmHyqb2CYFl4vVZ6qAbeerD7d&#10;cP5CS+u97t6nI+PySbqIYH7/AlKrhT+f7mlo9O+CIAjyL6NSanW6aVAq6JUdyGSTEGwn5cru7t5b&#10;LXeOHa1ISjzg5ua5Yf1mM1NLTw8fCKFpaZlk34T5W16gRSHd4Isl1gUzgmHhnYWX4uLSkpLDeXlc&#10;OCGcBAIyKNvL0zc0dBckWR6P7JULGXa+OYx4VkA/+LOG1c88Bz9OKokoR2Xyp4PDd9s7zpxrArdC&#10;eq2oOn3+4mUQbt/g8IRCBXGVzBjEkdgIgvxWsObZxZC2WZVOpdKCfEdGxtvbOupqzyYkJG+xtgPJ&#10;kkYuZ7eoqOjMzGy4uieTD0WkGYBHeg0WG5Z4kB68i1AqEIj5PEF2Vl5MdJy/X5Ctjb2np8++vftJ&#10;ki0oJAVZIaktkGVgUjLHAD4Fal62SvC/uulZjX5aNkn2I+gbGLp28/bZxvNsq9eaM2dv3Grt7Hoy&#10;MDw6MaVkZQFadUXDIgjyG7FEr4BOO2dYptrREdn99of19Q0cDi8wMBgku3GDiYuLe+jOXYmJKTk5&#10;+WBMuLonPQZskhaNnACrDyxFQLYFEwoloOasrNzY/Qk7d4RDjHVydIWTZ6RnFfKFBbwiUl4g98ck&#10;YFU4p6SEDOJaath//PASLvPBmJBeeweG7t3vqKg6Ben16+MVp+uIXnueDo7LFVPw3wq2N4xaq8S1&#10;AwiC/IYs0StADKsmy8DAsHrdDOnlmlAMDY62tLSCRr28fE1NLMzMLB3sndjwQ1JClZAtEphVaclV&#10;UkjaYJdbayuiWyqIS4qlZRB6c7Lzk5IOBAWF2GzZCtaOjo7NzeVwuYX0Fhm5P8YXiMC28MFlDPvD&#10;y9dyhQou/7t7+yG9QmgtO3L0WEXl2abmW3fauvv6R2RyuWJunCutupKVBRr9ijZDRhAE+ddZoleA&#10;jInRkJkGgJZNoaWbkPf3D128eAX8GBkR5ejoYm1lCxf4pOmKrq+FC3++UAw2BLGCGRnvuJUiBmjD&#10;ACndCiVcDj/rYO7+mPiAgO3u7l7eXn5hYRFJyakFhSQZw/eDVQE41bJVgrcjpOl1APRaXVNHF2tV&#10;nW0833qvvX9oBMwLCZd2C5DoSjsHSC8Xri9AEOQ3Y4leARDrnGHnh8WQPKudnpQr+/oG7rc/PHG8&#10;ct/e/ZBhN240gewJSTYxIQWCJ4dfxOULeEVCECLzozHgSFYoAMmCYfnw/bwiSLJwhuDtO+3tHZ0c&#10;XUPDIg6kZ3J4hazawOLwMob956vXj7p7Wlrv1p1rPFZRdbSisr6h6eqNW109fRBdtYYZtsUL/JHM&#10;qjTMYpUAQZDfjoXBBQuwtq2Fl6waazDMgmTZpK57d+8fPvx1SnKas7OblaWNnZ2Dv19QzP74XA4P&#10;tFhQKIQkK6K7GBCrglIXI5IWFYnolgrUtiKpEATKF0IKjt4X6+Hu7ebqGbR9R2RUdNrBbL5AxMYe&#10;sjjMLxKJpaXkTpq4+Pm336374cXLW3funaisrq458/Xxk6fr6u8/fPR0cFiuUIFYaWglVdolfzCC&#10;IMjHBc2zLMxCkh0dkfX1DtTXN8THJXl5+pqZWVpYWAcFhiQnp5JNaPhC1i3LegwAOGaVAZJbwY/v&#10;plpWTyDLarNzd++N8fEP3Obk6unpA6k2L48Lny0pPgRShuQLp4WzsRtl34Fh//HDDw3nL0hLD1fX&#10;1J1tam69185206JWJdsjLv0zEARBPj5UzLBaUpOFDCufUIyPyTs7u87UncvJyYfgaWFu7ejo4uPt&#10;HxebmJfLZTNi4PJ/QawLGBsWLv9ZVxaXLziQcXDX7igvbz9Isjt2hMVEx7EBMaSqAB8USIohFwsk&#10;8A4x7Ld///5E1SlJyaGzjc132h4MjcnkCrVSo2c1AVpypZu/Gv09CIIgHw/MsDrtNMCSrEqphTDb&#10;/3SosbEZoquTo6u5mZXJZnNfn4DkpFQQYknJIXIvS0DnHNIZWj9nWHExqQMIxFI44AvESanpYeGR&#10;3lSyfr6BsfsTuBw+nATOBucpLTlMzsYM+/x//lFRdbrmzLnWe/d7+4cmppQKuumsWj+t0JD7Wlh1&#10;RRDkEwAuu1lfAe00ANitsKkpVdfjnvozDampGZBkbW3stzk4BwWGJCamQJJl29YWFYrINT54lq7+&#10;MjYsUEQnHIqLyyQlZbmcgsTk1F27dru7eQGhobsOpKTzCorgDOBrMCxoes6w//OP7880NLU96Owf&#10;Gh2TT00q1WxxF+RWcCs1LBZhEQT52NHM92wR6L4J8Mw8Oz4uf/p0sLGhOT3toKenj7m5lbWVLZFs&#10;QgpkT9LCxRfMTcx6j2FJt4CouBRUyykoBKvuCAnz8fH39Q2I2LUnLTWzgFsIni0uLoPzzBn2799/&#10;f+Hy1aFRstM2napFNjqEX1c3/UxrmFVB9jb6SxAEQT42NLQCy4oDADvQ62YAuVwxOal81Nl94nhl&#10;evpBuLQHyTpucwHJxkTHgRNZkv1lw1LIRl4CsRRirLTkECefFx0duz1oB5zQx9t/3979OTn5+fkF&#10;rFYwZ9gfXr5mxQGNgQyEVc0Ne0UQBPmUIIZdAq0YMMmCcCcmpoaHx843XYyPS3JydN200dTUxALi&#10;Z0pyWnZ2HhhWKiktlpaRdVw/0yf7DiIpxF4ul5+YmOLl5Wtv7+jnG5icnAqnAl/DSXi8omezz8jk&#10;l8GRsSmySQExrJJuK7vkV0cQBPnIMTYsSI0VCtiyWoixsvHJzodd1VU1GRlZ7m5eZmaWzk5k/Gtc&#10;bGJ+XoGgSEwgQwbeb1gRIJQW8oUHM3PCwyM9PXwAL09fcteLy4cvZWflzc7Mrnv15q1sUkl/xWk6&#10;0gUNiyDIp8cyhqXraEGyYFjIsyqVVqFQy2ST3d29TU0XWHeBlaUNSbI+AawmC3qFJLtEpssilpJp&#10;3EKBBBJramrGzh3hri4eZqaWO3eGZ2Xl5uWS4Ycz0zPrXr/9UaHRaejCLaVGpyQbd6NhEQT5xPhZ&#10;w6pJjAXIOxr91JSKTZWtqz2bkpLm4uxubmbl6uqxa9fuAwfSc3M4BQVkIewSnxojkpB1CqzTi8cr&#10;io1N8Pbys7Ky8fML3BsVs2fPvrDQCIPesO7Fm7fklzPMsMYsWodFwyII8omxTB2WwvS6ALkPptKO&#10;j8v7egcaG5shfkKStbN1cHJy3RW+O+tgLikUrKQOS7ZCIKsMQLJiUXF2Vl7Erj0gWbKm1s3T0dHF&#10;xcVdo9Gu+/6fr4hS9dNsmSwaFkGQTxFjw4JP9Xpym+v/39SQgQbwPsTYyUll1+Oe48dP7o+JhyRr&#10;amrh5uoZEx2XlpbJRhG+BzFZniCiW8+yRVwQgaOioj09fbbabbOytLHf6qhWade9fPOGRdcpuhkM&#10;gIZFEOTTQ2sEaHfJl+gaBNIqSwsIIyPjDx50nj5VB+nV0nILSNbe3hEu8MnsV4FIRLf2InUAUgqQ&#10;wsvFkI6uOaQiMkmrmF8kTM/M8g8KsbN3NDGzcHJxV2p0617/SHZCBMMq1Nr5lbJoWARB/h2hMRb0&#10;ypBPKAYHR1pb73E4vKCgEGtr202bTH28/ZOSDuTmcMhsLdrWWlJ8SCpZ0ba1eVxexJ69Pv6BDs6u&#10;/kHBOoMBDYsgyGeEjm4/A7DugqlJ1fDw2KWL34BP/f2C1n+1yczMcvv2HQkJyQUFhawIMLe57AoM&#10;yxeID6QfjE1IBs9Gx8YbZmbQsAiCfEbM3exSarV0MQK8VCo0A/3DINn0tIPbtjlv3mwGYTYkOPRg&#10;Zg67kQWeJRNhVmDYIpGUwyvML+BnZOVmZufNPHuGhkUQ5DNCo9ErlRoADGvQz4JkwbYKhbqrq+f0&#10;qbqU5DQPD+8vv/yrna3Dnt37cnM5IpHUuEQAGBtWQLb/IrsiFgolBYVCLl8w+/w5GhZBkM8GrV6l&#10;IjsggFV1urkhh6RnVqMfG53o7OyqralPSEg2NbGwsLD29PDZHxPP4fAWZm6917ALgGoF4uJn336H&#10;hkUQ5LMB5EY3T9So9ax5ixVkIclOTalk45PtbR0ScYmfb+A2B2ebLVt9fPxTUzN4vCKBQEwkS/dG&#10;JDVZUbGQ7hmzxLDwTDevJQNi4PnZd2hYBEE+HxYaYxcBtjXoZ1mwHRoabTh3PicnPzAg2GSzuY3N&#10;1siIKJAsl0sGbJOCrJjs8g3HAqNtwMGwy+yEiIZFEORzwUivAIhVAw4ECepnwbadD7uuXL6WlHTA&#10;1sbe2srW2dktLDQi62BuIV8oKBKz/i3aIYuGRRAEWYyRXgFwKxhWrdLpdTMGw6xMNjk0OFp+5FjE&#10;rj1Ojq4b1m/29PBJSU7Ly+WSDlk6Wps8i97RKxoWQZDPHiO9zqEhW9WS4qyGRFqlUnPzxu3SksM7&#10;d4R/8ecvycSsHeEJCcmcfN5coYBWY9GwCIIgi1giVopONzcUBiQLeZbZdmhotOVma35+gbWV7fr1&#10;m+y3OgYH70xPP8gWepH2WDQsgiDIO2jJgJglEM/qyIwYDXUrHECGVUypnz4drKk5ExUVvdVu2+bN&#10;Zi7O7nFxc4O6ycwXkXTRaAKCQEQGFPDhq9IyobgEeI7dWgiCIEtQKjSkQ3Zs4s6dtvLyY5ERURs3&#10;mFhYWIcEhyYkJPN4RVJJ6TIdsiKpRFIC/i2WlknEZHos2acLDYsgCLIY0CtZTavUDA2N3rh+q5Av&#10;dHX1sLTc4uzktnNHeGZGNtkAvEiEhkUQBFk1rDILngWGBkfr6xtiYxNcnN1Bsu5uXhBj+XyBQCBG&#10;wyIIgqwaUpmlNVnw7KRceavlDkgzPCzSzMzSyspmx46wjPQsHq8IDYsgCLJ66JRulUqrVulUSm3P&#10;k6ffXLmen1fgYO9kstnc2cktMjIqKysXDYsgCLJqwKokw86PkSWDugdGqqtqAgOCzc2stljbBQWG&#10;pKVmomERBEFWzVwL1yKmplTXrt7kFRSFh0VCjDU3t4qMiMrN4RTyhWBSMqJbXCISomERBEHeh7Fh&#10;1Wpd1+OeM3XnMtKzbG3tzUwtAwK2x8cncbl8qZTolaxBoJO30LAIgiC/hLFhNRr9pFz5qLO7/Mgx&#10;X58AMzNLe3vHoMCQg5k5YFIyC0YoIVZFwyIIgvwyxoZllVmZbPL8+YuJCSnOTm6WFlsc7J3274+H&#10;GFtYKATDErGiYREEQX6ZZaoEdPKWUql58KDzxPHK6OhYOzsHczOrkODQtNRMkCzEWDQsgiDI+zE2&#10;rE47PTP9XK3WDQ+P3WltEwok7m5emzaaerh774+Jz8vlomERBEE+EKVGpzHMwMGkSjM0On6q9kx4&#10;xG6bLVttbez9/AIPpKSDc5lVRSJpWekRss2MQPLtczQsgiDI+wDDqnXT4Emw5aRSfe3mrdy8Ah9v&#10;fwtzawd7p71RMfl5BbyCIiJWoaS05DB4Fg2LIAiyIqhhqRv101rDzJO+/vqzjRBdLS23mJlaknW0&#10;GVmcfLIrrUAgLik+RLoL0LAIgiArgVmRqVKjnxkZn3jQ8ejI4aNOTq4mJube3n7xcUk5OfmCInFR&#10;oai4uIyp9luswyIIgrwXsCIAqmTIJpVDI+NNjRfCwiJstmy1s3MICNiemJjC5wv4PIFUUgp6BfBO&#10;F4IgyPtRanRgSFClWjfNJKtS6+7dvZ+dleft5WdhYe3g4LRnzz7QK0A6CtCwCIIgK4Rl2MVu1OgM&#10;vT391VU1aamZ9vaO5mZWc1MNC4pEIikrFzx/9i0aFkEQZNVotIbhobGbN28fKiv39Q0wNbHw8vSN&#10;jo7Nzs4TCYlhIczOzj5HwyIIgqwaMKxiSj04MNLcfCkmJs7a2tbWxh5Um5CQDIYFCriFszNoWARB&#10;kNWj0RnI9rRq/b1797lcvreX3xZrOzs7h92Re1mJIDeX82z2GRoWQRBk1YBhpw3P9LqZ7q7e6uqa&#10;+PgkZ2c3UxOLoKCQvFxuTk5+amrGzPQsGhZBEGTVKNVastmM1jA6Krtzp00iLgnw377+q00e7t7J&#10;yakJ8cnR+2K1GgMaFkEQZNUoVGBYjVarm5DJB/oHa2vrdoVHfPXVenv7bRERu0NDw4OCgjUaLRoW&#10;QRBk1UCG1dHHxMSETCa7evVqUlKShYWFjY2Nu7u7i4uLo6OjWq1GwyIIgqwerU6v1xsMBqVSqVKp&#10;2tvbRSLR9u3bt27dam5uvnHjRrAtfAkNiyAIsmpUGpJhQbKgV61W29fXd/bs2by8PDc3ty+//PIP&#10;f/jDhg0b0LAIgiAfAhhWo9GAW8GwcDA2NtbW1nby5El/f/8//vGPv/vd7/76179OTU2hYREEQVYP&#10;LcMuGFahUAwODl69ejUiIuKLL774/e9/v2nTJqzDIgiCfBBaUoTV6/UgWXiAZCGxdnR0pKWlmZmZ&#10;gV4dHR3hfTQsgiDI6tGSALv4AYm1t7f30KFD/v7+oaGh+/btm5mZQcMiCIKsHiPDQowdGRlpbGzM&#10;ycnh8XiFhYXffYfTCxEEQT6A5Qwrk8laW1srKytra2vr6uq+//57NCyCIMjqMTIsPJRKZU9Pz40b&#10;N8Cz7e3tL168QMMiCIKsnuUMCzFWLpcPDg6OjIxMTEy8efMGDYsgCLJ6fibDgmTZscFgePXqFRoW&#10;QRDkV4CZEywKLgWjglfBrmhYBEGQXwE0LIIgyFqBhkUQBFkr0LAIgiBrBRoWQRBkrUDDIgiCrBVo&#10;WARBkLUCDYsgCLJWoGERBEHWCjQsgiDIWoGGRRAEWSvQsAiCIGsFGhZBEGStQMMiCIKsFWhYBEGQ&#10;tQINiyAIslagYREEQdYKNCyCIMhagYZFEARZK9CwCIIgawUaFkEQZK1AwyIIgqwVaFgEQZC14hcM&#10;q4OvKVQaDXyfVq/S6ODZCPgSgiAIwlhiyDlzgkXBpWBU8Cox7I8//qjRaLRarUql0ul0cMBevvuA&#10;9w0IgiDIPMSWix/MnGBRcCl7CXZFwyIIgnwAaFgEQZC1Ag2LIAiyVqBhEQRB1go0LIIgyFqxMsO+&#10;ffuWiXVmZkahULCvGT3QsAiCIItZalh4gD/BouBSOAavgl3XvXnzRq/Xw4vZ2VmQLhzAy6UPnUGv&#10;m0EQBEHmMczpcdED/AkWBZcykYJd1/30008vXrx4+fIlvIDn169fvzJ+vHz96uVbBEEQZJ5lVMks&#10;yp7Bqz/99NP/AVsxOAwaykaqAAAAAElFTkSuQmCCUEsDBBQABgAIAAAAIQC99lrt4AAAAAkBAAAP&#10;AAAAZHJzL2Rvd25yZXYueG1sTI9Ba8JAEIXvhf6HZYTedJNIg43ZiEjbkxSqhdLbmB2TYHY3ZNck&#10;/vtOT/U2b97w3jf5ZjKtGKj3jbMK4kUEgmzpdGMrBV/Ht/kKhA9oNbbOkoIbedgUjw85ZtqN9pOG&#10;Q6gEh1ifoYI6hC6T0pc1GfQL15Fl7+x6g4FlX0nd48jhppVJFKXSYGO5ocaOdjWVl8PVKHgfcdwu&#10;49dhfznvbj/H54/vfUxKPc2m7RpEoCn8H8MfPqNDwUwnd7Xai1bBPGbywPskAcF+8rLi4aRgmaYJ&#10;yCKX9x8U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oR+1V&#10;jAMAADAIAAAOAAAAAAAAAAAAAAAAADoCAABkcnMvZTJvRG9jLnhtbFBLAQItAAoAAAAAAAAAIQC+&#10;My37D3oBAA96AQAUAAAAAAAAAAAAAAAAAPIFAABkcnMvbWVkaWEvaW1hZ2UxLnBuZ1BLAQItABQA&#10;BgAIAAAAIQC99lrt4AAAAAkBAAAPAAAAAAAAAAAAAAAAADOAAQBkcnMvZG93bnJldi54bWxQSwEC&#10;LQAUAAYACAAAACEAqiYOvrwAAAAhAQAAGQAAAAAAAAAAAAAAAABAgQEAZHJzL19yZWxzL2Uyb0Rv&#10;Yy54bWwucmVsc1BLBQYAAAAABgAGAHwBAAAzggEAAAA=&#10;">
                      <v:shape id="그림 3927" o:spid="_x0000_s1338" type="#_x0000_t75" style="position:absolute;top:228;width:19050;height:2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gE8xQAAAN0AAAAPAAAAZHJzL2Rvd25yZXYueG1sRI9Ba8JA&#10;FITvQv/D8gq96cYUbZpmFREKxYJgbMn1kX3NBrNvQ3ar6b93C4LHYWa+YYr1aDtxpsG3jhXMZwkI&#10;4trplhsFX8f3aQbCB2SNnWNS8Ece1quHSYG5dhc+0LkMjYgQ9jkqMCH0uZS+NmTRz1xPHL0fN1gM&#10;UQ6N1ANeItx2Mk2SpbTYclww2NPWUH0qf62CdIE79N/ZseKu2n+6zNhyMSr19Dhu3kAEGsM9fGt/&#10;aAXPr+kL/L+JT0CurgAAAP//AwBQSwECLQAUAAYACAAAACEA2+H2y+4AAACFAQAAEwAAAAAAAAAA&#10;AAAAAAAAAAAAW0NvbnRlbnRfVHlwZXNdLnhtbFBLAQItABQABgAIAAAAIQBa9CxbvwAAABUBAAAL&#10;AAAAAAAAAAAAAAAAAB8BAABfcmVscy8ucmVsc1BLAQItABQABgAIAAAAIQDU6gE8xQAAAN0AAAAP&#10;AAAAAAAAAAAAAAAAAAcCAABkcnMvZG93bnJldi54bWxQSwUGAAAAAAMAAwC3AAAA+QIAAAAA&#10;" stroked="t" strokecolor="black [3213]">
                        <v:imagedata r:id="rId150" o:title=""/>
                        <v:path arrowok="t"/>
                      </v:shape>
                      <v:shape id="Text Box 3928" o:spid="_x0000_s1339" type="#_x0000_t202" style="position:absolute;left:11239;top:21082;width:781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rLFxAAAAN0AAAAPAAAAZHJzL2Rvd25yZXYueG1sRE/Pa8Iw&#10;FL4L/g/hCbvITNeBaGeUTTfYYR5axfOjeUvLmpeSRFv/++Uw2PHj+73ZjbYTN/KhdazgaZGBIK6d&#10;btkoOJ8+HlcgQkTW2DkmBXcKsNtOJxsstBu4pFsVjUghHApU0MTYF1KGuiGLYeF64sR9O28xJuiN&#10;1B6HFG47mWfZUlpsOTU02NO+ofqnuloFy4O/DiXv54fz+xcee5Nf3u4XpR5m4+sLiEhj/Bf/uT+1&#10;gud1nuamN+kJyO0vAAAA//8DAFBLAQItABQABgAIAAAAIQDb4fbL7gAAAIUBAAATAAAAAAAAAAAA&#10;AAAAAAAAAABbQ29udGVudF9UeXBlc10ueG1sUEsBAi0AFAAGAAgAAAAhAFr0LFu/AAAAFQEAAAsA&#10;AAAAAAAAAAAAAAAAHwEAAF9yZWxzLy5yZWxzUEsBAi0AFAAGAAgAAAAhABrissXEAAAA3QAAAA8A&#10;AAAAAAAAAAAAAAAABwIAAGRycy9kb3ducmV2LnhtbFBLBQYAAAAAAwADALcAAAD4AgAAAAA=&#10;" stroked="f">
                        <v:textbox inset="0,0,0,0">
                          <w:txbxContent>
                            <w:p w14:paraId="7639C838" w14:textId="77777777" w:rsidR="006D7011" w:rsidRDefault="006D7011" w:rsidP="00094D21">
                              <w:pPr>
                                <w:pStyle w:val="af0"/>
                                <w:jc w:val="right"/>
                                <w:rPr>
                                  <w:noProof/>
                                </w:rPr>
                              </w:pPr>
                              <w:r>
                                <w:rPr>
                                  <w:rFonts w:ascii="Times New Roman" w:eastAsia="Times New Roman" w:hAnsi="Times New Roman" w:cs="Times New Roman"/>
                                  <w:lang w:val="pl-PL"/>
                                </w:rPr>
                                <w:t>Rysunek</w:t>
                              </w:r>
                              <w:r>
                                <w:rPr>
                                  <w:rFonts w:ascii="Times New Roman" w:hAnsi="Times New Roman" w:cs="Times New Roman"/>
                                </w:rPr>
                                <w:t xml:space="preserve"> K</w:t>
                              </w:r>
                            </w:p>
                          </w:txbxContent>
                        </v:textbox>
                      </v:shape>
                      <w10:wrap type="square"/>
                    </v:group>
                  </w:pict>
                </mc:Fallback>
              </mc:AlternateContent>
            </w:r>
          </w:p>
          <w:p w14:paraId="3172D575" w14:textId="77777777" w:rsidR="00094D21" w:rsidRPr="008F328C" w:rsidRDefault="00094D21" w:rsidP="008E70FE">
            <w:pPr>
              <w:pStyle w:val="a3"/>
              <w:numPr>
                <w:ilvl w:val="0"/>
                <w:numId w:val="129"/>
              </w:numPr>
              <w:rPr>
                <w:b/>
                <w:lang w:val="pl-PL"/>
              </w:rPr>
            </w:pPr>
            <w:r w:rsidRPr="008F328C">
              <w:rPr>
                <w:rFonts w:eastAsia="Times New Roman"/>
                <w:b/>
                <w:bCs/>
                <w:lang w:val="pl-PL"/>
              </w:rPr>
              <w:t xml:space="preserve">Wyjąć wstrzykiwacz z miejsca wstrzyknięcia i zaopatrzyć  </w:t>
            </w:r>
          </w:p>
          <w:p w14:paraId="1D73C67E" w14:textId="77777777" w:rsidR="00094D21" w:rsidRPr="008F328C" w:rsidRDefault="00094D21" w:rsidP="008A03B2">
            <w:pPr>
              <w:pStyle w:val="a3"/>
              <w:numPr>
                <w:ilvl w:val="0"/>
                <w:numId w:val="0"/>
              </w:numPr>
              <w:ind w:left="471"/>
              <w:rPr>
                <w:b/>
                <w:lang w:val="pl-PL"/>
              </w:rPr>
            </w:pPr>
            <w:r w:rsidRPr="008F328C">
              <w:rPr>
                <w:rFonts w:eastAsia="Times New Roman"/>
                <w:b/>
                <w:bCs/>
                <w:lang w:val="pl-PL"/>
              </w:rPr>
              <w:t>miejsce wstrzyknięcia</w:t>
            </w:r>
          </w:p>
          <w:p w14:paraId="7D929335" w14:textId="77777777" w:rsidR="00094D21" w:rsidRPr="008F328C" w:rsidRDefault="00094D21" w:rsidP="008A03B2">
            <w:pPr>
              <w:pStyle w:val="a3"/>
              <w:numPr>
                <w:ilvl w:val="0"/>
                <w:numId w:val="0"/>
              </w:numPr>
              <w:ind w:left="471"/>
              <w:rPr>
                <w:b/>
                <w:lang w:val="pl-PL"/>
              </w:rPr>
            </w:pPr>
          </w:p>
          <w:p w14:paraId="7B26445F" w14:textId="77777777" w:rsidR="00094D21" w:rsidRPr="008F328C" w:rsidRDefault="00094D21" w:rsidP="008A03B2">
            <w:pPr>
              <w:pStyle w:val="a3"/>
              <w:ind w:left="3937" w:hanging="180"/>
              <w:rPr>
                <w:lang w:val="pl-PL"/>
              </w:rPr>
            </w:pPr>
            <w:r w:rsidRPr="008F328C">
              <w:rPr>
                <w:rFonts w:eastAsia="Times New Roman"/>
                <w:b/>
                <w:bCs/>
                <w:lang w:val="pl-PL"/>
              </w:rPr>
              <w:t>a.</w:t>
            </w:r>
            <w:r w:rsidRPr="008F328C">
              <w:rPr>
                <w:rFonts w:eastAsia="Times New Roman"/>
                <w:lang w:val="pl-PL"/>
              </w:rPr>
              <w:t xml:space="preserve"> Spojrzeć na wstrzykiwacz i upewnić się, że niebieski tłok z szarą górną częścią wypełnia okno całkowicie.</w:t>
            </w:r>
          </w:p>
          <w:p w14:paraId="0619F4EA" w14:textId="77777777" w:rsidR="00094D21" w:rsidRPr="008F328C" w:rsidRDefault="00094D21" w:rsidP="008A03B2">
            <w:pPr>
              <w:pStyle w:val="a3"/>
              <w:ind w:left="3937" w:hanging="180"/>
              <w:rPr>
                <w:lang w:val="pl-PL"/>
              </w:rPr>
            </w:pPr>
            <w:r w:rsidRPr="008F328C">
              <w:rPr>
                <w:rFonts w:eastAsia="Times New Roman"/>
                <w:b/>
                <w:bCs/>
                <w:lang w:val="pl-PL"/>
              </w:rPr>
              <w:t>b.</w:t>
            </w:r>
            <w:r w:rsidRPr="008F328C">
              <w:rPr>
                <w:rFonts w:eastAsia="Times New Roman"/>
                <w:lang w:val="pl-PL"/>
              </w:rPr>
              <w:t xml:space="preserve"> Wyjąć wstrzykiwacz ze skóry.</w:t>
            </w:r>
          </w:p>
          <w:p w14:paraId="2CD566FD" w14:textId="77777777" w:rsidR="00094D21" w:rsidRPr="008F328C" w:rsidRDefault="00094D21" w:rsidP="008A03B2">
            <w:pPr>
              <w:pStyle w:val="a3"/>
              <w:rPr>
                <w:lang w:val="pl-PL"/>
              </w:rPr>
            </w:pPr>
          </w:p>
          <w:p w14:paraId="11DCB14F" w14:textId="77777777" w:rsidR="00094D21" w:rsidRPr="008F328C" w:rsidRDefault="00094D21" w:rsidP="008A03B2">
            <w:pPr>
              <w:pStyle w:val="a3"/>
              <w:numPr>
                <w:ilvl w:val="0"/>
                <w:numId w:val="0"/>
              </w:numPr>
              <w:tabs>
                <w:tab w:val="left" w:pos="3153"/>
                <w:tab w:val="left" w:pos="3294"/>
              </w:tabs>
              <w:rPr>
                <w:lang w:val="pl-PL"/>
              </w:rPr>
            </w:pPr>
            <w:r w:rsidRPr="008F328C">
              <w:rPr>
                <w:rFonts w:eastAsia="맑은 고딕"/>
                <w:lang w:val="pl-PL"/>
              </w:rPr>
              <w:t>•</w:t>
            </w:r>
            <w:r w:rsidRPr="008F328C">
              <w:rPr>
                <w:rFonts w:eastAsia="Times New Roman"/>
                <w:lang w:val="pl-PL"/>
              </w:rPr>
              <w:t xml:space="preserve"> Po wyjęciu wstrzykiwacza z miejsca wstrzyknięcia, igła zostanie automatycznie osłonięta.</w:t>
            </w:r>
            <w:r w:rsidRPr="008F328C">
              <w:rPr>
                <w:rFonts w:eastAsia="Times New Roman"/>
                <w:b/>
                <w:bCs/>
                <w:lang w:val="pl-PL"/>
              </w:rPr>
              <w:t xml:space="preserve"> Nie należy</w:t>
            </w:r>
            <w:r w:rsidRPr="008F328C">
              <w:rPr>
                <w:rFonts w:eastAsia="Times New Roman"/>
                <w:lang w:val="pl-PL"/>
              </w:rPr>
              <w:t xml:space="preserve"> ponownie nakładać osłony na wstrzykiwacz.</w:t>
            </w:r>
          </w:p>
          <w:p w14:paraId="5A8ADC6B" w14:textId="77777777" w:rsidR="00094D21" w:rsidRPr="008F328C" w:rsidRDefault="00094D21" w:rsidP="008A03B2">
            <w:pPr>
              <w:pStyle w:val="a3"/>
              <w:rPr>
                <w:lang w:val="pl-PL"/>
              </w:rPr>
            </w:pPr>
          </w:p>
          <w:p w14:paraId="1C36E1F8" w14:textId="77777777" w:rsidR="00094D21" w:rsidRPr="008F328C" w:rsidRDefault="00094D21" w:rsidP="008A03B2">
            <w:pPr>
              <w:pStyle w:val="a3"/>
              <w:rPr>
                <w:lang w:val="pl-PL"/>
              </w:rPr>
            </w:pPr>
            <w:r w:rsidRPr="008F328C">
              <w:rPr>
                <w:rFonts w:eastAsia="맑은 고딕"/>
                <w:noProof/>
                <w:lang w:eastAsia="ko-KR"/>
              </w:rPr>
              <mc:AlternateContent>
                <mc:Choice Requires="wpg">
                  <w:drawing>
                    <wp:anchor distT="0" distB="0" distL="114300" distR="114300" simplePos="0" relativeHeight="251658357" behindDoc="0" locked="0" layoutInCell="1" allowOverlap="1" wp14:anchorId="65505EAD" wp14:editId="53C3ECDD">
                      <wp:simplePos x="0" y="0"/>
                      <wp:positionH relativeFrom="column">
                        <wp:posOffset>47625</wp:posOffset>
                      </wp:positionH>
                      <wp:positionV relativeFrom="paragraph">
                        <wp:posOffset>244475</wp:posOffset>
                      </wp:positionV>
                      <wp:extent cx="1889760" cy="1805940"/>
                      <wp:effectExtent l="19050" t="0" r="15240" b="3810"/>
                      <wp:wrapSquare wrapText="bothSides"/>
                      <wp:docPr id="3929" name="그룹 3929"/>
                      <wp:cNvGraphicFramePr/>
                      <a:graphic xmlns:a="http://schemas.openxmlformats.org/drawingml/2006/main">
                        <a:graphicData uri="http://schemas.microsoft.com/office/word/2010/wordprocessingGroup">
                          <wpg:wgp>
                            <wpg:cNvGrpSpPr/>
                            <wpg:grpSpPr>
                              <a:xfrm>
                                <a:off x="0" y="0"/>
                                <a:ext cx="1889760" cy="1786345"/>
                                <a:chOff x="0" y="19595"/>
                                <a:chExt cx="1889760" cy="1786345"/>
                              </a:xfrm>
                            </wpg:grpSpPr>
                            <wpg:grpSp>
                              <wpg:cNvPr id="3930" name="그룹 3930"/>
                              <wpg:cNvGrpSpPr/>
                              <wpg:grpSpPr>
                                <a:xfrm>
                                  <a:off x="0" y="19595"/>
                                  <a:ext cx="1889760" cy="1786345"/>
                                  <a:chOff x="8890" y="19595"/>
                                  <a:chExt cx="1889760" cy="1786345"/>
                                </a:xfrm>
                              </wpg:grpSpPr>
                              <pic:pic xmlns:pic="http://schemas.openxmlformats.org/drawingml/2006/picture">
                                <pic:nvPicPr>
                                  <pic:cNvPr id="3931" name="그림 3931"/>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bwMode="auto">
                                  <a:xfrm>
                                    <a:off x="8890" y="19595"/>
                                    <a:ext cx="1889760" cy="1511480"/>
                                  </a:xfrm>
                                  <a:prstGeom prst="rect">
                                    <a:avLst/>
                                  </a:prstGeom>
                                  <a:noFill/>
                                  <a:ln>
                                    <a:solidFill>
                                      <a:schemeClr val="tx1"/>
                                    </a:solidFill>
                                  </a:ln>
                                </pic:spPr>
                              </pic:pic>
                              <wps:wsp>
                                <wps:cNvPr id="3932" name="Text Box 3932"/>
                                <wps:cNvSpPr txBox="1"/>
                                <wps:spPr>
                                  <a:xfrm>
                                    <a:off x="1142365" y="1574800"/>
                                    <a:ext cx="756285" cy="231140"/>
                                  </a:xfrm>
                                  <a:prstGeom prst="rect">
                                    <a:avLst/>
                                  </a:prstGeom>
                                  <a:solidFill>
                                    <a:prstClr val="white"/>
                                  </a:solidFill>
                                  <a:ln>
                                    <a:noFill/>
                                  </a:ln>
                                </wps:spPr>
                                <wps:txbx>
                                  <w:txbxContent>
                                    <w:p w14:paraId="501347A5" w14:textId="77777777" w:rsidR="006D7011" w:rsidRDefault="006D7011" w:rsidP="00094D21">
                                      <w:pPr>
                                        <w:pStyle w:val="af0"/>
                                        <w:jc w:val="right"/>
                                        <w:rPr>
                                          <w:noProof/>
                                        </w:rPr>
                                      </w:pPr>
                                      <w:r>
                                        <w:rPr>
                                          <w:rFonts w:ascii="Times New Roman" w:eastAsia="Times New Roman" w:hAnsi="Times New Roman" w:cs="Times New Roman"/>
                                          <w:lang w:val="pl-PL"/>
                                        </w:rPr>
                                        <w:t xml:space="preserve">Rysunek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933" name="Text Box 3933"/>
                              <wps:cNvSpPr txBox="1"/>
                              <wps:spPr>
                                <a:xfrm>
                                  <a:off x="946150" y="647700"/>
                                  <a:ext cx="875030" cy="8453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E91390" w14:textId="77777777" w:rsidR="006D7011" w:rsidRDefault="006D7011" w:rsidP="00094D2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5505EAD" id="그룹 3929" o:spid="_x0000_s1340" style="position:absolute;margin-left:3.75pt;margin-top:19.25pt;width:148.8pt;height:142.2pt;z-index:251658357" coordorigin=",195" coordsize="18897,17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aKcUwQAACENAAAOAAAAZHJzL2Uyb0RvYy54bWzcV9tu4zYQfS/QfxD0&#10;vrFlx1fEWaRJEyyQ7gabFPtMU5RFRCJZko7t/k6B/kJboF/U/kTPUBdfYmA3aVEUfYjCy5CcOXPm&#10;kD57uy6L6ElYJ7WaxclJN46E4jqVajGLv3+4fjOOI+eZSlmhlZjFG+Hit+dff3W2MlPR07kuUmEj&#10;bKLcdGVmce69mXY6jueiZO5EG6EwmWlbMo+uXXRSy1bYvSw6vW532FlpmxqruXAOo1fVZHwe9s8y&#10;wf2HLHPCR8Ushm8+fG34zunbOT9j04VlJpe8doO9wouSSYVD262umGfR0spnW5WSW+105k+4Ljs6&#10;yyQXIQZEk3QPormxemlCLIvpamFamADtAU6v3pa/f7qx5t7cWSCxMgtgEXoUyzqzJf2Hl9E6QLZp&#10;IRNrH3EMJuPxZDQEshxzyWg87J8OKlB5DuS365LJYNLOfPuZ1Z3m8M6eS22nchW+39lIprO4P+nD&#10;BcVKMOyPX37986ffojBUx/TiIHecfUGggAJeEA7/QKxG8in+6pyj9Sznn68NrPJLK+J6k/KL9iiZ&#10;fVyaN6CnYV7OZSH9JpQaiEhOqac7ye9s1dlLQbKbgp9/pxQkxAVaRYbVMkZh3Wr+6CKlL3OmFuLC&#10;GRQqcCPrzr556O6dOS+kuZZFQdSkdh0divqgKI4AVBXclebLUihfKYgVBQLVyuXSuDiyU1HOBUhl&#10;36WIiEO9PGhlrFS+Yraz/CP8ha9s6rwVnueN31vfKAqHsormq+90ig3Y0usgEQdldYw1x0k3SJLT&#10;cZCstj4ApnX+RugyogachmPhFPZ068hFmDYm5K/SBF1wvVAhAF3ItIEzyK64LGz0xCCYfl1lBGFu&#10;rbAhrQx5oQDrJuKlqoSKuyYj6D3LyYuE6j5nRiAa2naPab2GaQ+E1Dd6TVzrUXZqUxK0yK8xU7OK&#10;xitvG2lpdQ2o9vrDQVW5gxEgrq+FJgujwbA3xjxJXK8P87+Zgx0wq+S0gK9y6UUogj3IK8R3ktfk&#10;YBsVtfx6vg5ymAxD3mhsrtMNoLAa3IA4OcOvJYhyy5y/YxZXHQZxffsP+GSFXs1iXbfiKNf2x2Pj&#10;ZI/EYjaOVrg6Z7H7YclIZ4p3CinHlr5p2KYxbxpqWV5qkAu1BW9CEwusL5pmZnX5Cbf6BZ2CKaY4&#10;zgIbm+alry5wvAq4uLgIRpVc3ap7A5FLQgUQ7R/Wn5g1dW14JPS9bkjFpgclUtmCzlvc6g4oHVr1&#10;7fjv8bx/jOf9V/J8cjpMBsATLB6ejkaHLB+PBl26RYnl49NBfzypidjoVSMjX6g0eyw/EJb54oiw&#10;EMsjEHDYh5d7WlXTnU1FeNHVwrZPfuc3haBVhfooMpRBeLEEhaO35FbUGOeQ/ub8YE1WGWTxJQtr&#10;e1paefWSxe2KcLJWvl1cSqVtiP4AsvSxcTmr7Gtu1nEf1H+rhf+j+ufe/gcUAO9wIL/30N/th6xs&#10;f9mc/wUAAP//AwBQSwMECgAAAAAAAAAhAN2IjZaMNAAAjDQAABQAAABkcnMvbWVkaWEvaW1hZ2Ux&#10;LnBuZ4lQTkcNChoKAAAADUlIRFIAAAHHAAABbAgGAAAAuSdynwAAAAFzUkdCAK7OHOkAAAAEZ0FN&#10;QQAAsY8L/GEFAAAACXBIWXMAACHVAAAh1QEEnLSdAAA0IUlEQVR4Xu3dB3hV9f3HcbfiQBRQZKuA&#10;yJ6yNySEFSAk7BD23ivssDeEvZHp3gusWq1aceDGUS2uKoqr2rpr/fx/3x+Jvd7/bYPhinDu+/U8&#10;v0fEJHc8bd75nvM7J6c477j1JYvFYrFYLL/edeuUL4WT1r/+9S89+eSTWrVipXp2666ypUprxtRp&#10;+uijj7I+4j/23Hef2ia0Up9eaXp2//6sv83Zt99+qxdffFHXX3ed+qb1VrVKlbUyM1MfHz6statX&#10;q3qVqkpOStGyZavUd9hMla2VpkurDFD+mum6uNa0Y1r5a4xTkavjdXXpqzRsyFDdcfvtv1i33nKL&#10;xo4areqVqyh9wkT97b33sp51zl5+6SUNGjBALZo2818r3HfffaeXX35ZN95wgwb266+q7nUvXrRI&#10;//znP7M+AkAQuS7+gzie5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E6EONq/N6zfUL169lZ8qxSVLt9MhcvG67JyHVSoQqdj&#10;W+UTVezKa1wcyxBHAMcFcQyAEyGOVStWUpkrS6l82at1VamrdEXJUipZsrRbZdy66hiX+xolriCO&#10;AI4b4hgAJ0Qc3b/Xql5D7Vq3Ucu4eNWvW0+NGjZSfIt4tWrZ6phWXPMW/rAtcQRwvBDHADghzjm6&#10;MHVMbK+5c+YqfWK6UlPT1H/AIE2YOFlTps44pjV23AQlxLdUuTKccwRwfBDHADhRNuR0TemsNavX&#10;aO7ceRo4aIhGjh6r2XPma+HiZce0ZsycrcS2icQRwHFDHAPgRIljFxfH1atWa46bHgcMHKyRo8Zo&#10;1ux5WrBo6TGt6Rmz1I44AjiOiGMAnAhxrObCFNesuUYOG65+ffupfWJ7pbhY9unTXwMHDjmm1Tut&#10;rxo3bEQcARw3xDEAToQ4VqlYSRXKXq1rqtdQjarVVKl8Bf939uea1aof06pepZrKXVWWDTkAjhvi&#10;GAAnQhztUg77u2aNm6hhvfo+krVr1lKDeg38rtVjWQ3q1vOxJY4AjhfiGAAnymHV1u7rTpk0WSOG&#10;j1DnlC7qmZqm4cNHacyY8ce0hgwZrubNmnNYFcBxQxwD4ETZkMNuVQBBQRwDgDgSRwDRRRwD4ESL&#10;Y8aMDHXr2t0fVh02fKRGjxl3TGvIkGEuXhxWBXD8EMcAOFHi2K1zF61fu07jxoxVowYN/YYc25zT&#10;qEGjY1r169ZnQw6A44o4BsCJEsceXbtp8+bNGjt6jN+tWqlcBf/3NavVyNWqUbW63+hjl4RUrlDR&#10;/V11jR45Urfdeqtuv+024gjgN0McA+BEiGMNF8Heqb3cf79es2bOUkJ8gtq0aavevfv684+5Wf37&#10;DVT37j2VlJSsDokdlNSho6ZNmaobrr9eN990E3EE8JshjgFwvOJokbjJRalfnz7+usali5foPRei&#10;dWvW+sOnw4YM0R133KHF7u+TOnZSzx69lD5pqt+UM3f+op9vBxdp003omr9wiebMW6iMmXM0avQ4&#10;9e8/yF8eMnH8BM2fN0/r1q7Vdbt365577vFh3LF9u0aNGKn6deoqY9p0vf/++1nPOmfEEUAkxDEA&#10;jkccLRKvv/667rn7Hg0eMFBVKlbUrIwMvfDCC9q8aZN6dOumjOkzfLAWLlioNq3aKLFde/XrP1Dj&#10;xqdr5qy5mr9g8VHFcZ77uGnTZ/ow9uiR6kKbpGnu9Wx3EVy0cKHGjhmjLVu26IknnvDRmjd3roYN&#10;HarOySlavWpVxNf93xBHAJEQxwA4HnH84Ycf9O677+pPf/qTRo8c5c8FThg3Xnv37tW2a6918Zqq&#10;5cuW6aYbb9LcOXOU7ILWsX1Hde+e6u+Par92atLkqZo8ZbqmTsv4nyt98jSNHjPef16XlC7+a9mU&#10;+oc//MHFcZF6dO+uDevX64CL1vZt2zRo4EAXuIEaM3q0j9hnn32W9axzRhwBREIcA+B4xNEe4/PP&#10;P/fT45xZs9WwfgMfpLVr1rhAbdfu3bu1fPlyjRs7TlOnTNEiNz3auccJ4yeqX59+/jrFhLiW/lxk&#10;q5b/e7Vt3c4FsKebBof5iXHZ0qVav269tm7ZqjkuvMOHDfdT5IEDB7QiM9N9zXj1SUvTksWL9dBD&#10;D+nLL4/+f87EEUAkxDEAjkccf/rpJz89fvrppz5U9ls3Unv0dNPaGG3cuNFPlCvd46d0SvabYm6+&#10;6WYfzTmz56hXai/VrlHTX6d4NMs2+7Rr3UbDXRzta956663+0K0drp03d55muzjbxh87rGobdGyK&#10;tU1CtlHnJRe7r7/+OutZ54w4AoiEOAbA8Yrjjz/+qK9cFPbu2auMGTPUt3dvH7GJEyb4Xay2MWbN&#10;6tVuglvio2hTZG830XXt3EXJSZ3UqWPSUS372K5duqhnjx7q7Z6nneO0CK5cscI/xp133KkN6zdo&#10;ZsZM9ezeXfVq19Gkiena98Q+ffjhh/r++++znnXOiCOASIhjAByPOGaz6fHVV17x1xoOGzzET21d&#10;klPcVLfAB8Smua1bt2rokCF+g0xbF88e3Xto/Pjx/s45R7MmT5rsP98C2bRRY9VyU+fgQYO0ccMG&#10;7dmzx28Cssdr0ay5mruo2Q3PV61c6XepWhj//e9/Zz3bnBFHAJEQxwA4nnG06fGTTz7xm2FsSrTf&#10;/t+pY0f3zxRNTp+kHTt2+EOeO3fu9H/euWOnrtt9nW65+RYX1NuOatnH2iRq5xUtiHapiG36scOm&#10;69au8xt++vbuo6aNm/jznrZD9dE/PaovvvjCvxc25R4t4gggEuIYAMczjsbiY+f1HnzgQc10k15K&#10;p2Q/QXZs317T3eNa2J577jkdPHhQhw4d0rvvvKNXX33VR+Zolm20ee211/Tmm2/6HbK2nnrqKd1y&#10;yy1KnzjRT4txzVuoZVy836xjH2ubhex9+LWII4BIiGMAHO84Gju8avF76MGH/LnAwQMHqYd7bLvs&#10;YkC/fpoyaZIWzl/gp7otm7f43aw3uMAc7bKL/O38on3+vDlzNclFcejgweqVmqrkTp00dsxYv1nn&#10;jw/9UR9//LG/ScGvOZyajTgCiIQ4BsDvEUebHu1xv/rqKz3vpsRdO3dqxLBhqlW9hqpUqOjvh2ob&#10;ZeJbxKmnnXMcN17Tp00/qmWXgtjH2/WLrVq29LtX7Wva7eE6tEvUyBEjtGvXLn9ZiR3itefxaw6l&#10;hiKOACIhjgHwe8Qxm52DtMd54fnn/a3cFsyb5y/lsMswbBONrRHDhmvC+Al+o83RrPSJ6X4ytFvC&#10;DRk02E+iFt6J48f7SfKuO+/0j2eHUr/55ptcTYzZiCOASIhjAPyeccy+xMMOa9o1kHZ+cL/7uve5&#10;x7FDo3Yf1CWLFmtmRoa/oP9o19QpU/2lGmtXr9GNN96ovXv2aN++fXrr4EE/rVq07HGPJYyGOAKI&#10;hDgGwO8Zx2wWSbuMwsJ1+PBhv5nGfouHBe3hhx92j7tH995z769adj3lE3/+s4/TX//6V33wwQe/&#10;6u43R4M4AoiEOAbAiRBHY4G0Sc6ej4XSpkk77Gk7Wy2aFpRfs+xz7PMtUPb1bBPQsU6K4YgjgEiI&#10;YwCcKHE8GRFHAJEQxwAgjrlHHAFEQhwDgDjmHnEEEAlxDADimHvEEUAkxDEAiGPuEUcAkRDHACCO&#10;uUccAURCHAOAOOYecQQQCXEMAOKYe8QRQCTEMQCIY+4RRwCREMcAII65RxwBREIcA4A45h5xBBAJ&#10;cQwA4ph7xBFAJMQxAIhj7hFHAJEQxwAgjrlHHAFEQhwDgDjmHnEEEAlxDADimHvEEUAkxDEAiGPu&#10;EUcAkRDHACCOuUccAURCHAOAOOYecQQQCXEMAOKYe8QRQCTEMQCIY+4RRwCREMcAII65RxwBREIc&#10;A4A45h5xBBAJcQwA4ph7xBFAJMQxAIhj7hFHAJEQxwAgjrlHHAFEQhwDgDjmHnEEEAlxDADimHvE&#10;EUAkxDEAiGPuEUcAkRDHACCOuUccAURCHAOAOOYecQQQCXEMAOKYe8QRQCTEMQCIY+4RRwCREMcA&#10;II65RxwBREIcA4A45h5xBBAJcQwA4ph7xBFAJMQxAIhj7hFHAJEQxwAgjrlHHAFEQhwDgDjmHnEE&#10;EAlxDADimHvEEUAkxDEAiGPuEUcAkRDHACCOuUccAURCHAOAOOYecQQQCXEMAOKYe8QRQCTEMQCI&#10;Y+4RRwCREMcAII65RxwBREIcA4A45h5xBBAJcQwA4ph7xBFAJMQxAIhj7hFHAJEQxwCwOO57Yp9W&#10;LM9Uj67diOOvkJs4Llq4UF9++aV++uknvwAED3EMgB9++EGPP/aYFi1YqK4pnYnjr5CbOM6fO0+f&#10;fPKJf9+JIxBMxPEkZt+Y//3vf+vbb7/Vgw88qOkuiB0T2/8cx0OHDvn/HvoN/MEHHlDX5BQNGzJE&#10;Lzz/fNbfxq5XXnlFY0aNUofERN17zz1Zf/sf37n39sUXXtDuXbvUv09fValQURnTp+utgwf1j3/8&#10;w7+/AIKHOJ7E7BuzfYN+7733tHnjJrVvl6gGdeupUvnymj5tmv765pv6+uuvf/EN/KD7pn7brbdq&#10;7549ESfLWGMT4AN/+INuvvFGvfnGm1l/+x/ffPONHnNT+bJly/xUXqHs1T6S1193nY/m999/n/WR&#10;AIKEOJ7E7FyjTYf7n9mvqZOnqGzp0qpYrrxq1aypaVOm6KmnntKhDw75QNrHWiR//PFH/w3dDgky&#10;9Rz5AcPeC3tP7L3Jnsbt/bJDqhbPu+66S5MnTVK7Nm1V7qqySoiL1+iRo3TnHXf49xZA8BDHk5h9&#10;Q3/ppZfcFHO9Px9W+vIrVL9uXXXt0kVjRo/WwgULdZObiPY/84yfLr/66iv/TZ/zZP+dBdJ2otoP&#10;HfbDxa233KKlS5Zq5IgRat+2na6pXl0N69VT65YJ2rhhg/7xJf/XAYKIOJ7Evv3mWz388MOaN2eu&#10;kjsmqVTJy/037YkTJmhg/wFKdN/Mx4warZ07dujPf/6z3n33Xf3973/3045NRTYxWSxtWRRsYrIV&#10;1HhmT4W27PXa67b3wJa9H3bu1nah2vv0jPuBYtOmTf6HjCGDB6tv7z7q2L6DmjRqpJrVqqm8myDn&#10;u/fd3k8AwUMcT2K2WcR2qS5zk03Xzl385GhTTc/u3d3qoe5du2m0i2Pm8uVavXKVMpct05bNW3TP&#10;3ffo8ccf10svvuTPS/7tb3/T4cOH9dlnn/npMojn0SyIFkH7wcCCZudbbZp+44039OKLL+qJJ57Q&#10;nj17/KS9fds2rV2zRvPmzdOE8ePVt08fJXXoqFbuB49mTZqqXu06boKs4d/3L7/4IusRAAQJcTyJ&#10;2bTzzNPP+M04vXum+jhWqVhJjRs0VOfkFI0YPkLpEydq2tSpbvLprQZ16rpv8C39NJm5PFM3XH+9&#10;/nD//f4GAna5goXy0Acf6Av3Df9797UtktnnJ7MnzNBJ80Rboc8veyL84fsf/GuxjTU2FdoPAW+/&#10;9ZY/HG0/INx33326bvdurVq50oewd1qaeqWm+n+OHzdOMzMy/NQY3yJOzZs283G0Fd+8hdatWeu/&#10;JoDgIY4nMfvmb0G7f+9ejRoxUmWuuFJNGjZSP/fNfNyYscqYkeEmx1F+grRLPNq2au0nyvT0dC1Z&#10;vFgb1q/3U5LF4XoXyt3un/bvWzZt9sHduX2Hm6Ru8jtbH/3Toz8vOxf3/HPP6cCBA37yetM9h99z&#10;2XN44fkXfOyyn6MdbrbLVuzaxW3XXqsN69Zp3eo12rRxo/+h4Oabb3av+zpt375dG93f2XQ9ZfJk&#10;DRwwQF06d1b7xET/Z9uIYz9cTHLvWZeUzqpzTS0lxLdUWmovXe8+/yvulAMEEnE8idm0ZIdCX3/9&#10;dc10IbzqylLq3CnZf6O3w4KrV63SkEGD/CaS5m7aGTZkqDLcJLTYhXG5+xi7PMFuhTZr1iw/YQ5y&#10;H5vSqZMa1W+gGlWrqWmjxurYoaOGDR2mWTNn+TV71mytyMzUls2bfWTuvusuf33g77nuuftuXbt1&#10;q+bPm//z85w6Zaqf/OwQc/3adfz1iZXdsvdh6OAh/mPs45cuWeLfpzWrV2uRey8skPbDRItmzX/e&#10;2GTxtEPR9gNI5fIV/K7VKemTdN+997FbFQgo4ngSsw0mdrjQzp+tXrlSdWvV9nG0b/CbN23y1+/Z&#10;VDjbhcA27axbu04bNmzwIbAozHZRHDtmjHr1TFVyUicXxmQXww5qndDKn19LSU5Wv759/eHGeXPn&#10;asH8+Vq0cJFWrljhd2pakHbt3OkvkLdl1/75qeymm3T7bbf5qS1ay67NvMVNe3anmuzHy172HDas&#10;3+B3lS5YsMA/V4vftKnT/GYau/7T7oBjh5vtn4kubjYF2uFSC579wLB06VJ/aNV+qLCpev68eVq/&#10;br1/PDsXuTdrOrc4prn3a+uWLdq/f78/tA0geIjjSSx796UF0iJoh047dUxSDzct2WT3wQcf6NNP&#10;P9Xf3nvPHwK1w4533nmn/8Zu9we16HXv2tVvMKlepaoS4uP95w4aMFDjxo7zhxMtEstcOGy6ssOw&#10;9nW3uM+3r2EBtr/LXvbv9vcWLItZpMjlZllos8PoD5GGPGb2ssOl9rws2hZ/C51FfN5c21QzwU+/&#10;/fv2U1LHjqpd8xp/brZhvfrq4N4zmyTnzJ7tv4Y93mOPPqZXX33Vb1Sy6xzt/OTdbjq1ydsm0LGj&#10;x/iNULahxw5tAwge4hgA9g16z317NHbUaHXr3MVvHFmyeInee/c9H06bbmyH5ttvv+13Zto3dtuI&#10;YrFZ76bJWRkzNWXSZD9x2UYdi41NhVvdsn/asihlB9GmqxWZK1w07bDs4qy1KGtim/nzObr0CROj&#10;tCZowrhxfs2cMSPkMf+zMjMztXbtWh84e972fP1zdn/etNEiviFrKlzib7Nn5xLnzJrtX+/2bdt1&#10;15136dFHH9VL7v15L+uSF7u0w96/ffv2ad26dX7StB8k5s2Zo7/+9a9+45Id2gYQPMQxACyOTz/1&#10;lN892SettyqVK++DYjtQ7Zu8/XfbwWmRtHNkdss5+3ubKu2Q7Pvvv6+33npLr77yil544QU999xz&#10;fgfrgw8+6Ccmm9zsUKnFxgKzcMECzZg+Q9OnTfeHLm3ZOb6RI0b6XZ5tW7f201kNN41Gc9m5025d&#10;uvz8mKHLzoXaTQ/Wu7DboV27eN+WnY985JFH/HWe9h7ZLd9sE49Nffa6P/zwQ3388cf6/PPP/c7T&#10;7GtALXo2ldsNAewOOXb+0i6XaRXf0m/usffPPoYbKgDBRBwDwL5Jv/nGG9rrpscxI0epXJmrNHjg&#10;ID3wwAN65513/ASUE4unRdMOI1ow7ZDiX/7yFz9pWiwtLI/+6U/+0o877rjDTZ03/mLZbtetW7Zq&#10;1apVfiKzKXbU8BG/WL1Te/m41K5RU1eXLuN311auUMEf4rTNRBWvLqfWCQnq16eP30g0cvjwX3y+&#10;3SDcziuGP7atW2+5VXfecaffofqkm/TsrkC2bBK0Kc8u7LfDzLaB6WjOE1r07D2x98Mmz5SkTv68&#10;rL0Gm7htogQQXMQxAGzCsW/itmvVwlS+7NX+9zpu27pVzz77rL+wPyf2NbKvD7RrG+2bv01RNjnZ&#10;sovdbVqyuNhjHf7o8C+WBdXu42pRtcO3Fmu7xCJ02SUhtlHGNg1Vr1zFP0/bEdu8aVMfSbsO034d&#10;1CMPP6znnn3Oxzn8a1jkwh/br8OH/fOy52eHOy30tuy52+uwHxAsivb6juZQaPa5XPvhYu7sOT7o&#10;nTp01KSJ6bp/z96j+oEDwMmLOAaATTkWQDtMumXTJrVs3sIHaNyYMdqxfbv/nYUWD/sYi4N94z+e&#10;LEYW3Cf3PalpU6aqW5eu/iYFfdLS/M5au4zEfmVUUvsO2rh+vT8cbKH7PQ5Z2g8IFlQ73GqHmG0D&#10;09DBg/2lLbahx6Zj+4EjiHcRAvAfxDEg7Ju6fcP2h1ZHjfaHAe3SBTs8abtH7bDoh4f+8xs6jicL&#10;sk1x995zr98wZLtq7byl/VYLu6GAndvMmDFDQ4cM0fp16/SnRx7x5wN/jzjadGnnI20Tjl3fOHLk&#10;SH+PWtvZapuNnn7qaT8hH+/3EMDxRRwDxs6x2Z1tLJBNXBwtRDZB2o0BbrrhBn/I8sDLB/zhSduI&#10;YodKbaLM3oTyW7Bo22YX29jTxl9D2dJfamGbZOywpZ3XtN2uFkf7e7s+057fbxFHm5pt2XOy120b&#10;cT5yU6I9D7t8w+6xapeNLF+2zE+MiW3bKjkpyd91yH7IsGjb5x3v6RvA8UUcA8YOrdq5xx3btvvf&#10;zGG/Zsmf12vSVG1btXKT5GAXoFV+84od5rSPtfOEdq7utzqPZlOWTax333mXv4Vd8yZN/D1L7ZDl&#10;gZdf1hN/fkLpE9PVrWtXfwH+bxlH+wHAfhCw85I2IdohZ7uEw67LtOsix48f78/XxjVrpsYNG6qZ&#10;e66jRozwt9R75umnfRjt9fweUy2A44c4BowdwrQQ2eG/TRs2+msDkzt0VP06dVW2VGl/nV7vtN7+&#10;8oeVK1b6e6napHTfvff6qfLJJ47s9LR7lb722ms6+NeDR9bBgz4mdi7u8Ecf+akzfGVPofb4oSv7&#10;0hHbkGM3QG/Xpo2PtF0XaedE7dpEu4+p3bbNbk1nh1Xfco/3v77WZ+6HgEjPwX4Po4X17bfe9s/Z&#10;LtuwjT0WQTu0bBf429e3TTV2eYpdt7nUBXnSxIn+TkF2IwR7r2pVr6FE9zxterSPeca9nx+4qfG3&#10;mq4BnFiIY8DY4T6bbGyCtDBYCOwwq10WUbNqNVUsV14N3EQU7yLQKiFB7Vq3UYd2if73QXZNSfG3&#10;RrPzlPY7Ie2yic12E3K37GJ6m67s8hC7qbfdSOAX6/HH/eFROzxpk2josqhasOx6Q7ttnU20NsXa&#10;BGm3crNdoHZnH7v8xGL97P79Pmj2eeFfx16T3e3HAh7+HB5zE6DdhP3mm27Wzh07/R1z7BZwK1eu&#10;9PeeHdCvn79Osmvnzv6crL3uNu55xDVr7qdr+0XR9evW84FM7dHDh9qes03X9n5anJkYgdhAHAPM&#10;vpH7G5O7CdDuvdrQfeO/suxVKlO7pko1qKMSdWupWK0aKl6zmkpUr6oS1aqoVM3qqtywvhq1bqXO&#10;bsobMma0hro1wk2gU6ZN03w37S1euMj/bsjMZct/XiuWL/d30LGA2kabSMtuImC3o7M7zdjvQ7yi&#10;eAm/yl1V1v82kV49e/pzj/YbM2677bb/9/l2aze7wH/btdv8xp3Qx7e1fOkyzXXPL33KFI1xcR8+&#10;dqz6ux8Kegzor/jkJJWvV1clqlY+stxrtdddzL0XReu498H9s0zlyv4HCPtBYcqkSf6aSftN/3Z+&#10;kigCsYU4Bph9Q7dfiGyHIW0zSdNGjVTSRaFYUhsVHtBTBUf2U363LhmcqkJ9u+my1BQV7dpBVyQn&#10;qlxye9Xt0VnxfVPVpl+aEnv3UuukjmrZIk4JcXFq3TLh/y2bxOy3enRJTom4OiYm+s+3G6TbjQqy&#10;42i/h9JuAGB31UmIi/dTnV2KEv75nZOT/ZRpl33YxBvpObRu11atkzupTY9uSuzbS3G9U1W7e2dV&#10;6NZJJbonqXD3Tn4V6tXZv+78owco34RhunhYHxVr2kBVK1VWavceLrRLte+Jff78JJtvgNhDHGOA&#10;fXO/47bb1aJJUxV30+Jl/bsr/4wxOn/lLJ27Zq7yLpuhfAsm6aJZ45V/8ggVGDVAhYb0UsnBvVR2&#10;UC9VGtJHVQb0Uul2CSpSq2bEVfSaGipWo5qKuwn0N13uMexxil5TPeLzKNmskcp0bKsKqZ1VZVCa&#10;rh6cpqL9uqvgkDTlT3cRdK/bVr45E/zrPnfdAp197TLlWTpDl7aN9zcW79+nr7+B+QvPP08YgRhF&#10;HGNApDjmmz1eZ69foDO2L9dZW5fqrE2LdfYGF4o183TOChfN5Rm6wK18yzJ08fKZyr80Q3lnT9R5&#10;U0b+ck0eqfPThyvvhKG62E1hBYf21iVDfrtVcFhfP+3mHTfYP3b48zk/Y6wunJuuixZNU3733PO5&#10;13Dekuk6Z/kM/9rsNfu1caF/3Wdsz9Tpu1bprMyZuqRdS+IIwCOOMSBiHOdM1JlbluiUG9cd27ph&#10;nU67bo3O3LFCeTYv1vkuQBesnvubrfPWzVceF7Yzti13j7028nPKxTpz5WwVTEwgjgA84hgDftM4&#10;2nKRskCe4QJ5povWWb/hOtMmvR2ZOnX3qsjPJZeLOAIIRRxjwG8ex+xlk9zxWpEe/xgWcQQQijjG&#10;gOMWx5N4EUcAoYhjDCCOOS/iCCAUcYwBxDHnRRwBhCKOMYA45ryII4BQxDEGEMecF3EEEIo4xgDi&#10;mPMijgBCEccYQBxzXsQRQCjiGAOIY86LOAIIRRxjAHHMeRFHAKGIYwwgjjkv4gggFHGMAcQx50Uc&#10;AYQijjGAOOa8iCOAUMQxBhDHnBdxBBCKOMYA4pjzIo4AQhHHGEAcc17EEUAo4hgDiGPOizgCCEUc&#10;YwBxzHkRRwChiGMMII45L+IIIBRxjAHEMedFHAGEIo4xgDjmvIgjgFDEMQYQx5wXcQQQijjGAOKY&#10;8yKOAEIRxxhAHHNexBFAKOIYA4hjzos4AghFHGMAccx5EUcAoYhjDCCOOS/iCCAUcYwBxDHnRRwB&#10;hCKOMYA45ryII4BQxDEGEMecF3EEEIo4xgDimPMijgBCEccYELg43rBWp27P1OkbF0ZtnTM3XZck&#10;NFelcuXVs1t3LVm0WA8+8KDef/99HTp0KLDr8OHD+vrrr7P+lwIgG3GMAYGL4/VrlGfGWOXv0kH5&#10;UxKjsgq2jVfRqpV1VanSql+nrjomtteg/gM0OT1dUyZPDuyyHwL279+vn376Ket/LQAMcYwBQYxj&#10;3iG9VaxyRRUvXy46q2xZlbziCl1ZoqTKukBWvLqcqlWqrFrVawR6dWjbTnfefjuHj4EwxDEGBDGO&#10;Zy2aqrzD+yrv0D5RWRf1SlHh2tfo6jJXKb5Zc3/ecXbGTG3euFFbN28O7Lrxhhv0+muvMzkCYYhj&#10;DAjiOcdTrlutU3atito6c1mGP7RauXwF9emVprVr1uiZp57WN998o++++y6w6/vvv9ePP/6Y9b8U&#10;ANmIYwwIXBx/g8VuVQChiGMMII45L+IIIBRxjAHEMedFHAGEIo4xgDjmvIgjgFDEMQYQx5wXcQQQ&#10;ijjGAOKY8yKOAEIRxxhAHHNexBFAKOIYA4hjzos4AghFHGMAccx5EUcAoYhjDCCOOS/iCCAUcYwB&#10;xDHnRRwBhCKOMYA45ryII4BQxDEGEMecF3EEEIo4xgDimPMijgBCEccYQBxzXsQRQCjiGAOIY86L&#10;OAIIRRxjAHHMeRFHAKGIYwwgjjkv4gggFHGMAcQx50UcAYQijjGAOOa8iCOAUMQxBhDHnBdxBBCK&#10;OMYA4pjzIo4AQhHHGEAcc17EEUAo4hgDiGPOizgCCEUcY8Av4li7pi5L66x8M8bqzE2LdcoNayPG&#10;ImbW9Wt06u5VOmvpDBVsE08cAXjEMQaExrFElUoq0i5eBUb2U55Vc3T67tU6NYYDedqOFTpnzTzl&#10;mzJShVs0Jo4APOIYA+wb/N133aW2Ca1UpkpllWxYV5f26KQL5k7U2RsX6fRty3XarpU69ToXSjdJ&#10;BXqatEnRvc7Tdq50YczUWevmK9+scSrUv4eKN6ijapWraOjgIdqxbbtefull4gjEKOIYA3766Sf9&#10;+bHHNWHsWLVs3Vrla12jYvXr6NKkdso/JE0Xzhij85Zn+FCe4aJh8YgYlgCs03au0NmbFum8zAzl&#10;zRiri4f3UaHkdirepL5K1ayu+o0ba9Hixdr/zH59+OGHxBGIUcQxBlgcD7x8QFs2btLg/gN0TbXq&#10;uvzKK1WyQjkVb1xfhXulqODEYbpw4RTlWbdAZ2xdplNtkty9yoXSTVo2TZ4sE6U9R1s2Ifop8cg5&#10;Rf96dqzQWRsWKO/iqe71DlXh1BQVj2+ikpUr6corS6lc5cpq2T5R1914o/7xj3/ou+++y3oHAcQa&#10;4hgDLI7vvP2O9t53n6ZNnqJ6tevo8jKlVeKaairRuJ6KNWukIgnNVKhDaxV0wbho9ADlnTlOF7hY&#10;nrtyls5xQTnz2iOHXiMG6QRap16/1p9HPXPbcp2zcaF7/rN1vouhTYn5xg5S/v49dGlKooq0buFe&#10;d0OVqFdLJatXVelqVVWtUUN16pWq2++524fxX//6V9Y7CCDWEMcYYHH85OOP/QaTFcsz1aRhI5Us&#10;d7WKNanvV8kKFXT5FVfo8suvUIkK5VWsZVMVTktRoRF9VWDqSOVbMEnnrZqjMzcvPjKB7VqlU1yA&#10;TrHDr35lTZahK3uCi+Zy4ft/j2OPb5uKbDp06/TtbjrculTnrpmrfIumKP+0Ubp0ZD83JSaruHtd&#10;Ja6prpJly+ry0qVVsmIFlazhfkCoc43KNGmguoltlDZimPb+8aGsdw5ArCKOMSA0jiszj8SxuItC&#10;oe5JumRwL12a1uXINJXQXMVbuP/mpshibVqoaOs4FWkbr8uS2uiSrh2Uv2eyLurTTflG9ldeF02b&#10;xi6Ym67zF07WeUtn6LzMmTp3xSzlWTNP52xarHM2L/mf6+wtS92El6mz3DrbBS3Sx/y8Ni5SnvUL&#10;dO6q2TpvWcaR5R7z/HnpyusCeOHEoco3ZoAucq+ngHs9Bbt1VKFObVWkXUsVjW+iYnFNVNxNi0Xb&#10;xatI+1Yq1Lm9Cvbt5lfhjq1VulWc6nZMJI4APOIYA7Lj+OILL/wcx6IN6qrA2EHKt2yGLsicpQsX&#10;TFYBF5fLUju5IMapeIPaKlG5okrahFXGrdJl/D9LlL1KxRvVUxEXnsIuloUGdNelw3rrknED/Xm8&#10;gpOH6+JZ45Vv8TRd6OL1v1be5TN1vguprbwurJE+JnvZFHiRC6FNgpeMH3RkuccsNKCHinROVNE2&#10;7jnbYdJaNVTy6rLuudrzdcuev1vFa1ZXkQ4JunRgDxWwkM6fpHNXz3WRnaFLBvVSKRfIuikd1XvE&#10;cOIIgDjGAovj3//+d7355pvatGGDmjd2k1TtmrrEhcXulJNn7TydvWGhznURumDmWD+FXTSsj5/A&#10;CrmJ8rL2CSraqrmKtWjsN/AUcxNmMReTYm4qK2bTWNayqNqkVrhjGxXq0l6Furrp7X8tN91d0jPF&#10;L/tzxI/xq4Muc5PeZcntVNhNfdmPd2TFqZibbotb0F0gi7Vyf9eymYq4P1/mnsel7vMKuAn54oGp&#10;unDScD9pnpuZoXPXzde5bhq9YNFUXZqaorJxzdSiS7JGTkrXw489mvXOAYhVxDEGWBy/+uorHTp0&#10;SLt27lLLuDhdXrOairjwXTx+sM5eNUen2nV/fq3QqTsydbod5nTRzLtkui7KGKeCE4bo0qFpuqxP&#10;FxV2sSnSqY2PZYla1Y9MmGXdtOamyiPL/dmmt/+2/MdG+PPRrJ8f46ojU6yLfNEEF8Ok1u55dfS3&#10;xrtkZF8VmDxC+eam64JlGS7+83XW5sU6fXvmkde5a6XO2LbMH6bNlzHGB7dS/TpK6tFdM+fP0xNP&#10;PZn1zgGIVcQxBlgcv//+e3355Ze6//77NXjwENVvGa8ycU3ddNVKFw3trfMzxuqclbNdNJbrVNvg&#10;ct1qneFicraLSp41c3W+HX5dMFl5Z49X3umj3XQ5TPlG9tNFbvq8OK2rLu7eSQW6uEkwxU2Mndq6&#10;r+ti1eG/LBejwokJfrqzsNlUWtgmzkgfG7Iuc6tgsgt6j+Sf10UDeyrf6AH++Vw4fZTyzpmg8xdN&#10;0Xl27nPDAn8u84wdK3TG7lU6Y9cqH8k87r9d4F5vfjcd22RcskFd1W3SWBOmTNatd9yhv7gJG0Bs&#10;I44xwi5m//HHH/XCSy9p+apVSu3TW9fUqa3LK1X0d4YpbFOkm7bOWz1XZ1y7zO8C9XfMcaE8zV8n&#10;6FbWZGm3XDtt+3KdZnfWcfE5bcsSnbZ5ic5eN1/nucDatJnPhfSi+ZMiLzfRXTx7gvK7yNp5ygLp&#10;w3TRzHGRPzZk5Zs/2YfNP172sse352HPZ7t7Xjb5Zu2o9c/frzU63T33c9zH53WRL+CmYJsyi9ev&#10;rSvLldPV7j1IaN1am7ds0cG33vKHoAHENuIYYz44dEiPPPao1q5fp8GDBqllq1aqUr+eLm9UT4WT&#10;2qrAgJ66cOwgnecmqzwuJGfZXXPscOT1a3K8B+vpLkhn2rS5ZanybFqkPLbDNNKy85vrXUjXzNH5&#10;mTN1vgveuWvnR/7YsHWG+/qRHjt8WRRPdxE/0z7PHsPF9+JR/XVJr85+ar2yeWNVa9hA8XHx6tuv&#10;n78rzuOPP64vvvhC3377bda7BSBWEccY88MPP/jzjwcOvKLrdu3WhPET1DwuTmUrVPBTVPHKFVXM&#10;TZKXdWilgi4mFy6a4s/N2W3lTnPBiRSin5eL5893pfl5avsvK2siPc0F1Vb2odyclr+2MdJjhy0L&#10;o8U078IpKjBukN/UY5uQStj5zTKlVbFqNSW0baNR48bqpptv1quvvqpPP/3UT9fcMg4AcYxRn332&#10;mb/u8bZbb9OiRYs0fNgwdUlOUfMWLVSjcSOVadxAJex6wNQUFRiYqnxjBuqCGWN07uJp/tDmOevm&#10;+3uxnrl1qQ+Rv0g/QqR+k+Ue6zQX0zN2uslw23J/XtQ2D+VZnqFzF0z2U+KFE4Yq/9DeujQ1WUUS&#10;W/rzq7UaN1Z8fLy6pKRoxPDhWrxkiW657Ta9fOCAnxjtvCwAGOIYo7InyI8//lgHDx7Uo48+qg3r&#10;1mv06NFq0769qtSu5X+DR4ny5VSiYgUVrVFVhV1kLh3UUwXHD866lnGqLlg1x8VpyVFPdFFZLo4W&#10;xjxbluq8tfN1oYvixRljVXB0f12a1tlv7inauL6KV6vin7/tbK1et446de2iiZMna8vmLfrjQw/p&#10;L3/5iz51PyR8/fXX/lZxTIwAshHHGGeHEe0+onaZx5P7ntTNN92sZZmZmjApXX379lVS+w6Kb95C&#10;9RrUV+X45rqyQ2sVt2sfuyepUO8uKjgoVReN6K/zJg7TuTZZzk3309u5djh26Qy/A/acNXP9ZGfT&#10;5q9aa45Mg3kWTXVfzy2716ubCu2xLhzrAj1ygArYdNi/uy7r1lFFXRRLJbRQpbhmqhffQvEtE5SS&#10;1En9evfRpEmTtHrtWt1+5516Zv9+vffuu/6HAwCIhDjGOLvMwyYmC6QdWvzoo4/0rgvHyy+/rHvv&#10;uVfr167T1MlTlJaWpvjEdqrcqIHK1KyhEpUq+usbi7vp0ia0ojWr67LmjfyvfyrUw4XTTXCXDE5V&#10;wbGDVGDycOWfOtLvTv1Vy33eJcP66FIXYQuxHeK9LKG5m2KrqZhbxatXUfGqblWu5Kbb8v5+sVXq&#10;1Faztm3Uq39/TZ8+Xddu2apHHn5YBw4c8K/r408+8Ze02KYbbiwO4L8hjojI4vHO22/rqSef1F1u&#10;2tq0caPmLVigMRMnaOCgQerZvbuSk5LUrlVrJbSIU/OmTVU3roWqto5XxfatVT6pnUq5UBZLaqsi&#10;Ke1UuEt7FXbT3a9ZRTq3V4kOrVSqTbyuTmytiu5r1mjRTPVr11Gj+g3UvElTtUlopU4dOqpnt+7q&#10;7ybdsePGafb8+dq4ZYvuvvsePffsczp8+LB/PRw2BXC0iCMissOtdi7u888/10cffuinLrv93IFX&#10;XtG+fft0/9692r1zlzKXLdfc2XM0aWK6+g8YoPbJnRSXnKTGKZ1UPb65SlWvppI2ZfpJ0014v2Jd&#10;XrWyytappapNG6lem1aKc1+zU4/u6te7t0YMHab0CRO1dPES7dyxQ3v37NGzzz6rV159VW+452nP&#10;16Zgu2bRpmJ7PTYlA8DRII74VWz6+uc//6nDHx3Wqy6Ujz/6mP6w936/63Xzpk1a5KbLWfPmaer8&#10;eRrlpkw7b5nWs2euVu9eaRo4eLBGjBurSdOmapb7mssyl/spdvfOnbrtllv1yMOP6JUDB3zA//XD&#10;D1nPEgCODXHEr2LTl52rs8OUdu7uk08+cWH6SO//7W966+BBvf7aa3rVrQNu2d14bPPL0089nev1&#10;7HPP6vkXX9RLLoCvuK/5lzfe8I/z7jvvusd83++2zT6HyGFTANFCHAEACEMcAQAIQxwBAAhDHAEA&#10;CEMcAQAIQxwBAAhDHAEACEMcAQAIQxwBAAhDHAEACEMcAQAIQxwBAAhDHAEACEMcAQAIQxwBAAhD&#10;HAEACEMcAQAIQxwBAAhDHAEACEMcAQAIQxwBAAhDHAEACEMcAQAIQxwBAAhDHAEACEMcAQAIQxwB&#10;AAhDHAEACEMcAQAIQxwBAAhDHAEACEMcAQAIQxwBAAhDHAEACEMcAQAIQxwBAAhDHAEACEMcAQAI&#10;QxwBAAhDHAEACEMcAQAIQxwBAAhDHAEACEMcAQAIQxwBAAhDHAEACEMcAQAIQxwBAAhDHAEACEMc&#10;AQAIQxwBAAhDHAEACEMcAQAIQxwBAAiTHcd3s/7AYrFYLBbrlFPe+z80+A7vfnINIAAAAABJRU5E&#10;rkJgglBLAwQUAAYACAAAACEApF+PWd8AAAAIAQAADwAAAGRycy9kb3ducmV2LnhtbEyPT0vDQBDF&#10;74LfYRnBm938IVpjNqUU9VSEtoJ422anSWh2NmS3SfrtHU96mhne483vFavZdmLEwbeOFMSLCARS&#10;5UxLtYLPw9vDEoQPmozuHKGCK3pYlbc3hc6Nm2iH4z7UgkPI51pBE0KfS+mrBq32C9cjsXZyg9WB&#10;z6GWZtATh9tOJlH0KK1uiT80usdNg9V5f7EK3ic9rdP4ddyeT5vr9yH7+NrGqNT93bx+ARFwDn9m&#10;+MVndCiZ6eguZLzoFDxlbFSQLnmynEZZDOLIS5I8gywL+b9A+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NEaKcUwQAACENAAAOAAAAAAAAAAAAAAAAADoCAABk&#10;cnMvZTJvRG9jLnhtbFBLAQItAAoAAAAAAAAAIQDdiI2WjDQAAIw0AAAUAAAAAAAAAAAAAAAAALkG&#10;AABkcnMvbWVkaWEvaW1hZ2UxLnBuZ1BLAQItABQABgAIAAAAIQCkX49Z3wAAAAgBAAAPAAAAAAAA&#10;AAAAAAAAAHc7AABkcnMvZG93bnJldi54bWxQSwECLQAUAAYACAAAACEAqiYOvrwAAAAhAQAAGQAA&#10;AAAAAAAAAAAAAACDPAAAZHJzL19yZWxzL2Uyb0RvYy54bWwucmVsc1BLBQYAAAAABgAGAHwBAAB2&#10;PQAAAAA=&#10;">
                      <v:group id="그룹 3930" o:spid="_x0000_s1341" style="position:absolute;top:195;width:18897;height:17864" coordorigin="88,195" coordsize="18897,1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PYxAAAAN0AAAAPAAAAZHJzL2Rvd25yZXYueG1sRE9Na4NA&#10;EL0X8h+WKeRWVyMtjXUjITQhh1BoEii9De5ERXdW3K2af989FHp8vO+8mE0nRhpcY1lBEsUgiEur&#10;G64UXC/7p1cQziNr7CyTgjs5KDaLhxwzbSf+pPHsKxFC2GWooPa+z6R0ZU0GXWR74sDd7GDQBzhU&#10;Ug84hXDTyVUcv0iDDYeGGnva1VS25x+j4DDhtE2T9/HU3nb378vzx9cpIaWWj/P2DYSn2f+L/9xH&#10;rSBdp2F/eBOegNz8AgAA//8DAFBLAQItABQABgAIAAAAIQDb4fbL7gAAAIUBAAATAAAAAAAAAAAA&#10;AAAAAAAAAABbQ29udGVudF9UeXBlc10ueG1sUEsBAi0AFAAGAAgAAAAhAFr0LFu/AAAAFQEAAAsA&#10;AAAAAAAAAAAAAAAAHwEAAF9yZWxzLy5yZWxzUEsBAi0AFAAGAAgAAAAhAHC4c9jEAAAA3QAAAA8A&#10;AAAAAAAAAAAAAAAABwIAAGRycy9kb3ducmV2LnhtbFBLBQYAAAAAAwADALcAAAD4AgAAAAA=&#10;">
                        <v:shape id="그림 3931" o:spid="_x0000_s1342" type="#_x0000_t75" style="position:absolute;left:88;top:195;width:18898;height:1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LeyAAAAN0AAAAPAAAAZHJzL2Rvd25yZXYueG1sRI9Pa8JA&#10;FMTvBb/D8gRvdZMKYlJXEVGwtIh/eujxkX1Ngtm36e42pv303YLgcZiZ3zDzZW8a0ZHztWUF6TgB&#10;QVxYXXOp4P28fZyB8AFZY2OZFPyQh+Vi8DDHXNsrH6k7hVJECPscFVQhtLmUvqjIoB/bljh6n9YZ&#10;DFG6UmqH1wg3jXxKkqk0WHNcqLCldUXF5fRtFLyl9qCn7rXsXo7Zps2+ztuP/a9So2G/egYRqA/3&#10;8K290wom2SSF/zfxCcjFHwAAAP//AwBQSwECLQAUAAYACAAAACEA2+H2y+4AAACFAQAAEwAAAAAA&#10;AAAAAAAAAAAAAAAAW0NvbnRlbnRfVHlwZXNdLnhtbFBLAQItABQABgAIAAAAIQBa9CxbvwAAABUB&#10;AAALAAAAAAAAAAAAAAAAAB8BAABfcmVscy8ucmVsc1BLAQItABQABgAIAAAAIQBF0JLeyAAAAN0A&#10;AAAPAAAAAAAAAAAAAAAAAAcCAABkcnMvZG93bnJldi54bWxQSwUGAAAAAAMAAwC3AAAA/AIAAAAA&#10;" stroked="t" strokecolor="black [3213]">
                          <v:imagedata r:id="rId152" o:title=""/>
                          <v:path arrowok="t"/>
                        </v:shape>
                        <v:shape id="Text Box 3932" o:spid="_x0000_s1343" type="#_x0000_t202" style="position:absolute;left:11423;top:15748;width:756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PyxgAAAN0AAAAPAAAAZHJzL2Rvd25yZXYueG1sRI9Ba8JA&#10;FITvBf/D8oReRDeNIBpdpdUWPOghKp4f2dckNPs27K4m/nu3UOhxmJlvmNWmN424k/O1ZQVvkwQE&#10;cWF1zaWCy/lrPAfhA7LGxjIpeJCHzXrwssJM245zup9CKSKEfYYKqhDaTEpfVGTQT2xLHL1v6wyG&#10;KF0ptcMuwk0j0ySZSYM1x4UKW9pWVPycbkbBbOduXc7b0e7yecBjW6bXj8dVqddh/74EEagP/+G/&#10;9l4rmC6mKfy+iU9Arp8AAAD//wMAUEsBAi0AFAAGAAgAAAAhANvh9svuAAAAhQEAABMAAAAAAAAA&#10;AAAAAAAAAAAAAFtDb250ZW50X1R5cGVzXS54bWxQSwECLQAUAAYACAAAACEAWvQsW78AAAAVAQAA&#10;CwAAAAAAAAAAAAAAAAAfAQAAX3JlbHMvLnJlbHNQSwECLQAUAAYACAAAACEA/tMT8sYAAADdAAAA&#10;DwAAAAAAAAAAAAAAAAAHAgAAZHJzL2Rvd25yZXYueG1sUEsFBgAAAAADAAMAtwAAAPoCAAAAAA==&#10;" stroked="f">
                          <v:textbox inset="0,0,0,0">
                            <w:txbxContent>
                              <w:p w14:paraId="501347A5" w14:textId="77777777" w:rsidR="006D7011" w:rsidRDefault="006D7011" w:rsidP="00094D21">
                                <w:pPr>
                                  <w:pStyle w:val="af0"/>
                                  <w:jc w:val="right"/>
                                  <w:rPr>
                                    <w:noProof/>
                                  </w:rPr>
                                </w:pPr>
                                <w:r>
                                  <w:rPr>
                                    <w:rFonts w:ascii="Times New Roman" w:eastAsia="Times New Roman" w:hAnsi="Times New Roman" w:cs="Times New Roman"/>
                                    <w:lang w:val="pl-PL"/>
                                  </w:rPr>
                                  <w:t xml:space="preserve">Rysunek </w:t>
                                </w:r>
                                <w:r>
                                  <w:rPr>
                                    <w:rFonts w:ascii="Times New Roman" w:hAnsi="Times New Roman" w:cs="Times New Roman"/>
                                  </w:rPr>
                                  <w:t>L</w:t>
                                </w:r>
                              </w:p>
                            </w:txbxContent>
                          </v:textbox>
                        </v:shape>
                      </v:group>
                      <v:shape id="Text Box 3933" o:spid="_x0000_s1344" type="#_x0000_t202" style="position:absolute;left:9461;top:6477;width:8750;height:8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nUQxAAAAN0AAAAPAAAAZHJzL2Rvd25yZXYueG1sRI/BbsIw&#10;EETvSPyDtUi9gQNRUUnjIECtxDW0H7CNt3EgXofYTdK/rytV6nE0M280+X6yrRio941jBetVAoK4&#10;crrhWsH72+vyCYQPyBpbx6Tgmzzsi/ksx0y7kUsaLqEWEcI+QwUmhC6T0leGLPqV64ij9+l6iyHK&#10;vpa6xzHCbSs3SbKVFhuOCwY7Ohmqbpcvq2Cg0pSP1+PLbjPKwweeme/bVKmHxXR4BhFoCv/hv/ZZ&#10;K0h3aQq/b+ITkMUPAAAA//8DAFBLAQItABQABgAIAAAAIQDb4fbL7gAAAIUBAAATAAAAAAAAAAAA&#10;AAAAAAAAAABbQ29udGVudF9UeXBlc10ueG1sUEsBAi0AFAAGAAgAAAAhAFr0LFu/AAAAFQEAAAsA&#10;AAAAAAAAAAAAAAAAHwEAAF9yZWxzLy5yZWxzUEsBAi0AFAAGAAgAAAAhAJDOdRDEAAAA3QAAAA8A&#10;AAAAAAAAAAAAAAAABwIAAGRycy9kb3ducmV2LnhtbFBLBQYAAAAAAwADALcAAAD4AgAAAAA=&#10;" fillcolor="white [3212]" stroked="f" strokeweight=".5pt">
                        <v:textbox inset="0,0,0,0">
                          <w:txbxContent>
                            <w:p w14:paraId="1EE91390" w14:textId="77777777" w:rsidR="006D7011" w:rsidRDefault="006D7011" w:rsidP="00094D21">
                              <w:pPr>
                                <w:rPr>
                                  <w:rFonts w:asciiTheme="majorBidi" w:hAnsiTheme="majorBidi" w:cstheme="majorBidi"/>
                                  <w:b/>
                                  <w:bCs/>
                                  <w:sz w:val="28"/>
                                  <w:szCs w:val="28"/>
                                </w:rPr>
                              </w:pPr>
                              <w:r>
                                <w:rPr>
                                  <w:rFonts w:ascii="Times New Roman" w:eastAsia="Times New Roman" w:hAnsi="Times New Roman" w:cs="Times New Roman"/>
                                  <w:b/>
                                  <w:bCs/>
                                  <w:sz w:val="28"/>
                                  <w:szCs w:val="28"/>
                                  <w:lang w:val="pl-PL"/>
                                </w:rPr>
                                <w:t>Nasadka osłaniająca igłę</w:t>
                              </w:r>
                            </w:p>
                          </w:txbxContent>
                        </v:textbox>
                      </v:shape>
                      <w10:wrap type="square"/>
                    </v:group>
                  </w:pict>
                </mc:Fallback>
              </mc:AlternateContent>
            </w:r>
            <w:r w:rsidRPr="008F328C">
              <w:rPr>
                <w:rFonts w:eastAsia="맑은 고딕"/>
                <w:lang w:val="pl-PL"/>
              </w:rPr>
              <w:t>•</w:t>
            </w:r>
            <w:r w:rsidRPr="008F328C">
              <w:rPr>
                <w:rFonts w:eastAsia="Times New Roman"/>
                <w:lang w:val="pl-PL"/>
              </w:rPr>
              <w:t xml:space="preserve"> Jeśli okienko wypełniło się całkowicie kolorem niebieskim lub jeśli lek nadal jest wstrzykiwany, oznacza to, że pacjent nie otrzymał pełnej dawki. Należy natychmiast skontaktować się z lekarzem.</w:t>
            </w:r>
          </w:p>
          <w:p w14:paraId="0087AC8E" w14:textId="77777777" w:rsidR="00094D21" w:rsidRPr="008F328C" w:rsidRDefault="00094D21" w:rsidP="008A03B2">
            <w:pPr>
              <w:pStyle w:val="a3"/>
              <w:rPr>
                <w:lang w:val="pl-PL"/>
              </w:rPr>
            </w:pPr>
          </w:p>
          <w:p w14:paraId="6FF385AC" w14:textId="77777777" w:rsidR="00094D21" w:rsidRPr="008F328C" w:rsidRDefault="00094D21" w:rsidP="008A03B2">
            <w:pPr>
              <w:pStyle w:val="a3"/>
              <w:ind w:left="3937" w:hanging="180"/>
              <w:rPr>
                <w:lang w:val="pl-PL"/>
              </w:rPr>
            </w:pPr>
            <w:r w:rsidRPr="008F328C">
              <w:rPr>
                <w:rFonts w:eastAsia="Times New Roman"/>
                <w:b/>
                <w:bCs/>
                <w:lang w:val="pl-PL"/>
              </w:rPr>
              <w:t xml:space="preserve">c. </w:t>
            </w:r>
            <w:r w:rsidRPr="008F328C">
              <w:rPr>
                <w:rFonts w:eastAsia="Times New Roman"/>
                <w:lang w:val="pl-PL"/>
              </w:rPr>
              <w:t>Delikatnie przycisnąć wacik lub gazik do miejsca wstrzyknięcia (nie pocierać) i nałożyć plaster, jeśli jest to konieczne. Może wystąpić niewielkie krwawienie.</w:t>
            </w:r>
          </w:p>
          <w:p w14:paraId="6C5BF944" w14:textId="77777777" w:rsidR="00094D21" w:rsidRPr="008F328C" w:rsidRDefault="00094D21" w:rsidP="008A03B2">
            <w:pPr>
              <w:pStyle w:val="a3"/>
              <w:rPr>
                <w:lang w:val="pl-PL"/>
              </w:rPr>
            </w:pPr>
          </w:p>
          <w:p w14:paraId="1F768CBB" w14:textId="77777777" w:rsidR="00094D21" w:rsidRPr="008F328C" w:rsidRDefault="00094D21" w:rsidP="008A03B2">
            <w:pPr>
              <w:pStyle w:val="a3"/>
              <w:rPr>
                <w:lang w:val="pl-PL"/>
              </w:rPr>
            </w:pPr>
            <w:r w:rsidRPr="008F328C">
              <w:rPr>
                <w:rFonts w:eastAsia="맑은 고딕"/>
                <w:b/>
                <w:bCs/>
                <w:lang w:val="pl-PL"/>
              </w:rPr>
              <w:t>•</w:t>
            </w:r>
            <w:r w:rsidRPr="008F328C">
              <w:rPr>
                <w:rFonts w:eastAsia="Times New Roman"/>
                <w:b/>
                <w:bCs/>
                <w:lang w:val="pl-PL"/>
              </w:rPr>
              <w:t xml:space="preserve"> Nie</w:t>
            </w:r>
            <w:r w:rsidRPr="008F328C">
              <w:rPr>
                <w:rFonts w:eastAsia="Times New Roman"/>
                <w:lang w:val="pl-PL"/>
              </w:rPr>
              <w:t xml:space="preserve"> używać ponownie wstrzykiwacza.</w:t>
            </w:r>
          </w:p>
          <w:p w14:paraId="2201B27C" w14:textId="77777777" w:rsidR="00094D21" w:rsidRPr="008F328C" w:rsidRDefault="00094D21" w:rsidP="008A03B2">
            <w:pPr>
              <w:pStyle w:val="a3"/>
              <w:numPr>
                <w:ilvl w:val="0"/>
                <w:numId w:val="0"/>
              </w:numPr>
              <w:ind w:left="1024"/>
              <w:rPr>
                <w:lang w:val="pl-PL" w:eastAsia="ko-KR"/>
              </w:rPr>
            </w:pPr>
            <w:r w:rsidRPr="008F328C">
              <w:rPr>
                <w:rFonts w:eastAsia="맑은 고딕"/>
                <w:b/>
                <w:bCs/>
                <w:lang w:val="pl-PL"/>
              </w:rPr>
              <w:t>•</w:t>
            </w:r>
            <w:r w:rsidRPr="008F328C">
              <w:rPr>
                <w:rFonts w:eastAsia="Times New Roman"/>
                <w:b/>
                <w:bCs/>
                <w:lang w:val="pl-PL"/>
              </w:rPr>
              <w:t xml:space="preserve"> Nie</w:t>
            </w:r>
            <w:r w:rsidRPr="008F328C">
              <w:rPr>
                <w:rFonts w:eastAsia="Times New Roman"/>
                <w:lang w:val="pl-PL"/>
              </w:rPr>
              <w:t xml:space="preserve"> pocierać miejsca wstrzyknięcia</w:t>
            </w:r>
            <w:r w:rsidRPr="008F328C">
              <w:rPr>
                <w:rFonts w:eastAsia="Times New Roman"/>
                <w:sz w:val="20"/>
                <w:szCs w:val="20"/>
                <w:lang w:val="pl-PL"/>
              </w:rPr>
              <w:t>.</w:t>
            </w:r>
          </w:p>
        </w:tc>
      </w:tr>
      <w:tr w:rsidR="00094D21" w:rsidRPr="00A5286D" w14:paraId="72D305BB" w14:textId="77777777" w:rsidTr="008A03B2">
        <w:trPr>
          <w:trHeight w:val="5329"/>
        </w:trPr>
        <w:tc>
          <w:tcPr>
            <w:tcW w:w="9581" w:type="dxa"/>
          </w:tcPr>
          <w:p w14:paraId="5D70DEE4" w14:textId="77777777" w:rsidR="00094D21" w:rsidRPr="008F328C" w:rsidRDefault="00094D21" w:rsidP="008A03B2">
            <w:pPr>
              <w:ind w:left="104"/>
              <w:rPr>
                <w:rFonts w:ascii="Times New Roman" w:eastAsia="Times New Roman" w:hAnsi="Times New Roman" w:cs="Times New Roman"/>
                <w:b/>
                <w:bCs/>
                <w:spacing w:val="-1"/>
                <w:lang w:val="pl-PL"/>
              </w:rPr>
            </w:pPr>
          </w:p>
          <w:p w14:paraId="4E23BD53" w14:textId="77777777" w:rsidR="00094D21" w:rsidRPr="008F328C" w:rsidRDefault="00094D21" w:rsidP="008A03B2">
            <w:pPr>
              <w:pStyle w:val="a3"/>
              <w:numPr>
                <w:ilvl w:val="0"/>
                <w:numId w:val="0"/>
              </w:numPr>
              <w:ind w:left="471"/>
              <w:rPr>
                <w:lang w:val="pl-PL"/>
              </w:rPr>
            </w:pPr>
          </w:p>
          <w:p w14:paraId="4C22F397" w14:textId="77777777" w:rsidR="00094D21" w:rsidRPr="008F328C" w:rsidRDefault="00094D21" w:rsidP="008E70FE">
            <w:pPr>
              <w:pStyle w:val="a3"/>
              <w:numPr>
                <w:ilvl w:val="0"/>
                <w:numId w:val="129"/>
              </w:numPr>
              <w:rPr>
                <w:lang w:val="pl-PL"/>
              </w:rPr>
            </w:pPr>
            <w:r w:rsidRPr="008F328C">
              <w:rPr>
                <w:b/>
                <w:noProof/>
                <w:lang w:eastAsia="ko-KR"/>
              </w:rPr>
              <mc:AlternateContent>
                <mc:Choice Requires="wpg">
                  <w:drawing>
                    <wp:anchor distT="0" distB="0" distL="114300" distR="114300" simplePos="0" relativeHeight="251658313" behindDoc="0" locked="0" layoutInCell="1" allowOverlap="1" wp14:anchorId="3ED01A36" wp14:editId="3FECFE93">
                      <wp:simplePos x="0" y="0"/>
                      <wp:positionH relativeFrom="column">
                        <wp:posOffset>112395</wp:posOffset>
                      </wp:positionH>
                      <wp:positionV relativeFrom="paragraph">
                        <wp:posOffset>36830</wp:posOffset>
                      </wp:positionV>
                      <wp:extent cx="2225675" cy="2937510"/>
                      <wp:effectExtent l="19050" t="19050" r="3175" b="0"/>
                      <wp:wrapSquare wrapText="bothSides"/>
                      <wp:docPr id="3934" name="그룹 3934"/>
                      <wp:cNvGraphicFramePr/>
                      <a:graphic xmlns:a="http://schemas.openxmlformats.org/drawingml/2006/main">
                        <a:graphicData uri="http://schemas.microsoft.com/office/word/2010/wordprocessingGroup">
                          <wpg:wgp>
                            <wpg:cNvGrpSpPr/>
                            <wpg:grpSpPr>
                              <a:xfrm>
                                <a:off x="0" y="0"/>
                                <a:ext cx="2219028" cy="2937510"/>
                                <a:chOff x="6647" y="0"/>
                                <a:chExt cx="2219028" cy="2937510"/>
                              </a:xfrm>
                            </wpg:grpSpPr>
                            <pic:pic xmlns:pic="http://schemas.openxmlformats.org/drawingml/2006/picture">
                              <pic:nvPicPr>
                                <pic:cNvPr id="3935" name="그림 3935"/>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a:xfrm>
                                  <a:off x="6647" y="0"/>
                                  <a:ext cx="2212381" cy="2735580"/>
                                </a:xfrm>
                                <a:prstGeom prst="rect">
                                  <a:avLst/>
                                </a:prstGeom>
                                <a:ln>
                                  <a:solidFill>
                                    <a:schemeClr val="tx1"/>
                                  </a:solidFill>
                                </a:ln>
                              </pic:spPr>
                            </pic:pic>
                            <wps:wsp>
                              <wps:cNvPr id="3943" name="Text Box 3943"/>
                              <wps:cNvSpPr txBox="1"/>
                              <wps:spPr>
                                <a:xfrm>
                                  <a:off x="1549400" y="2762250"/>
                                  <a:ext cx="676275" cy="175260"/>
                                </a:xfrm>
                                <a:prstGeom prst="rect">
                                  <a:avLst/>
                                </a:prstGeom>
                                <a:solidFill>
                                  <a:prstClr val="white"/>
                                </a:solidFill>
                                <a:ln>
                                  <a:noFill/>
                                </a:ln>
                              </wps:spPr>
                              <wps:txbx>
                                <w:txbxContent>
                                  <w:p w14:paraId="160F8071" w14:textId="77777777" w:rsidR="006D7011" w:rsidRDefault="006D7011" w:rsidP="00094D21">
                                    <w:pPr>
                                      <w:pStyle w:val="af0"/>
                                      <w:jc w:val="right"/>
                                      <w:rPr>
                                        <w:b w:val="0"/>
                                        <w:noProof/>
                                      </w:rPr>
                                    </w:pPr>
                                    <w:r>
                                      <w:rPr>
                                        <w:rFonts w:ascii="Times New Roman" w:eastAsia="Times New Roman" w:hAnsi="Times New Roman" w:cs="Times New Roman"/>
                                        <w:lang w:val="pl-PL"/>
                                      </w:rPr>
                                      <w:t xml:space="preserve">Rysunek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3ED01A36" id="그룹 3934" o:spid="_x0000_s1345" style="position:absolute;left:0;text-align:left;margin-left:8.85pt;margin-top:2.9pt;width:175.25pt;height:231.3pt;z-index:251658313" coordorigin="66" coordsize="22190,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T2ZfgMAABUIAAAOAAAAZHJzL2Uyb0RvYy54bWykVcFu2zgQvRfYfyB4&#10;b2TJsZ0YcYps0gQFgtZosuiZpiiLqERySdpS+kH9hfbQL2p/oo+U5MRJFt3tHiwPyeFw5s2bmZNX&#10;bV2RrbBOarWg6cGIEqG4zqVaL+hft5cvjyhxnqmcVVqJBb0Tjr46/ePFSWPmItOlrnJhCYwoN2/M&#10;gpbem3mSOF6KmrkDbYTCYaFtzTyWdp3kljWwXldJNhpNk0bb3FjNhXPYvegO6Wm0XxSC+3dF4YQn&#10;1YLCNx+/Nn5X4ZucnrD52jJTSt67wX7Di5pJhUd3pi6YZ2Rj5RNTteRWO134A67rRBeF5CLGgGjS&#10;0aNorqzemBjLet6szQ4mQPsIp982y99ur6y5MUsLJBqzBhZxFWJpC1uHf3hJ2gjZ3Q4y0XrCsZll&#10;6fEoQ5I5zrLj8WyS9qDyEsiHe9Pp4YyS+6u8fP2Ly8nwdrLnkZF8jl8PA6QnMPyaLrjlN1bQ3kj9&#10;r2zUzH7cmJfImGFermQl/V1kH3ITnFLbpeRL2y2A6NISmS/o+Hg8oUSxGrz//uXrj8/fSNwC0uFW&#10;UOyusRDWteYfHVH6vGRqLc6cAXdRUYGhyb56XO69uaqkuZRVFbIV5D468PwRT54BqOPgheabWijf&#10;FZUVFQLVypXSOErsXNQrgYjsmzxFqlHQHjEZK5XvKshZ/h7+xmpy3grPy8Hve99CFA5Me4Zbjzny&#10;gF7Z+Ci8Geg1G08mR5FeO4YAOuv8ldA1CQJchBtIC5uz7bULDkF1UAnblQpfpyuZD4jFZiPOK0u2&#10;DG3Ctx3oe1qwEm5G6LsYooiQQtmgd7kBdKyewP6fyvOmZEYghGD2IZkOxwOZbgM8f+oWdMImYuxV&#10;QxkT3+KkJ07Y/wfE08nh8eEILTECO82ySV+3A/TT2TSbgb8B+XQ2yab/E/g9yENGdoA3pfQi8nwP&#10;8iFXSodEdZmMObiPKki+XbWx3NLpDouVzu8AhdUgBEJ0hl9KvHjNnF8yiwaPTQwt/w6fotLNgupe&#10;oqTU9tNz+0EficUpJQ0GxoK6vzcstJLqjULKw3QZBDsIq0FQm/pcg1ygMryJIi5YXw1iYXX9AbPs&#10;LLyCI6Y43gIbB/Hcd2MLs5CLs7Oo1HWka3Vj0MfSSPuA7G37gVnTF4RHQt/qgVRP6qLTBbMDlh1u&#10;/QKUjlKcPZD2htvDddS6n+anPwEAAP//AwBQSwMECgAAAAAAAAAhAMMA8LW1jwEAtY8BABQAAABk&#10;cnMvbWVkaWEvaW1hZ2UxLnBuZ4lQTkcNChoKAAAADUlIRFIAAAIUAAACkQgCAAAAg2Wn2QAAAAFz&#10;UkdCAK7OHOkAAAAEZ0FNQQAAsY8L/GEFAAAACXBIWXMAACHVAAAh1QEEnLSdAAD/pUlEQVR4Xuy9&#10;WZMcZ3bf/ay5b7V3NwAuMxrL1liSrVCEwxe2w3aEHY7whT+SPp4vLFvSa1nSDMkhCPRWW+77s7wX&#10;JyvRbDQ4wAAkG2T+hkM2ml1ZmQXwnOds/4O11mhiYmJi4v3QWmutMcbwy/ELhJBS6vVvPoBGCH3n&#10;DzzEYMLxu7/yAfTrV4HnopTe/aZSCk/OY2JiYuKDc9e0aq2VUhhjQsjoSx5wJBq/q/M4OQ6EMXr9&#10;en8Ir10EHuTu3Q6PMzmPiYmJiffnni2FX2qtCSFweCeEgAn+Tqv7mvF+CK0R0gjj+wHHd134rXgg&#10;8gDuupAhxvrOx5iYmJiYeCvgPA5fY4zHFBbGeAw1wJFIKSEQuX8J9E7OAyOMMNJaI42UVpA0I295&#10;hTegEH7YI/R9jzFmjMFzcc4n5zExMTHxARidB8Z4dBvjOX38vlKq67q2bR+yvRghcv97bwBCDnBF&#10;vej7vpdSMsre4JPekoedh9a673tKKSFEKWXb9mKxmJzHxMTExAdgtKXwhVJq9BljCguscNd1VVVJ&#10;KV+7xLs4D4zhgkKItmvbphVC3P+hd+YB5wHvopSilMIXy+Xy888/n5zHxMTExAdgNLJKKSmlEEJK&#10;qbVumgb8BEQJbds2TdM0zZjjunOJt3UeeqiUI620EKLruqZt+r7njH/wyANuG3JWUkop5dOnT//0&#10;T/90ch4TExMTv4d75WIwphBbQDJnjAOUUkKIpmnKsiyKAr4QQkDA0TRN27ZCiHvVkaH5FVOM3855&#10;aI000lprpKHaAUWPMWP2h6JODVyvgIdijGGMwSl+/vnn/+k//afJeUxMTEx8F+APoF0KKsbwNUQY&#10;8ANgVeGLvu/rui6KoizLtm3jOIZ/2/d93/cQkcCVx+ZduCZCBL9L5DF0WuFXHbsYvbfzeCjyQAhB&#10;qR8hJIR4+vTp5DwmJiYmfj/QH0UIgbw/OIy+79u2hTRUVVVN0xRFMSSRmqau667rwFVgjCFAgb9D&#10;pAKeg1L6qiii3nHOAyOCh2tigjHG8I/7P/YOPOA8xpBLSkkpFULM5/O/+Iu/mJzHxMTExBsZXcVd&#10;GwphRNu2VVVVVVUURZ7ndV3v93vwFmNiCkoFjDHTNG3btm3bsizOOfgMCGXGXJNSbzuoAakk8BwD&#10;jBI8uKX7P/0OPOw8IOzo+55zrpQyTfPp06eT85iYmJh4I2PTFJjsuq7Lsqyqqq5rCDjquq7ruqqq&#10;tm37vh+TUZxzwzDAcxBCDMMwTdM0TfjmvcjjD3AeUsrReRBCvj/nMZZS+r5njEHb1dnZ2eQ8JiYm&#10;Jn4PUMxomiZN0yRJkiTZbrcwrjGWOpRSvu9TShljlmWNQYbneWDTx2zVaN8hnXXnXdDbF8yVUlDh&#10;GHJWwxjJq4v/QTzsPLTWjDEhBFR6JucxMTEx8XuAHBQUNvI8Px6PcRzneV4URdd1UM8wDAOO/57n&#10;jRkqx3EsywJHcs+g350/H8VLYD4c42/pD74JrfUwJHi3OUojqJjf/cl35OFuKymlaZowRwKOZLPZ&#10;TM5jYmJiAqGTJdYaYTx0MGmNlJRFWe53+zRL0yTdH/ZFUUgpCWPfjjAYpdQwTErh33DOOedsLI/f&#10;fZ9v/3Joljq5k7c3/fCTGv422vH38h2veY5T5AFOTiGEtEamaS4W88l5TExMTCA0mmA92HMhZNO2&#10;fddnWXZ9fX2Mj2VR5nmulGKcMdNwHMf3fc/zbdtijBFCGaNjIolSgjHMf7xJxuqjAWOslIaH0BrZ&#10;th1F4eQ8JiYmJhBCCGkEo3uEIK11WTaH4yFLsziOd7tdnudCCoKJ4ziO59iua5qW4ziOYxuGeYow&#10;xrgCQxUCIazUazIkHxuT85iYmJh4I0oiKRVCiHGilIqP6eXV5fX19WF/qKpKSMEZ930/iqIgDMN5&#10;BLVxSimEKlprQuiY+RmCGASbNqbIY2JiYuKnikZKISGklLIoipvbm6vLq5ubm6quoNHWdd0oijzX&#10;sx3HDX2MMcQaJ0krTRk91S9g6g8hpKEZ9/57fVRMzmNiYmLijWiFtNZ106ZJut1ur66vdttdWZbc&#10;4PP5PPADz/OCIDBMAyFMDXa3+3Z0Fa+udicC+Uk6j7fqKZ6YmJj4ydMLUTdtURSHw+Hq+mq/2zdN&#10;Qxn1fX8+m8/n8yiKgiBwHdc0DUoZoaBjiLUGkUJQ1IUgBHzGUPq4/04/CSbnMTEx8TMFpitA97Dv&#10;+6qsDvvD5cvLy8vL/X5fVRWlNAzCWTTzPM91XcuyTrIig0jV6BdOoxqngOP0659wZmdKW01MTPxc&#10;GM0dCE+Nk3ogZZhn5c3N7cuXL5MkaZqGUBIG4XK5jKLIdV3bthljw3UwQuSnGU88yINpq8l5TExM&#10;/Cy4GwuAzwAX0vd9lmVxHB8O8X532G63Xd8ZhhEEwXw2n81mnucZpsEZHzaGQ0LqZ+88prTVxMTE&#10;zwUocY9KU7BOvKqqw+Hw8uXLFy9ebHfbuq4ZZbNotl6vF4uF7/sgUYUJ1lprpdG7TIH/hJmcx8TE&#10;xM+CV8KBGCulqqoqyxJijiRJsizLs1wK6Xnear3abDbL5dLzvKHRViOttFZaI/3eC5d+Ikxpq4mJ&#10;iZ8+9wwdiKvHcXw4HHa73X6/T5JEKeT7wXKxnM1mQRA4jqO1lkqC7DlGWCmlkYaoRU9pq/s/NTEx&#10;MfFTBLqqQEe9KIqiKOI4vr6+fvny5W63a9vW4AZkq8IoNEwDNiwxxuhp5RIhBEIQJYcN5D9npshj&#10;YmLiJ8JdawaZJQ0auQgppaUUUsi+75u2vb29LYoijo+Hw7EoCkqI67mO483ni9VyZZomxogxjglG&#10;WmMybN2QQgoh4ZqUv5V2+k+DByOPyXlMTEz8RLjbTDU6D4kwRkhIJYRUSuV5dnt7u9/vD4dDmmVa&#10;acqo57rL5XI2mxmmaXDDMDh4C6U1RoiQn3uGZnIeExMTPy+01r1ChKCuE0VR5nl+OBy221tYOS6E&#10;MC3LsW3f96PZLAgCg3PIUA2ORyqM0d1lfz9PJucxMTHxEwdWjg96U1prrYXGGumqqve73e3t7Xa3&#10;S9O07zqMsWlaYRgEQeh5nuu5tm2zYYCcgMaIlHJyHpPzmJiY+IkDWiNaa5jkgNXidSfatk2S9Orq&#10;6ub2pshzpRTGxLLMMAyDIITGKsbYaX3TWC9BsDtvSltNzmNiYuKnzF1rprXuuq7ruu0hTtMM+nHT&#10;NEUIeZ7ruq7n+b7vOY7jOK5hGFprrRX4DdgAeBrmGCRMfs5MzmNiYuJngVKqaZo8z6uqenF1u9/v&#10;4ziu60pr7bruYrGMotDzfMdxCCWGYXDG+r5XShFCNEInMdxpGHDgQefxcw/HJiYmPjrGrqp734Q8&#10;Vd/34DmOx+N2u02SJE2TqioRwpZl+34QhoHvB77vWbbFGaegWEIoY5xSxiglBCOENRp3ckw8wBR5&#10;TExMfGSAoOG9yAA8ipQSZgC32+3l5eXxeCzqVinNGAuCYLGY+35gGDyKoqkM/vZMkcfExMRPBCiM&#10;j2ff0XPUdX04HC4vL6+vrw+HQ5qmUirOeRD4URQGQRAEfhiGUw38/Zkij4mJiY8MWNb3agWs1rDN&#10;KUmS4/G42+3iOK6qqus6KaVhe77vz2azIPBt27YsyzAMiF0m3pIHI4/JeUxMTHxkjFZr9BxVVVVV&#10;BdHGdrstikJrbRgGY2yxOQ+DMIxCyzQxxhgTSu82U038fibnMTEx8dMByuNSyqqq4jhO0/T6+jrL&#10;sqIopJS2bXueZ1nWbLVxbMf1XIPzMdMFUcv9K068gcl5TExM/ESQUoI+btM0cRzf3Nwcj8f9fq+U&#10;opT6vj+fz2ezmW3bzLQJIYwxzjkmRCutlJwij3fiQecxVY0mJiY+MmADYNM0ZVkmSbLf729ubm5u&#10;boQQhBDHcYIggLlx0zTDKLJtmxCiNcIII6SllPevOPHuTJHHxMTEo2C06RAW3GvDhe/D120n4jTd&#10;3t6mWZ7n+fGwL6saIc05Xy4Xs9nCdR3KGOjjGoZxusJwybtXm3gbHow8JucxMTHxcaCU6vu+bduy&#10;qneH4/X1TRwfi6KsqlIpbdvWZrOZzWZhGJqmRSlhjDHOp0m/92dyHhMTE4+X77ZFoFWVAllxSJLj&#10;4ZDnuZSSMea6LtQ5PM9zXZcxjpDGmFBKQdxw4n2YnMfExMTjRQgx9kHdGwCE8niWZfv9fr/fH5Mk&#10;zUvRC4SRZVqzWTSbzz3XZYwbhmGaBiZEKwVbBKdJ8vdnch4TExOPl9F5wPg3mKa2bdu2res6z/Mk&#10;SQ6Hw/F4TLO8l9q2bdu2fd+bz+dBEBqmwRmsciKnEXSEkJ6cx/szOY+JiYnHi1IK6uQQdsAYR57n&#10;WZYlSRLHcZ7nZVnWdS2Vdjw/imau69qOHQSBaZoYY4Mb6FTiwGjQLJkK4+/P5DwmJiYeL9BtBUuc&#10;+r7vuq7v+zRNYYDjcDg0TQMOhpvWYrmaz+eO45qm4bou41xJqfW4SRBhTMB9TDJW78/kPCYmJn5Q&#10;IICAryECgL+Dib+bpBqdB2iqF0URx3GSJGmalmVZVVVd11pr27Z93/eCwA8iy7ZNwzQMTilFGCOt&#10;IWr51h384C25sH/wzm1gjMeBdgwfiFLy7oM/fibnMTEx8YPyNuYFQg0hBGMMIVSWJRTGd7vd4XCI&#10;47jrOpgP9zxvsVjM53PbdTHljDHGGCEEI6SUfiTlDciVwXNjPPgujOE2ofg/OY+JiYmJt2a0qVrf&#10;t/IwvQH6hnEcH4/HNE1hD2DTNIwxx3E8z/N9PwxD3/dNy8aU3TnOKyEkQhrcz4/Fq+4whF4FWaeI&#10;CyGkkR59y8eljzI5j4mJiR+Uu2mruxBCwICCJm5d13Vd397ejoXxvu/hB0BrxPM80BrhnHPOKeOE&#10;GbApFmyxlFIjxH7UyAOcIwQap28hGDcZY7DTv8Hw7z4WJucxMTHxgwJmfTxlj1+AzwBZQ2jDrarq&#10;cDhkWZbnOUQbnHPDMIIgiKLI933P8wzDwBgTQhRCQoLcyLeO7z/uWR4CK3ALWmsppJRSKcU5w5gQ&#10;QjDBBGOEMTiV+69/xEzOY2Ji4sdhTFjBL4UQZVmCjjo4jLqui6Loug4hZBiG7/tBEMDuJsuybNu+&#10;I1GFFMIKDvEYwg/0GOoHY9pKKSXEIPorRG+aFuPMNAzGOSUwg6IR+ph6iCfnMTEx8UMDaSUY2oAN&#10;gFprmN7YbreQpGrbtu97iCpM0wyCACSqYJsTpRRiDriO1hoTqjE51VAQNOY+ElOstRZCdl1b13VV&#10;1V3XQj+x4ziWZVNKNdJSylMp/eNgch4TExMfgLtljHuZI7An43cggaMGe9rVVVWUZV03WZZC5AHl&#10;DUqZwbntOIbBYYmT67qmaVJKGWWUEkIpRqd3wQghPIyPvzJfj8MUY4wR7vu+aZqqqrI8y/NcCLFa&#10;LpfLpWlZjFKEsdZ6ch4TExM/O06DeEPe6E3OQwihlKLcEFLWdVsURRwfd7tdkqaH/UEpCT8AoYbv&#10;B0Hgc8OwLcs0LcMwKKMfjXFFaHx2ypgQoqnruq6TJD0ej2manJ2dn51tYH065wbG6OMafZ+cx8TE&#10;xAfgwbk/yCmN612VUk3TtF3X9rJp2qIoiqJI0ySO46IoqqpmjHJuQD7H9wPXc6Mo4oxzzimlJ3mr&#10;Bzq1Hi0ww2EYXMKuqrqG8fgkSYIgCMPIdR3fDxzXIYToh5rQHi2T85iYmPgAgPO46zlgMlwIQSml&#10;lGKMu67L87yq6pfXt1VVZlle13XXdb3otVK+71uW5TiuZZmcG4ZpcM5tyyIEXg6uSGut4IL37+BR&#10;Ai1khmFohIQQfdcXRQ4zKwhhxpjnefM51HLMj8svTs5jYmLiwwMlcfgaquJ938OC2KIod8ckTdMk&#10;idu2xRgzxhljs1nkum4URa7rWZZlGJxxLoU89SBhjKF56WOyTlrrvheGYSCkldZKKQg+QM+x6zrL&#10;smfzWRSGjuPAbPz9SzxWJucxMTHxgRk9B/y9aRropIJB8aqqi7pp204IwTnzPB9iDsMwLNvyXBfm&#10;/gghlNKu67TWUHMe/o/wR3RChz4rzpnSWmtNCYGO5Lpu4viYZTkm2LFt3/d9P/B9n/Mfcx7+nZic&#10;x8TExAcGnAcUPKqqStMUBKmSJMmyrGlboRDnhuM48/k8mkW+53FuEEIYZ5zx0fsQMtii0SLdnwB8&#10;9EBfGSVESqm15txACHVd1/fdfr8/HI991yOkLduez2ar1co0zfuXeKxMzmNiYuIDA4n+vu/ruoZN&#10;TXEcZ1lWVZUQghDKLduy7DAMwjDyPNcwDIQwIfjO0icEU353d0Cd+Mgij5OdVVprSEyBSHCWZSn8&#10;P88opavl6uLi3LIsGG2BGOsx5+gm5zExMfEBuGc0qqpKkiRJku12ezgcyrLs+15K6bpuEISW65mm&#10;6TiO7TimYTAGWh0fU0jxnkA6ru/Fdrt98eKbruvW6/Vms4GxeRhnAaP8aP3Hg87jo6nYTExMPBJA&#10;QV0IAcfqsiyPxyMoqGdZ1jQNpRQ0qaIoXK/Xi8UyDEPXcU3TZIx/LN1THwrOObQJ2Lbt+4FpWm3b&#10;QXwGm3dPOu13t4B8BEyRx8TExLsBcofgPNq23W63L168OBwOkKoyTXM2m0VRBFKGlutjTMbV4lDh&#10;+KhqGe8LHNulknVVHY/HOE6aplFaBUFwttlEUUQpO6W8XrU+PyqmyGNiYuIDAJl6hBDUOW5vb3e7&#10;XZIkQgjbtheLxdnZ2fn5+Xw+d1wXEwKyVHekrT6aMsYHYRjIRxjc6mw2M02j7zqYQu+6TimJTh1m&#10;91/8iJmcx8TExDuDMRZCpGl6fX19c3NTFIVSyrKsxWKxWq3CMLRtm1KKEXqlSXV64Uc03/BBkFJC&#10;MYNSZtuO7/u27TDGhJBFUaRp1jQt7ND9mFzH5DwmJibeFchWQanj+vr6cDgopTzPWy6Xm80miiLG&#10;GCwkxxiD1gjGQ8rq0daEv0cwJpQSShDSmGDD4KZpWJaltU6zLEnisiy7vv/oah6T85iYmHhbYCij&#10;F6Kq67IssyxP07RpW8Z4GEaL5TIMI9t2CIGSOCZ0mIMDuRGlQJv9UaStxgmVe798R+5d81u/BCCk&#10;wAgppaSQQkqtNSFUSlmVVZbnTdMoKZWS9/zHA2/wmJicx8TExBu5ayPhCyll07S7Q/LN5fX2cOwV&#10;shwvWiwX6zPXD4VGvUKEG5gZQmOpMcaIEEwpZYwyBlJVP7DZwRohrZHWCKrSmBDYdg41f/jemzbm&#10;Pghc7Q4w0ThMeGAINcipAVejtm2rqqrrJk2T/W4fx3GeZ0WRZ1mWJmlZlm3bdl3X972UCsK1x5/E&#10;+oF/FycmJj4m7joPqP32fZ8XJQwDVlVNKQXREdu2GWMnyabR8P34B2elpFZKa6XBe2iEtFZKQw8Y&#10;QlhKBSb7XYoxsKkEgXtQSvW9aNu269q27dq2a5u2bZuu67quFaLvuq6u66LIi6Ks67oXohdCKU0I&#10;0UjXTV2WJcxUEgr9BUNb2p1P8tExtepOTEy8ETiYI4QopUopOEFf3dx+/fyb2+22qRvHdZaLxXq9&#10;iaKQc4NSGBTHY6H4R5/qkFKioZVpSCBhjMBbaK37vpdSYEw4Z5Sytzzug2WHC8KMvZRCShC10lJK&#10;KUXfCyGEUrLvRd93XdcLIcDlwP+GlyDNKPU8bz6fR7OZbdsEY62RUpDdGnrV7t/BD8uDrbo//m1N&#10;TEw8WsawA5Q2QPHw5dX1y8urYxwTTJbLxWq1WiwWrusyxkc9Kq21VApp9IMnqe4jlSJDVgkjhNRw&#10;qkcYI6V00zZd12GETdNgnL9l8AEeAC6otRICahlS9EII0XVd2zaQiRJClFWllUZIw5Jd23ZgKzvG&#10;SEpZ13WWZVrr+Xy+2Zx5nkcpQRiDJD0hBGPyozc3T85jYmLinRlNRNu2u93u8vJyu9sf4rRtW9d1&#10;1+v1fDH3XNeyLMYYFEdOVQHwOm93mP/eUFoTjDEmkMKSSikp266Dv9d13bUtQhjqMe9UaXj1rFpr&#10;hLRSQggplZQwfj9MtXRdSyilhDDGYfmV7TiWaUIasCyrm5ubsiyiKDo/vwiCwDA4IRQu+0h2s0/O&#10;Y2Ji4p2BSrKUsizLly9ffvXVV3GaCakY56vlarVaua5jmhZj7NtLOIaT/o9u+8DqQTUbVFVgQqWq&#10;67Io67rq+14prRH4mLe9Xcgmaa1Hx0MIhQ8BIUwpoZRxzhmjhFLOuGFwjAnGmHNumAYlREqFkK7r&#10;+uXLy8Ph4Lru2dlZEAaWZVmmCavOoejx9nf1PTE5j4mJiXcGbK6UMkmS3/3ud7/5zW+KsjYsKwiC&#10;8/OL1WppGAaljBCilEKnLiSMMX27FND3jRASY4yQhmo/NDWVZVUUeZKkdV1BMNL3/TttLYTnhaI3&#10;59w0DVigizEmhHKDgw/gnJuWZZmWaZoYY6Wk1ohSyhgTQmitm6b++vnzm+sb0zTX61UYhq7r2bZF&#10;CFFaa6UR+vFTf5PzmJiYeCOwgfxunQNO6xjjvu9fvnx5fX292+12u51GZLFarVbrMAwcx7VtW2sl&#10;pXzQ8o61XzibjytmIZ11apAdCtr3X/wujKYM/kkIBu33XgillOhF3dRFUeRZXjd1U9eWZZmmBX2x&#10;lBJINAkplFSUUtM0OWenT0LDPSModGB8ylhhQk6i6hif9NUJY+AdGKUEYxIE/uuPprTmnCOtkyQ5&#10;HuOyKuuqppQEA6FhGNAhBh/dvZf/wEzOY2Ji4vdw1yCABonWOs/zr7766uXLl3Ec53nu+sH5xZPF&#10;YuF5vmWZlmVDXuvB8ga4B60RNGJBY+vdHNG9d/zWi98FMPRDqgwPl9UaKa1EL+q6yvMiz/M8z5u2&#10;wRh7rusHges4juNQStu2hTELhBBjDFYcwtUGP3ca9IO3w3jIJ50cBz6l7MCN4NGjAPdvFyHKmFaq&#10;AMoyS9Ou61zXXa3Ws9mMcz6+14Mf7A/J5DwmJia+i9EajMauaZqu63a73RdffHF1ddW2LWMsmi82&#10;Z+dRFFmWxTnn3FBKSSleb1U6zStArxGF/iIhxMmiEgpjDad44UEj+5acnAeGpYRSKdELpVRVlW3b&#10;FkUBs3hKKY2QZZqe54Vh6HmebTtSyjRNkiTt+x4hDfLplmUbBueGYXBOCIVbhSXtWiMYM7wzyIK1&#10;fmVeNTo1DGgEgcmdO0XwpJgQJWXbtn0vyrLYbrdxHFuW9eTJ09VqxTnXWo2u68dlch4TExPfxV3n&#10;AZ1CWZbleX5zc/P8+fPj8cg5n8/n4WwehJHv+5QxggljVCkllWKvZVfGtM9YJOi6rut6qDYTgjnn&#10;UCp4f0MEF8AEI61h0UjTtFKKm5vbpqmrqpJScs49z3Ndz7Zt27bGDrE8z7bb7eFw7LoOIU0ps23L&#10;8zzHcSAvxznnnFFKIQsHgy/jo41f3FnrNPiPwU+85jzgx2BhLUK6LKurq8ubm1tu8KdPn27WG9M0&#10;IbYhmNxxUT8ODzqP+yeFiYmJCZh0q+u6KIr9fr/b7cqy1FobhuF53tiYSzDW+iS0rt5g4CC7g/HY&#10;7wRxQJZlSZrmRdG2HdjQ93YfSCMtpWy7rqqqPM+zLI3jpCzLpmmllIRQx3GiKFos5vP5LIoiy7KF&#10;kHmep2ma57kQPUIIY4IwEkI0TVvXTVEUaZpmWVaWVdu2SsnTLPoQPEGsA9UOuA1QZGHQbsX5g55D&#10;SgmlIHA5jLHxh/u+b9sG9kTd0yR+VEyRx8TExABYA7DyTdPkeX57e3t9fX17e1vXNec8DMOzs7Mg&#10;mlm2Y5om+A2IG5RSp0zOty4IdQgwtF3Xl1VZlWWWZV3XK61cx4G1UYxz9o5jFvcYt6k3TVNWVQlC&#10;IH0HJXHOuWXZruu6rmOaJiHUMLgQ4hjHaZLWdVXXNULIMEzLMiljou+hBALewjBMx7Fd13Uch3OD&#10;UgoDGGNUAX8fi//DrzHGCIHa1b27lRJ6wJDWiBDcNO1uv9vv9lIKyKeFUWRbNiE/ftgxRR4TExNv&#10;CxjipmmSJDkej2maaq1d142iKAgCSONQyuDcjTEhhODXCh4nBocEl1VSnvZYpEmSJGlalCUUq9/z&#10;IAt7wpu2LcsyS7MkSZI0SdIUIWTb9nK5fPLk4uzsDBqZhBB9L+qmybIsSZKyrLRGruuuVsunT59+&#10;8uzZarUyDLNt2zTNjsc4juMkSfM8r+tGiH7sgxpSZYQQAtsSGaWEEAr18lPi6mFgLoQxCu7NNAzH&#10;dQzDlFJ1XSeFfM3jPC6myGNiYgIhhCRCWmuCEMK47frtdnd5efnNN9/sd/u+75erxWZzFkWh7wWm&#10;ZUH1GEz2vS/uAgYWvMvdMYvDYd91XV03Xddhgn3P933PtKxZFHmeB6oejDEQ1Bpt1FhBgfM+dEZR&#10;SqRUdV1DYaMoyqqqIAzinGOCHduGOodh8FNoRaSSSRwf47gqq67vGGV+4EdhaFm2aZqUUiH6sqrq&#10;qiqKomlahBH06jLKHMcGHMexbJsOAy6QoUOUDu3IUsq7Ude3PxgEN48xppRordu2Lcsqy7KyLJWS&#10;lLHFfL5cLillUorH2ar7psPCxMTEzxCsMVZKN02X53maZl3XY0JMy3Jdz3Vd07IZZ3fbh17/4h53&#10;LSdos3ODR1EUBKFlmRrpuqrj+Ljb7Yo8r6qqaRopJbTcQmcTBC/jKffeO/a9qOuqLIs8z7fbXRwf&#10;y7KQUnKD+743n81ns5nreZZlgjeCTFJVVkVRVKBli4llW77ve55n27ZhcMPgpml6rhuE4WKxXC4X&#10;vucRQpumybJ0vz8cj8e27bq+l0J8u3l3+GpsMwM539f/Gn7yDkMER4jWCBbEP/Jl7/Sv/uqv7n9v&#10;YmLiZ4lGWildN20cH69vbm5vbtq2Y5z5gb9creazGWT8X2/J/W5OJWXIcGFKiGVZlFGtNcgJSin7&#10;XiCkldZKSowxZ5xSIqXQCJHT1AZGiBBCKdEIKSkR0m3bZXkWx3GW5VVVV1WlteKcu64XhWEQhp7r&#10;ep5vcA7jfEqptm3yPN/t9nmedV2HMXEcJ4zC+Wxm2zZljBIYZsSMUc6YZZmmaVHKtFZSKSVh7ltp&#10;rfsOesd6JaH/ioCDJBgG2jXGbxQXGReWn0S3YFRGwpZGKaVlWr7vcW7cf+WPAUyxjM/BObcsa0pb&#10;TUxMIISQQqAy2ydJcnNz/eLFi+12hzF2XXexmC9XqzAMDcNACMHC7fuvf4gxTTSmbsZqgRCybZuy&#10;LLM8L8uybRopJWNsFCc3DQMEccdG3jEzJqXsur7vuyzL4/iY54XSilFmmiYoD0Jl2zAMjAnnXCkY&#10;z1BVXcXHGEYdMcEGNzzPC8MA3AzG5FTFQBgMvEYIaSkV1OGrqqzrpu/7vu+LosAYE0psy4aLWLZt&#10;mSYM0oMaCjz7G2zs8G0Y4+h70bYNtLclSSKEWCyWz549tW0b2q5+XB5MW02Rx8TEBEIIKY2EVHme&#10;7/e729ttksRd15mmFYbhYrHwPc80DEIIqIu/pfM4+Yzhx08FAKK1gn4nwzAYpRBJ9L3our7re0II&#10;JRTEPoYxQowRwjAr3nVd07ZVVeV5kSRxmmZd1xJCLcsMgiAMw9ls5vuBaVqjSq6Uouu6qq6zLIuT&#10;OE1SIYRpmVEURlEYhqHruvjOOAUG14ERzBsipAmlpmHYtm2aJjSVtW0LSztOfVP4pKo7bJMdiz0I&#10;gTLjt/66k5DCo2QLlIWqqhJCuq4bhgFjHNq9Xn2mPwYPRh6T85iYmEAIoU7Iuq4Px+PN9fV2u23a&#10;hlEWBMFiuZjPZ4ZhnDwBBBNva84w5G4gdPjW9yEiga4kPa4M6bsOsjcIac45JRTK5FrrvusHlZEi&#10;L4qiyPOmaRDGruuGYeT7vut6MNMH9h1Gvruub5oWZBDzPO+6lhDsOM58NpvN5jAJCFogo4YKcGeL&#10;HzgScpKrwpRS0zQMwzQMg3OGCe67vqrKsixhJl8IIcQwxoHQ2DrwCthqDn4FgffQWinZdV1VVVIq&#10;13OjMKSUTs5jYmLiUVM2bVVV+/3++uYmPsZaKdu2Z7PZYr4IwwATohWslxjGG+6//g1ATn8sIIMj&#10;oJRKqcZVg5xzEHWXUtZ10/dd33cIYcuyKKVaK6SR1qpt2zzPsyzP8qwoiq7rCKVhGK6Wy/l87ge+&#10;73uWZRFChBSgTYIxqaqyLIs4jg+HQ1mVlDLf9+fz+Ww28zyPMQ4jJhAxnCIkorTSSkspQegQgglC&#10;KOcMNHQty7Jty7YtzrkQMsvS4zGuqrJtOyH6cZ+HUgr6qYZfnAA1xZNzxRoheDvY1SiV8j0vDENQ&#10;bHzXItMH50HnMdU8JiZ+joA5AxMGelNxXm5vb58//+bm9qZtGsdxFovlZrPxfd+2LVj3PW7seHvn&#10;AdwLPMZlGBDNwNdxkpRFkWVZmmZt13qut16vHceBSnvXdUVRlmXZ973WChPCGbdsy7Ed13U9zzMM&#10;2GOIhZRaaUJI27ZFkcNwBghbUUaDIAiDYDabG4YBLbCEEoIH+35yHoPK4b07PC2FRaAiLKUSoh8H&#10;5uu6HlNV0FdGKaOUOo7DGKz6IBgjxrlhGJZpUsoQ0lIpjDFGuOu6uq7iJNnvdlKq9Xp9fn5umga8&#10;790P84fnwZrH5DwmJn6OjM4D9njXdf3i6ubly8vr66uqqg3DmM/n6/Uqimacc8aZwTn88Lhb6f4V&#10;35u6afquz4t8v9slSUoo8T3PNE1436ZpqqqC+Q/btj3PdxwbVFIYY6Zpcc6kVIQSKSDrhYqi2O93&#10;eZ53XSelsiwrDMMgDGzLsm3njpL6EE3pU9Pt7+XU/KWVUr0Qbdt2bdv3PYQdTdO2bdt1LTgYbnDT&#10;ME3TNAzOGLNs27Zt13ENw0BICyEJwRiTrmurqkrT9HA4KKVXq9Vms7Ft652ShN8Tk/OYmJhAdxPw&#10;hBAhBIiC/8Nvvry+vk7ThHM+m8/Xq9VsNrcdm2AC4kunF6qTuNMHhlImhMjzbL/fHw7HuqmR1iD7&#10;hDEWohdCUkps2wkCP4oix3Gsbwt4SCkJIV3X1XVd1zVosLct9HHxxWK+3mxcxwVbfJpWefW3dzWG&#10;o9uRErbPyqZp2rYtTzRNDb1SlDLD4JQyxqhhmJZl+b7nOA6EI4wxQkjTNEVR5HmWphlCaLFYrNdr&#10;x7Eh7rn/3j8sk/OYmJhAp4Pz8EXTNIfDIY7jr56/2O32XdeGYbjZnM3nQ0kAhjPG1I3WGhPyPW0J&#10;VEp3XVcUeZwk8THO81xr7Ti2aVrc4Iwy0zI917Msi3NmGCbnDOISISTsDQFfmCRxnudN0yilXNej&#10;lLquE4ah7/uMMaheYIyhJfduRu0tj/gwlAGVc/AfEIVAAhDGP04LQmTXdUJIIXqopUMLr+f5YRiG&#10;YXBygbisqjRNi6Lo2pYxNpvN5vOF4zoEYwikfkQm5zExMTEA/+ELIbIsu76+3m6319t9nueE0LOz&#10;DZQ6TNOklJ1yJqPvQCAie/+K703fC4ge6rpOkuRwOKRpqrVyHHc+n/lBYJmmYRiWZVHKpJIwdIgJ&#10;xghLKbVWXdfleZ4kaZqmdV1hjA3DgKVVvu9zziDCABmqIdgYCzInKZH7t/UQo/MYg49vxy0aGgTg&#10;QyvLqizLJEniOC7LomlaIXrG+GwWLRbL2Wzm+x4hBCY8mqYhhDqOHQRhGAaWZYFO5bfe/gfnQefx&#10;4f8ETExMPHLACYD0YZZlx+Nxt9sVRaGUsm37pNJhMMYIgXk5PWRpoBb8dhb2XYFxOSH6siyLIu/7&#10;jhv8NPHneq4Hc39QheaMDRLoWsPpviyr4/G42+3TLJVSWpYdBMFisfA8z/M9z3NN0ySYwHwJIeTk&#10;E+Ea+p3EazEmjHHY3A7uY3QkUCpnHNbQMkoZDJqAcO9Jfx51fVcURRwfb25urq+vb25utrtdnCRN&#10;01BKLMu2LJNAm/JjPd9PkcfExM+L0XN0XVcUxe3t7ddff319fU24yQ1jMV9cXJwHQcC5wTk7zbsh&#10;SOmMp+z7F/0QKKX7vkvT9ObmJo4TQrDvB37gu67ruZ5lmQghhDBllBAiT3PXWiNo4S2KIsvSPM8J&#10;Ib4fuK5j247rOnxYBmiAOCMaFkYhhNEdbVw9biH89k09jNZDwfz0jSECEULCpwTCiEJIpVWWZnF8&#10;vL29zbIMNr3DzDz0eimlYCNWL4RWynHd1Wq1XCx93+f8jpP7UZkij4mJnxfffW5t2zaO4ziOoY3V&#10;NM1ZFC0Wc9u2KaWEnObYvs0HsWWj0R7+qbXWqO/7LM/3h0OaZk1Tg5R6GITQK8y5wRhnjFFCkUYw&#10;jA2REzxFmiZVVWOMbdv2fS8MwyAIHFhRzhiM4CHQuxVSa4W+HW2863PBTcNYuBrUDjXEZuPadiH6&#10;LE2roiiyvKlrionv+sv5YrNaP3vyNApCJWRZlGmcJMe4qxukNSXUNAzLshgb1Hm/43fwx2VyHhMT&#10;P2XuZeLHX2qty7Lcbre73a6ua0KIZdsgdssYRwiDjCCcOkdZw3sX/IOBQzsYXKW0lKoXfZ5n+91u&#10;v9/XdY0Qhi2tSkmYrxvHLJRSUkmpVNM0cZxst7e3t7dxfKzr2rKt+WKxXK5AccSyzFHMfBjTkxI0&#10;DcePAjRITkPlb+tAxiaC4dcnLwJ5K601bJFqmiaO4+3tbXw49m3nOs6T8/Nffv6Lf/ZHv/rVL//o&#10;bL2xLYsTirTWUjFKYWbFcRyQhT8VTh4pk/OYmPgpM3ZJjbPNMMZcFMXxeISitFLKcZwoDH3fB+ly&#10;QqB96K7AxoeEMTYuWNVad11XFkUcx1mWtU2jQZiE0bZt67qGtiWlpFJKSNE0TVWWZVlmWZYkcZKm&#10;sJ+cUhYEQRSG4AJt24G0z5hvG2oSb52b+g70acvTqQw0lIK01qIXfd83bQPbbdM0O8Zx13eWZc1m&#10;s7Ozs4uLi7Ozs5N7syijlFDDMCzT8n0/DAPLsgmFvSqndNijZKp5TEz8lLmX94Bc/H6/T5LkxYsX&#10;L1++bNt2kOtYbsIwcF0X+o5Aaep7Ko8TQqE/auz4StMsTuK6qoSUlmVZpoUw6rvOMAzX9YLAD4KA&#10;Md62bVEWdVXVdV03Tds0SmnTNF3XsSzL8zzDMGEnB1Q4lFKE0NeyUu9btoFPFSpAGMMFEciww6wf&#10;+DbIpzFMHMdZzBdnZ2ebzcZxnK7roMnt+TfPkzihjM6iWTSLwtnM84duBYSx1hrcx3ve7fsz1Twm&#10;Jn6OjM4D7JwQIkmS3W4Xx3Hf97CZfLlcWqZxEj8fzOL9C304pBTwLjBokuV5HMdNXVPKojBcLZeL&#10;xdx1HClVluVJkqRZVpRlXVdFUSRxcnt7e3V1HR/jpmk5Z0EQLFerzWYThiFM1cG8hdIatHiHGsQp&#10;Vvgg7lBrpF8FB5AW01qrpmmzLDscjrvd7nA4lmVlW/Z6tX727NnFxUUYhQihLMsuLy/3+31VVQgh&#10;z/UWi8VquYJFioMG5avA4wPc7ffB5DwmJn7igAEaRT5gnjxN07quOee+7zuOY1mWYZiUQmEZSh3o&#10;Q1U4XgdKzL0QZVmmaZrnedu1hBDPc+fzeRiGnufbtmOaBmNMa1UUxWG/3+52h8M+juM0Tau6ElIY&#10;huG4rue5tmWZpuV5vmXZnHOMB01cQrAUIJQOWiEK5Ao/xFNpiAdgMrHve5gth63vSRKXVYUJns0i&#10;z/dms9l8Pozrd32X5/nhcMiLnBJqO3YYhVEUua4Leu9DLIPRmAq7/86Pg8d7ZxMTEx+E8b/xtm2P&#10;x2Mcxy9evLi5uanrOgiC5XIZRZHv+4bjccahK4lShgnu+x4Uyu9f8QOAtdZlVR72+8Ph0HUdxthx&#10;3CiKYIkFxkM6K8/zsizzvOi6TiOtlQbBc8MwwjBYLBaz2QzmGWGlx6kDSkopwRFKqU5n+G/LWb3H&#10;if6k8YUJwVIqKQVwPB53+32aJF3XYUKiMFqvV4HjrTfrMAih2hTH8fNvnl9fXWutOeeO62zWm9Vq&#10;xTlHlBBGkdYIYdB+v5d1/LGY0lYTEz9HwFBqrdsWMiqHOI6LotBau64bBAGceQ3OKSWEEkwITEz/&#10;4cb1Dq/1aMGxGvd9X5UVzGf0fQ9bpyAMMk2Dc27b9nw+94MAE1JV1eGw3+92x+Mhz/Ne9IZpuK7r&#10;+4HvD/fPGO172KKhTgmxNs/zqiqrqq6bpuvacVnT6ADGO3yV2Po2D33vxJCtkl3f101TllWSJCCL&#10;ggnxPW+1Wl5cXDz75NlquTJNo23bw+Fwc3NzOBzqpkYIOY4TRVEQBLZtc4PD7il4R/jiwVt6JEzO&#10;Y2LiJ87pAC6rqjoej7e3t3VdM8bCcMiWgDj5kLDSGkY8oCfq/cOOO4kXDIpSWuuqquL4GMdxVVVC&#10;Skqp73u+73HOR2MppcIYW6ZpcI4JZoxzbhBCKSWccdM0HcflnI/la6WU1q92+fV9n6bp9fX17373&#10;u+fPv76+utrv92ma1XXTdb06ddNqDRtH8OhUHmLo0hqGCcdMICYghpil2fZ2e3n58nA4tm1rmOZi&#10;vnj67Nn5xYXn+a7nKaWapq3q6nZ7e3V11bWdaZi2Y0dRtFwsHceBBmJCCCWE0qFpGBoKHi3v+ydj&#10;YmLikQO9sCBDcjwesyyDqWbbtm3btixrmGS+/7oPADR3nQwu0hom+1oofZdl0ffCNMwgCHzfNwyT&#10;UjpWiQnB+OS6CB7t6dDmRCnlnEFRBKy/1hqhoQ1XStmc1mzEcRzHSRzHsEmwqsqmqauyBI1CpcGF&#10;qHFn7T2gdQAWeIztzhCmwJR+VddZlsJn2/c9wdh1nMVicXZ2tl6vwzDkjAkp8jyHak1ZlW3b2o4d&#10;hqHneaZlMs4ooQQPUjAfC5PzmJj4KQM2rizL/X6/3W4hYcUY830/iiLPA4VamIf4XlAKbDrBmEip&#10;oKoMIx1VXRNCwjCcz+ee55mmwTmD5RYwl4g01KIFDGyPg9yEYFBItCyLG3Dzejyqw+QF59xxnCAM&#10;Pc+zbQsWZmRZut/vb29vt9ttmqbgP0BsCg789+8eIQQDLxCXaOgQQ0qprmvzPIvjJD4ej8djnmcw&#10;pT+fLy4uLi4uzpeLZeC5pmlIIdMkvbq+urq8io+xFNIwjFk0m8/mvu9blsUowxjroYHro+HhD2ti&#10;YuKnwRh27Pf74/FY1zXG2PM82MNq27APA0kpvz+7NRRdkBair+uqKPLjMW7bllHm+95yuYii6KTD&#10;SKGSDUK5bdtVVdW2jRA9BAmgQEUpA+dhGAajg4zH+HawRtCxndVq9dmnn37++edPnjydz+eGYXRd&#10;lyTp7e3t7XZ7OByKouzatu+FlFK/oQNLawTvDFvWCaEYg3R8nyTpfr87HA5ZlkupbNsJo/DZs2ef&#10;ffbZcrm0LBNhIsSQLby6vLq5vamqyjCMMAqjWeT5HngOqLi8qejyaJmcx8TETxalVNd1sJ8OYg5K&#10;aRAEQRDABm/o3/1eW3pg67mUcCd1nudpltV1RQj1fW82m4VhaNv28MNDNR1rrbq2K4o8z4uqgpVK&#10;QwRjGKe1fJxDqUbKweyCzq5SUgihkTZNE+Yf5/M5dJTBRliMcdu0eZHH8fF4PBZF0XVt3w+bNl5j&#10;kMDCGGFMNNLjsqksS5MkLYpCSGHb1mq1XC6Wm81msVi6rssYFUJUVZnm2TE+xnFcVzWl1PXcMAxd&#10;x7VMizIKVXf9kUUdaHIeExM/ZZRSVVXleZ4kSZqmbdsahjGbzVzXhTo5xBwIoVED6sOjtZCy6zro&#10;rUrTNIkTQqjrumEYeZ4HOk5jPQNq0krrtmvzPC/LoutakI3iBrcs03Ec27ZBER3mAeERIGSBbi6t&#10;kZIKhjrA3wSBv1yt1uv12dnZ2dmZ53laa2gf2O/3eZ43bfsG54GGUAhjrXXXtmma7fe77fZ2t9sV&#10;RY4Qcl13vd58+tlnT55cRFEEK6owxm3bbbe7q5eXu+2urmvDMGbzGbQXw1MTUJU/BWdTzWNiYuKH&#10;Zgwg4AwOX0gpq6ouy7Isq6qupZSGYbieZxgG55wQOggOUso4f+2C8NdwwTvfv/+d7/6+0lr0ouva&#10;pmnquqqqumlqyzJtx7ZtizGO8TB8cXo7pJFWSom+r+umbTulFMaEUMoo45xblg2NuYRA+WEQTkRo&#10;UESHreanOQlECDEM7jhuGATL5XK93qzXmyiKOOdVVcVxnOdZVVVd20Jtf3gQeBSNMMIEE4KI1lpJ&#10;2dRNkefH4/H66io+Hvu+Ny1zFs3Ozs6ePnl6dnbmuhYGWTCk67ra7bYvL18eDode9LZrz2az+Wwe&#10;BCF0uGGKMcaIYEwJYQR/L10L3xeT85iY+Ikwmm/oW23bNsvz2/3x5fV2H6cSEcPx3CCK5svF+gwz&#10;UyBMTZuZtsZUIXJK63+rbjwUGvSr739Hah5q4yOUUsY40hp0GJMkjuMYIbRardfrje/5juPajo0x&#10;6nuBMXmllKhU3/Vt2zZt07YNYyyKQsd2IJLgnLuea9k2vBXnw3gEQghSUpBiGuUKKWOnaTtECLVt&#10;KwiCzWazXCwWi0UURQihJEkOh+Nhty+STHUCCYWV5oQSjZBUWGmKkGz79BjH+0N6jIs0RUrMQn+9&#10;mG0W80+fnl9slhYnFqdEa6yV7Nrjdnt79bLMkqKuicGDWRTOZn4UWp6DKMacIkYUQhJpjZHGSP3o&#10;ClbvyOQ8JiZ+Cozz0+A8YNdFnufX11e73baqSkqo53qe5zuOc8rEIDSEFwiWy0IfkZTgIEASSsI5&#10;HLqepFT3vMsdYDetHue6+15AxaUo8jhOjse4qmtKaRSFvj+sBbx7KXwqWsCKw6qu26YRUhJCTNM0&#10;TRM6dymlBueU0DurX78z3zP80FC3gL/btr1YLM7Pz2ezGaW0aZosS7Msq5taa40JVloJIZRSEINI&#10;KeumhhHLNE2bptVaO46zXC4vLi7W6zVMuY8tvLBJN0mSsiylFIbBgyAIw0HrFzbD37/Pj40H/xBM&#10;TEx8lMCRXynVNE2apsfjMUmSsqy01q7nzuYz3/cNwzjVBkb7pfUghohg7qHv+7Ks0jQty6rvOyhF&#10;gGWk9GHBEowRHgakNSSgpBR931dVlaZZkiRNU0O5fr5YQPssY2x0ABhDi+0wCV8UeZ7loLUOTbeW&#10;ZYF3NAxumibnoAEFr/2uagGUUdBQDUEYY/BzjuPOZvMomrmuSwhpmgbmw/u+11prpZVUCCElVVVV&#10;MCWz3W0Px0Pf97ZlLRaLzWbz5MmTi4uL+XxuWRaEZVLKvu/zPN/tdrvdLs9zpbRl2fP5fDafu67D&#10;GH/TTMnHxQN/CCYmJj467vZ6SimLooBFT30vCMGwriMIgtEEg2orQqeTudZwfgdr3rZtksSXl5dx&#10;fCzLsu96jDG4jbFv9XUG96KHwTohRNs2ULFv29ayrMV8MZtF9uketD7dM0aUDpGEEKKsqizLQLaE&#10;YMw5N03TMAwQ2oImXVgrC1m607M8bI7HEsaQzwJfA6ktShwHVmAFGOOqgtHFsm1aIQW8Fhqdd/vd&#10;frdP4qRtWtu2z87OPvnkk4uLi9VqdfLHGBTswV/e1S02OHddNwxD3/OHYOvhO/3ImJzHxMRPgXGW&#10;WwgBxuv29na32/V9Tyn1fT8IAtdxOGfDDjww8K/8h4bsD3xfKVXXdZqmSZIkaZplWdM0p9SWelA2&#10;Y5CK0kNjK9xGmqZZlkPdIgxhx60zTmqPrwVbDsmuruvLosiyvG1bQujgNigFcUNCKeeGaZqc87GS&#10;cXqchwHfCP/AEOJgzBjFmCCtCXw4YWgYJiW07/o4jpMk6doOsk+gQAyNzkop0zTDKNxsNpvNZj6f&#10;O44DYQTUeJRSZVmOW7aEEKZpRrOTetUg93uKhD5yJucxMfFTAOxX3/dFUZxUwZOiKAnBruvC4do0&#10;LcYYpfRuZyhEHeAYwItgjKCpyXGcvu/TJNnutofDoa7roQzwZtsHXbZCiLqqj8fjdrttmppzPp/P&#10;5vOZ63qGwRljCKFXY+SQLpMSEj5t21ZVVVWVUsqyTNt2GONaIyEkQohRyjnjnN9JW/3e7SODaxzq&#10;0fDgGFNKKWUEE8a57/lRFIVhiDCC9FRRFHVTH46Hm5ub/X6fJqnWOgiC1Wq1Wq2g0u44DvgwuCoh&#10;pKqq3W53dXV1OBzatuWcR1G02ZxFswgao39KTM5jYuKnwD3nAdquWmvP82ezGYwEwn69k9c4oeH/&#10;GjbuwUSFYRphGC4WS0JoWVbHw+F4PJZVKaR8s+MANNIaxqrjOD4cDlpr3/eXy2UQhIbBOTd836Ng&#10;uSloAOKxxi7V4D/6vkcImaZpWSahROlBRAT8DSEU4qdXb/tm9zE4juG2B0vfth1CGpZnEIwdx16v&#10;V/P5nFEGOzmquqqrOj7Gt7e3t9vbLM8IJfP5fLPZLBfLaDbzPM+2bbgChH1930PYsd/v0zSVUlqW&#10;FUXRYrHwPI9SdmfY8A33+lExOY+JiY8MEI69d/wfyg1aH4/Hr7/+ervdKqVM0/B8b75YWLYthISh&#10;B62GzNI92rZVWkMxXGtNGQ2CAEIWzo2qqg/7fRInsE4D1rtqjaRSGA8KhmAT4zi+vLxMkgQhxLlh&#10;24PquGVZjHFMcNf14MOkHDu7hkco8gJGvqWUtm1dXFx88sknpmEeD8eyLDnntmUZ3KCUDLWLkxX+&#10;DmP8KkuHThUQpRij8HGNSSfLsv3AZ4wJKZRUZVnu9ru8yPu+Nw3zyZMnz54+O784f/rs6WKxoITC&#10;+OF46bZtb29vocCT5zmEKfP5HPwfv7Pi6Y7M8MfN5DwmJj4yxpZc6O0ZaZomyzIoNUOTkud6vuc5&#10;tm1wgzIKBlQpefdqYM6GFNBQPyAEE0gQ2bYNCzYQ0nVdl2XRts1p1SBGSGuY0ZNSCAn303VdUeRF&#10;WSCEfd8H7T8Oy0Kgz/fUEwxytsOlMG7bpizLsiy6rqeUuq7r+75tO4zBwnPNDQ7jgacqycDwIHef&#10;6g7jj30rUMEYYay1Guo8GDM26GVxxtu23e/2Nzc3cRxrraNZtFlvzs/Pl8ul7/u2bZvmICUJHgia&#10;FJRSMKwupTRNczabLRaLMAzHDoWfGJPzmJj4yIDht7vfgaagPM+32+12uy3LEhY9RbOZ7we2bRsG&#10;p3dczt3XvgaGxirGGOeG57m+77uuixCuqirL8jwv2rY7yUkNCTBwH01TFyBHVZRt25qmMZtFsDKE&#10;Ugaj4+PUOkz8DdVspKHUnGVpnhdSCtM0fT8IAthJToQQWivTMG3bhl259+/6HQFjPmTsECaEMEYp&#10;oYZhGIYhpUySJM9ySmgYhuvV+uz8bKyQGwbDZAgglFIgWgzNBfDh393yBC28P0km5zEx8VECay1O&#10;Pa+6aRooUMdx3HUdLCePotA0YdETJP2/+/Q7zA3CeDaljDFm247ne543TMDV9bD7r21bKQUmGHwS&#10;jCVmWb7b7dM01Vo7tu37fhiGrudyw0AYKQhSNPRZgabIMIvY96JpGlBSaZqGEOJ5nu/7lmVijIXo&#10;u76TUhkGN02LUPL+zuMeGiGEsNJKI00ogdKNaZqr1erJ0yer9Wo2m7me82rBOHxSWksp67o+HA6X&#10;l5cvX75MkkQIMe5KMQzjg9/q42FyHhMTHx9jtmRYfNQ0eZ6D6HrXdaAmGwSB53ngOSBBdCrVPuxC&#10;huark8AUxB9QZvA8NwhgNB2VVZllaVEWXddrrTEmUqmu62AJK7guz3NByNbzPM45Be1epUH1UMpv&#10;hT5KyqapsyyDLUkIacdxZrPIcRxYwNc0Td/3GGPQ06UPjSi+K/ABnj4ICCD6vu/7rpdCIoRMwwzD&#10;cLVanZ2dbTYb3/Og0AKeZnQbIDq53W5vbm52ux3oFruu6zgO9BN/j4qTPzYf4LdhYmLiRwFqDKCE&#10;cTgcDodDWZaU0jAMwzB0XRdmC06bsYc5uQenNBAapEEgFQM5JUhwUUpt246iCLRgu7bNsrwsy65r&#10;lVRSDlIccXzMsrTvO/jhIAht2zYMcxSOJQTDvrzxDeEv2I8bH49FnrdtC/tx54uF4zh9L6qqarsO&#10;aQSD5dDp++CI+zsBYQ9Ebloj0Yu2bbuua9u2aRqEkB/4i+UimkXz2SwKQ9M0CSaEIEKQELJp2jRN&#10;r66unj9//vz586urK4g54OZXq1UQBKZpMsY45z+9agfwvr8HExMTPxZQ6iiKAnagFkXRdZ1hGBBz&#10;wMkXTBgsaj35hocTKWDjNDqt6zvlmLTWkAQLw9CyLCFkXddt0/R9L4Tour4sS5CugtXosC8EDt2w&#10;YxwcBaWUMUbZII01FrGlVHXd5HleVhWMNHqeHwahbVtKybZtpBCUUgg7OIx4sPc9zkPq7FRG11KK&#10;ruu6rmuapmkbSulsNluv14vFwnEcxpjSg0CkUqiu6jhObm5uvv7669/85jdffPHF1dVVWZYY4/l8&#10;PkQqvj/qzN9/758Kk/OYmPjIkAgpjBEhiJBOqLysD0l6SNK6E6bjzpfr2WLleAEzbUw5BBCEYMYo&#10;5PY5Z/eveAdQBwchEEIwpYRSSghljJum6TiO4zqmZUqp8rxI07Qoiqosy7Jo2sYwjCAMIeawLItS&#10;durswqC4JZXUCu6dUEqkFGVZNk3ddW1eFLLrQ98/W60j3/ccxzasvmnzJG3KSgvJCXNM27Vtg3L8&#10;3gb51DCGhs4rhMqy2h0OeVVgRm3PDeezaD6zHFtTIhCSGjVCxFl2vd1eb2+ut9urm+3t/nCI07rr&#10;LdcL50svjObLjeV61LSYYWpMe4nkY7exY8/z4EixlkgJpASSQnRNVWRpfIwPu/32+vrli+S4b8q8&#10;rUuK9CN/sImJiTeAcdvLsqriJI3jpKpqjLFp2Y7r2Y7DDQNWup5+FiwDgmatb13nDnesyD0QiJ9b&#10;lu17nsF517VZliVJnKZJWZZ931NCXNcDxUMIDqDyfEdEC42jeoQQOJhD5FQUZV1VjNHQD5eLZeAH&#10;pmEQjLu2a5tWCokRApfGCCMfYukFfDineEJ3fV+WZZ7nVd0ghEzL9H0/jCLP90yTI4SkllVVHeL4&#10;8vLy6+fPv/7m+fXNbVGUGmHbdqJovl5vNpvzMApt2zENkxsW4xwPIpIf4Ia/VyDEhA46AvtVEFJK&#10;tk2TZ9nxsP/m+fOXL168fPni5vr6cNiXRY4m5zEx8dEB6ae27WEr0TE+xnHSdb1hmJ7ret5QraWU&#10;/L6u3LdiFC8xDMPz3Nls5jiulDJNk91uD9kqkM+az+dBENiOM6hRIfymnA3MOUopq7qOkyTLMqW1&#10;ZdnRLFpv1ovlwjKtvu/rugaNdM45NzhlMJX+ASRpYV+6khJGZdqmzbKsriulJCHUcdwgCGzbwhh3&#10;naiqMk2S3X53fXX18uXLFy9eXl9dJWmCEAoCfz6fLxbz1Wp5dn7m+4HjuoyPk/xokIp8fJw2tQzy&#10;NEpppaQQPRR+6rqG/uM4jvf7/fX19e3t7Xa7vbq6gglQpdTkPCYmPj56qauqTpL0eDxmWdb1HSHY&#10;cWw/CKCtljF+Ep19LwZNQaQxxoxxy7I9z/c8D2NSllWaJmVZaI18318uV2EYwEAiQsMMxJvsZtM0&#10;TdPWdV3kOezHtUzTcWzf86Mw8jyPUAxbPdqmBZ0Sgxv0tErkTZd9eyAeOu0vkUL0bdtKqRjjrucG&#10;QWAYRtt2+/3x5cvL3/3u6y+//Op3X311eXmZpokQghDiOs5isTg7O1+tVp7nm5ZlGibI62qlpZQw&#10;Pw8rch8l+vQ5wCpHBE49yzLwFpeXl7e3t1BLg+QnSP2D+I3WU+QxMfERoqSoqup4PByPx6ostdKm&#10;aQVBGAYhLE0ap9Dfl9OuKDDXlBLGKMjH1nVdN41S2jB4EIZRFIICLiZYayWlhJat+xdECKw/zJPn&#10;eVHkhZTSdd0gCF3XNUwDI62k7rquruu2azHGtm2b1mnp96CQ+16Mrc5CiLZt27YVQmitGaPQpSaE&#10;jOP45ub6+TfPv/rqy9/97ncvX748HI5935umEYbRer05Ozs/O9vAlg7OGHzkWmkpxVDseewyVvq0&#10;eUUJIdqug86Fw+FwfX19fX293+9BGB86L2B/FyyplFJOzmNi4iMDpMLTNDkcDjBXMeTow8DzXMao&#10;FCD78R0bkt6B0X0oJftetG3Xtm3bNkpJy7TCMPQ837Edy7IoY5gQpIdcjT5VpF9Ha13XdZplRZH3&#10;ouecz+fzzWodBAEhpO9l13dd39VN3Xc9ocS2bcu0YBPGaczwvQDPgTFquy7P8zwv2q7t+04ppZWu&#10;qur29vbFi5fX19e73e5wOJZlKYQ0TcP3/dlsvlwuV6slDLLAs0NHlhCi69q2bfteIIwYZeNc4SME&#10;plXati3LIo7j/W6/3+/iOIY+CGibhmzkZrM5Pz9/+vTp06dPF4uFZVn4JyPRNTHx8+EQJ7v98erq&#10;6uXLF3mem6Y5m8/ns9lisfD9AGMkhGCM0w8xia31kN+AScO6biDiub6+LstqvV4/ffrEcRzTtCzL&#10;1Ah2OmEQegKRrAdN583NLSTTsyxTSq0361/90a8uNmee61JK+75vu/bq6ur/+7v/73g8hlF4tjmL&#10;ZhEMr0gphZTMGJqA/zC0RozRvu93u/1utzscD3Eci763bRsWyva9aJq66zopJcYEzt1BEPiB79i2&#10;YRimaXHOID0olRS9kFI0TQuLCA2D245jGgbG5E2DNT8uUiqlpBCyaZqiyNM0K4qiqcuuqSEv53ke&#10;THo6jhOGIXRMSCmvr68JIX/+538+OY+JiccLzJ0N49AnFZCrm9ub2+3Nzc1+fxCid1337Px8tVzC&#10;Sjs4ThJC/4CuJHgjsAjwYjjjwwLBtm3yvCiKAjqsKGWr1Wq9Xtm2fdJWH1zFeA1wHKOJ0UNLj3r+&#10;/JvdbpummdbacZ2nT57+8pe/XM7mpmEoraqyyvLs6vLqN7/5TVEUi8Xi4uIiCAPTNG3LJpRojRB9&#10;26eTUmKMMQZXCol+Ao/Wts3xGF9fX+/2u6qsENKwLF1rXdeNlJIxapqmacKMfRgEgeu6MKhoGIZU&#10;CqQktdZd1zZN23VdWZVKKtM0IIl3Z3UjfDjD4t3vSZhdSPlKbxiqOndKRPDgUkrYENz3AjT8syzN&#10;87yu677rkBKO43ieF4bhbDabz+egbgl9Cl3XgVjkcrmc0lYTEx8Bp40XsmmaNM3iOM6yTCl5R4nE&#10;h3VDIBD7B3gOYIgyTj4E46HZVGvddX1ZFsfjoa5r27ZhRwhMgUDn62gNX5lKuKbSWulRSSVJ0ixL&#10;i6IQQti2vVwuF4uF49iUUhAchLH5qq6UUoQSxphhGpxzjPAQ0NB3M1yjGuPJN2qMEaxq7/uuruu6&#10;qqQUQggo4zdNi5C2bXs+n6/X683ZZrVaz+fzIPBt24JoY1DpGqKKoXjQ912R54fD4ebm5vLy8ubm&#10;9ng89n0P9XOlHl7C+AE5eY5T1QtjkH0cxnYwuMwWVMigderq6mq73eZ5rpSyTHO5XD59+vTzzz9/&#10;+vTpcrkEfwkDnnARGBedhgQnJh41d2cyoNSR53kcx4fjMc9zrZHrurOTfsa3XvnuDN7ijq0hhDDG&#10;MCFSiq5rm7YpyyrLcq2163pRFPm+bxgmWKk3jY9ohGBiHWkthMjzbLfbZlnW9z3nLIrC9Wo1n89s&#10;2wHReIxw3/dN03Rtp5TCCIPl4owP9QONwBW9Jae5hfH0jaBRVQhRN01RlmVZQgUYFK6kVIRg8I6r&#10;1Xpzdna22SyXyzAKHdc1DIOx4QyONKKEYDwc7SFPKIQoiny/P+x2+8Nhv9/vy7Kq67rr2nELy/cQ&#10;cgycft9O7vvkwrVGUsq+hz9CWZLEu9329vZmu90ej4eqqhDCtuMsl8tnz5598sknn3766bNnzzab&#10;DeiswFVG4XrDMDjnU9pqYuLxMqatoEsSttQ9f/HydrvvujYMo7OzzWKxCILAMMz3NElwqD/lmsBY&#10;IKUUWJwsy7IsLcuy6zrXdVer1Ww2c10X9E5gV8eb6tiwBBAhXRTl9c31zfV113VaI9/3oAY7m804&#10;5ybnFGMp9dXV1cvLl7c3t/vDXmt9cX7xyaefBH4w7t5AGKE3+KrXgZgAnAeBGRGNqqqK4+Nut0uS&#10;NI7jqiohp28YBuzfdV0H8lSwa5ZSaPUigzSwVkprRillDJxiL4QUUog+SZI4TqqqklIghCmlnuda&#10;luX5vud5tmV9kDmVNyEl7ObCg5fVGiHd933XdU3btk1b13VVlbDoVwgJGi2mafmBH4VhGPizMAiC&#10;YJRXAfRpSxi0Xw9eaXIeExOPlrZt4fivlErT9Jtvvrm6utruD1XdGqZxfnZ+drZxHAfk099T8Qkq&#10;w6cAYpggg+R4lmW3t7dxknDGZ7PI8zzIiRumCWugYDns/SsiBMdVUMHq+z5JUhg3Y4w5jr1crZ49&#10;fXpxceG6rlLKpJQQ3LT9N8+/ef78OfSJcs5hn6DneRqiB4001m/vPEbvBVIrWuu+F0WRv3x5eXn5&#10;sqpqrbWQQitt27bneWBGYcusaVoQZxAyTF6DsDxCCPrKwMVqWFWiFEIItL/AOud5VhRF23aOY8/n&#10;8/l87vm+wQ3IIL3pE3sflNKnSgfSWiutQK6/LApIddZ13fe9kBIjzDl3PTfw/TAMo2gWhqFtGYzg&#10;IbA4AWcXCGvulE9eKVxOTEw8OuA/V7C8WZaBdO6w8cJ1Z7MIFtsZBqfvWAZ4M/pUXxGQPiqKIs+L&#10;uq6RRpZlwY4m07QwxoMZffM5GuISKVVd18djfDweirLQSDPGwjBaLhZBEFiWyRkxDIYw1hopqdq2&#10;reqq6zuEESRJKKWYQEAEocc7PSzcngYZkrwojsdDmkLdpYRl6ZZp+r4XhkEQ+GEQgEKX67qmCSov&#10;r2QloUKOEOraLkmSw2GfppkQPcEYCiFQhYqiMIpCz/MhapFSVVWVJEmaJGVZtF37PZ3aodallOr6&#10;rqqqPMuSOE7i5BjH0NhdlpUQkhJqWabv+zDneHFxcXa2WS7nYeBDpHX/uggNj3/n6ynymJh41Iw6&#10;4dfX119++eV+vyeMm5Y9n8/PLy4C36eUUsowxvf2y74rkPEA/XYhJGRiDod9nudVVSmlPc8Nw8jz&#10;PMuyOGeQWf/u4zN4vqZp0zTZ7XbHY9y2jdZos1k/efJkc3YW+IHr2JxTrRGSiBBUlvVvfvObL7/8&#10;MssyhFAQBBcXF+fn56ZlQt8UJVQhrV71cP0eCCGghqKUbts2SeIkSYZ9vWVJMDZNC1RGYLDcMEzb&#10;tu/qu2BMoCQ0nMG1llKmaRbHx6ZpgiCAIXOEkegF51wp2fW9krKu6zRNm6bturbreq2VbdthFAW+&#10;D5tO7t/re6OUEkK2bVPVdVkUZVXBVE5dN01TI4SgF9lxHM/zfd9zXc/zXMuyTdMwDI61grDlbtgx&#10;dvrBW4zf/K7f+ImJiR+MsRkIdCDGr8f+yOPx2DSNlNIwTNjYYRrGKaGPhpTOWwC9vCDMjvEpQX4n&#10;QQHyt13XVVWVplmWZU3TGqYxm81m85njOAbnjFKMMNIII0SgCqG0VgojRKAePKyXRaLv+q5p6qos&#10;8qrIlRSuY62Wy8V8FgWBY1uwY0lrpBDSCCmtO9E3XSuUpAazHJsZXOPhelKroej8GuCo4F+qQSBE&#10;wppCkI6v6wrEmo7H4263r+vGMAwob0RRtNlszs7OVqtVGAaWZY6RHHjlpmmbuu66TvQCdEfatkmS&#10;NEmSoiy7rhNCKCnZaVE8JcQwDN/3F8vlcrn0PI9SIoQoq6rIc1hvJYRQSkOdafwDcO+h4JP59rcx&#10;vEQriZRCWmmIEtu2beqyyMsiy9IkPhwO+/1xv4uPhzSJu7bmjAW+v1ouz882Ty7Of/H5p7/4/PMn&#10;52fzWeQ6FqcUfjfvAXc1/gm5y+Q8JiYeEWNL7uAStIbKx3a73e/3XdchhE4rZiNQUqKUwi68+9d6&#10;MyfVqaGnE/IwhIwuQHVtl2X5brftuo5zA7qBLcvmnJumwRmjmDBCGCFYI6Q01hppjTUiGhOEicZE&#10;I6w0krIq8iyJ8zSpy0Ir4bvOxdlmOY88x7ZNbhmMEoy1plgrpIRWreibrqvbVmrluJ7r+4PzwEhj&#10;JLUWSj7oKSFFBjsQT1/Dp9fAHNx+v4d9f1mWI4Rc11ktl5vN2dnZ2WKxdBwXCkd3l01B2rCu6+Px&#10;mCRJU9daKyitc86hCVkK2TQN1BIgaNMaQVUcY2wO/smDnlclVZZlaZpCJnD8XXuD43gNPOQIMUZY&#10;K4wUQVqJvqnKJD5sb64vX3xz+eKbm6vL3e11Gh+6piZIe469nM8+ffbkl59/+snTi7P1arWYz8Ig&#10;8BzHNk3ODEY5I4wMasfj1M5d/ePRZwwFD0LoX/3VX92/v4mJiR+PcTM5GMG6rkHNNMsyKSWldDZf&#10;zBdL3/fAzGFMIJfyHbWHe8A7jL5qaB9SGhOMNGrbNstSqK8ijG3biqJoPpt5nssZPzVj3X8vggml&#10;VMlXYoi96Nu2PRx2o4yKbdtnZ2cgcQHprzEHghDqhex7kabp7e02SRLKKBR1YNoOat3wmG+aYmGM&#10;QeMsxhjGJDFCfS/qukqSZL8/JElcVVUvROAHs1m0Wq1Xq1UUhb7vWZZNyBA33AV2s4N6IyGU86E3&#10;AXQbpZQQuVFKGOOUspN1xdBEAMsE4RGklGVV1XWtpISLcIMTjJVSGiH2hi4sjKGSgdXoErXWWsNn&#10;MDZwH4/HOI5vb2/TND1lGhVjDKZVlsvl2dnZer1eLpcwqG8YxnenHH8v7/XiiYmJD8t4voMkDJx5&#10;b29v43hQPg/DMAhCx4H9ssPxcIxR3obROSE0HHmhjbXvu7Zpi6KI4/h4jKuqxpiYhum63mw2C2EV&#10;63eYG4wweuUJpJR1VadJUpYlrDg0TRNm7sB+2bYN5/pXKFXVdZblcCSnhFqWZVkmY/xVzn04+z4A&#10;xrATENQYMbSoFkWRpunhAF25cd/3lmUtFovFYgFS6rNZFASBaVoYQ67tdYZLVVVdlmVVVW3bCCFM&#10;0/Q837FtKUSaZmmaNU0z7pjCeHDR4E4MgzuO6/tBGIS2ZQsh0jTJ8wJCSQTJqeG9HgAeDVKTo9QY&#10;9DIcj8fdbrfdbo/HY5qmXddprU3TDIJguVxeXFw8ffr0yZMn5+fnm80Ghv5s2wZnfP9t3pE3/1GY&#10;mJj4YQETCs4DFOtAHHu321VVhTF2XXe5XLquQwiFfQwwLP0Gm/P7OI1NAEqpqqoOhz2cXhHSYRhE&#10;UegHPpzKx/rK62HHUHKQQp8S523bHo/Hm9vbJEnatjUMAzzHbDZzHAeyOqOnGWmaJs/ztm3gc6CU&#10;wd5yGHEfzOgbvMfYUQpVHCFEnuf7/QE+wDRN+16YprlYLJ9cPDk728znc9u2KWOgXCLEUAe6ByEY&#10;0jhaq7ZtqqpqmhZCQMdxXNfFGNd1neVZUeQgrQg3qeSgxXLqFVa2ba9Wy9VqaRhGURRZlrVNA6vU&#10;EcIwgn7/7RGCEs74tdagUNkXRQHyt5eXl7vdDuRvHceZz+dPnjz5oz/6oz/+4z/+4z/+4z/6oz+6&#10;uLiAusuo0vhGD/wuTM5jYuLRoZTq+x60XUE6AmPseV4QBFEUnbI9SimpTs7mTSb1deCQj6DQjTGM&#10;JnRd33VdWZZZlhVFqZSyLMv3fZgEhKLxqYx//4LAaLu10nVdx3G8P+z3u32SJFrrIAjW6/VqtQIB&#10;LnjGOxPXGGMshKzKqizLvhcYD/LvnA+D5UONBsOI4MNgTMAtgW1NkiRJkuPxWFWl1hr6jMMwDMNg&#10;uVyFYWQYMDsN93D/agC4Mc45IVQIAZpXcM+2bXme7zgONMWVZQXD6pBFBF16cDOEUISQYfAwiqIo&#10;MkwT2pfzoqjrGtaljL8vr9+AUmqs5XRdW5ZlnmVpmh6Px8PhACk12McVRRFkqJ4+ffrs2bOLi4v1&#10;ej2fz0fP8R1LVt6VqeYxMfGIAPsL2zKqqvrmm29AHAmUTQHDtLkBu540xpgSoqTUSn1XTunbaBA8&#10;wkQpCWszyrLabrdZltZ1zTkLwnA2m3me73m+YQzzYmCXlZLoNG98D0hbtW07jKQcD03TWJYRRRG0&#10;24JEKyipwDXHy2qts7wEQY+6qbVSIHsVhtEpwaIxxuRUrXkQPcgdtnEc7/b7+BhXVVnXNaXMdZ3Z&#10;bLZYzKMohI0do+rwmMQbfNO9aw5lIS2lqOsahMpt2zZMk1FGKVVKd12ntIJ4kVLKOAdvgfEQBo3V&#10;KUKI0rpru65rMUZIa0IwZ9wwOGiIvfb+gCYEa61AXixN0ySO97stCKdDMnOz2UDDGGiFwQAQ5Dbh&#10;Enef8U1v80488CdgYmLiRwHSOFDtaNu2qqqmabqug21IruuapkkpNQzoCKIYE7DX9y904tuCgAOn&#10;fzHOBLRlWZVlAWVqKaXjuPPZLIoix7ENwyCUDtl7SqCB9c51Xn19CmJE3dRZlmV51nUdJWSxWKzX&#10;6/V6DZ6DMQb2etRggpeDYHDT1HVdKakohZiDU0oJwa+e484DnZ7xFaLvm6ZNs2y/P+y22ySJq7qG&#10;I38QhPP5fDafh2Houh70K2sN7cHoOxJ/lFLTtFzXNU1LSgXpJghlGGOWZTmO43quwTkkysqybJtG&#10;iB7CCIwRRCqjzjFnzPNcz/MIIVVdF0XRto1SGsbO7zwNuvNRYxDjgg1aIKmy3+/LsoSQFMobn376&#10;KQgaQkbudQf/AT3HFHlMTDwixpWleZ5fX19DFbSqKsMwVqsVGF/P8xCmSms4jY7HydctBTAoZ9y3&#10;8hgEbouiyPI8z/KyLKSUhmF4nhdFYw35NARC8CD/hzGjDK5FCUUIKamUVpRQjHFVVWmaHg/HOIkh&#10;1eZ73nK52GyGAoNlWZzzu3MDYB/BnWR5cX1zc3193fe9ZdlhGAWBb9sOxgTqBxAyYYwg80LwqHCu&#10;oSgCksNJHMdxPMrEwljMYrEIw9CxnVMQMHxopw/wVfxxDwg74CV13VRVSQjhnGOEbNtGSEspDNOk&#10;lFZlBVoAsJcQY0IoJZgYhiGlkErB1SEHhRAWoi+rSkllmKZlWggjhDCsE9dIEzz4EqW0VBKGVA6H&#10;4+F4LPKiaWqM9Gw222w2q9UKWgBG93zXN78ponp/Hv4DNzEx8cMDx3vIWcVxvN1uq6oap4I9z4N1&#10;Hd8RaryGBrN4at6nYLwIIUrJpqnzPDsejvvDfr/fe543ny/W681iMXddlzFGKR3Mj0aDArlUUkmw&#10;RuADGGMUigFVneUZlBnyLO/7nlJq2/ZqtbrXXgWKIN+6S62VUr3oYVQCrDPnnFKmlJRSgpsUUvZ9&#10;D1K7o0wu3KBSSghRQa1lv8+yTEjJueG67tnZ2Wq1jqJo6E99xy6jYRaGYM6549i27SCEyrLM8hzi&#10;D9M0QezL931CcFEU2+1ut9vned61bd93QvQQwRBC4dEgb4Yx6dquqqu2aYXooQJEXs1sDvGQlKIo&#10;imMc397e3t7eQi5OSBWG4Wq1+uSTTz7//PMnT56EYfh9jKx/B1PkMTHxWADH0Lbtbrd78eLF7e0t&#10;Qsg0zcVisVqtYK0CQgjhYYj79wLJmdPZE4Hxl0J0XVcUZZpmWZ41daOUooQsl4sgCKIotG0H4hiM&#10;yasJ9mF6UYheSCGkEEIIpRXsDazrGppi0yTNi1wIwTlfzBebzXq9XoVhOCwuPYUa9/pEpZRCiMPh&#10;uN1u0zQ1DB4Evuf7ge8zzqHyDNMMdV1LKYbZlKGogHshmqauqiqJ491un6apUho01efz+WKx8H1v&#10;zJhppWDQ760P4+NPgpeSMK+OEDJMk3NucM4Zh08I5kLatpVSwFvA7l6QZYRZDYQQiC2COjrSOgiC&#10;IPA5Y/rUkAsORMqhIpVnWZIkcRwXRQmLRoLAX6+Wm83m4uJiPp+DIBW841s/1/syOY+JiccC2NCy&#10;LHe73c3NTZqmEHCMskvDz711bxU4DzAoWg8NTqLvoUUny9KmbTljYRjOFwvXcWChLMhbwYIKeDeE&#10;sNYKjGbbtl0LK8Z7qSQUqIuiyPM8iZOyLKWU3OCz2ezpk6cXTy5c17k70nGv1DFOtHRdtz8ct7t9&#10;XhS2ZUVR5Hm+6zqcMchHJUmy2+2hpC+EhA+AMYYQ7ro2y7Lj8Xg4HLM8U0q5rjufzReLxSyawVgD&#10;49CyNfQavSlJ9TrDyj+MYRJwVBuTSlJCKaOwqBxGEilloKWolIJl5l3XQ6TFGCWEag3d1YRS2rZd&#10;VZWU0igKfd+HhB7SECkSrVHdNHmeQ4Ujz/OmaQilfhCs15v1enNxtoEl6veq4m/5XO/P5DwmJh4L&#10;cNIsy/JwOMB4xLgEFOzvYBrewXkMVlJrLUTfdl3btG3bbre7qiq7rieEOI4TRbPZbGaBGiCjUEaA&#10;NxJ9DyJXWZamaZpleVEUdVnVdV03dV3XRVnEx/hwPBwOh2EeBWHLtgI/WC6X89nMdqyxN/d16wb3&#10;BsqPhzje7w9VVcGGK6hRwzqTtm3zPM/zQVFca00IVkojjJRUdV0dDsc4Pr4q+M/nURQFvu+67ikD&#10;NsQ6ozD7WxrZsaUNQjGMCfw2tW0D7csYQ5KNGYaJEHIc2zRNGPCEleaY4NP2KpjHhM8A933fC2Fw&#10;w/d9x7EhAwc9V0rJtmuLPE+SJI6PoEwDzbir1WqzWS+Wi4uzjW3bEE7d/WDf8rnen+9q1ZiYmPjB&#10;OLUbNUmSPH/+/Pnz50mSnJ+fz2YzWPgKehKEEInediwQ/uMWom+apqrqqqrarhV9n2U5IcQw+LDB&#10;wvdt22aM49MuKBg06brueIzTNDkcDofDsW5qgrEBx3hCYRAP/Aco/UkpOecwarBcLM/Pz9fr1XwR&#10;wbF62CB7OvKPgYhSqizLJEleXF3/7ndfHw7H1WoFSXzHsTk3lDrV9rOsrKq+66BygDA2OGeMdV13&#10;PB5hxaFlW/PZfDafOTbsdPIQ0lBsAHEP8ARjb8LvBdwDpUQIiAxllqXH4zFJUiklYywI/NlsFgSB&#10;aVlKSoRQ07RpmqZp0jSNRrBtEFPGbMvyPM9xHMMwGOOguIUQdl3HsiyEBklj6NIuy6oo8izLyrLq&#10;+85xnCiKFovlYrGIotBx7Mj3Ruv9A7sNYIo8JiYeEXDKhrJz0zSO48AYs2maQwWbEK3fwUZIKZu2&#10;yfMiSWKQP8rSjDFmmmYYBvP5Igwjy4JB6+GysJeiquo0Tb/66ndffPHl//2///fv/u7vfvvb317f&#10;3MTA4bjb716+fPnlF19+8dsvvv766+1uCxmtQTVdK6lk3wuMQWmKDN2+3+4Kg7G1tm3rus7yIo7T&#10;uql9z4MyCeewjB0TQi3Lsh3H4Bwh3HVdnhd5nmVZnudFnudplrZNG0VRGASLxSIMAtM0TdN0HAc2&#10;+kEGT0qplXonK3vamk4H+S889HdRSruua7tOCKH1kN1yHAem+TjnpmVBd1lV1UVRpEla17VSGj4E&#10;wzDGTl/Lskc1Rvjd3+32u/3ueIzzPJdSBkGwWCzOzs7Oz89h0NI0TSUFeN8x5hBCvH067v2ZnMfE&#10;xGNhtAUgaZVlme/70IQDx1U4rVNMMcJIai0VUhprRBAmGGON4GtKCFJadH1d12VVjWvPy7IEzShY&#10;dxRFp4CGEoyQbTCsFdYKKdk21WG3vXz54ovf/NPLF8+3tzdZEsu+45S4tmWZHGHddW3T1G1bV3VZ&#10;12VZFl3XUooZI0pLpWTXtUWRJUmSpmmapkVRwF4NGGFxHOc0bKFh2O0YJ8dj3LVtFM0Wi4Xj2DDn&#10;gQkmlDBKTQOU0jW0jdVQJa+quq4Jpb7ne547ny8Wi4XreTDEB4YU8nyj93on4zrm/aDmQSkobll9&#10;30uppBAYIcoorF7HGGNCoMIBJfqu60d5FcPgrus6jmMYnDEGV+PcIAQLKauqausqjY/77W1V5GWe&#10;pfGRUTILgyjwL842T87PosC3DG5yxhk00A3aveCGv9cFt68zOY+JiUfBkAjHWEqZ53mSJHVdd13X&#10;dR2MNI/tNEhj2GdH6KtT590uT4RQ0zZlWWZ5tj8c4jiJ42NZlkpK0zBd1wFR29OmPAzNv6Lvxj6o&#10;OI5/85vf/O3f/u3z589BENdxHGi69TwPNGKhlgDlBBAR6bquaRrQB5RSFkWx2+2++OKLf/zHf/zq&#10;q68OhwNs1TVNEzrHRqkMSEllWZFmadd1YRhEs8i0LJAnwQhDvYTS0f4TIUTbNH0vENKMMcdxgyCY&#10;z+dBELquxxgd69z3P+gPBDw13EnTtk1TQ3EI8oGMMQLOgVLbcWzL9jw3CELfH3QJQSyEEKI16ntR&#10;lWWWZUkSH/b7JEnAIwoh4GM/Pz9fLpcwxjH6jPs39IMzOY+JiccCmH6lVNM0VVVBCWRQvGAM/IrW&#10;WgolhBz3u0EmXvTD9r++7+u6LosySZMkSXb7fZqlWZp1XWcY5mw2m83mi8XSdV3LsmHtuVYaIT2s&#10;5EaoaZr9fv/ll19++eWXRVEYhrFYLJ4+ffrpp5+enZ35vu+6LghtgVwKfAGFDUqpYRiu61qWBRmY&#10;y8vLr7/++nA4CCFghg6yK+A84FxflmWe51leJEkqhIyiaDabWxbsDydaKynupmiQUrKum7Kquq4l&#10;hEBX7mIxB6cI/U5aDzMu9z/lDwMmhJqmwRiTUnZdD08H3hE0S5RSBGODc8s0YbrTcVx4ydA0rJGU&#10;su+7sqzSNE2S5HjYx/GxqiohhFIKhkOfPHlycXEBOurjJMfbF/y/P6aC+cTEo0BKCcax7/s4jkEL&#10;9ubmBpTYx54r13UJ4ZRQxhnnHGkEMxdaaegC6vqu7/qmaaq6apomK4umbdumZYwuFsunz56ulivX&#10;dbhhwMtPiofINii4qyzLYOXt8+fPOednZ2dPnjyJogjEUcABwE4qaMCFaANq2lVVQdlcaw0G8cWL&#10;Fy9evGCMXVxczGYzEFv81a9+9ctf/vLs7CwMQ8bYdrvd7XaX17cvL6/6vvvss88+++wzz/MoZTBa&#10;IaWEugnoRRZFvt8fjsdD0zSwsG+1Ws1mMO7ACKEwVo8wpmQQsPqwwOC3UrJt27KqyqKoqqrreikl&#10;xghKSlCvsm3bth3o8YXxFOgw1lq3bVfVVVWW4DuLoiiLvGtqcJPwm/7s2bNnz54tl0vLsqBjYlST&#10;HPusfiwm5zEx8Sjoug7OlRB5ZFmWJMkXX3xxPB7Bf4A98n2fc5PRIWU0TodorXvRV2VVVmXbtn3f&#10;i14IJToh+74TQhimuVmvn33yyXq1ZoxC+R2KKBDzMKKlEGVZwsY9UPO9uLj4Z//sn/3iF7+AIzbk&#10;jMB+jfvmxngCxjWgpJEkyXa7TZLk66+//t3vfleWJcwJgmv59a9//a//9b/+4z/+4ydPnti2DQv+&#10;Xt7cXl/dCCF+8YvPP/vsM8dxMQENXZgIIUqpLM8O+2FIpSwrQkgQgJTsKgwDQii8BA9tY5DE+15M&#10;HMYEGsy0ViDiW5ZVVVdJHNd1bZhmFIbgLMMwuhMlgCglVkqVZXWMj3Ec51lWlrAkqof4D3Rilsvl&#10;06dPQRYMfr/G+Zgfvrfqdaa01cTEowDOm6fpvKGKADMNsOAIAgtQBa/KqqqruqqL8vS/soS1S03T&#10;CClgrx9CuBO9RohRZjt2GEbz+dz3fEww9I+C84Dku5K9VqppGhD6FkL4vv/kyZPPPvvs7OwMRgps&#10;27ZtG9wYfGFZFvwScllQSoEuI9Dh8DwPklq2bYOwx/F4xBgbhgHCHrZtl2UZxzFsW0IIzeeLKJpB&#10;YHTXFXRdl6XpSYS8wRj5vg8jHZ7n27aFhhZmyP8NbVHfj5GF6vRYhKeMMcPgSmkhJHRbGQY3DNNx&#10;bMuyTv4Pw0Z6GO+HGY4kSU8t1AIhTQmGRBy0V0EiznGc0xO9qo3dv6MfnMl5TEw8CsAijNMPkJSA&#10;yioc8KFPqW3boiiL/OQtyiIv8rIoszzL8qxrO0KJ4ziBH/i+zzgrqhKiFs9zoyiaz+ag5wpqGRB4&#10;YAwjBkopBTmr4/FoGAasn9tsNmC8wFDChMTdmi3c+Tg6zhgDAfkoimaz2Xq9/vTTTyH3YpomNJJB&#10;YxJoic9ms7ZtD4dD03VVVWmN5os5nLVhIFwqBbFNVdVJkkJVAGNsGOZsFi0WC9f1oK8XbgRjDMUR&#10;0DV5/5V5r6O0llJSQodZRaTBU2KMbdsJwwCk7KE1YBgdR4gQIqU6bVO/PhwOWZbBMkHK2NCAhTFj&#10;zHXd9Xp9cXEB2ULG2Glb8Kso6kf3H5PzmJh4FIy2YOzcHxuZxnwFGGjX8SzbppQqrUDNgjHGGecG&#10;d2zH9/0wCEHsCGFcN7UQwvO81WrpeZ5tW47j3s3knIrQiCDEOTscDl988UUcx4vFArYJgZ7gKdGv&#10;Rifx6tZP/mPUdoTbBj3HKIpAlBBiF5g9dF03yzLDMD777LPFYlHXdZIkxzhRStu25ft+EPimZQ6z&#10;7ghLKZIkPRz20IQmpeDcWCzmQRB4nh+GoWHwru+VHPYvSSmlkjAkCUk28G8Ykw+VxbrjOxF8JPBL&#10;6yQebBimaVmcc0ooQloIWVVVlmVZljVNm+d527VwbyAuqbWWQnDOoCy0Xq83mw20IdwTsb93Az8W&#10;k/OYmHhEgBW+y9i/FEURdG3OF4tZNAejPJ/Pl4slLI+DVdVnm7MwCjnnMB5YlBVoPS0Wc8/zLcs2&#10;TfNu3hxACGkthRDb7fa3v/1tkiRRFD158mSxWJimCfZrjIruKSndC0FeB9wbHMMty4ITetu2rut+&#10;/vnnq9WqruvD4VC3HcaIc+66nu+DhDACMd+u64oiT5I0z7O27SBkgYSV63qWZWKMlVSwn7Vt265r&#10;Rd/DFljThHWBWCOtlVawBPz9jC88192v4ZeUDpOcoF5lGoZhGF3Xtm1XliXM6u/3+zgex/VNmBAE&#10;gS+lhGUay+Vy3PQOUct4nrjL/Xv6wZmcx8TE4wXM7rgRFuR1wzCCfbRRFMEih8Vysd6sN+vNar1a&#10;LBa2bQsh8iIv8qJua61REPir1QpO6ITQh0/fWmmtr66u/umf/ilN07Ozs1/96lfz+RyarEbn8a7G&#10;CxJZEIhAa28URVVVHY9HhBAUVEBfpOuERohS6roObKvVGkkhhRBlBdssDmVZYYIdx5nNomg281yX&#10;Uial6vu+67uu7/uuq+u6aZq+Fyc5dyokdJQNy1xPOodv+whvD8YY3xFVh7domqZp6ixL4zhOkiTL&#10;chgHsW07CALbtpTSbddKIQlGge/DIWCxWMCC2/f0c98f31MT9MTExAfg7nILgBBiWRYIUo2LacMg&#10;tC2bc24YzDAo51xpVVd1PezRMyzLHncxKfWwrBNIWgkhQKgKWkUty7pXM3in/szRgIILsSwriiIQ&#10;7FJKpWkKdwihDDinsfsL8kxaq6qq0iSN46QoS6mk67rz08YRqVRRFNvt7cuXL64uL2+ur3e7XZKk&#10;eVHkeRbH8X5/ePny5fb2Nk3Tumm0VoR8j5PYQvRKKigPnUSusjzPkzSN4zjL8q7rLcucz+er1Qok&#10;y0zTVEp2bYsxAkXIxWIxm80sy7p/9UfG5DwmJj4OoOSgtSYYM0YNzg3TMEzDMLlhcMaGLaewUruu&#10;6rIsm6ZmjLmu4zgO5wa4ASEedh5QjYf+LsiVQcLqbp799WrHdzPe88krIAhBKKWwAgTKxXBNWIh0&#10;cjlEaySlatuuKIo4icuyQFpbpjWfz9erVRiGBOOmrtM0ubm5vby8vLy8fPHi5e3tbZLEoHsFi6Gg&#10;7fg4LOBrpJRvKSv5BwCPqdSgzpLn+f6wv7q6urm+OR6PdV1Bwu3s7Oz8/CKKIkoJ6HpJKS3LWi2X&#10;6/Xa9/0ffYbjbZicx8TER8DY7AQtOYwSxijnjHPGGWOMcE4ZI0jjtu2LsiiKoqqrvu9N0wyCwPc9&#10;xmCZxBspyxJsK3TQOo4zugqwiWPm/f4rvxMhxN1fQi0dmsfGCXOYzZZSjfNxwzr0ui7LMk3TLM2k&#10;VKABbFuWaZrQGBbHcVmWvegHuVxKKGXcMDg3ODdGKUkhRFEUSRInSVIUZd3U3/1R/MEQQoToQSQY&#10;Op73+/1+vwd9Q9M0fd8LwjAIQ9/3CCEgoCuE5NyYzeZn5+er1cq27bur3WGu8BEyOY+JiccL5HOg&#10;TXNs1lQKKYU07IZACCEENWClUNf1eZGnaZoXedM0UinLtn3fB02k0xDJw//VgzVnjHmeBxmV8fw7&#10;ruJ4sNXquxnTVncTU1AFAYEsGH2o6xqhwXPArYJUFKyZapqGMQrdYgihoixvb28vLy93u13XdY5t&#10;r5bL84uLzz//xaeffvL0ydOLi/OLi/MnT548e/ZstVo5jiuEgB3gSZpUZfk9WWSldFVV+/3h+vrm&#10;+uZmt9vFx6PW2jCMaDaDvudZNHNsWyNU102e503TYoyho2G5WMDWr7tdCW+vHv8D8/Afo4mJicfD&#10;UAE4nfoxufMXrPbACGGkkez6piiyJDnkeaq1NAwGwkpwVO97IaWCUz9YOqU07JVq245znud53/dh&#10;GIIMH3QBjUVy2DjStm03VKYHQCsXfhKmzUcJjXtlDxikL8tSaw06hqZpglOBKRZCsGWZjFGtVdu2&#10;WZYdDntY5A5VE9OyNEIwfg+1GbC8s/l8uVhcXJxvNpvlifV6fXa2WSzmUFrAhDRNnaVpURR5XsBG&#10;wsGbIQRquK8DA/xKQYPWsAD4tJR3oO/7umnKssyyLC+KLM/iOE7ipKoqrbVrm1HgzUJ/MYvWy0UU&#10;eEr0RZrUZd7WZd/Wrm1uVot5FPieB43RY1UGnvr+PT0OHv68JiYmHgl3PceJQWP83l9aaylFXVdZ&#10;llVViZA2DcM0TcM0CaV3tpF/q+iNEYbVdV3XQXYFOrvG3bF3HQAYzbquYV4hyzLQswJ3MjbywqkZ&#10;HMxdzwFNt3Vdg8j8OEECyEE6l2FCpFJd39V11bad1ppzxhinlGml8izL0pQQAuPls9kMJthhtIVz&#10;mM1nY4tBGIZRFEZR6HkepbSq6zhJkhQ25goE6/2UBqHi8WZeBxaMa6VhVm+cLdcagTzJ8Xh88eLF&#10;9fX18XAsikJKadvWbDbbrDdnm/VqsQgD37ZMpFVTV0l8zNKkqWtK8GI+e3JxvpjPLcuEmdAxvINe&#10;7fu38jiYnMfExE+B8fAOcu5wWrcd27Isg3P6rWzTvXT/4E2KoszzHGKC2Ww29onCxcHog7gI5PH3&#10;+/3hcIjjGFYyQclECHHX09ztpILthKB8hTGG/uPTEMbww5AZg4IHVJL7vsMYUco45xijruuzLKvr&#10;xrLs+Xxxfn6+XK6CYNA5/9ZjnYCO2NlsNosix3G0UqBxAmGWRuAThsL+/RcjBLUmBD+mlD59ehCx&#10;QH9aVddZmh4Ox8vLl7vtNssyqaRlWfP5HDY4rdfr+Xzuuq5SCvTnkyQpigI+7fPz87OzsyiK3vQI&#10;j5NpzmNi4iNmNGGgfJWm6c3Nzc3NTdd1vu/P5vPZfAFdrZB1wRgjNIhZwWEaY6yV6vo+jQ83NzdK&#10;KZAVgfXpkH8HcfWbm5vnz5//9re//frrr6+vr6+vr+G9bm9voaMJHAksosAYjwMio3uAJR9JkkCh&#10;2/O8X/ziF/P5HDRReiFs2/E8j3OmlCqL4hjHZVlijLnBMcZC9EIIxvhJ/iSECgGERgQ/fBTuewFK&#10;t/AhQDxU1zXGxLIsxjh8incDrG+B4eLwfZjhIJBVa5qmrKo8y9MkieM4y9KmaUEBLPCD2SyCMUbb&#10;HDRmhBB5nu/3++PxWBQFpXQ2m4EGTBAEpmm+az3px2VyHhMTHxmjpRt/CYd6EMTdbrdZlnHOl8vl&#10;fLFwPd80TTTswiNDGw+sIUIIaY0xVkqLvo+PhxcvXkgpl8vlfD4PwyHPA/s2fve73/393//93/zN&#10;3/zv//2//+Zv/ub//b//98UXX3z11VdffPHFP/3TP/393//9P/7jP7548eJwOMAyKBDUgqUdYJSh&#10;qypN0/1+nyRJ13VRFD179iwIgjRNb29veyEt23Fsh1LadX1RFGmaCiFN0zQNUylZlCXCeDafrTfr&#10;KHq130IP7vBhsyuEgCXkhFCMiZSy7dq+66GcAKknQsCbPuQ8XvMrWmspFUiMHA7Hw2F/OBzBa0I4&#10;tVgsFssleF/LsjmjSGshRFmWu91uv98XRdH3ve/7T58+PT8/h32OcDP33/0R87CvnpiY+FgA59G2&#10;LezPKMuSEALLmlwHYg6s1au6NxpKJMOwgx6uocuyBMFajDEo5o6D5VVVffXVV3/913/9v/7X//q7&#10;v/u73/zmN8+fP7857TPfbrfffPPNb3/723/4h3/4h3/4h3/6p3/68ssvLy8vj8dj2w7yTXCrUkpI&#10;fDVNA0qCkLY6/QBGGiml2q5t26ZtWyF6hBGllFCCMWGUWaYV+H4URmEYGYYBT0QJoYRCKft1GGd8&#10;2NpKTMv0PJh7sbVWWZaladq27f3XPIxWChRfijzP8jyL4+Rw2B+Px6oqwV+Cltd8sVjMF2EQOo5r&#10;GIbBOXQK5HkO63iVUrZtg97McrkEL/hxeY7JeUxMfHzcS82D82iaJkkS0A2klA67sk0Tit6Q0L9T&#10;Xb/jPgapJxTH8eFwgHTKuPUWrl+WJayHurq6KorCcZxnz5796le/+vWvf/3nf/7nf/Inf/KrX/3q&#10;/PwcY7zb7f7u7/7uf/7P//l//s//efnyJUisA+Dhsizb7/fjPtqxgRid7kYp2Xc9eA6oRdd11bUt&#10;52y5XMAMHbgN6HRCCMHeQPmG4UdCCMYEAi/LsoIwnM/nvh8QQsqyLIq861qE4HO5/1qEXrUsQLNZ&#10;VZZJnOx2O9jWleeFUtq27dlsvtlszs7OV6t1FEWu6wxNUwS3bVfXNax7qqpKKeU4znq9BsEY+J0a&#10;1cPuv/kjZnIeExMfH/dmx6BUnqZplmUwRWEYxijnjoZYY9B7RwipsWfoTh8UbKBqmgZ0RE6rUjXU&#10;KqBUAF1S6/X6F7/4xb/4F//iV7/61eeff/7LX/4SJKo453Ec//a3v/3rv/7rv/3bv72+vs6ybBxT&#10;AHMPteI8z2GCfUwH3ZlFR1KKtm2hcAIiH1VVUcbm8/lisbAsG9YLjo9zus03WF6tQdodY0QJtS0b&#10;ShGMsaZpm6aFZlwpxLBTUWutoY9Zwa4nrXXbtlVVV1VVFGWSxLvdbrvdQgxhGNzz/cViDl3C0Sxy&#10;HYdzPiyHVwqK5PDUXddRSqMouri4WK1W4Dag1PFdj/AomZzHxMRHxt32pLv9r3meV1XFOT9Jghuw&#10;MRAS+mMOCiGEwCLCoiSMpBTgGMBkg++Bagfged4nn3zy61//GoKMJ0+ebDab1Wplmia8dVEURVFA&#10;O1Zd1/v9/urqCvZVlGUJSwbByYHzSJIE5HVhJBDCo3Fxk5QwkiIZY5ZpEYKlUgQTkOdijEKdH2rg&#10;0KOM8RuHH+Gpof9Va4Uxsm3b9Vzz5CC7rmuauu97rdX4CY3iiUqpqqohO7fd7qDNLI5jpbRlwUKR&#10;5Xw2iBzbts0ZRxhrhJQ6rZc/zZxDHOY4ThRFMEkD2xVHt/FAxeUR88aPe2Ji4nECRm3MR0HzK3TK&#10;IoTGNX+cc/yGBiSMCWi/IoSkEF3XN00jpAQLCwoikLaCN4qi6M/+7M/+63/9r//lv/yXf/Nv/s0v&#10;f/nLxWJhGEbXdbBu/fLy8ubmpigKWBE4NqQWRQHuBJwHyITc3NxAzSMIArCeEEVRRsFjnZaW4yGE&#10;Mk2YRaeU0W83Hf/BEIxdxwGZ4aZpYPU6pPKGlN7JjXRdl2bp4XC8ubm5vr7e73d5nkupgiBYLJYX&#10;F0+ePn1ydnYWRpFtO7DASvS9EEIpJaVomiZJ0zRNYTTStu3ZbBZFURAEMOby/s/yY/Hwn62JiYnH&#10;DJh1OMs3TZPnOXT7jGMNkA950DAN0QTBmEAEMwxVEIxhcA+Kt3dttGmaT548+fWvf/1nf/Znf/In&#10;f/LLX/7y7OxsNpvB/MRisdhsNk+fPv3kk08+++yzzz777NmzZ1CcAGlFCC/ASeR5vt1u27YFhV2Y&#10;Jrlz7sbQOQZ71wnBhmHAVgzD4FD3PjUcvxeEENf1oijk3GiatihKISTSCBoIoLxRllUcJ8fjMT4e&#10;4/iYpmldVwghz/Pn8xksU5nNZ1E0cxzHNAzo2xoeRyPQmgRVXehA45zP53OY+YDBlDHk+ujCjsl5&#10;TEx83EgpYd4b8unQKAXj1pDSeR2ttVJyHKjWWgnRd10Hpg22P4F/geMz2DVQS1ytVr/85S//5b/8&#10;l7/+9a//+T//53/+53/+b//tv/3P//k///f//t//x//4H//tv/23//Af/sO/+3f/7j/+x//47//9&#10;v/+zP/uzZ8+eQU0YlE66roMGXISQ67p3hwQRQkpqiDm6rm/btu+FUsNGXkYZIeDPhnUZ95/qHcEY&#10;c84MwyQEC9F3fScVCPoSjAlM0R+Oh6urqxcvXl5f38RxAuWKMAzPzs+ePn26Wi2jKLItm5DTEMhQ&#10;cMfgenvR53lxOOx3211RFAghz/NgI8tsNntddGQ8EHwsTM5jYuIj425lFYKGMWcFBY+7p9r7L0bo&#10;pGqllFTw8qqq8rwghMxmM1B1HSvYY1gAs2+z2ezZs2eff/75J5988vTpUyib/+mf/ulf/uVf/pt/&#10;82/+8i//8l/9q3/1F3/xF/D1Z599Biu4Twf5Ms9zqKk4jjMK9453JSVISGmtlRByKFYjeNhBBhJj&#10;BNK+33qedwfCoJNoFSYYa6URGvrWYEo/ieM4hpgj6fuec+55XhCEEGwtl0vf9w3TgAAOY8wYRVrD&#10;E3Vdl6VpHMdxnGy3t23bQqkDclbwCX9P4ow/GJPzmJj4yADnATYdtAhhnAIO6afywJ3y+MNoGEov&#10;iiJJ0sPhoLX2PG+s4oJ8+tgRO2xK/3YqDBZVmaYJYumz2ezs7Oyzzz77/PPPz8/PXdcd+4hAIlcI&#10;4TjO2dkZeA7o0x1dlEYaDfvAydg1q5WSUoHiL7RCje/+PmiNuq6HYgyllDGOEKrqOkmS7fb2xcuX&#10;l5dXx+OxrhuMie8Hq9Xy/Px8szlbLBa+59m2zRgfav1DEhCfZBN113VJmhwOhySJq6qEotHFxQVo&#10;kMDHOzzmnYDj7pngo2ByHhMTHxn3TMzY5AqlhdEeDUZZKaThL420hq8x0kpK0Xd919bVINLXdZ3r&#10;utABRQgZl23cNWrQtns3IhmBjNlisViv11ARgaL9+EJQTvQ8b7PZwKwGfH+0nkMh5iTLjglGCFyX&#10;0FrLoXF2eNM7O6aG67/J8p5+bPj30ASlke66tqorIXrGGGNUSFHk+eGwv7m5vb25jeNjXddKScex&#10;1+vV2dnZ+fnZZrOOosh2HMYY0hojPUREIA+mFNZICtG1bVkUcZzkWaaVCsNwtVqdnZ0tl0sY2j9N&#10;n3wrhHrT/T9aJucxMfGRcdfujEuiRtNT1zUsBBRCYISQEkhJrBVBCmuppVCi75qqKrI0PhRZmhz3&#10;t9eXRZb0fT+bzcb2WVgfAqkwEE6HtwYVDXjfe1EIxB/Q7uW67vhv4QtYfAS5r+VyyTkH/wRxEsYY&#10;ChsYY0ooZ4wSqrTquk5IqZTuu67rWqU0+LPTdhMEYQT89SCnH37ldbqu7/u+KEroMpBKdn2fpdlu&#10;t99ud4fDoapKjAkoaMHadT8IIFoyDINgrDWiCGONsNJYa6w0klr1QvZ9mRVFmtd5mSdJWzW2aS0W&#10;iyiKQO4F0onw23f384FA5P3TcT8kk/OYmPjIuGt3CCGGYUCRQ2vdNE2apnEc53kOQxvjCqlx0A/G&#10;CWEU4+XLl9fX1zCQgRCyLGscW/tQtgwSX+MYCiEkDEOYLYcHgaBgNKdjhy5jDCMMy8C7rmuGx4Fa&#10;iKaUQaX69PI3qZOgU24JnTyOlFLmWVYUObQ4p0lyPBz2+x2IbjVNA/ouy9XqyZMn5+fnURR5rmsY&#10;Jh7UJBHSGrJ5Y91CKSWkqKs6TdPtdns4HLqusx17MV+cn5+vVqvRc3yMQcaDTM5jYuIjhlIKYnwg&#10;Sw69sIfD4XA4gOh3WZZVVY0r+cC1gAoWkKYpKGeAbAZEHnezSe8JXGQcgJdSwhH+brsRvJ1GkH9D&#10;jFHDMBkfVlERTCCNVjdN0zRCyG/HPYM28JvuFnZeQXkcOtPiOIaRvbZp66bJiwI+iqZpMEaOY0Mb&#10;7mI+n88X0WwWBL5t24yxO7ECQvDOsBAFI6VU3/V5kSdpApL4pmGulqvz8/MnT56sViv4YN90kx8j&#10;k/OYmPgogdMr6FCFYQiLYymldV0fDofLy8tvvvnmm2++efHixYsXL+Drb7755vnz5998883V1VUc&#10;x13XwaWEELC93LIsz/PGNq0PeEAGNfI4jtu2hbale84DIaQVklIhpCllpmkyxpSSQvSUUcd1KKFl&#10;USRJ2vfdKV751lu8CaUVbOLoe1EUBYRcw/Lzvhd937Zt23ZCSMMwwjDabDZPnjxZr9d+EJzEbgeV&#10;l6HhC+KyO9knJRX0vB0OhzzL265lnIH672KxAL8+6h5+h5/7uJicx8TER8k95xFFke8PB2RY7HF7&#10;e/vy5csXL148f/7866+//uabb2AOfLeDtH5FCHFd17IsrTX0HUEH7d0Kytta6N8HOI80Tbuug5GR&#10;u8KL994FGo5Nw9AI9UJgjC3TYoxWVZ0kcVXVMEUoldR6MMbDSt0H0VoK2bZtUeRJmsZxfDwewHl0&#10;XSuE1EpRSmzbCsNgsZhvzs42m818PnfsQa8QElQgXjLKloDzgICmbVtQr9rtdqBB4nnearlazBeO&#10;43D+ahjwJ+M5JucxMfGxAgYX5EBc14U22adPnz59+vTi4mKxWIzqF2CtoJbgOI7v///s/deTJdl5&#10;4Ame41pereKGjtQ6S0FUgSBYQzbIBgmSM2MzY209/QeM7fOurfUum//B2L7smm0/rDDybbeH1uju&#10;BdggAEIVgKrKrNQ6tL7ar2t19uGLPOV1IzKRWRGZFRF5flaWFeHh192v+/HznU+b1Wp1bGxsYmIC&#10;Ap8QQjudB1U10znqYOY4mGE9z4PKgBjjfD4PPW7pPjCrQhYgLwiKImuaKssK3SclaZLQEl6WbdtB&#10;ECZxQhCByZyQNE33rqobhuHQHrZa2xsbG9tb271e33XdIAjiOEEICQIvy3Iul6tWq9VqrVwu53N5&#10;VdU+j8JFmYrxCEMyCFxwmqZRHAVh4Hpuv99vt9uBHxBCZEnO5/LVarVULmmaBkW3sgJyt7w8ijDh&#10;wWAcYaDHtSzLhUJhfHx8enp6bm5ubm4OaoQ0m816vV6r1Wq1Wr1ebzab4+PjU1NT58+fP3PmzMzM&#10;DAgPjuMgfRrqIWarWh2ICIHMO6icCEnatBg7beYBQVY8z4O3XJYVWZYEXuAwlyZJGARhGKRpEseJ&#10;47i2bYdhEMcxIoQWWYEZGebkpz8TqCff7/e3t1tbW9vtdtu2h1AFEmINwFKXzxfK5Uq5XM7n86qm&#10;Qn2tOI7hcE8rS3IczyFC0pQkCYEYhDiKAz9wHRfcSxzPiZKo63oun8sX8vlcTtNUuJlUio9URD66&#10;MOHBYBxJst5XmAdN0xwbG2s2myAqILEA2gJC3ZFKpTI2NgYu3EajUS6XIceb53nDMCAcCA54IDID&#10;gBk8TdNer9ftdgVBME2zVqt97uogBKw6SZqkKUGECIKg65qu65IsgUkqimOos0uzGqHSVBTFaZKm&#10;O9FWXBwnhJA0JWEY2bYzeMrm5ma73Q4CP03TJEmfZnfv2P3MXK5Wr5XKJcPQZVnGCCFEeJ4XRShI&#10;jKFgCcSqpWmKOSwIO8oE9Ebc2Njo9XqgBuVyuWazOTY2ZpoGxnhHZ3kqOai8P8A7/FXBhAeDcRzY&#10;sfxwHHgUoIRGo9EYHx+ffAotpQ5FpaCWO9iRms0mTdw7WCA9EEJ1LcuK41hRFFmWaQEVGj+LnnpA&#10;EMaCIMiybOg6hJC5rhsEPuglvu/3ej0oOOi6LkzooDAJgpCkiW3b29vbyyvLT548efjw0fr6xqA/&#10;CILA94MgCAhJn9YM5jDmRFHSNU1VVJ7bu5EfmPtEcecfyConhHi+B34OCNyK4xgRVCwWa9XajmBW&#10;FVHkBf6ZTaaOOkx4MBjHBFjCi6IIhXVB1YB877GxsUajASX5crkcxDLBKj5JklwuNz4+XiwWFUUZ&#10;Pei+geV5GIZhGEZRhDGGVDvIJqG7QXGPNE3jOMEIQyktaJKhKApJyVOtAqoIWwNr0B8MBoO+ZQ0c&#10;2/Y8z/M8x9kJR+52u63t1ubm5vr6erfbCQKf47Asy5BCrygKdLvC3E7Bx5HQ4Sw7Gek7yg0GrQXk&#10;rjW0ICQaykqaplmpVqAllK6pHM8/J3XxGMCEB4Nx3KBFruSnwGKfNq2jxfsgXFXXdZArtGTI6BH3&#10;QRzHIDN0XYcmFqqqZo02tEAWz/NxnIRRmKYpx/GyouTzBSh+rusaxgiaTQVBEIaRYzv9fr/Vam9s&#10;bKyurq6srK6sLC8tLa2vr7daLeif4Xme73sQkayqaqNRn5ubnZiYgDR4qPAuSZKi7PSY2tOUBOHC&#10;kGgJkiNJkiiKwyCElBFoGl8oFBpjjUa9US6XNE3B3HMDwI4FTHgwGMcKWBdTstZ2CmyBXiCQGwjR&#10;WVQVOKiuqDt9v10XY1wul8fHx6H/K/WFgCQDxzXmOOhpCMWsBJ4HeVMo5PP5giwrURT5vg8NaIPA&#10;t2270+msr68vLy8vLMwvLCwsLi2tLK+sb6x3ux3HsaMoJgRBV91isTg+Pn7ixMnp6elisSRJsijR&#10;7lKY4zDmuKc11b8ADRzAHEfLUDqO0+vvZBrSGwh+plzO2OlpSJ6Z9H48YMKDwTgmZIUEnfpHJEc2&#10;QSEIguFwCBFQWYcHyJv9Sw4gCALLsoIgyOVyjUYjn8+P7ACXBCFeURSFQRBFUZomCGFJEnVdz+fz&#10;5XK5XC4VCgXDMFRV26luglAURZ7nO46z0wfXdYdDy7Isx3URQrmcCRl/09PTk5NTUBO3UCiYpiFJ&#10;oiiIkMQOXXL3lLJPL4/nOC5NEt8PhsNhp9NttVrtdtt1XZ7n84V8tVqtVqulUknTdlrbQozWMw55&#10;TGDCg8E4DsBERXmaBL0TFARaSDZJLU1TiGEFtwfU3hjRNg5EfkRRBEG6giAYhgE5ifQ6YR/6S5Km&#10;URzHcZwkKbhwNE0D5aNaq0HkcaGQ1zQV+plnzHKKoqggVBBBAs/n8/mJiYnTp0+dOnX6zJkz09PT&#10;hUKBF3jMcfBlOY7jMEcIiuI4SRKM9lYUMMYIkWhH4bC73V6rtQ3JgCQluq5XK9V6vV4sFQ3d4DhM&#10;CErJjtqRpiQI4p22gscOJjwYjGMFnZfp7JyVJXQj6ARQwg88ydVqFTwQUFIXfh49+rPJiii6JQxD&#10;y7IGg0Ecx6qqQg+PbJAVtbPJsiwLIoqSyPNRnAoI8wRxBAmY02W1XCiO1xrj9bFmrdGsNcZq9VK+&#10;YGp63jBqpXKjUs1phswLiihJnJDTdFPTeYINVTtz8tTlC2enxsdq5UK5YJqqrIq8oco5XUVJ6NmD&#10;wB0mgZeEPkoijiQ4jXEa8yiFn1ESCZgImJAoCD1n2O92W5tWrxN4dhT5siLkC0a5UqjVy8ViTpJ5&#10;hBHmEMchzCGEES9gWfm8ItYx4yUGB4PBOAbAnB5FEdjuPc9LkoT60kf33gcgSCAtHBodQi9ymsFO&#10;TweBtrKi8AIP/Q2TJElJmiZpmqQpSRFCmMOCKIAXpFKujDXG6rV6vVavVquVSqVcLheKBTDHEURU&#10;RS2VStDHcMR2B6G3NIE8W2wYeqKAyKRBB3Ecd7vdra2tzc3N7e1ty7KiKBIEoVQqZbP0s2UT3xCY&#10;8GAw3jhgkoV+q47jYIxzuVy2SyD8sE+zFagX4POAs2iapigKLREIgMNc0zRVVQVeiOM4CIM4ickX&#10;+wZyHCeJEvTYKJVL1Vq10WjUG/VarVYqlfL5vKEbsiRjjDnMGaZRqVbyufxIjgXGGEKZIeiL4zgo&#10;teu6rud50ARlp2h7koBEgUK83W53e3ubFnbM5XL1eh2KwVQqFWgOeDzyxl8cJjwYjDcLyHCGzLvB&#10;YAAVEk3TpM1rDwoQHmEYQlRS1ueR3Q0SG6GqIy/wcRwHfuD7fhRHCO1UPIf/aPESQNVUwzCgGFec&#10;xEEQZBWUYrGoaRpM6FkLHggqCBrmeT4IAuhWDjmM4J6Bprn9fn9ra6vValmWZVmW67pQeLhUKkFg&#10;Vb1eLxQK0Ekla697Q2DCg8F4s6CmJJgo4ziGtT9tVQTs9p+/IPAp6tWAWdhxHEmScrlcVnjAnM5x&#10;HLQkUWQZLFqQvO25XpIkWdUB6leBZrAzWRMUJzGoUANr4LouhzlN1XJmLp/Pm6YpSTt1uqjwEEVR&#10;13VIDBRFMY5j27a73W6r1YJOJ2DKg+xxqEy8vr7e7/chNx4kB7juqbWKepU+vwtvAG/Wt2UwGIQQ&#10;WGLHcQwzqaIoYOKnnTz2b7YC+ZEkCdh8PM+TZTmfz2uaRudx2BMKMuq6rqgqtD2HkvKDwcDzvTiJ&#10;0zRFGGEOgzxL0iRN0iROfM+3LKvf6/f7/aE1dBwnSRNI8y4Wi6ZhKookSWJW84CYYEVRIAIY/CKi&#10;KEKvqm63CwW4Op1Ot9vtdrv9fh9a1UIDRFA4qtUqBA1TQ182tu3N4c36tgwGgxBi2zZU1IB24vl8&#10;Plu8/cvJDPpxCgiP4XAIPXElSQKz1UghENp3VlEUVVFFUUzixB7aw+HQc704isFhDmFgHMdhhAki&#10;cRw7jtPpdlqtVrfbtR07DENd16EiSy6XE8S9PdggP3RdL5VKzWYTytfLsgyXCr4NsFaBTY/n+VKp&#10;1Gg0oD5YrVaDymCQZQk+EjhyHMejJzvWMOHBYBxboFVR1iIPfc7DMGy32xzHTUxMjI+PG4aRJHs0&#10;w3ippTS1VtFf4ewwBUdRRNsU7j4sJIGDMzyXyyGELMvq9rqgIYE3O/CDHcKA1imxh/Z2a3tzaxN8&#10;KqViqVarNeqNQrEAfZz2BGMsy3K1Wp2ammo2m6VSCdQI6FjVarU2NjZarZbv+6IoQq37mZmZmZmZ&#10;qamp8fHxXC4HZXFp9DMcdvf3Ot7wf/u3fzu6jcFgHAtgBodJjWoGQRB0Op2dNDdC8vn85ORkpVKh&#10;bTyoWWm3MvEiwKcgzsp13YWFhe3t7Xw+f+nSpWazCW08RpwrQBTFURSDeACHOaR/e77nez4EPtmO&#10;bQ2sXrfX7XYtyxpYA9dxOczlc/lyuVyr1crlcrFUlGWZ4ziEMbjadwPqDgBKj67r0MIdqtNDWjut&#10;aZ/P58Hmlq0PNnKLvsS9OtIcWBECBoNx2ACXtSAI1JMBxpkHDx4sLCwMh0OEULlcvnTp0uzs7LPK&#10;yr4gVO2A+dT3/cFg0Ov1Pv3005s3b5ZKpe9+97vnzp2DgK49z+V5Ya/bW99Y31jf2G5tu47LC7zA&#10;C4IgyIosSzJCKIqjIAiiMEqSBPznAi/k8rlGvVEqlUrlUs7M6brK8xyNm92z1Dqd9yDPIwgCiNmF&#10;H0Di0sqSoijSgII3TUI8hzdLz2Iw3jR2+yEg2gqqkhiGkcvlDqSYbnYNDpOy4ziWZXEcB92osm6V&#10;PZElKZfL1Wq1seZYc6xZLpdlSSaExEkMvnHLslzHhT6A0D8xl8tVqpVGvVGpVsrlcqlYAsmBEDSN&#10;3VvtoPcB9A9FUXK5XKFQAN2l0WhAGG6tVqtUKoVCIZfL0b65+7xLxwkmPBiMY8uekzUVHnEcG4YB&#10;8aYHnuAGIbDQ6wLyKkDboCncu8EYKYpSLBTHGmMzMzMnTpyYmpqqN+qlYgm6CkJuR6FQqFQq9UZ9&#10;fHx8dmb2xIkT09PT9Vo9l89JsoQwB100MNTIHf32O+y+MxDFC3WyVFVVVRW6noCqRD06THhQ9n6K&#10;DAbjWALTn+u6w+GQOrH3NCLtE7ACWZYVhiGchWYgPkt4pCnieaxqSr6QHxsbm56Znp6ebo41IfQ2&#10;n8vncrlioVgpV+r1+nhzfHJicmpqampyqjFWLxYLmqpihBFBaZppwfSMqX5P4QEBXdRIReUcjThg&#10;kiPL3k+RwWAcD/bUPEB4QLSuoigj6YH7gZ4OHOae5xFCYC0PSSS/dwrmOSxLsmHoxUKhVCrVG/XJ&#10;ycnp6enP450mxseaY9ChvVAomKauyJIgcBy3+5uiZ7VjAm8QDUKjcVPwA4iNrIcDhM2eoWJvLOxG&#10;MBjHHyjWBBO37/tQmATKpEMH1udP6C8CzMX0V/DM27YdRRF0LIc4pZHdskAlWoQxL3C8wImSYOaM&#10;Wq3abI5NTU/Mzc3MnZiZmZ2anBwfG6uXK8V8IadqMi88neIx4niEuaf/Pa1q8uLsVkeoRjIiSxhM&#10;eDAYbwR0yoZ6iNA/FYQHVCrc/4IaZl6qW9As8SRJwIUA+s1zpBT3dMaHHzgOy7KoqrKqypqm6oZm&#10;GBBPS3t5iDu9Y5/6xuGz8PGd6uj83tN9Vh6MqBdMQrwg+x0xDAbj8APLZ2jNBIl7g8EAzFZUJ9jn&#10;pAmngMTANE2jKLIsq9PpEELAYQ5Z2RDjNPphxhGECQ8G4/gDq2xCCORoQx6DLMuqqh5UI4qRZlBQ&#10;1ardbodhKMsypHDDngdyOsZXDhMeDMaxhRphoJwGdH9yXdc0TchjUFUVUr5/rx/7BYGq6XCufr8P&#10;wgNSuGkB2tHPMI4mTHgwGMcZKhiot8O2bdM0p6enG42GKIqQcPcsJ/aLk3UsJ0kC3QOjKIJsPqgX&#10;woTHcYIJDwbjjQBsVqB5CIJQrVaLxSJs37+3PJsMAdU+aN8kXdd1XYe0iS/dI4RxCDmAQcNgMA4n&#10;dKamfgjXdR3HQQjRkhsYY+gHNfrhl2QnbyJNwzB0HCdNU+ibVCgUoF9Ids8vfJJxNNnviGEwGIcW&#10;EB5gKYIKtdBdA2NsmqaiKOCKgHrs+zQogUkKgnQhDtg0zVKpBN3RqRjbf1gX45DAhAeDcWzJ+hhg&#10;WgezFXR+BW85jeLdJzRU13EcaOaKENI07QDT1xmHCvZQGYw3BSo8MMaQbgf1pg7Kjw3qBaQHgn4D&#10;rQNHhMeBnIvxlcOEB4NxzKGWqzAMXdd1XTdNU8j6hq5NWe/Il4YeAUKtQL8xTVPTtGxiOUsSPDYw&#10;4cFgvBHQUF3oAQWaB53H9+/EpsIjiqLhcOg4DmgeYBwb3Ztx9GHCg8E4toAfghAC/fKGw2Gn0+l0&#10;OhhjaLkKxdghOWP0wy8J2L6gB1S/3x8OhxzHgdmKCY9jyX5HDIPBOLRQbQDSL6ASO3T3g5JWMK3v&#10;X3JQ4QH6Tb/fdxyH4zhoqTSy5z7tY4xDwgEMGgaDcTgBnYNmePi+D4XZQSM5WN8DPWYQBJubm5Zl&#10;GYaRz+cLhQLIFRBREJE1+mHGEYQJDwbjOAM5gI7jgCpQLpcnJyd1XYcyhVQJOBBBAqFWlmV1u91+&#10;v58kCeSWZ2svHlRkMOMrhz1FBuPYAjM1qB22bWOMK5XK1NRUoVCAxL3snvuUH5CECN0DQcsBnwd0&#10;As8enAmP4wF7igzGsYWKhCAIXNdNksQ0zWq1ClnfVOHYf5wuxGtFUQSVEKGelaZpkORx4CYyxmGA&#10;CQ8G45gDTuzhcAgdYXO5HORewF+hpsjoZ14eOIvv+6Io1mq1ZrNpmiZEczGOJUx4MBjHHAiftSzL&#10;931JkkzTpLGzoJociPAghHieZ9s2QqhSqYyNjRmGcSBHZhxOmPBgMI45aZp6nuc4ThzHoijqur5b&#10;YNAOgF8aWvKd6jeSJKVpmiTJ/g/OOIQw4cFgHFugxwbIhuFwGMcxmJIKhQLNDYSWtFAhcfTzzwBK&#10;r2edJSCfhsPhYDBACOXzefB2QCoJ83kcS5jwYDCOOTS33LZtQRCKxeL+452opx1+BSkFmkcYhlC1&#10;FxpAjX6ScVzY7xhiMBiHFtrdD0oi+r4vCAKEWmVVgf1EW8FnIRvRdd3BYOB5niRJUIydKRzHGCY8&#10;GIzjDEzrUIzd932oaiUIwv6VjxHNA4RHv9/3fV+WZdM0RVGM43j0M4zjwgEMIAaDcTiBYCrP87rd&#10;brvdtm2b4zhIL8+G6u6ntTj1eYBxrNvtBkGgaVo+nxdFEYqjMI4lTHgwGMcW8EN4nuf7fpqmgiBA&#10;PURI+YZ5f8R78eWg3WdBeOi6Dq3LR/djHCOY8GAwji3QtDxNU13Xq9VquVxWFAUKI+5HZlBPBnV4&#10;QNVeaJAex7EkSVDVijnMjzFMeDAYxwqom0vVDt/3B4OBqqrj4+PNZjOfz+/ph/gSLhBCCAT7hmHo&#10;eR6E6kIeey6X03WdEMIyzI8xLz1iGAzG4YdqA5ZlQVO/XC5nmiaNgALlY/fPLwLdk5bIBYmlKIph&#10;GLquQzFElt5xvGHCg8E4noDw6Pf7g8GAEGKaJgTpfgklYzdZBzvU04VT1Gq1crksy/JLSSPGUeQA&#10;hhGDwTg80Ck7TVPo5GFZVpqmhmGA5nEgwiNLkiTgk1dVtV6vF4tFSZKoL2R0b8Zx4YCHEYPB+ErY&#10;PVMnSQINNmzbjuNY0zRVVQ9QcsDpIM7Ktm2IAy4UCrlcbnftLMbx48BGEoPBOAxkNQ/aBgohZJqm&#10;YRg8zx/gtA4SC+TTcDgkhEAnD9pxdvQDjGMEe7oMxvGEhs+6rgtN/XRd53n+oBL3QAiBfuO6ruu6&#10;aZrKsizLMrjKmcP8eMOEB4NxTIAyVuC+RggJgkDDZ8MwFEVRVdUD0TyymSJwQBBRGGNIP4TaWeBF&#10;H/0w47jAhAeDcazI+hvCMLQsq9/vB0HA8zzUXT+oxD2ouogxhpJWYLYSRXEkg51xXGHCg8E4PmR1&#10;gjiOoWRIr9eDNlAgPA7QFQFajud5lmVZlpUkiWEY4FmBHZjZ6hhzYMOIwWB8hYys9JMk8X0/CII4&#10;jtM0FUVR0zRRFA9kQofmgDzPC4IApXNd1wXNI5/P5/N5EB4HpeIwDidMeDAYxw1oJw4dYU3TrFQq&#10;xWJRURRo6ndQ1iRQcdI0dRyn3W73+32e56EwCSg3+5dSjMMMEx4MxjGB5uVB1p5lWWEYlsvlycnJ&#10;crkM9UIORHhAGBUNBXYcZzgcep4ny7JhGJBezoTHsYcJDwbj+EBLIvq+77ouaB71ej2Xy4E7hOd5&#10;aD++H0DnAG9HGIYYY0VRNE2DOF1qraId1BnHEiY8GIzjAAQ+gULAcZzv+71eD0qGVCoVCNKFfub7&#10;d5inaQpSATQPnuer1WqtVjNNE5QS0DmY5Dje7HcYMRiMwwAoFmCVot0DoWk5dISF8NkkSfYvPKh4&#10;iKJoMBjEcWwYRrFY1HU9a7CCmu2jH2YcF9ijZTCOAzChZ81Wtm37vs9xnKIokiTR3UY/+fKA7yRJ&#10;EsdxBoMBiChQbpi0eHNgT5rBOA5QbQCmb2jQ5Ps+z/OGYaiqeuBO7DRNXdcdDAaO43Acp6oqFCah&#10;atDoBxjHCyY8GIxjAoRagRSJogi82SA8NE07QOFBY7qCILAsCwqTgH5zINFcjCMBEx4MxvGBmq3A&#10;oGTbNtU8QCc4kMQ9Kjyo5oEQUhQFNA8qPA5EUDEOLUx4MBjHAWq2Aj/2cDjsdDqWZVGDEtU89q8Z&#10;UJ+Hbdv9ft/zPJ7nNU2DVJLRvRnHFPakGYzjRhRFtm1TbwRUtRrdaR9A+V6EEAQEB0Egy7KqqoIg&#10;UMlEMxZHP8w4LjDhwWAcE8CUFEVRGIbZqlZQT5eWDNm/NSlJEgj59TxvbW3NdV3DMPL5vKIokGUC&#10;6SbUjMY4ljDhwWAcE6D7k2VZtm2Lolir1cbGxqCkVXaf/U/oIBtA7Wi3247jaJpWLpdlWRYEIbvb&#10;/gUV49DChAeDcXyI49iyrMFgwPN8rVZrNBqapmXLFFKL034Ax0kQBFBMNwgCTdNKpZKmaVD1HU7B&#10;Ogkeb5jwYDCOAxCkSwiBCZ3juHw+XyqVoPVsNut79JNfCrBcYYylp9BQXdiBqR3HHiY8GIzjAJUK&#10;tLWGruv5fJ5qHgdImqZBEARBoChKtVotlUqQwZ5VNZjkOPYc8KhiMBhfIRA+a1kWIcQwDKhqRe1I&#10;oA3sf1qP49hxHNu2McaVSqVarcqyDKc4EJ8K40jAhAeDcXyATh62badpqqoqtVkBtFJhdorfPd3v&#10;xNhmGNkYRZHjOI7jgIjK5XIgPCjUL8IEyTGGCQ8G4zgAqd1RFEGSRxRFqqpqmqYoCk0sp2IgSRKw&#10;PtHQXgCie7N9OGDPbH11UDsgpovn+UKhkMvlOI6DmvCQP0gTEvev5TAOLUx4MBjHhDRNwzAEg1Ic&#10;x5IkQT3EkRmcEAItoTzPa7fba2trCwsLT548WVlZabVa8FnYc8+pH0QLtLmFs0iSBCXfR3dlHGuY&#10;8GAwjgnQrmM4HFqWlaapruuGYUAbD7oDtSaFYdhut+fn52/duvXpp59+/PHHjx8/Xl5e7vV6YRhC&#10;u6dnFcelxdjjOFZVVVXVbJwV4w2BPW8G45gArWGHw+FgMAjDUBRFRVHAYZ5VIyBWqtvtrqysPHjw&#10;4Pbt23fv3r179+6DBw8ePny4vLzc7/d934+iCCxR9ODwA1i9bNvu9XppmkLJ3oMtf8I4EjDhwWAc&#10;B8B74XkeJAkGQYAQEgQhm7UHxHG8trb28OHDmzdvfvbZZ7dv33706NHKysqNGzc+/vjj69evz8/P&#10;d7tdz/OywgOgWku/3+/1eoSQfD5vGAYTHm8gTHgwGMeBOI5d1w3D0Pf9IAho+h4ID7obzP7tdnt9&#10;fX1hYeHhw4fz8/MbGxudTmdxcfHWrVs3btx48uRJp9PxfZ86P7IQQnzf73a7IDxyuZxpmnCi0V0Z&#10;xxomPBiM4wCkfEMwriAIiqLouk5tViMUCgVd16GsehRFEGQVBEGv19vc3Gy327ZtQ2nFrNuDqi9B&#10;EAyHQ9u2EUKapmma9qwTMY4xTHgwGEcVGkcLEbqDwaDf7xcKhampqUqlIooitTvR9ECMsaqq+Xz+&#10;7NmzZ8+eLRQKHMdBzV2IwkqSZDAYQNgVDbqltapod/Rer9dqtQghJ06cqNfru2O6GMceJjwYjKMN&#10;WKJc1wVHtyRJuVzuOU5sjHGxWKxUKlNTU+fOnbty5crZs2dnZ2fPnDlz+vTpkydPTkxMFAoFQRBA&#10;88j6S8BbTggRRRGCrKhM+sI5GG8A/N/+7d+ObmMwGEcBmjGeJEm3211bW+v3+3EcK4oyMTExMTHx&#10;rMJWgiBA1z9N08bGxqanp5vN5okTJ+bm5s6ePXvu3LnJyUkoqpityEt7FG5tba2urkZRdPr06QsX&#10;LkAe4p4nYhxjDqAnJYPB+EqAzkvgrlhcXLx792673SaESJJ08uTJCxcuFAqF3foHTSCHKliQWA4q&#10;C2SHlEol6HkOfTvgB1BBHMfZ2tp6+PDhtWvXut3u+++//6d/+qeGYVAxxnhzYM+bwThijJiSaKER&#10;z/Nc1+U4zjRN6AH1/Ald07RqtTo2NtZoNMbGxiqVSqPRqFQq0I08W5IEAIfHcDgMw1BV1XK5bBgG&#10;/ImZrd5Anje2GAzGYYZ6syFoynEcz/N4njdNk/ZlGv0MQhhjkCuCIEA4ryzLUII3l8uBzjHiYweS&#10;JAmCwHGcMAzBs6KqKhwzWw6L8YbAhAeDccTYbWqGxD3HcYIgEEURNI/nqB30CCBIoJWTLMuiKIId&#10;LIoiWhyXfgq2B0EQRZEgCKqqiqIIatBuZYhx7Hnm8GIwGIcTKEMCK30arQvCAzp56LquKArGmCQE&#10;hQhFCCUIkRAhHyEfkQClKA7TOCAoTZMkTMkQY5uKCZ7nwZ0O8bvgJwevhuu6WREliiL4VMA1kr1I&#10;xrGHPW8G44gxYoyCX4MgGAwGg8GAEKJpmizLO7M5efpfmoa+1+92t7c2+t1+v9uzh47nB4Hv+54T&#10;RE4QBNm8EPgXDkItYK7rDgYD3/c5jlNVFaouZj/CeHNgwoPBOJLQyRqsSY7jdDody7J4ngdvxM6M&#10;zyGC0jSJg8AdDvsbG+uPnzy5dv2zG7du37pz9969BwtLSxvbrXav73l+EASQUg4eeOrGAAlBCAmC&#10;wLIs13VFUdR1Pesg+cLFMd4AmPBgMI4whBAItIWSVmmayrKs6zo0Faf7eJ7b7nTW19eXV1YeP37y&#10;2Y2bN2/d+uzmrc8+u3nv3v3FxaW1tY12u9Vut4fDIeQGguSA8uyQGAjNpmzb9jxPFMU9E0EYbw5M&#10;eDAYR5goinzfdxwniiJN0yC3HDwWCCGCCOJQlARbrbV7D+5cv3n9xq1bt+/ebXUHjh+FMRr60XbP&#10;WlzbuPPg0aefXvvkk09u3769sbHhui4Ij6wnI45j27ZBwMiyXCwWDcMAscEcHm8g7JEzGEcPutKP&#10;45g2LS8Wi41GQ9d1cF/zPE8QIYj4vru6tnz9+vWPP/749p37C4vLcUIEQRElLSFcf+AsrqzdvHPv&#10;o9989POf//w3v/nN48eP+/0+OMnBJQ42qzAMbdvudrtgtsrn86B5ULcH442CCQ8G4wgTx3EYhqAo&#10;5PP5SqUiy3KSJDs1DQlJ4sh17a3tjfmF+cWlpW7f8sN06IQ9y9ts9RdXNueX1xdXNpZWt5aWlh89&#10;evT48ePNzU2oqgv9oCCPBIDTxXEsCIIsy7SBIAvVfQNhwoPBOGLEcQw+7TiOOY4bDof9fj9JEqgs&#10;AnFWdCoPQ88aDqyhFcWJIMqSZAiitt227z1Yvn7z4e17Cw8ery2utFs913VdRVEEQdje3l5aWup2&#10;u9DPA/wf4O2ABh5gsIKMECYz3liY8GAwjh5gJoKJ27btwWCQJImmaaZpyrJMi4vESeR6tuPaSRrL&#10;qqpqOuLEIEw3t7pLS+uLSxvrG53N7d5Wq9/tORhj0zRVVbVte3NzE6J+QUpB+SzHcTiOKxaLxWJx&#10;J4+EKRxvMEx4MBhHjGzdkSRJXNeFEClVVUF4UNESBIE1tFzP43hJ14uCqLse7g+i/oDYruCFShCr&#10;fqS4oeyGkizJoHlAvqHv+9l+IVD7hOO4fD5vmiZkeLA4qzcZJjwYjCMGLTbF8zw0hYVoK0mSdF2X&#10;ZZnuCWLA8zxBEHL5vCgprht0e4MkxRgLoqiIkiqIiiDIvCBrug4fhzJWIz1oPc9zHAcyEHVdB+WG&#10;Sg7mM38DYcKDwTiS0CroYRh6nuf7Ps/zkPVNTUlxnARB6Pshh0VDK0liLghEz+WCQIkTPUlzcWqG&#10;sR4mRpQakiRD81rDMKBuFZQegSqK4JYPw5DneUVRsm2gWFXENxMmPBiMowedr+M4hpJWtN4UTQ+E&#10;/EHP9y3LCsKQF0RBEBDiEOYw5jlOxJyAEEcQRhjz3E7PWlmWC4VCqVSiLnE4FDT/iKJIFEWwbmVV&#10;Deb5eANhwoPBOHqA8IDcC4i2iqIIlAZqttoptWu7vf7QdvwkxZiTBUGVpBwvaByvYaykqZymEkll&#10;xCk0BtcwjEKhoGkadYnDWSzLSpJEURTIQ8yaqpjweANhwoPBOGLATM1xHPWWQ7FCMDrRaCtwp1vO&#10;0B4OQy+IgxgliBMkhPkAo4AnPheHJIzTgMRu6g3CMIDEQEmSoLQiODNoVRKI6VJVFXwe1FRFtZMv&#10;XCXjuMOEB4NxxIAIWo7joihyXdf3/SiKINoK6iGCrwJjHCVxd9Dr9Hqu7fqOH3lRQvggIb7EBxLn&#10;SyQWYk6IJeIjbxAGged5YRhCrw7aixA6TVmW1Wq1giDQdT2fz4uiCBcD0oUJjzcQJjwYjCNJkiQg&#10;NgRBAIMV5HuDKWknOcMPOp3uyvLKxsaGZdm+H4RRTBBOCYKZHmPEcVjgscDjKIoty3Ich+d58JnT&#10;/udRFA0Gg3a77fs+VNDKNpuinvPM1TGOP0x4MBhHEjAl+b4vimKxWMzn8zQCCnaAUiL9fn99fX1j&#10;c6Pf7zuuF8YR91QkgPAQBU6WRE2Royjs9/uWZUEXdFpuHQ5lWVan03FdV1VVKjyo2kGFFuPNgQkP&#10;BuNIAk5sz/MkSSqXy8ViURAE2oQDQq2SJElTFMWJbfv9gW07XpJiLEgIcylBhCQYJ7KATU0s5VWO&#10;56FRIATjQhIJPVQYhlEUIYRkWYZAXpbk8YbDhAeDcSTJah6lUqlQKIiiCNYq0BWCIIiiWFe1YqHE&#10;87w1HA6HdkoIxhhzHEI4TVOMkCAKpmmUyyVd00BUCIIAySLgKgfjGM/zpmnmcrlshgdcCZMcbyZM&#10;eDAYRxIoxg7pHblcLp/PgykJ1AVIOw+CIJ8vjo2N61puaPuWEwQxChOMBZFglCQxIpEikoIuVPNK&#10;qVRSVVWSJEjjgLNAvfcgCDRNq9VqtVpNVVWaGAiCihW5ejNhwoPBOJJA+kUQBBhjRVFg3s96KVzX&#10;jaJIUZRSsSzLShCEvh8kKUkRRggRhBEiiKQcQrIsmIam67ppmtCFkPYHhAInO8cplXK5HI2zYrzh&#10;MOHBYBwxQL1I09TzvH6/TwiB4CgoJUJ9FbZtJ3GCEa+oOubFBPEJ4cIUCZISxAnisMBjjBKS+BKK&#10;TZXTNLVer9frdUVR4ETQw8NxHKjWnpUcECtM/eTM7fEGwoQHg3HEgO5MURRBWgbP85qm0cha+Kvj&#10;OIPBwLZtnhNEQeJ2KpFwCPEEcxhzCGGCCCKpwCFJxIrEl0qlarVaLBazdXnBOAYlEaH7E+1xy3jD&#10;YYOAwTh6gM3KsizbtjHGuq5rmkZLtadp6rput9sdWBZCmBdEjhcI4ggWEC+kiEMcTxBGhCCU8Fwq&#10;CUQVcaFQqNfr0IuQniWOY8hgRwipqirLcrYgPONNhgkPBuOIATaiIAj6/f5gMIjjWFEU6i0HtcDz&#10;vMFgYA2sIIhIihDiEoQxxyPMJwQjzCGMEEpRmqA0wmnEkQjyRSBqC5LYwXcyGAwGgwHP85DewZLJ&#10;GQATHgzGkSQIgl6v1+/34ziGEClalYQQAsKj1+sNrWEYRWlK0I7M4NIUIYwJwgSRNE3iOAwD3/cd&#10;kqbgM6ehVnCcXq8HwiOfz9NqiaNXw3jzYMKDwThigMPDdd1+vz8cDgkhEG0FOgfYmmzb7nQ67Xa7&#10;2+15XpCkMN9zCHNxinYqGhJC0iQOA98dOvYAIaRpmmEY1CsOvpNOp0OFh67r2fRAxpsMEx4MxmEn&#10;m0VB872DIPB9PwxDjDH1Y8NuIFqGw+FgYDmOE4ZBkqQJQYjjCMaEpCRN0U72eJokcRAGvusSREay&#10;x0F4QMErjuM0TaPF2EcvkfHmwYQHg3EEoPXPwU++vr7u+/7Y2NjU1BQk7oF/AvbxPG84HHa73fXV&#10;eWv7/mDYGRJ+KNa6QjNGBSwUC1637LWm4/UzhbQoBQsb6588WVxaWoJeUhDvizFO0zQMw/X19aWl&#10;JY7jJicnK5UKxnikQy3jzYQJDwbjyAAqCFSgStPUMIxSqQR+CIwx1BShmedJkqQp8YLQsoawP8dx&#10;CCNECEaI4zEv8IIoCoKAMErTVFFUURQhewPEVZIknufFcQzihOM4WZYVRWF5ggwmPBiMowQIDygZ&#10;EkWRaZrVatU0TVo7HUJ44ziWZblUKuULBc+L2p1+vz+Mk5TneA4RhNI0jXhMVEUq5MxyqVQqlvL5&#10;PBR1h9blNH09TVNVVQuFAq3BziqRMAAmPBiMIwDN2oOsb8/zoijSNC07rdMmH3Eca5rWbDbr9bEo&#10;wX3LGToeIQRzGKEEoZSkEUapqkjFYr5er401xxqNRqFQUFUVfCdwHNd1OY4rlUq1Wk3X9R0X+9OS&#10;Vow3HCY8GIzDy8gaH4QHFCaBYuymadLWGuD2cBwHQrB0Xc/lC7yohlEaJwRjnhCUJjGPESYJh1NR&#10;4DRNLeRzxWKxUCzmciZtJwXyybbtJEkMw6hWq5qmZa+EwWDCg8E4AtAApzRNfd+HYuySJI009aMJ&#10;4VAwUZQUUSkgXsWcwvFCkiQkCXguxSTEKOa5VJEF09QLhUKhUNC0z8NwQfOgJRELhQLULKF84eIY&#10;byRMeDAYh5fdmgchBIRHEASSJOm6LstyNsMjCIIgCAghoigqiiopuiAqvCjzvEAISdOYwyRNIpLG&#10;HEaqLOVyZrlUrlXrsryjdoBtCo6DMVZVFdwh1GyVJEn2qhhvJkx4MBiHF7Agwc8QLkUIgWkdMjxk&#10;WYZqIhA+y3Fcr9dbW1tzXZfneY6TgkR1Qz5M+DBKOJ43NAmlvqFxmHiKiDiceq6LMTJNM5fLR1EE&#10;Lo00TYfDYbvdDoKgUCjoug5SBLwdNAWd8SbDhAeDcXgB4ZHVP8Bs1e/3HccRBEHTNIiPglBaam6C&#10;ENskgU9jhDmEMEIII4IREXhe4HmOwzzPq4oMvaSyhqk0TUGJgaq9cIrsVdGfGW8sTHgwGIearOQA&#10;s5VlWZubm91uF3oI0grqtDct1LxyHMcPkyBVYqQQrCLMIYIQiRCJ4sCKfMtzes6wlyaRIsmaqkNR&#10;dxAeEBBsWZbv+zzP05olTGwwKEx4MBiHHeoPp3Wrut0uRFvpug65gTDjh2E4GAza7Xa73bYsy/P8&#10;KCYEYYw5jDFBCJEUkTSJI0JS33cHg74f+JIsG6ZBDwUxXbZt9/t913UlSYKAYLgGJj8YABMeDMah&#10;hjrDkyQJw9B13TAMOY4TRVEURdqaCfzYQRAMh0Moidjv923HDWIuJSLiJIR5RAgiMUapKoPzI7YG&#10;PdexOZ43zJymaeBTIYREUUR9HqqqQntzJjYYWZjwYDCOAOAnB22A47hyuVytVsFgRetQpWkKJREt&#10;yxoMBpZlOa4bJ2mKMOY4jEDzIBilsixqqkxI0u12Wq1WEAQ8z8PRwEkC5q9utxtFka7rUASFZpOw&#10;DHMGEx4MxmEHpAJ4wm3btixLFMVarVar1RRFod2fIPM8jmNoTwuNx30/jBNMCI8QDz4PggjCxDT1&#10;fN6UJDEIfCh7JSsKxFDB6aBAlm3baZoqiqJpmiRJVPNgwoPBhAeDcahJkgQ81RzH8TzvOE4YhoIQ&#10;FwpioZCXJJnjxCRCScKlKfF9N0m8YkGdHBs3Fc3thq2twbYfhZwYEw7FCYrCJHJEPiUq0qs5Y6ys&#10;FAtavpTXKrqQ4zAH3vIgCECiQPKgYRgQxwVBw8x4xQCY8GAwDi+gWMB8naYp6BMchzRdNgxDFCUO&#10;84SgJMFxnAZhgEhqmHqlVJJFybP9Qd8OEpLSjuUkJSTmOCRpkprTjGI+VyyaubymGhIWQDDQoryS&#10;JBWLRRpnBdoGjeUdvVDGmwcTHgzG4YXGWUEnj+FwaFkWwtgwzZyZk0SRwwhjhAjy/cCyLC8IZFnJ&#10;FYuiqoUp8aMUIYwQxggjTDBCGBEOk7yh502jVMhXy+VisaioKhZ25EEYhjR9vVwug6vj8wtiMJ7C&#10;hgWDcXiB2CdY9dMEwCRNFEXRDUMQRZIijBBGqe95vW633+sTQkzTNE1DVTVZljCHMYcxhzi88x/P&#10;IU1TVU3J5fPVWqVUKqmKijGXpimEAruuCy50w9iJ3wWdg3YqZJoHgwkPBuOwA8ID0jh83/d9P4pT&#10;UVY1Tec4Lk0R4hDCJEkT13P7g0EQRlhUOFElosZJGgJPBsIcQhwiAiI8IgJOBZTqilQuFouFgiTJ&#10;kH8Op/N93/M8QogkSVCknRqsmLecQWHCg8E41IBCQHWC4XCYklRRVdPMiaJIEMIEYULSJPE9b2AN&#10;PN9PEU4IihOSgqUK4Z1/MMIoxShNoihNYlEUTTB/STJVJSDDw3EchBC0NM9WsqJqEIPBhAeDcXjJ&#10;LvbDMHQcx7IshDjdMA3TFCX5aep5Gvhev9fr9gauH6RIiBEfIiFGPAK9A2EeIR6lAkp5lKZxQOJQ&#10;4JCuqZqmibKE+Z2qJL7vW5blOA7GWNd1Wu+dmaoYIzDhwWAcXjiOi6IIpu84ji3L6vf7vh+qqq7p&#10;uiSJMKXHceIMh63W9vbWdn9gDV0/SnHCiRHBBHEIcRyHOYxIEsehF/muZw+iwOM5oiqypqmiJCEO&#10;cxwHSR5Q1QohpCiKqqqg/dBS7Uz5YABMeDAYh5okSTiOgwjafr/f7Xb9IBBlRZQkQeAxRhgjQhLX&#10;dTrt9ub2Vq/XHwwdL4hjwsUEp4SkJCVpitKEpHEah0nke/bQtvpxGCqyrGmaIIjg0gDh4ThOt9sl&#10;hGiaZpom0zwYe8KEB4NxqOF5HsoUDgaDMAwRQqIki5IMAbQYIZQgkqae47Rbre3tVn8wHPqR40cB&#10;4VNeJgQRgtI0JWks8pwui4YskcjvtbbsQV+RJcPQBYGjVRc9z4PSWFEUFYtF0zSzVXtZkgeDwoQH&#10;g3GogapWg8EgiiLTNOv1en6nKezODkmcpmHsem5/0O90u91erz+whp4XJYTjBUEUQbHgOU5X1WIx&#10;XyrlA9/b2twYDHqKLJmmKYg7vTqgEnu32+12u3Ec5/N5aHMLNiuwVtGkRcYbDhMeDMahBoRHv98P&#10;gsA0zWazWSiWBElBGBOESEqiMAp8Jw4DjAjGnOP5rZ41dIIICSkn4Z3OsilGqapIlYJZKeRQEoae&#10;k4SBIPCKovACB6mEUBIxCIIoiqBNoSzLI22gmORgAEx4MBiHGowxmJIsy+I4zjRN3dBFUUQEI4TS&#10;JPV93/U8jHGlUq3V6oSQbqfj+h5BOCUkSVJoSB5HkSAIhqabpmEYRiGf03VdEkWO43geE4SSZKd1&#10;oCAIpmmapilJO13N6ZWwbHMGhQ0FBuPwAumBEKQbhqEkSaZpqqrG8TxBiCCUJCgMo9APBIEfG2uM&#10;j0/wgtAfOmGUIE6AYuxoZ/YnsiQYhpY39FqlNDnRrFUrkriTw5EkCGrxxnGsaVqlUikUCqBzUIMV&#10;jRtm0VYMJjwYjCMA1FpP01TTtHw+L0sKQjCtp5iL4sTxgyHP4WKuWC3XVclACYdSHhPMI0HAssgJ&#10;ssBJYiKJsaJwhqlUK2P12mShMCZIOkE4QWmCie/7rusmSaJpWrFY1HWd1iNhMHbDhAeDcajhOA6c&#10;EFCsMJfLyYqBsYQxSlGMeTuMu8PhVhL7iqiYSsmQyjm5LCGdTzgZKVykcgmShESSHMy1Me/oBq5W&#10;p8uV6VxuVpRKKRZiLknFOAgD27bDMFRVNZfL0daBYK1iAVeMEZjwYDAOL9B9Nooi3/ejKBJFUdd1&#10;TVFEnoOCI3GcOI7XG1iOFyQYE15AvEg4IUFcjHCCEE5jlMZpEqVJjEjK87wgCIZp5vNF0zRFUQRJ&#10;kKRxGEbQ41YQBFVVJUnKFiZhMEZgwoPBOLzAzA7F2H3f5zjOMAxVVfmnq/84ToZDu93pDYZ2GCUp&#10;wogTCMenCCcEpwjSw+M0idI0TtMEY8LzWFXVQrFgmqYgCHCgNEmgGLvv+5IkGYYx4i1nMEZgwoPB&#10;OLyAycj3/X6/PxwOMcaapimiyGOMCEEpCePUst3t7qDdt/tu6MYoxEKMhQjxMeIIQjzxOeKTxEsj&#10;P46DOI7jOOF5XtcNRdU4jseY8BwiaRqG4WAwcF1XlqHTlAjFSEavicFAiAkPBuMI4Hler9cbDoeE&#10;EFVVZUnCCBFEdgpeDe12p9dqd7p9y3G9MErilCSEEIQRRhwiGBFMSJImURS6ruu4DsJY0zTwahBC&#10;OIxJmrqO0+12HccB4xg0EGQwngUTHgzG4SVN0zAMXdcdDAZQ6VbTNE1RJI7jEYcJDqK0P3S3u9Zm&#10;Z9DqDQdu4EZxlMQJSRFHOC6VkSNjT8QeSr0osB3XthxLlBXNMFVN43keI8QhRJJ4YA1oNgnU06Ue&#10;EQZjN2+W8IAQ9WcxuvdxZPQ7P5fRDzNePdk7D/neYRgGQZAkCSFEEASe50WBRwgRhDDGSZIEfuA6&#10;jm3bjut4npvEMUIpRgSRFJEUoQQjgjEWeJ6Q1PM9z/M4gVc1TZIljuMQwoigNEk91wOzFcdxiqKA&#10;z2P0+hiMpxzPwTE6Cz4XWmX6q5ouv3A1r57R0zMOE9ln5Pt+EASbm5u+75dKpbGxsWKxKAgCRojE&#10;JI1TkiLfj5MUhUlqu167021tb/reUBWJIhIJ+RJycTTA8bBo8DPTDdOQt1tbW9ubA8vKFfOKqkgS&#10;L3CYRziNI8saLC0tbW9vq6par9cNw2ADhvEcjqfweNaMPLoTQker1vTo93l5aJz+izB6esZrBJ5X&#10;v98fDAbQlrxQKECNQkQQIihJ0jAMwzBCCEMrwMB3PccKfQclvpCGEookHItcqki8aag5U5dlMU4S&#10;z/MkWRY4Ws4dpWmaxLFt20EQpGkqCAJ08mDKB+M5HM+RATEqL0h2rnyWgDkkvNT32hNaHvVFGD09&#10;4zUCOjEIjzRN8/l8qVRSVfXpbM4lSep5QRhGPC8YhiGJQuA6rtWNnL4QDWXiashRsc8TXxGSgqnU&#10;KoV6rVQsFc2cqem6IAlQuCRNSRgFvu8lScLzPBRDFEWR53k2DBjP4XgKD3jxdpPsBZitRndN09GD&#10;vjL2PPuzGP0wQuBWfUFGP8k4ZFCFD4YrVLVKkkTXdVqpEGHE8yhNiOv6QRCKoljI5wxVIbEf2YPE&#10;s/jIFhNHJa5CPJwGPE4UCefzZqNenZgYn5ic0HRDEEWORwijKI4913UdRxBE0zTz+Ty0nk3TFGqi&#10;jF4ig4HQsRUeL2WcgfV4dm0OjB7xlfFS+sTohxF6qS/7sjszXhsja3zILYfuTFBvCnIvMMYYYYRQ&#10;nCSu6/meJwpi3jRzpi4JXBp7JPLENBASn08cEYUCRzgUY5JIAmcYWrlcqlQqqqbywk6h9SiKXMdx&#10;hkOEkGEY1Dg2UpWEwRhh78nojQJeWnhX4XUFotcFaD/7YWTSfz6j359xyKAW1DRNfd93HCdNU8Mw&#10;QPOAv8YJCsPItm3X9RAhqqLkDE2TRRHFAgkk4gmJK0ZDIXYEHHMk5rlUkgRdV82cmctDc0COIIQI&#10;isMINA+OwyA8ZFkGgxXP82zAMJ4FPpY2TUKIbdujWxHyPG90U0Z40Hza12zqfY5KMQLGWJKk0a0I&#10;Zdv1PB9BEF6wYNGzzsV4RaRpSqvYYoyDILAs65NPPrl//74kSTMzM41Go9lsVioVDotRiNqd1sLC&#10;wubmqmUNev3Oxvra/bt3Fx49jsLQVAyO42VB4CXDSQ1FwydOT7z17jkjp/hBVC6XT81evXTxgshh&#10;jFCv29vcWlhdXVrb6C0vL8/MzHzwwQdjY2OyLNPiJQzGbg6X8KAXQ18hugXeK5jiYQW9u150HMeO&#10;40BlUEEQkiTxPM+2bZAZgiBAVxzXdT3Pi+MYDku3+77v+34YhkmSvM4oLGjZBnVMof42dHHYc5aH&#10;0H6MsaIouq7DUnTPZOAkScDsAGZrSZI0TeM4DkrjgQGEiszd0gs26rqu6zqdRJ41WrL3iu7zrBu4&#10;e/vIcweyrU+pzpT9lQ6G3Rd/FIGvA84GGJlbW1s/+9nPHjx4YBjGpUuXpqamGo2GYRg8z0dRtLKy&#10;cu3atdXVVUgHWV5evnPnzurqahzHqqpCxJQsy7Zta5p25syZM2fO5PN5wzDq9frp06ebzSa8I4PB&#10;4OHDh6urq5ubm6IolsvlK1eunDhxAu7zi69LGG8ah0t4ZGcH+jrRiYx68EChhikja24Kw9DzvOFw&#10;CH2YQXjArzCTDodDKjyiKKJ6RhzHYB+AwnBUfrweoAL2TsG7p+/qniYmOstDAQnTNKk8GNkTgCPA&#10;DCvLsqqqlUpF0zTQP+j8u+eEznGcpmlgalcUhVownjVTU88qdeHsObT2/F57Gt+yTx8OBQ8dgoJA&#10;soKU3fP6jxzwNeELwpaNjY1/+qd/unXrVrFY/OCDD2ZmZgqFAshykBbXr19fXl72PM913c3NzeXl&#10;5VarReuLQEMOy7IURZmenj558uTY2FitViuXyydPnqzX6zzPJ0nS6XTu3LmztLQ0HA4Nw6hUKufP&#10;n5+dnWXCg/F8vnrhMbLYzMoPKhjAN0Dnfd/3qZ8AJAQoDRCdQmVDHMdBEDiOA8IDqpPCcaDANWyE&#10;1zUIAs/zPM8LgiCOYzorvQYkSVJVVVVVRVEEQcgG1I7sCTcEVA1N06CGxLMM0/DaU9kgSZIsy1Cz&#10;KDv5ZqX1CJBmrGkarVQB8nt0P4RoWCfHcaIoQqznnu7W5wgPURThIkFI0AOCU5cQAvJPURRFUTRN&#10;y/a52/OwRwv6fWFYEkJWV1f/43/8jx9//PHk5OT3v//9kydPyrIMgySKotXV1Vu3bj1+/Hhra2tr&#10;a2s4HEZRZNv29va24ziGYeRyOXgQkiTpul6r1ebm5k6ePNloNKampiqVCsdxcRxvbGxcu3ZtYWEB&#10;IdRoNOr1+okTJ8bHx5nwYDyfQyE86AQHUwbMj3SuDILAtu3hcNjv93u93mAw6Pf7YIwKw9D3/W63&#10;C7/C6wfCBg4LGglIoKyeAb/ullLZ7a8TMFJB8QmYLp9V0JReM/+UPedoqiJQAQkHh3/ppJC9CaOf&#10;f3oEkAfUAranMY2a2kRRhJldVVUQAyN77jnLw6SpqipIREmSqEQEDQnEua7rhmGMjY3RjLmsjNl9&#10;2KMFtVbBD0mSrKys/N3f/d3vfve706dP/+t//a/Pnj0LdxiER7vdfvjw4b179+7du/fgwYM4jmu1&#10;GiFkeXl5bW1NkqRKpWKaZqlUEgQhDENRFE+ePPm1r33txIkT1Wo1n8/zPB/H8fLy8kcfffT48WPD&#10;ME6fPj05OdloNKrVKn0lRy+UwUDoUAiP7BQGvgdY/kNJH/h1MBj0er1erwc5U4PBwLZt13VBF2m3&#10;26B8IIRgaQaTHbXvw3xHbSOwnbqpqZUA5rWsQWz0Ql8ZIL3g8rI3ZDdwkS8Sgw8HocehoZ+7pcWe&#10;5wKZ6rqu7/v0RKAfjO76FBAzIAPA4P6CwgM+C14cTdOoqxZkFcynGGNVVQ3DmJycLJfLY2NjlUqF&#10;+mOOmfAghIRhuLi4+Pd///c3bty4cOHCv/pX/+rs2bMgU0E7sW17Y2Pj3r17n3766fXr1z3Pq1ar&#10;giC0Wq2NjQ3wXkBbDowxNJI6ffr0H/7hH16+fBmKroPm8eTJk5/+9Kf379+fmJh47733ZmZmcrlc&#10;LpdjwoPxfA6F8AATUxRF4KvodrsbGxvdbrff71uWBZ4MMEaBkADLEtidQPkAbQNjnMvlYFUFa3mY&#10;jyAvFyYgQRAkSZIkCaw31CcPa3NRFGE7FSGvAfotwjCks/aez4W6iMEiB/Xysv6GLDAHwftPpTLc&#10;q90H33OL53ntdrvb7fq+T4XWnnM09VjwPA/3lqo4I3vuKTxogAA8HfpZajykao0gCJVKpdlsnjp1&#10;CqwrxWJxp2jHEYcKdSiG6DjOkydPfvzjH8/Pz58/f/4v/uIvTp48KQgCXWZB76alpaUbN27cunVr&#10;dXXV8zy6QgJTFcdxg8EA0kSazea5c+e+/vWvX7hwAZZZGOMwDO/cufPDH/7w9u3bly9f/vDDD0+d&#10;OgXqI9zSPZ8Xg3EohAdMgq7ruq7b6/XW19fX19dXVlY2NjbW19fb7Ta1YsG/1GFOzU1ZA0uxWJye&#10;nm40GqBzaJoGPkbwDYIJGCwq1DaSFSpgTwfFZfRCXxkgOSBIjNru9nwuMIdCdA2Y8qi8Gd01s5KF&#10;harjOJZlDYdDUD4A+sHdp0uSxLKs9fX1zc1N13XpIvQ556JXSLfvufOeG7OiEX6FhwK2x+wOURRN&#10;TU299dZbb7/99rlz5yYnJ03TfNYxjxyEEIjd6Pf7Dx8+vH///vb2NmgMU1NT0KAJng5on51O53GG&#10;fr+fz+fHx8cVRQF34OrqquM44+Pjb7311rlz586cOTMzM0NdYp7nXb9+/R/+4R9u3LjxR3/0R9/7&#10;3vdOnz5NrYVMeDCewysRHrsNI3Q7TAQQI2hZ1mAwGA6HrVar1WpZltXtdtvttm3bW1tboHkMBgOM&#10;sWmaxWJRVVVwxsLUDytcWI3CWpXneXAMlkolsE2BixXMIKBbUNM/aBjUP0k3Uo1k5OJfHdR7DzMC&#10;vYG7BRhsB+tTEASwRN0z0JZO6DBHwP6wnt3T472bOI6Hw6HjODRc7TnWISqNwN4CAQ4vHnQAu4Fi&#10;REOo4SuAKYxGTGxubm5sbJTL5bNnz168ePFrX/va22+/XSgUXvBEhxzqqOv1eo8ePVpfX19dXY2i&#10;aG5u7r333hsfH4eFRTakwrKsVqvVbrfX19c3NjaCIAADIKinjuN0u11ZlqvV6szMzPT0dLPZLJVK&#10;cM9hh88+++yHP/zh/fv3//iP//jP//zPp6amIDQRgiCY8GA8i1cuPGCIw3RAizjB8qrdbm9tbd2+&#10;fXtpaWl1dRWc4cPhkNp8IWQWhn6tVms0GqVSCUJUIRIRgpR0XQeVAtaq8CfbtqmXGAQDVTLoJAj/&#10;wmxFA0xff4WSbE34rMd+T5EArzSVNFQPG93v6VOA/WHBTgOdR3d9BmBCASn1nEsC4LIhYBoE1YuH&#10;O4MRxnGcrGwjhARBAEsNGAzD4fDRo0efffaZLMsTExNnz579gz/4g29/+9uVSmX0iEcTKjxardad&#10;O3c2Nzdh8TQ7O3v16tVGowG7UZ0ATL5gyPV9nxp1YVUBvkOoi1UoFKrVarFYzOVyNFYCvIl37tz5&#10;53/+56WlpQ8++ODP/uzPJicn4zhmwoPxe3klwgOgEyL8CgZWnudt2261Wr1eb2tra3V1dWFhYWNj&#10;Y2VlpdfrxXEsy7JpmrD2FwRBVdV8Pl+tVqvVaqlUgiwnALIQwIkKhvLsd6EjfuQLPudNoFdLXQWj&#10;e7wWXuqJUAk9+ocMdB+aNji6xwvwIieioW4gPPb0xOxJNnkTBBVMo2BsBL9uFEWbm5vXrl37yU9+&#10;4jhOPp8/c+bMv/gX/+K73/1uvV4/HnMcFcBra2s3btzY3t7mOA7Sy8+fP1+pVOj4pKN05IuD49Dz&#10;PIhQhxdKVVVYb9GSAbBmsiyr0+k8evTo+vXrrVbr6tWrf/Inf9JsNkF40CMfgxvLeBW8KuExIjZg&#10;1Q9VelZXV+/du7f8lF6vZ1lWr9eLosgwjPHx8YmJibGxsUKhkMvl4F/IhgObEhiswMQEZij6M125&#10;Qxpd9kpg44tMMS++58FCb9dznkj2lmYvcs9pGnam0iL7RF4EGjNNtbHfe23ZvByY9F9cAIPyASIH&#10;Rgv064Y4CPh1eXn5Zz/72X/4D/+h1WoJgnD+/Pnvf//7f/EXf1GpVF5ngMMrgt7bOI6XlpauXbvW&#10;brehpNX09PSJEyfy+Xz2IdIfskVNQMXM1kyD/FDqyaN57JAeuLW1tbi4+PDhQ9u2L1y48K1vfavR&#10;aMCzowffuT4G44u8cuFBJUccxxBJde/evRs3bjx+/Hh5eRkqIuw01xTFarV64sSJycnJ6enpWq1W&#10;qVTK5TJkRMMsBq4L6lKmMxpVFEa+zogAyEbl0h+yH3n9MoMCl7F7ahiBWqhGLvvzPZ5C7392455i&#10;5jm81A2Bh0J5KeEBZVey10xrddBrWF5e/sd//Md//+///ebmJsdxFy5c+Ou//uvjJzyiKJqfn//d&#10;737X7XbhLZienh4fH9d1PTtIsgV7aAz67ocFtzH7Jwi4wBhvb2+vPiWKovPnz7/33nug32SjEEcO&#10;yGAAr3ZkUMnh+75lWY8fP/74448//vjj+/fvLy0ttdvtNE0bjcalS5e+853v/Omf/ul3v/vdb3/7&#10;2++9997JkyebzWa9Xi+VSrlcjob/7zkf0bkmO/PSLh10LqM702V71vH4rMn6tQEXBl/wOcBMQb0d&#10;I98xCxWNWeAsLwiVx3SGeta5KDDdgJNp95N6FlmVEb4mvSE0cRI851nZCdeT1a6OB2maQlkd27ah&#10;iBnUrdm9sIBbDcDzolHmNI2U3rTsQ4SBEQTBcDj0fR8iTWh1HLjzX/kbwTjkvOjr/bJk10EQt9Pt&#10;dj/77LNf/vKXH3/88dLSEngCy+Xy3Nzc1atXv/Od73z3u9/98MMPv/71r1+6dGlubq7ZbObz+ZFg&#10;zRH2HN/ZHPUR6DSUnW7olkM1B31hFn9KdnVPL/VVXzOVCi/Iy+6fJftdsg+drrizighUzj82lcPp&#10;84UQW4hFBJ8HpFvStUW2DEE2IJseCl4Zun7arW7yPA9LOgilg/R+Grx+DG4m4zWwX+GRTXXOBlPR&#10;v0Kxqa2trQcPHjx69AiiquI4Nk1zbm7u3Xfffffddy9cuHD69OmTJ09OT0+PjY2Vy+VCoWCaJi1z&#10;BC8GvDYwuD+f7zPQSXZESDz/ffi9OxwqvvCFn0K/wgjPEkIvyO6PP+dcv/evz4EqK3TVnK2JQr87&#10;tU/GcQwrcTqHfuEeHU0gAht+juMYAnA9zwOfX1YVGL19GI/YrOAVyP5K9wFgexRFUOkHolRM08yG&#10;RFJhBjszGCPsV3jsVqVpFhv8HMdxu91+/Pjx9evXV1dX4X2QJGl6evr999//3ve+984775w6darR&#10;aOTzeUmSdi+r6fz4+Vmf/mn3RvqR0a3Hgs+nir2++CvipU764ns+n+c8RDCEUhlzbCY4+DoQbRUE&#10;QbfbhSgSKPQyujdCe0oR2J5dUuz57gBRFFmW5bquKIr5fD7TIB2BYD4eN5bxitj7/Xxxsi9wNioc&#10;Fi9BELRarcePH9+5c+fu3buDwSCKIk3TxsfHz58///bbb7/99ttnz56dnZ2FOncQIvVSuQgMxvEA&#10;XiVweEDRzyiKILDwWbP/lwYEMNR0AONYqVQa6QiwTwsk49hzAMJjdy0mKEPked7y8vLNmzevXbv2&#10;4MGDdrvtum4+n79w4cI3vvGNd955Z2pqCip+U+cq1TO+cA4G4w2ANqSxbTuOY0VRoD8YZL+O7r0P&#10;4J1N09S27Xa73ev1CCG5XI6GNR7s6RjHlf1O03ScUbUDdI4wDFut1qNHj27cuHHjxo3FxUUonF4o&#10;FM6ePfvWW29dvHhxcnIyn8+DWk3Fz7OMVAzGsSdJEtd1LcuCnCfoG5i1WR2IKgBejTiOXdeF7meE&#10;EBrTBfvAC8jeRMZz2K/woNBBFoahZVkrKyv379+/e/fuo0ePlpeXQe2Ym5s7f/78+fPnJycni8Xi&#10;iM5BOZA3hME4WsC74DhOr9fzPE+W5XK5nE0LPyigOBAk80P9XZAcWY8jEx6M38sBCA864OBnCOG4&#10;devWJ598cu3atcePHw8GA57n8/n81atX33nnnfPnz9frdTpSd0cTMsnBeDMBzWMwGPi+L0lSqVSC&#10;mp7w16yW/4WPvTxU4YAWyGAfO06ha4zXwEsIj2wYLp334VcY1jD02+328vIyNDhbXl4Gd1ytVjt7&#10;9uyJEydmZmaq1aqqqrDO2jOPj8F4c4CRD28BvEFQnN8wDEjcy8qMPaFZHaOHzkDfMhpe73keQkjT&#10;tFwuB42hYE+majBekC8jPCh0I5hKfd/f3Ny8c+fO7373u7t37y4uLvZ6PZ7n6/X65cuX//AP//Dk&#10;yZNjY2OKooCmAp8aSYt9fnAhg3H8oG8TFA+FFpm0VnR2UUXb/X7h8y8APQVNrnQcByEEnX1lWd4z&#10;2ZDBeA4vMVDowBop50lLHUBT5WvXrtGUjiAIDMOYnZ29cuXKu+++22w2i8UivBJsjDIYWaANATRQ&#10;sW0bauJCf8lsy5bdNWayOecjZMUS3QhBuq7rIoSgQPVIRWoG40XYY8A9CxipI8MRtIThcLi4uHjz&#10;5s3r16/fu3cP6lbxPD81NXX16tV333339OnT1Wq1XC6DGp6tPTV6GgbjjQS6a2xubi4tLc3Pzy8u&#10;Li4tLW1sbHQ6HfBPwAtI98+2dfnCgb7IiFQAG1cQBNA6BToaPKcvPYPxLF5OeOx2j4POsbm5ef/+&#10;/c8+++zmzZtLS0sQlVssFi9evPiNb3zj3XffPXnyJGQhZT/45RRwBuNYAmUKt7e3l5aWHj16dO/e&#10;vTt37szPz6+srGxtbUH8LsgJsBU/X2Y8C2p8dhwnCAJFUXRdP/BUEsabwEsIDwqMM0ggHwwGq6ur&#10;jx49evjw4aNHjxYWFlqtVpIkc3NzFy9evHjx4okTJ6A5BxSqgo9DEw4osc5GLYMBKyrqyu73+9vb&#10;2xsbG0+ePLl///7Nmzdv3Lhx7969xcVFaKQ2GAxc16UdHulqbDcjZ4FTBEFgWVYYhqB5gCV5ZE8G&#10;4/m8nPCgBisYl6BzfPbZZ9evX799+/b8/Hyv18MY1+v1Dz744IMPPnj77bcnJyd1XR9ROEYYPQ2D&#10;8eYBtQihiDrUUccYLy0t3bx58yc/+ckPfvCD//yf//PPf/7z69evQ+7U1tYWiJAwDOM4pm2JR6Dv&#10;LH0HkyTp9/uDwQA61ObzeUVRWJQK42V5OeFBoS061tbWHj58eP/+/fn5edA5qtXq3Nzc3NwcVMmt&#10;1Wr5fJ5myWb9HK9Ocux52FGRtYs9dxvZ8uLHpH8FKzOEuLw4YM6mhbW/HHte7fMv+0vzrHN9aahj&#10;bORoJE05jBFBGCFCy6CRZ/x3dIhIggVOlkRFkvK6Vinki6YRRsHG5vq9xw8++ezaR5/87uPr127c&#10;vvXw0cOFxfmVleX1tdXN9fXt9Y32xlZvuz3s9n3LCW0/sP1g6IdOEPtRHEdJEsdxFMVRnMRhEnmB&#10;3+l1u/1+GEWqpu6YrRA+WreL8ZXzEi1fYE9YH0HdqocPH0JbwKWlJcuyOI4rFosXLly4cuXK1atX&#10;m81mqVSild2gEuroQV8NtBUadTPCTJQNWaE70wVXVj2iW0a6RY18BXqK7EYAsljAORlFEXSeePE4&#10;emrTEwRBkqSR5okvCL1++JV+hZHv+IXPfFn2bB+0n4PD3YPS6/DF19bWfvjDH/7f/6//t1a7zfP8&#10;qVOn/vzP//yv/9v/dnx8HD3rRM/YfAjZcDv9TvdX/+VHP/vRf8V+ODU7bZimq/KO6yxb/V6nG0WJ&#10;Lqt5PV8vmnlTNxVd4HghxgIn6IKqq3reLJRLFU03MC9ijCVFFTQB54msKHGaxIQIkjiwnbW11Z/9&#10;7Be3bt46OTP7Z9/97snZuWIur0Gqx9G5XYyvnD1e+GcBMebwSm9vb9+8efPTTz99+PDh0tLS5uYm&#10;QmhsbOzixYvf+ta3Ll26VC6Xi8UiqMN0IqC5sgfL7q+QnfFBHwcVnqaS0PUsPUK2lC+VItnUquz+&#10;0CmaNvjcOesXgT8lSeI4juM4YRjCqV9wPgULBkiO7G18wY9DOD8chN6HbJ84esDRj31Z4K7C5b34&#10;13w+cBB4CjzPr6ys/PCHP/x//z/+n9tb2xjj02dO/+X3v/+Xf/VXzWYTYby3/Nhr2+Gkl/rb7c2f&#10;/+D/96t/+qmG+HMXzjfGGn0SOY6z1u9tb25b3X7sR2KKxZzESbyQ4jiOSZCkSSqkfC6fr1WqhWIp&#10;XyhppqmomqgqsizkTFHTdcxxKYcRQu1eb3ll5Ze/+OWD+w8vX7r4P/x3//3F8xdyZk4QBIT3JewZ&#10;bxp7Cw+aMTSyEXoCttvtJ0+eQGzV2tqaZVlpmtZqtXPnzl26dOnq1aszMzO0q2V28n3WPLtPsqcY&#10;WW5nNQ/YQn8FaxJIRBAGYDuGjyRJAjWxYSPtjQP3ARq9ua4LM/KecS+qqkLr3CAIXNd9WdkJli6Y&#10;N+G+gQmLlq77vYRhCIEJ8N1lWdY0DbrFCYIADtIRqfmlgRPBYQ+wtCWUKIenJknS6urqj3/843/4&#10;//6HzY1NjNHZs+f++q//6vt/+ZeNRuMYCI8OCfvD9rWf/erTX32U2n69VjNN0+dQSkhIiO+40dBL&#10;3JCLSFiRfC7xbMeyhp5lu44buIEkS7l8XjGMQrGUK5d008SCIBJSxpym67woII5L0qTd7a6tr9+6&#10;dXttde1r7733P/2P/+OVS5dN04RRcSBPjfGGsLfwgA6g2X7RMKWCter+/fu3bt2C6iPdbjdN02az&#10;eeXKlXfeeef06dPj4+Pg5IBJhH72FUkOIKtJ0GUv/TU7S8JVQd3fIAiCIAAHA0S+Q/A7LNs9z4P6&#10;cb7vZ41OYRj2er3Nzc1utwt2lT275BaLxUqlUqlUBEGAj49kCz8faNQzHA6hyzQ4QujXeRFgtQ5f&#10;luM4wzBKpRKk2oBL9gCFB6hH0GoejGx00h/d9WUAKQ4FCCRJ2tzc/OUvf/lPP/qvW1ubPM+fO3f+&#10;r6jw2BOM9pYoh5IWClzPXrx7/+bH1zYWlgeDoe04uVo1l8+XSpWSmc/zioI4JeUGatqPPKvb63Q6&#10;/U6n1+vZA2voDMMwxJJg5EyzVFQNLUUIxalJREEQeA5zPJ+m6cCyet3udqtlWdY333//L//yr86d&#10;P1cslTRVFY5FN1/Ga+P3C49s8Zx+v3///v1PPvnk+vXr8/Pz3W4XIVStVs+dO/fee+9dvnx5enq6&#10;VCqNhI3DPPLiS+YvDb1UEFdxHEdRBOoF/AxredAzwBUBHQ+pPmHbNsxWVBcJgoBqJLAWhgBliJiE&#10;uqR7ysVCoVCpVKCQF0jQl2q1HUXRYDDo9XpQYxWeCNWfXgoQHqZp5vN5uB5YZtIDfoljjgCttjVN&#10;g45etAndi3/f3cDTTNMUhC4hpNVqffrpp7/55a+73a4gCKdPn/7e9/7lX/zlX443m8KeNQuOlPDY&#10;RoEfuBuLS/c+u/Xwxt0nC4utdqc+NVkqlyfGJurlSlUylBTLMWoLoY3CyPWH9tAZWEPL8j23N+hZ&#10;lkUErOiqmjdkVUkQQTFRIiFNkzRJMMZpkrqu6zh2t9uN4vj9Dz74k+/+i5OnTlVrNUVReI47MjeL&#10;cQjYW3iMrNlh2dvtdldXV2/fvv2b3/zm9u3bnU4HITQ1NfXOO++cO3fu7NmzzWYzn8/ruj5inxnR&#10;Yw6W7KWCPgHmJt/3wV7kOI7neZAS1Wq1PM8bDoee56VpKggCGHNUVVUUBcxZoigqipL9CqCsgCkG&#10;5EqSJCCWniMXocx1tpnPS82k8F3g4qnO8VIT/W5tLNsQ/qUu5veSjQ2Dc+3fcgVfFiSfbdvD4XBr&#10;a+vOnTv3b98ZDm1RFKenpz788MPvfe97k1NThUJhj0wFjNHRmQ8tElietTK/fPfeg9t3HtxbXm4P&#10;+kK9Yuby+WJRE2XJi+Khg4ZuTtVyhpFXNFmSFEI4hBSMeYRwmgocEiVelAWe51JEPIQ3CQ59Pwlj&#10;HCeR7/vW0HHc7dZGlMTvfePrf/jffDg5O23k8jzPM6MV46XA1LxAZ6WRsBlYg0dRtLS09ODBg2vX&#10;rn300UdPnjyBfI6LFy/+wR/8wYULF06cOJHL5ejcBJ+CFe6eHpTnQ6e87JWMjG34E0zlcF6oBQQt&#10;PHu9HvTV6ff7lmVBRPzq6mqv12u1WrZtQ5V4qEedy+VKpZJhGKqq6rpumib4BiRJArlCS9RFUSSK&#10;IuwG/UieM6HTP9HqQ3sauPYE5l8qn7LBY6O7PhuYxyFewPd9EKXUlUL3Gf3Yy0N7mkIXvINK/4Sv&#10;nCRJq9Xa2NjY2Nh48ODB5uqa7TiSKDbGxj744IM//e53p6enxycm9mj0faSEh50G7UFndWnt4ZP5&#10;O3cf3F1d7Q4tXC0pmiZIUhqEQatnbW4HnX4tV5yoj003x+rVWlXT87lczTQLpmkoMocThFBK4iRN&#10;CCEuQsspCb0gCYI0CBzLtrtd13WHQ8sP/CvvXP3WH/1hY2KcE0Qv9A1R3v8je3GedS761md/yO6w&#10;e3J41p6MVwoGNzgstGEWzobVwl/7/f7a2ho0d7pz587i4mIcx/V6/cyZM1euXLl8+fLY2BjYQ7Ih&#10;N/shOz5o1BDVhODfIAhs27Zt23Vd3/eHw2G/3we7E3wXEF1gQgFFwbbtIAh830+SRJIkwzA0TYM4&#10;d1EUZVlWFEWSJBAPWd8yeIPhvGCCp5lco5d++KCpy+DaeXEB9uKAGRC0PRg8I7ESXw6QfHEcW5Y1&#10;Pz9/8+bN+fn5h3fvW5bF8Vyz2TwxN3f27LlTp07Nzc3tFh4EoyMkPGQc9wbDhY2tu8srd1ZXHwW2&#10;zWGnWRI1NdHENIri/iDoW8jxSlgq6blGLq9regkLuizXFL2gqKYgEN+3er1gaAs8L/DY5/meYYgE&#10;+9Yw6g5iLxD9MApDnqTFcmFidmrqxEypUcOyGCaRTHj8ugIMZFmWJEmSJHip6Wojl8vJsgwjBxZP&#10;u83CdBVFZwnwjRFCXiomhbFPdm46jUrKSm/oODYYDNbX1+fn53/729/euXNndXU1iqKxsTEolHv6&#10;9Olms1koFDRNy7rH9y8/AJpUSIcLra8AzmSoJdfv9zc3N7e2tobDIYyharWqaVqhUCgWi6ZpQlMd&#10;sCCBgR70CRi+tDSpIAggG+Ds1PxCRReYZagV61WYgA6K7FoMZDAoHK/iamkiJAynbFjw6K4vDLVZ&#10;RVHU7Xbn5+ehRMdnn16zBoM4jnO5fL1RnxifGB8fn52bVfYQHkdJ85DiwPa81U5/vt1eGg7XJC5U&#10;leFESVCU1BBxSjjPw34ghQkfRBLmDE7iOayFqYCQSbDGC3KKYsdpt7bdbo+kCUcIVlRlclrGvNcf&#10;OGtbsecXMS9L8nRzzMybpWopVy1JhhJzKEoTBQmvTXgYhkHbF4KhGHxmIDzoq0dffCo/sj9nhccX&#10;js54LWAI6ASHsCRJNCYVVuvdbhcayj548ODOnTvLy8vQh/zixYtf//rX33rrrampKdM0FUWBlSa1&#10;sbyUkWpPsspHFEVgjAI3ABRXgFKjSZJAVFK32+31ekEQCIKgKEqtVtN1HbzWhUIB2nmKokgtUdSv&#10;u+d8uueI3L2Oplapke2HgRGlnn7TV3G1I8HKB3IKGE48z4dhuL29DdHht2/fvnHtumVZnufxPG8a&#10;Rr5QKBQK4+Pje2seux7iocUM/CAlW3646vsdSejUikkp3xrLE1lMNR4TIsSRFKdqkvpxEMURFyYk&#10;SZUowUkqRamEOBnj0PW67XbQ7+M0RQhpgjxZbEopGm61h/MrseM2Odkw9NPjE6qhqoaCZCHmScQR&#10;wmEhxq9NeORyOXgTZVmGNRyIEHATgsWYVsMDuQIBnPBztrsiDOxnvbOMV8eO8KB5WGC5gvkaqo/c&#10;vXv3s88+u3///ubmpu/7qqqeOnXqnXfeuXr16pkzZ0qlEo0QP9jpiS6TwdwEsqHb7W5tbUFTdJ7n&#10;S6VSsVjM5XL0GmAI0pyG7OoGrgrkB71gmJ6oVvF7lzPZjXTUHsj3PXCyoo4uCL6wx8EB5gV60+DO&#10;7NNnDoNQkqQgCFZXV+/evXvjxo1Hjx49efhoJ6g6iiVpZ9FqGMZuE2IK8uOIYEZBKoq9FLcwDkol&#10;f24CVcqdZiEVuFQmOCVCHMtRokYJSuM4jkgYI0IUxPMczxOECOEwjtPUtm0v8LAgYIHTYjwZ8sTx&#10;uivr7vxa4riNmJNFsSRJsiIJMh/xJERJLGJeErD/qobHbkBCUMMyfTdBbCiKAmEskiRB9a1yuQxL&#10;wHw+XyqVdF2nowtC8qg9YPRMjFcGjuO41WpB6BEU6QTh4ThOq9VaXl6+ffv2rVu3lpeXobPTzMzM&#10;e++999Zbb83NzY2NjUEcKp0jsl1r9gOYQXzf933fcRyIWAW/NxUemqZNTk6Cu6VQKJTLZWjFDBYq&#10;EA9UMGRlW3aay8qJ7Ny6pzoyspwfkSWHjd3C49XJjxETGZXK+xkM0BwJhMfCwsJHH31069atTqfT&#10;73R937eHQ8/zYCkKWYq7n0WCXs23fTWooYdEaTsh2wiljTFy4TRfr7arRsohJCKMkBhGgucLji8m&#10;MYrjJElJmnKcIIgiL4kxRoTniSQGSezhlJckIvK6H8+0nKDTby+tpstbYpRMJLzA8VoY8gKP+TTk&#10;0hAnsYixwHMhem2aBzxfulwDmyfEvIBoAWRZBsszpEyBIaFcLkNIC4SxwGsOtoTdY4Dx6sBBEPzD&#10;P/yD7/uGYbiuK0kS+JMty+p2u61Wa2VlZWNjw3XdSqUyNTV18eLFd999d3Z2Np/PQzHnkcX4gTw/&#10;13UhlX1jYwOaGYCGBAsWiKqSZbnRaJTLZVmWIYmBerlB/o0ICZjgsnVGR5bGz5pYf+/MeyBf+RUx&#10;Iu1eA3DGZ92rlwIeYhzHDx48+E//6T/duHFDFMVKoQhdVD3fl0RJ01RCCC8IuwVVQtIDuIjXhZh4&#10;bpw8aHUfDay4WhMunhPHGuuGkGKEeMQTpNlu2u2nnV5lEGgxCVIShaGLCRZFZGjYUPmcmeb0WOCG&#10;MuYlKRKw7geT3WHYtfor68JGtyxrV81yMZc3wzglCcJJyKWJgAIuSTAR4tfnMIcsK0jRpdEWEEYP&#10;lmfQQmRZhloVEANpmiZt7Z7L5YrFYqlUyufzxWKxXC7vqX0yXh241+v923/7b7vdbqlUcl3XMAzo&#10;FgDlN2CaTtNU07SzZ8+ePXv2rbfeunLlSqVSoe7lrPXmoGao7e3tzc3NxcXF+/fvLy0tgVQrFotT&#10;U1MnT56cmJiA/AnwhFPTE5x9JBdv5JLgarMT3EgcFyX7QWrTz85Q2S9ONx42RoTHgczpu6GrSOCg&#10;RgKsSdM0vXXr1t///d/fuHGjVqt98PVvIIwD34+TJJfLFQoFnuP2zJM/WpqHzEWb3d4v7jz47fyC&#10;pRvChXNyc2y7oCUcQijlo1hud/21TbK2UemFesqHCPmeN0hCJIqomBMqRbVWQdUCUqWhJvKSFApI&#10;ddyx/gANPXttS90aTFdqfzJ79sTMrOYFcRwRFBOJQzLn4ySIQ5GIr014QK4VpDG5rgthk71er9Pp&#10;WJZFXy5aR4dGZMG7JstyvV5vNpvT09OTk5NTU1PT09OVSkVRlNEzMV4ZeGgNv/cv/6XI86IkJXEM&#10;PQGGw+Gg31dUdTgcIoRMw6w36lfffvsb3/zGxYsXy+VypVKh82b2pf1yUwbN33Ycp91ug4Wq3+/3&#10;+33HcSD6NpfL1Z7SaDQKhQJtvLz7pLu3ZNk9y+ypf3y5jYeN1yM89mT/twUyJV3XvX379g9+8INH&#10;jx41Go0PPvgAtgu8UCwWisWiIAjc/kxkrx+a/ASXnSSJEHpLm5v/eP2zn96/21ZkdP6UOFZv62Iq&#10;8ALHCVGsbPfctc1kbavWbgv2ULQjTLAQoYTjiKHH5VxSyXvNklQpuNUcFngHEzlI6lYoWi7q9Bt2&#10;dLrZ/G/OXTgxO4tIkBKS8IhANUR4jQj32mqBwUsN9YEgwjuKok6nMxwOwcxA6zvA5ABx+WDNHgwG&#10;URRVq9VSqQTmrLGxscnJSbBrgUYCUVu7hwSNBszaJBhfDtxrdz788MM4jqGyTZIkQRhihG17qOu6&#10;5/uyJFUq1cnJyQ/+4Fvvf+uD2dlZMEfCYvNLuMd3z1/gGrVtu9PpQOtmaLopimK1Wq1UKrlczjRN&#10;XdfBkwahF/RQL3sBjCMBqB2u67que//+/R//+MeLi4u1Wu29996D115V1YmJiXq9rijK7kF1yMkK&#10;D/imYb/7ZHX1P3/8yT/dvrku8uHJab5W6RpSKnAcwmKS6J1huNlOttrGyiLX68lOInC8FHMxxrGq&#10;JuVcUi14Y0WpVvSqeU4UXA6JflRqO7oX6X58EomXZ0/8i0uXTp44SVI/RU+FB8KYIIwweo3CA0QC&#10;rdQAQd6QjAy6SPZf13X7/f7W1haEWbZarX6/LwgCTAWKopimWS6XS6XSzMzM+Pj47Oxss9ksFouQ&#10;eQaJTdnY3/1HczAQQvz/8X//f/jHf/xHURA1TQN7Is9xumGQNBUlKUkSwzAajcbU1NTlK1fOnjtb&#10;LpepI/RLPANq6gGgziBCaDAYLC4uLi4urq2tra2tQbpGPp+fmZk5ffr09PR0o9EA+6aqqhCoB+dl&#10;K4hjDCSu27bdbrchrKNYLDYaDZo6CtZwSZKe1UfvcEJ7fNE83DiOXWvQ6vUebm0uWf2hJCaVAjJ1&#10;X+YJQgQRnBI+ThAiHI9d4tsSinUtLJqxrjuG4uRUt2S4RcMr6aGpuoYaikLMc3yUaD1bDGKdcE1V&#10;b5YrM9VqIZeLkzBJSYygehghCSEpSXf+ex3AO8txHCTbQlQkODZyuRwsE1VVLRQK4M7M5XLwr67r&#10;EEsJDtc4jiEUExy0kAVM7agQu5UdUTBd0O4M2T8xXhbsud7/5X/9X5M44XiOwxg0ysFgsLS8PLSs&#10;VrttGsbJU6fOnz//tW9849LlS6VSKVtd/KUewI63IRPOSwgBbXRhYeH69evb29sQKAVOsHq9nu1/&#10;PqJsvtSpGUcOkBCdTgei/h4+fGhZlq7rJ0+eHA6HrVbL930wZqqqOvrhQwxdP9G3AFbfwaC33ul+&#10;vL56p9/p501/dgJXSl2JIyRFiPAp0fxI9ALB8VNrO3KHeoAkXpI84kVhyPGRqcZ53S/q2FADU8Uc&#10;TzBSHL+63BGHbiFGJwRlqlS5VK3W6/U0DVKEEpoLm0KGB/z3OqDyA95oOqfDv2DOgkJzMCFAOjpM&#10;F71eD1QQUEc2Nzd7vR4Ea+m6DnE94+Pj4+PjJ0+enJubq9frEGwJeQgQcfNSVUoZe4LDIPzoV7+C&#10;dkNpkmCOs4fDh48e3b51e21tdWVlxTCMc+fOXbly5crbb509dy6Xy9GuEi8bmEvdqiAGQF2FQXD7&#10;9u3PPvvMsqzx8fG5ubnZ2dl6vV4sFmHEgFs7q29mLfhsEBxX4jje3NxcXV1dW1vb3t72PE8UxbGx&#10;sV6vt7KyMhgMZFmGnmOjnzzEUOFBbVY7pTwH/Y5j33PtVZxalaI/3STFgi0LJE0QSXCK5CQRo1gM&#10;o4gPwyTQfSRwnOSkrh9ECKW6mhhqqMupJCKJRwShlKi2V5/fxH2rkHJzglKW1QlZKeRziEtShGIO&#10;gcDgUswh/IU8z1fM7jeX/gyzBHSggQpyiqJAeoemaTAqXNdttVqtVmtpaWlhYWFtba3f74dhCC4N&#10;TdPK5fLk5OTVq1evXLly+vRp0zQhFRq87rR85+cXxHh5cBzGayvLuq7zggC3vtvpfHrt2qeffLqw&#10;uDA/P69r+tmzZy5dvvzOe+9euHgxn89TPzkI8BeXH1k3CZRAd113fn5+dXV1aWlpMBhIkjQ1NXXm&#10;zJmxsTHoPAHrMsgn2j3gdm9hHCeiKFpdXX3y5MnW1hZE/UFKBxRhDIIAvKMjpolDzojwgIV2FEXb&#10;a2tbw8G9wF0XUK9ccMaqaSEXKBJKE5SkCBEhTfkk4aOIaFyKE9ElAsfJbuoHYYpxqiqJKgUST3gO&#10;IYxSghKiDd364yXB9sY182KuXNH0uijmTJNwSYpQwmHIwn8qPMjrUjz2fmdhfgAXBagIUI0UHCTQ&#10;XQ3KRui6DgYriOZfW1vb3NyEFgbtdtvzPEmSKpUKtKebm5s7ceIE6B9MeBwgOIkSz7EFUcSYQ4gg&#10;hFZXVz/69a8/+eTT+YX5x48fS5I0MzNz5syZ97/1wdvvvFOv1yEX9MsJDzrd034VP/3pTxcWFpIk&#10;AYVjbGxsfHwcihWCfgMGSvgs3UIV3tFzMI4LEGOztLT06NGjdrsNYiNJkl6vB7OAqqq1Wq1UKh2t&#10;cnh7Co8wDB/cvbvcaV13+ss4aRUMp1ZOC/lYAuEBtSwTnMQojoghIY4gL+U5XvNRHCccL8QiH3AY&#10;8RiBSEgRSpA2tJsP57UwPl1rfnNqdqJYHlOUXD4XJkGKUMJxIDz4lOMQTlDy2oQHlR8jVmiwRsBd&#10;CsPQ930oW7e5uel5nqIojUYDnKBQ4ITjOM/z2u322tpaq9V68ODB/Pw85KVBq6HZ2dkzZ85885vf&#10;vHDhgq7rsAylFWBHr4nxMuA4CBHmECKY21FiHz98+POf//wnP/nJ4tKS4ziIkJmZmampqQuXL509&#10;d25ycrJQKMBjg/k9a0R6licKXpismWs4HM7Pz29vb3/22WetViufz7/99tunT58uFArgCtutZNCP&#10;U5f77hMxjg0gPB48eHDz5k3P80DDsCxreXkZJpFSqVQoFKrVKmgeR2UwwDCmfmOMsSAIi4uLt+/c&#10;vre6fCN2VwWyqktRtZrkDIJFRAgiKSIEoRihBOEUiTziMPIJwlgJMSEIYy7mcLzjtsAC4UhKBD+R&#10;+oPy3TuyH/3R2+/+6VvvNgulqixrmhqhJEUo5jmcchhxXMJxCKdc9NqEx7OyianNirbkga6d6+vr&#10;3W6X4zjonlCpVJrNJjhEIVwC5MeDBw9WVlaWlpYgNCtJElEUz58//81vfvP8+fPNZrNSqdCk9D0v&#10;gPHi4NgPOFEkaco9Tc58cO/eD37wgx/+8Idrq2scx4mSODc72xwf1wy9XKnMzs7Ozc1BpoWqqjCb&#10;jwiPz4/+9PHQwBLQIdI03dzcvHHjxvr6OqwRoMD75OSkYRhQh4o9WkYQBLdu3bp27Zrv+1NTU4Zh&#10;tFqte/fu5XK5EydONBoN6I0I08ERGjCw+KXrX1mW792795tPPr658OQuF22q4poheaVSoioIiQgh&#10;RAhCKUIxwiniUsRziONQgBBBUgTfmkswSuDNw1hMeZSkghsL3bZ67RMlTP/yOx/+d9/6w+lqvaLI&#10;kiSGOE0Rirkd4cEnHIdwwoWvTXjsSbZ1DY3chUQf2pK53W5vb28nSTI+Pn769OmJiYlyuazrehiG&#10;lmV1Op3Nzc3Hjx8/fvx4cXERoioMwzh//vyZM2cuX758+fLlfD6fnbUYXxr+b/5Pf4N5DpEdzQMR&#10;0mm1Pv7d727evNlutTieNw1jemamVqt5vg/9tKH+Liz3wNcHx8oqBPAz1dDpu02jKTY3N+/fv7+6&#10;ulooFGZnZ0+dOlWv16FA79GaCBivCAit2dzcfPTokW3bjUajWCwOBoNHjx7Jsjw5OTk5OQnR21Ab&#10;8QhBKwBCTVlBEIbD4c1HjxZamyt84uZUK6+nmkYQRoRHKeJjjFNEOIIwQRxBKY9SDsUYpVhIMUIY&#10;YUwwIoggghAheoyEOFW9WBzawvKSlpDLJ09+7ezZyUZd1XROEkVZFCSJlxVJlGRJkgRBEgVRFkcv&#10;9PUCPXWg6DVE7hqGAa7yWq3WbDZN0/Q8b21tbWtrCzrHQFUrSPgwTbNUKpmmCe0hoIYN+EUsy7Jt&#10;O5fLTUxMmKbJ1qYHAgd9iz+/kYSkhCRpmiZJnCQ8z1cq1TNnzrx19a23rl49efKkqqrr6+uffvrp&#10;z3/+83/+53/+7W9/e/v27fn5+VarBeVMsvbcrEZCRQsID8dxhsOhbduCIIyNjYERk0ZhjZT4Zhxv&#10;YKVJR0jWSuk4zvr6+tbWFiFEUZQwDJeWljqdjiAIUDJvJIz7SECXU/QdSZKk3Wlvt1oDy4oJ4QQR&#10;YYySBCoDYwLCYce/jQhGBMF/8OYSREBu7PxH0pSkJE05RDRZ0TVNVzVFUWVJ4XgOxzHG3NP/DhG7&#10;nyPUQIIySLIsV6vVkydPXr169eLFi7qub21tLSws0JkHDBu6rjebzUuXLr377runTp0C14jjOFtb&#10;W9CMEvZnM8z+4TDGo9HdhHCYo86MXD53Yu7E1beu0hrsw+Hw9u3bv/zlL3/xi19cu3Ztfn5+aWlp&#10;Y2Oj2+1aluU4juu6oJFA4mg2OYgqpBA2J4oipHRAlSq2HGBQyQHxEY7jQL0jGDzQiB6q5miaBoWP&#10;RgTPIYeq4/AzvCOe5231epv9XttzXJR6PEqgDSLhUMppMVYTLCWYJxxCHCIIpYgnSHh6mJQjhCeI&#10;JwgnCCcpiQmJSBryKM3Lclk3crKi8MKOpImTp3IHRNFToXM4oE+fAts5jjMM48SJE++///7777/f&#10;aDQcx1laWgJ3iG3bYRiCIlKpVE6dOvXWW29duHAB9BXwq7daLYjrhURCxj7hdrrlfO6cQISgOIlh&#10;aURSIvC8aZq1Wn1icmJqampmZmZmZmZiYgIWfWBb2N7efvz48c2bN69fv/7ZZ5/dunXr7t27jx49&#10;WllZgVoCoGS4rguBJdBKbGxs7NSpU9PT04VCgUbR0SyQkQtlHG+yT5yuMHzfj6IIVqCwheM4KE4D&#10;lh86udB2DkcCurIGRXzHORyFURwhhBCHd9QInscEY4Lof1ntAv4HOseO5vF0vxSRhCQpShEmuqIU&#10;cjnTMESehw9yAg9XwSHEYcRxCHMIcTvWgq8QuCcjMgN+pt2gIbNnbGys2WwahhHH8fr6+pMnTyAe&#10;DwJBZVk2DKNer09PT8/MzNRqNUVRHMdZWVl58OABdJegg43xpeH/9t/97c6P8PaStN1qffLJp4tL&#10;i67rSrLUaIxduXJlZnZG1TRFUeCpQCONfD4vyzKUKoMc4IcPHz558mRpaQlSeMBHAgIDWgHS9B9o&#10;OQl1RyCFB65ixEfCeBPITqagSYCo6HQ66+vr29vbsixPTU3puu66brvdHhsbg+AZcKG9VLz4YQP6&#10;Y66srNxanN8aDuyyKTRqriYjXkKiJEQcT5AWY4xQyhHCkZQnO/G1BGFEMEaEQwmPEIcQTxBKEUdw&#10;kiYk4cNYiePZmNQLxXMnTs7Vm5qqYowRIkjgYNcd7QPMX6+vtNXewOSQnQFoG3PaZwFsU7SZG0II&#10;mkeYpjk2NkYTwmhkJjg/oG4eXXw0m81yuXx0x8whgf+bv/k/I4wJIiA8UpJut1qf3byxsLhk27as&#10;KM1m88rVK1PTU9BuRdO0YrEIAbVQVghKnEI5TNd1fd8H3YJaFaHYGTivbNumWkiSJLCi9DwPtsDH&#10;weoFhq8gCDzPg+KaEPcNtTZhTQrHB8X/YAETKv0K1Hmzf3aHeUBWVDbQgP6wH2jsCvxKPU8jF0P/&#10;elDs/oJZdl8VMPIR6Dfc6/VgCaKqKhRADMOw0+lMTEzMzs5ChseXKM15GIDJMU1TWF2trKxcW13e&#10;7PdTVTFzOY5gjIjIcVEaExSnPAp5EnM4RZgQDhEMxQwJ4gjmU8wRjkeIQ/Av4owEp14oD/1qii+l&#10;3GSlcmJiaqLZVBQlTmJe4BHHIYQxwjvyAiP8WquT7M3IwpEuKbKmCBAk4AsRRdH3/bW1Nego0Ww2&#10;acNQWgNJ1/UkSSBTBOYl0zRpWW7W/2M/8H/zN3+DOUzf3pSQVqt1+/bt+YX5gWUpqjI+MX71ratT&#10;09PwYODJwUOVZRlSfMvlMlRKn5iYGB8fh2cDRQyhKSFUKNra2lpZWXn8+PHt27dv3rx5//79+/fv&#10;b29vg0cUHvD6+vrm5iZE5tm2DbXZob/IYDDI/uB5Hszy8PodLFDqYMTznx3QX5pnza30rwfLyDGf&#10;dTEj21+WkdP93i8y8pHdB/F9H2qs9ft9z/Mgr1gQBMgaGx8fn5yczOfzkiRlJS49wmGGflmIDYHR&#10;u7y8/Jvlxc1OhxMF0zR5hFKMBA77PEn5NBa5hEcp5gnhUCLsGLAIJgQTxBPEIcwjghDHI4JRinMx&#10;Dm1XspwaFq4ifrxaG280xsbGZEUO40iUZUQlB9757ytXO+i7NmLWy44Nuh1SZHietyxrZWVlOBzC&#10;/ANVU+EgoHwoitLtdhcXFzc2NqjwqFQqpmlCQcas0Bq9IMZzweC4pvkZSZLcvXv37/7u73784x+v&#10;ra0VCoV333333/ybf/Otb31L0zR6f6GKAK11DJM4KATwMgyHQ9gyHA6hM4fneVEUDYfDTqfTbreH&#10;wyH0vp2amoIGxVDGCmMMfZ8Mw4COTyONhuAaYFgYhgFVuT7/QgcElEagDc/pKfY/wnZrFVQ4waCn&#10;HuB9nmskoTL7HtIz0ii4fd5DmhxKO8M/q5s97ANfMHtjqW4Ex4HK2ysrK9vb271eTxTFUqkkiqLj&#10;OJubmydOnLh48WKz2QTF90tUd/4KyT6RKIpgnfS73/3u//XrX95/8jgp6PmpCc9QbENONcXW1BTj&#10;GIuIII4IKEUc4UIhSrkUJRilUEcdIR4jlCKRR2mC0qThJYNOV2tbJ1TtrxVjbm7u9OnTp0+fVlXV&#10;9/2jVUdyT2D8BEFw7969n/3sZ6urq+fOnXvnnXdqtVq1WoUvCBptmqYfffTRj3/8448++ghi9mZn&#10;Z7/+9a+/8847c3Nzk5OToiiCCYRpIS/LlxQe9AUAKUI7SIOFCmxN0OzFcRwIsgZDk+u63W631+s5&#10;jgPTB7SWhNxAOCyEwMPcnXWKwtRDp4msj/TzL3RAQJVsarna3dT2S5NNgoEt4AGCMtR0Ys1+6y8H&#10;9T3Cz/B60DKl4GSiX3Cfb85Ic3h4RhBEO7InDDaoVwZNquEisxZtEB4rKyuLi4uO40RRBBcMO4Rh&#10;ODk5efr0aUgPPIrCg64MoEjPcDj8zW9+83e/+fWdB/cdmZcblcBU/YKJdDXImYjniajyHM8RAROE&#10;EhxIccoRLsUkRQSEB4cRJkgScByjJB7z4n67o7YGpwzzf641z5w5A40uFEUJggDKNxxpYFQnSbK8&#10;vPyb3/xmaWkpn8+DzePUqVOlUilrHb1///5vf/vb3/zmN/fv3+90Ovl8HjqivvPOO5cvX1YUheox&#10;o6dhPJcvIzyyi+KRVxfmBaqUwNxEXQgwLVJ/BhjBqCMd6jRA8CJshE9ll8x0MQtyCDoeQzGcg8W2&#10;bQgSsyzL87yDqqRGb2BWNoCvb2xsLJfLQUtnMOmOfvglyebWUIEBaZigUdH5ev+aBxVUEH6tKApI&#10;xN3fguoloiiC2yzbEZLe536//+TJk4cPH4Jwhbb2cRzDMScmJqanp7NVrfb/aF4bcAfgguM4Hg6H&#10;juP87ne/+//86lef3bq5HbjEUENdwZUiZ2i4XBZlCSuGJMs8J5GUpHFqqUkoIjHBmHA84VOEUo5L&#10;EeElXo4iEoY1N+q12kqrd7JQ+jdnzl+5cqXZbILdL45j2tj1qAMhFUtLSysrK+12O4qi6enpt99+&#10;u9ls0iURxnh9ff3Ro0effPLJJ5988vDhwyRJarXa5cuXP/zww29961u5XA6OBp75fb4IbxT83/zN&#10;38CbT+e1Vqt18+bN+fn54XCogMP8ypWpqansmNutCtD3HxxZkDqrKEo2WVTTtHw+D50jq0/J5/Ow&#10;6IZsUihsBRmnMN/RQ8EPNCkX5BDoPQcOyDCwvEHmIzWkfn7zXh6YGelBYMKFeRbMtZABA/MLXMCX&#10;BqQvBSo9wEtCgw7ov9Tk+OUAXZOGPNCfqYOKYj0FfgbBTAcS1WCGw+HKysrKygrP8xCnDz2JZVmG&#10;klaFQoFaLI+Q5KCMyMtOp/N4c6Pd7QwDPyRJiFEqSilGqSAkcRzESRQEsR/GUUzi1CVBmIQkTEiS&#10;4gQhkhKESJqQNMVhlASB4nh2v0/6VklW3p+ePXHiRD6fp0bC4zE/0vq7mqbxPL+xsbG0tKQoSr1e&#10;z+Vy1CwBKck8z4OkgYZRvu+Lolir1cbGxiC9jIZ1HY+b83p4Cc2DmkqzM2BW6lDlAHbLzrNUSach&#10;d/TlgTmOeqdh0oRITWgIA8KJ+lfoBUBAThAEu5e3+4dOr2Bto5PaPhNTqX4GdwCORmPY4fUeScj/&#10;0mS1QwCedVYEHuy0S88C7HmvaH0az/MIIdVqdWpqCuIsVFWFcchx3Orq6rVr127evNloNGZmZhBC&#10;Dx8+HAwG1Wr10qVL1Wq1VqtRVfhgv8WrBm4+vTmgdt+4ceN/+6d/unnn9nqv62MUSjwu5FORDxQ5&#10;jBM3TkiSYkGSFFWUFbvARRKSiMBzgopkjucRx6coxRwSozD2/fLQ72xvi9u9s83x/92ffe+DDz4o&#10;FouwsDtyt2tP4PWBeMs0TdfX1//rf/2vn3zyyczMzHe+850zZ85AjRNBEKA0VpIkT548+elPf/qL&#10;X/xieXk5juN6vf7hhx9++OGHkLJmmiaNCR49GeMZvITwgMgEmEOzE9Pnx8ps31N4UNlONXeMcbau&#10;OxUq2bRhcHvQzvUwj8MzpgWcD5xsVCtsoTJydNeXgQoP+i8tPQ39KuD1BuVjn0JxxJYIQhrCFnbL&#10;p31OKPA0QV2DYGvP86hWMUKSJOAJg1aAJ0+ePH369NmzZ6E+DUTxr6ys/OIXv7h+/fr09PSlS5c4&#10;jvvss882NzebzeZ3vvOdcrkMRXZHhtyRgC4a4MphqbS0tPS//egfH80/2eh37SjyMAkkwSfJEGHX&#10;9z3PI1GoQJa4AACPmUlEQVSERYnTdEHVk4qcKByXCjzHa0jmBAFhLkVpSlIhDlEU5QZOd7tlDL3z&#10;U9P/y1/85QcffFAoFCBjHx76UV9f0xcTRt36+vqPfvSjjz76qFqtfv3rXz937hwUPRNFEUpgCYKw&#10;trYGwuPx48f9fl+W5W9+85vf/OY3T5w4MTs7W6lU4MhH/c68Tl5CeGQd5owDBCKDwbKU9fHs825n&#10;TW20JIzv+zSt5ACBjuLUoQ3djUBxHNkTlMggCGzbbrVajuNQ5aPRaID8kCRpaWnpv/yX//LRRx+d&#10;PXv229/+Ns/zP/nJT5aXl8+cOfP973+/XC6DLQsYOcUhBx4HLQlOTaO/uXZtq7W9uLa23mpt9bob&#10;g15nYCWKHMXxME0Q5nhFkRSZF0S/KEUSlkLEYU4jMkEoTtIUkSiJhCSSeU7tWc7AmhSV8ydP/g9/&#10;8qfvvfdeoVCAs8Oi4aivr6mjDgZYr9f76KOPPv74YyiUNzs7C52BIIUZhEen0/n4448//vjjO3fu&#10;LCws2LZ95syZM2fOvPPOOx988MHY2NhR1GK/Wl7O58Hu7KsA1toQXUYdPKB374eso4huBMfSgZPL&#10;5aBMYbFYLJVKpVKpWq1CX6/mF4GNU1NTjUZD13UYUSBpoOgAVGve2Ni4c+fOrVu3qtXqqVOnCCHX&#10;r19fX1+v1+tvvfUWhGgf3bd9JDYMNOlKtVoulXRNkwQhCUKrN7C7PU2SVF7QZLmk6wXDyCmKKgoY&#10;p2KSGCFSY6L6Kba9ZOgQ1+WCQPB9OUlzUWTw4olCcW5i8vzpM41GI2uw2v+65CsHNA8aHQ5tSUFO&#10;wPIol8uVy2UI4IQVBixroNQuVEsDu0U+n5+amoI67cfgzrxOmPD46oEhC0Ocps7CDxBfeyDAYaEM&#10;+Ggt7H0zIqhox1ColZ1F13UaPSHLcpqm/X5/fX291WqZplmv11VVhdbljx8/XlhYaDab586d4zju&#10;5s2bvV7vxIkTb7/9tqZptAHUkRuTu68ZHpAsy5IkSpKoSJIkCCLHG7Jcq1QruXwul8truiJLPCIk&#10;jqPATTyPt0Pk+tjyQmsYDCwSBFwci3Gk8VxNkpvlyqXJ6VNzJ2ZnZ8vlMk3spXU7jjTU+AZSBO4n&#10;JJxvbGwMh0No9CLLcja6DF6o4XC4vr4+HA6hX0ixWJycnDRNE57CkRtOXyFHfhgdA8DPPJIqQZdX&#10;Xxp6WDjLSJmHg2X3ldMz7gkUpKrVarOzs7lcrt/vP3z4cG1tzXEcCAZLkgRqEOm6DtOEaZrFYhEM&#10;2TAd0NMdaeBbcByXokSShHq5fG5u7g/eefev/uRP/ue/+us/++b7f3jl6ltzszOlUkkU5DjkfJdv&#10;dbnVrXRxLXqyHC+s4bVtcbsndfqqZRt+WEZ4ysxdmpp6+9TJ87MzxWIRsmGylaOOOjQsCmyACKFc&#10;LgelEqF6bqvV6na7nufRMc/zfC6XGxsbq9fr0MgOY+x5Xq/XW1tbg650x+PmvDaY8DgU0BnkAOf3&#10;r2RufcHpCXwwkiTV6/V8Pk8IgSI0juOALz2OY9M0oXUPRBJDSSLa9OXFz3VU4DEniZJpGNVKZWZ6&#10;+srFSx984xtfe+fdty5dPnfq9NzU5PhYo1mvN+u1WqFYMXJFTS+qRsU0G4XiRLU2Xq42y5XJemOm&#10;OXFyZubsyZOnTpwYHxuj7T6B43HHRpYpkAxkmqaqqqCSQhuxfr+fzSKSJCmXy0Fd12KxKAgC9D9f&#10;XFxcXl4eDofH4+a8NpjZ6qsH3oQDn+tfqaqxJ1kth5YGGIFGBKRpCiNqa2treXnZcRxoDshxXK/X&#10;GwwG0LEHfCphGA4GA0mSGo3G9PQ0ZDjCGV/nF3wV0JsWo3inPRNCPEEix0uCoMuyqSiaoRULhXqj&#10;NjnRnJmZOt+cvDI99+7c2bdPn/v6mUtvn7tw9cy5y+fOXT53/vLZMxdPn7o4O3Nqamq6UlFME8uq&#10;IAg0BhqCG0cv4mhCM8OhwgVoEsPhkOM4WZahMEG1WqVrMoDmNrmu2+v1oHgidAEBLW30NIxnwITH&#10;oYPOs/u/2/s/wgsyUlLlc2G4CxonQ6cw8Hm4rjsxMQFV1qFiB3g+IW8UMrFFUaxWq5OTkxCkCx9/&#10;bd/x1bEjVlHKYY6jPZoQQgjzAi+IomwYpXKpNjY2MT4xOTl1fvbk+TNnL545f/HihUvnL545d+7k&#10;2dOnz545c/7MyVMnpyYnJ2q1YrksKRoRRcLxPM/TyHgI9Bq9gqMJtfTCiIL1BMT4QdEwUG3BQgU7&#10;w58gvr/f729ubkKPKfC3NRoNahHNaiHHYIy9CpjZ6nAB6gL13e2T0aM/d1rfD9nk/Od316Bl0Ki1&#10;WlVViAGTZRnCfF3XdRwHiqlIkgRaiK7roIUYhgHHPx75wPSJy5zMIwEhHmEeCQKSRCSLWJYlQy+Z&#10;uZpZmNAL03rxlFGeLNWa1UZ1vFEer5uT5cJUuTZdG5usjdXKY+XyWLmaK9dlo4B0k1d0MOPQ9HL4&#10;9XiwW7GGvi+1Ws227fX19cFgkJUEsLOmaXNzc6dOnapUKrlcjhCyurq6sLDQ6XQcx8n2etidDsXI&#10;cuTfPcZRB2QPFK1KkgQqsfu+jzEGez0UQ+N5HgK0Rj/PYCAEA0nX9Wq1WiwWOY4bDofdbhdqXkF6&#10;MghRwzCgI1GxWIRuH4PBoNPpbG5ubmxs9Pv9bCLU8VigvCLYfWF8ZWQVFyjBSwjxPA9aUoMxmud5&#10;SDlUFCWXyx2DcuKMVwdoq9CqTpKkKIq63W6n04EsELBcQZPaSqUyNTUFQbpxHPf7/bW1tcXFxXa7&#10;TYXHgZiOjzFMeDC+GkBsZK3VYL2BlaBlWRhjsFBBkX9N0yDCcvRADMZTIHle1/V6vQ59i9vt9sbG&#10;hm3bUGyNFn42DGNycvLMmTPj4+Oaprmuu7KysrCw0Gq1qNmK8XyY8GB8xYAIgXJetPppt9uN49gw&#10;DBrFC6kezGzFeBa01bmu61NTU6dOndI0bXl5GVoNZv3esCc0/5icnNR13fO8lZWV+fn5zc3N4XAI&#10;yeqw/5712RhMeDC+MqjmQX+AAo6O47RarU6nEwSBrutRFEGLYt/3ZVlmmgfjOYBioes6tMQWBAGc&#10;4bAWoSMNAgcgcg8S0X3f397eXl5eXltba7fbtm1HUTQSc8UYgQkPxldGVnjQDoPg5xwMBmEYSpIU&#10;x3G32221Wq7rQvz+6FEYDIRAcsCML4piLpeDfFLLslZXV3u9HtSTBssVdBWDCmy5XA4y8F3XhQ7Z&#10;4HKjPnbGs9hbeNBgfFo8I6v0MRj7IVvPjmbJwVsNFRJhYShJErhAwGEuiiKUtALTBBuNjBHAGQ6V&#10;SKDvnK7r0NDatu12uz0cDiHDA2LKRVFsNpvT09P1er1arSqKAilHUFQNegXRcuOM3bD7wjgUEEKg&#10;rzDP86VSCapHQBsfCI+BvoFMbDCeA83nEARBVdVKpTI5OQkFr7a2trrdbhiGsA9tKVQsFmdmZqan&#10;p4vFIkKo1Wo9evRoYWEB3CRMcjwHdmsYXz1gXAbhQQgpl8uVSkWW5SAIIHgfgnSPTWo04xWRLXAA&#10;LWnPnDnTbDZt237y5Mna2hrotSA24N9KpXL+/PkzZ86Uy2WMca/Xe/z48ZMnT8BNwnwez4EJD8ah&#10;gBASBIHjOGEY6rpeLBYVRSGEgP0a8s/ZMpDx4nAcVygUZmZmyuVyu92+e/fu8vIylM6lPa15ni8U&#10;CtPT0xDXm6apbdsQoNHtdi3LYmG7z4G9jYyvHtqCEHrTgp1KkqQkSSRJyufzhUIBuiAzGM+BLi/A&#10;UyvLcq1WE0Wx3++vrq5ubW2B5xyEB+QVaZpWqVSgTjvP877v9/v9Tqezvb0NRd1ZqO6zYMKDcSiA&#10;RV+v1wuCQFVVWAY6joMxzuVylUpF13WmeTCeQzYSF5AkqfAUwzDSNG2329vb2+D5gP0lSYKqiOPj&#10;4/V6XdO0KIp6vR4kG0HPqOwxGRT2NjIOBXEcW5YFlYUMw4B+ghAxSSNnmPBgPAda1JkKEkEQJEma&#10;mpo6c+bMyZMnDcPo9/vb29tBENBqJRzHaZpWLpfHx8dPnTo1Pj4uiiKtzgnVnUfPxEAIIcSNdKYE&#10;hY4QIkkS3b66urq6utrtdvv9vu/7NMIyTdPkKfSx0e3ZgpS0kQP9+Zi1NmPsB1gwgtmq3++Lolgs&#10;FsMw7Ha7QRBUKpV8Pg92Bhotw2A8B5ptjjHWNG12dvbEiROCIKyvr6+trdm2nRUzULBkYmJidna2&#10;UqmIohiGISgfTHI8hx3hAYIa3mForqIoiiAIYRhub2/fu3fvt7/97Z07d9bW1vr9PoQ/0/tOaxNR&#10;9mxDBL8yacHYE0gP7Pf7YKoCOWHbdhiG0Hqd9ZdmPJ8RsxX9VZIkiN9DCLXb7Xa7DTWbszmqYL+C&#10;rlAcx0EvZGrd+sJpGE/haHwbTOscxymKUq1Wm81mtVqVJMmyrIcPH/72t7+9efPm4uLixsZGu93u&#10;9XqQwU+1B6pPjDxC+BNszAbSZbcwGGmaWpbV7XajKJJlGVZ/UA9VEAT6VguCMPpJBuMZwOQjimKl&#10;UqnVagih7e3tra0tqk/ADqDUQiNbXddFUQSTKXN4PJ/PNQY6y6uqeurUqUuXLp0/f35sbEwQhMFg&#10;MD8/f+PGjd/97ne//vWvf/WrX/3617/+9NNP7927t7i4uLm52ev1XNelsiR7wKx4yIoNkBxMeDDg&#10;1YXlXhRFPM9DM+ooijY3N6E2u6qq0EWKDRjGi0AnH6i2Cb0C0zTtdrvdbhc6PtH2l5CaTmu58zwf&#10;hmG/32+1WoPBAJLSGbv5XPOAH+BFPX/+/DvvvHP16tWZmRnDMIIg2Nraunnz5s9//vMf/ehHP/jB&#10;D370ox/96le/AvmxsLAATVQcx3FdF4pJ0Acz4h3Jaip0B8YbDowEnuclSVIUBfIBgyCAWEnIFmYZ&#10;gowXBIYTTDVpmkIX3jiO4zgOgsDzPMdxYI4CYwlVOyAXleO4KIqo8GDKx7Pg/92/+3dwf+GOg7lZ&#10;13Xo7EadTlC0DlrG036NkBIMgM2h1+tZlgUan+u6vu+HYRhFERgQafdg6gKBVSezKr6ZwHgbDAZL&#10;S0ubm5uu6wqCMDk5eeHCBVEUnzx5Mj8/D0nC0FwaRikbMIwXga5NoygaDAZra2sLCwvtdrtcLkMb&#10;D1EUqdsDpItlWcvLyw8fPhwOh6qqmqY5MzMzOztrmubo0RkjwgOEMACJWoVCoVwul0qlcrkMq78w&#10;DD3P833fcZxOp7O+vr66urq8vPzkyZMHDx48evRoeXl5dXV1c3Oz1WpZlgWdfHzf932fRsjRs9Bm&#10;1KPXxXgDoMJjZWWl1WoRQlRVnZiYOHv2rCRJ8/Pzi4uLzWbz/Pnz9XodzFZswDBehKw1pdVqwRy1&#10;vb2dJMnExMSFCxdgOQKGUNA/wFS1sLDw4MEDx3GgzMGpU6dOnTql6/roCRggPMADkfVJgJcJbh9Q&#10;KpVEUaT1UEET9H0fOk6vr68vLCwsLCysr69vbW1tbW1BzCWoIIPBYDgc2rZtWRaYtiCG2nVdz/Mg&#10;kjoMQxAwYI6kti/4OQiCOI6TJAHdE2K9QBmCIsw09pcCFZWhFAE4Y7JDis4+1If/hbvytMgrZfcO&#10;FFrt4AUjynYfKlu0mF5P9uxZdn9899UCzznOyGU862p3n+tZe47c0j3PAlCvGK1M1+12l5eXe70e&#10;x3GGYdTr9YmJCULIysrKxsbG5OTk6dOny+UyLDXoWGUcObJvX3bE0o1f2DszkHb/Cch+FvaEtWkc&#10;xzCfDAaD7e3ttbW1ra2tVqsVBEGxWJybm5ucnIQ+5zBXQDlnx3G2trYWFhYeP37suq5pmtVq9dSp&#10;UydOnGDCY0/29kDSoCkocw9tQVutVqvVguKUjuM4jmPbtud5nudBHXzXdSHdX9M0qKdvmiaU0VYU&#10;RRRFSB+BIGAICBYEAfaHchQwO/A8r6qqLMuSJNFhIQgCDAsIIwYPKgiJ3RE41NZJRxikC1Er3O8V&#10;HvS2wA/PSU/Lju+s8Nh9TGD39uw10GL4cJCRPbNXMvIqfmGnp9v3jErIXiqw54mec6l7MnJLRzZS&#10;sjcnjmOO4xYXF3/9618/fPgwjmNFUcbHxy9fvowx/vjjj2/fvn358uU//uM/np6ehoGx+4CMQ8vI&#10;yzUy139h18z4h8mH2kKourmbkQPGcex5XhiGMDVZlrWxsbG6uur7Prz+iqKUy+WZmZmpqal8Pp+t&#10;ZdLr9RYXF+/du/fxxx//8pe/tCxrcnLy1KlTf/zHf/xHf/RHEKnFGGGPp5h96vD86Krf8zxwaYCH&#10;A2J2u93uxsbG0tLS9va27/tQMQYCGEAe0PmC53n4E2yBPev1ei6XK5VK0JUFnmg+n4cq3LIswyQI&#10;0ThJkqiqahhGLpeDwnm0W+Tur0DHKFjhFEWBcE86e2YH38jHYZ1LJ2U6gve8XdklDN159zGBPbfT&#10;jaDEwJszuhNC2T2zAmPPY468uiN/Gvnuu99PmtdJb9eehwJ2h2g/B3phWeHx5MkTKKDbaDTm5uYw&#10;xrdu3VpZWTl79uy3v/3tZrOZTWV9wRMxvhJgdNExlo102PPB0T3phANzxe61VDaYM/uixXEMVnEQ&#10;G51OB4pTPXny5PHjxzzPz87OnjlzZnZ2tl6v1+v1fD4Pi0tYkvq+v7S0dOvWrZs3b965c+fu3bsI&#10;obm5uZMnT37nO9/5gz/4g2q1+oUrZiCEniU8smR3IISA6xvKEEHOOYQlgJPDcRyIYaDWJLA7hWEI&#10;jRnAZQLJXxC2XyqVdF3P5/PQoRoGkK7rqqqC8KDrTRhVqqpqmqaqKqgyzxqR0B0M1FhYd0BbmKz1&#10;A0bknrMeDCxJkmRZFgRh99xKyQ5rSDWCE/3eG0uhdRTgJaEz9Z5HoHKFZmg+a2mW7eg1suQHUQfb&#10;4Vy7j5B9pbPbd+85IsmeL2ngRsFBkiQB4fHRRx8tLCwoilIqlQqFQqVSIYTMz88PBoO5ubmvfe1r&#10;9XodHHLPel6MwwOMHBg8dNRRYDsd6vQjIyONOrHhFYZ3GUzW8DME4EAwDrhggyCA04EUsSxrfX19&#10;fX1d1/XTp09funRpeno6n89rmgYTEcxmg8Gg0+msrKw8efIEcg9WVlZkWT579uyZM2fef//9r33t&#10;a6VSiV4Yg7L3DJVdSNJBQCcO8CKAqAdnOJSCAeChQjCc53mu69q2DaW24zgeDAbgFIHODZD/BSoI&#10;9PaCUQXzNdi1qAILq3JRFOGv9Ap3B3HC9ETnKZidqT6xW43YPRkpigKWt0KhoGkaPdqeJjJapFOS&#10;JCjqB6a5kT2fBdj6oKAT9d/seVX0KcC9kmUZxO3Ibr+XF/zIc+7Plyb7UEB4LC0tgfAoFApjY2Nw&#10;6+I4brfbhJDx8fGrV6+Wy2U6B+05YhmHk91SATY+a0TRhwtmKN/3QWbAGpRGb4I/o9/vQ4QnuFeh&#10;mH+j0ahUKrDEBJd4Lpcrl8u1Wi2Xy1HbNSyC19bWHj58uLi42Gq1ut1up9PZ3Nzc2NgwTfPKlSvn&#10;z59/9913r169CtVxGCPs/SpmF63UcpVdgNNPZStWQRg1yJLhcAjx1CA84Nc4jnu93ubm5vr6er/f&#10;j+OY53lFUWBAZO2bVFrAFuoKo4IEliRUGHx+6ZmLoWtz2t8UDvgiwgMizQqFQqlUAuEBEmJPkQAf&#10;B+MYuHDARDa6X+aMWeBThmFQKfUc4QHqNpUciqLAyzCyJ5WpVCXKCk7q+3mWepHVTrL7U4E9QvZc&#10;8Ctc0u6dYR/YP0kSnudBeCwtLdVqNfBt0JWHqqrVavX8+fPlcpk2BN3zHjIOA/Ce0kp38Lyy7zW8&#10;uVmtl5qXMcYQyg870FAXajMPwxBWq/AuDwaDXq8HLcchEieO43w+Pzc39/9v7z+b5DjSBF3UPXSk&#10;zsqsFKW1AlAAKLvJnju9p2dsbWeFja3Zij+wP2K/zX7aX3LPucJ2556dGetjc4bNbrJJNtkgCFla&#10;Z1Wl1hkZ2v1+eLOcyUQBgyKqALDaH0OzM7MiIiMiPfz1V09OTiYSieHhYWhRHgwG+4cuiCJw1p6c&#10;nECTKBAehmHUarVSqTQ8PPzxxx+vrq5CnygeqnsuLxIecK/PnWIG1g7wGn5vsFD1/9LwU0FFLMuy&#10;IP4KDFyw/IQtmfcCdodVBoseZqKCOcTA8HXuvMnOFhbypmmyqo7w4T8rPGRZ1jQNJAGsVvqfhwHY&#10;RAlpboqigBlqcLvnTHzMqgbRqHDAc93g7LpYuAHLfhjYEg7CBAAIG6jeo+s6s+DBBmw274eJHDi3&#10;F5vv+vOEmBIJJseBLfu/jhAiSdLBwcE333xTLBZHR0dnZ2c9zyuXyzCKAoEAhEvGYjGQNM8Tq5w3&#10;DtioYZZn8Y39AwkkB/zJMAwWI8vMyzAtQN0jWIrBowEDDzymbB3DxAlTTSilsVgslUrF4/FAIBAO&#10;h8PhMDyGzCjS7XbL5TIrbwUn6ft+tVrd398HKdJoNCYnJ//Vv/pXd+/enZmZGRkZgdbonAEwC2nt&#10;nxdgMnqBfXlgtmLCg81W8OuCPAChwoZIvykTIQQ5nPDbwxD0fZ8liDDlg4kxiP5qNpvQUfJ5p8eE&#10;BOT+nJ6eFgoFJjzYCcP2zx4EpkIQToxnL3xAjrKDP8+6MmB7YRNu/3HYdz0rPGAz0KX6VYrzKygQ&#10;AldGKRIlKRgMBAPBVDoVCYc1Tdc0VRBESonn+Qgj4ZlZvr9EJvifQMt59l713xYoUAryJhgMPquo&#10;9Q8q+O/x8fHTJ0+qlerU9NTU5KTjuKVSyXZsjIVwOBSNREdGR8OhIEUII0wIofic34vzxoFVICz7&#10;IM6+363I1A4QMLVajU0FsLHv+8ViEYxRUA0TYjXBegxGXVVV+12eTAWH1xClCZIG6EXz20670261&#10;Wp12p1avHR8fn56e2rYTi0WTyeHhZDIej9fr9e++++7p2tNCsWhZ1vLy8r/7d//u/fffHxkZgUCe&#10;wavlIIQty1IUBbr1gk3/eRPfq3PubAhmzf5lCKUUFAsYZ2yKBIEEdjAopcX+NHjQs7Al+FO32wV/&#10;/vNCs54FRjOrs9Kvdw9syaKS2CW8oPVxv/AAYPt+w12/qvfs7qCKQQ1aUNUHfI/fb+x6oiRJougT&#10;Avl3oVAoGoloug4mLxHsgYRQhJBw/m0RRRGMY6C4PKtJAOyEwR8Dmg2sHAc37dNlJUmCRV/+9NRo&#10;dUZHR5LJpCAItu0QSiRJikYioVA4EglrmoaxQCmhCPnonIvlvHHYyO9f1gxswGoUgXMbHjS2moTE&#10;r263C0Zy0JKDwWA4HA6FQjCcIP+MWWvhv/3SAgpbwDMFxS8wocQnhBJKqO3Y7Xbb6HQIodlsJpFI&#10;qKoqK0qhUPjiiy/WNzZKlTJC6O7du3/913/90UcfJZNJEFH9F8IBeuGS4CSA3MCrEx7nHhaGWj+w&#10;JYwztqaGgQLFBkCoMBXn3BkNZlhYp0OQsWEY5zpIzgXWUPBdTEk69/wBOFXYC0IDzi2JA5fDQg/h&#10;SQNxCOu1/rl1cOc+QdXpdEAcmqb5POGBfQpavk8I2Hw0TRMFAWNBlERJkgSM4arIecIDjskCrFmQ&#10;wrPiE2QM+x3ZLqz8Qz/sV2N2SEgZxRQpshwKheLxeCwW1wO6LEkQGKNqmiiAWexMzj1zWM4bBwaM&#10;qqosYOTZkCqmdIZCIbYi7F9MMG8ZvGVLEBZTwx5hEA9g3gTXOpjHIT0ZqFQqzWZTEcRIJJpKDQ8P&#10;D0P8C0igRDKpyHKz2axUKpubm1999dXe4UG709E07f333//3//7f/+xnPwNvx7nLUw42TfPBgwdg&#10;Fmdr55efZJ/Hubf73Dmu3+rFPmHLfJhtYYQxxxrbjM1W7BMGNCNhLhOYrc61UJ0LuP2ZTs10i8Ht&#10;EGJTJ0uGB6lzrs8DxMO5wgPym9gDxpzPA8CdMQzj5OSkUChA3cBzBRX2CdiJKSGe7yOKREnEqLdu&#10;790FjDHCFCF6zs/Vu1fP3vZngYRNds7s9xrc7iw8F0Q7G3W+52GKHNtWNW0kOzI5OTGUSGiqGgqF&#10;RVEQIEqi9/MJSOTC420E9GZwNgSDwf7QcyY5mK4Qi8WYe4zNNoqiwHIBci9gxcMCHdnDCKMIyuux&#10;HGHLsqBsUrfbhVw0KH7R7XZVSU4MDWWz2XQmMzw8nEgkopGooirBQMBx3YP9/Y3NzSePHz9+8qRc&#10;rcqKPDo6+sEHH/zqV7+6efMmeDvOnc04uNvt/vf//t8bjUYsFqOUwkr21W/WjzgCm6rYNM0W2vAh&#10;vB5YrQCDx0KIiRYmPJ632bkwFxwM3BcLD+aEYMU7wUs/uF3fuptdHaumALKK5VGfKzzgCWSdzprN&#10;pu/750ophJBnO4IgyJLUf+aCKGKEziZ6hDHCGFOM6TOzMbvqc+X6AM9qS8+74RAtxvw00LCS+ERE&#10;CDJAR0dHp6enR0ZGQ6FQMpkQBAEhTEjPeCiKov/MqXLeBuDnZkbL/nh6NpbgYQRnOIsAZCMKtFVQ&#10;Ruv1umVZbE6AQM1SqdRqteChBimi63oikYhEIiBjIOkPHG8svkOXlWAoBF6TgK6Hw5FQOOS5HiGk&#10;VCo+evTom2++efLk6cnJCcF0embm/ffff/fdd5eWlkZGRuDhOnfMc/Dh4eF//I//8fT0NBAIQNZM&#10;IBB4gdX+JTl31Xnuh+D37v/rwLzDXsM6hW3Gptdnf1qYyPrXv2xqO/cc/lkGDtIPWNiYDs5O+AWh&#10;ugOaByydmEWLRS6d+13928MqHh6YgS0RQsRx4abhH+qRvW8llCKKEMIIUYRfoHn0vz33i/p/o/4V&#10;wPNgiiAIA8dxHMuWBNEnvqqqqVRqbnZ2amo6kUik0ikBCwj3hK4oipIoetzn8bbSX7SKPZj9DwXb&#10;bODJhV3A/mzbNhSw6Ha7rA6F4zj5fH53d7dSqRBCwBeiqmo8Hs9kMqlUCoxR0WhU0zSIs4/H4+Fw&#10;WNO0gKKKoiRKZ8WKKMVYMAyjVqtubm798Y/ffPWHP+zs7FiWlRhOfvDhh3/5l3958+bNRCIRjUbP&#10;NYlzAGya5n/7b/8NmmfBZMQmr8FtX5lz5xQWBse+sX8mYrvAKfUPTSYMnv2BYUJnxtN+Y+uFYOKn&#10;/xsHYKcxMEGfHwGF0IAoAmEA6yaWzAiGsnOFItMG+pd1A5sBAu09KnB2CLO3CP5HKem9wxiJg9/F&#10;6guxT573Rc/+Uv064uCmZ3MHCxur1+u1arVRrZfLZdPsxuND8/Nzs7OziWQyNZwSREHoTUlIELAg&#10;itxh/tby7GPCnj6m/cNfB9KQARhvLCKLOd4hBaTVatXrdVDooVAVyAkIyQV7F0RhQUQWq5iHEUa9&#10;RRLyXLfVbLaazZPT01wut7m5ubG+vrOzaxhGLBadmJr64Gcf/ot/8S8mJychpos93T+4Tg5CCCHs&#10;uu7XX389OjoKcbEg5J8XkfmSPG+WOfeYbGM2sPpnZCYA2Nv+zZ6dtYFnDwXaMSt/+/LAwfut+YNb&#10;nKXIMfUcvv3cQKP+g/SemD53Qr8zkBV2HADW7CxJGx62cy1XMhYJor4HrgKEEKIIYfB2YIwFgRKK&#10;KNjRzgnVZRPBwItnRVp/kj+7KBhLz94uuF7YRhRF3/cLhcLB/sHG2trmxsbJyUkoFFpYWJybmxtK&#10;DKWGU6IkgvAghCKMBCz4+PzRxXmzwOCHBw2eSmbyZfXu+scVvB2wP8P6iYmBgSODCx2eLOYy6Y/O&#10;AMsEk1XwJ5EiShHFyPe8VrN1fHycL+SfPn26v7d/eHhQqVbNbjcUCk1NTc8vLdy5e/fdd99NpVKQ&#10;4fSC1GDOc9etnJ88F/phByf5q4KZ+EA1pJQeHx9vb209evDw3h//uLu7GwqFb9y4sbS0lEgmMukM&#10;TA6EUsqFx/WCCQ+25gCfHyvT0B/5CW4SSPVgayxm+WRxwLCKYt5HcLBLCHdNs2sYzWazXK4cnxwX&#10;8vnt7e3dvb1ioSBJcjQaGR0dm1+Yv3V7dW5+fmZmJh6PwykxcTh49hwuPK4zF/phX5fwYBatfuGx&#10;s7396MHDb7/99uDgIB6Pv3P3ndXVW+lMZnJisic8CKWUIIQFAXOfxzWAWV/7dVMWMAJ5SCzOCv4K&#10;8gNEBdO8BzK64LAQuQv1kCilnUaz1W7nT/P7+3uHh0eFYsEwjK7RLVfKtmUlk8mpqamVlZVbq6vT&#10;s7NDiaGhoSEwWL1A1eZw4XGtudAP++aEx+np6d7u7trjJ19//fXu7t7Q0NCHH37w7rvvjY2NzczM&#10;SJKIRRGdaR4YY+7zuAawqfncqEIWoQvihG0Gigh4BFlRDJZ7CFm9GGMo+93tdkE1qRSKnY6Ry+XW&#10;19f29vc77Y4sS7Isu64XCgUnp6YW5udXVlaWlpbHJif0gA62roFT4jwLFx7Xlwv9sK9ReIBVGspi&#10;Ukp7Po+nT3//xRfbW1tDQ0Mff/zxRx99PDU1OTIyiiURQ4mVM+hrPFvOFdE/3bM8KnByMHEC5dZB&#10;zEDOFtsFCrCyzC3TNCuVSqvVsixLFEVICrYsC4xOVsdwXQ8aVpZKJYxxJBJOpdKRaGRiYmJ+bn5y&#10;anIkm81kMtGhuKwo/2xWEwfgwuP6cqEf9nU9LDDe+oVHqVQ62N9fe/zkiy+/3NraGorHf/7RRz//&#10;+c8nJiay2awoSqIgEHRmQ8AYPPycnzStVovVwmKBVRB4CSIBsm5ZgVTIJGfldSGT3DRNWIu0Wq2D&#10;g4N8Pm8YBouyge0ppcT1REEghEJWQCgUisWis3NzY6NjS8tL83Nzw6lUJBxWdV2UJBhaTHiw4Tpw&#10;/hwuPK41F/phX9fTwZ5G13UhQ6VcLh8eHIDwWF9blxV5aXER+pYPDw+L0NCl5/NAgiBwn8c1AIpq&#10;Qy0GVj4OxgNzh7DkWagSBG5wECqs+xNIGsMw8vl8tVoF4QElsaHGhGmayCeSKAaDoeRwMpvNZjPZ&#10;WCw2NjY6MjIyOTWVSqV6+fCiCKmyoBkzKxkXHs+DC4/ry4V+2Nf7dLB29JTSSqVydHi0tb7++e9/&#10;f//b+92uEY3GotGoJImKonKH+bUEorRZde3+KPz+RpPgw4DX7K9QxIEZu1jbBShvBRoMtCXtdrvt&#10;dltXVOhYuri4eOvWrZmZmXgsFolF49FYNBqTFRkhJAiiIApMeLDQLx6k+wK48OC8AdioA7NV7ij3&#10;9PHjr7/++v6335bKZYQQVPw9d2hys9U1ACo0w9TMCs/An9hiHwBJw3rqsFQtViarPwkRel3D9rIs&#10;1+v1w8NDhFA0Gh0bG/vFL37xi1/8YnR0NBqNQgPTH5wT54Jw4cF5AwwIj5Pjk8319T/84Q/3/niv&#10;UCz4vo8R8jxfUc9JfuTC4xoQj8eDwWAoFNI0rb+KCYPJAwjbhdq6sA2UroLWHfAhSx6EF1Bet9ls&#10;bm5uPn78GGOcSqWmp6c//vjjn//85+l0OhAInJvByrkQXHhw3gADwuP05GRzbf2LL7+898d71VpV&#10;lmRFUSii6nmZ8z4XHj99RkZGwuFwPB4PhUL9PYRYpBOrmQh9ZKGdDMsbh0RCVoER+o+x+u3dbrdU&#10;Ku3v73/11VdfffUVpXRqamppaemjjz5677334vF4f4k8zo+GCw/OG+BZzWP9yZPPP//8wYMHrueN&#10;ZLPZ7EggGIic1zuaC49rwPDwMNSeAisT81H31zMF4QFdLEFIMCsWkxas1Qd0q4Wk9Ha7fXJysrW1&#10;9dlnn33xxReu6964cePWrVsffPDBnTt3IpHICwqvcV4eLjw4b4BzhMfTp59/9tnTp08DgeCdO7dX&#10;V1dT6fTo6OjgntxsdS2AaKh+2xGbzVkmELNcsXpZMGyYUsI6R0H5KdiFENJsNnO53NbW1u9///sv&#10;v/zS9/133313dXX17t27N2/eBOEBG//gnDgXhAsPzhvgGbPV6cbTtc8++93m5ubQUOLjX3z8wfsf&#10;jI6Njk9MDO7JkwSvBWzu7m+sAJ/0z0hsfu//08CHA6993282m0dHR1tbW1988cWXX36JMf7www9v&#10;3rx58+bNGzduRKNRLjYuBR5vwHkbgPj+sxLcCIEFA1ygnOsH6A0QcAX0KuCeMaBtMF2EqSMMJlT6&#10;c0T6xQM7FEsb/H7ccV4BLjw4bx5CKKEUY+x6HkKIUOo4joCx73n9hUk414Z+7YHJgP4/sc/7bVMD&#10;WzIGPoQ+lbZts/4FTLmBelnnFtTiXBQuPDhvC2ezxg/ewqsffMq5FvR+0OfIjxcwIEX6P2QaBnQy&#10;hyx0iMKC5k6QL9K/O+dHw4UHh8O5DjANgxDS6XQajUan04FWaaFQCBIDFUXhYuOy4MKDw+FcE0B4&#10;QMlF6OcBzhXQPCAhkRusLgsuPDgczjUBlI9e9AUhrNiiJEmswAl3eFwWXHhwOJxrAkRngdiAYllQ&#10;CwsiuJj/fHA3zo+CCw8Oh3MdYG5wFt1LCHEch/nSB3fgvBr8hnLeCghCft9/CT57cbYBvWCNec6f&#10;JpAqRAiBCu1QuBfUDlbCnfvMLwUuPDhvAfiC/zic5wBio1arlUqlZrPpeR6E6rLSvFwFuSz4feRw&#10;ONcHSmm73T49Pc3lcpVKxbZtRVGCwSBU55VlmQuPy4LfRw6Hcx1geR6e53U6nVqt1ul0fN8XRVHX&#10;dajgy0N1LxEuPDgczjWBNSVkYVfwOavZzkN1LxEuPDgczjWB1bCCilisriIL1eVi4xLhwoPD4VwT&#10;ILcDMgTBigV5HlBY99mi7pxXQaCUOo4DRSih5CRUneRwrgLf98GYwEYaPO294SgIsBm3TXMuCigW&#10;nue5rstsU1DvneUGsoQPPrpeHex53sHBAULIcRxJkgghsiyzTsIczuUCDkxBEGzbhroRtVrt5ORk&#10;d3f3j3/84+HhYTqd/vjjjz/88MOJiYmxsTFWkZuvGTkvBiRHq9VaX1//n//zf/72t79ttVoIoY8+&#10;+ug//If/8Mtf/jIUCjEZw8fSq4M7nc7f/u3fiqLoOA7ID1VVPc8b3JDDuQx834dYe8dxoPRQs9ks&#10;l8v5fH5ra6tWq01MTPzZn/3Z+++/Pz4+Pjk5yYUH5yWBDI9Go7G+vv6//tf/+uKLLxzHkWX5gw8+&#10;+Ou//utf/OIXuq6DdsvH0qWA2+32f/2v/zUYDCKELMsCFY8nYXKuCN/3wZ8Jw0wURdM02+12s9k8&#10;Pj62bXt6evqjjz567733xsfHp6enufDgvCSEEMMwarXa2tra3//933/zzTcIoWAw+P777//rf/2v&#10;P/jgA03TQHgM7sn5UeB2u/3Xf/3XsizDe0mSTNPs797F4Vwi4N5go0sQBNd1Xdc1TbPRaAiCMDc3&#10;99FHH33wwQeTk5MTExNceHBeEkJIt9utVquPHz/+u7/7u3v37smyHA6Hf/7zn//Lf/kv33nnHVVV&#10;ueZxieBWq/WrX/3KdV3LslRVlWUZnEv8znKugoH6QqyGNvRgCAQC8/PzH3zwwfvvvz8xMcGFB+fl&#10;AeFRqVQeP37893//9yA8IpHIRx999Bd/8RfvvPMO0zxA/eVj6RXBhmH8l//yX3Rdb7fbgUDA8zxu&#10;s+JcHQNRLiyrC4KsAoHA6OjowsLC/Px8KpXKZDJceHBeEmggWKlUnjx58g//8A/ffvutoiiRSOTD&#10;Dz8E4cF8Hp7nQdrH4CE4FwEbhvE//sf/CIVCjuMoimJZFkvRHNyWw3llBoQHROUySwLYGRKJRDKZ&#10;DAaDoVCIR+hzXhJCSLvdLhaLa2trv/71r7/99ltZloeGht57771f/epX77zzDnh2oasH1zxeHWya&#10;ZrVa7Xa7rGoxr33Pec2wqkQYY1YDVZZlWCpyOC8DaB4HBwfr6+v/9E//dP/+fU3TRkdH79y58+d/&#10;/ud37twB4cG5LLDv+4ZhOI7TX/Keax6c10l/xSFBECCxSxRFaMbA4bwMhJB6vb6zs/P06dNPP/10&#10;bW0tmUzOzs6urq7+7Gc/W1lZYWFBAJ/iXhFMCIGETEmSQHhQSrlOx3n9MP0Dhh/3vXEuhOd5pVJp&#10;e3v76dOnn3322e7u7ujo6NLS0urq6rvvvjs7OwvWUWZW4aPrFcEsHxCsVf0GhMFtOZwrY6BoHR9+&#10;nIvied7p6enOzs76+vrnn3++t7c3Nja2tLR0586d27dvz8zMiKLIhcclIrCFHrznKz7OG6G/UDYf&#10;fpxXhJVkh8KI8KJ/gPEx9uoIECsJgfbP3l8O5/UAUVXwmo3GwdHK4bwQqKoLtRGhhAEbVMy4AtFW&#10;A1F/nB/B97VLWblTDudtgD/enB9B/zqYUirLMoT/MMkxuAPnxyJABIIoipqmybLMVoKDG3I4rwvI&#10;NOKhVpwLwbpLOI4Diqzv+7Is9w8kkCg8mvRS4PkcHA7nOkAptSyr3W63Wq1ut4sQ0nV9aGgoGo0G&#10;AgHwlrMmUVyvfXW48OBwONcB0Dw6nU6n04GC/4FAAISHrusgPLjkuES48OBwONcEKK/pui54OFi1&#10;AnCk82jSy4ULDw6Hc32A3sasJBo4ycFgxSQHlx+XAhceHA7n+gAOcwjVBSnS/1cuNi4RLjw4HM51&#10;AASD67pguYLaGf2BVUxyeJ7H3R6vDhceHA7nOkAptW27VqtVq1XTNOFDQkh/PURoG8NDdS8FLjw4&#10;HM51gBBiWZZhGIZh2LYN0VaxWIxlsA3uwHk1uPDgcDjXAUqpaZqQ52GaJsY4GAzG4/FQKKQoSn/r&#10;ci5ILgUuPDgczjXB8zxQPmzbRggpiqLreiAQGOjkwbkUuPDgcDjXBChsBdG6LE5XkiTeGvUq4PeU&#10;w+FcE8AfDhmCkBg4UOwVDFb99f85PxouPDgcznUAMgFBQkAnY6ZwQEkS5u3gkuNS4MKDw+H89Bgo&#10;UWXbtmVZzGD14kok3Ip1KfCbyOFwftpAVrlpmrZtQw+PYDAYDAY1TYN67P1S5AVChXMhuPDgcDg/&#10;PZgA8H0fssoty7Isi1IK6R2xWCwYDCqKMrgn55LgwoPD4fzE6K+sznQIeAu+DainqygKq6fLuXS4&#10;8OBwOD89mMMDCuiCIgKZgCzmCurpDu7JuSS48OBwOD9hWG6H53nQvZxJjsFNOZcKFx4cDuenB5MN&#10;zOdh27bjOL7vI4RkWZZlmdusrhQuPK4bbCHGTMBQnhpe2LY9kDYFOj4AuxBCYAXHHkU4Jrzu3xHW&#10;etwywHnNsG7koGSoqkopNQzDcRymc0APwYFBy7lEuPC4DsDMDgo7swL3+xXhcRJFEWZ8Nu/3Ry4+&#10;q/6zjKr+Dx3HYY5KMDHz7gicNwhr0dHtdi3LArVD1/VQKKTrOk/puDr4nb1ugCRgzwxEnsBb27ZN&#10;03Qch0mCgbB39iEhBALnXdellEqSpCjKQF1rtiN/PjmvGTZiYW3keR6E6pqm6fu+qqrhcDgSiei6&#10;zi1XVwd/7K8JGGNocTNgAgalAZrknJ6elsvlVqsF2kP/49dfvIEQYppms9lst9uGYbDEXdBLmJUZ&#10;ALvB4NlwOFcMW7v0h+oyb7miKJqm8VDdK4WHsl0HXNcVRVEQBLBHgXrR7Xa73W673QYZAIsyTdPS&#10;6fTExEQ8HlcURVEUZjgWBAHkgWmahUKhXC6DswR6sQWDwVAopKoqdNdRVRVyd/tjJQdPi8O5Gph5&#10;Ft6apnl4eLizs/P1119/9dVXhmEsLi7eunXr3XffXV1dHRoaGtyfcxmIf/M3fzP4GeenBjxFoGF0&#10;Op1ms9lqtfL5fC6X29jYuH///r1799bW1gqFAiFE07RQKBQIBCRJ6l+XYYyhzEO32z09Pd3d3X30&#10;6NHa2tra2tr+/n6tVjNN07Is13V934fCc8xmxYUH53UykB7oum69Xq9WqycnJ7lcznGc4eHhbDab&#10;zWYzmYyu64P7cy4Dbra6DliW1Ww2c7nc+vr6d999d+/evXv37q2vrx8fH3e7XVEUJUlSVTUSiQSD&#10;wf7MWxaRxRRQSZJ0XQ8Gg4FAIBAIQI0gWZZt2y6XywcHB48fP/7uu+++/fbbx48f7+/vl8vlbrfL&#10;9VfO66TfWkUIYXZaUJQFQYAMc6Ycc64CbrZ624EgWra6Z0mzYOGFB6lUKpXL5cPDw4ODg1wu12q1&#10;KKWhUCgajWYymXA4TClVFCUajUYikVgsNjQ0FAqFQHtgFR0EQYBnjxDSaDSq1Wq73TbPaLVa1Wq1&#10;0WjUajUIaBkaGpqampqZmUmlUqOjo6qqQvAVi/ViYqn/UedwXh2meYCTo91ub21tgZL94MEDQsid&#10;O3fef//9mzdvzs7OxmKxwf05lwE3W72lsMeDvQBYeDv4NmCWz+VyBwcHu7u7e3t7R0dHtVrN87xA&#10;IBCNRkdHRycnJ2dmZmZnZycnJ7PZLDgtWMMDEBswubNZXtO0WCwWj8eHhoaGhoYikYgoihCsVSgU&#10;KpVKsVhsNBogvUDkMJHGzpMZFthhB6wNHM6PAxYl4OSjlNq2fXp6enh4eHx8XCwWRVGEMQ+jXVXV&#10;wf05lwEXHm8vMNXCQr7fqQDPjGEY5XJ5Y2Pjj3/8IxipcrmcaZqBQGB8fHxubm5paWl6enp6ejqb&#10;zcbj8Wg0CgYocHVAaNaz8zjTQkRRhDQrCFxRVVXTtEgkEgqFZFkG70i9Xq9UKtVqtVqtdrtdEEjw&#10;FUxssDNnqhIP7eW8IiAz2NLHsqxcLnd4eJjP5yuViqZpMzMzU1NTqVQqGo3ywrpXBBceby9s/oW3&#10;sMCXJAn09Hw+f3Bw8O23337++ef37t07Pj42DCMcDs/Pz7///vsffPDBysrK1NRUNpuNRCJgUwJp&#10;wV6wIw+YLpm4AmRZ1jQtHA7H43GwUAUCAUEQbNvO5/PwxJZKJdM0RVFUFAVEiCRJcML9OseAtZrD&#10;+XGwdRUMJ9u2T05OTk5OSqVSvV7XdX16enpqamp4eDgSiXDPxxXBhcdbCjwVzJUNEy54I8rl8u7u&#10;7ubm5vb29vr6+s7OTqfTiUQiU1NTy8vLN2/eXFhYAG0jEAgoisLEwIA0Opd+ucK+GhQRTdOgwY4g&#10;CBBEDwnnnuc1m03LsiD/Az4RBAHc8uxC+p/2wW/lcC5I/7iybbtQKEAaU71e1zRtcnJyfHw8mUxG&#10;o1Ge6nFFcOHxVjPgJHAc5/T0dGtr68GDBw8ePHjy5MnBwUGz2Uwmk7du3fr4448//PDDxcXFRCIB&#10;QVMwd/cfEPT9ASd2T1yc8eyH/aqJIAhQ+wHc72BQPjk5aTabtVoNpAgkpQcCAVVVnz0mOxSH8+Ng&#10;wxJca2C2Ojo6AuGh6/rk5OTExARoHtxMekVw4fG2A88J0zn29vYePHjw6NGj7e3to6Mjy7ISicTi&#10;4uLdu3ffe++96enpZDIZDodVVYW0QTZfg8uh32w1+E0/pF9ugbyBB1UURV3XA4GAruvRaFSW5U6n&#10;0+l0ut1urVbrdDqQvs78mVDf9FkrHIfzoxlYVHU6ne3t7c3NzVKp1Gg0QqHQ7Ozs1NTU0NBQMBjk&#10;wuOK4MLjzfOCGCQWwtTpdHK53N7e3pMnTyDBotFouK6bTCbv3Llz9+7d5eXlyclJ8GYzfzg7DkiL&#10;AXHyz8JKmMAusK/neXBwWZbB+eF5XjAYdF230WhAIqFlWYZhgKwKBAJg6YJjDoiQfl/I91/M4byQ&#10;ARdau92G56JQKBiGEY1GFxcXZ2ZmhoaGYIgO7s+5DLjweFs4dz4Fp4Jt2/V6fWNj4+HDh2trawcH&#10;B6VSCWMcDodnZ2f/7M/+7M6dOyMjI8lkErI3Xl48vICBg8BbVkkX0gkFQZAkKZFIRKNRy7IqlQrU&#10;QTEMwzCMdrstiiJEBjPZw1zozOzwAtnJ4ZwLGzOgDbfb7Xv37v3hD384PT0lhMRisRs3biwvL7Ox&#10;N7g/5zLgMvnNw6ZpsPb0A5Ek+Xx+bW3t8ePH6+vr+/v7lUrF87yhoaHFxcWbN2/Ozc2l0+l4PA4L&#10;/P7dB7/p8gBhIMtyKBQaGhqamJhYWFhYWloaGRlRFKXb7VYqlePjY8h439jYqFQqruvCZbJUlYEC&#10;8hzOjwMK89i2zZ4aVVUhWoRLjquDP7RvF/2ubEgDrFQqm5ub9+7de/Dgwc7OTq1WcxwnFApNTU3d&#10;vXv39u3b09PTw8PD4H7oP84Pjns1gPM8Foslk8nZ2dkbN25MT09Ho1FCSKfTKRQK6+vr33zzzcOH&#10;D3O5XLvd9jxvQFJynYPz42AJSUyFhTqeMMY0TYN4jcHdOJcHFx5vF8w6BGmA+Xx+a2vryZMnT58+&#10;zeVyzWbTdV1d11Op1PT09PLy8vT0dCwWgyqHr0dmsDOEtywRJJPJLCwszM3NZTKZQCDg+75pmsVi&#10;EepG7O/vFwqFVqvl+/5AWjuHc1GYbg1DEZx5rL4OhHWwTFXOFcGFx5un3+7PhrvjOMVicX19/cGD&#10;B2tra8fHx+12GzK0I5FIOp0eHx+fmJhIpVKQADggOfoPdenAwfsfYFVVk8nk9PT03Nzc1NRUMpmE&#10;zqCgOR0eHm5sbGxubh4dHYH8YIavqztJzp8CbARCKhIIEhAb7LHiXBFceLwVwDMAL2DN3mg0jo6O&#10;Hj169PDhw4ODg3q9Dll4gUAgnU6PjY2Njo5C6Z4BnaOnF7zeSVkUxUAgkM1mQX5MTk4ODw/DSrDT&#10;6eTz+Y2NDQgvLpVK3W4XGhS+/vPkXA9AWrDel9AmgFIKxXQhuwhUEM7VwYXHm4epHSBCbNs2DKPZ&#10;bBYKhaOjo+Pj43q9Dm0Bfd+PxWLZbHZ0dDSZTAaDQQh56pcZVzojMyE3IKWgDramacPDw6Ojo+Pj&#10;46lUShAEx3Ecx2k2mycnJwcHB6enp5ALAoIQHu/+Y3I4LwMMPHB1QDgi1DUACyqUNuDj6qrhwuMt&#10;AoY7pbRUKm1sbGxtbUFUbrfbhdU9hOfOzMzcuXMnnU7D5Ps6V1jPk0ysAoSmaePj46urq9lslqW4&#10;Y4yr1erGxsbTp083NzdzuRxkoUPAFX/IORcFxgzID8hONU0TFlLhcDgajeq6zsy5nCuC39y3BXge&#10;CCGtVuvw8HB9ff3g4AA8BDDDqqoajUaTyWQqlYK6C/2Z228c5vyIx+PJZBLKCkEdX1getlqt09PT&#10;nZ2dvb29SqUCgZVvyclzfnKwxQchhGmxiqI82+uMc0Vw4fHmYTo4pdR13Wq1urm5+eDBg+3t7Uaj&#10;wfx+gUAAmmuOjo6m0+lwOAzejrdkeQWSQNf1oaGhTCaTyWSi0SiknsDjbZpmuVyG4KvT09NOp8MS&#10;BjmcHweTHCA8oBYOEx6cK+WtmHc4gOu6nU6nVCpBc4JisWjbNpMNkUgkk8kkk8l4PA7ejrdt5sUY&#10;Qz3EaDTKukjJssxaLxiGUSgUDg8PT05OarWabdsgP962C+G85TCH+QCsetu5f+VcLvwWv3mYz7nd&#10;bp+cnORyuVKp1G63ISUblBJRFKPRaDabBT85LOdfp7fj5cEYK4oSiUQmJiZGR0dDoRBcBcbYsiwo&#10;75jL5XK5HBivuPDgXBQ2ovr9H0z9ZQ0I+Li6UrjweFvwPK9SqWxvb+/s7FSrVWiJARGHvu9LkgQN&#10;ydPpNEzHb2EYOzNDy7IciUTGx8dHRkaCwSB7jD3PA/lxeHi4vb2dz+e73e7bdhWcnwr9bg9YSEEj&#10;S6gNyn0eVw0XHm8eGOK+79frdYjNbTabYOqhlHqeB1nZgUAgHo8nEgld1wd6bLxxIMqePc+Q9hGN&#10;RkOhkCAIkBUIacBQuSSfz4OCZZrm26k/cd5+YLBBqgeMQEjygH4EXHhcNVx4vHkwQsT1PMs2Wu2n&#10;Dx8/+u5Bo1rDBAkUE9eTBVGXFQkL4UBwNJNJJBKgkUDD18FjvSHglFiLcs/zdF2PR6IhTdcVVZNk&#10;CQuYUOr5yCdmu7O9sfnNl19tb2wSxxMQRr7PDtVfapfDeR4wSFzXLZfL5XIZCiMihNiSBeAD6erg&#10;wuPN43u+0THq9Xqz2TS6hm3bju14notQL3kQISRgLAqiJEmwfn9TmeTPo/9k4KGVJElRVYWtAQml&#10;lIId2veJ53qWbbdbrWq1arTblmXzh5xzUcBaBcUQYeHCQnVZOAnXa68OLjzePNADPF8oFAsFo9MB&#10;yQGDHiQDpQghLEmSoqjQk/wtkRkMmPr75YeqqsFAQNc0SRQpQoT4COqRIEwo8XzPtu16o1EoFMqV&#10;imlZ/amCb9vVcd5mmM0KhAfIj7cwFvH6wYXHm8f3/WareXJ8UiyWTNNEiCIY95QijCGaBGPUX3ph&#10;8BBvGlaoigkPaKKuaZooSgghSCRHGGMBU0oRpYQQo9MpFAuNRsNzXd4VinNRWD1QUDtYmRy2umID&#10;knMVcOHx5vE9v9loHB8fF4tF07IwFiRREsE2hRBCiCKKMJZkSdM05gx8awFBAsVNJUkSRBhjlFKE&#10;KEVn1imMsGEYpWKxXqvZjsPNC5wLwQRDf4Y5q8fOZAZP+Lg6+J198ziOU61Wj4+PC4VC1+gS4mOM&#10;EcbfT7OUYoQkSVJV5VnN463yFvRHTyKEEcL4TATCmVIKGgZGCHU6xmk+XygUoNr8W3UhnLcc5vCA&#10;4pvQyUMURVmWwTX4tkUkXj+48Hjz2I7daDZL5VKtVu12u67n9SZfGPm49//gMGfG3LfzwWDRk5RS&#10;QgmlhCLQoDCoUJSCHY4SQrrdbrlULpVK7Var/3K4qYHzYuABAW8HCA8o8g8+j/4F1tv5mFwPuPB4&#10;Y4CtFvLmWs0muI4xxpIoEkJEQRCEM88HQhQhz/ds24GSHmyCHng8+uNc+13Q7OtgR4hOgQ36/Y3w&#10;WPb/Fb6L/RU+HHgg+9+yEEmIEKMUeZ7n+x7GPQMCoWCVxrYN2YIHh4dHnY7heR4cgZ0PN2RxngdL&#10;I4eC//V63XEcsJSGw+FwOAzdy/kq5ErhwuN1MzChu65r27ZtO5ZpObYDMzMhPngH4B/AohLZ7oxe&#10;ltSZ5ReA5RgTAzAdg5pvmmb3+Zimads2LOX694KuCXBwJlfge/ufUiY/BEHEAvzhe186QkjAAsbY&#10;J8SyrWar1Ww2u12Dm604L09/93LXdS3LchyHEKIoCoRp8Gir1wAXHm8AphnAuDe7XcuyYKInhPjE&#10;J4QQSnzfJ76PaG/N7nse9IOilIJVlx1N7IMZtRRFkWWZpamDwGg0GtVqtVgsQhGtXC53fHx8fHwM&#10;r4+OjnK5XD6fL5fLtVqt3W6bpgn57dCjTVEU+NKBwCr2oLJCh4AgCKIkiaIAypOAMdOofN93Hdc0&#10;zY7RgfZQnudx+cF5GfrVX+gkCD4PRVEgqATGZP9mnEuHC483BpvTDbPrODYhhHmWMRYwwoiCyQrs&#10;P9R1Xcs0wWw1EIbIdAsATGHMJtbpdBqNRr1er9fr+Xz+4OBgf39/Z2cH6mgB29vbW1tbW1tb29vb&#10;e3t7+/v7UD6kVqu1Wi3TNOH59H3ftm2Y5dkJ9H81Ox9CiOc5xO+ldyAEEchs+96GcJKO44D4fPbS&#10;OJxnYebZ/oEH6ySI9OuP1h3cmXNJiH/zN38z+BnnioEhTggxTbPZbJYKxd3d3f29/W7XECWREgJr&#10;dphJBVHACKmqOjExMT4xEYlFIdtjQHLAswQfep5n2zaUbTg5OTk8PNzf39/b2wOxcXh4CHrGaR/5&#10;fD6fz8OLYrFYLpeLxWKxWDw9PYW39Xq93W53Oh3P86D0OouyH3hEoZhVp9OpVWoH+/tbW9vlcsX3&#10;fXiWwQ5HKRLEntkhm83Oz8+nMmld10FVYsKDP/mcc2Eyo16v7+/v5/P5RqPRarWSyeT8/Hw6nY5G&#10;o4FAgNfWvVJ4NNvrpicSBMHzPLAg7W5tf/bZZ7/73e+qlaokSZ7vYYQkWfZcl1IqyTKlNBQK/T/+&#10;7M/+xf/2vy0sL2Wz2Xg8zsxWYCnqBWgh5Hlep9PpdDpQYPHk5OT4+BieLtM0YXXG1Bc2+zMLMqRZ&#10;QbyK7/uKooTD4WQymc1ms9lsNBqdnJyMx+OxWAzafAL9JgJBEAzDKBaLh3v79+7d+/TTT3d3dh23&#10;5yzpfSmhkiQihFzXu/vO3b/613/1znvvjY6OxuNxJj94n0HO82CFrXZ2dj755JOHDx8eHh7m8/mb&#10;N2/+m3/zb1ZXV2EsceFxpXDN43XDluqEEMMwGo1GqVDc39s7PDjsdg1WXrAnGzAWRRGcHKOjoyNj&#10;Y9FYNBQKQXtwdkCQB3C0crl8dHS0t7e3u7u7v7+/ubm5sbGxs7OTy+WKxWK1Wi2Xy5VKBUppMXNW&#10;s9mEt7UzKpVKuVwuFArFYrFWq3U6nW632263HcfpdrssPpKVy+1XQSzLqlarpycnhweHBwcHzWaD&#10;nkUeY9zTPjAWKKKe6w2nhmdmZtOZDFwXWKu55sF5ATBCPM8rlUrr6+tHR0dgX52cnFxZWRkZGYlE&#10;IpqmsY0H9+dcBtzn8VphNn14CyLE9TxKaS8wF2NRFDEWKEIYY8gzJ75PfGKaVqNeN9odSoiAMfUJ&#10;zMiYok6rXS1VDvb2Hz14+MXnv//0k9/89pPffP3lVw/uf7eztV04zXdabc92qE882/Ucl3g+IhQR&#10;igjxXY94nu96vusRz0c+oT7xXddzXNd2fNdzLLvVaB4f5dafrt2/d+/zzz77p3/8vz/95JM/fv3N&#10;9tZWMZ832m1KqO+4yCfgqkGEWqZZLpcbjbrrOqDgEkp61ywIUOEKUSSKgu/5pmmCW4XrwZyXBOSH&#10;4zi1Wq1QKLRaLSg1HYvF4vG4pmlc57hquPB43fQvq8+CoyjGgiiKELsOQVO9jcGvgBClpN1u5U9P&#10;C6en3Y5BfYooRYR6jmu0241aPZ8/3dnefnD//h+++uoPX371zddfP/juu4319eNcrtVoOLaNKBUF&#10;ASFKCYF9KSHEJ9QnxCO+1xMexCeIEESogJAqK6qiSKLoOU69Wjs8ONhYW//mqz988fnvP//dZ9/8&#10;4esnjx7v7+0XC0XLNG2ojEsp8X3LtCql8unJSblSMU0TxAbuXXqPszsgIYRcxwEP/4Bk/cGN43DO&#10;YDHitm03m81KpdLpdKALWTAYDIfDqqpy5fWq4cLjLQUGPqzERUEghNbq9cPDw5PT03a77RPf94nR&#10;MU6Ojx8/fnz//rf37t2798d733333cb6ei53VCqXq7Vao9EwOoZt277nwcMmYEGRFUVRJFkSBUEU&#10;RUVVoH+OLEuiJEqyJCuKrCiiKFJKID4YAmpbrVaz2azXG+VKOZfLPXn65Jtvvvn666/v3bv33f37&#10;R7mjdqvtWBZEUNVrtdzxcbFQ6HQ60NgK7M+D14kQWN5YkgoTLTxJkPNi+suTQBQ7Sy9no4jrslcH&#10;Fx5vK2fzLKUUY4FQUqtW9/f3T46PW62WY9uOYzebjd3d3T/+8d4//uM/fvbZZ9/e/3Z3d69arbmu&#10;K4mirum6puu6rqqaLMtYECghvu+5ruu5rus4tuO4jkN8Ao+Z5/UqPXiu57mu67qe5/uEwNQvS5Kq&#10;KJqma7omSZJt2/nT/ONHj7/88svPPvvsk3/6p7WnT0ulYrvdth3H87xOxygWipVq1bIshJAAtYa+&#10;T3n8AbwBFOdC9DcqP/ft85YpnEuEC4+3lO+rjBBKESWEtNudQqGQzxcK+UKlXGk2Gq1Wq1Qu7ezu&#10;bG1tHewflIrFVqtpml3bcezvl2MeRRTcJ6IkCYIgiIIgioIgCliQZUUP6KFwKBQMqqoiiaIkSqIE&#10;BjRRgTxDWQaTGkKYEL/danWNbtc0DaNTrVZyudz29vbGxkbu+LjRbDabrUq5nC/kC8VCo9kwTZOC&#10;Rx0LlFLynDRyljDM/P+DW3A458HCNKDsG8tGYp9zKXJ1cOHxlgJzKAufRRRRSjzfRwi1O+3T05OT&#10;k9NSqZzP5/d29wrFYq1WMwwDwp/A6oUxRhh5vu86LkRGeZ7ng4/9zP0gSqKqqsFgUNcDkiQLgsi0&#10;fZ/43a7R7ZqQmejYtus6nucLgojP9qeUdg2jWqnkjo9PT05qtVqtXjvK5Y4Oj1rNVi9jvFcK8UWK&#10;BTSPYlnB7MPB7TgchODpgOoMUDIHCuQ8O2D4QuRKGbzdnLeEnvBAGKFeiUBBEAWMO0anWCgeHB6e&#10;5k8No+P7vuNCRSxWKhFDyRBJkqCmiB7QI5Ho8PBwNptNp9PDZ6RSw9lMZnxsbGJiYnxifGR0JJ1O&#10;pVIp+GsymUyl08PDyXh8KBQO67ouy4okiaqm9hIYMYYIXcdxXcfpdk3DMJqNZu7oaGdnp1KpuK4L&#10;BbA83/c8nxCK8fk9EAVBgHpE3NXBeRkIIaBYs6oEkiSxkrr9lae58Lg6eJ7Ha4VV9QB9AjLMy+Xy&#10;ce44l8t1TVMURVipw/ZQmARRCnYdiLySJEnAQigYTCSSvudVKhXP9Qghjuv6vg/yBjwlGGNVVWKx&#10;2OjI6NT09Ozs7ML8/NLy0o0bKysry0tLSysrKzdv3lpZWZ6bnZ2empqbm1tcXJqfn5+ZmZmamhrJ&#10;ZtOZTDQSVRSF9upgU9dxQIMhvo8x1jQtHAmPjIzMzMxMT08TQra3d54+fZo7zjXqDdd1CRjfKEVQ&#10;WJci8Hxg1POKp9PphcWFianJoaGhYDDYb7zmcM4FhEe3283lck+fPi2VSqqqRiKRxcXFmzdvDg8P&#10;syJv3HJ1dXDhcVWwcrb9lllWRASEh2VZzWazVCzljo6Oj48t0xQEEbY/y7Lu+QPgmBDR6/u+JImp&#10;VCqbzSCEjI5h2ZZlml3DOItrEkRJ0jRN1/R4PD46Ojo3N7e8sry8tHzr1q3bq7fv3r17+86dmzdu&#10;LC+vLC4tzczNzszMLC4u3rhxY2VlZWFhfm5ubnJyKpVKp1OpcDgkiRKhxPehoG+vDiPGWJSkWDSa&#10;yWbn5+ZmZmdTw8Otduvpk6dP157WajXLsijt5a5jjAUswG35PqEdUULI2OjY8o2VyakpFp7P7iGz&#10;YsGdZPeTTwd/4oDwaLVauVxufX29Wq0Gg8FEIrG4uLiwsBCLxZjywYXH1cGFx1XRb36BETxQcoNS&#10;2m63S6XS6cnpcS6XzxfMM+GBEOrlDD4DJcT3fVmWw+GwqmkIIVVVfd/vdk3TtOCrNE0fHh4eHxuf&#10;mJhYXFpcXl5emF+YmZ2ZmJgYGx8bGRlJpdPxoaFoLB6Lx2OxaCQajUQikWg0Go3GYvFYNAqvw+Ew&#10;/CkajUajkVAoFIlGFEUFEaiqWigUSmcyszOzS8vL4XDYsqzDo6ON9Y3j41y32yWUgHoxQK8xLaXg&#10;mEmlhqemp7IjI5BezkTL8x77533O+dOBEGLbdqfTOTk52dzcrNVqwWAwEonMzs7Oz88nEglY3LCV&#10;yuD+nMuAC4+rgoUPsk+YWgApF6Zplkqlk5OT49zRyfFJuVyyLAuyAl84P1LbthHGkiwjhDRVTafT&#10;gWCw02m3Wi3XdRDGyWRieXn5gw8/vHP7zjvvvrOysjIxMZ5OpxOJRCAQUBVVVhQsCL0msQgjjMGt&#10;DUILY4wwliVJ1wPBYDAej2dHsqOjo9lMJpvJqqoCPT8URU0khmbn5u7cubMwP+/7/snJyfb29v7B&#10;fr1e9yFp4zzhIQoCKF5wi6LR6HAqHY5EVFWFetqyLDNBey6DR+T8iQGah2EYJycnGxsbtVpN1/VI&#10;JDI9PT03NweV30B4nOtI51wKXHhcFcxvAcYW1qzJMAzofVYoFHoFbg+P8vl8rV53bIctup+XEiGK&#10;ouO6MNc7rqtq2tDQkKqqXdP0fF9R1UgkMjExcePGzdVbt6anZ2ZnZkZHR+NDiXA4ogV0RZZFScLM&#10;qQClpr5/jTHGSBBEUZQVRdW0QCAQjkTisVgsGg0GQ6FwSJYk0zQppYnE0Nj4+MzMzPTUVDAUKuQL&#10;G5ubO7u75XLZsW1REM51VfYKBkMFRlEUMFZVNRgKqpoGjRmgqw+UamftQ1jvKdYvZPC4nD8lKKWO&#10;40D1T2a2CofDExMTs7OzsVisX3nlo+WK4MLjqoDytDB24QVIjmq1enR0tLGxcf/+/Xv37m1sbJye&#10;nNbr9a5h+L6HBUHAvSIizw56jLEoChQhjLDtOLZtY4RFURIEIRgIjI+Pz0xPz8/NLy0vLyzMT0xM&#10;JpKJaDQmqyrULhQEgUL6CKEY9aZj6vu9Tre+jwjpyQ+KMKVCLy9EFCVJkRVFkXU9EAyFwpFINptd&#10;Xl5eWlxKp1IY43w+v7G+vra2dprPG52O7/uQI38ugigQQiihkiSBFKGU1Or109PTw8PDUqnkeR6U&#10;nWcuELiNIIOZL5TzJwsEmzCfR71eD4VCsGyamZmJxWLcYf4a4CXZr4r+GwtNn0zTLBQK+Xx+b29v&#10;c3NzfX09l8u5rqvKCvV923YIJZIoYkFwXdf3fHAA9EMpAYMSaDO6ro+Ojo6NjY+Pj8/Pz42NjQeD&#10;AUVVw+FwQA/E43FJlrAgIowopcTzfM8XZRn6+iFQNRDqNZzq63cLjxollBIfY4xFsX+IWEa3Vq/V&#10;63UBY1mWi8XS1vbW5ubm7s7O3v5+p92GboiEECz0nOT9UEpEUfJ93ye+pmm2bWOMQ6EQwUiWZV3X&#10;x8bG3nnnnbt372az2eHhYV3XA4GAqqqwOxPJA4fl/ElhWValUsnn8/fu3fuHf/iHo6Oj0dHRbDb7&#10;85///Fe/+tX4+DgzWw2YjjmXCNc8XpWB+B/2FuytlFLLshq9ZfXR+vrazvb2zvbOzs7O4eFhq9US&#10;BYH6xHVcsFMJUHGWEEros4OeUup7HnT4YFGwpmn5vh8Oh2PxWDAQiMeHwLehKAoWhLNC6FgQRVGW&#10;MMbgqQYjFWgh8AloHuwyMMJYkrAgIIwRIaCUIIxFSZRFESxLtm3n8/nNzY2d3d1CsdhsNn3f74UX&#10;Q+PAc2b5XrAZolQSJd/3PdclhDiO6zi2ZVmu41BCLNuuVaumaVmmSSkVMBZEkYmi/sMyIX3ed3Gu&#10;JxBqVa/XT05Otra22u12IpFIJpOTk5NTU1ORSASeHdY7Z3B/zmXAhcclAMvh/k/wWSCqY9ntZqtS&#10;Lm9ubHz15ZcP7t/f3d3NHR6VSyXbsmAJTQlFPbd1L4QXo+d6+fBZr03I9rAdp91uC4LQ7rRd19V0&#10;PRwJ67ouS5IoSQhjjHpV0nsucSbq4PgUEeJTqD0F/8B5DtIFUkxgXwwniH3HpYhCK4WHDx99e//b&#10;g4ODvd1dyG/3PM/3CZzeud5yZkyATEMBC7AlhkR6QolPuh2jWi6f5I7zp3mMkKaqAhZELCiyLAkS&#10;xecID26d+JMCWlWWy+Xj4+Pt7e1GozEyMjI7Ozs5OZlOpyORSC+UXBT5quLq4MLjVRkI52CzmGvb&#10;ZrdbKpUODg62t7fXnj7d2tza29urVCqNRqPb7UI/1+c5ls8FY8j8wxim8p5QoKZp+p7PdBdZlsHV&#10;jDEWZQnMU99rSBiznAmMkSBKWMDgCyGUIkoFjLEoIkp7Ug06cAiC73mubXc6nXqtdnx8sru7C43P&#10;9/f22+227die653tAkkqL31hCGEBU0I933NsxzTNTqfTaDbr9TrxfYSxgAVJlmRZRhhBLBbsBXKU&#10;G7L+1HBdFxqXFYvF/f19wzAyZ0AP2t5D8sPgeM7lwoXHqwKzMDif2TKHENJqNkvF4vb29qNHjx89&#10;fLi+vn50dNhqtRzH8TwfYyQIAvi6LzLHIlHsSY/eF1NKKRWwQCmxbafdarfaLaj5gyjFGKuqKggi&#10;Bs1BFPtW7N932EBML/m+KBbuyQz4K8ae67abrVq1enh0tLGx8d397x4/fry/v1+pVLpdo9Np+54H&#10;6goWMEbPjRY7F9baBOPevp7nQW8oyKNstpqObcPp6aEgCAxWi/f7q+D8aeB5XrPZhC7Oh4eH3W43&#10;lUql0+lsNpvJZMLhcG8sYfysVYBzWXDhcTkw6yp0NzNN8/T4ZG9//9HDh48ePdza2jrN5zuGAV4K&#10;pkn7hHi+D1VvB4/4HERRQOABP4NQSglxPa/bNZqtltHpuI5j27asKJRSURQpIY5tu45DKaVQk0oU&#10;BVFAGEOfKXTmoQDjFUWI+r7rur7v25Zl27ZlWq1Ws1gs5AuF7a2t9Y2NR48ebm1vFwvFTsdwXMf3&#10;PFAABPCRINRrAPVy10Up9XwPNKEfCC1KW+12rVptNlue50LfET0YYMKG26z+NPE8r9VqVSoViHc3&#10;DCOVSqVSqdHR0XQ6DcIDtoTkqsH9OZcBFx6vCgzT/njcZrNZLBY31tfX19YfP368t7dXLpchARCs&#10;Q1B3hNKe2oIQejYq6XmwfWHOB6Ctmuu6jm27ruu6rmEYYF9qdzrtVsswOlBCDnL3IKardxSYpeHE&#10;hN4sTDzfsR3T7DYbzXKpnDvObW9vr62tbW5ura2vHRwcnObzjUbD7JqWZVm2pcgKRAOzCC4orPKS&#10;czpIQbZa7H1CiOt5cEW+7xPiU0o9z9ODAUopyyVk93/woJzri+/79Xq9WCyenJwcHByYpplOp9Pp&#10;9NjYWCqVCoVCbFXBhcfVwYXHJdA/c7VarcPDw83NzccPH62vre3t7dUbDQgoEs7W1FgAJ4IoioIk&#10;ii9IiXgOg4YuVVEEQUBnBp9Op1OuVAqFwunJSblcaTTqRrfr2LZl2702t4IoChhRirAA8VRYFDB8&#10;Qin1iW3bhmFAW4693d0njx/f//bb+99993Tt6c72TqVSNrpd3/cRRRAK2SvaCOIQzukiczp0n+41&#10;GTmjF2ElirKiEN9vt9vNVqvZasmqQgjRNE3XdZBYL/ktnGuDbdvlcvn09PT4+Pjw8NBxnLGxMYjW&#10;TaVSwWAQNuPC40rhwuMSgMBZCF2tVCpbW1sbGxvbm1sHB4flcpnF7PqECOCvhry4M15+koV25uzN&#10;2fSMCfEpIRgjURAxRo7jdtodz/W6ZtfoGka321NE6vVatVoul4ulEmSc1Ot1q9slvm91uyfHx4eH&#10;h4eHhwcHB/v7+/sH+7mj3FHuaG9vb2t7e3dvL5/PN+r1brfrgHbjOJ7vY4xlWfJ7CYcUYnBBSF5I&#10;KJKzmwJHQGc3Be6MbdsgrmRJ8ikVBCESiQQCge+bvZ+pIJw/BWzbLpVKp6enJycnx8fHvu9PTEyM&#10;jIxAQ4FgMMg1j9fAxUJi/sQB60r/VAUTJuQidTqdnZ2dvb297e3tr7766uQoBw3AHcclxMcYI4xd&#10;18UISZJEz/QHWGQLQk8pgSnU93xKwdF3Fu9KKYgO3/PAtwCfwLKfkHN+RFmWBFHUVFXXdV0PaJom&#10;K7Ku68FgEPYNhyOZTObdd9+9fft2o9n4/eefb25tWaYJdbcsyzIty3Ecy7SMrtE1urZtua577ncR&#10;4ouihBD1CQHlgxAiiSLGwlkbKIgZRoRSjJAANi7oVQKX7PtCz/IHgWQIUQjB6slXQRRlWZZEMTIU&#10;v3Hjxi9+8Yvbt2+DgTsYDIqiOJDw8X10Gefa0Wq1Hj9+fO/evUePHj169Ahj/Mtf/vKDDz5YXl7O&#10;ZrOxWKz/d+dj4IrgmscFAJnRP0nB1Icxdl23XC5vbGysr6+DCKnXao5tu65HKDnbFSp9iOJZtRAo&#10;ndibPmHRjb4PP+0V1u2T7rjnkxcELMAhe/rHebgeqAdOt9ttt9uNZqNWqx0eHh7s7x8eHp6cnJbL&#10;5XanHY1G47F4Pp//4ssvv/nmm82Njd3d3e3t7cPDw0a9Xq3VGo1Gp922LNvzPLjYwW9CCJ0Z5OA1&#10;xlgSxZ4i0lOVemqSIGDhLOiLEuoTH46pqaokSdDvtu+6er1J4EsIoYT4HaODzkL4NU0Lh8OqqkLw&#10;Vf9KCO44e8u5TliWlc/n8/l8uVwulUoIodnZ2ampqWQyGQ6Hny3s/4OdOZcEV+heCZiwTNOsVCpQ&#10;serRo0c7Ozu1Ws22LMdxCPEx6nk4wN8giKJPwMPt+54HieK9pTYhvu+DFKGUEsJeIpguRVGE9A5K&#10;Sc8/QSn4wJ8FupUTSj3Ps23b7JpGpwMdnqELW7vdbjWbxPd1XVMU2fe8rtHtdAzLtgmhnue32u1O&#10;p2OZluf1SltLUs9MNACoFCD9fM/vVTPFAhYwxj0vOqUUnN69q/N7wlIQRIyQ5/ue73me50MPakJ7&#10;LndBEEVJlCQoVk8IMS2rXC4/efLk3r17Ozs79Xq9Cw4YhNgvwvXpaw8o/SAbwDYFMRSwjIBtuNi4&#10;UrjweCXA9lKv14+OjnZ3d/f29nK5XL1eRwhJkizJMqymBUGgiPrEBwmBKBVFUdW0YDAYCoUj4XA4&#10;HA6FwqFQKBQMBoOhYCgYCAYCgUAwGAwEgoGArmuaoqiKoqiqKooSgsW+KEqiJD7HpIsRxlgQBUEU&#10;oSmtJMmyqiiKosiKIssSFrDv+67nQX9zCvJGFHvNa3VdUzVFUWQoh4Xh3M+flCVJAlnF7Mtwqqqq&#10;6roWDARD4VC4d5mhYDAYDIZCoVAoFIRPQqFQQNc1VZUVWeire0gIQZRiAYsC+M4FQRB1XXddN5/P&#10;7+zs7OzsnJyclMtl13VZwFu/gZFzXaGU2rYNMYQgPCA3tmcO5b/+1cN9Hhegf0oCqwg4ybe2th4/&#10;fry2tvbw4cO9vT3HcSilmFBmc+ntCKoCopIkRcLhoaGhcCSiyDL0BhdFCYxZbJ1OKaWEeL7vQNUn&#10;23Ydp9lsGt2u2TUpJcxNgs+L9O2d6lkeOvM6qJqmKEo4FIoPDY2OjPz5n//5z37+81q19ptPf3P/&#10;/v1SsdjpdAzDgKa236/kKRyP9kTXD8EYeZ6PBSwIguu6oiDG4/FYLKZqqqoomq5rmiafaQ8UUXxm&#10;g/JAFfI8y7Zty+p0Op1OxzC6jmP7PpEk8ey0ca9sCkaC3KsLGYvFVldXf/azny0uLq6urkL/OHau&#10;PArrGtNqtb7++utPP/10Y2Njb29PluW/+qu/+ou/+Iv5+flIJAJlNGEA8Azzq4MLjwvAZlCQHJ7n&#10;WZbV7Xa/++673//+9+vr60dHRxBehRCSkNDLxIDoI1EQsOATHyMcCAZGstmJyclsNhsMBGKxWCAY&#10;VGRFlqVerwvf930fxI3rul2j22o1W+12u9U+ODyoVWu1Ws2yrTNb0PkN+2BOp8x5cOZDiMfj8aGh&#10;TDo9Nz8/PTW1tLw8NztrGN1Hjx9tbW5CwFW+UOi026ZlgQiiYCJD6NxyjRAr5bmeLMuarhFCVEXJ&#10;ZrOzs7PRWCwUDIYjkVAopGu6LEtwNLGXE0Mdx3Fcx+yatVqt2WyWyqVioVCpVlutlus4sqxABUZC&#10;/N44xQhLouu6giAEg8FUKrWysnL37t1f/vKXUNSIWy3+FGg0Gr/73e9+/etfb25uFovFSCTyb//t&#10;v/3Lv/zL2dnZQCAACUBceFw13GH+Y4BBCckQzWZzbW3t22+/3dvba7VaYD+hlIpn2oAoSaqqBgJ6&#10;IBBIJpNDiaFMOj0zO7u0tLSwsDA1NT05OTk2NjYyOgLN/iLhMBisIpFwLB6PxWLhcFjXdU1VA4Fg&#10;KBxSVEUQBEVRdE3XA7quaaZpDp4iQq7nEkIQwljAYs/CJUYikfHx8YmJianJyTu3b6+srKTT6XAo&#10;rKiKLMvBYFDTNEIo5IcbHQNjDIUVKeqVvjo3nzEcCauqEo1FE4lELBZLZzKzMzPj4xPJZDKRSCaH&#10;k8PJZHwoHotGQ6FQOBxOJBKpVCqVTg0PDw8nk8nhZDKRjMaiuqaDoUxV1UAgIEqiJIlQigVB4ROM&#10;BVEkhMiyLMsylAgLhULj4+OapmmaBs2rubf8etPtdjc2Nh48eJDP5y3LCofDN2/eXFhYiMfjYLli&#10;Y4APg6uDax4X4PslLcLE88xu9zR/epw7/uLLr+5/++3m1ma324XBSghBgkAoEbAAAbKZTGZmZiYx&#10;lIjFY9lsNplMgvU/EAhEwxFVlkVJMgzjOJdrtzvdrgG1cjVdDwYCCCHLtqFUbdvoOK5br9Vr9Vq7&#10;3T49Odk/OKjX62a36xMiSRLxCaFEFASEMHSlhTBWVVUTQ0PJ4eHFxcV37r4zPTMdj8ehUbmqqoQQ&#10;SAQxOp1arXb//v373323v7/fbrVt2yKEuJ7Xi52l1Pd9WZJFSfQ9HyGkaaqu69mRkbm5uXgsFo8P&#10;pTNpSqkqyZ7nuY4rSRLGyPN9AWPHdVVFyWSziUQiEo4EQ0FJlGzHrjeb3a7R7XY7htFoNAqFQrVa&#10;rVQq29vbJ8cnpmWCLx0hFNSDrutIoiRJEiEknhhaXlr6i1/9amFhYXpmJplMCqKIIIgASrBwfsow&#10;XZ+9pZQWi8Vf//rXf/u3f7u+vu44TiaT+c//+T//p//0n7LZLI+zem1wzeMC9IqSn7kSOp3O4cHh&#10;5tbWxsb68fFxvVaDbhaEEEoRNM8IBAJDQ0MjIyMzMzOLi4sff/zx3bt3V1dXFxcXJycns9lsIpHQ&#10;NU0UREmSTNM8PT2tVCulcrlQKLZaLcd2EKKCKKqqmkwmx8bGllZWlpeXZ2dns9lsPB6HTuYQ7QrP&#10;VS+gVhCgEjv4wBFCuq5ns9mFhYWbN2/euXNnbm4umUxGo1FN00RRlCQJ1J2hRCISjXq+b1mWYRiW&#10;ZVmW5fk+e4x1XWevKaWyLAdDoeFUampq6ubNmys3bqyurq6urqZSKYyx57gdo9NqNkul8unp6enp&#10;ab1W83xfVVRNU4PBQDgchsCAVCadyWZBK4Js4ZGREUII2AZ7lkBJ0jQN+b7veQhRiqjnuogiRZZ1&#10;XVcUJR4fCofDvSZaGCMMfn7OT5gB7QHedjqdjY2Np0+flkolQkg0Gr19+/adO3dCoRDXOV4bXHhc&#10;kDO3B6KoVqs9ePDg3h/v7e3tVisVy7IwwrA2xxgpmhYMBjOZzPz8/I0bN1ZXV5eXl8fGxoaGhsLh&#10;sKIokCYCwaiSKAoCbrVbBwcHuaOj/b39w8PDSrVSqVTK5XKhUKiUy12ja9u27Towy0NUoiiKmqaB&#10;DIB0ExAeLO+BFRCMx+MLCwu3bt1aXFycmZlJJBJg4em/OEmSZFkOBAKO40CxrGaz2Ww2mS0O8vWg&#10;3q2qqolEYmZmZmlp6e7duysrKzdv3pydnR0dHQ0Gg9VqdX937+jwcH9v/+jo6PT0pFDIVyqVeqNh&#10;W5Ysy4FAMBKNRKMxPRDA0vcRMhCcJoqioijQWxTSAJmQs03LP+tk7hNCCaUIdQxDlKRMJp1MDiuq&#10;gnu+9ec5gzg/PfpVkH7hgTGOxWK3b9++detWIBAY3I1zZXDhcSEoJYT4PqXUcZ3T/Ok3f/zm/rf3&#10;K5VK1zQRpaIoUEIEQVBUNRKLptNpCAS6c+cOSI5YLBYIBFgSE8zv0PqJElJvNHZ3dvYPoD7IQbFQ&#10;KBQKJ6enhweHJycnrVbTMAwsCBDIFAgEIpFIIpGAyRoqiXqeB8IDZnlWj5pSmkwmb926devWrbGx&#10;sUQioSgKfLvv+7BL/8PpOA4cpFgsFgoF27bZcUAggf9mdnb25s2bN27ceP/996enp0dHR6PRqCzL&#10;nU5na2vr6dMn21vbW1tbh0dHxWKxWqu1Wu12u+26rqZpkXBkaGhoKDGkamr/1CAIAsQVg/BIJpOZ&#10;TCaVSgUCAdCrXNsG78tZ4XiMEa7Xa5qqjk9MZNIZXf++8zk3W10nmN240+lAI+dKpYIxjsfjq6ur&#10;N27c4MLjdcKFxwWh1PN927Iajcb+/sH97+5vbmy02y2o8gSb6LqeTCQmp6cXFhZu37598+bN+fn5&#10;TCYTCoUG4tC/V7Ap9X2/Vqvv7e0e53InJyf5fKHZbHW7hmEYnU7bcVxN04KhYCqdHh8fTyQS4DEO&#10;BoPRaFRRlGAwCOYaMPVAb3Cw9sCJDQ8P3759e3V1dWRkJBgMwtdCdRNY0X9/MhiDBtDtdg8PD09O&#10;TkzThC2hgmE0Gk2lUpOTkwsLC8vLy1NTU/Pz89FoNBKJKIoiSZLruoVC4XD/4OT09Pj4uFIut9tt&#10;wzBM03QcRxTFUCgUj8WHh4eTQ0Oarv/wBtNehqMo6rrOUkNUVYU0Sd91KUIQ4gsJmAjRTscIhcMT&#10;4+PDqWFd1yEt8/sqv5xrAWuc0263Nzc319bWGo2GLMuJROLmzZvLy8usJCLnNXBO5AznRWBMEWp3&#10;OscnJ4eHB9Vq1XYc27YpIZQihLGmadmRkeXllffee+/DDz+8e/cu2IjA6gIr92eBJT1klDO9AdIm&#10;EEKe71u2ZZqWbdnMMMWa0aqqmkqlZmdnb9++/c4776yurk5PT0Mb8/66geAwYMUbmKrBYOKBEAIu&#10;EE3TwDjGNpBlWZKkRCIxPz9/+/ZtqIu1sLAAIWEgGlnSFkUI8lRAhomCIIkiohQqpnS7hm3Z8Kfe&#10;9Z/5UQDoZAXpikNDQ3Nzc3fv3n3//fdXb9+enZ2NRqOiKEIwtOu6CFHLNIvFUj6fbzQaruv2Xxrn&#10;pwsbGPAafGCWZYHtVBAEXdfB48VGO+f1wIXHhcBYEBBFXaObz+dzx8etZpOtlGEej8fj09PT4L5b&#10;XV2dmZmJx+NMJ4C1M6zu4XVfG4zeGhlqtSPcc4OzQlgQfwj/16usflaQPBQKpVIpUHRgNgdbFgt4&#10;h0R3MAcNPGOQSNH/CTyu4DXpj3qE5PNUKjU9Pb2ysgKGgsnJyUQiwa4LjgBfCkG3vVJe0EEEIaiZ&#10;6HmeA1Kwz1rFLge+C4KpIFl9aGhocnJyaWlpcXHxvffeW15ayqTTuq6zchSSJLmeV6vVKuVyq9Xy&#10;XA9hxNWOa0D/YgI6eTiOA70yPc8TRbFXDUHTZFke3JlzlXDhcSF61cK7XePg4ODo6Khrmr7nwxSm&#10;69rE+DhMcHffuTs/P59IJFRVhdId/UdhpiEAnCiCKCCKfN/HCJ2Vl2U+arDBiILQC6nqPxp8Ap7z&#10;VCoFXpbFxcWxsbFoNAr2KFiy2bbd7Xa73S4k2bF8uv5qjyw11/M8QRB8v1dtnRASDAbHxsaWlpZW&#10;VlZu3bo1Pz8fj8f7pQscqicOEZJEUZZlqHWIEPI933Fc3/OZMEOI+r7fC6s9o//mMCEEKkgsFpuZ&#10;mblz587KysrE5GQikQgFQ5qmiZIEqf7lcml3d7dSroA/hNWaBPq7BXN+KvSPh54i7nm2bfu+D1EV&#10;mqbBOmlgDcS5arjwuDC+73U6nfxpPn962mm3HcehCImSFI5Epqambty4sTC/MD01NTQ0BN2K+kd/&#10;v5/j+0++/29PMICntzen94uKXqL398sxeAvyCbwRY2Nji4uLKysrs7Oz6XRa13WIoRJFEdpwsAkU&#10;dA6YUtkLZs4CXzrYjiD5LhwOT01N3bp1a2lpaXp6GppFg+CEy2GnRAhxXdd2HPi6788fIYSQcGaP&#10;kmS5J3LQDwTGAEz0yrIciURGRkYmJidnZ2YmJydj8RgWBEIIwtj3vHq9cXx8UiwVLctChFyojzrn&#10;7YQNg35BAkMU9F0oafVs6CDnquHC40Jg3/e7hlGt1gqFQqlUarc7FFFZkiPhSDaTnV9YuLW6urC4&#10;kEylQ6GQpmkvU2EJvLswzwmCIEpSbweYiCG5GmOoSd5v/+0PkYJJVlXVSCQC+Ry3b9+em5tLpVLJ&#10;ZHJycnJ6ejqZTCqKwnZnprNnbVkYY1mWQ6FQJpOBYtepVAoOe+PGDah9DV4cpnn0r/sIIY7jdDrt&#10;TscA2zQGF44oYAELgqgqSigY1DVdluSXMS4x45ssy3owODIycuvW6t07d0dHRmVZFgUBvPS1WhUq&#10;dderNcdxaK8mMRchP3nY79gvS9gYZuVHB3fjXCX8dl8A13VajWatVqs36s1mE6JOZUmKxWKjo6Mz&#10;M9Nzc3OzM7PpVIrZcti4h1F+viA5iygVBEFTNVVRJUmCeoYw78FRHNexeu2Yvm8+CIeFtAwwMQmC&#10;EAqFRkZGFhcXl5aWIMvkZz/7GRQQjEajYEk790zYqaqqGgwGR0ZGbt68+dFHH73//vsrKyuLi4vg&#10;5EilUuB193rdrhw2QcNVg1ezUW+0Wk3bdiilvfq+ggB13XU9EAqFA4GArMjoJZ75fuEhCALkrKyu&#10;rs7OzSYTyUgkKomSZVn1eqNSrVSr1WazaVl2fwV4dhA+xfzkACUYhn1/cPn3TkGxV65/cE/OVcIf&#10;pAtACDG6Rqvd7hpdiHryfY9SGomEJyYmZmZmR0ZGhoaGNE2n/vfT1suvfCVZDgZ7CYBsPS5gAWPB&#10;9/1ut9tsNjudTq9q75nz/KwBeM8fjjHWNG14eBhKE66srNy4cWNpaSmdTvu+X61Wy+UyVCGEBHJo&#10;GGXbNnhEOp1Oq9Uql8v5fL5WqwWDwcnJyZWVlTt37oDOkclkIDiYudDBLc8A/0q3263X661223Fs&#10;RCmUaDyTdpKmqXpAV1X1efXkX0xA19OZ9OTU5Ozs7OTU5PBwUhRFz/Mty7It2+x2DcOwbMs/axnC&#10;+UnT/xBBTTnwlkNAB8RlgC99cE/OVfJjHt0/ZXzPMwyja3Y936MIQX+LaCw2NTU1MzsznEzqAV1R&#10;FPGsNvjg/s+DUgELqqqGwuFQKKSoqoCFsy5SWBCw67qtZqtSrlSr1U6n43neMwfoAesvVVWj0ej0&#10;9PTq6urc3Fw4HK7Vavfu3fv7v//7v/u7v/vtb3/75MmTk5OTTqcDoUogfmzbPj09ffTo0aeffvrr&#10;X//6d7/73dHRESEknU5Dwgrklzzbto99OywMLctqt9vNVsvoGOxU2S6iKMiyoiiKJD1HFfsh/QdH&#10;CFFCsCTJihKLRqenppaXlkbHxoLBgCAIlBLPcy3LgqryrueyvTg/XZjiCN7yLiwOLMv3fSiIEAwG&#10;WQYV57XBb/cFoJTajtNqtlqtlud5oiCqmqoHAqlUamZ2ZmpqKhaLiaIoiEKvKeuZnaTffjV4UATh&#10;qxQLWFXUYDAYCEAEKsYC7C8ijF3P63Ta1Xq1CuXKz/zejN7EeuYIgbJa4+PjN27cmJ6eVhSlUCjc&#10;v3//k08++eSTT7744ovvvvtuc3Pz4ODg+Pi4WCyCqnF0dLS1tXX//v3PP//8k08++eqrr46OjkzT&#10;jEQiCwsL09PTkMfeP5uziwKvu+d5ruuapgnTt23bvn9mTAD/DUJnYcYi7tUJ++dh10gp9c9yOFRV&#10;HR+fuHnz5tzsbDwe1zQNIeR6nmmanU7bMAzPHRSxnJ8uTHiwqmtQXDkYDEYiEXAxDu7DuUq48Hgp&#10;WEiSYXZrjXqj2XRcR5SlaCyWyWbHxscz2UxyOKkFAljolTAH4TF4oOeBESEEYQStAyVJwlighGKE&#10;oD2rIAi+T4yO0W63YeUFeXAwnzIRBS/gtSiIAU1PJpLhUMix7GajUatWK6Xy6cnJ3u7uk0ePv/3j&#10;vS9//8Vvf/Ppp5988uknn/z2N5/+4csvH373YGNtbX937yR3XCoUG7W6ZZqSIISDoUAgoCm9TuPs&#10;iwAmRVzXhdPrdruu41BKwJ4AzhjWX0FRZF3TVE2Dwo7/LP03k2IM90pWlaHhxMTU1NjERDyRiMSi&#10;oiz7hDie1+p0Wu2WZVvMDn6+2Oa89cAPx7QKFssHGq0kSbquBwIBFgnCeW1w4fFS9GZGz2t3Oo1W&#10;s210LMcRZSmeGJqYmhwZGw1Ho3owKIH79yx0aoDnixOKzmbVSCQSCgVlWYYCiwhjQojvE0mUBFFw&#10;Xde27U6nU61WDcNgTuD+w/7gLaGIEM9x262W2TFcy3Zs22h38scnTx8/+eL3v//H/+v/+j//9m//&#10;v//v/8//8f/83/9f//v/8X/+7f/vt59++vC7B7mjo1aj4buua9uOZTu249g2IlTEPcnEvo4BEsW2&#10;7UajUavVTNP0PA9OD3QG6CSLEZYVORQKRaPRcCj0Ms/8gFCUVcUnPhYEWVX1QCAajyWGk6lMejid&#10;0oMBJGDX99pGp9lum5bVL7QGj8v5iQAJpDDq4DWLI2fFdUApGdyTc5Vw4XEBfN83TZOVRpBleXh4&#10;eGZmJp1OQyVwZp4a3PMlEARB17RIOBIKhWVJxuBbPsuno5RSQiGQqVqtFgqFZrP5zz4tUPEEIyRL&#10;sizLoBmYptlsNgvFwv7+/vrGxuPHjx89fvzk6dP19fXt7e3c0VGtVrMtC05JlmVVUSXxLDpLOEds&#10;sEcaIWTbdrFYPD09rdfrruuBigDLRmjhLkmipmmRSDQSiWqahhBGlKLntEZ/ASyADUo0Tk5OjoyM&#10;RCIRhBCYNQzje3cL59rAgkTgeeyVOOuLueK8NrjwuBj9vmJVVdPp9OzsLNR87V+Pn7s2fzFYAId5&#10;KBQ68/7h3hSJMYZ8NywIlmWVSqXT09NWq/XPhpeAn1HVtORwMp3JxGIxURCJD41de64RpkpgjAil&#10;nu/3Jn2EZEWJxmLDw8OxWEzTNBZS/CzM19Ltdo+Pj3d3d/P5vO3YhBDI8IDyXbIsaZoWCATCkXA4&#10;HJYU9Sxp/8LCg6EoCpSEmZycjMVioP2AjOfC49rAHjrmcmOrtGeVb87rgQuPCwDrayjNBPbWSCSS&#10;TqdZ9SrGxYYyTMoYY1FUZCUQCITD4VAorCoqzOY9yYGxgLFhGMViMZ/PN5tNKJw+eLQ+MMaCKAYC&#10;geHh4WwmE4vHVVWRJEkQRAwzvk8IoZZlG4bhOA7xfXImV0A6JhKJTDaTTCZkVR08eh9gRqCUWpZV&#10;LBahl7vrOODjFjBkrSBd16GxbigUUlQF9/SY7+t6XQiQWIIgQGgAaB6CIIDT/p+VrJyfBL3F05nA&#10;gDo0bOT3h+q++FngXDpceFwMx3Ha7TYkW0BGBdQMh+H76isgLArBYCidSU9MTgynhiVJ8j2vZwfD&#10;iFLabrdPT09zuVw+n6/X66ZpvuCZgaAvVVGi0Wg0GlNkhVDq+Z7ne57nEZ+AQ1uWJU3TNU3XNA0q&#10;PUiyrGpaMBCIxWJD8bgeCAiUIkp95/xqtRhj27ZbrVa9Xi8Wi8VisdPpEEpAH4GoKkkUQ6HQSDY7&#10;OjISCYd7RgaMkYCfZw17HqxMHtwZyGtJJBJQl74/955zPWAixHVdwzBarZZpmr7vQzMCCNUd3Idz&#10;xXDhcQEIIeAwAGc1tGOKx+OsGjnTOS42c/UVsMKCEI6EJ8bH5+fnx8bGgsEgHBEjDKv7brdbKpUO&#10;Dw8PDw/BePVc4UERJQRRKslyNBKJx+OhUFCW5F5NEUEQBCyIIqvbSIhv23a3azqOzRoFJoaGwuGI&#10;fKZXidL5ZmVCSLPZLBQKR0dHuVyuVCp1u93eNZ3dC2jjMTo2NjE5GYlGRVHsXfXFrVYsxx6cpbqu&#10;Qz92VoW+P3yZcw1gfg7HcTqdDmTLep4ny3I4HIZGA9zn8ZrhwuNFMGUZgLkbPLG6rkcikUgkEgwG&#10;ofhg/17s9UvRvz2lmqqmUqnJicl0KqVrmoAhWIhQQqF3RbvdrlaruVzu8PCwWq32V25gyRCUUooo&#10;8cFbLgUCgWg0MjQ0lEgMRcJhVVFEQaAU+Z7nODZrECIIoizLmqYnE4mRbDaZTIbDYU3XRFnuNV3q&#10;MyD0z9Gu6zYajd3d3d3d3UKh0G63HcdBlEI9XYam65lMZiSbDYVCoiDC9fZv8JLAVMKisBRFCQQC&#10;uq6rqgqp7xf+CThvPTDwCCFQCgHyPARB0DQNHkAuPF4zXHi8FLDqcV231Wo1Gg1CSCwWy2Qy0Dtv&#10;YOMLG6+gn0dvGU4xxolEcnJyEuoYCoKAEPZ8n1AiyzIEuVuWdXR09ODBg93d3Xq9zqpLwWzeJ8Ao&#10;pQiKR0mSFI8PZbPZSDSKMKYU9dp7SJIgiLCjKImCKLiuA32hhxIJTddFSRIlCWMBkhkHhAeEu5im&#10;WalUHj58+PDhw2azCZdPKBEFAWFMCYWCiOFQaGJ8fGR0NBwOSzKrr0Uv6vJQf+iAgU4qqqqCu0jX&#10;ddYdpH8zzk8aGKKs/g2L2YVh/Fz9m3Nl8KfrAvQvdaPRaDKZjMViAxPZj4SQXriqIGi6Ho1GhxJD&#10;iUQiPjQUCgVlRRYEASxXcAKu69br9ZOTk4ODg52dnXq9Dn1n+7v+QU9AQghoAIqiBoOBSDQaDodV&#10;VRUEgS37MUaCgHtOFUIFQYQeCcFgUFWUM+2BIoxQL04SQx1GiL5vt9v5fP74+DiXyxWLxXa77fu+&#10;AJoNIb7nIUSDweBwcnh4OJVIJuOxeCAYxKKIoOLVJSkJqqqGw+FoNAqeD6aQca4NLNeHrWBY20q+&#10;Vnj98Nt9AWRZBpkBYgN6kl+WhQRasWKERFkOh8PDyeGxsbGJiYl0Oh0KBmVJEoReMQ+MseM4tVrt&#10;6Ohoc3Pz0aNHe3t71WrVdV1mGgbYO4ywJEu6HgiHQrquS72GuL3Nzp5J0CuIIAqBQCASjUYjEU3T&#10;BaYVIcTKz0GIPaXUNM3Dw8ONjQ0odlKpVLrdLqwQeycgCLKipFKpubm52blZqKsoK8rFlLOXALpF&#10;JZNJqNv4Y+yHnLcYNrbZ2GM5HzCA+c/9muHC4wKIohiPxyEqNBwOs57kg9v9aChCCGGEJEkMhoLZ&#10;bHZmZmZ8fDwcDkNvcLaa9jzPMAyQH+vr6xsbG0dHR51OhyVUw/FEUcSiSBGmiGKERFGUJFnAgu8T&#10;3/cIJT09Ah5LjMGuLGCsalo4FAqHw4rS69eEQEM5m5FBrTFNs1AobGxsPHz4cGtrq1QqWZbVuxSQ&#10;Q4IgSVJAD4yOjS4uLs5MT8djMUmWhO+P+ePCdM8BWkVBN3VVVS9dOHHeIOwpY35HWCqBzQqKdfLg&#10;7NcMFx4XQ5KkaDQ6NDQEAR4sxvxVYcsqQhCh8FTE4/HpqanJqaloNIow9nwfGtayQluWZVUqlZ2d&#10;nV5yeC7XbDah5lXvqIKAz5INCaVQcQsCq3wIWOrFcX3//ZRShLEoispZA8EfzsK95R5CyDCM4+Pj&#10;tbW1jY2NJ0+e5HK5brfbfymUEAELiqJEIuGx0dHZudnsyIiu6/Cns14lz008vChQmp65zXmZ1WsG&#10;DCrLshqNRqVSAeuoLMu6rkMXg8tcxnFeAv50XQCYuMHnAdWZgsHgJcxQbBoVetmCCAuyLA8lEnNz&#10;c/Nzc6lUWtc0WZZluRfTxQy+zWbz8PBwfX390aNHDx8+3NzcLBQKUM6WUgoBWv0IrPUf6v2HEJ8Q&#10;n571gqUIQR0UKOn7vVICU7xPwD1er9dzudy333779ddfr6+vQ9wXFLNipycIoqapkXA4kUhMTExM&#10;T0+nUyl1oPQppZQQSl51zQg6GZwtWMCh8+7gdpyfGvDQwS8LZtJarVYsFiuVim3bkiRBVV1o+Ty4&#10;M+cqeeWJ708J5pGGLq2wML8EZbl/DS4IWBSwKEiSHI1GsyMjY+PjqVQqFo+HwyFNCwiCANMzaBOW&#10;ZTUbjZOTk92d3fX19a2trVwuV6lUOu2OZ9u+7/XUCywghAQoASRJotgrjIso9X1wqoPMEqAeFiUU&#10;4Z5FCZ5eEB4+Id1ut1arFQqF/b29p0+ePn36NJfLtVot6K9AfN/3fN/zBIwVVQ0Eg/F4fDidymQy&#10;qeFULBZTVFUQRQwBZmeXfyHPNpxP76zOYDHK4MJhbdv7LR4Du3B+EsBPBr8dhBoahsH6eEKobiAQ&#10;gIdxcGfOVcKFx4tgFhjIR4MO4bFYTFEUWH2DoeZVEQUk4J71/+yfjwjBSNG1eDKxsnrzz37557ML&#10;C1RA1PORTzBBAkUiwoooBVTNtexSvrD++Ok3X3715ee/f/zdg/zxcaPRILCuh+pSpNe/0/d8Qikh&#10;xHM9z/dBRQDBAKdjW7brulANnlKKCEGEIEp9QjrtTrlQfPLw0W/+73/63W8+3VrfaFRqzWqNuB71&#10;fOT5mCKBIoEi5BPX8xRdW1m99fOPPx6dnNBCASSJFKNeSjlcqYCxJIoXMf31ywkGa1EliiIsRQOB&#10;ALQ4hA0uQUHkvAlA/WVV/ZljHAyqkiRpmgY2K17K7DXDn6gLAOqzruuapoHjzjTNfh/DJQK2F03T&#10;0un04uLirVu3FhYWRkdHw+GwLMugTYDXGuq0V2vV/f29J0+ePHz48PHjJ+sbG7nj42Kx2Go2rW7X&#10;93yI5iKEEOIjSmF/URAkSRTE3gOJEcKCIIgCpcRxXdfzICTXdV3T6JYKhaPc0f7+/sbGxoMHD777&#10;7rvNzY1CsdC7CWfRLwhRjAVZUYYSQ6OjozMzM1NTU+l0GiJoX92PzcR5/4cgTqChOnRxh7T//g2e&#10;3Yvz9gO/LCzj2M8Hr1mcLmQIcrPVa4YLjwsANfjA1cFyHS5kcrkQ4BWHqn8LCwszMzOTExPZbBZq&#10;touCAIUFsSB4rmvbtmEY1Vrt6PDo8ZPHX3311eefffaHP/zh0aNHhwcH7VYLKh6yioG9RxFjSB1H&#10;iGIEBxMkUfJ9v2sY7Xbb6HaNbrdaqWxtb4GH4/ef//67+/d3d3fL5XKnY3iuByoAtAeEM1dUJR6P&#10;T01NLS8vr6yszM7ODg8Pg1X6UqbvZ+UH1G6BerqCIEQikWg0Cuksl/KNnDdFv/BgGif7TVllfp7n&#10;8frht/sCSJLUv6Rl5fmuAva0yLIci8VGRkZmZ2eXlpdnZmYSyYSqqRhiEymVJMnzfEoItFiv1Wtb&#10;W1t/+MMf/umTTz79zadffvnl+vp6tVqxbce0LNM0HdcllAoChvolvsfkH4ZgKqhqXm806rWa0ekY&#10;HeM0n3/w4MEXX3zxxe+/+PTT3zx+/LhaqUATUIwx8X1o+OH7xPd8QRCikcjIyMjK8vLy8vLU1FQi&#10;kWDz+KvfsQHJwSYXQki324ViX8FgELJw+Gr02gBVcFgpHYhEBz8Hr2P2RuDC4wKAd05VVd/3m81m&#10;s9kEL/HgdpcBrKdY4FAkEpmcnLx169by8vLk5GRqeDig65RSz/MRRYqqiKLoE2LZdrvdrlQqp6en&#10;u7u76xvrT5482d3bazSapmXW6/Vqtdputz3XA381oQTUJ4QQQpQQiiiiiHZNs1qtNppNx3Fcz61W&#10;Kpubm08eP97a2jo5OalUqoZhOK7r+V4vBhj3Urdg1T86Ojo3O3vz5s35+flEIgEm6ctS0folEPOm&#10;QqEUKJnnui60Jr0UKxnnzcJWUZ7n2bZt2zZriBAIBMAWyqrycF4nXHhcAMgkCAaDCKFSqXR0dFSv&#10;169o1LIOGfBaEIRkMrmwsHD79u3bq6tLy8u9mrsIIYRkqIxLEaLgkMYCFhzbqddqpycnpVKpa3Yd&#10;x2nUG8VisVatQSF3sFv15+gRSgglsISv1+qNeh0aJ3Q6nfzp6Wk+32q3JEkWRIEiBFY7hBD0IccI&#10;yYqcTCZm5+Zu3rp1+/btpaWlsbGxUCjUX2/4EmE3B4qtWpYFlcc8z2PF8pikYRYPzk8L+AXB4trf&#10;40vX9VgsFo/HNU27xKUJ5+XhwuNiKIoSiURkWW40GsVi0TCMKzKMwGTHivmIohiLxUZHR5eXllZW&#10;VsAcFI/HFVURRKHd6ZiWRSgRJUmWFci29Tyv2+02Go12q+25HvGJaXYb9Xqz2TDNLiUEYyyIgiiI&#10;vcJWCPdqpBDi2HbH6DQaDdOyPM/rds1Gs9npdIjvO65DfAKxwoQQnxDi+4IgyLISjURGRkcXFhbg&#10;DEdHR2OxGNOf+m3WlwWTH7ZtW5bV7XahOIqiKKqqXpaLhfM24LouBETAugdKmUE1gcFNOa8FLjwu&#10;AMthjsVi0G/D9/1Wq9VqtWzbZuVsL2WKZGYrWHmBFBFFMRKJTs/MLC0t3Vpd/eijj26srMiSpKkq&#10;1ErxfZ8QH7IyREmUZTmTySSSCdu2Op22T4jrehgLuh4QBJESiigoBGeBswgJWEAIm6bVqDcMo9ts&#10;NCml8Xhsfm5udmZWkmRZkgRRkBVF1wPQ50MQReKT8fHxD3/2s599+LN37t69sbIyOjYWiUbZ2v9y&#10;J3F2e2FNalmW4zi2bQ8PD9+4cSOTyfQH6bItL/ccOK+H/qo8/Q8X5JZDfigMsyuKe+Q8Dy48LgBM&#10;36IohsPh4eHhZDIpSZJlWVcxKw3MufBaEIRgMDg2NrZ669YH779/5/admdnZTCYTCAR0TZckCSqf&#10;i6IgybKuafF4PJVKRcJh13WbzWbXMHzfHzhy7/iQo9j3J8/zOp12t2uYXVPVtMnJyfn5uUwmjbFA&#10;CfU9z3Ecz/MxQpIoxmLRiYnx26u3f/7zn7377rvT09PxWBy86P1f9Oz3/mhYBA4ziOm6nslkJicn&#10;U6lUMBgcUDsu8as5rxn47c4CzXuF2UFsgGmXqbaDe3KuEvFv/uZvBj/jPAe24IUpOB6Pj42NDQ8P&#10;QwM7sOyzEKyrGsqUSoqiapqu6VC+SdNURVGCwYAgiD74v30fIo5GR0eXl5czmawoio1GfWdn5/j4&#10;+GUXaBgFQ6GxsbF4LC6KQjAYpJQen5zUa3Xf9zDGqqbFYrFsNjs5OTUzM3Pr1q07d+7Ozs6lM2mo&#10;2oKFq52v4eCwFAVfvaIo8KOk02lYlnJ+6oDkYD2g8vk81OCRJCkSiaRSqfn5+UwmA5td6XjjDMCF&#10;x8WAHGbwfGQymZGRkaGhIRZpDttc+SCmlPg+xigQCCQSQyOjo6FQKBKJYIwd13Ecx3Nd3/ejkejs&#10;zMzq6u34ULzdbhcKhcODw1Kp9JKJuBjjgB6AVbyqKvGhIdu219fWisWS53uSLMdj8fHx8ZWVldXV&#10;1Q8+/PDGjZvjE+MQxywKIlNjBo97ebCDw9oT8v/j8fjQ0NDVeek5bwSoqAadY7a2torFIoSwZzKZ&#10;ubk5EB78537NcOFxYQRBkGU5GAyGw+FQKARxqKB5sAymKxrEzLKEEIZQxUg0OhSPQxM9QRQEjCVJ&#10;UhQ1oOvJ4eTi0tLNGzcEQTg6Ojo8PDzNnzbqjZePLVYURdNUWZaDodDIyAii9PDwsNPpBAKBRCIx&#10;OTE5Pz+/vLK8tLh069atsbGxaCyqKIogioIg9tSOq7kPDDZlQPEYiN0ERRB+C5449lMHfkff96Gk&#10;1enp6dbWVrlcDgQCqVRqbGxsdnY2lUpx4fH64cLjAjCpALMVJCixHFfWOvvqhAdFFBGKBUHASMBY&#10;EEUBY0qpruuBQDASiSQSieHh4VQqlUqlMunM4uLixMREvdF49OjR/t5epVwxTfMlnflwEbZt+74f&#10;iUQmJyaCwWC73YlGI9PT0zdv3Lxz587KjZXZ2dmxsdFe/z5Zhlq8SBCIT0DWDR73kugvWQHeIHgB&#10;9RDZz3R1J8B5PcBwhXqI9Xr99PR0Z2enWq3GYrGJiYnJycmZmZl4PA4RJYM7c64SLjwuB+bwuPo5&#10;C/eq+hAC3yRgrAeD0WgklUplstlMOp1IJhNDiaGh+OTERCwePzw8vHfv3tHhERQifclzwxgTSpvN&#10;pus48VhscmoqEo2applKpWZmZ1dXV2/dujk9PTM8PAyN3EVJQhgTz0MIYUFgatLgcS8Pdp/hBXRT&#10;7xckbAPOTxfm0+p0OvV6PZ/P7+zsNBqNZDI5PT09OTk5MTERjUZ5HZrXD5fVrwRMT2Cw6o//6TcN&#10;QZTIS673X0yvCQdCWBSwJCIBY0GQVAVhrOhaNB5LZTLZ8bHp2dmbt28tLi+JkrS1ubm3u9tutztG&#10;x7ati3YMp4Q0m81qtZrL5UqlUnYkO7e4uHzzxtTszNBwMhKPhaIRVdckVYGuU4IsYVFECF2Kt7z/&#10;1kHIZn+Qbn+8DRSrgNq6bINXPwHO2wBrhdD/lIGhmAVf8d/69cOFx6vCBm4vBJ3SS5ET53OWzIeh&#10;oCGG/AwMuX0IY1mRw+HwcGo4nckMxeOu6x4fnxwfn7RbLcdxPN9/+VOjlBK/1/K22WrlcrlioSBL&#10;UjqTTqfTsVhM1TRBFARBOJvOz86qv7z85dF/Y8+dLFhC5cDnnJ868HODwg0JH/0a55WWmOO8AC48&#10;XhU2qRFCIFUNwkb7F84wqV2dXGHl4aDubzAYVBTF8/xKubyzs72/v1dvNCilkii9vF0YbAWEUN/3&#10;K5XK+tra3v6+7TiBQCAQCECrV/BLX11liH4h0f8ailW4rjvQs51z/YAfF4omQIY5U+uhgTnT+wf3&#10;5FwxLzuVcF4AEx6maXY6HcuyBpbJsM3LhzldFJaCDqdhGEY+nz/Y39/c3Frf2Dg5PbUsSxRF1sX2&#10;5QGZV6vWtra2d7Z3KuVytVo1DAOMRbDoe3mB9CpAIhgTyaZpGobheR6fNa43TO3wfd+yLMuy2GIF&#10;hAdrFcVHwmvmdTz21x6YRh3HqdfrhUKhUqmAa5qlcw9YXS6d/pxbwzAKhcLW1tbjp093drbLpZLZ&#10;NaGZx0WnWixgURIppd1ut1IpHx0d7ezs7O7unp6ettttqDJ0dUaD/jsGL6Aod6fTqVarxWKxWCy2&#10;220mxgb351wL4McFPdg0zW63C1mu0EMQmsRc6cqM8zx4tNUlAKbYRqNxdHSUy+WazSabWCEJHKa2&#10;y2po8SwgpVzXhXKN29vbT548WXv69DiXq58ldoBv+UKKgiBgURA9z/OJTwmBDuWu70FpegiKZbl4&#10;V3FdYPFjgsG27VardXR0VCgUjo+PG40GVMeToazvFZwA540DqxPf96GO9cnJST6ftyxrdHQUemsm&#10;k0moJsArlLxmXnYe4bwAWBG3223oorG5uQl9L+r1uuM4bF18RTMsMy6Zpgn5t9CMdmtzs1AoOq4D&#10;rQIxxrKsCOIFfnGKEEUUXAtYENqd9sbGxldfffXo0aPDw8NarWaaZn8E1BUB60rP8wzDqFQqW2fs&#10;7e2Vy2W4w4P7cK4L/ZoH6+fBfHvg3uOxEm8ErnlcAiA8Go1Go9GAxuaVSgVCS8Gh1++TuAqglQUk&#10;366tra2trR0cHFTLFddxz+rmIjgFZgJ6KSjUaEdYwALGvk8sy7Zdh5mYmThkQS/9Pu1X1AYopZZl&#10;wWso7JjP5wuFwvb2tmEYgiAMDQ1ls9lYLAbTx6t8F+etBUyyvu8XCoWjo6N8Pl8sFl3XHRkZgcIk&#10;uq7LsvxsHWXOVcOFx6sCMyYrj6EoSqPR2N/f73Q60KhVURQWanVFc1ypVDo5OVlfX3/8+PHGxsbx&#10;8XG327UtC59N32eFQkABusC/Xgjs2UEQQpKigPkI3B5wXeFwGKQjE5ADsuTHwYxszWbz4OBgc3Nz&#10;Z2en1WqFQqGZmRloqhgOh/ubPnGuGcwkm8/nj4+PK5VKrVbzfT+TyczPz4+Pj0NLjytqq8N5AVe1&#10;Fv7TAfpJuK4LqnQgECCEtNvtp0+frq+v7+/vl0ol27aZFBnc/zLwPK/Vap2cnOzs7Gxvb4NXwHFc&#10;z/Mv+58HC8Dt7e2tra2jo6NarWbbNszd/Vd3KVcKRSkqlQqsNyuVSqPRaDabCCFoJg/rzQvoUpyf&#10;Gkx3B0ECcSiQEAqlEqEVNBi1BnfmXCX8wXtV+m8ga6bd7XbBlsKq7YL2fUVdtdnDA3kPvVO6oh8W&#10;I5bvDQWGYQYfMM0xN8/A3i9Pf6gVhCRAGg3GGEq+P9ux4/udOdeFbrcLIbkwAGBJ4XmeJEm6rsOQ&#10;Yz89HwOvk/8/XuG3HpVoixUAAAAASUVORK5CYIJQSwMEFAAGAAgAAAAhADorFELfAAAACAEAAA8A&#10;AABkcnMvZG93bnJldi54bWxMj09Lw0AUxO+C32F5gje7Sf+kIWZTSlFPRbAVxNs2+5qEZt+G7DZJ&#10;v73Pkx6HGWZ+k28m24oBe984UhDPIhBIpTMNVQo+j69PKQgfNBndOkIFN/SwKe7vcp0ZN9IHDodQ&#10;CS4hn2kFdQhdJqUva7Taz1yHxN7Z9VYHln0lTa9HLretnEdRIq1uiBdq3eGuxvJyuFoFb6Met4v4&#10;Zdhfzrvb93H1/rWPUanHh2n7DCLgFP7C8IvP6FAw08ldyXjRsl6vOalgxQfYXiTpHMRJwTJJlyCL&#10;XP4/UP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Tk9mX4D&#10;AAAVCAAADgAAAAAAAAAAAAAAAAA6AgAAZHJzL2Uyb0RvYy54bWxQSwECLQAKAAAAAAAAACEAwwDw&#10;tbWPAQC1jwEAFAAAAAAAAAAAAAAAAADkBQAAZHJzL21lZGlhL2ltYWdlMS5wbmdQSwECLQAUAAYA&#10;CAAAACEAOisUQt8AAAAIAQAADwAAAAAAAAAAAAAAAADLlQEAZHJzL2Rvd25yZXYueG1sUEsBAi0A&#10;FAAGAAgAAAAhAKomDr68AAAAIQEAABkAAAAAAAAAAAAAAAAA15YBAGRycy9fcmVscy9lMm9Eb2Mu&#10;eG1sLnJlbHNQSwUGAAAAAAYABgB8AQAAypcBAAAA&#10;">
                      <v:shape id="그림 3935" o:spid="_x0000_s1346" type="#_x0000_t75" style="position:absolute;left:66;width:2212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V4CygAAAN0AAAAPAAAAZHJzL2Rvd25yZXYueG1sRI9Pa8JA&#10;EMXvhX6HZQq9SN34r7TRVcSi6EVabSu9DdkxiWZnQ3aNsZ++Kwg9Pt6835s3mjSmEDVVLresoNOO&#10;QBAnVuecKvjczp9eQDiPrLGwTAou5GAyvr8bYaztmT+o3vhUBAi7GBVk3pexlC7JyKBr25I4eHtb&#10;GfRBVqnUFZ4D3BSyG0XP0mDOoSHDkmYZJcfNyYQ3ft53HV7kb9vf3Vf93T+tD61VS6nHh2Y6BOGp&#10;8f/Ht/RSK+i99gZwXRMQIMd/AAAA//8DAFBLAQItABQABgAIAAAAIQDb4fbL7gAAAIUBAAATAAAA&#10;AAAAAAAAAAAAAAAAAABbQ29udGVudF9UeXBlc10ueG1sUEsBAi0AFAAGAAgAAAAhAFr0LFu/AAAA&#10;FQEAAAsAAAAAAAAAAAAAAAAAHwEAAF9yZWxzLy5yZWxzUEsBAi0AFAAGAAgAAAAhAGsZXgLKAAAA&#10;3QAAAA8AAAAAAAAAAAAAAAAABwIAAGRycy9kb3ducmV2LnhtbFBLBQYAAAAAAwADALcAAAD+AgAA&#10;AAA=&#10;" stroked="t" strokecolor="black [3213]">
                        <v:imagedata r:id="rId154" o:title=""/>
                        <v:path arrowok="t"/>
                      </v:shape>
                      <v:shape id="Text Box 3943" o:spid="_x0000_s1347"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cUUxwAAAN0AAAAPAAAAZHJzL2Rvd25yZXYueG1sRI/NawIx&#10;FMTvQv+H8Aq9FM36gdTVKFYteLAHP/D82Dx3FzcvSxLd9b83hYLHYWZ+w8wWranEnZwvLSvo9xIQ&#10;xJnVJecKTsef7hcIH5A1VpZJwYM8LOZvnRmm2ja8p/sh5CJC2KeooAihTqX0WUEGfc/WxNG7WGcw&#10;ROlyqR02EW4qOUiSsTRYclwosKZVQdn1cDMKxmt3a/a8+lyfNjv8rfPB+ftxVurjvV1OQQRqwyv8&#10;395qBcPJaAh/b+ITkPMnAAAA//8DAFBLAQItABQABgAIAAAAIQDb4fbL7gAAAIUBAAATAAAAAAAA&#10;AAAAAAAAAAAAAABbQ29udGVudF9UeXBlc10ueG1sUEsBAi0AFAAGAAgAAAAhAFr0LFu/AAAAFQEA&#10;AAsAAAAAAAAAAAAAAAAAHwEAAF9yZWxzLy5yZWxzUEsBAi0AFAAGAAgAAAAhAMmZxRTHAAAA3QAA&#10;AA8AAAAAAAAAAAAAAAAABwIAAGRycy9kb3ducmV2LnhtbFBLBQYAAAAAAwADALcAAAD7AgAAAAA=&#10;" stroked="f">
                        <v:textbox inset="0,0,0,0">
                          <w:txbxContent>
                            <w:p w14:paraId="160F8071" w14:textId="77777777" w:rsidR="006D7011" w:rsidRDefault="006D7011" w:rsidP="00094D21">
                              <w:pPr>
                                <w:pStyle w:val="af0"/>
                                <w:jc w:val="right"/>
                                <w:rPr>
                                  <w:b w:val="0"/>
                                  <w:noProof/>
                                </w:rPr>
                              </w:pPr>
                              <w:r>
                                <w:rPr>
                                  <w:rFonts w:ascii="Times New Roman" w:eastAsia="Times New Roman" w:hAnsi="Times New Roman" w:cs="Times New Roman"/>
                                  <w:lang w:val="pl-PL"/>
                                </w:rPr>
                                <w:t xml:space="preserve">Rysunek </w:t>
                              </w:r>
                              <w:r>
                                <w:rPr>
                                  <w:rFonts w:ascii="Times New Roman" w:hAnsi="Times New Roman" w:cs="Times New Roman"/>
                                </w:rPr>
                                <w:t>M</w:t>
                              </w:r>
                            </w:p>
                          </w:txbxContent>
                        </v:textbox>
                      </v:shape>
                      <w10:wrap type="square"/>
                    </v:group>
                  </w:pict>
                </mc:Fallback>
              </mc:AlternateContent>
            </w:r>
            <w:r w:rsidRPr="008F328C">
              <w:rPr>
                <w:rFonts w:eastAsia="Times New Roman"/>
                <w:b/>
                <w:bCs/>
                <w:lang w:val="pl-PL"/>
              </w:rPr>
              <w:t>Wyrzucić wstrzykiwacz.</w:t>
            </w:r>
          </w:p>
          <w:p w14:paraId="73E7CAE8" w14:textId="77777777" w:rsidR="00094D21" w:rsidRPr="008F328C" w:rsidRDefault="00094D21" w:rsidP="008A03B2">
            <w:pPr>
              <w:pStyle w:val="a3"/>
              <w:rPr>
                <w:lang w:val="pl-PL"/>
              </w:rPr>
            </w:pPr>
          </w:p>
          <w:p w14:paraId="1E602B6E" w14:textId="77777777" w:rsidR="00094D21" w:rsidRPr="008F328C" w:rsidRDefault="00094D21" w:rsidP="008A03B2">
            <w:pPr>
              <w:pStyle w:val="a3"/>
              <w:ind w:left="4297" w:hanging="180"/>
              <w:rPr>
                <w:lang w:val="pl-PL"/>
              </w:rPr>
            </w:pPr>
            <w:r w:rsidRPr="008F328C">
              <w:rPr>
                <w:rFonts w:eastAsia="Times New Roman"/>
                <w:b/>
                <w:bCs/>
                <w:lang w:val="pl-PL"/>
              </w:rPr>
              <w:t>a.</w:t>
            </w:r>
            <w:r w:rsidRPr="008F328C">
              <w:rPr>
                <w:rFonts w:eastAsia="Times New Roman"/>
                <w:lang w:val="pl-PL"/>
              </w:rPr>
              <w:t xml:space="preserve"> Wyrzucić zużyty wstrzykiwacz do specjalnego pojemnik na odpady ostre zgodnie z zaleceniami lekarza; pielęgniarki lub farmaceuty. </w:t>
            </w:r>
          </w:p>
          <w:p w14:paraId="6A6EEC42" w14:textId="77777777" w:rsidR="00094D21" w:rsidRPr="008F328C" w:rsidRDefault="00094D21" w:rsidP="008A03B2">
            <w:pPr>
              <w:pStyle w:val="a3"/>
              <w:ind w:left="4297" w:hanging="180"/>
              <w:rPr>
                <w:lang w:val="pl-PL"/>
              </w:rPr>
            </w:pPr>
          </w:p>
          <w:p w14:paraId="3C6A7CE3" w14:textId="77777777" w:rsidR="00094D21" w:rsidRPr="008F328C" w:rsidRDefault="00094D21" w:rsidP="008A03B2">
            <w:pPr>
              <w:pStyle w:val="a3"/>
              <w:ind w:left="4297" w:hanging="180"/>
              <w:rPr>
                <w:lang w:val="pl-PL"/>
              </w:rPr>
            </w:pPr>
            <w:r w:rsidRPr="008F328C">
              <w:rPr>
                <w:rFonts w:eastAsia="Times New Roman"/>
                <w:b/>
                <w:bCs/>
                <w:lang w:val="pl-PL"/>
              </w:rPr>
              <w:t xml:space="preserve">b. </w:t>
            </w:r>
            <w:r w:rsidRPr="008F328C">
              <w:rPr>
                <w:rFonts w:eastAsia="Times New Roman"/>
                <w:lang w:val="pl-PL"/>
              </w:rPr>
              <w:t>Gazik i opakowanie można wyrzucać do domowego pojemnika na odpadki.</w:t>
            </w:r>
          </w:p>
          <w:p w14:paraId="5C45F34B" w14:textId="77777777" w:rsidR="00094D21" w:rsidRPr="008F328C" w:rsidRDefault="00094D21" w:rsidP="008A03B2">
            <w:pPr>
              <w:pStyle w:val="a3"/>
              <w:rPr>
                <w:b/>
                <w:lang w:val="pl-PL"/>
              </w:rPr>
            </w:pPr>
          </w:p>
          <w:p w14:paraId="0293747E" w14:textId="77777777" w:rsidR="00094D21" w:rsidRPr="008F328C" w:rsidRDefault="00094D21" w:rsidP="008A03B2">
            <w:pPr>
              <w:pStyle w:val="a3"/>
              <w:ind w:left="4297" w:hanging="360"/>
              <w:rPr>
                <w:lang w:val="pl-PL"/>
              </w:rPr>
            </w:pPr>
            <w:r w:rsidRPr="008F328C">
              <w:rPr>
                <w:rFonts w:eastAsia="맑은 고딕"/>
                <w:lang w:val="pl-PL"/>
              </w:rPr>
              <w:t>•</w:t>
            </w:r>
            <w:r w:rsidRPr="008F328C">
              <w:rPr>
                <w:rFonts w:eastAsia="Times New Roman"/>
                <w:lang w:val="pl-PL"/>
              </w:rPr>
              <w:tab/>
              <w:t>Zawsze przechowywać wstrzykiwacz</w:t>
            </w:r>
            <w:r w:rsidRPr="008F328C">
              <w:rPr>
                <w:rFonts w:eastAsia="맑은 고딕"/>
                <w:lang w:val="pl-PL"/>
              </w:rPr>
              <w:t xml:space="preserve"> </w:t>
            </w:r>
            <w:r w:rsidRPr="008F328C">
              <w:rPr>
                <w:rFonts w:eastAsia="Times New Roman"/>
                <w:lang w:val="pl-PL"/>
              </w:rPr>
              <w:t>i specjalny pojemnik na odpadki w miejscu niewidocznym i niedostępnym dla dzieci.</w:t>
            </w:r>
          </w:p>
          <w:p w14:paraId="6DE8BCFE" w14:textId="77777777" w:rsidR="00094D21" w:rsidRPr="008F328C" w:rsidRDefault="00094D21" w:rsidP="008A03B2">
            <w:pPr>
              <w:pStyle w:val="a3"/>
              <w:rPr>
                <w:lang w:val="pl-PL"/>
              </w:rPr>
            </w:pPr>
          </w:p>
          <w:p w14:paraId="14A75776" w14:textId="77777777" w:rsidR="00094D21" w:rsidRPr="008F328C" w:rsidRDefault="00094D21" w:rsidP="008A03B2">
            <w:pPr>
              <w:pStyle w:val="a3"/>
              <w:rPr>
                <w:lang w:val="pl-PL" w:eastAsia="ko-KR"/>
              </w:rPr>
            </w:pPr>
          </w:p>
        </w:tc>
      </w:tr>
    </w:tbl>
    <w:p w14:paraId="55F92E86" w14:textId="1250BCE5" w:rsidR="003E7668" w:rsidRPr="008F328C" w:rsidRDefault="003E7668">
      <w:pPr>
        <w:rPr>
          <w:rFonts w:ascii="Times New Roman" w:hAnsi="Times New Roman" w:cs="Times New Roman"/>
          <w:lang w:val="pl-PL" w:eastAsia="ko-KR"/>
        </w:rPr>
      </w:pPr>
    </w:p>
    <w:p w14:paraId="2C6D3D70" w14:textId="365C73CE" w:rsidR="0059538A" w:rsidRPr="008F328C" w:rsidRDefault="003E7668" w:rsidP="008F328C">
      <w:pPr>
        <w:jc w:val="center"/>
        <w:rPr>
          <w:rFonts w:ascii="Times New Roman" w:hAnsi="Times New Roman" w:cs="Times New Roman"/>
          <w:lang w:val="pl-PL" w:eastAsia="ko-KR"/>
        </w:rPr>
      </w:pPr>
      <w:r w:rsidRPr="008F328C">
        <w:rPr>
          <w:rFonts w:ascii="Times New Roman" w:hAnsi="Times New Roman" w:cs="Times New Roman"/>
          <w:lang w:val="pl-PL" w:eastAsia="ko-KR"/>
        </w:rPr>
        <w:br w:type="page"/>
      </w:r>
      <w:r w:rsidR="0059538A" w:rsidRPr="008F328C">
        <w:rPr>
          <w:rFonts w:ascii="Times New Roman" w:eastAsia="Times New Roman" w:hAnsi="Times New Roman" w:cs="Times New Roman"/>
          <w:b/>
          <w:bCs/>
          <w:spacing w:val="-1"/>
          <w:lang w:val="pl-PL"/>
        </w:rPr>
        <w:lastRenderedPageBreak/>
        <w:t>Ulotka dołączona do opakowania: informacja dla pacjenta</w:t>
      </w:r>
    </w:p>
    <w:p w14:paraId="75DABE56" w14:textId="77777777" w:rsidR="0059538A" w:rsidRPr="008F328C" w:rsidRDefault="0059538A" w:rsidP="0059538A">
      <w:pPr>
        <w:spacing w:before="13" w:line="240" w:lineRule="exact"/>
        <w:rPr>
          <w:rFonts w:ascii="Times New Roman" w:hAnsi="Times New Roman" w:cs="Times New Roman"/>
          <w:sz w:val="24"/>
          <w:szCs w:val="24"/>
          <w:lang w:val="pl-PL"/>
        </w:rPr>
      </w:pPr>
    </w:p>
    <w:p w14:paraId="63C4E279" w14:textId="7DBEB8C2" w:rsidR="0059538A" w:rsidRPr="008F328C" w:rsidRDefault="0059538A" w:rsidP="0059538A">
      <w:pPr>
        <w:ind w:left="818" w:right="776"/>
        <w:jc w:val="cente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Yuflyma </w:t>
      </w:r>
      <w:r w:rsidR="003E7668" w:rsidRPr="008F328C">
        <w:rPr>
          <w:rFonts w:ascii="Times New Roman" w:eastAsia="Times New Roman" w:hAnsi="Times New Roman" w:cs="Times New Roman"/>
          <w:b/>
          <w:bCs/>
          <w:spacing w:val="-1"/>
          <w:lang w:val="pl-PL"/>
        </w:rPr>
        <w:t>20</w:t>
      </w:r>
      <w:r w:rsidRPr="008F328C">
        <w:rPr>
          <w:rFonts w:ascii="Times New Roman" w:eastAsia="Times New Roman" w:hAnsi="Times New Roman" w:cs="Times New Roman"/>
          <w:b/>
          <w:bCs/>
          <w:spacing w:val="-1"/>
          <w:lang w:val="pl-PL"/>
        </w:rPr>
        <w:t> mg roztwór do wstrzykiwań w ampułko-strzykawce</w:t>
      </w:r>
    </w:p>
    <w:p w14:paraId="13313844" w14:textId="77777777" w:rsidR="0059538A" w:rsidRPr="008F328C" w:rsidRDefault="0059538A" w:rsidP="0059538A">
      <w:pPr>
        <w:pStyle w:val="a3"/>
        <w:jc w:val="center"/>
        <w:rPr>
          <w:lang w:val="pl-PL"/>
        </w:rPr>
      </w:pPr>
      <w:r w:rsidRPr="008F328C">
        <w:rPr>
          <w:rFonts w:eastAsia="Times New Roman"/>
          <w:lang w:val="pl-PL"/>
        </w:rPr>
        <w:t>adalimumab</w:t>
      </w:r>
    </w:p>
    <w:p w14:paraId="6248494A" w14:textId="77777777" w:rsidR="0059538A" w:rsidRPr="008F328C" w:rsidRDefault="0059538A" w:rsidP="0059538A">
      <w:pPr>
        <w:spacing w:before="18" w:line="240" w:lineRule="exact"/>
        <w:rPr>
          <w:rFonts w:ascii="Times New Roman" w:hAnsi="Times New Roman" w:cs="Times New Roman"/>
          <w:sz w:val="24"/>
          <w:szCs w:val="24"/>
          <w:lang w:val="pl-PL"/>
        </w:rPr>
      </w:pPr>
    </w:p>
    <w:p w14:paraId="0A308BC1" w14:textId="77777777" w:rsidR="0059538A" w:rsidRPr="008F328C" w:rsidRDefault="0059538A" w:rsidP="0059538A">
      <w:pPr>
        <w:spacing w:before="18" w:line="240" w:lineRule="exact"/>
        <w:ind w:left="108"/>
        <w:rPr>
          <w:rFonts w:ascii="Times New Roman" w:hAnsi="Times New Roman" w:cs="Times New Roman"/>
          <w:sz w:val="24"/>
          <w:szCs w:val="24"/>
          <w:lang w:val="pl-PL"/>
        </w:rPr>
      </w:pPr>
      <w:r w:rsidRPr="008F328C">
        <w:rPr>
          <w:rFonts w:ascii="Times New Roman" w:hAnsi="Times New Roman" w:cs="Times New Roman"/>
          <w:noProof/>
          <w:lang w:eastAsia="ko-KR"/>
        </w:rPr>
        <w:drawing>
          <wp:inline distT="0" distB="0" distL="0" distR="0" wp14:anchorId="0E86805F" wp14:editId="58F768B8">
            <wp:extent cx="203200" cy="169545"/>
            <wp:effectExtent l="0" t="0" r="6350" b="1905"/>
            <wp:docPr id="4141" name="그림 4141"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8F328C">
        <w:rPr>
          <w:rFonts w:ascii="Times New Roman" w:eastAsia="Times New Roman" w:hAnsi="Times New Roman" w:cs="Times New Roman"/>
          <w:lang w:val="pl-PL"/>
        </w:rPr>
        <w:t>Niniejszy produkt leczniczy będzie dodatkowo monitorowany. Umożliwi to szybkie zidentyfikowanie nowych informacji o bezpieczeństwie. Użytkownik leku też może w tym pomóc, zgłaszając wszelkie działania niepożądane, które wystąpiły po zastosowaniu leku. Aby dowiedzieć się, jak zgłaszać działania niepożądane – patrz punkt 4.</w:t>
      </w:r>
    </w:p>
    <w:p w14:paraId="036E25DC" w14:textId="77777777" w:rsidR="0059538A" w:rsidRPr="008F328C" w:rsidRDefault="0059538A" w:rsidP="0059538A">
      <w:pPr>
        <w:spacing w:before="18" w:line="240" w:lineRule="exact"/>
        <w:rPr>
          <w:rFonts w:ascii="Times New Roman" w:hAnsi="Times New Roman" w:cs="Times New Roman"/>
          <w:sz w:val="24"/>
          <w:szCs w:val="24"/>
          <w:lang w:val="pl-PL"/>
        </w:rPr>
      </w:pPr>
    </w:p>
    <w:p w14:paraId="33AF2BFC" w14:textId="121867C4" w:rsidR="0059538A" w:rsidRPr="008F328C" w:rsidRDefault="00814C90" w:rsidP="0059538A">
      <w:pPr>
        <w:spacing w:before="18" w:line="240" w:lineRule="exact"/>
        <w:ind w:left="108"/>
        <w:rPr>
          <w:rFonts w:ascii="Times New Roman" w:hAnsi="Times New Roman" w:cs="Times New Roman"/>
          <w:b/>
          <w:lang w:val="pl-PL"/>
        </w:rPr>
      </w:pPr>
      <w:r w:rsidRPr="008F328C">
        <w:rPr>
          <w:rFonts w:ascii="Times New Roman" w:eastAsia="Times New Roman" w:hAnsi="Times New Roman" w:cs="Times New Roman"/>
          <w:b/>
          <w:bCs/>
          <w:lang w:val="pl-PL"/>
        </w:rPr>
        <w:t>Należy uważnie zapoznać się z treścią ulotki przed zastosowaniem leku u dziecka ponieważ zawiera ona informacje ważne dla pacjenta.</w:t>
      </w:r>
    </w:p>
    <w:p w14:paraId="62372BD3" w14:textId="77777777" w:rsidR="0059538A" w:rsidRPr="008F328C" w:rsidRDefault="0059538A" w:rsidP="0059538A">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Należy zachować tę ulotkę, aby w razie potrzeby móc ją ponownie przeczytać.</w:t>
      </w:r>
    </w:p>
    <w:p w14:paraId="79993037" w14:textId="63047DA7" w:rsidR="0059538A" w:rsidRPr="008F328C" w:rsidRDefault="00814C90" w:rsidP="0059538A">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hAnsi="Times New Roman" w:cs="Times New Roman"/>
          <w:lang w:val="pl-PL"/>
        </w:rPr>
        <w:t xml:space="preserve">Lekarz także przekaże pacjentowi </w:t>
      </w:r>
      <w:r w:rsidRPr="008F328C">
        <w:rPr>
          <w:rFonts w:ascii="Times New Roman" w:hAnsi="Times New Roman" w:cs="Times New Roman"/>
          <w:b/>
          <w:lang w:val="pl-PL"/>
        </w:rPr>
        <w:t>„Kartę Przypominającą dla Pacjenta”</w:t>
      </w:r>
      <w:r w:rsidRPr="008F328C">
        <w:rPr>
          <w:rFonts w:ascii="Times New Roman" w:hAnsi="Times New Roman" w:cs="Times New Roman"/>
          <w:lang w:val="pl-PL"/>
        </w:rPr>
        <w:t xml:space="preserve"> zawierającą ważne informacje o bezpieczeństwie stosowania leku, o których należy pamiętać przed rozpoczęciem i w trakcie leczenia. </w:t>
      </w:r>
      <w:r w:rsidRPr="008F328C">
        <w:rPr>
          <w:rFonts w:ascii="Times New Roman" w:hAnsi="Times New Roman" w:cs="Times New Roman"/>
          <w:b/>
          <w:lang w:val="pl-PL"/>
        </w:rPr>
        <w:t>„Kartę Przypominającą dla Pacjenta”</w:t>
      </w:r>
      <w:r w:rsidRPr="008F328C">
        <w:rPr>
          <w:rFonts w:ascii="Times New Roman" w:hAnsi="Times New Roman" w:cs="Times New Roman"/>
          <w:lang w:val="pl-PL"/>
        </w:rPr>
        <w:t xml:space="preserve"> powinien mieć przy sobie opiekun dziecka lub dziecko</w:t>
      </w:r>
      <w:r w:rsidR="0059538A" w:rsidRPr="008F328C">
        <w:rPr>
          <w:rFonts w:ascii="Times New Roman" w:eastAsia="Times New Roman" w:hAnsi="Times New Roman" w:cs="Times New Roman"/>
          <w:szCs w:val="20"/>
          <w:lang w:val="pl-PL" w:eastAsia="pl-PL" w:bidi="pl-PL"/>
        </w:rPr>
        <w:t>.</w:t>
      </w:r>
    </w:p>
    <w:p w14:paraId="04DBA3C6" w14:textId="77777777" w:rsidR="0059538A" w:rsidRPr="008F328C" w:rsidRDefault="0059538A" w:rsidP="0059538A">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W razie jakichkolwiek wątpliwości należy zwrócić się do lekarza lub farmaceuty.</w:t>
      </w:r>
    </w:p>
    <w:p w14:paraId="792684B8" w14:textId="2EC7979B" w:rsidR="0059538A" w:rsidRPr="008F328C" w:rsidRDefault="00814C90" w:rsidP="0059538A">
      <w:pPr>
        <w:widowControl/>
        <w:numPr>
          <w:ilvl w:val="0"/>
          <w:numId w:val="5"/>
        </w:numPr>
        <w:ind w:left="567" w:right="-2"/>
        <w:rPr>
          <w:rFonts w:ascii="Times New Roman" w:eastAsia="Times New Roman" w:hAnsi="Times New Roman" w:cs="Times New Roman"/>
          <w:szCs w:val="20"/>
          <w:lang w:val="pl-PL" w:eastAsia="pl-PL" w:bidi="pl-PL"/>
        </w:rPr>
      </w:pPr>
      <w:r w:rsidRPr="008F328C">
        <w:rPr>
          <w:rFonts w:ascii="Times New Roman" w:eastAsia="Times New Roman" w:hAnsi="Times New Roman" w:cs="Times New Roman"/>
          <w:szCs w:val="20"/>
          <w:lang w:val="pl-PL" w:eastAsia="pl-PL" w:bidi="pl-PL"/>
        </w:rPr>
        <w:t>Lek ten przepisano ściśle określonemu dziecku. Nie należy go przekazywać innym. Lek może zaszkodzić innej osobie, nawet jeśli objawy jej choroby są takie same</w:t>
      </w:r>
      <w:r w:rsidR="0059538A" w:rsidRPr="008F328C">
        <w:rPr>
          <w:rFonts w:ascii="Times New Roman" w:eastAsia="Times New Roman" w:hAnsi="Times New Roman" w:cs="Times New Roman"/>
          <w:szCs w:val="20"/>
          <w:lang w:val="pl-PL" w:eastAsia="pl-PL" w:bidi="pl-PL"/>
        </w:rPr>
        <w:t>.</w:t>
      </w:r>
    </w:p>
    <w:p w14:paraId="55BE83F9" w14:textId="7EEAF83B" w:rsidR="0059538A" w:rsidRPr="008F328C" w:rsidRDefault="00814C90" w:rsidP="0059538A">
      <w:pPr>
        <w:widowControl/>
        <w:numPr>
          <w:ilvl w:val="0"/>
          <w:numId w:val="5"/>
        </w:numPr>
        <w:ind w:left="567" w:right="-2"/>
        <w:rPr>
          <w:rFonts w:ascii="Times New Roman" w:hAnsi="Times New Roman" w:cs="Times New Roman"/>
          <w:lang w:val="pl-PL"/>
        </w:rPr>
      </w:pPr>
      <w:r w:rsidRPr="008F328C">
        <w:rPr>
          <w:rFonts w:ascii="Times New Roman" w:eastAsia="Times New Roman" w:hAnsi="Times New Roman" w:cs="Times New Roman"/>
          <w:szCs w:val="20"/>
          <w:lang w:val="pl-PL" w:eastAsia="pl-PL" w:bidi="pl-PL"/>
        </w:rPr>
        <w:t>Jeśli u dziecka wystąpią jakiekolwiek objawy niepożądane, w tym wszelkie możliwe objawy niepożądane niewymienione w ulotce, należy powiedzieć o tym lekarzowi lub farmaceucie. Patrz punkt 4.</w:t>
      </w:r>
    </w:p>
    <w:p w14:paraId="08D9CE7D" w14:textId="77777777" w:rsidR="0059538A" w:rsidRPr="008F328C" w:rsidRDefault="0059538A" w:rsidP="0059538A">
      <w:pPr>
        <w:pStyle w:val="a3"/>
        <w:rPr>
          <w:lang w:val="pl-PL"/>
        </w:rPr>
      </w:pPr>
    </w:p>
    <w:p w14:paraId="26D33B86" w14:textId="77777777" w:rsidR="0059538A" w:rsidRPr="008F328C" w:rsidRDefault="0059538A" w:rsidP="0059538A">
      <w:pPr>
        <w:pStyle w:val="a3"/>
        <w:rPr>
          <w:rFonts w:eastAsia="Times New Roman"/>
          <w:b/>
          <w:bCs/>
          <w:lang w:val="pl-PL"/>
        </w:rPr>
      </w:pPr>
      <w:r w:rsidRPr="008F328C">
        <w:rPr>
          <w:rFonts w:eastAsia="Times New Roman"/>
          <w:b/>
          <w:bCs/>
          <w:lang w:val="pl-PL"/>
        </w:rPr>
        <w:t>Spis treści ulotki</w:t>
      </w:r>
    </w:p>
    <w:p w14:paraId="109F3A4E" w14:textId="77777777" w:rsidR="0059538A" w:rsidRPr="008F328C" w:rsidRDefault="0059538A" w:rsidP="0059538A">
      <w:pPr>
        <w:pStyle w:val="a3"/>
        <w:rPr>
          <w:b/>
          <w:lang w:val="pl-PL"/>
        </w:rPr>
      </w:pPr>
    </w:p>
    <w:p w14:paraId="478C85C5" w14:textId="77777777" w:rsidR="0059538A" w:rsidRPr="008F328C" w:rsidRDefault="0059538A" w:rsidP="008F328C">
      <w:pPr>
        <w:pStyle w:val="a3"/>
        <w:numPr>
          <w:ilvl w:val="0"/>
          <w:numId w:val="142"/>
        </w:numPr>
        <w:ind w:hanging="760"/>
        <w:rPr>
          <w:lang w:val="pl-PL"/>
        </w:rPr>
      </w:pPr>
      <w:r w:rsidRPr="008F328C">
        <w:rPr>
          <w:rFonts w:eastAsia="Times New Roman"/>
          <w:lang w:val="pl-PL"/>
        </w:rPr>
        <w:t>Co to jest lek Yuflyma i w jakim celu się go stosuje</w:t>
      </w:r>
    </w:p>
    <w:p w14:paraId="74F4C2AF" w14:textId="56FA7BEA" w:rsidR="0059538A" w:rsidRPr="008F328C" w:rsidRDefault="00814C90" w:rsidP="008F328C">
      <w:pPr>
        <w:pStyle w:val="a3"/>
        <w:numPr>
          <w:ilvl w:val="0"/>
          <w:numId w:val="142"/>
        </w:numPr>
        <w:ind w:hanging="760"/>
        <w:rPr>
          <w:lang w:val="pl-PL"/>
        </w:rPr>
      </w:pPr>
      <w:r w:rsidRPr="00DF3E6D">
        <w:rPr>
          <w:lang w:val="pl-PL"/>
        </w:rPr>
        <w:t xml:space="preserve">Informacje ważne przed przyjęciem leku </w:t>
      </w:r>
      <w:r w:rsidR="008F328C" w:rsidRPr="00DF3E6D">
        <w:rPr>
          <w:lang w:val="pl-PL"/>
        </w:rPr>
        <w:t>Yuflyma</w:t>
      </w:r>
    </w:p>
    <w:p w14:paraId="6CDDB7E5" w14:textId="77777777" w:rsidR="0059538A" w:rsidRPr="008F328C" w:rsidRDefault="0059538A" w:rsidP="008F328C">
      <w:pPr>
        <w:pStyle w:val="a3"/>
        <w:numPr>
          <w:ilvl w:val="0"/>
          <w:numId w:val="142"/>
        </w:numPr>
        <w:ind w:hanging="760"/>
        <w:rPr>
          <w:lang w:val="pl-PL"/>
        </w:rPr>
      </w:pPr>
      <w:r w:rsidRPr="008F328C">
        <w:rPr>
          <w:rFonts w:eastAsia="Times New Roman"/>
          <w:lang w:val="pl-PL"/>
        </w:rPr>
        <w:t>Jak stosować lek Yuflyma</w:t>
      </w:r>
    </w:p>
    <w:p w14:paraId="10E4C401" w14:textId="77777777" w:rsidR="0059538A" w:rsidRPr="008F328C" w:rsidRDefault="0059538A" w:rsidP="008F328C">
      <w:pPr>
        <w:pStyle w:val="a3"/>
        <w:numPr>
          <w:ilvl w:val="0"/>
          <w:numId w:val="142"/>
        </w:numPr>
        <w:ind w:hanging="760"/>
        <w:rPr>
          <w:lang w:val="pl-PL"/>
        </w:rPr>
      </w:pPr>
      <w:r w:rsidRPr="008F328C">
        <w:rPr>
          <w:rFonts w:eastAsia="Times New Roman"/>
          <w:lang w:val="pl-PL"/>
        </w:rPr>
        <w:t>Możliwe działania niepożądane</w:t>
      </w:r>
    </w:p>
    <w:p w14:paraId="33401EEC" w14:textId="77777777" w:rsidR="0059538A" w:rsidRPr="008F328C" w:rsidRDefault="0059538A" w:rsidP="008F328C">
      <w:pPr>
        <w:pStyle w:val="a3"/>
        <w:numPr>
          <w:ilvl w:val="0"/>
          <w:numId w:val="142"/>
        </w:numPr>
        <w:ind w:hanging="760"/>
        <w:rPr>
          <w:lang w:val="pl-PL"/>
        </w:rPr>
      </w:pPr>
      <w:r w:rsidRPr="008F328C">
        <w:rPr>
          <w:rFonts w:eastAsia="Times New Roman"/>
          <w:lang w:val="pl-PL"/>
        </w:rPr>
        <w:t>Jak przechowywać lek Yuflyma</w:t>
      </w:r>
    </w:p>
    <w:p w14:paraId="3DEF254B" w14:textId="77777777" w:rsidR="0059538A" w:rsidRPr="008F328C" w:rsidRDefault="0059538A" w:rsidP="008F328C">
      <w:pPr>
        <w:pStyle w:val="a3"/>
        <w:numPr>
          <w:ilvl w:val="0"/>
          <w:numId w:val="142"/>
        </w:numPr>
        <w:ind w:hanging="760"/>
        <w:rPr>
          <w:lang w:val="pl-PL"/>
        </w:rPr>
      </w:pPr>
      <w:r w:rsidRPr="008F328C">
        <w:rPr>
          <w:rFonts w:eastAsia="Times New Roman"/>
          <w:lang w:val="pl-PL"/>
        </w:rPr>
        <w:t>Zawartość opakowania i inne informacje</w:t>
      </w:r>
    </w:p>
    <w:p w14:paraId="1A7674C2" w14:textId="77777777" w:rsidR="0059538A" w:rsidRPr="008F328C" w:rsidRDefault="0059538A" w:rsidP="008F328C">
      <w:pPr>
        <w:pStyle w:val="a3"/>
        <w:numPr>
          <w:ilvl w:val="0"/>
          <w:numId w:val="142"/>
        </w:numPr>
        <w:ind w:hanging="760"/>
        <w:rPr>
          <w:lang w:val="pl-PL"/>
        </w:rPr>
      </w:pPr>
      <w:r w:rsidRPr="008F328C">
        <w:rPr>
          <w:rFonts w:eastAsia="Times New Roman"/>
          <w:lang w:val="pl-PL"/>
        </w:rPr>
        <w:t>Instrukcja stosowania</w:t>
      </w:r>
    </w:p>
    <w:p w14:paraId="4D69E708" w14:textId="77777777" w:rsidR="0059538A" w:rsidRPr="008F328C" w:rsidRDefault="0059538A" w:rsidP="0059538A">
      <w:pPr>
        <w:spacing w:line="200" w:lineRule="exact"/>
        <w:rPr>
          <w:rFonts w:ascii="Times New Roman" w:hAnsi="Times New Roman" w:cs="Times New Roman"/>
          <w:sz w:val="20"/>
          <w:szCs w:val="20"/>
          <w:lang w:val="pl-PL"/>
        </w:rPr>
      </w:pPr>
    </w:p>
    <w:p w14:paraId="72D0EC5A" w14:textId="77777777" w:rsidR="0059538A" w:rsidRPr="008F328C" w:rsidRDefault="0059538A" w:rsidP="0059538A">
      <w:pPr>
        <w:spacing w:line="200" w:lineRule="exact"/>
        <w:rPr>
          <w:rFonts w:ascii="Times New Roman" w:hAnsi="Times New Roman" w:cs="Times New Roman"/>
          <w:sz w:val="20"/>
          <w:szCs w:val="20"/>
          <w:lang w:val="pl-PL"/>
        </w:rPr>
      </w:pPr>
    </w:p>
    <w:p w14:paraId="54083FB7" w14:textId="77777777" w:rsidR="0059538A" w:rsidRPr="008F328C" w:rsidRDefault="0059538A" w:rsidP="008F328C">
      <w:pPr>
        <w:pStyle w:val="a4"/>
        <w:numPr>
          <w:ilvl w:val="0"/>
          <w:numId w:val="143"/>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Co to jest lek Yuflyma i w jakim celu się go stosuje</w:t>
      </w:r>
    </w:p>
    <w:p w14:paraId="5B81359B" w14:textId="77777777" w:rsidR="0059538A" w:rsidRPr="008F328C" w:rsidRDefault="0059538A" w:rsidP="0059538A">
      <w:pPr>
        <w:spacing w:line="240" w:lineRule="exact"/>
        <w:rPr>
          <w:rFonts w:ascii="Times New Roman" w:hAnsi="Times New Roman" w:cs="Times New Roman"/>
          <w:b/>
          <w:lang w:val="pl-PL"/>
        </w:rPr>
      </w:pPr>
    </w:p>
    <w:p w14:paraId="06F26B41" w14:textId="1D70AF60" w:rsidR="0059538A" w:rsidRPr="008F328C" w:rsidRDefault="0059538A" w:rsidP="0059538A">
      <w:pPr>
        <w:pStyle w:val="a3"/>
        <w:rPr>
          <w:lang w:val="pl-PL"/>
        </w:rPr>
      </w:pPr>
      <w:r w:rsidRPr="008F328C">
        <w:rPr>
          <w:rFonts w:eastAsia="Times New Roman"/>
          <w:lang w:val="pl-PL"/>
        </w:rPr>
        <w:t>Lek Yuflyma zawiera</w:t>
      </w:r>
      <w:r w:rsidR="00814C90" w:rsidRPr="008F328C">
        <w:rPr>
          <w:rFonts w:eastAsia="Times New Roman"/>
          <w:lang w:val="pl-PL"/>
        </w:rPr>
        <w:t xml:space="preserve"> substancję czynną adalimumab.</w:t>
      </w:r>
    </w:p>
    <w:p w14:paraId="1D095E54" w14:textId="77777777" w:rsidR="0059538A" w:rsidRPr="008F328C" w:rsidRDefault="0059538A" w:rsidP="0059538A">
      <w:pPr>
        <w:pStyle w:val="a3"/>
        <w:rPr>
          <w:lang w:val="pl-PL"/>
        </w:rPr>
      </w:pPr>
    </w:p>
    <w:p w14:paraId="0B747B75" w14:textId="77777777" w:rsidR="0059538A" w:rsidRPr="008F328C" w:rsidRDefault="0059538A" w:rsidP="0059538A">
      <w:pPr>
        <w:pStyle w:val="a3"/>
        <w:rPr>
          <w:lang w:val="pl-PL"/>
        </w:rPr>
      </w:pPr>
      <w:r w:rsidRPr="008F328C">
        <w:rPr>
          <w:rFonts w:eastAsia="Times New Roman"/>
          <w:lang w:val="pl-PL"/>
        </w:rPr>
        <w:t>Lek Yuflyma jest wskazany w leczeniu następujących chorób zapalnych:</w:t>
      </w:r>
    </w:p>
    <w:p w14:paraId="37864A93" w14:textId="77777777" w:rsidR="0059538A" w:rsidRPr="008F328C" w:rsidRDefault="0059538A" w:rsidP="0059538A">
      <w:pPr>
        <w:pStyle w:val="a3"/>
        <w:numPr>
          <w:ilvl w:val="0"/>
          <w:numId w:val="5"/>
        </w:numPr>
        <w:ind w:left="660" w:hanging="660"/>
        <w:rPr>
          <w:lang w:val="pl-PL"/>
        </w:rPr>
      </w:pPr>
      <w:r w:rsidRPr="008F328C">
        <w:rPr>
          <w:rFonts w:eastAsia="Times New Roman"/>
          <w:lang w:val="pl-PL"/>
        </w:rPr>
        <w:t>wielostawowego młodzieńczego idiopatycznego zapalenia stawów</w:t>
      </w:r>
    </w:p>
    <w:p w14:paraId="35E7CA96" w14:textId="77777777" w:rsidR="0059538A" w:rsidRPr="008F328C" w:rsidRDefault="0059538A" w:rsidP="0059538A">
      <w:pPr>
        <w:pStyle w:val="a3"/>
        <w:numPr>
          <w:ilvl w:val="0"/>
          <w:numId w:val="5"/>
        </w:numPr>
        <w:ind w:left="660" w:hanging="660"/>
        <w:rPr>
          <w:lang w:val="pl-PL"/>
        </w:rPr>
      </w:pPr>
      <w:r w:rsidRPr="008F328C">
        <w:rPr>
          <w:rFonts w:eastAsia="Times New Roman"/>
          <w:lang w:val="pl-PL"/>
        </w:rPr>
        <w:t>zapalenia stawów z towarzyszącym zapaleniem przyczepów ścięgnistych</w:t>
      </w:r>
    </w:p>
    <w:p w14:paraId="426B187A" w14:textId="5E09A319" w:rsidR="0059538A" w:rsidRPr="008F328C" w:rsidRDefault="00814C90" w:rsidP="0059538A">
      <w:pPr>
        <w:pStyle w:val="a3"/>
        <w:numPr>
          <w:ilvl w:val="0"/>
          <w:numId w:val="5"/>
        </w:numPr>
        <w:ind w:left="660" w:hanging="660"/>
        <w:rPr>
          <w:lang w:val="pl-PL"/>
        </w:rPr>
      </w:pPr>
      <w:r w:rsidRPr="008F328C">
        <w:rPr>
          <w:lang w:val="pl-PL"/>
        </w:rPr>
        <w:t>łuszczycy zwyczajnej (plackowatej) u dzieci i młodzieży</w:t>
      </w:r>
    </w:p>
    <w:p w14:paraId="333F0870" w14:textId="3292C6A3" w:rsidR="0059538A" w:rsidRPr="008F328C" w:rsidRDefault="00814C90" w:rsidP="0059538A">
      <w:pPr>
        <w:pStyle w:val="a3"/>
        <w:numPr>
          <w:ilvl w:val="0"/>
          <w:numId w:val="5"/>
        </w:numPr>
        <w:ind w:left="660" w:hanging="660"/>
        <w:rPr>
          <w:lang w:val="pl-PL"/>
        </w:rPr>
      </w:pPr>
      <w:r w:rsidRPr="00DF3E6D">
        <w:rPr>
          <w:lang w:val="pl-PL"/>
        </w:rPr>
        <w:t>choroby Leśniowskiego-Crohna u dzieci i młodzieży</w:t>
      </w:r>
    </w:p>
    <w:p w14:paraId="17A6D69B" w14:textId="53B7091E" w:rsidR="0059538A" w:rsidRPr="008F328C" w:rsidRDefault="00814C90" w:rsidP="0059538A">
      <w:pPr>
        <w:pStyle w:val="a3"/>
        <w:numPr>
          <w:ilvl w:val="0"/>
          <w:numId w:val="5"/>
        </w:numPr>
        <w:ind w:left="660" w:hanging="660"/>
        <w:rPr>
          <w:lang w:val="pl-PL"/>
        </w:rPr>
      </w:pPr>
      <w:r w:rsidRPr="008F328C">
        <w:rPr>
          <w:lang w:val="pl-PL"/>
        </w:rPr>
        <w:t>nieinfekcyjnego zapalenia błony naczyniowej oka u dzieci i młodzieży</w:t>
      </w:r>
    </w:p>
    <w:p w14:paraId="7683C089" w14:textId="77777777" w:rsidR="0059538A" w:rsidRPr="008F328C" w:rsidRDefault="0059538A" w:rsidP="0059538A">
      <w:pPr>
        <w:spacing w:before="10" w:line="240" w:lineRule="exact"/>
        <w:rPr>
          <w:rFonts w:ascii="Times New Roman" w:hAnsi="Times New Roman" w:cs="Times New Roman"/>
          <w:sz w:val="24"/>
          <w:szCs w:val="24"/>
          <w:lang w:val="pl-PL"/>
        </w:rPr>
      </w:pPr>
    </w:p>
    <w:p w14:paraId="377E4BDE" w14:textId="77777777" w:rsidR="0059538A" w:rsidRPr="008F328C" w:rsidRDefault="0059538A" w:rsidP="0059538A">
      <w:pPr>
        <w:pStyle w:val="a3"/>
        <w:rPr>
          <w:lang w:val="pl-PL"/>
        </w:rPr>
      </w:pPr>
      <w:r w:rsidRPr="008F328C">
        <w:rPr>
          <w:rFonts w:eastAsia="Times New Roman"/>
          <w:lang w:val="pl-PL"/>
        </w:rPr>
        <w:t>Substancja czynna leku Yuflyma, adalimumab, jest ludzkim przeciwciałem monoklonalnym. Przeciwciała monoklonalne są białkami, które wiążą się ze swoistym celem.</w:t>
      </w:r>
    </w:p>
    <w:p w14:paraId="0331667C" w14:textId="77777777" w:rsidR="0059538A" w:rsidRPr="008F328C" w:rsidRDefault="0059538A" w:rsidP="0059538A">
      <w:pPr>
        <w:spacing w:before="16" w:line="240" w:lineRule="exact"/>
        <w:rPr>
          <w:rFonts w:ascii="Times New Roman" w:hAnsi="Times New Roman" w:cs="Times New Roman"/>
          <w:sz w:val="24"/>
          <w:szCs w:val="24"/>
          <w:lang w:val="pl-PL"/>
        </w:rPr>
      </w:pPr>
    </w:p>
    <w:p w14:paraId="19354691" w14:textId="77777777" w:rsidR="0059538A" w:rsidRPr="008F328C" w:rsidRDefault="0059538A" w:rsidP="0059538A">
      <w:pPr>
        <w:pStyle w:val="a3"/>
        <w:rPr>
          <w:lang w:val="pl-PL"/>
        </w:rPr>
      </w:pPr>
      <w:r w:rsidRPr="008F328C">
        <w:rPr>
          <w:rFonts w:eastAsia="Times New Roman"/>
          <w:lang w:val="pl-PL"/>
        </w:rPr>
        <w:t>Celem adalimumabu jest białko nazywane czynnikiem martwicy nowotworów (TNFα), które uczestniczy w układzie immunologicznym (obronnym) i występuje na zwiększonym poziomie w chorobach zapalnych wymienionych powyżej. Dzięki połączeniu z TNFα, Yuflyma zmniejsza proces zapalny w tych chorobach.</w:t>
      </w:r>
    </w:p>
    <w:p w14:paraId="2BE0DFE7" w14:textId="77777777" w:rsidR="0059538A" w:rsidRPr="008F328C" w:rsidRDefault="0059538A" w:rsidP="0059538A">
      <w:pPr>
        <w:pStyle w:val="a3"/>
        <w:rPr>
          <w:lang w:val="pl-PL"/>
        </w:rPr>
      </w:pPr>
    </w:p>
    <w:p w14:paraId="554EABF8" w14:textId="77777777" w:rsidR="0059538A" w:rsidRPr="008F328C" w:rsidRDefault="0059538A" w:rsidP="0059538A">
      <w:pPr>
        <w:pStyle w:val="a3"/>
        <w:rPr>
          <w:b/>
          <w:lang w:val="pl-PL"/>
        </w:rPr>
      </w:pPr>
      <w:r w:rsidRPr="008F328C">
        <w:rPr>
          <w:rFonts w:eastAsia="Times New Roman"/>
          <w:b/>
          <w:bCs/>
          <w:lang w:val="pl-PL"/>
        </w:rPr>
        <w:t>Wielostawowe młodzieńcze idiopatyczne zapalenie stawów</w:t>
      </w:r>
    </w:p>
    <w:p w14:paraId="46283F1B" w14:textId="77777777" w:rsidR="0059538A" w:rsidRPr="008F328C" w:rsidRDefault="0059538A" w:rsidP="0059538A">
      <w:pPr>
        <w:spacing w:before="9" w:line="240" w:lineRule="exact"/>
        <w:rPr>
          <w:rFonts w:ascii="Times New Roman" w:hAnsi="Times New Roman" w:cs="Times New Roman"/>
          <w:sz w:val="24"/>
          <w:szCs w:val="24"/>
          <w:lang w:val="pl-PL"/>
        </w:rPr>
      </w:pPr>
    </w:p>
    <w:p w14:paraId="1109CBDF" w14:textId="09F12097" w:rsidR="0059538A" w:rsidRPr="008F328C" w:rsidRDefault="00814C90" w:rsidP="0059538A">
      <w:pPr>
        <w:pStyle w:val="a3"/>
        <w:rPr>
          <w:lang w:val="pl-PL"/>
        </w:rPr>
      </w:pPr>
      <w:r w:rsidRPr="008F328C">
        <w:rPr>
          <w:lang w:val="pl-PL"/>
        </w:rPr>
        <w:t>Wielostawowe młodzieńcze idiopatyczne zapalenie stawów jest chorobą zapalną stawów, która zwykle pojawia się w dzieciństwie.</w:t>
      </w:r>
    </w:p>
    <w:p w14:paraId="3FDEF46A" w14:textId="77777777" w:rsidR="0059538A" w:rsidRPr="008F328C" w:rsidRDefault="0059538A" w:rsidP="0059538A">
      <w:pPr>
        <w:spacing w:before="13" w:line="240" w:lineRule="exact"/>
        <w:rPr>
          <w:rFonts w:ascii="Times New Roman" w:hAnsi="Times New Roman" w:cs="Times New Roman"/>
          <w:sz w:val="24"/>
          <w:szCs w:val="24"/>
          <w:lang w:val="pl-PL"/>
        </w:rPr>
      </w:pPr>
    </w:p>
    <w:p w14:paraId="67536E82" w14:textId="1D56936C" w:rsidR="0059538A" w:rsidRPr="008F328C" w:rsidRDefault="00814C90" w:rsidP="0059538A">
      <w:pPr>
        <w:pStyle w:val="a3"/>
        <w:rPr>
          <w:lang w:val="pl-PL"/>
        </w:rPr>
      </w:pPr>
      <w:r w:rsidRPr="008F328C">
        <w:rPr>
          <w:lang w:val="pl-PL"/>
        </w:rPr>
        <w:t xml:space="preserve">Lek </w:t>
      </w:r>
      <w:r w:rsidR="008F328C">
        <w:rPr>
          <w:lang w:val="pl-PL"/>
        </w:rPr>
        <w:t>Yuflyma</w:t>
      </w:r>
      <w:r w:rsidRPr="008F328C">
        <w:rPr>
          <w:lang w:val="pl-PL"/>
        </w:rPr>
        <w:t xml:space="preserve"> jest stosowany w leczeniu wielostawowego młodzieńczego idiopatycznego zapalenia stawów u pacjentów w wieku od 2 lat. Dziecko może najpierw otrzymywać inne leki modyfikujące przebieg choroby, takie jak metotreksat. W razie braku zadowalającej odpowiedzi na te leki, dziecko otrzyma lek </w:t>
      </w:r>
      <w:r w:rsidR="008F328C">
        <w:rPr>
          <w:lang w:val="pl-PL"/>
        </w:rPr>
        <w:t>Yuflyma</w:t>
      </w:r>
      <w:r w:rsidRPr="008F328C">
        <w:rPr>
          <w:lang w:val="pl-PL"/>
        </w:rPr>
        <w:t xml:space="preserve"> w leczeniu wielostawowego młodzieńczego idiopatycznego zapalenia stawów</w:t>
      </w:r>
      <w:r w:rsidR="0059538A" w:rsidRPr="008F328C">
        <w:rPr>
          <w:rFonts w:eastAsia="Times New Roman"/>
          <w:lang w:val="pl-PL"/>
        </w:rPr>
        <w:t>.</w:t>
      </w:r>
    </w:p>
    <w:p w14:paraId="06C34F91" w14:textId="77777777" w:rsidR="0059538A" w:rsidRPr="008F328C" w:rsidRDefault="0059538A" w:rsidP="0059538A">
      <w:pPr>
        <w:spacing w:before="13" w:line="240" w:lineRule="exact"/>
        <w:rPr>
          <w:rFonts w:ascii="Times New Roman" w:hAnsi="Times New Roman" w:cs="Times New Roman"/>
          <w:sz w:val="24"/>
          <w:szCs w:val="24"/>
          <w:lang w:val="pl-PL"/>
        </w:rPr>
      </w:pPr>
    </w:p>
    <w:p w14:paraId="0DD01517" w14:textId="77777777" w:rsidR="0059538A" w:rsidRPr="008F328C" w:rsidRDefault="0059538A" w:rsidP="0059538A">
      <w:pPr>
        <w:pStyle w:val="a3"/>
        <w:rPr>
          <w:lang w:val="pl-PL"/>
        </w:rPr>
      </w:pPr>
      <w:r w:rsidRPr="008F328C">
        <w:rPr>
          <w:rFonts w:eastAsia="Times New Roman"/>
          <w:lang w:val="pl-PL"/>
        </w:rPr>
        <w:t>Lekarz zdecyduje, czy lek Yuflyma należy stosować z metotreksatem czy bez metotreksatu.</w:t>
      </w:r>
    </w:p>
    <w:p w14:paraId="02C5DBAA" w14:textId="77777777" w:rsidR="0059538A" w:rsidRPr="008F328C" w:rsidRDefault="0059538A" w:rsidP="0059538A">
      <w:pPr>
        <w:spacing w:before="16" w:line="240" w:lineRule="exact"/>
        <w:rPr>
          <w:rFonts w:ascii="Times New Roman" w:hAnsi="Times New Roman" w:cs="Times New Roman"/>
          <w:sz w:val="24"/>
          <w:szCs w:val="24"/>
          <w:lang w:val="pl-PL"/>
        </w:rPr>
      </w:pPr>
    </w:p>
    <w:p w14:paraId="7B88C718" w14:textId="77777777" w:rsidR="0059538A" w:rsidRPr="008F328C" w:rsidRDefault="0059538A" w:rsidP="0059538A">
      <w:pPr>
        <w:pStyle w:val="a3"/>
        <w:rPr>
          <w:b/>
          <w:lang w:val="pl-PL"/>
        </w:rPr>
      </w:pPr>
      <w:r w:rsidRPr="008F328C">
        <w:rPr>
          <w:rFonts w:eastAsia="Times New Roman"/>
          <w:b/>
          <w:bCs/>
          <w:iCs/>
          <w:lang w:val="pl-PL"/>
        </w:rPr>
        <w:t>Zapalenie stawów z towarzyszącym zapaleniem przyczepów ścięgnistych</w:t>
      </w:r>
    </w:p>
    <w:p w14:paraId="494AE8B8" w14:textId="77777777" w:rsidR="0059538A" w:rsidRPr="008F328C" w:rsidRDefault="0059538A" w:rsidP="0059538A">
      <w:pPr>
        <w:spacing w:before="9" w:line="240" w:lineRule="exact"/>
        <w:rPr>
          <w:rFonts w:ascii="Times New Roman" w:hAnsi="Times New Roman" w:cs="Times New Roman"/>
          <w:sz w:val="24"/>
          <w:szCs w:val="24"/>
          <w:lang w:val="pl-PL"/>
        </w:rPr>
      </w:pPr>
    </w:p>
    <w:p w14:paraId="59CEB522" w14:textId="77777777" w:rsidR="0059538A" w:rsidRPr="008F328C" w:rsidRDefault="0059538A" w:rsidP="0059538A">
      <w:pPr>
        <w:pStyle w:val="a3"/>
        <w:rPr>
          <w:lang w:val="pl-PL"/>
        </w:rPr>
      </w:pPr>
      <w:r w:rsidRPr="008F328C">
        <w:rPr>
          <w:rFonts w:eastAsia="Times New Roman"/>
          <w:lang w:val="pl-PL"/>
        </w:rPr>
        <w:t>Zapalenie stawów z towarzyszącym zapaleniem przyczepów ścięgnistych jest chorobą zapalną stawów oraz miejsc przyczepu ścięgien do kości.</w:t>
      </w:r>
    </w:p>
    <w:p w14:paraId="6A07AE78" w14:textId="77777777" w:rsidR="0059538A" w:rsidRPr="008F328C" w:rsidRDefault="0059538A" w:rsidP="0059538A">
      <w:pPr>
        <w:spacing w:before="10" w:line="240" w:lineRule="exact"/>
        <w:rPr>
          <w:rFonts w:ascii="Times New Roman" w:hAnsi="Times New Roman" w:cs="Times New Roman"/>
          <w:sz w:val="24"/>
          <w:szCs w:val="24"/>
          <w:lang w:val="pl-PL"/>
        </w:rPr>
      </w:pPr>
    </w:p>
    <w:p w14:paraId="43BD189F" w14:textId="4CB908BF" w:rsidR="0059538A" w:rsidRPr="008F328C" w:rsidRDefault="00814C90" w:rsidP="0059538A">
      <w:pPr>
        <w:pStyle w:val="a3"/>
        <w:rPr>
          <w:lang w:val="pl-PL"/>
        </w:rPr>
      </w:pPr>
      <w:r w:rsidRPr="008F328C">
        <w:rPr>
          <w:lang w:val="pl-PL"/>
        </w:rPr>
        <w:t xml:space="preserve">Lek </w:t>
      </w:r>
      <w:r w:rsidR="008F328C">
        <w:rPr>
          <w:lang w:val="pl-PL"/>
        </w:rPr>
        <w:t>Yuflyma</w:t>
      </w:r>
      <w:r w:rsidRPr="008F328C">
        <w:rPr>
          <w:lang w:val="pl-PL"/>
        </w:rPr>
        <w:t xml:space="preserve"> jest stosowany w leczeniu zapalenia stawów z towarzyszącym zapaleniem przyczepów ścięgnistych u pacjentów w wieku od 6 lat. Dziecko może najpierw otrzymywać inne leki modyfikujące przebieg choroby, takie jak metotreksat. W razie braku zadowalającej odpowiedzi na te leki, dziecko otrzyma lek </w:t>
      </w:r>
      <w:r w:rsidR="008F328C">
        <w:rPr>
          <w:lang w:val="pl-PL"/>
        </w:rPr>
        <w:t>Yuflyma</w:t>
      </w:r>
      <w:r w:rsidRPr="008F328C">
        <w:rPr>
          <w:lang w:val="pl-PL"/>
        </w:rPr>
        <w:t xml:space="preserve"> w leczeniu zapalenia stawów z towarzyszącym zapaleniem przyczepów ścięgnistych</w:t>
      </w:r>
      <w:r w:rsidR="0059538A" w:rsidRPr="008F328C">
        <w:rPr>
          <w:rFonts w:eastAsia="Times New Roman"/>
          <w:lang w:val="pl-PL"/>
        </w:rPr>
        <w:t>.</w:t>
      </w:r>
    </w:p>
    <w:p w14:paraId="48665C3C" w14:textId="77777777" w:rsidR="0059538A" w:rsidRPr="008F328C" w:rsidRDefault="0059538A" w:rsidP="0059538A">
      <w:pPr>
        <w:spacing w:before="2" w:line="260" w:lineRule="exact"/>
        <w:rPr>
          <w:rFonts w:ascii="Times New Roman" w:hAnsi="Times New Roman" w:cs="Times New Roman"/>
          <w:sz w:val="26"/>
          <w:szCs w:val="26"/>
          <w:lang w:val="pl-PL"/>
        </w:rPr>
      </w:pPr>
    </w:p>
    <w:p w14:paraId="0F1EDB7E" w14:textId="12A7A1AB" w:rsidR="0059538A" w:rsidRPr="008F328C" w:rsidRDefault="00814C90" w:rsidP="0059538A">
      <w:pPr>
        <w:pStyle w:val="a3"/>
        <w:rPr>
          <w:rFonts w:eastAsia="Times New Roman"/>
          <w:b/>
          <w:bCs/>
          <w:lang w:val="pl-PL"/>
        </w:rPr>
      </w:pPr>
      <w:r w:rsidRPr="008F328C">
        <w:rPr>
          <w:rFonts w:eastAsia="Times New Roman"/>
          <w:b/>
          <w:bCs/>
          <w:lang w:val="pl-PL"/>
        </w:rPr>
        <w:t>Łuszczyca zwyczajna (plackowata) u dzieci i młodzieży</w:t>
      </w:r>
    </w:p>
    <w:p w14:paraId="2DD71869" w14:textId="77777777" w:rsidR="0059538A" w:rsidRPr="008F328C" w:rsidRDefault="0059538A" w:rsidP="0059538A">
      <w:pPr>
        <w:spacing w:before="9" w:line="240" w:lineRule="exact"/>
        <w:rPr>
          <w:rFonts w:ascii="Times New Roman" w:hAnsi="Times New Roman" w:cs="Times New Roman"/>
          <w:sz w:val="24"/>
          <w:szCs w:val="24"/>
          <w:lang w:val="pl-PL"/>
        </w:rPr>
      </w:pPr>
    </w:p>
    <w:p w14:paraId="2FD0515B" w14:textId="58953C0A" w:rsidR="0059538A" w:rsidRPr="008F328C" w:rsidRDefault="0059538A" w:rsidP="0059538A">
      <w:pPr>
        <w:pStyle w:val="a3"/>
        <w:rPr>
          <w:lang w:val="pl-PL"/>
        </w:rPr>
      </w:pPr>
      <w:r w:rsidRPr="008F328C">
        <w:rPr>
          <w:rFonts w:eastAsia="Times New Roman"/>
          <w:lang w:val="pl-PL"/>
        </w:rPr>
        <w:t>Łuszczyca zwyczajna (plackowata) jest chorobą skóry, która powoduje czerwone, złuszczające się zmiany skórne z tworzeniem strupów, pokryte srebrzystą łuską. Zmiany łuszczycowe mogą również występować na paznokciach, powodując ich kruszenie, zgrubienie i oddzielanie się płytki paznokciowej od łożyska paznokcia, co może być bolesne.</w:t>
      </w:r>
      <w:r w:rsidR="00814C90" w:rsidRPr="008F328C">
        <w:rPr>
          <w:lang w:val="pl-PL"/>
        </w:rPr>
        <w:t xml:space="preserve"> Uważa się, że łuszczyca wywołana jest przez zaburzenia układu odpornościowego organizmu, co prowadzi do zwiększonego tworzenia się komórek skóry.</w:t>
      </w:r>
    </w:p>
    <w:p w14:paraId="65CDE866" w14:textId="77777777" w:rsidR="0059538A" w:rsidRPr="008F328C" w:rsidRDefault="0059538A" w:rsidP="0059538A">
      <w:pPr>
        <w:spacing w:before="13" w:line="240" w:lineRule="exact"/>
        <w:rPr>
          <w:rFonts w:ascii="Times New Roman" w:hAnsi="Times New Roman" w:cs="Times New Roman"/>
          <w:sz w:val="24"/>
          <w:szCs w:val="24"/>
          <w:lang w:val="pl-PL"/>
        </w:rPr>
      </w:pPr>
    </w:p>
    <w:p w14:paraId="008A390B" w14:textId="5C2A90E9" w:rsidR="0059538A" w:rsidRPr="008F328C" w:rsidRDefault="0059538A" w:rsidP="008F328C">
      <w:pPr>
        <w:pStyle w:val="a3"/>
        <w:rPr>
          <w:lang w:val="pl-PL"/>
        </w:rPr>
      </w:pPr>
      <w:r w:rsidRPr="008F328C">
        <w:rPr>
          <w:rFonts w:eastAsia="Times New Roman"/>
          <w:lang w:val="pl-PL"/>
        </w:rPr>
        <w:t>Lek Yuflyma jest stosowany w leczeniu przewlekłej, ciężkiej łuszczycy zwyczajnej (plackowatej) u dzieci i młodzieży w wieku od 4 do 17 lat, u których leczenie miejscowe i fototerapie były nieskuteczne lub są niewłaściwe.</w:t>
      </w:r>
    </w:p>
    <w:p w14:paraId="410CE35C" w14:textId="77777777" w:rsidR="00070BA6" w:rsidRDefault="00070BA6" w:rsidP="0059538A">
      <w:pPr>
        <w:pStyle w:val="a3"/>
        <w:rPr>
          <w:sz w:val="24"/>
          <w:szCs w:val="24"/>
          <w:lang w:val="pl-PL"/>
        </w:rPr>
      </w:pPr>
    </w:p>
    <w:p w14:paraId="0260134F" w14:textId="25B1D1FD" w:rsidR="0059538A" w:rsidRPr="008F328C" w:rsidRDefault="00070BA6" w:rsidP="0059538A">
      <w:pPr>
        <w:pStyle w:val="a3"/>
        <w:rPr>
          <w:rFonts w:eastAsia="Times New Roman"/>
          <w:b/>
          <w:bCs/>
          <w:lang w:val="pl-PL"/>
        </w:rPr>
      </w:pPr>
      <w:r w:rsidRPr="008F328C">
        <w:rPr>
          <w:rFonts w:eastAsia="Times New Roman"/>
          <w:b/>
          <w:bCs/>
          <w:lang w:val="pl-PL"/>
        </w:rPr>
        <w:t>Choroba Leśniowskiego-Crohna u dzieci i młodzieży</w:t>
      </w:r>
    </w:p>
    <w:p w14:paraId="3AD160D7" w14:textId="77777777" w:rsidR="0059538A" w:rsidRPr="008F328C" w:rsidRDefault="0059538A" w:rsidP="0059538A">
      <w:pPr>
        <w:pStyle w:val="a3"/>
        <w:rPr>
          <w:u w:val="single"/>
          <w:lang w:val="pl-PL"/>
        </w:rPr>
      </w:pPr>
    </w:p>
    <w:p w14:paraId="353CC593" w14:textId="3F424CFE" w:rsidR="0059538A" w:rsidRPr="008F328C" w:rsidRDefault="0059538A" w:rsidP="008F328C">
      <w:pPr>
        <w:pStyle w:val="a3"/>
        <w:rPr>
          <w:lang w:val="pl-PL"/>
        </w:rPr>
      </w:pPr>
      <w:r w:rsidRPr="008F328C">
        <w:rPr>
          <w:rFonts w:eastAsia="Times New Roman"/>
          <w:lang w:val="pl-PL"/>
        </w:rPr>
        <w:t>Choroba Leśniowskiego-Crohna jest chorobą zapalną przewodu pokarmowego. Lek Yu</w:t>
      </w:r>
      <w:r w:rsidR="00070BA6" w:rsidRPr="008F328C">
        <w:rPr>
          <w:rFonts w:eastAsia="Times New Roman"/>
          <w:lang w:val="pl-PL"/>
        </w:rPr>
        <w:t xml:space="preserve">flyma jest stosowany w leczeniu </w:t>
      </w:r>
      <w:r w:rsidRPr="008F328C">
        <w:rPr>
          <w:rFonts w:eastAsia="Times New Roman"/>
          <w:lang w:val="pl-PL"/>
        </w:rPr>
        <w:t>choroby Leśniowskiego-Crohna o nasileniu umiarkowanym do ciężkiego u dzieci i młodzieży w wieku od 6 do 17 lat.</w:t>
      </w:r>
    </w:p>
    <w:p w14:paraId="7774656D" w14:textId="77777777" w:rsidR="0059538A" w:rsidRPr="008F328C" w:rsidRDefault="0059538A" w:rsidP="0059538A">
      <w:pPr>
        <w:spacing w:before="16" w:line="240" w:lineRule="exact"/>
        <w:rPr>
          <w:rFonts w:ascii="Times New Roman" w:hAnsi="Times New Roman" w:cs="Times New Roman"/>
          <w:sz w:val="24"/>
          <w:szCs w:val="24"/>
          <w:lang w:val="pl-PL"/>
        </w:rPr>
      </w:pPr>
    </w:p>
    <w:p w14:paraId="4763FC4F" w14:textId="6F82B44D" w:rsidR="0059538A" w:rsidRPr="008F328C" w:rsidRDefault="00070BA6" w:rsidP="0059538A">
      <w:pPr>
        <w:pStyle w:val="a3"/>
        <w:rPr>
          <w:lang w:val="pl-PL"/>
        </w:rPr>
      </w:pPr>
      <w:r w:rsidRPr="008F328C">
        <w:rPr>
          <w:lang w:val="pl-PL"/>
        </w:rPr>
        <w:t xml:space="preserve">Dziecko z chorobą Leśniowskiego-Crohna otrzyma najpierw inne leki. Jeśli w odpowiedzi na te leki nie wystąpi poprawa, dziecko otrzyma lek </w:t>
      </w:r>
      <w:r w:rsidR="008F328C">
        <w:rPr>
          <w:lang w:val="pl-PL"/>
        </w:rPr>
        <w:t>Yuflyma</w:t>
      </w:r>
      <w:r w:rsidRPr="008F328C">
        <w:rPr>
          <w:lang w:val="pl-PL"/>
        </w:rPr>
        <w:t xml:space="preserve"> w celu zmniejszenia nasilenia objawów choroby zdiagnozowanych przez lekarza i odczuwanych przez pacjenta</w:t>
      </w:r>
      <w:r w:rsidR="0059538A" w:rsidRPr="008F328C">
        <w:rPr>
          <w:rFonts w:eastAsia="Times New Roman"/>
          <w:lang w:val="pl-PL"/>
        </w:rPr>
        <w:t>.</w:t>
      </w:r>
    </w:p>
    <w:p w14:paraId="61D34A53" w14:textId="77777777" w:rsidR="0059538A" w:rsidRPr="008F328C" w:rsidRDefault="0059538A" w:rsidP="0059538A">
      <w:pPr>
        <w:spacing w:before="15" w:line="240" w:lineRule="exact"/>
        <w:rPr>
          <w:rFonts w:ascii="Times New Roman" w:hAnsi="Times New Roman" w:cs="Times New Roman"/>
          <w:sz w:val="24"/>
          <w:szCs w:val="24"/>
          <w:lang w:val="pl-PL"/>
        </w:rPr>
      </w:pPr>
    </w:p>
    <w:p w14:paraId="016AC6A0" w14:textId="5352EBBD" w:rsidR="0059538A" w:rsidRPr="008F328C" w:rsidRDefault="00070BA6" w:rsidP="0059538A">
      <w:pPr>
        <w:pStyle w:val="a3"/>
        <w:rPr>
          <w:rFonts w:eastAsia="Times New Roman"/>
          <w:b/>
          <w:bCs/>
          <w:lang w:val="pl-PL"/>
        </w:rPr>
      </w:pPr>
      <w:r w:rsidRPr="008F328C">
        <w:rPr>
          <w:rFonts w:eastAsia="Times New Roman"/>
          <w:b/>
          <w:bCs/>
          <w:lang w:val="pl-PL"/>
        </w:rPr>
        <w:t>Zapalenie błony naczyniowej oka u dzieci i młodzieży</w:t>
      </w:r>
    </w:p>
    <w:p w14:paraId="7852A6FD" w14:textId="77777777" w:rsidR="0059538A" w:rsidRPr="008F328C" w:rsidRDefault="0059538A" w:rsidP="0059538A">
      <w:pPr>
        <w:pStyle w:val="a3"/>
        <w:rPr>
          <w:lang w:val="pl-PL"/>
        </w:rPr>
      </w:pPr>
    </w:p>
    <w:p w14:paraId="478EA5CD" w14:textId="77777777" w:rsidR="00070BA6" w:rsidRPr="008F328C" w:rsidRDefault="0059538A" w:rsidP="0059538A">
      <w:pPr>
        <w:pStyle w:val="a3"/>
        <w:rPr>
          <w:rFonts w:eastAsia="Times New Roman"/>
          <w:lang w:val="pl-PL"/>
        </w:rPr>
      </w:pPr>
      <w:r w:rsidRPr="008F328C">
        <w:rPr>
          <w:rFonts w:eastAsia="Times New Roman"/>
          <w:lang w:val="pl-PL"/>
        </w:rPr>
        <w:t>Nieinfekcyjne zapalenie błony naczyniowej oka jest chorobą zapal</w:t>
      </w:r>
      <w:r w:rsidR="00070BA6" w:rsidRPr="008F328C">
        <w:rPr>
          <w:rFonts w:eastAsia="Times New Roman"/>
          <w:lang w:val="pl-PL"/>
        </w:rPr>
        <w:t>ną pewnych części gałki ocznej.</w:t>
      </w:r>
    </w:p>
    <w:p w14:paraId="2D3EFC99" w14:textId="77777777" w:rsidR="00070BA6" w:rsidRDefault="00070BA6" w:rsidP="0059538A">
      <w:pPr>
        <w:pStyle w:val="a3"/>
        <w:rPr>
          <w:rFonts w:eastAsia="Times New Roman"/>
          <w:lang w:val="pl-PL"/>
        </w:rPr>
      </w:pPr>
    </w:p>
    <w:p w14:paraId="2852E084" w14:textId="5BF61146" w:rsidR="0059538A" w:rsidRPr="008F328C" w:rsidRDefault="0059538A" w:rsidP="008F328C">
      <w:pPr>
        <w:pStyle w:val="a3"/>
        <w:rPr>
          <w:lang w:val="pl-PL"/>
        </w:rPr>
      </w:pPr>
      <w:r w:rsidRPr="008F328C">
        <w:rPr>
          <w:rFonts w:eastAsia="Times New Roman"/>
          <w:lang w:val="pl-PL"/>
        </w:rPr>
        <w:t>Lek Yuflyma jest stosowany w leczeniu dzieci i młodzieży w wieku od 2 lat z przewlekłym nieinfekcyjnym zapaleniem błony naczyniowej oka – zapaleniem w przedniej części gałki ocznej.</w:t>
      </w:r>
    </w:p>
    <w:p w14:paraId="0E7BE0AD" w14:textId="77777777" w:rsidR="0059538A" w:rsidRPr="008F328C" w:rsidRDefault="0059538A" w:rsidP="0059538A">
      <w:pPr>
        <w:pStyle w:val="a3"/>
        <w:rPr>
          <w:lang w:val="pl-PL"/>
        </w:rPr>
      </w:pPr>
    </w:p>
    <w:p w14:paraId="41671395" w14:textId="77777777" w:rsidR="0059538A" w:rsidRPr="008F328C" w:rsidRDefault="0059538A" w:rsidP="0059538A">
      <w:pPr>
        <w:pStyle w:val="a3"/>
        <w:rPr>
          <w:lang w:val="pl-PL"/>
        </w:rPr>
      </w:pPr>
      <w:r w:rsidRPr="008F328C">
        <w:rPr>
          <w:rFonts w:eastAsia="Times New Roman"/>
          <w:lang w:val="pl-PL"/>
        </w:rPr>
        <w:lastRenderedPageBreak/>
        <w:t>To zapalenie może prowadzić do zmniejszenia ostrości widzenia i (lub) obecności zmętnień (mroczków) w oku (czarne punkciki lub nieregularne linie czy fragmenty pajęczyn przemieszczające się w polu widzenia). Lek Yuflyma działa zmniejszając ten stan zapalny.</w:t>
      </w:r>
    </w:p>
    <w:p w14:paraId="2A670097" w14:textId="77777777" w:rsidR="0059538A" w:rsidRPr="008F328C" w:rsidRDefault="0059538A" w:rsidP="0059538A">
      <w:pPr>
        <w:spacing w:before="10" w:line="240" w:lineRule="exact"/>
        <w:rPr>
          <w:rFonts w:ascii="Times New Roman" w:hAnsi="Times New Roman" w:cs="Times New Roman"/>
          <w:sz w:val="24"/>
          <w:szCs w:val="24"/>
          <w:lang w:val="pl-PL"/>
        </w:rPr>
      </w:pPr>
    </w:p>
    <w:p w14:paraId="4C8E62F1" w14:textId="70648170" w:rsidR="0059538A" w:rsidRPr="008F328C" w:rsidRDefault="00070BA6" w:rsidP="0059538A">
      <w:pPr>
        <w:pStyle w:val="a3"/>
        <w:rPr>
          <w:lang w:val="pl-PL"/>
        </w:rPr>
      </w:pPr>
      <w:r w:rsidRPr="00DF3E6D">
        <w:rPr>
          <w:lang w:val="pl-PL"/>
        </w:rPr>
        <w:t xml:space="preserve">Dziecko otrzyma najpierw inne leki. Jeśli w odpowiedzi na te leki nie wystąpi poprawa, dziecko otrzyma lek </w:t>
      </w:r>
      <w:r w:rsidR="008F328C" w:rsidRPr="00DF3E6D">
        <w:rPr>
          <w:lang w:val="pl-PL"/>
        </w:rPr>
        <w:t>Yuflyma</w:t>
      </w:r>
      <w:r w:rsidRPr="00DF3E6D">
        <w:rPr>
          <w:lang w:val="pl-PL"/>
        </w:rPr>
        <w:t xml:space="preserve"> w celu zmniejszenia nasilenia objawów choroby zdiagnozowanych przez lekarza i odczuwanych przez pacjenta.</w:t>
      </w:r>
    </w:p>
    <w:p w14:paraId="0D769956" w14:textId="77777777" w:rsidR="0059538A" w:rsidRPr="008F328C" w:rsidRDefault="0059538A" w:rsidP="0059538A">
      <w:pPr>
        <w:spacing w:before="18" w:line="240" w:lineRule="exact"/>
        <w:rPr>
          <w:rFonts w:ascii="Times New Roman" w:hAnsi="Times New Roman" w:cs="Times New Roman"/>
          <w:b/>
          <w:lang w:val="pl-PL"/>
        </w:rPr>
      </w:pPr>
    </w:p>
    <w:p w14:paraId="19E52D4B" w14:textId="77777777" w:rsidR="0059538A" w:rsidRPr="008F328C" w:rsidRDefault="0059538A" w:rsidP="0059538A">
      <w:pPr>
        <w:spacing w:before="18" w:line="240" w:lineRule="exact"/>
        <w:rPr>
          <w:rFonts w:ascii="Times New Roman" w:hAnsi="Times New Roman" w:cs="Times New Roman"/>
          <w:b/>
          <w:lang w:val="pl-PL"/>
        </w:rPr>
      </w:pPr>
    </w:p>
    <w:p w14:paraId="080760CE" w14:textId="0DD4BBD3" w:rsidR="0059538A" w:rsidRPr="008F328C" w:rsidRDefault="00070BA6" w:rsidP="008F328C">
      <w:pPr>
        <w:pStyle w:val="a4"/>
        <w:numPr>
          <w:ilvl w:val="0"/>
          <w:numId w:val="143"/>
        </w:numPr>
        <w:spacing w:before="18" w:line="240" w:lineRule="exact"/>
        <w:ind w:left="357" w:hanging="357"/>
        <w:rPr>
          <w:rFonts w:ascii="Times New Roman" w:eastAsia="Times New Roman" w:hAnsi="Times New Roman" w:cs="Times New Roman"/>
          <w:b/>
          <w:bCs/>
          <w:lang w:val="pl-PL"/>
        </w:rPr>
      </w:pPr>
      <w:r w:rsidRPr="008F328C">
        <w:rPr>
          <w:rFonts w:ascii="Times New Roman" w:eastAsia="Times New Roman" w:hAnsi="Times New Roman" w:cs="Times New Roman"/>
          <w:b/>
          <w:bCs/>
          <w:lang w:val="pl-PL"/>
        </w:rPr>
        <w:t xml:space="preserve">Informacje ważne przed przyjęciem leku </w:t>
      </w:r>
      <w:r w:rsidR="008F328C">
        <w:rPr>
          <w:rFonts w:ascii="Times New Roman" w:eastAsia="Times New Roman" w:hAnsi="Times New Roman" w:cs="Times New Roman"/>
          <w:b/>
          <w:bCs/>
          <w:lang w:val="pl-PL"/>
        </w:rPr>
        <w:t>Yuflyma</w:t>
      </w:r>
    </w:p>
    <w:p w14:paraId="1E19680D" w14:textId="77777777" w:rsidR="0059538A" w:rsidRPr="008F328C" w:rsidRDefault="0059538A" w:rsidP="0059538A">
      <w:pPr>
        <w:spacing w:before="18" w:line="240" w:lineRule="exact"/>
        <w:ind w:left="108"/>
        <w:rPr>
          <w:rFonts w:ascii="Times New Roman" w:hAnsi="Times New Roman" w:cs="Times New Roman"/>
          <w:b/>
          <w:bCs/>
          <w:lang w:val="pl-PL"/>
        </w:rPr>
      </w:pPr>
    </w:p>
    <w:p w14:paraId="4FB96A74" w14:textId="77777777" w:rsidR="0059538A" w:rsidRPr="008F328C" w:rsidRDefault="0059538A" w:rsidP="0059538A">
      <w:pPr>
        <w:pStyle w:val="a3"/>
        <w:rPr>
          <w:b/>
          <w:lang w:val="pl-PL"/>
        </w:rPr>
      </w:pPr>
      <w:r w:rsidRPr="008F328C">
        <w:rPr>
          <w:rFonts w:eastAsia="Times New Roman"/>
          <w:b/>
          <w:bCs/>
          <w:lang w:val="pl-PL"/>
        </w:rPr>
        <w:t>Kiedy nie stosować leku Yuflyma:</w:t>
      </w:r>
    </w:p>
    <w:p w14:paraId="1735B2AB" w14:textId="77777777" w:rsidR="0059538A" w:rsidRPr="008F328C" w:rsidRDefault="0059538A" w:rsidP="0059538A">
      <w:pPr>
        <w:pStyle w:val="a3"/>
        <w:rPr>
          <w:b/>
          <w:lang w:val="pl-PL"/>
        </w:rPr>
      </w:pPr>
    </w:p>
    <w:p w14:paraId="02140B63" w14:textId="337084C9" w:rsidR="0059538A" w:rsidRPr="008F328C" w:rsidRDefault="00825BEA" w:rsidP="0059538A">
      <w:pPr>
        <w:pStyle w:val="a3"/>
        <w:numPr>
          <w:ilvl w:val="1"/>
          <w:numId w:val="4"/>
        </w:numPr>
        <w:ind w:left="660" w:hanging="660"/>
        <w:rPr>
          <w:lang w:val="pl-PL"/>
        </w:rPr>
      </w:pPr>
      <w:r w:rsidRPr="008F328C">
        <w:rPr>
          <w:lang w:val="pl-PL"/>
        </w:rPr>
        <w:t>Jeśli dziecko ma uczulenie na adalimumab lub którykolwiek z pozostałych składników tego leku (wymienionych w punkcie 6)</w:t>
      </w:r>
      <w:r w:rsidR="0059538A" w:rsidRPr="008F328C">
        <w:rPr>
          <w:rFonts w:eastAsia="Times New Roman"/>
          <w:lang w:val="pl-PL"/>
        </w:rPr>
        <w:t>.</w:t>
      </w:r>
    </w:p>
    <w:p w14:paraId="56059075" w14:textId="77777777" w:rsidR="0059538A" w:rsidRPr="008F328C" w:rsidRDefault="0059538A" w:rsidP="0059538A">
      <w:pPr>
        <w:pStyle w:val="a3"/>
        <w:numPr>
          <w:ilvl w:val="0"/>
          <w:numId w:val="0"/>
        </w:numPr>
        <w:ind w:left="660"/>
        <w:rPr>
          <w:lang w:val="pl-PL"/>
        </w:rPr>
      </w:pPr>
    </w:p>
    <w:p w14:paraId="2E83BAE3" w14:textId="059544C4" w:rsidR="0059538A" w:rsidRPr="008F328C" w:rsidRDefault="00825BEA" w:rsidP="0059538A">
      <w:pPr>
        <w:pStyle w:val="a3"/>
        <w:numPr>
          <w:ilvl w:val="1"/>
          <w:numId w:val="4"/>
        </w:numPr>
        <w:ind w:left="660" w:hanging="660"/>
        <w:rPr>
          <w:lang w:val="pl-PL"/>
        </w:rPr>
      </w:pPr>
      <w:r w:rsidRPr="008F328C">
        <w:rPr>
          <w:lang w:val="pl-PL"/>
        </w:rPr>
        <w:t>Jeśli u dziecka występuje ciężkie zakażenie, w tym czynna gruźlica (patrz „Ostrzeżenia i środki ostrożności”). Należy bezwzględnie poinformować lekarza, gdy u dziecka występują objawy zakażenia, np. gorączka, zranienia, uczucie zmęczenia, kłopoty z zębami</w:t>
      </w:r>
      <w:r w:rsidR="0059538A" w:rsidRPr="008F328C">
        <w:rPr>
          <w:rFonts w:eastAsia="Times New Roman"/>
          <w:lang w:val="pl-PL"/>
        </w:rPr>
        <w:t>.</w:t>
      </w:r>
    </w:p>
    <w:p w14:paraId="0EA573E7" w14:textId="77777777" w:rsidR="0059538A" w:rsidRPr="008F328C" w:rsidRDefault="0059538A" w:rsidP="0059538A">
      <w:pPr>
        <w:pStyle w:val="a3"/>
        <w:numPr>
          <w:ilvl w:val="0"/>
          <w:numId w:val="0"/>
        </w:numPr>
        <w:ind w:left="660"/>
        <w:rPr>
          <w:lang w:val="pl-PL"/>
        </w:rPr>
      </w:pPr>
    </w:p>
    <w:p w14:paraId="7C5C2BCC" w14:textId="22A723AF" w:rsidR="0059538A" w:rsidRPr="008F328C" w:rsidRDefault="00825BEA" w:rsidP="0059538A">
      <w:pPr>
        <w:pStyle w:val="a3"/>
        <w:numPr>
          <w:ilvl w:val="1"/>
          <w:numId w:val="4"/>
        </w:numPr>
        <w:ind w:left="660" w:hanging="660"/>
        <w:rPr>
          <w:lang w:val="pl-PL"/>
        </w:rPr>
      </w:pPr>
      <w:r w:rsidRPr="008F328C">
        <w:rPr>
          <w:lang w:val="pl-PL"/>
        </w:rPr>
        <w:t>Jeśli u dziecka występuje umiarkowana lub ciężka niewydolność serca. Należy bezwzględnie poinformować lekarza o poważnej chorobie serca w przeszłości lub obecnie (patrz „Ostrzeżenia i środki ostrożności”)</w:t>
      </w:r>
      <w:r w:rsidR="0059538A" w:rsidRPr="008F328C">
        <w:rPr>
          <w:rFonts w:eastAsia="Times New Roman"/>
          <w:lang w:val="pl-PL"/>
        </w:rPr>
        <w:t>.</w:t>
      </w:r>
    </w:p>
    <w:p w14:paraId="77092ADD" w14:textId="77777777" w:rsidR="0059538A" w:rsidRPr="008F328C" w:rsidRDefault="0059538A" w:rsidP="0059538A">
      <w:pPr>
        <w:spacing w:before="13" w:line="240" w:lineRule="exact"/>
        <w:rPr>
          <w:rFonts w:ascii="Times New Roman" w:hAnsi="Times New Roman" w:cs="Times New Roman"/>
          <w:sz w:val="24"/>
          <w:szCs w:val="24"/>
          <w:lang w:val="pl-PL"/>
        </w:rPr>
      </w:pPr>
    </w:p>
    <w:p w14:paraId="35BE66EF" w14:textId="77777777" w:rsidR="0059538A" w:rsidRPr="008F328C" w:rsidRDefault="0059538A" w:rsidP="0059538A">
      <w:pPr>
        <w:pStyle w:val="a3"/>
        <w:rPr>
          <w:b/>
          <w:lang w:val="pl-PL"/>
        </w:rPr>
      </w:pPr>
      <w:r w:rsidRPr="008F328C">
        <w:rPr>
          <w:rFonts w:eastAsia="Times New Roman"/>
          <w:b/>
          <w:bCs/>
          <w:lang w:val="pl-PL"/>
        </w:rPr>
        <w:t>Ostrzeżenia i środki ostrożności</w:t>
      </w:r>
    </w:p>
    <w:p w14:paraId="647FA208" w14:textId="77777777" w:rsidR="0059538A" w:rsidRPr="008F328C" w:rsidRDefault="0059538A" w:rsidP="0059538A">
      <w:pPr>
        <w:spacing w:before="9" w:line="240" w:lineRule="exact"/>
        <w:rPr>
          <w:rFonts w:ascii="Times New Roman" w:hAnsi="Times New Roman" w:cs="Times New Roman"/>
          <w:sz w:val="24"/>
          <w:szCs w:val="24"/>
          <w:lang w:val="pl-PL"/>
        </w:rPr>
      </w:pPr>
    </w:p>
    <w:p w14:paraId="0F780A7D" w14:textId="77777777" w:rsidR="0059538A" w:rsidRPr="008F328C" w:rsidRDefault="0059538A" w:rsidP="0059538A">
      <w:pPr>
        <w:pStyle w:val="a3"/>
        <w:rPr>
          <w:lang w:val="pl-PL"/>
        </w:rPr>
      </w:pPr>
      <w:r w:rsidRPr="008F328C">
        <w:rPr>
          <w:rFonts w:eastAsia="Times New Roman"/>
          <w:lang w:val="pl-PL"/>
        </w:rPr>
        <w:t>Przed rozpoczęciem stosowania leku Yuflyma należy omówić to z lekarzem lub farmaceutą.</w:t>
      </w:r>
    </w:p>
    <w:p w14:paraId="0B372160" w14:textId="77777777" w:rsidR="0059538A" w:rsidRPr="008F328C" w:rsidRDefault="0059538A" w:rsidP="0059538A">
      <w:pPr>
        <w:pStyle w:val="a3"/>
        <w:rPr>
          <w:lang w:val="pl-PL"/>
        </w:rPr>
      </w:pPr>
    </w:p>
    <w:p w14:paraId="5D0809AF" w14:textId="77777777" w:rsidR="0059538A" w:rsidRPr="008F328C" w:rsidRDefault="0059538A" w:rsidP="0059538A">
      <w:pPr>
        <w:pStyle w:val="a3"/>
        <w:rPr>
          <w:u w:val="single" w:color="000000"/>
          <w:lang w:val="pl-PL"/>
        </w:rPr>
      </w:pPr>
      <w:r w:rsidRPr="008F328C">
        <w:rPr>
          <w:rFonts w:eastAsia="Times New Roman"/>
          <w:u w:val="single" w:color="000000"/>
          <w:lang w:val="pl-PL"/>
        </w:rPr>
        <w:t>Reakcje alergiczne</w:t>
      </w:r>
    </w:p>
    <w:p w14:paraId="1868660E" w14:textId="77777777" w:rsidR="0059538A" w:rsidRPr="008F328C" w:rsidRDefault="0059538A" w:rsidP="0059538A">
      <w:pPr>
        <w:pStyle w:val="a3"/>
        <w:rPr>
          <w:u w:val="single"/>
          <w:lang w:val="pl-PL"/>
        </w:rPr>
      </w:pPr>
    </w:p>
    <w:p w14:paraId="781FD4A4" w14:textId="7BB59472" w:rsidR="0059538A" w:rsidRPr="008F328C" w:rsidRDefault="00825BEA" w:rsidP="0059538A">
      <w:pPr>
        <w:pStyle w:val="a3"/>
        <w:numPr>
          <w:ilvl w:val="1"/>
          <w:numId w:val="4"/>
        </w:numPr>
        <w:ind w:left="660" w:hanging="660"/>
        <w:rPr>
          <w:lang w:val="pl-PL"/>
        </w:rPr>
      </w:pPr>
      <w:r w:rsidRPr="008F328C">
        <w:rPr>
          <w:lang w:val="pl-PL"/>
        </w:rPr>
        <w:t xml:space="preserve">Jeśli u dziecka wystąpią reakcje alergiczne, z takimi objawami jak uczucie ucisku w klatce piersiowej, świszczący oddech, zawroty głowy, obrzęk lub wysypka należy przerwać wstrzykiwanie leku </w:t>
      </w:r>
      <w:r w:rsidR="008F328C">
        <w:rPr>
          <w:lang w:val="pl-PL"/>
        </w:rPr>
        <w:t>Yuflyma</w:t>
      </w:r>
      <w:r w:rsidRPr="008F328C">
        <w:rPr>
          <w:lang w:val="pl-PL"/>
        </w:rPr>
        <w:t xml:space="preserve"> i natychmiast skontaktować się z lekarzem, ponieważ w rzadkich przypadkach takie reakcje mogą zagrażać życiu</w:t>
      </w:r>
      <w:r w:rsidR="0059538A" w:rsidRPr="008F328C">
        <w:rPr>
          <w:rFonts w:eastAsia="Times New Roman"/>
          <w:lang w:val="pl-PL"/>
        </w:rPr>
        <w:t>.</w:t>
      </w:r>
    </w:p>
    <w:p w14:paraId="782D8233" w14:textId="77777777" w:rsidR="0059538A" w:rsidRPr="008F328C" w:rsidRDefault="0059538A" w:rsidP="0059538A">
      <w:pPr>
        <w:pStyle w:val="a3"/>
        <w:rPr>
          <w:b/>
          <w:lang w:val="pl-PL"/>
        </w:rPr>
      </w:pPr>
    </w:p>
    <w:p w14:paraId="04E8CAA7" w14:textId="77777777" w:rsidR="0059538A" w:rsidRPr="008F328C" w:rsidRDefault="0059538A" w:rsidP="0059538A">
      <w:pPr>
        <w:pStyle w:val="a3"/>
        <w:rPr>
          <w:u w:val="single"/>
          <w:lang w:val="pl-PL"/>
        </w:rPr>
      </w:pPr>
      <w:r w:rsidRPr="008F328C">
        <w:rPr>
          <w:rFonts w:eastAsia="Times New Roman"/>
          <w:u w:val="single"/>
          <w:lang w:val="pl-PL"/>
        </w:rPr>
        <w:t>Zakażenia</w:t>
      </w:r>
    </w:p>
    <w:p w14:paraId="71B32056" w14:textId="77777777" w:rsidR="0059538A" w:rsidRPr="008F328C" w:rsidRDefault="0059538A" w:rsidP="0059538A">
      <w:pPr>
        <w:pStyle w:val="a3"/>
        <w:rPr>
          <w:b/>
          <w:lang w:val="pl-PL"/>
        </w:rPr>
      </w:pPr>
    </w:p>
    <w:p w14:paraId="7FEC81DE" w14:textId="04B55A3A" w:rsidR="0059538A" w:rsidRPr="008F328C" w:rsidRDefault="00825BEA" w:rsidP="0059538A">
      <w:pPr>
        <w:pStyle w:val="a3"/>
        <w:numPr>
          <w:ilvl w:val="1"/>
          <w:numId w:val="4"/>
        </w:numPr>
        <w:ind w:left="660" w:hanging="660"/>
        <w:rPr>
          <w:lang w:val="pl-PL"/>
        </w:rPr>
      </w:pPr>
      <w:r w:rsidRPr="008F328C">
        <w:rPr>
          <w:lang w:val="pl-PL"/>
        </w:rPr>
        <w:t xml:space="preserve">Jeśli u dziecka występuje zakażenie, w tym długotrwałe zakażenie lub miejscowe zakażenie (np. owrzodzenie podudzia), przed rozpoczęciem stosowania leku </w:t>
      </w:r>
      <w:r w:rsidR="008F328C">
        <w:rPr>
          <w:lang w:val="pl-PL"/>
        </w:rPr>
        <w:t>Yuflyma</w:t>
      </w:r>
      <w:r w:rsidRPr="008F328C">
        <w:rPr>
          <w:lang w:val="pl-PL"/>
        </w:rPr>
        <w:t xml:space="preserve"> należy poradzić się lekarza. W przypadku wątpliwości należy skontaktować się z lekarzem</w:t>
      </w:r>
      <w:r w:rsidR="0059538A" w:rsidRPr="008F328C">
        <w:rPr>
          <w:rFonts w:eastAsia="Times New Roman"/>
          <w:lang w:val="pl-PL"/>
        </w:rPr>
        <w:t>.</w:t>
      </w:r>
    </w:p>
    <w:p w14:paraId="2F3F20F4" w14:textId="77777777" w:rsidR="0059538A" w:rsidRPr="008F328C" w:rsidRDefault="0059538A" w:rsidP="0059538A">
      <w:pPr>
        <w:pStyle w:val="a3"/>
        <w:rPr>
          <w:lang w:val="pl-PL"/>
        </w:rPr>
      </w:pPr>
    </w:p>
    <w:p w14:paraId="23DFFB7F" w14:textId="58BA8D86" w:rsidR="0059538A" w:rsidRPr="008F328C" w:rsidRDefault="00825BEA" w:rsidP="0059538A">
      <w:pPr>
        <w:pStyle w:val="a3"/>
        <w:numPr>
          <w:ilvl w:val="1"/>
          <w:numId w:val="4"/>
        </w:numPr>
        <w:ind w:left="660" w:hanging="660"/>
        <w:rPr>
          <w:lang w:val="pl-PL"/>
        </w:rPr>
      </w:pPr>
      <w:r w:rsidRPr="008F328C">
        <w:rPr>
          <w:lang w:val="pl-PL"/>
        </w:rPr>
        <w:t xml:space="preserve">Podczas stosowania leku </w:t>
      </w:r>
      <w:r w:rsidR="008F328C">
        <w:rPr>
          <w:lang w:val="pl-PL"/>
        </w:rPr>
        <w:t>Yuflyma</w:t>
      </w:r>
      <w:r w:rsidRPr="008F328C">
        <w:rPr>
          <w:lang w:val="pl-PL"/>
        </w:rPr>
        <w:t xml:space="preserve"> może się zwiększyć podatność na zakażenia u dziecka. Ryzyko zakażenia zwiększa się, jeśli dziecko ma problemy z płucami. </w:t>
      </w:r>
      <w:r>
        <w:t>Mogą to być poważne zakażenia, takie jak</w:t>
      </w:r>
      <w:r w:rsidR="0059538A" w:rsidRPr="008F328C">
        <w:rPr>
          <w:rFonts w:eastAsia="Times New Roman"/>
          <w:lang w:val="pl-PL"/>
        </w:rPr>
        <w:t>:</w:t>
      </w:r>
    </w:p>
    <w:p w14:paraId="62BFFC38" w14:textId="77777777" w:rsidR="0059538A" w:rsidRPr="008F328C" w:rsidRDefault="0059538A" w:rsidP="0059538A">
      <w:pPr>
        <w:pStyle w:val="a3"/>
        <w:numPr>
          <w:ilvl w:val="1"/>
          <w:numId w:val="4"/>
        </w:numPr>
        <w:ind w:left="660" w:firstLine="49"/>
        <w:rPr>
          <w:lang w:val="pl-PL"/>
        </w:rPr>
      </w:pPr>
      <w:r w:rsidRPr="008F328C">
        <w:rPr>
          <w:rFonts w:eastAsia="Times New Roman"/>
          <w:lang w:val="pl-PL"/>
        </w:rPr>
        <w:t>gruźlica</w:t>
      </w:r>
    </w:p>
    <w:p w14:paraId="7A3BDC50" w14:textId="77777777" w:rsidR="0059538A" w:rsidRPr="008F328C" w:rsidRDefault="0059538A" w:rsidP="0059538A">
      <w:pPr>
        <w:pStyle w:val="a3"/>
        <w:numPr>
          <w:ilvl w:val="1"/>
          <w:numId w:val="4"/>
        </w:numPr>
        <w:ind w:left="660" w:firstLine="49"/>
        <w:rPr>
          <w:lang w:val="pl-PL"/>
        </w:rPr>
      </w:pPr>
      <w:r w:rsidRPr="008F328C">
        <w:rPr>
          <w:rFonts w:eastAsia="Times New Roman"/>
          <w:lang w:val="pl-PL"/>
        </w:rPr>
        <w:t>zakażenia spowodowane przez wirusy, grzyby, pasożyty lub bakterie</w:t>
      </w:r>
    </w:p>
    <w:p w14:paraId="657FDF72" w14:textId="77777777" w:rsidR="0059538A" w:rsidRPr="008F328C" w:rsidRDefault="0059538A" w:rsidP="0059538A">
      <w:pPr>
        <w:pStyle w:val="a3"/>
        <w:numPr>
          <w:ilvl w:val="1"/>
          <w:numId w:val="4"/>
        </w:numPr>
        <w:ind w:left="660" w:firstLine="49"/>
        <w:rPr>
          <w:lang w:val="pl-PL"/>
        </w:rPr>
      </w:pPr>
      <w:r w:rsidRPr="008F328C">
        <w:rPr>
          <w:rFonts w:eastAsia="Times New Roman"/>
          <w:lang w:val="pl-PL"/>
        </w:rPr>
        <w:t>ciężkie zakażenia krwi (posocznica)</w:t>
      </w:r>
    </w:p>
    <w:p w14:paraId="75AC1850" w14:textId="77777777" w:rsidR="0059538A" w:rsidRPr="008F328C" w:rsidRDefault="0059538A" w:rsidP="0059538A">
      <w:pPr>
        <w:pStyle w:val="a3"/>
        <w:rPr>
          <w:lang w:val="pl-PL"/>
        </w:rPr>
      </w:pPr>
    </w:p>
    <w:p w14:paraId="662DB796" w14:textId="743E857B" w:rsidR="0059538A" w:rsidRPr="008F328C" w:rsidRDefault="00825BEA" w:rsidP="008F328C">
      <w:pPr>
        <w:pStyle w:val="a3"/>
        <w:numPr>
          <w:ilvl w:val="0"/>
          <w:numId w:val="0"/>
        </w:numPr>
        <w:ind w:left="660"/>
        <w:rPr>
          <w:lang w:val="pl-PL"/>
        </w:rPr>
      </w:pPr>
      <w:r w:rsidRPr="008F328C">
        <w:rPr>
          <w:lang w:val="pl-PL"/>
        </w:rPr>
        <w:t xml:space="preserve">W rzadkich przypadkach takie zakażenia mogą zagrażać życiu. Należy koniecznie powiedzieć lekarzowi, jeśli u dziecka wystąpią takie objawy jak gorączka, zranienia, uczucie zmęczenia lub kłopoty z zębami. Lekarz może zalecić czasowe przerwanie stosowania leku </w:t>
      </w:r>
      <w:r w:rsidR="008F328C">
        <w:rPr>
          <w:lang w:val="pl-PL"/>
        </w:rPr>
        <w:t>Yuflyma</w:t>
      </w:r>
      <w:r w:rsidR="0059538A" w:rsidRPr="008F328C">
        <w:rPr>
          <w:rFonts w:eastAsia="Times New Roman"/>
          <w:lang w:val="pl-PL"/>
        </w:rPr>
        <w:t>.</w:t>
      </w:r>
    </w:p>
    <w:p w14:paraId="02E8DF85" w14:textId="77777777" w:rsidR="0059538A" w:rsidRPr="008F328C" w:rsidRDefault="0059538A" w:rsidP="0059538A">
      <w:pPr>
        <w:pStyle w:val="a3"/>
        <w:rPr>
          <w:lang w:val="pl-PL"/>
        </w:rPr>
      </w:pPr>
    </w:p>
    <w:p w14:paraId="3AD3A59E" w14:textId="4E8F9E7D" w:rsidR="0059538A" w:rsidRPr="008F328C" w:rsidRDefault="00825BEA" w:rsidP="0059538A">
      <w:pPr>
        <w:pStyle w:val="a3"/>
        <w:numPr>
          <w:ilvl w:val="1"/>
          <w:numId w:val="4"/>
        </w:numPr>
        <w:ind w:left="660" w:hanging="660"/>
        <w:rPr>
          <w:lang w:val="pl-PL"/>
        </w:rPr>
      </w:pPr>
      <w:r w:rsidRPr="008F328C">
        <w:rPr>
          <w:lang w:val="pl-PL"/>
        </w:rPr>
        <w:lastRenderedPageBreak/>
        <w:t>Należy poinformować lekarza, jeśli dziecko mieszka lub podróżuje w regionach, gdzie często występują zakażenia grzybicze (na przykład histoplazmoza, kokcydioidomykoza lub blastomykoza</w:t>
      </w:r>
      <w:r w:rsidR="0059538A" w:rsidRPr="008F328C">
        <w:rPr>
          <w:rFonts w:eastAsia="Times New Roman"/>
          <w:lang w:val="pl-PL"/>
        </w:rPr>
        <w:t>).</w:t>
      </w:r>
    </w:p>
    <w:p w14:paraId="64856FFF" w14:textId="77777777" w:rsidR="0059538A" w:rsidRPr="008F328C" w:rsidRDefault="0059538A" w:rsidP="0059538A">
      <w:pPr>
        <w:pStyle w:val="a3"/>
        <w:rPr>
          <w:lang w:val="pl-PL"/>
        </w:rPr>
      </w:pPr>
    </w:p>
    <w:p w14:paraId="6E26730F" w14:textId="55265BCA" w:rsidR="0059538A" w:rsidRPr="008F328C" w:rsidRDefault="00825BEA" w:rsidP="0059538A">
      <w:pPr>
        <w:pStyle w:val="a3"/>
        <w:numPr>
          <w:ilvl w:val="1"/>
          <w:numId w:val="4"/>
        </w:numPr>
        <w:ind w:left="660" w:hanging="660"/>
        <w:rPr>
          <w:lang w:val="pl-PL"/>
        </w:rPr>
      </w:pPr>
      <w:r w:rsidRPr="008F328C">
        <w:rPr>
          <w:lang w:val="pl-PL"/>
        </w:rPr>
        <w:t>Należy poinformować lekarza, jeśli u dziecka występowały nawracające zakażenia lub inne choroby zwiększające ryzyko wystąpienia zakażeń</w:t>
      </w:r>
      <w:r w:rsidR="0059538A" w:rsidRPr="008F328C">
        <w:rPr>
          <w:rFonts w:eastAsia="Times New Roman"/>
          <w:lang w:val="pl-PL"/>
        </w:rPr>
        <w:t>.</w:t>
      </w:r>
    </w:p>
    <w:p w14:paraId="5418F617" w14:textId="77777777" w:rsidR="0059538A" w:rsidRPr="008F328C" w:rsidRDefault="0059538A" w:rsidP="0059538A">
      <w:pPr>
        <w:pStyle w:val="a3"/>
        <w:numPr>
          <w:ilvl w:val="0"/>
          <w:numId w:val="0"/>
        </w:numPr>
        <w:rPr>
          <w:lang w:val="pl-PL"/>
        </w:rPr>
      </w:pPr>
    </w:p>
    <w:p w14:paraId="5CA5C312" w14:textId="4743C413" w:rsidR="0059538A" w:rsidRPr="008F328C" w:rsidRDefault="00825BEA" w:rsidP="0059538A">
      <w:pPr>
        <w:pStyle w:val="a3"/>
        <w:numPr>
          <w:ilvl w:val="1"/>
          <w:numId w:val="4"/>
        </w:numPr>
        <w:ind w:left="660" w:hanging="660"/>
        <w:rPr>
          <w:lang w:val="pl-PL"/>
        </w:rPr>
      </w:pPr>
      <w:r w:rsidRPr="008F328C">
        <w:rPr>
          <w:lang w:val="pl-PL"/>
        </w:rPr>
        <w:t xml:space="preserve">Dziecko i lekarz prowadzący powinni zwracać szczególną uwagę na objawy zakażenia w okresie stosowania leku </w:t>
      </w:r>
      <w:r w:rsidR="008F328C">
        <w:rPr>
          <w:lang w:val="pl-PL"/>
        </w:rPr>
        <w:t>Yuflyma</w:t>
      </w:r>
      <w:r w:rsidRPr="008F328C">
        <w:rPr>
          <w:lang w:val="pl-PL"/>
        </w:rPr>
        <w:t>. Należy koniecznie poinformować lekarza w przypadku wystąpienia objawów zakażenia, takich jak gorączka, zranienia, uczucie zmęczenia lub kłopoty z zębami</w:t>
      </w:r>
      <w:r w:rsidR="0059538A" w:rsidRPr="008F328C">
        <w:rPr>
          <w:rFonts w:eastAsia="Times New Roman"/>
          <w:lang w:val="pl-PL"/>
        </w:rPr>
        <w:t>.</w:t>
      </w:r>
    </w:p>
    <w:p w14:paraId="5E3966E6" w14:textId="77777777" w:rsidR="0059538A" w:rsidRPr="008F328C" w:rsidRDefault="0059538A" w:rsidP="0059538A">
      <w:pPr>
        <w:spacing w:before="11" w:line="240" w:lineRule="exact"/>
        <w:rPr>
          <w:rFonts w:ascii="Times New Roman" w:hAnsi="Times New Roman" w:cs="Times New Roman"/>
          <w:sz w:val="24"/>
          <w:szCs w:val="24"/>
          <w:lang w:val="pl-PL"/>
        </w:rPr>
      </w:pPr>
    </w:p>
    <w:p w14:paraId="5B2D6BD5" w14:textId="77777777" w:rsidR="0059538A" w:rsidRPr="008F328C" w:rsidRDefault="0059538A" w:rsidP="0059538A">
      <w:pPr>
        <w:pStyle w:val="a3"/>
        <w:rPr>
          <w:u w:val="single"/>
          <w:lang w:val="pl-PL"/>
        </w:rPr>
      </w:pPr>
      <w:r w:rsidRPr="008F328C">
        <w:rPr>
          <w:rFonts w:eastAsia="Times New Roman"/>
          <w:u w:val="single" w:color="000000"/>
          <w:lang w:val="pl-PL"/>
        </w:rPr>
        <w:t>Gruźlica</w:t>
      </w:r>
    </w:p>
    <w:p w14:paraId="12E5AE07" w14:textId="7F5D302D" w:rsidR="0059538A" w:rsidRPr="008F328C" w:rsidRDefault="0059538A" w:rsidP="008F328C">
      <w:pPr>
        <w:pStyle w:val="a3"/>
        <w:numPr>
          <w:ilvl w:val="0"/>
          <w:numId w:val="0"/>
        </w:numPr>
        <w:rPr>
          <w:lang w:val="pl-PL"/>
        </w:rPr>
      </w:pPr>
    </w:p>
    <w:p w14:paraId="1052024F" w14:textId="146C3163" w:rsidR="0059538A" w:rsidRPr="008F328C" w:rsidRDefault="00825BEA" w:rsidP="008F328C">
      <w:pPr>
        <w:pStyle w:val="a3"/>
        <w:numPr>
          <w:ilvl w:val="1"/>
          <w:numId w:val="4"/>
        </w:numPr>
        <w:ind w:left="660" w:hanging="660"/>
        <w:rPr>
          <w:lang w:val="pl-PL"/>
        </w:rPr>
      </w:pPr>
      <w:r w:rsidRPr="008F328C">
        <w:rPr>
          <w:lang w:val="pl-PL"/>
        </w:rPr>
        <w:t xml:space="preserve">U pacjentów otrzymujących lek </w:t>
      </w:r>
      <w:r w:rsidR="008F328C">
        <w:rPr>
          <w:lang w:val="pl-PL"/>
        </w:rPr>
        <w:t>Yuflyma</w:t>
      </w:r>
      <w:r w:rsidRPr="008F328C">
        <w:rPr>
          <w:lang w:val="pl-PL"/>
        </w:rPr>
        <w:t xml:space="preserve"> obserwowano przypadki gruźlicy. Dlatego przed rozpoczęciem podawania leku </w:t>
      </w:r>
      <w:r w:rsidR="008F328C">
        <w:rPr>
          <w:lang w:val="pl-PL"/>
        </w:rPr>
        <w:t>Yuflyma</w:t>
      </w:r>
      <w:r w:rsidRPr="008F328C">
        <w:rPr>
          <w:lang w:val="pl-PL"/>
        </w:rPr>
        <w:t xml:space="preserve"> lekarz sprawdzi, czy u pacjenta nie występują zdiagnozowane przez lekarza i odczuwane przez pacjenta objawy gruźlicy. Będzie to dokładna ocena dokonana przez lekarza obejmująca wywiad dotyczący przebytych chorób oraz odpowiednie badania przesiewowe (na przykład zdjęcie rentgenowskie klatki piersiowej i próba tuberkulinowa). Informację o wykonaniu tych badań i ich wynikach należy wpisać do </w:t>
      </w:r>
      <w:r w:rsidRPr="008F328C">
        <w:rPr>
          <w:b/>
          <w:lang w:val="pl-PL"/>
        </w:rPr>
        <w:t>„Karty Przypominającej dla Pacjenta</w:t>
      </w:r>
      <w:r w:rsidR="0059538A" w:rsidRPr="008F328C">
        <w:rPr>
          <w:rFonts w:eastAsia="Times New Roman"/>
          <w:b/>
          <w:lang w:val="pl-PL"/>
        </w:rPr>
        <w:t>”</w:t>
      </w:r>
      <w:r w:rsidR="0059538A" w:rsidRPr="008F328C">
        <w:rPr>
          <w:rFonts w:eastAsia="Times New Roman"/>
          <w:lang w:val="pl-PL"/>
        </w:rPr>
        <w:t>.</w:t>
      </w:r>
    </w:p>
    <w:p w14:paraId="0300843D" w14:textId="21A2B214" w:rsidR="00825BEA" w:rsidRPr="008F328C" w:rsidRDefault="00825BEA" w:rsidP="0059538A">
      <w:pPr>
        <w:pStyle w:val="a3"/>
        <w:numPr>
          <w:ilvl w:val="1"/>
          <w:numId w:val="4"/>
        </w:numPr>
        <w:ind w:left="998" w:hanging="340"/>
        <w:rPr>
          <w:lang w:val="pl-PL"/>
        </w:rPr>
      </w:pPr>
      <w:r w:rsidRPr="00911EA9">
        <w:rPr>
          <w:rFonts w:eastAsia="Times New Roman"/>
          <w:lang w:val="pl-PL"/>
        </w:rPr>
        <w:t>Należy koniecznie powiedzieć lekarzowi o przebytej gruźlicy lub o bliskich kontaktach z chorym na gruźlicę w przeszłości. Leku Yuflyma nie należy stosować u pacjentów z czynną gruźlicą</w:t>
      </w:r>
      <w:r>
        <w:rPr>
          <w:rFonts w:eastAsia="Times New Roman"/>
          <w:lang w:val="pl-PL"/>
        </w:rPr>
        <w:t>.</w:t>
      </w:r>
    </w:p>
    <w:p w14:paraId="352F5A48" w14:textId="0C0BF0CB" w:rsidR="0059538A" w:rsidRPr="008F328C" w:rsidRDefault="00825BEA" w:rsidP="0059538A">
      <w:pPr>
        <w:pStyle w:val="a3"/>
        <w:numPr>
          <w:ilvl w:val="1"/>
          <w:numId w:val="4"/>
        </w:numPr>
        <w:ind w:left="998" w:hanging="340"/>
        <w:rPr>
          <w:lang w:val="pl-PL"/>
        </w:rPr>
      </w:pPr>
      <w:r w:rsidRPr="008F328C">
        <w:rPr>
          <w:lang w:val="pl-PL"/>
        </w:rPr>
        <w:t>Gruźlica może się rozwinąć podczas terapii, nawet jeśli dziecko otrzymywało profilaktyczne leczenie przeciwgruźlicze</w:t>
      </w:r>
      <w:r w:rsidR="0059538A" w:rsidRPr="008F328C">
        <w:rPr>
          <w:rFonts w:eastAsia="Times New Roman"/>
          <w:lang w:val="pl-PL"/>
        </w:rPr>
        <w:t>.</w:t>
      </w:r>
    </w:p>
    <w:p w14:paraId="74A73DDE"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Należy natychmiast poinformować lekarza, jeśli w trakcie leczenia lub po jego zakończeniu wystąpią objawy gruźlicy (na przykład kaszel, który nie ustępuje, utrata masy ciała, obniżenie aktywności, niewielka gorączka) lub innego zakażenia.</w:t>
      </w:r>
    </w:p>
    <w:p w14:paraId="4EFD52F3" w14:textId="77777777" w:rsidR="0059538A" w:rsidRPr="008F328C" w:rsidRDefault="0059538A" w:rsidP="0059538A">
      <w:pPr>
        <w:spacing w:before="11" w:line="240" w:lineRule="exact"/>
        <w:rPr>
          <w:rFonts w:ascii="Times New Roman" w:hAnsi="Times New Roman" w:cs="Times New Roman"/>
          <w:sz w:val="24"/>
          <w:szCs w:val="24"/>
          <w:lang w:val="pl-PL"/>
        </w:rPr>
      </w:pPr>
    </w:p>
    <w:p w14:paraId="6764244B" w14:textId="77777777" w:rsidR="0059538A" w:rsidRPr="008F328C" w:rsidRDefault="0059538A" w:rsidP="0059538A">
      <w:pPr>
        <w:pStyle w:val="a3"/>
        <w:rPr>
          <w:u w:val="single"/>
          <w:lang w:val="pl-PL"/>
        </w:rPr>
      </w:pPr>
      <w:r w:rsidRPr="008F328C">
        <w:rPr>
          <w:rFonts w:eastAsia="Times New Roman"/>
          <w:u w:val="single" w:color="000000"/>
          <w:lang w:val="pl-PL"/>
        </w:rPr>
        <w:t>Zapalenie wątroby typu B</w:t>
      </w:r>
    </w:p>
    <w:p w14:paraId="07D1404B" w14:textId="77777777" w:rsidR="0059538A" w:rsidRPr="008F328C" w:rsidRDefault="0059538A" w:rsidP="0059538A">
      <w:pPr>
        <w:spacing w:before="4" w:line="190" w:lineRule="exact"/>
        <w:rPr>
          <w:rFonts w:ascii="Times New Roman" w:hAnsi="Times New Roman" w:cs="Times New Roman"/>
          <w:sz w:val="19"/>
          <w:szCs w:val="19"/>
          <w:lang w:val="pl-PL"/>
        </w:rPr>
      </w:pPr>
    </w:p>
    <w:p w14:paraId="019C3812" w14:textId="4CE7A412" w:rsidR="0059538A" w:rsidRPr="008F328C" w:rsidRDefault="00825BEA" w:rsidP="0059538A">
      <w:pPr>
        <w:pStyle w:val="a3"/>
        <w:numPr>
          <w:ilvl w:val="1"/>
          <w:numId w:val="4"/>
        </w:numPr>
        <w:ind w:left="660" w:hanging="660"/>
        <w:rPr>
          <w:lang w:val="pl-PL"/>
        </w:rPr>
      </w:pPr>
      <w:r w:rsidRPr="008F328C">
        <w:rPr>
          <w:lang w:val="pl-PL"/>
        </w:rPr>
        <w:t>Należy powiedzieć lekarzowi prowadzącemu, jeśli pacjent jest nosicielem wirusa zapalenia wątroby typu B (HBV), jeśli choruje na zapalenie wątroby typu B lub jeśli sądzi, że należy do grupy zwiększonego ryzyka zakażenia HBV</w:t>
      </w:r>
      <w:r w:rsidR="0059538A" w:rsidRPr="008F328C">
        <w:rPr>
          <w:rFonts w:eastAsia="Times New Roman"/>
          <w:lang w:val="pl-PL"/>
        </w:rPr>
        <w:t>.</w:t>
      </w:r>
    </w:p>
    <w:p w14:paraId="611FAE34"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Lekarz powinien zlecić wykonanie badań w kierunku zakażenia HBV. U osób będących nosicielami HBV, lek Yuflyma może powodować uaktywnienie się wirusa.</w:t>
      </w:r>
    </w:p>
    <w:p w14:paraId="176AEC6B" w14:textId="12A51715" w:rsidR="0059538A" w:rsidRPr="008F328C" w:rsidRDefault="00825BEA" w:rsidP="0059538A">
      <w:pPr>
        <w:pStyle w:val="a3"/>
        <w:numPr>
          <w:ilvl w:val="1"/>
          <w:numId w:val="4"/>
        </w:numPr>
        <w:ind w:left="998" w:hanging="340"/>
        <w:rPr>
          <w:lang w:val="pl-PL"/>
        </w:rPr>
      </w:pPr>
      <w:r w:rsidRPr="008F328C">
        <w:rPr>
          <w:lang w:val="pl-PL"/>
        </w:rPr>
        <w:t>W niektórych rzadkich przypadkach, zwłaszcza u pacjentów przyjmujących inne leki hamujące aktywność układu immunologicznego, reaktywacja HBV może zagrażać życiu</w:t>
      </w:r>
      <w:r w:rsidR="0059538A" w:rsidRPr="008F328C">
        <w:rPr>
          <w:rFonts w:eastAsia="Times New Roman"/>
          <w:lang w:val="pl-PL"/>
        </w:rPr>
        <w:t>.</w:t>
      </w:r>
    </w:p>
    <w:p w14:paraId="7BFC768C" w14:textId="77777777" w:rsidR="0059538A" w:rsidRPr="008F328C" w:rsidRDefault="0059538A" w:rsidP="0059538A">
      <w:pPr>
        <w:spacing w:before="11" w:line="240" w:lineRule="exact"/>
        <w:rPr>
          <w:rFonts w:ascii="Times New Roman" w:hAnsi="Times New Roman" w:cs="Times New Roman"/>
          <w:sz w:val="24"/>
          <w:szCs w:val="24"/>
          <w:lang w:val="pl-PL"/>
        </w:rPr>
      </w:pPr>
    </w:p>
    <w:p w14:paraId="1F5CC31C" w14:textId="77777777" w:rsidR="0059538A" w:rsidRPr="008F328C" w:rsidRDefault="0059538A" w:rsidP="0059538A">
      <w:pPr>
        <w:pStyle w:val="a3"/>
        <w:rPr>
          <w:u w:val="single"/>
          <w:lang w:val="pl-PL"/>
        </w:rPr>
      </w:pPr>
      <w:r w:rsidRPr="008F328C">
        <w:rPr>
          <w:rFonts w:eastAsia="Times New Roman"/>
          <w:u w:val="single" w:color="000000"/>
          <w:lang w:val="pl-PL"/>
        </w:rPr>
        <w:t>Zabiegi chirurgiczne lub stomatologiczne</w:t>
      </w:r>
    </w:p>
    <w:p w14:paraId="44B5D287" w14:textId="77777777" w:rsidR="0059538A" w:rsidRPr="008F328C" w:rsidRDefault="0059538A" w:rsidP="0059538A">
      <w:pPr>
        <w:spacing w:before="4" w:line="190" w:lineRule="exact"/>
        <w:rPr>
          <w:rFonts w:ascii="Times New Roman" w:hAnsi="Times New Roman" w:cs="Times New Roman"/>
          <w:sz w:val="19"/>
          <w:szCs w:val="19"/>
          <w:lang w:val="pl-PL"/>
        </w:rPr>
      </w:pPr>
    </w:p>
    <w:p w14:paraId="0E5A5837" w14:textId="61709C61" w:rsidR="0059538A" w:rsidRPr="008F328C" w:rsidRDefault="00825BEA" w:rsidP="0059538A">
      <w:pPr>
        <w:pStyle w:val="a3"/>
        <w:numPr>
          <w:ilvl w:val="1"/>
          <w:numId w:val="4"/>
        </w:numPr>
        <w:ind w:left="660" w:hanging="660"/>
        <w:rPr>
          <w:lang w:val="pl-PL"/>
        </w:rPr>
      </w:pPr>
      <w:r w:rsidRPr="008F328C">
        <w:rPr>
          <w:lang w:val="pl-PL"/>
        </w:rPr>
        <w:t xml:space="preserve">W przypadku planowanego zabiegu chirurgicznego lub stomatologicznego u dziecka należy poinformować lekarza o przyjmowaniu leku </w:t>
      </w:r>
      <w:r w:rsidR="008F328C">
        <w:rPr>
          <w:lang w:val="pl-PL"/>
        </w:rPr>
        <w:t>Yuflyma</w:t>
      </w:r>
      <w:r w:rsidRPr="008F328C">
        <w:rPr>
          <w:lang w:val="pl-PL"/>
        </w:rPr>
        <w:t xml:space="preserve">. Lekarz może zalecić czasowe przerwanie stosowania leku </w:t>
      </w:r>
      <w:r w:rsidR="008F328C">
        <w:rPr>
          <w:lang w:val="pl-PL"/>
        </w:rPr>
        <w:t>Yuflyma</w:t>
      </w:r>
      <w:r w:rsidR="0059538A" w:rsidRPr="008F328C">
        <w:rPr>
          <w:rFonts w:eastAsia="Times New Roman"/>
          <w:lang w:val="pl-PL"/>
        </w:rPr>
        <w:t>.</w:t>
      </w:r>
    </w:p>
    <w:p w14:paraId="3AF70149" w14:textId="77777777" w:rsidR="0059538A" w:rsidRPr="008F328C" w:rsidRDefault="0059538A" w:rsidP="0059538A">
      <w:pPr>
        <w:spacing w:before="8" w:line="240" w:lineRule="exact"/>
        <w:rPr>
          <w:rFonts w:ascii="Times New Roman" w:hAnsi="Times New Roman" w:cs="Times New Roman"/>
          <w:sz w:val="24"/>
          <w:szCs w:val="24"/>
          <w:lang w:val="pl-PL"/>
        </w:rPr>
      </w:pPr>
    </w:p>
    <w:p w14:paraId="30F9160D" w14:textId="77777777" w:rsidR="0059538A" w:rsidRPr="008F328C" w:rsidRDefault="0059538A" w:rsidP="0059538A">
      <w:pPr>
        <w:pStyle w:val="a3"/>
        <w:rPr>
          <w:u w:val="single"/>
          <w:lang w:val="pl-PL"/>
        </w:rPr>
      </w:pPr>
      <w:r w:rsidRPr="008F328C">
        <w:rPr>
          <w:rFonts w:eastAsia="Times New Roman"/>
          <w:u w:val="single" w:color="000000"/>
          <w:lang w:val="pl-PL"/>
        </w:rPr>
        <w:t>Choroby demielinizacyjne</w:t>
      </w:r>
    </w:p>
    <w:p w14:paraId="5ECFC3F7" w14:textId="77777777" w:rsidR="0059538A" w:rsidRPr="008F328C" w:rsidRDefault="0059538A" w:rsidP="0059538A">
      <w:pPr>
        <w:spacing w:before="4" w:line="190" w:lineRule="exact"/>
        <w:rPr>
          <w:rFonts w:ascii="Times New Roman" w:hAnsi="Times New Roman" w:cs="Times New Roman"/>
          <w:sz w:val="19"/>
          <w:szCs w:val="19"/>
          <w:lang w:val="pl-PL"/>
        </w:rPr>
      </w:pPr>
    </w:p>
    <w:p w14:paraId="639DD35D" w14:textId="0D6AE285" w:rsidR="0059538A" w:rsidRPr="008F328C" w:rsidRDefault="00825BEA" w:rsidP="0059538A">
      <w:pPr>
        <w:pStyle w:val="a3"/>
        <w:numPr>
          <w:ilvl w:val="1"/>
          <w:numId w:val="4"/>
        </w:numPr>
        <w:ind w:left="660" w:hanging="660"/>
        <w:rPr>
          <w:lang w:val="pl-PL"/>
        </w:rPr>
      </w:pPr>
      <w:r w:rsidRPr="008F328C">
        <w:rPr>
          <w:lang w:val="pl-PL"/>
        </w:rPr>
        <w:t xml:space="preserve">Jeśli u pacjenta występuje lub rozwija się choroba demielinizacyjna (choroba, która wpływa na otoczkę mielinową nerwów, taka jak stwardnienie rozsiane), lekarz zdecyduje, czy można u niego zastosować lek </w:t>
      </w:r>
      <w:r w:rsidR="008F328C">
        <w:rPr>
          <w:lang w:val="pl-PL"/>
        </w:rPr>
        <w:t>Yuflyma</w:t>
      </w:r>
      <w:r w:rsidRPr="008F328C">
        <w:rPr>
          <w:lang w:val="pl-PL"/>
        </w:rPr>
        <w:t xml:space="preserve"> lub kontynuować podawanie leku. Należy natychmiast powiedzieć lekarzowi, jeśli u pacjenta wystąpią takie objawy, jak zmiany widzenia, osłabienie kończyn górnych lub dolnych, lub drętwienie, lub mrowienie w którejkolwiek części ciała</w:t>
      </w:r>
      <w:r w:rsidR="0059538A" w:rsidRPr="008F328C">
        <w:rPr>
          <w:rFonts w:eastAsia="Times New Roman"/>
          <w:lang w:val="pl-PL"/>
        </w:rPr>
        <w:t>.</w:t>
      </w:r>
    </w:p>
    <w:p w14:paraId="38C2818F" w14:textId="77777777" w:rsidR="0059538A" w:rsidRPr="008F328C" w:rsidRDefault="0059538A" w:rsidP="0059538A">
      <w:pPr>
        <w:spacing w:before="14" w:line="240" w:lineRule="exact"/>
        <w:rPr>
          <w:rFonts w:ascii="Times New Roman" w:hAnsi="Times New Roman" w:cs="Times New Roman"/>
          <w:sz w:val="24"/>
          <w:szCs w:val="24"/>
          <w:lang w:val="pl-PL"/>
        </w:rPr>
      </w:pPr>
    </w:p>
    <w:p w14:paraId="18F11E92" w14:textId="77777777" w:rsidR="0059538A" w:rsidRPr="008F328C" w:rsidRDefault="0059538A" w:rsidP="0059538A">
      <w:pPr>
        <w:pStyle w:val="a3"/>
        <w:rPr>
          <w:u w:val="single"/>
          <w:lang w:val="pl-PL"/>
        </w:rPr>
      </w:pPr>
      <w:r w:rsidRPr="008F328C">
        <w:rPr>
          <w:rFonts w:eastAsia="Times New Roman"/>
          <w:u w:val="single" w:color="000000"/>
          <w:lang w:val="pl-PL"/>
        </w:rPr>
        <w:lastRenderedPageBreak/>
        <w:t>Szczepienia</w:t>
      </w:r>
    </w:p>
    <w:p w14:paraId="752E95C9" w14:textId="77777777" w:rsidR="0059538A" w:rsidRPr="008F328C" w:rsidRDefault="0059538A" w:rsidP="0059538A">
      <w:pPr>
        <w:spacing w:before="4" w:line="190" w:lineRule="exact"/>
        <w:rPr>
          <w:rFonts w:ascii="Times New Roman" w:hAnsi="Times New Roman" w:cs="Times New Roman"/>
          <w:sz w:val="19"/>
          <w:szCs w:val="19"/>
          <w:lang w:val="pl-PL"/>
        </w:rPr>
      </w:pPr>
    </w:p>
    <w:p w14:paraId="17353C8E" w14:textId="5C949938" w:rsidR="0059538A" w:rsidRPr="008F328C" w:rsidRDefault="00825BEA" w:rsidP="0059538A">
      <w:pPr>
        <w:pStyle w:val="a3"/>
        <w:numPr>
          <w:ilvl w:val="1"/>
          <w:numId w:val="4"/>
        </w:numPr>
        <w:ind w:left="660" w:hanging="660"/>
        <w:rPr>
          <w:lang w:val="pl-PL"/>
        </w:rPr>
      </w:pPr>
      <w:r w:rsidRPr="008F328C">
        <w:rPr>
          <w:lang w:val="pl-PL"/>
        </w:rPr>
        <w:t xml:space="preserve">Pewne szczepionki mogą powodować zakażenia i nie należy ich stosować w czasie przyjmowania leku </w:t>
      </w:r>
      <w:r w:rsidR="008F328C">
        <w:rPr>
          <w:lang w:val="pl-PL"/>
        </w:rPr>
        <w:t>Yuflyma</w:t>
      </w:r>
      <w:r w:rsidR="0059538A" w:rsidRPr="008F328C">
        <w:rPr>
          <w:rFonts w:eastAsia="Times New Roman"/>
          <w:lang w:val="pl-PL"/>
        </w:rPr>
        <w:t>.</w:t>
      </w:r>
    </w:p>
    <w:p w14:paraId="7060C2DD" w14:textId="77777777" w:rsidR="0059538A" w:rsidRPr="008F328C" w:rsidRDefault="0059538A" w:rsidP="0059538A">
      <w:pPr>
        <w:spacing w:before="11" w:line="240" w:lineRule="exact"/>
        <w:rPr>
          <w:rFonts w:ascii="Times New Roman" w:hAnsi="Times New Roman" w:cs="Times New Roman"/>
          <w:sz w:val="24"/>
          <w:szCs w:val="24"/>
          <w:lang w:val="pl-PL"/>
        </w:rPr>
      </w:pPr>
    </w:p>
    <w:p w14:paraId="4B2089BA" w14:textId="0E2988C4" w:rsidR="0059538A" w:rsidRPr="008F328C" w:rsidRDefault="00825BEA" w:rsidP="0059538A">
      <w:pPr>
        <w:pStyle w:val="a3"/>
        <w:numPr>
          <w:ilvl w:val="1"/>
          <w:numId w:val="4"/>
        </w:numPr>
        <w:ind w:left="998" w:hanging="340"/>
        <w:rPr>
          <w:lang w:val="pl-PL"/>
        </w:rPr>
      </w:pPr>
      <w:r w:rsidRPr="008F328C">
        <w:rPr>
          <w:lang w:val="pl-PL"/>
        </w:rPr>
        <w:t>Przed zastosowaniem każdej szczepionki należy poradzić się lekarza</w:t>
      </w:r>
      <w:r w:rsidR="0059538A" w:rsidRPr="008F328C">
        <w:rPr>
          <w:rFonts w:eastAsia="Times New Roman"/>
          <w:lang w:val="pl-PL"/>
        </w:rPr>
        <w:t>.</w:t>
      </w:r>
    </w:p>
    <w:p w14:paraId="3A507EB6"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Zaleca się, jeśli to możliwe, aby u dzieci, przed rozpoczęciem leczenia lekiem Yuflyma przeprowadzono wszystkie szczepienia zgodnie z obowiązującym kalendarzem szczepień.</w:t>
      </w:r>
    </w:p>
    <w:p w14:paraId="3D19D34D" w14:textId="05E10434" w:rsidR="0059538A" w:rsidRPr="008F328C" w:rsidRDefault="00825BEA" w:rsidP="0059538A">
      <w:pPr>
        <w:pStyle w:val="a3"/>
        <w:numPr>
          <w:ilvl w:val="1"/>
          <w:numId w:val="4"/>
        </w:numPr>
        <w:ind w:left="998" w:hanging="340"/>
        <w:rPr>
          <w:lang w:val="pl-PL"/>
        </w:rPr>
      </w:pPr>
      <w:r w:rsidRPr="008F328C">
        <w:rPr>
          <w:lang w:val="pl-PL"/>
        </w:rPr>
        <w:t xml:space="preserve">Jeśli kobieta otrzymywała lek </w:t>
      </w:r>
      <w:r w:rsidR="008F328C">
        <w:rPr>
          <w:lang w:val="pl-PL"/>
        </w:rPr>
        <w:t>Yuflyma</w:t>
      </w:r>
      <w:r w:rsidRPr="008F328C">
        <w:rPr>
          <w:lang w:val="pl-PL"/>
        </w:rPr>
        <w:t xml:space="preserve"> w okresie ciąży, u dziecka może występować zwiększone ryzyko zakażenia w okresie do około pięciu miesięcy po przyjęciu przez matkę ostatniej dawki leku w okresie ciąży. Należy koniecznie poinformować lekarzy dziecka i innych pracowników opieki zdrowotnej o przyjmowaniu leku </w:t>
      </w:r>
      <w:r w:rsidR="008F328C">
        <w:rPr>
          <w:lang w:val="pl-PL"/>
        </w:rPr>
        <w:t>Yuflyma</w:t>
      </w:r>
      <w:r w:rsidRPr="008F328C">
        <w:rPr>
          <w:lang w:val="pl-PL"/>
        </w:rPr>
        <w:t xml:space="preserve"> w okresie ciąży, aby mogli zdecydować czy dziecko może otrzymać jakąkolwiek szczepionkę</w:t>
      </w:r>
      <w:r w:rsidR="0059538A" w:rsidRPr="008F328C">
        <w:rPr>
          <w:rFonts w:eastAsia="Times New Roman"/>
          <w:lang w:val="pl-PL"/>
        </w:rPr>
        <w:t>.</w:t>
      </w:r>
    </w:p>
    <w:p w14:paraId="22CBF9E1" w14:textId="77777777" w:rsidR="0059538A" w:rsidRPr="008F328C" w:rsidRDefault="0059538A" w:rsidP="0059538A">
      <w:pPr>
        <w:spacing w:before="14" w:line="240" w:lineRule="exact"/>
        <w:rPr>
          <w:rFonts w:ascii="Times New Roman" w:hAnsi="Times New Roman" w:cs="Times New Roman"/>
          <w:sz w:val="24"/>
          <w:szCs w:val="24"/>
          <w:lang w:val="pl-PL"/>
        </w:rPr>
      </w:pPr>
    </w:p>
    <w:p w14:paraId="063DFC77" w14:textId="77777777" w:rsidR="0059538A" w:rsidRPr="008F328C" w:rsidRDefault="0059538A" w:rsidP="0059538A">
      <w:pPr>
        <w:pStyle w:val="a3"/>
        <w:rPr>
          <w:u w:val="single"/>
          <w:lang w:val="pl-PL"/>
        </w:rPr>
      </w:pPr>
      <w:r w:rsidRPr="008F328C">
        <w:rPr>
          <w:rFonts w:eastAsia="Times New Roman"/>
          <w:u w:val="single" w:color="000000"/>
          <w:lang w:val="pl-PL"/>
        </w:rPr>
        <w:t>Niewydolność serca</w:t>
      </w:r>
    </w:p>
    <w:p w14:paraId="130B1EE6" w14:textId="77777777" w:rsidR="0059538A" w:rsidRPr="008F328C" w:rsidRDefault="0059538A" w:rsidP="0059538A">
      <w:pPr>
        <w:spacing w:before="4" w:line="190" w:lineRule="exact"/>
        <w:rPr>
          <w:rFonts w:ascii="Times New Roman" w:hAnsi="Times New Roman" w:cs="Times New Roman"/>
          <w:sz w:val="19"/>
          <w:szCs w:val="19"/>
          <w:lang w:val="pl-PL"/>
        </w:rPr>
      </w:pPr>
    </w:p>
    <w:p w14:paraId="2CAD23D7" w14:textId="37E35AAC" w:rsidR="0059538A" w:rsidRPr="008F328C" w:rsidRDefault="00825BEA" w:rsidP="0059538A">
      <w:pPr>
        <w:pStyle w:val="a3"/>
        <w:numPr>
          <w:ilvl w:val="1"/>
          <w:numId w:val="4"/>
        </w:numPr>
        <w:ind w:left="660" w:hanging="660"/>
        <w:rPr>
          <w:lang w:val="pl-PL"/>
        </w:rPr>
      </w:pPr>
      <w:r w:rsidRPr="008F328C">
        <w:rPr>
          <w:lang w:val="pl-PL"/>
        </w:rPr>
        <w:t xml:space="preserve">Jeśli u dziecka występuje łagodna niewydolność serca, lekarz będzie kontrolował stan zdrowia pacjenta. Należy bezwzględnie powiedzieć lekarzowi o poważnej chorobie serca w przeszłości lub obecnie. W przypadku wystąpienia nowych objawów niewydolności serca lub nasilenia istniejących objawów (na przykład duszność lub obrzęki stóp) należy natychmiast skontaktować się z lekarzem. Lekarz prowadzący zdecyduje, czy dziecko powinno otrzymywać lek </w:t>
      </w:r>
      <w:r w:rsidR="008F328C">
        <w:rPr>
          <w:lang w:val="pl-PL"/>
        </w:rPr>
        <w:t>Yuflyma</w:t>
      </w:r>
      <w:r w:rsidR="0059538A" w:rsidRPr="008F328C">
        <w:rPr>
          <w:rFonts w:eastAsia="Times New Roman"/>
          <w:lang w:val="pl-PL"/>
        </w:rPr>
        <w:t>.</w:t>
      </w:r>
    </w:p>
    <w:p w14:paraId="0944B11F" w14:textId="77777777" w:rsidR="0059538A" w:rsidRPr="008F328C" w:rsidRDefault="0059538A" w:rsidP="0059538A">
      <w:pPr>
        <w:spacing w:before="14" w:line="240" w:lineRule="exact"/>
        <w:rPr>
          <w:rFonts w:ascii="Times New Roman" w:hAnsi="Times New Roman" w:cs="Times New Roman"/>
          <w:sz w:val="24"/>
          <w:szCs w:val="24"/>
          <w:lang w:val="pl-PL"/>
        </w:rPr>
      </w:pPr>
    </w:p>
    <w:p w14:paraId="2B4BA6B7" w14:textId="77777777" w:rsidR="0059538A" w:rsidRPr="008F328C" w:rsidRDefault="0059538A" w:rsidP="0059538A">
      <w:pPr>
        <w:pStyle w:val="a3"/>
        <w:rPr>
          <w:u w:val="single"/>
          <w:lang w:val="pl-PL"/>
        </w:rPr>
      </w:pPr>
      <w:r w:rsidRPr="008F328C">
        <w:rPr>
          <w:rFonts w:eastAsia="Times New Roman"/>
          <w:u w:val="single" w:color="000000"/>
          <w:lang w:val="pl-PL"/>
        </w:rPr>
        <w:t>Gorączka, siniaki, krwawienia lub bladość</w:t>
      </w:r>
    </w:p>
    <w:p w14:paraId="104773A7" w14:textId="77777777" w:rsidR="0059538A" w:rsidRPr="008F328C" w:rsidRDefault="0059538A" w:rsidP="0059538A">
      <w:pPr>
        <w:spacing w:before="4" w:line="190" w:lineRule="exact"/>
        <w:rPr>
          <w:rFonts w:ascii="Times New Roman" w:hAnsi="Times New Roman" w:cs="Times New Roman"/>
          <w:sz w:val="19"/>
          <w:szCs w:val="19"/>
          <w:lang w:val="pl-PL"/>
        </w:rPr>
      </w:pPr>
    </w:p>
    <w:p w14:paraId="202C97D9" w14:textId="6DBBC542" w:rsidR="0059538A" w:rsidRPr="008F328C" w:rsidRDefault="00825BEA" w:rsidP="0059538A">
      <w:pPr>
        <w:pStyle w:val="a3"/>
        <w:numPr>
          <w:ilvl w:val="1"/>
          <w:numId w:val="4"/>
        </w:numPr>
        <w:ind w:left="660" w:hanging="660"/>
        <w:rPr>
          <w:lang w:val="pl-PL"/>
        </w:rPr>
      </w:pPr>
      <w:r w:rsidRPr="008F328C">
        <w:rPr>
          <w:lang w:val="pl-PL"/>
        </w:rPr>
        <w:t>U niektórych pacjentów dojść może do zmniejszenia wytwarzania komórek krwi pomocnych w zwalczaniu zakażeń lub hamowaniu krwawienia. Lekarz może podjąć decyzję o przerwaniu leczenia. Jeśli u dziecka wystąpi nieustępująca gorączka, pojawią się siniaki, skłonność do krwawień lub bladość należy natychmiast skontaktować się z lekarzem</w:t>
      </w:r>
      <w:r w:rsidR="0059538A" w:rsidRPr="008F328C">
        <w:rPr>
          <w:rFonts w:eastAsia="Times New Roman"/>
          <w:lang w:val="pl-PL"/>
        </w:rPr>
        <w:t>.</w:t>
      </w:r>
    </w:p>
    <w:p w14:paraId="69CA32ED" w14:textId="77777777" w:rsidR="0059538A" w:rsidRPr="008F328C" w:rsidRDefault="0059538A" w:rsidP="0059538A">
      <w:pPr>
        <w:pStyle w:val="a3"/>
        <w:rPr>
          <w:u w:val="single"/>
          <w:lang w:val="pl-PL"/>
        </w:rPr>
      </w:pPr>
    </w:p>
    <w:p w14:paraId="0D1098CD" w14:textId="77777777" w:rsidR="0059538A" w:rsidRPr="008F328C" w:rsidRDefault="0059538A" w:rsidP="0059538A">
      <w:pPr>
        <w:pStyle w:val="a3"/>
        <w:rPr>
          <w:u w:val="single"/>
          <w:lang w:val="pl-PL"/>
        </w:rPr>
      </w:pPr>
      <w:r w:rsidRPr="008F328C">
        <w:rPr>
          <w:rFonts w:eastAsia="Times New Roman"/>
          <w:u w:val="single"/>
          <w:lang w:val="pl-PL"/>
        </w:rPr>
        <w:t>Nowotwory</w:t>
      </w:r>
    </w:p>
    <w:p w14:paraId="50C296C3" w14:textId="77777777" w:rsidR="0059538A" w:rsidRPr="008F328C" w:rsidRDefault="0059538A" w:rsidP="0059538A">
      <w:pPr>
        <w:pStyle w:val="a3"/>
        <w:rPr>
          <w:u w:val="single"/>
          <w:lang w:val="pl-PL"/>
        </w:rPr>
      </w:pPr>
    </w:p>
    <w:p w14:paraId="541E89B6"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U pacjentów przyjmujących lek Yuflyma lub inne leki blokujące TNF w bardzo rzadkich przypadkach występowały pewne rodzaje nowotworów u dzieci i dorosłych.</w:t>
      </w:r>
    </w:p>
    <w:p w14:paraId="3295E0E9" w14:textId="77777777" w:rsidR="0059538A" w:rsidRPr="008F328C" w:rsidRDefault="0059538A" w:rsidP="0059538A">
      <w:pPr>
        <w:pStyle w:val="a3"/>
        <w:rPr>
          <w:lang w:val="pl-PL"/>
        </w:rPr>
      </w:pPr>
    </w:p>
    <w:p w14:paraId="3AE223A9"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U osób z cięższą postacią reumatoidalnego zapalenia stawów, chorujących od dłuższego czasu, ryzyko wystąpienia chłoniaka (nowotwór złośliwy układu limfatycznego) oraz białaczki (nowotwór złośliwy krwi i szpiku kostnego) może być większe od przeciętnego.</w:t>
      </w:r>
    </w:p>
    <w:p w14:paraId="107EDC25" w14:textId="57C02648" w:rsidR="0059538A" w:rsidRPr="008F328C" w:rsidRDefault="00825BEA" w:rsidP="0059538A">
      <w:pPr>
        <w:pStyle w:val="a3"/>
        <w:numPr>
          <w:ilvl w:val="1"/>
          <w:numId w:val="4"/>
        </w:numPr>
        <w:ind w:left="998" w:hanging="340"/>
        <w:rPr>
          <w:lang w:val="pl-PL"/>
        </w:rPr>
      </w:pPr>
      <w:r w:rsidRPr="008F328C">
        <w:rPr>
          <w:lang w:val="pl-PL"/>
        </w:rPr>
        <w:t xml:space="preserve">U dzieci przyjmujących lek </w:t>
      </w:r>
      <w:r w:rsidR="008F328C">
        <w:rPr>
          <w:lang w:val="pl-PL"/>
        </w:rPr>
        <w:t>Yuflyma</w:t>
      </w:r>
      <w:r w:rsidRPr="008F328C">
        <w:rPr>
          <w:lang w:val="pl-PL"/>
        </w:rPr>
        <w:t xml:space="preserve">, ryzyko wystąpienia chłoniaka, białaczki lub innych nowotworów złośliwych może być większe. W rzadkich przypadkach u pacjentów przyjmujących lek </w:t>
      </w:r>
      <w:r w:rsidR="008F328C">
        <w:rPr>
          <w:lang w:val="pl-PL"/>
        </w:rPr>
        <w:t>Yuflyma</w:t>
      </w:r>
      <w:r w:rsidRPr="008F328C">
        <w:rPr>
          <w:lang w:val="pl-PL"/>
        </w:rPr>
        <w:t xml:space="preserve"> stwierdzono rzadko występujący, poważny typ chłoniaka. Niektórych z tych pacjentów leczono również azatiopryną lub 6-merkaptopuryną</w:t>
      </w:r>
      <w:r w:rsidR="0059538A" w:rsidRPr="008F328C">
        <w:rPr>
          <w:rFonts w:eastAsia="Times New Roman"/>
          <w:lang w:val="pl-PL"/>
        </w:rPr>
        <w:t>.</w:t>
      </w:r>
    </w:p>
    <w:p w14:paraId="6DD0316F" w14:textId="1076FA5B" w:rsidR="0059538A" w:rsidRPr="008F328C" w:rsidRDefault="00825BEA" w:rsidP="0059538A">
      <w:pPr>
        <w:pStyle w:val="a3"/>
        <w:numPr>
          <w:ilvl w:val="1"/>
          <w:numId w:val="4"/>
        </w:numPr>
        <w:ind w:left="998" w:hanging="340"/>
        <w:rPr>
          <w:lang w:val="pl-PL"/>
        </w:rPr>
      </w:pPr>
      <w:r w:rsidRPr="008F328C">
        <w:rPr>
          <w:lang w:val="pl-PL"/>
        </w:rPr>
        <w:t xml:space="preserve">Należy poinformować lekarza, jeśli pacjent przyjmuje azatioprynę lub 6-merkaptopurynę z lekiem </w:t>
      </w:r>
      <w:r w:rsidR="008F328C">
        <w:rPr>
          <w:lang w:val="pl-PL"/>
        </w:rPr>
        <w:t>Yuflyma</w:t>
      </w:r>
      <w:r w:rsidR="0059538A" w:rsidRPr="008F328C">
        <w:rPr>
          <w:rFonts w:eastAsia="Times New Roman"/>
          <w:lang w:val="pl-PL"/>
        </w:rPr>
        <w:t>.</w:t>
      </w:r>
    </w:p>
    <w:p w14:paraId="67055FCA"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U pacjentów przyjmujących lek Yuflyma obserwowano przypadki raka skóry niebędącego czerniakiem.</w:t>
      </w:r>
    </w:p>
    <w:p w14:paraId="5438BAF2" w14:textId="77777777" w:rsidR="0059538A" w:rsidRPr="008F328C" w:rsidRDefault="0059538A" w:rsidP="0059538A">
      <w:pPr>
        <w:pStyle w:val="a3"/>
        <w:numPr>
          <w:ilvl w:val="1"/>
          <w:numId w:val="4"/>
        </w:numPr>
        <w:ind w:left="998" w:hanging="340"/>
        <w:rPr>
          <w:lang w:val="pl-PL"/>
        </w:rPr>
      </w:pPr>
      <w:r w:rsidRPr="008F328C">
        <w:rPr>
          <w:rFonts w:eastAsia="Times New Roman"/>
          <w:lang w:val="pl-PL"/>
        </w:rPr>
        <w:t>Należy poinformować lekarza, jeśli podczas leczenia lub po leczeniu pojawią się nowe zmiany skórne, lub jeśli istniejące zmiany zmienią wygląd.</w:t>
      </w:r>
    </w:p>
    <w:p w14:paraId="1F68CBB4" w14:textId="77777777" w:rsidR="0059538A" w:rsidRPr="008F328C" w:rsidRDefault="0059538A" w:rsidP="0059538A">
      <w:pPr>
        <w:pStyle w:val="a3"/>
        <w:rPr>
          <w:lang w:val="pl-PL"/>
        </w:rPr>
      </w:pPr>
    </w:p>
    <w:p w14:paraId="125B808D" w14:textId="498EF9A2" w:rsidR="0059538A" w:rsidRPr="008F328C" w:rsidRDefault="00825BEA" w:rsidP="0059538A">
      <w:pPr>
        <w:pStyle w:val="a3"/>
        <w:numPr>
          <w:ilvl w:val="1"/>
          <w:numId w:val="4"/>
        </w:numPr>
        <w:ind w:left="660" w:hanging="660"/>
        <w:rPr>
          <w:lang w:val="pl-PL"/>
        </w:rPr>
      </w:pPr>
      <w:r w:rsidRPr="008F328C">
        <w:rPr>
          <w:lang w:val="pl-PL"/>
        </w:rPr>
        <w:t>Przypadki nowotworów złośliwych, innych niż chłoniak, występowały u pacjentów ze szczególnym rodzajem choroby płuc zwanej przewlekłą obturacyjną chorobą płuc (POChP) leczonych innym lekiem blokującym TNF. Jeśli pacjent choruje na POChP lub jest nałogowym palaczem, powinien omówić z lekarzem, czy stosowanie leku blokującego TNF jest dla niego odpowiednie</w:t>
      </w:r>
      <w:r w:rsidR="0059538A" w:rsidRPr="008F328C">
        <w:rPr>
          <w:rFonts w:eastAsia="Times New Roman"/>
          <w:lang w:val="pl-PL"/>
        </w:rPr>
        <w:t>.</w:t>
      </w:r>
    </w:p>
    <w:p w14:paraId="5B5F51A0" w14:textId="77777777" w:rsidR="0059538A" w:rsidRPr="008F328C" w:rsidRDefault="0059538A" w:rsidP="0059538A">
      <w:pPr>
        <w:spacing w:before="11" w:line="240" w:lineRule="exact"/>
        <w:rPr>
          <w:rFonts w:ascii="Times New Roman" w:hAnsi="Times New Roman" w:cs="Times New Roman"/>
          <w:sz w:val="24"/>
          <w:szCs w:val="24"/>
          <w:lang w:val="pl-PL"/>
        </w:rPr>
      </w:pPr>
    </w:p>
    <w:p w14:paraId="72CB4E00" w14:textId="77777777" w:rsidR="0059538A" w:rsidRPr="008F328C" w:rsidRDefault="0059538A" w:rsidP="0059538A">
      <w:pPr>
        <w:pStyle w:val="a3"/>
        <w:rPr>
          <w:u w:val="single"/>
          <w:lang w:val="pl-PL"/>
        </w:rPr>
      </w:pPr>
      <w:r w:rsidRPr="008F328C">
        <w:rPr>
          <w:rFonts w:eastAsia="Times New Roman"/>
          <w:u w:val="single" w:color="000000"/>
          <w:lang w:val="pl-PL"/>
        </w:rPr>
        <w:t>Choroby autoimmunizacyjne</w:t>
      </w:r>
    </w:p>
    <w:p w14:paraId="7C7C3EE5" w14:textId="77777777" w:rsidR="0059538A" w:rsidRPr="008F328C" w:rsidRDefault="0059538A" w:rsidP="0059538A">
      <w:pPr>
        <w:spacing w:before="4" w:line="190" w:lineRule="exact"/>
        <w:rPr>
          <w:rFonts w:ascii="Times New Roman" w:hAnsi="Times New Roman" w:cs="Times New Roman"/>
          <w:sz w:val="19"/>
          <w:szCs w:val="19"/>
          <w:lang w:val="pl-PL"/>
        </w:rPr>
      </w:pPr>
    </w:p>
    <w:p w14:paraId="4585E2C8"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W rzadkich przypadkach, leczenie lekiem Yuflyma może powodować zespół toczniopodobny. Należy skontaktować się z lekarzem jeśli wystąpią takie objawy, jak uporczywa niewyjaśniona wysypka, gorączka, bóle stawów lub zmęczenie.</w:t>
      </w:r>
    </w:p>
    <w:p w14:paraId="3C59FBC8" w14:textId="77777777" w:rsidR="0059538A" w:rsidRPr="008F328C" w:rsidRDefault="0059538A" w:rsidP="0059538A">
      <w:pPr>
        <w:spacing w:before="15" w:line="240" w:lineRule="exact"/>
        <w:rPr>
          <w:rFonts w:ascii="Times New Roman" w:hAnsi="Times New Roman" w:cs="Times New Roman"/>
          <w:sz w:val="24"/>
          <w:szCs w:val="24"/>
          <w:lang w:val="pl-PL"/>
        </w:rPr>
      </w:pPr>
    </w:p>
    <w:p w14:paraId="75187B7D" w14:textId="77777777" w:rsidR="0059538A" w:rsidRPr="008F328C" w:rsidRDefault="0059538A" w:rsidP="0059538A">
      <w:pPr>
        <w:pStyle w:val="a3"/>
        <w:rPr>
          <w:b/>
          <w:lang w:val="pl-PL"/>
        </w:rPr>
      </w:pPr>
      <w:r w:rsidRPr="008F328C">
        <w:rPr>
          <w:rFonts w:eastAsia="Times New Roman"/>
          <w:b/>
          <w:bCs/>
          <w:lang w:val="pl-PL"/>
        </w:rPr>
        <w:t>Yuflyma a inne leki</w:t>
      </w:r>
    </w:p>
    <w:p w14:paraId="47467028" w14:textId="77777777" w:rsidR="0059538A" w:rsidRPr="008F328C" w:rsidRDefault="0059538A" w:rsidP="0059538A">
      <w:pPr>
        <w:pStyle w:val="a3"/>
        <w:rPr>
          <w:b/>
          <w:lang w:val="pl-PL"/>
        </w:rPr>
      </w:pPr>
    </w:p>
    <w:p w14:paraId="5355480E" w14:textId="3DAA91B2" w:rsidR="005750C6" w:rsidRPr="008F328C" w:rsidRDefault="005750C6" w:rsidP="0059538A">
      <w:pPr>
        <w:pStyle w:val="a3"/>
        <w:rPr>
          <w:rFonts w:eastAsia="Times New Roman"/>
          <w:lang w:val="pl-PL"/>
        </w:rPr>
      </w:pPr>
      <w:r w:rsidRPr="008F328C">
        <w:rPr>
          <w:lang w:val="pl-PL"/>
        </w:rPr>
        <w:t>Należy powiedzieć lekarzowi lub farmaceucie o wszystkich lekach przyjmowanych przez dziecko obecnie lub ostatnio, a także o lekach, które pacjent planuje przyjmować</w:t>
      </w:r>
      <w:r w:rsidRPr="008F328C">
        <w:rPr>
          <w:rFonts w:eastAsia="Times New Roman"/>
          <w:lang w:val="pl-PL"/>
        </w:rPr>
        <w:t>.</w:t>
      </w:r>
    </w:p>
    <w:p w14:paraId="45B4C763" w14:textId="77777777" w:rsidR="005750C6" w:rsidRDefault="005750C6" w:rsidP="0059538A">
      <w:pPr>
        <w:pStyle w:val="a3"/>
        <w:rPr>
          <w:rFonts w:eastAsia="Times New Roman"/>
          <w:lang w:val="pl-PL"/>
        </w:rPr>
      </w:pPr>
    </w:p>
    <w:p w14:paraId="4554A6EC" w14:textId="2778812D" w:rsidR="0059538A" w:rsidRPr="008F328C" w:rsidRDefault="005750C6" w:rsidP="0059538A">
      <w:pPr>
        <w:pStyle w:val="a3"/>
        <w:rPr>
          <w:lang w:val="pl-PL"/>
        </w:rPr>
      </w:pPr>
      <w:r w:rsidRPr="008F328C">
        <w:rPr>
          <w:lang w:val="pl-PL"/>
        </w:rPr>
        <w:t xml:space="preserve">Nie należy stosować leku </w:t>
      </w:r>
      <w:r w:rsidR="008F328C">
        <w:rPr>
          <w:lang w:val="pl-PL"/>
        </w:rPr>
        <w:t>Yuflyma</w:t>
      </w:r>
      <w:r w:rsidRPr="008F328C">
        <w:rPr>
          <w:lang w:val="pl-PL"/>
        </w:rPr>
        <w:t xml:space="preserve"> z lekami zawierającymi substancje czynne wymienione poniżej, ponieważ zwiększają ryzyko wystąpienia poważnych zakażeń</w:t>
      </w:r>
      <w:r w:rsidR="0059538A" w:rsidRPr="008F328C">
        <w:rPr>
          <w:rFonts w:eastAsia="Times New Roman"/>
          <w:lang w:val="pl-PL"/>
        </w:rPr>
        <w:t>:</w:t>
      </w:r>
    </w:p>
    <w:p w14:paraId="5B949190"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anakinra</w:t>
      </w:r>
    </w:p>
    <w:p w14:paraId="6DA11561"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abatacept.</w:t>
      </w:r>
    </w:p>
    <w:p w14:paraId="57BE22CC" w14:textId="77777777" w:rsidR="0059538A" w:rsidRPr="008F328C" w:rsidRDefault="0059538A" w:rsidP="0059538A">
      <w:pPr>
        <w:pStyle w:val="a3"/>
        <w:rPr>
          <w:lang w:val="pl-PL"/>
        </w:rPr>
      </w:pPr>
    </w:p>
    <w:p w14:paraId="3449CFFD" w14:textId="77777777" w:rsidR="0059538A" w:rsidRPr="008F328C" w:rsidRDefault="0059538A" w:rsidP="0059538A">
      <w:pPr>
        <w:pStyle w:val="a3"/>
        <w:rPr>
          <w:lang w:val="pl-PL"/>
        </w:rPr>
      </w:pPr>
      <w:r w:rsidRPr="008F328C">
        <w:rPr>
          <w:rFonts w:eastAsia="Times New Roman"/>
          <w:lang w:val="pl-PL"/>
        </w:rPr>
        <w:t>Lek Yuflyma można przyjmować łącznie z:</w:t>
      </w:r>
    </w:p>
    <w:p w14:paraId="0EBCFB9F"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metotreksatem</w:t>
      </w:r>
    </w:p>
    <w:p w14:paraId="030DCD05"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niektórymi innymi lekami modyfikującymi przebieg choroby (na przykład sulfasalazyna, hydroksychlorochina, leflunomid lub preparaty złota do wstrzykiwań)</w:t>
      </w:r>
    </w:p>
    <w:p w14:paraId="437EEC84"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steroidami lub lekami przeciwbólowymi, w tym z niesteroidowymi lekami przeciwzapalnymi (NLPZ).</w:t>
      </w:r>
    </w:p>
    <w:p w14:paraId="77446A87" w14:textId="77777777" w:rsidR="0059538A" w:rsidRPr="008F328C" w:rsidRDefault="0059538A" w:rsidP="0059538A">
      <w:pPr>
        <w:pStyle w:val="a3"/>
        <w:rPr>
          <w:lang w:val="pl-PL"/>
        </w:rPr>
      </w:pPr>
    </w:p>
    <w:p w14:paraId="16B7C770" w14:textId="77777777" w:rsidR="0059538A" w:rsidRPr="008F328C" w:rsidRDefault="0059538A" w:rsidP="0059538A">
      <w:pPr>
        <w:pStyle w:val="a3"/>
        <w:rPr>
          <w:lang w:val="pl-PL"/>
        </w:rPr>
      </w:pPr>
      <w:r w:rsidRPr="008F328C">
        <w:rPr>
          <w:rFonts w:eastAsia="Times New Roman"/>
          <w:lang w:val="pl-PL"/>
        </w:rPr>
        <w:t>W razie wątpliwości należy zapytać lekarza.</w:t>
      </w:r>
    </w:p>
    <w:p w14:paraId="236ADA0C" w14:textId="77777777" w:rsidR="0059538A" w:rsidRPr="008F328C" w:rsidRDefault="0059538A" w:rsidP="0059538A">
      <w:pPr>
        <w:spacing w:before="18" w:line="240" w:lineRule="exact"/>
        <w:rPr>
          <w:rFonts w:ascii="Times New Roman" w:hAnsi="Times New Roman" w:cs="Times New Roman"/>
          <w:sz w:val="24"/>
          <w:szCs w:val="24"/>
          <w:lang w:val="pl-PL"/>
        </w:rPr>
      </w:pPr>
    </w:p>
    <w:p w14:paraId="553BC757" w14:textId="77777777" w:rsidR="0059538A" w:rsidRPr="008F328C" w:rsidRDefault="0059538A" w:rsidP="0059538A">
      <w:pPr>
        <w:pStyle w:val="a3"/>
        <w:rPr>
          <w:b/>
          <w:lang w:val="pl-PL"/>
        </w:rPr>
      </w:pPr>
      <w:r w:rsidRPr="008F328C">
        <w:rPr>
          <w:rFonts w:eastAsia="Times New Roman"/>
          <w:b/>
          <w:bCs/>
          <w:lang w:val="pl-PL"/>
        </w:rPr>
        <w:t>Ciąża i karmienie piersią</w:t>
      </w:r>
    </w:p>
    <w:p w14:paraId="715B2B4B" w14:textId="77777777" w:rsidR="0059538A" w:rsidRPr="008F328C" w:rsidRDefault="0059538A" w:rsidP="0059538A">
      <w:pPr>
        <w:spacing w:before="9" w:line="260" w:lineRule="exact"/>
        <w:rPr>
          <w:rFonts w:ascii="Times New Roman" w:hAnsi="Times New Roman" w:cs="Times New Roman"/>
          <w:sz w:val="26"/>
          <w:szCs w:val="26"/>
          <w:lang w:val="pl-PL"/>
        </w:rPr>
      </w:pPr>
    </w:p>
    <w:p w14:paraId="5198E284" w14:textId="1D956032" w:rsidR="0059538A" w:rsidRPr="008F328C" w:rsidRDefault="005750C6" w:rsidP="0059538A">
      <w:pPr>
        <w:pStyle w:val="a3"/>
        <w:numPr>
          <w:ilvl w:val="1"/>
          <w:numId w:val="4"/>
        </w:numPr>
        <w:ind w:left="660" w:hanging="660"/>
        <w:rPr>
          <w:lang w:val="pl-PL"/>
        </w:rPr>
      </w:pPr>
      <w:r w:rsidRPr="008F328C">
        <w:rPr>
          <w:lang w:val="pl-PL"/>
        </w:rPr>
        <w:t xml:space="preserve">Pacjentki powinny rozważyć stosowanie odpowiedniej metody zapobiegania ciąży i jej kontynuowanie przez co najmniej 5 miesięcy po przyjęciu ostatniej dawki leku </w:t>
      </w:r>
      <w:r w:rsidR="008F328C">
        <w:rPr>
          <w:lang w:val="pl-PL"/>
        </w:rPr>
        <w:t>Yuflyma</w:t>
      </w:r>
      <w:r w:rsidR="0059538A" w:rsidRPr="008F328C">
        <w:rPr>
          <w:rFonts w:eastAsia="Times New Roman"/>
          <w:lang w:val="pl-PL"/>
        </w:rPr>
        <w:t>.</w:t>
      </w:r>
    </w:p>
    <w:p w14:paraId="7136CEF9" w14:textId="5F2A11DC" w:rsidR="0059538A" w:rsidRPr="008F328C" w:rsidRDefault="005750C6" w:rsidP="0059538A">
      <w:pPr>
        <w:pStyle w:val="a3"/>
        <w:numPr>
          <w:ilvl w:val="1"/>
          <w:numId w:val="4"/>
        </w:numPr>
        <w:ind w:left="660" w:hanging="660"/>
        <w:rPr>
          <w:lang w:val="pl-PL"/>
        </w:rPr>
      </w:pPr>
      <w:r w:rsidRPr="008F328C">
        <w:rPr>
          <w:lang w:val="pl-PL"/>
        </w:rPr>
        <w:t>Jeśli pacjentka jest w ciąży, przypuszcza że może być w ciąży lub gdy planuje mieć dziecko, powinna poradzić się lekarza przed zastosowaniem tego leku</w:t>
      </w:r>
      <w:r w:rsidR="0059538A" w:rsidRPr="008F328C">
        <w:rPr>
          <w:rFonts w:eastAsia="Times New Roman"/>
          <w:lang w:val="pl-PL"/>
        </w:rPr>
        <w:t>.</w:t>
      </w:r>
    </w:p>
    <w:p w14:paraId="5EAF0B4F"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Lek Yuflyma należy stosować w czasie ciąży, tylko jeśli jest to bezwzględnie konieczne.</w:t>
      </w:r>
    </w:p>
    <w:p w14:paraId="7C51C26B"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Zgodnie z badaniami dotyczącymi ciąży, nie występowało wyższe ryzyko wad rozwojowych, kiedy matka przyjmowała lek Yuflyma w okresie ciąży, w porównaniu do matek chorujących na tą samą chorobę, które nie otrzymywały leku Yuflyma.</w:t>
      </w:r>
    </w:p>
    <w:p w14:paraId="679C7236" w14:textId="77777777" w:rsidR="0059538A" w:rsidRPr="008F328C" w:rsidRDefault="0059538A" w:rsidP="0059538A">
      <w:pPr>
        <w:pStyle w:val="a3"/>
        <w:numPr>
          <w:ilvl w:val="1"/>
          <w:numId w:val="4"/>
        </w:numPr>
        <w:ind w:left="660" w:hanging="660"/>
        <w:rPr>
          <w:lang w:val="pl-PL"/>
        </w:rPr>
      </w:pPr>
      <w:r w:rsidRPr="008F328C">
        <w:rPr>
          <w:rFonts w:eastAsia="Times New Roman"/>
          <w:lang w:val="pl-PL"/>
        </w:rPr>
        <w:t>Lek Yuflyma może być stosowany podczas karmienia piersią.</w:t>
      </w:r>
    </w:p>
    <w:p w14:paraId="77D67ED2" w14:textId="16CC2582" w:rsidR="0059538A" w:rsidRPr="008F328C" w:rsidRDefault="005750C6" w:rsidP="0059538A">
      <w:pPr>
        <w:pStyle w:val="a3"/>
        <w:numPr>
          <w:ilvl w:val="1"/>
          <w:numId w:val="4"/>
        </w:numPr>
        <w:ind w:left="660" w:hanging="660"/>
        <w:rPr>
          <w:lang w:val="pl-PL"/>
        </w:rPr>
      </w:pPr>
      <w:r w:rsidRPr="008F328C">
        <w:rPr>
          <w:lang w:val="pl-PL"/>
        </w:rPr>
        <w:t xml:space="preserve">Jeśli pacjentka otrzymywała lek </w:t>
      </w:r>
      <w:r w:rsidR="008F328C">
        <w:rPr>
          <w:lang w:val="pl-PL"/>
        </w:rPr>
        <w:t>Yuflyma</w:t>
      </w:r>
      <w:r w:rsidRPr="008F328C">
        <w:rPr>
          <w:lang w:val="pl-PL"/>
        </w:rPr>
        <w:t xml:space="preserve"> w okresie ciąży, u dziecka może występować zwiększone ryzyko zakażenia</w:t>
      </w:r>
      <w:r w:rsidR="0059538A" w:rsidRPr="008F328C">
        <w:rPr>
          <w:rFonts w:eastAsia="Times New Roman"/>
          <w:lang w:val="pl-PL"/>
        </w:rPr>
        <w:t>.</w:t>
      </w:r>
    </w:p>
    <w:p w14:paraId="7ACC2C21" w14:textId="743E19F5" w:rsidR="0059538A" w:rsidRPr="008F328C" w:rsidRDefault="005750C6" w:rsidP="0059538A">
      <w:pPr>
        <w:pStyle w:val="a3"/>
        <w:numPr>
          <w:ilvl w:val="1"/>
          <w:numId w:val="4"/>
        </w:numPr>
        <w:ind w:left="660" w:hanging="660"/>
        <w:rPr>
          <w:lang w:val="pl-PL"/>
        </w:rPr>
      </w:pPr>
      <w:r w:rsidRPr="008F328C">
        <w:rPr>
          <w:lang w:val="pl-PL"/>
        </w:rPr>
        <w:t xml:space="preserve">Należy koniecznie poinformować lekarzy dziecka i innych pracowników opieki zdrowotnej o przyjmowaniu leku </w:t>
      </w:r>
      <w:r w:rsidR="008F328C">
        <w:rPr>
          <w:lang w:val="pl-PL"/>
        </w:rPr>
        <w:t>Yuflyma</w:t>
      </w:r>
      <w:r w:rsidRPr="008F328C">
        <w:rPr>
          <w:lang w:val="pl-PL"/>
        </w:rPr>
        <w:t xml:space="preserve"> w okresie ciąży, zanim dziecko otrzyma jakąkolwiek szczepionkę. Więcej informacji o szczepionkach, patrz punkt „Ostrzeżenia i środki ostrożności”</w:t>
      </w:r>
      <w:r w:rsidR="0059538A" w:rsidRPr="008F328C">
        <w:rPr>
          <w:rFonts w:eastAsia="Times New Roman"/>
          <w:lang w:val="pl-PL"/>
        </w:rPr>
        <w:t>.</w:t>
      </w:r>
    </w:p>
    <w:p w14:paraId="05C5F949" w14:textId="77777777" w:rsidR="0059538A" w:rsidRPr="008F328C" w:rsidRDefault="0059538A" w:rsidP="0059538A">
      <w:pPr>
        <w:spacing w:before="15" w:line="240" w:lineRule="exact"/>
        <w:rPr>
          <w:rFonts w:ascii="Times New Roman" w:hAnsi="Times New Roman" w:cs="Times New Roman"/>
          <w:b/>
          <w:sz w:val="24"/>
          <w:szCs w:val="24"/>
          <w:lang w:val="pl-PL"/>
        </w:rPr>
      </w:pPr>
    </w:p>
    <w:p w14:paraId="16F90C69" w14:textId="77777777" w:rsidR="0059538A" w:rsidRPr="008F328C" w:rsidRDefault="0059538A" w:rsidP="0059538A">
      <w:pPr>
        <w:pStyle w:val="a3"/>
        <w:rPr>
          <w:b/>
          <w:lang w:val="pl-PL"/>
        </w:rPr>
      </w:pPr>
      <w:r w:rsidRPr="008F328C">
        <w:rPr>
          <w:rFonts w:eastAsia="Times New Roman"/>
          <w:b/>
          <w:bCs/>
          <w:lang w:val="pl-PL"/>
        </w:rPr>
        <w:t>Prowadzenie pojazdów i obsługiwanie maszyn</w:t>
      </w:r>
    </w:p>
    <w:p w14:paraId="6B5DD608" w14:textId="77777777" w:rsidR="0059538A" w:rsidRPr="008F328C" w:rsidRDefault="0059538A" w:rsidP="0059538A">
      <w:pPr>
        <w:spacing w:before="12" w:line="240" w:lineRule="exact"/>
        <w:rPr>
          <w:rFonts w:ascii="Times New Roman" w:hAnsi="Times New Roman" w:cs="Times New Roman"/>
          <w:sz w:val="24"/>
          <w:szCs w:val="24"/>
          <w:lang w:val="pl-PL"/>
        </w:rPr>
      </w:pPr>
    </w:p>
    <w:p w14:paraId="09E8F276" w14:textId="49515D25" w:rsidR="0059538A" w:rsidRPr="008F328C" w:rsidRDefault="005750C6" w:rsidP="0059538A">
      <w:pPr>
        <w:pStyle w:val="a3"/>
        <w:rPr>
          <w:lang w:val="pl-PL"/>
        </w:rPr>
      </w:pPr>
      <w:r w:rsidRPr="008F328C">
        <w:rPr>
          <w:lang w:val="pl-PL"/>
        </w:rPr>
        <w:t xml:space="preserve">Lek </w:t>
      </w:r>
      <w:r w:rsidR="008F328C">
        <w:rPr>
          <w:lang w:val="pl-PL"/>
        </w:rPr>
        <w:t>Yuflyma</w:t>
      </w:r>
      <w:r w:rsidRPr="008F328C">
        <w:rPr>
          <w:lang w:val="pl-PL"/>
        </w:rPr>
        <w:t xml:space="preserve"> może mieć niewielki wpływ na zdolność prowadzenia pojazdów, jazdę na rowerze i obsługę maszyn. Po przyjęciu leku </w:t>
      </w:r>
      <w:r w:rsidR="008F328C">
        <w:rPr>
          <w:lang w:val="pl-PL"/>
        </w:rPr>
        <w:t>Yuflyma</w:t>
      </w:r>
      <w:r w:rsidRPr="008F328C">
        <w:rPr>
          <w:lang w:val="pl-PL"/>
        </w:rPr>
        <w:t xml:space="preserve"> wystąpić może wrażenie wirowania pomieszczenia i zaburzenia widzenia</w:t>
      </w:r>
      <w:r w:rsidR="0059538A" w:rsidRPr="008F328C">
        <w:rPr>
          <w:rFonts w:eastAsia="Times New Roman"/>
          <w:lang w:val="pl-PL"/>
        </w:rPr>
        <w:t>.</w:t>
      </w:r>
    </w:p>
    <w:p w14:paraId="48AA4E97" w14:textId="77777777" w:rsidR="0059538A" w:rsidRPr="008F328C" w:rsidRDefault="0059538A" w:rsidP="0059538A">
      <w:pPr>
        <w:pStyle w:val="a3"/>
        <w:rPr>
          <w:lang w:val="pl-PL"/>
        </w:rPr>
      </w:pPr>
    </w:p>
    <w:p w14:paraId="4895D9C3" w14:textId="58DC25A6" w:rsidR="0059538A" w:rsidRPr="008F328C" w:rsidRDefault="00D71C09" w:rsidP="0059538A">
      <w:pPr>
        <w:pStyle w:val="a3"/>
        <w:rPr>
          <w:b/>
          <w:lang w:val="pl-PL"/>
        </w:rPr>
      </w:pPr>
      <w:r>
        <w:rPr>
          <w:rFonts w:hint="eastAsia"/>
          <w:b/>
          <w:bCs/>
          <w:lang w:val="pl-PL" w:eastAsia="ko-KR"/>
        </w:rPr>
        <w:t>Yuflyma</w:t>
      </w:r>
      <w:r w:rsidRPr="008F328C">
        <w:rPr>
          <w:rFonts w:eastAsia="Times New Roman"/>
          <w:b/>
          <w:bCs/>
          <w:lang w:val="pl-PL"/>
        </w:rPr>
        <w:t xml:space="preserve"> </w:t>
      </w:r>
      <w:r w:rsidR="0059538A" w:rsidRPr="008F328C">
        <w:rPr>
          <w:rFonts w:eastAsia="Times New Roman"/>
          <w:b/>
          <w:bCs/>
          <w:lang w:val="pl-PL"/>
        </w:rPr>
        <w:t>zawiera sód</w:t>
      </w:r>
    </w:p>
    <w:p w14:paraId="37CFDEB0" w14:textId="77777777" w:rsidR="0059538A" w:rsidRPr="008F328C" w:rsidRDefault="0059538A" w:rsidP="0059538A">
      <w:pPr>
        <w:spacing w:before="12" w:line="240" w:lineRule="exact"/>
        <w:rPr>
          <w:rFonts w:ascii="Times New Roman" w:hAnsi="Times New Roman" w:cs="Times New Roman"/>
          <w:sz w:val="24"/>
          <w:szCs w:val="24"/>
          <w:lang w:val="pl-PL"/>
        </w:rPr>
      </w:pPr>
    </w:p>
    <w:p w14:paraId="3C9EDF67" w14:textId="546C7CBE" w:rsidR="0059538A" w:rsidRPr="008F328C" w:rsidRDefault="0059538A" w:rsidP="0059538A">
      <w:pPr>
        <w:spacing w:line="200" w:lineRule="exact"/>
        <w:rPr>
          <w:rFonts w:ascii="Times New Roman" w:hAnsi="Times New Roman" w:cs="Times New Roman"/>
          <w:sz w:val="20"/>
          <w:szCs w:val="20"/>
          <w:lang w:val="pl-PL"/>
        </w:rPr>
      </w:pPr>
      <w:r w:rsidRPr="008F328C">
        <w:rPr>
          <w:rFonts w:ascii="Times New Roman" w:eastAsia="Times New Roman" w:hAnsi="Times New Roman" w:cs="Times New Roman"/>
          <w:lang w:val="pl-PL"/>
        </w:rPr>
        <w:t>Lek zawiera mniej niż 1 mmol (23</w:t>
      </w:r>
      <w:r w:rsidRPr="008F328C">
        <w:rPr>
          <w:rFonts w:ascii="Times New Roman" w:eastAsia="Calibri" w:hAnsi="Times New Roman" w:cs="Times New Roman"/>
          <w:lang w:val="pl-PL"/>
        </w:rPr>
        <w:t> </w:t>
      </w:r>
      <w:r w:rsidR="005750C6" w:rsidRPr="008F328C">
        <w:rPr>
          <w:rFonts w:ascii="Times New Roman" w:eastAsia="Times New Roman" w:hAnsi="Times New Roman" w:cs="Times New Roman"/>
          <w:lang w:val="pl-PL"/>
        </w:rPr>
        <w:t>mg) sodu na dawkę 0,2</w:t>
      </w:r>
      <w:r w:rsidRPr="008F328C">
        <w:rPr>
          <w:rFonts w:ascii="Times New Roman" w:eastAsia="Calibri" w:hAnsi="Times New Roman" w:cs="Times New Roman"/>
          <w:lang w:val="pl-PL"/>
        </w:rPr>
        <w:t> </w:t>
      </w:r>
      <w:r w:rsidRPr="008F328C">
        <w:rPr>
          <w:rFonts w:ascii="Times New Roman" w:eastAsia="Times New Roman" w:hAnsi="Times New Roman" w:cs="Times New Roman"/>
          <w:lang w:val="pl-PL"/>
        </w:rPr>
        <w:t>ml, to znaczy lek uznaje się za „wolny od sodu”.</w:t>
      </w:r>
    </w:p>
    <w:p w14:paraId="35ED479D" w14:textId="77777777" w:rsidR="0059538A" w:rsidRPr="008F328C" w:rsidRDefault="0059538A" w:rsidP="0059538A">
      <w:pPr>
        <w:spacing w:line="200" w:lineRule="exact"/>
        <w:rPr>
          <w:rFonts w:ascii="Times New Roman" w:hAnsi="Times New Roman" w:cs="Times New Roman"/>
          <w:sz w:val="20"/>
          <w:szCs w:val="20"/>
          <w:lang w:val="pl-PL"/>
        </w:rPr>
      </w:pPr>
    </w:p>
    <w:p w14:paraId="6AE119AA" w14:textId="77777777" w:rsidR="0059538A" w:rsidRPr="008F328C" w:rsidRDefault="0059538A" w:rsidP="0059538A">
      <w:pPr>
        <w:spacing w:line="200" w:lineRule="exact"/>
        <w:rPr>
          <w:rFonts w:ascii="Times New Roman" w:hAnsi="Times New Roman" w:cs="Times New Roman"/>
          <w:sz w:val="20"/>
          <w:szCs w:val="20"/>
          <w:lang w:val="pl-PL"/>
        </w:rPr>
      </w:pPr>
    </w:p>
    <w:p w14:paraId="58A28179" w14:textId="77777777" w:rsidR="0059538A" w:rsidRPr="008F328C" w:rsidRDefault="0059538A" w:rsidP="008F328C">
      <w:pPr>
        <w:pStyle w:val="a4"/>
        <w:numPr>
          <w:ilvl w:val="0"/>
          <w:numId w:val="143"/>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Jak stosować lek Yuflyma</w:t>
      </w:r>
    </w:p>
    <w:p w14:paraId="6D4DDC64" w14:textId="77777777" w:rsidR="0059538A" w:rsidRPr="008F328C" w:rsidRDefault="0059538A" w:rsidP="0059538A">
      <w:pPr>
        <w:spacing w:before="9" w:line="240" w:lineRule="exact"/>
        <w:rPr>
          <w:rFonts w:ascii="Times New Roman" w:hAnsi="Times New Roman" w:cs="Times New Roman"/>
          <w:sz w:val="24"/>
          <w:szCs w:val="24"/>
          <w:lang w:val="pl-PL"/>
        </w:rPr>
      </w:pPr>
    </w:p>
    <w:p w14:paraId="5F0CD592" w14:textId="77777777" w:rsidR="0059538A" w:rsidRPr="008F328C" w:rsidRDefault="0059538A" w:rsidP="0059538A">
      <w:pPr>
        <w:pStyle w:val="a3"/>
        <w:rPr>
          <w:lang w:val="pl-PL"/>
        </w:rPr>
      </w:pPr>
      <w:r w:rsidRPr="008F328C">
        <w:rPr>
          <w:rFonts w:eastAsia="Times New Roman"/>
          <w:lang w:val="pl-PL"/>
        </w:rPr>
        <w:t>Ten lek należy zawsze przyjmować zgodnie z zaleceniami lekarza lub farmaceuty. W razie wątpliwości należy zwrócić się do lekarza lub farmaceuty.</w:t>
      </w:r>
    </w:p>
    <w:p w14:paraId="0A6A3BF3" w14:textId="77777777" w:rsidR="0059538A" w:rsidRPr="008F328C" w:rsidRDefault="0059538A" w:rsidP="0059538A">
      <w:pPr>
        <w:spacing w:before="10" w:line="240" w:lineRule="exact"/>
        <w:rPr>
          <w:rFonts w:ascii="Times New Roman" w:hAnsi="Times New Roman" w:cs="Times New Roman"/>
          <w:sz w:val="24"/>
          <w:szCs w:val="24"/>
          <w:lang w:val="pl-PL"/>
        </w:rPr>
      </w:pPr>
    </w:p>
    <w:p w14:paraId="288AA10F" w14:textId="703AAD22" w:rsidR="0059538A" w:rsidRPr="008F328C" w:rsidRDefault="005750C6" w:rsidP="0059538A">
      <w:pPr>
        <w:pStyle w:val="a3"/>
        <w:rPr>
          <w:rFonts w:eastAsia="Times New Roman"/>
          <w:lang w:val="pl-PL"/>
        </w:rPr>
      </w:pPr>
      <w:r w:rsidRPr="008F328C">
        <w:rPr>
          <w:lang w:val="pl-PL"/>
        </w:rPr>
        <w:t xml:space="preserve">Zalecane dawki leku </w:t>
      </w:r>
      <w:r w:rsidR="008F328C">
        <w:rPr>
          <w:lang w:val="pl-PL"/>
        </w:rPr>
        <w:t>Yuflyma</w:t>
      </w:r>
      <w:r w:rsidRPr="008F328C">
        <w:rPr>
          <w:lang w:val="pl-PL"/>
        </w:rPr>
        <w:t xml:space="preserve"> w każdym z zarejestrowanych wskazań przedstawiono w tabeli poniżej. Lekarz może przepisać inną dawkę leku </w:t>
      </w:r>
      <w:r w:rsidR="008F328C">
        <w:rPr>
          <w:lang w:val="pl-PL"/>
        </w:rPr>
        <w:t>Yuflyma</w:t>
      </w:r>
      <w:r w:rsidRPr="008F328C">
        <w:rPr>
          <w:lang w:val="pl-PL"/>
        </w:rPr>
        <w:t xml:space="preserve">, jeśli inna dawka leku będzie </w:t>
      </w:r>
      <w:r w:rsidR="006D7011">
        <w:rPr>
          <w:lang w:val="pl-PL"/>
        </w:rPr>
        <w:t>konieczna</w:t>
      </w:r>
      <w:r w:rsidR="0059538A" w:rsidRPr="008F328C">
        <w:rPr>
          <w:rFonts w:eastAsia="Times New Roman"/>
          <w:lang w:val="pl-PL"/>
        </w:rPr>
        <w:t>.</w:t>
      </w:r>
    </w:p>
    <w:p w14:paraId="38F2CFAB" w14:textId="77777777" w:rsidR="0059538A" w:rsidRPr="008F328C" w:rsidRDefault="0059538A" w:rsidP="0059538A">
      <w:pPr>
        <w:spacing w:before="12"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9538A" w:rsidRPr="00A5286D" w14:paraId="163D8633" w14:textId="77777777" w:rsidTr="00ED6A7B">
        <w:tc>
          <w:tcPr>
            <w:tcW w:w="9288" w:type="dxa"/>
            <w:gridSpan w:val="3"/>
            <w:tcBorders>
              <w:top w:val="single" w:sz="5" w:space="0" w:color="000000"/>
              <w:left w:val="single" w:sz="5" w:space="0" w:color="000000"/>
              <w:bottom w:val="single" w:sz="5" w:space="0" w:color="000000"/>
              <w:right w:val="single" w:sz="5" w:space="0" w:color="000000"/>
            </w:tcBorders>
          </w:tcPr>
          <w:p w14:paraId="56159D39" w14:textId="77777777" w:rsidR="0059538A" w:rsidRPr="008F328C" w:rsidRDefault="0059538A" w:rsidP="00ED6A7B">
            <w:pPr>
              <w:pStyle w:val="TableParagraph"/>
              <w:spacing w:line="250"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Wielostawowe młodzieńcze idiopatyczne zapalenie stawów</w:t>
            </w:r>
          </w:p>
        </w:tc>
      </w:tr>
      <w:tr w:rsidR="0059538A" w:rsidRPr="008F328C" w14:paraId="1D412BD6"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51521AFB"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55E201D3"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5A6CD20B" w14:textId="77777777" w:rsidR="0059538A" w:rsidRPr="008F328C" w:rsidRDefault="0059538A" w:rsidP="00ED6A7B">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1BC2DA66"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59538A" w:rsidRPr="008F328C" w14:paraId="4AEE8047"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683B6DBB"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p>
          <w:p w14:paraId="4AED9997" w14:textId="77777777" w:rsidR="0059538A" w:rsidRPr="008F328C" w:rsidRDefault="0059538A" w:rsidP="00ED6A7B">
            <w:pPr>
              <w:pStyle w:val="TableParagraph"/>
              <w:spacing w:before="5"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wieku od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182A1CF6"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2A5BA73"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5750C6" w:rsidRPr="008F328C" w14:paraId="75D0CC9E"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488C1BAA" w14:textId="68F69D6B"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2 lat o masie ciała 10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420E1735" w14:textId="42A5F6B0"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911EA9">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19D2CEA" w14:textId="40657ADB"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911EA9">
              <w:rPr>
                <w:rFonts w:ascii="Times New Roman" w:eastAsia="Times New Roman" w:hAnsi="Times New Roman" w:cs="Times New Roman"/>
                <w:spacing w:val="-1"/>
                <w:lang w:val="pl-PL"/>
              </w:rPr>
              <w:t>Nie dotyczy.</w:t>
            </w:r>
          </w:p>
        </w:tc>
      </w:tr>
    </w:tbl>
    <w:p w14:paraId="3ABC0DF8" w14:textId="77777777" w:rsidR="0059538A" w:rsidRPr="008F328C" w:rsidRDefault="0059538A" w:rsidP="0059538A">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9538A" w:rsidRPr="00A5286D" w14:paraId="0B83773D" w14:textId="77777777" w:rsidTr="00ED6A7B">
        <w:tc>
          <w:tcPr>
            <w:tcW w:w="9288" w:type="dxa"/>
            <w:gridSpan w:val="3"/>
            <w:tcBorders>
              <w:top w:val="single" w:sz="5" w:space="0" w:color="000000"/>
              <w:left w:val="single" w:sz="5" w:space="0" w:color="000000"/>
              <w:bottom w:val="single" w:sz="5" w:space="0" w:color="000000"/>
              <w:right w:val="single" w:sz="5" w:space="0" w:color="000000"/>
            </w:tcBorders>
          </w:tcPr>
          <w:p w14:paraId="5B70A554" w14:textId="77777777" w:rsidR="0059538A" w:rsidRPr="008F328C" w:rsidRDefault="0059538A" w:rsidP="00ED6A7B">
            <w:pPr>
              <w:pStyle w:val="TableParagraph"/>
              <w:spacing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iCs/>
                <w:spacing w:val="-1"/>
                <w:lang w:val="pl-PL"/>
              </w:rPr>
              <w:t>Zapalenie stawów z towarzyszącym zapaleniem przyczepów ścięgnistych</w:t>
            </w:r>
          </w:p>
        </w:tc>
      </w:tr>
      <w:tr w:rsidR="0059538A" w:rsidRPr="008F328C" w14:paraId="5CFA3B01"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4D820BF7"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1111F466"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78D9B595" w14:textId="77777777" w:rsidR="0059538A" w:rsidRPr="008F328C" w:rsidRDefault="0059538A" w:rsidP="00ED6A7B">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53180EBD"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59538A" w:rsidRPr="008F328C" w14:paraId="24EF62DD"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06B6871C"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Dorośli, młodzież i dzieci</w:t>
            </w:r>
          </w:p>
          <w:p w14:paraId="2369E64F" w14:textId="77777777" w:rsidR="0059538A" w:rsidRPr="008F328C" w:rsidRDefault="0059538A" w:rsidP="00ED6A7B">
            <w:pPr>
              <w:pStyle w:val="TableParagraph"/>
              <w:spacing w:before="5"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w wieku od 6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30B533D3"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291F84D" w14:textId="77777777" w:rsidR="0059538A" w:rsidRPr="008F328C" w:rsidRDefault="0059538A"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5750C6" w:rsidRPr="008F328C" w14:paraId="3358C8A4"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6FD0070E" w14:textId="1E12833D"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1AABA5B7" w14:textId="3FF05663"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Pr>
                <w:rFonts w:ascii="Times New Roman" w:eastAsia="Times New Roman" w:hAnsi="Times New Roman" w:cs="Times New Roman"/>
                <w:spacing w:val="-1"/>
                <w:lang w:val="pl-PL"/>
              </w:rPr>
              <w:t>20</w:t>
            </w:r>
            <w:r w:rsidRPr="00911EA9">
              <w:rPr>
                <w:rFonts w:ascii="Times New Roman" w:eastAsia="Times New Roman" w:hAnsi="Times New Roman" w:cs="Times New Roman"/>
                <w:spacing w:val="-1"/>
                <w:lang w:val="pl-PL"/>
              </w:rPr>
              <w:t> mg co drugi tydzień</w:t>
            </w:r>
          </w:p>
        </w:tc>
        <w:tc>
          <w:tcPr>
            <w:tcW w:w="3096" w:type="dxa"/>
            <w:tcBorders>
              <w:top w:val="single" w:sz="5" w:space="0" w:color="000000"/>
              <w:left w:val="single" w:sz="5" w:space="0" w:color="000000"/>
              <w:bottom w:val="single" w:sz="5" w:space="0" w:color="000000"/>
              <w:right w:val="single" w:sz="5" w:space="0" w:color="000000"/>
            </w:tcBorders>
          </w:tcPr>
          <w:p w14:paraId="46011A3F" w14:textId="766A43F9"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911EA9">
              <w:rPr>
                <w:rFonts w:ascii="Times New Roman" w:eastAsia="Times New Roman" w:hAnsi="Times New Roman" w:cs="Times New Roman"/>
                <w:spacing w:val="-1"/>
                <w:lang w:val="pl-PL"/>
              </w:rPr>
              <w:t>Nie dotyczy.</w:t>
            </w:r>
          </w:p>
        </w:tc>
      </w:tr>
    </w:tbl>
    <w:p w14:paraId="0EB0774E" w14:textId="77777777" w:rsidR="0059538A" w:rsidRPr="008F328C" w:rsidRDefault="0059538A" w:rsidP="0059538A">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9538A" w:rsidRPr="00A5286D" w14:paraId="29C0D325" w14:textId="77777777" w:rsidTr="008F328C">
        <w:tc>
          <w:tcPr>
            <w:tcW w:w="9288" w:type="dxa"/>
            <w:gridSpan w:val="3"/>
            <w:tcBorders>
              <w:top w:val="single" w:sz="5" w:space="0" w:color="000000"/>
              <w:left w:val="single" w:sz="5" w:space="0" w:color="000000"/>
              <w:bottom w:val="single" w:sz="5" w:space="0" w:color="000000"/>
              <w:right w:val="single" w:sz="5" w:space="0" w:color="000000"/>
            </w:tcBorders>
          </w:tcPr>
          <w:p w14:paraId="22DD9599" w14:textId="1AB1DB57" w:rsidR="0059538A" w:rsidRPr="008F328C" w:rsidRDefault="005750C6" w:rsidP="008F328C">
            <w:pPr>
              <w:pStyle w:val="TableParagraph"/>
              <w:spacing w:line="252" w:lineRule="exact"/>
              <w:ind w:left="102"/>
              <w:rPr>
                <w:rFonts w:ascii="Times New Roman" w:eastAsia="Times New Roman" w:hAnsi="Times New Roman" w:cs="Times New Roman"/>
                <w:b/>
                <w:bCs/>
                <w:iCs/>
                <w:spacing w:val="-1"/>
                <w:lang w:val="pl-PL"/>
              </w:rPr>
            </w:pPr>
            <w:r w:rsidRPr="008F328C">
              <w:rPr>
                <w:rFonts w:ascii="Times New Roman" w:eastAsia="Times New Roman" w:hAnsi="Times New Roman" w:cs="Times New Roman"/>
                <w:b/>
                <w:bCs/>
                <w:iCs/>
                <w:spacing w:val="-1"/>
                <w:lang w:val="pl-PL"/>
              </w:rPr>
              <w:t>Łuszczyca zwyczajna (plackowata) u dzieci i młodzieży</w:t>
            </w:r>
          </w:p>
        </w:tc>
      </w:tr>
      <w:tr w:rsidR="0059538A" w:rsidRPr="008F328C" w14:paraId="4398378F" w14:textId="77777777" w:rsidTr="008F328C">
        <w:tc>
          <w:tcPr>
            <w:tcW w:w="3096" w:type="dxa"/>
            <w:tcBorders>
              <w:top w:val="single" w:sz="5" w:space="0" w:color="000000"/>
              <w:left w:val="single" w:sz="5" w:space="0" w:color="000000"/>
              <w:bottom w:val="single" w:sz="5" w:space="0" w:color="000000"/>
              <w:right w:val="single" w:sz="5" w:space="0" w:color="000000"/>
            </w:tcBorders>
          </w:tcPr>
          <w:p w14:paraId="6570EDA2"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8594CB9"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54E12C1F" w14:textId="77777777" w:rsidR="0059538A" w:rsidRPr="008F328C" w:rsidRDefault="0059538A" w:rsidP="00ED6A7B">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5D669613"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5750C6" w:rsidRPr="008F328C" w14:paraId="2D1D1A65" w14:textId="77777777" w:rsidTr="008F328C">
        <w:tc>
          <w:tcPr>
            <w:tcW w:w="3096" w:type="dxa"/>
            <w:tcBorders>
              <w:top w:val="single" w:sz="5" w:space="0" w:color="000000"/>
              <w:left w:val="single" w:sz="5" w:space="0" w:color="000000"/>
              <w:bottom w:val="single" w:sz="5" w:space="0" w:color="000000"/>
              <w:right w:val="single" w:sz="5" w:space="0" w:color="000000"/>
            </w:tcBorders>
          </w:tcPr>
          <w:p w14:paraId="0ECD21B3" w14:textId="77777777" w:rsidR="005750C6" w:rsidRPr="008F328C" w:rsidRDefault="005750C6"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Dzieci i młodzież w wieku od 4</w:t>
            </w:r>
          </w:p>
          <w:p w14:paraId="41984EED" w14:textId="6E928B98" w:rsidR="005750C6" w:rsidRPr="008F328C" w:rsidRDefault="005750C6"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do 17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719FCA60" w14:textId="77777777" w:rsidR="005750C6" w:rsidRPr="008F328C" w:rsidRDefault="005750C6"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40 mg, a następnie po upływie jednego tygodnia dawka 40 mg.</w:t>
            </w:r>
          </w:p>
          <w:p w14:paraId="7FCA28E1" w14:textId="77777777" w:rsidR="005750C6" w:rsidRDefault="005750C6" w:rsidP="00ED6A7B">
            <w:pPr>
              <w:pStyle w:val="TableParagraph"/>
              <w:spacing w:line="246" w:lineRule="exact"/>
              <w:ind w:left="102" w:right="57"/>
              <w:rPr>
                <w:rFonts w:ascii="Times New Roman" w:eastAsia="Times New Roman" w:hAnsi="Times New Roman" w:cs="Times New Roman"/>
                <w:spacing w:val="-1"/>
                <w:lang w:val="pl-PL"/>
              </w:rPr>
            </w:pPr>
          </w:p>
          <w:p w14:paraId="0B18BC1B" w14:textId="6CA48D35" w:rsidR="005750C6" w:rsidRPr="008F328C" w:rsidRDefault="005750C6"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lang w:val="pl-PL"/>
              </w:rPr>
              <w:t>Następnie zwykle stosowana dawka wynosi 40</w:t>
            </w:r>
            <w:r w:rsidRPr="008F328C">
              <w:rPr>
                <w:rFonts w:ascii="Times New Roman" w:eastAsia="Times New Roman" w:hAnsi="Times New Roman" w:cs="Times New Roman"/>
                <w:spacing w:val="-1"/>
                <w:lang w:val="pl-PL"/>
              </w:rPr>
              <w:t xml:space="preserve"> mg co drugi tydzień</w:t>
            </w:r>
          </w:p>
        </w:tc>
        <w:tc>
          <w:tcPr>
            <w:tcW w:w="3096" w:type="dxa"/>
            <w:tcBorders>
              <w:top w:val="single" w:sz="5" w:space="0" w:color="000000"/>
              <w:left w:val="single" w:sz="5" w:space="0" w:color="000000"/>
              <w:bottom w:val="single" w:sz="5" w:space="0" w:color="000000"/>
              <w:right w:val="single" w:sz="5" w:space="0" w:color="000000"/>
            </w:tcBorders>
          </w:tcPr>
          <w:p w14:paraId="4EF521C3" w14:textId="778F430A" w:rsidR="005750C6" w:rsidRPr="008F328C" w:rsidRDefault="005750C6" w:rsidP="00ED6A7B">
            <w:pPr>
              <w:pStyle w:val="TableParagraph"/>
              <w:spacing w:line="246"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spacing w:val="-1"/>
                <w:lang w:val="pl-PL"/>
              </w:rPr>
              <w:t>Nie dotyczy.</w:t>
            </w:r>
          </w:p>
        </w:tc>
      </w:tr>
      <w:tr w:rsidR="005750C6" w:rsidRPr="008F328C" w14:paraId="402AA0B6" w14:textId="77777777" w:rsidTr="008F328C">
        <w:tc>
          <w:tcPr>
            <w:tcW w:w="3096" w:type="dxa"/>
            <w:tcBorders>
              <w:top w:val="single" w:sz="5" w:space="0" w:color="000000"/>
              <w:left w:val="single" w:sz="5" w:space="0" w:color="000000"/>
              <w:bottom w:val="single" w:sz="5" w:space="0" w:color="000000"/>
              <w:right w:val="single" w:sz="5" w:space="0" w:color="000000"/>
            </w:tcBorders>
          </w:tcPr>
          <w:p w14:paraId="686078DB" w14:textId="58293895"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4 do 17 lat o masie ciała 15 kg i mniej niż 30 kg</w:t>
            </w:r>
          </w:p>
        </w:tc>
        <w:tc>
          <w:tcPr>
            <w:tcW w:w="3096" w:type="dxa"/>
            <w:tcBorders>
              <w:top w:val="single" w:sz="5" w:space="0" w:color="000000"/>
              <w:left w:val="single" w:sz="5" w:space="0" w:color="000000"/>
              <w:bottom w:val="single" w:sz="5" w:space="0" w:color="000000"/>
              <w:right w:val="single" w:sz="5" w:space="0" w:color="000000"/>
            </w:tcBorders>
          </w:tcPr>
          <w:p w14:paraId="02DF3871" w14:textId="531E40E6" w:rsidR="005750C6" w:rsidRPr="00911EA9"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911EA9">
              <w:rPr>
                <w:rFonts w:ascii="Times New Roman" w:eastAsia="Times New Roman" w:hAnsi="Times New Roman" w:cs="Times New Roman"/>
                <w:spacing w:val="-1"/>
                <w:lang w:val="pl-PL"/>
              </w:rPr>
              <w:t xml:space="preserve">Pierwsza dawka </w:t>
            </w:r>
            <w:r>
              <w:rPr>
                <w:rFonts w:ascii="Times New Roman" w:eastAsia="Times New Roman" w:hAnsi="Times New Roman" w:cs="Times New Roman"/>
                <w:spacing w:val="-1"/>
                <w:lang w:val="pl-PL"/>
              </w:rPr>
              <w:t>20</w:t>
            </w:r>
            <w:r w:rsidRPr="00911EA9">
              <w:rPr>
                <w:rFonts w:ascii="Times New Roman" w:eastAsia="Times New Roman" w:hAnsi="Times New Roman" w:cs="Times New Roman"/>
                <w:spacing w:val="-1"/>
                <w:lang w:val="pl-PL"/>
              </w:rPr>
              <w:t xml:space="preserve"> mg, a następnie po upływie jednego tygodnia dawka </w:t>
            </w:r>
            <w:r>
              <w:rPr>
                <w:rFonts w:ascii="Times New Roman" w:eastAsia="Times New Roman" w:hAnsi="Times New Roman" w:cs="Times New Roman"/>
                <w:spacing w:val="-1"/>
                <w:lang w:val="pl-PL"/>
              </w:rPr>
              <w:t>20</w:t>
            </w:r>
            <w:r w:rsidRPr="00911EA9">
              <w:rPr>
                <w:rFonts w:ascii="Times New Roman" w:eastAsia="Times New Roman" w:hAnsi="Times New Roman" w:cs="Times New Roman"/>
                <w:spacing w:val="-1"/>
                <w:lang w:val="pl-PL"/>
              </w:rPr>
              <w:t> mg.</w:t>
            </w:r>
          </w:p>
          <w:p w14:paraId="4884FAFA" w14:textId="77777777" w:rsidR="005750C6" w:rsidRDefault="005750C6" w:rsidP="005750C6">
            <w:pPr>
              <w:pStyle w:val="TableParagraph"/>
              <w:spacing w:line="246" w:lineRule="exact"/>
              <w:ind w:left="102" w:right="57"/>
              <w:rPr>
                <w:rFonts w:ascii="Times New Roman" w:eastAsia="Times New Roman" w:hAnsi="Times New Roman" w:cs="Times New Roman"/>
                <w:spacing w:val="-1"/>
                <w:lang w:val="pl-PL"/>
              </w:rPr>
            </w:pPr>
          </w:p>
          <w:p w14:paraId="580946FE" w14:textId="592ACAB6"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20</w:t>
            </w:r>
            <w:r w:rsidRPr="00911EA9">
              <w:rPr>
                <w:rFonts w:ascii="Times New Roman" w:eastAsia="Times New Roman" w:hAnsi="Times New Roman" w:cs="Times New Roman"/>
                <w:spacing w:val="-1"/>
                <w:lang w:val="pl-PL"/>
              </w:rPr>
              <w:t xml:space="preserve"> mg co drugi tydzień</w:t>
            </w:r>
          </w:p>
        </w:tc>
        <w:tc>
          <w:tcPr>
            <w:tcW w:w="3096" w:type="dxa"/>
            <w:tcBorders>
              <w:top w:val="single" w:sz="5" w:space="0" w:color="000000"/>
              <w:left w:val="single" w:sz="5" w:space="0" w:color="000000"/>
              <w:bottom w:val="single" w:sz="5" w:space="0" w:color="000000"/>
              <w:right w:val="single" w:sz="5" w:space="0" w:color="000000"/>
            </w:tcBorders>
          </w:tcPr>
          <w:p w14:paraId="76F56B84" w14:textId="1A04B182" w:rsidR="005750C6" w:rsidRPr="008F328C" w:rsidRDefault="005750C6" w:rsidP="005750C6">
            <w:pPr>
              <w:pStyle w:val="TableParagraph"/>
              <w:spacing w:line="246" w:lineRule="exact"/>
              <w:ind w:left="102" w:right="57"/>
              <w:rPr>
                <w:rFonts w:ascii="Times New Roman" w:eastAsia="Times New Roman" w:hAnsi="Times New Roman" w:cs="Times New Roman"/>
                <w:spacing w:val="-1"/>
                <w:lang w:val="pl-PL"/>
              </w:rPr>
            </w:pPr>
            <w:r w:rsidRPr="00911EA9">
              <w:rPr>
                <w:rFonts w:ascii="Times New Roman" w:eastAsia="Times New Roman" w:hAnsi="Times New Roman" w:cs="Times New Roman"/>
                <w:spacing w:val="-1"/>
                <w:lang w:val="pl-PL"/>
              </w:rPr>
              <w:t>Nie dotyczy.</w:t>
            </w:r>
          </w:p>
        </w:tc>
      </w:tr>
    </w:tbl>
    <w:p w14:paraId="40DA98C5" w14:textId="77777777" w:rsidR="0059538A" w:rsidRPr="008F328C" w:rsidRDefault="0059538A" w:rsidP="0059538A">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9538A" w:rsidRPr="00A5286D" w14:paraId="7BB32896" w14:textId="77777777" w:rsidTr="00ED6A7B">
        <w:tc>
          <w:tcPr>
            <w:tcW w:w="9288" w:type="dxa"/>
            <w:gridSpan w:val="3"/>
            <w:tcBorders>
              <w:top w:val="single" w:sz="5" w:space="0" w:color="000000"/>
              <w:left w:val="single" w:sz="5" w:space="0" w:color="000000"/>
              <w:bottom w:val="single" w:sz="5" w:space="0" w:color="000000"/>
              <w:right w:val="single" w:sz="5" w:space="0" w:color="000000"/>
            </w:tcBorders>
          </w:tcPr>
          <w:p w14:paraId="1D23A665" w14:textId="5587F441" w:rsidR="0059538A" w:rsidRPr="008F328C" w:rsidRDefault="005750C6" w:rsidP="008F328C">
            <w:pPr>
              <w:pStyle w:val="TableParagraph"/>
              <w:spacing w:line="252" w:lineRule="exact"/>
              <w:ind w:left="102"/>
              <w:rPr>
                <w:rFonts w:ascii="Times New Roman" w:eastAsia="Times New Roman" w:hAnsi="Times New Roman" w:cs="Times New Roman"/>
                <w:b/>
                <w:bCs/>
                <w:iCs/>
                <w:spacing w:val="-1"/>
                <w:lang w:val="pl-PL"/>
              </w:rPr>
            </w:pPr>
            <w:r w:rsidRPr="008F328C">
              <w:rPr>
                <w:rFonts w:ascii="Times New Roman" w:eastAsia="Times New Roman" w:hAnsi="Times New Roman" w:cs="Times New Roman"/>
                <w:b/>
                <w:bCs/>
                <w:iCs/>
                <w:spacing w:val="-1"/>
                <w:lang w:val="pl-PL"/>
              </w:rPr>
              <w:t>Choroba Leśniowskiego-Crohna u dzieci i młodzieży</w:t>
            </w:r>
          </w:p>
        </w:tc>
      </w:tr>
      <w:tr w:rsidR="0059538A" w:rsidRPr="008F328C" w14:paraId="495A2F77"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2328EFAA"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747F1942" w14:textId="77777777" w:rsidR="0059538A" w:rsidRPr="008F328C" w:rsidRDefault="0059538A" w:rsidP="00ED6A7B">
            <w:pPr>
              <w:pStyle w:val="TableParagraph"/>
              <w:spacing w:before="1" w:line="252" w:lineRule="exact"/>
              <w:ind w:left="102"/>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 stosować?</w:t>
            </w:r>
          </w:p>
        </w:tc>
        <w:tc>
          <w:tcPr>
            <w:tcW w:w="3096" w:type="dxa"/>
            <w:tcBorders>
              <w:top w:val="single" w:sz="5" w:space="0" w:color="000000"/>
              <w:left w:val="single" w:sz="5" w:space="0" w:color="000000"/>
              <w:bottom w:val="single" w:sz="5" w:space="0" w:color="000000"/>
              <w:right w:val="single" w:sz="5" w:space="0" w:color="000000"/>
            </w:tcBorders>
          </w:tcPr>
          <w:p w14:paraId="4AF8E446"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59538A" w:rsidRPr="00A5286D" w14:paraId="20E5017C"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4074A0ED" w14:textId="1D46D373" w:rsidR="0059538A"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6 do 17 lat o masie ciała 40 kg i powyżej</w:t>
            </w:r>
          </w:p>
        </w:tc>
        <w:tc>
          <w:tcPr>
            <w:tcW w:w="3096" w:type="dxa"/>
            <w:tcBorders>
              <w:top w:val="single" w:sz="5" w:space="0" w:color="000000"/>
              <w:left w:val="single" w:sz="5" w:space="0" w:color="000000"/>
              <w:bottom w:val="single" w:sz="5" w:space="0" w:color="000000"/>
              <w:right w:val="single" w:sz="5" w:space="0" w:color="000000"/>
            </w:tcBorders>
          </w:tcPr>
          <w:p w14:paraId="0862E4CC" w14:textId="77777777" w:rsidR="0059538A"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80 mg, a następnie po dwóch tygodniach 40 mg.</w:t>
            </w:r>
          </w:p>
          <w:p w14:paraId="5D24A6CB"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p>
          <w:p w14:paraId="317F82DD"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Jeśli jest konieczne uzyskanie szybszej odpowiedzi na leczenie, lekarz może przepisać pierwszą dawkę 160 mg, a następnie po dwóch tygodniach dawkę 80 mg.</w:t>
            </w:r>
          </w:p>
          <w:p w14:paraId="5D93517F"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p>
          <w:p w14:paraId="5E91777F" w14:textId="6EC77E12"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0DA227FE" w14:textId="5F4E0EAC" w:rsidR="0059538A" w:rsidRPr="008F328C" w:rsidRDefault="005750C6"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 xml:space="preserve">Lekarz może zwiększyć dawkowanie do 40 mg co tydzień lub 80 mg co drugi </w:t>
            </w:r>
            <w:r w:rsidRPr="008F328C">
              <w:rPr>
                <w:rFonts w:ascii="Times New Roman" w:eastAsia="Times New Roman" w:hAnsi="Times New Roman" w:cs="Times New Roman"/>
                <w:spacing w:val="-1"/>
                <w:lang w:val="pl-PL"/>
              </w:rPr>
              <w:lastRenderedPageBreak/>
              <w:t>tydzień.</w:t>
            </w:r>
          </w:p>
        </w:tc>
      </w:tr>
      <w:tr w:rsidR="005750C6" w:rsidRPr="00A5286D" w14:paraId="5DEB6717"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68ACDF48" w14:textId="1B6805BA"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lastRenderedPageBreak/>
              <w:t>Dzieci i młodzież w wieku od 6 lat do 17 lat o masie ciała poniżej 40 kg</w:t>
            </w:r>
          </w:p>
        </w:tc>
        <w:tc>
          <w:tcPr>
            <w:tcW w:w="3096" w:type="dxa"/>
            <w:tcBorders>
              <w:top w:val="single" w:sz="5" w:space="0" w:color="000000"/>
              <w:left w:val="single" w:sz="5" w:space="0" w:color="000000"/>
              <w:bottom w:val="single" w:sz="5" w:space="0" w:color="000000"/>
              <w:right w:val="single" w:sz="5" w:space="0" w:color="000000"/>
            </w:tcBorders>
          </w:tcPr>
          <w:p w14:paraId="09F8E05A"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Pierwsza dawka 40 mg, a następnie 20 mg dwa tygodnie później.</w:t>
            </w:r>
          </w:p>
          <w:p w14:paraId="2C5A5B88"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p>
          <w:p w14:paraId="41853B33"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Jeśli jest konieczne uzyskanie szybszej odpowiedzi na leczenie, lekarz może przepisać pierwszą dawkę 80 mg, a następnie po dwóch tygodniach dawkę 40 mg.</w:t>
            </w:r>
          </w:p>
          <w:p w14:paraId="5BF86557" w14:textId="77777777"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p>
          <w:p w14:paraId="4AFEABCA" w14:textId="6E075CD2" w:rsidR="005750C6" w:rsidRPr="008F328C" w:rsidRDefault="005750C6"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Następnie, zwykle stosowana dawka wynosi 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7114E09" w14:textId="6E07D7DE" w:rsidR="005750C6" w:rsidRPr="008F328C" w:rsidRDefault="005750C6"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Lekarz może zwiększyć częstość podawania dawki do 20 mg co tydzień.</w:t>
            </w:r>
          </w:p>
        </w:tc>
      </w:tr>
    </w:tbl>
    <w:p w14:paraId="58DACE75" w14:textId="65E8E43A" w:rsidR="0059538A" w:rsidRPr="008F328C" w:rsidRDefault="0059538A" w:rsidP="0059538A">
      <w:pPr>
        <w:spacing w:before="10" w:line="240" w:lineRule="exact"/>
        <w:rPr>
          <w:rFonts w:ascii="Times New Roman" w:hAnsi="Times New Roman" w:cs="Times New Roman"/>
          <w:sz w:val="24"/>
          <w:szCs w:val="24"/>
          <w:lang w:val="pl-PL"/>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9538A" w:rsidRPr="00A5286D" w14:paraId="7B2C1020" w14:textId="77777777" w:rsidTr="00ED6A7B">
        <w:tc>
          <w:tcPr>
            <w:tcW w:w="9288" w:type="dxa"/>
            <w:gridSpan w:val="3"/>
            <w:tcBorders>
              <w:top w:val="single" w:sz="5" w:space="0" w:color="000000"/>
              <w:left w:val="single" w:sz="5" w:space="0" w:color="000000"/>
              <w:bottom w:val="single" w:sz="5" w:space="0" w:color="000000"/>
              <w:right w:val="single" w:sz="5" w:space="0" w:color="000000"/>
            </w:tcBorders>
          </w:tcPr>
          <w:p w14:paraId="5D2F5065" w14:textId="0D71C9E0" w:rsidR="0059538A" w:rsidRPr="008F328C" w:rsidRDefault="00E8250A" w:rsidP="00ED6A7B">
            <w:pPr>
              <w:pStyle w:val="TableParagraph"/>
              <w:spacing w:line="252" w:lineRule="exact"/>
              <w:ind w:left="102"/>
              <w:rPr>
                <w:rFonts w:ascii="Times New Roman" w:eastAsia="Times New Roman" w:hAnsi="Times New Roman" w:cs="Times New Roman"/>
                <w:b/>
                <w:bCs/>
                <w:iCs/>
                <w:spacing w:val="-1"/>
                <w:lang w:val="pl-PL"/>
              </w:rPr>
            </w:pPr>
            <w:r>
              <w:rPr>
                <w:rFonts w:ascii="Times New Roman" w:eastAsia="Times New Roman" w:hAnsi="Times New Roman" w:cs="Times New Roman"/>
                <w:b/>
                <w:bCs/>
                <w:iCs/>
                <w:spacing w:val="-1"/>
                <w:lang w:val="pl-PL"/>
              </w:rPr>
              <w:t>Z</w:t>
            </w:r>
            <w:r w:rsidR="005750C6" w:rsidRPr="008F328C">
              <w:rPr>
                <w:rFonts w:ascii="Times New Roman" w:eastAsia="Times New Roman" w:hAnsi="Times New Roman" w:cs="Times New Roman"/>
                <w:b/>
                <w:bCs/>
                <w:iCs/>
                <w:spacing w:val="-1"/>
                <w:lang w:val="pl-PL"/>
              </w:rPr>
              <w:t>apalenie błony naczyniowej oka u dzieci i młodzieży</w:t>
            </w:r>
          </w:p>
        </w:tc>
      </w:tr>
      <w:tr w:rsidR="0059538A" w:rsidRPr="008F328C" w14:paraId="648C9AE6"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647388DE"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Wiek lub masa ciała</w:t>
            </w:r>
          </w:p>
        </w:tc>
        <w:tc>
          <w:tcPr>
            <w:tcW w:w="3096" w:type="dxa"/>
            <w:tcBorders>
              <w:top w:val="single" w:sz="5" w:space="0" w:color="000000"/>
              <w:left w:val="single" w:sz="5" w:space="0" w:color="000000"/>
              <w:bottom w:val="single" w:sz="5" w:space="0" w:color="000000"/>
              <w:right w:val="single" w:sz="5" w:space="0" w:color="000000"/>
            </w:tcBorders>
          </w:tcPr>
          <w:p w14:paraId="3F56A68F"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Ile i jak często</w:t>
            </w:r>
          </w:p>
          <w:p w14:paraId="7A4083BA" w14:textId="77777777" w:rsidR="0059538A" w:rsidRPr="008F328C" w:rsidRDefault="0059538A" w:rsidP="00ED6A7B">
            <w:pPr>
              <w:pStyle w:val="TableParagraph"/>
              <w:spacing w:before="1" w:line="252"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stosować?</w:t>
            </w:r>
          </w:p>
        </w:tc>
        <w:tc>
          <w:tcPr>
            <w:tcW w:w="3096" w:type="dxa"/>
            <w:tcBorders>
              <w:top w:val="single" w:sz="5" w:space="0" w:color="000000"/>
              <w:left w:val="single" w:sz="5" w:space="0" w:color="000000"/>
              <w:bottom w:val="single" w:sz="5" w:space="0" w:color="000000"/>
              <w:right w:val="single" w:sz="5" w:space="0" w:color="000000"/>
            </w:tcBorders>
          </w:tcPr>
          <w:p w14:paraId="180A773A" w14:textId="77777777" w:rsidR="0059538A" w:rsidRPr="008F328C" w:rsidRDefault="0059538A" w:rsidP="00ED6A7B">
            <w:pPr>
              <w:pStyle w:val="TableParagraph"/>
              <w:spacing w:line="251" w:lineRule="exact"/>
              <w:ind w:left="102" w:right="57"/>
              <w:rPr>
                <w:rFonts w:ascii="Times New Roman" w:eastAsia="Times New Roman" w:hAnsi="Times New Roman" w:cs="Times New Roman"/>
                <w:lang w:val="pl-PL"/>
              </w:rPr>
            </w:pPr>
            <w:r w:rsidRPr="008F328C">
              <w:rPr>
                <w:rFonts w:ascii="Times New Roman" w:eastAsia="Times New Roman" w:hAnsi="Times New Roman" w:cs="Times New Roman"/>
                <w:b/>
                <w:bCs/>
                <w:lang w:val="pl-PL"/>
              </w:rPr>
              <w:t>Uwagi</w:t>
            </w:r>
          </w:p>
        </w:tc>
      </w:tr>
      <w:tr w:rsidR="0059538A" w:rsidRPr="00A5286D" w14:paraId="0322A15E"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011F578E" w14:textId="1C5F9709" w:rsidR="0059538A" w:rsidRPr="008F328C" w:rsidRDefault="00E8250A"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2 lat o masie ciała poniżej 30 kg</w:t>
            </w:r>
          </w:p>
        </w:tc>
        <w:tc>
          <w:tcPr>
            <w:tcW w:w="3096" w:type="dxa"/>
            <w:tcBorders>
              <w:top w:val="single" w:sz="5" w:space="0" w:color="000000"/>
              <w:left w:val="single" w:sz="5" w:space="0" w:color="000000"/>
              <w:bottom w:val="single" w:sz="5" w:space="0" w:color="000000"/>
              <w:right w:val="single" w:sz="5" w:space="0" w:color="000000"/>
            </w:tcBorders>
          </w:tcPr>
          <w:p w14:paraId="6D7A4CC3" w14:textId="3B8D018E" w:rsidR="0059538A" w:rsidRPr="008F328C" w:rsidRDefault="00E8250A"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20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2ED381AD" w14:textId="59E5E54E" w:rsidR="0059538A" w:rsidRPr="008F328C" w:rsidRDefault="00E8250A" w:rsidP="008F328C">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Lekarz może przepisać dawkę początkową 40 mg do podania jeden tydzień przed rozpoczęciem stosowania zwykłej dawki 20 mg co drugi tydzień. Zaleca się stosowanie leku </w:t>
            </w:r>
            <w:r w:rsidR="008F328C">
              <w:rPr>
                <w:rFonts w:ascii="Times New Roman" w:eastAsia="Times New Roman" w:hAnsi="Times New Roman" w:cs="Times New Roman"/>
                <w:spacing w:val="-1"/>
                <w:lang w:val="pl-PL"/>
              </w:rPr>
              <w:t>Yuflyma</w:t>
            </w:r>
            <w:r w:rsidRPr="008F328C">
              <w:rPr>
                <w:rFonts w:ascii="Times New Roman" w:eastAsia="Times New Roman" w:hAnsi="Times New Roman" w:cs="Times New Roman"/>
                <w:spacing w:val="-1"/>
                <w:lang w:val="pl-PL"/>
              </w:rPr>
              <w:t xml:space="preserve"> w połączeniu z metotreksatem.</w:t>
            </w:r>
          </w:p>
        </w:tc>
      </w:tr>
      <w:tr w:rsidR="0059538A" w:rsidRPr="00A5286D" w14:paraId="2370253F" w14:textId="77777777" w:rsidTr="00ED6A7B">
        <w:tc>
          <w:tcPr>
            <w:tcW w:w="3096" w:type="dxa"/>
            <w:tcBorders>
              <w:top w:val="single" w:sz="5" w:space="0" w:color="000000"/>
              <w:left w:val="single" w:sz="5" w:space="0" w:color="000000"/>
              <w:bottom w:val="single" w:sz="5" w:space="0" w:color="000000"/>
              <w:right w:val="single" w:sz="5" w:space="0" w:color="000000"/>
            </w:tcBorders>
          </w:tcPr>
          <w:p w14:paraId="62954C9E" w14:textId="7FA8A22B" w:rsidR="0059538A" w:rsidRPr="008F328C" w:rsidRDefault="00E8250A"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Dzieci i młodzież w wieku od 2 lat o masie ciała 30 kg i powyżej</w:t>
            </w:r>
          </w:p>
        </w:tc>
        <w:tc>
          <w:tcPr>
            <w:tcW w:w="3096" w:type="dxa"/>
            <w:tcBorders>
              <w:top w:val="single" w:sz="5" w:space="0" w:color="000000"/>
              <w:left w:val="single" w:sz="5" w:space="0" w:color="000000"/>
              <w:bottom w:val="single" w:sz="5" w:space="0" w:color="000000"/>
              <w:right w:val="single" w:sz="5" w:space="0" w:color="000000"/>
            </w:tcBorders>
          </w:tcPr>
          <w:p w14:paraId="14A92F75" w14:textId="77777777" w:rsidR="0059538A" w:rsidRPr="008F328C" w:rsidRDefault="0059538A"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40 mg co drugi tydzień</w:t>
            </w:r>
          </w:p>
        </w:tc>
        <w:tc>
          <w:tcPr>
            <w:tcW w:w="3096" w:type="dxa"/>
            <w:tcBorders>
              <w:top w:val="single" w:sz="5" w:space="0" w:color="000000"/>
              <w:left w:val="single" w:sz="5" w:space="0" w:color="000000"/>
              <w:bottom w:val="single" w:sz="5" w:space="0" w:color="000000"/>
              <w:right w:val="single" w:sz="5" w:space="0" w:color="000000"/>
            </w:tcBorders>
          </w:tcPr>
          <w:p w14:paraId="398E4EC1" w14:textId="26F8D814" w:rsidR="0059538A" w:rsidRPr="008F328C" w:rsidRDefault="00E8250A" w:rsidP="00ED6A7B">
            <w:pPr>
              <w:pStyle w:val="TableParagraph"/>
              <w:spacing w:line="246" w:lineRule="exact"/>
              <w:ind w:left="102" w:right="57"/>
              <w:rPr>
                <w:rFonts w:ascii="Times New Roman" w:eastAsia="Times New Roman" w:hAnsi="Times New Roman" w:cs="Times New Roman"/>
                <w:spacing w:val="-1"/>
                <w:lang w:val="pl-PL"/>
              </w:rPr>
            </w:pPr>
            <w:r w:rsidRPr="008F328C">
              <w:rPr>
                <w:rFonts w:ascii="Times New Roman" w:eastAsia="Times New Roman" w:hAnsi="Times New Roman" w:cs="Times New Roman"/>
                <w:spacing w:val="-1"/>
                <w:lang w:val="pl-PL"/>
              </w:rPr>
              <w:t xml:space="preserve">Lekarz może przepisać dawkę początkową 80 mg do podania jeden tydzień przed rozpoczęciem stosowania </w:t>
            </w:r>
            <w:r w:rsidRPr="0097235D">
              <w:rPr>
                <w:rFonts w:ascii="Times New Roman" w:eastAsia="Times New Roman" w:hAnsi="Times New Roman" w:cs="Times New Roman"/>
                <w:spacing w:val="-1"/>
                <w:lang w:val="pl-PL"/>
              </w:rPr>
              <w:t>zwykłej</w:t>
            </w:r>
            <w:r w:rsidRPr="008F328C">
              <w:rPr>
                <w:rFonts w:ascii="Times New Roman" w:eastAsia="Times New Roman" w:hAnsi="Times New Roman" w:cs="Times New Roman"/>
                <w:spacing w:val="-1"/>
                <w:lang w:val="pl-PL"/>
              </w:rPr>
              <w:t xml:space="preserve"> dawki 40 mg co drugi tydzień. Zaleca się stosowanie leku </w:t>
            </w:r>
            <w:r w:rsidR="008F328C">
              <w:rPr>
                <w:rFonts w:ascii="Times New Roman" w:eastAsia="Times New Roman" w:hAnsi="Times New Roman" w:cs="Times New Roman"/>
                <w:spacing w:val="-1"/>
                <w:lang w:val="pl-PL"/>
              </w:rPr>
              <w:t>Yuflyma</w:t>
            </w:r>
            <w:r w:rsidRPr="008F328C">
              <w:rPr>
                <w:rFonts w:ascii="Times New Roman" w:eastAsia="Times New Roman" w:hAnsi="Times New Roman" w:cs="Times New Roman"/>
                <w:spacing w:val="-1"/>
                <w:lang w:val="pl-PL"/>
              </w:rPr>
              <w:t xml:space="preserve"> w połączeniu z metotreksatem</w:t>
            </w:r>
            <w:r w:rsidR="0059538A" w:rsidRPr="008F328C">
              <w:rPr>
                <w:rFonts w:ascii="Times New Roman" w:eastAsia="Times New Roman" w:hAnsi="Times New Roman" w:cs="Times New Roman"/>
                <w:spacing w:val="-1"/>
                <w:lang w:val="pl-PL"/>
              </w:rPr>
              <w:t>.</w:t>
            </w:r>
          </w:p>
        </w:tc>
      </w:tr>
    </w:tbl>
    <w:p w14:paraId="2051A147" w14:textId="77777777" w:rsidR="0059538A" w:rsidRPr="008F328C" w:rsidRDefault="0059538A" w:rsidP="0059538A">
      <w:pPr>
        <w:pStyle w:val="a3"/>
        <w:rPr>
          <w:lang w:val="pl-PL"/>
        </w:rPr>
      </w:pPr>
    </w:p>
    <w:p w14:paraId="76A4EDE4" w14:textId="77777777" w:rsidR="0059538A" w:rsidRPr="008F328C" w:rsidRDefault="0059538A" w:rsidP="0059538A">
      <w:pPr>
        <w:pStyle w:val="a3"/>
        <w:rPr>
          <w:b/>
          <w:lang w:val="pl-PL"/>
        </w:rPr>
      </w:pPr>
      <w:r w:rsidRPr="008F328C">
        <w:rPr>
          <w:rFonts w:eastAsia="Times New Roman"/>
          <w:b/>
          <w:bCs/>
          <w:lang w:val="pl-PL"/>
        </w:rPr>
        <w:t>Sposób i droga podania</w:t>
      </w:r>
    </w:p>
    <w:p w14:paraId="30474083" w14:textId="77777777" w:rsidR="0059538A" w:rsidRPr="008F328C" w:rsidRDefault="0059538A" w:rsidP="0059538A">
      <w:pPr>
        <w:spacing w:before="9" w:line="240" w:lineRule="exact"/>
        <w:rPr>
          <w:rFonts w:ascii="Times New Roman" w:hAnsi="Times New Roman" w:cs="Times New Roman"/>
          <w:sz w:val="24"/>
          <w:szCs w:val="24"/>
          <w:lang w:val="pl-PL"/>
        </w:rPr>
      </w:pPr>
    </w:p>
    <w:p w14:paraId="38829EA8" w14:textId="77777777" w:rsidR="0059538A" w:rsidRPr="008F328C" w:rsidRDefault="0059538A" w:rsidP="0059538A">
      <w:pPr>
        <w:pStyle w:val="a3"/>
        <w:rPr>
          <w:lang w:val="pl-PL"/>
        </w:rPr>
      </w:pPr>
      <w:r w:rsidRPr="008F328C">
        <w:rPr>
          <w:rFonts w:eastAsia="Times New Roman"/>
          <w:lang w:val="pl-PL"/>
        </w:rPr>
        <w:t>Lek Yuflyma podaje się we wstrzyknięciu podskórnym.</w:t>
      </w:r>
    </w:p>
    <w:p w14:paraId="060D6E4C" w14:textId="77777777" w:rsidR="0059538A" w:rsidRPr="008F328C" w:rsidRDefault="0059538A" w:rsidP="0059538A">
      <w:pPr>
        <w:spacing w:before="18" w:line="240" w:lineRule="exact"/>
        <w:rPr>
          <w:rFonts w:ascii="Times New Roman" w:hAnsi="Times New Roman" w:cs="Times New Roman"/>
          <w:sz w:val="24"/>
          <w:szCs w:val="24"/>
          <w:lang w:val="pl-PL"/>
        </w:rPr>
      </w:pPr>
    </w:p>
    <w:p w14:paraId="4C4D163A" w14:textId="77777777" w:rsidR="0059538A" w:rsidRPr="008F328C" w:rsidRDefault="0059538A" w:rsidP="0059538A">
      <w:pPr>
        <w:pStyle w:val="a3"/>
        <w:rPr>
          <w:b/>
          <w:lang w:val="pl-PL"/>
        </w:rPr>
      </w:pPr>
      <w:r w:rsidRPr="008F328C">
        <w:rPr>
          <w:rFonts w:eastAsia="Times New Roman"/>
          <w:b/>
          <w:bCs/>
          <w:lang w:val="pl-PL"/>
        </w:rPr>
        <w:t>Szczegółowe instrukcje jak wstrzykiwać lek Yuflyma podano w punkcie 7. „Instrukcja stosowania</w:t>
      </w:r>
      <w:r w:rsidRPr="008F328C" w:rsidDel="002C2858">
        <w:rPr>
          <w:rFonts w:eastAsia="Times New Roman"/>
          <w:b/>
          <w:bCs/>
          <w:lang w:val="pl-PL"/>
        </w:rPr>
        <w:t xml:space="preserve"> </w:t>
      </w:r>
      <w:r w:rsidRPr="008F328C">
        <w:rPr>
          <w:rFonts w:eastAsia="Times New Roman"/>
          <w:b/>
          <w:bCs/>
          <w:lang w:val="pl-PL"/>
        </w:rPr>
        <w:t>”.</w:t>
      </w:r>
    </w:p>
    <w:p w14:paraId="445A86E3" w14:textId="77777777" w:rsidR="0059538A" w:rsidRPr="008F328C" w:rsidRDefault="0059538A" w:rsidP="0059538A">
      <w:pPr>
        <w:pStyle w:val="a3"/>
        <w:rPr>
          <w:b/>
          <w:lang w:val="pl-PL"/>
        </w:rPr>
      </w:pPr>
    </w:p>
    <w:p w14:paraId="5FF587CE" w14:textId="77777777" w:rsidR="0059538A" w:rsidRPr="008F328C" w:rsidRDefault="0059538A" w:rsidP="0059538A">
      <w:pPr>
        <w:pStyle w:val="a3"/>
        <w:rPr>
          <w:b/>
          <w:lang w:val="pl-PL"/>
        </w:rPr>
      </w:pPr>
      <w:r w:rsidRPr="008F328C">
        <w:rPr>
          <w:rFonts w:eastAsia="Times New Roman"/>
          <w:b/>
          <w:bCs/>
          <w:lang w:val="pl-PL"/>
        </w:rPr>
        <w:t>Przyjęcie większej niż zalecana dawki leku Yuflyma</w:t>
      </w:r>
    </w:p>
    <w:p w14:paraId="6967E5C4" w14:textId="77777777" w:rsidR="0059538A" w:rsidRPr="008F328C" w:rsidRDefault="0059538A" w:rsidP="0059538A">
      <w:pPr>
        <w:pStyle w:val="a3"/>
        <w:rPr>
          <w:lang w:val="pl-PL"/>
        </w:rPr>
      </w:pPr>
    </w:p>
    <w:p w14:paraId="51E67AAD" w14:textId="419D7918" w:rsidR="0059538A" w:rsidRPr="008F328C" w:rsidRDefault="00E8250A" w:rsidP="0059538A">
      <w:pPr>
        <w:pStyle w:val="a3"/>
        <w:rPr>
          <w:lang w:val="pl-PL"/>
        </w:rPr>
      </w:pPr>
      <w:r w:rsidRPr="008F328C">
        <w:rPr>
          <w:lang w:val="pl-PL"/>
        </w:rPr>
        <w:t xml:space="preserve">W razie przypadkowego wstrzyknięcia leku </w:t>
      </w:r>
      <w:r w:rsidR="008F328C">
        <w:rPr>
          <w:lang w:val="pl-PL"/>
        </w:rPr>
        <w:t>Yuflyma</w:t>
      </w:r>
      <w:r w:rsidRPr="008F328C">
        <w:rPr>
          <w:lang w:val="pl-PL"/>
        </w:rPr>
        <w:t xml:space="preserve"> częściej niż to zalecił lekarz lub farmaceuta, należy </w:t>
      </w:r>
      <w:r w:rsidRPr="008F328C">
        <w:rPr>
          <w:lang w:val="pl-PL"/>
        </w:rPr>
        <w:lastRenderedPageBreak/>
        <w:t>zgłosić się do lekarza lub farmaceuty i poinformować o przyjęciu dodatkowej dawki. Zawsze należy ze sobą zabrać opakowanie zewnętrzne leku, nawet jeśli jest ono puste.</w:t>
      </w:r>
    </w:p>
    <w:p w14:paraId="11FD1CF6" w14:textId="77777777" w:rsidR="0059538A" w:rsidRPr="008F328C" w:rsidRDefault="0059538A" w:rsidP="0059538A">
      <w:pPr>
        <w:spacing w:before="18" w:line="240" w:lineRule="exact"/>
        <w:rPr>
          <w:rFonts w:ascii="Times New Roman" w:hAnsi="Times New Roman" w:cs="Times New Roman"/>
          <w:b/>
          <w:sz w:val="24"/>
          <w:szCs w:val="24"/>
          <w:lang w:val="pl-PL"/>
        </w:rPr>
      </w:pPr>
    </w:p>
    <w:p w14:paraId="364CC23D" w14:textId="77777777" w:rsidR="0059538A" w:rsidRPr="008F328C" w:rsidRDefault="0059538A" w:rsidP="0059538A">
      <w:pPr>
        <w:pStyle w:val="a3"/>
        <w:rPr>
          <w:b/>
          <w:lang w:val="pl-PL"/>
        </w:rPr>
      </w:pPr>
      <w:r w:rsidRPr="008F328C">
        <w:rPr>
          <w:rFonts w:eastAsia="Times New Roman"/>
          <w:b/>
          <w:bCs/>
          <w:lang w:val="pl-PL"/>
        </w:rPr>
        <w:t>Pominięcie przyjęcia leku Yuflyma</w:t>
      </w:r>
    </w:p>
    <w:p w14:paraId="39C472D4" w14:textId="77777777" w:rsidR="0059538A" w:rsidRPr="008F328C" w:rsidRDefault="0059538A" w:rsidP="0059538A">
      <w:pPr>
        <w:spacing w:before="9" w:line="240" w:lineRule="exact"/>
        <w:rPr>
          <w:rFonts w:ascii="Times New Roman" w:hAnsi="Times New Roman" w:cs="Times New Roman"/>
          <w:sz w:val="24"/>
          <w:szCs w:val="24"/>
          <w:lang w:val="pl-PL"/>
        </w:rPr>
      </w:pPr>
    </w:p>
    <w:p w14:paraId="40761298" w14:textId="6FBB8236" w:rsidR="0059538A" w:rsidRPr="008F328C" w:rsidRDefault="00E8250A" w:rsidP="0059538A">
      <w:pPr>
        <w:pStyle w:val="a3"/>
        <w:rPr>
          <w:lang w:val="pl-PL"/>
        </w:rPr>
      </w:pPr>
      <w:r w:rsidRPr="008F328C">
        <w:rPr>
          <w:lang w:val="pl-PL"/>
        </w:rPr>
        <w:t xml:space="preserve">Jeśli pacjent zapomni wykonać wstrzyknięcie, powinien wstrzyknąć następną dawkę leku </w:t>
      </w:r>
      <w:r w:rsidR="008F328C">
        <w:rPr>
          <w:lang w:val="pl-PL"/>
        </w:rPr>
        <w:t>Yuflyma</w:t>
      </w:r>
      <w:r w:rsidRPr="008F328C">
        <w:rPr>
          <w:lang w:val="pl-PL"/>
        </w:rPr>
        <w:t>, gdy tylko sobie o tym przypomni. Kolejną dawkę należy wstrzyknąć w ustalonym pierwotnie dniu</w:t>
      </w:r>
      <w:r w:rsidR="0059538A" w:rsidRPr="008F328C">
        <w:rPr>
          <w:rFonts w:eastAsia="Times New Roman"/>
          <w:lang w:val="pl-PL"/>
        </w:rPr>
        <w:t>.</w:t>
      </w:r>
    </w:p>
    <w:p w14:paraId="0CB43A6C" w14:textId="77777777" w:rsidR="0059538A" w:rsidRPr="008F328C" w:rsidRDefault="0059538A" w:rsidP="0059538A">
      <w:pPr>
        <w:spacing w:before="18" w:line="240" w:lineRule="exact"/>
        <w:rPr>
          <w:rFonts w:ascii="Times New Roman" w:hAnsi="Times New Roman" w:cs="Times New Roman"/>
          <w:sz w:val="24"/>
          <w:szCs w:val="24"/>
          <w:lang w:val="pl-PL"/>
        </w:rPr>
      </w:pPr>
    </w:p>
    <w:p w14:paraId="7931F59B" w14:textId="77777777" w:rsidR="0059538A" w:rsidRPr="008F328C" w:rsidRDefault="0059538A" w:rsidP="0059538A">
      <w:pPr>
        <w:pStyle w:val="a3"/>
        <w:rPr>
          <w:b/>
          <w:lang w:val="pl-PL"/>
        </w:rPr>
      </w:pPr>
      <w:r w:rsidRPr="008F328C">
        <w:rPr>
          <w:rFonts w:eastAsia="Times New Roman"/>
          <w:b/>
          <w:bCs/>
          <w:lang w:val="pl-PL"/>
        </w:rPr>
        <w:t>Przerwanie przyjmowania leku Yuflyma</w:t>
      </w:r>
    </w:p>
    <w:p w14:paraId="0CA83A3E" w14:textId="77777777" w:rsidR="0059538A" w:rsidRPr="008F328C" w:rsidRDefault="0059538A" w:rsidP="0059538A">
      <w:pPr>
        <w:spacing w:before="6" w:line="240" w:lineRule="exact"/>
        <w:rPr>
          <w:rFonts w:ascii="Times New Roman" w:hAnsi="Times New Roman" w:cs="Times New Roman"/>
          <w:sz w:val="24"/>
          <w:szCs w:val="24"/>
          <w:lang w:val="pl-PL"/>
        </w:rPr>
      </w:pPr>
    </w:p>
    <w:p w14:paraId="2CCF049D" w14:textId="221DA918" w:rsidR="0059538A" w:rsidRPr="008F328C" w:rsidRDefault="00E8250A" w:rsidP="0059538A">
      <w:pPr>
        <w:pStyle w:val="a3"/>
        <w:rPr>
          <w:lang w:val="pl-PL"/>
        </w:rPr>
      </w:pPr>
      <w:r w:rsidRPr="008F328C">
        <w:rPr>
          <w:lang w:val="pl-PL"/>
        </w:rPr>
        <w:t xml:space="preserve">Decyzję o zaprzestaniu stosowania leku </w:t>
      </w:r>
      <w:r w:rsidR="008F328C">
        <w:rPr>
          <w:lang w:val="pl-PL"/>
        </w:rPr>
        <w:t>Yuflyma</w:t>
      </w:r>
      <w:r w:rsidRPr="008F328C">
        <w:rPr>
          <w:lang w:val="pl-PL"/>
        </w:rPr>
        <w:t xml:space="preserve"> należy omówić z lekarzem. Po zaprzestaniu przyjmowania leku </w:t>
      </w:r>
      <w:r w:rsidR="008F328C">
        <w:rPr>
          <w:lang w:val="pl-PL"/>
        </w:rPr>
        <w:t>Yuflyma</w:t>
      </w:r>
      <w:r w:rsidRPr="008F328C">
        <w:rPr>
          <w:lang w:val="pl-PL"/>
        </w:rPr>
        <w:t xml:space="preserve"> mogą powrócić objawy choroby</w:t>
      </w:r>
      <w:r w:rsidR="0059538A" w:rsidRPr="008F328C">
        <w:rPr>
          <w:rFonts w:eastAsia="Times New Roman"/>
          <w:lang w:val="pl-PL"/>
        </w:rPr>
        <w:t>.</w:t>
      </w:r>
    </w:p>
    <w:p w14:paraId="1CF0B555" w14:textId="77777777" w:rsidR="0059538A" w:rsidRPr="008F328C" w:rsidRDefault="0059538A" w:rsidP="0059538A">
      <w:pPr>
        <w:spacing w:before="12" w:line="240" w:lineRule="exact"/>
        <w:rPr>
          <w:rFonts w:ascii="Times New Roman" w:hAnsi="Times New Roman" w:cs="Times New Roman"/>
          <w:sz w:val="24"/>
          <w:szCs w:val="24"/>
          <w:lang w:val="pl-PL"/>
        </w:rPr>
      </w:pPr>
    </w:p>
    <w:p w14:paraId="59693D7E" w14:textId="77777777" w:rsidR="0059538A" w:rsidRPr="008F328C" w:rsidRDefault="0059538A" w:rsidP="0059538A">
      <w:pPr>
        <w:pStyle w:val="a3"/>
        <w:rPr>
          <w:lang w:val="pl-PL"/>
        </w:rPr>
      </w:pPr>
      <w:r w:rsidRPr="008F328C">
        <w:rPr>
          <w:rFonts w:eastAsia="Times New Roman"/>
          <w:lang w:val="pl-PL"/>
        </w:rPr>
        <w:t>W razie jakichkolwiek dalszych wątpliwości związanych ze stosowaniem tego leku, należy zwrócić się do lekarza lub farmaceuty.</w:t>
      </w:r>
    </w:p>
    <w:p w14:paraId="3568ECC8" w14:textId="77777777" w:rsidR="0059538A" w:rsidRPr="008F328C" w:rsidRDefault="0059538A" w:rsidP="0059538A">
      <w:pPr>
        <w:spacing w:line="110" w:lineRule="exact"/>
        <w:rPr>
          <w:rFonts w:ascii="Times New Roman" w:hAnsi="Times New Roman" w:cs="Times New Roman"/>
          <w:sz w:val="11"/>
          <w:szCs w:val="11"/>
          <w:lang w:val="pl-PL"/>
        </w:rPr>
      </w:pPr>
    </w:p>
    <w:p w14:paraId="15507E9D" w14:textId="77777777" w:rsidR="0059538A" w:rsidRPr="008F328C" w:rsidRDefault="0059538A" w:rsidP="0059538A">
      <w:pPr>
        <w:spacing w:line="200" w:lineRule="exact"/>
        <w:rPr>
          <w:rFonts w:ascii="Times New Roman" w:hAnsi="Times New Roman" w:cs="Times New Roman"/>
          <w:sz w:val="20"/>
          <w:szCs w:val="20"/>
          <w:lang w:val="pl-PL"/>
        </w:rPr>
      </w:pPr>
    </w:p>
    <w:p w14:paraId="4C160B3A" w14:textId="77777777" w:rsidR="0059538A" w:rsidRPr="008F328C" w:rsidRDefault="0059538A" w:rsidP="0059538A">
      <w:pPr>
        <w:spacing w:line="200" w:lineRule="exact"/>
        <w:rPr>
          <w:rFonts w:ascii="Times New Roman" w:hAnsi="Times New Roman" w:cs="Times New Roman"/>
          <w:sz w:val="20"/>
          <w:szCs w:val="20"/>
          <w:lang w:val="pl-PL"/>
        </w:rPr>
      </w:pPr>
    </w:p>
    <w:p w14:paraId="04B980C6" w14:textId="77777777" w:rsidR="0059538A" w:rsidRPr="008F328C" w:rsidRDefault="0059538A" w:rsidP="008F328C">
      <w:pPr>
        <w:pStyle w:val="a4"/>
        <w:numPr>
          <w:ilvl w:val="0"/>
          <w:numId w:val="143"/>
        </w:numPr>
        <w:spacing w:before="18" w:line="240" w:lineRule="exact"/>
        <w:ind w:left="357" w:hanging="357"/>
        <w:rPr>
          <w:rFonts w:ascii="Times New Roman" w:hAnsi="Times New Roman" w:cs="Times New Roman"/>
          <w:b/>
          <w:lang w:val="pl-PL"/>
        </w:rPr>
      </w:pPr>
      <w:r w:rsidRPr="008F328C">
        <w:rPr>
          <w:rFonts w:ascii="Times New Roman" w:eastAsia="Times New Roman" w:hAnsi="Times New Roman" w:cs="Times New Roman"/>
          <w:b/>
          <w:bCs/>
          <w:lang w:val="pl-PL"/>
        </w:rPr>
        <w:t>Możliwe działania niepożądane</w:t>
      </w:r>
    </w:p>
    <w:p w14:paraId="5B8DD118" w14:textId="77777777" w:rsidR="0059538A" w:rsidRPr="008F328C" w:rsidRDefault="0059538A" w:rsidP="0059538A">
      <w:pPr>
        <w:spacing w:before="12" w:line="240" w:lineRule="exact"/>
        <w:rPr>
          <w:rFonts w:ascii="Times New Roman" w:hAnsi="Times New Roman" w:cs="Times New Roman"/>
          <w:sz w:val="24"/>
          <w:szCs w:val="24"/>
          <w:lang w:val="pl-PL"/>
        </w:rPr>
      </w:pPr>
    </w:p>
    <w:p w14:paraId="6A9B6327" w14:textId="77777777" w:rsidR="0059538A" w:rsidRPr="008F328C" w:rsidRDefault="0059538A" w:rsidP="0059538A">
      <w:pPr>
        <w:pStyle w:val="a3"/>
        <w:rPr>
          <w:lang w:val="pl-PL"/>
        </w:rPr>
      </w:pPr>
      <w:r w:rsidRPr="008F328C">
        <w:rPr>
          <w:rFonts w:eastAsia="Times New Roman"/>
          <w:lang w:val="pl-PL"/>
        </w:rPr>
        <w:t>Jak każdy lek, lek ten może powodować działania niepożądane, chociaż nie u każdego one wystąpią. Większość działań niepożądanych jest łagodna lub umiarkowana. Niektóre jednak mogą być poważne i mogą powodować konieczność leczenia. Działania niepożądane mogą występować co najmniej przez 4 miesiące po ostatnim wstrzyknięciu leku Yuflyma.</w:t>
      </w:r>
    </w:p>
    <w:p w14:paraId="6637BC69" w14:textId="77777777" w:rsidR="0059538A" w:rsidRPr="008F328C" w:rsidRDefault="0059538A" w:rsidP="0059538A">
      <w:pPr>
        <w:spacing w:before="15" w:line="240" w:lineRule="exact"/>
        <w:rPr>
          <w:rFonts w:ascii="Times New Roman" w:hAnsi="Times New Roman" w:cs="Times New Roman"/>
          <w:sz w:val="24"/>
          <w:szCs w:val="24"/>
          <w:lang w:val="pl-PL"/>
        </w:rPr>
      </w:pPr>
    </w:p>
    <w:p w14:paraId="034401E8" w14:textId="77777777" w:rsidR="0059538A" w:rsidRPr="008F328C" w:rsidRDefault="0059538A" w:rsidP="0059538A">
      <w:pPr>
        <w:pStyle w:val="a3"/>
        <w:rPr>
          <w:b/>
          <w:lang w:val="pl-PL"/>
        </w:rPr>
      </w:pPr>
      <w:r w:rsidRPr="008F328C">
        <w:rPr>
          <w:rFonts w:eastAsia="Times New Roman"/>
          <w:b/>
          <w:bCs/>
          <w:lang w:val="pl-PL"/>
        </w:rPr>
        <w:t>W razie pojawienia się któregokolwiek z poniższych objawów należy natychmiast powiadomić lekarza</w:t>
      </w:r>
    </w:p>
    <w:p w14:paraId="6309DB20" w14:textId="77777777" w:rsidR="0059538A" w:rsidRPr="008F328C" w:rsidRDefault="0059538A" w:rsidP="0059538A">
      <w:pPr>
        <w:spacing w:before="10" w:line="240" w:lineRule="exact"/>
        <w:rPr>
          <w:rFonts w:ascii="Times New Roman" w:hAnsi="Times New Roman" w:cs="Times New Roman"/>
          <w:sz w:val="24"/>
          <w:szCs w:val="24"/>
          <w:lang w:val="pl-PL"/>
        </w:rPr>
      </w:pPr>
    </w:p>
    <w:p w14:paraId="0C283D2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ciężka wysypka, pokrzywka lub inne objawy reakcji alergicznej</w:t>
      </w:r>
    </w:p>
    <w:p w14:paraId="7EBF12E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obrzęk twarzy, dłoni, stóp</w:t>
      </w:r>
    </w:p>
    <w:p w14:paraId="03450CE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trudności w oddychaniu, trudności w połykaniu</w:t>
      </w:r>
    </w:p>
    <w:p w14:paraId="0B0D8DE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duszność podczas aktywności fizycznej lub po położeniu się, lub obrzęk stóp</w:t>
      </w:r>
    </w:p>
    <w:p w14:paraId="2208C9E8" w14:textId="77777777" w:rsidR="0059538A" w:rsidRPr="008F328C" w:rsidRDefault="0059538A" w:rsidP="0059538A">
      <w:pPr>
        <w:spacing w:before="15" w:line="240" w:lineRule="exact"/>
        <w:rPr>
          <w:rFonts w:ascii="Times New Roman" w:hAnsi="Times New Roman" w:cs="Times New Roman"/>
          <w:sz w:val="24"/>
          <w:szCs w:val="24"/>
          <w:lang w:val="pl-PL"/>
        </w:rPr>
      </w:pPr>
    </w:p>
    <w:p w14:paraId="46369998" w14:textId="77777777" w:rsidR="0059538A" w:rsidRPr="008F328C" w:rsidRDefault="0059538A" w:rsidP="0059538A">
      <w:pPr>
        <w:pStyle w:val="a3"/>
        <w:rPr>
          <w:b/>
          <w:lang w:val="pl-PL"/>
        </w:rPr>
      </w:pPr>
      <w:r w:rsidRPr="008F328C">
        <w:rPr>
          <w:rFonts w:eastAsia="Times New Roman"/>
          <w:b/>
          <w:bCs/>
          <w:lang w:val="pl-PL"/>
        </w:rPr>
        <w:t>W razie stwierdzenia któregokolwiek z poniższych objawów należy tak szybko jak to możliwe powiadomić lekarza</w:t>
      </w:r>
    </w:p>
    <w:p w14:paraId="37AF4262" w14:textId="77777777" w:rsidR="0059538A" w:rsidRPr="008F328C" w:rsidRDefault="0059538A" w:rsidP="0059538A">
      <w:pPr>
        <w:spacing w:before="10" w:line="240" w:lineRule="exact"/>
        <w:rPr>
          <w:rFonts w:ascii="Times New Roman" w:hAnsi="Times New Roman" w:cs="Times New Roman"/>
          <w:sz w:val="24"/>
          <w:szCs w:val="24"/>
          <w:lang w:val="pl-PL"/>
        </w:rPr>
      </w:pPr>
    </w:p>
    <w:p w14:paraId="599289C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objawy zakażenia takie, jak gorączka, złe samopoczucie, zranienia, kłopoty z zębami, uczucie pieczenia podczas oddawania moczu</w:t>
      </w:r>
    </w:p>
    <w:p w14:paraId="65BDACB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uczucie osłabienia lub zmęczenia</w:t>
      </w:r>
    </w:p>
    <w:p w14:paraId="3898564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kaszel</w:t>
      </w:r>
    </w:p>
    <w:p w14:paraId="4733B60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wrażenie mrowienia</w:t>
      </w:r>
    </w:p>
    <w:p w14:paraId="25DB975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wrażenie drętwienia</w:t>
      </w:r>
    </w:p>
    <w:p w14:paraId="7448D7A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podwójne widzenie</w:t>
      </w:r>
    </w:p>
    <w:p w14:paraId="29867B6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osłabienie siły mięśni w kończynach górnych lub dolnych</w:t>
      </w:r>
    </w:p>
    <w:p w14:paraId="27393F4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guzek lub otwarte owrzodzenie, które się nie goi</w:t>
      </w:r>
    </w:p>
    <w:p w14:paraId="5A3DD30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objawy i oznaki wskazujące na zaburzenia krwi takie, jak utrzymująca się gorączka, siniaczenie, krwawienie, bladość</w:t>
      </w:r>
    </w:p>
    <w:p w14:paraId="10D6530C" w14:textId="77777777" w:rsidR="0059538A" w:rsidRPr="008F328C" w:rsidRDefault="0059538A" w:rsidP="0059538A">
      <w:pPr>
        <w:pStyle w:val="a3"/>
        <w:numPr>
          <w:ilvl w:val="0"/>
          <w:numId w:val="0"/>
        </w:numPr>
        <w:ind w:left="660"/>
        <w:rPr>
          <w:lang w:val="pl-PL"/>
        </w:rPr>
      </w:pPr>
    </w:p>
    <w:p w14:paraId="093CA51E" w14:textId="77777777" w:rsidR="0059538A" w:rsidRPr="008F328C" w:rsidRDefault="0059538A" w:rsidP="0059538A">
      <w:pPr>
        <w:pStyle w:val="a3"/>
        <w:rPr>
          <w:lang w:val="pl-PL"/>
        </w:rPr>
      </w:pPr>
      <w:r w:rsidRPr="008F328C">
        <w:rPr>
          <w:rFonts w:eastAsia="Times New Roman"/>
          <w:lang w:val="pl-PL"/>
        </w:rPr>
        <w:t>Opisane powyżej objawy mogą być oznakami wymienionych poniżej działań niepożądanych, które obserwowano podczas stosowania leku Yuflyma.</w:t>
      </w:r>
    </w:p>
    <w:p w14:paraId="76971463" w14:textId="77777777" w:rsidR="0059538A" w:rsidRPr="008F328C" w:rsidRDefault="0059538A" w:rsidP="0059538A">
      <w:pPr>
        <w:spacing w:before="10" w:line="240" w:lineRule="exact"/>
        <w:rPr>
          <w:rFonts w:ascii="Times New Roman" w:hAnsi="Times New Roman" w:cs="Times New Roman"/>
          <w:sz w:val="24"/>
          <w:szCs w:val="24"/>
          <w:lang w:val="pl-PL"/>
        </w:rPr>
      </w:pPr>
    </w:p>
    <w:p w14:paraId="1CF6056A" w14:textId="77777777" w:rsidR="0059538A" w:rsidRPr="008F328C" w:rsidRDefault="0059538A" w:rsidP="0059538A">
      <w:pPr>
        <w:pStyle w:val="a3"/>
        <w:rPr>
          <w:lang w:val="pl-PL"/>
        </w:rPr>
      </w:pPr>
      <w:r w:rsidRPr="008F328C">
        <w:rPr>
          <w:rFonts w:eastAsia="Times New Roman"/>
          <w:b/>
          <w:bCs/>
          <w:lang w:val="pl-PL"/>
        </w:rPr>
        <w:t xml:space="preserve">Bardzo często </w:t>
      </w:r>
      <w:r w:rsidRPr="008F328C">
        <w:rPr>
          <w:rFonts w:eastAsia="Times New Roman"/>
          <w:lang w:val="pl-PL"/>
        </w:rPr>
        <w:t>(może wystąpić u więcej niż 1 na 10 osób):</w:t>
      </w:r>
    </w:p>
    <w:p w14:paraId="253A7945" w14:textId="77777777" w:rsidR="0059538A" w:rsidRPr="008F328C" w:rsidRDefault="0059538A" w:rsidP="0059538A">
      <w:pPr>
        <w:spacing w:before="14" w:line="240" w:lineRule="exact"/>
        <w:rPr>
          <w:rFonts w:ascii="Times New Roman" w:hAnsi="Times New Roman" w:cs="Times New Roman"/>
          <w:sz w:val="24"/>
          <w:szCs w:val="24"/>
          <w:lang w:val="pl-PL"/>
        </w:rPr>
      </w:pPr>
    </w:p>
    <w:p w14:paraId="4F4B03A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lastRenderedPageBreak/>
        <w:t>odczyny w miejscu wstrzyknięcia (w tym ból, obrzęk, zaczerwienienie lub świąd)</w:t>
      </w:r>
    </w:p>
    <w:p w14:paraId="0BD8620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dróg oddechowych (w tym przeziębienie, katar, zapalenie zatok, zapalenie płuc)</w:t>
      </w:r>
    </w:p>
    <w:p w14:paraId="0736900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bóle głowy</w:t>
      </w:r>
    </w:p>
    <w:p w14:paraId="533F0C7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bóle brzucha</w:t>
      </w:r>
    </w:p>
    <w:p w14:paraId="34CE217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nudności i wymioty</w:t>
      </w:r>
    </w:p>
    <w:p w14:paraId="62E6FC8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wysypka</w:t>
      </w:r>
    </w:p>
    <w:p w14:paraId="5273355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ból mięśniowo-szkieletowy</w:t>
      </w:r>
    </w:p>
    <w:p w14:paraId="28D12F95" w14:textId="77777777" w:rsidR="0059538A" w:rsidRPr="008F328C" w:rsidRDefault="0059538A" w:rsidP="0059538A">
      <w:pPr>
        <w:spacing w:before="9" w:line="220" w:lineRule="exact"/>
        <w:rPr>
          <w:rFonts w:ascii="Times New Roman" w:hAnsi="Times New Roman" w:cs="Times New Roman"/>
          <w:lang w:val="pl-PL"/>
        </w:rPr>
      </w:pPr>
    </w:p>
    <w:p w14:paraId="7C1B21B8" w14:textId="77777777" w:rsidR="0059538A" w:rsidRPr="008F328C" w:rsidRDefault="0059538A" w:rsidP="0059538A">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osoby na 10:</w:t>
      </w:r>
    </w:p>
    <w:p w14:paraId="37E991B2" w14:textId="77777777" w:rsidR="0059538A" w:rsidRPr="008F328C" w:rsidRDefault="0059538A" w:rsidP="0059538A">
      <w:pPr>
        <w:spacing w:before="14" w:line="240" w:lineRule="exact"/>
        <w:rPr>
          <w:rFonts w:ascii="Times New Roman" w:hAnsi="Times New Roman" w:cs="Times New Roman"/>
          <w:sz w:val="24"/>
          <w:szCs w:val="24"/>
          <w:lang w:val="pl-PL"/>
        </w:rPr>
      </w:pPr>
    </w:p>
    <w:p w14:paraId="16872B44"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poważne zakażenia (w tym posocznica [zakażenie krwi] i grypa)</w:t>
      </w:r>
    </w:p>
    <w:p w14:paraId="5A937BC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jelitowe (w tym zakażenie żołądka i jelit)</w:t>
      </w:r>
    </w:p>
    <w:p w14:paraId="66FFBA2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skóry (w tym zapalenie tkanki łącznej i półpasiec)</w:t>
      </w:r>
    </w:p>
    <w:p w14:paraId="7B968ED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ucha</w:t>
      </w:r>
    </w:p>
    <w:p w14:paraId="59F1B76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w obrębie jamy ustnej (w tym zakażenia zębów i opryszczka wargowa)</w:t>
      </w:r>
    </w:p>
    <w:p w14:paraId="29169FC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dróg rodnych</w:t>
      </w:r>
    </w:p>
    <w:p w14:paraId="63FD2EB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zakażenie dróg moczowych</w:t>
      </w:r>
    </w:p>
    <w:p w14:paraId="02F6525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grzybicze</w:t>
      </w:r>
    </w:p>
    <w:p w14:paraId="3EC192F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stawów</w:t>
      </w:r>
    </w:p>
    <w:p w14:paraId="23310DB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nowotwory łagodne</w:t>
      </w:r>
    </w:p>
    <w:p w14:paraId="2BE8F8F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rak skóry</w:t>
      </w:r>
    </w:p>
    <w:p w14:paraId="23A48F8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reakcje alergiczne (w tym alergia sezonowa)</w:t>
      </w:r>
    </w:p>
    <w:p w14:paraId="7B23C9F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odwodnienie</w:t>
      </w:r>
    </w:p>
    <w:p w14:paraId="27072BD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wahania nastroju (w tym depresja)</w:t>
      </w:r>
    </w:p>
    <w:p w14:paraId="5928E82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niepokój</w:t>
      </w:r>
    </w:p>
    <w:p w14:paraId="115E602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trudności z zasypianiem</w:t>
      </w:r>
    </w:p>
    <w:p w14:paraId="6C9C99E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czucia, takie jak mrowienie, szczypanie lub drętwienie</w:t>
      </w:r>
    </w:p>
    <w:p w14:paraId="4EC920E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migrena</w:t>
      </w:r>
    </w:p>
    <w:p w14:paraId="15007D5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ucisk korzenia nerwowego (w tym bóle krzyża i ból nóg)</w:t>
      </w:r>
    </w:p>
    <w:p w14:paraId="4ED60FC8"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widzenia</w:t>
      </w:r>
    </w:p>
    <w:p w14:paraId="052851F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stan zapalny oka</w:t>
      </w:r>
    </w:p>
    <w:p w14:paraId="76DC155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powiek i obrzęk oka</w:t>
      </w:r>
    </w:p>
    <w:p w14:paraId="742B8A7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zawroty głowy (wrażenie wirowania z zaburzeniami równowagi)</w:t>
      </w:r>
    </w:p>
    <w:p w14:paraId="456AD0D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wrażenie szybkiego bicia serca</w:t>
      </w:r>
    </w:p>
    <w:p w14:paraId="2DD9AB95"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wysokie ciśnienie tętnicze</w:t>
      </w:r>
    </w:p>
    <w:p w14:paraId="12983BD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zaczerwienienie skóry z uczuciem gorąca</w:t>
      </w:r>
    </w:p>
    <w:p w14:paraId="753B556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krwiak (gromadzenie się krwi poza naczyniami krwionośnymi)</w:t>
      </w:r>
    </w:p>
    <w:p w14:paraId="00475AA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kaszel</w:t>
      </w:r>
    </w:p>
    <w:p w14:paraId="4C6CBE0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astma</w:t>
      </w:r>
    </w:p>
    <w:p w14:paraId="02C245A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duszność</w:t>
      </w:r>
    </w:p>
    <w:p w14:paraId="71F78B68"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krwawienie z przewodu pokarmowego</w:t>
      </w:r>
    </w:p>
    <w:p w14:paraId="40AC1044"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objawy dyspeptyczne (niestrawność, wzdęcie, zgaga)</w:t>
      </w:r>
    </w:p>
    <w:p w14:paraId="23F8D87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choroba refluksowa przełyku</w:t>
      </w:r>
    </w:p>
    <w:p w14:paraId="1C945BC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zespół suchości (w tym suchość oczu i jamy ustnej)</w:t>
      </w:r>
    </w:p>
    <w:p w14:paraId="02922E1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świąd</w:t>
      </w:r>
    </w:p>
    <w:p w14:paraId="3CFE52A3" w14:textId="77777777" w:rsidR="0059538A" w:rsidRPr="008F328C" w:rsidRDefault="0059538A" w:rsidP="0059538A">
      <w:pPr>
        <w:pStyle w:val="a3"/>
        <w:numPr>
          <w:ilvl w:val="0"/>
          <w:numId w:val="16"/>
        </w:numPr>
        <w:ind w:left="660" w:hanging="660"/>
        <w:rPr>
          <w:rFonts w:eastAsia="Times New Roman"/>
          <w:spacing w:val="-1"/>
          <w:lang w:val="pl-PL"/>
        </w:rPr>
      </w:pPr>
      <w:r w:rsidRPr="008F328C">
        <w:rPr>
          <w:rFonts w:eastAsia="Times New Roman"/>
          <w:lang w:val="pl-PL"/>
        </w:rPr>
        <w:t>swędząca wysypka</w:t>
      </w:r>
    </w:p>
    <w:p w14:paraId="03B518D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siniaczenie</w:t>
      </w:r>
    </w:p>
    <w:p w14:paraId="5587214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skóry (takie jak wyprysk)</w:t>
      </w:r>
    </w:p>
    <w:p w14:paraId="3C15C3C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łamliwość paznokci</w:t>
      </w:r>
    </w:p>
    <w:p w14:paraId="2A05126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zwiększona potliwość</w:t>
      </w:r>
    </w:p>
    <w:p w14:paraId="1F9F89C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lastRenderedPageBreak/>
        <w:t>wypadanie włosów</w:t>
      </w:r>
    </w:p>
    <w:p w14:paraId="46747B84"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wystąpienie lub pogorszenie się łuszczycy</w:t>
      </w:r>
    </w:p>
    <w:p w14:paraId="7DB35EF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skurcze mięśni</w:t>
      </w:r>
    </w:p>
    <w:p w14:paraId="654E94F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krew w moczu</w:t>
      </w:r>
    </w:p>
    <w:p w14:paraId="12B608A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dolegliwości ze strony nerek</w:t>
      </w:r>
    </w:p>
    <w:p w14:paraId="6C777DC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bóle w klatce piersiowej</w:t>
      </w:r>
    </w:p>
    <w:p w14:paraId="3F205C0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obrzęki</w:t>
      </w:r>
    </w:p>
    <w:p w14:paraId="57788A88"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gorączka</w:t>
      </w:r>
    </w:p>
    <w:p w14:paraId="4667708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zmniejszenie liczby płytek krwi, co zwiększa ryzyko krwawienia lub siniaczenia</w:t>
      </w:r>
    </w:p>
    <w:p w14:paraId="0953CA5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zaburzenie gojenia ran</w:t>
      </w:r>
    </w:p>
    <w:p w14:paraId="6E85943D" w14:textId="77777777" w:rsidR="0059538A" w:rsidRPr="008F328C" w:rsidRDefault="0059538A" w:rsidP="0059538A">
      <w:pPr>
        <w:spacing w:before="10" w:line="240" w:lineRule="exact"/>
        <w:rPr>
          <w:rFonts w:ascii="Times New Roman" w:hAnsi="Times New Roman" w:cs="Times New Roman"/>
          <w:sz w:val="24"/>
          <w:szCs w:val="24"/>
          <w:lang w:val="pl-PL"/>
        </w:rPr>
      </w:pPr>
    </w:p>
    <w:p w14:paraId="1594C9F2" w14:textId="77777777" w:rsidR="0059538A" w:rsidRPr="008F328C" w:rsidRDefault="0059538A" w:rsidP="0059538A">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0813FE0B" w14:textId="77777777" w:rsidR="0059538A" w:rsidRPr="008F328C" w:rsidRDefault="0059538A" w:rsidP="0059538A">
      <w:pPr>
        <w:spacing w:before="14" w:line="260" w:lineRule="exact"/>
        <w:rPr>
          <w:rFonts w:ascii="Times New Roman" w:hAnsi="Times New Roman" w:cs="Times New Roman"/>
          <w:sz w:val="26"/>
          <w:szCs w:val="26"/>
          <w:lang w:val="pl-PL"/>
        </w:rPr>
      </w:pPr>
    </w:p>
    <w:p w14:paraId="0205972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oportunistyczne (w tym gruźlica i inne zakażenia, które występują, gdy zmniejsza się odporność na zachorowanie)</w:t>
      </w:r>
    </w:p>
    <w:p w14:paraId="2B84A4F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układu nerwowego (w tym wirusowe zapalenie opon mózgowych)</w:t>
      </w:r>
    </w:p>
    <w:p w14:paraId="1ABA2E05"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oka</w:t>
      </w:r>
    </w:p>
    <w:p w14:paraId="73843175"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zakażenia bakteryjne</w:t>
      </w:r>
    </w:p>
    <w:p w14:paraId="316A45D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uchyłka (zapalenie i zakażenie jelita grubego)</w:t>
      </w:r>
    </w:p>
    <w:p w14:paraId="55056DE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rak</w:t>
      </w:r>
    </w:p>
    <w:p w14:paraId="4C56A80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nowotwór złośliwy układu limfatycznego</w:t>
      </w:r>
    </w:p>
    <w:p w14:paraId="33794F0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czerniak</w:t>
      </w:r>
    </w:p>
    <w:p w14:paraId="4FDA107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układu immunologicznego, które mogą powodować zmiany w płucach, skórze i węzłach chłonnych (najczęściej objawiające się jako sarkoidoza)</w:t>
      </w:r>
    </w:p>
    <w:p w14:paraId="7BB5A8C5"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naczyń krwionośnych</w:t>
      </w:r>
    </w:p>
    <w:p w14:paraId="0318991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drżenie</w:t>
      </w:r>
    </w:p>
    <w:p w14:paraId="61B59CD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neuropatia (choroba nerwów obwodowych)</w:t>
      </w:r>
    </w:p>
    <w:p w14:paraId="0F4F82C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udar</w:t>
      </w:r>
    </w:p>
    <w:p w14:paraId="785921D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utrata słuchu, szumy w uszach</w:t>
      </w:r>
    </w:p>
    <w:p w14:paraId="0E7470F4"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wrażenie nieregularnego bicia serca, takie jak wrażenie wypadania kolejnych uderzeń serca</w:t>
      </w:r>
    </w:p>
    <w:p w14:paraId="241E028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serca, które mogą powodować duszność lub obrzęki kostek</w:t>
      </w:r>
    </w:p>
    <w:p w14:paraId="2E52DBB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zawał serca</w:t>
      </w:r>
    </w:p>
    <w:p w14:paraId="3BC4C97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zawał serca·„kieszonka” w ścianie głównej tętnicy (tętniak aorty)</w:t>
      </w:r>
    </w:p>
    <w:p w14:paraId="0770971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i zakrzep krwi w żyle, niedrożność naczynia krwionośnego choroby płuc powodujące duszność (w tym zapalenie płuc)</w:t>
      </w:r>
    </w:p>
    <w:p w14:paraId="0562340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zator płucny (zablokowanie tętnicy płuca)</w:t>
      </w:r>
    </w:p>
    <w:p w14:paraId="23732AD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wysięk opłucnowy (nieprawidłowe gromadzenie się płynu w jamie opłucnej)</w:t>
      </w:r>
    </w:p>
    <w:p w14:paraId="143E5CD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trzustki, które powoduje ostry ból brzucha i pleców</w:t>
      </w:r>
    </w:p>
    <w:p w14:paraId="377C271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trudności w połykaniu</w:t>
      </w:r>
    </w:p>
    <w:p w14:paraId="30F4F47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obrzęk twarzy</w:t>
      </w:r>
    </w:p>
    <w:p w14:paraId="4053B29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pęcherzyka żółciowego, kamienie w pęcherzyku żółciowym</w:t>
      </w:r>
    </w:p>
    <w:p w14:paraId="65F7A65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stłuszczenie wątroby</w:t>
      </w:r>
    </w:p>
    <w:p w14:paraId="68B4729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nocne poty</w:t>
      </w:r>
    </w:p>
    <w:p w14:paraId="6D9D5D7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blizna</w:t>
      </w:r>
    </w:p>
    <w:p w14:paraId="491801D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nieprawidłowy rozpad mięśni</w:t>
      </w:r>
    </w:p>
    <w:p w14:paraId="390C4E88" w14:textId="77777777" w:rsidR="0059538A" w:rsidRPr="008F328C" w:rsidRDefault="0059538A" w:rsidP="0059538A">
      <w:pPr>
        <w:pStyle w:val="a3"/>
        <w:numPr>
          <w:ilvl w:val="0"/>
          <w:numId w:val="16"/>
        </w:numPr>
        <w:ind w:left="660" w:hanging="660"/>
        <w:rPr>
          <w:rFonts w:eastAsia="Times New Roman"/>
          <w:spacing w:val="-1"/>
          <w:lang w:val="pl-PL"/>
        </w:rPr>
      </w:pPr>
      <w:r w:rsidRPr="008F328C">
        <w:rPr>
          <w:rFonts w:eastAsia="Times New Roman"/>
          <w:lang w:val="pl-PL"/>
        </w:rPr>
        <w:t>toczeń rumieniowaty układowy (w tym zapalenie skóry, serca, płuc, stawów i innych układów narządów)</w:t>
      </w:r>
    </w:p>
    <w:p w14:paraId="282D89A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snu (częste budzenie się)</w:t>
      </w:r>
    </w:p>
    <w:p w14:paraId="76079C9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impotencja</w:t>
      </w:r>
    </w:p>
    <w:p w14:paraId="1D10536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stany zapalne</w:t>
      </w:r>
    </w:p>
    <w:p w14:paraId="165BA55B" w14:textId="77777777" w:rsidR="0059538A" w:rsidRPr="008F328C" w:rsidRDefault="0059538A" w:rsidP="0059538A">
      <w:pPr>
        <w:spacing w:before="13" w:line="240" w:lineRule="exact"/>
        <w:rPr>
          <w:rFonts w:ascii="Times New Roman" w:hAnsi="Times New Roman" w:cs="Times New Roman"/>
          <w:sz w:val="24"/>
          <w:szCs w:val="24"/>
          <w:lang w:val="pl-PL"/>
        </w:rPr>
      </w:pPr>
    </w:p>
    <w:p w14:paraId="54E343DD" w14:textId="77777777" w:rsidR="0059538A" w:rsidRPr="008F328C" w:rsidRDefault="0059538A" w:rsidP="0059538A">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2DAF4AC8" w14:textId="77777777" w:rsidR="0059538A" w:rsidRPr="008F328C" w:rsidRDefault="0059538A" w:rsidP="0059538A">
      <w:pPr>
        <w:spacing w:before="12" w:line="240" w:lineRule="exact"/>
        <w:rPr>
          <w:rFonts w:ascii="Times New Roman" w:hAnsi="Times New Roman" w:cs="Times New Roman"/>
          <w:sz w:val="24"/>
          <w:szCs w:val="24"/>
          <w:lang w:val="pl-PL"/>
        </w:rPr>
      </w:pPr>
    </w:p>
    <w:p w14:paraId="38D497C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białaczka (nowotwór złośliwy krwi i szpiku kostnego)</w:t>
      </w:r>
    </w:p>
    <w:p w14:paraId="4ED04F5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ciężka reakcja alergiczna ze wstrząsem</w:t>
      </w:r>
    </w:p>
    <w:p w14:paraId="28809B7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stwardnienie rozsiane</w:t>
      </w:r>
    </w:p>
    <w:p w14:paraId="68D8FC6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zaburzenia dotyczące nerwów (takie jak zapalenie nerwu wzrokowego i zespół Guillaina-Barrégo, który może spowodować osłabienie mięśni, nieprawidłowe czucie, mrowienie w kończynach górnych i górnej części tułowia)</w:t>
      </w:r>
    </w:p>
    <w:p w14:paraId="67588D0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zatrzymanie akcji serca</w:t>
      </w:r>
    </w:p>
    <w:p w14:paraId="4B283969"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zwłóknienie płuc (bliznowacenie płuc)</w:t>
      </w:r>
    </w:p>
    <w:p w14:paraId="612F5D7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perforacja jelita (przedziurawienie jelita)</w:t>
      </w:r>
    </w:p>
    <w:p w14:paraId="7122774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wątroby</w:t>
      </w:r>
    </w:p>
    <w:p w14:paraId="5246A3B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reaktywacja żółtaczki typu B</w:t>
      </w:r>
    </w:p>
    <w:p w14:paraId="7B03F49A"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autoimmunologiczne zapalenie wątroby (zapalenie wątroby spowodowane reakcją układu odpornościowego pacjenta)</w:t>
      </w:r>
    </w:p>
    <w:p w14:paraId="61CBB69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zapalenie naczyń skóry</w:t>
      </w:r>
    </w:p>
    <w:p w14:paraId="5F27FE5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zespół Stevensa-Johnsona (do wczesnych objawów zalicza się złe samopoczucie, gorączkę, bóle głowy i wysypkę)</w:t>
      </w:r>
    </w:p>
    <w:p w14:paraId="1C5540C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obrzęk twarzy związany z reakcjami alergicznymi</w:t>
      </w:r>
    </w:p>
    <w:p w14:paraId="0DA1C3D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rumień wielopostaciowy (zapalenie skóry z wysypką)</w:t>
      </w:r>
    </w:p>
    <w:p w14:paraId="11E3E56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zespół toczniopodobny</w:t>
      </w:r>
    </w:p>
    <w:p w14:paraId="6EE389E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obrzęk naczynioruchowy (miejscowy obrzęk skóry)</w:t>
      </w:r>
    </w:p>
    <w:p w14:paraId="2A2DA68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liszajowate zmiany skórne (swędząca czerwono-purpurowa wysypka skórna)</w:t>
      </w:r>
    </w:p>
    <w:p w14:paraId="345A5399" w14:textId="77777777" w:rsidR="0059538A" w:rsidRPr="008F328C" w:rsidRDefault="0059538A" w:rsidP="0059538A">
      <w:pPr>
        <w:spacing w:before="10" w:line="240" w:lineRule="exact"/>
        <w:rPr>
          <w:rFonts w:ascii="Times New Roman" w:hAnsi="Times New Roman" w:cs="Times New Roman"/>
          <w:sz w:val="24"/>
          <w:szCs w:val="24"/>
          <w:lang w:val="pl-PL"/>
        </w:rPr>
      </w:pPr>
    </w:p>
    <w:p w14:paraId="0845E429" w14:textId="77777777" w:rsidR="0059538A" w:rsidRPr="008F328C" w:rsidRDefault="0059538A" w:rsidP="0059538A">
      <w:pPr>
        <w:pStyle w:val="a3"/>
        <w:rPr>
          <w:lang w:val="pl-PL"/>
        </w:rPr>
      </w:pPr>
      <w:r w:rsidRPr="008F328C">
        <w:rPr>
          <w:rFonts w:eastAsia="Times New Roman"/>
          <w:b/>
          <w:lang w:val="pl-PL"/>
        </w:rPr>
        <w:t>Częstość</w:t>
      </w:r>
      <w:r w:rsidRPr="008F328C">
        <w:rPr>
          <w:rFonts w:eastAsia="Times New Roman"/>
          <w:lang w:val="pl-PL"/>
        </w:rPr>
        <w:t xml:space="preserve"> </w:t>
      </w:r>
      <w:r w:rsidRPr="008F328C">
        <w:rPr>
          <w:rFonts w:eastAsia="Times New Roman"/>
          <w:b/>
          <w:bCs/>
          <w:lang w:val="pl-PL"/>
        </w:rPr>
        <w:t xml:space="preserve">nieznana </w:t>
      </w:r>
      <w:r w:rsidRPr="008F328C">
        <w:rPr>
          <w:rFonts w:eastAsia="Times New Roman"/>
          <w:lang w:val="pl-PL"/>
        </w:rPr>
        <w:t>(nie może być określona na podstawie dostępnych danych)</w:t>
      </w:r>
    </w:p>
    <w:p w14:paraId="7C4EA89F" w14:textId="77777777" w:rsidR="0059538A" w:rsidRPr="008F328C" w:rsidRDefault="0059538A" w:rsidP="0059538A">
      <w:pPr>
        <w:spacing w:before="14" w:line="240" w:lineRule="exact"/>
        <w:rPr>
          <w:rFonts w:ascii="Times New Roman" w:hAnsi="Times New Roman" w:cs="Times New Roman"/>
          <w:sz w:val="24"/>
          <w:szCs w:val="24"/>
          <w:lang w:val="pl-PL"/>
        </w:rPr>
      </w:pPr>
    </w:p>
    <w:p w14:paraId="70A7D0A6"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chłoniak T-komórkowy wątrobowo-śledzionowy (rzadki nowotwór krwi, który często powoduje zgon)</w:t>
      </w:r>
    </w:p>
    <w:p w14:paraId="70FC57E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rak z komórek Merkla (typ raka skóry)</w:t>
      </w:r>
    </w:p>
    <w:p w14:paraId="1BC62765"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mięsak Kaposiego, rzadki nowotwór związany z zakażeniem ludzkim wirusem opryszczki 8. mięsak Kaposiego najczęściej pojawia się jako fioletowe zmiany skórne na skórze.</w:t>
      </w:r>
    </w:p>
    <w:p w14:paraId="1BE210C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niewydolność wątroby</w:t>
      </w:r>
    </w:p>
    <w:p w14:paraId="4AA98565" w14:textId="77777777" w:rsidR="0059538A" w:rsidRPr="008F328C" w:rsidRDefault="0059538A" w:rsidP="0059538A">
      <w:pPr>
        <w:pStyle w:val="a3"/>
        <w:numPr>
          <w:ilvl w:val="0"/>
          <w:numId w:val="16"/>
        </w:numPr>
        <w:ind w:left="660" w:hanging="660"/>
        <w:rPr>
          <w:rFonts w:eastAsia="Times New Roman"/>
          <w:lang w:val="pl-PL"/>
        </w:rPr>
      </w:pPr>
      <w:r w:rsidRPr="008F328C">
        <w:rPr>
          <w:rFonts w:eastAsia="Times New Roman"/>
          <w:lang w:val="pl-PL"/>
        </w:rPr>
        <w:t>nasilenie objawów zapalenia skórno-mięśniowego (objawiające się wysypką skórną, której towarzyszy osłabienie mięśni)</w:t>
      </w:r>
    </w:p>
    <w:p w14:paraId="646F3FE4" w14:textId="77777777" w:rsidR="0059538A" w:rsidRPr="008F328C" w:rsidRDefault="0059538A" w:rsidP="0059538A">
      <w:pPr>
        <w:pStyle w:val="a3"/>
        <w:numPr>
          <w:ilvl w:val="0"/>
          <w:numId w:val="16"/>
        </w:numPr>
        <w:ind w:left="660" w:hanging="660"/>
        <w:rPr>
          <w:rFonts w:eastAsia="Times New Roman"/>
          <w:lang w:val="pl-PL"/>
        </w:rPr>
      </w:pPr>
      <w:r w:rsidRPr="008F328C">
        <w:rPr>
          <w:rFonts w:eastAsia="Times New Roman"/>
          <w:lang w:val="pl-PL"/>
        </w:rPr>
        <w:t>zwiększenie masy ciała (niewielkie u większości pacjentów)</w:t>
      </w:r>
    </w:p>
    <w:p w14:paraId="1AF3039E" w14:textId="77777777" w:rsidR="0059538A" w:rsidRPr="008F328C" w:rsidRDefault="0059538A" w:rsidP="0059538A">
      <w:pPr>
        <w:pStyle w:val="a3"/>
        <w:numPr>
          <w:ilvl w:val="0"/>
          <w:numId w:val="0"/>
        </w:numPr>
        <w:rPr>
          <w:lang w:val="pl-PL"/>
        </w:rPr>
      </w:pPr>
    </w:p>
    <w:p w14:paraId="77DE8C8D" w14:textId="77777777" w:rsidR="0059538A" w:rsidRPr="008F328C" w:rsidRDefault="0059538A" w:rsidP="0059538A">
      <w:pPr>
        <w:pStyle w:val="a3"/>
        <w:rPr>
          <w:lang w:val="pl-PL"/>
        </w:rPr>
      </w:pPr>
      <w:r w:rsidRPr="008F328C">
        <w:rPr>
          <w:rFonts w:eastAsia="Times New Roman"/>
          <w:lang w:val="pl-PL"/>
        </w:rPr>
        <w:t>Niektóre działania niepożądane obserwowane podczas stosowania leku Yuflyma nie dają objawów odczuwanych przez pacjenta i można je wykryć wyłącznie przeprowadzając badania krwi. Zalicza się do nich:</w:t>
      </w:r>
    </w:p>
    <w:p w14:paraId="2FC2FA5B" w14:textId="77777777" w:rsidR="0059538A" w:rsidRPr="008F328C" w:rsidRDefault="0059538A" w:rsidP="0059538A">
      <w:pPr>
        <w:pStyle w:val="a3"/>
        <w:rPr>
          <w:lang w:val="pl-PL"/>
        </w:rPr>
      </w:pPr>
    </w:p>
    <w:p w14:paraId="660B35B8" w14:textId="77777777" w:rsidR="0059538A" w:rsidRPr="008F328C" w:rsidRDefault="0059538A" w:rsidP="0059538A">
      <w:pPr>
        <w:pStyle w:val="a3"/>
        <w:rPr>
          <w:rFonts w:eastAsia="Times New Roman"/>
          <w:lang w:val="pl-PL"/>
        </w:rPr>
      </w:pPr>
      <w:r w:rsidRPr="008F328C">
        <w:rPr>
          <w:rFonts w:eastAsia="Times New Roman"/>
          <w:b/>
          <w:bCs/>
          <w:spacing w:val="-1"/>
          <w:lang w:val="pl-PL"/>
        </w:rPr>
        <w:t xml:space="preserve">Bardzo często </w:t>
      </w:r>
      <w:r w:rsidRPr="008F328C">
        <w:rPr>
          <w:rFonts w:eastAsia="Times New Roman"/>
          <w:spacing w:val="-1"/>
          <w:lang w:val="pl-PL"/>
        </w:rPr>
        <w:t>(może wystąpić u więcej niż 1 na 10 osób):</w:t>
      </w:r>
    </w:p>
    <w:p w14:paraId="5718CAAE" w14:textId="77777777" w:rsidR="0059538A" w:rsidRPr="008F328C" w:rsidRDefault="0059538A" w:rsidP="0059538A">
      <w:pPr>
        <w:pStyle w:val="a3"/>
        <w:rPr>
          <w:lang w:val="pl-PL"/>
        </w:rPr>
      </w:pPr>
    </w:p>
    <w:p w14:paraId="6D24523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zmniejszona liczba krwinek białych we krwi</w:t>
      </w:r>
    </w:p>
    <w:p w14:paraId="257231F7"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zmniejszona liczba krwinek czerwonych we krwi</w:t>
      </w:r>
    </w:p>
    <w:p w14:paraId="28F3967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zwiększenie stężenia lipidów we krwi</w:t>
      </w:r>
    </w:p>
    <w:p w14:paraId="23E1175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zwiększenie aktywności enzymów wątrobowych</w:t>
      </w:r>
    </w:p>
    <w:p w14:paraId="0D4A68D0" w14:textId="77777777" w:rsidR="0059538A" w:rsidRPr="008F328C" w:rsidRDefault="0059538A" w:rsidP="0059538A">
      <w:pPr>
        <w:spacing w:before="10" w:line="240" w:lineRule="exact"/>
        <w:rPr>
          <w:rFonts w:ascii="Times New Roman" w:hAnsi="Times New Roman" w:cs="Times New Roman"/>
          <w:sz w:val="24"/>
          <w:szCs w:val="24"/>
          <w:lang w:val="pl-PL"/>
        </w:rPr>
      </w:pPr>
    </w:p>
    <w:p w14:paraId="7AA3AA1B" w14:textId="77777777" w:rsidR="0059538A" w:rsidRPr="008F328C" w:rsidRDefault="0059538A" w:rsidP="0059538A">
      <w:pPr>
        <w:pStyle w:val="a3"/>
        <w:rPr>
          <w:lang w:val="pl-PL"/>
        </w:rPr>
      </w:pPr>
      <w:r w:rsidRPr="008F328C">
        <w:rPr>
          <w:rFonts w:eastAsia="Times New Roman"/>
          <w:b/>
          <w:bCs/>
          <w:lang w:val="pl-PL"/>
        </w:rPr>
        <w:t xml:space="preserve">Często: </w:t>
      </w:r>
      <w:r w:rsidRPr="008F328C">
        <w:rPr>
          <w:rFonts w:eastAsia="Times New Roman"/>
          <w:lang w:val="pl-PL"/>
        </w:rPr>
        <w:t>mogą wystąpić u mniej niż 1 z 10 osób:</w:t>
      </w:r>
    </w:p>
    <w:p w14:paraId="73C1D700" w14:textId="77777777" w:rsidR="0059538A" w:rsidRPr="008F328C" w:rsidRDefault="0059538A" w:rsidP="0059538A">
      <w:pPr>
        <w:spacing w:before="14" w:line="240" w:lineRule="exact"/>
        <w:rPr>
          <w:rFonts w:ascii="Times New Roman" w:hAnsi="Times New Roman" w:cs="Times New Roman"/>
          <w:sz w:val="24"/>
          <w:szCs w:val="24"/>
          <w:lang w:val="pl-PL"/>
        </w:rPr>
      </w:pPr>
    </w:p>
    <w:p w14:paraId="6E620B5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zwiększona liczba krwinek białych we krwi</w:t>
      </w:r>
    </w:p>
    <w:p w14:paraId="4259070E"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lastRenderedPageBreak/>
        <w:t>zmniejszona liczba płytek krwi</w:t>
      </w:r>
    </w:p>
    <w:p w14:paraId="6C707BD3"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zwiększone stężenie kwasu moczowego we krwi</w:t>
      </w:r>
    </w:p>
    <w:p w14:paraId="324B4264"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nieprawidłowe stężenie sodu we krwi</w:t>
      </w:r>
    </w:p>
    <w:p w14:paraId="0C3ED02C"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niskie stężenie wapnia we krwi</w:t>
      </w:r>
    </w:p>
    <w:p w14:paraId="60C4D34B"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niskie stężenie fosforanów we krwi</w:t>
      </w:r>
    </w:p>
    <w:p w14:paraId="79EABDA2"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wysokie stężenie cukru we krwi</w:t>
      </w:r>
    </w:p>
    <w:p w14:paraId="3D79E47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zwiększona aktywność dehydrogenazy mleczanowej we krwi</w:t>
      </w:r>
    </w:p>
    <w:p w14:paraId="083D8ECF"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obecność autoprzeciwciał we krwi</w:t>
      </w:r>
    </w:p>
    <w:p w14:paraId="3C9C40D0"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niskie stężenie potasu we krwi</w:t>
      </w:r>
    </w:p>
    <w:p w14:paraId="516F4C72" w14:textId="77777777" w:rsidR="0059538A" w:rsidRPr="008F328C" w:rsidRDefault="0059538A" w:rsidP="0059538A">
      <w:pPr>
        <w:spacing w:before="13" w:line="240" w:lineRule="exact"/>
        <w:rPr>
          <w:rFonts w:ascii="Times New Roman" w:hAnsi="Times New Roman" w:cs="Times New Roman"/>
          <w:sz w:val="24"/>
          <w:szCs w:val="24"/>
          <w:lang w:val="pl-PL"/>
        </w:rPr>
      </w:pPr>
    </w:p>
    <w:p w14:paraId="35D485EF" w14:textId="77777777" w:rsidR="0059538A" w:rsidRPr="008F328C" w:rsidRDefault="0059538A" w:rsidP="0059538A">
      <w:pPr>
        <w:rPr>
          <w:rFonts w:ascii="Times New Roman" w:eastAsia="Times New Roman" w:hAnsi="Times New Roman" w:cs="Times New Roman"/>
          <w:lang w:val="pl-PL"/>
        </w:rPr>
      </w:pPr>
      <w:r w:rsidRPr="008F328C">
        <w:rPr>
          <w:rFonts w:ascii="Times New Roman" w:eastAsia="Times New Roman" w:hAnsi="Times New Roman" w:cs="Times New Roman"/>
          <w:b/>
          <w:bCs/>
          <w:spacing w:val="-1"/>
          <w:lang w:val="pl-PL"/>
        </w:rPr>
        <w:t xml:space="preserve">Niezbyt często </w:t>
      </w:r>
      <w:r w:rsidRPr="008F328C">
        <w:rPr>
          <w:rFonts w:ascii="Times New Roman" w:eastAsia="Times New Roman" w:hAnsi="Times New Roman" w:cs="Times New Roman"/>
          <w:spacing w:val="-1"/>
          <w:lang w:val="pl-PL"/>
        </w:rPr>
        <w:t>(może wystąpić u mniej niż 1 ze 100 osób)</w:t>
      </w:r>
    </w:p>
    <w:p w14:paraId="3522F778" w14:textId="77777777" w:rsidR="0059538A" w:rsidRPr="008F328C" w:rsidRDefault="0059538A" w:rsidP="0059538A">
      <w:pPr>
        <w:spacing w:before="12" w:line="240" w:lineRule="exact"/>
        <w:rPr>
          <w:rFonts w:ascii="Times New Roman" w:hAnsi="Times New Roman" w:cs="Times New Roman"/>
          <w:sz w:val="24"/>
          <w:szCs w:val="24"/>
          <w:lang w:val="pl-PL"/>
        </w:rPr>
      </w:pPr>
    </w:p>
    <w:p w14:paraId="197C81AD"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zwiększenie stężenia bilirubiny (próba wątrobowa)</w:t>
      </w:r>
    </w:p>
    <w:p w14:paraId="58877D79" w14:textId="77777777" w:rsidR="0059538A" w:rsidRPr="008F328C" w:rsidRDefault="0059538A" w:rsidP="0059538A">
      <w:pPr>
        <w:spacing w:before="13" w:line="240" w:lineRule="exact"/>
        <w:rPr>
          <w:rFonts w:ascii="Times New Roman" w:hAnsi="Times New Roman" w:cs="Times New Roman"/>
          <w:sz w:val="24"/>
          <w:szCs w:val="24"/>
          <w:lang w:val="pl-PL"/>
        </w:rPr>
      </w:pPr>
    </w:p>
    <w:p w14:paraId="60E56A90" w14:textId="77777777" w:rsidR="0059538A" w:rsidRPr="008F328C" w:rsidRDefault="0059538A" w:rsidP="0059538A">
      <w:pPr>
        <w:pStyle w:val="a3"/>
        <w:rPr>
          <w:lang w:val="pl-PL"/>
        </w:rPr>
      </w:pPr>
      <w:r w:rsidRPr="008F328C">
        <w:rPr>
          <w:rFonts w:eastAsia="Times New Roman"/>
          <w:b/>
          <w:bCs/>
          <w:lang w:val="pl-PL"/>
        </w:rPr>
        <w:t xml:space="preserve">Rzadko </w:t>
      </w:r>
      <w:r w:rsidRPr="008F328C">
        <w:rPr>
          <w:rFonts w:eastAsia="Times New Roman"/>
          <w:lang w:val="pl-PL"/>
        </w:rPr>
        <w:t>(może wystąpić u mniej niż 1 z 1000 osób)</w:t>
      </w:r>
    </w:p>
    <w:p w14:paraId="5C360DD2" w14:textId="77777777" w:rsidR="0059538A" w:rsidRPr="008F328C" w:rsidRDefault="0059538A" w:rsidP="0059538A">
      <w:pPr>
        <w:spacing w:before="14" w:line="240" w:lineRule="exact"/>
        <w:rPr>
          <w:rFonts w:ascii="Times New Roman" w:hAnsi="Times New Roman" w:cs="Times New Roman"/>
          <w:sz w:val="24"/>
          <w:szCs w:val="24"/>
          <w:lang w:val="pl-PL"/>
        </w:rPr>
      </w:pPr>
    </w:p>
    <w:p w14:paraId="20BD26A1" w14:textId="77777777" w:rsidR="0059538A" w:rsidRPr="008F328C" w:rsidRDefault="0059538A" w:rsidP="0059538A">
      <w:pPr>
        <w:pStyle w:val="a3"/>
        <w:numPr>
          <w:ilvl w:val="0"/>
          <w:numId w:val="16"/>
        </w:numPr>
        <w:ind w:left="660" w:hanging="660"/>
        <w:rPr>
          <w:lang w:val="pl-PL"/>
        </w:rPr>
      </w:pPr>
      <w:r w:rsidRPr="008F328C">
        <w:rPr>
          <w:rFonts w:eastAsia="Times New Roman"/>
          <w:lang w:val="pl-PL"/>
        </w:rPr>
        <w:t>zmniejszona liczba białych krwinek, czerwonych krwinek i płytek we krwi</w:t>
      </w:r>
    </w:p>
    <w:p w14:paraId="137FB333" w14:textId="77777777" w:rsidR="0059538A" w:rsidRPr="008F328C" w:rsidRDefault="0059538A" w:rsidP="0059538A">
      <w:pPr>
        <w:spacing w:before="15" w:line="240" w:lineRule="exact"/>
        <w:rPr>
          <w:rFonts w:ascii="Times New Roman" w:hAnsi="Times New Roman" w:cs="Times New Roman"/>
          <w:sz w:val="24"/>
          <w:szCs w:val="24"/>
          <w:lang w:val="pl-PL"/>
        </w:rPr>
      </w:pPr>
    </w:p>
    <w:p w14:paraId="250A74A9" w14:textId="77777777" w:rsidR="0059538A" w:rsidRPr="008F328C" w:rsidRDefault="0059538A" w:rsidP="0059538A">
      <w:pPr>
        <w:pStyle w:val="a3"/>
        <w:rPr>
          <w:b/>
          <w:lang w:val="pl-PL"/>
        </w:rPr>
      </w:pPr>
      <w:r w:rsidRPr="008F328C">
        <w:rPr>
          <w:rFonts w:eastAsia="Times New Roman"/>
          <w:b/>
          <w:bCs/>
          <w:lang w:val="pl-PL"/>
        </w:rPr>
        <w:t>Zgłaszanie działań niepożądanych</w:t>
      </w:r>
    </w:p>
    <w:p w14:paraId="1D2A35AA" w14:textId="77777777" w:rsidR="0059538A" w:rsidRPr="008F328C" w:rsidRDefault="0059538A" w:rsidP="0059538A">
      <w:pPr>
        <w:pStyle w:val="a3"/>
        <w:rPr>
          <w:sz w:val="10"/>
          <w:szCs w:val="10"/>
          <w:lang w:val="pl-PL"/>
        </w:rPr>
      </w:pPr>
    </w:p>
    <w:p w14:paraId="77596C0F" w14:textId="782262EE" w:rsidR="0059538A" w:rsidRPr="008F328C" w:rsidRDefault="00E8250A" w:rsidP="0059538A">
      <w:pPr>
        <w:pStyle w:val="a3"/>
        <w:rPr>
          <w:lang w:val="pl-PL"/>
        </w:rPr>
      </w:pPr>
      <w:r w:rsidRPr="008F328C">
        <w:rPr>
          <w:lang w:val="pl-PL"/>
        </w:rPr>
        <w:t>Jeśli wystąpią jakiekolwiek objawy niepożądane, w tym wszelkie możliwe objawy niepożądane niewymienione w tej ulotce, należy zwrócić się do lekarza lub farmaceuty</w:t>
      </w:r>
      <w:r w:rsidR="0059538A" w:rsidRPr="008F328C">
        <w:rPr>
          <w:rFonts w:eastAsia="Times New Roman"/>
          <w:lang w:val="pl-PL"/>
        </w:rPr>
        <w:t>. Działania niepożądane można zgłaszać bezpośrednio do „</w:t>
      </w:r>
      <w:r w:rsidR="0059538A" w:rsidRPr="008F328C">
        <w:rPr>
          <w:rFonts w:eastAsia="Times New Roman"/>
          <w:highlight w:val="lightGray"/>
          <w:lang w:val="pl-PL"/>
        </w:rPr>
        <w:t xml:space="preserve">krajowego systemu zgłaszania” wymienionego w </w:t>
      </w:r>
      <w:hyperlink r:id="rId155" w:history="1">
        <w:r w:rsidR="0059538A" w:rsidRPr="008F328C">
          <w:rPr>
            <w:rFonts w:eastAsia="Times New Roman"/>
            <w:color w:val="0000FF"/>
            <w:highlight w:val="lightGray"/>
            <w:u w:val="single"/>
            <w:lang w:val="pl-PL"/>
          </w:rPr>
          <w:t>załączniku V</w:t>
        </w:r>
      </w:hyperlink>
      <w:r w:rsidR="0059538A" w:rsidRPr="008F328C">
        <w:rPr>
          <w:rFonts w:eastAsia="Times New Roman"/>
          <w:lang w:val="pl-PL"/>
        </w:rPr>
        <w:t>. Dzięki zgłaszaniu działań niepożądanych można będzie zgromadzić więcej informacji na temat bezpieczeństwa stosowania leku.</w:t>
      </w:r>
    </w:p>
    <w:p w14:paraId="3C936938" w14:textId="77777777" w:rsidR="0059538A" w:rsidRPr="008F328C" w:rsidRDefault="0059538A" w:rsidP="0059538A">
      <w:pPr>
        <w:spacing w:line="200" w:lineRule="exact"/>
        <w:rPr>
          <w:rFonts w:ascii="Times New Roman" w:hAnsi="Times New Roman" w:cs="Times New Roman"/>
          <w:sz w:val="20"/>
          <w:szCs w:val="20"/>
          <w:lang w:val="pl-PL"/>
        </w:rPr>
      </w:pPr>
    </w:p>
    <w:p w14:paraId="7E38673A" w14:textId="77777777" w:rsidR="0059538A" w:rsidRPr="008F328C" w:rsidRDefault="0059538A" w:rsidP="0059538A">
      <w:pPr>
        <w:spacing w:line="200" w:lineRule="exact"/>
        <w:rPr>
          <w:rFonts w:ascii="Times New Roman" w:hAnsi="Times New Roman" w:cs="Times New Roman"/>
          <w:sz w:val="20"/>
          <w:szCs w:val="20"/>
          <w:lang w:val="pl-PL"/>
        </w:rPr>
      </w:pPr>
    </w:p>
    <w:p w14:paraId="54DD0CC3" w14:textId="77777777" w:rsidR="0059538A" w:rsidRPr="008F328C" w:rsidRDefault="0059538A" w:rsidP="008F328C">
      <w:pPr>
        <w:pStyle w:val="a4"/>
        <w:numPr>
          <w:ilvl w:val="0"/>
          <w:numId w:val="143"/>
        </w:numPr>
        <w:spacing w:before="18" w:line="240" w:lineRule="exact"/>
        <w:ind w:hanging="468"/>
        <w:rPr>
          <w:rFonts w:ascii="Times New Roman" w:hAnsi="Times New Roman" w:cs="Times New Roman"/>
          <w:b/>
          <w:lang w:val="pl-PL"/>
        </w:rPr>
      </w:pPr>
      <w:r w:rsidRPr="008F328C">
        <w:rPr>
          <w:rFonts w:ascii="Times New Roman" w:eastAsia="Times New Roman" w:hAnsi="Times New Roman" w:cs="Times New Roman"/>
          <w:b/>
          <w:bCs/>
          <w:lang w:val="pl-PL"/>
        </w:rPr>
        <w:t>Jak przechowywać lek Yuflyma</w:t>
      </w:r>
    </w:p>
    <w:p w14:paraId="3F3F75DF" w14:textId="77777777" w:rsidR="0059538A" w:rsidRPr="008F328C" w:rsidRDefault="0059538A" w:rsidP="0059538A">
      <w:pPr>
        <w:pStyle w:val="a3"/>
        <w:rPr>
          <w:lang w:val="pl-PL"/>
        </w:rPr>
      </w:pPr>
    </w:p>
    <w:p w14:paraId="0099CE79" w14:textId="77777777" w:rsidR="0059538A" w:rsidRPr="008F328C" w:rsidRDefault="0059538A" w:rsidP="0059538A">
      <w:pPr>
        <w:pStyle w:val="a3"/>
        <w:rPr>
          <w:lang w:val="pl-PL"/>
        </w:rPr>
      </w:pPr>
      <w:r w:rsidRPr="008F328C">
        <w:rPr>
          <w:rFonts w:eastAsia="Times New Roman"/>
          <w:lang w:val="pl-PL"/>
        </w:rPr>
        <w:t>Lek należy przechowywać w miejscu niewidocznym i niedostępnym dla dzieci.</w:t>
      </w:r>
    </w:p>
    <w:p w14:paraId="27929EFF" w14:textId="77777777" w:rsidR="0059538A" w:rsidRPr="008F328C" w:rsidRDefault="0059538A" w:rsidP="0059538A">
      <w:pPr>
        <w:pStyle w:val="a3"/>
        <w:rPr>
          <w:lang w:val="pl-PL"/>
        </w:rPr>
      </w:pPr>
    </w:p>
    <w:p w14:paraId="3EEA6877" w14:textId="77777777" w:rsidR="0059538A" w:rsidRPr="008F328C" w:rsidRDefault="0059538A" w:rsidP="0059538A">
      <w:pPr>
        <w:pStyle w:val="a3"/>
        <w:rPr>
          <w:lang w:val="pl-PL"/>
        </w:rPr>
      </w:pPr>
      <w:r w:rsidRPr="008F328C">
        <w:rPr>
          <w:rFonts w:eastAsia="Times New Roman"/>
          <w:lang w:val="pl-PL"/>
        </w:rPr>
        <w:t>Nie stosować tego leku po upływie terminu ważności zamieszczonego na etykiecie/pudełku tekturowym po skrócie EXP.</w:t>
      </w:r>
    </w:p>
    <w:p w14:paraId="41B67BAE" w14:textId="77777777" w:rsidR="0059538A" w:rsidRPr="008F328C" w:rsidRDefault="0059538A" w:rsidP="0059538A">
      <w:pPr>
        <w:pStyle w:val="a3"/>
        <w:rPr>
          <w:lang w:val="pl-PL"/>
        </w:rPr>
      </w:pPr>
    </w:p>
    <w:p w14:paraId="10B3874C" w14:textId="77777777" w:rsidR="0059538A" w:rsidRPr="008F328C" w:rsidRDefault="0059538A" w:rsidP="0059538A">
      <w:pPr>
        <w:pStyle w:val="a3"/>
        <w:rPr>
          <w:lang w:val="pl-PL"/>
        </w:rPr>
      </w:pPr>
      <w:r w:rsidRPr="008F328C">
        <w:rPr>
          <w:rFonts w:eastAsia="Times New Roman"/>
          <w:lang w:val="pl-PL"/>
        </w:rPr>
        <w:t>Przechowywać w lodówce (2°C–8°C). Nie zamrażać.</w:t>
      </w:r>
    </w:p>
    <w:p w14:paraId="525A3438" w14:textId="77777777" w:rsidR="0059538A" w:rsidRPr="008F328C" w:rsidRDefault="0059538A" w:rsidP="0059538A">
      <w:pPr>
        <w:pStyle w:val="a3"/>
        <w:rPr>
          <w:lang w:val="pl-PL"/>
        </w:rPr>
      </w:pPr>
    </w:p>
    <w:p w14:paraId="6992185D" w14:textId="64F3E408" w:rsidR="0059538A" w:rsidRPr="008F328C" w:rsidRDefault="0059538A" w:rsidP="0059538A">
      <w:pPr>
        <w:pStyle w:val="a3"/>
        <w:rPr>
          <w:lang w:val="pl-PL"/>
        </w:rPr>
      </w:pPr>
      <w:r w:rsidRPr="008F328C">
        <w:rPr>
          <w:rFonts w:eastAsia="Times New Roman"/>
          <w:lang w:val="pl-PL"/>
        </w:rPr>
        <w:t>Przechowywać ampułko-strzykawkę w opakowaniu zewnętrznym w celu ochrony przed światłem.</w:t>
      </w:r>
    </w:p>
    <w:p w14:paraId="24BDA7B1" w14:textId="77777777" w:rsidR="0059538A" w:rsidRPr="008F328C" w:rsidRDefault="0059538A" w:rsidP="0059538A">
      <w:pPr>
        <w:spacing w:before="13" w:line="240" w:lineRule="exact"/>
        <w:rPr>
          <w:rFonts w:ascii="Times New Roman" w:hAnsi="Times New Roman" w:cs="Times New Roman"/>
          <w:sz w:val="24"/>
          <w:szCs w:val="24"/>
          <w:lang w:val="pl-PL"/>
        </w:rPr>
      </w:pPr>
    </w:p>
    <w:p w14:paraId="1AD6E71A" w14:textId="77777777" w:rsidR="0059538A" w:rsidRPr="008F328C" w:rsidRDefault="0059538A" w:rsidP="0059538A">
      <w:pPr>
        <w:pStyle w:val="a3"/>
        <w:rPr>
          <w:lang w:val="pl-PL"/>
        </w:rPr>
      </w:pPr>
      <w:r w:rsidRPr="008F328C">
        <w:rPr>
          <w:rFonts w:eastAsia="Times New Roman"/>
          <w:lang w:val="pl-PL"/>
        </w:rPr>
        <w:t>Alternatywne metoda przechowywania:</w:t>
      </w:r>
    </w:p>
    <w:p w14:paraId="416C93F5" w14:textId="77777777" w:rsidR="0059538A" w:rsidRPr="008F328C" w:rsidRDefault="0059538A" w:rsidP="0059538A">
      <w:pPr>
        <w:spacing w:before="14" w:line="240" w:lineRule="exact"/>
        <w:rPr>
          <w:rFonts w:ascii="Times New Roman" w:hAnsi="Times New Roman" w:cs="Times New Roman"/>
          <w:sz w:val="24"/>
          <w:szCs w:val="24"/>
          <w:lang w:val="pl-PL"/>
        </w:rPr>
      </w:pPr>
    </w:p>
    <w:p w14:paraId="7D74EABA" w14:textId="7191FC28" w:rsidR="0059538A" w:rsidRPr="008F328C" w:rsidRDefault="0059538A" w:rsidP="0059538A">
      <w:pPr>
        <w:pStyle w:val="a3"/>
        <w:rPr>
          <w:lang w:val="pl-PL"/>
        </w:rPr>
      </w:pPr>
      <w:r w:rsidRPr="008F328C">
        <w:rPr>
          <w:rFonts w:eastAsia="Times New Roman"/>
          <w:lang w:val="pl-PL"/>
        </w:rPr>
        <w:t xml:space="preserve">W razie potrzeby (na przykład podczas podróży), pojedynczą ampułko-strzykawkę z lekiem Yuflyma można przechowywać w temperaturze pokojowej (do 25°C) nie dłużej niż 31 dni (ampułko-strzykawkę należy chronić przed światłem). Po wyjęciu z lodówki, przechowywaną w temperaturze pokojowej ampułko-strzykawkę </w:t>
      </w:r>
      <w:r w:rsidRPr="008F328C">
        <w:rPr>
          <w:rFonts w:eastAsia="Times New Roman"/>
          <w:b/>
          <w:bCs/>
          <w:lang w:val="pl-PL"/>
        </w:rPr>
        <w:t>należy bezwzględnie zużyć w ciągu 31 dni lub wyrzucić</w:t>
      </w:r>
      <w:r w:rsidRPr="008F328C">
        <w:rPr>
          <w:rFonts w:eastAsia="Times New Roman"/>
          <w:lang w:val="pl-PL"/>
        </w:rPr>
        <w:t>, nawet wtedy, gdy zostanie na powrót umieszczona w lodówce.</w:t>
      </w:r>
    </w:p>
    <w:p w14:paraId="095DE1C7" w14:textId="77777777" w:rsidR="0059538A" w:rsidRPr="008F328C" w:rsidRDefault="0059538A" w:rsidP="0059538A">
      <w:pPr>
        <w:spacing w:before="17" w:line="240" w:lineRule="exact"/>
        <w:rPr>
          <w:rFonts w:ascii="Times New Roman" w:hAnsi="Times New Roman" w:cs="Times New Roman"/>
          <w:sz w:val="24"/>
          <w:szCs w:val="24"/>
          <w:lang w:val="pl-PL"/>
        </w:rPr>
      </w:pPr>
    </w:p>
    <w:p w14:paraId="71AB3AAC" w14:textId="77777777" w:rsidR="0059538A" w:rsidRPr="008F328C" w:rsidRDefault="0059538A" w:rsidP="0059538A">
      <w:pPr>
        <w:pStyle w:val="a3"/>
        <w:rPr>
          <w:lang w:val="pl-PL"/>
        </w:rPr>
      </w:pPr>
      <w:r w:rsidRPr="008F328C">
        <w:rPr>
          <w:rFonts w:eastAsia="Times New Roman"/>
          <w:lang w:val="pl-PL"/>
        </w:rPr>
        <w:t>Należy zapisać datę pierwszego wyjęcia ampułko-strzykawki z lodówki oraz datę, po której należy ją wyrzucić.</w:t>
      </w:r>
    </w:p>
    <w:p w14:paraId="50F6DF34" w14:textId="77777777" w:rsidR="0059538A" w:rsidRPr="008F328C" w:rsidRDefault="0059538A" w:rsidP="0059538A">
      <w:pPr>
        <w:spacing w:before="14" w:line="240" w:lineRule="exact"/>
        <w:rPr>
          <w:rFonts w:ascii="Times New Roman" w:hAnsi="Times New Roman" w:cs="Times New Roman"/>
          <w:sz w:val="24"/>
          <w:szCs w:val="24"/>
          <w:lang w:val="pl-PL"/>
        </w:rPr>
      </w:pPr>
    </w:p>
    <w:p w14:paraId="29DDBE82" w14:textId="77777777" w:rsidR="0059538A" w:rsidRPr="008F328C" w:rsidRDefault="0059538A" w:rsidP="0059538A">
      <w:pPr>
        <w:pStyle w:val="a3"/>
        <w:rPr>
          <w:lang w:val="pl-PL"/>
        </w:rPr>
      </w:pPr>
      <w:r w:rsidRPr="008F328C">
        <w:rPr>
          <w:rFonts w:eastAsia="Times New Roman"/>
          <w:lang w:val="pl-PL"/>
        </w:rPr>
        <w:t>Leków nie należy wyrzucać do kanalizacji ani domowych pojemników na odpadki. Należy zapytać lekarza lub farmaceutę, jak usunąć leki, których się już nie używa. Takie postępowanie pomoże chronić środowisko.</w:t>
      </w:r>
    </w:p>
    <w:p w14:paraId="3AE25B4A" w14:textId="77777777" w:rsidR="0059538A" w:rsidRPr="008F328C" w:rsidRDefault="0059538A" w:rsidP="0059538A">
      <w:pPr>
        <w:spacing w:before="18" w:line="240" w:lineRule="exact"/>
        <w:rPr>
          <w:rFonts w:ascii="Times New Roman" w:hAnsi="Times New Roman" w:cs="Times New Roman"/>
          <w:b/>
          <w:lang w:val="pl-PL"/>
        </w:rPr>
      </w:pPr>
    </w:p>
    <w:p w14:paraId="18D50C76" w14:textId="77777777" w:rsidR="0059538A" w:rsidRPr="008F328C" w:rsidRDefault="0059538A" w:rsidP="0059538A">
      <w:pPr>
        <w:spacing w:before="18" w:line="240" w:lineRule="exact"/>
        <w:rPr>
          <w:rFonts w:ascii="Times New Roman" w:hAnsi="Times New Roman" w:cs="Times New Roman"/>
          <w:b/>
          <w:lang w:val="pl-PL"/>
        </w:rPr>
      </w:pPr>
    </w:p>
    <w:p w14:paraId="404BD7E5" w14:textId="77777777" w:rsidR="0059538A" w:rsidRPr="008F328C" w:rsidRDefault="0059538A" w:rsidP="008F328C">
      <w:pPr>
        <w:pStyle w:val="a4"/>
        <w:numPr>
          <w:ilvl w:val="0"/>
          <w:numId w:val="143"/>
        </w:numPr>
        <w:spacing w:before="18" w:line="240" w:lineRule="exact"/>
        <w:ind w:hanging="468"/>
        <w:rPr>
          <w:rFonts w:ascii="Times New Roman" w:hAnsi="Times New Roman" w:cs="Times New Roman"/>
          <w:b/>
          <w:lang w:val="pl-PL"/>
        </w:rPr>
      </w:pPr>
      <w:r w:rsidRPr="008F328C">
        <w:rPr>
          <w:rFonts w:ascii="Times New Roman" w:eastAsia="Times New Roman" w:hAnsi="Times New Roman" w:cs="Times New Roman"/>
          <w:b/>
          <w:bCs/>
          <w:lang w:val="pl-PL"/>
        </w:rPr>
        <w:t>Zawartość opakowania i inne informacje</w:t>
      </w:r>
    </w:p>
    <w:p w14:paraId="38A63B8B" w14:textId="77777777" w:rsidR="0059538A" w:rsidRPr="008F328C" w:rsidRDefault="0059538A" w:rsidP="0059538A">
      <w:pPr>
        <w:pStyle w:val="a4"/>
        <w:spacing w:before="18" w:line="240" w:lineRule="exact"/>
        <w:ind w:left="468"/>
        <w:rPr>
          <w:rFonts w:ascii="Times New Roman" w:hAnsi="Times New Roman" w:cs="Times New Roman"/>
          <w:b/>
          <w:lang w:val="pl-PL"/>
        </w:rPr>
      </w:pPr>
    </w:p>
    <w:p w14:paraId="5C4704AF" w14:textId="77777777" w:rsidR="0059538A" w:rsidRPr="008F328C" w:rsidRDefault="0059538A" w:rsidP="0059538A">
      <w:pPr>
        <w:spacing w:before="18" w:line="240" w:lineRule="exact"/>
        <w:rPr>
          <w:rFonts w:ascii="Times New Roman" w:hAnsi="Times New Roman" w:cs="Times New Roman"/>
          <w:b/>
          <w:lang w:val="pl-PL"/>
        </w:rPr>
      </w:pPr>
      <w:r w:rsidRPr="008F328C">
        <w:rPr>
          <w:rFonts w:ascii="Times New Roman" w:eastAsia="Times New Roman" w:hAnsi="Times New Roman" w:cs="Times New Roman"/>
          <w:b/>
          <w:bCs/>
          <w:lang w:val="pl-PL"/>
        </w:rPr>
        <w:t>Co zawiera lek Yuflyma</w:t>
      </w:r>
    </w:p>
    <w:p w14:paraId="2B8B8877" w14:textId="77777777" w:rsidR="0059538A" w:rsidRPr="008F328C" w:rsidRDefault="0059538A" w:rsidP="0059538A">
      <w:pPr>
        <w:spacing w:before="18" w:line="240" w:lineRule="exact"/>
        <w:rPr>
          <w:rFonts w:ascii="Times New Roman" w:hAnsi="Times New Roman" w:cs="Times New Roman"/>
          <w:b/>
          <w:lang w:val="pl-PL"/>
        </w:rPr>
      </w:pPr>
    </w:p>
    <w:p w14:paraId="22FEFD5F" w14:textId="77777777" w:rsidR="0059538A" w:rsidRPr="008F328C" w:rsidRDefault="0059538A" w:rsidP="0059538A">
      <w:pPr>
        <w:pStyle w:val="a3"/>
        <w:rPr>
          <w:lang w:val="pl-PL"/>
        </w:rPr>
      </w:pPr>
      <w:r w:rsidRPr="008F328C">
        <w:rPr>
          <w:rFonts w:eastAsia="Times New Roman"/>
          <w:lang w:val="pl-PL"/>
        </w:rPr>
        <w:t>Substancją czynną leku jest adalimumab.</w:t>
      </w:r>
    </w:p>
    <w:p w14:paraId="2B4AEB92" w14:textId="77777777" w:rsidR="0059538A" w:rsidRPr="008F328C" w:rsidRDefault="0059538A" w:rsidP="0059538A">
      <w:pPr>
        <w:pStyle w:val="a3"/>
        <w:rPr>
          <w:lang w:val="pl-PL"/>
        </w:rPr>
      </w:pPr>
      <w:r w:rsidRPr="008F328C">
        <w:rPr>
          <w:rFonts w:eastAsia="Times New Roman"/>
          <w:lang w:val="pl-PL"/>
        </w:rPr>
        <w:t>Inne składniki leku to: kwas octowy,sodu octan trójwodny, glicyna, polisorbat 80 i woda dowstrzykiwań.</w:t>
      </w:r>
    </w:p>
    <w:p w14:paraId="743C1382" w14:textId="77777777" w:rsidR="0059538A" w:rsidRPr="008F328C" w:rsidRDefault="0059538A" w:rsidP="0059538A">
      <w:pPr>
        <w:pStyle w:val="a3"/>
        <w:rPr>
          <w:lang w:val="pl-PL"/>
        </w:rPr>
      </w:pPr>
    </w:p>
    <w:p w14:paraId="3FC54967" w14:textId="638EE899" w:rsidR="0059538A" w:rsidRPr="008F328C" w:rsidRDefault="0059538A" w:rsidP="0059538A">
      <w:pPr>
        <w:pStyle w:val="a3"/>
        <w:rPr>
          <w:b/>
          <w:lang w:val="pl-PL"/>
        </w:rPr>
      </w:pPr>
      <w:r w:rsidRPr="008F328C">
        <w:rPr>
          <w:rFonts w:eastAsia="Times New Roman"/>
          <w:b/>
          <w:bCs/>
          <w:lang w:val="pl-PL"/>
        </w:rPr>
        <w:t>Jak wygląda lek Yuflyma w ampułko-strzykawce i co zawiera opakowanie</w:t>
      </w:r>
    </w:p>
    <w:p w14:paraId="0E9DD2E8" w14:textId="77777777" w:rsidR="0059538A" w:rsidRPr="008F328C" w:rsidRDefault="0059538A" w:rsidP="0059538A">
      <w:pPr>
        <w:spacing w:before="12" w:line="240" w:lineRule="exact"/>
        <w:rPr>
          <w:rFonts w:ascii="Times New Roman" w:hAnsi="Times New Roman" w:cs="Times New Roman"/>
          <w:sz w:val="24"/>
          <w:szCs w:val="24"/>
          <w:lang w:val="pl-PL"/>
        </w:rPr>
      </w:pPr>
    </w:p>
    <w:p w14:paraId="57B0C3A1" w14:textId="7E6BA905" w:rsidR="0059538A" w:rsidRPr="008F328C" w:rsidRDefault="0059538A" w:rsidP="0059538A">
      <w:pPr>
        <w:pStyle w:val="a3"/>
        <w:rPr>
          <w:lang w:val="pl-PL"/>
        </w:rPr>
      </w:pPr>
      <w:r w:rsidRPr="008F328C">
        <w:rPr>
          <w:rFonts w:eastAsia="Times New Roman"/>
          <w:lang w:val="pl-PL"/>
        </w:rPr>
        <w:t xml:space="preserve">Lek Yuflyma </w:t>
      </w:r>
      <w:r w:rsidR="00E8250A">
        <w:rPr>
          <w:rFonts w:eastAsia="Times New Roman"/>
          <w:lang w:val="pl-PL"/>
        </w:rPr>
        <w:t>20</w:t>
      </w:r>
      <w:r w:rsidRPr="008F328C">
        <w:rPr>
          <w:rFonts w:eastAsia="Times New Roman"/>
          <w:lang w:val="pl-PL"/>
        </w:rPr>
        <w:t xml:space="preserve"> mg roztwór do wstrzykiwań w ampułko-strzykawce jest dostarczany w postaci jałowego roztworu </w:t>
      </w:r>
      <w:r w:rsidR="00E8250A">
        <w:rPr>
          <w:rFonts w:eastAsia="Times New Roman"/>
          <w:lang w:val="pl-PL"/>
        </w:rPr>
        <w:t>20</w:t>
      </w:r>
      <w:r w:rsidRPr="008F328C">
        <w:rPr>
          <w:rFonts w:eastAsia="Times New Roman"/>
          <w:lang w:val="pl-PL"/>
        </w:rPr>
        <w:t xml:space="preserve"> mg </w:t>
      </w:r>
      <w:r w:rsidR="00E8250A" w:rsidRPr="008F328C">
        <w:rPr>
          <w:rFonts w:eastAsia="Times New Roman"/>
          <w:lang w:val="pl-PL"/>
        </w:rPr>
        <w:t>adalimumabu rozpuszczonego w 0,2</w:t>
      </w:r>
      <w:r w:rsidRPr="008F328C">
        <w:rPr>
          <w:rFonts w:eastAsia="Times New Roman"/>
          <w:lang w:val="pl-PL"/>
        </w:rPr>
        <w:t xml:space="preserve"> ml roztworu.</w:t>
      </w:r>
    </w:p>
    <w:p w14:paraId="334DDDEB" w14:textId="77777777" w:rsidR="0059538A" w:rsidRPr="008F328C" w:rsidRDefault="0059538A" w:rsidP="0059538A">
      <w:pPr>
        <w:spacing w:before="11" w:line="240" w:lineRule="exact"/>
        <w:rPr>
          <w:rFonts w:ascii="Times New Roman" w:hAnsi="Times New Roman" w:cs="Times New Roman"/>
          <w:sz w:val="24"/>
          <w:szCs w:val="24"/>
          <w:lang w:val="pl-PL"/>
        </w:rPr>
      </w:pPr>
    </w:p>
    <w:p w14:paraId="1E265055" w14:textId="77777777" w:rsidR="00E8250A" w:rsidRPr="008F328C" w:rsidRDefault="0059538A" w:rsidP="0059538A">
      <w:pPr>
        <w:pStyle w:val="a3"/>
        <w:rPr>
          <w:rFonts w:eastAsia="Times New Roman"/>
          <w:lang w:val="pl-PL"/>
        </w:rPr>
      </w:pPr>
      <w:r w:rsidRPr="008F328C">
        <w:rPr>
          <w:rFonts w:eastAsia="Times New Roman"/>
          <w:lang w:val="pl-PL"/>
        </w:rPr>
        <w:t>Ampułko-strzykawka z lekiem Yuflyma jest szklaną strzykawką z</w:t>
      </w:r>
      <w:r w:rsidR="00E8250A" w:rsidRPr="008F328C">
        <w:rPr>
          <w:rFonts w:eastAsia="Times New Roman"/>
          <w:lang w:val="pl-PL"/>
        </w:rPr>
        <w:t>awierającą roztwór adalimumabu.</w:t>
      </w:r>
    </w:p>
    <w:p w14:paraId="0AF9B67C" w14:textId="57753128" w:rsidR="00774617" w:rsidRDefault="00774617" w:rsidP="00774617">
      <w:pPr>
        <w:pStyle w:val="a3"/>
        <w:rPr>
          <w:lang w:val="pl-PL"/>
        </w:rPr>
      </w:pPr>
      <w:r>
        <w:rPr>
          <w:lang w:val="pl-PL"/>
        </w:rPr>
        <w:t>Yuflyma</w:t>
      </w:r>
      <w:r w:rsidRPr="008F328C">
        <w:rPr>
          <w:lang w:val="pl-PL"/>
        </w:rPr>
        <w:t xml:space="preserve"> ampułko-strzykawka jest dostępna w opakowaniu zawierającym </w:t>
      </w:r>
      <w:r>
        <w:rPr>
          <w:rFonts w:hint="eastAsia"/>
          <w:lang w:val="pl-PL" w:eastAsia="ko-KR"/>
        </w:rPr>
        <w:t>1</w:t>
      </w:r>
      <w:r w:rsidRPr="008F328C">
        <w:rPr>
          <w:lang w:val="pl-PL"/>
        </w:rPr>
        <w:t xml:space="preserve"> ampułko-strzykawki z 2 gazikami nasączonymi alkoholem</w:t>
      </w:r>
      <w:r>
        <w:rPr>
          <w:lang w:val="pl-PL"/>
        </w:rPr>
        <w:t>.</w:t>
      </w:r>
    </w:p>
    <w:p w14:paraId="7334C060" w14:textId="238163E1" w:rsidR="0059538A" w:rsidRPr="008F328C" w:rsidRDefault="008F328C" w:rsidP="008F328C">
      <w:pPr>
        <w:pStyle w:val="a3"/>
        <w:rPr>
          <w:lang w:val="pl-PL"/>
        </w:rPr>
      </w:pPr>
      <w:r>
        <w:rPr>
          <w:lang w:val="pl-PL"/>
        </w:rPr>
        <w:t>Yuflyma</w:t>
      </w:r>
      <w:r w:rsidRPr="008F328C">
        <w:rPr>
          <w:lang w:val="pl-PL"/>
        </w:rPr>
        <w:t xml:space="preserve"> ampułko-strzykawka jest dostępna w opakowaniu zawierającym 2 ampułko-strzykawki z 2 gazikami nasączonymi alkoholem</w:t>
      </w:r>
      <w:r>
        <w:rPr>
          <w:lang w:val="pl-PL"/>
        </w:rPr>
        <w:t>.</w:t>
      </w:r>
    </w:p>
    <w:p w14:paraId="310FDCD6" w14:textId="77777777" w:rsidR="00774617" w:rsidRDefault="00774617" w:rsidP="008F328C">
      <w:pPr>
        <w:pStyle w:val="a3"/>
        <w:ind w:leftChars="164" w:left="361"/>
        <w:rPr>
          <w:lang w:val="pl-PL" w:eastAsia="ko-KR"/>
        </w:rPr>
      </w:pPr>
    </w:p>
    <w:p w14:paraId="4016A891" w14:textId="77777777" w:rsidR="00716A8A" w:rsidRPr="00DB0478" w:rsidRDefault="00716A8A" w:rsidP="00AC35E3">
      <w:pPr>
        <w:pStyle w:val="a3"/>
        <w:rPr>
          <w:b/>
          <w:lang w:val="pl-PL" w:eastAsia="ko-KR"/>
        </w:rPr>
      </w:pPr>
      <w:r w:rsidRPr="008F328C">
        <w:rPr>
          <w:rFonts w:eastAsia="Times New Roman"/>
          <w:lang w:val="pl-PL"/>
        </w:rPr>
        <w:t>Nie wszystkie rodzaje i wielkości opakowań muszą znajdować się w obrocie.</w:t>
      </w:r>
    </w:p>
    <w:p w14:paraId="49C5184A" w14:textId="77777777" w:rsidR="0059538A" w:rsidRPr="008F328C" w:rsidRDefault="0059538A" w:rsidP="0059538A">
      <w:pPr>
        <w:spacing w:before="18" w:line="240" w:lineRule="exact"/>
        <w:rPr>
          <w:rFonts w:ascii="Times New Roman" w:hAnsi="Times New Roman" w:cs="Times New Roman"/>
          <w:sz w:val="24"/>
          <w:szCs w:val="24"/>
          <w:lang w:val="pl-PL"/>
        </w:rPr>
      </w:pPr>
    </w:p>
    <w:p w14:paraId="29419AA3" w14:textId="77777777" w:rsidR="0059538A" w:rsidRPr="008F328C" w:rsidRDefault="0059538A" w:rsidP="0059538A">
      <w:pPr>
        <w:pStyle w:val="a3"/>
        <w:rPr>
          <w:b/>
          <w:lang w:val="pl-PL"/>
        </w:rPr>
      </w:pPr>
      <w:r w:rsidRPr="008F328C">
        <w:rPr>
          <w:rFonts w:eastAsia="Times New Roman"/>
          <w:b/>
          <w:bCs/>
          <w:lang w:val="pl-PL"/>
        </w:rPr>
        <w:t>Podmiot odpowiedzialny</w:t>
      </w:r>
    </w:p>
    <w:p w14:paraId="54D62B31" w14:textId="77777777" w:rsidR="0059538A" w:rsidRPr="008F328C" w:rsidRDefault="0059538A" w:rsidP="0059538A">
      <w:pPr>
        <w:spacing w:before="12" w:line="240" w:lineRule="exact"/>
        <w:rPr>
          <w:rFonts w:ascii="Times New Roman" w:hAnsi="Times New Roman" w:cs="Times New Roman"/>
          <w:sz w:val="24"/>
          <w:szCs w:val="24"/>
          <w:lang w:val="pl-PL"/>
        </w:rPr>
      </w:pPr>
    </w:p>
    <w:p w14:paraId="3743D7AF" w14:textId="77777777" w:rsidR="0059538A" w:rsidRPr="008F328C" w:rsidRDefault="0059538A" w:rsidP="0059538A">
      <w:pPr>
        <w:pStyle w:val="a3"/>
        <w:rPr>
          <w:lang w:val="pl-PL"/>
        </w:rPr>
      </w:pPr>
      <w:r w:rsidRPr="008F328C">
        <w:rPr>
          <w:lang w:val="pl-PL"/>
        </w:rPr>
        <w:t xml:space="preserve">Celltrion Healthcare Hungary Kft. </w:t>
      </w:r>
    </w:p>
    <w:p w14:paraId="40B62918" w14:textId="77777777" w:rsidR="0059538A" w:rsidRPr="008F328C" w:rsidRDefault="0059538A" w:rsidP="0059538A">
      <w:pPr>
        <w:pStyle w:val="a3"/>
      </w:pPr>
      <w:r w:rsidRPr="008F328C">
        <w:t>1062 Budapest</w:t>
      </w:r>
    </w:p>
    <w:p w14:paraId="2753535D" w14:textId="77777777" w:rsidR="0059538A" w:rsidRPr="008F328C" w:rsidRDefault="0059538A" w:rsidP="0059538A">
      <w:pPr>
        <w:pStyle w:val="a3"/>
      </w:pPr>
      <w:r w:rsidRPr="008F328C">
        <w:t>Váci út 1-3. WestEnd Office Building B torony</w:t>
      </w:r>
    </w:p>
    <w:p w14:paraId="42B1E1DD" w14:textId="77777777" w:rsidR="0059538A" w:rsidRPr="008F328C" w:rsidRDefault="0059538A" w:rsidP="0059538A">
      <w:pPr>
        <w:pStyle w:val="a3"/>
      </w:pPr>
      <w:r w:rsidRPr="008F328C">
        <w:rPr>
          <w:rFonts w:eastAsia="Times New Roman"/>
        </w:rPr>
        <w:t>Węgry</w:t>
      </w:r>
    </w:p>
    <w:p w14:paraId="3D32B546" w14:textId="77777777" w:rsidR="0059538A" w:rsidRPr="008F328C" w:rsidRDefault="0059538A" w:rsidP="0059538A">
      <w:pPr>
        <w:spacing w:before="15" w:line="240" w:lineRule="exact"/>
        <w:rPr>
          <w:rFonts w:ascii="Times New Roman" w:hAnsi="Times New Roman" w:cs="Times New Roman"/>
          <w:b/>
          <w:sz w:val="24"/>
          <w:szCs w:val="24"/>
        </w:rPr>
      </w:pPr>
    </w:p>
    <w:p w14:paraId="5D611E09" w14:textId="77777777" w:rsidR="0059538A" w:rsidRPr="008F328C" w:rsidRDefault="0059538A" w:rsidP="0059538A">
      <w:pPr>
        <w:pStyle w:val="a3"/>
        <w:rPr>
          <w:b/>
        </w:rPr>
      </w:pPr>
      <w:r w:rsidRPr="008F328C">
        <w:rPr>
          <w:rFonts w:eastAsia="Times New Roman"/>
          <w:b/>
          <w:bCs/>
        </w:rPr>
        <w:t>Wytwórca</w:t>
      </w:r>
    </w:p>
    <w:p w14:paraId="71CA36C7" w14:textId="77777777" w:rsidR="0059538A" w:rsidRPr="008F328C" w:rsidRDefault="0059538A" w:rsidP="0059538A">
      <w:pPr>
        <w:spacing w:before="12" w:line="240" w:lineRule="exact"/>
        <w:rPr>
          <w:rFonts w:ascii="Times New Roman" w:hAnsi="Times New Roman" w:cs="Times New Roman"/>
          <w:b/>
          <w:sz w:val="24"/>
          <w:szCs w:val="24"/>
        </w:rPr>
      </w:pPr>
    </w:p>
    <w:p w14:paraId="75A465A1" w14:textId="074EA6F8" w:rsidR="0059538A" w:rsidRPr="008F328C" w:rsidDel="009E0A16" w:rsidRDefault="0059538A" w:rsidP="0059538A">
      <w:pPr>
        <w:pStyle w:val="a3"/>
        <w:rPr>
          <w:del w:id="172" w:author="만든 이"/>
        </w:rPr>
      </w:pPr>
      <w:del w:id="173" w:author="만든 이">
        <w:r w:rsidRPr="008F328C" w:rsidDel="009E0A16">
          <w:delText>Millmount Healthcare Ltd.</w:delText>
        </w:r>
      </w:del>
    </w:p>
    <w:p w14:paraId="3EDBBCB6" w14:textId="0C421BDC" w:rsidR="0059538A" w:rsidRPr="008F328C" w:rsidDel="009E0A16" w:rsidRDefault="0059538A" w:rsidP="0059538A">
      <w:pPr>
        <w:pStyle w:val="a3"/>
        <w:rPr>
          <w:del w:id="174" w:author="만든 이"/>
        </w:rPr>
      </w:pPr>
      <w:del w:id="175" w:author="만든 이">
        <w:r w:rsidRPr="008F328C" w:rsidDel="009E0A16">
          <w:delText>Block 7</w:delText>
        </w:r>
      </w:del>
    </w:p>
    <w:p w14:paraId="0EE36943" w14:textId="53F9F797" w:rsidR="0059538A" w:rsidRPr="008F328C" w:rsidDel="009E0A16" w:rsidRDefault="0059538A" w:rsidP="0059538A">
      <w:pPr>
        <w:pStyle w:val="a3"/>
        <w:rPr>
          <w:del w:id="176" w:author="만든 이"/>
        </w:rPr>
      </w:pPr>
      <w:del w:id="177" w:author="만든 이">
        <w:r w:rsidRPr="008F328C" w:rsidDel="009E0A16">
          <w:delText xml:space="preserve">City North Business Campus </w:delText>
        </w:r>
      </w:del>
    </w:p>
    <w:p w14:paraId="4549EC55" w14:textId="72939AF9" w:rsidR="0059538A" w:rsidRPr="008F328C" w:rsidDel="009E0A16" w:rsidRDefault="0059538A" w:rsidP="0059538A">
      <w:pPr>
        <w:pStyle w:val="a3"/>
        <w:rPr>
          <w:del w:id="178" w:author="만든 이"/>
          <w:lang w:val="en-GB"/>
        </w:rPr>
      </w:pPr>
      <w:del w:id="179" w:author="만든 이">
        <w:r w:rsidRPr="008F328C" w:rsidDel="009E0A16">
          <w:delText xml:space="preserve">Stamullen, Co. </w:delText>
        </w:r>
        <w:r w:rsidRPr="008F328C" w:rsidDel="009E0A16">
          <w:rPr>
            <w:lang w:val="en-GB"/>
          </w:rPr>
          <w:delText>Meath K32 YD60</w:delText>
        </w:r>
      </w:del>
    </w:p>
    <w:p w14:paraId="3FFC4D2C" w14:textId="477EAF2D" w:rsidR="0059538A" w:rsidRPr="008F328C" w:rsidDel="009E0A16" w:rsidRDefault="0059538A" w:rsidP="0059538A">
      <w:pPr>
        <w:pStyle w:val="a3"/>
        <w:rPr>
          <w:del w:id="180" w:author="만든 이"/>
          <w:rFonts w:eastAsia="Times New Roman"/>
          <w:lang w:val="en-GB"/>
        </w:rPr>
      </w:pPr>
      <w:del w:id="181" w:author="만든 이">
        <w:r w:rsidRPr="008F328C" w:rsidDel="009E0A16">
          <w:rPr>
            <w:rFonts w:eastAsia="Times New Roman"/>
            <w:lang w:val="en-GB"/>
          </w:rPr>
          <w:delText>Irlandia</w:delText>
        </w:r>
      </w:del>
    </w:p>
    <w:p w14:paraId="4D297816" w14:textId="62133DFE" w:rsidR="0059538A" w:rsidRPr="008F328C" w:rsidDel="009E0A16" w:rsidRDefault="0059538A" w:rsidP="0059538A">
      <w:pPr>
        <w:pStyle w:val="a3"/>
        <w:rPr>
          <w:del w:id="182" w:author="만든 이"/>
          <w:rFonts w:eastAsia="Times New Roman"/>
          <w:lang w:val="en-GB"/>
        </w:rPr>
      </w:pPr>
    </w:p>
    <w:p w14:paraId="5C90972F" w14:textId="77777777" w:rsidR="009E0A16" w:rsidRPr="007E66D4" w:rsidRDefault="009E0A16" w:rsidP="009E0A16">
      <w:pPr>
        <w:pStyle w:val="a3"/>
        <w:rPr>
          <w:moveTo w:id="183" w:author="만든 이" w16du:dateUtc="2025-09-09T06:15:00Z"/>
          <w:lang w:val="fr-CA"/>
        </w:rPr>
      </w:pPr>
      <w:moveToRangeStart w:id="184" w:author="만든 이" w:name="move208323375"/>
      <w:moveTo w:id="185" w:author="만든 이" w16du:dateUtc="2025-09-09T06:15:00Z">
        <w:r w:rsidRPr="007E66D4">
          <w:rPr>
            <w:lang w:val="fr-CA"/>
          </w:rPr>
          <w:t>Nuvisan France SARL</w:t>
        </w:r>
      </w:moveTo>
    </w:p>
    <w:p w14:paraId="3204DF76" w14:textId="77777777" w:rsidR="009E0A16" w:rsidRPr="007E66D4" w:rsidRDefault="009E0A16" w:rsidP="009E0A16">
      <w:pPr>
        <w:pStyle w:val="a3"/>
        <w:rPr>
          <w:moveTo w:id="186" w:author="만든 이" w16du:dateUtc="2025-09-09T06:15:00Z"/>
          <w:lang w:val="fr-CA"/>
        </w:rPr>
      </w:pPr>
      <w:moveTo w:id="187" w:author="만든 이" w16du:dateUtc="2025-09-09T06:15:00Z">
        <w:r w:rsidRPr="007E66D4">
          <w:rPr>
            <w:lang w:val="fr-CA"/>
          </w:rPr>
          <w:t>2400, Route des Colles</w:t>
        </w:r>
      </w:moveTo>
    </w:p>
    <w:p w14:paraId="7FFD6F3B" w14:textId="77777777" w:rsidR="009E0A16" w:rsidRPr="008F328C" w:rsidRDefault="009E0A16" w:rsidP="009E0A16">
      <w:pPr>
        <w:pStyle w:val="a3"/>
        <w:rPr>
          <w:moveTo w:id="188" w:author="만든 이" w16du:dateUtc="2025-09-09T06:15:00Z"/>
          <w:lang w:val="pl-PL"/>
        </w:rPr>
      </w:pPr>
      <w:moveTo w:id="189" w:author="만든 이" w16du:dateUtc="2025-09-09T06:15:00Z">
        <w:r w:rsidRPr="008F328C">
          <w:rPr>
            <w:lang w:val="pl-PL"/>
          </w:rPr>
          <w:t>06410, Biot</w:t>
        </w:r>
      </w:moveTo>
    </w:p>
    <w:p w14:paraId="38A12192" w14:textId="77777777" w:rsidR="009E0A16" w:rsidRPr="008F328C" w:rsidRDefault="009E0A16" w:rsidP="009E0A16">
      <w:pPr>
        <w:pStyle w:val="a3"/>
        <w:rPr>
          <w:moveTo w:id="190" w:author="만든 이" w16du:dateUtc="2025-09-09T06:15:00Z"/>
          <w:lang w:val="pl-PL"/>
        </w:rPr>
      </w:pPr>
      <w:moveTo w:id="191" w:author="만든 이" w16du:dateUtc="2025-09-09T06:15:00Z">
        <w:r w:rsidRPr="008F328C">
          <w:rPr>
            <w:lang w:val="pl-PL"/>
          </w:rPr>
          <w:t>Francja</w:t>
        </w:r>
      </w:moveTo>
    </w:p>
    <w:p w14:paraId="1891B0B0" w14:textId="77777777" w:rsidR="009E0A16" w:rsidRPr="008F328C" w:rsidRDefault="009E0A16" w:rsidP="009E0A16">
      <w:pPr>
        <w:pStyle w:val="a3"/>
        <w:rPr>
          <w:moveTo w:id="192" w:author="만든 이" w16du:dateUtc="2025-09-09T06:15:00Z"/>
          <w:lang w:val="es-ES_tradnl"/>
        </w:rPr>
      </w:pPr>
    </w:p>
    <w:moveToRangeEnd w:id="184"/>
    <w:p w14:paraId="4AF0BB6F" w14:textId="77777777" w:rsidR="0059538A" w:rsidRPr="009958EA" w:rsidRDefault="0059538A" w:rsidP="0059538A">
      <w:pPr>
        <w:pStyle w:val="a3"/>
        <w:rPr>
          <w:shd w:val="pct15" w:color="auto" w:fill="FFFFFF"/>
        </w:rPr>
      </w:pPr>
      <w:r w:rsidRPr="009958EA">
        <w:rPr>
          <w:shd w:val="pct15" w:color="auto" w:fill="FFFFFF"/>
        </w:rPr>
        <w:t>Nuvisan GmbH</w:t>
      </w:r>
    </w:p>
    <w:p w14:paraId="10536A31" w14:textId="45272A30" w:rsidR="0059538A" w:rsidRPr="009958EA" w:rsidRDefault="0059538A" w:rsidP="0059538A">
      <w:pPr>
        <w:pStyle w:val="a3"/>
        <w:rPr>
          <w:shd w:val="pct15" w:color="auto" w:fill="FFFFFF"/>
          <w:lang w:val="de-CH"/>
        </w:rPr>
      </w:pPr>
      <w:r w:rsidRPr="009958EA">
        <w:rPr>
          <w:shd w:val="pct15" w:color="auto" w:fill="FFFFFF"/>
          <w:lang w:val="de-CH"/>
        </w:rPr>
        <w:t>Wegenerstraße 13</w:t>
      </w:r>
    </w:p>
    <w:p w14:paraId="6B1D9D9C" w14:textId="26FDB12C" w:rsidR="0059538A" w:rsidRPr="009958EA" w:rsidRDefault="0059538A" w:rsidP="0059538A">
      <w:pPr>
        <w:pStyle w:val="a3"/>
        <w:rPr>
          <w:shd w:val="pct15" w:color="auto" w:fill="FFFFFF"/>
          <w:lang w:val="de-CH"/>
        </w:rPr>
      </w:pPr>
      <w:r w:rsidRPr="009958EA">
        <w:rPr>
          <w:shd w:val="pct15" w:color="auto" w:fill="FFFFFF"/>
          <w:lang w:val="de-CH"/>
        </w:rPr>
        <w:t>89231 Neu</w:t>
      </w:r>
      <w:r w:rsidR="00190E6B" w:rsidRPr="009958EA">
        <w:rPr>
          <w:rFonts w:hint="eastAsia"/>
          <w:shd w:val="pct15" w:color="auto" w:fill="FFFFFF"/>
          <w:lang w:val="de-CH" w:eastAsia="ko-KR"/>
        </w:rPr>
        <w:t>-</w:t>
      </w:r>
      <w:r w:rsidRPr="009958EA">
        <w:rPr>
          <w:shd w:val="pct15" w:color="auto" w:fill="FFFFFF"/>
          <w:lang w:val="de-CH"/>
        </w:rPr>
        <w:t>Ulm</w:t>
      </w:r>
    </w:p>
    <w:p w14:paraId="6A345245" w14:textId="77777777" w:rsidR="0059538A" w:rsidRPr="00494296" w:rsidRDefault="0059538A" w:rsidP="0059538A">
      <w:pPr>
        <w:pStyle w:val="a3"/>
        <w:rPr>
          <w:shd w:val="pct15" w:color="auto" w:fill="FFFFFF"/>
          <w:lang w:val="fr-CA"/>
        </w:rPr>
      </w:pPr>
      <w:r w:rsidRPr="00494296">
        <w:rPr>
          <w:shd w:val="pct15" w:color="auto" w:fill="FFFFFF"/>
          <w:lang w:val="fr-CA"/>
        </w:rPr>
        <w:t>Niemcy</w:t>
      </w:r>
    </w:p>
    <w:p w14:paraId="744510C8" w14:textId="77777777" w:rsidR="0059538A" w:rsidRPr="00494296" w:rsidRDefault="0059538A" w:rsidP="0059538A">
      <w:pPr>
        <w:pStyle w:val="a3"/>
        <w:rPr>
          <w:shd w:val="pct15" w:color="auto" w:fill="FFFFFF"/>
          <w:lang w:val="fr-CA"/>
        </w:rPr>
      </w:pPr>
    </w:p>
    <w:p w14:paraId="18A1C231" w14:textId="4480319B" w:rsidR="0059538A" w:rsidRPr="00494296" w:rsidDel="009E0A16" w:rsidRDefault="0059538A" w:rsidP="0059538A">
      <w:pPr>
        <w:pStyle w:val="a3"/>
        <w:rPr>
          <w:moveFrom w:id="193" w:author="만든 이" w16du:dateUtc="2025-09-09T06:15:00Z"/>
          <w:shd w:val="pct15" w:color="auto" w:fill="FFFFFF"/>
          <w:lang w:val="fr-CA"/>
        </w:rPr>
      </w:pPr>
      <w:moveFromRangeStart w:id="194" w:author="만든 이" w:name="move208323375"/>
      <w:moveFrom w:id="195" w:author="만든 이" w16du:dateUtc="2025-09-09T06:15:00Z">
        <w:r w:rsidRPr="00494296" w:rsidDel="009E0A16">
          <w:rPr>
            <w:shd w:val="pct15" w:color="auto" w:fill="FFFFFF"/>
            <w:lang w:val="fr-CA"/>
          </w:rPr>
          <w:t>Nuvisan France SARL</w:t>
        </w:r>
      </w:moveFrom>
    </w:p>
    <w:p w14:paraId="10A39D42" w14:textId="4BABFAFD" w:rsidR="0059538A" w:rsidRPr="00494296" w:rsidDel="009E0A16" w:rsidRDefault="0059538A" w:rsidP="0059538A">
      <w:pPr>
        <w:pStyle w:val="a3"/>
        <w:rPr>
          <w:moveFrom w:id="196" w:author="만든 이" w16du:dateUtc="2025-09-09T06:15:00Z"/>
          <w:shd w:val="pct15" w:color="auto" w:fill="FFFFFF"/>
          <w:lang w:val="fr-CA"/>
        </w:rPr>
      </w:pPr>
      <w:moveFrom w:id="197" w:author="만든 이" w16du:dateUtc="2025-09-09T06:15:00Z">
        <w:r w:rsidRPr="00494296" w:rsidDel="009E0A16">
          <w:rPr>
            <w:shd w:val="pct15" w:color="auto" w:fill="FFFFFF"/>
            <w:lang w:val="fr-CA"/>
          </w:rPr>
          <w:t>2400, Route des Colles</w:t>
        </w:r>
      </w:moveFrom>
    </w:p>
    <w:p w14:paraId="6FD49D14" w14:textId="6D3417C6" w:rsidR="0059538A" w:rsidRPr="009958EA" w:rsidDel="009E0A16" w:rsidRDefault="0059538A" w:rsidP="0059538A">
      <w:pPr>
        <w:pStyle w:val="a3"/>
        <w:rPr>
          <w:moveFrom w:id="198" w:author="만든 이" w16du:dateUtc="2025-09-09T06:15:00Z"/>
          <w:shd w:val="pct15" w:color="auto" w:fill="FFFFFF"/>
          <w:lang w:val="pl-PL"/>
        </w:rPr>
      </w:pPr>
      <w:moveFrom w:id="199" w:author="만든 이" w16du:dateUtc="2025-09-09T06:15:00Z">
        <w:r w:rsidRPr="009958EA" w:rsidDel="009E0A16">
          <w:rPr>
            <w:shd w:val="pct15" w:color="auto" w:fill="FFFFFF"/>
            <w:lang w:val="pl-PL"/>
          </w:rPr>
          <w:t>06410, Biot</w:t>
        </w:r>
      </w:moveFrom>
    </w:p>
    <w:p w14:paraId="4A9AF9A2" w14:textId="27D3B984" w:rsidR="0059538A" w:rsidRPr="009958EA" w:rsidDel="009E0A16" w:rsidRDefault="0059538A" w:rsidP="0059538A">
      <w:pPr>
        <w:pStyle w:val="a3"/>
        <w:rPr>
          <w:moveFrom w:id="200" w:author="만든 이" w16du:dateUtc="2025-09-09T06:15:00Z"/>
          <w:shd w:val="pct15" w:color="auto" w:fill="FFFFFF"/>
          <w:lang w:val="pl-PL"/>
        </w:rPr>
      </w:pPr>
      <w:moveFrom w:id="201" w:author="만든 이" w16du:dateUtc="2025-09-09T06:15:00Z">
        <w:r w:rsidRPr="009958EA" w:rsidDel="009E0A16">
          <w:rPr>
            <w:shd w:val="pct15" w:color="auto" w:fill="FFFFFF"/>
            <w:lang w:val="pl-PL"/>
          </w:rPr>
          <w:t>Francja</w:t>
        </w:r>
      </w:moveFrom>
    </w:p>
    <w:p w14:paraId="36678EF3" w14:textId="0080C50A" w:rsidR="0059538A" w:rsidRPr="009958EA" w:rsidDel="009E0A16" w:rsidRDefault="0059538A" w:rsidP="0059538A">
      <w:pPr>
        <w:pStyle w:val="a3"/>
        <w:rPr>
          <w:moveFrom w:id="202" w:author="만든 이" w16du:dateUtc="2025-09-09T06:15:00Z"/>
          <w:shd w:val="pct15" w:color="auto" w:fill="FFFFFF"/>
          <w:lang w:val="es-ES_tradnl"/>
        </w:rPr>
      </w:pPr>
    </w:p>
    <w:moveFromRangeEnd w:id="194"/>
    <w:p w14:paraId="3DE3C49D" w14:textId="77777777" w:rsidR="0059538A" w:rsidRPr="00494296" w:rsidRDefault="0059538A" w:rsidP="0059538A">
      <w:pPr>
        <w:pStyle w:val="a3"/>
        <w:rPr>
          <w:shd w:val="pct15" w:color="auto" w:fill="FFFFFF"/>
          <w:lang w:val="es-ES_tradnl"/>
        </w:rPr>
      </w:pPr>
      <w:r w:rsidRPr="00494296">
        <w:rPr>
          <w:shd w:val="pct15" w:color="auto" w:fill="FFFFFF"/>
          <w:lang w:val="es-ES_tradnl"/>
        </w:rPr>
        <w:t>Midas Pharma GmbH</w:t>
      </w:r>
    </w:p>
    <w:p w14:paraId="65FA87AF" w14:textId="74BD8256" w:rsidR="0059538A" w:rsidRPr="00494296" w:rsidRDefault="0059538A" w:rsidP="0059538A">
      <w:pPr>
        <w:pStyle w:val="a3"/>
        <w:rPr>
          <w:shd w:val="pct15" w:color="auto" w:fill="FFFFFF"/>
          <w:lang w:val="es-ES_tradnl"/>
        </w:rPr>
      </w:pPr>
      <w:r w:rsidRPr="00494296">
        <w:rPr>
          <w:shd w:val="pct15" w:color="auto" w:fill="FFFFFF"/>
          <w:lang w:val="es-ES_tradnl"/>
        </w:rPr>
        <w:t>Rheinstr. 49</w:t>
      </w:r>
    </w:p>
    <w:p w14:paraId="57343DCF" w14:textId="253E15A7" w:rsidR="0059538A" w:rsidRPr="00494296" w:rsidRDefault="0059538A" w:rsidP="0059538A">
      <w:pPr>
        <w:pStyle w:val="a3"/>
        <w:rPr>
          <w:shd w:val="pct15" w:color="auto" w:fill="FFFFFF"/>
          <w:lang w:val="es-ES_tradnl"/>
        </w:rPr>
      </w:pPr>
      <w:r w:rsidRPr="00494296">
        <w:rPr>
          <w:shd w:val="pct15" w:color="auto" w:fill="FFFFFF"/>
          <w:lang w:val="es-ES_tradnl"/>
        </w:rPr>
        <w:lastRenderedPageBreak/>
        <w:t>55218 Ingelheim</w:t>
      </w:r>
    </w:p>
    <w:p w14:paraId="0A3403FF" w14:textId="77777777" w:rsidR="0059538A" w:rsidRPr="009958EA" w:rsidRDefault="0059538A" w:rsidP="0059538A">
      <w:pPr>
        <w:pStyle w:val="a3"/>
        <w:rPr>
          <w:shd w:val="pct15" w:color="auto" w:fill="FFFFFF"/>
          <w:lang w:val="de-CH"/>
        </w:rPr>
      </w:pPr>
      <w:r w:rsidRPr="009958EA">
        <w:rPr>
          <w:shd w:val="pct15" w:color="auto" w:fill="FFFFFF"/>
          <w:lang w:val="de-CH"/>
        </w:rPr>
        <w:t>Niemcy</w:t>
      </w:r>
    </w:p>
    <w:p w14:paraId="088A004B" w14:textId="77777777" w:rsidR="0059538A" w:rsidRPr="00494296" w:rsidRDefault="0059538A" w:rsidP="0059538A">
      <w:pPr>
        <w:pStyle w:val="a3"/>
        <w:rPr>
          <w:shd w:val="pct15" w:color="auto" w:fill="FFFFFF"/>
          <w:lang w:val="es-ES_tradnl"/>
        </w:rPr>
      </w:pPr>
    </w:p>
    <w:p w14:paraId="3139E8A1" w14:textId="59D17D9C" w:rsidR="0059538A" w:rsidRPr="009958EA" w:rsidRDefault="0059538A" w:rsidP="0059538A">
      <w:pPr>
        <w:pStyle w:val="a3"/>
        <w:rPr>
          <w:shd w:val="pct15" w:color="auto" w:fill="FFFFFF"/>
          <w:lang w:val="fr-FR"/>
        </w:rPr>
      </w:pPr>
      <w:r w:rsidRPr="009958EA">
        <w:rPr>
          <w:shd w:val="pct15" w:color="auto" w:fill="FFFFFF"/>
          <w:lang w:val="fr-FR"/>
        </w:rPr>
        <w:t>KYMOS S.L.</w:t>
      </w:r>
    </w:p>
    <w:p w14:paraId="159E48D9" w14:textId="54CCB09F" w:rsidR="0059538A" w:rsidRPr="009958EA" w:rsidRDefault="0059538A" w:rsidP="0059538A">
      <w:pPr>
        <w:pStyle w:val="a3"/>
        <w:rPr>
          <w:shd w:val="pct15" w:color="auto" w:fill="FFFFFF"/>
          <w:lang w:val="fr-FR"/>
        </w:rPr>
      </w:pPr>
      <w:r w:rsidRPr="009958EA">
        <w:rPr>
          <w:shd w:val="pct15" w:color="auto" w:fill="FFFFFF"/>
          <w:lang w:val="fr-FR"/>
        </w:rPr>
        <w:t>Ronda Can Fatjó, 7B.</w:t>
      </w:r>
    </w:p>
    <w:p w14:paraId="745D76EF" w14:textId="6F180898" w:rsidR="0059538A" w:rsidRPr="009958EA" w:rsidRDefault="0059538A" w:rsidP="0059538A">
      <w:pPr>
        <w:pStyle w:val="a3"/>
        <w:rPr>
          <w:shd w:val="pct15" w:color="auto" w:fill="FFFFFF"/>
          <w:lang w:val="fr-FR"/>
        </w:rPr>
      </w:pPr>
      <w:r w:rsidRPr="009958EA">
        <w:rPr>
          <w:shd w:val="pct15" w:color="auto" w:fill="FFFFFF"/>
          <w:lang w:val="fr-FR"/>
        </w:rPr>
        <w:t>08290 Cerdanyola del Vallès</w:t>
      </w:r>
    </w:p>
    <w:p w14:paraId="40A8A151" w14:textId="3302BB4C" w:rsidR="0059538A" w:rsidRPr="009958EA" w:rsidRDefault="0059538A" w:rsidP="0059538A">
      <w:pPr>
        <w:pStyle w:val="a3"/>
        <w:rPr>
          <w:shd w:val="pct15" w:color="auto" w:fill="FFFFFF"/>
          <w:lang w:val="fr-FR"/>
        </w:rPr>
      </w:pPr>
      <w:r w:rsidRPr="009958EA">
        <w:rPr>
          <w:shd w:val="pct15" w:color="auto" w:fill="FFFFFF"/>
          <w:lang w:val="fr-FR"/>
        </w:rPr>
        <w:t>Barcelona</w:t>
      </w:r>
    </w:p>
    <w:p w14:paraId="204168E2" w14:textId="77777777" w:rsidR="0059538A" w:rsidRPr="009958EA" w:rsidRDefault="0059538A" w:rsidP="0059538A">
      <w:pPr>
        <w:pStyle w:val="a3"/>
        <w:rPr>
          <w:shd w:val="pct15" w:color="auto" w:fill="FFFFFF"/>
          <w:lang w:val="fr-FR"/>
        </w:rPr>
      </w:pPr>
      <w:r w:rsidRPr="009958EA">
        <w:rPr>
          <w:shd w:val="pct15" w:color="auto" w:fill="FFFFFF"/>
          <w:lang w:val="fr-FR"/>
        </w:rPr>
        <w:t>Hiszpania</w:t>
      </w:r>
    </w:p>
    <w:p w14:paraId="08617262" w14:textId="77777777" w:rsidR="0059538A" w:rsidRPr="008F328C" w:rsidRDefault="0059538A" w:rsidP="0059538A">
      <w:pPr>
        <w:spacing w:before="14" w:line="240" w:lineRule="exact"/>
        <w:rPr>
          <w:rFonts w:ascii="Times New Roman" w:hAnsi="Times New Roman" w:cs="Times New Roman"/>
          <w:sz w:val="24"/>
          <w:szCs w:val="24"/>
          <w:lang w:val="fr-FR"/>
        </w:rPr>
      </w:pPr>
    </w:p>
    <w:p w14:paraId="1D6DC9A2" w14:textId="77777777" w:rsidR="0059538A" w:rsidRPr="008F328C" w:rsidRDefault="0059538A" w:rsidP="0059538A">
      <w:pPr>
        <w:pStyle w:val="a3"/>
        <w:rPr>
          <w:lang w:val="pl-PL"/>
        </w:rPr>
      </w:pPr>
      <w:r w:rsidRPr="008F328C">
        <w:rPr>
          <w:rFonts w:eastAsia="Times New Roman"/>
          <w:lang w:val="pl-PL"/>
        </w:rPr>
        <w:t>W celu uzyskania bardziej szczegółowych informacji dotyczących tego leku należy zwrócić się do miejscowego przedstawiciela podmiotu odpowiedzialnego:</w:t>
      </w:r>
    </w:p>
    <w:tbl>
      <w:tblPr>
        <w:tblW w:w="5000" w:type="pct"/>
        <w:tblLook w:val="04A0" w:firstRow="1" w:lastRow="0" w:firstColumn="1" w:lastColumn="0" w:noHBand="0" w:noVBand="1"/>
      </w:tblPr>
      <w:tblGrid>
        <w:gridCol w:w="4702"/>
        <w:gridCol w:w="4702"/>
      </w:tblGrid>
      <w:tr w:rsidR="0059538A" w:rsidRPr="008F328C" w14:paraId="5FDC9992" w14:textId="77777777" w:rsidTr="00ED6A7B">
        <w:tc>
          <w:tcPr>
            <w:tcW w:w="2500" w:type="pct"/>
            <w:hideMark/>
          </w:tcPr>
          <w:p w14:paraId="16B74E9C" w14:textId="77777777" w:rsidR="0059538A" w:rsidRPr="008F328C" w:rsidRDefault="0059538A" w:rsidP="00ED6A7B">
            <w:pPr>
              <w:rPr>
                <w:rFonts w:ascii="Times New Roman" w:hAnsi="Times New Roman" w:cs="Times New Roman"/>
                <w:b/>
                <w:lang w:val="en-GB" w:eastAsia="fr-FR"/>
              </w:rPr>
            </w:pPr>
            <w:r w:rsidRPr="008F328C">
              <w:rPr>
                <w:rFonts w:ascii="Times New Roman" w:eastAsia="맑은 고딕" w:hAnsi="Times New Roman" w:cs="Times New Roman"/>
                <w:b/>
                <w:lang w:val="en-GB" w:eastAsia="fr-FR"/>
              </w:rPr>
              <w:t>België/Belgique/Belgien</w:t>
            </w:r>
          </w:p>
          <w:p w14:paraId="114F73AB" w14:textId="77777777" w:rsidR="0059538A" w:rsidRPr="008F328C" w:rsidRDefault="0059538A" w:rsidP="00ED6A7B">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Belgium BVBA</w:t>
            </w:r>
          </w:p>
          <w:p w14:paraId="3015150E" w14:textId="77777777" w:rsidR="0059538A" w:rsidRPr="008F328C" w:rsidRDefault="0059538A" w:rsidP="00ED6A7B">
            <w:pPr>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Tél/Tel: + 32 1528 7418</w:t>
            </w:r>
          </w:p>
        </w:tc>
        <w:tc>
          <w:tcPr>
            <w:tcW w:w="2500" w:type="pct"/>
          </w:tcPr>
          <w:p w14:paraId="33D57AD3" w14:textId="77777777" w:rsidR="0059538A" w:rsidRPr="008F328C" w:rsidRDefault="0059538A" w:rsidP="00ED6A7B">
            <w:pPr>
              <w:tabs>
                <w:tab w:val="left" w:pos="-720"/>
              </w:tabs>
              <w:suppressAutoHyphens/>
              <w:rPr>
                <w:rFonts w:ascii="Times New Roman" w:hAnsi="Times New Roman" w:cs="Times New Roman"/>
                <w:b/>
                <w:lang w:val="en-GB" w:eastAsia="fr-FR"/>
              </w:rPr>
            </w:pPr>
            <w:r w:rsidRPr="008F328C">
              <w:rPr>
                <w:rFonts w:ascii="Times New Roman" w:hAnsi="Times New Roman" w:cs="Times New Roman"/>
                <w:b/>
                <w:lang w:val="en-GB" w:eastAsia="fr-FR"/>
              </w:rPr>
              <w:t>Lietuva</w:t>
            </w:r>
          </w:p>
          <w:p w14:paraId="1FD5C819"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676A1995"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C64534D" w14:textId="77777777" w:rsidR="0059538A" w:rsidRPr="008F328C" w:rsidRDefault="0059538A" w:rsidP="00ED6A7B">
            <w:pPr>
              <w:autoSpaceDE w:val="0"/>
              <w:autoSpaceDN w:val="0"/>
              <w:adjustRightInd w:val="0"/>
              <w:rPr>
                <w:rFonts w:ascii="Times New Roman" w:hAnsi="Times New Roman" w:cs="Times New Roman"/>
                <w:lang w:val="en-GB" w:eastAsia="fr-FR"/>
              </w:rPr>
            </w:pPr>
          </w:p>
        </w:tc>
      </w:tr>
      <w:tr w:rsidR="0059538A" w:rsidRPr="008F328C" w14:paraId="6CF3B12B" w14:textId="77777777" w:rsidTr="00ED6A7B">
        <w:trPr>
          <w:trHeight w:val="619"/>
        </w:trPr>
        <w:tc>
          <w:tcPr>
            <w:tcW w:w="2500" w:type="pct"/>
          </w:tcPr>
          <w:p w14:paraId="2CFC65C2" w14:textId="77777777" w:rsidR="0059538A" w:rsidRPr="008F328C" w:rsidRDefault="0059538A" w:rsidP="00ED6A7B">
            <w:pPr>
              <w:rPr>
                <w:rFonts w:ascii="Times New Roman" w:eastAsia="맑은 고딕" w:hAnsi="Times New Roman" w:cs="Times New Roman"/>
                <w:b/>
                <w:lang w:val="en-GB" w:eastAsia="fr-FR"/>
              </w:rPr>
            </w:pPr>
            <w:r w:rsidRPr="008F328C">
              <w:rPr>
                <w:rFonts w:ascii="Times New Roman" w:hAnsi="Times New Roman" w:cs="Times New Roman"/>
                <w:b/>
                <w:bCs/>
                <w:lang w:val="pl-PL"/>
              </w:rPr>
              <w:t>България</w:t>
            </w:r>
          </w:p>
          <w:p w14:paraId="69D896A5"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518299C"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Teл.: +36 1 231 0493</w:t>
            </w:r>
          </w:p>
          <w:p w14:paraId="7B010E33" w14:textId="77777777" w:rsidR="0059538A" w:rsidRPr="008F328C" w:rsidRDefault="0059538A" w:rsidP="00ED6A7B">
            <w:pPr>
              <w:rPr>
                <w:rFonts w:ascii="Times New Roman" w:hAnsi="Times New Roman" w:cs="Times New Roman"/>
                <w:lang w:val="en-GB" w:eastAsia="fr-FR"/>
              </w:rPr>
            </w:pPr>
          </w:p>
        </w:tc>
        <w:tc>
          <w:tcPr>
            <w:tcW w:w="2500" w:type="pct"/>
            <w:hideMark/>
          </w:tcPr>
          <w:p w14:paraId="728AB422" w14:textId="77777777" w:rsidR="0059538A" w:rsidRPr="008F328C" w:rsidRDefault="0059538A" w:rsidP="00ED6A7B">
            <w:pPr>
              <w:tabs>
                <w:tab w:val="left" w:pos="-720"/>
              </w:tabs>
              <w:suppressAutoHyphens/>
              <w:rPr>
                <w:rFonts w:ascii="Times New Roman" w:hAnsi="Times New Roman" w:cs="Times New Roman"/>
                <w:lang w:val="de-CH" w:eastAsia="fr-FR"/>
              </w:rPr>
            </w:pPr>
            <w:r w:rsidRPr="008F328C">
              <w:rPr>
                <w:rFonts w:ascii="Times New Roman" w:eastAsia="맑은 고딕" w:hAnsi="Times New Roman" w:cs="Times New Roman"/>
                <w:b/>
                <w:lang w:val="de-CH" w:eastAsia="fr-FR"/>
              </w:rPr>
              <w:t>Luxembourg/Luxemburg</w:t>
            </w:r>
          </w:p>
          <w:p w14:paraId="4E2D750F" w14:textId="77777777" w:rsidR="0059538A" w:rsidRPr="008F328C" w:rsidRDefault="0059538A" w:rsidP="00ED6A7B">
            <w:pPr>
              <w:tabs>
                <w:tab w:val="left" w:pos="-720"/>
              </w:tabs>
              <w:suppressAutoHyphens/>
              <w:rPr>
                <w:rFonts w:ascii="Times New Roman" w:eastAsia="맑은 고딕" w:hAnsi="Times New Roman" w:cs="Times New Roman"/>
                <w:iCs/>
                <w:lang w:val="de-CH" w:eastAsia="fr-FR"/>
              </w:rPr>
            </w:pPr>
            <w:r w:rsidRPr="008F328C">
              <w:rPr>
                <w:rFonts w:ascii="Times New Roman" w:eastAsia="맑은 고딕" w:hAnsi="Times New Roman" w:cs="Times New Roman"/>
                <w:iCs/>
                <w:lang w:val="de-CH" w:eastAsia="fr-FR"/>
              </w:rPr>
              <w:t>Celltrion Healthcare Belgium BVBA</w:t>
            </w:r>
          </w:p>
          <w:p w14:paraId="40F0B244" w14:textId="77777777" w:rsidR="0059538A" w:rsidRPr="008F328C" w:rsidRDefault="0059538A" w:rsidP="00ED6A7B">
            <w:pPr>
              <w:tabs>
                <w:tab w:val="left" w:pos="-720"/>
              </w:tabs>
              <w:suppressAutoHyphens/>
              <w:rPr>
                <w:rFonts w:ascii="Times New Roman" w:eastAsia="맑은 고딕" w:hAnsi="Times New Roman" w:cs="Times New Roman"/>
                <w:lang w:val="pl-PL" w:eastAsia="ko-KR"/>
              </w:rPr>
            </w:pPr>
            <w:r w:rsidRPr="008F328C">
              <w:rPr>
                <w:rFonts w:ascii="Times New Roman" w:eastAsia="맑은 고딕" w:hAnsi="Times New Roman" w:cs="Times New Roman"/>
                <w:lang w:val="pl-PL" w:eastAsia="fr-FR"/>
              </w:rPr>
              <w:t xml:space="preserve">Tél/Tel: </w:t>
            </w:r>
            <w:r w:rsidRPr="008F328C">
              <w:rPr>
                <w:rFonts w:ascii="Times New Roman" w:eastAsia="맑은 고딕" w:hAnsi="Times New Roman" w:cs="Times New Roman"/>
                <w:iCs/>
                <w:lang w:val="pl-PL" w:eastAsia="fr-FR"/>
              </w:rPr>
              <w:t>+ 32 1528 7418</w:t>
            </w:r>
          </w:p>
        </w:tc>
      </w:tr>
      <w:tr w:rsidR="0059538A" w:rsidRPr="008F328C" w14:paraId="1D3C29F8" w14:textId="77777777" w:rsidTr="00ED6A7B">
        <w:tc>
          <w:tcPr>
            <w:tcW w:w="2500" w:type="pct"/>
            <w:hideMark/>
          </w:tcPr>
          <w:p w14:paraId="5BE0AFFC" w14:textId="77777777" w:rsidR="0059538A" w:rsidRPr="008F328C" w:rsidRDefault="0059538A" w:rsidP="00ED6A7B">
            <w:pPr>
              <w:tabs>
                <w:tab w:val="left" w:pos="-720"/>
              </w:tabs>
              <w:suppressAutoHyphens/>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Česká republika</w:t>
            </w:r>
          </w:p>
          <w:p w14:paraId="55CC5001"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A262110"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3CF2F77" w14:textId="77777777" w:rsidR="0059538A" w:rsidRPr="008F328C" w:rsidRDefault="0059538A" w:rsidP="00ED6A7B">
            <w:pPr>
              <w:tabs>
                <w:tab w:val="left" w:pos="-720"/>
              </w:tabs>
              <w:suppressAutoHyphens/>
              <w:rPr>
                <w:rFonts w:ascii="Times New Roman" w:hAnsi="Times New Roman" w:cs="Times New Roman"/>
                <w:lang w:val="pl-PL" w:eastAsia="fr-FR"/>
              </w:rPr>
            </w:pPr>
          </w:p>
        </w:tc>
        <w:tc>
          <w:tcPr>
            <w:tcW w:w="2500" w:type="pct"/>
          </w:tcPr>
          <w:p w14:paraId="7E5CBB19" w14:textId="77777777" w:rsidR="0059538A" w:rsidRPr="008F328C" w:rsidRDefault="0059538A" w:rsidP="00ED6A7B">
            <w:pPr>
              <w:rPr>
                <w:rFonts w:ascii="Times New Roman" w:eastAsia="맑은 고딕" w:hAnsi="Times New Roman" w:cs="Times New Roman"/>
                <w:b/>
                <w:lang w:val="en-GB" w:eastAsia="fr-FR"/>
              </w:rPr>
            </w:pPr>
            <w:r w:rsidRPr="008F328C">
              <w:rPr>
                <w:rFonts w:ascii="Times New Roman" w:hAnsi="Times New Roman" w:cs="Times New Roman"/>
                <w:b/>
                <w:lang w:val="en-GB"/>
              </w:rPr>
              <w:t>Magyarország</w:t>
            </w:r>
          </w:p>
          <w:p w14:paraId="4682AA3D"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DC9BF41"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5FBAD2F7" w14:textId="77777777" w:rsidR="0059538A" w:rsidRPr="008F328C" w:rsidRDefault="0059538A" w:rsidP="00ED6A7B">
            <w:pPr>
              <w:rPr>
                <w:rFonts w:ascii="Times New Roman" w:eastAsia="맑은 고딕" w:hAnsi="Times New Roman" w:cs="Times New Roman"/>
                <w:lang w:val="pl-PL" w:eastAsia="ko-KR"/>
              </w:rPr>
            </w:pPr>
          </w:p>
        </w:tc>
      </w:tr>
      <w:tr w:rsidR="0059538A" w:rsidRPr="008F328C" w14:paraId="6A2E648E" w14:textId="77777777" w:rsidTr="00ED6A7B">
        <w:tc>
          <w:tcPr>
            <w:tcW w:w="2500" w:type="pct"/>
            <w:hideMark/>
          </w:tcPr>
          <w:p w14:paraId="2822D993" w14:textId="77777777" w:rsidR="0059538A" w:rsidRPr="008F328C" w:rsidRDefault="0059538A" w:rsidP="00ED6A7B">
            <w:pPr>
              <w:tabs>
                <w:tab w:val="left" w:pos="-720"/>
              </w:tabs>
              <w:suppressAutoHyphens/>
              <w:rPr>
                <w:rFonts w:ascii="Times New Roman" w:hAnsi="Times New Roman" w:cs="Times New Roman"/>
                <w:b/>
                <w:bCs/>
                <w:i/>
                <w:iCs/>
                <w:lang w:val="en-GB" w:eastAsia="fr-FR"/>
              </w:rPr>
            </w:pPr>
            <w:r w:rsidRPr="008F328C">
              <w:rPr>
                <w:rFonts w:ascii="Times New Roman" w:hAnsi="Times New Roman" w:cs="Times New Roman"/>
                <w:b/>
                <w:lang w:val="en-GB"/>
              </w:rPr>
              <w:t>Danmark</w:t>
            </w:r>
          </w:p>
          <w:p w14:paraId="5C01A502" w14:textId="77777777" w:rsidR="0059538A" w:rsidRPr="008F328C" w:rsidRDefault="0059538A" w:rsidP="00ED6A7B">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Hungary Kft.</w:t>
            </w:r>
          </w:p>
          <w:p w14:paraId="462417F1"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tc>
        <w:tc>
          <w:tcPr>
            <w:tcW w:w="2500" w:type="pct"/>
          </w:tcPr>
          <w:p w14:paraId="71B746B3" w14:textId="77777777" w:rsidR="0059538A" w:rsidRPr="008F328C" w:rsidRDefault="0059538A" w:rsidP="00ED6A7B">
            <w:pPr>
              <w:rPr>
                <w:rFonts w:ascii="Times New Roman" w:hAnsi="Times New Roman" w:cs="Times New Roman"/>
                <w:lang w:val="en-GB" w:eastAsia="fr-FR"/>
              </w:rPr>
            </w:pPr>
            <w:r w:rsidRPr="008F328C">
              <w:rPr>
                <w:rFonts w:ascii="Times New Roman" w:eastAsia="맑은 고딕" w:hAnsi="Times New Roman" w:cs="Times New Roman"/>
                <w:b/>
                <w:lang w:val="en-GB" w:eastAsia="fr-FR"/>
              </w:rPr>
              <w:t>Malta</w:t>
            </w:r>
          </w:p>
          <w:p w14:paraId="1F202C2D" w14:textId="77777777" w:rsidR="0059538A" w:rsidRPr="008F328C" w:rsidRDefault="0059538A" w:rsidP="00ED6A7B">
            <w:pPr>
              <w:tabs>
                <w:tab w:val="left" w:pos="-720"/>
              </w:tabs>
              <w:suppressAutoHyphens/>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Mint Health Ltd.</w:t>
            </w:r>
          </w:p>
          <w:p w14:paraId="304B8A99" w14:textId="77777777" w:rsidR="0059538A" w:rsidRPr="008F328C" w:rsidRDefault="0059538A" w:rsidP="00ED6A7B">
            <w:pPr>
              <w:rPr>
                <w:rFonts w:ascii="Times New Roman" w:eastAsia="맑은 고딕" w:hAnsi="Times New Roman" w:cs="Times New Roman"/>
                <w:lang w:val="en-GB" w:eastAsia="ko-KR"/>
              </w:rPr>
            </w:pPr>
            <w:r w:rsidRPr="008F328C">
              <w:rPr>
                <w:rFonts w:ascii="Times New Roman" w:eastAsia="맑은 고딕" w:hAnsi="Times New Roman" w:cs="Times New Roman"/>
                <w:lang w:val="en-GB" w:eastAsia="fr-FR"/>
              </w:rPr>
              <w:t>Tel: +356 2093 9800</w:t>
            </w:r>
          </w:p>
          <w:p w14:paraId="5D10D7A9" w14:textId="77777777" w:rsidR="0059538A" w:rsidRPr="008F328C" w:rsidRDefault="0059538A" w:rsidP="00ED6A7B">
            <w:pPr>
              <w:rPr>
                <w:rFonts w:ascii="Times New Roman" w:eastAsia="맑은 고딕" w:hAnsi="Times New Roman" w:cs="Times New Roman"/>
                <w:lang w:val="en-GB" w:eastAsia="ko-KR"/>
              </w:rPr>
            </w:pPr>
          </w:p>
        </w:tc>
      </w:tr>
      <w:tr w:rsidR="0059538A" w:rsidRPr="008F328C" w14:paraId="17BB25AE" w14:textId="77777777" w:rsidTr="00ED6A7B">
        <w:tc>
          <w:tcPr>
            <w:tcW w:w="2500" w:type="pct"/>
            <w:hideMark/>
          </w:tcPr>
          <w:p w14:paraId="10D48696" w14:textId="77777777" w:rsidR="0059538A" w:rsidRPr="008F328C" w:rsidRDefault="0059538A" w:rsidP="00ED6A7B">
            <w:pPr>
              <w:rPr>
                <w:rFonts w:ascii="Times New Roman" w:hAnsi="Times New Roman" w:cs="Times New Roman"/>
                <w:b/>
                <w:lang w:eastAsia="fr-FR"/>
              </w:rPr>
            </w:pPr>
            <w:r w:rsidRPr="008F328C">
              <w:rPr>
                <w:rFonts w:ascii="Times New Roman" w:eastAsia="맑은 고딕" w:hAnsi="Times New Roman" w:cs="Times New Roman"/>
                <w:b/>
                <w:lang w:eastAsia="fr-FR"/>
              </w:rPr>
              <w:t>Deutschland</w:t>
            </w:r>
          </w:p>
          <w:p w14:paraId="4C4C15C6" w14:textId="77777777" w:rsidR="00171E41" w:rsidRPr="00171E41" w:rsidRDefault="00171E41" w:rsidP="00171E41">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Celltrion Healthcare Deutschland GmbH</w:t>
            </w:r>
          </w:p>
          <w:p w14:paraId="0FE7FC1F" w14:textId="6E561D08" w:rsidR="006A381F" w:rsidRDefault="00171E41" w:rsidP="006A381F">
            <w:pPr>
              <w:rPr>
                <w:rFonts w:ascii="Times New Roman" w:eastAsia="맑은 고딕" w:hAnsi="Times New Roman" w:cs="Times New Roman"/>
                <w:lang w:eastAsia="fr-FR"/>
              </w:rPr>
            </w:pPr>
            <w:r w:rsidRPr="00171E41">
              <w:rPr>
                <w:rFonts w:ascii="Times New Roman" w:eastAsia="맑은 고딕" w:hAnsi="Times New Roman" w:cs="Times New Roman"/>
                <w:lang w:eastAsia="fr-FR"/>
              </w:rPr>
              <w:t>Tel. +49 (0)</w:t>
            </w:r>
            <w:r w:rsidR="0023510F">
              <w:rPr>
                <w:rFonts w:ascii="Times New Roman" w:eastAsia="맑은 고딕" w:hAnsi="Times New Roman" w:cs="Times New Roman"/>
                <w:lang w:eastAsia="fr-FR"/>
              </w:rPr>
              <w:t>30 346494150</w:t>
            </w:r>
            <w:r w:rsidRPr="00171E41">
              <w:rPr>
                <w:rFonts w:ascii="Times New Roman" w:eastAsia="맑은 고딕" w:hAnsi="Times New Roman" w:cs="Times New Roman"/>
                <w:lang w:eastAsia="fr-FR"/>
              </w:rPr>
              <w:t xml:space="preserve"> </w:t>
            </w:r>
            <w:hyperlink r:id="rId156" w:history="1">
              <w:r w:rsidR="006A381F" w:rsidRPr="009F265B">
                <w:rPr>
                  <w:rStyle w:val="ad"/>
                  <w:rFonts w:ascii="Times New Roman" w:eastAsia="맑은 고딕" w:hAnsi="Times New Roman" w:cs="Times New Roman"/>
                  <w:lang w:eastAsia="fr-FR"/>
                </w:rPr>
                <w:t>infoDE@celltrionhc.com</w:t>
              </w:r>
            </w:hyperlink>
          </w:p>
          <w:p w14:paraId="53499641" w14:textId="77777777" w:rsidR="006A381F" w:rsidRPr="008F328C" w:rsidRDefault="006A381F" w:rsidP="00171E41">
            <w:pPr>
              <w:rPr>
                <w:rFonts w:ascii="Times New Roman" w:eastAsia="맑은 고딕" w:hAnsi="Times New Roman" w:cs="Times New Roman"/>
                <w:lang w:eastAsia="fr-FR"/>
              </w:rPr>
            </w:pPr>
          </w:p>
          <w:p w14:paraId="7E2B6D29"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p>
        </w:tc>
        <w:tc>
          <w:tcPr>
            <w:tcW w:w="2500" w:type="pct"/>
          </w:tcPr>
          <w:p w14:paraId="6307AF2F" w14:textId="77777777" w:rsidR="0059538A" w:rsidRPr="008F328C" w:rsidRDefault="0059538A" w:rsidP="00ED6A7B">
            <w:pPr>
              <w:rPr>
                <w:rFonts w:ascii="Times New Roman" w:hAnsi="Times New Roman" w:cs="Times New Roman"/>
                <w:lang w:eastAsia="fr-FR"/>
              </w:rPr>
            </w:pPr>
            <w:r w:rsidRPr="008F328C">
              <w:rPr>
                <w:rFonts w:ascii="Times New Roman" w:eastAsia="맑은 고딕" w:hAnsi="Times New Roman" w:cs="Times New Roman"/>
                <w:b/>
                <w:lang w:eastAsia="fr-FR"/>
              </w:rPr>
              <w:t>Nederland</w:t>
            </w:r>
          </w:p>
          <w:p w14:paraId="38D8907E"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Netherlands B.V.</w:t>
            </w:r>
          </w:p>
          <w:p w14:paraId="672BF342" w14:textId="77777777" w:rsidR="0059538A" w:rsidRPr="008F328C" w:rsidRDefault="0059538A" w:rsidP="00ED6A7B">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+ 31 20 888 7300</w:t>
            </w:r>
          </w:p>
          <w:p w14:paraId="1C2021BE" w14:textId="77777777" w:rsidR="0059538A" w:rsidRPr="008F328C" w:rsidRDefault="0059538A" w:rsidP="00ED6A7B">
            <w:pPr>
              <w:rPr>
                <w:rFonts w:ascii="Times New Roman" w:eastAsia="맑은 고딕" w:hAnsi="Times New Roman" w:cs="Times New Roman"/>
                <w:lang w:val="pl-PL" w:eastAsia="fr-FR"/>
              </w:rPr>
            </w:pPr>
          </w:p>
        </w:tc>
      </w:tr>
      <w:tr w:rsidR="0059538A" w:rsidRPr="008F328C" w14:paraId="571F725F" w14:textId="77777777" w:rsidTr="00ED6A7B">
        <w:tc>
          <w:tcPr>
            <w:tcW w:w="2500" w:type="pct"/>
            <w:hideMark/>
          </w:tcPr>
          <w:p w14:paraId="01A14BC6" w14:textId="77777777" w:rsidR="0059538A" w:rsidRPr="008F328C" w:rsidRDefault="0059538A" w:rsidP="00ED6A7B">
            <w:pPr>
              <w:tabs>
                <w:tab w:val="left" w:pos="-720"/>
                <w:tab w:val="left" w:pos="4536"/>
              </w:tabs>
              <w:suppressAutoHyphens/>
              <w:rPr>
                <w:rFonts w:ascii="Times New Roman" w:hAnsi="Times New Roman" w:cs="Times New Roman"/>
                <w:b/>
                <w:lang w:eastAsia="fr-FR"/>
              </w:rPr>
            </w:pPr>
            <w:r w:rsidRPr="008F328C">
              <w:rPr>
                <w:rFonts w:ascii="Times New Roman" w:eastAsia="맑은 고딕" w:hAnsi="Times New Roman" w:cs="Times New Roman"/>
                <w:b/>
                <w:lang w:eastAsia="fr-FR"/>
              </w:rPr>
              <w:t>Eesti</w:t>
            </w:r>
          </w:p>
          <w:p w14:paraId="23E489F4"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18D10C3"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6BC8D3E1" w14:textId="77777777" w:rsidR="0059538A" w:rsidRPr="008F328C" w:rsidRDefault="0059538A" w:rsidP="00ED6A7B">
            <w:pPr>
              <w:tabs>
                <w:tab w:val="left" w:pos="-720"/>
              </w:tabs>
              <w:suppressAutoHyphens/>
              <w:rPr>
                <w:rFonts w:ascii="Times New Roman" w:eastAsia="맑은 고딕" w:hAnsi="Times New Roman" w:cs="Times New Roman"/>
                <w:lang w:val="pl-PL" w:eastAsia="ko-KR"/>
              </w:rPr>
            </w:pPr>
          </w:p>
        </w:tc>
        <w:tc>
          <w:tcPr>
            <w:tcW w:w="2500" w:type="pct"/>
          </w:tcPr>
          <w:p w14:paraId="1275486E" w14:textId="77777777" w:rsidR="0059538A" w:rsidRPr="008F328C" w:rsidRDefault="0059538A" w:rsidP="00ED6A7B">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Norge</w:t>
            </w:r>
          </w:p>
          <w:p w14:paraId="38684C33"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144008C3"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Tlf: +36 1 231 0493</w:t>
            </w:r>
          </w:p>
          <w:p w14:paraId="779CD835" w14:textId="77777777" w:rsidR="0059538A" w:rsidRPr="008F328C" w:rsidRDefault="0059538A" w:rsidP="00ED6A7B">
            <w:pPr>
              <w:tabs>
                <w:tab w:val="left" w:pos="-720"/>
              </w:tabs>
              <w:suppressAutoHyphens/>
              <w:rPr>
                <w:rFonts w:ascii="Times New Roman" w:eastAsia="맑은 고딕" w:hAnsi="Times New Roman" w:cs="Times New Roman"/>
                <w:lang w:val="pl-PL" w:eastAsia="ko-KR"/>
              </w:rPr>
            </w:pPr>
          </w:p>
        </w:tc>
      </w:tr>
      <w:tr w:rsidR="0059538A" w:rsidRPr="008F328C" w14:paraId="5DE8A348" w14:textId="77777777" w:rsidTr="00ED6A7B">
        <w:tc>
          <w:tcPr>
            <w:tcW w:w="2500" w:type="pct"/>
            <w:hideMark/>
          </w:tcPr>
          <w:p w14:paraId="6C738FEF" w14:textId="77777777" w:rsidR="0059538A" w:rsidRPr="008F328C" w:rsidRDefault="0059538A" w:rsidP="00ED6A7B">
            <w:pPr>
              <w:rPr>
                <w:rFonts w:ascii="Times New Roman" w:hAnsi="Times New Roman" w:cs="Times New Roman"/>
                <w:lang w:val="es-ES" w:eastAsia="fr-FR"/>
              </w:rPr>
            </w:pPr>
            <w:r w:rsidRPr="008F328C">
              <w:rPr>
                <w:rFonts w:ascii="Times New Roman" w:hAnsi="Times New Roman" w:cs="Times New Roman"/>
                <w:b/>
                <w:lang w:val="es-ES"/>
              </w:rPr>
              <w:t>España</w:t>
            </w:r>
          </w:p>
          <w:p w14:paraId="2865B378" w14:textId="77777777" w:rsidR="0059538A" w:rsidRPr="008F328C" w:rsidRDefault="0059538A" w:rsidP="00ED6A7B">
            <w:pPr>
              <w:rPr>
                <w:rFonts w:ascii="Times New Roman" w:eastAsia="맑은 고딕" w:hAnsi="Times New Roman" w:cs="Times New Roman"/>
                <w:lang w:val="es-ES" w:eastAsia="fr-FR"/>
              </w:rPr>
            </w:pPr>
            <w:r w:rsidRPr="008F328C">
              <w:rPr>
                <w:rFonts w:ascii="Times New Roman" w:eastAsia="맑은 고딕" w:hAnsi="Times New Roman" w:cs="Times New Roman"/>
                <w:lang w:val="es-ES" w:eastAsia="fr-FR"/>
              </w:rPr>
              <w:t>Kern Pharma, S.L.</w:t>
            </w:r>
          </w:p>
          <w:p w14:paraId="60A2CEF2" w14:textId="77777777" w:rsidR="0059538A" w:rsidRPr="008F328C" w:rsidRDefault="0059538A" w:rsidP="00ED6A7B">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+34 93 700 2525</w:t>
            </w:r>
          </w:p>
          <w:p w14:paraId="60E9F746" w14:textId="77777777" w:rsidR="0059538A" w:rsidRPr="008F328C" w:rsidRDefault="0059538A" w:rsidP="00ED6A7B">
            <w:pPr>
              <w:rPr>
                <w:rFonts w:ascii="Times New Roman" w:hAnsi="Times New Roman" w:cs="Times New Roman"/>
                <w:b/>
                <w:lang w:val="pl-PL" w:eastAsia="fr-FR"/>
              </w:rPr>
            </w:pPr>
          </w:p>
        </w:tc>
        <w:tc>
          <w:tcPr>
            <w:tcW w:w="2500" w:type="pct"/>
          </w:tcPr>
          <w:p w14:paraId="0AC01EB6" w14:textId="77777777" w:rsidR="0059538A" w:rsidRPr="008F328C" w:rsidRDefault="0059538A" w:rsidP="00ED6A7B">
            <w:pPr>
              <w:rPr>
                <w:rFonts w:ascii="Times New Roman" w:hAnsi="Times New Roman" w:cs="Times New Roman"/>
                <w:lang w:val="de-DE" w:eastAsia="fr-FR"/>
              </w:rPr>
            </w:pPr>
            <w:r w:rsidRPr="008F328C">
              <w:rPr>
                <w:rFonts w:ascii="Times New Roman" w:hAnsi="Times New Roman" w:cs="Times New Roman"/>
                <w:b/>
                <w:lang w:val="de-DE"/>
              </w:rPr>
              <w:t>Österreich</w:t>
            </w:r>
          </w:p>
          <w:p w14:paraId="0766DD46" w14:textId="77777777" w:rsidR="0059538A" w:rsidRPr="008F328C" w:rsidRDefault="0059538A" w:rsidP="00ED6A7B">
            <w:pPr>
              <w:rPr>
                <w:rFonts w:ascii="Times New Roman" w:eastAsia="맑은 고딕" w:hAnsi="Times New Roman" w:cs="Times New Roman"/>
                <w:lang w:val="de-DE" w:eastAsia="ko-KR"/>
              </w:rPr>
            </w:pPr>
            <w:r w:rsidRPr="008F328C">
              <w:rPr>
                <w:rFonts w:ascii="Times New Roman" w:eastAsia="맑은 고딕" w:hAnsi="Times New Roman" w:cs="Times New Roman"/>
                <w:lang w:val="de-DE" w:eastAsia="fr-FR"/>
              </w:rPr>
              <w:t>Astro-Pharma GmbH</w:t>
            </w:r>
          </w:p>
          <w:p w14:paraId="10437FE7" w14:textId="77777777" w:rsidR="0059538A" w:rsidRPr="008F328C" w:rsidRDefault="0059538A" w:rsidP="00ED6A7B">
            <w:pPr>
              <w:tabs>
                <w:tab w:val="left" w:pos="-720"/>
              </w:tabs>
              <w:suppressAutoHyphens/>
              <w:rPr>
                <w:rFonts w:ascii="Times New Roman" w:eastAsia="맑은 고딕" w:hAnsi="Times New Roman" w:cs="Times New Roman"/>
                <w:lang w:val="de-DE" w:eastAsia="fr-FR"/>
              </w:rPr>
            </w:pPr>
            <w:r w:rsidRPr="008F328C">
              <w:rPr>
                <w:rFonts w:ascii="Times New Roman" w:eastAsia="맑은 고딕" w:hAnsi="Times New Roman" w:cs="Times New Roman"/>
                <w:lang w:val="de-DE" w:eastAsia="fr-FR"/>
              </w:rPr>
              <w:t>Tel: +43 1 97 99 860</w:t>
            </w:r>
          </w:p>
          <w:p w14:paraId="088E809C" w14:textId="77777777" w:rsidR="0059538A" w:rsidRPr="008F328C" w:rsidRDefault="0059538A" w:rsidP="00ED6A7B">
            <w:pPr>
              <w:tabs>
                <w:tab w:val="left" w:pos="-720"/>
              </w:tabs>
              <w:suppressAutoHyphens/>
              <w:rPr>
                <w:rFonts w:ascii="Times New Roman" w:hAnsi="Times New Roman" w:cs="Times New Roman"/>
                <w:lang w:val="de-DE" w:eastAsia="fr-FR"/>
              </w:rPr>
            </w:pPr>
          </w:p>
        </w:tc>
      </w:tr>
      <w:tr w:rsidR="0059538A" w:rsidRPr="008F328C" w14:paraId="5C369343" w14:textId="77777777" w:rsidTr="00ED6A7B">
        <w:tc>
          <w:tcPr>
            <w:tcW w:w="2500" w:type="pct"/>
          </w:tcPr>
          <w:p w14:paraId="40CCED5A" w14:textId="77777777" w:rsidR="0059538A" w:rsidRPr="008F328C" w:rsidRDefault="0059538A" w:rsidP="00ED6A7B">
            <w:pPr>
              <w:rPr>
                <w:rFonts w:ascii="Times New Roman" w:hAnsi="Times New Roman" w:cs="Times New Roman"/>
                <w:b/>
                <w:lang w:val="el-GR" w:eastAsia="fr-FR"/>
              </w:rPr>
            </w:pPr>
            <w:r w:rsidRPr="008F328C">
              <w:rPr>
                <w:rFonts w:ascii="Times New Roman" w:hAnsi="Times New Roman" w:cs="Times New Roman"/>
                <w:b/>
                <w:lang w:val="el-GR" w:eastAsia="fr-FR"/>
              </w:rPr>
              <w:t>Ελλάδα</w:t>
            </w:r>
          </w:p>
          <w:p w14:paraId="10BA7AA0" w14:textId="77777777" w:rsidR="0059538A" w:rsidRPr="008F328C" w:rsidRDefault="0059538A" w:rsidP="00ED6A7B">
            <w:pPr>
              <w:rPr>
                <w:rFonts w:ascii="Times New Roman" w:hAnsi="Times New Roman" w:cs="Times New Roman"/>
                <w:lang w:val="el-GR" w:eastAsia="fr-FR"/>
              </w:rPr>
            </w:pPr>
            <w:r w:rsidRPr="008F328C">
              <w:rPr>
                <w:rFonts w:ascii="Times New Roman" w:hAnsi="Times New Roman" w:cs="Times New Roman"/>
                <w:lang w:val="el-GR" w:eastAsia="fr-FR"/>
              </w:rPr>
              <w:t>ΒΙΑΝΕΞ Α.Ε.</w:t>
            </w:r>
          </w:p>
          <w:p w14:paraId="5CFF194D" w14:textId="637248AD" w:rsidR="0059538A" w:rsidRPr="008F328C" w:rsidRDefault="0059538A" w:rsidP="00ED6A7B">
            <w:pPr>
              <w:rPr>
                <w:rFonts w:ascii="Times New Roman" w:hAnsi="Times New Roman" w:cs="Times New Roman"/>
                <w:lang w:val="el-GR" w:eastAsia="fr-FR"/>
              </w:rPr>
            </w:pPr>
            <w:r w:rsidRPr="008F328C">
              <w:rPr>
                <w:rFonts w:ascii="Times New Roman" w:hAnsi="Times New Roman" w:cs="Times New Roman"/>
                <w:lang w:val="el-GR" w:eastAsia="fr-FR"/>
              </w:rPr>
              <w:t>Τηλ: +30 210 8009111</w:t>
            </w:r>
          </w:p>
          <w:p w14:paraId="417A7C42" w14:textId="77777777" w:rsidR="0059538A" w:rsidRPr="008F328C" w:rsidRDefault="0059538A" w:rsidP="00ED6A7B">
            <w:pPr>
              <w:rPr>
                <w:rFonts w:ascii="Times New Roman" w:eastAsia="맑은 고딕" w:hAnsi="Times New Roman" w:cs="Times New Roman"/>
                <w:lang w:val="el-GR" w:eastAsia="fr-FR"/>
              </w:rPr>
            </w:pPr>
          </w:p>
        </w:tc>
        <w:tc>
          <w:tcPr>
            <w:tcW w:w="2500" w:type="pct"/>
          </w:tcPr>
          <w:p w14:paraId="12FDCF4A" w14:textId="77777777" w:rsidR="0059538A" w:rsidRPr="008F328C" w:rsidRDefault="0059538A" w:rsidP="00ED6A7B">
            <w:pPr>
              <w:rPr>
                <w:rFonts w:ascii="Times New Roman" w:eastAsia="맑은 고딕" w:hAnsi="Times New Roman" w:cs="Times New Roman"/>
                <w:b/>
                <w:lang w:val="en-GB" w:eastAsia="fr-FR"/>
              </w:rPr>
            </w:pPr>
            <w:r w:rsidRPr="008F328C">
              <w:rPr>
                <w:rFonts w:ascii="Times New Roman" w:eastAsia="맑은 고딕" w:hAnsi="Times New Roman" w:cs="Times New Roman"/>
                <w:b/>
                <w:lang w:val="en-GB" w:eastAsia="fr-FR"/>
              </w:rPr>
              <w:t>Polska</w:t>
            </w:r>
          </w:p>
          <w:p w14:paraId="2E05FF29"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371A80FE"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0ED3537D" w14:textId="77777777" w:rsidR="0059538A" w:rsidRPr="008F328C" w:rsidRDefault="0059538A" w:rsidP="00ED6A7B">
            <w:pPr>
              <w:rPr>
                <w:rFonts w:ascii="Times New Roman" w:hAnsi="Times New Roman" w:cs="Times New Roman"/>
                <w:b/>
                <w:lang w:val="pl-PL"/>
              </w:rPr>
            </w:pPr>
          </w:p>
        </w:tc>
      </w:tr>
      <w:tr w:rsidR="0059538A" w:rsidRPr="00A5286D" w14:paraId="7F85CFE2" w14:textId="77777777" w:rsidTr="00ED6A7B">
        <w:tc>
          <w:tcPr>
            <w:tcW w:w="2500" w:type="pct"/>
          </w:tcPr>
          <w:p w14:paraId="34BC5BAA" w14:textId="77777777" w:rsidR="0059538A" w:rsidRPr="008F328C" w:rsidRDefault="0059538A" w:rsidP="00ED6A7B">
            <w:pPr>
              <w:rPr>
                <w:rFonts w:ascii="Times New Roman" w:hAnsi="Times New Roman" w:cs="Times New Roman"/>
                <w:b/>
                <w:lang w:val="en-GB" w:eastAsia="ko-KR"/>
              </w:rPr>
            </w:pPr>
            <w:r w:rsidRPr="008F328C">
              <w:rPr>
                <w:rFonts w:ascii="Times New Roman" w:hAnsi="Times New Roman" w:cs="Times New Roman"/>
                <w:b/>
                <w:lang w:val="en-GB" w:eastAsia="ko-KR"/>
              </w:rPr>
              <w:t>France</w:t>
            </w:r>
          </w:p>
          <w:p w14:paraId="391558EF" w14:textId="77777777" w:rsidR="0059538A" w:rsidRPr="008F328C" w:rsidRDefault="0059538A" w:rsidP="00ED6A7B">
            <w:pPr>
              <w:rPr>
                <w:rFonts w:ascii="Times New Roman" w:hAnsi="Times New Roman" w:cs="Times New Roman"/>
                <w:lang w:val="en-GB" w:eastAsia="ko-KR"/>
              </w:rPr>
            </w:pPr>
            <w:r w:rsidRPr="008F328C">
              <w:rPr>
                <w:rFonts w:ascii="Times New Roman" w:hAnsi="Times New Roman" w:cs="Times New Roman"/>
                <w:lang w:val="en-GB" w:eastAsia="ko-KR"/>
              </w:rPr>
              <w:t>Celltrion Healthcare France SAS</w:t>
            </w:r>
          </w:p>
          <w:p w14:paraId="030189F1" w14:textId="77777777" w:rsidR="0059538A" w:rsidRPr="008F328C" w:rsidRDefault="0059538A" w:rsidP="00ED6A7B">
            <w:pPr>
              <w:rPr>
                <w:rFonts w:ascii="Times New Roman" w:eastAsia="맑은 고딕" w:hAnsi="Times New Roman" w:cs="Times New Roman"/>
                <w:lang w:val="en-GB" w:eastAsia="ko-KR"/>
              </w:rPr>
            </w:pPr>
            <w:r w:rsidRPr="008F328C">
              <w:rPr>
                <w:rFonts w:ascii="Times New Roman" w:hAnsi="Times New Roman" w:cs="Times New Roman"/>
                <w:lang w:val="en-GB" w:eastAsia="ko-KR"/>
              </w:rPr>
              <w:t>T</w:t>
            </w:r>
            <w:r w:rsidRPr="008F328C">
              <w:rPr>
                <w:rFonts w:ascii="Times New Roman" w:hAnsi="Times New Roman" w:cs="Times New Roman"/>
                <w:lang w:val="en-GB"/>
              </w:rPr>
              <w:t>é</w:t>
            </w:r>
            <w:r w:rsidRPr="008F328C">
              <w:rPr>
                <w:rFonts w:ascii="Times New Roman" w:hAnsi="Times New Roman" w:cs="Times New Roman"/>
                <w:lang w:val="en-GB" w:eastAsia="ko-KR"/>
              </w:rPr>
              <w:t>l.: +33 (0)1 71 25 27 00</w:t>
            </w:r>
          </w:p>
          <w:p w14:paraId="6D15901B" w14:textId="77777777" w:rsidR="0059538A" w:rsidRPr="008F328C" w:rsidRDefault="0059538A" w:rsidP="00ED6A7B">
            <w:pPr>
              <w:rPr>
                <w:rFonts w:ascii="Times New Roman" w:eastAsia="맑은 고딕" w:hAnsi="Times New Roman" w:cs="Times New Roman"/>
                <w:lang w:val="en-GB" w:eastAsia="fr-FR"/>
              </w:rPr>
            </w:pPr>
          </w:p>
        </w:tc>
        <w:tc>
          <w:tcPr>
            <w:tcW w:w="2500" w:type="pct"/>
          </w:tcPr>
          <w:p w14:paraId="3FECE4DF" w14:textId="77777777" w:rsidR="00FA20FC" w:rsidRPr="002F72A3" w:rsidRDefault="00FA20FC" w:rsidP="00FA20F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E1503B8" w14:textId="602D67D0" w:rsidR="00FA20FC" w:rsidRDefault="00FA20FC" w:rsidP="00FA20F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073C9957" w14:textId="48F47B44" w:rsidR="00FA20FC" w:rsidRPr="00494296" w:rsidRDefault="00FA20FC" w:rsidP="00FA20FC">
            <w:pPr>
              <w:rPr>
                <w:rFonts w:ascii="Times New Roman" w:eastAsia="맑은 고딕" w:hAnsi="Times New Roman" w:cs="Times New Roman"/>
                <w:noProof/>
                <w:lang w:val="fr-CA" w:eastAsia="fr-FR"/>
              </w:rPr>
            </w:pPr>
            <w:r w:rsidRPr="00494296">
              <w:rPr>
                <w:rFonts w:ascii="Times New Roman" w:eastAsia="맑은 고딕" w:hAnsi="Times New Roman" w:cs="Times New Roman"/>
                <w:noProof/>
                <w:lang w:val="fr-CA" w:eastAsia="fr-FR"/>
              </w:rPr>
              <w:t>Tel: +351 21 936 8542</w:t>
            </w:r>
          </w:p>
          <w:p w14:paraId="7D8201A3" w14:textId="77777777" w:rsidR="0059538A" w:rsidRPr="008F328C" w:rsidRDefault="0059538A" w:rsidP="00ED6A7B">
            <w:pPr>
              <w:rPr>
                <w:rFonts w:ascii="Times New Roman" w:hAnsi="Times New Roman" w:cs="Times New Roman"/>
                <w:b/>
                <w:lang w:val="pl-PL"/>
              </w:rPr>
            </w:pPr>
          </w:p>
        </w:tc>
      </w:tr>
      <w:tr w:rsidR="0059538A" w:rsidRPr="008F328C" w14:paraId="3D37AE8D" w14:textId="77777777" w:rsidTr="00ED6A7B">
        <w:tc>
          <w:tcPr>
            <w:tcW w:w="2500" w:type="pct"/>
          </w:tcPr>
          <w:p w14:paraId="4B85131A" w14:textId="77777777" w:rsidR="0059538A" w:rsidRPr="008F328C" w:rsidRDefault="0059538A" w:rsidP="00ED6A7B">
            <w:pPr>
              <w:rPr>
                <w:rFonts w:ascii="Times New Roman" w:hAnsi="Times New Roman" w:cs="Times New Roman"/>
                <w:b/>
                <w:lang w:val="pl-PL" w:eastAsia="ko-KR"/>
              </w:rPr>
            </w:pPr>
            <w:r w:rsidRPr="008F328C">
              <w:rPr>
                <w:rFonts w:ascii="Times New Roman" w:hAnsi="Times New Roman" w:cs="Times New Roman"/>
                <w:b/>
                <w:lang w:val="pl-PL" w:eastAsia="ko-KR"/>
              </w:rPr>
              <w:t>Hrvatska</w:t>
            </w:r>
          </w:p>
          <w:p w14:paraId="4B3AABFB" w14:textId="77777777" w:rsidR="0059538A" w:rsidRPr="008F328C" w:rsidRDefault="0059538A" w:rsidP="00ED6A7B">
            <w:pPr>
              <w:rPr>
                <w:rFonts w:ascii="Times New Roman" w:hAnsi="Times New Roman" w:cs="Times New Roman"/>
                <w:lang w:val="pl-PL" w:eastAsia="ko-KR"/>
              </w:rPr>
            </w:pPr>
            <w:r w:rsidRPr="008F328C">
              <w:rPr>
                <w:rFonts w:ascii="Times New Roman" w:hAnsi="Times New Roman" w:cs="Times New Roman"/>
                <w:lang w:val="pl-PL" w:eastAsia="ko-KR"/>
              </w:rPr>
              <w:t>Oktal Pharma d.o.o.</w:t>
            </w:r>
          </w:p>
          <w:p w14:paraId="24E4865D" w14:textId="77777777" w:rsidR="0059538A" w:rsidRPr="008F328C" w:rsidRDefault="0059538A" w:rsidP="00ED6A7B">
            <w:pPr>
              <w:rPr>
                <w:rFonts w:ascii="Times New Roman" w:hAnsi="Times New Roman" w:cs="Times New Roman"/>
                <w:lang w:val="pl-PL" w:eastAsia="ko-KR"/>
              </w:rPr>
            </w:pPr>
            <w:r w:rsidRPr="008F328C">
              <w:rPr>
                <w:rFonts w:ascii="Times New Roman" w:hAnsi="Times New Roman" w:cs="Times New Roman"/>
                <w:lang w:val="pl-PL" w:eastAsia="ko-KR"/>
              </w:rPr>
              <w:t>Tel: +385 1 6595 777</w:t>
            </w:r>
          </w:p>
          <w:p w14:paraId="6E0370E1" w14:textId="77777777" w:rsidR="0059538A" w:rsidRPr="008F328C" w:rsidRDefault="0059538A" w:rsidP="00ED6A7B">
            <w:pPr>
              <w:rPr>
                <w:rFonts w:ascii="Times New Roman" w:eastAsia="맑은 고딕" w:hAnsi="Times New Roman" w:cs="Times New Roman"/>
                <w:lang w:val="pl-PL" w:eastAsia="fr-FR"/>
              </w:rPr>
            </w:pPr>
          </w:p>
        </w:tc>
        <w:tc>
          <w:tcPr>
            <w:tcW w:w="2500" w:type="pct"/>
          </w:tcPr>
          <w:p w14:paraId="150E5270" w14:textId="77777777" w:rsidR="0059538A" w:rsidRPr="008F328C" w:rsidRDefault="0059538A" w:rsidP="00ED6A7B">
            <w:pPr>
              <w:tabs>
                <w:tab w:val="left" w:pos="-720"/>
              </w:tabs>
              <w:suppressAutoHyphens/>
              <w:rPr>
                <w:rFonts w:ascii="Times New Roman" w:eastAsia="맑은 고딕" w:hAnsi="Times New Roman" w:cs="Times New Roman"/>
                <w:b/>
                <w:lang w:val="en-GB" w:eastAsia="fr-FR"/>
              </w:rPr>
            </w:pPr>
            <w:r w:rsidRPr="008F328C">
              <w:rPr>
                <w:rFonts w:ascii="Times New Roman" w:hAnsi="Times New Roman" w:cs="Times New Roman"/>
                <w:b/>
                <w:lang w:val="en-GB"/>
              </w:rPr>
              <w:t>România</w:t>
            </w:r>
          </w:p>
          <w:p w14:paraId="617D5F56"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21BF5F7A" w14:textId="77777777" w:rsidR="0059538A" w:rsidRPr="008F328C" w:rsidRDefault="0059538A" w:rsidP="00ED6A7B">
            <w:pPr>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45BEA11D" w14:textId="77777777" w:rsidR="0059538A" w:rsidRPr="008F328C" w:rsidRDefault="0059538A" w:rsidP="00ED6A7B">
            <w:pPr>
              <w:rPr>
                <w:rFonts w:ascii="Times New Roman" w:hAnsi="Times New Roman" w:cs="Times New Roman"/>
                <w:b/>
                <w:lang w:val="en-GB"/>
              </w:rPr>
            </w:pPr>
          </w:p>
        </w:tc>
      </w:tr>
      <w:tr w:rsidR="0059538A" w:rsidRPr="008F328C" w14:paraId="58254798" w14:textId="77777777" w:rsidTr="00ED6A7B">
        <w:tc>
          <w:tcPr>
            <w:tcW w:w="2500" w:type="pct"/>
          </w:tcPr>
          <w:p w14:paraId="1C3028F9" w14:textId="77777777" w:rsidR="0059538A" w:rsidRPr="008F328C" w:rsidRDefault="0059538A" w:rsidP="00ED6A7B">
            <w:pPr>
              <w:tabs>
                <w:tab w:val="left" w:pos="-720"/>
              </w:tabs>
              <w:suppressAutoHyphens/>
              <w:rPr>
                <w:rFonts w:ascii="Times New Roman" w:hAnsi="Times New Roman" w:cs="Times New Roman"/>
                <w:lang w:eastAsia="fr-FR"/>
              </w:rPr>
            </w:pPr>
            <w:r w:rsidRPr="008F328C">
              <w:rPr>
                <w:rFonts w:ascii="Times New Roman" w:eastAsia="맑은 고딕" w:hAnsi="Times New Roman" w:cs="Times New Roman"/>
                <w:b/>
                <w:lang w:eastAsia="fr-FR"/>
              </w:rPr>
              <w:t>Ireland</w:t>
            </w:r>
          </w:p>
          <w:p w14:paraId="7EA09273"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lastRenderedPageBreak/>
              <w:t>Celltrion Healthcare Ireland Limited</w:t>
            </w:r>
          </w:p>
          <w:p w14:paraId="711F363E"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Tel: +353 1 223 4026</w:t>
            </w:r>
          </w:p>
          <w:p w14:paraId="5570DB16" w14:textId="77777777" w:rsidR="0059538A" w:rsidRPr="008F328C" w:rsidRDefault="0059538A" w:rsidP="00ED6A7B">
            <w:pPr>
              <w:rPr>
                <w:rFonts w:ascii="Times New Roman" w:eastAsia="맑은 고딕" w:hAnsi="Times New Roman" w:cs="Times New Roman"/>
                <w:lang w:eastAsia="fr-FR"/>
              </w:rPr>
            </w:pPr>
          </w:p>
        </w:tc>
        <w:tc>
          <w:tcPr>
            <w:tcW w:w="2500" w:type="pct"/>
          </w:tcPr>
          <w:p w14:paraId="6591D0DA" w14:textId="77777777" w:rsidR="0059538A" w:rsidRPr="008F328C" w:rsidRDefault="0059538A" w:rsidP="00ED6A7B">
            <w:pPr>
              <w:rPr>
                <w:rFonts w:ascii="Times New Roman" w:eastAsia="맑은 고딕" w:hAnsi="Times New Roman" w:cs="Times New Roman"/>
                <w:b/>
                <w:lang w:val="pt-PT" w:eastAsia="fr-FR"/>
              </w:rPr>
            </w:pPr>
            <w:r w:rsidRPr="008F328C">
              <w:rPr>
                <w:rFonts w:ascii="Times New Roman" w:eastAsia="맑은 고딕" w:hAnsi="Times New Roman" w:cs="Times New Roman"/>
                <w:b/>
                <w:lang w:val="pt-PT" w:eastAsia="fr-FR"/>
              </w:rPr>
              <w:lastRenderedPageBreak/>
              <w:t>Slovenija</w:t>
            </w:r>
          </w:p>
          <w:p w14:paraId="260630AF" w14:textId="77777777" w:rsidR="0059538A" w:rsidRPr="008F328C" w:rsidRDefault="0059538A" w:rsidP="00ED6A7B">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lastRenderedPageBreak/>
              <w:t>OPH Oktal Pharma d.o.o.</w:t>
            </w:r>
          </w:p>
          <w:p w14:paraId="56867C38" w14:textId="77777777" w:rsidR="0059538A" w:rsidRPr="008F328C" w:rsidRDefault="0059538A" w:rsidP="00ED6A7B">
            <w:pPr>
              <w:rPr>
                <w:rFonts w:ascii="Times New Roman" w:eastAsia="맑은 고딕" w:hAnsi="Times New Roman" w:cs="Times New Roman"/>
                <w:lang w:val="pt-PT" w:eastAsia="fr-FR"/>
              </w:rPr>
            </w:pPr>
            <w:r w:rsidRPr="008F328C">
              <w:rPr>
                <w:rFonts w:ascii="Times New Roman" w:eastAsia="맑은 고딕" w:hAnsi="Times New Roman" w:cs="Times New Roman"/>
                <w:lang w:val="pt-PT" w:eastAsia="fr-FR"/>
              </w:rPr>
              <w:t>Tel.: +386 1 519 29 22</w:t>
            </w:r>
          </w:p>
          <w:p w14:paraId="00585799" w14:textId="77777777" w:rsidR="0059538A" w:rsidRPr="008F328C" w:rsidRDefault="0059538A" w:rsidP="00ED6A7B">
            <w:pPr>
              <w:rPr>
                <w:rFonts w:ascii="Times New Roman" w:hAnsi="Times New Roman" w:cs="Times New Roman"/>
                <w:b/>
                <w:lang w:val="pt-PT"/>
              </w:rPr>
            </w:pPr>
          </w:p>
        </w:tc>
      </w:tr>
      <w:tr w:rsidR="0059538A" w:rsidRPr="008F328C" w14:paraId="7F101AFC" w14:textId="77777777" w:rsidTr="00ED6A7B">
        <w:tc>
          <w:tcPr>
            <w:tcW w:w="2500" w:type="pct"/>
          </w:tcPr>
          <w:p w14:paraId="29388935" w14:textId="77777777" w:rsidR="0059538A" w:rsidRPr="008F328C" w:rsidRDefault="0059538A" w:rsidP="003C52D4">
            <w:pPr>
              <w:keepNext/>
              <w:keepLines/>
              <w:rPr>
                <w:rFonts w:ascii="Times New Roman" w:eastAsia="맑은 고딕" w:hAnsi="Times New Roman" w:cs="Times New Roman"/>
                <w:lang w:eastAsia="fr-FR"/>
              </w:rPr>
            </w:pPr>
            <w:r w:rsidRPr="008F328C">
              <w:rPr>
                <w:rFonts w:ascii="Times New Roman" w:eastAsia="맑은 고딕" w:hAnsi="Times New Roman" w:cs="Times New Roman"/>
                <w:b/>
                <w:lang w:eastAsia="fr-FR"/>
              </w:rPr>
              <w:lastRenderedPageBreak/>
              <w:t>Ísland</w:t>
            </w:r>
          </w:p>
          <w:p w14:paraId="78F48932" w14:textId="77777777" w:rsidR="0059538A" w:rsidRPr="008F328C" w:rsidRDefault="0059538A" w:rsidP="003C52D4">
            <w:pPr>
              <w:keepNext/>
              <w:keepLine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5840464A" w14:textId="77777777" w:rsidR="0059538A" w:rsidRPr="008F328C" w:rsidRDefault="0059538A" w:rsidP="003C52D4">
            <w:pPr>
              <w:keepNext/>
              <w:keepLine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Sími: +36 1 231 0493</w:t>
            </w:r>
          </w:p>
        </w:tc>
        <w:tc>
          <w:tcPr>
            <w:tcW w:w="2500" w:type="pct"/>
          </w:tcPr>
          <w:p w14:paraId="34D559ED" w14:textId="77777777" w:rsidR="0059538A" w:rsidRPr="008F328C" w:rsidRDefault="0059538A" w:rsidP="003C52D4">
            <w:pPr>
              <w:keepNext/>
              <w:keepLines/>
              <w:rPr>
                <w:rFonts w:ascii="Times New Roman" w:eastAsia="맑은 고딕" w:hAnsi="Times New Roman" w:cs="Times New Roman"/>
                <w:b/>
                <w:lang w:val="en-GB" w:eastAsia="fr-FR"/>
              </w:rPr>
            </w:pPr>
            <w:r w:rsidRPr="008F328C">
              <w:rPr>
                <w:rFonts w:ascii="Times New Roman" w:hAnsi="Times New Roman" w:cs="Times New Roman"/>
                <w:b/>
                <w:lang w:val="en-GB"/>
              </w:rPr>
              <w:t>Slovenská republika</w:t>
            </w:r>
          </w:p>
          <w:p w14:paraId="77E7B927" w14:textId="77777777" w:rsidR="0059538A" w:rsidRPr="008F328C" w:rsidRDefault="0059538A" w:rsidP="003C52D4">
            <w:pPr>
              <w:keepNext/>
              <w:keepLines/>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FB70821" w14:textId="77777777" w:rsidR="0059538A" w:rsidRPr="008F328C" w:rsidRDefault="0059538A" w:rsidP="003C52D4">
            <w:pPr>
              <w:keepNext/>
              <w:keepLines/>
              <w:tabs>
                <w:tab w:val="left" w:pos="-720"/>
              </w:tabs>
              <w:suppressAutoHyphens/>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+36 1 231 0493</w:t>
            </w:r>
          </w:p>
          <w:p w14:paraId="7BBF904F" w14:textId="77777777" w:rsidR="0059538A" w:rsidRPr="008F328C" w:rsidRDefault="0059538A" w:rsidP="003C52D4">
            <w:pPr>
              <w:keepNext/>
              <w:keepLines/>
              <w:rPr>
                <w:rFonts w:ascii="Times New Roman" w:eastAsia="맑은 고딕" w:hAnsi="Times New Roman" w:cs="Times New Roman"/>
                <w:b/>
                <w:lang w:val="pl-PL" w:eastAsia="fr-FR"/>
              </w:rPr>
            </w:pPr>
          </w:p>
        </w:tc>
      </w:tr>
      <w:tr w:rsidR="0059538A" w:rsidRPr="008F328C" w14:paraId="0C1992B2" w14:textId="77777777" w:rsidTr="00ED6A7B">
        <w:tc>
          <w:tcPr>
            <w:tcW w:w="2500" w:type="pct"/>
          </w:tcPr>
          <w:p w14:paraId="27E83228" w14:textId="77777777" w:rsidR="0059538A" w:rsidRPr="008F328C" w:rsidRDefault="0059538A" w:rsidP="00ED6A7B">
            <w:pPr>
              <w:rPr>
                <w:rFonts w:ascii="Times New Roman" w:hAnsi="Times New Roman" w:cs="Times New Roman"/>
                <w:lang w:val="en-GB" w:eastAsia="fr-FR"/>
              </w:rPr>
            </w:pPr>
            <w:r w:rsidRPr="008F328C">
              <w:rPr>
                <w:rFonts w:ascii="Times New Roman" w:eastAsia="맑은 고딕" w:hAnsi="Times New Roman" w:cs="Times New Roman"/>
                <w:b/>
                <w:lang w:val="en-GB" w:eastAsia="fr-FR"/>
              </w:rPr>
              <w:t>Italia</w:t>
            </w:r>
          </w:p>
          <w:p w14:paraId="11D8DEB5" w14:textId="77777777" w:rsidR="0059538A" w:rsidRPr="008F328C" w:rsidRDefault="0059538A" w:rsidP="00ED6A7B">
            <w:pPr>
              <w:rPr>
                <w:rFonts w:ascii="Times New Roman" w:eastAsia="맑은 고딕" w:hAnsi="Times New Roman" w:cs="Times New Roman"/>
                <w:lang w:val="en-GB" w:eastAsia="fr-FR"/>
              </w:rPr>
            </w:pPr>
            <w:r w:rsidRPr="008F328C">
              <w:rPr>
                <w:rFonts w:ascii="Times New Roman" w:eastAsia="맑은 고딕" w:hAnsi="Times New Roman" w:cs="Times New Roman"/>
                <w:lang w:val="en-GB" w:eastAsia="fr-FR"/>
              </w:rPr>
              <w:t>Celltrion Healthcare Italy S.r.l.</w:t>
            </w:r>
          </w:p>
          <w:p w14:paraId="47E485BE" w14:textId="0CCD1C55" w:rsidR="0059538A" w:rsidRPr="008F328C" w:rsidRDefault="0059538A" w:rsidP="00ED6A7B">
            <w:pPr>
              <w:rPr>
                <w:rFonts w:ascii="Times New Roman" w:eastAsia="맑은 고딕" w:hAnsi="Times New Roman" w:cs="Times New Roman"/>
                <w:lang w:val="pl-PL" w:eastAsia="fr-FR"/>
              </w:rPr>
            </w:pPr>
            <w:r w:rsidRPr="008F328C">
              <w:rPr>
                <w:rFonts w:ascii="Times New Roman" w:eastAsia="맑은 고딕" w:hAnsi="Times New Roman" w:cs="Times New Roman"/>
                <w:lang w:val="pl-PL" w:eastAsia="fr-FR"/>
              </w:rPr>
              <w:t>Tel: +39 02</w:t>
            </w:r>
            <w:r w:rsidR="0032285D">
              <w:rPr>
                <w:rFonts w:ascii="Times New Roman" w:eastAsia="맑은 고딕" w:hAnsi="Times New Roman" w:cs="Times New Roman"/>
                <w:lang w:val="pl-PL" w:eastAsia="fr-FR"/>
              </w:rPr>
              <w:t xml:space="preserve"> </w:t>
            </w:r>
            <w:r w:rsidRPr="008F328C">
              <w:rPr>
                <w:rFonts w:ascii="Times New Roman" w:eastAsia="맑은 고딕" w:hAnsi="Times New Roman" w:cs="Times New Roman"/>
                <w:lang w:val="pl-PL" w:eastAsia="fr-FR"/>
              </w:rPr>
              <w:t>47927040</w:t>
            </w:r>
          </w:p>
          <w:p w14:paraId="24EBA883" w14:textId="77777777" w:rsidR="0059538A" w:rsidRPr="008F328C" w:rsidRDefault="0059538A" w:rsidP="00ED6A7B">
            <w:pPr>
              <w:rPr>
                <w:rFonts w:ascii="Times New Roman" w:eastAsia="맑은 고딕" w:hAnsi="Times New Roman" w:cs="Times New Roman"/>
                <w:lang w:val="pl-PL" w:eastAsia="fr-FR"/>
              </w:rPr>
            </w:pPr>
          </w:p>
        </w:tc>
        <w:tc>
          <w:tcPr>
            <w:tcW w:w="2500" w:type="pct"/>
          </w:tcPr>
          <w:p w14:paraId="7FAC5EEF" w14:textId="77777777" w:rsidR="0059538A" w:rsidRPr="008F328C" w:rsidRDefault="0059538A" w:rsidP="00ED6A7B">
            <w:pPr>
              <w:rPr>
                <w:rFonts w:ascii="Times New Roman" w:hAnsi="Times New Roman" w:cs="Times New Roman"/>
                <w:lang w:val="en-GB" w:eastAsia="fr-FR"/>
              </w:rPr>
            </w:pPr>
            <w:r w:rsidRPr="008F328C">
              <w:rPr>
                <w:rFonts w:ascii="Times New Roman" w:eastAsia="맑은 고딕" w:hAnsi="Times New Roman" w:cs="Times New Roman"/>
                <w:b/>
                <w:lang w:val="en-GB" w:eastAsia="fr-FR"/>
              </w:rPr>
              <w:t>Suomi/Finland</w:t>
            </w:r>
          </w:p>
          <w:p w14:paraId="21653E74" w14:textId="77777777" w:rsidR="0032285D" w:rsidRPr="00F47393" w:rsidRDefault="0032285D" w:rsidP="0032285D">
            <w:pPr>
              <w:tabs>
                <w:tab w:val="left" w:pos="-720"/>
              </w:tabs>
              <w:suppressAutoHyphens/>
              <w:rPr>
                <w:rFonts w:ascii="Times New Roman" w:eastAsia="맑은 고딕" w:hAnsi="Times New Roman" w:cs="Times New Roman"/>
                <w:lang w:val="en-GB" w:eastAsia="fr-FR"/>
              </w:rPr>
            </w:pPr>
            <w:r w:rsidRPr="00F47393">
              <w:rPr>
                <w:rFonts w:ascii="Times New Roman" w:eastAsia="맑은 고딕" w:hAnsi="Times New Roman" w:cs="Times New Roman"/>
                <w:lang w:val="en-GB" w:eastAsia="fr-FR"/>
              </w:rPr>
              <w:t xml:space="preserve">Celltrion Healthcare Finland Oy. </w:t>
            </w:r>
          </w:p>
          <w:p w14:paraId="5E6E8390" w14:textId="5F567542" w:rsidR="0059538A" w:rsidRPr="008F328C" w:rsidRDefault="0032285D" w:rsidP="00ED6A7B">
            <w:pPr>
              <w:autoSpaceDE w:val="0"/>
              <w:autoSpaceDN w:val="0"/>
              <w:adjustRightInd w:val="0"/>
              <w:rPr>
                <w:rFonts w:ascii="Times New Roman" w:eastAsia="맑은 고딕" w:hAnsi="Times New Roman" w:cs="Times New Roman"/>
                <w:lang w:val="pl-PL" w:eastAsia="fr-FR"/>
              </w:rPr>
            </w:pPr>
            <w:r w:rsidRPr="00F47393">
              <w:rPr>
                <w:rFonts w:ascii="Times New Roman" w:eastAsia="맑은 고딕" w:hAnsi="Times New Roman" w:cs="Times New Roman"/>
                <w:lang w:val="en-GB" w:eastAsia="fr-FR"/>
              </w:rPr>
              <w:t>Puh/Tel: +358 29 170 7755</w:t>
            </w:r>
          </w:p>
          <w:p w14:paraId="50BA09DF" w14:textId="77777777" w:rsidR="0059538A" w:rsidRPr="008F328C" w:rsidRDefault="0059538A" w:rsidP="00ED6A7B">
            <w:pPr>
              <w:autoSpaceDE w:val="0"/>
              <w:autoSpaceDN w:val="0"/>
              <w:adjustRightInd w:val="0"/>
              <w:rPr>
                <w:rFonts w:ascii="Times New Roman" w:eastAsia="맑은 고딕" w:hAnsi="Times New Roman" w:cs="Times New Roman"/>
                <w:lang w:val="pl-PL" w:eastAsia="ko-KR"/>
              </w:rPr>
            </w:pPr>
          </w:p>
        </w:tc>
      </w:tr>
      <w:tr w:rsidR="0059538A" w:rsidRPr="008F328C" w14:paraId="240652AC" w14:textId="77777777" w:rsidTr="00ED6A7B">
        <w:tc>
          <w:tcPr>
            <w:tcW w:w="2500" w:type="pct"/>
          </w:tcPr>
          <w:p w14:paraId="4C1D729B" w14:textId="77777777" w:rsidR="0059538A" w:rsidRPr="003C52D4" w:rsidRDefault="0059538A" w:rsidP="00ED6A7B">
            <w:pPr>
              <w:tabs>
                <w:tab w:val="left" w:pos="-720"/>
              </w:tabs>
              <w:suppressAutoHyphens/>
              <w:rPr>
                <w:rFonts w:ascii="Times New Roman" w:hAnsi="Times New Roman" w:cs="Times New Roman"/>
                <w:b/>
                <w:bCs/>
                <w:lang w:eastAsia="fr-FR"/>
              </w:rPr>
            </w:pPr>
            <w:r w:rsidRPr="003C52D4">
              <w:rPr>
                <w:rFonts w:ascii="Times New Roman" w:hAnsi="Times New Roman" w:cs="Times New Roman"/>
                <w:b/>
                <w:lang w:val="pl-PL"/>
              </w:rPr>
              <w:t>Κύπρος</w:t>
            </w:r>
          </w:p>
          <w:p w14:paraId="20C28A23" w14:textId="77777777" w:rsidR="0059538A" w:rsidRPr="003C52D4" w:rsidRDefault="0059538A" w:rsidP="00ED6A7B">
            <w:pPr>
              <w:tabs>
                <w:tab w:val="left" w:pos="-720"/>
              </w:tabs>
              <w:suppressAutoHyphens/>
              <w:rPr>
                <w:rFonts w:ascii="Times New Roman" w:eastAsia="맑은 고딕" w:hAnsi="Times New Roman" w:cs="Times New Roman"/>
                <w:lang w:eastAsia="ko-KR"/>
              </w:rPr>
            </w:pPr>
            <w:r w:rsidRPr="003C52D4">
              <w:rPr>
                <w:rFonts w:ascii="Times New Roman" w:eastAsia="맑은 고딕" w:hAnsi="Times New Roman" w:cs="Times New Roman"/>
                <w:lang w:eastAsia="fr-FR"/>
              </w:rPr>
              <w:t>C.A. Papaellinas Ltd</w:t>
            </w:r>
          </w:p>
          <w:p w14:paraId="623A34C8" w14:textId="77777777" w:rsidR="0059538A" w:rsidRPr="003C52D4" w:rsidRDefault="0059538A" w:rsidP="00ED6A7B">
            <w:pPr>
              <w:autoSpaceDE w:val="0"/>
              <w:autoSpaceDN w:val="0"/>
              <w:adjustRightInd w:val="0"/>
              <w:rPr>
                <w:rFonts w:ascii="Times New Roman" w:eastAsia="맑은 고딕" w:hAnsi="Times New Roman" w:cs="Times New Roman"/>
                <w:b/>
                <w:bCs/>
                <w:lang w:eastAsia="fr-FR"/>
              </w:rPr>
            </w:pPr>
            <w:r w:rsidRPr="003C52D4">
              <w:rPr>
                <w:rFonts w:ascii="Times New Roman" w:hAnsi="Times New Roman" w:cs="Times New Roman"/>
                <w:lang w:val="pl-PL"/>
              </w:rPr>
              <w:t>Τηλ</w:t>
            </w:r>
            <w:r w:rsidRPr="003C52D4">
              <w:rPr>
                <w:rFonts w:ascii="Times New Roman" w:hAnsi="Times New Roman" w:cs="Times New Roman"/>
              </w:rPr>
              <w:t xml:space="preserve">: </w:t>
            </w:r>
            <w:r w:rsidRPr="003C52D4">
              <w:rPr>
                <w:rFonts w:ascii="Times New Roman" w:eastAsia="맑은 고딕" w:hAnsi="Times New Roman" w:cs="Times New Roman"/>
                <w:lang w:eastAsia="fr-FR"/>
              </w:rPr>
              <w:t>+357 22741741</w:t>
            </w:r>
          </w:p>
          <w:p w14:paraId="6E07D537" w14:textId="77777777" w:rsidR="0059538A" w:rsidRPr="003C52D4" w:rsidRDefault="0059538A" w:rsidP="00ED6A7B">
            <w:pPr>
              <w:autoSpaceDE w:val="0"/>
              <w:autoSpaceDN w:val="0"/>
              <w:adjustRightInd w:val="0"/>
              <w:rPr>
                <w:rFonts w:ascii="Times New Roman" w:eastAsia="맑은 고딕" w:hAnsi="Times New Roman" w:cs="Times New Roman"/>
                <w:b/>
                <w:lang w:eastAsia="fr-FR"/>
              </w:rPr>
            </w:pPr>
          </w:p>
        </w:tc>
        <w:tc>
          <w:tcPr>
            <w:tcW w:w="2500" w:type="pct"/>
          </w:tcPr>
          <w:p w14:paraId="1830A0BC" w14:textId="77777777" w:rsidR="00FA20FC" w:rsidRPr="003C52D4" w:rsidRDefault="00FA20FC" w:rsidP="00FA20FC">
            <w:pPr>
              <w:tabs>
                <w:tab w:val="left" w:pos="-720"/>
              </w:tabs>
              <w:suppressAutoHyphens/>
              <w:rPr>
                <w:rFonts w:ascii="Times New Roman" w:hAnsi="Times New Roman" w:cs="Times New Roman"/>
                <w:b/>
                <w:noProof/>
                <w:lang w:eastAsia="fr-FR"/>
              </w:rPr>
            </w:pPr>
            <w:r w:rsidRPr="003C52D4">
              <w:rPr>
                <w:rFonts w:ascii="Times New Roman" w:hAnsi="Times New Roman" w:cs="Times New Roman"/>
                <w:b/>
                <w:noProof/>
              </w:rPr>
              <w:t>Sverige</w:t>
            </w:r>
          </w:p>
          <w:p w14:paraId="4FFD8E7F" w14:textId="6A77D2E4" w:rsidR="00FA20FC" w:rsidRPr="003C52D4" w:rsidRDefault="00FA20FC" w:rsidP="00FA20FC">
            <w:pPr>
              <w:tabs>
                <w:tab w:val="left" w:pos="-720"/>
              </w:tabs>
              <w:suppressAutoHyphens/>
              <w:rPr>
                <w:rFonts w:ascii="Times New Roman" w:eastAsia="맑은 고딕" w:hAnsi="Times New Roman" w:cs="Times New Roman"/>
                <w:noProof/>
                <w:lang w:eastAsia="ko-KR"/>
              </w:rPr>
            </w:pPr>
            <w:r w:rsidRPr="003C52D4">
              <w:rPr>
                <w:rFonts w:ascii="Times New Roman" w:eastAsia="맑은 고딕" w:hAnsi="Times New Roman" w:cs="Times New Roman"/>
                <w:noProof/>
                <w:lang w:eastAsia="ko-KR"/>
              </w:rPr>
              <w:t>Celltrion Sweden AB</w:t>
            </w:r>
          </w:p>
          <w:p w14:paraId="4D507607" w14:textId="77777777" w:rsidR="00FA20FC" w:rsidRPr="003C52D4" w:rsidRDefault="00FA20FC" w:rsidP="00FA20FC">
            <w:pPr>
              <w:tabs>
                <w:tab w:val="left" w:pos="-720"/>
              </w:tabs>
              <w:suppressAutoHyphens/>
              <w:rPr>
                <w:rFonts w:ascii="Times New Roman" w:eastAsia="맑은 고딕" w:hAnsi="Times New Roman" w:cs="Times New Roman"/>
                <w:bCs/>
                <w:noProof/>
                <w:u w:val="single"/>
                <w:lang w:eastAsia="ko-KR"/>
              </w:rPr>
            </w:pPr>
            <w:hyperlink r:id="rId157" w:history="1">
              <w:r w:rsidRPr="003C52D4">
                <w:rPr>
                  <w:rStyle w:val="ad"/>
                  <w:rFonts w:ascii="Times New Roman" w:eastAsia="맑은 고딕" w:hAnsi="Times New Roman" w:cs="Times New Roman"/>
                  <w:noProof/>
                  <w:lang w:eastAsia="ko-KR"/>
                </w:rPr>
                <w:t>contact_se@celltrionhc.com</w:t>
              </w:r>
            </w:hyperlink>
          </w:p>
          <w:p w14:paraId="29CC7737" w14:textId="141F84A6" w:rsidR="0059538A" w:rsidRPr="003C52D4" w:rsidRDefault="0059538A" w:rsidP="00ED6A7B">
            <w:pPr>
              <w:tabs>
                <w:tab w:val="left" w:pos="-720"/>
              </w:tabs>
              <w:suppressAutoHyphens/>
              <w:rPr>
                <w:rFonts w:ascii="Times New Roman" w:eastAsia="맑은 고딕" w:hAnsi="Times New Roman" w:cs="Times New Roman"/>
                <w:b/>
                <w:lang w:eastAsia="fr-FR"/>
              </w:rPr>
            </w:pPr>
          </w:p>
        </w:tc>
      </w:tr>
      <w:tr w:rsidR="0059538A" w:rsidRPr="008F328C" w14:paraId="36E46CC9" w14:textId="77777777" w:rsidTr="00ED6A7B">
        <w:tc>
          <w:tcPr>
            <w:tcW w:w="2500" w:type="pct"/>
          </w:tcPr>
          <w:p w14:paraId="219E5439" w14:textId="77777777" w:rsidR="0059538A" w:rsidRPr="008F328C" w:rsidRDefault="0059538A" w:rsidP="00ED6A7B">
            <w:pPr>
              <w:rPr>
                <w:rFonts w:ascii="Times New Roman" w:eastAsia="맑은 고딕" w:hAnsi="Times New Roman" w:cs="Times New Roman"/>
                <w:b/>
                <w:lang w:eastAsia="fr-FR"/>
              </w:rPr>
            </w:pPr>
            <w:r w:rsidRPr="008F328C">
              <w:rPr>
                <w:rFonts w:ascii="Times New Roman" w:eastAsia="맑은 고딕" w:hAnsi="Times New Roman" w:cs="Times New Roman"/>
                <w:b/>
                <w:lang w:eastAsia="fr-FR"/>
              </w:rPr>
              <w:t>Latvija</w:t>
            </w:r>
          </w:p>
          <w:p w14:paraId="5211C9F9" w14:textId="77777777" w:rsidR="0059538A" w:rsidRPr="008F328C" w:rsidRDefault="0059538A" w:rsidP="00ED6A7B">
            <w:pPr>
              <w:rPr>
                <w:rFonts w:ascii="Times New Roman" w:eastAsia="맑은 고딕" w:hAnsi="Times New Roman" w:cs="Times New Roman"/>
                <w:lang w:eastAsia="fr-FR"/>
              </w:rPr>
            </w:pPr>
            <w:r w:rsidRPr="008F328C">
              <w:rPr>
                <w:rFonts w:ascii="Times New Roman" w:eastAsia="맑은 고딕" w:hAnsi="Times New Roman" w:cs="Times New Roman"/>
                <w:lang w:eastAsia="fr-FR"/>
              </w:rPr>
              <w:t>Celltrion Healthcare Hungary Kft.</w:t>
            </w:r>
          </w:p>
          <w:p w14:paraId="0F7E494D" w14:textId="77777777" w:rsidR="0059538A" w:rsidRPr="008F328C" w:rsidRDefault="0059538A" w:rsidP="00ED6A7B">
            <w:pPr>
              <w:tabs>
                <w:tab w:val="left" w:pos="-720"/>
              </w:tabs>
              <w:suppressAutoHyphens/>
              <w:rPr>
                <w:rFonts w:ascii="Times New Roman" w:eastAsia="맑은 고딕" w:hAnsi="Times New Roman" w:cs="Times New Roman"/>
                <w:b/>
                <w:bCs/>
                <w:lang w:val="pl-PL" w:eastAsia="fr-FR"/>
              </w:rPr>
            </w:pPr>
            <w:r w:rsidRPr="008F328C">
              <w:rPr>
                <w:rFonts w:ascii="Times New Roman" w:eastAsia="맑은 고딕" w:hAnsi="Times New Roman" w:cs="Times New Roman"/>
                <w:lang w:val="pl-PL" w:eastAsia="fr-FR"/>
              </w:rPr>
              <w:t>Tālr.: +36 1 231 0493</w:t>
            </w:r>
          </w:p>
        </w:tc>
        <w:tc>
          <w:tcPr>
            <w:tcW w:w="2500" w:type="pct"/>
          </w:tcPr>
          <w:p w14:paraId="3CAC3E72" w14:textId="0825E4E2" w:rsidR="0059538A" w:rsidRPr="008F328C" w:rsidRDefault="0059538A" w:rsidP="00ED6A7B">
            <w:pPr>
              <w:tabs>
                <w:tab w:val="left" w:pos="-720"/>
              </w:tabs>
              <w:suppressAutoHyphens/>
              <w:rPr>
                <w:rFonts w:ascii="Times New Roman" w:eastAsia="맑은 고딕" w:hAnsi="Times New Roman" w:cs="Times New Roman"/>
                <w:b/>
                <w:lang w:val="pl-PL" w:eastAsia="fr-FR"/>
              </w:rPr>
            </w:pPr>
            <w:r w:rsidRPr="008F328C" w:rsidDel="008B7230">
              <w:rPr>
                <w:rFonts w:ascii="Times New Roman" w:hAnsi="Times New Roman" w:cs="Times New Roman"/>
                <w:noProof/>
                <w:lang w:eastAsia="fr-FR"/>
              </w:rPr>
              <w:t xml:space="preserve"> </w:t>
            </w:r>
          </w:p>
        </w:tc>
      </w:tr>
    </w:tbl>
    <w:p w14:paraId="742E3EE5" w14:textId="77777777" w:rsidR="0059538A" w:rsidRPr="008F328C" w:rsidRDefault="0059538A" w:rsidP="0059538A">
      <w:pPr>
        <w:numPr>
          <w:ilvl w:val="12"/>
          <w:numId w:val="0"/>
        </w:numPr>
        <w:rPr>
          <w:rFonts w:ascii="Times New Roman" w:hAnsi="Times New Roman" w:cs="Times New Roman"/>
          <w:b/>
          <w:lang w:val="pl-PL"/>
        </w:rPr>
      </w:pPr>
    </w:p>
    <w:p w14:paraId="2D2FDC44" w14:textId="77777777" w:rsidR="0059538A" w:rsidRPr="008F328C" w:rsidRDefault="0059538A" w:rsidP="0059538A">
      <w:pPr>
        <w:numPr>
          <w:ilvl w:val="12"/>
          <w:numId w:val="0"/>
        </w:numPr>
        <w:rPr>
          <w:rFonts w:ascii="Times New Roman" w:eastAsia="맑은 고딕" w:hAnsi="Times New Roman" w:cs="Times New Roman"/>
          <w:lang w:val="pl-PL" w:eastAsia="ko-KR"/>
        </w:rPr>
      </w:pPr>
      <w:r w:rsidRPr="008F328C">
        <w:rPr>
          <w:rFonts w:ascii="Times New Roman" w:eastAsia="Times New Roman" w:hAnsi="Times New Roman" w:cs="Times New Roman"/>
          <w:b/>
          <w:bCs/>
          <w:lang w:val="pl-PL"/>
        </w:rPr>
        <w:t xml:space="preserve">Data ostatniej aktualizacji ulotki: </w:t>
      </w:r>
      <w:r w:rsidRPr="008F328C">
        <w:rPr>
          <w:rFonts w:ascii="Times New Roman" w:eastAsia="Times New Roman" w:hAnsi="Times New Roman" w:cs="Times New Roman"/>
          <w:lang w:val="pl-PL"/>
        </w:rPr>
        <w:t>.</w:t>
      </w:r>
    </w:p>
    <w:p w14:paraId="2021E6F6" w14:textId="77777777" w:rsidR="0059538A" w:rsidRPr="008F328C" w:rsidRDefault="0059538A" w:rsidP="0059538A">
      <w:pPr>
        <w:numPr>
          <w:ilvl w:val="12"/>
          <w:numId w:val="0"/>
        </w:numPr>
        <w:rPr>
          <w:rFonts w:ascii="Times New Roman" w:hAnsi="Times New Roman" w:cs="Times New Roman"/>
          <w:lang w:val="pl-PL"/>
        </w:rPr>
      </w:pPr>
    </w:p>
    <w:p w14:paraId="4FA61F11" w14:textId="77777777" w:rsidR="0059538A" w:rsidRPr="008F328C" w:rsidRDefault="0059538A" w:rsidP="0059538A">
      <w:pPr>
        <w:numPr>
          <w:ilvl w:val="12"/>
          <w:numId w:val="0"/>
        </w:numPr>
        <w:rPr>
          <w:rFonts w:ascii="Times New Roman" w:hAnsi="Times New Roman" w:cs="Times New Roman"/>
          <w:b/>
          <w:lang w:val="pl-PL"/>
        </w:rPr>
      </w:pPr>
      <w:r w:rsidRPr="008F328C">
        <w:rPr>
          <w:rFonts w:ascii="Times New Roman" w:eastAsia="Times New Roman" w:hAnsi="Times New Roman" w:cs="Times New Roman"/>
          <w:b/>
          <w:bCs/>
          <w:lang w:val="pl-PL"/>
        </w:rPr>
        <w:t>Inne źródła informacji</w:t>
      </w:r>
    </w:p>
    <w:p w14:paraId="3302B5C1" w14:textId="77777777" w:rsidR="0059538A" w:rsidRPr="008F328C" w:rsidRDefault="0059538A" w:rsidP="0059538A">
      <w:pPr>
        <w:pStyle w:val="a3"/>
        <w:rPr>
          <w:lang w:val="pl-PL"/>
        </w:rPr>
      </w:pPr>
    </w:p>
    <w:p w14:paraId="0A037A25" w14:textId="77777777" w:rsidR="0059538A" w:rsidRPr="008F328C" w:rsidRDefault="0059538A" w:rsidP="0059538A">
      <w:pPr>
        <w:numPr>
          <w:ilvl w:val="12"/>
          <w:numId w:val="0"/>
        </w:numPr>
        <w:rPr>
          <w:rFonts w:ascii="Times New Roman" w:eastAsia="맑은 고딕" w:hAnsi="Times New Roman" w:cs="Times New Roman"/>
          <w:color w:val="0000FF"/>
          <w:lang w:val="pl-PL" w:eastAsia="ko-KR"/>
        </w:rPr>
      </w:pPr>
      <w:r w:rsidRPr="008F328C">
        <w:rPr>
          <w:rFonts w:ascii="Times New Roman" w:eastAsia="Times New Roman" w:hAnsi="Times New Roman" w:cs="Times New Roman"/>
          <w:lang w:val="pl-PL"/>
        </w:rPr>
        <w:t xml:space="preserve">Szczegółowe informacje o tym leku znajdują się na stronie internetowej Europejskiej Agencji Leków </w:t>
      </w:r>
      <w:hyperlink r:id="rId158" w:history="1">
        <w:r w:rsidRPr="008F328C">
          <w:rPr>
            <w:rStyle w:val="ad"/>
            <w:rFonts w:ascii="Times New Roman" w:eastAsia="Times New Roman" w:hAnsi="Times New Roman" w:cs="Times New Roman"/>
            <w:lang w:val="pl-PL"/>
          </w:rPr>
          <w:t>http://www.ema.europa.eu</w:t>
        </w:r>
      </w:hyperlink>
    </w:p>
    <w:p w14:paraId="4271866D" w14:textId="77777777" w:rsidR="0059538A" w:rsidRPr="008F328C" w:rsidRDefault="0059538A" w:rsidP="0059538A">
      <w:pPr>
        <w:spacing w:line="200" w:lineRule="exact"/>
        <w:rPr>
          <w:rFonts w:ascii="Times New Roman" w:hAnsi="Times New Roman" w:cs="Times New Roman"/>
          <w:b/>
          <w:sz w:val="20"/>
          <w:szCs w:val="20"/>
          <w:lang w:val="pl-PL"/>
        </w:rPr>
      </w:pPr>
    </w:p>
    <w:p w14:paraId="183EEB27" w14:textId="77777777" w:rsidR="0059538A" w:rsidRPr="008F328C" w:rsidRDefault="0059538A" w:rsidP="0059538A">
      <w:pPr>
        <w:spacing w:line="200" w:lineRule="exact"/>
        <w:rPr>
          <w:rFonts w:ascii="Times New Roman" w:hAnsi="Times New Roman" w:cs="Times New Roman"/>
          <w:b/>
          <w:sz w:val="20"/>
          <w:szCs w:val="20"/>
          <w:lang w:val="pl-PL"/>
        </w:rPr>
      </w:pPr>
    </w:p>
    <w:p w14:paraId="40CFEBB1" w14:textId="77777777" w:rsidR="0059538A" w:rsidRPr="008F328C" w:rsidRDefault="0059538A" w:rsidP="008F328C">
      <w:pPr>
        <w:pStyle w:val="a4"/>
        <w:numPr>
          <w:ilvl w:val="0"/>
          <w:numId w:val="143"/>
        </w:numPr>
        <w:spacing w:before="18" w:line="240" w:lineRule="exact"/>
        <w:ind w:hanging="468"/>
        <w:rPr>
          <w:rFonts w:ascii="Times New Roman" w:eastAsia="Times New Roman" w:hAnsi="Times New Roman" w:cs="Times New Roman"/>
          <w:b/>
          <w:lang w:val="pl-PL"/>
        </w:rPr>
      </w:pPr>
      <w:r w:rsidRPr="008F328C">
        <w:rPr>
          <w:rFonts w:ascii="Times New Roman" w:eastAsia="Times New Roman" w:hAnsi="Times New Roman" w:cs="Times New Roman"/>
          <w:b/>
          <w:bCs/>
          <w:spacing w:val="-1"/>
          <w:lang w:val="pl-PL"/>
        </w:rPr>
        <w:t>Instrukcja stosowania</w:t>
      </w:r>
    </w:p>
    <w:p w14:paraId="0391CBCF" w14:textId="77777777" w:rsidR="0059538A" w:rsidRPr="008F328C" w:rsidRDefault="0059538A" w:rsidP="0059538A">
      <w:pPr>
        <w:spacing w:before="9" w:line="260" w:lineRule="exact"/>
        <w:rPr>
          <w:rFonts w:ascii="Times New Roman" w:hAnsi="Times New Roman" w:cs="Times New Roman"/>
          <w:b/>
          <w:sz w:val="26"/>
          <w:szCs w:val="26"/>
          <w:lang w:val="pl-PL"/>
        </w:rPr>
      </w:pPr>
    </w:p>
    <w:p w14:paraId="0B4463E6" w14:textId="23FA38B6" w:rsidR="0059538A" w:rsidRPr="008F328C" w:rsidRDefault="008F328C" w:rsidP="0059538A">
      <w:pPr>
        <w:pStyle w:val="a3"/>
        <w:numPr>
          <w:ilvl w:val="1"/>
          <w:numId w:val="4"/>
        </w:numPr>
        <w:ind w:left="660" w:hanging="660"/>
        <w:rPr>
          <w:lang w:val="pl-PL"/>
        </w:rPr>
      </w:pPr>
      <w:r w:rsidRPr="008F328C">
        <w:rPr>
          <w:lang w:val="pl-PL"/>
        </w:rPr>
        <w:t xml:space="preserve">Poniższe instrukcje wyjaśniają jak wstrzykiwać podskórnie sobie samemu lek </w:t>
      </w:r>
      <w:r>
        <w:rPr>
          <w:lang w:val="pl-PL"/>
        </w:rPr>
        <w:t>Yuflyma</w:t>
      </w:r>
      <w:r w:rsidRPr="008F328C">
        <w:rPr>
          <w:lang w:val="pl-PL"/>
        </w:rPr>
        <w:t xml:space="preserve"> stosując ampułko-strzykawkę. Prosimy o dokładne przeczytanie instrukcji i wykonywanie zawartych w nich zaleceń w podanej kolejności</w:t>
      </w:r>
      <w:r w:rsidR="0059538A" w:rsidRPr="008F328C">
        <w:rPr>
          <w:rFonts w:eastAsia="Times New Roman"/>
          <w:lang w:val="pl-PL"/>
        </w:rPr>
        <w:t>.</w:t>
      </w:r>
    </w:p>
    <w:p w14:paraId="59B91BA9" w14:textId="77777777" w:rsidR="0059538A" w:rsidRPr="008F328C" w:rsidRDefault="0059538A" w:rsidP="0059538A">
      <w:pPr>
        <w:pStyle w:val="a3"/>
        <w:rPr>
          <w:lang w:val="pl-PL"/>
        </w:rPr>
      </w:pPr>
    </w:p>
    <w:p w14:paraId="2D670992" w14:textId="5AAAC5D0" w:rsidR="0059538A" w:rsidRPr="008F328C" w:rsidRDefault="008F328C" w:rsidP="0059538A">
      <w:pPr>
        <w:pStyle w:val="a3"/>
        <w:numPr>
          <w:ilvl w:val="1"/>
          <w:numId w:val="4"/>
        </w:numPr>
        <w:ind w:left="660" w:hanging="660"/>
        <w:rPr>
          <w:lang w:val="pl-PL"/>
        </w:rPr>
      </w:pPr>
      <w:r w:rsidRPr="008F328C">
        <w:rPr>
          <w:lang w:val="pl-PL"/>
        </w:rPr>
        <w:t>Lekarz, pielęgniarka lub farmaceuta nauczą pacjenta jak samemu sobie wykonać wstrzyknięcie</w:t>
      </w:r>
      <w:r w:rsidR="0059538A" w:rsidRPr="008F328C">
        <w:rPr>
          <w:rFonts w:eastAsia="Times New Roman"/>
          <w:lang w:val="pl-PL"/>
        </w:rPr>
        <w:t>.</w:t>
      </w:r>
    </w:p>
    <w:p w14:paraId="64E70472" w14:textId="77777777" w:rsidR="0059538A" w:rsidRPr="008F328C" w:rsidRDefault="0059538A" w:rsidP="0059538A">
      <w:pPr>
        <w:pStyle w:val="a3"/>
        <w:rPr>
          <w:lang w:val="pl-PL"/>
        </w:rPr>
      </w:pPr>
    </w:p>
    <w:p w14:paraId="0DA28486" w14:textId="6B15EF77" w:rsidR="0059538A" w:rsidRPr="008F328C" w:rsidRDefault="008F328C" w:rsidP="0059538A">
      <w:pPr>
        <w:pStyle w:val="a3"/>
        <w:numPr>
          <w:ilvl w:val="1"/>
          <w:numId w:val="4"/>
        </w:numPr>
        <w:ind w:left="660" w:hanging="660"/>
        <w:rPr>
          <w:lang w:val="pl-PL"/>
        </w:rPr>
      </w:pPr>
      <w:r w:rsidRPr="008F328C">
        <w:rPr>
          <w:b/>
          <w:lang w:val="pl-PL"/>
        </w:rPr>
        <w:t>Nie należy</w:t>
      </w:r>
      <w:r w:rsidRPr="008F328C">
        <w:rPr>
          <w:lang w:val="pl-PL"/>
        </w:rPr>
        <w:t xml:space="preserve"> podejmować próby wykonania wstrzyknięcia zanim nie zrozumiemy jak je przygotować i wykonać</w:t>
      </w:r>
      <w:r w:rsidR="0059538A" w:rsidRPr="008F328C">
        <w:rPr>
          <w:rFonts w:eastAsia="Times New Roman"/>
          <w:lang w:val="pl-PL"/>
        </w:rPr>
        <w:t>.</w:t>
      </w:r>
    </w:p>
    <w:p w14:paraId="2EC2CCDE" w14:textId="77777777" w:rsidR="0059538A" w:rsidRPr="008F328C" w:rsidRDefault="0059538A" w:rsidP="0059538A">
      <w:pPr>
        <w:pStyle w:val="a3"/>
        <w:rPr>
          <w:lang w:val="pl-PL"/>
        </w:rPr>
      </w:pPr>
    </w:p>
    <w:p w14:paraId="023A1F5E" w14:textId="51DB2E6C" w:rsidR="0059538A" w:rsidRPr="008F328C" w:rsidRDefault="008F328C" w:rsidP="0059538A">
      <w:pPr>
        <w:pStyle w:val="a3"/>
        <w:numPr>
          <w:ilvl w:val="1"/>
          <w:numId w:val="4"/>
        </w:numPr>
        <w:ind w:left="660" w:hanging="660"/>
        <w:rPr>
          <w:lang w:val="pl-PL"/>
        </w:rPr>
      </w:pPr>
      <w:r w:rsidRPr="008F328C">
        <w:rPr>
          <w:lang w:val="pl-PL"/>
        </w:rPr>
        <w:t>Po odpowiednim przeszkoleniu wstrzyknięcie może wykonać sam pacjent lub inna osoba, na przykład członek rodziny lub ktoś znajomy</w:t>
      </w:r>
      <w:r w:rsidR="0059538A" w:rsidRPr="008F328C">
        <w:rPr>
          <w:rFonts w:eastAsia="Times New Roman"/>
          <w:lang w:val="pl-PL"/>
        </w:rPr>
        <w:t>.</w:t>
      </w:r>
    </w:p>
    <w:p w14:paraId="0AD20DE7" w14:textId="77777777" w:rsidR="0059538A" w:rsidRPr="008F328C" w:rsidRDefault="0059538A" w:rsidP="0059538A">
      <w:pPr>
        <w:pStyle w:val="a3"/>
        <w:rPr>
          <w:lang w:val="pl-PL"/>
        </w:rPr>
      </w:pPr>
    </w:p>
    <w:p w14:paraId="376C059A" w14:textId="2C459298" w:rsidR="0059538A" w:rsidRPr="008F328C" w:rsidRDefault="008F328C" w:rsidP="0059538A">
      <w:pPr>
        <w:pStyle w:val="a3"/>
        <w:numPr>
          <w:ilvl w:val="1"/>
          <w:numId w:val="4"/>
        </w:numPr>
        <w:ind w:left="660" w:hanging="660"/>
        <w:rPr>
          <w:lang w:val="pl-PL"/>
        </w:rPr>
      </w:pPr>
      <w:r w:rsidRPr="008F328C">
        <w:rPr>
          <w:lang w:val="pl-PL"/>
        </w:rPr>
        <w:t>Każdą ampułko-strzykawkę stosować wyłącznie do jednego wstrzyknięcia</w:t>
      </w:r>
      <w:r w:rsidR="0059538A" w:rsidRPr="008F328C">
        <w:rPr>
          <w:rFonts w:eastAsia="Times New Roman"/>
          <w:lang w:val="pl-PL"/>
        </w:rPr>
        <w:t>.</w:t>
      </w:r>
    </w:p>
    <w:p w14:paraId="461FB5A2" w14:textId="77777777" w:rsidR="0059538A" w:rsidRPr="008F328C" w:rsidRDefault="0059538A" w:rsidP="0059538A">
      <w:pPr>
        <w:rPr>
          <w:rFonts w:ascii="Times New Roman" w:hAnsi="Times New Roman" w:cs="Times New Roman"/>
          <w:lang w:val="pl-PL"/>
        </w:rPr>
      </w:pPr>
    </w:p>
    <w:p w14:paraId="4987EA75" w14:textId="77777777" w:rsidR="0059538A" w:rsidRPr="008F328C" w:rsidRDefault="0059538A" w:rsidP="0059538A">
      <w:pPr>
        <w:rPr>
          <w:rFonts w:ascii="Times New Roman" w:hAnsi="Times New Roman" w:cs="Times New Roman"/>
          <w:lang w:val="pl-PL"/>
        </w:rPr>
      </w:pPr>
      <w:r w:rsidRPr="008F328C">
        <w:rPr>
          <w:rFonts w:ascii="Times New Roman" w:hAnsi="Times New Roman" w:cs="Times New Roman"/>
          <w:lang w:val="pl-PL"/>
        </w:rPr>
        <w:br w:type="page"/>
      </w:r>
    </w:p>
    <w:p w14:paraId="7E3A65D7" w14:textId="77777777" w:rsidR="0059538A" w:rsidRPr="008F328C" w:rsidRDefault="0059538A" w:rsidP="0059538A">
      <w:pPr>
        <w:pStyle w:val="a3"/>
        <w:rPr>
          <w:b/>
          <w:lang w:val="pl-PL"/>
        </w:rPr>
      </w:pPr>
      <w:r w:rsidRPr="008F328C">
        <w:rPr>
          <w:rFonts w:eastAsia="Times New Roman"/>
          <w:b/>
          <w:bCs/>
          <w:lang w:val="pl-PL"/>
        </w:rPr>
        <w:lastRenderedPageBreak/>
        <w:t>Ampułko-strzykawka leku Yuflyma</w:t>
      </w:r>
    </w:p>
    <w:p w14:paraId="2161D30E" w14:textId="77777777" w:rsidR="0059538A" w:rsidRPr="008F328C" w:rsidRDefault="0059538A" w:rsidP="0059538A">
      <w:pPr>
        <w:spacing w:before="13" w:line="240" w:lineRule="exact"/>
        <w:rPr>
          <w:rFonts w:ascii="Times New Roman" w:hAnsi="Times New Roman" w:cs="Times New Roman"/>
          <w:sz w:val="24"/>
          <w:szCs w:val="24"/>
          <w:lang w:val="pl-PL"/>
        </w:rPr>
      </w:pPr>
    </w:p>
    <w:p w14:paraId="40EA93EE" w14:textId="56988217" w:rsidR="0059538A" w:rsidRPr="008F328C" w:rsidRDefault="00FC382E" w:rsidP="0059538A">
      <w:pPr>
        <w:spacing w:before="3"/>
        <w:ind w:left="1786" w:right="10920"/>
        <w:rPr>
          <w:rFonts w:ascii="Times New Roman" w:eastAsia="Times New Roman" w:hAnsi="Times New Roman" w:cs="Times New Roman"/>
          <w:sz w:val="20"/>
          <w:szCs w:val="20"/>
          <w:lang w:val="pl-PL"/>
        </w:rPr>
      </w:pPr>
      <w:r w:rsidRPr="00D97EE5">
        <w:rPr>
          <w:noProof/>
          <w:lang w:val="pl-PL"/>
        </w:rPr>
        <w:t xml:space="preserve"> </w:t>
      </w:r>
      <w:r w:rsidRPr="00FC382E">
        <w:rPr>
          <w:noProof/>
          <w:lang w:eastAsia="ko-KR"/>
        </w:rPr>
        <mc:AlternateContent>
          <mc:Choice Requires="wpg">
            <w:drawing>
              <wp:inline distT="0" distB="0" distL="0" distR="0" wp14:anchorId="3D5A19C2" wp14:editId="0393D86A">
                <wp:extent cx="3642532" cy="3452400"/>
                <wp:effectExtent l="19050" t="19050" r="15240" b="15240"/>
                <wp:docPr id="81074600" name="그룹 3"/>
                <wp:cNvGraphicFramePr/>
                <a:graphic xmlns:a="http://schemas.openxmlformats.org/drawingml/2006/main">
                  <a:graphicData uri="http://schemas.microsoft.com/office/word/2010/wordprocessingGroup">
                    <wpg:wgp>
                      <wpg:cNvGrpSpPr/>
                      <wpg:grpSpPr>
                        <a:xfrm>
                          <a:off x="0" y="0"/>
                          <a:ext cx="3642532" cy="3452400"/>
                          <a:chOff x="0" y="0"/>
                          <a:chExt cx="3642532" cy="3452400"/>
                        </a:xfrm>
                      </wpg:grpSpPr>
                      <pic:pic xmlns:pic="http://schemas.openxmlformats.org/drawingml/2006/picture">
                        <pic:nvPicPr>
                          <pic:cNvPr id="222767695" name="그림 222767695" descr="텍스트, 포고 스틱이(가) 표시된 사진&#10;&#10;자동 생성된 설명"/>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3642532" cy="3452400"/>
                          </a:xfrm>
                          <a:prstGeom prst="rect">
                            <a:avLst/>
                          </a:prstGeom>
                          <a:ln>
                            <a:solidFill>
                              <a:schemeClr val="tx1"/>
                            </a:solidFill>
                          </a:ln>
                        </pic:spPr>
                      </pic:pic>
                      <wps:wsp>
                        <wps:cNvPr id="913204770" name="TextBox 2"/>
                        <wps:cNvSpPr txBox="1"/>
                        <wps:spPr>
                          <a:xfrm>
                            <a:off x="1795388" y="688500"/>
                            <a:ext cx="512347" cy="369332"/>
                          </a:xfrm>
                          <a:prstGeom prst="rect">
                            <a:avLst/>
                          </a:prstGeom>
                          <a:solidFill>
                            <a:schemeClr val="bg1"/>
                          </a:solidFill>
                        </wps:spPr>
                        <wps:bodyPr wrap="square" rtlCol="0">
                          <a:spAutoFit/>
                        </wps:bodyPr>
                      </wps:wsp>
                      <wps:wsp>
                        <wps:cNvPr id="834555833" name="TextBox 6"/>
                        <wps:cNvSpPr txBox="1"/>
                        <wps:spPr>
                          <a:xfrm>
                            <a:off x="1746261" y="400859"/>
                            <a:ext cx="587375" cy="222885"/>
                          </a:xfrm>
                          <a:prstGeom prst="rect">
                            <a:avLst/>
                          </a:prstGeom>
                          <a:solidFill>
                            <a:schemeClr val="bg1"/>
                          </a:solidFill>
                        </wps:spPr>
                        <wps:txbx>
                          <w:txbxContent>
                            <w:p w14:paraId="5F6C23CF"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Tłok</w:t>
                              </w:r>
                            </w:p>
                          </w:txbxContent>
                        </wps:txbx>
                        <wps:bodyPr wrap="square" rtlCol="0">
                          <a:spAutoFit/>
                        </wps:bodyPr>
                      </wps:wsp>
                      <wps:wsp>
                        <wps:cNvPr id="1939539162" name="TextBox 8"/>
                        <wps:cNvSpPr txBox="1"/>
                        <wps:spPr>
                          <a:xfrm>
                            <a:off x="1695253" y="1073761"/>
                            <a:ext cx="621030" cy="222885"/>
                          </a:xfrm>
                          <a:prstGeom prst="rect">
                            <a:avLst/>
                          </a:prstGeom>
                          <a:solidFill>
                            <a:schemeClr val="bg1"/>
                          </a:solidFill>
                        </wps:spPr>
                        <wps:txbx>
                          <w:txbxContent>
                            <w:p w14:paraId="52A6A40D"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Korpus</w:t>
                              </w:r>
                            </w:p>
                          </w:txbxContent>
                        </wps:txbx>
                        <wps:bodyPr wrap="square" rtlCol="0">
                          <a:spAutoFit/>
                        </wps:bodyPr>
                      </wps:wsp>
                      <wps:wsp>
                        <wps:cNvPr id="1983279234" name="TextBox 9"/>
                        <wps:cNvSpPr txBox="1"/>
                        <wps:spPr>
                          <a:xfrm>
                            <a:off x="1803926" y="2088210"/>
                            <a:ext cx="512445" cy="222885"/>
                          </a:xfrm>
                          <a:prstGeom prst="rect">
                            <a:avLst/>
                          </a:prstGeom>
                          <a:solidFill>
                            <a:schemeClr val="bg1"/>
                          </a:solidFill>
                        </wps:spPr>
                        <wps:txbx>
                          <w:txbxContent>
                            <w:p w14:paraId="5DF0571F"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Igła</w:t>
                              </w:r>
                            </w:p>
                          </w:txbxContent>
                        </wps:txbx>
                        <wps:bodyPr wrap="square" rtlCol="0">
                          <a:spAutoFit/>
                        </wps:bodyPr>
                      </wps:wsp>
                      <wps:wsp>
                        <wps:cNvPr id="1907641686" name="TextBox 10"/>
                        <wps:cNvSpPr txBox="1"/>
                        <wps:spPr>
                          <a:xfrm>
                            <a:off x="140121" y="1544407"/>
                            <a:ext cx="715645" cy="222885"/>
                          </a:xfrm>
                          <a:prstGeom prst="rect">
                            <a:avLst/>
                          </a:prstGeom>
                          <a:solidFill>
                            <a:schemeClr val="bg1"/>
                          </a:solidFill>
                        </wps:spPr>
                        <wps:txbx>
                          <w:txbxContent>
                            <w:p w14:paraId="684B1647"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Lek</w:t>
                              </w:r>
                            </w:p>
                          </w:txbxContent>
                        </wps:txbx>
                        <wps:bodyPr wrap="square" rtlCol="0">
                          <a:spAutoFit/>
                        </wps:bodyPr>
                      </wps:wsp>
                      <wps:wsp>
                        <wps:cNvPr id="2138834524" name="TextBox 12"/>
                        <wps:cNvSpPr txBox="1"/>
                        <wps:spPr>
                          <a:xfrm>
                            <a:off x="1517775" y="2557614"/>
                            <a:ext cx="975995" cy="485775"/>
                          </a:xfrm>
                          <a:prstGeom prst="rect">
                            <a:avLst/>
                          </a:prstGeom>
                          <a:solidFill>
                            <a:schemeClr val="bg1"/>
                          </a:solidFill>
                        </wps:spPr>
                        <wps:txbx>
                          <w:txbxContent>
                            <w:p w14:paraId="23A28FB7"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Osłona zabezpieczająca</w:t>
                              </w:r>
                            </w:p>
                            <w:p w14:paraId="2E7024DE"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igłę</w:t>
                              </w:r>
                            </w:p>
                          </w:txbxContent>
                        </wps:txbx>
                        <wps:bodyPr wrap="square" rtlCol="0">
                          <a:spAutoFit/>
                        </wps:bodyPr>
                      </wps:wsp>
                      <wps:wsp>
                        <wps:cNvPr id="927697514" name="TextBox 14"/>
                        <wps:cNvSpPr txBox="1"/>
                        <wps:spPr>
                          <a:xfrm>
                            <a:off x="911152" y="2995166"/>
                            <a:ext cx="784225" cy="412750"/>
                          </a:xfrm>
                          <a:prstGeom prst="rect">
                            <a:avLst/>
                          </a:prstGeom>
                          <a:solidFill>
                            <a:schemeClr val="bg1"/>
                          </a:solidFill>
                        </wps:spPr>
                        <wps:txbx>
                          <w:txbxContent>
                            <w:p w14:paraId="1F4313C5" w14:textId="77777777" w:rsidR="006D7011" w:rsidRDefault="006D7011" w:rsidP="00FC382E">
                              <w:pPr>
                                <w:wordWrap w:val="0"/>
                                <w:jc w:val="center"/>
                                <w:rPr>
                                  <w:rFonts w:ascii="Times New Roman" w:eastAsia="Times New Roman" w:hAnsi="Times New Roman" w:cs="Arial"/>
                                  <w:b/>
                                  <w:bCs/>
                                  <w:color w:val="000000" w:themeColor="text1"/>
                                  <w:kern w:val="24"/>
                                  <w:lang w:val="pl-PL"/>
                                </w:rPr>
                              </w:pPr>
                              <w:r>
                                <w:rPr>
                                  <w:rFonts w:ascii="Times New Roman" w:eastAsia="Times New Roman" w:hAnsi="Times New Roman" w:cs="Arial"/>
                                  <w:b/>
                                  <w:bCs/>
                                  <w:color w:val="000000" w:themeColor="text1"/>
                                  <w:kern w:val="24"/>
                                  <w:lang w:val="pl-PL"/>
                                </w:rPr>
                                <w:t xml:space="preserve">Przed </w:t>
                              </w:r>
                            </w:p>
                            <w:p w14:paraId="6B5A2C1A" w14:textId="77777777" w:rsidR="006D7011" w:rsidRDefault="006D7011" w:rsidP="00FC382E">
                              <w:pPr>
                                <w:wordWrap w:val="0"/>
                                <w:jc w:val="center"/>
                                <w:rPr>
                                  <w:rFonts w:ascii="Times New Roman" w:eastAsia="Times New Roman" w:hAnsi="Times New Roman" w:cs="Arial"/>
                                  <w:b/>
                                  <w:bCs/>
                                  <w:color w:val="000000" w:themeColor="text1"/>
                                  <w:kern w:val="24"/>
                                  <w:lang w:val="pl-PL"/>
                                </w:rPr>
                              </w:pPr>
                              <w:r>
                                <w:rPr>
                                  <w:rFonts w:ascii="Times New Roman" w:eastAsia="Times New Roman" w:hAnsi="Times New Roman" w:cs="Arial"/>
                                  <w:b/>
                                  <w:bCs/>
                                  <w:color w:val="000000" w:themeColor="text1"/>
                                  <w:kern w:val="24"/>
                                  <w:lang w:val="pl-PL"/>
                                </w:rPr>
                                <w:t>użyciem</w:t>
                              </w:r>
                            </w:p>
                          </w:txbxContent>
                        </wps:txbx>
                        <wps:bodyPr wrap="square">
                          <a:spAutoFit/>
                        </wps:bodyPr>
                      </wps:wsp>
                      <wps:wsp>
                        <wps:cNvPr id="303072408" name="TextBox 15"/>
                        <wps:cNvSpPr txBox="1"/>
                        <wps:spPr>
                          <a:xfrm>
                            <a:off x="2333500" y="2995166"/>
                            <a:ext cx="850900" cy="412750"/>
                          </a:xfrm>
                          <a:prstGeom prst="rect">
                            <a:avLst/>
                          </a:prstGeom>
                          <a:solidFill>
                            <a:schemeClr val="bg1"/>
                          </a:solidFill>
                        </wps:spPr>
                        <wps:txbx>
                          <w:txbxContent>
                            <w:p w14:paraId="7D5AE2D8" w14:textId="77777777" w:rsidR="006D7011" w:rsidRDefault="006D7011" w:rsidP="00FC382E">
                              <w:pPr>
                                <w:wordWrap w:val="0"/>
                                <w:jc w:val="center"/>
                                <w:rPr>
                                  <w:rFonts w:ascii="Times New Roman" w:eastAsia="Times New Roman" w:hAnsi="Times New Roman" w:cs="Arial"/>
                                  <w:b/>
                                  <w:bCs/>
                                  <w:color w:val="000000"/>
                                  <w:kern w:val="24"/>
                                  <w:lang w:val="fr-FR"/>
                                </w:rPr>
                              </w:pPr>
                              <w:r>
                                <w:rPr>
                                  <w:rFonts w:ascii="Times New Roman" w:eastAsia="Times New Roman" w:hAnsi="Times New Roman" w:cs="Arial"/>
                                  <w:b/>
                                  <w:bCs/>
                                  <w:color w:val="000000"/>
                                  <w:kern w:val="24"/>
                                  <w:lang w:val="fr-FR"/>
                                </w:rPr>
                                <w:t xml:space="preserve">Po </w:t>
                              </w:r>
                            </w:p>
                            <w:p w14:paraId="22BD6CFC" w14:textId="77777777" w:rsidR="006D7011" w:rsidRDefault="006D7011" w:rsidP="00FC382E">
                              <w:pPr>
                                <w:wordWrap w:val="0"/>
                                <w:jc w:val="center"/>
                                <w:rPr>
                                  <w:rFonts w:ascii="Times New Roman" w:eastAsia="Times New Roman" w:hAnsi="Times New Roman" w:cs="Arial"/>
                                  <w:b/>
                                  <w:bCs/>
                                  <w:color w:val="000000"/>
                                  <w:kern w:val="24"/>
                                  <w:lang w:val="fr-FR"/>
                                </w:rPr>
                              </w:pPr>
                              <w:r>
                                <w:rPr>
                                  <w:rFonts w:ascii="Times New Roman" w:eastAsia="Times New Roman" w:hAnsi="Times New Roman" w:cs="Arial"/>
                                  <w:b/>
                                  <w:bCs/>
                                  <w:color w:val="000000"/>
                                  <w:kern w:val="24"/>
                                  <w:lang w:val="fr-FR"/>
                                </w:rPr>
                                <w:t>użyciu</w:t>
                              </w:r>
                            </w:p>
                          </w:txbxContent>
                        </wps:txbx>
                        <wps:bodyPr wrap="square">
                          <a:spAutoFit/>
                        </wps:bodyPr>
                      </wps:wsp>
                      <wps:wsp>
                        <wps:cNvPr id="166983614" name="TextBox 7"/>
                        <wps:cNvSpPr txBox="1"/>
                        <wps:spPr>
                          <a:xfrm>
                            <a:off x="1672516" y="717902"/>
                            <a:ext cx="735965" cy="354330"/>
                          </a:xfrm>
                          <a:prstGeom prst="rect">
                            <a:avLst/>
                          </a:prstGeom>
                          <a:noFill/>
                        </wps:spPr>
                        <wps:txbx>
                          <w:txbxContent>
                            <w:p w14:paraId="580AC468"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 xml:space="preserve">Uchwyt </w:t>
                              </w:r>
                            </w:p>
                            <w:p w14:paraId="301DA0D9"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dla palców</w:t>
                              </w:r>
                            </w:p>
                          </w:txbxContent>
                        </wps:txbx>
                        <wps:bodyPr wrap="square" rtlCol="0">
                          <a:spAutoFit/>
                        </wps:bodyPr>
                      </wps:wsp>
                    </wpg:wgp>
                  </a:graphicData>
                </a:graphic>
              </wp:inline>
            </w:drawing>
          </mc:Choice>
          <mc:Fallback>
            <w:pict>
              <v:group w14:anchorId="3D5A19C2" id="그룹 3" o:spid="_x0000_s1348" style="width:286.8pt;height:271.85pt;mso-position-horizontal-relative:char;mso-position-vertical-relative:line" coordsize="36425,3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kNv9QQAAA8VAAAOAAAAZHJzL2Uyb0RvYy54bWzUWN1u2zYUvh+wdyA0&#10;YNiANRapfy9OkSVNMKDogrV7AFqmbaGSqJF07NwNW3rTYmh7OSAddlFswNCLFRuwXuyJEucddkhZ&#10;8k+StXaA1bmwTEoUdc73nfMdkpu3R1mKDpmQCc9bFt6wLcTymHeSvNeyvnmwdyu0kFQ079CU56xl&#10;HTFp3d768IPNYdFkhPd52mECwSS5bA6LltVXqmg2GjLus4zKDV6wHB52uciogq7oNTqCDmH2LG0Q&#10;2/YbQy46heAxkxLu7pYPrS0zf7fLYvVVtyuZQmnLAtuUuQpzbetrY2uTNnuCFv0knphBV7Aio0kO&#10;H62n2qWKooFILkyVJbHgknfVRsyzBu92k5gZH8AbbC94sy/4oDC+9JrDXlHDBNAu4LTytPG9w31R&#10;3C8OBCAxLHqAhelpX0Zdkel/sBKNDGRHNWRspFAMNx3fJZ5DLBTDM8f1iGtPQI37gPyF9+L+nbe8&#10;2ag+3Jgzp0jiJvwmGEDrAgZvjxV4Sw0EsyaTZO80R0bFw0FxC+gqqEraSZqoIxN6QIw2Kj88SOID&#10;UXYAzgOBkk7LIoQEfuBHnoVymkHkn/795uzXf9DM/Q6TMYTi+aMfx49fnj9+8xk6f/rq9M9fkO4+&#10;eT1+8dcnp3989yk6f34yfnJy9uwEjb9/Nf7t+OOPRtufm8v452dnT39C4x9ejI9fmwHHL89+f6Sj&#10;WpumrSltoxq7uzx+KFHOd/o077FtWUB2QM7q0Y354aY751g7TYq9JE11POj2BEIwfyESL2GhjPJd&#10;Hg8ylqsybQVLAU2ey35SSAuJJsvaDGATX3aMQbQplWAq7usPduHDX4Ox2tCZB8bKqWHaBQmBfN3Q&#10;rQMQQBNS7TOeId0A48AGYJ026eFdObGmGqJvp7m+Sp4mnQorI2RsJxXokIIEqVEJ99wo+KB+07hT&#10;OmCa4I9OSdBFWcENvQuAL5X69/u0YOCCnnYaqxF2iO0GAQhkGasPIL2/4CNEdGxMxmqNQGoEtycx&#10;o+9fgTcOIs8JQfpBFPww9CpNqFTDw8Rxg4lo+JEDAlJyW0lOheo7Av9fkLd7l0E+NV632rxzBN4N&#10;oQ60LPntgGqRECrd4aZsGFaL7YHie4mhffoO0KY7QNH/xFUIIut5oeMscuWvzJXrEx8brkC8Qy/S&#10;E9FmzVUYOAGomBZ4EC9g8/1ypUbtkVFY7LuVyzeIPxw5kBsR9qFmzidbWHkDiblUskGRgRpsCMQ2&#10;kAVkzjHoE2w7kNtryKCJpWk23YgMxFHokCACBVtk0GSO9mZZBkPbiYhvGCR2GAJf8wyCXrrueuZg&#10;LTs3KgftwHexHwLk8zlYAr8Kha6NSSmi2HNd1w7mGQyw568pg8bSG5aDBMPywmw3LjC48prFw0Gg&#10;C52uc54HKmrKy7QQRoEX6eW8llE39PTY97pomSmEdem4QUkYwf4IIAWUF3OwLutLymiEMfagrGoC&#10;gSnsG22aEhiELiEVgZgEnlHZ1Zf71111zhBYV47LCFyn5acDK4kANvmwtl9QzrqUL8kacRxHbxCu&#10;pA22D5F+bvJurWiDDRMowFXSuU60QS7AqkVL2gJttfgvyRr2AwIZZlgLYLtnG9mdyTXHi/xJrjme&#10;68D681pimcPWK031FBructupW9McCsyq9yoylt/NmeMnOHUzZw6TE0J9rDfbN+ZMzzG3/gUAAP//&#10;AwBQSwMECgAAAAAAAAAhANio8Eq7bgAAu24AABQAAABkcnMvbWVkaWEvaW1hZ2UxLnBuZ4lQTkcN&#10;ChoKAAAADUlIRFIAAALYAAACsggCAAAAYN4+bgAAAAFzUkdCAK7OHOkAAAAEZ0FNQQAAsY8L/GEF&#10;AAAACXBIWXMAABJ0AAASdAHeZh94AABuUElEQVR4Xu2967cdVZ33e/6H8+a8edRHEQgiSLI7SgLE&#10;3LZExBZNzDaAYMItKuR+3ztXcoMAykUwojGYFrEjit10nn3SEW2aDk13Oxo6xOMZZxzY4cUZo+0x&#10;2Dxj8LzN+e79q0wns2rVqrWq1mXX/HzGb2TsNatqVq1K/X71qVm11vrfzgMAAAD0CEQEAAAAegYi&#10;AgAAAD0DEQEAAICegYgAAABAz0BEAAAAoGcgIgAAANAzEBEAAADoGYgIAAAA9AxEBAAAAHoGIgIA&#10;AAA9AxEBAACAnoGIAAAAQM9ARAAAAKBnICIAAADQMxARAAAA6BmICAAAAPQMRAQAAAB6BiICAAAA&#10;PQMRAQAAgJ6BiAAAAEDPQEQAAACgZyAiAAAA0DMQEQAAAOgZiAhAwti5d06/+prisSeecrF8xZ2Z&#10;4c9jS2nxpCMAACgMIgKRInU4cvTY/oOHZBWDg9d/7MMfUVw+7Yo5c75oMX/h7fMG78gMTXKzDcyY&#10;bctaqCt1qG7VuVaRrAwAABqAiEAsjJ175/jzLwyP7Fi8ZKmMYfaswbnzlsgqZs9fPXPuug/NGv7f&#10;P7297dDi6kRdTZjKwpslKE5NtDqtVKtmyAQAIA0iAjVn9OQpecDg4PUDM2ZLEeYuuEfGEGhEh+JT&#10;czZet+DbWqkbNdFmaGO0ScnGAQBEDyIC9UQn+1Wr1+rcP3feEsnHtGu3BJbQ5dAGmJRcPu0KkxKM&#10;BABAICJQK8bOvbP/4KGB6TPkHzrxl7zh0qGYuINzwUi0qdpg7toAQLQgIlATTr/62qrVawdmzJ67&#10;4J4y/nHVZzfOnLvWYu7Ce+YtvCMzNMnNpkWCTgqGVMk9TTI8soOHWwEgQhARmPKcefPs8hV36oze&#10;0sMf067dIoeQUswfvP26OTfOnj1oQuCHGjUpM3LmV4fqVp0XvB+kzZ638GbrQW+E0REAiApEBKYw&#10;4+Pv7T94qKCC2FMaph2BOtgghw1vtPE0iRaZcd1q0xpFoCmmJlp1fs+aOnfeEltEb0pvLXmTAAC1&#10;BhGBqcroyVNz535+9vzVwRndjw/PHp54RHTBzQPTZzktkCtoqbbvp2TG/zGwKWhRaBWTj4NMqImt&#10;XZuhjdEmacOCmS0mPgM8a0JiBqbP4E4NAMQAIgJTkv0HD81feHujZ0F0mp+78B53+tcfelmteQSR&#10;KSJBaAPSW5VpJPMG77B59DaTNwwAUFMQEZhijI+/t3z5PY0GQtQ+d/7EDY7Lp10xb8HNetlo7KHa&#10;KCIiLrRJEyMlC5IPzmiD02/nU3M22rePLF9xJ7dpAKDGICIwldAp+atLv6GTdHDatiEQu/9y3Zwb&#10;r1vw7WCGTkdLIuKHNtXGSLTxwS2bD80atts0i5csxUUAoK4gIjBlmLSQO9O3Y6QgNrQwb8HNbTxq&#10;Wkm0LSIW2mxtvN6C3ojejmv/0GxcBABqDiICU4bNW3YGFjJz7lobBZk/eHt3bsE0ipIiYqG3oDei&#10;t6M3pbdmjc5Fhkd2JDsCAKBGICIwNRg9ecq/I+PO2XPnL+nVKIgflYiIhd6O3axxdiUXsSEfvhIe&#10;AOoHIgJTgPHx9xYuWulO1RMfi509qHNzo0dWux8VioiF3trEG5w9aJqll5MjJTO4QQMANQMRgSnA&#10;vgNPuDO0LMQ/Q/dJVC4iCr1B8y374LF9GfxjTzyV7BQAgFqAiMAU4LODq+zc7Cykt0+EpKMTIqLQ&#10;23QuMnPuOonI4OD1yU4BAKgFiAj0O6dffc2eUdVZeWD6rD60EEWHRERhLmLv2r5ZhG9cBYA6gYhA&#10;v7Nz9+N2Sp4/ePvl067oQwtRdE5EFHrLeuN6+/bbeNydAYA6gYhAv3PLbdt0Mp527Radg7v/TWUF&#10;o6MiotAb19ufv3Dig0KrVq9Ndg0AwNQHEYF+50uLJ87x8wdvH5g+yz8391V0WkQUevvXXneDRGT5&#10;ijuTXQMAMPVBRKDfMRHRadj/ytEOhfspfwv7uEqR6IKIuC+QRURgSjN27p3Tr77mImmFiEFEoN/5&#10;1r27dBrWCdh92WjnQvKhFfmhliJPpXRBRPT2bZP4SV7oW8bH35NbjJ489dgTT+lAlTQrBgevdwmV&#10;HwPTZ9giwyM71MORo8fUm8Ql6R1qCiIC/c4j3z2i07CKVE9EROF/4Xo6Jj9Yu3beguWd3jwnIqrO&#10;ya4B6DWyhOPPvyBpkD1IIybyZcbsOXO+OG/hzfMG71DMnr965tx1Fpnf/eOmKuYuuMeWUg/2xTku&#10;zE5MTZJ1Q11ARKDfUaX71JyNqkTdFJG5C+8JpGTu/CXmHDbpujk3SlD8GdQY9FZtzJqfiAgXiNBb&#10;dARKCFatXivzuHzaFRPaMSkc6Z/FLh8fmjWcCMrCm+1HlyzkJbIfpKQeICIwBVi6bEN3nhFx8mHS&#10;I/Own30pEp0WEZmQ1qL6m+wUgO5y5s2z+w8eGhy8fmDGbGnBdQu+3ZNvN5aX2JCJ5Z1kaHhkBz/D&#10;NKVBRGAKcPz5F+bN/+rs2YNBSao8AhGxcE+JBqFGaYozlY6KyIdnj1z0kY9qLVwCQpcZO/fOY088&#10;Jf+YPWtw7oJ7OjHs0V58aNbw7PmrpUSWnmYkJMhUBBGBqcHSr92tWtPpuzOZIqKwn3254vKrNIMu&#10;BP2p+tsW6aiIzJ3/Va1iaGhZsjsAOo9O6hP3X2bMnjd4R08GP4qHGYllopxJly78POQUAhGBqYEu&#10;y2bPWjAwfVZHv1m1kYjYpOvm3Bg0KrogIp9d8E31P+3jF/N0CHQHKcjyFXfOnbdk5tx1wdFYJJQU&#10;CmWEYv7g7TZwaBE8WaVwI4sW8xbcbAtOPuW6tiUB+tCsYTmT/RLCwPQZjz3xFDoyJUBEYMpw7KfP&#10;XfrxS+fOXxJUn5JhVc9CddCKY/+IyKfmbLz4Yx9X/3r7yY4A6BimIPMW3lzQAHRhkDjHgptd+ljM&#10;nj2YuIWfYpMDin5MDmb8eQYluC0VdKV2TdXMRTZMa3E6wqfM+h9EBKYSj3/v+3IRlbyg7pQJv965&#10;UH0MZlMRVHEMGhWa0xbRDMGk8jFhIR+dsBC98WQXAHSG8fH39h88NGfOF5ue6TWDzvRKQze84YtC&#10;OnfKRPLxeDmKJzo2iKLG/HXNXZA83bV4ydIzb55N3if0H4gITDF0Sr7koktUhqq6R2OlLYh+EBG7&#10;I6PAQqDTnH71tS98YYk0IjgI/ZgYurggHzrBm3lUqx1FYuKzbJ4G2ZaoJbMgfGjWsP1Ck+Ixfi2y&#10;X0FEYOqhE/PFH/v4jOlXV1IErUjpkk69KfSHaly6qHVTRFQ97enUiz7y37EQ6DRHjh6bO2+Jjrrg&#10;OLTQEa6MsKGFiexo5acPOh02NiMRsc1rZCQz566zGZavuJOnRvoQRASmJP/82r9+8rJPqrLMH7y9&#10;5NCIOlE4ybAhXzfVRddEZNb8NZ+49HJ1ePm0y/Q2kzcM0BmGR3bo5B0chAql1dyF99iow8Sdl4X3&#10;FHxqpFdhAzaTiXOF/gi2duKzvpPfh7Z4yVJcpN9ARGCqompy9z3f/PhHL7rs0k9IAtrWEdUmRT+I&#10;yJVzNrnvjtRbo1xCp9m8ZWf6czFKJR3MOp1nntH7PHx/UsIqPf2p9hFfXKTfQERganPqN7+1n9Rq&#10;W0fsxN9bEbnk2i1z5nzxoo/8d/Wjt8NACHSB3fc/GHw72QcUpITc90PMnr9aCauEmjt/ie9SuEgf&#10;gohAHXj2ueMD02fYB0x0DRdcBuWHFlH0SkSumX/fzL+4znrQW/jVr19M3hJAJxk9eSq4I6MjeWD6&#10;rBooiB/2poL0tHHH4ZEdyb6AXoOIQH049Zvf3njjX1768UtVZWZMv3r+4O1FnqozCeiyiPzF3HWf&#10;/eyXLrnoEltWm62NT94GQIcZH3/vc5+/0z8glSw6DoPBg9qEclPvbvbsQXt3H5o9LN9SC79Q0ycg&#10;IlA3xs69s3nLtk9cOm3axdNUa6Z/6tPzFuT9QJfmUXRBRLQBn13wzeuu+4JtmEIbqU3l+1Khy+w7&#10;8IT7jMyHZw/rDK0Tc+Yjq7UJXZPY27SLE71ZJeDg4PXJHoGegohAbdHlzr33rbl82mWXXXKZnfhn&#10;TL9aUjJ34T2yB1ehbFKHRERTtbrPzr3JrsAstEnaMK7GoCeMj7/32cFVdnw6C+mfT+R2LvRm7YO+&#10;9mbtq1ePP/9Csl+gdyAiUH/OvHn2sSeeWrxkqerOJy693HnJwPRZcgv7+5prPnfVnI3/bdZw+yIy&#10;+WyKZps/eLuK+xWXX2XtLrQB2gy+4RF6yzPHfuGO3ngsxIXy1N6yDYqsWr022S/QOxARiIvTr74m&#10;G/jWt++79pqJR0TdQIWTjLZFxOKSj13s/v7857+gFWl1WmmyeoBec8tt2+zQlTHHZiEWSmRdhEy7&#10;bpvlKR+f6TmICESNFMGKUXkRGRy8fnhkh7Rj9OQpzAP6FrsvI//QQTt34T3+wRxJfHjyYVVltN2d&#10;IVt7DiICsWMaUV5EpCBJjwB9jH2D2cQT3FnHc+WhxLEEseiTD+bIwOQi1133BW0Sj4n0HEQEYsfq&#10;IyICkSAR+fDsYR2x+T9xV1UEIqKQAfR8JMYGRT7zmbnaHjK35yAiEDtWHBERiASJiB20wZHcoXAi&#10;Yg/G2t/2Mng8RVs18Xsx3i/+Z2ZiVTF3/pKrrvwLrYXPr/UcRARix8oiIgKRMHjD6rkL75EHBEdy&#10;h8KJiDLlw7OHJRn20sKcw778NB0dFRF1/vGPXqS18IxIz0FEIHas5CEiEAl3r9zd6GDuRGhdliDK&#10;FGvRH43MI4jMTKwqFgzeplUMTJ+R7BfoHYgIxI6VPEQEImH05Kmr563WERscyR2KtIgoJoZGvGdH&#10;7Bt95g/erkbNZt/wocjMxKpi9qyFWgW/ONMPICIQO1byEBGIh0VfuEdHrG8GnQsnHOnVTbt2i9qD&#10;RoXLqc6JyIdnj9iPXXNfph9ARCB2rOQhIhAPzxz7xbXXfn7egpuDg7kTkSMiCrUHLYouiMi8BUPq&#10;/+Zbvp7sEegpiAjEjpU8RASi4i+/dKsO2kw5KB+WEUH0j4h8as7El7kp+L2FPgERgdixkoSIQFTo&#10;HPwXM2YPTJ/14dnJz/BWGJYRQfSJiHxo1vDFH/24Ov/uY99L9gX0GkQEYsdKHiICsfGrX7946ccv&#10;nT17sHIXsYyY+OrSOTcqLL8yf9RGk4IWRedERBYy46qr1fNtty9P9gL0AYgIxI6VPCcZ+gMRgUh4&#10;/Hvfv+SiSyp3kSCn9LebFETmpA6JyLRrt0z/1KfVLRbSbyAiEDtW8hARiBO5yMUf/fisq+dX+DO8&#10;QU7pbzcpiMxJnRCRWfPX2B0ZLKQPQUQgdqzkISIQLf/82r9Ou/hSHcNVnfiDnNLfblIQmZMqF5F5&#10;C5Ovc92wcUvynqGfQEQgdqxCISIQM+Pj791441/qMJ519Xwd0sFB3moEOaW/3aQgMidVKCLXzL/v&#10;sksuU1eXT7vs1397Inm30GcgIhA7VvIQEYAf/fgn0z5+iaVDGR0Jckp/u0lBZE6qRESunLPJflxX&#10;cfc935RpJW8S+g9EBGLHShUiAiB0wh4e2fGJSz8xkRTXfeG6Bd8ODvgiEeSU/naTgsicVFJErp63&#10;ZuZfXGc9DA5e/+bZ/yt5b9CvICIQO1awEBEAxwUdmbipcdmln5g/eHtLj7IGOaW/3aQgMie1JyKT&#10;v19zi92IUdx441+e+s1vk/cD/Q0iArFjZQsRAQiQjnz3se8NTJ9xyUUT92tmTL9aRqIDPkiBdAQ5&#10;pb/dpCAyJ7UkItOu3TJv4XL7XK7isksuXfnNb4+deyd5DzAVQEQgdqx+ISIAjTj96mv33rfmE5dO&#10;+8Sll0+c7C/9xNz5S+YuvKeRlAQ5pb/dpCAyJzUVEcnHdQu+PWfOX9r2WCy7+dbjz7/AsyBTEUQE&#10;YseqGCJShLfeHrM3mxMzB2YefvrI62+cSZbxuOvulW42zZO0wtRh9OSpke27PvPpz1x2yWXuJsjs&#10;2YPzFtxsXiJFUFJYe4UiohaZx7yFy7UuG56xkButuOMu/GOqg4hA7FhFQ0SKUEREXKRVAxGpDWPn&#10;3jly9NjadRtnXz1b/5uXT7vCH5ywmPkX18keFPr7qjkbL79287TJ8NNHkz5+zdaPzt72kVnDFpdc&#10;s/Wa+fdZD5+6YmDaxdPsb/vVfsUnL7t8aGiZ0o1f8K8NiAjEjlU3RKQILYmIIrANRKSWjI+/JyfQ&#10;8b9q9Vopgvsvdvmiv12+BJE5yeWUxbXXXHfb7cvV//HnX+D3cmsJIgKxY8UOESlCqyIyc2Dmu+Pj&#10;ycKISDTYf3F5Edm1Z1/SI9QaRARix0oeIlKEQET0MplwAemF5MOfxxcORCQS7L+4vIjEkFMgEBGI&#10;HSt5iEgRmoqIePmV0/48u3bvTSYgItFg/8WICBQEEYHYsZKHiBShiIiIRYtucPNIPpLWxiLy7HPH&#10;XbuWTVo93FSFRCdp/WCHtjHq1n9MQRrkzx/w4onR9Rs2uZn1t82sTlxjpjBptoceedTNo9DLzBW5&#10;Gex9+T1rdY124FTH3iAiAgVBRCB2rOQhIkUoKCL+3ZmuiYiswhcgPzJlwlcQP+Qu+SLSaEGFJvnP&#10;xAg3SdsWuEvwAE2dsDeIiEBBEBGIHSt5bYjIxR+7qGaR7JHGFBERCYE/T5FbM5WISH4EwxXaqmAG&#10;P3yRCkQkx0IshoaWJbNO4tqDR2cUacUJ/jvqEcoUvVk/cfzInISIxAYiArFjJQ8RUSR7pDFNRcQf&#10;S7CQZCTTOi8iWlYaZJOCLXnokUetXagHf5I6sa9fe3d8PC0ojbZTYuHWpQ79wRh/EddokR4y8Qn+&#10;O+oRyhS9cT9x/MichIjEBiICsWMlrw0RsYj51kzT0Om5yMd3KxERmUEgRv7oheZMWj/Ynl5d4CL+&#10;dvq2EQyx+HtGW5K0fnDL1V7XezEB9n5dvuhvly9BZE5CRGIDEYHYsZKHiBShVRFxYwZGR0VEepG0&#10;XkCrcFP9Oyb+XRJ/M4zgPboZXn/jjGvM3Eh/Y9w33LsWRXoL64q9X0QECoKIQOxYyUNEilBcRPw7&#10;F46OikhaKTK7Dd5C5m/i+CMfrlu/t6bhlspsrD32fhERKAgiArFjJQ8RKUIREdF1f6Mzbj+IiBZ3&#10;jQq9I2v3yexWf7jGpuGW8hu1PdZYe+z9IiJQEEQEYsdKHiJShEBEMs/iOSAi1lh77P0iIlAQRARi&#10;x0oeIlKEnohIsNJ+uDUTfEY3B7eIIn2vqq7Y+0VEoCCICMSOlTxEpAhdEBH/IyeG/5SooqSIiPIP&#10;qxb//ItbROFveb2x94uIQEEQEYgdK3mISBE6JCL5t0uCz9OWF5H8j+/6UxV+t/kGk4mbX4GIpCNz&#10;EiISG4gIxI6VPESkCB0SkXfHx127QrNZz2pPf8NYeREJvMdfXWAhCr9b/e1P8r8kzbZTLZrH3y3+&#10;/IhIOjInISKxgYhA7FjJQ0SK0CEREf6kdPhDEeVFRAQ/+5ITQbf+L+o1Cq3L3bjx2xGRdGROQkRi&#10;AxGB2LGSh4gUoXMioq50/nZT/ZA0+OMilYiISA9+WKgff0uCbmUY+c4kU/F3iz8JEUlH5iREJDYQ&#10;EYgdK3mISBE6JyKGGv3BDymInbw7ISLixROjfg9ai32IJkdEDG1DekxFc6Y/F+PPgIikI3MSIhIb&#10;iAjEjpU8RAQcvojIZpJWKIztOkQECoKIQOxYyUNE4mHX7r133b3y8NNHMkc73h0f90dlMr9oBPKx&#10;XYeIQEEQEYgdK3mISDwEd1X0Mpkw+WUh/s2azBs60BTbe4gIFAQRgdixkoeIxEPwpEtOcF+mPWzv&#10;ISJQEEQEYsdKHiISFS+/ctq//5IZmTduoAi2AxERKAgiArFjJQ8RiRCphv95HIuhoWVqb/UDQeBj&#10;exIRgYIgIhA7VvIQEYCqCHJKf7t8CSJzEjkVG4gIxI6VPEQEoCqCnNLfLl+CyJxETsUGIgKxYyUP&#10;EQGoiiCn9LfLlyAyJ5FTsYGIQOxYyUNEAKoiyCn97fIliMxJ5FRsICIQBePj751+9TXFkaPHVN0U&#10;wyM7lq+4U2Elr7yIDA5ebx1a/wpb45k3zyYbAVAjiueU/nb5EkTmJHIqNhARqAmuLLrKuGr1WpWw&#10;gekzrKjlx2c+fe1Ni+8d/NxXrrj8ymuumXvjjUuDUOOnrrgqaPzazSu/dkveT6D5sXjJUm3P/oOH&#10;tG2jJ09RUqHPqSqn9HeQOC7Sk8ipCEFEYGqg4qISo1qjiqNw1166ZgpqUxuhcvbZz8679bZvjOzc&#10;ve/gg8Vj5Tfv1bI33HDjggWDQZ9thL0jhb3H48+/YIU12QUAldLPOfW56z9PTsUDIgJ9xNi5d1Qj&#10;VCxUMnSVYxUkqCythsqZqqGqm5W5n/z0uV/86teKf/6Xf33jP850Iqx/xXcf/57WqEKsDVAEG9Zq&#10;2DC1Lkm1c3R5qh3FlR80xXLKbIOcCoKc6hMQEegNdjXmiqOugYIaUTCsJirWbdhkZdFVxs6VxTLx&#10;d6MnXT31S2rbVXVg+gxXTO2Cb3z8vWQvQ0yQU+TUFAURgW6gTLZxjjbqo18TVWtUcRQv/e4fgmJU&#10;m1Ctt/d4+OkjVlhtD8y4qtCNeQurpMMjO7TPtfN1WZz8T0BdqCqnFORUkSCnOgciAtWjFLWhYF1S&#10;FLzfrIqgumCDvWYbusoJqgmh0NlCO0eXp9pRduVX8Fa6lVFdK9sVXvJfBVMEcqpz0XZOKcipSkBE&#10;oALGx9+zKqm01AkvyNUgVB+/fntyNWbjvUFdINoIK6Y2Ol2wkuoyWpd3qqHcF+9D7BMrLeTUhREO&#10;cqqqIKe6BiICbaJLNOWbsi7/+kwl8rbbl+s6w67J+vMec11DV8B2nafL4vwyauMlNuac/AdD1yme&#10;U9IOcqonQU51AkQEWqBIoVy48HPf/NbEaLDStcZ3nado2BWeLp1v+vLi4D/ODyugXNV1gfHx94rk&#10;lN1hIaf6MMip8iAiUAjVypwH4nR9RpWciuFqaKNrO13V6RwpAU2OA6iO/Jy6lZyamkFOtQEiAk3Q&#10;Fduq1ck3LruYcdUMXaLZyHCQh8QUDZ3wDj99JLOAqnQyvFwh5FQkkZ9ToydPJQdE9CAi0AT/ou2m&#10;Ly/WVRqFsvZhBVTnRZ0d3f8+o8pV8Y3ld7i9Sk5FEk5K/JzC7w1EBPLYf/CQyxllUZBaRO1D1dPd&#10;+dY1nC7lkyMD2uWxJ54ip2KOf/6XfyWnAhARaMjYuXdcxeQbCKIN1c1bL3xDpU6iycEBbeHnFKMg&#10;McfXL+TU8MiO5OCIGEQEGnLk6DFLlX0HHwyyiIgqXvrdP9iRoAu45OCAtiCnCAvl1MDkPRpySiAi&#10;0JDlF34ciy8qINZt2GQHA0+KlMHllM5DwR4mYotNm7fZwcCTIogINMS+2OCmLy8O8oeIMHQFT9Es&#10;jz36vWDBYLB7iQjDPS1ETiEi0BBLkltv+0aQP0SE8Ytf/ZqiWR5yinBBTjkQEWgIRbP/4+KPXaQI&#10;GjsRFM1K6E5Ode2oIMoEOeVARKAh3SmaRJlARKYW3ckpRGRKBDnlQESgId0pmkSZQESmFt3JKURk&#10;SgQ55UBEoCHdKZpEmUBEphbdySlEZEoEOeVARKAh3SmaRJlARKYW3ckpRGRKBDnlQESgId0pmkSZ&#10;QESmFt3JKURkSgQ55UBEoCGZRfOf/+VflT/7Dj6oWLdhk6Yq9Ie1KA4/fUQzKPyliA5FG6ecl373&#10;D/rf+clPn3P/ZQr7f1z5zXvtpf4Tgy/1L1g0d+3ea7MVCa3Flnr5ldN+uzXWEnuDnc4pRKTLUTKn&#10;+BleRAQaEhRNJZL+tsYFCwYtzSzHlGz2UuH/tqRCLZaK6Twkykf+Kcfqo3b+yM7d+o8Ifov8pi8v&#10;dv9rmkGzubOgzaD51W7fAfrdx79njUeOHkuOjywQkXzsDbovCdQeUHZYY4U5hYh0LirMKf33WSM/&#10;4YSIQEPsWyAVSjzLNyWVrL/IN77bRZ5dIlgqWlcK5apadGLDS8pHcMpRgbN9rh3uzl52hlOj9rn+&#10;Uwruds2m+e3/XcsqrDdGRMrgckq7txM5pRk0JyJSYfQ8p2IAEYGGDI/ssDxRKOvM4suES2ldz7mU&#10;tny2Akq0GnbK0Rld5yErcLZLddWlxkr2qkqn/rM+dcWV1vnYuXeS4yOL9kQkHjqRU/pfDnLKjgpy&#10;qu3QXu1CTn3ysk9Y5/k5FQOICDTk+PMvWJ5cM/vaIJEqCct2pbeu52xFynalaPnqXPvQxbGUToXS&#10;TjkqajoP2cVZMGcl8Z3HnrD/IF3QJwdHA3wRuevulUkrXGD05CnbOZ3LKR0YdlTYiiynCl6yxxwu&#10;p0w+Op1TTx7+of0HNc2pGEBEIA/73TuF8jNIpGpDVcAuQeyqTrVAgkL1DML2kuqj/afoHGOnnGC2&#10;akP/C+5Su+lTdYhIU7qQU3ZUuJyyMys5lRnpnNp38MFO7yU/p3S9lxwZEYOIQB6nX33NskWhXO3O&#10;WIWyVBXTr56MkbhaqfqlU4teqoCqvdMiYmPIdgCsWr02OSwa056I5Dwjok5c+1tvj6lF731oaJlr&#10;1Bq1uM2c5sUTo+s3bHIz62+bWZ24Rv1tM/totoceedTNo9DLzBX5XT373PHX3zjjtnnmwEy1JPNd&#10;wM8pnfY6cWynjwpyKh36j3M5pT/00nKq0+Hn1PIVdyaHRdwgItAEd4PGQhlrw5VdSFq/eursG+E9&#10;b+1kXZ/ZHrBaGczQCRHRbrcxalcuFYuXLB0ffy85JhrTURGRVSxadIN76UemTPgK4oc20reH9LKN&#10;FlRo0rvj48l8kwRdST7cS2tJ5vPodE7lHBXkVNOc6kRYTmnPt5FTMYCIQHNGT54amP7n/PHDPq6m&#10;fFZuK5RsKm3KuiAPS4aKhdZiq9Pf3blw6W1oN+o8obesyqUd2+j6tT0R0Q5U/wqd/9S56qN2r+3h&#10;zBge2VGwYnZURPIjGK7wtyQdvi4ErpBjIRZDQ8uSWSfR4m5SYCF6GViLIyendI4smVNFjorIc6ry&#10;MaFWc2rV6rVYiAMRgUIoZx574il3e7tgmKYo+ZWZds1XxlG0rLtMt4vIRqVEhVUzuGdgrbJrG7QB&#10;wZwdDW2eNlLb7OqRNt62JHPLVcvsssku14qcIXJOOVYZ1aFWp9B6Ff4FWZFQuWzps4X5p38/7D6L&#10;UVxEFi264cUTozbJNwDFQ488au0i6FCdvP7GGbVLC9JbqH5sKfHsc8dduzTCrUsd+oMx/iLBZvhL&#10;5dO5nCoiIhblc0oHWDBnR6NRTjUSizZyKid6klMxgIhAa5x58+zx519QAVU6LV9xZ6tl1MJqhxXT&#10;Vu1EtUClxFVPV4asNKhWWsXRH9a5QpVLM7gaqvk1yYq4Iui/7dC7UG9WpNxmaPNsS9SuqdpyVxOD&#10;zXabpz9yzgdB2CnH6qOWUlfq1nXVUugCXf+hiv0HD+n/V7WyjSu2joqIzvH+UsIfvfAHYPx2CUTS&#10;eoFgI/Wfkkw4f963jWCIRat2k7QlSWtKRPzeClJ5ThUXERflc0ov65FTFv2TUzGAiEA1KMcUVk8V&#10;ln6NBp8zQ6muUmi1LCgKjUJ1SmXIKoWF9dCo4qjdypbmtMrViVDnrmQHG+BCNdQ2w222zV/wWs29&#10;cTvlBBuQE4uXLNX/y/DIDvtvsv+1Cr/GoKMiIr1IWi+gneCm+ndMJAquXfMkrRfwlcKf4fU3zrjG&#10;tL4If2NsiEX42+C3l6ftnHJHRSU5pYM5hpyyN2Jv3ISsYHQ6p2IAEYGOo5x09VTpWrCYqoaqrKg0&#10;NKqAlYRd9/hx5Jljwzt2feUrX73iE58MNslicHDRHXfdc/DBh4MFVcGDzqsNrSJdJRuJiJ20/MqY&#10;/Gd0mI6KiA6GpPUC/p0Upw6BZ2SaQeZ9Fr+3puGW0h9+uzV2mvycanRU9CqnnvmrZ7fv2vOlm5Y0&#10;yqnrF92w4s67+ySnGoUJR/dzKgYQEegZyuTRk6eU1atWr1WSB2nvhxVQVY2gjlQbKqDbd+7R6q67&#10;du6SoW8v+/rIzbcf+No3Hv3K7Yctvn7bN9QytGzdF26c2Fpd/3W6UOqEoYtRXQu6XRGEnXJUH/cf&#10;PHTk6DHt0t6O/foi4t8ryadaEQl6843HkdltoBT5kblU5jhKN7GcsqOiH3LqX/7t9zt336/VzZ71&#10;2S8vvrNRTt186/ovf+VmzdYPOaWwWyoupxje6DSICPQRynld5OkKr1EN1YXLug585lAK8t3Hn5w3&#10;b+FVV1615KtDrkoGce99a9zfKqZLlkxcSHVse76nU0Xw9i1UJaVudllmp5xk9/UBiIg19hb/qLCc&#10;0jl18ZKvuu30o0PH8L/8678dePDReXMXXvnJTxXMqa/f9cStt93d85xCO7oPIgL9i4qCSoMuTYKq&#10;odCVk8qKiktQbtqLL930ldmzP6vLNemFXxmDSE9adtueZbd8U9vzk4o+O6D6qyrsv1OLwcHr5Wc6&#10;owRVEhFxU50EVHJrJviMbg6+iBRfqqPkHBXdyan/OPuHz3/+L6/+zHVfu2Vzqzl124q9d9y1WtvT&#10;q5yC7oOIwBRgfPw9GykJHi7RxdO+gw+WLJ12InHDxS0VTYsv3XTbTTclP+zedqhc3pr61oHFS5Ye&#10;OXrszJtnkx2RAhFxU/3RiPIPq6qHRl8BEuCLSPG33FGKHBXKqdGTpzqUU0//6CfqqkxOLb/jvpu+&#10;3Jucgu6DiMAUQ0ayavVav7LoSq7MxdP2nbu/8IWlrgK2UTSX3TbxZEnQbfFQ0Q/uWOtaTZetRS7U&#10;EBE31ReR/I/vBl9Z5nebbzCZTFER8ak8p0Z23H/9osUuQdrIqaW3ThxIQbfFo0xOQfdBRGBKooKi&#10;izm/0Kxr/SfE7JOKqrlDy9a5CthG0dSVn22ArsBavZTUIroGde9C5VJnheRNFgARcVN94Qg6VCf2&#10;pMi74+OBhSj8bn2rUPhfkmZvTS2ax3/uxF9kioqIkZlTrR7PEzn1wx/Pn7+wZE7ddOtjtgHdzyno&#10;PogITGFUOv0ruZu+vDj/c4maqtPGyM7dX78wYDtw1Ywbb/zS7SvWuwrYRtFUXHftHNU761Nms/Jb&#10;Tb7zwELz2CITWzJ9RhvlEhFxU4ORj+An63Ii6Nb/Rb1GoXW5Gze1ERFjIqdWtZxT25VTt1/Iqekz&#10;brn1G8uW3eKyo42cWnbXD6+Zfc1XFicP2E7kVLPvEbH47uPfs0VsS1CQKQEiAlMe1RpXenLucO8/&#10;eGiiNl01Y/mKOx59/MnRk6dsnPZHP/75t1YdchWwPRHRJNuY06++duTosa3bti9c+DnbpGAzLFRP&#10;/Qf4l6+4s72P3SIibmrTWzAu1I9m9l8mC0wiw/BXmg6ZSi1HRHyUU+7ZkZyceuDQIzbPNya/YMPl&#10;1Ol/fttPlvI59aMf/6RrOQXdBxGBOnDmzbNuQEKh0rluw6bgJvf+Bw6pNiULeFQrIj4qoNoYfxvs&#10;Owx0eec2VSFDShZoHUTETU2LiHjxxKjfgzbPPkSTIyKGNik9pqI5078jU0sREUFOKdI59ch3H8/M&#10;qWpFxOd3L7+iLfG3ofKcgu6DiEBN0NWPjXkEceuFL3u+7fblKqzJ3B6dE5Ff/+0JbYBWrcj89sbF&#10;S5ZKVpK526LfRGSq4IuIbCZprQtVHRVNc+obk7+Mk8zt0TkRCXIq8A+FtqdkTkH3QUSgVtgDd8En&#10;Ev1I5vPonIgEj/75oevISu5eIyKZ7Nq99667Vx5++kjmaMe74+P+p2Mq/HWYPqHao6KNnOqciHQh&#10;p6D7ICJQT+w7EtLf0JpM9uiaiKiUr1q99sjRY3YfvRIQkUyCuyr+h1+kHf7NmswbOlOdDh0Vyqn9&#10;E9/Q2jynuiYincgp6D6ICNSfM2+eddUzafLogoioUHbouTlEJJPgK8tyon73ZUQXjor8nOqCiHQu&#10;p6D7ICIQBcsvfKd18tqjCyLSuZvWiEgjXn7ltH//JTMyb9zUgO4cFTk51QUR4UGQOoGIQBQgInEi&#10;1fA/yGMxNLRM7f5HcGsGIgJTC0QEoqDeItLNSFYMBQh2XZcj2YiOgYhAVSAiEAWISFWRrBgKEOy6&#10;LkeyER0DEYGqQEQgCuoqIgC9AhGBqkBEIAoQEYBqQUSgKhARiIKeiMiuPfsomlBXeiIi5FQtQUQg&#10;CnoiIo898RRFE+pKT0SEnKoliAhEASICUC2ICFQFIgJRgIgAVAsiAlWBiEAUICIA1YKIQFUgIhAF&#10;iEhHSX97aU74X6zu//5cXb9wva4gIlAViAhEASLSURCRCEFEoCoQEYgCRKSjICIRgohAVSAiEAWI&#10;SEdBRCIEEYGqQEQgChCRjuKLiNwiaS0AIjJ1QUSgKhARiAJEpKMgIhGCiEBVICIQBYhIR+mQiLz1&#10;9pgah4aWuXncnC+/cjqZ6QJqcTNoe9Ty+htnHnrkUde4aNENOa7z7vi4ps4cmGkz6w83s+tBYS0+&#10;Wq+/FoVepjevfiAiUBWICEQBItJROiEiL54YdZMyQ+f7ZNZJAhEJ5MCFdER+kyxzAS3rFMQPNcpm&#10;/JZkgQus37DJn+qHJklukvnqCCICVYGIQBQgIh2lchEJTv+N4tnnjicLfFBE8iPYQq0r00IsgknJ&#10;MpPkWIjF0NCyZNY6gohAVSAiEAWISEfxRSQ/gtGIRiLin+MXLbpBrmDtwTCJ3YIx0iKiqTYmocWD&#10;+zv+WIW/DQq3GVqXVu1PUtgkIQdyjZIVzWzt2gx/qWCYp04gIlAViAhEASLSUSoXEaGXCrXr1J40&#10;TeI7ij+2EYhIcOMmGGJxfQbt/hCL0Nb6UxXJhPPnfdsIttBfSo6StNYORASqAhGBKEBEOkonRKQR&#10;/rpkA0lrSkTcIIrDv8niBjDMdSwypSF4a9bo64u/DQ7/faW3pB4gIlAViAhEASLSUbogIvIMzRA8&#10;lpEjIkmrhz+G4UY+/C1X59bo49+CUWQ25kdBwZpyICJQFYgIRAEi0lH807l/u6Qp+SLy4olRf8Qi&#10;Hf662hMRfwP0LqzRJ7Pb/K0KAhEhpyAfRASiABHpKJWLyFtvj6W/PiQdiEgPQUSgKhARiAJEpKNU&#10;LiK+NCj0UlMVr79xptG6enVrpt6f0c0BEYGqQEQgChCRjlKtiASf0ZVhWLtRrYhopa6xvYdVtVS9&#10;v7isEYgIVAUiAlGAiHSUakXEH29Iy4HvE+VFxFcKv90IpiqSCR/8DI7b8qhARKAqEBGIAkSko3R0&#10;RESdW7u0wJ9f4d8WaU9ERNCnm6TN8G3DwiYJfyhF4X9tie0NtWie4FNCdQIRgapARCAKEJGOUq2I&#10;vDs+njaAzPDHS9oWEblCwdUpkmUmKfI4rVZa1xs3iAhUBSICUYCIdJRqRUQEVuGHHMI3gNcvfF1Y&#10;2yIitGymi2hFwchHssAkMoxgNCUILc6IiGWH+zsIcgoEIgJRgIh0lMpFROgU7kuAREEv7bzu/7Ku&#10;u3FTRkSErMJfnWa27dGcrtEfgHFovelf+tWy7stb6woiAlWBiEAUWNFcvGRp8toDEYEcfBGRnSSt&#10;gIhAdSAiEAVWNPVv8toDEYmZtyZ/oO7w5JeUvPzBzwkb/jBJ5heNRAsiAlWBiEAUICKQybvj4/Z/&#10;ZLFo0Q3uoRPhW4gifUMnZhARqApEBKIAEYFG+A+45AT3ZQIQEagKRASiABGBHIIf9U1HvT//0h6I&#10;CFQFIgJRgIhAPi+/cvrw00f8T9ZYPPTIo9yRyQQRgapARCAKEBGAakFEoCoQEYgCRASgWhARqApE&#10;BKIAEQGoFkQEqgIRgShARACqJSenEBFoCUQEogARAagWRASqAhGBKEBEAKoFEYGqQEQgChARgGpB&#10;RKAqEBGIAkQEoFoQEagKRASiABEBqBZEBKoCEYEoQEQAqgURgapARCAKEBGAakFEoCoQEYgCRASg&#10;WhARqApEBKJgYPqMRkUTEQFoA0QEqgIRgSiw4oWIAFRFT0Rk9OQpcqp+ICIQBVa8EBGAquiJiCiV&#10;yKn6gYhAFFjxQkQAqgIRgapARCAKrHghIgBVgYhAVSAiEAVWvBARgKpARKAqEBGIAiteiAhAVSAi&#10;UBWICESBFS9EBKAqEBGoCkQEosCKFyICUBWICFQFIgJRYMWryyJy5Ogxiqbx1ttjtivyY2ho2eGn&#10;j7w7Pp4s1nmefe64vwFJKxTA9hgiAuVBRCAKcopm50SEoukoKCIuXn7ldLJkh0FE2sb2GCIC5UFE&#10;IApyiiYi0gVaFRHF62+cSRbuJIhI29geQ0SgPIgIREFO0UREukAbInLX3SuThTsJItI2tscQESgP&#10;IgJRkFM0EZEuEIiIXiYTPF5+5fTQ0DJ/ti48LIKItI3tMUQEyoOIQBTkFE1EpAsUERHx+htn/Nm6&#10;8KQIItI2tscQESgPIgJRkFM0EZEuUFBEhD9bo8dEZA+7du/159RLNSaTs3h3fPzw00dmDsy0+Rct&#10;ukEv1Z4WkRdPjPotmaMygTB153GWfsPeOyIC5UFEIApyiiYi0gUKisjLr5x280gaklYPnfLlEG6e&#10;IIaGlmU6gbp1CuKHfVrYb7H5/ZnNVwIeeuRRN4M6SVojw94+IgLlQUQgCnKKJiLSBYqIyLPPHfcl&#10;I20AwThEowhcpOBSFraIbyeZz8z6z7JkmkoM2NtHRKA8iAhEQU7RRES6QCAiTSN9+n93fNzXFP39&#10;4olRm6Q/fDOYOTDTv58SjKA4b3j5ldPpwRWbFGxtcHcmMJvMezcxYG8fEYHyICIQBTlFExHpAi2J&#10;yPoNm5LFPPxRCglEcPoPNMW3DdeoCJ4j0VYFt2ySCefPy4RcYzDm4W9J5qZGgu2BXonIkaPHkiaY&#10;+iAiEAU5RRMR6QKtjoikn/bwPSPzuVT/sVP3fEmgL9bo4z/toUhaP9hbYBv+6EsXPtfTt9ge6JWI&#10;PPbEU0kTTH0QEYiCnKKJiHSBVkVEIZlwLpJ/r8RQoz+PLet/uCZz9MIXDkXSOok/WOLW6N+XyTSb&#10;eLCdgIhAeRARiIKcotkJEbn4YxcRimR3pExCL5MJHmoMxifckyLBHRZrTOOrg41V+HdYJCU2m09O&#10;z/7GuDEYf4gluGUjgrcfWyR7ARGBFkFEIAqseCEiXY5kdxQTEcM/0ytsYMMfh1DYnGmqFRF/pW40&#10;xb8vk34XwduPLZK9gIhAiyAiEAVWvLg10yuKi0hgBuYTwW2XIrdmbBVlbs0IXzvUv/8u0p/riQ3b&#10;D9yagfIgIhAFOUUTEekCxUUkGBExERH+aIe7UeLjK4Vmtka/N9fo45uKImm9gN+n/vZ7cx8ejhbb&#10;D4gIlAcRgSjIKZqISBcoKCKBhSjc4If/xEbxj+8G93RcuxFslSKZcAF16wRo/YZNboAk02liw3YF&#10;IgLlQUQgCnKKZhdEZPTkqaQpVtKn/CLh30zxnUAh7Wj0hWaBpviPiSici2gp310sbJKPGzLx1y4r&#10;SiZHjO0KRATKg4hAFOQUzS6ICEWzDRHRiT8YOAkeH8kMLWXPtzrUie8Q+ZEs45G50mAVcWK7AhGB&#10;8iAiEAU5RRMR6QKtiojUwT0d4qPG9DCGi6EGP3qnxkZLBZ6RLPBB/OEWhV4mE+LG9gYiAuVBRCAK&#10;coomItIFiovIXXevDJ7kSPPsc8eDbxzZtXtv5hOsPurW1xG9tBEX16KwOQM0pz9P0xVFgu0NRATK&#10;g4hAFOQUTUQE8vFFZOYHf1EvZmyHICJQHkQEoiCnaCIikI8/jpL5ZSRxYjsEEYHyICIQBTlFExGB&#10;HGQe9p9okfnkSpzYDkFEoDyICERBTtFERCCN/ccFwbep+tg+QUSgPIgIREFO0SwvIrff/cTGTSNJ&#10;dx4UzalL+lM2agk+Thw5tlsQESgPIgJRkFM0y4vIipWPb995MOnOg6I5dQm+Ia3pB3kixHYOIgLl&#10;QUQgCnKKJiIC0AY5OYWIQEsgIhAFOUXTicgtdzwppVD5078W37zvYU1yoUn61021sKUQEYiNnJxC&#10;RKAlEBGIgsyiefLvX3ry+09v2jyskqdYtXrDqjU7J/5YszOJ1fsCEblv9cE/T03m2WCLP/ydx372&#10;81/4jxFQNKHGZOaUgYhASyAiEAWZRXP7zj1PHT526JHnbrvre0ERbCmGVnx/3eYjP/np36t0nv3D&#10;H5PeKZpQazJzykBEoCUQEYiCzKL5+Pd+tmrNzqD8tR333PudNeu2J11PQtGEGpOZUwYiAi2BiEAU&#10;ZBbN//v/+f9Wrd5wyx1P2nMeMol7Vz+4dv0Da9btWLt+x/qN2xWqhi7WbRieaNywY3KG/WvWPfjN&#10;+x7Wgrff/YTq5qo1Iw8+/NOk60komlBjMnPKQESgJRARiILMovnW22PrNmxRvVNs2jKyZdvwnj33&#10;K/bv239g/wGLgwcOPHAhXKPC5ty+fcfmrSPr1m9WD/etWvO3L/590vUkFE2oMZk5ZSAi0BKICERB&#10;ZtHcum27ZMJXjTIhfVm7biMPq0IkZOaUgYhASyAiEAXponn2D39Updu/b5+NbbjYuXPXlm3DBWP7&#10;9h3+shs2bj759y+pZ9MRiibUmHROORARaAlEBKLAitfg5xZt37lbBU6xddvI5q0ZMqHwb8Hkx977&#10;9/oLmsQMj+zYtHmbVrHijrsomlBX7NhGRKA8iAhEgRWva2Zfa7pg3iAFcWMbFus3bFL5Kx7B4grr&#10;WSFH2bBhI0UT6ood24gIlAcRgSiw4jV/3oIDDzz0ox8/81c//dmv/+bvtm7bLl3wRzhael5EM/vL&#10;KrZuGzly9Jh6Vv9PPvWDDRs2UzShrtixjYhAeRARiILMorln74Q9BHpRJkZ27uYLzSASMnPKQESg&#10;JRARiILMoumLSHp4o3i4cRREBOIhM6cMRARaAhGBKLDi9eUvL/6rn/7swAMP3b/vgHtq1UXwtEfx&#10;WLN2vd+Pelb/thaKJtQVO7YRESgPIgJRYMXr2muu2+N9X5kNY1Qe1vnE14qsXUfRhLpixzYiAuVB&#10;RCAKrHh95tOfUXXrWnz9tm9QNKGu2LGNiEB5EBGIgsyiycOqAG2TmVMGIgItgYhAFGQWTUQEoG0y&#10;c8pARKAlEBGIAiteN9/ydYnCr//m73723F//6MfPbNi4ZfOWbfbAaatfZeaHlk062bh5z979Tz71&#10;A/uekmM/fY6iCXXFjm1EBMqDiEAUWPGadfVs6YL7ZlV7qtSizE/fBR/9dd/7vvJb91I0oa7YsY2I&#10;QHkQEYgCK14mIl0LRARqjB3biAiUBxGBKLDiNTS07Owf/uhi+87dwVe8l4ytw9vt13ct/voXv6Jo&#10;Ql2xYxsRgfIgIhAFmUWTh1UB2iYzpwxEBFoCEYEoyCyaiAhA22TmlIGIQEsgIhAFmUUTEQFom8yc&#10;MhARaAlEBKLAitfNt3z9337/73/+mX7v47vB78W0FFrWOtnAx3chGuzYRkSgPIgIRIEVL//ju8Fj&#10;qnx8F6Al7NhGRKA8iAhEgRWvefMWBA7R0RgZHqFoQl2xYxsRgfIgIhAFVrwQEYCqsGMbEYHyICIQ&#10;BVa8EBGAqrBjGxGB8iAiEAVWvBARgKqwYxsRgfIgIhAFVrwQEYCqsGMbEYHyICIQBVa8EBGAqrBj&#10;GxGB8iAiEAVWvBARgKqwYxsRgfIgIhAFVrwQEYCqsGMbEYHyICIQBVa8EBGAqrBjGxGB8iAiEAVW&#10;vBARgKqwYxsRgfIgIhAFVrwQEYCqsGMbEYHyICIQBVa8EBGAqrBjGxGB8iAiEAVWvBARgKqwYxsR&#10;gfIgIhAFVrwQEYCqsGMbEYHyICIQBVa8PvPpz6i6dS2+fts3KJpQV+zYRkSgPIgIRIEVr698Zcmu&#10;PXtV4LYNb9+3d9/B1BhG+VCf6ln9ay33rVpD0YS6Ysc2IgLlQUQgCvyi+Z9/+q8ToyerNRL1sPf+&#10;vduGR9TnvgMPqn+thaIJNcbPqQBEBFoCEYEoyCya77///m9/+w8PP/JdlbzNW7bJJFo1kgP7D+zc&#10;uWvjxi3r1m9UP//4ymn1mfRO0YRak5lTBiICLYGIQBTkFE0he5BDPPnUD+QTGzdv3b59x/59+xtJ&#10;yYXBj+1r123cum370WeO/dvv/z3p6INQNKHG5OQUIgItgYhAFOQUzYC33h77+fHn9x14UHVw85Zt&#10;kpI9e+7ft3ef/t2ybVjyIVn5zncfl7j855/+K1mmARRNqDE5OYWIQEsgIhAFOUUzh7N/+OMvf/U3&#10;P/rxM08+9YOfPffXReTDh6IJNSYnpxARaAlEBKIgp2h2Doom1JicnEJEoCUQEYiCnKLZOSiaUGNy&#10;cgoRgZZARCAKcopm56BoQo3JySlEBFoCEYEoyCmanYOiCTUmJ6cQEWgJRASiIKdodg6KJtSYnJxC&#10;RKAlEBGIgpyi2TkomlBjcnIKEYGWQEQgCnKKZuegaEKNyckpRARaAhGBKMgpmp2Dogk1JienEBFo&#10;CUQEoiCnaHYOiibUmJycQkSgJRARiIKcotk5KJpQY3JyChGBlkBEIApyimbnoGhCjcnJKUQEWgIR&#10;gSjIKZqdg6IJNSYnpxARaIlui8iiRTfYYeRCLcm0D/Lu+Hgwp+Kuu1cmkzuDv3mHnz6StJ4/r/Vm&#10;trfBy6+cdl0pklboMLa3ERGAqsjJKUQEWqL3IqJ4/Y0zyWSPF0+MBrMpEBFoD9vbiAhAVeTkFCIC&#10;LdEXIpJ5at+1e28wmwIRgfawvY2IAFRFTk4hItASfSEi6zdsSiZ7zByYGcym6JWIwFTH/k8REYCq&#10;yMkpRARaoi9ERM6RTL7A62+cCeaxQESgPez/FBEBqIqcnEJEoCV6KSJDQ8vc3y+eGE3mmEQSkJ5H&#10;gYhAe9j/KSICUBU5OYWIQEv0UkRkFc4zHnrk0WSOSdZv2OTa/Xs0mSLy8iunNZubR6GXakwmZyHv&#10;catQ7Nq91x6YbSQiWm9mu+Pd8XG1+4vbnOnNyHlGxF/LW2+PqUU9+Cqm7cx5X23sh3iwHYKIAFRF&#10;Tk4hItASPRYRd+LU6TaZ44Mf3JUxBIskM13A94kgNEldJfN5NFokMAlfOPJF5Nnnjrup6dB7TOab&#10;pKCIBG/cj/QGiDb2Q1TYrkBEAKoiJ6cQEWiJXoqITpD+Z3TdyTJozBGRnLOvhe83RtNFXBQUEb10&#10;kxqF7yIFRSQ/gnGONvZDbNh+QEQAqiInpxARaIleisiu3Xv9wY9nnztu8wTDJI1ExB+HmDkwU/pi&#10;7TpJ+4v43hAMXag39xUm6U8LFxGRt94ec+0KzWa3VPSvf0tFYe2iuIjoXbg3FeiObzZt7IcIsZ2A&#10;iABURU5OISLQEj0WEbW4E7Yu620e12Kn20Yi4rcHIwS+H/gfyfHP9Fo8ab2AEyCLIiLi60vQYeAo&#10;9mZFQRHRZjt3Mfxhj5L7IUJsJyAiAFXRKKf+5sVXHnz4p9KIb606tGrNToX+nvxji/5oFJpqM1to&#10;WTUe/uHfvPEf/2/S7yTkVC3pvYi407+dKf1zp53y/dOzOwH7n+9NK4Xwl3LDHq5F4QZgHP7wjKKI&#10;iGibM9sNLaVQuxulEAVFxGmZQ/24qe5WS3v7IUJsDyAiAFWRmVOTSjGyas0e/SGZuOtbj65Y+bjF&#10;7Xc/EYx5+KGpbk4tZSIiI9G//+hdX5FTtaT3IuI/EaIzpX+6tROnfyrV35PdNHk+NAhThGCIIvOs&#10;7G+eLxb+Nrj2oMNgNKIRBUXEX7vhv2XnHG3shzixPYCIAFRFZk49/aNn7lt9MJCMtuOWO55cu3bT&#10;+++/n/ROTtWUXoqInRf9cQi1uBsQ7lZCpohoTtfYNGxFgQEENz6MRiqQ2R502BMRaWM/xIntAUQE&#10;oCoyc0p1VeowtOL7vk/opRvt+NaqQ0G4UZP0kMmq1fsee+KHSdeTkFO1pPciItwNjqGhZe5vd28C&#10;ETG6JiIXf+wiIohk17QIRRNqjB3babnfvuP+NWt3b9y8d8u23WvXbbx38hGQ7Tt2b9k2rNi+fcee&#10;Pff7Ye3DIzs2btpqM2/YNLxx86616w+uWr1u7Nw7Sb+TkFO1pC9ExH8M00XmVCci/lnZPTCRT6dv&#10;zfgPguRQrYi0sR+aEpyDCUWya1qEogk1xo7tQESOPnNs3fpNO3bs3Hv/3gP7Dxw8cOCB1kML7t+3&#10;f/eu3Rs2bVm3fiO3ZmpPX4iI/nCNLpwo+J9McSKiqa5x5sBM9x0k+eQ/WxqIhT9DI0XwO/Q/Umto&#10;Tr1f/esvUq2ItLcfIsR2EbdmAKoiM6fuvW9NIB96KbFoKfweNm3eevYPf0x6J6dqSl+IiH82tdA5&#10;1SaJTBER+VaRiT+4oi0JTtv+ihR+n40UwV8k3aG/lHtH1YqIaGM/RIjtn+GRHcnrrkDRhBpjx/bQ&#10;0LJ/fOX0z48//+RTPzjwwEOTYxib7A6LxZq16+3mS/FQofZ72Lhp6569spKHfvTjZ7772PfIqfrR&#10;SxHRmTVp/eDZVOEeEBGNREQnXdeu8AckbBG1aB7/WZBAAtSbjbtIIAILUfgn9UaKEAyiuA5FcL/J&#10;LVW5iGhO164osh8ixHZOl4sXIgI1xo7tWVfP3ja83Z722L9vv/61mzIW1t5q7Nu7z/WgcC816b5V&#10;q8mp+tEvItLotC0aiYiQjLtJjSIYqNBZOZihUfjbkKMIgQdkhrbTbUPlIiLa2A+xYTsBEQGoCju2&#10;JSKbNm9zoxcbNm7evHWbG9tIP5paJLSc62Hjpq3uIVbFypXfIqfqR7+ISHA6d+MKwp8UiIjOrP7J&#10;Ox06Q6dHAhq5iLry1+WrQHFFSIeWzRmVSVonKb6WQETa2w9RYfsBEQGoCju2VVv8Zzgm7qHs//MT&#10;HuVjZOduv/+//sWvyKn60S8iEjx0mbROkiMihk7tabfQUjkfY9EiwUCLbYy/Ll8F8hVBSAXU7r87&#10;hbYqvQ2dEBGjjf0QD7Y3EBGAqrBjO3hYtdMiQk7Vkm6LCEBP6EnxomhCjbFjWyLy/vvvyxUUJ//+&#10;pc1bR3bs3Llnz/3bt+9wt1faC7uts2XbyJGjx9SzreJ//J9/T07VD0QEoqAnxQsRgRpjx/ZnPv2Z&#10;e+9bM7Jjl1MHC/+R1fZCPbjedu6c6F9rkfeQU/UDEYEo6EnxQkSgxtixfc3sa50udCHWrl1HTtUP&#10;RASioCfFCxGBGmPH9he+8MW/+unPXIxs32m3ZqqKLdtGvn/4h67/Aw88RE7VD0QEoqAnxQsRgRpj&#10;xzYPq0J5EBGIgp4UL4om1Bg7tvcfPJS8nvyCx+07d9vTIfv27gvGNloN+x6zrcPb7UlVWwU5VUsQ&#10;EYiCnhQviibUGDu2b7n1ti1bh+3bxjZt3rZpS/JtZu7rVtsO97mbkR27tm4bsVXcfc83yan6gYhA&#10;FPSkeCEiUGPs2L7py1+RNNjnXLoQ69dvIKfqByICUdCT4oWIQI2xY/vmW76+Z+8BF5u2bPO/4r18&#10;bNy0defu+13/a9auJ6fqByICUdCT4oWIQI3JPLblCgd4WBVaBBGBKOhJ8aJoQo3JPLYREWgDRASi&#10;oCfFi6IJNSbz2EZEoA0QEYiCnhQviibUmPSxLWNwH9/1P//SdqgfPr4bA4gI1J8zb57tSfGiaEKN&#10;sWPb//ju1m0j7klV/3dn2gv7fRnF8Mj2kZ27bRUr7riLnKofiAjUn14JASICNcaO7a8uHTqYup/S&#10;udizezc5VT8QEag/iAhA5dixPfS1mwNX6HSQU/UDEYH6g4gAVI4d24gIlAcRgfqDiABUjh3biAiU&#10;BxGB+oOIAFSOHduICJQHEYH6g4gAVI4d24gIlAcRgfqDiABUjh3biAiUBxGB+oOIAFSOHduICJQH&#10;EYH6g4gAVI4d24gIlAcRgfrTQyGgaEItGTv3jh3biAiUBxGB+oOIAFSLyylEBMqDiED9QUQAqgUR&#10;gQpBRKD+ICIA1YKIQIUgIlB/3P3sVavXJk1dYfTkKYom1BKXU/PmLQhEoaOxZfMWcqp+ICIQBQPT&#10;Z1j9UgFNmjrP8hV32kqPP/9C0gRQFwYHr7fDe++ePYEudC6WDn2NnKofiAhEga6frH51bVDEjV3L&#10;gcbH30taAeqCy6nrrp1z731ruhDO7D952eXkVJ1ARCAKVLbcoEgXrqXOvHnWrY4xZKglfk6tW79x&#10;67btGzdv3b59x/59+4NhjDKh3tSnel69Zt3l0y4jp2oJIgKxIP+wKqbYf/BQ0toBTr/6mivQi5cs&#10;TVoBaod7CkoxPLLjrbfHjv3Vz2Qka9dtNCM5mBKLIqGl9u3dt214op8dO/eoz1O/+S05VWMQEYgI&#10;+Yerm4OD18sYkgkVMXbuHZVjtwpVTAaQod64GzQKl1Mykr/927/btWfvvfetkU/svX9vESM5sP/A&#10;nj33b96yTUvtO/DgidGT//mn/1JO+WlLTtUSRATiwh8XUah0Hjl6rPwTrLo09BVEQcWESMjJKZnE&#10;P75y+uFHvrtu/Ua7cbNv7z5fSkw+bPBj67bt3//Bj/7t9//+/vvva1lyKh4QEYiOM2+eVUXzC1y1&#10;MTB9BvewISo6nVMKcqrGICIQKbqMcw/h64+kNQu7dEteZOHulEtB9h881M1PCAP0DxXmlP+hM3Kq&#10;9iAiEDV2Gadil7zOomnRdLfJK3/oBGDK4YZGktdZkFPgg4hA1LgLuOR1Fk2LpnuY7sybZ5MmgFip&#10;NqcQkRhARCBqitS7pkWzSOUFiIQigxnkFPggIhA1lRRN+67r/Ps7AJHgcmr05KmkKUXTnCpyfwdq&#10;AyICUeOeM1X1TJpSNC2a1kP+03kAkSCnJ6egJRARiJryRXOsRz/tC9CfuJza3/j7i/Nzanz8PXIq&#10;KhARiB0reTnXXvlFs4jKAEQFOQUtgYhA7FjJW9z4Byzyi6b7Wkn9kTQBxM3A5O/ClM+pI0ePJU1Q&#10;axARiJ2mz+fnF01dtNniuoxLmgDihpyClkBEIHZWrV5rVa/Rz1jkF023OF/+CGA0TYr8nHI/MUNO&#10;RQIiArHT9PIrv2g2vfgDiA1yCloCEYHYOXL0mFW9Rg955BfNprfDAWKj6YNTRXJqcPD65DXUHUQE&#10;YqfpI/r5RdOWzfmAAEBskFPQEogIxM6ZN89a4Rse2ZE0fZCcoukKbs5XJgDERtMv18nJqab5CPUD&#10;EQFocgVWREQaXfkBxAk5BcVBRACSH4tpdE86p2i6h/JyflYDIELyf4ApJ6fcM1vkVDwgIgBNntIv&#10;IiK6jEuaAICcglZARAD+/L0FZ948mzR55BTN/GoLEC37Dx4qmVONvtcH6gciAtDkIiynaPJj5QCZ&#10;tJ1TyH2EICIA50dPnrLal/nbFjlF05ZS6UxeA8AkLqdkJEmTBzkFPogIQJMH9RsVTX6sHKARJXMK&#10;EYkKRASgSflrVDTzSy1AzJBTUBxEBGCCNoomP1YOkEMbOZV/QwfqCiICMEHOY6eNiqZqpS2S+Tge&#10;QORIQcgpKAIiAjBBG0Uz/0O/AJHjcir9QdxGOZX/oV+oK4gIwMT9bDci0kbwQzMAAeQUFAcRAfjz&#10;t0oPTJ+RvhRrdPVmX2Jtkb7mA4iZ8jk1du6dpBXqDiIC8Ocx5Mw7042KpnB3Z7ilDeDjcirzJ2Ny&#10;csrdnSGn4gERAch7QETkFE2erQPIhJyC4iAiABRNgIohp6A4iAgARROgYsgpKA4iAkDRBKgYcgqK&#10;g4gAUDQBKoacguIgIgAUTYCKIaegOIgIAEUToGLIKSgOIgJA0QSoGHIKioOIAFA0ASqGnILiICIA&#10;FE2AiiGnoDiICABFE6BiyCkoDiICQNEEqBhyCoqDiAA0+e26nKLpqi2/FArg43Kq1R+9czmV/s1e&#10;qCuICMD548+/YLVvYPqMtItkFs3x8ffcz4QODl6ftALAJO3llBsOIaeiAhEBmGDxkqVWARW6mFNN&#10;TCZkFU1d5KlQuvkzr/kAIoecgoIgIgATqEr6dVOXcUeOHrNJftEcO/eOGzq20JWfTQIAn3ROPfbE&#10;UzYpP6dc6kEkICIAf0YVUOXSFUSV0dOvvmZF0x83tlD15DY2QD5BTg0OXk9OQQAiAvABVBzdc3YW&#10;S4e+tmH9Bn/cWH8zdAxQkCI5JVlhcDFaEBGADHTR5o8q+6FrOBXWZD4AKAY5BY1ARAAaEowqL19x&#10;Jx/TBSgDOQVpEBGAPHShtnv3nptvvplb1wCVQE5BACIC0IS/+skzd951V/ICAEpDToEPIgLQBIom&#10;QLWQU+CDiAA0gaIJUC3kFPggIgBNoGgCVAs5BT6ICEATKJoA1UJOgQ8iAtAEiiZAtZBT4IOIADSB&#10;opnPy6+cdl8LoXjokUeTCSkWLbrBzXb46SNJa9/QaPPuuntlZju0DTkFPogIQBMomvkEIqJ46+2x&#10;ZNoHQUTAIKfABxEBaAJFM5+0iKzfsCmZ9kEQETDIKfBBRACaQNHMJy0iCjUmkz0QETDIKfBBRACa&#10;QNHMJ1NEdFJPJnsgImCQU+CDiAA0gaKZT6aIKJ597ngyxwUQETDIKfBBRACaQNHMp5GIzByY+e74&#10;eDLTJE1FRF099Mijbh6FXmbe5XG0sciLJ0bXb9jk5t+1e+/rb5xRe9si0sY2RA45BT6ICEATKJr5&#10;6Izrn4P90Pk4mWmSfBHx5SAITQqcxqhwEW1PeyLSxjYAOQU+iAhAEyia+QQiEpyY/Y/y5ohIzunc&#10;YmhoWTLrBTqxiIuCItLGNoAgp8AHEQFoAkUzn0BEXn/jjC8cOosn8zUWkWefO+7aZw7MfPHEqLWr&#10;5w4totCG2R0ZsWv3Xn+SooiItLENYJBT4IOIADQhs2he/LGLoorkbWcRiMhbb4/plOy3aAabs9Hp&#10;2W93MxvqzU3SyT5pbWsR3ye0eNJ6geAhjyIi0sY2OILdW/tI3vYFEBHwQUQAmoCIKJK3nUVaRNTo&#10;37NwZ33/zO3O6K+/ccY1pv1A+B5gYxhtLCJciyL9iZ53x8f9GZqKSHvb4Ah2b+0jedsXQETABxEB&#10;aAJFM59MEdG/MwdmukY7f2eKSHDHJD9sqTYW8YcoFGkzEJmbJzJFpI1tAAc5BT6ICEATKJr5ZIqI&#10;0NnXNUpK3h0fzzzT+7M1DVuqjUUabaRPpnCIzPY2tgEc5BT4ICIATaBo5pNzjh8aWubaH3rkUUQE&#10;DHIKfBARgCZQNPPJOccHk9I3a4R/j6Pgh13bWERb5RZRVHtrhs/otgo5BT6ICEATKJr55A82pD8Z&#10;a+HO6P5Tn3YHx9pzaGMRkalBjsBUmopIe9sABjkFPogIQBMomvnki4jO0L4BuPDP9PmKkEkbiwQf&#10;5AnUIRCmpiIi2tgGMMgp8EFEAJpA0cyn6eMXmR8w8c/c+tuf5H8xvPmBWjSP33MbiwTbKb2wGzQy&#10;kva+0KyNbQCDnAIfRASgCRTNfJqKiPDP5Rb+GV34j7U2imAYo41FZAbBDI2iiIiINrYBBDkFPogI&#10;QBMomvkUERE1+vMogjO6TtVpWfFDp/yg5zYWEY1cRF1pk9zLgiLS3jYAOQU+iAhAEyia+RQREeGf&#10;5hXBGd1QV2lR0JzuZ1zStLeIfy9GJvHs5Bet+lvob16OiBhtbEPkkFPgg4gANIGiCVAt5BT4ICIA&#10;TaBoAlQLOQU+iAhAEyiaANVCToEPIgLQBIomQLWQU+CDiAA0gaIJUC3kFPggIgBNoGgCVAs5BT6I&#10;CEATXv7dbymaABVCToEPIgLQhP/5P/8nRROgQsgp8EFEAJqzbt265C8AqIKtW7clf0H0ICIAzXn0&#10;O99N/gKAKiCnwIGIADTnf/zd3yV/AUAVkFPgQEQAAACgZyAiAAAA0DMQEQAAAOgZiAgAAAD0DEQE&#10;AAAAegYiAgAAAD0DEQEAAICegYgAAABAz0BEIGrGzr1z5OixVavXLl9xZ1Wh3o4//4J6TtYBEA3j&#10;4+/p4B8e2REkRclQkp5582yyDqgdiAhEiirm/oOHPvbhj3QuHnviKa0lWR9A3ZEuDEyfEWRBhSHF&#10;x+9rCSICMTJ68lRHK6aLwcHrT7/6WrJWgJpy5s2zi5csDQ7+ToTSVrqTrBXqAiICcTE+/t7yFXf6&#10;dW3VqtW7du3as3t3VbFj+46Nmza7VSiGR3YkqweoHcHI4re+fZ9SIEiKMqH0XL9+g3/lIOlhrLFO&#10;ICIQF3ICV85kJGPn3nny8ceDwlc+fnj4sK4RfeNRsU62AKBGHH/+BXeQ2/jf6IkTQTpUEjIPP3nl&#10;IskWwNQHEYG4cIVs9OQpa5E0BCWvfLzwy19a50eOHrPV6XrOWgDqhLNtp9qdEJHvPPywdS7RcUMj&#10;PL5aGxARiAhVMSthPYlkIwBqRHCQdzN4+qo2ICIQEePj71kJe+yJp5Km8+d//rNng8uv8qGLwqR3&#10;75IxeQ1QI+zw1r/J6/PnX/2nfwrSoXz88PDhpPfz55W8llCISG1ARCAurIT5T492YiT5dy/9Jukd&#10;EYFaY4e3f+fxj3/4Q5AO5ePYM88kvSMidQQRgbiwEuZfwHVCRFSLk94REag16cO7EyLiDzEiIvUD&#10;EYG4sBKGiABUQvrwHhs7F6RD+UBE6g0iAnFhJcwXkU5cwCEiEAmZh3eQDuUDEak3iAjEhZUwRASg&#10;EhARKA8iAnFhJazTIpJ0PQkiAjWmOyLimz0iUj8QEYgLK2G+iPzXn/4UVL3ykXQ9CSICNSbz8P7O&#10;ww8HGVEyEJF6g4hAXFgJ80VEBFWvfCT9TmKVmm+khlqSKSKVf1txpojwS7y1ARGBuLAS1k0RsV8l&#10;DdYIUA96KCLJa5j6ICIQF4OD16e1IKh6JeOBAweSfiexoomIQC1xP72bvJ6koyKSqT4wpUFEIC5c&#10;FetyICJQS9z4RPcj2QKY+iAiEBeZl1PVXsD5v4shbHWICNSSzEdHK/+SwKTfSRgRqR+ICMQFIgJQ&#10;IYgIlAcRgbhARAAqBBGB8iAiEBeZVazauomIQDxkisgfq/6SwKTfSRCR+oGIQFx0QUTUW9LvJLY6&#10;RARqSRdE5MnHH0/6nQQRqR+ICMQFIgJQIV0QkWCIERGpH4gIxEVmFfvdS78Jal+ZQEQgHjJFZGzs&#10;XJAUZQIRqT2ICMRFZhWr9gIOEYF4yBQRESRFmUBEag8iAnExPLIjXcW6ICKrVq9NXgPUiNGTp+wI&#10;R0SgbRARiAt3ATc+/l7S1BUR0XqT1wA1Qv5hR/jx519ImiYJkqJMZIoIQ4x1AhGBuOjCLe1///3v&#10;k37Pnz/z5llbHSICtcSJSHCEP3DgQJAXbccLv/xl0ukkmT8XBVMaRATiIlNERFD7ysQfvR/oalSm&#10;AepBoyP8h9V9SSAPXdUeRATiAhEBqBBEBMqDiEBcICIAFYKIQHkQEYgLRASgQhod4ceeeSbIi7YD&#10;Eak9iAjERSMRqfACDhGBeGh0hMsegrxoOxCR2oOIQFx0QUT+609/SjpFRKDudEFEfvfSb5JOJ7HV&#10;ISJ1AhGBuOiCiCQ9ToKIQL3pgoj4Q4zCVoeI1AlEBOLiyNFjVsgQEYDyjJ17J/MIR0SgOIgIxIUz&#10;g9GTp5KmSV745S+D8td2JD1OgohA7bEjfHhkR/J6EtlDkBdtByJSexARiIsujCQnPU6CiEDtsSM8&#10;MANEBIqDiEBc9EpEggEYgNpgR3iXRSQYgIEpDSICcdFlEWn026QAtcGO8C6LCEOMdQIRgbhoJCK/&#10;e+k3QflrL77z8MNJj5NoLbY6RATqih3hgYj815/+FKRG2zE2di7plHudNQURgbhoVMiquoD74Qd/&#10;shwRgdpjR3j6oY0gNdqOpLtJEJFagohAXCAiANViRzgiAm2DiEBcICIA1WJHOCICbYOIQFwgIgDV&#10;Ykc4IgJtg4hAXDQqZP/r/feD8tdeICIQG4OD1+sIT4vIk48/HmRHe5F0NwkiUksQEYiORoUsKH/t&#10;BSICsSEF0RG+eMnS5PUFlAtBdrQXSXeTICK1BBGB6LBC1qGR5GPPPJN0NwkiArXHRESRvL4AIgIF&#10;QUQgOqyQdTnGzr2TrB6gXjgR6WYcf/6FZPUw9UFEIDrslvbA9BmBHATXYe3F6IkTSXfeD5NqjUkT&#10;QO0YHtlhx3nwOwaVjIgE9zoteRWYfZ1ARCA69h88ZLUsuDvznYcfDopgG+GLiCvQDCNDjXG/YyC5&#10;Hx9/L2k9f/7nP3s2yI42wheR48+/YCtK31eFKQ0iAtGhWumuq/xruEou4JyIuOGQoDoD1I9Vq9fa&#10;0S7LT5oq+v0mX0QWL1lqa+GJq5qBiECMuEfe/N/wrFZE3NUbwyFQe6TaEm4d7f5dyGpFxJk9wyH1&#10;AxGBSEkXtWpFhM/LQFS4R1aT11WLCJ+XqTGICESKFTVEBKASEBFoG0QEIsWKWuUi8ruXfmO9ISIQ&#10;FYgItA0iApFiRa1yEfnjH/5gvSEiEBUdEhE3xIiI1BhEBCLFnsD3RaSSTxsiIhAn7oBPXp8//++/&#10;/32QHW0EIhIDiAhEil3AVf6QPyICceIO+DNvnrWWSn7RGhGJAUQEIqVDI8lpEXF1GaDGpM0bEYGC&#10;ICIQKZ0WEff9rfYSoN50TURc/1AbEBGIlLSIVPuMSLp/gBqTFpFqnxFJ9w+1ARGBSEmLQrWfmkFE&#10;ICrSolDJECMiEgOICEQKIgJQIYgItA0iApHSIRFJ+kJEIDI6JCLO7BGRGoOIQKQUFJFdu3Z9denS&#10;L37xS37cc8/KYDYXSV+ICERGcRFZvuKOIKGUYkq0YDYLRCQGEBGIlIIismXzFs0j83Bxy623qiWY&#10;zUXSFyICkVFcRDSPksjPKbUo0YLZLBCRGEBEIFJaEpH8Fj+SvhARiIyWRCTQjnSLC0QkBhARiJTh&#10;kR1W15LXiAhACeQHdsAjItAqiAhEiqtr4+PvWUsnRMT/CnmAGuNE5MjRY9bSIRHhq4rrByICkZK+&#10;wMoUkQ3rN2gev6WgiEhBNJt0JHkNUGuciCizrKVaEeGrimsMIgKRUlBE7rln5Re/+CW/paCIWOeI&#10;SBscfvrIrt17bQdaDA0tU+Nbb48lc0D/UVBELH2Cz8iopamIcK+zxiAiECmdEJHvPPywdSWsc0Sk&#10;JZ597rjtt0YhHUlmhT6jJREJGtXSSETGxs5Zb4hIjUFEIFI6ISLqwboS1jkiUpy77p74GGfT0GzJ&#10;AtBPdEhErCuBiNQYRAQiBRHpK9Zv2GR7rEjs2r03WQz6BkQE2gYRgUgpKSKZXwSJiLRH+o7MQ488&#10;+vobZ2zqW2+PBY+MKF5+5bRNhT6hjIhc+ckr16xZGzRaWFcCEakxiAhEStsiotBSmRdwiEh7zByY&#10;abvLIlMyAllZv2FTMgH6gzIiohRTogWNFtaVQERqDCICkYKI9Akvnhi1fWWR8ziqf/tG7vLu+Hgy&#10;YZK33h7TskNDy9w8FmpMm42vNbZGtfgPqWhd2jCbGYqAiEDbICIQKYhInxA8HRLohY/MQP4hb1AE&#10;swU2k46HHnk0mXWSQEQaPSfLuEtxEBFoG0QEIuX48y9YXeuoiOw/eCh5DQ3wxzD0d9LaCq+/ccb1&#10;kBOSj2SBrKdSGgUPxhZkfPw922MdFRG+qriWICIQKe4CbvTkKWupUETOvHnWOndFGRphO8qivbO+&#10;P6ayaNEN7inXYJjE7zwtIppqoyxvvT0WDJDwYGxBbHcNj+ywl9WKCF9VXGMQEYiU9EhypoioRC5f&#10;cUfQqKUyReTnP3vWulLnF3/sIsLC9kkj7H/Bou3hB7tfox4CafAdxf8CkkBE0uv1x2nyb9AEb5Zw&#10;rpApIt/+9r2zZ10TNDYSkQcOHLCuhP1fICK1BBGBSCkuIukSqaUyRUSV17pCRPywfdII+1+waFtE&#10;GqEOXeeLFt2QtKZEJP3l8f5oysyBmUlrFsGbJfJFJHOIsZGIpO91IiK1BBGBSOm0iASdQyNsR1lU&#10;JSIvv3L68NNHgsdgG4mI3+54d3zczaDgZ26KYPsKEYFWQUQgUhCRPkEeYPtKkf+wqsnBQ488KsnI&#10;HMOwuzONotGtGb/dx82g4DGRIti+QkSgVRARiBREpE8Ixi1yPr4b3E/xv3o1/fUh6WgkIo3sx82g&#10;QESKYPsKEYFWQUQgUhCRPiHQi8ONv9DMHzvx76f47TZJnShkKv4zIo1EJPMREG7NtIHtK0QEWgUR&#10;gUhBRPoEnfKLfMX7Q4886s/jfCX4jG6wbBERUbjBFUfxh1XBYbsLEYFWQUQgUkqKyIb1G4JGRVpE&#10;jhw9Zi2QQ/rZDmmHG4SQJQS3b2QG7g5O/tiGP1iSIyLpD+hq5pypkIntrjZE5KtLlyqCRgUiEgmI&#10;CERKGRFpdAGXFhH9YS2Qj3/ibxr+7ZtG31omfQn69J8FCUREIdsw9ZHiBN7DAyIFsd3VhohkNirS&#10;IsIQYy1BRCBSxs69E5S28iLyu5d+Y12pT+scESlOQRcJfjUmfWenUfjjJcE4ivs7HcHqIIfFS5Zq&#10;j3VCRPiq4nqDiEC8WGlzPweTKSJXfvLKNWvWBo2NROSPf/iDdYWItEf6Hk0QEohkVo+XXzkdzOZC&#10;8/sfqHHPgvgismjRDY16qOp7TSJBCqKd5n4OJlNEbrn11vRdmEYikh5iRERqCSIC8WKlzV3AZYqI&#10;Zkg/l4qIdBTpSHBz5K67V/q3Y9K89faYLzEzJ3+k1261+E+5OrEIREQtmtmfUxvAHZlWMRFR2MtM&#10;EcnMHUQkchARiBcrbYhIhKRFBMoTiMi///73QYIoEBFIg4hAvFhpcyKSeQGnGRCR+oGIdIJARJQO&#10;QYIoEBFIg4hAvFhpQ0QiBBHpBIgItAciAvFipQ0RiRBEpBMgItAeiAjEi5U2RCRCEJFOgIhAeyAi&#10;EC9W2joqImPn3rEW6CsQkU7QBRHhq4prCSIC8WKlrRMisv/gIevcXgLEQOdEZPTkKeuZIcZagohA&#10;vFhpq1BExsbOWVdBRQaIgc6JCPc66w0iAvEyMH2GSluOiOzYvkMzDA8PB+1fXbr0lltvDRoV1o9A&#10;RCBChkcm8sUd9pkiMjh4fVpE1qxZe+UnrwwaFW6IERGpN4gIxIvpQo6IbNm8RTMEjYpGF3DWj0BE&#10;IEKCR6MyRURT00OMjRINEYkERATiJdAFRASgDIEuICJQEEQE4gURAagQRATaAxGBeEFEACoEEYH2&#10;QEQgXgJd+N1LvwnqYEsi8sCBA9aPQEQgQgJdGBs7F+SIQlOLi4j7GBoiUm8QEYiXQBf+1/vvBz/A&#10;W1xEZCGv/tM/WT8CEYEISevCC7/8pZ8mCk0tKCJa1joRiEi9QUQgXprqgqpe5lSVRS2bvMjCel68&#10;ZGnyGiACiuhC5tRGieZwPfNVxbUEEYF46ZyIBN9QAhADnROR4BtKoGYgIhAvnRMR6xYRgajonIg0&#10;TVWY0iAiEC+uuqkOZsb3nvqBTQ0GhBERgDRORI4cPebnkR829cybZ5NlJrH25EUWiEi9QUQgXtx4&#10;b4cCEYGoOP78C0EKVB7JmqBeICIQL65urlq9NmlqgC7g/Ku6/Lh/30Hrdv/BQ8nyABEwdu4dO/IH&#10;B68fH38vac1CcwZZkxPP/fXz1i1Pf9cVRATiRbXSnipVqN4lreVQhXV9BuPPALXH3UN57ImnkqbS&#10;uD6PHD2WNEG9QEQgalTarMbpGi5pKseq1Wutw6ajLAD1Q/Jtx7+iko/a+hmaP8oCUxdEBGKnwmu4&#10;0ZOnrKuB6TMomhAn7pHV8s9I+eOLVY1ZQh+CiEDsuGs4lbwyxU5FUxdt1tXx519IWgEiQwruEqHM&#10;zRT148YXh0d2JK1QRxARgPP7Dx6yeldJ8GEZiBw3NFhJML5YexARgIlrr8VLlgblr71Q0azk1jjA&#10;lKbCz8ZLa5JOoaYgIgATyEXsa8rKxP6Dh7AQAOP48y8ECdJqrFq9lkdDYgARAQAAgJ6BiAAAAEDP&#10;QEQAAACgZyAiAAAA0DMQEQAAAOgZiAgAAAD0DEQEAAAAegYiAgAAAD0DEQEAAICegYhAj3nr7bHg&#10;G51zYubAzMNPH3nxxGiycMd4+ZXTDz3yqL/qRYtu0Kpff+NMMgdATdFx7h/5LpSqyRwFKJhBerlr&#10;997kBcQKIgI9piURcXHX3StbKostERRQP1Rek5kAasrQ0LLgsLeQRiRzNKNgBtlsEpTkNcQKIgI9&#10;pj0RUah+vTs+nvRSHSqUwYr86MQaAfqHnHyUoCQz5VIkg148MTpzYKa1ICKAiECPaVtEFJ0Y1M25&#10;mKNiQu1pdF/GosgwZNMMClKetAJEBHpM8aqkq6j0oHGRytgSd9290u/fvwpkOARqj59iMwdmrt+w&#10;yb1UFLk70zSDEBEIQESgx7RUlVTI3IiuRfH71gUJyuizzx1PJgDUndffOOMf/Lt27w0GSIrcnWma&#10;QYgIBCAi0GNarUrBwC8iAlAVQXK9eGJU6u+3KJp+cAwRgVZBRKDHtFqVgku0fBFRJQ1qq6pk5iJB&#10;t5mhTU3m/iAqtcHiehdqySnZutb051fPCr9Rm51evPjbAWgDHbfu0Jo5MNMaA7FodLwVyaCm82R2&#10;3sZh315+Qa9ARKDHqEC46qBodURERSqZ8EHUbVBAgwgu1IqUUfWZzH0Brd2v3elYv2FTeikRFErV&#10;xHQ/WjaZu/W3A9AqOgj9I8odfkFqNMrQIhnUdJ5AL9o+7FvNL+gtiAj0GNUavzrki4hm9p8R0d+Z&#10;D5Cq7gSPkmSGqlWyQFsiUmQRhbYkfe0VFMr0Q7gK940LbbwdgFZppPhBhirSx7OoXETKHPYt5Rf0&#10;HEQEekxxEVGRCi5r/LLlkJqkr34aheuhaYlU+CJSZH4XqqeBxASFMh1uP7T3dgBaxT/r629f8YMT&#10;uZQlmeBRJCOazuMO4JKHffH8gn4AEYEek77eKhiNBgCCGqSS6sZvdY0VfBwxKLgiGArOHPvVNvtV&#10;W6GXfg0NLi4VwccNmhZK11vJtwNQhOBbyILbFoFA5J/Fm2ZQkWuPkod98fyCfgARgR7Tnog0qiOq&#10;R6pK/pzpYeSgigVdFRGRwDO0xmDAQ7x4YtSfR+E/zpIulOok/bxL+bcDUITggAwORR11/lRFzn2N&#10;8iJS/rAvmF/QJyAi0GPaExGFak366j84/QcXdkZQVYN5iohIUCUz5xFBNfRXlC6UmZ2UfzsARfAP&#10;af2dzqwid2eM8iJS/rAvmF/QJyAi0GPaFhGFSlgwFBGMVTQaHvDnUdlNWidpWkaDQexgcZ+gVvpz&#10;pgtluvSL8m8HoClFTvzpUcBkQoryIlL+sC+YX9AnICLQY5pWJYcMIF1fgmcvgiJYMPwi1bSMqiz6&#10;M+SPQPhzKpw2BW8keBeO8m8HoCk6hv3jJ/MWRmDVikZ3Z8qLSPnDvmB+QZ+AiECPKS4ihuqaP7/C&#10;r5vtlTDnB6JVEVHJSyZkobfjz+xqd1AoG9lM+bcDkI/O3zM/eKuxkcgGszW6O9MrEfEP+4L5BX0C&#10;IgI9plURETm3q6eoiDTqBBGBTpM2+4LR6O5MH4pIfpJCz0FEoMe0ISJBlVHZSiYUKIJNadpDULgr&#10;uTXT9sUlQEmC+zItReZNnKYHbasi0sZhXzC/oE9ARKDHVCsi5QtQ0yLYiYdVGz2ORz2FjvJu6jft&#10;Wgodn0lHHuVFpPxhXzC/oE9ARKDHtCEiQaXzxySC+yZtPKTWtIym76k3umILqqG/nQULZfm3A5CD&#10;Dl3/AGs1Mi28vIiUP+wRkakFIgI9plURCQYkFH6VSV/hpWuQLrCsXZF+8r9pGRVBmVM51rtIpl0g&#10;+Eikwl9XwUJZ/u0A5BAc7Y2OQ0f6szPpuzNFVN6fQZFMuED5wx4RmVogItBjWhIRFRR/ZotAAoIa&#10;pPCHdq1++aH5k2mTFBGRYJsVchFX7FRG02tRtzbVKF4oS74dgEakz/dqSaY1JhgOTD8jVSSD/BkU&#10;ZjNKK6cUJQ/74vkF/QAiAj0mfVJvKfzyZKjDoFbmhOYMim+RMioylahRyK7ybSmnUJZ8OwCNCI7h&#10;wJUbEUhAexmkjPDnceF8ouRhj4hMLRAR6DFlRKTRzWNdVwVzNor0oG5BERHpy7LMUM19PfVLGS0V&#10;yjJvB6ARwcfgC56t00djcHemSAYFx78Lf3ylzGGPiEwtEBHoMW2LiGpWztW/zv2NrrosVIXTfiCK&#10;i4hQCc5fS6ONbLVQtv12ADJJ551akmnNCMYqgrszRTKo0YBHcGnR9mGPiEwtEBHoMa2KiEqPykrB&#10;k66KYHrcQovn6EVLImJIR9Snv5SqZ/5Gtlco23g7AJkER2xgAPmkD0LftgtmkBYJtkFCk5kIbRz2&#10;iMjUAhEBAACAnoGIAAAAQM9ARAAAAKBnICIAAADQMxARAAAA6BmICAAAAPQMRAQAAAB6BiICAAAA&#10;PQMRAQAAgJ6BiAAAAEDPQEQAAACgZyAiAAAA0DMQEQAAAOgZiAgAAAD0DEQEAAAAegYiAgAAAD0D&#10;EQEAAICegYhAfXj5ldMf+/BHXCxadEMyoQHPPnfcn/+uu1cmEwCAhIJugYhAfaBuAlQICQXdARGB&#10;+kDdBKgQEgq6AyIC9YG6CVAhJBR0B0QE6gN1E6BCSCjoDogI1AfqJkCFkFDQHRARqA/UTYAKIaGg&#10;OyAiUB86VDcPP31k1+69/pwWalckM+Xy4onRhx551F9W6yq4LECv6M+EIpvqByIC9aHyuqkOZw7M&#10;9OdJh2ZQZUwWSPHW22PqNljED21DMitAn9FvCUU21RVEBOpDtXUz6C0/Mkvn62+caVp2Fbo6TBYA&#10;6Cf6KqHIphqDiEB9qLZuanF/an6k1/Xu+HjxHhhYhj6kfxKKbKo3iAjUhwrrpi7IgknqPJk2iYqd&#10;rs/Urj8yC19wF1wza3U2Sdd26zdsCqaq1NpUgD6hfxKKbKo3iAjUhwrrZjApKJpNUR1UNfR7ULlM&#10;pl0gqJ6ZNgPQQ/okocim2oOIQH3oXN0cGlrW6AG6TILrP1XJZIKHimnTeQB6SJ8kFNlUexARqA8l&#10;66b/mFtQ11zY0LEWTOZrQPDxwkbXZ/48uuZLWgH6gz5JKLKp9iAiUB8qrJtCJdKfmg5d1akmZt6N&#10;brpsZnBjG/qKPkkosqn2ICJQH6qtmypkqoz+DI0iWFC0VzrfenssWR6gD+iThCKbag8iAvUhGP5t&#10;Wjd1+eXPn/YJoXmCB+UyQxU2WWASSifUgD5JKLKp9iAiUB9UevxK1PQ+cVA3H3rk0WRCCl0aamYV&#10;Yn/+IPz73EHp9CcBTBX6JKHIptqDiECt8AuWIv8+sa7Y/JlVGZMJubx4YlRzpq/S/Af1g55zKjJA&#10;P+MfxoqeJBTZVHsQEagVwU3o/FIYXJAV/zyhoc79xVVJkwmpScGNG4CpQj8kFNlUexARqBXBJ/0U&#10;r6e++8gIqpsiuNrTDAq7Gns56/uXGtVNoa78SQrNnEy7gG2qrSWzf4Ce0w8JRTbVHkQEakVwV9tC&#10;Rcp/ck11av0Hv4dRofqYTJ4keJ5OL4Pap5fBPMEMwXiyQpuRTMuq78EGAPQDfZJQZFO9QUSgbqSr&#10;UtNQBfQLq1ARDObJD/UQXP+pw6Cw5kR6cYA+oR8SimyqN4gI1JD09VN+ZI7lttRJZg9qDGZrFJmL&#10;A/QJ/ZBQZFONQUSgnjz73PEil1B33b2y0T1voU6C+dOxaNENOYVPned/RnFoaFnOBgD0Cf2QUGRT&#10;XUFEoM4cnnx4LahWChUstResWY06UWPBrzTQbOnx7eKLA/QJjXKhmwlFNtUPRAQAAAB6BiICAAAA&#10;PQMRAQAAgJ6BiAAAAEDPQEQAAACgZyAiAAAA0DMQEQAAAOgZiAgAAAD0DEQEAAAAegYiAgAAMAU4&#10;/epr9YgjR4899sRTLhARAOgxY+feCerUFI3Rk6f88jqlY9XqtctX3FmDGBy8Pvg+eKLfAhHpLEGd&#10;mroRCOzUjf0HDwV1aupGkMwEUWHo/B0cb1M0ZFRBEZi6IdMNKvMUDV17JOdIcf78/w8o+XLaRZGy&#10;iQAAAABJRU5ErkJgglBLAwQUAAYACAAAACEAvZASqd0AAAAFAQAADwAAAGRycy9kb3ducmV2Lnht&#10;bEyPQUvDQBCF74L/YRnBm93E2FZiNqUU9VQEW0G8TZNpEpqdDdltkv57Ry96Gd7whve+yVaTbdVA&#10;vW8cG4hnESjiwpUNVwY+9i93j6B8QC6xdUwGLuRhlV9fZZiWbuR3GnahUhLCPkUDdQhdqrUvarLo&#10;Z64jFu/oeotB1r7SZY+jhNtW30fRQltsWBpq7GhTU3Hana2B1xHHdRI/D9vTcXP52s/fPrcxGXN7&#10;M62fQAWawt8x/OALOuTCdHBnLr1qDcgj4XeKN18mC1AHEQ/JEnSe6f/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spDb/UEAAAPFQAADgAAAAAAAAAAAAAA&#10;AAA6AgAAZHJzL2Uyb0RvYy54bWxQSwECLQAKAAAAAAAAACEA2KjwSrtuAAC7bgAAFAAAAAAAAAAA&#10;AAAAAABbBwAAZHJzL21lZGlhL2ltYWdlMS5wbmdQSwECLQAUAAYACAAAACEAvZASqd0AAAAFAQAA&#10;DwAAAAAAAAAAAAAAAABIdgAAZHJzL2Rvd25yZXYueG1sUEsBAi0AFAAGAAgAAAAhAKomDr68AAAA&#10;IQEAABkAAAAAAAAAAAAAAAAAUncAAGRycy9fcmVscy9lMm9Eb2MueG1sLnJlbHNQSwUGAAAAAAYA&#10;BgB8AQAARXgAAAAA&#10;">
                <v:shape id="그림 222767695" o:spid="_x0000_s1349" type="#_x0000_t75" alt="텍스트, 포고 스틱이(가) 표시된 사진&#10;&#10;자동 생성된 설명" style="position:absolute;width:36425;height:3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qzgAAAOIAAAAPAAAAZHJzL2Rvd25yZXYueG1sRI9Pa8JA&#10;FMTvBb/D8gQvpW4aMLapq4goKB780wrt7Zl9JsHs25BdNfbTdwuFHoeZ+Q0zmrSmEldqXGlZwXM/&#10;AkGcWV1yruDjffH0AsJ5ZI2VZVJwJweTcedhhKm2N97Rde9zESDsUlRQeF+nUrqsIIOub2vi4J1s&#10;Y9AH2eRSN3gLcFPJOIoSabDksFBgTbOCsvP+YhTMvw/T5fHxSx826/X887I6bV21UarXbadvIDy1&#10;/j/8115qBXEcD5Nh8jqA30vhDsjxDwAAAP//AwBQSwECLQAUAAYACAAAACEA2+H2y+4AAACFAQAA&#10;EwAAAAAAAAAAAAAAAAAAAAAAW0NvbnRlbnRfVHlwZXNdLnhtbFBLAQItABQABgAIAAAAIQBa9Cxb&#10;vwAAABUBAAALAAAAAAAAAAAAAAAAAB8BAABfcmVscy8ucmVsc1BLAQItABQABgAIAAAAIQAQ+Tkq&#10;zgAAAOIAAAAPAAAAAAAAAAAAAAAAAAcCAABkcnMvZG93bnJldi54bWxQSwUGAAAAAAMAAwC3AAAA&#10;AgMAAAAA&#10;" stroked="t" strokecolor="black [3213]">
                  <v:imagedata r:id="rId160" o:title="텍스트, 포고 스틱이(가) 표시된 사진&#10;&#10;자동 생성된 설명"/>
                  <v:path arrowok="t"/>
                </v:shape>
                <v:shape id="TextBox 2" o:spid="_x0000_s1350" type="#_x0000_t202" style="position:absolute;left:17953;top:6885;width:512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Y1cyAAAAOIAAAAPAAAAZHJzL2Rvd25yZXYueG1sRI/LasJA&#10;FIb3gu8wnEJ3dWIqalNHUSGQUjdecH2aOU1CM2eGzKjx7Z1FweXPf+NbrHrTiit1vrGsYDxKQBCX&#10;VjdcKTgd87c5CB+QNbaWScGdPKyWw8ECM21vvKfrIVQijrDPUEEdgsuk9GVNBv3IOuLo/drOYIiy&#10;q6Tu8BbHTSvTJJlKgw3HhxodbWsq/w4Xo2Dqzm5zSb96/Z3vsJ3kVhY/hVKvL/36E0SgPjzD/+1C&#10;K/gYv6fJZDaLEBEp4oBcPgAAAP//AwBQSwECLQAUAAYACAAAACEA2+H2y+4AAACFAQAAEwAAAAAA&#10;AAAAAAAAAAAAAAAAW0NvbnRlbnRfVHlwZXNdLnhtbFBLAQItABQABgAIAAAAIQBa9CxbvwAAABUB&#10;AAALAAAAAAAAAAAAAAAAAB8BAABfcmVscy8ucmVsc1BLAQItABQABgAIAAAAIQCVkY1cyAAAAOIA&#10;AAAPAAAAAAAAAAAAAAAAAAcCAABkcnMvZG93bnJldi54bWxQSwUGAAAAAAMAAwC3AAAA/AIAAAAA&#10;" fillcolor="white [3212]" stroked="f">
                  <v:textbox style="mso-fit-shape-to-text:t"/>
                </v:shape>
                <v:shape id="TextBox 6" o:spid="_x0000_s1351" type="#_x0000_t202" style="position:absolute;left:17462;top:4008;width:587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POuyQAAAOIAAAAPAAAAZHJzL2Rvd25yZXYueG1sRI9Ba8JA&#10;FITvQv/D8gredFNjJKSu0hYCKfWilp5fs69JaPbtkl01/vtuQfA4zMw3zHo7ml6cafCdZQVP8wQE&#10;cW11x42Cz2M5y0H4gKyxt0wKruRhu3mYrLHQ9sJ7Oh9CIyKEfYEK2hBcIaWvWzLo59YRR+/HDgZD&#10;lEMj9YCXCDe9XCTJShrsOC606Oitpfr3cDIKVu7LvZ4W76P+KHfYL0srq+9Kqenj+PIMItAY7uFb&#10;u9IK8nSZZVmepvB/Kd4BufkDAAD//wMAUEsBAi0AFAAGAAgAAAAhANvh9svuAAAAhQEAABMAAAAA&#10;AAAAAAAAAAAAAAAAAFtDb250ZW50X1R5cGVzXS54bWxQSwECLQAUAAYACAAAACEAWvQsW78AAAAV&#10;AQAACwAAAAAAAAAAAAAAAAAfAQAAX3JlbHMvLnJlbHNQSwECLQAUAAYACAAAACEAY9DzrskAAADi&#10;AAAADwAAAAAAAAAAAAAAAAAHAgAAZHJzL2Rvd25yZXYueG1sUEsFBgAAAAADAAMAtwAAAP0CAAAA&#10;AA==&#10;" fillcolor="white [3212]" stroked="f">
                  <v:textbox style="mso-fit-shape-to-text:t">
                    <w:txbxContent>
                      <w:p w14:paraId="5F6C23CF"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Tłok</w:t>
                        </w:r>
                      </w:p>
                    </w:txbxContent>
                  </v:textbox>
                </v:shape>
                <v:shape id="TextBox 8" o:spid="_x0000_s1352" type="#_x0000_t202" style="position:absolute;left:16952;top:10737;width:621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MQXxwAAAOMAAAAPAAAAZHJzL2Rvd25yZXYueG1sRE9fS8Mw&#10;EH8X/A7hBN9c2k7LWpcOFQoV9+Ice741Z1tsLqHJtvrtjSD4eL//t97MZhRnmvxgWUG6SEAQt1YP&#10;3CnYf9R3KxA+IGscLZOCb/Kwqa6v1lhqe+F3Ou9CJ2II+xIV9CG4Ukrf9mTQL6wjjtynnQyGeE6d&#10;1BNeYrgZZZYkuTQ4cGzo0dFLT+3X7mQU5O7gnk/Z66zf6i2O97WVzbFR6vZmfnoEEWgO/+I/d6Pj&#10;/GJZPCyLNM/g96cIgKx+AAAA//8DAFBLAQItABQABgAIAAAAIQDb4fbL7gAAAIUBAAATAAAAAAAA&#10;AAAAAAAAAAAAAABbQ29udGVudF9UeXBlc10ueG1sUEsBAi0AFAAGAAgAAAAhAFr0LFu/AAAAFQEA&#10;AAsAAAAAAAAAAAAAAAAAHwEAAF9yZWxzLy5yZWxzUEsBAi0AFAAGAAgAAAAhADvYxBfHAAAA4wAA&#10;AA8AAAAAAAAAAAAAAAAABwIAAGRycy9kb3ducmV2LnhtbFBLBQYAAAAAAwADALcAAAD7AgAAAAA=&#10;" fillcolor="white [3212]" stroked="f">
                  <v:textbox style="mso-fit-shape-to-text:t">
                    <w:txbxContent>
                      <w:p w14:paraId="52A6A40D"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Korpus</w:t>
                        </w:r>
                      </w:p>
                    </w:txbxContent>
                  </v:textbox>
                </v:shape>
                <v:shape id="TextBox 9" o:spid="_x0000_s1353" type="#_x0000_t202" style="position:absolute;left:18039;top:20882;width:5124;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bVxwAAAOMAAAAPAAAAZHJzL2Rvd25yZXYueG1sRE9La8JA&#10;EL4X/A/LCL3VjVF8RFexhUBKe6mK5zE7JsHs7JJdNf333UKhx/nes972phV36nxjWcF4lIAgLq1u&#10;uFJwPOQvCxA+IGtsLZOCb/Kw3Qye1php++Avuu9DJWII+wwV1CG4TEpf1mTQj6wjjtzFdgZDPLtK&#10;6g4fMdy0Mk2SmTTYcGyo0dFbTeV1fzMKZu7kXm/pe68/8k9sp7mVxblQ6nnY71YgAvXhX/znLnSc&#10;v1xM0vkynUzh96cIgNz8AAAA//8DAFBLAQItABQABgAIAAAAIQDb4fbL7gAAAIUBAAATAAAAAAAA&#10;AAAAAAAAAAAAAABbQ29udGVudF9UeXBlc10ueG1sUEsBAi0AFAAGAAgAAAAhAFr0LFu/AAAAFQEA&#10;AAsAAAAAAAAAAAAAAAAAHwEAAF9yZWxzLy5yZWxzUEsBAi0AFAAGAAgAAAAhAHyFZtXHAAAA4wAA&#10;AA8AAAAAAAAAAAAAAAAABwIAAGRycy9kb3ducmV2LnhtbFBLBQYAAAAAAwADALcAAAD7AgAAAAA=&#10;" fillcolor="white [3212]" stroked="f">
                  <v:textbox style="mso-fit-shape-to-text:t">
                    <w:txbxContent>
                      <w:p w14:paraId="5DF0571F"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Igła</w:t>
                        </w:r>
                      </w:p>
                    </w:txbxContent>
                  </v:textbox>
                </v:shape>
                <v:shape id="TextBox 10" o:spid="_x0000_s1354" type="#_x0000_t202" style="position:absolute;left:1401;top:15444;width:7156;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hQxwAAAOMAAAAPAAAAZHJzL2Rvd25yZXYueG1sRE/da8Iw&#10;EH8f7H8IN9jbTBWJWo2yDQod88UPfD6bW1vWXEITtfvvl8HAx/t932oz2E5cqQ+tYw3jUQaCuHKm&#10;5VrD8VC8zEGEiGywc0wafijAZv34sMLcuBvv6LqPtUghHHLU0MTocylD1ZDFMHKeOHFfrrcY09nX&#10;0vR4S+G2k5MsU9Jiy6mhQU/vDVXf+4vVoPzJv10mH4P5LLbYTQsny3Op9fPT8LoEEWmId/G/uzRp&#10;/iKbqelYzRX8/ZQAkOtfAAAA//8DAFBLAQItABQABgAIAAAAIQDb4fbL7gAAAIUBAAATAAAAAAAA&#10;AAAAAAAAAAAAAABbQ29udGVudF9UeXBlc10ueG1sUEsBAi0AFAAGAAgAAAAhAFr0LFu/AAAAFQEA&#10;AAsAAAAAAAAAAAAAAAAAHwEAAF9yZWxzLy5yZWxzUEsBAi0AFAAGAAgAAAAhAGK+eFDHAAAA4wAA&#10;AA8AAAAAAAAAAAAAAAAABwIAAGRycy9kb3ducmV2LnhtbFBLBQYAAAAAAwADALcAAAD7AgAAAAA=&#10;" fillcolor="white [3212]" stroked="f">
                  <v:textbox style="mso-fit-shape-to-text:t">
                    <w:txbxContent>
                      <w:p w14:paraId="684B1647"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Lek</w:t>
                        </w:r>
                      </w:p>
                    </w:txbxContent>
                  </v:textbox>
                </v:shape>
                <v:shape id="TextBox 12" o:spid="_x0000_s1355" type="#_x0000_t202" style="position:absolute;left:15177;top:25576;width:9760;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8vGygAAAOMAAAAPAAAAZHJzL2Rvd25yZXYueG1sRI9Ba8JA&#10;FITvhf6H5RW81Y0xlRBdpRUCkfZSK56f2dckNPt2ya4a/323UPA4zMw3zGozml5caPCdZQWzaQKC&#10;uLa640bB4at8zkH4gKyxt0wKbuRhs358WGGh7ZU/6bIPjYgQ9gUqaENwhZS+bsmgn1pHHL1vOxgM&#10;UQ6N1ANeI9z0Mk2ShTTYcVxo0dG2pfpnfzYKFu7o3s7pbtTv5Qf2WWlldaqUmjyNr0sQgcZwD/+3&#10;K60gnc3zfJ69pBn8fYp/QK5/AQAA//8DAFBLAQItABQABgAIAAAAIQDb4fbL7gAAAIUBAAATAAAA&#10;AAAAAAAAAAAAAAAAAABbQ29udGVudF9UeXBlc10ueG1sUEsBAi0AFAAGAAgAAAAhAFr0LFu/AAAA&#10;FQEAAAsAAAAAAAAAAAAAAAAAHwEAAF9yZWxzLy5yZWxzUEsBAi0AFAAGAAgAAAAhAPiry8bKAAAA&#10;4wAAAA8AAAAAAAAAAAAAAAAABwIAAGRycy9kb3ducmV2LnhtbFBLBQYAAAAAAwADALcAAAD+AgAA&#10;AAA=&#10;" fillcolor="white [3212]" stroked="f">
                  <v:textbox style="mso-fit-shape-to-text:t">
                    <w:txbxContent>
                      <w:p w14:paraId="23A28FB7"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Osłona zabezpieczająca</w:t>
                        </w:r>
                      </w:p>
                      <w:p w14:paraId="2E7024DE"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igłę</w:t>
                        </w:r>
                      </w:p>
                    </w:txbxContent>
                  </v:textbox>
                </v:shape>
                <v:shape id="TextBox 14" o:spid="_x0000_s1356" type="#_x0000_t202" style="position:absolute;left:9111;top:29951;width:7842;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JyQAAAOIAAAAPAAAAZHJzL2Rvd25yZXYueG1sRI9Ba8JA&#10;FITvhf6H5RV6qxuDjTW6SlsIROpFK56f2WcSzL5dsqum/94tFHocZuYbZrEaTCeu1PvWsoLxKAFB&#10;XFndcq1g/128vIHwAVljZ5kU/JCH1fLxYYG5tjfe0nUXahEh7HNU0ITgcil91ZBBP7KOOHon2xsM&#10;Ufa11D3eItx0Mk2STBpsOS406Oizoeq8uxgFmTu4j0u6HvRXscFuUlhZHkulnp+G9zmIQEP4D/+1&#10;S61glk6z2fR1PIHfS/EOyOUdAAD//wMAUEsBAi0AFAAGAAgAAAAhANvh9svuAAAAhQEAABMAAAAA&#10;AAAAAAAAAAAAAAAAAFtDb250ZW50X1R5cGVzXS54bWxQSwECLQAUAAYACAAAACEAWvQsW78AAAAV&#10;AQAACwAAAAAAAAAAAAAAAAAfAQAAX3JlbHMvLnJlbHNQSwECLQAUAAYACAAAACEAXaPwCckAAADi&#10;AAAADwAAAAAAAAAAAAAAAAAHAgAAZHJzL2Rvd25yZXYueG1sUEsFBgAAAAADAAMAtwAAAP0CAAAA&#10;AA==&#10;" fillcolor="white [3212]" stroked="f">
                  <v:textbox style="mso-fit-shape-to-text:t">
                    <w:txbxContent>
                      <w:p w14:paraId="1F4313C5" w14:textId="77777777" w:rsidR="006D7011" w:rsidRDefault="006D7011" w:rsidP="00FC382E">
                        <w:pPr>
                          <w:wordWrap w:val="0"/>
                          <w:jc w:val="center"/>
                          <w:rPr>
                            <w:rFonts w:ascii="Times New Roman" w:eastAsia="Times New Roman" w:hAnsi="Times New Roman" w:cs="Arial"/>
                            <w:b/>
                            <w:bCs/>
                            <w:color w:val="000000" w:themeColor="text1"/>
                            <w:kern w:val="24"/>
                            <w:lang w:val="pl-PL"/>
                          </w:rPr>
                        </w:pPr>
                        <w:r>
                          <w:rPr>
                            <w:rFonts w:ascii="Times New Roman" w:eastAsia="Times New Roman" w:hAnsi="Times New Roman" w:cs="Arial"/>
                            <w:b/>
                            <w:bCs/>
                            <w:color w:val="000000" w:themeColor="text1"/>
                            <w:kern w:val="24"/>
                            <w:lang w:val="pl-PL"/>
                          </w:rPr>
                          <w:t xml:space="preserve">Przed </w:t>
                        </w:r>
                      </w:p>
                      <w:p w14:paraId="6B5A2C1A" w14:textId="77777777" w:rsidR="006D7011" w:rsidRDefault="006D7011" w:rsidP="00FC382E">
                        <w:pPr>
                          <w:wordWrap w:val="0"/>
                          <w:jc w:val="center"/>
                          <w:rPr>
                            <w:rFonts w:ascii="Times New Roman" w:eastAsia="Times New Roman" w:hAnsi="Times New Roman" w:cs="Arial"/>
                            <w:b/>
                            <w:bCs/>
                            <w:color w:val="000000" w:themeColor="text1"/>
                            <w:kern w:val="24"/>
                            <w:lang w:val="pl-PL"/>
                          </w:rPr>
                        </w:pPr>
                        <w:r>
                          <w:rPr>
                            <w:rFonts w:ascii="Times New Roman" w:eastAsia="Times New Roman" w:hAnsi="Times New Roman" w:cs="Arial"/>
                            <w:b/>
                            <w:bCs/>
                            <w:color w:val="000000" w:themeColor="text1"/>
                            <w:kern w:val="24"/>
                            <w:lang w:val="pl-PL"/>
                          </w:rPr>
                          <w:t>użyciem</w:t>
                        </w:r>
                      </w:p>
                    </w:txbxContent>
                  </v:textbox>
                </v:shape>
                <v:shape id="TextBox 15" o:spid="_x0000_s1357" type="#_x0000_t202" style="position:absolute;left:23335;top:29951;width:8509;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FvQxQAAAOIAAAAPAAAAZHJzL2Rvd25yZXYueG1sRE/Pa8Iw&#10;FL4P/B/CE7zNxCpuVKOoUOjYLnNj52fzbIvNS2ii1v9+OQx2/Ph+r7eD7cSN+tA61jCbKhDElTMt&#10;1xq+v4rnVxAhIhvsHJOGBwXYbkZPa8yNu/Mn3Y6xFimEQ44amhh9LmWoGrIYps4TJ+7seosxwb6W&#10;psd7CredzJRaSostp4YGPR0aqi7Hq9Ww9D9+f83eBvNefGC3KJwsT6XWk/GwW4GINMR/8Z+7NBrm&#10;aq5esoVKm9OldAfk5hcAAP//AwBQSwECLQAUAAYACAAAACEA2+H2y+4AAACFAQAAEwAAAAAAAAAA&#10;AAAAAAAAAAAAW0NvbnRlbnRfVHlwZXNdLnhtbFBLAQItABQABgAIAAAAIQBa9CxbvwAAABUBAAAL&#10;AAAAAAAAAAAAAAAAAB8BAABfcmVscy8ucmVsc1BLAQItABQABgAIAAAAIQDOWFvQxQAAAOIAAAAP&#10;AAAAAAAAAAAAAAAAAAcCAABkcnMvZG93bnJldi54bWxQSwUGAAAAAAMAAwC3AAAA+QIAAAAA&#10;" fillcolor="white [3212]" stroked="f">
                  <v:textbox style="mso-fit-shape-to-text:t">
                    <w:txbxContent>
                      <w:p w14:paraId="7D5AE2D8" w14:textId="77777777" w:rsidR="006D7011" w:rsidRDefault="006D7011" w:rsidP="00FC382E">
                        <w:pPr>
                          <w:wordWrap w:val="0"/>
                          <w:jc w:val="center"/>
                          <w:rPr>
                            <w:rFonts w:ascii="Times New Roman" w:eastAsia="Times New Roman" w:hAnsi="Times New Roman" w:cs="Arial"/>
                            <w:b/>
                            <w:bCs/>
                            <w:color w:val="000000"/>
                            <w:kern w:val="24"/>
                            <w:lang w:val="fr-FR"/>
                          </w:rPr>
                        </w:pPr>
                        <w:r>
                          <w:rPr>
                            <w:rFonts w:ascii="Times New Roman" w:eastAsia="Times New Roman" w:hAnsi="Times New Roman" w:cs="Arial"/>
                            <w:b/>
                            <w:bCs/>
                            <w:color w:val="000000"/>
                            <w:kern w:val="24"/>
                            <w:lang w:val="fr-FR"/>
                          </w:rPr>
                          <w:t xml:space="preserve">Po </w:t>
                        </w:r>
                      </w:p>
                      <w:p w14:paraId="22BD6CFC" w14:textId="77777777" w:rsidR="006D7011" w:rsidRDefault="006D7011" w:rsidP="00FC382E">
                        <w:pPr>
                          <w:wordWrap w:val="0"/>
                          <w:jc w:val="center"/>
                          <w:rPr>
                            <w:rFonts w:ascii="Times New Roman" w:eastAsia="Times New Roman" w:hAnsi="Times New Roman" w:cs="Arial"/>
                            <w:b/>
                            <w:bCs/>
                            <w:color w:val="000000"/>
                            <w:kern w:val="24"/>
                            <w:lang w:val="fr-FR"/>
                          </w:rPr>
                        </w:pPr>
                        <w:r>
                          <w:rPr>
                            <w:rFonts w:ascii="Times New Roman" w:eastAsia="Times New Roman" w:hAnsi="Times New Roman" w:cs="Arial"/>
                            <w:b/>
                            <w:bCs/>
                            <w:color w:val="000000"/>
                            <w:kern w:val="24"/>
                            <w:lang w:val="fr-FR"/>
                          </w:rPr>
                          <w:t>użyciu</w:t>
                        </w:r>
                      </w:p>
                    </w:txbxContent>
                  </v:textbox>
                </v:shape>
                <v:shape id="TextBox 7" o:spid="_x0000_s1358" type="#_x0000_t202" style="position:absolute;left:16725;top:7179;width:735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eADxQAAAOIAAAAPAAAAZHJzL2Rvd25yZXYueG1sRE9NS8NA&#10;EL0L/odlCt7sJlZDTbstxSr04MUa70N2mg3Nzobs2KT/3hUEj4/3vd5OvlMXGmIb2EA+z0AR18G2&#10;3BioPt/ul6CiIFvsApOBK0XYbm5v1ljaMPIHXY7SqBTCsUQDTqQvtY61I49xHnrixJ3C4FESHBpt&#10;BxxTuO/0Q5YV2mPLqcFhTy+O6vPx2xsQsbv8Wr36ePia3vejy+onrIy5m027FSihSf7Ff+6DTfOL&#10;4nm5KPJH+L2UMOjNDwAAAP//AwBQSwECLQAUAAYACAAAACEA2+H2y+4AAACFAQAAEwAAAAAAAAAA&#10;AAAAAAAAAAAAW0NvbnRlbnRfVHlwZXNdLnhtbFBLAQItABQABgAIAAAAIQBa9CxbvwAAABUBAAAL&#10;AAAAAAAAAAAAAAAAAB8BAABfcmVscy8ucmVsc1BLAQItABQABgAIAAAAIQA8zeADxQAAAOIAAAAP&#10;AAAAAAAAAAAAAAAAAAcCAABkcnMvZG93bnJldi54bWxQSwUGAAAAAAMAAwC3AAAA+QIAAAAA&#10;" filled="f" stroked="f">
                  <v:textbox style="mso-fit-shape-to-text:t">
                    <w:txbxContent>
                      <w:p w14:paraId="580AC468"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 xml:space="preserve">Uchwyt </w:t>
                        </w:r>
                      </w:p>
                      <w:p w14:paraId="301DA0D9" w14:textId="77777777" w:rsidR="006D7011" w:rsidRDefault="006D7011" w:rsidP="00FC382E">
                        <w:pPr>
                          <w:wordWrap w:val="0"/>
                          <w:jc w:val="center"/>
                          <w:rPr>
                            <w:rFonts w:ascii="Times New Roman" w:eastAsia="Times New Roman" w:hAnsi="Times New Roman" w:cs="Arial"/>
                            <w:b/>
                            <w:bCs/>
                            <w:color w:val="000000" w:themeColor="text1"/>
                            <w:kern w:val="24"/>
                            <w:sz w:val="18"/>
                            <w:szCs w:val="18"/>
                            <w:lang w:val="pl-PL"/>
                          </w:rPr>
                        </w:pPr>
                        <w:r>
                          <w:rPr>
                            <w:rFonts w:ascii="Times New Roman" w:eastAsia="Times New Roman" w:hAnsi="Times New Roman" w:cs="Arial"/>
                            <w:b/>
                            <w:bCs/>
                            <w:color w:val="000000" w:themeColor="text1"/>
                            <w:kern w:val="24"/>
                            <w:sz w:val="18"/>
                            <w:szCs w:val="18"/>
                            <w:lang w:val="pl-PL"/>
                          </w:rPr>
                          <w:t>dla palców</w:t>
                        </w:r>
                      </w:p>
                    </w:txbxContent>
                  </v:textbox>
                </v:shape>
                <w10:anchorlock/>
              </v:group>
            </w:pict>
          </mc:Fallback>
        </mc:AlternateContent>
      </w:r>
      <w:r w:rsidR="00251E19" w:rsidRPr="00DF3E6D">
        <w:rPr>
          <w:noProof/>
          <w:lang w:val="pl-PL"/>
        </w:rPr>
        <w:t xml:space="preserve"> </w:t>
      </w:r>
    </w:p>
    <w:p w14:paraId="0239F51F" w14:textId="77777777" w:rsidR="0059538A" w:rsidRPr="008F328C" w:rsidRDefault="0059538A" w:rsidP="0059538A">
      <w:pPr>
        <w:spacing w:before="10" w:line="240" w:lineRule="exact"/>
        <w:ind w:left="5040" w:firstLineChars="450" w:firstLine="901"/>
        <w:rPr>
          <w:rFonts w:ascii="Times New Roman" w:hAnsi="Times New Roman" w:cs="Times New Roman"/>
          <w:b/>
          <w:sz w:val="20"/>
          <w:szCs w:val="24"/>
          <w:lang w:val="pl-PL" w:eastAsia="ko-KR"/>
        </w:rPr>
      </w:pPr>
      <w:r w:rsidRPr="008F328C">
        <w:rPr>
          <w:rFonts w:ascii="Times New Roman" w:eastAsia="Times New Roman" w:hAnsi="Times New Roman" w:cs="Times New Roman"/>
          <w:b/>
          <w:bCs/>
          <w:sz w:val="20"/>
          <w:szCs w:val="20"/>
          <w:lang w:val="pl-PL" w:eastAsia="ko-KR"/>
        </w:rPr>
        <w:t>Rysunek A</w:t>
      </w:r>
    </w:p>
    <w:p w14:paraId="047D49B5" w14:textId="77777777" w:rsidR="0059538A" w:rsidRPr="008F328C" w:rsidRDefault="0059538A" w:rsidP="0059538A">
      <w:pPr>
        <w:spacing w:before="10" w:line="240" w:lineRule="exact"/>
        <w:rPr>
          <w:rFonts w:ascii="Times New Roman" w:hAnsi="Times New Roman" w:cs="Times New Roman"/>
          <w:sz w:val="24"/>
          <w:szCs w:val="24"/>
          <w:lang w:val="pl-PL"/>
        </w:rPr>
      </w:pPr>
    </w:p>
    <w:p w14:paraId="55815502" w14:textId="77777777" w:rsidR="0059538A" w:rsidRPr="008F328C" w:rsidRDefault="0059538A" w:rsidP="0059538A">
      <w:pPr>
        <w:pStyle w:val="a3"/>
        <w:rPr>
          <w:b/>
          <w:lang w:val="pl-PL"/>
        </w:rPr>
      </w:pPr>
      <w:r w:rsidRPr="008F328C">
        <w:rPr>
          <w:rFonts w:eastAsia="Times New Roman"/>
          <w:b/>
          <w:bCs/>
          <w:lang w:val="pl-PL"/>
        </w:rPr>
        <w:t>Nie używać ampułko-strzykawki, jeżeli:</w:t>
      </w:r>
    </w:p>
    <w:p w14:paraId="5DA71DA9" w14:textId="77777777" w:rsidR="0059538A" w:rsidRPr="008F328C" w:rsidRDefault="0059538A" w:rsidP="0059538A">
      <w:pPr>
        <w:pStyle w:val="a3"/>
        <w:numPr>
          <w:ilvl w:val="1"/>
          <w:numId w:val="3"/>
        </w:numPr>
        <w:ind w:left="660" w:hanging="660"/>
        <w:rPr>
          <w:lang w:val="pl-PL"/>
        </w:rPr>
      </w:pPr>
      <w:r w:rsidRPr="008F328C">
        <w:rPr>
          <w:rFonts w:eastAsia="Times New Roman"/>
          <w:lang w:val="pl-PL"/>
        </w:rPr>
        <w:t xml:space="preserve">jest pęknięta lub uszkodzona. </w:t>
      </w:r>
    </w:p>
    <w:p w14:paraId="6F29B52F" w14:textId="77777777" w:rsidR="0059538A" w:rsidRPr="008F328C" w:rsidRDefault="0059538A" w:rsidP="0059538A">
      <w:pPr>
        <w:pStyle w:val="a3"/>
        <w:numPr>
          <w:ilvl w:val="1"/>
          <w:numId w:val="3"/>
        </w:numPr>
        <w:ind w:left="660" w:hanging="660"/>
        <w:rPr>
          <w:lang w:val="pl-PL"/>
        </w:rPr>
      </w:pPr>
      <w:r w:rsidRPr="008F328C">
        <w:rPr>
          <w:rFonts w:eastAsia="Times New Roman"/>
          <w:lang w:val="pl-PL"/>
        </w:rPr>
        <w:t xml:space="preserve">upłynął termin ważności. </w:t>
      </w:r>
    </w:p>
    <w:p w14:paraId="2E18AF48" w14:textId="77777777" w:rsidR="0059538A" w:rsidRPr="008F328C" w:rsidRDefault="0059538A" w:rsidP="0059538A">
      <w:pPr>
        <w:pStyle w:val="a3"/>
        <w:numPr>
          <w:ilvl w:val="1"/>
          <w:numId w:val="3"/>
        </w:numPr>
        <w:ind w:left="660" w:hanging="660"/>
        <w:rPr>
          <w:lang w:val="pl-PL"/>
        </w:rPr>
      </w:pPr>
      <w:r w:rsidRPr="008F328C">
        <w:rPr>
          <w:lang w:val="pl-PL"/>
        </w:rPr>
        <w:t>została upuszczona na twardą powierzchnię.</w:t>
      </w:r>
    </w:p>
    <w:p w14:paraId="04092385" w14:textId="77777777" w:rsidR="0059538A" w:rsidRPr="008F328C" w:rsidRDefault="0059538A" w:rsidP="0059538A">
      <w:pPr>
        <w:pStyle w:val="Default"/>
        <w:numPr>
          <w:ilvl w:val="2"/>
          <w:numId w:val="21"/>
        </w:numPr>
        <w:ind w:left="360"/>
        <w:rPr>
          <w:rFonts w:ascii="Times New Roman" w:hAnsi="Times New Roman" w:cs="Times New Roman"/>
          <w:color w:val="211D1E"/>
          <w:sz w:val="20"/>
          <w:szCs w:val="20"/>
          <w:lang w:val="pl-PL"/>
        </w:rPr>
      </w:pPr>
    </w:p>
    <w:p w14:paraId="6DA447EE" w14:textId="77777777" w:rsidR="0059538A" w:rsidRPr="008F328C" w:rsidRDefault="0059538A" w:rsidP="0059538A">
      <w:pPr>
        <w:pStyle w:val="a3"/>
        <w:rPr>
          <w:b/>
          <w:lang w:val="pl-PL"/>
        </w:rPr>
      </w:pPr>
      <w:r w:rsidRPr="008F328C">
        <w:rPr>
          <w:rFonts w:eastAsia="Times New Roman"/>
          <w:b/>
          <w:bCs/>
          <w:lang w:val="pl-PL"/>
        </w:rPr>
        <w:t>Osłonę zabezpieczającą igłę usunąć bezpośrednio przed wstrzyknięciem. Lek Yuflyma przechowywać w miejscu niewidocznym i niedostępnym dla dzieci.</w:t>
      </w:r>
    </w:p>
    <w:p w14:paraId="52687284" w14:textId="77777777" w:rsidR="0059538A" w:rsidRPr="008F328C" w:rsidRDefault="0059538A" w:rsidP="0059538A">
      <w:pPr>
        <w:rPr>
          <w:rFonts w:ascii="Times New Roman" w:hAnsi="Times New Roman" w:cs="Times New Roman"/>
          <w:lang w:val="pl-PL"/>
        </w:rPr>
      </w:pPr>
      <w:r w:rsidRPr="008F328C">
        <w:rPr>
          <w:rFonts w:ascii="Times New Roman" w:hAnsi="Times New Roman" w:cs="Times New Roman"/>
          <w:lang w:val="pl-PL"/>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59538A" w:rsidRPr="008F328C" w14:paraId="33A3B46F" w14:textId="77777777" w:rsidTr="00ED6A7B">
        <w:trPr>
          <w:trHeight w:val="2684"/>
        </w:trPr>
        <w:tc>
          <w:tcPr>
            <w:tcW w:w="9634" w:type="dxa"/>
          </w:tcPr>
          <w:p w14:paraId="0BFE11F1" w14:textId="77777777" w:rsidR="0059538A" w:rsidRPr="008F328C" w:rsidRDefault="0059538A" w:rsidP="00ED6A7B">
            <w:pPr>
              <w:pStyle w:val="a3"/>
              <w:numPr>
                <w:ilvl w:val="0"/>
                <w:numId w:val="0"/>
              </w:numPr>
              <w:ind w:left="580"/>
              <w:rPr>
                <w:lang w:val="pl-PL"/>
              </w:rPr>
            </w:pPr>
          </w:p>
          <w:p w14:paraId="2D02F1D1" w14:textId="77777777" w:rsidR="0059538A" w:rsidRPr="008F328C" w:rsidRDefault="0059538A" w:rsidP="008F328C">
            <w:pPr>
              <w:pStyle w:val="a3"/>
              <w:numPr>
                <w:ilvl w:val="0"/>
                <w:numId w:val="141"/>
              </w:numPr>
              <w:rPr>
                <w:lang w:val="pl-PL"/>
              </w:rPr>
            </w:pPr>
            <w:r w:rsidRPr="008F328C">
              <w:rPr>
                <w:rFonts w:eastAsia="Times New Roman"/>
                <w:b/>
                <w:bCs/>
                <w:lang w:val="pl-PL"/>
              </w:rPr>
              <w:t>Przygotować materiały potrzebne do wykonania wstrzyknięcie</w:t>
            </w:r>
          </w:p>
          <w:p w14:paraId="6503994B" w14:textId="77777777" w:rsidR="0059538A" w:rsidRPr="008F328C" w:rsidRDefault="0059538A" w:rsidP="00ED6A7B">
            <w:pPr>
              <w:pStyle w:val="a3"/>
              <w:numPr>
                <w:ilvl w:val="0"/>
                <w:numId w:val="0"/>
              </w:numPr>
              <w:ind w:left="580"/>
              <w:rPr>
                <w:lang w:val="pl-PL"/>
              </w:rPr>
            </w:pPr>
          </w:p>
          <w:p w14:paraId="561CBF31" w14:textId="77777777" w:rsidR="0059538A" w:rsidRPr="008F328C" w:rsidRDefault="0059538A" w:rsidP="00ED6A7B">
            <w:pPr>
              <w:pStyle w:val="a3"/>
              <w:ind w:leftChars="100" w:left="220"/>
              <w:rPr>
                <w:lang w:val="pl-PL" w:eastAsia="ko-KR"/>
              </w:rPr>
            </w:pPr>
            <w:r w:rsidRPr="008F328C">
              <w:rPr>
                <w:rFonts w:eastAsia="Times New Roman"/>
                <w:b/>
                <w:bCs/>
                <w:lang w:val="pl-PL" w:eastAsia="ko-KR"/>
              </w:rPr>
              <w:t>a.</w:t>
            </w:r>
            <w:r w:rsidRPr="008F328C">
              <w:rPr>
                <w:rFonts w:eastAsia="Times New Roman"/>
                <w:lang w:val="pl-PL" w:eastAsia="ko-KR"/>
              </w:rPr>
              <w:t xml:space="preserve"> Przygotować czystą, płaską powierzchnię, taką jak stół lub blat, w dobrze oświetlonym miejscu.</w:t>
            </w:r>
          </w:p>
          <w:p w14:paraId="27DF98B0" w14:textId="77777777" w:rsidR="0059538A" w:rsidRPr="008F328C" w:rsidRDefault="0059538A" w:rsidP="00ED6A7B">
            <w:pPr>
              <w:pStyle w:val="a3"/>
              <w:ind w:leftChars="100" w:left="220"/>
              <w:rPr>
                <w:lang w:val="pl-PL" w:eastAsia="ko-KR"/>
              </w:rPr>
            </w:pPr>
            <w:r w:rsidRPr="008F328C">
              <w:rPr>
                <w:rFonts w:eastAsia="Times New Roman"/>
                <w:b/>
                <w:bCs/>
                <w:lang w:val="pl-PL" w:eastAsia="ko-KR"/>
              </w:rPr>
              <w:t>b.</w:t>
            </w:r>
            <w:r w:rsidRPr="008F328C">
              <w:rPr>
                <w:rFonts w:eastAsia="Times New Roman"/>
                <w:lang w:val="pl-PL" w:eastAsia="ko-KR"/>
              </w:rPr>
              <w:t xml:space="preserve"> Wyjąć 1 ampułko-strzykawkę z kartonika przechowywanego w lodówce.</w:t>
            </w:r>
          </w:p>
          <w:p w14:paraId="47F16244" w14:textId="26501B04" w:rsidR="0059538A" w:rsidRPr="008F328C" w:rsidRDefault="0059538A" w:rsidP="00ED6A7B">
            <w:pPr>
              <w:pStyle w:val="a3"/>
              <w:ind w:leftChars="300" w:left="660" w:rightChars="100" w:right="220"/>
              <w:rPr>
                <w:lang w:val="pl-PL" w:eastAsia="ko-KR"/>
              </w:rPr>
            </w:pPr>
            <w:r w:rsidRPr="008F328C">
              <w:rPr>
                <w:rFonts w:eastAsia="맑은 고딕"/>
                <w:lang w:val="pl-PL" w:eastAsia="ko-KR"/>
              </w:rPr>
              <w:t>•</w:t>
            </w:r>
            <w:r w:rsidRPr="008F328C">
              <w:rPr>
                <w:rFonts w:eastAsia="Times New Roman"/>
                <w:lang w:val="pl-PL" w:eastAsia="ko-KR"/>
              </w:rPr>
              <w:t xml:space="preserve"> Przytrzymać korpus ampułko-strzykawki podczas wyjmowania go z kartonika.</w:t>
            </w:r>
            <w:r w:rsidRPr="008F328C">
              <w:rPr>
                <w:rFonts w:eastAsia="Times New Roman"/>
                <w:b/>
                <w:bCs/>
                <w:lang w:val="pl-PL" w:eastAsia="ko-KR"/>
              </w:rPr>
              <w:t xml:space="preserve"> Nie </w:t>
            </w:r>
            <w:r w:rsidRPr="008F328C">
              <w:rPr>
                <w:rFonts w:eastAsia="Times New Roman"/>
                <w:lang w:val="pl-PL" w:eastAsia="ko-KR"/>
              </w:rPr>
              <w:t>dotykać tłoka</w:t>
            </w:r>
            <w:r w:rsidR="00AE3781" w:rsidRPr="002C7F4A">
              <w:rPr>
                <w:rFonts w:eastAsia="Times New Roman"/>
                <w:lang w:val="pl-PL" w:eastAsia="ko-KR"/>
              </w:rPr>
              <w:t xml:space="preserve"> i osłona zabezpieczająca igłę.</w:t>
            </w:r>
          </w:p>
          <w:p w14:paraId="1253ABBD" w14:textId="77777777" w:rsidR="0059538A" w:rsidRPr="008F328C" w:rsidRDefault="0059538A" w:rsidP="00ED6A7B">
            <w:pPr>
              <w:pStyle w:val="a3"/>
              <w:ind w:leftChars="100" w:left="220"/>
              <w:rPr>
                <w:lang w:val="pl-PL" w:eastAsia="ko-KR"/>
              </w:rPr>
            </w:pPr>
            <w:r w:rsidRPr="008F328C">
              <w:rPr>
                <w:rFonts w:eastAsia="Times New Roman"/>
                <w:b/>
                <w:bCs/>
                <w:lang w:val="pl-PL" w:eastAsia="ko-KR"/>
              </w:rPr>
              <w:t>c.</w:t>
            </w:r>
            <w:r w:rsidRPr="008F328C">
              <w:rPr>
                <w:rFonts w:eastAsia="Times New Roman"/>
                <w:lang w:val="pl-PL" w:eastAsia="ko-KR"/>
              </w:rPr>
              <w:t xml:space="preserve"> Należy upewnić się, że są dostępne następujące materiały:</w:t>
            </w:r>
          </w:p>
          <w:p w14:paraId="2EF02DC1" w14:textId="77777777" w:rsidR="0059538A" w:rsidRPr="008F328C" w:rsidRDefault="0059538A" w:rsidP="00ED6A7B">
            <w:pPr>
              <w:pStyle w:val="a3"/>
              <w:ind w:left="720"/>
              <w:rPr>
                <w:lang w:val="pl-PL" w:eastAsia="ko-KR"/>
              </w:rPr>
            </w:pPr>
            <w:r w:rsidRPr="008F328C">
              <w:rPr>
                <w:rFonts w:eastAsia="Times New Roman"/>
                <w:lang w:val="pl-PL" w:eastAsia="ko-KR"/>
              </w:rPr>
              <w:t>- ampułko-strzykawka</w:t>
            </w:r>
          </w:p>
          <w:p w14:paraId="4F181283" w14:textId="77777777" w:rsidR="0059538A" w:rsidRPr="008F328C" w:rsidRDefault="0059538A" w:rsidP="00ED6A7B">
            <w:pPr>
              <w:pStyle w:val="a3"/>
              <w:spacing w:after="120"/>
              <w:ind w:left="720"/>
              <w:rPr>
                <w:lang w:val="pl-PL" w:eastAsia="ko-KR"/>
              </w:rPr>
            </w:pPr>
            <w:r w:rsidRPr="008F328C">
              <w:rPr>
                <w:rFonts w:eastAsia="Times New Roman"/>
                <w:lang w:val="pl-PL" w:eastAsia="ko-KR"/>
              </w:rPr>
              <w:t>- gazik nasączony alkoholem</w:t>
            </w:r>
          </w:p>
          <w:p w14:paraId="698B1DC7" w14:textId="77777777" w:rsidR="0059538A" w:rsidRPr="008F328C" w:rsidRDefault="0059538A" w:rsidP="00ED6A7B">
            <w:pPr>
              <w:pStyle w:val="a3"/>
              <w:ind w:left="720"/>
              <w:rPr>
                <w:b/>
                <w:lang w:val="pl-PL" w:eastAsia="ko-KR"/>
              </w:rPr>
            </w:pPr>
            <w:r w:rsidRPr="008F328C">
              <w:rPr>
                <w:rFonts w:eastAsia="Times New Roman"/>
                <w:b/>
                <w:bCs/>
                <w:lang w:val="pl-PL" w:eastAsia="ko-KR"/>
              </w:rPr>
              <w:t>Niedołączone do opakowania:</w:t>
            </w:r>
          </w:p>
          <w:p w14:paraId="1902549B" w14:textId="77777777" w:rsidR="0059538A" w:rsidRPr="008F328C" w:rsidRDefault="0059538A" w:rsidP="00ED6A7B">
            <w:pPr>
              <w:pStyle w:val="a3"/>
              <w:ind w:left="720"/>
              <w:rPr>
                <w:lang w:val="pl-PL" w:eastAsia="ko-KR"/>
              </w:rPr>
            </w:pPr>
            <w:r w:rsidRPr="008F328C">
              <w:rPr>
                <w:rFonts w:eastAsia="Times New Roman"/>
                <w:lang w:val="pl-PL" w:eastAsia="ko-KR"/>
              </w:rPr>
              <w:t>- wacik lub gazik bawełniany</w:t>
            </w:r>
          </w:p>
          <w:p w14:paraId="097474B6" w14:textId="77777777" w:rsidR="0059538A" w:rsidRPr="008F328C" w:rsidRDefault="0059538A" w:rsidP="00ED6A7B">
            <w:pPr>
              <w:pStyle w:val="a3"/>
              <w:ind w:left="720"/>
              <w:rPr>
                <w:lang w:val="pl-PL" w:eastAsia="ko-KR"/>
              </w:rPr>
            </w:pPr>
            <w:r w:rsidRPr="008F328C">
              <w:rPr>
                <w:rFonts w:eastAsia="Times New Roman"/>
                <w:lang w:val="pl-PL" w:eastAsia="ko-KR"/>
              </w:rPr>
              <w:t>- plaster samoprzylepny</w:t>
            </w:r>
          </w:p>
          <w:p w14:paraId="53AE18A6" w14:textId="77777777" w:rsidR="0059538A" w:rsidRPr="008F328C" w:rsidRDefault="0059538A" w:rsidP="00ED6A7B">
            <w:pPr>
              <w:pStyle w:val="a3"/>
              <w:ind w:left="720"/>
              <w:rPr>
                <w:lang w:val="pl-PL" w:eastAsia="ko-KR"/>
              </w:rPr>
            </w:pPr>
            <w:r w:rsidRPr="008F328C">
              <w:rPr>
                <w:rFonts w:eastAsia="Times New Roman"/>
                <w:lang w:val="pl-PL" w:eastAsia="ko-KR"/>
              </w:rPr>
              <w:t>- pojemnik na odpady ostre</w:t>
            </w:r>
          </w:p>
          <w:p w14:paraId="58F46A6D" w14:textId="77777777" w:rsidR="0059538A" w:rsidRPr="008F328C" w:rsidRDefault="0059538A" w:rsidP="00ED6A7B">
            <w:pPr>
              <w:ind w:left="224" w:right="1248"/>
              <w:rPr>
                <w:rFonts w:ascii="Times New Roman" w:eastAsia="Times New Roman" w:hAnsi="Times New Roman" w:cs="Times New Roman"/>
                <w:b/>
                <w:bCs/>
                <w:spacing w:val="-1"/>
                <w:lang w:val="pl-PL"/>
              </w:rPr>
            </w:pPr>
          </w:p>
        </w:tc>
      </w:tr>
      <w:tr w:rsidR="0059538A" w:rsidRPr="00A5286D" w14:paraId="2662B0BC" w14:textId="77777777" w:rsidTr="00ED6A7B">
        <w:trPr>
          <w:trHeight w:val="3969"/>
        </w:trPr>
        <w:tc>
          <w:tcPr>
            <w:tcW w:w="9634" w:type="dxa"/>
          </w:tcPr>
          <w:p w14:paraId="2A4DE230" w14:textId="77777777" w:rsidR="0059538A" w:rsidRPr="008F328C" w:rsidRDefault="0059538A" w:rsidP="00ED6A7B">
            <w:pPr>
              <w:ind w:left="224" w:right="1248"/>
              <w:rPr>
                <w:rFonts w:ascii="Times New Roman" w:hAnsi="Times New Roman" w:cs="Times New Roman"/>
                <w:lang w:val="pl-PL"/>
              </w:rPr>
            </w:pPr>
          </w:p>
          <w:p w14:paraId="08EB1971" w14:textId="6D0B0B1D" w:rsidR="0059538A" w:rsidRPr="008F328C" w:rsidRDefault="0059538A" w:rsidP="00ED6A7B">
            <w:pPr>
              <w:pStyle w:val="a3"/>
              <w:rPr>
                <w:lang w:val="pl-PL"/>
              </w:rPr>
            </w:pPr>
            <w:r w:rsidRPr="008F328C">
              <w:rPr>
                <w:noProof/>
                <w:lang w:eastAsia="ko-KR"/>
              </w:rPr>
              <mc:AlternateContent>
                <mc:Choice Requires="wpg">
                  <w:drawing>
                    <wp:anchor distT="0" distB="0" distL="114300" distR="114300" simplePos="0" relativeHeight="251658376" behindDoc="0" locked="0" layoutInCell="1" allowOverlap="1" wp14:anchorId="337F5FD5" wp14:editId="3A94F08D">
                      <wp:simplePos x="0" y="0"/>
                      <wp:positionH relativeFrom="column">
                        <wp:posOffset>-1905</wp:posOffset>
                      </wp:positionH>
                      <wp:positionV relativeFrom="paragraph">
                        <wp:posOffset>635</wp:posOffset>
                      </wp:positionV>
                      <wp:extent cx="1659255" cy="2203450"/>
                      <wp:effectExtent l="0" t="0" r="0" b="6350"/>
                      <wp:wrapSquare wrapText="bothSides"/>
                      <wp:docPr id="3986" name="그룹 3986"/>
                      <wp:cNvGraphicFramePr/>
                      <a:graphic xmlns:a="http://schemas.openxmlformats.org/drawingml/2006/main">
                        <a:graphicData uri="http://schemas.microsoft.com/office/word/2010/wordprocessingGroup">
                          <wpg:wgp>
                            <wpg:cNvGrpSpPr/>
                            <wpg:grpSpPr>
                              <a:xfrm>
                                <a:off x="0" y="0"/>
                                <a:ext cx="1659255" cy="2200969"/>
                                <a:chOff x="0" y="2481"/>
                                <a:chExt cx="1659790" cy="2200969"/>
                              </a:xfrm>
                            </wpg:grpSpPr>
                            <pic:pic xmlns:pic="http://schemas.openxmlformats.org/drawingml/2006/picture">
                              <pic:nvPicPr>
                                <pic:cNvPr id="3987" name="그림 3987"/>
                                <pic:cNvPicPr>
                                  <a:picLocks noChangeAspect="1"/>
                                </pic:cNvPicPr>
                              </pic:nvPicPr>
                              <pic:blipFill>
                                <a:blip r:embed="rId161" cstate="print">
                                  <a:extLst>
                                    <a:ext uri="{28A0092B-C50C-407E-A947-70E740481C1C}">
                                      <a14:useLocalDpi xmlns:a14="http://schemas.microsoft.com/office/drawing/2010/main" val="0"/>
                                    </a:ext>
                                  </a:extLst>
                                </a:blip>
                                <a:srcRect/>
                                <a:stretch/>
                              </pic:blipFill>
                              <pic:spPr bwMode="auto">
                                <a:xfrm>
                                  <a:off x="0" y="2481"/>
                                  <a:ext cx="1658620" cy="2039102"/>
                                </a:xfrm>
                                <a:prstGeom prst="rect">
                                  <a:avLst/>
                                </a:prstGeom>
                                <a:noFill/>
                                <a:ln>
                                  <a:noFill/>
                                </a:ln>
                              </pic:spPr>
                            </pic:pic>
                            <wps:wsp>
                              <wps:cNvPr id="3988" name="Text Box 3988"/>
                              <wps:cNvSpPr txBox="1"/>
                              <wps:spPr>
                                <a:xfrm>
                                  <a:off x="939800" y="2057400"/>
                                  <a:ext cx="719990" cy="146050"/>
                                </a:xfrm>
                                <a:prstGeom prst="rect">
                                  <a:avLst/>
                                </a:prstGeom>
                                <a:solidFill>
                                  <a:prstClr val="white"/>
                                </a:solidFill>
                                <a:ln>
                                  <a:noFill/>
                                </a:ln>
                              </wps:spPr>
                              <wps:txbx>
                                <w:txbxContent>
                                  <w:p w14:paraId="18CB209F"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7F5FD5" id="그룹 3986" o:spid="_x0000_s1359" style="position:absolute;margin-left:-.15pt;margin-top:.05pt;width:130.65pt;height:173.5pt;z-index:251658376;mso-position-horizontal-relative:text;mso-position-vertical-relative:text" coordorigin=",24" coordsize="16597,2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8ijAMAABMIAAAOAAAAZHJzL2Uyb0RvYy54bWycVc1u4zYQvhfoOxC8&#10;b2R54x8ZcRZu0gQLpLtGk2LPNEVZxEokS9KWsg/UV2gPfaL2JfqRkuLYSdHtHiwPh8PhzDffcC7e&#10;tXVF9sI6qdWSpmcjSoTiOpdqu6S/PNy8mVPiPFM5q7QSS/ooHH13+f13F41ZiLEudZULS+BEuUVj&#10;lrT03iySxPFS1MydaSMUNgtta+axtNskt6yB97pKxqPRNGm0zY3VXDgH7XW3SS+j/6IQ3H8sCic8&#10;qZYUsfn4tfG7Cd/k8oIttpaZUvI+DPYNUdRMKlz65OqaeUZ2Vr5wVUtutdOFP+O6TnRRSC5iDsgm&#10;HZ1kc2v1zsRctotma55gArQnOH2zW/5hf2vNvVlbINGYLbCIq5BLW9g6/CNK0kbIHp8gE60nHMp0&#10;OsnGkwklHHtjVCSbZh2ovATyh3Pj83k6bPz47PAsQ1lODifD3clRREbyBX49DJBewPDfdMEpv7OC&#10;9k7qr/JRM/t5Z96gYoZ5uZGV9I+RfahNCErt15KvbbcAomtLZL6kb7P5jBLFavD+r9//+Pu3P0lU&#10;AelwKhh2x1hI607zz44ofVUytRUrZ8Bd4BswS47N4/Lozk0lzY2sqlCtIPfZgecnPHkFoI6D15rv&#10;aqF811RWVEhUK1dK4yixC1FvBDKy7/MU1UJDe+RkrFS+q6mz/GfEG7vJeSs8L4e4D7GFLByYRjbN&#10;TzqHA7bzOnbNq0w7MOYZ2ebT8cCX0dssHY0jPgNfAKR1/lbomgQBASOoeAPb37kQHqg1mASwlA6w&#10;xbArdaSAYdBErEPQvYgcQp/gsXIDyli9wPl/9eN9yYxAlMHtEXvwdnbseQgI/KDbwJ95yLg3DX1L&#10;fIudnilB30V7gKRv3wxnR8Au9OloMjuHHPMewJ2lWTb0Yno+HU3i/lMrHnD7SmidrmQ+kDJgflVZ&#10;smd4h5tSetHX7cjqX0pwSCpIvt20sb3SWSx+0G10/ggkrEbJkaIz/Ebixjvm/JpZPOhQYkj5j/gU&#10;lW6WVPcSJaW2X17TB3vUFbuUNBgQS+p+3bHwdFTvFSoOl34Q7CBsBkHt6iuNXNEuiCaKOGB9NYiF&#10;1fUnzK5VuAVbTHHctaR+EK98N6Yw+7hYraJR9wLdqXuDdyuNxA7IPrSfmDV9XTwK+kEPnGKLE+Z3&#10;toHqzqzQfzcytsUBRRA9LMDvKMXJA+lotD1fR6vDLL/8BwAA//8DAFBLAwQKAAAAAAAAACEANeE0&#10;uZNbAACTWwAAFAAAAGRycy9tZWRpYS9pbWFnZTEucG5niVBORw0KGgoAAAANSUhEUgAAAY8AAAHr&#10;CAIAAAC4nYb8AAAAAXNSR0IArs4c6QAAAARnQU1BAACxjwv8YQUAAAAJcEhZcwAAIdUAACHVAQSc&#10;tJ0AAFsoSURBVHhe7b2HWxTNurd7/oez9tlrr+9be0nOOecoQcUAqICAiqICIjlLjmIOmDFhzjlj&#10;AEHFnDNmAQUUUMm+54Eqh3l7AsMwg9PMc1+/i4vpqa7peE91T3f1//MXgiAIG+ixlc/EifbWNhgM&#10;BiOb6bOVnZW10n9GYDAYjGyGaSvyGkEQRHbQUlNHWyEIwgLQVgiCsAO0FYIg7ABthSAIO0BbIQjC&#10;DtBWCIKwA7QVgiDsAG2FIAg7QFshCMIO0FYIgrADtBWCIOwAbYUgCDtAWyEIwg7QVgiCsAO0FYIg&#10;7ABthSAIO0BbIQjCDtBWCIKwA7QVgiDsAG2FIAg7QFshCMIO0FYIgrADtBWCIOwAbYUgCDtAWyEI&#10;wg7QVgiCsAO0FYIg7ABthSAIO0BbIQjCDtBWCIKwA7QVgiDsAG2FIAg7QFshCMIO0FYIgrADtBWC&#10;IOwAbYUgCDtAWyEIwg7QVgiCsAO0FYIg7ABthSAIO0BbIQjCDtBWCIKwA7QVgiDsAG2FIAg7QFsh&#10;CMIO0FYIgrADtBWCIOwAbYUgCDtAWyEIwg7QVgiCsAO0FYIg7ABthSAIO0BbIQjCDtBWCIKwA7QV&#10;giDsAG2FIAg7QFshCMIO0FYIgrADtBWCIOwAbYUgCDtAWyEIwg7QVgiCsAO0FYIg7ABthSAIO0Bb&#10;IQjCDtBWCIKwA7QVgiDsAG2FIAg7QFshCMIO0FYIgrADtBWCIOwAbYUgCDtAWyEIwg7QVgiCsAO0&#10;FYIg7ABthSAIO0BbIQjCDtBWCIKwA7QVgiDsAG2FIAg7QFshCMIO0FYIgrADtBWCIOwAbYUgCDtA&#10;WyEIwg7QVgiCsAO0FYIg7ABthSAIO0BbIQjCDtBWCIKwA7QVgiDsAG2FIAg7QFshCMIO0FYIgrAD&#10;tBWCIOwAbYUgCDtAWyEIwg7QVgiCsAO0FYIg7ABthSAIO0BbIQjCDtBWCIKwA7QVgiDsAG2FIAg7&#10;QFshCMIO0FZM6j5/fv3m7bXrN8rKK/jm2vWq6tdv6uo+0xEQBBkS5NdWnZ2dTU1NNTU1Dx483Fi8&#10;JTUtc/wET5j3AcXNzT0kNGxD8ear165BVV+/fm1vb6cfgCCIRJE7W4FNqm7cWr58pe+kyc6OTnra&#10;Ohz1DDJ62rr2tnaTvLwXLCgsv1KJ2kIQySIXtvr169eX+vry8itpaZm21jYcvzCirqKhpa6nrWms&#10;oWGmrm6uoGb5v6pWvFHXMIdoaRpraxpqqGowKuHE1MQsJjr28uXLn2pq6HQgCDIIhr+t6urq0tMz&#10;TAyN1JVVOCrhREtD19Z+spnNjH+bRv63afw/zRP/aZ783+bzIf8wS/1/zdJ4Q979p3lKT0mz+P8x&#10;jjSxmW1jN8lQ35xROURZQdFI32D2nNDq12/oBCEIIhbD2VbXr1eFz51noKvHcQdEXVldX89OUddD&#10;yyZEzToe7PNP81Rl63h16yhVqzn/MZjyL20vLX0PHYMxuoajjYycuWNo5ArDIYq646GYqsUsNeu5&#10;atYxClZJRGTwj7btXCW98bp6DtBS4/5cDVW1mTNmni+90NraRqcPQZCBMAxt1XPc96U+IjKaY4qe&#10;jFDQUNO1dQz+X8tkaDT9wzRF2zra3mmqicnfDgyVRygoj1BU6omS4n/4ZYQSvAXpLabAGRHcZGs3&#10;wdJ+zr/NE/9hRtplqVaOs7U0DHpKcn3ERO9JdXWfYSLp5CIIIhrDzVadnZ0b1m+ws7bl2EFdRd3A&#10;ZIKy5VxFq0Q92xBVXTddHUtOw0dX29DU1E3d0Pt/dP3+1yhIyXKusnW0olXCfyyT+B4J/tN8/gjL&#10;JCigbB2paB7yb8Np/9L11TbyMjF21FKnJ+x1tIw0tOzUjDy1bGLAWUqWkVC/mnJfU8tQ36CwcCE2&#10;shBkQAwrWzU0NIbNjeBIQVVJTdvQRd069t8mcy2tvNSUes5b9VhD2UDHyM3EIfS/zeYzZDTIjLBK&#10;NHecqa5jr6qir6qkCh+npa6tbzH1X2YxipZJhuae6ipanMnzmez79t17OukIgvTH8LHV9+/fvTy9&#10;OC4wMXFQtZhnah+kpqqvoqgMQ0zNXP/HcM7/MY/5b3MJS4o3/7JI+ZdppK75NH1dE/hoNWVozFno&#10;2839t0WsgdEozkRamVs8efKMzgCCIEIZJrb6+OnT6FFjiALg0E/fZLymyRRd7R5TaGqaqRp5jbBM&#10;ZAhlyKJpG6Wg5ayhqg0TY2zsoGAaom8zU1WJHhg6Ozq9qn5NZwNBEMEME1uFhswlO7/yCCUbh+nq&#10;qj0HXDqa+upW0f8l6cM9sZL6D9Nkc6vJSv9RUBqhaGTipG8TyTl3ZmFuUd/QQOcEQRABDAdbbdhY&#10;THZ72P+trEerqWioq2iqGPn8H4sUHmv84ahYx2kauMGkamuamNpOVVHsWfqQ/LwCOjMIggiA9baq&#10;r2+w7Z1miJ6uEfzV0jJRsExmaEKmYmYfqqKkpqKobGPnQ65vgNVQ9/kLnSUEQfjBelsdPXpcRaFn&#10;h1dXUVdWUDQxdfmX+R87RSVyUtXN56gpqaoqqehq9xgWkpaeRWcJQRB+sN5Wc8Mjyd4O0dW34/GC&#10;7EbTIlRFQQWERSbe0tSspeU7nSsEQXhgva00e2eARM0qmmEEWc4/zFINLcZxJt5AV+/t23d0rhAE&#10;4YH1tuLs7SZmbgwdiBcLxzBDAwsSAyMXFYt5jAISjJJVIhwPkukHW71585bOFYIgPAwfWxnbhjFc&#10;IF6snWZz6iQxt/X7R89lED23/tGYpo6wSDKxj7RwGOyHmhjbk09BWyGIcFhvK09Pb7K3m9nNYYhA&#10;vPDaCqKnY6mk66GoOVJHx05Px0JTjd5AY2Iy2AadiclIWpWh0efP2HsyggiE9bZavmIV2dstrEAc&#10;fO5DHmg4ttI09DIwcVVR6LlrR1AGaav/MkvV1TYgVflM9qGzhCAIP1hvq5evXhnqkR1eQdlqLkMH&#10;YoRjq//R8fsvs/lqZiF6OsZkCCdGRj1LCTJIWxnZzuTUWXrhEp0lBEH4wXpbdXR0zg0NIzu8lpbF&#10;/1rSjvEGGgWrBEWrOIi1w1RSG9iKvPVP3SlkiIH9XG3bmH/23hRNhgzGVv/XPE5FiR5R+vr40flB&#10;EEQArLcV8OVLvZmJGdntNTWM/6+FOMKytByloqjaG3rox2srTmEIGTIYW+no9PWMfPXqNTozCIII&#10;YDjYCjh3vlTtd7fr0MJSth7whVeWlq5kdE6kZysVq1g1jZ7+ISDaGpolJTvobCAIIphhYivg1Olz&#10;akq0WaSmrGZgNbu39wVRz7tzbKU4osd6iv8Z8U8df/KWBG31X2ap6lazyLgQFQXF1WvWYa/HCCIK&#10;w8dWwLlz56GpwnGBhraNrm0UwxeCwrHVfxn3dOiu+B8lzluSspWaZYSWtg2nm3Y9bZ2dO3d3dnbS&#10;qUcQRCjDylbA58+fJ0+cTO5zJjE0cvmn8dz/Me+n9xjp2eqf5in/1yTMyMSFjELiNtKlohLPVSHI&#10;ABhutgKam1t27dqjo9HXA7qygpKKip6xjf//J7hnPmnY6t+WSWZ2fioqBpwz9xB1FdVFi5Y2NDbS&#10;yUUQRDSGoa0I7959yMvNs7Kw5GgCAkdhhkZO/9HzUbII+7fF3/rAkpSt/tcyWck89D/6PsbGToxn&#10;c+loas2ZNfvhw8d0EhEEGQjD1lbAr1+/Ojo6li1fyfEFVxSU/qOorWVo5+CnZ9vzDNRB2srYIdLO&#10;3ltdTbvnWYQ9lZNPoVFTVkmZn97Y+LW7u5tOHIIgA2Q424pDfX3D8eMn4+MSLMwsOAbhjoqCkvLv&#10;U10DspW6irqGqiavnkh0tbRnzZqzb9/+Dx8+0klBEERc5MJW3JRevDx7doiFqZmelo4y18OWORmQ&#10;rRhRUVCEwz1zY5NA/8BDh4+1trbST0UQZNDIna0AOEL89q3p2fMXZWVlRUWrQ8PCnZ1oRwgQMWxl&#10;Y2UzfXrQqlWrz5w5+/jxk4YGPIOOIJJHHm3FF18/f6KeAdlqyhR//HUPQYYGtBVFPFsFB8+m4yMI&#10;ImXQVhS0FYLIOGgrCtoKQWQctBUFbYUgMg7aioK2QhAZB21FQVshiIyDtqKgrRBExkFbUdBWCCLj&#10;oK0oaCsEkXHQVhS0FYLIOGgrCtoKQWQctBUFbYUgMg7aioK2QhAZB21FQVshiIyDtqKgrRBExkFb&#10;UdBWCCLjoK0oaCsEkXHQVhS0FYLIOGgrCtoKQWQctBUFbYUgMg7aioK2QhAZB21FQVshQvj161dn&#10;Lx0dHW39QUp2dXXRkREJIb+2gs2uuvr1w4ePz5wrPXHytJ2tHRHQgGzl6uIGo0Pu3L3/4sWrHz9+&#10;0toRllP9+g2s1n37Dqxdtz4xPiEiPDzQPyBgSsDkiZNGu48WHigGCZo2PToiMisza/2GjceOn6io&#10;vPbm7TtaOyIWw9BWP3/+bGpqrq2t+1RT+7KXe3fv3r5169ChI0uXroiMivHymmhsYEh0wxtVI+Im&#10;RQOLqSTaem7kLc4QddMZZAhvVBWVoP6YmPgFhYv27t136+bNu3fukMmA6YE0N7cAdFqRP83P1ta6&#10;us+wdi5dvLRxY/HcufPc3NyV+D3EWyLRUtecMMErKWn+9pIdN27chO/LhsbGjo5OOjWIUFhvq2fP&#10;X1wuq9i9Z392dm5cXILHqNEuTs6OdvaWZubmpmZ62joQFUUlzuYy9FEeoUAmA6YH4mTvAIHpnDcv&#10;MiMzG6YcvnVfVVfT+UGGhK9fv+0/cDg2Ng62FktzC1g7jLU2BFFRUDTQ1bO1thk3xiM9I+vipTI6&#10;cYgAWGCrtrZ2+Pa7/+Dh5ctlBw8cXLxocXR0bGDAVHc3d1UlZc66Fz0aquoWZuZurm6jR42ZPGmy&#10;n69f8IyZIbPn5BcUgj6OnTh1rvQi5HL5FfhQ7lwqKydvQTIysqD1FBUZBeMG+AdAPR5jPKBOqFlX&#10;S5xNH6TmYO/gM9kXLLawcNG+PXsvXLx47/6DDx8/tba20WWBiAsc+D96/OTI4SPJSSmw5TAWvoxE&#10;TUl58mTfBQsKL1y4+BYPG3mQUVt1d3dDi2Pp8pWBU6drqqqpK6vAERZ8F3HWq+jx8wezTZ+fnlmw&#10;cPHO3XvLyq/cvHX71u07d+7eg9y9d//u/QcMKw004BSoh1QINUP9V69e27f/4OKly7Ny82cEz/b1&#10;naKrpc2YsH6jrKAIcw3zDktgso9fbn4hKLSpuZkuI0Q03r1/D99DsAzhuw2+EhgLWTYDq15NWQWa&#10;XcWbt7a0fKdzIvfIhK0aG79eLruyZeu25KRkaFw4OjhyVpuQWFlajxnj4ec3JSxsbkJ8YlZG5sbi&#10;zbt27zl05Cjs1bwtoz8eMFpZecWFS2UwhXv27d+wcVNuTu785Pnh4REB/oETxnvaWNsw5pFvoBgs&#10;pbjYuPXrN1y6XPbpUw1djshvWr5/v3DhUlpqmsdoD8bSY13As1P8phTkF1y7fqOzU67PcP0BW/36&#10;9au1tbWhoeH27TvQ+hg7bgJnxfBGTUlFR0PTUE/f1Mh4lNuoxOT5RWs3HDp6/ObtOwwXDI9A6+z4&#10;qdNrN2xMS8/09p5kZmwC866rqaWuospYMtxxcnSCw9LKq9e+fPny48cPWMJ0WcsZMO/Pn78oWLBI&#10;X0eXsYgGH001dYieto6Bjh6JiaERrCASI30DznAdTS0oKXyViRcXZ5dt23bU1NS0d3TQeZYnhtpW&#10;50svZmfnjB87zsLUHJq7nNXAHW1N7Ynek+PiEpcsXbZ7z96Tp06XV1QOVz0JD8ir7ErF6TPn9h84&#10;uGpVUXJKmp+fv5GBEWOJcQL7z5hRoxMTk06cPC1XZ7ugeV5UtMZj9BgwBWOZiBcbK5ugoBkJCUmr&#10;V689efzEpYsX7969B7x8+er16zcknz9/gc8l+fjxE2f4k6dPoeTNmzcvlJbu2rlrddGa6OjYSZMm&#10;6wz8bADfmBqZBEwJOHLsRFtbO51/+WDobHXv3v1xY8dzljgn0HqyMrcc7T4qbG74ytVroGXB2GMx&#10;jIDCzp4vXbehODYuHvZPGytrTTUNxlKF2NnaX7p8eXi3s9rbO+4/eJCVlaOjIb6kQPEuTiP9Jvuk&#10;paXv3XcAFm97u7QsAIKrqLy2eeu2sNCwiZ7e9rZ2uoP4OdLW2nbd2vWvXsnLD8pDZKuqqluMH4k1&#10;VFSnTgtavWbdufOlcAhz6/Zdxj6J6Tf37j+4fefu1WvXL1y8BPIKDQvX19XjXsha6hqwYOk6GHaU&#10;XrgIX3Iwj9yzLHpcRrouWbL81q3bnz9/bm5uHuJTQvAtAk78+vUbHNadOXsuKTnVxNCYMYUiBg57&#10;YdVXv35Dqx6+DIWtmpqaoAlAlqylmXlK8vwdu/Zcv3GTse9hBh9YqvsOHEqdn+Y60pUscNiZh9l2&#10;3NDQuHfv3im+9AYD0aOrpT1p4qTM9IzjJ06+ffeeViczdHR0PHj4aNfuPbHRsWNGj1Eb4NU5mqpq&#10;YaFzL1263NY2bM8ADIWtTp06TRaoioLimXOljB0MI41cqag0NzEji33J4qV0TbCczs6uk6fODLQN&#10;oqqo5OTovGffwe/f2XQpwIePn/IKFhoZGg30wp2xHmNfVb/u7u6mFQ0jhsJWM2fOhjpho9mytYSx&#10;U2GklyPHjpPN19fHj64J1tLa1rZ33/6xA7kcAdoas4Ln7Nix49mzF+3tbP0FreX796qqG0VFq8cL&#10;/emcEdjXpgVOvXnz9jBz1lDYytLCEuo0MTKuqLzK2KMwUo2zswsseVcXV7omWAgc19y/f3/c2HEw&#10;I6IEJOVga5efX/jh40daxXDh2vUbYaFhlmYWIt5JBs6Kiop99eoVHZ/9DIWtyLJDWw192G6rV6+q&#10;g6bP0OL3iydvVJWUw8LCr1+v+vatiY4/7Ojq6q6r+3zq1GkvT2/G7AuKsYFRXl5BfUMjrYLNoK2G&#10;c9hrq8+fv2xYv8FQT59sPMJjZ22blZ3z4uXwaUT0S2dn16XL5RHhEUaCexPhjrOj04kTJ3/+bKXj&#10;sxO01XAOS21VUXnNzoZ2NyY8yiMUDh46LLeX73d1dX1rasrMymEsFr5RUVD09w/48OEDHZmFoK2G&#10;c1hnq4+fPiUnJYvStYa7q3vxxuJhfNA3IJ49f5GdlW1mYspYSrwxMTTasnUbS5fbH7DV3fsPenop&#10;uHYdXpaVlUMqr16Dl9eu37hx8xbpHYF7l8MwAovn1p27sKyuXa+C5QZLr6z8CizGK7BAYSHevAUF&#10;SEkW2aqzs/P27TumRv1fnaCvo7t1Wwn2YMdLfX1DXHyitgiXy44bO/7bt2+s+8Vw6GwF4ocW/rbt&#10;O30mTXYZ6WJqbKKnTW89NdQzgJeW5pZODk6j3Ud7e3oFTPEvWLAQCp+7cImzl8pzLpaV79q7f0Hh&#10;ouCZwZO8J3qM9oBlZWFmDsut58xFb0co2ppa8NLZ0Wmil/fqNevB+8RWxoZGdE3IKt+//4iNjVNT&#10;ViHbg6DA/K5Zvba2to6OhvDj6bNniQnJmr07tpCYGpmsWbOWjsMShsJW5EZTXS1tD49xygqKlmYW&#10;o93cU1LTV61eu25DMUlmVm7y/NTJEyeNcnN3sne0srDk3ERiqG8QPGtOXsGCffv2nyu9AG0Hxp48&#10;/AJNpwuXLu/bf2DRkqXBwbPNzczJojDQ04c91tHOYbT7KO8JXrDE0jOyOcsQkpae6TF6DCw9VUUl&#10;Vxc3ciGllYUVXRMyCbQH7WztyQwKio6GVnh4hAxegC6bQKOpvKISvvX7vdYhJCTs/XvWLNWhsFVE&#10;ZAxn6SxbsRIOWIQc68FbVTduXqm8Wnrh0qFDR5atWDUnJMxAzwDGhT3QQFfPytwyJDRs9779jBGH&#10;Rw4ePhoTn2hjaWWkb0BO30CLaeq0oIWLlx04cPDCxUvlVyqvV90QsgDhDTgi3LxlK+fGzMDAqXRN&#10;yBhw9LdixSpdzX56Jhg9esy9u/fkvGsnMfj+48ex4yeF9NhBYm5iWl5eQceRbYbCVhUVlRqqalAt&#10;NPX37jvA2LtETOnFyxs3b4mMiPSc4GVu2nNPiamxaVDQzKKi1Wy/m+fipbKNGzeFhs61tbaF+YIj&#10;u/HjxoeFhBWtWdf7NB1xzuIdOXbczNgEaoMUF2+ia0KW+PjxU8S8COGdeVpbWq1YvuLnT3ySkPi8&#10;//Axcl6E8I504LgHjgqbm2X94SZDYasfP36M/X1XMyQuIelymZgde8KOS3Lg0OHZc8I4dXqMGctG&#10;Z5VdqfDz8yd7LPz18ZmyY9fe23fvwQwySoqeW7fvZuXmc5YM5Et9PV0TMkNNTa1tfx2ljh7tUVtb&#10;J7c9C0oQWIZXKq7220NhUNAMOoKsMhS2Al69qnZxGslZLhAbK5vRo0b7TPYN8A8MD5ublZWzZNny&#10;nbv3Hj5y7OLlMsYeKCiVV69t37ErMiKKnNnx8vQqXLQYjtgZxWQtcKS2dNmKSRMnqyurGOoZhIWF&#10;FxdvvnS5nFFMUC6VlR89fhKWFSyxvLwCWHrTp0339fH1GOPBeSoiiaWZxfMXL+k6kBkOHTps+rvd&#10;xzfGhsYlJdvlras5aVNbV5eWlq4htEfTcR5jHz16TEeQPYbIVgB8T/r4+JLPEyX29g6+fv7QEFux&#10;cvXxEyfPl14kp2yg6cHYeyHXb9zMzV8Axz7kd6Xg2SHrNhSfL70AOoNUXL124eKl5JQ0B3va47uj&#10;g2N8YtLuvfvKyq9cvV516474vWvdun0Hpgpai4ePHIU6x433JB9hYW4Zn5h87nwpfHrPNFRehWnY&#10;WrIjePYceFdVUcnE0CgmNh4+nVEhBGax6sat8isVMMqpU6dXrV6bkJQybfqMseP4dGfIN7BRjnYf&#10;9ULG7hFra2vbtHkbY1K5Aw3McWPHffj4iY6ASJrSCxc5nXPwDRwzVlXdkM2LG4bOVkBrzx2qD5Ys&#10;XQ6HP6YiXMnGHW1NLXNTM0f7np/D4uITi9asO3nmHGMnr7x2fc+efTGxcfDlDKNoqWvYWFrbWFlb&#10;W1rpauuoKir7+PqFzZ0Hmezrp6WuCWVMjIztbOxGubpNGDvOd7Lv/NR00eM/JQDGcnd1c7CzB/Uo&#10;/UdBXUV18mT6EVOnBWmoqsM0wKfDNFhZWJJeIo30DWbPCd26tQTagNxHfGCocxcuFa1dF5+QCAfO&#10;zo5OsFUN9Dl3etq6Xl7eObl5d27fkbXbLH7+/JkQnyik/xP4plm1qggf6iNt4MsgeGYwY+FzR1dT&#10;q2THTlpalhhSWzFoaPz68NGTEydP79q1Z+XKotjo6BnTpk/ynjhm1OiRTs7CDxZIwDWBgdMKChbs&#10;3bf/4qUy2OHJnn/7zt1DR44tXrYiMjLad7JPgN+UrOzcU6fPctQAgTZRyc7dID4oMHaMh7Ojs4O9&#10;AwQ+V3h3lJpq6saGRqSwk6MTjAvTDPVsKN58reoG90dcuHh5QeHiGdNnwEeEhoQVFC7cs+8A5woM&#10;mNqyKxX7DxwsKCgMDp5tY9Nzil1IVBSVYNocbO3BjxO9vIOmTpsTPAuW267de46fPP302fO6us90&#10;ycoe9fUNM2YI20PsrG1gBdHSiJRpb+9YtHiJ8KfGFRWt7pCxZ1X8SVvxAu3P9vb2Hz9+trS0NDY2&#10;1tTUXLp0efuOXfNTMzw8hPUZoq6soqel7e7qvr54sxgXZIHdqm7egsPJS5fLZ80JJVep6Onqj3Tx&#10;nOA5x9MrFOLk4Kaj2dPSgdZB8Kw5p86chfJVN27CuAM9KQ4j7Ny9x9t7kr62rvAno4yf4Jmalrl2&#10;7QZYDrW1tbBMoOnx/fuPtrZ2Fl2IXFtb52BrJ+TnP1i5r98M/456ZYpfv35VVd0U8mALVSXl0LBw&#10;6XVRLwayZSvhdHV1Vb9+c7msfOvWbelp6QH+gVYWVpyFy4mpsWlISBjoYEC//UPRZctWkCMvKwvr&#10;SQEF3tPWeE1bz8nUWXle09b5Bi2ytfcGYUELKyMrh9OaEyVQ+PDR41FR0RZmFtwTTGJmbAqHookJ&#10;idu2lZw/f+H5i5fD45f7z5+/eI4X1pNcVmYWfD/R0sjQ8uLlyyl+AvuMhi+YtLT0Fpnpc5VNtuLL&#10;s+cvFy9Z7uTorKmqxvj29vT0ulRWLmLDp/LqNWtLKyMDq4lTVwTOyuf2FEmvrej/3tNWu7p6K41Q&#10;OHHqDKMevoFpuFJ5dfbsEO7Jg0DDytLcIjMrB5podH6GF4+fPGXMMndg9qHhTIsif46wsHAhLV8v&#10;T69m2TiZyHpbEaC9+qr69cEDB+fOncd9h5Sutk5qahrDHXxz4OBhVUUlz0nxIKN+bQWZ4JsF9Rcs&#10;KGTUwxs4VCxcuNhIv+dyfBLYMqZNDSop2Q478zDu8x/m3U7wyThTE9OzZ891dnXR0sifo7mlZf36&#10;DYLu04TNdWrg1AYZ6M9vmNiKm7dv34Ghen+ko4s7IHBaKc/d0RcvlR08eAjaZUEzguEojJScPLUQ&#10;TCSKrSYGLCCjgBxnzJyVX1B44MCh0gsXGZ9ypaJybvg8UhJiZGAYERH56PETOq3Dl4ePHhsL7ijO&#10;ytzyzp1h++gwlrKtZDv5oZxvpk2d9scvdh+GtgK6u7vfv38/LzyCs6zJxU0XLl3meASGkF/T9bR1&#10;Q0LCNm3ekpSUTM5ViWIrr6lrgoMjN27cFB0TT+4EUlFUMtQ34NRfcfVaekaWhakZp409NXDaq1fV&#10;8nC/W01NLee+H96MdHT+9AmvqJI5YK+Br1tBl7zDZuw5fsKfPek+PG1F6OjoLFq9BgzCWeKQcWPH&#10;x8TELSxcCP872Du+rK7m3NuxZg01kUi2mrY+ITG3sfErGff9hw9TpwVBnUsWL0lMSPb2msj9PDgN&#10;FdX8ggXD+KCPm0+fasZ5jOXMOyMTxk348GG4Pd9hOFFeXmH5u88P3qSnZ/zBBwgNZ1sRnj59NnHi&#10;ZM7iZoQW6mUwtgJMBBz4jHQeCU0tFl1wMBi+fvtGWpp84zF6TEuLrN86i9y9e0/QJYfQwgqbO+9P&#10;XYc1/G0FwMItK7+SNj/NzcWNs9xJaIleBmkr47834pydnGNjYs+dL21pYdNDNwdDa2tryJxQ7oXA&#10;HV8fX7ylhi1cv15l1ftgPd6oKav8qW785MJW3NTU1B4+epyzJujQXiRiK3VllQ3Fm+Ww3zj4SkhO&#10;nk+WKm9cnV1ksCsIRAjXrl3X1hB40n3/gUNDf7ggd7YC2traRruPJgudDupFIraCFfxC9ro9GAJW&#10;r14r6B5APx+/us9faDmEPdy7d99CwHG9ga7erdt3aLmhAm3VB9pKPOA79uiRY2R58gaasR8/1tCi&#10;CNsoL7+iI6BzVx1NrZdD+wxHtFUfaCvxePr0maBLqxztHb58wQNAdnPu3HlNAY/Lnug9kRYaEuTR&#10;Vq2tra4jXcnipoN6QVuJwfPnL4y5LsTlDgy/eu0aLYewlq6urg0birmvyOHO3NBw2KFoUSkjj7b6&#10;8eOHxe8rSuigXtBWAwW240nek8iSZERdWeXe3Xu0HMJ+li9fwVjFnGwv2U4LSRm0VR9oq4GSnJRC&#10;FiNvNm3ajPcADieam1sE9VBmqKdfdeMmLSdN0FZ9oK0GxMGDh8gy5E1aWgYthAwvvL28GeuaxNrC&#10;sq5O6k+lRVv1gbYSnS/19dz3jXMHhn/G6xWGKQ8fPRbUgV9cXAItJDXQVn2grUTk27emkc5/e4IR&#10;J8b6hvfuP6TlkOHIxUuXtTX4P51wx45dUn2iGtqqD7SViOTl0d5yeLN16zZaCBmmdHd3Z2T2dO7G&#10;Gxsra9i5aDkpgLbqA23VL7ClHjhwkNMHDiNxsfH4/Hd54Pv3H4EBgYy1TzJzRrD0LmhAW/WBtuqX&#10;mppazqJjZJSbOz4CXn6ofv2Guztc7uw/cJAWkjRoqz7QVsL5+vUb56paRlSVlO/exb5A5QhoZR86&#10;dISxGZD0Hg9K5XsLbdUH2ko4iQmJZKExoqqotGfPPloIkSdiY+IYGwNJaOhcafSBhbbqA20lhK1b&#10;t6sLeMrAhHHj8RhQPnnz9i1jYyBRV1atqrpBC0kOtFUfaCtBVFZeFXSbmJmxyfsPH2g5RP44e66U&#10;+ylTnHh7ef+Q9HcY2qoPtBVfWlpanBydyOLizdYtW2k5RC7p6uoKmjadsVWQbJb0toG26gNtxcv3&#10;Hz+CZ/K/Owzi7ub+7VsTLYrIK8+ev+DbvLK1sqmXaIexaKs+0FYMuru7N23aTBYUbzRUVD9+wm72&#10;kB42Fm/h23PsggWLaAlJgLbqA23F4PiJk3y/M0ni4+JpOUTuaWxsdLC1Y2whEE01jZcvq2mhQYO2&#10;6gNtxc37Dx/tbfhsfyR6OrrVr9/Qogjy119Hjh5TVVRibCeQ2OhYWmLQoK36QFtxaG5ucbCzJ4uI&#10;b0pKdtCiCNJLV1cX3w6wdLW0m5qaaaHBgbbqA23FITs7hywfvnGyd/j6tW/GEYRQUVHJ90qXWbND&#10;Ojsl0DUj2qoPtBXw69evw0eOk4UjKCXbsWGF8EfQc9Hv3rtPSwwCtFUfaCvg7t17hnr6ZOHwjbur&#10;+8+hemoAwjrevXuvo8mn96vCQgn8OIi26gNtBbMzZvQYsmT4RkVB8cjhI7Q0gvAjMiKKsdlADA0M&#10;m5tbaAlxQVv1Iee2amtrC54xkywWQTExNGrEM1aIUK5eq2JsNiQLFy2hJcQFbdWHnNuqpGS7Cr9f&#10;oLmzDX8KRERgKr97cazMLQb5KFy0VR/ybKuLl8qU+V2LzB1HB8cufOgWIgJPnz5T49djR+n5UlpC&#10;LOTaVhMnTqaDepFbW9XW1TnZO8LEC8+SJUvpCAgilNa2Nq8JnoztB+I/JZCWEAu0VR8SsZWGqtq9&#10;+xL4sXbIaGlp8fTk/5A47kDL68XLV3QcBOmPvfsOMDYhkhs3b9ESAwdt1YdEbKWurFJ1Q/L9kEmP&#10;BQsKYbL7zZyQuXgYiIhOc0uLlYUVYyuCJCcmdXd300IDBG3Vh7zZCjaaU6dPwzT3Gw0V1ddv3tLR&#10;EEQ0Vq9ex9iQICMdnb9/F/MpXmirPuTNVq9fvzEW8LxlRiaMHd/eLvlutpHhzZMnT3V5HuysoqBY&#10;deMmLTFA0FZ9yJWtvnypHztmHEywKFm+fAUdDUFEpq2tzWO0B2NbgsyYOZuWGCBoqz7kx1adnZ1h&#10;oWEwtSLm/YePdEwEGQgHDx1lbEsktbV1tMRAQFv1IT+2KinZrqGqBlMrSoKCZtLREGSAfP/+w9qS&#10;z7n2gwcP0xIDAW3Vh5zYqvLqNZhOEaM8QqH0wgU6JoIMnISEJMZGBYmJjqFvDwS0VR/yYCv4rnNx&#10;HgnTyRu+t86bm5h9qsHO1xHxOXnqFGOjglhZWtG3BwLaqo9hb6uWlhY/3ykwkbyBBRIXx+dRzL6T&#10;fTo6Oun4CDJwPnz8xNioSG7fuUdLiAzaqo9hb6slS5fBFPLNyVOnTYyMGQMhG4o305ERRCx+/fo1&#10;xT+QsV1BUtMyaAmRQVv1MYxt1d3dffTYcXUVVZhCRlQUlZYtX3H79l3GcIiaskpDQyOtAkHE5cLF&#10;y4xNC2KgowuNfVpCNNBWfQxjW71//8HcxBQmjzeB/oFdXV3FxZsYwyH+UwLo+AgyCODL0kjfkLF1&#10;aaiqPXz4iJYQDbRVH8PVVjCRXgLuW7a2sgaRQZnwueGMtyCrVqwiNSDIYICDQd/JvoytS3mEwtEj&#10;R2kJ0UBb9TFcbZWSPB8mjDe6WtqcG+Ld3UYx3oU4Ozl7enrzzcePeL0oIipgq8y0DMbWBUlLTacl&#10;RANt1cewtNXO3Xv5nq6CrFu/kdwN39zcosrvwUpC8rq6+v7DR1A55tq1G/fuPcDwTevvB46cOXue&#10;sQlB4DuSvCsiaKs+hp+trl67DpPEN8lJKbTQX38dO8HnihjhcXRwYgzBYMRIQ+MAfsZBW/Ux/Gxl&#10;b+cAk8QbGytr7q1k1uwQRgEMZmhyYCC34KCt+hhOtmppaZnJ7zHfECtzi5evqmm53hvl9bR1GGUw&#10;mKFJekYW3RBFAG3Vx7CxVXd3d3HxJr5PhVBRUNy7bz8t18ubt+9UeR51o6WuMWPmTO7wlsFgBh/P&#10;ceM7OkW9WQJt1cewsdWJk6e0+d30BykoKOzo+Fu/epVXryqPUGAUszS3CJ41izt8beXq4hYTGy9X&#10;mT07dPz4CRi+sbO1Y2wh/cbB1l70K5DRVn0MD1u9f//ezsYWpoQ3Af6BnN9oOBw6eIhRDGJvayfc&#10;VvARhw4P7GIZRG759etXbt6C2XPCdDSZXYka6hvAFkvL9Qfaqo9hYCuQkYOAM+sWZhZ8u0AryF/A&#10;KAkZOdJFuK0ePnhAx0eQ/vhS3zAvIjo0bB64iXsrgkC7/umTJ7Rcf6Ct+hgGtsrNyYNp4I2WukZZ&#10;WTkt9HdCQ+cyCkN8fHyF2+p1dd95egQRztaSnQmJyeHzopyd+PRWtGfPPlquP9BWfbDaVtDYPn32&#10;HEwAb+Dra1XRGlqOBzdXd0Z5yPTpQWgrRCLA7gaeSk1Ng7/Tg2Zyb0UkqWmZtGh/oK36GKStxo8b&#10;D3X+KVvdvn1HT0cXJoA3UVHRjDPr3OjwPJUEMjM4GG2FSIQHDx+Bp/JycuFvVFQM91ZEEhg4lRbt&#10;D7RVH4O01byIKKjzj9jq67dvE8ZNgE/njZmxSU1NLS3Hw9t37xnlIRqqagxVQdBWiHicOHEyIjJ6&#10;QUEB2Co5KYV7KyKxMLOgRfsDbdUHS23V1tY2Y3oQfDRvQFUfhD6u5uLlcsYoECcnZ4aqIGgrRDwK&#10;Fy7JzMwq7LVVVmYW38eXfPvWREsLBW3VB0tttX37DvhQ+GjebNtW8uvXL1qOHyU7djFGgXh7eTFU&#10;BUFbIWJQ9/nzvIiehhXHVnzvBnv+4iUdQShoqz7YaKvLZVdU/u4RTnJy80kXC0LIzMxmjAXh/UEQ&#10;grZCxODwkeOxsfGgKo6tJoznc8ri4qUyOoJQ0FZ9sM5W9fUNjgKurvLz8WtqaqblBBMTE8cYEeLv&#10;789QFQRthQyUjo6O7Jz8pOQUbltN8p7IvSGRHD12nI4jFLRVH+yyVXNzs4cH/0fDmxoZv30n0vXB&#10;Hu58OuELCAhgqAqCtkIGSm1dXXxCcnZWz0krjq2mBvB5osTWrdvoOEJBW/XBLlsVFi6Ej+ONuorq&#10;uXPnaSGhwFef20gXxuhqSsqBU6cyVAUR3VbLl6+cHRzMN5kZmW1tba+qq8nL5MQk7gbg7dt3yfBl&#10;y5bDy/b29sSERDKEk7CQkH37D5DyiIzz6NHj8Ijogvx8blvx/UVo8eIldByhoK36YIuturu7z5w5&#10;y/e3FRUFxdy8fFquP6B15mhnz6hBR0t7ehDz0lCI6LaaOo3/D5QQd1f3Hz9+Qpm4uAQyZNPvJ4B9&#10;/fbN2dEZhmiraz54+BCGtLa28n0oOWRq4LRv376REUXk27cmZ8eeHgT1tHXAmHTob1asXA1vqSur&#10;3vzd9TPQ1NS0a9fu2bNo51821jZLly5/9aq6q6uLFHjy9DkMdxnp0vi1bzMAoAC0IEY6On9rajp6&#10;9BgZnW8meXlD+VUrV8H/T589J6NzePT4CQw/c66Uvu4FKod9XlVRmfc7CTaMpctWaqqqnTt/EV56&#10;8zvmIjny9w7RYWEaGfQ85eHMWWadmzZt4R6Rk8SklPv3+7n7asfOPQmJyURVHFvBVw6jKkhKUhId&#10;Ryhoqz7YYquXL18ZGxjBZ/EmdE6o6A8r/YO2go8e2XsTBji36uZNGJKVkUnKpKdnkB8HhNiq9+r8&#10;tT0fJjLEVga6eqpKyterej6RAzTijPQMrCysuG1VU1trbWGpoqiUmpZx/979Vy9fbd223dHewVBP&#10;/+DvDuSIrSBzZs/p5Or2hNtWLS0tMC7J9d6uXAsKFnKGfPzQ8wiPAdkK+Nna6u3prael8+LVKzqo&#10;l4cPH2mpa0CDlLwEW9la23I+izuMR2NdvHQZFqmVheUoN3fGhcRgK1hHF0pLuUffsrVEV0sbJuDR&#10;46e0HD/mp2VmZWWjrQaFpGwVFZPIvdaHxlbgR0EXgjrY2r9585aWE4H6+gYbHh3A3jhj5kyGqiAD&#10;tdVo91GwnOkgfhw7doJUFRgQeP/BQ/3eC/FdR7rCVJECHFudOnWaDAGtHDlyDKYQBjo5OpGBHB4+&#10;fLhl0+bdu3bT13+H2Gr82PH62jorV/7tWT4PHjyENmlEZDS3rWYGzdTV1i0rv0JeEmpr6/x8/Az0&#10;DKpu9PiO2EpfRw8cUXqhpzlD4LYVHdRLTU0tlN+wkflA2YHaCrh95w40QuPjE+jr3oUTFDTTycGR&#10;PMQIAFs5OTqT/4WTmJCsqaaxePFScNCzv08G2Arm7vlz5rRdvlymoaJakF9AX/NQU1sHe0Rudg7D&#10;VvFx8bwPAQgPCxd+qQ0BbdXHQG0VERlDx+xlCGwF33vwNQ6fwhs4wOFspiLy6VMN70MGjfQNhsZW&#10;QOzv40ESWHQ3ei1A4LUVAM0Kz98/gdNBvyneWAwDTY1N6eu/Q2wFEklLz2A8J7F440YYcVvJdo6t&#10;zl+4BEM2bSkhBbhpaGgwMzaZ5D0R7EBstWjhIkN9A31dvbq6z6TMENgKyO/tPKO84irs58DG4s3Q&#10;CHrA9YQ+EW0F4+poahcuWko+bvXqvzVaBdnq7dt30FANDQmjr3kou1IZHRPHOWkl3Fbw3QCTQccU&#10;DNqqD9m31fbtO+ALDT6FN1u3lfR7dRUDqdoK6kmKT0hNTuHO5bK/XVbz8eMn2PM5dcbExIEC6HsC&#10;2laHDh2BnQQGek7wIgM5iGgraMfpaGpx9wA3ber0rOy8PXv3cWw1I2gmfArv6S0Ajvim+PiZmZh+&#10;/vyF2ApcU1F5FeqMiY4hx4NDYytYGpMmTjIxMn7x8iXMFDQ5c7Jz4KPp2yLbalvJDjimI70JBQZO&#10;szS3aOWacUG2OnHipJqS8oKCBfQ1D7t2742JjV+AthokLLXVlYpKqJ83yiMU4uPpqYoBIVVb8c2a&#10;tetood+sXrOOvGVqZNLU/LcLxISct1JVVIZ9jJYTDY6tYH+eMH7C6jXryfC6z5/hUK6+oYFjK7CA&#10;hamZu6s7KcDLwoWLYEd99+4dx1ZQZ1RklJqyCjlyFM9WZ86cfQ6HYVwBTfcMF2AroKrqBqyXeeER&#10;vj5+Hh7jfvzsOSfIAWxlY23DqJOElvjrr+/fvzvY2k2aOJl81V24eAkOirn7WSTnrc6d7Zu2p0+e&#10;rF9frKOlbWxgyN3BP4MNGzfFxiZwVIW2EhM22qql5TscW0H9vHF3cf3y+1zPgPjjtvr67du435eM&#10;qSgobd36tyMvIbYCO8O7tJxocNuqsHChjaUVOZ28fsPG8WPHd3Z2cWzVs3mYmI71GEtG5GXVqp4f&#10;EN+8ecOxFQwEMY1yGwUtnerXb8SzlaAIsRUoZsWKVSqKSoa6enfv3qdDfwO2YlTFCS3Rc+rtmbaG&#10;ZtHqNUQW0OS0tbaBiec0csFWjHEh2hpahQsXVVe/JmX4graSDKyzVUtLi79/AFTOG3MTM94jCBH5&#10;4+etSkq2wzc5p059Hd3nz1/Q97hs5TV+QticEJKYqOir16poiYHAbauKikpoLzx6/Pjnz59jx4zN&#10;zcmFXYVjKzias7exdXVxpWPyALucpprGhw8fuG0FXLx4CZZSQnyieLYa6JEgAZxrb2sHB7P0NRei&#10;HAkuXLQEPmLlilUn4dDuxIljR4+OdHCEbQAmlRRgHAleLiu3sbL2853y/EXfmuLL3n0H8EhQArDO&#10;VsuXrYCa+eYk1xnogfJnbfXg4SNYVlDSzsZ23fqeU06Q8PAI+raAs+xiw20rOPwx1Dfcu3fv69dv&#10;DPX0K69ehwLc563S0zNAowzXEFrb2iZ6etta2zY2fmXYCmrOyMyBBXXsxMkhsxW41XWka1hYOH3N&#10;Rb+2+v7jBxyAw0fwZsUq2n0j73krWGhw7Ow20pXv8uEAXypR0XEFeXloq0HBLludPHla0KPhFy9e&#10;yn2Zz0D5g7Zq7+gImEJbi5s3b4UtdUbQDPKyZPsOsuFKz1bwEtoUc+aEHD5yFJxCjnq4bfXhw0dj&#10;A6PgmbN+/mQeb1bduGmgozd/firUw7AVANMMh5AwrqO9g+zbat++A2pKzKtM29rb3V3djQyMvn7t&#10;uf6W11Yw4ytXFsGERcfEMS7O4ubz5y/zIqLzcnLRVoOCRbZ68/atoG+/mTOCaSFxGfrzVnraOg0N&#10;jbBdlmzfSYZMmxZExgILkI+wsbD68uULDOnXVuamPSuRIwsRfxMktnr3/j2U9J8SsGJlESnAbSug&#10;qGi18gjFvPwFMBlkR4I98+at2/ARcPRNLlbgtRUAx0rk8FbGbQWz4+83xd7Grr6BedJzU/Fm+FxQ&#10;ec//An4T9PHx7Zm2s+foa34kz0/nvToUbTUw2GIr2LG9vfifKLWxsYUGOS0nLn/KVk+ePiNPhzY1&#10;NH75su9q7I29uoGEhIRBe0eqtmptbfMY7aGrrfPi9/kXhq1gI9m8eYuhnoGbi2vonJCIueGTvCfB&#10;ZE+bOv3pU3oBN19bdXZ15eTmw3BZsJWuljZMOW+2bS1pbmo20jeMi4snC4Sbl69ewYiw1uF/Qba6&#10;feu2toami7MLfc0P+E5KTKIdMKCtxIQVturq6k5NTYcKeQP7zLXr4pxpZgBNGCtzS0blhnr6QTNm&#10;MFQFEd1W2Tl5Ez29+CbQP6CpqWnVqiLycsOGYjpOL9+/f48In0feunP3Xltb25zZc+D/q1ev0RJ/&#10;J3hmMLy7//ejp48dPQYvYbsnLxm0tPRUnp2VTXbO7u7uolVFc8Pmci6bOF96wXeSz5Mnf7uV5O27&#10;91u2lvhMnAQ1R/Gc4H/z5h33BHCADQxqjgiPaPn+nQ7qpb6+AcofPXqCvv4N1ADD37x9R1//pvr1&#10;GxjOuE+IAdgqKiKK713BKSnzYXS+Wb5sRemFi/AP99Wk3MTGxAZN72n2Hj9+Yoqv37t3zGkDli5d&#10;BjXs2SfwJvOHvT2yM+5qhpp5e2QLmT0HbcUfVthq3/5Dgi4ELVqztmuAF4LyRUr3CSIIARrvsfFJ&#10;jB5j5syaxb0hkeB9ggLhtRV839Y3NC5esjxw1lLIjJC0gOAFjMwMSe17OWsRFJsXEf3m7QfOeW4J&#10;2upG1Q2oim+4bw0bJGgrRKpA6zg9IxuaeNy2wruaBwavrXbt3huXkB0+LyE4dPmMkJUTp6/xmrZW&#10;SAKDV0Gx8IjMeVE54DhSiQRt5TrSFarijYmB4dcB9pQiBGh7j3FjPkwQWumBgYPq3wpBOOzctTch&#10;IYnbVtOnTuPekEh4b3LgC9qqBzh6T5y/lHGg15t1fjPWTJm5GuI9bR3vuzNC8m7dpr38SMRWLS0t&#10;M4P4fPlALEzFvxBUENh3KCJVXrx8RR7PxbHVVOw7dEDwPRJMSc0JjVgROm9RTFxeQmJGXHxyZFQs&#10;JDklLTU9c35qJnkZG5sE78bG5YfMWxQcujQxuVCCR4Ld3d2bN29RHqEA9TDSc/fWIdqtkgSJi09k&#10;fBBkypQpDFVB0FaIeKSmZeb0XnVFbDXRy5t7QyI5cvQYLS0UtFUPZWXl6emZ2VnZuTm5BXl5C/Lz&#10;ybcBb2A4vAtl8nJyoXx6esaxEydJJYO31ekzZ7U1NKES3uTk5HNu3ZIgpNcRRnx8fBiqgqCtEPHY&#10;vnN3bFzPDYPEVuPG8nmYwIWLl2lpoci1rcaP96yufv302bP1G4ozwFbZOSRZWdmc/wUFlnvvX/iT&#10;++DBw6dPn82c2fNjh9i2evf+vW3vwudNgH+AkIuGB8OuPfsYnwXx9PRkqAqCtkLE4/r1KvBUfl4+&#10;sZWtjS33hkTySugN0hzk2la2Nna5udBMys+BRlVObl5uXk52DlhIFFtBoDwEmmOQvNx8jzEeUKd4&#10;tmptbRsvoEdQXS1t0veQNLhxs+fibEacnUcyVAVBWyHi8ammBjyVkZFJbMXYkEia/97zsiDk2laO&#10;Dk579u4/dPjIosVLYWlCMjOzetXTf7KysqA8HAnmFRRCDfsPHPT07DkgF89WUCWMyxsdDU04SqWF&#10;pMCnTzWMT4Roa2oxVAVBWyFik56ZMz8lFWw1f34q91ZEYmJkTMv1B5636uHgocO/z0kNLAX5BcWb&#10;t5JKxDtv9evXr7LyChiRb5b2PqtKqvA9qc978w3DVs+ePhXl4mMEAa5UXI2KjgNbRUfFcG9FJJMn&#10;+9Jy/SHXtho1avS5c6VHj53ILyhMTEhKTEpJS88QPfNT0xISktIzsvfu23/s+Em/3k4FBmqre/fu&#10;a6trwIi8iY6OkdLpKm48xoxlfC5k2vTpwm1lqG+wfv1G8gAbBBFOTU1t2NyIGTNnT/bx496KSHJy&#10;BT6KgoG8n7fKzs7pOfH096O8gaaHnFxwH9Q5IFs1NTWP7T3bxRsLU7OPnz7RctIkLDSc8dEQXz8/&#10;4bYi0dfVg/YpBqKrpc1YOBgRc+DAQbot9odc28rN1f1y2RXIqqI1OWCtgSc7K3vhoiWkEj8/f6hT&#10;dFu1traGhITCKLwxNjB6916kR8MPnsIFhYxPhzjYOwT8HRXFvk4+MRgJ5t7du3Rb7A88b9XDwUOH&#10;GSetCvLz8/PyeAPDuYvl5+WLfd5q+/adgrrZE/HSXolw6OBBxqdjMEMWE0OjDx8+0m2xP+TaViNH&#10;uixeuiIzKycqOnZeRHRCYlJSynxO0tMzuK9XgGRlZSdzFYBEx8ZHRsXGJyQtXLzMo/eBCCLa6krF&#10;Vb7HVpC09CzeLoekR9WNm3xPtGMwQxB7G1ve7gAFIde2srayASX1XrgwKKACqMTNreeeO1Fs9fXr&#10;VwdbOyjMNxqqakVFq2lR6VP9+o0gbwrJOI9x2hpajIEYzEAzYey4dpF/SpJrW3mMGfv8xUtI8aYt&#10;Bb2XIww0ebl5K1YWkUqCgmZCnaLYqq7us8tIFygsJF7eE2tq6XNHpEp7e7uWGv8fJYXkdXV1Q0Pj&#10;zVt3MHzz4OFjunyR3+Tl8bnNKyMzi74tAnjeqgdyvZUYAWGJd97qy5f6nJxcNZ4uX7ljb2N34uSp&#10;ITgqJFPOCBwmR0RECQrnKeoIIiLkVAkjBw4eoW+LANqqh56z7Fznzgvyeu5bFpbf59rz8/I3btpC&#10;KhnoWXbQEHyuZe+UCArUtmTJUjhypONIh4OHjzI+F+Ls5Nw5hKfPkOHNh4+fGBsYREVR6VNNDS0h&#10;AnJtK2enkavXrM/JzU9ITElISEqZn0qSxnN+nZGU1DRaOCU1PjEZaihcuHjs2PFQp+i2Irx583ac&#10;gDsEOfGa4FUv1tOYRaStrY3310kY8u79B1oCQQYHHCUwNjCI60iBj5jli1zbytHBCQ7loInEOL4T&#10;I1DP+AleUOdAbUWAOgRdzUCiraG5j+dpBRJklHvPpa3cUVFQvFJRSd9GkEHw69ev7KxsxgYGSU6e&#10;T0uIhlzbysXFjSGdwcTLexLUKZ6tgFevqo0NjaAGIQmaEfy9v8e1i0dUJJ9TV8uWLqNvI8gg6O7u&#10;9uN3z81x0Trh44C2YkpH7AzSVkD16zeREZHk2ZmCMn7sOGjywOqn40iIrVu2Mj4IEhgwlb6NIIMA&#10;NlcjfQPG1qWhqvbo0cB+OZVHW33//t3EyBhmU9ZsBXR0dKxcVaSvowtVCYqOpvaePXt//pTkHcV3&#10;7txjfArJl/p6WgJBxOXsuVLGdgWBfbC5WaRurTjIo62am5rI8pJBWxFu3rw10lnYBVmqSsqzgme1&#10;tPzt4ZqDASxpYWbB+BRISckOWgJBxGXiJB/GdgVJSkqhb4sM2oopHbEjQVsBTU3NcbHxwi/Isra0&#10;Li29QEcYNHn5fG5v9vb0GoJea5BhzPv3HxgbFcntO/doCZFBWzGlI3YkaysANHH69BnhXZFoqKjm&#10;5uW3trXRcQbBy5evoMnGqN/UyFj0m04RhBfYhhkbFcTZyVmMc69oK6Z0xI7EbUV48ODRFN8pZIL5&#10;RnmEwtTAqYN/1OC3b9+cHRx5Kz916hQtgSADh29/oRHzIunbAwFtxZSO2JGSrYD29va09AzhR4UG&#10;evoXL10ezG06XV3dfJ9MGRw8Czs1RsQDNkjyixYje8W6eBBtxZSO2JGerQhnzpzj+3QjTtRVVFOS&#10;UwbT+/Cx4ycZdULAks+evaAlEGQggJUYmxPJ+w/i3CYh17ZycHDqeRqXhOIh1p03A6Ku7nNgQKDw&#10;C7JcXdzuP6APuxcDC3M+vwwWFa3G5hUyUDo6OsaMZt4jAQmbO4+WGCBybSsnR+fE5PlJySlZWVk5&#10;WdniJTsrOyM9MzombuRIV6hTqrYCoOm0afMW+BQyC3xjoKu3sXizeEeF2dm5jNogE8ZNkMaTopHh&#10;zdNnz/j+RnTvvpjfpnJtq4kTJ7d3dDx4+GjHzt3Llq9MT8/IyclZkJ/POMTjzYKCgrzcXJAU/Lt+&#10;ffHpM2c/fPwYPi8S6pS2rQgVV6+5u/TIUVCg/RUZEfV+4Lcl37lzR1NVjVGbppr68xcvaQkEEY2i&#10;VasZGxJkpKPz9+9iXico77YiQ+AwB1oizc3NR4+diIqOS5mfWiDgVmfwVEZG5ryI6DXrNrx4+aqz&#10;s5PzQ6x4zxMUG1jloWF8HlfDHSsLyzdv39ERRKPntiQTU0Y9kGnTZ9ASCCIa+nr6jK0IkpmZJfZZ&#10;BbQVH6pfv7lcVr5r996FCxenJKcmJ6UkJaWArLbv2FVaevHJk6etra20KBdDbCsA1nrJtu2Gesw7&#10;sLgDzaIVK1a2tg7ggqy16zYwKiF59hzPtSOismPnLsb2Q3L77oAvCuWAtuqfnz9/ivJtMPS2Irx+&#10;/cbd1U34kyC8vSe9H8hFngb8vhWxSwZERODr3GuCJ2P7gfj5TaElxAJtJTH+lK2A+vqGBQsKhf9W&#10;aGNpfejwEREvIIbmJGN0iKODE30bQYQCxx+8Zz/VlJQvXLhIS4gF2kpi/EFbEQ4dPmptYUlmjW9U&#10;lZQXLVrSKEK/yVevXWeMS7J+4yZaAkEE0NHRMaX3ScCMWJqZf/78hRYSC7SVxPjjtgJqamrgoI/M&#10;naCMGT3m46d+OsPu7Oy0s3NgjAgxMzapxedHIEK5cfM2Y7MhKSgoHORVe2griSELtgLa29sXL1qs&#10;q61D5pFv9HX1du/e094urHOFqqqbvJ0vqyoqHT9+gpZAEH7ExcYzNhuIqbFJU1MTLSEuaCuJISO2&#10;Ity9d5+3t0ZG5kVECukODdrzY8eMZYwCGTPGQ+I9lyLDhoaGRs1epzCSk51LSwwCtJXEkClbAe8/&#10;fIyOiiZzKiij3NwrKiv5ts9h4NatJYzyJEWr19BCCMJFW1vbZH4d70GePHlKCw0CtJXEkDVbEYo3&#10;b+un32Qt7e3bd/K9F/rnz1Zbaz73UTvaO3779o0WQpDfVFZe5dtTSHxCEi0xONBWEkM2bQXcuXt3&#10;9OgxZJYFZeaMYL6/15w6eVpFUYlRWEVBce3aDbQEgvwmwJ9Pj0NmxqbNzc20xOBAW0kMmbUV0NLS&#10;Ehsdq6WuQWacbyxMzUovXOzs7KTj9NL49etIJ2dGSYi2hubr129oIQQR0N0QJHV+Ki0xaNBWEkOW&#10;bQV0dXWdL72gocK8Zo87asoqWdk53L8V9tzcs4P/LRSx0TG0ECL3NDQ2OtrzueQFIsH74dFWEkPG&#10;bUV4+Ojx9GnTyezzDRzlBQYEPnj4kI7Qe0mEL79HV+rr6D56/IQWQuSbTZu28L33a9WqIlpCEqCt&#10;JAYrbAW0trYtXLRU+IPsDXT1r1RUco4Ky8uv8L2tx8TI+Id0nh2NsAj40mJsGCS2VtZfvkjyeZRy&#10;bSt//wA6SBKwxVZAd3f3hYsXrS171rWgwFdlQkIiecZqW1tbAL8u2yEb8V4c+aarq2vO7BDGVkGy&#10;Zs3aQV68zkCubZWamkEHSQIW2YpQX98Q6N9Pv8lOjk53erv4qPv8WV+bz5UQ5qbmtbV1pEJEDjl3&#10;vlSNX0+248dNoCUkB9pKYhBbQZOk9HwpHSTztLa27tixU3hvM3raOmvWroOv0MLCRYy3SLwmeP6Q&#10;6GPuEbbw/MVLHQ1NxvYAUVdRraispIUkB9pKYhBbQU4cP04HsYSr16vGjvEgE883qopKEfMib9y8&#10;ZWttw3gLAl+thw4fpnUh8gTfZwVCwsMjpNGRP9pKYrDXVsCPHz850y8oJkYmBw4eFvRYw3cD7wMe&#10;YTX7DhxmbAMkVpZWkj1dxQFtJTFYbSugvb1j7959psYmZC74BhpZRvqGjIEk/n7+bZJ4wD3CCh4/&#10;eSroji7YimghSYO2khhstxXhzZu3rs4uws9kCcrS5SvFeywYwi5aW1sDA6cx1j7J5Mm+tJAUQFtJ&#10;jOFhK6CpuXnhQv4n1IVHVUn5fOkFWgsyTIEvpMzMLMaqJ7GzsfvyZVC9gwoHbSUxho2tCKfPnud7&#10;Tl14HOzsP9XU0iqQ4Uh5+RVtfr8DQqR3DEhAW0mMYWarX79+1dbW+fC750Z4PEZ7QOuM1oIMLx49&#10;ecq3sz1IYmKKtM8DoK0kxjCzFeHHz5/Ll6/g+8AuQVEeoZCRkUnHR4YRra1t48eOY6xuEicHR8ne&#10;ZMMXtJXEGJa2Ijx89Fh4l368WbN2nZR+xkb+CD9//pw02ZexlklUlZQfPHxMy0kTtJXEGMa2Aj7V&#10;1CYmJJIZFCW6mlonTpymIyPsJz9/Ad9fimFgyfYdtJCUQVtJjOFtK8LmLduMBVxvxRsdTa2bt25j&#10;C4vtdHZ2bt3Gv4d+UFVISFhHh7CHJ0kQtJXEkAdbgXqePXsx1oP/yQveODk4NjXhGXd2U1p6gWiC&#10;NxO9Jv782UrLSR+0lcSQB1sRGhsb56fMh6YTmV/hsbdzePHiFR0TYRXd3d0nT54SpCorC8sh7o4R&#10;bSUx5MdWAGzH589fIPPbbyaM96SjIayitrbO1NiUsTZJ9HR0Hw95z7FoK4khV7YivKqunhE0g8y1&#10;8PhP8a+vb6CjIWzgxo2b5qZmjPVIoq6qtmfP3qE/I4m2khhyaCvCosVLNYT2m0wSMCXg+/fvdBxE&#10;hgENvXnz1tzMgrEGSZQVFFevXkuLDi1oK4kht7bq7Oy6cqVipNNIMvtCEuAfwPcxq4hMcffePUsB&#10;qoLk5S9obR26M+vcoK0khtzaivCpptbf109DVdgTwCCODk6vXlXTcRAZo7u7+9y585YWVoy1xkl0&#10;VDQt+idAW0kMObcV0N7evn37TrIQhMTZyVlSD+9FJMuVikpdLW3G+uJk7tx55Kkifwq0lcRAWxHu&#10;3r0n6G4yToz0DeDgkY6AyAbFxZsF3bEMiY6OgUN+WvQPgbaSGGgrbiKjYpT669Jv+47deKW7LAAH&#10;gHkFCxlrhzthYeG06B8FbSUx0FbcwFHh4UOHzU3NyTLhG211jY0bi9vaJP+4AUR0vn5rgnYTY9Vw&#10;JyoySkZ+zEVbSQy0FS+vql872TsIf2Rhalp6S0sLHQEZWt68eefq4spYI9yJjIiiRWUAtJXEQFvx&#10;5fuPH0uWLidLhm+URyi4jXSprn5NR0CGBDj6O33mrJW5wCsVIEuXrZCpLxK0lcRITcsk1aKteDl9&#10;5pyl0B3D1srm/PnSIbubX85pbmmBY3Ahd3qqK6ssWbKMlpYZ0FYSY0PxFlIt2oqXX79+wbf0mDFj&#10;ySLiGzUl5ZycPDoCIjWam5unBk7j21kVCayIU6fPyODji9BWEgNt1S9fv37Lyc7V0xbWDWmAf8D9&#10;+w/oCIikOXL0mL2tPWOZc8fWGhq5F2Tzt1q0lcRAW4kIfG9rqWuQZSUo+/YfxKNCyfL127ekpBTG&#10;cmbE2sLqzZu3dATZA20lMdBWovPo0WOP0WPI4uIbdWUVfz//589f0hGQQQANpdNnzro4jRRy9AeJ&#10;joquke2nq6GtJAbaakB8/vw5LCxcTUmZLDS+0VRT37qtBHsfHQwfPn6Mj08C+zOWLXf0tHWWL1/Z&#10;3i7rF76hrSQG2mqgtLa2lmzfKfyoUEVBcZSrW+XV63QcRGR6+lPfWmJqZMxYpIxYmltWVF5lxU0F&#10;aCuJgbYSj4qKSo/RHmTRCQo0stLTMp4/f0HHQYTS1dVVXn5liq+/8EM/aNiGzAmpqa2jo8k8cm2r&#10;0NC5dJAkSE5JJdWirQYEfKt3d3fHxsSSpScksO8VLlyMZ9+FU1tX5x8wlbHoeKOiqLRzF8vu05RH&#10;W/348cOit7MxdRXVu/fu06GDo7r6NTmi0VBVuyehOuUKOGw5efKUg52wH9dJXJxdilYVNX79SsdE&#10;fvPs2fOE+AQTQyPGEuNN0PSghw8f0dHYgzzaCr7JoyIiyWob5zGuoWGw/YU3NzdHzKMVOtja/dk+&#10;gFgNfJHMC4/QVO3ZKIVHV1tnx85d4Cx2tQ6kARz3vX//PjMzm7GI+EZfR3fdhmI6JtuQR1sBb9++&#10;09bQJOvPyd7xwsVL9I2Bc/fuPa8JnqQqPW3dJ0+e0jcQsWhvb6+svOru6k4WqZAoKyhCW2zFilXy&#10;3Hvyp5ra6Mjofk+lQ2BxhYSEvXz5Cr6t6chsQ05tBVRUVBrrG3DWZfDMWfv27Tt75ozoOX3qVFhY&#10;OKcGNWWVkpLttHZkcDQ1NS1dulyUnRCiq6kFx4bwPcHe/XCgfP/+4/r1qtjYOMaiEBRXZ5e9+/bL&#10;4M00A0J+bQVb9q1bt22sbThrdDAx0NMvL69g+9YgU8Ah3ocPH6E5wFjUgqKjoTl5ss/l8mHeJWln&#10;Z+f2HTuhUSn8EipONFTVlq8oGh598sivrdra2k+fOePi7MJZr4OJvo7uggWFtez5MZgtwM558dKl&#10;QP/Afnsi5WSsx9iiotV37t6DcWkt7Ke5uaWsrDwtLZ38QCRKdDS14mJiHw+jUxNyaitoWOUXFHLW&#10;KxzSqykpqymLE1VFJU499nb27fj7unS4eLncysJS+AVEjLi5jzp6/MTPnz9Z2uaF1mVHR8eXL/XL&#10;lq8yNeH/IFK+gW1y4sRJT54+oxUNF+TUVhcvXuasWnc397zc3KzMzOysLDGSlZkV8bsfPsjMmcH0&#10;MxBJ09j49ejRY2OE3mDIG2ND40D/gDVr1z15wqa999Klsvz8As9xE7QF90LFN2Ghc69dv97W1kYr&#10;GkbIqa3Wb9hIVq2ri9utmze3bd06b+5c8ZI2fz7UsHDhIpXeRpaBju7Xr9/oxyDSYdfuvW4urqJc&#10;6MCIo71D4cLFlVevfvz06cePH7Q62aC5ufnt27enT59JTErp97GMvDHQ1ZviO+XW7Tu0uuGIvNsq&#10;Jyf33t27O7dvjwgPFy8ZaelQw/Fjx8kWBraqrx/sBVxIvzQ3t1y5UjF79hyyHgcUOFAyNzF1dR4Z&#10;F5dw4OCRus9faKV/gucvXhZv3hIYEOjs4Gikb6gstA97vum5LSkj69mz53/qEcpDhrzbatPmLfDy&#10;0YMHjOM70bN92zao4fnzF+RadiN9g2HZCJdNfv36df3GzYT4BGvLnu1W7Li7uYeEhC1evOTEiRPX&#10;q6rAIHDUST9DQnR1dX35Uv/o0eOKisq9e/bm5xUETQ+yNLdkTMmAMtp99KJFi9++e0c/Y7iDtuqx&#10;1dMnTxgOEj0H9++HGji2MjE06v0EZOgAZ7W2th08eMjMxJSsVrGjPEIBWl7qKqqwY+hqagVOnZ6b&#10;v2Dtuo3Xq25CRP8e+vylHspfuFQG48bGJYwbO05bQxMaQerKKtw/y4gdn96DPtnv40WyyLut5ien&#10;wMv3b98yHCR6jhw6BDWgrWSE61U3crJzR7mNIutXGjHUN7C3tRcUIY87Hnz8/QM2biyW274o5NRW&#10;xZs2k9WfGBcPLz/X1jIcJHoqysuhBrSVrPHo8dPomDhYHWKcjJep6GhqWZiYrixa/VXub+SWU1ud&#10;OVdKNgViqx8tLQwHiR60lSzT0NB4587doqLVPpN9hT+EVdaiq6UdEjp3z549T548/YH3yfeCtuqx&#10;FcBwkOi5VlkJo8MmRQ4B0FYyS01N7Y6du2dMD3J3cTPiukVURgIytTAzH+cxNjEh6cTJ0y0tMvEw&#10;d5kCbTVYW7180XMSoarqhlrvfVtoK9mnpaUFzFVZeTU3b4Gn10SyJfzBzJw1e83aDQ8fPvry5cvP&#10;n8P8KoTBIO+28hw3flNxMSR4epDvpMliZFFhIYyekZZODjTQVqyjubnletWNQ4ePLChYEBE+b/Ik&#10;H3tbewNdPbKFSCwjFKDp5O7qHuAfGB8bt3btutNnzj56/AS7QhUdebfVrJnBpJuRdatXMxpNIuZ1&#10;dTWMfv16FWlbRURG934Cwnq6urquXb9RvHlb0Zr1wbPmQHS1tHvuJ1XquTlUUEgBG2tbKD8vIgrG&#10;PXDo6O07d2mlyCCQd1sFTZtObLV3926GhkTM9+89N3CgreSK+vr62to63jQ348PEpIic2urBw0cM&#10;Wx09fJihIRFDKkRbIYi0kVNbvXjximGrc2fOMDQkYkiFaCsEkTZoK2qrWzdvMjQkSnJzckiFaCsE&#10;kTZoq0HZavnSpaRCtBWCSBt5t5X/FH/SseSnjx8ZJhIlK5YtIxUeP3qMVIi2QhApIe+2GjtmLOm9&#10;+2tjI8NEooTXVpFRMWQIgiCSRU5t9fFTDZFLn62+fs3JzmbIqN+sWrmSVMix1arVa8kQBEEki5za&#10;CiBy4diqqampID+fIaN+U7J1K6mNY6uNm3o6zEIQROKgrdBWCMIO0FbUVs1NTYULFjBk1G/QVggy&#10;ZKCtqK1aWloWL1rEkFG/QVshyJAh77ZysLMnN8GLZ6tjR46Q2nbv2k0qRFshiJSQX1upKinDnFpZ&#10;WBJb/fz5c+XKlQwZ9ZuTx4+T2pYuWYa2QhCpIr+28hgzFm2FICxCfm3l1dtpJMdWra2tqwfexRWv&#10;rcrKK8gQBEEkC9qK2urXr187duxgyKjfkEdIABxb3bh5mwxBEESyoK2orYCdO3cyZNRvbt28ScZF&#10;WyGItJF3WxkbGnMewIu2QhBZRt5tBeHY6tSJEwwZ9Ru0FYIMGfJrqxkzgolfOLY6c+oUQ0b9hmOr&#10;/LwFpLZbt/F5AQgiFeTXVpmZOcQv48Z4TBg7DuJoZ2dmZDyguDo7k3EN9fShKg1VtZ/4WF0EkQ7y&#10;a6vLl8vIEwB1NLU+fPgIQyqvXGE0nfrNk8ePYcQVK1ZBPRDfyb69dSMIInnk11bfvjU52NoRy+zf&#10;fwCG3LpxgyGjfgO2+v7jx2i3UaSeAwcOksoRBJE48msr4PTZ88QyGekZ8FI8W335Um9rZUPqaWrC&#10;x8khiLSQa1vdu/+QWCa6t3viwduKVIsgiDRAW/VYZtrUIHj56uVLhoz6zZvXr9FWCDI0yLWtXlW/&#10;JpYhtnr/7h1DRv3m3bt3Hz9+MjUyIfWQahEEkQZybSuAWGYwtnr37j25fEGulhuCDD1oK4nZauLE&#10;yaROBEGkAdpKYrYKCJhK6kQQRBqgrQZlqy+f69BWCDI0oK16bDXFLwD+572CITMjIy01lSQjPZ3x&#10;bk529tfGRrQVggwNaKseW410doH/eW1la2NrpG9AYmlukZ72N2ERW7148VJDRRVthSDSRt5tpaet&#10;I8RW+jq6qfPnk/9Hu49KTkrivAUhtnry+DHUgLZCEGkj77Zy773Fj6+tMtIzBmSrvPwFpE4EQaQB&#10;2kqgreanzDfWNwBnkZd8bfW9pYVjq8KFS0idCIJIA7TVoGwFY6GtEGRoQFuhrRCEHaCtemxlY2UD&#10;/4tnq5s3bqCtEGQIQFv12IrMsni22rNnH6kBbYUgUkXebeU5wYu4Bv5n2ColOZnbVmNHjwkNDeO8&#10;C2HYqmT7zt4qEQSRCvJuq1mz5hDXwP8MW0VHRZsYGGZlZpKX4z3GMmy1ZtUqGItjq7Nnz/dWiSCI&#10;VJB3W82eHUJcA//z2srU0IjzktdWmzZsgLHQVggyNKCt0FYIwg7QVoO11bp1G0gNaCsEkSpoK2qr&#10;b9++iWertPQsUgPaCkGkCtqK2ur2nbuDtNWdO/hMeQSRIvJuq6ioGOIasNWzp0+5ZRQaEupo78B5&#10;yWurI4cOQQ0cWzU0NJA6EQSRBvJuq/y8AuIasBWj79Cg6UE+Pr59L4NmeHlN5LyEnD19GmpAWyHI&#10;0IC2EtVWs2fNRlshyB8EbTVYWyUmpZAa0FYIIlXQVoO1lY+PH6kBbYUgUgVtRW1VeuGSeLaaNMkH&#10;RldXUW1sbCR1IggiDdBW1FZbtu0YqK2ePHoENRBbmZmYNjU1kToRBJEG8m6rVStXCbLVKDf3OXPm&#10;cF7y2urZkydQA7GVualZc3MzqRNBEGkg77bas3u3IFu5Oo8MDw/nvARbeXp6c15C0FYIMpSgrUS1&#10;VUREhKmxCeclBG2FIEMJ2kpUW8XGxupoaHJeQoityOhoKwSRNmgrtBWCsAO0FbXVilWrB2qrutpa&#10;qIGM7u7q9vPnT1IngiDSAG1FbRWfkMhtq6zMTGcHx8jIKM4QXluRGsjoaCsEkTbybqvjx48T3YCt&#10;vjY25ubkEBOBrZzsHZKTkjluYtgKSpIayOhoKwSRNvJuq7KycmUFRWIreHmtsnLtmjVrVq9eXVTk&#10;NtKlIH8B/E+SmZmlp6XNeVl++TKU7+7uRlshyNCAtvqbrTh0dXVNnzrt/v2H9PVff1VevWZlZk5f&#10;/Ob9hw9oKwQZGtBWotrq/oNHpkbGzS0t9HUvr6pfE1uNcnNHWyGIVEFbUVtZW1pFRsVwEhEZbWFm&#10;Pj1oJmfIrNkhGipqoWHhnCGQlPlpxFY+kya3t7fTShEEkQLybqsnT56q9NoKTLRyVdHBQ4dpDh7a&#10;s3ffgYOHOEPg/92798Bw7iETxk0gtpozew40x2ilCIJIAXm3FeBgZ0+MExeX0N3dTYeKABz6WZpb&#10;kHG378DHyiOIdEFb/VVd/drE0AjmWk1J+cSJU3Rof3R0dPhPCSCq8vXxa21to28gCCId0FY9ZGfS&#10;vtUtTM0SEpOTkub3mxkzZ5FRdLW0nz17RitCEERqoK16+PylHqRD7DPQFC5cjGesEGQIQFtRKiqv&#10;urm4chwkSjRV1WJi4lpbW2kVCIJIE7QV5devX52dnW0Dob29fUBn5REEGQxoKwRB2AHaCkEQdoC2&#10;QhCEHaCtEARhB2grBEHYAdoKQRB2gLZCEIQdoK0QBGEHaCsEQdgB2gpBEHaAtkIQhB2grRAEYQdo&#10;KwRB2AHaCkEQdoC2QhCEHaCtEARhB2grBEHYAdoKQRB2gLZCEIQdoK0QBGEHaCsEQdgB2gpBEHaA&#10;tkIQhB2grRAEYQdoKwRB2AHaCkEQdoC2QhCEHaCtEARhB2grBEHYAX9b7d2zB4PBYGQqakrKfGyF&#10;wWAwshm0FQaDYUf6bIUgCCL7oK0QBGEDf/31/wNU8TrpfdEV5QAAAABJRU5ErkJgglBLAwQUAAYA&#10;CAAAACEANwfmMN0AAAAGAQAADwAAAGRycy9kb3ducmV2LnhtbEyPwU7DMBBE70j8g7VI3FrHDRQU&#10;4lRVBZwqJFokxM2Nt0nUeB3FbpL+PdsTHGdnNPM2X02uFQP2ofGkQc0TEEiltw1VGr72b7NnECEa&#10;sqb1hBouGGBV3N7kJrN+pE8cdrESXEIhMxrqGLtMylDW6EyY+w6JvaPvnYks+0ra3oxc7lq5SJKl&#10;dKYhXqhNh5say9Pu7DS8j2Zcp+p12J6Om8vP/vHje6tQ6/u7af0CIuIU/8JwxWd0KJjp4M9kg2g1&#10;zFIOXs+CzcVS8WMHDenDkwJZ5PI/fv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6x/IowDAAATCAAADgAAAAAAAAAAAAAAAAA6AgAAZHJzL2Uyb0RvYy54bWxQ&#10;SwECLQAKAAAAAAAAACEANeE0uZNbAACTWwAAFAAAAAAAAAAAAAAAAADyBQAAZHJzL21lZGlhL2lt&#10;YWdlMS5wbmdQSwECLQAUAAYACAAAACEANwfmMN0AAAAGAQAADwAAAAAAAAAAAAAAAAC3YQAAZHJz&#10;L2Rvd25yZXYueG1sUEsBAi0AFAAGAAgAAAAhAKomDr68AAAAIQEAABkAAAAAAAAAAAAAAAAAwWIA&#10;AGRycy9fcmVscy9lMm9Eb2MueG1sLnJlbHNQSwUGAAAAAAYABgB8AQAAtGMAAAAA&#10;">
                      <v:shape id="그림 3987" o:spid="_x0000_s1360" type="#_x0000_t75" style="position:absolute;top:24;width:16586;height:2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IoxxgAAAN0AAAAPAAAAZHJzL2Rvd25yZXYueG1sRI9Pa8JA&#10;FMTvBb/D8gQvohtTqjG6ShEEoYdi9OLtkX35g9m3IbtN0m/fLRR6HGbmN8z+OJpG9NS52rKC1TIC&#10;QZxbXXOp4H47LxIQziNrbCyTgm9ycDxMXvaYajvwlfrMlyJA2KWooPK+TaV0eUUG3dK2xMErbGfQ&#10;B9mVUnc4BLhpZBxFa2mw5rBQYUunivJn9mUU9M/kc17kb3i+ZMUcH/HHEMuNUrPp+L4D4Wn0/+G/&#10;9kUreN0mG/h9E56APPwAAAD//wMAUEsBAi0AFAAGAAgAAAAhANvh9svuAAAAhQEAABMAAAAAAAAA&#10;AAAAAAAAAAAAAFtDb250ZW50X1R5cGVzXS54bWxQSwECLQAUAAYACAAAACEAWvQsW78AAAAVAQAA&#10;CwAAAAAAAAAAAAAAAAAfAQAAX3JlbHMvLnJlbHNQSwECLQAUAAYACAAAACEAc+CKMcYAAADdAAAA&#10;DwAAAAAAAAAAAAAAAAAHAgAAZHJzL2Rvd25yZXYueG1sUEsFBgAAAAADAAMAtwAAAPoCAAAAAA==&#10;">
                        <v:imagedata r:id="rId162" o:title=""/>
                      </v:shape>
                      <v:shape id="Text Box 3988" o:spid="_x0000_s1361"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SxxAAAAN0AAAAPAAAAZHJzL2Rvd25yZXYueG1sRE/Pa8Iw&#10;FL4L+x/CE7zITDdFtDOKyITNi6zz4u3RPJvO5qUkqXb//XIQdvz4fq82vW3EjXyoHSt4mWQgiEun&#10;a64UnL73zwsQISJrbByTgl8KsFk/DVaYa3fnL7oVsRIphEOOCkyMbS5lKA1ZDBPXEifu4rzFmKCv&#10;pPZ4T+G2ka9ZNpcWa04NBlvaGSqvRWcVHGfnoxl3l/fDdjb1n6duN/+pCqVGw377BiJSH//FD/eH&#10;VjBdLtLc9CY9Abn+AwAA//8DAFBLAQItABQABgAIAAAAIQDb4fbL7gAAAIUBAAATAAAAAAAAAAAA&#10;AAAAAAAAAABbQ29udGVudF9UeXBlc10ueG1sUEsBAi0AFAAGAAgAAAAhAFr0LFu/AAAAFQEAAAsA&#10;AAAAAAAAAAAAAAAAHwEAAF9yZWxzLy5yZWxzUEsBAi0AFAAGAAgAAAAhALmYlLHEAAAA3QAAAA8A&#10;AAAAAAAAAAAAAAAABwIAAGRycy9kb3ducmV2LnhtbFBLBQYAAAAAAwADALcAAAD4AgAAAAA=&#10;" stroked="f">
                        <v:textbox style="mso-fit-shape-to-text:t" inset="0,0,0,0">
                          <w:txbxContent>
                            <w:p w14:paraId="18CB209F"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B</w:t>
                              </w:r>
                            </w:p>
                          </w:txbxContent>
                        </v:textbox>
                      </v:shape>
                      <w10:wrap type="square"/>
                    </v:group>
                  </w:pict>
                </mc:Fallback>
              </mc:AlternateContent>
            </w:r>
          </w:p>
          <w:p w14:paraId="3E3BBAE6" w14:textId="77777777" w:rsidR="0059538A" w:rsidRPr="008F328C" w:rsidRDefault="0059538A" w:rsidP="008F328C">
            <w:pPr>
              <w:pStyle w:val="a3"/>
              <w:numPr>
                <w:ilvl w:val="0"/>
                <w:numId w:val="141"/>
              </w:numPr>
              <w:ind w:leftChars="100" w:left="580"/>
              <w:rPr>
                <w:b/>
                <w:lang w:val="pl-PL"/>
              </w:rPr>
            </w:pPr>
            <w:r w:rsidRPr="008F328C">
              <w:rPr>
                <w:rFonts w:eastAsia="Times New Roman"/>
                <w:b/>
                <w:bCs/>
                <w:lang w:val="pl-PL"/>
              </w:rPr>
              <w:t>Sprawdzić ampułko-strzykawkę</w:t>
            </w:r>
          </w:p>
          <w:p w14:paraId="147DE1E6" w14:textId="77777777" w:rsidR="0059538A" w:rsidRPr="008F328C" w:rsidRDefault="0059538A" w:rsidP="00ED6A7B">
            <w:pPr>
              <w:pStyle w:val="a3"/>
              <w:numPr>
                <w:ilvl w:val="0"/>
                <w:numId w:val="0"/>
              </w:numPr>
              <w:ind w:left="580"/>
              <w:rPr>
                <w:lang w:val="pl-PL"/>
              </w:rPr>
            </w:pPr>
          </w:p>
          <w:p w14:paraId="3C4FEDF3" w14:textId="77777777" w:rsidR="0059538A" w:rsidRPr="008F328C" w:rsidRDefault="0059538A" w:rsidP="00ED6A7B">
            <w:pPr>
              <w:pStyle w:val="a3"/>
              <w:ind w:left="3577" w:hanging="337"/>
              <w:rPr>
                <w:lang w:val="pl-PL" w:eastAsia="ko-KR"/>
              </w:rPr>
            </w:pPr>
            <w:r w:rsidRPr="008F328C">
              <w:rPr>
                <w:rFonts w:eastAsia="Times New Roman"/>
                <w:b/>
                <w:bCs/>
                <w:lang w:val="pl-PL" w:eastAsia="ko-KR"/>
              </w:rPr>
              <w:t>a</w:t>
            </w:r>
            <w:r w:rsidRPr="008F328C">
              <w:rPr>
                <w:rFonts w:eastAsia="Times New Roman"/>
                <w:lang w:val="pl-PL" w:eastAsia="ko-KR"/>
              </w:rPr>
              <w:t xml:space="preserve">. Upewnić się, że zawiera ona odpowiedni lek (Yuflyma) i dawkę. </w:t>
            </w:r>
          </w:p>
          <w:p w14:paraId="6168625C" w14:textId="77777777" w:rsidR="0059538A" w:rsidRPr="008F328C" w:rsidRDefault="0059538A" w:rsidP="00ED6A7B">
            <w:pPr>
              <w:pStyle w:val="a3"/>
              <w:ind w:left="3490" w:hanging="250"/>
              <w:rPr>
                <w:lang w:val="pl-PL" w:eastAsia="ko-KR"/>
              </w:rPr>
            </w:pPr>
            <w:r w:rsidRPr="008F328C">
              <w:rPr>
                <w:rFonts w:eastAsia="Times New Roman"/>
                <w:b/>
                <w:bCs/>
                <w:lang w:val="pl-PL" w:eastAsia="ko-KR"/>
              </w:rPr>
              <w:t>b</w:t>
            </w:r>
            <w:r w:rsidRPr="008F328C">
              <w:rPr>
                <w:rFonts w:eastAsia="Times New Roman"/>
                <w:lang w:val="pl-PL" w:eastAsia="ko-KR"/>
              </w:rPr>
              <w:t xml:space="preserve">. Obejrzeć ampułko-strzykawkę i upewnić się, że nie jest pęknięta lub uszkodzona. </w:t>
            </w:r>
          </w:p>
          <w:p w14:paraId="7C925084" w14:textId="77777777" w:rsidR="0059538A" w:rsidRPr="008F328C" w:rsidRDefault="0059538A" w:rsidP="00ED6A7B">
            <w:pPr>
              <w:pStyle w:val="a3"/>
              <w:ind w:left="3577" w:hanging="337"/>
              <w:rPr>
                <w:lang w:val="pl-PL" w:eastAsia="ko-KR"/>
              </w:rPr>
            </w:pPr>
            <w:r w:rsidRPr="008F328C">
              <w:rPr>
                <w:rFonts w:eastAsia="Times New Roman"/>
                <w:noProof/>
                <w:sz w:val="20"/>
                <w:szCs w:val="20"/>
                <w:lang w:eastAsia="ko-KR"/>
              </w:rPr>
              <mc:AlternateContent>
                <mc:Choice Requires="wps">
                  <w:drawing>
                    <wp:anchor distT="0" distB="0" distL="114300" distR="114300" simplePos="0" relativeHeight="251658385" behindDoc="0" locked="0" layoutInCell="1" allowOverlap="1" wp14:anchorId="77E0E7D7" wp14:editId="0A2B2928">
                      <wp:simplePos x="0" y="0"/>
                      <wp:positionH relativeFrom="column">
                        <wp:posOffset>748665</wp:posOffset>
                      </wp:positionH>
                      <wp:positionV relativeFrom="paragraph">
                        <wp:posOffset>104775</wp:posOffset>
                      </wp:positionV>
                      <wp:extent cx="763905" cy="137160"/>
                      <wp:effectExtent l="0" t="0" r="0" b="0"/>
                      <wp:wrapNone/>
                      <wp:docPr id="3989" name="Text Box 3989"/>
                      <wp:cNvGraphicFramePr/>
                      <a:graphic xmlns:a="http://schemas.openxmlformats.org/drawingml/2006/main">
                        <a:graphicData uri="http://schemas.microsoft.com/office/word/2010/wordprocessingShape">
                          <wps:wsp>
                            <wps:cNvSpPr txBox="1"/>
                            <wps:spPr>
                              <a:xfrm>
                                <a:off x="0" y="0"/>
                                <a:ext cx="763905"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4D85B" w14:textId="77777777" w:rsidR="006D7011" w:rsidRPr="00120AE9" w:rsidRDefault="006D7011" w:rsidP="0059538A">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0E7D7" id="Text Box 3989" o:spid="_x0000_s1362" type="#_x0000_t202" style="position:absolute;left:0;text-align:left;margin-left:58.95pt;margin-top:8.25pt;width:60.15pt;height:10.8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m6McwIAAF8FAAAOAAAAZHJzL2Uyb0RvYy54bWysVN9P2zAQfp+0/8Hy+0hLRdkqUtSBmCYh&#10;QCsTz65jt9Ycn3d2m3R//c5O0jLGC9NekrPv9+fv7uKyrS3bKQwGXMnHJyPOlJNQGbcu+ffHmw8f&#10;OQtRuEpYcKrkexX45fz9u4vGz9QpbMBWChkFcWHW+JJvYvSzoghyo2oRTsArR0oNWItIR1wXFYqG&#10;ote2OB2NpkUDWHkEqUKg2+tOyec5vtZKxnutg4rMlpxqi/mL+btK32J+IWZrFH5jZF+G+IcqamEc&#10;JT2EuhZRsC2av0LVRiIE0PFEQl2A1kaq3AN1Mx696Ga5EV7lXgic4A8whf8XVt7tlv4BWWw/Q0sP&#10;mABpfJgFukz9tBrr9KdKGekJwv0BNtVGJunyfDr5NDrjTJJqPDkfTzOsxdHZY4hfFNQsCSVHepUM&#10;ltjdhkgJyXQwSbkCWFPdGGvzITFBXVlkO0FvuFrnEsnjDyvrWFPy6eRslAM7SO5dZOtSGJW50Kc7&#10;NpiluLcq2Vj3TWlmqtznK7mFlMrFIX+2TlaaUr3Fsbc/VvUW564P8siZwcWDc20cYO4+D88RsurH&#10;ULLu7AnwZ30nMbarlhqn5zufDAxYQbUnYiB0MxO8vDH0fLcixAeBNCTEBRr8eE8fbYHgh17ibAP4&#10;67X7ZE/cJS1nDQ1dycPPrUDFmf3qiNVpQgcBB2E1CG5bXwFxYEwrxcsskgNGO4gaoX6ifbBIWUgl&#10;nKRcJZcRh8NV7IafNopUi0U2o0n0It66pZcpeEI20fGxfRLoe85GIvsdDAMpZi+o29kmTweLbQRt&#10;Mq8Tth2OPeY0xZnu/cZJa+L5OVsd9+L8NwAAAP//AwBQSwMEFAAGAAgAAAAhACkc+1zcAAAACQEA&#10;AA8AAABkcnMvZG93bnJldi54bWxMj91Og0AQRu9NfIfNmHhnl58UKWVpqtHEW6oPsMAIVHYW2S3g&#10;2zte2bv5MiffnMkPqxnEjJPrLSkINwEIpNo2PbUKPt5fH1IQzmtq9GAJFfygg0Nxe5PrrLELlTif&#10;fCu4hFymFXTej5mUru7QaLexIxLvPu1ktOc4tbKZ9MLlZpBRECTS6J74QqdHfO6w/jpdjIIZy67c&#10;np9edtEij5V+I/pOYqXu79bjHoTH1f/D8KfP6lCwU2Uv1DgxcA4fd4zykGxBMBDFaQSiUhCnIcgi&#10;l9cfFL8AAAD//wMAUEsBAi0AFAAGAAgAAAAhALaDOJL+AAAA4QEAABMAAAAAAAAAAAAAAAAAAAAA&#10;AFtDb250ZW50X1R5cGVzXS54bWxQSwECLQAUAAYACAAAACEAOP0h/9YAAACUAQAACwAAAAAAAAAA&#10;AAAAAAAvAQAAX3JlbHMvLnJlbHNQSwECLQAUAAYACAAAACEA0jpujHMCAABfBQAADgAAAAAAAAAA&#10;AAAAAAAuAgAAZHJzL2Uyb0RvYy54bWxQSwECLQAUAAYACAAAACEAKRz7XNwAAAAJAQAADwAAAAAA&#10;AAAAAAAAAADNBAAAZHJzL2Rvd25yZXYueG1sUEsFBgAAAAAEAAQA8wAAANYFAAAAAA==&#10;" fillcolor="white [3212]" stroked="f" strokeweight=".5pt">
                      <v:textbox inset="0,0,0,0">
                        <w:txbxContent>
                          <w:p w14:paraId="3504D85B" w14:textId="77777777" w:rsidR="006D7011" w:rsidRPr="00120AE9" w:rsidRDefault="006D7011" w:rsidP="0059538A">
                            <w:pPr>
                              <w:rPr>
                                <w:rFonts w:asciiTheme="majorBidi" w:hAnsiTheme="majorBidi" w:cstheme="majorBidi"/>
                                <w:b/>
                                <w:bCs/>
                                <w:sz w:val="13"/>
                                <w:szCs w:val="13"/>
                              </w:rPr>
                            </w:pPr>
                            <w:r w:rsidRPr="00120AE9">
                              <w:rPr>
                                <w:rFonts w:ascii="Times New Roman" w:eastAsia="Times New Roman" w:hAnsi="Times New Roman" w:cs="Times New Roman"/>
                                <w:b/>
                                <w:bCs/>
                                <w:sz w:val="13"/>
                                <w:szCs w:val="13"/>
                                <w:lang w:val="pl-PL"/>
                              </w:rPr>
                              <w:t xml:space="preserve">EXP: </w:t>
                            </w:r>
                            <w:r w:rsidRPr="00120AE9">
                              <w:rPr>
                                <w:rFonts w:ascii="Times New Roman" w:eastAsia="Times New Roman" w:hAnsi="Times New Roman" w:cs="Times New Roman"/>
                                <w:sz w:val="13"/>
                                <w:szCs w:val="13"/>
                                <w:lang w:val="pl-PL"/>
                              </w:rPr>
                              <w:t>MIESIĄC ROK</w:t>
                            </w:r>
                          </w:p>
                        </w:txbxContent>
                      </v:textbox>
                    </v:shape>
                  </w:pict>
                </mc:Fallback>
              </mc:AlternateContent>
            </w:r>
            <w:r w:rsidRPr="008F328C">
              <w:rPr>
                <w:rFonts w:eastAsia="Times New Roman"/>
                <w:b/>
                <w:bCs/>
                <w:lang w:val="pl-PL" w:eastAsia="ko-KR"/>
              </w:rPr>
              <w:t>c</w:t>
            </w:r>
            <w:r w:rsidRPr="008F328C">
              <w:rPr>
                <w:rFonts w:eastAsia="Times New Roman"/>
                <w:lang w:val="pl-PL" w:eastAsia="ko-KR"/>
              </w:rPr>
              <w:t xml:space="preserve">. Sprawdzić termin ważności na etykiecie ampułko-strzykawki. </w:t>
            </w:r>
          </w:p>
          <w:p w14:paraId="1427C3C7" w14:textId="77777777" w:rsidR="0059538A" w:rsidRPr="008F328C" w:rsidRDefault="0059538A" w:rsidP="00ED6A7B">
            <w:pPr>
              <w:pStyle w:val="Default"/>
              <w:rPr>
                <w:rFonts w:ascii="Times New Roman" w:hAnsi="Times New Roman" w:cs="Times New Roman"/>
                <w:lang w:val="pl-PL"/>
              </w:rPr>
            </w:pPr>
          </w:p>
          <w:p w14:paraId="548E6B74" w14:textId="77777777" w:rsidR="0059538A" w:rsidRPr="008F328C" w:rsidRDefault="0059538A" w:rsidP="00ED6A7B">
            <w:pPr>
              <w:pStyle w:val="a3"/>
              <w:numPr>
                <w:ilvl w:val="0"/>
                <w:numId w:val="0"/>
              </w:numPr>
              <w:rPr>
                <w:b/>
                <w:lang w:val="pl-PL" w:eastAsia="ko-KR"/>
              </w:rPr>
            </w:pPr>
          </w:p>
          <w:p w14:paraId="76BD29E3" w14:textId="77777777" w:rsidR="0059538A" w:rsidRPr="008F328C" w:rsidRDefault="0059538A" w:rsidP="00ED6A7B">
            <w:pPr>
              <w:pStyle w:val="a3"/>
              <w:numPr>
                <w:ilvl w:val="0"/>
                <w:numId w:val="0"/>
              </w:numPr>
              <w:rPr>
                <w:lang w:val="pl-PL" w:eastAsia="ko-KR"/>
              </w:rPr>
            </w:pPr>
            <w:r w:rsidRPr="008F328C">
              <w:rPr>
                <w:rFonts w:eastAsia="Times New Roman"/>
                <w:b/>
                <w:bCs/>
                <w:lang w:val="pl-PL" w:eastAsia="ko-KR"/>
              </w:rPr>
              <w:t>Nie używać</w:t>
            </w:r>
            <w:r w:rsidRPr="008F328C">
              <w:rPr>
                <w:rFonts w:eastAsia="Times New Roman"/>
                <w:lang w:val="pl-PL" w:eastAsia="ko-KR"/>
              </w:rPr>
              <w:t xml:space="preserve"> ampułko-strzykawki, jeżeli:</w:t>
            </w:r>
          </w:p>
          <w:p w14:paraId="51FCE71E" w14:textId="77777777" w:rsidR="0059538A" w:rsidRPr="008F328C" w:rsidRDefault="0059538A" w:rsidP="00ED6A7B">
            <w:pPr>
              <w:pStyle w:val="a3"/>
              <w:numPr>
                <w:ilvl w:val="2"/>
                <w:numId w:val="39"/>
              </w:numPr>
              <w:rPr>
                <w:lang w:val="pl-PL" w:eastAsia="ko-KR"/>
              </w:rPr>
            </w:pPr>
            <w:r w:rsidRPr="008F328C">
              <w:rPr>
                <w:rFonts w:eastAsia="Times New Roman"/>
                <w:lang w:val="pl-PL" w:eastAsia="ko-KR"/>
              </w:rPr>
              <w:t xml:space="preserve">jest pęknięta lub uszkodzona. </w:t>
            </w:r>
          </w:p>
          <w:p w14:paraId="6E3B5B43" w14:textId="77777777" w:rsidR="0059538A" w:rsidRPr="008F328C" w:rsidRDefault="0059538A" w:rsidP="00ED6A7B">
            <w:pPr>
              <w:pStyle w:val="a3"/>
              <w:numPr>
                <w:ilvl w:val="2"/>
                <w:numId w:val="39"/>
              </w:numPr>
              <w:ind w:hanging="567"/>
              <w:rPr>
                <w:lang w:val="pl-PL" w:eastAsia="ko-KR"/>
              </w:rPr>
            </w:pPr>
            <w:r w:rsidRPr="008F328C">
              <w:rPr>
                <w:rFonts w:eastAsia="Times New Roman"/>
                <w:lang w:val="pl-PL" w:eastAsia="ko-KR"/>
              </w:rPr>
              <w:t xml:space="preserve">upłynął termin ważności. </w:t>
            </w:r>
          </w:p>
          <w:p w14:paraId="762912B8" w14:textId="77777777" w:rsidR="0059538A" w:rsidRPr="008F328C" w:rsidRDefault="0059538A" w:rsidP="00ED6A7B">
            <w:pPr>
              <w:pStyle w:val="a3"/>
              <w:numPr>
                <w:ilvl w:val="2"/>
                <w:numId w:val="39"/>
              </w:numPr>
              <w:ind w:hanging="567"/>
              <w:rPr>
                <w:lang w:val="pl-PL" w:eastAsia="ko-KR"/>
              </w:rPr>
            </w:pPr>
            <w:r w:rsidRPr="008F328C">
              <w:rPr>
                <w:lang w:val="pl-PL" w:eastAsia="ko-KR"/>
              </w:rPr>
              <w:t>została upuszczona na twardą powierzchnię.</w:t>
            </w:r>
          </w:p>
          <w:p w14:paraId="20C026F0" w14:textId="77777777" w:rsidR="0059538A" w:rsidRPr="008F328C" w:rsidRDefault="0059538A" w:rsidP="00ED6A7B">
            <w:pPr>
              <w:pStyle w:val="Default"/>
              <w:rPr>
                <w:rFonts w:ascii="Times New Roman" w:hAnsi="Times New Roman" w:cs="Times New Roman"/>
                <w:color w:val="211D1E"/>
                <w:sz w:val="20"/>
                <w:szCs w:val="20"/>
                <w:lang w:val="pl-PL"/>
              </w:rPr>
            </w:pPr>
          </w:p>
          <w:p w14:paraId="06A2960A" w14:textId="77777777" w:rsidR="0059538A" w:rsidRPr="008F328C" w:rsidRDefault="0059538A" w:rsidP="00ED6A7B">
            <w:pPr>
              <w:ind w:right="1248"/>
              <w:rPr>
                <w:rFonts w:ascii="Times New Roman" w:eastAsia="Times New Roman" w:hAnsi="Times New Roman" w:cs="Times New Roman"/>
                <w:b/>
                <w:bCs/>
                <w:lang w:val="pl-PL"/>
              </w:rPr>
            </w:pPr>
          </w:p>
        </w:tc>
      </w:tr>
      <w:tr w:rsidR="0059538A" w:rsidRPr="008F328C" w14:paraId="31DAC64B" w14:textId="77777777" w:rsidTr="00ED6A7B">
        <w:trPr>
          <w:trHeight w:val="5669"/>
        </w:trPr>
        <w:tc>
          <w:tcPr>
            <w:tcW w:w="9634" w:type="dxa"/>
          </w:tcPr>
          <w:p w14:paraId="3322F17E" w14:textId="77777777" w:rsidR="0059538A" w:rsidRPr="008F328C" w:rsidRDefault="0059538A" w:rsidP="00ED6A7B">
            <w:pPr>
              <w:pStyle w:val="a3"/>
              <w:rPr>
                <w:lang w:val="pl-PL" w:eastAsia="ko-KR"/>
              </w:rPr>
            </w:pPr>
          </w:p>
          <w:p w14:paraId="5E973667" w14:textId="77777777" w:rsidR="0059538A" w:rsidRPr="008F328C" w:rsidRDefault="0059538A" w:rsidP="00ED6A7B">
            <w:pPr>
              <w:pStyle w:val="a3"/>
              <w:rPr>
                <w:lang w:val="pl-PL"/>
              </w:rPr>
            </w:pPr>
          </w:p>
          <w:p w14:paraId="6A0F0022" w14:textId="77777777" w:rsidR="0059538A" w:rsidRPr="008F328C" w:rsidRDefault="0059538A" w:rsidP="008F328C">
            <w:pPr>
              <w:pStyle w:val="a3"/>
              <w:numPr>
                <w:ilvl w:val="0"/>
                <w:numId w:val="141"/>
              </w:numPr>
              <w:rPr>
                <w:b/>
                <w:lang w:val="pl-PL"/>
              </w:rPr>
            </w:pPr>
            <w:r w:rsidRPr="008F328C">
              <w:rPr>
                <w:rFonts w:eastAsia="Times New Roman"/>
                <w:b/>
                <w:bCs/>
                <w:noProof/>
                <w:lang w:eastAsia="ko-KR"/>
              </w:rPr>
              <mc:AlternateContent>
                <mc:Choice Requires="wpg">
                  <w:drawing>
                    <wp:anchor distT="0" distB="0" distL="114300" distR="114300" simplePos="0" relativeHeight="251658377" behindDoc="0" locked="0" layoutInCell="1" allowOverlap="1" wp14:anchorId="34D6955C" wp14:editId="63149ECA">
                      <wp:simplePos x="0" y="0"/>
                      <wp:positionH relativeFrom="column">
                        <wp:posOffset>120015</wp:posOffset>
                      </wp:positionH>
                      <wp:positionV relativeFrom="paragraph">
                        <wp:posOffset>56515</wp:posOffset>
                      </wp:positionV>
                      <wp:extent cx="2171700" cy="2800350"/>
                      <wp:effectExtent l="0" t="0" r="0" b="0"/>
                      <wp:wrapSquare wrapText="bothSides"/>
                      <wp:docPr id="3990" name="그룹 3990"/>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3991" name="그림 3991"/>
                                <pic:cNvPicPr>
                                  <a:picLocks noChangeAspect="1"/>
                                </pic:cNvPicPr>
                              </pic:nvPicPr>
                              <pic:blipFill>
                                <a:blip r:embed="rId163"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3992" name="Text Box 3992"/>
                              <wps:cNvSpPr txBox="1"/>
                              <wps:spPr>
                                <a:xfrm>
                                  <a:off x="1447800" y="2654300"/>
                                  <a:ext cx="719758" cy="146050"/>
                                </a:xfrm>
                                <a:prstGeom prst="rect">
                                  <a:avLst/>
                                </a:prstGeom>
                                <a:solidFill>
                                  <a:prstClr val="white"/>
                                </a:solidFill>
                                <a:ln>
                                  <a:noFill/>
                                </a:ln>
                              </wps:spPr>
                              <wps:txbx>
                                <w:txbxContent>
                                  <w:p w14:paraId="3AD5B742"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D6955C" id="그룹 3990" o:spid="_x0000_s1363" style="position:absolute;left:0;text-align:left;margin-left:9.45pt;margin-top:4.45pt;width:171pt;height:220.5pt;z-index:251658377;mso-position-horizontal-relative:text;mso-position-vertical-relative:text" coordsize="21717,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KOhfQMAAA4IAAAOAAAAZHJzL2Uyb0RvYy54bWycVdtu2zgQfV+g/0Dw&#10;PZHlOHZiRCncpAkKZFtjk0WeaYqyiEokl6QtZT+ov9A+9Ivan9hDSorXSYteHiwPyeFw5sw55NnL&#10;tq7IVlgntcpoejiiRCiuc6nWGf377urghBLnmcpZpZXI6INw9OX5iz/OGjMXY13qKheWIIhy88Zk&#10;tPTezJPE8VLUzB1qIxQWC21r5jG06yS3rEH0ukrGo9E0abTNjdVcOIfZy26Rnsf4RSG4f1cUTnhS&#10;ZRS5+fi18bsK3+T8jM3XlplS8j4N9htZ1EwqHPoY6pJ5RjZWPgtVS26104U/5LpOdFFILmINqCYd&#10;Panm2uqNibWs583aPMIEaJ/g9Nth+dvttTW3ZmmBRGPWwCKOQi1tYevwjyxJGyF7eIRMtJ5wTI7T&#10;WTobAVmOtfHJaHR03IPKSyD/bB8vX/9gZzIcnOylYySf49djAOsZBj/mCnb5jRW0D1L/VIya2fcb&#10;c4B2GeblSlbSP0TqoTEhKbVdSr603QBwLi2ReUaPTk9TShSrQfovHz99/fCZxCnAHHYFx24bC2Xd&#10;aP7eEaUvSqbWYuEMiAs5BXom++5xuHfmqpLmSlZVaFWw++pA8ick+QZAHQEvNd/UQvlOUVZUKFQr&#10;V0rjKLFzUa8EKrJvclTEoWaPmoyVynfycZb/hXyjlJy3wvNyyHuXW6jCgWZk1fypcwRgG6+jZH6d&#10;ZtPp0cn4OIIzkAUoWuevha5JMJAtMorh2fbGhdzAq8ElIKV0wCzmXKm9CTiGmQh0yLg3UUBQCK4p&#10;N0CM0TOQf0mJtyUzAlmGsHvUGQ/UuQtCe6XbQJ5xqLh3DYolvsVKT5Mw32W7g6QXbjqZzKBMSoJE&#10;p8eTI9ix8EHEs/R0doyLOmg4nUxHnYQfhbgD7iexdbqS+UDJAPpFZcmW4QpuSulF37g9r+/0YFdV&#10;sHy7aqO40tlkwGKl8wdAYTV6jhKd4VcSJ94w55fM4i7HJN4n/w6fotJNRnVvUVJq+++35oM/GotV&#10;Shq8DRl1/2xYuDiqNwotR0g/GHYwVoOhNvWFRq0QC7KJJjZYXw1mYXV9j2drEU7BElMcZ2XUD+aF&#10;714oPHtcLBbRqbt/btStwa2VRmYHZO/ae2ZN3xePhr7VA6nY/An1O9/AdWcWUN+VjLoIyHYogulh&#10;AIJHKz46sPZetf+Po9fuGT//DwAA//8DAFBLAwQKAAAAAAAAACEA9k8+oDx5AAA8eQAAFAAAAGRy&#10;cy9tZWRpYS9pbWFnZTEucG5niVBORw0KGgoAAAANSUhEUgAAAqwAAANICAIAAACNAipHAAAAAXNS&#10;R0IArs4c6QAAAARnQU1BAACxjwv8YQUAAAAJcEhZcwAALEoAACxKAXd6dE0AAHjRSURBVHhe7b3r&#10;1x3Feeb9/g/zB2RiYxuMAesQc5DB6PREnhjjg2RhcxbgAAYkZDBgJIQ5CSXKwcE4vDgsRYmWY8cY&#10;B+eNPYpGcZLJGEwyXlkTSYRJPIlgPryT5IN4Z5GveS+pyj03tWv3U7tPVbv377euxRL307u7dndV&#10;3VdVd9f+v/4NAAAAFhJMAAAAwIJy2gS882f+PUIIIYQWRM4BCEwAQgghtFhyDkBgAhBCCKHFknMA&#10;AhOAEEIILZacAxChCXBRAAAAGBP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AAAAGD/RXI8JAAAAGD/RXI8JAAAAGD/RXI8JAAAAGD/RXI8JAAAA&#10;GD/RXI8JAAAAGD/RXI8JAAAAGD/RXI8JAAAAGD/RXI8JAAAAGD/RXI8JAAAAGD/RXI8JAAAAGD/R&#10;XI8JAAAAGD/RXI8JAAAAGD/RXI8JAAAAGD/RXI8JAAAAGD/RXI8JAAAAGD/RXI8JAAAAGD/RXI8J&#10;AAAAGD/RXI8JAAAAGD/RXI8JGAkvvfxKVMeOn/BbAADAAhPN9ZiAOUCJXOn8wMFDTz39zK7de7bd&#10;dIu0tLTJXrhEbd6y1X1877792tvzL7yoPZ98/Q1/JAAAGCk2F/gQJqBAlPKVm5WhG2f6ZtLhtu/Y&#10;qePKFpw69aYvDQAAjALb4fsQJqAElHEPHznqsr69Fnkl/yFPcODgIW4oAACMANvD+xAmICNKrkr8&#10;m7dstee/TK1eucoZAm4cAADMKbZX9yFMwPBo0L9r9x6lVXva2+h955x/2YeuqFfwkTaSa9m7bz/T&#10;AwAA84XtyX0IEzAYypqNc/+aNUtK5OuXbli38eY163d8YO1O6d9d+FAD/cyaXe7jazfeqr2t23C1&#10;9iwbERwxRUtLm5gbAACYF2wH7kOYgL45depNZcqZnu9zI3uX71dc/oUgi/cn5wxkNWadOdi+Y+fh&#10;I0f9FwYAgCKx/bYPYQL6Q0Pkvfv2Jw79V6+85PSgfMMd51z6QJCbp8kN6Cvps6dH9m9XsE36ziVt&#10;L0+wdv2WxHkCGZ3nX3jRf3kAACgM22P7ECagD5T+d+3eY89qVEquSrE1id9N3fvsfmbeftYx+jTJ&#10;c7i9VV6hfspBf9Vma9YsBfuZFFYAAKBMbF/tQ5iAbjl16s2nnn7Gns9JKfcro69ZvyNItJIbfLsJ&#10;+Wb36Vtq5YqLnDNQ8aLWREGVcFk3gBUAACgN20v7ECagQ5T26if/Tw++N9yh8X2VU/VvpdvE2/Dv&#10;esdZK99/oQbxl176H9ZtvNrpQxs+J+uwrHSU6iP6uHby/vNXB/uf1Hvf896167co60/OE8gNyCto&#10;P8FHrLbddAsvEQAAFILtn30IE9AJJ19/o2adHzf0twNr5VQl/prxtPK98uvlaz+2YeP1l6zr9/FA&#10;ZxFUHh2uJqmf8+5z1q77xOTNC3223sE89fQz/jQBAEA+bM/sQ5iA9hw+cnTaBMDp9L/x5mrof3o4&#10;vuHq6Dy/sv7FF63VMF0p304VZJE8h5L9+o2fUZGCcjpddOHlazfeat2AnIS+WrBZpc1btvImIQBA&#10;Xmy37EOYgJbs3bffnj2rKv0rWWqcvXLFRcEGSvyXXLJh/dK2Xgf67aUEr0KuXrUmKL8kN2BvcGjL&#10;abMC8kkvvfyKP2sAADA4tk/2IUxAY06denPaKwBr129xo+ToVPnpG+3rNmvE7xLnHEnJXin/8rUf&#10;C77R2We9Z936T1UTA/rW024r8LQgAEAubG/sQ5iAZsgBRNf8f9855ysFKhEqWQZD/3e/813K/YUP&#10;+hM1zQ0o4qyANli/dEPwVyd8AABAFmxX7EOYgGZEHYAG/Up+MgFB+v/A6ksvXX+nTaKjkVL+uo03&#10;v/+Cn7Pf97LLPuKswAfW7ow+AIEPAAAYHtsP+xAmoAHRuwAa+J5+nu7tk/9VOhy9Jmc+1m28Wpbo&#10;tCuKvQTBMsMAAANjO2EfwgTMyoGDh+zpclIK1IDYRqqJ8YVSMAty9rvOvnT9nfIBky8OrF65ivcF&#10;AACGxHbCPoQJmAnlLXuunC7fePsll2yo/vfii9aO48Z/Y63deOu5Z7+vOiFr135CwUkfsO2mW/xp&#10;BQCA/rE9sA9hAmZickWgdUu3nHv2ue7f737nu9Ytfdamw4WVRv9r12+pztKKC37u7EsfmLwvwMMB&#10;AACDYbtfH8IEpPPSy6/YEyWtXbf57Hed7f69etWaBZz/r9dlG+6opgR0olavvSd4TnD1ylWnTr3p&#10;zy8AAPSJ7X59CBOQTjANsPL9H6gcgNyAxr5BCkTSisu/UCX+s372HWs33ub+XYnJAACAYbB9rw9h&#10;AhKZfBrgPe98l/vHug1XBZkPWZ1jbgS8+x3vClYX2Lxlqz/FAADQJ7bv9SFMQCLBSwFKZu4fOIAU&#10;2fmAyV8v5DUBAIABsB2vD2ECEon+SOAll2wIsh2aJvmA6ryd/74V1b8l7ggAAAyA7Xh9CBOQSPR3&#10;AnkScCYFSylU4reGAQAGwHa8PoQJSMSeIqf1SzcESQ7V62fW7HI3Bc769z9rzyQLBgAADIDteH0I&#10;E5CIPUVOGacBoj/Xq3F2sFmBik4GYAIAAAbAdrw+hAlIxJ4iac2apSC9Danpv9l/yQfW7gw2Lkr2&#10;yYBKmAAAgAGwHa8PYQISsadIynsvYJoJcFq34fQv9wQfsdJf5RXc7x2sXb9l4EWOg9JKmAAAgAGw&#10;Ha8PYQISWVraZM/S+o3XBrltSNWbAOl955y/Zv0Ot7FyvP6tfC9zoA8Ga/ZJA08eBEeXeDAQAGAA&#10;bMfrQ5iARLbv2GnP0oc+9NEgtw2pZU2A02S+jyq7CeAVQQCAAbAdrw9hAhIJFgt6z1nvCXLbkApM&#10;wOmxfuw3+xM1pAk459IHgqNLLBYEADAAtuP1IUxAIpPLBl++8fYgww2mwAS44NqNtyYO/QMNaQJU&#10;yODoPBAAADAMtu/1IUxAOsEdgbPPek+uHw2KmgBJ42z7A76JGtIEXPC+lcHRuRcAADAMtu/1IUxA&#10;OrGfEv5EkOSG0TQT4LRm/Q771zVrlrT96RcBNt6qfC/jErysP5gJWL8ULhKwtLTJn1wAAOgZ2/36&#10;ECZgJoLJAEkJNUh1nUvje+Vpq+AJgGB7qeZPUhYT8HNr7znrZ99hjysdPnLUn1kAAOgZ2/36ECZg&#10;Jk6+/sbkjwhctuGOIOF1qyBnTyrYXqr5kzS8CTj70gfOftfZ9qASTwMAAAyJ7YF9CBMwK8+/8KI9&#10;XU5rN94apL0ONe8mIOoA5KVOnXrTn1MAAOgf2wn7ECagAXv37bdnzGndhquD5NeV5toE/NzaeyYd&#10;gHTs+Al/NgEAYBBsJ+xDmIBm7Nq9x540p0su3tDHrwrNrwlYt/GW4AcDnXgjAABgeGw/7EOYgMZE&#10;fcB73/Pezm8NBDl79cpL7NsB+newvVT9NYg7DWACfmbNrosvWmuPUgkHAACQBdsV+xAmoA1RHyBd&#10;dtlHOvxVniBn638VrP7Xblmp/q99m4D1G7dFJwBWrVjJ6wAAALmwHbIPYQJaEiwnbLV+w6c7uTsw&#10;Rybgg+vvOvfs8+zOKy0tbeI5AACAjNg+2YcwAe1Rbgt+Y9CqvRWYCxPwoQ2fe//5q+1urbbv2Mm7&#10;AAAAebHdsg9hAjpBGS76ykCly9d+rHGuLdkE/MyaXes3Xv+es95jd2i1asXKAwcP+dMEAAD5sJ2z&#10;D2ECOuSll1+pmRKQzn/finVLn511YqBME3Dphrsuvmhd9N5/pe07dvILgQAAhWD7Zx/CBHSOBr6T&#10;qwoGWrNm6fKNtyf+/lBRJkC5/4Nrlt71jrPsHia17aZbZIn8GQEAgAKwvbQPYQL64NSpN596+pll&#10;rYD0/vNXr9twdf2rBNlNwPs/9IX1G6/XuH/Z3C8tLW3iJUAAgAKxfbUPYQL6w1mB+hsElZRfL75o&#10;7fqN13xw/V1BDs5iAn5u7T0qjBL/u9/xLrtxjTT65w1AAIBisT22D2ECBkAjYyVIe5KX1Xvf814l&#10;4HXrP7V2461KxvZPfZiAFZd/QQdat+GqNWuWpr3jN02rV67atXsPr/8BABSO7bp9CBMwGCdffyN9&#10;YqBGnZuAxtq+Y6f8De/+AQDMBbYD9yFMwPBo0Lx33/7GbiC7CXC5n8f+AQDmC9uT+xAmICPKowcO&#10;HlJOTXmEsFIWEyDLsmv3nsNHjjLuBwCYU2yv7kOYgEI4dvyEMwTLzhAMZgK23XTL3n37GfQDAIwD&#10;28P7ECagQDTafunlV+QJNPhWJj737HPsBerJBMh86FhPPf2Msj5P+QEAjA/b5/sQJqB8lJjtBerc&#10;BHzzWy/4IwEAwHixPb8PYQLKp28TwNJ+AACLgO35fQgTUD6YAAAAaI/t+X0IE1A+mAAAAGiP7fl9&#10;CBNQPpgAAABoj+35fQgTUD6YAAAAaI/t+X0IE1A+mAAAAGiP7fl9CBNQPpgAAABoj+35fQgTUD6Y&#10;AAAAaI/t+X0IE1A+mAAAAGiP7fl9CBNQPpgAAABoj+35fQgTUD6YAAAAaI/t+X0IE1A+mAAAAGiP&#10;7fl9CBNQPpgAAABoj+35fQgTUD6YAAAAaI/t+X0IE1A+mAAAAGiP7fl9CBNQPpgAAABoj+35fQgT&#10;UD6YAAAAaI/t+X0IE1A+mAAAAGiP7fl9CBNQPpgAAABoj+35fQgTUD6YAAAAaI/t+X0IE1A+mAAA&#10;AGiP7fl9CBNQPpgAAABoj+35fQgTUD6YAAAAaI/t+X0IE1A+mAAAAGiP7fl9CBNQPpgAAABoj+35&#10;fQgTUD6YAAAAaI/t+X0IE1A+mAAAAGiP7fl9CBNQPpgAAABoj+35fQgTUD6YAAAAaI/t+X0IE1A+&#10;mAAAAGiP7fl9CBNQPpgAAABoj+35fQgTUD6YAAAAaI/t+X0IE1A+mAAAAGiP7fl9CBNQPpgAAABo&#10;j+35fQgTUD6YAAAAaI/t+X0IE1A+mAAAAGiP7fl9CBNQPpgAAABoj+35fQgTUD6YAIBxcOrUm2pu&#10;y+rk62/4DwB0iu35fQgTUD6YAICSUc52yVtN1WnbTbc4LS1tsm2tmVavXFXtcO++/e4Qh48c1RGP&#10;HT/hCwGQgK1XPoQJKBA1bNenPP/Ci65DsReocxOwa/ceHUXHcgelWwGYhhqIsq/ai1pNVzm+vZxL&#10;2L5jZ9WQT51605cYwGCrjQ9hArLghg4ux7s0n96hdG4CpknlcQVzhXQjDyYqYXFQhT9w8JAG32oF&#10;SrRBAylfKraz+NgCcNjq4UOYgM6xt/1c+pTcuEFqP3RYvfISKQima82apTYfd6r8getinKpv7U8E&#10;wLyh2qusr1q9ecvWoM6PQK7ZuqaKJ1hMbH3wIUxAA9x0vZsVlLbv2Okyoj2NSAqMAnMJUBqqjc+/&#10;8KLG+qPM+vWSJ1DblOnhDuDiYCuAD2ECpuFm7F2md/OBhaT5DRuWrr3+RqfdDz/yxL5fTtHn772v&#10;+pT2EOwzi9wpdQ86OX/A6AQGwCV+5b/203Kj0eqVqzSYwRCMHnvRfQgTIJR+pCrZZ+8aqmxdpfBn&#10;f+vAt//gu04/+LM//29/c6yNtIdqb9pzdZTquEF5BpbGZJU50HWhV4JOkNFczBH/rJIhkEOST8KU&#10;jw97oX1o0UyAG99X+T7Xwz5uNK/RuVLvl7/yVZePf/SXfxVk67xSeVzBnEW47fY7VeZcswjudqau&#10;mgYrzBlAImrvqjAa4wbVCSVKnkm9JUZ8NNiL60PjNgFVypexVQqxX7M/VdP1LsfbNC+1H8eXoO8d&#10;PlJ9I/cdK5cgrVoxkLXSNXU3NbEFYFHSUq1g0N+h5MJlwdXQ/CmG+cReUx8amQlQ43fv3fU6yv/4&#10;JzbbHO9yofJikCmR8wq/+/VvWpegsxecz67kZgt09Q8fOSr/5+sELAy66EpU3OnvVe5mAW5gTrGX&#10;0ofm3QSo2btn9zof6Gs4q4ylvKXsVQ3lgySH2sidUp3byh90O4Wg3qryBMwTjBg358+4f2C5uQHu&#10;FMwX9gr60DyaADfXt33Hzq4svxvZV8meMX1eufkDN3nQ4cyBaot73IluaxzI2Olqdu7+e5JqcgMN&#10;dmetjdSy1CEz9zYX2AvnQ/NiAqrE33KS343v3Zt1yjTjuEO/CKqcgXvXsWXnqFrkXoii55pH1BvI&#10;z/V3v29WRe8PSkEdbinXBCQ3eaZOzBmFoDAZpTZ1+MhRf5GgSOz18qGSTYBz+i1bu0v5bohf2uP3&#10;qI3cywuVLQiue7rcDAG3DMrHdQh5p/2V790twmfPvLVbTpeiwriHb1o2h/ZSg3rq6Wew12Vir5QP&#10;lWkC1Nr37ttvS5UoN9BXS1B7YJS/aNJQSV2zrr7qQLOpAnVevgpCSSijqEMYfujv3vRx/cnc3SV0&#10;y4Go8HIt/T2NWyOeHywQe4F8qEAToAY/k9lXK9VYn6yPAqk+yBOobszUA6ruMSVQDsoiQ77lb0cR&#10;45s4rDzBkKt9qEE9/8KL/nJCbuyl8aHSTMCx4yeW9ftqqKrHboY/qOUITZPrAdXFB9VpUviAEhhs&#10;5r/qT+ZurN9GziJ//t77hjEE6tWfevoZmlV27EXxoaJMgKpITbNfwIaKetKyhmDbTbf4SgnDok5A&#10;6b+rF3+maTET/zQNZgicFeBxgYzYy+FDRZmA6HMAux9+hBE/6k+/+/VvqvsLap3E8wEDo/Svc97r&#10;jf+Pf2Iz/Um95IrkjVImzNpo1+49WIEs2KvgQ+WYANUJWwxJbh2fjoaRRkKqb7b6KRsxezkMfad/&#10;pTQlNp4Zmkk/+su/UqO47fY7g3bRobACw2PPvw+VYwImpwFwAGhI/e7XvxnUQB5o6pte078SmNIY&#10;Lwa3l5st68kNYAWGxJ55HyrHBARPAzyx75eDiohQ3wruC2zfsdPXTuiBnu79f/wTmzXuJ/f3IbkB&#10;WavghLeXe1aAibcBsKfdh8oxAbYMEm0YDa/vHT5iK6H6Jl87oVMOHznaefrfsGFJIwfm/AeQu1PQ&#10;+doDzgr4KgL9YE+4DxViAo4dP2HLoOoVVDuEhpGth5KvoNARL738Suer/X/+3vt41i+LZLl2P/xI&#10;t7cJ5A65Ddcf9lT7UCEmQF2DLcO1198Y1DaEhpGth5KvoNCaU6fe3LV7T3B620hDf6b9C9Gzv3Wg&#10;2xcK5BRZbbAP7En2IUwAQla2Hkq+gkI7un3677bb72ToX6B+8Gd/3u3zg3KNPCjQLfb0+hAmACEr&#10;Ww8lX0GhKWraXd3+V3ZRjuGuf+H60V/+1RP7frmrdYfkHQ8cPOQrE7TGnlsfwgQgZGXroeQrKMyO&#10;xnBdLfuv9K+8wsz/fOnZ3zrQlRXYvGXrseMnfMWCFtiz6kOYAISsbD2UfAWFGdHorZP5f2UR5ZLg&#10;GqE50rf/4LtdPS6wd99+7g60xJ5PH8IEIGRl66HkKygkc/L1Nzp5/p/0PyZ1ZQWWljYpWfiqBrNj&#10;T6YPYQIQsrL1UPIVFNLoZAKA9D9WdWUFeGCwMfY0+hAmACErWw8lX0FhOTqZAFi1YhXpf/TqxArI&#10;azIl0AB7Dn1ovkzAj/7yr1SBouKZYTSp7x0+EtSTStOeMrP1UPIVFGppPwHAo3+Lpk4eG+QpgVmx&#10;Z8+HyjcB6sd3P/xIunNUxdLGkvoUSd09P0Q0brlM7y63u/Tpbyq7emJrSPBZX0FhCuqC208AqIGT&#10;/hdTX/7KV9Nba1RLS5t4cSAde+p8qGQT0IlVrPTxT2y+7fY71eP/7te/ybTB/EoJW1fQ5ftuq4eb&#10;iA726SsoxDh85GjLCQBdRBrjgkv+Ty4wqBizih8dSMSeNB8qxAScfP0NW4bLLv1Q0BfLLbpBm1TN&#10;6Dq5lOCkNK/NUn7ZotohnqBw6eooPafPBunqa0tn+JyiFSa6w8ma4ysovJ1Tp96c/O3vmaQGrmsR&#10;XGu0sFIzT2zg07Ttplv4SeJlsWfMhwoxAcKWwerz997XbD7fPUCg/KEeXymh3hmoS9KBtDGGoATp&#10;in/5K1/VVaufKqySvfK6rnWzKWV9Vpc+2LPT0tImXzvBcOz4ieCHv2eSrqkuWXAVEJLUGNtM761e&#10;uerwkaO+mkIMe7p8qBwTMHlnUf175ylZ2cXZAuWPaQmmMgTcpxxSbsSvMz/tutjJm2a+sEbRgciu&#10;3Xt87YSf8vwLL7a5BaBmjs9GNWp/d2Dvvv2+ssIE9kT5UDkm4MDBQ7YY0gCzhc4TKPFMmydQXEPS&#10;zlMOqqRzq7xec/7VIwwzQ6OjBEfnJ00DOvkZQJktHDaalKqEKkb9lG2iNm/ZylsDUexZ8qFyTICu&#10;WTDC0MhvyLuGqoIaYirlROejFNSfGMR0JeX+aafaJX5diyHzxKQD4F6ARc2zzS2Aj1xxZRBxNwWw&#10;AkhSv6rKEEwB6n8/tfXT5597ng2mS9mEhQQmsafIh8oxAeKpp5+xJXHSMH34gbgqpbLCbbffGRRG&#10;cnMDdF7N5Fr7ZO5Xg3e3YIa3WTKakzcCJKYBKtSZNr4FoGvtrLwb5wVtyl13vPXCSn27KoCtEpIq&#10;iaqK20B1I9o8E8UvEAbYk+NDRZkAMW204Qbiyr7qUAb2BO7BsUmXqmRG55UunavJ1u5ygM5wsHGv&#10;UhWSdPl06OhUhLR9x05fIxcemaHg5KRLbXbSLqsmTA771O8PXA1QXinNB9nddarR8VWb5QR4ssdi&#10;z4wPlWYCZpp11KBc1Ujdh6qOpE6kV4vg3EBQBjqvZRVt7b3mftUB1QTt31UMXSMVIP1eIzcUKxo/&#10;BKBLrEsQXBcr9fW6NIEJc14fbz1iqW3qEgcZXdddvUT99GqbKQFadIU9LT5UmgkQulrt1yCTVGMk&#10;JRv1NaphXfkD13lNVmLV7MT9azMZW5efnNwMR7BZCVKpgqLqTCZ+TeeZGrT2RKkYVfF0oJnSfI22&#10;79hJfyHaNEO5rvRLPOkRJXfTrSs3oP2oqthqLLlG10mfMO+yTSk4Px1eAu0w8HySLv1MgwEVLNhD&#10;olhY0GHPiQ8VaAIcXf0e+aSUllTz3PyBMwfNcpI+O5l1tHPt2bWfYHs1Ax1xshlYuc/m7ZhcdzDZ&#10;L1tFc7n+131W3yLI/ZJ2qI/Y7RPldqvP6uxpz9rP5M47kboJngNwNF4JQJem2VVWnZ8cIEpqYrru&#10;k60pRfqU3GF9i3NSpWp8lDmVUq9OeH0zd9IJ1Gls1inplOook5dAF1rxZg5DJUm5ppNSQmEVAXtC&#10;fKhYEyA0FlGn3KwzmlWqlGoPqpcuf6fbAtd51VRK7TalpU1K3Z9zKpJarErVh1xylVTIZiPp+g/q&#10;zMzU2l3KV3nc4D7YW0/S6J/0XyEH0Mx/qxq096+q6qr2wZ6dVB9UMVQ96quTqpBqdbPKo36gBCPe&#10;k3TqnEcPvnWidEp1Yuv7Rl0aXUHXnwQfl3R61a5nGvpHpTI0/hYL3tLtqfChkk1AhdzASy+/8tTT&#10;z+zdt3/bTbd0crNgWSl7uU5HVTbFEzg3kJJH1QzUGqt9qtm4tNes2+pPrjcMiqqzofIHW05K50Hf&#10;KKUntb3G5ECwD7kqpLqkGqV6xeS/RV1kMwegyh9c2TZSlVO+UU2rqRKqMJK2UeWR9A/976QddzZU&#10;e7PuQTVT/6tgfcWr9q8qqu2r4pUvnUAV2LUsfYVp/ZK+uL5j9QWrBus6JXcJJk+p9qZP6azqg27/&#10;+l8p2KxSV7k/kIrXrMdY5NWE7HnwobkwAdPQkEWd+OEjR9WbSxrPqXPvaeZALUH1OGWI4Jqf2oYa&#10;iWsbTq4nqhJqVNVnlYBT/ES3UiF1XB1dZQgKFkh9hL5L8AX1QWcago0npXPoRiST/Usncml+1+49&#10;rmKokkisK74scgDBmUyROmJVhuASdyjXIlTBguMuK30kpTY6qU7qKCmNTpXWVXh1CPpIIVJrcqVK&#10;aVP6mildWSWdRu052Mmy0kdUsPSjNJB23qwPWdhXBuxJ8KG5NgH1OIugfk1pwE0hdOUPnCFYNqN3&#10;ImcLnNRuXYNX9m1gEc59zzn61COP7XU7cQnbKThoH3K+QV1VM/M+KV3NakCvq6xrzYM/bdBpDM5w&#10;it5//gX3f3G3rmyvfX0lHUXHUu11CS8ojKSga5vVoH9WqcVVU1M9mdThpS9S+fvGvZZOqToNnd5p&#10;Z17SIQauDPc/uPviCy8OCpOixXwE2J4BHxqxCZiGu7ngzIGbPLBff1apaakiDuAGnFwqDfLo+vW/&#10;8NErr73qM5+3+sgVV+q/mz68+dJL19qN3bitcRc5q1zH0XJWoxrWHz5yVNeOCfzOafwqYCClATfj&#10;1SAN/M3x48dOvOp0/NW//dv//neVTvzta9Wf/tux48EH+5YSp7MFlfmQgi9eiFzZXL53KX+YfDyM&#10;9HWcC2nZn1TSQGLROhP79X1oAU1AFOcMDhw85OYM7AlJlBpe5ze9Aql7tUc8773v+8x1uz91w1c/&#10;ecOzk7rzrrurf3/6xt+4Yduuyy9fbz+uvQX771bKBA36ytUrV7nxva4F+X4YunIAk1IFUCpSu4i6&#10;5L858aoS/H//u5/8/U/+4X/8w8mZpI/og6/+7WvaSbDb4SWnq/w0qQO/c+iLu/coY13wvvODM5Mo&#10;ffDqa67TTrSrYOdOg7n5LNK3U+Vxtx2DM9OVFs0H2O/uQ5iAaRw7fuL5F16c1RNs2LAkr9rHxEDg&#10;AD6x+RbZjirNT8qaACfZhS1b3taW1EEHR2kvfXftdqY5f51hN8rntv3w9OcAAlU30X7w5/9Zuf8n&#10;//CPQV5vLBkC7fBvjg89Q1CjZR3w+845/7IPXREo2CaQdqisHxxofFLi19lTVRnsXsxC+QD7xX0I&#10;E5CIRqVKVImGQCmw2/yqhuH2fMH73q/R/9U3PKmkPpnmraJ/lQ/QZ2+/c+/KC1a4cnboV2ZK/9t3&#10;7HRjfX9+IQcNHMC5Z5+jqtVstqzSJz655eFHHv/9b38nSOctJSsw/M2CQN87fGRysloJft3Gm9es&#10;3/GBtTv/3YUPTZO21H9/Zs0ubXbZhjvWL90w6QxkBcY0w++krkMj/vaJX9XykUefuPSDlwXxZSUf&#10;sCAjEPutfQgT0ACNWffu27+0tMmet0mpQnfl3JVc3T7lAKqM3sAEVLrqM593O5TpDo7VTGrDy6Z/&#10;nTGdNxJ/CWjoo44vuEDLKhgzqd907+bI0i3bHKbpc3fc9fQzX1MaCDJ6M/39T/4how9Qa7Jfbe36&#10;LcrlSuo209dIHwkikj6unVg3oIbWVbPNK41tvrzcumQ1UpVTxVP1U5cSpPAG7nb1ylWL8GSx/co+&#10;hAlogyrNsm5gd+w3VGbVbT9dGcMm8jYm4NM3/obbYfsZC327qnhRudzPo/vl0MwBLPs0tf7qJsya&#10;eYJPfHJLJ27A3R04/QjhRF3tSUrJwejf5ewgnS+r+o+cnh54+8SADjqPbsDl/gYP99msX18VhTYL&#10;Pr6sFsEH2O/rQ5iATtB4SLXTnkYrVXfV+6AlLCv3Aox9KObiiy6zibyNCZDcPjWq0P5lBXSsBtOM&#10;+kjNDJ78OOP+Amkwma9L6T+cjJsnkP+b1XDIDRw4eOjY8VeD7D6r/u7vf9L3gwKyLJMD2bUbb1XO&#10;1j9sCk9RykfWbbi6OpDT5++9LyhVmdK5apD7VVdVhVSRls36kzRY90I+YNz3BeyX9SFMQIeo9kyb&#10;hlKuXfbdATWS+kdhN314s83inZiASTlPoJKoPEEJA6lJT7sFoPMw7rY0vzSYKVVK9h9uinrwBobg&#10;C/d98Y++/8dBap9JP/mHf+z17oBtqmvXb1m38WbnACRFqsydqMSP6BCnD7R+S3Xown3At8/8iENV&#10;2mWlSuKG+772tEA7mXUFzOCe18iw39SHMAGdo+Q3baSlLmPaUwJKqMHGlVavWHXjtps/csWVn7n+&#10;UZvFW5qAa2+478Mf/gXtWfsPjlhpWmllEaY5+u07dpL+i6WBA9Bwyn+4I9TDap8qSWLv7CYGguye&#10;rr/7+58EtbcrPfvTJwDWrFk659IHglSteBBZVrN+ZMXlX3jfOf7lw2XHGFmkU5T4rN/S0iZViWYj&#10;/nqOzf5bGCP2AfZr+hAmoCfUbdmzaqVWoZQf3CCoHv2TXNb/8lNfVZOoEupkUm9pAm667Svaxu1c&#10;Rzn8x//p13/jaR23KoYUmIDvnVladVqrVktTgd0OoUBKcAABKU/VOG3c+PONrUBPawlUDUHJOEjP&#10;kuJBZFk1+MgH1vq7kDLlQfEy6kfJLwq5QX/fd+LxARX2O/oQJqA/lq156kQ+f2b5cTtd9od/9B/9&#10;599OryYgoLqXJrOiEYZKeNty6/yrH++7JUMbZnUAqrpDPs8hG6pksKwbaGYFTr86+PYs1V4yxK5I&#10;6zZcHSRmJ/0piCyrBh+RqvsCDR486kM1dwkrKcXqOg45Zahj6aBBMeo1Sh9gv6APYQJ6RXWo5oHB&#10;qLbddIv/8NsZ0gTM2lo0mBvr7Nk4qJmXikoOIJel03GXvVPwiU9umelZgT7uCFRTd2vW7wiyspP+&#10;FESWVYOPSJdtuMOVJPubAhrM1A8VdFnVV+SqWuqjZu3Z1Hv7D48F++18CBMwAIePHE2Z8HSaLxOg&#10;0vL8f+HM+ox0RgdgUbHr6+EX7vti4hsEpxcPmMhYLVVN3U1bBkB/CiLLqsFHpHMufcCVRL4kKORg&#10;+tFy7wmro+j71lIKDXyALKn/8CiwX82HMAGDoTYw7YFBq3kxAfLIpP/ykQENLly9CnEAFapjNXNp&#10;Gzf+fOKUQJC02qt6LyBIyZVq/jRNDT7i5EqiIgWFHEa/W7tQmJJoUTWqgQ/Yu2+///D8Y7+XD2EC&#10;Bubk628cOHioxg0UbgJUvIFv5kFj1PnWz6sHKs0BVKi+1ViBp5/5WpDyJ/Xa3/39q2d+ijBIYOnS&#10;YPfbf/Bd93xM9WrMZR+6IsjHlfTXILKsGnzEyRVGUsGqx4yWfcW3EwW/aWKl9F9mR9HAB5QwjdEJ&#10;9kv5ECYgIxrlKKEGT2wVaAKe+ukP9vs/wzyg/nccDqBCNXCae06/NSD93d//5G/P/Dxx/VsDNutP&#10;u9VdmgkIpGKr8D15gppbALpMhdelBj5gHK8+2W/kQ5iA7Khrs+e/QBPgozA/zNrHle8AKuSbo+bm&#10;E5/c8qd//hdBvk/R//EEx49/7/CRL5/5xfr6B9x0brfddLv+EX050El/DSLLqsFHnNZuvFWf3b7c&#10;as1unkBfsMHaoIG0h+hKIbo085IsR9xGarDfyIcwAdnBBEDn1EyeRzVfo5yT09fj+qX9vxbk+ER9&#10;7o67am5sq0Xs2r1H/qOaD/vPP/wfigfJ2Kr+r1E1+IiTWy3AFUyokG6KsSbJ6ctqHB+k9hT96Mwa&#10;AMHenHRRlFl9IeaBWWfL5LHm6wtOYr+OD2ECslO+CZj3er9o7N23316+ZTWn9zuD+2iVmq0lEOxk&#10;MutPos2CZGxV/9eoGnzEKTABAZUnmJwnCBL8sqpZAfCpp5/xx5srNLifyQeoYvhPzif2u/gQJiA7&#10;5ZuAmn4QSkMZ3V67ZTXXTzzVfFlnBdIfFHCfUus7nLxyrbYPkrFV/V+javARp3oTYNFX0xes5lGC&#10;HD9NGv1/+StfnZb+lUTnuhbN6gNkp/wn5xD7RXwIE5AdTAB0hboze+GW1ZyO3iz6yjU3wletWPWF&#10;+774+9/+TpDyJ+W2n+mEaPsgGVvV/zWqBh9xSjcBDn1NbS8FyX5Sv/v1b1YrIkSlvmIEd8qDTnhZ&#10;yV/6T84b9lv4ECYgO5gA6ITX3/if737nWfbC1WuuBzQWjW6XvQPi3ID6bg1qg/Tv5DbDBEjfO/Mj&#10;5rfdfmfNQxJOIzCRFbNOoc1pr2i/gg9hArKDCYBOuOSiS+xVq9e0aja/aDxazXLXS7nt+htveviR&#10;x59+5mt/9P0/dnJ/euTRJ/zuEtD2QTK2qv9rVA0+4tTYBPzgz/7823/wXenLX/mq+xHzZRO/0/Yx&#10;/lhodVpStHrlqnl8WMp+BR/CBGQHEwDtCX7+sV66vmN92FN1NdEKRLW0tMnvKAFtHyRjq/q/RtXg&#10;I06zmoD6NwnrpfQ/4g5h2tOmUakd+Y/ND7b8PoQJyE6BJiDoRjEBhfPVZ75mr1e9NIIZ3xgu4FjC&#10;rxBFhQmYJp3Mvfv2j77miJlM5NytKGwL70OYgOxgAqANx0/87Vn//mft9aqRuvIRPMaVzvMvvKiR&#10;a7obwAQE0qmTnRrHYnmJnJpxEaH5Ojm25D6ECcgOJgDasOL8C+zFqtdcv8rVBtXhp55+ZtlBHiZA&#10;UuLXidLpWtiGL6Ocbhy15RxNkNiS+xAmIDuYAGjM1ddcZ69Uvcb0Y2htUJftPIFOSDDmW0wToJOg&#10;s+Gy/iJM+Keg8b09RfWa1mkXiC22D2ECsoMJgGbM9CjAivMv8B8DQ9D6FtME0MCjyBXZs1Qvbew/&#10;Vja2zD6ECcgOJgAa8KNX/upd73invUw10pbHT/yt/yQYMAESDXwaM/0Gx1ycRltgH8IEZAcTALNy&#10;6tSb6fcspW9+6wX/SXg7mACJBj4NNbTgXNVIW5b/5q0tsA9hArKDCYBZufmWX7QXqF4azfiPwQSY&#10;AIkGXsNMDwmW/9iNLa0PYQKygwmAmXjm2efs1anXhvUb/ccgBiZAooHXM9OKwoW/MWiL6kOYgOxg&#10;AiAdjUvspanX2We96/U3/qf/JMTABEg08GVJfzhgddnLCdui+hAmIDuYAEhEnctFF15kL029/vCP&#10;/qP/JEwBEyDRwJdlpocDSr4BZ8vpQ5iA7GACIJHrb9hmr0u97rv/Qf8xmA4mQKKBpzDTJFyxp9QW&#10;0ocwAdnBBEAKM721fOkHL/Mfg1owARINPJH0NqgzXOZNAVtIH8IEZAcTAMsy0/pl737nWawKkAgm&#10;QKKBpxP0jTUq800BW0IfwgRkBxMA9Zx8/Y1VK1baK1Kv3/vm8/6TsByYAIkGno4aY/obgwX+WJct&#10;ng9hArKDCYAaTs34m2afufpa/0lIABMg0cBn4sDBQ/bs1Ugt13+mGGzxfAgTkB1MANSwa/ceey3q&#10;de7Z55T8elKBYAIkGvisBD1kjeQY/GfKwJbNhzAB2cEEwDRmWqVEWqjffe8ETIBEA5+V9JsCpS0b&#10;YMvmQ5iA7GACIMpM65VKn7vjLv9JSAYTINHAG5B+U2DX7j3+MwVgC+ZDmIDsYAJgkpkWJ5FWnH8B&#10;NwIaELS+mW7iavsgGVvV/zWqBh9xmtUEBE+Z0MCbEfSTNSrnDNtS+RAmIDuYAJhkpt8wlUq79Tgv&#10;JLa+KNo+SMZW9X+NqsFHnGY1ATTwTkhfPmimetUrtlQ+hAnIDiYAAmZaF0gqp4uZOzABEg28MelN&#10;9fkXXvSfyYotkg9hArKDCQBLUB9SVODryPMCJkCigTcm/bbdTI+b9Ictkg9hArKDCYCKmZYicSr/&#10;J8xLBhMg0cDbkL6a51NPP+M/kw9bHh/CBGQHEwAVM60LJJX2AtLcgQmQaOAtCc7nNJXQWm15fAgT&#10;kB1MADg0prenPUWF3GicXzABEg28JSdff8OezxplnwywhfEhTEB2MAEgZl0XSCpwUdK5o7EJ+F//&#10;9L+1fZCMrer/GlWDjzhhArKT6OBXr1wlx+A/kwNbGB/CBGQHEwCzrgvkxHVpT2MT8N3vHdP2QTK2&#10;qv9rVA0+4oQJyM6pU28mNuG8awfZkvgQJiA7mIAFR93HrI8CSNt37PSfhxY0NgHHT/y/2j5Ixlb1&#10;f42qwUecMAElkL6GYMbJAFsMH8IEZAcTsODMui6QU95JxdHQ2AQIbR8kY6v6v0bV4CNOmIBCSHxd&#10;MONkgC2GD2ECsoMJWGTSRw9WRa1GPtdgAiQaeFekP9mTy8TbMvgQJiA7mICFJbj0ieK1wA7BBEg0&#10;8A4Jzu005fLxtgw+hAnIDiZgMUl/kihQCUuOjAZMgEQD75CgRtUoy2SALYAPYQKygwlYTBo8DCgx&#10;DdAtmACJBt4twemdpixrfdoC+BAmIDuYgAWkwbpATkwDdAsmQKKBd0tQqaYpi6G3BfAhTEB2MAGL&#10;Rvpi44GYBugcTIBEA++c4AxP0/Ce3h7dhzAB2cEELBTN1gVyYhqgczABEg28c4J6NU3qCvwHhsIe&#10;3YcwAdnBBCwOGsc3exRAYhqgDzABEg28D4KTPE0D//yHPbQPYQKygwlYHHbt3mNP7ExiGqAPMAES&#10;DbwPgqo1TUtLm/wHBsEe2ocwAdnBBCwIzdYFqsQSgX2ACZBo4D2RuIDgkOffHteHMAHZCbqhae+N&#10;YALmmmPHT9hTOqtYIrAnMAESDbwnEhcQHPJ3QOxxfQgTkJ2gG5o264sJmF9ONV0XqBLTAD2BCZBo&#10;4P2ROBkwWAO3B/UhTEB2MAGjJzifs2qmzAQzgQmQaOD9of7cnuppGuyJH3tQH8IEZAcTMG4Se4Ea&#10;cf77I2h9My3ipu2DZGxV/9eoGnzECRNQLImzgIM9HmgP6kOYgOxgAkZM43WBKg388PCikdj6omj7&#10;IBlb1f81qgYfccIElEziO0HqK/wH+sQe0YcwAdnBBIyVk6+/0fJRAGng14gXDUyARAPvFfUD9mxP&#10;0zCPB9oj+hAmIDuYgFHSZl2gSiwQ1DeYAIkG3jfBCZ+mAR4PtIfzIUxAdjABo6TNukCVeDOwbzAB&#10;Eg28bxLfFTxw8JD/QG/Yw/kQJiA7mIDxkdjml9Wx4yf8HqEfMAESDXwACnk80B7OhzAB2cEEjIyW&#10;6wJV2rxlq98j9AYmQKKBD0Dir4f37fvtsXwIE5AdTMCYOHXqzcTlQZYVjwQOACZAooEPQOLjgTO9&#10;pNoAeywfwgRkBxMwJrbvON0ddyIeCRwATIBEAx+GlCeF+74jYI/lQ5iA7GACRoOunT1vbcQjgcOA&#10;CZBo4MOQ+KhQrwsG2AP5ECYgO5iAcRBcx5YaZuUQwARINPBhOHXqTXvap6nXAYA9kA9hArKDCRgB&#10;nawLVEm78vuFnhmHCbhswx0zTSPTwHORcruw1+ZvD+RDmIDsYAJGQPt1gaz6fjgIKsZhAtZtvFlt&#10;1hcrARp4LhLXEe9vItAexYcwAdnBBMw7nawLZMXyAIOBCZBo4EOSMmXY3zDAHsWHMAHZwQTMNTOt&#10;C3TpBy8LIpPiF4OGBBMg0cCHJGXM0F8nYI/iQ5iA7GAC5hcN2dMfBdCWq1asDIKT4l7AkGACJBr4&#10;kCTeEehpOtAewocwAdnBBMwps/5E0De/9UIQiYp7AUOCCZBo4AOTMnKYqSqmYw/hQ5iA7GAC5pSZ&#10;1gU6cPBQyrqhvT4YDJNgAiQa+MCk3BHoadVwewgfwgRkBxMwjyip21NUL/dL4SnTBqwRNDCYAIkG&#10;PjCJDxL1sWao3b8PYQKygwmYO4JLVi/lfjXmxJXDWSNoYDABEg18YBJXDerj10Ps/n0IE5AdTMB8&#10;oQY808OA7h5/ovd3h4DBwARINPDhCS5BVH3MC9r9+xAmIDuYgPlipocBKy+f8gCBu2sAQ4IJkGjg&#10;w5NyP7GPJ4Ts/n0IE5AdTMAckfJwXyX7sl/K5IH6Bb81DAUmQKKBD8+x4yfsJZimzt8Vsjv3IUxA&#10;djAB80LiC75O9uHexAZ/8vU3/AdgKEZjAq69bpsvVgI08BJYWtpkr0JUnQ8M7M59CBOQHUzAXKBE&#10;PtOjAPbJ3pSpPxYKzMJoTMCnP3O9L1YCNPASSHlRsPNbhHbnPoQJyA4moHyU0Wd6FCA4YykPBPBy&#10;YBYwARINPAspDwt3/liA3bkPYQKygwkonxTPXmnyCqZMIfTxOhAsCyZAooFnIfFFwW4fC7B79iFM&#10;QHYwAYXTYF0gS+IDAfb2AQwGJkDCBOQiZX6x28cC7J59CBOQHUxAySSmcKelpU2TuTxl0o8HAnKB&#10;CZAwAblIeduo2xuFds8+hAnIDiagWJTRZ3oYMDpxl3IrgQcCcoEJkDABuRh+hGD37EOYgOxgAool&#10;OA/1mnZTP2XGjwcCcoEJkDABuUhcTbzDe4V2tz6ECchOLhNw+12/uvPz9/m9vx36CDHTukA1Q/lg&#10;y6hYISAXmAAJE5CRlNUCOvxJEbtbH8IEZCeXCfjc9v0PPbzP7/3t0Ec0XhcoILi4UXX+FhCkgwmQ&#10;MAEZSXl/eKZqWY/drQ9hArKDCSgNjctnehSgZhyvqxlsPyl+MiAjozEBn9x8jS9WApiAckh5+UjX&#10;y2/dGrtbH8IEZAcTUBSn2q0LFJDyVGCHNh9mBRMgYQIyEtTAqDqcLLS79SFMQHYSuyFMwDCkpO1K&#10;y+aMFD9BF5yRxNYXRdsHydiq/q9RNfiIk0zATINFTEBR2GsxTV09G2j36UOYgOwEb4lgAjKS8sZO&#10;pZRuN/hIVB0++guzggmQMAF5GXKoYPfpQ5iA7KjfsecfE5CL9usCBQQJJiqeCswLJkDCBORlyJuG&#10;dp8+hAnIDiagBJTRU97VqZSyoHfKvMJMfTd0DiZAwgTkJUgBUXW1npjdpw9hArKDCSiB4CvXK3Ft&#10;n5S2PVPWgc4J3gWd6XJo+yAZW9X/NaoGH3HCBMw1gRONaqbrW4Pdpw9hArKDCchOSraulG7JU4wF&#10;awXmJbH1RdH2QTK2qv9rVA0+4oQJmGsS1w30W7cjukNMQGYwAXlJseGVNm/Zmv4cH68GlA8mQKIS&#10;Zsdejmnq5Aliu0MfwgRkBxOQkQ7XBZok+HhUflPIBCZAwgRkJ7giUXVymewOfQgTkB1MQEZmWhdo&#10;phW8U9414BeEs4MJkDAB2Ul5QeDAwUN+6xbYHfoQJiA7mIBczLQu0N59+/3H0tBJC/YwqZk6bugD&#10;TICECchOUA+jmqlyTsPu0IcwAdlJ7IYwAd3S+bpAASlLgs9qLKBzEltfFG0fJGOr+r9G1eAjTpiA&#10;eSflF8s6+ZERu0MfwgRkBxMwPMeOn5jpUYAGj+QElzWqmVIO9EFi64ui7YNkbFX/16gafMRpVhMQ&#10;/HIdJiA7ugT2ikTVYCgyid2hD2ECspPYDWECuqKPdYEmSfmFUDrf7CymCQi+NfWwBOwVmSa/aQui&#10;e8MEZAYTMDAp6blS44dxgnMYFZ1vdjABEvWwBOwVmSa/aQuie8MEZAYTMCQpt+ortVmqM+V2g98U&#10;8oEJkDABJZAybGg2K2mxe/MhTEB2MAGDoS9iv1e9ZloXaJJgb1H5TSEfmAAJE1ACKSag/ZWye/Mh&#10;TEB2MAHDoIw+08OAbUy3jhXscFIyGX5ryAcmQMIElMDeffvtRYlqpqVKoti9+RAmIDuYgGGYaV2g&#10;lkv664wFO5zUTL029AQmQMIElEBwUaKaqX5GsXvzIUxAdhK7IUxAG1JcdqX2r++nmIBO3vqFliS2&#10;vijaPkjGVvV/jarBR5wwASMg5XGlmepnFLs3H8IEZCexG8IENGamdYE6maVPOWL79gztSWx9UbR9&#10;kIyt6v8aVYOPOMkEXHvdNl+sBIJvjQkogZSRQ5tHlR12bz6ECchOYjeECWjGAOsCTRJc06hmyjfQ&#10;E4mtL4q2D5KxVf1fo2rwESeZgE9/5npfrASCb40JKIEUEzDTfE8UuzcfwgRkJ7EbwgQ0QBl9pkcB&#10;uvqmwTWNqpOfA4GWJLa+KNo+SMZW9X+NqsFHnDABI0DDFXtRosIEjJPEbggT0ICZfiKow6wcXNOo&#10;6HlLILH1RdH2QTK2qv9rVA0+4oQJGAf2okSFCRgnid0QJmBWZloXqNvH9IITGBU9bwlgAiSqYiHY&#10;izJNftOmRHeFCcgMJqAPUubWKi0tberkUYAKTMC8gAmQqIqFYC/KNPlNmxLdFSYgM5iAzhlyXaAo&#10;KSbg5Otv+K0hH5gACRNQCCk/bOY3bUp0V5iAzGACOiclB1dquS5QlJQC+E0hK5gACRNQCAP0G9Fd&#10;YQIygwnolpnWBWr/3m0UTMC8gAmQMAGFgAlYUDABHXL4yFFb8nr1t3p/ys0IvylkBRMgYQIKIcUE&#10;tLx3aXflQ5iA7BRoAoLB9Lz0ESdff2OmRwH6uysfHCsqvylkBRMgYQIKIcUEtLxYdlc+hAnIToEm&#10;YB77iFzrAkUJjhWV3xSyktj6omj7IBlb1f81qgYfccIEjANMwIKS2A1hAuqZaV2gmfr6BgSHi8pv&#10;CllJbH1RtH2QjK3q/xpVg484YQLGASZgQUnshjABNcz0E0Fqaf5jvREcMSq/KWQlsfVF0fZBMraq&#10;/2tUDT7ihAkYB5iABSWxG8IETCPvukBRgoNG5TeFrCS2vijaPkjGVvV/jarBR5wwAeMAE7CgJHZD&#10;mIAoyugpK2xU6nxdoCjBQaPym0JWEltfFG0fJGOr+r9G1eAjTpiAcRBcl6gwASMksRvCBERJ8c6V&#10;+lgXKEpw3Kj8ppCVxNYXRdsHydiq/q9RNfiIEyZgHDATsKAkdkOYgEmCctarp3WBogSHjspvCllJ&#10;bH1RtH2QjK3q/xpVg484YQLGASZgQUnshjABAbOuCzTAowAVwdGj8ptCVhJbXxRtHyRjq/q/RtXg&#10;I06YgHGACVhQErshTIClnHWBogQFiMpvCllJbH1RtH2QjK3q/xpVg484YQLGASZgQUnshjABlpnW&#10;BTp85Kj/2FAEBYjKbwpZSWx9UbR9kIyt6v8aVYOPOGECxgEmYEFJ7IYwARVFrQsUJShDVH5TyEpi&#10;64ui7YNkbFX/16gafMQJEzAOMAELSmI3hAlwlLYuUJQBfhccOiGx9UXR9kEytqr/a1QNPuKECRgH&#10;KSag5Z1NuysfwgRkJ7EbwgSIY8dPzPQowJAPA1pSGrPfFLKS2PqiaPsgGVvV/zWqBh9xwgSMgwH6&#10;jeiuMAGZSeyGMAFlrgsUBRMwLyS2vkn+1z/9b21vM/GKy7/wgbU7ndZuvFV/VW7+P9pw9WUfuqJe&#10;+kgQkd62kzOqjqIjukMr+Kmt1/mSJVBmAwdMwIKS2A1hArbv2GlLVa8DBw/5j+UgpTFn9ChQkdj6&#10;Kv7zD//HPfc/s+XTX1Te1fZK0qtXXmL34OSCNpevXb+lyuLpWr90g92JtGbNkj2Q0/vPX/2+c87/&#10;Dx+5+TPXPrD7Swe++71jvrhTKLOBQ8o0p9+0KdFdYQIyk9gNLbgJCIpUryHXBYqSYgLoeUsgsfWJ&#10;k6+/YS+r8rHL6xr0u3H5OZc+UM0KDKNq7kGFke1w/3XFk2P25Y5RYAMHYS/KNPlNmxLdFSYgM4nd&#10;0CKbABXAlqdeA68LFCVl0oKetwQSW59jaWnTZ3/xzuGT/Uz6mTW7Lrt0Xb0PLq2Bg8NelKhWr1zl&#10;N22K3ZsPYQKyk9gNVUn9ptu+4qSIEvk0Tf711jt/vfrsNTf/piJzYQKU0Wd6GLCEafbgBEZFz1sC&#10;ia3Pob+qgl344ceDvFuUPrD2tAGtr11FNXCosBclqm2tX3eye/MhTEB2arqht9566y/+y0vf+P1v&#10;7/vlX1dSn9T2u3dvv/vhqM789e3BHffaz0p3bd/58CO/9FsHvn7i1df8Ic9QVB9R+LpAUYITGJW9&#10;0JCLmtY3ifyotrn3/l8L8m5R+sTmm9VkfImnUFQDB4eugr0oUWECxklNNyQToFR9zxd23bVjn/7h&#10;BvFX3fR/V1P6jXXDLz59+12/eteOvZ/bvl/m4P4HHvKHPEM5fcTeffttSeqljf3HchOcwKjshYZc&#10;1LS+KLt279mwfinIu+XonEsf0LdY9tcyy2ngUIEJWFzqu6EDBw899PATQQrvULIUMgFHf/AX/nhn&#10;KKSPmGldoGVHP0OS8uNGy+YbGID61jfJseMntNnVNz4ZZN962bcHL9twh33+f1LaoNq4egkwUb/w&#10;0dtTbhsH33qwn9iGGlJMQPtxjt2bD2ECslPfDf3DP5688667b73zN4PkHUi5vLrfb7XstMHtd/3q&#10;3Tu/8NZbb/njnSEoUhYTMC/rAkUZxtRDe+pbXxRduJtu2RFkX5ez1268VVl8489fvXbtFZLdc6Xz&#10;zj1v06YP10gbBB+RznvveW6f2rkO4V5JmLQIF5z3/pSv0OBbQ98EFyWq9lfK7s2HMAHZWbZB/uqv&#10;P/XY3tOP8impK2d/bvv+HTsfv/vze+574BF3az9Fd9997z337tGn9NnqIcHT0wB3P/DMs+Er9UGR&#10;hjcByugzPQqQa65iGpiAeWHZ1jfJoa9/U1t+/JO3XfnxG39+08dtzr7owkuUxT965ceuPsON27bd&#10;dPPN0i2f/WxjuT3ccMMNbp/OKFx80f9ZnGDNJZdd8dFP3XjTzk9tvUn/m7KsbINvDX0TXJSo2l8p&#10;uzcfwgRkp75Baoz++BOnHwhw2vn5ex94cNeDux569NHHpL1P7H1y75NOv/RkRNVfn3j8CfcRfVzS&#10;fqp9Hjh4qLSZgDlaF2gaQSEntbS0yW8K+ahvfZPIkbst165d55K90nPLNN9GOvR1113vzMGqFadn&#10;zlZcsGLZx2Nn/dYwACm/i9a+K7Z78yFMQHbqG+STv/Qr993/xccfe3zfRIJvL5kD7VmG4Ovf+JY/&#10;3hmCIg1sApTU7dHrVb8oSkaCckblN4V8zJQOXc1U0g0ycVGSNVEh61+UnelbwzBsG2SFMbs3H8IE&#10;ZKe+QWqkruF+kLylaojfTHZXjz76mKyGP94ZgiINaQLcg1eJKmFdoGmk/MxBsYVfHGZKh5dfvk5j&#10;7iDpFqhNmz78hfse8IWOMdO3hmFIuQHa8icEhd2bD2ECshM0yCee/OUTr7723T/8nvS153777p33&#10;3v/Ag/fd/8Vq9r4PqcuQD5DccR96+FFbpMFMgJLiTA8DlrAu0DSG8fXQkpnSoTbIOPOfrtPPDlxT&#10;93tCmIACsVdkmvymLYjuDROQmaBBfuSKK5WVlfXtvf/Tg/W3D+Un7w4EG0jT7iAobjfb+8Red4iH&#10;H/6Se2JAZbBFGixXpSTOSoW/15Ryh6+QpY0WmcYmQP9wunHbttNJ17B161Xu8b1ltXbtOnt0p2Cb&#10;aaoeP6xwTydIn9SgcutVvtAxMAGlofGPvSJRpbz8uSx2hz6ECchO0CC33XRzlfhlAlxWdrJj907k&#10;rEal6rg33fy2ZDyMCZhpXaDsPxG0LMFljYrONzvT0uGJV1+Tnv2tA4rcdvsdGlhLdkurID1LPi0n&#10;UJkJp0lLMQ1l+uCg0XcLV1ywwhX+scef1HeR71RznvatIRe6KPaKRNXJ+0R2hz6ECchO0CA1Cv/S&#10;I4+7yfmvPffbStUPPbTH5Wb7LsCkJsf9wYg/UDUBoPS/a/fDX//Gt9xBpeFnAlJW16lU1LpA00hZ&#10;6ah8KzN6gtZ3zbXX33PvfZVLvvLKjyu5Kt26vFu98iequfcypRK6ogbvFtovWwkTkJ3Bugu7Qx/C&#10;BGSn3pWrJ1LCDrJ7t5IPUOL3xztDUKS+TcCs6wK1fzpmAAaz9tCGoKpffc21j2vI/FNLfedddwXJ&#10;dSa5NNyVgp23kWyN/daYgOwE9TCqTi6T3aEPYQKyE1z+4EqP3gTM+7pA05BTCUo+qU5u8kEbgqr+&#10;i7feVrUL+YA77rjDJWA3mHZ89MqPuVG1U/S+/pC66MKLbXkkX9AzRGcvFLd76CS7QBtSVkbp5Cko&#10;u0MfwgRkZ1kT4IYmTvq3m8Nvrycef8Lt86GH9jzy6OP/9M//4g85rAlIeYCu0nz1VkHho+ItwbwE&#10;VX3rVZ9+wDx8c9GFF7n46ZcDr7nu4osuufTSy6q7AxUuy06qSrqdKNh5JbdYUMXWrVd94Ocu/Pmf&#10;//C05xjOP/c8+QYbma9mNUpSBkKd9MN2hz6ECchO0A1dc+31GpfbG5NWilfP8bXU3TvvCXbu9MUH&#10;H1IZbJH6MwEpd8IqFbsu0DR4S7B8gtZ39857v/uH3/uvP/5r92Cg3+innE6rc7JOwGReP/n6G6ps&#10;khpdUDMxAdmxl2OaOhkw2B36ECYgO0E3dPU119ph+uTjfj2peorw8ccev/6GbbZIPSWqmdYFWlra&#10;NHeD5pQpvjLXPF4cgtZXnw7n2gRYZvrW0DcpPWFXtw7tPn0IE5CdoEG6Ccm8UhlskfowAcroKWvq&#10;VSp5XaBpBFc2qva/DQptmCkdYgKgD1LejerqIWK7Tx/CBGQnaJBuQrLSneYVwZ6krL9r98P2oCqD&#10;LVIfJiBlqrxSJ0/EDM+QbRuaMVM6xARAHwSXI6quRgt2nz6ECchOfYOUCXhydG8HpFT6SvP7Mv2Q&#10;s3zQjPrWF4AJgD4Y8r6h3acPYQKyU98gSzAB3Q7EZ10XaK6fnw++TlRzsezBWJkpHU6agOBBfala&#10;nKdXqhWCrapSYQLmi5Qbo12NxOw+fQgTkJ2gQT762N7/+uO/dtPyX//Gt9wPCLlb9dOe528s966B&#10;/uN+QKi6HaAy2CJ12Eco4aWvCyTN46MAlpS7HnJFfmsYnGg6/Kd//pcTr76mZuiWDVbrOJ3+z7wi&#10;aDeO6rxzz1MO7lvBO35RffSjH3PFvu32O/QtJLl55RIp+q0hCxrk2GsxTX7r1kT3iQnITNAg7Q8I&#10;SdWde6l6ZaAr2VUHql8P0qGDZYM77CNmWhdIkmPo44mEwUhZBYEuOCNB67vq01dbl7xly6eUce1P&#10;9VRr70h2+Z0SpPJUZZN8ic2vDEwzMdTAjKh/Cy7HpJaWNvmtW2N360OYgOwE3dBNN98SpOrhpb7N&#10;FqmrPmKmdYGs5reTOnDwUPBdJsWzgRkJWt/V11yr+l+9l9ty2eBixbLB5RDUwKg6XCLF7taHMAHZ&#10;CSqBmwnIq55mApQRZ7oXYLV5y9Z5vHeeYvMlvzUMTtD67LLBIzYBV7NscDGk3DHs8ALZ3foQJiA7&#10;QTcUXG+lZA1NbMfUuR5d7sHADqvgseMnZr0jUEkGYh5vnwffIqp5f/RhfgmqerBKh7sdMD6xbHA5&#10;pIyLOrwlanfrQ5iA7NRn3JGZAHHq1JuN7wtI+ux8vS+Q4vRZNzAXQVUPVulwDwZWWrdugzKou9Fe&#10;MsrxqnW25IGCOqmIPx0wLClvEUt+6y6I7hYTkBm1QHv+gwY5PhPg0Ji+za2BORo67923Pyj/pObu&#10;ZxFGw0xVffIVwTIlp1L/RQZo4JBCyjND6u781l1g9+xDmIDs1DfIsZoAcfL1NxrfGpDmZfScsi5C&#10;h0//wkzMVNUxAdAtKXOi3a4sbvfsQ5iA7NQ3SJmAJ57YKx9g9cTjTyhzN9bet+/woYf2ZDEBjuBY&#10;M0kD6PJvDcjrBMWOiiWDsjBTVccEQLekLBPU7Vptds8+hAnITtAgb73tc0rJktL/NN298x77+NKs&#10;CvZmdc+99+nQwU8J991HvPTyK41vDagVlb+QwPBNHRKZKR1iAqBDsgwP7J59CBOQnaBBbr3q08F4&#10;fYBfE65mBdwcw7XXDWoChAb0KQtoT1PhvVjKpB+PBWRhpnRYmQC7Jo9Uv1SwUnJ7+X3FmFxCWNvX&#10;f5GZvjX0RMoDAZ3fKLQ79yFMQHaCBvm5z90RZOjhpTLYIg3WR6S0imnadtMtxc6oa5QflHZSq/kl&#10;oRxMpkO3ZvBf/JeX3NsBpxP/GdnNAtUvFbx161U+XTdFewj2aaWjB+Wxqsr/2ONP6tupib308iuB&#10;Kx2sgYMlZdijK+W37gi7cx/CBGQn6IYW2QSIUS4kkDjvx2oBwxO0vmqprrt33vvAmXUCqhRuB9x2&#10;7r1AVeWUXOGFcwzRlYMxAVlIuQfa+V1Cu3MfwgRkBxMQ0HIhgb379hf4tGDKYwH0xcMTtL4bbtz2&#10;pHkZZ6wrBl511aftt6biDU/iWqKdz27anfsQJiA7mIAossBjWkggxdZ0+0IwpBC0vttv/5xtCCwb&#10;DD2RsnxI5w8ECLt/H8IEZAcTMA254Da3BopaSCBltQBpvhZDHAFB62PZYBiGlJ6t2xUCHHb/PoQJ&#10;yA4moJ4UyzxN5SwkoGIEZYuKFwUHJmh9LBsMA5D4kFAfTzjZ/fsQJiA7aoH2/GMCJmm5kEAhtwaC&#10;njcqXhQcmKD11Vf104/Zs04AtCbxNag+BjB2/z6ECchO0CAxAVHUHlKS6DSV8BVSWr68jt8aBmGm&#10;dIgJgE5IeTmwp/GAPYQPYQKyEzRITEANLRcSyHtr4FjaL4aV+ZbjWJkpHWICoD2JdwZ7eqTJHsKH&#10;MAHZCRokJqAepdKU1+2i0jg7b4pNKXnny4NADTOlQ0wAtCdl6TCpp6XP7CF8CBOQnaBBYgKWRVY6&#10;ZT5tmvp45jaRlIccuSMwJDOlQ0wAtCel7+rvbWF7FB/CBGQnaJCYgETmcSGBxBVCuCMwGDOlQ0wA&#10;tCTxXkB/V8QexYcwAdkJGiQmIB0l8jYLCWR5Hy/FuHBHYDBmSoeYAGhJ4r2A/oYo9ig+hAnITtAg&#10;MQGz0mYhAaXbgZ8WTFwROe8zjIvDTOmwgQm42Szj30Yi2HONMAHFkjJo6WOhwAp7IB/CBGQnaJCY&#10;gAYcPnK08a2BgRcSUFGDAkTFqkHDUJ8O33zz/3vp5Vec9Ce3WNDkb/rV/45f35r8DcOLL7qkWixI&#10;9c2V3z5oVv+toScS1wjq9aEleyAfwgRkJ2iQmIBmaOjcZiGBIdcYTvEr+i5+a+iToPXdvfPerz33&#10;20/+0q988cGH7rzr7osuvKj609q166osG/w68OQv+lcKxuhtFOy50o3btvly/JSqnFJV/kpXX3Od&#10;3IyNYAKGIahs09TrmMQeyIcwAdnBBHRIYjOLarCFBBLvX/T0jhBYggqzecvWB3c99Oijjz3+2ONP&#10;7n3yjjvuCDLx/MrdmHCOYcPGJfut56iBzzUpbwj3ei9A2GP5ECYgO5iAbnnp5VdSGltUGqPr435H&#10;vSGnHxw3KrrmAQhan0butiHwK4LQFepY7Dmfpr6nJO2xfAgTkJ2gG/rIFVfeedfdeaUy2CLNXR+h&#10;AX3hCwmUMCYAgQmQMAEDkPhEcN/zf/ZYPoQJyE7QDX3xwYd+4yu/qUx89857H3poz94n9tpeqSft&#10;e/LJxx97/L77v6jj3nPvfb942+dskea0j5Cnbvy04OYtW3ttjcFFnyYWDOgbTICECegbDUvsCZ+m&#10;AZ4EsofzIUxAdoJuyDXIt9566y/+y0vODUgP7nroicefUKq2PVR7Pbn3yYcf/pKyvg4h8/Hcgd/5&#10;rz/+62lFmkdaLiTQXw5OfE64px8RgYqgqmMCoA8Sf/RkgHeC7OF8CBOQnfqMG7iBBx7cpSF7Gzeg&#10;z8pPPPTQnrt33qsdfumRx7/x+9/+h3886Y93hvoizRfy4GUuJJD4LgOPB/ZKUNUxAdAHKbf/NOoY&#10;4MFke0QfwgRkJzHjyg1omP6153778/ecHrhr+K5BfPrNAjfodxP+klzFkf/0g3/653/xe387iUWa&#10;I9osJLC5nzWGE9cOo4PulaCqYwKgcxIfCRxmnVB7RB/CBGSnQcbVwF3Ddw3iXUZ/4MFdjz76mNK8&#10;nSHQvxVRXH91m2n7r3/jW27Cv54GRSofDalLW0ggxZdoG7819EBQ1TEB0DmJDykPs2SZPaIPYQKy&#10;0ybjupsFzx34ncoQ3HPv/cr6bqrfJX79VdtMG/RHaVOkwgm+2kxSY+52vi7xPgWrB/ZHUB8wAdAt&#10;iU//bO7tZwMD7EF9CBOQna4yrgzBiVdfO/KffvDdP/yesr7+7f8wO10VqUxeevmVxrcG9MEOFxJI&#10;7CB4V7A/gqqOCYBuKc3o24P6ECYgOwVm3AKL1C0a0LdZSKDDE5J4h2KAJYwWk6CqYwKgQ9TPJN7y&#10;G+CRQIc9rg9hArJTYMYtsEh9kPjeTlRK3p08t5/4eOAALxAvJkFVxwRAhwS1a5qGeSTQYY/rQ5iA&#10;7BSYcQssUk+UsJBA4iLHwzw3tGgEVR0TAB2SeNtxyNeA7XF9CBOQnQIzboFF6o9Tp95MXNEzqr37&#10;9recygvO9jQNOVxYHIKTjwmArihzks8e2ocwAdkpMOMWWKS+ybiQQOKNQ2nIEcOCEFR1TAB0ReIM&#10;38CP+9hD+xAmIDsFZtwCizQASrFtbg20WUggcSqCyYDOCao6JgA6IXEaYPgXf+zRfQgTkJ0CM26B&#10;RRqMNmsMN15IIPFdQYnJgG4JqjomADohcRpg+CVA7NF9CBOQnQIzboFFGpI2Cwmo8Teb32MyIAtB&#10;VccEQHuKnQYQtgA+hAnITtANlfBG+IKbAKEBfZs1hhucsWPHTwQ7mSYmAzokqOqYAGhP4jRAHyuR&#10;L4stgA9hArITdEOYgHJouZDArLcGEm0HkwEdggmQMAEdkjgNsHrABYIstgw+hAnIDiagZDRAT/T1&#10;k1I7n2khAV36YA/TxJoBXYEJkDABXaG8nthd5Drntgw+hAnITtANYQJKQw078YZ9VHv37fc7SiBx&#10;MmDgd4tHTFDVH7j/AUwANCaoTtOUaxpA2GL4ECYgO0G9wQSUyfMvvNj4acH0hQTSJwNKqCcjIKjq&#10;mABojPJ6YheR8YTbYvgQJiA7QTeECSgWJfI2Cwkkvg6UOBmgkvgPQAuCqo4JgMYkvl2ccRpA2JL4&#10;ECYgO5iA+aLvhQTSJwOGf8l4fGACJBp4e9KX+sh7tm1JfAgTkJ2gG8IElE+bNYaXljYte2sg8WeO&#10;tauMQ4pxEFR1TAA0I7HN5p0GELYwPoQJyA4mYB5RS06ct4+q/hXheRlVjICgqmMCoAFzNHtnC+ND&#10;mIDsBN0QJmCOCE7UTJKHqBkTpL+PwNpBbQiuICYAGpD4WqA28x/Ihy2PD2ECshN0Q5iA+aLlQgLT&#10;LrdSe+IdB14XbAMmQKKBtyGoQjWaadWQnrDl8SFMQHaCOoQJmDs0oE+8IxjVtIUE5qtzmVOCk4wJ&#10;gJmYO7Nui+RDmIDsBN0QJmBOOXDwUOOnBTdv2To5qy9vkbhDnhBsDCZAooE3Jt39l9CxC1skH8IE&#10;ZAcTMBo6X0hAkWCzaZppXUKoCKr6fffdhwmARA4fOWpPY43K+b0PWyofwgRkBxMwJjQib7OQgDqL&#10;YEyf7ioSFyUES1DVr7v+xjvvurvSRRdeZP86VtHAG6B2mvgwkPx9OU/v2oL5ECYgO5iA8dFmIQFl&#10;fZvOVR+CDaaJNQQbEFT17/7h977+jW998cGH5ADuu/+Ln/3sLwZj6PnVDTfc8NErP+a+5i/8whXV&#10;V5Zo4A1I9/pFnV5bMB/CBGQn6IYwAeNA3r+rhQTSXxfkSs3KtNZ34tXXnjvwO26ot3btuuuuuz7I&#10;qfMilVzl17dYccGKz91x1/MvvKghLA28JenWvITXAi22bD6ECcjOtG4oI/QRXRGcyZlUrTGs/6bP&#10;K3BTYCaWbX2KPPb4k5dffjqPKpteffXVN998c5BoS5NKuHXrVVXu/8J9DwTvj9DA25B+I0AqoT+3&#10;2LL5ECYgO8t2Q8NDH9EhuqDpXUYg5X5XHw4cPBT8aZq4KTAT6a1P7qpyAxddeLGybGlu4MZt2z65&#10;ecvFF12iEqqcKu00R0gDb0P6jQD5eP+ZYrDF8yFMQHbSu6HBoI/oFg0d2iwk4M5/+s0Frlc6DVqf&#10;MqvSwLq167W9Mq7yrrJvkI+HlL3Zf+WVH5dfXHY2iAbeGNUQe+pqVNTzgBW2hD6ECchOg26ob+gj&#10;+iB9ND8pje//5E//PAjWiJsCibRpferidU2Vd/XB8889T5lY+TjI0D3pprdP+Fc3+33JloMG3oyZ&#10;bgTYx3rKwZbQhzAB2WnTDfUEfURPKDenv/IXSAOLe7/wQBCcJnVV6Slhkemk9elUKwffdvsdbif9&#10;PTrgBv0yHDrKurXrH3v8yWaLRdLAm5E+n1fsYt62kD6ECchOJ91Qt9BH9IcSRvrT/pNacf4FQWSa&#10;ylmfpGQ6b33KytWjA8rWn9y8peX0wI3btmnQf9GFF2uHGvTLamiI2XKemQbegPSVu6Rip+JsIX0I&#10;E5Cdzruh9tBH9E2bhQTS1WyYuFD01/rczQLlbGVu7VlZPN0QuMTvZvulq6+5TuXssGw08FnR1Uxv&#10;sCWfT1tOH8IEZKe/bqgx9BEDoG6l8a2BRJX5aFJRDNP6tFsdSLncHeX8c8/btOnDV199tTzBTTff&#10;LOkf+l8F3VS/1Hnit9DAZyW9qRb+eo4tqg9hArIzTDc0E/QRgxGc6s5VeJeUneFb37HjJw4cPPTY&#10;408qzbtJAkn/0P8qqD8NMJNMA5+JmRYCL/yZXFtUH8IEZGf4bmhZ6COGRFe811sD6sL8kWCCAlvf&#10;ANDA0zmc/CtBUplvBFhsaX0IE5CdArsh+oiBOXXqzTZrDC+r5yd+nxAcBba+AaCBJ6JhfbpBL/aN&#10;AIstsA9hArJTYDdEH5EFDSPsae9Q6sgKn6XMRYGtbwBo4CnImqc/CjAvz9/YMvsQJiA7BXZD9BG5&#10;UKpuvMZwvVg5IEqBrW8AaOApzLTK57y8iWPL7EOYgOwU2A3RR2Sk5UICNZqL6cqBKbD1DQANfFmC&#10;U1SvOVqTwxbbhzAB2SmwG6KPyM7zL7zYx9OCPCQYUGDrGwAaeD0zPQy4ecvWOZpjsyX3IUxAdgrs&#10;hugjSqCnhQR4SNBSYOsbABp4DTM9DDh3T9vYwvsQJiA7BXZD9BHlMNM7yoniIcGKAlvfANDAp6Ex&#10;/UwP5cydpbaF9yFMQHYK7IboI4qi8zWG52740h8Ftr4BoIFHmel1AGkef57Dlt+HMAHZKbAboo8o&#10;DXVP3S4kMF83MvujwNY3ADTwKDM9kKsW5D82V9iv4EOYgOwU2A3RR5RJcF1aCh8gCmx9A0ADn2Qm&#10;B7B6bn+Vw34LH8IEZKfAbog+oli6XUhg+46dfr+LSoGtbwBo4AGzrtM1v/XEfgsfwgRkp8BuiD6i&#10;ZDR8n2kZk3rN433NDimw9Q0ADdzy/Asv2rOxrMr/gYAa7BfxIUxAdoIOHRMAKXS4kMAi+wBMgLTI&#10;DXxWBzDvjcV+Fx/CBGQneOALEwCJHDt+oquFBOZ6cNMGTIC0sA1cLcieh2U1pw8DWuzX8SFMQHYw&#10;AdCGrhYSWMxFhDAB0mI2cDmAmebSxvEgrf1GPoQJyA4mAFrS1UICC+gDgmfCMQELwqwOQBvrI/7D&#10;84z9Uj6ECcgOJgDac/L1NzpZSGDRfECBrW8AFryBz+oApHE4AGG/lA9hArKDCYCuCC5cMy2UD8AE&#10;SAvVwBs4gDG1CPu9fAgTkB1MAHSI6k/7hQQWxwdgAqTFaeAL7gCE/Wo+hAnIDiYAuqWThQQWxAdg&#10;AqQFaeANHMD4fnrbfjsfwgRkBxMAfXDg4KFZu7xAi/DeICZAWoQGris7a3MY5foZ9gv6ECYgO5gA&#10;6AkNfVouJDD6dYQW0wQcPnLUfuvRN/DnZ1wRSBprzbff0YcwAdnBBEB/nDr1ZvAW3Ky67/4H/b7G&#10;yGKaAH1N+63H3cBxABb7NX0IE5AdTAD0TcuFBG66+bNj/b1BTIA04gYedGUpGsGygDXYb+pDmIDs&#10;YAJgAE6+/kabWwOXX752lD4AEyCNtYE3mAMbx7KANdgv60OYgOxgAmAwgis7k1avXPWjV/7K72gs&#10;YAKk8TXwZi/IjN4BCPt9fQgTkB1MAAyJKljjWwPvesc7v/mtF/yORgEmQBpZA1cibzDptQgOQNiv&#10;7EOYgOxgAmBgmo2TKo1pCQFMgDSmBt5gMQBJzWERHICw39qHMAHZwQRAFg4cPGSv8kwazSIqmABp&#10;NA1c9rSBAxj9e7AW+8V9CBOQHUwA5ELDpsZrDKvejmDwhAmQxtHAm/2m9kI5AGG/uw9hArKDCYCM&#10;KJE3XkhABkI2wu9oPsEESPPewBvf3lo0ByDs1/chTEB2MAGQnedfePH8951nL3qiVq9cNdePCGAC&#10;pLlu4I1nsxazW7NnwIcwAdnBBEAJnHz9jY9ccaW97uma30cEMAHS/DbwZg8BSGN6uHUm7EnwIUxA&#10;djABUA73P/CgvfTp2rxlq2yE38v8gAmQ5rGBN76NNe9zVy2xp8KHMAHZwQRAURz9kz999zvPshUg&#10;UepeDx856vcyJ2ACpLlr4I1/GUtVdN6fYmmJPRs+hAnIDiYASuP1N/7npR+8zNaBdGl8NkdvDWAC&#10;pPlq4I1fbZ3TyapusSfEhzAB2cEEQJn84q2322qQrjl6awATIM1LA5e5DK5XuvTBOfKm/WHPiQ9h&#10;ArKDCYBiafzglTQX1QYTIM3FlWrzS5gL+CrgNOxp8SFMQHYwAVAyGtM37nw3b9la+JQAJkAqvIE3&#10;XgbAaZEfA5zEnhkfwgRkBxMAhaNeuNlzWE4l1x9MgFTyBWozAcBjgJPY8+NDmIDsFNgNzddAAYah&#10;2bKsTsVOCWACpDIbeMsJAFU5HgKYxJ4iH8IEZAcTAPNCm0cEJNmI0vplTIBUYAM/cPBQy5rmdwRv&#10;x54lH8IEZAcTAHOEBvRtbg0sLW0qai0BTIBUVANXBQsuykySdZi7xSqGxJ4rH8IEZAcTAPOFRvON&#10;f3PISXW+kDe2MQFSIQ1c9arNLSdJ9pSVAOqxp8uHMAHZwQTAPNLy1oCkepX97gAmQCqhgbevTtwC&#10;SMGeMR/CBGQHEwBzikZdbW4NSEtLm/K+wYUJkPI2cBUmuAqzSu5hQS5ce+x58yFMQHYK7IYOHzlq&#10;i4QJgBpUPWxtaSA5iVzVHhMg5WrgMpFtnv930h54CyAde+p8CBOQnaAbOnDwkP9DPoI7c5gAqKfl&#10;04JOagjDv0aICZCGb+DtHyuRVi/27wE2w55AH8IEZCcYSC0tbfJ/yITaZ3BzjpYGy9L+qS4n5YYh&#10;n+3CBEhDmgDVEx2u5e1/SReOZwAbYM+hD2ECsqPRjz3/Ut7JgMCUSMy2QSLKLnKxQf1poMGsACZA&#10;GsYEdJX+tYcSpkvnFHsmfQgTUAJBT6RaPvy8qEODflsSid/egFmZ9JHNNIAVwARIfZuArtK/tH3H&#10;TiYA2mBPpg9hAkogaJOSGszw/dGkA5BoctCAlku+WMkK9OeJMQFSfyagw/SvnbAKUHvsKfUhTEAh&#10;RO+nKjjMVLyOEn1Mt+8hAoyblou/Wilb95GhMQFSH81cgwe5N3uUNhqsJxw99qz6ECagEFTFo89X&#10;qw9VE+2vAaitTrPq6h/9RgBNUdXtMBmojXT7mComQOrWBGjn7V/8q6QLlOve6Cix59aHMAHlMM0H&#10;OF1/w7Zf+bXfUAPrREf/5E+1N+0zOEollQTrDV2hKtf+HcJKzhl3cqMKEyB1YgLUXcifdfJYqJOu&#10;Mu8ldY49wz6ECSiKeh8wmFh/A/pAfXpXdwecVFFb3ifGBEgtTYBG6rt27+n2yqpIdEF9YE+yD2EC&#10;CkRjdHtFhtS733nWY0/s8+UA6Br17Orfu00YGn02nhjABEjNTIAb+nc+aOH5/16xp9qHMAGl0flo&#10;qYF4DAd6pdunxiopo6v5zFR1MQHSrCbg8JGjPV2+BTn/GbEn3IcwAeXQ4VtV7SUjwgs50CuyAj1V&#10;eKWoxNqLCZASTYA6KA0POrzrX0n7JP0Pgz3tPoQJKAQ1sGkTAGohH/3ox3pVcMRKPJgDfaPevycr&#10;oAa1rBvABEhK7f4PMfrL/ZJ2SyczJPbk+xAmoBCi/aB6sXvuuffRRx7pWw/c/8C0e3vcn4MB6M8K&#10;SGpH23fsjN4pwARIOgn+DwY3599T7pdI/1mwl8CHMAElIK9tL4GTe0T/a88+GyTsnqRiRJ/YavbQ&#10;EEADerUCTjK7qtJqce6ImACpMgFy/AcOHlLPY//auUj/GbEXwocwASUQtMmiFB0lAPSHMnQfz50F&#10;ctMDV1xxpQ0upgn4+Mc/2eugv5I6E540you9HD6ECSgBTABAgHuDYHJqqld981sv+MOPmu/+P98P&#10;vnjfkt9aEINVOPai+BAmoAQCE2Bn4A9///vBvH0feu7ZZ/3xpk8VAgzPqTPrCgwwSLVSnddBNWYd&#10;zQMxOo1q1/pSSsZD+iodS06O54rKwV4dH8IElECQd9VQ/R8wAQBneP6FF1UVbc0cRkpjOu7efftV&#10;ADUNX5riOXb8hEyMsr4KP7CFctJBDxw8NNOaDTAA9hr5ECagBGry7p/94E+ChN2HMAEwF2hMqXw8&#10;8D2CQM4WaIDrZgvUXvKmOhVAUmF0ZnKlfCudGZXHFw4Kw14pH8IElEBN3n3t1VeDhN2HXvzOd/zx&#10;JgpjpyUACiHXxECNlH1VJEn5WNI42KVnqXoZYVZkeqqd6Cu7PatJ6igl/MiIFUP/ucBeMh/CBJSA&#10;Wri9BMObgMPf/74/3kRh1On4PwAUhnKk6mf2sW9jVb6htIyeLnfXv7HLgYGx186HMAElgAkAaIN7&#10;qzDvbYJF0/bWP+EIw2OvoA9hAkqgxgT861tvBQm7D1kToIZtC4MJgDlCtRc30KuU+5+f8VeaoBzs&#10;pfQhTEAJ1JgAESTsPvTyD3/oD3Zm3UBbGEwAzCNqU/2teL9ocnP+5P4RYC+rD2ECSiC7CXjt1Vf9&#10;wTABMC6OHT9x4OCh+b3pnlGyUDJS6p38qYT5x15fH8IEFIK9BIEJ+KUnnwxydufCBMDo0SjW3Sxg&#10;eqBGGvS7CX9W+Bkl9lr7ECagEOwlCEzAc/3/hhAmABYKZTjlOQyBk0v8Bw4e4iH/0WOvuw9hAgrB&#10;XgJ1TD56BkwAQH/IEBw+ctSttGNr/ri1ectWeSAS/6Jh64APYQIKwV6C4CoMYAL+9a23/MEwAbDY&#10;vPTyK0qNSpAj8wTK+hruqznrC/J838Jiq4QPYQIKwV6CooQJgEVGA+XDZxbhVwado6cLl84sQ6Ri&#10;Pz9XP3kAfWMriQ9hAgrBXoKihAkAsLilfA8cPOScgXJtxgcLVp/5IQOX7yUVjOl9qMFWHh/CBBSC&#10;vQTBVRjghwT9kc6grsSWBBMAkIhysORmDpycS6iUvoqR/ZRU7dCN7CWm9KEBto75ECagEOwlCK5C&#10;XhOgHs3/AQAA5hnbt/sQJqAQ7CUIrsJf//jHQc7uVr/+q7/qj3SGwARozOH/AAAA84zt230IE1AI&#10;9hIEV6Hv3xB67tln/ZHOgAkAABgltm/3IUxAIQQPHvvoGQY2Adt37LQlwQQAAIwD27f7ECagELa9&#10;/aVkHz3DwCYgKAkmAABgHNi+3YcwAYUQpF67cHffvyaMCQAAWARs3+5DmIBCqE+9QdruVpgAAIBF&#10;wPbtPoQJKISMJuDF73zHH+YMmAAAgFFi+3YfwgQUQkYTcPj73/eHOQMmAABglNi+3YcwAYVQn3p/&#10;8ytfCTJ3h8IEAAAsArZv9yFMQCHUp97n+vwhQUwAAMAiYPt2H8IEFAImAAAAesX27T6ECSiEYk0A&#10;P0oGADAObN/uQ5iAQti1e4+9CoEJePE73wkyd4d6+Yc/9Ic5Q2ACfBQAAOacaN+OCSiC+hX7NVgP&#10;MneHeu3VV/1hzoAJAAAYJdG+HRNQBPU/4DukCaj5FQMAAJhfon07JqAIAhOg//V/OMOQJsAWQ/JR&#10;AACYc6J9OyagCOpNwF//+MdB5u5QmAAAgEUg2rdjAoqg3gT0+kOCmAAAgEUg2rdjAooAEwAAAL0S&#10;7dsxAUWQ0QT4Y/wUWwzJRwEAYM6J9u2YgCKoNwH/8s//HGTuDuWP8VNsMSQfBQCAOSfat2MCiqDe&#10;BIggc3cof4CfYosh+SgAAMw50b4dE1AEz7/wor0KmAAAAOiWaN+OCSiCl15+xV4FTAAAAHRLtG/H&#10;BBRBmSZgaWmTjwIAwJxju3cfwgQUQmACtt10i//DT3nssceC5N2V/AF+Sn0xAABgTrHduw9hAgph&#10;WROw78kng+TdiZ579ll/gJ9SXwwAAJhTbPfuQ5iAQljWBOz/5V8O8ncnCkzAydffqC8GAADMKbZ7&#10;9yFMQCEsawJ+8+mng/zdiQITsGwxAABgTrHduw9hAgph2ez7+9/4vSB/dyJMAADAgmC7dx/CBBTC&#10;stm3p18TxgQAACwItnv3IUxAIWACAACgV2z37kOYgEI4dvyEvQqYAAAA6BbbvfsQJqAc7FUYzAT8&#10;/jd+zx/gDJgAAICxYrt3H8IElIO9CpPZ969//OMgf3cieQt/gDNgAgAAxort3n0IE1AO9ioUIkwA&#10;AMBosN27D2ECysFehUI0+RMGAAAwp9ju3YcwAeWweuUqeyGCUfhrr74azOR3Ins7ILgXICni/wYA&#10;AHOO7d59CBNQDrt277EXQjpw8JD/2yAmQLbDHp2fEAQAGBO2h/chTEA5nDr1ZjAZoP9V0P315MnX&#10;g/zdiSoTEPxqgPT8Cy+6PwEAwAiwPbwPYQKK4vCRo/ZaSIr4v/3bvwX5uxNVJkAp3x6XaQAAgJFh&#10;O3kfwgSUxvYdO+3lsI/mBfm7E7326qtu5zqQPS7TAAAAI8N28j6ECSiNIBkPZgKCJxJ4JBAAYGTY&#10;Tt6HMAGlkcsEBE8FYgIAAEaG7eR9CBNQGpgAAADoA9vJ+xAmoDQwAQAA0Ae2k/chTEBpBE/pYwIA&#10;AKATbCfvQ5iA0lD2tZfDmoDnnn02SOHthQkAAFgQbCfvQ5iA0sAEAABAH9hO3ocwAaURmADlZv+H&#10;fkyA3zUmAABg7NhO3ocwAaVRiAnwUQAAGAvRTh4TUBaYAAAA6INoJ48JKIsaExDk707kdz3xQ8Y+&#10;CgAAYyHayWMCyiKXCbAHlXwUAADGQrSTxwSUBSYAAAD6INrJYwLKAhMAAAB9EO3kMQFl0cwEfOlL&#10;X7r11tsmpXiwZSC/a0wAAMDYiXbymICyOPn6G/ZyJJqAT23daj9VaWlpU7Cl1W9+5St+15gAAICx&#10;E+3kMQHFYS9Hogm44LwLrrn22iB46623aQ9B0Oq5Z5/1u8YEAACMnWgnjwkoDns5Ek2AtlTKD4KN&#10;TcDqlat8FAAAxoLt530IE1Ag9nLYKxKkcCtt1qEJsM4DAADGge3nfQgTUCD2ctgrEqRwK22GCQAA&#10;gBpsP+9DmIACsZfDXpEghVtpszYmoOaVBAAAGAe2n/chTECB2Mthr0iQwq20GSYAAABqsP28D2EC&#10;CsReDntFghRupc0wAQAAUIPt530IE1Ag9nLYKxKkcCtthgkAAIAabD/vQ5iAArGXw16RIIVbabMG&#10;JuDw97/v9owJAAAYPbaf9yFMQIHYy2GvSJDCrbQZJgAAAGqw/bwPYQIKZGlpU/SKBCm80p6H9miz&#10;O+64M4jfe8+9ij9w/wNBvBImAABgcbD9vA9hAgpEOTh6RYIUXklpXptNJvtp8UrTTMCu3XtcHAAA&#10;RoPt530IE1Ag2U3AU08/4+IAADAabD/vQ5iAAglMgDK0iwcpvFJ7E3D4yNHqcBImAABgfNh+3ocw&#10;AQUyvAlQ1q8OJ2ECAADGh+3nfQgTUCCYAAAA6Bzbz/sQJqBAMAEAANA5tp/3IUxAgQxmAl579VW3&#10;Z0wAAMDosf28D2ECCgQTAAAAnWP7eR/CBBQIJgAAADrH9vM+hAkokFlNwLSVATEBAABQYft5H8IE&#10;FMiu3aeXAa60rAmY9hsBjU3A4SNHXRwAAEaD7ed9CBNQIEFKbmkC7r3n3iBeaZoJqI4IAACjwfbz&#10;PoQJKJCuTICk+OSvC1aqTMC0uQcAABgNtp/3IUxAgQQm4MDBQy4epPBK7U3AtKcQAABgNNh+3ocw&#10;AQUSmAD9r4sHKbwSJgAAAJbF9vM+hAkokMFMwL++9ZbbMyYAAGD02H7ehzABBTKYCXC7FZgAAIDR&#10;Y/t5H8IEFAgmAAAAOsf28z6ECSgQTAAAAHSO7ed9CBNQIJgAAADoHNvP+xAmoEBmNQEf/ejHlpY2&#10;BUEnfbyBCfBRAAAYEdF+HhNQHAcOHrJXJMUESEHQSR/HBAAAgIj285iA4njp5VfsFalMwG9+5StB&#10;FndqbwJWr1xlj+ijAAAwIqL9PCagOKaZgOeefTbI4k7tTYA9nOSjAAAwIqL9PCagOAITsH3HThdv&#10;YAIuOO+Ca669NghWcrsV9nCSjwIAwIiI9vOYgOIITMC2m25x8QYmoOZP2pvbrbCHk3wUAABGRLSf&#10;xwQUByYAAAA6J9rPYwKKAxMAAACdE+3nMQHFgQkAAIDOifbzmIDiyGsCVq9c5aMAADAibFfvQ5iA&#10;ApnVBNS8AtDABFSHAwCAMWG7eh/CBBTIrCZA20xbDAATAAAADtvV+xAmoECOHT9hr0jfJmCa5wAA&#10;gDFhu3ofwgSUib0imAAAAGiP7ep9CBNQJvaKYAIAAKA9tqv3IUxAmdgrUj2u360JePE733G7xQQA&#10;ACwCtqv3IUxAmdgrUl2Ubk3A4e9/3+0WEwAAsAjYrt6HMAFlYq9IdVEamIBrrr32gvMuCIJOmAAA&#10;gIXCdvU+hAkoE3tFqouitB0kcidtMM0EKK6/BkGnl3/4Q7dbTAAAwCJgu3ofwgSUib0i1UX517fe&#10;+v1v/F6QyyVtMJMJ+KUnn6weCBCBCdi1e4//AwAAjAjb1fsQJqBM7BWpvygnX39DGxw4eMj//9t5&#10;6uln6j8uAhOgj/g/AADAiLBdvQ9hAsrEXpH6i+JSuP7r///tpJiAw0eOVgeSMAEAAKPEdvU+hAko&#10;E3tF6i9KexPgtqmECQAAGCW2q/chTECZrF65KvGiYAIAACAF29X7ECagTLbddIu9KMrx03Tg4CFt&#10;oP8Gcaddux+u//ipU29iAgAAFgHb1fsQJqBMAhMwpDABAACjxHb1PoQJKJO9+/bbi7J5y9ZgBN+V&#10;fuXXfuPcs8+xx1LQFwIAAEaE7ep9CBNQJsET+9K0lwBbsn3HTnuU6ncKAABgZNje3ocwAcWytLTJ&#10;Xhel51On3vR/6wgN+u0hJFYKAgAYK7a39yFMQLH0naFlKQbwGQAAUAi2w/chTEDJBHP1Uoc37IPH&#10;DqSe7jgAAEAJ2A7fhzABJXPy9TeCBQM0dn/q6Wfaa9IB8LtBAADjxvb5PoQJKBy3DMAAkuHwhwQA&#10;gDFi+3wfwgSUz+YtW+0F6kNPsTYAAMDYsd2+D2ECyufY8RPBTYFuJZPhjwQAAOPF9vw+hAmYC+QD&#10;gif5u9L2HTt5IwAAYBGwnb8PYQLmiJdefsU+3NdSBw4e4jkAAIDFIZrrMQEAAADjJ5rrMQEAAADj&#10;J5rrMQEAAADjJ5rrMQEAAADjJ5rrMQEAAADjJ5rrMQEAAADjJ5rrMQEAAADjJ5rrMQEAAADjJ5rr&#10;MQEAAADjJ5rrMQEAAADjJ5rrMQEAAADjJ5rrMQEAAADjJ5rrMQEAAADjJ5rrMQEAAADjJ5rrMQEA&#10;AADjJ5rrMQEAAADjJ5rrMQEAAADjJ5rrMQEAAADjJ5rrMQEAAADjJ5rrMQEAAADjJ5rrMQEAAADj&#10;J5rrMQEAAADjJ5rrMQEAAADjJ5rrMQEAAADjJ5rrMQEAAADjJ5rrMQEAAADjJ5rrMQEAAADjJ5rr&#10;MQEAAADjJ5rrMQEAAADjJ5rrMQEAAADjJ5rrMQEAAADjJ5rrMQEAAADjJ5rrMQEAAADjJ5rrMQEA&#10;AADjJ5rrMQEAAADjJ5rrMQEAAADjJ5rrMQEAAADjJ5rrMQEAAADjJ5rrMQEAAADjJ5rrMQEAAADj&#10;J5rrMQEAAADjJ5rrMQEAAADjJ5rrMQEAAADjJ5rrMQEAAADjJ5rrMQEAAADjJ5rrMQEAAADjJ5rr&#10;MQEAAADjJ5rrMQEAAADjJ5rrMQEAAADjJ5rrQxOAEEIIoXHLOQCBCUAIIYQWS84BCEwAQgghtFhy&#10;DkBgAhBCCKHFknMA4rQJAAAAgIXj3/7t/we29oPORIqX1AAAAABJRU5ErkJgglBLAwQUAAYACAAA&#10;ACEAr5a+At4AAAAIAQAADwAAAGRycy9kb3ducmV2LnhtbEyPQWvCQBCF74X+h2WE3uom1YqJ2YhI&#10;25MUqoXS25odk2B2NmTXJP77jqd6mnm8x5tvsvVoG9Fj52tHCuJpBAKpcKamUsH34f15CcIHTUY3&#10;jlDBFT2s88eHTKfGDfSF/T6UgkvIp1pBFUKbSumLCq32U9cisXdyndWBZVdK0+mBy20jX6JoIa2u&#10;iS9UusVthcV5f7EKPgY9bGbxW787n7bX38Pr588uRqWeJuNmBSLgGP7DcMNndMiZ6eguZLxoWC8T&#10;Tiq4DbZni4iXo4L5PElA5pm8fyD/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YMo6F9AwAADggAAA4AAAAAAAAAAAAAAAAAOgIAAGRycy9lMm9Eb2MueG1sUEsB&#10;Ai0ACgAAAAAAAAAhAPZPPqA8eQAAPHkAABQAAAAAAAAAAAAAAAAA4wUAAGRycy9tZWRpYS9pbWFn&#10;ZTEucG5nUEsBAi0AFAAGAAgAAAAhAK+WvgLeAAAACAEAAA8AAAAAAAAAAAAAAAAAUX8AAGRycy9k&#10;b3ducmV2LnhtbFBLAQItABQABgAIAAAAIQCqJg6+vAAAACEBAAAZAAAAAAAAAAAAAAAAAFyAAABk&#10;cnMvX3JlbHMvZTJvRG9jLnhtbC5yZWxzUEsFBgAAAAAGAAYAfAEAAE+BAAAAAA==&#10;">
                      <v:shape id="그림 3991" o:spid="_x0000_s1364"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41oxQAAAN0AAAAPAAAAZHJzL2Rvd25yZXYueG1sRI9Pa8JA&#10;FMTvBb/D8oTe6m4shhhdRYS2Xiz4B8+P7DMJZt+G7Nak374rCD0OM/MbZrkebCPu1PnasYZkokAQ&#10;F87UXGo4nz7eMhA+IBtsHJOGX/KwXo1elpgb1/OB7sdQighhn6OGKoQ2l9IXFVn0E9cSR+/qOosh&#10;yq6UpsM+wm0jp0ql0mLNcaHClrYVFbfjj9XA173czW5KpsXXtv/O1CVJs0+tX8fDZgEi0BD+w8/2&#10;zmh4n88TeLyJT0Cu/gAAAP//AwBQSwECLQAUAAYACAAAACEA2+H2y+4AAACFAQAAEwAAAAAAAAAA&#10;AAAAAAAAAAAAW0NvbnRlbnRfVHlwZXNdLnhtbFBLAQItABQABgAIAAAAIQBa9CxbvwAAABUBAAAL&#10;AAAAAAAAAAAAAAAAAB8BAABfcmVscy8ucmVsc1BLAQItABQABgAIAAAAIQD1y41oxQAAAN0AAAAP&#10;AAAAAAAAAAAAAAAAAAcCAABkcnMvZG93bnJldi54bWxQSwUGAAAAAAMAAwC3AAAA+QIAAAAA&#10;">
                        <v:imagedata r:id="rId164" o:title=""/>
                      </v:shape>
                      <v:shape id="Text Box 3992" o:spid="_x0000_s1365"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TWGxwAAAN0AAAAPAAAAZHJzL2Rvd25yZXYueG1sRI9BawIx&#10;FITvhf6H8Aq9FM1WRXQ1ikgLtRfp6sXbY/PcrN28LElWt/++EQo9DjPzDbNc97YRV/KhdqzgdZiB&#10;IC6drrlScDy8D2YgQkTW2DgmBT8UYL16fFhirt2Nv+haxEokCIccFZgY21zKUBqyGIauJU7e2XmL&#10;MUlfSe3xluC2kaMsm0qLNacFgy1tDZXfRWcV7CenvXnpzm+fm8nY747ddnqpCqWen/rNAkSkPv6H&#10;/9ofWsF4Ph/B/U16AnL1CwAA//8DAFBLAQItABQABgAIAAAAIQDb4fbL7gAAAIUBAAATAAAAAAAA&#10;AAAAAAAAAAAAAABbQ29udGVudF9UeXBlc10ueG1sUEsBAi0AFAAGAAgAAAAhAFr0LFu/AAAAFQEA&#10;AAsAAAAAAAAAAAAAAAAAHwEAAF9yZWxzLy5yZWxzUEsBAi0AFAAGAAgAAAAhAF2pNYbHAAAA3QAA&#10;AA8AAAAAAAAAAAAAAAAABwIAAGRycy9kb3ducmV2LnhtbFBLBQYAAAAAAwADALcAAAD7AgAAAAA=&#10;" stroked="f">
                        <v:textbox style="mso-fit-shape-to-text:t" inset="0,0,0,0">
                          <w:txbxContent>
                            <w:p w14:paraId="3AD5B742"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C</w:t>
                              </w:r>
                            </w:p>
                          </w:txbxContent>
                        </v:textbox>
                      </v:shape>
                      <w10:wrap type="square"/>
                    </v:group>
                  </w:pict>
                </mc:Fallback>
              </mc:AlternateContent>
            </w:r>
            <w:r w:rsidRPr="008F328C">
              <w:rPr>
                <w:rFonts w:eastAsia="Times New Roman"/>
                <w:b/>
                <w:bCs/>
                <w:lang w:val="pl-PL"/>
              </w:rPr>
              <w:t>Sprawdzić lek</w:t>
            </w:r>
          </w:p>
          <w:p w14:paraId="5C84F5B6" w14:textId="77777777" w:rsidR="0059538A" w:rsidRPr="008F328C" w:rsidRDefault="0059538A" w:rsidP="00ED6A7B">
            <w:pPr>
              <w:ind w:right="1248"/>
              <w:rPr>
                <w:rFonts w:ascii="Times New Roman" w:eastAsia="Times New Roman" w:hAnsi="Times New Roman" w:cs="Times New Roman"/>
                <w:b/>
                <w:bCs/>
                <w:lang w:val="pl-PL"/>
              </w:rPr>
            </w:pPr>
          </w:p>
          <w:p w14:paraId="73D32D64" w14:textId="77777777" w:rsidR="0059538A" w:rsidRPr="008F328C" w:rsidRDefault="0059538A" w:rsidP="00ED6A7B">
            <w:pPr>
              <w:pStyle w:val="a3"/>
              <w:ind w:left="4297" w:hanging="180"/>
              <w:rPr>
                <w:lang w:val="pl-PL" w:eastAsia="ko-KR"/>
              </w:rPr>
            </w:pPr>
            <w:r w:rsidRPr="008F328C">
              <w:rPr>
                <w:rFonts w:eastAsia="Times New Roman"/>
                <w:b/>
                <w:bCs/>
                <w:lang w:val="pl-PL" w:eastAsia="ko-KR"/>
              </w:rPr>
              <w:t>a</w:t>
            </w:r>
            <w:r w:rsidRPr="008F328C">
              <w:rPr>
                <w:rFonts w:eastAsia="Times New Roman"/>
                <w:lang w:val="pl-PL" w:eastAsia="ko-KR"/>
              </w:rPr>
              <w:t>. Przyjrzeć się lekowi i potwierdzić, że płyn jest przejrzysty, bezbarwny do bladobrązowego i wolny od cząstek stałych.</w:t>
            </w:r>
          </w:p>
          <w:p w14:paraId="07815336" w14:textId="77777777" w:rsidR="0059538A" w:rsidRPr="008F328C" w:rsidRDefault="0059538A" w:rsidP="00ED6A7B">
            <w:pPr>
              <w:pStyle w:val="a3"/>
              <w:numPr>
                <w:ilvl w:val="0"/>
                <w:numId w:val="0"/>
              </w:numPr>
              <w:tabs>
                <w:tab w:val="left" w:pos="3861"/>
              </w:tabs>
              <w:rPr>
                <w:lang w:val="pl-PL"/>
              </w:rPr>
            </w:pPr>
          </w:p>
          <w:p w14:paraId="0761F817" w14:textId="77777777" w:rsidR="0059538A" w:rsidRPr="008F328C" w:rsidRDefault="0059538A" w:rsidP="00ED6A7B">
            <w:pPr>
              <w:pStyle w:val="a3"/>
              <w:numPr>
                <w:ilvl w:val="0"/>
                <w:numId w:val="17"/>
              </w:numPr>
              <w:ind w:left="4297"/>
              <w:rPr>
                <w:lang w:val="pl-PL"/>
              </w:rPr>
            </w:pPr>
            <w:r w:rsidRPr="008F328C">
              <w:rPr>
                <w:rFonts w:eastAsia="Times New Roman"/>
                <w:b/>
                <w:bCs/>
                <w:lang w:val="pl-PL"/>
              </w:rPr>
              <w:t xml:space="preserve">Nie używać </w:t>
            </w:r>
            <w:r w:rsidRPr="008F328C">
              <w:rPr>
                <w:rFonts w:eastAsia="Times New Roman"/>
                <w:lang w:val="pl-PL"/>
              </w:rPr>
              <w:t>ampułko-strzykawki, jeżeli płyn jest przebarwiony (żółty lub ciemnobrązowy), mętny lub zawiera</w:t>
            </w:r>
            <w:r w:rsidRPr="008F328C">
              <w:rPr>
                <w:lang w:val="pl-PL"/>
              </w:rPr>
              <w:t xml:space="preserve"> </w:t>
            </w:r>
            <w:r w:rsidRPr="008F328C">
              <w:rPr>
                <w:rFonts w:eastAsia="Times New Roman"/>
                <w:lang w:val="pl-PL"/>
              </w:rPr>
              <w:t>cząstki stałe.</w:t>
            </w:r>
          </w:p>
          <w:p w14:paraId="54774A0B" w14:textId="77777777" w:rsidR="0059538A" w:rsidRPr="008F328C" w:rsidRDefault="0059538A" w:rsidP="00ED6A7B">
            <w:pPr>
              <w:pStyle w:val="a3"/>
              <w:numPr>
                <w:ilvl w:val="0"/>
                <w:numId w:val="0"/>
              </w:numPr>
              <w:rPr>
                <w:lang w:val="pl-PL"/>
              </w:rPr>
            </w:pPr>
          </w:p>
          <w:p w14:paraId="7F6070F8" w14:textId="77777777" w:rsidR="0059538A" w:rsidRPr="008F328C" w:rsidRDefault="0059538A" w:rsidP="00ED6A7B">
            <w:pPr>
              <w:pStyle w:val="a3"/>
              <w:numPr>
                <w:ilvl w:val="0"/>
                <w:numId w:val="17"/>
              </w:numPr>
              <w:ind w:left="4297"/>
              <w:rPr>
                <w:b/>
                <w:bCs/>
                <w:lang w:val="pl-PL"/>
              </w:rPr>
            </w:pPr>
            <w:r w:rsidRPr="008F328C">
              <w:rPr>
                <w:rFonts w:eastAsia="Times New Roman"/>
                <w:lang w:val="pl-PL"/>
              </w:rPr>
              <w:t>W płynie mogą pojawić się pęcherzyki powietrza. Jest to normalne zjawisko.</w:t>
            </w:r>
          </w:p>
        </w:tc>
      </w:tr>
      <w:tr w:rsidR="0059538A" w:rsidRPr="00A5286D" w14:paraId="17A0A8BA" w14:textId="77777777" w:rsidTr="00ED6A7B">
        <w:trPr>
          <w:trHeight w:val="5669"/>
        </w:trPr>
        <w:tc>
          <w:tcPr>
            <w:tcW w:w="9634" w:type="dxa"/>
          </w:tcPr>
          <w:p w14:paraId="30F5E9D0" w14:textId="77777777" w:rsidR="0059538A" w:rsidRPr="008F328C" w:rsidRDefault="0059538A" w:rsidP="00ED6A7B">
            <w:pPr>
              <w:ind w:right="1248"/>
              <w:rPr>
                <w:rFonts w:ascii="Times New Roman" w:eastAsia="Times New Roman" w:hAnsi="Times New Roman" w:cs="Times New Roman"/>
                <w:b/>
                <w:bCs/>
                <w:spacing w:val="-1"/>
                <w:lang w:val="pl-PL"/>
              </w:rPr>
            </w:pPr>
          </w:p>
          <w:p w14:paraId="65179DBD" w14:textId="77777777" w:rsidR="0059538A" w:rsidRPr="008F328C" w:rsidRDefault="0059538A" w:rsidP="00ED6A7B">
            <w:pPr>
              <w:ind w:right="1248"/>
              <w:rPr>
                <w:rFonts w:ascii="Times New Roman" w:eastAsia="Times New Roman" w:hAnsi="Times New Roman" w:cs="Times New Roman"/>
                <w:bCs/>
                <w:lang w:val="pl-PL"/>
              </w:rPr>
            </w:pPr>
          </w:p>
          <w:p w14:paraId="560B38F2" w14:textId="2E90371B" w:rsidR="0059538A" w:rsidRPr="008F328C" w:rsidRDefault="0059538A" w:rsidP="00ED6A7B">
            <w:pPr>
              <w:ind w:right="1248"/>
              <w:rPr>
                <w:rFonts w:ascii="Times New Roman" w:eastAsia="Times New Roman" w:hAnsi="Times New Roman" w:cs="Times New Roman"/>
                <w:bCs/>
                <w:lang w:val="pl-PL"/>
              </w:rPr>
            </w:pPr>
            <w:r w:rsidRPr="008F328C">
              <w:rPr>
                <w:rFonts w:ascii="Times New Roman" w:eastAsia="Times New Roman" w:hAnsi="Times New Roman" w:cs="Times New Roman"/>
                <w:bCs/>
                <w:noProof/>
                <w:lang w:eastAsia="ko-KR"/>
              </w:rPr>
              <mc:AlternateContent>
                <mc:Choice Requires="wpg">
                  <w:drawing>
                    <wp:anchor distT="0" distB="0" distL="114300" distR="114300" simplePos="0" relativeHeight="251658386" behindDoc="0" locked="0" layoutInCell="1" allowOverlap="1" wp14:anchorId="7A3E7DD9" wp14:editId="356D42DF">
                      <wp:simplePos x="0" y="0"/>
                      <wp:positionH relativeFrom="column">
                        <wp:posOffset>118745</wp:posOffset>
                      </wp:positionH>
                      <wp:positionV relativeFrom="paragraph">
                        <wp:posOffset>104140</wp:posOffset>
                      </wp:positionV>
                      <wp:extent cx="2134235" cy="2749550"/>
                      <wp:effectExtent l="0" t="0" r="0" b="0"/>
                      <wp:wrapSquare wrapText="bothSides"/>
                      <wp:docPr id="3993" name="그룹 3993"/>
                      <wp:cNvGraphicFramePr/>
                      <a:graphic xmlns:a="http://schemas.openxmlformats.org/drawingml/2006/main">
                        <a:graphicData uri="http://schemas.microsoft.com/office/word/2010/wordprocessingGroup">
                          <wpg:wgp>
                            <wpg:cNvGrpSpPr/>
                            <wpg:grpSpPr>
                              <a:xfrm>
                                <a:off x="0" y="0"/>
                                <a:ext cx="2113033" cy="2749550"/>
                                <a:chOff x="10601" y="0"/>
                                <a:chExt cx="2113033" cy="2749550"/>
                              </a:xfrm>
                            </wpg:grpSpPr>
                            <wpg:grpSp>
                              <wpg:cNvPr id="3994" name="그룹 3994"/>
                              <wpg:cNvGrpSpPr/>
                              <wpg:grpSpPr>
                                <a:xfrm>
                                  <a:off x="10601" y="0"/>
                                  <a:ext cx="2113033" cy="2749550"/>
                                  <a:chOff x="10601" y="0"/>
                                  <a:chExt cx="2113033" cy="2749550"/>
                                </a:xfrm>
                              </wpg:grpSpPr>
                              <pic:pic xmlns:pic="http://schemas.openxmlformats.org/drawingml/2006/picture">
                                <pic:nvPicPr>
                                  <pic:cNvPr id="3995" name="그림 3995"/>
                                  <pic:cNvPicPr>
                                    <a:picLocks noChangeAspect="1"/>
                                  </pic:cNvPicPr>
                                </pic:nvPicPr>
                                <pic:blipFill>
                                  <a:blip r:embed="rId165" cstate="print">
                                    <a:extLst>
                                      <a:ext uri="{28A0092B-C50C-407E-A947-70E740481C1C}">
                                        <a14:useLocalDpi xmlns:a14="http://schemas.microsoft.com/office/drawing/2010/main" val="0"/>
                                      </a:ext>
                                    </a:extLst>
                                  </a:blip>
                                  <a:srcRect/>
                                  <a:stretch/>
                                </pic:blipFill>
                                <pic:spPr bwMode="auto">
                                  <a:xfrm>
                                    <a:off x="10601" y="0"/>
                                    <a:ext cx="2113033" cy="2607310"/>
                                  </a:xfrm>
                                  <a:prstGeom prst="rect">
                                    <a:avLst/>
                                  </a:prstGeom>
                                  <a:noFill/>
                                  <a:ln>
                                    <a:noFill/>
                                  </a:ln>
                                </pic:spPr>
                              </pic:pic>
                              <wps:wsp>
                                <wps:cNvPr id="3996" name="Text Box 3996"/>
                                <wps:cNvSpPr txBox="1"/>
                                <wps:spPr>
                                  <a:xfrm>
                                    <a:off x="1371600" y="2603500"/>
                                    <a:ext cx="719758" cy="146050"/>
                                  </a:xfrm>
                                  <a:prstGeom prst="rect">
                                    <a:avLst/>
                                  </a:prstGeom>
                                  <a:solidFill>
                                    <a:prstClr val="white"/>
                                  </a:solidFill>
                                  <a:ln>
                                    <a:noFill/>
                                  </a:ln>
                                </wps:spPr>
                                <wps:txbx>
                                  <w:txbxContent>
                                    <w:p w14:paraId="54D1E231"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97" name="Text Box 3997"/>
                              <wps:cNvSpPr txBox="1"/>
                              <wps:spPr>
                                <a:xfrm>
                                  <a:off x="1162050" y="7620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14A558" w14:textId="77777777" w:rsidR="006D7011" w:rsidRDefault="006D7011" w:rsidP="0059538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A3E7DD9" id="그룹 3993" o:spid="_x0000_s1366" style="position:absolute;margin-left:9.35pt;margin-top:8.2pt;width:168.05pt;height:216.5pt;z-index:251658386;mso-position-horizontal-relative:text;mso-position-vertical-relative:text" coordorigin="106" coordsize="21130,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7iYVwQAAAINAAAOAAAAZHJzL2Uyb0RvYy54bWzcV91OIzcUvq/Ud7Dm&#10;fslMQiYQEVYUymoluosWqr12PJ7MiBnbtR0S+jqV+gptpT5R+xL9jucnJKFa4GIr9YLh2D62z/n8&#10;nc/Oydt1XbF7aV2p1SxKDuKISSV0VqrFLPrx9vLNUcSc5yrjlVZyFj1IF709/fabk5WZyqEudJVJ&#10;y7CIctOVmUWF92Y6GDhRyJq7A22kwmCubc09mnYxyCxfYfW6GgzjOB2stM2M1UI6h96LZjA6Devn&#10;uRT+Y5476Vk1ixCbD18bvnP6Dk5P+HRhuSlK0YbBXxFFzUuFTfulLrjnbGnLvaXqUljtdO4PhK4H&#10;Os9LIUMOyCaJd7J5Z/XShFwW09XC9DAB2h2cXr2s+HD/zpobc22BxMosgEVoUS7r3Nb0H1GydYDs&#10;oYdMrj0T6BwmySgejSImMDacHB6Pxy2oogDyNC+J0ziJ2GauKL7/wuxBt/lgK6S+0YSK2K8tK7NZ&#10;NDo+PoyY4jUY9tdvv//9yx8sdLU5vSDJvWD/k0RNKab4aw8c1t6Bf7kwMMsvrYzaRepnrVFze7c0&#10;b8BNw305L6vSP4Q6AwspKHV/XYpr2zS28B8/xv/XPwn/MVUXzSLHZhqntK60uHNM6fOCq4U8cwZV&#10;CpqQ92DbPTS39pxXpbksq4p4SXabHSp6pyKeAKiptgstlrVUvpEPKyskqpUrSuMiZqeynkswyr7P&#10;wFkB6fLglLGl8o1WOCs+IV7EyqfOW+lF0cW9iY2ycKgpNl/9oDMswJdeB33Yqaln0i2NJ6Mk1FVf&#10;GUDSOv9O6pqRgYgRVdiC3185ig+unQsFqzThFuKu1FYHHKkngE1RtyaSoDqDLrsOZrT2gH6R9NwU&#10;3EhESctu0Sft6HNLBfedXhOBUoK8dSWJYn6NkZYq1N9E24lFr1TJaJKkMeSeNCmNR2PYIfGumCfJ&#10;8WSMm4lEKzlM40azXo+t01WZdbQk0M8ry+457pxVUXoZmA26PPb6lzPYZEWWX8/XQeCSSSgm6pvr&#10;7AFQWI0zR4rOiMsSO15x56+5xeWFTlzI/iM+eaVXs0i3VsQKbX9+qp/8cbAYjdgKl+Escj8tOYlH&#10;9V7hyOnm7AzbGfPOUMv6XCNXFAyiCSYmWF91Zm51/Rn39BntgiGuBPaaRb4zz31zJeOeF/LsLDg1&#10;GnSlbgyUKwnMJmRv15+5NS3nPQ70g+5Ixac71G98Q6WaM1TgZRnqYoMimE4NEDxY7e339Vg/eYr1&#10;k9eyPkmHxGRi/QTmDuePxkfjIUYD5+PDZJgOW152mtSpxTMFZYvO4cEme9rPF42c75GegY8pCjKc&#10;Zy9JrQLxqQxPtla/6GiaCg+Wf6gknWWlPskcVRGeJOFw6bG42ZsLAXnv9g/e5JVD/V4ysfWnqU1U&#10;L5nczwg7a+X7yXWptA3Z70CW3XUh541/S07X5E0QPJKDXhr/R3IgvP1KghCqvkFuTwLw0Ebf1kv+&#10;cTv4b366nP4DAAD//wMAUEsDBAoAAAAAAAAAIQDRZ+b21aIAANWiAAAUAAAAZHJzL21lZGlhL2lt&#10;YWdlMS5wbmeJUE5HDQoaCgAAAA1JSERSAAAB/AAAAnMIAgAAAGU+NtQAAAABc1JHQgCuzhzpAAAA&#10;BGdBTUEAALGPC/xhBQAAAAlwSFlzAAAh1QAAIdUBBJy0nQAAompJREFUeF7t/XV81djevw///n2+&#10;931uO65DZdfd3Uvd3WhpS2lpqbu7USjUvdSdFocCFdzdXQdmYGDQQWbmPKskE9K1hbrsfN6v63XO&#10;sLOSnay2V1aSlbX+v39DIBAIhDEB6UMgEAiDAtKHQCAQBuX/u3b1qtA3SwAAAAA+RldTC6QPAADA&#10;FED6AAAADIKD9O2sbYiPIBAIBMIfefr99yB9CAQCYUpA+hAIBMKggPQhEAiEQQHpQyAQCIMC0odA&#10;IBAGBaQPgUAgDApIHwKBQBgUkD4EAoEwKCB9CAQCYVBA+hAIBMKggPQhEAiEQQHpQyAQCIMC0odA&#10;IBAGBaQPgUAgDApIHwKBQBgUkD4EAoEwKCB9CAQCYVBA+hAIBMKggPQhEAiEQQHpQyAQCIMC0odA&#10;IBAGBaQPgUAgDApIHwKBQBgUkD4EAoEwKCB9CAQCYVBA+hAIBMKggPQhEAiEQQHpQyAQCIMC0odA&#10;IBAGBaQPgUAgDApIHwKBQBgUkD4EAoEwKCB9CAQCYVBA+hAIBMKggPSZmKdPn33/9CnBrdt3rl5F&#10;P3OSW7fuUItevnz1yy+/kOtAIBC+CEifn/Phw4cbN28NjYz29vWXlpXn5uX7+SxHONjZO9jaEZgu&#10;NTHUN6QwMTahFrk6Oft6+wT4++fk5hWvL9mybcehI0evXL1Gbh0CgSzCgPT5Ib/++uunT5/ev3//&#10;9u3bY8eONzW3xcYlmpqYET/HGYclKGRhbpmaltnc0n779h30peir0Q6g3SB3CAKBLNSA9Bdx3r37&#10;6dr1G8PDIxsbNyYmJjs7OSvKKRA/u7lERVnFzdU9JTmlva3t8JGj9+4/IPcPAoEsvID0F19++umn&#10;I0ePl5SUeXp4GugZKMjKsQQEiR/ZvKOqpGxqbOLp5l5b23Dh4iVyjyEQyIIJSH9x5NOnT69evTp/&#10;4UJqepaqiirxA1r4LF1qWli07uatW69fv0GHQB4MBAKZv4D0F3oePHy4e/dgfl6+rY2duIgo8aNZ&#10;XEiIiLq6uBWtKRoeHvn++6fkgUEgkPkISH+B5tOnn8+ePZ+almFsYCgnLUP8RBY1wksEFOXkLc0t&#10;ioqKb9++Qx4nBAKZ24D0F1Z++eWX58+f79q9x9vbh/gp8CsREVFHjx57+fIlvAoAgcxlQPoLJZ8+&#10;fbpw4VJZWZm9nYOIoBDxI5hxUHNbVVlVX1fPyMDI0d7R1cWNwMXZ1cHOgcLGykZbSxuhKK+IbWEG&#10;kRKXWObl3di48ebNW6B+CGRuAtJfELl563ZiYrKmusbM9sMRFWZZWFglJCbn5Rd2dfUcOXL06pUr&#10;d+7cuX//wcOHD7/7/vunT58RoP88d/4ixdlz548dP4E4dPjI8PBIT++m6pq65OQ0X19/k5nu/i/G&#10;EtHW0Fy7bt2zZz+Q1QGBQGYtIP35zPv37y9fuZKamk5U+HQQZ4koyStoa2jZ2dhmZGX3D2y9dPkK&#10;+TUTyK+//opOBBPk1u07Q8OjVdV1kVEx5mbm6iqq8jKy0786kZeWWbOm6P79+9DPBwKZvYD05ydj&#10;N3MuXsrMzNJUUydqe2rISsm4OLsmJSS1tLQeOjz2YtSnTz+T3zGZTEr6dG7fuXv4yLH+gc3r1q4L&#10;CV5taWE5zS5Gejp6GzZsuHX7NrlnEAhkRgPSn4d8+PAhPT0TNZCnczNnxYqVXd29N27cfP78Bbpi&#10;mOYQCFOWPp0bN2+dv3BxdPRA4Zp1djb2U277iwgJqymrVFbXvXv3jtw/CAQyQwHpz12QWF+8eNHX&#10;16+tpU3U8KQQFRLWUFX39PBs7+h6+PBbcqPTzsuXrzo7ux0cnNBXGOgb5OUXnj5zDl0xYEKfAsOj&#10;B3Jy8i3MzJUVlFgCUzkBWFlajY7uf/3mDbmvEAhk2gHpz1Hev/8weuCg33JfSVExononjoKcvL/f&#10;isaGxjNnz02zRc+enOxcSTHxL1+3RGDZMu+z585jBp8yl69c275jZ15uvpOjkxhL5MsXTQwFWfmw&#10;0LAzZ87+/PNUbltBIBAsIP25yPPnL1JS02UkJImKnRS5efk3btx88+btbHRqvHrtupgwC/tGlqBQ&#10;eUUV5u5pcvfe/StXrw8NjwYFhUzhpr+KolJlVQ250xAIZBoB6c9u3r17d+TIUScnF6JKJ4i0hKSV&#10;hVVJafls92Isq6jGvpogICAIs/YMcuTY8cSkFH0dPfFJNvzd3T1PnDj14cMHcu8hEMjkA9KfxTx8&#10;9Cg7K0dBTp6oz4kgxhIJWLFy8+YtDx4+Ircym+EmfSsrG8zUMw4xUKjzJE+HWhqa69eXvHv3E3kA&#10;EAhkkgHpz1auXrtubGQ8qf459g6Ohw4fnX5XnIlnHqWPuHvv/o2bt3r7+vV19bEd4IGIoJC1pRVa&#10;kTwGCAQymYD0Zz4vX73a2NTMfq+cGxKiYva29gObt/z001w3YOdX+hRXrl7PzSswMjCc+JNePR3d&#10;zZu3vnnzljwSCAQysYD0ZzjfPn4cFRUtIylF1OFXMTE26ezsejgnN3PYs0CkT3Dk6PG8/MKJzxYg&#10;LyuXkpz66NGM9V6FQJgQkP5M5vyFS8oKkxihLCs79+XLV3N2M4c9C0r6iLv37p8/f3FVUIiokDC2&#10;S5xZIuDq4vbDD8/J44FAIF8LSH9m8vHjpy1btupoTuitK3ER0eU+yw8eOkyuPH9ZaNInuHnrzsam&#10;ZisLS9bE3uk1WWp68OCh9+/fk0cFgUC4B6Q/A/nxxx+LitbJTmyqEz1dva6u7u+++55ceV6zMKVP&#10;cOrM2ZycPAVZOWzfOKKuqrZxY/OHDx/JA4NAIFwC0p9uXr9+k5iQJLxEgKg03ni4eyKdkWvSgjZS&#10;Wl4pKyUtJswKWLnq9u27c3PPZ36lf+/+g0uXr8bGxstISaMvDVkdRowZRy8zuv+QguxE+7zW1jXC&#10;uPwQCO+A9KcVZKWQ4NVEdfFGW1OrpKTs1avX5Jq03L17z9HekV5YUlxiU9+mORh4YB6lf/fe/W3b&#10;d6oqqdC/V19Xf9/QCFbyytVr8XEJE2zyx8XGP30K0/BCIFwD0p96Lly86Oo8oXeLbK1tDh8+Qq42&#10;Ph8/foyKjMLKIwz1Da/fuEkWmrXMo/QvXrrs470c+16ErrbOjZu3scLXrt/s7u5Bi7DC7IizRCIj&#10;o58/h0e7EAjngPSnmMePn9hY2RAVxQMRQaGVgat4dCd/+PCRsYEhthZBfl7+bE8nUl5Zg30pgY+3&#10;L6bdGaezs5tbr/xdu/dihQmuXrvu5OgsPIH33aysbZH357FbFASyYAPSn0ouX75iZ2tH1BIP1JRV&#10;amrqeN9lvnT5io6mFrYigaqyytWr18hys5MjR4+zd45kCQgWrS3GhDuznL9wEV3KYN9L0d7RjZWn&#10;OHP2fGJiivQEhq7z9va5des2eB8CwQLSn3QuXro8kTa+hrrmvr37vtqP8NkPP5gaL8XWpfD28SXL&#10;zU7QlURYaDj2pWYmZuhkgNl2ZklMSsG+lA7vb79+41ZTc6vS12ZsR9dYy5b5vHjxI3moEAjkc0D6&#10;k8vjx09sbb7SxhdeImhhbolKkut8LY2NTdgW6PQPbJnV5uoPPzxPSkqRl5GVEhOXkZRydHI5cPAQ&#10;5tkZ5N79B7v37FPkPgidr68/tgpHNm/ZpjGBmSatrG2///4ptPchECog/Unk4qVLtja2ROXwIGDF&#10;yrt375LrTCAvX76ysrDCNkJhb2P36NvHZNFZy63bd9DZZWT0AObWGefa9RurQ0K59XDVVNM4c/Yc&#10;tgo39g6NTOSSa7mP7/37D8jjhEAYH5D+RHPv/n1nJ2eiZniQmZk9hS6Dhw8fRW1tbFMEYsKsmuqa&#10;2e6+idrCmFJniZ07d0uJS2DHSCAiKFSQX3gXVTTbWtw4euy49zIf3i9JoM1GR8WQxwmBMD4g/QkF&#10;NcaDV4UQ1cINJJfEpOSpjZT55u3bqMhobvIy1Dd49uwZWXR2MjfSv3n7jgX3axpzU7PjJ05hq3yV&#10;8xcuOTs4f/XluIiIqLkfxBQCWYAB6X89P/74MiY2jqgTboiLiGZlZX//dOpqPn78hIqCErZZiqys&#10;HLLc7GRupF9dU48dF53q6jqs/AQ5f+Giv9+Krw7Us3Zt8evXMMc6hOkB6X8lHz9+TE/P4C0UZPyW&#10;ltZ302tIoi9CZse2TCEpKk6Wm53MjfRtLLk2852cXNjfyZo4Z86e9/ddgW0TQ05aZmBgM3nAEAhT&#10;A9LnFaTCrq5uYmQYbogICuVk5/40E0M8fv/999pc+uwjyEKzk7mRvomRMXZQBFLiEvsPTLfL0Lnz&#10;F50cnHjf55EWlzhx8jSMzwNhckD6vHLy1Bkdra+MlpyYmPT9zA32MjCwRVJMHPsKhIaaBllidjI3&#10;0vfz9cOOCyEiKJyYmHz7zl2s8BQ4f+FSgH8AOg1jX0FHT0fv3LkL5GFDIMwLSJ9r7ty5qySvQFQF&#10;NzIzc96+nckZ+178+KPfcg5m7Ns0QJaYncyN9Lds24kdF0JHU3t0/0FscM0pc/bcBV9OFUjHx3v5&#10;d98viKGtIZC5D0ifc358+XLligCiHjjCEhBctSrkxYsX5Aozl1Onz1hZWEqIihFfpCArl5aW8eHD&#10;B3Lx7GRupI+orq1XVVImbsKICrM01TXqGzZiZabJ6IGDBnpfmWl9w/oNczCIKQSyAAPS55zqmlpu&#10;3ckJnByc0KUAWXqm8+Dho76+TXU1NYih4ZE5mP57zqR/+87d3YN7i9cVFxWuqaioPHDwMFZgRjh4&#10;+Kg+T+/LSEkPDGwhDx4CYVJA+hxy6vRZyd8a2hwxMjRGXiZL80XmTPpzxrbtO9RV1bAfHB0VBcXT&#10;Z86Sxw+BMCYgfTz37t3X1zMgaoAjqsoqw8MjZGl+Cf9JH11SlJZViAmzsB8fHV+f5c+fz/wNOghk&#10;IQekPy6vX79OSEgkDp8jY4Mi1NTx3xzc/Cd9xNVrNxISkrCfIB1JMfGmphayCiAQZgSkPy6oCc/7&#10;Vn5MbPzHj7M7scm8hC+lj0DtfV9ff+yHSEeMJXLj5i2yFiAQBgSk/yXPfvjB3NScOHaOuLm6z8Ez&#10;1XkJv0ofMbr/gKE+r/t1bm7uz2ehFxYEsjAD0ifz4cOHsPAI4sA5oq2pdeLESbI034WPpX/33v2N&#10;TS3YT5OOmDCrrLT848ePZF1AIHwdkD6ZwT37JES49tgRXiJQV9eAzEiW5rvwsfQR9+4/SEhMwX6m&#10;dAz09B88gDH3IYwISH8sT5898/TwJI6aI/5+/q9evSJL82P4W/oI1N53cuQ1HUJUVAxfPq2BQLCA&#10;9MfS1t7JccQbgqVGxk+efEcW5dPwvfRRY7+vr19Fkevg1aLCrF279pDVAYHwb0D6Y8Ply3IfR1OM&#10;JbJzx06yKP+G76VPkJiYjP186ejr6MJE6hC+D9Ol//7Dh7T0DOJ4ORK4Mmi2Z61aCGGI9M+dv6iv&#10;y3V4BnER0fr6BhiTB8LfYbr0jx49xnsozVOnTpNF+ToMkT5i2/ZdstIy2E+ZwsrC6uk0pj+DQBZ+&#10;GC39n356HxcTSxwsRyqr68iivwXJ8ZdffkH/S/6bX8Iu/Xv3H9y+c+/2nbuTmql8AYL2nz5uMzqi&#10;sDBefXPLyqvISoFA+DGMlv7Fi5c01TWIg2XHysLy7dt3ZNHP+fbxk61bt5WVlG1saDx0+PDr16/J&#10;BYs/mPSPHT9ZVVUdER4ZvCokNzdv39DIHeROWoGFz81bt3cP7q2sqExPy6ytrT989Bi1aM/efRqq&#10;6tiPm0JZQenho2/JeoFA+C6Mln5qajpxpOzISEht3jJu6N2r1655enhK/NbJR0VRKSgw6PKVq+Ti&#10;RR669IdHRu1s7an5p4SXCGipa7a1d1IFFj7nzl+Mjo6lRtkUFWYZ6Bn09vUTS1FjPzk5lVjEkYzM&#10;LLJeIBC+C3Olf+v2HeIwOeLh6v7shx/IomPv634MDFyFlSGorKx5+vTZYp92lZL+rdt3oyJjsGNE&#10;SEtIXbh4mSizkLly9Vp9w0Yxlgi2/wgjA8ODh44QxdBZQUVJBStAoa2pdfnyFbJqFljev3//DP3C&#10;0fj0ibmvF3z69PO7dz+9eP6Cqo0ff/zx3bt3U34a//PPv7x99+7FC/oGX/7000/8NK8yQ6WP/nJC&#10;glcTh8mRgc3jmvkPHj7k6BEEaghbW1p39/Sg3xCy9CIMJf0rV66qq3Aehn7tug1EmYXJ5SvXenr7&#10;PNw9xUVEsT0nYAkI1dc3UuXRuYHbbLoiQsIbNpQsTJnWNzRie3vp8oQuN0+fPtOIVp4Me/bsJVde&#10;ePnw8ePxEyfXFK4JXBmkoqhM1Yautq6/f0B5Wfm58xcm9RNEWr948VJVZZWf7wr6XV90jRiyanVj&#10;Q+O16zfIoos8DJX+0aPHFOXkicNkZ8WKlaixQBb9nNH9B7EyGJLiEi5OzgcOHkJND3KdRRVK+lu2&#10;bccOjSI6Jo4y5kID/YB8l/vJy8hi+4yRX7CGWuXSpSu2NrZYAQorKxvUZiRrZ8HkyXffIQdhuzpB&#10;6QesWImt+FX8/QLIlRdYHn37bWjIajVlVWyHKVgCglrqGvn5BeQKE0jDxmZtDS1u7QBxloietk5X&#10;dy9ZejGHidL/+PEjaiAQ07Syg9qJt2/fIYv+FtRqQO1ErCQ7EqJiSclpDx48XHR9vSnpry8pxw6K&#10;Ij4hiTLmAuHe/QdXrl7LyyuQEpfE9pYjRWuLqXXv3ntQWlLGY5aV2Z6MfrJBl6cJnF4um4j037x9&#10;a2q8FFvxqyxM6f/w/Lmzkwu2q9wIDQ1//vw5+vUmV+YUVLG5OXnYihyREpdoampe7PfTmCj9J0+e&#10;mJqYEcfITlRkNPsPFf1a2NnaYyW5YW9nf/bsOd6/ZwstlPRXcnl0gWhtW3DPci9dvoIasNxaZxgq&#10;isq7B/fQVz9+4pSxoTFWjMLKwnLhjKT94cOH+vpGCU53riYi/es3bmpraGIrfpUFKP3Hj5+4ubpj&#10;+8kDMZZIenrGTz/9RK7Pll9++aWpuUVGUgpbkRuqSsrogp5ceXGGidJvae3gpgk5aZnduwfZfY0+&#10;Qb5QVlDEynMEXVrGxyWgv1Jy5cUQSvo85pAZ3X+I0uUCoay8SkRIGNtPbhSuWXvr9h366qixv27d&#10;eqwYnV27F8poPFu3bUe/nNjuEUxE+oePHFWSn9BvL50FKP0NG0qxnfwqkqJi3T2byPXZ8uyHH3j0&#10;2+aIqqLy08X8lj7jpP/x0ycba653cl2cnOmddrCcOHnay8tbegJ3EkxNTN+8eUOuthhCSP/goaPY&#10;gVBIiIrRdblAcHfnNTYqgZgwy1DfsLO7F1uX4Nr1mzISXFt5Pt4+837yfv36TWdXD7ZjdCYi/f7+&#10;fh5DCnJjoUn/1q3bZiam2E4iUGvMSE/fxNBIV0ub42Hq6uj99BOHKU5RMz83rxArjEAbMfy8QR1N&#10;LY49OMrKKn7+ebH252Gc9Ed4PpJtbm0jy3EJ+gvs6el1duI1SC9ikUq/o5OrXHx8/OiuXCDY2zti&#10;+4mho61TtGbt6TPnsBXprCvegK1Foammcer0GbKO5iNXrl6LjYnl1nOM4KvS//Tp5/XFG7g9xOLB&#10;QpP+pk39kqLjnI6u8wIDVp44cYroefHd9983NGyUk+JwSbRvaITYCD3Xb9yUFMMvbaXExDdubCLu&#10;7H37+PH69RtQiwcrY25i9vDhI2Ijiy6Mk354eCRxdOzISstgnXY4BrUOfvjheXNzK7eujQhHB6e3&#10;bxfTxIqE9LO5P87KyS2gi3KBsGoV13634iKiCQnJJ0+d/uq7xCdPntZU53y/myUgWF1VPS99tN9/&#10;+NDW3qmqpMz62hOLr0r/3bufoiKj6atIS0g2NzXfuX2bN0+ePCE3sTASF5dIPwqEs6Pz/fGz33z8&#10;+LEgfw1WDFFdU0uWoKWtvQMrhigtr6Q/1UOXevHx+PcqyMqPjIySJRZbmCX9q9eua3H580ZU1dST&#10;5SaWGzduBgUGKcrh47WJCbNKS8oW1yN+JH3kxmWey7Bjoejp6cNcuRDYuWu3LNsjOCkxCTtr263b&#10;d2KFuXHj5q2I8EhuDWEPDy8ejwFnKZs3b7G1scP2hBtflf7Lly/dXN3oq6gpq6DTIbl48cTdzYN+&#10;FCKCQi0tHC7Nr9+4RS9GULS2mFz8W9BfaHhYOFZMUlSMfXiVc+fOy8nIYSXXrV23SAdkZZD0UXut&#10;o72D25yImmrqDx9N+noNtQKGhkZWBqwU/e1xIvqlycnO/f7pU7LEIgmS/rnzFy3MLKgKoSMjKX34&#10;yFHMlQuBm7fvVFRU0dvp1lY2VVU1167fwErypqOzm1v/DSlxiZu3bpHVNFfB9oFCWYHDJDBflf6z&#10;Z8+wAaX1tHXQOZ5cvHiyc+eu2urqjLQMf78Vjo5OEqJiZ8+dJ5fRwvFl+4rKanLxb3n06Ftbaxus&#10;mI+PL7mYlidPvmPvvLdqVcginVeZQdJ/+/Ytj+EVQ0PDOT7q+WqQLt+8fYvaAgMDW7p7+h4+ePD+&#10;/VS2M79BRzG6/6Culg5WLQQmS03PnOV1W3weuX3n3vkLFxs3ttTUNe7YuevylatIZ1iZr3Lh4iUd&#10;TS3sqCnyC4rIapqrYDtAsNzHNzWVw9wPX5X+tWvXWAKC9FXMli59O4E7mQszHz5+fPPmDbp8efLk&#10;Ccfr6U0DW+kHSzCwZRu5+LdcvHRZX0cPK5adnUcupuXNm7cRbOpYarR07i8BZyQMkj76FeE2gQZq&#10;MmweWFhv4sxxkPT7B7YocHlL2dPDC8kUEyWfkZaeiR01haaG1hz/eWM7gH4/fX180ZXoek4dFr8q&#10;/Q62zj/JyamoDfT48ZNTJ08eO3oUcebMmYcPH717tygtRgX9Gj948MDZGX91S0NVjf0Z24EDB+XY&#10;XuFuamomF9OCWvSpySlYSUkx8UU6bzaDpL91+07iuNgx1NO/des2WY6R+eWXX6prarm9vhAXE3v7&#10;zl3MknzGwUNHsKOmMzy6n6ypOQn9q9VV1Wrr6ol5HKcm/ezcAmyVqOjYuNg4J0cnql+QtISkrbVt&#10;2OrQoeERbETxxZLvvnu6a/egq7ML9mssKyWzm9P7FpsHNmMXQIhdu3aRi8envKycvfClhToqH+8w&#10;SPpRURwGjyQIDQ2blx4aCyc///xLagrngaaRF8rLKzFF8h/37j9wcXHFjp0iNTWNrKk5CfW9jo7O&#10;Z86eox4YTk36aCPYKqJCwtweXEuIiIaHR5JrLpKUV1TLS8vISkqxj7WHTgDr1hZzvPne2LgRK4w4&#10;euQIuXh8GhoaRdlG7Ni7b5hcvKjCFOm/ev0atWWI42Jn67btZDmmBv1VeHp4YdVCICMh2dHZjSmS&#10;LymvqMKOncLO2va7774nK2v2gxqntlY2rW3t5L9/yxSk//79exnu8/5zw8HB8eq16+QmFnySUtKw&#10;/SdQV1ErKSnj9sZMaUkZVl5KXPIMl9cyOjq7xFn4GaW7l+uLvgs5TJH+th27iINiR0VJ+dUr/pkD&#10;a2pB0jc0MMJqhkBZQXF0/0HMj3zJwUOHVZW+DNJLZ+wtrTns47hv39D333PoADYF6Z+/cBErP0GW&#10;eS57+PAhuZWFHQ9O7RU1FdXevn6yBKesXbsOW0VBTv78+Qvk4vHpG3svDO/418Spw+jCD1Okn5zC&#10;daakhMQUshCDg9qDWLVQaKlrXL9xC/MjX3Lp8hUvT86XO4jWltZf53sQvSlIf/MWrmNlf5X09MUx&#10;gxjnYYWWCIgKCYeFR9y+c5csNz4gfX6W/vdPn5lzGrKDYM+efWQ5Bmf7jt1YtVB4+yzH5Miv3Ll7&#10;PzMjk9vN7ri4hHl/GWcK0l+7thgrjxBniViYma/w8w9cEbDCz8/c1JzjkDVKCooLf7CBp8+eYbuN&#10;oa+rd+DAQbI0LSB9fpb+qdNnuU2Era2p/ZTTdTTTkp2Tj9UMBX3iEb6nq6uH27MfS0ureX/LerLS&#10;//jxo88yb6y8rbXt1i1b7ty9R0z4gw7qzp27nV3d2hoc3lSIj08iNrVg8+DBw5iYuJaW1u1bt/Vv&#10;2hQfl8A+UqyqksruQbwDD0ifb6U/1gO9f4Dbi7grVqxcXCOjzVLsuI9cNrBlO2ZGPubYiVMqihze&#10;eiXgeJ99LjOFlj5KTV0jAbqI8V7mQ/T+ZM+u3XtEBPFxqiVERKfwB5KRmY1thx1FeYUrV76y51ML&#10;auQpsA2OYmJkjL2EzC59eVm5c5xe8UXp7dvEPpkBSH+BBjVk1hatJY4IA/0NrC0qmvfm27wH/VVj&#10;NUMhKiR86fIVzIz8jbWFFVYJFJ1d8zxb3tSkP8G8f/8eG9wGISbMOnFy0k+w51f6KNu278DG1RBj&#10;iaCrAXrP7NJSvPeOqDDr5IkT5OLxQeuKCeNjnW7ZtoNcvKjC/9J/9+5dUFAwcUQY0hJS0FkT5fSZ&#10;s1jNUBgbLcWcyPfkFxRhlUARGhZBVtk8ZValj9Lc2o5tHJ319+wdIhdPOPMu/R9++MHTA59rITh4&#10;NX12hHZOQ2weO3qUXDw+FRWV7C9noT8ccvGiCv9L/+XLl8ZGnKfE01RTP3/hElmOwenu3YTVDEVU&#10;VCzmRL5ncO8wVgkUCnLy8/sS32xL/9ARfBYdJP0tbKPWfDXzLn0k9+TEJOwb7e0c6ONM7Bncw971&#10;fmBgM7mYll9//bUgj8Oo498+fkyWWFThf+nfunWbOBx2lhoavXjxgizH4GRmcB12Zl1xCeZEJsBt&#10;YkLElSvXyFqbj0xN+mifCYaGhrdv285jpgeO0t+2fSe5eMKZPek/fPgIHcilS1e2bd26bSvXsxE6&#10;N+fn4prW0dahH/uxY8dV2F7LqG9oJBfT8u6nn2LY3udXV1WfyPQbCzD8L/2t23YQh8NOZGQ0WYjB&#10;Qb/Qy9k6eFBs3cqgp7gUPj6+WD1QDM5rB9/JSn9w1y5PN3cDXX0CeRlZBVn5e9wHVWYfmg1Jf2h4&#10;0rOFzIb0e/sG0LGYm5qhA9HT0ZUQFVOQkeM2hvlP79/Hx8Vj37jUeCld05cuX2EfgTExicNbOz88&#10;f+7thf+NeHoum/epNKcW/pd+bh4+2hTFxuZWshCD8+hbDqOKE2hrah85egwTIhPIyeXagbWktIys&#10;uPnIZKW/e/ce9quWllZ8dAciv/76ayRbe1acJXLx0mWyxLymsakV2zcxlgi3E9LTp89cnPGRlBwd&#10;nOjDpz9+/MSebZR8k6Um7G9jPHzwkP0WcWpq2iLtA8L/0rezcyAOh51Dhzk/tGFULly4qKvNeRh9&#10;9Cdx9tx5TIhMoIv7ROQRYWFkxc1HJit91JjV0dLGyhvoGzx89C1ZgpaLFy+i6wCssInx0gXSnkX7&#10;jM0VLLxEIDYm7jWnHqU7d+1mf98iJCSUfixI2THRHAZh3H/gEFnit+zeNYiNtob2pLenZ97f0J5a&#10;+F/63HroI4i5jxmeffv2cXwbE7Hce/mVq9cwITKB4ZFReVl8ejwCT3ePH398SdbdnGey0n/16hU2&#10;USKBh7vHg/Gv2j548NDTHe/ugqir30iWWABxdsIHykdmLy2tIBf/lr1DI2rKqlhJEUGh5uZmTNP9&#10;A1uwYggLU7Pvnz4jS/z7399///1S46VYGW0NLW49+hd++Fz6HCdOIzA0NCILMTsN9Q1YzVAkJyZh&#10;NmQIR48dN9AzwGqDwNrSGhUg627OM4UHuR0dXVh5AlMTU7TowedsKCnX4DR3tLGRMbmVhZHycg79&#10;JhF+/gFDI6PoQK5evZqYlML+Ri7C2MDo+o2b5IZ+y9OnzzhOk2lna3fu7Dm0QXTFwHHmJS8Pz9ev&#10;F+tLnXwu/YMHDxPHwk5wSChZiNlJS+M6jH51TR1dhczh3PmLzmxj0BPo6+pdujxv97inIP2Xr145&#10;cn/dmgeoEd3K5e7/fOX2nTvmpmbYfk6QkpIyjrfgO7nfyuPB6P4D5PqLMHwu/YHNHGbLJChYs5Ys&#10;xOy4ubpjNUOA/ua3MLLrDuLK1Wu+XDrwqCqrnDhxkqy7Oc8UpI9y/foNdS5jT/EgJiZuoU0H+PPP&#10;v3R392L7OREiIqLfcOmo+vbtW+9lPlh53iQlp3KclWWxhM+lX8Q2vAZFfz+HtzCYlp9//llFkfMI&#10;8goycidOnsJsyBDu3L0XGR6JVQiBqDBrz+AgWX1znqlJH7Vw2zs6FdmGo+GGiJCwtZXNo0cL9M2j&#10;jq4eWU73ZDgiIigUFBTM++nd+QsXTbmPwktHeImAva39Ip0alwqfSz+R7a08ihPHOQ+ywajcuHEL&#10;qxYKQwNDvp8XlwfZWdkcbx8jenp6yOqb80xN+ig//fS+t7fP2JDzq+l0ZKWk09Mznzz5jlxz4eXX&#10;X3/t6uph75XEjqSYeFpaxrfffv3sderUaQ+2cYfY8fFefuXKlUXaaYcKn0vf24vrnBi3bt4iCzE4&#10;tfUcpgklCA0LxzzIKMorKkWF8DlRCUpL5q2r/pSlj/LLL7/cvXcvKztXUpRzZy2Em7vH0Mjown/R&#10;9OOnT48fP87MysH2nwKdsL29l1+6fJk+7gLvPH32Q0VFlaIc3mmVQENNvbyiij9e4Odn6b99+87F&#10;0Yk4FgwDfQP0S0OWY2pevnwZEhKK1QxFVTVDn+IStLV3SrCNn06wtmgdWYOLM6/fvOnp64+JjrW2&#10;sKRo7+i+cvXaomvDolb8lm07omnHEhgQ2N7Zffr0FIdCe/P2LaqcuNh4aoNJSSk7duz+4YfnZInF&#10;H36W/nfffW9jyXmYXJD+mbPnVoeEigjh46dT9PVvwTzIKAY2b+XY8w8RExNHViIEsgjDUOm7urjx&#10;06l7sjlw6LCmuga3eQEJtNQ1RkYPYCpkDrv37OM2hVZoaDhZjxDIIgw/S//qteuG+pxfsfFw93z+&#10;nInja6Lr9zNnznLrsYNhaWHJzLF3EEeOnZDnMtZmYOAqsjYhkEUYfpb+2Ch6OnrEsWBwk/6LFz/e&#10;vn2HN0+efDfvE2RPOc+e/bAyYCVWGzwID4/EbLi4iImKjgyP4E16ahq2FoKH9G1t7MjahEAWYRgq&#10;/ZDgkNevX5PlPufdu3fllTVyUtIyEpK8kZWSTkhMfvlyUfbVHR3dz22kHY6ICArt2TeCCXFR0L+p&#10;H/00scPhiPASAVRy//5x97J4SN/K0pqsTQhkEYah0o+JiqH3S/vp/fvc3Hxu/bI54ubm8XwR9t9K&#10;Sk7BDuSrxMYl0G24KBgY2IwdxUSgb+HqteuKXMZcA+lDFnVA+mO5cuUK+7B8vBFnibS1LayRSSYS&#10;ay5D5/PAdKkJ3YaLAnQ1hh3FREhLSaVvRFlBEStAANKHLOqA9MfS0zOVAT1iomN++mmir34skPDu&#10;scMRNWWV4ycW2XgMU5O+oa4efSMgfQhfBqQ/Fh6TZvAgJip64u/7LZBghzARkPRPnT5Lt+HCB6QP&#10;gXALSH8sZ8+eU5Kf6HBUBKLCrPr6hl9++YXcxCKJvh6HwcF5o62heev2HboNFz5Tkz664KNvBKQP&#10;4cuA9Mfy8tWrlSsm0ZERoaqswmOC6QWb1avDsQP5KmHhEXQVLgrYJ4b9KsJLBOhbuHf/Abd2AEgf&#10;sqjDUOmHh4a/GT+15p0790JWBetoaYuLiGKF6SA1aKiqe3l4njm7KCdL27ZtOzbbJ29EhYQ3L85R&#10;9R1s7bBj4YGBrh42jjR02YTwaxgq/WVe3i9e/EiW+y3v3v108eKl/aOje/fs4cbQ3n1nz55bvIPt&#10;ffvtt472XGeKZ2eZl88iHWD53PkLnZ1dE+TAwUPY6iB9CL+GodJn7DAMKFu3bhdniWAVwhF1VfVD&#10;h49gNmQIPKQfEBBIViUEsgjDz9J/9OhbS3ML4lgwmDzg2vv3H8rLK1WVVLA6wVBXVWto2Hj33n3M&#10;hgxhaHiU2/RMMOAaZFGHn6XPY5TNpcYmT548IcsxL58+fdo3NGRhxvmMiHBydN6xczeTZ87iMbQy&#10;SB+yqMPP0n/x4kd7Lk/z9HT1vv32W7IcU/P27dv2zh5bGzv6qPpK8grNLe03b93GJMg0+jYNcBuk&#10;KC+vgKxBCGQRhp+lj7LMw5M4Fgwpcck7d+6ShZid777/nv5o19LCCtMfM6msqhYT5vzkY8P6ErLu&#10;IJBFGD6XfkR4JHEs7Jw/f4EsxOw8e/aDM21SSVkpaUx/zCQnO0d4CecB+Pp6+8i6g0AWYfhc+mvX&#10;FRPHwk5v7yayELMD0mfn3v0HsdExVJ3QERYQ3LlzJ1l3EMgiDJ9Lv6m5lTgWdkrKKshCzA5In53r&#10;N24GBgRSdUJHSUHx6NFjZN0t2rx+/bq3p7eyooJiY0PjgwcPyMUQvg6fS39oeD9xLOxERESRhZgd&#10;kD475y9cdHZypuqEjp6O3sVLl8m6W7T59vFja0tr+nEpKygePHiIXLzI8/rNm7b2zlevFuU0R3MQ&#10;Ppf+9es3iWNhx8balizE7ID02Tl+4pTpUlOqTuiYmZjdun2HrLtFG36V/qvXr/fs3YeOxUhP/8WP&#10;+Cv3ECJ8Lv0PHz4Qx8KRV6/GzZjIzID02RkZ3S/PZdosd1c3PniXm/+k//HTp+MnTq4KWkWMtQfS&#10;5xE+lz6Ko8MXo2HwwXX69APSZ2fz5i1CXGabCVwRsHinxafCZ9J/9+5dYkISfVRUkD6P8L/0ExKS&#10;iMNhp7mljSzE4KB2q6uzC1UnIH3E2nXrqQrB2LChlKy4xZzvnz6NCIuwtrCk8HL3OHPmLLl4sWXr&#10;th3YjwmkzyP8L/3W1nbicNhJSEgkCzE4qN26ws+fqhOQPsLPL4CqEIxN/ZvJioMsmID0JxX+lz6P&#10;Z7nW5hbv378nyzE4gSu+OA6kj9DW0qEqBOPS5StkrUEWTED6kwr/S//HH3/U0tAijghDW0Pz6rXr&#10;ZDkGB6RP5/CR41RtYEiKic/lrMjPn7+4e/fu8WPHCK5du/bs2Q/kMlrQtRr6/Pr1G2TJ48dv3br1&#10;448vycWzlk+fPj158t3pU6epPXz46NGbt2/JxXOY6Uj/48ePaLfPnj1LHcWNGze/+/57dHRkiYnl&#10;zZs33z5+cuHCBWo7iFOnTqEP0c9xQc2ryv/Sf/v27TIvb+KIMOSkZXYP7iHLMTggfTo1tQ1UbWD4&#10;+QeQVTZD2bt3X2pyCkVWRsbNm7fQ5x8+fOjr6/fz9aP3HNXW0Frmuay1tY2us2c/PK+tqUWf62p/&#10;uTox1Ddc4eff3dP7evz0cFR+fPmysqKS/tUFefnEV9MzMjpKL4O4cOEisej0mXMZ6RkuTi4StJnm&#10;bG1sVweH7Nw9SJRhDzquNWvW0DeYk5V99eo1cvH4oPNWTXUNvTDi4oUvo6c8evQt8aG31zJqHwjk&#10;pKTjY2OJpWsK1yAJkOvQ8vbtO/TnHxcTg3ZbWkKSWldfV8/N1S09Lf3kqdNkUZ558OBhW3tH8Kpg&#10;RwcnBVl5ajsIMZYI+nC5z/K1ResuXLxErjDf4X/po9+ztNR04ojYKd1QsugmN5/xgPTprOA+W3J1&#10;bQNZZTOUtWvX0bcvISp24ODhV69fBwYFcxvuTVRIODQsnLjgOHnqjJK8In2QVDpiwqyw0LCXLzm8&#10;ozTB3jtl5RX0Mojt23egJjByHCovzKWDk7iIaHJy6uvXHPpDI/mqq6nTC8tKSu/bN0wuHp9vv33s&#10;YIfP8rZj+3Zy8b//jTSKLeWImora8+ccJs+IjIymn7Ew0NHJy8iuXbcenRvIFTjlypWrZiamX52C&#10;lCUgqKKg1D+weSF0/eJ/6aN0dXRy+8MIDg7h2ApgVED6FGfOnlNVUqZqgw5LUOgGW1t4msGlLyLa&#10;1d0bEPD1OfojI6KHh0f1dHSxz9lZt249+WW0TFn6m/oHGho2Ihtin2NIiIhVV9eyN6cWiPSvXb/u&#10;SOumzJvIyJinT5+Ra47P9es3tDW1sfI8kJORbW/vJFeevzBC+seOn1BV5jxRlMlSkx9+4HCflFEB&#10;6VMMbN6KaoCqDTpGhkaTvc/71WDSR+1BAz0D1Janf8gNbS5PqjAUZOUuX8EfPk9Z+n5+K2SlOM8i&#10;iaGmovro28fkhn7LQpD+o0ffenO538uN0BB0wYQ/I0G/LSbGS7GSX0VRXuHkyQndNZq9MEL66LfH&#10;xIjrj+fkyZNkOaYGpE+Rn5ePzEvVBp3w8MgZvzbHpE8hKsyKT0hGv7fv378/cvSYkYERVoCOt/fy&#10;S5evoJKXL19damSMLUVk5+SR3/dbpix96p01Fxe3gc3b0JeilJZVaqiOUzlBVU09uaHfshCkn5mZ&#10;jRVAhISE3rhxAx3LiVOnAwNXYUvFRUR7enrJ9X9Lc0sruvijFzM2Mq6qqUPfRVTLtWvX09Mz6QUI&#10;PNw8fprXToOMkD5KeFgEcVDsZGbnkoWYGpA+wdVr1/19v7yyQEdEUKixofHXX38lq2yGwlH6KopK&#10;I6MHyBKf8/DhI45zGkuLS9TU1JGFPue7777XHG9VxFJDY+x0NXXpf36ogFyGPSIeHNzDPrukk5ML&#10;ufi3zKz0qUy8987DR98qKSiNK7xEoKCw6PXrL4fz008/ZWfliLPG3e53c3X7kbbBt+/eBQeNOzcY&#10;Gxohy5OLadm2bYeSvCK9pLK84uEjR8nF8xGmSL+zq4c4KHbUVdXQj5ksx8iA9AmOHT+hqa5BVQUd&#10;FSXlI0dn/g+Vo/QrKirJxbQkJCZjxRCrV4d+/PiRLPFb8guLsGKqSsrYXenpSB9dWLD3HH3/4UPg&#10;yiCsJPImufi3zLv02avR3t7xxQu85JPvvrOxGlc/qLG//8BBcvFYge/p77EjUH3eu89hbGrkloT4&#10;BFQgIiKKYOeOHQ8fPiQXz0eYIv3HT74jDoojQ8P7yXKMDEifoK+vn6oHDGtLq0ezMKkyu/SNDIxu&#10;3b5NLqalprYOKykmzBroHyAX09K/eStWUlle4fb4yUGnI/3NW3eQi8enuqYeK4lAVx7k4s+ZX+l/&#10;//SppKgYVnLnLs4dTFvbOrGSaelZ5LLPPnF2xAffjoqKRdeCRMhyCzJMkT6K1zIf4rjYSUxIWghd&#10;qeYrIH2ClSvxm7kUkeERM/4UF4Vd+k6OTkgo5GJautguVTXVNE6d5vBI8PDRY1jJGZS+qDCL4wti&#10;KJ3dvVhhxIKS/vDIfnSmpBdTVVYhl7Hl4qXL9JIIPV096rrqh+fP2V8OQAgvEVixYmVjQ+Po6Oit&#10;W3cW5i0EBkm/m9MvJYGJkfHDRzPfjlssAekjTp0+K8HWDKTYsXM3WVkzGnbpL/deznHo5l27dmMl&#10;jQwMr9+4SS6m5eq161jJGZS+pgapCfbsGtyLFUYsKOl3dfeIjH/06mjvSC5jCzrHy0hI0QsjqApH&#10;SwsKCrm9qYCQk5YxXWqyzNMrNzfv4OGjc/ki91fDIOl/9913Klw6bspJy+7Zs3eBX5TNXvhA+vfu&#10;P0BgH06KorVcR9ZEpnjzZlZe5mCXfnDQqjecXqPdu3cfVtLMxPQ+p5vIsyp9F2dXchlbjp04iRVG&#10;LCjpry9ej42Y7e29HO0St+jrGdALI3bv2Udu69//PnHytKSoOFaAG/Iychub23788ceF8Coog6T/&#10;+s2bwED8WRNFWmraB7ZnYhPMu3fvTp481dXRgdi+bTv2B7bws6ilf+HS5c7O7pINpWuL1m3q34z+&#10;iRWYCFeuXuPR5zo9I5usqZkOu/TDQ8M43hNgl76VhSXHG0EgfQRH6SfGx2PFJktv37iHKH19/UoK&#10;43rm8MZQ36Cutu4pl/tjcxYGSR+dYxsaGrm9MG2gbzi1STW/ffwkKTFZ47dfZUkxcXtb+zNnF9PQ&#10;5ItX+hcvXQ5cGSQjSV6GK8jJu7u6De7ZN9lWf//AZh5vmZ4/Tw44M+MB6S8u6Tc2NpPb+i2Dg3v1&#10;dfSwYjwQFRIODFj5nK2/0FyGQdJHOXP2nLqKKnF07HR09ZDlJpBff/0V/Qa3tnciS2LbQbi6uKGl&#10;ZNEFn8Ur/YiIKGrPKSRExRITk1Hj/e69+1h5jiAhxsVy1YGDvQO6kiNraqYD0uch/UePvkXtJ3ph&#10;xPSkP9Z1cjrU128kt0XLm7dvm1vbdTS16aO28UBcRLStrR0JhFx/zsMs6aM/Jx5vYJubmU/Q1OjH&#10;vG3bNi/PZdhzITrnzn0ZDnCBZ5FK/9z5i+jvh9pzDCMDo5KSMlQGW4udc+fOG+obYqsTCC8RWF+8&#10;YfZ6doH0ZSSkdu/mPNItOmdbmFnQCyOmI/11a4uxe/rGhkYZaWkT5wj3l6pev3598tSZ9NRU1JA3&#10;NzWjfws7SB1Tu68wI2GW9FH6+jcTR8eR7V/rpPHLL79cvHh5uc9yjg18Oh1d+HvbCzaLVPp79o1Q&#10;u80R1OQ3NjDq7ulDysPWpVNb28CtG4aqkvLhw0fIapqFgPQlxcT7BzhPRnbz1i328SemI/2Ojk6s&#10;lRYSEkYum6Gg9vvLl6/QFebxY8cqK6vDwiPpX0ehpaH19OlTcp05D+Okj6LOaZwQAl+f5Rz7TqCg&#10;5t7z5883lJbz6NhHZ2Rk0bzwtUilPzx6kEefOQoRIeGVK4POnjt/BzUd2TZy6/YdI0OuI9u4Ortw&#10;G5J+RsJA6WtqaNILoL+m3r5N5OLxQVdgyorjh0yYnvQPHT4qzho3YLWBnsGUu9N8+vQJte5fvX6N&#10;LP/wwYNnz55xvGPz5s3b0NVh7AM6ffvoEVlizsNE6dfU4C83UqCW3dGjx8hytKAf59GjR21tbLHy&#10;3NDW1OY2HOsCzOK9p29rY0ftOW801TXq6hvZm/zoQ6wknebW2Z06n2nSR4dmbWVDL4BsWMJlTovm&#10;llZ6SYIJSt9AV4/9JbIff3zJ3tnm6LET5OLxOXv2XG1N7cjI6Nmz5xFPxh/I8eMnCvLy/XxX+C73&#10;8/p8x9jL3ZN9OAciY6P8jh+vW0pc4vFjfAjSOQsTpX/nzh2t8c0NCtRyzM7KYb+H++HDhxX+K7DC&#10;3JAUl9i4sWkRveK7eKU/PDLK3pmaG3rauiOj++mrnz13wcLMHCtGoaWpzXEmkBkM06T//v17b+/l&#10;WJmVAYHsM708fvJEj1OvGI7SP8L2ErKulvaDhxya0mvX4W9jIBU8foxX46tXr12dXJANFGTl1VVU&#10;EYZ6+hERkeTif/97YDN+l1hFUWn//nHD5FE5fOQoql56YTNTM2yI/7kME6WP/qiSOQ1fRaCkqMR+&#10;u+3u3XtYMY6ga1VLM/PBwb3kaoski1f6iOGR/S5OLuxDPHKkrr6BWvHe/Qf1DRuluayI/uDLK6rJ&#10;Cpq1ME36nz59SkvLwMqgv5r6+kbK+2/fvj116ozV+AsCCo7SP3vuPFYMtaxR+xpdoKNv/OGH59SV&#10;xMNH38pJ4/MB+Pn637p1C52QiDJPnz2rrKqWFBv34pWIoFBLawdRAOXevfuW5pb0Agik8nPnz796&#10;/Zr6OnTyuHfvXnBQML0Y+tWKjoqZvS5hXw0TpY+yZ+8+HnNBxMTEk+V+CzILVoYdSwvLurr67+fv&#10;+cyUs6ilj7h56w7St5OjEza+OTv5BWuota5eu+Hu5oEVoNDT0X38+AlZQbMWpkkfWbi/fwDzKcEK&#10;/4D169YhIsIjNVTV0CcsAUHU0MYe23CUPmqlycvI0Yuh3wQ3F9e1a9bkZGWjnzK6biCL/vvfzc0t&#10;7E0E06WmifGJxA64ubpLieOdLz3c3OlzzX/8+KmiopL9Tr20hNSqoOA1BYXEpoICg5ayzeShJK9w&#10;gK2q5zIMlf779x88PDyJw2RHVJh16sw5sujnoBM7VoaOvKx84Zq133//FDUryBUWVRa79BF3792/&#10;eOlyTW29Mqdx5ykqKqqoVXr7Bri9qYfIysxiH7V4xsM06aOgPyVTYxOsGEeM9A3TM7KwEzlH6aPG&#10;taurO70YxtmzX/6cX7z4MYhtFGjeKMkrHjhwCJ2xyE18ztu37+Ljk7CSE6G0rOLDh1n/1eIRhkof&#10;ZXDvPm5zJCEC/FegSzOy6Od7kS4urlgZhKyklIuT86nTZxf1IJ18IH0KdKW/enWYorwCdUQUutq6&#10;wyOjRLFr129YWFhhBSjUVdROnpqLOe0YKH2U/QcOKWMzmYxHVEjYQFfv2o2bra1t2OzWHKX/6dPP&#10;VVXVPE7h/QNbyKKf8+3jJytXBnG84MBA1xmaaup7ubw+hpKSkob+ZLC1uCEjKVVYuJZcc/7CXOl/&#10;+PABXccRR8oO+hvYt2+ILPr5svTQoUMW5l9eFRERFHJ3cx8Y2Eyfc2eRhp+kj7hx8/bmLdv8fP3p&#10;oySiv/Dauoabt+4QZYrWFlOL2ImOin7/4QNZO7MZZkof5cCBgz7ePmLjO1ASyEnJrCksevB5mpEJ&#10;Sh8FXWezPy2gKCuvIsv9lh9/fLlxY5ONNecnBwRSYuKZGVkXLl4i1+GUN2/e7Ny5C/2y8XhPkACV&#10;6e3t++mn+ZwokQhzpY+yf3Q/jx+Vv/8Kstzn/PLLLw8fPqqqrlsZGBSyOmxg89ZXr15NuZPvggqf&#10;SZ/g+o2bm/o3R8fEe3h4ZWblHjx4mOqnf+jwUUN9Xn1+bt+5Q1bNLAf9Cn07Pi9evMBuIxBBZwKy&#10;xG95+vQpx+vLjx8/kiV+y5MnT7Abj2hFtDq5+HNQGepJJpXXr1+Ti3/Ls2dcOyKjVhRZiBZuV8Do&#10;GNHGt27fkZGRTY1V6WDnsKao+LvvvqNurL19+/bxt4/JbX3OT9yff6Iqun79ekxcAv2WfVJSalNz&#10;6w8/cBjjDO3bix9/PHrseNG6DXo6utQq4iyRqOjYxqZmVCfooMjSPPP6zZtLly9XVtfmF+DTlsXH&#10;J1VW11y7dh2VWSC6YLT0nz9/HrBiJXGwHOnt6yeL8nXo0kdXoDdu3qLUyX8g9Wdn5/J45JvF+DmT&#10;IfwdRksfZc+evTx6+6kqq3Ccp4LPQpe+lJjE4aPHMVHyE8OjB1QUx70pQ0dbQ/PWrVtkvUAg/Bim&#10;Sx9d9vr58XrrKiYm9u389aidmzBK+g4OTtTBYggLCK5bu+7jx0XZBQsCmWCYLn0U1JZnf1+DQllR&#10;aXh4hCzKp2GI9G/fubtmzVrqSNkx0NW/eu06WSkQCJ8GpD+W4mKuU+Uh7Gzt3r7l58Y+Q6S/d++Q&#10;proGdaTsbGzCp8iAQPgvIP2xPHj40Maa12BqCYnJZFF+DBOkf/fe/RX+vB7aOzo5//wzP/TFgkB4&#10;B6Q/lp9//rmltU10fI9gOiJCwps3b+XW/2yxh++lf+fuvZraeuoY2VGUkz916hRZHRAIXwekT+bH&#10;ly+9l/kQB84RS3OL27fnqPv2HIfvpb9123Z52XFjs9BhCQrl5OSy91KHQPgyIP0vefnyFe83qqNj&#10;4ji+OLPYw9/SP33mHPb2KYaakvK9+w/IuoBA+D0g/XFpamqh3g/kSGlp+dy8oD+XWUsbk4DPpH/r&#10;9t2EhCQeUxlLiUts37mLrAgIhAEB6Y/L8+cvVtKaveygSwH+u7lfWlZOHSCfSb+ktEJSjNdQ+9lZ&#10;OdAxH8KogPTxXLx0hXdj38R46c1bt8nSfBG+lP69+w96+/p5DKSKcHFyeUIbaR0CYUJA+hzS09PH&#10;eyYmL89lczDDxpyFL6W/d9/wUkNj6rjYkZeR3T24h6wCCIQxAelzyKdPnzIzMolK4EbgysDZm+Xy&#10;6dNnpaVlvj7Lvdw9CgrXfPvt7M6hPJfSv3b9Rklpuburm5ODY3R0zLHjJ7ECMwL6FlcXN2zSJYyy&#10;8irosQNhYED6nPPgwUNHeweiHjiChJKakvr27VtyhRnKr7/+evfevaVG45qoRoZG7NP2zmDmTPo3&#10;b9329valvgshIym9fcfue/cfYCWnw6XLV3kMsINAP7vVq0PJg4dAGBaQPtccPXZMVZnX3Huy0jLV&#10;1TUTHHF7gnnz5k1MdAx7ExW1W2dv9r65kf6du/cSOc1Hb2K09MjMfePlK1fj4xN538q3sba5fv0G&#10;efAQCMMC0uean3/+ecfOXbznVJMSEy+vwCflmU5GR/dLS+CTMhOgBixZaKYzN9I/c/a8ga4+9UUU&#10;okLCWVk5t+/cxcpPjZiYeAmecxiJCbOGhkf49eVqCOSrAenzyq+//rpuXTGP4RkQnztxbpkRibx/&#10;/97W1h7bPsX2HbPVnZw+Kx6S/pFjJzCTzggnT53R0dSmvoiOrrYOOiVg5SfLrdt3UlLTsS1joPNB&#10;a1snedgQCCMD0v9Knj37ITIikqgQbmiqqSPvkytMI1XVtdiW6czedC579+2TEBUjvsXJ0fn6jVmZ&#10;OevCxUv6tEnpMIJDwm7dnnpj/8bNW+vWrRfnNOcqBTpGdAonjxkCYWpA+l/PDz885/1gECEvI9vV&#10;3UuuMKVcvHRZV0sH2yxFQEDgx/HTnM5gPnz4sG9oOCYmLiMj6+y56ba4uXH33v3MrGzsuCjEhEW6&#10;ezZhq0ycnJx8aZ69bBHRUdEvXrwgjxkCYWpA+hMKau/b2drz7gIoKyXd3Nw6tV6AHz9+XFO4RpjL&#10;40dlRSXUkiWLzk5+/fVXTKOzwbXrNzXVNbGjo7AwMz9/4RK2yle5dv1GdEwctikM9IOzsrR6DO9h&#10;QSAg/QkGOfHUqdNGBoZEzXBDVlqmvKLy/ftJ9+c5ffqsuqoatjUCUSFWUdHaT7PWzCcyN9JHtLZ1&#10;ULeSMCTFxCsqqtAFAbYKDy5cvBwfnygmzMI2heHu6v7d99+ThwqBMDsg/Ynm559/PnHiJNI6UTnc&#10;EBcRTUlJe/HiR3K1iSUgIBDbDoWhvsEcTM4+Z9K/cvW673I/7BgpTIxNbt66ja3CDXTd4O7uKcbz&#10;Pj7CxHjpxYuXyOOEQBgfkP7kcvbsOV0tzl1QKEQEhWJiYifetOzbNIBtgU51TS1ZbnaCTmaPHz8e&#10;HNxTUVnT2tp+9NiJ6TxQnQidXT0yklLYYVJkZedh5dm5d//ByOgBZ2dXbF12tDQ0z527QB4qBAIB&#10;6U82v/zyy+jofj3uvVAovDy8zpw9R67GPS9fvnRxdsHWpbC2tH7x4+QuGiabAwcO2tt96Seqq6Nb&#10;VVVz6/YdzLMzCGrLhwSvpr4RQ5wlevbcBWwVjC1bt1uYmQt9w+sRC8LOxvbS5SvkcUIgkM8B6U86&#10;qGl86vSZr97nQejr6u3ff/BXnvOuXL58VUdTC1uRQEJU7OzZ82S5WYsx26hkykrKO3buxjw7s5w5&#10;e15anPM7aIiOzm6sPJ3SskpZ7hcKFEYGhhcuXuJd+RAIAwPSn2JOnTqNnE5UFA8U5RU7Ojp5tNZv&#10;375jwGk7wksE4uLif/ppdkcEa+/swb6XICExBVPtjFNWXiHK5QHslq07sMIE5y9eSk5OEef5wi0B&#10;uhSDuzoQCMeA9KcY1N4fHR3V+dr9fYKI8MhbXIbgf/fup1VBwVh5hLqKKjqvkIVmLWUV1dj3Eri6&#10;umPCnXHOnDtvZ2uHfS8CnSavXL2OFUbs3LXbw82DxxxYBCwBQScHp4uXLpNHCIFAxgekP/X88ssv&#10;12/cNDU1I6qLB6jZbmRodOLkKXLN8bl85Qr7zaL1G0rR9skSsxZu0reyssGcO+Pcu/+gvaNLim1a&#10;q/6BrewlGzc2KysqYSU54uzo9PDhI7irA4FwC0h/url7966Hu+dXW6AEa4rWPXr0LbkmLefOX/Bd&#10;7mugp6+vq2dlbllb10AumOXMo/QJOjq7rcwt9LR1dTS1bW1sW9s66f3079y9d/jI0fDwKHHW12/p&#10;SIiIhQSv/vbx7M49AIEs9oD0pxvUHkeWion9ykuhBOIioq7OLrt272F/gevlq1dXrl67fOXq48dP&#10;5qCNT2TepY+4eOnK/gOHhkf2nzt/kf45auBXVdWaGJtg+8YRGQnJwsKily9fkgcGgUC4BKQ/M/n0&#10;6VNxcclEnjEiRIVYKSlpPy4AQy0E6XPkxMnTy7yX8x4Wn05LW8fPP/8Md3UgkK8GpD9jef/+fWdn&#10;txaX/pfsmJma9/cPPHv2A7n+fGQBSv/U6bOlZRUaqurYLnEEnRUszMx37hokjwcCgXwtIP2ZzKdP&#10;P586fdrdzYOowK8iKSbu5+s3OLiXXH/Os6Ckf+36jcaNzdZW1uIinAfnYcfff8WlS5dRG588HggE&#10;8rWA9Gc+L1++Cg8L5z0kJ0ZYeOS9+w/I9ecwC0f6J0+dcXT8yvjVGPkFa8jDgEAgEw5If1by4cOH&#10;hsaNE3l7i0JFUSkzI+v06TMzPtk6j8y79K/fuDWweUvo6vAJdn8isLKw2rpt+8zOTgyBMCQg/VkM&#10;MviKFQFEZU4QTTWNqKjo02fOkpuY5cyj9G/fuTuweaunu4eygiL27TwQFWalJqfevn0HbulAIFML&#10;SH/WU11b/9UB39nx8w+4cOHSx48fZ7VHCjfpe3svxxw9U9y7/+DW7TvbduyytrbBvvQrLBGQkZTq&#10;6u6Z7akFIBD+Dkh/LnLi5MnAlUG8Z3BlR0ZS2tfXv6er+/r1G7PUc//wkWPs076zBASLitZhsp4+&#10;N27e2rtvqLh4g52tPWsyN3MQCjJysbHxV65eI/cbAoFMNSD9OcoPz58PDGxeaoQPaflVxFgiRgaG&#10;0dGxI6MH3r17R25uhvLx46fQ1WHYN5qZmB45ehxT9nS4fuNWU0ub73I/LXWNSd27J3BwcBoc3PP6&#10;9WtypyEQyDQC0p/TPH32LDYuQUpMnKjhyaKro1daXomazG/fvp2pm9pPvvsuJjZeRlJKQlRMSlxi&#10;qdHS/QcOYdaeLPfuP7h95+616zcOHDyUmpohJy2LHcgEUZCTL15fSu4oBAKZiYD05yEHDx0OCw3j&#10;MXsUb6TEJDw8vNavK0bt35maSfHS5Sub+jfv2TuE6XuyXL95a3T/wabmloT4RHtbB2zPJ87YA+3I&#10;qAsXLsEDWwhkZgPSn4f8+uuvr16/Hh3d7+PjS1T11JCTljHQ1XN1dC6rqDx2/CS59SkF7RKm70mB&#10;GvX9m7dlZefa29ppa2iiKwZsVydFcHDI8eMn3r+f3bkEIBBmBqQ/n0HN2L37hs1NzaZ8w4eOiJDw&#10;cl//soqqgwcPPXny5MWLF69fv/7w4cNE+v9MUPp3792/eevO1WvXL1y8fOr0mU2bNufmFTg5cZ3u&#10;cVJIS0h6uHsen97ZCwKB8A5If/7z6tXrgYHNfr5+qOVO1Pz0UZSTt7W29fdbkZqSWlFW1tvbt3tw&#10;z4mTp86dv3D//oNHj759M/4VMHbpX79x6+SpM4hdu/ds3bajrb2jpqY2MyMrIjzK08PLzMRsms15&#10;OhqqasGrgnftHoSntRDIbAekvyCCnPvixx/PnDkbFhY5waE6J4WEqBg6o6gqqSC96uvoGujqmRov&#10;tTIzp7A0MzcxMqZjpG+go6mNUFFUUpJXkJGUmo0dk5WUSklJu3jhIugeApmbgPQXXK7fuJmZlaOp&#10;po5MTfwg+A90CjHUMygsWvvd90/Jw4ZAIHMSkP4Czd2797q6ukJWhehq6xA/Dv5AX1c/Jipm+/Yd&#10;T558Rx4qBAKZw4D0F3Rev35z587d5pY2G1t74oeySGEJCrm5eW7bvuPbbx+/e/duIs+WIRDIbASk&#10;v2hy+erVwjVFJsZL1VVUZ+P2+owjKSauqabh6OC4oaT8zt175GFAIJB5DUh/keXly1dnzpzr7upO&#10;TEhycnSewS40M4WSgpKbq3taSmpvT9/FS5ff/fQTuesQCGQBBKS/WPP+/fsff3z55PHjgS3bomPi&#10;NDU0iZ/afGGy1CQxOXXn7sFHjx6hM9ME3w+AQCBzHJA+/+T6jZtbtm5fU7TO22uZhamZno6umrKq&#10;rJTMpObw4o2okLCctIyGqrqhnoG1haWvz/INJWVbt++8e/c+uRMQCGRhB6TPh/n551+e/fDDtWs3&#10;jh0/sXv3YGtLS1lJaUZ6ZkhwqJ/fChcnV9QqR+jrGRA/aAxJMXFDA0OijJeXN1olMiIKrV5aUtrV&#10;2bVnz95Tp8/cun3n5cuX5PdBIJDFE5A+I/LLL798/Pjxp5/ev3v37s2bt68+5+WrVz9wyvPnz4kC&#10;KG/fojXevX//Hq0+S2P6QyCQuQxIHwKBQBgUkD4EAoEwKCB9CAQCYVBA+hAIBMKggPQhEAiEQQHp&#10;QyAQCIMC0odAIBAGBaQPgUAgDApIHwKBQBgUkD4EAoEwKCB9CAQCYVBA+hAIBMKggPQhEAiEQQHp&#10;QyAQCIMC0odAIBAGBaQPgUAgDApIHwKBQBgUkD4EAoEwKCB9CAQCYVBA+hAIBMKggPQhEAiEQQHp&#10;QyAQCIMC0odAIBAGBaQPgUAgDApIHwKBQBgUkD4EAoEwKCB9CAQCYVBA+hAIBMKggPQhEAiEQQHp&#10;QyAQCIMC0odAIBAGBaQPgUAgDApIHwKBQBgUkD4EAoEwKLykb2tl/TMEAoFA+ChPHj/mKn1dLZ2e&#10;vgEAAACAb2jY2ALSBwAAYAogfQAAAAYB0gcAAGAQIH0AAAAGAdIHAABgECB9AAAABgHSBwAAYBAg&#10;fQAAAAYB0gcAAGAQIH0AAAAGAdIHAABgECB9AAAABgHSBwAAYBAgfQAAAAYB0gcAAGAQIH0AAAAG&#10;AdIHAABgECB9AAAABgHSBwAAYBAgfQAAAAYB0gcAAGAQIH0AAAAGAdIHAABgECB9AAAABgHSBwAA&#10;YBAgfQAAAAYB0gcAAGAQIH0AAAAGAdIHAABgECB9AAAABgHSBwAAYBAgfQAAAAYB0gcAAGAQIH0A&#10;AAAGAdIHAABgECB9AAAABgHSBwAAYBAgfQAAAAYB0gcAAGAQIH0AAAAGAdIHAABgECB9AAAABgHS&#10;BwAAYBAgfQAAAAYB0gcAAGAQIH0AAAAGAdIHAABgECB9AAAABgHSBwAAYBAgfQAAAAYB0gcAAGAQ&#10;IH0AAAAGAdIHAABgECB9AAAABgHSBwAAYBAgfQAAAAYB0gcAAGAQIH0AAAAGAdIHAABgECB9AAAA&#10;BgHSBwAAYBAgfQAAAAYB0gcAAGAQIH0AAAAGAdIHAABgECB9AAAABgHSBwAAYBAgfQAAAAYB0gcA&#10;AGAQIH0AAAAGAdIHAABgECB9AAAABgHSBwAAYBAgfQAAAAYB0gcAAGAQIH0AAAAGAdIHAABgECB9&#10;AAAABgHSBwAAYBAgfQAAAAYB0gcAAGAQIH0AAAAGAdIHAABgECB9AAAABgHSBwAAYBAgfQAAAAYB&#10;0gcAAGAQIH0AAAAGAdIHAABgECB9AAAABgHSBwAAYBAgfQAAAAYB0gcAAGAQIH0AAAAGAdIHAACY&#10;ebp6NrW2d9XUNZZVVJeUVhBU1zYg53Z09WKF5xKQPgAAwEyCnF5QWOS73M/a0lpPR1dVWUVRXoFA&#10;R0vb2NDY3s4+LCxi/Yay9s4ebN05AKQPAAAwM3T39ufkFqgpq4oIChMW5YbwEgFRIWEjQ6P8wrXY&#10;RmYbkD4AAMB0QW32goIic3NLQp6TwsLCMiMzp62jG9vmLAHSBwAAmC6rVq2Wk5IhzDkFJMUk7O0c&#10;SsursM3OBiB9AACAqYNa6M4uboQz2dHWsdYz8lfVC1PWi9AwCNEz8lNVNcTKUCjIyecXFmHbn3FA&#10;+gAAAFNkY3Oro4MTIUwKcREJcUltGa2Av6gl/V41lZ0lGvHyOoEi4pqiwuLYupJi4uERUbN6qwek&#10;DwAAMEWW+/qLsUQIYRLISKmJqK34p3oiJnp2/q6eKKwSoKJiTF8dISIotMzLu6mlHfuumQKkDwAA&#10;MGm6e/uTUzMIVVIoKOgIayZgcv8qyhrLRATHnTkQPt7L0VdgXzojgPQBAAAmTfH6UikxCUKVCGEB&#10;IWkl87+qJWNCnwh/UE0R0VglLa1KbY0gNCxiNu7zgPQBAAAmR0tbp6O9I+FJAkkp7X+pxWA2nxTf&#10;aETLy497xisqxIqLS+js7sO+fZqA9AEAACZHwZq1EqJihCcRY818nUhM4lPgG414KSltarMIJQWl&#10;9SVl2LdPE5A+AADA5LC1sSMkiWAJCKno+mL6njLCWlGy0mrUxhFLjZfO7ENdkD4AAMAkWL+hTETo&#10;yygLigqG3LpmTo1/qUfLyihT20d4eXlj+zAdQPoAAAATpbu338XVnTAkgiXIElJCzfwUTNzTI0VQ&#10;yZdF688jxhLJz18zU515QPoAAAATpa6hSVL0yxtVYuIq/9KIY7P2dPmrWpK0ojX1LQgbK9uZuskD&#10;0gcAAJgoqWmZorR7O7Iabn+Y4WY+yRKNeFlpReqLxIRZ2Tn52M5MDZA+AADAhOjq2eTh5kHokUBG&#10;dwY67XBDUTeUJSBEfZe5mcWMdN8E6QMAAEyIjc1tZiZmhB4R0pLyf1OfyUe4GH9QTZJTGDdIQ25e&#10;IbZLUwCkDwAAMCGqquvU1dQJPY4Z0sAV0/RMkyKstkKM9eURgqG+0fQn2wLpAwAATIiS0goZSSlC&#10;jwh1/SA2Tc8w/1RPEJfUoL5RSkx87boN2F5NFpA+AADAhMjJzSfcSLBEfVrjLkwQeS1f6huFlwgE&#10;BAR29WzCdmxSgPQBAAAmRExsPOFGhKiw6O+VJz2g5hT4p3qihMiXkd0szS2n2XcTpA8AADAhwiOi&#10;CDciFBU0/6A6i09x6WjrfXkdTEZSuqSsAtuxSQHSBwAAmBA+Pl/utMyl9IXVw+l9N2PjErEdmxQg&#10;fQAAgAmxzMubcCNCSdlkzqT/R5UEBXkt6qudnFywHZsUIH0AAIAJ4U57M0tZxfSPqlOZMmUKoC+S&#10;V7SgvlpWWmY6z3JB+gAAALzo6OpdU1Tsu9xPWUGJcCNCSVF3zlr6Y0OwybkILxGgvr2yug7byYkD&#10;0geAWae+sTkjKzcyKgaRk1swG3PgAbNBS1tnfEKSuqo6fbwdgrm8p48QVl9Jf0srITEZ29WJA9IH&#10;gFmhs7uvtKwyLDzS2MiY/hQOIS0h6bvcv2oajTVg9ujq2VRT15iVnevl5S0vK0f/wdGZY+mLaEWJ&#10;i8pS3x6wMgjb7YkD0geAmaeppT0gIEhVSUWIdkmOoa2pVbhmHbYiMI+0d/bk5q/x8lqmq60jISKK&#10;/bzoKKssFVNb/vu5uqePENKMExWRp3bA1sYO2/mJA9IHgBlmQ2mFggzXFiIddFYoKavEVgfmnraO&#10;7sSkVFVlFaFvuJ6kEaLCotq6rgIa8Z9nTZmVEZW58Q/1RGHWl5GW1ZRVsUOYOCB9AJgxUFMxMSlF&#10;Sf7LHyeFnIysvp6+jpY2/XEcwsjQqK6hCdsOMAd0dPVW1dSnpWW4u3lIS0jSfygYUpKKIlL6cjor&#10;BDXm4hVcbnwj/GUORRVF5SmPvAbSB4CZobO7b3VouKTYl6dtBGoqagkJSW3tnTt3D27dviMzK1tC&#10;VIxeQF/PoL6xGdsaMHsgXeblr3Fz89DW0GIJjnvcQoclIKSotFRIwVNAI3JmZ8GdGnTpK8opTLmt&#10;ANIHgBmgu7c/KztPSvzLGCkIloDgct8VBw4eOn/hIp31G0rFx98ydnRwgi49swr6AXX1bEKt+7Dw&#10;KCUFDpdiNATERaW19dyENeezXc+OkrYrtZNI+rX1G7FjnCAgfQCYAZpa2k1p02sgNNTUi9eXnDpz&#10;FjM+4uTpM+npmfTCqO0fGRmDbROYEYjbOAkJyU6Oztg1Foa0pLKojImsTtCSeb2Nww15dXtqV0H6&#10;ADDPRMfGiYy/UeDh4XXi1GlM9xTHjp+MjIqhl5eVlM4rKMI2C0wHdPGUmZ3nYO+oqabB3tGeQlRY&#10;REXFVETJ5xv1qL+ozV2HnMkiKPZlYH2QPgDMJ53dfYq0OwbEo1p5Gdm2js5z5y9guqfj5bWM3qdT&#10;nCWC2qTdvf3Y9oGJg2oPNe3rG5tDwyLlefahEhYQEhOR0TbwElpgt3G4Qb+nr6qkjA4TO/YJAtIH&#10;gOmSnJpO/MkghAUEXV3c1JRV0X/7+fkfP3EKEz2d7Tt2GhoYUusi7OzspzlaOmNBp97yiuqYmHjU&#10;tOfRGwf9gKQlVViSRlI6QX9TT8TEumD5q1qSoDB02QSAhYGVhRXxJ4OQlZRGDfyMzGz031LiEjt3&#10;7cZET+fsufPNrW3UuggxYRZqomLbB3iD2ryowi3MLFD7l8dtHBEhEXVNa1EV/3+oRS/k2zgcEdSM&#10;FxVRoI7FysIaq4SJA9IHgGlRXdugoapG/MkgtNQ1jh0/ceDQYaJ/TlZ2HiZ6dgrXFouMV1XRuvVw&#10;k4c3qH7a2rvKK2uCVoUoyn+xITssQRFBAXEN/WVLxl6qwmW6WBDRihAXlaEOapn3cqxCJg5IHwCm&#10;ReGadXLSX/4aY+MTCZUnJKWgf6qrqp04yesOD+LM2XMrA4OElwhSG1FRUi6FN3W5gHS/obQiPCLK&#10;xsqGx20cESGWnKyGiIylhGbQ39Xnv5f9NBFSCxBlfel6lJKWgVXLxAHpA8C0iI2NZwl88XVPXz+h&#10;8s2bt8pIjZ0M2ju7KL9z5Nz5C7sH9xro6lEbEV4i4GDn2NzagX0Xw2lt70rLyDY2NFaUk+fxUhVC&#10;Q9NOVHXlP9Rj/zT7gyUIa8ap6gfN8v2iFGE5R/oQEVU19VjlTByQPgBMna6eTYErVxF/LwjUWqfa&#10;9QcPHba1tUMfrlwZdPbceUrx3Ghubcd6kUdExsBNHgQ6+a0vKQ8ODpWVkqbXzziWCIgIibFYcira&#10;XgKz3xvnz2rJf1aJUdb2V1LSJXZATstv9kbj+ZNqkpKiCXWwctKyWBVNCpA+AEydzu4+L89lxN/L&#10;2J+Mjh4l8TNnz0VFjs2jraetMzy6n/qcB4Vr1ooKsaitSYqJZ+XkYd/IHDq6etetLw0NjbAwt8Re&#10;dabDEhSWl9MWk7cV1wz5x6zfxkkR1IwTUfOTkjOVFB/XH1RMXOUfajFs5WeGf6nFSIp/GVfZ29sX&#10;q6tJAdIHgKmDxGT3uTlP4O2znC7xmtp6JG5FOfn2jk7659w4eer0yoBAamsIVSWVsopq7Ev5npa2&#10;zuSUNCMjY9S0F6bdOsNZIqih7SCiHvw3tfg/zf4ox3K6UUoajixhaREhEXxPPl/kKao7YavMFBq6&#10;/vTvysktwGpsUoD0AWDqdHT22FjbEH8viIioaLrEdw3uRcZHn2ekZ/B+S4ti5+5BY0NjaoMIC1Pz&#10;dcUlJaUVBJXVdciJ/Hfbp6tn08bmtuL1pf4rAnlMXSK8RECMJSEmrqqs7TP7L1Wl/Fkt+W+qMZJq&#10;/irKhvQn7RwRFRKV1Axn28h0+YtakqzUl+5J2lradVN9F5cApA8AU6eto9tA34D4e0Fg0j9z9pyV&#10;pTX63N8/ALXi6Yt40NI27uY+auqKCn+55yMnI2tjZZOVnTvlFzIXGu2dPWvWFgcGrjJZasJ7bBwF&#10;eV1hOXsxrdVz0BtHQCNeQnOlhJyFjNSXeXHZkRSXoJ8MpKUUBTUjsU1NExl1L2r7CA93zykPqkwA&#10;0geAqYOkr6mhSfy9IHLy8jGDZ2bnos+NjU2OHD2GLeIGuiYo3lBKbZMjSI4BAYGL3fut7V3JqRkG&#10;ugZS4hL0HlAYYiwxDS2Hb1TD/qKW8IfZ740jqhWnrOkkypLleBuHAIne2GhpckrahpJyfR3yWS6B&#10;tKzBP9Rn7BJEQDNWQkKF2riEiGhuXiFWjZMFpA8AUweT/voNpZjBB7ZsIxYN7tmLLeLBqdNnIiOj&#10;sBHcMMRFRGNi4hfdfZ7O7j4knaK1xd7eyyXY5h6gIy4iIyKurqLvPwdj4/xZLfkf6tESav5qaqbY&#10;btBBzlVXUV22zGfd+lLqjIvO6xIi4y5Q5BXN/z4zAzwkSyo50q8kTIxNp3+mB+kDwNT5qvRPnzmr&#10;MjYJ39hLttgi3gyNjIaGRUiI8tKigqx8Tm4+tksLFmSrNWvX+/sHGBsaYW8g02EJCMnL6wvK2Ito&#10;hf919qcu+UYjUUJjpaiMuayMGjZ/PR0lBUUPd8/UtIza+o3YiRadxsIjorEztIys0RKNOOy7Jou0&#10;zipx0S9vn6HrIXQJSP/qqQHSB4Cpg0k/KTkVczdixecOOe6ey7DPvwpq74+M7u/s7t3Y3Lp1+479&#10;+w/09PUbGBhRX4cQZ4muLS7B9mqhgSwZHRuvpa6BWsrYbJF0JEQltXUdhdUi/6SaOAe3cb7RiNPU&#10;9xYSEGUJcD0DITQ1tJKS0+obm3k0sZH3ly/3w1aUldP7p/rUvS+tG8kS/PIsBxEYGDwjF3YgfQCY&#10;Okj6erQ3abEHuQRFa4vRImkJqZOnzmCLpsD2nbuMxntfVUll3fqShXafB3kQiTInt8DTY5n4+Lsf&#10;41giIC4qKyalq6gb8K+ZuxXOjT+qpvxLPUZU1V9D04bHLXsxloi6ipq7u+eatcXoQLBD40hjU6u9&#10;nQO2HUVFbUG1kD9P+mXdFBH1YDHRsX5fFIaGRlMeQB8DpA8AUwe1/mxtbIm/FwRH6Xd19xAT5w5s&#10;2YYtmgJnz53f2NSiKDduiDFDfYOZMsL0IWagXebljU5OyJ70/aQjKiSiqGAgouAirBH+19kf8/Kv&#10;aklSOsECEsYyUmoi41vQdBRk5Vyc3RKTUiqr67Dj+ipIpmhdbIPiIlJSSvaCmhNt8v8d7aemt4TY&#10;OOPLSEjl5hfO1HkdpA8AUweT/qrg1ZijEYN79urpjF0NFK0rxhZNjXPnL3T3bqK+lEBeRm7evd/S&#10;1hkVE6esqMzjlj1CjCWuo+8mpBHzx7E3qmb9Ns6/1JO0jfxkpFWEl/B6MC4rLRsdE48a7KhpP2W9&#10;ohOeqwvu/bExc5YIa+r7/PNrPU1FtaMVFAzYXwjIys6bwSs5kD4ATB0kfXrjztbOARM04uDhI85O&#10;zmjpypVB6J/HTpw8M4GheL5KcXEJfXRPhIODU31jM7aHsw1SZE1tQ3pGlrOTi7SkFH1/6LAEhCTF&#10;FYTFNOV1V87B1CV/VE35RiP2G0VfZVUbCdqzUAxRIWFNdU0nR+fp94OkQGc+P78VMpyqQlpSQVnN&#10;Hu3VN+phSzRilmjGEvxLNYSl5KOmboWufrBVZKWkY+MSsK+YJiB9AJg6XT2blvt8eYKnoa6JqRlx&#10;+uy5oJVjz3KNDQwL1xS5uriGh0UMDY9gxSbLyVOnU1PT6c9FUfva03MZtoezB2rV5uQVItfrauuI&#10;0V4fwxARZKmomokqewlqRP5tLm7jJEvrhInJW0tJqvF4h1aMJero4JSYmFxVU8/jCe3UQCfC7Jx8&#10;HS0d7EsJ0F5JSchJS6nKSKkRSIhJcXy+rSAnn5aeOc1XsdgB6QPA1EHSDwoMJv5eCDA1E+QXrMG6&#10;9Lm4uE5k6E3enDt/ITYunr5ZxHJff2wnZ5zGptaw8EhlpS9TtnJDx8Dz89QlKXNwG+fv6snaBitl&#10;ZccmquQBaoMHh4QR93Bm7+k32nJza8eyZT7Yt08cY6OlTS3ts7GHIH0AmBYxsfH0ZtreoWFMzYjW&#10;9k7J3wYYUFZQEhEcu+W9vrQcKzY1AoNW0RvawgKC0dFxM956Rae3yuq65JQ0ZydXjvcuCFiCwtKS&#10;SiJSRrLaAXMwWMIfVVPQSeUbpRWKKjb0cSgxWIJCGmrqDg6O6ZnZczxLwfqScjc3D1WlL2/V8kZc&#10;RFRfVy8iMqq1vQvb1EwB0geAaZGRlUN0ziFoamnDpIw4dvyEsRE5jFpuwZplXmMNQGVFpV2792Al&#10;p8Do/gPEMwMKORnZ7OwZG5MZ2Qe50sHeUVNdg/dLwiqqFixlH0HNqMl3UpwKcrrhksr2EhJqosJj&#10;M1NyRFRI2MbaNjExuaKyZsbvk0wQ9L0lZZWoceBg7yQtwfV8iX5q7m4e6elZdQ1N2BZmFpA+AEyL&#10;orXr5WW+jApZzPZSLsGuPft0dfQ8Pb1OnT7TP7BZVWXsLoSfr//pM2exklNgeP8BlfFtSXlZuaaW&#10;dmxXJ053bz9q2tfVb4yIjJHhMXXJGAKiLAktPS8BjVl/PEvcJvqDapKKXpC8rAbbnnwBXXvJysj6&#10;+q1AgsMObd5Bbf/EpJTwiChPL28PD6+w8Mi4hKSausbZu9eEAdIHgGlRUVVDv3gPDArGjMzOyVOn&#10;w8MjUGF5GdnaugZs6dQY3Dukqz3uyaGpqVnD5DvzdHT1lpVXJSWl2ts78pq6REBYWkpVTNZURjvo&#10;n7PfGwchoBkvqLpSRslOnvtde+R6dVU1G2ub1PTMxqZW7NAAApA+AEyLjc1t2ppaxJ8MwtjQCNMx&#10;R4aGRzQ1xtYy0Dc4MeFRl3nT2NikJK9I7Qky4HIf34nf02hp60zPyLa1sVNTVuUxCg3SvaqaFUvF&#10;7xuNmLm5jSOlEyWhZCcupiLG4joSEdphczOL2LiE8vm7jbNYAOkDwHQxpo2LoCSvsG94FNMxR/q3&#10;bCNeYvJc5n3m7Dls6dTIycunTzUlISbOuwd6d28/atrX1jUGh4QqyHB9EIoQFhASF5PV1PUWnv0x&#10;LxF/VE35s2qCnHaIuvq4KWUwWIJCEiKi3j6+FVW12KEB3ADpA8B0WbHiyxyH8jKymwY2Yy7mRlJy&#10;qhhLBDXJ8/MLT5+ZAe+fOnM2LDyS2hmEvp4+x5v7yPUbSsujo+NsrG15jGWPkJFWF5Yxl9ZZ9dUX&#10;SmeEf6knCKoFyiraysmoY3tCgWpMWVHJztY+JjYBbuNMFpA+AEyXxKRU4k8GISkmXl1bh7mYG8Oj&#10;++3s7NFa6ipqfZv6saVT48jR48iG1P4gAgIC6Xvb1tGdlpFtZWGlpKDIY7wEcZa4mpr1N4oB/1SP&#10;Re1uTM0zzh9UU0S1YxS1PVgiSmIsrs8SEGZmFtEx8WUV1ehA6McFTBCQPgBMFyQg4k+GICY6BjXa&#10;MRezc/LU6aaWtpDQcGItE1OzYydOYmWmRmdXNxI6tT/SEpLllTWt7V1VNfXookRchGsHRwRLUERK&#10;Sk3b0E9YMx7z8mxA3MaR1grW1LTiMQ6aqJAwOgoHB6cZGVCe4YD0AWC6dHT10rvq+/n6Hz9xChMx&#10;BvK7v38ANgilu7vngYOHsJJT4MSp04Erg6jNsgQELcwtLS2sRIW4WpUlKCwjrSkgaSqpHfq3ObmN&#10;83f1RBHNVaJyNnIy6jzGS0Bnr8+3ceKraxuwagemBkgfAGYAO9pY6kivX3V3SVk5UVhT/cscLMJL&#10;BMLCImZk2P1duwepzfJGQkRSQ8tWSCXo72pxc3AbByGsmaCis0xUTJX3bRxtbZ2oqNiKypqWts45&#10;68POBED6ADADhEdEE381CGVF5d2DvF61PXz0mKODIyppZWk1uHcfsRbRKR61/QuL1k1/WB5EbFwC&#10;sWVOCIgIiYmJq6jp+38zNjYO7uUZ5w+qKX9VSxBXC1ZV43UbR0RIWE5axs7OPjd/DVbDwEwB0geA&#10;GWDd+hLir4agvmEjpmA67Z1dyopKqFhOXj76J7FKQmKyjfXY0PxKCopl5ZXT78Q5NDyi8vlb6IgI&#10;icjJ6YrI2ohrrZ6b2zj/UE8S1w4VlrOVl9fFdoYOOufZ2thFRkZXVtdNcLIqYGqA9AFgBtjY3Kai&#10;+GXUyYSkFEzBdPz9A4Q+j9G27/MAy8Qq9fUNSNNmpmbov1Frt6S0fJrt/dNnzobTum+KscQ1tByF&#10;VFf/TS1+bm7j/EM9WVXXV0JSbew2DvepcVWUVFavDqusqoXbOHMDSB8AZoC2ji6inU5gbm7JTdk7&#10;P99tF14iuL6kDP3z5OkzxCpI+uifm7duMzIwRP9UlFdAlwvT9P66dcUigkIsQWF1HY+/qs3FYAno&#10;dPJ39XgB1dXqWuPGgMNgCQgpyMpZW9tm5+TDC7RzDEgfAGaArp5NK1D7nea13Xv2YQomSEge69RP&#10;H32BKJ+TW0D8s39gi+lSU/QJcZ+H+HBq9Pb1o+sPYQEhUbXlmJ1nnL+oJYtphbHkHeTldcRYXGdC&#10;l5aQtLS0jgiPKi2vgts48wJIHwBmhtS0DHoX+OINYw15doj5ciMiIqlWvJmZBfrE3d2TKrNn75Cp&#10;yZj3VZSUe/qm/tLWgUOHDfT00XbEZMz+PDYhLW7qGeEvY8NeBgqz5EWExIS538aRlZJevTq8tKyy&#10;pa0TqzpgLgHpA8DMUFJWqSgnT/ztIJYt82afC/fk6TMSn2dTyc8vIF7gOnP2nIzU2FS3CYnJ9JLN&#10;rW2K8groc08Pz6PHjtMXTYrwiCi0EWkp5X+qRWGyng5/UE35x9htnGA1TRdpCV6zl6A6WWpkkpKW&#10;MXuzggCTAqQPADMDkhrRiifQUFUbYht5bc++YYnPVwOlJeSw+/uGR9A/RQSF6hsaqWIIdMJIS8tE&#10;i6TEJRoam+iLJsXO3XskRMdeHFNQd8bEPTXGxkvQihRVcJSR0eUx7CU6t1laWIWFRqArnhmfxguY&#10;DiB9AJgx/P1XEn87CFkp6abmVkzB7NJv7+pG/1RRVukf2EIVIzh1+qzN51F0rK1tsUUTB11PREXH&#10;oo2wBIQU9cMwg0+Kv6slqeqHyMhqCQuODRKHtskN/xUryz+PjQO9cRYgIH0AmDHyC4qIvx2EsIBg&#10;Wmo61v1mZP9BJP1v/vFPNVU1IUHB//jP3wkKCP79L39TVVHdvGUbvSRBbX2j6Ocx0XbxfNuLN0Mj&#10;o8ZGS9FGWIIsaTW3f6lHT6bLZso/1BP+phyiqu4iK811oleWoJCCnLyJsUlsfNIcT0ILTBaQPgDM&#10;GKhtS9yIJ/Bw9zx2/ASmYCTx//mf//3//b//oPh///EfMtKy7C19xOj+A/p6BmhTa4s3YIsmDjrx&#10;tHd2mXzuESS8RHBsxisFByHNmM+zD2KK/wI6MYhpR0uouUtK6fAeL8HC3CI0NBztIQx7uSgA6QPA&#10;TOLh6fXN3//xlz//ReCf3ygrKg2PjLutX1BQ8Lvf/Tfd+AR/+ctf29ra6SUJDh856ujghP4Yg1aF&#10;YIsmxbnzFw4ePuLhRY3CNjaxrapuECZ6CjWDMCUVI6ElQjxu46Czl7ubZ3llTUdXL9zGWUSA9AFg&#10;uiDrIfclp6Q5ODiJCYv86Q9/RB7/z//83R9//4eY2PjW1jZEU1Ozs4vL//3+93TX00lOHtd7h+DU&#10;6TOrQ1ajP0YdTa3DR49hSyfL8ZNnCtbU6ulaSohKEX/jiuoOf1EjZsJK+Yd64r/UVkspu8lIfXm1&#10;mB1FOQUTY5OoqNi6hiasHoBFAUgfAKZOS1tnanqmo72juqoaMSHJP//69//4z9/Rbf7Xv/4N8cc/&#10;/on+IcF//u5LSQV5BczRCNRCL16/QUJEVE5atq29E1s6Bc6cPb9l+2heQYW66tgUjywBYVlVRymd&#10;KCk1TzEJbUnxsc6j3NDX1V8VFLKuuAQ62i9qQPoAMBXqG5pWBYcKCwhiN0D+8Pv/ozzOg//43e9U&#10;1Cz+KqBO/7C1pQVzNGL7jl3Kn2dEWRkQeHKGplBH55Iduw+amFLDQfPqisMSFLK1tS8pq+zq2QS3&#10;cfgAkD4ATJTO7r6y8qqY2Hgba1uiUw3Gkn9+88f/+8N//e6/6Cpn53/+JPRnSfffq6T8n6TXf/zu&#10;f6jPnZ2cMDsTxMUnoo2LsUQKCtYcP/mV6VkmzqHDJ+iPnTHkpGWWGhmvDg2vqqnH6gFY1ID0AeDr&#10;NLW0JyanWZpbqimriggKEX8g7MhJy3p5LsvNzQtZvVpRQeH3+B38//zfP37ze5blHxVCkfF/r5r6&#10;J4XV//2HJVSBb75ZcpDT7CtHjh13c/NA25cSl/Bd7rtt+85pDsRGkZY+9v4XHZaAoK6O7qpVIUVr&#10;iznOqA4sdkD6AMCZ7t7+rp5N1bUNPsv9xFm85pUVXiIgISqWmJRSVdMQHpW6ZduO/QcPjx441NHV&#10;u8I/SEPLbomE8T9lXP+iGEJ1j6H4n78rU9L/7//537o6zpOqj4zuNzczp77R0sIqNi4hKzcf0dW7&#10;CXHy1OnTZ86eOXsOnQ+IAR4mwsDmLbKfB4EgkBSTKFizDsZB429A+gCA09bRXbyhLDw80srSWkyY&#10;+2zdwiwFOXlLC8vVoWFRUTFhkak61ql/UUux9crJyK31XJWnZp7yJ7WvvAb1Fwk7Svr/7z/+MzIq&#10;CvMyxfDIaGRElI6WNmqMY3tCICMl7eTkHBoaXly8Htn8xARuBB05eszN1Y2+kZKyCqw2AD4DpA8A&#10;X2hsao1PTDY3NVdSUOTRRV1KXMLU1Nzdw6ugcG1kVHR2VnZeTs7qsJQlOmMjWf5JLXWJdsof1XC/&#10;c+QvCqsp6SOsbWyOcR9eDTXkt+3YWVJaFhwSutzXz9LSGqFLG/CHAJ2NNNTUHezs6xubTp7mNeMu&#10;uiYoKlpH9Dsi8F7mg9UJwGeA9AGm093b397ZU15Z4+HhSUxUyw0RQSEFWXkHBydk+fy8vPiEhNVh&#10;EatDI8IjovLy8vJz87x9U6YwKdUf/ypMSV9CQnL7jh2YmifCzsG9zW0d8QlJmhpaEqJi1NWAn3/A&#10;/gMHedzw2Tc8KitJdttH6OnoQgd8/gakDzCX1rbO4vWlwcGrTZeasrg/nkWLVJVV7GxsgwKDYmIT&#10;UtIykOjT09KR9xMSEqOjY2NjE6KiY7Ozs3NzciyckfdxrfPmH2ImlPR//4c/dnR2YV6eFMjv23bs&#10;SklJtbKwIprw2to6jU0tPCbdRdcN1MFKikug6xasogB+AqQPMJH6xmakaSMDQ0U5rn0WEVJi4qil&#10;XFtbHxufiPxekJeXlpqO2vXovyOjYrIys5D3k5KS4+ISEhOTY+MS8nJyk1Oy5U0mN13JnxVCKOkj&#10;cnJyMClPAWT44ZH9Wdk5RCteQ029o6sHK0Oxfecu+lH7+wVg1QXwEyB9gCl09WxqaessLav08PAi&#10;ZjLhCEtAUEJEVEdbJzAwKCIyOjk1o7O7r6BwbVh4JPI7snxKahpq6SclpaClebm5+bl50dHI+smx&#10;sfGpqWkFefkrVmX+TX0yN3lUkv73D3+npG9jY4NJeTq0tndKio2Nem9kaMzj0a7p5wnZCZYam2BV&#10;B/ATIH2A/0Guzy8sWrkyiBhhmBuiQsKGevoe7u7xcXH5ubmF+fnI6UnJKavDItBlQVpaOvpfwvtI&#10;7ui/ExKToqJicrJzcrKzwyOiU1JSo6JjMjIys7Jy1CzZzM4DleQ//kOOkr6YmChm5GlSU9cgJzM2&#10;uVV4ZDT7ZF4EaK+pehARFNrY3IbVIcA3gPQBfgb9fqP2uL6unqyUNI/eOAryCss8vaIjI7MyMgvy&#10;8pDuKdA/kccjo2Iy0jNyc3KiouOIu/nI/jGx8YmJyfHxieifaCn6J1o01vzPyY2IysDNzgOV5N8L&#10;GlPS/8/f/dfu3YOYlKfDyVOnQ4JD0GGqKClv2bYdW0rQ2dVDnBgIYuMSsJoE+AaQPsBvdHb3oYZq&#10;fkGRs7Mr8ZvMEeGx2zhiSgpK/itW5uXk0EXPDnI6atrn5ORkZmQirefm5KJLgeiYuLQ09Dl5GoiN&#10;jc9Iz4yLTySuBoxsJ3GH53/FnP/ff3wZvCEvLw+T8jTp7ulTlJNHlzK5ufkce/Ls2TdkYmxCVY7J&#10;UlOsVgG+AaQP8A8tbZ3ZOXl+vv4GBoYighzGxiGQkZSysbaNjo4JDApOSU0Nj4jKyswqYBM9HSTx&#10;lOTUyOhY1NhPS01DDX/0H5mZWWHhUWlpacj+ebl56D9iYuKys7NRMxktDYvK/KfmRL3/R1n/3/3P&#10;nynpu7m6YlKeJidOnrK2tEbHjiqH4+g9x46fdHd1p9cS3OHhV0D6AD9Q39i8KjhUXUVNSlyCx20c&#10;eVn56Oi45pa2nbv37B0aSUlNR4131FqPi0sgbuLzoGCsY35SXDwqmYea8/HxiQV5+YmJSQnow7gE&#10;4iYPugjIyspG/52ZkZWenqNsPlHp/1kx/L9+/2UQHmlpGUzK04cYtc3O1v7Q4SPYIgRq/ienpNLr&#10;ak1RMVbJAH8A0gcWKx1dvfWNTVnZea7jm6gYIoJCinLyZiamxetL9uwbPnDoCMG+4dHUtIyc7Gyk&#10;+8+34zMwy7ODrgaiomOImzlR0bGZGZl5ubnoP9CFAmryo/NHcnJKTEx8amoqMizarItP2leHYSBR&#10;SfrdnyUo6f/1b38fnMakuBypqq1DtaGloTk0PIItItjY3EofSw5u6/MrIH1g8dHS1pmVnevluUxH&#10;W0eYy0A0CFkpaUd7x6SklJa2Dsr1FEMj+zOz84gbO0jfkVExyOCY5dnJyMiIjolDrf7U1DTU8Ef/&#10;kZiQhE4D6AogOTkVbSE8Iio7K/tzb8688Ii0v0/sDs8f1VL/LqxNSf/3v/9DXV09JuVpsnX7WGd8&#10;ESHhnbt2Y4sI0NUPfbxoTw8vrNoB/gCkDywmqmsbAleFoJY7j472CFUVNdR47+rZNLh3aP/Bw5ju&#10;CYZHD2TnFmRmZiGVI3fHxsXHJyTyvrOPQG38mLHnt+l5ObnR0bHI7GPGj0vIzh67q4O2gxr+6RkZ&#10;SPoZGZmomJjh16WvbZ7i5hNnZm5NSf93//XfaWlpmJSnyemz54jKqa1rwBYRnDl7jj66nKmJaXNr&#10;B1b/AB8A0gcWOh1dvTV1DekZ2dbWNvShwTDEWCJqyiq21rbF60uR0DHFszOy/+DadRsyM8akj8jN&#10;QY30saHTvur9zMzM1aERqFGfkJCYmJick52DFI/+F51mcrKzU1PS0Ifo8gKdA9DWHFw5v537D80U&#10;Yf1kB6/s2PjsmrrGLdt21NfVU9JHBKwM5DFgztQwMBibIjErm2vXoBUrqZnTl+jp6tXWb8R+FgAf&#10;ANIHFijdvf3otzM1LcPZyUVLQ4vbeMIIWSkZN1ePrKycjq6eieieYPTAofLKGtQYp2yemJSMfI1a&#10;69QnHEFnheiYuOSUVOT00LDI/Nyxtn9GekZCQhI6hWRlZiHdZ43d4YlB1wEBgcS041+QNUwxdkqJ&#10;iF9fWlY/sGXbPrTHn/dnaHj0v/77vynpW1lZH5n2TOgYKwNXoeoKDArGPqdIz8ymalVFSbmktAL7&#10;oQB8AEgfWIhUVtetCAhUlJPnMZw9QkVRKSU1ffPW7Uid3G7jcAOVr6vfmJScQtk8Jysb2Tz3a332&#10;EdnZObGx8cjpqMmPGv7JKSnon0lJyamp6aixHzfWZXPsugH9b1h4FKV7DbPkoNDM+saOnbv3ItUj&#10;2WO7JCXx5VmuhITErhl9RQuRljH22q25hRX2OUV3Xz9VtxKiYnkFa7CfC8AHgPSBhUJ7Z09FZU1y&#10;Spq5mQUP1yMZaalrenouKymrxKQ5WVrbu+ITkyiVE09l01K/tP25gUqi0wNq1BMXBznZOZ877KfH&#10;xSfm5eai/0Xqj4mLT0/PQP+tYkK+nVtbv3E/m+gR6PSzbceu6upaJQUFSvp//etfBzZvwaQ8Teob&#10;NhJ1eOrMWWwRATp3UvWMSE5Ow35GAB8A0gfmn/rG5tT0THtbe3UVNeJ3jyPSEpLLlnkXFhb19PYP&#10;jSB/4vacLJsGtsbGj3t4m5GeERkV89Xb+kj6CYlJ6ajlnDXWrs/PywsLj8zMzIqIjCF68WdnZScn&#10;pyYnp6SmpulZkc9yO7v7sB0Y2X+wvbM7IiLK0twCncz+/ue/UNL/j//8XXdPLyblabJ123aiJnfv&#10;2YctopCT/jIYw+rQcOwnBfABIH1gPqmoqvXy8pYWl+Qx2zhCTUU1LT1rz96h4dEDk72Nw4N9Q6PJ&#10;Ken02/qf9R2VmZFJfcIRJP2UlFSk9LE+PGOv44711ExPzyTu4yckJGVlZqONJCWloDOBpX2SiV3S&#10;6oiM7Tt207+9sanV2dlFnCVCvU225B//pKSPSEtPx4w8TYZHRnW0ddAXNTQ1Y4sozMwsiJ1BeHl6&#10;Yz8vgA8A6QNzTWt7V2l5FWogm5tZ8Hg8i1q+etq6vr7+dQ0bZ6Rdz5Hm1g7k65zsL/fxUfM8Ni7+&#10;q439jIyM+IQkdJIg2vWJSckpKWnR0bHp6RlJSWO9dxISxzrwoC3HJSSjS4r9B8bOVXuHRjq7ezMy&#10;MukD3VAI/PNfv/vd7yjp29naYUaeJgcOHjI3HZtdvXDtOmwRBToHU/vj4OCE/ewAPgCkD8wd6Lct&#10;JjbexspGVVmF+B3jiLKiso+3b0lped+mgZH9B+mOnnFGDxzKLyiid9pBzfbPDfavvKiVk50dHT32&#10;ltbnTjtjXfLRf6DTABI9kn5UdGzhmnUJicm5ObmJyWm7Bvch3a8rLvFw89DS0MSOl0LwX9/8/v9+&#10;T0lfWloaM/I0OXL0mLubB/qikNVh2CIK+ixaRoZG2E8Q4ANA+sBcUFFZ4+zsyrsrDkJXRy8vfw2P&#10;N6pmg12De2PjErOzswmbozZ+bFxCRvpXRmVAZ4WoqFjU0k9OSkHGz8rMWh1KzJcbjf6Zlp65c/ee&#10;5JR01NKPjolHrX5JUTEegwKxBIWcnFzKyqtUlFX+9Mc//fVPf/nXX/9ua2uPGXmanDh5amVAIPo6&#10;I30DbBFF+ucePgR6OnrYzxHgA0D6wGzR1NK+fkNZWHjkUmNeU5dIiokbGxoFrFhZW79x3/Bs3cbh&#10;AbqYqKltiBkbc41s7CenpCYlpVBtf44U5I311s/MyIpDSk9KQXJPSk6rqKpF0k9Pz0Bngb7+zYFB&#10;IdZWNqLCItghU0iJSxgZGKF2d2V1Haqxzu6+FStW0gucPHUak/J0OHvufFxsHNqsnrbO0eMnsaUE&#10;efkF9B2g/0AB/gCkD8w86LcqPCLKzMRMWUGRR/NWVVkVOa6yqnpgy/a5bNqzs3doJCMzJzEhmbiV&#10;n5mRmfB5XB265TEI6UdFx6ZlZMfFJ+Xm5KRn5mzdvissLDIiIgq5fqmRMTFPIUeUFJS8vX3zC9Zs&#10;bG6lV118fCL9mfbAVs5znkyZgoI1okLCmmoa+4ZHsUUE1VXV1Lcj6PsG8AcgfWBm6O7t7+ruKy2v&#10;cnBwJn5/uMESEDQ2Wlq0dv3g3iFMvvPIth27QsMi09LSkevHnr7GJ+bl8LqtT0i/r3/L5q3bx6Sf&#10;nZ2SlllVU090j+EGOgXKSMmg8m0d3VgFEmTn5EmLS1Lli0vKMClPk8rqGnQqUlJQRBci2CKC2ppa&#10;6tsRa4tLsD0EFjsgfWC6NLd2rCkqXhUUYvh5aBduSIlLmC41DQ4OaWxqmfhgCXNJU3PbZ9fnIN3H&#10;xsXzfjWXkv7Alm3BwaFeHp7owoXbkJ/oc3VVNWcn14ys3K6eTVgF0hm7ra+oRK2ILpgwKU+Tzu5e&#10;OWkZeRnZ1vZObBFB36YBFdpjdpA+/wHSB6YOatii1rGhviGSiNA3vG7jIHlVVddu2bYD8+yCYmh4&#10;Pzp7EdOkEL0tMdHTQdIfmzIlO8/J0enz4eNHTWFqYhYXl1heWdPR1YtVIDt1DU0aaurUuibGSzEp&#10;T5Ot23YoySvISErV1XMeaxOTfl5BEbaHwGIHpA9MDtRQbevoLiwqdvraDLRiLBETE7N160tmr5f9&#10;jLNtx66Y2ITklDQk/Yx0Dq9oFeTloVNCdmbmqlXBPFyPDl9cRMzWxg65HqvAr4JOotR2VJWU9x88&#10;jHl5OqBrLLXPTs9Iz8AWEWDSRyc2bPeAxQ5IH5goG5vbcvMKV64M0tXW5fFSlZy0rJWlVXR0bGNT&#10;C6bURUFre2dMTDwCqR8zfnZWVlhoqKO9g7ysPHbUFMj1pktNV4eGl1VUYxU4Qdw+d6UnUJRT2MFl&#10;zpOpcfjoMQ3VsbEuUlNSOQ7dPLhnn7Hhl9t0IH3+A6QPfAXUtK+oqg1aFaKjqS0jKUX8bnBEWUk5&#10;MiK6cWPz9p272YeQXCygPa+qrgsNi6SPxZaZkeHl6aWurCIlLoEdNYWcjKy3t+/adRvQ2bG7tx+r&#10;xokTG5dAbRNVeEtbO+blaaL9+e2w8PAIjsOugfT5HpA+wJnO7r7m1vbMzBw7OwdRIa4vVYkICiEP&#10;WlpalVVUzW+3yxlkcO9QVk7+2LS3WVkJcfFubrzm4BVjiSgrKEdGxczUPFPZOfnUxiVExcoqKjEv&#10;TxNrS2u05ZCQ1SdPn8EWITDph4VHYrsHLHZA+sA4UBMVNVQzs3N9l/vxnrpEQVbe3s4hMTEZnRsw&#10;aS52hkYOFBSutbSwMtQ3QE7HDpxAeImAuqqam6t7RmZOa3sXVo3TobJ6bAZzAlT/aWnpMzuFVmh4&#10;JNqyj8/y4ydOYYsQmPTd3T2x3QMWOyB94AtlFdX+K1ZqqKrzuImBUFVWiY9PbO/o2rl77+K9jcOR&#10;oZH9FZU16GSmJK8gxP21MiND4/iEpOqa+ol0yJks6BqL/l3LvLyPHjuBqXk6ENJ3dXU7dpzDZjHp&#10;o+s8bPeAxQ5In+kgbTVubMnIyjE3s+DWzRwhKiSsICtnb+9QWl6FiXKxs//g4aHh/Vu2bs/OztPV&#10;1sUOnEJEUEhWStraymYOuq6jkwr1vXIysk3NLYePHD195uyMNPkL1xajzTo7uxw9dhxbhBgaGTUz&#10;NaO+HaTPf4D0mUtdQxNyvbubh5Y613EfEQpyCi7OLqlpmd29m2Z7zMu5Z9uOXRtKynyX+6koKWMH&#10;TiEqxLIwswgLiygtr8TqcJaIif3yLBchLiJqa2MXFhpWWFjUv3krt3mvJsiGsgq0TVMT00OHj2CL&#10;EIePHrO3tae+GqTPf4D0mUhldZ2393JVJRUeg8Mg9PX04xOS+jYNzPGwl3PDjl2D0dFx2ppa0hJf&#10;hj3AQPXj5eVdUlrR1NLO+03amaWxqVVfVx/bGYSoMEtJQdF/RcDeoWFM1hOHkL6BvuHBQxzeAICW&#10;Pt8D0mcE3b39bR3dtXWNyclpxka8xrwUE2apKCp5eC6rqqlbRC9VTZDRA4d27tpTV78x4PMIw9yQ&#10;EpPQVNcIDQ1Hrsdqcm5AP6/0jGwF7m8DIOLiE/fuG5rCDZ/yqhq0Ojfpwz19vgekz/9U1zYkp6S7&#10;uripf34rhxtK8gpensuyc/L48jYOulJpbe+KjYmzsbKREBXDjv03BNDVD6qEzKzcjc1tWDXOMejC&#10;IjevwNLCinv3IcGlRsYlpeWnJ3m3Z9PAVrT6BKXvBr13+A6QPj9TVlHt7u6BGoziIqLEz5QjqO2f&#10;mpaxZev2vUMjmCv5gOHRA+gSx8rKRk5ahkcPVD1dvfiE5IbG5tnokDNlWto6izeUBQWFGOgZiAgJ&#10;Y/uMQCewoKDgY1wGx+fIlu070YoTlD700+c/QPr8BmrPlldWJyQmG9L+dNlBpwFNNfWxGWjnaeqS&#10;2Wbf8GhPX39Wdq7JUg6z0RIgjaLrGysLq/zCos7uPqwmFxr1jc0BK4NUFJXZ7e+9zOcgp6eyHJmU&#10;9OGNXP4DpM8/1NQ1xsYm2NvZK3PviIJQUVL29l5eWFjU17+Z/x7PInbsGtxQWr7Mc5m66pfhKjGQ&#10;Ny3MLZDRSsoqsGpc4FRU1a4KCmF/kcLFyWXf0AhmcI7wlj664NPS1KI2C9LnP0D6i57u3v5160td&#10;Xd2lxSU43gGg0Nc3XFNUvHX7Tv57QkswuHcoISFZTVWNx+0s4SUC7u6eZeVVbe1d0xkhZx5BFyVV&#10;NfVGRl/68hM42juO7j+ISZwd3tLHRtnMzsnDvh1Y7ID0Fyut7V2lZZXhEdE8bl8gpCUktTW1AgIC&#10;G5ta+OztWQJ0UNt27KqprQ8MXMVj4nVUD3rausHBqxubxk1PuHhp3NjiYO+EvTbsvWz5wUNfuc/T&#10;1bsJleQm/bb2DvqwejCJCv8B0l98VNXUhUdE2VjZKPIcKkBDXQO5fv2Gkr7+zZgo+Yb2zp7o6FhL&#10;c0seLxwoyil4ey/Pyc3nG91ToCPy81uBXd45OzofOcrhVVsK3v30Kyur6FtDgsC+FFjsgPQXDUhw&#10;uXmF9vaOYiwRHr1QEEaGxhtKK3YN7h3Zf5Av79qj1v3G5lYbGztxlgiPidc11TXHZqNt75rL96rm&#10;GHRooWGRLIEvc6kjglaFcBxMjYC39DOzsqntiLFEsa8D+ACQ/kKnc2y28coVKwJRi5X4uXBEVkrG&#10;UM8gOHg1chymSL5haGR/R1dPekaWldXY4MAcYQkKqSqp2FjbZufko9MkVpl8SXNrh5vruMGfZaWk&#10;168vwWxOUVC0DpVxdHTiOPbOch9fajvGhsbYdwF8AEh/QdPW0R0aGs5jWBiEtqb26tWhFVU1A1u2&#10;YZbkG3bv2behtNzFyUVDTZ3bqHAigkJmZubRMXGlZZV83LTnyMbmNlcXN3ptKCsotnZwnvo8IioG&#10;FeA2yia6PKI24unhhX0RwAeA9BcuqKFqbWVD/Cw4stR4aWl5FXEPhy9v4yD2Do2kZ2QrKSjxuI2D&#10;cHJyQVWBXL9IO+RMH3TsZqbm9DqREpfcvHU75nSE/4qVaOnKgMATJ09ji3bs3kPfQkxMPPYtAB8A&#10;0l+gIOOvWBGI3btH/1RTUTU3NYuJiUMX9Zgf+YbRA4e2bt9ZUVkdGBgkJy1DrwE6MpJShvqGQUEh&#10;NXWNWO0xkw2lFejXg15FRvqGfZsG6Fo/ffaclroGWhQREYmN1nny1GlPz2XUurJS0mvWFmNfAfAB&#10;IP0FCvp7k5OWJX4QBOqq6kmJKa1tHYt6Btqvglqs6JRmYmzCo0MO0v1yH9+8/DXo1xerNyaDrnIy&#10;s3LFWePeUdDT0e3u20SZHf3mqH3uhp+WmkYfrO34yVNp6Zn0yykjAyOoXr4EpL+AQH+0HV2960vK&#10;wyOiTJaaEj8FAlNT8+07BzE/8g37Dx5GMuro7HFycqEfNQZSkqqSSjTcc+BJYnIaditMXES0tIwc&#10;l62nb5O8jCw6a9bVN6B/Iu+fOXuut3+z5eeJc+mEhkZgWwb4A5D+gqCzuw9dm0dGxpgsNWEJjut+&#10;hzAyNNqxiz+NPzx6oK29MzU13dbWDjtqOuoqao4OTqgZO7Oz0fIl6FIpIiIau06SEpdYGbiqu6ev&#10;aG2xpKiYsoJiS1tH36aB1NQ0SwtL9uclOlo68z7OKDBLgPTnmbHe9/mFTo7OKorK7L3vpSQkkfGR&#10;7Pjvfs6+4dHSskoHewd1VTX28xwBqpClxibx8UnlFdULavDLBU5bR3dUdCxWmQgVJWU1FVWkeHGW&#10;iJGBIfYAgAIZv7q2AdsmwDeA9OeB7t5+1Bxr6+hKz8jW1tIhaptCRFBIVEh4rPG1RMDU1Hx1aERo&#10;WGRPbz9/9M8Z2X8QXbVk5+QrK30Z4AUDHbsYS8Te3nHd+lKs6oCJU7RuPWo0YHXLm7FuryZmNWB8&#10;vgakP9e0tncVrFnn7xegpoJPaaIgJ29va5+VlZubV6ChrmFjY6eroxe0ajXyfkxswtbtOzGBLiLQ&#10;GYuYjTZgxUpV7q8dSEtImhibrFoVUlFVi9UbMFlQw2Jt8QZLC0sRQV7D8BFIi0tamFkkpaTBDTS+&#10;B6Q/d6A/p4TEFCQ1eZlx3XIQSPeRkdGNG5u3bd81Mnpwz75hMzOL3Lz8lSsCzEzNCe8Xry/FTLpY&#10;6N20OT4+0UBXn31AYApxETEfH9/CNev4b4Sc+QXVZ0JisubnbpocUVNVCwoKRr9dzS3tjH3LgVGA&#10;9Ged9s6e2rrGsPBI9j6IEiKiuto6GZk5u3bvRa5HDI8cGBrev2vXYGhouLube0Z6upur21Jjk+CQ&#10;0OSU9EX0OHf0wCF06mrr6Fq2zEeU++CXYiwRVSWVsPAouGU/q6DqzcrOQ9eOspJSqFGPkJGUMjc1&#10;z8ktgJpnGiD9WQRVbkZmtrOTC2rIE1VKoayoJCEqll9YtHPXHkL3iH1DI5s2DdTV1uXl5ERGRlpb&#10;Waelpq4OWY0ayJaWVuER0cihC//O/ucOOV1Jicl2vDvkqKq7urhlZGS3tHVi9QbMHuhys6ausbq2&#10;obm1A1sEMASQ/qxQ19C0Kni1uooae+veUN8QNe07OnssLazyC4p+a+Dv37Spf8P69Xm5uVmZmYjU&#10;lFRzU7O4mNjkpGR0NSAiKOTq6r62uGSBS7+iqsbBzmFsSj8uHXIQ+nr6SUkp1TX16BoIqzcAAGYb&#10;kP6M0d3bjxqtJaUVXsu8sZmbWAKC6GoatdzR0sE9Q4ToC9esNTIw3D24r7d304bidYTr6SzzWoba&#10;wug/HO0d0EYUZGTRiWQfakizqXZ+2Te8f2Dz1pzcfHU1rtMTohqQlZK2s3MoLII3+wFgPgHpzwCd&#10;3X2V1XVRUbFI61gLF/3TxHhpWGh4TW0D4XqK/oEt6mpqaWnp2VlZdNdTJMQnyErLpCSnREdHo+0I&#10;LxEwM7NA1+aYc+eRHbsGi9eX+Pn604dmxEDXOqYmZiEhYaXlVQt/8nEA4HtA+tOloqrW1dVdSV5B&#10;lG1+Wjtb++INpZu3bNs3NErX/Z69ww0NjUVr1vj5+dvZ2GZmZGC6J0Cf29nb+/v7o/8grIouICIi&#10;YxbCDLcDW7YlJqdqqKpJcR8hR4wl4uXls664pKmlHas0AADmC5D+VEAt1samlqzsPPYRS0SEhJUV&#10;FL08vVvbu+iiRwwN79++Y1djQ2Nudjah9cSEBEsLq5TkZEr0GNHRMUisaamp4eERxPaXLjXt6OrF&#10;FDw3jB44tHP3nqbm1hX+K3m4HjXt1ZRVQlaHwXv8ALAAAelPjq6eTetLyvz9A4wMDLFpuMdeIrW1&#10;T05J6+jsQX6n637vvpG+vk11dfUF+fl0p6enpdnb2YeFhtE/xLAwtwwNDUWNfWVFJfQtosKs7Nz8&#10;kf0HMSPPKujr2jq6YmMTbKxtebzpo6ai6uHulZEJHXIAYOEC0p8EtfUbjQ2NZCSlsAGqpCWl/Fes&#10;bNjYvHPXnuGRA3TdI3p7ejesX5+bk4PZHIFU7uPt4+HhiX1Ox8/Xz8XJGZV0dyWnRvLy8t66fRfm&#10;5dmjtq7RydFZTlqG2wg5CA01jcSk1PrGZuj0DQALHJD+hOju7V9XXIK91igpJq6toRUeEYWa/5jo&#10;h4f37x7c19PTh3SPSRwjISEBGRM1+bHPKWJiYmxt7cbu8ISFobML+l51VbWmljZMzTPL3qGR3k0D&#10;Obn5+noG9EOmIywgqCSvYGdnn5NXiFUXAAALFpD+hGhu7aAPcK8op+C9zKewcO2WrTsw3SN27Rps&#10;2tiEdJ/NZnB2UBPe0tIyYOVK7HMKdD4wW2oaFRWVkpyiq6WNvl1WWiY5JR3T9EyxZ99wcfEGn2U+&#10;2p+/iyNiwiwzU/Pw8KiSskpo2gPA4gKk/xU6u/vy8tfo6+pRt3RUlFXqahv27B1mv5Ozc+dgTVUV&#10;9YLVBImIjFSUlUtPS8c+J0BnhZWBgba29ug/ln2ezU5ESNjd3XPGO+xv3zmYkpohLy2DTb1ER1SI&#10;5ebmgVzf2t4F47QAwGIEpM+Z9s6eisqaiIhoXR1dojYItDW0lvv45uTkUaJH6kcngK3bdtRU1+Rk&#10;c7hxPxH0dPXCwsKxDymSk5KlxSUTExMTEhKIjqFWltal5ZWYtafG9h27a+vqg4KCZaWk6UdKR0pc&#10;QkdLOzg4FGajBYDFDkgfp62jOzU908nRWVUZn2LCxtq2uaWtorLa2dmVMP6+fcMd7R3lZeWTbd1j&#10;rFwZaG9rl5HOubGPcHVxc3fzQI19c3NztCe6OnqRUbF7941gBp846DKhs6s3MirG0tySfawIChUl&#10;FS9P76zsXOh/CQD8AUh/HFExcWoqquzjxggLCCalpO3YOYhEv33nbn1dvcrqurbW1oL8fG7v004K&#10;1IS3sbFLTkrCPqdISU7RVFNH/4va+2h/5GXlVodGTPlxLjK4m5u7uIgo1g2JjoKsXHxiMvoKeI0W&#10;APgJkP5AU3Nb0dpiX19/KXF8miEVRWVrK+vsnLzdg/vIpv3QyNZtO0JCQu3tHVC7G1PzlElPS7Oz&#10;tV+9ejX2OR17e8eQ4GD0pVoamiwBweCQsILCtRN/O3fv0EhXT19WVo6piRl2mBRos6pKKg72jplZ&#10;uVgtAQDAHzBa+rX1GyMjo81MzNhnNdHR0gkNDWtobN7x29DHe/YO9XT3VJRXoNZ9cnKyopwCanRj&#10;Xp4ySOUr/P3RiQT7nI6/n7+riysq6eHmjvbQ129FfELyRKbT2jc8un5DmaeHl7Ym1w45CFNTs6io&#10;mFLokAMAfA1DpY90HxC4CjVsiSOls9R46drikn1Do/TOOR3tHYUFBZR/kXld3dx8ff2oT6ZPSnKy&#10;goxsWirXDvuxsbFLl5pkpKdHRUYqyMnZ2TmsDo1obmnHFE8Hte5Rm11aQpLHbRyWgBBq2lfV1Hf1&#10;bIIOOQDA9zBI+shotXWNKSlpjg5O4qJixDESiAgKaWloebp7lldUDSJTfu6TM7hn36b+zU0bmwrz&#10;v+ieApnXwtwiLTUV+3w6IPl6ei7DPqRIT0+3MDUPCw9HX6qvo4tOAEj66RnZmOgRW7fvqqisDgoM&#10;lpeRox8mHUkxcSMDw1XBq2E2WgBgFIyQfmd3X0lZpe9yP11tXewhraiQsIW5ZW5ufntHNzVgzsDA&#10;5sbGxg3rN3AcO4EgNSXFytIqJjoa+3w6xMcnqCmroC1jn1OEBIfoaOtkZGT4+CxXkJNH0g8OCaPr&#10;fsu2HWnpWaZLTWU+v7vLEUV5hWXLfPLyChubWqFpDwBMg5+lj4zW1bOptLzK1NSc/f4GS0DQxcW9&#10;qaUduR6168cY3t/b27t2zRpMtRzJzMhwdHBY7rMc+3yaOLu4hISEoI1jnxMg3aPdjomJjYyMRIfg&#10;6uouKyUdHhldVlFdtG7Dcl9/ObaHExSoBtCZICY2vrW9C6soAACYA39Kv72zp6y8Kjw8cqnRUuJY&#10;KCRERE2XmoSFhnd09RLt+l279mzq62+ob8CGwPwqyLxGhkY8OtdPgaDAQDsbW25v56Irj1XBIR7u&#10;HiEhoehYpCW4NucphJcIqqmoOjk6pWdkwxNaAAD4UPpZOfl2tvZqyirId8SBEIgKs3z9/EtKygc2&#10;byPu5GzbtqOxoXHd2nV5uVN5kzY9LU1fVy8iIhL7fDokxMdbmFskJuD9gorXrW1qaurv37Kpf4uN&#10;ta252dgrWl9l6VKTmJj48opq0D0AAAR8Iv2unk3NrR1JyakqyirEzlOICAopySuEhUX2b96KRD88&#10;cmDvvpGBgc0b1m/AxDoFgoJWGRkac7sbMwXQdYONlRXRYT87K6swP7+xsXHHjl1UVyJ0uvLw8BIT&#10;FsEO8wtLBNDpzdjQeENpBVZLAAAAi176yPW5eQW+Y9O0jhv3GCEvK+dg75CRmd0/MKb7vXuHBwa2&#10;bGzcuK6oiO7Z6ZCelq6tqRUXF4d9Ph1Wrw5Fjf36uvpN/QP0yVi2bttZVV0bHhah89v4lywBQQ01&#10;dUV5BQJNdU0zE7Ply/0Ki9a1dXRjFQUAAIBYxNLf2NwWExuPmrTsPVWQ/sLDo5qa23Z+frVq9+De&#10;1paW9cXF+Xl5mGGnj/cyb7fP70xhn0+W7MzMDcXFrS2tPb2bVBWV6xuaCNfvGxptbe+Ki0800NXH&#10;umBqqmkUrV1fWl5JUFVTjw4ZXfRgFQUAAECxyKTf3dvf3tmD7Ba4KgQbFVJ4iYCEiJiGukZGZg4x&#10;g9W+fSM7duyqrqrOzZnQaGhI3GmpqbGxsd4+y93dPXh0naQTFRVlazM2yQn2+QTJyc4uLCxsrK/f&#10;sXMXYXkEOpn5+Qds275rTVGxg72jCNuU66LCLFlJqaycPKx+AAAAeLOYpF9T15icnObs5CIlLkHs&#10;IYWuto7vcv+y8qrBPUNDw/u3bdvZ3tZRWlKClIpJliNI2aGhYS6OTnZ29uZmZt7LfGxt7YJXrcKK&#10;cQSdG6ytrCfbYT8/N7dkQ0nTxqZNmwZQW57SPdr5vk2bo6JjJUTFVNmeT7AEhbQ1tFANJKekNbd2&#10;YPUDAADwVRaH9FHTfvlyPzVlVdSWJ/aNwsjIOC+voKe3/7PuR/v6NpWVldGHTOABatonJiYuX+6r&#10;oqRsYW7h7+cfExODTgDoc/Tfbi6uWHmOoMLurm4+E+6wX7x2bWtL6/Yduwb3kIO4EezdN1JT2+Dh&#10;4aWpps5+mAgHB+fUtIzq2ga4Xw8AwJRZ0NLv6tm0vqTcxXVsfDE6qMErKyXtYO+ADDh2G2dodPfg&#10;3vb29qLCQsywHMlIT09MSEQNedSul5GQdHZ2TohPwMrExcVZWFhO8E59fFw8Om3w6LCfm5NTkF9Q&#10;V1OzZfPW4ZEvz2bRzu/avXfTps3JKemoCY8dpvASAUkxcQ019eDg0KaWdqxyAAAApsCCln5UVKyK&#10;ohKxMwSiQsJmpuaxsfEbm1r37B3etXtPd3dPTU3NRN6rQgZPSEjw8/Wzs7G1traxtrQKDQ1NSUnh&#10;aHbU3jfUN4iMnFAffKR7Y0OjoCD8dlBOdvaG9esbGhrR9Qd7ux4dQkpKmouzqwzblFUiQsJGhkb+&#10;/gE5uQXwAi0AADPIwpV+ekaWmDCL2BME0r2bm3tVde2WrTuGhvfv2j1YX9ewprAwdwJ37ZGUo6Ki&#10;LC2t1FVVnZxdwkLDkhITuTXM09PSQ0JW6+noIe0mJnKd1QQjMiJCS12D2mZ+Xl5Dff2WzduQ66ku&#10;9gSDe4YK1qyzsbZVlJNnf0IrLiLq4+NbvL60sakV+uEAADDjLETpd/f2F28oU1JQJHZDjCVioGfY&#10;+duoCYODe6srKynbcgO131NTUqIiI/38/A30DTRU1VesWMGtjw0qnJaWFhcbu9xnubaW1lJjk8iI&#10;SB63aziiq6MXFxdfXlaO2vX7hkYoyyP2DY2ic1VDY9OqVavlpGWI46JgCQopyMgZGxonp2bA/XoA&#10;AGaVhSj95tYOa0trYh8kxcTDwiM11NQ3b9lOCLSluQWzLUZ6WlpkZKSzo5O1pZWVpZWHu0dMdAwP&#10;g6NzQ0BAgIW5hbW1rauzS1RU9ARv5VOsKVxTU1MTG5cQER65l9YVB7Fj156KypqwsAgzU3N09iIO&#10;ikJCVMzW2jY0NLy0vKq9swerBwAAgBlnIUo/aFUINb2Jl+ey7Tt2u7i4rd9QRmi0ubkVcy5Fampq&#10;wMpALQ0tPR091MCPjY0luuJgxSiSk1NcXFxR09vR0SksNIzb/X1uZGdmlm7Y0N8/sHtwH2rLt7R2&#10;uLl7EvPoIga2bItPSNbW1JKWkGSfrQXtZGhYZE1tQ2t7F4xvDADAnLHgpN/U0k58O0JHUxt9ggRa&#10;ULjW19efmN5k27bteblfXrZCTfiE+ITgVcGuLm7qqmpmY3P+RWWkc3U30npKcvLq4BA3d3dlBUUn&#10;J+fkpGSsDG8K8vI2rN/Q0ty8c+dutD87d+3p7tm0cWNzfWOzra19WXnluuIN7m4e7KIXFxFVVVL2&#10;cPfML1wLI6ABADAvLDjpl1VUE9+OyM7JJ1rN/QNbnJ1dNn0eQmd4ZH9pyQbkbiTr4OBgS3MLGxtb&#10;G2vrlSsDk5KSeDTV0SLU9ndxcbG0sLS1sfX390/mWR4jNyenvKyspaV18+atqF0/NLy/rb0zKSnV&#10;xdl1bKZyQSElBUVpcUklhXHdjQhUlFQ83L1SUtKraxs6u/uwQwYAAJgzFpz0kROJb0f4+q0gpD+4&#10;Z8h3ud+GknLin8XrNzg5O8tKydjZ268OWY1a7rwfuiKzx8TEmpiYqSmr+vn5JyQkpKelTVz3hQUF&#10;zc3Nu3bv2Tc0MjxyYOfuPcUbymxs7KQlJLF5uDCEBQRNlpqmZWQ3NbdB0x4AgIXAQryn7+nlTeyA&#10;nJR076ax2zuINUXFTk4uqanpDvaORvoGPst9v9pOR2eC+Li4AP8V5mbmGmpqKwMDU1MmOkIOatev&#10;LSqqrandvHnL0OdJ0jf1b6msrAkJCVNVYhsdQUBQQUZOVkpaQlRMTJglJy2jo6W9MjC4pKwSOzQA&#10;AID5ZSFKv7S0giU41oFdVJiVmZVDSH9g8zYVReXlPr61dY3bd+5ubeH6OBeBdB8aGmZhZm5ra+fs&#10;6LR69WrUtMfKcAO5fmPjxt7eTbt2jT2S3b5zsKS0PHBlkLGhsThb9xvU2Lextg2PiCpauz4vf01a&#10;elZySlpB4dqmlnZ4PAsAwAJkIUq/raPbdKkpsQ/Ozi47Pg+PjNraQUEhSK/EOWDb9p3cxklesWKl&#10;kryCjrZuSMjq1Al3yMnOyqooKyOGPyNep9o0sDUqOlZDTV1U6Ms7YhQKsnLBIWH1DU0dXb3gdwAA&#10;FgsLUfpdPZvCwiKEP/d+UVZUau/oJkTf2tappaFJdNjfs3eoorycUnZaamp4WLiX1zLkejMT04iI&#10;CGoRbwoLCkpKStpaW3ftHju1oBNMa2tHTm6evZ0De7d6STFxbU1tFxfX7Jx8bJ8BAAAWBQtR+oji&#10;9aUKcvLEbqSkphPSR7g4u65dtx79B2qMt7W2IWsnJyX7ePvo6+g6OTn7+iyPj4/n0V+TIjcnB50z&#10;Oto7t27dTnTF6eruy8rOtbWxVVNRJb6Xjrqq2nIf34yM7Nr6jTA6AgAAi5cFKv32zh7qDo+BviEl&#10;/cI161YGBO7dNzbIQVtHl7unp6gwy8rKOjEhMTMjYyJ3cvLz8ps2Nu3ZM4ROG8RtnMrqOjs7B5aA&#10;kPASAeIb6ZiYmOYXFnV293X39sNtHAAAFjsLVPqI5JQ0YjcQFVW1hPR7+wacnVzS0zJ8fHytLa0C&#10;AwMTEvBRkdlB7fp1a9fV1tT2D2wm2vVjXXGqaoJDQrU0NKlvIRBeIqisqGS61CQsLKKmrhHbKwAA&#10;gEXNwpV+S1un7G9jkznYOxLSH9wz5OO93MLcsry8cvOWbVu3bsP8jlFUWFhfV9/fv3nn5644uwf3&#10;1dY1+i73MzIwkpaQJDZOx8LSKjw8an1JOcxLBQAAX7JwpY8IWBlE7Im8jGxLawfh/TVF6zy9vIk7&#10;M4gNxcWY6AmK160bGNg8PLIflURN+x07B+MTU1TYutgjiLlKAlau2tjchu0AAAAAn7GgpV9WUS0l&#10;PtYeFxUSTkpKQe5Glh/YvE1ZUam1vYuQfkd7Z3ZWFiH6woKCsrKyttb2nbvGRsVB7Xp0qsjMzHZx&#10;cZMUxScgFBcR1dHSdnf3zM0tgHY9AAAMYUFLH5ndysqG2BkHe0dqAMvAwFWBQauI/96zd6hpY1NV&#10;ZVV7e+fWbTv27htGH27euiM1LcPW2lZdVY19pARZKRlPr2XZOfnVtfUwOgIAAIxiQUsfERkZQ3TY&#10;l5GU6ujsIUTf2d2np627ZesO4p8E6DpgcM9QXUMTaryjVjxxCBQsAUExYZahvmFaehb2FQAAAMxh&#10;oUu/rLxK8bcO+xG/vY6L8PBYVlxcQrh+YMt2VGx1SKixkTFRko68rJyluUV4RGRJWSWMcAkAAMNZ&#10;6NJHmra1sSP2R15GdlXw6rz8NRub29asWRsQEFhRVRsUFKyvoyfLNrc4wkDPICoqZkPpWFcc6GIP&#10;AACAWOjSR+QXrmV/bUpYQFCM7R4OQowloiiv4O3tW15Zg20HAAAAWATS7+jqdXV1l+CkeDq62roe&#10;7p5pGVl1DU3YFgAAAACCRSB9REtbZ2ZmjoeHl7aWNrFvFJJi4ujznNyC2vqN0BUHAACAN4tD+nQa&#10;m1pz8grDI6J8ff2TU9LgjSoAAICJs/ikDwAAAEwZkD4AAACDAOkDAAAwCJA+AAAAgwDpAwAAMAiQ&#10;PgAAAIMA6QMAADAIkD4AAACDAOkDAAAwCJA+AAAAgwDpAwAAMAiQPgAAAIMA6QMAADAIkD4AAACD&#10;AOkDAAAwCJA+AAAAgwDpAwAAMAiQPgAAAIMA6QMAADAIkD4AAACDAOkDAAAwCJA+AAAAgwDpAwAA&#10;MAiQPgAAAIMA6QMAADAIkD4AAACDAOkDAAAwCJA+AAAAgwDpAwAAMAiQPgAAAIMA6QMAADAIkD4A&#10;AACDAOkDAAAwCJA+AAAAgwDpAwAAMAiQPgAAAIMA6QMAADAIkD4AAACDAOkDAAAwCJA+AAAAgwDp&#10;AwAAMAiQPgAAAIMA6QMAADAIkD4AAACDAOkDAAAwCJA+AAAAgwDpAwAAMAiQPgAAAIPgJX0tdU20&#10;GAAAAOAbSsoquUofAAAA4FdA+gAAAAzii/Rv3bqF/gEAAADwMS6OTqT0if+DQCAQCBMC0odAIBDG&#10;5N///v8D+E3obaEykQAAAAAASUVORK5CYIJQSwMEFAAGAAgAAAAhAErkCQfgAAAACQEAAA8AAABk&#10;cnMvZG93bnJldi54bWxMj0FrwkAQhe+F/odlCr3VTWq0Ns1GRNqeRKgWxNuYHZNgdjdk1yT++05P&#10;7Wl4vMeb72XL0TSip87XziqIJxEIsoXTtS0VfO8/nhYgfECrsXGWFNzIwzK/v8sw1W6wX9TvQim4&#10;xPoUFVQhtKmUvqjIoJ+4lix7Z9cZDCy7UuoOBy43jXyOork0WFv+UGFL64qKy+5qFHwOOKym8Xu/&#10;uZzXt+N+tj1sYlLq8WFcvYEINIa/MPziMzrkzHRyV6u9aFgvXjjJd56AYH86S3jKSUGSvCYg80z+&#10;X5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7uJhXBAAA&#10;Ag0AAA4AAAAAAAAAAAAAAAAAOgIAAGRycy9lMm9Eb2MueG1sUEsBAi0ACgAAAAAAAAAhANFn5vbV&#10;ogAA1aIAABQAAAAAAAAAAAAAAAAAvQYAAGRycy9tZWRpYS9pbWFnZTEucG5nUEsBAi0AFAAGAAgA&#10;AAAhAErkCQfgAAAACQEAAA8AAAAAAAAAAAAAAAAAxKkAAGRycy9kb3ducmV2LnhtbFBLAQItABQA&#10;BgAIAAAAIQCqJg6+vAAAACEBAAAZAAAAAAAAAAAAAAAAANGqAABkcnMvX3JlbHMvZTJvRG9jLnht&#10;bC5yZWxzUEsFBgAAAAAGAAYAfAEAAMSrAAAAAA==&#10;">
                      <v:group id="그룹 3994" o:spid="_x0000_s1367" style="position:absolute;left:106;width:21130;height:27495" coordorigin="106" coordsize="21130,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rhxwAAAN0AAAAPAAAAZHJzL2Rvd25yZXYueG1sRI9Pa8JA&#10;FMTvBb/D8oTedBNtRaOriNTSgwj+AfH2yD6TYPZtyK5J/PbdgtDjMDO/YRarzpSiodoVlhXEwwgE&#10;cWp1wZmC82k7mIJwHlljaZkUPMnBatl7W2CibcsHao4+EwHCLkEFufdVIqVLczLohrYiDt7N1gZ9&#10;kHUmdY1tgJtSjqJoIg0WHBZyrGiTU3o/PoyC7xbb9Tj+anb32+Z5PX3uL7uYlHrvd+s5CE+d/w+/&#10;2j9awXg2+4C/N+EJyOUvAAAA//8DAFBLAQItABQABgAIAAAAIQDb4fbL7gAAAIUBAAATAAAAAAAA&#10;AAAAAAAAAAAAAABbQ29udGVudF9UeXBlc10ueG1sUEsBAi0AFAAGAAgAAAAhAFr0LFu/AAAAFQEA&#10;AAsAAAAAAAAAAAAAAAAAHwEAAF9yZWxzLy5yZWxzUEsBAi0AFAAGAAgAAAAhACnlKuHHAAAA3QAA&#10;AA8AAAAAAAAAAAAAAAAABwIAAGRycy9kb3ducmV2LnhtbFBLBQYAAAAAAwADALcAAAD7AgAAAAA=&#10;">
                        <v:shape id="그림 3995" o:spid="_x0000_s1368" type="#_x0000_t75" style="position:absolute;left:106;width:2113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v+5xgAAAN0AAAAPAAAAZHJzL2Rvd25yZXYueG1sRI9Ba8JA&#10;FITvhf6H5RV6q5sqisasUgRFpT00Cl4f2ZdsNPs2ZLcm/ffdQqHHYWa+YbL1YBtxp87XjhW8jhIQ&#10;xIXTNVcKzqftyxyED8gaG8ek4Js8rFePDxmm2vX8Sfc8VCJC2KeowITQplL6wpBFP3ItcfRK11kM&#10;UXaV1B32EW4bOU6SmbRYc1ww2NLGUHHLv6yC3W16NO+X1k6uWruPUB4P1M+Uen4a3pYgAg3hP/zX&#10;3msFk8ViCr9v4hOQqx8AAAD//wMAUEsBAi0AFAAGAAgAAAAhANvh9svuAAAAhQEAABMAAAAAAAAA&#10;AAAAAAAAAAAAAFtDb250ZW50X1R5cGVzXS54bWxQSwECLQAUAAYACAAAACEAWvQsW78AAAAVAQAA&#10;CwAAAAAAAAAAAAAAAAAfAQAAX3JlbHMvLnJlbHNQSwECLQAUAAYACAAAACEA8Wb/ucYAAADdAAAA&#10;DwAAAAAAAAAAAAAAAAAHAgAAZHJzL2Rvd25yZXYueG1sUEsFBgAAAAADAAMAtwAAAPoCAAAAAA==&#10;">
                          <v:imagedata r:id="rId166" o:title=""/>
                        </v:shape>
                        <v:shape id="Text Box 3996" o:spid="_x0000_s1369"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OFyAAAAN0AAAAPAAAAZHJzL2Rvd25yZXYueG1sRI9BawIx&#10;FITvBf9DeEIvpWZbZamrUURaaHsRVy/eHpvnZtvNy5Jkdfvvm0LB4zAz3zDL9WBbcSEfGscKniYZ&#10;COLK6YZrBcfD2+MLiBCRNbaOScEPBVivRndLLLS78p4uZaxFgnAoUIGJsSukDJUhi2HiOuLknZ23&#10;GJP0tdQerwluW/mcZbm02HBaMNjR1lD1XfZWwW522pmH/vz6uZlN/cex3+ZfdanU/XjYLEBEGuIt&#10;/N9+1wqm83kOf2/SE5CrXwAAAP//AwBQSwECLQAUAAYACAAAACEA2+H2y+4AAACFAQAAEwAAAAAA&#10;AAAAAAAAAAAAAAAAW0NvbnRlbnRfVHlwZXNdLnhtbFBLAQItABQABgAIAAAAIQBa9CxbvwAAABUB&#10;AAALAAAAAAAAAAAAAAAAAB8BAABfcmVscy8ucmVsc1BLAQItABQABgAIAAAAIQAikjOFyAAAAN0A&#10;AAAPAAAAAAAAAAAAAAAAAAcCAABkcnMvZG93bnJldi54bWxQSwUGAAAAAAMAAwC3AAAA/AIAAAAA&#10;" stroked="f">
                          <v:textbox style="mso-fit-shape-to-text:t" inset="0,0,0,0">
                            <w:txbxContent>
                              <w:p w14:paraId="54D1E231"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D</w:t>
                                </w:r>
                              </w:p>
                            </w:txbxContent>
                          </v:textbox>
                        </v:shape>
                      </v:group>
                      <v:shape id="Text Box 3997" o:spid="_x0000_s1370" type="#_x0000_t202" style="position:absolute;left:11620;top:762;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wpwwAAAN0AAAAPAAAAZHJzL2Rvd25yZXYueG1sRI/BbsIw&#10;EETvlfoP1lbiVpyCgCbFIEBU4hroB2zjbZw2XofYJOnfYyQkjqOZeaNZrgdbi45aXzlW8DZOQBAX&#10;TldcKvg6fb6+g/ABWWPtmBT8k4f16vlpiZl2PefUHUMpIoR9hgpMCE0mpS8MWfRj1xBH78e1FkOU&#10;bSl1i32E21pOkmQuLVYcFww2tDNU/B0vVkFHuclnv9t9Ounl5hsPzOf5VKnRy7D5ABFoCI/wvX3Q&#10;CqZpuoDbm/gE5OoKAAD//wMAUEsBAi0AFAAGAAgAAAAhANvh9svuAAAAhQEAABMAAAAAAAAAAAAA&#10;AAAAAAAAAFtDb250ZW50X1R5cGVzXS54bWxQSwECLQAUAAYACAAAACEAWvQsW78AAAAVAQAACwAA&#10;AAAAAAAAAAAAAAAfAQAAX3JlbHMvLnJlbHNQSwECLQAUAAYACAAAACEAyZMsKcMAAADdAAAADwAA&#10;AAAAAAAAAAAAAAAHAgAAZHJzL2Rvd25yZXYueG1sUEsFBgAAAAADAAMAtwAAAPcCAAAAAA==&#10;" fillcolor="white [3212]" stroked="f" strokeweight=".5pt">
                        <v:textbox inset="0,0,0,0">
                          <w:txbxContent>
                            <w:p w14:paraId="1E14A558" w14:textId="77777777" w:rsidR="006D7011" w:rsidRDefault="006D7011" w:rsidP="0059538A">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pl-PL"/>
                                </w:rPr>
                                <w:t>15 – 30 minut</w:t>
                              </w:r>
                            </w:p>
                          </w:txbxContent>
                        </v:textbox>
                      </v:shape>
                      <w10:wrap type="square"/>
                    </v:group>
                  </w:pict>
                </mc:Fallback>
              </mc:AlternateContent>
            </w:r>
          </w:p>
          <w:p w14:paraId="07947B3A" w14:textId="77777777" w:rsidR="0059538A" w:rsidRPr="008F328C" w:rsidRDefault="0059538A" w:rsidP="008F328C">
            <w:pPr>
              <w:pStyle w:val="a3"/>
              <w:numPr>
                <w:ilvl w:val="0"/>
                <w:numId w:val="141"/>
              </w:numPr>
              <w:rPr>
                <w:b/>
                <w:lang w:val="pl-PL"/>
              </w:rPr>
            </w:pPr>
            <w:r w:rsidRPr="008F328C">
              <w:rPr>
                <w:rFonts w:eastAsia="Times New Roman"/>
                <w:b/>
                <w:bCs/>
                <w:lang w:val="pl-PL"/>
              </w:rPr>
              <w:t xml:space="preserve">Odczekać 15 do 30 minut </w:t>
            </w:r>
          </w:p>
          <w:p w14:paraId="66481558" w14:textId="77777777" w:rsidR="0059538A" w:rsidRPr="008F328C" w:rsidRDefault="0059538A" w:rsidP="00ED6A7B">
            <w:pPr>
              <w:pStyle w:val="a3"/>
              <w:numPr>
                <w:ilvl w:val="0"/>
                <w:numId w:val="0"/>
              </w:numPr>
              <w:ind w:left="471"/>
              <w:rPr>
                <w:b/>
                <w:lang w:val="pl-PL"/>
              </w:rPr>
            </w:pPr>
          </w:p>
          <w:p w14:paraId="7667B06D" w14:textId="77777777" w:rsidR="0059538A" w:rsidRPr="008F328C" w:rsidRDefault="0059538A" w:rsidP="00ED6A7B">
            <w:pPr>
              <w:pStyle w:val="a3"/>
              <w:ind w:left="4297" w:hanging="180"/>
              <w:rPr>
                <w:lang w:val="pl-PL"/>
              </w:rPr>
            </w:pPr>
            <w:r w:rsidRPr="008F328C">
              <w:rPr>
                <w:rFonts w:eastAsia="Times New Roman"/>
                <w:b/>
                <w:bCs/>
                <w:lang w:val="pl-PL"/>
              </w:rPr>
              <w:t>a</w:t>
            </w:r>
            <w:r w:rsidRPr="008F328C">
              <w:rPr>
                <w:rFonts w:eastAsia="Times New Roman"/>
                <w:lang w:val="pl-PL"/>
              </w:rPr>
              <w:t>. Pozostawić ampułko-strzykawkę w temperaturze pokojowej na 15 do 30 minut, aby się rozgrzała.</w:t>
            </w:r>
          </w:p>
          <w:p w14:paraId="02E82F2D" w14:textId="77777777" w:rsidR="0059538A" w:rsidRPr="008F328C" w:rsidRDefault="0059538A" w:rsidP="00ED6A7B">
            <w:pPr>
              <w:pStyle w:val="Default"/>
              <w:rPr>
                <w:rFonts w:ascii="Times New Roman" w:hAnsi="Times New Roman" w:cs="Times New Roman"/>
                <w:color w:val="211D1E"/>
                <w:sz w:val="20"/>
                <w:szCs w:val="20"/>
                <w:lang w:val="pl-PL"/>
              </w:rPr>
            </w:pPr>
          </w:p>
          <w:p w14:paraId="20668247" w14:textId="77777777" w:rsidR="0059538A" w:rsidRPr="008F328C" w:rsidRDefault="0059538A" w:rsidP="00ED6A7B">
            <w:pPr>
              <w:pStyle w:val="a3"/>
              <w:numPr>
                <w:ilvl w:val="0"/>
                <w:numId w:val="41"/>
              </w:numPr>
              <w:ind w:left="4297"/>
              <w:rPr>
                <w:rFonts w:eastAsia="Times New Roman"/>
                <w:lang w:val="pl-PL"/>
              </w:rPr>
            </w:pPr>
            <w:r w:rsidRPr="008F328C">
              <w:rPr>
                <w:rFonts w:eastAsia="Times New Roman"/>
                <w:b/>
                <w:bCs/>
                <w:lang w:val="pl-PL"/>
              </w:rPr>
              <w:t>Nie należy</w:t>
            </w:r>
            <w:r w:rsidRPr="008F328C">
              <w:rPr>
                <w:rFonts w:eastAsia="Times New Roman"/>
                <w:lang w:val="pl-PL"/>
              </w:rPr>
              <w:t xml:space="preserve"> podgrzewać ampułko-strzykawki za pomocą źródeł ciepła np. gorącej wody lub kuchenki mikrofalowej.</w:t>
            </w:r>
          </w:p>
        </w:tc>
      </w:tr>
    </w:tbl>
    <w:tbl>
      <w:tblPr>
        <w:tblStyle w:val="ac"/>
        <w:tblW w:w="9634" w:type="dxa"/>
        <w:tblLook w:val="04A0" w:firstRow="1" w:lastRow="0" w:firstColumn="1" w:lastColumn="0" w:noHBand="0" w:noVBand="1"/>
      </w:tblPr>
      <w:tblGrid>
        <w:gridCol w:w="9634"/>
      </w:tblGrid>
      <w:tr w:rsidR="0059538A" w:rsidRPr="00A5286D" w14:paraId="5A3F85AD" w14:textId="77777777" w:rsidTr="00ED6A7B">
        <w:trPr>
          <w:trHeight w:val="5933"/>
        </w:trPr>
        <w:tc>
          <w:tcPr>
            <w:tcW w:w="9634" w:type="dxa"/>
          </w:tcPr>
          <w:p w14:paraId="0975A444" w14:textId="77777777" w:rsidR="0059538A" w:rsidRPr="008F328C" w:rsidRDefault="0059538A" w:rsidP="00ED6A7B">
            <w:pPr>
              <w:ind w:left="224" w:right="1248"/>
              <w:rPr>
                <w:rFonts w:ascii="Times New Roman" w:eastAsia="Times New Roman" w:hAnsi="Times New Roman" w:cs="Times New Roman"/>
                <w:b/>
                <w:bCs/>
                <w:spacing w:val="-1"/>
                <w:lang w:val="pl-PL"/>
              </w:rPr>
            </w:pPr>
          </w:p>
          <w:p w14:paraId="012B7D21" w14:textId="77777777" w:rsidR="0059538A" w:rsidRPr="008F328C" w:rsidRDefault="0059538A" w:rsidP="00ED6A7B">
            <w:pPr>
              <w:ind w:right="1248"/>
              <w:rPr>
                <w:rFonts w:ascii="Times New Roman" w:hAnsi="Times New Roman" w:cs="Times New Roman"/>
                <w:lang w:val="pl-PL"/>
              </w:rPr>
            </w:pPr>
          </w:p>
          <w:p w14:paraId="7C6C05D8" w14:textId="6E816652" w:rsidR="0059538A" w:rsidRPr="008F328C" w:rsidRDefault="0059538A" w:rsidP="00ED6A7B">
            <w:pPr>
              <w:ind w:right="1248"/>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87" behindDoc="0" locked="0" layoutInCell="1" allowOverlap="1" wp14:anchorId="19B4E35E" wp14:editId="4B8339A8">
                      <wp:simplePos x="0" y="0"/>
                      <wp:positionH relativeFrom="column">
                        <wp:posOffset>40005</wp:posOffset>
                      </wp:positionH>
                      <wp:positionV relativeFrom="paragraph">
                        <wp:posOffset>47625</wp:posOffset>
                      </wp:positionV>
                      <wp:extent cx="1824355" cy="3219450"/>
                      <wp:effectExtent l="0" t="0" r="4445" b="0"/>
                      <wp:wrapSquare wrapText="bothSides"/>
                      <wp:docPr id="3998" name="그룹 3998"/>
                      <wp:cNvGraphicFramePr/>
                      <a:graphic xmlns:a="http://schemas.openxmlformats.org/drawingml/2006/main">
                        <a:graphicData uri="http://schemas.microsoft.com/office/word/2010/wordprocessingGroup">
                          <wpg:wgp>
                            <wpg:cNvGrpSpPr/>
                            <wpg:grpSpPr>
                              <a:xfrm>
                                <a:off x="0" y="0"/>
                                <a:ext cx="1824355" cy="3219450"/>
                                <a:chOff x="0" y="0"/>
                                <a:chExt cx="1824658" cy="3219450"/>
                              </a:xfrm>
                            </wpg:grpSpPr>
                            <wpg:grpSp>
                              <wpg:cNvPr id="3999" name="그룹 3999"/>
                              <wpg:cNvGrpSpPr/>
                              <wpg:grpSpPr>
                                <a:xfrm>
                                  <a:off x="0" y="0"/>
                                  <a:ext cx="1824658" cy="3219450"/>
                                  <a:chOff x="0" y="0"/>
                                  <a:chExt cx="1824658" cy="3219450"/>
                                </a:xfrm>
                              </wpg:grpSpPr>
                              <pic:pic xmlns:pic="http://schemas.openxmlformats.org/drawingml/2006/picture">
                                <pic:nvPicPr>
                                  <pic:cNvPr id="4000" name="그림 400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001" name="Text Box 4001"/>
                                <wps:cNvSpPr txBox="1"/>
                                <wps:spPr>
                                  <a:xfrm>
                                    <a:off x="1104900" y="3073400"/>
                                    <a:ext cx="719758" cy="146050"/>
                                  </a:xfrm>
                                  <a:prstGeom prst="rect">
                                    <a:avLst/>
                                  </a:prstGeom>
                                  <a:solidFill>
                                    <a:prstClr val="white"/>
                                  </a:solidFill>
                                  <a:ln>
                                    <a:noFill/>
                                  </a:ln>
                                </wps:spPr>
                                <wps:txbx>
                                  <w:txbxContent>
                                    <w:p w14:paraId="440CB644"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002" name="Text Box 4002"/>
                              <wps:cNvSpPr txBox="1"/>
                              <wps:spPr>
                                <a:xfrm>
                                  <a:off x="520614" y="2301240"/>
                                  <a:ext cx="1233377" cy="73762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1E278" w14:textId="77777777" w:rsidR="006D7011" w:rsidRDefault="006D7011" w:rsidP="0059538A">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55AA102D" w14:textId="77777777" w:rsidR="006D7011" w:rsidRPr="003C136D" w:rsidRDefault="006D7011" w:rsidP="0059538A">
                                    <w:pPr>
                                      <w:rPr>
                                        <w:rFonts w:asciiTheme="majorBidi" w:hAnsiTheme="majorBidi" w:cstheme="majorBidi"/>
                                        <w:b/>
                                        <w:bCs/>
                                        <w:sz w:val="10"/>
                                        <w:szCs w:val="10"/>
                                        <w:lang w:val="pl-PL"/>
                                      </w:rPr>
                                    </w:pPr>
                                  </w:p>
                                  <w:p w14:paraId="783B6E7A" w14:textId="77777777" w:rsidR="006D7011" w:rsidRDefault="006D7011" w:rsidP="0059538A">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9B4E35E" id="그룹 3998" o:spid="_x0000_s1371" style="position:absolute;margin-left:3.15pt;margin-top:3.75pt;width:143.65pt;height:253.5pt;z-index:251658387;mso-position-horizontal-relative:text;mso-position-vertical-relative:text"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9VpBcBAAACw0AAA4AAABkcnMvZTJvRG9jLnhtbOxX204jNxi+r9R3&#10;sOZ+yczkREaEFYWCVqK7aKHaa8fxZCxmbNd2SOjrVOortJX6RO1L9LM9k5BAtYBQr3rB8Pv0H7//&#10;s3P0ft3U5I4bK5ScJtlBmhAumZoLuZgmP96cvztMiHVUzmmtJJ8m99wm74+//eZopQueq0rVc24I&#10;lEhbrPQ0qZzTRa9nWcUbag+U5hKLpTINdRiaRW9u6Aram7qXp+mot1Jmro1i3FrMnsXF5DjoL0vO&#10;3KeytNyReprANxe+Jnxn/ts7PqLFwlBdCda6QV/hRUOFhNGNqjPqKFka8UhVI5hRVpXugKmmp8pS&#10;MB5iQDRZuhfNhVFLHWJZFKuF3qQJqd3L06vVso93F0Zf6yuDTKz0ArkIIx/LujSN/w8vyTqk7H6T&#10;Mr52hGEyO8wH/eEwIQxr/TybDIZtUlmFzD86x6rvH5wcDQGPvZO9znBvx53NILoJv68MEXMYnUwm&#10;CZG0Abr++u33v3/5g4SpNp63CPApN2nxxgFqwQr8tUWG9KjIX28GnHJLw5NWSfMsHQ01t0v9DnjU&#10;1ImZqIW7D70F5Hmn5N2VYFcmDrZ5H6QpGmqb91//JGEKefen/MZ4jPqwLhW7tUSq04rKBT+xGp0J&#10;9Pj+6+1uD8Mdm7Na6HNR1x6LXm6jQxfvdcETCYoddqbYsuHSRcowvEagStpKaJsQU/BmxoEk82Ge&#10;AY6gKwcsaSOki/xgneGOVd5+CT8+w3fvNy02C8HprZ8+IoueIrPVD2oOZXTpVOCH5/VUNsnHXU+l&#10;49EQg2iwO66NdRdcNcQL8BweBfX07tK2vnVbvNdS+fxBBS1quTOBIPxM8N973IoIwPcZONl26cbo&#10;UcJfRDvXFdUcXnq1OzBC0iOMbjyrfKfWHkgBGu1WT0/ErbHSQsbPR287stiwVJalg4lHpuejdNyH&#10;qljEjrHG2WTc0U42GKWRrzasA7S+LLdW1WLewdOfPa0NuaO4b1aVcLwt3M6uf6nBNiovufVsHQgu&#10;G4+9Ej83U/N7pMIo1BwhWs3OBSxeUuuuqMHFhUlcxu4TPmWtVtNEtVJCKmV+fmre70dhsZqQFS7C&#10;aWJ/WlJPIvUHiZJDpesE0wmzTpDL5lQhVtQQ3gQRB4yrO7E0qvmCO/rEW8ESlQy2ponrxFMXr2Pc&#10;8YyfnIRNkYsu5bUGg2UB2T6zN+sv1OgW8w4F/ag6UNFiD/pxr8e61SfovnMR+mKbRSDdDwDwILU3&#10;33+H+vwp1OddpdEgL0H9ME9H2SCAPu+nWT7YA32W9/t94ChctuP+eJQHS2+E+vBa4xvczxaR15H6&#10;h71RSwJAjvpouKcoiBY8vNdaAvO1iS0eJHdf80hfn3mJtgjvkVBd/1Lc2qaMgec7+7XEbr8r0vbz&#10;D7b7/dHo1Uusbk4Ey0q6zeFGSGVC9Hspm992Lpdxf4tOG+P2KXjAB4cdSv7ng1fwgVSeD8qv8gFe&#10;3KjCzpP+4ThUaPsb5vgfAAAA//8DAFBLAwQUAAYACAAAACEA46fJPOrrAAC4nwcAFAAAAGRycy9t&#10;ZWRpYS9pbWFnZTEuZW1m7N1nuC5FlS/w9oZnPt773FHmfpkrQUzDgUEMKEgYxDQgIFkQCUdAQVQM&#10;oChBlKAExZxzQDCAAUFQVJQkBlAUEI6MCophBFFnJHjfXx3+PUVTO5wj7MDp/Ty1q2rVSrVq1eqq&#10;6n67H9B13YGTlL//9YCuu2SS8vfn/9N1a63edatvufWTu+4B3Zfe/3fdf580VigF9ci/67oN/0fX&#10;7TJp+HqI78rP3/R/dt/743/rtpvUN5zQ528oK/D/PeFx6SRtOwE8fJIOnaTz37ecbvXu213ataX8&#10;gG71Se2/8Erlrn9//etfuzGNNhh9YPSB0QdGHxh9YPSB0QdGHxh9YPSBxeQDqz94rW5Mow1GHxh9&#10;YDY+MIxtaIawsT5eA0cfGH1g6AOtWNGCDenG+uhLow+MPtCKFS3Y6Cujr4w+MPrA0AdasaIFG9KN&#10;9dGXRh8YfaAVK1qw0VdGXxl9YPSBoQ+0YkULNqQb66MvjT4w+kArVrRgo6+MvjL6wOgDQx9oxYoW&#10;bEg31kdfGn1g9IFWrGjBRl8ZfWX0gdEHhj7QihUt2JBurI++NPrA6AOtWNGCjb4y+sroA6MPDH2g&#10;FStasCHdWB99afSB0QdasaIFG31l9JXRB0YfGPpAK1a0YEO6sT760ugDow+0YkULNvrK6CuL1Qfu&#10;vPPOu/2eXD2w22+//R5td9xxx91gi7Xfc6F3K1a0YHOhyyhjjFH3hQ8kXiRW1PEhbXLw1O8LPe6P&#10;PFuxogW7P/Z97NOqEa/EjcSMxIc65wd1Pbijf8zsH61Y0YKNtpzZlqONFqaNxI+sPc7/ynndSw9+&#10;cfekf9miW2P1h3Rrrbl299C1H9Fts/VW3VGHv7r7t+t/2u9txvGceTxbsaIFG205sy2nspFrW9py&#10;nUs9a+bUg1tfA2uaqcqhH+bwM3e0tfgPaYb1yExet4ffsK2G1/jD/qYt+MP6EJ72YZ+GeKnLUz7j&#10;M5/q1n7Iw7uHrPXQEjfED0k9+QaPenR3/bLrynihG+obXvSoy9Hrtttua8LTnnxIW9eHYz8VTeDz&#10;mbdiRQs2nzoudtn/+Z//UXyq9hHl+InyX/7ynz3ObX/5Sx9v9D24cgkMrRR/DVz9P/7jzwUnfNJm&#10;zkVm8tnYFk949Zwd0kVGdKtzZTpFr7otvMFqePSTS/gHBk8dbd1H7exIT/DQhvd+z11a4oRY8dx9&#10;9u5teeutt3bP22/fPo6ccPxxnTELXfod+fLwh0OPtKmnXNskvNKWsQgv7ZETX4jfhCY8WnzTNtd5&#10;K1a0YHOt1/1FnrGOX2TcA+MX8Q0+CK4ePDaIL9VtKWuvyzVteAdW1+O7tZyp7A2nxgu/Gg6GXh59&#10;Uw8embXc8EkMUA8s8kJb84otA5PXCY/g1HzI+cKZn+0u+tY3u2uuvqq3W+T++qZfdQ9/2CPLuuTZ&#10;uz2r1xXv8AlurWfkwUm78jCm1DpqSx2Nck0bWC235h/ahZC3YkULthB0Xaw68Ief/+zfuo988P3d&#10;2978pu4db31zd8Xl3y9+88MrLu/e/pZTCux9735ngf3pT38qdXjvfNtbuit/+IO7+fA3zv9qadf2&#10;gfe+u/c99iHLHP7edy7reVx26SVlPpAVnpdcdGHvw7OxqznpmnvhNy/o+b7r7W/tzvr8md2NN9xQ&#10;5OITn6/nz1fP/XLpB33JP3Oyj/jtb35d5H/4A+/r+dEZ/a9+eWOxybvf8bbSdu1PrilwfQv/6Kz+&#10;g4kt6YK39JVzz+lu/v3vi041Pp3Ub/jFz7uPf+RDBff973lXhz/eGz5uw7IGsYepY1D0Nn7o64SO&#10;Ll/76nmFHz2+8LkzentEzzrH21i8551vL3ah87lnf6m79Q9/6PsXvl/83Jl9v9iR7LTVPOer3IoV&#10;Ldh86bfY5Rrrz3320+XaZp+d/bfyvkv3KWd5zvCkV7z8ZcVvf/e73xY/zj7dvj3+bA6f+PrjSzua&#10;xz32cf/VNpkf5s5WT3964Re+8hc8/3mduYqnxGdna1t9+OTHP9ptvNHGhS/6nBdExvHHvLa75eab&#10;7za3zAfXcjj6LQX/UetvUOYPPvwNz6uv+nGhN7fUweHrUz1nldnjFz//WbEhXHjRC89NNn5id8HX&#10;zu/pYj/zcZ1HLun1IINeJxx/bPfYRz+2wNGzTWRG72dstdXd4OwCR1x6+lOf2ssXh/785+V7yKGN&#10;f3njjd0+e+1Z7Ofclqzozr5fP/8rfdzD+0UHvaDHOfrIwxdU7NC3VqxowYZ2GOt3XzdPZQ9zaMk6&#10;6xbf4t/bbbNNWYO8+pWv6H2VD1k7uybi8/vf/3vxGXBjIf6EP5+yP0+b+KGNL//kmqu7dZes1/vb&#10;1v/6ryVOHHboIT0s/ip+4BW+yQOT4wl+7GuPLrpmHtXztIY959m7F93D4y1vOrmnI1d6yYtf1L31&#10;lDd2T9lyy94m4OZ76Kwn9Btcfv555xY9tEcvZwO77rxT4W/+HTiJj/p0yMte2j3i4f9U4OwuJsU+&#10;P77yh8XO+NL7tUcdWWgOOvCAgg8u4Rdd5NHjX5/2tN5etS7iFJrYQlnMDw/ylcX+XXbasfRbv7bZ&#10;euvupDcc373+2GP6vROdremyVjr4RS/s5b/uNUf18jNe853rx1CHFmyIM9ZnFz/sHfiTtMfuuxU/&#10;il9lPaCNj579xc+X6+rKxA88rV/4sPGzBqnX8Cef8IbSljky3foj11VjfNonPtbrL8ZZ7//m1zeV&#10;ueDc8aMf+kCJj2SKKzvtsH337//+uxJ7Dnje/r3M4153dCclJunjU5/85MIb32duu20/32aKH/pq&#10;XiWOiY9gSfZ0Yqc1l+u5tYf0ykNeXuzMBqd+7CNFFzT6KUbil7EIXD5V/MBTf142uR+Mjg3Ec2Ng&#10;bRl95PC+9IXPFRnWHWjIFSfwsXc1Zs5x7ZdyjvTiu9YfeI/xY3Zz7v4Um7572WXF//gMX9A3/sRv&#10;fvZv1xdf47f8w3UMfGXiB76bbbJp4YeXa3/xz8k1j386MwTPXOCjM9kZnf0HOvPDvik85YkFp5x8&#10;UnmGAp65Iw5qN38j8/RTP95J4Jl3r3rFob2+1i7son26+KHdHiDzVX8u/OY3Ck+20y6lTEfywDbf&#10;bLM+Rjhjsh4IvrUJXuEbXeSx2XD9kf6vt+76ff+NcfYl4nd0wUf8xB8/57jawMOn4E50Uo/8cf2x&#10;6sWM+KTcuT7/4jfO5exRnKXyD+eEfEkSQ/6W9ccfbrmlyCCH/372U6cV/8zcMVfsESJP/IiP1vrG&#10;n/nwVT+6svCim7jw02XX9fMtfOGBR67rp37gc/IJry/y6CO2Sc4f0EjOTLJe2n677fp5NF38wPe7&#10;l3270GUuXnftT/qYFN76RMf08fq7dNT/nGPAhScXb+wdMhahk4OJg8P4gfab3/h6aafLs3bZpfv0&#10;aaf242AfEn3kBx3w/D4WX3vN1UW3ul2ZvMCUx/XHqh0/+NgnPvrh4lNZZ8jt/w8/7JXF9/inNXzO&#10;OZyf8sck9yvwia9bB2jj0zn/uP6ny3rfB/ecJT8MDV+0n0BH/nT7F7iSMxq49LMOCVxez0119x9u&#10;+tUv76anfc4Oz3xmP7/IFi/wFGfs58D03dodH/rW8YNsfdGW+aWOTtLXlJNHZ7T2MWi/dcE3evvo&#10;i3gKnjioTAe0+KjTRY5PeNX42u0Z4Wu/+MJvleuF/oiZ+hgZdN/9Wc/q+aOBF11r3dkoY16fnzqv&#10;IXMhJfYf6tOCDXHG+uzGMX5ofpuzzvkyp/hc/Ef5jE+fXsbC+UH8WD68b5jzU37mrN9YWNPwWX5o&#10;/MxnsrOOh7Pj9tv3c8E949YYopH4u/sR9MLTXiPxqEVXw9LnyP/8GZ/p3njiG0oyp+r7H5lH5nl4&#10;DOOHa7o28iWxIPZhAzzk0TU5eNY1eIbGuSt+dV+Vt9ziSb196j6EX9YfabO2ZHN8PZsW+xzy0pf0&#10;uly/7LrenvvstVeBww9PZbobM2WJ3s5K6Ch+aAPbe8/n9PEucSx5bDfXeStWtGBzrdf9RV58Kr5q&#10;PoNZY7jGxDfkWX/k/IMvgZ9y8on93ELrrC/+Z/2Bt+upeQmfTzvnhBv5nnlwvUMHZ6r1R+YGOnwi&#10;x1rJmKR9uvGBE9nyFs2VP7iiPAOqj2S4/xm8Yfxwf8I80S65bxu9zCv4kQfPuUParQ/QePZ1/fUe&#10;VeZhnu8AzzmlZ1jYBT9JW/qLlzY6Zr7K2Tjz3b4MDfi553ypt504Hbjf14S/538S29G4TxdecJxX&#10;6VN9Tqz9t7/9Ta+b9ug43Xjcl23sMuTfgg1xxvrs1x/O1p+//35lfSw2ZNz5CJ9gbz5qL82u2b+A&#10;PfIR65R9N//Shnbp3nv1NNYyYHzUfcjwsxavacSLyOGfU52f1vPmCRs+off3FVl/0BMfz2W9/CUH&#10;l3vWrr2S5yLS/9wPEdemOz+1xmKrxF78X3PE4f18e9NJJ/Q20OZZFXZgv6zp3O/1uzlw/Xf/BW50&#10;dX8KPHS1HRI/cm5CD+3bPuMZxaZieJ41BxeT8qzMU5/85P65ffuu8HfmnFiEJntcOvCVyHf+gSZr&#10;FGdG2XvRPbZMX+Y6b8WKFmyu9bo/yTvy1a/q5+Fuu+7aXb9s+Zp2/32fW+DszT++/93vFH9w/cze&#10;WJt1gH2Pa6j7qfFn533gbMWPrF/gS3wOf3B7GX6ZNb626c5PY3vPaqDDDy8+Hb8OTis3L8wheyq0&#10;8X1lz35ov/Tii4qOYGSQFV71+gOtdn2WW08Ez/5KX9jKs5n6+t53vaPggXsORLyKzmef9YWiT/r0&#10;nW9fWuaiGFPriTY0crKl7F/oL57RTbLHqPGVD5vs98JTrAKjn1gY+e6RGdNvX3JxwYVvDeksHK5+&#10;ih/g4SWnHx6ebaljauwylzl9hvJasCHOWJ/d+oOd3MfInj9jb/zrueE6zS8l64+0wXvzG0/qfSa+&#10;HHoxg29Kf/zjH8vzScYv7ZG3xeabF9/Vhvd0+5f4eq6JZLr3STd+LSkHT9mzLOajcx7t0SlrjFpv&#10;ZXrJ6ansme/Q1M+fwjniVYf1eGKG507Y1Z5B7Kj3WeErd68LT7hyscQZQmzDFmjVxWJnMMpSdJGr&#10;00N71h55dgfceqeWo2xc6CBt+sRN+mfT6SyugWcs8JDI+diHP1h4xcYHv/Cggqvd73fsvZT12/Pv&#10;kTtf81EfhrJbsCHOWJ99/OALV/34R+Xa+bSnPKX3B/5irXrel8/ux4A/DH//Ym/uOSj3DfiOOWRO&#10;iUvGIfOab7t2mTeeXzKOfNW10FrA+pvf4jFd/MCTznLPddFTzPnUJz/Ry8r409f92sQ7MvUHXKKT&#10;/Zt1kmStD4cOrueeidKPxCM0w9+/OE92/kIGGr8Hgi95vsYci3z7PesBe0G86limzj7OcsVTOugb&#10;fDzdb2WX4d4uv0/K3CZXfPBbJr/RsSfFux4LcvBCi5/3isSmdPb8WHQWw5xzXPD1r/V8wk9cDR/r&#10;Ur8/yrtL7LmCl/GY67wVK1qwudbr/iQvPixPSv/SljrfDIxvJIEFJ/vfzCHwuj008a3kzv/MGTFk&#10;OEfCG09lNOa+eyfmGBp+7ponnsGx3rGfck3kM3CcMdi70Cc61foMy5E1FTx6acdPXtOkHLwaR1/C&#10;N+uG8AldXQcLfQ1PWQ4nvIIfXnVb+p4xCo/Uk4MnoU8KfnJwdpVHx5RDMx95K1a0YPOh2/1FJl/R&#10;l+QZ/9pvwAJPWY6ursef6rbgDPmBg0Wu9bf4IbmmaYNTp/DA3zzR5jmwxBDXzKxhwKTwdB0XU9Cg&#10;D69hXrdHN3n6mXZ55mp41DihTVtdD61ce+op17ly5CeHH35sJVl/BBb6Wh806Xfw5BL80CSHL6mH&#10;T93ftNW04RX8yAmvuc5bsaIFm2u9Rnl3n9f3hj2y/jDfp1p/tOTwVc9gWDeLF/yjjhtiit+vugcR&#10;/27xWWywzNvsM3L/JfDF1p/7Qt9WrGjB7gvZI897P0ZMZ1O/98x5oevpdLhpq69vyh9833vKvj33&#10;h9zXze/uzasaPzwWc65P4oeY6574/Sk+3hvj0ooVLdi9IWvkMbfxomVvZycrOgfgZ12edTPe9XU4&#10;5ay/W7IXEyxnDfoVvRMbY4vAV+W8FStasFXZRve3vsf/67kxVR8TF7QHP3niipiRcnhPxW+xwPUn&#10;/dQneqdv8sSSxdKf+0rPVqxowYbyY9vAXddSno88+mSs50OHhS6TjZLouiK2ghv88IjN8arL09kh&#10;tHilvCL00/G+t9voFz3De7b9DP79PW/FihasZYf4VPyqhTNXMDq4Ds6VvFHOyu3FEjPGebhy9lto&#10;fteKFS3YQtO71qf2yXFduTD90rhIuZ4bs4Vw3an9aCyvuO+0YkUL1rJtxl+e86YW3lzA4o/yMYas&#10;uB/MxRhFhr1ufCfjlrYxX9hjNxyfVqxowYZ0xh3M84h+C+m3yX4nNp+JHp7rXnbdteM+ZjI2wzGb&#10;r3piBfn8xu/v/WbEMyh+W+a9z+DxqfnSc5S74j7TihUt2NC2d94xeafCbXd0+z93n26NNSbPN1fP&#10;IeZ5xLnKH1yeZ/JbpYdN7tOv1V160UULZu4M7aZuPkmZM/Lc96znWk0bmsBq2pSDY/0FlhyNevK6&#10;HH7T5eGbPPThB66c/Yl6ysENrdz3azzDmudX/WbFO01aOoQ+OZzIi/wWXXBquXhIYOFXl8Ovbku7&#10;fCgn/OocTmiU2aHOw7vGgx+ayIn9Uoe/EFMrVrRgLd1vu+328t6ljSe/51r6T0u65y5ZfX7Sug+e&#10;yF2j231Tv4laq7togceP2nfie/Gflp0DC27yqfjUvgc3vHO+vKI+GXnowiuyw6tuU6ZDLTt9kHuv&#10;YWJHnmd1rfE+rxpPueahDFbrMMRPfahP6Gra8A6NHEyq91iJATVeyuEXXnJtgYc29cJ7cs4fPLmk&#10;PXThDR76wBZa3ooVLdhQ79v1eeIjS/fZp9vo0Y/p9l13EjvWWXNe0n5L1u6WLlmre/am/9KtOVkL&#10;XTx5t8RQ34VUj+/EZ1KnY+b4UN/4WGj4VcrBDR95ynCk1OWBhW6mPHLqnPz4duRFBn6RkbYhvnbv&#10;6Uoc8Yyn94dOpQt8PCIjfFv4aUseves6XtGxxQMMPpzQTYeX/tV6hn/NI7wCq/OUyVGu61PJnm94&#10;K1a0YEM97yg+eke37+S9j4/75w26fZc8tKwBrAPmOi39pzW7/Sbxa/fNFkf88Ht179bI77KcAfhO&#10;jPcP86+hrdX5kvb8xtzvxn0PIb/hj1+GHm/nC95TAYYen/weXLtziJasGhZa9NHX+wGik3bfnUhb&#10;vpUXOu/HiS70UfaeJO2+YWkfk5TvRA3lX/7975VzNrT643l58xUePjV+YLVO7OR9Ra3fBcP3LsXo&#10;Vr4jeevy94uIZ4HHzrUssr3j7Zyzvlh+x29M6Oe7HIl10Y/9/D4//H40+V6ENgmud5Pon+9f+s2/&#10;b3mmL7XMhVZuxYoWrKX3nXfeUfYvG06+RTjXMaOWt691z2Tv9OzJ/oXufKWl7xCWORVfHLanXvtA&#10;YCuaW1fwU7/Bcq2156erdXvW8L4d5x08kRcZ6t7f4T005ho6v2PJvPMe1dAkD2+/2Qgfeb4HQC5Z&#10;ddtM5Zxn5T1c8Mnz27n0wftMaj7e3ZG26OR3rHC8NwMsyTvEQouv8fHupLTrMx3023fmxCZ46XPW&#10;bt7RDC+/eyNf8n2FvGcwY+93gelX9PRuMXqYz2kTF8HQRZ53emyz9Va9fvTCQ+49QfDjW+jy3mv9&#10;8f4Q7eEVW0RebARnISd9GerXgg1x1Bdz/IgfyKXl/Vnui/FJedqD07LDTDC03hnj3Tnxj+Txt9R9&#10;F9b3TWrZrtPetRmc5Ggl35fxfqHobR6Bw5sufnhvHt0iK/R1HrvAw5Nv3Ffxw/qDbHPOe4Lz7r70&#10;RR4dzFFxwjlF9PUOIO8o0EbP2k7q4OIOfP2xTvDesZq/mOP9Rfpdxw8xml6x1/XLruu8C6qWgb86&#10;fq4F9mfGgjy590Brp8sYPxZ3/OAffCGpFQPil5lDLZyZYHi4tvjtu+sn3+Ff3hfs3jcf9V5hvpfk&#10;O0ve0cdf0bsvHT895ujXlDWzM0j+iAY/3x5wPaaPPsWXp4sf9kzRP/Mi9eTkK8tzPb8v4wdZ+u15&#10;APL0Y6PHb9Tvecw7/U08yLctxJG8Xw2d98zecMMvit5wYie0+b6s/QQ+bKvdN+i8fzF9HsYPulm/&#10;kGUtgxc6ayTvG0Nn7evdZnSwxrSWAZfG9cfd11KLef1hPBM7co3InEkOrgxvKpzgTpWjzTuP+anf&#10;vXuHcOTL0Xrnp/1J5qjvf2hz5uEaCZ7fj2eua/ccBZ91lkHH6MqvyZspfoSXOSu1+hG+5gue92X8&#10;0CdnCt4XS5b57dqf+yH0dV5k72WdFv2tv9gIjeQZoPRH7pss9PYORe9bROcsCK5+SfneZGxQxw9x&#10;C43ke5mh843OyMlYfuXccwo/+vg2L35wxvhx/4kfxvSI6r3o/Iev1gnMPATjJ/GrFc3zfk587EP4&#10;IH/ib/FJ+fHHvK73y7wb11lldPIe08S06BCfDR98lWcTP8zB4OOTb91GXnLvb8czc+ae8eO40kam&#10;PQXc6GdOZn7K8dAnONnzR06+M+e8NLaX+z5leMZu+IPFhmIy+eastV7wtEviDxrl5GJCHXPoow2t&#10;fBg/0ma9Ef28uz06yNE6C807He1Zo6dzIv2XxET8ktgpY4a375KnbSHnxm6oXws2xFFfzOsP+tff&#10;jzSm8ePkYPxL3bxo2WA2MH5lr8DXzFn+xM/iV9o9g+n7cHyHXOd64EcfecTd/Ep7cFKmo7L5gEbC&#10;Q5pu/ZH4kT5Yk6fvyfHIfZHwbMWP+L7vPISfPnqXfOiS5z3EU8UP12+46V+dJ0bos6R/7JjvwaDz&#10;ncjEgNrG0Yt9lNlLP9HIEz/SXsePnJ9q84w12ehyVg8eWXizEV2l3OfK+kN/8n1iuHR1zoxfUmwU&#10;nRdqzm5D3VqwIY76Yo8fvu9qLHOun7FLbuzZAo74Eb9q2WI6GLp63ZAyv3FOmO/Qk0seue7V4Fmf&#10;fdCTLtEruOjAap+Mf88UP8jI/iTvd0//k4sfdI3cYfxwDkMXMt2PSP/Mp6w/tCe5x0luK36gsRep&#10;z4qU8db32Ci86GJt4duwge284w79WNGb/ZPwz1itSPyAi87aor7u2MtEBt6S/rM7Xel8y803F9o3&#10;HLfcTuyYNRi90MChP3x53R59F2JO16FeLdgQR32xx4/lfVg+fq3+Gdf4nbyFMxtY1s5w+ZprFl/a&#10;6zl7lDkZn5GbJ85T41fOTsAl33J1TZQ8JyBfuvfyb6pqzzcLyFHnv9PFD2ui9Cv9bPUndsCTbwzj&#10;R+7fmhfW7cHH07liPeeVc2/yHvHjrvsvzoLISryyr0u/PT+x5x7PLm3LbbVn6YP9C96SezB0SEp8&#10;rPXSzxWNH+jR+W4COeRblwxt6DmTx2zwmGIr92HQwGEn9tM337mqbS1+RH84zngir8ZbaOVWrGjB&#10;Wnov9vhhLqdf8YHU5WA1vC7XeLMp8wU+7nss8T25OSIp8yvfkXK/NvKt//miNutyOtTzwP1Ifuxc&#10;1rmjNvMFPp7TxQ/7l7qPU/lr5GU+D+PHia8/vpdHbp6fwPv6ZdeVOUMXia5iorZW/NBv/Uif8ct9&#10;XXpIzoH4KH3yHUj3Umo7ujcbG6LxrVr7Ivd4M14rGj9ie/E//fHNUHA8YyfPoNGbPr6XB67d/iXj&#10;cuhk3Op1i2dJtEn6FhtF14Wat2JFC9bSf7HHj3zXLGMan6hza2d+4DofP2nZYjoY//ENBHzxkiLT&#10;msK9SuvVaydnIPjET1Our++eceR3nic75uijel75vjUa8iIj8cP9HNfw7bbZpuhBvr2R67lrKJr4&#10;ed0XuiTOmvv6gCdY/D/68Rvt9kH0cz/56CMPL31Nv+V+P0eGa646OnniBJnWZ3SUnDk7QwV3XaYH&#10;GnnOVl3zfesKHI157Ts11n76CJZxdU4rdviGE1janIta15Ej1XS+gxPbspM1EDoJnfvtaDyz6l46&#10;PdxD8pwpOm2JH6GzrhLn3BPmA7ERneyLIk++UJN+DnVrwYY46os+fkzOwYxZ/Ee/6xS48Rw+V9my&#10;x1Qwa/h6D2/+OaswxzI3+Vc9h1OXo99j9916f808oCsdxQS/PcucpkfmhbUCHp7Fit+mTd+Vne1E&#10;j2Efoof2yLU/CB6d6/WH+CZ+xK7meOSgdz6CBr+cGVo7afP8aeTps/iY+7h4pL8Zo5wR4CdOeC4e&#10;f7zIHfbXGDj7hK/PiUPwa1x9o4d4i0a78Yre2m74xc/L8yba0r+8kx4vdHVcRpM4q91aVD/Qh0d0&#10;PuiA55c1ZGwRWy/EXB+GerVgQxz1xRw/jM2Xv3RW/3uE7K/r3PUn9eH9tpY9poJdcfn3i3/GX11b&#10;+CIdMuetifkVX+KHrt3agpffR3hGyvjAeeELDpys308s87D2NTR48WvffKFXfjdjfvFt7dYG+qdv&#10;kTPsA74SeP0dR/XQ5Lcm2n372p7Ld+LzvO0uO+1Y5os5U//G1nc6Y2O5e1D4xibKnvHw7AZ9JbHS&#10;9f76ZdcVvWr90KGxtthnrz17Gs9ziRc5d4Gnz77ZzY6xFb70wEPyrciMv2fLwCJP3605xMuddti+&#10;8DAuvo/tm7/2SXDhoZM7F2YjNOKPtYezZ98jpcOuO+/cWSfCpWNNH50WWt6KFS1YS+/FHj+Mk1Sf&#10;b9b9NIbawfJsZ90+27Lnoc1lPsK29uI1rfnm2THt/HnXnXfq5TrLyLyo3/EWvfhYzUtZm1hFprUC&#10;HoH7zmqul9batY+2eNWw4MZe0Yu86BNZkSdHVyewmlY9dDUv8KSMhXa86JByzQ9ecOEpy+HYJ9Q2&#10;tD4Qr42J3HooeobPUL56raty6vLYQT7UAy14rUN0C4/U07fUo8dCy1uxogVr6f2XiS32m/z+dsP1&#10;Hz35/dqak9/gzldaq3vu5Pe3z95k8+IHF03mRUvfFmwuxocMe/jED9d/Zy+ubc7/rCmyJjC37Qfo&#10;im4q/Wp48OKvaM0HSfzIHOKTro3RI9dj+PYLNc/aVvHl5NGtxokOdRv8GiflyNEenJp3zWO68pBf&#10;jRsZwWnl1ilslHhax4/gx6at/tUypiqHT00fmBw8Nkg9vJLX+Aut3IoVLdhQ7zvv1Pc7Ju//2Lvb&#10;8FGP7pau53f78/P+IL+/XbpkjW6Pyfs/1ijvD7qw6bfDPsxFPf7h99jrr/eoMnczf3Mvhv+yOV92&#10;79ZcXhndIkuOJzmJH/jxU8+7W5tk3mTumEstfwULHD90OZNNXFoZXdHU9yzp4VxzZXmtKB1b2D+d&#10;9+Wzy9kQm3hWJXFMn8V3fZa+cOZn50y3Fe3LfOK3YkULNtTxzjsmz9LcfltZfzx+Ej+sPZaus9a8&#10;pP3XmdwfmcQP7w+i+yWTs4ShvvNVz9yTew6RT3oW3u9szUW+aW3iuU337LI3WBl9yYi8xIfca801&#10;Tu4c4ilbbllkmzfOFJxFhnYoO3Mqc0lMApPEkCH+bOvu3yZ+0SPPuc6W/m/BS5+iv/jujCk2lBur&#10;rAvH+PFfe8na7q1Y0YLVNMq3T95/esfty/cvj9/A+wsfMYkha8xL2mcid7911+h222Szbu21H9Zd&#10;NDn3Guo7X3V+WM+1lDNX46/2v/HlldE18wG/rAvwDP/k8PCv64FNJTe48tBGxlQ0s4HHFnBn0mE2&#10;/GaLk/5EZl1Puc7nWr/Z9mMh4LViRQs21JX/eAfZ0qVLy/uT1/jHfyzXfrRznR78/yYy15js9yey&#10;11rzoZPnOxfO/oXd6rgQnwXno3Ue3BoHbLapllPGZxIrIgPP+txOvcYXa2Za+wznVE0/Wx2HeDk3&#10;vDd4DXlPV49dEmPZAyx1tMEZlqfju6q1tWJFC9ayC5s7P7WuzTrUunmuU/bzWbNP9x7NVj9G2Oxj&#10;1Gir0Va1D7RiRQtW06TsmuHepH399cuuK/ez3dOe6+Q5LM//Ru7fcq81fRvzcZ6MPjCzD7RiRQs2&#10;lS2t8YZr4alw7yt41p7iWb3mvK/kjXxn9qvRRquGjVqxogVr+UNix0KYswtJl5atRtiqMZ9WtXFu&#10;xYoWbFWzy9jfcb6PPjCzD7RiRQs22nJmW442Gm20qvlAK1a0YKuaXcb+jrFg9IGZfaAVK1qw0ZYz&#10;23K00WijVc0HWrGiBVvV7DL2d4wFow/M7AOtWNGCjbac2ZajjUYbrWo+0IoVLdiqZpexv2MsGH1g&#10;Zh9oxYoWbLTlzLYcbTTaaFXzgVasaMFWNbuM/R1jwegDM/tAK1a0YKMtZ7blaKPRRquaD7RiRQu2&#10;qtll7O8YC0YfmNkHWrGiBRttObMtRxuNNlrVfKAVK1qwVc0uY3/HWDD6wMw+0IoVLdhoy5ltuarY&#10;yPsS9DW/ec77E/L+srl+l9iqYveF2M9WrGjBFqLuo05zH9PyrgYxInGjjifjmMz9mMynzVuxogWb&#10;Tx1H2QvLJ8WLvLfU2NRxRDnxZBy3hTVu98V4tGJFC3ZfyB55Lk7/8t0F35X0LRnfe0y67NJLZv2u&#10;53HsF+fYD8etFStasCFd6uecc2532idP60499bTuk5/81PykiexTP3H6RIfTu09OyjfddNOi8OPs&#10;BdhSOSm2HeZTXddz3hB+ycN3yGdYD/4wD329vvjERz/cLVln3fLObO+r9u7svLfae6z5jm/ftmSE&#10;/7At9an6l3b5VDxquHLqyWvawCIv9VpOqxy8Vj6EtegDgzsV/kzw8JhNHl4t3OnaWvhTwVqxogUb&#10;0t9p3TrZA2+y6RbdP/zDP3QPfKD0oHlKf9+tttr/7R70oNUm6UGTGHL6Pfx3qP981zMn6aE8jAFD&#10;/Yx3aFJWr2HgdVt4ysFbPAPPfiQ04SNPuvYn13T5Zp648bSnPKV8Y8l3lnzXXhx55CPWKTHF2iS6&#10;kYt/vo0AHjm1TpEzVXtwtSvDl6tLoQ9e+hS8wOW1/PCr21vlmn9oIrfGhxebR3bwUocfHso1vKZV&#10;hhd9QwN/uhQ8vGvayIkMeOFT92G25VasaMGG/MSPOyffkHriJpuX+LFkyfrduuvOT1rvn9fv1pnI&#10;X/uhD+8etNrCjx+1Xxu/3LcY2riuxwfQKqcOJ/TxBd+J1l77UM2rLtffhAnP5PCin9z+xPc13/fu&#10;d/bfl09MgPuyg19c1h++5eEbe/yy0E90jky848OB1Xn0RifVbcq1vOiZHH7NWzny2EQ9tgdPGspo&#10;1Yd06VfksWN0Mx7gdR+Cl5zs2D6wyA1dDU+5zpWnS/j5FkFsoA4f/8hKvYalbTZ5K1a0YENeJX5M&#10;dNnENyPXWKt744lv6E4+Yb7S8d3rjz2223nnXbsH/v1qk33Mp3r7DPVeCHVjlXGT04nPxW9aOgYv&#10;tHBq/1cOPdwksPj+dHyDHxx0kZGyel3OfIluH/7A+0r8sA7Zcosn9WNQ00RODYtMbeCtthpHX9Wn&#10;4lXTx0bBlaOlO7zAw3+6PLQ1Ta1vXQ4fsMSTmj7jFbzkcIZ6hY7O6Xvwp8qDF12HeT12Lb2n4juE&#10;t2JFCzakEz/++lfrj80m3597yPL48Ybju5PnKZ00+Wa9+LHaaquVM5Chvgup/t3LLute/cpXlDlm&#10;rrH3xhttXK7Znz/jM/28q3V2Znn0kYd3j3vs48q3up7+1Kd2hx16SHfJRRd273/Pu8qewZ7i7LO+&#10;UPzvh1dcXvCcSez+rGeVeVLzU+Y3v/vdb7tPn3Zqd/ALDyrfeqWP73wf9opDuy987oz+Gln720Xf&#10;+mZ3wPP27zZ94iZFxjZbb1W+nyt+oLf+ePjDHtnPA7TgEn3o6XvdQ33UX/6Sg3sexx/zunvg0Bme&#10;Oel7129508kd+WTiu/lmm3WvPOTl3Y+u/GGRn37qY3TYbdddVyhuRE/9UP7xhPdrjji82+GZzyxy&#10;8d1g8g1oa67jXnd0t+y6awv/Xte7YtVHP/SBPr5mnIMTPc/6/Jm9nfC1N4Qjke/bw+B8ZrrEHpd/&#10;/3t9vBE/0LMReu30Ce/0cUXzVqxowabia/2x5poP6U56/XGT9cfr5yWJHdY+O+20a/egB/795Ay3&#10;7Zt1HxKPp7OfNnjo+GtNv6JlvH5yzdXd8/ffr4yfccx385RTN66+pX3rH/7Q+z8d7BvgZJ7IjZN8&#10;k42fWMrm7B9uuaXo+YPLv1/k8BXzhb7ps9z16be/+fVk7m1daOHFr8KXPPrm+onHl790VpHpu9I1&#10;Hj3EEzB0eMV2cvC67czPfKrvH/7sc8Mvfl7iDlq47HPN1VeVtsxdeHR3FuO732RFHprYZ51HLum+&#10;9tXz+jE7/dSP9/Z41i679PCpxpHOZMolcsWk5+23by8vciMz9mMbsRRN9MXDN8rTtzp+wtEuHm62&#10;yaZ9H/AXP7RFT99DJy+y5NFDOQkOH0gfQq+dneQf+/AHe79I+4rmeA1pWrAhTuqLPX7oR/xDXqeM&#10;f/q6MnnG3rfxrDGMdfyNL/IPcTfxQbv0khe/qMwTc+WqH11ZxptfPmaDx5SzB3tn64Cddti+52lN&#10;kv5c/r3v9r6U+MGX9AmO3JknXSQx6NuXXFz6f8Zkbie28TN+D/9Pf/pT96R/2aL31z12363z7T8x&#10;66TJuhMNHePD6bucT0nxdfEDPDZWZgs8ahudOLk21HyUXd+d49KbrNe95qju1ltvLfHQmiUytth8&#10;87L/19+ViR9kZf5d/9NlxfZ4S/ppLfC2N7+p6H3IS1/S604n/fjAe9/dzy3j2Iof+q+NrGNfe3Th&#10;HRn4uDee/uuH+MGO+n7C8ccW2ew2TOh+eeONvY3JQI8nevkYP5avd1Zm/ZE5ZPyUWynjlryFMxuY&#10;sbMuz1zle9apaGv5Xz33y/31F06ep/jOty/t5+RLJ2eUtT6uMfjyOfsUsvh8a/0RXdFb37gPG1rr&#10;+5ovX7fP8pxH4Gd/8fNFD3ODD16/7LoiD19yd91558Iv/hk6OZhET747jB/s8Iyttirzcq/n7NHj&#10;W9PQtbbV299ySmmnh3tA1i+Z5/BO/dhHit7WM7HvysYPukv2JuTFXm895Y0FHv5wxFf3ruHoqzFk&#10;I7rRK/s7bcP1h71G4kbkyMUFvNFL4kfwfLO1bguOnF7aol/axvhxzz3SysYP5wnG0jjJhym+Luc/&#10;ieEZi9nmzsCtp+NXL3zBgYVXxj5jbB5Yk9CDzDeddELxmat+/KNSR++aGj3cU3CN4ROS+EEnfFrx&#10;I3LQXzGJO+REJ/sEfg4n/o6XdU7knXLySQWfrF122rH3zew/zCn8ok/6J49tY1PxA3/ytDuvCY7z&#10;HOsLdWNz6cUXFVx48F980AuKDO2u+xkHeqaPkZ36isYPfcIXH/sKsvRL7tyDLG3RCW7s4Iwq+utL&#10;+um8ITyG8UOfEjdiI3krftChxKbJmij9iy51Hrnpi3rky8f1x9+2/nCGaSwyXmzaStpzP9IYrGiy&#10;L8A3crIfMNbmauanujbxxR7C2SZZ4GIDHnyM//KrC795QdnbpA+uTXDRiA+RWZ+faudz9j7oMt9P&#10;OP64e6yBXeetg/kZHY8+8oiCrx/2PuTQPzLN0ehCduBy8LqtPv/AO2fA9Lng618rcVRf8XnzG0/q&#10;7YCXvR443F133ql//pVNonPKzizoOVX8iI5w6gSeufmN879a5EUmXTNmNY0ymjccd0yv34smcQFM&#10;sv5gO3YQP8iQnIvlmbztt9uuO+JVh/X0rfhBD8meaig/9ciMTpGFjg5sK54Ff2VzfRnStmBDnNQX&#10;8/nH4Ye9svhg5pB+1yn+wt7WBenziuaf/dRpvf/h6VprfDOm8cXU5WBysuS/+fVNHX1dd3KdktNN&#10;wnerpz+94JvTZET/Z267bQ+PDGeLodNnuJIyGaGFk7jEryPvmKOP6vXTF/qe8enTS3vsWesfu0Zm&#10;9i9w0JKhPxs9fqNyHXd/Qp0e9jDWWpHz7N2Wx9JaR3zJJUc5tJ85/ZOl73X8MEfJzRyTt8Y0Y2AO&#10;451+5Uy3RQMm3tADvn5lDLP+AE//teVMFvxbF3yjY1tl/ZgqfuA/XfyI7SM7/cU3vD/0/vcWG8CZ&#10;ygbapkv0GLa3YEOc1Bdr/Ij+7Ma2tb3TFpvDqdf0aZ9t7hrO1/lDGfdl1/XyIiM6FFmTtXPg6rWO&#10;1qLORVwDrQF23H77MlfwzfkpfOsP8qRHrb9BP1eis/2NNr6E1jWTr9JVvnTvvfq56HqPzn4qPN0j&#10;AqNncrTuAemrVLeRIaHXVu9frC/A6OK8lP633Hxz2avF188564u9j7vXnNjp/Ji+daI7fuRZo9Gv&#10;jh/utYKRU6+fwJIyHnJnw/iFp3Uh2uDWOfwrf/iD3q701A4ufsTm1pd4iG+xySte/rISS90DDky/&#10;0EaGeBQ9posfwQ+t3No2fNnG+a+zpeCEZkVyfIb4LdgQJ/XFHD9cX6T0ZZgb36S/xcbveefb7zZu&#10;P122PH7gjW94J48eaaOjPbi4kXPO0NbnHzvvuEPfl5yr8jVz0HUNX3TmzJ///OfyzII2OF8595zS&#10;RiZ5fJmvSTmHyfkpfMl9kOgh32evPQs87emPnE9J8d/EDzwC13btZC1PTzpefOG3Cj86HnjX86za&#10;2DM01iJkS6E79GUvLXT1/ew6fqBlj9BET/R1ii2yH4k9PItT46UcPu4tRz86pD3xAx/9d66VZ2g8&#10;9+9eFtzXHnVk328xOXy1rWj8QKOfzlpdR9hSTKOfcp6xqWVE39nk+AzxWrAhTuqLOX5kPR5/1+86&#10;gbOx8fYcxMra2P4Fj/Azt2ufD1+wxDOwrHmUDzrg+YXeudz5553bj5lnyfGmNx3xQHflD64ouqdv&#10;zl1POfnEcp32DAe8zAs42z7jGWUfblz9diV2sJcxx8HFMPd54ZPpXIXPi0XuY4LTLzLTL7ThF1rz&#10;hw6u7bHN3ns+p/QfPLQ5T6bHL37+swJ3XyXP0eH77ne8rex56OJeLhnwjS9e5J/2iY/1crR7PtZ5&#10;r+u7Z+4iD65y6NTf9fa39n2mq+fHwIcpeotN/Iacp2y5ZcHDs44fYuCGj9uw4JjP7Bd+xxz9ml6e&#10;85xat9nGj9DI+dTBL3phz9M+NzY3Xnyl7i89Qh+dpsrZf9jWgg1xUl/s8cMY629y5SQ25gfq+z13&#10;6axtGtskv+Br55fxcg8GL/M342Pc6rFLXZ74Yc/Cx6MjvaIj/ZLMBTLx5hNw4JrnwZe7TwrPfPSs&#10;afhlT0CO5JrojBludLTXyL2F8I+NQoeflP7zX/NZggPf+p2e9l/4gNdrdTRkmmfw6ea3v3iyi/0Z&#10;/VzftUn4RBdlz81EbzExernPrJ0+cvMpeOTSy30nObh1V/jDV6/x6ZT7VGick0Zna7LYQfwIXOzA&#10;k/542hOhhSsGgg1tom228QNu/Cf34vBkA/HPdSD2OOjAA/r+8LX6fk10nyrHc9jWgg1xUl/M8cPc&#10;YEPjaKyGSZvxBndtT59XNP/1Tb8qfhLf9uxzfJMfSuqSZ4js6f0WzRyJT/EFz6sbG3zoFn+gn/sQ&#10;eV6IfvX5h3sr7gOkP3LPl8E795wvlWco4tfa2MNa1/nKjTfcUK5f0c+zYmJpzUvZOvwjH3x/b0sw&#10;/NO/2JYcyfrDXgU8ccXzJpm/oU0chJNnX+BoF4ezDsEnvOkuXsR2dFCHQy/2cI8rMUHu+Qs8E7ei&#10;Nx72I2jhofcsD9zYJDqrK2fNhMbvwoKb+GHcoq+y9Ubkwb034kd0w8897shzdkRHz/W4numPdPVV&#10;P+7tFVo5+ukS/YftLdgQJ/XFHD/0gY2MXfpT5+ArYsuati7jYU/LrpK58MXPLX9+DF5keM5hvclv&#10;mI21a+v1y67r/SrXEntm91OtqXPW6fkyPCIz/NQzH1xTzv/KeeUa796hPUft967Vrv8S3W761S/v&#10;ZpeaP7uYU+YkfGeAuX7WPFt2DQy/2Dd59Mcj5fQleejlkrMIaxn2sI/xeyD3qvBIGuqON3va07Ah&#10;evaYSgY+fu9jniVGvfdd77ibjnjSx/oMjjG0tvPcMb7axA/wrDnkT9jwCSVGRzY+90b8SN9dj8iU&#10;3CO2x6MLOfoOTl9rVD5iHaVNqu0W2DBvxYoWbEiX+mKOH2ycfrRsVY8pvBZO6KfL+aq1gWe/jRc/&#10;lLuvYf45l3A/I36nnQ+hi8yMeV3POlNb+qIcXDBlNDV8yDft8jqlT+GdvMYJbXDldXvgtXztgdOl&#10;1QbGl+XBRUeH8E9b9ApencOBH9xhObjagxNYLce889sU4yZZi7gP7Jk6ZxSHTM5s112yXj+GcHJ/&#10;NHzE/dCGjzWb9rpf90b80AfPz2fNRF6emdWmr55r/P/snfd/XsWx//c/uBer2nKRVd3p3cGmBhwg&#10;oWOqwZZkSCGEcm8S+r00iw4B3HAg9G7AAeOCMR1sOqbZVrENKUCoIe2b+533nGfk44d9pEdPPZLO&#10;D+d1zrPPKbuzM5+dmZ2dJX7XcNHsQ6MD9TJapDr7sMJXlur5vowfqdqU63LrB/R1bE1wwvqMfuUa&#10;mlsZsYjffPON9p3xXq7rVOj30WbDR86M+YWuQ7bfIxaNeSCTffqLg9+0iT7kGt0RXSO578x+sWfo&#10;Zx/2hXUGdATqzbuQa3w1RseOtvVa7mtXsm+LuX3i6+09nPk2/QDGUG/sGexevpNcd983KPNhha8s&#10;1fMxfnRvH0I3G++NV+DDC887V+ff4SX6b6cddlIfObZDuP/oR55PRf++UE4bTObgfQ6bv+0L9bc6&#10;0i/0Ib4S1j4Ql4esYIfgDwVbWNP20UebuvpM+0/sAt6BrmHtP/H441L2KfoHfMG94Afv4Nu8A/yA&#10;lvxvtpHVL3xGn7X7OCfby3YvvMV6I/se7Xn91S39UHav7+zDCl+Z71nKYvzoGT/of6OfYYmdjSf5&#10;33z+XIfL7dm+fIYGdlj7+lp7zDdA34T7x37TPuJkw+2izMYNysPv4L/wvcnXvJcyu4/32Lvsm8ZH&#10;yc+abUs591q9eBeH/c+1fYd77f32zeT3Jv/2YYWvLPk5+x3jR/f4Yf3M2frOzlZm/Ue59R/0pTyM&#10;KUbzvnimLdbevlr/cL3pK2sT5danXNOH9jvcZiuz/+258HvteXvOzjybfJ/9l1xuv+17/Oaa++3a&#10;/rNy/kuFKfY+39mHFb6y5Gf//W/khvxje7nq6mrXPGO6a2luKcrR3NTsZrbMdHvvta/kD5L8p5IH&#10;Prm+xfxNH/H95LOvLJknrM+LWf9cf9vokOv3FuJ9hu+p2hAut75DR7C6hf+3suSz7x7KfOXJzyb/&#10;Tn7G6hS+L8xz1j7ffeFn7NqHFb4yuz98/pfQBfwoK6vQvOflkv+8GAd538lbWFFRqfnf2cMhXM/4&#10;unsdKaZPTJ9MecCHFb6y5Pf/+9/oo7LuesFt7tJLWxPHFXIu/HHZZVe6Sy5J1OGyKyQ2YV2MH6Lv&#10;JPdZ/DumSa55wIcVvrLuvouuA5ZoTnb09EIfYkv9P9lLgnr861+Bn6G7+sb/xXIU80BueMCHFb6y&#10;ZHqH7TGu1YYCQ4pwmN+HOibbe8n1jn/nhm9iOsZ0hAd8WOEri/kl5peYB2IeSOYBH1b4ypKfi3/H&#10;vBTzQMwDPqzwlcW8EvNKzAMxDyTzgA8rfGXJz8W/Y16KeSDmAR9W+MpiXol5JeaBmAeSecCHFb6y&#10;5Ofi3zEvxTwQ84APK3xlMa/EvBLzQMwDyTzgwwpfWfJz8e+Yl2IeiHnAhxW+sphX/Lxi8WrheLqo&#10;0crqGLV6Rak+MY38/N1TH/mwwlfW03sG4v/Gc1HFDuoVrC0I1m0Xq4+MTnyf9Z3UqVh1SfXdYO3D&#10;5vwaqe6Ly7fEGR9W+Mpium1JN+hBHnz29Hr8sUfcp5/8WXMOk2s9Kgf1sn1Wii2zrGHnYG9H8haT&#10;nzkqdKIen376iWNPz3vuvL0rd1jM89/l+WSa+LDCV5b8XPz7/xx5CMnPT55actaRY5e8k1E52KuO&#10;/Zmi1FfkbCdPelRoZPVgTypwDXoVG2uj1F891cWHFb6ynt4zEP8np/rVV8ySo9XBf+SjBEOichh+&#10;RMm+sj0fokYr+ow9hdmXIWxvDUS+7k2bfVjhK+vNOwfKvewZwn7P6CDsyc5YFhXsoB5PLHpUsY09&#10;UootE4zpHMgoR9RoBb3YS4N9cotNq74kPz6s8JX1pTYVsq7k5EfnZe+0KGEHdWHPenQj9lMqtkzw&#10;fQ72o2R/xyjqH4wDix5dGCl7r5C8nMm3fFjhK8vk3QPhGfRxbJgo4sfKFctVP+pobyuqTIT9CYzx&#10;YG7U9A/2p4/xo2d/abJM+7DCV5b8XPw7oDXzL+gf7JkRNf2DuQ6wrW39uqL6BE334Ex92O8yavhB&#10;38X4EeNHoXFt0SMPK36w72rUdHL202WvaOaJkN1C0yb8PcMQsPaBe++OHH7g/wbbFv/+saJibZhm&#10;feHap2v4yvpCWwpdR2TiuWdWKt9xjpr+wR7ryAT7pRUbPyzWgzH+sYUPRQ4/wH58RYsfX1R0WhWa&#10;j7P5ng8rfGXZfKM/P/vCc8+q/vHs0ysihx/oHeAH2FbsPmhvW+84wA/G+KjpathTsf0S2y+FlpOX&#10;Xnhe8QNfQ9Rkgv26kYmlTz5RdPx45603HQd4tmzJ4sjpH+vXrVX9A1oVW1crNA9n8z2fruEry+Yb&#10;/flZxnhs+uVLn4yc/sGYSt3w0RS7D8DXwJ/b6p5d+XTkaGW62vPPPlN0WhW7r3rzfR9W+Mp6886B&#10;dG+H6OSMqcRaRM3/QUz9jddfq3HZ4TnUQvcP4zmxsBzoQ6tfeTly+sf7770bGVuv0P2Tzfd8WOEr&#10;y+Yb/fnZqOMHa02ItygmftD/xIxxRHWuO8aP3vs+6FcfVvjK+jMGZNO2KOMH/pjbFszXNR3ZtDHb&#10;Z9E/0NE4wA/WLUdNV4vxI8aPbPk8k+ejjB/IKLFazEsWU//46ssvNQ6FWJRrr7pC52Gi5muO8SPG&#10;j0zkP5tnGFfJacGYipwSgxSlcRX/KfEMrPH77LNPC+4XtHkMaGL6x/XXXKU0ilr8aYwfMX5kgwWZ&#10;Phvo5q3qG4wSdlAXZJS4FHyWzOVm2sZsnoM+Nm8LhrD2Ft0jxo/M5DWbvsjHsz5fh68sH9/uL+9E&#10;PplbiJpOTn2Iq8d+IQa1kPQO5ykkjh4diIP1hjF+9A/sgJ98WOErKyTv9bVvgR/YL1HTP5DTNe+8&#10;rfZVoeMa8LeAIfTlU0uXqA4EnRY+9EBsvwhN+hqPp6qvDyt8ZameH+jlZr/0dk2p5TsEc7jGd4JO&#10;zxH2o2zauLHrt/2fLk6BH8G6sFbNgxruK/NNhMtyfQ2G8B10M/N/LHni8aCNiXyP6bRlS3oENOK5&#10;sA1k9NvQ2dml34Sf6+k7sf8jM0zzYYWvLNe81V/eZ/iBjPTEo+H/4W2T740i550dbXps6GzX8k7J&#10;2cHcziaRk8729VrG/XaE35Xq2t5/y9zZjiNM80Lgh32DnEHXXX2lHsT7I/fULVW9w+Xk5QjfH9BC&#10;aCTl+g55DzRSuoHFQlfwmP94jtwn4feluo7xI8aPsHwU6joT/DB5MP5nzKRsY5euIfKl4+tGwRTk&#10;LJjXQReB/9MdV+2+hx+4T30g5IiHLtTZZDsfdArPFf/1r3/VbzN3y0GeR9qQLn6YnmZnaPHRpk3u&#10;448+CnBF39WpOME7OzuEllIG9ppelwozwuUxfsT4kQ9Z6OmdmeAHfM7x0SbBjM42t/rlF909d4mO&#10;f/W17pxzLnDnynHRhRe7W+YvcMuXLZN72hUzWL9q2BPm/VTXikkiS+xLgP3AulfDDTv31L5M/ufd&#10;ZruAF/g9LO8pdaVehm2p6m7l1gbTQ9av/UBssYVu9s1z3EUXXezOPVfode6F7rprb3CPPvKo++Dd&#10;t5Wm0JZn7Xl7X6oz+ME8PGtzMmnzQH3GZ6v4ygYqfXpqd6b4Qe72m2+e63bYeXdXVlbmSkoGudLS&#10;EldRXu7Ky8v0GCRlFRUVrr6+wZ3287PTHrNNRmyMJ7ci+DHnpt90xZHlEz+MZmAI9goxY6xr5VC9&#10;IGG7WT27O6OHgR3oaKf+5AxXXV0ttCpxW231n0KvQV20gnaUc+yy+2R36223K0bxbHfvt//ef3dN&#10;jB8Z+HV9WOErM56Iz5v1PBtjGV+xEUxejSc5M/51iq6xcUNwfvKpFe7UH5/mtt1uR+H9csWLktJS&#10;V1VZ6eqGDXNjR45w42tGuNHVw9yIqiGuTP4rF3wpKyl1Y8eOd6ee+lPNlYhc8b12Oeu71c7Zcu8I&#10;G3tZm04dwRDy+NCHYRsjH31qOgj5iJk/Rg/hQJ5T6x6B3Qa9NiTo9vxzz7kTp013DY2NrqKsQmkx&#10;WOhWP3y40mqc0GvsyOGuXmhXKbhbWh7Qq7S0zG0vND77zP9yq159Ve3ADdIH9EkqTIFGcf6gzfyd&#10;Dl/4sMJXls67BuI9zFGi9+I/NXkN4wcy3iEy8/JLL7nJe+3nygeha2zlqocOdrs01LgDR9e5aeNr&#10;3PTxta5FjubxI13TuJGueZxcj6tzJ8pxhFx/r7HWDa8aLPJT7mpqa0QfOct98N4a0dU7XBu+VjmH&#10;v2vXfP+Pf/jY3XrLPMWPV1e9ojaMza3mu8/wneK7hTYc1IfD6hc+d4p8d7S3i7+4zd1//4PuoIMP&#10;c8OrhwuGVriRQ4e5yaNq3ZFCm820qnHNE6ATdKtzJwmtjh9bKzStV9oOG1LpygRPGuob3cxTf+bW&#10;rFmjOLJR6hH+rl3j4yXXQSF0s3zTvVDv92GFr6xQ9elr3yE3sY5b4lswPgyf20VWXnz+BTdhwrZi&#10;p5SIXlHlfiCY0TR+lGsSXm+eIHghmGFnu+Y3x4yx/F/jWrgeV+OmjG5wNUOHikyVueqRI90ZPz/D&#10;bcIe6Eb/YA4Cubju6qt0T5hCyAf6zTfffKO6x8IH71edA73D8MOHtfhFP1z3oWtqOcVVij6GTVI/&#10;bIQ7eGy9th86KH2EXjPA2QTtZlA+rlrp1DyBe+qEVrXu5HGNbsqYOtHjKt2gQVu5XXaZ6N56+y2l&#10;V7iP7Jrc8MS39TUeLGZ9fVjhKytmHaP87Tdee7XLvjc+DJ87BF923X2SYEep22dUjfB9vfB3teoZ&#10;MyaM0HOz8n+AE03oIBPAF34jE4IjiSPAkVoZf0e4iQ11Yv+UuFKxa/afcrB7//33voNfJqPMVbz4&#10;/HMa/8n+atCzEPbLB1InsJUY+rD+AY5Y3cK0WiOyveee+7oSwY0xI6rcAYKVAY2gm2Et10aTWsEQ&#10;0UGEfgGNAhxpgZ7gb4J+xwmebF87QuhV6iZN2lv90eHv2jX7kCbPc0eZ96JQNx9W+MqiUNco1gGf&#10;IPOS+O1tTrFdxvuPxT/KfOvPfnqaYEe5270h4P/pCZ4O8AGMyPw4bnyj266mWn0CO+860b395utu&#10;o4zh2ADYNcgpugf1Yn7B9sr7+uuv844f4JNh1ttvvvEdbENm1S8kNMKX8/Zbb7idd9ldfBylbud6&#10;wcgJ9YqT2dCn69kJgtdi5+xUXyN6W7n75X//KpjvZT48YcugFxEDSF8WQj+LIi9nUicfVvjKMnn3&#10;QHiGPZexC5jjwE+JvCIP69Z+KLp6u6trGCUyUeJOGNugY+LMsaZbZI4byAV6TPOYGjdNZKNh+BBX&#10;Lj6Co4850bULdqzDT5jwNVAfsxuYf2EuhHngfPcN/pXHH3tEfUOp/B3oIO3rg7zKhx8x1VVUDnGN&#10;0ha1U8S2OxmaZYGv9iz6yXSxA48dUy9YW+oaR411az94V/FL53akv6gjsfX4mL/84ou80yff9C/U&#10;+31Y4SsrVH360ncYp7CZ8Z+SP9P0YHiSGKbW1ivFhi9XX15gr4ueLTxsfJ3VWXwh6OfNgh9Hin+g&#10;ZliVqxIf44IFt4pcSPxUYp4DGUU2iKV6ROWjVbEu32Ms7yfv2ewbb+iii9HHzsyxrBPMPfGkZvF3&#10;DBYf6RB3lGDGDGnTTPw9YndkRSPDnnH18i5swVq3fV219EmFmz9vvuKqxdRQJ3RJ7C1o1Zf4sJh1&#10;9WGFr6yYdYzqt//2t2+V39B50T10nBc+BD8629e5HXfcxQ2pLHcnyLxA4OsTu3zrwKeRrVzgJ5wh&#10;cxFm/x8hes2QilJXX1vn7r3/AcUvi780DGEdPXMM5GpFvvOFIdguHOhl7M8HXQwzwud1ogcddfRx&#10;MidVInNLle5Y8Xeie8wU2yVb+mzxPLSS97YInhwrWFsmcSOT99xb53nQFa1OLzz3rOofzDNHleei&#10;Vi8fVvjKolbvKNTnL3/5TPEDnddiCrDpN236yJ119n+pz3Tn+pE6Lxv48wLf3xa8bWNkr8+if+ic&#10;A3ZQtY7VB46tkXFcYkoqBrubZs9VvQP5AEeQEfQQbJjbb12QN+ywfvnTH/+gtMGGMfnkDJZhW3G+&#10;UvQz5mYHDy53P5S6M2eCHxQfUYvoVzqv0mu6eOxC5sN5P+8SLNmhboQrEcxasvhJt65T6pKo16qX&#10;X1L8AGetHfG5+3gQH1b4ymI6fpeO+BawXbBhumRjAzk3VrkhxGrIHOsR6B6qO3v4OheykXiH6SM7&#10;19fIPEOFGz16rPvg/fe7METlVuQEf80N117t/vmPf+QVQ/CZYgswppsfF3qBHWDsG6+/7urqGkTv&#10;GOIOG4NvmXnX/NBo8/wVNlG1YFWt2DClrqmpRfpN1tptDNYUgRv4h6hzzO/f5XcfTXxY4SvzPTvQ&#10;y2w/NcOPYIxvd7/65TkaI0Y86eYxNDd2S0oZE59Bk+jm08VnMEpiV8tkDrSp6RTXJnYVeofqIWJH&#10;YOMzDwOe5LP/VixfpthKXDjfglYcxHi0y5z2kUcdKzJcpvEZ6scRH4XFd6RsY6b4gp7WpasF8WfV&#10;EkMzbvx4qUub+JzXq/7IfDOxssw355M2/endPqzwlfWnNueqLTZeETfA2Mqalo2ifxww5UBZnyHx&#10;So0Sx9TF80HMR85lI/F+vsMcQ/PWI92JEp9WVVnmRtbU6Foy5NfsmBeee0Z19Ddffy1vMoJf5dGH&#10;H1T/B3Qx3SfA1w7Jpfi+GyrYWi0+jxkyrzqDWA2JeZkekvGc0ymBIegi+EG2lbh3YnKWLl3aZXuC&#10;s+DHE4sezRttcsV7UXmPDyt8ZVGpb5TqQU5A9F32NTEZIfZ63LjxGvMxReTYYpjg25zLRPid4jtA&#10;DolTZe5itwbxE4p8zJ+3QOWD+nGYXUG8Sj5jyIiXJ3Yd3wsYojpQQg+68oprNGZlstAHH3Cz+EuV&#10;TuhQ4Tbl6LrLNhIM4Ttg7X6j6lyprCuaOvWYLn9MgB+zdN45SnwW5br4sMJXFuU2FLJuNmeB7LGW&#10;BBv/zt/dqv4PZGXZsuUit7LOq3Qrd7z4AGfmSAbSkasAo2SeQXyFU+W7rJXZe5/91MZnfQw+XnwR&#10;YB5+kFzRzXDI5nTwrTD3Qiy4+YU2CW04yHGym8S6DRYfzbHIs/g9poMhUl+Nwy0QvaaOaxAbr0zj&#10;1d6QccDw/6YbrnMP3Ht3zmiTKxpH9T0+rPCVRbX+xaiXYQj72jP3YrlPGb/I3VEq60B3rsMfyJGf&#10;MTUZT4gDQQZniP2CPDJ/sa3UgTW+S5Ys1fV16r8UHyr60m+uuyZvMoIsgqtLFz+hmNUpcXTqZxBf&#10;w1333CdyW+p2kBhTXeOTwI4mdA/Rm5Lbla/fzPXUDBsq9Clzl8+6UvUjsC5eA5Oe39TkzocVvjK7&#10;Pz5vXjuycsVy9UUafjC2H3LoETLul7hjxo5JzNsWBj/AqRZwg/FbMATsOkRi1ciRMe2Ek12HxKRa&#10;fD1xlsg388+57k+wlTVB4Cp518FUvtspegfHYYcdpXU6UmO6gnoG640Lhx1gEnTaUeaqhsg6vanH&#10;HN+lf7BfH3ZXrunSX9/nwwpfWX9tf2/bZboHzxHbwH5I+NsY28GP7STnRIOs/WoaN0bGU7Ajf/OS&#10;4bFZdQ/W4zGeC34EtkCdqxte5RoaGt1aiadnfOXAh8q8M3MjvW1/T/f//e9/c8y9gE+suVG/h+QU&#10;5JscI0YEuU0UM6ANNFK/BNeFwRCljXxr31ENqivuvvseXfoHuhkxMj21M/4/0FN8WOEri+kV5A0N&#10;04F8gK2XXep+/+gjOi+J3j5kyBBZ05aQYZHlQtkvYSzpuhbfwu711WLjl7v5C36r80Pg3GurV+k8&#10;A/KM78JygYSxMdzOnq7tee7jfQtlvT76xyaJq2DOltxhUw46WA/yq+3RSOx9YXC1ixboZYkDW2/6&#10;2Gp3uMSBbDVokORlGhfgnOhK999zl2If7TC/Tk/tH8j/+7DCVzaQaZTcduMry631hOAI4+zTT69U&#10;n+XExnrJPYHuUSjbZbNsmIxwZs37j2Q9SanYU80SC2Jr6ixnCf4Jk/1MsQPa2LMmc8xnkycAPCXe&#10;44XnXhBcrdKjQvwNh0udbF4qXN9CXeOzRV87XtYg4qsiB8LbEjtGfR+UNbjoTtbH0Mfal8wH8e//&#10;i/ePEv7vDR8YL3FmrLr8kovdMyueUtvl6quv0zyDU8Tv0CI2xAz4VHHEL9/5lpcWtZ8aZV3aYI1H&#10;bW9b1xVHxro2bH3abnLfGzqE7w3ThHzrzL1AG2wlYrNO/8XZOtfBfEej2FPN41lXW0RsFbrM0Hj2&#10;GvGhVirm3yb5UsGPxxY+pLoTc2nWrnBb4+st5cWna/jKYroFdEPWjK9YG8Z6tGefflpkZYP76U9/&#10;LmtPymUNKXMLI0RGNsd/5Bsr/O/HRqhxk8ReIEfzKaeeJvVsV18Nc6uMs/grbKy1dmXS1/ZsYBvN&#10;csuWLE7YBG1um223l7X5lXrsLXEXQbxY8ewX9TWTx0lwZI9GmecWm+qss34p9W3XtYX4htDRoAPt&#10;MvpkQpf+/owPK3xl/Z0O6bYPfjJZuW3BPMUPcoyzT8sPf3So5kM+WXFD4rnImRWyu/0ynj/dROdH&#10;5ftHyVwHc6aDhwxzq156QWO6lj65WH0gzI2Y/mHtSpcW4ft4Fl2ftXn4PowmT8ha34oKwQ6Jp+c4&#10;XnUP/Lv5a3dPdMb/0aTrkka6o6U+zOEePfU41ZdWLF+quEruI9qXDU3C9Omv1z6s8JX11/Zn0i7j&#10;Keb5sF9eXfWy6h877bSr5EUm/42smdM1+8RkFHucrdE1MfXDh0oO0BL361+dq3Ly8osvqpyz5hQa&#10;ZDPG8iw0Ia8Z8d/gB+M38WqnnvITWQs0yE0cVa/HdIlLUewo0FyLD0v4PrlkyXN4omBr1eBKt+de&#10;+4r+0emefyaI6QH/MuGNgfaMDyt8ZQONLqnai5wYfhBrdMXll2oc6kbhvVGjx7jRI4YJdghmSHwS&#10;+nEx8SPImYO81rqdJdf7f/7Hf7gDD/qRW/vhB+49mbtF1tmPlraaHzVVu7srhx7//Oc/1V4htpU5&#10;bY1ZF//HHpP2coPFpjtu3Gg9mLclTmXzuqDC6yHgB7nuwZaTBT9qZK309tvvKHjXKWunn9eYHuw7&#10;08u6a/tA/8+HFb6ygU4nX/uRE2Rwzdtvqu08VNZ0bl8nurmMrazrII9WM1hSLF1d9fRgvJ8yutYN&#10;ltwgjY2jNd8FugH1XyhzrYaHdva1NZ0ycrCRS4kcxOBH2/q1st/TSNmfZZjE1DfqYbI7vVg0se9K&#10;v2DHEIc6Qfbbqauvl3xC7Tq3fVXrLHfPnbcrXaBJtnRJh3Z99R4fVvjK+mr78lFv46lAVydOao3M&#10;UT6v69UmyprbAD9Yp1Vc/FA7QeYZmiTnGT6ZygrZ105iQR584GG1YVjjhg6F7pCNjNizrHuHJrbu&#10;Ze6cW3Q+inVy1EXrk5BZcgkWDVfBEGJzwFehz46S4wn/8oeyfv9NWZeMX5n5Z2uXnfPBS339nT6s&#10;8JX19Xbmov7GR5yROcZabP333n3X3XHHXcqD+7LngMzZtoAdMn9bVBmxsTZx3nPUcIkdL9c97Ngf&#10;9iHRPZCVzz77NGsfCPYPcfzgh869SOzYCcdPk9gKWeNaVB/Qd+0jxTGtE3PI1W6yYD5xbYsff7zL&#10;rgvHgNDf1ve54KP+9A4fVvjK+lObs2mL8dHm3IWtqqtfdlmr+AlL3IHERon9YvFRYElUMIR97vBF&#10;7DpxD839+bSs32GukjiyXNj6xH2DqbruRWIptt1uB4mvIIfSd2W4mDTR+Rerk+gg+0u8DrEpc+fM&#10;05h7xgQO5rYNO6zfs+Gd/visDyt8Zf2x7Zm2CV76+quvVPbgM2JPfyExUsR+HJ6YF8T/gX9/C141&#10;ni3SmfpsI3lzBg8e4t774APNBYK+gNyjT2VKD7CHXNL4TsEj8nitFjsAW2mnhD+omHjx3W8zf8sh&#10;+qHgx48kbxt7DF904cVq1xHTQ79+/vlfYr1DfOvd8YUPK3xl3b1jIP5HfmB47DrxQeKLbJn5E+HB&#10;UneM+POJ2bKcFkWNs0zCqZNlzcdesjcssSB33n2frKlf1yXzn376Sbd80l0fg6fEmqLzE9fa2dHm&#10;br55ntgEZbLnnuWej5AOovqh1EfwY4bs5Xe45K6HJmee+d/Sjg3ar+R4NJqYDtIdDQbqfz6s8JUN&#10;VPr42g0/oXMwds+bfbPKDvsQkJN3mvoFySWO/hEhmaEuMtaylyxj7TnnnK8x9+QBQVbWyZwu7fK1&#10;N50yy+WovlOxXU7/+Zka93GY5OmJEoZu1kUC3xS25lTpM+yX5uZTdSy4/tpgXo0+RrdKp/0D9R4f&#10;VvjKBip9wu0Oyxfzk+jqzGEQ93zwDw9TuQzb+oGfLjoY0iL+3OPEviK38hFHHq150InBR294+cUX&#10;spIV8iFCD97TLnI3ZcpBqn9ME30MGd0st8W/7uoXsWG4niY+VGLYjzhyqtKEuEBsmI629Yqp2cTG&#10;hPmnP177sMJX1h/bnk2b2GOIcfteyQNI3o+JEye74bJ2fws5iZDvlHrNGIPs1kpOkKFum222071y&#10;yUGAz5O96bKhx0KZyzGZ6xQboLFxlGuUWDpi17agSYR0MsWRBIagkxFbR6401g9jm7Kfd3jMyIY+&#10;/fVZH1b4yvpr+zNpFzot+jo89ugjC3WN6c477+bqhyMviTiHBHbYPEwUZKglsZ5v+7pq2Weq0n34&#10;4YcSt/Ks+kCy2XceGWPMRu5Yt/rqqtVqD+xSbzZCtOaxsaeCfhIfqth0XLPuYLdEHqE7brtVdSny&#10;Y8Mfsf6R2ofqwwpfWSZylu4zfQ3jqe9bsj8S+LEokXts9OgxEmcp+b9C4yvYESXdnf0R2Id+r1G1&#10;EktW6e6TXKT4PSyO5ZtvvslIB/n222AfT/IO4zOYffNc8QWVue+Lr1bbHzE9TOPG6CfBDsP1uqFV&#10;bpdddlddEh8Ofcsauijzpq9uVsbZrtOVw0zu82GFryyTd6fzDNhu7bRzOs8V6x4bi8i9ztqXx3+/&#10;SPN6sfZljNgFxo9RPAfx2iPdAWNq3KCtSt2lF1/aNW+CDwTdIRO6soYXeSOPErbcr399nsTSyZ6U&#10;sq9cQIfNchpFulCnMdXD3Zgx4yQupkNzCDEXjU8n6jxJ/ch3j07M+kXWNnFNGX1pscX5aocPK3xl&#10;mfBVus/Qtr7i57Z6Wu711atXuQ2ydp+Yiu3qiu8b7E4+Z8j8Lfu/Hi5rPipk/4TTfna65syx8fY9&#10;Wb+Sbp+F78NPAH7gOwVLTjjhJNU/jiHHRkgfi/L1eNEd0SFZg7tQfDngx4plSzOiR5g2+b422Vn9&#10;ysu6FoHcTX/+0x+76g2/5gs7aJsPK3xl+aID7Xvwvnt0HSi5q/L1nVy+l/4AP+grYi3JW0XsKXvP&#10;RllGdC2fzIVMExsGf+Fhhx+l+oLtG7186ZMZ0f/5Z59R/FjzzttCiw73/f2niH1UITEwwf57xVyD&#10;nG5/bFtT7Vj/iA5GPmz0MXzLueSbXL4LPdh0YWxp6ssB7rF2h3g+2mLjXb4wxIcVvrJctj38rqef&#10;WqZtpu3gSPi/KF6bvfXU0iU6/8J+bq+/9rrO/+0q67DS5ddi3Kf5jDTmssYNHzzYTdxjL413IPaL&#10;PbUz3VPq4Qfu0z7cIHFj4Adx63UjhgstJMfG1oKpfDPieshOgv3E75AjFtyAH9mDM19ylwvepm4c&#10;4B1z5+RehC/RBYnjIz6JNdbohLn4nu8dPqzwlfme7W0ZbUX+WG+Brw3soI347eFdaID/zfrMsLO3&#10;38nn/dSJ40nJq0U/IXtLliyT8bzcTRK/ZJTlhNiUYN6hxo2uHurGT9hG1vJv1PU7d9y2QPeUSqa5&#10;9UUyTa2cM+Md8zfEbnZIjtWaGtbEgx/Fzb/Wm77YSWxPfL7tbWvdytA6YmtncvuL+Zs62UE9yDUA&#10;L+KvQX7sN2XgIPsj0q829mWzViG53T6s8JUlP5fOb9pIna3enPE70i6wAuzABsDuZh6RctMZo9hv&#10;1mbqxt4vxH+QM2L5smU6XzlpVPTHWcOPrSXnRdXQYbK/drC39qKFDyqvffH55zpWpUv/f/zj76p7&#10;PHDvXWILbRJ6rFNdjL2Z0Hd0nXzEdQ9wZg+Js2dOarmM38+uXKlzUsTW0efp0sL4o5BncAG9HVlC&#10;98CWJvcb+gd+LewZ/sNHZW2hPblqkw8rfGXZ0sQwjzgBMBH84Ez+K9r8pqy3Yj6DNvMtsCbbb+bz&#10;efZwu/aqK6XuG93DDy+UsavE7SN5Lnoz5hX8XnJecIi87CS2FjHbG2TtDmPWM7IWd9all+h+LfBW&#10;sh5itAzzHdeffvJnlTXmXtrWr3e/veVWtQMmNgb5X4njL3g7M8CrSQ3EsJe6p2UseElyO8Kb6MW+&#10;dltZsc7WB9ZPpgtjR+Lz6Ghbr3t4LX58kYzLz6hc3X3H7/IiUz6s8JVlQitrn2EHsQb0C3gJfpC7&#10;Zp3si8acHz44sBLbhueMRpl8txDPYH+B8ZvEfpkzd776T/cfE238IOcnskxekt2RF/GhviB7s3ws&#10;PLfqZWTmCtUPoV869Oce9phDb3zumafFl9Lh5s2Zr+/dU8ZzYk8D32n09bI9JQcI9FghY/jqxL7o&#10;jHXGS6nw1P4v5Nn6hjMH+4UiT3NvvlHHYjCkvW29+kO4xn7hf/Onmjzmos4+rPCVZfst6M9+I+AH&#10;+WVoE35/sAMfAvJIG7m2vjI6ZfvtXD5Pnagf/prZsu4dXXHOXMmzJbx3QMT1D5VlwRDwI9jTodSt&#10;fGqF6B+dbu0H76mea/lQoVkq+hsNoAPjG/hBDkf67sc//pnYL6USOwaWkjsx+tgBpk5qEH1M8i8s&#10;X/Kk6MKvq2164/XXpqRBLnkq23cx1wLW0Q/MOdMPYAV+AfbhwcfPf9hj9Jn1X7bf5XkfVvjKMvmW&#10;1ZX60gawgxxV+E3/8PHH2k7WvqOXsA70jtt+qzoWz2XyvUI+A/7NuelGtfnnJMbc/SXHaJR1dWJB&#10;0UHAj33E11sm+QbulRhU8AMbEn2Q/V+7o79hCvdwLHrkYdUbyXUK3zY3taj9coDqYsSNsRdO9OPH&#10;vi/1ZQyYM3uu7Av8juIH/GrtLSRvZfKtL7/4QvO4IEfIE+Myfco6LeblbY4MfZE25apdPqzwlWXS&#10;Jp7Bj4G+BD7SNuaYaBc2NwfXjOX0FW0LfydXbQy/M9trky3agz7VIbKn8drCe+w7F2X8CPKx12pe&#10;gQOkruzbOEdizfHhbJS+wEbGn22xi6loFe4X5l107kWeV/xontkn8QPdsUzosWD+As1niy4MTzK2&#10;p6JDVMoND9gPHV+p7f2HbDE+E1tGnBLtoa+4P1f+RR9W+MqyoRXtou7oT+i7rH1Hv2Jemnhb5jEW&#10;zJuzxbgX5tFsvp3rZ61e2Jq3LbjFbZQ2zLrsCtljttQdFHH7Bd9psKdVtWBdneLH/Hm3uI82is9N&#10;9plkH3D6iTkYa6ePfmAoYwJn7sfnjR+oL+sf+0vfVUpM7pyb5+i4hr6PLH715ZeRxw/6yDCfcY2Y&#10;D2SO/kDG0PWXPvmE4orNd/r6NZMyH1b4yjJ5t2Gc+TY40ybTP7hm3Tg8CEaGv9Ed/4bvK/Q19UJu&#10;wHF0/XZZ733+OReILJa4QySPVZT1D+ZuZyT8EcgL+jr4AY+hf7CPL3KDzgtdrf+SaQwNOMAZ7ken&#10;5Hn6s0nsF+yivma/4PsmJpccqPCn4Qd5bpPbH7Xf1h+c2T8U3Yn5QdPxORMvTXwImJhpnKCv3T6s&#10;8JX5nk0uQ644KLc2BetEWtU3jJ+YvkH3QAcxvQS9Ofxs+Dr5G8X+bTIFf+m4K+0577wLNH/3IbLv&#10;bZTxQ3N+6nr1aveDMY1qZ8yZTf4j8beJvWx+NvZe66kPGO/QHeFH9m1gDoc+bWqa6crFD7m/7DfH&#10;Hi/s0xSlHAap+ge8I/4UPCUfFL5T2sbYDS8Xm+/C36c+YTnjv3AZ8WOMyeSYMD8IcocPBP8j+EKf&#10;mYzau8LfSPfahxW+snTeZ3Q23iOPbrDH0iyNbQEHaQ98xpiHDxLbhXGL9/OcvcN+p/PdQt9DHekD&#10;5qHpF/CDWIqo44fmghcfKnMi+5EHVfSEu+68W9ecbpA+YM6PHEALZf0YOBnuCx+Nbe4F3CGOhPnb&#10;6Sc3qV4zRfSbIFYt4pgqGAem4P8AP+bKXDz8yD6+8CY08bW92GX0TXL/0GfIEPUH+xiXkTl8IMgd&#10;6xuZ+6SPiZWw9ZI2JmbSJh9W+MrSfTdtMvwg/oZ6ghPImbWDthCzTxuJNw3TwjAkXJbut/N9n/UX&#10;Yy/6BzoiWHjeuRcE69ESuddTjXHFLm/WWC6ZT5XzHhLfRcz98qVLNYYWnkMvxA/FkQ4tmXuhD6EB&#10;YzZ6zOmnn6lyuJ/MRZHvvej7RCXwoSfagx/so838C3yKbknbsOXgyXToUch72FsC/Y+4S/rN/FHU&#10;AT5dKGMAOgj6P7IHjjBmMxeDn4ucL9jg2caC+LDCV5YObYzO1D/Ir9Oqcy60kz4xHsXXwfgNtnzy&#10;5z914Qc4yIHP22TV3pnO9wtxD/UK7P5WjWGnb84/78KE/yPaY+3MCbIeVnL5kAd1N8EPxttXX3lJ&#10;5D+YB0N/sD2g6INUvGV9As7gr6Nf8Z8yj3PTb36j8evE8pu/hXNP8lvs/w+SvNLEn7a2XuXQxRjX&#10;0D/IQWa8WAj+SvcbxDqg2yNHjGX4EVm/Tt8gQ2AK/3HgJzD5I3YCvSNYXzdL4ze5P9M2+rDCV5ZO&#10;u8J1YA6JdoGP8BcHGMix6NGFGlOL/m9+Y9qNXKKr4CPmYK1MOt8t9D3EbMNbxA2r/ZLQPw6NuP7R&#10;tPUINx0fr2AIezayF92mje1u/bq1ym/ohei39Bv8Bl0NK4zG4T7mPnRk7Vv6WHSQhQ89JPaL7FEl&#10;79e869CkD8R/0Hf4T9ElaQ88iuzhswu32ehQzDOxHugPxEMwp4mehLzgOzX8APvBd/jU1sUge4zl&#10;rDWjjHdwzqZ9PqzwlaVLL7AMTGA9OPMT8KHpT2Aibbjphuu0zYYPPMP70Rktlx5n9C9kNd1vF+o+&#10;9nukboxRfQk/mmUf3BkiJ/gzt5H1c9Uja2TutkNtfMN4eAu9EJ8GfOXjLcrQG1mvpHMvIm/QoVPW&#10;73/43juyj1al27FO8ENxQ77XB/HDfDv4DOArHx0KxW/J3/njHz5WjAfrobvZWozZ4bpiq9CXYAxy&#10;iOwxRjCXy3PIIfpj8vt789uHFb6ydN5pehD6EpiIrgRmUFfqjZ2M7cJ/6E9h3YPYMfAeHCXWhdyT&#10;yCgx7ul8u5D30CbaQP/QNvN/RF7/EDtC18CI/VI/rErydOyo62WNr+CxoO9madtS0ZQxjjh3+mel&#10;rLvrFL7kUAzqbHOjRkkuR8kHSPx6EMMe/fjTZP0DvQP9inmKVHQoVnlH23qlPXWD/+gzcIL6ImPI&#10;IX3EHmetl12i/7HODP8H/+MTYT0u+U2QN/o9Wc9Mt20+rPCVpfs+cJq17cgXdhZtha8MR8BIcILf&#10;vJN688ytso8KfuE3xd6hne/Ks9zHnHW63y7Ufax5Ud6SuvUt/Ah8EidJHnb2i97/gAO1f7D3yZuz&#10;cUPgq0cvZkxLRU/4k1h3aIB/QMcG8EPesUneMXny3m7oYPayqJU5XPKbgyPR9oEk4we8Cw+j32cq&#10;W6nol205GIBdAg4g+8gX4zJ4vlD8prwfmeLAnwW2rFguY7mM4dzL89gG+CiRMdpoNkBv6+bDCl9Z&#10;Ou813AMHqB/1BScY36g3bYU38XGE28j/9BX+fOSR+4J1na26LjedbxfqHtoYzHNepfpV38KPOskH&#10;Vu2OHtegvtPm5lO0j6A3R+AD3aD9Q/xDKv8ptgv8C19CC/oZDOLgPUdPlb34JBZ8muY/DdbARB4/&#10;xC/EHlLnyr58tAO+RR4ZC22MKxSP9fQd7Bfqhv+NenJAd+QKOSInC++g3tjaYAQ4YrIIz2KfsuYd&#10;+wVbIFOM9GGFr6ynNvE/eIeehE6EfgtmhA/qbLhp+MiZNfuUkz/TMDLAD9aFr0w5DqZTp3zcg75I&#10;/+Er6Ev4QS4OcpDt19gguXLK3bXX3LBF/9BXtAccpw/xtfnox9gMT9rcS7iPub7wwv/VueGDyL8u&#10;8SaBHRNt/YPYYfy+5I43OaOP8e/4aFDMMubG0P2IH1DcR++TAz2CORnqb5iHfLHWgvka7rE+5ozc&#10;mezxHmsTz9h1T2cfVvjKenoP/zM2m/8NX3AyX4F34IStk6OetJO2oQ9zP7YLZ/RiaIQvJJ1vF+Ie&#10;6ssR1K1V54f6En60aOxYrdutvs4NGrSVrPV+6jt9BO3xaUB7/Fe+ccnyJeOXg1eT+/nuu+91JYNK&#10;3GRygGyNzyXa89roRgfJesJyWf8y6/JWt0n0KfoVnmR+qTfyVAg+5BvMTxDjhu7OQT9g6+PTZnwz&#10;XqX/uI8ckx1t67Vd3Ev7iDPmGcYC+jRc93Tb7MMKX1n43d1dEyOL/cKcYDJf4S8G09G/8J1SR9pH&#10;28zewTbjOXADHkZn6e57hfzP6gt+oLtjc/Yt/AjmX9jnqqZmpIxdCZ+n0DvcV5Zjkvm/ZD7iN2MW&#10;/UjMAbwbfpZr4o6rqoa58SPFdhF7qakP4McBEu9G/sK5Ej+mtpi0C/xgrUimvoF88ia4hi8A+qM7&#10;cMZ3iMzg6wj3G/cZ1sCv9BH3gzPgB7xMLEX4mXTr7sMKX1k678PuQu+lrqZHhHmLfGq0D78w76O+&#10;X3/1lfIi/USbrH1BfOosfU863y7kPa+/ulrbgY7Vl/CD+I+TxjdqnOWUKT9wHR78oD34NBiTsKWx&#10;n5NpS//Sj4xZ8G64j7nmHd/73iQ3ROTx5PEjxH6Jdl4D9I/9xdYqLSnT/GkbJQ4OXgQ/8etnIlfJ&#10;NMv1bzAeXZ5xFnoz7qJXEFMKHuCj4pvMI/GbeBb+p13WRzzHWGCxaPi7fPpmd3X3YYWvrLt32H8d&#10;wnfwFb4P82OEeYu5dHjytdWrtU/oF3RknjFfgrUN2xr8t3dH4Wx8RF2RL/wA9ME5556fWP8StfW3&#10;5DA2v0Owz+t+o2vUN3HhhRdJvFcwFoX7iPZwoBOiCzMPZrSn/fAX4xl9xnhn/Bh+R2dHpzvjjLNc&#10;mfgjDxS5JN6kRerBoXvPyvxx1OZkNP9HYv0tc9HwLzoxvgNrf5TO7BGluCC+Kupq8sbYBm9iW7If&#10;HTIEzjDXEu4jkzP60GLQwCD61/g8nfb6sMJXls67iLmh7uj3Pr4yfDGbEoxEDwbnTQfjOfIn8Z5w&#10;Lr10vl+Ie6AtOh/yg57OnOV5ifVzh0Zs/b7uPavrbcUHgeyKHdE4YqgbPmyYe/2NNxQnfDwFL6LP&#10;wnemC9NuDtaj0mcc9CdYk/yOTtFBVr2ySvUc8rzrt/Gjqi9V6pI4R2lOJhk/aBfjMuOYtb0Q/NWb&#10;b+AnYM4FmUF+6DfqTVwH/RPMx8xSDEzuI34b7tj9jO+mf9i5p/r4sMJX1tN7+J/8HtSbevnwgzrD&#10;l+gg2F6Ge9gB2Du0nWdtLhvdi75L59uFuMf4iLgd8IO1VbQTnz2xz5GLH5P5FsZ+cn60CHZMGiXz&#10;LjLHcPiRR7sNoqMTb57MV2aPmK+K/sL+t7ajc4ErlKvOLP2V/I5NG0RHlvfv/4MDxadQ5o4e2+Ca&#10;xkoMCIfsfResyzW9KBrnZPyADy1vTSF4q7ffoE/Qj9ATkRt8ivAi18yBMifLGIysMS9De5L7ifsp&#10;ZxzkXvwL4Tn7dGTPhxW+snTaB1Zz0AYOX33R/ZE96gsfgvGMY+YTpk3M2XIPdEinDenULVf3UB9b&#10;I0K9WTN2/gUX6Zr1g7v2i46GTAR5NwQ/RGaPlViu8rIKydE3yM2Zc4tb3x743JL7iN/0AfY1Y4GN&#10;v0Y/dC98XGAovMe9ye+gbK3owpfPulrsuhK3q+R6P2VcvR6WA17XxnTZVsWnlw8/wEjWUdD2qPEh&#10;+IHPEPsEepv+wTWyhF/DZIy5DF8/Wb/Rj/Q1Pkf0jt74i31Y4Ssz/unuDF8Rt8i45MMP2oVvDvuZ&#10;+oKN2Gvca+Me17Qd/EAn6e57xfoviK+VvefASOmvG2+4UdZ8VLgpRcyfbDZBgBmBPDaz3lZltMZN&#10;bCBfYZkbM3aca1u3TmnuG5PgKfrC4m/op2+//bbLLra9EonBNawxPrQz7+0Qurz/7ruuoaHBDa8a&#10;4o4ZP0oPbCjW9WNb2REFO0bzwUo+FJ1/kbrDhwsllpP2s1Y+aviBnDP/hcxZn1FnO+gf1rcQD0Kc&#10;GWOd9Y+d6SftK/kPWUTueC9Huu31YYWvLB1ZBe+YvwXraIfV087wJf8R90JcPvohWMP/dj//2zxN&#10;FHPHQVv6g7Zi57PnKznvir1/A/5I9U/iW5CYC34Hx0jNq1gpuS2Ij7ru2uuF1uiyQU4I6xs7g/Fc&#10;c7YcXPAi/U/byekyR/atgO/M5rRn7aw8KfoNvy+8QHQz8aOOkHh2jqNk/d70CSNcs+AIuQSCtf3M&#10;8RZXB9F8jrJ+f/68+cqL8CrjBPjx+ed/idw4hnzbHKXRPXymD5inoO+IPcW3Ef7frpE7fOTgB/Np&#10;pnsUAz9M/6DuhgdWT87oUbQZnzZ8aPMX4Xu4NvyIar+Bf+D6BqF9VPCDNfnqL5X9GTTPmMpjjYz5&#10;Da5aYjGGDRvqrrriKumXji6/ha+PDPuRH+LIsDHhK/iJ/BLwGbhvz3J/cv/xH+X6n6yn23uffSWe&#10;bJAeI2XPzGPFlmmSORj0DnIagXvqEyniOl3sF9YEkY+eeuNPCOQzmMMGO9MZQwt1T0/4QR+YHUBf&#10;Wn+F+4oyDuLI0PfJd2i4kW57fbqGrywdujCPwvwz+BGup10zh0SfgCPWpvC9ds34TnuiiB/QgfyS&#10;+KeihB/IH/szYK+QHwj5PGRMg6xjq5Txv1Lz4qB3sEetxUdZv4TP1gfoH8gRtiYHfWe5hfBP8b8v&#10;xod38VygVwY66Htr3nZHHDVVj4rKKlc9tModLhgyAz1J9KUZYwP9I9hfojh6yL7s/yL6x+9uv0N5&#10;E/60fNK0JR3+L+Q9PeEH/Qg2mI6oWC59E+5rww+TNzDT8IOzXXfXLh9W+Mq6e4f9h78JHcTqFa6r&#10;Xdt/nK2N/Ge/aWfQHn/skn2rWGdwmTXE+K2YY2DfA92zUfKfBjnHC8D/omsEa1sTNorOh4pfgbkN&#10;Gc+nTWgQf0e1zn0MG1EtNj17EohfI2FT6DpZob/1SfgM/ekLypAb8ieE/VX0MfcgX+HnwtfhPqZ8&#10;g8SDwMccV8yaJbGpVbJXQpnbU/Z8a5a1wOCHYl5if81gvlfaIzZOYN8ENGXfq3z5StiPjz2Mly5d&#10;pn4t2hDgR6vaAMXit1TfhQ/R07Gjw7S3a/oIjO+pn7ifccHn5yk0fiD31IP4DeNBa0+6ZzDF9Mao&#10;+j/we6v+ITKJP3i25DCvFP9pPvef2yIHD7aK4MTJ6P4iUy0yL4rf9GQpP1TWcQwROSC3aTnx2HPQ&#10;x9sT+sCW4086fQIfsoYAe5P+TeeZ5HtU55H38C78zf/7P7K+TtaaVFZWum1rJE+I4B2YMR19BP+q&#10;tAtMaZZ4WcUPxctAV8kXfrBWp0L23XxyseSDlTrCv8Fc4Xf3NUsl04UsBz+C/B3s4e4fC5L7Ifk3&#10;2MJBPHGmcXI+XcNXlg5tgjUrm+dUkuubzm/ikww/iJ1OBwPTqVsu72HfOY15Ex/kR7L30mzxn1aI&#10;POCDyxd/q68g4Sewb6jPQNaXkGPjJJlrmSR7UlYNGayxsA2No9w1V18vOkeQ6z4d2vvuAc+Re3gU&#10;XsuUV9vWr5dxPFjrv2ljp7vs0lZXUxvs4V07vEr2n62RWHehn7SnhZi3rcW/Ohb9JKHPJTDE2p7r&#10;8ySZn6qQWJXly57SuH7aabmusN1yyT+5eBdyYXY0eoav73oq4zn6F/3Scmr0tm4+rPCVpfNe9A5i&#10;avG7Zcpn8Cp7AOOno23pfLfQ9xATQeyOzWE88cRi0X3L3PckziHXfB1+n8mS+gmY/5Q5luMk7+9k&#10;2WulqrLClUsdttthR/eLX5wt6x6ILUfmA1sj0/6w5+A1rsGQnvgy+X/DIPqW5+0d7FN9yGFHusFi&#10;z5B7Y6T4RSaLHJ8obSJWFb/qFj6R/8/emb/ZVVV5f/8D/b6SmlPzmKGqkjAlhEzMUzcBMjAKhKRS&#10;iYqIiqJMgiJCgv2qOHW3U6uA2u3ziKCNtnYzCYIgEPF1gAxVSbTfVhQRfbt5f3m/n33uKk4O+957&#10;7qlzb1Vi/XCec8++5+y9195rfffaa629dxUxZKnWJNcpNuapJ5/y9FHXaB3hdh+nX2seS1MesRKR&#10;Hvx6G3ayD0LPzE+xRXrfrfY0TFNm8p0QVoTSkt+Fnm0tHH7pUH3TpmHvhybzG4bKmqo0cB8bMTqf&#10;0bPz+V/49abEasflPdffBdlBnjiX6bR5c9xQV5traY78skODw+56xdHvekF7IXMepeYsrEO3sSmy&#10;Z1Y+fwEzuJAn6AULjO60d76lfC6fj57Zq2iX5n7U9XnFP7KGaP78IdHTLB2qyR0rLF4tGpnXQLPX&#10;tUwXqcJ9sLvDdXV1qT77hG9RTAH70WDHxz8xVfxWqlzit4k/TdsPyffgDXQsfGxgZamyiv0XwopQ&#10;WrHvk+nYFVmzmKxr2mf4y/Y+tX1CkmVM5TP+ceIf0PcYR718SlaXrzjOzW5p0vrWwp45kvfRwln3&#10;r8ORgp/Sx0/5OA3p6h4XsItG+jq2UPY6jvbe0V3j8Tqdb3d0X7d8Kk3e18iZVUuWLHO33rrd7ZGf&#10;P20bT9f3dine+Mb33ez3ZeVsCfypHZqPLdHc5lzZRXxb4J9Wm40w1ym01ajayvZ457w7zvjdTNvr&#10;vVCc6xZvp418VNhaLlY+lHXKqWcc4JsivoBxjJjbqeS5ZNmMYVxgB/HbHpOFx1n6lb2UwUi+TZaT&#10;5jmEFaG0NHlh0zEfTBZa+AZ5tLXJrA1MU26t37H1H9QVHYm7raE7TuOmP7NR8/gDbJ7xMRNZ8PKA&#10;TOBjiPwMPi4T3me9u/7fIBlZLV1+meSnu63D21gadObC0YuPce9+93vdY488JPvGrknxT9Z+qsZ3&#10;6DljwuSx3TvdFz7/BXfu+Re5BYsOlz2n0dUdVuf6OrrdCp1bcy6+X7UPttbNaqOo/YQXwlib94Ab&#10;B8x9Yu3P+1G8bpfbqrhYdB32O/qw4mO8LKoe6FnMx8EP1o/UmsdKlQd28D92C3QQ2i1Lf0ArsTzY&#10;HIixLVVmsf9CWBFKK/Z9Mp0YWHwwfm1qBkykLdgbGr8U63mT+U/1MxgJT4GT9Bk6Ofjxs5/ucG2S&#10;8WZ0EJ0tu1W+hBHFWbJnoI2Tdh/Rnhj4S7iiWC/tMyx/QzRmajwc7HCr5ve4uvrD3Bu0TxhrSBoa&#10;6lyP9Ov33Xiz2/1CFItM2cR0RHaYbONPFr6r5jf4mLGh49ciHmH/3n3uqqve4+PfGhVfjo0C3aRH&#10;Ntfj58pXPdwhnFAb0874bHTHbhLttcbv13S619qf99FTety6uXN823Z19agtx6PxQDEyHsvUvozN&#10;+J2mmu+S5YMhyAjyn2VOSR/yHXMF9Gn4OllGmucQVoTS0uTFO6ylBT+IG8jCZ2Aia3PpN/RGw9q0&#10;5Vf7PeYv4LXhh8ViwW+XbRz1ceyH93a7CwfnuY3SHeBn41u7s6ef1609D/e7C3Q/S3hxgnyIw9ob&#10;rEW6NP7XJsVIdAozTjjhZPee91zjnt7xjF9Xstevb9UYKdyivahD1jEoSx9V6xv42eggVgR8HBet&#10;4/JzPS5+uuba6/y+RC34mORrnaWY1lbZS4ZldzpRvqf1asdL/LxPdhPtpcD80fYMsLa3+8jQgDtd&#10;2IHPhbnLO995tT/D169pUnvSrtAJHxLHXm2+qjT/P778sh/H2Ks2a3/Q3uyDaPtpVFoH3g9hRSgt&#10;Td6s/aXfwUXORoGuCR5XfxhvpKEXDMK/nabcWr6Dngd97KuL/QMehx5o2/XCL92aNeu8L4azVOd3&#10;t7sTtV/PavEye4OcKfvFqeCEdHB05uHeTtc+u1lYUe9jl1iD16l4r+OOP8ld/pYr3H33fsvnT97E&#10;f8HT9Dm/KZPyrU3tnqZtp/M73jcjev3d0xjxjcfJAt0//clP3Oc+83m3ZfTNbuWqE9zs2a3C7Xrf&#10;juwL3S776wLFlSxTOx8vXCEu5xxh+VrtI8A5lcfrbM05nXzToLid2e6NF186sZcBWBy1cVQuY8V0&#10;5EPqCLaZnGXpU/afYC5OHtNF/0C+0O+JsYIHwA9o5UrD44Y32GHxb9cSG9KUZWffEvtnY1S87ziH&#10;/n/97UfcSaec7rGAuDLOMiA+BHtnSzPxGY3+6u3rd6vE/xddeKnsJ+93X/7SXdrz/BfCBnAi8ulb&#10;G8bL+Ev+bfwRyXmkf+G/+eI/fsm9/cqr3Jmr17oVK493tG3UzsIItb21P31B7Fp3j2yy510k2WFv&#10;jNfbD6xv8Y/Cy9NND2Z+Z7bdrPxgfgr2+0rD+6F3QrpGKC30bTLN2hjfpq3RpB/S4Ia1AfzB+8zL&#10;sC8ny5jKZ+gjJhbdqFgsJvoIOhj+Sez38PX119+kc0VuVNzlLdp74zPuq1/9Z+1b8LR0i8iOYXMg&#10;7BgTertwyPOw2qKS9rN2PFTvvi0K+gnYOi6dhLGJOBfaK5J7zT3kE2Mu/bWvfs3dcccn1Ac3uuu0&#10;zxNnS9x111e0h8HzPhaWtg+11Zjkk7LAj1JnaU0VP+aBH4yB8DI8l5WOEFaE0tLkbzpQtH42it+I&#10;+rb4XjWhvqPf8EsRp5Wm3Fq+A36YTS1Ud9Lga3AEXmYfDGIxsFn4q4AHNn7yLjHdjIFgDrpH9Bzp&#10;a/xfjMeLlX8opxvWwldcE7H5akP4hjanzbAr85v3saH4NpR9dJ8uy4P/iYn1/yVwxPJiDGM8rCWP&#10;pSkL2zJ8iL8ia3+j37NeDZueyW6asuPvhLAilBb/pthv6oANhHgbcA29CGyzvqZPytFKn/IO+EGc&#10;luk0xcqsdTrzF+aMYGSIFupvmOnnIPC06IF2xgx8C+gdnm/1LumMnXt2a64nefD+YN3Jm/e5p2m3&#10;UF0OxbSovfZMtA1tC17AZ1GbRvqItZ1hCc/ehqS1fPQL6fQFZwEYz8Xbi3TGAPyj6NLTjQ8Zx7DD&#10;YdsN1T9OS7Hf2AhYiwFtWekLYUUoLY2cGoZF/hPF3Tz4wAT/IxvF6Iine/nTHMZixNOUW8t34Clw&#10;n7WZ8XrP/A7PAw7WdrFxwObiteSxtGWhO6BDpMEPcNdkizsX+y+z31dW7KCeIawIpaWhyeqBbwn9&#10;49v3ftOPqcZDacZRewfb0HS0ext+GDYabTP3Qws/6GdscaxzwgaShv9r+Q5jNboRMWQmM2l4kHEc&#10;7GCtK/qL7Q1l+45VSkMIK0JpafI1PYg7e9+hG8Vpi/8uRiu0ResOtvt1eGnKreU7Y9KDvd1bulUa&#10;eorROZM+vfHG+pbxmf62sbGWvFauLPbxBgPYfzAtP0EXczewhzGeOE+bN5QrL/R/CCtCaaFvQ2nW&#10;zuxJ4vf4Ex5QZ7vS0Gn7Pk3H9S8RfkSxbcZjaWiaeWd640WyfxjHSIv2XNs2rfQPkzHi68EA1qsn&#10;6x96Nn6NdOjoDJ8Xf/sbT1tWDAlhRSgthBXJNOgy2ogdxU6Ajxk9EHqsT0K0WRo2LWI7wfyX//CH&#10;ifySZU3V8wR+FGw7Vu+Z+8GFD+X6y/T8e7QHO3xsfD1VfJcsF3lnX3zGaFsDgw25HF1gCGcegDvM&#10;fch3MrSFsCKUlqx/sWfDEPZcoY7E3oAbae2n0IffBdvwZOgqVr/Jps/gx6GFE8XkDR0fvkX/IAZ1&#10;snyT9/fIBhiCfZcYdLADvcJ0jCRd8XQ7JxLbDvWaLv5b6mJ6EHjB3AwcgC7oidOQpM+emY+BqfRb&#10;/CysvNs/a34z+PGXgR/ozGBIZP+YXvMXeNfGac54RVdnvRl4R51N3zeZ4h4fv4k9IAbB/BMms1lk&#10;IqRrhNLS5m06w6uv/rePTUEHwR4KbWnwA32Rb4gdpMzJ0Ja2zpW8N4Mffxn4gRwid8yl0T+Mryvh&#10;lWq/i95AvBDjtO1DFseJOH4ge3Yx32FOZuvbJ0NbCCtCaVnaghh0sJF6QhcYEqeJ39Bk6diDwEVo&#10;Iz7GMDZL2dX4hvpQX2jiXOkkLTPPhw62mKzhQyR+rBr8lDVPk3fu6OjMX8AQ7BrF5MxkDd2EmFre&#10;xz9hMpZ1nA5hRSgtC63fuvcejwXEyFl/JGWMdOZu3ImpQDbZ6zurPzpLPdN+Q1tj06Xtv/Pt+2bw&#10;Q/if7M9D5dnm3OyTbXaCtHxSi/dM3rkzD+GcXuQNOQr1gaXbHsWM0y+++FuPi4ZHWeodwopQWpa8&#10;LUaFvf6s/kna/HytoJtwrgp0Pfjv3580XVnqm+YbcA39CL22GE1JGmeeDz6coW8Zq7HF0deTkbE0&#10;fFXpO3H8sLPO0fepd4gvTS/BrwH/cjau5WE6SKV14P0QVoTSsuSNLRR9Av0PmmxOGZcn0szuA9aD&#10;o9hLoGk66iC0A7Fx2L1D/RSnbeb3wYcb1mfI29juXd4Wh65pspZFDvL+xrDM5H6n9o0F5/BVGE4Y&#10;HXYnHX5lTMeeAyZavSw/e67kHsKKUFoledq70RrB7R5DitEFffzHhd0U2ogBsTym0936C5zjos7W&#10;PzP3gxcrQn0Hdlh8FnGe04kPqUtc5uFD9HbsIMV40uv50qegBf0DnQVM5IrnVSmdIawIpVWaL+9T&#10;N9booIMQY2t20nh/WdoLhb1qb7/tQ54eo8nuWcqvxjfQREwLWB+nY+b3oYUfjNWm6+MbrQYvZc0z&#10;LvP8xo6x/dZb/NhbSicGW1iTBtYwtmctP/5dCCtCafFvKvnNWfXYG1nTb1iRlDXoYq8d6AJryH+6&#10;4YbViXqB4dTV1ogn6Zl5PvixBF597AePeH5kPXklPF+rdw1HGHuJJcWHC36EMIQ0aMJ3y1wnrzqG&#10;sCKUlqU8ZA29A/xgn5OQbgVdpNMGzF+4OIcqS3m1+Aaa4CvmWTt0vsQMVhz8WBHqQ2SNcxvQn9H9&#10;a8FbWctgDS12Q7ABWkJy5tM1fyG2O899/UJYEUrLStsrr7zi51v3KC4spH9AK+ncsUuCNdiDrLzp&#10;pIdQFy7GI/CDfgvx3kzawY8p7B8Ez2IrmM7jGXICbiA34F0x7IAnGauxkeTpTwphRSjN5LnSOzpW&#10;qXNuzP+Crww/L/1FvJnFrvN9pWVW8318QvQR8xfmMfw2fdHuM/hxaOCHxRPYPKGafFVp3iYX/+/V&#10;VyUzkd+BmG14rxiGwJ/IF3v32veVlpt8P4QVobTkd2merY7mrwjJF7Tauh/izMy3ZGN9mnJq+Q71&#10;IoYM/ODsjXhfheibwZKDE0vgSXz003UdJ7LFxfjL3AXbB7zGczGew5+EnsL59nnFRoSwIpSWRUYN&#10;P1gLx15rcVkzGkmzeU1k797u55ycA5EXjVnqXuobMAR60BtnMOPgxAfjv2J3+pUYK/YHND4uxRNT&#10;8R98SKwlY5ntpxmSMWiEnucUO8a7+DL4No86h7AilJalLOrIZT5n1voU6y/oBvPRVdCxoHU69xux&#10;fuzRavhh92L0zaQfXDiDb415ATqx8XEWGajWN1Yn1npYLEF8LE7yG/xJ7Bg0/fQnO3KTrRBWhNKy&#10;tgMYAN5Rb861NV0jKW88c+HHZQ7D+W7WRlnLzvs76kOe0IRfGj+YrZNI0pPsv5nn6Y0f1n/Y4ZgD&#10;sO8V49gPHn4ol3E6b16EB3/3uxf9fIT1L8ZfJkf2HL8zb0G2wMa86hPCilBalvJM/nfoHAfmXU/9&#10;6IkJOkth5Z1f/IK3uWIbylJuNb8xmtAbwcQd8uGa/yjeVzO/pzdehPoH2YMvuX9T4wP4Qf9Wk58m&#10;k7edkxKXqxBdlkYcPjQRb2Zj4WTK59sQVoTSspRjdQTvmHexp2G8j0wXMfq4j+nd+791r5dNxvYs&#10;5VbzG6OJ+F/6ws7vga44HTO/Dy78sDGAO+vBbY07c27r82ryVaV5Uyd0YOKldu18oSzvgYsWy/nn&#10;P//5oJi/QCN6Fr508IO9kpAraCkmX/z3xA8f8/iBDllpu1b7feMlzh4GP1jbDc/N4MfBhRdJ/ovj&#10;B/MX5NLG6mrzVJb84UPsHuBckpbQM/Sx7gK7PzKZpczQNyFdI5QW+jZNGj6UP/3pTx4P8HeiXyBr&#10;xWTO/iNm5Ct3fik3OtPUNc079BvXb/7z/3iawEX6awY/Dm78oP/sImYanyi2AvbRsz5Pwx+1egf5&#10;Yf6Mrh7Ci2QatOGP/odPfzJXekJYEUrL2i5gHRdxb3ZWVjlZ4/+vf+0rvn1eeun3E/TSj1nrkdd3&#10;8TpgP/X7DcguTH/Rp8l+m3k+OHDFdGL6ED8F4wK+QPgm3ud58VEl+Vj5jMX2mxgwdCR8EuXkCR6E&#10;PvyFxBzE86mkHqF3Q1gRSgt9myYNermIu8fnWU6exnbv8rQ+/dRT3uZqezSCQdMhHsT6D9ojX/N2&#10;b6u3PipH38z/0xtPkDPOU2FsR9/PU9dPIy+hd2wM5j/4j9hs5i7wn+FeOb7iPcY7YrHIJy9ZCmFF&#10;KC1EV5o0kzfmIuanhlYwM4Sb4AfprIFBf/za3XceQK/ll6bsar9je/unseuU69+Z/6cWV0x3RM6Y&#10;Z+MvZJ9y+G068Rw+yWjuss3XE3mxupfjIXQqaMpTLkJYEUqbbJnYflnLaLTSTyH8sDNw+B8/LhiC&#10;/cTwcjqMB9YW3/vu/V6HvEfrrEK0lOvPmf+nFjOS7W99iN4BfmC/BzumA8/F68A+wcxdmGchJ0k6&#10;Qs+Mx9iDWWOXJx6GsCKUZjJTyT1eT2JQ6RP8YWAIfWX9FaeX9uB/4niI3UGPxL9NXuht8TwrqUs1&#10;3mVfGeo3HeLYD8Bl9Dtd+wrtHMdq2tzamHbnN9eYfA5jen9cl/UH71q+pEX9tde/x7v8t7eQzn92&#10;Rd9Hz3vHWZMRnUuCX8PGB9L37WVPS5W37zUZIA/e44rKqw3GWBtRrsVAE6cJ38Rltxp8lCZP+J4x&#10;lLoQc4p/gfanjeJ9ZH2XvLM2hLE4b59mCCtCaWloTL4Tl3ViXcCPeAxqksb4M21C/Ad2V+STvOxK&#10;ljNVz7ZnCfsOUPda8nu8rfgN3yMD3Im3sbrsl2ySxjUmmd0jeTXZRX6N//aOR9/vU+wD8gw+0P7g&#10;OBixz/i0cN+96wXlqfPOKJPyYxfvc+3R92PK99e/Jk/FxxS+5Zu9KsPwh7JNFqgndTJ5TtJZrWfK&#10;tLaA57CL8wxvxfl4KngNzLA6UCfkiL3Wfd+on9K0iY11xMNZXnnQEsKKUFrWsgy7wQ30J2I7jFdo&#10;iyTt8A1pnrfUNvcU9mCYjnui/vHll8VnH/I6CDKbpKWmz2pL0x3ADLCBNoTHnv/5z91X7v4n98H3&#10;3+ze+tYr3dlr1rtjl610g4NDrqOj3TXU17vGhgZXX1/nGurq3Szd+/v73BFHHuVOPuV0nSvyY48H&#10;6A7I9w033uyWrTjeDS9Y5FpaWvW9votdjQ2Nbs6cOe6ooxa7k08+zV18yWXu6quv8deHP/wR97D0&#10;771gj+rMBZ5F/S19SPX1WFPAoJq2ocpEz8dOQL+yhnM64Ad1MDnC74Iewfow+oI+oe3KtVN0HnUU&#10;a3Yw4Yft4wGNzNn+7Xvf9bQa7yTppk0MQ7g/+/SPvXzSbtOlL+NYiq5Lf3J2T5KWWj8z5u8S/3/7&#10;vvvczR+4xZ1/wcXu8COOds3Ns4UPja6poUly3uAaGxtdt3BjXleHW9jT5Y7q63XH9Pe7xbov7tfv&#10;gR431N3peme3C1Ma3VVXXe327de6EPXhmOR+zpz57rA3/E83p6PFHdnX4Y7u6z7gOlLPw12drr+9&#10;081uanF1deBL/cTVqHr09Q+4E086zV1++ZXuox+5wz326KN+vkWbQUeEK+XlIs82ht9sjRk6b7yf&#10;p/o3Mk/caDxmzNqIe7l2wFbH+E3ckmFRHjSFdI1QWtaybA0L+gP4gf3XaA3RDZ6a3kx/Mq4zP8D3&#10;S1550p6Vpvh3xO8wVmGrMbqm4k5b3b79I27e/GH3P/7qDR4n6iWzzU3CjLpZrr2txR3R1+5Ontfj&#10;Lp7f7zYP9rmR4R43yjXU7TYPd7lNukYXdCm9y21R+rrBOa6psc6tWXuu2yPsGJee8PgPH5d+0uBa&#10;pG9cMjzPjQz16lu+f+3auqBHeeh5YbfbpGvd0By3amDAX+BSQ0O98m1U3Rp0Nbp6PTfoee36C9wD&#10;Dzzkxw/6nbjlWrYlug/rmojRjPsppgPPUQfGKHiNdSxjah/kx65y7WRrX4inMl9EnI+z/g5hRSgt&#10;S/7xeuJDQS9kXW05WuP/0z74SfmW82Ty1L2y0BT/hrpwVg24Dr4jw/G65/Hb+AP9jfz9HMXbJyL7&#10;4/33f8dt2LDRDQ0NSy4b/FjPXKS3vUP6RI87df6AO89jxevlPC7zE7+HwBBhygLJv+S+s3W2W7Hy&#10;+MJce9zdfedXpJM0uJ7WlggzPPa8hh0T+cTwBGyyC1zaMNznzprf41bN7XNDXW2uraXZz58alW9r&#10;a6s78eRT3e3bPuyeeuYZjR86e108sFt6z/jewjoB2Uv26zfzHj/fkb4y2bambWlrcAObODGo9DV9&#10;PB3w47/+6/96PRdeIzYqDb3Q4/V54SJ7FmI3gZY86QlhRSgtLjeV/rY6g+vsCZeG9vg77MuG7sIe&#10;S+BQpeVX833qQ92Il6Wv4vXO9bcwgzEZPeDhhx+RTWGjGx5e5OcELZK/ztmtbvFArztraMDLJxiA&#10;rG6WPjG6UNdw5wE6QljOu/Vet9dL0EFGh/rcvO4Ot2DhEd6fA323fmiba5LOcEQvOAMupMEl9JHe&#10;whXpJl7vUdqo9JfR4X53oTDlpHm9blBzKvAPHQV7zKpVJ7jtt/+t5jTIQuTLwb5DW+Td3sgbckZ/&#10;suepjVV2ryYflcsb3YN6xWOoyvHXBH4IG4m/wmcDLXnSE8KKUFo5+kr9b3hHDCq+J+gqR3v8f94n&#10;9va2Wz7oz70pVVYt/7N+wAZSSSxgnLbQb+i1NkLv4MIf++gPHnHnn3+Ra23DLlHn2pqb3ZH9PW71&#10;IDJpOoMwQDrEiPSCET8X4Rk57UuFH1u83tHndZAtwqDhrnbX3dMzYZt411XvkWzXuRPn9Hv8GE2B&#10;H6NDwjLVgYu5DboI2DOqOzi12esw1I9L8yvpS8fPGRCWdAlLwJF6d6TsOLdv3+71DnDD2w0LdpJQ&#10;G2ZJo81ZjwafwkfWv8nfteQxykJ+sMcwd8EOaLxRikbjIdqK3/Anspd33UNYEUqbTLnWD8SSgp/Q&#10;g0yUot/+s7Yi7gX9CzvIZOqS97fM0YiNw4Y6pjHR6j2Zu/U9edD/xMy85fK3uc6OLlfXWO/myfa5&#10;erDfXQYmFK4tCzS+S05Nr/DzD8niCPMRr4e89p+9E7pH8iz7CHgkXeTovm7hRZPoUn+p30Y3v0k6&#10;zyy3ZnBQGCCMipUZys+neT0lmsOQP9i22X9XqJPyIS/wZDNzJ+EIZaM7XSJ9aml/t5stHQtb7jFL&#10;l7v77tX8X+2Cncz4YzLtzbfW5sR4f+Pr/zSh48O7duXNO2nzY78O+AufMvOqNDQbPYYf6O7oICaL&#10;dk9bh2LvhbAilFbs+1Lp1u5WV3zWzC2hyc/ldS/X72ZTwPZB3/I9bWN5liq/Fv8xNhAPSP/ioy5H&#10;T+h/5AD7MnQZvfv271Wsxh73sY990h29eKlkRzYN4caZsn2OoCMcYF/I79nPX7wsC3sW9bilA92y&#10;dTYL79VXqt/IyBZvm13rMUBY4LEhv/KTdKFXgSkXCyfxCzU3Nbtm2VrPOuts9y/33z9RLz8eeV1N&#10;9hLhQaUXbf+Ln//M85ed314L/gmVAW/HbYfwF2MneymmpQt64mM0/MmeSKHyJpMWwopQWtYykC/D&#10;EWJQiWHn/JQDZKVEf9MGvIu+yj5t4AfnrpCn5Z21bnl9Z/s+E9uXtn8PeE/0ganM6aF3t2yGO3Vd&#10;ccWVrkV+k7pZwo7WZrdxwVy3cajTbRlMY3PIKNPggjABnww6wdJ+6Tyz6t2//9v3fR3Xrj3P48cF&#10;3m6BvoBekbGsFN8x99qsenhbjuy5J8zt8XOaBvmF+/rnuqefftLXC5uI992pDQ9o2xK8lXwPu6TF&#10;KOXFG5XmY+MivG3fsseM1281ziTrXOw5jh/wFXJjPiUrw/KfzD2EFaG0rGVYO3DHxwl+EBeM3TyO&#10;j8XawcZj2gMdhNhAzomJ43PWuuX13Zj6h/GBdZvF6CiVDo3MUbj7uHPNFW684f2uRXEbdYe9wcdo&#10;XDrEnALcQOevosyCH5JrbChbdF81t1d40ai4ne95389ZZ631+HGZ5hheplNgwOTwBfsq9hLRrTkP&#10;91PnDXh7MfU65phlsgs96ucy+GPAkVJtXew/+Av8Z46AHpIXb2TJx8ZGvsXfCnbY3hfIjMlEMVri&#10;6bxvehV7tJMn+eeFISGsCKVlaQerq30LboCDxOjEaSz1G/rpW9oMPf8exaPiy0Xfny4YQlwP4xZ1&#10;K0VLsf+gzcd8a45ATPjb336VZLTe9Wm+8jfz5nrb6MgC/CfYQRmPC3aDKspuJK9d7jiPHw3u+7I/&#10;0RerV6/xc6mtHs8KNosq1mNkED2ox20SnkV6EXbbbrdBeg/+X+JbhoYXetsy46zFrhZr62Lp8Bix&#10;PPg48jpb2vg+650xF0xDZojbZsytxOYDTdBrMZisI7O6HCz4QX2trpEetc3bC9DXi/VlPN3LVgFD&#10;SCdulz6uhi5mbVvpHfqwC3/x85/1NJlulXac2Ku2GN+jdYXq72uvvd7HcfR1tMoPIX+F4q+8/ROb&#10;InYJXZGfojpzBm+3FB4gs9heV87p9fGq3/vXf/U4fqbwgziTLbJHeFur14eqUxevB/n8zRdNOdiD&#10;C22iOpw0Vz4a2UMWyseMnKC/xdt9bE96Oz0+DvTjSvs/7/fhJxsb8Rfgd0VeuMAEw4W4nIR+27vR&#10;fqDbJmJa8qxvSNcIpeVR5ou//Y0fp22/jBDNoTRrB8Y/8Jc2JSaV2Hhr5zzqN5k8iBvAvksdjX/T&#10;9jNj5q7de9zHP/5JP572d7a5SzXXHyF+cxDdvYr2jjK6wyrhB3iB/kHfrD5rjY/P2Iwe5OdR1deF&#10;Ss1/8EufOE82Xukhy5avcj/7xS99PekHrkrmM7bHlc25J8MPk/nWxlv4h3mx7ftp41IavuIda4Po&#10;rIBtXnYmU6/QtyGsCKWFvq00DXlHzyeeFBlL0w5JPOEbfLnkQ0xNpXWo1vtWJ9bkMk7Q18m6F3vG&#10;F/mNe7/t+gcGfCzmRfLNjhTGf2wQ3gdRRs5Lydhk/pvu+LFJ7YQ+cmx/p7cXLVp0hHviiSf8/JZ2&#10;3bO7/N7k9At9xjwBG321eCRNvmCH4QexHtQJnRt5QX9Py1eGH4y3xK6js3NeDHWw/NPUp9w7IawI&#10;pZXLJ+3/2D/xQ1fSDnGcoR2xoxoO2fq8tOXn+V58nCJGljpxrkOleubzoqdDMVr1WqeyUnFTyDtz&#10;Bz/f1+9ofUr15gil8GW64we21U2a4xCH0j57tptVd5gb3fJmt3vnCwWfeLr5CzZGbKdmY8yTT7Lk&#10;hYwTy2Y6LTzFeiDDhWJjkaWbzKCD2Fk21VhPHMKKUFqWNgh98/ef+oTfV8zHD4o2o7fYHbzgsv+t&#10;XdA1sTnY+rxQWdVOMxxnDsW6bzAeXdHqGq+3pYXul19+hZv1hlmuu63VXer1jGi+P8K8BfthlW0M&#10;Bzd+MH/i6pU9FQxudL19/YU1IrIfpuAx+gT8x89he1VVm3dK5Q9fsU6WuQuxbPAROFDJ/AWakBW+&#10;ZW6Nz8H41e6l6pD2vxBWhNLS5lfqPerN3nDsIY+/0rAgJFPl0myPW9avka/pAnm2TSla7D/K42Id&#10;DPoHWE9f+zmM+i5EI2lc6JY7nt3hOrXWnfn76fInbJSfxWyYpeS6ev8pjtXbaCMfMfZT1t8/+MCD&#10;omm3W7vuAm8PuVRrc72PRvOH6tUlhc5FXeWLYZ63ST6hw/vYj6TBXbJhkxsr7IFSjpf4/wHFtyCv&#10;zBGsb6fqzpiIHsR4lHatXJJG4zvwA7s+6z+gx/g1L9pCWBFKy6u8b9/7TS9n+F+RsyTdaZ5pE/CH&#10;8cL2V2YeYxiSV13L5RPvC8o2Hwz+v3K0QcM++Ws3j7zJy+dirUfbskAxHsznvW0yhex4XSXf91jP&#10;wpwAedyocX1xX7f3b0Q+ot2KX9/qfcvrFVfOev+tHmvyrUMleIRu5tf+KG7F3+WnmiO/d2d7u3vy&#10;qR/7fdHS8JSd5fbKK69MuU0e/ICXGGfT1D30jo1R8CHYwdkv8DM8W46vK/k/hBWhtEryLPUuZ/hi&#10;E8JO4GVI2B+iv1wa7YIug17G3DUuy3m3UTF64mXyDmtwse9Qd/QP7jYOxOmh7qQ//4ufud6+PsV5&#10;tCo2ak5hHNd4PqVjuuSxgAn4aJdoTS/jOfVF/9g0slX7EDW6czTWsy4ODKlE3vN/F/spvqCCj0q6&#10;yGrpRqzxu+KKd2idTLoxihhPZHY6+POI04av8VOmtRPG+ct+2zgLT96j2KS4XOQ11oawIpRWTIYq&#10;Saf+4AZ6Im0Uki2jvdTdvkO3QwehfRg3yD+vdklLF+VZuejAYCPx+cxN6L8QRpLG/x/4wC2ar9e5&#10;kzVvtzl8JAdTJ5OM58SeemyQjrGot9N1dnZ67EAHufLKd8p/2+j3IYp0lSmevwi/ojqjN0V1x57a&#10;pX1EhoYXKB7kNdtZKZ4ixgJdlr7kStv/eb/329/8p+ch+IgzUsvpscVo4juwB7sc8ka8VJyuvHAy&#10;hBWhtDzaifqzfhCZx6ZjY3SxNiiWbnYk7vT79ltv8fkiy7XGD2sXaLP1E3EfTKj/9+/TPoOKa1q7&#10;Zp23JVw4qDUtC/EhRLFR+Y/R4fkFdhb2B9so3X+TfvM8Iv1/k+qzWXtybJo/5IZ7ut183dE99mjO&#10;eP211/r9wlZKL4nsH1EciP+tbzfK3rtpiuc06ERLtBdjo2J4H3zowdfptzb+wD/gOD73bR+6xZ+F&#10;PlUxRfAPl519x1p701OLyUGpdJMteBF5Y/9T49U87yGsCKXlUSbtg90CO2OWfUCS7UX/M2agf7C2&#10;1+pIOfa7lved4kPGDXww8KgfA7BzJOZorGUdF34s1P7D7O9FnBh7bXifrZ/H10j/UFlbNVbbmhrs&#10;HuxHyB4gW7BJan4yp6vFLVp0pGhhzfR+d9tt2/0+qodLL/Hx9P4b+Zyx23hdoLYYGMJa9ks6VXH/&#10;dfKH33zzh17X/hP4ob5BzrDBY6t8TPurwC+15B/KsjGP3/Az+2wRMwb/hMafJD+FnqGRC15E/wCX&#10;qiELIawIpeVRNu3z+9//zs/toClEd5o0a1Pu+N3QP9BD8IFMRTyI8Zv5YLDFQQe8abwap4uzDh57&#10;9Id+X5yjZDf1MiBZxmaJDhDt6xXWGULykjWNPUrBLS/3wosoprTHnStbwulz+93yvgHXIr/QylUn&#10;eDqIBb/7LvYvrHddbc3aL6zfrdZ+ApcW7L2+7rKLjBTWxmStVx7fXaR9G9lflfXC8bbnN30C71jf&#10;PPaDh6N5p+xoJst58HvaPKzMl//wBy/ryAYxY9SPMTJZ/zTPNne+R3YPxmvyS1ufSt4LYUUorZI8&#10;S72LbRmst3WOadoi+Q5tYxiCjBLPHvm6nqx5/9P34IdhCDZz6kOdjT+T9d+nNaK33Xa7/BoN7q/F&#10;56Z3IH/RXlzVxw4vo8wzfJxaj3wtA4pd69O61jYfn07MenNzi+vu7nEfeP8H/fo+dH32OFmx4jjX&#10;JJtqs9bQsy9Jc7PWsGlf5HWyl/h9k6d4/oI/d6swsKdttlsgHS/Z/oYdhiP4BJFZ1ldgF6jlGGTY&#10;Af/YGQvEwFI3fJTwd7L+lTzje2H+Qt+Vksus/4WwIpSWNf/kd7TTpz7+MY/3rHeqpC3sXZNLs00y&#10;f2UOgw2d8kyWk2VX4zne/+Rv+2cybnAZzlndo/ted+FFl2hfjTp3AX4MyVt01WjeAk75S7qHyl4v&#10;7Bhony0caHSDQwvciHy0H/3ox3UOxLfcLzUmR3IW+cn8b+0v8KNnn3Zf/vJd7rprb3Cnn/7X2h+s&#10;VXhY7xb1dLgN+JIKNDE38rg4UaaVXb17FO/fpbMl2Cuk0f30uec8n1lfIJM2PiNXrI0nztP6shp8&#10;UipP+JWyLSaSOT51pL7G4wfyTzqf5djuXX5cZU6N3l+qDln/C2FFKC1r/snvaKs7vxida4vemKVd&#10;kt8gp+zrjp5GeyfLrOUze0VRD+bSRftefHHiiadorcts2Rqn0H+hOdN6zT2amnRmVF29u/zNb5V9&#10;6nnxbTTmRXsKpPB/aqxkrcawsAe9ZZF0EeLJI5tqFE+Sx5wkbR5+XiYbyHHaoxX8uPuugq3e5gMF&#10;uQQLuYiJZk8ZZNhkuZY8Q1ngGGt/iT/0+yDpGT7PPH+RTOAHhBfBD4tdz5uuEFaE0vIoF92Q/rEx&#10;Gp5LYkGWZ3iANcq0P/KbR12z5sE8E13YbCA25sXpQi4XLz5G+nX7RKxFWtnI8z32IV2qPQFnt7a5&#10;JUuOlU9IY578LOAebcoYyD1e99BvzoXhPMqP3/EJ+aN1hoRiL95YsIGk2h81Z93E+3Gl/5wu2wx7&#10;ud/xsU9IPiOdw86mMroYo5Ev7JXwJldevs20PESZxEUxp9+h8yXBDOpHP4T4J9QHyTS+j/bF2+bl&#10;Im1dKn0vhBWhtErzLfY+bRWdZaM+k88kSXeWZ7CbuGN00Kk+N4y6wI+MafRhqP9Jmz9/0M1XXMXU&#10;xorJRtDe5teM3HDNDaprpBeDG8y94V9+l+sTsAP53LV7p1t+7Aqvg5w2P4rH8DGhkuU8ca9cXuDH&#10;JmHj2do/Bfy4/vobRUd03gNtHx/TWe+C3OKnKMaztUhn7s0cHDyjvY13QvxTrj/4n37Dd4tdEJtc&#10;tWgIYUUoLc/y2b+UMZr40TRtUe4d2pqLtUa011TuH4WeCG3oQsX2ykZOOZfgCMUoTMRN5jwGl5Mx&#10;/j9X5yRwDkS31t88+5PnxHORzmzzFniXdi3X/pxpuV++3bE9u9zjjz7kZssGe4T375rto7Z2HWLf&#10;OG/mQulA9dornj2f9++LbAmmU5lcch4RPINdGB6vte5BmbQx/ILOarxMPYvOf4UP5foEjGQNDXEt&#10;2HfylN94XiGsCKXFv5nMb/oHvQoZY10P4zXzPdojDa+G2o3v4Afbp40zdqkjuk6tbWKUx1gCfcX2&#10;U2a8bpCev7ifcTmKvxjRGS7+TAPxfpRWZszGbwLmyNcQxV2UeV/v4pPwur3Hql75X/t8LDrnW+9V&#10;TBv7nyXb1+TM+DrUR3E+5/0lx6zUWnrOp+McBmQ5rY2HdwttIv0hsp+UpgvbrN8HTWuVwQ3bb5l2&#10;uUj+IM6h2jQy6n4l+gw77E5dwQ4u1sbDL1yT4e9y35qNJV6OrQX1+6cF+iDZJ2meoQ37AL6Xau5p&#10;EsKKUFq5dkn7P+2HfRm8JWbDsCPOg2naJ/4OWGvfs2cC/p1XX/3vKcEP+ML2iWe//biubHUGP1lT&#10;crT8A1sU5+kxABzQxW98F4Yrxe6RbHH+UhQvAoZE+4EVv28oyKYfn2U3Xay91RtkX2RvMWJLrX7x&#10;O3gRb9/4f/YbXuWKxsz9OuPqYuU7S/IrmcY+7LGueL2S9fZxJNDjvzM8LXIHZzxd1haUB072ygYz&#10;V/hY59afe6Ffq0gd47TQD8x54UWzzdVC/0AGkBfKwlcMv+JntfbM406/YYtlHGOtSFr5rPS9EFaE&#10;0irNN/S+4fsfXnrJ4yK0wXO+XydhKxrbHZ0lTD4Rlm/zMYXUwcoM1adaaY8/9qjvN/ZJok5Jfnj2&#10;mWdce0eH/C8tiptod8PdXf4a0jyCc+sPV8w42FL60ju93YrT7nHLBvrdKvkayl/skdGntSsD7rT5&#10;OttWOsLceYPu1zprZr90omQ97RkauEwHsXS785/JJXaoG2+8OVpT3NflbZgr5+is2xT1w1/CtVxx&#10;KEtk1z1S35dug6iNOLdzgc7ZHJbv2Ldnr353t2odrtbyy6e8cSPzl2jNkcfDgn0Ymwf+CfTFWvOJ&#10;6SHELKP/oCsUa19r50ru5IUtEBl78onHDxn8MJmFLuyMrJ2dbLsZf6OD/FzraxhPTGerNV9QXrQ/&#10;WnReL3VL9vue8XH3ljdd7vr7pF9LD2GvddbRRdcs3eu93Q/bX9FLdosmyUaTYtAa9Ju9yxqUR6mr&#10;Wbp8vfbn4hvWhtTpuzVrz3X7sF+I37B7JOtqvkTo4Dd4n3yHZ48hBXvrd3XWAzYQ9jRBfptER6l6&#10;TfwHHbqgh4s6FqW/0DacbcX5eI26NzXojDqdldOo52Zhc710q+GhRW6n1qH9XL5M9pllvkx9odf2&#10;W8f3YmON8We17oYbpudw7jpygC6EzTrUtlnS6A9wEWza8ewzhwR+WB8hY5ynB20WQ2bzjyxtZXMg&#10;k1V0Qb83mXRD00urxQ/JfOEP9o4yv7vpRsazXk61ppy1+5/73Be03/oN8g/cVLhudNdd9z73tre9&#10;Qza/0QOuzZu3uIlL/21WjNfo6Jv8/dzzLtR5bGv93sbsb/zaRdpad6b/T/dz1vnnk0453R2zbKU/&#10;i+F/P7fD8yx7hYbsH9SXMZL9XbErGR3xO7+RS/qQ97HD4jNdpjKOXb7Snbn6HF9uVJc1qg91fH19&#10;zzo7SuO+YcMmt3XrW3wbQCsXdtDXtQttoeua916rtrvB3XD9+9y1193k3vve690NOkPncY29e4XX&#10;6B/szW56FvVkH17WyZvvBb5M9mfez1YGd3gTGyDzeHA5arswPtPGlVzIAj5AZAx7gZWbNz2huUoo&#10;La9yjQ4wHxlD14dW2o6rkjayd83GQB/Aw+iCYDpxyXnVu5J8wBD6Dvo488ZwzeiDn8dE817V1Y/5&#10;0F3u0l5axL3v4xx62kv8RJwX8RpgFGWM6zl+7SmMtX7vH/lW8Y9QznghfZ/sRsw3dvOs9JD+QRsz&#10;J6Tu6IrE1xjWGz3WD3ZHRsf1PpjE+nnopUy7qPd+xbDG68pvT884+oF0Nj1z4duB3qhuKdrJ07dT&#10;Y3kU++vronrAG+Qf3aP5GGdKs3YKnbWS/p3Mu6Z/kAe+Y/Rw4hjgYeMTa8fJ3KET2yn4gW14MnUu&#10;9W0IK0JppfKo5D/DD+KskPHvfYczTKP+NL6stN2QH76xPti18wXfbuQPj1uZldRzMu9SnsUDMbbR&#10;lyZrEf+Oe1n8u0//vXvnO97lRrQnT7lrk8ZexuCL33ipO1tnsKz2Y3qka9i4zdlO8eucs9e5U6Rr&#10;LF9+nD/bwOsD0gk45+BY3c8440zpf0/59rdxOdT2+AFJhwZ+Wz/xbHTFv0Pet916u/SPFSpnhVvq&#10;r5W6o4+sUvnHueUrjj+grtT7LOklnhb9Pls6CDoV99VnnuPOWbPeXbYJnSxFW23aIt3szdJHbnJP&#10;/uhHkVyCKx5Dovkkv+EP5rrVlK8QH4Ehf3z5ZT++IOPIAvVBj84LQ1jTgW7FGIYvIVSPPNJCWBFK&#10;y6Ms5MpkmbWqYCOxqMX4MM6TpX4bD9MH/AZPiC1hHbSdM5VH/dPkAX3opeyVD2+wJ5nRZ7yxU/rk&#10;quNOcm3a46ah/jBd2DBKX9gBsFdw4ZPkzCRixVm/xp1nYrUPvBpcm/Yk72prc72Kde3V/sw97Vxt&#10;rrtVcWOyLyDP6Am0r9Uv3tZgBRjo21U6BPjBb941uuLv8/uzn/msr0drc7NibFV2e4ePtSXeNv77&#10;wLo2+vpAj9ECXf6CRtmEsAuVayf+50w62ovfraL/05/6O+kjkWxSZ2jCJgB+MHcwW0Sa/s3jHXgE&#10;vRv+wF9Im8XbNNmeWZ6j8wC2+zU1edS5WB4hrAilFfu+0nTDD77Db8VaGHiRPg3xb5q2o+15jzys&#10;H+gf4grhD/PlUma8/ErrnuZ9y587+jGX2Wd8HaWnPqbzWpGThT2dbq1iFC5SfES5643eH9mjtWlR&#10;zBlxFbZW97X1aQf6SP26XvbkwCfsfZzyC8vfGcW89jn28GhuaVb99muOoPm1+iHZ3vQJskbMH/MY&#10;bMO8Y/hh7/t2VzoY/ta3XinZrdceh32+XIs5mfDLTvhmD6yvxbFE75lfFv+01gfreqO+K9dO/H+h&#10;2ojYsTOIX5f99mzpLrt3SUct0EfdwUHmDtgv0/Rrnu/AG+x/g26ATcnGPdrQeNnaNeud/iJ/bMR5&#10;1j2ZVwgrQmnJ77I+03YmY9iHwV/DjbzazvKDP9BxmONTX8qt9tpso407uhVjDPxhNhrsjNizmjU2&#10;L+kXBtRw/VwUmwWGKFZCMSbL+ok/neU+85nPy/6hfSYC+AEmU3/4kP04Q30EbewthI3i+V/+0p19&#10;znofl7ZB8WMetyzWzTCs6nfiTrrcxcIvcOwSxcftEX5E9pXIDklsDvoHewRan2Xl6Uq+Q9dhr03m&#10;FoxtzF2yYkSp77B3w/vVPo8ihBWhtEraqNy7zP94B/miDSejexRrQ3iauBnaEIyHR+yqtr5q9NGH&#10;8An2ORtjqC8yiC4Ofmwi7rTq8kQ8GnGa0Zhu4/tJigWpV3zVeedf5OtHHUPtSbr9F8IP8JrL9L8l&#10;S5drzqQ9oT1+QF9M/6kBrdF+yl3SV/r8PGbz5jdpjmZjezT3IjaC2DHGE+uvcnybx//w4A6tkQO7&#10;0E1trAu1+2TS8E/A+6zlML7Po/7JPEJYEUpLfpf1OU6LnbmBvTPPdozzeNyXC59Qfta6p/nO8ufO&#10;mgr6kLkUcxjqhf4xLv9tc1OzO9LHrzMfieS72nfW27LfGPoHGHK+9v0g5qRddonnnv1xwb9zoJ+Q&#10;OhsuGE4k+dr+x7/zw0ce9HuBHN4TlTEV+0FH5190ufOEH9hA8HPvHWN+C3ZE+IF/nzMNasETcb6h&#10;PPYohC/QfWi7ZHvm8UwZ6L7xsqvxO4QVobQ8yjbZsrzQrZijgce0WVzuJ9OG9ImNh+gglIHvkXKp&#10;Q7IeVp887nF+fPHF33o+IY7Y6EEvwtcxd+58N9jVqnlE7fADzMD+wZ5BrBlhnGaf8ibZXq+++r1u&#10;j9bQWj3tbu1I38R1KPufu193J5rwJePXQWZPVYwrsfhbvA5SW/2D+HX2g2b9LfbX6xVTs2+ceRhx&#10;cvv8nuTohczH4IVq66Nxvnrppd97fsSuTtvlOW7G+4RxExsLZcOT8Trk+TuEFaG0vMqMy5ed+Yiv&#10;k3bMCz9oR/Liwo8FDt+jfSANO6qJH5a33T95x0cddh7DNOoErccsPdZ1SHY5J7vaekex/Nkr+USd&#10;HcFalZ7ePvfAI4rFAQc8X++ZsDkSP/KrX2mcLGCI53n99jEsikcZk+2VbzZt3Ky86kVXk87hHIjO&#10;gfC22xrT6G3M3e6U+ZqfSb/61Kf/Qdjx2hoH9hJmTKm2bQCZMT4wvmdNJWUTUx6X98n8Np4yHqN/&#10;mJvB81ZuXvKbzCeEFaG05HeTfaZdwWJ8JMR55anHkRdtavN21qEw33zlj3/0Y021xxvjGdqIGEfw&#10;C/6gPn5PS43z69af5+fmGwo+imIyXs10bIyXST9YMtDnmhubXE9Pr3v3u65xzz77rNsDZhBPLTwZ&#10;V319DJjSjI5f/8d/6Gy3MR/f9Y9f+KI79bQztG8Qser17nTtfR6tYZOew3piv6a4NnM0316sw5Uf&#10;Zqnmh/hxH3roYd/2UQzauI85gh+YU9JH8f6aLF/Hv4/ny28u9sbF5oeMWyz9ZLDDviU/43vmRehX&#10;xPpRZjX5PYQVobR4u+TxG1zkYh7IHgzFdGNrn0ruYAcX39BH7EuLL4ZYUOpe7TO3DfPpu+hMqW3e&#10;72k04g8iDqpJ+w6vH9T62xrZP15XjuYx7LMzukAYorW4+DrrGw5zbbJ9nnLqGe7t73i3fM0/8L4j&#10;bDboi/uFzazV/cY/f929WfHlQ1pfwhreOtmDZ2tdzZnSZ0b9nCU6AyI6U7K2+gf+XuZqw1pT16x1&#10;MfAA8sUFTzAuowOwVwt9lAc/h/KADyydchgv4XdsE9SFuLVK+LrYu0YXPA+GPPPjp/x4iY5jcmb1&#10;yPsewopQWl7lJvsL/y3zNJOtYm1USTrtafoMbco+PvRb/IyYvOgJ5QONdrEuirLZXxEaoPNXGtNv&#10;+eBtktcGrYMt+DinAEMYo7cKP7CnctbtifLH9Cq2rFn1Qu/n7Abir2666WbVW7KntsTfuOSYFW7W&#10;YaxtI16t3p+TsKinx60bHHBbFun8b+09ClYhw35vjprTpjPARU+3aFm48HA/lsATNqbAb6wvoI/i&#10;Mh7qyzzTaDt4gTHFZL0Svi72bpw28kXvoBzm7nnWP5RXCCtCaaFvs6SZXNm36PfEiWJXpB3+P3vn&#10;/edFdf3/+x98P7IsyyILLB2kCIJYQayoGAvECooGpOQT/MTEAlhRYdm1t9hTLIkmFmwRkURFQ5qo&#10;xF6ApcSaRPNIVGLJ9zzPvM/u7Jv73n2XmXdh54d5zLzve+bOnXvOfd3T7rmZ+ijfcutbbO28h7jX&#10;YvAM38k3sicAso/qaPKN6n8Rm8GaNb9XOyPr7zV3BzESok8EeT2KM18HNlTBD5mvW+wwYjsgJ/xh&#10;gmsTZQ+YnrLGf/yEiS34fveddwvudXd1tTWy72Y/d4zIT6fKWFU9ReSY72B7QCcDl6QcDEFP2k72&#10;iRFTwI7posOwLnfKVFlfnMJtxhayH2MLvoMP4pTtoT/vsJgj02WJ/7G25MvXvuds/DBPor8QA00b&#10;jBdtzEV59mGFryzKd4brMt0CXyd96uuXKMqIncQOgQ5j9Ay3I65r+BNfITZUvgP5g3hx1oWNGjVG&#10;bI2y/5z4QRQ7mK+xFYheUczx1uZdMu6DfGHsPyd72ffp5UaM3FXaHuiES5c0iL+m1o0ZKHJGKdvZ&#10;Lv5IjpOhfSXWv1rW4TTpvGT+c2Jp4QPsmEbzOMeXvYOYMd5LnnfjZ5vb7He+Z5VpRW8JfHub9R3Y&#10;T3l3+nxt7Ynq7MMKX1lU70uv57VXX1FdFHrSD/n2YUfPEWOC/IHumd6GuH+bjMXcF5azZmEDqekm&#10;c7jsuyR7WOpczZxdwnEZxJBL3kGNE+nrRkiM/YCBAxU/iE9dsPA8jX0bPxBZiTYXR1Zqg3HtYofY&#10;XQT3dhHbx87i33pl3bpAV0jJt7auMbymPS551OrlTC5j1uqxZwnzJEd4XUNH/Nve/+CQYQdjCPss&#10;PFeMedKHFb6yuMZYsA6xSW1a7fVRof9hD7G4Hfq7GHMOfcZ71jz/nNqzsIUofqgc0uxWrFjhqrtI&#10;HmXJI8b4QJ/Ap1rseM3w2NQ2SF5l1T1EFhkr+hX2UeQP8GOWxGLVyO+jwDxpcznix/Gif2GXOWzy&#10;kWprgvZmQyVHMfok8kAxeIB3gB/EWuPzURu0YAdtikreph7TXdjDne9jPubdcetnPqzwlcWFH/St&#10;7R1XKEa09zx9TBw7Mgi0jOt7fPUiY0FT5h7oTNzEVvF/bpR4zZGjdnOsU2XP+Jkjemu8VUnlD2wV&#10;YBg2kWG9ND8ivhX8t6wf+Y7kMWJNCXtVBjlXy0/+GD+oXnOfLVvaqLEpxhf0Pb585uewbOCjWRRl&#10;hk+csbnguwU3bKxzjgpDkDuQZ2zdCzhl3xinHOLDCl9ZFP2ZqQ7W2qMbMkcYreM4M46hI7Yl7JpG&#10;X+vnTO0rtByeYe6x9Wc2H5JD5zTRYYiR3LW+nztN5v3A91i6Mak+k5ReMnNXiaEYKGNR7KVgB/4X&#10;8pDgd5kqsgl2UbXddKBPhOWbqK9ni/50mmAvca4zOUb2dv0lZ0Af2beXOBb8RoxReIuzrYk2mhoP&#10;2O+oz/AWvjf8xdjQ4+Br6oSnwBDbjwJfMd9i2BHXd/qwwlcWdb9afXwXcYCM6Shj8tLpRP/CP+SL&#10;g5boFMh2cfWrfZ/REPwAJ2mH0ZtY6rUv/Nn17t1HYkG6uoNTMd/FXJO73XhWXBBs4Cy4sI/gR1VV&#10;taxFXKnzJmtru4ld8mSJu5+tskrpsC5ou9hhRF5iXc+poreMFHtvlfieTxdc3izYga3a8Jp+Z/5g&#10;PYHJ9dA/Th4gZhFbJvxNHEE6X0bxm+9DluEgJ4btocZ3gR9xfp8PK3xl4fEQ9TX5QpE/wutEoujX&#10;cB30Lf2MfMdYxh9CvzI/xNm/Vjd7gIFdhh+0p3mD5KQQTPuBxGkhg+wsuTimyZoNy+ux3dguxjyf&#10;WmuvtlzBkImyRwzrWYhZIH6TvKXgx2z2WxH8YC+IkrQz1RfYX5CByEcwQfK2d+1ao2uLXhY/28YN&#10;kttR2gwf0N+W65xvCdPdaBQ1X1Mf/h50ZuJNaEOYJ6O6Zl5E9iCXMDhlto84v8v6yocVvjK7P+oz&#10;38hBTA9+zqj61FcP/cw6Ouwt2CPwj9v7o/6ucH28w3IVWLsUz1I+gbffeUv3TGHv2F379dO1X6Ua&#10;k+AG70aPIv8Qey90k9j2p1ZK7mTpP/IMEhM+W/yj2GxUBikGrmV6R0qPmiKyBznoyaty1VXXquyx&#10;SewB2G2gO7gdxGU2OnJzQZ+49VbeQSwG8i5zo80dxgNRne37eAc+Hmz08FwxvtGHFb6y8HiI+ppv&#10;xa/GmCYfFP1B30bZ39RpR5C7OcitwrdYX0f9XVY39ZPTGdmZmMB0voHe+BOnTD3e1cjcvq/M+TMl&#10;Lmu2rEFjjJYyHmTCoGANK3tM0W5yu4MfamOlbUX23yJvBNgW+Kv4zV7dfXrWul49e7vrrr9+u/41&#10;XjI7BPvSx0FrX53MieAHa/bS6Z7vb+Njex7ZgzL2NCCeO05+Tv9GH1b4ytKfi+q3fSv2YnQYbOOM&#10;JaN5VDIf/QseYUcjnw80xZfH+60NUX2Trx5iilkriK3H6G7n5g3B2tA3Xn/V1db2COyT2FIlFnw2&#10;tswi5hhKl3vKEz9ERtpFDpGP8CGP7l8v+8x0c7Nmz9mub+ljaA8fEasI3eEvH42iLvv8889bcmiS&#10;95F2GM0LPVOXHfA0vj2+jfm3GPxsfeXDCl+Z3R/12cYvOUrRK7BNEGsDpqqML2O+0L4OP0+fgyPo&#10;o9gjWEtXjP5m/kG+Qs4Kt4drvhNbKnsyLF58qcjh1W5g755uOnq9YEeQTyvQK9LHd9y/yw0/LIea&#10;2l+kfw4SWa2qy05utzF7uJckVgybaXr/QnP6ONirqbFo+dZZH8ecCN2tDelty/e38TG8zLeR7wPd&#10;hbnRbMNRj1VffT6s8JX5no2qDD2UAxnfYkTxZZtclm8fpz+neJSyOWCPQJ/gGwzDovqe9Hqgp63h&#10;89mIwQ70dIsRn/9/Z4rNodbVsw5W7AwzRY+JGycy1V9u+EE7T5dY3dMk/mSPAX017wDx9WtWPyf5&#10;BDa79exxIzgcPhhrHORwZTzbupB0OkX9m3hjsIMc4fByuE2FXht+UC+yBz4eZPdiYgf95cMKX1nU&#10;fRuuz76ZGHNkfHAUWzl9VGg/h5+nPsMQ7FrQFj95nPKHYRMyJvIldmLa5Ps2eCGw+Wx2DbLOBL8u&#10;+UmH9amTXJ74OYJjttodTB4RH4jaSKJaoybvwK8idWJLxafBfgpPrXxK243/hXxlxKqon1nsl5mw&#10;J/dyvqH1wH4brOWVNpHTg5h6kTkOHiLr+mT9Hjkg99l7gu79yF5cQZ9uL69Cc+YjsBv5lnX7Yf6L&#10;6tr4yM6st4Xm7KWqfBeRLG28Y7IH/lrGDHsphf1KUX1Xe/X4sMJX1l4dhf4HftDnfLutUcTPajH9&#10;YQyI6hofHvgBXY3ehX6H73mrG1kW3mWOMLpnwhH4g+O+e+9z+x9wsObWqJV1MgdKbo0gn0awv7yO&#10;KRlXWhaRHxV/bLDmHtsCOXhkjpdx+tKLL4pusNFNP/k0jT89UeLXsetin8kdJ/zPoKehr2nOVInp&#10;mKO/iecP8rayLpj1ON1rZB8YiWE77oTp7i2ZZ6Ah/cWZI51HrL+ROfFv+ugURxkxRsi45L9Nb1Mh&#10;v+07+a5gr+VG5eWPP/qwKD6lcF/5sMJXFn4mjmuwg3pZD4OMSXyGjxcK6ffws/jIoS16hb07ju+y&#10;Ov/xj78rjZmPwEXkEehvc0m4bZRvkX0fyUf8zhuvyr5zsuZEYkBrZRyPqO/pZgwfoL5VcnwG/tZA&#10;VohiHBM3hgxAvazFH9tPZCCJV7f9MtkDj9zxx8j6frNFRPFe6iC/85yRkk9JMIS6Z47s62ZrLpE+&#10;Eu86JNiDW3w/xJbe9/N7JB4lsBvhV6Y/M/EL5c2iS2Avp/8N0402cZzhKdZLMEex7on3h2lcyDX8&#10;YbIqMc3IHsTlF+O70vvKhxW+svTnovrNN9PXnC3W9t577mrRYQrp5/aeJRYA/LBYgLj7/p+ffprS&#10;za5s4XWwI8CKtvq6zS/h/88661zXV2LciTMb1LuXmzREcv6kch+qjE8sqIy5gg/qScWFnS7z/e4D&#10;+rXgB+vnyJuGPnOE6C+BLIS8EMF7pQ7i0YIcKMG3zBb54wTByj0lv2IP9pSTvEYTJh7gVj65ym2Q&#10;POpg2lbNqS74IPixVexIYLOP7vxP/C82+qh411eP8RFn4tXBK/w9YVr62pdLmdaV+k7y2jDfIt8W&#10;Yx5M/2YfVvjK0p+L6jf9bH1udeKfB7exp+bSr7nca3IfeUHsvXGd+T50NPDq8mVL1UYOn4MT8EJ6&#10;u8EUlU9S9+j8KbrDyxLLeOKJ010PyQlGbpzuMo5HiHwwWWQBzdsT1ThW+UPi2ERHYY+8AQMGSA5U&#10;9l9qdmefvUBkoRq3/2AwI2rfkMg9Etd6osS+7Ctxa4N71epaX9brjRo9RvahvEn7ayM+FrE3s88u&#10;fUW79Cx4gs0yvT/5zf/424gDjovO1BvmZ3J94Ofj3T46+9qZTRnfy33INWAHe2GZDdFsAXF+Y7hu&#10;H1b4ysLPxH1NH9xx681qK6Cfwn0fvs6mrzPdQz34epZLLsx0/Irj+3gH+MFBDKzyfAofMrUxXG7f&#10;jR1w7Qtr3Xfn/a8bPXqsxltWy5645APbrX8fd7hgyXTJA2a2VovvCuKumONTuoHM7ba/E3YHXfMr&#10;tgzyB3APssDMEYPdwF51bvgIyR8k/cVatGUNjRqfMk4wRfUXtWkig6QOjX9P2WcUX8AY8pERl887&#10;5T6e0YN1b6Inyfu/Lcd+A/uJbNVT1s5WK0Z1797D7bf/Qe62W2/X3AHWB+F+yeUanRg/Zxz0Dddp&#10;YxmfCLI0c4HqGymZIZc2t3cv+SiwqcET4fcX89qHFb6yYrXJ5mryGDBXY0elDwvlnXQ6UB8YxfwQ&#10;p9wXno/4HvAjHIPK3JTetky/4UEO+IV72A9p9TPPuPnzz5T4h3GyLkVkfLErssd2z9paN0rsBAcN&#10;HSQ5mkU+EWzQOJKQv6Ql/4+UYTfF5mH2Br0eNkjW5NS4iTKGwTuOu++5V+0fdXW1kqcHDAE3ArwI&#10;4lQEn1K23CAPQd8gHh87q7aBeNG+bvKQvrI2b5AbUt/H1UoeaWwq5BWpk7Wzk484yl1zzfVi+3lD&#10;3hnoduxfWygPxI0fhhvQnDz7+BKxTyBrmryZiba5lMMzzEFgB/vIFGts+t7jwwpfme/ZuMrof2wh&#10;xOMS/9ssMim8w7hh/OTS15nupZ5Hlz+o8h+2zTi/xeoGO6A5+hnfQxuyxQ/uhyeZyxjHms9YMMR+&#10;s7btmdWr3YIFi9zUKd92e+yxp+yNjc1A8hyL3YB9WfpJPMmw+t4SN9FPfDkDVe85Rmwox4p8cIKc&#10;T5LjRDnI7XHk0H66dp/nTjnlNGmv2Ba2bnWvvvKK+mNqpN79xY96tOg4+JZPEuzRQ7DoOJEzjhId&#10;ZJLsX72P6CG7iY41VGw2HHWCa9Wi/3Sr7q7r8Pr37+/Gj99P3nGqu+mW29z6d95RvaSZ/hGdie/k&#10;vdDR9l/IRNOOyuPGD/gWWnNe83yQM4o15dAYmhWKf/Z98M1D9/9SfUnoa8ZfpTj7sMJXVqy2mSxA&#10;XCi2CTCcdQuME/o/KhpAC9ujHD99XN9nPEX9YCH+Q9Zk8h258hTjx56BhxjTNqa2yu93ZR3e+o3B&#10;HjPsF/0H2Xth1szTXf8BA2W8giO1elR3FRmlS5Xr0qWL+mK7i28Y/3A168/kPjCjpqZK7vl/mmf9&#10;6iuv0XFs9obRkvOoWuyZVRKbUpvypRI/jk+1q6zfQQYifzvXtTW1gje16oMmDxH7KbDXzPh9J7jr&#10;rrtBseJdGQObZX84dKTNWzbpN2yVuWLj+sAmiv2RfVxt/OR7jhs/TP6A1ugW6C+sywA/4N9s54qO&#10;vg8eYB4il0nce5F0NC58WOEr66ieqP4PjzfkDcab5c2IkgaMX/IJYR/HTmu4xTnchii/i7VNfA8+&#10;H8NBeKEjfuF/u4/n7KDM5GKuGXPkJFJbp+KTyCdSzrh/6IHl7tprrnE//MFZ7oQTprkDDpqkNslB&#10;gwa7uro6tTfgV+kqY7/nznVul2HD3b4yxllv+6asywGraAfvXnJZgzvwkMPdGNGZAmwCM+SQ58GO&#10;+r71btDgoW7vfSa4wycf5U6fPc+df/5FetwiMsbatWtbvoE6oTO+FDCRGFyTrfQ7U+8M8HJ7W3M2&#10;fWfzf9z4Ybzy6SefqG2NuC7aZ7jB92TTXt899ix1PfPbVcq3zH/Gt/buYp99WOErK2a7DFMZx0Hu&#10;4StkzL3Qosf4+jefMmhCTjnsqNDc5g/eGyVdDI+w3eFXAj9or/FEPm3P5xl4T3O/p+x5NmaJMwFz&#10;+L1F8oypX1Svm9WfodikeCQ2kNR4CO5BtwjGO3YKOwIMkzWQIkvYs/m0N8pnaAf4gc0rTl6G1kGe&#10;zCBXsuGeYUg+3wSf2PPo8uyJiiz72WefxTLX5dI/PqzwleVSZ6H32tjlTJ5BZDX83Pi4oxpz1IM8&#10;QxwZMgg0t/gT2m9tKPRbws+TGwr8WCf7hdu4Mr7Ih6/yfQYM4Ptb2yD2PbMxpOyVYEHzxsAvan3F&#10;+6z/eZYDWQG8aHsENk/GDv9zX75tjeI5+1Z0CuJ/wzSJ8hr+Ic6HeC5bpwB97cj3W3ge3KAfkZXh&#10;V+bTOHg01/7wYYWvLNd6873f5mqTBajH+gz6M+bzpUP4OeNp5H/0SGQQdGzez7utHfl+h+85fPXQ&#10;nphXG4d2DrcttmvBDBtL+v06romlCA5ynPI/WMA1+9Xzn/UVugXXHHqfYlCgd1h5+D/svXZfbN+E&#10;nNTBAY3BsuXiq487fp15CDu5xazb99u5o7Zm+p/nWcNN3chR8KfxaClxxIcVvjLfeIijzNcXyGnM&#10;G9AeLKEvM/VztuVgusmW5ORgXCMf/O1vH7eRQ6L4RqO1+V+IXQu/P9s2F3of72zbd0E/BmM/0NO5&#10;DmSG4DfP8F57zvCBcq0v9R//22HtpH/tupRnm3PQhZFlo6Cp1QG/Gn3BKeJbmY+CPm0rd1kf5toX&#10;PBfIyUH8EM/zfnu3taUUZx9W+MpK0TbrI86sUUYuhP7kODBfbr40sXHAGfs+tk3kA+gUNV2Mv2g7&#10;B757xh7jy8ZnrjyV3N+x3GF9ZH1t+OGbo/Lhb5v/7Qxu4C9EBgFL8uVNa7edaT92OuY4YuLDsnk+&#10;7Y7yGR9W+MqifGeudUEf9q2FPoy/Fb9+rIU2+dKIsQsGGY1WPP6o2ibAEfgrDhohP4FR6C8JbmQ/&#10;/o1G+Z6hMzJIsB6lyZETPVce9N0PnxgWYdOCvsjJ5KHwyR/5tp/5jbkTbILfDa98bSp2mQ8rfGXF&#10;blf4fdAI2xRjGt0PPaA5ZU/KlyY8By0Yx9AaPAGfsG+iZxpfhNtRyDVth79o+9tvvdnm3YV8Q/Js&#10;xzgEnaGvzRH42gqhZfhZxjK581rmNpmH4Cnjqyjo8/zqZ1X2wP5XTthBP/iwwlcW7rNiXjOO6TMb&#10;z9idkUHoU/iCsZ8PjWz+h694nt/MG8S84h/D5hLld8KzYAf4ZO+k/Rz5tD95pmPcsD6yPiYeEQxH&#10;HomCtsaX8CS0xT9vea/gS+Mxa0e+5yCHe5P60hP8+G9etDN9gtxzjEFyOtk4zJcu4ecMh8AleGz1&#10;07/Vdhp+wW+F0I52g3u0Pfze5Dp7HMi3rww/yD0LDZBdo8IPZA/WUDHnwI/Gk4XODdhP+F74ktgF&#10;9CLDqyjaHlUdPlnDVxbV+/Ktx/qOM2uwiQOK2kZl9EIWxZ/LuhjeZ9jFdb7tx5dpPp58x0HyXH5Y&#10;g+0DWYC1KOAH9qd86Rh+jrkFPy11rlq5oo3NI1/8MLmF5+0an47t2Ryez8JtKdW1Dyt8ZaVqn41Z&#10;zhzEprLHJ3ZIxpPNLVGMLeYOaMZeC4x1ZBDTm6wdufaDPYcNDLmGuSSKtiZ1ZI8lYAcYYn56bJ25&#10;0tF3P/OK2T1M7iiULoYZ1EOdyErIrPgMrA3Gk/a7lGcfVvjKStVGxh/9FZYB8I8xvrFDFkovex5a&#10;ccBrrK9HXkSftVj6QmjGN2BbYZ66W3Jx2zuTc/YYUEhfIaeCH+TbgW+wj0fBz8wJjG1kA/gmX5kj&#10;/duoizKwBFkJviF+gTFg81EU7Y+iDh9W+MqieFdUdZi9ytaRpPd/Pr+N/hYzyV4h8AbyqdEtX9rx&#10;nPEutrB82pc8UxjWMLaZb0yuNF7MhaZ2r51t7RTxgMw9UeAHddg8Bs3BOvDD1ojbu639pT77sMJX&#10;Vup2ht/PXI69m3WI9HdUY8t4gDNyI7Eg6J7/+te/8p6voDeH5VvFhxhVe5N6ssMUeIS5nFwZjEVb&#10;bw1dspUrbdzambXbxGSQkzkcR1QoTayt1MM1OjTzGPIT77b3h8dDKa99WOErK2Ub099Njnb6lLyP&#10;8EWhNLPnkUGQdU1+ZH00dhZySBVCO541Hz42PHtfcs5u/BfaT4xDs6EyH5CzC9zIdSwaDxCLhG6L&#10;jgsmRcmDtBX+Yw7ju+FxeN1iVmhDtpiXPm7i+O3DCl9ZHO/Ot076D9oRTxMV7aCbyh0pWz20o4x4&#10;NeYZZNRC2ms2G2LXCx0PyfO54Q50NHrit2NtbK74YeOW58yPw7xi9do7oqCNzV/UCY/jCzTsypcH&#10;43rOhxW+srjen0+90BDdAj4wP3mhdEMGBT9MFgWXoGOw7/VSlXvz3bcM+0mwhjiIASq0rcnzueEH&#10;/QWfQF/mA2SHfPmO57CBE0tObjHGOLyCfBMVXYz3qJsc7uT6CONXPm2P6xkfVvjK4np/PvWCH+R2&#10;IlbUsDoq2qXXg3yKrIMeQ05L6EibaUO2becZ9GTqiLu96e1PfgdYQ78zLoO9hdrO50bT9ujJPRys&#10;rwQ7iCGIo29NjlF9SzAP/zB2WmujndtrazH/82GFr6yYberoXfQhe5miV8ATcdCROqkbeeS5Z59R&#10;uz26M7YXo2E2GGK+G/YHY95L8CN32SEK+kJLxiZxy9hQWY9pfGb0tN+ZzsSm47+B7/CrRtEuXx3I&#10;SrSVMzxH/s5MbSp1uQ8rfGWlbmf4/dDb7NJx2hOQd6Fj84b1jrXf2LEsjidbnqPd3Iu+xTzi45ek&#10;LF5MgYZGS/YDgY7MC0abbGjJXGFrN5dLHqI45wFwg/oDf1FjC8+Fx0C5XPuwwldWLu01mq/98590&#10;LuAc1/iD72zegv+IHSWnNvSF57LhO7uHOY84o7jamtSbGYMYizbeLec+MYJgAvJhR7wNDV/9yzqV&#10;W9CZw/v3RN3vtNP4DhmHOAVscMb3xk8dtblY//uwwldWrPZk+55AlpS+Fd0iahpmqo8YHnAAeRLe&#10;g5bZ0JN8E8x5jz38UNHamukbOmM5cwBxgZzXSew6NGTe6Yh2hi3YzW1dtsm7jPE4+5L6iY+Eb15+&#10;cW0LxmWjM2c7hqK4z4cVvrIo3hVlHdAOXbSY8VjMDcF6h0bNc5gNLbnnow8/UNspuk+cPJfU7ZdB&#10;bKwjQzL+mxqWtKxtMoxI502bG1hfy35fYA42cGRPcIgjjv422YO6LWch+fasfdnwnN1bjLMPK3xl&#10;xWhLLu8gJhTZDntYHHT01Qn/2b5iT614IivZl2/Cz4fvBZtNlH4+XxuTsu0xBNxv3hDEedH/YTsW&#10;sWCZ5BDGKv/hswE/GMfWv6YP2e+oztRr+ES+Et7Lbxsbmdpq/xf77MMKX1mx25XN+7BNE18TFe06&#10;qoe5AfpiBwW7kInD81cm2gYyc7Buq6N3JP9vP/4L7ROTP+yMLgLfwGPQzEc3K0f20Dh1sZkyf1h8&#10;UFz4QRvtQN9Fxg77/LIZF8W8x4cVvrJitimbd0FfdAkO8Nl4g7P95gyd7b8o+JC6wAPwgxgA5i+b&#10;pzK1G5sd97/2yl8ia0uh39KZnodmHDbm4Rl86fAQ+G/4AS2hoWEHdOU+4j9Ze6f8JPpLIX2XDT+q&#10;/0Xeg50N+SM8R2XisVKV+7DCV1aq9mV6LzRmD2H8IeytqPwhfc4cEfBJ4D9HXm3esL4gmhu/UC/1&#10;8S58KfBVWI/JROdw7Cm8YfUl5+hlDV+fQi/4gjMYAO4jUxhehPGfa3gO/mKdN7FicdjYFCNSukrQ&#10;riD3zCb23JF9duBZw7lMY6Acyn1Y4Ssrh7ZaG2x+QD9El0UvVbuC8Ifyioxx+GSD7CGt+8ZHNGap&#10;2+xnvBP8gA9Zm0+brH3hM+VgDbqW8a+Px5OyeLEEfqD/4RPwHFxgb0PjJTtDO+aBTz75h8aNk5cQ&#10;2vB8VDRi/z/aYXuBstcf+//pO1IYx17i8MwDv7zPy1dhHivltQ8rfGWlbGP6u22OCHIjNLqnnlyR&#10;2kNtgzvvvAvc6afPdXf+9GfuvS0bJQbnHTmiWZsA/xmGgCPgwpJLLtb1ELQpk/xB3BE5F+EPcg9E&#10;xYdJPdljjtEOOYR4CuzZlMFbJn+EMQT7CPninnjsEY3jMt2n0D5X+Vh4B/wg/xD1EidGvc3Cp7QJ&#10;fqUMnfeJxx5N8ENolI4Bhf6G5sgA2JegdVPTVW6XXUboPvBVVTvpfvJDhg5zxx0/XfznL0U2ZsEA&#10;DuhsMUW0AX6A/3zfRX7dn/34dpVdeK5QHkyezx43rK/CeiM5ocAGy8kTphk0JG6L/8Nx6lHRDZnD&#10;+Oe++x5w06af6kaMHOXqevV2I3cd7WbPnudeeullR34R2mCxY+E2ltO1T9bwlZVTm3We+Pob9/77&#10;77vLFl/sxo3d3VV3rXY796xzhxxyqPv2t4914/fdz+28c08p7+YGDxri7rrzHqUbciL7zW+VveGN&#10;t/I9w5PIQMwTrOdD/gDXbD6jz4gfQMfCVmNzT77vS54rnGb0IbgPTcgJCI1M7oBu0JA1/mAHsQHg&#10;Rr6yB3oJ+jN4wfxCPZuaN7k1gl977r2vzHHd9Ojbt78bM2as6927Xvi1xvUUPj51xmnKV6++ss47&#10;J5XLePRhha+sXNpLO4zOX365ze255z6uqkuVGzBwsFu04FyNDbqyqVH4o0nwu8FNnTrV1faodbW1&#10;tW7pkqVuM/bViOwh8CJ8gYwLPxIvSNuMJ+HFjz/6UHVtckVENYclOFIYjoDj+DXIJWkyo2H+H3+/&#10;Rud9bJfoENAsX7phC1Vekzrw+8Irjz7yqBswYIDgRFeRl0e6U06e4a4S3rn6ikbl3cmTv+W6dOni&#10;qqur3UknTpd9iP6d4EfE+ovNF998/aU76OBJrnv37m7ChImuadlSd7XotcwdjGf0CmTA733vDMH2&#10;3oojN990U0rfLFyP0LlJsAg9lhwN2NrC6zrBEWLHkE+IHYNvk7Ff2NiPqv/IyYDMGJ4XiUmEhvhs&#10;sVMF8kIB801K7gCHqOvRhx+WeW6Q6yrYcdKJJ6p9FByDT7HHGM/OmzPbVXfr6nYft1cLvoXbWU7X&#10;PlnDV1ZObQY/bL648MJLBMu7uD59+uo4hQZXCmYYLRi70OesH/zA1dXVqU6z9LKGvGXSdP41TEAW&#10;5j34c8nZbrpMsM4vWG+heCN8lF5H8rv4mII9CruUzUXQi/UFjGNijNE5oAtnxr79zoVW0BsdZlNz&#10;sO5m2PCRrntNNzd9+inuSsEN5jt4xjAk4NUmd+hhR4j80dV9d9584XO/Ta1cxqMPK3xl5dJea4dh&#10;yLPPrna1In90E3nvgkULFDsCmkCX8NHkjjzyaNe1qqurqalxd995p8qTW7c0u4/FjweNc+ENu5e1&#10;mMimHMxd+NzCMgi4gq8QWy/8hDxizybn4uMGfa56xPIHlT9MF2a/UsYvsan5YIWPlps34U/Z4t59&#10;620345QZInd0cXvuNUF1lVbcQM8OZGVw5MqmBtdT5rlu3ardddfe6L6JWHa38RPV2YcVvrKo3hdF&#10;PYYdzBnbvvjCjR41RmhTLXbT46T/W/G8DX6IXMK6qaHio6npVuNG77a7xuggP8BPW4WvfDzQXhnz&#10;UjDHBPtvE49yucwprHuibcQnUQZfouNQV5S2l/balvyXmZ7QDXs2dCEGBJ4kvzV6L/t28H8U/ae8&#10;ITS//robxb9SJzJyvbvg/EUyxzW0zG1gB+1AXkb2mTt7js5x6ORbRHYxe1oU4yaOOnxY4SuL4935&#10;1gl+hOPGn3jsMbFt9HAjxQ92leAH9GiDHSKHXHtVgPMXnLdIba3dxPY9bfoMsaeKjVxonK8/xvaL&#10;gd/AIWz3yCDIG7QT2yrziuFMVLwZBX931jqgAboKPII8CLZDI+we0DC6ftnsrrziKtVF4LeZ35mp&#10;tlLeBVYE8gb4Edg+sKFOnHiAqxIZeb+JB7pvvhZ/3lfZ58nMdzwV8pwPK3xlhbwj6mfN9sEcT91f&#10;f/VfN2G//dWmvejcc7z4cXnDUqVZk5xVDhk6XGTE7u6nP/6p2jXzkT/ABPgNGQb9Bbl3neaXwP+z&#10;zLFfM2sYLPbUMCY6/sw8xybvaL9vsGczfrGBMN9gTwXzm7F1RuSfe+nFF93AQYNFv65xBxxwcIov&#10;mxQv4EHwy+x0tGXZkktd3779xP9S5S65ZJngh6ytSvCjjY07Ciwx/cXqwsZ0edMVYtfo5iZPPkLp&#10;Ar4jGwb0gWbIJMHB9Q/P/L74dEVmGTHSrX+HtVHBfqOMO+YnsCHbMQi/gR08wzU+QJNHsX1g5zee&#10;zKXebN+f3Nc+VqT3D7TiICYYewf0ATu4D9rzX/oz2fzmWXy2PM+cMmXqcYGuPHqsa7jsEvUNBnJx&#10;IB+jL8GLyisig3zntO+o37Ze4kE+/OB90YElt0AqHsB4vdzOPlnDV1ZO7U7wI7fxkg3vd6Z7EvyI&#10;Lh7chxW+snLCj/S2fCkYjR0M+xT+dZM7wHY7treHXOEmTTpU/Gk1GjO8WdY8WqygnfMdU8gY6NTY&#10;Tln7Yvt8I4NEq18nOJIPjcAPaMS6WovzyKee9GeI89Ay8bn84p57JVaghxsiejI8iBza6mdp9Qti&#10;78fmzn977rmv2k5vvfkWsZumdPPUOZ3ny+W3Dyt8ZeXSXl87vlIbyNfuwAMPFptGN/fDH5yp9DIb&#10;VTp2BHpno6x9u0jjQer79hN+alZbGuObNQotvCDX6XzS0W/kWPCM+7DT8dueyVc2tueTc+70SO8z&#10;ww/8ZOQkLITW4bo3bUrldxC6H/Gto0Wf7q5+28alSwRDAn16e14M5jh0mNoeO7shQ3ZxX335hej8&#10;QV4jwxEf35dDmQ8rfGXl0NZMbfhi2zaNs7ns0qViu65yRxxxpOqUYLoP86EhcwLnCRP2V9/v+bJu&#10;Fx8M8xK6K+unw7yR7TXPghfgELEhxJNpfSkcSuwfhY//bGmR6T6jATIi9lNycWe6N5fywIYu61ue&#10;f17WYvV0/QcMFv4LZItMfGjl3533XeHdajdt2ikqe5R73IeNRR9W+Mrs/rI8f/OV2Jq+cX/76H1X&#10;X48OM0SxAdpkkkGMbsggdXW9ZE3CIPfi2j+3YIjxWC78w73oKMxv8BJ7jbCWM9+6cn13cn922GT0&#10;ANfJTxhVDt1NG4PcDEcdNVXtprq2ReaoK0S2uErmq8CW36q72DyGDrOX6C7EQK5auVJjPvAxqp8x&#10;iT+N3P+SjmFqTxU/1zff/Ncdf/w00SGrxJY9U/y0SyVOuC29TH40WkK7Y46ZovF+Q3cZLhjyoo7/&#10;QvQM+JO4As3XHdJdkvGd3fiOu58MP3gP1+gx2EJYl0tZtrQPZM1U3h95bpP48J58YoWsx6pxw8Wv&#10;F/j7/PxnfMg9l1x8kcZE77HHXu5L4eF0/i7n3z5Zw1dWzt9A28DqrwRDVq18UnC8m649gjbBGoNA&#10;V2mlWVuaXr5sievXf4Cu4501a25Kd2m1WeTCz+zV8fRvVmlOIea2MK/mUk9yb7xYA0aYnklf479l&#10;rQHxH9nSzJ7HXhboLhvdt46colgwa+bMdtZStOU/1lWQf+KyS5e4ryXmsNzHWrh9PqzwlYWfKbdr&#10;i7EhJhV/+bhxe4sfvZs7Y/731G6VaR4w3wyyyIknnKS277pevdxLggGbNua3VvaFP/3RrXv5JbV/&#10;ZMuHCVbEixXp/cu4R89U+UHO/OYamxXX6fdn/C2yCzhkNvcbr7tW5NgaN2z4rqo/Z5qvwuXo1wMl&#10;90Tv3n1aYunLbXy11x4fVvjK2qujHP5D9rC4kPPPu1Bi+HYS+9VA1TmDNTFtMV/9ZroOIfCtEctT&#10;16teYsq6u0WLLmiJ98rIOzLnZPoPXmQ+Aj+4znRfUp65D+Psm0w4YXvUZau/gEHY2bn/jTfecDuL&#10;/4Q8M8cee7zqLuSfCWOF73r+/DPUZ3jggYfImowg/1Q5jKds2+DDCl9ZtvWV4j7Wy6O/8G4wZM1z&#10;z7sa0UFZwzh3zhz15W5PO1v3GOg2yCD/d8Z8iTWudXvvM17Gfuv6bXDAjo742mQOm8fsd0fPJf8X&#10;D0ugiWGE0dXoZeds6EEdmzfhb9vqFi28QGym3cTvsrPEBSxW/57Z6NvyXqsdlbiPww6brHIv8dPG&#10;w6UYQ/m+04cVvrJ86y/Vc+PH7yc6TJXbffc9QnHDbWWQMF3Nnrr33uN1vdPNN93aogej3+aiF2fD&#10;e8k9xcOLuPra1kzBG7vtNlbliEMknxWxYgE/+exulAXlDZcudv37D5S4x77us3//S+c+5r9SjZl8&#10;3uvDCl9ZPnWX8pk7br9DbSA1NbXuvIXndihHMlewhmrBOWcrH0yU9U5bZH5BD8llToqLV5N6yw9v&#10;0E3hjRuuv0FjiOrq+rgLz1+Y4jUfdgTzVxB7tEzsdHvJc93crFlzRPZo3ceqlOMm13f7sMJXlmu9&#10;pbyfeFTyghx26GSVKfff/8AO8YP5wtbcjRu3h/pw7r9f9tYV+ZT5BRkksWWU3xguPa5uduP3m6j8&#10;Mm/uPOWzy8XuQbxpWL4NX4MfrOXfaacurofYTIg7snwxlabD+LDCV1ZKPMj13fjAsKe+t3WTGyTr&#10;p3tIbpCGyy5N88WkzQ+CH9hUOc743vfUdsL6SXK1f/Th+wl2tGMvLv0YLg2uYTt54IGHNOZ5L8nj&#10;HdjpW+0bpqeEscNiGtF3yJF8+OHfEl4N7HeVprswLn1Y4SvLdQyX+n7D8RPEL4tda4bkw4eOzA3Q&#10;1WcbRwZRDJF78KeRJ3vrFvx8wZqYRP4ozTgtV3xi3cz8+WdqvOI0yWkaxonM103uUokXI78YeZQb&#10;ljaqvYPYA2SQSsMQH1b4ykqNB7m837CD81133iWyRI3u82B545gDzF66PZ0FW8T+ta/sH0NMz0MP&#10;PKg+Onx+5crHSbtKg2v4X8aKDQMdBEzYnpd89vomd9JJ09XuwZqJjz54T/0ulYYbNh59WOErs/sr&#10;4QwtOMCPbds+d7uNGadrIc+X/MronmBHYMNqS1+TTfh/ruiyyC2nnHKq+vo+/OCDBD8SHaYNDyx/&#10;aLnaPfbZZ0KW2MFa/SVul2EjRP7YWWLdnxDZA107WKuPDFIJ4yvcRh9W+MrCz5T7NbgBfvxH8jdx&#10;3bjscs1teIDYUQO5I832IXoNekvgrw/iQtgDol7yiYyQdQzYTte/G+Q/Tub60sz15djv06afJvjR&#10;1c2bOzdr/MDGyt4MRx99rOxNKHYPsSHYeKpEGcSHFb4y+8ZKOUML4spo7z8//dQNHryL5Pqolf0u&#10;LxKsAD+2x5B0+XPCeNb2d5EcHitl3glinMuRj5M2xY9pFnPWLDrLJo0ba5Z9UQdLjPMAxY5g7mkr&#10;zzJXEQvCnmaB3NvoxqjdtJvw1JM6tyF/VMqY8rXThxW+Mt+z5V6GXIj8QTunnXSyYAF7Ak5TOUPX&#10;VGdYm2s4wn4Q5FRdfPGSwIcrfJOM1fjHajn2MbZzMGSL5BYj5uOxRx/X9Zbsexj4VK7ILIOIztwo&#10;+ZKXLblM7R7s8/7ll/9J2UoT/ChnHAE/OB5ZLrqq2FHH7j5O4zwCPabtfGG4YWfymOFjO/nk09QG&#10;gh5TjrydtKl4dEH2YN3LBRcs1vhE1rqYnGF8Ez6bvY3YouOPO0H0aOLF5la0zBEe7z5Zw1cWfqYS&#10;rtFdTJ9UXUZsU8SmV1V1cSdPP9lrPw3TnWv4gvW45GX4q+Qmg3eSsVq8sVpWfS20xwfHPoV/3brZ&#10;TTr0cMWPxRddmFnuEB0Zuxp5aNgje+CgIRqL9Pprr+s6fZONK2E8ZWqjDyt8ZZmer5RycgvdfpvE&#10;tMu+xN1ljdy5Z5+lNhCfH8Zw5Aqh/Vjx3fSQNZVvvSF7g+S5x2VZjYNEhsprDmCtC3IHa+W2yL6U&#10;5OoeJn4U4xXfGd7StTBii581c5bGmU2ZcpzGNgYxjq36daWMo/R2+rDCV5b+XKX9RgbZ9sXnbtTo&#10;Mbq+ZcL4QG+Fvqzdx9/i44FJhxyqNvZlDU3qh0mwoHPKH8R6YPcgX/v9v/yV+m0PlDVSQRyi3xaP&#10;/IqtHv4iHxn7Lj/7zGrVp002rrRxlN5eH1b4ytKfq7Tf0At5saGhUeIFq3XvqIsuWKQ6SoAbfh6Y&#10;dtI0jSObJGtpEv2lc2IHcwb2U/CD9ZQLF56va+5nzDhVbae2/+R284/gxzWyDuY4sZGQz+qQQw5T&#10;HoQPDT/sXGnjydrrwwpfmd1fqWdoxpqYv//9b65vv4E6Fxx99DEqc1jcWDr9saurv178Nv0lVtBy&#10;RiQySOfDEfW9CI5wnjFjpvhRuroF557rAj+ef+5BNlkia/SrulTr/Q0iw1qMuuGGxY5V6rjyYYWv&#10;rFK/z9ptvlww5Jqrr1a/7PDh5LjFB5OJ/svcogXnqvzBOustmxP7aWfFTmQPZJBNsp7ykEmH6/oV&#10;je0QG4cv9gO+AlumTj1W7B5dXe8+vXX+gR9N/jAMMR6txLMPK3xllfht4TYbzUwOOVT0ka5dq9wc&#10;yU8G/YnxSZc/wBVs5/hwmW9+s2pVXra3zjrmdqTvJs8YsR+cx44dJ/tc9/fySyuWBGs0uY+cmDNn&#10;znFflflecuHxku21Dyt8ZdnWV873gR2GIysef1zjQUaMGB2ygaTHgwgPyBzCOjrmkAQ/Op/e0oKB&#10;+O5FdyGfA3vEjRjpz5GMzZRYD84nnHCi6sn19f10b4hK11V8Y9uHFb4y37OVVGZ6p8kf7G0+cf+D&#10;FEPmzpmdwf8S4Af7+iB/rErkj04rf+G/ZX+XjRvedXU960QG2X07+ePqK4KYIfy2V19OvMdgyYfa&#10;yz3wq1/pvgBff9261qWSxk57bfVhha+svToq4T90TQ5b48i6pUeWP6xrbJFH/TaQIO4Y+SPBj04s&#10;ewh2kMtys8gf5KPrKrLobruN2Q4/2Ksy8MU0uukSo2jr5LZ9IeuwvsF+X3nrazsa2z6s8JV1VE+l&#10;/f+10vMrN1z26mDP7UsljpD8p+ivduCXWXDOOcIHVYofb735Rqedf1vkeMZSJzyIHVMZZMPbbjD6&#10;i8RzYD/FZkYedXSWa64k3pSjQeIOyafc3d111z2KHTuCrdQ3xn1Y4SvzPVvJZdATX8wZ87+vvpij&#10;jjrGsU86eiuyCDIo1/Pmflf4oKvyjPnwOuP46ezfDO11n6jmdwU7Rsna2yGBzCo8YjzDmXj1C85b&#10;qHHqQ4YOd5/8/eMdJtbDN959WOEr8z1byWXEs38jexMjl5KrsK5Xb7fsssViB2nQucT8b+Rgxv4x&#10;e/a8JP6jE8odhpsafyoyyGZZA3PgQcQkV7ull16Swo5Wuzv4MWnSoeqzW3zxJaovk+cjkT92LNtP&#10;4IcJ4gDnzZsvMka1GzR4qMggl7botcgj7M/RX/bGfe3VVzT+0PgpOXcuPQb9xdbwn7foQsWPKVO+&#10;reviAttZIK8uueRizWc4ZOgwyTvzT/X32b5yOyKG+GQNX1klyxqZ2v612LPwy3zw3l91D1LiQQ4/&#10;fHIgl4oOc7jsDcaahZkzT9e4ZdZeJrjRuXDD6I38EegwG92LL7zg6uv7yrwySGSQxSl+wffS4A6V&#10;2DLihRacs7Bljb75/jLxYSWX+7DCV1bJ39he2wM7yFfuzO//UNdEsf/gD8/8vmNtVI3kCxk9enf3&#10;zluvuw3r1wt2iP29E8vwnfnbsZ3qHkCyrzprcM8+e4H6V8hlir2D9ZcLzzlLctzVqbz6948/cLav&#10;e3v8V+n/+bDCV1bp3+lrP9ixbds2nSfeev11kTvrZE+fnQQ3usv5f+Socvffd39q3nlX7O+J/NFZ&#10;MYS4U/QX1s/pOqjm9W7UqGAtd8+6npLfbrrbdeRojTOcNu1ksXeIv3YHjPdIH0c+rPCVpT+3I/w2&#10;uRIcId/QwgWLdF1DdXWN+vevu/b6YM2D8E3zhvWCI51Tdu+smBH+brWfyhqYZpE/0GM2C0+sWrnK&#10;7T5ub83rgc6y0//sJPJHT/fEr3+ttnls9DvCOGnvG3xY4Strr45K/c90F874YojvOW/RQnf+okXu&#10;7bffUn0FmQPcgG9YQxXmqeS6c+EpeouuoRPs2CprYTaJDML5tlt/rHuljhkz1h0nOQrhI+zzlTou&#10;cmm3Dyt8ZbnUWan3giNvv/Wmxn4sf/D+FrxgvtH4IeIPE/tH0gcpHrCYkHdkriFHEHGHb77+Wgt2&#10;wE+VOhaybbcPK3xl2dZXqfehy1jbf3H3nWpTJ94UvQXMsPXbCX50LpmjPXqbT+aBX96rc85zzzyt&#10;PGS4YWfjqx3x7MMKX9mO+O3hb4LWtjaGeYVYwp/f9TPFDbCDsvZ4Kfmv8+EKfEFcELGG995zl2KH&#10;zUOJ/rLj237S8YPfRv+7f/YTlUffeO3VFtkjsX90PozoaF546P5fiu5ypXtd+OQ//9nWEmfaGWQP&#10;xotP1vCVhcfajnzNvIEc8vKLa1WHeeyR5eqvM1m1I35K/t8xMcb8L5yxoULnDevfdTfdcJ277eYf&#10;KXakj4vOgCE+rPCVpffNjvjbZE5kEGiPDMKaXGQQtaEm/pdOq8NBfw6wA1s6OPLIQw+onosOsyOO&#10;h2y+yYcVvrJs6qrke2yuCGMI/MIabewgiVyxY8oV2dLVdFc7B/Jpo7vv53e32M0qmf/zbbsPK3xl&#10;+dZfSc+Z7YM2gyMcTz35hNpBwBCTW7PlueS+HQtzdP2+yB2cb/nRDe76a65yH334QRufSyXxexRt&#10;9WGFryyKd5V7HSaD0E67/vzzz92Prr9WbSHYykyPAUtMpgUnwtcJblQ+bhCnDh2RN8K2r43iz//V&#10;vT9Xfvj9755XPjFeKXf+jqN9PqzwlcXx7nKv0+wgL/zpjyqDkGNq3csvKV99/NGHLb5d+Ax+S+ST&#10;yseNdOw3uynlxBZiK4UPOMMf5vM3vbfceTrq9vmwwlcW9XsroT6bV1gb8+SvH1cMQW7FV4cMi8zB&#10;Gd5K5I8dCzugJ3Q1OZNYwp/ecZvGmWJTp9zmF/jEeKUS+DrKNvqwwlcW5Tsrpa4wfzC/vPqXdco/&#10;6DPEGsJfyLeGHYn8seNgiOks0Pa3T61siU9/7OGH1OYRljcS/GgbK5bgR9Af8AUYAt7BL/wGI26+&#10;8XqNObzrpz92f/rD71vkD7PNgyvJUdl9AG5A29tvuUnlzh/fdovGexgf2NmwI4wnlTI/RtFOH1b4&#10;yqJ4145QB3zy73//2z214gm1oRHnfutNN7pnn/5Ni6xrMi8YwjzG2eRh+53gS3HxxWRE+h/6WAwH&#10;5diuOPMfa+GQMYI5oknlDmRNs3PsCDwc5Tf4sMJXFuU7K7ku5hswhAOee+KxRzTGjByY2NTw94Z5&#10;Fd40/qQcvk2wo7jYYX0OPpi+GcZ2rrGL41ch7z60xMaxauUKyWH6aYvsWcl8G1fbfVjhK4vr/ZVU&#10;r+kydra2f/LJP3S+wi4P77GWG3nEeJQ4Z67h4+YNwXpefidHcfoAzKDvwXGlQyqOGNs3tnDWWyNH&#10;BnvXNrlfP/pwi85qNGbesOvk3Grv8GGFryzps1abiOm8xlPgybZtX7g/rPmdyiDwIfx443XXqCxs&#10;Pl/kD+PhBDuKgx30M3KHyn6CG+gu5Oh4+jer3E9uv7Vlnx/kjkeXPyj7U65v8aWYrGn0TsZAK25Y&#10;X/iwwldm93f2s2GGndP7AyzB14ceg78PmYQY+Dtuvdk9LDmJ1jy/WvkXfjZ5mvmRazvMDmt8n2BN&#10;K9bQb9Yfhgnh33ZtfclvZIzfPbfasRYSzGC9PQd+NHJ3rP3zn9SmlU5Lfmeis+/ezljmwwpfWWfs&#10;m3y+GX4z+whn5jv8f9hG0G1MRsbmev99v9D/4F90HB0P6Dip2BLGwPvvvaflNi46+9lw1/qK/qVP&#10;DIPpL2ygz/x2lcM/hh0DrLD9BFkvu+LxRxXjP/vsM9VJ0vXRfOjeWZ/xYYWvrLP2T67fDX4YPxqW&#10;UAdY8rePP3LrXnqxRTbBThLMhdjsGlVeAWvAEhsPjA/GSmfHjfD3G4ZgSwJj+Y8zfpI7f3JHS6wG&#10;+iMYTfkr6152xAyn0zORL7bXSdL7qL3fPqzwlbVXR/JfKw3AiXB/wJ92UA62cA9lrK1hDPzx92vc&#10;g7+6L7XOptFdd/WVKmujB5nvJjx+OvM1dlDTTT54/z29Xv30bzVOA5sT+iJrHd9843XtZ/yu1v+c&#10;oYH1f5hOyXUrD+fSFz6s8JXlUmdnvxeMgFd9fGpxBHamr7iPAzxhPXjgx2lU2dviSjozZqR/u60Z&#10;wNYZ5KptFBvTUpXf3hXdxfrU+JC+tf422ZD/wtd2b3LODUd8WOErS/o1t37Npb/gb+6Hn+Fz8tH8&#10;f/bOZ0VqIAjjeQLx4DOL7DyDiAqeRPCkqHhSRHHxsIsXd2fZu3tZX8D8OvtBO5RJetl0Z4ZvoOlM&#10;JSTp+vOlqrrSwQ8fahGOOmofv3/7muKYKJZRvnXXzg7hP+MlhmOMilvAiDynRJxCfpT3lORjlPDf&#10;x95etyOsiGjm8e15PMW7XOdz34X4hfkB8iT45mAKuVbFNNiV4v9DwIpoDDle4m+8f/smrbsBT1h3&#10;FNzAbxOP5Wfov/vl9BbeRlgR0SyHZeWwy198EuHKn+vrlHPFZpgLJsb5eXqSnsnyPXI7i+xwn2mM&#10;8cvnT6lGD5+MuXDeTVFtKLwDd+XH7fLS/5fT3QgrIpplsJwMct4qbwJNcTs02tXV77TmJvPANOYn&#10;yb3ih+wzPozd+0k/b0LNhurxGK/iFOUvhBvC25yf3l5WbyOsiGiWw7JymOKvbANbIX9I3nDIs25S&#10;XMPaAqobwR55ZhPbqB+z0Vb7dG/4Tmxz/7pnanmJ1xgjPgfvouCHTfHJ++vqaYQVEc1yqSuXXX6D&#10;G2AIz17t+3F8nHIB+CKbRw871knDDsmPkCvQe2P815xFK6yIrpuwop+P5T6VG6Unx0E9DLV2NGo3&#10;hJ8au/u2+ij+R1gR0XS8+zZyw37kr7Mtn52aNN43B0N4TvNNAXx+cET5Vfo15kfADxrYAr6dn/1K&#10;78ASq4AffIP4ssdBdI4xG0Pa6N6YzUdYEdHGzuF9y8tVtpNjh3wSemyQuqkhN3KUtpkHhq7ne+QD&#10;tKSBHfhG1Nvic1A3R46YdapVKyqcVG9dW17XSngcYUVEKzmnj717Gct+chzJ+QydRh6E+ZmhdmTT&#10;vX71stuen6XnOz5JwpObvqZPgn+hGArc4Nr4RcP3H6njH+ZVmLPWXIrGpHGKB/rv/u71rJSnEVZE&#10;tNLz+vj6ssXeVP8ATqiWVd/Qk/2yryZ2cC3FKmynXOnFNtWLEquwRiDvJf8PN6xL9XVpLs8jrIho&#10;c8/n49rIWs9qYQg9siD3SEzw7MnjfzBDudVa8Qu4Iezgmh8/vEs+EutwcJ9gB9incUCzv9FGl0ps&#10;OMKKiFZyTh/bRu7CDPEfm4TGd3yJD5ivwQ/g+S97roEfXIv5IBrbXJOac3Atn0/ivo0ZbXRHOlPa&#10;R1gR0UrP6+Pr6oGwA/uj8V+2yHwM+RDiBOUe1NfAjxSv3OQ/2OZ75OAZ6/koZkFfuGc1jcF6VFeP&#10;SvkdYUVEKz2vj28vd2EIz3jmNsg1gCVgBnZcAzt0LeIlxUys38P8LPMuuZ4I73Kat9vr0ZgMIqyI&#10;aGPn8L51yhj8UD6VtcV5d4bvTqguRLHE0jiSxy9c+8XzpwnPdG/cp3VonTo0JZcIKyLa1Hm8f33y&#10;VyxAT56SWnBwRPkPxTDY95INfLq82KbG+oK8N8u6YPI3iGGsP+vTnzkyibACmpt5YB2wDszRgTk4&#10;42P28/lguVlu1gHrgHXAOmAdsA5YB6wDh6oD97que9A3fvf7xvZfAAAA//8DAFBLAwQUAAYACAAA&#10;ACEAZoMmk94AAAAHAQAADwAAAGRycy9kb3ducmV2LnhtbEyOwUrDQBRF94L/MDzBnZ2kMVFjXkop&#10;6qoItoK4m2Zek9DMm5CZJunfO650ebmXc0+xmk0nRhpcaxkhXkQgiCurW64RPvevd48gnFesVWeZ&#10;EC7kYFVeXxUq13biDxp3vhYBwi5XCI33fS6lqxoyyi1sTxy6ox2M8iEOtdSDmgLcdHIZRZk0quXw&#10;0KieNg1Vp93ZILxNalon8cu4PR03l+99+v61jQnx9mZeP4PwNPu/MfzqB3Uog9PBnlk70SFkSRgi&#10;PKQgQrt8SjIQB4Q0vk9BloX871/+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BmPVaQXAQAAAsNAAAOAAAAAAAAAAAAAAAAADwCAABkcnMvZTJvRG9jLnhtbFBLAQIt&#10;ABQABgAIAAAAIQDjp8k86usAALifBwAUAAAAAAAAAAAAAAAAAMQGAABkcnMvbWVkaWEvaW1hZ2Ux&#10;LmVtZlBLAQItABQABgAIAAAAIQBmgyaT3gAAAAcBAAAPAAAAAAAAAAAAAAAAAODyAABkcnMvZG93&#10;bnJldi54bWxQSwECLQAUAAYACAAAACEAjiIJQroAAAAhAQAAGQAAAAAAAAAAAAAAAADr8wAAZHJz&#10;L19yZWxzL2Uyb0RvYy54bWwucmVsc1BLBQYAAAAABgAGAHwBAADc9AAAAAA=&#10;">
                      <v:group id="그룹 3999" o:spid="_x0000_s1372"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IV/xgAAAN0AAAAPAAAAZHJzL2Rvd25yZXYueG1sRI9Ba8JA&#10;FITvQv/D8gredJOK0qSuIlLFgwjVQuntkX0mwezbkF2T+O9dQfA4zMw3zHzZm0q01LjSsoJ4HIEg&#10;zqwuOVfwe9qMPkE4j6yxskwKbuRguXgbzDHVtuMfao8+FwHCLkUFhfd1KqXLCjLoxrYmDt7ZNgZ9&#10;kE0udYNdgJtKfkTRTBosOSwUWNO6oOxyvBoF2w671ST+bveX8/r2f5oe/vYxKTV871dfIDz1/hV+&#10;tndawSRJEni8CU9ALu4AAAD//wMAUEsBAi0AFAAGAAgAAAAhANvh9svuAAAAhQEAABMAAAAAAAAA&#10;AAAAAAAAAAAAAFtDb250ZW50X1R5cGVzXS54bWxQSwECLQAUAAYACAAAACEAWvQsW78AAAAVAQAA&#10;CwAAAAAAAAAAAAAAAAAfAQAAX3JlbHMvLnJlbHNQSwECLQAUAAYACAAAACEAx+SFf8YAAADdAAAA&#10;DwAAAAAAAAAAAAAAAAAHAgAAZHJzL2Rvd25yZXYueG1sUEsFBgAAAAADAAMAtwAAAPoCAAAAAA==&#10;">
                        <v:shape id="그림 4000" o:spid="_x0000_s1373"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1uwwAAAN0AAAAPAAAAZHJzL2Rvd25yZXYueG1sRE/LagIx&#10;FN0L/kO4QjeiiaWVdjSKtAguXPgori+T28k4k5txEnX692ZRcHk47/myc7W4URtKzxomYwWCOPem&#10;5ELDz3E9+gARIrLB2jNp+KMAy0W/N8fM+Dvv6XaIhUghHDLUYGNsMilDbslhGPuGOHG/vnUYE2wL&#10;aVq8p3BXy1elptJhyanBYkNflvLqcHUaqtV2Utlqx+fh6f3zfLHDXf591fpl0K1mICJ18Sn+d2+M&#10;hjel0v70Jj0BuXgAAAD//wMAUEsBAi0AFAAGAAgAAAAhANvh9svuAAAAhQEAABMAAAAAAAAAAAAA&#10;AAAAAAAAAFtDb250ZW50X1R5cGVzXS54bWxQSwECLQAUAAYACAAAACEAWvQsW78AAAAVAQAACwAA&#10;AAAAAAAAAAAAAAAfAQAAX3JlbHMvLnJlbHNQSwECLQAUAAYACAAAACEAGDJ9bsMAAADdAAAADwAA&#10;AAAAAAAAAAAAAAAHAgAAZHJzL2Rvd25yZXYueG1sUEsFBgAAAAADAAMAtwAAAPcCAAAAAA==&#10;">
                          <v:imagedata r:id="rId41" o:title=""/>
                        </v:shape>
                        <v:shape id="Text Box 4001" o:spid="_x0000_s1374"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lDxwAAAN0AAAAPAAAAZHJzL2Rvd25yZXYueG1sRI9BSwMx&#10;FITvQv9DeAUvYpPqUmRtWkpR0F6Kay/eHpvXzermZUmy7frvG0HocZiZb5jlenSdOFGIrWcN85kC&#10;QVx703Kj4fD5ev8EIiZkg51n0vBLEdaryc0SS+PP/EGnKjUiQziWqMGm1JdSxtqSwzjzPXH2jj44&#10;TFmGRpqA5wx3nXxQaiEdtpwXLPa0tVT/VIPTsC++9vZuOL7sNsVjeD8M28V3U2l9Ox03zyASjeka&#10;/m+/GQ2FUnP4e5OfgFxdAAAA//8DAFBLAQItABQABgAIAAAAIQDb4fbL7gAAAIUBAAATAAAAAAAA&#10;AAAAAAAAAAAAAABbQ29udGVudF9UeXBlc10ueG1sUEsBAi0AFAAGAAgAAAAhAFr0LFu/AAAAFQEA&#10;AAsAAAAAAAAAAAAAAAAAHwEAAF9yZWxzLy5yZWxzUEsBAi0AFAAGAAgAAAAhAB+BaUPHAAAA3QAA&#10;AA8AAAAAAAAAAAAAAAAABwIAAGRycy9kb3ducmV2LnhtbFBLBQYAAAAAAwADALcAAAD7AgAAAAA=&#10;" stroked="f">
                          <v:textbox style="mso-fit-shape-to-text:t" inset="0,0,0,0">
                            <w:txbxContent>
                              <w:p w14:paraId="440CB644"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E</w:t>
                                </w:r>
                              </w:p>
                            </w:txbxContent>
                          </v:textbox>
                        </v:shape>
                      </v:group>
                      <v:shape id="Text Box 4002" o:spid="_x0000_s1375" type="#_x0000_t202" style="position:absolute;left:5206;top:23012;width:12333;height:7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UNxQAAAN0AAAAPAAAAZHJzL2Rvd25yZXYueG1sRI9BawIx&#10;FITvBf9DeEIvRROl1GU1SiuU2kMPrv6A5+a5Wd28LJtUt/++EQSPw8x8wyxWvWvEhbpQe9YwGSsQ&#10;xKU3NVca9rvPUQYiRGSDjWfS8EcBVsvB0wJz46+8pUsRK5EgHHLUYGNscylDaclhGPuWOHlH3zmM&#10;SXaVNB1eE9w1cqrUm3RYc1qw2NLaUnkufp2GLAvrGYWDb05fxeblmz4m2x+r9fOwf5+DiNTHR/je&#10;3hgNr0pN4fYmPQG5/AcAAP//AwBQSwECLQAUAAYACAAAACEA2+H2y+4AAACFAQAAEwAAAAAAAAAA&#10;AAAAAAAAAAAAW0NvbnRlbnRfVHlwZXNdLnhtbFBLAQItABQABgAIAAAAIQBa9CxbvwAAABUBAAAL&#10;AAAAAAAAAAAAAAAAAB8BAABfcmVscy8ucmVsc1BLAQItABQABgAIAAAAIQBzoQUNxQAAAN0AAAAP&#10;AAAAAAAAAAAAAAAAAAcCAABkcnMvZG93bnJldi54bWxQSwUGAAAAAAMAAwC3AAAA+QIAAAAA&#10;" fillcolor="white [3212]" stroked="f" strokeweight=".5pt">
                        <v:textbox inset="0,0,0,0">
                          <w:txbxContent>
                            <w:p w14:paraId="7691E278" w14:textId="77777777" w:rsidR="006D7011" w:rsidRDefault="006D7011" w:rsidP="0059538A">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TYLKO opiekun </w:t>
                              </w:r>
                            </w:p>
                            <w:p w14:paraId="55AA102D" w14:textId="77777777" w:rsidR="006D7011" w:rsidRPr="003C136D" w:rsidRDefault="006D7011" w:rsidP="0059538A">
                              <w:pPr>
                                <w:rPr>
                                  <w:rFonts w:asciiTheme="majorBidi" w:hAnsiTheme="majorBidi" w:cstheme="majorBidi"/>
                                  <w:b/>
                                  <w:bCs/>
                                  <w:sz w:val="10"/>
                                  <w:szCs w:val="10"/>
                                  <w:lang w:val="pl-PL"/>
                                </w:rPr>
                              </w:pPr>
                            </w:p>
                            <w:p w14:paraId="783B6E7A" w14:textId="77777777" w:rsidR="006D7011" w:rsidRDefault="006D7011" w:rsidP="0059538A">
                              <w:pPr>
                                <w:rPr>
                                  <w:rFonts w:asciiTheme="majorBidi" w:hAnsiTheme="majorBidi" w:cstheme="majorBidi"/>
                                  <w:b/>
                                  <w:bCs/>
                                  <w:sz w:val="18"/>
                                  <w:szCs w:val="18"/>
                                  <w:lang w:val="pl-PL"/>
                                </w:rPr>
                              </w:pPr>
                              <w:r>
                                <w:rPr>
                                  <w:rFonts w:ascii="Times New Roman" w:eastAsia="Times New Roman" w:hAnsi="Times New Roman" w:cs="Times New Roman"/>
                                  <w:b/>
                                  <w:bCs/>
                                  <w:sz w:val="18"/>
                                  <w:szCs w:val="18"/>
                                  <w:lang w:val="pl-PL"/>
                                </w:rPr>
                                <w:t xml:space="preserve">Samodzielne wstrzyknięcie i podanie wstrzyknięcia przez opiekuna </w:t>
                              </w:r>
                            </w:p>
                          </w:txbxContent>
                        </v:textbox>
                      </v:shape>
                      <w10:wrap type="square"/>
                    </v:group>
                  </w:pict>
                </mc:Fallback>
              </mc:AlternateContent>
            </w:r>
          </w:p>
          <w:p w14:paraId="57292BC6" w14:textId="77777777" w:rsidR="0059538A" w:rsidRPr="008F328C" w:rsidRDefault="0059538A" w:rsidP="008F328C">
            <w:pPr>
              <w:pStyle w:val="a3"/>
              <w:numPr>
                <w:ilvl w:val="0"/>
                <w:numId w:val="141"/>
              </w:numPr>
              <w:rPr>
                <w:b/>
                <w:lang w:val="pl-PL"/>
              </w:rPr>
            </w:pPr>
            <w:r w:rsidRPr="008F328C">
              <w:rPr>
                <w:rFonts w:eastAsia="Times New Roman"/>
                <w:b/>
                <w:bCs/>
                <w:lang w:val="pl-PL"/>
              </w:rPr>
              <w:t>Wybrać odpowiednie miejsce wstrzyknięcia</w:t>
            </w:r>
          </w:p>
          <w:p w14:paraId="61813D7E" w14:textId="77777777" w:rsidR="0059538A" w:rsidRPr="008F328C" w:rsidRDefault="0059538A" w:rsidP="00ED6A7B">
            <w:pPr>
              <w:pStyle w:val="a3"/>
              <w:rPr>
                <w:lang w:val="pl-PL"/>
              </w:rPr>
            </w:pPr>
          </w:p>
          <w:p w14:paraId="36210090" w14:textId="77777777" w:rsidR="0059538A" w:rsidRPr="008F328C" w:rsidRDefault="0059538A" w:rsidP="00ED6A7B">
            <w:pPr>
              <w:pStyle w:val="a3"/>
              <w:ind w:left="3397"/>
              <w:rPr>
                <w:lang w:val="pl-PL"/>
              </w:rPr>
            </w:pPr>
            <w:r w:rsidRPr="008F328C">
              <w:rPr>
                <w:rFonts w:eastAsia="Times New Roman"/>
                <w:b/>
                <w:bCs/>
                <w:lang w:val="pl-PL"/>
              </w:rPr>
              <w:t>a.</w:t>
            </w:r>
            <w:r w:rsidRPr="008F328C">
              <w:rPr>
                <w:rFonts w:eastAsia="Times New Roman"/>
                <w:lang w:val="pl-PL"/>
              </w:rPr>
              <w:t xml:space="preserve"> Wstrzyknięcie można wykonać w:</w:t>
            </w:r>
          </w:p>
          <w:p w14:paraId="2B1F5C78" w14:textId="77777777" w:rsidR="0059538A" w:rsidRPr="008F328C" w:rsidRDefault="0059538A" w:rsidP="00ED6A7B">
            <w:pPr>
              <w:pStyle w:val="a3"/>
              <w:ind w:left="3757"/>
              <w:rPr>
                <w:rFonts w:eastAsia="Times New Roman"/>
                <w:lang w:val="pl-PL"/>
              </w:rPr>
            </w:pPr>
            <w:r w:rsidRPr="008F328C">
              <w:rPr>
                <w:rFonts w:eastAsia="Times New Roman"/>
                <w:lang w:val="pl-PL"/>
              </w:rPr>
              <w:t xml:space="preserve">- przednią powierzchnię ud </w:t>
            </w:r>
          </w:p>
          <w:p w14:paraId="6D2B3E5C" w14:textId="3D301487" w:rsidR="0059538A" w:rsidRPr="008F328C" w:rsidRDefault="0059538A" w:rsidP="00ED6A7B">
            <w:pPr>
              <w:pStyle w:val="a3"/>
              <w:ind w:left="3757"/>
              <w:rPr>
                <w:lang w:val="pl-PL"/>
              </w:rPr>
            </w:pPr>
            <w:r w:rsidRPr="008F328C">
              <w:rPr>
                <w:rFonts w:eastAsia="Times New Roman"/>
                <w:lang w:val="pl-PL"/>
              </w:rPr>
              <w:t xml:space="preserve">- </w:t>
            </w:r>
            <w:r w:rsidR="003033C1" w:rsidRPr="003033C1">
              <w:rPr>
                <w:rFonts w:eastAsia="Times New Roman"/>
                <w:lang w:val="pl-PL"/>
              </w:rPr>
              <w:t>brzuch Twojego dziecka</w:t>
            </w:r>
            <w:r w:rsidRPr="008F328C">
              <w:rPr>
                <w:rFonts w:eastAsia="Times New Roman"/>
                <w:lang w:val="pl-PL"/>
              </w:rPr>
              <w:t xml:space="preserve"> w odległości co najmniej 5 cm od pępka. </w:t>
            </w:r>
          </w:p>
          <w:p w14:paraId="2F04364D" w14:textId="77777777" w:rsidR="0059538A" w:rsidRPr="008F328C" w:rsidRDefault="0059538A" w:rsidP="00ED6A7B">
            <w:pPr>
              <w:pStyle w:val="a3"/>
              <w:ind w:left="3757"/>
              <w:rPr>
                <w:lang w:val="pl-PL"/>
              </w:rPr>
            </w:pPr>
            <w:r w:rsidRPr="008F328C">
              <w:rPr>
                <w:rFonts w:eastAsia="Times New Roman"/>
                <w:lang w:val="pl-PL"/>
              </w:rPr>
              <w:t xml:space="preserve">- zewnętrzną powierzchnię górnego ramienia (TYLKO opiekun). </w:t>
            </w:r>
          </w:p>
          <w:p w14:paraId="4FA3EA95" w14:textId="77777777" w:rsidR="0059538A" w:rsidRPr="008F328C" w:rsidRDefault="0059538A" w:rsidP="00ED6A7B">
            <w:pPr>
              <w:pStyle w:val="a3"/>
              <w:rPr>
                <w:lang w:val="pl-PL"/>
              </w:rPr>
            </w:pPr>
          </w:p>
          <w:p w14:paraId="5E6B4253" w14:textId="77777777" w:rsidR="0059538A" w:rsidRPr="008F328C" w:rsidRDefault="0059538A" w:rsidP="00ED6A7B">
            <w:pPr>
              <w:pStyle w:val="a3"/>
              <w:numPr>
                <w:ilvl w:val="0"/>
                <w:numId w:val="18"/>
              </w:numPr>
              <w:ind w:left="3577"/>
              <w:rPr>
                <w:lang w:val="pl-PL"/>
              </w:rPr>
            </w:pPr>
            <w:r w:rsidRPr="008F328C">
              <w:rPr>
                <w:rFonts w:eastAsia="Times New Roman"/>
                <w:b/>
                <w:bCs/>
                <w:lang w:val="pl-PL"/>
              </w:rPr>
              <w:t>Nie należy</w:t>
            </w:r>
            <w:r w:rsidRPr="008F328C">
              <w:rPr>
                <w:rFonts w:eastAsia="Times New Roman"/>
                <w:lang w:val="pl-PL"/>
              </w:rPr>
              <w:t xml:space="preserve"> wykonywać wstrzyknięcia w skórę, która znajduje się w odległości 5 cm od pępka lub jeżeli skóra jest zaczerwieniona, twarda, tkliwa, uszkodzona, zasiniona lub jeżeli znajdują się na niej blizny. </w:t>
            </w:r>
          </w:p>
          <w:p w14:paraId="53DC4F14" w14:textId="1B2680B1" w:rsidR="0059538A" w:rsidRPr="008F328C" w:rsidRDefault="00AE3781" w:rsidP="00ED6A7B">
            <w:pPr>
              <w:pStyle w:val="a3"/>
              <w:numPr>
                <w:ilvl w:val="0"/>
                <w:numId w:val="18"/>
              </w:numPr>
              <w:ind w:left="3577"/>
              <w:rPr>
                <w:lang w:val="pl-PL"/>
              </w:rPr>
            </w:pPr>
            <w:r w:rsidRPr="00AE3781">
              <w:rPr>
                <w:rFonts w:eastAsia="Times New Roman"/>
                <w:lang w:val="pl-PL"/>
              </w:rPr>
              <w:t>Jeśli dziecko choruje na łuszczycę</w:t>
            </w:r>
            <w:r w:rsidR="0059538A" w:rsidRPr="008F328C">
              <w:rPr>
                <w:rFonts w:eastAsia="Times New Roman"/>
                <w:lang w:val="pl-PL"/>
              </w:rPr>
              <w:t xml:space="preserve">, </w:t>
            </w:r>
            <w:r w:rsidR="0059538A" w:rsidRPr="008F328C">
              <w:rPr>
                <w:rFonts w:eastAsia="Times New Roman"/>
                <w:b/>
                <w:bCs/>
                <w:lang w:val="pl-PL"/>
              </w:rPr>
              <w:t>nie</w:t>
            </w:r>
            <w:r w:rsidR="0059538A" w:rsidRPr="008F328C">
              <w:rPr>
                <w:rFonts w:eastAsia="Times New Roman"/>
                <w:lang w:val="pl-PL"/>
              </w:rPr>
              <w:t xml:space="preserve"> należy wykonywać wstrzyknięcia bezpośrednio w uniesione, zgrubiałe, zaczerwienione lub łuszczące się miejsca na skórze lub zmiany skórne. </w:t>
            </w:r>
          </w:p>
          <w:p w14:paraId="45D2A5CE" w14:textId="77777777" w:rsidR="0059538A" w:rsidRPr="008F328C" w:rsidRDefault="0059538A" w:rsidP="00ED6A7B">
            <w:pPr>
              <w:pStyle w:val="a3"/>
              <w:numPr>
                <w:ilvl w:val="0"/>
                <w:numId w:val="18"/>
              </w:numPr>
              <w:ind w:left="3577"/>
              <w:rPr>
                <w:lang w:val="pl-PL"/>
              </w:rPr>
            </w:pPr>
            <w:r w:rsidRPr="008F328C">
              <w:rPr>
                <w:rFonts w:eastAsia="Times New Roman"/>
                <w:b/>
                <w:bCs/>
                <w:lang w:val="pl-PL"/>
              </w:rPr>
              <w:t xml:space="preserve">Nie </w:t>
            </w:r>
            <w:r w:rsidRPr="008F328C">
              <w:rPr>
                <w:rFonts w:eastAsia="Times New Roman"/>
                <w:lang w:val="pl-PL"/>
              </w:rPr>
              <w:t>wykonywać wstrzyknięcia przez ubranie.</w:t>
            </w:r>
          </w:p>
          <w:p w14:paraId="3D2FAD1F" w14:textId="77777777" w:rsidR="0059538A" w:rsidRPr="008F328C" w:rsidRDefault="0059538A" w:rsidP="00ED6A7B">
            <w:pPr>
              <w:pStyle w:val="a3"/>
              <w:rPr>
                <w:lang w:val="pl-PL"/>
              </w:rPr>
            </w:pPr>
          </w:p>
          <w:p w14:paraId="69115D91" w14:textId="77777777" w:rsidR="0059538A" w:rsidRPr="008F328C" w:rsidRDefault="0059538A" w:rsidP="00ED6A7B">
            <w:pPr>
              <w:pStyle w:val="a3"/>
              <w:ind w:left="3577" w:hanging="180"/>
              <w:rPr>
                <w:lang w:val="pl-PL"/>
              </w:rPr>
            </w:pPr>
            <w:r w:rsidRPr="008F328C">
              <w:rPr>
                <w:rFonts w:eastAsia="Times New Roman"/>
                <w:b/>
                <w:bCs/>
                <w:lang w:val="pl-PL"/>
              </w:rPr>
              <w:t>b.</w:t>
            </w:r>
            <w:r w:rsidRPr="008F328C">
              <w:rPr>
                <w:rFonts w:eastAsia="Times New Roman"/>
                <w:lang w:val="pl-PL"/>
              </w:rPr>
              <w:t xml:space="preserve"> Miejsce wstrzyknięcia należy za każdym razem zmieniać. Każde nowe miejsce wstrzyknięcia powinno znajdować się co najmniej 3 cm od wcześniejszego miejsca wstrzyknięcia.</w:t>
            </w:r>
          </w:p>
        </w:tc>
      </w:tr>
      <w:tr w:rsidR="0059538A" w:rsidRPr="00A5286D" w14:paraId="5DD663C2" w14:textId="77777777" w:rsidTr="00ED6A7B">
        <w:trPr>
          <w:trHeight w:val="5945"/>
        </w:trPr>
        <w:tc>
          <w:tcPr>
            <w:tcW w:w="9634" w:type="dxa"/>
          </w:tcPr>
          <w:p w14:paraId="51F81D4E" w14:textId="77777777" w:rsidR="0059538A" w:rsidRPr="008F328C" w:rsidRDefault="0059538A" w:rsidP="00ED6A7B">
            <w:pPr>
              <w:pStyle w:val="1"/>
              <w:spacing w:before="76"/>
              <w:ind w:left="0" w:right="2736"/>
              <w:rPr>
                <w:rFonts w:eastAsiaTheme="minorEastAsia" w:cs="Times New Roman"/>
                <w:lang w:val="pl-PL" w:eastAsia="ko-KR"/>
              </w:rPr>
            </w:pPr>
          </w:p>
          <w:p w14:paraId="368922E9" w14:textId="1CB2BEE9" w:rsidR="0059538A" w:rsidRPr="008F328C" w:rsidRDefault="0059538A" w:rsidP="00ED6A7B">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78" behindDoc="0" locked="0" layoutInCell="1" allowOverlap="1" wp14:anchorId="0447B7D4" wp14:editId="4E63F2AB">
                      <wp:simplePos x="0" y="0"/>
                      <wp:positionH relativeFrom="column">
                        <wp:posOffset>-20955</wp:posOffset>
                      </wp:positionH>
                      <wp:positionV relativeFrom="paragraph">
                        <wp:posOffset>100330</wp:posOffset>
                      </wp:positionV>
                      <wp:extent cx="2407920" cy="3092450"/>
                      <wp:effectExtent l="0" t="0" r="0" b="0"/>
                      <wp:wrapSquare wrapText="bothSides"/>
                      <wp:docPr id="4003" name="그룹 4003"/>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4004" name="그림 400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005" name="Text Box 4005"/>
                              <wps:cNvSpPr txBox="1"/>
                              <wps:spPr>
                                <a:xfrm>
                                  <a:off x="1670050" y="2946400"/>
                                  <a:ext cx="719758" cy="146050"/>
                                </a:xfrm>
                                <a:prstGeom prst="rect">
                                  <a:avLst/>
                                </a:prstGeom>
                                <a:solidFill>
                                  <a:prstClr val="white"/>
                                </a:solidFill>
                                <a:ln>
                                  <a:noFill/>
                                </a:ln>
                              </wps:spPr>
                              <wps:txbx>
                                <w:txbxContent>
                                  <w:p w14:paraId="734F8986"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47B7D4" id="그룹 4003" o:spid="_x0000_s1376" style="position:absolute;margin-left:-1.65pt;margin-top:7.9pt;width:189.6pt;height:243.5pt;z-index:251658378;mso-position-horizontal-relative:text;mso-position-vertical-relative:text"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QPuJ5AwAACwgAAA4AAABkcnMvZTJvRG9jLnhtbJxV3W7bNhS+H7B3&#10;IHjfyPLsuBaiFF6yBAWy1mhS9JqmKIuoRHIkbSl7oL3CdrEnal+iHynJqZMW/bmwfEgeHn7nO98h&#10;z150TU32wjqpVU7TkwklQnFdSLXN6du7q2fPKXGeqYLVWomc3gtHX5z/+stZazIx1ZWuC2EJgiiX&#10;tSanlfcmSxLHK9Ewd6KNUFgstW2Yx9Buk8KyFtGbOplOJqdJq21hrObCOcxe9ov0PMYvS8H967J0&#10;wpM6p8Dm49fG7yZ8k/Mzlm0tM5XkAwz2EygaJhUOPYS6ZJ6RnZVPQjWSW+106U+4bhJdlpKLmAOy&#10;SSePsrm2emdiLtus3ZoDTaD2EU8/HZa/2l9bc2vWFky0Zgsu4ijk0pW2Cf9ASbpI2f2BMtF5wjE5&#10;nU0WyymY5Vj7bbKczuYDqbwC80/28eqPb+xMxoOTIzhG8gy/gQNYTzj4tlawy++soEOQ5rtiNMy+&#10;35lnKJdhXm5kLf19lB4KE0Cp/Vryte0HoHNtiSxyOptMZpQo1kD0H/797+M//5M4BZrDruDYb2Mh&#10;rRvN3zui9EXF1FasnIFw0U5BnsmxexwenbmppbmSdR1KFewhO4j8kUi+QFAvwEvNd41Qvu8oK2ok&#10;qpWrpHGU2Ew0G4GM7MsiAmKZ81Z4XoUDSxz8BmAD0M8WIsoHYCEFB42RTfunLsAI23kd++WHNTZd&#10;ztPZ86ixg1JAoXX+WuiGBANQgSiGZ/sbN2AbXQJqpQNhwMyyWh1NIGaYifgD4sFEAqE9cEe5kV+M&#10;njD8Q214WzEjgDKEPdLNfNTNXeiy33UXlDMPWhhcQ7sS32Fl0EiY79GOzXPo2vR0gc1oUPTndDk7&#10;Raj+0hs7eJEuF3Pc0qGB09lp8O2LOZZmJO47uXW6lsWox7D3orZkz3D/tpX0Ygh+5PWVGjxkFSzf&#10;bbrYWeliOXKx0cU9qLAaNUeKzvAriRNvmPNrZnGRYxKPk3+NT1nrNqd6sCiptP37S/PBH4XFKiUt&#10;Hoacur92LNwa9UuFkiOkHw07GpvRULvmQiPXNKKJJjZYX49maXXzDm/WKpyCJaY4zsqpH80L3z9P&#10;ePO4WK2iU3/53KhbgysrjcoOzN5175g1Q108CvpKj6Ji2SPp975B686s0H1XMvZFYLZnEUoPAwg8&#10;WvHFgXX0pH0+jl4Pb/j5JwAAAP//AwBQSwMEFAAGAAgAAAAhAJ3ceDhFiAAAmOkJABQAAABkcnMv&#10;bWVkaWEvaW1hZ2UxLmVtZuyd2Y9cR5afb3uB4f/Afpo27IcxvMG9zNIzwGA8cLsb9thjTC+GbcDz&#10;ZA/geZ1G2x6j+2VgtCiJEkVJlCiKEklR3PedFMnivu9aKZIqihI3SSQltdQiW92OL7J+t05F3cib&#10;WZVZlZl1CBQjbkTcuHEjTnz35IntK0VR/EX407//+ZWieCX86d+f//2i+NZvFMVX//Uff7sovlLM&#10;u/l3i78ZIk2SmPSnf6cofudvFcV/ChH7dPOIu/cP/nZx5ud/o/iP4frvhfv1L32Wwv8i5LE7/P1J&#10;CPjN8Pfj8PfCjcZ9Xy1OFIonTv6vFF8NV6Pp4sXIf7/+9a8L//M6cBlwGXAZcBlwGXAZcBlwGXAZ&#10;6I4MfPU3/mHhf14HLgMuAy4DvSMDue+dt1HvtJG3hbeFy4DLADJQx+tcvId353eN12t1vf7qV78q&#10;rg6/UxzYN1TKLGH8qc6sX2GHDx4o4xXmbnUde730br3oe51ro7r43H0e3rtt3s9tA4svX3q7OHLo&#10;YCV/xW7LbPzwXWFy+7kevOwzs3/V8bgu3uVmZsrNdLb7+XNni+F3rpT8pSw3rl+v5LfKeXD/qD6u&#10;MHdddvtNBup4XBffb+/r5e3/Pnoh8PqdK5dLPqMvXx0eHnOtdpYuPbT7lTJece72vyzMtDas43Fd&#10;/EyrL3/f6e/j8Hp4hNfiMfq2bRuFK8zauxXm7vS3pbdBe21Qx+O6eK/v9urb62vy9XXh/LmS16pP&#10;8ZtrWJ3yet/e3ePCdK+7k28Tr8OpqcM6HtfFeztNTTt5PY/W89Ejh4u7d+9EfVpcln0kZbXipV+n&#10;8V6vo/XqddH7dVHH47p4b+Peb+NBayPm5onDcq9cHmvP1jsr/mAy/0/x7rr89pMM1PG4Lr6f3tXL&#10;Ohh9s2ouNXP81L5itK5xfX7IYLS9bdOZ6K/jcV38TKwzf+fp7fuHRta+wGWxWfaQqrYhzYF9e0ue&#10;V6XxsOltU6//1uq/jsd18V7PrdWz11Pn6km8Vp0y9/rGjebzrw8d2O+89r03+14G6nhcF68+427n&#10;eOR12bwuxWvp1m++8Xpx986dpn2xyobi9dy8nr1+eq9+6nhcF+9t2nttOuhtAq/Fat51aM8r8Vph&#10;cm09OK9dTq089Ku/jsd18f363l7u/u2/KXsP7t9X6tZVrKat03u8/fu3/Wdy29XxuC5+Jtedv/v0&#10;9PnUFr17144x+jbtknLbeT09beV9pLP1Xsfjunhvj862h9dnfX3Kfk1dffnll2Gu3qh+TRisdl7X&#10;16PLWv/VUR2P6+K9zfuvzfu9zayufPfOR+PWple9n72nKt7DXI77QQbqeFwX3w/v6GUcrL544tjR&#10;MB/ko6hDt8JrdG2tR3dZGCxZmGntWcfjuviZVl/+vtPf3+N+TyP7X7937d3iTmB3Xbv4+sbpb7e6&#10;NvL4+jaq43FdvNdxfR17HXW2juz+fJwN1kr9Oq872wat1Lmn6Xyd1/G4Lt7bpPNt4nXavE51XgF2&#10;juF3WuS12e/J67d5/Xr99G791PG4Lt7btnfbdlDbxvK6Vf3a7dcup4PQH+p4XBc/CHXg79BffRle&#10;swaddnNe91fbeV+bXHvV8bgu3ut/cvXv9dd+/cFozbluldf7h/aOm5Ptdd9+3XudTW+d1fG4Lt7b&#10;b3rbb6bVPzZr8brhHx7HYcJVL/j5E98V7q7LbT/KQB2P6+L78Z29zP3dVzlbV/y1440pp2lnhSm9&#10;t31/t/1Mb786HtfFz/T68/ef+v5/+9bNYu2qlZHF6NrSodUWN66/X+rXCsMeIr+7U99mXuedqfM6&#10;HtfFezt0ph28HluvR9Y0rnj5pex446W3L5ZsHtWvh0pd2+u69br2uuqtuqrjcV28t2dvtedMaI97&#10;9+4WixYuKHmd6tf2LEfVh+vXLqeShX5263hs46Wr9PP7etkHo9/Ofvih0h6Stqls2lZefb+nwWj3&#10;tK1n2rXlcdW723gr/1VpPcz7xFTJALzmWdivP//88zG2jrfefGOcPSQ9k2aqyunP8T7RSRmwPK7K&#10;ty6+6h4PcxntlgxIZ3jmqblxjz7tz0e44t67dq345JNPymvKcuzI4eLTJKxbZfR8Xf67JQN1PK6L&#10;71a5PF+X+WYywHjj8JXLcW8+XNKK15HhYc6fDWOPqHeSdM3y9ziXv16UgToeK159oRffwcs0s/oW&#10;srh86ZLiyuVLUcfW2nTJwSeffFycO3N6jE3kfFjDLq4rnbszS24Gob3F49y7KH7dmtXFyePHCn5r&#10;fv75Z2Vf4D6xXK4Ny+Xr4d5XJiMDnInOGhhkLl0LY8Mkk29ffKs4fvRIKauTebbf67I7XTIgHuee&#10;r3jGdx6d9bNCLvrNubNnio8++rCyD6if5PL1cJf5ycgA++2J0/a8XckdYeSva8YlOadX15N5tt/r&#10;sjtdMiAe556v+E3r1xUvPv9cyWxxG3fek3ML6d/YDpWX+oZchbvr8j5RGZAssSYGnYHroT27x3GY&#10;MJ5BPH83b1wvNq5bU8rmRJ/v97nsTqcMiMe5Mij+2rtXC/7evTpcHD18KPYVWG25Lf2bflTF7dwz&#10;PNz7QDsyAH+Hr1wuFr/wfOSv7CKEkw8uurTNkzPDtCbShrvfZa+fZEA8zpVZ8WK1uC331Injxcrl&#10;Lxtuz4r+hc89W86LVT/KPcPDvc+0IwOSJ3QF7oPXDx48GMNn2UqUFv1BfG/nWZ7WZbOXZEA8zpVJ&#10;8eIz+rX8uLpmDfChA/uKpYtfLB575OFgN3moePzRR4ptmzfFubC5/D3c+8NEZAAOz5n9SHH//v0o&#10;jx/cvh31auV16uSJ8gx1MVt8Vxp3Xfb6TQbE41y5FW8ZXeeH3fPnPRX1bPoItm3yp9+o7+Se5+He&#10;h1qVAewbsrtpDbruHb5yedz8Pex16VpIpXfX5a4fZEA8zpVV8XWMTuPPnj5V8hpmM0fWWe19Iidn&#10;7YYjS/AauzT3pvp15PXImhnlrTU2unbX5bHfZEA8zpVb8SmPc9eyjxDPOXvLl74UbSP8dtW+ac5t&#10;7yc5eWslXPLDHGzm6XGPwnQ/e2C/duF8GU484+B2r1WlddflsV9kQDzOlVfxOT5XhYvZuPw9P/+Z&#10;cgxSz0n7l8Ld9b5TJwOSnRPHjhYXzd5O6X2aN6JwrjUOqTB3Xd76SQbE41yZFV/F5VbDsI08/ujD&#10;kdlLlywKc2FvlHpP7rke7v2oSgZgtXg9HGzU/IbTtXXxi9f4dY1OXpWvh7m89YMMiMe5siq+VTbn&#10;0rF/A3Zs/d0I6xdyz/Rw7zutyMBnn31WNNvXmjWQYjj5wXdsIq3k7WlcBntRBsTjXNkUn+NwO+HY&#10;ssVr5mdrrKjq2bafVcU3C5vMvTZf5SOXOOu3ad0/Pf2bfa1zdZ/aPpzX09NGufbx8PbbQzzO1Z3i&#10;2+FyVVrs2G+/9WaxZtWK0jYCu1nDsH3rlqgn8dtWf9hQ6Iuc48Qc7hUvLy2Wh/kAuOnf6hXLYxrS&#10;sQ4ZnYv9MxmLYp4X50eJs3J5X/lx5a+qh2ZxVek9rH05bLfO1Cb7h/Zk2y7l9Qe3bxXPPfN0Nn27&#10;ZfD03W9nr+OxdSwe5+pF8VUMbidMY5DvXXs3jtFrDBJms7ZGa9lnP9xYHyk9XO5o/KhNRXGNPNiL&#10;apbJR+kIwz8rfht2bNsS5xZqj8FmrBYT5FJH1p+rMw8fK2Odrg/bBtij7bV9Vspr4pAVm8b93W0r&#10;r9/O1q94nKtXxbfD5lbSXg779WzfsinOHbEstn7xGN7Oe/KJyFv08fTPrs1psHmU/+SnMOUnl/m4&#10;7OPGHC/b563f1gvhuTibzv2dldG0Pm0bVDFZ6avinNfdbRvVvbvdqWfxOFe/im+Fwa2m0Tw/pYeX&#10;Z8+cKtiL5HRYR4x76uTx4s3XX4u6MHYN6ee6J+dydt9rr14oThw/GmwpewKPdxabN64vVi1fVix5&#10;cWHkvngtVzzntzK2lT2v7CpOhjIwX5xzpWzdiBVybZz7uyOjVfWq+qeNq+IJg9dKh8sf4yacZ5C7&#10;x8Onrg29rtuva/E4V3eKz/Gxm+HYTiaSv72vivPEs8cg+2uiq4vbuFX6PX2c/d44T0r9P1dfHt6+&#10;DE6kztQOB/cPZdkr/VppeY5dwz6R5/o9U9O+Xs/V9Swe5+pH8RPhZr/cczGMgx4I45prVi4vnnri&#10;8ZLf0rstz9HB4cBwYLfqzPLA+hWfc9tJm8tjpoczHp2rA/Fa8dR3utev4tyt5oPXS2/Vi3icaxfF&#10;9wt7Wy2n9G65ug/bC3udYJPBLsJeVZzTwJ6Dltv4Oadh9coVxb69e+I6O+aUP3hwv9TBxWNc61dd&#10;K8xep2GKc7e633Du+ScfV9s3mH+d1tu61SuLWzdvjgtP0/l1dX17vUxvvYjHuXZQvHg2CK5ltPXr&#10;3RQmV+Gcf7Zx/driiccejexG/x61nzTmpjzz1Nw4hpmeAav6reKxDbN+3eNuvo8w/9P+1rF1ldqv&#10;iSOMb7JN5/58/Xrd9FbdiMe5dlG8mDUIbsrhqndqloY4bCjHjx2Jc8dZByQ7yii/Hyqenjsnjl9i&#10;+2bsUnvIicnWlT/XDh4+2m9UV7jU65FDB8fwV/Gyh3Btw5zXo3XpctVfdSEe59pN8VVMG4QwOzbJ&#10;+8DiNCx9T5tGXOce2LFz+9Zxc1BGGT4rzF98tmCfIru2UyyRm2sLDx/tW6qr99+7VmzdtGEMr1VP&#10;VfYQwpzXo/WounK3P+pEPM61l+JTZg3itdhb926W5/Ye+Yl/47VXo+0ktXnrGoavW7MqrL+8Usma&#10;XHt4+Nh+xXkFzPlI6wWe64x0G+f2kLH1Z+vG/b1fN+Jxrq0UX8cwj2+cR2zrQfw+c/pk8crOHYXO&#10;mB9ldmMN5rNPPxnHNfcPDUU7i+Z8S4e0bWPDqvyE2XB776D47fsx1sh8y6p3q9Kvnde9z6SqtvSw&#10;RruJx7n6ULzlkPvHszlXJ2K21clZH8T873TuNxxv2E5mxX0usI+rXSyjWgmrSq/7BsG170ed2XdS&#10;nOzXxCmMsQS3hzizrbz0k188zpVZ8TkeeXie3WI1dWT9qjPC2Gd25bKlYb5J1d4nDf17fZt2E7Ep&#10;16b9Hm7fDz/fuap3gtecm/7ll1+W8W6/dlZXyUq/hInHufIqXoxxN8/nVuoGRovdcrkPOzZz09i/&#10;iLXzzPnmjIfGnEH07ocK5gquDfsbMueYc1Xu3btX6o1qP8syhQ2Sm74f1+jXuDYO//CVy+POSIfh&#10;6dm8g1Q//i6D/T0Sj3PtrPhWWORpRlluWUy9yB6icFz9EW/DVY/MGdwT9j/BbqK1lrKXyAbO+g/m&#10;hbey32CujfstPOXyooULynPS7buI1zYM/frKpUulvm3j3D/YrBuE9hWPc++ieDHE3VEm19WFGGzT&#10;VYXZePnTdOwdfvTwwWJLmLvGvlXM9xbDYffcx2fHud7Hjx6J561hB7BtmuqfirPsaxamuF5w0zLb&#10;PUFsHHUgW7XeH4bzO6YX3sPL4N+HdmVAPM7dp3hxxN3Wed2NurIcP370cDJm2dg7vKGDPxRtK7l2&#10;Jdyyzfqb3dOLcZbXafksr4mLvA5nWaTp/NrZ2Q8yIB7nyqr4brDH8+wM+1mns2XjhmjHlZ1E7pNz&#10;Hotx2mNDeqZt76owG9/r/ma8pm5s+dljkbOHbJj7ndX9IgPica68ine2doatk61H6de48itPxiyx&#10;mTDPm3PodSY97J4z+5HSXsK6eNrbcnpQ9Wv4LNnmHW+HM8HY21xh7jqr+0kGxONcmRUvJrjbG9ym&#10;HarGMNU+xDFeyR7f7E+VjlOyL2wre1L1A8eb6ddVc0Ganame6wce7lzvBRkQj3NlUbw44G7v8Lqd&#10;tti+dXOcp4yuLfs245XMLxG3+4HNVXJax2vey76b89rZWyVH/RAmHufKqvh22OBpO8P01N7RrF5b&#10;SYstF1atXbUynpspGzf8fvH5BcX+fXsLzlP74osvJmQvsEzMyVM3wpvx+kpiv6aMVevUu1Euz9O/&#10;C52WAfE4l6/im7HC4zrDZ1uP1taBvxUe2/tb8TP3j3OM07WV0VYSzs6UTKT6qbicuko/1a7ltcqk&#10;Mlx6uzHeaN8hPUMsvUf3uuu87TUZEI9z5VJ8K/3f03SO25bP+O11p+qZPPkWsH80ayetrQSGb928&#10;sWQ28iGuybUyUxVm47vpt7xOn1Nlvz5ozp2ZznKnZfVr/z7UyYB4nEun+E4xwvNpj+lWz+5k3ekb&#10;oO8Ac0vg9rYtm4sFz84r1+Iwr2RF2N+EfU60BqeKcQqTm5OnboQ347U9I1lla3bmYzfK53k6hzsl&#10;A+JxLj/Fd5IVnld7zIaVjAl2qt6kV6f52W8D5w9L50bXRvdmLjdnA9i176nciIlpeKeuq/Jvxmut&#10;Pbf3ad8+wmx4p8ro+TifuyUD4nEuf8Wnfduv22PuZOrrtVcvFGvCGKH2Ap1MXrpX+rWucaVrK4zx&#10;yQNhDHL92tXleWdwm/26KctHH35YaS/JyVI3wuHt0sUvFvfu3h1TFj0L/ZrfBZbL+8P5yIqX6+x2&#10;xkoWetkVj3NlVLz6sLtTx2lb19grli9dEs+sseH4pRfLTeM7cc08izUrl4+ZE8h6nHNnTo9jn2RJ&#10;jJSr8E67fENyed69c6ewa2ZIt2/P7nHpu13GXPk83L8T7ciAeJy7R/Gd6POeR/usT3XeZTA7rIFB&#10;97X1afXl9B6bbqJ+5flmmDfC/BEYqT/2D9SZOKkcdYODNk/82GvS5+qaczKZo6hrXDv/2uZl07jf&#10;OdqLMiAe58qm+In2c7+vfUY3qzP07P1De4KuuyKezc4axmbpOxUnXpMf3wrG7BYumB+Zzfzt556Z&#10;F/e9u3//frQ9dJuD5M/fgwf347r7nPwSPhT0aVse9g+33xfFyW2Wl8c5x6dTBsTjXBkU36l+7/m0&#10;x2/LydTP/GnWmmOnkL5t03SyrslXecvl27F9y6ZSz4bb68NZOFaWus3A3Hm7tgwaX1QY+z0NB7u2&#10;rnG7XU77LPc78ycqA+Jx7n7Fd7Lve17tMZv6EiPxY6fmjzA4DTNfCLru6ZMnplzXpgzMX3nisdnl&#10;Ovf3rl2LLJwKBtbxmjKk56Sz/3W/r8HP9VcPH+xvgXica2fFO2PbZ2w368zym+e8/tqrce70hjCX&#10;Y9eObQW695XLl6aM39gYZM/evnXLGN01J1uTDYfF7169WuwOZ8/n8iKN9sBWGq7tmKO+K3KVzt3B&#10;Zl8/tq94nCu74rvJHs+7M98CzQ9Bf2RMkvnS6N7ovynfqfM0TPfb9rBh1m/TyK/z3pm3LXnqJgPJ&#10;+43wneI8tPQ56bXKg8t+ssy1UViztErjrrO7F2RAPM6VRfHqk+52hq1TUY+X3r4Y9sM+FPVt+L1x&#10;/dp45szZ06eKty++NU73Fr/l5sqYiydfdGzs2NwLB+1fTsYmEi7Gspe19vMmH4WnfvuMn//80zjH&#10;xZbN3mfTut853UsyIB7nyqT4XN/18N7id8pSrqUX454KfGN8kn2enp//TNS/q+zepLV5Wb9tc5s/&#10;4axlh9npGF9OviYSLrbi7susfanLlzLWpfF4Z3WvyYB4nCuX4m0fdX9vMbpZe6TcJa0Ye+r4sWg3&#10;gduc3wvHGZurWvue8prrNIy8sTPYeSKWrTkZayc8zY+5etyv8FbzwnZj19G0e3+rz/F0zvxOyoB4&#10;nMtT8c2Y4HG9y28xVW6urZhngj2D88Re2bk92k62bFwfxjA3xTPZd+/aGccwSYOdJZfPtrCnH7or&#10;e3rAwG5w0OY7tOeVkteE37xxo6Xnbgq2IezeyH03ypjrTx7u/J6MDIjHuTwUn+ufHt4brM7xWLaQ&#10;tJ1y4Wk6XTOGydglOjjjiZr3zb5QsqdQBp1jI17n5Goy4Zav+8LzbV7sR2Wvc37sNd202eSe6+HO&#10;68nIgHicy0Px6rfu9gafq9ohx2ybtl1O23vx8wz+mHMytPuVYtlLi6MdHHsKfuwM2EOYm3L61Mmw&#10;l9/nJT8tZ60f2au7tvKptNht0PdtHOvlmZNtw6r83GvniFSl8TBna6/JgHicK5fi037r173Fbc64&#10;On3yeGlTboXd7bah8hSz7f3sB4UOvnrFsnLdDHYR/hjbXL1ieYEuDF/5ZiBv4q5cG5bKI2nsH/Ev&#10;LXoh2D+uj8mL9fDWLp3mo2v2FaFcXNvnK95dZ3UvyoB4nCub4m3fdH9vsZr2YB+RuY/PLth7lWur&#10;R1fxdbJtKHbzHP50Tb7Hjx2NdhNsJmI2Z/um545x1i+2cGSviplVYUqL7RldXnIrlnN9MdnfSWms&#10;S3p+A2gvbxvnfmd1r8qAeJwrn+In27/9/u4zPu6THfaBQs+lvi2n8VuGT6Q9LJOVv9w0jnDWEVKm&#10;40cPFzu3bytWLV8WbSfswwq/GwxH/55brAv7jhw6eCDunYfLHh/8Ybe4Ojxc3Lp5s7RzfHzvXpw/&#10;fWNEt0Z2xXZc1nXm5NmG870gXxvmfmd1L8uAeJwro+In0r/9nu4zOq1j+IaezfoYMbqKpel9za5T&#10;/Zm0Yr/ylqt80muF4zIXhXmD2I+lf4+6s0Y43jjTBlu4zrdRGs4oY9wTG9AHt2+N0c/h9fCVyy0x&#10;mPv5poj1uT7g4c7wXpEB8ThXHsXb/ub+qedwXZ1bPjLmxpxqzmJUuNy6fKrixeY0jjyrWE669B77&#10;fOtn3BL2onOP5XKD12J06lqOsx837P3oo8Z5N7Kx5GRa4Xzb0OG5dmY7kyUXveyKx7kyKj7tq37d&#10;W8y2DFTbMDd5ZTgrF26zz4bCrZty1cZNpf+dYMOAn/yxdxXrMPnjDGD22mYPq43r1xVrw7lojDMy&#10;p7DB+MaYJvzGvvLknMY8FXT427duFb/85S9LXTtl8p2PPirYp4rwNC7XHzzcuT6dMiAe58qg+Kns&#10;u/6siX8LqrgN9+bPeyrOn2bPalu/VeltfOpvN316f+66Kt9WviXo58wLZ66HxjOfnjun2LxhXfxj&#10;H75PP/10jA5t2Vy1nj3XFzzcWT3dMiAe58qh+Fw/8/CJs7VbdQf7UtZhI8FejJ0EfiseV6yUmyuX&#10;7qlLl7u/KlxlrcpTcdxn463f5sneVthW5j7+WMlruM1axuvvv1fq2ZJ1uG3XRyrcXedyr8qAeJwr&#10;n+Jtv3B/7zE6bRMxTa7iX7twPo71MR+Dc88Z92Ov7GZrzHVvmpfCO+HavK2fvNPruudtCWscsauc&#10;DPuj7Ah7cW8O6+oJu3D+bPHxx/dK20eD17tLjlu9O9cfPNxZPp0yIB7nyqD4uj7i8b3D8Dqd2erJ&#10;rCXnjAPWJzKfmfXkzMGzjLT+qWxn+x6tPpeycl7Chx/cLj788IOoV+/buzvq2+jZ6NusuRSbpV/n&#10;5N/Dnc+9JAPica5Mim+1v3i66ee2+CqXNrH+tI3gInZt7Amwm7E87MHrgw5OGExP7xfz07zavSbf&#10;qryqwprlbcsHr5krAq/1t3f3rqhnw+y3gu4teWcsU353nc29LgPica6cim/WVzxu+hndyTaAfayX&#10;ZO04PDuwb2/UWbEpbA9zTRp/m+I4H2N97MkX9/HbuCG6Df/6YuvmTaW9pe5sMsvbib6L8oDNzIeR&#10;ji09e+f2rVG/tueHnQrfoneuXHFmhzmNOQZ4eO/UjXicaxPFT7QP+X39y3LxT65tS4WlLmkIQz/G&#10;RTdn7Q76Onv5Mc9O+dh06X1K046rsvB9eTXMq5ZuLZdna97I3bt3Ip9YL+P79PUOj3Ic8vBGG4nH&#10;ufpQfDv9xtP2J6PFO7m0o/xy1bZc669ZOqVHX0dXX79mddxb+8SxI5Hdyleu0k/GZf37/qE9DV6P&#10;2LHFbPH69q2b0Yb94YcfFosWLnDd0vXrvpAB8dh53Z+MnQzX0ntzNmOxlHj00fQ+XSudXMKtX+ku&#10;hz2emHfHmsUtwYai8JybK1eaXs9iviJnLojRcrHJaMyR/fk05kg5fvGL0X1fc33Bw10Pn24ZcF47&#10;p8U98Q43ZaTi0nDdm3Nz6QnHPtGYLz072sSrbCW5fNNwlY9weM25BeI0LvOvsbMztw/7uvodzOZs&#10;Beb/Kcxd53KvyoDz2nmdsq/Va8vIqnuaxds4OM268C2bNgb9d13QuRmr3Bh05B3xfDL2G2R/bT3D&#10;3mv9imc9O2vW4TTzXs6dPR31bdlCGIu0/ZE17zxP+rbi0muFu+s8ny4ZcF47r8W5XnAtf1lrzlwP&#10;9F/mh2O3YI44OjnzUmA8639Ubu5Fb2fPFOYkis/WPX3yZMll8fjG9etxL+zp6oP+XOd/qzLgvHZe&#10;i3e94lpmUyZdo4cz3wSGY9uA3XAZjr+wYH6chwLH2feJsxLg9Cb2EQn6Ov7337tWslr9Q8wmD51d&#10;oDC5Suuuc3W6ZcB57bzuFU6n5RCn03Bd23jsz6fCeWhHg22Dc2PgL6zW+GJkd1grA8+Z74eN5O0w&#10;Z+XWzRvFl7/8ZbnHiBgtd7r7pz/fvxFWBpzXzmvxrx9cjV/iyk+5YbflN7xmTxRsKqxH3xps49Yu&#10;Yv0wHX2d84HpG85qZ6RlZC/5ndfO617gtGWtLU8aXnWtMLncz37YN4PurDkinEPzXrCHYFNhLQ22&#10;b/ZSFcdZ08O5NSteXlq8+brPFeklRnlZRr+fzuvB5rXVQS0Hrb+VNDZ9P/iXvLiwco1j5LdZQwPT&#10;GYNEv7bnA3O2I/tCVbEC/dt18FGGVNWRh3WnfpzXg81r2Mo6ETuPgjAxWm4/MLidMjblNftAjTD7&#10;rXCWOuORhw7sj3uDY0fhD/2c8cwHDx5UMtt51B0eeb02r1fn9WDzGhsBa8FXhzlw7LUnm0HqtsPC&#10;fkhby+vAbFh94tjR4lZYm47ezRxs5nq/vGRxyew9r+wcx2vXrZszxZnbvfpxXg82r6U/v3PlcrHg&#10;2XlxboTlLfFitw3vd39TXgfd+v2w3pExR+wh2nt1966d0b7NGhvO4UHP5ozIzz77rByHdFZ3j0XO&#10;+fq6dV4PLq9TDjPWxm98zgZTHK6Y3u+MtuVvyuugS6NHM+ao8Uhc7fVNPszzlm2EOSbO6XqWOG+7&#10;X0fO68HlteUXftjMWu2Vy16O++S9+cZr5drANG2/X9fxmr2w+X5ZXjNvhDPS9O6sk4TZjD3CIsts&#10;63dOdZ9TXseNOnZezxxei0O46Izo2jDLhg+Krl3Ha2whltX4sYMsfO7Zsj5YWwOvOafY8tpZ7Xye&#10;ru9Hq7zmt6N+Q9v+7f7+5T3MRodkT2rNHxmUNm7G6xvX3y92bgtnPAZGxz8zv2/u47PLbxh6NWvb&#10;V69YNm7Mcbr6qz93Zn8rWuX17IdnRZuf+Dwo/VrvM9NctR/6NPZsxiKx2aoeFK/rfnOb8Zp33hPG&#10;FlNWc833C9s279uYjz3Lz5/xswx65nvdKq+Zj7pq+bI4NtXvfbnf2NON8sIs246c1Qif2PsOu0Aa&#10;340ydDPPZrzmbBnmXLPmsdSxR3RtzjlgHxLOLsMWgtyzf5/rtTNbr+2V9m+V18juY4/MiueBMDes&#10;m33N854eGwt7TLNuZO2qleGc3J1xPyTawnK9X9qmGa9h9O5dO4pLF98ax+s4//qlxUHWH468Xrp4&#10;0RjbNf3W7dfO7unid6u81vlN6BuMv/RLv/Vyts9++MzcNs7IxW7A+sh+Y3Ydrxln3blta4GuLbsI&#10;+4uwNxQyjn7C39Vw/tl09U1/rn8XUhlolddwT3sNI8f8fnYWts/CXq4zy2T87FHKHJI5sx+N3E7L&#10;nqa38dhTuJZr4/Dbe9uJs2mr8lYY44asX0ztHfaa3xLMb7x543p0d2zdHNfQsEYGZttz012ndnam&#10;7JyO63Z4jc4lvWPRwuejnZN+16zv2f7l/v7kO7rogX1Dwea7IZ4JwL7SO7dvi2GclTj6d8z4j8dx&#10;uzfCWCbcR09V+yMvcNXKTSt+7rfpdJ2GEQ5vLZvxXw/zQoi7+NYbcf9r5JmzHNM9sjnLZln4Dcl7&#10;2z4Js53bzm0rE1Ptb4fXyDr7mInZ7EFJmP8NZh2Ig9YVZ5lTAu+Yo7w96KXIRfRzPfLHXAv0c/6Q&#10;GcYz8RNOeu5/7dULWfnRc6Uz6xpXYZI9xWG7OXWisTbxTNjP+uTxY8V+s29que/1yJkzkdUjfr5J&#10;O7ZuKZ575ulQ3lmxzBeDjp72SWe2MzuViam6bpfX9BPmfonZ7EWpPuPuYHBb7Ot0e3LOLfLC3AsY&#10;D7tlY3vx+ediGPMzNJ9OnJesybX25UZYg602nr2sSzZzzgx/4VwCG4af/ZxY14hcR308zMVevvSl&#10;Ur7ZJ6uqLzqzndlVctHtsHZ5TV9+O4yr08/oN088Njv83m2sa+5WP+80Nzy/9r8rE2nbuntsPHbk&#10;UyeOBZ37YGDornhWekPPZdyvwWNxWi58Zj2L5bSun547p2RzPMMxsHnrpg3RDn8h8Jk5TtfDnk9i&#10;tLWd7NyxrdgY2K68+B3Q7X7o+Tv/W5GBdnhN/9Lv0KE9u2M/ou9sXL+uDHcWts/CXqkztW075eEe&#10;y93cvWkaK0u556Jny7YiuwtuaXsJOjrX8HT3zh3Rj40OzrOuHP3Z6tTybwn2D2wljDNqH2zL6/1B&#10;/2ftJ3nr2zAc+E5/cr3audoKV7uVph1e277IWAx7TqKDoGOznjntkza9+/uX4/3Qdlb24Pf+oT2R&#10;x1fDOGc8izeMi2L7QMcWx+E29u1yTl8Yk4TbR48civtis25o/ryno4zD/wcP7rue7Wsdp00Gbt+6&#10;VUyU1/RhmK0zlJirS5h0Jdt/+qG/exkH43uC3HH+OTZpqzOjT8Nqxh45t5H1jeI24bCZ9OyF/eqF&#10;c1GHRyY2hd+Osrf4OkfXrbulN+fy1e+5X4Sz6X7wvT+dFK/pG6wTa/xmnBXnclnuEe/cHgwO2nbt&#10;df/2MMeD8wjEa3QI5lLHcwlG9nZC12AuCMzmD2ZLz341/FYkDtkd2vNKyWvO6VH/kZvrZx7ubJ+s&#10;DCBjkrP169YV/+Cr/2hSvFa/ZWwfu8ialSt8rojPb5wWGbB6wZbAXrH6dtgjBDsIspraquEz54GJ&#10;2WdOn4z3YT9Zs6ohy+fOnB7RRx6K5xvQB9WHJtsf/X5nejMZkJyxNvG3f+t3S1ZjE8ndJ3uJ2Fzl&#10;8vsTHZs/5uUqje1DCnPX9e1uywDjhOI1dg50a12XzA56Nvo2zGb8EmbvDnMJSTccxhZZz045Ybfs&#10;IYxD5vqJhzt7uyED7OkrBn/9a98o/blnKW2zPsbvRMk0+4w0S+txzutuyAC6gcZOtoR1mOIzvGWu&#10;oK7l6sxGrpmHIh2bOSMwHl5L35Bscx5vrp94uPO60zLAOdDf/Po3SzsIZxCIx7lnKb5ZH0OuGY+X&#10;XONvlt7jnNndkgHs0syfFpfPnjnVmLcXuKywUsceCYPR4jVrC8Rrysh6Sck1dnFrU8z1GQ93drcr&#10;A5Ir2UAYX/yz//ZnJZ+fnTcv6gricS5/xbfSv5jzJNmm36DvSEdp5X5P4xyfrAywdpL5eGIy80I0&#10;zogrvVouDMeveX7o2vCatZXIL9eS6cMHD7h+7fP5uiID4jUcvnf3bvHD73+vZPVP/ur/lM8UjyfL&#10;a2R7aPfoWDrriifb9/x+53e7MgBn0ZGlS8PryO6ReSEKF8+5xoaNfs16GvSMy29fLJYufjHK79bN&#10;rJlprKNkv79cP/Fw16knIwPi9ZXLl4vvfue7kdX/7J/+i2JFOCPG5tsJXkuHRi9hH0vGHVmvrvB2&#10;+5ynd05PRAZYk4j8lUwOLC716xE9Wnp1dEcYfinwWfaQ98Me2MzdZm9s8tO5BU/OeSysl3ng9hDX&#10;r8fw07K0E/4ffO/7pV793Pz5Y54F0zvBa9u3GGvn9yPMZm8fZ7az18pHN/3oxxvWrh7H68jvVL8e&#10;4TdxzOnjXmSXa+ZfM26utWDIM+OW6o/ShXTtruvWk5EBydP6Nasij5ln/bV/+fXi1s2bUeaIV/6T&#10;4XUVi9Gx+S2JjKNjI+ekq0rbzb7rec+s78SVS5fieTjYM6x+zRnC5bWYLTewmT2xy/l8Ye0X+yps&#10;XLe2tFkjw1V7qqr/uOus7oQMvPD886Xu/OMf/ahgbkhVvpPhdY6J9BnO6IDZ2BNz6Tx8ZjG10+1t&#10;x7PZ14+1tiWbA4uxeZw7e7qx1twwukwTws6fPVPaQqJNJKxTX7RwQfx9iA3kvWvXKvtNVV/yMGd3&#10;nQxIV5ZLevaA/8e/+U8ir//8v/+PpvLWDV7Tj+A0vI6/Jc0aGvqs69rO6YmyG9nSvVaO2P+UdS5i&#10;sezTrA2IY46B34qzY407to2uSZcNm33MmC/yeZhTVdf/PN4ZPRkZgNVaB4MdhD3iyc/y3ObfDV7T&#10;n1gLJl6zN73bRJzR4mynXc51x/4ceSw9esS9efNGnLdEP+B3H/a5s2F9L+fqsj8fe2Mjn6w7Z50u&#10;zGbvMtbGfPLJx9l+Y/uQ+53ZrcqA5fDWLVtKvZr15sePHinlzaazeXeL19ixGa/RXBH1UasTKcxd&#10;Z/lkZGDFyy+Fse2GnVp6dXSNTs1cD8a/2WuVc3XhO2zevmXzmH2w0cWlZ/Ab0fYV9zuXJysD4vDd&#10;u3ciq7WH054wF5q8iVeaqmd1g9diMvs46GwQ+pP6pLU7KsxdZ/ZEZAB9Gb3gVtCj0a9TTisMOzXy&#10;CKd13gy8fvX8+VE7Sbgfntt5ITfC2seqfuNhzu6JykC6Huan//evxnB6uniNjv3SotG5IvwenUif&#10;7Od79O2qeoequKqwVu+tStcsrNVn2Txy9+TCW7nXpqnzp89ZH+bvIVec7cUZX6yVYf70yXC2GOsR&#10;94QxSNmlceE1Z9GgR3OWAc+TPZu9/DibdOf2raWOjU4+0X7p981spqfc5fpU0Ft//1u/H8cW/3lY&#10;DyO9WrKS3qNwud3QrzUmJFf6yu5djX0tpV8rvq6P9lM8PNH7UW77jgqXq/dKGWSvm6W16aryqopX&#10;upyre+Qqna5teWyY0jVzq+616ZWfDavyswfkkUMH45lfq5a/HHks+4bYHK9HziQgbFtYp8g8axit&#10;cUf0CbsXFGOT7POEzo5NBFvezu3bnNe+RmZCMmDZix+9+ve+9Xtx/ybsIIuDLisOt+p2mte2z8m/&#10;ecP6KPvoLvQRhVf1xUEL07vK5f2sv+59lRZX/lwe6Jaw5s3XG/s3r121Mu7jzBwIxtTYr2hvsJMx&#10;FszfoQP74hkTnHPb+Dse5xbFPMgn/L0V/miz3DPT8tsy2rhcOGkaZX4tuowFUhaVcUdYZ8h7LF28&#10;KM7n5+w5WIoOgH1ZnMbGwfghuvG+cLYodg3yeiOwHUajO0uPFq+1V4iuD4dvAPdRJljNc3xPvpmt&#10;I7fKUZsONovVctGrYTW8xV0S5Jn1sva+Vvyd5nXaR9Gp6I8aw9kQfr8SZtMNoh8+HQlzgnm3Zqxq&#10;9u7Y/E+FcwfZR5E1Hdhfl720OHIKVj31xONlvVK/zGsgnD+NG6jex7pjzxtXnBjV2C+jwavRuNFz&#10;yBWGa5+pZ+dcux8Y9+p5Df9o/jZczxoNmxWfic68N5yjzpg6OvJ7YR25uNvU1fyRYKtmb6h4Ds1I&#10;GGymPdDf9dzd4ayDVvqRp3GupzIgVkuvhrXYQj6+d6/keXpP3XWneS02yRWPGMNXn7Njj4ofFFfv&#10;zTdqwbPPRG5y/g4M4+xumCv2rl+zquQrv8OZ99vgRIOnLyyYX8brnkMH9se5ENQhenSu3sQbXNW7&#10;whrXjWc0uC5/g5nwujnvx8Yrf7l6Tura59al5fk2Dfo0a7CoI2vDGMdm8Ti4misS0yg8cJpr4tiT&#10;DJ1b6fgNQn1qTz6ef/jgQee120MmLAPp2OKSRYvKvMTzOkbb+E7z2vIDdumPMaFnn34y8uipJ+bE&#10;MSGbdlD84rXeB1tC/L0f+I2uLLvDqZPHw+/1k2UcOh3pVF+6HzfN08Y1ix8O42/ki13g4P6hYsum&#10;jWH894VgS2BPLjguPv+smDP70WL50iXBvsB8ZOwnjT/O1uJsLGwS+tP1mhD28pJF4ZuyMH5X+ObU&#10;/XGv7ld+9pmsUcQWgl2C+mLMkHi+XYfCOTHMpx7H6BEGjwtPGJ3GM6/PhnHOAfUJx/WtuXTxYtm/&#10;bL9xv+vTzWQAFlsbCGOLsDq1gbTL7G7yOuWKPbuUfp7G+/XUzeljPjI6Pzqk1WPh1K4wxqa24Fsx&#10;XfYrPZcy8N3DVs0aca6lE1velv4aTisdaxjlx+V7xnvze6jB61lhjeNnzmvXrytlwLLW+uG4XbcI&#10;Yycytlj1PZhKXqNja64I/QH7obhA3xQbcBXubncYLhaix6ITN5jdsEGgd2O/Yh9oW/9qF7WTjeu0&#10;X/JAvior/gP7hsIYYON8xshsq1tbTlu/TTPiZ9/UaA/hOqRlb2vO5T139kypW8Pzqj7jYa5bSwZS&#10;ThOesvoH3/vTgvNidM9k3KnkNf2NOVOrwznqjd/jP4u6DPNl1d/FBF272x1ep/V6/tyZoF9uiOyW&#10;7ZjxzG1h/R/2FKWf6vbheekzWZPIWK7VjaM/cPdCkKV3gi4+Li5hNvZ/7NRKxxl2jDfyzny7Vry8&#10;tPjsM9etJ8OWQb+3itXpGnPNr65KO5H6mUpe0++kK20we1bSR/h9DhOsXiVGuNtdZouJqnvmNst+&#10;K1e23alqC8qi8uiZXOPHNsK5BNi3Sx3b6NOnT46EmzBxWS66s7Wp8BsDWwvvyx6q6l9yJ9K3/J7B&#10;1sNT2WDsRfvsMb96zyuja8w7JQtTzWvpSpxjiu4mfYaxf/Q7zfVVH3W3u6ymftUmtq6xXTFvG/uV&#10;xibhGPvgMYZp006V35YT3Zjy8GwxWPOrWbtYhiV6tcI11sj4Jbr2nNmPlKy+GuZr07/S/tipPuf5&#10;DBbHkRO7f/V//c//pWR1p+Voqnld1bc1vsPvUPjAd6oqnYd1lt2Wf83qljmIfE+la9vfQ83u63Yc&#10;4x/Mb4wMDrq0dG324mNujNicuqxd3793T4xn/dDaMGcFGxD89z1UB4ulU/FtZA0CHEWntvtXw/FO&#10;f/Onkte5/ot93o5DwgXWqeXSe3hnud1KfaY2EtoLHVf3tsp+pe+Ey7mL2JxLHo/YP94NOjfjqGV4&#10;omPz24G16XvC/gisu1m5bGmcz3jh/NmO96+p4IU/Y/q+MT8JezWJobjav7pbbaJn5fJXfCf6V7M8&#10;sIOwXsFy+/n5z0abCesjcvfCielgRa48/Rxu65H20Jxw2ajeDmPFzMlEv+ab+twzT0dm2/um6v31&#10;zPVrRs5rNPo1dhHm/o3jdQjH1sFZuqxfJw3rkDaENbcb1q4pWW11IuvP9REPnz5eTlXdS1eWPPA7&#10;7H//+H+VrP7hD35YoD90uzzice45ip+qfohdm9/f8EBzzGA4v3013qSyaExK1+52Tu9GB8U+wBxt&#10;2oJ18OfCXDfqGL260TaN9TbMsSMchqZt1O022bVjW1xnFNk8ol/jJ1y8xk5CuaRPM1dR+0LdDufk&#10;HQzrcPjL9QEPH3wet9LGYjVy/sPvf69k9Xe+/e3Ks3FbybPdNOJx7j7Fd7vfSV/Sc7Bhwwn7h52I&#10;fYyVBje9z8a5v31+wzVxl9874u9QsPPy3WQeBesw+X7atmGepu7tZr2rPHoG5zZqXbn4jMsYIvNE&#10;8fPtwb4mRrOOE7v3p59+GnVq5opgH8n1AQ93XiMD8Jozy7/59W+WrIbbnD0gGRHTdd1pVzzO5at4&#10;9Y9uuGKuXD0jciGc0cSeEVo7zbjX8qUvxb3l9Ds9vU/3u9s+r22dsSada9Uv9Y1uzRwR1ohjQxCz&#10;165eWaazeXTTT7mw2bDPQZwbYvRr9ircFn6nce4XnMb2AZePHz0c5wFaeYffw2F8stt9zT7T/f33&#10;DcAu++/+7R+XrP7pT346Znwa+em2DInHOflRfLf6nfQlMaHqOcShz6Ffiw+46HvsoYT+VHWfh02c&#10;13CQvZ+pQ+pf7SMX2wj74/JHW/Adnap2UBnUvszF5lsi/ZqxRhiNfV2sPnLoQHH//hdRD9J8Pck8&#10;9hHOOtB1t/ucnuNu/zA7HVeERWn7TYXciMfps3WtePWN6XbZW5R9guijYjfrHAjDhoJO3k4Z077f&#10;zr2DmFb1gb2A/bGbvSO6NvvA0A78/sHG3Sx9XZye3Wo60vO3IszvGAp7XqNLM36ILg2n2SOKtZkf&#10;hL2vf/Xll1H3uXvnTrTbSL5xKT/78ExFf7PPdX/v8Lqq7QnD1vGjv/zLUqf+D//+T7o+B6SZXIjH&#10;uTSKr+tDUxWvPo0ut2bl8hFW/GyE3Y19QQlnn/qpKtOgPYc6xkYA61p5N9Y+6tupMclW7rNp1K4K&#10;0zUue33oWvFy161eFZ49K5xn8GKpS2MHGQ76Mt8c+pzti4yNpnukUXabJtcXPLx3+Nqptqhqd4Xd&#10;CmPRX//aN0pWY6u+fSt8+4NMder57eYjHufuU7z6Ry+52FKYQ4Ne19DxxG1sJbPjPJOqtXj0ff5k&#10;i+mld5rusoiL2JoYQ2y1PI898nCcM8LcnlbvqUqn51fFKQzbNHYw9oDVd4J5LOjUnF/w808/jf0J&#10;f7q/nt3DiX736SefRLtJTv49fPAYrTa13LV+4rlm7Yv4B6vZyzpNp7ymylV5cs9TvPpKL7nq27is&#10;ueH3O+f5wRrL74XPzY97ZR4+uD+eb6V3sPcrzN2rxelTJ4plQb+mLlRHdfWC7QGbCHpuXdo0nmfY&#10;51i/0rLGnP1OGWvW2nHaGLvYujAHm7gvvmjYp9Wnhq9cLu7c+ajsY7CZdT/EK83dEM9viZz8e/jg&#10;8rqqbfnttSGMpf/ge98vWf3Y7NlRPiQzVn6q8uhmmHice4bi1W962bW/m+0Z1425JQ1bCfOG9Vsf&#10;/bqKDb38jlNRtlb3CKHu9BuFeX7wEz13MmVM24N989JxZp7DmAW6MgxGdpk/bfsTYTeuXy9u3Lhe&#10;9jX0bfhNnNK+d+1aOPfR903N9f9BDVf7p+7sRx6JnGZtOXs3MVc0rQPdk4ZPxbV4nHuW4ifTB7t1&#10;r1ih/Onrtr9j42ZeCes+6OP8aV4g3IYtjFGm+zwrv5nqYv9v591pB86YmSyvxX/ajXYZPR9t7Dx8&#10;zuBN9/k4GOzSVTI8/E5j7ybiyNOmod8R72tlZpYObWXA+tevWVXurwf3nn5y7hh5Ie10sprni8e2&#10;3Nav+Hb6by+lhQHM9WLsjLXUq1csL9dTi+HMRWPPKeaY7N29K6Zt1XZrvw/402vqwoY1qxulk6u0&#10;XKdhipusa/NlThu6NedxtZsv9hDqU/YQlVlus/xon5PHj8W9QLB32Lk/jz0yK35X94a2g+PYo22f&#10;kZ/5IZJbhXF9Naw/5/qLX/wi7pmtNLiEX3zzzWD/OTkmT5vG/f3NcisL+HUtP+6FC+fH2D+whWwP&#10;OsGDB/dLmeoVORCPc+VRfLP+1qtxsEI2D7niE3snYxcRs5ljMOpv6HPod/weErvFHuXV7L1J0yy+&#10;Ks7mr3iVV67CO+XacqJXY9fQs+TmnmXjNWZQNd6oZ9j05Al/sWmo3u0ad8LWB33nWqjHVDZtn1Nc&#10;Tke+Ojwc+2i0jQT7iNLL5XwD9kDQtbv9zedc+0lmbDxhjHt9w6xX/PGPfhRloSq9vXe6/OJx7vmK&#10;z/XZXg9PGZGWF2Zg67Y20pQb6N/YTmDR66F9q/IkTFziGeh1uFVpbRm4R2ms36bppl/PZo0J3yfm&#10;27RbDs6aEHNPnzxZ+96ngi7NGpXReh57Fjr7blt7B30n138Ubu3XVpbhNNe0sw3XfSdCWW6O2Lht&#10;vPsHj9tqc9oW/9kzp0v7ApxjDghz+NT2Nr3CptsVj3PlUHw3mdHtvMUkuXpees08McakWIfNGd6y&#10;n2LzbrCloYOjS7J2bnlgDuuyd4d9OZnri87OnhVas6P85eq5rbr2Putv9f5cOuUll/KuWrFsQmdF&#10;8NuDetLcEOXJs/ETT53C4KVhbY3Op9A4AnW5Ouj1zNtg7C89g0t9Btf+pfLKuCRhaRrdj61Hfuse&#10;Onigp/tn+p5+PbnvCG3PHOolixcVv/1bvxt5/Yd/8K+KbVu3Vp6xKFnplXoXj3PlUXyu7/dyOLxI&#10;dUWFtVNuWIw+iA5uuT3KcewnY3VE9E3Fy7YrHTTnMp9YejxjY68Fu5otJ+9irzvhpz7ifJkzY9fG&#10;tPIs7M76pvEb5FL43uk++Mu76F1tvRFGfbLHUjo/mv7RSh9RGrlWv1aYZJrrdK9Lpdln7N5K7+7k&#10;mNjL9cceIHYNDH76US+X2ZZNPLZh1q/4TrBhOvKAR514rvKh36NHw3D212CMcmn4VqNvN+ahjLeD&#10;S5cUu9px0UfZB5x1fAfC3lec4633UZl0PVEXlmLD5X7liSu/8rXX6M3M0da7vLhwQRirXBfY/1J5&#10;DqLem/nSK8O8+H3hTBf2c793715LTJYcwlbxVWGpm7NfK11qo1Z+nDOjNO4OLqexcyxZtKj4nRGd&#10;Gq79v7/+62h3kyyo/dNrhfeCKx7nyqJ49Vl36/dQwlbKfp78wXbWR7PvCX6FKX7UPRnnHm7ZuD7q&#10;pQ1dXnYYzUVsrN9kPSf2ZvFVOq2u7Tx0216WtzaccUblZ8Ot397L3klVvyfEbvjP32psLFcadgj1&#10;Abk5eZtoeB2vU/u1nmP1coW525/czskWc8PgGHOqcdkPFRtdmj697kU5EI9zZVO87bvub85s+Gn5&#10;Zv227my49SsN43isu2YPvIY9Yew8ZLgtW7nuwVVecm1clR+WYbNh7X6ze4inPNg+LJvTuTXbNm+K&#10;Y3jIf1UfUJjcnOy1Ey5ep3nq+sqlxhwQXSvv3H2Kd7c/2a12Yw35d//Nd8pxxT/6wz+KezilcqD0&#10;ve6Kx7lyKr6qn8/0sCq22TDrV121Gqb0uPCf/as4Gxa7AnujNGzjDX7Pn/dUtJewHp898+Av99ln&#10;VfltGLZyzkLcuI697dbH8UHOK2DsFZvPqO1+VOf//+yd+dtUxbXv959y7zXnJhpzEofkRDHnKAaV&#10;3BONA8Zo1Dii8TiDE05g4oSKqCjihKiJgCI44QSoOM8axTEqoqImDhhz9Ojj89z9qebb7+p6q3r3&#10;228Pu7vrh35W1ap51apv1141UQ/WELELcc8TZwntPXehMSGeaEzvRsoX7pLOz/sf+RlI1jLFh8qN&#10;PUTukZaZ4pcHy9WHtm+vuuLK6vkX9uxNnjS5Zn+oTRPSmzL2r/A4VjeFW/xI7vD82tolkBG46fNG&#10;IjuLp0onHvYLbOaa59bSyton82DW/OyP+bHD4dxGw/5EbCEKt3saa/OrrJ1qHn3NlXMcPtvzBNL9&#10;mB61m1/PrsG6KPeE+HWgztjUu113v17J3/z/AH3Jnurdd9u1Oqcev8P44F1NxO21vhcex3RE4cKL&#10;RIewWtgpmfh+7p7iPmaFF1Fhu6iN7+dNGP8H7CMBP318Fbb6/CG7Su1+Fsv305AX++4W37zQ7Sv3&#10;dSWk8/XGQii+n+dI/dyTGkpDWWC57lD162X384XSJ17z2NkN2bGn2u7/2HSTzdy3qepidc+6FV52&#10;KjyO1VPhFjuSO47ZVjbgKWfgb8n3cmNnDmGujT8aN7Zl3jLENrEkf+8bG8ZN82905xU5s8gPGzVn&#10;vTnjPRyTh9Y0L7vkovzOu5uylTkGYl/hjOC3+X3/0hGr53KLKg60UZ5N06zbt2vYsjmrbv0qg3cM&#10;nkzvNlb7VXIpA/X7y/dTR8tj39H0c8/NNvnRptV59RnTprl5tW2PTWP5veIWHsfqq/DRYMmgpfVx&#10;GcwDH9kf4oeFZBOKAy8077bpbTrFZc2SO6/sXmhhNXPqyrx6upujsx+a84BWp2PumL50i2/ve6LO&#10;tt7Mva1fdVz91pvu/0j+RMs5lw71HX0l/pJ8zUU4BeW9cmwi/difamesbQq3uJDcQ/NrXxYWM20Y&#10;mA1msrdIcURtvJA7FE88Ueby/B+sWHavm1/rLCG2DOEylHtIeT+LPRxP5/Hfyc/N2zui7Tiwbo0N&#10;6YnvF79b9OGVFXsI9dJP9dddUKqzKGd6kJvqLL78iXYXv9WPoupPKPYtziQecfgR2Xc2+K7D6803&#10;3Ty76oor3DlFm6af+lF4HGuTwkM4knhx3JZshKf4wQbuv8Nt+X5czY1j8Wx8xdWcGVqZMw/ZN2wY&#10;5wqxeTPnZE8I79PZcRDTg7LzVyy7rwanbX21d8TiMW7kwP+V4tpw8RLtPmarD2z/HJ/fyyRsgvIe&#10;Lnv3FLdfqdoca5/ChRGJNo7RPiaDrbfmtmVhrMJFQ7Ilrg3HDs68kL0d7L8O7bOrxeyQrXo4jzPp&#10;4Bo2Ars25+uFHTN+WDf9j5p7QGw92BeCzEL1ps2ffjJ834hNn9zdxWtf/swvDtx/vypWcwbG3qkX&#10;6mc/j172C49jbVB4CEsSL47dFmOtnDjrqDBwhHXCt/Oz4OIpLue9wSD2P9+Z3znKuUfm5tzvyv3U&#10;zz5duVuKeKQhDmuM/Bat/1XcC9bzFlTXHjk3z0/rjv58nPPj2G6W5jaT53L7DXNQ3tpiLGg8iMb0&#10;ptN81g39t2OoA3jNf1CovuyrWbeuMiezbet03VN5xf8JnCdfsnhxNu7n2zms3mjDjbNJx07KVuRn&#10;Euye/36XpfA41k6FC0cSjWO0ZGOx17oJd3f/5Xue2afBfg1wkb1y7INmbfDJxx91c2bmzdzzqvtN&#10;lXcrKXXjPDx7uZfk+0Hs/muL4czXZ100082/hYm+voTw0I/TTj/rA+CyX8aHH3wQvS+VdhG/23X3&#10;6zxo/iL5818sHBLlTsxBkxPtVftjbVd4K3Gi3/OSDQM8lO1DbWavHd/hzKvF03vfYDj33YGhCusE&#10;tXXExs4cXvfuVWzftfYT7g8J6Ys/7vD7vFC6VvC4d+2FfO+tnxffBn4dVC/WYhUm6qdP/uK5bytk&#10;FJI/PO7dYR0RHML2wTlF5hetKLMX8xAex+qu8E7gRj+Xgd2C/dCsi6md/tybO5r5xcLFHy215cbc&#10;lPFabq/Rnm69pyvbOPYU1ix1btCON+tGr3x/TNdGw+cdxgfvr7wJpvKgwmvLo5zVuZx5uwy+wkZT&#10;fkrbOlynP7B9jN9+fHU+OXabsdnU06fl8593HVbbfhuk/hMex/RN4aPFiEFK78+rwWpsHuyDlhzs&#10;nNaPbzFU8dtB/XKLysA2wzrnTO++J85wao3S6lEnxxH/G3y3UL4tl7M+qpP4UNYOFF/hibYOc5uV&#10;5btr1tScJQd/jjnqqGofKl/bl+INAhUex9qq8KKxnMLjdm3uUGJvtGQETvqYLL+o4rabFpUXCuf/&#10;h71wcy6b5c4BYevGFo9NQms/jCeNqZhutZLPuwfM+cnTlqv91ZZHHPbC8H3gx29lnVJejeM/58gv&#10;mnlR9X7qH2z8Q3c/04pllfVEyVJ6JSr+oFDhcay9Cm83bvRb/po/Y4u+6847nB1bvFBbCQtho41b&#10;FG7jNuImv3p52jDrVt7co8Q6acXGXdn3zXmczz79dNh8KKZfreRTD/89MewhlOHjNf832pfdyjqk&#10;vBrHaMnqnLPOrNo9wBvu/wC/Q/2mNINKhcex9iucMcqYjeFKaDxrXA8ilTxYt+NMYz/LgG8H7D3C&#10;bdZUY/rUTj57bbD/qwwwWngtHhQ+tpDVJq4NT+6RY24zMmOMHHPkETVYvdOOOw3EuZdm5EUa4XEs&#10;vcKFN8Ih/HKLKk6iFdkgF+2P7neZsBeR9bvKeuS5Gdj58d//5rDRn9vKLxrTvZHyb8/3p/8lv4eb&#10;dMpbeC2/8gSvwXafr/BER4/Zki3Uupm/HD/5uCr2cJ780ImHZAvmz3f74RU39cHwPhAex2SjcO0R&#10;Zn+Nfesv9I2f8LvyxkC/Y3Sofdh/tB4JZsf0qh1jEvsGP5u38NqvBzZ3/94UP07yD8eLkcrE9gVp&#10;zz7zj9V3ufQ+l9YRlLefRvxEG59f61u3Mn86x31Psg8SbPbxOYThobGdePE1yl6WDecwNc9emp+7&#10;9MdZu8ZjaM8HeE15fpnUT/Xyw8RPtHm8tjLFzTzPniNnHnjMUUc67JCciWfTiZ/oUD9o/hyTicJv&#10;zteVas9QVNaXmEvdMO9at1+A+4N6GWfaVXf//6xd5XQzX9tGvr+E2ZxJmZe/nc6bXO0ej9xnzZs7&#10;VpeF15aHm/fUoAkfhrDAl9Fo/Mj1qy+/dOfFD8ltHcIRzpEfcvDE7NH8DpxQ/qk/6veH5BiSHTw/&#10;/Mu8DzSPYSwOzbsrbvYL2PN5gzrXFn5B5e4mnrajbLUr1EZ4ty1ZXNUP3lFo51hU3po3y6/9fFa/&#10;2attbTWKa+Mkd33cKJIPNg77zgs4wrvkvu2jKJ8UXtsPPh778qkXvvb99928mj1c/n0Td+d72Oph&#10;xKDieD2Z9EuYcJw743X/Njri77Xzda0VfubX//j88+p/Q8h+zX5DnZUBqxNe12JCvX6oJyvCuNOU&#10;94k2/N733VxPNmruptF9p/XyqFd2Chs+f/ZlUg+vFffL//7v7LVXX8luz9/V5m43sJsfY+f2fI71&#10;8qoXHXZrHPcLLqV2FNvfn37yCTd+0QfeUBCWasyKSpdGQ8mLNzP//re/Vb+1rT2EcH46Cyn/aMoc&#10;pLTIS+313bzHdfqpp1VxGtzgPDlnyF/O78rx09n0Cku0+H+zCI+Lwq3O42YOxRo9uC1bCXtLeF8v&#10;4VsxvvWDjPhftt9P7PWr6ML0jPcS2jFWlSe6Z+fUut/EYgE87g63vOSOY4VkG5PRySedOGzPx6WX&#10;XOzka9NaN3n5/lj+iT/UN0V4HAtH1pJ3iP4933uLzfLKy2dXcZt1yScffyzjXFw/4FJqQ/z/x/+W&#10;WrRwQfW7Cyxvx3hFD7mjj/WV2Bgnzpp33smW33uP01/8+sXSJP4QXiAL1hGX5vZO1g25O+9//68N&#10;nO3jt3v+1t3TxB0gxEOuvuxCPD9O8tfK28ojhseKUxSueOoHUcu/566lVTsm9kzm29xXnPAujnf9&#10;IBthNvjMGUh9bz2e7+2SfrSKSu+YC6Bb8ofyZ/5t173qxQ2lH0QeMgKnsUP764jcncd+PSuXejJV&#10;mKhNl9xxrEY2RXhcFB6Sr98PX3/9tbORaLyC2dzNw3dyP+BSakPx/w77NNT/t9+6uGZsh3SoWR77&#10;l/y3wXx95M4+7CbNljGI6T5fty476IADqnghXDjogP3zMbym7v/jIMqrXW2W3GP5F4XH0vl8xsx7&#10;772br0kudm90a+xee/WV2SMPrUy4nZ/vLyvua54sWlRPG8+6sRnT73Yvna8nzfrRL+HyQysr9+7F&#10;8mJ+PUh4LblYeViedds44DD349n90+DB2K3HZhdfdLFbo7Dxk7v+3LgV8inC46LwkdRBesGa5II/&#10;/8nZSITbnMXB7hjCAjvmQ+GJ1zmst+uI6hd4uOWnP6xb/cM92fS3f6ZlJDoUiyvdIvzhhNc13w6S&#10;jaiVYYhH+Mx8vwBjX/vxoNzFRF/6aXy/zT+5W4vhRXhcFN5sf3BfMXtgtfcPG4nD7Hzvjx3r1q1x&#10;n2jn8Fmyph+Ey/AsbisOtF5/3XLTgrbhtdXDhx68vwavbBjuQZtf2/aHsFW8r776yr3jucN22w2z&#10;e5x2yslu/7Ti+nmG+DZOcrcGt4vwuCi82X5Q/376ySduH4n2/3G+/fpr5zobpMWB5O48RkvmwmDu&#10;s+NuNd46ZV89Z6L4MW/mx9szd9526xA/93P393333JV/V9+brzPPcP/PvNsuvZEeyD8aSl78eD++&#10;Xj6DhteSseSDbKz7+eeey6ZNnZZtu822VZzeKD/vwv4P3hDgrbV68rT514uXwkaP2UV4XBQ+0j6Q&#10;nqiPSY+bdSLsmrKPMO9mvq2z7cIMYUiincVv9lywr4dvIvtWDv2gebftI/ZpvPSXF9w+DM6wXHrx&#10;TIfV9O+LOV/9PlL9qRdfOqW9H/L7aQYNryVrKw/cSxbdlP16wm5VjNZYZw2Rt4L8+NbvyzT5R4/F&#10;jchQfRSLWxQeSxfih/rb8rCRMJZZk9R8m/HNW6/cBcgeg0Zx2mJHo2l6IZ7aJerXOcb34/l+7mhi&#10;/YDfM0894fbJM099YMWy7O6ld+R3W89zb7q/kb8FBnY/9cTj68PuzO64bUm28MY/u+8i9v2A6/zf&#10;6r8Xin/eNVdnT+XnHb/99tsaLAjpykh5Vo9WPrCibv79gNe2vb6sYmGffPxxdne+t3bq6VOzrf99&#10;6ypOc//0b/fcK5t7zTXZRx99WHcu7ZeV/J3Bacm5CI+LwpXPaKmvY8zZuHOiMtbPrY59xqLFpJA7&#10;Zlv1Mapf/VYmaiO8V/O1Ac4ryXbB+wJXzamcZ7L4yt11Fmt1B0iFN309Ftfe9VWbvnIXAXPxFbnt&#10;hL0Y3J03Wh1pNP2DK5bXLQu81hycPH3da7ScbsYrqrMN594O9k1ztkXjWZT5NXPpbrYlld045qvf&#10;YjIrCo+la5SPXlndsumwkTCu7FwbzOAOwLfyuTYYJGy2GGXdwqtepbaNakOIZ8OY/2KzwJ4MZmJn&#10;0hsCFoeHMNZir4/Vw/3MoTlXvvjmhQ6L2Y/Jf8Hqt97MPli7Njj2Y31s+3s0bpu/v//azxe8ps5K&#10;I+rH6wW/6i7q13nZvXe7ezy0z0Pjmb0eFqdj6f38kr9xbG2HrNR/sbyLwmPpRsqXvoja9HyjrVh2&#10;n8Md4c2lF1/k7CaP5ffo6r0bMKuXsdrWHbf8otiDwOLHH33Yramxlrco33MxP8fOa66c484gXXi+&#10;5r8VG8QQJldwl7kzeMueuuvnzXX7KrE/3b30TrfGC9axpohdivVF1pq4W4A7N+zb5/SP31eN+G0c&#10;67b93ayb/Pg9kreBusby+ejDD91/jW1Dq+sSK7sVfLXTUvKlzdy7tGTx4uyw3x+WbZ7fX6rxC93/&#10;d/tn1193netfK59eansr5NfLeag/Y20oCo+lGwlf+iJq04on+pcXnqt+qwuLwJ9nn366atvW+pfm&#10;nL1C9a2g+nIfKXNkvidoo/6r1G6fKlyUebXmwLwlwfxXckTGcotaudtw6yauH9/32/g2T8UTjcWz&#10;aZpx81/Demcsre7ni4X3At/KkPpyHnzPPfaowWeN3eOOPaZmLx5p/fS+vxdkMIh1VJ/G2l4UHkvX&#10;Sr7VJdyfffbp+rl27Xc8Nrrn8rmhj3vCvzJT5tDMnx/K1/iwYdAW4W6MCq8Jv3nBjc42AS7zLiHy&#10;l9yg1t1s3yiPZtPbdLZOlj8at+qnb4NYXuC1f0+g0sbSlJHPuu3SO27PQvulGbfsmQbHY22L8cvY&#10;1lSnih2mCI+LwlspR6s/MbfK++abrx2+YYe85sorarCNfYD33HWnsx204y5A2SeaxX/eTH/m6Sed&#10;jWfJLTe7fRPsqQjhMmuu2C54j+2ufGwy/irzx9xOkd/zbL9rJZtGqOQratOEeDa8yD3a9EX5F4Vj&#10;S+eevli8f/7zn9kVsy+t/qd1o77NlOnsHXnb7sptV0cfdXS21ZitaubT47Yd5+6bXrhgfsZbIrH2&#10;U3Yz5cfyS/zO2bSL8LgovNN9FdOzF55/zr0TOBzzpmf35nuYwFbZSYS3PhX+ii9/jBbFI5wf5WJX&#10;ZO5c2Y9Ra2Ou1LnyrQA+cw6QPRV/W7+nItbmTsu+V8pjPbHofhBkbttTdhkvv+8et26o8SjKe4jM&#10;owlXG0Rt+5K7c5jaTlmr32NlFIXH0rWL7+ui7+d8jfYBWuxm/ood+OXcJizctnYTYauwORRHYSEq&#10;XIbacNYHdc8R9RmyYQxhNmuFfCewvsddhlZ2ap+oDUvuoTFo5aP9H/XkQ1+QxqarF79TYX59rs51&#10;w7+/VGOS98VZG7Z1U3pRG5bcQ/rSq7JQ38fqXxQeS9cuvvRQlHJw64ef78Y3Xn8tW56fgeYNqpkX&#10;VN66ASvZP4F9gX0VzEnYa8G+Joux9dw+HhPX8vgOJ1/sHHMum2XwuYLV7MngfDZ3QGOv5t1w2wa5&#10;ofZn22f5yV2Rk+QDZf8H3yj1ZMNaLP+PxCGNpfXSjTbM1lPlquxPPvnYvSd++ezLs3333idj7qzx&#10;B/1/43/hzrosmD9/2Hqq8lVeNu/R1jmlrx2L3ZSH9CFWh6LwWLp28kO66POs/v7jH587DMVmqTk3&#10;2F2Z6w6tWTKG78r3YzBHx74iLLZ47GM5cZfne1w5g6m8RTWX5lwK5wbZT+7LJVRvP07yj2y8hNYT&#10;fRmypksfi+/3g/jtoiqPNwD4b2euzBu1/j5p9uRNP/vMjL1CSgO1br+OCvP5yT8yPSqjvIrwuCi8&#10;022SLvq00XqwRsd6Hfu5udOVubY9z4dbOAvucu8Fe+n8H29A23hyc7YH3Oc+JPDAvv1KHVVvW1/L&#10;wy2/T22a5I6PPeF1TEbIFfv2A+vPQUrOsfit4lMOZwmez7/BLp01q/Ke1mY/qZlDcwZx990mZDMu&#10;mJE9nNvIvvjii+B/CnnVq3e9sFa1J+UT18F2yaYIj4vC21WvTuQrnebNbrAVOwZYq/lxERVGg/lL&#10;b7/V7UmQfaMT9U9lhMcL3zGsYdSTz+q33nR7+mJxpBuh8EbC/Djs6/n9xINrsFljizk158I5ixgq&#10;L/HC/TyIcpHOxNpeFB5LV3a+xpOo6ouf34cfrHX2TeZhsR9jPrTXWXkl2tlxpr6E8l9bT/70Hf+z&#10;xFE6310vfShM+Yhybwf3/tv1QmvvwP2Haae79Q+bn9JbXnJ3VpfKKu8iPC4KL2u7RlMvxot+9fLR&#10;uGokbr18Utjox6L6QrIswmvicafK//zPV8NwPdSflueXhX/dus+yJ/M7C+dcPsedBR+z5Zhhc+lt&#10;tt4mO+LwI7IZM2Zmjz3ySM16hs2fuvllqF2Jjl5XelmGRXhcFN6rbQ+NB5/n+0NttXGsOxQ38To3&#10;1rBVFcmbM47Yum08+lD9KKpwhVk+68x77D5hGDZr3IDbnFW1dyspP1GbHzzfr3iJdk5/yipr6VWs&#10;fkXhsXSDwLfjSm7RQWh/Gdso+Tcyv+auV/ZqKw3tkVtUbbR+7MwH7r9fDUbLzgFln8fp+RkW7m7h&#10;ja1QvspPNFSOeIkmnJYOFOFxUbjy6WVqxwxu+UVjbbNxY3ESv3NjTf0FLcJr4nDXykv5L9ZH7OVg&#10;7YL90FNOmpJNyPdt+HuieTfrVzv+ytk55lx+ubOJsKfD1iWWv+Io3PeLn2jndKjssi7C46Lwsrcv&#10;1W8wdV14LQwU9fXBvyubfc7Tzzkr+7F3F6nGAZT5M/ulb8jPPrGmGMvbL2tQ/ZIPVO5GZKG4ojZN&#10;iGfDcTcSx09Tdr/0MFbPovBYusQfTJzsdL8zJjUuLZX92vJUN+61+/CDD9wZ2DmXXZpNnjTZvYe1&#10;xU+3rLFxoPub/GgzFzb52MnZ3Llz3d5puydaedp6iDfI1MpDfYA8rFvyES+UxvJseptG+Vjqp7Nh&#10;vewuwuOi8F5ue6p7b/6naKzSfyE3PN4ws/3LPHjl/Svcnutpp52aTTnxhOpPtmfp+thtxmach+Lt&#10;NH/c2/L88m15g+y2MrLuRuXlp7GyrBdm4/WrWzoaa19ReCxd4vcmFpa93xivGrOWyq36Yw/5OH8X&#10;58H7l7t7XE46/rhsygnHZ6K4+Z1x+qluTs0e6elnn1Vz7lt5NUr9OjSarp/j1ZOJwkTrycGP4/uV&#10;VnxR8fuFFuFxUXi/yCG1o3f+XxiLGo/c88y+5xuuvz6bNnWaW/fb6Zc7uvXGk9ZjsjAaeu5ZZ2bX&#10;Xn1Vfof00uyxRx/J7szPpbLmqPxEpQ+2LPGgiudTG2eQ3ZKLL4N316xx/YX8r5s3Lz93f2Heb2dk&#10;2Jv4HTLxEGd/2us3ezrKu+38sFkRPuXEKW7/OrYp3nrnG2jt++9Vv6Vi5fr16FV/ER4Xhfdqu1O9&#10;ewefbV+xHsieZ/bT2XOD0lMo64Fn/eEMN38+84xp2cIb/xTd//zWX//q7iGwZcTcISwI8WLpB5HP&#10;XWm8H3LQAfsPWxuwfdaI27db2TS8sXPMkUe4d037Wc5qc6yNNly6KRpLk/jlxkL1n2gZ+ou6hOrz&#10;1zded+dNDjv0kGHjPTZ+f7fP3u5+Lt7xibVNZXEf17xrrqqJp7BY2sQfrt9WZqwVcG+3facs1lfC&#10;F9GtttzKYTv4zn8ydPfddhvW94ofopR7Xr7Hh/2Yfl/ZeiosxFNY2ajaG6uXDe+ldsXak/iVsaa+&#10;tNS6kZP8kpn8opYvnqW4rV/xRXmH87VXX3F7nG+44Ybs7LPOcd+8fP9uu822bp4s/bOUPRu/2nGn&#10;/L3v/dy3NO9fPXj//e7+W+4n5U4X/31GlWmp6sd7cu+9++6wsW3jJvcQRqtPJRPd233C8ScMewMH&#10;nP7Bxj90dw4ecvDE7I9/ODNbuCC/ez6/HxM7FvYRcNXmqX5R/gqDrlu3zqV55qkns1vzOzCxqZx6&#10;ymnOZsI6sdUTykVHFt18s3vzVfmJ2nJUhsLKStW+WP1suG1fLH7iD+l1WWUh3RSN1dOGyy1KGuuO&#10;5SE+45J3GjibHZorS89C87Dx22+fnTrlpGzJopuG2TVUB1HK++zTT92bxSq7iD6V4wZ5F8Ub1HDJ&#10;Fio3svg8x0720XAHrPpPFB5zXM6C2nvfbXrJUzxR+HL7VGksVRx4vAHC+2i+rQy9oq46b2rLsHmV&#10;3S35xuoZCrfyiaVL/HLjNn1of7a/1L8Kt2HW/c8vvnBzHe5zZr7EfIe7jE7L5ztH5vcacY/z2K3H&#10;DjsTKJ2CfmeD72bMi9yaUr6exBz7hutvcHc/k+8nH3/scNTWRfWjLr4bP3eC8B6BravvVjooeMJb&#10;FroLV2F+/n4eg+RHJvz4flmxfJlbF2SdQH0JPnOXFd869BvxJJ+QPJVfSMY2rNFwpbFlPZSfTeVc&#10;6k9/skW1nuO3H+/0lG87xQ2lVd3LRiXvWL2KwmPpEr/8eF3UR9Jn7JHc38zcmB82xXrn/6QzUH++&#10;zN1If5w21b2pQp7UQeOlXn1Ul0bifrB2rbu7o15+Kldx2GdQ704mxRtk+tCDD2SbbrJZFfvUv9wZ&#10;68tF/WX5ft+F4tj4uBUnRv34IT/666930g7m4raMUNqy8TS2YvVSON82jFXGGLodsuXH8kj8cmM3&#10;/UN/0rd8v/Ld2Mw6j3RFdJ/f7uV0hv0c3NVh9UDjz/Jwiy9qebG4lk867nDi3g/Lt26bt/jYvFc+&#10;eH+1fPETrfQJtizf7oHdgf0fMRmF5OzHbSSOn6ZZP/pt24BtW3l1sh4qsxmqsRVLq/AYpf18z+6U&#10;r//wTcuawqRjJ2WsPbC3ku9j9kouWbzY7XlljYEfb3Jh0+THGgLy8mUmv6jqaP3WTbj8ojaNz1NY&#10;qynl6Kc6qWyfb8tWnBDPprPhuCVH5odOvvn/KbYJZM5dRRfmfcA6D3tYDzv0MNdPWtML3dMc62vW&#10;7unrCbtOcP2svbDXX3dd3rd3uv/xV/I6YMNQfUNt8uvfSj/lNYLXqp/Kxg8m+XyFDwpV+0XRrcP/&#10;6/DqnJr+R49efnlVFet6STavv/aa013pOLj11puVd5f9diADn9dtv+odq4fCDz7wgNweuWu138QX&#10;td+91h0KFw+quKK8i8Tcjh936jDXY14vyn+kfs38t7e7DxrNPxQPnFHboOxxkA2Cu/UlF6iV4Wjd&#10;kr3yIX/mTuybfTw/U0Jd0A/VWTSmM+I3Gk/xW0EpU3tOivIjrq3j0/meA96FszzrLsqv38LRPekE&#10;9LBDD63iV6/Jxa8v33uyv7POEus7P10sXqf46o9YeQq39cb93DNPu3HMe4f0K3sl651hUD4+Nogv&#10;GguP8UmnMCjzfYtr1o1NR7gvHGw3ZQ+/rQNu5MT/n9osqnbI3ypq8+W9be1r5T+A9oPJnEORDti+&#10;DvFsuHUTN+T3ecqz1VTlvPjC89nqt8JzJlum4ov3Qf4GHOuU4osqfJAoa4ron3SHuZPd59FLslA/&#10;iqrufzjjD9UxyF3l4ov68cXvJhUmxOpgw6m//ZFGfuuGxx1m+k7H9oHNmz2y+k6/6sqrnK1E+wk4&#10;a4odhe90/fhWYR8u32D8wBrVZxAo+0fVdqg9o8v+C53RPefsc6u2J+TLj7e1sY1gn3h3zTvZ2rXv&#10;1/SV7S/fjV88ua2f/hVf/e/zFC5qw8VrJVX+0Oeefca1udH8bdqlt9/m3u2EJ36j+fRLPNr9n7/4&#10;TzfWmIP+Kd8bT9t6UR5+P9o2gFHHHnVUtZ3Xz7u2qte2vTZNt/tYuBerRyg8Vn+fL7+oyvD9VjaK&#10;IxqKqzDmhNZ+gHvJLTdXbQiaO2tOrXmlP99th19lYVdQPXy68oH7a+pfb45bTw42TG5RySpGQ/Hg&#10;hfg2Dxvux7dhNk2n3LrTupF6KI4odVx6x20147ZT9S5TOduO3dbhGDpbpnqNtC62X0nr++FhD9F3&#10;hPZR2HjWPdLyWx0/hMe2jKJwxaVNapd1K7zVVGXF8vXrUBQ/lk+z/JGU1624sXJjfMlC4aLil4Xy&#10;P9hMXdQe8LpXv/2baXcoDfvmGfu9jte0Tf0aaic8vk+Fc9gEiuLH8ukEX/WMlVUUHkuX+OXfw9dv&#10;faRx9sCKZTV4LT7txe37xZc8uPNvvnuL99OauH48xe9Hiv2tX/C6qH+wyQrnwOui+N0MVz1jdSgK&#10;j6VL/ITX3dIBznWobIvN4llqw6371Xy/2iUzZ2Rff/11w3nZfHvdnfC6nOO3CI+LwntdL1P9y6mX&#10;zfYLmPvAiuXVeTF7wVnrviNfR2QfOnMp7UVnjdv91t+tDJ8zA5dcPCtfs12SnX/uOdm8ude4dXPy&#10;tXhu3c3WtczpEl6Xc1wU4XFReJl1LtWtnDrXrn4BQzmnyLkX9ply9l36K6p1JfmhIZ7PJw7vz3C2&#10;uV31L1O+Ca/LOXaktzFdKQqPpUv8cvZ3v/cLZ4w4hym9tdTisnXbOHLbcOvm3jfm6/0ux4TX5Ry/&#10;0s+Y/hWFx9Ilfjn7u9/6RXaJlQ8+mO30y51qcHr8DuOdvYM7ktn7z71xrCexnqh0osiFvVzvvbvG&#10;3QPE3nXOjHBXIHe8cdfEJj/a1OX/b/l9b9r31W/yVHtagddWtsq3jLQb640x2cT4klsRHheFK59E&#10;Ez53SwfYt865Ds2DDzrggLp2i6IxEWsH5440HnRGPxa31/mtwGtk0KysOym/TuJ1PXkoTDQkA+lf&#10;KAxeUXgsXeIn/G6XDvj6zJ0z0lPOPnH3suL4dDR1Ii+Vwxn+0eRV9rStwmvaqT4oa5u7idf1ZGPD&#10;WDfhzLz0LybLovBYusRPeN0uHbB6jH1DOor9gjJtuOogHlRuhTVKSaey0vw6rt+ScbNybrQ/WhWv&#10;U3gtuVBv65ZflDDsbdx5OW3qNGeL424K6R401nbFiYUnflxvk2zaJxvpu7VRIG/49eReFB5Lq3Qa&#10;Dwmvi/tWMhONybbb/E7htdopeYiKD114459r3ilG32Tnk+5BbRrrVhzLS+5iXU0yaq+MpOs+Xsfk&#10;rvix8Eb5lfGzQfWO2UbT9Vq80dpDkDc/5okPr1zp3sUtqww6jdeSA3ew8U3IHfX77r1P9X5XYe5W&#10;Y37m3ljjjbzHcvsbb08qTHn4tCjcj5/87cWpJN/aOXSjeN0quWk82Hva23FfWDN5cuepf6dYs369&#10;w9Lo/SFgM7YpvjtIQ12Q1fbjxrl96/Xuqm9V3zSbz0jwuuh/vyictRXupJN8pE9Q5tHInTvieOcp&#10;1B7FD4XBKwqPpUv8hNvt0gE7Jqz92pZn41i3jWPdisPeajBHv8X5u+m63xGq8VBmGvp+bra+p508&#10;xcmC9dVl99xd838ArvC/wjsmlMm+d/zcM79k0c119+hY2Xfb3Uq8pi3SJdsu3vflXTydDfD7CJye&#10;fvaZ2UcffhjEaeWlfpTfp0XhfvzkTzjdCR3QmAjNrxVGPVa//Za7C5x91IzLCy84P+N9WOaA0Mtm&#10;XZJNPX1a9S523vfWHeLQe3OMAsP1zhp3kNt7yHVXexnoLr/axd0XrzvjRbFtNPXL7+g7btKx1Tvr&#10;OdNvZWH3syNryT1GO6EXzZTRKF7TLrXNlmP5coO7t992a8abeejGv3rrhWO2GJMdfdTR+XvyC5xM&#10;uYtbeSoP+S0twuOicJtXcies7rQO2Pm1xtJD+bu5fG/yhvvee+3psDl0t3hoXCgPUbXHxvXDFKcf&#10;aaitVhaxNofSxeJ2m98oXlNPv12+/+or5wxbLxSGQpkjMNf22+zn44fLr7zk92lRuB8/+RNmd0oH&#10;0HHm1/q2xC7It/kuO++cf4/fNOq3u2lHo+OoU21utJxW1NvPw/f7dVG4qB9eVv9I8DrUBvAXnOau&#10;AuGlpfAvy7/n7N0zkhFUbvK27lBZyjcUBq8oPJYu8RNut1MH0Os3//pGdvBBB1d1lPfgX/He7S7S&#10;f+roxwn54fn8drav2bxtHa17pPkpraifXnxRhePXTzyoH8+Gdds9ErxmvRA7ELp2wvEnZOO3H1/V&#10;P7Byo/ycLe/V8FbfTQsXOh312ydZiMbCfT7+IjwuCg/lmXgJq9utA8yfpZvQY/J3+CgzhBXtrkvK&#10;v7f1vRG8Zn8L64VjthxTo3fSQfiss7b7XhmVF9O5ovBYusTvbR0uc/+tff+96pj5+bbj3B7Wb775&#10;pjqHi81bytymVLfujZcQXvPtpvXCcbmOCQdFmVdPzt8HXzB/vptvM+/uRB+q/FhZReGxdInfPf3r&#10;d9lbmzVjzW9vwuuke75O1PNbvOaNik032ay6JiL8g7JOMjPfX/T5unU1OtfJbzrVJ9aeovBYusRP&#10;Y6ZdOqA9fIwf3oNROQmnk85JF0ZCLV4L7yzdc4893PkV6ZeoLSPEs+GtcqtesfyKwmPpEj+NnXbp&#10;gN3Dx1hjrITGS4jXrjqlfHtX3y1eb7Thxm69kDvPsYdgF1Hf+vrk+xWvnbQIj4vC21m3lHfvjoF2&#10;9l2RPaSdZae8+08nLV6//uorwf9+v9+7gdXUoQiPi8L9diR//+lz2frUn1+XrX6pPr01Bixeo1tl&#10;7r8iPC4KL3PbUt16a9w02l8Jr/uzXxvt/1bHS3id9KnVOpXyG9KphNdDskh6MXpZJLwevQyTHiYZ&#10;xnQg4XXSjZhuNMNPeJ30qRm9SWka05uE143JKelTY3JKeN2YnJI+JTk1owMJr5PeNKM3sTQJr5M+&#10;xXQj8UevGz5ed2tvVerL0fdlGWSY8Lo/+rEMupTqMFyXfLxOMhouoySTxmWS8LpxWSW9SrIaqQ6k&#10;8zJJZ0aqM/XiJ7xO+lRPP1LY6PRD94dwNoCxluQ5OnkOuvwSXif9GfQx0M72W3vIOWefm/A6P6fc&#10;Tnn3e94Jr5P+9LuOd7N9X331VfUehSMOPyJhVcLrUelAwuuE193Es34vm/0gRx7+Xw6zN/nRZtX3&#10;Chptt7+fRH5R5YPf5xEW4imNDS+KZ9Mkd/cwI+F192Sf9L6/ZS8M5O3SHbbbzmE292D/fuLB2XVz&#10;r86eeOzR/A3e8J09Smt1RDyo3KHwGG8k6WweyV0ePU14XZ6+SOOif/viow8/zCaa93Z1N5no5pv9&#10;OBv383HZb/fcKzvogAPdG6jTpk5za5S3Llmc8XvskYezl1e95DB+Xf5uiDBbVPpjcTkUpnhQG27T&#10;2TjJXR69THhdnr5I46L/+4I59TFHHZlttunm1fk2c27h9kjp3nvtmR179FHZ7FkXZ0sW3bx+zv5O&#10;oY3U4nTSu97Ru4TXvdNXaVz1Xl8V4eKbb7zhMBa8nX72Wfncev/ou9ZgucV26/ZxfsPvfd/ldcJx&#10;k9Zj+U2uHOmQrZd1KzzRcupawuty9ksaL/3TLzE8LOJj2+aNpyefeDx7+KGVziZy+ezLnY1kyolT&#10;skn5m9fYT3j/euw2Y7MfbPzDhufp//Gz/8h22nGnbK/f7Jm/nT3Z2V/Om35+Rv7YXpYvu8+V+0pu&#10;f1n7/vvD5uu27tYd0ttQuHiiSie/qPiJVsZDwuv+wYWk0/3dl2CYj2O+Hx3A5rLs3ruzyy65KGN+&#10;zZy93lzcD7N+6x6z5RiX12mnnJxdNWe2K+fJxx/Lvvryy5p6qZ6qm6jVT8uzbsUJ8RQ2yDThdX+P&#10;8UHW7X5tu8UyuUVjbSacfSqPP/qIw3LsL9jRd99tt5o5ucVn38ZSz8/+F/4X+I8g75UPrHBro7F6&#10;ie/TWP0TP82vkw6k/6pe0QFwLYRtjfDVxlh6hWN/ef7ZZ5wd5N577nZ2kQvzM/Rnn3WOs5mwbwX7&#10;CbaXMVuMqcH5eli+yY82dWkm7DYh2/93+7m8Lp11qduLjr3lSzM/t+1RvRIdGqdpfj0ki6QXSRZl&#10;1IEQzobqGYonHvGt209PmA2PuZVO4czZsb9cf+012fRzKuulzLOF35qvi4pv6U//bYvshnlzszXv&#10;rK7ayZW/yku0MjYTXieMSmOh/DrQCH4RR/FitF5fK43iyC8qfiOUNKteetFh+YIb/+RsJOC49jFa&#10;vLbu6+dd6zC7mTIbqVevx0l4Xf6x2us6lurffh1rBN8UR7RevyiOKHHlFvXTx/iffPyxs33MuGBG&#10;bi+fkG2+fu+5cPp7/3ej6nwc3titx2YXX3SRs7f7ZQy6P+F1+8fSoOtYan/v61gMi2N89oywR4W9&#10;JBttuHENHoPJ7A/nnM+SRTdl3ImFLYR1ShuXuTh2llgZg6hXCa97fywNot6mNndOb8FL/SR3i6G4&#10;P/v00+zhlSvd2uShEw/JOF+v+TOUOfVBBx7k9nevWL4s++STj4O26tVvv53NnDkz++lPtqimP/KI&#10;IzLO86sOtmzVZ1BowuvO6f2g6FRqZ+/rVD1MtGHvrH47O2XKidX93VpXFGWf35Jbbg7apG0+1o3+&#10;sFdl+3HjqpjNXJu7U6Rbfnzx+50mvO79sdXvOpra110dDWHjklsWOTwVLtu5NO5TTjqxZr+H34eh&#10;PG0cwtl7or0mlANmf/RRZZ5t4w6SO+F1d8fCIOlaamvv6JrFU2wX2DDOmHZGcL1w881+kh1y8MRs&#10;7jVz3f7tdes+GzafJj/laancVjdsXPhnnXlmdZ79u332decpbfxBcie87p0xNEh6mdraGr0UHvoY&#10;WCRf1gtZC+QMJGuDdv7MXBcea4msKRbl1Yrw006eUq0D5bYiz17MI+F1a8ZFL/Z9qnP/9r1w2vZx&#10;EY9w9mmA09whBUbL3iE6fvvts/PyczHcQ2Xzbqdb9f71hKGz87xjLH47yy5b3gmv+3fMlk3XUn06&#10;p2s+lskP1Y/+eHnVqmzhggXZ1NOnZTv9csfqHFbzae544t3J6+bNc3FJo7w63Z+fffZp9X/ktFNP&#10;rdpcVB/RTterk+UlvO7cGOpkv6ayBrdfLW5Zt9UJ9mzYN8qEz6J/nDY1uF5o87Num3c73dz1Sh3Z&#10;H9jOcsqad8LrwR3XZdXJVK/R66Sw9Jtvvsm4U0nrhdx5be3R//Kd77p7sI884ki3XvjKy6tq7kcl&#10;H/3UL8pb/k5S3kFjzg9m876DyladRMXvN5rwevRjo990IrWn93WCO++cHXqHih1a82ZRrRdaO7SP&#10;dfKLlkUvaJfaYe+IKkv92lmPhNe9PzbbqR8p7/Lph8VP3NYPfnGGe6stt6pimrANig3kvHPOdvuY&#10;e61v1dbP8zk2bWENlHfme60do6lvwuvyjcfR9GdK2x/9KWwSFlu/ePQ1Z/5YC5xy0pRsx8B6IWuI&#10;rCUuXDA/e/21V2vW6Gw+vaQ31HunX+7kMHvXnXeptqmX2tBsXRNe98f4brb/U7py97/FVOu++so5&#10;ddcLZ15wfsZ+CpvG9nWMb+OUxe3XFT9vTuq7AdtPWera7nokvC73eG13/6f8e6f/mUtzViR2h/Qu&#10;O+/sbNac41a/gm36+Tz5e5Hy5o3w+r1311Tb24ttGUmdE173zngdSb+muL3XrxZXwdwXnns2u+rK&#10;q9xZb51fEUZtlJ8vnLDrbtmZfzzL7f346xuvB+fS5CldsPmL1ytU7RCdO3duFa+fz+Ukfq+0p9l6&#10;JrzuvXHdbF+ndOXuazCHc3vcdydcFtX5Qs74cb6Qe48a7U/ytXhm3Y3mUaZ41F/7sJHPk0883rAs&#10;ytSOZuqS8LrcY7iZPk1putOnIRz0edaPm7mh1gvHbfvzYTg9YdcJ+XrhVLdeuPrtt6q4a/MZxP5O&#10;eL2Bu3O2zH2vuUasjkXhsXSJ3x18GwS5h3CVPc/YoX/s3ekv/cX2wR5j9q2F0od4gyBL28aE1wmv&#10;rT4kd8LwkepAEY4+/+wz7r474bJPf/PrPbL77rmritE2P+seab36MX7C64TX/ajXqU3t/98RlkLl&#10;Zr0QW8elsy6trBd65wy5/4K3Z2dccEH28EMr3X13Sq88Qn1XLywUv195Ca8TXverbqd2tR+zJeNV&#10;L72YHX3k4cPs0JpLs1648oEVTa2PJawe6seE1wmvNeYSHRoXSRaNyeKJxx7Nfj9xYvW+aOGzKO9a&#10;rXzg/kKcbgSTG4nT7/2W8Drhdb/r+CC3z2JcyB3iheRFvA/Wrs1WLFvm3vred+99au67A5+3GvMz&#10;d2c0Zzoee+SR6vtVtoxQ3onX2H8jcmIPn/4L77j9NmeHQr79LuO0n69xHUnjqT9lFRrjIR7rhcce&#10;fZTDCe2HFmZAD9hvv2HvYw0ChnRjXFi8XrJ4sftuCfVZN+rWzjITXvcnBrVTZ3o976JxbcNZN7xh&#10;3tzMvkVlMZp1Q86vYLe26Xy3/KK9LsNu19/i9a1LlhTambpd31aVn/A64XWrdKnM+QgnLQ25OTd4&#10;+2235vfdnZz9ds+9sn/d+IfV725weswWY7KjjzranV8BM7744ovq3I78lKdkYf3WrfBEmxt/Fq+Z&#10;X0v2/S7jhNfN6UsaZ70rt9CYvvqKOdmmm2xWg83W5sE74dhD6PdQeqsPfrjvt3GTuzk9El7TR6w9&#10;DoocE143py+Doh9lbGcI/0I81V1homvffz+7a+nSjPXAeuuFl8++3K1rfdXAfZ3K2y8z5hc/0ebG&#10;n/Cabx7htd8H/SjbhNfN6Us/6kKvtskfp/h9HnZo3iI5+MADaubQskXLDs2+vF6VwyDVG7zW94/w&#10;ehDan/A64XUv6LnFX+tW3UM8wrBH8z4Wb7RqfAujnT06508/+8zofXexfFVuot0ZP5pfW3vIIPRV&#10;wuvu6Fsa543L3Y7DkBue+NwDffutlfVC7ofeaMONa+bT3KU06dhJbr2Q8+LW1qF8fEpfKf/Ub433&#10;WztlRd/pf/eG66+v9k+/91PC63LoXzt1u9fzDo1Bn8f7WLF3V+DPnHF+hk2EdDatdYfkVBQeSpN4&#10;7R9T765ZU8VrMGxQZJ7wuv26NSi61M52hnAT/AWHNc/yKTh9Vb7vQ/VSHqLih6jiiIbiJF73xg7v&#10;Oqi/Z1xwYbWP+71PEl53T+f6Xbds+0K4F+LZNNaN3eK5fD/dwgUL8jtJj8nGb79DdbwybrF7cN8d&#10;74Szfxq7iE2f3P2l52l+XXt/yEjGUqfGgv5PY+UVhcfSJX77x7KvT77f9oHCoJwb5PzgVltuVYPP&#10;6mvWEVlPZK5t85BbecmfaPv7uhMytng99fRpNTauTpTfrTLqvQtfNl3XGI3Jqig8li7x2z+GG9El&#10;4vD2ysKFCzP0MvQ+FuuFJxx/gts/zZrTl+v3Rtv8ccsvmvq4/X3caRlrvLN+3M/9LH2GWrwue5vV&#10;PzG9KAqPpUv89o5lq1fSPWQuvrNDX3B+3fVC1hM1h1Y6m4fvtn4bH3769b4M6FONdzBsEPqUNguv&#10;2cdodbyM7Vf/xOpWFB5Ll/jtGb8WJ3FbPzIveh+L++6W33dPU2PRLyv1cXv6uJty3X7cOIfZ3PPS&#10;zXp0suzJkyZX/6ek46KdrEcjZRXhcVF4I2WkOO0Z19yLxBmHBfPnu/uSsDurv6A/yO9V2v93+1XX&#10;CznnEusLq59yQ323eOLH8kv89vR5u+XKGxDoDuvM7S6rLPkfdMCBrs1jtx5bbbP0vCx1VD00vuX3&#10;aVG4Hz/564/T0eIc6Ve9+Be3Xsh5b/WPpdxT6tYL14XXC1Mf1e+jQZbP7FkXV7BrmyHskjxGo7uj&#10;Savym6WUHSpfPL4lGD/8V/llKI7P75Zf4zxWflF4LF3iF2PCSHVh2b13Z7z3rT4R1Zlwe99dkn+x&#10;/JOMhsuI/3n0acPvfT+Icd9++20U06w+45affSfcIfP4o49kC278U8Z/gn7oLDjZ6O+EyZOqacmD&#10;+pLvk48/Vl2LoV9VdqyPbf2YVzOWTjvl5Jp0RXnE8m4nX2M+VkZReCxd4g8fC+p/6Yr1S17isTea&#10;d6+47+6Qgye697DUF1DG07577+vez+IdLe7HIw/lrfwSHd4PSSZhmaA77LGXnmm/vXTS6tc333yT&#10;gcPY4xbddFPGmZOLZ87MLsrPWl12yUXZJRfNzM6bPt3xL798jrvvjzu1ly+7z2Er6fi9suollw95&#10;NfJ7ZdUqlw58Jv2K5cuqeVOH86bn5c+6JJt96azskpkzsgvzNfcLZ8zIrps3z+1/ejkvz96X8Nln&#10;n2Yb5WOJNvNforbacSReGfRGfROrS1F4LF3ix8eELxurD7wfKxsistfcWe7fTzw4Y/+0n4fvt/rm&#10;hyV/uG+SXCr/91pzPO+cs6v4hWzAOdaqTzt5SoYtDj1lHz/ffTHZWd0mjvyj0U/loTJ9v8qxfMbM&#10;kkU3ZczPGUvYDE84bnJ+Rmz76v/TfffcVZ3zKO+y0SI8LgovW3vKWh/pjqWsFz688sFsxvkXuHXB&#10;2Hrh1NOn5nODO2vuuyMf5WXbHOPbOMmd8DqkA9Id9nky7vmGY+/E7MtmZ2dMPS07P58vL1ww381r&#10;161fG1Ea8vP1UX5LbfxQHRrh+Xn4ftXFlqt8xWMuP/uyy4Z9t+6Tf7My5/fjy99tWoTHReHdrn+v&#10;lC89ob7MR7CVxdYLsekxF9DeaNLY9I34e0UuqZ7l++/w39Xcd++9h807fX0M6aT61sa1boU3S5vJ&#10;K5Rm8aKbh51TqPfN0Gx9W5GuCI+LwltRh17Ig35WX/tU9Rcfv3UrPLZeiIy5R+mYI4+ovo+lNImW&#10;D8/6uU9YF9SYRyexd1h7bz+1XWMU+vm6dW4dU23H1qPwMrVZ9YvVqSg8lq7f+Oo7Udpn3X57mRs/&#10;/NBKt14Y2tNRsf8dlM3O38d65umnqvMX8qyXr19O8ic8b6UOWLzG5jEIumjHnMYqeI1cy9b+Ijwu&#10;Cm+lrvRCXkX9x3rhHrtPqFknlAxZOwytF1p9Kcq/F2SU6ti7/yEWrwexH+vtxS6DPIQlsboUhcfS&#10;9RtfOOpT2sm5Qb4bd9huu+q3pOS2wf/5F/duFvtE31n9dt3/a4vb/Sa/1J7ewPCE15WzMwfuv1/d&#10;sdotfRauxMovCo+l6ze+xWn2pbLv86wzz8pC72P9YodfuD3Tc6+Z6+zRuu8OmQiTRX05qRyfn/y9&#10;gXe93k8hvO5XnVS7ROk7f35NmA3vdv8W4XFReLfr36nysUezZ2OXnXcO2jpYm2HPB1ge6t+R8EJx&#10;O9XOVM5g/y+E8HpQdIJx5+N12dpehMdF4WVrT736CAd9Wi/NmndW130fCxsI+1XJQ/nWyy+FDTYe&#10;lr3/Bxmv6ZuE190dnzEMhW/D5H/t1VfdmQDe19jxlzsOs0fD430szre+8vKqKk7bvMo+JlP9uquT&#10;ZZZ/wuv43U9l6Lei+fP/Z+/cejQrqjC8f4Hxwn+AidF4IUcThRDlAnEIkChEEY+gciORgDgyQBBQ&#10;48BwEIhwZ4TBkYMOKo6AINEE9UYkokS5ATQYTEAw/AC/d8v7uaZmV61veqq7d3eeTr5U7VpVa9de&#10;66nVtY+VyedwDLU+rBpDp+4XxvfAP7j4Vtne73+ver9w1f3U+kk58XMuDBCvidebxaLnzDGe6js1&#10;et/0/sX6WBd96aLhzDPOHN5+1DuW82jlzzrjrOHCL1446H6h6qqNj8G6nKo85l2PlBi8FRkgXhOv&#10;N5NbxVL9fL9QaxX6nCGmvl+otQ7L/lqHymuxuVZe6mKbOD5nBojXxOvN5FP3C6/c9bUxRsdrHI7V&#10;ul/44I8fOCRG1/o8FZenymrtKSdez5kB4jXxei18xhhYy0/pfXbxfdy777prvNZRfu9OMfrMxf1C&#10;3Ut89OGHl9+7i/qndFJGjN1IBqZ4nCpbtU+xbcxPtY/xeqquy5xah7bLMsu2UsrzIf3Gunlwag50&#10;DePqxbPP/m6v585OTzv1Q+Mc+h9/f3FbMOXjJu3H1pxtad6VOj/V35Zsqv5UWYzXlpd6s22324op&#10;8brPmCoZ0TuD+r643lHRd3odm52qzN8l9ffFog7l4/ZWZIs+92FrM+1YY1Dl5dpbrbq9jkHrtngM&#10;RZ21fbtOJne9uafE67WNKfk/MqD7hU//8anxmQ2tj3XcsScsuRJf+t6d1nTWO+JaH+vVV15Zto+6&#10;rHOqbO4s0b+1sTR3u5lFs6n+Om9ZeQxRbllZ5rZOo163KdM4v3Y7643tS5m3S31bbZt4fWRjLN4v&#10;9P/9mOrb6uX9wshX5GWq3GVOY33yR+Y77Le6/cyf09J2sVx5rW+l2PrYo48ctP6szjf1LVD/9N0i&#10;5eO99piPY6nMl33QdtmPqTpbuYx4nTNrBjQn1jej9e6gnn+eWn/l7MUcWvcLtW6n5tw1NqyzJle5&#10;6zht1UWW+xEbHZ6NxO9zi/dptW6s1nvbe/fd4/q0WmP5K5d8ZVwjTvFD63frna2j33PMQeeUZXzt&#10;va01a/Vbrl/7nZuX/xu0pu4tN94wyiTXurZa71Y/jd+fPLh/HMtad2uuXMRx7/x2jte+vuZjXcUv&#10;U3X1jaR4Hbr8/69npsv1sVbZF3UOL35gr/W1l76Nrjj3hQvOH7+xu5b4Wo4N3afRHFo6NY++5OIv&#10;j/u44/ZbD0o1fjQfz36//+2T4/rlSksepsau6pTlnvurD9pfqWcO2+pz2W/1y/FaNp1DP8s+mJmy&#10;3NuZ3PXK1LYoU9fTPUAxpHuC73rnuw+ZN4hDxfCpddSs07pI1zfOYN/Ds2/k8759PzjkeoTHVC11&#10;TNa7AYrBWqdcse/effeM8U/3BPUNBfkl7qv0k2VlWtbLtldt73pZv7L9bbQ89tvxWnbf6H6ssj8z&#10;U6vbksfjVH7qZ70699M1DF3L0P3C44v7hXq/UNdAdC6lNcNfffWVpb28n1K/dZMeXjzBXutrrz8/&#10;88zwiY+fu7gnfvwh8xBd19A3ED5//gXDpZdcOtx26+3jtYNfHDgwrgun6wd67nTKRx4HlsVtj41V&#10;ZK6zaur9OFU778+py0qdsU0p28zt2G/3Q2Xym2LedozX8TiVn/KNzo0uXqwj67iv1PMHpbpf6Dl0&#10;tOGULpfFeu4D6frGIOy7un01HzHjugej80SdS3pOXBsrNRubd/Pvei73dkzLulGW5WPbmI/tXO40&#10;ypSP5TFf1tvsbffNaTm/dvlm99P7dxz1dplmctePx6W8ntmYWh/L+q675upBz35MtXeZU+mL+l1O&#10;unoMwVYbZyuNecfrm/bsGRmfYjgyHfPr6avWfmoylyt1vtXHqTpTZS0dmyXz94W2y/w62t35f770&#10;0rg+1rXXXDue65XXo098/0nj++Hj9+4W34zWuy5uG/2islq56tXkUQf5jYtL2Hra1vfs3XvQO1z6&#10;LsLnPvPZYfe3dy+eAzkwvkfw+uuvL+P44dpxaoxIRyyP+cPRv9Z25T6kp6eu9Ty+F55/frh+9+7x&#10;GRzPJ/W8S89jKO2z1m33r9Y+yqP9fb9Q96NdJ6a6X/j1q64c30F0u5g6X9sv5dOxALtsDbvo3FHf&#10;SNA4iONCec+9P3bO2ePaRXqG4rXX/r2Mb3FsKF9ui4FYZiZc5tTltfqlPLar5WObjcjHfpT7a8nK&#10;unHb7RTD9LxO9JHyf3nmT8vz/thuDnmzVOuL5T5Gcai1vqe+paS6ugai+9m6Vufn/Wq6Kd8asQc/&#10;rd1PTz/1h/EZu2OOPnaM247VHldOVX76h3csxs63xmdBnl3c96nZ3WOxlLtcqfNlndq265dpWT+T&#10;l/WPZHst+5pq47LYF/2P1H1f29/pgZ8/tObznqh/vfLuZ02/5bsuv2LYseDJ205PfN+Ji2fyLh7X&#10;0Hrub39dHqttpNR57SNux/La/ilfe6zAdptjO3Nt1r397GLtC71Hcucddw47L9s5Put7wnHvPWRM&#10;eWwpPfmkk8fvLOiauN6hGd9JufHm4UcP3L94juo347UVPU+i50q8H48zp63yUqZtl5Vp5MmyWNY7&#10;H/ehvLedj9s+VqeWaVv2+dXjjw13LOw+vodXPLdz3rnnjX6p2bD3cR2JPrNR02F5md5y057hP29e&#10;gyvbRlvV8mUbtjcntmD39bV75D/aOpbrWVc9U/3d224dnyMrvzNZm5OXY1Lbet5K98quuuLycZ6+&#10;/4H7xme2tY+4/zIf+xPzrjdVZtlGplP9iGXOy56KUaedeury/2Fpx09/8lPjMw9us5HHsdZ92ee1&#10;9pZr7awf7ts3aI7g792VbXzcZRrrSWZ5LCe/vnED+87HvlNjoBwTb7zxxjgv/N2TTw4P7t+/OH+9&#10;d7jh+j3jHFtjUfNtPcudzc89fp3qOqba6dqLdOin82M9C6734P1Oufapn+6PKvbpnXl9t9hzeT0z&#10;sNFM6Rqr5sDqz6+feGJ5rvKN6745Ps+gZ6f17r6PNaY6bh2r7vlqrh3XkSptH4+rJYv1NirvY6rt&#10;L5PX2lE+n/iAL7a/L3RfSddk9R6kfnpvWPPs44tzf43ncp7pMT6VrlJX8V/78k/Pm+s+nvuSpWVd&#10;tbcupVP9ysrU79N37Bj7oO9dzC3urnVM+rhr7TN5rR3l2z9G4OP5+jjGJ+U1J9X3SxQ7FR93Xnbp&#10;MiZ6jDt1jHaq8ph3vVZ5rNMjX9t/1H3ORz8y6L2Ox3/5yPDiC88v5//RFludWR9v7Tgyea0d5fMd&#10;y/gG30QGHM/0HoWuN2g+6msguh6ie6S6NqJ3532/c+dXd47XZnQdRe/W61qDrkco1TsnmnPrd8oH&#10;Tll+X9Bl1fTN7xBqPSjp8U/Xa3Svddflu4abFvdatd7fQz/76dhHPX/zr5dfXs6fdSw+nniMyrdk&#10;Zd25bmfxOJPP9bjoFzEJBv7HgOOX09IutXLXy+SqVz67u0ob61fq+k6jrEdeetdLd4/+raoji8eZ&#10;fNX9UI/4CQPry0ArHkWZ8zF1flUfTdV3mVPpivmabtdxWquXlZftve00a78V5Fk8zuRb4Rjp4/rG&#10;Cew7D/vGuFTL21dR7jKnkpXybNttncb6MW95LZ2qqzL/au1cHtvHvOVKa+WxzlzzWTzO5HM9Lvo1&#10;jxiCH/AD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bDnpUQM2&#10;wAYwAANzYKAW0+fQN/rAGIEBGICB/zNQi9eUc34GAzAAAzAAAzAAAzAAAzAAAzAAAzCw3Rl4yzAM&#10;b1v89PfWxU/5/wIAAP//AwBQSwMEFAAGAAgAAAAhAJcUqLzgAAAACQEAAA8AAABkcnMvZG93bnJl&#10;di54bWxMj0FLw0AQhe+C/2EZwVu7SUO0jdmUUtRTEWwF6W2anSah2d2Q3Sbpv3c86XHee7z5Xr6e&#10;TCsG6n3jrIJ4HoEgWzrd2ErB1+FttgThA1qNrbOk4EYe1sX9XY6ZdqP9pGEfKsEl1meooA6hy6T0&#10;ZU0G/dx1ZNk7u95g4LOvpO5x5HLTykUUPUmDjeUPNXa0ram87K9GwfuI4yaJX4fd5by9HQ/px/cu&#10;JqUeH6bNC4hAU/gLwy8+o0PBTCd3tdqLVsEsSTjJesoL2E+e0xWIk4I0WixBFrn8v6D4A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jED7ieQMAAAsIAAAOAAAAAAAA&#10;AAAAAAAAADwCAABkcnMvZTJvRG9jLnhtbFBLAQItABQABgAIAAAAIQCd3Hg4RYgAAJjpCQAUAAAA&#10;AAAAAAAAAAAAAOEFAABkcnMvbWVkaWEvaW1hZ2UxLmVtZlBLAQItABQABgAIAAAAIQCXFKi84AAA&#10;AAkBAAAPAAAAAAAAAAAAAAAAAFiOAABkcnMvZG93bnJldi54bWxQSwECLQAUAAYACAAAACEAjiIJ&#10;QroAAAAhAQAAGQAAAAAAAAAAAAAAAABljwAAZHJzL19yZWxzL2Uyb0RvYy54bWwucmVsc1BLBQYA&#10;AAAABgAGAHwBAABWkAAAAAA=&#10;">
                      <v:shape id="그림 4004" o:spid="_x0000_s137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sLQxQAAAN0AAAAPAAAAZHJzL2Rvd25yZXYueG1sRI9BSwMx&#10;FITvQv9DeAVvNqkUkbVpkVZl1dNWL709Nq+bxc3LksRt9NcbQfA4zMw3zHqb3SAmCrH3rGG5UCCI&#10;W2967jS8vz1e3YKICdng4Jk0fFGE7WZ2scbK+DM3NB1SJwqEY4UabEpjJWVsLTmMCz8SF+/kg8NU&#10;ZOikCXgucDfIa6VupMOey4LFkXaW2o/Dp9PwbF6DrI8v017avOvzU/PwXTdaX87z/R2IRDn9h//a&#10;tdGwUmoFv2/KE5CbHwAAAP//AwBQSwECLQAUAAYACAAAACEA2+H2y+4AAACFAQAAEwAAAAAAAAAA&#10;AAAAAAAAAAAAW0NvbnRlbnRfVHlwZXNdLnhtbFBLAQItABQABgAIAAAAIQBa9CxbvwAAABUBAAAL&#10;AAAAAAAAAAAAAAAAAB8BAABfcmVscy8ucmVsc1BLAQItABQABgAIAAAAIQCmssLQxQAAAN0AAAAP&#10;AAAAAAAAAAAAAAAAAAcCAABkcnMvZG93bnJldi54bWxQSwUGAAAAAAMAAwC3AAAA+QIAAAAA&#10;">
                        <v:imagedata r:id="rId43" o:title=""/>
                      </v:shape>
                      <v:shape id="Text Box 4005" o:spid="_x0000_s1378"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9AxwAAAN0AAAAPAAAAZHJzL2Rvd25yZXYueG1sRI9BSwMx&#10;FITvQv9DeIIXsUl1LbI2LaUoWC/FtRdvj83rZnXzsiTZdv33piD0OMzMN8xiNbpOHCnE1rOG2VSB&#10;IK69abnRsP98vXsCEROywc4zafilCKvl5GqBpfEn/qBjlRqRIRxL1GBT6kspY23JYZz6njh7Bx8c&#10;pixDI03AU4a7Tt4rNZcOW84LFnvaWKp/qsFp2BVfO3s7HF7e18VD2O6Hzfy7qbS+uR7XzyASjekS&#10;/m+/GQ2FUo9wfpOfgFz+AQAA//8DAFBLAQItABQABgAIAAAAIQDb4fbL7gAAAIUBAAATAAAAAAAA&#10;AAAAAAAAAAAAAABbQ29udGVudF9UeXBlc10ueG1sUEsBAi0AFAAGAAgAAAAhAFr0LFu/AAAAFQEA&#10;AAsAAAAAAAAAAAAAAAAAHwEAAF9yZWxzLy5yZWxzUEsBAi0AFAAGAAgAAAAhAGC6b0DHAAAA3QAA&#10;AA8AAAAAAAAAAAAAAAAABwIAAGRycy9kb3ducmV2LnhtbFBLBQYAAAAAAwADALcAAAD7AgAAAAA=&#10;" stroked="f">
                        <v:textbox style="mso-fit-shape-to-text:t" inset="0,0,0,0">
                          <w:txbxContent>
                            <w:p w14:paraId="734F8986"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F</w:t>
                              </w:r>
                            </w:p>
                          </w:txbxContent>
                        </v:textbox>
                      </v:shape>
                      <w10:wrap type="square"/>
                    </v:group>
                  </w:pict>
                </mc:Fallback>
              </mc:AlternateContent>
            </w:r>
          </w:p>
          <w:p w14:paraId="460D1BDC" w14:textId="77777777" w:rsidR="0059538A" w:rsidRPr="008F328C" w:rsidRDefault="0059538A" w:rsidP="008F328C">
            <w:pPr>
              <w:pStyle w:val="a3"/>
              <w:numPr>
                <w:ilvl w:val="0"/>
                <w:numId w:val="141"/>
              </w:numPr>
              <w:rPr>
                <w:lang w:val="pl-PL"/>
              </w:rPr>
            </w:pPr>
            <w:r w:rsidRPr="008F328C">
              <w:rPr>
                <w:rFonts w:eastAsia="Times New Roman"/>
                <w:b/>
                <w:bCs/>
                <w:lang w:val="pl-PL"/>
              </w:rPr>
              <w:t>Umyć ręce</w:t>
            </w:r>
          </w:p>
          <w:p w14:paraId="7FF2B13E" w14:textId="77777777" w:rsidR="0059538A" w:rsidRPr="008F328C" w:rsidRDefault="0059538A" w:rsidP="00ED6A7B">
            <w:pPr>
              <w:pStyle w:val="a3"/>
              <w:numPr>
                <w:ilvl w:val="0"/>
                <w:numId w:val="0"/>
              </w:numPr>
              <w:ind w:left="471"/>
              <w:rPr>
                <w:lang w:val="pl-PL"/>
              </w:rPr>
            </w:pPr>
          </w:p>
          <w:p w14:paraId="1C868E10" w14:textId="77777777" w:rsidR="0059538A" w:rsidRPr="008F328C" w:rsidRDefault="0059538A" w:rsidP="00ED6A7B">
            <w:pPr>
              <w:pStyle w:val="a3"/>
              <w:ind w:left="4117"/>
              <w:rPr>
                <w:lang w:val="pl-PL"/>
              </w:rPr>
            </w:pPr>
            <w:r w:rsidRPr="008F328C">
              <w:rPr>
                <w:rFonts w:eastAsia="Times New Roman"/>
                <w:b/>
                <w:bCs/>
                <w:lang w:val="pl-PL"/>
              </w:rPr>
              <w:t>a.</w:t>
            </w:r>
            <w:r w:rsidRPr="008F328C">
              <w:rPr>
                <w:rFonts w:eastAsia="Times New Roman"/>
                <w:lang w:val="pl-PL"/>
              </w:rPr>
              <w:t xml:space="preserve"> Umyć ręce wodą z mydłem i dokładnie osuszyć. </w:t>
            </w:r>
          </w:p>
          <w:p w14:paraId="7104BD13" w14:textId="77777777" w:rsidR="0059538A" w:rsidRPr="008F328C" w:rsidRDefault="0059538A" w:rsidP="00ED6A7B">
            <w:pPr>
              <w:spacing w:line="252" w:lineRule="exact"/>
              <w:rPr>
                <w:rFonts w:ascii="Times New Roman" w:hAnsi="Times New Roman" w:cs="Times New Roman"/>
                <w:lang w:val="pl-PL"/>
              </w:rPr>
            </w:pPr>
          </w:p>
        </w:tc>
      </w:tr>
      <w:tr w:rsidR="0059538A" w:rsidRPr="00A5286D" w14:paraId="780E01AD" w14:textId="77777777" w:rsidTr="00ED6A7B">
        <w:trPr>
          <w:trHeight w:val="5945"/>
        </w:trPr>
        <w:tc>
          <w:tcPr>
            <w:tcW w:w="9634" w:type="dxa"/>
          </w:tcPr>
          <w:p w14:paraId="04BDEC03" w14:textId="77777777" w:rsidR="0059538A" w:rsidRPr="008F328C" w:rsidRDefault="0059538A" w:rsidP="00ED6A7B">
            <w:pPr>
              <w:ind w:left="104"/>
              <w:rPr>
                <w:rFonts w:ascii="Times New Roman" w:eastAsia="Times New Roman" w:hAnsi="Times New Roman" w:cs="Times New Roman"/>
                <w:b/>
                <w:bCs/>
                <w:spacing w:val="-1"/>
                <w:lang w:val="pl-PL"/>
              </w:rPr>
            </w:pPr>
          </w:p>
          <w:p w14:paraId="0513DD1A" w14:textId="77777777" w:rsidR="0059538A" w:rsidRPr="008F328C" w:rsidRDefault="0059538A" w:rsidP="00ED6A7B">
            <w:pPr>
              <w:pStyle w:val="a3"/>
              <w:rPr>
                <w:lang w:val="pl-PL"/>
              </w:rPr>
            </w:pPr>
          </w:p>
          <w:p w14:paraId="6615CFC9" w14:textId="3D7BFF91" w:rsidR="0059538A" w:rsidRPr="008F328C" w:rsidRDefault="0059538A" w:rsidP="00ED6A7B">
            <w:pPr>
              <w:pStyle w:val="a3"/>
              <w:rPr>
                <w:lang w:val="pl-PL"/>
              </w:rPr>
            </w:pPr>
            <w:r w:rsidRPr="008F328C">
              <w:rPr>
                <w:noProof/>
                <w:lang w:eastAsia="ko-KR"/>
              </w:rPr>
              <mc:AlternateContent>
                <mc:Choice Requires="wpg">
                  <w:drawing>
                    <wp:anchor distT="0" distB="0" distL="114300" distR="114300" simplePos="0" relativeHeight="251658379" behindDoc="0" locked="0" layoutInCell="1" allowOverlap="1" wp14:anchorId="6B615BDE" wp14:editId="110E3402">
                      <wp:simplePos x="0" y="0"/>
                      <wp:positionH relativeFrom="column">
                        <wp:posOffset>74295</wp:posOffset>
                      </wp:positionH>
                      <wp:positionV relativeFrom="paragraph">
                        <wp:posOffset>139065</wp:posOffset>
                      </wp:positionV>
                      <wp:extent cx="2256458" cy="2921000"/>
                      <wp:effectExtent l="0" t="0" r="0" b="0"/>
                      <wp:wrapSquare wrapText="bothSides"/>
                      <wp:docPr id="4006" name="그룹 4006"/>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4007" name="그림 400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008" name="Text Box 4008"/>
                              <wps:cNvSpPr txBox="1"/>
                              <wps:spPr>
                                <a:xfrm>
                                  <a:off x="1536700" y="2774950"/>
                                  <a:ext cx="719758" cy="146050"/>
                                </a:xfrm>
                                <a:prstGeom prst="rect">
                                  <a:avLst/>
                                </a:prstGeom>
                                <a:solidFill>
                                  <a:prstClr val="white"/>
                                </a:solidFill>
                                <a:ln>
                                  <a:noFill/>
                                </a:ln>
                              </wps:spPr>
                              <wps:txbx>
                                <w:txbxContent>
                                  <w:p w14:paraId="57132CD0"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615BDE" id="그룹 4006" o:spid="_x0000_s1379" style="position:absolute;margin-left:5.85pt;margin-top:10.95pt;width:177.65pt;height:230pt;z-index:251658379;mso-position-horizontal-relative:text;mso-position-vertical-relative:text"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kGdh3AwAACwgAAA4AAABkcnMvZTJvRG9jLnhtbJxV3W7bNhi9H7B3&#10;IHjfSPL8kwhRCi9ZggJZaywZek1TlEVUIjmStpw+0F5hu9gTbS+xQ0py4qRDu1xY/vj38XyH55Dn&#10;b/dtQ3bCOqlVQbOTlBKhuC6l2hT01/vrN6eUOM9UyRqtREEfhKNvL77/7rwzuZjoWjelsARJlMs7&#10;U9Dae5MnieO1aJk70UYoDFbatsyjaTdJaVmH7G2TTNJ0nnTalsZqLpxD71U/SC9i/qoS3H+oKic8&#10;aQoKbD5+bfyuwze5OGf5xjJTSz7AYK9A0TKpsOkh1RXzjGytfJGqldxqpyt/wnWb6KqSXMQaUE2W&#10;PqvmxuqtibVs8m5jDjSB2mc8vTotf7+7sebOrCyY6MwGXMRWqGVf2Tb8AyXZR8oeDpSJvSccnZPJ&#10;bD6d4ZA5xiZnkyxNB1J5DeZfrOP1T19ZmYwbJ0dwjOQ5fgMHiF5w8HWtYJXfWkGHJO035WiZ/bQ1&#10;b3Bchnm5lo30D1F6OJgASu1Wkq9s3wCdK0tkWdBpmi4oUayF6P/+489/fv+LxC7QHFaFif0yFsq6&#10;1fyTI0pf1kxtxNIZCBd2CvJMjqfH5tGe60aaa9k04ahCPFQHkT8TyRcI6gV4pfm2Fcr3jrKiQaFa&#10;uVoaR4nNRbsWqMi+KyMgljtvhed12LDCxr8AbAD6ZCCifAQWSnDQGFl3P+sSjLCt19Ev36ix2WwC&#10;90aNLebTxVnU2EEpoNA6fyN0S0IAqEAU07PdrRuwjVMCaqUDYcDM8kYddSBn6In4A+IhRAHBHrij&#10;3MgvWi8Y/l82vKuZEUAZ0h7pBm7qdXMfXPaj3gflnAYtDFODXYnfY2TQSOjv0Y7mObg2m/0wX8CT&#10;JPhzsZiezQZ/jg5eZGeL0cDZdJ7246/n1ulGlqMeA+mXjSU7hvu3q6UXUdJQytNZ/3EGj1WFyO/X&#10;++is7DRWEPrWunwAFVbjzFGiM/xaYsdb5vyKWVzk6MTj5D/gUzW6K6geIkpqbT9/qT/Mx8FilJIO&#10;D0NB3W9bFm6N5p3CkSOlHwM7BusxUNv2UqPWLKKJIRZY34xhZXX7EW/WMuyCIaY49iqoH8NL3z9P&#10;ePO4WC7jpP7yuVV3BldWFpUdmL3ff2TWDJr3OND3ehQVy59Jv58btO7MEu67ltEXjyxC6aEBgcco&#10;vjiIjp60p+046/ENv/gX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BZPVbbfAAAA&#10;CQEAAA8AAABkcnMvZG93bnJldi54bWxMj8FOwzAQRO9I/IO1SNyo4xbaEuJUVQWcqkq0SIibG2+T&#10;qPE6it0k/XuWExxnZzT7JluNrhE9dqH2pEFNEhBIhbc1lRo+D28PSxAhGrKm8YQarhhgld/eZCa1&#10;fqAP7PexFFxCITUaqhjbVMpQVOhMmPgWib2T75yJLLtS2s4MXO4aOU2SuXSmJv5QmRY3FRbn/cVp&#10;eB/MsJ6p1357Pm2u34en3ddWodb3d+P6BUTEMf6F4Ref0SFnpqO/kA2iYa0WnNQwVc8g2J/NF7zt&#10;qOFxyReZZ/L/gvw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FRk&#10;Gdh3AwAACwgAAA4AAAAAAAAAAAAAAAAAPAIAAGRycy9lMm9Eb2MueG1sUEsBAi0AFAAGAAgAAAAh&#10;AOw+MKDGfgAAmOkJABQAAAAAAAAAAAAAAAAA3wUAAGRycy9tZWRpYS9pbWFnZTEuZW1mUEsBAi0A&#10;FAAGAAgAAAAhABZPVbbfAAAACQEAAA8AAAAAAAAAAAAAAAAA14QAAGRycy9kb3ducmV2LnhtbFBL&#10;AQItABQABgAIAAAAIQCOIglCugAAACEBAAAZAAAAAAAAAAAAAAAAAOOFAABkcnMvX3JlbHMvZTJv&#10;RG9jLnhtbC5yZWxzUEsFBgAAAAAGAAYAfAEAANSGAAAAAA==&#10;">
                      <v:shape id="그림 4007" o:spid="_x0000_s1380"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3wwAAAN0AAAAPAAAAZHJzL2Rvd25yZXYueG1sRI/NagIx&#10;FIX3Bd8h3EI3pSaKWBmNIkKxmyJqodvL5DoZOrmJk9QZ374RBJeH8/NxFqveNeJCbaw9axgNFQji&#10;0puaKw3fx4+3GYiYkA02nknDlSKsloOnBRbGd7ynyyFVIo9wLFCDTSkUUsbSksM49IE4eyffOkxZ&#10;tpU0LXZ53DVyrNRUOqw5EywG2lgqfw9/LkNeTRPs7pp+trzpO7+bncNX1PrluV/PQSTq0yN8b38a&#10;DROl3uH2Jj8BufwHAAD//wMAUEsBAi0AFAAGAAgAAAAhANvh9svuAAAAhQEAABMAAAAAAAAAAAAA&#10;AAAAAAAAAFtDb250ZW50X1R5cGVzXS54bWxQSwECLQAUAAYACAAAACEAWvQsW78AAAAVAQAACwAA&#10;AAAAAAAAAAAAAAAfAQAAX3JlbHMvLnJlbHNQSwECLQAUAAYACAAAACEA4cx/98MAAADdAAAADwAA&#10;AAAAAAAAAAAAAAAHAgAAZHJzL2Rvd25yZXYueG1sUEsFBgAAAAADAAMAtwAAAPcCAAAAAA==&#10;">
                        <v:imagedata r:id="rId45" o:title=""/>
                      </v:shape>
                      <v:shape id="Text Box 4008" o:spid="_x0000_s1381"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8DexAAAAN0AAAAPAAAAZHJzL2Rvd25yZXYueG1sRE/Pa8Iw&#10;FL4P/B/CG+wyZuJWRKpRRDbYdhGrl90ezbOpa15Kkmr33y+HwY4f3+/VZnSduFKIrWcNs6kCQVx7&#10;03Kj4XR8e1qAiAnZYOeZNPxQhM16crfC0vgbH+hapUbkEI4larAp9aWUsbbkME59T5y5sw8OU4ah&#10;kSbgLYe7Tj4rNZcOW84NFnvaWaq/q8Fp2Bdfe/s4nF8/t8VL+DgNu/mlqbR+uB+3SxCJxvQv/nO/&#10;Gw2FUnlufpOfgFz/AgAA//8DAFBLAQItABQABgAIAAAAIQDb4fbL7gAAAIUBAAATAAAAAAAAAAAA&#10;AAAAAAAAAABbQ29udGVudF9UeXBlc10ueG1sUEsBAi0AFAAGAAgAAAAhAFr0LFu/AAAAFQEAAAsA&#10;AAAAAAAAAAAAAAAAHwEAAF9yZWxzLy5yZWxzUEsBAi0AFAAGAAgAAAAhAI67wN7EAAAA3QAAAA8A&#10;AAAAAAAAAAAAAAAABwIAAGRycy9kb3ducmV2LnhtbFBLBQYAAAAAAwADALcAAAD4AgAAAAA=&#10;" stroked="f">
                        <v:textbox style="mso-fit-shape-to-text:t" inset="0,0,0,0">
                          <w:txbxContent>
                            <w:p w14:paraId="57132CD0"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G</w:t>
                              </w:r>
                            </w:p>
                          </w:txbxContent>
                        </v:textbox>
                      </v:shape>
                      <w10:wrap type="square"/>
                    </v:group>
                  </w:pict>
                </mc:Fallback>
              </mc:AlternateContent>
            </w:r>
          </w:p>
          <w:p w14:paraId="6DD14BB3" w14:textId="77777777" w:rsidR="0059538A" w:rsidRPr="008F328C" w:rsidRDefault="0059538A" w:rsidP="008F328C">
            <w:pPr>
              <w:pStyle w:val="a3"/>
              <w:numPr>
                <w:ilvl w:val="0"/>
                <w:numId w:val="141"/>
              </w:numPr>
              <w:rPr>
                <w:b/>
                <w:lang w:val="pl-PL"/>
              </w:rPr>
            </w:pPr>
            <w:r w:rsidRPr="008F328C">
              <w:rPr>
                <w:rFonts w:eastAsia="Times New Roman"/>
                <w:b/>
                <w:bCs/>
                <w:lang w:val="pl-PL"/>
              </w:rPr>
              <w:t>Oczyścić miejsce wstrzyknięcia</w:t>
            </w:r>
          </w:p>
          <w:p w14:paraId="115211A2" w14:textId="77777777" w:rsidR="0059538A" w:rsidRPr="008F328C" w:rsidRDefault="0059538A" w:rsidP="00ED6A7B">
            <w:pPr>
              <w:pStyle w:val="a3"/>
              <w:rPr>
                <w:lang w:val="pl-PL"/>
              </w:rPr>
            </w:pPr>
          </w:p>
          <w:p w14:paraId="147B3438" w14:textId="77777777" w:rsidR="0059538A" w:rsidRPr="008F328C" w:rsidRDefault="0059538A" w:rsidP="00ED6A7B">
            <w:pPr>
              <w:pStyle w:val="a3"/>
              <w:ind w:left="4300" w:hanging="250"/>
              <w:rPr>
                <w:lang w:val="pl-PL"/>
              </w:rPr>
            </w:pPr>
            <w:r w:rsidRPr="008F328C">
              <w:rPr>
                <w:rFonts w:eastAsia="Times New Roman"/>
                <w:b/>
                <w:bCs/>
                <w:lang w:val="pl-PL"/>
              </w:rPr>
              <w:t>a</w:t>
            </w:r>
            <w:r w:rsidRPr="008F328C">
              <w:rPr>
                <w:rFonts w:eastAsia="Times New Roman"/>
                <w:lang w:val="pl-PL"/>
              </w:rPr>
              <w:t>. Oczyścić miejsce wstrzyknięcia gazikiem nasączonym alkoholem, okrężnym ruchem.</w:t>
            </w:r>
          </w:p>
          <w:p w14:paraId="558EFCF1" w14:textId="77777777" w:rsidR="0059538A" w:rsidRPr="008F328C" w:rsidRDefault="0059538A" w:rsidP="00ED6A7B">
            <w:pPr>
              <w:pStyle w:val="a3"/>
              <w:ind w:left="4387" w:hanging="337"/>
              <w:rPr>
                <w:lang w:val="pl-PL"/>
              </w:rPr>
            </w:pPr>
            <w:r w:rsidRPr="008F328C">
              <w:rPr>
                <w:rFonts w:eastAsia="Times New Roman"/>
                <w:b/>
                <w:bCs/>
                <w:lang w:val="pl-PL"/>
              </w:rPr>
              <w:t>b.</w:t>
            </w:r>
            <w:r w:rsidRPr="008F328C">
              <w:rPr>
                <w:rFonts w:eastAsia="Times New Roman"/>
                <w:lang w:val="pl-PL"/>
              </w:rPr>
              <w:t xml:space="preserve"> Pozwolić, żeby skóra wyschła przed wstrzyknięciem.</w:t>
            </w:r>
          </w:p>
          <w:p w14:paraId="698A9705" w14:textId="77777777" w:rsidR="0059538A" w:rsidRPr="008F328C" w:rsidRDefault="0059538A" w:rsidP="00ED6A7B">
            <w:pPr>
              <w:pStyle w:val="a3"/>
              <w:rPr>
                <w:lang w:val="pl-PL"/>
              </w:rPr>
            </w:pPr>
          </w:p>
          <w:p w14:paraId="04D0831F" w14:textId="77777777" w:rsidR="0059538A" w:rsidRPr="008F328C" w:rsidRDefault="0059538A" w:rsidP="00ED6A7B">
            <w:pPr>
              <w:pStyle w:val="a3"/>
              <w:rPr>
                <w:lang w:val="pl-PL"/>
              </w:rPr>
            </w:pPr>
          </w:p>
          <w:p w14:paraId="4E42E9BE" w14:textId="77777777" w:rsidR="0059538A" w:rsidRPr="008F328C" w:rsidRDefault="0059538A" w:rsidP="00ED6A7B">
            <w:pPr>
              <w:rPr>
                <w:rFonts w:ascii="Times New Roman" w:hAnsi="Times New Roman" w:cs="Times New Roman"/>
                <w:lang w:val="pl-PL"/>
              </w:rPr>
            </w:pPr>
            <w:r w:rsidRPr="008F328C">
              <w:rPr>
                <w:rFonts w:ascii="Times New Roman" w:eastAsia="맑은 고딕" w:hAnsi="Times New Roman" w:cs="Times New Roman"/>
                <w:lang w:val="pl-PL"/>
              </w:rPr>
              <w:t>•</w:t>
            </w:r>
            <w:r w:rsidRPr="008F328C">
              <w:rPr>
                <w:rFonts w:ascii="Times New Roman" w:eastAsia="Calibri" w:hAnsi="Times New Roman" w:cs="Times New Roman"/>
                <w:lang w:val="pl-PL"/>
              </w:rPr>
              <w:t xml:space="preserve"> </w:t>
            </w:r>
            <w:r w:rsidRPr="008F328C">
              <w:rPr>
                <w:rFonts w:ascii="Times New Roman" w:eastAsia="Times New Roman" w:hAnsi="Times New Roman" w:cs="Times New Roman"/>
                <w:b/>
                <w:bCs/>
                <w:lang w:val="pl-PL"/>
              </w:rPr>
              <w:t xml:space="preserve">Nie </w:t>
            </w:r>
            <w:r w:rsidRPr="008F328C">
              <w:rPr>
                <w:rFonts w:ascii="Times New Roman" w:eastAsia="Times New Roman" w:hAnsi="Times New Roman" w:cs="Times New Roman"/>
                <w:lang w:val="pl-PL"/>
              </w:rPr>
              <w:t xml:space="preserve"> dmuchać na miejsce wstrzyknięcia ani dotykać go ponownie przed podaniem wstrzyknięcia.</w:t>
            </w:r>
          </w:p>
        </w:tc>
      </w:tr>
    </w:tbl>
    <w:p w14:paraId="4C633A04" w14:textId="77777777" w:rsidR="0059538A" w:rsidRPr="008F328C" w:rsidRDefault="0059538A" w:rsidP="0059538A">
      <w:pPr>
        <w:spacing w:line="252" w:lineRule="exact"/>
        <w:rPr>
          <w:rFonts w:ascii="Times New Roman" w:hAnsi="Times New Roman" w:cs="Times New Roman"/>
          <w:lang w:val="pl-PL"/>
        </w:rPr>
      </w:pPr>
    </w:p>
    <w:p w14:paraId="15B58226" w14:textId="77777777" w:rsidR="0059538A" w:rsidRPr="008F328C" w:rsidRDefault="0059538A" w:rsidP="0059538A">
      <w:pPr>
        <w:spacing w:before="9" w:line="110" w:lineRule="exact"/>
        <w:rPr>
          <w:rFonts w:ascii="Times New Roman" w:hAnsi="Times New Roman" w:cs="Times New Roman"/>
          <w:sz w:val="20"/>
          <w:szCs w:val="20"/>
          <w:lang w:val="pl-PL"/>
        </w:rPr>
      </w:pPr>
    </w:p>
    <w:tbl>
      <w:tblPr>
        <w:tblStyle w:val="ac"/>
        <w:tblW w:w="0" w:type="auto"/>
        <w:tblLook w:val="04A0" w:firstRow="1" w:lastRow="0" w:firstColumn="1" w:lastColumn="0" w:noHBand="0" w:noVBand="1"/>
      </w:tblPr>
      <w:tblGrid>
        <w:gridCol w:w="9209"/>
      </w:tblGrid>
      <w:tr w:rsidR="0059538A" w:rsidRPr="00A5286D" w14:paraId="27D0BE7A" w14:textId="77777777" w:rsidTr="00ED6A7B">
        <w:trPr>
          <w:trHeight w:val="5669"/>
        </w:trPr>
        <w:tc>
          <w:tcPr>
            <w:tcW w:w="9209" w:type="dxa"/>
          </w:tcPr>
          <w:p w14:paraId="6F4EA559" w14:textId="77777777" w:rsidR="0059538A" w:rsidRPr="008F328C" w:rsidRDefault="0059538A" w:rsidP="00ED6A7B">
            <w:pPr>
              <w:ind w:left="104"/>
              <w:rPr>
                <w:rFonts w:ascii="Times New Roman" w:eastAsia="Times New Roman" w:hAnsi="Times New Roman" w:cs="Times New Roman"/>
                <w:b/>
                <w:bCs/>
                <w:spacing w:val="-1"/>
                <w:lang w:val="pl-PL"/>
              </w:rPr>
            </w:pPr>
          </w:p>
          <w:p w14:paraId="372A345B" w14:textId="77777777" w:rsidR="0059538A" w:rsidRPr="008F328C" w:rsidRDefault="0059538A" w:rsidP="00ED6A7B">
            <w:pPr>
              <w:pStyle w:val="Default"/>
              <w:rPr>
                <w:rFonts w:ascii="Times New Roman" w:hAnsi="Times New Roman" w:cs="Times New Roman"/>
                <w:lang w:val="pl-PL"/>
              </w:rPr>
            </w:pPr>
          </w:p>
          <w:p w14:paraId="6927459F" w14:textId="205F9D8E" w:rsidR="0059538A" w:rsidRPr="008F328C" w:rsidRDefault="0059538A" w:rsidP="00ED6A7B">
            <w:pPr>
              <w:pStyle w:val="Default"/>
              <w:rPr>
                <w:rFonts w:ascii="Times New Roman" w:hAnsi="Times New Roman" w:cs="Times New Roman"/>
                <w:lang w:val="pl-PL"/>
              </w:rPr>
            </w:pPr>
            <w:r w:rsidRPr="008F328C">
              <w:rPr>
                <w:rFonts w:ascii="Times New Roman" w:hAnsi="Times New Roman" w:cs="Times New Roman"/>
                <w:noProof/>
                <w:lang w:eastAsia="ko-KR"/>
              </w:rPr>
              <mc:AlternateContent>
                <mc:Choice Requires="wpg">
                  <w:drawing>
                    <wp:anchor distT="0" distB="0" distL="114300" distR="114300" simplePos="0" relativeHeight="251658380" behindDoc="0" locked="0" layoutInCell="1" allowOverlap="1" wp14:anchorId="68EDFAFA" wp14:editId="5DCED6D5">
                      <wp:simplePos x="0" y="0"/>
                      <wp:positionH relativeFrom="column">
                        <wp:posOffset>48895</wp:posOffset>
                      </wp:positionH>
                      <wp:positionV relativeFrom="paragraph">
                        <wp:posOffset>76835</wp:posOffset>
                      </wp:positionV>
                      <wp:extent cx="2370455" cy="3054350"/>
                      <wp:effectExtent l="0" t="0" r="0" b="0"/>
                      <wp:wrapSquare wrapText="bothSides"/>
                      <wp:docPr id="4009" name="그룹 4009"/>
                      <wp:cNvGraphicFramePr/>
                      <a:graphic xmlns:a="http://schemas.openxmlformats.org/drawingml/2006/main">
                        <a:graphicData uri="http://schemas.microsoft.com/office/word/2010/wordprocessingGroup">
                          <wpg:wgp>
                            <wpg:cNvGrpSpPr/>
                            <wpg:grpSpPr>
                              <a:xfrm>
                                <a:off x="0" y="0"/>
                                <a:ext cx="2365390" cy="3054350"/>
                                <a:chOff x="2532" y="0"/>
                                <a:chExt cx="2365390" cy="3054350"/>
                              </a:xfrm>
                            </wpg:grpSpPr>
                            <pic:pic xmlns:pic="http://schemas.openxmlformats.org/drawingml/2006/picture">
                              <pic:nvPicPr>
                                <pic:cNvPr id="4010" name="그림 4010"/>
                                <pic:cNvPicPr>
                                  <a:picLocks noChangeAspect="1"/>
                                </pic:cNvPicPr>
                              </pic:nvPicPr>
                              <pic:blipFill>
                                <a:blip r:embed="rId167" cstate="print">
                                  <a:extLst>
                                    <a:ext uri="{28A0092B-C50C-407E-A947-70E740481C1C}">
                                      <a14:useLocalDpi xmlns:a14="http://schemas.microsoft.com/office/drawing/2010/main" val="0"/>
                                    </a:ext>
                                  </a:extLst>
                                </a:blip>
                                <a:srcRect/>
                                <a:stretch/>
                              </pic:blipFill>
                              <pic:spPr bwMode="auto">
                                <a:xfrm>
                                  <a:off x="2532" y="0"/>
                                  <a:ext cx="2365390" cy="2907030"/>
                                </a:xfrm>
                                <a:prstGeom prst="rect">
                                  <a:avLst/>
                                </a:prstGeom>
                                <a:noFill/>
                                <a:ln>
                                  <a:noFill/>
                                </a:ln>
                              </pic:spPr>
                            </pic:pic>
                            <wps:wsp>
                              <wps:cNvPr id="4011" name="Text Box 4011"/>
                              <wps:cNvSpPr txBox="1"/>
                              <wps:spPr>
                                <a:xfrm>
                                  <a:off x="1612900" y="2908300"/>
                                  <a:ext cx="719758" cy="146050"/>
                                </a:xfrm>
                                <a:prstGeom prst="rect">
                                  <a:avLst/>
                                </a:prstGeom>
                                <a:solidFill>
                                  <a:prstClr val="white"/>
                                </a:solidFill>
                                <a:ln>
                                  <a:noFill/>
                                </a:ln>
                              </wps:spPr>
                              <wps:txbx>
                                <w:txbxContent>
                                  <w:p w14:paraId="5BD4C46D"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EDFAFA" id="그룹 4009" o:spid="_x0000_s1382" style="position:absolute;margin-left:3.85pt;margin-top:6.05pt;width:186.65pt;height:240.5pt;z-index:251658380;mso-position-horizontal-relative:text;mso-position-vertical-relative:text" coordorigin="25" coordsize="236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EfLggMAABQIAAAOAAAAZHJzL2Uyb0RvYy54bWycVd1u2zYUvh+wdyB4&#10;38iy4/wIUQovWYICWWs0GXpNU5RFVCI5kraUPdBeYbvYE20v0Y+U5MxOina5sHxIHh5+5zvfIS/e&#10;dk1NtsI6qVVO06MJJUJxXUi1zumvDzdvzihxnqmC1VqJnD4KR99e/vjDRWsyMdWVrgthCYIol7Um&#10;p5X3JksSxyvRMHekjVBYLLVtmMfQrpPCshbRmzqZTiYnSattYazmwjnMXveL9DLGL0vB/YeydMKT&#10;OqfA5uPXxu8qfJPLC5atLTOV5AMM9goUDZMKh+5CXTPPyMbKZ6Eaya12uvRHXDeJLkvJRcwB2aST&#10;g2xurd6YmMs6a9dmRxOoPeDp1WH5++2tNfdmacFEa9bgIo5CLl1pm/APlKSLlD3uKBOdJxyT09nJ&#10;fHYOZjnWZpP58Ww+kMorMB/2TeezKSVPW3n18zc2J+PZyR4iI3mG30ADrGc0fFsu2OU3VtAhSPNd&#10;MRpmP2/MG1TMMC9Xspb+MaoPtQmg1HYp+dL2AzC6tEQWOT1GRSlRrIHu//nzr3//+JvEKTAddgXH&#10;fhsLad1p/tkRpa8qptZi4Qy0i44KCk323eNw78xVLc2NrOtQrWAP2UHnBzp5gaBeg9eabxqhfN9U&#10;VtRIVCtXSeMosZloVgIZ2XdFilKjoT1yMlYq33eQs/wj8MZuct4Kz6sR9xO2kIWD0siq/UUXCMA2&#10;XseuOVDaoWJeFNv0fHI6mUWx7fQCIq3zt0I3JBgADFDxBLa9cwEeXEeXQJbSgbYIu1Z7E3AMM5Hr&#10;AHowkUPoE1xWbmQZo2c8/69+vK+YEUAZwu6pB1z36nkIDPyku6CfqIjBNfQt8R1WBqWE+R7t2EK7&#10;9k1PUlAGQaITYZzNYMfER3ZP0/PTOa7r0Mnp8cmkb+TXc+t0LYtRlYH0q9qSLcNF3FbSiyhslu15&#10;faUGT1kFy3erLvZXerbjYqWLR1BhNWqOFJ3hNxIn3jHnl8ziRsckXin/AZ+y1m1O9WBRUmn7+0vz&#10;wR+FxSolLV6InLrfNizcHfU7hZIjpB8NOxqr0VCb5kojV9QQaKKJDdbXo1la3XzC47UIp2CJKY6z&#10;cupH88r37xQePy4Wi+jUX0F36t7g4kqjsgOzD90nZs2geY+CvtejqFh2IP3eN2jdmQUa8EbGvgjM&#10;9ixC6WEAgUcrPj2w9t62/46j19NjfvkFAAD//wMAUEsDBAoAAAAAAAAAIQCRc8eK7hoBAO4aAQAU&#10;AAAAZHJzL21lZGlhL2ltYWdlMS5wbmeJUE5HDQoaCgAAAA1JSERSAAACsgAAA1AIAgAAAFvgG+oA&#10;AAABc1JHQgCuzhzpAAAABGdBTUEAALGPC/xhBQAAAAlwSFlzAAASdAAAEnQB3mYfeAAA/6VJREFU&#10;eF7snQlcVOe5/0kEZJF12DdBdmURRVAMgkZx3zAxURNNm5ikiW2ztGnu/femSdt7b5reNElj06Ym&#10;vUl6zWLdF9wVRFEQFxbZEWXfkUFZxMT/w7yvhzNnFs7MnJk5M/N8P3zwfc8gzHLOeX/vsz50//59&#10;KwRBEARBECurh+m/CIIgCIJYPCgLEARBEAShoCxAEARBEISCsgBBEARBEArKAgRBEARBKCozEcKC&#10;Q+gIQRAEQRBzp+ZGHXxHawGCIAiCIBSUBQiCIAiCUFAWIAiCIAhC4RVbQPwNCIIgCIKYE4prPVoL&#10;EARBEAShoCxAEARBEISCsgBBEARBEArKAgRBEARBKCgLEARBEAShoCxAEARBEISCsgBBEARBEArK&#10;AgRBEARBKCgLEARBEAShoCxAEARBEISCsgBBEARBEArKAgRBEARBKCgLEARBEAShoCxAEARBEISC&#10;sgBBEARBEArKAgRBEARBKCgLEARBEAShoCxAEARBEISCsgBBEARBEArKAgRBEARBKCgLEARBEASh&#10;oCxAEARBEISCsgBBEARBEArKAgRBEARBKCgLEARBEAShoCxAEARBEISCsgBBEARBEArKAgRBEARB&#10;KCgLEARBEAShoCxAEARBEISCsgBBEARBEArKAgRBEARBKCgLEARBEAShoCxAEARBEISCsgBBEARB&#10;EArKAgRBEARBKCgLEARBEAShoCxAEARBEISCsgBBEARBEArKAgRBEARBKCgLEARBEAShoCxAEARB&#10;EISCsgBBEARBEArKAgRBEARBKCgLEARBEAShoCxAEARBEISCsgBBEARBEArKAgRBEARBKCgLEARB&#10;EAShoCxAEARBEISCsgBBEARBEArKAgRBEARBKCgLEARBEAShoCxAEARBEISCsgBBEARBEArKAgRB&#10;EARBKCgLEARBEAShoCxAEARBEISCsgBBEARBEArKAgRBEARBKCgLEARBEAShoCxAEARBEISCsgBB&#10;EARBEArKAgRBEARBKCgLEARBEAShoCxAEARBEISCsgBBEARBEArKAgRBEARBKCgLEARBEAShoCxA&#10;EARBEISCsgBBEARBEArKAgRBEARBKCgLEARBEAShoCxAEARBEISCsgBBEARBEArKAgRBEARBKCgL&#10;EARBEAShoCxAEARBEISCsgBBEARBEArKAgRBEARBKCgLEARBEAShoCxAEARBEISCsgBBEARBEArK&#10;AgRBEARBKCgLEARBEAShoCxAEARBEISCsgBBEARBEArKAgRBEARBKCgLEARBEAShoCxAEARBEISC&#10;sgBBEARBEArKAgRBEARBKCgLEARBEAShoCxAEARBEISCsgBBEARBEArKAgRBEARBKCgLEARBEASh&#10;oCxAEARBEISCsgBBEARBEArKAgRBEARBKCgLEARBEAShoCxAEARBEISCsgBBEARBEArKAgRBEARB&#10;KCgLEETv/PSFF+gIQUyWf3v9F53t7XSCmC8oCxBEv/zoqaeOnThJJwhispSUlqx97DFUBmYPygIE&#10;0SOgCfLOX6ATBDFxmpqaURmYPSgLEERfoCZAzA9UBmYPygIE0QuoCRBzBZWBeYOyAEGEBzUBYt6g&#10;MjBjUBYgiMCgJkAsAVQG5grKAgQREtQEiOWAysAsQVmAIIKBmgCxNFAZmB8oCxBEGFATIJYJKgMz&#10;A2UBgggAagLEkkFlYE6gLEAQXUFNgCCoDMwGlAUIohOoCRCEgMrAPEBZgCDag5oAQdigMjADUBYg&#10;iJagJkAQRVAZmDooCxBEG1ATIIgqUBmYNCgLEERjUBMgiHpQGZguKAsQRDNQEyAIH1AZmCgoCxBE&#10;A1ATIAh/UBmYIigLEIQvqAkQRFNQGZgcKAsQhBeoCRBEO1AZmBYoCxBkbFATIIguoDIwIVAWIMgY&#10;oCZAEN1BZWAqoCxAEHWgJkAQoUBlYBKgLEAQlaAmQBBhQWUgflAWIIhyUBMgiD5AZSByHrp//z4d&#10;yhMWHEJHVlY1N+roCEEsA8E1QXhYKB1ZGG/86s058+bSielz5tTp9/7wLp1YGA1NTYMDg3SiM/7+&#10;fjt27vTw8qJzxEgorvUoCxCEC9oJBOR//vje8sxMOjF9Duze/YtfvkEniG6gMhADims9OhEQRA7U&#10;BAhiGNCbIE5QFiDIKKgJEMSQoDIQISgLEISCmgBBDA8qA7GBsgBBRkBNgCDGApWBqEBZgCCoCRDE&#10;yKAyEA8oCxBLBzUBgogBVAYiAWUBYtGgJkAQ8YDKQAygLEAsF9QECCI2UBkYHZQFiIWCmgBBxAkq&#10;A+OCsgCxRFATIIiYQWVgRFAWIBYHagIEET+oDIwFygLEskBNgCCmAioDo4CyALEgfvrCC6gJEMSE&#10;IMqAThCDgLIAsSAef+JJO3s7OkEQxBTIXL2ajhCDgLIAsSDmzJv78Z8/RmWAIKbCT7e8vOXVV+kE&#10;MQgoCxDLApUBgpgKqAmMAsoCxOJAZYAg4gc1gbFAWYBYIqgMEETMoCYwIigLEAsFlQGCiBPUBMYF&#10;ZQFiuaAyQBCxgZrA6KAsQCwaVAYIIh5QE4gBlAWIpYPKAEHEAGoCkYCyAEFQGSCIkUFNIB5QFiDI&#10;CKgMEMRYoCYQFSgLEISCygBBDA9qArGBsgBBRiHKgE4QBNEzqAlECMoCBJEDlAHcqugEQRC9gZpA&#10;nDx0//59OpQnLDiEjqysam7U0RGCWAZbP/jg461/oRMhyFy1io4sjKd/9MzkmBg6MX3KSkv/+b9f&#10;0ImFkZ2T093TQyc6g5pAJCiu9SgLEEQ5wiqDytoaOkIQ02TZwoXVNbV0ohuoCcSD4lqPTgQEUQ7c&#10;ttCbgCCCg5pA5KAsQBCVoDJAEGFBTSB+UBYgiDpQGSCIUKAmMAlQFiDIGKAyQBDdQU1gKqAsQJCx&#10;QWWAILqAmsCEQFmAILxAZYAg2oGawLRAWYAgfEFlgCCagprA5EBZgCAagMoAQfiDmsAUQVmAIJqB&#10;ygBB+ICawERBWYAgGoPKAEHUg5rAdEFZgCDagMoAQVSBmsCkQVmAIFqCygBBFEFNYOqgLEAQ7UFl&#10;gCBsUBOYAdhBEUF0hU+vReygiJg6Y3ZQRE1gABobmwYGBsh4oL+/vb2NjLXmxc3P0xE2VkYQARlT&#10;GaAsQEwd9bIANYGwdHd1NzY2wqrfK+273dfXd/v2nf479DFB2fbJX+kIZQGCCIt6ZYCyADF11MgC&#10;1ASCUF1dc/NGXVNTc1dPz/DwXXpUzyjKAowtQBBhwDgDxDJBTaAL/QMDBfkF33z9zZ8++HD3nt2X&#10;rlxpbW8zmCZQCsoCBBEMVAaIpYGaQDu6u7pzc3P/vm3bxx9/fDonu76xwbhSgA06ERBEYJR6E9CJ&#10;gJg6ik4E1ASa0j8wUFpcUl5e3qpJqKC1tY2LizMMPD28yBF3ibutjQ0ZA7bjbT08vemEH50dbXeH&#10;RoTIhieeIEcAjC1AEH2hqAxQFiCmDkcWoCbQiOrqmuLi4hp+9wFnJ2dPT083d/cJjo5+AYH0qH6Y&#10;OzuFjlAWIIhe4SgDlAWIqcOWBagJeNI/MHCpsLCoqHjMPAI7O3t/Pz9vHx8fP3+78ePpUf2DsgBB&#10;DAdbGaAsQEwdRhagJuADT/OAs5PzxJAQXx9vTb0AQoGyAEEMCqMMUBYgpg6RBagJxqQgv+BqcVFP&#10;Tw+dK8POzj48IiJ4YrCT80jQgBFBWYAghoYoA5QFiKkDsmDRokWoCVTR3dV9+fKl4tJranIKrK1t&#10;fH19o6OjjGUbUARlAYIYgX/+4x9P//jHdIIgpsmZU6fnzJtLJwgLEASns7PV+wskEklIyKSIyCg6&#10;Fw0oCxAEQRBEGKqra/LOnVOTbShC8wAHlAUIgiAIoisF+QUFFy+qyS8g0QPhEZGGTCvQApQFCIIg&#10;CKIl/QMDeWfPVlRWqREEEokkMjIqOGQSnYsblAUIgiAIojHdXd3nL5yvrKpWE1EYGBg0dWqC0ZML&#10;NAJlAYIgCIJoQGNjU35+vpqIQmtrm7DQsMmxsSL3FygFZQGCIAiC8GLMiEI7O/uYmJig4BBTFAQE&#10;lAUIgiAIMgZjRhSKNuFQU1AWIAiCIIhy+mURhepLEnl7+0RHRem7g5HBQFmAIAiCIFz4lCQyxYjC&#10;MUFZgCAIgiCjFBcVX7lyRX1JItONKBwTlAUIgiAIwqvlsRlEFI4JygIEQRDEouHT8ti0ShLpAsoC&#10;BEEQxBLhYx4AAgODxNzCQHBQFiAIgiCWBR/zgJ2dffDEYHMNIFADygIEQRDEIiDliuvqbqg3D5hN&#10;BQLtQFmAIAiCmDOgBq6VXSuvqOjp6aGHlCH+lseGAWUBgiAIYoYQNXC99rqaVEOCs5NzRGSkeecX&#10;8AdlAYIgCGI+8LQNAGgeUArKAgRBEMTkaWxsKiq6OmbcAMHb2ycwMNBiowfUg7IAQRAEMVWKi4qr&#10;a2paWlr4qAFnJ+eJISHBE4PNrFyxsKAsQBAEQUwMkmF4s75eTQcjBlQDGoGyAEEQBDENNPIUoBrQ&#10;DpQFCIIgiKjhH0UIeHv7eHl7oxrQGpQFY3Ah/2J2zpnqqsqcE8fpIQXS5i8Ij4hcv+6JoMAAeghB&#10;EATRmeKi4mvXrtU3NtC5CkhOgbe3NyYZ6g7KApX09kp/8/Y7B/fspnMevPLGm1teeoFOEARBEK3o&#10;7uq+fPlSRWWVemcBUQOBgYGW0MHIYKAsUA5oguc2P3+lIJ/OebNu46bf/fZtOkEQBEE0gad5ADMM&#10;9QfKAuU8vvZJtiYICY/w9fenE3kG+vuvXixgv2nPvbTlzTdepxMEQRBkLPr5NTPEcoQGAGWBEr74&#10;avvv3/o1Gbu6SzY+++zctDlkqsgf/+f9vOzTGcuWHzt4gB6ysvq/73bMTJ5BJwiCIIgKGhub8vPz&#10;x2xm6O/nN3lKDEYRGgBFWfAwmVgyuWdy6MjK6pVfvqFGE1TXXgdNkJI+9ycvvvCzX75Bj1pZffvt&#10;t3SEIAiCKKO4qPjLL77c/vV2NZrA29snJWV25prHkmeloCYwFpYuC3p7pUzSQcbS5fGxU8hYKXnn&#10;zsH3jIWL4Duoh5DwCNlhq4N7dsPvIWMEQRCEoX9goCC/YOvWvxw+ekRVEyNra5uoyOjly1c+On8B&#10;hhMaHUuXBfkXC+nIyipqcjQdqaDoyhX4zkiH5atWkQFQXlFJRwiCIIgsv+DE8eN/+9unp3OyVcUQ&#10;SCSSxMQZa594clpiIpoHRIKly4LLl0dWekJcbAwdqaCuuiolfS6dWFkFBIzWLSi8dJmOEARBLBsQ&#10;BLt27d72+WeXrlxRVa44MDAoIyNj4aIlmF8gNixdFlwqvEgGIeEREnd3MlZKde11+B4cMhqJGR6K&#10;xi4EQZBRqqtrvvziSxAEqgIIiL8g87G1qXPSsMGxOLFoWdDbK2XyEuMTEshAPfb29nQkz5XLl+gI&#10;QRDE8iABBLv37FYVQGBnZ8/4CzDhUMxYtCxgBxZEamXIYvsUEARBLI3+gYETx4//6YMP1QcQpKel&#10;Z655DP0FJoFFy4Kqqmo6srIK0K3BQWPDGFW6EARBzInGxqZdu3Z//PHH6gMIli9fuXDREr+AQHoI&#10;ET0WLQsYy7+ruyTAz5eMNYIJNaitrCADBEEQ86Ygv0B9BQJ2AAHmF5gcFi0LmIoFk+PiyEBTVIUa&#10;IAiCmBkk4XDr1r+czslWH0CwYtVqDCAwXSxXFlwrK6cjK6voyZPpSDVEAXR1dpIpwdHRkY5kTZnp&#10;CEEQxIwoLir+5utvSMKhmgACUqAwIjIKBYFJY7myoKJyNLAgMjKSjlRDvAzt7e1kSmCXLkAQBDEn&#10;uru6Dx06RAoUqmlyyFQgwAKF5oHlyoLqala8ob8fHelAU3MLHSEIgpgs/QMDubm5f9+2bdvnn5Ve&#10;u6bKPGBnZ48VCMwSC5YFVbRccUh4hL2dHRmrB36yrLiYTmSw9URLC8oCBEFMFdK84Juvv/n444/z&#10;zp/v6emhDyhAKhZnrnkMAwjMEsuVBUy8oa+/PxmMCfzkre4uOpHB1hO3b9+mIwRBEBOhu6ub2AZA&#10;DZzOyVbjLLC2tgmdFEoSDrECgRljobKgvqGRjvjFGxK8vLzge6O8s8DVXUIGjPkBQRBEzPQPDBQX&#10;FZO4gW2ff6beNgB4e/uQAoXY79gSsFBZUFFZRUeyeBk6GguJhwd8HxgYIFOC1smNCIIghqS6ugak&#10;ADEMHD56RE3cAMHZyTk2Lp70O0bzgOVgobKAXd9QIlHXIYkNERCVlXJWgQmOE8iA8UogCIKIh+Ki&#10;4l27dv/pgw9379kNUkC9YQCws7MnzoJlK1bGxsahecDSsFBZUFM9ai3gX9+QCAhO6YLAiXyNDQiC&#10;IAaDFCcGNXD46JGa2hpV9YkZYIcTGxefkZGRueYxdBZYMhYqC/r6+sggbnoiGfBBaekCNljRCEEQ&#10;o1NcVMwUJx5TDQBubu6LFi5asWp1bGwcphoiFioLGIO/j49mrRBARuRln6YTGXxKISEIghiA6uoa&#10;Un1IVXFigkQicXcbsX1aW9ukpMxevGSpu4cneQhBLFEWsNMQNHUBTAoNhe/sZAR2W4TCS5fpCEEQ&#10;xIA0NjZ9+cWXu/fsVhVFCAogMDAoMXHGwoWLhu8Od/d0Ozs5L16MpQkRLpYoC5pZizr/NARC0MSJ&#10;8L2RJSzYoQlYugBBEMNz4vjx7V9vV2UhYNILU+ekDd29e/LkSWmfNCoyetmKlRhAgChiibKAnZ3o&#10;4KBZC0TSBKFSvo0yli5AEMQoNDY2/X3btktXrtA5C6b6EEkv7JNKjx7JKikucrC3z8jImJaoQVgV&#10;YlFYoixg7+nDQzUzoJGfv15bS6YEpnRBY4PKAmEIgiDCUpBfsONf/1JMOARBEBUZvWLVaiah4HJh&#10;4YED+7q6uoiRAOMKETVYoiy4cvkSGTC7fI2Im55YfKlwYHCQzq2sgkNCyKBW3oqAIAiiJ0ATnM7J&#10;Vkw0IIKA6VbQ3Niwe9fOispyiUSCRgKED5YoC6RSKRloV6AwRva/qqpHDQYesuqHBMxRRBBE35w4&#10;fhw0AZ08wNnJmSz8RBAQr0F2Tva9e/dGIg0XLUEjAcIHi7QWFOSTAelxoCkRESMZiVWsMAIScEDA&#10;9soIguiVgvwCxWACtncABEHumRziNQidFLpi1WosXYzwx+JkQW8vNRUApMeBpkSEj+QolrI6LGN7&#10;ZQRBDAPxHdCJDFJ7gHgHGEHQ0FAfGBi0fPnK5Fkp2PsY0QiLkwXlFaO7fA+JNrLA3s4uJX1u8aXC&#10;ru5u5khIeAQZM4ELCIIgwtLY2HQ2L49OZIAmmDdvbnDIpM6ONkYQSCSS9LT01DlpmH+IaIHFyQLp&#10;g7LHgMRDm5BDIHHGDPhezQov8PX3J4PiK1jRyARoampmvughBBE9WYez2DGGoAlSU1O7u3sO7t93&#10;7NgxxkKwcNESv4BA+kMIoiEP3b9/nw7lCQum0fVAzY06OjJ9tn7y6YfvvUvGn331lcSdb/tENo3N&#10;LT99fnPG0uU/+ckL5MjBrMOff/IXMt6XlTVlcjQZI8bl7tBQR2dXW2tLb2/v8PBwZxc18ChibT3O&#10;1cXF2dnZzc3dz9/fyYk2xkQQkXDi+HFOSIGbmxvJTrSzsw+eGBweEYHmAURT5s5OoaMHa73FyYJ3&#10;33v/s0+2kvGegwfJQAtee/W1uuqqr3futLezg2l17fU3fv4z8tAfPvhozeoVZIwYhRt1N1pbWzq7&#10;uqTSUeOQRjjY2/v4eE+JiUV9gIiB/oGBv/3tU046IqgBT0/P0EmT0DZgxjQ3Nty+c6enu/tW762u&#10;ri740EH/hUdEChUygrLA6tnnnid9klzdJf/71ZfkoBb8a9fur//3H7/6j9/MTB5xKAwMDq5/7DHy&#10;0LqNm37327fJGDEkoAYaGhtaWlru3fueHtKZwMCAqVMTUBwgxoVjKnCc4DQ7ZRYmHJoffbCVkfa2&#10;trb13OoZ6O+HCX1AgcDAoMDAQN1bWijKAktMUCRoV7SAYdasWfA9N/cMmdrb2cU/6NFckE8TIBHD&#10;0Nd3+8L58zt27Mg7f76hoVFATQDALzx8OKukpJTOEcTg9A8MFJdeoxMZqAnMg8GhoebGhpKS4vzz&#10;eUePZO347tsDB/Zl52RXVJa3tbWq0QRAQ0N9Xt45+C+5Z3Ju1F2nR4XA4qwFzOtKSZ/7y1+8Tsba&#10;QfwITIDCzt17tv/jc/IQhhcYhqam5qrKipZWdT1kGcaPt7V3cLCzHW9nP+L3YQPC4vsfvr/Vc4vO&#10;leEhcU9PT7fFXC/E4HCSEmGbmDonjU4Q04FYArp6evpv377Ve6u3V3rv3jB9TGesrW18fX21sB+g&#10;E2H0dT370svLliwmY+24kH/xD797Z9XaJzZtfBqmpWXl//HGL8lDv/7t75/ZuIGMEX0AguBaaYma&#10;EEKCRCJxcprg5u7h6ckrGbWn51ZPN1y2PV1dXfQQCwd7+0dSUz20TWBBEO345utv6htH+62kp6Vj&#10;MIH4aW5suDs83N3Vfaf/Tn//HaW3FE1xdnaRSnvpRDXe3j5e3t7BE4P5hKBauiyob2icl5pKxrrL&#10;goHBwZeef+FWdxcJPBwaGnpyzRryUEJS8r92fEvGIgQ2x1KpdPju3e5ueqaSQH0yBpydnW1tbWHg&#10;6DhhgpOTp4dEPLvkMQWB9bhxHh4ent7eoJ3pIc3pHxioqaxsbePaIaytx82b9ygqA8RgwKn48ccf&#10;04kszDBzDQ1jQkQCRwEIZQawt3dwdLD39PRyd3f38vKC2zIcbO/ouFZa2jwSQTX2nyBBqYGBgT5+&#10;/qpCFC1dFsD+/qkn1pIxEy2oCyTw8Ge/fGNu2hyYfvrp348c2E8eOpWbGxQ4WhTZWJAMvdt9fXfu&#10;3O7s7IRzV7vgfNgoSzwkXp5eRkzeAzVz9eqVhoZGOldAIpHA09NFDXDo6Ogsu1YyNCQX/o3KADEk&#10;1dU1u/fsphMrq9BJocmzRu/jiCEhXoDbcDPtu91zqwcWZmEdAR4SiYODo7u7m0QCOxtP9bkGNTU1&#10;DQ0NPPUB4Ozk7OLq6j2yX/JjWxFQFozKgvc++rOmXZUV6erufm7jxrjpie+8M5J6QNwK5CFj+RFg&#10;Mw0ioKenWyqV3urtFTb+juDs7BQeFh4ZNdIbwmBcvnSpprZW6cuxHjcuIDAgIGgiaBd6SDjuDt8r&#10;KbrKMQCiMkAMBicHISVltu7B54h6Ojva7g7dJcs/MQDcudM/ODhAHxYIIgIAPz8/Zxn0AQ3RVB8A&#10;1tY2Li7Onh5e7hL3Hz31FD1qmbKAXctIEFkA/OY3bxdfKiSBh+w0xdDIqKNHD5OxXuns7Orq7Gzv&#10;aO8F4aptmr4WwNIYFhoaExOjb/8CCJ2LBQX9A0quSSIIgieF2dpY00P64dq10qbGJjqRAS9/1cqV&#10;GIGI6Jtdu3bX1NbQiZXV8uUrsWaRIJCtPzH+w7Sjsx2+C7v7l+chpwkTAvz9/fz9dREBagB90NbW&#10;2tTcMjDQTw/xYNsnf6UjlAVMJSIdOZ1z5s9/fI/xI3z51T/37viOPKS/ukYgBepv3ujs7NSTPYA/&#10;sEGfOnVqcEgwnQvK3aGhy5cvX6+7QecsDCYIGBrq68vLy+lEhofEPWPhQjpBEP3w5RdftraPxris&#10;3zAS4IzwgWz6YdAqS1Yi+34YCBL9pwYPicTWxgZW1q7unrt3h2BrHh4WFhcfb7CeVVKptK7uentb&#10;W3tn15gqB2XBqCzQpcQhG04hZHa5Q2EDD2GNrKu70dzc1NHZqbUUmODoaG1r4+riAmeqk7MLHHFx&#10;dVW6st4dvtd76xacUiCo+/pu377dx3GxswkMDEhOShJ26wzS52xurlIjgY+3d9SUGIMJAobrtbWg&#10;x+lExvRp0wzsTEEsDbYsgMt27RNPkjGiSP75vFu9t/Rh8FcKfByuLs7EEeDu7m5nZ+fh6QnH4UZR&#10;eu0abNnt7R0iI8Ijo6KN2MSyvaOjpblJjUSwdFnAlDgEhJIFwI82boLvTM3EP/7P+3nZp8lY9wgD&#10;WJJv3Lhx8+YNLRwErm6uJE3fzd3D2trazc2VPqAVJHmvoaFeqT5wdnbKWLBAKGVw+dKlisoqOmEB&#10;siZ6SoyOL0QXiq9eZacnoCsB0TdsWSCRSBYuWkLGCMPg0FD9jbrS0lL9qQEPyUggkaen1/jxthKJ&#10;B1zyXjIFwAaeRnFRUXVNDay+IAhipkyZPHkyfUwcgETo7Ohoa2sbqZnwINERZQGVBbrXMmJDdIDS&#10;/ghuEskX//yndqWNKisqm5ubeNbqAazHjZvg7OTq4uLk7GJnZ6+/tRNOrbq6WsXiP4Iog7tDQ9nZ&#10;2Yr5h/DqgkNCJoWG0rmRuDt87/y5XLYwioqMmDZ9Op0giNCwZQFmJ3Lo7GgrL6+Q1TsXICCAJATa&#10;2ti4uLqpWf4VkUqlJSXFN27Ww9MAAQE3KrEJAqU0NjZ2dXW+/MKLdI6yQEBZQNonsmMY2REGoZFR&#10;O3Z85+LCN8Ckr+/2tdKS+oYGPp4C2D27uLk6OzlLPD31EYevBrgUy69du/e93JMEZbBs2TI60ZzO&#10;zq5Tp04qvnBXN9eY2DgDv0BVgCq6cvkSncgMBmvX0vQWBBEcjC1Q5Ebd9bbW1qbmZi3MA2TfTyz/&#10;MPDz8xs5OFY2oCpAEFy6dKm+oR7G8Jvj46cGBBg/L10jHpk5k44sUxYwL0rfsmBgcPD//du/11VT&#10;M/hzL215842x/xwsiuXlZWry8gkgY91c3Ty9vSUenob3r7OBrXNh/oXbd0aieBgmhQTPlDWM0JSS&#10;ktKSkhI6YREWFmZ0IwGHgoJ8trEEIwwQ/cFJULTYTIQ+qfTGzRvtbW1dXWOE0Tk7u8CN0dXV1cZm&#10;pCYbWfgFD/6HrXZ1dTURBEGBQVNiYvjYFUQIygL6otb/6MePr8kkY935618/PXboACfjsbG55T/e&#10;fPPWgzKC6qsb8SnlO8HR0cfX181dYkTPuiJKlUFaWpq//8ilyJO7Q0Pnzp1TdJcYPZJAFS0tLSXF&#10;xXRiZeXr4z133jw6UUtf3+3mpiZSVaK/f4AJqLS2Hufq4mLv4ODl6RUSEozBCghDbm5u3vnzdGJl&#10;lZg4IyIyik7MHZACLS3NbW1tHR0dfAwDhvHogyAoKrraKUtnAEEwffp0YQWHgUFZQF+U7pWP2ZDS&#10;BYoZjyR3kYxVdVses3Lf+PG2Hp6eIZNCRWJCV0RRGcBTXbV6FZ2MBUiic+fOKjoOjJVuwJOc7NNM&#10;hMGYfoTOzq6a6qrW1jaliRWKgM6AW79G0goxVxobm7Z/vZ1OLCC8oLOjrbu7h78UIMDyHBgYGBYW&#10;Ruf6oaysrLKqSirttZblHEZFRZm0ICBYtCwQtiECAyl0GBIe8acP/kQPsSBdFsn4UlERO8JgYGAg&#10;Pz//ytUiOlfA29sbNo5BE0c/CNHS19d3/NjRe/fu0bmVVVrqI3wC8fLOni0qVdKzODp6clS0qFtQ&#10;5l+40Nw8WuBo9apVPj4+dMKiqKj42rVrvTy6myjiKfGYkTRj4sSJdI5YKlu3/uWOLOGeYGb1jweH&#10;hro72kE0d3S2a1pNyM/Hxz8gcFJoqL4zAEEQkJxDIggMWYRA31i0LGBXPn77v/8QHzuFjHWEBBao&#10;6rDANhiwqxsVFxWfOHVqeFhJph+cdr6+vlOnJpiWB7GkpLikeFTiuLm5Pb95M50oo7ure+fuXT09&#10;PXT+ANgMzZmTKv5e8lWVFYWFF+nEyipzdWZ4uNxOpSC/oODiRfbdXDtipkxZunQpnSAWCaexMmDq&#10;roTmxoaukYznnt5bt6R9UnqUH/b2Dp4eHoGBgQGBgfpem0nO4Y2bN0kRAuPmHEqlUn0YJyxaFuza&#10;s/9Xr/6cjIWqfAyQwAJS/JgeYsEuh7xsdeaHH7zfPzCwb89edptUBhAEYaFhk2NjTVSH7t61k230&#10;2/zsc+4SJe8JoEoVeXv7zE6dYxIvH+5r2aw79fSEhPkLFpAxvLozubnqBQF81pzkFDX7JNBYTz31&#10;lGi9SIgB+Pu2bRwNHRUZPS0xkU5Ejy46AIDrxctD4jViQJ1kGLu9qIoQsKMZ4K1wld06PD294Dsp&#10;o8QzkVIpFi0L9FH5GCBFC9QURyKRBzBwk0g+/8c/VBkJAgODZiTPNGnDFMdgkDJrVuoDrw0DqKLD&#10;WYfZNd4JcK5PnTrVhDZAnR1tx44do5MHsqC7q/vAgQPsdDIOoHtgl8PpYMYAv7O2pvZm/Uj2Mz30&#10;AFQGFk5jY9OOf/2Lc+uQSCTTp08XoWmN8QuAEBjo79dCBwCMFPD18zdkkL+ocg6ZJwPvRvDEIBsb&#10;25GuTf137g7fY+oRsSFZGKT0AkxJ9QUYqNENFi0L3n3v/c8+2UrGApY4HFMWkObLZPzjF14YN+5h&#10;MmaAazsl5REzSDrqk0oPHNhHJ1ZWPl7em54Zqf/IALe2rMNZio4DZyfnmbNmit9xwOHr7f+kI5ks&#10;GBwcunjpktJqE3Bx+vn5+/j62djY0ENquXG9RtYPTe5Xubm5PvLIiMzSvSE4YoooVQYA7Ciio6OM&#10;e/mQOMHbfbe1iA9gA6ual6eHm5s7rMSGj+ZjCwI/H5/oyVOMKAhAWl0qvFhTWwtjNfkOjY0j4epd&#10;XZ0kArqjY6Th0x3YfqnulkQqNwBEPbz2M1p8D7A4WcDUMlIVHqgdpHLRx3/fFuCnvM0/O7wgNDLK&#10;jrXhe+ihhxwdHW1tR5JrgdxTJ8kAQdTgJpEsWrps8+bn1KS8ImaJKmUAgLaeGBISPDHYABsMEAG3&#10;b9/p7urWxRhAsLd3cHNxhsXJz8/PiGuwqHIO2f4LWMJTU+do/WRA6ABkcPv2bRjAyXPrFq25QtSD&#10;RRc/1muJQ6Uhh13d3ecv5Hd1djIVDxFEKEAcvPnrt/TUohMRLapMbgx2dvaenp6ubm4SNze/gEB6&#10;VFtAAdwdutvV0zM8dLejs3347rAuIgBg6wCtawsKSE1NTWVlBQgCa2sbP19foxchAHVSeq2MCALD&#10;+C8s2okwY3pij0wMCisLSAfFVWuf2LSRW5T0Qv7FP/zuHTpBED3wyhtvbnlppHUnYlGcOH68uPSa&#10;UrMBB1jtSHCrp8dIhBrBZrwtiAYY3B0ehk0/OUiAtR++6778M4hNBzCILeeQeT7wjk1LSNB3DQYG&#10;i5YFzCsStpYRwOmgyECiCjKWLautHo2wGzdunJ29/cMPPUSm9o6O1uPGkbE+8PL28fQyXLTOQP9A&#10;S/NoaSYnZ+c+mQmLA9wjJB4jgTAMne0dOadPdbS2PPvSFhsb68MHDz487mHYoCxbtar3Vu+BPbvt&#10;HRzS5s7zkL2W4eF7n3+ydeYjs8n/VcMP9+8XnMvb+NzzDo4O9JBAdLa3Kw35sba29vTysXcQLDbQ&#10;y8ursrycTqysWttarxZe6u0ZvZWzE18RywGW89PZ2Tfr6/mIA0MC21wHB0d3dzeJxMOIfgH11NTU&#10;nMs7Bwuw0RsfA2xBYPiUB5QFIwguC0jUoWKOIjnODjOMjYuPjY0jY7PkRt31vLxzdKIMVWUJvtux&#10;ozD/QuGFC6fP5cH0tVdfGW9rM3R3+E8ffFhWVv7xRx98//33r7z2i8myXpRw5C9b/+zjwyvG6tTR&#10;Y//2m3cyMmj2oFDs/NeOu3eH6OQBekqwvFxYWFE5qgyCAoPKyiu+eSBD4e67a+9ejDMwb3p7peUV&#10;lXTygI7Ors7OzruD/cBdI4kDWMkcHew9Pb3c3d2dXVxMoi+AVCo9cPCgjY3NihUrjCsImJgGa2ub&#10;hKlTjZIDqSgLuFHx5sqF/NHKM4ITLfssuxUaDYMmmDI1gWgC+NTT09LNWxMAba2tdKQMWDWXLFuu&#10;NGS6b6Se6KjVpKOtfdy40bLHoAno6AHsiopjknfuLB0JRJ9UymkdCYDme3T+An3cZSbHxsL5QydW&#10;Vi2trb/77dvLVtOmHj1dXdu2fUbGiKlwOic3KTEJ9io8v6bHxz/1xFrO16sv/+Q/f/Mff/zv//7L&#10;Rx8dOnCourq2p+fW99//QP+GHnB2dvGQSKKjomckznh03qObNm5a+/jjS5cuS0pKCgsLMwlNMDg0&#10;dPLUqXv3htPT042oCUAQHDp08OSpk7d6pfB+rlmzxoh1EThYirWAXeJQwFpGBBJD8LNfvjE3bQ49&#10;9CDmYP6SpSHBQc5Ozmnpc80gBXFMdu/61+DgIJ2wgFWNU5bgdHZOcnISScSH3f93334jlfbWVFT+&#10;4U8fwJGXNz+bvmB+R3vnS1t+evrUqRt1tb29vStXrwkJGTkt6+rq9u3ZFRjEK5zq1NGR6gKHTpwU&#10;Num/s6Pt+PET9++P3IJBwaQ+8oju4V1qyD2T0yDLmyIsXrhoYnDw/HnzSLgMoL4XFyIq/vvdP37+&#10;t0/oRA+ERUW7urmObN+dna2trR0cHBTzotUAwqK/fyS9ra+vb3h4+Pbt27C97u7samadgUp5eNy4&#10;SeERv37rrbBJo8uHqABNcPjwYbjVgKwx1jLMthCIIaZBSyfC/323g45MlorKqt+/9WsyFlwWVNde&#10;f+PnP+P4JohWeGz9+rjYWFOvU8SThps3cs/m0gkLxbIE/QMDS+c/CoNVa9dZWz+88+vtEi/v8Iiw&#10;hoYmF1cXOF5WVASyoLqqBqZwPwoOmdjV1f3DDz+MlxWhgiMBgQHO8lUCVQGyYGJo2KYfPzs3PY0e&#10;EgK4v+zeueMhuBE+/PC8eXP1nTXO8c6Qisjswp1AQlIyLAPhEZETJkxInD4NjmCFAxHS2yudMW3a&#10;DzJrk6ePz/yMheQ4Q2dnZ1lp6Zz0dDrXEMa7pAjIBTt75WXcBgcGaypGHVW68NBDD6XNX/D73/2W&#10;zkWD0TWB2AQBQUtZYGboSRYwzZphevXq1dPHj7c0Njz942dnmkJTk4rK9oAAlwmOOp2jZddK4Y5G&#10;Jw/w8/UNi4ikkwdUVNbs3nmw44eYwAltNypzZj7ySHt7u0TiDms/sQHAWg6yoKmxCab9st6M8JB/&#10;gP/DD49sesgRB0dH+D4m8Ktmp6U5u7q98cYb9JAQkJKOyckz/QODDHNts6snkVJRsMCwDQZKcZNI&#10;4hKmOTk5hYVHgFyIiozw8/NVZVfg42tDqaEjj6998kpBPgymz5wFn8jnn/2dHGeAT2Hbtm2Kx3kC&#10;t27YyB07foJdclRr7oMY/4GXV6K9tbW9rZXIHcDHz3/n7l1kLAaMqwnYdRGio6JF1WkJZcEIakoP&#10;ac3qZctI3iO7piHgPzEGxDOdIA8YvHPL0cWn+PZI/KBr61fzFmY01DfoTxbMXTC/MP/i/sOH6SEh&#10;2L1rJ3w3ZIvbo0eyuh4oABsb29defQUG//HW22p2h2oIjYwKCAwkpoWIiPDm5pa/fPSBeoXBsG7j&#10;pl+8/hqnpwPCk8iw8O/v3Rs3zvqZZ398paj4uR/JVQIFGpqac87k/vrffkXnY2Hn4BjEcqjBrVtA&#10;t69U2nfve15xPIeyjp7NPTN+vF3Wvj3kyE9+/uqGdU+QsXFp7+g4d+6cUTQB/OmLBflEEBi9UJJS&#10;UBaMIGDlYwYiC7Zsefml518Ace3iO7euz+H2PUuJ6NSUeOdm+F4k9QuyH7QbPBcTN4UtC2CDUlpy&#10;bUrsFKFkAciO0uLS3/z2dySRQXeISd/AXew44QW/khk/mHbhsFQ3NzcXX7nMc2nXEUx/0BpyawVZ&#10;Nn1awrWy8hmJI+4eNv39A0qP8+SLz/8BgoNO9M8js2fHJSTA4PLlon/+86sPPni/urp24/p1IH08&#10;vL337huthm4sampq8gsKYGDgUH8pq5SyOAUBQUtZIJlEY55Nna7ru+OmJ77zztt0LhxEFgSHhHz9&#10;v/9InrPmaBWvFctiYWRBqMNtiV1FQGBASVFJVHRka2sb6ADQVSAIQAQQWSDtlVpbj9NRFsAvCYuI&#10;euGF5+lR3YCNe2+vdMWq1Ya0BHLSFJkGleRSZW8QYVHp67tdUVl1+/btK5cvwRFS31NY0uYv0NrQ&#10;bcmQzyti8uSp8fFmIAuANWse8/b1YWQBHMl4dP6t7m5Xd/eDWVnkZ4xFQUFBeUW5vb1Denq6wRIl&#10;2C4DMQsCgpay4JbPRjoycVxbvxK2xCEDyILElNmFeeecXd2s3BbUDwjTntFciXeqvf+QU/WA93Sf&#10;O4E+d+0dHYYGB91cXX+4f//hhx76/ofvpdK+8eNtu7u67eztamtqiUTQRRbcu3evva3jr59+So/q&#10;AGmpbPi2thxZkLk6Mzx8pA6aoixQCkl8l/b1VVVVt7W2NDfD62ioraygDz9AfXwxSA22rwF+GEMN&#10;NIV8Xp4+vnPnppuHLFiydFlwSDBbFqxcvqJF1sLn7IULsh8xArBZP3nqlFTa6+fjk5pmoFxE0xIE&#10;BEVZYEFW7iD7kcQ5L6/RCqDC0lQ/YiwKicpATaAGe5uHEgKs4+Imzp41cctyh1kzPAMC/SXubn5+&#10;vvYO9o6ODvB9woQJMJVIJOER4YGBgelz0wP8AyZPmWKvQ4ahtbV1RWlJ/8AAnevAhfx8a2ubybGx&#10;dG4iuLg4wxKeMX/elpde+N1v34aN/tGjh+EucCo3l5ECy1Znws+o+Xpm44b//APt+wX85q236Aix&#10;eGpqa5lqInZ2QiYDawGszQcOHgRNMDU+fkHGQgNoAhAEpA4BaAIQBKtXrZ47d674NYFSLEgW2Dw0&#10;cspyau4KSEdbq7OrW84NscSXig1QA2sS7UAKzE8a7+PtMsFRg3MPtIKXl2dAQEBQ0ER3dwms8fQB&#10;TYiYMuVa6TU60ZaSkuLBwYHoyZONHkisi0hiExQYAOs9GX8o2+qpB4RF2nxaMrK2smLrJwIYYCwT&#10;W1vbm3Vj2HgMQ3//APtLKu1ram5hf1VWV18svMz+2vmvXV98/g/ytTYzMylh2r49u3sftOYzIu0d&#10;HbA8Xy0qcnBwWLx4SXz8VPqA3mAEwa1eaVhoqEkLAoIFyQJ9c2942NffQM0tTAh7m4fSwm2fXzCi&#10;BiYF6dr9wcbG2s3NFVblicHBmooDdzfXixd1KnY5ODRUXlbm7OQshmqVAQH+dGRwXnvtVTqysvry&#10;8231DaNdMBD+WFuPu62srYa+yT2bx6zo5OvS5SvXysqZr8qqavqjD3B1cZ0yOZr9tWr1qmee/TH5&#10;+uDPHxVcufz6L36pv00XH+DyLCgoOHw4C/br0VHRq1et0ncwAVsQkEqFs2c/YtKCgMArtsCcELwh&#10;AmH1smXwPXTywkvd+i1rY1qAIIiLsLYbr68Uza7uHmnvLfV51SS2AAbwY60tbbqEF5w8cbytrTU9&#10;LV2vBQ1VQf46nTzIRAB4xhaoR9Nf8u5773/2yVYyXrY6k4+ZASEwsQVLly6GJVkxDuDeve/37tn7&#10;2ONr6FxDlP5ONmP+gKbEx8fPTk1lxxY88fgTdTUj2sJgsQVMtyEPiSQ1dY6+12YmhkBUhYm0AxMU&#10;9SsLEIbEWbOmTJliaztayZ8Duyu8u6eX4kXV3NhAur52dLYz+fqKDA/fa21tuXtXZZ8YRhaQMWnF&#10;pAUkKTF0UmiykepTsesWODo4btnyMhkbRRZwKinty8qCHSQZI+oZUxYAuqzcuWfzkpISx9va0rkC&#10;ZiYLmBXaMP2IxdaOWXcsOhMh1OF21/XdepUFEyPmF0n9yBGLxd7moSXxKv0FoAaCJwYHTQzUqFrw&#10;4NBQa3NTbW0te7vMpq2t/fbtPjqRhy0LCs7nf/7ll1qEncIT2L93j7W19ZJly411F1CsckjG5FJl&#10;XqN2wLsE3zX6JcN37+aezibjxcuXe3kawYDs6uIaEOA/PyPDycmJHhI9+pYFFwsvg0RzUN3a22xk&#10;QfuDSkFkhU5KSqIP6AfzEwQElAUoC/RLqPvDS2bZKfUaSCSSyMio4BCdyk73SaVXr15hV/Vh6Om5&#10;1d2txKggiCwwrvsA6OxoO3ZsZOUmTE9ImL+Axv0ZSxb037lz4Sxt07Du6aejI8PJ2DBIJB6xcXF+&#10;/kYLsNCa6PCI4eFhhwlOa5943CiyIPdsnmJiqiCEhIV/96/vYLDx6U0VpSUw0JMsYFcKCgsNnZ44&#10;Q68rdGNjY9758yAI7O0dYqZMMVaPJT2BsgBlgR5JC7dNilXiNQBBEBsTK+CCCuIgL++somcBbhYd&#10;HR108gC2LICxFk4E0v7AiO4DgDwHOrGympuWnpRM90bkUjWwE6G+oXHNqlWMEwH7N/InKTGpu7PD&#10;iLJAcBStBa+99ouzp0/BQHBZACt0dXW1gUsHHj92tL2zy8BFEg2GRdctQPSHvc1Dy+LHK2oCa2ub&#10;xMQZCxctEXaT7eTsDL8zNi6ezh8ANwhXt5HCf0q5d+/e9Jmz6IQ3zY0NsB47OzkbURMA7W1tdCRD&#10;3w7UMfnTn0aLGj330hbUBIi+YcL+QRMYuDAAaAIvD4lZagKloCwQEltr46ftGh7QBE/Mto8O5aYL&#10;env7rFi1Wn9dA2Jj4zIyMkB50LkMibvbhAnK3cz9d/rjpmqWxDw4NHT23Dn4E/MXLqKHjAQ7qMLR&#10;wZGUPTYWF/IvHtyzm4zdJJKfvLCZjBH+DA30w9lFJybOeAUD/tDgSO04oKb2OhnoQllZ2Z69e41V&#10;GKC9o+PevWEvbwtKMePlRDAn9OdEsHdwGOjvvxfwlEV1SCKawNNdLpgA1tGpU6capo1QZ0fbqVOn&#10;4bqlcxkNDQ1MbgLjRKi7XveLN97k3y0J7tonjh6R9kmNGFJAIEkQdGJlFTNlytKlS+nEGE6EhQsX&#10;M87pP3zw0ZrVK8gY4QPz7j351IZv/2+7STsRbG1tQydNmjt/PowZJ8Kbb/77qaNH4Iijk9PR49o3&#10;44ALsLio6MbNm8SpHzxxolGi/IqKrl4tKlq8eInBWioYGExQtFq19olNG5+mE+GwzATFCc4uq9Zk&#10;2tvLFXsGTTBv3lyNEg10RFEZDA/fa2xsIPUMGFmgaWAB6Vho4DaJSuH0Tly8cFFc/Gg9JV1kQX1D&#10;Y7OsjN2vXv05TD/57POM+fPIQ6r44qvtv3/r12SM3ZK0gCMLNv74Rw8r9F7XXRa4ubpI3EdNSh6e&#10;nnZ2Yxdlt7Mb7+Mj13R+YHDo+x9+6L3V4+YuoYdUcOtW74cffThunHVRIS0a9t6Hf06ZqU12ADuA&#10;wNnZJTIiwogG/D179w4PD699/HE6NzssOuQQMEyrJBv3ubX9E+gD5otSO4Gzk/P8hYsMr+hJ+yI6&#10;kcEkJhBZMHz37sPjbN5+5x3y6JiQlTgwMCh1Tho9ZCRgz7R752j7Ihsb29defYVOZPCUBRfyL5I+&#10;Sbdv366uqpRKpVcK8uljD3CTSDY9q84jkJN9mv2/sFyBFrBlQUnJNaU7ezWyYLytLVnvx9vZeT7Y&#10;vwYHB5NBYFDQlp+9snnzZqagNR8GBgYaG5sGBgbr6mqbmlqGh0csbfe+v8f0ONAO2CG4uoyY+m1t&#10;bFxc3WDg5+cH3wMClEeiwKleWTFSY3FgoB+mQYFB4eHhqn7YMMBlsmfvnrDQ0NmzH6GHzA4tZcHE&#10;iBEbkRlws+pESHjEnz74E50LB8gCEByJM2b8+Y/vTZ6+Kq/JQH4vI/JMuoNINAGBE6sPNDU1DQ4O&#10;ElnQ1tY+P2PhqpUr6WNqqaqsKCy8KAZNAHBeV1ho2Jo1co3OObLgGqurck11VV9fnz66KgPrNm76&#10;3W+F71Fu9jCyYO369deulXFkgdOECfD1X//5X+++9wfiPmeW/IgoXlarZ597nsiCL77aDpfA9doa&#10;+oCV1dDQUF1Nja2dnY+fr5enp529vY21tZOTcfYwHhIJkQvu7u63b/eBjifmAXt7h8iI8MioaDFU&#10;BTB7DwKAToQR9hw8SEfCQWTBL3/x+o82bro3/L2778w79xzguLmaDZbFj+fEGDpNcFqwaLFxr2R2&#10;HUBgaHCosamRyAL4/t2evXwqFhBNYFyJw2b3rp2Dg6ONHzes38DuhgAiYOWSJTBIm79AaaNkPZGQ&#10;lPzZtr+7yPaCiEa8+JOXTxzOgsHilSs7OzofW7Mmdkq0nYNjUNBo/AqztNO5Jrzy6uudnZ35Z3PZ&#10;9/aYhAQPD08PD4mjo6Oa2qPGxdrGVuLm6u4u8fPzM66RgMHsPQgAyoIR3vvoz+GhOhXVUYSRBRfy&#10;L/7hd3wt1SZKxtKlEycG0YkMOzu7JctWGH0R7ZNKDx46eP+H7+lcVv1w/65dcx6d197Wwacbgtg0&#10;ASfY0M3NDZYLOpEBawCTFMCf0MiogMBAuPl6+/gC/n4j7uRvv/2Wz6+C/7t85aotL71A54iGnDqd&#10;8/yPnoHBw+PGTU9K/vkrrygu/2xZcODQEbbYLbt2raurk06srFpbWjpYyat9vbdgGSPjsKjoSaGT&#10;YC9uLHuAjjg7u7i6uHh7e3t4ehpls97e0XH4cFZ0VLS+6ycaF5QFIwguC6prr7/x85+t/9GPH5dZ&#10;d7u6u4tLSgsvXszLPr31759NmWIa2a51N3o83MflZJ+W9knpoQfAMjlz1kwSRchZqICHHnp49ZrH&#10;xLCIAufzztXVjeZEDQ/f+2LbtqkzZiRMT9z49BihpmLTBADH/jElOnrZ8uV0ImtMMD2eW7yBA2mC&#10;nDBt+oQJE6IiI2CFwGgAo/Ozn7+atW8vDMZZW0fHxMK6zqzl94bvSnt1bas4ZkeSMYGrwEb2311d&#10;XG1saHsFm/Gwmx8JEVDK7Tt3bvfdphMrq47OdjKAs5STKKQF1tY2Xh4SL29vXz9/g0mE06dP1zfU&#10;r1612mDJkEZBS1nwf9+NRjyZKBWVVUz4tJ5kASf1kZgNXvjZz5984gl6SNyUlBSXl5UpXsDe3j6z&#10;U+eQZRK24yCfOT8TPDE45ZFUOjE28AwPHNhHJzKuXSsrvnL147/9LXjiRHpIGSLUBABHFgDs2IKt&#10;n3z64XvvkjExAIRHRMLyHxER7uzkpJ0JGjEAsFLOnTNH9+Wfg19gkJu7e3x8nOMER3poLGC5dXFx&#10;Jmu/j8+I7tdTLi5cmH3SXtL8bHj47q3eW3fu9LO9Y/yB5+zn6+vt7T0pNFR/l+rg0NCuXbtAiyzI&#10;WEgPmSlaygLyoyYNLNJPPbGWjN/+7z/Ex04hY0EgCuBnv3xjbtocesjKqrG55afPb164bMWb//Ym&#10;PSRWVNUSBmLj4mNjR3PhOKvUuIfHff/D98uXr3QSk5pmtxQC7t4dPnni5D+3b6dzZRBNYPjUyjGB&#10;e9O+Pbt/+OGH+/dHm0enzJqVmprK6WGI5YdNC/j4/uf9P+369ht28087e3v/ICpex48f7y6RBAbS&#10;RdpxJBJxQuL0aWRKiI6KZId3NDY27d27907/HTpXhp2dvYuLi5urG4gApZ1LDUxzYwMxM3R0tmth&#10;V3B2dvH38wsOCRHchFBQUFBeUf7ovEdFEuWgPyxXFjCRWYDgFY0OZh3+/JO/KBohVi9bFhIe+Y8v&#10;/pfORcnlwsKa2hrFq5HtOCAohvrDLQa+Z655jExFAsgCWODZr2h4+N6mZ35EJwowdoK09Lmi0jcA&#10;yZMMD4+orq6ih2Q5ihvWr9vy058zuYKYFIAU5BeczcsjuYVKsbUdHxYWFjV5iniMYYqADu7uaG9t&#10;bdNUJdjbO/j7+U6cGCzUKr7jX/+C7+YdbEhQlAWWUo9Pr/7U8rIy+B7gP5KSyyYlfW5ddWX/gDaG&#10;MgMAOv3g/n0VleWK117opND5CxexNUGfVMrRBP5+/oODAyDV6VxMSCRypVfU7CTYvgOxaQJ4z0ET&#10;eHv7zEhKBqFDj1pZ3blz5/nnX2Q0gZtE8ovXXyNjxDIBTXA6J5ujCeCcSUyckfnYWviCAaiBsrJr&#10;u3fuAK0J1z79IZEBT9IvIHBaYuLCRUvWPvHk8uUr4ZkHBgaRHYgaBgb6a2prT546uf3rr8+dO9uu&#10;0DJNI8rKyuAXxkwR0qhsQliKtQBgXhETGygUP9q4CW7NiuUQ/rVr99f/+48fvfCTK5cK6SEF7B0d&#10;rceNoxND8cP9+/137rCtlwzjxj3s4OBoY8MNVgoNnWRjM5qRCOtoVFRUwcWClJTZOvZKFpyvt/8z&#10;KjKaYwIZZ6NkhyTtlXZ2tNna2sKd6OGHRSeRW5qa4N4UNDHE2sb6zu07ba3NcPD27b68nDPkBwh8&#10;ShMiZgzRBHTyAHZIEAOc7eXlFaRiJlzCEZGRRq/gyR9QyS0tzW1tbS0tLXysCMR+EBsbp0XAoOWY&#10;CgDLdSIAM6YnEkessIUOSbyh0prKRSXX3v63X9GJKZOSlsbJp8jIyKgFcX69dv0G4StJ6wiRBbBz&#10;gqdHD8HHVF2bffwYnZgR2JLAwmlsbII1jGMn4IQEcRgcGqquqqyuqhocHLC2tgkLDZscGytmz4Ii&#10;oG9aWttu1tUppk0pQson849PLCsru1h4cUbiDAtpmWi5TgQgLkEuWkcoKisr4XukMtEdER767Esv&#10;g2Kgc9NkgrNLeHg4nciARdfD07ujowM2HPSQ+AgNC6UjGewSQOaBi5vb/323AzWBJdM/MLB3pN6O&#10;nCZITJyhRhMAsDrCD2SueQx+0sXFuaKyfP/ePblncmA7Tn9C9MD9B17CshUriX/E29uHPqAMqbQX&#10;lvldu3adPn1aOtZrBM1Ueu2avb2D5bRRVsSCrAXPPvc8qQLr6i7536++JAd1569//fTYoQMf/31b&#10;gKwmjCKnc878+Y/vkXF84gyjpMAODw8PDgwMK6tw/tBDD9nb26tpoxIYGOjoOOrYs7OzX7JsOdxZ&#10;YFMeOik0eVYKfUA0EGvBtMTEg/v3sTcThw4camY1HDJdfAMCY+PjlixevGzZaB9FxAI5dOgQrGF0&#10;IgPWSE39As2NDSWlJSTDKDAwaOrUBLEF2fABlvP6G3UNDQ3sFuRK8ZBI4uOnqopMJAkIs1Nmh4WF&#10;0UPmjkU7Ed597/3PPtlKxgLWP/7j/7yfl31azS8kEQZkrFEHP0Ho7Gi7dOmS0uRDYMy7AGwgOGUA&#10;SDABaU2kxT1I35AnRp4kJ3UCnq27u9uZM7mDgwPqrazGBT6yY8eOSSSShYto7gwDKB46srLy8fLe&#10;9MwmOkEsj+6u7m2ff0YnMogaphMNYYcdmK44AHjqA3t7h5gpUzgmASnc7g4edHVxXrrU9Driwgsv&#10;LirSIlfTop0IEyaMVgDt6u6mI/1TWlxMBpMiIsnAMMCKnnsmBxYYpZrA2ck5PS09dU6a+os/L+8s&#10;HcmAtYoEGHb19MB3WGVlh0WHrSxk0ldWnoWhprpa1n/5HogG0WoC4ML5C9bWNikpSjq2sTMs+m6P&#10;VpRDLJDT2XJhhnBuaK0JAA9Pb7gbLF++0tvbB8QBbAYuFxbCSkMfNh3sxo+Hvcqj8xfAawH1ryqF&#10;YWCg/2Lhxe1ff11QUMB4FmAHde/ecHz8VDI1FeD5nzt3dteuXeUV5cePHx/TUTImFiQLfH1Hjfzd&#10;PbfoSGcmOI6ojcbmFjLlMFII+UEaQsJ07S9aLcjJPk20Pwe4TmDfvGzFyjHLmd2ou86RFMxa1S9b&#10;k9gZjCLh9p2RWi6240fKtcLTY98UbvXesra2njdvrthSJ9jkn8+T9kmjJ08ec6+mvmoNYt50d3XX&#10;sFojAkp1pKbAWQcLKmwYQGSQmIOSErqrMTngtZAQCng5gYFyPVwYQATAUrpn757Tp09fu3atvqE+&#10;KDDIhOoXNTY2wjOH519TW0uyM+D7gYMH4Tj5Ae2wIFlA+sEQujqVG9W1IEpWEeHq1atkyuH8hdHm&#10;9FNiYuhI/8DFrBijC3vQqMjoJcuW87T8X758mY5kwP9l1ipYYsUZb0iqsjN6hWlIT5g1U65Ak9ho&#10;bmyovV4L2zVVxgxPj7E7QCKWwPkL5+lIBvva1B3YMCxctARWU5DRJcVFu3ftFG2dAz7AyyGGEHiX&#10;2PU/2IAgKBzZvz3ENsiJmbKysj179548dZJ0o2YDygCOHzqkvTiwIFkQHTVqw+9ktSDTkbjYkcX+&#10;1HElLe0HBgd3ffstGbu6S5KTDdSGq08qJRWWGIggWLFq9bTERJ5ZOiAs2BXLYds9OTaWTkYq6vST&#10;TipiA/bQ7Cvf21tOBHQa0HmkKYNDQ2fPnYMnPzt1tIS2eqqr5faLiOVQV3eDjmSER0TQkXDAagpb&#10;7di4+Hv37mXnZJ88cdwUfQoMIJvg7gf3wMTEGao8C1ZW969cvbLjX/8qKroqzhdL/AXbv/76YuFF&#10;qVRdT43Ori4QByAd4LVo6lawIFmgp97wEnf3uOmJddVVivEKJ0+dvtVNzRKPLlzkYD9GoS6hyMs7&#10;SwxKBNjWL168hL8gAOCS4AiLmJgY9n8HxSDOnWt//x32B+3rK1eEsZ3VglZs5Jw+CZ/aI7Nnq/mY&#10;bGTOEcTC6e7qZruQvL19BDQVcIiNjYOlNDAwqK2t1aR9CgQSeUA8C6oMAwMD/VeLingmNBoGuCGX&#10;lZUdOnSQ7S/gA0gHeC3wv0AfgJ6oqanhI3csSBY0NjbR0cgHL2RBYh+fEfcEJ16huvb655/8hU6s&#10;rNauNVDBLLhuOQEB06ZN0/SuUVZSwhEWbL8DsShOEGUTd3jtDg6j7ePghbN3Br1C96wTivzzefDM&#10;oyKj1Qd8qGlri1gOHOOwl7xJTHBgKU2dk8b4FI4eyTJpswGBOEqWL18JikepZwFugPUN9bCgwmIM&#10;qyk9anDgT4M6AY1ysfBip4qEMhsb27DQsM3PPrd44SKmCzYH0AegJ87lnfvuu29BIsDvLCq6CieS&#10;0o/SUmRB/8BA1uGsCQ/c4TfqhEy5DJzIjWcZGBz8r3feoRMrqxd//oqXlyH21oq7/NBJoepXGkXg&#10;l3CimUBY0BGLCY58m7caDHKKO7JkAeDi4kJHMiOHCO9oVZUVJKRAl0hyxHJob5czenEybvQE3EaW&#10;LFsO9xPQr/v37rlRd50+YMrAtgEUz4pVq0GRq/IswGIMq6mBPQvtHR3EWQB/GtSJKvMA3OtSZs16&#10;8cUX1qzJdJe4x8XHwXh6QoIqcUAAiQC/82pR0clTJ0El0KMsLEUWHM463NPTMzFUrvKdUCjaHr74&#10;3y8Z90F84own1tKezvrmXO4Z9gkEJ3r8tOl0whuOqUAikXCERWvryF3JyXl0uRUJ3R3t8J20jWdw&#10;c5XbYZOfEQ+dHW1Xr151dnLmH1KAIGwMFkVrN3588qyU9LR0GOflncs/b+gqLHoCXhcoclL20bie&#10;hZqaGlADIEEOH85S7ywICghcvHDRli0vp6amst3TMJ6/YAGIA5ALbtoaFy1CFuTm5nK2v8JCbA9M&#10;V+Xq2uvHDh0gY1d3yX+9+y4Z6xvQ75wKHjOTk9U4qpWiaCqIjRmNNGSjP3em1ijVKxyVQCouiAR4&#10;t8+cyYXBzFkzNf2kEIulqWmkaZaxgE0CbK9h+ay9XmseDgWGiMiohYuWZGRkqEloFNyzAG9gWVkZ&#10;qA1iGwA1ABKEPqaAo4Pj9ISEzc8+t279urh4lcVXQByAXHh+8+YN6zdooQ/MXxZUV9fknZdL5gHy&#10;sk/TkRCUFReHhI9GAu/ds4eOrKz+/a3fGCbSEM6tgoICOpGhhfsAGNNUAHR0tqsO5TUmPbd6rK1t&#10;OHqFoxJIxQUxAB/ZiaNHBgcHkpKSxJw2iSAcQMLC8kkcCnAOm1AzBT7AxZg6Jy3zsbVqEhoZzwLc&#10;dbUQRvBfiGFgz96933337cXCi2o8BQCJHshcnblly8vzFyxwl7jTB8YiIMCf6IOf/vSnixcuAknh&#10;4+Wt3sUAmLks6B8YOMAqS+zvLxeXLgiNzS23urvCH1QwrK69zmiOR+Y9OmOGgbzFHPcBnM1auA9G&#10;TlZ+pgJHRwc6EhO9vb2K+SYclXCrV7BKVjpyMf+CtE+amDhDzOWVEBHi4elBR0YleVYKnL1wDh8+&#10;nNXZId4cH+0gnoW1TzwJr1FVjRbY1pdXlMO6Dnv99o4OelQF8ANlZWWMFCCGAfVJhkBQQODctPTX&#10;Xn1lzZrM8HDt2zTA7jQuPg4kxaZnNsFvA5UAIiNl1qyYKVPoT7Awc1nwf//3f+z2YvroqV9dXQ3f&#10;Ex4E5Z04NlrAYN269XSkZxTdB7AB1cIozTEVeHv7KLU33LnTz472FwmgaVSlTbKv6uG7KiW5Ick9&#10;k9PQUB8YGMSztBSCMIy3ldvtGXFJhrOXhBqcOnXa/JQBAV7jshUr1XgWANjrgzaC9R4WfpjCvaix&#10;sbGmpqagoAAUw6FDB7/86kv4gYuFF/lIAYCoAVi8161fl6SHgjegEkBkpKamLl2qpN2aOcuCE8eP&#10;98g7kv1Zixxs6+lIN7JPnYLv4eEjwYwDg4NMVEH8SLvukQKI+gZOQY77AJZzLTagiqaC6CjlKxas&#10;vpxofzHQ2jySgKrUvMauvKRY/NHwXC4sJJogdU4aPYQgvHGW94vdvm3MMtiwc5g3by4MQBnAPYQc&#10;ND/YngVVLlRY72HhBwXw3Xffnjx18lzeufKKclAMnSoSCzkQT8HihYsYNWAYB7QiZisLuru6L125&#10;Qicy4C48TXO7unoam1uKLxXGTU+UuI+sRhfyR5fn+RkL6UjPKLoPtItp5xNVAIj2yodPHL77+PmT&#10;KRtRVV6qqqyoqCx3dhrJjKKHEEQT3GR3G4a21jFaCesbWDIfmT0b7h4jsTLmqwwA4llQn7OgKT5e&#10;3tMTEjas30A8BXHxccZSAwxmKwuOHj1KRzIU78KCtEU4LwtmXLyE2mEKL14kA4AoaH0jlPsA4BlV&#10;oDQJUAx0dLbDp8zntRuxwDtogsLCi/A85y9cRA8hiIZwfMxNzcZMTCDAFoLEGVzMv0APmTXsnAVV&#10;YYlqIFIgc3Xmr954Y9Mzm+YvWBAQoGQ/YyzMUxZUV9fUy9/6Z84aaSnt4TGq73RvizAwOJi1b5+r&#10;uyQ+fmQFhSkTbLhoxUoDKD6h3AcALFd8TAVipqury8XVlU7kEUlBRrYm0E66IQghiHV5Dg4OiMGv&#10;Dytl6KTQhoZ686h0xAfiWVixarWaDs4MLs4u8XFxG9ZvYKSALiGEesU8ZUHeuXN0JANOVpIAJmyp&#10;QdLyYMnKlfZ2djAtKiohx4EpKrbawkKq6NOJDu4DoLS0lI5kqDIVACTv391TXA0RiAGA0xiJgVOQ&#10;8e6wEaIOBdEEpDADgoTKV2YrL6+gI6MSP206rI6XL182b1cCB7icSQfnlJTZsDGjRxXolfYWFRdn&#10;Hc4qyC/oF7T6vuCYoSyorq5pZRUH5aTqweaeDDhFgrWAdE2cN3ckEBeorBy9MpP0n5eo2PtAa/cB&#10;qHvYcNAJnOV29mpMBcNDI5kdYtvskvWS0xhJFSQKwZCgnQARlpg4OeEOe3QxFA+Ac3tmcjLcTMpK&#10;RvdIlkNwyKRH5y9YvnwlbERVeRZ6enpO52T/7W+f7tq1m92mR1SYoSzgmArCQsPYN+LYqVPpSDca&#10;m1vqqqsyli4nwYZA0YMIx0kRkfrugKDYOhlORK3T39mCBoiJGWkVrQpO52KR0NzcBIuuqsKLtkZt&#10;PKg/TcCce4il4WBvD3c2OpFx9apchLWxgB2FRCLRa1VZkQN3oeRZKaTggaqwxOHhu/AWbf96+9+3&#10;bStgBaqLBHOTBYqmgsmxyu3hZcU6dQglwYZMuYKBwUFQCWScMF3vpoKc7NNs9wHs77UoXkTo7Ghj&#10;Wx3gV6nPpOd0LhYDg0ND0j6pp6cnnStAXEhGQa92Av7FzhDzY246tVMSGhrqRVI5IDIyCu5OlhNh&#10;oAo+YYnEePCnDz48dOiQ4a2YqjA3WaDeVABMeaASmFZG2nH+7Fn4ToINgarqWjIApqjdbevO5cJC&#10;TvK9Fr0PGDheyeCJwXSkgjt3+sVmLai/MdKTwttHpVfPWKDvANEfIAo5BoML50WRBRAcMgluEQ0N&#10;Rsv3ERVMWGJi4gxVYYnDw3dLr13b9vlnX37xpRiMB2YlC0Bt8TQVEBqbW+hIQxgPAgk2BECqkwEw&#10;RZ9VjGBDUFFZTicyQrXqfUCAfTb7mQPq3zFgcHCA05PQ6LS1tcFnrbUPRU/knskRXBP03BJRnyfE&#10;6MxNT2fXt4fdgki6Grq4OPf3G7PIktiAO0BEZFTmmsfS09LVVEuE9UsMxgOzkgWns7PpSIaiqQCY&#10;xFo8FBsi8+Tq1avwnfEgAIyn39Vdor/AAljFScM9Blh1kmel0InmcCKD4HwdcwGDv9gsqycoHlpa&#10;WoQqLSIUpLaxt7ePsHYCtucIQdwl7jMS5byHtddrq+RDhYyCp4cXJyAaIcAWjlRLVJPTyDEeGD5t&#10;wXxkAbx3nDiX8IjRroYMjqxcNa0rGl3Mz4fvjAcBYCIVYgQKaVTKxfwL7JQBgNRj0JobN2/QkYzo&#10;6LHr8/v5+cOmxIgVgTjcqLsOi2VgoAb2kjv63MeAdDt54jhoAtBYj85fIKAm4KB1M3XEnEhNTfXx&#10;kgudKSy8aK7tCcwGuC2QnEY+xgPDpy2Yjyy4VFhIRzLgvVYalx4cMuo7166i0cDgICl4zHgQurq7&#10;mUiFmLGM8FoD6x/H4A96U5dgOk5eImy4+fy2ybGxIHLPnjsnklsPcWEGBYeQKR9sbfQVGwGa4MTR&#10;I21traGTQvVd23j8WN1REQvh8SfWclrlGr1xUc+tHlVbYYQNT+MBk7aQm5trAOOB+ciCoiK5zAJV&#10;G1928cGGm3KrLE9IdGFMXByZAt09o7162U4KAemTSjkFDWEVB71JJ1rByUsM4ffMQefOmZMKA7j1&#10;iMFm0NLS4u3to9GmfMx249oBN+Ksgweksl7Junh21ICGWUQRuKctX7aMTmTcuzdsXGUAT0CcvdfF&#10;CU/jQU9PT9758x9//PGuXbuL5dc7YTETWQDvEdsy7OzkrGbjG584gwxu37lNBhpRVVUJ36eynAWV&#10;lSNHCJ5eKtPkdIGTkWhtbZM291E60QrQGRrlJbKB93aerONDdk527pkcI9ZR0cKDoCdAIcGN+N69&#10;eykps/m/k7pgK99dF7FkwsPD5soaHDMQZWAs4Q73FhH2Xhc/fIwHQE1tzeGjR7Zu/YueIhPNRBZc&#10;u3aNjmREREbSkTKcHzgXtCtdUCr7X+Gho3vrrs5RZ0TwxIl0JBz55/M4GYlaFzRkKLsmV+14zLxE&#10;DqAMVqxaDdv0BlmjcWOJAy08CPqgqrICFBIMQC0ZLCHC09ODjhAE7gnJSYrKAE5Lw0cgqq9EjowJ&#10;x3igKiEcdsJ6ikw0B1kAcondGAneRPXbNV1KFzCBBXQuo719pKkgMClCnRzRDtgQ114fLYoA6FLQ&#10;kOFmvZwDRWl4pnrg3H10/gI4cV1cnEEcHDiw7+iRLLgHGUwfDA4NtbS0wGWjo0LSESYREXSSLqEe&#10;Y4JxZIh6QBlMT0igkwfAyWngrEUi1nlWIkfUQIwHpOYB3GHoUQVIZKKAzgVzkAXXyuRMBRODVPpm&#10;CI6Oo/30qms1K8XV2DTSw5QdWAAwVgf/gAAyEArFkAIdMxIJsHizXRKw6VdVNnhM4MRduGgJKQN+&#10;504/3INAHxzcv88Ae5T6G3XG9SCALoFXSpIODFCw6K6sGwXD+AcRrwjCMH/BAo7NAIB9BUh2OF3p&#10;XM80NTfDbUrrWwrCAW4ssNFdtmJlRkYG3GZVGQ8AtnNBl8wFc5AFnGDDyVPGKDI4KWTU5qxpjiIJ&#10;IwiULx/EWB0YO4QgwGWsJKQgfcSpryN18nVJOd3YtICUAc9c8xg5ce8OD4M+2PHdt7BN0d8et7S0&#10;1M7Ono/hRB/PAX7n/r17pH3S2Lh4UPSGt1j4+PjSEYKwUPQmAF1dXXC63tB/QWK4LgYHByay7rEm&#10;SnNjw+XCQoNpKT54eHoz3RbUtGokzgUmc0GL4AOTlwWgiTjBhmOqVA+P0dI3muYokuSFgMBRqwDb&#10;3sC2Q+jOxfwLiiEFumtwxWBDAd3h5MQFfQAnrouLM2xTjh07BlvqkpJiYZ0LI1fs4ID6rk4MnH22&#10;7sDNgtSVSk9L1zEfhD/YVRnhCSiDzNWZnIwb2GDk5Z0Dpa7XpY4UU9c0VkmcVFSWd3dQB7GoiIiM&#10;Iq0a1UcmksyFbZ9/Rhoy8Q8+MHlZkC+rLMSgPtiQwK5CqGmOYrUsDSHAT/lGjW2H0BFYRzlVCgQJ&#10;KQB0DDbkCZy4xLkQFRl9d3i4pLiIOBfgdem+d4dfAlesRCLRLubfRueGiieOHgFRAirNT9uy07qD&#10;7RMRNYSHh619/HHFmleg1LMOHtCT2QAEB9y1dHFKigdb2V2iq0e85cbhTSaRieq7MQGkIdPHH3/8&#10;zdff8NEHJi8LOKFzPIPSU+fR7L7WVs3aItRVV6XIm/HZ2YkOAqXqNjc2wDpKJzIECSkgNDWPhEcw&#10;aBFsyB84caclJrKdC/C6jh07tnvXztwzOVrEJ8LPnzxxHH4JvCFap2hKdKsPCM+c+A4MlnRA4BRn&#10;xPaJiHoCAvyfeuopTjslABRtXt65o0eyhDXgAUWXL8H36ChDJOjqGxI+PCy0oVEfwFNNnZM2pnMB&#10;qG9s4KMPTFsWwAsbHh792PgHpXs9eO+KL8nVRlQP8ReoaXkgSHYibKbPyveBBBk4f+EiOtENTmVD&#10;g+l6xrlADF+Ojg6wqyDxiSARYKW/XFgIz01VmvWITiophhsZ/HxbW2tUZPSyFSv5u/NBjtCRzhAr&#10;DpxpBvMdMGDvGURTHOzt16zJXLxwkWIJr66uLriaBHSfw42r9nqtRCIxoglNWOzs7E2rORlxLpCy&#10;B7BxokeVwdYH9BAL05YFtbVymXv8g9LZRYf491Ek8YkSD7l8cXaTJDLQBbhEL5y/wA4zBObNmytU&#10;RBun26nhw/iJ4WvhoiXrNzydnpYOC7yLi0tvb29FZTnsYLJzsr/e/k/FLzheUlx0505/6KRQEBbT&#10;EuUSRMdEqIofIFyIoWJGsk6tKLRj+O7oWcEpg48gaoiLj3tm40al5wxcd/v37gFxQOc6ADcu2MCk&#10;pDxC56YP7F44t2KTABYLuMfCxon4cNUEHwDs3H4GE5YF/QMD7JekUehcbMxoykAX7zWDxCdGqghf&#10;CAkL09EoB5rgxNEjnDDDxMQZxJylO8TzRyc8CjzoG9hVwAI/Im/XPEZUQkrKbDiPFb/gTcjIyIAf&#10;S56Vort5w8nZhY40ATZDBQUFcJoZIBdRKZwTA0H44y5x3/TMprlpco2YCbDygTjYvWunLknFpORa&#10;9OTJhrE+8gSelS41G+AOCVsROjFBOD5c9fqAjQnLgtJiuabA/n4aVM9gJyOwV0r1kPhEe1ZXBYAp&#10;WnD37t0DD0r6kCMaoVQTwGcp4Mpdf6OOjmT4+oorww1UAgg7OI8Vv+BN0EUbsT1NgBZ3Lvh0SOrB&#10;nDmpRtEEHDywxCGiOUnJSS+++ELMlCl0zmJwcKCw8CKIg5KSYjjb6VF+wB2v9nqtUTxr6rlZX6+L&#10;A9HN1Y3tcjVdGB8u0QdqghMJJiwLysvL6UhGaJgGyfdeXl6MzZ/xAowJ6aHASUNgihbMSpkN73hv&#10;r5Sk7OeeyRlx5PO+wMpKSjiaAC4zocIMCVWs6EiATxtl8+BW72gvKy0gio2kHghludEUTtTFeGyI&#10;gGiFg7390qVLN6zfoNSnACd5SXERcSvwtH2CjIA7nrE8a2qAy/bevWFHbM3AguiDtU88mZ6WrsZ+&#10;YKqyoLuru7V9NM8NXp6m9+vYB72O+HdGgJ/kBBB0dY86IKxtrMk7npg4QyKRNDTU5+Wd271zx9Ej&#10;WSSeTtVlBsfh0Rs3b9C5DLjMUgXtzAt/hS07tHjHzAP1kThKIQUkDJ96oAZnrfwgCEIICPDf9Mym&#10;zNWZSldN4lY4cGAf7G1URQEDsO6StCC43RnLs6YGUnIAE3aU4hcQyNgP6CEWpioLOAWPtUi+Z3dG&#10;YK/uaoCfnCxf9pjdUtnrgfpmwkFTZPaD4bsj1xhIBLjMvt7+zx3ffQtCgXwd3D9yBI7Do2xrFXFg&#10;04lAcMoV6DUvUWz09o7qIRvbMQxoDCDm8s/nkfLGnp5exjWQcmoZuWHRAkRnwsPDtmx5eW5auqot&#10;NZz52TnZxLPA2dVUVVbs37unra0VbnELFy0RmyYASMmBCRO0txZMcBopT6d7nRUxo3RzaKqyoLxC&#10;zn+vxSLHrOJAY5Nm1QuU4i2fuAjXCWwuQZEtW7ESJMJIOby4+KjIaLZHH5YoElIHj7LtOY6ODoJf&#10;ZpxyBeZRhown7HDiMf1qBLjrgZi7XldHTCwdHe2g58hDYgBrGSFCkZScRMSBYu0jAvEsHD6cBeKg&#10;ubEBtDJcC4WFF62treHGJayjU0D6b4/4fHWxiU5wHJEUgtdIFT8mKQu6u7p7WMWnnLVqyxESMrou&#10;8ok6JEULguXrGLJrGakB1ni/gEDYbk5LTEydkwbimvkiIXXwKNtawHPp4g8IXvbvl0gkogoY1iuc&#10;XY6b69i1jG7UXYe7Hgzu3/+BHAHgTaMjY9DRKVeEFU2jiLCAOHh+8+bM1ZlBKqoOgLYGcZCdk117&#10;vdbFxTkxcUbmmsfgxkUfFh+3em8Z95o1XUxSFnBbJmpVcjh44kQtog45aQhsJk+OpiPN4dip+Cxd&#10;GkEKlTOEiMZHbgD6pL10JGPMysckEZFOWAj+oWgEu2iBql0dguhIeHjYuvXrNj/7XMyUKYqpjAye&#10;Hl7GzW3mQ1dXl6uLK50gmmCSsoDjQdDaHq5F1CGHrk7NOi2pgmOnIj4tAWlpkfOS8CwRbR7cviNX&#10;HFB95eM+qfTUKbmulQw+PsaM0GSHi45Xfb9GEN1xl7gvXbr0tVdfmZuWrqoI0u5dO9VEIxodstHC&#10;EBztMD1Z0D8woLsHgcCOOuRf65BNezs17U6KGLtFkxo4AWXEpyUUN+qus9c5b28fEcYH6Y/bfSMu&#10;RgZb1daCQYVO1myMaC/l+EGwaAFiGJKSk1QlLAwODmTnZOeeyeGfg21IWmR3VHd3nexqAhZNNy1M&#10;TxZwqhjp0tibXeuwurqajrTCP2C01bIWcOrtuHuqbLugBZyCx6GhGhR4MAM4Vc3VhCAplpNi0CKt&#10;UUA4fhBni4kLQcRAeHjYj5/98fSEBDpn0dBQv3/vnpISLa2t+uNWT4+1tY2OOdikaLqY4yf0hOnJ&#10;Ak4fBF8dTLvBrKjDijK54kg8ycs+TQaOE3Qy+3Pq7Qi7m2d7EOBSEU/yvWEY6B8tX6qqfAdA+iLS&#10;iQKenqNNNAwPp7urj4+4ylMiZo+Dvf38BQs2rN+gGNdCQhEP7t8nKp9CR0cHxhtqjYnJAsU+CLro&#10;QTjX4xNnkHEBv9LZqoIJOBkKmsKuvC3s2czxIIit4LEBYC/2jio6X4Mm4GSjcHbk3j7q2pXqG5Jq&#10;xYDZiYhRCAjwf37z5pRZsxSjEeEqE49PoU8qHRwc8PLWyVRgyZiYLNClD4JS4qdSy9iY4QXhoSOb&#10;bCaYACApiwRHR52sBezsQQdBq3UavWWiceGkeHh6KPHOlMh6JdOJDNgSjZc32Pj4+dORMeAYkzA7&#10;ETEiqampL774gtI8RuJTEKQfoy60tIzUaNHFkEzo6GxXY180Y0xMFjQ0NtKRDI36ICglJiaGjniE&#10;F4SER+Rlnx4YHCTTq1evkgEwSQdrAcf4JmwRbwv3INy+LZeGoJjiUVVZUVJcRCcyQBM89dRTHR0d&#10;dC4LLDBukCa7SiO2VEaMjoO9/br165SGIt570I/xRt3orsnAwF5I98ACgir7onljYrLgZv3ork5H&#10;DwJhxozRzv3Zp07RkQpmPTLSSryoiFoszp89Swau7hJdihZwPMcC7gVhzbNwDwIJGmLgpHjA+0PK&#10;FjHY2NguWbykqbGJzmUYN7CAdHyhEysrW2yShIgDUjt5ekKCok9hcHAgL+/c0SNZHHOdYejq6hLk&#10;Xge/R1jbralgSrKguKiYHbEv1M160YqVZFB8qfBCvtwiwWHWrFnw/XDWIfj+r12766qrZIetHtWt&#10;fwHXcywRLP3Mwj0IACcNgR1UDDcsRU2w9vHHAwL8q6rkilcaN7CAdHxh8MTsRERMzF+w4JmNG8NC&#10;w+icBSyrx44dM3DAQXNjA8hob50DC8hzFtZ2ayqYkixokDe2C7XIJbH6gf7hd+8czDrMuAk4BPj5&#10;pqTPBfXwy1++8fX//oMetbJau/ZxOtIKjudYwLLEcFnSkUV6EIDe3tHUPrabEDTBqVM0i4Rh+bJl&#10;oAlgwOkfYdzAAo4xaaIllaJCTAJ3ifuaNZmZqzOV1t9kAg4MIw7IXkj3im1Ejhu3iJmxMCVZUFc3&#10;2npYwEVubnoaYzAAPv/kL+sfe+yP//O+0q8eWa/FmvLRYskv/vwVL/kmSZrCXrwFTEPAHAS4DbFj&#10;OV1caDNiognYbw4wNy09PHxkx8PpuAGfiHEDCzANATEJ4PJ5fvNmuI4UfQpwrVVUlmcdPFBVKVeg&#10;Vh+AphckGIiUmBO2hIypYDKyoLGx6U7/aPiYsFl8P/3Zz5hMRUJe9mmlX+Xy4Wlr1m14Yu1aOtEK&#10;TgE7AYt4oweBY34nTQ1UaYKk5CQyrqmpIQOCn79Ohap0B9MQEBMCrqMXX3xBae0j0OiFhRf1WjUZ&#10;rm74K7rUuGMgaQgWVRCWwWRkQZ18XKuwi5yDvf2HH3208bnn6ZwHru6S1//911u2vEzn2kJyaRgc&#10;dCuLxMbCcxAATklpHx9vpZogZdYsRhMAAtbLEgS2MQnTEBDxQ2ofbX72OaUBB7BsZ+dkHz2SpQ9x&#10;UFszcvEK0jW+t1dq3FhjI2IysoDTHkkfzX5+9KNnvtuzFxb7RStWps57lPl6hPUFU3j0rf/87+07&#10;dixbuoT+Tx0gXgkG9Y18+IMeBIATb/jQww8ragK4c6WmptKJDAHrZekO6Bg6koHdEBBTgQk4UKpl&#10;QewSccAxl+oI8SDoHp4lVNyiifLQ/fv36VCeMNa6W3Ojjo6MRP/AwMcff0wnsjzyZaxoAJMGLgz2&#10;dnD9hqfpSDc4ZftSUmZboLVgx3ffMiLAwcHx7t27ipoA7lx0IqO4qPjw0SN0YmUVOik0eVYKnRgD&#10;kHd5eefoRN7ZgSCmAlxWZ3Jz2V5gNoGBQVOnJgiyloPUSEycoXvT5/zzebXXazMfW2sJToS5s0dv&#10;cWStNw1rAae4oZ9RI8OFRU/xhuhBgF0IWwQMDAyMqQmAavnAAuOmJgJtra10JMPP33zOfMRyiIuP&#10;27LlZaXRiABsYA4c2Ac7GR0tB7XXRxzNghiShYpbNFFMQxZwihsGTTST6DmOiVioeEP4tewl0DI9&#10;CJygjfv3f6AjGUo1AcCulyUGOcWJNyT5kwhiijDRiOrFgXZ5jPC/YC8UGBik+1re3NgwODgQEalT&#10;r3yTxjRkgeDFDUUCaQrO4CZQ7hmJu2GwTA9ZW5vce8tGlSYoyC9g18sSg5zCeEPEnCDRiKpSFQCt&#10;ixzU36iDvZAgoegCWh1MFBOQBY2NTfoobigG2uWXLl9fXTs/ETjVeCzz/GY3NWCjShMAnBwEo6d0&#10;YrwhYpaoT1WA1b2islxTcVBaWgo7Rt3Ne31SKUgTQawOposJyIIKVu0gwJzy7zk1+ASpbwinNbuG&#10;j7e3jwWe35w3gSFmyhRVmkCxZ7fRPQgcY5Knh4WmSyFmCUlVGFMc8Gm5RMz+4RERdK4D1VUjJe2j&#10;o3UNWjRpTEAWXL8xWtwQMG4lWgHhLF1MDT4duXFT7u2yzKbjnMACwty09KVLl9KJApfku8Hq3rNb&#10;d27Jlz0OC1Ny90QQk2ZMcZCXd+7kiePqzQblFRXW1jbhEbpGA8BfqamtkUgkZuOn1g6xywLYw4mq&#10;Eq2AcJYuodbvm3Vy2aSCVPYwOTiBBXDLyFydqT61r6iomI5kTJ4y2nHbWLD9IDY2tljfEDFXiDjY&#10;sH6D0gCatrbW/Xv3lJTIXaEMsL+CH/D19dV9aSi6fAmESGxMLJ1bKmKXBZzURE8P86lQzSlOLEg1&#10;PVC70r7RJB9BKnuYIuz8zIceevhHmzaRfgeqKC4q5pTWNvr7xjEm+VpqZRXEcggI8N/0zCalFZBg&#10;tS4pLlJa/ujq1SvwfepU5TGM/OnsaKu9Xuvt7cPus2qZiF0WmGtqIsAOMhcqvaJevvCUORV44A8n&#10;PzN00qQx99lXrozcWRhCRFDmoaurk45kBAQauTUDghgGUPAgDhYvXKSYxwj3zAMH9rFDEUElkAhB&#10;3XX8pUuXrK1tkpKS6dyCEbss4JTlMRuXD2fpEiq9gmM8NycVxR9OpF5gwBgLanV1TWv76H+B00z3&#10;Kmm6wylkJAalgiAGIy4+7sUXX1AacECaMZKWCkKZCkBqgOaAP2eZ5lUOopYFnK6J5lSWp/6mnAdB&#10;qNICbBVlTgUeNKK5Sc7CNGakXt650erCgNI7keHhBBZgISPE0nCwt18j66rg6OBIDz1gUNZv6ciR&#10;LEFMBbBJA6khkUimJSbSQ5aNqGUBp2uiOZXlaW5uoiMZgpQWIO096MS8CjzwZ3BoiO2dcXNzU+9B&#10;UDQVTI41fsBRn1TKjhHBwALEYgkPD/vxsz9WWv6oW3al29jYkKl2wB3j1KnTcOGnpDxCD1k84rYW&#10;NMht+4Sq9mN0FAMDBUmv4MQwmlOBB/5woismBY+RiKFoKhBDqgsnSwUDCxBLhpQ/UpWncP167e5d&#10;O/mUN1AEbsUnjh6B3dQjs2ej+4BB1LKAXV7GnILq9RQYyKnrZzYFHjSCo42ioifTkTLEaSoAODEi&#10;GFiAICRPQWm/pcHBgby8c5q2aSaaAHZoiYkzMPuAjXhlAdyy6UiGOZnEOUuXIIGBHAuEORV40Ai2&#10;B8HRwVG9S/7o0aN0JEMkpgKAHSOCgQUIwkD6LcVMmULnLEieQv75PLgZ0kOqYWsCMYQYiwrxyoKb&#10;8ltqo7e4FQo4HdvaRoPM9ZWa6G+JZucbddfZ0RXqY1QL8gvYAa3wQYjEVMDJUpkYFERHCILIfApL&#10;ly5V5VOovV6rpvYRATWBesQrC8y15jFn/RaqyC7H7CxIcSSTg2OGCVebg1Bw8SIdyYiJiRGJqYCT&#10;pTJmgiWCWCBqfAqgqkuKi1QFHIDsBt2AmkANIpUFZlzzmLN0hYaF0pFu6FLgAa4TOjJxOLb3uPg4&#10;OlFA0VQgnhsEJ0slJs7SS7EiiCqIT0FpngITcEAqHBAuFxYeO3YMBulp6agJVCFSWVBTVU1HMsym&#10;5rGePAgcs7NGBR7IdaLe5mYScDwI6m3v5eXldCQjJsb4HRAInNREHy9vB3t7OkEQRAGmTXOQsrDB&#10;rq6u7JxsEAe1NdW7d+0k9QlWrFqNMYZqEKksaGDpO8DHXEzi1VWVdCRDKA8Cp66fRgUeJsfGOjs5&#10;lxQXjdmmTOTw9yBwEhBEZSrgNMCcFIo5CAgyNu4S93Xr12WuznRzc6OHWIA4yM+/MDQ0FBUZvXDR&#10;EssMx+aPSGVBU7Nc3rbZKDvSzJtBqDZ9nLp+GhVHgitk2YqVoZNC29pamZKipgh/DwKnVoF4TAUA&#10;56OcMllJxDWCIEoJDw97fvPmuWnpioURgfv3f6ioLM89k6NRHqMFIkZZ0N3VzQ4s8PY2kxwEWHHZ&#10;PfEErMTAzsqDX6qFFk6elZKSMvvevXvZOdk8M3xERVVlBU8PgmKtAkFKTAoC3K3YH+WYJRoRBFEk&#10;KTmJFEZUjEYEGhrqDxzYh+JADWKUBTU1chULvMyl8mvtdbmw2IjISDrSDc7+XusCD8Ehk1asWi2R&#10;SGqv15qc2YC/B0GcZQ0JHA9CdBSGRCGINpCAA1UVDgAUB2oQoyzgNFM2j1w72H/DiUgngm5SWzmB&#10;BToUeIAFcuGiJYzZ4OSJ4yZxzXACOR0dHFV5EERb1pBws04ueRU9CAiiC6TCweZnn1PV/wzFgVLE&#10;KAt0ybUTLWUlJXQkw9fXV6hNakdnOx3J0L3AAzEbkGiDw4ez2N3NxQknkDMkRGUfBDGbCuDGxM5B&#10;QA8CgggCXEdr1mSOKQ44qYyWjOhkQXdXNzuhXCKR0JEpA8tqTa2cZ0T3BuEMbG+0UAUe4Jckz0rJ&#10;yMhwcXGuqCzfv3ePmMUBZ5MdHz+VjuQRuamg7FopHclADwKCCMiY4oCkMh7cv6+qsoIeslREJwvM&#10;MrAAtrPsgDhYvIUKNuQGFgha4MHD03vhoiXpaenW1taiFQedHW2cTbaqDgLFxXK1GURlKgA42Tfo&#10;QUAQwRlTHMDNpLDw4o7vvs0/n2exngXRyQLzCyyAdZSTlxgbI9gmlRNYoI8CD34BgZlrHktMnMGI&#10;A1FdMOXlctJ+alw8HcnT3dXNNtiIzVRwo+46O0slKCAQPQgIoifGFAewi6u9Xks8C1WVFSL3ogqO&#10;6GSB+QUWlJWUsO/4EolEwDIMnMAC/RV4iIiMAnGQnpbu4uJMLpiTJ45r1+NcQOByZZ8wgKpSwaez&#10;s+lIxsSgIFGZCmpra+lIxhQV4dMIgggFEQc//elPVaUyAl1dXYWFF2EvlHsmx+i3O4MhLllgfoEF&#10;sG5xogoENBUAnMACOtIbIDsWLlqSkZERGBgEfzov79zuXTvzz+cZq6tC/Y06tncGtL/SUsEcUwEg&#10;VCEpQeiTStmZFOprMSEIIiBMKqOqIkgA3GQaGurhdrfju28tQR+ISxaYX2BB0eVLnKgCATf0nMAC&#10;VxdXOtIzHp7eqXPSVqxanZg4w9HRofZ67bFjx4g+MHAob2mpXJheXJzy1ZRjKgBNI1RshyBcvXqF&#10;jmTExaCpAEEMCoiDpOSkLVtezlydqbS3AoGtD8w4+EBcssDMAgtgDw1LJp3IENZUIGDFAi2wGz8+&#10;IjJq4aIly5evjI2Lt7WxgRebnZMNF8zJE8dLSor1bUIACcL2zri5uYWHK/EU9g8M3KwfrRgBCJgG&#10;ojuKfpBp06bTEYIghgXuIevWr9v87HPTExJUGQ8ATvABPWouiEsWmFlgwYXzF+hIBmxShfX999wa&#10;LREN6F6xQDtg5x0bG7dsxcrMx9YmJs7w9fXt6uoqKS46duzY19v/CZcNyGq4cgQ3JJRX8Ao2zDt7&#10;dnj4Lp2Iz1RQVlLC8YNgsCGCGBe4BucvWECMB3BJqoo8AEjwwe5dO8Vf34U/D92/f58O5Qlj1eCr&#10;uSGXF64nuru6t33+GZ3IWiE8On8BnZggcJZUVI527wWVs3jxEmEXJNiXMyuKs5MzLMxkLAY6O9q6&#10;u3va2tp6b91iJxDC++DiMvImeHp4hUdEaP2G9EmlINXpROaPf/HFFxQDC/oHBv72t0/ZsiAjI0NU&#10;chNuKGybB9yGlNo8EAQxIsVFxdU1NTfr69k3E0Vg1zF1aoKoNh5jMnd2Ch09WOtFZC0wp8AC2Bmz&#10;NQEQPXmysOcKrLvsXaaLq4ECC3gCS29EZFTqnDQQK+s3PA2LcUrK7KjIaF9fX3h0+O4wvD990l7y&#10;w1rAKf4TGRGuNNiQYyqQSCSi0gQjuU8sTeDj5Y2aAEFESFx83Jo1ma+9+srihYvUBB+YRzVlEckC&#10;swksgBPirHyRXViNYmMFji2HvTgdyfAWt4qCxTg4ZNK0xEQQCgsXLSFaQWuXyuDQECdcYNbMWXQk&#10;T3HpNTqSIWxsh+5UVcqVbU5IEFHQA4IgioA+WLd+3U9/+tOUWbNUBR+YujgQkSwwm8CC6qoq9j4e&#10;XktKyiN0Ihw93d10JMPd3Y2OLACe/viC/AKOqUB/dR20oLmxge1eUdPhCUEQUeFgb5+amrply8uL&#10;Fy7y8VK+VJmuOBCLLDCnigWcEkNJSUn6cDV1dHTQkQxFFQVbalO3ZamCU4RAVV5iwcWLdCQjMlJc&#10;XQY4jbbjURMgiKkBUn7TM5s2rN+gqmCiKYoDscgCcwosYJcYcnZyDg6ZRCeCwt5oKlVRw7JWznl5&#10;Z+ncXKiqrGCbClT54wvyC9hC087OXk8fhHaAaINPh05kIZPTExPpBEEQkyIgwF99NWW42E2iGy1B&#10;LLKAE1gQPFFlb1yRw0nW9/T0pCNB4ST7Ke2Q5OTsHBUZPZIrWCLXIsjU4ZQwSpk9m47kuVpcREcy&#10;YmJEVNYQ4DSDnhgUpDRkEkEQU0F9qwXYzJCeMuK/IYtFFrADC2BjZ1oJHmwaGuT0jZu7XnLQu3rk&#10;4g1VZbpPS0x0dnIuLyvTd2Uhg8EJ3Xd0cFRqKqiurulhvUVwRkWIzIPA6Z6VnJxMRwiCmDJjioOS&#10;4qLdu3YKXsdFQEQhCziBBXraYesb4ssvLy+jcxkTHFXWydKFW/KyQCLxoCMFZs6aCd8vnL9gEsar&#10;MeGYCpJmzKAjefLkM0HEZiqAOwKnPqOqZtAIgpgi6sUBXP7ZOdknTxwXZ8CBKGQBJ7BA5Ll2Sikp&#10;Kd6/d09DQ/2ECU70kAw9hb733rpFR7JMBzXGFQ9P76lTp0r7pDmnT9JDJouiqSApOYlOWFRX17S2&#10;j1pH4P0JYtXmEgOcYENV9RkRBDFpiDjYsH6D0myFtrbWAwf2iTDgQBSygFuxwNePjkwBWKt279pZ&#10;UlzkYG+fnpY+frzKMpkCwo43JEUD1RARGUWCDHLP5NBDJghcOVevXqUTGapMBcXFcq47UOui6qEM&#10;L4QTbKiqGTSCIGZAQID/pmc2Za7OVFrnoKKyPOvgAVF1ZRSFLDDFwAK4uYPKA0FQWDiSBZeYOGPZ&#10;ipUc2wC8FjoSFD7xhhymJSYGBgbBamS6yoBTq0CVqaBbvoeytbXN5FhxLbr18qXEMdgQQSyB8PCw&#10;LVteTpk1S7HDwuDgQF7eOfH4FIwvC0wusABkHSyuu3fuAJVna2MDgiBzzWNKI9rgUToSFJ7xhhxS&#10;56QRZXD0SJbJxRnAE+bUKli4cCEdycPpoQyLrqhMBQCnsiEGGyKI5ZCamvriiy/ETFHSPL2trfXw&#10;4Swx5CkYv1VSQX7B6ZzRWzmssmILGgdgWWptbmpoaGhpaSF7VlhiQydNUgwdgEWXXbdAIpGwp6pw&#10;dnK2sR3REGTr7+Pj7eTsospqAqKEbYVevnwlf/tK/vm82uu18OdmzpppQnUkqyoriFWG4OPlvemZ&#10;TXTCAiQmu9sWoNGbYwBgN3CA1eHJ0cERNhB0giCIxdDY2HTyxAl2FBSDge/Piq2SjC8Ldu3azd4I&#10;iuc+DlKgu6O9tbWto7OdWdq9vX0CQREEh6jag3LWbJAFri6uavpyEkhhxOG7w5xmg/Dfvby9gycG&#10;s9+Tg/v3MT8GP7P2iSfJmCewxBIn/dSpU0WowJTCs83giePHL125Qicy6ZY6J41OxAGRZXRiZZUy&#10;axbsHugEQRALA3bFZ/PylHZljIqMnmaQEmdilAVbt/6FcSLY2dlnrnmMjDXlcmEhvLkOEyZI3Ea6&#10;A2iaAtDZ0XZ36G5XT8/w0F1YpO/c6WfWIdBunp6e3j4+Pn7+Y1qkOf2UU1Jma1pcj8gReCbtbW29&#10;vb3kacBziIiMJKv419v/KfvBEUA3LFy0hE54Ay/2wvkLoC1A5SQlJYtqP60Ix1Tg5ub2/ObNdMJC&#10;sYey2EwFAEffbH72OZ4+IARBzBK4cZ0+dar0mlxTNwIsiDOTk/XdyUV0soBj9dVle8fZpjMoLQzM&#10;0NsrZQeyEWANtndwcHN18/Hxdvf00sg5faPuel4eTZqHRTc+Pk5HWxAs4bU1tU3NzbCcwFkSEhLC&#10;Lo2gtaIE8VF0+RLsXK2tbcJCwybHxorNB8/Ato4Ac9PSlQYbckwF8OY/On8BnYiD5saGbJa/LCgg&#10;cN36dXSCIIgFU11dczr7NLsIG0PopND4adP1d38WnSwQPLCgTworSO/d4WEQHDCFveOt3tEUf0Uc&#10;HBxJ0sgEpwkTHB1tx9vq7tGBZczPzz88IkLYrSpsmktLS9l7TUALawQb0ByXLl3q6uoSrTjgLKVq&#10;nPFssxOQnpaub5WtKRzlqkrfIAhimXD2Ngx6NRuIThaINrBAnMAW//TJEz09oy2VBXnHbtRdLy0p&#10;AT0F4sDX1zc6Oko80YicpVSVM56jL7XzreibHd99y5imbGxsX3zxBUxNRBCEjZpQRD1FGyjKAiMn&#10;KJpNKwTDAFv57+/do5Ox6hvyJzhk0rIVK2F7DasprMHHjh3bvWtn/vk8kAsgROgPaQj8R9joXy4s&#10;PHok6+vt/9Qu66ZPKmVrAjVtBkXeQxmAN5PtrsJyBQiCKEJqHyktb1BRWX5w/z4DNLgxprVAwMAC&#10;y0H3eEP1wEp84+aN5qZGJvmCibRwl7iTSgwcWxZTXqm1deR85QRsgtrz9PRUmsw5Jpz4zZgpU5Yu&#10;XUonLIqLig8fPUInsr+odeCq/uCYPRYvXBQXH0cnCIIg8sD6eODAAQOYDcTlRDCJigWiguNo12sG&#10;C2z3W5ub4NSEZV5pYKYq2DKCT+6GGthWd0BV3P6XX3zJvnhEeCLBm7l75w46kZk9Xnv1FTpBEARR&#10;QW5u7sXCS4oZjLAnTEl5RBBrsbhkAQYWaEpJSXFJcRGd6BxvqCnEKsCEczIwVgRNszbUw7OEUXV1&#10;ze49u+lErKYCzmsJCw1bsyaTThAEQVQD99udu3cpJilYW9skJSXpvgSIK7aAHVgglJvcvOHfT1kf&#10;+AUEwhechdMSE9lfcIQ8JGwWQ51875CEhAQ6kqdQPqogeGIwHYmJhga5NhZxceg+QBCEF7Dven7z&#10;5ukKN8B794bz8s7lnsnROgJMFUaTBaCA2Olk6qsLIISOjg46Mnch1SeVsotGOzo4KvXEw1lUz2oc&#10;Be+J2BojAXDRtrW10onstSgt0YggCKKK+QsWbFi/wU1WrI9NQ0N91sEDwsYhGk0W1NTIdb7x8jaZ&#10;+vzGAlYXdtEC8xZSZddK6UhGVGQEHcnDaYwkth7KBE7LxJAQMdozEAQROQEB/k899ZRimyVYF44d&#10;OyZgjyWjyYKGxkY6kuHrg7JgDLo7RvomMLi5cmWjOdHU3ExHMqZNm05HLLrleygD4RHK1YNx4XgQ&#10;4uOn0hGCIIgmONjbL126dPHCRYrpiyXFRUJ1xzWaLOAEFphQNz9jQdL/GHzMV0iN1Etg2UWCAgKV&#10;JiBcvnyJjmQEBgaJ0Kui6EEAyU8nCIIgmhMXH/fiiy/4eHGXgK6urv179zAZ41pjHFmAgQVaQLos&#10;Mrh7jrRgNks422snpwl0xKJ/YKC4VK65yNSpymMSjQt6EBAEERwHe3tS9YjOH3Dv3nB2TvblwkI6&#10;1wrjyIJGeQ8CBhbwobd3tF2Qs5OzCJ3oggDba3bZH+BaefnWrX/Jzc0FKUAPWVnlnT3LzuX19vYR&#10;ZwAmehAQBNETqampG9ZvIG192FRUluviUDCOLGiQt3JgYMGYdHa0sQv7eHp60pHZwdleE+7038k7&#10;f/5vf/t0167d3bKqCRWVVeQhQnSUGAthoQcBQRC9AreUHz/74yCFGrLEoaBdhoJxZAEnoAwDC8ak&#10;RT6wwM3dbJv0c8oVsBkevltTW7Pt8884zRIlEokWlZUNAHoQEATRNw729uvWr5ubls6JQ4SdpHYZ&#10;CkaQBf0DA+yCTRhYwIf2NjlZ4OvrR0fmBadcgSrYmgAIMWCpR41ok//U0IOAIIieSEpOWvv444qF&#10;DUqKi06eOK6RQ8EIsqCpsYmOZHh6mG3onICwF0szbjV54+YNOpIRFRmdmDjD2Undi4V3Q7StNNjp&#10;NiDk0YOAIIj+IIUNwkK51dLa2lpPHD3C36FgBFlwU96yasaJdkJhOYEFN+vkzo3wiAhY8knT58DA&#10;IHpUnpiYGDoSGYqdlOkIQRBEPzjY269Zk6mYoSDtk546dbqqsoLO1WIMa0GTXGCBGSfaCQUnsMDb&#10;TBM3+qRSOHfpRJZtwRhF/AICU+ekLV++Mioy2tp6pC0TAcaiNRVwchDCw7DgMYIghkBphgLsUgoL&#10;L+afz6Nz1RhBFnSxAgvMONFOQCwksIDjQZgYMtrDkwAqYVpi4tonnmQ8C4rmMvHA8SAo7emAIAii&#10;D0iGgmLJo9rrtWPmLhpaFjQ2NrHTzc3YHi4gFhJYwPEgqOmFSDwLGRkZImyMRGhubEAPAoIgRoSU&#10;PFJsvQgLivruSoaWBc1NcvGGZpxoJxQWElgA6lWVB0EVHp7eojU1cTwIgQEBdIQgCGJA5i9YoNhD&#10;YXBwQE2ogaFlAbdDkpnawwWk/qb8AhMoxgR93eGk+Pv5mXbQPqcyR0ycSK0aCIKYPXHxcYq5i2pC&#10;DQwtC7q6R+3h1tY25moPF5DmZjn7io+Jr5eq4GyvgyaasPrp7GjjtHpysLenEwRBEINDchcViyHW&#10;Xq+lIxaGlgXsQkYuLqgJxoATnC+RSMw1QpMTP2HShS85mSOhoaF0hCAIYiRIMUTFUANFDCoLqqvl&#10;uuNjIaMxaWmRs0X7+Zuni5qT4m/q8ROc2MkwTE1EEEQcKA014GBQWYCFjDSFY1o3155Sba2j/YQA&#10;k46f4MROurm5uUswrhZBELGgNNSAjUFlQUdHJx3JwEJG6uH03zN107oaOjo66EhGsFh7HPCBEzs5&#10;KRjbIyEIIi5UhRoQDCoL+u7cpiPZIoeFjNTDWWD8/cy2PRJ7e+3t7UNHpgnHwBMVPZmOEARBRAMJ&#10;NYiZMoXOWRhUFrDjDR0dHegIUQFngQkNM8/INU78hJeJl3Zmx046OjhieyQEQUTL0qVL6YiF4WQB&#10;xhtqhOV4EDjdh006foITO+nr60tHCIIgJoLhZEFPdzcdycA4LPVYiAcBYAcWWFvbmLT64cROYnsk&#10;BEFMDsPJgo5OubAyicSDjhBl1NVdpyMZ5upB6JNK2ZV/JBIJHemN3DM5PLuLagGnuCG2R0IQxOR4&#10;6P79+3QoT1jwaP+6Gvmdq3Z8+cWXre2j5uL1G56mI0QBWCwPHNhHJzIPQuaax+jEvIAVurDwIp1Y&#10;WcXGxcfG6nEpHRwayjp4AIQIvKXBE4Mnx8YKGPfK+dSCAgLXrV9HJwiiFRfyR6+OpuYWdlvOMfH1&#10;9fX3G3VjzUyeQUcIwkJxrTecLNi69S93+u+QMWwKFy5aQsaIIpcLCysqy+nEyioqMnpaYiKdmBew&#10;d29oqKcTK6uMjAwDOBFAi5SWloI4sLa2CQsNE+q9LSkpLikuohMrq5RZs1JTU+kEQZRxray8r+82&#10;We9v375dXVUJBxsbGmr1ZtACEpKSnWVV5xOmTYfvRD34+fkGBWJDL0vEmLLgD++9R0eyJLRH5y+g&#10;E0SB3bt2sk3ry5evNNfmEQf372OyE2GRXvvEk2RsABhxYGdnHxMTExEZRR/QlpMnjrOjRDc/+xwG&#10;0CAMRAEUXrrc1trS3NxcfOVyDytpRSSERkYFBAaGR0ROmDAhcfo01AqWgNFkQXV1ze49u+nErLe/&#10;unOj7npe3jk6MWvLyuDQ0O6dO+jESGKRLQ6mTZumSyWlr7f/k45kxQ2f37yZThDLo7dXWl5RSURA&#10;RUXFlYJ8+oAJkjZ/gZ+fn7ePLwiF6KhI7GVjZohFFqSkzDbpSnZ6hbPpTEycoftGVpw0NzZk52TT&#10;iVHFIoiDq1ev3rs3DCJs+vTpWjgyOGIuZsoUpQnBiBlzIf8i6ICa6qrysjK9egGMS2hkVPTkyWHh&#10;EaASMF7BDDCaLDhx/PilK1foxMoqPS3dT0XZRQuHE7ZmYLu6geGEUBj3rBgcGiorKamprQFxEDop&#10;NH7adI2iEfPP57FblGauzgwPx+xEM6e+obGisury5SuXCi+atD1AFxKSkqcnzpg2LSF5RiIaEkwR&#10;sciCzMfWYuVjpXBWSlifkmel0InZwbGLiOGsAFlWUJAPzwoE2dSpU/nbadjhIDY2tq+9+goZI2ZG&#10;b680/2IhSIHTJ0+YsUlAO1AimCJGkwWYncgH2LDu37uHXSbPjIMNAfZSKqokzObGhgv5+fDcJBJJ&#10;SsojY34EmJpo9lwrKz+dfSYn+7TFWgU0JW3+gtQ5aTMSp02ZHE0PIaJEca03aE8EAiwAdITIU3+j&#10;jq0JvL19zFgTgAZiNAHg4uJCRyLALyAQNEpUZHRXV9fhw1klJcX0ARXcuHmDjmQEYPC2WdDbKz12&#10;4tR/vPX2jOmJK5cs+fC9d1ET8CfnxPHfv/VreN8WLlwM7yG8k/QBRPQYSBYMDd+lI2ySpJrS0lI6&#10;khEdZZ6RhoTujnY6kuHmqrL5t7GYlpiYkZHhYG9fUlx09EhWn3S0zSOHdvm2DlMmK2lKhpgKoAZ2&#10;7dn/yquvT4+Pf+m5Z7/56ksRZhKaELWVFfAewjsJ6gr0Aby38A7TxxBRYiBZwO6diCilqrKCvXt2&#10;dnI276jMLvlTwkeUHZI8PL2XrVjJmA3gM6IPyMOOkHB0cMRyBaYIWw386tWfH2RlTiGCAOoK9AG8&#10;t/AOw/uM9gPRYgQngoODIx0hLDimgojISDoyU/pv36YjGU7OInIicGDMBoWFF3PP5AwODdEHZDQ3&#10;yvW/DgkJpiPERCCeAlQDhgTeZ8Z+wC7wjIgBA4UcskscYi0jRTgZ/KKKv9MTR49kwRacTkwhChXU&#10;wMX8Cw0N9c5OzjNnzWRqG3BSExcvXIQdkkyC+obGr7/5btd334jTR+AmkcQlTCNjUnaQjAkREeHO&#10;Tk50wkKxbwIpqkjG4iytCIRGRi1fuWrF8qVYVNHwGC0TAWWBejhrpBmXMGLY8d23THylCVVyJIWP&#10;YJCUlERKcrHrNwO/euMNOkJESW+v9MSp7G+/+VoM8YOkPQFZ9clK7+Q0wQCh+4q9GKRSqRjekLT5&#10;C5YsXbZm9Qo6R/QPygIxwimQZwmmAoBdKjgwMCh1ThqdiJ7OjrYzZ3IHBwdi4+Lhhs6u3+zj5b3p&#10;mU10gogM45oHyO4fThgfH5+oyAhxthuAt6i5uaWisqq1tRW0grGsC/BerXli3fp1T6DxwABYnCwg&#10;fl8nZxcxZ/pxGiNZgmyClfXYsWN0YoIveXBo6MTRI9I+qZube09PNz2KXRPFyrETp7779tucE8fp&#10;3CCwiwSbbisBIhSMVdR52erMJ598Ekss6xWLkwXsLSlgbW1DLk4YkIw4d4m7rY2NEXVDVWVFYeFo&#10;xI2FmAo4sRQm6jThdIUGNqzfEBDgTyeIsSH+gr//7a+GWcyIPSBh2nQzbikEb2n+xcKqquorly8Z&#10;TGaBwHr+xZ+gZ0FPWKi1oKunZ3hopHDCnf47/f13YAAnN7twEIGIBqIYJjhNmODo6O7ppe9yvBxT&#10;gSVEFQCi6oagC999+83339+jEwwsEA1wgf9z+zdffr5N3zZwkAKz56RNTZhmmeX8rpWVXyy8fPXK&#10;5XNncgzwVm96dvPTG9ZhWWVhsThZMCZs3dBzqwe0gqJikEgkRCu4S9xBLGjRXk8VnNXRQkwFAOeF&#10;m2iNZ07NYwDTEIxOfUPjtm2fHTl0UK+rFFb2VYQ0kNR3fWgUB4IjCllgEvFlnR1td4futra2DQ/f&#10;vdV7i6MVQCg4ODi6urlJ3Ny03uYqdkCwEFMBwDG/m26PDE63Jxsb2xdffMHBHst7GwEiCL756ks6&#10;FxpYkBYtXZY6Zw72AVIP3C1PnMq+euWy/sQZ+Sw2b34OYxJ1RxSywISy0djAKt7d0d7V09N/+zYI&#10;BXY+obOTs4urK6gEXx9v/rYETr47/JJlK1bSibnDTsi0NuXm0XBWZB08wHYDTU9ImL9gAZ0gBkGv&#10;giA0Mmruo/OXL1uChgEtOHbilF67Ta7buOkXr7+GKk0XjCYL/r5tG1P/2ERlgSJ9UmlXV2d3V3dH&#10;ZzvbnAAv0NPDy8fHW40hgROKD5iuf10L2LLA1M8HTn4pGgwMif4EAaoBYblWVr5v34HjR4823LhO&#10;DwkEuhV0xGiygN1Y2aR3h2qAlb67u6etra2jo4PZPsKa5+cfoGhF4NQv8vb2eXS+BW0xTbSWkSo4&#10;nyamKRoAPQUVEuv0k08+gWpAWKqra44ePXqn/05P963mlqaSq0V9vb30MSFAcaA1RpMF33z9TT2r&#10;dLzp+pJ50ieVtrQ0syWCnZ29p6dnYGBgcMgkTlIiYKIxd1rDThw1A1nAybd0c3N7fvNmOkH0wBdf&#10;bf/LRx8IKwiWrc5csnRpxvx5dI4IRHdXNwgC9v2fRJ2fzs45ffJE7qmT9KgQYCqjFhhNFpw4fvzS&#10;lSt0YmWVkZEhYDy/yAGJcOPmjXbQCA9i0x566OH7938gY8DkivnoDlsWmMfL55RA3vzsc9hHUR8c&#10;O3Hq/T/+UUBHNSwk6zY8NW9uGgavCQ4IgtPZ2TW1NXQu2wOkpDzC3gK1t7fDzxw7fPh6VSU9pDMJ&#10;Scmvv/46FkHiidFkQUF+wWnWdsqi/OgMg0NDrc1NxcXFt2/30UMyK8KSZcv1XR1BbJifLCgpKS4p&#10;LqIT9CPogWtl5X/60wcCltBB84D+UBQEcKOLiYlRk2l18WLhgf37BDQewOf72muvotobE8W13kCN&#10;ld3c5XZOra00zsCigLXf1saGrQmAadOmWZom6JOO7qrNhuCJcv2U29s76AjRmd5e6bvvvb9yyRJB&#10;NIGbRPLcS1tO5eZ++MH7qAkEBwTBrl27t33+GaMJrK1tQPrD5kd99vWMGYm//d3vvtuzd826Da7u&#10;EnpUBw7u2T0vNXXrJ5/C+UMPIfwwkCzwl68I23OLZiVYFINDQxfy5Qp9eHv7kC58FkWfVMhQI5Hg&#10;5OwM+yE6sbLq6hbS7W3J7Nqzf/68eZ99spXOdSA0MuoPH3x04tSpN994HTeRgqNKEKxYtXpaYiLP&#10;zY+Xl9eWLS9v37HjxZ+/Mikikh7VgQ/fe3ft2ieOnThF5wgPDCQLHOztHR0c6cTKaqC/n44siaLL&#10;l9gJ7nDNJCUl0wli+jg6OtARCN8H6biI1tQ3ND773PO/evXnuocWps1fAILg6NHDa1avwEh1wRFE&#10;ELCB9eKJtWs//9//fes//1t3cVBbWfHSc8++8urrcEbRQ4haDCQLAAnLjyDtk8LWmU4sg+bGBnbx&#10;IiB68mSLyj4wezw9vOgI0Zmtn3w6LzVVd68BCIL/+27H55/9HaPT9YHggoDD3PQ0EAfvffjn1HmP&#10;0kPacnDP7jWrVn3x1XY6R1RjOFng6elBRzK6O9rpyAJQdB9IJJLYWCyejyBcrpWVP772yQ/fe5fO&#10;tYURBBiRrg/6BwZOHD/+xVdf6UkQsCFhB3/Z9rmO4qCnq+v3b/0azi44x+ghRBmGkwUTWeGOgEVF&#10;HSq6D1JSHqETBEFkMKGFOvbaQUGgb3Jzc//2t08vXbkyPDzSmVZ/goDN5MnRgogDOLvgHNv6yad0&#10;jihgOFnAiTrs6LQUawG6DxBkTGAD99zm53UMLUxISkZBoFcaG5v+vm1b3vnzRBAAoZNC9S0I2BBx&#10;oHvMwYfvvYtmA1UYThY42Nu7ubnRiZUVu1isGTM4NHT23GjBfADdB+aK5ShdwYGtm45GApJl8K8d&#10;36Ig0B+5ubnbv97OhNN6e/ssX74yeVaKYQQBGxJzAOJAl1RGYjbAaANFDCcLAH8/PzqSAdtoOjJf&#10;zuWeYbdORvcB4O5pnqF5d+6M5tewFTCihvqGRh0jCdwkklfeeJNkGdBDiB7YtWt33vnzZOzs5Jye&#10;lv7o/AXGtXqCOCCpjLqIg9+/9etnn3sekxTYGFQWBMpXNjT78IKSkmJ2M35g6tSp6D4w/N7CAPRJ&#10;pezwEYkQ9VjMnl179q9ZtUoXI8FzL205cerUlpdeoHNEPxw6dIgJLYyKjF62YqVIytSSVMZPP/98&#10;zboN9JDm5Jw4Duch1jZgMKgsCIsIpyMZzc1NdGSOdHa0savhAt7ePurrfFkmd/rv0JEpU11VRUcy&#10;AgOwWo46enulr7z6ui41CdLmL9iXlfXmG69jHQJ9U1xUXHrtGhknJs6YJr5S5aQI0l+2fR6fqKUL&#10;Cc7Dl5579t333seSiIBBZQEoOx+v0Q5JZly9AF7XmTO5dCLDzs5+duocOkFY9JuFLLhx8wYdyQgL&#10;C6MjRIFrZeVr1z5xcM9uOtcQN4nkDx989Plnf8fexwZgJBHxFN1Gx8bFi3ljM3ly9IcfffT6v/9a&#10;a5/CZ59sfW7z8xiHaFBZAPj7y4UX1OvchEmcnMs9wzYpA3PmpJql8Vw7nJ3MaodXVVnB/rhB+2L7&#10;RFV88dX2lUuWaN0CkXgNMIzAYOzbs5ckHZhKrPSypUu279ixaMVKOteQKwX5zzz99K49++ncIjG0&#10;LIiKnkxHMtrazDC8QDGkAFS25TSS5oONrQ0dyezJdGSyVFXK9YT1kK/chRDgg/6Pt97+/Vu/pnMN&#10;IcmH6DUwJAX5BfWywHBra5u0ubrWGTQYDvb2v/rVr/6y7XPtkhh7urp+9erP333vfTq3PAwtCwIC&#10;/G1sbOnEyqqlpYWOzIXmxgbFkALMSOQAdxk6srJiZ2qYKBND5Ep1VVZV9w/I2YqQ+obG5zY//81X&#10;X9K5hrzyxpuYfGhguru6z+blkXFSUpLJGTsnT47++JNPNj73PJ1ryGefbH187ZOWGWpgaFkATAwK&#10;oiPZktDZYT4Ggz6plFOlAEMKlOLmKpe/Z+rnAMg+tltkePhu3tmzdIJYWV3Iv6h1xkFCUvK+rCzM&#10;NTA8Bw4cIO4D8TR6Hcn30SQczcHefuGCR3/3h/cCg7V5/nDGzp83zwJDDR66f/8+HcoTxqpVXCNo&#10;BEBxUfHho0foRJbuIsLQVu04uH+ftE9OXWZkZKD7QJGqyorCwot0YmU1bdp0jnfJ5GhubMjOyaYT&#10;KysbG9sXX3wB7kp0bsF88dV2rR0Hr7zxJgoCo5Cbm0uqFMDGZsmy5UY3FYAaKLp86WZ9PWNcBCHO&#10;9kVyuHOnn4T7wPN3dHRwcHC8fKVo745vyaOa8ocPPjLjcBbFtd4IsqB/YODjjz+mE9mnu0zb8BBR&#10;kX8+j1PkODFxBmYkKoWziAKBgUEzkmeadFTm0SNZ7NqdKbNmpaam0oml8h9vva2d4yAhKfntt3+D&#10;uQZGobGxafvXtPZfelq60UsUwC7i6tWrEokkKSmZqfuivhqe7Xhbxf1YWVn5+39873qVXCQQT557&#10;acubb7xOJ+aF4lpvBCcCbKHYNeDMI00RzlGOJoB1DjWBKjiFDkHLNzTU79+753JhIT1kgsTGxNKR&#10;jKKiYjqySHp7pY+vfVI7TQC34M+2Yf6h0cg6nEUGoZNCjasJ+qRSUNulpaWPzJ7NLqoIx+GJqflS&#10;aqMl0QbaJSl89snWV1593UJCDYwgC4DoKLn10tTTFEHWcPomOzs5p85JoxNEAbvx49lRh9bjxsGm&#10;xMXFuaKyfPeunbA5oA+YFHAzYkcY3Om/U2ypyoD0PdIimMBNIvnks88x3cCInDh+nHQ9gJM5ftp0&#10;ctDwwE0VNgkHDuzz9PBasmw5XFz0AVkoEhwHuXCj7jo9xBuSpKBdM4WDe3bDWW0JysA4siBEPoCl&#10;ocG0myOUlZRw+ianpc+lE0QF7Pu+tG9E+y9ctCRRVqSssPCiiYqDiEi5hKhrD2rDWRSgCZ55+mkt&#10;NEHa/AW79u7NmD+PzhGDU11dc+nKFTKeOUsDpx6s4iUlgong5saGrIMHOjrbMzIyOL0ZR/Zg5y+E&#10;TgqFReTy5ctwo9BCHMxNT/tg61YtSiJaSBCicWRBQIC/o4MjnZh4N0WQrrDHpRMZ2DeZD7AJoCMZ&#10;xFMYERmVueYxEAf37t0DcXBw/z7TEgfw/NlWkPrGhu6ubjqxDHbt2b9yyRItSho/99KWzz/7e1Ag&#10;Fo02Gv0DA0ePHiXjqMhoTWOlb9bVwQXbJ9VpMw3//eSJ42fPnYuJiYF9Auc5gCY4cfSIi6tr8qwU&#10;cq+AHwNxcPRIlvpQA0WCJ078r3ff1aKTApzboHov5I9GTJsfxpEFgK+vLx3J0hQ1/VDFA0hXOpKB&#10;fZN54uMjd8Gz+2bBBb9i1Wq4McF9yuQsB+z8W+BamQUZDEAT/OrVn9MJbxjHAZ0jRuL0qVOkQYmz&#10;k7Om2WGwoV+2YqWnp+fhw9rY9gklJcXw321tbeHyVwzMYjQB2z9LxAHsMUBJgJ7QSJQ42Ntv2fKy&#10;Fg4FUAZPPbHWjCshGk0WhMsXjTdRP8LlwkJ2RiLsFLFvMk84UYcdne10JAPuMnBjIuIApow4gFsD&#10;+QHRMnlKDB3JKK8wyTgJLdj6yadaaIKEpGR0HIiB6uoa0g9JFx8obOKTkpIKCgryz9M6SDyBbeHB&#10;/ftu1tU9Mns2rPqKzgulmoCB3CtAT4CqgHuyRncJ4lDQoh4inO3mqgyMJgs43RSbmpvpyHQAZco0&#10;GyWEhYah+4AncOWzA/S6uroUL2YiDohbAaYgDvbv3QN3HB0NlXoFTgD26+rp6bEEP8J/vPX2h++9&#10;Sye8Wbdx02fb0HFgfPoHBg4cPEjGOvpAg0MmzZs3t6OjA/bufJZn+JncMzmw158YEqKqX3NnRxtc&#10;+Ko0AQHuFfDoyJ/ubIcf1si+GDxxonYZCqAMQA3TiRkx7u2336ZDef784Ud0ZGX1s1deoSPhsLGx&#10;abhZ3/vg/n7v3r3g4JDxJpW2nn365J07t+lEZnlLm4ubHg243Xe7s6uTTqysHB0cJB7KuwnA8ZG7&#10;lZPT7dt9Tc1NVVWV7e3tDz/0kCsr01U8DN29285q9mFnN37ixIl0Yo5oV5zg17/9/Wuv/AzeHDpH&#10;jMfOf+3suTWSfSCRSFJm62rvdHCcEBQcUne9pqaqCgbW1tb0AQVKSorP5ebCdZ2aOidQ3vvGAAv8&#10;+fMX4PKfkZRMD6kG/nRYWLibq8vlK1fKy8vGjXtY1S2FA6xHjzzyyP2HxxVdvkQP8ePCubMd3bfm&#10;zU2ncxNEca03mrUACJDfJXBa04qcG3XXOZGSM2fNpCOEH0ET5XYGY/bNgo3IwkVLli9fGTopFN78&#10;vLxzO777Nv98nthqJwdPDKYjGebtR9BCE5Bggmc2ahztheiD4qJiph+SUD5Q2LvDpQr7+xNHjyi1&#10;GXC8BqrsE3B1X716FX5Go4Atv4BAEo1YWlq6e9dO/m6FH/3ombf+87+d5Uuzjwmc/3AV0IlZYExZ&#10;MGXyFDqS0dzUSEeiB06ygoICOpEBCxUWOdYUeMfYcfstLS18rl64gyTPSln7xJOJiTNcXJxrr9ce&#10;O3YMLn7x6APL8SNooQlCI6O++Oc/MZhAJMCZeeLUKTJOSkrSxX2gCKz3isqAyTVQ4zUA4L+Abujo&#10;6Fi8eImqn1EPiUacmZzcc6tn984d8Ef5xELOTU/b8vOfW7gyMELxYzZ/37aNlM4gZD62VjHYRITA&#10;CsSuaSiSsuGmSO6ZnIaGejrRqlw03GVu3LwB2w4S+wmfhaenZ2BgoI+fvxE/kZKSYnYjzblp6UnJ&#10;SXRiLmihCRKSkj/b9ncsVSQevvziy9b2ETHt7e3z6PwF5KCwwHoM3+GXw0p/Mf8CXO+wiYqfNl3N&#10;5QnrN+y7fH191QQTaARzl+gfGJBIJHB/8PX1Aw0ET0nxaRw9kuXu7rF9+/YiVt8WPqzbuOl3vzU9&#10;cSCKnghsDh06RMJfCVqsCoYHtqSwPaUTGSkps0XSYczkaJZvjgBX7MJFS+hEQ8iV394GtJIjsGUH&#10;ieDmDrgZ2JbDOUnCQsPWrMmkE7NAC00AN81fvP4aagLxwPRDsra2WbFqtZ5kNCy9hw7sd3Bw6Ovr&#10;g5V+6tQE9TYJ2HTdrK9PSkrSx02VuUt0dXWNrH3370+OieF4KHZ89+28eXMdJjj/+5tvWoIyEJ0s&#10;YPfkAPSnWAWE0xFHl5UMAXbv2smuEbl8+UrdLZmw22hrbb3Ve4v9SYFKsLG1IWWUJjhNmOBIC2q5&#10;e3rp44bIfl02NravvSp83K6x0E4TmOJGyozp7ur+4quvSOtkvW5sQBYcyTrk4GA/a9Zs9Zc2iGlS&#10;BiYtfa6w7gxF2HZKOzv7adOmkXcANioX8vMz1zxGHtq69S+7vhldofhgcqe66GQBAO87qaEBgGhd&#10;+8STZCxOquQ7AgOCLGOWzOXCQnaZyNBJocmzUuhECOA6v33nTk93N6iE4bvDnM7XgJ56xHH8IxvW&#10;bwgI8KcTU0YLTfDr3/4eAwzFBuM+EPyK43Bw/z71uYUE4nczTJ99zj2HMFKJLib28uXLEZGRbKO1&#10;2SsDMcqCXbt2s7P/xWyQB9mbdfAAe2trmJPYvOmTSg8c2EcnhpKGsC+5OzSyTwL0ZC3gKEjz6LOs&#10;hSYw7171JsqJ48dJ7wN9x0WBOO69dWv+wkVq/gTcAfLyzoJknzlrpgGcfWy9Pj0hoampmcgjgq3t&#10;+MceX0snDzh4KOv9//o9nfDDhJSB4lpvzEwEggmVO+S0RIIranKsXC9dRAucnJ29vX3oRFYJW6NS&#10;JNoBdx+/Bz1Y9XRP9PX1oyMZ7e0ddGSyoCYwDxobm0b7ISUn608T5J/PA00wztr6tvQWPaQAKXjs&#10;6uIK0kHfmgD2dWxNMDctff6CBZue2RQzZTQnburUqXTEYtnSJW/953/TCT/gSjHdSkfGlwVx8XE2&#10;NrZ0IstSoyORAZKWU9MwJiZGf1eURcFptF2nbU11UQFyB4QjnYj4xObJu++9r5EmIMUJUBOIkKzD&#10;WWQQOilUH+4zAoj7m/X1M2fNDA0NPXXqtGLyMNxRjx7Jqq6qemT27ORZKfq+l4ImOHH0CFsTkOQg&#10;EEmVVdXkYFRkdFh4BBlzmJuepqky+PC9d020OrLxZQHA7i4Dm0XFE0gMXL16BZ4bncgcUeJPmjAV&#10;RrbsrBW0q6sLbhl0Ysq4uLjQkZXVnf47/QOjpibTAu5un32ylU54AJoAixOIkxPHj5OccGenkfof&#10;5KDg3Ki7fvXq1Xnz5np4esN9ErbgbGUAjx7JOnTw4AHiwtCfNGEgmoDEFcEudPHCRUQTwCUJIonE&#10;XXp7+6j3CGuhDEy0b4IoZEFggFy5w9qa0ZIAIgFWKXb4GBAbg+4DIeFUBiy7VkpHpoybfFGUpsYm&#10;OjIp4L6mUQ8kogmmTB7pcYWIiurqmlH3gd6qssLyX1BQAFKAcQowyiAn+/R3336Tl3euu6f7/v0f&#10;DGAkAOD57N+7h9EEax9/PC6eZiTu27OXEUmzU+eQg2rQThmYXBdmUciCmDi5JVaEbZPy8s7SkYzA&#10;wCADKFyLIjxCznZ3s15OhJkonObRN/UZuqsnrpWVoyYwD2BnfPToUTKOiozWkyMfdlCw/IMI4BhT&#10;YTppUmhTU9P3398jR2AlNowmgOdDDL2ODo6gCZiEoBPHjzNVn0Ek8XwyWiiDn770E7iO6MQUEIUs&#10;cLC3D2KtsoODA6LyIzQ3NrDT34GpUxPoCBEIxcBDPpVKRQ6neXSvtI+OTAS4lz3z9NN0wgPUBGLm&#10;9KlTJBUc1mM95U8NDg3lZJ/29fVV6mBtbYH93mjim6enJx3Jc7mw8OD+fYLUMq+qrGA0gZub24+f&#10;/TGjCdiGk6SkJI1EkqbKoKerC66j3l6TcYyKQhYAoaGhdCSj/qaI8hFKSkvoSAYIbSxUoA8450Bt&#10;reh8SZoC+w9204fbfaYkC+Au9tqrr8Edjc7HAjWBmIFVkNSTJTtjclBwThw9Yu/goLREAazxnJIh&#10;3j6j2wA2IFliYmPvDg/Dig76QOu8JJIhTDSBj5f3U089BftP8lB3VzfTSBru51qkxGuhDJ7b/Lyp&#10;KAOxyAKOH6G5WSxeWI6pAC4qTErUE3BxshfRtrZW2HzQicnCrvXLTo8WOXD/grtYrSZ35I8/+Stq&#10;AnHCdh9ET56sJ/dB7pkc+K7KQ19ezj2XfPxUVveCWwFoi7VPPBkRGVlaWnr0SJamloP883lM1ZCw&#10;0LBNz2xiNAG8Gzt37+IZZqgGTZXBlYL837z9Dp2IG7HIAvjM3Fi980FXiiQWnWMqgDPMAP4wi4Wd&#10;kwLUm6AznoOriysdyTCVVor/8/6f4C5GJzz4wwcfzUyeQSeIyDicdZi4D0YK+WnSoZg/pESBqrJF&#10;oO9JyDaTi84zsCBC1gXR08Pr2LFjlwsL6dGxAIHCtLJTbEcC7wYJM7Szs+cTZqgGTZXBwT27333v&#10;fToRMWKRBQAnef3GzRt0ZDzQVGBgQsPk/AhVlZV0ZLI4TJhARzK6uk1AFmz95FONShRgzSIxU1xU&#10;TAquwO0rJeURclBYmBIFqlb6shK6uZowgTYiURVYoBTY0GdkZDQ3Nx09kqXeggiPnjxxnF2cgKMJ&#10;CvILmHdjzpxU3fd4miqDzz7ZKv6URRHJgimTR0tNATfrjL9T5JgKoidPRlOBXvHw9GYXMBCP0Uhr&#10;JCwbGNDaKvaiRsdOnPrwvXfphAeoCcRM/8DAiVOnyBhuX/oIimKXKKCHFGAKwUncJWSgKrBAFfDL&#10;5y9cBGv5iaNHVCkDOA6PMg1UFbuZNzY2nc3LI2N2/qSOgDJYs06Dlh+/evXnIk9MEJEscJe4i8qP&#10;wDEVwHKlJ/sbwoaTqSgGo5Eu2I4freAJDA0O0pEogbvV//vVG3TCg3UbN6EmEDP79uwlTnQ9uQ86&#10;FUoUKFJVWUHi/sJCw5ioWzWBBaqALdmj8xe4uLrmnD5JD7GAxYJdsChzdSZHE4BC2ruXvhuBgUFK&#10;cyW0ZsuWlzVSBiJPTBCRLABE5UfgmApiYmLoCNEnnLpGYjAa6QLndinmHEW4T7399jv8Uw+wV7LI&#10;KS4qZvLyx3QfwKafxAzyR1WJAg6lpbQ02dz0dBJ1q0vFghnJM4fvDuefp5t+AqiTw4ezGE2w9vHH&#10;w8PlWu0AoJCY/Ez4JeSggIAyiE/kG15DEhPoRHyISxaIx4+gGFUQxGozhegPJ2dnuG7pxCz8CHDy&#10;0JG4cxR/8/Y7/MMME5KSf/H6a3SCiA+2+yApKWlM9wFs33tv3eKvDAbVlihgqKqsIO3lfLy8mcAa&#10;jQILOICeSEufe7O+Hm7R5AgM2MUJntm4UbGDeUF+gRaVizTlv959l78ygGtNtOGH4pIF4vEjlFfI&#10;pdNgAoIhmRgip8BM3Y/AzlEcktkwRcgXX20/uGc3nYwFaILPtv2d/boQscG4D7y9ffjk5cP9bf7C&#10;RTyVAfHiu7i6Ki1RwAA/xpgKUmbPrqqiEcSaBhZwAIkTPXny5cuXYQyyIzsnm9EETz31FCwisp8a&#10;BRSSPkIKFHGwt//3//f/XB/ET4yJaMMPxSULADH4EUCLMHErAAhMTEAwJGbmR2BDMqPExrWy8t+/&#10;9Ws6GQs3ieTtt3+DmkDMsN0H/HPwiDJoaWkpKSmmh1RwMf8CfFevCQCmE31QQGB4eBhT1V6LwAIO&#10;sbFxd4dHXAlMcQL4E+yCRWwOZx1mFJKwIQWKeHl5fbB1K39l8O7vfyvC8EPRyQIx+BGuXqVFMQlo&#10;KjAwZuZHcHCgSVnihFQzpBMeYNkikdPd1c12H2h074IfnjdvbnlZGWOiVyT3TA4pUUDnKhgcGmIS&#10;EBYuXAhbdqYpkSC30wkTJrCLE6xbv06pJmhsbGIyEnWsUsCT4IkTf/b6L+hkLHq6ut5++x2xhR+K&#10;ThYY3Y8AZzOnNT4nNh4xAObkR3AUtyz4zdvv8K9m+Ovf/h7LFomcAwcOaOQ+4ODh6T116tSz587B&#10;nZAeYnG5sBBuj6rKFrEpunyJSUCAu3pNVTU5rktgAQMsCp2dHWQcM2UKpzgBQ3FR8Y5//YuMDbm7&#10;m5uetvE5vhGFVwry//rpNjoRB6KTBYBx/QjVVZXkbCYEBgbpI9kXUY8Z+xGqq+kWSgxoFFKwbuOm&#10;ZzZqkIWFGJ7c3FwS7a/L5jgiMsrX1/dc7hk6f0BVZQXsvOfNmzvm+trZ0Ua28jY2tnPT02HQ8MD8&#10;oGNgAYFpvD49IWHp0qVkzKZ/YOCbr785fPQIUUjOeusOpYof/eiZRStW0slYfPbJ1mMnqIFHDIhR&#10;FhjXj1BdVUVHMkInaSy3Ed0xv3wEEXKtrPwvH31AJ2ORkJSM6Ygip7ur+2LhJTLW1H3AYUbyzK6u&#10;LnYXU9AEY5YtYrh0iT6NuJgpJAZQwMCCwaEh0ngdNEfKI0oSL0Eb/e1vn5LoCsDb22dMl4c++OnP&#10;fsY/MeH//eqN+oZGOjE2YpQFRvQjNDc2kBgZAqxMfqyOz4gh4fgRWka6spokiqHRIoF/lQI3ieT9&#10;9/+HThCxoqP7gA1IiqlTp5JofwB2/6AJeDYgBgFBsrsdHRznL1gAA2EDC8pKSohBd2JQECeeoLq6&#10;5ssvvsw7f568D9YjBRtmPzp/gcHcB2zgub3y2ms8ww/hSnznnd/SibERoywAjOVHqL0u1+M/IjKS&#10;jhCD4+sjdwNqaFAZAyVybG1G6xaIh3ffe59/lYKPP/lrUGAAnSCiRBD3ARsStA9rPGgCUraIj9SA&#10;rTwICDJeuHAhGQgYWMCOZCTuCUJ3V/euXbt379nN9CkNnRS6YtVqHeWRjmgUfphz4vgXX22nE6Mi&#10;UllgLD8CO9gQri4sYWREYF/C7o/Ari6F6MiF/IuffbKVTsbilTfexDBDkSOg+4BNTExMXd11PqUM&#10;Gc7lniFbeZKUSA4ygQWBgboaXxlTAYlkhAERBNs+/4yRC3DfSE9LT56VYhQjAQeNOib8/q1fiyFf&#10;UaSywCh+BNDF7GBDX19fMZxVlgx7bwEfjZqkKRNioL+fjoxEb6/0N2+9RSdjkTZ/wZaXXqATRKwI&#10;6D5g4+7uBnKcvya4UXedVHyxsbFduXoVOQgwgQU6+mQ5poL+gYFDhw6xBQHs5WLj4jPXPCYq569G&#10;dZHffvsdOjIeIpUFgOH9CBwzte7CFtERzkdgun4ENu0PjJzG4q+fbuOZkegmkfwJQwpEj+DuA4YL&#10;5y+ETgrlqQlgzS4oKCDjR1JSGK8/E1ggkfAt8qMKJk3M38//6NGjf/vbp6XXrpGH4LVHRUavWLVa&#10;sSOU0aOVYcOZOH3aBFYMtRquFORv/eRTOjES4pUFhvcjsCsb2tnZG9cphQCcj6Cjg2YqI1qjkfvg&#10;40/+itUMRY6e3AcAqYKcPCuFTMck5/RJxn3A7l44Gljg4UUGWsOkiTU1N9U3NjBxhUQQTEtMVPry&#10;8/LO7t61E9ZmOjcgzY0N8KcLCy8+PO7hRxdm0KNj8eF77xrXlSBeWWBgPwI7FQfw9/OjI8SosHcY&#10;hvElmTEauQ+ee2kLhhSIH9g068N9AIsoKVtE52NRUlJMon847gOguoZa+H3kg4g1BZ4SO02MEBgY&#10;tHjxElWCgLBw0ZKYmJjS0tKD+/cZzBEJf+jokazsnGzmOcfFxCxazrcLuXFdCeKVBQDHj8CpKCAs&#10;d++OXFoMgtTcQHTHz18uAN500xTFAH/3QUJS8ptvvE4niFjRrvfBmMACTEoU8LQ9dHa0lRQXkfH8&#10;efM4SYNMHLeO/n4mwYHg4OC4aOGi1DlpfMrNRURGZa55bGJIyNlz5zhNmQWHEQRMlLSPl3fm6sxN&#10;z2z6z9//LpSfR+ZKQb4RsxJELQs4fgS9hhfAebN+w9MpKbNDJ4U6OzmjB0EkcNIU29qM7Jg3Xa6V&#10;lfN3H7z99m/oCBEr/fKtk4VyH8AaX1h4kWeJAmBwaOjMmVwyjpkyJS5ezrXf3dV9p/8ODHQJLOiT&#10;Svft3cPEgz/08Li42LhVqzPdPTRLd4yNjVu8eElHR8fB/fvgadOjwqEoCBwdHOempYMgIEkZLi7O&#10;7/yWb3GCv3z0gbEKHIlaFrhL3EFn0Qmcf4MDcMrSiX4ANZA8K2UZ76KViL6BexPshOgEwwt0gL9Z&#10;8pU33sRmSOJH09bJfCAlChITZ/D/hTmnTxI7uZubm2Id4poHHgStAwtu1F0/fDjrzp3bZAovdt26&#10;9TFx8WSqFFjyv97+T6ULv5Oz8/yFi1xcXU8cPSKgMqiqrFAqCLZseZkdZgHMTJ7x3Etb6EQtRixw&#10;JGpZAERHy92eamtoyyzEcmDvM+AGZOrhBRONUQzji6+28yxehBmJJoE+3AdM2SKeqQdA/vk8JqTg&#10;scw15CCbhka639UusAB+f17eOWInGAevdPYjj84fKZuoHrvx4+GmUX9DeZQ6PJo6J00QZQD3IniG&#10;O777trDw4piCgOEnL2zm6UrIOXHcKL0SxC4LYuJi6UgGk/+KWA5e3nI3FAwv0JTeXinP3gduEslv&#10;fsM3JhExFv0DA2dyqd0eVnFB3AewKddUE8AWmWltvHzZMqVFvklgAWgXTQMLYMGG/Tfz+2GZX7lq&#10;tRpJDT/MDhsPCZlUWkrbKSmFKIOc0yfpXENAEOSeyTlwYB88Q8a7MaYgIGjkSnj/j380fNtlscsC&#10;B3v7INb5BJtFg4WSIiIBwwt05H/e/xPP3gebnt2MRY7Fz+lTpxiHPf9VXA2wwMOmXCNNQEIQyDhl&#10;1iymoCEbrQML4JdnHTzA7L9j4+IXLlqiXv24uriy65rAC7G1sblcWEjnypiRPHP47nBJSTGd8wZ+&#10;7eHDWQ0NI+2aCGGhYZmrM8cUBAz8XQm1lRX/3P4NnRgKscsCIDQ0lI5kcNoWIGYPJ7yg99YtOjIR&#10;7g7TzYRRuJB/8ZuvvqQTtSQkJaP7QPxUV9eQGj5wUaSkKOkfqCkk7yA9LV0jTXDq1GkyhhUxNTWV&#10;jDkwgQUcg596YOMHv5zEK8BrzMjIUKxQpMjkKTEtLS1sp8DMWTNramvgqdK5AqAz4GfKy8r4+yXh&#10;tx3cv6+ispxYCGxsbKcnJPz0pz9dsyZTqTBSA39XwofvvWvg2EMTkAUxcbHw7tOJfNsCxEJg7zak&#10;fVIBY4UMAOyZ6MgYbNu2jY7GArMPTILT2aPrMZ/cPPXknskhuYj8jfywiMKyTdZFHy9vWBHJcUVq&#10;a6kLgGPwUwNolOycbPLLnZ2cV6xazTMhAt4KFxfnspISOpdtJ6InTz5zJlfN7QJ+xtfX9+rVK3Su&#10;lsuFhceOHYP7D5nGTJny4osvzF+wgJOQyRONXAkGjj00AVkAb/rEoCA6kdXG55QeQsweN9fRwlZA&#10;d0c7HSFq2bVnf86J43SiFsw+MAlyc3OZDsXTEhPJQe0gzvveW7f4L70A/K+cbKoJ3NzcHn9iLTmu&#10;lBaZvw92/Dx/P2gCxjHh7e0zf+EijcImYmNia2pr2CIgNjbO09NTfWjh1KkJDQ316g0G5L2qqKSV&#10;B+GFb1i/YenSpdoJAoaZyTPWbdxEJ2qBq/hCPn1nDIAJyAIgPEzOPsOIUMRC4IQxt7aacHiBpsZG&#10;rentlf79b3+lE7WERkY9vWEdnSBipX9ggKlzPG3aNDLQjs6ONlgsYcHWaOmF1RH+F9kuw9L41FNP&#10;qVkXGxubSP4kz8CC/PN5jCYIDAx6dP4CTUMp/QICYet/LvcMncsgoYX79+5R5U1wcnaGP6emVh78&#10;R/jvTKDD9ISE5zdvDgjwJ1Md+cXrr7nxe3/41yfVHdOQBXHxcWw/Qltbqxr1h5gfHAtnR6cpWQvI&#10;zdHw/HP7NzxrGr7+y19i7wPxk3f2LFOoQJeKgSTpwM/PX6Oll60JSDqi+r1y3QObLrvhGfzpy4WF&#10;infv3DM5TNJB6KRQWMvJWFNmJM+E9btK/rSH3xY9efKxY8dURSDCM2xubqITeeBXwX9kIgkyV2fO&#10;XzB2hiR/4Lp7+eev0ola4FretWc/negZ05AFQGREOB3JUJWTipgrzqz+Y4bP2NGFW71GiJGEt+jL&#10;z3lFFaTNX5Axfx6dICKmqYmm5iYlJZOBFsCmvKCgICkpSSMfBOyYsw4eYDTB2scfV5qOyKbxQZSc&#10;r+9of5kJExxB08Pmmy0OQBMwUf2JiTP4N2dSBFTOvHlzCwsvcmwDsbFxGRkZsPbv3rVTMZctOGSS&#10;i6srnbBgGzDc3NxefPEFfZj6ntm4IYHfB/ru739rmFufyciC+PipdCSDkaKIhcC+bkG88w8eFhWO&#10;Do50pGf4JyVioQKTQ7tIQ7hkDu7f19HRsXjxEk2rIjKpAXACgybgY0Jnusywn62Hp/fCRUtAlNy4&#10;eQPEQUlJMegDtibQPd8S/gT8HnjCHGUAx5etWBkTE3MhP580VGQbLTj2Cfi/O3Z8xxgwwkLDnt+8&#10;WcdIAjW8/jqv/iNwRRsmWdFkZAGciOxbaldXl4kuDIh2uLLaaQJdXZ10JHqG745YIAlOEybQkT6p&#10;b2jkmZT4yhtvYqECU8HD04MMOEZy9cDiB9vxgwf2Zx3O8vT0hKVRU1UBf46JMfzxsz/m6VbvehAa&#10;SaZsQJRkrnksevLkstJSJo5PEE1AgN8zderUY8eOKb5R8BD8aRAHDSBGVJicScbBvQe+v7lp6Wqy&#10;LQSBf+zhl59vM4DBwGRkARAVGUFHMvTaOQkRGxJ5WWDcrD+NYDKaDMa2bZ/RkVrcJBKMNDQhIiIi&#10;yaC0tFTRPa+U5saGrIMHYAWUSnut7t/Xzj7PmGbnps/lv2MmYRA2tqMVRziMt7X9/ofvyTg2Ll4o&#10;TUCA35aeln716lWQRIrvFTz66PwFin+x80FZAjq3spqWkMCzQpGObN78HJ/YQ8MYDExJFkybNp2O&#10;ZOi1zzIiNjgxVj23RvYiJgez4dMf/E0Fb/76LYw0NCHCw8NI67jBwYETR4+or/d6o+46ad5DjP+A&#10;q6sLGWgErJQkCN/RwZG/Z71/gP5RBxVeM/i17LwDPgWLNAXuGCtWre7vv7N/7x4+9hViJGCL+KCA&#10;wAWCBhiqISgwYNOzm+lELQaobmRKssBd4u7G2jLC6c7xHiHmjXzUYS8diRuOqwt2SHSkN3iaCkIj&#10;o9asXkEniInw+BNrSU4WrF6w5MPWFhazkpJikAjwReL8T544vuO7b/PyzjE5dYRIrbbj5eV0QU2a&#10;MYMM+NDUSAP7lQbTwEVx6kGRRNAEWucdjInd+PEklKG0tJTEE9AH5FE0EgDwPq9cvYpODMLTG9bx&#10;rHvI8xrXGlOSBcBU+X6a2FDRorB3cKAjmSikI3HTJzWofOFvKuBfYQ0RDw729s9s3MjsjkAcwGJW&#10;UlwEEgG+QArAtK2tlYQCAERDAHZ29lo0X4b1m8QDwu/hdK3TmkFWQSQQ+vrTBAwklIHEE9BDLDhG&#10;goceHkcG8+fN01+MoVJcXJyff/EndKIWuMb1ajAwMVnAOTVv1o82q0DMHk6tQ/VGVHGi767KPLcR&#10;afMXzEzWYPOHiAd3ifvzmzfPTUtXk9UCD5HmPUx9WFgUyUAjmKrAcTFTNFojW1tpiXrFfsoX8y+Q&#10;NRiUyvyFi8hBA0DiCehEBsdIABrFwcHxvizcAd69uHjh/Rpjsmb1CjEYDExMFsCpCR8YnWAhZAuD&#10;kyp9+85IczaRY8gnyd9UsHkzLy8mIlqSkpO2bHl587PPwdoPX9MTEuALtAKM4SA8tGZNpn+Af03t&#10;SLMia2ubIM31KNtUkPKIZj2ZhgYH6UiekpJi8jvhKc2Zk6ppHUMB4RgJoiKj/fz8+2X9HkFULV6y&#10;mBw3PK//8pd0pBa9GgxMTBYAWAjZYpkwQW57dLvvNh2JGEM+STQVWBoglMPDw+Br/oIF8AVaAcaM&#10;es47e5YMYCulxQKstamAje340WAa2J2Xl5WR8dSpU9mNEgaHhkhgBPnSqyEQfvnuXTvZRoKMjAwf&#10;H2/myKpVqwzsPmCTMX8eXKF0opb9Bw7RkdCYnizAQsgWC6fhimmVQCbABo6OhIa/qeC113gVW0VM&#10;neLSkf7LQHiEXGo3H2AJ19pUAHR00LIi7Gv2wvkLJKQgdFIokxwIi3TumZzdO3dUsuIBL+TnHz2S&#10;JfiNHX5h/vk8dnZGVGT0shUrJzi7nj13jhyZnpAgVL8DreFpzNNfDQPTkwUApxBydVUlHSHmDjsZ&#10;gV0mSLRwGiLobxfC01SwbuMm7JRoCRTkF5BzLzAwSIuqiJcu0Z5M2pkKmBKHDJcLC4nFHi7heFmq&#10;eZ9UevLEcViPHR0cly9fuXDRkmmJieRrybLlDg6OavobaQHoj6yDB5jChcRIQCpA55w+SfSKj5e3&#10;sC0PtGNm8gw+BgP91TAwSVnAKYR8sw77I1gK7OoojF9QzBimIQJsGo4cOkgnatm8+Tk6Qsyagou0&#10;KkDoJI0TEKoqK5haBVqYChQBBUCiHIBp06bZjR8Pf+Lw4SxbW9sVq1bD2swRLvADqXPSpk6deurU&#10;aT4lB9QzKKvzyBgJrK1tiJGAWDJAr5AXa2Njq75PtCHhbzCgI0ExSVkQEODPLmAAy4OAohIRM54e&#10;XnQkw7Q+d7bzS1hg08CnA8Ky1ZlY6tgSqK6uuSOLnpNIJJr2WoRF9OrVq2Q8JzVVO/vWkMxQwdj2&#10;rl69wrgP4Pnkn8+DP/HI7Nmw9qsJeoiQ1TBW7HukETfqru/fu4c4RAB4QxYvHjFLkGlzYwMTUrB8&#10;2TIjhhRw4G8w0EdbRZOUBUB0lFwWBxYwsBBsWBFMwN0hrq1SzHDqNwsIz03Dk08+SUeIWZP3wFMe&#10;onmtgnO5Z8gSHhQQqHWSXo+sIQKx7TEZDbBNj582HTbuHR0d8+bN5aNXQBko7XvEB+KkyMs7R14O&#10;/PXYuPiFi5YwlgkQQOyQAv41HA0DT4PB3//2VzoSDlOVBdPlu4JiAQMLgbOyknYsYubOnX460huw&#10;XeBjKsAEBAuhu6u7tX1kEbWzs1cs+6+ekpLitrZWGNgIV+OPaV4TFhpWf6OupaVl/sJFnPBhNcBL&#10;mBgUdOH8BTrnB7yQw4ezyGsBvL19Fi9ewimxfOLoEVGFFHCAq5VPDYPayooL+dRhJBSmKgsc7O1B&#10;zNIJFjCwGJyc5eq6D4veWmCAaozffvM1HakFaxVYCKezs8lA0wQE2JEzCYQC1vhrbqLp9b7+fsR3&#10;oGm2JOnwdLmwkEzVA6/i6JGskuIixkiQkjL70fkLOOELuWdySHCSo4OjeEIKOPAsevjtt9/SkUCY&#10;qiwApkyZQkcysICBJcC5tk2rYdIEJyc6Eg7YKFwpyKcT1SQkJaOpwBLoHxggplNYDsMfdFzkw+DQ&#10;0KlTtCaxsDX+SECfs5NzTXW1r6+vprEOhJmzZtbU1sCTpHMVgHQ4duwY0wwiMDBoxarVilWfqyor&#10;mGgD41YpUA/PoocH9+wWtrSRCcsCxQIGffJtaRCzxM5u9BomdzFTwcVZeFlw6BCvkiZPrltPR4hZ&#10;k3f2LMlLnBgUxH9TDsstY1F3c3MTqsafg4MjExPg6enZ0tIydWoCmWqKh6c3SAo1ueicIkVwl0hP&#10;S1ca0ghPiYmpnJuWbvQqBepZt+EpOlLL1998R0dCYMKyAOAUMGCcWIgZ4+g42jCp55ao+yjqW6f2&#10;9kr5lDDCZomWQ0UlbTc/eQrfJghEExCLOmy0nnrqKaF2z44OjkxQ8Pfff29tba1FBQWGwMBAxh/B&#10;Bp4/O/8QiIqMXrJsuVKzBPzwmTO5jFEkKTmJHBctq1cud5NI6EQ1u74TsoCBacuCWTNn0ZGM6ip6&#10;SSBmDLuD+w/f39M9rVl/6Lt94p59B+hILctXGrQ/LGIsCvILSF4i/xJGHE2w9vHHddcEjQ+6KrOx&#10;h+uWJei1IDhkEqdVNACXPzv/kClSpMpSAi+WqAcBjSJ6xcXFec0T6+hENcJmKpq2LHCXuLMLGMDn&#10;3WyCXfUQjYAtCB3JKCy8yDMWyeg4y8dL6s432/+PjtTy9IaxbyuIGdDQSDfTPEsYdXa0ZR08wNYE&#10;gljUBwaUhNnaWFvTkbZw7u3w5I8eyYLLnwktjI2LZ4oUKYUJM4QX+1jmGtGGFHBYv+4JOlJLFr+C&#10;ZnwwbVkATI2LpyMZtdcxH8GygE1IRWU5XPB0LmLc3OU6QOrIhfyLtTwsJes2boINB50gZs3tvj4y&#10;4BPWV1JSfOzYMbJ1FlATqGJgcFBxr68RcG8n9ZEGZa0N2KGF3t4+K1at5uQfcmCHGS5ftozTjlXM&#10;BAUGLFudSSeqyTlxXKjAQ5OXBTFxsXBO04mVVUtLC5w0dIKYI5wO7kkzZgQGBsEFL0JlcHdYjxGR&#10;fIMNn+S11UDMACbVRb39DLbdB/fvKykuIlM3N7cXX3xB35F34x4eB4u61mnknR1tcG+PiY2F35DF&#10;am1AQgsfnb9AfXwlvOTCQprcPzctXWyVi8ZkydKldKQWoQIPTV4WONjbTwwKohNZaHr9DWyRYEG0&#10;tralzkkTpzLo7uqmI6Hh2QQhISkZGyNZDnFxdLtcUVl+8sRxWErJlAD7JdgxHz2SlZ2TTWzpQMyU&#10;Kc9v3iysOZ3dJtTdk1Yr7+hs9/PzZ7dJ5A+8kFOnTkv+f3tnAldVnf7/24womuAPrwoiOBq7psYi&#10;mIYo4YagIaXiPiPoZPbLZcbsP6Zozm/MibTJKEUn11BLzbVEQpE0kc0l2c0GEEEDAlyzyf/j/X49&#10;nHsv997v3c8953nHy9fznEuIdznfz/f5Pou8c05OztmzZ1hSC/nA/851M7SJNEN1RkaEs1Qqnvwm&#10;nVrGYfOyAAgJCaGWgtISHKgoZlQ6GhE4ZZD93Vl6SdSkZ5xi6WyIdYmSAjbBsBUmdm1tTVpa2t49&#10;u0EHwNeRQwf3f7EXdsxc4N3JyWlCzISxbNtQveBExsOHv8AmnlQUw9/r6e0Fclbf9C+iCdq0+X1t&#10;bS03j1Qul0dHj9eSWsgBYogb6OzSzTk2Vnc0XpiwJA5fLSlOS8+gjhGIQRa4ufXgp6GBEFaRyYiY&#10;UEmxJqnXACgDuFlc/eGqYGsTTBi6ZImLOMnlEeF0kUAkAmyFx4wazZ2rwnII6zHAhQcAEASgHuYk&#10;JJg7lk7Gh/ZwdSVuzY0bsFm//P1l4rIAGuJE+uOpx/fv36eXZDJvb1/+aAPtcHUW8K8WbDdDFsZF&#10;Mwm4rNOnqWUEYpAFwADlnlxFRcItWkNMy90nsgAIG/6io4MjbImEXLVoPBWVVUcO7KeOZkaPjcJk&#10;QwnSf0D/P/95Liz8Pd3c+fsl2Cs/27fv1ClTQRBYMpDOdVC4cOGCp7fXnTt3GUuHQPueyjz16Lf/&#10;Ul/B6FGjgway9uuEn8CVHkSOibSV0oNWYUw8/ProkcbGFgloGCKRBSqTk27cuEEtRIyQhGR17Nu1&#10;ixg1migDIczI4CIZpiXjJFMKhTniw4hNAOsfLPxxU+Lmz3/tzSVLyNfMWTPhLWH5pn6wrXd2dgED&#10;Nv05588PHRpafrVcu3AH3ZD62S6ucIDD3b1n5y5dqaML0ATkJ1igzsIyhA4No5ZmGurq0jPoUAyD&#10;EYksgI+Bp0dLQAzef+LeL0ocMrCV8PAXpWx/ogzatLE7f/681c+S+JEME3L0iO4uRh4+vjgEAbEW&#10;JErBjQ8NDg6BjyQYtbU157475+fnB8L98uVL5FGO+w8eXMjP2536WXFJ0aNHv5GLTz31u44daYWF&#10;uzvrPAW4/3Oq4oXBg0WgCYDYmHEsHQ+Nz7wWiSwAuCxcQmUl9jWSBPxDUwIog/Dw4WBkZJwUTrUq&#10;v4zWGCoqq1hmI2FnQ8SKOHTsCH9yJQMOjo7wkSTKAD6wIAjkcnlRYeHhQwcL8vPAzc/NPXrk0P4v&#10;9hYWFf725NQABMEzvXrPn/9axw60PaL60KNWAU3AL0e0xdIDTYweG0UtzRw5sN/IcwTxyAIvL0/+&#10;QRpOThIx/P7HrdKlq/MLQ4b8+uvDx71OhaEM5Lx2nMbAeILAmKCEIOagbVsqgrmbMHwkQRlwc87q&#10;6urg49nc3FRUVHj50sXikqLGxpZO4SAIfLy8l/z1L69M1LsZM18TBPr7i0kTAIwng0aeI4hHFgC+&#10;PkrzxXFyklhR6X/cKq5u7kFBA2FrkpN9jl4SBSwnCHAv7OnuRh0EsThdu3YhBn8sCCiDyKjofv0H&#10;8IegquPg4Dh//msvxRgS7srPBagm8PTwjBgxgtiiYVDIQJYGBkaeI4hKFgQEBFJLwX+uYV8jSaAp&#10;h8Dbx5c0M1A/xbQMxqcEq8B4gjA2KppaCGINunWjrUhrapQ+m/bt2vXr139C7MvR0eOHhQ0D4e7r&#10;4wcGfNnb25PvGRcdrRIh6PJEZGjJI76vmKPIDVYGTWC7LQq0M/zFCGpphqVSSQuikgUqk5Ngp4jn&#10;CFKAG96qTujQMEcHx8uXLurbRMUk/KpoomJCcnLzqaWV8OG6M5YRxHy4udFgVcPPDcRQwcHR0dXN&#10;HYR7QFAQGHUNDaQzgUs3Z/X0QPcnfQw1NUmE+3z68a+5HMPhYcPEqgmA6KhIamnFmL5GopIFgJ+v&#10;UoAFRy2LEr3GnJDChG/PnLFukgHXr94YWGKDeIKAWB34hJKTvrq6Op2fu59u1XIDGgYPGUIMPv0H&#10;9Od+GnwE+D8Q7Pzc3K++OkZSj+3s2oosx1Cdvn382M4RDO9rJDZZ0LdPX2opqK5uZfI3Yuu0tWsp&#10;UNSJfbt2XPohvWQNOjmaQBawxAbxBAERAt27d4c/4XNXVqqtGz3pbUzsZ/v21dR4cWhoKDEqKyv2&#10;f7EXxEFpSTH8eejLA8UlRSQsB9Jh4iuviFsTEFjOEVhmpmhCbLIAzxEkyO07OtoDuLq59+s/AN4K&#10;jO3VhAljVBBPEBAhMHwYbbx9+dJFTdk/P177ATQBWdQft2QODyfX1ek/oP/wJ+MeABAHubk58Cd3&#10;TgeS4k+z/ySO/gQ6YTlHaKiru1JIMy30RWyyAFA5R8B6BNFzu/k2tTTTr19/uVwOGwuLJRmY/C9i&#10;iQp6+PjiCQIiBGCHBks1sWHtB0XO7dDAgL3+8a+PnT17htME06ZN016LGKwY96BShWRn19bTwzNh&#10;dvzYsWP1LWW0Xfr28WPpa3TylIHnCCKUBSrnCFiPgBDChr8ohCQDgzmfrbsGgSW6iCCWAZZqEruF&#10;tR8U+eHDBz/btQO+wIC9ft2TWY493dx1agJC/wH9589/beqUqRNiJpCvRQsXxMZO0CvZSByw9DXK&#10;PEVPZ/RFhLIAzxFEj6uuCeutwiUZnMkywZAxfXFsbR40OxWVVVcZ+nkPCxtKLQQRAHMSEriYgTpw&#10;o4alPW5KnF4bfTe3Hl5enuSLXpIeoUN1f9ILzmcbViMtQlkAqJwj3LhRTS1E2oCe8HjGo7a2ptTi&#10;IzOcOhu1oWFpbugkl+McBERojB07NmF2/ODnn+/p5u7SzRm+wAj09yezHKW8tBtDyECl6YCayM4x&#10;JJtKnLJA5RwB5yMgHAMCAh0dHC9cuGBbMaQLBbo7FgxhGLCGIHyOHDu+YOFixn4YBtNZ3jk0NDRu&#10;StzMWTPhC4yIESMkkh5oJjp1cgyL0N3DMT+/gFr6IE5ZAO9CfmYK7A6phYiRWz/dpBYD9u3aDXp+&#10;0K+/Pjx79lt6yTyo9HczkjMMHQtY5q4iCAEEgZ+X94J5fz5yYH/cy7EffbyJPoDYCP7KXX1b5eQ3&#10;6dTSB3HKAqB3717UUiCE6fuIQOjS1dnXx6+urs5aTZH15UphUcOT/CwtDAwKoBaCaKWy6vpbf1n0&#10;1O9+7z8wuF9AoKev37p3/7Fi5Wr6MGILDB+mO73gaklxRWUVdZgRrSzg+mUSamswYIC0EBAU5Ojg&#10;WFRYaLGqBLkRuQUsMV4sTUTYiRw58v69e8NeDC8rKQkLHXJg/xf+wSG7Pt2SMOfP9DsQwcNYplhc&#10;onerX9HKgv4D+lNLwfVqzDoUFWR2uzEEBARYsirBmBoqlsSC4JAQaiGIViIjo0AThA4ffvbbM9Hj&#10;o2/fvr3t00+3b/33gMCgk2nHY2Ji6fchgoclnciA9ALRygKgJy9gcP/+PSxTFBOdOjlSy1C4qgTh&#10;HzCxJRZgaSKim4mT4koLr7wwbFh+bl54xIvt2raFiz/V1//f//2j4tq1l+OmXi7IHxoaZvLhn4g5&#10;eM5f97lh3pNJ0+yIWRa4KcdUsUwRUWFAQGCbNnb5+fnmOErQKxFSCxWVVSyJBb4+3tRCEA2sWLk6&#10;P/tc4KBBBXn5oWFDOzv9D7n+4JdfUnfuHDM2ct6rc/+28p0bVZXDhw6trMKBMkKHJZ3IgO4FYpYF&#10;vXs/Qy0FtbWmzAxHRIB9u3bBwcH3798rvHyZXhIemFiAmISt23ft+nTLHzw8f274ud9z/Z27dSXX&#10;QRMcPnh43IQJbdva7Un97MXhYes++ri5qWnsqNHnc/LI9yDChDG9oKhY27QqdUQdLXDrwS9TvHXr&#10;FrUQ5Am9ej9DZiWY9YyJ33ZTX8rKyqilGUwsQLQD4vLvK952cXPr0kVub2/v4+VFrv/26NH587mB&#10;wQNJ5AAkAiiD/s/22bX38//+99dpkycdOXacfCciTPoznCPk5unXl0LMsgAgwz0JsCnUNMgLkTKD&#10;B78Af5q1jUE7u8cnuIahfS4tgeWIEZEyn3766e/btOnh5vbzz42Bgf70qkx25sx33Zy79v5DT+o/&#10;UQaPfv3l6/T0jh07Lnzt1U+37aSPIcKDpXtBeZl+xQgilwXubsrpBSbtMIMIhDt37lLLIBwcHT2e&#10;8airqzPtzMOHv9CRr0aSmX6CWprx9aGbPwRplVu3bnXo0KG8uGTIkOd/99RT5GKJIhDl5anafhiU&#10;wYn09OrKipOnT8u7dfv7irffX/8hfQwRGEGBurcERYWF1GJD5LLAU/kd/3NDA7UQEXH//j1qGQrJ&#10;PTzHMKKQnaZmE5xKME5M79vHj1oI0hpdu3ZtamycGZ8wa9YfHTp2hCvXq29cu3qNrxJUAGVQXHjl&#10;XPY5n77PJq9//4MPk+kDiJDw8/WhlmaulhTrlXUoclmg0gUZ0wuQVrFv186vTx+QF5YfoaSd4hLd&#10;iQUsrdERifPWW0u7ODv/6721yR9vnDN3rkz21Hdnzg4PH6ZJExBAGRz68suAwEA7O7tPUzbSq4iQ&#10;6NTJ0T9Yd2qRXlmHIpcFAL+7HHYvQDTRr19/e/v2Fy5cMEexYo8ertTSE5Z8Qy9v3dsFROK4u/WA&#10;fT+sH1+k7po0ecrWLVsWLV5EmhZo58Q3GUcPHXprxcrbTU0jIkZiPwMB4qs8MbhV9Mo6FL8swO4F&#10;CCOk76GgihVZ8g29nmSVI4h2Pt+7e/af5xVeutjh6Y7DX3xxxsxZ5EBBE/UNP2dlnh4bPba93VML&#10;33zrx6vlo0aOxH4GQsPZpSWzXhN6ZR2KXxaodC9oqK+nFoIoQ4oVy6+WGx8wMFVQ6hJD22PMN0TY&#10;eWvpX//vvffv37/3YljY1Ws/zpk7t3cvpalyHA9++SUj/ZuRo0a2a9u2pLTs9789XLv+X3U3b44d&#10;NbqwSL86eMSssGQdXr+uh5iTQLRAeao3phcgWuj3bD+TBAyamxqpZQSNjU0s/Q0x3xDRi4kvx3x5&#10;5GjHjh3nzJr5yaYtU6dPHxr6uEaXz6+//vfwwcPhES86OjqQKz/V19dW/efTnbsePLj/UtRY7HQk&#10;HFiyDgvO65FPLX5ZALh0c6aWifLDEbHi6uZuqoABn3b29tTSB5YsIcw3RAygj5/PydOne3l4frT+&#10;/T+/+trQYcMnvvIKl2rw26NH353L5noccYAy+P5C/o7PUtu1azd14ivY6UggdOrkyNLrkLGsCZCE&#10;LFBJ+DJteToiMkjA4GK+KTdDLgyHf+qwTER1dTUwmRGROLCWnEhPi4qZkP7VsZEjRzt3d53/+uuu&#10;Li7wUF5egUqPIw5QBpknv9m6ffv/dO688LVXP/p4E30AsSosvQ6vV9+gli4kIQu68aIFQB12L0A0&#10;QwIG/6moMEdJgl7U1NRQSzMs2UYIoon165IWvvnWtbLS0MFDLl8p+lNCQnXNzfv376v3OIJF5e7d&#10;xw1CHuccfJO+c9fOXh6e6979xz/W/JN8A2JFWMqRSkt1lzURJCELPL2VcrJu4swkRCvGZxjUmKKf&#10;JksZAku2EYJo4bVX52zauo1MQPjfNxZdLS9/a+mS9u3a0YcVXPtPxeVLl48dPVZ783FuFiiDQwcP&#10;rn5n5bPP+W/5JHnpW8vItyHWwkUR5tFObQ1GC3h0aN+e39SosdEE6WCIiDFThoG+VFXqPu1ycNBW&#10;YIYgLAwPC/06Pb1zly7HDh64XvGfY1+fmBQ3hV+7mJme3q9/v+jx0VmZp0nLZNIg+a03/xoa/uIX&#10;qbumTptBvhOxCixz1aurWYvzJSELAJWmRtRCEA2YqiSB4OWlGpJl4SpDy0UsQ0BMAul3tPDNt54L&#10;Grh/T+rsP82ePGVKlye3zYlxcd+dOXvnzt0JL0+4WXsr69uzvz16BNdBGfxxxtRpf5yd/W3W2LHR&#10;5JsRy8NSjMBS7UyQiizo2rULtRRg1iGiHasHDCoqq6ilGQ8f3d3NEISd116ds3PHtnkLFj3uXDRi&#10;5KAXQklXgw4d2kePj85I/+Y/FZWhLwzu5tw17fiJB7/8Ag+dzvq2r68n/C8lV74fFDII2yBahU6d&#10;HKmlGZZqZ4JUZMEfevWmlgLMOkR04uPj++uvDyt+vEZ9fWj42dg3WDVD2rCbuzu1EMR0LFrw+qat&#10;2+7dvTtxwgS79h19FLlZ7dq2BWVQUlRcUlbm4+XlH+B/+ODhpqZmeKiktMy9e9e/rXyn7ubN4UOH&#10;YhtEq8AyGYGxRlGKhwgAjlJEdNKr9zP29u2///576usD6AlqGQpLNRFOQ0DMxPCw0PRTpzr9z//8&#10;v78sKr9WOSIiAi6CMhg5asTN2luXr1zp2rXLyFEj046nkTcqKINHv9xbu/5fzU1NY0eNxmZHlsfR&#10;UXfAoLn5NrW0IhVZ0Fne2c6uZS7I3bt3qIUgmnn22Wfv37/347UfqG8QTk5O1NKHGzd0y4KOWhva&#10;I4gxuLv1yMnLhT3olk+Sk9b/KzoqCmTB7556asiQ539uaDxz5ruODh2jx0dfvnS5pKzst0ePqmtq&#10;SBtEUtRwMjOL/iDEIvgHBFJLMyytUACpyAJAzrs71zGfsiBSpmev3m3a2JUYN225HU+PsnP7tm5d&#10;761ceSsoGhubzmXnGPzFklqBWIDP9+5+OW5qfva5/31jYfiLEUQZkPQCUAZ2dnYkfgA2KIOf6uvt&#10;fif74suDj377bf7cOfRHIIKB5a4CPPVIkVCqjifvML7coONVoZF+4kReQQF1ZLKRI0d26arU5gix&#10;IY5/fYyv7aZMnU4tU5Ofm1tcUqTvu2X/vi+4gheXbs4zZ80kNjuz4+dkpp+gjgZ27tk7KGQgdSzC&#10;lcIiEofk5rQWPGkH2dTUpFffdQOAnat6pNTL20c9agKCydGBNvPn8PP1YcnMQtTZ+8WBv/11cdt2&#10;7TZu+ff3F/Jh+YeLJWVlly9cih4fDVqB2DGxE/74xz+mbN7y3ZkzP14tT9m2fXhYKPkJiLlJS8+Y&#10;Fz+bOhqInzd/6ZLF1HmC+lovIVlwPvv8ycxT1JHJBg8e0kt5uCJiQ1hMFjQ3NR0+fNDdvWfo0DB6&#10;iYHPdu2gljllwcFjx8xUoAh7/aLikuvVN4DystLm5uZLBfnsmcw2RKtSw9XVVb19JIiPVqvDLazM&#10;rMX5nLz4WbPu3b3z5tsr2tv97tqPP8LF2pu3sjJPE2VQ3/Bz5slT/f39YUu6OWVT4IABI8dGJX/0&#10;IfnfEXNzLjtn2qSJ1NFAWMSILZtV+1VLWhaUlZXvP7CfOo/7P/gFBAVRB7E1+LLA3r79hNiXiW0O&#10;vkk/AX/XuJdi7JVbv2mBLws8PTxjYydQh5mBgUE6l2ETfjCvFCpSzIHSErEqAAujaYoV0RzDhw21&#10;uZ4TIBajo6KrKyuiYiaEh4VeUnT1ADWQkf5NeMSLk155+Ux27r83fnwsLe3f/96689Mt//fe+xNf&#10;jiH/L2JuKiqrwkN1xGZQFrTCu2vXUksmc3Z2eRGnz9ksfFkgl8tHjY4ktjmorqo8l509dGgo+zkC&#10;XxYE+vtHjND7ncb/AGrCyA8mSIGc3PwLBflnTmcarAM8fHy5OkmVeH737t17uBoysqGpuVm9fzvs&#10;QdW7QVdVVrI0fRImcI9+P+k9mzvX+NPshNPfpD/7nP+CN17/9ttv4crjOEHGyeiYCUcPfbl1xw54&#10;U61eviwgZNDePankf0Esg86bhpNcnpOXS50nSF0WbNjw0Z0nNQiODo5R48YTG7E5LCkL9OWnW7Vp&#10;aWnUMZss8A8O+XzvburoA+wqPkvdc/KbdMYFlSz8XFydTGFwde3e091N8bjggH+getcHciBCnSfU&#10;1txQ7whrgSQJDoNfROvy/voPk9e/39HRMfmTT4qvfN+la9fftW3/1zde/+DjT3755eHC11716fvs&#10;kSOH6HcjlsKwvYTUZcG2rdtqbrbMsDHfgTRiboQsC6qrKk/xslgMkAWwjx8fqeNf1Go8UDtp6Rl7&#10;du/WnrIAIsCvTx9PL29vby/Y62NzZY5z2TnU4tGq2gBIQgZ1lFF5/i2fN2oSjhw7vvh/58Py8f6H&#10;H/Xu1XPW9OlLly0PHhg4cvjwNnZ2x9LS3N160G9FLMWoUWN0an2UBaqoFCNER493YGgBgQgQG5IF&#10;Y0aN7j+gP3XYMDh7SBPwA5OSkjRtguFH+QcEBgUGYK6+Zdh34NCbC98g9oIlS+fPm0ts26Ky6vr4&#10;sWObGhudu7uOHhs1a9aMyJEjn3rqd0ePf42awCqw5ClnZGWpxPnU13oJ9S0A2tnbU0tBcxOOUkTM&#10;TvsOHahlUlxdXamlizVrk0BkqGgCJ7k8bsbM5M1b4EYA8gJWJtizoiawDPyUC9sdjQ1r/8nTp/36&#10;D6i9Ub1t86bhL7xw/969//vne6gJhAxLV3VpyQIX5aIjkwzFRxAVLPO+Uq+gU6exsWnBwsWbkzdQ&#10;X0FYxAhQAzl5ue+sShwZEU6vIoj+gI48fOhL2IAuW7X6j3NfBSMqchR9DLFZpCULeijL2IcPH08A&#10;QxCz0r59e2oxwzULMpL3kt4/wivKBUGwc8/eLZs3oRpATEhPd7dZM6b+7a0lGCewLiz9j1mQlizo&#10;oHyD/rnxZ2ohtsbDX4ydRWQx3Kx0r3x7eWLq9m3UkclgPweCQCK9dxAEMRhpyQLApVtL6fmdO3ep&#10;hdgaTc3CHevOFcFaERVN8O66D2A/Rx0EQaQKSyRScrKAD9e1HkFMiGXmc2pJVVPXBLEx46iDIAii&#10;FcnJgh49lPK3m5uEu+lERIBhU5WNATUBgiDGIDlZgDWKiLnh5z0YNlXZYFATIIhk6d7dkF7j6kgv&#10;t0C5rOv2HesfAyMG4OvjB18ez3jI5fKuXbrRq8LA+LwHxrHoKqhoggVLlqImQBDpYNgIEnUkJwtU&#10;qsVuK4bHIzZHQFAQfIU8P3jU6EghT8LsqDb1nwX1mUA6WbM2ia8J4mbMtNHeeQiCWBfJyQKVajEh&#10;JI0jIqaToyGyQF/2HTjE71kEmuCdVYnUQRAE0QfJyQIVLJM0jkiH6qpKalkKfoN9ADUBgiDGIEVZ&#10;wG9dYENdcRBbRCXF1eSgJkAQxLRIPVog5K44iAhQSXE1LagJEAQxOVKUBV26dqEWgpiauoYGapmZ&#10;s9+dQ01goxSXlFILQYTHU48ePaKmMuozmEVD+okTeQUF1JHJRo4c2aVry7ECghhDfm5ucUkRdWSy&#10;hNnxneWdqcMMy9x0PkLWBI2NTUXFtLDievUNgNhAbc2N6upq6hiKq6sryzBJlvnFDg4d+/bxo445&#10;+fs/1n668WNi79yzFwdVICbhXHbOtEkTqaOBBUuWqtQoqa/1UpQFWVlZZ7/7jjoy2bCwYa5u7tRB&#10;EONQkQVvLllCLX1YszZJZRqyFsIiRmzZvIk6VgLuR/AnabdeXlba3Nzc1NRUcD5b8eDj35AYKku4&#10;t7eXo0EFnHxg562zzQN8A0vNZ1Vl5dWSYupoxkku7+/PIjIcPL28qaPMV0ePlFz5ntgoCxBTgbLA&#10;cMrKyvfzps0OHjykV+9nqIMgxnH862N1dXXUMVQWbEjeuH7tGupoxT84ZHPKpk6dHKlvfsjuHxQA&#10;2etfKshvqKvz8PF1c3cnqz5A2qqIdbWrqKyqrm6JeWhCJTTCZ8en/667dZPYePqDmIq09Ix58bOp&#10;owGUBa2jIgt8ffyE3A8HsS34ssDJyWlOQgKx9YJRFlhGE3A6oCA/j4gA2P0TBRAUGGCxwLuY4N9d&#10;gbyLFy0p7BCxwnLfQFnQOnfv3fvwww+pg7IAMSlHDh3kyltcujnPnDWT2HrB8vH26fvsZ5/tMt9y&#10;ci4751Tm6bzcnILz2aA/fH19n/MP8PXxQhFgJOqR3qiYCZqOG6SAASkm/gGBxCApI66u3Xu6u5Er&#10;UgZlgVG8u3YttWQyd/eeoUPDqIMgxvHZrh3UMrMs+Ovf3p6b8CfqmI609Iys06e/Pnqkc5euwSEh&#10;oUOHhgwMwr2sCdm6fdfq5cuog5gOcpIFiqF79+7S1K+mkgVS71sAYKNDxEyoTPE2LQ8fmrITV0Vl&#10;1dvLEwcGBiX9858enl5bd+w4fvyrd1YljowIR01gWq6Wl8Gf/sEhxEVMxdWS4sz0E7AuvrnwjfGR&#10;kbDazY6fAyvllcKWFGDE29uLWpqRqCyw/BR8RAo0N9led6xz2Tlw94x96SWwiRqYNWMqnhSYj+Li&#10;x8UOk+OmEBcBwiJGsH85yeX0f9MFUQkgEUDvguol9TISh6X2R6KHCNu2bqu5WUtse/v2E2JfJjaC&#10;GEN1VeWpzFPUkcmGhw0LDgmmjj4YVmikL/C3pKSkVFVWxk2dFjM+GqMClgFurf7BIYsXL4aX2PgX&#10;UcpwJSG5efmkBlVniamHj6+I3+0LFi4+wsumbxX1glg8RGiF+/fvUQtBTIpTZ70bGbGjs1hfC42N&#10;TWvWJr0+71X/gMC9e/fMmjEVNYFlIBtWX19f4iLG0NPdDVY4+AJptXTJ4i2bNx0//lXexYuw8oHe&#10;ioqZoB5XANGwevmyiPDwDckb4VNAr4qF5uZmahmHRKMFR48e/f7KFerIZFOmTqcWghiBSi+jCTET&#10;vLw8qaMPLNGCMEO7GF0pLEpMXNmjR4+ViStQDVgYkm+4bNVqXx9veInhReSS6hEjIVUJKhWz8G4/&#10;fOTYyW/S1aMIHj6+K1etElN3DZbuqBlZWSpVG+prvURlgUr/Y5QFiEkwSYtDwHyyAO6Ss6ZPf+2N&#10;hbNmTKWXEAvy9vLE1O3bYDvb1Nyss/MMYjDw6QgdGhY+PIxbAuGdv3v3nq+PHmngdRsD4ufNX7pk&#10;MXVsnFcmTuZai2pCfTVHWUBRkQXY/xgxCd+kn6itraGOEbIA4H8AW8U/OOTzvbupwwbRBEuXLY+N&#10;GUcvIZaF3LjhjkpqyUjYgD6GGAHIrNLSxyUe5WWlRYWFXGwgbsbMhIR4Thw0Njbt2JW6bUsKXxyI&#10;ptGkzpsGgLJAIygLEHNgkhaHBMM+4VqAG2JEeDhqAusCLysJ85DsMPWILmISKiqrMk5mpu7aSfQB&#10;yC9+eAweXblyFT/eLg5loPOm4SSX5+TlUucJ6mu9RFMO/8Bwz0UQfblz5y61ZLJ2dm2pJQxWJK6M&#10;nRSHmsCKkHxDL28f+BN2tHCPRk1gJuCJBR1w/PhXIAjgeV69fNnby1tWfXgUlBk8RH2ZLHX7tg3J&#10;G6ljm4DWoZZmWEZ8AViJgCAmg1/V0tG42YCwp6SWZgqLdE8FJMCCdOZ05qtzDY9eIMZTXFIKf3p5&#10;eTU2NsEulvEejRgDiIOtO3b4B4fAwr9mbRK9qgAeenfdB9SRydavXcOysgoWlvFdjKAseExdQwO1&#10;EMRQVHoZdXI0dmSwTsaNGb1g4eJ9Bw7pvJ3l5uXPnJ2AdQfWhfQ39PXxKip+rOdI2AAxN337+G1O&#10;2eQkl29O3kACNhyxMeMWLFlKHZksJWUztUSKqytT31WUBY95+OAXaiGIoTQ3NVJLQTt7e2oZBMsH&#10;2MW1x5ED+99c+EZ4aOgrEye/vTwRJMKV1lq9zp83F9vmWB3S3xBWKVBpYHh56W5Di5gEEMQfJn8M&#10;RkpKCrnCAZ8LDx/aRiJ1+zbbDRiQN5V2nF0eTzzXiURlQfv27amFICbi9h2l4RoubJ9ATbB8gCdP&#10;m37w2DHY7vgHhxScz4abGtcNHlTCgoWLNyRvBKEAOySbjo6KBniNyNlQednj0wRfH5QFlmNQyEB4&#10;8jPTT6gEDIA5f36VWmIPGHTs2JFaWpFoJQLAH6KIs5UR41FpWjB1ylQ3tx7U0R+WOXsqJddwv4Md&#10;Ayw5169fb7V82UkuJ+fZrq6unOwgTWA4xNTdRVDAqzNt0kTyknFlivQxxCKARAbdTCpB6KUnjBo1&#10;hqtptNHyEJZeRuqdjwH1tR5lwWNQFiDGk3U6s7KygjrGNS0AyCpCHQ20eoPjuFJY1Nx8m4QWQSs0&#10;Nzfr7BivEzK7ljq6YO/f17179x6uTMEVlR52NgRpVPDuug9iY8bB3VX7a4eYCbL8qy/8RDEQ20aL&#10;FVEWmACUBYhp4TctsLNru2jhAmIbBizq4yMjqaMBAzoaEYhiIDb/SJLMm6FOa1wqyFdpEidk4Plx&#10;dGTKsnRwcPD0Ym0rpBJfUUFTuIU0Kjh47Bg881zYgD6GWAqy/Le68Nt6wIC/ZGui1aUcZUELfFkg&#10;l8tHjdZxC0YQ7ezf9wVXoOjSzXnmrJnENhiDP+dCoLGxieTbs1BcUso4+am25kZ1dTV1dKFz82QO&#10;nOTymbMT1BM8yaoDrxc3FgH7T1sFTQED/rGdzYk2+LgFDhhAHc2gLNABygLEtHy2awe1ZLKebu5x&#10;U+KoYyj87YsmsE2eSah4MqJXJ1yT3VYB1UK67qucEZC7NrnIjUXANA6roClgAK9RRHg4CYaBtkvP&#10;yLChgl5jzhxRFrSAsgAxIT/dqk1LS6OOTBbo7x8xQnc/Iu0YfFiIWBFYXeIT5hScz16wZCkXM8B8&#10;Q0ExMDAIln91SU3yP4jNf/mEDz83QhNRMRPWr1Nq6ERQX+ul27fg6Q5PUwtBjOYX5dYXjo6dqGUE&#10;LO1uWIqVEUsCW0zSPGfblhSQCOQieZlIowLQBP7BIYrLiHWYOftxu0/1WsTpU+PghSM2/+UTPjdu&#10;6I51sWfPSFcWOLBVcCIICzU1tdRS4NS5M7WMgKXIuLbGZB1PEVMByiB2UhzsR7Nz6FgarlEBaTbl&#10;60v75yBWgSz/Xx89orLwwwtHFAMAL9+OXanEFj4F+XnU0oy3N2ufDOxyiCAm4M5dpV5GPYzoWMCh&#10;PeOdwJ5/h1iSgAB/+JPLQigqLIQ/+/bxKy55fMXDExsZWROy/Le68NtowKCqspJamnFkntKCsgBB&#10;TMBdZVnQwRRtNF0ZSvmtkmyP6IR/C4al5WpJcZiiv2FZGRmLwBrORcwEWf7VF34bDRjozE0G2JOQ&#10;UBYgiAng31xcujlTyzgYSwywsbHA4Q9GIm0h/HxxSJKVEVPA4JxaO2d1uLkPLKAsQBBjuf/gwa+/&#10;PqSO0SOV+ZAtpnbIuF5EsPDzDTPTT8ANGtYkxSOINdESMIidRKuLQTekZ5witmBhuQP49elDLQZQ&#10;FiCIsdTfukktBSYcqcxSjKCljB4RAir5hnrdoBHzAcv/6LFRrQYMpsRNopZMtumTx6MXhQwZ2K0d&#10;9jIEAGUBghhLXUMDtRT8gVcHbCQuLi7U0gxLEjJiRbh8w+uKjkl63aARs5KQEA9/qgcMerq7xc2g&#10;XUqvlhTvO3CI2MKEDOzWDnsZAoCyAEGM5a5y4165KaoTCSy5aZcKsHWBcIH1hss3JHEdlgITxDKQ&#10;5b+hru7AwcP00hOIYiAIPGDQ6rhUFfTKckVZgCDG8nPjz9RS0FluMlnAkjwMNzXMOhQsJN+QDJMk&#10;cR3MNxQUZPlP3bWTuBy2EjBgyTd0kssZ85cJKAsQxFi4wYmAqcoQOFg64uXkYsBAoJB8QxLCvVSQ&#10;DzdozDcUFGT5b3Xht4mAAUu+YX9//QJUKAsQxCh+uqXU39CEZQgElo54pBoeESBP8g29KyqrGurq&#10;9L1BIxaALP/qC79KwCAtPYPYguICwxkiCVaxg7IAQYyivl4p37Bbt67UMhHPMSwkebm6A4mIVSgq&#10;LCQhXLKr0/cGjVgAxoBB1unT1BISZ05nUkszeuUbAigLEMQoGurrqaXAxUV3a0K98PXR/ZEuOJ+t&#10;kkqNCIHbt2/DYkMiBCTfUN8bNGIZyPK/ZvUq9ZIE7hTvfLbuzD4LQ0JQ1NFMyMAgarGBsgBBjEIl&#10;39DLy5NaJqJvHz+u55oWuKk8iHAgPQ1JhIA7TXj8ACIwSMAAllj15kWBQTTtFxQeMYQDS1KRAe2z&#10;UBYgiFHw8w2dnJyoZVKGDA2jlmby8wuohQgGMrGCRAi40wTFI4jgIAGDY0ePEJeDtKcksKT9WxKW&#10;xILgEL2neKMsQBDDUck3lHfWva03AJYGOJheIFh8fbxJ9wLMNxQymhRbD97Esrt371JLGHytJmLU&#10;YUlOUkG6sqBZuQUNghjAjRolWeDuZpa9IEsDHEwvECYkQsCfloQIExIJcHV1JW6rkNdRIFwpLGJJ&#10;LBgYhLKAGZUB+QhiAD8rtz127dGDWiaFcSJq4IABs+PnrFmbtHX7LrjHoUoQAiRCwJ+WhAgQWGKT&#10;kpLAGDt2LLnSKo8ePaKWAGBMLDDg3AoPERDEcG7dukUtmczOrq2bm1lkARAVM4FaWslMP7E5ecPq&#10;5cumTZoIKsGzV28QCvC1IXkjfKWlZ4BcIAN7EMugnG+IskBwwIfi7eWJ4yMjC85nL1iyVF2C8w8O&#10;BFVIYqbEAuApTfIHbijUgvf0j9eoJSLeXbuWWjKZXC4fNTqSOgjCRnNT0+HDB6kjk/V0c4+bQuex&#10;mpyt23fBYk8dEwE7CTd3d2Lz6+k7duzYasI8Y9ACAUB+gTIDI3nzlpER4a9MnAyrjihvpLZIY2NT&#10;dk5u1unTXx89QuLw8FlY/Ne/witFvoGjorJqTsKc8mKqpHfu2SucTwF/jdbEu+s+iI0ZRx0NqK/1&#10;KAse4+vjFxCkX2UngpSWFOfyEv0GP/98aGgodUwNbPFhQ0Mdzfj1H1B06SJ1LIKTXN5qJl2rfXtg&#10;s+Wo1gXSz9dHfP2AOVmQkZXV090NbqdhESO2bN5EHkUsDOiAouKS4pLSq+VlxcXF/NlCUTETQoeG&#10;tbp2ghb/6IN1/PN78mpSx6qkpWfMi59NHc2w/MIoC1pAWYAYyTfpJ2pra6gjk02dMtV8hwjAwMAg&#10;nRlGC5YsnT9vLmiI69U3SkvLamtuVFdXV1VWCrDkWjv8SAaHg4NDq0UZraZkWldtEFkAmiknL5fY&#10;8fPmL12ymD6MmA148zc3325qbube/5cK8lU+OP7BIYFBAwMC/EMGBqm/SUBDHDh4OHXXTvKpcXXv&#10;WV1ZAQZ5NRXfYn3WrE3anLyBOhqAf+bne3dTRzMoC1pAWYAYyd49u3/99SGx7ezaLlq4gNhm4u3l&#10;ianbt1FHA1puBGTDBAbsmW4rynDKy0qbm5sVD9IKe9HTqtpwdXV1VutNaeRJCpECJEJADoCWrVo9&#10;a8ZU+jCiJ2Sxp86TFE6ALPxgaNG+8KFwdHT0Dwjs3r17D9fuml5B7mSB+5TFzZg5bty4uJdjiRsV&#10;M2H9usdpiUJg1KgxOrU+oxJFWUApKyvff2A/dVAWIPrz063atLQ06sDnxcMzNpYpK9Bg9h049ObC&#10;N6ijGePjnBWVVdXVN6jzBE5MqECGBaugvj8TN2ThoY6C//73vx06dJDL5SA4Mk+dLDifrf49SKsY&#10;9ubhDrO8vH1A0hEF4OraXednAQQciAx4G3PKGH5U7KS4KXGT4P/la3GSJkJs68J4pMiYCYGygIKy&#10;ADGS7O/OXv3hKnVksuFhw4JDgqljHmA3EzhgAHU0I9hdaatqgwR7qcOjVbUhkZCGxGE5P+KSVBwc&#10;Ovbt40cuskCiDqADamtuqCQZwN87/MWIgAB/bu3nEkQAePT48a+IbXVYThDYjzxQFlBUZEFQ0EBv&#10;H93jaxGEY/++L+7fv0cdmez111/v0L49dczG7Pg5OpfGPv0HjBw9hjoSoL6+/uEvD6jzhGYF1HnC&#10;gwcPbt28SR0eFki8EN8tVMjAck4MctZADstaPWUIixjh5e0DUsDXx1slrgAqNvall7i4BUtKv8Ug&#10;hS3U0QD7kQfKAoqKLBgWNszVTVWfIogmVE4QXLo5z5xF57KbFXOUKSIWYMGSpdRCjIOfEMNHp1wm&#10;pwwk6uDt7dXDtbuWMMOVwqJFCxdxMkJQVSSgV8IZKp7YdQzKAsr57PMnM1smZaEsQPRC5QTBrKWJ&#10;fBjvCPMWLBr8/CDqIFbi6NGjOlNEEVPBT90g6QVgkLMGfQ8aVOoSQU+kZ2QIp4Z2Q/LG9WvXUEcz&#10;eRcvMv7OKAso6SdO5BW0TJxDWYDohcoJQsLs+M7yztQxMyzxQyyRFwL82/fOPXuJgRgJSxahwZzL&#10;zklJSeEHHkATbN2xQy9VYW5YahD0KppAWUBRkQXR0eMdMEkYYaO6qvIUL9Rk1uaG6jDuFYTTd0Wy&#10;8F8p8d1CxURFZVXGyUyuUQGHf3BIYuIKQWkCxhoEvTIh1Nd6nInwGNQECDtXf/iBWgo8PDyoZRGG&#10;DxtKLa3AbY5aCIIogDX1XHbOvgOHQLGtWZs0O37OKxMnw6IYHhq6evkyFU0AG+7NKZsEpQmAw0eO&#10;UUsrEeHDqGUQEo0WbNu6reZmy0jcKVOnUwtBtKIyB8ECXYzUYYkiwkaHpcEZYj4wWmAZVApfr1ff&#10;AMC4fft2Wenj/l1NTU06z934hEWMSEhIEOYEEJOfIAB4iEDhy4I2bewmTppMbATRTn5ubnFJywTC&#10;Z/v21T6J1Rww1iMcPHZMaHsdScF43IMIh7gZM+HjLExBADDOQdC3lhIPEVpBfGNaEDNx/8GD8qvl&#10;1FHw/KDnqWVBwoeHUUsrjPFGBJEm/sEh8EUdRRPDd1YlClYTAFmnT1NLK0aeIAASlQV1DQ3UQhBm&#10;Ci9f5oYgAJ4enhYrQODT092NfzvTxL49qdRCEEkCH5OwiBHwFT9v/oIlS5etWr1zz174yrt4EbbF&#10;n+/dvXhxy8gA9dmegqKxsYml3jUqZoLxG12JHiLw5yQ5O7u8GDGCOgiiAZWsAsCSdYkqMJ4jCKo1&#10;m9TgHyJgOyOzojJCk33Hzw/LM04QsBbm+8hjbsFj7t679+GHH1IHByIgbBz/+lgdb4KLBWYjaYFx&#10;PgI2MLAimHIofPivEXv/H6vAkmzIPgeBD+YWPOZ61XVqIQgb+bm5fE1gZ9d2+DBjD/CMAe5fUTG6&#10;RUlm+omKyirqIAiiGSFrgnPZOTo1ATB6bBS1jANTDmXWigMjtkJpSTG/+gDo/2xfq79tItkqID5L&#10;3UMtBEGUqa1RHekpTI4ePUotrUyePIlaxiFFWVCj/FZoa2dHLQRR46dbtRcuXKCOAicnp4gR1k9G&#10;GRkR7sEw9nPfntTGxibqIAjCo7q6mhhhAk4vq6isYkk29A8OMVVBshRlwYP796mloG27ttRCEGXu&#10;P3hw+nQWv/rAzq5t5BjdzUctQ/T4l6ilmYa6uvSMllbNCILYFocOM4UKxkZFU8topCgLGpuU5nJ2&#10;6epMLQRR5kzWaf5IJCAiPNzNrQd1rM24aKZzhE2ffEwtBEF4VFVWUkvAbNuSQi3NOMnlMeNRFhjB&#10;7dbGdSOICpcvX6qtraGOgsHPP99/QH/qCICe7m4siYdXS4rPZedQB0GQJ3B5fP4BgcQQGvsOHOJG&#10;PGth9NgoE6ZMSvIQ4eEv1JLJ5HI5tRCEx0+3ai9fukgdBZ4enqGhodQRDIyJhykpujccCIIIDcZQ&#10;n6mSDQlSlAUN2OIQ0cW5785RS4GTk9OYyDHUERKMiYeZ6SeuFCoVUyCIxBH+J4KxLjEsYoRpp59I&#10;ThbU19VTS0HXLt2ohSBPyM/NbWpWyt6PHBPZoX176giMuKnTqKWV3buxUhFBWmhuvk0ttT6JAoEx&#10;yBdponYFHJKTBXX1SrIAQVRobmpS6VIw+PnnhZNmqE7M+GgnhrOw1O3bsLURgtgK57JzMtNPUEcz&#10;Hj6+Jm9wLjlZ0KAsC1xcsAwBUeLs2W+ppcClm7MAUwr4dOrkGDspjjpaSUnZTC0EkTzFJaXUkskc&#10;HDpSSzAwhgpYqpT1RXKyoKmpkVoKsGkBwufHaz/wmxwD0dEmK/sxH1PimBKOMGCAIBy3b7ccIpj2&#10;bN54GEMFTnL59KlMWwK9kNyopNTPUiuqWmpVp0ydTi1E8tx/8ODYkcP8RgWB/v5CaGjIwtvLExlb&#10;oYUNG04dxJwU5Odxd3YclSRAhDzLanb8HBZZED9v/tIlLbOhDQMnKMo2paRwlQj29u0nxL5MbATJ&#10;z83lZxU83eHp+fNfo47guVJYND5SKO0XERVQFgiQBQsXHzmwHwzDBg+aj3PZOdMmTaSOVjKysnq6&#10;u1HHUHCColJ14tNPd6AWInnuP3hQfrWcOgqGCjulQIW+ffyE3NcdQYRG85O+dv39hVWGwJhVEDdj&#10;pvGaoFWkJQuwOhHRRE72Of7sA5duzoJqaMhCQkICtRAEsU0YswqAhIR4apkaaR0ilJWV71dEjQj9&#10;+g/o18/Gbv2IOWhuajp8+CB1FEydMlXIRYmaYDySHDk2asaMGdRBzM+gkIHUQgQDt8bBtvudVYnE&#10;tjqMH2ET/s5Szy1IP3Eir6CAOjLZsLBhrm7u1EEkTNbpzMrKCurAm9/DMzZW96wBAcJ+Krlzz15c&#10;qxApw61xC5YsnT9vLrGti4WzCgjqa720DhFUZid27oqHCMjjUAFfEwDDhw2jlq0BKz1jhgFOSUAQ&#10;obFi+XJqacV8WQUEacmCuvqWknR7+/b27dpRB5EwFy60BJAATw/PzvLO1LFBGDMMMtNPpKVnUAdB&#10;JAbsy6klk3Xv3p1aVmXfgUMsExAA82UVEKQlC7AMAVFBTKECAnvAIOmf/6QWgkiYHq7WlwWNjU1r&#10;Vq+ijlbMHSoAJCQLqqquU0sBliEggMhCBQTGgAFsTTYkb6QOgkiJpifViQJhx67UBuX+qpowd6gA&#10;kJAsqL6uJAtEcPdHjOT+gwciCxUQBoUMhC0FdbSybUsKbFOogyCSobS0jFoymau1owUVlVVcv0Xt&#10;xM+bb+5QASAhWXDrp1vUUtCx49PUQqRK4eXL1FIgjlABgXFLARuU95Lepw6CSBILLLTaWbmS6fjA&#10;SS5/da4lepNISBb8dOsnaslkbdrYdemKsxMljXpbQ3GECghwp4ONBXW0krp9Gz/9CkGkAH9OknVJ&#10;S89g7F80c3ZCp06O1DEnEpIFNTdrqaWYRUstRKpU/HhNpa2hyM6VYGMB2wvqaCUpKYlaCCINykpL&#10;iOEfHEIMq9DY2MSY+evh42uOYYmtIhVZUFamtC/EfEPk+++/p5aCwUOGUEssgPaF7QV1tFJwPnvr&#10;9l3UQRAp4ehozS3ijl2pjEWJc/78qsV2s1KRBTU1N6ilAPMNJU51VSV/gPLTHZ728vKkjoiYP28u&#10;bDKoo5WPPlhXUVlFHQQRO01N1s+0vVJYxJhpGBYxIjZmHHXMj1RkQZXyLU8u70ItRJJc/eEHaikI&#10;HijaNsCL//pXammloa6OMe8JQURAwflsYnh5+xDD8iQmrqSWLiw8BU0qsqCuvmV2or19ewerBo4Q&#10;66LSwsjOru2z/ftRR3SMjAhn7G6EfQ+1A0/OhuSNs+PnDAwMgj/p1dbw7NV71KgxCxYuhu+HHSG9&#10;igiSjh07UsuybN2+i5Mm2ombMdPC40skIQvq6+rv3L1Dncdnrp2ohUiSstJSainw8fbq0L49dcTI&#10;ihVMjdaBv725BNsY8IFnY9+BQ7DAw0o/L372+rVrQDz18vAMHRpGv6M1SNOIIwf2w/ePj4wEGfH2&#10;8kSUXMLB6udl8At89ME66mjFSS7/y+JF1LEUkpAF5eVK+YbdnLE0UdL8+J8fqaXg+UHPU0uk9HR3&#10;W7BkKXW00lBXt4I5sCluYJcPa3nggAFvLnwDFni4EhYx4t11H+RdvPj53t2zZkwl39Yq76xKPH78&#10;q4ysrGWrVnv4+MKzmrp9G6iKUaPGbEjeiMLL6lRXt6SaeXt7UcuCrFy5irGn4WtvLLR83ZwkZEFl&#10;lZI27O6CskC6/HjtB36yofjqEltl+tQ4xtxDWAIlvq89l50zO34O7PJhLSdXYPcPa/yWzZtiY8ax&#10;36NBjYF6AH2wc89eco5ztaR4/do1EeHhKA6Eg6ODA7UsxdbtuxgbFfgHh2gXoGZCErLgxo0WbYiN&#10;jCROZWUltRT4+flRS9TAYrZyFWtG4d/eXCLNqgT4Vy9YuHjapIncXRuWcxAEsPs3phHeoJCBIClA&#10;HBBlBttEThyQb0AszHVetMDCXCksWr18GXV0kZi4glqWRfyyQCWxQM7W4AURJSpDEMSdbKgCLE5R&#10;MROooxVpViXAHi72pZfIeQHgJJcnb94Cy7mpOuPC87937x6u9SQRB69MnIw5iZaHv1G0cDYfe/UB&#10;vFX69rHOpkX8sgATCxCOih+vUUvBH3r2FHeyoQorE1cw9j2E7bJ0Ghw1NjYtWLgY9nDcca9/cMi+&#10;L78cGRFOXFPRqZPj0iWLQW1wr0LB+ezxkZHYS0oirFmbxFh94OHja5nxB60ifllw9epVaino9Yde&#10;1EKkR2kJ7XhKCAmxZt9TywPL0t/fXUsdXcAyKYWNLPwbJ06cxAUJANAEm1NMFiRQB9TG1h07+PoM&#10;nmrQJZhtYDFqlbvbWYZz2TmbkzdQRxcrV62yfKYhh/hlwY3allEI2LFAyjQ3NTU1t9x5n+7wtJtb&#10;D+pIBliTGI8SgMTEleJeq0ATzJo+nd99lmgCc9+R+/bxU1EGoEviE+agMrAM1dXVxGBs6WE88Mq+&#10;Pu9V6ugift58Cx9tqCByWVBWVv7w4S/Ukcm6du1KLUR6qNQl+vp4U0tisB8lFJzPFvHY5X0HDo2P&#10;jOTXiVlGExDUlQE826gMxMqixX/hv9O0YN3jA4LIZUHpkzFZBHd3d2oh0uM/15QSCwICAqklMfQ6&#10;Skjdvg2WT+qIiHPZOW8ufIM6CmCFTkp6z5KRW1AGKi8EKgPLcKkgnxgOFqlO3JC8kbEiEbDu8QFB&#10;5LLg2jWlDaKLq+SCxgjhp1u1/BMEJycnKY/L0usoYc3qVSJLMoB/jnpEF1Zo8+UTaAJeCK42gYDK&#10;wAJwG3dPL7OHDEGArmebhwRY/fiAIGZZoFKa6OzsYt+uHXUQiXG1XCnz1M+XqbePiFmZuIKxwRHc&#10;QxctXCSahaqismrW9OkqEd24GTNNXnfAyKtzE1ReCFAGixb/hTqILaNXSoF/cIjVjw8IYpYFVwqv&#10;UEsBliZKmetPkowIffv0pZZU6aRPg6OrJcWiaYq8WO2U18kabec54IVQn3KZmX5izdok6iAmhR/6&#10;MvecpPiEOYwpBUBi4gqrHx8QxCwLiopbEowBLE2ULD/dquU3PJb4CQLHoJCBjLMSgCMH9ougK1+r&#10;heMzZydY93Y8srUpl5uTN+B0JXPQ3HybWmbOO357eaL6m00Ty1attlbzInVEKwvq6+obGhqo87jx&#10;NfwnCCGGWJ4bNS1FqgCeIHDMnzfXP5i1ecP6tWtseqFqtXDcSS6fPjWOOtaj1YH6ONDSdtl34BA3&#10;U0MnUTETrDL7QBOilQUqJwh/6N2bWoj0UKlBwBMEPklJ7zHWKwKwUNlo+iGsryuWtzJgOnZSnBAi&#10;t4NCBqqnejTU1Ym4QNRa5ObRMgTA1bU7tUwKfEZU6ly0AJ++lVaafaAJ0cqCixcvUUsBniBIFpUu&#10;RniCoEJPdzf2ekXbTT/csSuV37aIY0rcJGpZm7ip06jFA3ac57JzqIOYGnPUnpCcVuow8GHyxwJJ&#10;KeAQpyyoqrrOr0HAEwQpo9LFCE8Q1FEvk9MCLK42V0EHd+ptW1Kow8M/OMTyRYmaCB8eRi1lUlJa&#10;+c0RYQKfC/WcVi0sW7VaCBWJKohTFmRnKyV6ePv4UAuRHjd53a+B3r2foRbCY+mSxexJBgW21v0w&#10;JWVzq3fqsGHDqSUAQKC0WjKamX4CAwYmpCA/jxiMBbp6sWjxX9jTDIWWUsAhQllw99698qstUxPb&#10;tLHr2QsTCyTK/QcPamtrqCPVOQiMbE7ZxJ5kkLp9m61U0MEGTlPyV1BgALWEQbCG2V0YMDAHbqZu&#10;evv28kT2boagwoWWUsAhQlmQl5tLLQXdu3fHLkaSpab6OrUU9O6NKSYa6dTJceuOHdRhYHPyBpvo&#10;i7xjVyq11PDzgTF/wgAAGtJJREFUFVYc0cPTi1rKwGJTUVlFHcQ4mprMcv4FKpm99AD0t3C6FKgj&#10;Qlmgkmzo54dnydKlsrKSWgrc3XAohjb69vF7d90H1GHgzYVvCF8ZHD74JbXUENp9WUsZ/Wepe6iF&#10;GAcX5Hd1dSWG8cCngH1oMrB02XLhdClQR2yy4Hz2eX6yoVwu79IVmxtKl1u3blFLJrOza9t/QH/q&#10;IBqIjRkXN2MmdRgAZSDkksVz2TmtFiAAFhuqy46Dg8ameye/SacWYiKcXUxTnQiagL0cEViwZCl8&#10;yqgjSMQmC4qKlO5QmF8mZVSaG3bH7tdsvLMqkT39EJg1fbpglcGpzNPUsgW07CBB3NhoxwhBYfIK&#10;GtCdemkC0Nzz582ljlARlSwoKyuvudmSdm5v397bDLmmiK2g0tzQw8ODWoguNqdsYlcGDXV1glUG&#10;YtpknzxlSxJHmBQVt4za9/ZuPZODHXjPs09CAuAzZcXpG+yIShZcuoQtjJAWqq8rZWl5enpSC9FF&#10;p06OiYkr2AsThKkMKiqrNJ0g2CJcZR1iEhwdHKhlEPBuVx/FqQX4NIHaFmyaIR/xyIL6unqVusQ+&#10;/fpRB5EkdbxP7NMdnsbmhnrRt4+fXoUJAlQGxSWl1LIRtJcbsBe/IZpoam6mlnEYoAng02QTmgAQ&#10;jyw4eeoUtRT8oWdPrEuUMj9e+4FaCrA00QD0LUwQmjIoLS2jVmsIcJWtrr5BLQ1gXyMj4b8lDC5P&#10;1VcTAH9/d62QSw9UEIksUAkVAH36PkstRJLU1rR0MQKwNNEwYmPGLVu1mjoMCEoZ6Iy6G5CABgvz&#10;1u271qxNmh0/B74GBgZ59upNvkaNGkMubkjeuO/AIQOeBJ172eu6dAPCjmF7dwM0AWjrkRHh1LEF&#10;RCILVEIF7u49cQiCxOGXJgKeRqcXSZZZM6bqVbIoHGWgs3ENPwFNCxWVVSAFFixcDGv/tEkTVy9f&#10;tjl5Q2b6CfjiLw9XS4rJxfVr17y58I3xkZEgGt5ensje2kF7eAO4cQNlgVHU1hj1BBqgCUBVC7wc&#10;UR0xyAKVbsfAc8/5UwuRJPcfPFCZmtihfXvqIPrzzqpEW1QGOrvT82fstkpaegaogfDQUJACRw7s&#10;p1eZgechdfs2kAhEH+jsVKgzvFFeZmPZEkKjurqaGAZ0rTBAE8CnRphTD7QjBllw9ttvqaUAQwWI&#10;Ss/jZ3phYoGxgDKIiplAHQYEogy0o2UZhi3+qFFj5sXPNkANqEP0AciL2fFztDwnOtMdmk2UMYfo&#10;y7nsHAM0AXxqqGNT2LwsuHvv3qXvr1BHAYYKEJXEgj/grCxTsDJxhV5tjoSvDGAZVk8vgF8YFm/Y&#10;4pujuBH+xvGRkW8vT1T/e9PSM6iFmI0q5W7ojIBGnDZpokQ0AWDzsuDst98+fPgLdWQyZ2cXDBUg&#10;KokFXl7YscAEdOrkqFebIwDupLAKsh+uW570DKW0pDVrk+AX1rlrN5LU7dsiwsNVdMCxo0ephZgN&#10;Tur5BwQSQyfw7tWrjyEQFjHCdjUBYNuyQD1U4OeLbQ0RGT+xwKUb9jw2GQYoAwDuqoJVBrtTPyNG&#10;RWXVKxMn6zXwxhhAMM2Ln/32crp4wN9uktMKxLRsSN6oryaAT8f7Se9RxzaxbVlwMiODHyqQy+Wu&#10;WIcmeaqrlOKEXbp2oRZiCgxWBrARp46QKDifTZoB5OTm60xRNDmp27eRPMSUlM3kCmI++OdZHTtq&#10;nErFAaJt/do11GEDPhe20spQCzYsC+rr6r+/ohQq6PcstjVEZDXKoxCwY4HJMUwZwEa81TN1q5OS&#10;kgJ/xsaM0+tf5OHjGxYxIipmwoIlS+Erft58cPXNb4f/sae7GygD9lH9iME0N9+mltYZ1gC8S2fH&#10;z9H3RRGHJgCeevToETWV8eRlaZX/eI1aQmLfvv38usSe7j1fGBpGHUTCHP/6GL/t8euvv47VieYA&#10;bp3xCXP03WFb8tbJv4lpZ9mq1bNmTIXd5PjISHqpNZzk8tFjo0KHDg0ZGKTlnwDLfE5uftbpTO3n&#10;AvBUfL53NxiwAjFmM9h0IpvVOZedM23SRGLv3LN3UMhAYqsAL9/ixX8R8hvbtKiv9bYaLVBvazgA&#10;CxAQBfz9KHYsMB+GxQzgbjtx4iTLlCfAhp5auvjog3WwGPTt46eppWNYxIh3132Qk5cLq/LIiHDt&#10;d/+e7m6xMePWr0vKu3hxwZKlrf4aoDASE1eAsXX7LvYMR2eX7tRC9Ic/I8PBofVDBHhnxr70kr6a&#10;AN4e4ogTEGxVFqi0NeyJvQoQBT/dqv3114fUkcnknVlnACIGYJgyuFpSPGv6dAvU4zl26kQtXTTU&#10;1cEGEQz1lo7wr4Od5ZbNmwzoVQfPz/x5c48f/wrUhso4yqXLloMKgUUIFAm9xMDt2y1hcERf+M9e&#10;qxMK9h04ND4yUq9CRADeMPD2EI0mAGxSFmCoANFEfX0DtRS4u7lRCzEPRBno1ekIIHn4G5I3Ut+k&#10;NDY2wU8eGBik154PvpnUBbzDa+kIe/3P9+7WFG1mB9RGekYG9yy9u+4DEBnweyYmrtRrEdqcvGF2&#10;/BwhF3zaLmvWJulbdACI8ljHJnMLtm3dVnOzJa3M3b1nKGYVIAqyTmdWVlZQRyabOmWqm1sP6iDm&#10;BNZUA/LmYKVcmbjCVDstWGh37ErdtiVF3w0fB+gA2N+DAcJi+LChJp96R1Z0ogkMyMzg8PDxnfPn&#10;Vw0IYEgZLofDSS7PycslFwF4LRYt/osBzSrEoQnEkFtQVlbO1wQAtjVEOBp//plaMpmdXVvUBBaD&#10;v8lm58iB/bA6miTVYOv2XRHh4evXrjFYEwDwv5MYBogDc0zChYXceE0AXC0phq0trHOWydIQGf39&#10;A6ilSCaAt40BmgAUpPjiBATbkwVnz5yhlgJfHz/MKkA4+I2M5E5O1EIsAtwl9ZrCTIDVcdb06cYE&#10;xuHO/srEyauXLzNGEHCAMuC6DJkD4zUBByxm4yMj16xNgp9JLyH6AFLSgGQC4N11H5CokiixMVlw&#10;6eIlfqigTRu7Pv2wVwFCUWlk1KOHK7UQSzFrxlS4Y1KHGbgvw97XsK4GcGcHVWGSVZYjdfs20Bmk&#10;0ZBpOZedA3tT0/62m5M3mCriIm64kICrqyu80xYsXAxSklxhx0kuT968RdzHNzYmC05nZVFLgaeH&#10;p327dtRBJE9dg1K+YTdse2wN4I65c89elcR7FmAx1mt5gzs7KAlTBQlUgJU79qWXQHNQ32jgt4Vt&#10;vb4TdxgxPuIiNSZOnGRAt2l4V2/dsWNkRDj1RYotyYKsrKw7d+9QRyazt2+PoQKEz8/KssANyxCs&#10;xKCQgXD3ZG8bwAHL2/jISJbFGFZZ0BBmbQ4I6zdojlcmTibdkQ0GflWS92DWgQsk4iLMDtNCA942&#10;BozH9A8OSc/IMEfGidCwGVlw9969nFyl4ejPPvsshgoQPnd5qtHOrm1neWfqIBYH7p579+7Rt6UB&#10;ARbj2fFzYDWlvhpEE5g2FK8J+Ftgiz9q1BjYi2v5lVqlorIK1mkQBGYKaahDOkxTB+FhpLaLipkg&#10;poZF2rEZWaAyQNnevr23/nsRRNzwex5jvqHVgXvo53t3G1CeAGSmn4DVtNWWR5bUBBwk8z9wwADQ&#10;KxuSN8Iao0kigBSAXxvUACiJ8NBQWKctIwg4YCuMykCdbzJOUkt/4ufNX78uSSKaALCNvgX1dfUp&#10;W5QmjA0LG4bDEhE+P92qTUtLo45MFujvHzFCv7k1iJmAfbYBjWIIKo0NrKIJtBAWMWLRooV9+/jB&#10;v3F36mfC+cW4BgwICLWVK1cZUIIIOMnlS5ctF3eCoa32LVBpdYwDlBF1VPobOjqyNr5FzI3BSYjA&#10;kQP7+WGD95LeF87SC8BiQ+by3bhxQ1C/2Pq1azADEdi6fVfsSy8Zpgk8fHy37tghbk3QKjYgC8rK&#10;ylVaHQcGBlILQZ5wmzc1FXDtgY2MBMSgkIHpGRmGpRo0KDolL1i4+F8bPjZrjqHIWLN6lZSrFisq&#10;q2bHzzE4qyMsYsTevXukkGCojg3IApX+Re7uPbt0xcIzRJVbP92klgLsbyg0SKpB/Lz51NeTIwf2&#10;/+u9tdRBGIDlMDFxJXUkxobkjeGhoYYFCYAFS5aKbPqRXgg9t+B89vmTmS0nCG3a2I17KQYLEBB1&#10;9u/74v79e8R2cnKak5BAbERopKVn/O3NJWZNxPMPDgkMGujl5dXDtbura/ee7rRUFXbPzc23i0tK&#10;a2pqykpLDF42CLChnDR5Mqlih73pZ6l79u1JNebf5SSXDxka5unlHRT4uDsvN6KpsbGpqLikqbm5&#10;tLSsID9Pr19bakkG57JzVixfbkD9IQFegg+TPzZ+OJYNob7WC1oW3L13799b/s3vVeDr4xcQFEQd&#10;BOHx2a4d1JLJerq5x02Jow4iPGARXbz4LyY/jPfw8Y2bOi18eBinA7QDy212Tm7W6dP6nk1oWTxg&#10;n7p+7RrqsAE/LXZSXHRUJHvIGqQV/NpfHz3CokIysrIYnxCbBt5U77+/zoAmRRyg895Pek9qQQIb&#10;kwXpJ07kFRRQR1GUOCH2ZeogCI/qqspTvKgSliHYBGvWJpmqww/c0BMSEjRt8q4UFsGCQWwHBwfY&#10;jnt7e/n6eHOLJegD9tGLsIpv3bFDyxK+dfuu1WxddckgxIjwYdxSBL9qTm4+CWaQK8CWzZuopQzj&#10;rw1PjqafIA70evk0IdnaDVuSBfV19Vu3b+f3Khg8eEiv3s9QB0F4lJYU5+a2tCsZM2p0/wH9qYMI&#10;mHPZOa/Pe9WYu/nvfv/7hUuWvjo3nvqtoWmdhlX5/XXvcws8rC4fb0zRqVSWrVo9a8ZU6mhgwcLF&#10;2retoC1mzk7gr0P7Dhxas3pVq09F3sWLWrawZFHUHqLYuWevWAPj8Lxt+uRjg08NAJW3gdRQX+uF&#10;m3J4/PhxviaQy+WoCRBNqJQhdDaoFg6xPLBWpWdkRMVMoL7+/Pbf/yb94++z4+doaWN3+7bS24MD&#10;1hL+YgBL79Ili2EFhXWCXlIDHtKpCYCEBG0yxT84ZN+XX6rvTTXJo6LilsiBOvBrw486eOyYlkKP&#10;lJQUaokIeMXhdX9z4RvGaIL4efMlW3GgCYHKgrKy8grlaXhYlIhooeFnlWkIWIZgM8Cqtn5dUvLm&#10;LbCBppf0JzP9xLRJE99enlhh9NhDUCpa2jYHhzDVWMIyo+mfEzdj5ud7d6sf9vdw7U4tg4C/UUtP&#10;SXh+jH9mhAP8W0AQwCtuTNIovEAgAUEIaonESBOByoKTp5QaVWJRIqKdX399SC2Z7OkOT1MLsR1G&#10;RoQbGTYAUrdvCw8NNV4cwDqhaYl1dmFdvPv7P64mUOHddR+8s8qMnYnhhy9YspQ6yqSkKDWKtVHg&#10;lYXX15jiQwK80+D9JtaDFSMRoizIyspq4I3Ca9PGbmDIIOogSGvwpyE4dOxILcSmMEnYADCVOIAl&#10;1rCBDpoATWCBlnnz581dtmo1dXh8ffRIo56jngQFJwj0LRtRwcPHF95jkppxoC+CkwXqkxL9+vTB&#10;RgWIFu4/eEAtBT16uFILsUFMEjYATCIOQBmERSiVtNTW3KCWLi4V5FNLAWziLdZGd9aMqeqCpqGu&#10;Lj1DqYu8rWAqQQCQTALSagLRhOBkwVfHvuJnGjo6OPbrhynliDbqbyn1N2xnb08txDYhYQPtqX+M&#10;EHGQqXwoqRfvJ71n/K8B2kJn8dv1albBwYK6oAGyTmdSy0Y4l52zYOFikwgC/+AQzCRgRFiyQH38&#10;QUBAK+dzCMLn9p2WhleAC/PpLyJkSOqfppNyvdDSN0lL/QIBVpH3170PBogDvTID0jMyyC8P/yNo&#10;C3JRCzduaJQFfr4+1NIH+EtVjmOMafVjYdLSM0hSofG/MzwJ8EJ8vnc3ZhIwIixZoJJp6OzsgpMS&#10;EZ2oVCe2b9+eWoiNA0sybLIzsrLUN76mgmWP3rePH2w0QaOQU4Ct23dpH0EESxp8cb88qAqWHWp5&#10;WSm11DBsgwv/19/fVZ0ioVMGWZfGxqZ9Bw6NGjVmXvxsI5MKCVExE1qtBUW0ICBZoJ5pGGzQvDVE&#10;avBPnQCsThQZPd3dtmzelLx5i/HBfHXKysqopRXYaMIqC4s9rFirly+bNX062PQxZdasTYIlDb5g&#10;s1tRWQW/PGNNfFFhIbWU0dKNQCcjI8JVFFVunlLGg3AgCQQR4eFG9iHggHcLiLn165Kk0PjZtAhF&#10;FqhnGnp6eDo44iEQopufG3+mlkxmZ9eWWoi4gBXu+PGvFixZamSdggqpO7ZpWuBVgG+DxZ6sWA2K&#10;Wc+w8MPWlkQOYBe+dfsuEA1ck0TY7Ma+9BKxdQI/RNNa6OtrlBhasWI5tRQU5CvdZoUAPIfwTJIE&#10;AmP6XXLAO2TZqtXwbsFTA8MQiixQyTS0t2+PI5EQRh7+0tK0QO7kRC1EjMyfNzc9I8OEdYN3mpth&#10;gR8YGAS7fO01C6BLVMIVsPDD1nZ8ZKRnr97TJk1cvXyZytI+emwUtXSRk6txE/9ca/0P2IG9Mv/p&#10;qqpUahNnRUAJvb08EZ55eA5Ncl5AAOEI7xCWTpSIJgQhC9QzDQextRJDEKCp2YarsRF96dTJ8Z1V&#10;iRlZWcYXMXLAJhV2+bBhfWXiZNj0a6rvj5s6jVpsaG+BzCd1105qqTEwyNi067Fjx1JL0e+ZWlYC&#10;tBcJq4CcMlV4gADqB94VIBwNS8VAOAQhC44fP04tBe7uPTHTEDEMbFogEWATTIoYTZuNWHA+Gzb9&#10;gQMGLFi4eN+BQyr6IGZ8NLUY8A8OYTzVPpedo2m19vDxNf5ofFDIQH6cwypNjUguIagu0F7qYRUj&#10;gfcACAIQi5hGYBKsLwvST5y4c7elwAx7GiJ6Ua08OwORFLDgbdm8yeTiADhyYP+bC99Q0QewDWX/&#10;i8ZGsWoILXOMhr8YQS3j4P8c7YOXTAuJDcyOnwPPJDyfWipFDQNeDnj14T2AgsCEWFkW1NfVX/r+&#10;CnUUYE9DxBi6dcPZGZLDfOIA4PQBOV/w8+tDH9BF+PAwamklLT1Dy8n6lLhJ1DKOYWFDqWURrhQW&#10;bUjeyMUGTJg6wMEJAswrNDlPPXr0iJrKqM9gNgfbtm6ruVlLHUVPw6hx46mDIAz8eO2Hs2fPUEcm&#10;mxAzwcvLkzqI9DiXnQObb3OsQ3rhJJfn5OVSRzONjU0TJ07SFFGHlQ+WPeoYDXdLh9XUHEsp/FvS&#10;M05dKMg/n51t1gyGqJgJkydPRjVgKtTXemtGCy5dvMTXBMCg5/H4ANGP+rp6aiEIL3Jg2ilH+tLq&#10;+ER1Pt6YomUFnTR5MrVMgTH9DzQBUiAtPWPN2qRXJk4mxwSp27eZTxOQpML165JQE5gVq8mCu/fu&#10;pWcolQt7POOB05MRI8FQAQLAskGqFWAhMW2fA0b8AwKppRlYULkmB+p4+PiadqKPo4nawFRUVu07&#10;cIiTAvPiZ8O/wuRJA3xI92JMKrQYVjtEOHr06PdXWrIK2rSxG/dSDGYVIPqS/d3Zqz9cpY5M9uaS&#10;JdRCEAWwoz1w8HDqrp1mjWyrYN++fciQF0AceHt7+fp4qy9mVwqLZk2frqU8z+Sh/g3JG9evXQOG&#10;vj8ZdEBxSWlpaVlBft6lgnwTlhTqBLTRnD+/GhE+DGsOzYf6Wm8dWVBWVr5feQDG4MFDevV+hjoI&#10;wszxr4/V8e5TKAsQTcDufM/u3VZJO4D9bn//AC9vHxcXF1AJ9+7fX7JooZb11bRZBQROFmi/n4MI&#10;qK6+kZuXf/v27bLSEmtlaWACgcUQiizYlJLCH3/g7OzyohlSiBEpwJcFLt2cZ86y5okyInxg2fss&#10;dc++PamW3PXqBWiIfV9+afJouYosaGxsIpWKZEpCQX5eU1OTWc8CWPDw8Y0e/9K46LF4WGAxBCEL&#10;0k+cyCsooI7i+GDMmEgcf4AYBsoCxDDS0jOOHT0qwFnD7Tt0CB48hNj8HIWgQP3aHTY1N5eWtgyC&#10;Onzwy6slxY6dOjU1NtJLQiJuxszQoUNNm06BsGB9WVBfV791+3b++IN+/Qf069efOgiiJ/v3fXH/&#10;/j1ioyxA9IVkHhw9ctjqG2Vp4h8cMjluCmYPWBH1td7SlQiHDx/mawJHB0fUBIgxcJoAQQwAVqNZ&#10;M6Z+vnd3RlZW/Lz5/CbBiPkANbBs1Wp4zuGZj40Zh5pAUFg0WpCVlXX2u++oo2DkyJFYlIgYw2e7&#10;dlBLJnu2b1/+VBgEMYArhUWHjxw7+U26JSsXJAKogbFR0eHDwzB1QDhY8xDh7r17n3yykR8q8PXx&#10;w+nJiJHwZUGgv3/ECMxdRUxDRWVVxslMPF8wnrCIEaFDw1ANCBNryoLUz1IreFNt7O3bR0ZFY6MC&#10;xEhQFiDmhmvr+/XRI4KtXxAaTnL56LFRz/kHYN6AwLGaLLh08dJXx7+mjoJhYcNwejJiPCgLEEty&#10;pbDo5KnTBfl5Vh+7IEyiYiaAFBgYFNC3jx+9hAgb68gC9eMDd/eeoUOZxoshiBbuP3iw/4u91EFZ&#10;gFiWc9k5uXn5EpcITnL5kKFhnl7eQYEB2H3IFrGOLNi3b3/51XLqYJ9jxHRUV1WeyjxFHZQFiPW4&#10;UliUk5t/tbysuLhY9LkI/sEhvr6+z/kH+Pp4YVTA1rGCLMA+x4j5QFmACJNz2TnFJaWgEqqrq0UQ&#10;SwiLGMF1bsaQgMiwtCy4e+/ev7f8+87dO9THPseISUFZgNgE3KCB2pobIBQsPHBIL7jxDR07dgwK&#10;DHB17Y7lA+LG0rIAxyQiZgVlAWK7nMvOgT/JSILystLm5mZLTiUIU2zPXF1dnV26gwLw9fF2cOiI&#10;JwISxKKyQP34APscI6YFZQEiSrg5RsD16hsAsQkk5EAdNchKTx0F3bt37+FKr+ARAKKC5WSB+vGB&#10;XC4fNTqSOghiCn66VZuWlkYdlAUIgiB6or7Wm2smwsmMDL4maNPGbvDgF6iDICYCO2cjCIKYFrPI&#10;grKycn5KAeDXpw+OTkYQBEEQgWN6WXD33r3jx49TR4FcLseUAgRBEAQRPqaXBXh8gFiL69c15mEh&#10;CIIgLJhYFuDxAYIgCILYLkyVCAiCIAiCiBvzViIgCIIgCGJzoCxAEARBEISCsgBBEARBEIrG3AIE&#10;QRAEQaQGRgsQBEEQBKGgLEAQBEEQhIKyAEEQBEEQCsoCBEEQBEEUyGT/H8v+fpF92MBWAAAAAElF&#10;TkSuQmCCUEsDBBQABgAIAAAAIQBYXcx43wAAAAgBAAAPAAAAZHJzL2Rvd25yZXYueG1sTI/BTsMw&#10;EETvSPyDtUjcqOMGaAlxqqoCThUSLRLito23SdTYjmI3Sf+e5QTHnRnNvslXk23FQH1ovNOgZgkI&#10;cqU3jas0fO5f75YgQkRnsPWONFwowKq4vsoxM350HzTsYiW4xIUMNdQxdpmUoazJYpj5jhx7R99b&#10;jHz2lTQ9jlxuWzlPkkdpsXH8ocaONjWVp93ZangbcVyn6mXYno6by/f+4f1rq0jr25tp/Qwi0hT/&#10;wvCLz+hQMNPBn50JotWwWHCQ5bkCwXa6VDztoOH+KVUgi1z+H1D8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mYR8uCAwAAFAgAAA4AAAAAAAAAAAAAAAAAOgIA&#10;AGRycy9lMm9Eb2MueG1sUEsBAi0ACgAAAAAAAAAhAJFzx4ruGgEA7hoBABQAAAAAAAAAAAAAAAAA&#10;6AUAAGRycy9tZWRpYS9pbWFnZTEucG5nUEsBAi0AFAAGAAgAAAAhAFhdzHjfAAAACAEAAA8AAAAA&#10;AAAAAAAAAAAACCEBAGRycy9kb3ducmV2LnhtbFBLAQItABQABgAIAAAAIQCqJg6+vAAAACEBAAAZ&#10;AAAAAAAAAAAAAAAAABQiAQBkcnMvX3JlbHMvZTJvRG9jLnhtbC5yZWxzUEsFBgAAAAAGAAYAfAEA&#10;AAcjAQAAAA==&#10;">
                      <v:shape id="그림 4010" o:spid="_x0000_s1383" type="#_x0000_t75" style="position:absolute;left:25;width:2365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q6owwAAAN0AAAAPAAAAZHJzL2Rvd25yZXYueG1sRE/Pa8Iw&#10;FL4L+x/CG+ymqbaIdkYZG4PBQGjdZbdH89aWNS8hyWz73y8HwePH9/twmswgruRDb1nBepWBIG6s&#10;7rlV8HV5X+5AhIiscbBMCmYKcDo+LA5YajtyRdc6tiKFcChRQRejK6UMTUcGw8o64sT9WG8wJuhb&#10;qT2OKdwMcpNlW2mw59TQoaPXjprf+s8oONd+M45FcG+f367Km3mfT7RX6ulxenkGEWmKd/HN/aEV&#10;FNk67U9v0hOQx38AAAD//wMAUEsBAi0AFAAGAAgAAAAhANvh9svuAAAAhQEAABMAAAAAAAAAAAAA&#10;AAAAAAAAAFtDb250ZW50X1R5cGVzXS54bWxQSwECLQAUAAYACAAAACEAWvQsW78AAAAVAQAACwAA&#10;AAAAAAAAAAAAAAAfAQAAX3JlbHMvLnJlbHNQSwECLQAUAAYACAAAACEAeGauqMMAAADdAAAADwAA&#10;AAAAAAAAAAAAAAAHAgAAZHJzL2Rvd25yZXYueG1sUEsFBgAAAAADAAMAtwAAAPcCAAAAAA==&#10;">
                        <v:imagedata r:id="rId168" o:title=""/>
                      </v:shape>
                      <v:shape id="Text Box 4011" o:spid="_x0000_s1384"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exwAAAN0AAAAPAAAAZHJzL2Rvd25yZXYueG1sRI9Ba8JA&#10;FITvBf/D8oReSt2kDVKiq4gotL1IUy/eHtlnNm32bdjdaPrvu4WCx2FmvmGW69F24kI+tI4V5LMM&#10;BHHtdMuNguPn/vEFRIjIGjvHpOCHAqxXk7slltpd+YMuVWxEgnAoUYGJsS+lDLUhi2HmeuLknZ23&#10;GJP0jdQerwluO/mUZXNpseW0YLCnraH6uxqsgkNxOpiH4bx73xTP/u04bOdfTaXU/XTcLEBEGuMt&#10;/N9+1QqKLM/h7016AnL1CwAA//8DAFBLAQItABQABgAIAAAAIQDb4fbL7gAAAIUBAAATAAAAAAAA&#10;AAAAAAAAAAAAAABbQ29udGVudF9UeXBlc10ueG1sUEsBAi0AFAAGAAgAAAAhAFr0LFu/AAAAFQEA&#10;AAsAAAAAAAAAAAAAAAAAHwEAAF9yZWxzLy5yZWxzUEsBAi0AFAAGAAgAAAAhAJpY/57HAAAA3QAA&#10;AA8AAAAAAAAAAAAAAAAABwIAAGRycy9kb3ducmV2LnhtbFBLBQYAAAAAAwADALcAAAD7AgAAAAA=&#10;" stroked="f">
                        <v:textbox style="mso-fit-shape-to-text:t" inset="0,0,0,0">
                          <w:txbxContent>
                            <w:p w14:paraId="5BD4C46D"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H</w:t>
                              </w:r>
                            </w:p>
                          </w:txbxContent>
                        </v:textbox>
                      </v:shape>
                      <w10:wrap type="square"/>
                    </v:group>
                  </w:pict>
                </mc:Fallback>
              </mc:AlternateContent>
            </w:r>
          </w:p>
          <w:p w14:paraId="22A6D84E" w14:textId="77777777" w:rsidR="0059538A" w:rsidRPr="008F328C" w:rsidRDefault="0059538A" w:rsidP="008F328C">
            <w:pPr>
              <w:pStyle w:val="a3"/>
              <w:numPr>
                <w:ilvl w:val="0"/>
                <w:numId w:val="141"/>
              </w:numPr>
              <w:rPr>
                <w:lang w:val="pl-PL"/>
              </w:rPr>
            </w:pPr>
            <w:r w:rsidRPr="008F328C">
              <w:rPr>
                <w:rFonts w:eastAsia="Times New Roman"/>
                <w:b/>
                <w:bCs/>
                <w:lang w:val="pl-PL"/>
              </w:rPr>
              <w:t>Zdjąć osłonę</w:t>
            </w:r>
          </w:p>
          <w:p w14:paraId="75C4DF41" w14:textId="77777777" w:rsidR="0059538A" w:rsidRPr="008F328C" w:rsidRDefault="0059538A" w:rsidP="00ED6A7B">
            <w:pPr>
              <w:pStyle w:val="a3"/>
              <w:numPr>
                <w:ilvl w:val="0"/>
                <w:numId w:val="0"/>
              </w:numPr>
              <w:ind w:left="471"/>
              <w:rPr>
                <w:lang w:val="pl-PL"/>
              </w:rPr>
            </w:pPr>
          </w:p>
          <w:p w14:paraId="1CB5C64A" w14:textId="77777777" w:rsidR="0059538A" w:rsidRPr="008F328C" w:rsidRDefault="0059538A" w:rsidP="00ED6A7B">
            <w:pPr>
              <w:pStyle w:val="a3"/>
              <w:ind w:left="4477" w:hanging="180"/>
              <w:rPr>
                <w:lang w:val="pl-PL"/>
              </w:rPr>
            </w:pPr>
            <w:r w:rsidRPr="008F328C">
              <w:rPr>
                <w:rFonts w:eastAsia="Times New Roman"/>
                <w:b/>
                <w:bCs/>
                <w:lang w:val="pl-PL"/>
              </w:rPr>
              <w:t>a</w:t>
            </w:r>
            <w:r w:rsidRPr="008F328C">
              <w:rPr>
                <w:rFonts w:eastAsia="Times New Roman"/>
                <w:lang w:val="pl-PL"/>
              </w:rPr>
              <w:t xml:space="preserve">. Zdjąć osłonę, przytrzymując korpus ampułko-strzykawki jedną ręką. Delikatnie ściągnąć osłonę prostym ruchem drugą ręką. </w:t>
            </w:r>
          </w:p>
          <w:p w14:paraId="0484BA29" w14:textId="77777777" w:rsidR="0059538A" w:rsidRPr="008F328C" w:rsidRDefault="0059538A" w:rsidP="00ED6A7B">
            <w:pPr>
              <w:pStyle w:val="a3"/>
              <w:rPr>
                <w:lang w:val="pl-PL"/>
              </w:rPr>
            </w:pPr>
          </w:p>
          <w:p w14:paraId="43DC6ECA" w14:textId="77777777" w:rsidR="00C82E29" w:rsidRPr="00D97EE5" w:rsidRDefault="00C82E29" w:rsidP="00ED6A7B">
            <w:pPr>
              <w:pStyle w:val="a3"/>
              <w:numPr>
                <w:ilvl w:val="0"/>
                <w:numId w:val="19"/>
              </w:numPr>
              <w:ind w:left="4300"/>
              <w:rPr>
                <w:lang w:val="pl-PL"/>
              </w:rPr>
            </w:pPr>
            <w:r w:rsidRPr="00C82E29">
              <w:rPr>
                <w:rFonts w:eastAsia="Times New Roman"/>
                <w:b/>
                <w:bCs/>
                <w:lang w:val="pl-PL"/>
              </w:rPr>
              <w:t xml:space="preserve">Nigdy </w:t>
            </w:r>
            <w:r w:rsidRPr="00D97EE5">
              <w:rPr>
                <w:rFonts w:eastAsia="Times New Roman"/>
                <w:lang w:val="pl-PL"/>
              </w:rPr>
              <w:t>nie ciągnij za tłok</w:t>
            </w:r>
          </w:p>
          <w:p w14:paraId="1D372584" w14:textId="77777777" w:rsidR="00C82E29" w:rsidRPr="00D97EE5" w:rsidRDefault="00C82E29" w:rsidP="00D97EE5">
            <w:pPr>
              <w:pStyle w:val="a3"/>
              <w:numPr>
                <w:ilvl w:val="0"/>
                <w:numId w:val="0"/>
              </w:numPr>
              <w:ind w:left="3900"/>
              <w:rPr>
                <w:lang w:val="pl-PL"/>
              </w:rPr>
            </w:pPr>
          </w:p>
          <w:p w14:paraId="72E66FFD" w14:textId="3E3BF51D" w:rsidR="0059538A" w:rsidRPr="008F328C" w:rsidRDefault="0059538A" w:rsidP="00ED6A7B">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zdejmować osłony, aż do momentu, gdy pacjent będzie gotowy do wykonania wstrzyknięcia. </w:t>
            </w:r>
          </w:p>
          <w:p w14:paraId="0D63267D" w14:textId="77777777" w:rsidR="0059538A" w:rsidRPr="008F328C" w:rsidRDefault="0059538A" w:rsidP="00ED6A7B">
            <w:pPr>
              <w:pStyle w:val="a3"/>
              <w:numPr>
                <w:ilvl w:val="0"/>
                <w:numId w:val="0"/>
              </w:numPr>
              <w:ind w:left="1384"/>
              <w:rPr>
                <w:lang w:val="pl-PL"/>
              </w:rPr>
            </w:pPr>
          </w:p>
          <w:p w14:paraId="2FC83A57" w14:textId="77777777" w:rsidR="0059538A" w:rsidRPr="008F328C" w:rsidRDefault="0059538A" w:rsidP="00ED6A7B">
            <w:pPr>
              <w:pStyle w:val="a3"/>
              <w:numPr>
                <w:ilvl w:val="0"/>
                <w:numId w:val="19"/>
              </w:numPr>
              <w:rPr>
                <w:lang w:val="pl-PL"/>
              </w:rPr>
            </w:pPr>
            <w:r w:rsidRPr="008F328C">
              <w:rPr>
                <w:rFonts w:eastAsia="Times New Roman"/>
                <w:b/>
                <w:bCs/>
                <w:lang w:val="pl-PL"/>
              </w:rPr>
              <w:t>Nie</w:t>
            </w:r>
            <w:r w:rsidRPr="008F328C">
              <w:rPr>
                <w:rFonts w:eastAsia="Times New Roman"/>
                <w:lang w:val="pl-PL"/>
              </w:rPr>
              <w:t xml:space="preserve"> dotykać igły. Może to spowodować ukłucie igłą.</w:t>
            </w:r>
            <w:r w:rsidRPr="008F328C">
              <w:rPr>
                <w:rFonts w:eastAsia="Times New Roman"/>
                <w:b/>
                <w:bCs/>
                <w:lang w:val="pl-PL"/>
              </w:rPr>
              <w:t xml:space="preserve"> </w:t>
            </w:r>
          </w:p>
          <w:p w14:paraId="2F72E689" w14:textId="77777777" w:rsidR="0059538A" w:rsidRPr="008F328C" w:rsidRDefault="0059538A" w:rsidP="00ED6A7B">
            <w:pPr>
              <w:pStyle w:val="a4"/>
              <w:rPr>
                <w:rFonts w:ascii="Times New Roman" w:hAnsi="Times New Roman" w:cs="Times New Roman"/>
                <w:lang w:val="pl-PL"/>
              </w:rPr>
            </w:pPr>
          </w:p>
          <w:p w14:paraId="6602E1D2" w14:textId="08D388B7" w:rsidR="0059538A" w:rsidRPr="00F90B57" w:rsidRDefault="0059538A" w:rsidP="00ED6A7B">
            <w:pPr>
              <w:pStyle w:val="a3"/>
              <w:numPr>
                <w:ilvl w:val="0"/>
                <w:numId w:val="19"/>
              </w:numPr>
              <w:ind w:left="4300"/>
              <w:rPr>
                <w:lang w:val="pl-PL"/>
              </w:rPr>
            </w:pPr>
            <w:r w:rsidRPr="008F328C">
              <w:rPr>
                <w:rFonts w:eastAsia="Times New Roman"/>
                <w:lang w:val="pl-PL"/>
              </w:rPr>
              <w:t>Nie nakładać ponownie osłony na ampułko-strzykawkę. Natychmiast wyrzucić osłonę do pojemnika na odpady ostre.</w:t>
            </w:r>
          </w:p>
          <w:p w14:paraId="4A774A82" w14:textId="77777777" w:rsidR="0032285D" w:rsidRDefault="0032285D" w:rsidP="00F90B57">
            <w:pPr>
              <w:pStyle w:val="a4"/>
              <w:rPr>
                <w:lang w:val="pl-PL"/>
              </w:rPr>
            </w:pPr>
          </w:p>
          <w:p w14:paraId="363096CB" w14:textId="5F975716" w:rsidR="0032285D" w:rsidRPr="008F328C" w:rsidRDefault="0032285D" w:rsidP="00ED6A7B">
            <w:pPr>
              <w:pStyle w:val="a3"/>
              <w:numPr>
                <w:ilvl w:val="0"/>
                <w:numId w:val="19"/>
              </w:numPr>
              <w:ind w:left="4300"/>
              <w:rPr>
                <w:lang w:val="pl-PL"/>
              </w:rPr>
            </w:pPr>
            <w:r w:rsidRPr="006C0E92">
              <w:rPr>
                <w:rFonts w:eastAsia="Times New Roman"/>
                <w:lang w:val="pl-PL"/>
              </w:rPr>
              <w:t>Prawidłowe jest pojawienie się kropelki roztworu na końcówce igły.</w:t>
            </w:r>
          </w:p>
          <w:p w14:paraId="179E1D24" w14:textId="77777777" w:rsidR="0059538A" w:rsidRPr="008F328C" w:rsidRDefault="0059538A" w:rsidP="00ED6A7B">
            <w:pPr>
              <w:pStyle w:val="a3"/>
              <w:numPr>
                <w:ilvl w:val="0"/>
                <w:numId w:val="0"/>
              </w:numPr>
              <w:ind w:left="1384"/>
              <w:rPr>
                <w:lang w:val="pl-PL" w:eastAsia="ko-KR"/>
              </w:rPr>
            </w:pPr>
          </w:p>
        </w:tc>
      </w:tr>
      <w:tr w:rsidR="0059538A" w:rsidRPr="00A5286D" w14:paraId="4797DCA7" w14:textId="77777777" w:rsidTr="00ED6A7B">
        <w:trPr>
          <w:trHeight w:val="6650"/>
        </w:trPr>
        <w:tc>
          <w:tcPr>
            <w:tcW w:w="9209" w:type="dxa"/>
          </w:tcPr>
          <w:p w14:paraId="0E282457" w14:textId="77777777" w:rsidR="0059538A" w:rsidRPr="008F328C" w:rsidRDefault="0059538A" w:rsidP="00ED6A7B">
            <w:pPr>
              <w:ind w:left="104"/>
              <w:rPr>
                <w:rFonts w:ascii="Times New Roman" w:eastAsia="Times New Roman" w:hAnsi="Times New Roman" w:cs="Times New Roman"/>
                <w:b/>
                <w:bCs/>
                <w:spacing w:val="-1"/>
                <w:lang w:val="pl-PL"/>
              </w:rPr>
            </w:pPr>
          </w:p>
          <w:p w14:paraId="3506E52A" w14:textId="77777777" w:rsidR="0059538A" w:rsidRPr="008F328C" w:rsidRDefault="0059538A" w:rsidP="00ED6A7B">
            <w:pPr>
              <w:ind w:left="104"/>
              <w:rPr>
                <w:rFonts w:ascii="Times New Roman" w:eastAsia="Times New Roman" w:hAnsi="Times New Roman" w:cs="Times New Roman"/>
                <w:lang w:val="pl-PL"/>
              </w:rPr>
            </w:pPr>
          </w:p>
          <w:p w14:paraId="649241A4" w14:textId="3C453864" w:rsidR="0059538A" w:rsidRPr="008F328C" w:rsidRDefault="0059538A" w:rsidP="00ED6A7B">
            <w:pPr>
              <w:pStyle w:val="1"/>
              <w:spacing w:before="76"/>
              <w:ind w:left="0" w:right="2736"/>
              <w:rPr>
                <w:rFonts w:eastAsiaTheme="minorEastAsia" w:cs="Times New Roman"/>
                <w:lang w:val="pl-PL" w:eastAsia="ko-KR"/>
              </w:rPr>
            </w:pPr>
            <w:r w:rsidRPr="008F328C">
              <w:rPr>
                <w:rFonts w:eastAsiaTheme="minorEastAsia" w:cs="Times New Roman"/>
                <w:noProof/>
                <w:lang w:eastAsia="ko-KR"/>
              </w:rPr>
              <mc:AlternateContent>
                <mc:Choice Requires="wpg">
                  <w:drawing>
                    <wp:anchor distT="0" distB="0" distL="114300" distR="114300" simplePos="0" relativeHeight="251658388" behindDoc="0" locked="0" layoutInCell="1" allowOverlap="1" wp14:anchorId="1480DC77" wp14:editId="559D51A0">
                      <wp:simplePos x="0" y="0"/>
                      <wp:positionH relativeFrom="column">
                        <wp:posOffset>131445</wp:posOffset>
                      </wp:positionH>
                      <wp:positionV relativeFrom="paragraph">
                        <wp:posOffset>79375</wp:posOffset>
                      </wp:positionV>
                      <wp:extent cx="2181225" cy="3752850"/>
                      <wp:effectExtent l="0" t="0" r="0" b="0"/>
                      <wp:wrapSquare wrapText="bothSides"/>
                      <wp:docPr id="4013" name="그룹 4013"/>
                      <wp:cNvGraphicFramePr/>
                      <a:graphic xmlns:a="http://schemas.openxmlformats.org/drawingml/2006/main">
                        <a:graphicData uri="http://schemas.microsoft.com/office/word/2010/wordprocessingGroup">
                          <wpg:wgp>
                            <wpg:cNvGrpSpPr/>
                            <wpg:grpSpPr>
                              <a:xfrm>
                                <a:off x="0" y="0"/>
                                <a:ext cx="2167486" cy="3752850"/>
                                <a:chOff x="6869" y="0"/>
                                <a:chExt cx="2167486" cy="3752850"/>
                              </a:xfrm>
                            </wpg:grpSpPr>
                            <wpg:grpSp>
                              <wpg:cNvPr id="4014" name="그룹 4014"/>
                              <wpg:cNvGrpSpPr/>
                              <wpg:grpSpPr>
                                <a:xfrm>
                                  <a:off x="6869" y="0"/>
                                  <a:ext cx="2167486" cy="3752850"/>
                                  <a:chOff x="58628" y="0"/>
                                  <a:chExt cx="2167486" cy="3752850"/>
                                </a:xfrm>
                              </wpg:grpSpPr>
                              <pic:pic xmlns:pic="http://schemas.openxmlformats.org/drawingml/2006/picture">
                                <pic:nvPicPr>
                                  <pic:cNvPr id="4015" name="그림 4015"/>
                                  <pic:cNvPicPr>
                                    <a:picLocks noChangeAspect="1"/>
                                  </pic:cNvPicPr>
                                </pic:nvPicPr>
                                <pic:blipFill>
                                  <a:blip r:embed="rId169">
                                    <a:extLst>
                                      <a:ext uri="{28A0092B-C50C-407E-A947-70E740481C1C}">
                                        <a14:useLocalDpi xmlns:a14="http://schemas.microsoft.com/office/drawing/2010/main" val="0"/>
                                      </a:ext>
                                    </a:extLst>
                                  </a:blip>
                                  <a:srcRect/>
                                  <a:stretch/>
                                </pic:blipFill>
                                <pic:spPr bwMode="auto">
                                  <a:xfrm>
                                    <a:off x="58628" y="0"/>
                                    <a:ext cx="2167486" cy="3606800"/>
                                  </a:xfrm>
                                  <a:prstGeom prst="rect">
                                    <a:avLst/>
                                  </a:prstGeom>
                                  <a:noFill/>
                                  <a:ln>
                                    <a:noFill/>
                                  </a:ln>
                                </pic:spPr>
                              </pic:pic>
                              <wps:wsp>
                                <wps:cNvPr id="4016" name="Text Box 4016"/>
                                <wps:cNvSpPr txBox="1"/>
                                <wps:spPr>
                                  <a:xfrm>
                                    <a:off x="1466850" y="3606800"/>
                                    <a:ext cx="719758" cy="146050"/>
                                  </a:xfrm>
                                  <a:prstGeom prst="rect">
                                    <a:avLst/>
                                  </a:prstGeom>
                                  <a:solidFill>
                                    <a:prstClr val="white"/>
                                  </a:solidFill>
                                  <a:ln>
                                    <a:noFill/>
                                  </a:ln>
                                </wps:spPr>
                                <wps:txbx>
                                  <w:txbxContent>
                                    <w:p w14:paraId="35E660AD"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017" name="Text Box 4017"/>
                              <wps:cNvSpPr txBox="1"/>
                              <wps:spPr>
                                <a:xfrm>
                                  <a:off x="38100" y="1714501"/>
                                  <a:ext cx="2089129" cy="2590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2316F2" w14:textId="77777777" w:rsidR="006D7011" w:rsidRDefault="006D7011" w:rsidP="0059538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480DC77" id="그룹 4013" o:spid="_x0000_s1385" style="position:absolute;margin-left:10.35pt;margin-top:6.25pt;width:171.75pt;height:295.5pt;z-index:251658388;mso-position-horizontal-relative:text;mso-position-vertical-relative:text" coordorigin="68" coordsize="21674,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g9WTgQAAPEMAAAOAAAAZHJzL2Uyb0RvYy54bWzcV9Fu2zYUfR+wfyD0&#10;3lhyYtkx4hRZsgQFsjZoMvSZpihLiERyJB3b/Z0B+4W1wL5o+4mdS0l27KTonA192EOUS+pe8t7D&#10;cw/lk9fLumIP0rpSq0mUHMQRk0rorFSzSfTz3eWrUcSc5yrjlVZyEq2ki16ffv/dycKMZV8Xusqk&#10;ZVhEufHCTKLCezPu9ZwoZM3dgTZS4WWubc09hnbWyyxfYPW66vXjOO0ttM2M1UI6h9mL5mV0GtbP&#10;cyn8uzx30rNqEiE3H542PKf07J2e8PHMclOUok2DvyCLmpcKm66XuuCes7ktnyxVl8Jqp3N/IHTd&#10;03leChlqQDVJvFPNldVzE2qZjRczs4YJ0O7g9OJlxduHK2tuzY0FEgszAxZhRLUsc1vTf2TJlgGy&#10;1RoyufRMYLKfpMOjURoxgXeHw0F/NGhBFQWQp7h0lB5HbBMqih+/Etzr9u5tZbQeNJki9RvLymwS&#10;HcXJUcQUr0GwP3//9Nevn1mYakvao8bdXPcoczBK+yD7f1CnKcUYf+1xw3py3F9vC0T5uZVRu0j9&#10;j9aoub2fm1dgpuG+nJZV6Vehy8BBSko93JTixjaDLfgHj+H/7Q+Cf0C9RVHk2IRxKutai3vHlD4v&#10;uJrJM2fQo1AO8u5tu4fh1p7TqjSXZVURK8luq0M/7/TDMwA1vXahxbyWyjfiYWWFQrVyRWlcxOxY&#10;1lMJQtk3WUiIj50V75EgkoPtrfSi6BLdJENpO7QQmy5+0hlIyOdeBznYaaEnHHmeX2mcjuLQRutO&#10;AHTW+Supa0YGUkRWYQv+cO0oP7h2LpSs0gRUyLtSWxNwpJmALmXdmiiC+goy7DpcMXqC7F5Kc1tw&#10;I5ElLbvFFwhG0653hMAPekmMSYkDrSspEvNLvGm5QfNNtp04rIUpOUpTkh3qvcMNdnzcoTtMjocD&#10;9CZpFJzjRqJejq3TVZl1PCTQzyvLHjiumEVRehmoDLo89vrCGWyqIssvp8sgaMmo32Ex1dkKUFiN&#10;M0eJzojLEjtec+dvuMVdhUncv/4dHnmlF5NIt1bECm0/PjdP/jhYvI3YAnffJHK/zDmpRfVG4cjp&#10;ouwM2xnTzlDz+lyj1iRkE0wEWF91Zm51/QHX8hntgldcCew1iXxnnvvmBsa1LuTZWXBqROda3RpI&#10;VRKYTcjeLT9wa1rOexzoW92Rio93qN/4hk41Z+jAyzL0BSHboAim0wAED1Z72X071g+fY/2wO2k0&#10;yD6sPxwl0AjifDJMjgZxK1gd5/vx6Djp4+Il0vcHx/HoXwrKFp3D95lc094vG/1+QnoGPqaH6Lfn&#10;FAgNGr7QWv3a7gXnV5WkqEq9lzm6InyBhMOlb8PN3lwI6Hm3f/Amrxzqt09g60+hTVb7BK8jws5a&#10;+XVwXSptQ/U7kGX3Xcp549+Ss617Rw4OO5L8j+RAePuNBCF0/RckAN/VQH7rw/3xOJzK5pfK6d8A&#10;AAD//wMAUEsDBAoAAAAAAAAAIQAKu3PRXd4AAF3eAAAUAAAAZHJzL21lZGlhL2ltYWdlMS5wbmeJ&#10;UE5HDQoaCgAAAA1JSERSAAAB/QAAA08IAgAAAF8zkYgAAAABc1JHQgCuzhzpAAAABGdBTUEAALGP&#10;C/xhBQAAAAlwSFlzAAASdAAAEnQB3mYfeAAA3fJJREFUeF7snQdcVMfWwFFYel9h6W3pChhEUSxg&#10;w96NJjHd9Pil96bppmjK8+XF9JgYE6PGil1BI4piA6X3vix16UX9DsxwuW5jWXZhy/k/f76ZuyuB&#10;Zfc/Z87MnDvs1q1bBgiCIIjeMJz+P4IgCKIf9Mb7vl7epIEgCILoEjkF+bTVDcb7CIIg+gV6H0EQ&#10;RL9A7yMIgugXUvL7YpkgBEEQRBuRZXWM9xEEQfQL9D6CIIh+gd5HEATRL9D7CIIg+gV6H0EQRL9A&#10;7yMIgugX6H0EQRD9Ar2PIAiiX6D3EQRB9Av0PoIgiH6B3kcQBNEv0PsIgiD6BXofQRBEv0DvIwiC&#10;6BfofQRBEP0CvY8gCKJfoPcRBEH0C/Q+giCIfoHeRxAE0S/Q+wiCIPoFeh9BEES/QO8jCILoF+h9&#10;BEEQ/QK9jyAIol+g9xEEQfQL9D6CIIh+gd5HEATRL9D7CIIg+gV6H0EQRL9A7yMIgugX6H0EQRD9&#10;Ar2PIAiiX6D3EQRB9Av0PoIgiH6B3kcQBNEv0PsIgiD6BXofQRBEv0DvIwiC6BfofQRB9J2SktLs&#10;7BzyB9r0qu4y7NatW6Tl6+VNGjkF+aSBIAiik6RcTamsFJSWllXX1nZ0tNOrLDgcY66dnaurS2BQ&#10;sJubK72qbciyOnofQRB9AXSfnZOTk5tD+4phYW7h7e01YfwEe649vaQloPcRBNFTmltaEv/9NyMz&#10;q6m5iV5SCidHXtTEiX5+vrSv8aD3EQTRO4jxU65dl5rMAbhcrq2NLYdjDG0nJ15FhQAa8OS6+rrq&#10;6urup4jj4eY+a9YsrYj90fsIgugX55PO/5uYKGl8U1MzVxcXvi9/hAOPXpJBQX5ecXFxeXl5Z2cH&#10;vdSDL993akyMhtsfvY8giL5QUlJ6/Nixisqu4J2Nu7sH38fHxc2d9hWjta2tqCD/2rVrra0t9FIP&#10;Gm5/9D6CILoPSexcvHyZ9nsA448efYeVtTXtK0VWZsaVK1e0KPZH7yMIouOcTzp//sIFscVbHs9p&#10;3LjIARqfAWL/tNTUnNwcSftr4Koveh9BEJ1FqvFNTc3GR0b2N6ujCHLsb2dnNzo0bFzkONofUtD7&#10;CILoGs0tLddSUiWND/B9+GHhY0xNTGhfDRD7FxQWSOb9ORzj0FEjoyZNMjczo5eGAvQ+giC6g5wN&#10;mlwuNypqkqoSO4qQlZkhddUX8OX7RkZGDtWJX/Q+giC6QE11zcn4eKlnbsH4IaNC1JHYUYSykuLU&#10;a6lSd/0PVfIHvY8giHaTnZ2TeOaM5O5MgMdzCgoMHCrjs2kQia5cuVxcXET7LDgc4wB/v8Gs94De&#10;RxBEK5GTxAdUskFT5chJ/QMebu4jR44MDQulfbWB3kcQRMuoqa45e+5sZla2ZBLfyIjjy/f18/fX&#10;NOOLkZWZkZ+fJzX5Y2FuERjgHx4+Rn3hP3ofQRCtIeVqyuXLl6WmdExNzUaNGuXh5a3WvTqqhSR/&#10;pNZ7ANQX/qP3EQTRdMguHVmFMzUnia8ccuo9AOoI/9H7CIJoLtnZOSkpKVJ36RgZcTw9PIJHjtLw&#10;lI7ilJUU5+blSV37BZwceUFBQSrZ/IPeRxBE44AA/2Jy8tWrKVIDfG1M6SgOhP/ZWZnZWVlSw38O&#10;xxhGuwHu/UfvIwiiQcgJ8AHlCmdqKfLDfzs7u6DAwDEREUoc/UXvIwgy9PQZ4Ht5egWHhOhkgC8f&#10;kv3PyswUNYjopdtRYvkXvY8gyFAiP8Dn8Zz4fL6Xtw/t6zFVQkFuTm5hUZHUzT/9yv+g9xEEGQIU&#10;CfA1fxv+kJCVmVFcXCwQVND+7Siy/we9jyDIoJJyNSU7JwcD/AHSIBIVFBbIWv4F5CwAoPcRBFGI&#10;7OwuUxf2eKC0tIw0CNW1tbLuUc4AJmpva8cAX7VUCQXp6RmyDn8BHm7uMJSOCg1hBgD0PoIgUqip&#10;roGgXFjV9T9FnK40GOCrioL8vNzcXFn5H4AMAOMix6H3EQTpBXR/Pe16ekZGbW0tvaQeIMCH6B5i&#10;fAzwVQvZ/yOr+A/A4Rh/89VXpI3eRxC9prml5WDcQVlpd6lYW1lzjDm004O5uYWFuQVp19bVdnZ2&#10;3Lp5C2TU0tra/ai5vZ2d/uzBH0LIAkBhfr7kBtDvv/kfaaD3EUR/SbmacuzECVnJHC6Xa2tjC3Gi&#10;kxMPuvYOjgruo2fqjtnYWAcEBGIyZ0iA30La9WulZWXMCjB6H0H0HZD+wcOHaKcHHs/JkcdzduKN&#10;cOhyfX8pyM/LzMyorxc5OztrYB18/YScAIAB4D8bN5Ir6H0E0UeaW1q+/XYzE+mT+vVKn4xlastA&#10;28/f388/QA9P2Go+UydGkQZ6H0H0kWNHj168fJm0ra2sZ8yarZypMaWjRcjy/nD6/wiC6DQZmV2x&#10;OQCRfnTMVCWkX5Cfd/hQ3MGDcdCeM2furNlzUfpaCnofQXSf7Owc5hSVs7Nzv7LwrW1tqakpu3bu&#10;uHTpkour28LFSyZPicY8vlaD3kcQ3Yc5fAvwfRQN0htEotOnEvbu/qdSIAgPD1+6bHlISCjm8XUA&#10;9D6C6D7sWguKbKjPyswgKR1jDmfOnLnTZ8zElI4ugd5HEN2nuudQrrWVvPxMa1vbpeTkXTt3XLt2&#10;zdvbZ+HiJZETojClo3ug9xFE92G2b9rY2pKGGFVCwelTCbt2bK+tqx0fGbl02XL/gEBM6egq6H0E&#10;0XFKSkppq7toO231QFI6J06cNOZwFixYNH3GTKysoPOg9xFEx2lp6a3bbmllSRqY0tFn8NwWgug4&#10;2dk5u/7ZRdox0THGJsbp6RnFxUU8nlNQYKDKo/uCwsJr1643NTXSvoFByKgQL28vJW4LjgwQPK+L&#10;IPqF1ErL1lbWzS0tnh4ewSNHqTy6Pxmf8Puvv+RlZdL+7YRFjA0bfce8eXMdHR3pJfVTkJ9naWmh&#10;XOkhHQC9jyD6wvmk8+np6RWVAtpn4efnHxI2Wh0Ltps2/Xfntq20I5fJ06ZPnT5jakw07auTS8nJ&#10;Obk506ZN1U/1o/cRRPdJuZpy6vRpqTc4JMTGxqrDgIpLn8HHP+DeBx4cBPtnZWZcuXJFP9WP3kcQ&#10;Xaa5pWXPP7uLSoppnwWXy3VxdVO60nKfXLiQ/Mpzz9AOOGX4cBtbx2HDDVubG1qaRcOGDTO3tIU/&#10;jfXV0KVP6gFi/7vuvic4OIj21QNR/5w5c/Vt4Rq9jyA6S0lJ6fa//xa7m4q1lbV/QICHl7e6t+E/&#10;9+yzV5MvkLZXwLQr9W6kTQiyrDPsLCgtugZtJ1e/mzduCMrEb/V1/yOPrbxrpVoXfk+fSqivq5u/&#10;cBHt6wfofQTRTSSlDwF+yKiQwdmGX1lZuXLJYtJ29Rx1vS2ctCUZbV1Skn/mRme7q2forVs3Sgu7&#10;RgIGH/+At9et8/L0pH01sH/vHgcHh8gJVIX6AHofQXQQMekbGXGCgoNDQkKbW1qSks4X5OdXVgq8&#10;vL0dHXlqyqSzkzyufvOvN9iTtiyI/aHh7jO+riq7trq3cBDwxDPPWZiZqCkqbxCJDh6MmzRxov4c&#10;TEPvI4iuISZ9U1OzKVMmj3DgFRQWvr9undh+SjVl0v/avv3br74kba7P0txmei5MDpZGN/lmOYXZ&#10;5xydvc2tvQsyT9AHuomdv+DZ555TU87nUnJyWVmp/mR7ZHkfz+siiFYCEX3cwThG+tZW1nPnLyDS&#10;f37NGslN9KdPHH/60dWbNv0X/iG9pGo6bhnRllwaO4dfbfC391kuqqsqzI739J9hx3WhjxkYHNm/&#10;743XXlPTNxkeEdHe0ZGVmUH7+gp6H0G0kpMnTjAHsoyMOOMnjDc1MSHSr6upJtcl2blt66oVK/Yf&#10;6LpnlsrhDOukLQXIazavsFni7h1elH3c2s7N028ifcDA4GryBVA//Cy0r1JGjRp17dptSwt6CHof&#10;QbSPmuqaa9ev046BwaSJE5lIn5G+t5//q2+v/Wf//k+/+hra5CIAT9jw0QfvvP12ZWUlvTQAQkaF&#10;0BZ4f/hN2lKYlKZgd79ZRXnJLY1lngGx9Gq3+uFnUYf6/QMC4e8yaRte9Qf0PoJoH2fPnaUtA4PA&#10;gCAXN3cx6dvac194+eXxkWOh7cf32fjFxmdefgUukkeB0yeOP7569cADf3MLc9oyMDA1rKOt/pAi&#10;crTzWiqqq6oqPe8RMNvMnG6xh59FTer38/dPz9DrVA96H0G0j/z8AtIwNTULj4iAxpcbN7Kl//76&#10;9W4uzqRLmBo95fMvv4idt4D2VRT4e3l6MsNJa9Ntm3MUJ6/ZvJHbtdZanH2E6zpFTP0qmZew8fL0&#10;EggqWtvaaF//QO8jiJZRU13DVGJwdelaEYWgmDk5ZWVjIyl9Atfe/sknH1/38SeSgf+FC8m033/G&#10;T5pEGhUlWY7GHaTdXxo7h5daLuS5+Jbmxomp/6MPP1TtMq+VtbW1lXVFWe9tCfQN9D6CaBklJSW0&#10;ZWDAc3KCv5OSkkgX6Ghr3/jZZ9m5ebQvQVjIyG++2ywW+L/y3DNKb/UZFzmetgwMXMzKaUsBJAeJ&#10;jM7xLu7BYuony7ykrSpcXFwFFRW0o3+g9xFEy6hkFdq0tBS/f9ZnX3+9YPHij9599++dtOa+JGam&#10;ppKB/85tW5XbRRMZOY75OoLiS5ZGMld32aIPs8o1rDow0qqG9nu43hYuVf0wLJG2SnBy4gmFQtrR&#10;P9D7CKJl1IsaaMvAgJRac3TsLbh25cqVqdFT3l+//lpKyq9bfqNXpUEC/6iYqbTfrdeH7rn7ZHwC&#10;7SuGuZnZ9FmzSbulWcQ3lx5He5i1guhB9zAwwN+F2WfgyaXZ+6Wq34HnJSg8NsKNZpAAGJb6+43J&#10;wcXNXdQgXiROf0DvI4iW0djQ633CSNYp3J1//lldU+Pm4vza66/l5ebKVz8E/i+/9OIzL79C+928&#10;9+br/c35rFhxJ211hfznJEN+kH6H4BCIHnRvVbMX/qYPGBhIVX+ZYZSxsWlNWaKn/wx6ycDg6w2f&#10;q3B7j7WVtd7u5kTvI4iW0dZzRpfLpdkVR0fHZXevIu26muqvv/q6pbUVnP7Ms8/EHzt2MuEUeUgW&#10;MD/4z3ffs/f49zfnw/4GWlsafS16VyAARvqkK1mNGdRPWz00dg6vt53f3t7a1lzk4du1GxWAH+3L&#10;jRtJe+A4ODhUVEi5NY0+gN5HEC2Dfd9EhodXP8wk2VMuJm/f/jc0uPb2769fv+XHH6+m9h7ykgrM&#10;Dz78+CP2Yi85OaX4Ph92yF+QGQ+uJ20x6SsOqN/Kbb6gNHv4cFOmkAN8V39t307aA8TO3r62Tsor&#10;KQlMC3Rs0yd6H0G0CXb6xdbGlra6k+xfbNpEOwYGu7f/tT/uIDRA6I8/vebLzz6trhHPpYhBFnvZ&#10;OR+yz0dBz0LI/8Szz9EOfD8dV+BvMembmlkaGnFI29NvoqtX71lfyVQPkNds7u43qyDrtNWI3mf+&#10;+dtvKtnRb29vV19fTztySb2WWiNU8RmCoQW9jyDaRGlJ765zDseYtrrx8vR858OPacfA4Mdv/nsu&#10;qWtT//jIsXMXLfr6q6/JdflMjZ7y6Vdfs/f5fPvVlwqm+xcsWODjH0DaFSVZo63z2dI3M7e2G+Fm&#10;P8KV5+oL0s9t8RbV9m76LM3eP9qmiHZYpIgcXTyCBYWnvQJiyBUYjX7++WfSHggjHHitrS2KBPIw&#10;vupYRgi9jyDaRC0rbHdyEr9v4tSY6PsfeYx2DAw2/3dTSVmXW+9cthT+lrOzk40f3+fzL78IHdN1&#10;DJhA0v19qh/mHC+ypgsQp7Ol7+Dsf+vWzXKjSZk3oq428Plm+RD+O7n1LioUZMaPNL0suSZcdDO8&#10;s6Ojs72W2dZ5aO+etLR00h4IXC5XkUBebHzVAdD7CKJNiES9qQljEyk+euihBydPm07aEBq//dpr&#10;La1dqfZnnn0mbs8eOee52HDt7V97/bXFK1bSfndifdWKFX2u9AYHB7EHHgKRfnubqMRgXGNnl3PC&#10;rHLbWoQwBsAVtvpLC1J9zKtopwf4J84+sSX5V53cem/m9ee2P2hrACgYyHNMjOXcql4bQe8jiDYh&#10;FPZqkWzel+S1N94Ii+jdA7P+4/XQAJXfv3r1/zZtIsNAn5iZmj5w/31i6f7n16zpcxP9hAnjDY16&#10;C/FLkb51magmn3TtOe31Nb37/T18x6aIHGmHxbUGrqOzT2X5VWaB9/SJ4wPP8tvZ2wur+v4iXDu7&#10;ZvQ+giBDBbM8a21Fkx6SmJuZPffCC+ztPWQX/9ToKc6urv2qwQn/hH2sF9T/3puvy1npbW5p+fZ/&#10;/7vRSQvxS0p/pFVNZcn5G9aToGtpdJO9AACBf14rXR6QpJYT2dxYZ2PfewPe7dv/zsrMaBD1e6cQ&#10;g7OzS319P/55a1vbH1t/O3woDv4U5Cs0c9JM0PsIojWAVZmEg41t72YeSbw8Pd94Zy3tdG/vIWu8&#10;Dz/8UNyePSTpryBhISPfX7+evbv/26++/OSTTyTT/XDljddeu9pTIU6q9GtKT3F4s4taTEH6bgbn&#10;2QsAzNOkImznuHiOEpReh2eSK8cPHyouLt63b8+unTuOHzt6KTkZXNyvPZdW1l1fqs+Ro72Dlpcg&#10;iwHV3bS301MU2gjeXxdBtIbs7Jxd/9C12ZDQsJCQUNKWxc8//7Llh+9IG2J2Uqdzf9zB9LS0l196&#10;kVxXkJbW1vUfr4epA+3DeBAxFmYVMMCQbp/SJ3s6bVymZTR22TbUMr0op/fJZDAgXVk4GHd0Fv/p&#10;7n1HUd4lcuXTL78eOzYCXF9dW9vR1k6SNiBl8ihMiTjGdNuoGN7ePuQGLBC5BwQEenn7kOtSgRGl&#10;o6M9ckIUNDIy6XpyTHSM5t+fHe+viyBaTyHr08u1s6Mt2Yit8X6/eTPoe/q0qeWlpST8VxwzU1PJ&#10;lV7mYJeC0rd3nUKkH2aVy0gfgMGgT+kDEPLzXP0aG3oz8uSOieBfGALDIyJmzZ4Lf+5ZdR/5Ex4e&#10;HjIqROofZ2e6TuAwwlGRwpxkS08Zq3Sz5ktfDuh9BNEaSkt7b2yioHdee+MNdqJ//4E4MPiKu+7e&#10;/uc2clFxyErvq2/3po9gLHnluWfga8qXPsnjO7hFXW+wh+5Iqxp2fR5Xv/lkMFCEW6Yja4QlpmaW&#10;pJufl0saUoGXSNYfkuEB7Ln2dfUK3Sasta2NKeXG43WVv9Ze0PsIojVU91RoYCrz9Im5mdmHn3xK&#10;OwYGf/z809XU6+T+i/0N+Qnwb//z3ffsg10bPvqAkT4gKX03g/OOriFkow5In12Nx9NvIhkMFCSz&#10;0crQkGNl60C6p08cJw2l4XJHMHkhWdTW1VpaWWZnZdK+gYEjT/pOKm0BvY8g2kFJSWlHT0U2hxFS&#10;NjvKQmxP/ZeffdrS2qpcyE9wc3H+5rvN7INdDK6eoySlb2LmcLWBD10Ps9aa0t4icSB9cr1fODh7&#10;t7c2086AgcDf1NSsSihvF39nZ4elhUV2Vhbtd9+pkba0E/Q+gmgHGelptCXtpK58HnroQfaO/v0H&#10;4kjIr+AxLkkk0/0ASP/GjXZG+gDfrGtBgsjd0biDvWsTGDbchLb6g4m5Q1tr7276o0eO0Jay2NjY&#10;lMs9vVVfL4KRsrWV7l+CyRaTJtJS0PsIoh0okdxn89wLL9BWd7anpKx82syZiWd68+z9haT7GfXb&#10;cZ3FpE8O5cIVaEPgb3/zIlv6QEHmiZEml/p7S97WGw6tLY20Y2BQKagY4FZ6Rx6vUtBHvJ+Tk007&#10;BgYB3RuBtBr0PoJoAc0tLRU9t1dUblHRy9OTXS9z2x9/TJ82dff2v/qs0ykfstL7yNNrWprrLa0d&#10;e6XPOpQLXU+jqxUlNE/CPs1bWnitvWgbPBkGBnqpL4YNow3CxEmTzp8/Lz9RIx9nJ56cwpxlJcWm&#10;pmbMGgC05W/61ArQ+wiiBVxLSaWtASwqsutlJsafLCktg2h9+19dlfoHwvjIsfPmzP7pty1mJi3j&#10;HbtqarIP5UIXAv/Sgt7v/9MvvmRu0kIozDrGbToK/4r25WJq2Ps0+HGMORyeo2N8fILSJfJHOPA6&#10;Oztlnd6qq69vY33l8PDeGkHaC3ofQbSA3NzeDYtKLyqam5nd+8CDtGNgsPuff1asuPP82USls/xs&#10;zExNX3/zdY5hw2irq8yhXLgeal3J3rX5zocfgzrXrHn60y9vq/ZcXysozd7v1XEUni8/9i/JS6It&#10;AwN3T4/4hPjSstL29rZDcQeUVj+Xyy0v702jsUm7fv3WLfr9wNN0INgH0PsIogWU9ySgra3gf8ov&#10;Kk6NiWZOckHIX11T+/jTaz56991+VW6QBVH/rRtNzm5+RPoQwhdlHSKPAvc/8hh8A6Q9dmzE1u3b&#10;xYp31lWXw/ONSn4PtUyHfyuW+uebN7q3xHV29MqdOS0MtLS0nDmt5I3XYQpVXCzlXrunTyW09+yh&#10;MjLiREX13uddq0HvI4imk3I1hdnB6elN66kozdTpvXcqP3v2LLkry9uvvaaqqP/jT9dbWBiMdywS&#10;27W57O5VDz3UO9sAYP4BVx589JGRo++gl3ooyrkA4X970Tbbii2BRuf8h/0Ljeq8XQ31veVIY+fN&#10;M2aVYYCoXCRqAFPTfn+AKZTYLn6YOuzfu6e4uPdWMOPGjdP2bTwM6H0E0XSyc3JoSxU7xyHiZhIs&#10;11JS4O87ly197uVX/rdp09q16wYe+JOoX1SX31yym9nAExYx9uHVD5M2m6zMDA4H4ujxK++9L3be&#10;fHr1dipKsirLxcek2QsXTZ44kXa6CQwImjNvfnl5edLZRHpJYUDoRkZGzL6g1NSUvbv/YU7nAhER&#10;Y3Ujw0NA7yOIRtPc0pKTS70/wCQPw/RZs0mDqbMWFjJy4xcbY6ZNg8BfJepvqK/r7JmjwDDz0fr1&#10;EN2TLpv8HtVaW1u+8fprJ06ffuu9D+4YF0kuSoUfEPjNDz9++snHTO4L4PGcwiMiTE1Mpk2bWlhU&#10;BMMJfUBh3N3dMzMzYMzY/tefqSlXOzt7U0wgfVLETWfAepwIotGcTzp/MiGetBWpwakIf23f/u1X&#10;X5L2p1997cfvjWT3xx28kJT07rvraF9ZziVd+OT9d2mnO7MvluQBykqK43t+NCdH3gMPPkDaQFFx&#10;SUZmVlZWdk52VkNDA7l4R/gYf3+/2BnToP3rL78yG1thMJwxazZIn3SrhIITJ06OHj1aEVnDk4sK&#10;i8vKStnRPYOREWfcuHHaG+nLqseJ3kcQjYYtuAULFqkk3r9wIfmV554h7WdefmVq9BTSJqxduw4C&#10;f7GLSgBDyI/f/Jd2unfyMIu6hMOH4pis+tTomHGRXSe8FOHAgQPXrl8nbVAzfLNitx4j6nd2dp48&#10;5bb/IgM8ITcnt7SsjDmFK4m7u8fYyPHMcKKNYB1mBNE+aqpr2FGtqtYVR44aSVsGBvEnTtBWD/fe&#10;f/+WH38ceLZn/tw57EIO7735Ovv2vF1F83ukb2Fuobj0U66mMNIHIK6XvN8kXJkzZ259Xd3pU7ft&#10;628QiVJTU3bt3HHkyJHcvFyp0oeBhO/DhyEWxgytlr4c0PsIorlcunSRtgwM/ANk3oOwv5ibmTG7&#10;OVMuJosV5vTj+yy76y5SrJ9eUpYH7r8vKmYq7RgYPL9mDXNT3NRrvSe5xo2ltYP6pLml5RhroAJB&#10;y0rmwBg5Y9bs5uamY4cPQXRfkJ93/NjRffv2pKZclap7Hs8pJDQsNjZ2xcq7IidEqWqI1UzQ+wii&#10;uWRk9taA9OjJxKqEu+6+h7YMDDb/d9P19NsWQiFUd3Jy3rSpN0ujNGvWPM1U7qyrqf7oww+hoXSw&#10;//df25ktrTD9AUGTtlQgWo+eOt3E1BSi+8TEMwKB+P1VILR3d/eIipp4z6r7ps+YGRISKutW9ToG&#10;eh9BNJTs7BzmbrqgJ9XmHIKDg9i34nrr5ZfWPPU0ewv/gw890NjQQG7IPhDMTE0fffxxZufo1eQL&#10;MJycS+o9c6t4sH/s6FEm6wXKjmbNJCRpEIlOn0rYu/sfYfdNccWA6B50D6H95CnRurRBU0HQ+wii&#10;oaR0b64nuLur/q5+48ZPoK1uvPn8j9599++du6prauIOHv71ly0LFi66lJz840+/0Gcoi5uL83Mv&#10;v0I7BgY7t21NSaVJHidHnoLBfklJ6cXLl2lH7ikqmEyA8fft6zp1xd6OCZiamoWEhi1dvgKiez3U&#10;PQN6H0E0lMIielhUHTUgT8YnbPjoA9oxMJgyfcbnn3/205YtOVlZj9x///mk6503ebt27qooKU46&#10;8+/A1R8WMnL1U0/TjoFBwtGjlZVCaETdfvZKFs0tLXEH42ine/Yj9QUB4x8+FBefEM8+Z0uAfxIT&#10;HbN02fKQkFBdXa1VHPQ+gmgi7NoMri70JuCqAqT/3puv046Bweix49au7bprbmtrJ8/Reersh4dZ&#10;jR9uZMHn+46ftsY/KPzI/r3ffPM/8mSlEdves2fHDkNDIz8/X9qXy8kTJ2p77jEJo+DYyPGkzcAY&#10;X6zcAntzjhI3LdBV0PsIoomwazPwfft9M0I5SEp/w4YNFhbm5RWCP7dtbb3hWtvm5GDVbGJYWt/i&#10;JWozbRo2ekLMPfHHjj795FP03yiL2Paev7b+cT0tnXZkk52dw964OWXKZHbALsv4JKWzcPESnd+c&#10;owTofQTRONi1GcBfKtxkIkf6P//0S0uHi7DBnJF+QxutenZzuMOosDtqq6sGnvBhb++pralet+7d&#10;+nrphe8ZTsafpK3uIjzMq5GVmSHL+BERYzGlIwf0PoJoHOy7rKgwyaOc9K1MOmzMCkY4TwgNj7p4&#10;PumzzzcMZF+/manpM88+w2zvuXw+6YUXXyJtqZw+fZqd4QmPiGgQiS4lJ+/auSM5+YIs4+tYOR2V&#10;g95HEI2DfZcVVSV5BiL9thuu8Ki5bUR5SXFjQ8P6j9cPRP1ce/v316+nHQODhGNH335HejkgmPdc&#10;SO49uebt7U3OXmVkpoudvULj9wv0PoJoHEUl9B4gqkryKCJ9nnWjHOlDt7ZpuCff786VK52cnEH9&#10;A7kxr5uL86tvd60kE7Zt+XXnP3tph0Xiv/8yi9uGhkbp6WmSZ6+4XC4av7+g9xFEs0i52rttXyVJ&#10;HkWk72ZbxRlezpY+16KVLX2CNz+4sLDwyScfHxUa+tJzz19N7V1u7S/jI8fe81BvRf5Xn39WbI0X&#10;gv3U62m0Y2Bw40YnbfXg7u4RGxs7a/ZcNH5/Qe8jiGah2p08Ckofonm29LsTPvli0jcZ3nHh7El/&#10;f39ok1u1fPnZp//732alA3/4IuztPS88/0J9vQh0fz7p/LY/tv3nP/9pb5dyv1yYA5GzV5OnROtJ&#10;WQWVg95HEM2CfVxrgF5TWvqcYYUdtzzZ0ucY3uLcunqjo8PNlU5BwkJGfvPd5hGODhD4i1V2U5w1&#10;a5729usaSCytbezs7b786qtvv918MiGeyXSxwbNXqgLr7yOIBpGdnbPrn12kzffhy687Jp8BRPql&#10;jW2edS3G5AoA0vfiCfh8jytXLt+8efPJJx6nD3STnZv30bvvQvgPIwG9pDDtHR0ZGRlp165b21jR&#10;SxJwuVxvbx8PL290fX/B+vsIogVkZWXS1sBq8gxE+nCFLX0rkw4i/cWLFrz44gvnExPF0vp+fB+Q&#10;/q8//Uj7CtDU3Jybk3PmzJljR4+UFBdJlT7J5yxYsIhk8FH6KgS9jyAaRH5+AWkYGXGUriswQOkz&#10;VwCQvp1FIZE+dCsFlSampt//7xuxfZwk0j+ZcIp0ZVFeXpaamnr8+PGE+JOZWZn19XX0ARage5jo&#10;xMbGknwOHrVVB+h9BNEUaqprmMLLzs7OpNFfVC794JHBRPq5uXlrnnhCUFZaUVZ67VrvThvCCy+/&#10;/PVnn0om+uvq60loHxd34PLly8XFRW1tUvb+W1tZM7qPnBCFC7ZqBfP7CKIpnD59OvHsWdKOiBir&#10;xPZERaU/rKW+2UkR6c+bNzcsLAS6RPq1Nb3nYxevWDl//jyuvT3tGxiUlJW//dpr4yZELVu2uEHU&#10;UF1TXVdb1ymx/5INl8t1cXXz8vTCuF4d4H3VEUTT2fbHNmYfy9LlK/qb0VZc+gKRW8eNYeRpykmf&#10;ISpmalBwsLm5uYuzk8Gtm1VV1fX19cPo15aOkREHZjM8Hg+XatUNeh9BNJ1PPv2UNKytrOcvXETa&#10;CqKc9CUTPoCC0vcNDHLkOQKWlpZmZqb0qmwgtHcY4ejh6Y45nEEDvY8gGg17B2dgQFB4BC1aqQiD&#10;IH1Laxsvvo+Li8uYMeG1tXWSp2elAgOYg4MDz8lJn29uNYSg9xFEozlw4ABTZT4mOkbxzTwqlD7X&#10;otXCpASkH+DvW1kpKCwsik9IsLKyMjExMTbufZp8SFxvz7V3cnHFNM7Qgt5HEI3mu++/JwWHjYw4&#10;K1beRS72ifLSv/2K0fBbbiOarS0bR3DtO2/cbGlpJtcVwdTUzMbGxpHH49rZ4T2tNAr0PoJoLs0t&#10;Lf/5z39Im8dzmj5jJmnLZ4DSHz78ppVZp5X5DSuLDhPjm+RRRQDRw38Fg3rNB72PIJpLytWUg4cP&#10;kXZIaFhISChpy0Fp6ZuZ3ei4aW1h1mluplCOHuByuebmFrZ2dhDR2zs4oui1BfQ+gmgu7OR+bGxs&#10;nzteCgoLn1+zpq5nj40i0re37HB1bDYxvjVsGP3Iy4JteStrG9xZr72g9xFEc+lXcr9f0jc2uulo&#10;12Zr3W5kKFP3pqZmXbtueDx7ezvcZKkztLa1zZlGy1yLWR3rNCDIENPc0sLcQhZibdKQhYLSNzRs&#10;67jl6O/eGOwjGmHXJil9GGDc3T0iIsYuWLBo6bLlk6dE+wcEovR1hiqh4FhP5lAS9D6CDDE5Wdm0&#10;ZWDgyJNnXkWk7zmi2s7e0J5r6eHcLJnBZ6qewayCuF4laRywDG0hGsCl5OQjR46IGkS0LwF6H0GG&#10;mGLWPUacnWR6v0/pi1pNQnzqHR2Gm5oYGBnetj+HXeRS5VXPGkQisAyqXxOA38XhQ3EZmbfdsVIS&#10;9D6CDDFVwirSMDLiyDKyHOn/+suWjpsulhYGob4iUxPx7Zg8nlNU1MSB6L5M2q2v2MCMISQ07NSp&#10;061tUm6LiAwaBfl5Bw/GVVfTN4kc0PsIMsRUVNJI2cZGespFjvR//20rx8TRzblthN1tzoUhBAL8&#10;BQsWTZ8xc4A1EuIT4iGKpB0ZhISEwvdz9dJF2kcGFxhxk84mJiae6ezsoJe6J3m0JQF6H0GGkuzs&#10;3ruoO4xwpC0WYtK3s+e+/PLLRPo7/v7b1tbG1rr3ow6A8QMDghYuXgIBvkpy91wut0FUTzuyiYqa&#10;lJuX2+cIgagcsoQLLz7td+Pu7jF3ftddE6SC3keQoaSiopy2DAycJJL7ktLf9O23fL5PTm7egf37&#10;zM1Nhw/v3ajDGD88ImLwj1bBGAOuuXLlMu0jg0JWZsaJEyfZS7jwNoiKmjh5SrSc9wB6H0GGkpLi&#10;EtoyMBArbiNL+ufOnUuIPylW457vwx8q4zOMHn1HcXERZvkHB3idT59KSE6+wM7twORszpy5fWb2&#10;0PsIMpRU19SQhrXVbTkZqdJ3dXGOO3Dg+vVrBga9YT581BcsWBQ5IUpNxre1sa2oUGivDoT8PJ5T&#10;ER78VD8ktwOjLO13A7O9WbPnKpLcQ+8jyJDR3NLC3FDXxtaWNACp0re0MN+zd285Ky8EM/qQ0DAF&#10;P+pKw+EYd3S0005fuLu75+fn0Q6iHlJTU8S258M7ISY6RvF7NmCdBgQZMtj3WmHKsUmVPsdo+ImT&#10;8ey7nUCYHxU1iRgfor/cnNy6+jr2Hj6YQPgHBChxk14xCvLzMjMzYHShfbm0trXt2rFdiZtEIooA&#10;L++FpHNiYT68E6KnTpf6gsuqz4PxPoIMGYWsTyPXzg7+lir91pbmo8eOsaVPZvQcE5NLycm7du44&#10;deo0XAwICATh3rPqPvIHpJ+VmXn6VAL5J0rD5Y6or1d0lw7YB8abirJS2kdUh5zcTn9HWfQ+ggwZ&#10;wp4TW4CLm7ss6Z9LOkeuAGRG7+TEA6FDZF1bVxseHk6OZXl5+7A//xDpz5g1u76uDsYGekkpYEph&#10;ZGSk+HFcBweHmmq6aIGoCqn7dvqV22GD3keQIYO9qKuI9OFpoaGhqddS/z1zxsLcos9jWTAMjAoJ&#10;EVZV0r6ygMrLFVvaBezs7Qf+X0QYZO3bWbh4idJ3N0PvI8iQwSzq3jQY1qf0zc0tDI2M0tLSvL19&#10;yJZNRZZz+5WlkQWPx6sUKOp9SwuLjvbbjpIhSqPC3A4b9D6CDA3MSd2WltYfN28Wk76lhTlb+oaG&#10;Rm3t7Xw+f+my5f4BgYp/5mFsYMeJyuHh5S0QVCi4MR+CUDmVIBHFUW1uhw16H0GGBnJSF6S/e8dO&#10;UR2tv0+k7+rifPAQu3j6MHc3t0WLlyi3OcfayrrP2mrygWEGN+YPMklnE1Wb22GD3keQoaGyUkik&#10;39gT0BHp8/k+B+IOMLt3hg0bPnHixKhJk5We19vY2lb33NdFadzd3bMyM2kHUScNItH+vXvE6u0M&#10;PLfDBr2PIENDTm6uVOmfOHGirq6OXATpx8TEePacrVEOWzu7ugF7H6YazS0tCs4bYIah+P4fhA28&#10;wgcPxknW2xl4bocNeh9BhoDLV1K2/fa7pPRzcvPY510nTJjg7OJKO8ri7MQTCoW0MwB8+b65eQqd&#10;xTUzN7e07j1+jCjIpeTk+IR4dm4HRlBF6u30F/Q+ggw219PSH3noIUb6NnZ2RPrlFYL4kyfIRcDV&#10;xVUlH/gRDrzW1paBV0gODgkpLy9X5OtMnzFTVRkJPaG1rU3yPll8H/78hYvUUYQDvY8ggwpI/8H7&#10;7quvpTv3rWxsX3vrHSL9P//8i6myCbP7yKiJtDNgeDyn8vIy2lEWUDmE/ImJ/9I+oiKqhIK4/fvY&#10;NTbgtx8RMTZyAq2yoHLQ+wgyeBDp1/Z8wkH6qx979PSpU19+9d+ff/rF2Lg3shs9erQKQ2ZHHk+g&#10;8AZ8OUDIX18vGuDuIIRNVmbGkSNHYEJG+925nWnTpg68sJIcsC4bggwSYtI3NTd//Mknm1taa+s6&#10;W1qHGXPqR3BpTtzU1GzpsuWkrRIgojxx4uSKlXfR/gAAT127dm3u/AVDkslpbWurEfYeBq6ure1o&#10;k1IrVOwONvYOjhqYd5JaZM3d3WNs5HhVfbey6rKh9xFkMBCTvrGx8YQp0ba2tsOHG968aVDT6O7i&#10;0GZtRRf0YI6v8nBv184dU6ZMVu7W6mIcPhRna2OrviwEoUEkqq6uqqmuqa2r7ezsgHnGwA+gGRlx&#10;yE2Mzc0tLMwtoEFGiMEfGOCnS4i/7UwWwNRkVRXofQQZMsSkD8655777hFXVHR2dJibG1laWwqoa&#10;npOLkeFNeFTlwT7h9KkEYw5HJbIGZx08GDd69GiVD07wlcvLy4qLi6urqwdu+f4CrzyMBmRIsOfa&#10;w8ulkkNSkhTk550/f579A8KANG3aVJWMymzQ+wgyNECgOmPaNIlI387e1rqhqbm5ucXIyJDnwDUY&#10;Thfb+D58dYTS4JpLly6pakQh5lKVqkD3BYUFhfn5GljggUwRYH7D4RjD5MDK2maAG2wuJSeL7duR&#10;U0B/gKD3EWQIAOk/8uhjl88nka6FldWT//ds2vXr4HoYAED9NXUiUP8Irp2JKf3Yx0THqCnM3P7X&#10;n5MmTlTVFwf1W1paDMT7iuseAnArS8sRDiNMjI2h6+jIMzM3Jw/Jp7amRiSqJ+16UUNjQwM0ulYF&#10;FL6DmFTA1DASmFtacu3sFH89W9vazpw+JRBU0H43ahrmCeh9BBlsxKRPIn07O3tLSzORqBG6cBHU&#10;39TcYmxiAiMBedo9q+4jDZWTdDaxvaNj8pRo2h8iFNG9nZ2dq4uLwwgHF1dXN7eBnlyTBSmNV1FR&#10;3tbaKhRWtbe3KzckmJqa2djY2NnawYRA1lJBlVBw6tRp9r4dmEmMGzdO5Wey2KD3EWRQEZO+HZe7&#10;+vEnIdKHtrm5mbWlRVVNLaP+WwbD4H+AsbHJ8jtXdLXUAMnLq2RXjxIoonsPN3c+n+/r62vPtaeX&#10;hoKSktKWlpbCgvy29vYqYVV/BwMyDDjyeMxsICsz48qVK2IHccdPGK/yhL4Y6H0EGTwkI/13P/4k&#10;6dxZS0vzmpp68D5cZNQPYaYjz3GYQdcn0dbWbu68+d3/SC3s37snPDxcTXkkqSiu+1GhIeZmXa+M&#10;ZgKTA5I1Ki0t69dIYGpq2traSjvd8HhOEydPGYQdROh9BBkkxKRvZW0zb8F8UWOzvb2Nhalp542b&#10;wuoaEukz6rexsR4+vCvgV7f3k84mcjjGqi3yJRXFc/cEJ0eeq6tLYFCw+rI6qqW5paW0pLSioryy&#10;En6fMBAoWvlO5Zs15YDeR5DBQFL6S5YtNTM1uXnLQCCscuDaGxkOZ6vf0sK8praO5+hA8jzW1jbz&#10;FyzsaqmHrMyM/Py8WbPn0r6q6a/uJbEwt/D29powfsLQpnqUACYE8ocBIyOOCtfVFQG9jyBqR0z6&#10;wIq777aztSFt+KRVVFbZWFuZm5ow6m9vb7e3szU0MiLxPqC+dV2grKQ49Vqqyr3f2tZWVJBfXFws&#10;tlllIMAMICgoaFzkONrXKnJz83bv2SOW0I+OmaqOImtyQO8jiHqRlP7SO+90GMGlnW6I+q0sLSzN&#10;zdjqd3R0YCqyLViglhKMBNV6v1+6h2iXy+WSTS/kSleWvK1dWFXJLkkmBodjHDpqZHj4GC0K/88n&#10;nf83MZG9AKDa6guKg95HEDWiiPQJ8HmrqROZGHPY6jc1MTbrXuwF1FGkgSE1NaVSIJg+YybtK0V/&#10;o3sIdf0DAjy8vOWIDwYkoLSsjL3TkY0v39fP1zc0bJAy40oD0j+ZEE873QQGBA3CgopU0PsIoi4k&#10;pb94+XKewwjakUBS/WZmZtbWluRRsOT8hYtIW+UcPhTn7e2j9LhSkJ+Xm5ureDIHAvyQUSH9ymjD&#10;AJCblydWrYwBwn9PDw+NHQAOHDhwrXurLoOcURxezMzMjP6+Pv0CvY8gakFS+mOjJnp6etrbWvdk&#10;bqQgqX52qkcdR3ZJ9cf6ujolBhUwFATj5eXlitfMcXf3CAoKVHp/Ony3SWcTS0tLaF8CMgBERkZq&#10;yP6f5paWPf/sLmJVqJa1igs/WlpqakFhAcxseDynsLBQ9e3iR+8jiOqRlP4nX3x16eLFW7duAv1S&#10;f1t7O5PqMTU1U2GhYyKanNwcGxvrftWBUUL3ABh/9Og7VLJEQUrZ2HO5NbIXAMj+n7Cw0UM4AGRn&#10;5xw+fLipuYn2u6UvWbyImS3BozBoBY8cpe5lXvQ+gqgYqdJftmThmcRze/fsNTU1bmvv6Jf6hxka&#10;MiE/RIIDzMIDJGcC4gbjK55PqBIKcnNy5aTaIda+cePGzZs3aL8H+J7HjYtUrcsOH4pramqOiY4u&#10;LS+Xvz0UBgBnZ2d3N7fBPO5bU11zMj4exlTa70Zs6w55PQuLimD45HK5A8mz9Rf0PoKoElnSJ+2P&#10;P/n8Vmc7hPCKqF9YXWtpYW7M4TQ0t9j0ZPkBB0fHyVNilIj6mTVSaLu6uCgYV/apexArjB81tXWS&#10;T1Aij68gpLaEL9+XLI0qeD6AXcfNs9tsrm6uKjwM3NzSkpMFUX6OmPEB5iwumS0JhUJ4uWAk8IRZ&#10;iaeXugN8MdD7CKIy5EsfSM/I+uGHH3kO9k3NLYqov6KyGj6Jy5Yv79onU9K7pGlkxBkzZgzf14/2&#10;ZQOur66trRQIqqurjYyMQPd8X74iieM+TUoSKSO43AvJF9mpDIL6jM+QmpqSmnJVbHsrfNtp16/J&#10;GaVkYWdnZ8LpOjEHuLq6kAYDGSTYsCt6knI9bR3tsk7nQixvYmzC7EwdKt0zoPcRRDX0KX3CJ59t&#10;bG1uNDc1aVRY/bNmz6qqqj58KG7kyGD6QDfDhhuCdrn2XI6JMdfODq6Qne/QAMV0tHeAskExNra2&#10;PB7P2dlFEcvAOFFRISgrK5Wle2bnjD2Xe/zYsYpK8dvzmpqahYeHq7WcJMOunTtsbGykJr7INAXC&#10;avkzAHVjaGh040YnNOBlcXBwgF+E/H2rgwN6H0FUgILSB4RV1e+//6GbCw90D+pvaGxychwhR/03&#10;bxmkpF5LOvMvtKOio8XUD0Dsb2pqCg0Oh2NpaQlhOLQVvC1Ua/dtaWG0qKutra+rk6NI9kbJ5paW&#10;g3EHJVMZ8J2o42ZbcoBRKj4hXv42J5gBlJeXCQQC+T+gyjE04lhbWfIcneB34eTiOuSuZ4PeR5CB&#10;orj0Cbv37E9KOmdnY6WI+mGc2PX337RjYDB+ypRRI0cyy7xiQFBpYWHuMMKRdIn9SRuieNLo6Giv&#10;q6+DhpzTsGxIUUymLsKxo0dTrl0XqzoJxvfl+waHhAy+3WAaBH8rftIY5gHtbd319NvayR164aKC&#10;L0WfGBubWFhYuLm7D2EORxHQ+wgyIPorfcJ3P/ycm51tZ2ttOHyYHPWLSZ8fEBgdE21oSO+8qFYk&#10;ayCnXE05dfq0ZCpfhRs0lYCE/KoqYkEmQLTTDTNeSoUZWY1NjNVdNF+FoPcRRHmUkz4h6fyFv//e&#10;Ab6wtbJskqb+lta2LT//TDvSpO/EczIxNSkrK+/X3T9kYWFuwbW3d3AY4enl7efnS692U1Nds2/f&#10;PslUPpfLHTNmzJD7btfOHQ4ODkN+vzAtAr2PIEoyEOkTmpubDxw8fPrUaQj8b9661dTUzKgfpL9j&#10;+9/NTY3dvdukb2dnFxQYOCYigonES0pK8/PzKiuFjQ0NknaWipNjl6xdXV1MTE2dnJxlbWdsbmlJ&#10;/Pffi5cv034Pg7l42ydVQoGJiZkm51U0DfQ+gijDwKXPIKyq3rnzn+zsbBNT49aWNidHbuvt0g8O&#10;DXvssUdtbKzlCFoMiNCra2poh4VYIC8fqYkdksofqoJiiEpA7yNIv1Gh9BnA/j/9/GtFeVljY+PZ&#10;06dbW5rJ9TvGRf7w/XcgfdIdHGQldoaqbjCiWtD7CNI/1CF9hoOHjr703DNtPbddHRLpS92xY21l&#10;Pcg34EXUB3ofQfqBWqV/PS39wfvuq+3ZU2jH5e7cvdvD3Y10B4GSktK4g3Fih06NjDhBwcGDdutX&#10;ZBCQ5f3B2CiGINrFIEv/l99+G0zpQ5i/9Y+tYtJ3d/dYuHgJSl9PQO8jyG0MvvRHBgeRrrrJzs7Z&#10;tOm/Ypt2TE3NYqJjJk+Jxmy+/oDeR5BedFX6zS0tO3fu2vXPLrFNO3wf/tz5CzCbr2+g9xGkl883&#10;bNQ96Z8+ffrbbzdL1oiPjY2NnBCFYb4egt5HEMrb76zbtuVX2tEJ6Wdn53z3/feJZ8+yN+0YGXEC&#10;A4LmL1ykRfUGENWC3keQLnRM+kxiR2z9lsvlzpkzVx9OY5WVFO/auQP+pn2EBe7jRBBdk/7p06cv&#10;JF8U25ivURUXBoHWtraEk8erq6vhB3d1cXF3d9fDZQzcv48g0tEl6Wdn55yMPyl5N6jAgKAhKZ48&#10;5IjdlQWmOw4jHJ2ceHoyBqD3EUQKOiP95paWkydOXLt+nfZ7ANNFRU3CWmbMXVnIDW/hCo/nBJMA&#10;TbgrlvpA7yOIOGLSf+u9Dx68fxXtDIxBlr7Uwmr6lthRHGYMKC8vNzIymjJlsq4ucaP3EeQ2QM2L&#10;5vbevOnu+x94/711tDMw6utFM6ZNGxzpywrz9Tax0y9a29qOHT4Er+G0aVN1Uv1YpwFBbuNk/Cna&#10;UrX0H3n0scGRfklJ6e+//y4mfS6Xu2DBovCICCWkDwaEP7SjB8BLNGPWbHMzs3Nnz8EYQK/qAeh9&#10;RE+5fOkibRkYPProI7Q1MMSO+6pP+mDnAwcOiJXZMTLihISGzZo9V7lsPnzNN157Df7om/qjY6bC&#10;j3zmdG8coPOg9xHEQCVl0QZN+ueTzn/77WbJMH/OnLlKF1Yj0r+afAH+6Jv6YZicNHGiQFChP5v9&#10;0fuInuLnH0BbBgZFxSW0pSyDI/2SktJff/n1ZEK82N78wIAgpcN8gJE+6eqh+l3c3Hk8p3NJvSU6&#10;dBv0PqKn+Pn50ZaBwd59B2hLKcSkD/znm/+pVvpg4Z07d239Y6vYvbEgzI+NjR3I+Vsx6est48ZF&#10;tra2ZGVm0L5Og95H9BRXF2faMjD45YfvwN20008kpf/JF1+NjxxLO6pAamE1IyNORMRYCPMHshFF&#10;qvTDIsZ+tH69Inf31SVgtuTu7pGfn0f7Og16H9FHQNYbNmygHQODmzdu0FY/kSp9VZ38AkjFfLHC&#10;agDfh79w8RL/gEDaVwqUvhh8H5/q6uoGkZIRgBaB3kf0EXa9ZX5AYOzc+aDv/ob8apV+TXXNtj+2&#10;SVbMJ4mdgddPRulL4uLmbmpqVlBYQPu6C3of0Tt+2bKVfUx34xcb13/8QWBgYL/Ur1bpHzt69Jct&#10;W4pu314CSoqKmjjAxA5h4NJvbWu7lJxMOzqEq4tLYb7uH1xF7yP6xfW09A/eeYt2umszkAXY999b&#10;B+p/ePUjiqhffdJPuZpCboUoWTF/7vwFKim6oJJIv0ZYmZGZXiW8bZFZB+A5OYkaRDp/hgu9j+gR&#10;4OsXnn+BdgwM5i9Zyi7Is3DeHCsryxnTpsHYQC9JQ03Sr6mu+fWXXw8ePiSW2OHxnEjFfJUUXVBV&#10;eofUs2xvu23VQQcgI2tFWSnp6irofUSPWLvu3dyejXr8gMB3160lbeBCUtK///774fvvzZ43/8H7&#10;7pOlfnVIH1x87OjR73/8QWyPpmn3Hc+nz5ipqmqamNNXBC6XK6iooB0dBb2P6Au/bNm6/59dtNOd&#10;1rexoT4l0l+xcqWrm9v7760j6j9/4aLYeS51SD87O+enH3+6ePky7XdDKi4sXbZchWXiVSt9Hc6E&#10;2NrY1tXX0Y6Ogt5H9AJZaX0g9epVRvrkCqg/anL0vXetnDZ58tvvrDty7AQMAOeSLqhW+iBiqTt2&#10;3N09Fi5eonTFBamoPNIv6q7vqMJhSXPgOTlV95TV01WwDjOi+0CcvmLFSibDM3/J0i+/oJv3S0tK&#10;9uzevWjxYkb6wM5/9q7/4D2mpqZUBih9qbdCtLayDg8PV7lM1ZHe2bVzh4ODw+Qp0bSvQ1QJBUeO&#10;HImNjdWBysxYhxnRX9hp/TvGRTJpfanShwD/1eefVZ/0yfqt2FEsktiZv3CRVkg/NTWltbVl9Og7&#10;aF+3ILrXvSVrNuh9RJf5ZcvWWbPmMGl9Oy533bq1JK0vKf2i4pI7V9zF3tovCXyFgUhf6vot2bGj&#10;2sQOQR3Sz8rMSE25GhgQpKrVZg0EJl4VFbq2RZUN5nkQnWXnP3shcqedbhhlS0r/XNKF/3vqSXaY&#10;Hz1j5sYNn5eUll5IvtTY2AhX/P39YmdMI4/2Fwjz9+3bJ7ljR323QlST9JOTL7i7e+hkhofh8KE4&#10;WxvbyAk0SaK94H0WlQQ+rtU1NbTDoqKivK21lXYkKC0to62+EBOBbmNhbmFlaUk7/cTSysrG2op2&#10;FCAnv/Dzjz6knW64Do6///G7ubmFsLLyxInj06ZNd3B0hOuuri6bvtn85afrydMIz73y2pqnHqed&#10;AXM+6fy/iYmSNXbCwseoZFe+JCqXfmtb29VLF3PzcnVe+kDS2cS6+rpZs3tvw6ml6K/32eJuaW6u&#10;ZHm2XtTQ2NBAO93olYV1mMpK4Z4dO2jHwGDa7DmODiMqBJXlpaVLlyyqramxsbOzsOgagTo7O46f&#10;iD8Tf5I8E7C0sp49b56dvS3td6PIiAXjB22x6Lxxo6i4mH1XLADC/PGRkerbDKNy6ZeVFJ9LSurs&#10;7Bw9evQAi8FpBZeSk4VVleh9TYQROhN6C4VV7e1dIVVbR7vYJw3RHySlHzNlMmmfiE/ISk9fvGSx&#10;k5MTdOvq6//6869SVh0ufkDgpMmTjI05tK8G1BrmA6qVfoNIlJj4b3V1NY/nNG5cpA7n9NlkZWZc&#10;uXJlxcq7aF9r0VbvE7lDgCYS1TPhuXZF5dZW1pz+eMTc3AKiS9rRTiBWoi1lgV82ROK00x9u3Lj5&#10;0+bNtHO79Nvb26oqK9Ozcy6dv/DoE49XV1Xv2rGjgXVCJyp6SmBgkKGhujY7GBlxJk2cqNY97yqU&#10;Phj/ypXLxcVFatpdqsnA/CY+If6eVffRvtaiHd4vKSktKy0FxZeWlg1azA6fRubcJkGqee259sYc&#10;Kfq2srbRkyBIwyE3Rz1y7MSv31Pvx85b8H//t4a062urE88kBo0M9vLmf//9Dwf37enonhoyPPrU&#10;U4G3ZzBq62r7HHsUP+DD5XKjp05XX5gPqEr6TCrf1NRs1KhR+pDYEQO9r14gmM/JyRFWCUvLylRi&#10;ebbEbW1sORxj0mZb29jEWAdOZCBSWbJgQV1Nl4tHjx23YcMGGMChLaioOHL40JgxY4JHhUD3iSee&#10;vHLhfNezu/HxD3h73TovT0/aHzBVQsGJEyfZYwbfh6/uzSEqkT4YPy01ldzYS09S+VKB12HXju0x&#10;0THaPsvRIO8T1xeXlJSXl4udUO8TRuvE6RwTY66dHXRR5QiBeaNPmT7j008/gYaY9IFXXnn11PFj&#10;pD152vTX3nhDudVOqUCo+O+ZM2zpR0SMVbdABy59tvF9+b7BISFqnZpoPn9s/Q29rwJSrqYUlxQr&#10;HtfDvBgsb2drZ2llaWlhgekURBHeefvt0yeOk/a+Q4fZ6R1y8cefftq9/S/SBrbt2u3E69rNqRLI&#10;9nba6UbzpY/Glwp6X3lIaJ+bmyt25yBJQPEgerC8kxMPFY+wATHVCLsWihubmhobus5PwTSxuWem&#10;2NTU3NraQtpAYWHRkQMHSHv1449zDIczWzaB+FOnTxw6SNpA9MyZ/n6+tNONqakZSQ0BDiPoeADv&#10;Sfjb3sFRvhC1TvpofDns2rnDy9MrPCKC9rWTQfU+6P562vX0jAz5oT18xhwcHHg8nrOzC4pez2kQ&#10;iRpE9cTsHR3tpBCuEmURW1paf//5Z9KOmDBh3NixZMsmICb9qOgpI0eOpB2FIQMDWfkni0YkJNQu&#10;6aPx++TwoTj4LWv7CbXB8L4iuidxvSOPB2Mpul7fYCJ3UvyEbJhResumLLb9trWxofdeiVY2tqF3&#10;dFUQYx/OUk76suBwjMWKrE2bNlXdC05KSz81NSU9LQ0aaHw5kC38g/B7VCtq9D68/66lpF5JuSpH&#10;99ZW1hDau7u769UuYL2FbKmsrq3taGsnOZmO9g6I58mjqoJ9MIK9d+vK1Su//fQTaUtlwdLl8+fP&#10;JSkjBmaS0dUewHerydIHl127dq2zsxONrwj79+6B11mr1a8W76dcTcnuyt93zRalAqG9i6sbhvY6&#10;SZVQ0N7WPvDMjCzgzQN/M0InSfY+N24VFxb8se0PN1e3H779ll66nWV3r1qz5mna6QtmgkLGsD4n&#10;KBorfWL81tYWdZ8W1iXgt3/s8CFozJg1W0tfMVV6H952if/+m5GZJWsXJo/nBKG9h5c3vr20HZJ2&#10;b+/oqKmuUYfcScxO0uVkV+5AtuQS6cdMiY6Mmgjv0uvXroPsrl65TBQJxp+/YL6q9unDsHf58hVh&#10;96hA0EzpM8aHT+To0XdgBNYvtF39qvF+dnZOSkqKrAAfPsOe3t5+/gGoe+2CLXfokioLKky7gxBt&#10;bKzhbzvbrsMWCm6P6S9s6dNL6uT0qYTi4iLa0Ujpo/FVAjmFB7PP6TNm0kvaw0C9n3I15fLly1IL&#10;45iamrm6uASPHIVvLE1mcOQODbL9kex1GbQtuSh92u8Gja9ayJ0XB+HQtcpR3vvnk86fv3BBakqH&#10;x3Pi8/lqumuEDkBUSzss5NzKR5GKZipMsygBO+1OjtQN+WHpqkrBjz/9OFTSh2ludMxUdbtVQemX&#10;lRRfunQJ3nZofNUCQ2ly8oVB2JurWpTxvizjQ3Tjy/f18/fXh3cV291MsEwQq9sldoBIqyFpd42S&#10;uyyam5p+/vmniPDwoZL+IGR+FZE+GD/1WirEBHpVMHkwSTqbmJuXq133W++f92UZX8fq85HthozN&#10;yY7D7keGOKYeHCTXVOGidm20RelDG0ITUiIfpmIho0Jwq7T6OHworr5etHDxEm1ZwuyH95976SVJ&#10;42vvW4psN2QfFNKKwJxJl/cJe+u6fLRU7rJA6be2tV1IOgffFXwz+lYif0iAFzxu/z4IlLTlVlz9&#10;8P6jTz1JGgTtMj6E8I1NTbU1NXX1dYPjdxI10063r8muFTayavfjB1VpUPqXkpNzcnOMjIz0s0T+&#10;UKFda7zKeF8rjA+T3PLyMhC9UCgUqeJEKFm3BNh3X2GLG8vGDTlE+r58n1lz5tFLaoPs4Ga/tYZc&#10;+nXVVeRut3jsdkgga7xRURM1f0tL/7yv4cYnrhcIBOD6/kb0JDxnonJG6Bh6awtE+g5c7oq776GX&#10;1IamSX/tunWXLiYLBBW4eDu0wPyvvLx8zpy5Gv4r6If3N//0k2ZOGwvy8wQVFQrG9SQ/zq6bqPKD&#10;Qsjgo8/Sf+KJx1NSUqA9btw43Dw9tGhLor8f3j95JpE0NAES2hcXF0OMQy/JwNTUzMbGhlTwR8Xr&#10;JHor/dAxEfPmzqmqrnJ39xgbOV4n39tlJcXtHR1aNJ6RRH9IaFhISCi9pHlomfdB9wWFBYX5+fJD&#10;e6zgrz8MrfQHR7hSpT/qjvCoiVEmxsbjIyN1MhsJH/YrVy4XFxdxuVxt2SdDuJScnJGZrsk7+rXD&#10;+4ro3ggr+OsfQy79Qbj/hlTp+48cNWnSRH8/P3UX0dy4YeO+XTtox8DgjXffnzljOu2waG5unjdz&#10;Bu30xdfffhcSMop2uqkQCI4dO/7jN5tIN3rGzJEjg0FB2rsraf/ePRxjjsYOV7K8P5z+/5ACn7Ss&#10;zIzDh+L27duTmnJVqvQhtOf78GOiY1asvGv6jJkwt0Lp6wl6K33foOCYqTGTJ0+OnBClVumfPXeO&#10;LX055Obm0Vb/gf/K3UuXMNIHEo4d/earrzIys+bOX6ClW1HHTxhfXV0N+qJ9LWGIvV9WUnz6VMLe&#10;3f8kJ1+QekTW2so6JDRswYJFS5cth3c/7rrRQ3b+vV0Ppc8PCFyyeOGSpcvUnfKGGHzD+vW00xe5&#10;ubm01U/y8gveePEF2rmdk4cPfbPpv7SjbYxw4EE8euXKFXjz0EvawNB4H16j1NSUXTt3xCfEFxcX&#10;SZaEZHQ/f+EiDO31mayMdBMTEz2U/upHVs+dv3AQlnD/+H1rNesuAvIRCGSWFJTP+g8/IA0PH/6K&#10;Vfe+9vZbW7ZtW7B0ObkIs43U1GukrXWEhY+Bv9NSU0lXKxhs7zeIRCTAT025Krn1HnWPiFFbU6N3&#10;6Z3AoGeefXbCoJxD3r17j4IZHkJ2ljIJDQj2s9O77ugLzJg5Y86c2bNmz3X38HzhxRdiYmeR61e7&#10;t6hqIzA2+/J9CwoLaF8bGLx1XaZeIO2zMDLieHp48H35WlToDtEZNE3676xd6+7hQfvqpEIguHvp&#10;Etq5HVnrusw6IcB1cNyxezftyOXPP//c/J+voTHqjvD/bOrN7wMw8Hz12SfQgAFg7dq15KLWAeHs&#10;vn17YqJjNC0RPZTrumTNNj4hXlL6XC43ImLsipV3RU6IQukjg4/eSh/4/NMu4SoOhO201Y0Xv++F&#10;B4j29u/dU1ZaQromJgoVENQ6rKyt71l1nxatPqrX+2D8XTt3SK7ZQoDP9+EvWLAIpntYUgoZKvRZ&#10;+r9v/ePiuXO0oxhii7p+/vI+uRACHz92FKI9jjEndvYcchH+i2KDx9WrV0iD7+tHGsggoC7vk3Ee&#10;jC+WxDc1NYMAf+HiJRDgY/oeGVrOnD6ln9IH+bL3Uz778qu0JRexRV0eT/oEHUbTpLOJ+/btqa+v&#10;j4mOgdhu1MiRfkHB5NH1H35AlnCbm5s3btgYf+QwuR4WqrmnXnUP1ef3ZeXxra2s/QMCMLpHNASx&#10;0spDKH1+QOBLL78U2GNGdQPCfe6ZZ5iF1jHjx3++YSM7cQ9Ize+/++67jKaBu+5/0MLSUmz8MDHm&#10;NHQPpaNHj2Z/2GGkWX2vzPX5BUuXvyBjlycyEAYjv0/26kjm8blcLgz78xcuQukjGoKY9CEoGRs5&#10;nnbUhizpP/Pss4MmfWDXP7sZ6QMvvaJQsA+kXr5MW938ueUXtvSBrz775NMPP8jIzJoxM1bsw+7j&#10;7fXRho20czso/cFHZd6/lJx88GAc+7MEwMeJTPTwvBWiOUhKf6gKrvkGBq1adU9oWBjtq5+z586J&#10;RehOMtI1YlQIBApu8z95+NBHH34Aswra72HC+PHbdv2z+qk1tN+9hwcGA5T+4KMC75eVFO/auSMj&#10;M519/Irk8SHGR+MjGoVGSX/JkkVTpyta7mbggIvZR3NBu4sXL6KdvsjPvy1RIJ+L58698/ZbtMMC&#10;xph7V91z8kwi+bN27VoYDOhjyCAyIO+TBZz4hHj24q2REScwIGjpsuWY1UE0Dc2Rvn/wyFmzYqfN&#10;pKeWBodv//ctE7NzHRwff+IJ0lYEQfcdqtksuevuBx555P9eeOHn33+HsJ1ZuSWA+o8eO047iIah&#10;vPcL8vP27v4nN++2rV3u7h4LFy8Jj4igfQTRGDRH+oGjQmKmTY2ZGqPu/zobsaO5j6/5PwUzPASe&#10;E+/Zl18lWRo77ogHVq92cnQIDQmFCM/L2wfC9i+//lpM/YcPHqAtRMNQxvskzE9MPMNO7JBU/uQp&#10;0YP5VkYQBdEc6QeHhkVNjAJRDuZBxQqB4Pdffqad7qVUqcdx5QDf8OLFiyZFjYcAf/nKO0NDw8Qi&#10;PHNz8zvvupt2upHcrY9oCP32fpVQELd/HzvMJ4kdTOUjGovmSH/UHeHjJ4wffccdg3xjqc8//YSd&#10;4XniyX5keAhlJcWHD8VBtOfg4LBgwSIwvuQLCMMZbfXQ523ykCGhf/v3U1NTUlOu0k43XC43KmoS&#10;nsBCNJaszIxklnyHUPoh4WMmRE1wc3UdhIMCbOTU4ekTv6DgDRs3nj+fBAaHD3vIqBD54d3yxYvZ&#10;236efflVxZeOEZUz0P37rW1tx48dFZM+hPmzZmv6HeURfUZM+qamZkMl/dAxEVMmT7KysBiEgwIq&#10;pK2tjX3yts85vf2IEbSFaDAKeb9KKDh2+BB7ygZBU2xsLK7fIpqMmPSNjDhTpkweKulPmxoz3NBw&#10;EEYd1XLz5s2IiLFLly1XMItbU1VFW91YWFrSFqJJ9O39gvy8EydOipUxgbcvls9ENBlJ6U+bNlXd&#10;b1qp0g+LGLt40cK29vZBGHVUjqmpqX9AYIVAsHv3HvizefN3UydGwR+pC7bNzc1iZ7v4fD5tIZpE&#10;H95PTU0R27cDgz9u2kE0HI2S/qKFC8oryidNnKiNodKwYcPgb2srq68++wT+/LnlF3I95eptKV/C&#10;kSNHaasbroOjj7cX7SCahLx1XbFdEIPz4UGQAaJR0n/44YevXUuBaEnDjzH2WZdNrCgbOH3T5s3s&#10;EwAwJ3jnzTfZlX9WP7Xm3lVqv1caIod+r+tKbn1buHgJSh/RcKqEAk2TfkhomIZLH1402pJN1MRJ&#10;tNVNtbByzeOPMydyz547JyZ9GBhm9POIADJoSPF+a1vb/r172NInCX3M7SAaDvjrxImTtKMZ0ofP&#10;TkiIRleWv5ScfOTIEdqRDYT/zG3QCaD+j9a+TdL9b7z4Alv6wIuvvdav88DIYCLF+2J3IOL78DGh&#10;j2g+RPrstahx48YNlfRffPHFjIz0wanprzTwikGEl5ObAzMSekkuTzz5xBjFyqg9+/KrWHBNk5Hi&#10;fbb0IyLGRk64LfGHIBqIpPThravuM7FypH/2bKKzs7MmSz81NYWE+XPmzFVwRmJubv75ho133f8g&#10;7UuD6+D40YaNeFZLw5G3n0fzF6MQBJAqfXW/dSsrKyWlP3nadM2Xfmtb2+FDcakpV0l5lf6eu3z8&#10;8ce27foHInqx2H/B0uVwccfu3Rjpaz5S9vM8+tST8DdKH9EKwGJx+/exK4EPwlu3oLDw+TVr6mpu&#10;u6/csrtXzZ835/z585os/bKS4n/PnDEyMhofGYkFtXSe/u3nQekjWgFI/9jhQxoi/diZ0xMTz2iy&#10;9C8lJ8cnxHO53LnzF6D0dZ7TpxJoSwIp3kfpI1oBkT57OSowIGiopB81PjI5+YLGLuTCa3X82NGM&#10;zPSQ0LDpM2biNg3dhvy62XsyxZDifZQ+ovlISh+cq+6CUWlp6ZLSv/fhR4IC/UGpEDBppvSrumun&#10;V1dXx8bGavim0kGgrKSY/IG3EL2kW5CPhvwK2PLO6yKIxgLhDPudPQiB9sn4hPfefJ12enjz3fdb&#10;mxubW1o09ig7Ob3M5XKjp07XtzAfDFhRVlpTXSOsqmxqambnA4GY6BjdS3Y1iEQJ8b3l1L7/5n+k&#10;IZbfR+8j2ofYYXJG+hDYtre1Q0Pln2ep0n/pjbeaGkXmZmbRMVM1sxo5eaH4Pny92o0N7isoLCjM&#10;zyf6s7aytrG1tTC3cHLqGpjtHRx1dfwji/bsjW3ofURHEJM+j+c0fcZMiGqvXbvGBHTwUVehi6VK&#10;f+HyO60sLUxMTELD7uBwOPSqxgBTkPTrqW1tbX5+/g6OGjcR8fL2gvGSdlQHvA2yMjNB96amZg4O&#10;Du7u7k4urnoyy5G8KRaA3kd0AbE3N/jdh8/PyMgA40PUHxQUOMKBR6a6qsq9SJU+MkD++/2PwcFB&#10;tDNgWtva0lJTc3JzINSFtwHofpBvYzm0wI9/5vQpqQl99D6i9RTk5yUmnqGdruOjFsMNDRsbRPBR&#10;Hz36DnZ0D5+EC0nnysvLB6j+TZv+u3PbVtpBVIeqvM8YH9q+fN/gkBB9W8OoEgpOnTottnTBIMv7&#10;8s7rIojmAJ/w8+fP0w4ELMMNm5ubTIw5sbGxk6dEi6V04MMPF83NzE6cOAkfDHq1n6D0NZxLycl7&#10;d/8D0gfjL1y8ROqt3nUbUlNPlvTlgN5HtAOI39kLVsOHDQsJDZs1e66ccH7GrNmg/nNnz8GYQS8p&#10;DEpfkykrKd61c4c+Gx+imf1792RkptN+P8E8D6IFNIhE+/btoR0DA0tLq6lTpymybAv/8ODBOC6X&#10;O33GTHpJAZpbWgok7iPY0dGRcvUyNDRwIVdYKcjOzjIxMQkaGaLcemlOVmZ1TXXk+EHa9qP0ui6T&#10;y+bxnMaNi9TMbVTqBsJ8sphB+7LB/D6ixbD38JibWyxespS0FQFiw/iE+MCAoIGc6gLdHDt8CMaD&#10;OXPmappryFq3u7vH2MjxSoe9ZICE8FndZ98GQkF+3vnz542MjMLDw/Vq5ZYBwnyYv7KPK8oH8/uI&#10;tgLOLS8vpx0Dg3Fjx9KWYri4uYP0YUasdKIfuJB0jmwQ0ijpwysDIyJIPyQ0bPLAbpIBPxdIH6JI&#10;GADoJU2C/KSJiWc8PTzmzl+gh9KHVyDpbOKRI0cUl74c0PuIplNRVspMaa2trJU4kwUxLPxDCJRo&#10;v5+Q2Yam3RgdBA1TEBgRY6JjVFJ9AV4lCKUTE/+lfY0BBuy4/fvgJ42Kmhg5IUrfUvkATHTgFcjN&#10;y6X9AYPeRzSd4uJi2uoqHhVAW/1k/ITxECilpqbQvsJkZWaA9CMixmrUmX5Q4cGDcdCAKYgKv7Ep&#10;UyZXV1dfSk6mfQ2AbFmxsDBfuHiJHob58Is+fCgOJjpKbNqRA3ofUTvw3h1I9kAoFNKWgYGzswtt&#10;9RMI1QMDgtLT0mC+TC8pQFlJcXLyhUEo89kvYCgCFXK53BmzZqt2CgJfLSQ0LCMzHf4T9NLQAe8Z&#10;UB6pITpr9lx9C/OZxA6MxPSS6sB1XUTtwNu3sKiI5GrAVvC3wwhHjokx185OkWIpf2z9jTRMTc2W&#10;Lrvt1t79Aj5Ie3f/ExQcrGBWBIarEydOalo9fXgxYb6v1pI7p08lDPzI2wCBmRkM0uZmZjBR06j0&#10;2uAgdcfOjRs38/Lybxnc8vfzpZf6AvfzIEMPRHANovrGpqbGhsbautqW5mboGxlxbGysYSSw59pL&#10;VlMhu3FIm5TiIW3lAGnC7GH+wr7v/gqDxLHDh6ABMbWGRJrwLSWcPA7R3yDcIWMI1Q9vksTEf+HH&#10;1LdycgSxSlMMQmHVscNHGkX10F5+19129rbkunzQ+4iGAmF1TU2tQCCor6uDYcDaytrBwYHn5ESS&#10;uWzvD3AvJkAqPdyz6j7al83hQ3H19aKFi5doiPThVTp3lu4pGgQXwxhz5vQpkO+kiRMHc2GDhPn6&#10;eRtIeKtfunRJcrsOTJFDRoUcPnp8yw/fkSuWVtbLVq4wNu77EAl6H9ECQDcVZaWCiorSsjIIeSDA&#10;t7a2zs7OIo8O3PsQxjY3N82aPZf2ZaAJiQ42JONkPugFn8lGpsG5AR87zA8LH6MD2Xx49drb2xWZ&#10;oYLxU6+lSubxTU3NRo0axbz4zz37LHMff35A4LTpU0lbDrh/H9EC4NMOYT7M7pcuW75gwSJHHq+0&#10;tJQ+NmDALGAxb9l7QpLOJsInkGzgGT16tIZIn72KO8inByZPiQYLJydfAIXRS+oBwvyDB+Oamppj&#10;omN0Y6cmDNXwLnJ372PKAu83mFnCjFZM+kZGHIhy5s5fwB5xP1q/3ta+a3kMyM3MyMruqkanHBjv&#10;IxoNO88zwITv8WNH6+vrZa0Mk9iWtL08vaImTSbtoWUQVnH7BAaeK1euqGm2wYT5oDldqqa5f+8e&#10;jjFHzsxSVowPyJnxpKWlP/3oatpRINGP8T6ilRibGNOWgUFdfR1t9Z+C/DyBoCI8PJz2WbRK3IT6&#10;xs2btDV0kO8KpB8RMXZolzch5Jw2rSulACG5Egcg5HApOXnfvj0d7R2xsbHhOlRbDWKI5paWqKhJ&#10;tH87smJ8wN3dA6a5cmY8wcFBTzz7HO0YGBw6cODGDWXeq+h9RKNhJ1vgcwI2pJ3+AEHl+fPn4UMl&#10;efAHPoRx+/eJ3bNi9Og7aGuIgB/z2OFD8POCEAcht94n8FuYv3CRp4dHaspVcFbVACpeEOBlJwU1&#10;IcyHr6whKTWVwOQJJedGfRpfsqK4JCtXrAiLoKVKGhtESUm9xckVB/M8iKbDvoW6cmuMMOmGv8V2&#10;ZMIMIDMzQ/ITOPDV4wHCrOJq4NZ1sq1IJO1eNwoCQ9qFpHNgRi6XCxHxIK9YqBuQPjnoJ/YWguv5&#10;+XmSbzZAiVeysrLy8dWr62roV5u3eLGLizNpi4H7eRBthXyWSFuJo1sw6WZvzoHYPzsrq6CwQOrB&#10;d/j6c+cvGMKEAyk5CdLXnHMDksBv5Nq1a52dnb58Xz9/f8WdxWzT1MmCmuSNCh5nDvrBIFdUkC91&#10;Pz6g9NgJsG//KWdbJ3of0Vbgw7N39z/M2cWQ0DDFy5BdSk7OyEyPipro5OIKn0BZMRcDPHMIfSQp&#10;Do0FfinkBocKbvCHicLFixfhxdeZbZpikBV4JtIn4YWsKvkDMT7DJ598cqh7IguMHH1HVNR40maD&#10;3ke0GKJv2jEwiImOUcQ1RKOurm4QbcnXPYHL5fa5tV99kA1FQ55lUjkwQly9dBGcCC/vmDFjdCmV&#10;T4AfkH2OGka49PSuFD99mIWREcfZ2Xngxic0t7SsWrFCfrYHvY9oMfDRitu/jz1ZhoiJ7+MjaX+I&#10;sxpE9RUVgrLyMlH3oXZZmJqaWViYs8cDW1s7rr29nb29h5f3YAak8NORlPfgnJAaTGDovXLlCjRG&#10;jx6tYz8ageTljIyMpkyZXFNTm5WZKXngFgDj+6rhtu8XLiS/8twzpC0124PeR7QbCKOOHDlCOyxI&#10;eR9o1NeLpM6pJYExw93d3cvb5/ChOMb75uYWHu4ewqpK8nVUMhNXBJA+uZMXswKhG5T1VB3Q1cRO&#10;9yaxJIGgAkJ4ExPTkpISqW8/cuZWfZGE/GwPeh/RekjwqKDcJeHxnED3zCcQxMScCAMWLFhELA8i&#10;Ztbi1G1/cEdC/Ekdkz78UFeuXCY7dnQ1sZOWmpqdmzN82DAzMzNZ00r48QMCAtW9XCSW7RE7yYXe&#10;R3QBZnmQ9vtCrMobG/YBXfC75FIqDDNk18q4cePU8emFn4Xs19TkrTv9hRQQ1uFb4MK74tLly7du&#10;3jQYNuzWzRv0KgvVJvEVQWxvz4p77jY0pAez0PuI7kA2SwirKjvaO9jpVIiw4G9bG1tzS0uunZ2c&#10;tV8I2dh7hJhgXwz1Zd51T/oF+XmXLl0imzt1qeICAG+DkqLCnOzs2rq6W7dkno+FIMM/IGCQF4cI&#10;77z99ukTx0k7euZMpkA/eh9BeiFbfUi7z2085Mkq3OJJviBMMsZGjtcBPzKTsEFbFBkcQPfZWZll&#10;pSXy55ckwA8KChzCjFZlZeXKJYtpx8Dg3oceMjMzhYYs72OdBkQfEQh6Kw3IqdBJgEgfjHb+/HmY&#10;Z9BLAyA1NYXZpK/t0gcznj6VQNbbY6JjFCkzoBXA3OX4saO7dmxPTbkqR/o8nhNMBFesvAt+8KFd&#10;xnB0dGTX7bl8uWsPlRww3kf0kV07dzC7QmUlecQgxR4UuVeXHMiiQr+OnmkmYHxybsvIyIhdI16r&#10;Ad0XFxeXl5fL3zsgtkFAc1j90EN5WZmkvWj5ckdHB8zzIEgvStyzl2Tkffm+yp2rAlGeOX1KIKjQ&#10;gU36zIq3DqTyYQ5XUFhQCRPA22vziQGud+TxnJ14mrw9ib2d39nNfc68uT9t3ky66H1E3wGDM0cB&#10;+kzusyHHhhWcH7AB6evGJn1ifLLDVdsXJ+Bngei+T93z+Xwt2pjEXuCNnTfvyIEDpI3eR/Qd9s79&#10;/tZF2LVzh42NTb9u785s3dHA+pqKw5zD0vbFWwjw065fKywqkpPMsbay9vT29vMP0LqBjb3Aa2ll&#10;3diz2w3XdRFEeUaNGgURouILvKBLZr+mlkoffgRSNd7M3FzBGvGaCVmt3bdvT25erlTpw+QvJDQM&#10;fsb5CxeFhIRq42zG0dFx2d2rSJuRviQY7yN6Bzveh4l8v4J3AEJ+BwcHyXNekjD7NRV5sgYCLxS5&#10;F2CXEEeFKFILTwMhpz1kVd4G4BdE6nbQvpYjdoKXgPE+ou+w/VVfL692m1T8/P2FQiHtyOb0qQSQ&#10;fmBAkDZKH0JjEuNDOyY6ZtbsudoofRh3SYCfkZkuKX1TUzOI7pcuXwG/IF06WgyTy7vuu492ZIDx&#10;PqKPsPdxKljVmYFMF+5ZJfOjpdVbd5iVW5gJBQUGaqPuq4SC3JxcORl8CPClFnPVGSRDflzXRRB6&#10;lwzS7teWHuBScnJBYYGs3Z8NWltqjb1XRxtXbsmOzOysLFn5HAjwvTy9dKyGhCzYRXsA9D6CdDkC&#10;pv+005/b9pI9oLKeX15acurUqeGGhrNnz9EWb8LsJDsrk+hSG40P33+fd1LT+QBfKuxjXOh9BOmC&#10;XY8TUET9ZEemjY212PyAqCcrK0skqh82bLifn399fV19fT0JPCHMdHBw0EDvkAXPnNwcaHt6eASP&#10;HKVFxievufwN+Nq7HVMlsEN+9D6CdAHiYJfkBOSrn9mGz1TQlKqe4YZGw4cN43K5jjwe184OrlTX&#10;1pLaXjye08TJUzTBQWB8UiJfTfeBUh+K6B5+KBjG+L58rT4ipxKmTowiDfQ+glBI0oZ2ugFfR0VN&#10;kgx7xaQvq5CL4XDDO8LDpVZuKSsp/vfMGfgKA6zwM0DgO8/MzIBBiNwHSouWnclrzp6iiUHqYurS&#10;jsyBg95HECmQLfa00wPJD0C0bmVtA2NA2vVrKampoGzQSk0NOFN6HtnDwyNinLzSBWTwULrCz0Ag&#10;KR2yh127NurIGmLZwE+kmYXShhz0PoJIh+hYjlYUAdSjyPmvS923o1q4eMmgGQoGNrLmSbIf2pLE&#10;R92rBPQ+gsiktee+WrTfT0xNzebOX6Cgfbb/9ecghPwQ4DNVaMCNWpH9gN9CRVkp6l6FoPcRpA/I&#10;amef5dcBUA88h0n49Ku4m/zt/wOHCfBhNPLz99f83SyKLNUCqHslQO8jiKKUlRRXVAiampuam5vI&#10;FSMjjp2tHcfEmLltL6nJTB7tl/dhdNm3b09sbKxqd5uAPdNSU8m3BIrU/Aw+6n4QQO8jiCphF3fr&#10;74nfXTt3eHl6qSrVw96UeePmzVEjR4aEhtHHNA/U/WCC3kcQVQL+2rVjO+0ofLNGwulTCTCT6NdQ&#10;IRWxTZlgyYSTxx1GOA7+fqE+gcGpoLCgMD9fJLs4MIC6Vy3ofQRRMewTv/0K+bMyM65cubJi5V20&#10;3x9AoBwTEwiZSS0d+O+yKyQfPhSnUd6v6i6RJhQKUfdDAnofQVQMydTTjoEB34cfOYF+zORDckRL&#10;l69QUHPwHyovLxMIBOVlZZ03Og0NjYYNG+bs7CxZS0dDvE92YYLuZZVII6Du1Q16H0FUj1iRH7Ho&#10;Ww5/bP1Nfv1nxvWS9jQy4kRGRnr2fGDZwJeNipo4JFs2yTfcZ+KenKrl8Xio+0EAvY8gqqe1+4bp&#10;YkkMsL+Lq5uXp5ecjL+k92ES0NjU1NjQKKyqrK8X9bmXlBwqFvuvbP/rz0kTJw7mTh74tkloLz+T&#10;Q3QP0T0WURhM0PsIohaqhIJzZ89JtR7IzsbG2tbGlsMxppe6qa2rhaDYx4dfX18HXUUsLwdS7xMi&#10;aHt7u8GpRAY/cnmFoBImI3JDewC+N1cXFyyRNlSg9xFEXUDUf/XSReZGLiqHMXtbe3tqylV6VQYw&#10;DzAzN2dOGxibGKvEueRMA4xY1dXVfY5Sisx4kEEAvY8g6qWhZx897Q8MUCdMFOzs7Z2dXdj2hP8K&#10;U4CBXlIM+IKk4TDCkTQsrSwtLSxIW5L2jo6a6hoQfUtzs/wcDgET9xoIeh9BBgOI/SvKSgUVFX2m&#10;vNlAkM4x5oCRwcUKpmsU3DOjbkho7+zEw0yOBoLeR5AhAMLzBlE9NEj4TC6yA+2Br8HCf6K6ugq+&#10;uLCqsqmpeRCGAXA9DFFOTrzBXEBGlAC9jyD6QllJMRlmOjra67qXjpkScsphampmY2NjZ2uHrtcu&#10;0PsIou+0trXVCCtJu7q2tqOtnbQBZoQgkD1IZF5i7+CI+XotBb2PIAiiX8jy/nD6/wiCIIh+gN5H&#10;EATRL9D7CIIg+gV6H0EQRL9A7yMIgugX6H0EQRD9Ar2PIAiiX6D3EQRB9Av0PoIgiH6B3kcQBNEv&#10;0PsIgiD6BXofQRBEv0DvIwiC6BfofQRBEP0CvY8gCKJfoPcRBEH0C/Q+giCIfoHeRxAE0S/Q+wiC&#10;IPoFeh9BEES/QO8jCILoF+h9BEEQ/QK9jyAIol+g9xEEQfQL9D6CIIh+gd5HEATRL9D7CIIg+gV6&#10;H0EQRL9A7yMIgugX6H0EQRD9Ar2PIAiiX6D3EQRB9Av0PoIgiH6B3kcQBNEv0PsIgiD6BXofQRBE&#10;vxh269Yt0vL18iYNBEEQRJfIKcinrW4w3kcQBNEv0PsIgiD6BXofQRBEv0DvIwiC6BfofQRBEP0C&#10;vY8gCKJfoPcRBEH0C/Q+giCIfoHeRxAE0S/Q+wiCIPoFeh9BEES/QO8jCILoF+h9BEEQ/QK9jyAI&#10;ol+g9xEEQfQLrL+PaCULli6bPGVKYIB/cFAgvdRDWnpGRmbW5UuXD8cdqKkS0quy8Q0Mmr9wEe0o&#10;TG5Odmlp6aWkc7SPIBqMWP199D6iTdiPcLj/4dX333uPtbUVvSQbkahhy+9/bPnpR/n2j5kZ+8P3&#10;m2mnn8B/4tiJk999+21ORjq9hCCaB953BdFWwiPH79z9z5qnHldE+gA8DZ587MRxmBzQS6oG/hNL&#10;Fy/cvv0v9f0nEETloPcR7QCk/8P337m7udK+woCav9j4+d33P0j7aoD8J+A7pH0E0WzQ+4gWQKSv&#10;YJgvlfffW6tW9QMbNnxOWwii2WB+H9F07Ec4HDtxXJb009IzLiRfamhoIN2xEWMix0WQtiSPPPp4&#10;/NEjtNOD1Pw+fNmGhkbaYREUGCBn+Hn7nXe3bfmFdhBEY8B1XUTL+PTLr5YuXkg7LEDNGzd+Ielx&#10;38Cgx554Quo/KS4pnTppEu30INX7UkcIBpg6vPzSC5IDwNHjJ59c/TDtIIjGgOu6iDYBEpdq8F27&#10;9y6cM0eqmnMy0l957lkIvWmfhbub66NPraGdAQBB/SOPPkY7LCLHypxqIIjmgN5HNBqI3GmLRdL5&#10;ZDA77cgA1PzJpxtoh8U999xFWwPjUtI5+DZop4eBrEAgyKCB3kc0mhnTptIWi7XvvENbcvn+m01p&#10;6Rm00wOE/KraeCPqWVRAEO0CvY9oLjEzYyUj6F279yp+SGrbtr9oi8WU6BjaGhiY1UG0FPQ+ormM&#10;viOctlicPnWKthTgcNwB2mIxNmIMbQ0AqWOSZOYHQTQQ9D6iubi4ONMWizP98X5NlVAy1RMUGEBb&#10;ynL3/Q9ulLZbPz4+gbYQRIPBfZyI5rJ1+9+Sm/H7+0b9348/zZwuvkjA/iL92r8PwGgk9diwSNQw&#10;Y9p0RSrBIcggg/s4ES1GiURKZmYWbfWH4KBAGHKk/pFVK2LtundR+ohWgN5HEBXw9jvv7tu1k3YQ&#10;RLNB7yPIgIApyIqVd2N5BkSLQO8j2oTUlV75WFmp5SxVWnrGJ59umD177qoVd+LdVxDtAr2PaBNK&#10;1GEODPCnrf6wa/feTd9shj9Hj58UiaSczyL3+cLbrSDaCHof0VwypC3J9ve0reSuzeKSUtqSTdyB&#10;A19+uh7+PLn64RnTpoP96QMsXn3lxU+//Ip2EER7QO8jmktFeTltsRgzph+nZGGQkDxdJXU4kUNN&#10;lRDs/+tvf9A+i6WLF6L6Ea0DvY9oLhcvStm12a/CavPmL6AtFpcuXqKt/vD+229K3UUK6lf3HV0Q&#10;RLWg9xHN5VLSOcmcjOK1lH0Dg5YskuL9kyeO01Y/WfvOO1Jz/S+/9AL8t2gHQTQe9D6i0ezZu5+2&#10;WDz5xGN9ZvntRzhs/GKj1BI6Si/Gwj/87PONtMMC/ivvvvce7SCIxoPeRzSaLT/9KBlig2d/+P67&#10;mJmxtC8BSP+X37aQLTdifP/997SlFNu2/CJ1jTdyXIRK7uiCIIMAeh/RaGqqhFt+l7Kg2q3+zZ9+&#10;+ZVY4A/Gf+6V146dOC5V+hDsy7l7ooK8+eqrUrM9MAuB/zrtIIgGg3XZEC1g78GDUj1OAAunZ2RC&#10;w8rKUv7TVqxYKZnkUeL+uguWLvtio5R6nHh/XUQzwbpsiPbx4H33S5ZTZoDYn1RMky/9Rx59TFXH&#10;rPbt2ik12zNz+lQ52ScE0RDQ+4gWUFMllK9++RDpq7aagqxsz9q172C2B9Fw0PuIdgDqXzhnzqZv&#10;xBMyfQKB+Yxp01VeQge+n7Xr3qUdFu5urvc/vJp2EEQjQe8j2sSXn66fPXvurt17pcbaYoDxH3n0&#10;8SdXPwyOppdUiqxsz5qnHlfVrdsRRB3gui6ircTMjB19R7iLi7Oriwu91M2F5Iu5OdlnTp1SUPf2&#10;IxxC77iDdnpIuXxZkX8u9d8CJcXFWLIN0RzE1nXR+wiCIDoO7udBEATRa9D7CIIg+gV6H0EQRL9A&#10;7yMIgugX6H0EQRD9Ar2PIAiiX6D3EQRB9Av0PoIgiH6B3kcQBNEv0PsIgiD6BXofQRBEv0DvIwiC&#10;6BfofQRBEP0CvY8gCKJfoPcRBEH0Cyn198UqNSOIxnLs6NGLly+T9j2r7iMNBEEIUydGkQbW30cQ&#10;BNFr0PuIFmNtbUNbCIIoDHof0WLs7O1py8CgrKSYthAEkQt6H0EQRL9A7yMIgugX6H0EQRD9Ar2P&#10;aDF+fr60ZWDQ2NREWwiCyAW9j+gIjQ2NtIUgiFzQ+wiCIPoFeh9BEES/QO8jCILoF+h9RLuxs7Oj&#10;LQRBFAO9j/Sb62npm77Z/NzzL86aNcfXy5v8GTsmYvUjj/2yZWt9vYg+b1Aw4RiThrCqkjQQBJEP&#10;1uNEFKWouGTvvgP79uzOzcygl6Rhx+V++MmnsTOm0b6a+fWXXysqBdDgcrmzZs8lFxEEAbAeJ6I8&#10;YPy331k3bfLkLz9dL1/6QG119VOPrD5y7ATtIwiiYaD3EXkwxt+25Vd6ycDAzNza0y/Sgz/G2tZx&#10;2PDet5ChEYe2DAzefPWVQU74IAiiIOh9RCabvtm8bPFitvFdvUK8/KdaWNkWZidVlmXZjvB09pnX&#10;6XZvndP98MfCfYmn7zjyTIj6f9u6jbQRBNEo0PuIFK6npd+54q4vP10P+iZXuowfMK2msrAwO97Y&#10;xNLeZ1mFzZKUxqC0RrvGTvouKmoxvdoY6Ok/iXQT4k+ShloZ4TCCthAEUQz0PiLOL1u2PnjffZfP&#10;J5Guk5u/q9/8poaqwqyT9o6eRu53pbVH5DVbkEcluSryIQ3mK6gVE2O6n6e6Z4hCEEQ+6H2kl/p6&#10;0dvvrPvgnbeYMN/Tf4aJmX1ZzgFDQyNLzxXXW+8Qtvcm8WVhZm5NWwiCaB7ofYQC0n/k0ceYbD6E&#10;+c6+CwXFSSV5F1195+YOn1rcakIe6pPOjjbaQhBE80DvI11cT0ufMW0ak5nx9JtoYu5ekbvP2nZE&#10;m/PKaw1ccl1BOtD7CKLBoPeRLuk/eN99vUu4fvNv3mgqzDru6Tc169ZkZtlWQfjmtB7y+MlTSANB&#10;EI0Cva/vsKVvZm7t4rdAVHmupCDFkb/kisiNPKdfWHFqSGNUSChpIAiiUaD39Rox6Vs5T68pib95&#10;o9PIbWVWkxV5Tn+prkgljfDwO0hDrVhb29AWgiCKgd7XX+rrRWzp27rE1BYfNDQ0rLedr8imHakE&#10;Wooa6ru+oLWNzeCU6LGzt6ctA4MGEZ4QRpC+Qe/rKWT3DjvSr8jbb2pmCdKXldD3MGv17jgGf9O+&#10;VFrTyP+vWHUfaQwmDaJ62kIQRDbofT3l8w0bmd07dq7R9aWHzc2ti83mypK+pdFN844rtdVlHYJD&#10;stQPwX5FSRZp33P3StJAEETTQO/rIzv/2cvs0/cMiK0vP21kZAyRPrkiFU+jq8TpLc0iWepvEp4m&#10;jbvvf8DDXZk1YQRBBgH0vt5RVFyy/oP3SNvTb2JjbfqNGzfkpHeAMKvc0gK6WguA+g1F/8IMgPa7&#10;GW1TQjL7NrZ2L734Ark4aLS3dxQWFu3Zt/+v7dtPxic0t7TQBxAEkQC9r3e8++57JK1vx3UxuNVR&#10;U1Vq7jxLUvqOxh0jrWrCrMtGml4uzD5DLnr4jiU1GGqry9wMzjPqh/C/IJMW3P+/F160sRm8Og1N&#10;zc1Z2Tm//vDDkQMHtv/+27dfffnem6+vWrGioLCQPgNBkNtB7+sXO//Zm3DsKGlbjQgpyr3g7hub&#10;12xOrjCAxw2rDpRm7y/MOsZE+iD9lMYge1d6GquiJIuoH/7cqKJfM3rGzAfvX0Xa6qa+XrTpm82r&#10;H3wo4Sj9rzPU1VQ/v2YNqh9BpILe1yNAlN99+z/S9vKfUpx91M07LEXkSK4wgPQ7BIdamsX3RHYO&#10;c4K/rzfYu/rRlQCifi+jlKaGWuja2tuvXfsOeUjdwAC2YsXKLz9dX19Lj4lFxUx99e21i1fQ9WSi&#10;/spKvOkugoiD3tcjftu6jdwl0czcuqWx1MTEIrW57yO1Tr6LjT3uBtfXliaQ5Vwx9ZcUpJD262+v&#10;HYTl3KLiktWPPPbq888yd3z09vNf9/EnL7/04vjIsQ/cf99/vvve1r6roBCo/6MPP8RcP4KIgd7X&#10;I/bt2U0ajq6jKsvzzJ1nka4YRS2mNi6sI1etac03DcH19q5TmJ080PX0n0EeJzzy1JplSxbSjnog&#10;iZ1pkyczqSrwO8T4G7/YGBYyklwB3Fyc31i7lrSvJl9Y/9FHpI0gCAG9ry/s/GcvE+xXlac5uwdK&#10;pvUZMhqt2RE936zrZvxi6r8qcvH0m9j9lC6aGhtoSz2cS7pAEju0b2Bwz0MPf/PdZojxaZ+FH98H&#10;xgPSPn3i+IULyaSNIAiA3tcXTp9KIA0HZ7/mpvqim2NIVxZGBl0pe0J9TR7ZugPq57mHM5s4rzbw&#10;GfVv2/LrL1u2krZqgTB//acb7l25gknsRMVM/c9339+5bKmZqSm5IkZ1TU1xSbGjkzPpJiUNxp2/&#10;EERbQO/rC/v/2UUaNZX57vwI+dWVR1rVMHs3rWwd6qrL3UxpdeUr9R7W9t7MJk62+j945y2YVZC2&#10;qiBh/g/fbCJdW3vuMy+/8vJLL7q5UKdLcjLh1CP339/c1DRnAc07VQoqSANBEAC9rxeAPUnDwcmr&#10;saGmtpPeAlcWXen7Hps31Ak9/SfVl50g6R0AXG9i5sCoP7fF28nNnzz06vPPqlD9m77ZLBbmf/7l&#10;F1Oj5ZX1/3XLb/t274bZwAP335edTYtGOPK6diIhCEJA7+sFGZnUgMOGDbPlOityx0S2zQuz/nV0&#10;C2WXZwD1G5vagPqhDVOHEoNxbPUfOUbPcCnN9bT0O1fcxWTzmTCfy6q+KQlIPy8398OPP4LZQElZ&#10;eWL8SXJ95KhRpIEgCIDe1wsaG2mWpra63JbLJ235iNlcUv15rQHwd5hVLvwt9uQ3X30FxE3aSvDL&#10;lq0P3ncfUzZOkTAfINJ/7fXXzExNW1pbN372Gbnu4x8wNSaatBEEAdD7+kVnR1vzDQfa6Qsxm1eW&#10;pPBcRzKLuuTRthYhW/09VRyqQdxKqL++XvTc8y9+8M5bpJIEsPqpp/sM84H9cQevXr7MSH/9x+vz&#10;u5M8MFF4e9068hwEQQjoff3i1q1b/bqRFs+4uVFEFdzSLBKUXreydWEy+5Lq5/BmK61+ePKKFSuZ&#10;9efQMRH/+e77+XPnkK4cziVd2Pnnny+8/DLZ3gPST7lIN26+8c5aL09P0kYQhIDe1wucnXt3vxBl&#10;94mjcUewcXJ13i7G+wCoX1ieZWxizVZ/zfAxlaWpodZdFRGKWkzZ6n/h+RcghO/6l33xy5ati+bO&#10;ZZZwF69YCcG7nE07DCVl5Zv/u+mNtWvJk3/d8hsj/Xc+/Hjs2AjSRhCEAb2vF4yNCKctAwM/i2La&#10;kgHfvDHU4lp70bayInrzLFt7+yf+71k7blfxA6J+E1NbRv2V7RxwvbAkcaRVV6kctvrB4488+ph8&#10;9cOjb7+z7oN33iJdcgT3gfvvk7U3nw3J49+/erUfv2uHEkh/9/a/yEMvvvEWpvURRCrofb3Aw93t&#10;7vsfIO2CrFMh1lWkzcbDrDXMusyz7TDE+EW5l+jV7puo7Nqz56UXn/vlt98Y9be21Ny6eZOc4wWI&#10;62tKTzHqZ8p2Xj6fJEf919PS4VHmJjChYyLeX79e6hFcqfzy869+/gFkyfdkwilG+svuXjV/3lzS&#10;RhBEjGG3bt0iLV8vb9LIKaAfZkSXKCouWbZocW0NTdqYmJqPcOJzTLg3bzTd6GytFuS1tjSRhxii&#10;Z8x84YXnRwYH0b6BwZFjJ556ZDVp81x9DW4ZmFrwrjbQDUIwcojyt7v6zb/e0LUMC2NAafZ+8tAd&#10;4yJ/+P47sbr8v2zZ+t+vvmCWcBevWLlixZ2KhPkEEP2+3bs//Pgj+Cfnki588v675DpIf82ap0kb&#10;QfSZqROjSEPM6uh9PQKC6+efeyEvi+bQZWFjazd34cJHH31EanHNnf/sffX5Z0lbUv3geoj6IfaH&#10;kJ90GfXDvOH99+jWGgj/1657l1nCBV59e63iYT5QXVPz0nPPv7F2rR/fp6Ss/P8ee5RcD4sY+9H6&#10;9eZmZqSLIPoMel/FlJSU5ufniUSiKiHNmRgbGzs4jDAxNXVycnZ1c9VM9YBwf9u6bd+e3cwKKoOb&#10;p9fk6OjJU6bEzmAV45QGW/2unqNqhEWObuOuilzIFTH1h1mXFWYdIw8R9cPw88LzLzDfQOiYiEcf&#10;f1yRJVw2n32+wcvb+85lS8kAUNc9jwkKCf38iy9Q+ghCQO+rhprqmrPnzubnFzQ1i2dFxOBwjLl2&#10;diMcuv5nZ2/v5+dLH9AMiopLysrKaQeMGRjQr5sjstXvwY8QlmfZu04h6R1AXP1WuUy1n+gZM5kq&#10;ysA9Dz08f95cxXM7hKup13/96ccPP+4qsMzs2rSytvm/55+fGRvb/RQEQdD7AwaMfzI+Pic3h/b7&#10;j52dHdee6+7m5uLq6ubmSq9qLW+/s45Zj5VU/2ibIkHxpQb7hY3dBeDY6ifY2nOfe/kVdt18BWlp&#10;bX3z9TceeHg1/Fv2Bp6V9943buzY8AjcuIkgFPS+8jS3tCT+++/Fy5dpn4WREYcJkzvaO0QNCu1V&#10;Jzg58lxdXRwdeb7+flqampCvfnB9W4uwxGCcpPpDx0Q88+wzfZ7Clcr+uIPpaWkvv/Qiey133uLF&#10;Li7OgQFB6H0EYUDvK0l2ds6hw4ebb8/qmJqa+fn7e3l6WVmL50YaRCD/+ooKQVNzE/yr6p7NKvKx&#10;MLdwdnaGqYCvr689VxkbDhVs9Xv5RxdkJVh7ryDpHYCtfh/z5obivR0d7f3dt8MGgv2nHnv8jbVr&#10;7e1smbT+mAkTwu8YDQ30PoKwQe8rw4EDB65dv0473YDxR40a5R8QSPsKUCUU1NTU1tbU1NXXKTIM&#10;cDjGzjyem7ubt7ePVqSDVj/yGJOy9/SfVFmSwmT2gVDL9PbWehOroNqyU/c8+ICNtU2/9u2IATH+&#10;6dOnINhfu3YdSevzAwKjY6INDbumFOh9BGGD3u8fzS0tv//+e21t7z2njIw4QcHBISF934hcPjAM&#10;lFcI6mpr6+vq+swLMWPAyOCRGjsPqK8XPfLoY0z5TDH1WxrddGg53toieubFlwZifIDJ7NfUVH/9&#10;2afk4p64uP3795F2VNREL+8+bi2AIPoDer8flJSUbv/7746Odto3MOByuVFRkySzOgOkta2toqy0&#10;prpGWFXZ51SAyQWNCg3RtPUAMfV7+U8SlKTcGDGvsp0zxl4gLDv/4aef9nenpiQks79mzdNPPfY4&#10;yfA898pra556/JNP6RgQEx3j4uZO2giCoPcV5XzS+ZMJ8bTTTUho2MDDfEUoKymuqBDU1tXCGNDZ&#10;2UGvSsPOzs7HyyswKFhzEkFs9ZuZWzs4+7e3iWxseeUl11Qi/ezcvFeefeY/331/5cqVH7/5L1zh&#10;BwQePnwQGuh9BJEKel8hdu7cxd6pyTHiTJ02dYQDj/YHEZIOqhQI5I8BMAnw9vZyd3MPDRuMkUk+&#10;XaUgFi8mdRdA/WYWlrZ2Vh989KFyS7hsSsrK337ttcefXhMWFsIE+7//tX185Njs7JxdPed+0fsI&#10;wga93wc11TU7du1kJ/SHDTdcsnSZqUnftyRUNzAGFBUWy88FkZUAPp8/tDuCrqelP3jffUT9hkZG&#10;X//vWxfnAd3bFsL8Y0eOHjmwjxRyOJlwimT2o2fM/PGH77qegN5HEBnI8j7W4+zi9OnTv2zZIib9&#10;UaNGaYL0AZhwhEdEzJo9955V90VFTeT78E1NxfP7HR3tRSXFJxPiv//xh02b/nvgwIGUqynNLS30&#10;4cEiIzObqbMWFBJiZ2dL2spxLunCR+++6+7p8cOWLWRNOPkCvUH83HnzSQNBkP4iJd7/ZMOGyMhI&#10;HThQqggQ5u/bt6+iUkD73ft2PD08cvNyly5foSHelwpJBBXm58vfFERWAjy9vAehUAS7eEPomAhy&#10;10PSVQKI9EH6769fz14bWDKf6v7i1avkxBzG+wgii37keR596kn4G3wxOjRMA7eOqBCIiI+dOMHe&#10;t2NtZR0dM/V89+Lk9BkzyUUNp0EkKi8vKy4u7nM12MPNXX1bQq+npS+aS0veD1z6ZMvmirvuZm/9&#10;ZOpuMiu6AHofQWTR7zxPbW3tyYT4b7/dvHPnLvho0au6QnNLy4EDBw4ePsSWfmBA0PyFi6ysrUGg&#10;jrwhWMtVDviG/QMCYZRasfIuEB/8FDB60cdup6ikOPHs2e9//OG7778/dvQozHXoAwOGpPVJe+DS&#10;B7Zv/9vZ1VVsv//Zs2dJY1xkJGkgCKIEMuN9MSzMLcLC4BMdoQPhPwxjhw8fZhfUBFGOnzCe7Nup&#10;EgqOHDmyYEHXAEAe1UbIyQBBRUVpWVlrq8wsP8zqggIDB3gwuL5eNGPaNJLWt7XnimVmlODXLb/l&#10;5eYygweMzfWihta2dqbIPtnJQ9oY7yOILPqR5/l79z/p6Rnl5eVSkwa+fN/Q0FBNqyqsIBDmnzxx&#10;Qqz0gru7x9jI8UwqPzU1JTsra+my5aSrAyiSCFK6QBB7275KpL8/7uDOP/8kX+fGzZvwPZeVVxQX&#10;FZ9KiM9J77rfL7OTh4DeRxBZ9MP7J88kwt8QMBYV5GdlZkpdNtTG8P980vl/ExPZiR0jI864cePE&#10;TvYf7y41oy3J/f5SVgL+L5Y/CVD8YLDYMd11H3+iRF1lBvjV/PDDz2dPn7r3oYetbaw9PTwgzE++&#10;cOHQvr1NjQ30Sd2FGdi3fkTvI4gs+u19hiqhQFb4z+EYw4dT8zf/pFxNOXc+ib1NE5BVemH/3j0u&#10;Lq46X94LBoDcvDyhUChnAADs7OxcXVzc3dwli0WLSb+/N0oUo1Io/PXXLempqTxn5+KCAnhb+vj7&#10;NTU2DR9ueEd4+I5tW8nTnN3c/tmzZwRrRsL2/j2r6BoDgiCA8t5nyMrMyM/Pk3p0SDM3/zS3tFxL&#10;ST1/4YLYvbEgzB89erSsmpp/bP1Nr8JGsh+0rLRE6m+WDRkD/P0DSJbvzhV3qUr6uXkF773zVkN9&#10;vV/waFMz15r6rvdkVUkC18HhvQ/e9/R0/+efPf/9ciN58qSp077/bjOHY0S6x44eZW6NgN5HEDYq&#10;8D6hQSS6cuWyhof/JSWlSUlJhUVF7KwOge/DDwsfI2tjvm4s6ioNKRCkSJE4eOdAoF1SXJyTkT5w&#10;6X/68UeV5WVGHGNv/5jhFn4c467fTm1lPteyMnR0xLp3nuvo6Pzx518//+gD8k9i5y346suNRP3o&#10;fQSRhcq8T5Cf/Xdy5AUFBY2LHEf7gwUE+BeTk9MzMsRSOgR3d4/Ro++QL3T4udJSU7GGO1CQnyeo&#10;qBAKhfLPhd0yGObs5MQdMcLZ2dmYw6FXFeZKSuoP335bWlToEzzH1MzW07Wt08BD2GBOHuUY3uJZ&#10;l7i7u734/GPQfenl13b/Te+qOHfRkq+/6poBoPcRRBYq9j6D/Ox/6KiR4eFj1F0uhuRzcnNzi0qK&#10;6SUW5Pxt8MhR+hnCDxxmS2ifY4CFhaWbqyvXwcHWxoZekkt+YfGbL7/Y0dHBD4xuH+5mY+9iZdJh&#10;ZZLTcctTlvpfePGVvTv/Jg89/+rrTz/5GHofQWShLu8T5If/vnzfqTEx6rB/ytWU7JwcqfkcwNrK&#10;2j8gwMPLW5PLLWgXZEuoQCCQvyBsYmLq6Ojo7uEhZwA4l3Thf19/FR4ZmZgQ7+4dZuU8g1x3sGo2&#10;MSytb/FqaKOzhy71W+W4e/gS9T/y6OPxR4+Qh1564y1fbw/0PoJIRb3eZyC7RIqLi2ifhao2/jPR&#10;fblAIFX3EOA7OzsHBQUOSf1k/YEsCFfCICCooJckgAHA1dXF3cPTwpzG70BLa+v+A3Fxe/bc9/DD&#10;Vy5dqqxsrCzPj5y8oqKeTsgk1Q/zABuzgqnTZi1aML2+XnTvffenp1wlDz370kvk7sfwe1+x8i5y&#10;EUEQYJC8T4DwPzsrMzsrSzIkdHLkRU2cqIT9a6prrqddLykukZrMIfB4Tnw+H++0N/gU5MNgXyxn&#10;EmBjY+vn7+/o4ABh/vY/tzm7uj788EPCqprtf/5ZW286ghfgxK1pu+HKpHekqt/WvDBmaixR/6pV&#10;92ZcS4XrZuYWC5YstrGx5nK5s2bTAkEIggCD6n2GrMwMqckfBfd9Qmifk5WdnZNTXl4utheTDeje&#10;3d0d8zmaAEwCcnNyZZ0L6+i4Ab/NSZMmk/0/JWXl8SdP7vn7b57PfA8PT65VqeLqzy8oXLJwYaOo&#10;660F6l+8bJmnlwd6H0HYDI33CWUlxanXUqVuDSQVIp2cbjvZX1iQXy9qkO96AHWvycgZAEjsD+F5&#10;Zlb2T99/39HRYWpqZeMyx9So08asgK1+N9sqg2ENApFXx41h5ApRf2zsnDmzY1JSr92/ahVRv90I&#10;hwcffmjhosXkaQiCAEPpfYIc+ysOyd3zeDzUvbYAv/f0jAzJNQBzM/PC4uLUqylvvPnWtetpBQVl&#10;JdXOFsYd5pzcthve1U20nGe3+lsEIjdG/VyLVhPD/IcfXj06bOSF5EurH3iguakRrrt7eW/8+usR&#10;XC55GoIg6vU+fLaNTYwVWUcl+z6lLvzKAWJDhxGOHp7uuFSrpZDjfpK/9+GGRksWLfL15f/4828Z&#10;GXmgflvzFrH0jqT6HayaTY1KH3308eAg/kcff/LT5m/Jdb+g4I1fbLSUUYYaQfQNNXofVH7kCN1X&#10;B/E4uQuSrY0th2NMLlpaWVpaWJA2oVIohMC/oaGhpbX11s0b9CoL8nXA9U5OPKy0pTPAW+XixYuS&#10;cz5fvu+ECeN/2bK1trYtv5InmdmXo/6sjNSLly9v27KFXJ8+Z+4br78+3NCQdBFEn1F7ngc+0u1t&#10;7Y1NTY0NXZNuYVUluQ7U14vETnWZmppZWNAcrr09t7W11c7W1szcnNRbt3dwxByODiMr4xcUEHAt&#10;PbuqqrOomitF/XbFBgaGJbUupAvAc8w4ZSEhwSbGxolnzx3at5dcnzFn3ptvvUnaCKLPDH1+H0HY&#10;SLU/zPNu3LgpEHYWCu151o2c4eWM+snBXYNbZiV1I8iTAXiOsWF5aOhIUP+pf88ciztArt/9wEOP&#10;9dykBUH0Flnel3mfRWRIaG1rAyHSjk7j4uY+a/bciIixMPmjlwwMYF5469YNRwfDYM96gcjSwMDO&#10;xrwCjA8PddwYJhC5GQxr6cr59ADPuXXLLi0979bNG/ffe8+chXQ/z7Zff/777x2kjSCIGPrl/QaR&#10;CMRKOxpJjbAyPiGedvQA/4DApcuWi9nf4NZNC/Ob4QH1rTetIMCHMF+O+iH872g3vXot29CQs3bt&#10;24EhoeT6N19u3LOHZn4QBGGjR94H6R89euRC0jna12DgW6Ut/QDsP3f+gsCAICMjms0HDIff9HZt&#10;trE1MTGxYKu/usHFwKDWyab3JQL1t7eZ7ty156OPPnniyacY9X/56forV2g5BwRBGPTF+wX5eQcP&#10;xhlzOGMjx9NLGgnZvFReXka6+oOpiUl4RMTCxUvE7G9u1mlvN2wE18rLsZKov6XTsL7Fy2iYwMGq&#10;mTyHXG9vb795y+batbT1n3xiY0eLAL7+0guofgQRQ/e9D7Hz4UNxiYlnnJ2dZ8yarfk7hdzdPbIy&#10;M2lHzyD2nzNnLrwI9FI3HM4tW1vjYK86E07Xrt+GNg6o38SwFNQP0u9a7x3WXt3oM3x4W6Wg/Oef&#10;fh4VFjZsWNeOz9aWltdffKGouKT7yyAI0oUue7+1re1ScvK+fXs62jtiomMmT4nWiu2ho0ffIWoQ&#10;wXdO+/qHlbU1/LIWLFgkZn9jY4NQX5G3U7PR8Fs96i/hWWUb3DJrabcfYZVnaW7AMeZ0dHTY29u/&#10;se49o+77wLS2tqx9682qgR0URxBdQmf3caampqSnpUFDzq10NZaszIzk5AshoWEhPalqvUXqds/O&#10;G8Mqa0wbG4dbmRZ23uQZGd0abiDg2ttV19R2dt4wNzeztDCvrRMVFRUydwB29fT8dvNmPMqL6BV6&#10;tH+/Sig4d/YchMzyb6Wr4RD183hO48ZF4p3CwP6XLl0SK+x6y2BYdY3Rjc4WY04TiL5S2DU22Nla&#10;m5uZCoTVMAAYGhra2dlt+fF78vywiLEbN27Eo7yI/qAv3ie65HK5UVGTtF2XILtzSUmtrS3u7h54&#10;GxkAfrnXrl0TK/AJ799bN26UC4TQ5trbGnM4pG1kZGhiatLa0paRnpad3jXzA7CKA6JX6IX3G0Si&#10;gwfjnJ2dJ0+Jppe0H0Z2pqZmDg4OPB7P2dlFn2cAl5KTc3JzxCp/3LoJb+NbN2/crKqphTAfYGYA&#10;JibGhkZGO/7YSp45bdbst995h7QRRLfRC++fPpUgFAqXLltO+zpElVBQVFgsrKokmW4YA2xsbOxs&#10;7fSzbl1rW1taampGZjrt99DZeaOurh6kb8wxqqtvgCvWVhadN27ynJx3/PWnoKyUPO3Rp//vnnvu&#10;Jm0E0WF03/vggl07tkdEjNW6Vdz+UlZSXF1bWykQ1NfXk6SHtZW1ja2trZ0d185Of4YBmN5J1na+&#10;ZTDsRmdndTVE/cPNzUwtzc06OjorhNXOPIfEs2fTU7tuzQg8/cJLy5ctJW0E0VV03/tkA4++3Vkb&#10;RrsaYWVFhaC2rpYZBtizAZ0vbip1ww/ov/PGDWPD4Y3NLQ2NTU6OI4YZGNy4efPQoSMlhQXkKW++&#10;98GM6dNIG0F0Et33/v69eyDm1aXMvhKwh4GW5mayAQaGAQsLc4cRjvZcey53hE6uDRTk5126dEls&#10;yRfs39zcbGFuRmv2d6s/7uDhsqJCaBtxOJ99+fXo0WHkIQTRPXTf+39s/S0qaqKXtw/tI92QpFBd&#10;bW19XR0ZBph72ujeMEDmfGJLvgC8yxn1d3R2/vH7H60tXTUejE1Mvtj03+DgYPIQgugYOu59sFt8&#10;QvzS5St0O6cxcKqEgpqa2tqamrr6OpIb0bFhAGY8Vy9dzM3Lpf0e2Opvam7Zsf1von5LK+uft27F&#10;u/IiOomOe18/k/sDR+owwOVytX2nUINIlJj4r2TSf5hBl/3hHZ+TV3Di8CFy2Tco+ONPPkH1I7qH&#10;jnv/UnKysKpy1uy5tI8oBQwD5RWCutpaoVDI7BTqOjTg5KSNCTTm4BvtdwPyb2lqamlta2pqPryf&#10;FugH9X+BN2RHdA70PtI/WtvaKspKBRUVMAaQhQEez8nd3V3rTo1JTfrfuHFr8eLFSecvfLj2bXIF&#10;j/Iiugd6H1EeGAOKCvIFAkF5eTkIFCYBnt7eXp5e2jIASE36GxlxAvz9s3LyvvlyI7kC6n/rrbdI&#10;G0F0APQ+ohoK8vOKi4tJIki7BoAqoeDixYtiSX8zM/NKofDPLVtId/GKlc8++yxpI4i2g95HVAxo&#10;NDcnt7SsDAYALpfr7e2jFSelpe70v3Hj5qG4g2XdR3+feu6FO+/UwVIfiB6C3kfUBZkBFBcXGRlx&#10;fPm+wSEhmr+bFt4wksXdysrKE06cbBTVP/Pyq0sWL6JXEURrQe8j6qW1u1YayBTaWmF/+IYvJJ0T&#10;K+8DgX9GRkZiQsIX//0fHuVFtB30PjIYsO2vFXc6k1rep6WlNS0t7b77H+xT/c0tLQX5tOAPog68&#10;vL3MzcxoB+knOu79gvy8xMQz96y6j/aRIYXZP8PlcseMGaP5d4zJysy4cuWKWNqnurpmSvTUsLA+&#10;bnW5adN/d26jxf0RlfPf738MDg6iHaSfyPK+jtxX3bj7DtqIhmBqYhI5ISo2NrajvePIkSMwG6MP&#10;aCowL1m4eElgwG1+4XLtU1OvJJ45TfsyWLPm6WV3r6IdBNEGdMT7VtY28HeVUEC6iCYAYf78hYtA&#10;phmZ6YcPxTWIbrs7rqYBY1V4RMSCBYtgjkIvwcdj2LCCgoKdO/4uKymml6SB6ke0C53xftf+8fa2&#10;dtJFNAeQKQn8Dx6MS01NoVc1FXgjzZo9Nypqoqlpb065ra01PiH++LGjcoYuUP/9jzxGOwii2ehI&#10;fh/Yv3ePi4srWIb2EQ3jUnIyBP4QTUdPna4VZVPhGxbb60k2qsp5j52MT3jvzddppweYCkybhjd4&#10;URJc1x0IOr6uC0A4ZmxsrOf3XdFwSKG0zs7OcePGaUWhNwjwz59PEggqaL8bmAqMj4yUVaxUqvrf&#10;+fDjqTH4zkQGGx1f1wXsbO3q6+poB9FIwJVz5y/w9PBITDwD43RrWxt9QFOxsraePmNmTHQMO+3T&#10;2tpC0j5Sv3/wO1iednqAkQDGA9pBkKFGd7xvz7UnZSMRTYZs9QGTVldX7939T0F+Hn1Ag4Hhaumy&#10;5YEBQUZGvdvGYBIg6/sn6re1v62gP6h//4E42kGQIUV38jwwJd+3b09sbKzm7xZHAAiWz5w+Bfbk&#10;8ZwmTp6iaRl/cgShrp7OIM3NLWzt7GxsbLKzssTSPu7uHlKziwWFhc+vWVNXc9uJsGV3r1qz5mna&#10;QRA1o/t5HpiSQzhWU1NL+4hmA6KfPmNmVNREDQz8QfrHDh8SCoUOIxzJn/b2djD+v6dPwXdrZ2fH&#10;4RjTpxoYFBcXnT4lJYfj5en5xaZNYlH/zm1bN236L+0gyBChO/E+cPhQnK2NbeQEOsQhWgFIltTJ&#10;gcB/3LhITSjpDB4H6c+dv0BsFgJzyvLysuLi4qrq6hu3H+7FqB/RQHQ/3gcgLmMm5oi2AG4FY8ZE&#10;x9TX12vCHv+ykq7aouHh4ZKpJxiT/AMCYZqycuVdMFOxs7OnD3RH/VK/c4z6EQ1Ep7xvz7UXK7CF&#10;aAtkq48v3zc15er+vXvkn49VK6nXUrlcbp/bTOEJc+bOi4gYS/vwD1OuSj0xDurfun17GOuZAKj/&#10;uWefbW657TYACDI46FSeB2QRnxCP1dm0mgaRKDHxXxi/hyTtQ95CMPmQtT1fEnIejbRhwJBVFBYU&#10;/8Zrr11NvkD73cBg8NH69Zp2Lmnjho37du2gHQODN959f+aM6bRzO83NzfNmzqCdvvj62+9CQkbR&#10;TjcVAsGxY8d//GYT6cbEzoqdNWvC+PGkiwwcvcjztHfclnLVELBqUL8A0YM6Sdpn3749p08lyKmO&#10;oHLSMzLA3YpLHwiPiLC2ooMTDFdZmRmkLQbIHRQvFvXDMACDgUZF/WfPnWNLXz65ucqvxsN/6O6l&#10;SxjpA/FHDr/x4gsw6tA+ojZ0yvuZmV0fWtrRDCB+PHLkyPa//jx+7GhqagqOAQpCtsxHRIwVCoWD&#10;Zn/4TwgEFd79P0g8fkJviHrt2jXakkDz1Q8B+Ib162lHAXJzb7tVveLk5ReA4mnndmDUQfWrG93x&#10;PhgWoq2QUSG0rxmAv2JjY0ePHm1sbJydlUXGgMOH4i4lJw9hCltb8A8IZNsfxk61vmjwCzIy4ihx&#10;r5gRDjx3dw/Sbm1tkfNNarj6//h9a7WwknYUQCBQMo5Z/+EHpOEXFPz1t9+dPJN44OixBUvpbY1B&#10;/ampModPZODojvfJcly/ZuiDA0gBVDJ5SjQobMGCRTAGmJtbFBQWxCfE/7H1NxwD+oSxf2dnB7xo&#10;+/fukZVLGSDwS/H0oPruL6NH30FbEAXnyct+aKz6d+/eo3iGh5CdpcwvAoL97PQ00n7tzbdI0t/c&#10;3PyFF1+IiZ1Frl9N0fTSrVqNjni/SijQwGBfErIRkBkDwGW2NrZlZaXMGJB0NrEgP09q4Rc9B163&#10;WbPnwuTJxtY2OfmCyvf8wFsIQnW+L5/2+wn8ZpksP8xOSEMWGqj+CoHgq88+oR2FuXjuHG0ZGHAd&#10;HCFsl/OHWdRlskNjxo/38fYibUJY2GjSyM3JJg1EHeiI99PT+70cN+SQMSByQtT8hYuWLl8RFTUR&#10;xgBQRmLimV07toPXYAyAwHYwVzU1H5g8wagJQybHmAODJYyUqloyKa8QmJqaDaTIh6c33REH40ef&#10;vzVNU//nn/Zb+hC201Y3XnwtKLCKEHTB+/AZKy4uUmI5TnMwNTHx8vZhxoCufYQurnX1dRDY7tu3&#10;Z9fOHadPJcAYgMvCBGbPD7mPIwyQA58hlZWWODg40I5ScO3saKvrPVlPW7LRHPX/vvUPduSuIGKL&#10;un7+iq6L8Pl0UgX/UbHB4+rVK6TB9/UjDUQd6IL3065fg0gNYmfa13JgDICJS3hEBKjtnlX3gd28&#10;PL3a29uvXLnC3hqESwLwKsEwGRExtrCoaO/ufwaY9K+vF/F4A6rox55upmdm0pZcNEH9YF72Zspn&#10;X36VtvpCbFFX8VfPx9vLLyiYtNd/+AFZwm1ubt64YWP8kcPkelhoH7ezRwaC1nsfAj342Pv5+9O+&#10;zkHGgOkzZq5YeVdsbGxQcDDZGsReFtbnJQEY7xcuXuLp4QFzI3g1lE6LdXZ2WFpY0M6AuXL5cpVi&#10;R8eHVv1gW2ZrDTBm/PjFixfRTl+IpeBhGIB5w9SJUcyf3bv3yNqW89qbb5FGdnraM088Bk+eN3MG&#10;s6q8YOlysRNeiGrReu8XFeTDJ9bPP4D2dZoRDryQkFBmWZgsCZSVlZIlAZIO0sNTAjBDIjX9O9o7&#10;9u3bAwMhfUBhyGhhbNJbZXOAwPzs9Vdf1Xz17/pnN7O1BnjpFUWDfSD18mXa6ubPLb+w5w3AV599&#10;Ak6HKB5GF3qpBwj5P5KxSR+k/4KMrf2IqtB671+7ds3d3UOyhJbOY2VtzSwJsNNB6WlpR44c0cMd&#10;oiTtExgQlJGZvn/vnn4NfvBiGhlxcnOUPIVEYP8Xa2pqctLT3nj11Zs3btBLchkS9Z89d04sw+Ok&#10;cK6mQiBQcKc/RPHvvP2WpPonjB+/bdc/q59aQ/vddRpgMEDpDwLaXZ8HpBafEI/3WhEDotfy8jKY&#10;dwuFwtbWLmvweE6OPB4MDCA48hwdBn58UuEHxgDF77NfkJ8H06aIiLFKLxRlZWYk95TfOXv23LXu&#10;cHj6nLlvvP76cENDcl0+oHgQPeie9ruBwQCGBBgYaF9FgIjvv+cext3g3LVr15L21Im3VTKXWp8H&#10;xgxZB26lMmb8+M/xFO6gw/wqdao+T25enrWVNUpfDLJDlH1KwNjYGOYBZGtQ0tlE3U4Ekd0+IaFh&#10;Obk5igf+MHni+/BB3EoXgi4uplMrmDqMHUcrNxw/GPfxx4pWPhjMqP/b/33LSJ/r4Pj4E0+QtoII&#10;KsRfVYjcIX4nW/UhbGdWbgkXz507euw47SBDjRZ7v7Wtrby83D9ALzL7SsOMAWRZ2NXFBSYBR44c&#10;0fkBICQkdNq0qdCAH1ZBlUdOiILRIjXl6ulTCf1dJ4dXkrn/oqPDiMcfe4SpOnDs4IHvvvuetPtk&#10;cNQvdjT38TX/p3iGh8Bz4j378qskSwPDxo+//3HvqnuYLzJh/Pgvv/5aTP2HDx6gLWSo0WLvkxVd&#10;j570FNInMDEi6wEwCfDz92cGgEvJyUpvg9Fk4OclGX9QOdnqAzaHH1aO02G0gOkRxBPHDh9SfFAs&#10;Kyk+ceIk7RgYjBw5Ev5+883X5yxcTK5s+/Xnv/9WtASCutVfIRD8/svPtNO9jiqrzLIcwOyLFy8C&#10;10N0v2P3brFjt4C5ufmdd91NO91I7tZHhgot9n5+fp5+rugOHJgEgODAiWQGUFBYsG/fHjBjVmaG&#10;7u0HDY+IgB+zqak57mBc3P59GZnpe3f/I8f+MD0iEwVQeZ8TBRgbYHIQnxAPIQi54uLs7OFJJbh2&#10;7duBIXQf+jdfbtyzZy9p94la1f/5p5+wMzxPPNm/DI/iTIyaQFs9iN2SHhkqtHVdF2I3UFVU1MQ+&#10;74uEKEJBfl5xF0VGRhxnZ+egoEAdWzUByx85dLCxsYH2u4G4wdbOjmtnZ+/gKBlAwNgAgwSXyx0z&#10;Zgz71YD3XnV1laCiorSsjCybM9hY28yfP9+UtQYL483TTz+d0T1+WFhaffDJp6NHh5GH+gQUr/Jl&#10;Xgj27166hHb6iV9Q8Hc//EA7irF88WL2tp9nX35V8fMByMCRta6rrd6HQCw9LW3FyrtoH1EFIMfs&#10;rMzsrCzQmbWVtX9AgIeXt87MqNj7baQCPzLHmAMNc3MLC/OuM1zwOoAo4W9LSytjDmfY8GHVsrfk&#10;Q6Q/deo0tvQJdfX1D93/QHn3hlpQ/8cbNoaM6koEKYLK1T/I3n/skUfY5wPQ+4OMru3nKSstgbCU&#10;dhAVAYoPCQldumx5THQMKXu5d/c/SWcTdSP77x8QGHF75kQMUQME8l3AvAciffhTUFhAInqYKNTU&#10;1siSvpmZefSUKXPmzpOUPmBrY/PJZ59ZdlfrbGpseOOlF4uKS8hDfTI4y7zqo6aqira6sbC0pC1k&#10;SNFK70NYCp9Ad3dtqr6pXbi4uXdtA12+Iig4uLSsjMn+04e1FqJ+I6OuoH7ggO79/fzmz5t/zz33&#10;+PrJqxTi7+/3zXffEfU3Nojef3edgkd5AQ1UP0wadu/eA382b/4OIkr4I3XBtrm5WexsF1ORDRla&#10;tDLPQ47YgJVwUXdwKCspTs/IEAgqwJi+fFCcv1af/6oSCk6cOMmsxMIP5enhweEY19bVMhebmppJ&#10;pN/e3tHW1ta97MEDBdvZ2cNFFxdnR0ee1OheDucvJD/zxOOk7RsU/MUXG8lIoAiqSvioJM8DQhe7&#10;nbrUBA4MDOya/lwHxx27d9MOMijoVH4/6WxiXX3drNlzaR8ZFBpEouysLJL64PGcggID2RUotYtr&#10;KVdTr1+/dZMWUbC2sp6/UEreOTMz84mHHyJtsN6XX33F5XZ5X2n27Y/7cO3bpD0hOuaD999X8Cgv&#10;oCr19wkjC4LU87rvvvsuUzsTAKdv2ryZfQgABph33nyTndxf/dSae1fdQzvIoKBT+X2Qvq2NLe0g&#10;gwXE+OEREexbHu7auUPrtn7C3AW+7ZTUFJD+sGH0/S9qEJ0+lUDabAICAl5b+y5pg8LefOONzk6F&#10;6u3IYsH8ua++TcshnE2I/+jjjxUs4ANoVMInauIk2uqmWli55vHHmRO5Z8+dE5M+DAwz+n9KQKuB&#10;OAnebMwfjTojqZXxPnxuR40a5a8rBfe1FHhbX7lyuby8HNqeHh7BI0dpfvKHbM2EyQqfz/fy9oFP&#10;I4xe9DEDAxjPpL6pDh46/On71P7T58x9d906IyNFg3SpfPjhx8xx2Znz5r/xxhukrQiDEPUrEu8D&#10;GzdsVPx+vB9t2DhhPK1doduQLdFMaSwxYGbp4ODg7u4+OHNlWfG+4bp160jr6y+/Io0HV68mDY0l&#10;PT0tMDDA3AL3BgwICEBu3LhpouwaCfxDT08vvp/f8OHDCwoK0tKuVVZWmhobW1nb0GdoGBDR5+Xl&#10;hoSGjZ8QZdt9byz4VuGnKCsrI0+orBR6eHhIviB+vr7Nbe1p3Xvw83OyS8rLp07tOtilNFOmTC6v&#10;rMrOSId2XnaWhbXNyJG3lTSQA4fDmRITcz0tXdDzbQPQhitwHR6llwbArz/9SFvdTJ46je8j5ZRM&#10;2OiwzOys8pK+9yY9+/KrM2fcth6ge8Cn6eLFi0nnzhUWFohE9Z2dnfSB22lrb6utrS0oLEhPT29s&#10;ENnYdL0D6WNqgPlVPvPcc6RB0ErvBwUHo/QHzunTp1pbWp1dXGhfKYyMjHg8HvxGrKyshMJKeDdn&#10;Z2cbGg7njhhBn6EZgPRhajJl8hSxjTfwfdbV1cEHFdo3b96srq7ylXaHv7Fjx1bX1mV1mzo3O8vE&#10;wiosdEA38Y+OnpKZm1eUnwftC+fOWtraBQcHkYf6RN3qV9D78B+KnTWrrfPGtZ6bI0rCdXB8+32Y&#10;Luis9Fvb2iAMPfPv6czMTHgXwVuIPtAX8EwYALKyMsvKSs1NTdUULcnyvlbmeRCV8MfW31R+4Bmi&#10;nvT0DHLu15fvGxwSogl7rpLOJhYWFU2bNlXWIeT9e/eIGugZBTmvyTtvv336BE1h/9+LL6+6Z0DH&#10;BtlHeYE33/tgxvRppK0I6kv4KJjnYagQCM6dPffv6QT2TXoXLF3uw+fr8CmtspLi3Lw8eKvT/u1Y&#10;W1m7uLg6OfW+3xqbmmpraoRCIfNOY2NqaqaO3LWsPA96X0+BOGXXju0x0THqyDPCF09LTc3Jzens&#10;7HB39xg9+o4hTP0rUlgfhqsjR46Qtqy9PQCo9sXnnsu4lkq66zd+ERM9hbSVA9T/5JNPZl3vuhlh&#10;f6s4AOpTPyKHrMyMLIjupekb3jye3t7yb3TRIBIVFBaQU/H0Ug9cLjdkVIgKP5LofeQ2iA3vWXUf&#10;7asH+IRcu3YN3t8qf0Mrzq6dO2xsbKbPmEn7Mjh9KoGJ3eTcyQdU+/wzz2SlXYd2V9GFzz8fN1bR&#10;W7tIpaS07MFVqxq7JQJfcNPmzV5e4rUt5YDqHzTIPmYSzdBLPZAjIHxffr+qWsGMgRyLof0eVPhh&#10;Qe8jt5F0NhGmnLICW9UC7+/Ua6nV1dVqmszKgQxvCxYs6nPCAZ/qffv2kDbfhx854bZcB5uKivJH&#10;H3yIMfVX//1m1ChFV2WlkpWV/dRjj5EvOGPOvDffepNcVxBUv7qRk9IBR3t7+wzkLQ1vvEsXk0vL&#10;Smm/h4F/ZQC9j9wGRMGuLi5y7KZyyL5P+PCA/WEiPDip/+PHjsLffQb7BCbLLyfVQ8jPy3vmqaeI&#10;qf2Cgj/fuIHn6EgeUo7ki5fWPPYoNGAg2X+49zyUgqD61QRMWPPz8yTrMnWf31Zl2drcnOykpN7V&#10;EQayTqb0CXlZ3tfi+vuI0lQJu2pMwrSU9gcFeONOnhINoTdIHybLpAg+DAb0YTXQ2tYGk2jF6zi5&#10;uLiShtTULRtvH5/Pv6L737LT01564cXq6hrSVY6IMeGk0dTY0NjYSNqKA3IHxYPoab8bGAZgMIAh&#10;gfYRhYF3DhgfYqPk5Ati0oeoJSQ0bOHiJfBmVpX0AXB7YECQoaGRWLnJzs6OjMx0mImePpWgwg8L&#10;el8fSU/PgLevCt+1igP2D4+IgI8NRDHkfi+qfUOzKeqOcRS/I5s9qwZDn9+Syo/yMigXoaP6VQIY&#10;H8IRCErA+GLrrlwuNyJi7NJly0NCQtUxVYUZMIfDgQAfYiN3dw96tQeYKJPyiAXde38HCHpf74B3&#10;dnl5OcwcaX8ogI8NU/JBKBSqyf7FxcU8npPiH1Fj1s73hu4d/fKZFTvzlZ6iC1eSL6xdt05p9R89&#10;doI0nFzdFK/YIwaqfyDA2y/pbCIYH+JrsZVbsHBMdMys2XPVujQFb9RRo0aRVQRSDRcmFhCfkUcJ&#10;MPlITDwDExH4VmHWTq/2H/S+3pGW2rUN0c9fI+5HDx8kYv/6ujoSzpR1359EJcCHxLE/twuvrq2l&#10;re6jvLQllzmzZ93Zsyfq+MG49957j7T7y47tf5HG+IkTSUM5UP1KAMaHsAPefrl5uWzjQ+jN9+FD&#10;9A0WHpytaPBxANFfuXIZ2jAMkJthwKfD+va6rTARgW/1yJEj+/fugQFAiY8Mel+/gGA/JzfHl++r&#10;eBQ8CMDbff7CRRBSQTs+IV4l9ocPM3yGnVkHZ/qk7jbvK7qM9tRTT85fsoy0jxzY/9vvf5C24lQI&#10;KlO7P+qAQDDQ6l2ofsVhjC+2VweMHxgQtHDxksgJUcotqCoNCfnZc1/m0wGTV3qpB1GDCAYA+Mj8&#10;sfU3GAPgZ0lNTYHPDnzM6TNkoJV1GhCluXjhfH19/aToaCMjI3pJY4AQ29fXj2tvX1nZVe9hgOfX&#10;q4WVBYUFkeP7sWEp6dw5cs6ey+VKrdYgi6ioqLyCgqL8ruWEC+fOmlnZhIaMIg/1SW5u3muvvBIc&#10;EkJWI0oKC5zc3H0HtuSu7kIOOgCI9XzSuQsXzpMSHQwQbo8efceU6BhnF5ch+YxwR4zIzs5ua21x&#10;u30/AnwQfHz4Xl7ew4cNb2xq6pSo/9PW3gY/S6VA0FX8J+06fIJKSor+PXWKPCpWpwHjfT2iSiiA&#10;6GD06NEaFeyLARPqWbPnMrE/RDFZg3KfLwiUmDm+i6sbaSjOa2+8ETiKVuz5z4bP4hPo500+IP01&#10;TzwBLv78889iZsaSi5s2blD8blyywKhfFrJifDA+WbZVaxJfEfz8/QuLpJwVAMi2CPgmY2Nj+T58&#10;sfwPG3gzS24/ZcD9+3oEOJRjzNGi+9Uw1X7gM9nfA18w24VhQ8GbssG8eO/uf4j3YY4PE3wlhkbw&#10;ab+O8l5NSX31xReff/mVWbFdZcuampoXzZtHzgSAr7/s2Sc6EOBbAtGD7mm/G/jiMCTAwED7egMY&#10;n5wgof0eYHoXEBCo2kJVAwHejbt2bIdBSJE3PPxQ1dVVNdU1wqrK+vqu3CZ9oJvvv/kfaYjt38c8&#10;j77QtQGgunratOlqrfuqWswtLD09vWBu29AgysiAmWt6W2urHZeryAScY2KanZUlqq+Hr0AvyeZQ&#10;3IGWnk17/n4B7h7iu+gUgcPhjB039vDBQ+3tbR3t7afiE8aMHefo6EAfvp3DR469+H9rFi1ZMnPm&#10;DMvuu40bG3MCR446uH8/tAVlZUamZqEDK/kJYMKHACY9m3hGMqsDxo8cF3lHeASpy60hwNu7srJS&#10;JBL5+PSd7oOPM3zzzi4uvr5+I0eNgg+Li7MzxElm5uYcjpGsPA/G+30A75gaYWV7RweMqPQSC0sr&#10;S0sLC2MT4yHZC684itQm03DgF0FqvUHb2dlZkVpv8FOfP3/exsY6KmqSrCfDlz1z+hRTIwU+MHPn&#10;LxhIHkyRo7wg/S8/+3TTt98aGw2Pj4+PnTWb50SX7DZs+OLvP36HhhK1emShz1E/87YRC4TB+ENV&#10;MEoRYLaqEqtgnYZ+AFOngsKCSoGgvr6eObsBbxTSYMOeWFlbWdvY2naNvU48jRoGqrpvIw6unDwl&#10;ml7SWuBjnJ2VSWoZurt78H185H904Wc/deo0PDkwIEiyMgR8ui5dusSczjUy4sip1aw4YnflZdRf&#10;XV1z5NjxlCuXryQng/T5/K7EQtq11Iz0jLkLF5Lvramp+b5Vq8q6cxFhYyI2fvGF0tv52QyO+g8f&#10;iquurpZf3WgwSU1NSU9LEzM+fE7Dw8M11viqBb3fDy4lJ0OAAKJ35PG4dnb2Do7yA0CQS3tbe0WF&#10;oLauFt738D4Dg8A/dwczeXkPJHgcOCDKY4cPQWPGrNlD+52oFqYWLrzOfZavIr9QaDC3BADjS1ba&#10;UuF86PCRo+vfpUe6ADB4c3Mzc7/Zh5946rFHe7OpYupPS894+N5V5KG7H3jose66PQNnENRPvM/j&#10;OSlYEEl9MIVgab8bJVaJtB30/uAB04Xy8rLi4mIyBkB84ent7ecfMPjaJdJv7+gYYO5CY+kK2C9f&#10;FonqDQ2NbKytuSNGGA7vio5J/o08h9DR2VmQn19WUUFup37r1m33RYJxetLEiaqNAQ/EHfz8w/dp&#10;RwIQ+tNPPcncp/fEsaPNTU3zFy0m3e++//Gnb78h7a83fx8yaiRpDxB1q18TvC/V+PD7hSE/PGJA&#10;FbO1EfT+0FDQfZPl8vJyGADg8zCYMwAiffioqyR3oVHAj1ZRVsqsuNTUdt3GSEzligMzBjkLAAMh&#10;IeHUd//7hiRtCJZW1iT1D0yfM/fll1+ytaEHFED98Pe0HmM+8MCDmd03ePENCt68ebNKsj2AWtVP&#10;vA+v55DsGZNj/MEp/qqBoPeHGBgAcnNzBYIKeCM6OzvDAKDWfWO6Kn34uZhlOphIcYzpjpSmpmax&#10;D7wigKEGYXEvPy+vuqbrJLCHh7ulldU7b73J3I9QbOF3/57d5hYWRP1ZWdn3303v4+jk6vbA6kdm&#10;z6Ib/AeI+tSfdDYxNy8Xfi+Dc18HBjS+LND7GgFoq6ggH2YAah0AdFj65OeS+nluEIlqaqovXrwo&#10;fwCAlx1078jjyb8Znlr57LPP4nb/Q9rg9Hfffz8sLBTa8APG7d3rw/cZHT4Guj//smXzf3p38T/9&#10;wkvLly2lnYGhJvWnpqakplyFhrrv48aAxpcPel+zEBsAwEQqTAGRTSxTpkzWsfTO/r1d98OKjpkq&#10;x9fwwrL3ZZKInrQBzdnF8df27d9+9SVpW1havf3ee+RWvUT9gUGBnt78F198sbSoSMi6D19/770u&#10;B3Won5yVg4aa7tvMBo2vCOh9DYU9AEAXPOXi6jaEoajGAp/z5OQLcu58y2bXzh3ECKamZkuXLScX&#10;NY3DR45u2riBSfc//fyL9917DzTq6ur++nPbyZMJY8dFrrxrZUVFxddffaX0vdfloA71/7H1N/g7&#10;MCBIfYuoMLqcS0pC4ysCel/TgQGgoqyUWQQGYbm6uMAkQE82GvfJ4UNx5uYWCh5BuJScnJGZTtqD&#10;lnNQAvYhL2DRnStefumlwsLCp594IiJy3P+tWUPOc9XV1y9ftJg8TYXnuQCVq//4saMQwagpxd8g&#10;Ep0/n8RM5ghofDnI8j7WZdMU4F3r5e0DXlux8i6IakH6QqGQVFiFz1Jqagq86elT9ZLq6moYBWlH&#10;V/D28fn+l58DRtLinXv+3v5///d/Tz3++PMvvwLSP3L4kKCiy3G2NjbffPedZXcRrqbGhq2/b+1+&#10;ugoAuYPiQfS03w0MAzAYwJBA+/2B/I5EDaKqAdwVRBKIimAsP3gwTkz6fB/+wsVLYG6B0u8X6H1N&#10;ZIQDL3JCFERMCxYsiuj+TKanpe3bt2fXzh2nTyUU5OfBx4A8U0+AqT38zeWOIN0+qa2jlfRh2kQa&#10;GouTk/PGr74aM3486V4+n+Ts6jYrdgZE+mPGjDl54jj5Xfv7+339P1pj6+zpU3V1daQ9cFSrfg8v&#10;bwjAoZGerpoqqsT4krfBcnf3gE8HfEz03Phgg/179/Q3KETvazRW1tb+AYHTZ8wkkwAvT6/m5qau&#10;G63t2A6/7KSzifBbp0/VAxRf82hpbiYNCwtz0tBkwLyfb9g4d/ES0r158wa5X2PwqJDQ0NC4vXuJ&#10;+oODAsMju4YHCPkzs7K7nqoiVKh+sDC5M3jx7TcPUQJZxoexPCY6BmbGuAYGOLm4wt8QFEJESMIj&#10;RcD8vlYCuhdUVAiFQlJbhsvlOoxwdHLi6epiANkoomCmHnQDHwPSVusCo2oBw86bMZ20p8+Z++66&#10;deQ075lTCQJB5dyFC2903pg+ZTJ5wj8H4mxtbUlbVcA3oJJcP/P6Q0iuXEko+App168VFhWxdQ/o&#10;YaEFBcnqKVtC1gX5vnyy/QHXdXUTiIkqykp1fgxQ3Pvwghw7fIi8FICC+380hF9//fWX7zaT9ow5&#10;8z74gN6tlxzlrW9s+eT9d6HhGxT8/Q8/dD+iYlSlfog9Se2j/m7oBONLLZGPi7eKAK9eQWFBYX4+&#10;MwC89tJL5CEx70upv29tayOqr+vaUmJuroF340PYwC/I1s7Ozd0dgiC/gEA7W9sbnZ0CQUVmVmbX&#10;nTbLSquFQh34VZI3dEhoH/sXQfoJJ48zuW8YAkPD7iBtrWD06NHVtXVZGV07kfJysm8aGo0JD4e2&#10;tw8/Jzt77969gvKuMvpLVqwceGl+qaiqXj/PyTk7K+vmzZs1NTUKhufwK5Zz48Nx4ye4e3igjuRj&#10;YmLC4/HgBffy8jY0MiwrLT175gx5qO/6+48+9SRpANZW1i4urjqcQNBVJOcB8PmxsbEhFUa17rep&#10;SLxfJRScO3uOifQhQpwzZ642poDXf/zx4f37SBui/uHDh+Xn5TG1PIFvf/o5ICCAdtSASqJ+5uxu&#10;n6k2WTE+ZnUGTj/yPGzvs+HxnMAamlZcHlEE8GZ1bS37jgJkGLCztYNB3craRsP9SLwv66aJMMhd&#10;SDrHFgdIX3trVIB2X3zuuYzuomySWNnY/rlzZ7+yLkqgEvWTMm3QkJXtQeOrm354/5U336itpdvg&#10;pAIfKphBh4WF4gCgjYAla4SV5G4BLc3NJECG36mNjbWtja25paUitxwYfP7Y+pukPog4yEk3eknL&#10;pU8A7f69ffuObduYI12Af/BIaxub5LOJQSGhn3/xhearH347Bw/Gwa9Gcu6Fxh8c+uF9eAb8ynOy&#10;sotLivPzC5qam8h1SaTew+j/27vzoDjPPD/gWAbUXM3RQANSI3HosoWEJVkXloQO6xpLsmXFMzWz&#10;88fuOJWdTdVuXJOq1FYymUz+Sca1OzOJPbO78UwyzsZ2MqXDOqwDybqFJRnJEi1xiZvmbGiguQ+N&#10;84Pfy6tX3dD09V7N92MVfrrRAQ18n/t5QHeoNd0/MNDf1y+9mlmsCSIiIqlPEKn2XZLHjx1dvGgx&#10;jxhQaojzV/xeEbVIZDpUWXn0Y3j69Ol5817MyclZ80o+P/n3f/d3Z04cf+Otwz+ZmrKTT+DRXz95&#10;wScVjHFGvvlnpsSnL5ymLjcPDb7lPheYo8tRXV3dZLM1NDaOjY0Kz06hdMjPz0f9HEq4QyDWBNIj&#10;jqk5FhMTHR1NbyZuNUkyJUVOzvUpMGFw88b1xsaG9PT0gf4B97gnc+dbUV/Rz4czUyEhITEuLm7a&#10;xNfyVbe65n/uS9lszXV1tbU1tW0dz23CRu8s5PFdkl3d3WMjo9093dwn4NFbER+IT+3TefPmWSyW&#10;2JgYv8eLqAtCb+mfG+zv7+ntkd5j7I6+/ZYsXarKjWaqoCz+t++9V24t/cFf/OjdHz27r1EmgUf/&#10;lcuXWltbhQcSukj8aQcY9SI4uS+6e+fuzeJil+Y/Nbhyc3LpJxD76OYU7h9Qoa1tojVQ31A/Njb2&#10;9On45DsncH2QkpwaMT/SlJjY3tHx7Z8mvuvE+kPkOd9d0PebAjfYaJMY/X/7s5/v3i37pYZ+R7/7&#10;lDvTURv/zKmTGRkL9LL7z0WQc5/Qt0LxzZuljx67D/5YLJlz86cRiHTNJTfbqT6gbxJqtvt3K5YL&#10;qkVSUlLMaWlz/BuMfgC/9/bhvt5eTUU/H4u/Zs2atIwF4s1owvsm6W5U58L5s9RkQe4/x0P6U+9b&#10;umMY5ghq4h0/+seZusbiTk7vUVLwjAL2kbiob2j467/8yz5n7//69LPFixYJz8pm1ugXh/JJRESk&#10;SyZQIFB9oLva+tNP/nnz5gKdNjLkyn1G3xD3SkoePiyddvGPAhVAn9OJwSXtoK4xNck3bBK+5xh9&#10;jYqLb4pTApQLpsRELjNnf//g5PdPRHhEQUEBFZDys+Lop8J//8d/VCX6E5JM//T736empnqo0fU7&#10;/8frkQ4cOKTTeJE390WlD0sfP37cOMOxcFwBBL2Hfr+khLqTIXaXrK7xV+Sd7wrXghOrtbS8rEza&#10;5d+3Z++qyUtlRR9++BtuN5jNaTsn7xYHb1y5eu0///u/jTPG/+7jjyl/hWdlI41+Cv1fffgh1Tcz&#10;hT7P+el0kIRQCyYqOlq/340K5T5zdDkelz2eqfnPgrj7dzhErxHXL/qKnPr8xGsFBdRgb7E1WR9Z&#10;XVb+bN9WuH7DeuHBJPqe+ej3wlljOjpEUyOKii7+l5//TJn9XISjv6G2lkOfqnnxdjMpiyXz1Q0b&#10;9bvIiiqz1tZWnZ72wRTNfZHN1vzw4QPPm7+oEzAxTWc2JyUl+p3aFDR8m3beqtV5ec+1IkEt0+7Q&#10;iYmO2bNnz5IlucLjKdRTPHfhPJf1u2xORZ+fPPnf3v+FktHf39dH3QtxZ5aUMc64cdNGXTfCuAez&#10;bt2rul6erk7ui6gCqCgvq62v9+YECD40xo+ffG530N+wdu1aNPxVRG38mtpa947/ypdf3r5jx7Sp&#10;dOnixXvffMPlmc7hAc94P9fOvfv+w09/KjwlM2pvnTx+7OmfJm6JYfQjvOKll3Td9hIbkXoPfaJy&#10;7ot4929NTU1r+8TaPuHZGVCrIT4hISEx0fsjJDvt7ffu3Zu8izUzP/8VTPYqrKqyoq6u1mVUh6Sl&#10;mnfu2rVw4cTdQNP6+A8f82ZA6v8dfvsIPwm+UnIrL+Xj+bNf8FQ8C4FmPn0DP3jwgAo8SslP6pdW&#10;cl+KOwHNzS0uu39nQt9VUdHR3hwhyYuIh4eHzOa0nJwc7CSQW5/T+aSqqr6h3n15PiX+5oIC94Ed&#10;F7/81a+5HeD3JU3A/vWPf1xW+vDgkX/x3nvvCU/JwD306WetYMtW/XbUxNDIyc5ZvWZtaPQ4tZj7&#10;Uk+eVLe1tdqabN70A0Qmk4n6lVQT8EExLvVzfV1tZWUFtT3n8sZOudGLTL036hQLjyW8THwindTF&#10;DE2ABuXfyku96suXr0hXZ+l3Kp4qMHF/WegNEmg996V4LMjeOfGfl10BEUV8fLyRKwM+FWBoeLiv&#10;r8/W1MSHeVFVwdcQavCoYR2hn/ya6hr3G1BZbk7u9sJCqoyFx7PBpG5wUfT/q3fftdXXyRH91C4u&#10;kazfp581nR6HR9/D5eUVTU2N9CmE6gEzesp9FzZbc0tzs9PZ29zcMnEumNe9ARf01Z1vMIyNjj6d&#10;MHF6zAsvzHvxxYlDxCIiIw3zI/m38cnDVOBqg58URap9HLG6+iYPQH5SVTXtcQsx0THLly3d/Npr&#10;vq4nkU7qenl5OnjW0dHx85/9rKz04W8++v1LL60Qng2YdEcuMRiitm7dorufCHEWijeUZS7OCtUm&#10;oI5z3wW1ZZptzW1trU6nkzoEff39HhaJyof6DfSWzw8QawjtX1zlH477ac+7Z5kLLS+//LLLPizv&#10;iZO6xjjjGwcP8ZMQuE8/++yPn/yfX//mt4Fv5R2evLtYOmNPPwLbtu/UUWJKZ6HM5rQVy5eHfM8y&#10;dHJ/Wk+eVNPbhvq6kdFRqgxGxkY9LxiVG7UjqEKgAo848ZMuHQjtdx1abE1EvKHXHdV5q1evevml&#10;l70f0pkWJnXlU9/Q8D9/97u/ePfdQKK/8/m7i4m+vlLiwuIQHtKZVojn/ky4PqDOwcjwMBXs9s7R&#10;0VmGidTqQBCxthCJg05SaWnT1Bb+1SLUAupz9nJ5dGzM0eWggr2zY2x0bKasJxT3WVmLV6/O97Au&#10;03uY1JUbdZEfP3r86qt+zrtSaN68dUs6kaOXhe3UR3lSVcnDktQ7ycrK1vt6fF/N0dwPFh5cosLQ&#10;4GDH5IhEc3MLvQ1kvkF3KO7T09NXrVrlzRId72FSV8us1lJr6UPhwWT/VRcL26VztvRNO2e38iD3&#10;ZSTWCt0Oh3Oy+dzr7Ovv65t8Z5ivS5K0Jrite3eY1NUsl9PWjHHGbYXbtRyg1MBvrK+rqqyk3ip9&#10;tEuXLQvhOVtvIPc1wWZrHhp6thJGrCdE7iNRylcbiYmJ8yMiFyzIMBrjc3NzAxy7nxUmdTWIAvTS&#10;hfPSsT6Nb8vqczrLHj/ihcUWS2ZOdjY6jgS5HzrE7oU794rEA4r1xKRnmW5KSpI74qeFSV2t6bS3&#10;X79+Q7pUNyc7x+U2Be0Qt2ca5tg1y95A7oMWYVJXayhG7969q/1ZXN5nKy7KxHEs05op9+cJ/wdQ&#10;g81mE0rU4XDbJQcKs1pLi4ufLd0JD4/YvXu31kKfuiM3rl87fvSP1TXVCzIyDhw4tHPX6wh9nyD3&#10;QU28OIphQFZdFKbSpTvGOOPBN9/S1BaTqsqKC+fPFhUV9fb0UC/kne9+b8OmzXNzoU6AkPugJl4O&#10;SyhluADKGx4ZOXPqpHTpjsWSuWvPXo0MlNOHRx2R48eOlpR8HR0dU7it8I2Dh+baSvzgQu6Dmrqm&#10;tlXHJyRwARTWaW93WbqzfNmKLVu3aSH0KfHvl5Sc+vxEeVkZD+nQB4Z+YeCQ+6AaR5dD3PWWgMF9&#10;NbTYmi5fviIN/XXrXtXCicp9Tqc4iJ+bk3vwzbcwpBNEyH1QDSZ11VVVWXH12lWtzeJyG//cubN2&#10;u50H8akewtLM4ELug2owqauiO18VS4/RN8YZ9+3br/osrtVaeurzE9zGP/z2EQziywS5D6rBpK4q&#10;qEH95aWL0mP0zea0XXv2qjuKUl9Xe/zYUWvpQx7V0entXXqB3AfVYFJXeRT6ly6cl96LabFk7tz1&#10;uooDKZ329gvnzxYX30pJSTlw4BBGdRSA3Ad1YFJXeZSwZ8+cdpnFVfFsDKqE7nxVXFRUNDY6Vrit&#10;kD4SzNwqA7kP6sCkrsJ46Y546k54eMTmzQUqDqDTx0OVUENjY96q1W8cPIQJHiUh90EdmNRVkvvS&#10;nR07tqt1tgE38+njiY+PP/jmWziUSXnIfVAHJnUVc7+EPLd0R8UDGPqczksXzlMzn3ob6s4rzGXI&#10;fVAHJnWVceP6tYrKcuHB5GXoKh7A0GJrOnfuLBX27ds/d05So8/6wvmzX166KDzWAOQ+qACTugoY&#10;HhmhuHE5dWfP3v1qhT6PNaWnp6u+ZlQx9CkfP3aUPmsqr1iuob0IyH1QASZ15cbrNbu6uoTHU6fu&#10;CA8URwlYUvI1X60T8mM79OJz4tOnzItTqbrV1CQWch9UgEldWU27XlPFnVAc+upWPMqgxOeD5MTE&#10;1+biVOQ+qECc1DUYorgAwUKh77Jes3BboYrrNTn0NXLcm3z6nE5OfOGQiSPvaHk7AnIfVPBsUjc+&#10;ngsQFBSyRUVFLus1VexRiaEfwift8NGhp0+frG+oFw+Z0PhYFnIflCad1E1MwOB+0HDICg/UXq9J&#10;+OOxWDJDNfRbbE2c+Hx06OG3j+jlkAnkPiity+EQSmFhaWkausZP1yiApKGv7npNIoZ+SI7p89LM&#10;q9euDg4OcOLrq25D7oPSGiRX+yelpAol8NfwyAiFvnbWa5IQDn361MSlmYXbCul11mNvBrkPSrPb&#10;O7lgMESF/JI+ufF6TWno52TnqJu2IRn69DqLd/xqc2mmT5D7oDRxnAeTugHiMw9c1mtu2LRZeKCG&#10;Tnv7gwcPQin0xaWZ5WVlWl6a6RPkPihqcGhoYHCAy5jUDQQl7LlzZ8XQDw+PUH3ZDC8hTU9PD43Q&#10;d7/jNwQSnyH3QVHNtmahhEndAHDCuqzXROgHi8tCndC74xe5D4rCpG7gqp5fpG8wRFHoq3s1bsiE&#10;fn1dra4X6ngJuQ+KEid1qYmKSV0/8Kyp8GBykf7+Nw4g9AM0PHWiTnHxLd7hrNOFOl5C7oOi+gb6&#10;uRAfPydOZAwurS3SJ9z50G/oi9O24kKdnbteD/kzo5D7oKjuqRMaUpIxyOMbrS3SJ7peskndFOm0&#10;rcZP1Aku5D4o58mTaqEUFpZkShJKMBtqk7qfpK961Oo39Hm3LXVTQnXadlbIfVBOW1urUJoYo0gW&#10;SuARhb7LSfoUVapHLd/dqLujlcXzFahcuK0wVKdtZ4XcB+V0dNi5EB4eMUc61AGadmeW6lF1Y/Lu&#10;RvpIdHS0skvi63q3beCQ+6CcLofQaMWkrjc63XZmqXuSPqHOx5lTJ1tbWzdvLtBLSxmJ7+6Fb7/9&#10;lku5i7O4UC1ZYQ0QRL94/30u5GTnqHucgKzul5QIpUlJpqTICOrfxPvUxeHFkS47s7SwXjM8PHzr&#10;1i3qfiReot7SgwffNDU1mkymvJV5czDutxcIP2UuqY7cB4XYbM2ffPoJl7UwWCGfTz/5Z6Hkxhhn&#10;jIqOTkxITEsze4ghl9A3GKLEqKUW98Qzik9CWq2l1tKHFKDbtu/U/hQovUplVmtFZTm9dGvWrFmc&#10;lS28Y45B7oPK7t65e2Wyr012796tiwajfy6cP8sF6WTstChGU5JTMxdZpK+G+86sXXv2OuwdNbW1&#10;ra2tXBkomb/Uai4uvkmfy/JlK3QxoF9fV3v//v3x8fHcnFwdzUDIAbkPKvviiy8ePX7M5e//4Idc&#10;mCNabE30tq2tfWBwoLenRzpPy6hZuiAjIyc3x+Hodgn97JycioqK4eEhKi/KyjIlJo6OjT2yWum9&#10;Cmzaogy9e/dudFTUxk0btV9Vi1WUxZL56oaNc2pp5rSQ+6Cyj//wcVtHOxWorbpn735+cs6imoCq&#10;AXtnh4c+gcFgoJ9QSnxKsRUrlktjlxd3UkHW6L/zVXFNbY1eMvR+SUl1TXV4ePjGDRswc8uQ+6Ay&#10;cVJXjzt95EMJ3lhf19TU1N7eJjw16cUXw58+HafXKj//lWknhKlte+7cWapEd+56XXgqeOijunbl&#10;y95eZ35+vvZnYjrt7be/uk29KL2MRClmptzHOk5QgqPr2Z26CYk4dv8ZakdTsFJ2L160WHhqUnJy&#10;sucrPuj51woKqLawWkuFp4KEYpQ6ExT6O9Q+29kb1MwvKiqKiIyglwuh7yXkPijBZrMJpbAwE3Lf&#10;DTXe6xvqufzCC/MKCl6jmmDWdZ8ZCy3UwrWWPqSkFp4KGC8losLBN9/S+IB+i63pzKmT1TXVeatW&#10;79m736dlsnMcch+U0DE5ss8w9uruwYNvhFJY2Nq1axdNDbrOilq4xjjj7a9uC48DU19XS6EfHz+x&#10;gkjLA/rDIyN3viq+eu0qNfP37dufl7dKeAd4B7kPSmhubuEChRQXQEQpJp65ZjBE+Tq0snHTRmef&#10;M/DRnqrKiuLiW+np6aof8+kZNfPPnjnd0NiIZr7fkPughK6p45ejoqO5AKInVZVCKSxs5cqVQslr&#10;ySnmnOyc8rIyqj+Ep3yni8M1xWZ+TEw0mvmBQO6D7AaHhsbGRrmMu9TdtTQLkx/h4RH+zaOuXrOW&#10;3pZNLur3gy5CH838IELug+xwl7pn4hL+9PR0LvjKMH9+bk5udU21H01+Dn0tnO3sgd/NfN4xBy6Q&#10;+yA73KXugTSYzGb/K8WX8vLorXTIyBti6Gt2vWanvf3MqZP+NfP7nE6qLYK42ClkYN8WyO6zTz9r&#10;nEy38PCId777PX4SWH1dbXHxLS4HeGwRNYrtdvsbBw8Jj2ej/dC/X1JSUVluMpk2b37Nv4Gd48eO&#10;LsjICI3DX6ka6+rqdHQ5unu6x8fHBgYGh4eHhPdNct+2hn1boBrcpe6BdEdbgOvlLRaL+8k/M9F4&#10;6HMzP/C1+YsXLW5uEdaS6RS1DCbuAT529PTpk9REaGmZGDVNSU5dsnRp4bZC6S/vB1GR+yA73KWu&#10;jNEx4dzmWWk89K3WUt47tmPH9gAX7VA4UqOYPl/hsX5w3P/x//1fyvrBwQFO+e//4IfUn9u563Vq&#10;19Mrk7HQ4vJL+MOzQe6DvHCXumIqKyvM5jThwcw49HOyczQY+sOTN8hbSx/m5uRSwAW+YZg6ChZL&#10;5qNHj4THmkevwP2SEmrdc9zn5+cfPvIO9Xg45YXfFDDkPshLepd6bGyMUILpBLIAn9rIXV1d69dv&#10;EB676XNODAFx6FMUanDIm1q4pz4/MTAwSA3bIJ60k5//CjX5g36KUdDRF4ga+PQKVNdUL8jIOHDg&#10;EMU91c1y7KFD7oO8nJNxwzR+3osqpGOybZNDt37otLdTG3n5shUzjYPf+ar49OmT1JTm0Nfakk2q&#10;8CjyqIW7KDNz/xsHgtiwJfSaBL6vTVb86dMXyG63UwP/4JtvUa3s95SGN5D7IK9OeycXTCYTF0BK&#10;urC1ve25o5i9RO3Ey5ev0Ms7bRuZMoXivqa2hsrUIYgIj9Ba6POGLL6rnfJOjubt6jVrw8PDb924&#10;LjzWDPrq3C8poTY+Jf66da8efvuITA18F8h9kBfftUIS4hO4AFL0Qy6eWdTQ2Ohrm5R+/7WrV6Kj&#10;orZt3yk8NYXeZbWWUqZIr3ZJ0ljtS6nHG7KokSvfLbj0Im/csEGOM6sDUV9XSxVedU11bk4u9XKU&#10;nG5B7oOMbJKdutGxsUIJnrcoS9g6Mz4+5tNZC5Tsly6cHxwa2la4XdpI5KUglPjW0ofi5ewkPDyi&#10;YMtW4YHaqJty5tTJispyXqkpdyM3Y+rMai3s4KXPnTphxcW3UlJS9u3bTx01Bdr4Ush9kJFD0tLE&#10;sfszWbJ0GSUyl6n15+X+UjH0d+zYHmc00sOqygpx5V9TU6M08dlrBQUK58tM6EM9d27i9vndu3cr&#10;drwaxavFknnz1i0Vd/DSl4m6OKdPn+Tp6y0z36sjK+zXBRldunjx3jfCyfJz7S51n/DGVC5THUAd&#10;/5fy8jxkNIf+wODg0qVLR0dG7Hb7rDu2NHIHIX3kt25cb29vy8nOWb1mrcL1kLSyVH6VAfXD7t+/&#10;Pz4+Tl9fZb4WuF8XVCDepW6MM3p/fsDcdObUSZfsNplMCfEJERGRwuMprW2tTqfz22//JDz2gkZe&#10;f2poX79+g4Jv/fr18o3me6ZK9NMnfu/eva6uLupwzHRhshyQ+6CCX/7q13wCs9mcJsf136GE88j7&#10;gxZmQrVFxoKFpsTEm7duiUM9ZrM51ZyWnmZWcSkt92now9u2fae6w01i9L9WUBDcNaPu+pzOBw++&#10;aWpqpE88b2We3P+cC+Q+KI1+rj744AMua2SQQfsoHKtrqt2H5j3jnoE5LS0tYwFH6o3r18Q7vKix&#10;HxUd3dvbOzw8pEr6UM5eu/IltXbzVq1WbDTfM/qQvr5zm14i+Q6roH+izGqlr2Z4ePjKlStV2R2N&#10;3AelPXlSffzEcS4XbitUOGt0raqyor29fXBwQLoEU0TZTW9TklNj42JjY2LcX9gWW9PVa1e5bDBE&#10;HX77CJfpeesjK/2d1P0q2LJVmUY3/aPU86Ds27p1i9Y27t35qrimtsZiyXx1w8bgvhpWa2l5WRkV&#10;FBvKnxZyH5QmndQ9fOQddbv2c8qXly62twtbwNxrXAri23fuKDPIzsGqZDXjK6piHzx4EB0VtXHT&#10;xqBUS/QXPnr0iLpWqkxcu5gp97GOE+TS6+zjQnh4BEJfMX1Opxj61DNw7w3QM/vfOJCenl5cfItC&#10;Sng22IZHRvi+lHXrXt2563XNfgMsXbZ83779VCgqKrpfUsJP+ocq1OPHjpaUfJ2SknLgwCGZ9h4H&#10;BXIf5NLlEMYocOy+ksoePzt7Mm/lxCVc7iiPtmzdZrFkUkhRWgnPBg/9nac+P0GFHTu2qzKu7ZM4&#10;48Rip+XLVlRUllNw+/GC0B+5cP7s1WtX4+PjKfHVWpXvPeQ+yAXH7qtCvGbEYIjyPKdC8WQ2p928&#10;dYva5sJTwUCtZkpA6mrs2rNXawP6HqxZt44iOyYmuqa2VnjKC2LiU7lwWyH1bDSe+Ay5D7KQHrsf&#10;G4cTGhTSaW8X795bsnQpFzzgYxu+vnObHwaI6o8vL13koxe0PLYzE4rsPXv3e3lunUvi0x/0XMtq&#10;CnIfZNHteHZ9YFISTmhQiMMh9LFIuhe37lE0r1+/vqmp0Y/BDRdU5Zw9c7q3t1fJoxdUoevEZ8h9&#10;kIW90y6UcOy+gvr7hKuMiZcv++KsbJPJZH3kw3lw7u6XlBQVFcXHx+9/40AIf7lDIPEZch9kIR67&#10;Lx4yDAro7hHa+7zG30t5K/O6urr8a/IPT57vr9+xHS+FTOIz5D7IomtqUjc+AcfuK8fXjb6MIozq&#10;ifIKn9d0UhqemrwZMYTHdqoqK44fOxoyic+Q+xB8ji4HH8tDYqJxp65yoqdebcpiLnhp2bLl7e1t&#10;fZJLMWclrtsJ1bEdTnxxPX5oJD5D7kPwdUkmdaX3x4LcxFp2eHjIp9WZi7Oyw8Mj6hvqhcceSa9M&#10;Cb2xHXrdrNZSaeJrfz2+r5D7EHwNkk3h0vtjQW5JpiShFBbW6OOBK/Hxxp6p0TkP6utqlb8yRRmU&#10;+NSJOfX5ifKysgUZGSGZ+Ay5D8Fnn5rUNRiiQnWiT5vSMhaIV3c9evRs4643xDGimVAs3rh+rbj4&#10;Vnp6ur72ZM2KejB8MyXfdnvwzbc2bNockonPkPsQfH0DwmrCmJhoLoAyqJalUOby8PCQ9wfOtNia&#10;mpoaLZYZx695eX5ra+vmzQXUCg6Z6pw+8S8vXTx9+qTdbs/Pz6fEX6P4bbfKQ+5D8OGEBhXl578i&#10;NvkrKsu9OXmNMv3mrVtmc9pMx3Py8nyqxfft26/WPVnBRX0XcaHO+PgYVWaH3z6ydNnyOdI9xTnM&#10;EGTSY/fpxyk0YkJfrNZSa+lD4UFYmOerRerrau/evRsdFbVrz16X1KNwrKupKSt7PDIyTLXC6tWr&#10;RkeEZVpJKak6jUiq5MrLK6jjQmXqG61YsTyEN5rh/H1QyN07d69MLnYmu3fvDuEfKi2T3rdFKLXX&#10;r9/gPmDNNYTLxSNUE7S3tUnvajca4wcHB102B5jUuLrLb1SHNdbXVVVW0idlMEQtWbp0ydJlId+6&#10;R+6DQr744otHjx9z+fs/+CEXQHku0U8o3y0Wi8mUTBUA5eCtG9fb29uWL1tBIdjV1enoctg7O2a6&#10;4SsrKzspKZFrcfqzbS3NlZUV9JtzsnM2bBLCRZvEBj7VW/QK5GRnh8wyfA9abE1tbe0/+Zu/5ofI&#10;fZDXx3/4uK2jnQoUFnv2TtxoAWrh666EB65eeGHevHkvvPD06bjwxHSWLFm6fPmKmVa2VFVWlJR8&#10;rZ1bc6WocnpSVdlQVzdHGvh9Tmd9Q31HeztfpMxPfvTbf+ACch/k9ctf/Zo361LbyssjbUE+1O67&#10;feeOGAQ+8ebO8fuTF8EffPMt7URqfV1t04TG8PCIkB/Bp95MTXVNc0vLtF9i5D4owdHl+Oj3v+Oy&#10;NpuBcxM1zCkIxfsXveFltU3N6lOfn1D39nDGCdjQ2Dg+PsYDU5mLs0K1gc9zMDPFvQi5D0qQLuYp&#10;dLvRG9RFGe2wd7S1TYzCSUXMjzQlJialpJZZrRWV5fyk91fhU5O/vqH+8NtHhMfK6nM6n1RV0QdA&#10;CcjjOYsXLQ7JLVc8rUL1N89VCM8+j7o48fHGlOTUJFOSyZR8cN9efh65DzK6dPHivW++4bL3wQEa&#10;QQku5r73c/LU0C4qKlJ47Rb9o40NTS0tzTx8vyAjIyc3JyTHc8SBew/dtZleAaznASV89ulnjZPH&#10;uFO7453vfo+fBL2or6stLr7FZZ/2Xhw/dpQa2nIP67k0eEM77r0ZyTHGGRdlZXno3yD3QQn/46OP&#10;eLMuFvPoETUtT58+yWWfpuW/vHQxMjJSpml8ivvG+jpxfoK+tTIWLExPM4de3HMnZqbVtCKzOS3V&#10;bPZmOAu5D0r4xfvvc2H5shWqT/SBHy6cPyuGzoEDh7wcKL9fUkJpFdyanuL+3td3enp6e3t76CGF&#10;nYXqopCbqqWsb21r72hvp5d9plF7wmuTzGazT68Ach9kJ53U9WYJIGgQL8nnsjHO6H54w7ToTz14&#10;8CAoI3surfuIiMjVq1eHWNx7mfWEvgQZGQsyF1n869wg90F2OKEhNBw/dlQcU6bc2bhp46xfyhZb&#10;09VrVwPcni2uu6cyt+6pqe9wdIXGgKH3WW8wRKWkpPjatJ8Wch9kJ13MgxMa9IsS6vLlK9Jsslgy&#10;Pe9+8iP3qV3Pi0qNxrjWtjaeqnUZzJFj+EhJ3md9eHiEyWTyctTee8h9kJ14QgM1Et84eIifBD1y&#10;j37CYw5paWb3bRm8EMhD7nPK9w8M9Pf1U5QPDAxKl6nQ37woK8v9HAVZp4tl4kfWyzdHjdwH2eGE&#10;hlBC+XX7q9vikZwuDIaomJjohPiEiIhIesgX81JbdfKdAsp3ejs2OjbTXyKa6bjQM6dOUk2j/QUC&#10;fAjarOtwiAJZL4XcB3kNDg198MEHXMZinpBRVVnx6NEjz4cBBAs1F6SHZVIX4fjRP2rzCgf62Npa&#10;mtvb2np6e7SW9VLIfZAXTmgIYdT293D4l6+Mccao6OjEhMSI+ZHS+2GYdDdWn9MZxMHuANGL4HB0&#10;t7e39/b0zNqDUTHrpZD7IC/ppK73675BXyiI+aT+7p7u8fExl2F6FxR89JYSkCPelJgYOT/SJQRr&#10;qp/cuXNbePA8+oO8Yl08919h4syzvbOjt9fpebCeiOtw0tMzNPL9j9wHeR07dry6ppoK9OOKExrA&#10;e9JDgTygWiQlOTU2Lla+aoCDvqu7u+P5U+w9oL4LZX1iUpJ2sl4KuQ/ywnUr4B9K21Ofn6DW9PzI&#10;+QsXLvRyNIm+zaKjY2KiY5JMSbGxMf7VBJ329v7+Ae6+eBn0hGsg+nfTMhZofDcZch/kJZ7QoP2L&#10;90BrxE3CvM27z+lsbW1pamqadSmkFHU04+ONPKxED9PSpqkJ+Axqe2eHN6uMRAZDVHx8fKrZbEpM&#10;1NfEFXIfZGSzNX/y6SdcxgkN4AfeJEwJ63KOP9cBXs6mBgtXIXpp1HuA3AcZlT4sPXfhPJexmAf8&#10;4NLk5yfdtdia+gcGuh2Ont4eb+ZavcTbEcTrSkJmVQJyH2SEExogcDM1+T2jmmB0bMzR5RgYHBgc&#10;HPC8xIjxQiOeJY6NiQnhZgpyH2QkTur6+kMLILJaS3k5f1C6jFQfCKUp7qtIQ95MuT9P+D9AAPr6&#10;+7kQHx/PBQBfLVm6LDw8ggo1tbX8TCCo5nD5NddC3wPkPgQBdbG5wEspAPxgmD8/PT2dCk1NjcMj&#10;I/wkyAG5D4F68mRiuxZLMiUJJQDfrVghzOg+qarkAsgBuQ+B6nY4hFJYWGxsjFAC8F1yitlgiKJC&#10;Qx1mGWWE3IdA2TvtQmny51YoAfiFD3N29tF/Cq3Wn4OQ+xCoTnsnF3h5HEAgMhcJK3laW1u4AEGH&#10;3IdAdXV3cyE6GoM8EChxqKepyXUhJgQLch8CMjg0xHdskRjkPgTDgowMejvrfSbgN+Q+BKTZ1iyU&#10;ZjgJC8BX5rQ0ejs+PtZpn9gMCEGH3IeANEj2AcYZsWkLgiAtYwEXWiePz4SgQ+5DQHqdfVwID4/A&#10;HVsQFIb583mIv2dq6giCC7kPAenvE3I/Ph6hD0HDB3709vTwQwgu5D4EhI9jIwnxCVwACNyK5csL&#10;t9F/24XHEFTIffCfo+vZTt3o2FihBBAwPkkNI4cyQe6D/2w2m1AKCzMl4kQ2AH1A7oP/OqYGeUhS&#10;SqpQAgBtQ+6D/+xTJzQYDFH6vYMUYK5B7oP/+gaE61ZiYqK5AADah9wH/3VPLa9OScYgD4BuIPfB&#10;TzbJCQ2xcVjMA6AbyH3wU0uzJPdjcCIbgG4g98FPTmevUJpcbS2UAEDzkPvgp+Zm4VoMYxw21wDo&#10;CXIf/NTXLyzmiYrGYh4APUHug58GBge4kJiAnboAeoLcB388eVItlMLCkkxJQgkA9AC5D/7odjw7&#10;kS02Fot5APQEuQ/+kC7mSU7B9YoAeoLcB39gMQ+AfiH3wR9dUyc0YDEPgO4g98Fng0NDY2OjXMZi&#10;HgDdQe6Dz5olJ/OkpWFwH0BnkPvgs7a2VqEUFhZnnLj/GgB0BLkPPnM6nUJpIvcxrwugM8h98Fnn&#10;1DVbJpOJCwCgI8h98Jm4mCc6Gju2APQHuQ++kS7miUHuA+gQch98g8U8AHqH3AffYDEPgN4h98E3&#10;WMwDoHfIffANFvMA6B1yH3yDxTwAeofcBx9gMQ9ACEDugw+wmAcgBCD3wQdYzAMQApD74AMs5gEI&#10;Ach98AEW8wCEAOQ++ACLeQBCAHIfvIXFPAChAbkP3sJiHoDQgNwHb2ExD0BoQO6DJ//mvZ98+Nt/&#10;ol9Fly6Xl1c4nf38PBbzAOjXC99++y2XchdncaG6vo4LMMdR1v/Vuz8SHjwvIcmUl59PhazsnOiY&#10;aCpkZ2XHxEwM+r/00oqJ3wEASuno6Ojs7BoYGKitq6WHj61Wenvj8peT75zgkurIfZjRf33/73/3&#10;2w+FB77bsmMnF9zrhuRkU2pq6uQ7AcArZWXl9LadMr6jnQoc7tYHD3ocXRPv9gi5D97as2dfTWWF&#10;8EAeYr+BiNVDaqrZPFUrLM5aHB0VxWWAEMZtdirU1tUNDEwMqHKyN9tstVWVE78jAMh98Epjk23H&#10;li1c3vb665aFC8fGxqnc3e2gtyOjo7yHy9HZ2WprmvhNMpPWEKnmtJTUFKEsqSTQjQBtEjNdHIoZ&#10;HBisq62hgtPpfFjy9cRvCp6X81+ht8kpydcuXuRnkPvglWMnTv279/6Gy9/9sx8ajbFcnsnQ0DBX&#10;DP39fWNjY1TocjiGh4ap0FBT09/37IAHZWQvXbZg4UIux8TGLs4Svr2JONxEqIexeNEiLgP4RExz&#10;IjbSxUAnXg7C+EcM9/mRkVFRUQZDVEREOP2f38s++u0/cAG5D1756X/8T5/974+5/C//6sdcCNDo&#10;6Njw8AgVno6PO6dqgubmFi6oUj24kPYqiEuFQfJW5gmlSag2QgaPnjOxVc7qKdP7hZVsQRl18RIn&#10;e3x8XGxsHBUSE5PorcFAOR8x8W4vIPfBN6+uXdfdNdFUWbtp05pXnkWhAp4+/dPAwCCXh4eHCJfF&#10;GoKek3viIRDihLZIOjAliomJzX6+UhFhTZSXpC1ukUtqM2l2EzlGV3wSG2dclJNDBUOUwZQ0Eejc&#10;ZqdCTEz0iy8GZ4U9ch98IB3c/86bb2ZkpHNZg6SVhLQbQcR6gmihMxEULj2SmUxb02gTz156oHpG&#10;+0QMdLJgQQYXxEz3qbUeOOQ++EA6uP9nf/7nLoOGeietKog4IcHEaQkWMhUG+I3HWxiPp3PZGGd8&#10;MTxcKM82AaYK5D74QI7B/dDgUmcQ6UgUExc7SaH+UFH6QktScrLwYJI0vonYHmcKt8rlg9wHH4gr&#10;96mls3nzRn4Sgs69FhG59EJcuHRKZqLliRDpeIgHLgEt5RLWIm02vVWB3Adv9fY6165ezeXd3/nO&#10;okWZXAYAfZkp93EuG7gqr3i2TI2XjgFAKEHug6uSe/eF0uSSMqEEAKECuQ+uvrl/jwvpCy3BWkcM&#10;ANqBn2pwVfqN0N7PsAjnHABAKEHuw3N6e528TZfwNkIACDHIfXgOJnUBQh5yH56DSV2AkDfN+n0A&#10;AAglWL8PADCnIfcBAOaWZ+M8AAAwF0wzvo/zeWBWv/zVr8fGRqlgNqft3PU6PwkAmrK9YDMXML4P&#10;gRocGuLQJ4kJiVwAAH0IC/v/EZaeWlZ1lW0AAAAASUVORK5CYIJQSwMEFAAGAAgAAAAhADwZV9ng&#10;AAAACQEAAA8AAABkcnMvZG93bnJldi54bWxMj8FOwzAQRO9I/IO1SNyonYSEKsSpqgo4VUi0SKg3&#10;N94mUWM7it0k/XuWEz3OzmjmbbGaTcdGHHzrrIRoIYChrZxubS3he//+tATmg7Jadc6ihCt6WJX3&#10;d4XKtZvsF467UDMqsT5XEpoQ+pxzXzVolF+4Hi15JzcYFUgONdeDmqjcdDwWIuNGtZYWGtXjpsHq&#10;vLsYCR+TmtZJ9DZuz6fN9bBPP3+2EUr5+DCvX4EFnMN/GP7wCR1KYjq6i9WedRJi8UJJuscpMPKT&#10;7DkGdpSQiSQFXhb89oPy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SmD1ZOBAAA8QwAAA4AAAAAAAAAAAAAAAAAOgIAAGRycy9lMm9Eb2MueG1sUEsBAi0ACgAA&#10;AAAAAAAhAAq7c9Fd3gAAXd4AABQAAAAAAAAAAAAAAAAAtAYAAGRycy9tZWRpYS9pbWFnZTEucG5n&#10;UEsBAi0AFAAGAAgAAAAhADwZV9ngAAAACQEAAA8AAAAAAAAAAAAAAAAAQ+UAAGRycy9kb3ducmV2&#10;LnhtbFBLAQItABQABgAIAAAAIQCqJg6+vAAAACEBAAAZAAAAAAAAAAAAAAAAAFDmAABkcnMvX3Jl&#10;bHMvZTJvRG9jLnhtbC5yZWxzUEsFBgAAAAAGAAYAfAEAAEPnAAAAAA==&#10;">
                      <v:group id="그룹 4014" o:spid="_x0000_s1386" style="position:absolute;left:68;width:21675;height:37528" coordorigin="586" coordsize="21674,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6OxgAAAN0AAAAPAAAAZHJzL2Rvd25yZXYueG1sRI9Li8JA&#10;EITvC/6HoQVvOokvlqyjiKh4EMEHLHtrMm0SzPSEzJjEf7+zIOyxqKqvqMWqM6VoqHaFZQXxKAJB&#10;nFpdcKbgdt0NP0E4j6yxtEwKXuRgtex9LDDRtuUzNRefiQBhl6CC3PsqkdKlORl0I1sRB+9ua4M+&#10;yDqTusY2wE0px1E0lwYLDgs5VrTJKX1cnkbBvsV2PYm3zfFx37x+rrPT9zEmpQb9bv0FwlPn/8Pv&#10;9kErmEbxFP7ehCcgl78AAAD//wMAUEsBAi0AFAAGAAgAAAAhANvh9svuAAAAhQEAABMAAAAAAAAA&#10;AAAAAAAAAAAAAFtDb250ZW50X1R5cGVzXS54bWxQSwECLQAUAAYACAAAACEAWvQsW78AAAAVAQAA&#10;CwAAAAAAAAAAAAAAAAAfAQAAX3JlbHMvLnJlbHNQSwECLQAUAAYACAAAACEAHsZ+jsYAAADdAAAA&#10;DwAAAAAAAAAAAAAAAAAHAgAAZHJzL2Rvd25yZXYueG1sUEsFBgAAAAADAAMAtwAAAPoCAAAAAA==&#10;">
                        <v:shape id="그림 4015" o:spid="_x0000_s1387" type="#_x0000_t75" style="position:absolute;left:586;width:21675;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erxwAAAN0AAAAPAAAAZHJzL2Rvd25yZXYueG1sRI9Ba8JA&#10;FITvQv/D8gpepG4iViS6SmkrCCVQteD1mX1mU7Nv0+yq6b93hUKPw8x8w8yXna3FhVpfOVaQDhMQ&#10;xIXTFZcKvnarpykIH5A11o5JwS95WC4eenPMtLvyhi7bUIoIYZ+hAhNCk0npC0MW/dA1xNE7utZi&#10;iLItpW7xGuG2lqMkmUiLFccFgw29GipO27NVMPj5yD/TN9MdJt/7fHoen3JbvSvVf+xeZiACdeE/&#10;/NdeawXjJH2G+5v4BOTiBgAA//8DAFBLAQItABQABgAIAAAAIQDb4fbL7gAAAIUBAAATAAAAAAAA&#10;AAAAAAAAAAAAAABbQ29udGVudF9UeXBlc10ueG1sUEsBAi0AFAAGAAgAAAAhAFr0LFu/AAAAFQEA&#10;AAsAAAAAAAAAAAAAAAAAHwEAAF9yZWxzLy5yZWxzUEsBAi0AFAAGAAgAAAAhAIH1x6vHAAAA3QAA&#10;AA8AAAAAAAAAAAAAAAAABwIAAGRycy9kb3ducmV2LnhtbFBLBQYAAAAAAwADALcAAAD7AgAAAAA=&#10;">
                          <v:imagedata r:id="rId170" o:title=""/>
                        </v:shape>
                        <v:shape id="Text Box 4016" o:spid="_x0000_s1388"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fqxwAAAN0AAAAPAAAAZHJzL2Rvd25yZXYueG1sRI9Ba8JA&#10;FITvBf/D8oReSt3YhlCiq4gotL1IUy/eHtlnNm32bdjdaPrvu4WCx2FmvmGW69F24kI+tI4VzGcZ&#10;COLa6ZYbBcfP/eMLiBCRNXaOScEPBVivJndLLLW78gddqtiIBOFQogITY19KGWpDFsPM9cTJOztv&#10;MSbpG6k9XhPcdvIpywppseW0YLCnraH6uxqsgkN+OpiH4bx73+TP/u04bIuvplLqfjpuFiAijfEW&#10;/m+/agV5Ni/g7016AnL1CwAA//8DAFBLAQItABQABgAIAAAAIQDb4fbL7gAAAIUBAAATAAAAAAAA&#10;AAAAAAAAAAAAAABbQ29udGVudF9UeXBlc10ueG1sUEsBAi0AFAAGAAgAAAAhAFr0LFu/AAAAFQEA&#10;AAsAAAAAAAAAAAAAAAAAHwEAAF9yZWxzLy5yZWxzUEsBAi0AFAAGAAgAAAAhABWxZ+rHAAAA3QAA&#10;AA8AAAAAAAAAAAAAAAAABwIAAGRycy9kb3ducmV2LnhtbFBLBQYAAAAAAwADALcAAAD7AgAAAAA=&#10;" stroked="f">
                          <v:textbox style="mso-fit-shape-to-text:t" inset="0,0,0,0">
                            <w:txbxContent>
                              <w:p w14:paraId="35E660AD"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I</w:t>
                                </w:r>
                              </w:p>
                            </w:txbxContent>
                          </v:textbox>
                        </v:shape>
                      </v:group>
                      <v:shape id="Text Box 4017" o:spid="_x0000_s1389" type="#_x0000_t202" style="position:absolute;left:381;top:17145;width:20891;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W9VxwAAAN0AAAAPAAAAZHJzL2Rvd25yZXYueG1sRI9Ba8JA&#10;FITvhf6H5RW81U1KUYmuUgRD9dDWWIrHR/aZDc2+TbOrpv56tyD0OMzMN8xs0dtGnKjztWMF6TAB&#10;QVw6XXOl4HO3epyA8AFZY+OYFPySh8X8/m6GmXZn3tKpCJWIEPYZKjAhtJmUvjRk0Q9dSxy9g+ss&#10;hii7SuoOzxFuG/mUJCNpsea4YLClpaHyuzhaBevDfrf5yeVX/nZ5T4+U98VHMEoNHvqXKYhAffgP&#10;39qvWsFzko7h7018AnJ+BQAA//8DAFBLAQItABQABgAIAAAAIQDb4fbL7gAAAIUBAAATAAAAAAAA&#10;AAAAAAAAAAAAAABbQ29udGVudF9UeXBlc10ueG1sUEsBAi0AFAAGAAgAAAAhAFr0LFu/AAAAFQEA&#10;AAsAAAAAAAAAAAAAAAAAHwEAAF9yZWxzLy5yZWxzUEsBAi0AFAAGAAgAAAAhAGAxb1XHAAAA3QAA&#10;AA8AAAAAAAAAAAAAAAAABwIAAGRycy9kb3ducmV2LnhtbFBLBQYAAAAAAwADALcAAAD7AgAAAAA=&#10;" fillcolor="black [3213]" stroked="f" strokeweight=".5pt">
                        <v:textbox inset="0,0,0,0">
                          <w:txbxContent>
                            <w:p w14:paraId="412316F2" w14:textId="77777777" w:rsidR="006D7011" w:rsidRDefault="006D7011" w:rsidP="0059538A">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pl-PL"/>
                                </w:rPr>
                                <w:t>LUB</w:t>
                              </w:r>
                            </w:p>
                          </w:txbxContent>
                        </v:textbox>
                      </v:shape>
                      <w10:wrap type="square"/>
                    </v:group>
                  </w:pict>
                </mc:Fallback>
              </mc:AlternateContent>
            </w:r>
          </w:p>
          <w:p w14:paraId="59ED120F" w14:textId="77777777" w:rsidR="0059538A" w:rsidRPr="008F328C" w:rsidRDefault="0059538A" w:rsidP="008F328C">
            <w:pPr>
              <w:pStyle w:val="a3"/>
              <w:numPr>
                <w:ilvl w:val="0"/>
                <w:numId w:val="141"/>
              </w:numPr>
              <w:rPr>
                <w:b/>
                <w:lang w:val="pl-PL"/>
              </w:rPr>
            </w:pPr>
            <w:r w:rsidRPr="008F328C">
              <w:rPr>
                <w:rFonts w:eastAsia="Times New Roman"/>
                <w:b/>
                <w:bCs/>
                <w:lang w:val="pl-PL"/>
              </w:rPr>
              <w:t xml:space="preserve">Wprowadzić ampułko-strzykawkę w miejsce </w:t>
            </w:r>
            <w:r w:rsidRPr="008F328C">
              <w:rPr>
                <w:b/>
                <w:lang w:val="pl-PL"/>
              </w:rPr>
              <w:t>wstrzyknięcia</w:t>
            </w:r>
          </w:p>
          <w:p w14:paraId="76DAAF59" w14:textId="77777777" w:rsidR="0059538A" w:rsidRPr="008F328C" w:rsidRDefault="0059538A" w:rsidP="00ED6A7B">
            <w:pPr>
              <w:pStyle w:val="a3"/>
              <w:numPr>
                <w:ilvl w:val="0"/>
                <w:numId w:val="0"/>
              </w:numPr>
              <w:ind w:left="111"/>
              <w:rPr>
                <w:b/>
                <w:lang w:val="pl-PL"/>
              </w:rPr>
            </w:pPr>
          </w:p>
          <w:p w14:paraId="3E85EABC" w14:textId="77777777" w:rsidR="0059538A" w:rsidRPr="008F328C" w:rsidRDefault="0059538A" w:rsidP="00ED6A7B">
            <w:pPr>
              <w:pStyle w:val="a3"/>
              <w:ind w:left="4117" w:hanging="180"/>
              <w:rPr>
                <w:lang w:val="pl-PL"/>
              </w:rPr>
            </w:pPr>
            <w:r w:rsidRPr="008F328C">
              <w:rPr>
                <w:rFonts w:eastAsia="Times New Roman"/>
                <w:b/>
                <w:bCs/>
                <w:lang w:val="pl-PL"/>
              </w:rPr>
              <w:t>a.</w:t>
            </w:r>
            <w:r w:rsidRPr="008F328C">
              <w:rPr>
                <w:rFonts w:eastAsia="Times New Roman"/>
                <w:lang w:val="pl-PL"/>
              </w:rPr>
              <w:t xml:space="preserve"> Delikatnie złapać fałd skóry w miejscu wstrzyknięcia  jedną ręką.</w:t>
            </w:r>
          </w:p>
          <w:p w14:paraId="328AFC73" w14:textId="77777777" w:rsidR="0059538A" w:rsidRPr="008F328C" w:rsidRDefault="0059538A" w:rsidP="00ED6A7B">
            <w:pPr>
              <w:pStyle w:val="a3"/>
              <w:rPr>
                <w:lang w:val="pl-PL"/>
              </w:rPr>
            </w:pPr>
          </w:p>
          <w:p w14:paraId="19038C90" w14:textId="77777777" w:rsidR="0059538A" w:rsidRPr="008F328C" w:rsidRDefault="0059538A" w:rsidP="00ED6A7B">
            <w:pPr>
              <w:pStyle w:val="a3"/>
              <w:ind w:left="4117" w:hanging="180"/>
              <w:rPr>
                <w:lang w:val="pl-PL"/>
              </w:rPr>
            </w:pPr>
            <w:r w:rsidRPr="008F328C">
              <w:rPr>
                <w:rFonts w:eastAsia="Times New Roman"/>
                <w:b/>
                <w:bCs/>
                <w:lang w:val="pl-PL"/>
              </w:rPr>
              <w:t>b</w:t>
            </w:r>
            <w:r w:rsidRPr="008F328C">
              <w:rPr>
                <w:rFonts w:eastAsia="Times New Roman"/>
                <w:lang w:val="pl-PL"/>
              </w:rPr>
              <w:t>. Trzymając ampułko-strzykawka za korpus, wprowadzić igłę całkowicie do fałdu skóry pod kątem 45 stopni, szybkim krótkim ruchem.</w:t>
            </w:r>
          </w:p>
          <w:p w14:paraId="38344069" w14:textId="77777777" w:rsidR="0059538A" w:rsidRPr="008F328C" w:rsidRDefault="0059538A" w:rsidP="00ED6A7B">
            <w:pPr>
              <w:pStyle w:val="a3"/>
              <w:rPr>
                <w:lang w:val="pl-PL"/>
              </w:rPr>
            </w:pPr>
          </w:p>
        </w:tc>
      </w:tr>
      <w:tr w:rsidR="0059538A" w:rsidRPr="00A5286D" w14:paraId="68BAB26A" w14:textId="77777777" w:rsidTr="00ED6A7B">
        <w:trPr>
          <w:trHeight w:val="6066"/>
        </w:trPr>
        <w:tc>
          <w:tcPr>
            <w:tcW w:w="9209" w:type="dxa"/>
          </w:tcPr>
          <w:p w14:paraId="27F8CAB6" w14:textId="77777777" w:rsidR="0059538A" w:rsidRPr="008F328C" w:rsidRDefault="0059538A" w:rsidP="00ED6A7B">
            <w:pPr>
              <w:ind w:left="104"/>
              <w:rPr>
                <w:rFonts w:ascii="Times New Roman" w:eastAsia="Times New Roman" w:hAnsi="Times New Roman" w:cs="Times New Roman"/>
                <w:b/>
                <w:bCs/>
                <w:spacing w:val="-1"/>
                <w:lang w:val="pl-PL"/>
              </w:rPr>
            </w:pPr>
          </w:p>
          <w:p w14:paraId="0E856C01" w14:textId="77777777" w:rsidR="0059538A" w:rsidRPr="008F328C" w:rsidRDefault="0059538A" w:rsidP="00ED6A7B">
            <w:pPr>
              <w:ind w:left="104"/>
              <w:rPr>
                <w:rFonts w:ascii="Times New Roman" w:eastAsia="Times New Roman" w:hAnsi="Times New Roman" w:cs="Times New Roman"/>
                <w:lang w:val="pl-PL"/>
              </w:rPr>
            </w:pPr>
          </w:p>
          <w:p w14:paraId="2F8D2B92" w14:textId="5DDA0429" w:rsidR="0059538A" w:rsidRPr="008F328C" w:rsidRDefault="0059538A" w:rsidP="00ED6A7B">
            <w:pPr>
              <w:pStyle w:val="1"/>
              <w:spacing w:before="76"/>
              <w:ind w:left="0" w:right="2736"/>
              <w:rPr>
                <w:rFonts w:cs="Times New Roman"/>
                <w:lang w:val="pl-PL"/>
              </w:rPr>
            </w:pPr>
            <w:r w:rsidRPr="008F328C">
              <w:rPr>
                <w:rFonts w:cs="Times New Roman"/>
                <w:b w:val="0"/>
                <w:bCs w:val="0"/>
                <w:noProof/>
                <w:lang w:eastAsia="ko-KR"/>
              </w:rPr>
              <mc:AlternateContent>
                <mc:Choice Requires="wpg">
                  <w:drawing>
                    <wp:anchor distT="0" distB="0" distL="114300" distR="114300" simplePos="0" relativeHeight="251658381" behindDoc="0" locked="0" layoutInCell="1" allowOverlap="1" wp14:anchorId="60DC4953" wp14:editId="7248616F">
                      <wp:simplePos x="0" y="0"/>
                      <wp:positionH relativeFrom="column">
                        <wp:posOffset>67945</wp:posOffset>
                      </wp:positionH>
                      <wp:positionV relativeFrom="paragraph">
                        <wp:posOffset>193040</wp:posOffset>
                      </wp:positionV>
                      <wp:extent cx="2186608" cy="2724150"/>
                      <wp:effectExtent l="0" t="0" r="4445" b="0"/>
                      <wp:wrapSquare wrapText="bothSides"/>
                      <wp:docPr id="4019" name="그룹 4019"/>
                      <wp:cNvGraphicFramePr/>
                      <a:graphic xmlns:a="http://schemas.openxmlformats.org/drawingml/2006/main">
                        <a:graphicData uri="http://schemas.microsoft.com/office/word/2010/wordprocessingGroup">
                          <wpg:wgp>
                            <wpg:cNvGrpSpPr/>
                            <wpg:grpSpPr>
                              <a:xfrm>
                                <a:off x="0" y="0"/>
                                <a:ext cx="2186608" cy="2712485"/>
                                <a:chOff x="0" y="11665"/>
                                <a:chExt cx="2186608" cy="2712485"/>
                              </a:xfrm>
                            </wpg:grpSpPr>
                            <pic:pic xmlns:pic="http://schemas.openxmlformats.org/drawingml/2006/picture">
                              <pic:nvPicPr>
                                <pic:cNvPr id="4020" name="그림 4020"/>
                                <pic:cNvPicPr>
                                  <a:picLocks noChangeAspect="1"/>
                                </pic:cNvPicPr>
                              </pic:nvPicPr>
                              <pic:blipFill>
                                <a:blip r:embed="rId171" cstate="print">
                                  <a:extLst>
                                    <a:ext uri="{28A0092B-C50C-407E-A947-70E740481C1C}">
                                      <a14:useLocalDpi xmlns:a14="http://schemas.microsoft.com/office/drawing/2010/main" val="0"/>
                                    </a:ext>
                                  </a:extLst>
                                </a:blip>
                                <a:srcRect/>
                                <a:stretch/>
                              </pic:blipFill>
                              <pic:spPr bwMode="auto">
                                <a:xfrm>
                                  <a:off x="0" y="11665"/>
                                  <a:ext cx="2185035" cy="2558579"/>
                                </a:xfrm>
                                <a:prstGeom prst="rect">
                                  <a:avLst/>
                                </a:prstGeom>
                                <a:noFill/>
                                <a:ln>
                                  <a:noFill/>
                                </a:ln>
                              </pic:spPr>
                            </pic:pic>
                            <wps:wsp>
                              <wps:cNvPr id="4021" name="Text Box 4021"/>
                              <wps:cNvSpPr txBox="1"/>
                              <wps:spPr>
                                <a:xfrm>
                                  <a:off x="1466850" y="2578100"/>
                                  <a:ext cx="719758" cy="146050"/>
                                </a:xfrm>
                                <a:prstGeom prst="rect">
                                  <a:avLst/>
                                </a:prstGeom>
                                <a:solidFill>
                                  <a:prstClr val="white"/>
                                </a:solidFill>
                                <a:ln>
                                  <a:noFill/>
                                </a:ln>
                              </wps:spPr>
                              <wps:txbx>
                                <w:txbxContent>
                                  <w:p w14:paraId="3AE5FAA0"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0DC4953" id="그룹 4019" o:spid="_x0000_s1390" style="position:absolute;margin-left:5.35pt;margin-top:15.2pt;width:172.15pt;height:214.5pt;z-index:251658381;mso-position-horizontal-relative:text;mso-position-vertical-relative:text" coordorigin=",116" coordsize="21866,2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e7diQMAABYIAAAOAAAAZHJzL2Uyb0RvYy54bWycVcFu2zgQvS/QfyB0&#10;byS5ke0aUQo3aYIC2dZoUvRMU5RFVCK5JG0p/aD9hd1Dv6j9iT5SUhwnWbTbg+XhcDicefOGc/Kq&#10;a2qy48YKJfMoPUoiwiVThZCbPPp4c/F8HhHrqCxorSTPo1tuo1enz/44afWCT1Sl6oIbAifSLlqd&#10;R5VzehHHllW8ofZIaS6xWSrTUIel2cSFoS28N3U8SZJp3CpTaKMYtxba834zOg3+y5Iz974sLXek&#10;ziPE5sLXhO/af+PTE7rYGKorwYYw6G9E0VAhcemdq3PqKNka8chVI5hRVpXuiKkmVmUpGA85IJs0&#10;eZDNpVFbHXLZLNqNvoMJ0D7A6bfdsne7S6Ov9coAiVZvgEVY+Vy60jT+H1GSLkB2ewcZ7xxhUE7S&#10;+XSaoMgMe5NZOjmeZz2orALy+3NpOp3e7bz5yel4vDw+CEkLtsBvwAHSIxx+zhecclvDo8FJ80s+&#10;Gmo+b/VzlExTJ9aiFu420A/F8UHJ3UqwlekXgHRliCjy6DiZgHOSNiD+t3/+/f73VxJUgNqf8ob9&#10;MerTulLssyVSnVVUbvjSapAXLeXRjA/Nw/LgznUt9IWoa18uLw/ZgegPiPIEQD0JzxXbNly6vqsM&#10;r5GokrYS2kbELHiz5sjIvC1S1Bod7ZCTNkK6vtrWsA+IN7STdYY7Vo1x72PzWVhQjazbP1UBB3Tr&#10;VGibJ6l2jzL36JYlL7KBblk2z2YvA0AjYYCkse6Sq4Z4AREjqnAF3V1ZHx+4NZp4tKTyuIW4a3mg&#10;gKHXBLB91IOIJHyn4LmyI8xYPQL6f3XkdUU1R5Te7QF9AHZPnxuPwGvVeQIFSgymvnOJ67AzUMXr&#10;+2j3kAwNnB5Pp/MMjPStms3maTK8fyO6s/TlLBt6GcYJbHvAxvKMwP0itlbVohhp6c+e1YbsKJ7i&#10;thKOD84PrP6jBvusvOS6dRcaLJ0feydet1bFLaAwCjVHilazC4Ebr6h1K2rwpkOJOeXe41PWqs0j&#10;NUgRqZT58pTe26Ow2I1IixmRR/avLfWPR/1WouRw6UbBjMJ6FOS2OVPIFTVENEHEAePqUSyNaj5h&#10;fC39LdiikuGuPHKjeOb6SYXxx/hyGYz6N+hKXmu8XGlgtkf2pvtEjR7q4lDQd2okFV08oH5v67lu&#10;9RIdeCFCX+xRBNP9AgQPUhg+kA6m2/11sNqP89MfAAAA//8DAFBLAwQKAAAAAAAAACEAXEbL4ilj&#10;AAApYwAAFAAAAGRycy9tZWRpYS9pbWFnZTEucG5niVBORw0KGgoAAAANSUhEUgAAAiAAAAJ9CAIA&#10;AACD+15iAAAAAXNSR0IArs4c6QAAAARnQU1BAACxjwv8YQUAAAAJcEhZcwAAEnQAABJ0Ad5mH3gA&#10;AGK+SURBVHhe7d0HXJRH+gfwVQF36bDSq9LsoKJGjWKLGntiTmN6/eeSmGpMu0u/M6ZdmjGXdqZc&#10;YuKp0VgTjYAFBSsgitK7dFjK0sT/AzMur7uw7C77wrL8vpePN/MuICH6/vaZmXem39WrVyUAAADG&#10;1p//PwAAgFEhYAAAQBQIGAAAEMV1czCB/oN5CwAAwCCpmRmsgQoGAABEgYABAABRIGAAAEAU7c/B&#10;qEbQAAAAdKGZIKhgAABAFAgYAAAQBQIGAABEgYABAABRIGAAAEAUCBgAABAFAgYAAESBgAEAAFEg&#10;YAAAQBQIGAAAEAUCBgAARIGAAQAAUSBgAABAFAgYAAAQBQIGAABEgYABAABRIGAAAEAUCBgAABAF&#10;AgYAAESBgAEAAFEgYAAAQBQIGAAAEAUCBgAARIGAAQAAUSBgAABAFAgYAAAQBQIGAABEgYABAABR&#10;IGAAAEAUCBgAABAFAgYAAESBgAEAAFEgYAAAQBQIGAAAEAUCBgAARIGAAQAAUSBgAABAFAgYAAAQ&#10;BQIGAABEgYABAABRI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AAEAUCBgAA&#10;RIGAAQAAUSBgAABAFAgYAAAQBQIGAABEgYABAABRIGAAAEAUCBgAABAFAgYAAESBgAEAAFEgYAAA&#10;QBQIGAAAEAUCBgAARIGAAQAAUSBgAABAFAgYAAAQBQIGAABEgYABAABRIGAAAEAUCBgA6AE//Oc/&#10;hw5G8g6YKQQMAHS39R9++I9/rn3iySeQMeYNAQMA3YrS5dP1n1GjTlmHjDFvCBgA6D6qdGGQMeYN&#10;AQMA3UQtXRhkjBlDwABAd2g3XRhkjLlCwACA6LSkC4OMMUsIGAAQV6fpwiBjzA8CBgBEpGO6MMgY&#10;M4OAAQCx6JUuDDLGnCBgAEAUBqQLg4wxGwgYADA+g9OFQcaYBwQMABhZF9OFQcaYAQQMABiTUdKF&#10;Qcb0dggYADAaI6YLg4zp1RAwAGAcRk8XBhnTeyFgAMAIREoXhmXM+XPneB96CQQMAHSVqOnCjA0L&#10;Gz5yJO9AL4GAAYAu6YZ0mTzpho3//S/vQO+BgAEAwyFdQAsEDAAYCOkC2iFgAMAQSBfoFAIGAPSG&#10;dAFdIGAAQD9IF9ARAgYA9IB0Ad0hYABAV0gX0AsCBgB0gnQBfSFgAKBzSBcwAAIGADqBdAHDIGAA&#10;QBukCxgMAQMAHUK6QFcgYACgfUgX6CIEDEDvduhgpBiHcSFdoOsQMAC9W2VFudEPfES6gFEgYAB6&#10;PeMeKox0AWNBwACYA2NlDNIFjAgBA2Amup4xSBcwLgQMgPnoSsYgXcDoEDAAZsWwjEG6gBgQMADm&#10;Rt+MQbqASBAwAGZI94xBuoB4EDAA5kmXjEG6gKgQMABmS3vGIF1AbAgYAHPWUcYgXaAbIGAAzJxm&#10;xiBdoHsgYADMnzBjkC7QbRAwAH0Cy5iXVj+HdIFu0+/q1au8KZEE+g9mjdTMDNYAABO3c9u259Y8&#10;zzs9DelialJSUunXy5cL6uvq2JV2DZRK3d09WNvL28taJmNtvWgmCAIGoHcznYBBuvQ4ihPKkqKi&#10;4uqqqstFhfyqQSwtreROTtTw8vKkX/38B8tkMm9vr9YX24eAATA3JhIwZpku7O2/GoPf4IuhVqlM&#10;vZSSk5uTl59fXl7Or4rJxtrGztaWUsfe3sHJ2TkoKJC/gIABMD+mEDDmkS50sz6XkJiTm1taVqrL&#10;zdrd1Y1+pVstG1/qzuDJzc1LvnA+PTOze0JFOycnJ7mz3NXV5f6772FXEDAAZqLHA8YM0qWstCwy&#10;Kio1rZ16RS9sWGmQS8v/PL28tA8oGSAhPiElNbWgoKCmtoZf6phcLrewsHRydLIcyAe7iNVAq0Eu&#10;LblISooLG+obWJtU19RUV1VTg754bevXLy0tbX1FV19t+Jw1EDAAZqJnA8YM0mX37t3nkpJ4x9io&#10;yqESx9XVLTA4yLD6RlVXZWVnNza25YEmezt7FxcXN3d3uXyQnb09v9plLIcuXy6k372isqKmprau&#10;Tslfux4CBsDc9GDA9PZ0oXv3f//733ZHmVRv/3lfgN1nqaHvG3wbaxsPDw9XV5fBg4d0Wtzk5uZl&#10;ZKSnp6Vrn6uXSmVenp4UKu6eXtKBA/lV8eXn5pSWl9dWV9OPQvVzQMAAmJueChgzqF02/bQpOzeH&#10;dyQSShQKgIAhQzy9ffglHdCttqGxsay0rLyivLKysqN395qouBnkMmiglZXftRsvW0ycl5dP927t&#10;xYqbG322m7+fvxErla6gKqfgcuGTf/0r6yJgAMxEjwSMGaRLXGxcZHQU77TesqdMnWaUIoC9u68o&#10;Ly8uLtY9bzpF+Ud1lY+Pj6//4O4sVnQ3Y8pk1kDAAJiJ7g8YM0gXsn79Z6qpcrppT50WwdrGVVdf&#10;fzk/j+qb4pIifYfUGNUgmP/gIfySqULAAJibbg4Y80iX3Ny8H3/6kbXt7ewXLl7C2mJjQ0lU3FRW&#10;VCiqFPyqBvqWHBwd3dzcPDw8TWQQTBcIGABz050BYx7pQg7s33/qzBnWDg8fHxwylLW7WX7rDBCb&#10;wrG1s7W1saGuXjNAJkUzYLDZJQDoxGzShRQXl/CWREJVAm91O8oS+sd/8JCx4eEUcqzLXzMLCBgA&#10;6Jw5pQtpaGhbo9WLxqB6HQQMAHTCzNIFug0CBgC0Mct0sbKy4i0QEwIGALS5/4EHecuMuLgM4q3W&#10;lV28BcaGgAEAbdTO8zcPA6VS3pJIqqs73zgSDIOAAQBthOf5mw3V6Y2k8PJl3gJjQ8AAQCfML2OE&#10;x2Tl5efzFhgbAgYAOmd+GeN77YmTujolpmFEgoABAJ2YWcYEBATwlkRy4UIyb4FRIWAAQFfmlDEj&#10;R4/iLYmkoKCgrr6ed8B4EDAAoAezyRhrmSwwgM/ENDU1nk9MZG0wIgQMAOjHbDJmxvTpvCWRpKal&#10;Vik63N4YDIOAAQC9mUfGOMudhUVMXFwsa4OxIGAAwBDmkTHCIqaw8HJmRjrvgDEgYADAQGaQMVTE&#10;jBszhnckkri4OAyUGRECBgAMZwYZM/umm5ycnFi7qakxOioSK8qMBQEDAF1iBhkz/+b5vCWRKKoU&#10;J2KP8w50DQIGALqKZcz5c+d4v7fx9vaaEdE2GZOTk334UDTvQBfgTH4AgBZbt25LTUvlHYnEx8d3&#10;6rQI3gEd4Ex+AID2LVt2q2qDMoI6pusQMAAA3JJblqom/AnLGMz5GwwBAwDAWctkd911l1rGHPh9&#10;H9YuGwYBAwDQhmWMcKxMUaXYu3cPnsE0AAIGAOA6lDEr71ip2kWGNDU1xsQcjT0Wg+EyvSBgAADa&#10;sWzZrZMnTeKdVmnpaXt27czPzeF96AwCBgCgfVOnTr31llttrG14X9Jy/GVUdNThQ9GYldEFAgYA&#10;oENBQYEPPPiAcEqG5ORk79275/TJkxgx0w4BAwCgDZuSuXnuPEtLK36pdVYm+eKF37b/ipjRAk/y&#10;AwDopFapjDx48FxSEu8L+Pj4Dhs2dJCLG+/3SZpP8iNgAAD0UFZatnPnzstFhbwvYG9n7zd4sL+f&#10;v529Pb/UlyBgAACMICUlNebo0XZjhlDSuLi4uLm7u3t6SQcO5FfNHQIGAMBoqJqJjIoSbpGpSSqV&#10;2dhYuwxypba7eztjaA2NjfR1eKdVY2NDRWUF77RqbGhUVLW/bo3CzNLK0sLC0snRib6+5/XrEboT&#10;AgYAwMhqlcpTJ09eSE4uLy/nl3oOJU1gQODY8HDe70YIGAAAsVAhknQ+KT0tvaOhs27TI2cNIGAA&#10;AERHNU3qpZSiosK8vPyq6uqa2hr+gkFsrG3sbG15R0N9Y0O7ldOcOXO6eVUbAgYAoAekpPB5mqzr&#10;765+1+66KjKZzNvbi3d0RsVTbm7umTNnVMXT0JBh3TxQhoABADBbhw8fjjl2jLXDw8cHhwxl7e6h&#10;GTB4kh8AwEzk5uTylkTi7Nx2qk1PQcAAAPR6ubl5KSmp2dd2epZKZaawrQCGyAAAeiUKleQL5/Py&#10;8jUXrWEVGQAA6I1yJT7+bEZGppbFaZMnT/EfPIR3ugvmYAAAeqVapfLw4cNffvXVjz/9eC4pSfvS&#10;Z3dPvdehiQEVDACASaOSJTY2VsuGNFKpzMXFxcbaJjsnWyqVurq44kl+AADQRvuWmm5u7j4+Ph4e&#10;nmzz5iqFYufOHT0yOMYgYAAAeoG42Li4EyfaHQdjhwIEBYeo7dN8+uRJqnKWr7id97sd5mAAAEwa&#10;Rcv69Z9FRkdppouPj++cOXMWLl4yatRozVMAMrMy/Xx9ecc0oIIBgJ53PPYEb0kknp4evj7evNOX&#10;dFS1sA2Sh48apeVomcyM9JiYo4sWLenBs84wRAYAJoRy5eeff9716zbeF4iYfdPUaREzZ0T0hbDp&#10;KFqkUtnIkSN12fHl9317KIdmzb6J93sCAgYATMUrr76+6fvveKdjlDTzFyxcdsti3jcvXY8Wkp+b&#10;ExUdNT1ieg+eNkYQMABgEnRMF5WAkKH/99dHzSlmjBItDJUv9OvcefNZt6cgYACg52399bcXnnmK&#10;d1pZWFg1X21uvtLUr1+/gVKbfv36K2vbOSF4zISJq1evvmHieN7vhWqVypgjR5IvXjJKtBA2+9Lj&#10;5QtBwABAz5s79+a0i8ms7e0/OrNpdHUTX9E6zLZiQFNmQc6F5uYmeydXSfPVyooi9pLKynvufW71&#10;sw4OPTabbZiUlNSEhIR2n5c0LFqYbVu3uLi4dP/OY5oQMADQw5LOX1gynw/mOMo9Mi3bn5ceaVdS&#10;WRRXVVlCH3P1yhW1mHGSyz/d8HmvKGXYOcrx8QmaJQvpSrQQ9uzLzTfP78HFYyqaAYPnYACgWyVf&#10;TOEticReHspbGs5VDcqRzfcIXHylqZHSxdN3uMy67R5aXlp614rl6zd8wfumJzc378D+/V9+9dVX&#10;33wdc+yYZrrY29mHh4+/ddltBqdLlUJB6RIYEGgK6dIuVDAA0K0oFT56dx1ry4fcmlbb4WnzKqPt&#10;i3LTDgwYYOHlF5qZEsuvtlp4y61vvP6aKQyX1SqVebl5ly8X5ObkFhQWNjY28Bc0+Pj4BgwZ0vUp&#10;k9/37WlsaFy4eAnv9zQMkQFADzMgYIitRbO/RUJeVqKX3+iaquLy0nz+QuvM/wcfvN+dj8tQdaJU&#10;Ktnp+sXFJQ0NDaXl5VoSheloixfDJCYmJCbEm8LcvgoCBgB62Lff//iPV//O2roHDEOlTE7qH3b2&#10;gxzl3tlpp/nV1imZb3/4YcTwYbxvVKw0oTihLKmqqS4vL+cv6Iblir+fvxEHsqoUir179wQGBPbI&#10;rskdQcAAQIeOx55IvnjJzs7Oy9NDvPlz+l3uWrGctf2CZ8crPFlbRz7S+uaS3+uUNT4BEzMvHeFX&#10;jZ0xFCqpl1JSUlMLCgranZzXzsLCUi6XC7c6Nq5dv+2gX01ncIxBwABAO/44cPCD995TLR0mASFD&#10;V69ZM2f2TN43nspKxbhQPrfv5T8qqW4Ma+vO1qLZt/+pgtyLvgGTslKO8qvGyBi24is9Lb2jHfI7&#10;QmWKpZWlyyBXWztbkUJFJfZYTFZ29syZM0zh1H0hBAwAqNN87FElYvZNzz77jNGHnoTPwTR536V6&#10;CEYvo6wTctLP+gVOKMpPVj2VaVjGUL1yLiHxbEJ8p8NfVJo4ONg7OjhaWlq5u7fc37t5CoQ9Vhke&#10;Pt7gtWfiQcAAwHW0pIvKQ4+tevSRh424Umvdux98vWE9a/sGz0tQuLK2vsLsc7NSIv2CphbmnlVl&#10;zJgJE7/+6ksdv9uE+ISkpKTs3Bzeb49cLqfSxFnuLJcP6tkFwSXFhQcPRnp4eJjCY5WaEDAA0Eb4&#10;zCNxdJYvu/32QfJBm3/elJFyiV9tZdwRM+Hv6yT3zLCczdo6CnPILmtwzVZKqR3qUJB96YBv0OSs&#10;S21jZZQx/9v8M+9oKCstS01NTUtL05IrUqnMy9PTzd29p06H1FRXX3/g933UmD13nlHWoRkdAgYA&#10;OLrL33f33eWlpaxL6fLWunXenh6su2vP3q0//1xRxl9ljPjQyV+W334mjj/R4hW0MKnKmbU1jbAr&#10;s+xffbaSH6UVapeWlXJUZm3v7DWNfRZlTNbF/X5BN2SlHGcfQ6jqevH51bzTKiUl9dKli3n5+VrG&#10;wViuBAQGmNr0BhN7LCZ07DjTTBeCgAEATjgRopYujLKu7tuN3/2xeyfvt3KSy//5zrtdL2WEQ3Na&#10;ipjR9kXZl1retvsFTYmvCgi1z8+6dIC9RFTDa6H26dkpR/2CpmVeimYvkQ1ffzN8aEhGRnpuTq72&#10;QTALC0sPD49hw4aaZq70FggYAGghHKSyc3BY+977aumikpKW/vn69WojZkbZblKYcO2uV2bFCu+0&#10;5pDw+UriHzJdVdmMGHg6P+e8b8D4rGuP+tvZO/xl5e0DBnS4goDlio+Pj+mMg/VqmgGDvcgA+qLI&#10;qEO8RW8z+/X713vvUZDw/vWCAob88+21d9z/AO+32vT9d8uXr6CU4n2DrF6zhrckksKc465WjbzT&#10;Si1diFq6kMb6thG8pPqxtnbOhXnn3b2D2ZUqRWV8QgJrC9nb2Q8NGTZnzpzlK26fOi0C6SIeBAxA&#10;X/foE08tv33l2jfe+N/Wdo4uJjKp9C/Lbn33408GB/F7N6Hig2qgrmw3OWf2zIhrR/zWKatd+p9j&#10;baKZLroot5vXWF/Xf4Al70skp44dKy+roIZUKvPx8W3ZXPK25QsXLxkbHo7RsG6AgAHoi4KDg3hL&#10;Itn886YbJo5/a926cwkJ333/A7+qod1S5qN31z340P9VVrZzOJguXnvtVSe5nLXzMhND7VtqFLV0&#10;oYrEP2Qa71DaWds7yflgWm3VdWsQqpv6y/0X5mcl+Qa0baASFxe3aNGSW5fdRsVKcMhQk50hN0sI&#10;GIC+aOL4cNWdPSPlUmT0IW9PjxdfejE9LU1LxrBS5vW333F05p9Log/snz1z5vHYE7yvD18f78ef&#10;eoZ3JJKsSwdCbZPV0qW0/7i6mstefiOpS+ki95papeC5Ul6arzawdqnGznfI2LzMeEc5n1LKTk87&#10;efoMa0M3Q8AA9EUODvb3Pvgw70gkn7z3bkpaOuXHk089GXXggPa0CB01YsOXX0yePoP3u3Y6y333&#10;3KkaKJO7+malxrE28Q0cT+kibz41UOaSVD/WK2ihm/eY3JTdnn6j+UdIJB4Ds3nrmoTakRaWlgMH&#10;2vC+RPLf777lLeheCBiAPmrVY4+MmTCRdySStW+8kZtfIHd2fmvdui8+W9/RnD9DUbTmudUPPvY4&#10;77f66N11Tz+zWt/hstzcvHvuvsvB0cnGzqm0qC0t/IKmpNeFsHSJrwpgFzMvRVPM1DS37c5C5Y6t&#10;RTPvXOPiM6MwP9Xj2mx/+qWLkVFty5eh22CZMkDfRWGwfPkK1VrhwUHB/3x7LYUHVTCUMe9/9CHl&#10;DXupI5RDlEzC5zEDQob+68N/dbQbWFkp/a8sKzOjUlFVXVXF9pS8cqV5/x8HcjLS2McQSpc05WBv&#10;SZwqXUbYlZXlHbJ0m0ftxsJ9qo1hZNb2VwYtKGpom9hnAq9G1Slrqq8Npk2dOevNt95ibRAJnoMB&#10;gOuoPc8/elz4iy+9SBnzv63bziUkvPHG6+y6Fsq6uvXrP4uJiuT9aw9j3jhlUl5uXnlZmUJRyU7l&#10;aneLYkqXyIPRGSltGzlrSZeyRisX5UHheuWOdgEYYl1Tlr7VzmFQVWUJu/LLr9tdXQ3c9Ax0gedg&#10;AOA6VGp8uuFz3pFIEk6d3Lz5f9T4y7Jb6deOFi4LseEy4eoyiqvHHnrwuefWbPt1W2R01KkzZ7Jz&#10;c4ySLnRdl3Qh6bU2g9x8+/Xrx/utUcpb0F0QMAB9V25u3uHDh0tLiu6+/35+SSLZvvmXXXv2UuPJ&#10;p57cs2OH9skYFc3VZX/s3p2UlEQRwvsa6KXoqMPa0yXUPl+YLpdz2zYU0L6DGbF2GK4qX0jSubbn&#10;bKB7IGAA+pyy0rID+/evX//Zjz/9GHPs2LmkJKlMOjmi7VmTbzZ8djz2hNzZ+Z4HH/x8/XplXR1/&#10;QavQUSPeWrdO+DBmTPSh6KhopZJ/ulwud3NzHxoybPLkKVOnRsQeP5F28Tx7ibSTLnZpRblxhqUL&#10;admmrF8/K6uWTZdJ6vW73UA3wBwMQB9Sq1Tu3bM3NS2V968XE3M86Sx/ZES1/eV7738wbPjwhfNv&#10;Ztc7pTkl4+Dk9OgTT82dO4f3W7+N51evSYpvO1SfAiNL6aiWLoqyjCv2NxqWLsxQi+OVZZdVKwIi&#10;j8awBogBczAAfVdCfMK///1FR+liYWE5/+a5Xr7+rFtRVvqv996jtHjggfupoMnNL2DXO8WmZJYu&#10;X8H7Ekllefm6N1/fuJE/jJKZlXXn8uWdpku9srhYNrMr6UIGWrs0NtbzDnQ7VDAAfcLhw4djjh3j&#10;nWvs7ez9Bg+WOzmpzv2lu/8zq1aplh3PWbDo0Ucf2bVn74Xz5yk22EUdsbXOwhXMU2fOun3lHX97&#10;4XnhxY7SJVcyobqp/wjpmbzMRPaRZMAAS/chc3UPmOG25fmpbccNoIIRFSoYgL4oLjZOLV18fHwX&#10;LVqycPGSUaNGC0+V9/fze3L1c7zTMlG/MzL60KyZM84nJOg426/C9jcbPa5tW7DDB/98/OEHdU8X&#10;agvThVy50piXsotSJ8C6ml/SyqJ/20YyQ4JDeAu6CwIGwMylpKRGRkfxTmvVMmfOnKnTIjo6Xn7G&#10;9IhlK+/kHYnk+2++qa2tfeTxVdt//ZVf0hnb34zKIN6/nlq62Fo0U3II06WjDZUpdUrTt+kSM421&#10;bYMxwUOH8hZ0FwQMgDmrVSp///133mlNl9lz53W6U/0DDz4QGj6etang+M9/NlI5UpCXp28RQ2RS&#10;6aOPPqK2qQzRTBdqX2mqbzddKPA2/rRJ9S0xLGaGWhwfbV+ktuUlM8y24nJe2+TNhIk38BZ0F8zB&#10;AJizA/v3nzrDF4ZJpbL5CxfpuF99ZlbW/Xes5B2J5Mk1z9OvyecvUFqwK/oSTsn4BM/PqHVWSxcr&#10;qUN6XUi76bJqFc+nXbv3fPPvz4WDbCru3sH01ST9ZKxbXX6xtLjtmGQKp48+/ph3QByYgwHoW5Iv&#10;tr2Fv2HiRN1PQ/H38/vrU0/zTutAWejoUX/s3llaVsYv6YlNyTg6y2+YOq0s/4hH0xFhulA7oXqY&#10;9nQhCxfM/3HzZvrGhE90MpdzL9EnZl06wP4Rpgt98NPPPss70I1QwQCYrYT4hL2/72NtuVw+dx4/&#10;hF93Tz/1VPxJvnU/W3lcW1NrcBGjsn3Hzp9/+H6gxyK2CpklDV0Pc8jOvNg2XaRlh8papfLgwchf&#10;t/wv/dJFfqkDQ4JDXnn9dcpL3gfRoIIB6ENyctvexQ826OR54Rv/7Zt/uemmm+KOxRgwE6Nm6ZJF&#10;T695/mrpH6o6hi6OsCsTpkto+PgXX36ZdzRYy2RUzXyzcePGnzZRQUNRxF8QoK+w+uW/f7phA9Kl&#10;p6CCATBb3337nWqLyVtvW27YacHr13+2ddOPrP3gY48Pkg/64rP1G778QiblW7AY7NCRo59//LGV&#10;+8JspZTSJS9lF3+hNRvWrltHKcL7uikqKiop4dMzwzs4LwDEgwoGoA9RpYu9nb3BZ9EvX/4X3pJI&#10;tv788w0Tx0+fPXvd2+u6XsdMu3HKU8+tkZTtD3Uo6Hq6EFdXV8oV9g+/BD0KAQNg/iyt1M/j0h3d&#10;tVWPxVSUlVKu3HvP3dNnzlz7xhvvvf+B7lvItIviavbNN2dd3M/7XUgXMEEIGADoxMSJbScrX7zY&#10;Mqk+I2Laxu+/o0rhlRdf7GLGqG1yPHvOXKSL2UDAAEAnRowcwVsSSWlJ2wkrC+ffPH/Jkq+++IL3&#10;DfLiSy8Kt5P5YO0/MrOyeAd6OQQMAHRCWFLEX3tsk/nLslurFIrI6EO8rz+ZVEoZIzxF5plVq5Ax&#10;5gEBA2C2bKxtWKOmppY1DDZv8RLWyEi5dDyWPxnDPLpq1ffffNOVgTLKmGfXrFE9O1lRVvrRv/5V&#10;q1SyLvReCBgAsyV35tva19Upqc5gbcMIN/L64rPrzrgMChiy7Pbb2eEx/JL+vD093lq3jneoTjp5&#10;Yt3atbwDvRYCBsBseft485ZEUlCQz1sGmTE9QrXdPVUYq59+5tCRtg1dFs6/OXTMmHVvr+tixrzw&#10;ymu807q3//r1n/EO9E4IGACzJXx6/1Lr6q+uWN263yVTkJvz2Yf/eu/9D9jWZPTrrNmzhwQEdDFj&#10;bpg4Xrjv8tZNP+7avYd3oBdCwACYLW9vL9U0jKJKkS/YOcYABw8e5K1W8xcvHTly1EP33PPUk08/&#10;9diqd9eu+2P3rvMJ8W+9+VZXMoaKIeH5MR+s/UdkVDTvQG+DgAEwZxPGt52hcvp02zH4+hJuGEOW&#10;rbzzqaefGhI4wcM7oL7+aqXj4mbLYc3NktHhs1OTL7z0wosGb7pM7rv/XuHC5Tf/9tL58xd4B3oV&#10;BAyAORs5epSlpRVrUxGTmJjA2nrRTJdVqx6PPZH+8ftvWsncL16Z4ierKMs7ZOW+4GCGi8vgpfnZ&#10;2Y89/PDps/H8E/TEFi4LM+ZvLzyPhcu9EQIGwJxZy2Q3TuZbEJLEhPiSYr5BmY60pkvLRshDbRV5&#10;KbucvaZlK1u2vzxfKfUcEtFQX//eP/5h8Nplypgnn3pSuHD5mVWrsHBZbJkZ6fr+8dAOAQNg5iZM&#10;nODu2nZG8sGDkbovWd61e48wXULDxz/w4APCdPGV1VXmH/QKWphUxZdEj7ArK8qJDRq9tP+A/n9/&#10;4XmDM0bu7MwOKGNdypiXX3wRGSOqtLS0P/74Y9vWLbHHYihs+NUuwHb9AOavrLTs2++/b2xsYF12&#10;Mn+n+ytHRkW/+beXeOfaNpSJ5wqE6dJYuI9qF2G6lOUdsnSbR9XMwuFlOVnJZcXFa99/39vTg32A&#10;vuITk15/6QXe0TjgEoyO3nxkZmVmZWQoqlrehcjlcpdBru7ubp7ePuwDtNDcrh8BA9AnpKSkbvt1&#10;G+9IJBYWljNnzhjk0lbZqOliuthaNAdKz9jaWS1YuPidt954cs3zMyKmsQ/TV2T0oU/ee5d3JJK/&#10;PvX0iuXLeUdndfX1l/PzKGiLS4oqKxUTJkzwN+gEtr6DfmLZmRmFhYXFxcV1dS2FI70vcXB0tLG2&#10;obyhpp29PftIFQQMQN8VFxsXGd12ZCRlTEf32XbTpaK89oU1awZYynVJF29JnIXFgGpF0cbvv8vN&#10;L/jXe+8FBYfcd/+9hh1T9t33P2zf/AvvSCTvfvTJ+PFtSwA6UlJcWHC5sKK8XHWLVHFzc581+ybe&#10;gc6o4rm8oryyslL1w5RKZTY21tRwdHC0tLRa/dST7DoCBqAvUssYEjAkIHTsOOFwmVHSxdHZc+3a&#10;vz1wz+1Pr3k+dNQIZV3d5s3/izpwYNntty+cfzP7LL289/4HMVGRrO3oLP9w/XrNg5CFZUppKT/a&#10;siMGH/EJhMK7ob6htLy8sb5l3JV+4PTrurf+0foiAgagr6KMORITo5qPIfQ+dOzYsayU0TFdXL0n&#10;xCs82ccI06WlKz3TT9L4znvvOThIv/76a7py7z13t36ghEqZr774wtbObtWqx/UtZSii/vbSyxnX&#10;Do9h35i1TEZ3urKycuFIjo5GjQ4dNWo074AxYIgMACS5uXnbt2+vqa3h/VZyubyuvumjd9t2nBwS&#10;HPLphg3CdKHqxEV50N55MLXZx6ilS6hd2pXGUkoXT0853VsOHzny4bvvbvz+O/bBhHJi3dvrRo4e&#10;/Zdlt/JLOqN8euXFFyvKeGkyadq0sLCwpqZG1tXO3dXNy8tzoFQac+wYu2JvZ7/w2hbRYBQ4kx8A&#10;WraQeeDBB3yvXxdEqfP15xt4RyKxc3C4ef7Nhw8de/6551Tp4i2JU0sX4RMwwnShbr9+/Wqqa65c&#10;aRKuVGYPuPy08T8GbCfj7enxyOOreEciOXboUHZ2Nu9osLG2CQwInDxp0p133PnC88/fe9+9s2+6&#10;aVx4uPCxU+M+8wGaUMEA9F0J8QmHDh+mUkaprNu+ZWt168pUYmtnv/S2ZZJ+Vgf3R1pKW9aMsXQZ&#10;2Lp+jH0MSxfVEzCULg3K4jvuvtfT3Y59QEpq6r8//YQaC2+97cEH7mMXmf9t3XYuIeHFl140YM6f&#10;PpfyiXckkrvuv18m41+ElSmurm6BwUFq5y6XlZadPn0q4VyScGwwYEjAxEltT6FCF2GIDADU/fjj&#10;pvffeadKUcm6LF2srKz27Y20HNh+uqjN87N0mTA5wnWQBfuAoqLiHVu2sDaZs2DR8hV/UZ1PQ777&#10;/oeoAwfYEgB+SWevvfZ6wqmTrO3l5//3v708bPhwKsvYFTUUohR1qWmpvC+AUTLjQsAAwHWSzl+4&#10;7+67y6+tubJzcLj/wYcsLQf88suOAZaDdEoX+/yivLhZ827xcGtZsUrKyyq2/LyJtYUoZnz8fAfJ&#10;B3n7eHt7ehyPPfHFZ+uHjx49Z+48vWKmtKzsuaefUU3GLLzl1o8+/IC1VVjJknzxktpUE0PREhwS&#10;EhwylPfBGBAwANBGLV2c5PJvf/jB28tr2W13XJU4qtLFSuqQUD2MfYxaurRM8ucfEqaL2mhbRwYH&#10;BU+68cYpkyefPnPm4P79dGXmTTdNumGisMrRQu0J/3c+/HjZLYupQbmSdD7pQnJyeXk5e0mNXC4f&#10;NXKULs+lg74QMADAdZoudHGE9MyVpvpcyYTqppYFQe2my2tvfXzbrdNbvoRE8ufBqOdXr64s53v1&#10;29rZjx4bFhN9iHXbNXn6jKW33FJbqzx75vT2zb8sXb5i4cIFusSMcDLGwcl5zQvPK6oUHeWKhYWl&#10;h4dHWNgYzefPwVgQMADQIjsnd9nSpap0If/9ZfOwoSHCdAm1S6tXFuueLmqJxeZyZDJpQ0NjZlbW&#10;pQvJBR2feMYmaaixa9du3WNGOBkzImzM5Mk3sLYQlSyDBw/x9R+MxyrFhoABAEllpeKhh//vTFws&#10;77cOMc2eOV2MdKH2sGHDx4wdd/rkyYTEhMCg4MamK0nnzgk3aWYcneXsOf/SsjKKGV0e+8/NL3ji&#10;/x7mHYlkwdKlntd21ZRKZUHBwf5+/ihZug0CBqCv63q6UFeRsfmpNW8+8Th/RF9LuoSFjRk+YiS7&#10;/vu+PRYWlmwTsFqlcufOnT//8INqrp4ZPS784Uce8fb0SElL/+/331cpFI+uWhUU0OHGlLv27P1m&#10;w2esTb/vQ4/835DAQA93Ny37eIJINAMGD1oC9CEdpcvK2+/WPV2oe/u9q1XpQl9TmC5ElS7+/oNV&#10;6UIGDx5SWHi5rr6e2tYy2Yrly3/cvPmeh/6PvcoknDpJRQnFBoXKG2+8vmjp0rVvvPG/rds6ejCT&#10;ShzV2ZfVVYrkSymjRo1GupgIBAxAX9FRutxx5731TXa6p8uSvzz8jzf4E/XsawrTZcltt7F08fL0&#10;mjzlRnaR8W0dI7mcn8e6hGLm/vvv2/jTpqkzZ/FLragoee/9D0rLymZETHv/ow8zMzL+9tLLwh0B&#10;hKji4S2JZN9vO3CAv+lAwAD0CVrSpa7eRpUuRXmJZf3HCdPF1XuC9nQRfk1KF1dXF2o4OzlHzJjJ&#10;LqpIBw6Uy+WFly/z/jX+fn5vvvXW6pf/rjq/ksRERT739DPxiUlyZ+c1z62mUoYqm8j2FqR5e3rc&#10;cf8DvCOR7Nz5G29BT0PAAJg/XdJlhF0ZpYul27yiBkvq8nTxGsV2TWbd+Uvu1iVdrCytps+azS6q&#10;cRnkWlFZwTvXW7hg/hfffCMsZSrKSl9/6YVde/ZSm0qZT7/86vtvvvnu+x/Yq0L0ubwlkdRUV/MW&#10;9DQEDID5e3b1c8IkeOixVZrpItwU2daimadL66vUHaA4MvHGme+8/VzL52tNFxIWFtbRmmBnubOW&#10;k1pcXV2plPnrU0/zfis2XKasq6NKZcOXX6Snpb322utqUzK1tbW8BaYEAQNg5l559fXoAy2PyjMr&#10;77n30Uce1p4u3pI4YbpQN3TchK+//LDl87Wmi4uLK/3q7efferkdtrY29GuVQttz/iuWL9/406Yh&#10;wSG83zpcxuZgZFLpiy+9OCQgYN3b64QZs2vXbt6ilHJz5y3oaQgYAHNG6bJJcBwLpctzq5+9865O&#10;0kW18xjrDh0+XJUu5LXX3xCmy5wFC1i6hIePd/fwkEplWh5pZOu7VBtrdsTfz+/TDRvmCXaizEi5&#10;9MT/PXw89gRlzL333O3u7vHtRv7vpXag8syZ6nM/0FMQMABmq910ue++BxuurRkzIF3oa+76dRvv&#10;SCSTI6b5+flSqMyZMyc4ZGhtdTU7pL3rrGWyF154QW247J233qA4odrlvvvvTbl0MT4xSS1dlq28&#10;c/hwvm0a9DgEDIB56ihdaupkp8tblgtTuuSl7LJ2n60lXVzdPNTSRfg1KV1GjBhhb2c/f+EiVppU&#10;VFa4DGoZJTOWWTMiXnzlVeHqMoqTv7308p8HI6dNn/HRe+8K04UqnlWrHucdMAEIGAAz1Gm6BFhX&#10;s+PC0mptqauWLmSI9KJUZrnxPy0nhjHtpouPj+/CxUtUY2I1NbWWA/mRkUZRVlZeWlr8n++/Dw0f&#10;zy+1Dpd9s+Gz7776QrgLAH3AE08+yTtgGhAwAOam03TxldXVXj6gOoxSM11C7dL696vduuUnBwe+&#10;kVdHtcv4idftL1lXp5Q7OfGOMbBnMysryj/6+ONlK+9kFzVRuqxdt07tFEvocQgYALPy7fc/CpNg&#10;zISJ//d/D6ulS6Pg4fx206WfpKLTdLGwsIyYPkPfLYrZPjG6o69PMVZW2rL//6pVj7/70SfC1WXM&#10;vMVLkC6mCZtdApiPrb/+9sIzT/FOa7r8618fPPnE011JF0qsf7z6d9YmASFDZ86aQY2hIcPGhvNN&#10;wJj83Jyo6Khbb1uuJXXYx9xxJ9/HTBe/79vjMshV+HudOHEyPSOdtSdOnOjv58faXVRSXNhQ39Du&#10;WWRVCkWVorK0vLxOqWxsaJBKZZYDrahWc3Zx1TdizRh2UwYwW0ZJl/ravN17dqjSRe1rUrpETI8Y&#10;MKA/lS/LV9zOr16jS3hcuph89uxZzc/VQjNgRPJn69NCbLNnQnmTnZVTXFKkejJ0QP8BV5qv9Os/&#10;wNnJsaamtq5OSRfZeTM4fZlgN2UA82RYulAjTcnfVo62Lyq9nPTFVxs6SpcRoWEsXajt5+vLLuqr&#10;vKxM9fV1RPd3Z3nL9yw2Hx+fwsLLaakphw9Fb9u65Y8//sjMyrSysho0yGXAAAv6gEEuLpMnT7nl&#10;1mVz582/ddltVKtR19ra5uTJE7t+20GBxL4OqCBgAHo9tSQYGTaG0uXRR1ep0sXVqpFt/aKWLqpd&#10;k1seiCk49uMvP4249hCJZmItW3YLSxcSEMiLHiGr1vVj2p/SLy4u1msdM7try+WDWFc89G1XV1VT&#10;kMTGHq+sqAgKDp43d56Xp2dBQUEFdQODKE6ouPEfPEQ1JkYN6k6dFrFo0RJLK0sKJKrP2EvAIGAA&#10;ercfN20WJsEgN7dzZ8+sXLFSWWfD0oXixLn5lGrrFxIgaxnBEKZLef6hz7/+Vku6fP3VlyWtM+3E&#10;wsKy3QNXOn1Kn27iiiqFu7seh7WkpaZJpTJRT6XMz82hkmXnzh2paan+fn6UFgsXL7GztT3w559Z&#10;2dlDQ4YtXnrL2PBwLXMt9O1RTePj40ulDDJGCAED0ItRErz20gu8I5E4D3KpVlS5By6tUrTsKEzR&#10;0v5Ei+DEF5YuX/znu0kTw9gHtJsu9A69sbGBXdE+xlVdU8NbGjKzMimc2p1F70hefr5/xzubdRGF&#10;we/79kRFR9XW1oSHj1++4vaJkyZTWsQei4mJOSqXyzuNFiEqZShjzp49q72G61MQMAC9VdL5C6+9&#10;/CLvtOo/YIC9o6NUkt7gNI9SxKv5uNfV49rTJS9llzBd6Guu+8ebrE2c5PLXX3+NEiUvt+2UMC1j&#10;XHRTLi/jhY6mrIwMDw9+Zr4uKADq6pRBwcG8bzz0lbdt3UIFh7W1zfSI6VR/qGbpqZpJS08bNTp0&#10;1uyb9F0hRhljLZPFxBzh/T4PAQPQK1ES3LFiRZ2yZSETsSRWViWFlwdKpQ4OlpZlu2otwwbKHGuq&#10;ylTT+Grp4iuro9rl9bffF6aL8PBjSpdvf/hBNW6mC8oeqjl453r5uTmKKkXAkA5P19d07tw5qgmM&#10;Oz6mihYXF5dFi5ZQJAgrqtMnT+bkZFM1M2rUaH5JT2PHji0tLcWEP4OAAeh9KAluv+22mqoq3pdI&#10;pNY2UyKm+Q4ZkpORXl5ePnpMqCJj89UBbnK3Yd6SOMoSzXRpKtr3/N9fvWvlMvYVtKeLUnDgipY1&#10;XVRtUM1BWcL7AonnEqm+0X18jO71TU1NYWFjeL/LNKNFLbqqFIrkixeodunKmmP6F7S3s09LTeP9&#10;vg0BA9DLUBLcc8edqjs+q12qKivS09KHBAyhjMlOT084Ez9t5oyy/EPN/RwHylxqc7bXVuUZnC6k&#10;qKjtLbmVZcuRl+2iW7abm/vx2Fi1J/YTExPoff2okaN4vzNUAdC9PjAg0CjlS6fRwpw9e4Yi0ODa&#10;RYV+l45O7exrEDAAvQlLl8qKct4n/fpNnDzZ2taOciXuWCxlzIiwsNrqqpNxJ8dNCGcZ4+UfVlVZ&#10;Yt3/Cn24AelCBkpbdlzWxYQJE6nyOHr4kGqum+7viQnxAUMCdC9fjh87TnVA1x+upFrq9317Oo0W&#10;JicnO8QYz0s6OTtXVmKevwUCBqDXoCRY+ZflqnShwkVmbdPY0HD65Kmx4eMoY7x8vCljXF0GhY0f&#10;f13G9Hdx8w51bj41xLq2sWjf408/q0qX7JxcYbqQdudd3N3bJue1rBMjdAefOXMGFVg7d+44fCia&#10;/qH7u4+P78RJ/DHvTtGn1CqVN0y6bhtNfbFoiYqOonan0ULYsJ67pxfrdoWtjU1TUyPv9G0IGIDe&#10;gZKA0qW2pmX9MUPpMmnqFN8hQyhLjkRFhY4JzcvJHeTqEnss1snRQS1jqq+4DZS51OTvmTV3/iMP&#10;38u+Ar3RXr36OWG6vPPhx53O6ldXtX0P7Rrk4rZw8ZLpEdMbWlGD7u/8tc5QuUOVxIQJE9p91EYX&#10;wmhhK8R0H2fTd9lYuxoakS4cAgagF6AkeOD+B4TpEhAS0tTYeLW5OTAokDLGxd0j/kw8ZUxJUTHl&#10;SuT+A3a2NqqMGTUmVFm0v6zRS9Kvn9u1I+s1j9andFl2y2Le6TJPb59Zs2+if3QfGaN0oXJnaMgw&#10;/8F6LDZj6urr2VyLMFp0/62NqKy0TC5vOyGtL0PAAJg6SoI77rgzMzWF9yWSqTOm+/n7UWlCxUpz&#10;a8bIrGVUu7CMsba1o485HBmlypiEM/GBIcG1OVtDx4bPmN4yVKVvugQFBfKWRFJcUsRbRpWZkc4G&#10;0wyYeqFo+W37r2fPnmVzLQZEi529A/1qlOXF5RXl1tY2vNO3IWAATBolwV1333Mx6Rzvt6aLpVXL&#10;rl/067jx46L2H2hsaKCMoSs2trbHDh8ZM24s1TTUFWZMyoULbp5eP/347Q0TxxtWuzhdO0mstLRU&#10;32NdOkXpEhcXR+mi+2AaQ5Gw67cdlEx+vr6Ll97S6VxLR+izpFJZ15cXJyYmFBUVubkZOL5nZhAw&#10;AKaLpcuFhHjeF6QLQ+3pN80+deIUyxiqY+ji0ehoRycnYcYMHTlSWVurqKjIzsk1LF2Il6cnb0kk&#10;KZcu8pYxUP0RE3PUw8ND33Q5ffLkH3/8YWllSVXLxEmTuziD4u/nn5WdbXB2VikUv+/bk5gQf/Vq&#10;s4dH28+qL0PAAJgolgRa0oXp37//xEkTVRkTNKxlij7h1ClhxmRlZNwwdVp1lWLV46ueevoZYbo8&#10;/fyLOs67TLphEm9JJBfOnzduERMwJECvdKHf/c8D+9lzkXpN42sxfFTLYzrxp0+xrl4o6vbu3VNT&#10;U+vg4Ojm5m6U78cMIGAATJFmnTFmwgTNdGH6CTLGx9cnbPx4ukgZ4+Xl5d26U2S/fv2efPLJ4aND&#10;zyfEH4k82PpJLVbec++qxx7hnc44y53dXfnIT1NTo2E34nYFhwzVfREzoXQ58Pu+0tLS6RHTu/5c&#10;pAoVQMOGD09LT8u8dlymLtjKgtS01MCAwBsmTqysrBg2FIePcQgYAFOkli4WFhYXk85TfvC+BmHG&#10;ODs7sYw5dviwoqLCPzCotrr6kYceDLr+NHtKl7fefJ13dDN5yhTekkjoRtzuljBiKykupHShxsyZ&#10;M4y+SIziysfHNy4urtOMoZBj0XKy9SnOm2+ePzY8/PTp03pth2P2EDAAJueVV18XpgslQcTsOUNH&#10;jKD8UHT8iLhaxowMa9nCUlFZcfc9944eN66qsnLHls3sI4kB6UKCggJHjhjBOxLJkaNHu3lXR7qt&#10;Hzp0mBqz584z+EEZ7aZOi/Dw8IiJOXr4ULTmvx19A5Q99NJv239l0aJ6ivP0yZO1SuXkyTfyDwX6&#10;M4kz+QFMCqXLpu+/451rSZCdkztz6tSIWTNPxJ4IHjaU8oO/rOFqc3PssdjQMaGJ8YkjQ0OPHz5E&#10;F+cvuWXPjl/ZBxDD0oWhe+h/vvlPTS1/mN/CwpIqCZHu9WrYyBg1KF2M8kSkFpQiVI7U1SmlUpmN&#10;jTW72NjQqKhqCfiWMsXLmypC1bdBxVxUdNSo0aFGHLLrdTTP5EfAAJiQdtOFtd9465+nT510dRmU&#10;lpbuLJdrz5jjR49Nmnrjl1/8e83zL/66+Rf+QquupAuTm5u3+X//U50/1m0Zs+u3HRRvi5feIna6&#10;qFAFU3C5sLG+bWTS3d3N2cVV7RugDzt4MNKAVXBmBgEDYLq0pAuprFRMnzZt3ITx/fv3T01J7TRj&#10;Ivcf+O8vm5MvXvrHq3/nV1uPp/zf5p95pwviYuMiWx+YVxH7zfvhQ9EFBQXdVi3pjqWLtUzWDXWV&#10;iUPAAJgo7enCbPply6cffThy9Ehqd5oxjQ0NJ47H1SnbznFhhx9rP/BYd5oZ4+bmPmXqNDFuspda&#10;t5AJDx/flZNaxNCVdKHPbbhWG2lWRb0RAgbAFOmSLswjf3085VIye25fe8bk5+Uln0viHWOnC5OS&#10;krpz1y7VWBmxsLAMDAjs+jb7QlUKxd69e/x89diPuXvoni75uTml5eW11dUVlRU1NbV1dfwcUjX2&#10;dvYOjo5ubm6mlqM6QsAAmJz1G7746N11vNNZElRWKj7410e//botdEzYQOlAypiBAwf6+Kqviy0v&#10;rzgTF8c74qQLk5ubt2fvnvJywfk0EolUKhs5cmTX75IULZYDB0ZH/tnY0GhqA1BUVJ05e9bRwT5i&#10;xqx2v7HMjPTCy5cpUUpbN6um6KWfv6ODo6Wllbt7yygfpYnqeUxKIGVdXXp6eqVC0VBfRx88YcIE&#10;A3b87FkIGADTsvXX31545ine0TkJjseeWPvPf5YUFweFBOdkZ9MVVtMw3ZYuTK1SGXnw4LmktmqJ&#10;obsklR3DR4w04LH2uvr684mJqWmpFhYD6urqpkdMN6mHS2KPxaSlpw0YYLHklluF6UKJmJmVWVRI&#10;LlOXKhIXFxc3d3e5fFBHPwQqg9JS0/Ly86msoZ+Yh4eHo6NjSUlxQUFBwJAAUyvatEPAAJgQw9JF&#10;ZdMvW774fEN9XZ3MxkZytWVPZbrYzemikpKSGnP06GXBycoq7D7r4+OjS0jQG/+cnBy6vbIzuwYO&#10;lIYEB48cHcpe7XGUB8ePHadMpRItOTnZytJy4eIlLFeyMjIUVQoWEm5ubr7+g7WUXPQpKZcu0Wex&#10;ldBenp4BgQHC9Qts2snUklU7BAyAqehiuqiwmCkpLLSxsw8MCog9epS/0MHhx6KKi42LO3FC9ZSM&#10;JgobmbW1k6P6vBF9Sm1tDRtNUkO37GW3/WXAgAG833NOnzyZfPEC/StETJ9BFQmFzZ8H/rQaKFUq&#10;a1iuUIh2Oq6Vn5tzITmZShxW4anlitDv+/bQx8yafRPvmzwEDIBJMFa6qFDMrH3jdaXgzt796aKS&#10;EJ+QlJSUbaSNZExh8RhlyaFDh5uamtgSBlZ/pKalUpnl5uYeEBCgy3wJRUviuUQKUYqo4JCQTv+l&#10;qJiLiTl6x513877JQ8AA9DyjpwtJOn9BeLR+D6aLSllpWdL5JHq3rrYEQC8GnBBjdGy0Si6XT558&#10;Y3298sKFlkOdpVKZv59/UHCwLjNMdfX18adPpaWn0RcZNXKUjqNe9FnbtmzuRaNkCBiAHqaWLgEh&#10;Qzdv/sX80kWoVqlMvZSSk5tTUlxSWl4uXNasxsnJSZhG9E5/4eIlvNMT6BZ/IvY4xcnQkGHu7m56&#10;1R8qquonLCxM31Js1287PD29jLvsWzwIGICeREmwZP583jFSEph4urQrNzdPqbzuWRC5s7Oz3Dkl&#10;JXXbr9v4JYlkzpw5PfjcfpVCER0VSekYFBRUVFRI0aJX/cFQunTlOf8/D+y3srLqLTvQaAYMdlMG&#10;6CYsCXjHSEmQnZMrTBdi+ulCvL29goIChf9QutD1kydOsA8gVDT0YLrk5+bs3bunubmZissLF87T&#10;lekR0/U96p8KIKpdKJaoDjPsIR4nR6fajldMmD4EDEB3EKPOqKxUrF79nDBd3vnwY9NPl46UlZap&#10;1gVYWFiy8yV7xOmTJ6Oio2QyWXVNdU1NrQHRwqRcutjU1DRl6jTe73sQMACiEyldDDta32QlnW97&#10;VDMwINCwt/xdRDUHO4nZ0tJKqVSOGh1667LbDJ5jz8/L9fP17ZF/EROBgAEQF9JFRxeSk3lLIgkK&#10;DuatblRSXLh/396i4mJqOzs7L156S18+3MUoEDAAIkK66E61fszejv7XpWV1BsjMSP/zz4PKuroB&#10;/ftPnjxl1uybul55ODo45uXn845BtKy46xUQMABiUUsX8umGz5Eu7UpJSeUticTFxYW3usvpkydj&#10;Yo5evXrVWia7+eb5xtplcviIkXV1ysTEBN7XU35uTkZmpoODI+/3QggYAFFQErz++htqM/A3TBzP&#10;O4Z6dvVzwnT5+5v/MIN0IcratnNrnJxbVpR1D9WkC7W9vLwWLl5ixOKJvlTAkIAL58+XaJztrx1F&#10;y+/79kRFRzU3X0HAAMB1RKozXnn19egD+3mn9diY++65k3d6uSLBLpm2Nja8JTK67x/4fV9J66TL&#10;0JBhYjxuMnHSZAcH+4MHI3WpYyjt6MN2/baDooW6Pj6+FhaWw4YPZ6/2RggYACMTL110PJQMdEFV&#10;At33GxobrjRfCQ8fL97T8nPnzffz9U1MiN+2dUvssRj6fSlI+Gut30ZmRjpdp1zZtmUzlTsOjo5z&#10;5syJmDGroKAgMKDtFIbeCE/yAxgT0sUwCfEJe3/fx9rdsLslFQp0x5fL5aWlpaNGh3bDarEqheJ8&#10;0jl27gu/JEDfiaODo5u7u2r6hyInKzt78dJbetEqZ2wVAyAipIvBhJvEiH3Q1uFD0Tk52SEhw9LS&#10;Uj08PLp/IxaqWnirg9P42T7KkydP6V2HWmKrGACxIF26IkhwImcXl/ZqUVdfv+u3HQUFBXTvLikp&#10;spbJxk+8gb/WjTy9W85eY/9opktJcWFcXJyPj2/vSpd2IWAAjEMtXR56bFXX0+Xb738UpkvE7JvM&#10;KV0oko/Hnli/4YsHH/q/QP/BVVXV7HpdnVL4Ht9Y6Ma9Z9fOhsbGmTNnNDQ0lJaW3jDpBlMbgKJv&#10;km2O2SPJZ3QYIgMwAjHqDDGOjelxSecvJF9MIadOnhDmMZkcETFiBF8xJZfL585r23a661Q3brar&#10;8batW1xcXExtl2K1b5Jf7T0wBwNgfEgXleyc3Pz8grz8AsKunDl9ijWIcI21Jlt7h+Urbx8wgA+r&#10;GHfuva71ZBcqC+jGzQ4QW7TImI+8dF1mRnpcXFzvTReCgAEwsnXvfvD1hvW808fShZUjlCWUIgqF&#10;Qq0i0YuHt8/ggMH+/oNtbKzZFQsLy5kzZ4ixY/+frTlnUmfds9P+fXx8WQTyq70NAgbAmOgN+8yp&#10;U3mnD6SLaoAr5dJF7eWIjiwtrbz9/a0GDvTz86Wuk5OzrZ1t/37sxZZNycR4O//Lz5v8/fxEXaim&#10;uyqFIibmSLetlhYVAgbAmL79/sd/vPp31l54y60fffgBaxvMBNPleOyJk6dOU42ScOa0cOcbfdna&#10;2fsFBDg42FGKWMus+w8YQBfr6pSkvqGhpLikrKSkIDcncOiwaRHTVANlRsyYuvr67MyM5AsXqmuq&#10;BwywWHH7Sv5Cz0lMTDh//jzlaVBQ0Jix4/jVXoj9bB954AHWRcD0GpqHyxrg8uWC+ro63uleftf+&#10;UBmRcElrz1q/4YuP3l3H2v/9ZXMXtxqj+kDtQOWt27f7+njzfjdShYruZYoqP2xt7WQymVQqo4v2&#10;9rbsVd0plXX9+vWXSq14vzVjIqbP6Mp8SX5uTlp6ekFBQVNTI7/ULY9zalFSXHjq1CkqXIaGDKuq&#10;UuTl54n99I9I2AOkWdnZ9LP9asPn7CICpkvKSul/ZbzTSllbK9xMSaW4uKShof0Nt+sbG1T7k4MB&#10;7O3tHewdeEcH1jKZtXXLXa9dzc3NJaVlV5qaWNfKysrFZRBraxF9JGbTd9+y9r8+XT9saAhrq6Eb&#10;rre3F+90QG3rZaNs7K8X+gZOnDx9+FC0AWNfASFD3dxdKVosLS3pV7piQLRoYWFhGRYWpm8e0L0v&#10;Mysz5dKldh+epwi8ddltvNON6M1+/OlTaelpcrl83LhxbJLp0sXks2fP0hWTmhnSgpUsGRnplJH8&#10;kkSCgFEnrA+yBP/WasFwub3wgJ5la2Pr5OTEO13T3HylsKhY+PZWR/n5Bbu3b2ftBUuXenp6sLa+&#10;6G37jm3bqiorWdfOweH+Bx9ysG+5U6t4eXnyVntcXd0oP3lHQ0c1X3ZO7sHI6LNnTh89FN2V4a+O&#10;jAgbQ7/Sd86Cx8bGWjX2ZQC6/4aEDNXl8cPMjPS0tLTCwsu834Hun/agWup4bGxTU9Ow4cPVfmuq&#10;aehXMRY1GBf9bHNyctTKQaZvBYyqzmDJwcZ5W19BYJiDAQMsPD0MvKELGZwuhILhvxs3sraHt8/N&#10;C+YbcAOlL7J9y9bqKgXr2trZL71tmUwmZV0xlJdV5BfkZaRlFIjwPKN2bCRtkMsgWxsbihwDCh2q&#10;PFxcXNzc3OgrqPZZYQ9mXr5cWFxSJHxPrR0VRt222Re95T96+BBlnpub+5Sp03rdUjHKv7TUtI72&#10;UmPMM2DYUUWUIqoIMfH8oL8hqrWYHXEZ5Mpb+nB3N/W3Pyql5eWN9V09rU8ud7rS3FxTU8P7OqtW&#10;VDVduUKNrqQLoTv1lp838Y5EsuKuu/W9Y3Z/uuhFoeBP1zNsTp618/L4hi5JZ8+whmEomD19vN0p&#10;MAzKmy7qnpkP9oyLhYXF2LFje9cGMJTcRHuuqJhDwFCclJeVFVOSFJe03KTEP1LU3s7e0sqSdyQS&#10;a2tKh+vOq7C1s9U8wcJqoJXpV7u9mqWlhUXrSiSD0R/9+obGq83NvN+BjrYtUdbVrX766cprE2kW&#10;lpYz586be5O2MfTyinJhmFVVVX+/caNwZOyOu++mzGPd3uXKFUr6lkPDystbhg1Y/BiQPQEhQ719&#10;fVzkg+wd7Lsynqa76RHTPb19eMfYVIULJVno2HG9onBh8yuFhYXtjoNp0SsDpqy0LDc3Nye3JUWN&#10;MiuuKiCoQHZy5IP4wpBANpi+/gMGDLS04B1D1emQLlq8+sorhw/+ydpDgkPWvPDCS2vWzJo7b9Wq&#10;x9lF7WqVypdffDH+5Anepy/4z7dnTO9k85KS4sKGjis/7XVhcUkRb2morFQYXMZpx4KHlT6lZWUV&#10;ZeVpF5P5a51RhY2Ts4inOtINYf7CRWLc+lWFyw0TJ4qXYcZCb6QuXy7Mz89TXKun9dVrAob+7qVe&#10;SqFQycjIrKnVewBELpfTr44OjpZUegy0krdOBdvZO5jUzhBgsH79+w+0srz2NJ6BGhub2CiZYX7Z&#10;vPnfH3/EOxLJxp9ant1jmREYFNxpxhiWLj2io0hraGykN3+8cz21Qk2FJQ01FIpqalRUVpYUl+hY&#10;5YybNMndzW3QoEFWguEEY3Fzczfu8i1V4WLiD+ezUKH/Xp0uiNCFqQdMSkrqpUsXda9UWC3iMsiV&#10;pQgqjz5ioJVVf9XT3gZRSxftZYGm9MysV154nnckktUv/33hAv78SsrF5Lfffnts+AQtGdOL0qV7&#10;xMcnZGZm0nvnC0lJiWdO86sdoLJm6LChRk+aoSHDjHWoJd212VKxCRMmmNqMS5VCUVpaUnj5ckVl&#10;he6rIXRkigFDf9nOJSSmpaUVFBZ2OqFib2fv4uLi5Oxsa2Nj+iUniEHHqZeGxqbKigpq1Cnpj1jL&#10;3ABlClsOUFFeUXD5ssEjQleuNG/+aZNqWn5E2JjJk/nO6tKB0uSLyV5e3sePHff19597003Ocmcr&#10;S0th9Yx00Y5+Pknnks6dOxd/9ozwp6SJJY2bm5uxpmqM8uhl7LGYtPQ001kqRm+eysrKq6uqi0uK&#10;xBsIZUwoYKi4TjqflJ6W3umKL7lcTjWKu7sbEgX6tw6O8c61FKG/M1WKlnnyitbZctUKsXaVlpXV&#10;6j/oKnT6zNlTx46xtq2d/fI7VrIbHAVPbm6Ok5OTvb09taOjot3cXelGQ132XtvCwtLWxnrnzt3J&#10;5xJbP7sF0kULFjaxsbFnTp1Mv3SRX9UwOWKaj4+fUVagdSVj6FZObyzoe9Z8xqV7sEKczcNRnDQ2&#10;NBo8m2KYng8YlisXkpO1D4KxSkV4QjX0ZWwdV1lFhb2NTX19fV1DvbK2tl7/Vc5dTxfhk5VEtS6Z&#10;EiU/P8/BwYHihL1EV7Zt2VLROgrB5g+okXwhWTjFvWDpUl9fX/okRwdH1OXaZWZlRR6M1FLWeHj7&#10;jA0f1/WCxrCMYY/iW8tkXdzVpq6+vqxYfS1GR2s3VKs2jD7YZZgeCxhKdTYOlt3xg130/o6KFR8f&#10;Hw8PT8zG90Hs/Vd1TQ2V842NDRWVLQNcwr85roNcBkoNf0CkUlGpULS8oaM/acLtI9liEN4RUFt9&#10;Tt9YVlb22jfaNkv+y5133TBhQk1tTct2TBfOu7m62djasklsSpfY2Djt09f0vnvEiBG8I0Dvrhwc&#10;HR2dnDzc3TCnqKmoqCgyKuqPvXvbrWmoppw8baq3t3dXYkavh2OEC5F1/CyWIuyPOlsQoVr+0Kv1&#10;QMCkpKQmJCRkZWd3NL8ibX0ul3IFxUpfQPfiKkWlagESewumy9Cw7hvDUCrQ179y5Qp9vJWVJd2s&#10;B/S3aGhscHBy7sqYOL1JeuKxx1Q3tdDw8R99/HHL9ZqajRv/M3L48IiZs9hL9F77rddf1zKkQzpK&#10;F01siNhZ7uzu6dUrnqLoNvRz3rVz15+/76soa+f9O/2Eg4KCdV8IQDfCfoKFIzrusEnvig4dOtzU&#10;1HTjlClaqk82EVJeVkZvm8SeCOlB3Rcw9Lfx1MmT8fEJHS0yplzx8vQMCAzAezTzoyrzL19umWDT&#10;PUU6QjWHh7s777QaONBKZm0ttRoolUnpVXrTTxfZ9pRdXH/crl82b/75hx9UNzJHZ/kX33zj6urK&#10;0sVFLl++8g72UmRU9CcfvN/uLY+hz12y7LZx48awgXK93rqqho4RNkL0M9/x6zbNoTNdqhmqNalK&#10;Ppd4TllbO3P2LLU9FIaGDBs+alRHP+rExITEhHh6BxAxY5baxwgTxUTGr7pBdwQMvTOlArajkqXl&#10;TuHhMWzYUORKb6eWImJU+vSnxcnRUSqV+vr69O/fn1KkZXTL0dGqg0cs6Y+yLk/m62v9+s+2bvqR&#10;d1q9+9En48eHa6bLxo3ffv/1l6zN/PWpp1csX07vtWtbn3Inw9vbIDk/N6e0vLy2ulr3+xGFjaen&#10;l6+fD/4qMefPXzh48KDafylCMTNr7hxXVxfeF8jKyo45dJgao8eGeXp4dfQ4p4+Pr4+PjzDUVcNi&#10;bHEz/edjRTm9n66sqOjmqXXTIW7ApKSkxhw92tGqMDc394CAAIyD9S7dkCJE+GAsm/lg63r79ZNY&#10;Wer6yEtz89WGxgbBH2fj0EwXVw+PjT/811om+/rLL+zt7Fi6UMm+bu1a1YP9hCqVl199jXKI9/XB&#10;3v8WFhbqcrdib9rc3Nx8/QejrCkqKtq8+X+aMTMibMyYMWGqAqWhofHI4SOF+fl6Tdi0vL9xsKcC&#10;ubq6upn+wF015K2M2licORErYOJi4+JOnGh3NEwqlQUFBwcFh+CPvgHoRtPRA4Dsjq9FR09Tayfe&#10;ZCO947a0smQ7uenyYKxe6XLlypWGRn6UixGpPa4fGj5+0pQpxUXFqSmXxoSFyqRSli6aky70kU8/&#10;+6y/nx/vdwFl/OX8vMLLl4uLizsNG/oh+w0e7O/n38eXyXQUM3MWLPDz82UbjLp5et449UYx9gVQ&#10;03xV0tjQSPVuweWCo1FRdKV7tsDpfsYPGC3RQnVlwJAhfXbZpTAbNDfVUK0vVDGPgVrNFKGLhv0Z&#10;sLK0GKDbXpZiTLqQyKjoN//2Eu+0ZsbadeuocKH2K3//W/yp05/8+98UIZqTLvMWL3niySfZRxqX&#10;7mHDZmv6+Bzn+fMXft70k7CsJG6e3lSUO8rl02fMcHTS48A6Y1EoqsvLy/Ly8pPOnrG1sx89NsxY&#10;D/H0OGMGTEfRQlVkYEAgVS1m+R6KPZBBVAWEsFDoI7N5VJVSgLROkLTkBzsjwLjvJHRMF/qzK8ak&#10;C/Pg/fcL14yp0mXzpp/o15q6ht+2bZ0++6btm39u/RCOTbrwjpiqFIqCgvycnBz6U6elVMVqml27&#10;93zz7887WnZBxYSbu6uLi6ujo2M3VDNCqvUFaReTPbx9pk2f3ttjxjgBk5KS+vvvv2tGC/1RHjly&#10;ZG8fCGaVh9rTGOa6spCNKfNOe9RSRHW+k6h03AxGpEkXRli+qKVLcWnp/fc/IOnf/7lnnrmQmMA+&#10;hnRl0qWL6H1Pp4d29OWkqVUqP/3kk32/7eD9DtBdfnDA4O4Pm4aGxsysLKqGuznhjK6rAZObm/fn&#10;gQOa0/gsWrq+jU83Y89kUC1CYVlbW9NTzzq1e5fXPHWGUY07daR7MkBUuuxleYXSRXCmtdEJ5/Z/&#10;+XW7q2vL+W+qdKH/OCdOnHz+6SfZBxAjTrp0Bf2RzszKzMrI0DKARn9b/f38zXWMQQsqZb787FPV&#10;6TvasWkSH29v0zn8zfQZHjD0FmDvnr2paS1nRwr1rmhhowoiLU6nHwVlAmurxYPaQZPYDkQ7XSqY&#10;+samZhHmXVSE0/tsu7Adv27Lzctj6UIXhQk0JDjk0w0bxJh0MZguSdNnVwScP3+hsKgoMyMjIz1N&#10;bYZGE5sm0bKIGVQMDJjDhw+fOHlK7bmW3hIt7G9aUWFhZWWlwQUKW0erGi8SlhFIC6NT29FSk0hr&#10;xoToHvT4ww+y9rKVd44fG3by9Ol204WY8oaVSJpO0X/r9IyMpHOJx48c0fKErJlNyItB74DJzc3b&#10;s3eP2saUdJ8NDAg01tkJYqi7duRncXGx7qHCShD2NIbmLuvQnaTSgR2NkXVDujAzpvB9pXwGD5k4&#10;cfz9DzzUbrpQ/Oh4hGXPQtLogsIm8VzisaNHtZwU4OHtEzxsqBlMmRidfgFzYP/+U2fUd+sz5QPa&#10;SooLs7NydDzyk/4uOTg62ljbuLu74aQyU2NlZTWgvWmYbksX8s477winhYcEh4wZF15TUy28OHXm&#10;rDffeot3egkkjS5qlcrY2Li42ONalgYEhAwdOWqkXC7v4v7NZkPXgIk6ckSzcKGf47hx40zwRpyZ&#10;kZ6Tk1NQUKB9oRcVXvSv4OTohKNlTF+//v2tLCzUpvqbm6/Wizmxr2b/gT/XvvYK77RHuLqsN6Kk&#10;OZ90TvvaMyRNp0nDhs702ljTXOkaMA8/9ihrMHRr7qkjdLTQMVcoVDy9vLHzeS/Vv39/envYr1//&#10;q1ebG7urdiF0W3n+uee07Lff29NFiEr/tNQ0XVY59+UjmjpNmhFhY4YNHdqX1wIYEjCmc/Yno0uu&#10;0NsudgQAKhUwAN1KXliz5tyZ0yPHjH181ar4hISkxETVcqMhwSF33XufWR5DqUvSkD71po1+JmWt&#10;Rw6XV5Qra2sVVYqGhka6/yTGJxS0d7qVh7fPhBsmtru3ptnTL2CocJkwYYKJvGFhf/SzsrO15Apl&#10;oaubW18u58Eonli1iqXLO++9J6xRzp+/YG1j3eMPu3QD9tdNl93PKGzYieZm8AAW/VvrdeSwQlGd&#10;k5MVE32I9wVsjXHuWa+jR8DQnxvNQw66H1sPdunixY7+S7OZFSpWsJUsGMWHH37425b/DRs1+v0P&#10;PzSPEbCuYCsC8vNydXlujP4ysuOfrW1t5U5OprkIk6WIAUfedYS+Fv1wog8e1HyEs6/FjK4B88m/&#10;/93jMy70J/vs2TNahsKw/z8Y3SeffPrrL5vsHZ0+3rChL1QqumP7bObk5Oi19J+w1f+UPewZMtVB&#10;1MZdukm3iyoFv78L95ZVbRVolH06WIKyx6jZv4iwbouMiv7vd99qnmTad2JG14CJPBrDGj0iPzcn&#10;8VxiR++YqF4ZPHgI6hUwOqSLjuhuXlCQr+9zZp2yb92Km3e06p5dndQKMh3HAM+3t4Uz6QsxY+oB&#10;c+li8rlz59r9o0Pvg/z75AZK0D3++GP/22+8Zufg8MnnLZvw86vQGVbZUMWg7/HPJoVlm/Ah6y6u&#10;D+ooZsx7CYCJBgybaOkoWjAUBmKj2wHbGOazr75p90hj0J3w/OAe3ENWjbx1tyfiMqhl31LVSJ2o&#10;C021xIwZbM6vyRQD5vTJk6lpqZoTLVSfmvG5MmBSVj3+eNLZM6a8pZgZYGcpCSdIWAKxtor2+fZ2&#10;h9FUEzwMK0FY2xQeVOgoZkaEjQkPH2dOj2eaVsB0NCDGttHELAt0D3b0C9IFREUx8+UX/9bc4mzO&#10;ggVmMzFjKgGTmZF++vRpzWihtyfBISG97lwZ6L1qlco7ly9/8K+PLlwwn18CEE27K808vH2m3Hij&#10;GWwB0PMBU1JceOrUKc0VYnK5fNTIUXjwHrrZxo3f1tTU9IrtkME80HuanTt3/vzDD2pHA4ybNGnk&#10;iBG9esRMM2C6ry6rq6+PPRbzxx9/qKWLVCqbHjF97rz5SBfoZplZWUgX6GbWMtmK5cu/+OabeYuX&#10;8EutTh07tvWXzfn5BbxvFrqpgsnMSI+Li1Obu2NzLRgQg55y4sTJHjlCH4A5f/7CB++9qzZi1nsn&#10;/3tgiKxKoYiJOaJWtbAVYqZ8ZBkAQDdgI2aq87kZWzv7iFkzPT09eL+X6O4hssTEhL1796ili4+P&#10;7+KltyBdAADYiNnGnzaFho/nlySS6irF7u3bT585e+VKM78kgqKiYt4SjVgBU1df//u+PYkJ8cJh&#10;MXs7++kR06dOi8D6YwAAFX8/v48+/vivTz3N+61OHTu2+adN5WUVvG9USmXdn7//ERNzXNQMEyVg&#10;MjPSf9v+q1rhMjRk2MLFSzCTDwDQrnZLmS0/b7qUksr7xiOTSZfetiwrLS06KprChl81NuMHTOyx&#10;mJiYo2qFy5w5czAmBgCgXbulTPT+/Qf/jGxo6HCDA8NQxiy/YyU1tm/ZKlLGGDNgqhSKXb/tSEtP&#10;4/1WrHDBccUAADpipcyQ4BDel0jSLiZv/WWz0YfLBgzoHzE9ImTkCMoYMaZkjBYw+bk5e/fuER4L&#10;JpXKULgAABiASplPN2wQPisj0nAZZczYMWGjx4bt2LLF6BljnIBJTEyIio4SDov5+PjOX7gIhQsA&#10;gGGsZbIXXnjh1X++7ejMt4Im0fv3izEzP2LEiIibbqKMMe6TnkYImMOHohMT4nmnVXj4eCwVAwDo&#10;uhnTIz5cv144XJZ09sze3XuMPmsSHBS45Lbbdm/fnpSUxC91WZcChq1FzsnJ5v1rw2J4OB8AwFg0&#10;h8sKcnO2b9lq9CkZV1cXypiY6EPGyhjDA4bS5cDv+4Rrke3t7DEsBgBgdGy4TLi6jE3JGH3WxLgZ&#10;Y2DAlBQXUroIp/R9fHwXLl6CYTEAAJGsWL783Y8+EU7J7NiyxYgjWowRM8aQgKF0OXgwUpguQ0OG&#10;TZ2Gw5oAAMQ1fnz4h+vXCzOGksDom8oYK2P0DhiWLsIFY+Hh47EWGQCge/j7+f24ebPwgf9Tx45F&#10;R0WLlDFdWRitX8C0my6Y0gcA6E7WMtnadeuE0/5pF5NFypjo/fsNnunRI2DU0sXCwhILxgAAegSb&#10;9l+28k7eb80Yoy9fpoxZsHSpwc9g6howmukyc+YMLBgDAOhBq1Y9LlxaxpYvGzdjPD09JkdMo4xR&#10;KKr5JZ3pFDB19fWHDh1GugAAmJoVy5e/+s+3ead1+bLRM2bEiBGUMbt37ND3y3YeMOx5l7o6Je9L&#10;JEgXAADTMWN6RDdkjJunJ31ZvaZ5Og+Y6Mg/hSuSw8PHI10AAExKN2RMxPQIyhi9lhJ0EjCHD0UL&#10;n9XHmjEAANPEMkb1iIzRM2bAgP6TJk8qzM9PTr7AL3VGW8AkJiYI9xkbNToU6QIAYLLYzpjiZYxM&#10;Jp23YEFM9CEdN13uMGAyM9KFeyT7+PiOGjWadwAAwCT5+/n98513eedaxhjxNEwnZ8c5Cxbs3r5d&#10;l0Vl7QdMSXFhXFwc77TuYomdYAAAeoXhw4epzcccOXzEiM9g+vn5jps0afeOHZ1+zfYD5vix46pF&#10;yVKpbPbceawNAACmT23O3+jP+YeOHm3n4BAb21aHtKv9gFEtG7OwsJw2bSr2SAYA6F00M6bTPNDd&#10;gAH9Z900O+nsmaystnl6Tdom+UlYWBgWJQMA9EZqGUN5YMS9/WUy6YKlS//YvVvLZIy2gAkYEoBl&#10;YwAAvRdljHC/spjoQ9prDr14enqMCBtzKCqqo8G3DgPG3s5+4qTJvAMAAL3TqlWPCzOGag4jnoM5&#10;ceKEqsrKjp6MaT9gLCwsI6bP4B0AAOjNKGOE58fs2LLFWA/HDBjQnz0ZU15WwS8JtB8wYWFhdvb2&#10;vAMAAL3c2nXrhBljxIdjnJwdx02atG/3bt4XaD9gMPUCAGBOrGWyp599VviQvxEfjgkd3f5j+Nom&#10;+QEAwGyoPeSfdjFZ913FtGMDZbwjgIABAOgr1B7y131XsU45OTvylgACBgCgD1FbuLx7+3bj7uov&#10;hIABAOhb1BaVbdfzGDHdIWAAAPqcl//2N+GEvxF3kRFCwAAA9Dmurq7CCf+ks2eMNRkjhIABAOiL&#10;hg8f9tennuYdcSZjEDAAAH3UiuXLp86cxTsSyZ/7Dxh3MgYBAwDQd6164gnVZExBbk5aejprGwUC&#10;BgCg73J1dX351dd4RyKJ3r+/3V3FDIOAAQDo08aPD7/nof/jHYlk3+7dxhooQ8AAAPR1K25fMSQ4&#10;hLWrqxTxCQms3UUIGACAvs5aJlu95nnekUhOHTtmlIEyBAwAALSsWjb6QBkCBgAAWqgNlHV9r2UE&#10;DAAAtFAbKIuJPqRQVPOOQRAwAADAqQ2UHYqK4i2DIGAAAKCNcKCsIDcnKyubtQ2AgAEAgDbWMtlf&#10;H3ucdySSP3bvNvj0fgQMAABcZ/z4cOEeZSdPnuItPSFgAABAnXCPsqSzZwyb7UfAAACAOldX19vv&#10;vpt3DJ3tR8AAAEA7Fi1aJJztN+BEMgQMAAC0Q222P/rPg/o+24+AAQCA9gln+6urFPqeFoOAAQCA&#10;Dt2+8g7eaj0tRq8lywgYAADo0PDhw5atvJN3JJKUlEu8pQMEDAAAaLN8+V94q3WDMt2LGAQMAABo&#10;4+rqKtygTPfnLhEwAADQiRW3rzDguUsEDAAAdMJaJhM+d3nu3Dne0goBAwAAnVu0aJG+RQwCBgAA&#10;OmdAEYOAAQAAnehbxCBgAABAJ2pFTE5OFm91AAEDAAC6EhYxnT4Tg4ABAABdqRUx2h/sR8AAAIAe&#10;ZkyfzlutRYyWLZYRMAAAoAdXV1fh7mS5ubm8pQEBAwAA+rlud7JDhzsqYhAwAACgHypi5i1ewtrV&#10;VYrS0lLWVoOAAQAAvS1atJi3JJK447G8dT0EDAAA6G348GHCE/vbfegSAQMAAIa46977eKuDhy4R&#10;MAAAYIiJEycIH7pkDSEEDAAAGMJaJlt86zLeaQ8CBgAADLRgwXzeag8CBgAADOTq6jp15ize0YCA&#10;AQAAw82YNZu3NCBgAADAcDOmR6im+tUgYAAAoEtmzZ3HW9dDwAAAQJcsXLSQt66HgAEAgC7x9/NT&#10;PdUvhIABAICuuuW2tv2VVRAwAADQVRPGh/OWAAIGAAC6ytXVlbcEEDAAACAKBAwAAIgCAQMAAKJA&#10;wAAAgCgQMAAAIAoEDAAAiAIBAwAAokDAAACAKBAwAAAgCgQMAACIAgEDAACiQMAAAIAoEDAAACAK&#10;BAwAAIgCAQMAAKJAwAAAgCgQMAAAIAoEDAAAiAIBAwAAokDAAACAKBAwAAAgCgQMAACIAgEDAACi&#10;QMAAAIAoEDAAACAKBAwAAIgCAQMAAKJAwAAAgCgQMAAAIAoEDAAAiAIBAwAAokDAAACAKBAwAAAg&#10;CgQMAACIAgEDAACiQMAAAIAoEDAAACAKBAwAAIgCAQMAAKJAwAAAgCgQMAAAIAoEDAAAiAIBAwAA&#10;okDAAACAKBAwAAAgCgQMAACIAgEDAACiQMAAAIAoEDAAACAKBAwAAIgCAQMAAKJAwAAAgCgQMAAA&#10;IAoEDAAAiAIBAwAAokDAAACAKBAwAAAgCgQMAACIAgEDAACiQMAAAIAoEDAAACAKBAwAAIgCAQMA&#10;AKJAwAAAgCgQMAAAIAoEDAAAiAIBAwAAokDAAACAKBAwAAAgin5Xr17lTYkk0H8wbwEAABgkNTOD&#10;NVDBAACAKBAwAAAgiuuGyAAAAIwFFQwAAIhAIvl/Nk8ZZ3Vqhr8AAAAASUVORK5CYIJQSwMEFAAG&#10;AAgAAAAhAJ6RF7jgAAAACQEAAA8AAABkcnMvZG93bnJldi54bWxMj09Pg0AUxO8mfofNM/FmdxHw&#10;D7I0TaOemia2JsbbK7wCKbtL2C3Qb+/zpMfJTGZ+ky9n04mRBt86qyFaKBBkS1e1ttbwuX+7ewLh&#10;A9oKO2dJw4U8LIvrqxyzyk32g8ZdqAWXWJ+hhiaEPpPSlw0Z9AvXk2Xv6AaDgeVQy2rAictNJ++V&#10;epAGW8sLDfa0bqg87c5Gw/uE0yqOXsfN6bi+fO/T7dcmIq1vb+bVC4hAc/gLwy8+o0PBTAd3tpUX&#10;HWv1yEkNsUpAsB+nKX87aEjS5wRkkcv/D4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At7t2JAwAAFggAAA4AAAAAAAAAAAAAAAAAOgIAAGRycy9lMm9Eb2Mu&#10;eG1sUEsBAi0ACgAAAAAAAAAhAFxGy+IpYwAAKWMAABQAAAAAAAAAAAAAAAAA7wUAAGRycy9tZWRp&#10;YS9pbWFnZTEucG5nUEsBAi0AFAAGAAgAAAAhAJ6RF7jgAAAACQEAAA8AAAAAAAAAAAAAAAAASmkA&#10;AGRycy9kb3ducmV2LnhtbFBLAQItABQABgAIAAAAIQCqJg6+vAAAACEBAAAZAAAAAAAAAAAAAAAA&#10;AFdqAABkcnMvX3JlbHMvZTJvRG9jLnhtbC5yZWxzUEsFBgAAAAAGAAYAfAEAAEprAAAAAA==&#10;">
                      <v:shape id="그림 4020" o:spid="_x0000_s1391" type="#_x0000_t75" style="position:absolute;top:116;width:21850;height:2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RJwgAAAN0AAAAPAAAAZHJzL2Rvd25yZXYueG1sRE89b8Iw&#10;EN0r8R+sQ2IrNqhUJWAQRCpi6FLKwHiKjzgQn0NsQvj39VCp49P7Xq57V4uO2lB51jAZKxDEhTcV&#10;lxqOP5+vHyBCRDZYeyYNTwqwXg1elpgZ/+Bv6g6xFCmEQ4YabIxNJmUoLDkMY98QJ+7sW4cxwbaU&#10;psVHCne1nCr1Lh1WnBosNpRbKq6Hu9OwNTO3tbsuv5/mqrzc5s+vs821Hg37zQJEpD7+i//ce6Ph&#10;TU3T/vQmPQG5+gUAAP//AwBQSwECLQAUAAYACAAAACEA2+H2y+4AAACFAQAAEwAAAAAAAAAAAAAA&#10;AAAAAAAAW0NvbnRlbnRfVHlwZXNdLnhtbFBLAQItABQABgAIAAAAIQBa9CxbvwAAABUBAAALAAAA&#10;AAAAAAAAAAAAAB8BAABfcmVscy8ucmVsc1BLAQItABQABgAIAAAAIQAJKURJwgAAAN0AAAAPAAAA&#10;AAAAAAAAAAAAAAcCAABkcnMvZG93bnJldi54bWxQSwUGAAAAAAMAAwC3AAAA9gIAAAAA&#10;">
                        <v:imagedata r:id="rId172" o:title=""/>
                      </v:shape>
                      <v:shape id="Text Box 4021" o:spid="_x0000_s1392"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DUjxwAAAN0AAAAPAAAAZHJzL2Rvd25yZXYueG1sRI9BawIx&#10;FITvQv9DeIVeRLPaRcpqFJEWbC/SrRdvj81zs3bzsiRZXf99Uyj0OMzMN8xqM9hWXMmHxrGC2TQD&#10;QVw53XCt4Pj1NnkBESKyxtYxKbhTgM36YbTCQrsbf9K1jLVIEA4FKjAxdoWUoTJkMUxdR5y8s/MW&#10;Y5K+ltrjLcFtK+dZtpAWG04LBjvaGaq+y94qOOSngxn359ePbf7s34/9bnGpS6WeHoftEkSkIf6H&#10;/9p7rSDP5jP4fZOegFz/AAAA//8DAFBLAQItABQABgAIAAAAIQDb4fbL7gAAAIUBAAATAAAAAAAA&#10;AAAAAAAAAAAAAABbQ29udGVudF9UeXBlc10ueG1sUEsBAi0AFAAGAAgAAAAhAFr0LFu/AAAAFQEA&#10;AAsAAAAAAAAAAAAAAAAAHwEAAF9yZWxzLy5yZWxzUEsBAi0AFAAGAAgAAAAhAFQ0NSPHAAAA3QAA&#10;AA8AAAAAAAAAAAAAAAAABwIAAGRycy9kb3ducmV2LnhtbFBLBQYAAAAAAwADALcAAAD7AgAAAAA=&#10;" stroked="f">
                        <v:textbox style="mso-fit-shape-to-text:t" inset="0,0,0,0">
                          <w:txbxContent>
                            <w:p w14:paraId="3AE5FAA0"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J</w:t>
                              </w:r>
                            </w:p>
                          </w:txbxContent>
                        </v:textbox>
                      </v:shape>
                      <w10:wrap type="square"/>
                    </v:group>
                  </w:pict>
                </mc:Fallback>
              </mc:AlternateContent>
            </w:r>
          </w:p>
          <w:p w14:paraId="55CD4546" w14:textId="77777777" w:rsidR="0059538A" w:rsidRPr="008F328C" w:rsidRDefault="0059538A" w:rsidP="008F328C">
            <w:pPr>
              <w:pStyle w:val="a3"/>
              <w:numPr>
                <w:ilvl w:val="0"/>
                <w:numId w:val="141"/>
              </w:numPr>
              <w:rPr>
                <w:lang w:val="pl-PL"/>
              </w:rPr>
            </w:pPr>
            <w:r w:rsidRPr="008F328C">
              <w:rPr>
                <w:rFonts w:eastAsia="Times New Roman"/>
                <w:b/>
                <w:bCs/>
                <w:lang w:val="pl-PL"/>
              </w:rPr>
              <w:t>Wykonać wstrzyknięcie</w:t>
            </w:r>
          </w:p>
          <w:p w14:paraId="3EE761FA" w14:textId="77777777" w:rsidR="0059538A" w:rsidRPr="008F328C" w:rsidRDefault="0059538A" w:rsidP="00ED6A7B">
            <w:pPr>
              <w:pStyle w:val="a3"/>
              <w:rPr>
                <w:lang w:val="pl-PL"/>
              </w:rPr>
            </w:pPr>
          </w:p>
          <w:p w14:paraId="4DA67B9A" w14:textId="77777777" w:rsidR="0059538A" w:rsidRPr="008F328C" w:rsidRDefault="0059538A" w:rsidP="00ED6A7B">
            <w:pPr>
              <w:pStyle w:val="a3"/>
              <w:ind w:left="4117" w:hanging="180"/>
              <w:rPr>
                <w:lang w:val="pl-PL"/>
              </w:rPr>
            </w:pPr>
            <w:r w:rsidRPr="008F328C">
              <w:rPr>
                <w:rFonts w:eastAsia="Times New Roman"/>
                <w:b/>
                <w:bCs/>
                <w:lang w:val="pl-PL"/>
              </w:rPr>
              <w:t>a.</w:t>
            </w:r>
            <w:r w:rsidRPr="008F328C">
              <w:rPr>
                <w:rFonts w:eastAsia="Times New Roman"/>
                <w:lang w:val="pl-PL"/>
              </w:rPr>
              <w:t xml:space="preserve"> Po wprowadzeniu igły należy puścić ściśniętą skórę.</w:t>
            </w:r>
          </w:p>
          <w:p w14:paraId="06E09D3D" w14:textId="77777777" w:rsidR="0059538A" w:rsidRPr="008F328C" w:rsidRDefault="0059538A" w:rsidP="00ED6A7B">
            <w:pPr>
              <w:pStyle w:val="a3"/>
              <w:ind w:left="4117" w:hanging="180"/>
              <w:rPr>
                <w:lang w:val="pl-PL"/>
              </w:rPr>
            </w:pPr>
            <w:r w:rsidRPr="008F328C">
              <w:rPr>
                <w:rFonts w:eastAsia="Times New Roman"/>
                <w:b/>
                <w:bCs/>
                <w:lang w:val="pl-PL"/>
              </w:rPr>
              <w:t>b.</w:t>
            </w:r>
            <w:r w:rsidRPr="008F328C">
              <w:rPr>
                <w:rFonts w:eastAsia="Times New Roman"/>
                <w:lang w:val="pl-PL"/>
              </w:rPr>
              <w:t xml:space="preserve"> Powoli naciskać tłok ampułko-strzykawki do chwili wstrzyknięcia całego roztworu i opróżnienia ampułko-strzykawki.</w:t>
            </w:r>
          </w:p>
          <w:p w14:paraId="71FCDBEA" w14:textId="77777777" w:rsidR="0059538A" w:rsidRPr="008F328C" w:rsidRDefault="0059538A" w:rsidP="00ED6A7B">
            <w:pPr>
              <w:pStyle w:val="a3"/>
              <w:rPr>
                <w:lang w:val="pl-PL"/>
              </w:rPr>
            </w:pPr>
          </w:p>
          <w:p w14:paraId="0C8D870A" w14:textId="77777777" w:rsidR="0059538A" w:rsidRPr="008F328C" w:rsidRDefault="0059538A" w:rsidP="00ED6A7B">
            <w:pPr>
              <w:pStyle w:val="a3"/>
              <w:rPr>
                <w:lang w:val="pl-PL"/>
              </w:rPr>
            </w:pPr>
          </w:p>
          <w:p w14:paraId="2C8234D2" w14:textId="77777777" w:rsidR="0059538A" w:rsidRPr="008F328C" w:rsidRDefault="0059538A" w:rsidP="00ED6A7B">
            <w:pPr>
              <w:pStyle w:val="a3"/>
              <w:numPr>
                <w:ilvl w:val="0"/>
                <w:numId w:val="19"/>
              </w:numPr>
              <w:ind w:left="4300"/>
              <w:rPr>
                <w:lang w:val="pl-PL"/>
              </w:rPr>
            </w:pPr>
            <w:r w:rsidRPr="008F328C">
              <w:rPr>
                <w:rFonts w:eastAsia="Times New Roman"/>
                <w:b/>
                <w:bCs/>
                <w:lang w:val="pl-PL"/>
              </w:rPr>
              <w:t xml:space="preserve">Nie </w:t>
            </w:r>
            <w:r w:rsidRPr="008F328C">
              <w:rPr>
                <w:rFonts w:eastAsia="Times New Roman"/>
                <w:lang w:val="pl-PL"/>
              </w:rPr>
              <w:t xml:space="preserve"> zmieniać pozycji ampułko-strzykawki po rozpoczęcia wstrzyknięcia.</w:t>
            </w:r>
          </w:p>
          <w:p w14:paraId="1A3119E2" w14:textId="77777777" w:rsidR="0059538A" w:rsidRPr="008F328C" w:rsidRDefault="0059538A" w:rsidP="00ED6A7B">
            <w:pPr>
              <w:pStyle w:val="a3"/>
              <w:rPr>
                <w:lang w:val="pl-PL" w:eastAsia="ko-KR"/>
              </w:rPr>
            </w:pPr>
            <w:r w:rsidRPr="008F328C">
              <w:rPr>
                <w:color w:val="211D1E"/>
                <w:sz w:val="20"/>
                <w:szCs w:val="20"/>
                <w:lang w:val="pl-PL"/>
              </w:rPr>
              <w:t xml:space="preserve"> </w:t>
            </w:r>
          </w:p>
        </w:tc>
      </w:tr>
      <w:tr w:rsidR="0059538A" w:rsidRPr="00A5286D" w14:paraId="54F88581" w14:textId="77777777" w:rsidTr="00ED6A7B">
        <w:trPr>
          <w:trHeight w:val="5374"/>
        </w:trPr>
        <w:tc>
          <w:tcPr>
            <w:tcW w:w="9209" w:type="dxa"/>
          </w:tcPr>
          <w:p w14:paraId="5D5B7901" w14:textId="77777777" w:rsidR="0059538A" w:rsidRPr="008F328C" w:rsidRDefault="0059538A" w:rsidP="00ED6A7B">
            <w:pPr>
              <w:ind w:left="104"/>
              <w:rPr>
                <w:rFonts w:ascii="Times New Roman" w:eastAsia="Times New Roman" w:hAnsi="Times New Roman" w:cs="Times New Roman"/>
                <w:b/>
                <w:bCs/>
                <w:spacing w:val="-1"/>
                <w:lang w:val="pl-PL"/>
              </w:rPr>
            </w:pPr>
          </w:p>
          <w:p w14:paraId="193DF5CE" w14:textId="3196D046" w:rsidR="0059538A" w:rsidRPr="008F328C" w:rsidRDefault="0059538A" w:rsidP="00ED6A7B">
            <w:pPr>
              <w:pStyle w:val="a3"/>
              <w:rPr>
                <w:lang w:val="pl-PL"/>
              </w:rPr>
            </w:pPr>
            <w:r w:rsidRPr="008F328C">
              <w:rPr>
                <w:noProof/>
                <w:lang w:eastAsia="ko-KR"/>
              </w:rPr>
              <w:drawing>
                <wp:anchor distT="0" distB="0" distL="114300" distR="114300" simplePos="0" relativeHeight="251658384" behindDoc="0" locked="0" layoutInCell="1" allowOverlap="1" wp14:anchorId="5C20C047" wp14:editId="6C076206">
                  <wp:simplePos x="0" y="0"/>
                  <wp:positionH relativeFrom="column">
                    <wp:posOffset>70485</wp:posOffset>
                  </wp:positionH>
                  <wp:positionV relativeFrom="paragraph">
                    <wp:posOffset>66675</wp:posOffset>
                  </wp:positionV>
                  <wp:extent cx="2159635" cy="2659380"/>
                  <wp:effectExtent l="19050" t="19050" r="12065" b="26670"/>
                  <wp:wrapSquare wrapText="bothSides"/>
                  <wp:docPr id="4143" name="그림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그림 4143"/>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59635" cy="2659380"/>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90B9C86" w14:textId="77777777" w:rsidR="0059538A" w:rsidRPr="008F328C" w:rsidRDefault="0059538A" w:rsidP="008F328C">
            <w:pPr>
              <w:pStyle w:val="a3"/>
              <w:numPr>
                <w:ilvl w:val="0"/>
                <w:numId w:val="141"/>
              </w:numPr>
              <w:rPr>
                <w:b/>
                <w:lang w:val="pl-PL"/>
              </w:rPr>
            </w:pPr>
            <w:r w:rsidRPr="008F328C">
              <w:rPr>
                <w:rFonts w:eastAsia="Times New Roman"/>
                <w:b/>
                <w:bCs/>
                <w:lang w:val="pl-PL"/>
              </w:rPr>
              <w:t xml:space="preserve">Wyjąć ampułko-strzykawkę z </w:t>
            </w:r>
            <w:r w:rsidRPr="008F328C">
              <w:rPr>
                <w:rFonts w:eastAsia="Times New Roman"/>
                <w:lang w:val="pl-PL"/>
              </w:rPr>
              <w:t xml:space="preserve">miejsca </w:t>
            </w:r>
            <w:r w:rsidRPr="008F328C">
              <w:rPr>
                <w:rFonts w:eastAsia="Times New Roman"/>
                <w:b/>
                <w:bCs/>
                <w:lang w:val="pl-PL"/>
              </w:rPr>
              <w:t>wstrzyknięcie i zaopatrzyć miejsce wstrzyknięcia</w:t>
            </w:r>
          </w:p>
          <w:p w14:paraId="4D80C5D4" w14:textId="77777777" w:rsidR="0059538A" w:rsidRPr="008F328C" w:rsidRDefault="0059538A" w:rsidP="00ED6A7B">
            <w:pPr>
              <w:pStyle w:val="a3"/>
              <w:numPr>
                <w:ilvl w:val="0"/>
                <w:numId w:val="0"/>
              </w:numPr>
              <w:ind w:left="471"/>
              <w:rPr>
                <w:b/>
                <w:lang w:val="pl-PL"/>
              </w:rPr>
            </w:pPr>
          </w:p>
          <w:p w14:paraId="60322750" w14:textId="77777777" w:rsidR="0059538A" w:rsidRPr="008F328C" w:rsidRDefault="0059538A" w:rsidP="00ED6A7B">
            <w:pPr>
              <w:pStyle w:val="a3"/>
              <w:ind w:left="4117" w:hanging="180"/>
              <w:rPr>
                <w:lang w:val="pl-PL"/>
              </w:rPr>
            </w:pPr>
            <w:r w:rsidRPr="008F328C">
              <w:rPr>
                <w:rFonts w:eastAsia="Times New Roman"/>
                <w:b/>
                <w:bCs/>
                <w:lang w:val="pl-PL"/>
              </w:rPr>
              <w:t>a.</w:t>
            </w:r>
            <w:r w:rsidRPr="008F328C">
              <w:rPr>
                <w:rFonts w:eastAsia="Times New Roman"/>
                <w:lang w:val="pl-PL"/>
              </w:rPr>
              <w:t xml:space="preserve"> Po opróżnieniu ampułko-strzykawki wyjąć ją ze skóry pod tym samym kątem, pod którym została wprowadzona.</w:t>
            </w:r>
          </w:p>
          <w:p w14:paraId="7F1B04F8" w14:textId="77777777" w:rsidR="0059538A" w:rsidRPr="008F328C" w:rsidRDefault="0059538A" w:rsidP="00ED6A7B">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Delikatnie przycisnąć wacik lub gazik do miejsca wstrzyknięcia, nie pocierać i w razie potrzeby nałożyć plaster samoprzylepny. Może wystąpić niewielkie krwawienie.</w:t>
            </w:r>
          </w:p>
          <w:p w14:paraId="4A9AA74A" w14:textId="77777777" w:rsidR="0059538A" w:rsidRPr="008F328C" w:rsidRDefault="0059538A" w:rsidP="00ED6A7B">
            <w:pPr>
              <w:pStyle w:val="a3"/>
              <w:rPr>
                <w:lang w:val="pl-PL"/>
              </w:rPr>
            </w:pPr>
          </w:p>
          <w:p w14:paraId="2A108BD7" w14:textId="77777777" w:rsidR="0059538A" w:rsidRPr="008F328C" w:rsidRDefault="0059538A" w:rsidP="00ED6A7B">
            <w:pPr>
              <w:pStyle w:val="a3"/>
              <w:rPr>
                <w:lang w:val="pl-PL"/>
              </w:rPr>
            </w:pPr>
            <w:r w:rsidRPr="008F328C">
              <w:rPr>
                <w:lang w:val="pl-PL"/>
              </w:rPr>
              <w:t xml:space="preserve"> </w:t>
            </w:r>
          </w:p>
          <w:p w14:paraId="57D1754B" w14:textId="77777777" w:rsidR="0059538A" w:rsidRPr="008F328C" w:rsidRDefault="0059538A" w:rsidP="00ED6A7B">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używać</w:t>
            </w:r>
            <w:r w:rsidRPr="008F328C">
              <w:rPr>
                <w:rFonts w:eastAsia="Times New Roman"/>
                <w:lang w:val="pl-PL"/>
              </w:rPr>
              <w:t xml:space="preserve"> ponownie ampułko-strzykawki.</w:t>
            </w:r>
          </w:p>
          <w:p w14:paraId="198DB54F" w14:textId="77777777" w:rsidR="0059538A" w:rsidRPr="008F328C" w:rsidRDefault="0059538A" w:rsidP="00ED6A7B">
            <w:pPr>
              <w:pStyle w:val="a3"/>
              <w:rPr>
                <w:lang w:val="pl-PL"/>
              </w:rPr>
            </w:pPr>
            <w:r w:rsidRPr="008F328C">
              <w:rPr>
                <w:rFonts w:eastAsia="맑은 고딕"/>
                <w:lang w:val="pl-PL"/>
              </w:rPr>
              <w:t>•</w:t>
            </w:r>
            <w:r w:rsidRPr="008F328C">
              <w:rPr>
                <w:rFonts w:eastAsia="Times New Roman"/>
                <w:lang w:val="pl-PL"/>
              </w:rPr>
              <w:t xml:space="preserve"> </w:t>
            </w:r>
            <w:r w:rsidRPr="008F328C">
              <w:rPr>
                <w:rFonts w:eastAsia="Times New Roman"/>
                <w:b/>
                <w:bCs/>
                <w:lang w:val="pl-PL"/>
              </w:rPr>
              <w:t xml:space="preserve">Nie </w:t>
            </w:r>
            <w:r w:rsidRPr="008F328C">
              <w:rPr>
                <w:rFonts w:eastAsia="Times New Roman"/>
                <w:lang w:val="pl-PL"/>
              </w:rPr>
              <w:t xml:space="preserve"> dotykać ani nie nakładać ponownie osłony na igłę. </w:t>
            </w:r>
          </w:p>
          <w:p w14:paraId="6C716339" w14:textId="77777777" w:rsidR="0059538A" w:rsidRPr="008F328C" w:rsidRDefault="0059538A" w:rsidP="00ED6A7B">
            <w:pPr>
              <w:pStyle w:val="a3"/>
              <w:rPr>
                <w:lang w:val="pl-PL"/>
              </w:rPr>
            </w:pPr>
            <w:r w:rsidRPr="008F328C">
              <w:rPr>
                <w:noProof/>
                <w:lang w:eastAsia="ko-KR"/>
              </w:rPr>
              <mc:AlternateContent>
                <mc:Choice Requires="wps">
                  <w:drawing>
                    <wp:anchor distT="0" distB="0" distL="114300" distR="114300" simplePos="0" relativeHeight="251658382" behindDoc="0" locked="0" layoutInCell="1" allowOverlap="1" wp14:anchorId="349AEB8A" wp14:editId="364ADC7C">
                      <wp:simplePos x="0" y="0"/>
                      <wp:positionH relativeFrom="column">
                        <wp:posOffset>1509395</wp:posOffset>
                      </wp:positionH>
                      <wp:positionV relativeFrom="paragraph">
                        <wp:posOffset>189230</wp:posOffset>
                      </wp:positionV>
                      <wp:extent cx="719758" cy="146050"/>
                      <wp:effectExtent l="0" t="0" r="4445" b="6350"/>
                      <wp:wrapSquare wrapText="bothSides"/>
                      <wp:docPr id="4022" name="Text Box 402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7A10E88B"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9AEB8A" id="Text Box 4022" o:spid="_x0000_s1393" type="#_x0000_t202" style="position:absolute;margin-left:118.85pt;margin-top:14.9pt;width:56.65pt;height:11.5pt;z-index:2516583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M0CIAIAAEMEAAAOAAAAZHJzL2Uyb0RvYy54bWysU01v2zAMvQ/YfxB0X5wUS9sZcYosRYYB&#10;QVsgHXpWZDkWIIsapcTOfv0oOU62tqdhF5kWKX689zi76xrDDgq9BlvwyWjMmbISSm13Bf/xvPp0&#10;y5kPwpbCgFUFPyrP7+YfP8xal6srqMGUChklsT5vXcHrEFyeZV7WqhF+BE5ZclaAjQj0i7usRNFS&#10;9sZkV+PxddYClg5BKu/p9r538nnKX1VKhseq8iowU3DqLaQT07mNZzafiXyHwtVantoQ/9BFI7Sl&#10;oudU9yIItkf9JlWjJYKHKowkNBlUlZYqzUDTTMavptnUwqk0C4Hj3Rkm///SyofDxj0hC91X6IjA&#10;CEjrfO7pMs7TVdjEL3XKyE8QHs+wqS4wSZc3ky83U+JZkmvy+Xo8TbBml8cOffimoGHRKDgSKwks&#10;cVj7QAUpdAiJtTwYXa60MfEnOpYG2UEQg22tg4ot0ou/ooyNsRbiq94db7LLJNEK3bZjuqQmb6fD&#10;nFsojzQ+Qq8M7+RKU8W18OFJIEmBJiZ5h0c6KgNtweFkcVYD/nrvPsYTQ+TlrCVpFdz/3AtUnJnv&#10;lriLOhwMHIztYNh9swSadUKL42Qy6QEGM5gVQvNCql/EKuQSVlKtgofBXIZe4LQ1Ui0WKYjU5kRY&#10;242TMfWA7HP3ItCdeAlE6AMMohP5K3r62ESQW+wDYZ24i8j2KJ4AJ6Umgk5bFVfhz/8Uddn9+W8A&#10;AAD//wMAUEsDBBQABgAIAAAAIQBzJGdF4QAAAAkBAAAPAAAAZHJzL2Rvd25yZXYueG1sTI89T8Mw&#10;EIZ3JP6DdUgsiDpN+hniVFUFAywVoUs3N77GgdiObKcN/55jgu1O9+i95y02o+nYBX1onRUwnSTA&#10;0NZOtbYRcPh4eVwBC1FaJTtnUcA3BtiUtzeFzJW72ne8VLFhFGJDLgXoGPuc81BrNDJMXI+Wbmfn&#10;jYy0+oYrL68UbjqeJsmCG9la+qBljzuN9Vc1GAH72XGvH4bz89t2lvnXw7BbfDaVEPd34/YJWMQx&#10;/sHwq0/qUJLTyQ1WBdYJSLPlklAa1lSBgGw+pXInAfN0Bbws+P8G5Q8AAAD//wMAUEsBAi0AFAAG&#10;AAgAAAAhALaDOJL+AAAA4QEAABMAAAAAAAAAAAAAAAAAAAAAAFtDb250ZW50X1R5cGVzXS54bWxQ&#10;SwECLQAUAAYACAAAACEAOP0h/9YAAACUAQAACwAAAAAAAAAAAAAAAAAvAQAAX3JlbHMvLnJlbHNQ&#10;SwECLQAUAAYACAAAACEAtfDNAiACAABDBAAADgAAAAAAAAAAAAAAAAAuAgAAZHJzL2Uyb0RvYy54&#10;bWxQSwECLQAUAAYACAAAACEAcyRnReEAAAAJAQAADwAAAAAAAAAAAAAAAAB6BAAAZHJzL2Rvd25y&#10;ZXYueG1sUEsFBgAAAAAEAAQA8wAAAIgFAAAAAA==&#10;" stroked="f">
                      <v:textbox style="mso-fit-shape-to-text:t" inset="0,0,0,0">
                        <w:txbxContent>
                          <w:p w14:paraId="7A10E88B"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K</w:t>
                            </w:r>
                          </w:p>
                        </w:txbxContent>
                      </v:textbox>
                      <w10:wrap type="square"/>
                    </v:shape>
                  </w:pict>
                </mc:Fallback>
              </mc:AlternateContent>
            </w:r>
            <w:r w:rsidRPr="008F328C">
              <w:rPr>
                <w:rFonts w:eastAsia="맑은 고딕"/>
                <w:lang w:val="pl-PL"/>
              </w:rPr>
              <w:t>•</w:t>
            </w:r>
            <w:r w:rsidRPr="008F328C">
              <w:rPr>
                <w:rFonts w:eastAsia="Times New Roman"/>
                <w:lang w:val="pl-PL"/>
              </w:rPr>
              <w:t xml:space="preserve"> </w:t>
            </w:r>
            <w:r w:rsidRPr="008F328C">
              <w:rPr>
                <w:rFonts w:eastAsia="Times New Roman"/>
                <w:b/>
                <w:bCs/>
                <w:lang w:val="pl-PL"/>
              </w:rPr>
              <w:t>Nie pocierać</w:t>
            </w:r>
            <w:r w:rsidRPr="008F328C">
              <w:rPr>
                <w:rFonts w:eastAsia="Times New Roman"/>
                <w:lang w:val="pl-PL"/>
              </w:rPr>
              <w:t xml:space="preserve"> miejsca wstrzyknięcia.</w:t>
            </w:r>
          </w:p>
        </w:tc>
      </w:tr>
      <w:tr w:rsidR="0059538A" w:rsidRPr="00A5286D" w14:paraId="7F665752" w14:textId="77777777" w:rsidTr="00ED6A7B">
        <w:trPr>
          <w:trHeight w:val="5380"/>
        </w:trPr>
        <w:tc>
          <w:tcPr>
            <w:tcW w:w="9209" w:type="dxa"/>
          </w:tcPr>
          <w:p w14:paraId="5D26932F" w14:textId="77777777" w:rsidR="0059538A" w:rsidRPr="008F328C" w:rsidRDefault="0059538A" w:rsidP="00ED6A7B">
            <w:pPr>
              <w:ind w:left="104"/>
              <w:rPr>
                <w:rFonts w:ascii="Times New Roman" w:eastAsia="Times New Roman" w:hAnsi="Times New Roman" w:cs="Times New Roman"/>
                <w:b/>
                <w:bCs/>
                <w:spacing w:val="-1"/>
                <w:lang w:val="pl-PL"/>
              </w:rPr>
            </w:pPr>
          </w:p>
          <w:p w14:paraId="2BE94C70" w14:textId="452F3C59" w:rsidR="0059538A" w:rsidRPr="008F328C" w:rsidRDefault="0059538A" w:rsidP="00ED6A7B">
            <w:pPr>
              <w:pStyle w:val="a3"/>
              <w:rPr>
                <w:lang w:val="pl-PL"/>
              </w:rPr>
            </w:pPr>
            <w:r w:rsidRPr="008F328C">
              <w:rPr>
                <w:noProof/>
                <w:lang w:eastAsia="ko-KR"/>
              </w:rPr>
              <mc:AlternateContent>
                <mc:Choice Requires="wpg">
                  <w:drawing>
                    <wp:anchor distT="0" distB="0" distL="114300" distR="114300" simplePos="0" relativeHeight="251658383" behindDoc="0" locked="0" layoutInCell="1" allowOverlap="1" wp14:anchorId="70F9423B" wp14:editId="47B7AA26">
                      <wp:simplePos x="0" y="0"/>
                      <wp:positionH relativeFrom="column">
                        <wp:posOffset>4445</wp:posOffset>
                      </wp:positionH>
                      <wp:positionV relativeFrom="paragraph">
                        <wp:posOffset>156845</wp:posOffset>
                      </wp:positionV>
                      <wp:extent cx="2123440" cy="2838450"/>
                      <wp:effectExtent l="19050" t="19050" r="10160" b="0"/>
                      <wp:wrapSquare wrapText="bothSides"/>
                      <wp:docPr id="4028" name="그룹 4028"/>
                      <wp:cNvGraphicFramePr/>
                      <a:graphic xmlns:a="http://schemas.openxmlformats.org/drawingml/2006/main">
                        <a:graphicData uri="http://schemas.microsoft.com/office/word/2010/wordprocessingGroup">
                          <wpg:wgp>
                            <wpg:cNvGrpSpPr/>
                            <wpg:grpSpPr>
                              <a:xfrm>
                                <a:off x="0" y="0"/>
                                <a:ext cx="2123440" cy="2836306"/>
                                <a:chOff x="0" y="2144"/>
                                <a:chExt cx="2123440" cy="2836306"/>
                              </a:xfrm>
                            </wpg:grpSpPr>
                            <wps:wsp>
                              <wps:cNvPr id="4029" name="Text Box 4029"/>
                              <wps:cNvSpPr txBox="1"/>
                              <wps:spPr>
                                <a:xfrm>
                                  <a:off x="1358900" y="2692400"/>
                                  <a:ext cx="719758" cy="146050"/>
                                </a:xfrm>
                                <a:prstGeom prst="rect">
                                  <a:avLst/>
                                </a:prstGeom>
                                <a:solidFill>
                                  <a:prstClr val="white"/>
                                </a:solidFill>
                                <a:ln>
                                  <a:noFill/>
                                </a:ln>
                              </wps:spPr>
                              <wps:txbx>
                                <w:txbxContent>
                                  <w:p w14:paraId="62B7BBF8"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030" name="그림 4030"/>
                                <pic:cNvPicPr>
                                  <a:picLocks noChangeAspect="1"/>
                                </pic:cNvPicPr>
                              </pic:nvPicPr>
                              <pic:blipFill>
                                <a:blip r:embed="rId174" cstate="print">
                                  <a:extLst>
                                    <a:ext uri="{28A0092B-C50C-407E-A947-70E740481C1C}">
                                      <a14:useLocalDpi xmlns:a14="http://schemas.microsoft.com/office/drawing/2010/main" val="0"/>
                                    </a:ext>
                                  </a:extLst>
                                </a:blip>
                                <a:srcRect/>
                                <a:stretch/>
                              </pic:blipFill>
                              <pic:spPr>
                                <a:xfrm>
                                  <a:off x="0" y="2144"/>
                                  <a:ext cx="2123440" cy="2602386"/>
                                </a:xfrm>
                                <a:prstGeom prst="rect">
                                  <a:avLst/>
                                </a:prstGeom>
                                <a:ln w="12700">
                                  <a:solidFill>
                                    <a:schemeClr val="tx1">
                                      <a:lumMod val="65000"/>
                                      <a:lumOff val="35000"/>
                                    </a:schemeClr>
                                  </a:solidFill>
                                </a:ln>
                              </pic:spPr>
                            </pic:pic>
                          </wpg:wgp>
                        </a:graphicData>
                      </a:graphic>
                    </wp:anchor>
                  </w:drawing>
                </mc:Choice>
                <mc:Fallback>
                  <w:pict>
                    <v:group w14:anchorId="70F9423B" id="그룹 4028" o:spid="_x0000_s1394" style="position:absolute;margin-left:.35pt;margin-top:12.35pt;width:167.2pt;height:223.5pt;z-index:251658383;mso-position-horizontal-relative:text;mso-position-vertical-relative:text" coordorigin=",21" coordsize="21234,28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q9urgMAAGgIAAAOAAAAZHJzL2Uyb0RvYy54bWykVs1u4zYQvhfoOxC6&#10;b/Rjx0mEyAs3aYIF0t2gSbFnmqIsYiWSJWlL2QfqK7SHfaLtS/QjZdmxN8UW6SHKcGY4nPk489GX&#10;b/u2IRturFCyiNKTJCJcMlUKuSqi3x5v3pxHxDoqS9ooyYvoidvo7fzHHy47nfNM1aopuSEIIm3e&#10;6SKqndN5HFtW85baE6W5hLFSpqUOS7OKS0M7RG+bOEuSWdwpU2qjGLcW2uvBGM1D/KrizH2oKssd&#10;aYoIubnwNeG79N94fknzlaG6FmybBn1FFi0VEofuQl1TR8naiG9CtYIZZVXlTphqY1VVgvFQA6pJ&#10;k6Nqbo1a61DLKu9WegcToD3C6dVh2fvNrdEP+t4AiU6vgEVY+Vr6yrT+P7IkfYDsaQcZ7x1hUGZp&#10;NplOgSyDLTufzCbJbACV1UB+vy9Lp9PR8PN3Nsfj2fFBRp1Gj9g9DPb/wfBQU80DujYHDPeGiLKI&#10;pkl2ERFJWzTro6/yJ9WToAwABVcPF3E9LGh5X5TPzEL5Amrp5PT8IgFAHp/ZRTaFHJpuRPAsvTg7&#10;xZR4ANPpLDkN9h0ENNfGuluuWuKFIjLo6dBqdHNnHULBdXTx51vViPJGNI1feMNVY8iGov+7Wjju&#10;D8eOA69Gel+p/K7B7DUAf6zKS65f9gGh9DzcsNctVfkEKIwa5spqdiNw4h217p4aDBLqBjm4D/hU&#10;jeqKSG2liNTKfH5J7/1xsbBGpMNgFpH9fU0Nj0jzTuLK/RSPghmF5SjIdXulUGsK2tEsiNhgXDOK&#10;lVHtR3DGwp8CE5UMZxWRG8UrN9ADOIfxxSI4YVY1dXfyQTMfekT2sf9Ijd7ei8OFvldjU9H86HoG&#10;33BBerF2wDrc3R7FLeBo8PmlFizH33bgIX3T6d8nRuxyaw/bQK7tf4rRUvNprd8M9YqlaIR7CjyL&#10;mn1ScnMvmO9zv3g+NBNAOQzN1z//+vuPLxgZqNBMo+OwDR0p2J1inyyR6qqmcsUXVqOjt4MUH7qH&#10;5cGZy0bosbm9vK0OV3bEiC8ANLDttWLrlks3PB+GN9Th7bK10BaNkvN2yUtM2bsSLcTwdDkQgTZC&#10;umFsrWG/Il9UhiFyhjtW+5Hxee9z86t/4QPg5Jlgx4YjDRwS6SzJJsOYvZ4IGkkwcGl2BsYJ2T4n&#10;hvDA8h01uH7o6mbd/qLKgS5mp8nIVVB7Mg8sMhnVnkX8M+2jHHMKbIFC9kAEhLAMbR6es7Bn+/T6&#10;9/L5OnjtfyDM/wEAAP//AwBQSwMECgAAAAAAAAAhAJbK4LTctgAA3LYAABQAAABkcnMvbWVkaWEv&#10;aW1hZ2UxLnBuZ4lQTkcNChoKAAAADUlIRFIAAAJ6AAADCQgCAAAAGwkMgAAAAAFzUkdCAK7OHOkA&#10;AAAEZ0FNQQAAsY8L/GEFAAAACXBIWXMAABJ0AAASdAHeZh94AAC2cUlEQVR4XuzdB1xUZ7o/8FFB&#10;ASniqBTFaFBAjQVFTUwQJdiw68YSE/WuLXHdTdTE+L83MWqy9xp3jcld16xtryWuJavYK0GRaEQQ&#10;o0aplgiCiIAUwc7/gff1cDhTGKaemfl9735y3/eIOCDO7zzveUu9iooKBQAAAJhSff7/AQAAwGQQ&#10;twAAACaHuAUAADA5xC0AAIDJVU+VatemLWsAAACAgTJu3uCtKqhuAQAATA5xCwAAYHJqBpMl9S8A&#10;AADoSFOYoroFAAAwOcQtAACAySFuAQAATA5xCwAAYHKIWwAAAJND3AIAAJgc4hYAAMDksO4WAAAs&#10;o6y8/HbWbd6p0rJVSxdnZ95R9wF6KCwoKC4u4h2d3b6dzVu6efTkcWFhITXWrf6OXZGEKeIWAABM&#10;KyvrdkF+/t27uXl59x4/fpxfWPjkyWP+azYHcQsAAGZSkF+QlZWVmZV5L+/enbu5/Kp9QNwCAIAJ&#10;lZWXZ6SlU8TeuHHzQdkDftX+IG4BAMD4qJC9cvXK9WvX5VzFOjk5N27swjs6a96sBW/pxrFRQ6Wn&#10;56Tx41kXcQsAAIZKT89IS0u9nZ3N5gfpwt3N3bGhI8swb28vdrFp8xZOjRqx9r283MeP1DzTdXP3&#10;cHN35x3Z6/96H9ZA3AIAgD6ysm5fvPiL7hFLNWXz5s2beHpSzefbyo9ftXWIWwAA0NO5+HPJycm6&#10;DBeziPXy8vLx8bWiktSIELcAAFBnFLTnEhJqnfrk7ub+Utu2Pt5ezZrzUWK7hbgFAIA6yMq6/WN0&#10;tJaK1sHBUalU+vn5tW7TVnj+CohbAADQSVl5+YmYmF+vXOH9mry8vClimzb1RCGrFuIWAABqR0Xt&#10;nj17VEePqZZt59+uY+fOKGS10xS3OKIAAAC4uLi4rf/aqpq1QYEdRowa3T0kBFmrN8QtAABUDiDv&#10;2rX7zM8/8/4LSqVy+PCRCFrDIW4BAOwdZe3333+fcS2D96s4ODj26fP6oMGR9rmex+gQtwAAdi0r&#10;6/Y/N/xTsnMFFbVDhkS2afsy74PBELcAAPaLsnbnDz9IHtYGBXZAUWt0iFsAADvFslZ89KyDg2NI&#10;SM/uISG8D8aDuAUAsEdqszY8vH9AYBDvg1EhbgEA7I6mrMXOFaaDuAUAsC/n4s8ha80PcQsAYEfi&#10;4uJOxJ5E1pof4hYAwF6obmTh5OSMrDUPxC0AgO0rKy/ftHGTZCMLdzf3yGHDkbXmgbgFALBxbCML&#10;yVF6Xl7eEYMGY2tGs0HcAgDYsksXL6luZOHn1/rNiAHIWnNC3AIA2Kzo48cPHz0inhhFQkJ6hvYN&#10;4x0wF8QtAIANKisv3/avbecvXOD9Kg4Ojv3C+mEjC4tA3AIA2JqsrNvff//9raxM3q/i7uY+ZEik&#10;bys/3gfzQtwCANgU9rBWcsIPmxiFUwcsCHELAGA7Dh48qPqwNiiwAyZGWRziFgDAFrCVtb9eucL7&#10;VRyqjojHCT9ygLgFALB6WVm3//GPNZKVte5u7uHh/XFEvEwgbgEArFtcXNzWf22VDCD7+bWOGDQY&#10;O0bJB+IWAMBasdU+km2QSecuXUP7huFhrawgbgEArBLbmlGy2sfBwXHgwIGdO3fhfZANxC0AgPVh&#10;Z9ZKtmZUKpUjRo3GALI8IW4BAKxJWXn5rl27JWfWEv+X/QcNjsQAsmwhbgEArAYbQJaco8dW+/R+&#10;rQ/vgywhbgEArAObgSwZQGZbM2K1j/whbgEA5E7TDGT/l/2HjRiJrRmtAuIWAEDW0tMz/vGPNaoz&#10;kDGAbF0QtwAA8hV9/PjuqN2SWVEYQLZGiFsAADkqyC9Yu26d5MBaEhTYAQPI1ghxCwAgO3FxcRs3&#10;b5YcoscOh8d5A1YKcQsAICPCrCjJALKXl/eIUaNxOLz1QtwCAMjFpYuX1M6K6tylKw6stXaIWwAA&#10;y2NFrerJ8OwQPeyBbAMQtwAAFqa2qCVsVhT2QLYNiFsAAIvRVNQ6OTljVpSNQdwCAFiGpqLW/2X/&#10;yGHDMSvKxiBuAQDMrSC/YNPGTZqK2t6v9cGsKNuDuAUAMJ+y8vLo48fXbVh/524uv/QCilrbhrgF&#10;ADCTc/Hn/rnhn6obRaGotQeIWwAAk0tPz9i0cdOJ2JOS4/NIUGAHFLX2oF5FRQVrtWvTljUybt5g&#10;DQAAMBAF7ZnTp1WHjolSqezT5w3sfmxj+r/Oj2mShCniFgDAJLQErZOT8yuvvBIQGMT7YEMQtwAA&#10;ZqIlaB0cHNv5t+vYuTMe09oqxC0AgMlpCVri59e6Z+9XEbS2TVPcYqoUAIARsMlQu6N2q81aCtrh&#10;w0eG9g2z7awtKS4+euQQ/Zf3QQRxCwBgEB2D1h6mRDk2avTk8ZPYkycePnrEL8ELGEwGANBTrUPH&#10;3boF29vE43t5uTExJ3x8fOgOg1+yM3h2CwBgNAhaLbKzMk/Gnuzcpat9nhuIuAUAMAItQYtZx4LL&#10;ly9dvnSxX1g/O9y+A3ELAGAQ7RVtUGAHBK3Yj9HH8/PzhwyJtLcqHzOTAQD0VJBfsGvXbu2TobqH&#10;hCBrxV4P7evi7Bx78gTv2z3ELQCARmUvDvDJuJbBL4nY1azjuqKbj1dfe5W+gfE/n+GX7BviFgBA&#10;vfT0DLUH+BAErS6aNffq1q3btevXbt64zi/ZMcQtAIAU1WRs9Fj1AB+lUomg1V1AYBDdmpw7dw4r&#10;cRG3AAA1ZGXdpqJWdfTY3c29X1i/QYPtbu6PgXr2ftXBwSH2xI+8b68QtwAA1c7Fn9v6r62SotbB&#10;wTEkpOewESNxKq0enBo16ts3ND8///LlS/ySXULcAgBwlLUnYk/yzgt+fq1HjBqNw/IM0ay5V1Bg&#10;h8uXLt7LU7+Myh4gbgEAKqlmLRW1/cL6hdr6uQLm0T0kxN3N/ezPZ3nf/iBuAQAqV9b+dKbGehWl&#10;UklFLUaPjSisX/+y8vKkxETetzOIWwAAxb9373ry5DHvVA0gDxociaLWuNzc3Tt07JiSmmyfQ8qI&#10;WwCwd9HHjxcWFvJO1Qxkuz3NxtQ6d+5C397z58/zvj1B3AKAXcvKui3eyMLBwTGsX3/eARN49bVX&#10;7XOWMuIWAOxXWXn5ocOHeKdKh44dsazWpJo19/Lza33lyhV72/gCcQsA9utETIx4GFmpVNrnEa1m&#10;c/PG9aNHDmVm3qpXr15CvH3NUkbcAoCdSk/P+PXKFd5hw8j93+QdMCoqZC9fvrR717/PnDlN3X5h&#10;/YK7daPQzc7KZB9gDxC3AGCPysrL9x84wDtVevXqhanIxkUpm5aa8mP08d3/3pl89Wrz5s2HDx85&#10;aHCkbyu/gMAgpVJ5+dfL/EPtAOIWAOzR3qg94pU/Xl7ebdq+zDtgGKpZkxITjx45RCmbmJhAV0JC&#10;eo4bP0FyrkPnVzrn5+fbT4Fbr6KigrXatWnLGpID6AEAbMyli5cOHz3COwqFk5Nz5LDhKG31QyVs&#10;Qd7d/MLCstLS+0X3KUHpIn1LW/r6enl7e/u21PKNpcK3qKhozNjf8b5N6P96H9aQhCniFgDsS0F+&#10;wcbNm8Wlbb+wfra9exRVkJd/vezg4OjZxJO6rm6uro0bs19q2ryFLvcZ9/JyHz+q/I49fvKEvoHU&#10;KLxf+PTpk6KiYvovdemTe3i4N2/WoqmyqfaIFSspLt6/fy/Vvra0JTXiFgCg0qaNm+7crd7VyP9l&#10;/96v8fdH20N5du5cfG7uHS8v74YNG5ZVnXQkZKR+lEol/dfFpXFjl8YsuXXMbLXiTsXm5eXZUoGL&#10;uAUAUMTFxZ35+WfeqdpAKmLQYFsdRk5KTMy4luHg4PBq796ayncdH526uXuYaDkyK3BtaYABcQsA&#10;9k51GHngwIHNmnvxjg2pnKyUlFRcUhwU2KF7SAi/KldHj1TuNDJocCTrWjtNcYuZyQBgLyTnEFAU&#10;2V7WPnz0KO5U7MnYk44NHYcPHyn/rCVsijKVubxvoxC3AGAXVM8hsIooqpO01JR9e6JycnL69Hmd&#10;ikVNw79U+1Iky2cFjm8rPycn56tXfuV9G4W4BQDbZ/PnEFBpePTIocTEhJdatx4xarSWNcRU/p6N&#10;j6dIpgqYfotMQrd9QMBvt27xjo1C3AKAjSsz8TkElh0FpfhMSkzcv3/vk8dP+oX16/1aH+0zv07H&#10;nXr69ClFMn0wdWUSum1eavP06ZObN67zvi1C3AKAjTP1OQTHjx+jxLJI6FJMHjqwP+NaRucuXYeN&#10;GFnr5N64U7G5uXfCw/tTJNMHDxocOXz4SBeXxhYPXbr78fLyzsyUy/i2KSBuAcCWmeEcgr59Q6my&#10;PHz4kDmLM0r3H6OPU0x6eHgMGRKpyw0EZW1m5q2QkJ7iCWKUc6F9w8SV7r286kXJ5tTCyysnJ4d3&#10;bBHiFgBsVll5+dGjR3mniinOIaD0ihg02MfH58yZ0/E/n+FXTeny5UuU7kVFRRSTb0YM0GVgXMha&#10;tfs3sUqXPhvdNxw7dow++KHZD6Nl48nymcBldIhbALBZe6P2PKjaR4kx3TkEFOFUI1KY/Xbr1oF9&#10;e003sExpRJ//8qWL7fzbRQ4bruPWENqzVkCfbdiIkfRheXl5+/ZEJSUm8l8wC7ppcHJyvnPHMrW1&#10;GSBuAcA2Xbp46ZaoVHJwcHw9tC/vmAaFWXh45YRnKj2NXqWpLqjVsUzXMWsF9GEU5BTnGdcydu/6&#10;tzlHyJs3b154v/opu41B3AKADSorL4+OieGdKm+8/rrRh5FVsYFlpVJJuZiWmsKvGuzy5Uu6LKiV&#10;oIQ+euQQ+106Zi1D3yiK8yFDIin/zpw5bbYHuk08PYuKinjH5iBuAcAGSY6z9X/ZX8dxV8NRVr0Z&#10;MSAosENiYgJVlvyqvoTR41oX1EqUFBdHHz1SVFRMBbd+Q+jiWVTsga6pZ18rPT0fPiznHZuDuAUA&#10;WxMXFyceRnZycu7avQfvmAtVhyEhPTMzb/0YfVy/aUfi0eOBAwfWuqBWjEL6cNVSY6pQDdyoks2i&#10;Yg909+/fa9LQdXP3oP9aamq0qSFuAcCmFOQXJCSe550qffuGmmEYWVVAYBDFZH5+PlWZdU1cYfSY&#10;co7Srk6RSb+XQlqpVEYMGqzjsHOt6GsZM/Z3pg5d9mrZwbq2B3ELADZl//798jmHgP7o8PD+lQ+S&#10;dU5c8dzjEaNG1+mZKyuI6ffSV/1mxACj32Sohq7RZ4TZMMQtANiOuLg48dHxcjiHQPfEpXqR7VxR&#10;17nHzL28XPoj2MQok37VQugW3b9Pr5ZuDtJSU+pavtshxC0A2IisrNvio+PJq6+9ylsWVWvi0kW2&#10;7zHbuUL3uceCmzeux8ScoMaQIZEmWlssQaE7bMTIgQMHejRp8ssvv+z+904qdm1702MD4Xh5ALAR&#10;a9etE++N3LlLV+PujWwgqj4pEX18fEL7hvFLVS5fvpR89So1OnTsqMcLpqi+mHT+2vVrfn6te/Z+&#10;1SJPqek13Lp5IzMzMzf3joODI32NXl5erdu0reuLoW/RsWPHqLI31iNni9B0vDziFgBsQfTx4+Ij&#10;9pRKJdWIvCMb2VmZJ2NPCvcBaakpv/7668OH5UGBHShp9UhKyqezP5+lurlbt251esprIuLcpa67&#10;m7uvb0tvby/fVn5U+CqVzbTnKH3MmTOn3570Lu9bJ8QtANisrKzbW/+1lXeqNpAaMqTO47HmkZSY&#10;mH4to2OHDunp6RS0VJJ26xas30tlZbGLs3NYv/4y/GIpO3Pv3MnLyysuqZ7D7P+yf9fuPTTdWMT/&#10;fOZ+0X0Z3ifVCeIWAGwT1Xb/3PBP8d7IchtGFqP6L2rXv+vXr+/r66t30NInOR13iipISq/er/E3&#10;d9n67eaN06d/4p2qm6F2/u3UTubavevf7QMCZPt3pyNNcYupUgBg3U7ExEjOIZBz1kYfPeLm6jpy&#10;9JjQvmH6ZW12Vua+PVH5+fn9qg6T51fl6l5ebnx8PO9Uefr0SUpqMiWrZJPLyunND8vbvNSG920O&#10;4hYArJjqcbamPofAELEnfqRa/NXX9JzQRGkd//MZtoXFiFGjzbYtpd7Y7DDKV94XoWRNTEwQn2n/&#10;66+/+vm1lucjAKNA3AKAtaLoMsNxtsYSdyqW7WCs37YbFF2HDuz/7Vbl2T6m2MLC6LRkrYBqdLp7&#10;+DH6ON1GPH36tFu3YP4LtghxCwDWymzH2Rru8uVLmZm3unXrpl/WJiUmHjt2rHFjlyFDIuUwA7lW&#10;bB2wOGsdHRv+8Y9/7B/Wjxr80gu5uXeuXb9GJbsNl7YEcQsAVklynK2Tk7Nsh5HTUlMuX7rYuUtX&#10;3q8LqhEP7NubcS2Dfrse219YBH29Z86clmTtuLfecnF27tW713vvzeoRHKwaul27WvcMqVohbgHA&#10;+pSpHGf7au/e8hxfpbxMTEzw82ut9PSkBpW5/Bd0wIpax4aV65qsZb4ufYH0ZfJOFZa1rVq1ZF0K&#10;3aAOHcX7WpOQkJ761f1WBHELANbHgsfZ1gl7funl5R3aN4xeIYUKlbmSGblqWWNRS9gBCbxTxdPT&#10;k8pZIWsJ3Srt/OEH3qlC9yJWMUJuIMQtAFiZc/HnLH6crS4ePnp09uezVMwJo9wUKpS4VPxpSVz6&#10;XdZY1BLK2szMW7xThbL2nXfeoe8A71f5/vvvxbdK7m6Vh9jzjk1D3AKANSnIL/jpzBneqSLPYWS2&#10;xPbxkycRgwaLX56QuJSp/FKVkuJiyuDjx45G7fp3Smpy06aVm1BaS1FLXyzV4pKsbeffTjVrd+3a&#10;Ld7X2sHBkb4/vGPrELcAYE1Uj7OV5zByQnzlVsZqT7ZniUuZSuUgdSlljx45tH//XsrgvLy7FRXP&#10;6WJQkNUMrrIbC/FOjYSyduzYMZKsPRd/LuNaBu9UCQ/vL88n7qaAuAUAqyHD42zVYsOqb7z+uqbp&#10;Pyxx6WMOHzpIKZufn89/4QVv3+qHnXJ2Ly93354oSdb2CA6mrOWdF7Kybp+IPck7Veg7YPPTo8QQ&#10;twBgHQryCxISz/NOFZkcZytB1SrlKGWJ9rKbErddu/b3i4p4X4RuI6yi5mMTwSQbWfQP6xcxYADv&#10;vGC306PEELcAYB3+vXuXZBhZhrURZS1Vq/TadMmSmzdvVjx/xjsizZs35y2tKO2EHRDNj75S1Y0s&#10;hgwa3Kt3L94XsdvpUWKIWwCwAtHHj4un2MhzGJny75dffqG6TZfXRnGlaYNDL29v3tLq1m+Vp+f+&#10;a+uWH6OP02d7+OgR/wXTY3cVqhtZdFG3VcXBgwftdnqUGOIWAOQuK+u2+Oh4er8O69efd2SDjax6&#10;eOhat924cZ23VOj44JZCffjwkSEhPalN4bdvT1TcqdiS4hqPUU0h/ucz9MfxTpXGLo3FG1mInYs/&#10;Jz5DgtjV9CgxxC0AyN2hw4d4q0qHjh3ltkKGKku2xDas/5v8klYUiqrTo5g6Pbil70NAYNCbEQPG&#10;/G4cfVvy8vL2799r0tClT37t+jXeqeLp6fn7ab9Xm7V0nyRZtWVv06PEELcAIGuSYWSlUim3nR/Y&#10;Spiy8nLJElstrl75lbdU6PjgVoL+XPq2jBn7O8ozIXSNO7xMn+3H6OOSxbXeLbxUF9cy9A3Zs6fG&#10;5l92OD1KDHELAPKlOozcp88bvCMbbImt7mOklFu/3aoOLaoOeauKjg9uNaE8Y6Gbk5Ozb0/UTc1D&#10;1nXCbilyc+/wfpV2/u2mTJ2iNmuJ5Lwmqtp79pbjTHKzQdwCgEyx8oh3qshwGLnWJbaq0tNSxZOM&#10;GtU8G8coK24pdEeMGv1S69Znzpw2vMwtKS7WtJEF76iIPn5cvNEme9xun49sBYhbAJCpEzExkuNs&#10;5TaMnKbbEluJ9LQ03qqaZNSwYXXcGnHFLX2e3q/16dPndSpzKSz1fpp7Ly/38OFDkqztH9ZPS9am&#10;p2eIxyQI3Y5Yy4aUpoO4BQA5ords8YxWKo/kdpwtWwyj4xJbQeWKnYflvKNQ9OrZMye3ep8s/R7c&#10;atGm7ctDhkRSgyKTgpNd1F12VqbajSzULq5lysrL9x84wDtVZLvRppkhbgFAdugt++jRo7xTpVev&#10;XrIaiqzTElsx8fofR8eGnk2biicTGfjgVi0qKyMGDXZxdqbgrFPi0p3BydiTksW1Y0aP0ZK15Icd&#10;O2t8RV7e8txo0/wQtwAgO6rDyFSl8Y4MsCW2SqWyrlsjUbEoXv/T5ZVOd+7k8E4VE22VTHcqdU1c&#10;VrvzThW2kUX79u14X53o48fFm1o7OVUfPgiIWwCQF5kPIz989OjUqTiKLj1e1eVfL/NWle7de2Rl&#10;ZvGOUR/cqhISl158rTOn4k7FSrLW09Nz6uTJahfXClQf2ao9EMluIW4BQEZUn/zpPYwc//MZig3e&#10;MRK2HoYaui+xFUhK23b+7Zoqm4of3Pqa+BQglrjUiD3xI7uiFptrzTtV2Cnx9Gp5Xx3Vv7jOXbra&#10;7Y4WaiFuAUBG9kZJN0bQexjZs2lTig3jJu7puFOUK/oVbZLStn+/fllZt8VfrLe3ycOJXja9eEp9&#10;yeH2DN1MHD1ySJK1rVv5adrIQkz1ka3cppFbHOIWAOTi0sVL4sWaTk7OhmyMEPDiTFljJS59Hgqq&#10;8PD+ehRtaktbybbJ5pm+Sy8+KLBDSmqyZGkQK9zFL5LQ65z49sRas1ZyDjEe2aqFuAUAWaCqMTom&#10;hneqvNq7t37DyAIhcdNSU/glfVE5SJ+nW7du+g2Qqpa29F/xg1ulUslbptc9JMTdzf3MmZ94v2ry&#10;16ED+yWLa1/p1EnL4loB1ehnfv6Zd6rgka1aiFsAkAXJMLL/y/5GqfYocTt36ZqYmGBI4tLvpXKQ&#10;krtOS2wFaktbatRYcdusBW+ZRffu3ekl0QujNptoLV4NTPqH9Rs6dCjvaPVjdDRvVZHnOcRygLgF&#10;AMtTHUbu2r0H7xisc+cufn6tKXHrtOpUcPPGdfq9hmyvr760NfuDWzG6laF6ml4YfXWSjSwcHRtq&#10;38hC7Fz8OfEwMn1OrLLVBHELABZmimFkidC+YZQElCt13cuQEvrcuXOUtXVdYiugylhtaWuRB7di&#10;nV/pTC/szJnTqqfE65i15JdLF3lLrgdIyAfiFgAszETDyBJh/d90cXaOPXmC93XARll1PzFerV9/&#10;rT5rj8JsSOQQ1rbUg1vB4yc1tmYkLGu1L64Vi4uLE5+NSHcS2BhZC8QtAFiSSYeRxahcfvW1V6mS&#10;jv+5xoHnmjys44nxaiUlJoqfiXZ5pZMwy9eCD26ZpKQk3qri6en53nuzdM/agwcPimdIUWnbsXNn&#10;3gF1ELcAYDFmGEYWa9bcq1u3bteuX2NThLRgq2Ko/tNjOwsBfZKMaxm8U1U79nmDj7Va9sEtSat5&#10;UgLbyKLWBT9MQX7B2nXrxDt/kQ4dO2I2snaIWwCwGPMMI4sFBAZ5eXn/dPo0ZSG/pE7siR/13s5C&#10;kBB/VvxY9I0+fYQ8s/iDW8kQ98wZM3TM2ujjxzdu3iweQyZ+fq2xqUWtELcAYBlxcXHiYWR3N/fe&#10;r/XhHVNiOzBcTDrPuqriTsUWFRXrt52FgApo8fZMVD6K5x9Z9sGtpLTt8kon3tIqPT2DitrzFy6I&#10;75CIIfPI7AriFgAsoCC/ICGxRuC9+pr+G0jVCRWsbEhZ7bogtmPwG6+/buDiUcmT0f79+vNWFfF9&#10;hvkf3EpKW2GIWxMq9A8ePLg7arekqCWdu3RF1hL6WaKbmKTExKNHDvFLKhC3AGAB+/fvFxdJZt4b&#10;ISAwiGrK8+elBS7bOiokpKeBo7uXL18S79DUzr+d+Nw6KhN5q4qZH9zevHFd0+wttc7Fn/vHP9ZI&#10;ntQS+gYOHDjQnseQKWLjfz5D+fqvrVuOHTuWmJiQkpos2QVTDHELAOYm2WLX3c3d/HsjsFWn4jlT&#10;Bm4dJSgpLk6+epV3qspHtq+F4LebN3iripkf3KaKdtfSXtrSbcGmjZtOxJ6UjB47ODhSUTtocKTd&#10;7h5FPzaUshSx165f05KvEohbADArCw4ji1HIUX2WnMKzh7KWqhMqsg3MWnLuXLx4hlTPkB6So+tu&#10;387mraqTc3jLLCgnxPGgqbSlv6Ndu3bvjtotviti6AWPGDXabotaFrQnY0/qnrICxC0AmJVlh5HF&#10;AgODcnPvUDHKstbPr7XhRfbNG9fpc/JO1Qyp0NBQ3nlBnGEtvMz6taueb89bL7CgXbdhvXgJE+Pk&#10;5NwvrN+bEQPsc8GPLkFLf93t/KufGkjUq6ioYK12bdqyRkbNgQ4AAGOJi4sT743g7uY+bMRI3rGE&#10;nTu2e3l53b6dZZTptQ8fPdq3J0pc2k56e5Jk44j09AyqGnlHoRg4cKDZ7jYoMCgteKfqibL4wJ+y&#10;8vIzP/10/sIF3q+J7oo6du5sn0F7Ly/3/PnzmlKWvo0tWjT39vYRHs9rClNUtwBgJjIZRhZr3ryZ&#10;sbKWnI47Jc7aVzp1Ut2kSfzg1sHB0ZyVvdqTEkjlZiPHj//jH2vUZi19c4YPH0l1vx1mbUlxcdyp&#10;2GPHjqlmraNjQwraGdOm0y1LaGioeCqcJohbADAT+QwjM/Rmmpd3r1mz5kbJWskwcmOXxv3Dw3lH&#10;RPzg1pwrbqlEE2cGRUVTZVNx0ErmQxF6ef3C+tE3xw53Qn746BEF7f79e8WLpwX03XvvvVkUtJKn&#10;8tohbgHAHOQwG1ki9uQJBweHvjVXxOqH3p3PnTvHO1UGDRqkdhaSpR7cJifXOO731Vdf/eGHf3/3&#10;3T+0BO2gwZHm3+7K4uivMikxcd+eKE1ByypaHTfhEkPcAoDJURUlt2Hk+J/P0KsycJtGQeyJHyXD&#10;yGpHFyUrbn3MteKW6nhxeDRs2Oj7rVuv37gufs0Mmw+le9BSCUj/y65tD2prcfnyJQralNRk1e+M&#10;ELR1qmjFELcAYHKSvZEtPoyclppy7fq1bt26GeVl0Hu0eJzW09NT7TAysdSD219+qfFQ9vHjRwoF&#10;nyQroKANCek5Zuzv6lTR+vn5Fd2/fzL25NEjh6w6dOlHYveuf1++dFE1aL1beI0ZPcaQoGUQtwBg&#10;WpIj9iw+jHwvL5ct+zF8iS2hz0bv0bxTJXJIpKaRxus3b/KWGR/cSkpbVULQ6vENadP25WEjRlJB&#10;TG0WuvTHsV+yFixo6UdCvNkWw4J2ytQpusyEqhXiFgBMqHIyjuSIPYsOI1M6xsSc8PLyNsr0qIeP&#10;Hp06Fcc7VXoEB2s6Mpa+FeI9h8324FZS2kr4+vrqF7RiVBAPGhxJofvgQdn+/XuTEhP5L8gbW0qr&#10;NmgrZ7qF9TNW0DKIWwAwIdUj9iw4jMzSkUpPdiiQ4U7HnRK/U1MxFDFgAO+oyEhL560q5nlwq6W0&#10;berZdMzvxvUz4PB8CQpdSu6gwA4pqckH9u2Vc5mrZc+Kyk03w/rNmfMH8QlORoG4BQBTkQwjOzk5&#10;d1XZxshsKGujjx5p6OhoyInxYpcvXxKv/KG36bfGj+MddTJrfivMcNtBpfzRo0d4R6Rhw0b9w98c&#10;HDnUFEtpu4eEDBw4kBqHDx+6WfNYXznQHrQ9goPfe2+W0YOWQdwCgEmoGUbu3dtSWyWwrKWX9Opr&#10;rxrlNag+so0ID9e+OOR2dvWK2+bNm/OWydDdwI8xJ6pmRVWrV69+hw4df/fWOB8fX35JZ/Q91LFg&#10;pTsJuqfx8fE5c+Z0muhEBMui7K81aCMGDNBjhY+OELcAYBKHDx2WDCNbahGnkLUGnhgvoE8YE3OC&#10;d6q80qlTl67adu2XPLj1MuWDW3p5P0Yfp7uBZzUn2bq7e4we+7tgfQcYEuLPnjsXzzu1oXua0L5h&#10;QYEdEhMT4n8+w69aAn032GQoyn7VoCXt/NtNnTzZpEHLIG4BwPjS0zPEe9xbcBjZ6FlL6BOKl4t4&#10;t/AaOnQo72ggfXBb9+JSR1R2HzqwXzzKTaio7dYteNjwEYZU9n5+fuxEB97XQfcQ0vPa9WsWmTxF&#10;34q4U7H79kSpnQxFDF9KWyeIWwAwMsq2o0eP8k4VSw0jmyJr6R1cfHR8rY9sGcmDWxNti0hl3LFj&#10;xyTRUnkOxLDhHTu9wvv6atP2ZQcHx/S0NN7XTUBgECVuSmqy2UaVhXKWvhWZmbdU19ESMwctg7gF&#10;ACM7ERPzoOwB71TtcW+RYWRTZC29j0sm+o576y1dBiHN8OCW7gOojOOdF4ICOwwbMbJO6X7zxnXK&#10;Kt6piVIq41oGfWN5XzeUuGxU2dT7YNALY/svaipn2TNa8wctg7gFAGPKyrr965UrvFO1d1LP3hZY&#10;aGuKrKUckuRZ/7B+mlbZihXkF5j0wS19sQf2STfTb+Dg2C+snx47iiiVzSir7uVJD5YnHTt3pv9e&#10;vVzjZCFd0Mvw8vL+6fTpuka17uhO6NCB/Wr3XySNXRr3ee01NhnK/EHLIG4BwJgOHT7EW1V69epl&#10;/mHkkuJiytrHT54YMWspfiSHEFCpp+OKkYyMmlslG/XBLXtYKx7fJu5u7iNHjdZvUIFKYScn52sZ&#10;13hfhP4qWYGrx5ra10P7Ojg4xJ74kfeNh74DmnarIPSChwwaPGfOH0JDQ009GUo7xC0AGE1cXFzN&#10;Ms67TduXecdc6M33cFXkRw4bbqyspXSJiTkhmR41VnQ2u3aZWVm8VRWERnxwSwU3vTBJzPi/7D9s&#10;xEhD7nLaBwT8dkv95hhUp1JonTnzE+/rjF5P376h+fn5RnyIy0aP1Z5Hy8rZP/7xj/TXpH3SuNkg&#10;bgHAOCSnxzs4OPbq1Zt3zCU7K5Pih/LAWHtZEHpPjz1ZI2s9PT11mR4lyMnJ4S2jPril3Dpz5rRk&#10;7DQkpGfv1/rwjr7avNSGPq2mXHz1tVcp3vSYbEx3P3Qr8MsvvxhlSJnuq6KPHklJTeb9F9j+i3Io&#10;ZyUQtwBgHEePHhUvtO3QsaOZjyWneDgZe9LHx8fA2k6MgoHe0yVTkX83Zqzu7+N0FyKeOObl7c1b&#10;hon/+YzkQTLd3wwcONAo5y7QX5yfX+u01FTer4lSs3OXrvpNNmbrwfR4+ivBilrJEDqbCfX7ab83&#10;0bZQBkLcAoARpKdnSI796dzZrCN4LH6oeDLK2QOC2BM/SrJ23Ftv1WmuzZWr1RPHiLdv7VOrahV3&#10;Kvba9RrPVukbPmRIpLEGz0m3bsH0hWvahZH+cimPqU6lEpNf0o3w9FfvArekuPjokUOqRa13Cy/z&#10;7FahN8QtABiBdKGtGY/9oTfuH6OPU/wYZRxVjFJN8lBw+LBhukxFFsvKrPHg1sCym75YelWSSchK&#10;pTJi0GDjjiWwAjcpKYn3VdBtjY+PT0zMibomrt7TmwnF/+HDhyR/KXQPNGTQ4ClTp1hqyrGOELcA&#10;YKjo48fF46XmPPaHTUKm999+Yf2MMo4qUE21/mH99DiOLSe3Oo0MfHDLRrYlr4pCcdDgSGMNnotR&#10;gfv06VMtz2hZ4h47dqxOo8qswL35W/XRvzqiV6L6rJqK2vfemyWTyVDaIW4BwCBl5eWXfq2x0NZs&#10;+zVmZ2WySchDhkQadycNtVmrxxPBrKzb4ufZfn76v0jVp8iEsta4g+diVOB26NgxJTVZS/1Kfzq9&#10;hsQ6bozcPiDg4cNyTSPVqtgAhuoAcp/XXqOiVrajxxKIWwAwyJmffhInSrdu3UxRaam6fPkSmxhl&#10;9HFUY2UtSUm+yltV1N4T0BdS6zJWtVkbEtLTdFnLdO7cRalUnv35LL0AfkkFvQa2MbLuZ9zS35e7&#10;m3tmpk6bTLEZyJJdoBu7NJ709qTQ0FDetwaIWwAwiLi0dXJyNu6Irlqs1rl86WLnLl3pvd6I6U6f&#10;2YhZS27frt670ctLzZxk+hPT09L2799Lf66mrNKUtWb4VpOw/m+WlZefjjvF++rQKxHOuNVxgdBL&#10;bdvm5eXxjmZsZZfka2/dyu/3035f14foFoe4BQCDiEvbV14xdB/8WlGtc+jAfvaw1riTn1mqSbK2&#10;R3CwIatKSkpLeUuh8GziyVsidK8wZuzvKDspe9SGrmWzltArDA/vT8UlvTZ+SZ1mzb2GjRjZzr9d&#10;Smry7l3/rvVpbpuX2nTv3p13NGAruyQPa/u89trEtydaywCyGOIWAIzGtXFj3jKNy5cvHTt2rHFj&#10;lxH67lCoidpUo7o2YsAA3tGLeAaZt7fG6WOUnZLQpddD1y2etQxFKf2hdCOiPXFJ95CQ4cNHNm/e&#10;PDExQXvourm7a9lxjO459kTtliwsdnRsOGb0GOsaQBZD3AKA0eSLdnA0FiF42AByUGAHU0zEvXXz&#10;hmrWGrhbQkF+AW/pRgjdnJycfXuibt64LoesZegP1TFxKUdD+4YJobtzx/b4n8/o+EyXoZuqg4cO&#10;lonuVIinp+e4t97SY2a4fCBuAcAg3i2qi7a6HoZaK3qnpuD5+cxpYQBZjyNudCHZQcnwrCX5BTXi&#10;tmnzFrylFQUb1e4vtW595sxpmWQtI05cdg+khRC67fzb3c7O1vEHg1L56JFDdFP1/NlTfqkKZe07&#10;77xjdQ9rJRC3AGCQl/2rhwQfPizXY2M/teid98C+vdeuX3v69MmNG9efV1QMHjLEROfmZmdlioPN&#10;wOe1gvKyMt6qontFTh/5+EmNB5bEslnL0AugOx4qvqns1mV3Cwpduj2ikl2XmyQqalW3sCAU2DNn&#10;zLDGh7USiFsAMEiPkBBHx4a8o1DosbGfBFVOSYmJ9M4rjsDHjx4mi47RNa5r12ssAO3zxhu8ZZi7&#10;d6u/D+5udViqRF++ZMaWHLKWoTueIUMiqRETc4ICkl00kFDUSmZFEScn5yGRQ3jHyiFuAcAgVHZ0&#10;eaUT7ygU9I6px8Z+DAvafXuiUtQdEt6xk0mmPdN7vTjbqJYyRSHl2NCRt2qTlpoi2c+hc5euMsla&#10;hmrWYSNGvtS6NQUkxaSBd1eailomcsgQG6hrGcQtABiKykFPz+pVLpSUx44do+Cs9Qmf4OaN63Gn&#10;YjUFLfHy8qZ3ed4xKsljxS5djLa4SLzo1sFBp7jNzsqUTMf182tt5sMedNT7tT79wvo9eVz5d01/&#10;d3WaDMVoKWqZVzp1suq5URL1KioqWKtdm7askXHzBmsAAOgoK+v2zh9+EK/BZSgmPZt4sjUwwpNX&#10;ep8tKS56/ORJQX5B3r27miobMXpnN8WDW7ohoIwX3u7ppmHmjBmsbbhNGzfdeTGeHBTYodbnl1Qm&#10;xtQ8xN6kezQaC5Xjv/7668OH5fRqu3UL1vGuiIra5KtXNQUtYdOjrLG01RSmiFsAMA5NiWs4d7fK&#10;0UveMSqKCnE1aZQJyYJVq/4urLutNW4p+CXLfkz3VZuCELp9+ryuZUEtoZutM2d+Ur3HqlevfkXF&#10;c95RKCa9PclKpyJrClMMJgOAcdCb43vvzRKvC9JPY5fGrWsWsgGBgbxlbJQQvFX15xoxa4l4j4ta&#10;z4Y7HXdKnLVOTs4RgwbzjjUIqFo03C+sn/YDfTU9qW3YsJE4a3sEB1v7sh9ViFsAMBoXZ+cpU6cM&#10;GTRY/ChXR46ODdv5txszesycOX8oeVC996Hp9mGmgoyqMd6pLEADeMsEGjpqe3ablJgo3oLfwcGx&#10;b99Qo2/lYQa+rfw0vWxNT2qpiG/ZstXjx9WP+emOzcDNvOQJcQsARtala5eZM2ZMensS1Sj01ile&#10;JiRBqUyFbJ/XXqMPnjf3w7Fjx7Rv3y49PaNQtDtVm5fa8JaxiUtbepHGWv/DZGXd5q0qDRtp/CZk&#10;Z2VKpiL36tXLbAcGm4emojYosMMrnTvfvl19Aj/9RQwfPpx3bAue3QKAORTk0/9V77KkZcbptn9t&#10;u5XFj2ajOm/EqNGmqPMkT23pzsC4FRXdNOyO2s07CsXbk97lrZokc7WILpOqrIimJ7VU1L762quu&#10;7k0kX75xH59bBJ7dAoAlNVU2pYgV/sevqqBMFrKW+Pj4mGhM1aSlre5iT/woDhsvL29bylq2XYna&#10;onbYiJFUwUu+/Hb+7aw9a7VA3AKAjJw4eZK3qnTrFsxbRnX58iXxU9sur3Qy+oKTO3dyeEvzolt6&#10;GeIocnJyfj20L++ouJeXS+n1Y/Txo0cO/WvrFvofNfRb8GoG9GoP7NuruoqaitqBAweyWwr6csRf&#10;fmOXxjazgZRaiFsAkIuy8vLfblVv8KRUKk2xtcXDR4+Sr17lHZOVto8ePuQthcLDQ81XQYEkfhlE&#10;7fQoerUUS7t3/fvYsWM3f7vZsGHD5s1a9OnzOv2PGkX37+/fvzf+5zP0Yfw3yAC9YHq14onWjFDU&#10;Ulv1ifWoUaNsZgMptRC3ACAXZ376Sbxst/MrnXnLqC4mnReXXKYobXVx/nyNl0FRJJkexYJ2356o&#10;jGsZLX19qSgcM/Z3oX3DqDRs0/Zl+h81KL0od+ke5dCB/ZTf/HdajlDU8v4LdOc0fPhIYZycvrSz&#10;8fGszfR57TXbW/kjgbgFALlISa3eT9HJydkU20iVFBdfu36Nd6oGME301LaouIS31JEMI1MaSR7Z&#10;0gewoG3n327EqNG9X+ujaa4y5S59QENHx5iYE2lGOo5JD5SgVGSrFrUODo6du3QdNDhSPFBxOu6U&#10;eDDfu4WX9R4arzvELQDIwrn4c+J9IV55xSQHEpw58xNvVenVs6eJStvSkuq4bd6sxkm3lEziYWQK&#10;pD59qiOfFYiXL11kQUsxXOtkMfoAKnN9fHwSExMskrjZWZlUXovvYxi6jRgyJFKy5zPdSYgXGTs6&#10;Nnxr/DjesWmIWwCQhV8uXeStqgQyxdYWFEXimpKKKovMg02IPyseRu7QsaNQ+dErpCKVGmw+UZ1m&#10;ZYf2DfN/2d/MicuK2pOxJ8XVKlFb1BIKZrqT4J0qw4cNs+1HtgLELQBYnmRrCyrseMt4KBh++eUX&#10;3qnyZkQEb5lRSc3z/tzd3IXiL+5ULIXlS61bC/OJ6qr3a31CQnqaLXFv3ri+b0+UalHr5eVNdbnq&#10;QUb0V/DT6dO8U6VHcLCWVWE2BnELAJZ36VKNg8o7djb+JKnTcafENeUrnTqZdG5OSWn1PpRiv/xy&#10;gbeqdO/enTUoaymGKSwpMtkV/QQEBpmhxqXg/DH6+JkzpyXrfKoGxl9/M2KA2rpcssrWVjdr1ARx&#10;CwAWVpBfkHEtg3eqTp2r0yCqLih7xM8LG7s07h8ezjumIX4Ozc4fJJLSlqpANh2MsjYnJ2fgwIFG&#10;GUKnwKbvIZXyJpqrzKZxib+fDCtqNR0HJFllaz+PbAWIWwCwsJ/P/sxbVYy+tQWFnGQYedCgQRZ5&#10;Xig5yr5Xr970X8ohymDj7pMc2jeMvsBTp+KoDOWXjIG+k2qPGXBycu4X1k9TUUtu3rguWR007q23&#10;7OSRrQBxCwCWVFZenpqWzjum2doi9mSNM9tf6dTJUs8Lb/52k7defKVst4fOXbpqPyNWDxGDBj99&#10;+vR03CneNxjdFuzfv1dcoTL+L/tHDhuuZdUWhfS5c+d4p4o9rLJVhbgFAEs6n5go3toi0NgTkuNO&#10;xYpXgnp6epp6GFkTSh3x9N22bV+m0vNsfLyXl7fqrCLDUaFJFXNu7h1KdH5JX/QZ1G5e4e7mTkVt&#10;79f6aBn8p69RcrvTupWfPayyVYW4BQBLunixepKUk5OzcYu8tNQU8bNSR8eGkUMizTCGSSU7b4nk&#10;5GTzVpXWbdpevXyZClA2pGwK9M2kLJfs31QnFJZsnY+mHRlr3YokIf6s5HZn5OhRvGNnELcAYDEm&#10;3dqCarJE0RF75I0+fcwzhnm75mG3TZtXbnNRKDp/kOpCqgjZplFGHzwXoyynklq/Wco3b1zXtHmF&#10;eEdGLS5fvmSR2x15QtwCgMUkJ1ePTzo4OFLBxzsGu5eXK1niacHD3dhY6/2i+6xLPJo0oQh8+vSJ&#10;KZY8iVGW+/m1TktN5X3dlBQXs3U+Om5eoRb9FUh2tDDb7Y48IW4BwDKysm7fuVu9UoXiUMsjwDqh&#10;N/qYmBrPCz09PceOHcM7FvLgQRlvVa1EyszM9PLyNtaXrEW3bsHFJcW6LwqikvTw4UNq1/mo7sio&#10;ycNHj9j2WIJXOnWy4bNsdYG4BQDLiK/5TLF9QABvGUZt1r7zzju8Yzk1NuX39ioqKvJs4sn7pkSV&#10;qLube86d2uOWvnVsu2bxd484OTmzzSt0H/eOPnpE/Em8W3gNHTqUd+wV4hYALEB1awujPMJUzVrZ&#10;Pi+k9HVs1JB3TKx58+Z3c7XFLZsSpfaQWrbOp05T2CSzwamUt7cdLdRC3AKABSQlneetKv4vG2FC&#10;stqsHffWW7J9Xqj0NEd1S+j7IClYxTRNidJlnY8q1elRNn9uvI4QtwBgAbdvV6+KUSqVhh9tm5aa&#10;QsWZFWWtg4Nj6YPqWdkWoWVKlI7rfCRUD/yx8+lRYohbALAA8SSptoattWUDoZI1PzLPWuLh4V5a&#10;ov4YA6MrvF9ICco7LyQlJmqZEqXLOh8JCm/JbHBMjxJD3AKAhTVsqP8jzHt5udFHj0gGQj09PWWe&#10;taSJR5O8e3d5x5TodoQy1c+vuk6lGnT3rn+npCZLRpj1mBIloD9FsnsUpkdJIG4BwAIauzTmLYUi&#10;Va9NGDTN7mHzkGWetaUPHnh5e+fn59NXwS+ZzOm4U8KaZjZ6rHoaPNFjSpQY/SmS3aMwPUoCcQsA&#10;FuDj48NbCgWlTtypWN7RAUVUUmKi2oPNX+nUaeaMGfKcmKNUKnmL4rak1Nu38obg1s0b7IqJ0DeW&#10;SttevXo5NWqkafSYXtjAgQPrOiVKjO57xJ/W0b53j9IEcQsAFtC/Xz/eqpKZeevokUO1bqZPxRm9&#10;s1PQqg6E0lv8kEGD5Tx6KX56mnfvLmWbHvs91QnbMjokpOezZ8+2bfuX6jeNXhLbJcqQs//oT5Hc&#10;90SEh2N6lCrELQBYQFNl0x7BNc61pRr3ZOzJA/v2UqDevHGdkpVdpwbFMF2kX9q/fy+9s0syg7Ru&#10;5ffee7O6dDX+uTpG1MKrOtLYMLL/yy8Xl1R+dfyqUdF3LDExoXPnLimpqfHxZyueP+O/8AKF/YhR&#10;ow08jIhevGSSWp/XXpP5X4Sl1KuoqGCtdi92K80w8eAGAACza9du8WYXemjs0njQoEGWOr9Wk/T0&#10;jN1Ru3lHoXh70rv033t5uceOHWNXCBWdAYFBVNNTm+pLdtFY4k7FUl3brFlzyvWKiuf86gvubu7d&#10;u3c3fPGV6kLndv7tLL5ZpsVpClNUtwBgMfTWTMWQo6M+M5MpaPuH9Zsz5w9yy1pNmjX3cnKqfpx5&#10;48Z1+m/nVzpTIlI1zy4ajopmlrX1Gzjcu5enmrVt276sx4JaVfQHnToVJ85aOWxMLWeIWwCwpNDQ&#10;0KmTJ1NVxPs6aN3KjwWtbNd0Kps25a0qwnBxS19f1iCUsnSdYs/LyzspKckoU5Tpkxw5dJBt6vT8&#10;2VN2UeDo4Ni/f/hrfV7nfQPQHxR99Ih4erNMNqaWM8QtAFhYU2VTqor++Mc/UohSlKotduki/RKV&#10;wjOmTZ/49kSZb55AXxFv1dSxU40DfS//epn++3po36dPn56OO8Uu6u1aRnrUrn+Xic4PFmvQwOGt&#10;8RN8qqZDG05yaDymIusCz24BQHbKysvFJ7RTsagpwGTrq+XLeUuh6BfWTxi8ZSO9rE2CAjt0Dwmh&#10;Mvdk7MnOXbrqN3GppLj4+PFjqktpxdgfxDuGkXwJZNLbkzAVWYBntwBgNahOat++nfA/q8taicdP&#10;qh9wdusWLF4RlJKanJaaQmFMWXv50kVq81/QTXFx0aGDB/bv36s9a4mxzjdMSkyUZG3/sH7IWl0g&#10;bgEAjE+8bVZBfgFvVZ0+26FjR96pkpiYQBlGda2fX2tq65i4VNFS0B7Yv+/+/UJ+SaRe/QbiUHd3&#10;o/8zwvmG9Nro/oB3qvR57TXsiqwjxC0AgPG5ubrylgpKVi8vb96pQhl2YN9ePz+/oMAOlLhxp2I1&#10;zZyilL18+RKlLFW06oO2Xv3AgMA5f5jt5lb9AnyN8ciWslayxLadf7vQ0FDegdrg2S0AgPFt+9e2&#10;Wy8mJFO4vhkxgLUZNrNXstszcXJybtzY5X7hfSpOX3rpJTaT+fGTJ1QfF94vLCoq0jJoTEHr//LL&#10;QyKHsClL4ofHffq8rvdmyIzarMWyH7Xw7BYAwHyaN2/GWwqF6jZYTo0aRQwaLKlxCaVpfn7+s+fP&#10;Hj9+lJ6edjL2JP3vzJnTVP7m5t7RlLX16zfo2qXLgo8/ovxTOz24oaP09L06Uc1aLLHVA+IWAMD4&#10;Gjk58ZZCUVQkrWIJJS6VvJ27dBU/ZK2revUbUJX58UfzBw8ezC8Zm9qsxRJbPSBuAQCMz9u7+sgj&#10;qm41PYvt3LnLiFGjgwI76BG6Hu4eb0+YYNIq8/LlS2qzFkts9YC4BQAwPsnGUgV5Gk+SpzK3e0jI&#10;uPET+vR53f9lf/E5fQJ3N3e63tSzxuccNmyYlhU44t1C8gvVTKqqVdyp2MuXLvJOFWStITBVCgDA&#10;JL5e+c2TJ49Z2/BdJqg+3rcnSngMTMk3c8YM1lZr08ZNd+7msjZFdZ1OQaA/63TcKcnJuMhaHWGq&#10;FACAWSk9PXlLoShUt2inTi4mnRdPuerWpStvafCyf/VU5Pz8fOFAw1rRR0YfPSLJ2tat/JC1BkLc&#10;AgCYRMuWNQ4k4C29ZGdlio9wb+zSuNbNJTp17MRbVc6c+Ym3tLp54/rhw4ckK5R6BAdPfHsistZA&#10;iFsAAJN46cWgIqHCVDgXqK4ePnp0Nj6ed6oMGjSItzRrqmwqPmeJ8j7uVCzvqENF7dEjh86cOS1Z&#10;ttQ/rF/EgBqLhkE/iFsAAJOQHMR77bo+h9qyDTHEK25bt/KTfGZN+vfrx1tVMjNvqd2v6l5eLl3f&#10;v3+vpAR3dGxIWYs9Go0FU6UAAExl167dGdcyeEehGDhwYLPmXryjA5a1kqPu3ntvlu7junFxcWd+&#10;/pl3qjg4OPr4+LAtnZ88eZyXl6e6uRXx9PSMHBKJswf0gKlSAADm1qVLjQP1zv58VrW41IRNWZJk&#10;4fBhw+r0DDU0NFRydP/Tp0+ozE1JTab/Xbt+TW3WvtKp0zvvvIOsNS7ELQCAqbRv3867RXU5S9lW&#10;OTKsQ+JevnxJdcpS/7B+Og4ji40dO4bik3dqQ6920tuThg4diolRRofBZAAAEyrIL9i4ebOwAJc4&#10;OTm/8sorAYFBvC9CFe3N326mp6Wpbo9s4GPU9PSMo0ePPih7wPsqWrfyC+nZU484BwlNYYq4BQAw&#10;rXPx507EnuSdFyh0mzdvLhyLS0FYdP++2qFdR8eGb/TpY5QpS5cuXsrMyryXd4/3FYpmzSv/75Uu&#10;nVHOGgviFgDAYtQmri4wZcnqaApTPLsFADA5qk3HjB4j3se4VvTBfV57beaMGcha24DqFgDATMrK&#10;y8/89NOlX6+IH+Wqooq2W5euWPBqpTCYDAAgF5cuXrp7N/f27Wzer9Kypa+7u0e7du2aKmuc/APW&#10;BXELAABgcprCFM9uAQAATA5xCwAAYHKIWwAAAJND3AIAAJgc4hYAAMDkELcAAAAmh7gFAAAwOcQt&#10;AACAySFuAQAATA5xCwAAYHKIWwAAAJND3AIAAJgc4hYAAMDkELcAAAAmh7gFAAAwOcQtAACAySFu&#10;AQAATA5xCwAAYHKIWwAAAJND3AIAAJhcvYqKCtZq16Yta2TcvMEaAACg1pWrySUlpYnnk3hfoXB1&#10;dQ0KDHBzc+3UsQO/BHZJU5gibgEAdHU2PuHgwYNHDh4ozM/nl9QJ7tU7KCioW3D3niHdW/u14lfB&#10;PiBuAQD0dysza8mSpbHRx3lfZxS9Q4cND+8fhty1E4hbAAA9XbmaPPXdd7VXtLUKixgQOXTY2NEj&#10;eB9sFOIWAEAfRUXFEeHh4qx1cnZ9/vxZ/foN6tWrnG1av0GDhg2d3Ty86zu4PK3waFDvUcXzorzs&#10;1PKyYvbxYp5K5ZRpM96dNNHDw51fAtuCuAUA0MdnixZv27yJdxSKho2cm/u0c2joXaFowK7UVzyu&#10;qCgrL80tvn/vYXlJ/QYOzVr4Obu3K3ni4e54r+heWmF+NvtIAULXhiFuAQDq7FZmVnhoKGvXq1/f&#10;13/IlRIl66rl6vC8jXPB80c37uXefPyoXNnCz9UziHLXrUHO3duXJfUuQtcmaQpTrLsFANAoIbF6&#10;qU+Ll0dqz1pS+rT+ryXNrj7uedfzraYv/87FVXkr/cfCm7ufPi5y9h7Ysv0wT6Uv/1CFojA//5vl&#10;y8aNG38sOoZfAtuFuAUA0CgnJ4c1GjZ0Si11Y20dXS9zuVzWpbDFO37tBhTfv1N4Y9ez8rSGTXpJ&#10;Qvdaasrs6dM+nDu/qEjNs16wGYhbAIDaKb3a8FbdXSr2ynSObOE/6lF56d3re8sKkp66vUGh6+xS&#10;PYZ8IGp3RHg4ylwbhrgFAKhdRcVz3tIXFcc3HCModKld+tsPzx9mPG029KWACParpDA/n8rczxYt&#10;RplrkxC3AAAaubq6ssadrDRXB0MTl7DQ9fYfXlx452nm9vqKJ+5tx3m3CuC/rFBs27xp+oyZV64m&#10;8z7YCsQtAIBGPUO685ZC8ZLzfd4yWHJpk9uuI9q073szI+7xncOPG3YRl7kXzsVPfffds/EJvA82&#10;AXELAKBRp44dmjRtyjtPfuMNI7lQ/NIT37fdmzQruP7veoqHVOYKU6gK8/PfGT9uV9Q+1gUbgLgF&#10;ANDmdxPeZo3bNy/7u5Syti5aNHzSzeOW9iHo0qf10ypCWwcM/i3jTL37sU/cQlu26cx/TaH4ZO4H&#10;SFybgbgFANDm7YnjeUuhcHqezls68Gl062bqSbeCfZ3cCvglDS4Vt3BoNf7582cPbv3w1KHdS+1f&#10;57+AxLUhiFsAAG1a+7WaOHkKa1OB28X9LmtrR3Xwb+mnqVFeVnw7/UBXt2vsuiZ5jx0znSNbtemS&#10;mxFVr36jNoH9+C8gcW0F4hYAoBYzZkwXnuDezfyptfND1lYV5HCW5bHj41/ZFYait0XDJ7yj2eWy&#10;Lm0Cwm+mxiieP2rZfhi/isS1CYhbAIBaUIE758N5rP2wvNTlyS9qn8hS0N7JSruVdsSneA81+NUX&#10;fBrd4i2tfilu5dt+xG8ZZxWPb4qnKy/7cilWB1k1xC0AQO2mTp4UFjGAtSlKX3K4yNoCCuC8rDOs&#10;LRxF4OziLqyppQKX8liXxbtXS5r4tBuefevK00d3hOe4hfn5ixcvwQ4Y1gtxCwCgk69X/NVTyY8o&#10;uH3zsuRxrL/LHdUDblu06vWk4Su8o1BQ4euQ9T39xlpnOAuJW0/xXJirfOFc/Hdr1rE2WB3ELQCA&#10;Tjw83Ddu2SI8xKVqVUjcFg2f/JYWzdrCTsieSt9rZd7Xylx9W3dkVxj6jfnXd7d9Et3VPVtLscsS&#10;97eMsw6ObsLnXL96Fba/sFKIWwAAXXXq2OH/ffY574gSV/xctlnL152cG3u3Cmjk2av0aeV7rIOj&#10;EyWu+BQgUpiffTfrHO9oQInbOmDAb+lnvFr14JcUinXrUOBaJcQtAEAdjB094quV3/JOVeIGNThL&#10;/2Xdlm0611cUe7XqlvL01ZTSypLU36U0Lyfj1vPulVsltxsl3h65RSuex1pcLPJu/XL3zGs/tfbn&#10;20nGRh9HgWuNELcAAHUjSdw7t6snIVc4tKHozXnUmverdsYQYrXgsXNRwR12nYrdi8U16l1NLpW9&#10;4uDo+ORR9ePe7du38xZYD8QtAECdUeKuXr9BmDnFUGlb72nl6p27jx3ZlSDX4rKSfCFWfRrdEqZT&#10;uTStPvygVspWb965nd6qbVfWPRC1G1OUrQ7iFgBAHwMjwjdu2dLIyYn3FYrnDm0L7v52rcyb9xWK&#10;R4XnhFht7fxQGHP2bhVwpeTFyQc6uFrq6dWyfUlhDu8rFNExJ3kLrATiFgCsw9n4BPqfrLZ6SElN&#10;f/SQ7zD1UvvXKx6mNG/VR3gc28X9biNnVyFW3SqqX7l4dZCOHjfsUlyU5+TcmHVzcqqjF6wC4hYA&#10;ZK2oqHjZ8hU9e4S8M34c/W9kZCS1P5w7f1fUvluZWfyDLGTtP75jDWcX9+f1PB6Vl14qbsGusF0v&#10;hFj1dym9ffMya7ds0/laGT+1XnfXy1waOrk4ODZi3QtJ51kDrAXiFgDki7J2+oyZ61evKszP55eq&#10;9lc6ELX7k7kfhIeGvjVuwsbNWy2Su6tWr7mWmsLaXn4hpfm/NPLsxbrE3+VO0xYvCbEq3kI573md&#10;S1umhU/7h2V1OAEQZAVxCwDyNW/+RxfOxfOOOvSrXy761Py5S/cBmzbw9a9sDwoXNyVb+UNaNHxy&#10;N+ucEKud3AqELZRfav+6MJGqruo7NHv69DHvgLVB3AKATJ2NT4iNPs7abdsHLP6fr/62dt0nn30+&#10;atz4Jk1rTAkmQu5Omz5zV9Q+U0/c3bJ1m1BwN2v5em5m4sP67VmX+DS61aJlZxarrg7PywqS2HUn&#10;Z1fxGqG6elyeyVsKRXD36o0vwCrUq6ioYK12bdqyRsbNG6wBAGBBgwYNEUZr12/erHyxeyKTlZ3z&#10;M/nppxvp0rN3iKdSOXjosAkTxnfq2IFfMh6qoSnXWdtT6evetPLN82KJP7vS2vnhk9wjz5oNZXHb&#10;1T1b2N+RtGn/WskzHz2e3ZImdzbzlkKx99AhU3xpYDhNYYrqFgDkaOPmrULWvv0fv5dkLWnl6/PW&#10;2DFfr/yaSl76ACp/+S9UodJz2+ZNIyMj3xo3wejF7rp163lLoWisDJbsa+FWkdyiVS+htJXs1Hgz&#10;/ef867v9yg9287hV60EFghYNn/iVH+IdhSIsYgCy1uqgugUA2aF0jAgPZ6O1TZoqV69d4yxa3qoJ&#10;q3cP7d17v6B6XhXDit0ZM6a39mvFL+nrbHzCO+PHsTY7q8ehoZewkQUlaNmd6JKmI9hyIMrUm6m1&#10;LJBt+dIrDo28Hz13LXvW8FZ5jS+TUrZ5oxJHRT6FNL9U9bVs3LIFcStbmsIUcQsAsrNq9Zpvli9j&#10;7T99vKB/WF/W1hEl4oWkpGMH9/O+CNWF4ydMGBgRzvt1N236TOGJcuuAwXlZZ4RwJUEOZxs48y0s&#10;KCwf39rGrvsHBs3/+ONDBw8eiNrNrugHWSt/iFsAsBpvjZvAJiT7tPJb8c1KXUpbVfkFBT+fjd+1&#10;fbtqsUvhN/O998eOHsH7OhOXtq3b9Xz8sKihy8vCWttObgVlBUk3HCNYt4tr8q0MfpbA9zt2vtq7&#10;JzWocI/au/+XC0l65C7dK8ybNxdZK3OIWwCwGsLbkXuTJsX377dtH9A1OHjYsKGqT3B1QRkZF3fq&#10;zMkTvP8CVYpTps14d9JEDw++gKdW4tlbrQMGleRfFsLV1eF58/KYRp69hIOA8q/zQKWY3LB+LWsL&#10;KHfjExKTki6kp6UK5bJaTZo2fSOs34QJE1hgg8whbgHAaghvR2//x+/fGjsmKzvnx+jok9HR/SIi&#10;xo17S79il32SPTt38P4LFLpjx098e+L4Wh/r7ora98ncD1j7pfavFhfcEsKVdHXPfvo498rDYNbt&#10;5HRB2EZKKG21uJWZlZ2dczs7R7w7Y0iP7m5urihnrQviFgCshvB8tElT5V+/WcmK2vKHD3fu/IFC&#10;d/K0aXV9miugT/JjzAm1I8wTJ0/RMpeKitFx48az0tbZxd3LL+TJozwhXKm0dSvY5+IdwVb4BLkW&#10;38nYw36JPu0XSxezNtgDTWGKhUAAIDuRQ4exBoXi/377v1SYUpuK2imT3/3Pzz/fv2fPd9+toeBk&#10;H1Mn9EmGRQ5ZvXbNJ599Llk7tG3zpvDQ0M8WLT6r7vD2LVu3ibdslOxr0a5xVouW1TshPyqsXvxD&#10;Ec5bYN9Q3QKAHAmzpQjVuLP+MEcYj6Wg3fh/m879fOaLZcta+fqwi/qhZD186OCl84m8/0Jwr94T&#10;Jr4tzKUSL0zyVPp6NH2pQlFf2NeCzUBu2HoiW2vbxf3urbQj7Jc+XLBwzuxZrA12AoPJAGBNKOGm&#10;z5gp3jB54NDhU/9jivDglpLyqy+W6LFMSFX6tet7oqJU51L5BwZNnPTO6JHDv1uzbv3qVexi64BB&#10;t9KOCuFKurgm12/Q+Jeiyp0u2KgyO0PeU6mMjonRfR4W2AbELQBYGUrcefM/Es/abds+4P05c9r7&#10;v8y6Wdk5ny1c2C8iYsrkd9kVQ1DoRh87rrpal1JT2B6ZSlsXN6WWfS3EWzaitLVPiFsAsEobN2/9&#10;ctGnvFNl2uw/DIscwtrlDx8u+59lrm5uc+b8Qb8ZyxL5BQUxJ06q3ZqKqO5r0cnpgpC+LRo+aXDv&#10;ICttqTI+evRw1YeAfdEUppgqBQCyNnXypL2HDgX36s37CsWG1X//y19XUC5SmyJ24f9b6NrYlUJX&#10;v8lTEsqmTd8aO2b12jUU6pJzh1q26fy47HrTln2r95ByLS4ryRcqXZ9Gt1jWkpnvvc8aAAyqWwCw&#10;AkVFxX9d8fW2zZt4v2r+1IcfL+jauRPrbtq85fq1a3/64E/6bYWhydn4hJ3bt7FDh1r4tH708NFv&#10;jQaxXyJtn0S7NO3Otmxs7fyw+MZOdl3tvhZgJzCYDABW71h0zH99skB4kkrYPhisTYl7Mjra8OnK&#10;qih079y58+Tpk70//OD7UvBvJS3vPnbs4n6Xit2Up6+yj6nrvhZgqxC3AGALbmVmzZ//kXjGcpce&#10;IQv/30L24JYlro4nCOkhv6DgwIGDMUeP+bTu9VvG6cY+A9la21q3bAT7oSlM8ewWAKxJa79WP+zc&#10;Pn32HN5XKC6dT5w9cxbbCmPK5Hf7RUQY6zmuKmXTpvRH/Pkvy10bF9erp3BpxK87Pv6VtxSKzz9f&#10;xFsAIohbALA+CxfM/2rlt55KPpXpfkH+H2fOYLtBURy+7O9vusQlrXx9Pv30v/40f35Jbmwfr+td&#10;3HPvZFU+3CUTJ08x/EhdsEmIWwCwSmNHj9i4ZYt4xvJXXyw5cKhy7Q0lrqub286dP7DrJvJq756r&#10;167p1LltZvoxfkmh6BbcnbcAakLcAoC16tSxw/p1a8MiBvB+1RqhTZu3UGPOnD9cvHCB1bum4+zk&#10;1KnTK8IMGPLJ3A8+nDu/qIgvBwIQIG4BwIp5eLhvWL924uQpvK9Q7Nm5gxKXgvD9OXPW/H0Ve6Zr&#10;Ol07d/rb2nVdeoTwvkJxIGr3uHHjTZ30YHUQtwBg9b5Yuvirld/yzovEbe//8uRp0z5buNDUidvK&#10;12fJksXTZv+B9xWKa6kp74wft2r1Gt4HQNwCgG0YO3qEauL2D+vbLyJi3Zo1pk5cMixyyPJv/1d8&#10;qN83y5dNmz4TA8vAIG4BwEaoJu6J2FNsojLVuOnXrvNfMBmqp//8P/89atx43lcoYqOPR4SHH4uO&#10;4X2wY9jmAgBsyq6ofZ/M/YB3FAqqOCkFz8YnrPn7Kqp0uwV3VyqbGn3bKQn2x4kPORg2esySxZ/j&#10;MD57gF2lAMBeiBO3SVMl22Sq/OHDs/HnUq4mp6el0vUpv58m7LdsClnZOevWrBEfXO+pVP5t9XfY&#10;3NHmIW4BwI4sW75COBBevK8yw6rPsRMmCAf5mciBQ4c3rP4771SZPnvO+7NmoMy1YYhbALAvb42b&#10;IGytvH7zZslJQVR9GvFoei3oD/r6L39hZwoxwb16L178eaeOHXgfbIumMMVUKQCwTfPnz+ctheLn&#10;s9VHGjCtfH2+WLbs4oULmzZvMd12j4T+oD//z39Thc37CgXdBIyMjNy4eSvvg31A3AKAbXq1d0//&#10;wCDW3rV9u2qmsiC8e/fusv9ZZtKVQs5OTm+NHbP4f74Sn1f/5aJPsf+UXUHcAoDNmvne+6xxvyB/&#10;1aoaz1AZCsKPP5rfs3fvP86cceDQYZOWuV07d1q9dk2ffv15/8X+U1euJvM+2DQ8uwUAWyZ+gjtw&#10;6PCp/zGFIpZ1xfILCv75z//LuX173ISJpp48fCL21P/+ZTnvVPl06ZdTJ0/iHbBymCoFAPaIasep&#10;775bmM+XwHbpEfLO5Mnt/V9mXbJ12/ZTMTENGjRo0rRp2YMHhfn3/AMCJ06aJP4Yo1OdP4WFuTYD&#10;cQsAdkqSuOTNwUPCqgZ1L126tGvb1s4hI5q1aPO4LMPBsWFJUdGlCz/Vq1ev/4BBb437nWQ+sxGV&#10;P3y48f82HTu4n/cxY9lWIG4BwH5R4o6MjOQdhSJiSGRBQUHF8+f38u55KlvWdw9t4vzYtdFvuSXt&#10;njyrV7/i8fMHSb/+EtewYcOJU6a+Gd5f7fizUUgGlj2Vyj9/tXxgRDjvgxXSFKaYKgUAti8hMYm3&#10;qjaa+Md3f9+5Y9vyv37TuWvXxk370EVXp9uPnrWkrKX283oNmzTvHvJq2PPnFft37/6v//efpjtN&#10;r39Y37+tXSfMWKYSfPb0aThKyCYhbgHAxhUVFf/925Ws7e7h8f6sGay9bv3G5/Valj9t4OVeqlA4&#10;5JW4sOuE0tfN85XOr75X9uBBcI+Qndu3/eWvK0x0yEErXx/JjOVvli/7bNFirBGyMYhbALBxf13x&#10;tfDg9k/zP2bTkQ4f+amstDC/1M2xQYVj/ZzSh17sA4iQvk8UTr3fGPnzT3F//p//Dg3t+92qVfPm&#10;zjsReyq/oIB/qJGw9Ujio4S2bd40fQYO77MpiFsAsGVXriZTdLG2f2CQsN7mx5ijbPS4hdt9RT33&#10;++UN2XVJ+t4r861f3+HI0WOv9u759cqvp/x+WsrV5OmTJ1PuHjh02Li5O2Xyu5989jnvVG0+hVW5&#10;tgRxCwC27Ouv+TAyWbJ0KWv836Yfnj6trF/dGj2peH4nv6QZu04k6VuvfoNHDx/ezsxk3a6dO73/&#10;/qyoAwcod/Pv3fvow7nGfaxLoS5+lHstNWXqu+8icW0D4hYAbNax6JjY6OOsPWz0GLZ/RVlZ2aVf&#10;EkofVkash0see3xb9SEK1fRt4lSYn3cnNKwf779AuUvF6BfLlq35+6qLl6/wq8bANnPu0iOEdQvz&#10;8ylxd0XtY12wXohbALBNRUXFK/7yF95RKObNm8saf1u9qULhSfWrsvFDheJRfqkbu04k6evYoMKl&#10;4b3eb4Ru+179MQYUjR9+vOCbvyw/EXuKXzIG+rQL/99CceJ+MvcDJK61Q9wCgG3asnXbtdQU1v5w&#10;wcLWfq2ocTX52p3sm/mlntR2bpjz6KkXW/xDVNNX6Vri17rld6v/3rJVqyWfL1abuFTm/ufnn+/f&#10;s8e4s6icnZwoccWTp5C41g7bXACADbqVmTV21Cg2IdlTqYyOiWETkj/7/KvCIoc7Re7eHsUO9Uuz&#10;Cn2rPrxSK88blL7CciBnh2ctPG7+8Y+z27zU+nZ2ztsTJrb0a/3//t8n7FdVnY1PuJCUdO7nM/TH&#10;+bRs2aFjR7oYGBjY1LOJIVtTbdq8Zc/OHbyjUHy18tuxo0fwDsgSdpUCADvy2aLFwoRkIaJOnDy7&#10;d9++3OI21PZyyyh99JIwJUo1fVsr8zt1ajntPyoPny8qKg4P61d0v9DXr/WHH32kfTvlrOycrMys&#10;e/n3ysvLb964cfXSJbrYsUsXCuBu3bq18vVhH6Y7SeKuXr8B207JGeIWAOwFFZrvjB/H2mERAzas&#10;X0uNsrKyRYv/58HDZlS/tmpyj65k3edTohwbVEjSt4nzYw+XzC+WLnJxqSx2//w/y/9vzXfsl0iT&#10;pkoWn5m/3Sp9UMqvVqGLzZTN2rf3F1e0+QUF6enXUlNTLl64QAV3v4iIwMCgrl076743pDhxg3v1&#10;/mHndtYGGULcAoC9EB+69/2OnWxC8v9t+uHixatUv7o1euLhfDO/9GVhSpQkfUmbZnfCwkKGDxtC&#10;7VuZWeGhoey67tq2D+gaHKwaqxS9ly7/ejIm5tL5xIFDh/d5442unTvxX9NKnLgxcXHsUTTIkKYw&#10;xVQpALApu6L2CVk7cfIUlrV59/IvXUwoKmtObQ+XvKcVXkLWUiFbOfm3avIU09ytrJHTc5a1ZMkS&#10;vlq3Tm6kp1E6fvXFkrd/97vvvlsjLM+lqrd/WN8lSxav37w5qGOHTf/c8B+Tp/ywa3etc6z6vP46&#10;bykU2dk5vAXWA9UtANiOoqLiiPBwYYbUrj17WBW4YuXazFv5VL9WRqlDbm5xG2FCcivP7KfPXe8U&#10;8YNmHRtUtGya+fbE33UP7kpdybj01yv+Gh1zMp2kpbKLJLh7D/pvaWkpXbx0IYn96aqaNFX2i4h4&#10;MyJC8vg2Kzvnx+hoymYqdiMGDtD0YPji5SuLX0zUQnUrZxhMBgDbt2r1mm+WL2PtDxcsnDN7FjV+&#10;uXhl06bNd4r9qe3lfrP8sU/+Az66y9I3q5C/+xFvj+KX/Bw+nv8B6w4aNERYTaRjyN3KzEpITIo7&#10;FXv6VKza6O3SI2RI5FDJIHP5w4c/xpzYtX17xy5dRo0erRq6f/nrijMnT1DDPzDo6NHD7CLIEOIW&#10;AGyc+CGrOJM+X7I8v7CB6uKfyhlSNdNXvPiHuuLwnj57zsIF81lbd8eiY+JOnTpy8IBq7lKxGzly&#10;ZHj/fuJJVULo9nqtz9T/mCLkcfq16ws++BNrT5w85Yuli1kbZEhTmOLZLQDYCPFD1vkff8wah4+c&#10;LCq6T1lLUepQL5c9vmWUriUKRSMha0lzj/sdO3ViWVtUVLxpwzp23VOpFI7tq5OBEeEUjdExMV+t&#10;/DYsYgC/WuV+Qf6//u+f0ydP3rR5i3C0H+XrsMghq9dWnnc7e+asrBfPaL9btYo1yIwZ03kLrAri&#10;FgBswdn4BGF7ZAo2tjK1rKzs+PHDVL9SW+laSLlZ8six6kMqC1lJ+jZxflxPcX/i+LGsKz627w8f&#10;zGW7ZOiHfu/Y0SM2rF8bExdHVTKFN/+FKnt27qDK9S9/XSFMp6LQff/9WbP+MOezhQspcU/EnrqR&#10;nsZ+iX47ntpaKQwmA4AtED9k3XvoUKeOHaghLP6hKHVt9FtuSTvRDKlcRUUDTYt/rlxNHhkZya6b&#10;4lnprqh927f9S5hBLWjbPmDchInCY10K2l07djwoLaVSmLri7bFAtjCYDAA2a+PmrULWUv3Hsjbv&#10;Xv6FpJ/zSypPrnV1yn1aUb09cuXin4ri3JLqKlOy+EftsX1GRMXuDzu3f79j58TJU/ilKlTFfvXF&#10;ktkzZ3333ZoDhw4/ePAgNyebZS0xsMgGy0J1CwDWTbL4R6j/li3/W05O+e37nqrTj1t5Zj555plb&#10;7Mq6ksU/x6JjZk+fxn5J2JTKdG5lZq1bt17tdCoxbCZlLVDdAoBtUvuQ9ZeLV3JzMu+WNKEobdTg&#10;dunDluwDCKWvQvFUyFqidC1p0aIZy1oiPrbv888X8ZbJtPZrxaZTfbhgoX9gEL9aE2Xt+nWmTX0w&#10;NcQtAFixK1eThaMIKKumTp7E2j/8O+rxc58nz+pVTj+u11jYDFk1fZ0dnjVqkDfurdGsu2r1GtVj&#10;+8yA7hLmzJ519Ojhr1Z+O2z0GGE6FQXtp0u/pLoWw8jWDoPJAGDFpk2fKUxIFrZH3rPvaGzsqcyC&#10;NhSlni5phWUBwpaNtZ78o3ZcGkB3GEwGAFtzLDpGyFqqCFnWlpWVxcWeKCmvDFSl27169b2FrKX0&#10;rV9xm02eYrQs/ln46SJkLRgR4hYArBJVouKHrPPmzWWNLVujnlW43i9vyKYf3y1pwq4TSfqSJo0L&#10;+vULY6fsicelg3v1xinuYFyIWwCwSlu2blN9yJp3L//Kr+fzSypX07o63X5S9fi26kP44h9x+lbO&#10;WG6kfvHP/Pl13q8RQDvELQBYn1uZWeIdFt+dNJG1167f9LxeS6pfvdxLFQoH8fRjSfo6Nqho7HRv&#10;7NhRrKt2XBrAiBC3AGB91q1br/qQNTkl7V7unfxSN4pSx/o5pQ+rn9Gqpq948Y+mcWkAI0LcAoCV&#10;ORufIDxkDYsYIDxk3bjx+4fPWlL92sLtvqKeu3jxjyR9JYt/1I5LAxgX4hYArMyKFSt4q/J4HH5Q&#10;z+EjPz5+Wi+vxIWitOL5Hfb4lpGkL6k8+ecVfvKPpnFpAONC3AKANdkVtU/Y2X/i5CnC4p/o48dL&#10;ylpQW+mWyx7fVn1IZSErSV/J4h+149IARoe4BQCrUVRUvOxLfmAAVaLCya+btuwULf55kF/qxq4T&#10;SfoS8eIf8bg0Fv+ASSFuAcBqbNm6TahEp0ybwR6y3vztVnpasrD451HV49uqD1EoGz+UpG9ztzJH&#10;x6fC4p916/gwMsHiHzApxC0AWIdbmVnfLF/G2v6BQXNmz2Ltbdt3PX7WgupXb49ihcIhr6SybGWc&#10;G+aI05ct/nnrrTGsuytqHxb/gNkgbgHAOixZUn3u7PyPP2aNpAsX8/Ly2eIfh3q54unHVenbSJy+&#10;StcSpbKpsPhn7T++Y9c9lUos/gFTQ9wCgBU4G58gVKJhEQMGRoSz9g8/7C5/3JzqVy+3fMpN8eKf&#10;qvStniHFFv9MnMBnSIkX/wjj0gCmg7gFACvw+aLqc2eFSnT3ngOPn1SOHrs1eqJQFOaXerLrRJK+&#10;pLnH/aCOHVUX//gHBmHxD5gB4hYA5G7j5q1CJTp99pxOHTtQI+9e/umffip60JTaHi55Tyu8hOnH&#10;qunLFv9Mmvg71hUv/pn53vtY/ANmgLgFAFkrKir++7f88ABPpfL9WXxfiz17Dz575kH1a+X0Y8Uj&#10;8fRjSfqSJo0LXn/jDdXFP+JNqQBMCnELALImPoP2Dx/MFbZHTr56JbdE6digonL68VMvYfpxc7cy&#10;SfqyxT9jRg1jXbWbUgGYGuIWAORLfAatf2DQ1MmTWJtK28fPWlDEKl1LxNOPKX0bOeSK01d18Y/q&#10;plQAZoC4BQD5Ep9Bu2QpXwh0+szZvLz8O0Xuzg7PHOrlFpU1Z9eJJH2JZPGP2k2pAMwAcQsAMiU+&#10;gzYsYoCwPfKBA4cfVK2vVboWUm6WPHKs+pDKpT6S9FVd/KO6KRWAeSBuAUCOJGfQfv45Xwh05FjM&#10;4ycO+Q+cKrdHVhTmlijZdSJJX0JXxIt/xJtSYfEPmBniFgDkSO0ZtHn38k+eiCmoilhXp3tPK6qf&#10;0aqmL11p0KBIWPwjHpfG4h8wP8QtAMiOpjNot+/4d/36zal+ZdOP7xRVR6YkfYlHzcU/B6J2s+tY&#10;/AMWgbgFANlRewZtckrajevX2eKfRg655Y992AcQ1fSlKw01LP7B9shgEYhbAJAXTWfQ7ty569FT&#10;b2HxT/4DJ3a9Mn0b3BanL11xaZinafEP25QKwMwQtwAgL2rPoD195mxx8YPcYldnh2f1K25LF//U&#10;ayykL6ErzZor1S7++Wj+PNYGMDPELQDIiPgMWmEbirKysqioPUVllfWr0u1evfre4sU/lL75JdXn&#10;7tGVhg3ualr8gxlSYCmIWwCQC03bUBw5FqNQNL5f3rBy+nFF8d2SJuw6Yekr3h5Z6VrYoWMntYt/&#10;hBPpAcwPcQsAcqF2Gwq2+Cf3fuXosatT7pPnPjUW/9RMXy2Lf4QT6QEsAnELALKgaRuKjZu+d3D0&#10;pfq1avrx09xiV3adSNKXaFn8I5xID2ARiFsAkAVJJSos/rmTnZNz351NPy592JJ9APFyL5Wkr2Tx&#10;j9oT6QEsBXELAJanqRL9fuu2sieV9WsLt/uKepWPb9l1Sl/H+jni9JUs/hGfSI/FPyAHiFsAsDy1&#10;lWj0jycfP1Hklbg4OzyreH5HPP24Kn3dhfQlksU/4hPpsfgH5ABxCwAWprYSLSsrO3LkSGFxM2or&#10;3XKf12spTD9+kb6Vv8RIFv98t2YdFv+A3CBuAcCSNFWi+w8eUdT3eLH450F+qRu7TiTpSySLf9av&#10;XsWuY/EPyAfiFgAsSVyJ/uGDuawSvfnbrdM//ZRb4EltV6fbj561rLn4p0b6Shb/LFnCV+4SLP4B&#10;+UDcAoDFXLmaLK5Ep06exNq7d+9t4OhH9WvV9GOHvJLKhT2MJH2JZPGP+ER6LP4B+UDcAoDFiBf/&#10;LFnKq9KkCxdzcu7eud/4xfTj6hlS3h7FkvTVsvhHOJEeQA4QtwBgGceiY8SVKNsemezavaf0YTOq&#10;X73c8sXTjyl9HerlitOXrjhrWPwzffYctikVgEwgbgHAMlb85S+8JapE9x84/PRJZf3q1uiJQlEo&#10;nn4sSV+idC1prmHxz/uzZrA2gEwgbgHAAlatXiNUoh8uWMgq0bKystjY2Pziyj2QPVzynlZ4CdOP&#10;VdNXy+IfYcoVgHwgbgHA3G5lZm3awA+1pUpU2B55245d9eo3pfpV2fihQvFIPP1Ykr5EvPhH05Qr&#10;APlA3AKAua1bt16oRBd+ukhY/HP1ypU7BZVt54Y5j556CdOPVdNXy8k/wpQrAFlB3AKAWZ2NT9i2&#10;eRNrB/fqPXb0CNb+4d9RzxWV9WvV9ONG4unHkvQl4sU/mqZcAcgK4hYAzGrdOj6MTObPn88ap8+c&#10;vZt7jy3+qZp+XP2MVjV9JYt/1E65ApAbxC0AmM+uqH1CJTpx8hRWiZaVlR06fLS4rAVf/KPwFKYf&#10;Ozs8k6SvZPGPeMoVFv+AnCFuAcBMioqKl33JH6x6KpUzZkxn7R9jYp8+cch/4FS5QaOiML+0cu9G&#10;RulaKE5fonQtUTZrKiz+EU+5wuIfkDPELQCYyZat28QH9bBKNO9efmxs7N37bHvke+Lpxyx9c0uU&#10;rEvY4h9hhtRfV3yNxT9gLRC3AGAOtzKzvlm+jLX9A4OExT/79h+qV79pySPH5m5lCsWjO0XVkcnS&#10;VzxDiord9gEdhMU/4ilXWPwDMoe4BQBzEK/Vmf/xx6wSTU5Ju3rlSlZ+E8cGFY0ccssf+7APIKrp&#10;W7n4p37RlHfHsW6NT/hiyhWAbCFuAcDkzsYnHIjazdrig3p2797z6Glzql+VriUKRaP8B07sumr6&#10;ksrFP6FqFv8MGz0Gi39A/hC3AGBy4oN65s2byxqnz5y9X1RC9SubflxU1pxdJ5L0JVTsOjR4onbx&#10;j/AJAeQMcQsApiU+qGfi5CmdOnagRllZWVTU3sISb2or3e4pFJ4ljxyrPqRyPlT9itvi9GWLf8aP&#10;59sjq91vGUDm6lVUVLBWuzZtWSPj5g3WAMPdyszKzs7hnZoSzyfxlm5cXV2DAgN45wVfXx+814Cc&#10;FRUVR4SHs/nDnkpldEwMe2q7/8DhU3Hnb9z1auL82LXRb7kl7YQpUa08cysqGt6umqvMeHsU+3jX&#10;+6+F86it6RMCyISmMEXc1sGVq8klJaXUKC4pSUtLZxdz7+RkZ2ezNhGeJ1mQf2BQKz8/3nmhfUAg&#10;BTbvvBAQ0N7drXofWqZDUCDev8BYli1fIRwe8OnSL9n84bx7+V988efCsoDypw1aeWY+eeaZW8x/&#10;OFXTl4rd5u43/vSnP7AJyZ8tWixMSP5q5bfCHpAAMoG41cnZ+AT6b0pqWmmV9LRU6mZlZgojV3Yr&#10;uFdvd3dpBgd378FbIohwENAd6sjISNamu8CjRw+z9up/rM/IuH8r36O5W1kjh9ysQv7mQyTpS1o1&#10;uRcY5PP+rKnUpn+h74znM5PpZ/KHndtZG0A+ELc1FBUVJ6eksljNSE8rKSmRQ1Vqb9RW4b6+vl7e&#10;NeajErUD6QQpLnPTps8U/mV9v2Mnmz+cnJK2fv0/s++/TG0vt4zSRy8Jm0appi8Vux7OmV98sYhN&#10;SFb7CQFkxa7jlj1ATTyfxAZ+kay2TW2KE7XD6URtOc7g0bghjkXHzJ4+jbXDIgZsWL+WtT9btLSg&#10;yI3qV2+PYof6pVmFvuy6Y4MKSfqSl5rdef31YDYheVfUvk/mfsCuDxs95puVK1gbQFbsK24pX6ly&#10;TUq6kJ6WeulCkrDNG4Ahgnv1DgoKCu3bV1g2CloMGjREeAoTExfHblyifzwZ/eOpjBwfZ4dnni5p&#10;7PEt+xhJ+hIqdt1d8r9aVrnNclFR8bhx41U/IYDc2H7cXrmanJCY9MuFpNOnYs2fr5KKSrWQ0jQc&#10;qsrNzZWtlGAPktW6nZ1DeOcFyaQtBncbpkB/3UuWLsVIpharVq8Rtmz8cMHCObNnUaOsrGzR51/c&#10;f9CK6tdWntkVFc7C9GPV9KVi16fJrd+NHdXntRDqqv2EADJkm3FLN7zxCYlxp06di4830WwmYYqQ&#10;MC0opEd31rDekUZhirUYe5LNOy9cSDrPWyIYjWcwLVaTW5lZY0eNUl2rs+OH3QmJqTfvNlO3+KdG&#10;+hIqdr2aKz77r8rdGTV9QgAZsrW4PRYdc+jgQWFbOAOxTGUlqY+PT0tfH6HEBB2prcXVri1mc9N4&#10;5wUrrcL3HjqEnxNVatfq1Fz8c+PRUy/hxHgs/gFbYiNxSze5/9q2Y9eO6mO86oqN+lKpymIVU1vl&#10;jM1x450XxIuexdSmeHFx8YVz8bxjApiwo0rTWp2vV/4t8/bTzHxXL/dSxwaFWYXVD18k6UtaNbnX&#10;rr3XnNm/p7b4E4qnXAHIk9XHLf2T2759ux7lLP2D7xHS09vbOygwAA/bgGErwXinJk27fV1IOq92&#10;FN0qRoPMqa6Lf1TTF4t/wKpZcdxSifP11yt1D1pPpfL1vmHdgrsjX8G4KKTnzf9IErqYIismXqsz&#10;cfKUL5YuZu3PFi29d9+D6teWTQrr1XucVejFrmta/NOzZ5cJ40ZSW9MnBJAtTWEq9yMKVq1eEx4a&#10;qkvWhkUM+HTpl3sPHUo4n/jNyhVTJ09C1oJxeXi4u6ms0EXWCuh2ZNmXlYt2CN31zpgxnbX3Hzj8&#10;8HEFZa2zw7OK53fyS5qx66SF231FPXdx1rKTf1jW0idc+4/v2HXxJwSwRvKNWypq3xo3QZj6r8mw&#10;0WO+Wvnt+YsXN6xfSxGLeStgUqqPh0GwZWv1pIop02awG5GysrLY2FOFxZURq3TLfV6vpbDUx63R&#10;E0n6spN/Ro7kM6HoEworDoRPCGClZBq3V64mjx01Ssskl+BevVnKUiE7dvQITHcCsCy6PxZujv0D&#10;g96dNJG1d/47ql59T6pflY0fKioe5JdWDw94uOSJ05coXUs8PT3ZQlv6hJs2rGPXxZ8QwErJMW4p&#10;a6e++66muccTJ0/Ze+jQDzu3I2UB5OPrr1fylkIx/+OP2b/Nm7/dunzp8p2CyrZzw5xHz1oKS30q&#10;01fxSJy+zg7PGja4++47b7EufULhTWDme+/jHztYO9nFrZasHTZ6TExc3BdLF2PEGEBWzsYnCBMs&#10;wiIGCJtc7t6997nCi+pXb49ihaKReKlPZfo+9RLSlyhdC1/2D2QLbSWfEAttwQbIK241Za2nUvn9&#10;jp3frFyBhzcAMvT5okW8pVDMmzeXNZIuXMzJuXvnfmPHBhUO9XJLH1Y/o1VN3ybOjxvUL/r91Ams&#10;u2JF9WrmGTNm8BaANZNR3GrK2uBevaNjYjDNGECeNm7eKkxomjh5Cht8Kisr27V7D0Us1a9ebvSP&#10;uvLxLfsY1fQlrk73evZ+jS203RW1T5i3QZ8Q//bBNsglbrVk7fp1a/HYBkCeioqK//4tf2rrqVR+&#10;NH/ezd9u/e3vazZ/v+3pEweqX90aPVEoCvNLqzdDlqQvqTzmtuEzYfGP2tVEANZOFnFL/8CQtQDW&#10;6Ls164R/uVOmzaB/reXlDzMzb6empD96dN/bo9jD5e7TisrHt+xjmjg/lqQvFbtOjnfFi3/EnxDP&#10;j8BmWD5uKWunz5iJrAWwOleuJq9fvYq1W/j4jB/3OyptDx46rFA0zCz0L33UxrF+ccXzUgXfua6S&#10;q9M9cfoSpWtJ06ZNhcU/alcTAdgAC8cty1rV9bX0Lw1ZCyBz4sU/7QODvvjiz6tX/6Mg/149RVnr&#10;phmuzuV3ils+eNzWoUFpK88bysYPm7uVKRSP7hRV/7t2dnjmWD9XvPiHNYiwmgjANlgybjVlradS&#10;+fXKr/EvDUDOjkXHCNtHv96v/2uv9aHGw4cPS0sfODVq2LyZp4drafPGKW7ORfklXo+eejk3zGlU&#10;P+vJsxozpJSuhf7tgtQu/hFWEwHYBovFrZas3bhlC1bWAsjcir/8hbcUiq5du0VGDm7c2MXNzZW6&#10;hfeLc+7cpUYrXy9318eeLmmNHJ/kl7SuqNe8gSKrZZNCxwaV48tNnB/Xr39f7eIfYTURgM2wTNwi&#10;awGs2qrVa4TFPwEdO928efObb759/vy5h1vjyoh1r9wrikL3zt17jo6OdMXFuai5+42HT5wLywLq&#10;1Sv3cr9ZeaS8071evfuoXfyDNwGwPRaIW2QtgFWjf8LCbsZNmjb94ssvPT2bKBT1Gjg0yMrOfVBW&#10;7u7q0tLHy9Wt8dOnz+7m5VPourm4tGjm6eqU2dwjL7fY58mz5q4Nb9avV6Z28c9H8+exNoAtMXfc&#10;ImsBrN1fV3wtLCV4uX3ATz+ddmns6uLc6GH5w0aNGj559oxC98nTp03cXH29W9AVCt2c3Lz7xSXN&#10;lZ4uzk99PW+WPWpU+rhtRUX9DRu30SdRXU3E2gC2xNxxO2/+R8haAOt1Nj5h2+ZNrN3qpZe8vX2u&#10;Xbt2Jyf7eYWiRbOmro1dSkseeDZxL31QRkXt8+fPWyg9WzRXOjg0KCsrz76T16B+Pc8mrm6NMjxc&#10;8urXr+jzao9bmVnCaiL/wKA5s2exNoCNMWvcfrZosTCVUYCsBbAi69bxYWSybPlf3n//Papf69Wr&#10;r6inuHuv4MnTZ618vajAffz4sZtr4+LSB3fzCx0dHLxbNBMe6BYUFHo1Vz5/XvLBB3M6BAUsWcKH&#10;kcn8jz/mLQCbY764pawVborF/rb6O2QtgFXYFbVPuGMO7tXb3//lu7m5CkW95krPh+UPGzas3Jcx&#10;Kzu3kaMjVbpl5Q+p26hRo9y8e8WlZeyBLhtbzs3Ld3BwoF+lWln4hFj8A7bNTHGrKWu/Wvkt9h8H&#10;sApFRcVr//Edazdycnq5bdsvvvjzgYOHmnp6ODSoT/Wra2OX4uISqmIfPXlCla6Hu5u7a+OysjIn&#10;Zyf6LXfu3nvy9CkFc4vmSuo+evT4f//3b5+Iylks/gHbZo641ZK1OMYSwFps2bpNWPwT2r9/s6ZN&#10;qlb4NMq5c7e0rJwuNnJ0oCvUoErXxcWl9EFZYVExlbmODRpQ6NKVouKSgvvF9evVc3R0aNq06fVr&#10;127f+q3q82HxD9g+k8ctshZsSdmDB7xlZ8S7GTdt3rxNaz9q1FMoXF2cWcRmZec+evKUGh6uLl7N&#10;mz169OjZs2cuzk5U5j57XlH5sLbieeVvVijuFRT6tmw5a+b0a+lp7AoW/4A9MG3cImvBxjyw17gV&#10;72bcNyysQf3qtw4hdMsePqwaMX5Wv56ihdLT08O9pPQBG0nOzct3cXJSejZ5Sr/aoMFvN3+bM+eP&#10;D0pK2Gf4wwdzsfgHbJ4J4xZZC7antLSUt+yJeDfjwE6vUPHK2mIUup5urvRLbDby8wqFo0MD7xbN&#10;Gjk6FheXsJHkwuKS58+fder0yvNnTy+eT2S/0T8waOrkSawNYMNMFbcbN29F1oLtKS0u5i17cjL2&#10;FG8pFL17aZvbSHWtsol70yYeuXn3Cksqb01cnBpR4fu84vmzZ88okomra+MS0V3LkqXVC4EAbFi9&#10;igp+FmW7Nm1ZI+PmDdbQ266ofZ/M/YB3RJC1urtyNbmk6t1K4nZ2DuGduvPx8Wnp68M7Ih2CAjGa&#10;pwvhn4nA8H8v8jdt+ky2XKdD5y5936g8+adW9LZS/vBRfsH9Fs2VjRwr1/w8fV6Rd6+gXj3FvXv3&#10;Tp88wT4sLGLAhvVrWRvANmgKU+PHraas/XDBQrvdL+ZWZlZ2dmVGFpeUpKWls4sZ6WklL55dFRcX&#10;q262pSq4V293d4NC8dKFJNWT/HVE74y8pZmbm1u79gG8o5mrq2tQYO0f5ubmKqvZqnQPNDIyknde&#10;sKu4DXqlc1jo6+yiLujN5X5J6ZPHT5o19SwqLe3U8ZXGjRt//ul/Ck9tY+LiWvu1Ym0A22CmuNWU&#10;tRMnT/li6WLesUUsUIU0vZB0nv6rGqKeSmWX4O6s3T4gkFKHtSVFp6+vj5nfg87GJ/CWBuIbBS1K&#10;S0vT01J5R7OszExhSYnhxN9VLQy/FTjz89nV33zNOy/YQ9yuWr1GmJY8ZsKEZp5N2LCwjp48fXav&#10;4H6DBg0WLPjo4KEjXy76lF2fPnvOwgXzWRvAZpgjbu0kaymZWPbk3snJzs6WJAcrAX19fb28K+Mz&#10;pEdlDMitSrMWwqiAdjoOsLO/L97RrK63AvZQn9HP/Dvjx7H2ywGBQR06Kps2cXZqpHvo0rtMcWnZ&#10;o0ePfzx6uLioiK7QTVJ0TAweYYDtMXnc2mTWFhUVJ6ekpqSm3blzh4o28Ugsi9Xg7j1YMYRAtQfC&#10;mKqYnTwlGTRoiHAXMnDo0Caelbs2Nlc2dWhQh+mWiRcunj/7M2t/uvRLTEgGm2TauLWZrGX5mng+&#10;KSM9LfnqVfb+wsYq2wcEent7U7Kaf6QXZEL4NyJmJ1WauMAl02bOrF+//r2CwgYNGnh6uNfXoc4t&#10;f/ho8//9H2v7BwYdPXqYtQFsjAnj1tqz9srV5ITEpGsZ6efi41m+0ntBh44d27UPCOnRHVN2gVE7&#10;T4qxhwL3VmZWeGgoa7u6uzds2LBfeDhVt1XPZQtdXFzcXV20Z+7ps+d+vZDE2t/v2InN0sFWmSpu&#10;Nb0HyTxr6b2DIjbuVOzpU7FsfDgsYkBw9x7IV9BE020lofuz4SNH8Y6NupB0XhhI/9NHCzLS06MP&#10;Hwzo1KlXj+4Ojo7Cmp+Gjg5qQ7fwftHObZUnyRPzf7skj+1VnwjoiF55K7/K3SsZesdgjYCA9u5u&#10;BE+UoJJJ4payduq776ouLJFt1tIL3n/g0Ikfo1kVO2z0mG7B3XuGdMc/EqjVsuUrhFPQ7ZlLY9d+&#10;VRMXnj59ei0jPScrq2//fq1a+tavX5+t+WnapPKAIPbBAvp3l515i3dsnWRiBx4/2Rvjx62mrA3u&#10;1fuHndt5Rx7OxiccPHjwyMED9Grp/rT/mxH9wvpiLAvq5K1xE3RZG23zuvd+1btq1j1T/rD8xrVr&#10;ZQ8evPHG682bKZ89r8gvvO/Y0NHD1VV4oPtbZtaRAwd4x15RBgvzP/DmY9uMHLdFRcXjxo1XXS9B&#10;Wbt+3VqZDMbeysz617YdrJalFzZ02PDw/mG4zQT9CP9A6H1T79FIa1f5yHbAIHYyPHFp7NzUwz03&#10;r+Du3dxLSUnNvb27dw92d3NV1KtfUHjfzbVxYxfnnJw7J2NOlBRXLv4BAXt6FRDQHifq2x5D41ay&#10;ApKKRdUtkeWTtbui9h06eIDeE1kt+/bE8UhZMIQwL5d+yMP69Rf2fLA3bdu179DpFd5RKFr6ej15&#10;8vRuHh/i+u23m2lXfn32/PnzZ88aOTk19/LO+u0m+yXQgqI3tG8YigGbUYe4/XDBQrYpUp3W+8sk&#10;aylo1/7jO3rZw0aPiRw6FHeOYBQbN29leyFNnDylW3B3NmfKydn5YXnlser2483BQxo1qjxQj3g2&#10;cafiNSs7l3XJ06dP40//VHS/kPdlht6jJHugCnOdtFPdIMVEwxsoD2xDHeJWD/RTsnPnDstmLb0h&#10;/v3byiM5Bw8dNmPGdPy8ghEJp0l+uvTLoMAAVunaw/qfoqLiiPBwYfa+cJxAeVnZ//3zn6GhoZ27&#10;dmVXiKYzNxu7uc14/w82+b0Shv1SUtNKq6Snpeq4BboWdGcwYeLbEeH9sErCGpk2bi27iu5YdMyK&#10;v/yl4F7elGkz3p00ET+gYHTCPCn6Uaf/2k/cipc/iU/0iomOvn07690pU1mXiD/SU6mkf4ysHRDQ&#10;vnfPEDv8V8mSWNiTTo+CmH0bRwwfiuLBupgwbsX3vGZGP9BLliyln+OJk6egogXTEf/7EZ7j2kPc&#10;CvcZ9Naf8OJA+IL8gs2bNk2eMqWpsim7IlmngF0s1KL3q4TEpPT09POJCXUqf6fPnvP+rBkoJKyF&#10;prg1wvHykUOH8ZZ5bdy8deyoUcXFxXsPHfpi6WJkLZgI5StrBPfqzRp2gr5wIRWEapXEnjwREBgg&#10;ZG1RUfG8ufOErKW7EGStWvQeNXb0iIUL5v+wczu9Ea9ev4FyVJcfqvWrV0WEh69avYb3wTpprG6F&#10;/VPE58QRyZxM8T2v2dA/77+u+Hrb5k32UF6AxYnnSdGNnVDdsrUcVR9imyhWhbhd9OV/ezZpQo3y&#10;stLMW7/5BwQ1qN+A/dK/tn6f8PMZ1u7YpevAwUNYGxi255SW7eqo6o05EXvwwP5aS17K5sWLP8e2&#10;PDJXh8Hk8xcvavqxUN2ycdjoMd+sXME7ZkFZO33GzJvXMv62+jvcRIMZiOdJTZ08SYhb+9Gy9Utd&#10;X5wo3MrX6+HDR/cK7rNuVuatS1ULGaBWVMN06NixW3B3TWt+KHf37T+4f+8e7UtCcJiSzNVhMFnL&#10;E4KUVOkB481bePGWWVDejxs3nhrRMTHIWjCPlBT+3hdUdez8bR2O4LUxbV5+mTU8m1S+OQhZ++BB&#10;KbJWdxSiB6J2f7no0/DQ0LfGTdgVtY+KB/5rVSiD58yedfTo4a9WfqtlkJk+A90CSn4vyJ+a6lYS&#10;yGKq28Z26NL1+y2bzfMMn368KGvdPTzks3EV2APJPw3hX8HEyVOGDh1a9Su2ZsFHHwlbHHsqlZu3&#10;/osaT588jj52tEdIz+Ze3tQtKyub8R9T2Vnx5D9mvf9meH/WBsKWBlGDLdtVOzOZzT3WtJ7ibHzC&#10;ihUrNI0wUx7jnVCe6jCYrCVu1R6vbZ4DCdgYMjXwEwbmJAwd07sb2wxc+Fdgq/NvV61eI56i4de2&#10;bcOGjZYsXVpWUpR39+74t99m18XvBuZ5E7B2V64mp6Smx52KpRqXX6riHxhE315NP0tUBC/7cqnq&#10;7vQEiStPdRhM1uLSi+MqxbZt3vTWuAmmHtn464qvb17LwM8WmBnVKKxBVR1rCBnTISiQNWzJrcys&#10;TRvWsTbVXucvXjxxImbme+//8f33//fv373StRv7JYpk4ftAb/ofzZ/H2qBFp44dxo4e8c3KFfRd&#10;/Wrlt5Sy7Pq11BS6pVu2XP0kGPot0TExw0aP4X0RKnznzf+Id0D26ha3kjustu3aswb9rUeEh9Nd&#10;GOsa3bHoGAr1v63+DlkLZnYtg89XaN++8qed0oh16b3SJn8a161bL/wzX/jpIvY10jv+Bx/+qX1A&#10;wMihQylo9+4/JJS/FMmLF3+Of5h1Qt8u+payZ7T0DWQX169eNW36TLV1C308hfSnS7/kfRG66dGU&#10;0yA3dYhb4Y1GMHLM2A8XLGRt+if6ydwP6Mfl7ItFika04i9/mT57DuZGgfmJ5klVxq1Q7Hbo2JE1&#10;bAn94xV2YaSalSKBtdPT0u/dy1/6+WcxcXFnfz7z0Z/msOuEIhnrUvRG32Fx5UrZOX2G+sQlUydP&#10;+n7HTiGeBZTTpnjXBaOrQ9yKTwQSzJk9S/wTQD8u74wfxybdsSuGo09VcC/v/VnVq+wBzEaYqMJC&#10;JS2NF7vt2lfOUrYx69bxYWQyf/583qpagPvGG32cXVxa+7Vq1qyZMOFj4uQpQiSDfljlKtQt9PP2&#10;1xVfs7YqKjk2btmimrifL1rEWyBjdRtMlgjpUbkUj34C6AaNqk92kdBPDFW6PXuEfLZo8bHoGH5V&#10;X2v/8d3Y8dgJGSxAKBrCIgawBjssi7AffltyKzNLeBxL9ZYwmHQ67hT9N+TFupRI0WTsbi8W44KB&#10;qG75auW3rL1t86aNm7eytiq67fvzV8t554VrqSlafgvIRB3itrikhLdUUBYuXDA/Ji6O7nb5parh&#10;Zfq5mT19Gstd1UVmuqDf0qFjx+HDauytAWAewtBx+wA+K0qYLejr68MaNiPmRCxvKRTz5s1ljfKy&#10;soSE82H9qlf4rPjLX3hLoegZgrg1mrGjRwjvn3//dqXqwzvBwIhwcXnDbNv6PW+BXNUhboVhNE1a&#10;+7X6Yuni8xcvfrr0S2HSHWG5S/Vuj65d3xo3YdnyFRS9Wn6YxNhICx4OgUWozpNi04g8lUq1uwJZ&#10;NbZIlNBX5/HiXNgTJ074eHu1D+CTIqmEEjY8omywvW+CZX00fx5756Qfs3Xr1rOLar0/a4b4PZbQ&#10;34vpJquCURg0mKwWBeTUyZOOHj2899AhugWT/ExcOBe/fvUqit7w0FCqeqdNn7lq9Rr6KcGjfpAh&#10;yTwpYfpCF1scRPXx4fU6vddv2bqNGgX5BWmpaQMGDWbXi4qK2ZHShCIZi3+Mjt48Z773PmsfOXhA&#10;y3Cg+CMFa//xHW+BLBk/bgVUki5cMJ/lLtW7wtMvAf2rjo0+/s3yZZS+74wf165N20GDhlAAU/lL&#10;GUwBjAwGC6I3O8k8qcTzfCTZJk8mGDt6hHBzTP8qqZQ/eGBfly6dhZN/vluzjhX3ZMo0nAdnEsLf&#10;gnDTowl9pGTOFApcmavDrlKSvWaIHrvqUILSe1ZGelry1avCqFStWFT7+vp6eVfegLMTNqih5ZAN&#10;AAPRzyrbT0o40fnDufPZfkCr128YGBFe+UG2hd6s6d6XtUePG9+2dav/+P3vnV1cqCs+noTygG6j&#10;WRuMTvhboDTVft6a6nsy/mrkwAibOBolbsWoekhOSaX01bKnqI7o51IY33Nzc5Ms0hDiWRUCGzQR&#10;fuCnz56zcEHlqphBg4awe8SYuDhbfWwp3ppRE1vdvVI+hJ+0r1Z+q2WpFb2FRoSHC0MOjPbfAmYg&#10;x7hVdSszKzs7h23tzVZcXLqQJPlhshS6bWQHAOtC98FGLbcCEm5urpgyZk5CLcvev+itrUfXruyX&#10;NP0bsQFCTa+JUOuD6QgFbq3VKgpcGbKOuNWExXBxSQmbHU1hnJ6WSo3i4uqnayAW3Ku3+4vJpdoJ&#10;Q/S60H2xqa+vj7XXf0KFsffQIbrRUR1btlUfffzJnh928k5N9LV/veKvGBAyNXHZqkeBa6sPO6yF&#10;dcetLlgk845oVotA2KBAE/lU0nZF/CCgVu0DAl1dXXlHK/owdjythI6PD1RrWdWxZZtEX3i/0L70&#10;tvD7We/Vr19jKmVAQHu8iZuN8POmR4GLEQjLsv24NSd6S0pOqSyvdaEa/JqwZ9i8UxtDHnXbuWGj&#10;x0yYMEH7j65qLfvZosVsP2Hbfjb20ccL9/ywY868jz780x/4JbAEAwtcPF+3IMSt/bpyNbmkhO9g&#10;oJ0wXK+LjPS0Es0bjYllZWbqPgvdbCZOnvLR/HmaKl3VWvatcRPYkws2tlz5QTaHTT9u1abtyZOG&#10;7r0KhhN+CIWzljVBgSsriFuwDlRW8lZtbmfnEN7RStPDfi2nc0vmSVGj1n8gNmDSO+/G//QTnvzJ&#10;hLhs1f5meyszKzw0lHdewPuzpSBuASpRnK9bt068F/83K9UcF2qH86S27fj3Z5983PuNN7Z+v4Vf&#10;AksTHmHU+oMnfKQABa6laApTE+4qBSBDdINI70FUs7IulbCq9TRVFcLoNxs3Fs4q8PX1ZQ0bQ1/y&#10;mu9WU+M///M/2RWQgxkzprMG3SBqH/gRPlJQ628BM0Pcgj0aO3qEcKa3+JBXRpgHR/UBawhnFfi3&#10;45v125h1G/6ZdfPGqLfGY223rLT2ayUcE6T6gyom/kiB9t8CZoa4BTslnDFHRcCtmudTqe6NLMwY&#10;V7u4yNrRl79140Y3D4/PPkVpKzsGFrhXribzDlga4hbsFFUDQoGbkFhjsVZGOh86Dnhx8By9bbGG&#10;TU5WWLny25LiIpw6IE/isvXgwYOsoZbaAnf79h28BZaGuAX71e3F9hrp6TWWPyVfvcoarJYV6oPg&#10;Xr1Zw5ZQwbR/97/92rTFQlvZEsrWbZs3SUZiJFQL3Fp/C5gN4hbslzAyzJYJMcI8Kc8XZ8inpPIw&#10;DgqqcXizbfj228pZY//z1VesCzIkHonRfuy82gJX+28Bs0HcAtQgzJMStpYUal/dN5e2Ftt2/Dvh&#10;zOlXQ/tiRZ/MTZgwgTVQ4FovxC1ADarzpITaV/cTGqwC1fHL//tLavz3f/+ZXQHZovshYZ58rQWu&#10;8JECFLhygLgFqEHLPKkOQYGsYRvWbfhnSVHR5GnT2Zg5yNyMGTNYQ4cCl3+kAAWuHCBuAWqQzJMS&#10;3qT8A4NsaeIufV3/+N9v3Tw8PvjTH/klkDfdC1zxRwpQ4Foc4hagGoWQyjwpXux26NiRNWzDn//8&#10;P/Tf2X/6EIt/rIi4wC0qKmZttVDgyhDiFqCaEK7CPCnhiKR27W1ng4uz8Qk/HjnUsUvXGdOm8ktg&#10;DcRl65at21hDLbUF7r792pbtgqkhbgGqCeEqzJO6kHSeNWxpntR//7lybtR//td/sS5YkfEvpihv&#10;2rCurgVurb8FTApxC1BNCFdhntSlC3yisq+vjawCWrdh49VLF98cHEkFEL8E1mNgRLh/YOX678L8&#10;/LoWuLX+FjApxC1ANSFchXlS7LRR4VGutaPiZvX/fkON//qv/8eugNWZ+d77rIEC17ogbgE41XDN&#10;zubH1wuPcq3dt//7t5Kiovf+9AEW/1ivsaNH6F7gso8UoMC1IMQtAKc6T0p1ywtrt3nDejcPjxnT&#10;fs/7YJ10L3CFjxSgwLUUxC0ApzpPSnXLC6t2LDqG/rvgPz/F4h9rp3uBK3ykAAWupSBuATjVeVKS&#10;LS+s3bGjx3r2eX3i+N/xPlgzFLhWB3ELwEnmSdH7EdvygtjGk85fLiR98MEHvANWzsACNzrmJO+A&#10;uSBuASqpzpMSjgZS3S7AGl25mvxanz5Y/GNLDClwt2/7F2+BuSBuASppmSfVPsAWTiZISExSPZoN&#10;rJohBe6Fc/EYTzYzxC1AJdV5Url3+Cqg9u1tYZ5Uz5DuWPxje3QvcPu/GcFbL8QnJPIWmAXiFqCS&#10;6maNKSn8wW1QoC3EbaeOHXgLbIjuBW6/sL689UJS0gXeArMwKG4/X7TobHwC7wBYM2GelHCo7YVz&#10;8ayBoAI507HAVX1sn57GZyeAedQhbn18pHvGXktNeWf8uM8WLca5TmDVsjIz2TwpKhTYmlThPtI2&#10;5kmBDRMXuNrnG0t+mIVbTDCPOsQt/aUG9+rNOyLbNm8KDw2l0L1yNZlfArAqwoIf4VBbYeaUr68v&#10;awDI1sRJ77DGL1oTVPLDzG4xwWzqNpi8ePHnnkol79REoTsyMvKtcRM2bt6KYheslHCo7bUMPnPK&#10;v50tPLgF2yZsw5Kdnc0aanl5S0co8TTQnOoWt506dti4ZYvaGpe5cC7+y0WfUrHLchf1LlgXYZ6U&#10;8LZlG/tJARDVB4J591Dgmk+dp0pR4q5ft3b67Dm8rwHLXap3Bw0a8tmixbui9qHkBfkT5knFRh9n&#10;DewLAfInPPtwc3NjDbVaqpzZXF5ezltgenWOW+Lh4b5wwfzvd+zUZRbJtdSUbZs3fTL3Ayp5e/YI&#10;+XDu/FWr15yNT8AKa5AbYZ6UMCqjZSAHQCbox/Xv365k7dC+YayhIyzFNid94pahu/4N69dS6A4b&#10;PYZfqk1hfv6BqN3fLF/2zvhxPbp2pcJ32vSZlL5U++IRAlicaJ4Uf3AbFFRjIx4AuTkWHTP13XeF&#10;efVjR49g10GG9I9bhkL3m5UrYuLiPlywkE1G1x0VvrHRxyl9qfalAG7Xpi2VvxTAny1aTBlMP0Yo&#10;gsGchHlS6ek8blWnlgDIBL090rvl7OnTWNZ6KpVfr/ya/RLIU72KigrWorRjjYybN1hDD1euJu8/&#10;cOjEj9HCygqjCO7V293d3c3Njb0hBgS0pw418FwNDEFvWHSfxzsKxfc7drKfKHoXY89uhSsAMkEV&#10;SHTMye3b/iVsw0Ioazdu2VLrfiwLPvnP3Ttq7DyFn3BT0BSmRo5bwa3MrJgTsb9cSDp9KtYMq7uE&#10;p8i+vr5CReLj4yOeGtAhKBCnaoOYJG7PX7zIfkKEfwvCFQDLEt5RD0Tt5pdemDh5ykfz59X6g7px&#10;89YvF33KOy8gbk3B3HErRiVvQmIS/aAkX71q3KrXQKxo5p2axLEtcHV1VbssBD+vVkoct/6BQUeP&#10;HqYGva+Fh4aKrwBYBP18pqSmaSlaKGhnzJhe63Qn+pH++uuVqjlNjP5uD8SScStWVFScnJKaeD4p&#10;Iz3t9u3b4vEQG6M2y5HisiKO22Gjx3yzcgU1jkXHzJ4+TXwFwAwoFLOzc+i9MfdOTkpKipb3RvrJ&#10;DO0bFhHer9aKlt5vt2zdtmnDOrVp7alUJpzHoUDGJ5e4VUW17+3snLS0dArgkpISYb0jqKV28VX7&#10;gEDKbN55QTKWzri5uWLDfYE4bj9csHDO7FnUWLV6zTfLl4mvABgXS1Z63yM6vu/5Bwb16t27W3B3&#10;XVKWaA9aBjeUJiLfuFWL3gfpv+x8b3Yy2qULSWZ4Bmy3dE9xYZ6amK+vjzUu4BPHLeZJgXFRIVFS&#10;UlpcUsKOUmaxmpWZqfsDteBevYOCgihigwLb636XTH/u9u07jhw8IH7DpLR+9bU+Wzf+k/erfLr0&#10;y6mTJ/EOGI+Vxa0mbCyaGuzGkBq5d3LYfnvFxcU2PDRtjTyVyi7BfE9EMeH8djGLpLg4boVZUT17&#10;hLD3qZi4OGwCABIsRFlbeBciwnnJehcGlIit/PzoXwcbl6rrrR69sBMnT+3fu0cS5/TPcMq0Ge9O&#10;mjhu3HjJL+En3ERsJG51xMZqeOdFlSwoLS1Ve9AjCmiroDbFhUViEsIeyGLCHHV6h/r665V0o1Zc&#10;VCSZJ0U+XLCQNcB+CLfvgjrVozpiEzvY6BG70dR7HOVYdExS0gW1ay8pvydOemf0yOH00y7MSBDQ&#10;a/hh53beAaOyr7g1LqGklpCkOCPc5IohyOWP1RYYIwGjEG4K2exIYTqk4csR6e0oPiExLS2d3mrU&#10;PvGlP3rw0GGhffsOjAjnlxSKt8ZNkPxgYyTZdBC3siMpwRnhSY8EUhzA4sTLDcQDKsKjEFNMRbwi&#10;mkyqZS0lS1m1c6lUV9zSB0fHxBgY/KAJ4tZeiJ8tCcQPmQSaBtXtfHJ4WMQAtU+XwbapnT1g5r1x&#10;2D/elNQ0+rdJd9i6jLWwH9eQHt01DUfT5xQ2VRZg1r1J1SFu8cgKVBUUFDx5/Ih3XiipwjsvsEeh&#10;vPNCeVlZduYt3pE3vBOB6QhjWsIdMBu40n2kyj8wqEPHjlRYa4lYQVFRseoMKZS2plaHuAWwZxMn&#10;Txk6dCjvAFQNEdN/VQeNJCSTOdjKH9Y25LkPWw7k5e1D+VqnapuydvqMmar18er1G8SPdcHoELcA&#10;ALLGng2zZxkUroY8Cb5yNXne3HmqD3qxtYUZ1CFuv9+xkzUA7IGw9BbA1IT9ZFimClu/GXdDlY2b&#10;t/7925Wq9TTF+fp1azGMbGp1iFvJRwDYNsm4DlsRxDsAOlDdf0088cqce67dysxasmSppgVCuhzS&#10;B4ZD3AKoJ4lbTJUCa0RBu27d+m2bN/F+Tchac9IUpvX5/wcAACt0Nj7hs0WLw0NDNWWtf2AQslYO&#10;ELcAAFamqKiYUnbZ8hWDBg15Z/w4TUFLwiIG7Ny5A1krBxhMBnuHwWSQLbZOl202x/alqdM+o/hh&#10;tghNYYq4BXuHuAULEja+YJtJsUylroFbtFJRO2/eXBS1FoG4BVAPcQtGx07sZsRbqAp7X5jioCEm&#10;uFfv+fPnG3dlEdQJ4hZAPUncAlipYaPHTJgwAUFrcZrCFFOlAACsmLuHx6dLv4yJi/tm5QpkrZwh&#10;bgEArEZwr9689ULf8DenTp5ktp00QG8YTAZ7h8FkkBu2ebJwpG5Ij8qT6oXzCSQ/sZhtIDeawhRx&#10;C/YOcQtmxtKUGsLuj2zTR13OJDgbnyDZ5RtxKzeIWwD1JHGLPZNBP+bZOVk1bj9d+uXUyZN4B2QA&#10;cQugniRuUSuAnKnG7fc7dmKGlKxoClNMlQIAsBqSQ+zBiiBuAQCsmG/Vibkgf4hbAACrUVpaylsv&#10;YAmQtUDcAgBYDbajMlgjxC0AgLXyDwziLZA9xC0AgNUoLi7mrSpYtGZFELcAAFZD98NuQW4QtwAA&#10;1qp9QCBvgewhbgEArENRUY2RZCLZxwrkDHELAGAdklMwLdmKIW4BAKxVQEB73gLZQ9wCAFiH29k5&#10;vPWCcAQCyB/iFgDAOuTkSOMWrAjiFgDAWnUIwsxkq4G4BQCwDrl3pNWth0flMfVgFRC3AADWITs7&#10;m7fACiFuAQCsUljEAN4Ca4C4BQCwDlmZmbwFVghxCwBgHa6lpvAWWCHELQCAVQru3oO3wBogbgEA&#10;rMCVq8m8BdYJcQsAYAVKSkp5C6xTvYqKCtZq16YtawDYsw8XLJwzexbvAMjG2fiEd8aP450q3+/Y&#10;+WrvnrwDsiGEacbNG6zBoLoFALACKalpvAXWCXELAGAFSkulg8lubjjs1pogbgEArFKnjh14C6wB&#10;4hYAwApcSDrPW2Cd1EyVwsZgYM8ihw4bO3oE7wDIxrTpM2Ojj/OOQuGpVCacT+QdkBNNU6XUxK3k&#10;IwAAwOIkcUt10Yb1a3kH5AQzkwEArJg4a8EaIW4BAKyPr68vb4GVQNwCAFgfL28f3gIrgbgFAJC7&#10;s/EJvAVWC3ELAGB9fHxQ3VoZxC0AgNwVl5Tw1gstfRG3VgZxCwAgd2lp6bwFVgtxCwBgfXxR3Vob&#10;xC0AgNypnk/Q2q8Vb4GVQNwCAMhdeloqb4HVQtwCAFiZ4F69eQusB+IWAEDusjIzeauKu7s7b4H1&#10;QNwCAMjdtdQU3gKrhbgFALAy7QMCeQusB+IWAEDWbmVm8dYLrq6uvAXWA3ELACBr2dk5vAXWDHEL&#10;AGBlQnp05y2wHohbAABZu43q1iYgbgEAZC0nB3FrCxC3AABW5tXePXkLrAfiFmzBrcyss/EJqhM4&#10;tWC/paiomPcB5CojPY23wJohbsEqUUwei45ZtnzFtOkz27VpGx4a+s74cXWawLlv/0H6LT26du3Z&#10;I4Q+yarVa+gTIn1BhkpUDrsFa4S4BWty5WoyRexb4yZQTM6ePm396lWx0cf5r+mrMD+fPsk3y5fR&#10;J6RPS5984+at9AfxXwaQmbCIAbwFVqVeRUUFa1GJwBoZN2+wBoBMUPjtP3DoxI/RareyGzZ6TLfg&#10;7j1Dunfq2IFf0s3Z+ISU1LRfLiQdiNrNL4n4BwYNHzlqxPChOOkMLKtnjxC6KeSdqrjdsH4t74D8&#10;aApTxC3IV1FRcdTe/du2fq82ZSdOnhLat+/AiHDeN8yx6Ji4U6e2bd7E+yL07hY5dNjY0SN4H8C8&#10;hDdnhu4vv1m5gndAfhC3YE1uZWb9a9uOXTu2iW/qGSo6J056Z/TI4R4exj8URUvAm/TPBdBCErcf&#10;Llg4Z/Ys3gH5QdyCdaCgXbduvdoqkwJv5nvvm6fK3BW1b+0/vlMNXU+lcsq0Ge9OmojQBfM4G5/w&#10;zvhxvFMFcStzmsIUU6VALqiyXLV6zdhRo1SzloL2q5XfHj162GwjuvQH0R9HfyjlK79Uhartb5Yv&#10;GzduPOUxvwRgXjifwEohbkEWjkXHUIZRkqmOHtO9/M6dOyzy6JT+0OiYmOmz5/D+C1T1fjL3g2nT&#10;Z2ICM5hfUGAAb4FVQdyChVFR++Hc+bOnT1MduQ3u1XvvoUNzZs+y4Mgt/dELF8z/fsdOSZlLYqOP&#10;j4yMXLZ8BVbrgukknk/iLbByiFuwJCpqI8LD1a7DmTh5yvp1a+u6tsdEXu3dk8pctesd169eRXU5&#10;ylwwG19fH94Cq4K4BYuhupCKWtXRY/LVym+/WLpYVtOR6MVsWL9WdWCZUF1OZe7GzVt5H8CUsBDc&#10;SiFuwQKKiorfGjeB6kLeF/FUKr/fsdMiT2p1sXDBfLoV4J2avlz06Ydz52NgGYzrQtJ53gIrh7gF&#10;c7tyNTkiPPzCuXjeF6Gs3bhli8xPO6FbAU2JeyBq9/QZM+t0UgJAnfgHBvEWWBvELZjVseiYqe++&#10;q3YAmWWtTB7Waqclcek2YuyoUXiUC8ZSXFxjvKSVnx9vgbVB3IL57Irap+lhLfnb6u+sImsZLYlL&#10;XyDdUiBxwSjUjgOBNULcgplQ1n4y9wPeUUHRZXUnZlPifrhgIe/URIk7MjISW2GA0fn6+vIWWBvE&#10;LZiD9qydPnuObOdGaTdn9qyJk6fwjgr6ko9Fx/AOQN2pzrzz8sYqIGuFuAWT0561wb16L1wwn3es&#10;0Efz59GXwDsq/uuTBRhVBr0lp6TyFlg/xC2YFoXNsi+X8o4KT6VyxYq/8o518vBwX7z4c95Rgee4&#10;YFwBAe15C6wN4hZM6FZmlqZ5yMwfPphrA2v2O3XsoOkhLmGJi/W4oIfb2Tm89YK7mxtvgbVB3IKp&#10;UMDMn/+RlqwNixgwdfIk3rFyc2bP0rIgkr4J02fM5B0AneXkSOMWrBfiFkzl88VLtK9hmDdvLm/Z&#10;hCVLNY6ZE/pWfLZoMe8A6KtDUCBvgbVB3IJJbNy8Ve3BA4KJk6dY0SpbXbzau6faMwwE2zZvwtIg&#10;qJPcO9LqVlYbiUOdIG7B+K5cTf5y0ae8o8GMGdN5y4bMmDGDtzRY9uVSbPEIusvOzuYtsH6IWzCy&#10;oqLixYuX8I4GVNra5KkmtRa4hfn5S5ZoG3MG0EL7TxfIHOIWjOy7Netq3XbOJktbptYCNzb6OI7q&#10;Ax1duoCz5W0H4haM6crVZLXH6okNGz3Ghg/spAK31jNb/v7tSgwpgy60TOwHq4O4BWOqdRiZRA4d&#10;yls2auKkd3hLA3oP/frrlbwDoLPg7j14C6wQ4haMZlfUvlqHkT2VyoER4bxjo8L7h/GWZgeidp+N&#10;T+AdAHWwGZmNQdyCcRQVFWvZrFEweOgw3rJdrf1aadlFWbBu3TreAlCnpKSUt8AmIG7BOLZs3abL&#10;c6bQvn15y6YNHTactzSLjT6OZbhQJyE9uvMWWCHELRgBlbabNuhUq9n8SDLTM0Snt8W1//iOtwBU&#10;pKSm8RbYBMQtGIGOpa39rBrs1LGDp1LJO5pdS03BE1zQpLRUOpjs5ubKW2CFELdgBDqWtu0D7Gi7&#10;1y7BOhW4eIILurOxfU/tDeIWDLUrap+OqwPbt7ejozp1XLMRG30ca3BBrQtJ53kLbALiFgx16OAB&#10;3qpNS18f3rIDPj66frHr1q3nLQDNdHk8AXKGuAWDUGVG9Rnv1ObV3j15yw7ofm9xROf7FbBnOj6e&#10;ANlC3IJB/rVtB29BTb46x21hfv6x6BjeAXhB9xtZsAqIWzDIiR+jeas2te4kbGPqtC903KlTvAWg&#10;ga+vL2+BdULcgv6uXE2+lprCO7Vp5efHW6AC48kgUVRUzFsveHnb0dQHm4S4Bf2dOImazDgwngwS&#10;ySmpvAW2AnEL+sNCBSNKSrrAWwDq6D7XHeQJcQv6w1QOIzqfiO2loFpxSQlvvWBX6+hsEuIW9FTX&#10;3QeLi6XPokDswrl41cd1YLfS0tJ5C2wF4hb0lHg+ibd0U+tRuBCfkMhbACo6BNnRHqg2CXELespI&#10;x3El2uixNSMKGhDk3snhrRc8PNx5C6wT4hb0lHz1Km/p7MrVZN6yA9nZ0rfLWmHqGQiys7N5C2xF&#10;vYqKCtZq16Yta2TcvMEaAFoIPzC6+37HThPt41hUVJyckpqSmlZaWkpld0nVNJOszEzxsmD/wCC2&#10;9tfNza1d+wBXV9egwIAOQYEmKhp2Re37ZO4HvKMbeoVHjx7mHbBv06bPFE9FDO7V+4ed23kH5E1T&#10;mCJuQR9Up46MjOQdnX24YOGc2bN4x2D0Gk6cPEXhevpUrI5HEqlFIdehY8duwd17hnQ34gFnq1av&#10;+Wb5Mt7RGf71ATNo0BDxzWJYxIAN69fyDsibpjDFYDLoo6REevC1LlQfR+nhWHTMZ4sW9+wRQnlP&#10;eXYgarchWUvoTY0+yZeLPqVPSO9x9MmNsuOEfiPDdjXeDlrovl8bWAvELegjJVWfeVIpKfq/g5yN&#10;T2ApO3v6tG2bNxkYsZrQexx9cvoj6A9atnyFIeF36ULdZm4z+t3HgM1rH4BpyVYPcQv6KC3VJxX0&#10;W1q6K2ofFZ3vjB9nupRVRX/Q+tWrqN6dNn0mvQB+VWeU0/q91Nt1n2AFtkd1WrurqytvgdVC3IJZ&#10;Rcec5C0dsKD9ZO4HFhxYi40+Ti+AXkadQjchUZ/SluTkIG5Bn2ntIH+IW9CH3k9hf9FtiFUOQStG&#10;L4OFro57acWdiuUtAGMI6YGz5a0e4hb0ofeiwFpPmrtyNXna9JnyCVoxeknvjB9HL0/7FhZFRcXY&#10;TRoMod/cCJA5xC2YVaHWk+ZWrV4zMjJS5llFL2/sqFEbN2/lfRVRe/fzFoBe9JsbATKHuAVzO3Tw&#10;IG+JUFH71rgJeixUtQi6afhy0aeaytxtW7/nLQAjMdH+MGBOiFswtwNRuyUptStq39R337W6MwxY&#10;mSt5mktdGQ6Dg3XBhuQ2CXELFrBu3XreerHZodlW+BgXvex3xo8T3z2sW7eOtwD0xXYhFXgqlbwF&#10;1gxxCxawbfMmIaLGjh7hHxjE2tYoLGJAa79WrE2lLSZJgdF1Cca0ZFuAuAV9BHfvwVv6Ehe48z/+&#10;mLeMioJQ/L/gXr35LxjVvHlzeQulLRgJbtpsEo4oAH3ot/++xN5Dh4QjAT6cO/9A1G7W1oOnUvl6&#10;37B27QNCenR3c3PVftLAlavJt7Nz0tLSLySdN/B9TXzowrHomNnTp7G23r5a+S2V+7wD9kpy3Naw&#10;0WO+WbmCd0D2cCIQGJNR4pYqTuGQk6Ki4ojw8Lo+wfUPDOr/ZsTwYZGGnORzNj7hZOypEz9G13WK&#10;k/hMNHr948aNN3ySlOnOKAQrIolb4x6lBaamKUwxmAz68PHx4S0DUGUprF718HD/81fLWbtWVMtO&#10;nDyFiuOjRw8vXDDfwFPzKN7ok9CnoqijT8uv1oZew+LFn/OOQvHdmnVGmZBMpTlvgb3ScecysDqI&#10;W9BHS18jxC35+7crhVN3BkaE0108a2tCIUcfEx0T88XSxUY8m5ah3KVPGxMXp0voLvx0kfACjkXH&#10;rF+9irUNZPQvCmyAUe5uweIQt6APYxVhhfn5ixcvEY4JmjN7lpaoY0FLH0OlML9kAq39WtUauvRK&#10;hCestzKz/uuTBaxtOOFbASAw1t0tWBbiFupsV9S+r79eyTsGu3Au/q8rvuYdhYKiTnUKcVjEAMo/&#10;UwetGAvdvYcOqb4YimHxg7T58z8y4qLhzxcvwViinUs8r+dxUiBziFvQFRVeq1avYQf1GHehwrbN&#10;m+gz845CsX7dWiHkPJXKT5d+uWH9WmFtqzl16tjhh53bxUPclLUUw7yjUHy2aLFxN8M6ELWbnYJQ&#10;p/P+wLb5orq1CZiZDLWjoN2yddumDetMuveTeA0M/YlU8qakpKxY8VeLBK3ElavJ8+bO69W7tzhr&#10;ly1fYaxHtmr5BwbNfO99rAuyN6o/V3hPti5YCAR62rh569+/XWnSoBVY0apTtvck75gShe6SpUux&#10;Osh+TJs+UzJ6hPdk64KFQFBnZ+MTBg0a8uWiT82TtYQCzCoGUc2WtUQ4ZFeYwg12xaq3OAUxxC2o&#10;UVRU/OHc+fQub/7DbeSfuMuWrzBb1gqo3BkZGblq9RpMXbZ5xcU1/opb+fnxFlg5xC1IUdpFhIcb&#10;sqWigSjMPltU/YhUPijq6IWZ9Hmtdt8sXzZu3HhMXbZtVncSJegIcQvVWFFLaWe20WNNtm3e9Na4&#10;CbKq5G5lZk2fMZNeGO9bCBtbFk/kBtvWPiCQt8DKIW6Bu3I1mSonCxa1EnSPT0X2segY3rcoqvjH&#10;jholn7KDyly6HZGc0g82QPXv1NUV+3raCMQtVKI4GRkZaf4ntdpRkT17+jQquC1Y5tLb37TpM+VQ&#10;8UtQ9tMdAOZP2Zjs7BzeApuDuAXLzP3RHRXcVOaaf/iUMp7+UIo04+7pYUR0B0A3STKfWQYGCgho&#10;z1tg5RC39s6yc390RLnyzfJlgwYNMU+0sKCljKc/VG5FrSq6VcKjXJtxW6W6dXdz4y2wcohb+0Wh&#10;Qllr8bk/uruWmkLR0rNHCKWLiR5bXrmaTN8TawlaAb1aec7lhrrKycFgss3CrlL2S3XzGusSFjEg&#10;cuiwniHdDd/lkVI2ITHp4IH9Vr0GQ7KfM1gjupWkmyfeqYI3ZKuDTRyhBuuqa7UL7tW7R0jP7t2D&#10;gwIDdI9eitiU1PRfLiSdi4+X2xwxvSFxrd2Hc+dLVgfgDdnqIG6hmi1lrSqqeum/wd170H9HDB/K&#10;AvhWZta+/QepcSHpfHFxsQ3vJPDp0i+nTp7EO2BtsGGyDUDcAqc6WmXDvt+xk23ufzY+4Z3x49hF&#10;m2dFJz2AhCRu6d5xw/q1vANWQlOYYqqUfdkVtc9+stZufTL3A6zHtVKXLuBseZuFuLUj9Ba87Mul&#10;vAM2beq778pqC0zQkWQ+vBtWAdkQxK29oDffxYuXWNHiFjAE/UXPm/8R74DVatc+gLfA+iFu7cV3&#10;a9bZ8PwgUBUbfXzj5q28A9YAZz3ZNkyVsgummyjEpgETNhO4tLQ0PS2VXbl0IcmyxbR/YNDOnTs8&#10;PNypfSsza+yoUZZ9PZLvFclITyspKaGG6b5Xew8d6tSxA++AvKn+O8U8c2uEmcn2q6ioeNy48UZZ&#10;WuqpVL7eN6xbcPegwIAOQYEsybSjd5Db2TnpJC3VPLtq0IscO37i8GGRqjFz5Wry9u07zLMIin2v&#10;2rUPCOnRvU7fK+MuBQ7u1fuHndt5B+RNNW6FqfVgRRC39mvZ8hUG7opMZWL/NyPUBlhdHYuOSUq6&#10;cOLHaBPtLDFs9Jgliz/Xnm1U6S5ZstRE2W+s7xW9yITEpLhTsYYfiYgKyVqoLtJD3FojxK2donpu&#10;ZGQk79QdpdeECRNM8Q+ebuQPHjxo3EKzTutNjb7Xx8TJU4YOHWr071VRUXHU3v3btn6v9w0K1dnR&#10;MTG6lNdgWapxGxMXZ/gepWBmiFs7pffGyBQeM2ZM1/2f+q6ofYcOHuCdqgUM7doHuLq6ah92pizZ&#10;snXbpg3rDH9yqcfeDkZJXAqzKdNmvDtpoqavkerUlNS0tLR08YNtZt68uboXwXSDsm7dOr3/NrG5&#10;o/ypDkTh3dgaIW7tkeqjIF2ERQz4/PNFdb2n1r5ZlX9gUK/evbsFd48I76caSyx0Ddl/g6rwb1au&#10;4J26MPCchg8XLFQbtMJQ8OlTsVruJOi3z5k9i3d0o3fook6SP+zgaBs0hSkWAtkyel/mLd1QobZ6&#10;/YYN69fq8b58Iek8b6lzLTWF6shP5n7Qo2tXfkmE4opSh/JAmLtbJ/Sylyz+nHfqiG4seKuO6KXS&#10;C6aXrZq1lIjhoaH0xR6I2m30+cav9u5Jf0FUytNXzS/pZt269bwFVoJuUnkLbALi1mbRm36daiAq&#10;EKNjYgZGhPO+2VHGU5BQ3tc1SMaO1ziQWyv6QydOnsI7uqGX9+nSL7XclPj6+vBWbTLS03irjsaO&#10;HkF/WfRXxvs6oNsdqrl5B2SpuLjGRmCt/Px4C2wC4tZm6V7aUn5QtfTNyhV6hxaRvFNoUusNO+X9&#10;rj17gnv15n0dvD1xPG/pJbRvX97SAb0wennaJ/rqPjbAFt3qh/6y6K+sTmUuClyZw0Y0tg1xa5t0&#10;L20p/zZu2WL4ATI6vlPocsNOcfXDzu06Fp30+nWPN7V0L+jpJdELM/CPMy76i6O/Ph1HHVHgWhdf&#10;X1/eApuAuLVNBw9Wnu1aK6rVdu7cIc9dh75YuvjTpV/yjmZGGXDTpZimOlKek3vpr4/+EnUcD2CH&#10;/oIMFakcKeHlretTCbAKiFsbRBWMLutbwiIGrF+31pABZFObOnkShRzvaCBsiGgId/davgn0Muo0&#10;AKDfnC+90V8i/VXqkrj79+7hLZCZ5JQai8TA9iBubVDMiVje0mzi5Ckb1ss6axkKuVoT19TqmrUW&#10;oWPiXktNORYdwzsgbwEB7XkLbALi1gZt2/o9b2kwbPQYK9r0gKJOy6iy9gVIOsrKzOQtFfplrUUO&#10;CdcxcQ/p9qABzOx2dg5vveCOw25tC+LW1ly5mqx9tz96O9Z7laqlTJ08SdPMKS1JqaOiomJN3zGK&#10;ef3qWksdPcQSV/vMqQNRu1UfE4LF5eRI4xZsDOLW1uw/cIi31KE3YhM9r9Vxcqze6UjluNoHopSU&#10;Bs621fTMbNjoMda4sz/95X698mvtq4OiY07yFshYh6BA3gKbgLi1NSd+jOYtFfQWTG/EpshaouMM&#10;Ye2Vt3Zfr/iraopMnz3Ho7aJTtrRm5pq6Ux3D3qPAege/26mGS3s1LHDn79azjvqxJ2q/ek+mFnu&#10;HWl1a6J/qmApiFubQm/0WvJs4aeL5LDmR+9ilN59/rb6O955sY3iwgXzDXxXot9OpfP3O3aKq2dD&#10;7kuyVR7CadKufQBvGdvAiHC6EeEdFRhPlqHs7GzeAhuFuLUpWuYkDxs9xqTTa9sH6DrwpXsaqXq1&#10;d88PFyyk0pPSUb+9nTUR9iKmT/7p0i8NuS9JSdVza0bjen/WDC0j/PEJibwFsmTmtWRgBohbm/KL&#10;hgmxngZs4q8jV1dX3qpN4nmDZu3OmT3r6NHD4mNlqVDbuHmrHutb6HfR/8R1Ht2R0Cc38JHttYx0&#10;3qpNSI/uvGUCVJ0vWbqUd1QkJV3gLZAHi8xmB3NC3NqU0xqeyf3hg7kGjrjWSvfk0HtffrUoLyPC&#10;w79c9Ons6dNWrV7Dr+rgs0WL6XfR/8aNG2/cpagpKbo+n3Zz0/UeRT90U6JpRvf5xATeAnmw1Gx2&#10;MBvEre24cjVZ7b9Y/8AgM8yw1f0YHE33BHV1Nj5h0KAhlJfCV/3N8mUfzp1f67Nh+ka9NW6CsPHW&#10;tdQUiupp02fSdXbFEFQr677RvBkepc+YMV3tLGXshi9zRtkuDWQFcWs7UlLVj2HOfO993jKl1n6t&#10;tC8+EVA6Gh5slKnvjB+nOi/sQNTusaNGUeWq9o+gKpZ+aWRkpGrYxEYfn/ruu7xjAN2fiZrn4Rz9&#10;vUyZNoN3aqL7Fd4CSzPKrR7IHOLWdqhdJk+lrUlnSIm93jeMt2qjfXGwLihFNA2TUpxT5UqZ2q5N&#10;W6pZhf9Rl6pYoahVpSmW6iTu1Cneqo3uk8sM9O6kiWrvhFS3MQJLKSkp5a0XdJ8MAdYCcWs71G5n&#10;aJ7SltF9WYuWxcG6Gzp0KG9pRjWr8D9+SbMRw2v/hLU6cvAAb9Wme/dg3jIxDw/3seMn8o4ItjGS&#10;s6BAUy0SA0tB3NoO1QPeqaYxW2lL+vfT9Zz2a6kpho+evdq7p46nzumCamXDlxXtitqn+4SX3j1D&#10;eMv01J7Ab5TtpsEoDJyuD1YBcWs7VJ9Hqq1pTKdTxw46Pr4l27fv4C0DTJj4Nm8ZLLSvrvcKWhzS&#10;ubSlGwVTzxUXozuJYaPH8A5YA1PPWgfzQ9zasuHDInnLXAYPHcZbtdm2eZPhGxtFhPfjLcP4BwYN&#10;jAjnHX1Rva7LkDUzdNhw3jKXUJUn61joKWdy2AAOjAtxayNUZ5lShJj/X2ydasQtW7fxlr6oQDRK&#10;0db/zQjeMkCd6vWeISbc4EIt1VsT3ce9wdQwsG8PELc2yygRUldUI+o+nrxpwzrDC1zVok0Phs9a&#10;upWZpWXOs0Rwr97mvxMy1q0JmIGW3TfBeiFubZbZJr5K6D6eTNXVd2vW8Y6+jFImGj6SvGSJxu0S&#10;VZl/JJnpFmzukhp0JJnnqOP5WmBdELc2y5wTX8UmTFAzCVaT9atX6X1AENPar5WB85MN327ibHyC&#10;7k9tyeiRlolb1VsTA7/5YCzY5MseIG5tk5knvop16tihTgFWp7pQraAgg0beDNwtr6io+PNFi3hH&#10;BxMnT7HgXw1vvWDI6UxgOr6+vrwFNgRxa5sMTCADReo8nkyoLty4eSvv6MW/XXve0ouBx/J8t2Zd&#10;nc7Mr1P1b3Q41k2GVGcweHnrugM5WBHErW2y7D/XsaNH1Gmux9+/XWnIrhcG7r/TIUj/zRTPxies&#10;X72Kd3RAaWfZBR6SssmQrx2MJTkllbfApiFubVNAgEEFn+HqtHlkYX7+4sVL9J6lbGBm6D20Sy/4&#10;j7PrtkfmjBlG2JbZEJL7MEsNa4N2Fv/3C6aAuLVN7m5uvGUhdS1wL5yL/+uKr3mnjgzJDL0HVylr&#10;p8+YWaelq/RniU/Ftwi8j8tQcUkJb71g8X+/YAqIWxsh2fJNDoOE8z/+mLd0s23zps8WLeadOjLi&#10;5sk6opuDus4mnTdvLm9ZDt7HZSgtTf3RmWBjELc2QvJEUA6DhAMjwutaO1Li7oraxzt14e5u1q+X&#10;bgt039SCmT57jmWf2qrSfUMSMDM8U7dJiFswoc8/r8MKGeaTuR/ol7j60WMVkB5ZS8H2/iwLP7Vl&#10;xKMgXbDrhTzk3pEux8IzdZuEuLUdMlzj0dqv1YcLFvKOzihx9R5VNjU9spb8+avlMnkDFVfYbhhY&#10;lofs7GzeApuGuLUd8nz3nDN7lh4PVinSPpw7X++5yqZAL+atcRP0yNpho8cYvkmkKbRrjwPM5UiG&#10;981gFIhb2yHbd88VK/6qx2PCA1G7p8+Yafgp9NplpKfxllZn4xMiwsP12GmPvvAliz/nHRkQfz99&#10;fLCXgizgJEQ7gbi1HbJd49Har9XCT+v8EJdQvE19910D95zSrkRlDYaqVavXvDN+nH7H1f1t9Xey&#10;eg5XUlLKWwpFS1/ErSzgJEQ7gbi1HeLNlUxdFNbV2NEjJk6ewjt1Qe9EXy76dNr0WsrcOp0QoDsq&#10;agcNGvLN8mW8X0efLv3S4gtttZDza7NnBm7iDbKFuLUdVEQKY7biIkYmvli6WO+HUpSmIyMjP1u0&#10;2Ogn2Ggax6M/6MO586mordN+yGJ0ezF18iTekY2UVD54bv6VyqCW3O6MwXQQtzbl9Rdnrd+W5Ukv&#10;X6/4qyHv8ts2bwoPDVUNXapBeavuVMfx6JPTH0F/0IGo3fxS3dGXSbcXvCMnpaX8PqxHCEpbWVC9&#10;M3Z1rbFlDdgMxK1NEc4Pz8mRY9x6eLivX7e2Tps7qhJCl/cNvrcQp/W06TPpk+sx/ViMspa+TN6R&#10;mQtJ51mje/dg1gC5MfDIDZAtxK1NEc4PF95V5YYS9+uVXxu+n9G5+OpJwgbeWwjjq8TwZ8Asa2W7&#10;TYEweN67ZwhrgGUlnse0ZHuBuLUpnTp2YLWjiaYOGQW9yI1bthhY4/bqXT0obeC9xbWM6h1rDXyi&#10;KfOsvXI1mQ2e0+uU7YsEyf7nYDMQt7ZGyCE5T8GgxN25c4ch2SYMmxMD7y3EhbIhTzRlnrUkIZEX&#10;UkOHDWcNkCG57a0NxoK4tTWhffuyxomTp1hDniiWKJz0nqssDJsfi45hDb1dS00R5l4NHxbJGnU1&#10;cfKUH3Zul3nJ+MuLkeTw/nxKHVicbJ/7gNEhbm3NwIhw9mQ09uQJdkW2KJw2rF+rx3pcqiNb+7Vi&#10;7aSkC6xhiJgTsawhjMbXyYcLFspzHrLE6VOVX6b4uwdyY/i0BpAtxK0NGjx0GP335rUM1pU5Cqqv&#10;Vn5bp3eZCRPf5i0q4n+M5i0DHDywn7eowB05ird0QC/7+x0758yexfsyJjy4FX/3QG5wTJMNQ9za&#10;oAkTxlMM/Pmr5bwve2NHj9i1Z4/uj3IjwvuxBkWI3ttQiF04Fy+MJ48YPpQ1ahUWMSA6JsZa9mai&#10;wv3TpV/SD4bw3QM5kPOsRjAuxK0NojfWhPOJ8jyFRpPWfq1+2Lldl9P6Jk6eIjwi3b59B2sYbt/+&#10;g6xBr2TY6DGsrQmFFkXXhvWynhilaurkSfSDYV2v2d74+vryFtgcxC3IyJzZs2Li4rTPn5oxYzpr&#10;FBUVHzl4gLUNt3/vHt6qHB6YwFvqUN5TUSvDDRrB6qgeMenljXMjbBbiFuSFikuqGr/fsVPtlCWK&#10;OmGaT9Te/UY8SuVaasquqH2s/Wrvnmojny7SC/ti6WIUiGAUySmpvAV2AHELckSBd/To4a9WfisJ&#10;XaG0Jdu2fs9bRnJIVCvPmDGDt6qwoKX7AJyiAyaFQ4htGOIW5Gvs6BEUupRz7GHqhwsWCqUtVaJG&#10;mSQlFht9XNg/mWKV/aFUTyNowUSKVY5bxiHENqxeRUUFa7Vr05Y1Mm7eYA0A+biVmeXh7s5GcYuK&#10;iiPCw404kiygYpoCnrXZczWMG4PprFq9RnKaMt3b4cbO2mkKU1S3YB2orhWSb8vWbabIWkIV88bN&#10;W1mb/jhkLZhZh6BA3gKbg7gFK3PlarKkIDCuv3+7UnW+KIAp5N6RHmaFOzwbhrgFK7N48RLeMg2q&#10;mz838R8BwGRnZ/MW2AHELViTZctXXDhXfYCPiRyI2i0MKQOYjSFnZIH8IW7BahyLjlm/ehXvmNjf&#10;v10p5xMMwTZkZWbyVhV3d4wk2zLELVgHCr//+mQB75heYX7+1HffxUNcMCmjL2YDOUPc2pddUfsG&#10;DRoirC61FhR7FH4mmo2sCf1x02fMtLrEtdK/YiDB3XvwFtgixK0duZWZtezLpXRD/cfZ71vRSCkF&#10;HsWembOWuXAu3roSl7L2k7kfsL9i4YwjkCc8rbA3iFs70tqv1cJPF1GDjZRaxb92lrVmmB6liRUl&#10;Lsta1t64ZYuwAxfIU0lJKW+BfUDc2pexo0dMnz2HGixx6Q2aXZcnuiEYN268BbOWsYrEFWftVyu/&#10;7dSxA2uDFQnpgbPlbRni1u4sXDB/4uQp1KDEpTdo2Sbu2fgEuiGQyVwSSlwKftmOByxbvkLI2g8X&#10;LKSbKtYGOUtJTeMtsA9q9kwGAAAAA2HP5P/fnh0SAADAMAybf9WHV7ChxERBAWBNbgGgTm4BoO7f&#10;LQBQkRwLDK4V+j+5tgAAAABJRU5ErkJgglBLAwQUAAYACAAAACEAxp+aLd4AAAAHAQAADwAAAGRy&#10;cy9kb3ducmV2LnhtbEyOQUvDQBSE74L/YXmCN7tJ05oSsymlqKci2ArS22v2NQnNvg3ZbZL+e9eT&#10;noZhhpkvX0+mFQP1rrGsIJ5FIIhLqxuuFHwd3p5WIJxH1thaJgU3crAu7u9yzLQd+ZOGva9EGGGX&#10;oYLa+y6T0pU1GXQz2xGH7Gx7gz7YvpK6xzGMm1bOo+hZGmw4PNTY0bam8rK/GgXvI46bJH4ddpfz&#10;9nY8LD++dzEp9fgwbV5AeJr8Xxl+8QM6FIHpZK+snWgVpKGnYL4IGtIkWcYgTgoWaZyCLHL5n7/4&#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7Cr26uAwAAaAgA&#10;AA4AAAAAAAAAAAAAAAAAOgIAAGRycy9lMm9Eb2MueG1sUEsBAi0ACgAAAAAAAAAhAJbK4LTctgAA&#10;3LYAABQAAAAAAAAAAAAAAAAAFAYAAGRycy9tZWRpYS9pbWFnZTEucG5nUEsBAi0AFAAGAAgAAAAh&#10;AMafmi3eAAAABwEAAA8AAAAAAAAAAAAAAAAAIr0AAGRycy9kb3ducmV2LnhtbFBLAQItABQABgAI&#10;AAAAIQCqJg6+vAAAACEBAAAZAAAAAAAAAAAAAAAAAC2+AABkcnMvX3JlbHMvZTJvRG9jLnhtbC5y&#10;ZWxzUEsFBgAAAAAGAAYAfAEAACC/AAAAAA==&#10;">
                      <v:shape id="Text Box 4029" o:spid="_x0000_s1395" type="#_x0000_t202" style="position:absolute;left:13589;top:2692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klxwAAAN0AAAAPAAAAZHJzL2Rvd25yZXYueG1sRI9BS8NA&#10;FITvgv9heYIXsRvbUDRmW0pRqF6KsRdvj+xLNpp9G3Y3bfrvu4LgcZiZb5hyPdleHMmHzrGCh1kG&#10;grh2uuNWweHz9f4RRIjIGnvHpOBMAdar66sSC+1O/EHHKrYiQTgUqMDEOBRShtqQxTBzA3HyGuct&#10;xiR9K7XHU4LbXs6zbCktdpwWDA60NVT/VKNVsM+/9uZubF7eN/nCvx3G7fK7rZS6vZk2zyAiTfE/&#10;/NfeaQV5Nn+C3zfpCcjVBQAA//8DAFBLAQItABQABgAIAAAAIQDb4fbL7gAAAIUBAAATAAAAAAAA&#10;AAAAAAAAAAAAAABbQ29udGVudF9UeXBlc10ueG1sUEsBAi0AFAAGAAgAAAAhAFr0LFu/AAAAFQEA&#10;AAsAAAAAAAAAAAAAAAAAHwEAAF9yZWxzLy5yZWxzUEsBAi0AFAAGAAgAAAAhAKpCOSXHAAAA3QAA&#10;AA8AAAAAAAAAAAAAAAAABwIAAGRycy9kb3ducmV2LnhtbFBLBQYAAAAAAwADALcAAAD7AgAAAAA=&#10;" stroked="f">
                        <v:textbox style="mso-fit-shape-to-text:t" inset="0,0,0,0">
                          <w:txbxContent>
                            <w:p w14:paraId="62B7BBF8" w14:textId="77777777" w:rsidR="006D7011" w:rsidRDefault="006D7011" w:rsidP="0059538A">
                              <w:pPr>
                                <w:pStyle w:val="af0"/>
                                <w:jc w:val="right"/>
                                <w:rPr>
                                  <w:rFonts w:ascii="Times New Roman" w:hAnsi="Times New Roman" w:cs="Times New Roman"/>
                                  <w:noProof/>
                                  <w:spacing w:val="-1"/>
                                </w:rPr>
                              </w:pPr>
                              <w:r>
                                <w:rPr>
                                  <w:rFonts w:ascii="Times New Roman" w:eastAsia="Times New Roman" w:hAnsi="Times New Roman" w:cs="Times New Roman"/>
                                  <w:lang w:val="pl-PL"/>
                                </w:rPr>
                                <w:t>Rysunek L</w:t>
                              </w:r>
                            </w:p>
                          </w:txbxContent>
                        </v:textbox>
                      </v:shape>
                      <v:shape id="그림 4030" o:spid="_x0000_s1396" type="#_x0000_t75" style="position:absolute;top:21;width:21234;height:2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6TwgAAAN0AAAAPAAAAZHJzL2Rvd25yZXYueG1sRE/LisIw&#10;FN0L/kO4grsx9clQjSJih9mIjxmZ7aW5tsXmpjax1r83iwGXh/NerFpTioZqV1hWMBxEIIhTqwvO&#10;FPz+JB+fIJxH1lhaJgVPcrBadjsLjLV98JGak89ECGEXo4Lc+yqW0qU5GXQDWxEH7mJrgz7AOpO6&#10;xkcIN6UcRdFMGiw4NORY0San9Hq6GwXbRE/P6d8haTZuf/667abJfV8p1e+16zkIT61/i//d31rB&#10;JBqH/eFNeAJy+QIAAP//AwBQSwECLQAUAAYACAAAACEA2+H2y+4AAACFAQAAEwAAAAAAAAAAAAAA&#10;AAAAAAAAW0NvbnRlbnRfVHlwZXNdLnhtbFBLAQItABQABgAIAAAAIQBa9CxbvwAAABUBAAALAAAA&#10;AAAAAAAAAAAAAB8BAABfcmVscy8ucmVsc1BLAQItABQABgAIAAAAIQCBUZ6TwgAAAN0AAAAPAAAA&#10;AAAAAAAAAAAAAAcCAABkcnMvZG93bnJldi54bWxQSwUGAAAAAAMAAwC3AAAA9gIAAAAA&#10;" stroked="t" strokecolor="#5a5a5a [2109]" strokeweight="1pt">
                        <v:imagedata r:id="rId175" o:title=""/>
                        <v:path arrowok="t"/>
                      </v:shape>
                      <w10:wrap type="square"/>
                    </v:group>
                  </w:pict>
                </mc:Fallback>
              </mc:AlternateContent>
            </w:r>
          </w:p>
          <w:p w14:paraId="302640C7" w14:textId="77777777" w:rsidR="0059538A" w:rsidRPr="008F328C" w:rsidRDefault="0059538A" w:rsidP="008F328C">
            <w:pPr>
              <w:pStyle w:val="a3"/>
              <w:numPr>
                <w:ilvl w:val="0"/>
                <w:numId w:val="141"/>
              </w:numPr>
              <w:rPr>
                <w:b/>
                <w:lang w:val="pl-PL"/>
              </w:rPr>
            </w:pPr>
            <w:r w:rsidRPr="008F328C">
              <w:rPr>
                <w:rFonts w:eastAsia="Times New Roman"/>
                <w:b/>
                <w:bCs/>
                <w:lang w:val="pl-PL"/>
              </w:rPr>
              <w:t>Wyrzucić ampułko-strzykawkę.</w:t>
            </w:r>
          </w:p>
          <w:p w14:paraId="468FCED6" w14:textId="77777777" w:rsidR="0059538A" w:rsidRPr="008F328C" w:rsidRDefault="0059538A" w:rsidP="00ED6A7B">
            <w:pPr>
              <w:pStyle w:val="a3"/>
              <w:numPr>
                <w:ilvl w:val="0"/>
                <w:numId w:val="0"/>
              </w:numPr>
              <w:ind w:left="4300"/>
              <w:rPr>
                <w:b/>
                <w:lang w:val="pl-PL"/>
              </w:rPr>
            </w:pPr>
          </w:p>
          <w:p w14:paraId="15FEB898" w14:textId="77777777" w:rsidR="0059538A" w:rsidRPr="008F328C" w:rsidRDefault="0059538A" w:rsidP="00ED6A7B">
            <w:pPr>
              <w:pStyle w:val="a3"/>
              <w:numPr>
                <w:ilvl w:val="0"/>
                <w:numId w:val="19"/>
              </w:numPr>
              <w:ind w:left="4300"/>
              <w:rPr>
                <w:b/>
                <w:lang w:val="pl-PL"/>
              </w:rPr>
            </w:pPr>
            <w:r w:rsidRPr="008F328C">
              <w:rPr>
                <w:rFonts w:eastAsia="Times New Roman"/>
                <w:b/>
                <w:bCs/>
                <w:lang w:val="pl-PL"/>
              </w:rPr>
              <w:t xml:space="preserve">Nie </w:t>
            </w:r>
            <w:r w:rsidRPr="008F328C">
              <w:rPr>
                <w:rFonts w:eastAsia="Times New Roman"/>
                <w:lang w:val="pl-PL"/>
              </w:rPr>
              <w:t>nakładać ponownie osłony na ampułko-strzykawkę.</w:t>
            </w:r>
          </w:p>
          <w:p w14:paraId="67FC5251" w14:textId="77777777" w:rsidR="0059538A" w:rsidRPr="008F328C" w:rsidRDefault="0059538A" w:rsidP="00ED6A7B">
            <w:pPr>
              <w:pStyle w:val="a3"/>
              <w:numPr>
                <w:ilvl w:val="0"/>
                <w:numId w:val="0"/>
              </w:numPr>
              <w:ind w:left="4300"/>
              <w:rPr>
                <w:b/>
                <w:lang w:val="pl-PL"/>
              </w:rPr>
            </w:pPr>
          </w:p>
          <w:p w14:paraId="55EEE8FB" w14:textId="77777777" w:rsidR="0059538A" w:rsidRPr="008F328C" w:rsidRDefault="0059538A" w:rsidP="00ED6A7B">
            <w:pPr>
              <w:pStyle w:val="a3"/>
              <w:ind w:left="4117" w:hanging="180"/>
              <w:rPr>
                <w:lang w:val="pl-PL"/>
              </w:rPr>
            </w:pPr>
            <w:r w:rsidRPr="008F328C">
              <w:rPr>
                <w:rFonts w:eastAsia="Times New Roman"/>
                <w:b/>
                <w:bCs/>
                <w:lang w:val="pl-PL"/>
              </w:rPr>
              <w:t>a.</w:t>
            </w:r>
            <w:r w:rsidRPr="008F328C">
              <w:rPr>
                <w:rFonts w:eastAsia="Times New Roman"/>
                <w:lang w:val="pl-PL"/>
              </w:rPr>
              <w:t xml:space="preserve"> Wyrzucić zużytą ampułko-strzykawkę do specjalnego pojemnika na odpady ostre zgodnie z instrukcjami otrzymanymi od lekarza, farmaceuty lub pielęgniarki.</w:t>
            </w:r>
          </w:p>
          <w:p w14:paraId="496CD32E" w14:textId="77777777" w:rsidR="0059538A" w:rsidRPr="008F328C" w:rsidRDefault="0059538A" w:rsidP="00ED6A7B">
            <w:pPr>
              <w:pStyle w:val="a3"/>
              <w:ind w:left="4117" w:hanging="180"/>
              <w:rPr>
                <w:rFonts w:eastAsia="Times New Roman"/>
                <w:lang w:val="pl-PL"/>
              </w:rPr>
            </w:pPr>
            <w:r w:rsidRPr="008F328C">
              <w:rPr>
                <w:rFonts w:eastAsia="Times New Roman"/>
                <w:b/>
                <w:bCs/>
                <w:lang w:val="pl-PL"/>
              </w:rPr>
              <w:t>b.</w:t>
            </w:r>
            <w:r w:rsidRPr="008F328C">
              <w:rPr>
                <w:rFonts w:eastAsia="Times New Roman"/>
                <w:lang w:val="pl-PL"/>
              </w:rPr>
              <w:t xml:space="preserve"> Gazik i opakowanie można wyrzucać do domowego pojemnika na odpadki.</w:t>
            </w:r>
          </w:p>
          <w:p w14:paraId="6EEE580F" w14:textId="77777777" w:rsidR="0059538A" w:rsidRPr="008F328C" w:rsidRDefault="0059538A" w:rsidP="00ED6A7B">
            <w:pPr>
              <w:pStyle w:val="a3"/>
              <w:ind w:left="4117" w:hanging="180"/>
              <w:rPr>
                <w:lang w:val="pl-PL"/>
              </w:rPr>
            </w:pPr>
          </w:p>
          <w:p w14:paraId="48B53B2C" w14:textId="77777777" w:rsidR="0059538A" w:rsidRPr="008F328C" w:rsidRDefault="0059538A" w:rsidP="00ED6A7B">
            <w:pPr>
              <w:pStyle w:val="a3"/>
              <w:numPr>
                <w:ilvl w:val="0"/>
                <w:numId w:val="19"/>
              </w:numPr>
              <w:ind w:left="4300"/>
              <w:rPr>
                <w:lang w:val="pl-PL"/>
              </w:rPr>
            </w:pPr>
            <w:r w:rsidRPr="008F328C">
              <w:rPr>
                <w:rFonts w:eastAsia="Times New Roman"/>
                <w:lang w:val="pl-PL"/>
              </w:rPr>
              <w:tab/>
              <w:t>Zawsze przechowywać ampułko-strzykawkę</w:t>
            </w:r>
            <w:r w:rsidRPr="008F328C">
              <w:rPr>
                <w:rFonts w:eastAsia="맑은 고딕"/>
                <w:lang w:val="pl-PL"/>
              </w:rPr>
              <w:t xml:space="preserve"> </w:t>
            </w:r>
            <w:r w:rsidRPr="008F328C">
              <w:rPr>
                <w:rFonts w:eastAsia="Times New Roman"/>
                <w:lang w:val="pl-PL"/>
              </w:rPr>
              <w:t>i specjalny pojemnik na wykorzystane ampułko-strzykawki w miejscu niewidocznym i niedostępnym dla dzieci.</w:t>
            </w:r>
          </w:p>
          <w:p w14:paraId="6BABED69" w14:textId="77777777" w:rsidR="0059538A" w:rsidRPr="008F328C" w:rsidRDefault="0059538A" w:rsidP="00ED6A7B">
            <w:pPr>
              <w:pStyle w:val="a3"/>
              <w:rPr>
                <w:lang w:val="pl-PL"/>
              </w:rPr>
            </w:pPr>
          </w:p>
          <w:p w14:paraId="3DBFBA99" w14:textId="77777777" w:rsidR="0059538A" w:rsidRPr="008F328C" w:rsidRDefault="0059538A" w:rsidP="00ED6A7B">
            <w:pPr>
              <w:pStyle w:val="a3"/>
              <w:rPr>
                <w:spacing w:val="-1"/>
                <w:lang w:val="pl-PL"/>
              </w:rPr>
            </w:pPr>
          </w:p>
        </w:tc>
      </w:tr>
    </w:tbl>
    <w:p w14:paraId="5A222EB9" w14:textId="52F06860" w:rsidR="00094D21" w:rsidRPr="008F328C" w:rsidRDefault="00094D21" w:rsidP="008F328C">
      <w:pPr>
        <w:pStyle w:val="a3"/>
        <w:rPr>
          <w:lang w:val="pl-PL" w:eastAsia="ko-KR"/>
        </w:rPr>
      </w:pPr>
    </w:p>
    <w:sectPr w:rsidR="00094D21" w:rsidRPr="008F328C" w:rsidSect="00DD49CE">
      <w:footerReference w:type="default" r:id="rId176"/>
      <w:pgSz w:w="12240" w:h="15840" w:code="1"/>
      <w:pgMar w:top="1134" w:right="1418" w:bottom="1134" w:left="1418"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E2CCB5" w14:textId="77777777" w:rsidR="009A0963" w:rsidRDefault="009A0963">
      <w:r>
        <w:separator/>
      </w:r>
    </w:p>
  </w:endnote>
  <w:endnote w:type="continuationSeparator" w:id="0">
    <w:p w14:paraId="0D85DDC2" w14:textId="77777777" w:rsidR="009A0963" w:rsidRDefault="009A0963">
      <w:r>
        <w:continuationSeparator/>
      </w:r>
    </w:p>
  </w:endnote>
  <w:endnote w:type="continuationNotice" w:id="1">
    <w:p w14:paraId="021615DC" w14:textId="77777777" w:rsidR="009A0963" w:rsidRDefault="009A09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굴림체">
    <w:panose1 w:val="020B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227B6" w14:textId="77777777" w:rsidR="006D7011" w:rsidRDefault="006D7011">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14139C1A" wp14:editId="4F5857E1">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7ACAA" w14:textId="5B56140D" w:rsidR="006D7011" w:rsidRPr="000E0B7C" w:rsidRDefault="006D7011">
                          <w:pPr>
                            <w:pStyle w:val="a6"/>
                            <w:jc w:val="center"/>
                            <w:rPr>
                              <w:rFonts w:ascii="Arial" w:eastAsia="Arial" w:hAnsi="Arial" w:cs="Arial"/>
                              <w:sz w:val="16"/>
                              <w:szCs w:val="16"/>
                            </w:rPr>
                          </w:pPr>
                          <w:r w:rsidRPr="000E0B7C">
                            <w:rPr>
                              <w:rFonts w:ascii="Arial" w:hAnsi="Arial" w:cs="Arial"/>
                              <w:sz w:val="16"/>
                              <w:szCs w:val="16"/>
                            </w:rPr>
                            <w:fldChar w:fldCharType="begin"/>
                          </w:r>
                          <w:r w:rsidRPr="000E0B7C">
                            <w:rPr>
                              <w:rFonts w:ascii="Arial" w:eastAsia="Arial" w:hAnsi="Arial" w:cs="Arial"/>
                              <w:sz w:val="16"/>
                              <w:szCs w:val="16"/>
                            </w:rPr>
                            <w:instrText xml:space="preserve"> PAGE </w:instrText>
                          </w:r>
                          <w:r w:rsidRPr="000E0B7C">
                            <w:rPr>
                              <w:rFonts w:ascii="Arial" w:hAnsi="Arial" w:cs="Arial"/>
                              <w:sz w:val="16"/>
                              <w:szCs w:val="16"/>
                            </w:rPr>
                            <w:fldChar w:fldCharType="separate"/>
                          </w:r>
                          <w:r w:rsidR="006C0E92">
                            <w:rPr>
                              <w:rFonts w:ascii="Arial" w:eastAsia="Arial" w:hAnsi="Arial" w:cs="Arial"/>
                              <w:noProof/>
                              <w:sz w:val="16"/>
                              <w:szCs w:val="16"/>
                            </w:rPr>
                            <w:t>5</w:t>
                          </w:r>
                          <w:r w:rsidRPr="000E0B7C">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4139C1A" id="_x0000_t202" coordsize="21600,21600" o:spt="202" path="m,l,21600r21600,l21600,xe">
              <v:stroke joinstyle="miter"/>
              <v:path gradientshapeok="t" o:connecttype="rect"/>
            </v:shapetype>
            <v:shape id="Text Box 27" o:spid="_x0000_s1397"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7D27ACAA" w14:textId="5B56140D" w:rsidR="006D7011" w:rsidRPr="000E0B7C" w:rsidRDefault="006D7011">
                    <w:pPr>
                      <w:pStyle w:val="a6"/>
                      <w:jc w:val="center"/>
                      <w:rPr>
                        <w:rFonts w:ascii="Arial" w:eastAsia="Arial" w:hAnsi="Arial" w:cs="Arial"/>
                        <w:sz w:val="16"/>
                        <w:szCs w:val="16"/>
                      </w:rPr>
                    </w:pPr>
                    <w:r w:rsidRPr="000E0B7C">
                      <w:rPr>
                        <w:rFonts w:ascii="Arial" w:hAnsi="Arial" w:cs="Arial"/>
                        <w:sz w:val="16"/>
                        <w:szCs w:val="16"/>
                      </w:rPr>
                      <w:fldChar w:fldCharType="begin"/>
                    </w:r>
                    <w:r w:rsidRPr="000E0B7C">
                      <w:rPr>
                        <w:rFonts w:ascii="Arial" w:eastAsia="Arial" w:hAnsi="Arial" w:cs="Arial"/>
                        <w:sz w:val="16"/>
                        <w:szCs w:val="16"/>
                      </w:rPr>
                      <w:instrText xml:space="preserve"> PAGE </w:instrText>
                    </w:r>
                    <w:r w:rsidRPr="000E0B7C">
                      <w:rPr>
                        <w:rFonts w:ascii="Arial" w:hAnsi="Arial" w:cs="Arial"/>
                        <w:sz w:val="16"/>
                        <w:szCs w:val="16"/>
                      </w:rPr>
                      <w:fldChar w:fldCharType="separate"/>
                    </w:r>
                    <w:r w:rsidR="006C0E92">
                      <w:rPr>
                        <w:rFonts w:ascii="Arial" w:eastAsia="Arial" w:hAnsi="Arial" w:cs="Arial"/>
                        <w:noProof/>
                        <w:sz w:val="16"/>
                        <w:szCs w:val="16"/>
                      </w:rPr>
                      <w:t>5</w:t>
                    </w:r>
                    <w:r w:rsidRPr="000E0B7C">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C41A0" w14:textId="77777777" w:rsidR="009A0963" w:rsidRDefault="009A0963">
      <w:r>
        <w:separator/>
      </w:r>
    </w:p>
  </w:footnote>
  <w:footnote w:type="continuationSeparator" w:id="0">
    <w:p w14:paraId="6573F674" w14:textId="77777777" w:rsidR="009A0963" w:rsidRDefault="009A0963">
      <w:r>
        <w:continuationSeparator/>
      </w:r>
    </w:p>
  </w:footnote>
  <w:footnote w:type="continuationNotice" w:id="1">
    <w:p w14:paraId="46512207" w14:textId="77777777" w:rsidR="009A0963" w:rsidRDefault="009A09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B0022DD"/>
    <w:multiLevelType w:val="hybridMultilevel"/>
    <w:tmpl w:val="78783959"/>
    <w:lvl w:ilvl="0" w:tplc="462A3554">
      <w:start w:val="1"/>
      <w:numFmt w:val="ideographDigital"/>
      <w:lvlText w:val=""/>
      <w:lvlJc w:val="left"/>
    </w:lvl>
    <w:lvl w:ilvl="1" w:tplc="32542852">
      <w:start w:val="1"/>
      <w:numFmt w:val="ideographDigital"/>
      <w:lvlText w:val=""/>
      <w:lvlJc w:val="left"/>
    </w:lvl>
    <w:lvl w:ilvl="2" w:tplc="57E2E188">
      <w:start w:val="1"/>
      <w:numFmt w:val="decimal"/>
      <w:lvlText w:val=""/>
      <w:lvlJc w:val="left"/>
    </w:lvl>
    <w:lvl w:ilvl="3" w:tplc="DBE0A964">
      <w:numFmt w:val="decimal"/>
      <w:lvlText w:val=""/>
      <w:lvlJc w:val="left"/>
    </w:lvl>
    <w:lvl w:ilvl="4" w:tplc="DE8C2598">
      <w:numFmt w:val="decimal"/>
      <w:lvlText w:val=""/>
      <w:lvlJc w:val="left"/>
    </w:lvl>
    <w:lvl w:ilvl="5" w:tplc="9D00B5A8">
      <w:numFmt w:val="decimal"/>
      <w:lvlText w:val=""/>
      <w:lvlJc w:val="left"/>
    </w:lvl>
    <w:lvl w:ilvl="6" w:tplc="7A581D4C">
      <w:numFmt w:val="decimal"/>
      <w:lvlText w:val=""/>
      <w:lvlJc w:val="left"/>
    </w:lvl>
    <w:lvl w:ilvl="7" w:tplc="5A82B0E8">
      <w:numFmt w:val="decimal"/>
      <w:lvlText w:val=""/>
      <w:lvlJc w:val="left"/>
    </w:lvl>
    <w:lvl w:ilvl="8" w:tplc="4ED0D222">
      <w:numFmt w:val="decimal"/>
      <w:lvlText w:val=""/>
      <w:lvlJc w:val="left"/>
    </w:lvl>
  </w:abstractNum>
  <w:abstractNum w:abstractNumId="1" w15:restartNumberingAfterBreak="0">
    <w:nsid w:val="001308DD"/>
    <w:multiLevelType w:val="hybridMultilevel"/>
    <w:tmpl w:val="339C2F6A"/>
    <w:lvl w:ilvl="0" w:tplc="45A2D2C4">
      <w:start w:val="1"/>
      <w:numFmt w:val="decimal"/>
      <w:lvlText w:val="%1."/>
      <w:lvlJc w:val="left"/>
      <w:pPr>
        <w:ind w:hanging="562"/>
      </w:pPr>
      <w:rPr>
        <w:rFonts w:ascii="Times New Roman" w:eastAsia="Times New Roman" w:hAnsi="Times New Roman" w:hint="default"/>
        <w:b/>
        <w:bCs/>
        <w:sz w:val="22"/>
        <w:szCs w:val="22"/>
      </w:rPr>
    </w:lvl>
    <w:lvl w:ilvl="1" w:tplc="2784662A">
      <w:start w:val="1"/>
      <w:numFmt w:val="bullet"/>
      <w:lvlText w:val="•"/>
      <w:lvlJc w:val="left"/>
      <w:rPr>
        <w:rFonts w:hint="default"/>
      </w:rPr>
    </w:lvl>
    <w:lvl w:ilvl="2" w:tplc="F7F2B392">
      <w:start w:val="1"/>
      <w:numFmt w:val="bullet"/>
      <w:lvlText w:val="•"/>
      <w:lvlJc w:val="left"/>
      <w:rPr>
        <w:rFonts w:hint="default"/>
      </w:rPr>
    </w:lvl>
    <w:lvl w:ilvl="3" w:tplc="73CCE868">
      <w:start w:val="1"/>
      <w:numFmt w:val="bullet"/>
      <w:lvlText w:val="•"/>
      <w:lvlJc w:val="left"/>
      <w:rPr>
        <w:rFonts w:hint="default"/>
      </w:rPr>
    </w:lvl>
    <w:lvl w:ilvl="4" w:tplc="9D7AF6F6">
      <w:start w:val="1"/>
      <w:numFmt w:val="bullet"/>
      <w:lvlText w:val="•"/>
      <w:lvlJc w:val="left"/>
      <w:rPr>
        <w:rFonts w:hint="default"/>
      </w:rPr>
    </w:lvl>
    <w:lvl w:ilvl="5" w:tplc="EE1646AE">
      <w:start w:val="1"/>
      <w:numFmt w:val="bullet"/>
      <w:lvlText w:val="•"/>
      <w:lvlJc w:val="left"/>
      <w:rPr>
        <w:rFonts w:hint="default"/>
      </w:rPr>
    </w:lvl>
    <w:lvl w:ilvl="6" w:tplc="D398FF9A">
      <w:start w:val="1"/>
      <w:numFmt w:val="bullet"/>
      <w:lvlText w:val="•"/>
      <w:lvlJc w:val="left"/>
      <w:rPr>
        <w:rFonts w:hint="default"/>
      </w:rPr>
    </w:lvl>
    <w:lvl w:ilvl="7" w:tplc="8320D896">
      <w:start w:val="1"/>
      <w:numFmt w:val="bullet"/>
      <w:lvlText w:val="•"/>
      <w:lvlJc w:val="left"/>
      <w:rPr>
        <w:rFonts w:hint="default"/>
      </w:rPr>
    </w:lvl>
    <w:lvl w:ilvl="8" w:tplc="79A41EE0">
      <w:start w:val="1"/>
      <w:numFmt w:val="bullet"/>
      <w:lvlText w:val="•"/>
      <w:lvlJc w:val="left"/>
      <w:rPr>
        <w:rFonts w:hint="default"/>
      </w:rPr>
    </w:lvl>
  </w:abstractNum>
  <w:abstractNum w:abstractNumId="2" w15:restartNumberingAfterBreak="0">
    <w:nsid w:val="01374F10"/>
    <w:multiLevelType w:val="multilevel"/>
    <w:tmpl w:val="B19E9702"/>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3" w15:restartNumberingAfterBreak="0">
    <w:nsid w:val="01F95071"/>
    <w:multiLevelType w:val="hybridMultilevel"/>
    <w:tmpl w:val="7EB2DDBE"/>
    <w:lvl w:ilvl="0" w:tplc="8E245E56">
      <w:start w:val="6"/>
      <w:numFmt w:val="decimal"/>
      <w:lvlText w:val="%1."/>
      <w:lvlJc w:val="left"/>
      <w:pPr>
        <w:ind w:left="677" w:hanging="567"/>
      </w:pPr>
      <w:rPr>
        <w:rFonts w:ascii="Times New Roman" w:eastAsia="Times New Roman" w:hAnsi="Times New Roman" w:hint="default"/>
        <w:sz w:val="22"/>
        <w:szCs w:val="22"/>
      </w:rPr>
    </w:lvl>
    <w:lvl w:ilvl="1" w:tplc="8DFEE638">
      <w:start w:val="1"/>
      <w:numFmt w:val="bullet"/>
      <w:lvlText w:val="•"/>
      <w:lvlJc w:val="left"/>
      <w:pPr>
        <w:ind w:left="1569" w:hanging="567"/>
      </w:pPr>
      <w:rPr>
        <w:rFonts w:hint="default"/>
      </w:rPr>
    </w:lvl>
    <w:lvl w:ilvl="2" w:tplc="7B40DC10">
      <w:start w:val="1"/>
      <w:numFmt w:val="bullet"/>
      <w:lvlText w:val="•"/>
      <w:lvlJc w:val="left"/>
      <w:pPr>
        <w:ind w:left="2462" w:hanging="567"/>
      </w:pPr>
      <w:rPr>
        <w:rFonts w:hint="default"/>
      </w:rPr>
    </w:lvl>
    <w:lvl w:ilvl="3" w:tplc="0F0214EA">
      <w:start w:val="1"/>
      <w:numFmt w:val="bullet"/>
      <w:lvlText w:val="•"/>
      <w:lvlJc w:val="left"/>
      <w:pPr>
        <w:ind w:left="3354" w:hanging="567"/>
      </w:pPr>
      <w:rPr>
        <w:rFonts w:hint="default"/>
      </w:rPr>
    </w:lvl>
    <w:lvl w:ilvl="4" w:tplc="BB4A9F38">
      <w:start w:val="1"/>
      <w:numFmt w:val="bullet"/>
      <w:lvlText w:val="•"/>
      <w:lvlJc w:val="left"/>
      <w:pPr>
        <w:ind w:left="4246" w:hanging="567"/>
      </w:pPr>
      <w:rPr>
        <w:rFonts w:hint="default"/>
      </w:rPr>
    </w:lvl>
    <w:lvl w:ilvl="5" w:tplc="C096C062">
      <w:start w:val="1"/>
      <w:numFmt w:val="bullet"/>
      <w:lvlText w:val="•"/>
      <w:lvlJc w:val="left"/>
      <w:pPr>
        <w:ind w:left="5138" w:hanging="567"/>
      </w:pPr>
      <w:rPr>
        <w:rFonts w:hint="default"/>
      </w:rPr>
    </w:lvl>
    <w:lvl w:ilvl="6" w:tplc="E4041FE6">
      <w:start w:val="1"/>
      <w:numFmt w:val="bullet"/>
      <w:lvlText w:val="•"/>
      <w:lvlJc w:val="left"/>
      <w:pPr>
        <w:ind w:left="6031" w:hanging="567"/>
      </w:pPr>
      <w:rPr>
        <w:rFonts w:hint="default"/>
      </w:rPr>
    </w:lvl>
    <w:lvl w:ilvl="7" w:tplc="35DA64A8">
      <w:start w:val="1"/>
      <w:numFmt w:val="bullet"/>
      <w:lvlText w:val="•"/>
      <w:lvlJc w:val="left"/>
      <w:pPr>
        <w:ind w:left="6923" w:hanging="567"/>
      </w:pPr>
      <w:rPr>
        <w:rFonts w:hint="default"/>
      </w:rPr>
    </w:lvl>
    <w:lvl w:ilvl="8" w:tplc="157473AE">
      <w:start w:val="1"/>
      <w:numFmt w:val="bullet"/>
      <w:lvlText w:val="•"/>
      <w:lvlJc w:val="left"/>
      <w:pPr>
        <w:ind w:left="7815" w:hanging="567"/>
      </w:pPr>
      <w:rPr>
        <w:rFonts w:hint="default"/>
      </w:rPr>
    </w:lvl>
  </w:abstractNum>
  <w:abstractNum w:abstractNumId="4" w15:restartNumberingAfterBreak="0">
    <w:nsid w:val="02732D4B"/>
    <w:multiLevelType w:val="hybridMultilevel"/>
    <w:tmpl w:val="9DCE5D74"/>
    <w:lvl w:ilvl="0" w:tplc="3BDA6E96">
      <w:start w:val="6"/>
      <w:numFmt w:val="decimal"/>
      <w:lvlText w:val="%1."/>
      <w:lvlJc w:val="left"/>
      <w:pPr>
        <w:ind w:left="677" w:hanging="567"/>
      </w:pPr>
      <w:rPr>
        <w:rFonts w:ascii="Times New Roman" w:eastAsia="Times New Roman" w:hAnsi="Times New Roman" w:hint="default"/>
        <w:sz w:val="22"/>
        <w:szCs w:val="22"/>
      </w:rPr>
    </w:lvl>
    <w:lvl w:ilvl="1" w:tplc="FB9C1D58">
      <w:start w:val="1"/>
      <w:numFmt w:val="bullet"/>
      <w:lvlText w:val="•"/>
      <w:lvlJc w:val="left"/>
      <w:pPr>
        <w:ind w:left="1569" w:hanging="567"/>
      </w:pPr>
      <w:rPr>
        <w:rFonts w:hint="default"/>
      </w:rPr>
    </w:lvl>
    <w:lvl w:ilvl="2" w:tplc="1E02A264">
      <w:start w:val="1"/>
      <w:numFmt w:val="bullet"/>
      <w:lvlText w:val="•"/>
      <w:lvlJc w:val="left"/>
      <w:pPr>
        <w:ind w:left="2462" w:hanging="567"/>
      </w:pPr>
      <w:rPr>
        <w:rFonts w:hint="default"/>
      </w:rPr>
    </w:lvl>
    <w:lvl w:ilvl="3" w:tplc="826AC1DC">
      <w:start w:val="1"/>
      <w:numFmt w:val="bullet"/>
      <w:lvlText w:val="•"/>
      <w:lvlJc w:val="left"/>
      <w:pPr>
        <w:ind w:left="3354" w:hanging="567"/>
      </w:pPr>
      <w:rPr>
        <w:rFonts w:hint="default"/>
      </w:rPr>
    </w:lvl>
    <w:lvl w:ilvl="4" w:tplc="8E724514">
      <w:start w:val="1"/>
      <w:numFmt w:val="bullet"/>
      <w:lvlText w:val="•"/>
      <w:lvlJc w:val="left"/>
      <w:pPr>
        <w:ind w:left="4246" w:hanging="567"/>
      </w:pPr>
      <w:rPr>
        <w:rFonts w:hint="default"/>
      </w:rPr>
    </w:lvl>
    <w:lvl w:ilvl="5" w:tplc="6F4C24EC">
      <w:start w:val="1"/>
      <w:numFmt w:val="bullet"/>
      <w:lvlText w:val="•"/>
      <w:lvlJc w:val="left"/>
      <w:pPr>
        <w:ind w:left="5138" w:hanging="567"/>
      </w:pPr>
      <w:rPr>
        <w:rFonts w:hint="default"/>
      </w:rPr>
    </w:lvl>
    <w:lvl w:ilvl="6" w:tplc="FCE68948">
      <w:start w:val="1"/>
      <w:numFmt w:val="bullet"/>
      <w:lvlText w:val="•"/>
      <w:lvlJc w:val="left"/>
      <w:pPr>
        <w:ind w:left="6031" w:hanging="567"/>
      </w:pPr>
      <w:rPr>
        <w:rFonts w:hint="default"/>
      </w:rPr>
    </w:lvl>
    <w:lvl w:ilvl="7" w:tplc="20222FA6">
      <w:start w:val="1"/>
      <w:numFmt w:val="bullet"/>
      <w:lvlText w:val="•"/>
      <w:lvlJc w:val="left"/>
      <w:pPr>
        <w:ind w:left="6923" w:hanging="567"/>
      </w:pPr>
      <w:rPr>
        <w:rFonts w:hint="default"/>
      </w:rPr>
    </w:lvl>
    <w:lvl w:ilvl="8" w:tplc="6C0C7C6E">
      <w:start w:val="1"/>
      <w:numFmt w:val="bullet"/>
      <w:lvlText w:val="•"/>
      <w:lvlJc w:val="left"/>
      <w:pPr>
        <w:ind w:left="7815" w:hanging="567"/>
      </w:pPr>
      <w:rPr>
        <w:rFonts w:hint="default"/>
      </w:rPr>
    </w:lvl>
  </w:abstractNum>
  <w:abstractNum w:abstractNumId="5" w15:restartNumberingAfterBreak="0">
    <w:nsid w:val="03435DEC"/>
    <w:multiLevelType w:val="multilevel"/>
    <w:tmpl w:val="9CEA38DA"/>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6"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 w15:restartNumberingAfterBreak="0">
    <w:nsid w:val="042E0F8A"/>
    <w:multiLevelType w:val="hybridMultilevel"/>
    <w:tmpl w:val="F08486F8"/>
    <w:lvl w:ilvl="0" w:tplc="971E026E">
      <w:start w:val="1"/>
      <w:numFmt w:val="decimal"/>
      <w:lvlText w:val="%1."/>
      <w:lvlJc w:val="left"/>
      <w:pPr>
        <w:ind w:left="360" w:hanging="360"/>
      </w:pPr>
      <w:rPr>
        <w:rFonts w:ascii="Times New Roman" w:hAnsi="Times New Roman" w:cs="Times New Roman" w:hint="default"/>
        <w:b/>
      </w:rPr>
    </w:lvl>
    <w:lvl w:ilvl="1" w:tplc="88C43224" w:tentative="1">
      <w:start w:val="1"/>
      <w:numFmt w:val="upperLetter"/>
      <w:lvlText w:val="%2."/>
      <w:lvlJc w:val="left"/>
      <w:pPr>
        <w:ind w:left="908" w:hanging="400"/>
      </w:pPr>
    </w:lvl>
    <w:lvl w:ilvl="2" w:tplc="F48A1328" w:tentative="1">
      <w:start w:val="1"/>
      <w:numFmt w:val="lowerRoman"/>
      <w:lvlText w:val="%3."/>
      <w:lvlJc w:val="right"/>
      <w:pPr>
        <w:ind w:left="1308" w:hanging="400"/>
      </w:pPr>
    </w:lvl>
    <w:lvl w:ilvl="3" w:tplc="4BE4F684" w:tentative="1">
      <w:start w:val="1"/>
      <w:numFmt w:val="decimal"/>
      <w:lvlText w:val="%4."/>
      <w:lvlJc w:val="left"/>
      <w:pPr>
        <w:ind w:left="1708" w:hanging="400"/>
      </w:pPr>
    </w:lvl>
    <w:lvl w:ilvl="4" w:tplc="F1061708" w:tentative="1">
      <w:start w:val="1"/>
      <w:numFmt w:val="upperLetter"/>
      <w:lvlText w:val="%5."/>
      <w:lvlJc w:val="left"/>
      <w:pPr>
        <w:ind w:left="2108" w:hanging="400"/>
      </w:pPr>
    </w:lvl>
    <w:lvl w:ilvl="5" w:tplc="E00CBE86" w:tentative="1">
      <w:start w:val="1"/>
      <w:numFmt w:val="lowerRoman"/>
      <w:lvlText w:val="%6."/>
      <w:lvlJc w:val="right"/>
      <w:pPr>
        <w:ind w:left="2508" w:hanging="400"/>
      </w:pPr>
    </w:lvl>
    <w:lvl w:ilvl="6" w:tplc="BF9A02B6" w:tentative="1">
      <w:start w:val="1"/>
      <w:numFmt w:val="decimal"/>
      <w:lvlText w:val="%7."/>
      <w:lvlJc w:val="left"/>
      <w:pPr>
        <w:ind w:left="2908" w:hanging="400"/>
      </w:pPr>
    </w:lvl>
    <w:lvl w:ilvl="7" w:tplc="5824DAFC" w:tentative="1">
      <w:start w:val="1"/>
      <w:numFmt w:val="upperLetter"/>
      <w:lvlText w:val="%8."/>
      <w:lvlJc w:val="left"/>
      <w:pPr>
        <w:ind w:left="3308" w:hanging="400"/>
      </w:pPr>
    </w:lvl>
    <w:lvl w:ilvl="8" w:tplc="9CDE68F2" w:tentative="1">
      <w:start w:val="1"/>
      <w:numFmt w:val="lowerRoman"/>
      <w:lvlText w:val="%9."/>
      <w:lvlJc w:val="right"/>
      <w:pPr>
        <w:ind w:left="3708" w:hanging="400"/>
      </w:pPr>
    </w:lvl>
  </w:abstractNum>
  <w:abstractNum w:abstractNumId="8" w15:restartNumberingAfterBreak="0">
    <w:nsid w:val="045E2D8C"/>
    <w:multiLevelType w:val="hybridMultilevel"/>
    <w:tmpl w:val="27FC5404"/>
    <w:lvl w:ilvl="0" w:tplc="C718614E">
      <w:start w:val="1"/>
      <w:numFmt w:val="decimal"/>
      <w:lvlText w:val="%1."/>
      <w:lvlJc w:val="left"/>
      <w:pPr>
        <w:ind w:left="111" w:hanging="562"/>
      </w:pPr>
      <w:rPr>
        <w:rFonts w:ascii="Times New Roman" w:eastAsia="Times New Roman" w:hAnsi="Times New Roman" w:hint="default"/>
        <w:b/>
        <w:bCs/>
        <w:sz w:val="22"/>
        <w:szCs w:val="22"/>
      </w:rPr>
    </w:lvl>
    <w:lvl w:ilvl="1" w:tplc="601A198C">
      <w:start w:val="1"/>
      <w:numFmt w:val="bullet"/>
      <w:lvlText w:val=""/>
      <w:lvlJc w:val="left"/>
      <w:pPr>
        <w:ind w:left="831" w:hanging="360"/>
      </w:pPr>
      <w:rPr>
        <w:rFonts w:ascii="Symbol" w:eastAsia="Symbol" w:hAnsi="Symbol" w:hint="default"/>
        <w:sz w:val="22"/>
        <w:szCs w:val="22"/>
      </w:rPr>
    </w:lvl>
    <w:lvl w:ilvl="2" w:tplc="5604680C">
      <w:start w:val="1"/>
      <w:numFmt w:val="bullet"/>
      <w:lvlText w:val=""/>
      <w:lvlJc w:val="left"/>
      <w:pPr>
        <w:ind w:left="1551" w:hanging="360"/>
      </w:pPr>
      <w:rPr>
        <w:rFonts w:ascii="Symbol" w:eastAsia="Symbol" w:hAnsi="Symbol" w:hint="default"/>
        <w:sz w:val="22"/>
        <w:szCs w:val="22"/>
      </w:rPr>
    </w:lvl>
    <w:lvl w:ilvl="3" w:tplc="199E025A">
      <w:start w:val="1"/>
      <w:numFmt w:val="bullet"/>
      <w:lvlText w:val="•"/>
      <w:lvlJc w:val="left"/>
      <w:pPr>
        <w:ind w:left="2557" w:hanging="360"/>
      </w:pPr>
      <w:rPr>
        <w:rFonts w:hint="default"/>
      </w:rPr>
    </w:lvl>
    <w:lvl w:ilvl="4" w:tplc="A4EC7DC4">
      <w:start w:val="1"/>
      <w:numFmt w:val="bullet"/>
      <w:lvlText w:val="•"/>
      <w:lvlJc w:val="left"/>
      <w:pPr>
        <w:ind w:left="3563" w:hanging="360"/>
      </w:pPr>
      <w:rPr>
        <w:rFonts w:hint="default"/>
      </w:rPr>
    </w:lvl>
    <w:lvl w:ilvl="5" w:tplc="4B5C745A">
      <w:start w:val="1"/>
      <w:numFmt w:val="bullet"/>
      <w:lvlText w:val="•"/>
      <w:lvlJc w:val="left"/>
      <w:pPr>
        <w:ind w:left="4569" w:hanging="360"/>
      </w:pPr>
      <w:rPr>
        <w:rFonts w:hint="default"/>
      </w:rPr>
    </w:lvl>
    <w:lvl w:ilvl="6" w:tplc="42F8B5FE">
      <w:start w:val="1"/>
      <w:numFmt w:val="bullet"/>
      <w:lvlText w:val="•"/>
      <w:lvlJc w:val="left"/>
      <w:pPr>
        <w:ind w:left="5575" w:hanging="360"/>
      </w:pPr>
      <w:rPr>
        <w:rFonts w:hint="default"/>
      </w:rPr>
    </w:lvl>
    <w:lvl w:ilvl="7" w:tplc="873A4BAE">
      <w:start w:val="1"/>
      <w:numFmt w:val="bullet"/>
      <w:lvlText w:val="•"/>
      <w:lvlJc w:val="left"/>
      <w:pPr>
        <w:ind w:left="6581" w:hanging="360"/>
      </w:pPr>
      <w:rPr>
        <w:rFonts w:hint="default"/>
      </w:rPr>
    </w:lvl>
    <w:lvl w:ilvl="8" w:tplc="BCEE9244">
      <w:start w:val="1"/>
      <w:numFmt w:val="bullet"/>
      <w:lvlText w:val="•"/>
      <w:lvlJc w:val="left"/>
      <w:pPr>
        <w:ind w:left="7587" w:hanging="360"/>
      </w:pPr>
      <w:rPr>
        <w:rFonts w:hint="default"/>
      </w:rPr>
    </w:lvl>
  </w:abstractNum>
  <w:abstractNum w:abstractNumId="9" w15:restartNumberingAfterBreak="0">
    <w:nsid w:val="04E578FA"/>
    <w:multiLevelType w:val="hybridMultilevel"/>
    <w:tmpl w:val="D36EAE72"/>
    <w:lvl w:ilvl="0" w:tplc="C2CE0220">
      <w:start w:val="1"/>
      <w:numFmt w:val="decimal"/>
      <w:pStyle w:val="Bullet"/>
      <w:lvlText w:val="%1."/>
      <w:lvlJc w:val="left"/>
      <w:pPr>
        <w:ind w:hanging="562"/>
      </w:pPr>
      <w:rPr>
        <w:rFonts w:ascii="Times New Roman" w:eastAsia="Times New Roman" w:hAnsi="Times New Roman" w:hint="default"/>
        <w:b/>
        <w:bCs/>
        <w:sz w:val="22"/>
        <w:szCs w:val="22"/>
      </w:rPr>
    </w:lvl>
    <w:lvl w:ilvl="1" w:tplc="C82A6D1A">
      <w:start w:val="1"/>
      <w:numFmt w:val="bullet"/>
      <w:lvlText w:val=""/>
      <w:lvlJc w:val="left"/>
      <w:pPr>
        <w:ind w:hanging="360"/>
      </w:pPr>
      <w:rPr>
        <w:rFonts w:ascii="Symbol" w:eastAsia="Symbol" w:hAnsi="Symbol" w:hint="default"/>
        <w:sz w:val="22"/>
        <w:szCs w:val="22"/>
      </w:rPr>
    </w:lvl>
    <w:lvl w:ilvl="2" w:tplc="0570D80A">
      <w:start w:val="1"/>
      <w:numFmt w:val="bullet"/>
      <w:lvlText w:val=""/>
      <w:lvlJc w:val="left"/>
      <w:pPr>
        <w:ind w:hanging="360"/>
      </w:pPr>
      <w:rPr>
        <w:rFonts w:ascii="Symbol" w:eastAsia="Symbol" w:hAnsi="Symbol" w:hint="default"/>
        <w:sz w:val="22"/>
        <w:szCs w:val="22"/>
      </w:rPr>
    </w:lvl>
    <w:lvl w:ilvl="3" w:tplc="6EB0D8CC">
      <w:start w:val="1"/>
      <w:numFmt w:val="bullet"/>
      <w:lvlText w:val="•"/>
      <w:lvlJc w:val="left"/>
      <w:rPr>
        <w:rFonts w:hint="default"/>
      </w:rPr>
    </w:lvl>
    <w:lvl w:ilvl="4" w:tplc="9A705E6C">
      <w:start w:val="1"/>
      <w:numFmt w:val="bullet"/>
      <w:lvlText w:val="•"/>
      <w:lvlJc w:val="left"/>
      <w:rPr>
        <w:rFonts w:hint="default"/>
      </w:rPr>
    </w:lvl>
    <w:lvl w:ilvl="5" w:tplc="D82CB88C">
      <w:start w:val="1"/>
      <w:numFmt w:val="bullet"/>
      <w:lvlText w:val="•"/>
      <w:lvlJc w:val="left"/>
      <w:rPr>
        <w:rFonts w:hint="default"/>
      </w:rPr>
    </w:lvl>
    <w:lvl w:ilvl="6" w:tplc="559A57AC">
      <w:start w:val="1"/>
      <w:numFmt w:val="bullet"/>
      <w:lvlText w:val="•"/>
      <w:lvlJc w:val="left"/>
      <w:rPr>
        <w:rFonts w:hint="default"/>
      </w:rPr>
    </w:lvl>
    <w:lvl w:ilvl="7" w:tplc="B20AD360">
      <w:start w:val="1"/>
      <w:numFmt w:val="bullet"/>
      <w:lvlText w:val="•"/>
      <w:lvlJc w:val="left"/>
      <w:rPr>
        <w:rFonts w:hint="default"/>
      </w:rPr>
    </w:lvl>
    <w:lvl w:ilvl="8" w:tplc="A30805CC">
      <w:start w:val="1"/>
      <w:numFmt w:val="bullet"/>
      <w:lvlText w:val="•"/>
      <w:lvlJc w:val="left"/>
      <w:rPr>
        <w:rFonts w:hint="default"/>
      </w:rPr>
    </w:lvl>
  </w:abstractNum>
  <w:abstractNum w:abstractNumId="10" w15:restartNumberingAfterBreak="0">
    <w:nsid w:val="04EE48B3"/>
    <w:multiLevelType w:val="hybridMultilevel"/>
    <w:tmpl w:val="67D4B0F6"/>
    <w:lvl w:ilvl="0" w:tplc="708E98AE">
      <w:start w:val="1"/>
      <w:numFmt w:val="bullet"/>
      <w:lvlText w:val=""/>
      <w:lvlJc w:val="left"/>
      <w:pPr>
        <w:ind w:left="1854" w:hanging="360"/>
      </w:pPr>
      <w:rPr>
        <w:rFonts w:ascii="Symbol" w:eastAsia="Symbol" w:hAnsi="Symbol" w:hint="default"/>
        <w:sz w:val="22"/>
        <w:szCs w:val="22"/>
      </w:rPr>
    </w:lvl>
    <w:lvl w:ilvl="1" w:tplc="F5344EB4">
      <w:start w:val="1"/>
      <w:numFmt w:val="bullet"/>
      <w:lvlText w:val="•"/>
      <w:lvlJc w:val="left"/>
      <w:pPr>
        <w:ind w:left="2311" w:hanging="360"/>
      </w:pPr>
      <w:rPr>
        <w:rFonts w:hint="default"/>
      </w:rPr>
    </w:lvl>
    <w:lvl w:ilvl="2" w:tplc="B35682D4">
      <w:start w:val="1"/>
      <w:numFmt w:val="bullet"/>
      <w:lvlText w:val="•"/>
      <w:lvlJc w:val="left"/>
      <w:pPr>
        <w:ind w:left="2767" w:hanging="360"/>
      </w:pPr>
      <w:rPr>
        <w:rFonts w:hint="default"/>
      </w:rPr>
    </w:lvl>
    <w:lvl w:ilvl="3" w:tplc="825A54A0">
      <w:start w:val="1"/>
      <w:numFmt w:val="bullet"/>
      <w:lvlText w:val="•"/>
      <w:lvlJc w:val="left"/>
      <w:pPr>
        <w:ind w:left="3224" w:hanging="360"/>
      </w:pPr>
      <w:rPr>
        <w:rFonts w:hint="default"/>
      </w:rPr>
    </w:lvl>
    <w:lvl w:ilvl="4" w:tplc="E14A6998">
      <w:start w:val="1"/>
      <w:numFmt w:val="bullet"/>
      <w:lvlText w:val="•"/>
      <w:lvlJc w:val="left"/>
      <w:pPr>
        <w:ind w:left="3680" w:hanging="360"/>
      </w:pPr>
      <w:rPr>
        <w:rFonts w:hint="default"/>
      </w:rPr>
    </w:lvl>
    <w:lvl w:ilvl="5" w:tplc="7C28791C">
      <w:start w:val="1"/>
      <w:numFmt w:val="bullet"/>
      <w:lvlText w:val="•"/>
      <w:lvlJc w:val="left"/>
      <w:pPr>
        <w:ind w:left="4137" w:hanging="360"/>
      </w:pPr>
      <w:rPr>
        <w:rFonts w:hint="default"/>
      </w:rPr>
    </w:lvl>
    <w:lvl w:ilvl="6" w:tplc="B35C5976">
      <w:start w:val="1"/>
      <w:numFmt w:val="bullet"/>
      <w:lvlText w:val="•"/>
      <w:lvlJc w:val="left"/>
      <w:pPr>
        <w:ind w:left="4594" w:hanging="360"/>
      </w:pPr>
      <w:rPr>
        <w:rFonts w:hint="default"/>
      </w:rPr>
    </w:lvl>
    <w:lvl w:ilvl="7" w:tplc="73DE6992">
      <w:start w:val="1"/>
      <w:numFmt w:val="bullet"/>
      <w:lvlText w:val="•"/>
      <w:lvlJc w:val="left"/>
      <w:pPr>
        <w:ind w:left="5050" w:hanging="360"/>
      </w:pPr>
      <w:rPr>
        <w:rFonts w:hint="default"/>
      </w:rPr>
    </w:lvl>
    <w:lvl w:ilvl="8" w:tplc="7E8E8490">
      <w:start w:val="1"/>
      <w:numFmt w:val="bullet"/>
      <w:lvlText w:val="•"/>
      <w:lvlJc w:val="left"/>
      <w:pPr>
        <w:ind w:left="5507" w:hanging="360"/>
      </w:pPr>
      <w:rPr>
        <w:rFonts w:hint="default"/>
      </w:rPr>
    </w:lvl>
  </w:abstractNum>
  <w:abstractNum w:abstractNumId="11" w15:restartNumberingAfterBreak="0">
    <w:nsid w:val="06895608"/>
    <w:multiLevelType w:val="hybridMultilevel"/>
    <w:tmpl w:val="3188759A"/>
    <w:lvl w:ilvl="0" w:tplc="CBF2A460">
      <w:start w:val="1"/>
      <w:numFmt w:val="bullet"/>
      <w:lvlText w:val="-"/>
      <w:lvlJc w:val="left"/>
      <w:pPr>
        <w:ind w:hanging="567"/>
      </w:pPr>
      <w:rPr>
        <w:rFonts w:ascii="Times New Roman" w:eastAsia="Times New Roman" w:hAnsi="Times New Roman" w:hint="default"/>
        <w:sz w:val="22"/>
        <w:szCs w:val="22"/>
      </w:rPr>
    </w:lvl>
    <w:lvl w:ilvl="1" w:tplc="7C5EBDD6">
      <w:start w:val="1"/>
      <w:numFmt w:val="bullet"/>
      <w:lvlText w:val="•"/>
      <w:lvlJc w:val="left"/>
      <w:rPr>
        <w:rFonts w:hint="default"/>
      </w:rPr>
    </w:lvl>
    <w:lvl w:ilvl="2" w:tplc="F30E11B4">
      <w:start w:val="1"/>
      <w:numFmt w:val="bullet"/>
      <w:lvlText w:val=""/>
      <w:lvlJc w:val="left"/>
      <w:rPr>
        <w:rFonts w:ascii="Symbol" w:hAnsi="Symbol" w:hint="default"/>
        <w:sz w:val="26"/>
        <w:szCs w:val="26"/>
      </w:rPr>
    </w:lvl>
    <w:lvl w:ilvl="3" w:tplc="12662414">
      <w:start w:val="1"/>
      <w:numFmt w:val="bullet"/>
      <w:lvlText w:val="•"/>
      <w:lvlJc w:val="left"/>
      <w:rPr>
        <w:rFonts w:hint="default"/>
      </w:rPr>
    </w:lvl>
    <w:lvl w:ilvl="4" w:tplc="6A4E8C42">
      <w:start w:val="1"/>
      <w:numFmt w:val="bullet"/>
      <w:lvlText w:val="•"/>
      <w:lvlJc w:val="left"/>
      <w:rPr>
        <w:rFonts w:hint="default"/>
      </w:rPr>
    </w:lvl>
    <w:lvl w:ilvl="5" w:tplc="69FAF3D6">
      <w:start w:val="1"/>
      <w:numFmt w:val="bullet"/>
      <w:lvlText w:val="•"/>
      <w:lvlJc w:val="left"/>
      <w:rPr>
        <w:rFonts w:hint="default"/>
      </w:rPr>
    </w:lvl>
    <w:lvl w:ilvl="6" w:tplc="D870D97C">
      <w:start w:val="1"/>
      <w:numFmt w:val="bullet"/>
      <w:lvlText w:val="•"/>
      <w:lvlJc w:val="left"/>
      <w:rPr>
        <w:rFonts w:hint="default"/>
      </w:rPr>
    </w:lvl>
    <w:lvl w:ilvl="7" w:tplc="1486DB36">
      <w:start w:val="1"/>
      <w:numFmt w:val="bullet"/>
      <w:lvlText w:val="•"/>
      <w:lvlJc w:val="left"/>
      <w:rPr>
        <w:rFonts w:hint="default"/>
      </w:rPr>
    </w:lvl>
    <w:lvl w:ilvl="8" w:tplc="4D4CEC52">
      <w:start w:val="1"/>
      <w:numFmt w:val="bullet"/>
      <w:lvlText w:val="•"/>
      <w:lvlJc w:val="left"/>
      <w:rPr>
        <w:rFonts w:hint="default"/>
      </w:rPr>
    </w:lvl>
  </w:abstractNum>
  <w:abstractNum w:abstractNumId="12" w15:restartNumberingAfterBreak="0">
    <w:nsid w:val="073815D1"/>
    <w:multiLevelType w:val="hybridMultilevel"/>
    <w:tmpl w:val="6B341B0C"/>
    <w:lvl w:ilvl="0" w:tplc="5D7E0E3C">
      <w:start w:val="1"/>
      <w:numFmt w:val="bullet"/>
      <w:lvlText w:val=""/>
      <w:lvlJc w:val="left"/>
      <w:pPr>
        <w:ind w:left="111" w:hanging="360"/>
      </w:pPr>
      <w:rPr>
        <w:rFonts w:ascii="Symbol" w:eastAsia="Symbol" w:hAnsi="Symbol" w:hint="default"/>
        <w:sz w:val="22"/>
        <w:szCs w:val="22"/>
      </w:rPr>
    </w:lvl>
    <w:lvl w:ilvl="1" w:tplc="7074778C">
      <w:start w:val="1"/>
      <w:numFmt w:val="bullet"/>
      <w:lvlText w:val="•"/>
      <w:lvlJc w:val="left"/>
      <w:pPr>
        <w:ind w:left="1050" w:hanging="360"/>
      </w:pPr>
      <w:rPr>
        <w:rFonts w:hint="default"/>
      </w:rPr>
    </w:lvl>
    <w:lvl w:ilvl="2" w:tplc="D6587600">
      <w:start w:val="1"/>
      <w:numFmt w:val="bullet"/>
      <w:lvlText w:val="•"/>
      <w:lvlJc w:val="left"/>
      <w:pPr>
        <w:ind w:left="1988" w:hanging="360"/>
      </w:pPr>
      <w:rPr>
        <w:rFonts w:hint="default"/>
      </w:rPr>
    </w:lvl>
    <w:lvl w:ilvl="3" w:tplc="7542079A">
      <w:start w:val="1"/>
      <w:numFmt w:val="bullet"/>
      <w:lvlText w:val="•"/>
      <w:lvlJc w:val="left"/>
      <w:pPr>
        <w:ind w:left="2927" w:hanging="360"/>
      </w:pPr>
      <w:rPr>
        <w:rFonts w:hint="default"/>
      </w:rPr>
    </w:lvl>
    <w:lvl w:ilvl="4" w:tplc="0A4667E8">
      <w:start w:val="1"/>
      <w:numFmt w:val="bullet"/>
      <w:lvlText w:val="•"/>
      <w:lvlJc w:val="left"/>
      <w:pPr>
        <w:ind w:left="3866" w:hanging="360"/>
      </w:pPr>
      <w:rPr>
        <w:rFonts w:hint="default"/>
      </w:rPr>
    </w:lvl>
    <w:lvl w:ilvl="5" w:tplc="9E688B2E">
      <w:start w:val="1"/>
      <w:numFmt w:val="bullet"/>
      <w:lvlText w:val="•"/>
      <w:lvlJc w:val="left"/>
      <w:pPr>
        <w:ind w:left="4805" w:hanging="360"/>
      </w:pPr>
      <w:rPr>
        <w:rFonts w:hint="default"/>
      </w:rPr>
    </w:lvl>
    <w:lvl w:ilvl="6" w:tplc="EB7232AE">
      <w:start w:val="1"/>
      <w:numFmt w:val="bullet"/>
      <w:lvlText w:val="•"/>
      <w:lvlJc w:val="left"/>
      <w:pPr>
        <w:ind w:left="5744" w:hanging="360"/>
      </w:pPr>
      <w:rPr>
        <w:rFonts w:hint="default"/>
      </w:rPr>
    </w:lvl>
    <w:lvl w:ilvl="7" w:tplc="B6686518">
      <w:start w:val="1"/>
      <w:numFmt w:val="bullet"/>
      <w:lvlText w:val="•"/>
      <w:lvlJc w:val="left"/>
      <w:pPr>
        <w:ind w:left="6683" w:hanging="360"/>
      </w:pPr>
      <w:rPr>
        <w:rFonts w:hint="default"/>
      </w:rPr>
    </w:lvl>
    <w:lvl w:ilvl="8" w:tplc="CC06799A">
      <w:start w:val="1"/>
      <w:numFmt w:val="bullet"/>
      <w:lvlText w:val="•"/>
      <w:lvlJc w:val="left"/>
      <w:pPr>
        <w:ind w:left="7622" w:hanging="360"/>
      </w:pPr>
      <w:rPr>
        <w:rFonts w:hint="default"/>
      </w:rPr>
    </w:lvl>
  </w:abstractNum>
  <w:abstractNum w:abstractNumId="13" w15:restartNumberingAfterBreak="0">
    <w:nsid w:val="07DD551D"/>
    <w:multiLevelType w:val="hybridMultilevel"/>
    <w:tmpl w:val="9FFAA5F2"/>
    <w:lvl w:ilvl="0" w:tplc="332EE750">
      <w:start w:val="1"/>
      <w:numFmt w:val="bullet"/>
      <w:lvlText w:val=""/>
      <w:lvlJc w:val="left"/>
      <w:pPr>
        <w:ind w:left="1384" w:hanging="400"/>
      </w:pPr>
      <w:rPr>
        <w:rFonts w:ascii="Symbol" w:hAnsi="Symbol" w:hint="default"/>
        <w:sz w:val="22"/>
        <w:szCs w:val="22"/>
      </w:rPr>
    </w:lvl>
    <w:lvl w:ilvl="1" w:tplc="64F0E646" w:tentative="1">
      <w:start w:val="1"/>
      <w:numFmt w:val="bullet"/>
      <w:lvlText w:val=""/>
      <w:lvlJc w:val="left"/>
      <w:pPr>
        <w:ind w:left="1784" w:hanging="400"/>
      </w:pPr>
      <w:rPr>
        <w:rFonts w:ascii="Wingdings" w:hAnsi="Wingdings" w:hint="default"/>
      </w:rPr>
    </w:lvl>
    <w:lvl w:ilvl="2" w:tplc="8874641E" w:tentative="1">
      <w:start w:val="1"/>
      <w:numFmt w:val="bullet"/>
      <w:lvlText w:val=""/>
      <w:lvlJc w:val="left"/>
      <w:pPr>
        <w:ind w:left="2184" w:hanging="400"/>
      </w:pPr>
      <w:rPr>
        <w:rFonts w:ascii="Wingdings" w:hAnsi="Wingdings" w:hint="default"/>
      </w:rPr>
    </w:lvl>
    <w:lvl w:ilvl="3" w:tplc="4E849B02" w:tentative="1">
      <w:start w:val="1"/>
      <w:numFmt w:val="bullet"/>
      <w:lvlText w:val=""/>
      <w:lvlJc w:val="left"/>
      <w:pPr>
        <w:ind w:left="2584" w:hanging="400"/>
      </w:pPr>
      <w:rPr>
        <w:rFonts w:ascii="Wingdings" w:hAnsi="Wingdings" w:hint="default"/>
      </w:rPr>
    </w:lvl>
    <w:lvl w:ilvl="4" w:tplc="0A3E50FC" w:tentative="1">
      <w:start w:val="1"/>
      <w:numFmt w:val="bullet"/>
      <w:lvlText w:val=""/>
      <w:lvlJc w:val="left"/>
      <w:pPr>
        <w:ind w:left="2984" w:hanging="400"/>
      </w:pPr>
      <w:rPr>
        <w:rFonts w:ascii="Wingdings" w:hAnsi="Wingdings" w:hint="default"/>
      </w:rPr>
    </w:lvl>
    <w:lvl w:ilvl="5" w:tplc="32847F4C" w:tentative="1">
      <w:start w:val="1"/>
      <w:numFmt w:val="bullet"/>
      <w:lvlText w:val=""/>
      <w:lvlJc w:val="left"/>
      <w:pPr>
        <w:ind w:left="3384" w:hanging="400"/>
      </w:pPr>
      <w:rPr>
        <w:rFonts w:ascii="Wingdings" w:hAnsi="Wingdings" w:hint="default"/>
      </w:rPr>
    </w:lvl>
    <w:lvl w:ilvl="6" w:tplc="109EEFC4" w:tentative="1">
      <w:start w:val="1"/>
      <w:numFmt w:val="bullet"/>
      <w:lvlText w:val=""/>
      <w:lvlJc w:val="left"/>
      <w:pPr>
        <w:ind w:left="3784" w:hanging="400"/>
      </w:pPr>
      <w:rPr>
        <w:rFonts w:ascii="Wingdings" w:hAnsi="Wingdings" w:hint="default"/>
      </w:rPr>
    </w:lvl>
    <w:lvl w:ilvl="7" w:tplc="B0986C92" w:tentative="1">
      <w:start w:val="1"/>
      <w:numFmt w:val="bullet"/>
      <w:lvlText w:val=""/>
      <w:lvlJc w:val="left"/>
      <w:pPr>
        <w:ind w:left="4184" w:hanging="400"/>
      </w:pPr>
      <w:rPr>
        <w:rFonts w:ascii="Wingdings" w:hAnsi="Wingdings" w:hint="default"/>
      </w:rPr>
    </w:lvl>
    <w:lvl w:ilvl="8" w:tplc="8C00512A" w:tentative="1">
      <w:start w:val="1"/>
      <w:numFmt w:val="bullet"/>
      <w:lvlText w:val=""/>
      <w:lvlJc w:val="left"/>
      <w:pPr>
        <w:ind w:left="4584" w:hanging="400"/>
      </w:pPr>
      <w:rPr>
        <w:rFonts w:ascii="Wingdings" w:hAnsi="Wingdings" w:hint="default"/>
      </w:rPr>
    </w:lvl>
  </w:abstractNum>
  <w:abstractNum w:abstractNumId="14" w15:restartNumberingAfterBreak="0">
    <w:nsid w:val="07DD6190"/>
    <w:multiLevelType w:val="hybridMultilevel"/>
    <w:tmpl w:val="5184914E"/>
    <w:lvl w:ilvl="0" w:tplc="FA4A9B14">
      <w:start w:val="1"/>
      <w:numFmt w:val="bullet"/>
      <w:lvlText w:val=""/>
      <w:lvlJc w:val="left"/>
      <w:pPr>
        <w:ind w:left="660" w:hanging="550"/>
      </w:pPr>
      <w:rPr>
        <w:rFonts w:ascii="Wingdings" w:eastAsia="Wingdings" w:hAnsi="Wingdings" w:hint="default"/>
        <w:sz w:val="22"/>
        <w:szCs w:val="22"/>
      </w:rPr>
    </w:lvl>
    <w:lvl w:ilvl="1" w:tplc="C91828C8">
      <w:start w:val="1"/>
      <w:numFmt w:val="bullet"/>
      <w:lvlText w:val="•"/>
      <w:lvlJc w:val="left"/>
      <w:pPr>
        <w:ind w:left="1540" w:hanging="550"/>
      </w:pPr>
      <w:rPr>
        <w:rFonts w:hint="default"/>
      </w:rPr>
    </w:lvl>
    <w:lvl w:ilvl="2" w:tplc="D332D9C4">
      <w:start w:val="1"/>
      <w:numFmt w:val="bullet"/>
      <w:lvlText w:val="•"/>
      <w:lvlJc w:val="left"/>
      <w:pPr>
        <w:ind w:left="2420" w:hanging="550"/>
      </w:pPr>
      <w:rPr>
        <w:rFonts w:hint="default"/>
      </w:rPr>
    </w:lvl>
    <w:lvl w:ilvl="3" w:tplc="C214F806">
      <w:start w:val="1"/>
      <w:numFmt w:val="bullet"/>
      <w:lvlText w:val="•"/>
      <w:lvlJc w:val="left"/>
      <w:pPr>
        <w:ind w:left="3300" w:hanging="550"/>
      </w:pPr>
      <w:rPr>
        <w:rFonts w:hint="default"/>
      </w:rPr>
    </w:lvl>
    <w:lvl w:ilvl="4" w:tplc="8E2237B2">
      <w:start w:val="1"/>
      <w:numFmt w:val="bullet"/>
      <w:lvlText w:val="•"/>
      <w:lvlJc w:val="left"/>
      <w:pPr>
        <w:ind w:left="4180" w:hanging="550"/>
      </w:pPr>
      <w:rPr>
        <w:rFonts w:hint="default"/>
      </w:rPr>
    </w:lvl>
    <w:lvl w:ilvl="5" w:tplc="261EA9C0">
      <w:start w:val="1"/>
      <w:numFmt w:val="bullet"/>
      <w:lvlText w:val="•"/>
      <w:lvlJc w:val="left"/>
      <w:pPr>
        <w:ind w:left="5060" w:hanging="550"/>
      </w:pPr>
      <w:rPr>
        <w:rFonts w:hint="default"/>
      </w:rPr>
    </w:lvl>
    <w:lvl w:ilvl="6" w:tplc="A7B2CD9E">
      <w:start w:val="1"/>
      <w:numFmt w:val="bullet"/>
      <w:lvlText w:val="•"/>
      <w:lvlJc w:val="left"/>
      <w:pPr>
        <w:ind w:left="5940" w:hanging="550"/>
      </w:pPr>
      <w:rPr>
        <w:rFonts w:hint="default"/>
      </w:rPr>
    </w:lvl>
    <w:lvl w:ilvl="7" w:tplc="BA8AE484">
      <w:start w:val="1"/>
      <w:numFmt w:val="bullet"/>
      <w:lvlText w:val="•"/>
      <w:lvlJc w:val="left"/>
      <w:pPr>
        <w:ind w:left="6820" w:hanging="550"/>
      </w:pPr>
      <w:rPr>
        <w:rFonts w:hint="default"/>
      </w:rPr>
    </w:lvl>
    <w:lvl w:ilvl="8" w:tplc="41642C22">
      <w:start w:val="1"/>
      <w:numFmt w:val="bullet"/>
      <w:lvlText w:val="•"/>
      <w:lvlJc w:val="left"/>
      <w:pPr>
        <w:ind w:left="7700" w:hanging="550"/>
      </w:pPr>
      <w:rPr>
        <w:rFonts w:hint="default"/>
      </w:rPr>
    </w:lvl>
  </w:abstractNum>
  <w:abstractNum w:abstractNumId="15" w15:restartNumberingAfterBreak="0">
    <w:nsid w:val="081E1F69"/>
    <w:multiLevelType w:val="hybridMultilevel"/>
    <w:tmpl w:val="6944D5F6"/>
    <w:lvl w:ilvl="0" w:tplc="7E68BDE8">
      <w:start w:val="1"/>
      <w:numFmt w:val="decimal"/>
      <w:lvlText w:val="%1."/>
      <w:lvlJc w:val="left"/>
      <w:pPr>
        <w:ind w:left="111" w:hanging="562"/>
      </w:pPr>
      <w:rPr>
        <w:rFonts w:ascii="Times New Roman" w:eastAsia="Times New Roman" w:hAnsi="Times New Roman" w:hint="default"/>
        <w:b/>
        <w:bCs/>
        <w:sz w:val="22"/>
        <w:szCs w:val="22"/>
      </w:rPr>
    </w:lvl>
    <w:lvl w:ilvl="1" w:tplc="1688BED8">
      <w:start w:val="1"/>
      <w:numFmt w:val="bullet"/>
      <w:lvlText w:val=""/>
      <w:lvlJc w:val="left"/>
      <w:pPr>
        <w:ind w:left="831" w:hanging="360"/>
      </w:pPr>
      <w:rPr>
        <w:rFonts w:ascii="Symbol" w:eastAsia="Symbol" w:hAnsi="Symbol" w:hint="default"/>
        <w:sz w:val="22"/>
        <w:szCs w:val="22"/>
      </w:rPr>
    </w:lvl>
    <w:lvl w:ilvl="2" w:tplc="03227A1E">
      <w:start w:val="1"/>
      <w:numFmt w:val="bullet"/>
      <w:lvlText w:val="•"/>
      <w:lvlJc w:val="left"/>
      <w:pPr>
        <w:ind w:left="1805" w:hanging="360"/>
      </w:pPr>
      <w:rPr>
        <w:rFonts w:hint="default"/>
      </w:rPr>
    </w:lvl>
    <w:lvl w:ilvl="3" w:tplc="6ADAB85E">
      <w:start w:val="1"/>
      <w:numFmt w:val="bullet"/>
      <w:lvlText w:val="•"/>
      <w:lvlJc w:val="left"/>
      <w:pPr>
        <w:ind w:left="2779" w:hanging="360"/>
      </w:pPr>
      <w:rPr>
        <w:rFonts w:hint="default"/>
      </w:rPr>
    </w:lvl>
    <w:lvl w:ilvl="4" w:tplc="91644C56">
      <w:start w:val="1"/>
      <w:numFmt w:val="bullet"/>
      <w:lvlText w:val="•"/>
      <w:lvlJc w:val="left"/>
      <w:pPr>
        <w:ind w:left="3754" w:hanging="360"/>
      </w:pPr>
      <w:rPr>
        <w:rFonts w:hint="default"/>
      </w:rPr>
    </w:lvl>
    <w:lvl w:ilvl="5" w:tplc="EF843520">
      <w:start w:val="1"/>
      <w:numFmt w:val="bullet"/>
      <w:lvlText w:val="•"/>
      <w:lvlJc w:val="left"/>
      <w:pPr>
        <w:ind w:left="4728" w:hanging="360"/>
      </w:pPr>
      <w:rPr>
        <w:rFonts w:hint="default"/>
      </w:rPr>
    </w:lvl>
    <w:lvl w:ilvl="6" w:tplc="97263AFC">
      <w:start w:val="1"/>
      <w:numFmt w:val="bullet"/>
      <w:lvlText w:val="•"/>
      <w:lvlJc w:val="left"/>
      <w:pPr>
        <w:ind w:left="5702" w:hanging="360"/>
      </w:pPr>
      <w:rPr>
        <w:rFonts w:hint="default"/>
      </w:rPr>
    </w:lvl>
    <w:lvl w:ilvl="7" w:tplc="49800080">
      <w:start w:val="1"/>
      <w:numFmt w:val="bullet"/>
      <w:lvlText w:val="•"/>
      <w:lvlJc w:val="left"/>
      <w:pPr>
        <w:ind w:left="6677" w:hanging="360"/>
      </w:pPr>
      <w:rPr>
        <w:rFonts w:hint="default"/>
      </w:rPr>
    </w:lvl>
    <w:lvl w:ilvl="8" w:tplc="6F8E11D4">
      <w:start w:val="1"/>
      <w:numFmt w:val="bullet"/>
      <w:lvlText w:val="•"/>
      <w:lvlJc w:val="left"/>
      <w:pPr>
        <w:ind w:left="7651" w:hanging="360"/>
      </w:pPr>
      <w:rPr>
        <w:rFonts w:hint="default"/>
      </w:rPr>
    </w:lvl>
  </w:abstractNum>
  <w:abstractNum w:abstractNumId="16" w15:restartNumberingAfterBreak="0">
    <w:nsid w:val="08B9474C"/>
    <w:multiLevelType w:val="hybridMultilevel"/>
    <w:tmpl w:val="0246885C"/>
    <w:lvl w:ilvl="0" w:tplc="D84678E6">
      <w:start w:val="1"/>
      <w:numFmt w:val="lowerLetter"/>
      <w:lvlText w:val="%1"/>
      <w:lvlJc w:val="left"/>
      <w:pPr>
        <w:ind w:hanging="360"/>
      </w:pPr>
      <w:rPr>
        <w:rFonts w:ascii="Times New Roman" w:eastAsia="Times New Roman" w:hAnsi="Times New Roman" w:hint="default"/>
        <w:position w:val="6"/>
        <w:sz w:val="16"/>
        <w:szCs w:val="16"/>
      </w:rPr>
    </w:lvl>
    <w:lvl w:ilvl="1" w:tplc="6D20EB3E">
      <w:start w:val="1"/>
      <w:numFmt w:val="bullet"/>
      <w:lvlText w:val="•"/>
      <w:lvlJc w:val="left"/>
      <w:rPr>
        <w:rFonts w:hint="default"/>
      </w:rPr>
    </w:lvl>
    <w:lvl w:ilvl="2" w:tplc="55EA4282">
      <w:start w:val="1"/>
      <w:numFmt w:val="bullet"/>
      <w:lvlText w:val="•"/>
      <w:lvlJc w:val="left"/>
      <w:rPr>
        <w:rFonts w:hint="default"/>
      </w:rPr>
    </w:lvl>
    <w:lvl w:ilvl="3" w:tplc="EC7E2142">
      <w:start w:val="1"/>
      <w:numFmt w:val="bullet"/>
      <w:lvlText w:val="•"/>
      <w:lvlJc w:val="left"/>
      <w:rPr>
        <w:rFonts w:hint="default"/>
      </w:rPr>
    </w:lvl>
    <w:lvl w:ilvl="4" w:tplc="6180D7B4">
      <w:start w:val="1"/>
      <w:numFmt w:val="bullet"/>
      <w:lvlText w:val="•"/>
      <w:lvlJc w:val="left"/>
      <w:rPr>
        <w:rFonts w:hint="default"/>
      </w:rPr>
    </w:lvl>
    <w:lvl w:ilvl="5" w:tplc="D5AEEAAE">
      <w:start w:val="1"/>
      <w:numFmt w:val="bullet"/>
      <w:lvlText w:val="•"/>
      <w:lvlJc w:val="left"/>
      <w:rPr>
        <w:rFonts w:hint="default"/>
      </w:rPr>
    </w:lvl>
    <w:lvl w:ilvl="6" w:tplc="D7E4ED1A">
      <w:start w:val="1"/>
      <w:numFmt w:val="bullet"/>
      <w:lvlText w:val="•"/>
      <w:lvlJc w:val="left"/>
      <w:rPr>
        <w:rFonts w:hint="default"/>
      </w:rPr>
    </w:lvl>
    <w:lvl w:ilvl="7" w:tplc="A832F54A">
      <w:start w:val="1"/>
      <w:numFmt w:val="bullet"/>
      <w:lvlText w:val="•"/>
      <w:lvlJc w:val="left"/>
      <w:rPr>
        <w:rFonts w:hint="default"/>
      </w:rPr>
    </w:lvl>
    <w:lvl w:ilvl="8" w:tplc="BB0A20FE">
      <w:start w:val="1"/>
      <w:numFmt w:val="bullet"/>
      <w:lvlText w:val="•"/>
      <w:lvlJc w:val="left"/>
      <w:rPr>
        <w:rFonts w:hint="default"/>
      </w:rPr>
    </w:lvl>
  </w:abstractNum>
  <w:abstractNum w:abstractNumId="17" w15:restartNumberingAfterBreak="0">
    <w:nsid w:val="0A1320C1"/>
    <w:multiLevelType w:val="hybridMultilevel"/>
    <w:tmpl w:val="AA02787C"/>
    <w:lvl w:ilvl="0" w:tplc="902A18B4">
      <w:start w:val="1"/>
      <w:numFmt w:val="decimal"/>
      <w:lvlText w:val="%1."/>
      <w:lvlJc w:val="left"/>
      <w:pPr>
        <w:ind w:left="111" w:hanging="562"/>
      </w:pPr>
      <w:rPr>
        <w:rFonts w:ascii="Times New Roman" w:eastAsia="Times New Roman" w:hAnsi="Times New Roman" w:hint="default"/>
        <w:b/>
        <w:bCs/>
        <w:sz w:val="22"/>
        <w:szCs w:val="22"/>
      </w:rPr>
    </w:lvl>
    <w:lvl w:ilvl="1" w:tplc="0A98D1DE">
      <w:start w:val="1"/>
      <w:numFmt w:val="bullet"/>
      <w:lvlText w:val=""/>
      <w:lvlJc w:val="left"/>
      <w:pPr>
        <w:ind w:left="831" w:hanging="360"/>
      </w:pPr>
      <w:rPr>
        <w:rFonts w:ascii="Symbol" w:eastAsia="Symbol" w:hAnsi="Symbol" w:hint="default"/>
        <w:sz w:val="22"/>
        <w:szCs w:val="22"/>
      </w:rPr>
    </w:lvl>
    <w:lvl w:ilvl="2" w:tplc="CDAE35C8">
      <w:start w:val="1"/>
      <w:numFmt w:val="bullet"/>
      <w:lvlText w:val=""/>
      <w:lvlJc w:val="left"/>
      <w:pPr>
        <w:ind w:left="1551" w:hanging="360"/>
      </w:pPr>
      <w:rPr>
        <w:rFonts w:ascii="Symbol" w:eastAsia="Symbol" w:hAnsi="Symbol" w:hint="default"/>
        <w:sz w:val="22"/>
        <w:szCs w:val="22"/>
      </w:rPr>
    </w:lvl>
    <w:lvl w:ilvl="3" w:tplc="929E267E">
      <w:start w:val="1"/>
      <w:numFmt w:val="bullet"/>
      <w:lvlText w:val="•"/>
      <w:lvlJc w:val="left"/>
      <w:pPr>
        <w:ind w:left="4162" w:hanging="360"/>
      </w:pPr>
      <w:rPr>
        <w:rFonts w:hint="default"/>
      </w:rPr>
    </w:lvl>
    <w:lvl w:ilvl="4" w:tplc="F46C57F2">
      <w:start w:val="1"/>
      <w:numFmt w:val="bullet"/>
      <w:lvlText w:val="•"/>
      <w:lvlJc w:val="left"/>
      <w:pPr>
        <w:ind w:left="4927" w:hanging="360"/>
      </w:pPr>
      <w:rPr>
        <w:rFonts w:hint="default"/>
      </w:rPr>
    </w:lvl>
    <w:lvl w:ilvl="5" w:tplc="64E4D97E">
      <w:start w:val="1"/>
      <w:numFmt w:val="bullet"/>
      <w:lvlText w:val="•"/>
      <w:lvlJc w:val="left"/>
      <w:pPr>
        <w:ind w:left="5693" w:hanging="360"/>
      </w:pPr>
      <w:rPr>
        <w:rFonts w:hint="default"/>
      </w:rPr>
    </w:lvl>
    <w:lvl w:ilvl="6" w:tplc="70609F04">
      <w:start w:val="1"/>
      <w:numFmt w:val="bullet"/>
      <w:lvlText w:val="•"/>
      <w:lvlJc w:val="left"/>
      <w:pPr>
        <w:ind w:left="6458" w:hanging="360"/>
      </w:pPr>
      <w:rPr>
        <w:rFonts w:hint="default"/>
      </w:rPr>
    </w:lvl>
    <w:lvl w:ilvl="7" w:tplc="DD4E92C4">
      <w:start w:val="1"/>
      <w:numFmt w:val="bullet"/>
      <w:lvlText w:val="•"/>
      <w:lvlJc w:val="left"/>
      <w:pPr>
        <w:ind w:left="7223" w:hanging="360"/>
      </w:pPr>
      <w:rPr>
        <w:rFonts w:hint="default"/>
      </w:rPr>
    </w:lvl>
    <w:lvl w:ilvl="8" w:tplc="0D06EF66">
      <w:start w:val="1"/>
      <w:numFmt w:val="bullet"/>
      <w:lvlText w:val="•"/>
      <w:lvlJc w:val="left"/>
      <w:pPr>
        <w:ind w:left="7989" w:hanging="360"/>
      </w:pPr>
      <w:rPr>
        <w:rFonts w:hint="default"/>
      </w:rPr>
    </w:lvl>
  </w:abstractNum>
  <w:abstractNum w:abstractNumId="18" w15:restartNumberingAfterBreak="0">
    <w:nsid w:val="0B492342"/>
    <w:multiLevelType w:val="hybridMultilevel"/>
    <w:tmpl w:val="28A00D86"/>
    <w:lvl w:ilvl="0" w:tplc="209A2F30">
      <w:start w:val="1"/>
      <w:numFmt w:val="decimal"/>
      <w:lvlText w:val="%1."/>
      <w:lvlJc w:val="left"/>
      <w:pPr>
        <w:ind w:left="760" w:hanging="360"/>
      </w:pPr>
      <w:rPr>
        <w:rFonts w:hint="default"/>
      </w:rPr>
    </w:lvl>
    <w:lvl w:ilvl="1" w:tplc="A4C83DCE" w:tentative="1">
      <w:start w:val="1"/>
      <w:numFmt w:val="upperLetter"/>
      <w:lvlText w:val="%2."/>
      <w:lvlJc w:val="left"/>
      <w:pPr>
        <w:ind w:left="1200" w:hanging="400"/>
      </w:pPr>
    </w:lvl>
    <w:lvl w:ilvl="2" w:tplc="8BA83D4A" w:tentative="1">
      <w:start w:val="1"/>
      <w:numFmt w:val="lowerRoman"/>
      <w:lvlText w:val="%3."/>
      <w:lvlJc w:val="right"/>
      <w:pPr>
        <w:ind w:left="1600" w:hanging="400"/>
      </w:pPr>
    </w:lvl>
    <w:lvl w:ilvl="3" w:tplc="AE6E2F62" w:tentative="1">
      <w:start w:val="1"/>
      <w:numFmt w:val="decimal"/>
      <w:lvlText w:val="%4."/>
      <w:lvlJc w:val="left"/>
      <w:pPr>
        <w:ind w:left="2000" w:hanging="400"/>
      </w:pPr>
    </w:lvl>
    <w:lvl w:ilvl="4" w:tplc="3766BAB0" w:tentative="1">
      <w:start w:val="1"/>
      <w:numFmt w:val="upperLetter"/>
      <w:lvlText w:val="%5."/>
      <w:lvlJc w:val="left"/>
      <w:pPr>
        <w:ind w:left="2400" w:hanging="400"/>
      </w:pPr>
    </w:lvl>
    <w:lvl w:ilvl="5" w:tplc="6EE60732" w:tentative="1">
      <w:start w:val="1"/>
      <w:numFmt w:val="lowerRoman"/>
      <w:lvlText w:val="%6."/>
      <w:lvlJc w:val="right"/>
      <w:pPr>
        <w:ind w:left="2800" w:hanging="400"/>
      </w:pPr>
    </w:lvl>
    <w:lvl w:ilvl="6" w:tplc="503A49A2" w:tentative="1">
      <w:start w:val="1"/>
      <w:numFmt w:val="decimal"/>
      <w:lvlText w:val="%7."/>
      <w:lvlJc w:val="left"/>
      <w:pPr>
        <w:ind w:left="3200" w:hanging="400"/>
      </w:pPr>
    </w:lvl>
    <w:lvl w:ilvl="7" w:tplc="4E707C0A" w:tentative="1">
      <w:start w:val="1"/>
      <w:numFmt w:val="upperLetter"/>
      <w:lvlText w:val="%8."/>
      <w:lvlJc w:val="left"/>
      <w:pPr>
        <w:ind w:left="3600" w:hanging="400"/>
      </w:pPr>
    </w:lvl>
    <w:lvl w:ilvl="8" w:tplc="2A1E4C7A" w:tentative="1">
      <w:start w:val="1"/>
      <w:numFmt w:val="lowerRoman"/>
      <w:lvlText w:val="%9."/>
      <w:lvlJc w:val="right"/>
      <w:pPr>
        <w:ind w:left="4000" w:hanging="400"/>
      </w:pPr>
    </w:lvl>
  </w:abstractNum>
  <w:abstractNum w:abstractNumId="19" w15:restartNumberingAfterBreak="0">
    <w:nsid w:val="0C3F1014"/>
    <w:multiLevelType w:val="hybridMultilevel"/>
    <w:tmpl w:val="FEACB2EA"/>
    <w:lvl w:ilvl="0" w:tplc="9FBC5B3E">
      <w:start w:val="1"/>
      <w:numFmt w:val="lowerLetter"/>
      <w:lvlText w:val="%1."/>
      <w:lvlJc w:val="left"/>
      <w:pPr>
        <w:ind w:left="462" w:hanging="332"/>
      </w:pPr>
      <w:rPr>
        <w:rFonts w:ascii="Times New Roman" w:eastAsia="Times New Roman" w:hAnsi="Times New Roman" w:hint="default"/>
        <w:sz w:val="22"/>
        <w:szCs w:val="22"/>
      </w:rPr>
    </w:lvl>
    <w:lvl w:ilvl="1" w:tplc="E2021F3C">
      <w:start w:val="1"/>
      <w:numFmt w:val="bullet"/>
      <w:lvlText w:val="•"/>
      <w:lvlJc w:val="left"/>
      <w:pPr>
        <w:ind w:left="1338" w:hanging="332"/>
      </w:pPr>
      <w:rPr>
        <w:rFonts w:hint="default"/>
      </w:rPr>
    </w:lvl>
    <w:lvl w:ilvl="2" w:tplc="84FC4C30">
      <w:start w:val="1"/>
      <w:numFmt w:val="bullet"/>
      <w:lvlText w:val="•"/>
      <w:lvlJc w:val="left"/>
      <w:pPr>
        <w:ind w:left="2214" w:hanging="332"/>
      </w:pPr>
      <w:rPr>
        <w:rFonts w:hint="default"/>
      </w:rPr>
    </w:lvl>
    <w:lvl w:ilvl="3" w:tplc="64B4AC5C">
      <w:start w:val="1"/>
      <w:numFmt w:val="bullet"/>
      <w:lvlText w:val="•"/>
      <w:lvlJc w:val="left"/>
      <w:pPr>
        <w:ind w:left="3091" w:hanging="332"/>
      </w:pPr>
      <w:rPr>
        <w:rFonts w:hint="default"/>
      </w:rPr>
    </w:lvl>
    <w:lvl w:ilvl="4" w:tplc="C772FDF4">
      <w:start w:val="1"/>
      <w:numFmt w:val="bullet"/>
      <w:lvlText w:val="•"/>
      <w:lvlJc w:val="left"/>
      <w:pPr>
        <w:ind w:left="3967" w:hanging="332"/>
      </w:pPr>
      <w:rPr>
        <w:rFonts w:hint="default"/>
      </w:rPr>
    </w:lvl>
    <w:lvl w:ilvl="5" w:tplc="1480F8A0">
      <w:start w:val="1"/>
      <w:numFmt w:val="bullet"/>
      <w:lvlText w:val="•"/>
      <w:lvlJc w:val="left"/>
      <w:pPr>
        <w:ind w:left="4844" w:hanging="332"/>
      </w:pPr>
      <w:rPr>
        <w:rFonts w:hint="default"/>
      </w:rPr>
    </w:lvl>
    <w:lvl w:ilvl="6" w:tplc="C6E82CE6">
      <w:start w:val="1"/>
      <w:numFmt w:val="bullet"/>
      <w:lvlText w:val="•"/>
      <w:lvlJc w:val="left"/>
      <w:pPr>
        <w:ind w:left="5720" w:hanging="332"/>
      </w:pPr>
      <w:rPr>
        <w:rFonts w:hint="default"/>
      </w:rPr>
    </w:lvl>
    <w:lvl w:ilvl="7" w:tplc="B7B2C2E0">
      <w:start w:val="1"/>
      <w:numFmt w:val="bullet"/>
      <w:lvlText w:val="•"/>
      <w:lvlJc w:val="left"/>
      <w:pPr>
        <w:ind w:left="6596" w:hanging="332"/>
      </w:pPr>
      <w:rPr>
        <w:rFonts w:hint="default"/>
      </w:rPr>
    </w:lvl>
    <w:lvl w:ilvl="8" w:tplc="A90490C8">
      <w:start w:val="1"/>
      <w:numFmt w:val="bullet"/>
      <w:lvlText w:val="•"/>
      <w:lvlJc w:val="left"/>
      <w:pPr>
        <w:ind w:left="7473" w:hanging="332"/>
      </w:pPr>
      <w:rPr>
        <w:rFonts w:hint="default"/>
      </w:rPr>
    </w:lvl>
  </w:abstractNum>
  <w:abstractNum w:abstractNumId="20" w15:restartNumberingAfterBreak="0">
    <w:nsid w:val="0C3F7D3B"/>
    <w:multiLevelType w:val="hybridMultilevel"/>
    <w:tmpl w:val="339C2F6A"/>
    <w:lvl w:ilvl="0" w:tplc="45A2D2C4">
      <w:start w:val="1"/>
      <w:numFmt w:val="decimal"/>
      <w:lvlText w:val="%1."/>
      <w:lvlJc w:val="left"/>
      <w:pPr>
        <w:ind w:hanging="562"/>
      </w:pPr>
      <w:rPr>
        <w:rFonts w:ascii="Times New Roman" w:eastAsia="Times New Roman" w:hAnsi="Times New Roman" w:hint="default"/>
        <w:b/>
        <w:bCs/>
        <w:sz w:val="22"/>
        <w:szCs w:val="22"/>
      </w:rPr>
    </w:lvl>
    <w:lvl w:ilvl="1" w:tplc="2784662A">
      <w:start w:val="1"/>
      <w:numFmt w:val="bullet"/>
      <w:lvlText w:val="•"/>
      <w:lvlJc w:val="left"/>
      <w:rPr>
        <w:rFonts w:hint="default"/>
      </w:rPr>
    </w:lvl>
    <w:lvl w:ilvl="2" w:tplc="F7F2B392">
      <w:start w:val="1"/>
      <w:numFmt w:val="bullet"/>
      <w:lvlText w:val="•"/>
      <w:lvlJc w:val="left"/>
      <w:rPr>
        <w:rFonts w:hint="default"/>
      </w:rPr>
    </w:lvl>
    <w:lvl w:ilvl="3" w:tplc="73CCE868">
      <w:start w:val="1"/>
      <w:numFmt w:val="bullet"/>
      <w:lvlText w:val="•"/>
      <w:lvlJc w:val="left"/>
      <w:rPr>
        <w:rFonts w:hint="default"/>
      </w:rPr>
    </w:lvl>
    <w:lvl w:ilvl="4" w:tplc="9D7AF6F6">
      <w:start w:val="1"/>
      <w:numFmt w:val="bullet"/>
      <w:lvlText w:val="•"/>
      <w:lvlJc w:val="left"/>
      <w:rPr>
        <w:rFonts w:hint="default"/>
      </w:rPr>
    </w:lvl>
    <w:lvl w:ilvl="5" w:tplc="EE1646AE">
      <w:start w:val="1"/>
      <w:numFmt w:val="bullet"/>
      <w:lvlText w:val="•"/>
      <w:lvlJc w:val="left"/>
      <w:rPr>
        <w:rFonts w:hint="default"/>
      </w:rPr>
    </w:lvl>
    <w:lvl w:ilvl="6" w:tplc="D398FF9A">
      <w:start w:val="1"/>
      <w:numFmt w:val="bullet"/>
      <w:lvlText w:val="•"/>
      <w:lvlJc w:val="left"/>
      <w:rPr>
        <w:rFonts w:hint="default"/>
      </w:rPr>
    </w:lvl>
    <w:lvl w:ilvl="7" w:tplc="8320D896">
      <w:start w:val="1"/>
      <w:numFmt w:val="bullet"/>
      <w:lvlText w:val="•"/>
      <w:lvlJc w:val="left"/>
      <w:rPr>
        <w:rFonts w:hint="default"/>
      </w:rPr>
    </w:lvl>
    <w:lvl w:ilvl="8" w:tplc="79A41EE0">
      <w:start w:val="1"/>
      <w:numFmt w:val="bullet"/>
      <w:lvlText w:val="•"/>
      <w:lvlJc w:val="left"/>
      <w:rPr>
        <w:rFonts w:hint="default"/>
      </w:rPr>
    </w:lvl>
  </w:abstractNum>
  <w:abstractNum w:abstractNumId="21" w15:restartNumberingAfterBreak="0">
    <w:nsid w:val="0C5550FC"/>
    <w:multiLevelType w:val="hybridMultilevel"/>
    <w:tmpl w:val="FF08613C"/>
    <w:lvl w:ilvl="0" w:tplc="339C4BEC">
      <w:start w:val="1"/>
      <w:numFmt w:val="decimal"/>
      <w:lvlText w:val="%1."/>
      <w:lvlJc w:val="left"/>
      <w:pPr>
        <w:ind w:left="468" w:hanging="360"/>
      </w:pPr>
      <w:rPr>
        <w:rFonts w:ascii="Times New Roman" w:hAnsi="Times New Roman" w:cs="Times New Roman" w:hint="default"/>
        <w:b/>
      </w:rPr>
    </w:lvl>
    <w:lvl w:ilvl="1" w:tplc="25FA4736" w:tentative="1">
      <w:start w:val="1"/>
      <w:numFmt w:val="upperLetter"/>
      <w:lvlText w:val="%2."/>
      <w:lvlJc w:val="left"/>
      <w:pPr>
        <w:ind w:left="908" w:hanging="400"/>
      </w:pPr>
    </w:lvl>
    <w:lvl w:ilvl="2" w:tplc="405ECC5A" w:tentative="1">
      <w:start w:val="1"/>
      <w:numFmt w:val="lowerRoman"/>
      <w:lvlText w:val="%3."/>
      <w:lvlJc w:val="right"/>
      <w:pPr>
        <w:ind w:left="1308" w:hanging="400"/>
      </w:pPr>
    </w:lvl>
    <w:lvl w:ilvl="3" w:tplc="37DC85AE" w:tentative="1">
      <w:start w:val="1"/>
      <w:numFmt w:val="decimal"/>
      <w:lvlText w:val="%4."/>
      <w:lvlJc w:val="left"/>
      <w:pPr>
        <w:ind w:left="1708" w:hanging="400"/>
      </w:pPr>
    </w:lvl>
    <w:lvl w:ilvl="4" w:tplc="D16CCAAC" w:tentative="1">
      <w:start w:val="1"/>
      <w:numFmt w:val="upperLetter"/>
      <w:lvlText w:val="%5."/>
      <w:lvlJc w:val="left"/>
      <w:pPr>
        <w:ind w:left="2108" w:hanging="400"/>
      </w:pPr>
    </w:lvl>
    <w:lvl w:ilvl="5" w:tplc="A08C93F0" w:tentative="1">
      <w:start w:val="1"/>
      <w:numFmt w:val="lowerRoman"/>
      <w:lvlText w:val="%6."/>
      <w:lvlJc w:val="right"/>
      <w:pPr>
        <w:ind w:left="2508" w:hanging="400"/>
      </w:pPr>
    </w:lvl>
    <w:lvl w:ilvl="6" w:tplc="FFE462A0" w:tentative="1">
      <w:start w:val="1"/>
      <w:numFmt w:val="decimal"/>
      <w:lvlText w:val="%7."/>
      <w:lvlJc w:val="left"/>
      <w:pPr>
        <w:ind w:left="2908" w:hanging="400"/>
      </w:pPr>
    </w:lvl>
    <w:lvl w:ilvl="7" w:tplc="14F44F3C" w:tentative="1">
      <w:start w:val="1"/>
      <w:numFmt w:val="upperLetter"/>
      <w:lvlText w:val="%8."/>
      <w:lvlJc w:val="left"/>
      <w:pPr>
        <w:ind w:left="3308" w:hanging="400"/>
      </w:pPr>
    </w:lvl>
    <w:lvl w:ilvl="8" w:tplc="412EEA20" w:tentative="1">
      <w:start w:val="1"/>
      <w:numFmt w:val="lowerRoman"/>
      <w:lvlText w:val="%9."/>
      <w:lvlJc w:val="right"/>
      <w:pPr>
        <w:ind w:left="3708" w:hanging="400"/>
      </w:pPr>
    </w:lvl>
  </w:abstractNum>
  <w:abstractNum w:abstractNumId="22" w15:restartNumberingAfterBreak="0">
    <w:nsid w:val="0C885D57"/>
    <w:multiLevelType w:val="hybridMultilevel"/>
    <w:tmpl w:val="7BEC8B5E"/>
    <w:lvl w:ilvl="0" w:tplc="ECE25A16">
      <w:start w:val="1"/>
      <w:numFmt w:val="decimal"/>
      <w:lvlText w:val="%1"/>
      <w:lvlJc w:val="left"/>
      <w:pPr>
        <w:ind w:hanging="180"/>
      </w:pPr>
      <w:rPr>
        <w:rFonts w:ascii="Times New Roman" w:eastAsia="Times New Roman" w:hAnsi="Times New Roman" w:hint="default"/>
        <w:w w:val="99"/>
        <w:position w:val="8"/>
        <w:sz w:val="14"/>
        <w:szCs w:val="14"/>
      </w:rPr>
    </w:lvl>
    <w:lvl w:ilvl="1" w:tplc="8E40D5EE">
      <w:start w:val="1"/>
      <w:numFmt w:val="bullet"/>
      <w:lvlText w:val="•"/>
      <w:lvlJc w:val="left"/>
      <w:rPr>
        <w:rFonts w:hint="default"/>
      </w:rPr>
    </w:lvl>
    <w:lvl w:ilvl="2" w:tplc="B86A6CA6">
      <w:start w:val="1"/>
      <w:numFmt w:val="bullet"/>
      <w:lvlText w:val="•"/>
      <w:lvlJc w:val="left"/>
      <w:rPr>
        <w:rFonts w:hint="default"/>
      </w:rPr>
    </w:lvl>
    <w:lvl w:ilvl="3" w:tplc="793A1E4A">
      <w:start w:val="1"/>
      <w:numFmt w:val="bullet"/>
      <w:lvlText w:val="•"/>
      <w:lvlJc w:val="left"/>
      <w:rPr>
        <w:rFonts w:hint="default"/>
      </w:rPr>
    </w:lvl>
    <w:lvl w:ilvl="4" w:tplc="81FAE8DA">
      <w:start w:val="1"/>
      <w:numFmt w:val="bullet"/>
      <w:lvlText w:val="•"/>
      <w:lvlJc w:val="left"/>
      <w:rPr>
        <w:rFonts w:hint="default"/>
      </w:rPr>
    </w:lvl>
    <w:lvl w:ilvl="5" w:tplc="7AE422CC">
      <w:start w:val="1"/>
      <w:numFmt w:val="bullet"/>
      <w:lvlText w:val="•"/>
      <w:lvlJc w:val="left"/>
      <w:rPr>
        <w:rFonts w:hint="default"/>
      </w:rPr>
    </w:lvl>
    <w:lvl w:ilvl="6" w:tplc="56160698">
      <w:start w:val="1"/>
      <w:numFmt w:val="bullet"/>
      <w:lvlText w:val="•"/>
      <w:lvlJc w:val="left"/>
      <w:rPr>
        <w:rFonts w:hint="default"/>
      </w:rPr>
    </w:lvl>
    <w:lvl w:ilvl="7" w:tplc="2E9EDF12">
      <w:start w:val="1"/>
      <w:numFmt w:val="bullet"/>
      <w:lvlText w:val="•"/>
      <w:lvlJc w:val="left"/>
      <w:rPr>
        <w:rFonts w:hint="default"/>
      </w:rPr>
    </w:lvl>
    <w:lvl w:ilvl="8" w:tplc="3C68B660">
      <w:start w:val="1"/>
      <w:numFmt w:val="bullet"/>
      <w:lvlText w:val="•"/>
      <w:lvlJc w:val="left"/>
      <w:rPr>
        <w:rFonts w:hint="default"/>
      </w:rPr>
    </w:lvl>
  </w:abstractNum>
  <w:abstractNum w:abstractNumId="23" w15:restartNumberingAfterBreak="0">
    <w:nsid w:val="0CF41E08"/>
    <w:multiLevelType w:val="hybridMultilevel"/>
    <w:tmpl w:val="7BEC8B5E"/>
    <w:lvl w:ilvl="0" w:tplc="ECE25A16">
      <w:start w:val="1"/>
      <w:numFmt w:val="decimal"/>
      <w:lvlText w:val="%1"/>
      <w:lvlJc w:val="left"/>
      <w:pPr>
        <w:ind w:hanging="180"/>
      </w:pPr>
      <w:rPr>
        <w:rFonts w:ascii="Times New Roman" w:eastAsia="Times New Roman" w:hAnsi="Times New Roman" w:hint="default"/>
        <w:w w:val="99"/>
        <w:position w:val="8"/>
        <w:sz w:val="14"/>
        <w:szCs w:val="14"/>
      </w:rPr>
    </w:lvl>
    <w:lvl w:ilvl="1" w:tplc="8E40D5EE">
      <w:start w:val="1"/>
      <w:numFmt w:val="bullet"/>
      <w:lvlText w:val="•"/>
      <w:lvlJc w:val="left"/>
      <w:rPr>
        <w:rFonts w:hint="default"/>
      </w:rPr>
    </w:lvl>
    <w:lvl w:ilvl="2" w:tplc="B86A6CA6">
      <w:start w:val="1"/>
      <w:numFmt w:val="bullet"/>
      <w:lvlText w:val="•"/>
      <w:lvlJc w:val="left"/>
      <w:rPr>
        <w:rFonts w:hint="default"/>
      </w:rPr>
    </w:lvl>
    <w:lvl w:ilvl="3" w:tplc="793A1E4A">
      <w:start w:val="1"/>
      <w:numFmt w:val="bullet"/>
      <w:lvlText w:val="•"/>
      <w:lvlJc w:val="left"/>
      <w:rPr>
        <w:rFonts w:hint="default"/>
      </w:rPr>
    </w:lvl>
    <w:lvl w:ilvl="4" w:tplc="81FAE8DA">
      <w:start w:val="1"/>
      <w:numFmt w:val="bullet"/>
      <w:lvlText w:val="•"/>
      <w:lvlJc w:val="left"/>
      <w:rPr>
        <w:rFonts w:hint="default"/>
      </w:rPr>
    </w:lvl>
    <w:lvl w:ilvl="5" w:tplc="7AE422CC">
      <w:start w:val="1"/>
      <w:numFmt w:val="bullet"/>
      <w:lvlText w:val="•"/>
      <w:lvlJc w:val="left"/>
      <w:rPr>
        <w:rFonts w:hint="default"/>
      </w:rPr>
    </w:lvl>
    <w:lvl w:ilvl="6" w:tplc="56160698">
      <w:start w:val="1"/>
      <w:numFmt w:val="bullet"/>
      <w:lvlText w:val="•"/>
      <w:lvlJc w:val="left"/>
      <w:rPr>
        <w:rFonts w:hint="default"/>
      </w:rPr>
    </w:lvl>
    <w:lvl w:ilvl="7" w:tplc="2E9EDF12">
      <w:start w:val="1"/>
      <w:numFmt w:val="bullet"/>
      <w:lvlText w:val="•"/>
      <w:lvlJc w:val="left"/>
      <w:rPr>
        <w:rFonts w:hint="default"/>
      </w:rPr>
    </w:lvl>
    <w:lvl w:ilvl="8" w:tplc="3C68B660">
      <w:start w:val="1"/>
      <w:numFmt w:val="bullet"/>
      <w:lvlText w:val="•"/>
      <w:lvlJc w:val="left"/>
      <w:rPr>
        <w:rFonts w:hint="default"/>
      </w:rPr>
    </w:lvl>
  </w:abstractNum>
  <w:abstractNum w:abstractNumId="24" w15:restartNumberingAfterBreak="0">
    <w:nsid w:val="0D5A5C68"/>
    <w:multiLevelType w:val="hybridMultilevel"/>
    <w:tmpl w:val="B7D4F6E4"/>
    <w:lvl w:ilvl="0" w:tplc="C22E019C">
      <w:start w:val="1"/>
      <w:numFmt w:val="bullet"/>
      <w:lvlText w:val="-"/>
      <w:lvlJc w:val="left"/>
      <w:pPr>
        <w:ind w:hanging="567"/>
      </w:pPr>
      <w:rPr>
        <w:rFonts w:ascii="Times New Roman" w:eastAsia="Times New Roman" w:hAnsi="Times New Roman" w:hint="default"/>
        <w:sz w:val="22"/>
        <w:szCs w:val="22"/>
      </w:rPr>
    </w:lvl>
    <w:lvl w:ilvl="1" w:tplc="0B38C95C">
      <w:start w:val="1"/>
      <w:numFmt w:val="bullet"/>
      <w:lvlText w:val="•"/>
      <w:lvlJc w:val="left"/>
      <w:rPr>
        <w:rFonts w:hint="default"/>
      </w:rPr>
    </w:lvl>
    <w:lvl w:ilvl="2" w:tplc="606EBD18">
      <w:start w:val="1"/>
      <w:numFmt w:val="bullet"/>
      <w:lvlText w:val="•"/>
      <w:lvlJc w:val="left"/>
      <w:rPr>
        <w:rFonts w:hint="default"/>
      </w:rPr>
    </w:lvl>
    <w:lvl w:ilvl="3" w:tplc="DB12CBDE">
      <w:start w:val="1"/>
      <w:numFmt w:val="bullet"/>
      <w:lvlText w:val="•"/>
      <w:lvlJc w:val="left"/>
      <w:rPr>
        <w:rFonts w:hint="default"/>
      </w:rPr>
    </w:lvl>
    <w:lvl w:ilvl="4" w:tplc="7704332A">
      <w:start w:val="1"/>
      <w:numFmt w:val="bullet"/>
      <w:lvlText w:val="•"/>
      <w:lvlJc w:val="left"/>
      <w:rPr>
        <w:rFonts w:hint="default"/>
      </w:rPr>
    </w:lvl>
    <w:lvl w:ilvl="5" w:tplc="63F41A16">
      <w:start w:val="1"/>
      <w:numFmt w:val="bullet"/>
      <w:lvlText w:val="•"/>
      <w:lvlJc w:val="left"/>
      <w:rPr>
        <w:rFonts w:hint="default"/>
      </w:rPr>
    </w:lvl>
    <w:lvl w:ilvl="6" w:tplc="17E055BE">
      <w:start w:val="1"/>
      <w:numFmt w:val="bullet"/>
      <w:lvlText w:val="•"/>
      <w:lvlJc w:val="left"/>
      <w:rPr>
        <w:rFonts w:hint="default"/>
      </w:rPr>
    </w:lvl>
    <w:lvl w:ilvl="7" w:tplc="C2108006">
      <w:start w:val="1"/>
      <w:numFmt w:val="bullet"/>
      <w:lvlText w:val="•"/>
      <w:lvlJc w:val="left"/>
      <w:rPr>
        <w:rFonts w:hint="default"/>
      </w:rPr>
    </w:lvl>
    <w:lvl w:ilvl="8" w:tplc="CF3263DA">
      <w:start w:val="1"/>
      <w:numFmt w:val="bullet"/>
      <w:lvlText w:val="•"/>
      <w:lvlJc w:val="left"/>
      <w:rPr>
        <w:rFonts w:hint="default"/>
      </w:rPr>
    </w:lvl>
  </w:abstractNum>
  <w:abstractNum w:abstractNumId="25" w15:restartNumberingAfterBreak="0">
    <w:nsid w:val="0E324E5E"/>
    <w:multiLevelType w:val="hybridMultilevel"/>
    <w:tmpl w:val="842C2D8C"/>
    <w:lvl w:ilvl="0" w:tplc="49A0E454">
      <w:start w:val="1"/>
      <w:numFmt w:val="bullet"/>
      <w:lvlText w:val=""/>
      <w:lvlJc w:val="left"/>
      <w:pPr>
        <w:ind w:left="584" w:hanging="360"/>
      </w:pPr>
      <w:rPr>
        <w:rFonts w:ascii="Symbol" w:eastAsia="Symbol" w:hAnsi="Symbol" w:hint="default"/>
        <w:sz w:val="22"/>
        <w:szCs w:val="22"/>
      </w:rPr>
    </w:lvl>
    <w:lvl w:ilvl="1" w:tplc="2DD46A04">
      <w:start w:val="1"/>
      <w:numFmt w:val="bullet"/>
      <w:lvlText w:val=""/>
      <w:lvlJc w:val="left"/>
      <w:pPr>
        <w:ind w:left="944" w:hanging="360"/>
      </w:pPr>
      <w:rPr>
        <w:rFonts w:ascii="Symbol" w:eastAsia="Symbol" w:hAnsi="Symbol" w:hint="default"/>
        <w:sz w:val="22"/>
        <w:szCs w:val="22"/>
      </w:rPr>
    </w:lvl>
    <w:lvl w:ilvl="2" w:tplc="8B7C8AF4">
      <w:start w:val="1"/>
      <w:numFmt w:val="bullet"/>
      <w:lvlText w:val="•"/>
      <w:lvlJc w:val="left"/>
      <w:pPr>
        <w:ind w:left="1424" w:hanging="360"/>
      </w:pPr>
      <w:rPr>
        <w:rFonts w:hint="default"/>
      </w:rPr>
    </w:lvl>
    <w:lvl w:ilvl="3" w:tplc="375AF7B0">
      <w:start w:val="1"/>
      <w:numFmt w:val="bullet"/>
      <w:lvlText w:val="•"/>
      <w:lvlJc w:val="left"/>
      <w:pPr>
        <w:ind w:left="1905" w:hanging="360"/>
      </w:pPr>
      <w:rPr>
        <w:rFonts w:hint="default"/>
      </w:rPr>
    </w:lvl>
    <w:lvl w:ilvl="4" w:tplc="DFC879B8">
      <w:start w:val="1"/>
      <w:numFmt w:val="bullet"/>
      <w:lvlText w:val="•"/>
      <w:lvlJc w:val="left"/>
      <w:pPr>
        <w:ind w:left="2386" w:hanging="360"/>
      </w:pPr>
      <w:rPr>
        <w:rFonts w:hint="default"/>
      </w:rPr>
    </w:lvl>
    <w:lvl w:ilvl="5" w:tplc="07883AAA">
      <w:start w:val="1"/>
      <w:numFmt w:val="bullet"/>
      <w:lvlText w:val="•"/>
      <w:lvlJc w:val="left"/>
      <w:pPr>
        <w:ind w:left="2867" w:hanging="360"/>
      </w:pPr>
      <w:rPr>
        <w:rFonts w:hint="default"/>
      </w:rPr>
    </w:lvl>
    <w:lvl w:ilvl="6" w:tplc="0866AA2A">
      <w:start w:val="1"/>
      <w:numFmt w:val="bullet"/>
      <w:lvlText w:val="•"/>
      <w:lvlJc w:val="left"/>
      <w:pPr>
        <w:ind w:left="3348" w:hanging="360"/>
      </w:pPr>
      <w:rPr>
        <w:rFonts w:hint="default"/>
      </w:rPr>
    </w:lvl>
    <w:lvl w:ilvl="7" w:tplc="8416A97C">
      <w:start w:val="1"/>
      <w:numFmt w:val="bullet"/>
      <w:lvlText w:val="•"/>
      <w:lvlJc w:val="left"/>
      <w:pPr>
        <w:ind w:left="3829" w:hanging="360"/>
      </w:pPr>
      <w:rPr>
        <w:rFonts w:hint="default"/>
      </w:rPr>
    </w:lvl>
    <w:lvl w:ilvl="8" w:tplc="836C5D8E">
      <w:start w:val="1"/>
      <w:numFmt w:val="bullet"/>
      <w:lvlText w:val="•"/>
      <w:lvlJc w:val="left"/>
      <w:pPr>
        <w:ind w:left="4310" w:hanging="360"/>
      </w:pPr>
      <w:rPr>
        <w:rFonts w:hint="default"/>
      </w:rPr>
    </w:lvl>
  </w:abstractNum>
  <w:abstractNum w:abstractNumId="26" w15:restartNumberingAfterBreak="0">
    <w:nsid w:val="0F4A4AA0"/>
    <w:multiLevelType w:val="hybridMultilevel"/>
    <w:tmpl w:val="478A0D6A"/>
    <w:lvl w:ilvl="0" w:tplc="448C0188">
      <w:start w:val="3"/>
      <w:numFmt w:val="decimal"/>
      <w:lvlText w:val="%1)"/>
      <w:lvlJc w:val="left"/>
      <w:pPr>
        <w:ind w:left="295" w:hanging="185"/>
      </w:pPr>
      <w:rPr>
        <w:rFonts w:hint="default"/>
        <w:highlight w:val="lightGray"/>
      </w:rPr>
    </w:lvl>
    <w:lvl w:ilvl="1" w:tplc="2800F6D6">
      <w:start w:val="1"/>
      <w:numFmt w:val="bullet"/>
      <w:lvlText w:val="•"/>
      <w:lvlJc w:val="left"/>
      <w:pPr>
        <w:ind w:left="1222" w:hanging="185"/>
      </w:pPr>
      <w:rPr>
        <w:rFonts w:hint="default"/>
      </w:rPr>
    </w:lvl>
    <w:lvl w:ilvl="2" w:tplc="0018F14E">
      <w:start w:val="1"/>
      <w:numFmt w:val="bullet"/>
      <w:lvlText w:val="•"/>
      <w:lvlJc w:val="left"/>
      <w:pPr>
        <w:ind w:left="2148" w:hanging="185"/>
      </w:pPr>
      <w:rPr>
        <w:rFonts w:hint="default"/>
      </w:rPr>
    </w:lvl>
    <w:lvl w:ilvl="3" w:tplc="C60A13D6">
      <w:start w:val="1"/>
      <w:numFmt w:val="bullet"/>
      <w:lvlText w:val="•"/>
      <w:lvlJc w:val="left"/>
      <w:pPr>
        <w:ind w:left="3075" w:hanging="185"/>
      </w:pPr>
      <w:rPr>
        <w:rFonts w:hint="default"/>
      </w:rPr>
    </w:lvl>
    <w:lvl w:ilvl="4" w:tplc="8108B5CA">
      <w:start w:val="1"/>
      <w:numFmt w:val="bullet"/>
      <w:lvlText w:val="•"/>
      <w:lvlJc w:val="left"/>
      <w:pPr>
        <w:ind w:left="4001" w:hanging="185"/>
      </w:pPr>
      <w:rPr>
        <w:rFonts w:hint="default"/>
      </w:rPr>
    </w:lvl>
    <w:lvl w:ilvl="5" w:tplc="9C92F5CA">
      <w:start w:val="1"/>
      <w:numFmt w:val="bullet"/>
      <w:lvlText w:val="•"/>
      <w:lvlJc w:val="left"/>
      <w:pPr>
        <w:ind w:left="4928" w:hanging="185"/>
      </w:pPr>
      <w:rPr>
        <w:rFonts w:hint="default"/>
      </w:rPr>
    </w:lvl>
    <w:lvl w:ilvl="6" w:tplc="0908C6D2">
      <w:start w:val="1"/>
      <w:numFmt w:val="bullet"/>
      <w:lvlText w:val="•"/>
      <w:lvlJc w:val="left"/>
      <w:pPr>
        <w:ind w:left="5854" w:hanging="185"/>
      </w:pPr>
      <w:rPr>
        <w:rFonts w:hint="default"/>
      </w:rPr>
    </w:lvl>
    <w:lvl w:ilvl="7" w:tplc="1158A402">
      <w:start w:val="1"/>
      <w:numFmt w:val="bullet"/>
      <w:lvlText w:val="•"/>
      <w:lvlJc w:val="left"/>
      <w:pPr>
        <w:ind w:left="6780" w:hanging="185"/>
      </w:pPr>
      <w:rPr>
        <w:rFonts w:hint="default"/>
      </w:rPr>
    </w:lvl>
    <w:lvl w:ilvl="8" w:tplc="4D0EA31A">
      <w:start w:val="1"/>
      <w:numFmt w:val="bullet"/>
      <w:lvlText w:val="•"/>
      <w:lvlJc w:val="left"/>
      <w:pPr>
        <w:ind w:left="7707" w:hanging="185"/>
      </w:pPr>
      <w:rPr>
        <w:rFonts w:hint="default"/>
      </w:rPr>
    </w:lvl>
  </w:abstractNum>
  <w:abstractNum w:abstractNumId="27" w15:restartNumberingAfterBreak="0">
    <w:nsid w:val="0FAA2FDE"/>
    <w:multiLevelType w:val="hybridMultilevel"/>
    <w:tmpl w:val="3D02C536"/>
    <w:lvl w:ilvl="0" w:tplc="910C07A4">
      <w:start w:val="1"/>
      <w:numFmt w:val="bullet"/>
      <w:lvlText w:val="•"/>
      <w:lvlJc w:val="left"/>
      <w:pPr>
        <w:ind w:left="1024" w:hanging="400"/>
      </w:pPr>
      <w:rPr>
        <w:rFonts w:ascii="Times New Roman" w:eastAsia="Times New Roman" w:hAnsi="Times New Roman" w:hint="default"/>
        <w:sz w:val="22"/>
        <w:szCs w:val="22"/>
      </w:rPr>
    </w:lvl>
    <w:lvl w:ilvl="1" w:tplc="711EF4EE" w:tentative="1">
      <w:start w:val="1"/>
      <w:numFmt w:val="bullet"/>
      <w:lvlText w:val=""/>
      <w:lvlJc w:val="left"/>
      <w:pPr>
        <w:ind w:left="1424" w:hanging="400"/>
      </w:pPr>
      <w:rPr>
        <w:rFonts w:ascii="Wingdings" w:hAnsi="Wingdings" w:hint="default"/>
      </w:rPr>
    </w:lvl>
    <w:lvl w:ilvl="2" w:tplc="F544B96E" w:tentative="1">
      <w:start w:val="1"/>
      <w:numFmt w:val="bullet"/>
      <w:lvlText w:val=""/>
      <w:lvlJc w:val="left"/>
      <w:pPr>
        <w:ind w:left="1824" w:hanging="400"/>
      </w:pPr>
      <w:rPr>
        <w:rFonts w:ascii="Wingdings" w:hAnsi="Wingdings" w:hint="default"/>
      </w:rPr>
    </w:lvl>
    <w:lvl w:ilvl="3" w:tplc="2F6C8E4C" w:tentative="1">
      <w:start w:val="1"/>
      <w:numFmt w:val="bullet"/>
      <w:lvlText w:val=""/>
      <w:lvlJc w:val="left"/>
      <w:pPr>
        <w:ind w:left="2224" w:hanging="400"/>
      </w:pPr>
      <w:rPr>
        <w:rFonts w:ascii="Wingdings" w:hAnsi="Wingdings" w:hint="default"/>
      </w:rPr>
    </w:lvl>
    <w:lvl w:ilvl="4" w:tplc="789A215C" w:tentative="1">
      <w:start w:val="1"/>
      <w:numFmt w:val="bullet"/>
      <w:lvlText w:val=""/>
      <w:lvlJc w:val="left"/>
      <w:pPr>
        <w:ind w:left="2624" w:hanging="400"/>
      </w:pPr>
      <w:rPr>
        <w:rFonts w:ascii="Wingdings" w:hAnsi="Wingdings" w:hint="default"/>
      </w:rPr>
    </w:lvl>
    <w:lvl w:ilvl="5" w:tplc="1B62F430" w:tentative="1">
      <w:start w:val="1"/>
      <w:numFmt w:val="bullet"/>
      <w:lvlText w:val=""/>
      <w:lvlJc w:val="left"/>
      <w:pPr>
        <w:ind w:left="3024" w:hanging="400"/>
      </w:pPr>
      <w:rPr>
        <w:rFonts w:ascii="Wingdings" w:hAnsi="Wingdings" w:hint="default"/>
      </w:rPr>
    </w:lvl>
    <w:lvl w:ilvl="6" w:tplc="58808838" w:tentative="1">
      <w:start w:val="1"/>
      <w:numFmt w:val="bullet"/>
      <w:lvlText w:val=""/>
      <w:lvlJc w:val="left"/>
      <w:pPr>
        <w:ind w:left="3424" w:hanging="400"/>
      </w:pPr>
      <w:rPr>
        <w:rFonts w:ascii="Wingdings" w:hAnsi="Wingdings" w:hint="default"/>
      </w:rPr>
    </w:lvl>
    <w:lvl w:ilvl="7" w:tplc="56FC95F2" w:tentative="1">
      <w:start w:val="1"/>
      <w:numFmt w:val="bullet"/>
      <w:lvlText w:val=""/>
      <w:lvlJc w:val="left"/>
      <w:pPr>
        <w:ind w:left="3824" w:hanging="400"/>
      </w:pPr>
      <w:rPr>
        <w:rFonts w:ascii="Wingdings" w:hAnsi="Wingdings" w:hint="default"/>
      </w:rPr>
    </w:lvl>
    <w:lvl w:ilvl="8" w:tplc="DDD86B2E" w:tentative="1">
      <w:start w:val="1"/>
      <w:numFmt w:val="bullet"/>
      <w:lvlText w:val=""/>
      <w:lvlJc w:val="left"/>
      <w:pPr>
        <w:ind w:left="4224" w:hanging="400"/>
      </w:pPr>
      <w:rPr>
        <w:rFonts w:ascii="Wingdings" w:hAnsi="Wingdings" w:hint="default"/>
      </w:rPr>
    </w:lvl>
  </w:abstractNum>
  <w:abstractNum w:abstractNumId="28" w15:restartNumberingAfterBreak="0">
    <w:nsid w:val="101413E8"/>
    <w:multiLevelType w:val="hybridMultilevel"/>
    <w:tmpl w:val="E4B46054"/>
    <w:lvl w:ilvl="0" w:tplc="233E5610">
      <w:start w:val="1"/>
      <w:numFmt w:val="bullet"/>
      <w:lvlText w:val="o"/>
      <w:lvlJc w:val="left"/>
      <w:pPr>
        <w:ind w:left="1244" w:hanging="567"/>
      </w:pPr>
      <w:rPr>
        <w:rFonts w:ascii="Courier New" w:eastAsia="Courier New" w:hAnsi="Courier New" w:hint="default"/>
        <w:sz w:val="22"/>
        <w:szCs w:val="22"/>
      </w:rPr>
    </w:lvl>
    <w:lvl w:ilvl="1" w:tplc="FFFCFEBC">
      <w:start w:val="1"/>
      <w:numFmt w:val="bullet"/>
      <w:lvlText w:val="•"/>
      <w:lvlJc w:val="left"/>
      <w:pPr>
        <w:ind w:left="2077" w:hanging="567"/>
      </w:pPr>
      <w:rPr>
        <w:rFonts w:hint="default"/>
      </w:rPr>
    </w:lvl>
    <w:lvl w:ilvl="2" w:tplc="08C4962A">
      <w:start w:val="1"/>
      <w:numFmt w:val="bullet"/>
      <w:lvlText w:val="•"/>
      <w:lvlJc w:val="left"/>
      <w:pPr>
        <w:ind w:left="2911" w:hanging="567"/>
      </w:pPr>
      <w:rPr>
        <w:rFonts w:hint="default"/>
      </w:rPr>
    </w:lvl>
    <w:lvl w:ilvl="3" w:tplc="57B42B08">
      <w:start w:val="1"/>
      <w:numFmt w:val="bullet"/>
      <w:lvlText w:val="•"/>
      <w:lvlJc w:val="left"/>
      <w:pPr>
        <w:ind w:left="3744" w:hanging="567"/>
      </w:pPr>
      <w:rPr>
        <w:rFonts w:hint="default"/>
      </w:rPr>
    </w:lvl>
    <w:lvl w:ilvl="4" w:tplc="1C0A0B04">
      <w:start w:val="1"/>
      <w:numFmt w:val="bullet"/>
      <w:lvlText w:val="•"/>
      <w:lvlJc w:val="left"/>
      <w:pPr>
        <w:ind w:left="4578" w:hanging="567"/>
      </w:pPr>
      <w:rPr>
        <w:rFonts w:hint="default"/>
      </w:rPr>
    </w:lvl>
    <w:lvl w:ilvl="5" w:tplc="E9F4BF24">
      <w:start w:val="1"/>
      <w:numFmt w:val="bullet"/>
      <w:lvlText w:val="•"/>
      <w:lvlJc w:val="left"/>
      <w:pPr>
        <w:ind w:left="5412" w:hanging="567"/>
      </w:pPr>
      <w:rPr>
        <w:rFonts w:hint="default"/>
      </w:rPr>
    </w:lvl>
    <w:lvl w:ilvl="6" w:tplc="74CAE7F8">
      <w:start w:val="1"/>
      <w:numFmt w:val="bullet"/>
      <w:lvlText w:val="•"/>
      <w:lvlJc w:val="left"/>
      <w:pPr>
        <w:ind w:left="6245" w:hanging="567"/>
      </w:pPr>
      <w:rPr>
        <w:rFonts w:hint="default"/>
      </w:rPr>
    </w:lvl>
    <w:lvl w:ilvl="7" w:tplc="B83A324A">
      <w:start w:val="1"/>
      <w:numFmt w:val="bullet"/>
      <w:lvlText w:val="•"/>
      <w:lvlJc w:val="left"/>
      <w:pPr>
        <w:ind w:left="7079" w:hanging="567"/>
      </w:pPr>
      <w:rPr>
        <w:rFonts w:hint="default"/>
      </w:rPr>
    </w:lvl>
    <w:lvl w:ilvl="8" w:tplc="8CAE8BA2">
      <w:start w:val="1"/>
      <w:numFmt w:val="bullet"/>
      <w:lvlText w:val="•"/>
      <w:lvlJc w:val="left"/>
      <w:pPr>
        <w:ind w:left="7912" w:hanging="567"/>
      </w:pPr>
      <w:rPr>
        <w:rFonts w:hint="default"/>
      </w:rPr>
    </w:lvl>
  </w:abstractNum>
  <w:abstractNum w:abstractNumId="29" w15:restartNumberingAfterBreak="0">
    <w:nsid w:val="13F542FC"/>
    <w:multiLevelType w:val="hybridMultilevel"/>
    <w:tmpl w:val="E278AD72"/>
    <w:lvl w:ilvl="0" w:tplc="19543162">
      <w:start w:val="6"/>
      <w:numFmt w:val="decimal"/>
      <w:lvlText w:val="%1."/>
      <w:lvlJc w:val="left"/>
      <w:pPr>
        <w:ind w:left="677" w:hanging="567"/>
      </w:pPr>
      <w:rPr>
        <w:rFonts w:ascii="Times New Roman" w:eastAsia="Times New Roman" w:hAnsi="Times New Roman" w:hint="default"/>
        <w:sz w:val="22"/>
        <w:szCs w:val="22"/>
      </w:rPr>
    </w:lvl>
    <w:lvl w:ilvl="1" w:tplc="06FC3F06">
      <w:start w:val="1"/>
      <w:numFmt w:val="bullet"/>
      <w:lvlText w:val="•"/>
      <w:lvlJc w:val="left"/>
      <w:pPr>
        <w:ind w:left="1567" w:hanging="567"/>
      </w:pPr>
      <w:rPr>
        <w:rFonts w:hint="default"/>
      </w:rPr>
    </w:lvl>
    <w:lvl w:ilvl="2" w:tplc="3306F198">
      <w:start w:val="1"/>
      <w:numFmt w:val="bullet"/>
      <w:lvlText w:val="•"/>
      <w:lvlJc w:val="left"/>
      <w:pPr>
        <w:ind w:left="2458" w:hanging="567"/>
      </w:pPr>
      <w:rPr>
        <w:rFonts w:hint="default"/>
      </w:rPr>
    </w:lvl>
    <w:lvl w:ilvl="3" w:tplc="D3E6A78C">
      <w:start w:val="1"/>
      <w:numFmt w:val="bullet"/>
      <w:lvlText w:val="•"/>
      <w:lvlJc w:val="left"/>
      <w:pPr>
        <w:ind w:left="3348" w:hanging="567"/>
      </w:pPr>
      <w:rPr>
        <w:rFonts w:hint="default"/>
      </w:rPr>
    </w:lvl>
    <w:lvl w:ilvl="4" w:tplc="4B30BD94">
      <w:start w:val="1"/>
      <w:numFmt w:val="bullet"/>
      <w:lvlText w:val="•"/>
      <w:lvlJc w:val="left"/>
      <w:pPr>
        <w:ind w:left="4238" w:hanging="567"/>
      </w:pPr>
      <w:rPr>
        <w:rFonts w:hint="default"/>
      </w:rPr>
    </w:lvl>
    <w:lvl w:ilvl="5" w:tplc="912268F2">
      <w:start w:val="1"/>
      <w:numFmt w:val="bullet"/>
      <w:lvlText w:val="•"/>
      <w:lvlJc w:val="left"/>
      <w:pPr>
        <w:ind w:left="5128" w:hanging="567"/>
      </w:pPr>
      <w:rPr>
        <w:rFonts w:hint="default"/>
      </w:rPr>
    </w:lvl>
    <w:lvl w:ilvl="6" w:tplc="628CF5A8">
      <w:start w:val="1"/>
      <w:numFmt w:val="bullet"/>
      <w:lvlText w:val="•"/>
      <w:lvlJc w:val="left"/>
      <w:pPr>
        <w:ind w:left="6019" w:hanging="567"/>
      </w:pPr>
      <w:rPr>
        <w:rFonts w:hint="default"/>
      </w:rPr>
    </w:lvl>
    <w:lvl w:ilvl="7" w:tplc="E910A542">
      <w:start w:val="1"/>
      <w:numFmt w:val="bullet"/>
      <w:lvlText w:val="•"/>
      <w:lvlJc w:val="left"/>
      <w:pPr>
        <w:ind w:left="6909" w:hanging="567"/>
      </w:pPr>
      <w:rPr>
        <w:rFonts w:hint="default"/>
      </w:rPr>
    </w:lvl>
    <w:lvl w:ilvl="8" w:tplc="780825B4">
      <w:start w:val="1"/>
      <w:numFmt w:val="bullet"/>
      <w:lvlText w:val="•"/>
      <w:lvlJc w:val="left"/>
      <w:pPr>
        <w:ind w:left="7799" w:hanging="567"/>
      </w:pPr>
      <w:rPr>
        <w:rFonts w:hint="default"/>
      </w:rPr>
    </w:lvl>
  </w:abstractNum>
  <w:abstractNum w:abstractNumId="30" w15:restartNumberingAfterBreak="0">
    <w:nsid w:val="14011648"/>
    <w:multiLevelType w:val="hybridMultilevel"/>
    <w:tmpl w:val="CBA03BC0"/>
    <w:lvl w:ilvl="0" w:tplc="6714DE80">
      <w:start w:val="1"/>
      <w:numFmt w:val="decimal"/>
      <w:lvlText w:val="%1."/>
      <w:lvlJc w:val="left"/>
      <w:pPr>
        <w:ind w:left="471" w:hanging="360"/>
      </w:pPr>
      <w:rPr>
        <w:rFonts w:hint="default"/>
        <w:b/>
      </w:rPr>
    </w:lvl>
    <w:lvl w:ilvl="1" w:tplc="626E6C62" w:tentative="1">
      <w:start w:val="1"/>
      <w:numFmt w:val="upperLetter"/>
      <w:lvlText w:val="%2."/>
      <w:lvlJc w:val="left"/>
      <w:pPr>
        <w:ind w:left="911" w:hanging="400"/>
      </w:pPr>
    </w:lvl>
    <w:lvl w:ilvl="2" w:tplc="6E2AAD12" w:tentative="1">
      <w:start w:val="1"/>
      <w:numFmt w:val="lowerRoman"/>
      <w:lvlText w:val="%3."/>
      <w:lvlJc w:val="right"/>
      <w:pPr>
        <w:ind w:left="1311" w:hanging="400"/>
      </w:pPr>
    </w:lvl>
    <w:lvl w:ilvl="3" w:tplc="0B8C6826" w:tentative="1">
      <w:start w:val="1"/>
      <w:numFmt w:val="decimal"/>
      <w:lvlText w:val="%4."/>
      <w:lvlJc w:val="left"/>
      <w:pPr>
        <w:ind w:left="1711" w:hanging="400"/>
      </w:pPr>
    </w:lvl>
    <w:lvl w:ilvl="4" w:tplc="0116ECC4" w:tentative="1">
      <w:start w:val="1"/>
      <w:numFmt w:val="upperLetter"/>
      <w:lvlText w:val="%5."/>
      <w:lvlJc w:val="left"/>
      <w:pPr>
        <w:ind w:left="2111" w:hanging="400"/>
      </w:pPr>
    </w:lvl>
    <w:lvl w:ilvl="5" w:tplc="E036199A" w:tentative="1">
      <w:start w:val="1"/>
      <w:numFmt w:val="lowerRoman"/>
      <w:lvlText w:val="%6."/>
      <w:lvlJc w:val="right"/>
      <w:pPr>
        <w:ind w:left="2511" w:hanging="400"/>
      </w:pPr>
    </w:lvl>
    <w:lvl w:ilvl="6" w:tplc="818C3982" w:tentative="1">
      <w:start w:val="1"/>
      <w:numFmt w:val="decimal"/>
      <w:lvlText w:val="%7."/>
      <w:lvlJc w:val="left"/>
      <w:pPr>
        <w:ind w:left="2911" w:hanging="400"/>
      </w:pPr>
    </w:lvl>
    <w:lvl w:ilvl="7" w:tplc="BD9EDF10" w:tentative="1">
      <w:start w:val="1"/>
      <w:numFmt w:val="upperLetter"/>
      <w:lvlText w:val="%8."/>
      <w:lvlJc w:val="left"/>
      <w:pPr>
        <w:ind w:left="3311" w:hanging="400"/>
      </w:pPr>
    </w:lvl>
    <w:lvl w:ilvl="8" w:tplc="0EE84240" w:tentative="1">
      <w:start w:val="1"/>
      <w:numFmt w:val="lowerRoman"/>
      <w:lvlText w:val="%9."/>
      <w:lvlJc w:val="right"/>
      <w:pPr>
        <w:ind w:left="3711" w:hanging="400"/>
      </w:pPr>
    </w:lvl>
  </w:abstractNum>
  <w:abstractNum w:abstractNumId="31" w15:restartNumberingAfterBreak="0">
    <w:nsid w:val="141D4C66"/>
    <w:multiLevelType w:val="hybridMultilevel"/>
    <w:tmpl w:val="5ED0E810"/>
    <w:lvl w:ilvl="0" w:tplc="A8A8CE4E">
      <w:start w:val="1"/>
      <w:numFmt w:val="bullet"/>
      <w:lvlText w:val=""/>
      <w:lvlJc w:val="left"/>
      <w:pPr>
        <w:ind w:left="720" w:hanging="360"/>
      </w:pPr>
      <w:rPr>
        <w:rFonts w:ascii="Symbol" w:hAnsi="Symbol" w:hint="default"/>
      </w:rPr>
    </w:lvl>
    <w:lvl w:ilvl="1" w:tplc="10B676FC" w:tentative="1">
      <w:start w:val="1"/>
      <w:numFmt w:val="bullet"/>
      <w:lvlText w:val="o"/>
      <w:lvlJc w:val="left"/>
      <w:pPr>
        <w:ind w:left="1440" w:hanging="360"/>
      </w:pPr>
      <w:rPr>
        <w:rFonts w:ascii="Courier New" w:hAnsi="Courier New" w:cs="Courier New" w:hint="default"/>
      </w:rPr>
    </w:lvl>
    <w:lvl w:ilvl="2" w:tplc="2B363A2C" w:tentative="1">
      <w:start w:val="1"/>
      <w:numFmt w:val="bullet"/>
      <w:lvlText w:val=""/>
      <w:lvlJc w:val="left"/>
      <w:pPr>
        <w:ind w:left="2160" w:hanging="360"/>
      </w:pPr>
      <w:rPr>
        <w:rFonts w:ascii="Wingdings" w:hAnsi="Wingdings" w:hint="default"/>
      </w:rPr>
    </w:lvl>
    <w:lvl w:ilvl="3" w:tplc="365CB2F6" w:tentative="1">
      <w:start w:val="1"/>
      <w:numFmt w:val="bullet"/>
      <w:lvlText w:val=""/>
      <w:lvlJc w:val="left"/>
      <w:pPr>
        <w:ind w:left="2880" w:hanging="360"/>
      </w:pPr>
      <w:rPr>
        <w:rFonts w:ascii="Symbol" w:hAnsi="Symbol" w:hint="default"/>
      </w:rPr>
    </w:lvl>
    <w:lvl w:ilvl="4" w:tplc="1AA0B640" w:tentative="1">
      <w:start w:val="1"/>
      <w:numFmt w:val="bullet"/>
      <w:lvlText w:val="o"/>
      <w:lvlJc w:val="left"/>
      <w:pPr>
        <w:ind w:left="3600" w:hanging="360"/>
      </w:pPr>
      <w:rPr>
        <w:rFonts w:ascii="Courier New" w:hAnsi="Courier New" w:cs="Courier New" w:hint="default"/>
      </w:rPr>
    </w:lvl>
    <w:lvl w:ilvl="5" w:tplc="564E7946" w:tentative="1">
      <w:start w:val="1"/>
      <w:numFmt w:val="bullet"/>
      <w:lvlText w:val=""/>
      <w:lvlJc w:val="left"/>
      <w:pPr>
        <w:ind w:left="4320" w:hanging="360"/>
      </w:pPr>
      <w:rPr>
        <w:rFonts w:ascii="Wingdings" w:hAnsi="Wingdings" w:hint="default"/>
      </w:rPr>
    </w:lvl>
    <w:lvl w:ilvl="6" w:tplc="D4E86A46" w:tentative="1">
      <w:start w:val="1"/>
      <w:numFmt w:val="bullet"/>
      <w:lvlText w:val=""/>
      <w:lvlJc w:val="left"/>
      <w:pPr>
        <w:ind w:left="5040" w:hanging="360"/>
      </w:pPr>
      <w:rPr>
        <w:rFonts w:ascii="Symbol" w:hAnsi="Symbol" w:hint="default"/>
      </w:rPr>
    </w:lvl>
    <w:lvl w:ilvl="7" w:tplc="84BA5364" w:tentative="1">
      <w:start w:val="1"/>
      <w:numFmt w:val="bullet"/>
      <w:lvlText w:val="o"/>
      <w:lvlJc w:val="left"/>
      <w:pPr>
        <w:ind w:left="5760" w:hanging="360"/>
      </w:pPr>
      <w:rPr>
        <w:rFonts w:ascii="Courier New" w:hAnsi="Courier New" w:cs="Courier New" w:hint="default"/>
      </w:rPr>
    </w:lvl>
    <w:lvl w:ilvl="8" w:tplc="9608178C" w:tentative="1">
      <w:start w:val="1"/>
      <w:numFmt w:val="bullet"/>
      <w:lvlText w:val=""/>
      <w:lvlJc w:val="left"/>
      <w:pPr>
        <w:ind w:left="6480" w:hanging="360"/>
      </w:pPr>
      <w:rPr>
        <w:rFonts w:ascii="Wingdings" w:hAnsi="Wingdings" w:hint="default"/>
      </w:rPr>
    </w:lvl>
  </w:abstractNum>
  <w:abstractNum w:abstractNumId="32" w15:restartNumberingAfterBreak="0">
    <w:nsid w:val="1573096C"/>
    <w:multiLevelType w:val="hybridMultilevel"/>
    <w:tmpl w:val="339C2F6A"/>
    <w:lvl w:ilvl="0" w:tplc="C0029D9C">
      <w:start w:val="1"/>
      <w:numFmt w:val="decimal"/>
      <w:lvlText w:val="%1."/>
      <w:lvlJc w:val="left"/>
      <w:pPr>
        <w:ind w:hanging="562"/>
      </w:pPr>
      <w:rPr>
        <w:rFonts w:ascii="Times New Roman" w:eastAsia="Times New Roman" w:hAnsi="Times New Roman" w:hint="default"/>
        <w:b/>
        <w:bCs/>
        <w:sz w:val="22"/>
        <w:szCs w:val="22"/>
      </w:rPr>
    </w:lvl>
    <w:lvl w:ilvl="1" w:tplc="EF9609FC">
      <w:start w:val="1"/>
      <w:numFmt w:val="bullet"/>
      <w:lvlText w:val="•"/>
      <w:lvlJc w:val="left"/>
      <w:rPr>
        <w:rFonts w:hint="default"/>
      </w:rPr>
    </w:lvl>
    <w:lvl w:ilvl="2" w:tplc="60E6DBFE">
      <w:start w:val="1"/>
      <w:numFmt w:val="bullet"/>
      <w:lvlText w:val="•"/>
      <w:lvlJc w:val="left"/>
      <w:rPr>
        <w:rFonts w:hint="default"/>
      </w:rPr>
    </w:lvl>
    <w:lvl w:ilvl="3" w:tplc="3BF465B4">
      <w:start w:val="1"/>
      <w:numFmt w:val="bullet"/>
      <w:lvlText w:val="•"/>
      <w:lvlJc w:val="left"/>
      <w:rPr>
        <w:rFonts w:hint="default"/>
      </w:rPr>
    </w:lvl>
    <w:lvl w:ilvl="4" w:tplc="3DC07B84">
      <w:start w:val="1"/>
      <w:numFmt w:val="bullet"/>
      <w:lvlText w:val="•"/>
      <w:lvlJc w:val="left"/>
      <w:rPr>
        <w:rFonts w:hint="default"/>
      </w:rPr>
    </w:lvl>
    <w:lvl w:ilvl="5" w:tplc="D9B6BC04">
      <w:start w:val="1"/>
      <w:numFmt w:val="bullet"/>
      <w:lvlText w:val="•"/>
      <w:lvlJc w:val="left"/>
      <w:rPr>
        <w:rFonts w:hint="default"/>
      </w:rPr>
    </w:lvl>
    <w:lvl w:ilvl="6" w:tplc="7EFC0DEE">
      <w:start w:val="1"/>
      <w:numFmt w:val="bullet"/>
      <w:lvlText w:val="•"/>
      <w:lvlJc w:val="left"/>
      <w:rPr>
        <w:rFonts w:hint="default"/>
      </w:rPr>
    </w:lvl>
    <w:lvl w:ilvl="7" w:tplc="C850383A">
      <w:start w:val="1"/>
      <w:numFmt w:val="bullet"/>
      <w:lvlText w:val="•"/>
      <w:lvlJc w:val="left"/>
      <w:rPr>
        <w:rFonts w:hint="default"/>
      </w:rPr>
    </w:lvl>
    <w:lvl w:ilvl="8" w:tplc="5EE2714E">
      <w:start w:val="1"/>
      <w:numFmt w:val="bullet"/>
      <w:lvlText w:val="•"/>
      <w:lvlJc w:val="left"/>
      <w:rPr>
        <w:rFonts w:hint="default"/>
      </w:rPr>
    </w:lvl>
  </w:abstractNum>
  <w:abstractNum w:abstractNumId="33" w15:restartNumberingAfterBreak="0">
    <w:nsid w:val="157E3886"/>
    <w:multiLevelType w:val="hybridMultilevel"/>
    <w:tmpl w:val="FF08613C"/>
    <w:lvl w:ilvl="0" w:tplc="339C4BEC">
      <w:start w:val="1"/>
      <w:numFmt w:val="decimal"/>
      <w:lvlText w:val="%1."/>
      <w:lvlJc w:val="left"/>
      <w:pPr>
        <w:ind w:left="360" w:hanging="360"/>
      </w:pPr>
      <w:rPr>
        <w:rFonts w:ascii="Times New Roman" w:hAnsi="Times New Roman" w:cs="Times New Roman" w:hint="default"/>
        <w:b/>
      </w:rPr>
    </w:lvl>
    <w:lvl w:ilvl="1" w:tplc="25FA4736" w:tentative="1">
      <w:start w:val="1"/>
      <w:numFmt w:val="upperLetter"/>
      <w:lvlText w:val="%2."/>
      <w:lvlJc w:val="left"/>
      <w:pPr>
        <w:ind w:left="800" w:hanging="400"/>
      </w:pPr>
    </w:lvl>
    <w:lvl w:ilvl="2" w:tplc="405ECC5A" w:tentative="1">
      <w:start w:val="1"/>
      <w:numFmt w:val="lowerRoman"/>
      <w:lvlText w:val="%3."/>
      <w:lvlJc w:val="right"/>
      <w:pPr>
        <w:ind w:left="1200" w:hanging="400"/>
      </w:pPr>
    </w:lvl>
    <w:lvl w:ilvl="3" w:tplc="37DC85AE" w:tentative="1">
      <w:start w:val="1"/>
      <w:numFmt w:val="decimal"/>
      <w:lvlText w:val="%4."/>
      <w:lvlJc w:val="left"/>
      <w:pPr>
        <w:ind w:left="1600" w:hanging="400"/>
      </w:pPr>
    </w:lvl>
    <w:lvl w:ilvl="4" w:tplc="D16CCAAC" w:tentative="1">
      <w:start w:val="1"/>
      <w:numFmt w:val="upperLetter"/>
      <w:lvlText w:val="%5."/>
      <w:lvlJc w:val="left"/>
      <w:pPr>
        <w:ind w:left="2000" w:hanging="400"/>
      </w:pPr>
    </w:lvl>
    <w:lvl w:ilvl="5" w:tplc="A08C93F0" w:tentative="1">
      <w:start w:val="1"/>
      <w:numFmt w:val="lowerRoman"/>
      <w:lvlText w:val="%6."/>
      <w:lvlJc w:val="right"/>
      <w:pPr>
        <w:ind w:left="2400" w:hanging="400"/>
      </w:pPr>
    </w:lvl>
    <w:lvl w:ilvl="6" w:tplc="FFE462A0" w:tentative="1">
      <w:start w:val="1"/>
      <w:numFmt w:val="decimal"/>
      <w:lvlText w:val="%7."/>
      <w:lvlJc w:val="left"/>
      <w:pPr>
        <w:ind w:left="2800" w:hanging="400"/>
      </w:pPr>
    </w:lvl>
    <w:lvl w:ilvl="7" w:tplc="14F44F3C" w:tentative="1">
      <w:start w:val="1"/>
      <w:numFmt w:val="upperLetter"/>
      <w:lvlText w:val="%8."/>
      <w:lvlJc w:val="left"/>
      <w:pPr>
        <w:ind w:left="3200" w:hanging="400"/>
      </w:pPr>
    </w:lvl>
    <w:lvl w:ilvl="8" w:tplc="412EEA20" w:tentative="1">
      <w:start w:val="1"/>
      <w:numFmt w:val="lowerRoman"/>
      <w:lvlText w:val="%9."/>
      <w:lvlJc w:val="right"/>
      <w:pPr>
        <w:ind w:left="3600" w:hanging="400"/>
      </w:pPr>
    </w:lvl>
  </w:abstractNum>
  <w:abstractNum w:abstractNumId="34" w15:restartNumberingAfterBreak="0">
    <w:nsid w:val="160A2539"/>
    <w:multiLevelType w:val="hybridMultilevel"/>
    <w:tmpl w:val="B11621AC"/>
    <w:lvl w:ilvl="0" w:tplc="DCB49EE4">
      <w:start w:val="1"/>
      <w:numFmt w:val="decimal"/>
      <w:lvlText w:val="%1."/>
      <w:lvlJc w:val="left"/>
      <w:pPr>
        <w:ind w:left="805" w:hanging="360"/>
      </w:pPr>
      <w:rPr>
        <w:rFonts w:ascii="Times New Roman" w:hAnsi="Times New Roman" w:cs="Times New Roman" w:hint="default"/>
        <w:b/>
      </w:rPr>
    </w:lvl>
    <w:lvl w:ilvl="1" w:tplc="29BEE0DC" w:tentative="1">
      <w:start w:val="1"/>
      <w:numFmt w:val="upperLetter"/>
      <w:lvlText w:val="%2."/>
      <w:lvlJc w:val="left"/>
      <w:pPr>
        <w:ind w:left="1245" w:hanging="400"/>
      </w:pPr>
    </w:lvl>
    <w:lvl w:ilvl="2" w:tplc="00EE27AC" w:tentative="1">
      <w:start w:val="1"/>
      <w:numFmt w:val="lowerRoman"/>
      <w:lvlText w:val="%3."/>
      <w:lvlJc w:val="right"/>
      <w:pPr>
        <w:ind w:left="1645" w:hanging="400"/>
      </w:pPr>
    </w:lvl>
    <w:lvl w:ilvl="3" w:tplc="66D42A2A" w:tentative="1">
      <w:start w:val="1"/>
      <w:numFmt w:val="decimal"/>
      <w:lvlText w:val="%4."/>
      <w:lvlJc w:val="left"/>
      <w:pPr>
        <w:ind w:left="2045" w:hanging="400"/>
      </w:pPr>
    </w:lvl>
    <w:lvl w:ilvl="4" w:tplc="0520F7FC" w:tentative="1">
      <w:start w:val="1"/>
      <w:numFmt w:val="upperLetter"/>
      <w:lvlText w:val="%5."/>
      <w:lvlJc w:val="left"/>
      <w:pPr>
        <w:ind w:left="2445" w:hanging="400"/>
      </w:pPr>
    </w:lvl>
    <w:lvl w:ilvl="5" w:tplc="03F29A34" w:tentative="1">
      <w:start w:val="1"/>
      <w:numFmt w:val="lowerRoman"/>
      <w:lvlText w:val="%6."/>
      <w:lvlJc w:val="right"/>
      <w:pPr>
        <w:ind w:left="2845" w:hanging="400"/>
      </w:pPr>
    </w:lvl>
    <w:lvl w:ilvl="6" w:tplc="6C50B160" w:tentative="1">
      <w:start w:val="1"/>
      <w:numFmt w:val="decimal"/>
      <w:lvlText w:val="%7."/>
      <w:lvlJc w:val="left"/>
      <w:pPr>
        <w:ind w:left="3245" w:hanging="400"/>
      </w:pPr>
    </w:lvl>
    <w:lvl w:ilvl="7" w:tplc="614062EA" w:tentative="1">
      <w:start w:val="1"/>
      <w:numFmt w:val="upperLetter"/>
      <w:lvlText w:val="%8."/>
      <w:lvlJc w:val="left"/>
      <w:pPr>
        <w:ind w:left="3645" w:hanging="400"/>
      </w:pPr>
    </w:lvl>
    <w:lvl w:ilvl="8" w:tplc="FF0E8658" w:tentative="1">
      <w:start w:val="1"/>
      <w:numFmt w:val="lowerRoman"/>
      <w:lvlText w:val="%9."/>
      <w:lvlJc w:val="right"/>
      <w:pPr>
        <w:ind w:left="4045" w:hanging="400"/>
      </w:pPr>
    </w:lvl>
  </w:abstractNum>
  <w:abstractNum w:abstractNumId="35" w15:restartNumberingAfterBreak="0">
    <w:nsid w:val="174E4F77"/>
    <w:multiLevelType w:val="hybridMultilevel"/>
    <w:tmpl w:val="A5728272"/>
    <w:lvl w:ilvl="0" w:tplc="38FC90C2">
      <w:start w:val="1"/>
      <w:numFmt w:val="bullet"/>
      <w:lvlText w:val=""/>
      <w:lvlJc w:val="left"/>
      <w:pPr>
        <w:ind w:left="2287" w:hanging="360"/>
      </w:pPr>
      <w:rPr>
        <w:rFonts w:ascii="Symbol" w:eastAsia="Symbol" w:hAnsi="Symbol" w:hint="default"/>
        <w:sz w:val="22"/>
        <w:szCs w:val="22"/>
      </w:rPr>
    </w:lvl>
    <w:lvl w:ilvl="1" w:tplc="0BC8453E">
      <w:start w:val="1"/>
      <w:numFmt w:val="bullet"/>
      <w:lvlText w:val="•"/>
      <w:lvlJc w:val="left"/>
      <w:pPr>
        <w:ind w:left="2754" w:hanging="360"/>
      </w:pPr>
      <w:rPr>
        <w:rFonts w:hint="default"/>
      </w:rPr>
    </w:lvl>
    <w:lvl w:ilvl="2" w:tplc="BC6612C8">
      <w:start w:val="1"/>
      <w:numFmt w:val="bullet"/>
      <w:lvlText w:val="•"/>
      <w:lvlJc w:val="left"/>
      <w:pPr>
        <w:ind w:left="3222" w:hanging="360"/>
      </w:pPr>
      <w:rPr>
        <w:rFonts w:hint="default"/>
      </w:rPr>
    </w:lvl>
    <w:lvl w:ilvl="3" w:tplc="FFE2276A">
      <w:start w:val="1"/>
      <w:numFmt w:val="bullet"/>
      <w:lvlText w:val="•"/>
      <w:lvlJc w:val="left"/>
      <w:pPr>
        <w:ind w:left="3689" w:hanging="360"/>
      </w:pPr>
      <w:rPr>
        <w:rFonts w:hint="default"/>
      </w:rPr>
    </w:lvl>
    <w:lvl w:ilvl="4" w:tplc="9A148CD2">
      <w:start w:val="1"/>
      <w:numFmt w:val="bullet"/>
      <w:lvlText w:val="•"/>
      <w:lvlJc w:val="left"/>
      <w:pPr>
        <w:ind w:left="4156" w:hanging="360"/>
      </w:pPr>
      <w:rPr>
        <w:rFonts w:hint="default"/>
      </w:rPr>
    </w:lvl>
    <w:lvl w:ilvl="5" w:tplc="D834FC56">
      <w:start w:val="1"/>
      <w:numFmt w:val="bullet"/>
      <w:lvlText w:val="•"/>
      <w:lvlJc w:val="left"/>
      <w:pPr>
        <w:ind w:left="4624" w:hanging="360"/>
      </w:pPr>
      <w:rPr>
        <w:rFonts w:hint="default"/>
      </w:rPr>
    </w:lvl>
    <w:lvl w:ilvl="6" w:tplc="1804D258">
      <w:start w:val="1"/>
      <w:numFmt w:val="bullet"/>
      <w:lvlText w:val="•"/>
      <w:lvlJc w:val="left"/>
      <w:pPr>
        <w:ind w:left="5091" w:hanging="360"/>
      </w:pPr>
      <w:rPr>
        <w:rFonts w:hint="default"/>
      </w:rPr>
    </w:lvl>
    <w:lvl w:ilvl="7" w:tplc="119CE77A">
      <w:start w:val="1"/>
      <w:numFmt w:val="bullet"/>
      <w:lvlText w:val="•"/>
      <w:lvlJc w:val="left"/>
      <w:pPr>
        <w:ind w:left="5559" w:hanging="360"/>
      </w:pPr>
      <w:rPr>
        <w:rFonts w:hint="default"/>
      </w:rPr>
    </w:lvl>
    <w:lvl w:ilvl="8" w:tplc="D3864C1A">
      <w:start w:val="1"/>
      <w:numFmt w:val="bullet"/>
      <w:lvlText w:val="•"/>
      <w:lvlJc w:val="left"/>
      <w:pPr>
        <w:ind w:left="6026" w:hanging="360"/>
      </w:pPr>
      <w:rPr>
        <w:rFonts w:hint="default"/>
      </w:rPr>
    </w:lvl>
  </w:abstractNum>
  <w:abstractNum w:abstractNumId="36" w15:restartNumberingAfterBreak="0">
    <w:nsid w:val="1A1B327E"/>
    <w:multiLevelType w:val="hybridMultilevel"/>
    <w:tmpl w:val="339C2F6A"/>
    <w:lvl w:ilvl="0" w:tplc="45A2D2C4">
      <w:start w:val="1"/>
      <w:numFmt w:val="decimal"/>
      <w:lvlText w:val="%1."/>
      <w:lvlJc w:val="left"/>
      <w:pPr>
        <w:ind w:hanging="562"/>
      </w:pPr>
      <w:rPr>
        <w:rFonts w:ascii="Times New Roman" w:eastAsia="Times New Roman" w:hAnsi="Times New Roman" w:hint="default"/>
        <w:b/>
        <w:bCs/>
        <w:sz w:val="22"/>
        <w:szCs w:val="22"/>
      </w:rPr>
    </w:lvl>
    <w:lvl w:ilvl="1" w:tplc="2784662A">
      <w:start w:val="1"/>
      <w:numFmt w:val="bullet"/>
      <w:lvlText w:val="•"/>
      <w:lvlJc w:val="left"/>
      <w:rPr>
        <w:rFonts w:hint="default"/>
      </w:rPr>
    </w:lvl>
    <w:lvl w:ilvl="2" w:tplc="F7F2B392">
      <w:start w:val="1"/>
      <w:numFmt w:val="bullet"/>
      <w:lvlText w:val="•"/>
      <w:lvlJc w:val="left"/>
      <w:rPr>
        <w:rFonts w:hint="default"/>
      </w:rPr>
    </w:lvl>
    <w:lvl w:ilvl="3" w:tplc="73CCE868">
      <w:start w:val="1"/>
      <w:numFmt w:val="bullet"/>
      <w:lvlText w:val="•"/>
      <w:lvlJc w:val="left"/>
      <w:rPr>
        <w:rFonts w:hint="default"/>
      </w:rPr>
    </w:lvl>
    <w:lvl w:ilvl="4" w:tplc="9D7AF6F6">
      <w:start w:val="1"/>
      <w:numFmt w:val="bullet"/>
      <w:lvlText w:val="•"/>
      <w:lvlJc w:val="left"/>
      <w:rPr>
        <w:rFonts w:hint="default"/>
      </w:rPr>
    </w:lvl>
    <w:lvl w:ilvl="5" w:tplc="EE1646AE">
      <w:start w:val="1"/>
      <w:numFmt w:val="bullet"/>
      <w:lvlText w:val="•"/>
      <w:lvlJc w:val="left"/>
      <w:rPr>
        <w:rFonts w:hint="default"/>
      </w:rPr>
    </w:lvl>
    <w:lvl w:ilvl="6" w:tplc="D398FF9A">
      <w:start w:val="1"/>
      <w:numFmt w:val="bullet"/>
      <w:lvlText w:val="•"/>
      <w:lvlJc w:val="left"/>
      <w:rPr>
        <w:rFonts w:hint="default"/>
      </w:rPr>
    </w:lvl>
    <w:lvl w:ilvl="7" w:tplc="8320D896">
      <w:start w:val="1"/>
      <w:numFmt w:val="bullet"/>
      <w:lvlText w:val="•"/>
      <w:lvlJc w:val="left"/>
      <w:rPr>
        <w:rFonts w:hint="default"/>
      </w:rPr>
    </w:lvl>
    <w:lvl w:ilvl="8" w:tplc="79A41EE0">
      <w:start w:val="1"/>
      <w:numFmt w:val="bullet"/>
      <w:lvlText w:val="•"/>
      <w:lvlJc w:val="left"/>
      <w:rPr>
        <w:rFonts w:hint="default"/>
      </w:rPr>
    </w:lvl>
  </w:abstractNum>
  <w:abstractNum w:abstractNumId="37" w15:restartNumberingAfterBreak="0">
    <w:nsid w:val="1B320F7A"/>
    <w:multiLevelType w:val="hybridMultilevel"/>
    <w:tmpl w:val="E2C09F78"/>
    <w:lvl w:ilvl="0" w:tplc="AF1A012E">
      <w:start w:val="1"/>
      <w:numFmt w:val="bullet"/>
      <w:lvlText w:val=""/>
      <w:lvlJc w:val="left"/>
      <w:pPr>
        <w:ind w:hanging="176"/>
      </w:pPr>
      <w:rPr>
        <w:rFonts w:ascii="Symbol" w:eastAsia="Symbol" w:hAnsi="Symbol" w:hint="default"/>
        <w:sz w:val="22"/>
        <w:szCs w:val="22"/>
      </w:rPr>
    </w:lvl>
    <w:lvl w:ilvl="1" w:tplc="8A9885F4">
      <w:start w:val="1"/>
      <w:numFmt w:val="bullet"/>
      <w:lvlText w:val="•"/>
      <w:lvlJc w:val="left"/>
      <w:rPr>
        <w:rFonts w:hint="default"/>
      </w:rPr>
    </w:lvl>
    <w:lvl w:ilvl="2" w:tplc="488EEB6C">
      <w:start w:val="1"/>
      <w:numFmt w:val="bullet"/>
      <w:lvlText w:val="•"/>
      <w:lvlJc w:val="left"/>
      <w:rPr>
        <w:rFonts w:hint="default"/>
      </w:rPr>
    </w:lvl>
    <w:lvl w:ilvl="3" w:tplc="262CECD8">
      <w:start w:val="1"/>
      <w:numFmt w:val="bullet"/>
      <w:lvlText w:val="•"/>
      <w:lvlJc w:val="left"/>
      <w:rPr>
        <w:rFonts w:hint="default"/>
      </w:rPr>
    </w:lvl>
    <w:lvl w:ilvl="4" w:tplc="A954A4E2">
      <w:start w:val="1"/>
      <w:numFmt w:val="bullet"/>
      <w:lvlText w:val="•"/>
      <w:lvlJc w:val="left"/>
      <w:rPr>
        <w:rFonts w:hint="default"/>
      </w:rPr>
    </w:lvl>
    <w:lvl w:ilvl="5" w:tplc="FD8ECEDA">
      <w:start w:val="1"/>
      <w:numFmt w:val="bullet"/>
      <w:lvlText w:val="•"/>
      <w:lvlJc w:val="left"/>
      <w:rPr>
        <w:rFonts w:hint="default"/>
      </w:rPr>
    </w:lvl>
    <w:lvl w:ilvl="6" w:tplc="226006D4">
      <w:start w:val="1"/>
      <w:numFmt w:val="bullet"/>
      <w:lvlText w:val="•"/>
      <w:lvlJc w:val="left"/>
      <w:rPr>
        <w:rFonts w:hint="default"/>
      </w:rPr>
    </w:lvl>
    <w:lvl w:ilvl="7" w:tplc="70087058">
      <w:start w:val="1"/>
      <w:numFmt w:val="bullet"/>
      <w:lvlText w:val="•"/>
      <w:lvlJc w:val="left"/>
      <w:rPr>
        <w:rFonts w:hint="default"/>
      </w:rPr>
    </w:lvl>
    <w:lvl w:ilvl="8" w:tplc="52922BF4">
      <w:start w:val="1"/>
      <w:numFmt w:val="bullet"/>
      <w:lvlText w:val="•"/>
      <w:lvlJc w:val="left"/>
      <w:rPr>
        <w:rFonts w:hint="default"/>
      </w:rPr>
    </w:lvl>
  </w:abstractNum>
  <w:abstractNum w:abstractNumId="38" w15:restartNumberingAfterBreak="0">
    <w:nsid w:val="1B677A11"/>
    <w:multiLevelType w:val="hybridMultilevel"/>
    <w:tmpl w:val="853E151E"/>
    <w:lvl w:ilvl="0" w:tplc="502ADB7A">
      <w:start w:val="6"/>
      <w:numFmt w:val="decimal"/>
      <w:lvlText w:val="%1."/>
      <w:lvlJc w:val="left"/>
      <w:pPr>
        <w:ind w:left="677" w:hanging="567"/>
      </w:pPr>
      <w:rPr>
        <w:rFonts w:ascii="Times New Roman" w:eastAsia="Times New Roman" w:hAnsi="Times New Roman" w:hint="default"/>
        <w:sz w:val="22"/>
        <w:szCs w:val="22"/>
      </w:rPr>
    </w:lvl>
    <w:lvl w:ilvl="1" w:tplc="84CC1EC8">
      <w:start w:val="1"/>
      <w:numFmt w:val="bullet"/>
      <w:lvlText w:val="•"/>
      <w:lvlJc w:val="left"/>
      <w:pPr>
        <w:ind w:left="1569" w:hanging="567"/>
      </w:pPr>
      <w:rPr>
        <w:rFonts w:hint="default"/>
      </w:rPr>
    </w:lvl>
    <w:lvl w:ilvl="2" w:tplc="2320FE48">
      <w:start w:val="1"/>
      <w:numFmt w:val="bullet"/>
      <w:lvlText w:val="•"/>
      <w:lvlJc w:val="left"/>
      <w:pPr>
        <w:ind w:left="2462" w:hanging="567"/>
      </w:pPr>
      <w:rPr>
        <w:rFonts w:hint="default"/>
      </w:rPr>
    </w:lvl>
    <w:lvl w:ilvl="3" w:tplc="982A2B34">
      <w:start w:val="1"/>
      <w:numFmt w:val="bullet"/>
      <w:lvlText w:val="•"/>
      <w:lvlJc w:val="left"/>
      <w:pPr>
        <w:ind w:left="3354" w:hanging="567"/>
      </w:pPr>
      <w:rPr>
        <w:rFonts w:hint="default"/>
      </w:rPr>
    </w:lvl>
    <w:lvl w:ilvl="4" w:tplc="CD66629A">
      <w:start w:val="1"/>
      <w:numFmt w:val="bullet"/>
      <w:lvlText w:val="•"/>
      <w:lvlJc w:val="left"/>
      <w:pPr>
        <w:ind w:left="4246" w:hanging="567"/>
      </w:pPr>
      <w:rPr>
        <w:rFonts w:hint="default"/>
      </w:rPr>
    </w:lvl>
    <w:lvl w:ilvl="5" w:tplc="4C441C4A">
      <w:start w:val="1"/>
      <w:numFmt w:val="bullet"/>
      <w:lvlText w:val="•"/>
      <w:lvlJc w:val="left"/>
      <w:pPr>
        <w:ind w:left="5138" w:hanging="567"/>
      </w:pPr>
      <w:rPr>
        <w:rFonts w:hint="default"/>
      </w:rPr>
    </w:lvl>
    <w:lvl w:ilvl="6" w:tplc="A9DA84F4">
      <w:start w:val="1"/>
      <w:numFmt w:val="bullet"/>
      <w:lvlText w:val="•"/>
      <w:lvlJc w:val="left"/>
      <w:pPr>
        <w:ind w:left="6031" w:hanging="567"/>
      </w:pPr>
      <w:rPr>
        <w:rFonts w:hint="default"/>
      </w:rPr>
    </w:lvl>
    <w:lvl w:ilvl="7" w:tplc="18EC5FEA">
      <w:start w:val="1"/>
      <w:numFmt w:val="bullet"/>
      <w:lvlText w:val="•"/>
      <w:lvlJc w:val="left"/>
      <w:pPr>
        <w:ind w:left="6923" w:hanging="567"/>
      </w:pPr>
      <w:rPr>
        <w:rFonts w:hint="default"/>
      </w:rPr>
    </w:lvl>
    <w:lvl w:ilvl="8" w:tplc="234C8DF8">
      <w:start w:val="1"/>
      <w:numFmt w:val="bullet"/>
      <w:lvlText w:val="•"/>
      <w:lvlJc w:val="left"/>
      <w:pPr>
        <w:ind w:left="7815" w:hanging="567"/>
      </w:pPr>
      <w:rPr>
        <w:rFonts w:hint="default"/>
      </w:rPr>
    </w:lvl>
  </w:abstractNum>
  <w:abstractNum w:abstractNumId="39" w15:restartNumberingAfterBreak="0">
    <w:nsid w:val="1C854A1A"/>
    <w:multiLevelType w:val="hybridMultilevel"/>
    <w:tmpl w:val="03CC2B4C"/>
    <w:lvl w:ilvl="0" w:tplc="151AF688">
      <w:start w:val="1"/>
      <w:numFmt w:val="bullet"/>
      <w:lvlText w:val=""/>
      <w:lvlJc w:val="left"/>
      <w:pPr>
        <w:ind w:left="1698" w:hanging="360"/>
      </w:pPr>
      <w:rPr>
        <w:rFonts w:ascii="Symbol" w:eastAsia="Symbol" w:hAnsi="Symbol" w:hint="default"/>
        <w:sz w:val="22"/>
        <w:szCs w:val="22"/>
      </w:rPr>
    </w:lvl>
    <w:lvl w:ilvl="1" w:tplc="5E60E884">
      <w:start w:val="1"/>
      <w:numFmt w:val="bullet"/>
      <w:lvlText w:val="•"/>
      <w:lvlJc w:val="left"/>
      <w:pPr>
        <w:ind w:left="2169" w:hanging="360"/>
      </w:pPr>
      <w:rPr>
        <w:rFonts w:hint="default"/>
      </w:rPr>
    </w:lvl>
    <w:lvl w:ilvl="2" w:tplc="B0F41D9E">
      <w:start w:val="1"/>
      <w:numFmt w:val="bullet"/>
      <w:lvlText w:val="•"/>
      <w:lvlJc w:val="left"/>
      <w:pPr>
        <w:ind w:left="2640" w:hanging="360"/>
      </w:pPr>
      <w:rPr>
        <w:rFonts w:hint="default"/>
      </w:rPr>
    </w:lvl>
    <w:lvl w:ilvl="3" w:tplc="89A045E0">
      <w:start w:val="1"/>
      <w:numFmt w:val="bullet"/>
      <w:lvlText w:val="•"/>
      <w:lvlJc w:val="left"/>
      <w:pPr>
        <w:ind w:left="3111" w:hanging="360"/>
      </w:pPr>
      <w:rPr>
        <w:rFonts w:hint="default"/>
      </w:rPr>
    </w:lvl>
    <w:lvl w:ilvl="4" w:tplc="1E864AAA">
      <w:start w:val="1"/>
      <w:numFmt w:val="bullet"/>
      <w:lvlText w:val="•"/>
      <w:lvlJc w:val="left"/>
      <w:pPr>
        <w:ind w:left="3582" w:hanging="360"/>
      </w:pPr>
      <w:rPr>
        <w:rFonts w:hint="default"/>
      </w:rPr>
    </w:lvl>
    <w:lvl w:ilvl="5" w:tplc="E8AA3FCA">
      <w:start w:val="1"/>
      <w:numFmt w:val="bullet"/>
      <w:lvlText w:val="•"/>
      <w:lvlJc w:val="left"/>
      <w:pPr>
        <w:ind w:left="4053" w:hanging="360"/>
      </w:pPr>
      <w:rPr>
        <w:rFonts w:hint="default"/>
      </w:rPr>
    </w:lvl>
    <w:lvl w:ilvl="6" w:tplc="8B6C1364">
      <w:start w:val="1"/>
      <w:numFmt w:val="bullet"/>
      <w:lvlText w:val="•"/>
      <w:lvlJc w:val="left"/>
      <w:pPr>
        <w:ind w:left="4524" w:hanging="360"/>
      </w:pPr>
      <w:rPr>
        <w:rFonts w:hint="default"/>
      </w:rPr>
    </w:lvl>
    <w:lvl w:ilvl="7" w:tplc="36861BB0">
      <w:start w:val="1"/>
      <w:numFmt w:val="bullet"/>
      <w:lvlText w:val="•"/>
      <w:lvlJc w:val="left"/>
      <w:pPr>
        <w:ind w:left="4995" w:hanging="360"/>
      </w:pPr>
      <w:rPr>
        <w:rFonts w:hint="default"/>
      </w:rPr>
    </w:lvl>
    <w:lvl w:ilvl="8" w:tplc="80BE57B8">
      <w:start w:val="1"/>
      <w:numFmt w:val="bullet"/>
      <w:lvlText w:val="•"/>
      <w:lvlJc w:val="left"/>
      <w:pPr>
        <w:ind w:left="5466" w:hanging="360"/>
      </w:pPr>
      <w:rPr>
        <w:rFonts w:hint="default"/>
      </w:rPr>
    </w:lvl>
  </w:abstractNum>
  <w:abstractNum w:abstractNumId="40" w15:restartNumberingAfterBreak="0">
    <w:nsid w:val="1EC936F7"/>
    <w:multiLevelType w:val="hybridMultilevel"/>
    <w:tmpl w:val="3E3022CA"/>
    <w:lvl w:ilvl="0" w:tplc="6C0EC5B4">
      <w:start w:val="1"/>
      <w:numFmt w:val="decimal"/>
      <w:lvlText w:val="%1."/>
      <w:lvlJc w:val="left"/>
      <w:pPr>
        <w:ind w:left="471" w:hanging="360"/>
      </w:pPr>
      <w:rPr>
        <w:rFonts w:hint="default"/>
        <w:b/>
      </w:rPr>
    </w:lvl>
    <w:lvl w:ilvl="1" w:tplc="344CC4E2" w:tentative="1">
      <w:start w:val="1"/>
      <w:numFmt w:val="upperLetter"/>
      <w:lvlText w:val="%2."/>
      <w:lvlJc w:val="left"/>
      <w:pPr>
        <w:ind w:left="911" w:hanging="400"/>
      </w:pPr>
    </w:lvl>
    <w:lvl w:ilvl="2" w:tplc="AE7AF724" w:tentative="1">
      <w:start w:val="1"/>
      <w:numFmt w:val="lowerRoman"/>
      <w:lvlText w:val="%3."/>
      <w:lvlJc w:val="right"/>
      <w:pPr>
        <w:ind w:left="1311" w:hanging="400"/>
      </w:pPr>
    </w:lvl>
    <w:lvl w:ilvl="3" w:tplc="D17AB562" w:tentative="1">
      <w:start w:val="1"/>
      <w:numFmt w:val="decimal"/>
      <w:lvlText w:val="%4."/>
      <w:lvlJc w:val="left"/>
      <w:pPr>
        <w:ind w:left="1711" w:hanging="400"/>
      </w:pPr>
    </w:lvl>
    <w:lvl w:ilvl="4" w:tplc="1CF08F66" w:tentative="1">
      <w:start w:val="1"/>
      <w:numFmt w:val="upperLetter"/>
      <w:lvlText w:val="%5."/>
      <w:lvlJc w:val="left"/>
      <w:pPr>
        <w:ind w:left="2111" w:hanging="400"/>
      </w:pPr>
    </w:lvl>
    <w:lvl w:ilvl="5" w:tplc="E9A27C98" w:tentative="1">
      <w:start w:val="1"/>
      <w:numFmt w:val="lowerRoman"/>
      <w:lvlText w:val="%6."/>
      <w:lvlJc w:val="right"/>
      <w:pPr>
        <w:ind w:left="2511" w:hanging="400"/>
      </w:pPr>
    </w:lvl>
    <w:lvl w:ilvl="6" w:tplc="5A0E51AE" w:tentative="1">
      <w:start w:val="1"/>
      <w:numFmt w:val="decimal"/>
      <w:lvlText w:val="%7."/>
      <w:lvlJc w:val="left"/>
      <w:pPr>
        <w:ind w:left="2911" w:hanging="400"/>
      </w:pPr>
    </w:lvl>
    <w:lvl w:ilvl="7" w:tplc="0BF86942" w:tentative="1">
      <w:start w:val="1"/>
      <w:numFmt w:val="upperLetter"/>
      <w:lvlText w:val="%8."/>
      <w:lvlJc w:val="left"/>
      <w:pPr>
        <w:ind w:left="3311" w:hanging="400"/>
      </w:pPr>
    </w:lvl>
    <w:lvl w:ilvl="8" w:tplc="917482D4" w:tentative="1">
      <w:start w:val="1"/>
      <w:numFmt w:val="lowerRoman"/>
      <w:lvlText w:val="%9."/>
      <w:lvlJc w:val="right"/>
      <w:pPr>
        <w:ind w:left="3711" w:hanging="400"/>
      </w:pPr>
    </w:lvl>
  </w:abstractNum>
  <w:abstractNum w:abstractNumId="41" w15:restartNumberingAfterBreak="0">
    <w:nsid w:val="1ED632E6"/>
    <w:multiLevelType w:val="hybridMultilevel"/>
    <w:tmpl w:val="AEA80FA6"/>
    <w:lvl w:ilvl="0" w:tplc="E668BF04">
      <w:start w:val="1"/>
      <w:numFmt w:val="decimal"/>
      <w:lvlText w:val="%1."/>
      <w:lvlJc w:val="left"/>
      <w:pPr>
        <w:ind w:left="660" w:hanging="550"/>
      </w:pPr>
      <w:rPr>
        <w:rFonts w:ascii="Times New Roman" w:eastAsia="Times New Roman" w:hAnsi="Times New Roman" w:hint="default"/>
        <w:sz w:val="22"/>
        <w:szCs w:val="22"/>
      </w:rPr>
    </w:lvl>
    <w:lvl w:ilvl="1" w:tplc="9BC209AA">
      <w:start w:val="1"/>
      <w:numFmt w:val="decimal"/>
      <w:lvlText w:val="(%2)"/>
      <w:lvlJc w:val="left"/>
      <w:pPr>
        <w:ind w:left="660" w:hanging="312"/>
      </w:pPr>
      <w:rPr>
        <w:rFonts w:ascii="Times New Roman" w:eastAsia="Times New Roman" w:hAnsi="Times New Roman" w:hint="default"/>
        <w:spacing w:val="-1"/>
        <w:sz w:val="22"/>
        <w:szCs w:val="22"/>
      </w:rPr>
    </w:lvl>
    <w:lvl w:ilvl="2" w:tplc="1E8E7DCA">
      <w:start w:val="1"/>
      <w:numFmt w:val="bullet"/>
      <w:lvlText w:val="•"/>
      <w:lvlJc w:val="left"/>
      <w:pPr>
        <w:ind w:left="2436" w:hanging="312"/>
      </w:pPr>
      <w:rPr>
        <w:rFonts w:hint="default"/>
      </w:rPr>
    </w:lvl>
    <w:lvl w:ilvl="3" w:tplc="28A81D4C">
      <w:start w:val="1"/>
      <w:numFmt w:val="bullet"/>
      <w:lvlText w:val="•"/>
      <w:lvlJc w:val="left"/>
      <w:pPr>
        <w:ind w:left="3324" w:hanging="312"/>
      </w:pPr>
      <w:rPr>
        <w:rFonts w:hint="default"/>
      </w:rPr>
    </w:lvl>
    <w:lvl w:ilvl="4" w:tplc="585ADDD2">
      <w:start w:val="1"/>
      <w:numFmt w:val="bullet"/>
      <w:lvlText w:val="•"/>
      <w:lvlJc w:val="left"/>
      <w:pPr>
        <w:ind w:left="4212" w:hanging="312"/>
      </w:pPr>
      <w:rPr>
        <w:rFonts w:hint="default"/>
      </w:rPr>
    </w:lvl>
    <w:lvl w:ilvl="5" w:tplc="80081DD6">
      <w:start w:val="1"/>
      <w:numFmt w:val="bullet"/>
      <w:lvlText w:val="•"/>
      <w:lvlJc w:val="left"/>
      <w:pPr>
        <w:ind w:left="5100" w:hanging="312"/>
      </w:pPr>
      <w:rPr>
        <w:rFonts w:hint="default"/>
      </w:rPr>
    </w:lvl>
    <w:lvl w:ilvl="6" w:tplc="F878D318">
      <w:start w:val="1"/>
      <w:numFmt w:val="bullet"/>
      <w:lvlText w:val="•"/>
      <w:lvlJc w:val="left"/>
      <w:pPr>
        <w:ind w:left="5988" w:hanging="312"/>
      </w:pPr>
      <w:rPr>
        <w:rFonts w:hint="default"/>
      </w:rPr>
    </w:lvl>
    <w:lvl w:ilvl="7" w:tplc="CDF01D4A">
      <w:start w:val="1"/>
      <w:numFmt w:val="bullet"/>
      <w:lvlText w:val="•"/>
      <w:lvlJc w:val="left"/>
      <w:pPr>
        <w:ind w:left="6876" w:hanging="312"/>
      </w:pPr>
      <w:rPr>
        <w:rFonts w:hint="default"/>
      </w:rPr>
    </w:lvl>
    <w:lvl w:ilvl="8" w:tplc="1DB059AA">
      <w:start w:val="1"/>
      <w:numFmt w:val="bullet"/>
      <w:lvlText w:val="•"/>
      <w:lvlJc w:val="left"/>
      <w:pPr>
        <w:ind w:left="7764" w:hanging="312"/>
      </w:pPr>
      <w:rPr>
        <w:rFonts w:hint="default"/>
      </w:rPr>
    </w:lvl>
  </w:abstractNum>
  <w:abstractNum w:abstractNumId="42" w15:restartNumberingAfterBreak="0">
    <w:nsid w:val="1FC915FD"/>
    <w:multiLevelType w:val="hybridMultilevel"/>
    <w:tmpl w:val="6E5E6F6C"/>
    <w:lvl w:ilvl="0" w:tplc="1400C82A">
      <w:start w:val="1"/>
      <w:numFmt w:val="lowerLetter"/>
      <w:lvlText w:val="%1."/>
      <w:lvlJc w:val="left"/>
      <w:pPr>
        <w:ind w:left="462" w:hanging="332"/>
      </w:pPr>
      <w:rPr>
        <w:rFonts w:ascii="Times New Roman" w:eastAsia="Times New Roman" w:hAnsi="Times New Roman" w:hint="default"/>
        <w:sz w:val="22"/>
        <w:szCs w:val="22"/>
      </w:rPr>
    </w:lvl>
    <w:lvl w:ilvl="1" w:tplc="AC5826D0">
      <w:start w:val="1"/>
      <w:numFmt w:val="bullet"/>
      <w:lvlText w:val="•"/>
      <w:lvlJc w:val="left"/>
      <w:pPr>
        <w:ind w:left="1338" w:hanging="332"/>
      </w:pPr>
      <w:rPr>
        <w:rFonts w:hint="default"/>
      </w:rPr>
    </w:lvl>
    <w:lvl w:ilvl="2" w:tplc="583EB564">
      <w:start w:val="1"/>
      <w:numFmt w:val="bullet"/>
      <w:lvlText w:val="•"/>
      <w:lvlJc w:val="left"/>
      <w:pPr>
        <w:ind w:left="2214" w:hanging="332"/>
      </w:pPr>
      <w:rPr>
        <w:rFonts w:hint="default"/>
      </w:rPr>
    </w:lvl>
    <w:lvl w:ilvl="3" w:tplc="74043134">
      <w:start w:val="1"/>
      <w:numFmt w:val="bullet"/>
      <w:lvlText w:val="•"/>
      <w:lvlJc w:val="left"/>
      <w:pPr>
        <w:ind w:left="3091" w:hanging="332"/>
      </w:pPr>
      <w:rPr>
        <w:rFonts w:hint="default"/>
      </w:rPr>
    </w:lvl>
    <w:lvl w:ilvl="4" w:tplc="20024E14">
      <w:start w:val="1"/>
      <w:numFmt w:val="bullet"/>
      <w:lvlText w:val="•"/>
      <w:lvlJc w:val="left"/>
      <w:pPr>
        <w:ind w:left="3967" w:hanging="332"/>
      </w:pPr>
      <w:rPr>
        <w:rFonts w:hint="default"/>
      </w:rPr>
    </w:lvl>
    <w:lvl w:ilvl="5" w:tplc="CFB862C0">
      <w:start w:val="1"/>
      <w:numFmt w:val="bullet"/>
      <w:lvlText w:val="•"/>
      <w:lvlJc w:val="left"/>
      <w:pPr>
        <w:ind w:left="4844" w:hanging="332"/>
      </w:pPr>
      <w:rPr>
        <w:rFonts w:hint="default"/>
      </w:rPr>
    </w:lvl>
    <w:lvl w:ilvl="6" w:tplc="E7B6DC20">
      <w:start w:val="1"/>
      <w:numFmt w:val="bullet"/>
      <w:lvlText w:val="•"/>
      <w:lvlJc w:val="left"/>
      <w:pPr>
        <w:ind w:left="5720" w:hanging="332"/>
      </w:pPr>
      <w:rPr>
        <w:rFonts w:hint="default"/>
      </w:rPr>
    </w:lvl>
    <w:lvl w:ilvl="7" w:tplc="4DEE0234">
      <w:start w:val="1"/>
      <w:numFmt w:val="bullet"/>
      <w:lvlText w:val="•"/>
      <w:lvlJc w:val="left"/>
      <w:pPr>
        <w:ind w:left="6596" w:hanging="332"/>
      </w:pPr>
      <w:rPr>
        <w:rFonts w:hint="default"/>
      </w:rPr>
    </w:lvl>
    <w:lvl w:ilvl="8" w:tplc="F7CA8C36">
      <w:start w:val="1"/>
      <w:numFmt w:val="bullet"/>
      <w:lvlText w:val="•"/>
      <w:lvlJc w:val="left"/>
      <w:pPr>
        <w:ind w:left="7473" w:hanging="332"/>
      </w:pPr>
      <w:rPr>
        <w:rFonts w:hint="default"/>
      </w:rPr>
    </w:lvl>
  </w:abstractNum>
  <w:abstractNum w:abstractNumId="43" w15:restartNumberingAfterBreak="0">
    <w:nsid w:val="208F58FF"/>
    <w:multiLevelType w:val="hybridMultilevel"/>
    <w:tmpl w:val="339C2F6A"/>
    <w:lvl w:ilvl="0" w:tplc="A13886A2">
      <w:start w:val="1"/>
      <w:numFmt w:val="decimal"/>
      <w:lvlText w:val="%1."/>
      <w:lvlJc w:val="left"/>
      <w:pPr>
        <w:ind w:hanging="562"/>
      </w:pPr>
      <w:rPr>
        <w:rFonts w:ascii="Times New Roman" w:eastAsia="Times New Roman" w:hAnsi="Times New Roman" w:hint="default"/>
        <w:b/>
        <w:bCs/>
        <w:sz w:val="22"/>
        <w:szCs w:val="22"/>
      </w:rPr>
    </w:lvl>
    <w:lvl w:ilvl="1" w:tplc="88D4A710">
      <w:start w:val="1"/>
      <w:numFmt w:val="bullet"/>
      <w:lvlText w:val="•"/>
      <w:lvlJc w:val="left"/>
      <w:rPr>
        <w:rFonts w:hint="default"/>
      </w:rPr>
    </w:lvl>
    <w:lvl w:ilvl="2" w:tplc="8BEE8BFA">
      <w:start w:val="1"/>
      <w:numFmt w:val="bullet"/>
      <w:lvlText w:val="•"/>
      <w:lvlJc w:val="left"/>
      <w:rPr>
        <w:rFonts w:hint="default"/>
      </w:rPr>
    </w:lvl>
    <w:lvl w:ilvl="3" w:tplc="8F58C016">
      <w:start w:val="1"/>
      <w:numFmt w:val="bullet"/>
      <w:lvlText w:val="•"/>
      <w:lvlJc w:val="left"/>
      <w:rPr>
        <w:rFonts w:hint="default"/>
      </w:rPr>
    </w:lvl>
    <w:lvl w:ilvl="4" w:tplc="9AA053DC">
      <w:start w:val="1"/>
      <w:numFmt w:val="bullet"/>
      <w:lvlText w:val="•"/>
      <w:lvlJc w:val="left"/>
      <w:rPr>
        <w:rFonts w:hint="default"/>
      </w:rPr>
    </w:lvl>
    <w:lvl w:ilvl="5" w:tplc="ACA836D6">
      <w:start w:val="1"/>
      <w:numFmt w:val="bullet"/>
      <w:lvlText w:val="•"/>
      <w:lvlJc w:val="left"/>
      <w:rPr>
        <w:rFonts w:hint="default"/>
      </w:rPr>
    </w:lvl>
    <w:lvl w:ilvl="6" w:tplc="0E2858A2">
      <w:start w:val="1"/>
      <w:numFmt w:val="bullet"/>
      <w:lvlText w:val="•"/>
      <w:lvlJc w:val="left"/>
      <w:rPr>
        <w:rFonts w:hint="default"/>
      </w:rPr>
    </w:lvl>
    <w:lvl w:ilvl="7" w:tplc="D7AEE386">
      <w:start w:val="1"/>
      <w:numFmt w:val="bullet"/>
      <w:lvlText w:val="•"/>
      <w:lvlJc w:val="left"/>
      <w:rPr>
        <w:rFonts w:hint="default"/>
      </w:rPr>
    </w:lvl>
    <w:lvl w:ilvl="8" w:tplc="1FA0C92A">
      <w:start w:val="1"/>
      <w:numFmt w:val="bullet"/>
      <w:lvlText w:val="•"/>
      <w:lvlJc w:val="left"/>
      <w:rPr>
        <w:rFonts w:hint="default"/>
      </w:rPr>
    </w:lvl>
  </w:abstractNum>
  <w:abstractNum w:abstractNumId="44" w15:restartNumberingAfterBreak="0">
    <w:nsid w:val="21422B38"/>
    <w:multiLevelType w:val="hybridMultilevel"/>
    <w:tmpl w:val="7708F4CC"/>
    <w:lvl w:ilvl="0" w:tplc="B6DED8D2">
      <w:start w:val="1"/>
      <w:numFmt w:val="bullet"/>
      <w:lvlText w:val=""/>
      <w:lvlJc w:val="left"/>
      <w:pPr>
        <w:ind w:left="315" w:hanging="176"/>
      </w:pPr>
      <w:rPr>
        <w:rFonts w:ascii="Symbol" w:eastAsia="Symbol" w:hAnsi="Symbol" w:hint="default"/>
        <w:sz w:val="22"/>
        <w:szCs w:val="22"/>
      </w:rPr>
    </w:lvl>
    <w:lvl w:ilvl="1" w:tplc="6AD61B34">
      <w:start w:val="1"/>
      <w:numFmt w:val="bullet"/>
      <w:lvlText w:val="•"/>
      <w:lvlJc w:val="left"/>
      <w:pPr>
        <w:ind w:left="968" w:hanging="176"/>
      </w:pPr>
      <w:rPr>
        <w:rFonts w:hint="default"/>
      </w:rPr>
    </w:lvl>
    <w:lvl w:ilvl="2" w:tplc="E9EA39EE">
      <w:start w:val="1"/>
      <w:numFmt w:val="bullet"/>
      <w:lvlText w:val="•"/>
      <w:lvlJc w:val="left"/>
      <w:pPr>
        <w:ind w:left="1620" w:hanging="176"/>
      </w:pPr>
      <w:rPr>
        <w:rFonts w:hint="default"/>
      </w:rPr>
    </w:lvl>
    <w:lvl w:ilvl="3" w:tplc="EC9CB3DC">
      <w:start w:val="1"/>
      <w:numFmt w:val="bullet"/>
      <w:lvlText w:val="•"/>
      <w:lvlJc w:val="left"/>
      <w:pPr>
        <w:ind w:left="2272" w:hanging="176"/>
      </w:pPr>
      <w:rPr>
        <w:rFonts w:hint="default"/>
      </w:rPr>
    </w:lvl>
    <w:lvl w:ilvl="4" w:tplc="8C66ADE4">
      <w:start w:val="1"/>
      <w:numFmt w:val="bullet"/>
      <w:lvlText w:val="•"/>
      <w:lvlJc w:val="left"/>
      <w:pPr>
        <w:ind w:left="2924" w:hanging="176"/>
      </w:pPr>
      <w:rPr>
        <w:rFonts w:hint="default"/>
      </w:rPr>
    </w:lvl>
    <w:lvl w:ilvl="5" w:tplc="712AEACA">
      <w:start w:val="1"/>
      <w:numFmt w:val="bullet"/>
      <w:lvlText w:val="•"/>
      <w:lvlJc w:val="left"/>
      <w:pPr>
        <w:ind w:left="3576" w:hanging="176"/>
      </w:pPr>
      <w:rPr>
        <w:rFonts w:hint="default"/>
      </w:rPr>
    </w:lvl>
    <w:lvl w:ilvl="6" w:tplc="C9F0A6B0">
      <w:start w:val="1"/>
      <w:numFmt w:val="bullet"/>
      <w:lvlText w:val="•"/>
      <w:lvlJc w:val="left"/>
      <w:pPr>
        <w:ind w:left="4229" w:hanging="176"/>
      </w:pPr>
      <w:rPr>
        <w:rFonts w:hint="default"/>
      </w:rPr>
    </w:lvl>
    <w:lvl w:ilvl="7" w:tplc="4FC834FC">
      <w:start w:val="1"/>
      <w:numFmt w:val="bullet"/>
      <w:lvlText w:val="•"/>
      <w:lvlJc w:val="left"/>
      <w:pPr>
        <w:ind w:left="4881" w:hanging="176"/>
      </w:pPr>
      <w:rPr>
        <w:rFonts w:hint="default"/>
      </w:rPr>
    </w:lvl>
    <w:lvl w:ilvl="8" w:tplc="109A4EDE">
      <w:start w:val="1"/>
      <w:numFmt w:val="bullet"/>
      <w:lvlText w:val="•"/>
      <w:lvlJc w:val="left"/>
      <w:pPr>
        <w:ind w:left="5533" w:hanging="176"/>
      </w:pPr>
      <w:rPr>
        <w:rFonts w:hint="default"/>
      </w:rPr>
    </w:lvl>
  </w:abstractNum>
  <w:abstractNum w:abstractNumId="45" w15:restartNumberingAfterBreak="0">
    <w:nsid w:val="21B4350E"/>
    <w:multiLevelType w:val="hybridMultilevel"/>
    <w:tmpl w:val="24261B7C"/>
    <w:lvl w:ilvl="0" w:tplc="976236F0">
      <w:start w:val="1"/>
      <w:numFmt w:val="decimal"/>
      <w:lvlText w:val="%1."/>
      <w:lvlJc w:val="left"/>
      <w:pPr>
        <w:ind w:left="677" w:hanging="567"/>
      </w:pPr>
      <w:rPr>
        <w:rFonts w:ascii="Times New Roman" w:eastAsia="Times New Roman" w:hAnsi="Times New Roman" w:hint="default"/>
        <w:sz w:val="22"/>
        <w:szCs w:val="22"/>
      </w:rPr>
    </w:lvl>
    <w:lvl w:ilvl="1" w:tplc="21D65DFE">
      <w:start w:val="1"/>
      <w:numFmt w:val="bullet"/>
      <w:lvlText w:val="•"/>
      <w:lvlJc w:val="left"/>
      <w:pPr>
        <w:ind w:left="1569" w:hanging="567"/>
      </w:pPr>
      <w:rPr>
        <w:rFonts w:hint="default"/>
      </w:rPr>
    </w:lvl>
    <w:lvl w:ilvl="2" w:tplc="33825A8C">
      <w:start w:val="1"/>
      <w:numFmt w:val="bullet"/>
      <w:lvlText w:val="•"/>
      <w:lvlJc w:val="left"/>
      <w:pPr>
        <w:ind w:left="2462" w:hanging="567"/>
      </w:pPr>
      <w:rPr>
        <w:rFonts w:hint="default"/>
      </w:rPr>
    </w:lvl>
    <w:lvl w:ilvl="3" w:tplc="254C3B82">
      <w:start w:val="1"/>
      <w:numFmt w:val="bullet"/>
      <w:lvlText w:val="•"/>
      <w:lvlJc w:val="left"/>
      <w:pPr>
        <w:ind w:left="3354" w:hanging="567"/>
      </w:pPr>
      <w:rPr>
        <w:rFonts w:hint="default"/>
      </w:rPr>
    </w:lvl>
    <w:lvl w:ilvl="4" w:tplc="4D80B632">
      <w:start w:val="1"/>
      <w:numFmt w:val="bullet"/>
      <w:lvlText w:val="•"/>
      <w:lvlJc w:val="left"/>
      <w:pPr>
        <w:ind w:left="4246" w:hanging="567"/>
      </w:pPr>
      <w:rPr>
        <w:rFonts w:hint="default"/>
      </w:rPr>
    </w:lvl>
    <w:lvl w:ilvl="5" w:tplc="2BA250EE">
      <w:start w:val="1"/>
      <w:numFmt w:val="bullet"/>
      <w:lvlText w:val="•"/>
      <w:lvlJc w:val="left"/>
      <w:pPr>
        <w:ind w:left="5138" w:hanging="567"/>
      </w:pPr>
      <w:rPr>
        <w:rFonts w:hint="default"/>
      </w:rPr>
    </w:lvl>
    <w:lvl w:ilvl="6" w:tplc="2AEAD20E">
      <w:start w:val="1"/>
      <w:numFmt w:val="bullet"/>
      <w:lvlText w:val="•"/>
      <w:lvlJc w:val="left"/>
      <w:pPr>
        <w:ind w:left="6031" w:hanging="567"/>
      </w:pPr>
      <w:rPr>
        <w:rFonts w:hint="default"/>
      </w:rPr>
    </w:lvl>
    <w:lvl w:ilvl="7" w:tplc="FA10C938">
      <w:start w:val="1"/>
      <w:numFmt w:val="bullet"/>
      <w:lvlText w:val="•"/>
      <w:lvlJc w:val="left"/>
      <w:pPr>
        <w:ind w:left="6923" w:hanging="567"/>
      </w:pPr>
      <w:rPr>
        <w:rFonts w:hint="default"/>
      </w:rPr>
    </w:lvl>
    <w:lvl w:ilvl="8" w:tplc="23283D94">
      <w:start w:val="1"/>
      <w:numFmt w:val="bullet"/>
      <w:lvlText w:val="•"/>
      <w:lvlJc w:val="left"/>
      <w:pPr>
        <w:ind w:left="7815" w:hanging="567"/>
      </w:pPr>
      <w:rPr>
        <w:rFonts w:hint="default"/>
      </w:rPr>
    </w:lvl>
  </w:abstractNum>
  <w:abstractNum w:abstractNumId="46" w15:restartNumberingAfterBreak="0">
    <w:nsid w:val="22723AF5"/>
    <w:multiLevelType w:val="hybridMultilevel"/>
    <w:tmpl w:val="F8D48708"/>
    <w:lvl w:ilvl="0" w:tplc="0D3ADC5C">
      <w:start w:val="1"/>
      <w:numFmt w:val="bullet"/>
      <w:lvlText w:val="•"/>
      <w:lvlJc w:val="left"/>
      <w:pPr>
        <w:ind w:left="1384" w:hanging="400"/>
      </w:pPr>
      <w:rPr>
        <w:rFonts w:ascii="Times New Roman" w:eastAsia="Times New Roman" w:hAnsi="Times New Roman" w:hint="default"/>
        <w:sz w:val="22"/>
        <w:szCs w:val="22"/>
      </w:rPr>
    </w:lvl>
    <w:lvl w:ilvl="1" w:tplc="4642B850" w:tentative="1">
      <w:start w:val="1"/>
      <w:numFmt w:val="bullet"/>
      <w:lvlText w:val=""/>
      <w:lvlJc w:val="left"/>
      <w:pPr>
        <w:ind w:left="1784" w:hanging="400"/>
      </w:pPr>
      <w:rPr>
        <w:rFonts w:ascii="Wingdings" w:hAnsi="Wingdings" w:hint="default"/>
      </w:rPr>
    </w:lvl>
    <w:lvl w:ilvl="2" w:tplc="5D2028A0" w:tentative="1">
      <w:start w:val="1"/>
      <w:numFmt w:val="bullet"/>
      <w:lvlText w:val=""/>
      <w:lvlJc w:val="left"/>
      <w:pPr>
        <w:ind w:left="2184" w:hanging="400"/>
      </w:pPr>
      <w:rPr>
        <w:rFonts w:ascii="Wingdings" w:hAnsi="Wingdings" w:hint="default"/>
      </w:rPr>
    </w:lvl>
    <w:lvl w:ilvl="3" w:tplc="DB68D460" w:tentative="1">
      <w:start w:val="1"/>
      <w:numFmt w:val="bullet"/>
      <w:lvlText w:val=""/>
      <w:lvlJc w:val="left"/>
      <w:pPr>
        <w:ind w:left="2584" w:hanging="400"/>
      </w:pPr>
      <w:rPr>
        <w:rFonts w:ascii="Wingdings" w:hAnsi="Wingdings" w:hint="default"/>
      </w:rPr>
    </w:lvl>
    <w:lvl w:ilvl="4" w:tplc="DE04E48C" w:tentative="1">
      <w:start w:val="1"/>
      <w:numFmt w:val="bullet"/>
      <w:lvlText w:val=""/>
      <w:lvlJc w:val="left"/>
      <w:pPr>
        <w:ind w:left="2984" w:hanging="400"/>
      </w:pPr>
      <w:rPr>
        <w:rFonts w:ascii="Wingdings" w:hAnsi="Wingdings" w:hint="default"/>
      </w:rPr>
    </w:lvl>
    <w:lvl w:ilvl="5" w:tplc="4E3846B4" w:tentative="1">
      <w:start w:val="1"/>
      <w:numFmt w:val="bullet"/>
      <w:lvlText w:val=""/>
      <w:lvlJc w:val="left"/>
      <w:pPr>
        <w:ind w:left="3384" w:hanging="400"/>
      </w:pPr>
      <w:rPr>
        <w:rFonts w:ascii="Wingdings" w:hAnsi="Wingdings" w:hint="default"/>
      </w:rPr>
    </w:lvl>
    <w:lvl w:ilvl="6" w:tplc="C4F8E1B6" w:tentative="1">
      <w:start w:val="1"/>
      <w:numFmt w:val="bullet"/>
      <w:lvlText w:val=""/>
      <w:lvlJc w:val="left"/>
      <w:pPr>
        <w:ind w:left="3784" w:hanging="400"/>
      </w:pPr>
      <w:rPr>
        <w:rFonts w:ascii="Wingdings" w:hAnsi="Wingdings" w:hint="default"/>
      </w:rPr>
    </w:lvl>
    <w:lvl w:ilvl="7" w:tplc="88FA7448" w:tentative="1">
      <w:start w:val="1"/>
      <w:numFmt w:val="bullet"/>
      <w:lvlText w:val=""/>
      <w:lvlJc w:val="left"/>
      <w:pPr>
        <w:ind w:left="4184" w:hanging="400"/>
      </w:pPr>
      <w:rPr>
        <w:rFonts w:ascii="Wingdings" w:hAnsi="Wingdings" w:hint="default"/>
      </w:rPr>
    </w:lvl>
    <w:lvl w:ilvl="8" w:tplc="7CFAE858" w:tentative="1">
      <w:start w:val="1"/>
      <w:numFmt w:val="bullet"/>
      <w:lvlText w:val=""/>
      <w:lvlJc w:val="left"/>
      <w:pPr>
        <w:ind w:left="4584" w:hanging="400"/>
      </w:pPr>
      <w:rPr>
        <w:rFonts w:ascii="Wingdings" w:hAnsi="Wingdings" w:hint="default"/>
      </w:rPr>
    </w:lvl>
  </w:abstractNum>
  <w:abstractNum w:abstractNumId="47" w15:restartNumberingAfterBreak="0">
    <w:nsid w:val="24674764"/>
    <w:multiLevelType w:val="hybridMultilevel"/>
    <w:tmpl w:val="1C9844F0"/>
    <w:lvl w:ilvl="0" w:tplc="A9BAE8CE">
      <w:start w:val="1"/>
      <w:numFmt w:val="decimal"/>
      <w:lvlText w:val="%1."/>
      <w:lvlJc w:val="left"/>
      <w:pPr>
        <w:ind w:left="677" w:hanging="567"/>
      </w:pPr>
      <w:rPr>
        <w:rFonts w:ascii="Times New Roman" w:eastAsia="Times New Roman" w:hAnsi="Times New Roman" w:hint="default"/>
        <w:sz w:val="22"/>
        <w:szCs w:val="22"/>
      </w:rPr>
    </w:lvl>
    <w:lvl w:ilvl="1" w:tplc="B2EEDCD4">
      <w:start w:val="1"/>
      <w:numFmt w:val="bullet"/>
      <w:lvlText w:val="•"/>
      <w:lvlJc w:val="left"/>
      <w:pPr>
        <w:ind w:left="1569" w:hanging="567"/>
      </w:pPr>
      <w:rPr>
        <w:rFonts w:hint="default"/>
      </w:rPr>
    </w:lvl>
    <w:lvl w:ilvl="2" w:tplc="3C060C80">
      <w:start w:val="1"/>
      <w:numFmt w:val="bullet"/>
      <w:lvlText w:val="•"/>
      <w:lvlJc w:val="left"/>
      <w:pPr>
        <w:ind w:left="2462" w:hanging="567"/>
      </w:pPr>
      <w:rPr>
        <w:rFonts w:hint="default"/>
      </w:rPr>
    </w:lvl>
    <w:lvl w:ilvl="3" w:tplc="FE78EB48">
      <w:start w:val="1"/>
      <w:numFmt w:val="bullet"/>
      <w:lvlText w:val="•"/>
      <w:lvlJc w:val="left"/>
      <w:pPr>
        <w:ind w:left="3354" w:hanging="567"/>
      </w:pPr>
      <w:rPr>
        <w:rFonts w:hint="default"/>
      </w:rPr>
    </w:lvl>
    <w:lvl w:ilvl="4" w:tplc="D0D8A78A">
      <w:start w:val="1"/>
      <w:numFmt w:val="bullet"/>
      <w:lvlText w:val="•"/>
      <w:lvlJc w:val="left"/>
      <w:pPr>
        <w:ind w:left="4246" w:hanging="567"/>
      </w:pPr>
      <w:rPr>
        <w:rFonts w:hint="default"/>
      </w:rPr>
    </w:lvl>
    <w:lvl w:ilvl="5" w:tplc="C2B425BC">
      <w:start w:val="1"/>
      <w:numFmt w:val="bullet"/>
      <w:lvlText w:val="•"/>
      <w:lvlJc w:val="left"/>
      <w:pPr>
        <w:ind w:left="5138" w:hanging="567"/>
      </w:pPr>
      <w:rPr>
        <w:rFonts w:hint="default"/>
      </w:rPr>
    </w:lvl>
    <w:lvl w:ilvl="6" w:tplc="ED289CA2">
      <w:start w:val="1"/>
      <w:numFmt w:val="bullet"/>
      <w:lvlText w:val="•"/>
      <w:lvlJc w:val="left"/>
      <w:pPr>
        <w:ind w:left="6031" w:hanging="567"/>
      </w:pPr>
      <w:rPr>
        <w:rFonts w:hint="default"/>
      </w:rPr>
    </w:lvl>
    <w:lvl w:ilvl="7" w:tplc="90D4ABE8">
      <w:start w:val="1"/>
      <w:numFmt w:val="bullet"/>
      <w:lvlText w:val="•"/>
      <w:lvlJc w:val="left"/>
      <w:pPr>
        <w:ind w:left="6923" w:hanging="567"/>
      </w:pPr>
      <w:rPr>
        <w:rFonts w:hint="default"/>
      </w:rPr>
    </w:lvl>
    <w:lvl w:ilvl="8" w:tplc="81147608">
      <w:start w:val="1"/>
      <w:numFmt w:val="bullet"/>
      <w:lvlText w:val="•"/>
      <w:lvlJc w:val="left"/>
      <w:pPr>
        <w:ind w:left="7815" w:hanging="567"/>
      </w:pPr>
      <w:rPr>
        <w:rFonts w:hint="default"/>
      </w:rPr>
    </w:lvl>
  </w:abstractNum>
  <w:abstractNum w:abstractNumId="48" w15:restartNumberingAfterBreak="0">
    <w:nsid w:val="27065451"/>
    <w:multiLevelType w:val="hybridMultilevel"/>
    <w:tmpl w:val="3E3022CA"/>
    <w:lvl w:ilvl="0" w:tplc="6C0EC5B4">
      <w:start w:val="1"/>
      <w:numFmt w:val="decimal"/>
      <w:lvlText w:val="%1."/>
      <w:lvlJc w:val="left"/>
      <w:pPr>
        <w:ind w:left="471" w:hanging="360"/>
      </w:pPr>
      <w:rPr>
        <w:rFonts w:hint="default"/>
        <w:b/>
      </w:rPr>
    </w:lvl>
    <w:lvl w:ilvl="1" w:tplc="344CC4E2" w:tentative="1">
      <w:start w:val="1"/>
      <w:numFmt w:val="upperLetter"/>
      <w:lvlText w:val="%2."/>
      <w:lvlJc w:val="left"/>
      <w:pPr>
        <w:ind w:left="911" w:hanging="400"/>
      </w:pPr>
    </w:lvl>
    <w:lvl w:ilvl="2" w:tplc="AE7AF724" w:tentative="1">
      <w:start w:val="1"/>
      <w:numFmt w:val="lowerRoman"/>
      <w:lvlText w:val="%3."/>
      <w:lvlJc w:val="right"/>
      <w:pPr>
        <w:ind w:left="1311" w:hanging="400"/>
      </w:pPr>
    </w:lvl>
    <w:lvl w:ilvl="3" w:tplc="D17AB562" w:tentative="1">
      <w:start w:val="1"/>
      <w:numFmt w:val="decimal"/>
      <w:lvlText w:val="%4."/>
      <w:lvlJc w:val="left"/>
      <w:pPr>
        <w:ind w:left="1711" w:hanging="400"/>
      </w:pPr>
    </w:lvl>
    <w:lvl w:ilvl="4" w:tplc="1CF08F66" w:tentative="1">
      <w:start w:val="1"/>
      <w:numFmt w:val="upperLetter"/>
      <w:lvlText w:val="%5."/>
      <w:lvlJc w:val="left"/>
      <w:pPr>
        <w:ind w:left="2111" w:hanging="400"/>
      </w:pPr>
    </w:lvl>
    <w:lvl w:ilvl="5" w:tplc="E9A27C98" w:tentative="1">
      <w:start w:val="1"/>
      <w:numFmt w:val="lowerRoman"/>
      <w:lvlText w:val="%6."/>
      <w:lvlJc w:val="right"/>
      <w:pPr>
        <w:ind w:left="2511" w:hanging="400"/>
      </w:pPr>
    </w:lvl>
    <w:lvl w:ilvl="6" w:tplc="5A0E51AE" w:tentative="1">
      <w:start w:val="1"/>
      <w:numFmt w:val="decimal"/>
      <w:lvlText w:val="%7."/>
      <w:lvlJc w:val="left"/>
      <w:pPr>
        <w:ind w:left="2911" w:hanging="400"/>
      </w:pPr>
    </w:lvl>
    <w:lvl w:ilvl="7" w:tplc="0BF86942" w:tentative="1">
      <w:start w:val="1"/>
      <w:numFmt w:val="upperLetter"/>
      <w:lvlText w:val="%8."/>
      <w:lvlJc w:val="left"/>
      <w:pPr>
        <w:ind w:left="3311" w:hanging="400"/>
      </w:pPr>
    </w:lvl>
    <w:lvl w:ilvl="8" w:tplc="917482D4" w:tentative="1">
      <w:start w:val="1"/>
      <w:numFmt w:val="lowerRoman"/>
      <w:lvlText w:val="%9."/>
      <w:lvlJc w:val="right"/>
      <w:pPr>
        <w:ind w:left="3711" w:hanging="400"/>
      </w:pPr>
    </w:lvl>
  </w:abstractNum>
  <w:abstractNum w:abstractNumId="49" w15:restartNumberingAfterBreak="0">
    <w:nsid w:val="272D139A"/>
    <w:multiLevelType w:val="hybridMultilevel"/>
    <w:tmpl w:val="EFF42462"/>
    <w:lvl w:ilvl="0" w:tplc="A6404EE8">
      <w:start w:val="1"/>
      <w:numFmt w:val="decimal"/>
      <w:lvlText w:val="%1."/>
      <w:lvlJc w:val="left"/>
      <w:pPr>
        <w:ind w:left="471" w:hanging="360"/>
      </w:pPr>
      <w:rPr>
        <w:rFonts w:hint="default"/>
        <w:b/>
      </w:rPr>
    </w:lvl>
    <w:lvl w:ilvl="1" w:tplc="8D8CB81E" w:tentative="1">
      <w:start w:val="1"/>
      <w:numFmt w:val="upperLetter"/>
      <w:lvlText w:val="%2."/>
      <w:lvlJc w:val="left"/>
      <w:pPr>
        <w:ind w:left="911" w:hanging="400"/>
      </w:pPr>
    </w:lvl>
    <w:lvl w:ilvl="2" w:tplc="C964BF60" w:tentative="1">
      <w:start w:val="1"/>
      <w:numFmt w:val="lowerRoman"/>
      <w:lvlText w:val="%3."/>
      <w:lvlJc w:val="right"/>
      <w:pPr>
        <w:ind w:left="1311" w:hanging="400"/>
      </w:pPr>
    </w:lvl>
    <w:lvl w:ilvl="3" w:tplc="51325CD2" w:tentative="1">
      <w:start w:val="1"/>
      <w:numFmt w:val="decimal"/>
      <w:lvlText w:val="%4."/>
      <w:lvlJc w:val="left"/>
      <w:pPr>
        <w:ind w:left="1711" w:hanging="400"/>
      </w:pPr>
    </w:lvl>
    <w:lvl w:ilvl="4" w:tplc="367C96AE" w:tentative="1">
      <w:start w:val="1"/>
      <w:numFmt w:val="upperLetter"/>
      <w:lvlText w:val="%5."/>
      <w:lvlJc w:val="left"/>
      <w:pPr>
        <w:ind w:left="2111" w:hanging="400"/>
      </w:pPr>
    </w:lvl>
    <w:lvl w:ilvl="5" w:tplc="0D1419EC" w:tentative="1">
      <w:start w:val="1"/>
      <w:numFmt w:val="lowerRoman"/>
      <w:lvlText w:val="%6."/>
      <w:lvlJc w:val="right"/>
      <w:pPr>
        <w:ind w:left="2511" w:hanging="400"/>
      </w:pPr>
    </w:lvl>
    <w:lvl w:ilvl="6" w:tplc="BB9E2A10" w:tentative="1">
      <w:start w:val="1"/>
      <w:numFmt w:val="decimal"/>
      <w:lvlText w:val="%7."/>
      <w:lvlJc w:val="left"/>
      <w:pPr>
        <w:ind w:left="2911" w:hanging="400"/>
      </w:pPr>
    </w:lvl>
    <w:lvl w:ilvl="7" w:tplc="1F26430E" w:tentative="1">
      <w:start w:val="1"/>
      <w:numFmt w:val="upperLetter"/>
      <w:lvlText w:val="%8."/>
      <w:lvlJc w:val="left"/>
      <w:pPr>
        <w:ind w:left="3311" w:hanging="400"/>
      </w:pPr>
    </w:lvl>
    <w:lvl w:ilvl="8" w:tplc="06C03E1C" w:tentative="1">
      <w:start w:val="1"/>
      <w:numFmt w:val="lowerRoman"/>
      <w:lvlText w:val="%9."/>
      <w:lvlJc w:val="right"/>
      <w:pPr>
        <w:ind w:left="3711" w:hanging="400"/>
      </w:pPr>
    </w:lvl>
  </w:abstractNum>
  <w:abstractNum w:abstractNumId="50" w15:restartNumberingAfterBreak="0">
    <w:nsid w:val="283362CE"/>
    <w:multiLevelType w:val="hybridMultilevel"/>
    <w:tmpl w:val="7346B24E"/>
    <w:lvl w:ilvl="0" w:tplc="D6007A60">
      <w:start w:val="1"/>
      <w:numFmt w:val="decimal"/>
      <w:lvlText w:val="%1."/>
      <w:lvlJc w:val="left"/>
      <w:pPr>
        <w:ind w:left="111" w:hanging="562"/>
      </w:pPr>
      <w:rPr>
        <w:rFonts w:ascii="Times New Roman" w:eastAsia="Times New Roman" w:hAnsi="Times New Roman" w:hint="default"/>
        <w:b/>
        <w:bCs/>
        <w:sz w:val="22"/>
        <w:szCs w:val="22"/>
      </w:rPr>
    </w:lvl>
    <w:lvl w:ilvl="1" w:tplc="2BDC0DFC">
      <w:start w:val="1"/>
      <w:numFmt w:val="bullet"/>
      <w:lvlText w:val=""/>
      <w:lvlJc w:val="left"/>
      <w:pPr>
        <w:ind w:left="831" w:hanging="360"/>
      </w:pPr>
      <w:rPr>
        <w:rFonts w:ascii="Symbol" w:eastAsia="Symbol" w:hAnsi="Symbol" w:hint="default"/>
        <w:sz w:val="22"/>
        <w:szCs w:val="22"/>
      </w:rPr>
    </w:lvl>
    <w:lvl w:ilvl="2" w:tplc="C69E4F20">
      <w:start w:val="1"/>
      <w:numFmt w:val="bullet"/>
      <w:lvlText w:val=""/>
      <w:lvlJc w:val="left"/>
      <w:pPr>
        <w:ind w:left="1551" w:hanging="360"/>
      </w:pPr>
      <w:rPr>
        <w:rFonts w:ascii="Symbol" w:eastAsia="Symbol" w:hAnsi="Symbol" w:hint="default"/>
        <w:sz w:val="22"/>
        <w:szCs w:val="22"/>
      </w:rPr>
    </w:lvl>
    <w:lvl w:ilvl="3" w:tplc="D2DAB5CC">
      <w:start w:val="1"/>
      <w:numFmt w:val="bullet"/>
      <w:lvlText w:val="•"/>
      <w:lvlJc w:val="left"/>
      <w:pPr>
        <w:ind w:left="1551" w:hanging="360"/>
      </w:pPr>
      <w:rPr>
        <w:rFonts w:hint="default"/>
      </w:rPr>
    </w:lvl>
    <w:lvl w:ilvl="4" w:tplc="DA78ADB6">
      <w:start w:val="1"/>
      <w:numFmt w:val="bullet"/>
      <w:lvlText w:val="•"/>
      <w:lvlJc w:val="left"/>
      <w:pPr>
        <w:ind w:left="2695" w:hanging="360"/>
      </w:pPr>
      <w:rPr>
        <w:rFonts w:hint="default"/>
      </w:rPr>
    </w:lvl>
    <w:lvl w:ilvl="5" w:tplc="D188D9CA">
      <w:start w:val="1"/>
      <w:numFmt w:val="bullet"/>
      <w:lvlText w:val="•"/>
      <w:lvlJc w:val="left"/>
      <w:pPr>
        <w:ind w:left="3839" w:hanging="360"/>
      </w:pPr>
      <w:rPr>
        <w:rFonts w:hint="default"/>
      </w:rPr>
    </w:lvl>
    <w:lvl w:ilvl="6" w:tplc="A93CD476">
      <w:start w:val="1"/>
      <w:numFmt w:val="bullet"/>
      <w:lvlText w:val="•"/>
      <w:lvlJc w:val="left"/>
      <w:pPr>
        <w:ind w:left="4983" w:hanging="360"/>
      </w:pPr>
      <w:rPr>
        <w:rFonts w:hint="default"/>
      </w:rPr>
    </w:lvl>
    <w:lvl w:ilvl="7" w:tplc="464AD018">
      <w:start w:val="1"/>
      <w:numFmt w:val="bullet"/>
      <w:lvlText w:val="•"/>
      <w:lvlJc w:val="left"/>
      <w:pPr>
        <w:ind w:left="6127" w:hanging="360"/>
      </w:pPr>
      <w:rPr>
        <w:rFonts w:hint="default"/>
      </w:rPr>
    </w:lvl>
    <w:lvl w:ilvl="8" w:tplc="D1CE45F8">
      <w:start w:val="1"/>
      <w:numFmt w:val="bullet"/>
      <w:lvlText w:val="•"/>
      <w:lvlJc w:val="left"/>
      <w:pPr>
        <w:ind w:left="7271" w:hanging="360"/>
      </w:pPr>
      <w:rPr>
        <w:rFonts w:hint="default"/>
      </w:rPr>
    </w:lvl>
  </w:abstractNum>
  <w:abstractNum w:abstractNumId="51" w15:restartNumberingAfterBreak="0">
    <w:nsid w:val="29F72400"/>
    <w:multiLevelType w:val="hybridMultilevel"/>
    <w:tmpl w:val="0246885C"/>
    <w:lvl w:ilvl="0" w:tplc="D84678E6">
      <w:start w:val="1"/>
      <w:numFmt w:val="lowerLetter"/>
      <w:lvlText w:val="%1"/>
      <w:lvlJc w:val="left"/>
      <w:pPr>
        <w:ind w:hanging="360"/>
      </w:pPr>
      <w:rPr>
        <w:rFonts w:ascii="Times New Roman" w:eastAsia="Times New Roman" w:hAnsi="Times New Roman" w:hint="default"/>
        <w:position w:val="6"/>
        <w:sz w:val="16"/>
        <w:szCs w:val="16"/>
      </w:rPr>
    </w:lvl>
    <w:lvl w:ilvl="1" w:tplc="6D20EB3E">
      <w:start w:val="1"/>
      <w:numFmt w:val="bullet"/>
      <w:lvlText w:val="•"/>
      <w:lvlJc w:val="left"/>
      <w:rPr>
        <w:rFonts w:hint="default"/>
      </w:rPr>
    </w:lvl>
    <w:lvl w:ilvl="2" w:tplc="55EA4282">
      <w:start w:val="1"/>
      <w:numFmt w:val="bullet"/>
      <w:lvlText w:val="•"/>
      <w:lvlJc w:val="left"/>
      <w:rPr>
        <w:rFonts w:hint="default"/>
      </w:rPr>
    </w:lvl>
    <w:lvl w:ilvl="3" w:tplc="EC7E2142">
      <w:start w:val="1"/>
      <w:numFmt w:val="bullet"/>
      <w:lvlText w:val="•"/>
      <w:lvlJc w:val="left"/>
      <w:rPr>
        <w:rFonts w:hint="default"/>
      </w:rPr>
    </w:lvl>
    <w:lvl w:ilvl="4" w:tplc="6180D7B4">
      <w:start w:val="1"/>
      <w:numFmt w:val="bullet"/>
      <w:lvlText w:val="•"/>
      <w:lvlJc w:val="left"/>
      <w:rPr>
        <w:rFonts w:hint="default"/>
      </w:rPr>
    </w:lvl>
    <w:lvl w:ilvl="5" w:tplc="D5AEEAAE">
      <w:start w:val="1"/>
      <w:numFmt w:val="bullet"/>
      <w:lvlText w:val="•"/>
      <w:lvlJc w:val="left"/>
      <w:rPr>
        <w:rFonts w:hint="default"/>
      </w:rPr>
    </w:lvl>
    <w:lvl w:ilvl="6" w:tplc="D7E4ED1A">
      <w:start w:val="1"/>
      <w:numFmt w:val="bullet"/>
      <w:lvlText w:val="•"/>
      <w:lvlJc w:val="left"/>
      <w:rPr>
        <w:rFonts w:hint="default"/>
      </w:rPr>
    </w:lvl>
    <w:lvl w:ilvl="7" w:tplc="A832F54A">
      <w:start w:val="1"/>
      <w:numFmt w:val="bullet"/>
      <w:lvlText w:val="•"/>
      <w:lvlJc w:val="left"/>
      <w:rPr>
        <w:rFonts w:hint="default"/>
      </w:rPr>
    </w:lvl>
    <w:lvl w:ilvl="8" w:tplc="BB0A20FE">
      <w:start w:val="1"/>
      <w:numFmt w:val="bullet"/>
      <w:lvlText w:val="•"/>
      <w:lvlJc w:val="left"/>
      <w:rPr>
        <w:rFonts w:hint="default"/>
      </w:rPr>
    </w:lvl>
  </w:abstractNum>
  <w:abstractNum w:abstractNumId="52" w15:restartNumberingAfterBreak="0">
    <w:nsid w:val="2B0E05AD"/>
    <w:multiLevelType w:val="hybridMultilevel"/>
    <w:tmpl w:val="CE5C424C"/>
    <w:lvl w:ilvl="0" w:tplc="98903144">
      <w:start w:val="1"/>
      <w:numFmt w:val="upperLetter"/>
      <w:lvlText w:val="%1."/>
      <w:lvlJc w:val="left"/>
      <w:pPr>
        <w:ind w:hanging="550"/>
      </w:pPr>
      <w:rPr>
        <w:rFonts w:ascii="Times New Roman" w:eastAsia="Times New Roman" w:hAnsi="Times New Roman" w:hint="default"/>
        <w:b/>
        <w:bCs/>
        <w:spacing w:val="-2"/>
        <w:sz w:val="22"/>
        <w:szCs w:val="22"/>
      </w:rPr>
    </w:lvl>
    <w:lvl w:ilvl="1" w:tplc="8580273A">
      <w:start w:val="1"/>
      <w:numFmt w:val="bullet"/>
      <w:lvlText w:val=""/>
      <w:lvlJc w:val="left"/>
      <w:pPr>
        <w:ind w:hanging="360"/>
      </w:pPr>
      <w:rPr>
        <w:rFonts w:ascii="Symbol" w:eastAsia="Symbol" w:hAnsi="Symbol" w:hint="default"/>
        <w:sz w:val="22"/>
        <w:szCs w:val="22"/>
      </w:rPr>
    </w:lvl>
    <w:lvl w:ilvl="2" w:tplc="349A3E58">
      <w:start w:val="1"/>
      <w:numFmt w:val="bullet"/>
      <w:lvlText w:val="•"/>
      <w:lvlJc w:val="left"/>
      <w:rPr>
        <w:rFonts w:hint="default"/>
      </w:rPr>
    </w:lvl>
    <w:lvl w:ilvl="3" w:tplc="1EB0CC6C">
      <w:start w:val="1"/>
      <w:numFmt w:val="bullet"/>
      <w:lvlText w:val="•"/>
      <w:lvlJc w:val="left"/>
      <w:rPr>
        <w:rFonts w:hint="default"/>
      </w:rPr>
    </w:lvl>
    <w:lvl w:ilvl="4" w:tplc="0434A718">
      <w:start w:val="1"/>
      <w:numFmt w:val="bullet"/>
      <w:lvlText w:val="•"/>
      <w:lvlJc w:val="left"/>
      <w:rPr>
        <w:rFonts w:hint="default"/>
      </w:rPr>
    </w:lvl>
    <w:lvl w:ilvl="5" w:tplc="B088D9E6">
      <w:start w:val="1"/>
      <w:numFmt w:val="bullet"/>
      <w:lvlText w:val="•"/>
      <w:lvlJc w:val="left"/>
      <w:rPr>
        <w:rFonts w:hint="default"/>
      </w:rPr>
    </w:lvl>
    <w:lvl w:ilvl="6" w:tplc="0EF8C1BE">
      <w:start w:val="1"/>
      <w:numFmt w:val="bullet"/>
      <w:lvlText w:val="•"/>
      <w:lvlJc w:val="left"/>
      <w:rPr>
        <w:rFonts w:hint="default"/>
      </w:rPr>
    </w:lvl>
    <w:lvl w:ilvl="7" w:tplc="1BBC7A10">
      <w:start w:val="1"/>
      <w:numFmt w:val="bullet"/>
      <w:lvlText w:val="•"/>
      <w:lvlJc w:val="left"/>
      <w:rPr>
        <w:rFonts w:hint="default"/>
      </w:rPr>
    </w:lvl>
    <w:lvl w:ilvl="8" w:tplc="4ACE59F4">
      <w:start w:val="1"/>
      <w:numFmt w:val="bullet"/>
      <w:lvlText w:val="•"/>
      <w:lvlJc w:val="left"/>
      <w:rPr>
        <w:rFonts w:hint="default"/>
      </w:rPr>
    </w:lvl>
  </w:abstractNum>
  <w:abstractNum w:abstractNumId="53" w15:restartNumberingAfterBreak="0">
    <w:nsid w:val="2C1721E4"/>
    <w:multiLevelType w:val="hybridMultilevel"/>
    <w:tmpl w:val="DF36A22E"/>
    <w:lvl w:ilvl="0" w:tplc="FEDA803A">
      <w:start w:val="1"/>
      <w:numFmt w:val="bullet"/>
      <w:lvlText w:val=""/>
      <w:lvlJc w:val="left"/>
      <w:pPr>
        <w:ind w:left="942" w:hanging="360"/>
      </w:pPr>
      <w:rPr>
        <w:rFonts w:ascii="Symbol" w:eastAsia="Symbol" w:hAnsi="Symbol" w:hint="default"/>
        <w:sz w:val="22"/>
        <w:szCs w:val="22"/>
      </w:rPr>
    </w:lvl>
    <w:lvl w:ilvl="1" w:tplc="D0307D7C">
      <w:start w:val="1"/>
      <w:numFmt w:val="bullet"/>
      <w:lvlText w:val="•"/>
      <w:lvlJc w:val="left"/>
      <w:pPr>
        <w:ind w:left="1488" w:hanging="360"/>
      </w:pPr>
      <w:rPr>
        <w:rFonts w:hint="default"/>
      </w:rPr>
    </w:lvl>
    <w:lvl w:ilvl="2" w:tplc="6F44F0E6">
      <w:start w:val="1"/>
      <w:numFmt w:val="bullet"/>
      <w:lvlText w:val="•"/>
      <w:lvlJc w:val="left"/>
      <w:pPr>
        <w:ind w:left="2035" w:hanging="360"/>
      </w:pPr>
      <w:rPr>
        <w:rFonts w:hint="default"/>
      </w:rPr>
    </w:lvl>
    <w:lvl w:ilvl="3" w:tplc="5206183C">
      <w:start w:val="1"/>
      <w:numFmt w:val="bullet"/>
      <w:lvlText w:val="•"/>
      <w:lvlJc w:val="left"/>
      <w:pPr>
        <w:ind w:left="2582" w:hanging="360"/>
      </w:pPr>
      <w:rPr>
        <w:rFonts w:hint="default"/>
      </w:rPr>
    </w:lvl>
    <w:lvl w:ilvl="4" w:tplc="021643BC">
      <w:start w:val="1"/>
      <w:numFmt w:val="bullet"/>
      <w:lvlText w:val="•"/>
      <w:lvlJc w:val="left"/>
      <w:pPr>
        <w:ind w:left="3128" w:hanging="360"/>
      </w:pPr>
      <w:rPr>
        <w:rFonts w:hint="default"/>
      </w:rPr>
    </w:lvl>
    <w:lvl w:ilvl="5" w:tplc="1878F918">
      <w:start w:val="1"/>
      <w:numFmt w:val="bullet"/>
      <w:lvlText w:val="•"/>
      <w:lvlJc w:val="left"/>
      <w:pPr>
        <w:ind w:left="3675" w:hanging="360"/>
      </w:pPr>
      <w:rPr>
        <w:rFonts w:hint="default"/>
      </w:rPr>
    </w:lvl>
    <w:lvl w:ilvl="6" w:tplc="945277E0">
      <w:start w:val="1"/>
      <w:numFmt w:val="bullet"/>
      <w:lvlText w:val="•"/>
      <w:lvlJc w:val="left"/>
      <w:pPr>
        <w:ind w:left="4221" w:hanging="360"/>
      </w:pPr>
      <w:rPr>
        <w:rFonts w:hint="default"/>
      </w:rPr>
    </w:lvl>
    <w:lvl w:ilvl="7" w:tplc="4D4CC518">
      <w:start w:val="1"/>
      <w:numFmt w:val="bullet"/>
      <w:lvlText w:val="•"/>
      <w:lvlJc w:val="left"/>
      <w:pPr>
        <w:ind w:left="4768" w:hanging="360"/>
      </w:pPr>
      <w:rPr>
        <w:rFonts w:hint="default"/>
      </w:rPr>
    </w:lvl>
    <w:lvl w:ilvl="8" w:tplc="E5DCA45A">
      <w:start w:val="1"/>
      <w:numFmt w:val="bullet"/>
      <w:lvlText w:val="•"/>
      <w:lvlJc w:val="left"/>
      <w:pPr>
        <w:ind w:left="5315" w:hanging="360"/>
      </w:pPr>
      <w:rPr>
        <w:rFonts w:hint="default"/>
      </w:rPr>
    </w:lvl>
  </w:abstractNum>
  <w:abstractNum w:abstractNumId="54" w15:restartNumberingAfterBreak="0">
    <w:nsid w:val="2DD63976"/>
    <w:multiLevelType w:val="hybridMultilevel"/>
    <w:tmpl w:val="6ABE77EC"/>
    <w:lvl w:ilvl="0" w:tplc="B184B19A">
      <w:start w:val="1"/>
      <w:numFmt w:val="bullet"/>
      <w:lvlText w:val=""/>
      <w:lvlJc w:val="left"/>
      <w:pPr>
        <w:ind w:left="677" w:hanging="540"/>
      </w:pPr>
      <w:rPr>
        <w:rFonts w:ascii="Symbol" w:eastAsia="Symbol" w:hAnsi="Symbol" w:hint="default"/>
        <w:sz w:val="22"/>
        <w:szCs w:val="22"/>
      </w:rPr>
    </w:lvl>
    <w:lvl w:ilvl="1" w:tplc="17C2B138">
      <w:start w:val="1"/>
      <w:numFmt w:val="bullet"/>
      <w:lvlText w:val=""/>
      <w:lvlJc w:val="left"/>
      <w:pPr>
        <w:ind w:left="111" w:hanging="360"/>
      </w:pPr>
      <w:rPr>
        <w:rFonts w:ascii="Symbol" w:eastAsia="Symbol" w:hAnsi="Symbol" w:hint="default"/>
        <w:sz w:val="22"/>
        <w:szCs w:val="22"/>
      </w:rPr>
    </w:lvl>
    <w:lvl w:ilvl="2" w:tplc="5D0E653C">
      <w:start w:val="1"/>
      <w:numFmt w:val="bullet"/>
      <w:lvlText w:val=""/>
      <w:lvlJc w:val="left"/>
      <w:pPr>
        <w:ind w:left="803" w:hanging="540"/>
      </w:pPr>
      <w:rPr>
        <w:rFonts w:ascii="Symbol" w:eastAsia="Symbol" w:hAnsi="Symbol" w:hint="default"/>
        <w:sz w:val="22"/>
        <w:szCs w:val="22"/>
      </w:rPr>
    </w:lvl>
    <w:lvl w:ilvl="3" w:tplc="0AF6D186">
      <w:start w:val="1"/>
      <w:numFmt w:val="bullet"/>
      <w:lvlText w:val="•"/>
      <w:lvlJc w:val="left"/>
      <w:pPr>
        <w:ind w:left="743" w:hanging="540"/>
      </w:pPr>
      <w:rPr>
        <w:rFonts w:hint="default"/>
      </w:rPr>
    </w:lvl>
    <w:lvl w:ilvl="4" w:tplc="A5AC4AEA">
      <w:start w:val="1"/>
      <w:numFmt w:val="bullet"/>
      <w:lvlText w:val="•"/>
      <w:lvlJc w:val="left"/>
      <w:pPr>
        <w:ind w:left="803" w:hanging="540"/>
      </w:pPr>
      <w:rPr>
        <w:rFonts w:hint="default"/>
      </w:rPr>
    </w:lvl>
    <w:lvl w:ilvl="5" w:tplc="6F2A2E42">
      <w:start w:val="1"/>
      <w:numFmt w:val="bullet"/>
      <w:lvlText w:val="•"/>
      <w:lvlJc w:val="left"/>
      <w:pPr>
        <w:ind w:left="831" w:hanging="540"/>
      </w:pPr>
      <w:rPr>
        <w:rFonts w:hint="default"/>
      </w:rPr>
    </w:lvl>
    <w:lvl w:ilvl="6" w:tplc="FD60DD52">
      <w:start w:val="1"/>
      <w:numFmt w:val="bullet"/>
      <w:lvlText w:val="•"/>
      <w:lvlJc w:val="left"/>
      <w:pPr>
        <w:ind w:left="2564" w:hanging="540"/>
      </w:pPr>
      <w:rPr>
        <w:rFonts w:hint="default"/>
      </w:rPr>
    </w:lvl>
    <w:lvl w:ilvl="7" w:tplc="149E7026">
      <w:start w:val="1"/>
      <w:numFmt w:val="bullet"/>
      <w:lvlText w:val="•"/>
      <w:lvlJc w:val="left"/>
      <w:pPr>
        <w:ind w:left="4298" w:hanging="540"/>
      </w:pPr>
      <w:rPr>
        <w:rFonts w:hint="default"/>
      </w:rPr>
    </w:lvl>
    <w:lvl w:ilvl="8" w:tplc="03CA9E6A">
      <w:start w:val="1"/>
      <w:numFmt w:val="bullet"/>
      <w:lvlText w:val="•"/>
      <w:lvlJc w:val="left"/>
      <w:pPr>
        <w:ind w:left="6032" w:hanging="540"/>
      </w:pPr>
      <w:rPr>
        <w:rFonts w:hint="default"/>
      </w:rPr>
    </w:lvl>
  </w:abstractNum>
  <w:abstractNum w:abstractNumId="55" w15:restartNumberingAfterBreak="0">
    <w:nsid w:val="2DEB42C4"/>
    <w:multiLevelType w:val="hybridMultilevel"/>
    <w:tmpl w:val="3D1E2D84"/>
    <w:lvl w:ilvl="0" w:tplc="55B21A10">
      <w:start w:val="1"/>
      <w:numFmt w:val="bullet"/>
      <w:lvlText w:val=""/>
      <w:lvlJc w:val="left"/>
      <w:pPr>
        <w:ind w:left="313" w:hanging="180"/>
      </w:pPr>
      <w:rPr>
        <w:rFonts w:ascii="Symbol" w:eastAsia="Symbol" w:hAnsi="Symbol" w:hint="default"/>
        <w:sz w:val="22"/>
        <w:szCs w:val="22"/>
      </w:rPr>
    </w:lvl>
    <w:lvl w:ilvl="1" w:tplc="183E7E86">
      <w:start w:val="1"/>
      <w:numFmt w:val="bullet"/>
      <w:lvlText w:val="•"/>
      <w:lvlJc w:val="left"/>
      <w:pPr>
        <w:ind w:left="965" w:hanging="180"/>
      </w:pPr>
      <w:rPr>
        <w:rFonts w:hint="default"/>
      </w:rPr>
    </w:lvl>
    <w:lvl w:ilvl="2" w:tplc="72905F3A">
      <w:start w:val="1"/>
      <w:numFmt w:val="bullet"/>
      <w:lvlText w:val="•"/>
      <w:lvlJc w:val="left"/>
      <w:pPr>
        <w:ind w:left="1617" w:hanging="180"/>
      </w:pPr>
      <w:rPr>
        <w:rFonts w:hint="default"/>
      </w:rPr>
    </w:lvl>
    <w:lvl w:ilvl="3" w:tplc="AACA9052">
      <w:start w:val="1"/>
      <w:numFmt w:val="bullet"/>
      <w:lvlText w:val="•"/>
      <w:lvlJc w:val="left"/>
      <w:pPr>
        <w:ind w:left="2270" w:hanging="180"/>
      </w:pPr>
      <w:rPr>
        <w:rFonts w:hint="default"/>
      </w:rPr>
    </w:lvl>
    <w:lvl w:ilvl="4" w:tplc="46323CFA">
      <w:start w:val="1"/>
      <w:numFmt w:val="bullet"/>
      <w:lvlText w:val="•"/>
      <w:lvlJc w:val="left"/>
      <w:pPr>
        <w:ind w:left="2922" w:hanging="180"/>
      </w:pPr>
      <w:rPr>
        <w:rFonts w:hint="default"/>
      </w:rPr>
    </w:lvl>
    <w:lvl w:ilvl="5" w:tplc="A06AA5A6">
      <w:start w:val="1"/>
      <w:numFmt w:val="bullet"/>
      <w:lvlText w:val="•"/>
      <w:lvlJc w:val="left"/>
      <w:pPr>
        <w:ind w:left="3574" w:hanging="180"/>
      </w:pPr>
      <w:rPr>
        <w:rFonts w:hint="default"/>
      </w:rPr>
    </w:lvl>
    <w:lvl w:ilvl="6" w:tplc="6792EA4E">
      <w:start w:val="1"/>
      <w:numFmt w:val="bullet"/>
      <w:lvlText w:val="•"/>
      <w:lvlJc w:val="left"/>
      <w:pPr>
        <w:ind w:left="4226" w:hanging="180"/>
      </w:pPr>
      <w:rPr>
        <w:rFonts w:hint="default"/>
      </w:rPr>
    </w:lvl>
    <w:lvl w:ilvl="7" w:tplc="6E2AD9DC">
      <w:start w:val="1"/>
      <w:numFmt w:val="bullet"/>
      <w:lvlText w:val="•"/>
      <w:lvlJc w:val="left"/>
      <w:pPr>
        <w:ind w:left="4878" w:hanging="180"/>
      </w:pPr>
      <w:rPr>
        <w:rFonts w:hint="default"/>
      </w:rPr>
    </w:lvl>
    <w:lvl w:ilvl="8" w:tplc="5276D38C">
      <w:start w:val="1"/>
      <w:numFmt w:val="bullet"/>
      <w:lvlText w:val="•"/>
      <w:lvlJc w:val="left"/>
      <w:pPr>
        <w:ind w:left="5531" w:hanging="180"/>
      </w:pPr>
      <w:rPr>
        <w:rFonts w:hint="default"/>
      </w:rPr>
    </w:lvl>
  </w:abstractNum>
  <w:abstractNum w:abstractNumId="56" w15:restartNumberingAfterBreak="0">
    <w:nsid w:val="2DF82CFC"/>
    <w:multiLevelType w:val="hybridMultilevel"/>
    <w:tmpl w:val="1AE63DD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7" w15:restartNumberingAfterBreak="0">
    <w:nsid w:val="30D639B5"/>
    <w:multiLevelType w:val="hybridMultilevel"/>
    <w:tmpl w:val="05F6FC12"/>
    <w:lvl w:ilvl="0" w:tplc="5958F8A0">
      <w:start w:val="1"/>
      <w:numFmt w:val="decimal"/>
      <w:lvlText w:val="%1."/>
      <w:lvlJc w:val="left"/>
      <w:pPr>
        <w:ind w:left="111" w:hanging="562"/>
      </w:pPr>
      <w:rPr>
        <w:rFonts w:ascii="Times New Roman" w:eastAsia="Times New Roman" w:hAnsi="Times New Roman" w:hint="default"/>
        <w:b/>
        <w:bCs/>
        <w:sz w:val="22"/>
        <w:szCs w:val="22"/>
      </w:rPr>
    </w:lvl>
    <w:lvl w:ilvl="1" w:tplc="A7169590">
      <w:start w:val="1"/>
      <w:numFmt w:val="bullet"/>
      <w:lvlText w:val=""/>
      <w:lvlJc w:val="left"/>
      <w:pPr>
        <w:ind w:left="831" w:hanging="360"/>
      </w:pPr>
      <w:rPr>
        <w:rFonts w:ascii="Symbol" w:eastAsia="Symbol" w:hAnsi="Symbol" w:hint="default"/>
        <w:sz w:val="22"/>
        <w:szCs w:val="22"/>
      </w:rPr>
    </w:lvl>
    <w:lvl w:ilvl="2" w:tplc="2CDEA728">
      <w:start w:val="1"/>
      <w:numFmt w:val="bullet"/>
      <w:lvlText w:val=""/>
      <w:lvlJc w:val="left"/>
      <w:pPr>
        <w:ind w:left="1551" w:hanging="360"/>
      </w:pPr>
      <w:rPr>
        <w:rFonts w:ascii="Symbol" w:eastAsia="Symbol" w:hAnsi="Symbol" w:hint="default"/>
        <w:sz w:val="22"/>
        <w:szCs w:val="22"/>
      </w:rPr>
    </w:lvl>
    <w:lvl w:ilvl="3" w:tplc="404E46C0">
      <w:start w:val="1"/>
      <w:numFmt w:val="bullet"/>
      <w:lvlText w:val="•"/>
      <w:lvlJc w:val="left"/>
      <w:pPr>
        <w:ind w:left="1551" w:hanging="360"/>
      </w:pPr>
      <w:rPr>
        <w:rFonts w:hint="default"/>
      </w:rPr>
    </w:lvl>
    <w:lvl w:ilvl="4" w:tplc="80781C20">
      <w:start w:val="1"/>
      <w:numFmt w:val="bullet"/>
      <w:lvlText w:val="•"/>
      <w:lvlJc w:val="left"/>
      <w:pPr>
        <w:ind w:left="2692" w:hanging="360"/>
      </w:pPr>
      <w:rPr>
        <w:rFonts w:hint="default"/>
      </w:rPr>
    </w:lvl>
    <w:lvl w:ilvl="5" w:tplc="81203ED0">
      <w:start w:val="1"/>
      <w:numFmt w:val="bullet"/>
      <w:lvlText w:val="•"/>
      <w:lvlJc w:val="left"/>
      <w:pPr>
        <w:ind w:left="3833" w:hanging="360"/>
      </w:pPr>
      <w:rPr>
        <w:rFonts w:hint="default"/>
      </w:rPr>
    </w:lvl>
    <w:lvl w:ilvl="6" w:tplc="270EAD9E">
      <w:start w:val="1"/>
      <w:numFmt w:val="bullet"/>
      <w:lvlText w:val="•"/>
      <w:lvlJc w:val="left"/>
      <w:pPr>
        <w:ind w:left="4974" w:hanging="360"/>
      </w:pPr>
      <w:rPr>
        <w:rFonts w:hint="default"/>
      </w:rPr>
    </w:lvl>
    <w:lvl w:ilvl="7" w:tplc="FE14D462">
      <w:start w:val="1"/>
      <w:numFmt w:val="bullet"/>
      <w:lvlText w:val="•"/>
      <w:lvlJc w:val="left"/>
      <w:pPr>
        <w:ind w:left="6116" w:hanging="360"/>
      </w:pPr>
      <w:rPr>
        <w:rFonts w:hint="default"/>
      </w:rPr>
    </w:lvl>
    <w:lvl w:ilvl="8" w:tplc="5B4AADDC">
      <w:start w:val="1"/>
      <w:numFmt w:val="bullet"/>
      <w:lvlText w:val="•"/>
      <w:lvlJc w:val="left"/>
      <w:pPr>
        <w:ind w:left="7257" w:hanging="360"/>
      </w:pPr>
      <w:rPr>
        <w:rFonts w:hint="default"/>
      </w:rPr>
    </w:lvl>
  </w:abstractNum>
  <w:abstractNum w:abstractNumId="58"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9" w15:restartNumberingAfterBreak="0">
    <w:nsid w:val="32BA3D7F"/>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0" w15:restartNumberingAfterBreak="0">
    <w:nsid w:val="337B2914"/>
    <w:multiLevelType w:val="hybridMultilevel"/>
    <w:tmpl w:val="5F4A02AC"/>
    <w:lvl w:ilvl="0" w:tplc="26CA575E">
      <w:start w:val="1"/>
      <w:numFmt w:val="bullet"/>
      <w:lvlText w:val=""/>
      <w:lvlJc w:val="left"/>
      <w:pPr>
        <w:ind w:hanging="180"/>
      </w:pPr>
      <w:rPr>
        <w:rFonts w:ascii="Symbol" w:eastAsia="Symbol" w:hAnsi="Symbol" w:hint="default"/>
        <w:sz w:val="22"/>
        <w:szCs w:val="22"/>
      </w:rPr>
    </w:lvl>
    <w:lvl w:ilvl="1" w:tplc="3D9626EE">
      <w:start w:val="1"/>
      <w:numFmt w:val="bullet"/>
      <w:lvlText w:val="•"/>
      <w:lvlJc w:val="left"/>
      <w:rPr>
        <w:rFonts w:hint="default"/>
      </w:rPr>
    </w:lvl>
    <w:lvl w:ilvl="2" w:tplc="E2BC075E">
      <w:start w:val="1"/>
      <w:numFmt w:val="bullet"/>
      <w:lvlText w:val="•"/>
      <w:lvlJc w:val="left"/>
      <w:rPr>
        <w:rFonts w:hint="default"/>
      </w:rPr>
    </w:lvl>
    <w:lvl w:ilvl="3" w:tplc="1D70C396">
      <w:start w:val="1"/>
      <w:numFmt w:val="bullet"/>
      <w:lvlText w:val="•"/>
      <w:lvlJc w:val="left"/>
      <w:rPr>
        <w:rFonts w:hint="default"/>
      </w:rPr>
    </w:lvl>
    <w:lvl w:ilvl="4" w:tplc="E1C86D78">
      <w:start w:val="1"/>
      <w:numFmt w:val="bullet"/>
      <w:lvlText w:val="•"/>
      <w:lvlJc w:val="left"/>
      <w:rPr>
        <w:rFonts w:hint="default"/>
      </w:rPr>
    </w:lvl>
    <w:lvl w:ilvl="5" w:tplc="08748BAA">
      <w:start w:val="1"/>
      <w:numFmt w:val="bullet"/>
      <w:lvlText w:val="•"/>
      <w:lvlJc w:val="left"/>
      <w:rPr>
        <w:rFonts w:hint="default"/>
      </w:rPr>
    </w:lvl>
    <w:lvl w:ilvl="6" w:tplc="710E9CE6">
      <w:start w:val="1"/>
      <w:numFmt w:val="bullet"/>
      <w:lvlText w:val="•"/>
      <w:lvlJc w:val="left"/>
      <w:rPr>
        <w:rFonts w:hint="default"/>
      </w:rPr>
    </w:lvl>
    <w:lvl w:ilvl="7" w:tplc="AA1C8AD6">
      <w:start w:val="1"/>
      <w:numFmt w:val="bullet"/>
      <w:lvlText w:val="•"/>
      <w:lvlJc w:val="left"/>
      <w:rPr>
        <w:rFonts w:hint="default"/>
      </w:rPr>
    </w:lvl>
    <w:lvl w:ilvl="8" w:tplc="C15C66B4">
      <w:start w:val="1"/>
      <w:numFmt w:val="bullet"/>
      <w:lvlText w:val="•"/>
      <w:lvlJc w:val="left"/>
      <w:rPr>
        <w:rFonts w:hint="default"/>
      </w:rPr>
    </w:lvl>
  </w:abstractNum>
  <w:abstractNum w:abstractNumId="61" w15:restartNumberingAfterBreak="0">
    <w:nsid w:val="33B96E35"/>
    <w:multiLevelType w:val="hybridMultilevel"/>
    <w:tmpl w:val="FF08613C"/>
    <w:lvl w:ilvl="0" w:tplc="339C4BEC">
      <w:start w:val="1"/>
      <w:numFmt w:val="decimal"/>
      <w:lvlText w:val="%1."/>
      <w:lvlJc w:val="left"/>
      <w:pPr>
        <w:ind w:left="468" w:hanging="360"/>
      </w:pPr>
      <w:rPr>
        <w:rFonts w:ascii="Times New Roman" w:hAnsi="Times New Roman" w:cs="Times New Roman" w:hint="default"/>
        <w:b/>
      </w:rPr>
    </w:lvl>
    <w:lvl w:ilvl="1" w:tplc="25FA4736" w:tentative="1">
      <w:start w:val="1"/>
      <w:numFmt w:val="upperLetter"/>
      <w:lvlText w:val="%2."/>
      <w:lvlJc w:val="left"/>
      <w:pPr>
        <w:ind w:left="908" w:hanging="400"/>
      </w:pPr>
    </w:lvl>
    <w:lvl w:ilvl="2" w:tplc="405ECC5A" w:tentative="1">
      <w:start w:val="1"/>
      <w:numFmt w:val="lowerRoman"/>
      <w:lvlText w:val="%3."/>
      <w:lvlJc w:val="right"/>
      <w:pPr>
        <w:ind w:left="1308" w:hanging="400"/>
      </w:pPr>
    </w:lvl>
    <w:lvl w:ilvl="3" w:tplc="37DC85AE" w:tentative="1">
      <w:start w:val="1"/>
      <w:numFmt w:val="decimal"/>
      <w:lvlText w:val="%4."/>
      <w:lvlJc w:val="left"/>
      <w:pPr>
        <w:ind w:left="1708" w:hanging="400"/>
      </w:pPr>
    </w:lvl>
    <w:lvl w:ilvl="4" w:tplc="D16CCAAC" w:tentative="1">
      <w:start w:val="1"/>
      <w:numFmt w:val="upperLetter"/>
      <w:lvlText w:val="%5."/>
      <w:lvlJc w:val="left"/>
      <w:pPr>
        <w:ind w:left="2108" w:hanging="400"/>
      </w:pPr>
    </w:lvl>
    <w:lvl w:ilvl="5" w:tplc="A08C93F0" w:tentative="1">
      <w:start w:val="1"/>
      <w:numFmt w:val="lowerRoman"/>
      <w:lvlText w:val="%6."/>
      <w:lvlJc w:val="right"/>
      <w:pPr>
        <w:ind w:left="2508" w:hanging="400"/>
      </w:pPr>
    </w:lvl>
    <w:lvl w:ilvl="6" w:tplc="FFE462A0" w:tentative="1">
      <w:start w:val="1"/>
      <w:numFmt w:val="decimal"/>
      <w:lvlText w:val="%7."/>
      <w:lvlJc w:val="left"/>
      <w:pPr>
        <w:ind w:left="2908" w:hanging="400"/>
      </w:pPr>
    </w:lvl>
    <w:lvl w:ilvl="7" w:tplc="14F44F3C" w:tentative="1">
      <w:start w:val="1"/>
      <w:numFmt w:val="upperLetter"/>
      <w:lvlText w:val="%8."/>
      <w:lvlJc w:val="left"/>
      <w:pPr>
        <w:ind w:left="3308" w:hanging="400"/>
      </w:pPr>
    </w:lvl>
    <w:lvl w:ilvl="8" w:tplc="412EEA20" w:tentative="1">
      <w:start w:val="1"/>
      <w:numFmt w:val="lowerRoman"/>
      <w:lvlText w:val="%9."/>
      <w:lvlJc w:val="right"/>
      <w:pPr>
        <w:ind w:left="3708" w:hanging="400"/>
      </w:pPr>
    </w:lvl>
  </w:abstractNum>
  <w:abstractNum w:abstractNumId="62" w15:restartNumberingAfterBreak="0">
    <w:nsid w:val="34653D49"/>
    <w:multiLevelType w:val="hybridMultilevel"/>
    <w:tmpl w:val="82F21D2C"/>
    <w:lvl w:ilvl="0" w:tplc="4E96614E">
      <w:start w:val="1"/>
      <w:numFmt w:val="bullet"/>
      <w:lvlText w:val="•"/>
      <w:lvlJc w:val="left"/>
      <w:pPr>
        <w:ind w:left="911" w:hanging="400"/>
      </w:pPr>
      <w:rPr>
        <w:rFonts w:ascii="Times New Roman" w:eastAsia="Times New Roman" w:hAnsi="Times New Roman" w:hint="default"/>
        <w:sz w:val="22"/>
        <w:szCs w:val="22"/>
      </w:rPr>
    </w:lvl>
    <w:lvl w:ilvl="1" w:tplc="605C0C76" w:tentative="1">
      <w:start w:val="1"/>
      <w:numFmt w:val="bullet"/>
      <w:lvlText w:val=""/>
      <w:lvlJc w:val="left"/>
      <w:pPr>
        <w:ind w:left="1311" w:hanging="400"/>
      </w:pPr>
      <w:rPr>
        <w:rFonts w:ascii="Wingdings" w:hAnsi="Wingdings" w:hint="default"/>
      </w:rPr>
    </w:lvl>
    <w:lvl w:ilvl="2" w:tplc="5740A69A" w:tentative="1">
      <w:start w:val="1"/>
      <w:numFmt w:val="bullet"/>
      <w:lvlText w:val=""/>
      <w:lvlJc w:val="left"/>
      <w:pPr>
        <w:ind w:left="1711" w:hanging="400"/>
      </w:pPr>
      <w:rPr>
        <w:rFonts w:ascii="Wingdings" w:hAnsi="Wingdings" w:hint="default"/>
      </w:rPr>
    </w:lvl>
    <w:lvl w:ilvl="3" w:tplc="0546C1E6" w:tentative="1">
      <w:start w:val="1"/>
      <w:numFmt w:val="bullet"/>
      <w:lvlText w:val=""/>
      <w:lvlJc w:val="left"/>
      <w:pPr>
        <w:ind w:left="2111" w:hanging="400"/>
      </w:pPr>
      <w:rPr>
        <w:rFonts w:ascii="Wingdings" w:hAnsi="Wingdings" w:hint="default"/>
      </w:rPr>
    </w:lvl>
    <w:lvl w:ilvl="4" w:tplc="44C6ACDA" w:tentative="1">
      <w:start w:val="1"/>
      <w:numFmt w:val="bullet"/>
      <w:lvlText w:val=""/>
      <w:lvlJc w:val="left"/>
      <w:pPr>
        <w:ind w:left="2511" w:hanging="400"/>
      </w:pPr>
      <w:rPr>
        <w:rFonts w:ascii="Wingdings" w:hAnsi="Wingdings" w:hint="default"/>
      </w:rPr>
    </w:lvl>
    <w:lvl w:ilvl="5" w:tplc="C9320A12" w:tentative="1">
      <w:start w:val="1"/>
      <w:numFmt w:val="bullet"/>
      <w:lvlText w:val=""/>
      <w:lvlJc w:val="left"/>
      <w:pPr>
        <w:ind w:left="2911" w:hanging="400"/>
      </w:pPr>
      <w:rPr>
        <w:rFonts w:ascii="Wingdings" w:hAnsi="Wingdings" w:hint="default"/>
      </w:rPr>
    </w:lvl>
    <w:lvl w:ilvl="6" w:tplc="99E22024" w:tentative="1">
      <w:start w:val="1"/>
      <w:numFmt w:val="bullet"/>
      <w:lvlText w:val=""/>
      <w:lvlJc w:val="left"/>
      <w:pPr>
        <w:ind w:left="3311" w:hanging="400"/>
      </w:pPr>
      <w:rPr>
        <w:rFonts w:ascii="Wingdings" w:hAnsi="Wingdings" w:hint="default"/>
      </w:rPr>
    </w:lvl>
    <w:lvl w:ilvl="7" w:tplc="59847008" w:tentative="1">
      <w:start w:val="1"/>
      <w:numFmt w:val="bullet"/>
      <w:lvlText w:val=""/>
      <w:lvlJc w:val="left"/>
      <w:pPr>
        <w:ind w:left="3711" w:hanging="400"/>
      </w:pPr>
      <w:rPr>
        <w:rFonts w:ascii="Wingdings" w:hAnsi="Wingdings" w:hint="default"/>
      </w:rPr>
    </w:lvl>
    <w:lvl w:ilvl="8" w:tplc="42E82A5E" w:tentative="1">
      <w:start w:val="1"/>
      <w:numFmt w:val="bullet"/>
      <w:lvlText w:val=""/>
      <w:lvlJc w:val="left"/>
      <w:pPr>
        <w:ind w:left="4111" w:hanging="400"/>
      </w:pPr>
      <w:rPr>
        <w:rFonts w:ascii="Wingdings" w:hAnsi="Wingdings" w:hint="default"/>
      </w:rPr>
    </w:lvl>
  </w:abstractNum>
  <w:abstractNum w:abstractNumId="63" w15:restartNumberingAfterBreak="0">
    <w:nsid w:val="35A236F9"/>
    <w:multiLevelType w:val="hybridMultilevel"/>
    <w:tmpl w:val="EF7C0E1A"/>
    <w:lvl w:ilvl="0" w:tplc="70A265D8">
      <w:start w:val="1"/>
      <w:numFmt w:val="upperLetter"/>
      <w:lvlText w:val="%1."/>
      <w:lvlJc w:val="left"/>
      <w:pPr>
        <w:ind w:left="760" w:hanging="360"/>
      </w:pPr>
      <w:rPr>
        <w:rFonts w:hint="default"/>
      </w:rPr>
    </w:lvl>
    <w:lvl w:ilvl="1" w:tplc="77D80BB8" w:tentative="1">
      <w:start w:val="1"/>
      <w:numFmt w:val="upperLetter"/>
      <w:lvlText w:val="%2."/>
      <w:lvlJc w:val="left"/>
      <w:pPr>
        <w:ind w:left="1200" w:hanging="400"/>
      </w:pPr>
    </w:lvl>
    <w:lvl w:ilvl="2" w:tplc="CFFCB270" w:tentative="1">
      <w:start w:val="1"/>
      <w:numFmt w:val="lowerRoman"/>
      <w:lvlText w:val="%3."/>
      <w:lvlJc w:val="right"/>
      <w:pPr>
        <w:ind w:left="1600" w:hanging="400"/>
      </w:pPr>
    </w:lvl>
    <w:lvl w:ilvl="3" w:tplc="F00CBF9E" w:tentative="1">
      <w:start w:val="1"/>
      <w:numFmt w:val="decimal"/>
      <w:lvlText w:val="%4."/>
      <w:lvlJc w:val="left"/>
      <w:pPr>
        <w:ind w:left="2000" w:hanging="400"/>
      </w:pPr>
    </w:lvl>
    <w:lvl w:ilvl="4" w:tplc="80BC43CE" w:tentative="1">
      <w:start w:val="1"/>
      <w:numFmt w:val="upperLetter"/>
      <w:lvlText w:val="%5."/>
      <w:lvlJc w:val="left"/>
      <w:pPr>
        <w:ind w:left="2400" w:hanging="400"/>
      </w:pPr>
    </w:lvl>
    <w:lvl w:ilvl="5" w:tplc="9A2885A4" w:tentative="1">
      <w:start w:val="1"/>
      <w:numFmt w:val="lowerRoman"/>
      <w:lvlText w:val="%6."/>
      <w:lvlJc w:val="right"/>
      <w:pPr>
        <w:ind w:left="2800" w:hanging="400"/>
      </w:pPr>
    </w:lvl>
    <w:lvl w:ilvl="6" w:tplc="666A830E" w:tentative="1">
      <w:start w:val="1"/>
      <w:numFmt w:val="decimal"/>
      <w:lvlText w:val="%7."/>
      <w:lvlJc w:val="left"/>
      <w:pPr>
        <w:ind w:left="3200" w:hanging="400"/>
      </w:pPr>
    </w:lvl>
    <w:lvl w:ilvl="7" w:tplc="31B8E942" w:tentative="1">
      <w:start w:val="1"/>
      <w:numFmt w:val="upperLetter"/>
      <w:lvlText w:val="%8."/>
      <w:lvlJc w:val="left"/>
      <w:pPr>
        <w:ind w:left="3600" w:hanging="400"/>
      </w:pPr>
    </w:lvl>
    <w:lvl w:ilvl="8" w:tplc="4A621B54" w:tentative="1">
      <w:start w:val="1"/>
      <w:numFmt w:val="lowerRoman"/>
      <w:lvlText w:val="%9."/>
      <w:lvlJc w:val="right"/>
      <w:pPr>
        <w:ind w:left="4000" w:hanging="400"/>
      </w:pPr>
    </w:lvl>
  </w:abstractNum>
  <w:abstractNum w:abstractNumId="64" w15:restartNumberingAfterBreak="0">
    <w:nsid w:val="368965E5"/>
    <w:multiLevelType w:val="hybridMultilevel"/>
    <w:tmpl w:val="C392431A"/>
    <w:lvl w:ilvl="0" w:tplc="8F0C655A">
      <w:start w:val="1"/>
      <w:numFmt w:val="bullet"/>
      <w:lvlText w:val=""/>
      <w:lvlJc w:val="left"/>
      <w:pPr>
        <w:ind w:left="315" w:hanging="180"/>
      </w:pPr>
      <w:rPr>
        <w:rFonts w:ascii="Symbol" w:eastAsia="Symbol" w:hAnsi="Symbol" w:hint="default"/>
        <w:sz w:val="22"/>
        <w:szCs w:val="22"/>
      </w:rPr>
    </w:lvl>
    <w:lvl w:ilvl="1" w:tplc="A86EFC56">
      <w:start w:val="1"/>
      <w:numFmt w:val="bullet"/>
      <w:lvlText w:val="•"/>
      <w:lvlJc w:val="left"/>
      <w:pPr>
        <w:ind w:left="968" w:hanging="180"/>
      </w:pPr>
      <w:rPr>
        <w:rFonts w:hint="default"/>
      </w:rPr>
    </w:lvl>
    <w:lvl w:ilvl="2" w:tplc="0F105160">
      <w:start w:val="1"/>
      <w:numFmt w:val="bullet"/>
      <w:lvlText w:val="•"/>
      <w:lvlJc w:val="left"/>
      <w:pPr>
        <w:ind w:left="1620" w:hanging="180"/>
      </w:pPr>
      <w:rPr>
        <w:rFonts w:hint="default"/>
      </w:rPr>
    </w:lvl>
    <w:lvl w:ilvl="3" w:tplc="45321D60">
      <w:start w:val="1"/>
      <w:numFmt w:val="bullet"/>
      <w:lvlText w:val="•"/>
      <w:lvlJc w:val="left"/>
      <w:pPr>
        <w:ind w:left="2272" w:hanging="180"/>
      </w:pPr>
      <w:rPr>
        <w:rFonts w:hint="default"/>
      </w:rPr>
    </w:lvl>
    <w:lvl w:ilvl="4" w:tplc="4876445A">
      <w:start w:val="1"/>
      <w:numFmt w:val="bullet"/>
      <w:lvlText w:val="•"/>
      <w:lvlJc w:val="left"/>
      <w:pPr>
        <w:ind w:left="2924" w:hanging="180"/>
      </w:pPr>
      <w:rPr>
        <w:rFonts w:hint="default"/>
      </w:rPr>
    </w:lvl>
    <w:lvl w:ilvl="5" w:tplc="8C5043F4">
      <w:start w:val="1"/>
      <w:numFmt w:val="bullet"/>
      <w:lvlText w:val="•"/>
      <w:lvlJc w:val="left"/>
      <w:pPr>
        <w:ind w:left="3576" w:hanging="180"/>
      </w:pPr>
      <w:rPr>
        <w:rFonts w:hint="default"/>
      </w:rPr>
    </w:lvl>
    <w:lvl w:ilvl="6" w:tplc="365A8B02">
      <w:start w:val="1"/>
      <w:numFmt w:val="bullet"/>
      <w:lvlText w:val="•"/>
      <w:lvlJc w:val="left"/>
      <w:pPr>
        <w:ind w:left="4229" w:hanging="180"/>
      </w:pPr>
      <w:rPr>
        <w:rFonts w:hint="default"/>
      </w:rPr>
    </w:lvl>
    <w:lvl w:ilvl="7" w:tplc="65061940">
      <w:start w:val="1"/>
      <w:numFmt w:val="bullet"/>
      <w:lvlText w:val="•"/>
      <w:lvlJc w:val="left"/>
      <w:pPr>
        <w:ind w:left="4881" w:hanging="180"/>
      </w:pPr>
      <w:rPr>
        <w:rFonts w:hint="default"/>
      </w:rPr>
    </w:lvl>
    <w:lvl w:ilvl="8" w:tplc="0DCCBF1E">
      <w:start w:val="1"/>
      <w:numFmt w:val="bullet"/>
      <w:lvlText w:val="•"/>
      <w:lvlJc w:val="left"/>
      <w:pPr>
        <w:ind w:left="5533" w:hanging="180"/>
      </w:pPr>
      <w:rPr>
        <w:rFonts w:hint="default"/>
      </w:rPr>
    </w:lvl>
  </w:abstractNum>
  <w:abstractNum w:abstractNumId="65" w15:restartNumberingAfterBreak="0">
    <w:nsid w:val="374F132D"/>
    <w:multiLevelType w:val="hybridMultilevel"/>
    <w:tmpl w:val="D3526B34"/>
    <w:lvl w:ilvl="0" w:tplc="5C082F2C">
      <w:start w:val="1"/>
      <w:numFmt w:val="decimal"/>
      <w:lvlText w:val="%1."/>
      <w:lvlJc w:val="left"/>
      <w:pPr>
        <w:ind w:left="111" w:hanging="562"/>
      </w:pPr>
      <w:rPr>
        <w:rFonts w:ascii="Times New Roman" w:eastAsia="Times New Roman" w:hAnsi="Times New Roman" w:hint="default"/>
        <w:b/>
        <w:bCs/>
        <w:sz w:val="22"/>
        <w:szCs w:val="22"/>
      </w:rPr>
    </w:lvl>
    <w:lvl w:ilvl="1" w:tplc="2EBC70F0">
      <w:start w:val="1"/>
      <w:numFmt w:val="bullet"/>
      <w:lvlText w:val=""/>
      <w:lvlJc w:val="left"/>
      <w:pPr>
        <w:ind w:left="831" w:hanging="360"/>
      </w:pPr>
      <w:rPr>
        <w:rFonts w:ascii="Symbol" w:eastAsia="Symbol" w:hAnsi="Symbol" w:hint="default"/>
        <w:sz w:val="22"/>
        <w:szCs w:val="22"/>
      </w:rPr>
    </w:lvl>
    <w:lvl w:ilvl="2" w:tplc="09AEC0E2">
      <w:start w:val="1"/>
      <w:numFmt w:val="bullet"/>
      <w:lvlText w:val=""/>
      <w:lvlJc w:val="left"/>
      <w:pPr>
        <w:ind w:left="1551" w:hanging="360"/>
      </w:pPr>
      <w:rPr>
        <w:rFonts w:ascii="Symbol" w:eastAsia="Symbol" w:hAnsi="Symbol" w:hint="default"/>
        <w:sz w:val="22"/>
        <w:szCs w:val="22"/>
      </w:rPr>
    </w:lvl>
    <w:lvl w:ilvl="3" w:tplc="5A0E3980">
      <w:start w:val="1"/>
      <w:numFmt w:val="bullet"/>
      <w:lvlText w:val="•"/>
      <w:lvlJc w:val="left"/>
      <w:pPr>
        <w:ind w:left="1551" w:hanging="360"/>
      </w:pPr>
      <w:rPr>
        <w:rFonts w:hint="default"/>
      </w:rPr>
    </w:lvl>
    <w:lvl w:ilvl="4" w:tplc="65CCD350">
      <w:start w:val="1"/>
      <w:numFmt w:val="bullet"/>
      <w:lvlText w:val="•"/>
      <w:lvlJc w:val="left"/>
      <w:pPr>
        <w:ind w:left="2695" w:hanging="360"/>
      </w:pPr>
      <w:rPr>
        <w:rFonts w:hint="default"/>
      </w:rPr>
    </w:lvl>
    <w:lvl w:ilvl="5" w:tplc="19BC8CC8">
      <w:start w:val="1"/>
      <w:numFmt w:val="bullet"/>
      <w:lvlText w:val="•"/>
      <w:lvlJc w:val="left"/>
      <w:pPr>
        <w:ind w:left="3839" w:hanging="360"/>
      </w:pPr>
      <w:rPr>
        <w:rFonts w:hint="default"/>
      </w:rPr>
    </w:lvl>
    <w:lvl w:ilvl="6" w:tplc="7102DD92">
      <w:start w:val="1"/>
      <w:numFmt w:val="bullet"/>
      <w:lvlText w:val="•"/>
      <w:lvlJc w:val="left"/>
      <w:pPr>
        <w:ind w:left="4983" w:hanging="360"/>
      </w:pPr>
      <w:rPr>
        <w:rFonts w:hint="default"/>
      </w:rPr>
    </w:lvl>
    <w:lvl w:ilvl="7" w:tplc="CC7AFDDE">
      <w:start w:val="1"/>
      <w:numFmt w:val="bullet"/>
      <w:lvlText w:val="•"/>
      <w:lvlJc w:val="left"/>
      <w:pPr>
        <w:ind w:left="6127" w:hanging="360"/>
      </w:pPr>
      <w:rPr>
        <w:rFonts w:hint="default"/>
      </w:rPr>
    </w:lvl>
    <w:lvl w:ilvl="8" w:tplc="B9FEECC8">
      <w:start w:val="1"/>
      <w:numFmt w:val="bullet"/>
      <w:lvlText w:val="•"/>
      <w:lvlJc w:val="left"/>
      <w:pPr>
        <w:ind w:left="7271" w:hanging="360"/>
      </w:pPr>
      <w:rPr>
        <w:rFonts w:hint="default"/>
      </w:rPr>
    </w:lvl>
  </w:abstractNum>
  <w:abstractNum w:abstractNumId="66" w15:restartNumberingAfterBreak="0">
    <w:nsid w:val="37963DBC"/>
    <w:multiLevelType w:val="hybridMultilevel"/>
    <w:tmpl w:val="4392C26E"/>
    <w:lvl w:ilvl="0" w:tplc="A8AC7AD6">
      <w:start w:val="1"/>
      <w:numFmt w:val="decimal"/>
      <w:lvlText w:val="%1."/>
      <w:lvlJc w:val="left"/>
      <w:pPr>
        <w:ind w:left="660" w:hanging="550"/>
      </w:pPr>
      <w:rPr>
        <w:rFonts w:ascii="Times New Roman" w:eastAsia="Times New Roman" w:hAnsi="Times New Roman" w:hint="default"/>
        <w:sz w:val="22"/>
        <w:szCs w:val="22"/>
      </w:rPr>
    </w:lvl>
    <w:lvl w:ilvl="1" w:tplc="CDB41DF4">
      <w:start w:val="1"/>
      <w:numFmt w:val="bullet"/>
      <w:lvlText w:val="•"/>
      <w:lvlJc w:val="left"/>
      <w:pPr>
        <w:ind w:left="1548" w:hanging="550"/>
      </w:pPr>
      <w:rPr>
        <w:rFonts w:hint="default"/>
      </w:rPr>
    </w:lvl>
    <w:lvl w:ilvl="2" w:tplc="5E369610">
      <w:start w:val="1"/>
      <w:numFmt w:val="bullet"/>
      <w:lvlText w:val="•"/>
      <w:lvlJc w:val="left"/>
      <w:pPr>
        <w:ind w:left="2436" w:hanging="550"/>
      </w:pPr>
      <w:rPr>
        <w:rFonts w:hint="default"/>
      </w:rPr>
    </w:lvl>
    <w:lvl w:ilvl="3" w:tplc="86FE3C00">
      <w:start w:val="1"/>
      <w:numFmt w:val="bullet"/>
      <w:lvlText w:val="•"/>
      <w:lvlJc w:val="left"/>
      <w:pPr>
        <w:ind w:left="3324" w:hanging="550"/>
      </w:pPr>
      <w:rPr>
        <w:rFonts w:hint="default"/>
      </w:rPr>
    </w:lvl>
    <w:lvl w:ilvl="4" w:tplc="2AC2C5E4">
      <w:start w:val="1"/>
      <w:numFmt w:val="bullet"/>
      <w:lvlText w:val="•"/>
      <w:lvlJc w:val="left"/>
      <w:pPr>
        <w:ind w:left="4212" w:hanging="550"/>
      </w:pPr>
      <w:rPr>
        <w:rFonts w:hint="default"/>
      </w:rPr>
    </w:lvl>
    <w:lvl w:ilvl="5" w:tplc="31227654">
      <w:start w:val="1"/>
      <w:numFmt w:val="bullet"/>
      <w:lvlText w:val="•"/>
      <w:lvlJc w:val="left"/>
      <w:pPr>
        <w:ind w:left="5100" w:hanging="550"/>
      </w:pPr>
      <w:rPr>
        <w:rFonts w:hint="default"/>
      </w:rPr>
    </w:lvl>
    <w:lvl w:ilvl="6" w:tplc="DBD29BA0">
      <w:start w:val="1"/>
      <w:numFmt w:val="bullet"/>
      <w:lvlText w:val="•"/>
      <w:lvlJc w:val="left"/>
      <w:pPr>
        <w:ind w:left="5988" w:hanging="550"/>
      </w:pPr>
      <w:rPr>
        <w:rFonts w:hint="default"/>
      </w:rPr>
    </w:lvl>
    <w:lvl w:ilvl="7" w:tplc="E2E89420">
      <w:start w:val="1"/>
      <w:numFmt w:val="bullet"/>
      <w:lvlText w:val="•"/>
      <w:lvlJc w:val="left"/>
      <w:pPr>
        <w:ind w:left="6876" w:hanging="550"/>
      </w:pPr>
      <w:rPr>
        <w:rFonts w:hint="default"/>
      </w:rPr>
    </w:lvl>
    <w:lvl w:ilvl="8" w:tplc="39F25EE2">
      <w:start w:val="1"/>
      <w:numFmt w:val="bullet"/>
      <w:lvlText w:val="•"/>
      <w:lvlJc w:val="left"/>
      <w:pPr>
        <w:ind w:left="7764" w:hanging="550"/>
      </w:pPr>
      <w:rPr>
        <w:rFonts w:hint="default"/>
      </w:rPr>
    </w:lvl>
  </w:abstractNum>
  <w:abstractNum w:abstractNumId="67" w15:restartNumberingAfterBreak="0">
    <w:nsid w:val="390A6C2C"/>
    <w:multiLevelType w:val="multilevel"/>
    <w:tmpl w:val="91120036"/>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8" w15:restartNumberingAfterBreak="0">
    <w:nsid w:val="3B7E0A6A"/>
    <w:multiLevelType w:val="hybridMultilevel"/>
    <w:tmpl w:val="520C0D62"/>
    <w:lvl w:ilvl="0" w:tplc="6F4C1C84">
      <w:start w:val="1"/>
      <w:numFmt w:val="bullet"/>
      <w:lvlText w:val=""/>
      <w:lvlJc w:val="left"/>
      <w:pPr>
        <w:ind w:hanging="550"/>
      </w:pPr>
      <w:rPr>
        <w:rFonts w:ascii="Symbol" w:eastAsia="Symbol" w:hAnsi="Symbol" w:hint="default"/>
        <w:sz w:val="22"/>
        <w:szCs w:val="22"/>
      </w:rPr>
    </w:lvl>
    <w:lvl w:ilvl="1" w:tplc="7F24FE1C">
      <w:start w:val="1"/>
      <w:numFmt w:val="bullet"/>
      <w:lvlText w:val="•"/>
      <w:lvlJc w:val="left"/>
      <w:rPr>
        <w:rFonts w:hint="default"/>
      </w:rPr>
    </w:lvl>
    <w:lvl w:ilvl="2" w:tplc="202C92FA">
      <w:start w:val="1"/>
      <w:numFmt w:val="bullet"/>
      <w:lvlText w:val="•"/>
      <w:lvlJc w:val="left"/>
      <w:rPr>
        <w:rFonts w:hint="default"/>
      </w:rPr>
    </w:lvl>
    <w:lvl w:ilvl="3" w:tplc="20305B88">
      <w:start w:val="1"/>
      <w:numFmt w:val="bullet"/>
      <w:lvlText w:val="•"/>
      <w:lvlJc w:val="left"/>
      <w:rPr>
        <w:rFonts w:hint="default"/>
      </w:rPr>
    </w:lvl>
    <w:lvl w:ilvl="4" w:tplc="09464298">
      <w:start w:val="1"/>
      <w:numFmt w:val="bullet"/>
      <w:lvlText w:val="•"/>
      <w:lvlJc w:val="left"/>
      <w:rPr>
        <w:rFonts w:hint="default"/>
      </w:rPr>
    </w:lvl>
    <w:lvl w:ilvl="5" w:tplc="0D7EDE90">
      <w:start w:val="1"/>
      <w:numFmt w:val="bullet"/>
      <w:lvlText w:val="•"/>
      <w:lvlJc w:val="left"/>
      <w:rPr>
        <w:rFonts w:hint="default"/>
      </w:rPr>
    </w:lvl>
    <w:lvl w:ilvl="6" w:tplc="C15C70C4">
      <w:start w:val="1"/>
      <w:numFmt w:val="bullet"/>
      <w:lvlText w:val="•"/>
      <w:lvlJc w:val="left"/>
      <w:rPr>
        <w:rFonts w:hint="default"/>
      </w:rPr>
    </w:lvl>
    <w:lvl w:ilvl="7" w:tplc="6FE66054">
      <w:start w:val="1"/>
      <w:numFmt w:val="bullet"/>
      <w:lvlText w:val="•"/>
      <w:lvlJc w:val="left"/>
      <w:rPr>
        <w:rFonts w:hint="default"/>
      </w:rPr>
    </w:lvl>
    <w:lvl w:ilvl="8" w:tplc="F6326BF2">
      <w:start w:val="1"/>
      <w:numFmt w:val="bullet"/>
      <w:lvlText w:val="•"/>
      <w:lvlJc w:val="left"/>
      <w:rPr>
        <w:rFonts w:hint="default"/>
      </w:rPr>
    </w:lvl>
  </w:abstractNum>
  <w:abstractNum w:abstractNumId="69" w15:restartNumberingAfterBreak="0">
    <w:nsid w:val="3DFD56D6"/>
    <w:multiLevelType w:val="hybridMultilevel"/>
    <w:tmpl w:val="339C2F6A"/>
    <w:lvl w:ilvl="0" w:tplc="C0029D9C">
      <w:start w:val="1"/>
      <w:numFmt w:val="decimal"/>
      <w:lvlText w:val="%1."/>
      <w:lvlJc w:val="left"/>
      <w:pPr>
        <w:ind w:hanging="562"/>
      </w:pPr>
      <w:rPr>
        <w:rFonts w:ascii="Times New Roman" w:eastAsia="Times New Roman" w:hAnsi="Times New Roman" w:hint="default"/>
        <w:b/>
        <w:bCs/>
        <w:sz w:val="22"/>
        <w:szCs w:val="22"/>
      </w:rPr>
    </w:lvl>
    <w:lvl w:ilvl="1" w:tplc="EF9609FC">
      <w:start w:val="1"/>
      <w:numFmt w:val="bullet"/>
      <w:lvlText w:val="•"/>
      <w:lvlJc w:val="left"/>
      <w:rPr>
        <w:rFonts w:hint="default"/>
      </w:rPr>
    </w:lvl>
    <w:lvl w:ilvl="2" w:tplc="60E6DBFE">
      <w:start w:val="1"/>
      <w:numFmt w:val="bullet"/>
      <w:lvlText w:val="•"/>
      <w:lvlJc w:val="left"/>
      <w:rPr>
        <w:rFonts w:hint="default"/>
      </w:rPr>
    </w:lvl>
    <w:lvl w:ilvl="3" w:tplc="3BF465B4">
      <w:start w:val="1"/>
      <w:numFmt w:val="bullet"/>
      <w:lvlText w:val="•"/>
      <w:lvlJc w:val="left"/>
      <w:rPr>
        <w:rFonts w:hint="default"/>
      </w:rPr>
    </w:lvl>
    <w:lvl w:ilvl="4" w:tplc="3DC07B84">
      <w:start w:val="1"/>
      <w:numFmt w:val="bullet"/>
      <w:lvlText w:val="•"/>
      <w:lvlJc w:val="left"/>
      <w:rPr>
        <w:rFonts w:hint="default"/>
      </w:rPr>
    </w:lvl>
    <w:lvl w:ilvl="5" w:tplc="D9B6BC04">
      <w:start w:val="1"/>
      <w:numFmt w:val="bullet"/>
      <w:lvlText w:val="•"/>
      <w:lvlJc w:val="left"/>
      <w:rPr>
        <w:rFonts w:hint="default"/>
      </w:rPr>
    </w:lvl>
    <w:lvl w:ilvl="6" w:tplc="7EFC0DEE">
      <w:start w:val="1"/>
      <w:numFmt w:val="bullet"/>
      <w:lvlText w:val="•"/>
      <w:lvlJc w:val="left"/>
      <w:rPr>
        <w:rFonts w:hint="default"/>
      </w:rPr>
    </w:lvl>
    <w:lvl w:ilvl="7" w:tplc="C850383A">
      <w:start w:val="1"/>
      <w:numFmt w:val="bullet"/>
      <w:lvlText w:val="•"/>
      <w:lvlJc w:val="left"/>
      <w:rPr>
        <w:rFonts w:hint="default"/>
      </w:rPr>
    </w:lvl>
    <w:lvl w:ilvl="8" w:tplc="5EE2714E">
      <w:start w:val="1"/>
      <w:numFmt w:val="bullet"/>
      <w:lvlText w:val="•"/>
      <w:lvlJc w:val="left"/>
      <w:rPr>
        <w:rFonts w:hint="default"/>
      </w:rPr>
    </w:lvl>
  </w:abstractNum>
  <w:abstractNum w:abstractNumId="70" w15:restartNumberingAfterBreak="0">
    <w:nsid w:val="3E3B277C"/>
    <w:multiLevelType w:val="hybridMultilevel"/>
    <w:tmpl w:val="AA284A0C"/>
    <w:lvl w:ilvl="0" w:tplc="9806B6A8">
      <w:start w:val="1"/>
      <w:numFmt w:val="decimal"/>
      <w:lvlText w:val="%1."/>
      <w:lvlJc w:val="left"/>
      <w:pPr>
        <w:ind w:hanging="562"/>
      </w:pPr>
      <w:rPr>
        <w:rFonts w:ascii="Times New Roman" w:eastAsia="Times New Roman" w:hAnsi="Times New Roman" w:hint="default"/>
        <w:b/>
        <w:bCs/>
        <w:sz w:val="22"/>
        <w:szCs w:val="22"/>
      </w:rPr>
    </w:lvl>
    <w:lvl w:ilvl="1" w:tplc="CC9AD3E8">
      <w:start w:val="1"/>
      <w:numFmt w:val="bullet"/>
      <w:lvlText w:val=""/>
      <w:lvlJc w:val="left"/>
      <w:pPr>
        <w:ind w:hanging="360"/>
      </w:pPr>
      <w:rPr>
        <w:rFonts w:ascii="Symbol" w:eastAsia="Symbol" w:hAnsi="Symbol" w:hint="default"/>
        <w:sz w:val="22"/>
        <w:szCs w:val="22"/>
      </w:rPr>
    </w:lvl>
    <w:lvl w:ilvl="2" w:tplc="E68E60E2">
      <w:start w:val="1"/>
      <w:numFmt w:val="bullet"/>
      <w:lvlText w:val=""/>
      <w:lvlJc w:val="left"/>
      <w:pPr>
        <w:ind w:hanging="360"/>
      </w:pPr>
      <w:rPr>
        <w:rFonts w:ascii="Symbol" w:eastAsia="Symbol" w:hAnsi="Symbol" w:hint="default"/>
        <w:sz w:val="22"/>
        <w:szCs w:val="22"/>
      </w:rPr>
    </w:lvl>
    <w:lvl w:ilvl="3" w:tplc="5C70BA86">
      <w:start w:val="1"/>
      <w:numFmt w:val="bullet"/>
      <w:lvlText w:val=""/>
      <w:lvlJc w:val="left"/>
      <w:pPr>
        <w:ind w:hanging="360"/>
      </w:pPr>
      <w:rPr>
        <w:rFonts w:ascii="Symbol" w:eastAsia="Symbol" w:hAnsi="Symbol" w:hint="default"/>
        <w:sz w:val="22"/>
        <w:szCs w:val="22"/>
      </w:rPr>
    </w:lvl>
    <w:lvl w:ilvl="4" w:tplc="1D3265F8">
      <w:start w:val="1"/>
      <w:numFmt w:val="bullet"/>
      <w:lvlText w:val=""/>
      <w:lvlJc w:val="left"/>
      <w:pPr>
        <w:ind w:hanging="360"/>
      </w:pPr>
      <w:rPr>
        <w:rFonts w:ascii="Symbol" w:eastAsia="Symbol" w:hAnsi="Symbol" w:hint="default"/>
        <w:sz w:val="22"/>
        <w:szCs w:val="22"/>
      </w:rPr>
    </w:lvl>
    <w:lvl w:ilvl="5" w:tplc="539C2222">
      <w:start w:val="1"/>
      <w:numFmt w:val="bullet"/>
      <w:lvlText w:val="•"/>
      <w:lvlJc w:val="left"/>
      <w:rPr>
        <w:rFonts w:hint="default"/>
      </w:rPr>
    </w:lvl>
    <w:lvl w:ilvl="6" w:tplc="C898FBEC">
      <w:start w:val="1"/>
      <w:numFmt w:val="bullet"/>
      <w:lvlText w:val="•"/>
      <w:lvlJc w:val="left"/>
      <w:rPr>
        <w:rFonts w:hint="default"/>
      </w:rPr>
    </w:lvl>
    <w:lvl w:ilvl="7" w:tplc="2FC4D894">
      <w:start w:val="1"/>
      <w:numFmt w:val="bullet"/>
      <w:lvlText w:val="•"/>
      <w:lvlJc w:val="left"/>
      <w:rPr>
        <w:rFonts w:hint="default"/>
      </w:rPr>
    </w:lvl>
    <w:lvl w:ilvl="8" w:tplc="39CEE2D6">
      <w:start w:val="1"/>
      <w:numFmt w:val="bullet"/>
      <w:lvlText w:val="•"/>
      <w:lvlJc w:val="left"/>
      <w:rPr>
        <w:rFonts w:hint="default"/>
      </w:rPr>
    </w:lvl>
  </w:abstractNum>
  <w:abstractNum w:abstractNumId="71" w15:restartNumberingAfterBreak="0">
    <w:nsid w:val="3F805E75"/>
    <w:multiLevelType w:val="hybridMultilevel"/>
    <w:tmpl w:val="DD60684E"/>
    <w:lvl w:ilvl="0" w:tplc="457AEB16">
      <w:start w:val="1"/>
      <w:numFmt w:val="decimal"/>
      <w:lvlText w:val="%1"/>
      <w:lvlJc w:val="left"/>
      <w:pPr>
        <w:ind w:left="396" w:hanging="166"/>
      </w:pPr>
      <w:rPr>
        <w:rFonts w:ascii="Times New Roman" w:eastAsia="Times New Roman" w:hAnsi="Times New Roman" w:hint="default"/>
        <w:sz w:val="22"/>
        <w:szCs w:val="22"/>
      </w:rPr>
    </w:lvl>
    <w:lvl w:ilvl="1" w:tplc="56F68022">
      <w:start w:val="1"/>
      <w:numFmt w:val="bullet"/>
      <w:lvlText w:val="•"/>
      <w:lvlJc w:val="left"/>
      <w:pPr>
        <w:ind w:left="1344" w:hanging="166"/>
      </w:pPr>
      <w:rPr>
        <w:rFonts w:hint="default"/>
      </w:rPr>
    </w:lvl>
    <w:lvl w:ilvl="2" w:tplc="0F6AA132">
      <w:start w:val="1"/>
      <w:numFmt w:val="bullet"/>
      <w:lvlText w:val="•"/>
      <w:lvlJc w:val="left"/>
      <w:pPr>
        <w:ind w:left="2293" w:hanging="166"/>
      </w:pPr>
      <w:rPr>
        <w:rFonts w:hint="default"/>
      </w:rPr>
    </w:lvl>
    <w:lvl w:ilvl="3" w:tplc="AC18A4EE">
      <w:start w:val="1"/>
      <w:numFmt w:val="bullet"/>
      <w:lvlText w:val="•"/>
      <w:lvlJc w:val="left"/>
      <w:pPr>
        <w:ind w:left="3241" w:hanging="166"/>
      </w:pPr>
      <w:rPr>
        <w:rFonts w:hint="default"/>
      </w:rPr>
    </w:lvl>
    <w:lvl w:ilvl="4" w:tplc="DD12AED4">
      <w:start w:val="1"/>
      <w:numFmt w:val="bullet"/>
      <w:lvlText w:val="•"/>
      <w:lvlJc w:val="left"/>
      <w:pPr>
        <w:ind w:left="4190" w:hanging="166"/>
      </w:pPr>
      <w:rPr>
        <w:rFonts w:hint="default"/>
      </w:rPr>
    </w:lvl>
    <w:lvl w:ilvl="5" w:tplc="6D221A66">
      <w:start w:val="1"/>
      <w:numFmt w:val="bullet"/>
      <w:lvlText w:val="•"/>
      <w:lvlJc w:val="left"/>
      <w:pPr>
        <w:ind w:left="5138" w:hanging="166"/>
      </w:pPr>
      <w:rPr>
        <w:rFonts w:hint="default"/>
      </w:rPr>
    </w:lvl>
    <w:lvl w:ilvl="6" w:tplc="20C8DE2C">
      <w:start w:val="1"/>
      <w:numFmt w:val="bullet"/>
      <w:lvlText w:val="•"/>
      <w:lvlJc w:val="left"/>
      <w:pPr>
        <w:ind w:left="6086" w:hanging="166"/>
      </w:pPr>
      <w:rPr>
        <w:rFonts w:hint="default"/>
      </w:rPr>
    </w:lvl>
    <w:lvl w:ilvl="7" w:tplc="EEB89296">
      <w:start w:val="1"/>
      <w:numFmt w:val="bullet"/>
      <w:lvlText w:val="•"/>
      <w:lvlJc w:val="left"/>
      <w:pPr>
        <w:ind w:left="7035" w:hanging="166"/>
      </w:pPr>
      <w:rPr>
        <w:rFonts w:hint="default"/>
      </w:rPr>
    </w:lvl>
    <w:lvl w:ilvl="8" w:tplc="3034A794">
      <w:start w:val="1"/>
      <w:numFmt w:val="bullet"/>
      <w:lvlText w:val="•"/>
      <w:lvlJc w:val="left"/>
      <w:pPr>
        <w:ind w:left="7983" w:hanging="166"/>
      </w:pPr>
      <w:rPr>
        <w:rFonts w:hint="default"/>
      </w:rPr>
    </w:lvl>
  </w:abstractNum>
  <w:abstractNum w:abstractNumId="72" w15:restartNumberingAfterBreak="0">
    <w:nsid w:val="401E7351"/>
    <w:multiLevelType w:val="hybridMultilevel"/>
    <w:tmpl w:val="67FCB3C6"/>
    <w:lvl w:ilvl="0" w:tplc="89200E2E">
      <w:start w:val="1"/>
      <w:numFmt w:val="bullet"/>
      <w:lvlText w:val=""/>
      <w:lvlJc w:val="left"/>
      <w:pPr>
        <w:ind w:left="315" w:hanging="176"/>
      </w:pPr>
      <w:rPr>
        <w:rFonts w:ascii="Symbol" w:eastAsia="Symbol" w:hAnsi="Symbol" w:hint="default"/>
        <w:sz w:val="22"/>
        <w:szCs w:val="22"/>
      </w:rPr>
    </w:lvl>
    <w:lvl w:ilvl="1" w:tplc="5BCAAC74">
      <w:start w:val="1"/>
      <w:numFmt w:val="bullet"/>
      <w:lvlText w:val="•"/>
      <w:lvlJc w:val="left"/>
      <w:pPr>
        <w:ind w:left="968" w:hanging="176"/>
      </w:pPr>
      <w:rPr>
        <w:rFonts w:hint="default"/>
      </w:rPr>
    </w:lvl>
    <w:lvl w:ilvl="2" w:tplc="891C6EF4">
      <w:start w:val="1"/>
      <w:numFmt w:val="bullet"/>
      <w:lvlText w:val="•"/>
      <w:lvlJc w:val="left"/>
      <w:pPr>
        <w:ind w:left="1620" w:hanging="176"/>
      </w:pPr>
      <w:rPr>
        <w:rFonts w:hint="default"/>
      </w:rPr>
    </w:lvl>
    <w:lvl w:ilvl="3" w:tplc="10DAD9CE">
      <w:start w:val="1"/>
      <w:numFmt w:val="bullet"/>
      <w:lvlText w:val="•"/>
      <w:lvlJc w:val="left"/>
      <w:pPr>
        <w:ind w:left="2272" w:hanging="176"/>
      </w:pPr>
      <w:rPr>
        <w:rFonts w:hint="default"/>
      </w:rPr>
    </w:lvl>
    <w:lvl w:ilvl="4" w:tplc="5DDAE17E">
      <w:start w:val="1"/>
      <w:numFmt w:val="bullet"/>
      <w:lvlText w:val="•"/>
      <w:lvlJc w:val="left"/>
      <w:pPr>
        <w:ind w:left="2924" w:hanging="176"/>
      </w:pPr>
      <w:rPr>
        <w:rFonts w:hint="default"/>
      </w:rPr>
    </w:lvl>
    <w:lvl w:ilvl="5" w:tplc="409AB2E6">
      <w:start w:val="1"/>
      <w:numFmt w:val="bullet"/>
      <w:lvlText w:val="•"/>
      <w:lvlJc w:val="left"/>
      <w:pPr>
        <w:ind w:left="3576" w:hanging="176"/>
      </w:pPr>
      <w:rPr>
        <w:rFonts w:hint="default"/>
      </w:rPr>
    </w:lvl>
    <w:lvl w:ilvl="6" w:tplc="A9BC3D4E">
      <w:start w:val="1"/>
      <w:numFmt w:val="bullet"/>
      <w:lvlText w:val="•"/>
      <w:lvlJc w:val="left"/>
      <w:pPr>
        <w:ind w:left="4229" w:hanging="176"/>
      </w:pPr>
      <w:rPr>
        <w:rFonts w:hint="default"/>
      </w:rPr>
    </w:lvl>
    <w:lvl w:ilvl="7" w:tplc="24D2CEB2">
      <w:start w:val="1"/>
      <w:numFmt w:val="bullet"/>
      <w:lvlText w:val="•"/>
      <w:lvlJc w:val="left"/>
      <w:pPr>
        <w:ind w:left="4881" w:hanging="176"/>
      </w:pPr>
      <w:rPr>
        <w:rFonts w:hint="default"/>
      </w:rPr>
    </w:lvl>
    <w:lvl w:ilvl="8" w:tplc="384062E8">
      <w:start w:val="1"/>
      <w:numFmt w:val="bullet"/>
      <w:lvlText w:val="•"/>
      <w:lvlJc w:val="left"/>
      <w:pPr>
        <w:ind w:left="5533" w:hanging="176"/>
      </w:pPr>
      <w:rPr>
        <w:rFonts w:hint="default"/>
      </w:rPr>
    </w:lvl>
  </w:abstractNum>
  <w:abstractNum w:abstractNumId="73" w15:restartNumberingAfterBreak="0">
    <w:nsid w:val="42991E7C"/>
    <w:multiLevelType w:val="hybridMultilevel"/>
    <w:tmpl w:val="60063D84"/>
    <w:lvl w:ilvl="0" w:tplc="15664130">
      <w:start w:val="1"/>
      <w:numFmt w:val="decimal"/>
      <w:lvlText w:val="%1."/>
      <w:lvlJc w:val="left"/>
      <w:pPr>
        <w:ind w:left="677" w:hanging="567"/>
      </w:pPr>
      <w:rPr>
        <w:rFonts w:ascii="Times New Roman" w:eastAsia="Times New Roman" w:hAnsi="Times New Roman" w:hint="default"/>
        <w:sz w:val="22"/>
        <w:szCs w:val="22"/>
      </w:rPr>
    </w:lvl>
    <w:lvl w:ilvl="1" w:tplc="2576AB6E">
      <w:start w:val="1"/>
      <w:numFmt w:val="bullet"/>
      <w:lvlText w:val="•"/>
      <w:lvlJc w:val="left"/>
      <w:pPr>
        <w:ind w:left="1569" w:hanging="567"/>
      </w:pPr>
      <w:rPr>
        <w:rFonts w:hint="default"/>
      </w:rPr>
    </w:lvl>
    <w:lvl w:ilvl="2" w:tplc="0862DD78">
      <w:start w:val="1"/>
      <w:numFmt w:val="bullet"/>
      <w:lvlText w:val="•"/>
      <w:lvlJc w:val="left"/>
      <w:pPr>
        <w:ind w:left="2462" w:hanging="567"/>
      </w:pPr>
      <w:rPr>
        <w:rFonts w:hint="default"/>
      </w:rPr>
    </w:lvl>
    <w:lvl w:ilvl="3" w:tplc="F63A93D4">
      <w:start w:val="1"/>
      <w:numFmt w:val="bullet"/>
      <w:lvlText w:val="•"/>
      <w:lvlJc w:val="left"/>
      <w:pPr>
        <w:ind w:left="3354" w:hanging="567"/>
      </w:pPr>
      <w:rPr>
        <w:rFonts w:hint="default"/>
      </w:rPr>
    </w:lvl>
    <w:lvl w:ilvl="4" w:tplc="C458ED1E">
      <w:start w:val="1"/>
      <w:numFmt w:val="bullet"/>
      <w:lvlText w:val="•"/>
      <w:lvlJc w:val="left"/>
      <w:pPr>
        <w:ind w:left="4246" w:hanging="567"/>
      </w:pPr>
      <w:rPr>
        <w:rFonts w:hint="default"/>
      </w:rPr>
    </w:lvl>
    <w:lvl w:ilvl="5" w:tplc="32266A7C">
      <w:start w:val="1"/>
      <w:numFmt w:val="bullet"/>
      <w:lvlText w:val="•"/>
      <w:lvlJc w:val="left"/>
      <w:pPr>
        <w:ind w:left="5138" w:hanging="567"/>
      </w:pPr>
      <w:rPr>
        <w:rFonts w:hint="default"/>
      </w:rPr>
    </w:lvl>
    <w:lvl w:ilvl="6" w:tplc="B3AE87A8">
      <w:start w:val="1"/>
      <w:numFmt w:val="bullet"/>
      <w:lvlText w:val="•"/>
      <w:lvlJc w:val="left"/>
      <w:pPr>
        <w:ind w:left="6031" w:hanging="567"/>
      </w:pPr>
      <w:rPr>
        <w:rFonts w:hint="default"/>
      </w:rPr>
    </w:lvl>
    <w:lvl w:ilvl="7" w:tplc="A9FEE9EC">
      <w:start w:val="1"/>
      <w:numFmt w:val="bullet"/>
      <w:lvlText w:val="•"/>
      <w:lvlJc w:val="left"/>
      <w:pPr>
        <w:ind w:left="6923" w:hanging="567"/>
      </w:pPr>
      <w:rPr>
        <w:rFonts w:hint="default"/>
      </w:rPr>
    </w:lvl>
    <w:lvl w:ilvl="8" w:tplc="BF70D61C">
      <w:start w:val="1"/>
      <w:numFmt w:val="bullet"/>
      <w:lvlText w:val="•"/>
      <w:lvlJc w:val="left"/>
      <w:pPr>
        <w:ind w:left="7815" w:hanging="567"/>
      </w:pPr>
      <w:rPr>
        <w:rFonts w:hint="default"/>
      </w:rPr>
    </w:lvl>
  </w:abstractNum>
  <w:abstractNum w:abstractNumId="74" w15:restartNumberingAfterBreak="0">
    <w:nsid w:val="449C5C33"/>
    <w:multiLevelType w:val="hybridMultilevel"/>
    <w:tmpl w:val="9C52655E"/>
    <w:lvl w:ilvl="0" w:tplc="79D8F67C">
      <w:start w:val="1"/>
      <w:numFmt w:val="decimal"/>
      <w:lvlText w:val="%1."/>
      <w:lvlJc w:val="left"/>
      <w:pPr>
        <w:ind w:hanging="562"/>
      </w:pPr>
      <w:rPr>
        <w:rFonts w:ascii="Times New Roman" w:eastAsia="Times New Roman" w:hAnsi="Times New Roman" w:hint="default"/>
        <w:b/>
        <w:bCs/>
        <w:sz w:val="22"/>
        <w:szCs w:val="22"/>
      </w:rPr>
    </w:lvl>
    <w:lvl w:ilvl="1" w:tplc="B3A2024A">
      <w:start w:val="1"/>
      <w:numFmt w:val="bullet"/>
      <w:lvlText w:val=""/>
      <w:lvlJc w:val="left"/>
      <w:pPr>
        <w:ind w:hanging="360"/>
      </w:pPr>
      <w:rPr>
        <w:rFonts w:ascii="Symbol" w:eastAsia="Symbol" w:hAnsi="Symbol" w:hint="default"/>
        <w:sz w:val="22"/>
        <w:szCs w:val="22"/>
      </w:rPr>
    </w:lvl>
    <w:lvl w:ilvl="2" w:tplc="3912BD8A">
      <w:start w:val="1"/>
      <w:numFmt w:val="bullet"/>
      <w:lvlText w:val=""/>
      <w:lvlJc w:val="left"/>
      <w:pPr>
        <w:ind w:hanging="360"/>
      </w:pPr>
      <w:rPr>
        <w:rFonts w:ascii="Symbol" w:eastAsia="Symbol" w:hAnsi="Symbol" w:hint="default"/>
        <w:sz w:val="22"/>
        <w:szCs w:val="22"/>
      </w:rPr>
    </w:lvl>
    <w:lvl w:ilvl="3" w:tplc="E68C17EE">
      <w:start w:val="1"/>
      <w:numFmt w:val="bullet"/>
      <w:lvlText w:val="•"/>
      <w:lvlJc w:val="left"/>
      <w:rPr>
        <w:rFonts w:hint="default"/>
      </w:rPr>
    </w:lvl>
    <w:lvl w:ilvl="4" w:tplc="72D25A6A">
      <w:start w:val="1"/>
      <w:numFmt w:val="bullet"/>
      <w:lvlText w:val="•"/>
      <w:lvlJc w:val="left"/>
      <w:rPr>
        <w:rFonts w:hint="default"/>
      </w:rPr>
    </w:lvl>
    <w:lvl w:ilvl="5" w:tplc="23CE0CC2">
      <w:start w:val="1"/>
      <w:numFmt w:val="bullet"/>
      <w:lvlText w:val="•"/>
      <w:lvlJc w:val="left"/>
      <w:rPr>
        <w:rFonts w:hint="default"/>
      </w:rPr>
    </w:lvl>
    <w:lvl w:ilvl="6" w:tplc="B52844C8">
      <w:start w:val="1"/>
      <w:numFmt w:val="bullet"/>
      <w:lvlText w:val="•"/>
      <w:lvlJc w:val="left"/>
      <w:rPr>
        <w:rFonts w:hint="default"/>
      </w:rPr>
    </w:lvl>
    <w:lvl w:ilvl="7" w:tplc="1DDA8524">
      <w:start w:val="1"/>
      <w:numFmt w:val="bullet"/>
      <w:lvlText w:val="•"/>
      <w:lvlJc w:val="left"/>
      <w:rPr>
        <w:rFonts w:hint="default"/>
      </w:rPr>
    </w:lvl>
    <w:lvl w:ilvl="8" w:tplc="2BE2DC3C">
      <w:start w:val="1"/>
      <w:numFmt w:val="bullet"/>
      <w:lvlText w:val="•"/>
      <w:lvlJc w:val="left"/>
      <w:rPr>
        <w:rFonts w:hint="default"/>
      </w:rPr>
    </w:lvl>
  </w:abstractNum>
  <w:abstractNum w:abstractNumId="75" w15:restartNumberingAfterBreak="0">
    <w:nsid w:val="469D2891"/>
    <w:multiLevelType w:val="hybridMultilevel"/>
    <w:tmpl w:val="1C72B088"/>
    <w:lvl w:ilvl="0" w:tplc="1D84C5DC">
      <w:start w:val="1"/>
      <w:numFmt w:val="bullet"/>
      <w:lvlText w:val=""/>
      <w:lvlJc w:val="left"/>
      <w:pPr>
        <w:ind w:left="1662" w:hanging="360"/>
      </w:pPr>
      <w:rPr>
        <w:rFonts w:ascii="Symbol" w:eastAsia="Symbol" w:hAnsi="Symbol" w:hint="default"/>
        <w:sz w:val="22"/>
        <w:szCs w:val="22"/>
      </w:rPr>
    </w:lvl>
    <w:lvl w:ilvl="1" w:tplc="16B4496C">
      <w:start w:val="1"/>
      <w:numFmt w:val="bullet"/>
      <w:lvlText w:val="•"/>
      <w:lvlJc w:val="left"/>
      <w:pPr>
        <w:ind w:left="2136" w:hanging="360"/>
      </w:pPr>
      <w:rPr>
        <w:rFonts w:hint="default"/>
      </w:rPr>
    </w:lvl>
    <w:lvl w:ilvl="2" w:tplc="24F4099C">
      <w:start w:val="1"/>
      <w:numFmt w:val="bullet"/>
      <w:lvlText w:val="•"/>
      <w:lvlJc w:val="left"/>
      <w:pPr>
        <w:ind w:left="2611" w:hanging="360"/>
      </w:pPr>
      <w:rPr>
        <w:rFonts w:hint="default"/>
      </w:rPr>
    </w:lvl>
    <w:lvl w:ilvl="3" w:tplc="186E909A">
      <w:start w:val="1"/>
      <w:numFmt w:val="bullet"/>
      <w:lvlText w:val="•"/>
      <w:lvlJc w:val="left"/>
      <w:pPr>
        <w:ind w:left="3086" w:hanging="360"/>
      </w:pPr>
      <w:rPr>
        <w:rFonts w:hint="default"/>
      </w:rPr>
    </w:lvl>
    <w:lvl w:ilvl="4" w:tplc="F96AF7AA">
      <w:start w:val="1"/>
      <w:numFmt w:val="bullet"/>
      <w:lvlText w:val="•"/>
      <w:lvlJc w:val="left"/>
      <w:pPr>
        <w:ind w:left="3560" w:hanging="360"/>
      </w:pPr>
      <w:rPr>
        <w:rFonts w:hint="default"/>
      </w:rPr>
    </w:lvl>
    <w:lvl w:ilvl="5" w:tplc="FADE987A">
      <w:start w:val="1"/>
      <w:numFmt w:val="bullet"/>
      <w:lvlText w:val="•"/>
      <w:lvlJc w:val="left"/>
      <w:pPr>
        <w:ind w:left="4035" w:hanging="360"/>
      </w:pPr>
      <w:rPr>
        <w:rFonts w:hint="default"/>
      </w:rPr>
    </w:lvl>
    <w:lvl w:ilvl="6" w:tplc="0DB8AE30">
      <w:start w:val="1"/>
      <w:numFmt w:val="bullet"/>
      <w:lvlText w:val="•"/>
      <w:lvlJc w:val="left"/>
      <w:pPr>
        <w:ind w:left="4509" w:hanging="360"/>
      </w:pPr>
      <w:rPr>
        <w:rFonts w:hint="default"/>
      </w:rPr>
    </w:lvl>
    <w:lvl w:ilvl="7" w:tplc="DE6EA236">
      <w:start w:val="1"/>
      <w:numFmt w:val="bullet"/>
      <w:lvlText w:val="•"/>
      <w:lvlJc w:val="left"/>
      <w:pPr>
        <w:ind w:left="4984" w:hanging="360"/>
      </w:pPr>
      <w:rPr>
        <w:rFonts w:hint="default"/>
      </w:rPr>
    </w:lvl>
    <w:lvl w:ilvl="8" w:tplc="7A64E0FC">
      <w:start w:val="1"/>
      <w:numFmt w:val="bullet"/>
      <w:lvlText w:val="•"/>
      <w:lvlJc w:val="left"/>
      <w:pPr>
        <w:ind w:left="5459" w:hanging="360"/>
      </w:pPr>
      <w:rPr>
        <w:rFonts w:hint="default"/>
      </w:rPr>
    </w:lvl>
  </w:abstractNum>
  <w:abstractNum w:abstractNumId="76" w15:restartNumberingAfterBreak="0">
    <w:nsid w:val="47455DEF"/>
    <w:multiLevelType w:val="hybridMultilevel"/>
    <w:tmpl w:val="DAB4B6A8"/>
    <w:lvl w:ilvl="0" w:tplc="42CE40A2">
      <w:start w:val="1"/>
      <w:numFmt w:val="bullet"/>
      <w:lvlText w:val=""/>
      <w:lvlJc w:val="left"/>
      <w:pPr>
        <w:ind w:left="1734" w:hanging="360"/>
      </w:pPr>
      <w:rPr>
        <w:rFonts w:ascii="Symbol" w:eastAsia="Symbol" w:hAnsi="Symbol" w:hint="default"/>
        <w:sz w:val="22"/>
        <w:szCs w:val="22"/>
      </w:rPr>
    </w:lvl>
    <w:lvl w:ilvl="1" w:tplc="DD746D48">
      <w:start w:val="1"/>
      <w:numFmt w:val="bullet"/>
      <w:lvlText w:val="•"/>
      <w:lvlJc w:val="left"/>
      <w:pPr>
        <w:ind w:left="2201" w:hanging="360"/>
      </w:pPr>
      <w:rPr>
        <w:rFonts w:hint="default"/>
      </w:rPr>
    </w:lvl>
    <w:lvl w:ilvl="2" w:tplc="E1E81842">
      <w:start w:val="1"/>
      <w:numFmt w:val="bullet"/>
      <w:lvlText w:val="•"/>
      <w:lvlJc w:val="left"/>
      <w:pPr>
        <w:ind w:left="2668" w:hanging="360"/>
      </w:pPr>
      <w:rPr>
        <w:rFonts w:hint="default"/>
      </w:rPr>
    </w:lvl>
    <w:lvl w:ilvl="3" w:tplc="0430DCF8">
      <w:start w:val="1"/>
      <w:numFmt w:val="bullet"/>
      <w:lvlText w:val="•"/>
      <w:lvlJc w:val="left"/>
      <w:pPr>
        <w:ind w:left="3136" w:hanging="360"/>
      </w:pPr>
      <w:rPr>
        <w:rFonts w:hint="default"/>
      </w:rPr>
    </w:lvl>
    <w:lvl w:ilvl="4" w:tplc="9C7CEFEE">
      <w:start w:val="1"/>
      <w:numFmt w:val="bullet"/>
      <w:lvlText w:val="•"/>
      <w:lvlJc w:val="left"/>
      <w:pPr>
        <w:ind w:left="3603" w:hanging="360"/>
      </w:pPr>
      <w:rPr>
        <w:rFonts w:hint="default"/>
      </w:rPr>
    </w:lvl>
    <w:lvl w:ilvl="5" w:tplc="34948700">
      <w:start w:val="1"/>
      <w:numFmt w:val="bullet"/>
      <w:lvlText w:val="•"/>
      <w:lvlJc w:val="left"/>
      <w:pPr>
        <w:ind w:left="4071" w:hanging="360"/>
      </w:pPr>
      <w:rPr>
        <w:rFonts w:hint="default"/>
      </w:rPr>
    </w:lvl>
    <w:lvl w:ilvl="6" w:tplc="7938E278">
      <w:start w:val="1"/>
      <w:numFmt w:val="bullet"/>
      <w:lvlText w:val="•"/>
      <w:lvlJc w:val="left"/>
      <w:pPr>
        <w:ind w:left="4538" w:hanging="360"/>
      </w:pPr>
      <w:rPr>
        <w:rFonts w:hint="default"/>
      </w:rPr>
    </w:lvl>
    <w:lvl w:ilvl="7" w:tplc="9BEC2854">
      <w:start w:val="1"/>
      <w:numFmt w:val="bullet"/>
      <w:lvlText w:val="•"/>
      <w:lvlJc w:val="left"/>
      <w:pPr>
        <w:ind w:left="5006" w:hanging="360"/>
      </w:pPr>
      <w:rPr>
        <w:rFonts w:hint="default"/>
      </w:rPr>
    </w:lvl>
    <w:lvl w:ilvl="8" w:tplc="88AEE808">
      <w:start w:val="1"/>
      <w:numFmt w:val="bullet"/>
      <w:lvlText w:val="•"/>
      <w:lvlJc w:val="left"/>
      <w:pPr>
        <w:ind w:left="5473" w:hanging="360"/>
      </w:pPr>
      <w:rPr>
        <w:rFonts w:hint="default"/>
      </w:rPr>
    </w:lvl>
  </w:abstractNum>
  <w:abstractNum w:abstractNumId="77" w15:restartNumberingAfterBreak="0">
    <w:nsid w:val="477C2E90"/>
    <w:multiLevelType w:val="hybridMultilevel"/>
    <w:tmpl w:val="F8C68714"/>
    <w:lvl w:ilvl="0" w:tplc="05A26E88">
      <w:start w:val="4"/>
      <w:numFmt w:val="decimal"/>
      <w:lvlText w:val="%1."/>
      <w:lvlJc w:val="left"/>
      <w:pPr>
        <w:ind w:left="111" w:hanging="562"/>
      </w:pPr>
      <w:rPr>
        <w:rFonts w:ascii="Times New Roman" w:eastAsia="Times New Roman" w:hAnsi="Times New Roman" w:hint="default"/>
        <w:b/>
        <w:bCs/>
        <w:sz w:val="22"/>
        <w:szCs w:val="22"/>
      </w:rPr>
    </w:lvl>
    <w:lvl w:ilvl="1" w:tplc="C49C4558">
      <w:start w:val="1"/>
      <w:numFmt w:val="bullet"/>
      <w:lvlText w:val="•"/>
      <w:lvlJc w:val="left"/>
      <w:pPr>
        <w:ind w:left="1062" w:hanging="562"/>
      </w:pPr>
      <w:rPr>
        <w:rFonts w:hint="default"/>
      </w:rPr>
    </w:lvl>
    <w:lvl w:ilvl="2" w:tplc="D6FE6936">
      <w:start w:val="1"/>
      <w:numFmt w:val="bullet"/>
      <w:lvlText w:val="•"/>
      <w:lvlJc w:val="left"/>
      <w:pPr>
        <w:ind w:left="2012" w:hanging="562"/>
      </w:pPr>
      <w:rPr>
        <w:rFonts w:hint="default"/>
      </w:rPr>
    </w:lvl>
    <w:lvl w:ilvl="3" w:tplc="CEB2FBB2">
      <w:start w:val="1"/>
      <w:numFmt w:val="bullet"/>
      <w:lvlText w:val="•"/>
      <w:lvlJc w:val="left"/>
      <w:pPr>
        <w:ind w:left="2963" w:hanging="562"/>
      </w:pPr>
      <w:rPr>
        <w:rFonts w:hint="default"/>
      </w:rPr>
    </w:lvl>
    <w:lvl w:ilvl="4" w:tplc="6EECC676">
      <w:start w:val="1"/>
      <w:numFmt w:val="bullet"/>
      <w:lvlText w:val="•"/>
      <w:lvlJc w:val="left"/>
      <w:pPr>
        <w:ind w:left="3914" w:hanging="562"/>
      </w:pPr>
      <w:rPr>
        <w:rFonts w:hint="default"/>
      </w:rPr>
    </w:lvl>
    <w:lvl w:ilvl="5" w:tplc="4498F13A">
      <w:start w:val="1"/>
      <w:numFmt w:val="bullet"/>
      <w:lvlText w:val="•"/>
      <w:lvlJc w:val="left"/>
      <w:pPr>
        <w:ind w:left="4865" w:hanging="562"/>
      </w:pPr>
      <w:rPr>
        <w:rFonts w:hint="default"/>
      </w:rPr>
    </w:lvl>
    <w:lvl w:ilvl="6" w:tplc="E16EF654">
      <w:start w:val="1"/>
      <w:numFmt w:val="bullet"/>
      <w:lvlText w:val="•"/>
      <w:lvlJc w:val="left"/>
      <w:pPr>
        <w:ind w:left="5816" w:hanging="562"/>
      </w:pPr>
      <w:rPr>
        <w:rFonts w:hint="default"/>
      </w:rPr>
    </w:lvl>
    <w:lvl w:ilvl="7" w:tplc="960CE538">
      <w:start w:val="1"/>
      <w:numFmt w:val="bullet"/>
      <w:lvlText w:val="•"/>
      <w:lvlJc w:val="left"/>
      <w:pPr>
        <w:ind w:left="6767" w:hanging="562"/>
      </w:pPr>
      <w:rPr>
        <w:rFonts w:hint="default"/>
      </w:rPr>
    </w:lvl>
    <w:lvl w:ilvl="8" w:tplc="4CB4F52E">
      <w:start w:val="1"/>
      <w:numFmt w:val="bullet"/>
      <w:lvlText w:val="•"/>
      <w:lvlJc w:val="left"/>
      <w:pPr>
        <w:ind w:left="7718" w:hanging="562"/>
      </w:pPr>
      <w:rPr>
        <w:rFonts w:hint="default"/>
      </w:rPr>
    </w:lvl>
  </w:abstractNum>
  <w:abstractNum w:abstractNumId="78" w15:restartNumberingAfterBreak="0">
    <w:nsid w:val="47FE11B4"/>
    <w:multiLevelType w:val="hybridMultilevel"/>
    <w:tmpl w:val="8FECB26E"/>
    <w:lvl w:ilvl="0" w:tplc="3B5483F6">
      <w:start w:val="1"/>
      <w:numFmt w:val="decimal"/>
      <w:lvlText w:val="%1."/>
      <w:lvlJc w:val="left"/>
      <w:pPr>
        <w:ind w:left="111" w:hanging="562"/>
      </w:pPr>
      <w:rPr>
        <w:rFonts w:ascii="Times New Roman" w:eastAsia="Times New Roman" w:hAnsi="Times New Roman" w:hint="default"/>
        <w:b/>
        <w:bCs/>
        <w:sz w:val="22"/>
        <w:szCs w:val="22"/>
      </w:rPr>
    </w:lvl>
    <w:lvl w:ilvl="1" w:tplc="0270EBFA">
      <w:start w:val="1"/>
      <w:numFmt w:val="bullet"/>
      <w:lvlText w:val=""/>
      <w:lvlJc w:val="left"/>
      <w:pPr>
        <w:ind w:left="831" w:hanging="360"/>
      </w:pPr>
      <w:rPr>
        <w:rFonts w:ascii="Symbol" w:eastAsia="Symbol" w:hAnsi="Symbol" w:hint="default"/>
        <w:sz w:val="22"/>
        <w:szCs w:val="22"/>
      </w:rPr>
    </w:lvl>
    <w:lvl w:ilvl="2" w:tplc="628AA038">
      <w:start w:val="1"/>
      <w:numFmt w:val="bullet"/>
      <w:lvlText w:val="•"/>
      <w:lvlJc w:val="left"/>
      <w:pPr>
        <w:ind w:left="1805" w:hanging="360"/>
      </w:pPr>
      <w:rPr>
        <w:rFonts w:hint="default"/>
      </w:rPr>
    </w:lvl>
    <w:lvl w:ilvl="3" w:tplc="00204BD0">
      <w:start w:val="1"/>
      <w:numFmt w:val="bullet"/>
      <w:lvlText w:val="•"/>
      <w:lvlJc w:val="left"/>
      <w:pPr>
        <w:ind w:left="2779" w:hanging="360"/>
      </w:pPr>
      <w:rPr>
        <w:rFonts w:hint="default"/>
      </w:rPr>
    </w:lvl>
    <w:lvl w:ilvl="4" w:tplc="C0CE23AA">
      <w:start w:val="1"/>
      <w:numFmt w:val="bullet"/>
      <w:lvlText w:val="•"/>
      <w:lvlJc w:val="left"/>
      <w:pPr>
        <w:ind w:left="3754" w:hanging="360"/>
      </w:pPr>
      <w:rPr>
        <w:rFonts w:hint="default"/>
      </w:rPr>
    </w:lvl>
    <w:lvl w:ilvl="5" w:tplc="8F2AA27C">
      <w:start w:val="1"/>
      <w:numFmt w:val="bullet"/>
      <w:lvlText w:val="•"/>
      <w:lvlJc w:val="left"/>
      <w:pPr>
        <w:ind w:left="4728" w:hanging="360"/>
      </w:pPr>
      <w:rPr>
        <w:rFonts w:hint="default"/>
      </w:rPr>
    </w:lvl>
    <w:lvl w:ilvl="6" w:tplc="1B525C8E">
      <w:start w:val="1"/>
      <w:numFmt w:val="bullet"/>
      <w:lvlText w:val="•"/>
      <w:lvlJc w:val="left"/>
      <w:pPr>
        <w:ind w:left="5702" w:hanging="360"/>
      </w:pPr>
      <w:rPr>
        <w:rFonts w:hint="default"/>
      </w:rPr>
    </w:lvl>
    <w:lvl w:ilvl="7" w:tplc="3858D732">
      <w:start w:val="1"/>
      <w:numFmt w:val="bullet"/>
      <w:lvlText w:val="•"/>
      <w:lvlJc w:val="left"/>
      <w:pPr>
        <w:ind w:left="6677" w:hanging="360"/>
      </w:pPr>
      <w:rPr>
        <w:rFonts w:hint="default"/>
      </w:rPr>
    </w:lvl>
    <w:lvl w:ilvl="8" w:tplc="4A24CD8E">
      <w:start w:val="1"/>
      <w:numFmt w:val="bullet"/>
      <w:lvlText w:val="•"/>
      <w:lvlJc w:val="left"/>
      <w:pPr>
        <w:ind w:left="7651" w:hanging="360"/>
      </w:pPr>
      <w:rPr>
        <w:rFonts w:hint="default"/>
      </w:rPr>
    </w:lvl>
  </w:abstractNum>
  <w:abstractNum w:abstractNumId="79" w15:restartNumberingAfterBreak="0">
    <w:nsid w:val="4873373A"/>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0" w15:restartNumberingAfterBreak="0">
    <w:nsid w:val="4A875A53"/>
    <w:multiLevelType w:val="hybridMultilevel"/>
    <w:tmpl w:val="ED207B66"/>
    <w:lvl w:ilvl="0" w:tplc="8EB439F4">
      <w:start w:val="1"/>
      <w:numFmt w:val="bullet"/>
      <w:lvlText w:val=""/>
      <w:lvlJc w:val="left"/>
      <w:pPr>
        <w:ind w:left="315" w:hanging="180"/>
      </w:pPr>
      <w:rPr>
        <w:rFonts w:ascii="Symbol" w:eastAsia="Symbol" w:hAnsi="Symbol" w:hint="default"/>
        <w:sz w:val="22"/>
        <w:szCs w:val="22"/>
      </w:rPr>
    </w:lvl>
    <w:lvl w:ilvl="1" w:tplc="B4CEBF48">
      <w:start w:val="1"/>
      <w:numFmt w:val="bullet"/>
      <w:lvlText w:val="•"/>
      <w:lvlJc w:val="left"/>
      <w:pPr>
        <w:ind w:left="968" w:hanging="180"/>
      </w:pPr>
      <w:rPr>
        <w:rFonts w:hint="default"/>
      </w:rPr>
    </w:lvl>
    <w:lvl w:ilvl="2" w:tplc="AEDEEE20">
      <w:start w:val="1"/>
      <w:numFmt w:val="bullet"/>
      <w:lvlText w:val="•"/>
      <w:lvlJc w:val="left"/>
      <w:pPr>
        <w:ind w:left="1620" w:hanging="180"/>
      </w:pPr>
      <w:rPr>
        <w:rFonts w:hint="default"/>
      </w:rPr>
    </w:lvl>
    <w:lvl w:ilvl="3" w:tplc="E500C5E0">
      <w:start w:val="1"/>
      <w:numFmt w:val="bullet"/>
      <w:lvlText w:val="•"/>
      <w:lvlJc w:val="left"/>
      <w:pPr>
        <w:ind w:left="2272" w:hanging="180"/>
      </w:pPr>
      <w:rPr>
        <w:rFonts w:hint="default"/>
      </w:rPr>
    </w:lvl>
    <w:lvl w:ilvl="4" w:tplc="AD9E3AFA">
      <w:start w:val="1"/>
      <w:numFmt w:val="bullet"/>
      <w:lvlText w:val="•"/>
      <w:lvlJc w:val="left"/>
      <w:pPr>
        <w:ind w:left="2924" w:hanging="180"/>
      </w:pPr>
      <w:rPr>
        <w:rFonts w:hint="default"/>
      </w:rPr>
    </w:lvl>
    <w:lvl w:ilvl="5" w:tplc="DB5CD828">
      <w:start w:val="1"/>
      <w:numFmt w:val="bullet"/>
      <w:lvlText w:val="•"/>
      <w:lvlJc w:val="left"/>
      <w:pPr>
        <w:ind w:left="3576" w:hanging="180"/>
      </w:pPr>
      <w:rPr>
        <w:rFonts w:hint="default"/>
      </w:rPr>
    </w:lvl>
    <w:lvl w:ilvl="6" w:tplc="261C4966">
      <w:start w:val="1"/>
      <w:numFmt w:val="bullet"/>
      <w:lvlText w:val="•"/>
      <w:lvlJc w:val="left"/>
      <w:pPr>
        <w:ind w:left="4229" w:hanging="180"/>
      </w:pPr>
      <w:rPr>
        <w:rFonts w:hint="default"/>
      </w:rPr>
    </w:lvl>
    <w:lvl w:ilvl="7" w:tplc="387425EE">
      <w:start w:val="1"/>
      <w:numFmt w:val="bullet"/>
      <w:lvlText w:val="•"/>
      <w:lvlJc w:val="left"/>
      <w:pPr>
        <w:ind w:left="4881" w:hanging="180"/>
      </w:pPr>
      <w:rPr>
        <w:rFonts w:hint="default"/>
      </w:rPr>
    </w:lvl>
    <w:lvl w:ilvl="8" w:tplc="889ADEE8">
      <w:start w:val="1"/>
      <w:numFmt w:val="bullet"/>
      <w:lvlText w:val="•"/>
      <w:lvlJc w:val="left"/>
      <w:pPr>
        <w:ind w:left="5533" w:hanging="180"/>
      </w:pPr>
      <w:rPr>
        <w:rFonts w:hint="default"/>
      </w:rPr>
    </w:lvl>
  </w:abstractNum>
  <w:abstractNum w:abstractNumId="81" w15:restartNumberingAfterBreak="0">
    <w:nsid w:val="4B682C81"/>
    <w:multiLevelType w:val="hybridMultilevel"/>
    <w:tmpl w:val="28ACA21E"/>
    <w:lvl w:ilvl="0" w:tplc="05806EEC">
      <w:start w:val="1"/>
      <w:numFmt w:val="lowerLetter"/>
      <w:lvlText w:val="%1."/>
      <w:lvlJc w:val="left"/>
      <w:pPr>
        <w:ind w:left="462" w:hanging="332"/>
      </w:pPr>
      <w:rPr>
        <w:rFonts w:ascii="Times New Roman" w:eastAsia="Times New Roman" w:hAnsi="Times New Roman" w:hint="default"/>
        <w:sz w:val="22"/>
        <w:szCs w:val="22"/>
      </w:rPr>
    </w:lvl>
    <w:lvl w:ilvl="1" w:tplc="D9AE8CB4">
      <w:start w:val="1"/>
      <w:numFmt w:val="bullet"/>
      <w:lvlText w:val="•"/>
      <w:lvlJc w:val="left"/>
      <w:pPr>
        <w:ind w:left="1338" w:hanging="332"/>
      </w:pPr>
      <w:rPr>
        <w:rFonts w:hint="default"/>
      </w:rPr>
    </w:lvl>
    <w:lvl w:ilvl="2" w:tplc="7898061E">
      <w:start w:val="1"/>
      <w:numFmt w:val="bullet"/>
      <w:lvlText w:val="•"/>
      <w:lvlJc w:val="left"/>
      <w:pPr>
        <w:ind w:left="2214" w:hanging="332"/>
      </w:pPr>
      <w:rPr>
        <w:rFonts w:hint="default"/>
      </w:rPr>
    </w:lvl>
    <w:lvl w:ilvl="3" w:tplc="E6E473A2">
      <w:start w:val="1"/>
      <w:numFmt w:val="bullet"/>
      <w:lvlText w:val="•"/>
      <w:lvlJc w:val="left"/>
      <w:pPr>
        <w:ind w:left="3091" w:hanging="332"/>
      </w:pPr>
      <w:rPr>
        <w:rFonts w:hint="default"/>
      </w:rPr>
    </w:lvl>
    <w:lvl w:ilvl="4" w:tplc="AA203892">
      <w:start w:val="1"/>
      <w:numFmt w:val="bullet"/>
      <w:lvlText w:val="•"/>
      <w:lvlJc w:val="left"/>
      <w:pPr>
        <w:ind w:left="3967" w:hanging="332"/>
      </w:pPr>
      <w:rPr>
        <w:rFonts w:hint="default"/>
      </w:rPr>
    </w:lvl>
    <w:lvl w:ilvl="5" w:tplc="B588B222">
      <w:start w:val="1"/>
      <w:numFmt w:val="bullet"/>
      <w:lvlText w:val="•"/>
      <w:lvlJc w:val="left"/>
      <w:pPr>
        <w:ind w:left="4844" w:hanging="332"/>
      </w:pPr>
      <w:rPr>
        <w:rFonts w:hint="default"/>
      </w:rPr>
    </w:lvl>
    <w:lvl w:ilvl="6" w:tplc="75689E18">
      <w:start w:val="1"/>
      <w:numFmt w:val="bullet"/>
      <w:lvlText w:val="•"/>
      <w:lvlJc w:val="left"/>
      <w:pPr>
        <w:ind w:left="5720" w:hanging="332"/>
      </w:pPr>
      <w:rPr>
        <w:rFonts w:hint="default"/>
      </w:rPr>
    </w:lvl>
    <w:lvl w:ilvl="7" w:tplc="922AF808">
      <w:start w:val="1"/>
      <w:numFmt w:val="bullet"/>
      <w:lvlText w:val="•"/>
      <w:lvlJc w:val="left"/>
      <w:pPr>
        <w:ind w:left="6596" w:hanging="332"/>
      </w:pPr>
      <w:rPr>
        <w:rFonts w:hint="default"/>
      </w:rPr>
    </w:lvl>
    <w:lvl w:ilvl="8" w:tplc="056EA2D4">
      <w:start w:val="1"/>
      <w:numFmt w:val="bullet"/>
      <w:lvlText w:val="•"/>
      <w:lvlJc w:val="left"/>
      <w:pPr>
        <w:ind w:left="7473" w:hanging="332"/>
      </w:pPr>
      <w:rPr>
        <w:rFonts w:hint="default"/>
      </w:rPr>
    </w:lvl>
  </w:abstractNum>
  <w:abstractNum w:abstractNumId="82" w15:restartNumberingAfterBreak="0">
    <w:nsid w:val="4BAA0280"/>
    <w:multiLevelType w:val="hybridMultilevel"/>
    <w:tmpl w:val="3BC0AC8C"/>
    <w:lvl w:ilvl="0" w:tplc="83108742">
      <w:start w:val="1"/>
      <w:numFmt w:val="bullet"/>
      <w:lvlText w:val=""/>
      <w:lvlJc w:val="left"/>
      <w:pPr>
        <w:ind w:left="323" w:hanging="188"/>
      </w:pPr>
      <w:rPr>
        <w:rFonts w:ascii="Symbol" w:eastAsia="Symbol" w:hAnsi="Symbol" w:hint="default"/>
        <w:sz w:val="22"/>
        <w:szCs w:val="22"/>
      </w:rPr>
    </w:lvl>
    <w:lvl w:ilvl="1" w:tplc="97E006F8">
      <w:start w:val="1"/>
      <w:numFmt w:val="bullet"/>
      <w:lvlText w:val="•"/>
      <w:lvlJc w:val="left"/>
      <w:pPr>
        <w:ind w:left="974" w:hanging="188"/>
      </w:pPr>
      <w:rPr>
        <w:rFonts w:hint="default"/>
      </w:rPr>
    </w:lvl>
    <w:lvl w:ilvl="2" w:tplc="CDA26F64">
      <w:start w:val="1"/>
      <w:numFmt w:val="bullet"/>
      <w:lvlText w:val="•"/>
      <w:lvlJc w:val="left"/>
      <w:pPr>
        <w:ind w:left="1626" w:hanging="188"/>
      </w:pPr>
      <w:rPr>
        <w:rFonts w:hint="default"/>
      </w:rPr>
    </w:lvl>
    <w:lvl w:ilvl="3" w:tplc="C2BADB70">
      <w:start w:val="1"/>
      <w:numFmt w:val="bullet"/>
      <w:lvlText w:val="•"/>
      <w:lvlJc w:val="left"/>
      <w:pPr>
        <w:ind w:left="2277" w:hanging="188"/>
      </w:pPr>
      <w:rPr>
        <w:rFonts w:hint="default"/>
      </w:rPr>
    </w:lvl>
    <w:lvl w:ilvl="4" w:tplc="00CCFDC2">
      <w:start w:val="1"/>
      <w:numFmt w:val="bullet"/>
      <w:lvlText w:val="•"/>
      <w:lvlJc w:val="left"/>
      <w:pPr>
        <w:ind w:left="2929" w:hanging="188"/>
      </w:pPr>
      <w:rPr>
        <w:rFonts w:hint="default"/>
      </w:rPr>
    </w:lvl>
    <w:lvl w:ilvl="5" w:tplc="A710937A">
      <w:start w:val="1"/>
      <w:numFmt w:val="bullet"/>
      <w:lvlText w:val="•"/>
      <w:lvlJc w:val="left"/>
      <w:pPr>
        <w:ind w:left="3580" w:hanging="188"/>
      </w:pPr>
      <w:rPr>
        <w:rFonts w:hint="default"/>
      </w:rPr>
    </w:lvl>
    <w:lvl w:ilvl="6" w:tplc="364A278E">
      <w:start w:val="1"/>
      <w:numFmt w:val="bullet"/>
      <w:lvlText w:val="•"/>
      <w:lvlJc w:val="left"/>
      <w:pPr>
        <w:ind w:left="4232" w:hanging="188"/>
      </w:pPr>
      <w:rPr>
        <w:rFonts w:hint="default"/>
      </w:rPr>
    </w:lvl>
    <w:lvl w:ilvl="7" w:tplc="E9B8BB4A">
      <w:start w:val="1"/>
      <w:numFmt w:val="bullet"/>
      <w:lvlText w:val="•"/>
      <w:lvlJc w:val="left"/>
      <w:pPr>
        <w:ind w:left="4883" w:hanging="188"/>
      </w:pPr>
      <w:rPr>
        <w:rFonts w:hint="default"/>
      </w:rPr>
    </w:lvl>
    <w:lvl w:ilvl="8" w:tplc="7A580CF8">
      <w:start w:val="1"/>
      <w:numFmt w:val="bullet"/>
      <w:lvlText w:val="•"/>
      <w:lvlJc w:val="left"/>
      <w:pPr>
        <w:ind w:left="5535" w:hanging="188"/>
      </w:pPr>
      <w:rPr>
        <w:rFonts w:hint="default"/>
      </w:rPr>
    </w:lvl>
  </w:abstractNum>
  <w:abstractNum w:abstractNumId="83" w15:restartNumberingAfterBreak="0">
    <w:nsid w:val="4BBD4572"/>
    <w:multiLevelType w:val="hybridMultilevel"/>
    <w:tmpl w:val="E948265E"/>
    <w:lvl w:ilvl="0" w:tplc="75A0DBE2">
      <w:start w:val="1"/>
      <w:numFmt w:val="decimal"/>
      <w:lvlText w:val="%1."/>
      <w:lvlJc w:val="left"/>
      <w:pPr>
        <w:ind w:left="677" w:hanging="567"/>
      </w:pPr>
      <w:rPr>
        <w:rFonts w:ascii="Times New Roman" w:eastAsia="Times New Roman" w:hAnsi="Times New Roman" w:hint="default"/>
        <w:sz w:val="22"/>
        <w:szCs w:val="22"/>
      </w:rPr>
    </w:lvl>
    <w:lvl w:ilvl="1" w:tplc="09C67370">
      <w:start w:val="1"/>
      <w:numFmt w:val="bullet"/>
      <w:lvlText w:val="•"/>
      <w:lvlJc w:val="left"/>
      <w:pPr>
        <w:ind w:left="1569" w:hanging="567"/>
      </w:pPr>
      <w:rPr>
        <w:rFonts w:hint="default"/>
      </w:rPr>
    </w:lvl>
    <w:lvl w:ilvl="2" w:tplc="167ABAD4">
      <w:start w:val="1"/>
      <w:numFmt w:val="bullet"/>
      <w:lvlText w:val="•"/>
      <w:lvlJc w:val="left"/>
      <w:pPr>
        <w:ind w:left="2462" w:hanging="567"/>
      </w:pPr>
      <w:rPr>
        <w:rFonts w:hint="default"/>
      </w:rPr>
    </w:lvl>
    <w:lvl w:ilvl="3" w:tplc="DA28E39C">
      <w:start w:val="1"/>
      <w:numFmt w:val="bullet"/>
      <w:lvlText w:val="•"/>
      <w:lvlJc w:val="left"/>
      <w:pPr>
        <w:ind w:left="3354" w:hanging="567"/>
      </w:pPr>
      <w:rPr>
        <w:rFonts w:hint="default"/>
      </w:rPr>
    </w:lvl>
    <w:lvl w:ilvl="4" w:tplc="78249104">
      <w:start w:val="1"/>
      <w:numFmt w:val="bullet"/>
      <w:lvlText w:val="•"/>
      <w:lvlJc w:val="left"/>
      <w:pPr>
        <w:ind w:left="4246" w:hanging="567"/>
      </w:pPr>
      <w:rPr>
        <w:rFonts w:hint="default"/>
      </w:rPr>
    </w:lvl>
    <w:lvl w:ilvl="5" w:tplc="E246255C">
      <w:start w:val="1"/>
      <w:numFmt w:val="bullet"/>
      <w:lvlText w:val="•"/>
      <w:lvlJc w:val="left"/>
      <w:pPr>
        <w:ind w:left="5138" w:hanging="567"/>
      </w:pPr>
      <w:rPr>
        <w:rFonts w:hint="default"/>
      </w:rPr>
    </w:lvl>
    <w:lvl w:ilvl="6" w:tplc="9AF2E092">
      <w:start w:val="1"/>
      <w:numFmt w:val="bullet"/>
      <w:lvlText w:val="•"/>
      <w:lvlJc w:val="left"/>
      <w:pPr>
        <w:ind w:left="6031" w:hanging="567"/>
      </w:pPr>
      <w:rPr>
        <w:rFonts w:hint="default"/>
      </w:rPr>
    </w:lvl>
    <w:lvl w:ilvl="7" w:tplc="04023F50">
      <w:start w:val="1"/>
      <w:numFmt w:val="bullet"/>
      <w:lvlText w:val="•"/>
      <w:lvlJc w:val="left"/>
      <w:pPr>
        <w:ind w:left="6923" w:hanging="567"/>
      </w:pPr>
      <w:rPr>
        <w:rFonts w:hint="default"/>
      </w:rPr>
    </w:lvl>
    <w:lvl w:ilvl="8" w:tplc="2E06FBD2">
      <w:start w:val="1"/>
      <w:numFmt w:val="bullet"/>
      <w:lvlText w:val="•"/>
      <w:lvlJc w:val="left"/>
      <w:pPr>
        <w:ind w:left="7815" w:hanging="567"/>
      </w:pPr>
      <w:rPr>
        <w:rFonts w:hint="default"/>
      </w:rPr>
    </w:lvl>
  </w:abstractNum>
  <w:abstractNum w:abstractNumId="84" w15:restartNumberingAfterBreak="0">
    <w:nsid w:val="4C7D2BF8"/>
    <w:multiLevelType w:val="hybridMultilevel"/>
    <w:tmpl w:val="013E1584"/>
    <w:lvl w:ilvl="0" w:tplc="2266E4B2">
      <w:start w:val="1"/>
      <w:numFmt w:val="decimal"/>
      <w:lvlText w:val="%1."/>
      <w:lvlJc w:val="left"/>
      <w:pPr>
        <w:ind w:left="677" w:hanging="567"/>
      </w:pPr>
      <w:rPr>
        <w:rFonts w:ascii="Times New Roman" w:eastAsia="Times New Roman" w:hAnsi="Times New Roman" w:hint="default"/>
        <w:sz w:val="22"/>
        <w:szCs w:val="22"/>
      </w:rPr>
    </w:lvl>
    <w:lvl w:ilvl="1" w:tplc="401AB9C6">
      <w:start w:val="1"/>
      <w:numFmt w:val="bullet"/>
      <w:lvlText w:val="•"/>
      <w:lvlJc w:val="left"/>
      <w:pPr>
        <w:ind w:left="1569" w:hanging="567"/>
      </w:pPr>
      <w:rPr>
        <w:rFonts w:hint="default"/>
      </w:rPr>
    </w:lvl>
    <w:lvl w:ilvl="2" w:tplc="5804E7E2">
      <w:start w:val="1"/>
      <w:numFmt w:val="bullet"/>
      <w:lvlText w:val="•"/>
      <w:lvlJc w:val="left"/>
      <w:pPr>
        <w:ind w:left="2462" w:hanging="567"/>
      </w:pPr>
      <w:rPr>
        <w:rFonts w:hint="default"/>
      </w:rPr>
    </w:lvl>
    <w:lvl w:ilvl="3" w:tplc="59D81BD6">
      <w:start w:val="1"/>
      <w:numFmt w:val="bullet"/>
      <w:lvlText w:val="•"/>
      <w:lvlJc w:val="left"/>
      <w:pPr>
        <w:ind w:left="3354" w:hanging="567"/>
      </w:pPr>
      <w:rPr>
        <w:rFonts w:hint="default"/>
      </w:rPr>
    </w:lvl>
    <w:lvl w:ilvl="4" w:tplc="326A8AA0">
      <w:start w:val="1"/>
      <w:numFmt w:val="bullet"/>
      <w:lvlText w:val="•"/>
      <w:lvlJc w:val="left"/>
      <w:pPr>
        <w:ind w:left="4246" w:hanging="567"/>
      </w:pPr>
      <w:rPr>
        <w:rFonts w:hint="default"/>
      </w:rPr>
    </w:lvl>
    <w:lvl w:ilvl="5" w:tplc="7EBECC50">
      <w:start w:val="1"/>
      <w:numFmt w:val="bullet"/>
      <w:lvlText w:val="•"/>
      <w:lvlJc w:val="left"/>
      <w:pPr>
        <w:ind w:left="5138" w:hanging="567"/>
      </w:pPr>
      <w:rPr>
        <w:rFonts w:hint="default"/>
      </w:rPr>
    </w:lvl>
    <w:lvl w:ilvl="6" w:tplc="B34A8DBA">
      <w:start w:val="1"/>
      <w:numFmt w:val="bullet"/>
      <w:lvlText w:val="•"/>
      <w:lvlJc w:val="left"/>
      <w:pPr>
        <w:ind w:left="6031" w:hanging="567"/>
      </w:pPr>
      <w:rPr>
        <w:rFonts w:hint="default"/>
      </w:rPr>
    </w:lvl>
    <w:lvl w:ilvl="7" w:tplc="A1BE8552">
      <w:start w:val="1"/>
      <w:numFmt w:val="bullet"/>
      <w:lvlText w:val="•"/>
      <w:lvlJc w:val="left"/>
      <w:pPr>
        <w:ind w:left="6923" w:hanging="567"/>
      </w:pPr>
      <w:rPr>
        <w:rFonts w:hint="default"/>
      </w:rPr>
    </w:lvl>
    <w:lvl w:ilvl="8" w:tplc="1B8C12C0">
      <w:start w:val="1"/>
      <w:numFmt w:val="bullet"/>
      <w:lvlText w:val="•"/>
      <w:lvlJc w:val="left"/>
      <w:pPr>
        <w:ind w:left="7815" w:hanging="567"/>
      </w:pPr>
      <w:rPr>
        <w:rFonts w:hint="default"/>
      </w:rPr>
    </w:lvl>
  </w:abstractNum>
  <w:abstractNum w:abstractNumId="85" w15:restartNumberingAfterBreak="0">
    <w:nsid w:val="4CC0175C"/>
    <w:multiLevelType w:val="hybridMultilevel"/>
    <w:tmpl w:val="BC547514"/>
    <w:lvl w:ilvl="0" w:tplc="7A441CC8">
      <w:start w:val="1"/>
      <w:numFmt w:val="bullet"/>
      <w:lvlText w:val=""/>
      <w:lvlJc w:val="left"/>
      <w:pPr>
        <w:ind w:left="720" w:hanging="360"/>
      </w:pPr>
      <w:rPr>
        <w:rFonts w:ascii="Symbol" w:hAnsi="Symbol" w:hint="default"/>
      </w:rPr>
    </w:lvl>
    <w:lvl w:ilvl="1" w:tplc="71B478AE" w:tentative="1">
      <w:start w:val="1"/>
      <w:numFmt w:val="bullet"/>
      <w:lvlText w:val="o"/>
      <w:lvlJc w:val="left"/>
      <w:pPr>
        <w:ind w:left="1440" w:hanging="360"/>
      </w:pPr>
      <w:rPr>
        <w:rFonts w:ascii="Courier New" w:hAnsi="Courier New" w:cs="Courier New" w:hint="default"/>
      </w:rPr>
    </w:lvl>
    <w:lvl w:ilvl="2" w:tplc="25408C56" w:tentative="1">
      <w:start w:val="1"/>
      <w:numFmt w:val="bullet"/>
      <w:lvlText w:val=""/>
      <w:lvlJc w:val="left"/>
      <w:pPr>
        <w:ind w:left="2160" w:hanging="360"/>
      </w:pPr>
      <w:rPr>
        <w:rFonts w:ascii="Wingdings" w:hAnsi="Wingdings" w:hint="default"/>
      </w:rPr>
    </w:lvl>
    <w:lvl w:ilvl="3" w:tplc="53925998" w:tentative="1">
      <w:start w:val="1"/>
      <w:numFmt w:val="bullet"/>
      <w:lvlText w:val=""/>
      <w:lvlJc w:val="left"/>
      <w:pPr>
        <w:ind w:left="2880" w:hanging="360"/>
      </w:pPr>
      <w:rPr>
        <w:rFonts w:ascii="Symbol" w:hAnsi="Symbol" w:hint="default"/>
      </w:rPr>
    </w:lvl>
    <w:lvl w:ilvl="4" w:tplc="A9D4AC94" w:tentative="1">
      <w:start w:val="1"/>
      <w:numFmt w:val="bullet"/>
      <w:lvlText w:val="o"/>
      <w:lvlJc w:val="left"/>
      <w:pPr>
        <w:ind w:left="3600" w:hanging="360"/>
      </w:pPr>
      <w:rPr>
        <w:rFonts w:ascii="Courier New" w:hAnsi="Courier New" w:cs="Courier New" w:hint="default"/>
      </w:rPr>
    </w:lvl>
    <w:lvl w:ilvl="5" w:tplc="37A63D48" w:tentative="1">
      <w:start w:val="1"/>
      <w:numFmt w:val="bullet"/>
      <w:lvlText w:val=""/>
      <w:lvlJc w:val="left"/>
      <w:pPr>
        <w:ind w:left="4320" w:hanging="360"/>
      </w:pPr>
      <w:rPr>
        <w:rFonts w:ascii="Wingdings" w:hAnsi="Wingdings" w:hint="default"/>
      </w:rPr>
    </w:lvl>
    <w:lvl w:ilvl="6" w:tplc="86A629D8" w:tentative="1">
      <w:start w:val="1"/>
      <w:numFmt w:val="bullet"/>
      <w:lvlText w:val=""/>
      <w:lvlJc w:val="left"/>
      <w:pPr>
        <w:ind w:left="5040" w:hanging="360"/>
      </w:pPr>
      <w:rPr>
        <w:rFonts w:ascii="Symbol" w:hAnsi="Symbol" w:hint="default"/>
      </w:rPr>
    </w:lvl>
    <w:lvl w:ilvl="7" w:tplc="98DCCC7E" w:tentative="1">
      <w:start w:val="1"/>
      <w:numFmt w:val="bullet"/>
      <w:lvlText w:val="o"/>
      <w:lvlJc w:val="left"/>
      <w:pPr>
        <w:ind w:left="5760" w:hanging="360"/>
      </w:pPr>
      <w:rPr>
        <w:rFonts w:ascii="Courier New" w:hAnsi="Courier New" w:cs="Courier New" w:hint="default"/>
      </w:rPr>
    </w:lvl>
    <w:lvl w:ilvl="8" w:tplc="8612EBBA" w:tentative="1">
      <w:start w:val="1"/>
      <w:numFmt w:val="bullet"/>
      <w:lvlText w:val=""/>
      <w:lvlJc w:val="left"/>
      <w:pPr>
        <w:ind w:left="6480" w:hanging="360"/>
      </w:pPr>
      <w:rPr>
        <w:rFonts w:ascii="Wingdings" w:hAnsi="Wingdings" w:hint="default"/>
      </w:rPr>
    </w:lvl>
  </w:abstractNum>
  <w:abstractNum w:abstractNumId="86" w15:restartNumberingAfterBreak="0">
    <w:nsid w:val="4D2A7B1C"/>
    <w:multiLevelType w:val="hybridMultilevel"/>
    <w:tmpl w:val="4B880366"/>
    <w:lvl w:ilvl="0" w:tplc="BC32833E">
      <w:start w:val="1"/>
      <w:numFmt w:val="bullet"/>
      <w:lvlText w:val=""/>
      <w:lvlJc w:val="left"/>
      <w:pPr>
        <w:ind w:left="315" w:hanging="176"/>
      </w:pPr>
      <w:rPr>
        <w:rFonts w:ascii="Symbol" w:eastAsia="Symbol" w:hAnsi="Symbol" w:hint="default"/>
        <w:sz w:val="22"/>
        <w:szCs w:val="22"/>
      </w:rPr>
    </w:lvl>
    <w:lvl w:ilvl="1" w:tplc="4CD05C02">
      <w:start w:val="1"/>
      <w:numFmt w:val="bullet"/>
      <w:lvlText w:val="•"/>
      <w:lvlJc w:val="left"/>
      <w:pPr>
        <w:ind w:left="968" w:hanging="176"/>
      </w:pPr>
      <w:rPr>
        <w:rFonts w:hint="default"/>
      </w:rPr>
    </w:lvl>
    <w:lvl w:ilvl="2" w:tplc="4828782A">
      <w:start w:val="1"/>
      <w:numFmt w:val="bullet"/>
      <w:lvlText w:val="•"/>
      <w:lvlJc w:val="left"/>
      <w:pPr>
        <w:ind w:left="1621" w:hanging="176"/>
      </w:pPr>
      <w:rPr>
        <w:rFonts w:hint="default"/>
      </w:rPr>
    </w:lvl>
    <w:lvl w:ilvl="3" w:tplc="633C8488">
      <w:start w:val="1"/>
      <w:numFmt w:val="bullet"/>
      <w:lvlText w:val="•"/>
      <w:lvlJc w:val="left"/>
      <w:pPr>
        <w:ind w:left="2273" w:hanging="176"/>
      </w:pPr>
      <w:rPr>
        <w:rFonts w:hint="default"/>
      </w:rPr>
    </w:lvl>
    <w:lvl w:ilvl="4" w:tplc="F1E6A178">
      <w:start w:val="1"/>
      <w:numFmt w:val="bullet"/>
      <w:lvlText w:val="•"/>
      <w:lvlJc w:val="left"/>
      <w:pPr>
        <w:ind w:left="2926" w:hanging="176"/>
      </w:pPr>
      <w:rPr>
        <w:rFonts w:hint="default"/>
      </w:rPr>
    </w:lvl>
    <w:lvl w:ilvl="5" w:tplc="F426DE92">
      <w:start w:val="1"/>
      <w:numFmt w:val="bullet"/>
      <w:lvlText w:val="•"/>
      <w:lvlJc w:val="left"/>
      <w:pPr>
        <w:ind w:left="3579" w:hanging="176"/>
      </w:pPr>
      <w:rPr>
        <w:rFonts w:hint="default"/>
      </w:rPr>
    </w:lvl>
    <w:lvl w:ilvl="6" w:tplc="3C18CAD8">
      <w:start w:val="1"/>
      <w:numFmt w:val="bullet"/>
      <w:lvlText w:val="•"/>
      <w:lvlJc w:val="left"/>
      <w:pPr>
        <w:ind w:left="4232" w:hanging="176"/>
      </w:pPr>
      <w:rPr>
        <w:rFonts w:hint="default"/>
      </w:rPr>
    </w:lvl>
    <w:lvl w:ilvl="7" w:tplc="71FEAB12">
      <w:start w:val="1"/>
      <w:numFmt w:val="bullet"/>
      <w:lvlText w:val="•"/>
      <w:lvlJc w:val="left"/>
      <w:pPr>
        <w:ind w:left="4884" w:hanging="176"/>
      </w:pPr>
      <w:rPr>
        <w:rFonts w:hint="default"/>
      </w:rPr>
    </w:lvl>
    <w:lvl w:ilvl="8" w:tplc="53AC3ED2">
      <w:start w:val="1"/>
      <w:numFmt w:val="bullet"/>
      <w:lvlText w:val="•"/>
      <w:lvlJc w:val="left"/>
      <w:pPr>
        <w:ind w:left="5537" w:hanging="176"/>
      </w:pPr>
      <w:rPr>
        <w:rFonts w:hint="default"/>
      </w:rPr>
    </w:lvl>
  </w:abstractNum>
  <w:abstractNum w:abstractNumId="87" w15:restartNumberingAfterBreak="0">
    <w:nsid w:val="4D6D1F59"/>
    <w:multiLevelType w:val="hybridMultilevel"/>
    <w:tmpl w:val="9F6EEB9A"/>
    <w:lvl w:ilvl="0" w:tplc="7234AF2E">
      <w:start w:val="1"/>
      <w:numFmt w:val="bullet"/>
      <w:lvlText w:val="•"/>
      <w:lvlJc w:val="left"/>
      <w:pPr>
        <w:ind w:left="660" w:hanging="550"/>
      </w:pPr>
      <w:rPr>
        <w:rFonts w:ascii="Times New Roman" w:eastAsia="Times New Roman" w:hAnsi="Times New Roman" w:hint="default"/>
        <w:sz w:val="22"/>
        <w:szCs w:val="22"/>
      </w:rPr>
    </w:lvl>
    <w:lvl w:ilvl="1" w:tplc="FE2C7930">
      <w:start w:val="1"/>
      <w:numFmt w:val="bullet"/>
      <w:lvlText w:val="•"/>
      <w:lvlJc w:val="left"/>
      <w:pPr>
        <w:ind w:left="1550" w:hanging="550"/>
      </w:pPr>
      <w:rPr>
        <w:rFonts w:hint="default"/>
      </w:rPr>
    </w:lvl>
    <w:lvl w:ilvl="2" w:tplc="C6121A70">
      <w:start w:val="1"/>
      <w:numFmt w:val="bullet"/>
      <w:lvlText w:val="•"/>
      <w:lvlJc w:val="left"/>
      <w:pPr>
        <w:ind w:left="2440" w:hanging="550"/>
      </w:pPr>
      <w:rPr>
        <w:rFonts w:hint="default"/>
      </w:rPr>
    </w:lvl>
    <w:lvl w:ilvl="3" w:tplc="9E467B84">
      <w:start w:val="1"/>
      <w:numFmt w:val="bullet"/>
      <w:lvlText w:val="•"/>
      <w:lvlJc w:val="left"/>
      <w:pPr>
        <w:ind w:left="3330" w:hanging="550"/>
      </w:pPr>
      <w:rPr>
        <w:rFonts w:hint="default"/>
      </w:rPr>
    </w:lvl>
    <w:lvl w:ilvl="4" w:tplc="DFFA2F32">
      <w:start w:val="1"/>
      <w:numFmt w:val="bullet"/>
      <w:lvlText w:val="•"/>
      <w:lvlJc w:val="left"/>
      <w:pPr>
        <w:ind w:left="4220" w:hanging="550"/>
      </w:pPr>
      <w:rPr>
        <w:rFonts w:hint="default"/>
      </w:rPr>
    </w:lvl>
    <w:lvl w:ilvl="5" w:tplc="EABA646A">
      <w:start w:val="1"/>
      <w:numFmt w:val="bullet"/>
      <w:lvlText w:val="•"/>
      <w:lvlJc w:val="left"/>
      <w:pPr>
        <w:ind w:left="5110" w:hanging="550"/>
      </w:pPr>
      <w:rPr>
        <w:rFonts w:hint="default"/>
      </w:rPr>
    </w:lvl>
    <w:lvl w:ilvl="6" w:tplc="C082DCA6">
      <w:start w:val="1"/>
      <w:numFmt w:val="bullet"/>
      <w:lvlText w:val="•"/>
      <w:lvlJc w:val="left"/>
      <w:pPr>
        <w:ind w:left="6000" w:hanging="550"/>
      </w:pPr>
      <w:rPr>
        <w:rFonts w:hint="default"/>
      </w:rPr>
    </w:lvl>
    <w:lvl w:ilvl="7" w:tplc="877E827C">
      <w:start w:val="1"/>
      <w:numFmt w:val="bullet"/>
      <w:lvlText w:val="•"/>
      <w:lvlJc w:val="left"/>
      <w:pPr>
        <w:ind w:left="6890" w:hanging="550"/>
      </w:pPr>
      <w:rPr>
        <w:rFonts w:hint="default"/>
      </w:rPr>
    </w:lvl>
    <w:lvl w:ilvl="8" w:tplc="48D2052C">
      <w:start w:val="1"/>
      <w:numFmt w:val="bullet"/>
      <w:lvlText w:val="•"/>
      <w:lvlJc w:val="left"/>
      <w:pPr>
        <w:ind w:left="7780" w:hanging="550"/>
      </w:pPr>
      <w:rPr>
        <w:rFonts w:hint="default"/>
      </w:rPr>
    </w:lvl>
  </w:abstractNum>
  <w:abstractNum w:abstractNumId="88" w15:restartNumberingAfterBreak="0">
    <w:nsid w:val="4E7C36FC"/>
    <w:multiLevelType w:val="hybridMultilevel"/>
    <w:tmpl w:val="28A00D86"/>
    <w:lvl w:ilvl="0" w:tplc="FA203168">
      <w:start w:val="1"/>
      <w:numFmt w:val="decimal"/>
      <w:lvlText w:val="%1."/>
      <w:lvlJc w:val="left"/>
      <w:pPr>
        <w:ind w:left="760" w:hanging="360"/>
      </w:pPr>
      <w:rPr>
        <w:rFonts w:hint="default"/>
      </w:rPr>
    </w:lvl>
    <w:lvl w:ilvl="1" w:tplc="F0241728" w:tentative="1">
      <w:start w:val="1"/>
      <w:numFmt w:val="upperLetter"/>
      <w:lvlText w:val="%2."/>
      <w:lvlJc w:val="left"/>
      <w:pPr>
        <w:ind w:left="1200" w:hanging="400"/>
      </w:pPr>
    </w:lvl>
    <w:lvl w:ilvl="2" w:tplc="B6E87C1A" w:tentative="1">
      <w:start w:val="1"/>
      <w:numFmt w:val="lowerRoman"/>
      <w:lvlText w:val="%3."/>
      <w:lvlJc w:val="right"/>
      <w:pPr>
        <w:ind w:left="1600" w:hanging="400"/>
      </w:pPr>
    </w:lvl>
    <w:lvl w:ilvl="3" w:tplc="643CE932" w:tentative="1">
      <w:start w:val="1"/>
      <w:numFmt w:val="decimal"/>
      <w:lvlText w:val="%4."/>
      <w:lvlJc w:val="left"/>
      <w:pPr>
        <w:ind w:left="2000" w:hanging="400"/>
      </w:pPr>
    </w:lvl>
    <w:lvl w:ilvl="4" w:tplc="D742B06C" w:tentative="1">
      <w:start w:val="1"/>
      <w:numFmt w:val="upperLetter"/>
      <w:lvlText w:val="%5."/>
      <w:lvlJc w:val="left"/>
      <w:pPr>
        <w:ind w:left="2400" w:hanging="400"/>
      </w:pPr>
    </w:lvl>
    <w:lvl w:ilvl="5" w:tplc="B24E041A" w:tentative="1">
      <w:start w:val="1"/>
      <w:numFmt w:val="lowerRoman"/>
      <w:lvlText w:val="%6."/>
      <w:lvlJc w:val="right"/>
      <w:pPr>
        <w:ind w:left="2800" w:hanging="400"/>
      </w:pPr>
    </w:lvl>
    <w:lvl w:ilvl="6" w:tplc="9C54CC34" w:tentative="1">
      <w:start w:val="1"/>
      <w:numFmt w:val="decimal"/>
      <w:lvlText w:val="%7."/>
      <w:lvlJc w:val="left"/>
      <w:pPr>
        <w:ind w:left="3200" w:hanging="400"/>
      </w:pPr>
    </w:lvl>
    <w:lvl w:ilvl="7" w:tplc="7D34B5E6" w:tentative="1">
      <w:start w:val="1"/>
      <w:numFmt w:val="upperLetter"/>
      <w:lvlText w:val="%8."/>
      <w:lvlJc w:val="left"/>
      <w:pPr>
        <w:ind w:left="3600" w:hanging="400"/>
      </w:pPr>
    </w:lvl>
    <w:lvl w:ilvl="8" w:tplc="B38A3B3A" w:tentative="1">
      <w:start w:val="1"/>
      <w:numFmt w:val="lowerRoman"/>
      <w:lvlText w:val="%9."/>
      <w:lvlJc w:val="right"/>
      <w:pPr>
        <w:ind w:left="4000" w:hanging="400"/>
      </w:pPr>
    </w:lvl>
  </w:abstractNum>
  <w:abstractNum w:abstractNumId="89" w15:restartNumberingAfterBreak="0">
    <w:nsid w:val="50A34B89"/>
    <w:multiLevelType w:val="hybridMultilevel"/>
    <w:tmpl w:val="339C2F6A"/>
    <w:lvl w:ilvl="0" w:tplc="AA680CBA">
      <w:start w:val="1"/>
      <w:numFmt w:val="decimal"/>
      <w:lvlText w:val="%1."/>
      <w:lvlJc w:val="left"/>
      <w:pPr>
        <w:ind w:hanging="562"/>
      </w:pPr>
      <w:rPr>
        <w:rFonts w:ascii="Times New Roman" w:eastAsia="Times New Roman" w:hAnsi="Times New Roman" w:hint="default"/>
        <w:b/>
        <w:bCs/>
        <w:sz w:val="22"/>
        <w:szCs w:val="22"/>
      </w:rPr>
    </w:lvl>
    <w:lvl w:ilvl="1" w:tplc="974498A8">
      <w:start w:val="1"/>
      <w:numFmt w:val="bullet"/>
      <w:lvlText w:val="•"/>
      <w:lvlJc w:val="left"/>
      <w:rPr>
        <w:rFonts w:hint="default"/>
      </w:rPr>
    </w:lvl>
    <w:lvl w:ilvl="2" w:tplc="E1AC2D82">
      <w:start w:val="1"/>
      <w:numFmt w:val="bullet"/>
      <w:lvlText w:val="•"/>
      <w:lvlJc w:val="left"/>
      <w:rPr>
        <w:rFonts w:hint="default"/>
      </w:rPr>
    </w:lvl>
    <w:lvl w:ilvl="3" w:tplc="302EB66A">
      <w:start w:val="1"/>
      <w:numFmt w:val="bullet"/>
      <w:lvlText w:val="•"/>
      <w:lvlJc w:val="left"/>
      <w:rPr>
        <w:rFonts w:hint="default"/>
      </w:rPr>
    </w:lvl>
    <w:lvl w:ilvl="4" w:tplc="917CE498">
      <w:start w:val="1"/>
      <w:numFmt w:val="bullet"/>
      <w:lvlText w:val="•"/>
      <w:lvlJc w:val="left"/>
      <w:rPr>
        <w:rFonts w:hint="default"/>
      </w:rPr>
    </w:lvl>
    <w:lvl w:ilvl="5" w:tplc="2938A376">
      <w:start w:val="1"/>
      <w:numFmt w:val="bullet"/>
      <w:lvlText w:val="•"/>
      <w:lvlJc w:val="left"/>
      <w:rPr>
        <w:rFonts w:hint="default"/>
      </w:rPr>
    </w:lvl>
    <w:lvl w:ilvl="6" w:tplc="72A0D984">
      <w:start w:val="1"/>
      <w:numFmt w:val="bullet"/>
      <w:lvlText w:val="•"/>
      <w:lvlJc w:val="left"/>
      <w:rPr>
        <w:rFonts w:hint="default"/>
      </w:rPr>
    </w:lvl>
    <w:lvl w:ilvl="7" w:tplc="25741A36">
      <w:start w:val="1"/>
      <w:numFmt w:val="bullet"/>
      <w:lvlText w:val="•"/>
      <w:lvlJc w:val="left"/>
      <w:rPr>
        <w:rFonts w:hint="default"/>
      </w:rPr>
    </w:lvl>
    <w:lvl w:ilvl="8" w:tplc="E8A477BE">
      <w:start w:val="1"/>
      <w:numFmt w:val="bullet"/>
      <w:lvlText w:val="•"/>
      <w:lvlJc w:val="left"/>
      <w:rPr>
        <w:rFonts w:hint="default"/>
      </w:rPr>
    </w:lvl>
  </w:abstractNum>
  <w:abstractNum w:abstractNumId="90"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91" w15:restartNumberingAfterBreak="0">
    <w:nsid w:val="53702E7A"/>
    <w:multiLevelType w:val="hybridMultilevel"/>
    <w:tmpl w:val="6DC00094"/>
    <w:lvl w:ilvl="0" w:tplc="1160EC02">
      <w:start w:val="1"/>
      <w:numFmt w:val="bullet"/>
      <w:lvlText w:val=""/>
      <w:lvlJc w:val="left"/>
      <w:pPr>
        <w:ind w:left="1698" w:hanging="360"/>
      </w:pPr>
      <w:rPr>
        <w:rFonts w:ascii="Symbol" w:eastAsia="Symbol" w:hAnsi="Symbol" w:hint="default"/>
        <w:sz w:val="22"/>
        <w:szCs w:val="22"/>
      </w:rPr>
    </w:lvl>
    <w:lvl w:ilvl="1" w:tplc="91166808">
      <w:start w:val="1"/>
      <w:numFmt w:val="bullet"/>
      <w:lvlText w:val="•"/>
      <w:lvlJc w:val="left"/>
      <w:pPr>
        <w:ind w:left="2169" w:hanging="360"/>
      </w:pPr>
      <w:rPr>
        <w:rFonts w:hint="default"/>
      </w:rPr>
    </w:lvl>
    <w:lvl w:ilvl="2" w:tplc="5D5060D6">
      <w:start w:val="1"/>
      <w:numFmt w:val="bullet"/>
      <w:lvlText w:val="•"/>
      <w:lvlJc w:val="left"/>
      <w:pPr>
        <w:ind w:left="2640" w:hanging="360"/>
      </w:pPr>
      <w:rPr>
        <w:rFonts w:hint="default"/>
      </w:rPr>
    </w:lvl>
    <w:lvl w:ilvl="3" w:tplc="5628B750">
      <w:start w:val="1"/>
      <w:numFmt w:val="bullet"/>
      <w:lvlText w:val="•"/>
      <w:lvlJc w:val="left"/>
      <w:pPr>
        <w:ind w:left="3111" w:hanging="360"/>
      </w:pPr>
      <w:rPr>
        <w:rFonts w:hint="default"/>
      </w:rPr>
    </w:lvl>
    <w:lvl w:ilvl="4" w:tplc="20AAA158">
      <w:start w:val="1"/>
      <w:numFmt w:val="bullet"/>
      <w:lvlText w:val="•"/>
      <w:lvlJc w:val="left"/>
      <w:pPr>
        <w:ind w:left="3582" w:hanging="360"/>
      </w:pPr>
      <w:rPr>
        <w:rFonts w:hint="default"/>
      </w:rPr>
    </w:lvl>
    <w:lvl w:ilvl="5" w:tplc="53A43982">
      <w:start w:val="1"/>
      <w:numFmt w:val="bullet"/>
      <w:lvlText w:val="•"/>
      <w:lvlJc w:val="left"/>
      <w:pPr>
        <w:ind w:left="4053" w:hanging="360"/>
      </w:pPr>
      <w:rPr>
        <w:rFonts w:hint="default"/>
      </w:rPr>
    </w:lvl>
    <w:lvl w:ilvl="6" w:tplc="9E8E4CC2">
      <w:start w:val="1"/>
      <w:numFmt w:val="bullet"/>
      <w:lvlText w:val="•"/>
      <w:lvlJc w:val="left"/>
      <w:pPr>
        <w:ind w:left="4524" w:hanging="360"/>
      </w:pPr>
      <w:rPr>
        <w:rFonts w:hint="default"/>
      </w:rPr>
    </w:lvl>
    <w:lvl w:ilvl="7" w:tplc="155EF53E">
      <w:start w:val="1"/>
      <w:numFmt w:val="bullet"/>
      <w:lvlText w:val="•"/>
      <w:lvlJc w:val="left"/>
      <w:pPr>
        <w:ind w:left="4995" w:hanging="360"/>
      </w:pPr>
      <w:rPr>
        <w:rFonts w:hint="default"/>
      </w:rPr>
    </w:lvl>
    <w:lvl w:ilvl="8" w:tplc="055E2D0E">
      <w:start w:val="1"/>
      <w:numFmt w:val="bullet"/>
      <w:lvlText w:val="•"/>
      <w:lvlJc w:val="left"/>
      <w:pPr>
        <w:ind w:left="5466" w:hanging="360"/>
      </w:pPr>
      <w:rPr>
        <w:rFonts w:hint="default"/>
      </w:rPr>
    </w:lvl>
  </w:abstractNum>
  <w:abstractNum w:abstractNumId="92" w15:restartNumberingAfterBreak="0">
    <w:nsid w:val="53AF1F18"/>
    <w:multiLevelType w:val="hybridMultilevel"/>
    <w:tmpl w:val="18D2948C"/>
    <w:lvl w:ilvl="0" w:tplc="69648B04">
      <w:start w:val="1"/>
      <w:numFmt w:val="bullet"/>
      <w:lvlText w:val=""/>
      <w:lvlJc w:val="left"/>
      <w:pPr>
        <w:ind w:left="315" w:hanging="180"/>
      </w:pPr>
      <w:rPr>
        <w:rFonts w:ascii="Symbol" w:eastAsia="Symbol" w:hAnsi="Symbol" w:hint="default"/>
        <w:sz w:val="22"/>
        <w:szCs w:val="22"/>
      </w:rPr>
    </w:lvl>
    <w:lvl w:ilvl="1" w:tplc="A5CE54CC">
      <w:start w:val="1"/>
      <w:numFmt w:val="bullet"/>
      <w:lvlText w:val="•"/>
      <w:lvlJc w:val="left"/>
      <w:pPr>
        <w:ind w:left="968" w:hanging="180"/>
      </w:pPr>
      <w:rPr>
        <w:rFonts w:hint="default"/>
      </w:rPr>
    </w:lvl>
    <w:lvl w:ilvl="2" w:tplc="A634B028">
      <w:start w:val="1"/>
      <w:numFmt w:val="bullet"/>
      <w:lvlText w:val="•"/>
      <w:lvlJc w:val="left"/>
      <w:pPr>
        <w:ind w:left="1621" w:hanging="180"/>
      </w:pPr>
      <w:rPr>
        <w:rFonts w:hint="default"/>
      </w:rPr>
    </w:lvl>
    <w:lvl w:ilvl="3" w:tplc="A60CA698">
      <w:start w:val="1"/>
      <w:numFmt w:val="bullet"/>
      <w:lvlText w:val="•"/>
      <w:lvlJc w:val="left"/>
      <w:pPr>
        <w:ind w:left="2273" w:hanging="180"/>
      </w:pPr>
      <w:rPr>
        <w:rFonts w:hint="default"/>
      </w:rPr>
    </w:lvl>
    <w:lvl w:ilvl="4" w:tplc="B00688DE">
      <w:start w:val="1"/>
      <w:numFmt w:val="bullet"/>
      <w:lvlText w:val="•"/>
      <w:lvlJc w:val="left"/>
      <w:pPr>
        <w:ind w:left="2926" w:hanging="180"/>
      </w:pPr>
      <w:rPr>
        <w:rFonts w:hint="default"/>
      </w:rPr>
    </w:lvl>
    <w:lvl w:ilvl="5" w:tplc="4126DE6C">
      <w:start w:val="1"/>
      <w:numFmt w:val="bullet"/>
      <w:lvlText w:val="•"/>
      <w:lvlJc w:val="left"/>
      <w:pPr>
        <w:ind w:left="3579" w:hanging="180"/>
      </w:pPr>
      <w:rPr>
        <w:rFonts w:hint="default"/>
      </w:rPr>
    </w:lvl>
    <w:lvl w:ilvl="6" w:tplc="89BC82B2">
      <w:start w:val="1"/>
      <w:numFmt w:val="bullet"/>
      <w:lvlText w:val="•"/>
      <w:lvlJc w:val="left"/>
      <w:pPr>
        <w:ind w:left="4232" w:hanging="180"/>
      </w:pPr>
      <w:rPr>
        <w:rFonts w:hint="default"/>
      </w:rPr>
    </w:lvl>
    <w:lvl w:ilvl="7" w:tplc="510485E8">
      <w:start w:val="1"/>
      <w:numFmt w:val="bullet"/>
      <w:lvlText w:val="•"/>
      <w:lvlJc w:val="left"/>
      <w:pPr>
        <w:ind w:left="4884" w:hanging="180"/>
      </w:pPr>
      <w:rPr>
        <w:rFonts w:hint="default"/>
      </w:rPr>
    </w:lvl>
    <w:lvl w:ilvl="8" w:tplc="7BCA962E">
      <w:start w:val="1"/>
      <w:numFmt w:val="bullet"/>
      <w:lvlText w:val="•"/>
      <w:lvlJc w:val="left"/>
      <w:pPr>
        <w:ind w:left="5537" w:hanging="180"/>
      </w:pPr>
      <w:rPr>
        <w:rFonts w:hint="default"/>
      </w:rPr>
    </w:lvl>
  </w:abstractNum>
  <w:abstractNum w:abstractNumId="93" w15:restartNumberingAfterBreak="0">
    <w:nsid w:val="5464395C"/>
    <w:multiLevelType w:val="hybridMultilevel"/>
    <w:tmpl w:val="F08486F8"/>
    <w:lvl w:ilvl="0" w:tplc="971E026E">
      <w:start w:val="1"/>
      <w:numFmt w:val="decimal"/>
      <w:lvlText w:val="%1."/>
      <w:lvlJc w:val="left"/>
      <w:pPr>
        <w:ind w:left="360" w:hanging="360"/>
      </w:pPr>
      <w:rPr>
        <w:rFonts w:ascii="Times New Roman" w:hAnsi="Times New Roman" w:cs="Times New Roman" w:hint="default"/>
        <w:b/>
      </w:rPr>
    </w:lvl>
    <w:lvl w:ilvl="1" w:tplc="88C43224" w:tentative="1">
      <w:start w:val="1"/>
      <w:numFmt w:val="upperLetter"/>
      <w:lvlText w:val="%2."/>
      <w:lvlJc w:val="left"/>
      <w:pPr>
        <w:ind w:left="800" w:hanging="400"/>
      </w:pPr>
    </w:lvl>
    <w:lvl w:ilvl="2" w:tplc="F48A1328" w:tentative="1">
      <w:start w:val="1"/>
      <w:numFmt w:val="lowerRoman"/>
      <w:lvlText w:val="%3."/>
      <w:lvlJc w:val="right"/>
      <w:pPr>
        <w:ind w:left="1200" w:hanging="400"/>
      </w:pPr>
    </w:lvl>
    <w:lvl w:ilvl="3" w:tplc="4BE4F684" w:tentative="1">
      <w:start w:val="1"/>
      <w:numFmt w:val="decimal"/>
      <w:lvlText w:val="%4."/>
      <w:lvlJc w:val="left"/>
      <w:pPr>
        <w:ind w:left="1600" w:hanging="400"/>
      </w:pPr>
    </w:lvl>
    <w:lvl w:ilvl="4" w:tplc="F1061708" w:tentative="1">
      <w:start w:val="1"/>
      <w:numFmt w:val="upperLetter"/>
      <w:lvlText w:val="%5."/>
      <w:lvlJc w:val="left"/>
      <w:pPr>
        <w:ind w:left="2000" w:hanging="400"/>
      </w:pPr>
    </w:lvl>
    <w:lvl w:ilvl="5" w:tplc="E00CBE86" w:tentative="1">
      <w:start w:val="1"/>
      <w:numFmt w:val="lowerRoman"/>
      <w:lvlText w:val="%6."/>
      <w:lvlJc w:val="right"/>
      <w:pPr>
        <w:ind w:left="2400" w:hanging="400"/>
      </w:pPr>
    </w:lvl>
    <w:lvl w:ilvl="6" w:tplc="BF9A02B6" w:tentative="1">
      <w:start w:val="1"/>
      <w:numFmt w:val="decimal"/>
      <w:lvlText w:val="%7."/>
      <w:lvlJc w:val="left"/>
      <w:pPr>
        <w:ind w:left="2800" w:hanging="400"/>
      </w:pPr>
    </w:lvl>
    <w:lvl w:ilvl="7" w:tplc="5824DAFC" w:tentative="1">
      <w:start w:val="1"/>
      <w:numFmt w:val="upperLetter"/>
      <w:lvlText w:val="%8."/>
      <w:lvlJc w:val="left"/>
      <w:pPr>
        <w:ind w:left="3200" w:hanging="400"/>
      </w:pPr>
    </w:lvl>
    <w:lvl w:ilvl="8" w:tplc="9CDE68F2" w:tentative="1">
      <w:start w:val="1"/>
      <w:numFmt w:val="lowerRoman"/>
      <w:lvlText w:val="%9."/>
      <w:lvlJc w:val="right"/>
      <w:pPr>
        <w:ind w:left="3600" w:hanging="400"/>
      </w:pPr>
    </w:lvl>
  </w:abstractNum>
  <w:abstractNum w:abstractNumId="94" w15:restartNumberingAfterBreak="0">
    <w:nsid w:val="55AF659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95" w15:restartNumberingAfterBreak="0">
    <w:nsid w:val="56B22909"/>
    <w:multiLevelType w:val="hybridMultilevel"/>
    <w:tmpl w:val="E03A9E72"/>
    <w:lvl w:ilvl="0" w:tplc="4F5C0B66">
      <w:start w:val="1"/>
      <w:numFmt w:val="decimal"/>
      <w:lvlText w:val="%1."/>
      <w:lvlJc w:val="left"/>
      <w:pPr>
        <w:ind w:left="111" w:hanging="562"/>
      </w:pPr>
      <w:rPr>
        <w:rFonts w:ascii="Times New Roman" w:eastAsia="Times New Roman" w:hAnsi="Times New Roman" w:hint="default"/>
        <w:b/>
        <w:bCs/>
        <w:sz w:val="22"/>
        <w:szCs w:val="22"/>
      </w:rPr>
    </w:lvl>
    <w:lvl w:ilvl="1" w:tplc="A0CE679E">
      <w:start w:val="1"/>
      <w:numFmt w:val="bullet"/>
      <w:lvlText w:val=""/>
      <w:lvlJc w:val="left"/>
      <w:pPr>
        <w:ind w:left="831" w:hanging="360"/>
      </w:pPr>
      <w:rPr>
        <w:rFonts w:ascii="Symbol" w:eastAsia="Symbol" w:hAnsi="Symbol" w:hint="default"/>
        <w:sz w:val="22"/>
        <w:szCs w:val="22"/>
      </w:rPr>
    </w:lvl>
    <w:lvl w:ilvl="2" w:tplc="9FB42C60">
      <w:start w:val="1"/>
      <w:numFmt w:val="bullet"/>
      <w:lvlText w:val=""/>
      <w:lvlJc w:val="left"/>
      <w:pPr>
        <w:ind w:left="1551" w:hanging="360"/>
      </w:pPr>
      <w:rPr>
        <w:rFonts w:ascii="Symbol" w:eastAsia="Symbol" w:hAnsi="Symbol" w:hint="default"/>
        <w:sz w:val="22"/>
        <w:szCs w:val="22"/>
      </w:rPr>
    </w:lvl>
    <w:lvl w:ilvl="3" w:tplc="B6C2C2E8">
      <w:start w:val="1"/>
      <w:numFmt w:val="bullet"/>
      <w:lvlText w:val="•"/>
      <w:lvlJc w:val="left"/>
      <w:pPr>
        <w:ind w:left="2557" w:hanging="360"/>
      </w:pPr>
      <w:rPr>
        <w:rFonts w:hint="default"/>
      </w:rPr>
    </w:lvl>
    <w:lvl w:ilvl="4" w:tplc="D0FAC0A8">
      <w:start w:val="1"/>
      <w:numFmt w:val="bullet"/>
      <w:lvlText w:val="•"/>
      <w:lvlJc w:val="left"/>
      <w:pPr>
        <w:ind w:left="3563" w:hanging="360"/>
      </w:pPr>
      <w:rPr>
        <w:rFonts w:hint="default"/>
      </w:rPr>
    </w:lvl>
    <w:lvl w:ilvl="5" w:tplc="5ECE9DB2">
      <w:start w:val="1"/>
      <w:numFmt w:val="bullet"/>
      <w:lvlText w:val="•"/>
      <w:lvlJc w:val="left"/>
      <w:pPr>
        <w:ind w:left="4569" w:hanging="360"/>
      </w:pPr>
      <w:rPr>
        <w:rFonts w:hint="default"/>
      </w:rPr>
    </w:lvl>
    <w:lvl w:ilvl="6" w:tplc="67941D2E">
      <w:start w:val="1"/>
      <w:numFmt w:val="bullet"/>
      <w:lvlText w:val="•"/>
      <w:lvlJc w:val="left"/>
      <w:pPr>
        <w:ind w:left="5575" w:hanging="360"/>
      </w:pPr>
      <w:rPr>
        <w:rFonts w:hint="default"/>
      </w:rPr>
    </w:lvl>
    <w:lvl w:ilvl="7" w:tplc="C2AE0006">
      <w:start w:val="1"/>
      <w:numFmt w:val="bullet"/>
      <w:lvlText w:val="•"/>
      <w:lvlJc w:val="left"/>
      <w:pPr>
        <w:ind w:left="6581" w:hanging="360"/>
      </w:pPr>
      <w:rPr>
        <w:rFonts w:hint="default"/>
      </w:rPr>
    </w:lvl>
    <w:lvl w:ilvl="8" w:tplc="531A75F2">
      <w:start w:val="1"/>
      <w:numFmt w:val="bullet"/>
      <w:lvlText w:val="•"/>
      <w:lvlJc w:val="left"/>
      <w:pPr>
        <w:ind w:left="7587" w:hanging="360"/>
      </w:pPr>
      <w:rPr>
        <w:rFonts w:hint="default"/>
      </w:rPr>
    </w:lvl>
  </w:abstractNum>
  <w:abstractNum w:abstractNumId="96" w15:restartNumberingAfterBreak="0">
    <w:nsid w:val="57651109"/>
    <w:multiLevelType w:val="hybridMultilevel"/>
    <w:tmpl w:val="41C490C4"/>
    <w:lvl w:ilvl="0" w:tplc="B4D4AD8C">
      <w:start w:val="1"/>
      <w:numFmt w:val="bullet"/>
      <w:lvlText w:val=""/>
      <w:lvlJc w:val="left"/>
      <w:pPr>
        <w:ind w:hanging="567"/>
      </w:pPr>
      <w:rPr>
        <w:rFonts w:ascii="Symbol" w:eastAsia="Symbol" w:hAnsi="Symbol" w:hint="default"/>
        <w:w w:val="100"/>
        <w:sz w:val="22"/>
        <w:szCs w:val="22"/>
      </w:rPr>
    </w:lvl>
    <w:lvl w:ilvl="1" w:tplc="5020695E">
      <w:start w:val="1"/>
      <w:numFmt w:val="bullet"/>
      <w:lvlText w:val="•"/>
      <w:lvlJc w:val="left"/>
      <w:rPr>
        <w:rFonts w:hint="default"/>
      </w:rPr>
    </w:lvl>
    <w:lvl w:ilvl="2" w:tplc="BC3A7348">
      <w:start w:val="1"/>
      <w:numFmt w:val="bullet"/>
      <w:lvlText w:val="•"/>
      <w:lvlJc w:val="left"/>
      <w:rPr>
        <w:rFonts w:hint="default"/>
      </w:rPr>
    </w:lvl>
    <w:lvl w:ilvl="3" w:tplc="1752E7DE">
      <w:start w:val="1"/>
      <w:numFmt w:val="bullet"/>
      <w:lvlText w:val="•"/>
      <w:lvlJc w:val="left"/>
      <w:rPr>
        <w:rFonts w:hint="default"/>
      </w:rPr>
    </w:lvl>
    <w:lvl w:ilvl="4" w:tplc="CB14473C">
      <w:start w:val="1"/>
      <w:numFmt w:val="bullet"/>
      <w:lvlText w:val="•"/>
      <w:lvlJc w:val="left"/>
      <w:rPr>
        <w:rFonts w:hint="default"/>
      </w:rPr>
    </w:lvl>
    <w:lvl w:ilvl="5" w:tplc="18F6FCE2">
      <w:start w:val="1"/>
      <w:numFmt w:val="bullet"/>
      <w:lvlText w:val="•"/>
      <w:lvlJc w:val="left"/>
      <w:rPr>
        <w:rFonts w:hint="default"/>
      </w:rPr>
    </w:lvl>
    <w:lvl w:ilvl="6" w:tplc="0FE4E1BC">
      <w:start w:val="1"/>
      <w:numFmt w:val="bullet"/>
      <w:lvlText w:val="•"/>
      <w:lvlJc w:val="left"/>
      <w:rPr>
        <w:rFonts w:hint="default"/>
      </w:rPr>
    </w:lvl>
    <w:lvl w:ilvl="7" w:tplc="73B0C720">
      <w:start w:val="1"/>
      <w:numFmt w:val="bullet"/>
      <w:lvlText w:val="•"/>
      <w:lvlJc w:val="left"/>
      <w:rPr>
        <w:rFonts w:hint="default"/>
      </w:rPr>
    </w:lvl>
    <w:lvl w:ilvl="8" w:tplc="C694CB2C">
      <w:start w:val="1"/>
      <w:numFmt w:val="bullet"/>
      <w:lvlText w:val="•"/>
      <w:lvlJc w:val="left"/>
      <w:rPr>
        <w:rFonts w:hint="default"/>
      </w:rPr>
    </w:lvl>
  </w:abstractNum>
  <w:abstractNum w:abstractNumId="97" w15:restartNumberingAfterBreak="0">
    <w:nsid w:val="5924735E"/>
    <w:multiLevelType w:val="hybridMultilevel"/>
    <w:tmpl w:val="5746A45C"/>
    <w:lvl w:ilvl="0" w:tplc="D12056EE">
      <w:start w:val="1"/>
      <w:numFmt w:val="decimal"/>
      <w:lvlText w:val="%1"/>
      <w:lvlJc w:val="left"/>
      <w:pPr>
        <w:ind w:left="396" w:hanging="166"/>
      </w:pPr>
      <w:rPr>
        <w:rFonts w:ascii="Times New Roman" w:eastAsia="Times New Roman" w:hAnsi="Times New Roman" w:hint="default"/>
        <w:sz w:val="22"/>
        <w:szCs w:val="22"/>
      </w:rPr>
    </w:lvl>
    <w:lvl w:ilvl="1" w:tplc="799A84CA">
      <w:start w:val="1"/>
      <w:numFmt w:val="bullet"/>
      <w:lvlText w:val="•"/>
      <w:lvlJc w:val="left"/>
      <w:pPr>
        <w:ind w:left="1345" w:hanging="166"/>
      </w:pPr>
      <w:rPr>
        <w:rFonts w:hint="default"/>
      </w:rPr>
    </w:lvl>
    <w:lvl w:ilvl="2" w:tplc="A10015F8">
      <w:start w:val="1"/>
      <w:numFmt w:val="bullet"/>
      <w:lvlText w:val="•"/>
      <w:lvlJc w:val="left"/>
      <w:pPr>
        <w:ind w:left="2293" w:hanging="166"/>
      </w:pPr>
      <w:rPr>
        <w:rFonts w:hint="default"/>
      </w:rPr>
    </w:lvl>
    <w:lvl w:ilvl="3" w:tplc="204C8202">
      <w:start w:val="1"/>
      <w:numFmt w:val="bullet"/>
      <w:lvlText w:val="•"/>
      <w:lvlJc w:val="left"/>
      <w:pPr>
        <w:ind w:left="3241" w:hanging="166"/>
      </w:pPr>
      <w:rPr>
        <w:rFonts w:hint="default"/>
      </w:rPr>
    </w:lvl>
    <w:lvl w:ilvl="4" w:tplc="03B82590">
      <w:start w:val="1"/>
      <w:numFmt w:val="bullet"/>
      <w:lvlText w:val="•"/>
      <w:lvlJc w:val="left"/>
      <w:pPr>
        <w:ind w:left="4190" w:hanging="166"/>
      </w:pPr>
      <w:rPr>
        <w:rFonts w:hint="default"/>
      </w:rPr>
    </w:lvl>
    <w:lvl w:ilvl="5" w:tplc="4DD8CF14">
      <w:start w:val="1"/>
      <w:numFmt w:val="bullet"/>
      <w:lvlText w:val="•"/>
      <w:lvlJc w:val="left"/>
      <w:pPr>
        <w:ind w:left="5138" w:hanging="166"/>
      </w:pPr>
      <w:rPr>
        <w:rFonts w:hint="default"/>
      </w:rPr>
    </w:lvl>
    <w:lvl w:ilvl="6" w:tplc="C6CE6DC6">
      <w:start w:val="1"/>
      <w:numFmt w:val="bullet"/>
      <w:lvlText w:val="•"/>
      <w:lvlJc w:val="left"/>
      <w:pPr>
        <w:ind w:left="6086" w:hanging="166"/>
      </w:pPr>
      <w:rPr>
        <w:rFonts w:hint="default"/>
      </w:rPr>
    </w:lvl>
    <w:lvl w:ilvl="7" w:tplc="BE64974A">
      <w:start w:val="1"/>
      <w:numFmt w:val="bullet"/>
      <w:lvlText w:val="•"/>
      <w:lvlJc w:val="left"/>
      <w:pPr>
        <w:ind w:left="7035" w:hanging="166"/>
      </w:pPr>
      <w:rPr>
        <w:rFonts w:hint="default"/>
      </w:rPr>
    </w:lvl>
    <w:lvl w:ilvl="8" w:tplc="83D4FC7C">
      <w:start w:val="1"/>
      <w:numFmt w:val="bullet"/>
      <w:lvlText w:val="•"/>
      <w:lvlJc w:val="left"/>
      <w:pPr>
        <w:ind w:left="7983" w:hanging="166"/>
      </w:pPr>
      <w:rPr>
        <w:rFonts w:hint="default"/>
      </w:rPr>
    </w:lvl>
  </w:abstractNum>
  <w:abstractNum w:abstractNumId="98" w15:restartNumberingAfterBreak="0">
    <w:nsid w:val="59C102ED"/>
    <w:multiLevelType w:val="hybridMultilevel"/>
    <w:tmpl w:val="339C2F6A"/>
    <w:lvl w:ilvl="0" w:tplc="A13886A2">
      <w:start w:val="1"/>
      <w:numFmt w:val="decimal"/>
      <w:lvlText w:val="%1."/>
      <w:lvlJc w:val="left"/>
      <w:pPr>
        <w:ind w:hanging="562"/>
      </w:pPr>
      <w:rPr>
        <w:rFonts w:ascii="Times New Roman" w:eastAsia="Times New Roman" w:hAnsi="Times New Roman" w:hint="default"/>
        <w:b/>
        <w:bCs/>
        <w:sz w:val="22"/>
        <w:szCs w:val="22"/>
      </w:rPr>
    </w:lvl>
    <w:lvl w:ilvl="1" w:tplc="88D4A710">
      <w:start w:val="1"/>
      <w:numFmt w:val="bullet"/>
      <w:lvlText w:val="•"/>
      <w:lvlJc w:val="left"/>
      <w:rPr>
        <w:rFonts w:hint="default"/>
      </w:rPr>
    </w:lvl>
    <w:lvl w:ilvl="2" w:tplc="8BEE8BFA">
      <w:start w:val="1"/>
      <w:numFmt w:val="bullet"/>
      <w:lvlText w:val="•"/>
      <w:lvlJc w:val="left"/>
      <w:rPr>
        <w:rFonts w:hint="default"/>
      </w:rPr>
    </w:lvl>
    <w:lvl w:ilvl="3" w:tplc="8F58C016">
      <w:start w:val="1"/>
      <w:numFmt w:val="bullet"/>
      <w:lvlText w:val="•"/>
      <w:lvlJc w:val="left"/>
      <w:rPr>
        <w:rFonts w:hint="default"/>
      </w:rPr>
    </w:lvl>
    <w:lvl w:ilvl="4" w:tplc="9AA053DC">
      <w:start w:val="1"/>
      <w:numFmt w:val="bullet"/>
      <w:lvlText w:val="•"/>
      <w:lvlJc w:val="left"/>
      <w:rPr>
        <w:rFonts w:hint="default"/>
      </w:rPr>
    </w:lvl>
    <w:lvl w:ilvl="5" w:tplc="ACA836D6">
      <w:start w:val="1"/>
      <w:numFmt w:val="bullet"/>
      <w:lvlText w:val="•"/>
      <w:lvlJc w:val="left"/>
      <w:rPr>
        <w:rFonts w:hint="default"/>
      </w:rPr>
    </w:lvl>
    <w:lvl w:ilvl="6" w:tplc="0E2858A2">
      <w:start w:val="1"/>
      <w:numFmt w:val="bullet"/>
      <w:lvlText w:val="•"/>
      <w:lvlJc w:val="left"/>
      <w:rPr>
        <w:rFonts w:hint="default"/>
      </w:rPr>
    </w:lvl>
    <w:lvl w:ilvl="7" w:tplc="D7AEE386">
      <w:start w:val="1"/>
      <w:numFmt w:val="bullet"/>
      <w:lvlText w:val="•"/>
      <w:lvlJc w:val="left"/>
      <w:rPr>
        <w:rFonts w:hint="default"/>
      </w:rPr>
    </w:lvl>
    <w:lvl w:ilvl="8" w:tplc="1FA0C92A">
      <w:start w:val="1"/>
      <w:numFmt w:val="bullet"/>
      <w:lvlText w:val="•"/>
      <w:lvlJc w:val="left"/>
      <w:rPr>
        <w:rFonts w:hint="default"/>
      </w:rPr>
    </w:lvl>
  </w:abstractNum>
  <w:abstractNum w:abstractNumId="99" w15:restartNumberingAfterBreak="0">
    <w:nsid w:val="5A9D1472"/>
    <w:multiLevelType w:val="hybridMultilevel"/>
    <w:tmpl w:val="CBA03BC0"/>
    <w:lvl w:ilvl="0" w:tplc="6714DE80">
      <w:start w:val="1"/>
      <w:numFmt w:val="decimal"/>
      <w:lvlText w:val="%1."/>
      <w:lvlJc w:val="left"/>
      <w:pPr>
        <w:ind w:left="471" w:hanging="360"/>
      </w:pPr>
      <w:rPr>
        <w:rFonts w:hint="default"/>
        <w:b/>
      </w:rPr>
    </w:lvl>
    <w:lvl w:ilvl="1" w:tplc="626E6C62" w:tentative="1">
      <w:start w:val="1"/>
      <w:numFmt w:val="upperLetter"/>
      <w:lvlText w:val="%2."/>
      <w:lvlJc w:val="left"/>
      <w:pPr>
        <w:ind w:left="911" w:hanging="400"/>
      </w:pPr>
    </w:lvl>
    <w:lvl w:ilvl="2" w:tplc="6E2AAD12" w:tentative="1">
      <w:start w:val="1"/>
      <w:numFmt w:val="lowerRoman"/>
      <w:lvlText w:val="%3."/>
      <w:lvlJc w:val="right"/>
      <w:pPr>
        <w:ind w:left="1311" w:hanging="400"/>
      </w:pPr>
    </w:lvl>
    <w:lvl w:ilvl="3" w:tplc="0B8C6826" w:tentative="1">
      <w:start w:val="1"/>
      <w:numFmt w:val="decimal"/>
      <w:lvlText w:val="%4."/>
      <w:lvlJc w:val="left"/>
      <w:pPr>
        <w:ind w:left="1711" w:hanging="400"/>
      </w:pPr>
    </w:lvl>
    <w:lvl w:ilvl="4" w:tplc="0116ECC4" w:tentative="1">
      <w:start w:val="1"/>
      <w:numFmt w:val="upperLetter"/>
      <w:lvlText w:val="%5."/>
      <w:lvlJc w:val="left"/>
      <w:pPr>
        <w:ind w:left="2111" w:hanging="400"/>
      </w:pPr>
    </w:lvl>
    <w:lvl w:ilvl="5" w:tplc="E036199A" w:tentative="1">
      <w:start w:val="1"/>
      <w:numFmt w:val="lowerRoman"/>
      <w:lvlText w:val="%6."/>
      <w:lvlJc w:val="right"/>
      <w:pPr>
        <w:ind w:left="2511" w:hanging="400"/>
      </w:pPr>
    </w:lvl>
    <w:lvl w:ilvl="6" w:tplc="818C3982" w:tentative="1">
      <w:start w:val="1"/>
      <w:numFmt w:val="decimal"/>
      <w:lvlText w:val="%7."/>
      <w:lvlJc w:val="left"/>
      <w:pPr>
        <w:ind w:left="2911" w:hanging="400"/>
      </w:pPr>
    </w:lvl>
    <w:lvl w:ilvl="7" w:tplc="BD9EDF10" w:tentative="1">
      <w:start w:val="1"/>
      <w:numFmt w:val="upperLetter"/>
      <w:lvlText w:val="%8."/>
      <w:lvlJc w:val="left"/>
      <w:pPr>
        <w:ind w:left="3311" w:hanging="400"/>
      </w:pPr>
    </w:lvl>
    <w:lvl w:ilvl="8" w:tplc="0EE84240" w:tentative="1">
      <w:start w:val="1"/>
      <w:numFmt w:val="lowerRoman"/>
      <w:lvlText w:val="%9."/>
      <w:lvlJc w:val="right"/>
      <w:pPr>
        <w:ind w:left="3711" w:hanging="400"/>
      </w:pPr>
    </w:lvl>
  </w:abstractNum>
  <w:abstractNum w:abstractNumId="100" w15:restartNumberingAfterBreak="0">
    <w:nsid w:val="5B311F11"/>
    <w:multiLevelType w:val="hybridMultilevel"/>
    <w:tmpl w:val="1C02FE28"/>
    <w:lvl w:ilvl="0" w:tplc="DB668964">
      <w:start w:val="1"/>
      <w:numFmt w:val="decimal"/>
      <w:lvlText w:val="%1."/>
      <w:lvlJc w:val="left"/>
      <w:pPr>
        <w:ind w:left="677" w:hanging="567"/>
      </w:pPr>
      <w:rPr>
        <w:rFonts w:ascii="Times New Roman" w:eastAsia="Times New Roman" w:hAnsi="Times New Roman" w:hint="default"/>
        <w:sz w:val="22"/>
        <w:szCs w:val="22"/>
      </w:rPr>
    </w:lvl>
    <w:lvl w:ilvl="1" w:tplc="65D65AFC">
      <w:start w:val="1"/>
      <w:numFmt w:val="bullet"/>
      <w:lvlText w:val="•"/>
      <w:lvlJc w:val="left"/>
      <w:pPr>
        <w:ind w:left="1569" w:hanging="567"/>
      </w:pPr>
      <w:rPr>
        <w:rFonts w:hint="default"/>
      </w:rPr>
    </w:lvl>
    <w:lvl w:ilvl="2" w:tplc="030C5842">
      <w:start w:val="1"/>
      <w:numFmt w:val="bullet"/>
      <w:lvlText w:val="•"/>
      <w:lvlJc w:val="left"/>
      <w:pPr>
        <w:ind w:left="2462" w:hanging="567"/>
      </w:pPr>
      <w:rPr>
        <w:rFonts w:hint="default"/>
      </w:rPr>
    </w:lvl>
    <w:lvl w:ilvl="3" w:tplc="4AE47584">
      <w:start w:val="1"/>
      <w:numFmt w:val="bullet"/>
      <w:lvlText w:val="•"/>
      <w:lvlJc w:val="left"/>
      <w:pPr>
        <w:ind w:left="3354" w:hanging="567"/>
      </w:pPr>
      <w:rPr>
        <w:rFonts w:hint="default"/>
      </w:rPr>
    </w:lvl>
    <w:lvl w:ilvl="4" w:tplc="D20C8EB8">
      <w:start w:val="1"/>
      <w:numFmt w:val="bullet"/>
      <w:lvlText w:val="•"/>
      <w:lvlJc w:val="left"/>
      <w:pPr>
        <w:ind w:left="4246" w:hanging="567"/>
      </w:pPr>
      <w:rPr>
        <w:rFonts w:hint="default"/>
      </w:rPr>
    </w:lvl>
    <w:lvl w:ilvl="5" w:tplc="93A0DB3A">
      <w:start w:val="1"/>
      <w:numFmt w:val="bullet"/>
      <w:lvlText w:val="•"/>
      <w:lvlJc w:val="left"/>
      <w:pPr>
        <w:ind w:left="5138" w:hanging="567"/>
      </w:pPr>
      <w:rPr>
        <w:rFonts w:hint="default"/>
      </w:rPr>
    </w:lvl>
    <w:lvl w:ilvl="6" w:tplc="E5268676">
      <w:start w:val="1"/>
      <w:numFmt w:val="bullet"/>
      <w:lvlText w:val="•"/>
      <w:lvlJc w:val="left"/>
      <w:pPr>
        <w:ind w:left="6031" w:hanging="567"/>
      </w:pPr>
      <w:rPr>
        <w:rFonts w:hint="default"/>
      </w:rPr>
    </w:lvl>
    <w:lvl w:ilvl="7" w:tplc="D6DEA83E">
      <w:start w:val="1"/>
      <w:numFmt w:val="bullet"/>
      <w:lvlText w:val="•"/>
      <w:lvlJc w:val="left"/>
      <w:pPr>
        <w:ind w:left="6923" w:hanging="567"/>
      </w:pPr>
      <w:rPr>
        <w:rFonts w:hint="default"/>
      </w:rPr>
    </w:lvl>
    <w:lvl w:ilvl="8" w:tplc="D3C2589C">
      <w:start w:val="1"/>
      <w:numFmt w:val="bullet"/>
      <w:lvlText w:val="•"/>
      <w:lvlJc w:val="left"/>
      <w:pPr>
        <w:ind w:left="7815" w:hanging="567"/>
      </w:pPr>
      <w:rPr>
        <w:rFonts w:hint="default"/>
      </w:rPr>
    </w:lvl>
  </w:abstractNum>
  <w:abstractNum w:abstractNumId="101" w15:restartNumberingAfterBreak="0">
    <w:nsid w:val="5BB5657A"/>
    <w:multiLevelType w:val="hybridMultilevel"/>
    <w:tmpl w:val="94AE6260"/>
    <w:lvl w:ilvl="0" w:tplc="520CFA50">
      <w:start w:val="1"/>
      <w:numFmt w:val="bullet"/>
      <w:lvlText w:val=""/>
      <w:lvlJc w:val="left"/>
      <w:pPr>
        <w:ind w:left="1746" w:hanging="360"/>
      </w:pPr>
      <w:rPr>
        <w:rFonts w:ascii="Symbol" w:eastAsia="Symbol" w:hAnsi="Symbol" w:hint="default"/>
        <w:sz w:val="22"/>
        <w:szCs w:val="22"/>
      </w:rPr>
    </w:lvl>
    <w:lvl w:ilvl="1" w:tplc="6A4AF326">
      <w:start w:val="1"/>
      <w:numFmt w:val="bullet"/>
      <w:lvlText w:val="•"/>
      <w:lvlJc w:val="left"/>
      <w:pPr>
        <w:ind w:left="2213" w:hanging="360"/>
      </w:pPr>
      <w:rPr>
        <w:rFonts w:hint="default"/>
      </w:rPr>
    </w:lvl>
    <w:lvl w:ilvl="2" w:tplc="86785396">
      <w:start w:val="1"/>
      <w:numFmt w:val="bullet"/>
      <w:lvlText w:val="•"/>
      <w:lvlJc w:val="left"/>
      <w:pPr>
        <w:ind w:left="2681" w:hanging="360"/>
      </w:pPr>
      <w:rPr>
        <w:rFonts w:hint="default"/>
      </w:rPr>
    </w:lvl>
    <w:lvl w:ilvl="3" w:tplc="31CCEEE4">
      <w:start w:val="1"/>
      <w:numFmt w:val="bullet"/>
      <w:lvlText w:val="•"/>
      <w:lvlJc w:val="left"/>
      <w:pPr>
        <w:ind w:left="3148" w:hanging="360"/>
      </w:pPr>
      <w:rPr>
        <w:rFonts w:hint="default"/>
      </w:rPr>
    </w:lvl>
    <w:lvl w:ilvl="4" w:tplc="670A4104">
      <w:start w:val="1"/>
      <w:numFmt w:val="bullet"/>
      <w:lvlText w:val="•"/>
      <w:lvlJc w:val="left"/>
      <w:pPr>
        <w:ind w:left="3616" w:hanging="360"/>
      </w:pPr>
      <w:rPr>
        <w:rFonts w:hint="default"/>
      </w:rPr>
    </w:lvl>
    <w:lvl w:ilvl="5" w:tplc="96E69308">
      <w:start w:val="1"/>
      <w:numFmt w:val="bullet"/>
      <w:lvlText w:val="•"/>
      <w:lvlJc w:val="left"/>
      <w:pPr>
        <w:ind w:left="4083" w:hanging="360"/>
      </w:pPr>
      <w:rPr>
        <w:rFonts w:hint="default"/>
      </w:rPr>
    </w:lvl>
    <w:lvl w:ilvl="6" w:tplc="4470F5CE">
      <w:start w:val="1"/>
      <w:numFmt w:val="bullet"/>
      <w:lvlText w:val="•"/>
      <w:lvlJc w:val="left"/>
      <w:pPr>
        <w:ind w:left="4551" w:hanging="360"/>
      </w:pPr>
      <w:rPr>
        <w:rFonts w:hint="default"/>
      </w:rPr>
    </w:lvl>
    <w:lvl w:ilvl="7" w:tplc="86DC4DEC">
      <w:start w:val="1"/>
      <w:numFmt w:val="bullet"/>
      <w:lvlText w:val="•"/>
      <w:lvlJc w:val="left"/>
      <w:pPr>
        <w:ind w:left="5018" w:hanging="360"/>
      </w:pPr>
      <w:rPr>
        <w:rFonts w:hint="default"/>
      </w:rPr>
    </w:lvl>
    <w:lvl w:ilvl="8" w:tplc="E446163C">
      <w:start w:val="1"/>
      <w:numFmt w:val="bullet"/>
      <w:lvlText w:val="•"/>
      <w:lvlJc w:val="left"/>
      <w:pPr>
        <w:ind w:left="5485" w:hanging="360"/>
      </w:pPr>
      <w:rPr>
        <w:rFonts w:hint="default"/>
      </w:rPr>
    </w:lvl>
  </w:abstractNum>
  <w:abstractNum w:abstractNumId="102" w15:restartNumberingAfterBreak="0">
    <w:nsid w:val="5C114CD4"/>
    <w:multiLevelType w:val="hybridMultilevel"/>
    <w:tmpl w:val="B750072C"/>
    <w:lvl w:ilvl="0" w:tplc="B0400AC2">
      <w:start w:val="1"/>
      <w:numFmt w:val="upperLetter"/>
      <w:lvlText w:val="%1."/>
      <w:lvlJc w:val="left"/>
      <w:pPr>
        <w:ind w:left="1032" w:hanging="360"/>
      </w:pPr>
      <w:rPr>
        <w:rFonts w:hint="default"/>
      </w:rPr>
    </w:lvl>
    <w:lvl w:ilvl="1" w:tplc="F23C899A" w:tentative="1">
      <w:start w:val="1"/>
      <w:numFmt w:val="upperLetter"/>
      <w:lvlText w:val="%2."/>
      <w:lvlJc w:val="left"/>
      <w:pPr>
        <w:ind w:left="1472" w:hanging="400"/>
      </w:pPr>
    </w:lvl>
    <w:lvl w:ilvl="2" w:tplc="590A6AC6" w:tentative="1">
      <w:start w:val="1"/>
      <w:numFmt w:val="lowerRoman"/>
      <w:lvlText w:val="%3."/>
      <w:lvlJc w:val="right"/>
      <w:pPr>
        <w:ind w:left="1872" w:hanging="400"/>
      </w:pPr>
    </w:lvl>
    <w:lvl w:ilvl="3" w:tplc="8E48C65A" w:tentative="1">
      <w:start w:val="1"/>
      <w:numFmt w:val="decimal"/>
      <w:lvlText w:val="%4."/>
      <w:lvlJc w:val="left"/>
      <w:pPr>
        <w:ind w:left="2272" w:hanging="400"/>
      </w:pPr>
    </w:lvl>
    <w:lvl w:ilvl="4" w:tplc="F50A45DA" w:tentative="1">
      <w:start w:val="1"/>
      <w:numFmt w:val="upperLetter"/>
      <w:lvlText w:val="%5."/>
      <w:lvlJc w:val="left"/>
      <w:pPr>
        <w:ind w:left="2672" w:hanging="400"/>
      </w:pPr>
    </w:lvl>
    <w:lvl w:ilvl="5" w:tplc="17929030" w:tentative="1">
      <w:start w:val="1"/>
      <w:numFmt w:val="lowerRoman"/>
      <w:lvlText w:val="%6."/>
      <w:lvlJc w:val="right"/>
      <w:pPr>
        <w:ind w:left="3072" w:hanging="400"/>
      </w:pPr>
    </w:lvl>
    <w:lvl w:ilvl="6" w:tplc="149C24E4" w:tentative="1">
      <w:start w:val="1"/>
      <w:numFmt w:val="decimal"/>
      <w:lvlText w:val="%7."/>
      <w:lvlJc w:val="left"/>
      <w:pPr>
        <w:ind w:left="3472" w:hanging="400"/>
      </w:pPr>
    </w:lvl>
    <w:lvl w:ilvl="7" w:tplc="BAFE1CF8" w:tentative="1">
      <w:start w:val="1"/>
      <w:numFmt w:val="upperLetter"/>
      <w:lvlText w:val="%8."/>
      <w:lvlJc w:val="left"/>
      <w:pPr>
        <w:ind w:left="3872" w:hanging="400"/>
      </w:pPr>
    </w:lvl>
    <w:lvl w:ilvl="8" w:tplc="CCECFFD6" w:tentative="1">
      <w:start w:val="1"/>
      <w:numFmt w:val="lowerRoman"/>
      <w:lvlText w:val="%9."/>
      <w:lvlJc w:val="right"/>
      <w:pPr>
        <w:ind w:left="4272" w:hanging="400"/>
      </w:pPr>
    </w:lvl>
  </w:abstractNum>
  <w:abstractNum w:abstractNumId="103" w15:restartNumberingAfterBreak="0">
    <w:nsid w:val="5C394D7B"/>
    <w:multiLevelType w:val="hybridMultilevel"/>
    <w:tmpl w:val="66A2C910"/>
    <w:lvl w:ilvl="0" w:tplc="3364EAE0">
      <w:start w:val="1"/>
      <w:numFmt w:val="bullet"/>
      <w:lvlText w:val=""/>
      <w:lvlJc w:val="left"/>
      <w:pPr>
        <w:ind w:left="2215" w:hanging="360"/>
      </w:pPr>
      <w:rPr>
        <w:rFonts w:ascii="Symbol" w:eastAsia="Symbol" w:hAnsi="Symbol" w:hint="default"/>
        <w:sz w:val="22"/>
        <w:szCs w:val="22"/>
      </w:rPr>
    </w:lvl>
    <w:lvl w:ilvl="1" w:tplc="52922A5C">
      <w:start w:val="1"/>
      <w:numFmt w:val="bullet"/>
      <w:lvlText w:val="•"/>
      <w:lvlJc w:val="left"/>
      <w:pPr>
        <w:ind w:left="2689" w:hanging="360"/>
      </w:pPr>
      <w:rPr>
        <w:rFonts w:hint="default"/>
      </w:rPr>
    </w:lvl>
    <w:lvl w:ilvl="2" w:tplc="93FC98A0">
      <w:start w:val="1"/>
      <w:numFmt w:val="bullet"/>
      <w:lvlText w:val="•"/>
      <w:lvlJc w:val="left"/>
      <w:pPr>
        <w:ind w:left="3164" w:hanging="360"/>
      </w:pPr>
      <w:rPr>
        <w:rFonts w:hint="default"/>
      </w:rPr>
    </w:lvl>
    <w:lvl w:ilvl="3" w:tplc="BC74678C">
      <w:start w:val="1"/>
      <w:numFmt w:val="bullet"/>
      <w:lvlText w:val="•"/>
      <w:lvlJc w:val="left"/>
      <w:pPr>
        <w:ind w:left="3639" w:hanging="360"/>
      </w:pPr>
      <w:rPr>
        <w:rFonts w:hint="default"/>
      </w:rPr>
    </w:lvl>
    <w:lvl w:ilvl="4" w:tplc="EEB2C7E0">
      <w:start w:val="1"/>
      <w:numFmt w:val="bullet"/>
      <w:lvlText w:val="•"/>
      <w:lvlJc w:val="left"/>
      <w:pPr>
        <w:ind w:left="4113" w:hanging="360"/>
      </w:pPr>
      <w:rPr>
        <w:rFonts w:hint="default"/>
      </w:rPr>
    </w:lvl>
    <w:lvl w:ilvl="5" w:tplc="5B321954">
      <w:start w:val="1"/>
      <w:numFmt w:val="bullet"/>
      <w:lvlText w:val="•"/>
      <w:lvlJc w:val="left"/>
      <w:pPr>
        <w:ind w:left="4588" w:hanging="360"/>
      </w:pPr>
      <w:rPr>
        <w:rFonts w:hint="default"/>
      </w:rPr>
    </w:lvl>
    <w:lvl w:ilvl="6" w:tplc="23C6E0C4">
      <w:start w:val="1"/>
      <w:numFmt w:val="bullet"/>
      <w:lvlText w:val="•"/>
      <w:lvlJc w:val="left"/>
      <w:pPr>
        <w:ind w:left="5062" w:hanging="360"/>
      </w:pPr>
      <w:rPr>
        <w:rFonts w:hint="default"/>
      </w:rPr>
    </w:lvl>
    <w:lvl w:ilvl="7" w:tplc="7D267E64">
      <w:start w:val="1"/>
      <w:numFmt w:val="bullet"/>
      <w:lvlText w:val="•"/>
      <w:lvlJc w:val="left"/>
      <w:pPr>
        <w:ind w:left="5537" w:hanging="360"/>
      </w:pPr>
      <w:rPr>
        <w:rFonts w:hint="default"/>
      </w:rPr>
    </w:lvl>
    <w:lvl w:ilvl="8" w:tplc="570CC304">
      <w:start w:val="1"/>
      <w:numFmt w:val="bullet"/>
      <w:lvlText w:val="•"/>
      <w:lvlJc w:val="left"/>
      <w:pPr>
        <w:ind w:left="6012" w:hanging="360"/>
      </w:pPr>
      <w:rPr>
        <w:rFonts w:hint="default"/>
      </w:rPr>
    </w:lvl>
  </w:abstractNum>
  <w:abstractNum w:abstractNumId="104" w15:restartNumberingAfterBreak="0">
    <w:nsid w:val="5C8644D5"/>
    <w:multiLevelType w:val="hybridMultilevel"/>
    <w:tmpl w:val="E7543384"/>
    <w:lvl w:ilvl="0" w:tplc="105AC720">
      <w:start w:val="1"/>
      <w:numFmt w:val="decimal"/>
      <w:lvlText w:val="%1."/>
      <w:lvlJc w:val="left"/>
      <w:pPr>
        <w:ind w:left="111" w:hanging="562"/>
      </w:pPr>
      <w:rPr>
        <w:rFonts w:ascii="Times New Roman" w:eastAsia="Times New Roman" w:hAnsi="Times New Roman" w:hint="default"/>
        <w:b/>
        <w:bCs/>
        <w:sz w:val="22"/>
        <w:szCs w:val="22"/>
      </w:rPr>
    </w:lvl>
    <w:lvl w:ilvl="1" w:tplc="8AB48466">
      <w:start w:val="1"/>
      <w:numFmt w:val="bullet"/>
      <w:lvlText w:val=""/>
      <w:lvlJc w:val="left"/>
      <w:pPr>
        <w:ind w:left="831" w:hanging="360"/>
      </w:pPr>
      <w:rPr>
        <w:rFonts w:ascii="Symbol" w:eastAsia="Symbol" w:hAnsi="Symbol" w:hint="default"/>
        <w:sz w:val="22"/>
        <w:szCs w:val="22"/>
      </w:rPr>
    </w:lvl>
    <w:lvl w:ilvl="2" w:tplc="AE5CA46A">
      <w:start w:val="1"/>
      <w:numFmt w:val="bullet"/>
      <w:lvlText w:val=""/>
      <w:lvlJc w:val="left"/>
      <w:pPr>
        <w:ind w:left="1551" w:hanging="360"/>
      </w:pPr>
      <w:rPr>
        <w:rFonts w:ascii="Symbol" w:eastAsia="Symbol" w:hAnsi="Symbol" w:hint="default"/>
        <w:sz w:val="22"/>
        <w:szCs w:val="22"/>
      </w:rPr>
    </w:lvl>
    <w:lvl w:ilvl="3" w:tplc="F1B4451E">
      <w:start w:val="1"/>
      <w:numFmt w:val="bullet"/>
      <w:lvlText w:val="•"/>
      <w:lvlJc w:val="left"/>
      <w:pPr>
        <w:ind w:left="2557" w:hanging="360"/>
      </w:pPr>
      <w:rPr>
        <w:rFonts w:hint="default"/>
      </w:rPr>
    </w:lvl>
    <w:lvl w:ilvl="4" w:tplc="0FC8EE42">
      <w:start w:val="1"/>
      <w:numFmt w:val="bullet"/>
      <w:lvlText w:val="•"/>
      <w:lvlJc w:val="left"/>
      <w:pPr>
        <w:ind w:left="3563" w:hanging="360"/>
      </w:pPr>
      <w:rPr>
        <w:rFonts w:hint="default"/>
      </w:rPr>
    </w:lvl>
    <w:lvl w:ilvl="5" w:tplc="F708A864">
      <w:start w:val="1"/>
      <w:numFmt w:val="bullet"/>
      <w:lvlText w:val="•"/>
      <w:lvlJc w:val="left"/>
      <w:pPr>
        <w:ind w:left="4569" w:hanging="360"/>
      </w:pPr>
      <w:rPr>
        <w:rFonts w:hint="default"/>
      </w:rPr>
    </w:lvl>
    <w:lvl w:ilvl="6" w:tplc="84C038C6">
      <w:start w:val="1"/>
      <w:numFmt w:val="bullet"/>
      <w:lvlText w:val="•"/>
      <w:lvlJc w:val="left"/>
      <w:pPr>
        <w:ind w:left="5575" w:hanging="360"/>
      </w:pPr>
      <w:rPr>
        <w:rFonts w:hint="default"/>
      </w:rPr>
    </w:lvl>
    <w:lvl w:ilvl="7" w:tplc="8CCC125A">
      <w:start w:val="1"/>
      <w:numFmt w:val="bullet"/>
      <w:lvlText w:val="•"/>
      <w:lvlJc w:val="left"/>
      <w:pPr>
        <w:ind w:left="6581" w:hanging="360"/>
      </w:pPr>
      <w:rPr>
        <w:rFonts w:hint="default"/>
      </w:rPr>
    </w:lvl>
    <w:lvl w:ilvl="8" w:tplc="4B6E43A8">
      <w:start w:val="1"/>
      <w:numFmt w:val="bullet"/>
      <w:lvlText w:val="•"/>
      <w:lvlJc w:val="left"/>
      <w:pPr>
        <w:ind w:left="7587" w:hanging="360"/>
      </w:pPr>
      <w:rPr>
        <w:rFonts w:hint="default"/>
      </w:rPr>
    </w:lvl>
  </w:abstractNum>
  <w:abstractNum w:abstractNumId="105" w15:restartNumberingAfterBreak="0">
    <w:nsid w:val="5D4A21ED"/>
    <w:multiLevelType w:val="hybridMultilevel"/>
    <w:tmpl w:val="28A00D86"/>
    <w:lvl w:ilvl="0" w:tplc="FA203168">
      <w:start w:val="1"/>
      <w:numFmt w:val="decimal"/>
      <w:lvlText w:val="%1."/>
      <w:lvlJc w:val="left"/>
      <w:pPr>
        <w:ind w:left="760" w:hanging="360"/>
      </w:pPr>
      <w:rPr>
        <w:rFonts w:hint="default"/>
      </w:rPr>
    </w:lvl>
    <w:lvl w:ilvl="1" w:tplc="F0241728" w:tentative="1">
      <w:start w:val="1"/>
      <w:numFmt w:val="upperLetter"/>
      <w:lvlText w:val="%2."/>
      <w:lvlJc w:val="left"/>
      <w:pPr>
        <w:ind w:left="1200" w:hanging="400"/>
      </w:pPr>
    </w:lvl>
    <w:lvl w:ilvl="2" w:tplc="B6E87C1A" w:tentative="1">
      <w:start w:val="1"/>
      <w:numFmt w:val="lowerRoman"/>
      <w:lvlText w:val="%3."/>
      <w:lvlJc w:val="right"/>
      <w:pPr>
        <w:ind w:left="1600" w:hanging="400"/>
      </w:pPr>
    </w:lvl>
    <w:lvl w:ilvl="3" w:tplc="643CE932" w:tentative="1">
      <w:start w:val="1"/>
      <w:numFmt w:val="decimal"/>
      <w:lvlText w:val="%4."/>
      <w:lvlJc w:val="left"/>
      <w:pPr>
        <w:ind w:left="2000" w:hanging="400"/>
      </w:pPr>
    </w:lvl>
    <w:lvl w:ilvl="4" w:tplc="D742B06C" w:tentative="1">
      <w:start w:val="1"/>
      <w:numFmt w:val="upperLetter"/>
      <w:lvlText w:val="%5."/>
      <w:lvlJc w:val="left"/>
      <w:pPr>
        <w:ind w:left="2400" w:hanging="400"/>
      </w:pPr>
    </w:lvl>
    <w:lvl w:ilvl="5" w:tplc="B24E041A" w:tentative="1">
      <w:start w:val="1"/>
      <w:numFmt w:val="lowerRoman"/>
      <w:lvlText w:val="%6."/>
      <w:lvlJc w:val="right"/>
      <w:pPr>
        <w:ind w:left="2800" w:hanging="400"/>
      </w:pPr>
    </w:lvl>
    <w:lvl w:ilvl="6" w:tplc="9C54CC34" w:tentative="1">
      <w:start w:val="1"/>
      <w:numFmt w:val="decimal"/>
      <w:lvlText w:val="%7."/>
      <w:lvlJc w:val="left"/>
      <w:pPr>
        <w:ind w:left="3200" w:hanging="400"/>
      </w:pPr>
    </w:lvl>
    <w:lvl w:ilvl="7" w:tplc="7D34B5E6" w:tentative="1">
      <w:start w:val="1"/>
      <w:numFmt w:val="upperLetter"/>
      <w:lvlText w:val="%8."/>
      <w:lvlJc w:val="left"/>
      <w:pPr>
        <w:ind w:left="3600" w:hanging="400"/>
      </w:pPr>
    </w:lvl>
    <w:lvl w:ilvl="8" w:tplc="B38A3B3A" w:tentative="1">
      <w:start w:val="1"/>
      <w:numFmt w:val="lowerRoman"/>
      <w:lvlText w:val="%9."/>
      <w:lvlJc w:val="right"/>
      <w:pPr>
        <w:ind w:left="4000" w:hanging="400"/>
      </w:pPr>
    </w:lvl>
  </w:abstractNum>
  <w:abstractNum w:abstractNumId="106"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107" w15:restartNumberingAfterBreak="0">
    <w:nsid w:val="5DF41B03"/>
    <w:multiLevelType w:val="hybridMultilevel"/>
    <w:tmpl w:val="28A00D86"/>
    <w:lvl w:ilvl="0" w:tplc="FA203168">
      <w:start w:val="1"/>
      <w:numFmt w:val="decimal"/>
      <w:lvlText w:val="%1."/>
      <w:lvlJc w:val="left"/>
      <w:pPr>
        <w:ind w:left="760" w:hanging="360"/>
      </w:pPr>
      <w:rPr>
        <w:rFonts w:hint="default"/>
      </w:rPr>
    </w:lvl>
    <w:lvl w:ilvl="1" w:tplc="F0241728" w:tentative="1">
      <w:start w:val="1"/>
      <w:numFmt w:val="upperLetter"/>
      <w:lvlText w:val="%2."/>
      <w:lvlJc w:val="left"/>
      <w:pPr>
        <w:ind w:left="1200" w:hanging="400"/>
      </w:pPr>
    </w:lvl>
    <w:lvl w:ilvl="2" w:tplc="B6E87C1A" w:tentative="1">
      <w:start w:val="1"/>
      <w:numFmt w:val="lowerRoman"/>
      <w:lvlText w:val="%3."/>
      <w:lvlJc w:val="right"/>
      <w:pPr>
        <w:ind w:left="1600" w:hanging="400"/>
      </w:pPr>
    </w:lvl>
    <w:lvl w:ilvl="3" w:tplc="643CE932" w:tentative="1">
      <w:start w:val="1"/>
      <w:numFmt w:val="decimal"/>
      <w:lvlText w:val="%4."/>
      <w:lvlJc w:val="left"/>
      <w:pPr>
        <w:ind w:left="2000" w:hanging="400"/>
      </w:pPr>
    </w:lvl>
    <w:lvl w:ilvl="4" w:tplc="D742B06C" w:tentative="1">
      <w:start w:val="1"/>
      <w:numFmt w:val="upperLetter"/>
      <w:lvlText w:val="%5."/>
      <w:lvlJc w:val="left"/>
      <w:pPr>
        <w:ind w:left="2400" w:hanging="400"/>
      </w:pPr>
    </w:lvl>
    <w:lvl w:ilvl="5" w:tplc="B24E041A" w:tentative="1">
      <w:start w:val="1"/>
      <w:numFmt w:val="lowerRoman"/>
      <w:lvlText w:val="%6."/>
      <w:lvlJc w:val="right"/>
      <w:pPr>
        <w:ind w:left="2800" w:hanging="400"/>
      </w:pPr>
    </w:lvl>
    <w:lvl w:ilvl="6" w:tplc="9C54CC34" w:tentative="1">
      <w:start w:val="1"/>
      <w:numFmt w:val="decimal"/>
      <w:lvlText w:val="%7."/>
      <w:lvlJc w:val="left"/>
      <w:pPr>
        <w:ind w:left="3200" w:hanging="400"/>
      </w:pPr>
    </w:lvl>
    <w:lvl w:ilvl="7" w:tplc="7D34B5E6" w:tentative="1">
      <w:start w:val="1"/>
      <w:numFmt w:val="upperLetter"/>
      <w:lvlText w:val="%8."/>
      <w:lvlJc w:val="left"/>
      <w:pPr>
        <w:ind w:left="3600" w:hanging="400"/>
      </w:pPr>
    </w:lvl>
    <w:lvl w:ilvl="8" w:tplc="B38A3B3A" w:tentative="1">
      <w:start w:val="1"/>
      <w:numFmt w:val="lowerRoman"/>
      <w:lvlText w:val="%9."/>
      <w:lvlJc w:val="right"/>
      <w:pPr>
        <w:ind w:left="4000" w:hanging="400"/>
      </w:pPr>
    </w:lvl>
  </w:abstractNum>
  <w:abstractNum w:abstractNumId="108" w15:restartNumberingAfterBreak="0">
    <w:nsid w:val="5E0E097E"/>
    <w:multiLevelType w:val="hybridMultilevel"/>
    <w:tmpl w:val="8A1A7EDC"/>
    <w:lvl w:ilvl="0" w:tplc="D4E6358E">
      <w:start w:val="1"/>
      <w:numFmt w:val="bullet"/>
      <w:lvlText w:val=""/>
      <w:lvlJc w:val="left"/>
      <w:pPr>
        <w:ind w:left="2287" w:hanging="360"/>
      </w:pPr>
      <w:rPr>
        <w:rFonts w:ascii="Symbol" w:eastAsia="Symbol" w:hAnsi="Symbol" w:hint="default"/>
        <w:sz w:val="22"/>
        <w:szCs w:val="22"/>
      </w:rPr>
    </w:lvl>
    <w:lvl w:ilvl="1" w:tplc="1B18C868">
      <w:start w:val="1"/>
      <w:numFmt w:val="bullet"/>
      <w:lvlText w:val="•"/>
      <w:lvlJc w:val="left"/>
      <w:pPr>
        <w:ind w:left="2754" w:hanging="360"/>
      </w:pPr>
      <w:rPr>
        <w:rFonts w:hint="default"/>
      </w:rPr>
    </w:lvl>
    <w:lvl w:ilvl="2" w:tplc="D07EEB4E">
      <w:start w:val="1"/>
      <w:numFmt w:val="bullet"/>
      <w:lvlText w:val="•"/>
      <w:lvlJc w:val="left"/>
      <w:pPr>
        <w:ind w:left="3222" w:hanging="360"/>
      </w:pPr>
      <w:rPr>
        <w:rFonts w:hint="default"/>
      </w:rPr>
    </w:lvl>
    <w:lvl w:ilvl="3" w:tplc="BA3AE61A">
      <w:start w:val="1"/>
      <w:numFmt w:val="bullet"/>
      <w:lvlText w:val="•"/>
      <w:lvlJc w:val="left"/>
      <w:pPr>
        <w:ind w:left="3689" w:hanging="360"/>
      </w:pPr>
      <w:rPr>
        <w:rFonts w:hint="default"/>
      </w:rPr>
    </w:lvl>
    <w:lvl w:ilvl="4" w:tplc="13B8E378">
      <w:start w:val="1"/>
      <w:numFmt w:val="bullet"/>
      <w:lvlText w:val="•"/>
      <w:lvlJc w:val="left"/>
      <w:pPr>
        <w:ind w:left="4156" w:hanging="360"/>
      </w:pPr>
      <w:rPr>
        <w:rFonts w:hint="default"/>
      </w:rPr>
    </w:lvl>
    <w:lvl w:ilvl="5" w:tplc="33025B52">
      <w:start w:val="1"/>
      <w:numFmt w:val="bullet"/>
      <w:lvlText w:val="•"/>
      <w:lvlJc w:val="left"/>
      <w:pPr>
        <w:ind w:left="4624" w:hanging="360"/>
      </w:pPr>
      <w:rPr>
        <w:rFonts w:hint="default"/>
      </w:rPr>
    </w:lvl>
    <w:lvl w:ilvl="6" w:tplc="D2B62494">
      <w:start w:val="1"/>
      <w:numFmt w:val="bullet"/>
      <w:lvlText w:val="•"/>
      <w:lvlJc w:val="left"/>
      <w:pPr>
        <w:ind w:left="5091" w:hanging="360"/>
      </w:pPr>
      <w:rPr>
        <w:rFonts w:hint="default"/>
      </w:rPr>
    </w:lvl>
    <w:lvl w:ilvl="7" w:tplc="B162A594">
      <w:start w:val="1"/>
      <w:numFmt w:val="bullet"/>
      <w:lvlText w:val="•"/>
      <w:lvlJc w:val="left"/>
      <w:pPr>
        <w:ind w:left="5559" w:hanging="360"/>
      </w:pPr>
      <w:rPr>
        <w:rFonts w:hint="default"/>
      </w:rPr>
    </w:lvl>
    <w:lvl w:ilvl="8" w:tplc="D19CE550">
      <w:start w:val="1"/>
      <w:numFmt w:val="bullet"/>
      <w:lvlText w:val="•"/>
      <w:lvlJc w:val="left"/>
      <w:pPr>
        <w:ind w:left="6026" w:hanging="360"/>
      </w:pPr>
      <w:rPr>
        <w:rFonts w:hint="default"/>
      </w:rPr>
    </w:lvl>
  </w:abstractNum>
  <w:abstractNum w:abstractNumId="109" w15:restartNumberingAfterBreak="0">
    <w:nsid w:val="5E941651"/>
    <w:multiLevelType w:val="hybridMultilevel"/>
    <w:tmpl w:val="C7FEE378"/>
    <w:lvl w:ilvl="0" w:tplc="D730DB50">
      <w:start w:val="1"/>
      <w:numFmt w:val="decimal"/>
      <w:lvlText w:val="%1."/>
      <w:lvlJc w:val="left"/>
      <w:pPr>
        <w:ind w:left="111" w:hanging="562"/>
      </w:pPr>
      <w:rPr>
        <w:rFonts w:ascii="Times New Roman" w:eastAsia="Times New Roman" w:hAnsi="Times New Roman" w:hint="default"/>
        <w:b/>
        <w:bCs/>
        <w:sz w:val="22"/>
        <w:szCs w:val="22"/>
      </w:rPr>
    </w:lvl>
    <w:lvl w:ilvl="1" w:tplc="28D4CB8A">
      <w:start w:val="1"/>
      <w:numFmt w:val="bullet"/>
      <w:lvlText w:val=""/>
      <w:lvlJc w:val="left"/>
      <w:pPr>
        <w:ind w:left="831" w:hanging="360"/>
      </w:pPr>
      <w:rPr>
        <w:rFonts w:ascii="Symbol" w:eastAsia="Symbol" w:hAnsi="Symbol" w:hint="default"/>
        <w:sz w:val="22"/>
        <w:szCs w:val="22"/>
      </w:rPr>
    </w:lvl>
    <w:lvl w:ilvl="2" w:tplc="24145B9C">
      <w:start w:val="1"/>
      <w:numFmt w:val="bullet"/>
      <w:lvlText w:val="•"/>
      <w:lvlJc w:val="left"/>
      <w:pPr>
        <w:ind w:left="1803" w:hanging="360"/>
      </w:pPr>
      <w:rPr>
        <w:rFonts w:hint="default"/>
      </w:rPr>
    </w:lvl>
    <w:lvl w:ilvl="3" w:tplc="02CEFABC">
      <w:start w:val="1"/>
      <w:numFmt w:val="bullet"/>
      <w:lvlText w:val="•"/>
      <w:lvlJc w:val="left"/>
      <w:pPr>
        <w:ind w:left="2775" w:hanging="360"/>
      </w:pPr>
      <w:rPr>
        <w:rFonts w:hint="default"/>
      </w:rPr>
    </w:lvl>
    <w:lvl w:ilvl="4" w:tplc="9BFCB06E">
      <w:start w:val="1"/>
      <w:numFmt w:val="bullet"/>
      <w:lvlText w:val="•"/>
      <w:lvlJc w:val="left"/>
      <w:pPr>
        <w:ind w:left="3747" w:hanging="360"/>
      </w:pPr>
      <w:rPr>
        <w:rFonts w:hint="default"/>
      </w:rPr>
    </w:lvl>
    <w:lvl w:ilvl="5" w:tplc="ECF633AC">
      <w:start w:val="1"/>
      <w:numFmt w:val="bullet"/>
      <w:lvlText w:val="•"/>
      <w:lvlJc w:val="left"/>
      <w:pPr>
        <w:ind w:left="4719" w:hanging="360"/>
      </w:pPr>
      <w:rPr>
        <w:rFonts w:hint="default"/>
      </w:rPr>
    </w:lvl>
    <w:lvl w:ilvl="6" w:tplc="9FB46E5C">
      <w:start w:val="1"/>
      <w:numFmt w:val="bullet"/>
      <w:lvlText w:val="•"/>
      <w:lvlJc w:val="left"/>
      <w:pPr>
        <w:ind w:left="5691" w:hanging="360"/>
      </w:pPr>
      <w:rPr>
        <w:rFonts w:hint="default"/>
      </w:rPr>
    </w:lvl>
    <w:lvl w:ilvl="7" w:tplc="2CB23276">
      <w:start w:val="1"/>
      <w:numFmt w:val="bullet"/>
      <w:lvlText w:val="•"/>
      <w:lvlJc w:val="left"/>
      <w:pPr>
        <w:ind w:left="6663" w:hanging="360"/>
      </w:pPr>
      <w:rPr>
        <w:rFonts w:hint="default"/>
      </w:rPr>
    </w:lvl>
    <w:lvl w:ilvl="8" w:tplc="223CC4DE">
      <w:start w:val="1"/>
      <w:numFmt w:val="bullet"/>
      <w:lvlText w:val="•"/>
      <w:lvlJc w:val="left"/>
      <w:pPr>
        <w:ind w:left="7635" w:hanging="360"/>
      </w:pPr>
      <w:rPr>
        <w:rFonts w:hint="default"/>
      </w:rPr>
    </w:lvl>
  </w:abstractNum>
  <w:abstractNum w:abstractNumId="110" w15:restartNumberingAfterBreak="0">
    <w:nsid w:val="5FB602BC"/>
    <w:multiLevelType w:val="hybridMultilevel"/>
    <w:tmpl w:val="26FAC844"/>
    <w:lvl w:ilvl="0" w:tplc="31B8EE1A">
      <w:start w:val="1"/>
      <w:numFmt w:val="lowerLetter"/>
      <w:lvlText w:val="%1"/>
      <w:lvlJc w:val="left"/>
      <w:pPr>
        <w:ind w:hanging="243"/>
      </w:pPr>
      <w:rPr>
        <w:rFonts w:ascii="Times New Roman" w:eastAsia="Times New Roman" w:hAnsi="Times New Roman" w:hint="default"/>
        <w:w w:val="99"/>
        <w:position w:val="8"/>
        <w:sz w:val="14"/>
        <w:szCs w:val="14"/>
      </w:rPr>
    </w:lvl>
    <w:lvl w:ilvl="1" w:tplc="1E6C8016">
      <w:start w:val="1"/>
      <w:numFmt w:val="bullet"/>
      <w:lvlText w:val="•"/>
      <w:lvlJc w:val="left"/>
      <w:rPr>
        <w:rFonts w:hint="default"/>
      </w:rPr>
    </w:lvl>
    <w:lvl w:ilvl="2" w:tplc="3DDA2502">
      <w:start w:val="1"/>
      <w:numFmt w:val="bullet"/>
      <w:lvlText w:val="•"/>
      <w:lvlJc w:val="left"/>
      <w:rPr>
        <w:rFonts w:hint="default"/>
      </w:rPr>
    </w:lvl>
    <w:lvl w:ilvl="3" w:tplc="1A1859AE">
      <w:start w:val="1"/>
      <w:numFmt w:val="bullet"/>
      <w:lvlText w:val="•"/>
      <w:lvlJc w:val="left"/>
      <w:rPr>
        <w:rFonts w:hint="default"/>
      </w:rPr>
    </w:lvl>
    <w:lvl w:ilvl="4" w:tplc="C4F0B7BA">
      <w:start w:val="1"/>
      <w:numFmt w:val="bullet"/>
      <w:lvlText w:val="•"/>
      <w:lvlJc w:val="left"/>
      <w:rPr>
        <w:rFonts w:hint="default"/>
      </w:rPr>
    </w:lvl>
    <w:lvl w:ilvl="5" w:tplc="01A21FBA">
      <w:start w:val="1"/>
      <w:numFmt w:val="bullet"/>
      <w:lvlText w:val="•"/>
      <w:lvlJc w:val="left"/>
      <w:rPr>
        <w:rFonts w:hint="default"/>
      </w:rPr>
    </w:lvl>
    <w:lvl w:ilvl="6" w:tplc="925A2C1E">
      <w:start w:val="1"/>
      <w:numFmt w:val="bullet"/>
      <w:lvlText w:val="•"/>
      <w:lvlJc w:val="left"/>
      <w:rPr>
        <w:rFonts w:hint="default"/>
      </w:rPr>
    </w:lvl>
    <w:lvl w:ilvl="7" w:tplc="EAEC1596">
      <w:start w:val="1"/>
      <w:numFmt w:val="bullet"/>
      <w:lvlText w:val="•"/>
      <w:lvlJc w:val="left"/>
      <w:rPr>
        <w:rFonts w:hint="default"/>
      </w:rPr>
    </w:lvl>
    <w:lvl w:ilvl="8" w:tplc="581812E2">
      <w:start w:val="1"/>
      <w:numFmt w:val="bullet"/>
      <w:lvlText w:val="•"/>
      <w:lvlJc w:val="left"/>
      <w:rPr>
        <w:rFonts w:hint="default"/>
      </w:rPr>
    </w:lvl>
  </w:abstractNum>
  <w:abstractNum w:abstractNumId="111" w15:restartNumberingAfterBreak="0">
    <w:nsid w:val="603B7A48"/>
    <w:multiLevelType w:val="hybridMultilevel"/>
    <w:tmpl w:val="339C2F6A"/>
    <w:lvl w:ilvl="0" w:tplc="C0029D9C">
      <w:start w:val="1"/>
      <w:numFmt w:val="decimal"/>
      <w:lvlText w:val="%1."/>
      <w:lvlJc w:val="left"/>
      <w:pPr>
        <w:ind w:hanging="562"/>
      </w:pPr>
      <w:rPr>
        <w:rFonts w:ascii="Times New Roman" w:eastAsia="Times New Roman" w:hAnsi="Times New Roman" w:hint="default"/>
        <w:b/>
        <w:bCs/>
        <w:sz w:val="22"/>
        <w:szCs w:val="22"/>
      </w:rPr>
    </w:lvl>
    <w:lvl w:ilvl="1" w:tplc="EF9609FC">
      <w:start w:val="1"/>
      <w:numFmt w:val="bullet"/>
      <w:lvlText w:val="•"/>
      <w:lvlJc w:val="left"/>
      <w:rPr>
        <w:rFonts w:hint="default"/>
      </w:rPr>
    </w:lvl>
    <w:lvl w:ilvl="2" w:tplc="60E6DBFE">
      <w:start w:val="1"/>
      <w:numFmt w:val="bullet"/>
      <w:lvlText w:val="•"/>
      <w:lvlJc w:val="left"/>
      <w:rPr>
        <w:rFonts w:hint="default"/>
      </w:rPr>
    </w:lvl>
    <w:lvl w:ilvl="3" w:tplc="3BF465B4">
      <w:start w:val="1"/>
      <w:numFmt w:val="bullet"/>
      <w:lvlText w:val="•"/>
      <w:lvlJc w:val="left"/>
      <w:rPr>
        <w:rFonts w:hint="default"/>
      </w:rPr>
    </w:lvl>
    <w:lvl w:ilvl="4" w:tplc="3DC07B84">
      <w:start w:val="1"/>
      <w:numFmt w:val="bullet"/>
      <w:lvlText w:val="•"/>
      <w:lvlJc w:val="left"/>
      <w:rPr>
        <w:rFonts w:hint="default"/>
      </w:rPr>
    </w:lvl>
    <w:lvl w:ilvl="5" w:tplc="D9B6BC04">
      <w:start w:val="1"/>
      <w:numFmt w:val="bullet"/>
      <w:lvlText w:val="•"/>
      <w:lvlJc w:val="left"/>
      <w:rPr>
        <w:rFonts w:hint="default"/>
      </w:rPr>
    </w:lvl>
    <w:lvl w:ilvl="6" w:tplc="7EFC0DEE">
      <w:start w:val="1"/>
      <w:numFmt w:val="bullet"/>
      <w:lvlText w:val="•"/>
      <w:lvlJc w:val="left"/>
      <w:rPr>
        <w:rFonts w:hint="default"/>
      </w:rPr>
    </w:lvl>
    <w:lvl w:ilvl="7" w:tplc="C850383A">
      <w:start w:val="1"/>
      <w:numFmt w:val="bullet"/>
      <w:lvlText w:val="•"/>
      <w:lvlJc w:val="left"/>
      <w:rPr>
        <w:rFonts w:hint="default"/>
      </w:rPr>
    </w:lvl>
    <w:lvl w:ilvl="8" w:tplc="5EE2714E">
      <w:start w:val="1"/>
      <w:numFmt w:val="bullet"/>
      <w:lvlText w:val="•"/>
      <w:lvlJc w:val="left"/>
      <w:rPr>
        <w:rFonts w:hint="default"/>
      </w:rPr>
    </w:lvl>
  </w:abstractNum>
  <w:abstractNum w:abstractNumId="112" w15:restartNumberingAfterBreak="0">
    <w:nsid w:val="60FD1EA0"/>
    <w:multiLevelType w:val="hybridMultilevel"/>
    <w:tmpl w:val="3752BEA8"/>
    <w:lvl w:ilvl="0" w:tplc="9F540580">
      <w:start w:val="1"/>
      <w:numFmt w:val="bullet"/>
      <w:lvlText w:val=""/>
      <w:lvlJc w:val="left"/>
      <w:pPr>
        <w:ind w:hanging="540"/>
      </w:pPr>
      <w:rPr>
        <w:rFonts w:ascii="Symbol" w:eastAsia="Symbol" w:hAnsi="Symbol" w:hint="default"/>
        <w:sz w:val="22"/>
        <w:szCs w:val="22"/>
      </w:rPr>
    </w:lvl>
    <w:lvl w:ilvl="1" w:tplc="6DE4677E">
      <w:start w:val="1"/>
      <w:numFmt w:val="bullet"/>
      <w:lvlText w:val=""/>
      <w:lvlJc w:val="left"/>
      <w:pPr>
        <w:ind w:hanging="360"/>
      </w:pPr>
      <w:rPr>
        <w:rFonts w:ascii="Symbol" w:eastAsia="Symbol" w:hAnsi="Symbol" w:hint="default"/>
        <w:sz w:val="22"/>
        <w:szCs w:val="22"/>
      </w:rPr>
    </w:lvl>
    <w:lvl w:ilvl="2" w:tplc="D766259E">
      <w:start w:val="1"/>
      <w:numFmt w:val="bullet"/>
      <w:lvlText w:val=""/>
      <w:lvlJc w:val="left"/>
      <w:pPr>
        <w:ind w:hanging="540"/>
      </w:pPr>
      <w:rPr>
        <w:rFonts w:ascii="Symbol" w:eastAsia="Symbol" w:hAnsi="Symbol" w:hint="default"/>
        <w:sz w:val="22"/>
        <w:szCs w:val="22"/>
      </w:rPr>
    </w:lvl>
    <w:lvl w:ilvl="3" w:tplc="A59A9E7C">
      <w:start w:val="1"/>
      <w:numFmt w:val="bullet"/>
      <w:lvlText w:val="•"/>
      <w:lvlJc w:val="left"/>
      <w:rPr>
        <w:rFonts w:hint="default"/>
      </w:rPr>
    </w:lvl>
    <w:lvl w:ilvl="4" w:tplc="A97A21C2">
      <w:start w:val="1"/>
      <w:numFmt w:val="bullet"/>
      <w:lvlText w:val="•"/>
      <w:lvlJc w:val="left"/>
      <w:rPr>
        <w:rFonts w:hint="default"/>
      </w:rPr>
    </w:lvl>
    <w:lvl w:ilvl="5" w:tplc="8CF8A8C2">
      <w:start w:val="1"/>
      <w:numFmt w:val="bullet"/>
      <w:lvlText w:val="•"/>
      <w:lvlJc w:val="left"/>
      <w:rPr>
        <w:rFonts w:hint="default"/>
      </w:rPr>
    </w:lvl>
    <w:lvl w:ilvl="6" w:tplc="B26C50FE">
      <w:start w:val="1"/>
      <w:numFmt w:val="bullet"/>
      <w:lvlText w:val="•"/>
      <w:lvlJc w:val="left"/>
      <w:rPr>
        <w:rFonts w:hint="default"/>
      </w:rPr>
    </w:lvl>
    <w:lvl w:ilvl="7" w:tplc="917CA982">
      <w:start w:val="1"/>
      <w:numFmt w:val="bullet"/>
      <w:lvlText w:val="•"/>
      <w:lvlJc w:val="left"/>
      <w:rPr>
        <w:rFonts w:hint="default"/>
      </w:rPr>
    </w:lvl>
    <w:lvl w:ilvl="8" w:tplc="7F927620">
      <w:start w:val="1"/>
      <w:numFmt w:val="bullet"/>
      <w:lvlText w:val="•"/>
      <w:lvlJc w:val="left"/>
      <w:rPr>
        <w:rFonts w:hint="default"/>
      </w:rPr>
    </w:lvl>
  </w:abstractNum>
  <w:abstractNum w:abstractNumId="113" w15:restartNumberingAfterBreak="0">
    <w:nsid w:val="61F239C3"/>
    <w:multiLevelType w:val="hybridMultilevel"/>
    <w:tmpl w:val="EFF42462"/>
    <w:lvl w:ilvl="0" w:tplc="A6404EE8">
      <w:start w:val="1"/>
      <w:numFmt w:val="decimal"/>
      <w:lvlText w:val="%1."/>
      <w:lvlJc w:val="left"/>
      <w:pPr>
        <w:ind w:left="471" w:hanging="360"/>
      </w:pPr>
      <w:rPr>
        <w:rFonts w:hint="default"/>
        <w:b/>
      </w:rPr>
    </w:lvl>
    <w:lvl w:ilvl="1" w:tplc="8D8CB81E" w:tentative="1">
      <w:start w:val="1"/>
      <w:numFmt w:val="upperLetter"/>
      <w:lvlText w:val="%2."/>
      <w:lvlJc w:val="left"/>
      <w:pPr>
        <w:ind w:left="911" w:hanging="400"/>
      </w:pPr>
    </w:lvl>
    <w:lvl w:ilvl="2" w:tplc="C964BF60" w:tentative="1">
      <w:start w:val="1"/>
      <w:numFmt w:val="lowerRoman"/>
      <w:lvlText w:val="%3."/>
      <w:lvlJc w:val="right"/>
      <w:pPr>
        <w:ind w:left="1311" w:hanging="400"/>
      </w:pPr>
    </w:lvl>
    <w:lvl w:ilvl="3" w:tplc="51325CD2" w:tentative="1">
      <w:start w:val="1"/>
      <w:numFmt w:val="decimal"/>
      <w:lvlText w:val="%4."/>
      <w:lvlJc w:val="left"/>
      <w:pPr>
        <w:ind w:left="1711" w:hanging="400"/>
      </w:pPr>
    </w:lvl>
    <w:lvl w:ilvl="4" w:tplc="367C96AE" w:tentative="1">
      <w:start w:val="1"/>
      <w:numFmt w:val="upperLetter"/>
      <w:lvlText w:val="%5."/>
      <w:lvlJc w:val="left"/>
      <w:pPr>
        <w:ind w:left="2111" w:hanging="400"/>
      </w:pPr>
    </w:lvl>
    <w:lvl w:ilvl="5" w:tplc="0D1419EC" w:tentative="1">
      <w:start w:val="1"/>
      <w:numFmt w:val="lowerRoman"/>
      <w:lvlText w:val="%6."/>
      <w:lvlJc w:val="right"/>
      <w:pPr>
        <w:ind w:left="2511" w:hanging="400"/>
      </w:pPr>
    </w:lvl>
    <w:lvl w:ilvl="6" w:tplc="BB9E2A10" w:tentative="1">
      <w:start w:val="1"/>
      <w:numFmt w:val="decimal"/>
      <w:lvlText w:val="%7."/>
      <w:lvlJc w:val="left"/>
      <w:pPr>
        <w:ind w:left="2911" w:hanging="400"/>
      </w:pPr>
    </w:lvl>
    <w:lvl w:ilvl="7" w:tplc="1F26430E" w:tentative="1">
      <w:start w:val="1"/>
      <w:numFmt w:val="upperLetter"/>
      <w:lvlText w:val="%8."/>
      <w:lvlJc w:val="left"/>
      <w:pPr>
        <w:ind w:left="3311" w:hanging="400"/>
      </w:pPr>
    </w:lvl>
    <w:lvl w:ilvl="8" w:tplc="06C03E1C" w:tentative="1">
      <w:start w:val="1"/>
      <w:numFmt w:val="lowerRoman"/>
      <w:lvlText w:val="%9."/>
      <w:lvlJc w:val="right"/>
      <w:pPr>
        <w:ind w:left="3711" w:hanging="400"/>
      </w:pPr>
    </w:lvl>
  </w:abstractNum>
  <w:abstractNum w:abstractNumId="114" w15:restartNumberingAfterBreak="0">
    <w:nsid w:val="6596040F"/>
    <w:multiLevelType w:val="hybridMultilevel"/>
    <w:tmpl w:val="339C2F6A"/>
    <w:lvl w:ilvl="0" w:tplc="AA680CBA">
      <w:start w:val="1"/>
      <w:numFmt w:val="decimal"/>
      <w:lvlText w:val="%1."/>
      <w:lvlJc w:val="left"/>
      <w:pPr>
        <w:ind w:hanging="562"/>
      </w:pPr>
      <w:rPr>
        <w:rFonts w:ascii="Times New Roman" w:eastAsia="Times New Roman" w:hAnsi="Times New Roman" w:hint="default"/>
        <w:b/>
        <w:bCs/>
        <w:sz w:val="22"/>
        <w:szCs w:val="22"/>
      </w:rPr>
    </w:lvl>
    <w:lvl w:ilvl="1" w:tplc="974498A8">
      <w:start w:val="1"/>
      <w:numFmt w:val="bullet"/>
      <w:lvlText w:val="•"/>
      <w:lvlJc w:val="left"/>
      <w:rPr>
        <w:rFonts w:hint="default"/>
      </w:rPr>
    </w:lvl>
    <w:lvl w:ilvl="2" w:tplc="E1AC2D82">
      <w:start w:val="1"/>
      <w:numFmt w:val="bullet"/>
      <w:lvlText w:val="•"/>
      <w:lvlJc w:val="left"/>
      <w:rPr>
        <w:rFonts w:hint="default"/>
      </w:rPr>
    </w:lvl>
    <w:lvl w:ilvl="3" w:tplc="302EB66A">
      <w:start w:val="1"/>
      <w:numFmt w:val="bullet"/>
      <w:lvlText w:val="•"/>
      <w:lvlJc w:val="left"/>
      <w:rPr>
        <w:rFonts w:hint="default"/>
      </w:rPr>
    </w:lvl>
    <w:lvl w:ilvl="4" w:tplc="917CE498">
      <w:start w:val="1"/>
      <w:numFmt w:val="bullet"/>
      <w:lvlText w:val="•"/>
      <w:lvlJc w:val="left"/>
      <w:rPr>
        <w:rFonts w:hint="default"/>
      </w:rPr>
    </w:lvl>
    <w:lvl w:ilvl="5" w:tplc="2938A376">
      <w:start w:val="1"/>
      <w:numFmt w:val="bullet"/>
      <w:lvlText w:val="•"/>
      <w:lvlJc w:val="left"/>
      <w:rPr>
        <w:rFonts w:hint="default"/>
      </w:rPr>
    </w:lvl>
    <w:lvl w:ilvl="6" w:tplc="72A0D984">
      <w:start w:val="1"/>
      <w:numFmt w:val="bullet"/>
      <w:lvlText w:val="•"/>
      <w:lvlJc w:val="left"/>
      <w:rPr>
        <w:rFonts w:hint="default"/>
      </w:rPr>
    </w:lvl>
    <w:lvl w:ilvl="7" w:tplc="25741A36">
      <w:start w:val="1"/>
      <w:numFmt w:val="bullet"/>
      <w:lvlText w:val="•"/>
      <w:lvlJc w:val="left"/>
      <w:rPr>
        <w:rFonts w:hint="default"/>
      </w:rPr>
    </w:lvl>
    <w:lvl w:ilvl="8" w:tplc="E8A477BE">
      <w:start w:val="1"/>
      <w:numFmt w:val="bullet"/>
      <w:lvlText w:val="•"/>
      <w:lvlJc w:val="left"/>
      <w:rPr>
        <w:rFonts w:hint="default"/>
      </w:rPr>
    </w:lvl>
  </w:abstractNum>
  <w:abstractNum w:abstractNumId="115" w15:restartNumberingAfterBreak="0">
    <w:nsid w:val="67BB4DAB"/>
    <w:multiLevelType w:val="hybridMultilevel"/>
    <w:tmpl w:val="DD6C0418"/>
    <w:lvl w:ilvl="0" w:tplc="05E8D576">
      <w:start w:val="1"/>
      <w:numFmt w:val="decimal"/>
      <w:lvlText w:val="%1)"/>
      <w:lvlJc w:val="left"/>
      <w:pPr>
        <w:ind w:left="672" w:hanging="562"/>
      </w:pPr>
      <w:rPr>
        <w:rFonts w:ascii="Times New Roman" w:eastAsia="Times New Roman" w:hAnsi="Times New Roman" w:hint="default"/>
        <w:b/>
        <w:bCs/>
        <w:sz w:val="22"/>
        <w:szCs w:val="22"/>
      </w:rPr>
    </w:lvl>
    <w:lvl w:ilvl="1" w:tplc="B3A06FC6">
      <w:start w:val="1"/>
      <w:numFmt w:val="bullet"/>
      <w:lvlText w:val="•"/>
      <w:lvlJc w:val="left"/>
      <w:pPr>
        <w:ind w:left="1563" w:hanging="562"/>
      </w:pPr>
      <w:rPr>
        <w:rFonts w:hint="default"/>
      </w:rPr>
    </w:lvl>
    <w:lvl w:ilvl="2" w:tplc="63DA3C72">
      <w:start w:val="1"/>
      <w:numFmt w:val="bullet"/>
      <w:lvlText w:val="•"/>
      <w:lvlJc w:val="left"/>
      <w:pPr>
        <w:ind w:left="2454" w:hanging="562"/>
      </w:pPr>
      <w:rPr>
        <w:rFonts w:hint="default"/>
      </w:rPr>
    </w:lvl>
    <w:lvl w:ilvl="3" w:tplc="452AA986">
      <w:start w:val="1"/>
      <w:numFmt w:val="bullet"/>
      <w:lvlText w:val="•"/>
      <w:lvlJc w:val="left"/>
      <w:pPr>
        <w:ind w:left="3344" w:hanging="562"/>
      </w:pPr>
      <w:rPr>
        <w:rFonts w:hint="default"/>
      </w:rPr>
    </w:lvl>
    <w:lvl w:ilvl="4" w:tplc="FAA89CE0">
      <w:start w:val="1"/>
      <w:numFmt w:val="bullet"/>
      <w:lvlText w:val="•"/>
      <w:lvlJc w:val="left"/>
      <w:pPr>
        <w:ind w:left="4235" w:hanging="562"/>
      </w:pPr>
      <w:rPr>
        <w:rFonts w:hint="default"/>
      </w:rPr>
    </w:lvl>
    <w:lvl w:ilvl="5" w:tplc="BD806A20">
      <w:start w:val="1"/>
      <w:numFmt w:val="bullet"/>
      <w:lvlText w:val="•"/>
      <w:lvlJc w:val="left"/>
      <w:pPr>
        <w:ind w:left="5126" w:hanging="562"/>
      </w:pPr>
      <w:rPr>
        <w:rFonts w:hint="default"/>
      </w:rPr>
    </w:lvl>
    <w:lvl w:ilvl="6" w:tplc="CE96C720">
      <w:start w:val="1"/>
      <w:numFmt w:val="bullet"/>
      <w:lvlText w:val="•"/>
      <w:lvlJc w:val="left"/>
      <w:pPr>
        <w:ind w:left="6017" w:hanging="562"/>
      </w:pPr>
      <w:rPr>
        <w:rFonts w:hint="default"/>
      </w:rPr>
    </w:lvl>
    <w:lvl w:ilvl="7" w:tplc="CD24910C">
      <w:start w:val="1"/>
      <w:numFmt w:val="bullet"/>
      <w:lvlText w:val="•"/>
      <w:lvlJc w:val="left"/>
      <w:pPr>
        <w:ind w:left="6907" w:hanging="562"/>
      </w:pPr>
      <w:rPr>
        <w:rFonts w:hint="default"/>
      </w:rPr>
    </w:lvl>
    <w:lvl w:ilvl="8" w:tplc="187839AA">
      <w:start w:val="1"/>
      <w:numFmt w:val="bullet"/>
      <w:lvlText w:val="•"/>
      <w:lvlJc w:val="left"/>
      <w:pPr>
        <w:ind w:left="7798" w:hanging="562"/>
      </w:pPr>
      <w:rPr>
        <w:rFonts w:hint="default"/>
      </w:rPr>
    </w:lvl>
  </w:abstractNum>
  <w:abstractNum w:abstractNumId="116" w15:restartNumberingAfterBreak="0">
    <w:nsid w:val="693F5B2F"/>
    <w:multiLevelType w:val="hybridMultilevel"/>
    <w:tmpl w:val="E0EC6174"/>
    <w:lvl w:ilvl="0" w:tplc="BB2E730A">
      <w:start w:val="1"/>
      <w:numFmt w:val="decimal"/>
      <w:lvlText w:val="%1."/>
      <w:lvlJc w:val="left"/>
      <w:pPr>
        <w:ind w:left="677" w:hanging="567"/>
      </w:pPr>
      <w:rPr>
        <w:rFonts w:ascii="Times New Roman" w:eastAsia="Times New Roman" w:hAnsi="Times New Roman" w:hint="default"/>
        <w:sz w:val="22"/>
        <w:szCs w:val="22"/>
      </w:rPr>
    </w:lvl>
    <w:lvl w:ilvl="1" w:tplc="D9C63A84">
      <w:start w:val="1"/>
      <w:numFmt w:val="bullet"/>
      <w:lvlText w:val="•"/>
      <w:lvlJc w:val="left"/>
      <w:pPr>
        <w:ind w:left="1569" w:hanging="567"/>
      </w:pPr>
      <w:rPr>
        <w:rFonts w:hint="default"/>
      </w:rPr>
    </w:lvl>
    <w:lvl w:ilvl="2" w:tplc="3878B5FE">
      <w:start w:val="1"/>
      <w:numFmt w:val="bullet"/>
      <w:lvlText w:val="•"/>
      <w:lvlJc w:val="left"/>
      <w:pPr>
        <w:ind w:left="2462" w:hanging="567"/>
      </w:pPr>
      <w:rPr>
        <w:rFonts w:hint="default"/>
      </w:rPr>
    </w:lvl>
    <w:lvl w:ilvl="3" w:tplc="7DB61990">
      <w:start w:val="1"/>
      <w:numFmt w:val="bullet"/>
      <w:lvlText w:val="•"/>
      <w:lvlJc w:val="left"/>
      <w:pPr>
        <w:ind w:left="3354" w:hanging="567"/>
      </w:pPr>
      <w:rPr>
        <w:rFonts w:hint="default"/>
      </w:rPr>
    </w:lvl>
    <w:lvl w:ilvl="4" w:tplc="2EC22792">
      <w:start w:val="1"/>
      <w:numFmt w:val="bullet"/>
      <w:lvlText w:val="•"/>
      <w:lvlJc w:val="left"/>
      <w:pPr>
        <w:ind w:left="4246" w:hanging="567"/>
      </w:pPr>
      <w:rPr>
        <w:rFonts w:hint="default"/>
      </w:rPr>
    </w:lvl>
    <w:lvl w:ilvl="5" w:tplc="67220E78">
      <w:start w:val="1"/>
      <w:numFmt w:val="bullet"/>
      <w:lvlText w:val="•"/>
      <w:lvlJc w:val="left"/>
      <w:pPr>
        <w:ind w:left="5138" w:hanging="567"/>
      </w:pPr>
      <w:rPr>
        <w:rFonts w:hint="default"/>
      </w:rPr>
    </w:lvl>
    <w:lvl w:ilvl="6" w:tplc="89DC507E">
      <w:start w:val="1"/>
      <w:numFmt w:val="bullet"/>
      <w:lvlText w:val="•"/>
      <w:lvlJc w:val="left"/>
      <w:pPr>
        <w:ind w:left="6031" w:hanging="567"/>
      </w:pPr>
      <w:rPr>
        <w:rFonts w:hint="default"/>
      </w:rPr>
    </w:lvl>
    <w:lvl w:ilvl="7" w:tplc="52841284">
      <w:start w:val="1"/>
      <w:numFmt w:val="bullet"/>
      <w:lvlText w:val="•"/>
      <w:lvlJc w:val="left"/>
      <w:pPr>
        <w:ind w:left="6923" w:hanging="567"/>
      </w:pPr>
      <w:rPr>
        <w:rFonts w:hint="default"/>
      </w:rPr>
    </w:lvl>
    <w:lvl w:ilvl="8" w:tplc="BE2AC570">
      <w:start w:val="1"/>
      <w:numFmt w:val="bullet"/>
      <w:lvlText w:val="•"/>
      <w:lvlJc w:val="left"/>
      <w:pPr>
        <w:ind w:left="7815" w:hanging="567"/>
      </w:pPr>
      <w:rPr>
        <w:rFonts w:hint="default"/>
      </w:rPr>
    </w:lvl>
  </w:abstractNum>
  <w:abstractNum w:abstractNumId="117" w15:restartNumberingAfterBreak="0">
    <w:nsid w:val="69FB1CDB"/>
    <w:multiLevelType w:val="hybridMultilevel"/>
    <w:tmpl w:val="46B62622"/>
    <w:lvl w:ilvl="0" w:tplc="FFDEB0D6">
      <w:start w:val="1"/>
      <w:numFmt w:val="bullet"/>
      <w:lvlText w:val=""/>
      <w:lvlJc w:val="left"/>
      <w:pPr>
        <w:ind w:left="800" w:hanging="400"/>
      </w:pPr>
      <w:rPr>
        <w:rFonts w:ascii="Symbol" w:hAnsi="Symbol" w:cs="Symbol" w:hint="default"/>
      </w:rPr>
    </w:lvl>
    <w:lvl w:ilvl="1" w:tplc="6D70F54C" w:tentative="1">
      <w:start w:val="1"/>
      <w:numFmt w:val="bullet"/>
      <w:lvlText w:val=""/>
      <w:lvlJc w:val="left"/>
      <w:pPr>
        <w:ind w:left="1200" w:hanging="400"/>
      </w:pPr>
      <w:rPr>
        <w:rFonts w:ascii="Wingdings" w:hAnsi="Wingdings" w:hint="default"/>
      </w:rPr>
    </w:lvl>
    <w:lvl w:ilvl="2" w:tplc="F556A174" w:tentative="1">
      <w:start w:val="1"/>
      <w:numFmt w:val="bullet"/>
      <w:lvlText w:val=""/>
      <w:lvlJc w:val="left"/>
      <w:pPr>
        <w:ind w:left="1600" w:hanging="400"/>
      </w:pPr>
      <w:rPr>
        <w:rFonts w:ascii="Wingdings" w:hAnsi="Wingdings" w:hint="default"/>
      </w:rPr>
    </w:lvl>
    <w:lvl w:ilvl="3" w:tplc="50EE495A" w:tentative="1">
      <w:start w:val="1"/>
      <w:numFmt w:val="bullet"/>
      <w:lvlText w:val=""/>
      <w:lvlJc w:val="left"/>
      <w:pPr>
        <w:ind w:left="2000" w:hanging="400"/>
      </w:pPr>
      <w:rPr>
        <w:rFonts w:ascii="Wingdings" w:hAnsi="Wingdings" w:hint="default"/>
      </w:rPr>
    </w:lvl>
    <w:lvl w:ilvl="4" w:tplc="723256D4" w:tentative="1">
      <w:start w:val="1"/>
      <w:numFmt w:val="bullet"/>
      <w:lvlText w:val=""/>
      <w:lvlJc w:val="left"/>
      <w:pPr>
        <w:ind w:left="2400" w:hanging="400"/>
      </w:pPr>
      <w:rPr>
        <w:rFonts w:ascii="Wingdings" w:hAnsi="Wingdings" w:hint="default"/>
      </w:rPr>
    </w:lvl>
    <w:lvl w:ilvl="5" w:tplc="87C8743A" w:tentative="1">
      <w:start w:val="1"/>
      <w:numFmt w:val="bullet"/>
      <w:lvlText w:val=""/>
      <w:lvlJc w:val="left"/>
      <w:pPr>
        <w:ind w:left="2800" w:hanging="400"/>
      </w:pPr>
      <w:rPr>
        <w:rFonts w:ascii="Wingdings" w:hAnsi="Wingdings" w:hint="default"/>
      </w:rPr>
    </w:lvl>
    <w:lvl w:ilvl="6" w:tplc="319692AA" w:tentative="1">
      <w:start w:val="1"/>
      <w:numFmt w:val="bullet"/>
      <w:lvlText w:val=""/>
      <w:lvlJc w:val="left"/>
      <w:pPr>
        <w:ind w:left="3200" w:hanging="400"/>
      </w:pPr>
      <w:rPr>
        <w:rFonts w:ascii="Wingdings" w:hAnsi="Wingdings" w:hint="default"/>
      </w:rPr>
    </w:lvl>
    <w:lvl w:ilvl="7" w:tplc="26C83874" w:tentative="1">
      <w:start w:val="1"/>
      <w:numFmt w:val="bullet"/>
      <w:lvlText w:val=""/>
      <w:lvlJc w:val="left"/>
      <w:pPr>
        <w:ind w:left="3600" w:hanging="400"/>
      </w:pPr>
      <w:rPr>
        <w:rFonts w:ascii="Wingdings" w:hAnsi="Wingdings" w:hint="default"/>
      </w:rPr>
    </w:lvl>
    <w:lvl w:ilvl="8" w:tplc="4BC89BA8" w:tentative="1">
      <w:start w:val="1"/>
      <w:numFmt w:val="bullet"/>
      <w:lvlText w:val=""/>
      <w:lvlJc w:val="left"/>
      <w:pPr>
        <w:ind w:left="4000" w:hanging="400"/>
      </w:pPr>
      <w:rPr>
        <w:rFonts w:ascii="Wingdings" w:hAnsi="Wingdings" w:hint="default"/>
      </w:rPr>
    </w:lvl>
  </w:abstractNum>
  <w:abstractNum w:abstractNumId="118" w15:restartNumberingAfterBreak="0">
    <w:nsid w:val="6AFA52BB"/>
    <w:multiLevelType w:val="hybridMultilevel"/>
    <w:tmpl w:val="238C36AC"/>
    <w:lvl w:ilvl="0" w:tplc="74CA0D32">
      <w:start w:val="1"/>
      <w:numFmt w:val="decimal"/>
      <w:lvlText w:val="%1."/>
      <w:lvlJc w:val="left"/>
      <w:pPr>
        <w:ind w:left="660" w:hanging="550"/>
      </w:pPr>
      <w:rPr>
        <w:rFonts w:ascii="Times New Roman" w:eastAsia="Times New Roman" w:hAnsi="Times New Roman" w:hint="default"/>
        <w:sz w:val="22"/>
        <w:szCs w:val="22"/>
      </w:rPr>
    </w:lvl>
    <w:lvl w:ilvl="1" w:tplc="9FEC95D2">
      <w:start w:val="1"/>
      <w:numFmt w:val="bullet"/>
      <w:lvlText w:val="•"/>
      <w:lvlJc w:val="left"/>
      <w:pPr>
        <w:ind w:left="1548" w:hanging="550"/>
      </w:pPr>
      <w:rPr>
        <w:rFonts w:hint="default"/>
      </w:rPr>
    </w:lvl>
    <w:lvl w:ilvl="2" w:tplc="199A6FDC">
      <w:start w:val="1"/>
      <w:numFmt w:val="bullet"/>
      <w:lvlText w:val="•"/>
      <w:lvlJc w:val="left"/>
      <w:pPr>
        <w:ind w:left="2436" w:hanging="550"/>
      </w:pPr>
      <w:rPr>
        <w:rFonts w:hint="default"/>
      </w:rPr>
    </w:lvl>
    <w:lvl w:ilvl="3" w:tplc="C48851EE">
      <w:start w:val="1"/>
      <w:numFmt w:val="bullet"/>
      <w:lvlText w:val="•"/>
      <w:lvlJc w:val="left"/>
      <w:pPr>
        <w:ind w:left="3324" w:hanging="550"/>
      </w:pPr>
      <w:rPr>
        <w:rFonts w:hint="default"/>
      </w:rPr>
    </w:lvl>
    <w:lvl w:ilvl="4" w:tplc="91B6911E">
      <w:start w:val="1"/>
      <w:numFmt w:val="bullet"/>
      <w:lvlText w:val="•"/>
      <w:lvlJc w:val="left"/>
      <w:pPr>
        <w:ind w:left="4212" w:hanging="550"/>
      </w:pPr>
      <w:rPr>
        <w:rFonts w:hint="default"/>
      </w:rPr>
    </w:lvl>
    <w:lvl w:ilvl="5" w:tplc="9EDE18E6">
      <w:start w:val="1"/>
      <w:numFmt w:val="bullet"/>
      <w:lvlText w:val="•"/>
      <w:lvlJc w:val="left"/>
      <w:pPr>
        <w:ind w:left="5100" w:hanging="550"/>
      </w:pPr>
      <w:rPr>
        <w:rFonts w:hint="default"/>
      </w:rPr>
    </w:lvl>
    <w:lvl w:ilvl="6" w:tplc="78780044">
      <w:start w:val="1"/>
      <w:numFmt w:val="bullet"/>
      <w:lvlText w:val="•"/>
      <w:lvlJc w:val="left"/>
      <w:pPr>
        <w:ind w:left="5988" w:hanging="550"/>
      </w:pPr>
      <w:rPr>
        <w:rFonts w:hint="default"/>
      </w:rPr>
    </w:lvl>
    <w:lvl w:ilvl="7" w:tplc="6BAE48FC">
      <w:start w:val="1"/>
      <w:numFmt w:val="bullet"/>
      <w:lvlText w:val="•"/>
      <w:lvlJc w:val="left"/>
      <w:pPr>
        <w:ind w:left="6876" w:hanging="550"/>
      </w:pPr>
      <w:rPr>
        <w:rFonts w:hint="default"/>
      </w:rPr>
    </w:lvl>
    <w:lvl w:ilvl="8" w:tplc="469C293A">
      <w:start w:val="1"/>
      <w:numFmt w:val="bullet"/>
      <w:lvlText w:val="•"/>
      <w:lvlJc w:val="left"/>
      <w:pPr>
        <w:ind w:left="7764" w:hanging="550"/>
      </w:pPr>
      <w:rPr>
        <w:rFonts w:hint="default"/>
      </w:rPr>
    </w:lvl>
  </w:abstractNum>
  <w:abstractNum w:abstractNumId="119" w15:restartNumberingAfterBreak="0">
    <w:nsid w:val="6C136F0E"/>
    <w:multiLevelType w:val="multilevel"/>
    <w:tmpl w:val="814CA276"/>
    <w:lvl w:ilvl="0">
      <w:start w:val="1"/>
      <w:numFmt w:val="decimal"/>
      <w:lvlText w:val="%1."/>
      <w:lvlJc w:val="left"/>
      <w:pPr>
        <w:ind w:left="0" w:firstLine="442"/>
      </w:pPr>
      <w:rPr>
        <w:rFonts w:ascii="Times New Roman" w:eastAsia="바탕" w:hAnsi="Times New Roman" w:hint="default"/>
        <w:b/>
        <w:bCs/>
        <w:sz w:val="22"/>
        <w:szCs w:val="22"/>
      </w:rPr>
    </w:lvl>
    <w:lvl w:ilvl="1">
      <w:start w:val="1"/>
      <w:numFmt w:val="decimal"/>
      <w:lvlText w:val="4.%2"/>
      <w:lvlJc w:val="left"/>
      <w:pPr>
        <w:ind w:left="0" w:firstLine="35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20" w15:restartNumberingAfterBreak="0">
    <w:nsid w:val="6E0E5832"/>
    <w:multiLevelType w:val="multilevel"/>
    <w:tmpl w:val="D0CA7286"/>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21" w15:restartNumberingAfterBreak="0">
    <w:nsid w:val="6F46197F"/>
    <w:multiLevelType w:val="hybridMultilevel"/>
    <w:tmpl w:val="ADC4C6CC"/>
    <w:lvl w:ilvl="0" w:tplc="35929382">
      <w:start w:val="1"/>
      <w:numFmt w:val="lowerLetter"/>
      <w:lvlText w:val="%1"/>
      <w:lvlJc w:val="left"/>
      <w:pPr>
        <w:ind w:hanging="360"/>
      </w:pPr>
      <w:rPr>
        <w:rFonts w:ascii="Times New Roman" w:eastAsia="Times New Roman" w:hAnsi="Times New Roman" w:hint="default"/>
        <w:position w:val="6"/>
        <w:sz w:val="16"/>
        <w:szCs w:val="16"/>
      </w:rPr>
    </w:lvl>
    <w:lvl w:ilvl="1" w:tplc="5A4EDF34">
      <w:start w:val="1"/>
      <w:numFmt w:val="bullet"/>
      <w:lvlText w:val="•"/>
      <w:lvlJc w:val="left"/>
      <w:rPr>
        <w:rFonts w:hint="default"/>
      </w:rPr>
    </w:lvl>
    <w:lvl w:ilvl="2" w:tplc="58540014">
      <w:start w:val="1"/>
      <w:numFmt w:val="bullet"/>
      <w:lvlText w:val="•"/>
      <w:lvlJc w:val="left"/>
      <w:rPr>
        <w:rFonts w:hint="default"/>
      </w:rPr>
    </w:lvl>
    <w:lvl w:ilvl="3" w:tplc="5484D756">
      <w:start w:val="1"/>
      <w:numFmt w:val="bullet"/>
      <w:lvlText w:val="•"/>
      <w:lvlJc w:val="left"/>
      <w:rPr>
        <w:rFonts w:hint="default"/>
      </w:rPr>
    </w:lvl>
    <w:lvl w:ilvl="4" w:tplc="A968A928">
      <w:start w:val="1"/>
      <w:numFmt w:val="bullet"/>
      <w:lvlText w:val="•"/>
      <w:lvlJc w:val="left"/>
      <w:rPr>
        <w:rFonts w:hint="default"/>
      </w:rPr>
    </w:lvl>
    <w:lvl w:ilvl="5" w:tplc="E3EA43E4">
      <w:start w:val="1"/>
      <w:numFmt w:val="bullet"/>
      <w:lvlText w:val="•"/>
      <w:lvlJc w:val="left"/>
      <w:rPr>
        <w:rFonts w:hint="default"/>
      </w:rPr>
    </w:lvl>
    <w:lvl w:ilvl="6" w:tplc="01F4373C">
      <w:start w:val="1"/>
      <w:numFmt w:val="bullet"/>
      <w:lvlText w:val="•"/>
      <w:lvlJc w:val="left"/>
      <w:rPr>
        <w:rFonts w:hint="default"/>
      </w:rPr>
    </w:lvl>
    <w:lvl w:ilvl="7" w:tplc="84B8F28E">
      <w:start w:val="1"/>
      <w:numFmt w:val="bullet"/>
      <w:lvlText w:val="•"/>
      <w:lvlJc w:val="left"/>
      <w:rPr>
        <w:rFonts w:hint="default"/>
      </w:rPr>
    </w:lvl>
    <w:lvl w:ilvl="8" w:tplc="F8ECF8CA">
      <w:start w:val="1"/>
      <w:numFmt w:val="bullet"/>
      <w:lvlText w:val="•"/>
      <w:lvlJc w:val="left"/>
      <w:rPr>
        <w:rFonts w:hint="default"/>
      </w:rPr>
    </w:lvl>
  </w:abstractNum>
  <w:abstractNum w:abstractNumId="122" w15:restartNumberingAfterBreak="0">
    <w:nsid w:val="6F887A64"/>
    <w:multiLevelType w:val="hybridMultilevel"/>
    <w:tmpl w:val="28A00D86"/>
    <w:lvl w:ilvl="0" w:tplc="209A2F30">
      <w:start w:val="1"/>
      <w:numFmt w:val="decimal"/>
      <w:lvlText w:val="%1."/>
      <w:lvlJc w:val="left"/>
      <w:pPr>
        <w:ind w:left="760" w:hanging="360"/>
      </w:pPr>
      <w:rPr>
        <w:rFonts w:hint="default"/>
      </w:rPr>
    </w:lvl>
    <w:lvl w:ilvl="1" w:tplc="A4C83DCE" w:tentative="1">
      <w:start w:val="1"/>
      <w:numFmt w:val="upperLetter"/>
      <w:lvlText w:val="%2."/>
      <w:lvlJc w:val="left"/>
      <w:pPr>
        <w:ind w:left="1200" w:hanging="400"/>
      </w:pPr>
    </w:lvl>
    <w:lvl w:ilvl="2" w:tplc="8BA83D4A" w:tentative="1">
      <w:start w:val="1"/>
      <w:numFmt w:val="lowerRoman"/>
      <w:lvlText w:val="%3."/>
      <w:lvlJc w:val="right"/>
      <w:pPr>
        <w:ind w:left="1600" w:hanging="400"/>
      </w:pPr>
    </w:lvl>
    <w:lvl w:ilvl="3" w:tplc="AE6E2F62" w:tentative="1">
      <w:start w:val="1"/>
      <w:numFmt w:val="decimal"/>
      <w:lvlText w:val="%4."/>
      <w:lvlJc w:val="left"/>
      <w:pPr>
        <w:ind w:left="2000" w:hanging="400"/>
      </w:pPr>
    </w:lvl>
    <w:lvl w:ilvl="4" w:tplc="3766BAB0" w:tentative="1">
      <w:start w:val="1"/>
      <w:numFmt w:val="upperLetter"/>
      <w:lvlText w:val="%5."/>
      <w:lvlJc w:val="left"/>
      <w:pPr>
        <w:ind w:left="2400" w:hanging="400"/>
      </w:pPr>
    </w:lvl>
    <w:lvl w:ilvl="5" w:tplc="6EE60732" w:tentative="1">
      <w:start w:val="1"/>
      <w:numFmt w:val="lowerRoman"/>
      <w:lvlText w:val="%6."/>
      <w:lvlJc w:val="right"/>
      <w:pPr>
        <w:ind w:left="2800" w:hanging="400"/>
      </w:pPr>
    </w:lvl>
    <w:lvl w:ilvl="6" w:tplc="503A49A2" w:tentative="1">
      <w:start w:val="1"/>
      <w:numFmt w:val="decimal"/>
      <w:lvlText w:val="%7."/>
      <w:lvlJc w:val="left"/>
      <w:pPr>
        <w:ind w:left="3200" w:hanging="400"/>
      </w:pPr>
    </w:lvl>
    <w:lvl w:ilvl="7" w:tplc="4E707C0A" w:tentative="1">
      <w:start w:val="1"/>
      <w:numFmt w:val="upperLetter"/>
      <w:lvlText w:val="%8."/>
      <w:lvlJc w:val="left"/>
      <w:pPr>
        <w:ind w:left="3600" w:hanging="400"/>
      </w:pPr>
    </w:lvl>
    <w:lvl w:ilvl="8" w:tplc="2A1E4C7A" w:tentative="1">
      <w:start w:val="1"/>
      <w:numFmt w:val="lowerRoman"/>
      <w:lvlText w:val="%9."/>
      <w:lvlJc w:val="right"/>
      <w:pPr>
        <w:ind w:left="4000" w:hanging="400"/>
      </w:pPr>
    </w:lvl>
  </w:abstractNum>
  <w:abstractNum w:abstractNumId="123" w15:restartNumberingAfterBreak="0">
    <w:nsid w:val="7014122D"/>
    <w:multiLevelType w:val="multilevel"/>
    <w:tmpl w:val="EF2AA090"/>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60" w:hanging="562"/>
      </w:pPr>
      <w:rPr>
        <w:rFonts w:hint="default"/>
      </w:rPr>
    </w:lvl>
    <w:lvl w:ilvl="3">
      <w:start w:val="1"/>
      <w:numFmt w:val="bullet"/>
      <w:lvlText w:val="•"/>
      <w:lvlJc w:val="left"/>
      <w:pPr>
        <w:ind w:left="2647" w:hanging="562"/>
      </w:pPr>
      <w:rPr>
        <w:rFonts w:hint="default"/>
      </w:rPr>
    </w:lvl>
    <w:lvl w:ilvl="4">
      <w:start w:val="1"/>
      <w:numFmt w:val="bullet"/>
      <w:lvlText w:val="•"/>
      <w:lvlJc w:val="left"/>
      <w:pPr>
        <w:ind w:left="3635" w:hanging="562"/>
      </w:pPr>
      <w:rPr>
        <w:rFonts w:hint="default"/>
      </w:rPr>
    </w:lvl>
    <w:lvl w:ilvl="5">
      <w:start w:val="1"/>
      <w:numFmt w:val="bullet"/>
      <w:lvlText w:val="•"/>
      <w:lvlJc w:val="left"/>
      <w:pPr>
        <w:ind w:left="4622" w:hanging="562"/>
      </w:pPr>
      <w:rPr>
        <w:rFonts w:hint="default"/>
      </w:rPr>
    </w:lvl>
    <w:lvl w:ilvl="6">
      <w:start w:val="1"/>
      <w:numFmt w:val="bullet"/>
      <w:lvlText w:val="•"/>
      <w:lvlJc w:val="left"/>
      <w:pPr>
        <w:ind w:left="5610" w:hanging="562"/>
      </w:pPr>
      <w:rPr>
        <w:rFonts w:hint="default"/>
      </w:rPr>
    </w:lvl>
    <w:lvl w:ilvl="7">
      <w:start w:val="1"/>
      <w:numFmt w:val="bullet"/>
      <w:lvlText w:val="•"/>
      <w:lvlJc w:val="left"/>
      <w:pPr>
        <w:ind w:left="6597" w:hanging="562"/>
      </w:pPr>
      <w:rPr>
        <w:rFonts w:hint="default"/>
      </w:rPr>
    </w:lvl>
    <w:lvl w:ilvl="8">
      <w:start w:val="1"/>
      <w:numFmt w:val="bullet"/>
      <w:lvlText w:val="•"/>
      <w:lvlJc w:val="left"/>
      <w:pPr>
        <w:ind w:left="7585" w:hanging="562"/>
      </w:pPr>
      <w:rPr>
        <w:rFonts w:hint="default"/>
      </w:rPr>
    </w:lvl>
  </w:abstractNum>
  <w:abstractNum w:abstractNumId="124" w15:restartNumberingAfterBreak="0">
    <w:nsid w:val="704015D3"/>
    <w:multiLevelType w:val="hybridMultilevel"/>
    <w:tmpl w:val="DA4C1AC0"/>
    <w:lvl w:ilvl="0" w:tplc="16C86100">
      <w:start w:val="1"/>
      <w:numFmt w:val="decimal"/>
      <w:lvlText w:val="%1)"/>
      <w:lvlJc w:val="left"/>
      <w:pPr>
        <w:ind w:left="672" w:hanging="562"/>
      </w:pPr>
      <w:rPr>
        <w:rFonts w:ascii="Times New Roman" w:eastAsia="Times New Roman" w:hAnsi="Times New Roman" w:hint="default"/>
        <w:b/>
        <w:bCs/>
        <w:sz w:val="22"/>
        <w:szCs w:val="22"/>
      </w:rPr>
    </w:lvl>
    <w:lvl w:ilvl="1" w:tplc="D58CEB86">
      <w:start w:val="1"/>
      <w:numFmt w:val="bullet"/>
      <w:lvlText w:val="o"/>
      <w:lvlJc w:val="left"/>
      <w:pPr>
        <w:ind w:left="1244" w:hanging="567"/>
      </w:pPr>
      <w:rPr>
        <w:rFonts w:ascii="Courier New" w:eastAsia="Courier New" w:hAnsi="Courier New" w:hint="default"/>
        <w:sz w:val="22"/>
        <w:szCs w:val="22"/>
      </w:rPr>
    </w:lvl>
    <w:lvl w:ilvl="2" w:tplc="197C0994">
      <w:start w:val="1"/>
      <w:numFmt w:val="bullet"/>
      <w:lvlText w:val="•"/>
      <w:lvlJc w:val="left"/>
      <w:pPr>
        <w:ind w:left="2165" w:hanging="567"/>
      </w:pPr>
      <w:rPr>
        <w:rFonts w:hint="default"/>
      </w:rPr>
    </w:lvl>
    <w:lvl w:ilvl="3" w:tplc="B4607B9C">
      <w:start w:val="1"/>
      <w:numFmt w:val="bullet"/>
      <w:lvlText w:val="•"/>
      <w:lvlJc w:val="left"/>
      <w:pPr>
        <w:ind w:left="3087" w:hanging="567"/>
      </w:pPr>
      <w:rPr>
        <w:rFonts w:hint="default"/>
      </w:rPr>
    </w:lvl>
    <w:lvl w:ilvl="4" w:tplc="A5842C80">
      <w:start w:val="1"/>
      <w:numFmt w:val="bullet"/>
      <w:lvlText w:val="•"/>
      <w:lvlJc w:val="left"/>
      <w:pPr>
        <w:ind w:left="4009" w:hanging="567"/>
      </w:pPr>
      <w:rPr>
        <w:rFonts w:hint="default"/>
      </w:rPr>
    </w:lvl>
    <w:lvl w:ilvl="5" w:tplc="9CAAAD10">
      <w:start w:val="1"/>
      <w:numFmt w:val="bullet"/>
      <w:lvlText w:val="•"/>
      <w:lvlJc w:val="left"/>
      <w:pPr>
        <w:ind w:left="4931" w:hanging="567"/>
      </w:pPr>
      <w:rPr>
        <w:rFonts w:hint="default"/>
      </w:rPr>
    </w:lvl>
    <w:lvl w:ilvl="6" w:tplc="AB5096BA">
      <w:start w:val="1"/>
      <w:numFmt w:val="bullet"/>
      <w:lvlText w:val="•"/>
      <w:lvlJc w:val="left"/>
      <w:pPr>
        <w:ind w:left="5852" w:hanging="567"/>
      </w:pPr>
      <w:rPr>
        <w:rFonts w:hint="default"/>
      </w:rPr>
    </w:lvl>
    <w:lvl w:ilvl="7" w:tplc="E74AB652">
      <w:start w:val="1"/>
      <w:numFmt w:val="bullet"/>
      <w:lvlText w:val="•"/>
      <w:lvlJc w:val="left"/>
      <w:pPr>
        <w:ind w:left="6774" w:hanging="567"/>
      </w:pPr>
      <w:rPr>
        <w:rFonts w:hint="default"/>
      </w:rPr>
    </w:lvl>
    <w:lvl w:ilvl="8" w:tplc="030061B0">
      <w:start w:val="1"/>
      <w:numFmt w:val="bullet"/>
      <w:lvlText w:val="•"/>
      <w:lvlJc w:val="left"/>
      <w:pPr>
        <w:ind w:left="7696" w:hanging="567"/>
      </w:pPr>
      <w:rPr>
        <w:rFonts w:hint="default"/>
      </w:rPr>
    </w:lvl>
  </w:abstractNum>
  <w:abstractNum w:abstractNumId="125" w15:restartNumberingAfterBreak="0">
    <w:nsid w:val="71B046EA"/>
    <w:multiLevelType w:val="hybridMultilevel"/>
    <w:tmpl w:val="A914FDF4"/>
    <w:lvl w:ilvl="0" w:tplc="E7A2E878">
      <w:start w:val="1"/>
      <w:numFmt w:val="decimal"/>
      <w:lvlText w:val="%1."/>
      <w:lvlJc w:val="left"/>
      <w:pPr>
        <w:ind w:left="677" w:hanging="567"/>
      </w:pPr>
      <w:rPr>
        <w:rFonts w:ascii="Times New Roman" w:eastAsia="Times New Roman" w:hAnsi="Times New Roman" w:hint="default"/>
        <w:sz w:val="22"/>
        <w:szCs w:val="22"/>
      </w:rPr>
    </w:lvl>
    <w:lvl w:ilvl="1" w:tplc="F8B87160">
      <w:start w:val="1"/>
      <w:numFmt w:val="bullet"/>
      <w:lvlText w:val="•"/>
      <w:lvlJc w:val="left"/>
      <w:pPr>
        <w:ind w:left="1569" w:hanging="567"/>
      </w:pPr>
      <w:rPr>
        <w:rFonts w:hint="default"/>
      </w:rPr>
    </w:lvl>
    <w:lvl w:ilvl="2" w:tplc="D85031D4">
      <w:start w:val="1"/>
      <w:numFmt w:val="bullet"/>
      <w:lvlText w:val="•"/>
      <w:lvlJc w:val="left"/>
      <w:pPr>
        <w:ind w:left="2462" w:hanging="567"/>
      </w:pPr>
      <w:rPr>
        <w:rFonts w:hint="default"/>
      </w:rPr>
    </w:lvl>
    <w:lvl w:ilvl="3" w:tplc="DAF69886">
      <w:start w:val="1"/>
      <w:numFmt w:val="bullet"/>
      <w:lvlText w:val="•"/>
      <w:lvlJc w:val="left"/>
      <w:pPr>
        <w:ind w:left="3354" w:hanging="567"/>
      </w:pPr>
      <w:rPr>
        <w:rFonts w:hint="default"/>
      </w:rPr>
    </w:lvl>
    <w:lvl w:ilvl="4" w:tplc="B42A378C">
      <w:start w:val="1"/>
      <w:numFmt w:val="bullet"/>
      <w:lvlText w:val="•"/>
      <w:lvlJc w:val="left"/>
      <w:pPr>
        <w:ind w:left="4246" w:hanging="567"/>
      </w:pPr>
      <w:rPr>
        <w:rFonts w:hint="default"/>
      </w:rPr>
    </w:lvl>
    <w:lvl w:ilvl="5" w:tplc="3EF48D2A">
      <w:start w:val="1"/>
      <w:numFmt w:val="bullet"/>
      <w:lvlText w:val="•"/>
      <w:lvlJc w:val="left"/>
      <w:pPr>
        <w:ind w:left="5138" w:hanging="567"/>
      </w:pPr>
      <w:rPr>
        <w:rFonts w:hint="default"/>
      </w:rPr>
    </w:lvl>
    <w:lvl w:ilvl="6" w:tplc="2EE42EA2">
      <w:start w:val="1"/>
      <w:numFmt w:val="bullet"/>
      <w:lvlText w:val="•"/>
      <w:lvlJc w:val="left"/>
      <w:pPr>
        <w:ind w:left="6031" w:hanging="567"/>
      </w:pPr>
      <w:rPr>
        <w:rFonts w:hint="default"/>
      </w:rPr>
    </w:lvl>
    <w:lvl w:ilvl="7" w:tplc="89E8EE54">
      <w:start w:val="1"/>
      <w:numFmt w:val="bullet"/>
      <w:lvlText w:val="•"/>
      <w:lvlJc w:val="left"/>
      <w:pPr>
        <w:ind w:left="6923" w:hanging="567"/>
      </w:pPr>
      <w:rPr>
        <w:rFonts w:hint="default"/>
      </w:rPr>
    </w:lvl>
    <w:lvl w:ilvl="8" w:tplc="8DB6F206">
      <w:start w:val="1"/>
      <w:numFmt w:val="bullet"/>
      <w:lvlText w:val="•"/>
      <w:lvlJc w:val="left"/>
      <w:pPr>
        <w:ind w:left="7815" w:hanging="567"/>
      </w:pPr>
      <w:rPr>
        <w:rFonts w:hint="default"/>
      </w:rPr>
    </w:lvl>
  </w:abstractNum>
  <w:abstractNum w:abstractNumId="126" w15:restartNumberingAfterBreak="0">
    <w:nsid w:val="7332122F"/>
    <w:multiLevelType w:val="hybridMultilevel"/>
    <w:tmpl w:val="339C2F6A"/>
    <w:lvl w:ilvl="0" w:tplc="AA680CBA">
      <w:start w:val="1"/>
      <w:numFmt w:val="decimal"/>
      <w:lvlText w:val="%1."/>
      <w:lvlJc w:val="left"/>
      <w:pPr>
        <w:ind w:hanging="562"/>
      </w:pPr>
      <w:rPr>
        <w:rFonts w:ascii="Times New Roman" w:eastAsia="Times New Roman" w:hAnsi="Times New Roman" w:hint="default"/>
        <w:b/>
        <w:bCs/>
        <w:sz w:val="22"/>
        <w:szCs w:val="22"/>
      </w:rPr>
    </w:lvl>
    <w:lvl w:ilvl="1" w:tplc="974498A8">
      <w:start w:val="1"/>
      <w:numFmt w:val="bullet"/>
      <w:lvlText w:val="•"/>
      <w:lvlJc w:val="left"/>
      <w:rPr>
        <w:rFonts w:hint="default"/>
      </w:rPr>
    </w:lvl>
    <w:lvl w:ilvl="2" w:tplc="E1AC2D82">
      <w:start w:val="1"/>
      <w:numFmt w:val="bullet"/>
      <w:lvlText w:val="•"/>
      <w:lvlJc w:val="left"/>
      <w:rPr>
        <w:rFonts w:hint="default"/>
      </w:rPr>
    </w:lvl>
    <w:lvl w:ilvl="3" w:tplc="302EB66A">
      <w:start w:val="1"/>
      <w:numFmt w:val="bullet"/>
      <w:lvlText w:val="•"/>
      <w:lvlJc w:val="left"/>
      <w:rPr>
        <w:rFonts w:hint="default"/>
      </w:rPr>
    </w:lvl>
    <w:lvl w:ilvl="4" w:tplc="917CE498">
      <w:start w:val="1"/>
      <w:numFmt w:val="bullet"/>
      <w:lvlText w:val="•"/>
      <w:lvlJc w:val="left"/>
      <w:rPr>
        <w:rFonts w:hint="default"/>
      </w:rPr>
    </w:lvl>
    <w:lvl w:ilvl="5" w:tplc="2938A376">
      <w:start w:val="1"/>
      <w:numFmt w:val="bullet"/>
      <w:lvlText w:val="•"/>
      <w:lvlJc w:val="left"/>
      <w:rPr>
        <w:rFonts w:hint="default"/>
      </w:rPr>
    </w:lvl>
    <w:lvl w:ilvl="6" w:tplc="72A0D984">
      <w:start w:val="1"/>
      <w:numFmt w:val="bullet"/>
      <w:lvlText w:val="•"/>
      <w:lvlJc w:val="left"/>
      <w:rPr>
        <w:rFonts w:hint="default"/>
      </w:rPr>
    </w:lvl>
    <w:lvl w:ilvl="7" w:tplc="25741A36">
      <w:start w:val="1"/>
      <w:numFmt w:val="bullet"/>
      <w:lvlText w:val="•"/>
      <w:lvlJc w:val="left"/>
      <w:rPr>
        <w:rFonts w:hint="default"/>
      </w:rPr>
    </w:lvl>
    <w:lvl w:ilvl="8" w:tplc="E8A477BE">
      <w:start w:val="1"/>
      <w:numFmt w:val="bullet"/>
      <w:lvlText w:val="•"/>
      <w:lvlJc w:val="left"/>
      <w:rPr>
        <w:rFonts w:hint="default"/>
      </w:rPr>
    </w:lvl>
  </w:abstractNum>
  <w:abstractNum w:abstractNumId="127" w15:restartNumberingAfterBreak="0">
    <w:nsid w:val="750462AE"/>
    <w:multiLevelType w:val="hybridMultilevel"/>
    <w:tmpl w:val="0868F95C"/>
    <w:lvl w:ilvl="0" w:tplc="CED443DC">
      <w:start w:val="1"/>
      <w:numFmt w:val="bullet"/>
      <w:lvlText w:val=""/>
      <w:lvlJc w:val="left"/>
      <w:pPr>
        <w:ind w:left="677" w:hanging="567"/>
      </w:pPr>
      <w:rPr>
        <w:rFonts w:ascii="Symbol" w:eastAsia="Symbol" w:hAnsi="Symbol" w:hint="default"/>
        <w:sz w:val="22"/>
        <w:szCs w:val="22"/>
      </w:rPr>
    </w:lvl>
    <w:lvl w:ilvl="1" w:tplc="B976695A">
      <w:start w:val="1"/>
      <w:numFmt w:val="bullet"/>
      <w:lvlText w:val="•"/>
      <w:lvlJc w:val="left"/>
      <w:pPr>
        <w:ind w:left="1567" w:hanging="567"/>
      </w:pPr>
      <w:rPr>
        <w:rFonts w:hint="default"/>
      </w:rPr>
    </w:lvl>
    <w:lvl w:ilvl="2" w:tplc="0D3AE8DA">
      <w:start w:val="1"/>
      <w:numFmt w:val="bullet"/>
      <w:lvlText w:val="•"/>
      <w:lvlJc w:val="left"/>
      <w:pPr>
        <w:ind w:left="2458" w:hanging="567"/>
      </w:pPr>
      <w:rPr>
        <w:rFonts w:hint="default"/>
      </w:rPr>
    </w:lvl>
    <w:lvl w:ilvl="3" w:tplc="9460C7F6">
      <w:start w:val="1"/>
      <w:numFmt w:val="bullet"/>
      <w:lvlText w:val="•"/>
      <w:lvlJc w:val="left"/>
      <w:pPr>
        <w:ind w:left="3348" w:hanging="567"/>
      </w:pPr>
      <w:rPr>
        <w:rFonts w:hint="default"/>
      </w:rPr>
    </w:lvl>
    <w:lvl w:ilvl="4" w:tplc="A8788024">
      <w:start w:val="1"/>
      <w:numFmt w:val="bullet"/>
      <w:lvlText w:val="•"/>
      <w:lvlJc w:val="left"/>
      <w:pPr>
        <w:ind w:left="4238" w:hanging="567"/>
      </w:pPr>
      <w:rPr>
        <w:rFonts w:hint="default"/>
      </w:rPr>
    </w:lvl>
    <w:lvl w:ilvl="5" w:tplc="56AC5F02">
      <w:start w:val="1"/>
      <w:numFmt w:val="bullet"/>
      <w:lvlText w:val="•"/>
      <w:lvlJc w:val="left"/>
      <w:pPr>
        <w:ind w:left="5128" w:hanging="567"/>
      </w:pPr>
      <w:rPr>
        <w:rFonts w:hint="default"/>
      </w:rPr>
    </w:lvl>
    <w:lvl w:ilvl="6" w:tplc="297007F8">
      <w:start w:val="1"/>
      <w:numFmt w:val="bullet"/>
      <w:lvlText w:val="•"/>
      <w:lvlJc w:val="left"/>
      <w:pPr>
        <w:ind w:left="6019" w:hanging="567"/>
      </w:pPr>
      <w:rPr>
        <w:rFonts w:hint="default"/>
      </w:rPr>
    </w:lvl>
    <w:lvl w:ilvl="7" w:tplc="1840ACDA">
      <w:start w:val="1"/>
      <w:numFmt w:val="bullet"/>
      <w:lvlText w:val="•"/>
      <w:lvlJc w:val="left"/>
      <w:pPr>
        <w:ind w:left="6909" w:hanging="567"/>
      </w:pPr>
      <w:rPr>
        <w:rFonts w:hint="default"/>
      </w:rPr>
    </w:lvl>
    <w:lvl w:ilvl="8" w:tplc="D2FEE372">
      <w:start w:val="1"/>
      <w:numFmt w:val="bullet"/>
      <w:lvlText w:val="•"/>
      <w:lvlJc w:val="left"/>
      <w:pPr>
        <w:ind w:left="7799" w:hanging="567"/>
      </w:pPr>
      <w:rPr>
        <w:rFonts w:hint="default"/>
      </w:rPr>
    </w:lvl>
  </w:abstractNum>
  <w:abstractNum w:abstractNumId="128" w15:restartNumberingAfterBreak="0">
    <w:nsid w:val="753A059E"/>
    <w:multiLevelType w:val="hybridMultilevel"/>
    <w:tmpl w:val="339C2F6A"/>
    <w:lvl w:ilvl="0" w:tplc="A13886A2">
      <w:start w:val="1"/>
      <w:numFmt w:val="decimal"/>
      <w:lvlText w:val="%1."/>
      <w:lvlJc w:val="left"/>
      <w:pPr>
        <w:ind w:hanging="562"/>
      </w:pPr>
      <w:rPr>
        <w:rFonts w:ascii="Times New Roman" w:eastAsia="Times New Roman" w:hAnsi="Times New Roman" w:hint="default"/>
        <w:b/>
        <w:bCs/>
        <w:sz w:val="22"/>
        <w:szCs w:val="22"/>
      </w:rPr>
    </w:lvl>
    <w:lvl w:ilvl="1" w:tplc="88D4A710">
      <w:start w:val="1"/>
      <w:numFmt w:val="bullet"/>
      <w:lvlText w:val="•"/>
      <w:lvlJc w:val="left"/>
      <w:rPr>
        <w:rFonts w:hint="default"/>
      </w:rPr>
    </w:lvl>
    <w:lvl w:ilvl="2" w:tplc="8BEE8BFA">
      <w:start w:val="1"/>
      <w:numFmt w:val="bullet"/>
      <w:lvlText w:val="•"/>
      <w:lvlJc w:val="left"/>
      <w:rPr>
        <w:rFonts w:hint="default"/>
      </w:rPr>
    </w:lvl>
    <w:lvl w:ilvl="3" w:tplc="8F58C016">
      <w:start w:val="1"/>
      <w:numFmt w:val="bullet"/>
      <w:lvlText w:val="•"/>
      <w:lvlJc w:val="left"/>
      <w:rPr>
        <w:rFonts w:hint="default"/>
      </w:rPr>
    </w:lvl>
    <w:lvl w:ilvl="4" w:tplc="9AA053DC">
      <w:start w:val="1"/>
      <w:numFmt w:val="bullet"/>
      <w:lvlText w:val="•"/>
      <w:lvlJc w:val="left"/>
      <w:rPr>
        <w:rFonts w:hint="default"/>
      </w:rPr>
    </w:lvl>
    <w:lvl w:ilvl="5" w:tplc="ACA836D6">
      <w:start w:val="1"/>
      <w:numFmt w:val="bullet"/>
      <w:lvlText w:val="•"/>
      <w:lvlJc w:val="left"/>
      <w:rPr>
        <w:rFonts w:hint="default"/>
      </w:rPr>
    </w:lvl>
    <w:lvl w:ilvl="6" w:tplc="0E2858A2">
      <w:start w:val="1"/>
      <w:numFmt w:val="bullet"/>
      <w:lvlText w:val="•"/>
      <w:lvlJc w:val="left"/>
      <w:rPr>
        <w:rFonts w:hint="default"/>
      </w:rPr>
    </w:lvl>
    <w:lvl w:ilvl="7" w:tplc="D7AEE386">
      <w:start w:val="1"/>
      <w:numFmt w:val="bullet"/>
      <w:lvlText w:val="•"/>
      <w:lvlJc w:val="left"/>
      <w:rPr>
        <w:rFonts w:hint="default"/>
      </w:rPr>
    </w:lvl>
    <w:lvl w:ilvl="8" w:tplc="1FA0C92A">
      <w:start w:val="1"/>
      <w:numFmt w:val="bullet"/>
      <w:lvlText w:val="•"/>
      <w:lvlJc w:val="left"/>
      <w:rPr>
        <w:rFonts w:hint="default"/>
      </w:rPr>
    </w:lvl>
  </w:abstractNum>
  <w:abstractNum w:abstractNumId="129" w15:restartNumberingAfterBreak="0">
    <w:nsid w:val="75F20454"/>
    <w:multiLevelType w:val="hybridMultilevel"/>
    <w:tmpl w:val="50509614"/>
    <w:lvl w:ilvl="0" w:tplc="4298410A">
      <w:start w:val="1"/>
      <w:numFmt w:val="bullet"/>
      <w:lvlText w:val=""/>
      <w:lvlJc w:val="left"/>
      <w:pPr>
        <w:ind w:left="773" w:hanging="360"/>
      </w:pPr>
      <w:rPr>
        <w:rFonts w:ascii="Symbol" w:hAnsi="Symbol" w:hint="default"/>
      </w:rPr>
    </w:lvl>
    <w:lvl w:ilvl="1" w:tplc="721E6532" w:tentative="1">
      <w:start w:val="1"/>
      <w:numFmt w:val="bullet"/>
      <w:lvlText w:val="o"/>
      <w:lvlJc w:val="left"/>
      <w:pPr>
        <w:ind w:left="1493" w:hanging="360"/>
      </w:pPr>
      <w:rPr>
        <w:rFonts w:ascii="Courier New" w:hAnsi="Courier New" w:cs="Courier New" w:hint="default"/>
      </w:rPr>
    </w:lvl>
    <w:lvl w:ilvl="2" w:tplc="A55C5852" w:tentative="1">
      <w:start w:val="1"/>
      <w:numFmt w:val="bullet"/>
      <w:lvlText w:val=""/>
      <w:lvlJc w:val="left"/>
      <w:pPr>
        <w:ind w:left="2213" w:hanging="360"/>
      </w:pPr>
      <w:rPr>
        <w:rFonts w:ascii="Wingdings" w:hAnsi="Wingdings" w:hint="default"/>
      </w:rPr>
    </w:lvl>
    <w:lvl w:ilvl="3" w:tplc="CB4CB1E8" w:tentative="1">
      <w:start w:val="1"/>
      <w:numFmt w:val="bullet"/>
      <w:lvlText w:val=""/>
      <w:lvlJc w:val="left"/>
      <w:pPr>
        <w:ind w:left="2933" w:hanging="360"/>
      </w:pPr>
      <w:rPr>
        <w:rFonts w:ascii="Symbol" w:hAnsi="Symbol" w:hint="default"/>
      </w:rPr>
    </w:lvl>
    <w:lvl w:ilvl="4" w:tplc="BADC129E" w:tentative="1">
      <w:start w:val="1"/>
      <w:numFmt w:val="bullet"/>
      <w:lvlText w:val="o"/>
      <w:lvlJc w:val="left"/>
      <w:pPr>
        <w:ind w:left="3653" w:hanging="360"/>
      </w:pPr>
      <w:rPr>
        <w:rFonts w:ascii="Courier New" w:hAnsi="Courier New" w:cs="Courier New" w:hint="default"/>
      </w:rPr>
    </w:lvl>
    <w:lvl w:ilvl="5" w:tplc="7C5069E6" w:tentative="1">
      <w:start w:val="1"/>
      <w:numFmt w:val="bullet"/>
      <w:lvlText w:val=""/>
      <w:lvlJc w:val="left"/>
      <w:pPr>
        <w:ind w:left="4373" w:hanging="360"/>
      </w:pPr>
      <w:rPr>
        <w:rFonts w:ascii="Wingdings" w:hAnsi="Wingdings" w:hint="default"/>
      </w:rPr>
    </w:lvl>
    <w:lvl w:ilvl="6" w:tplc="35927A26" w:tentative="1">
      <w:start w:val="1"/>
      <w:numFmt w:val="bullet"/>
      <w:lvlText w:val=""/>
      <w:lvlJc w:val="left"/>
      <w:pPr>
        <w:ind w:left="5093" w:hanging="360"/>
      </w:pPr>
      <w:rPr>
        <w:rFonts w:ascii="Symbol" w:hAnsi="Symbol" w:hint="default"/>
      </w:rPr>
    </w:lvl>
    <w:lvl w:ilvl="7" w:tplc="7EA61A74" w:tentative="1">
      <w:start w:val="1"/>
      <w:numFmt w:val="bullet"/>
      <w:lvlText w:val="o"/>
      <w:lvlJc w:val="left"/>
      <w:pPr>
        <w:ind w:left="5813" w:hanging="360"/>
      </w:pPr>
      <w:rPr>
        <w:rFonts w:ascii="Courier New" w:hAnsi="Courier New" w:cs="Courier New" w:hint="default"/>
      </w:rPr>
    </w:lvl>
    <w:lvl w:ilvl="8" w:tplc="4852FD28" w:tentative="1">
      <w:start w:val="1"/>
      <w:numFmt w:val="bullet"/>
      <w:lvlText w:val=""/>
      <w:lvlJc w:val="left"/>
      <w:pPr>
        <w:ind w:left="6533" w:hanging="360"/>
      </w:pPr>
      <w:rPr>
        <w:rFonts w:ascii="Wingdings" w:hAnsi="Wingdings" w:hint="default"/>
      </w:rPr>
    </w:lvl>
  </w:abstractNum>
  <w:abstractNum w:abstractNumId="130"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31" w15:restartNumberingAfterBreak="0">
    <w:nsid w:val="774430C0"/>
    <w:multiLevelType w:val="hybridMultilevel"/>
    <w:tmpl w:val="B11621AC"/>
    <w:lvl w:ilvl="0" w:tplc="DCB49EE4">
      <w:start w:val="1"/>
      <w:numFmt w:val="decimal"/>
      <w:lvlText w:val="%1."/>
      <w:lvlJc w:val="left"/>
      <w:pPr>
        <w:ind w:left="805" w:hanging="360"/>
      </w:pPr>
      <w:rPr>
        <w:rFonts w:ascii="Times New Roman" w:hAnsi="Times New Roman" w:cs="Times New Roman" w:hint="default"/>
        <w:b/>
      </w:rPr>
    </w:lvl>
    <w:lvl w:ilvl="1" w:tplc="29BEE0DC" w:tentative="1">
      <w:start w:val="1"/>
      <w:numFmt w:val="upperLetter"/>
      <w:lvlText w:val="%2."/>
      <w:lvlJc w:val="left"/>
      <w:pPr>
        <w:ind w:left="1245" w:hanging="400"/>
      </w:pPr>
    </w:lvl>
    <w:lvl w:ilvl="2" w:tplc="00EE27AC" w:tentative="1">
      <w:start w:val="1"/>
      <w:numFmt w:val="lowerRoman"/>
      <w:lvlText w:val="%3."/>
      <w:lvlJc w:val="right"/>
      <w:pPr>
        <w:ind w:left="1645" w:hanging="400"/>
      </w:pPr>
    </w:lvl>
    <w:lvl w:ilvl="3" w:tplc="66D42A2A" w:tentative="1">
      <w:start w:val="1"/>
      <w:numFmt w:val="decimal"/>
      <w:lvlText w:val="%4."/>
      <w:lvlJc w:val="left"/>
      <w:pPr>
        <w:ind w:left="2045" w:hanging="400"/>
      </w:pPr>
    </w:lvl>
    <w:lvl w:ilvl="4" w:tplc="0520F7FC" w:tentative="1">
      <w:start w:val="1"/>
      <w:numFmt w:val="upperLetter"/>
      <w:lvlText w:val="%5."/>
      <w:lvlJc w:val="left"/>
      <w:pPr>
        <w:ind w:left="2445" w:hanging="400"/>
      </w:pPr>
    </w:lvl>
    <w:lvl w:ilvl="5" w:tplc="03F29A34" w:tentative="1">
      <w:start w:val="1"/>
      <w:numFmt w:val="lowerRoman"/>
      <w:lvlText w:val="%6."/>
      <w:lvlJc w:val="right"/>
      <w:pPr>
        <w:ind w:left="2845" w:hanging="400"/>
      </w:pPr>
    </w:lvl>
    <w:lvl w:ilvl="6" w:tplc="6C50B160" w:tentative="1">
      <w:start w:val="1"/>
      <w:numFmt w:val="decimal"/>
      <w:lvlText w:val="%7."/>
      <w:lvlJc w:val="left"/>
      <w:pPr>
        <w:ind w:left="3245" w:hanging="400"/>
      </w:pPr>
    </w:lvl>
    <w:lvl w:ilvl="7" w:tplc="614062EA" w:tentative="1">
      <w:start w:val="1"/>
      <w:numFmt w:val="upperLetter"/>
      <w:lvlText w:val="%8."/>
      <w:lvlJc w:val="left"/>
      <w:pPr>
        <w:ind w:left="3645" w:hanging="400"/>
      </w:pPr>
    </w:lvl>
    <w:lvl w:ilvl="8" w:tplc="FF0E8658" w:tentative="1">
      <w:start w:val="1"/>
      <w:numFmt w:val="lowerRoman"/>
      <w:lvlText w:val="%9."/>
      <w:lvlJc w:val="right"/>
      <w:pPr>
        <w:ind w:left="4045" w:hanging="400"/>
      </w:pPr>
    </w:lvl>
  </w:abstractNum>
  <w:abstractNum w:abstractNumId="132" w15:restartNumberingAfterBreak="0">
    <w:nsid w:val="774D0E51"/>
    <w:multiLevelType w:val="hybridMultilevel"/>
    <w:tmpl w:val="CBA03BC0"/>
    <w:lvl w:ilvl="0" w:tplc="6714DE80">
      <w:start w:val="1"/>
      <w:numFmt w:val="decimal"/>
      <w:lvlText w:val="%1."/>
      <w:lvlJc w:val="left"/>
      <w:pPr>
        <w:ind w:left="471" w:hanging="360"/>
      </w:pPr>
      <w:rPr>
        <w:rFonts w:hint="default"/>
        <w:b/>
      </w:rPr>
    </w:lvl>
    <w:lvl w:ilvl="1" w:tplc="626E6C62" w:tentative="1">
      <w:start w:val="1"/>
      <w:numFmt w:val="upperLetter"/>
      <w:lvlText w:val="%2."/>
      <w:lvlJc w:val="left"/>
      <w:pPr>
        <w:ind w:left="911" w:hanging="400"/>
      </w:pPr>
    </w:lvl>
    <w:lvl w:ilvl="2" w:tplc="6E2AAD12" w:tentative="1">
      <w:start w:val="1"/>
      <w:numFmt w:val="lowerRoman"/>
      <w:lvlText w:val="%3."/>
      <w:lvlJc w:val="right"/>
      <w:pPr>
        <w:ind w:left="1311" w:hanging="400"/>
      </w:pPr>
    </w:lvl>
    <w:lvl w:ilvl="3" w:tplc="0B8C6826" w:tentative="1">
      <w:start w:val="1"/>
      <w:numFmt w:val="decimal"/>
      <w:lvlText w:val="%4."/>
      <w:lvlJc w:val="left"/>
      <w:pPr>
        <w:ind w:left="1711" w:hanging="400"/>
      </w:pPr>
    </w:lvl>
    <w:lvl w:ilvl="4" w:tplc="0116ECC4" w:tentative="1">
      <w:start w:val="1"/>
      <w:numFmt w:val="upperLetter"/>
      <w:lvlText w:val="%5."/>
      <w:lvlJc w:val="left"/>
      <w:pPr>
        <w:ind w:left="2111" w:hanging="400"/>
      </w:pPr>
    </w:lvl>
    <w:lvl w:ilvl="5" w:tplc="E036199A" w:tentative="1">
      <w:start w:val="1"/>
      <w:numFmt w:val="lowerRoman"/>
      <w:lvlText w:val="%6."/>
      <w:lvlJc w:val="right"/>
      <w:pPr>
        <w:ind w:left="2511" w:hanging="400"/>
      </w:pPr>
    </w:lvl>
    <w:lvl w:ilvl="6" w:tplc="818C3982" w:tentative="1">
      <w:start w:val="1"/>
      <w:numFmt w:val="decimal"/>
      <w:lvlText w:val="%7."/>
      <w:lvlJc w:val="left"/>
      <w:pPr>
        <w:ind w:left="2911" w:hanging="400"/>
      </w:pPr>
    </w:lvl>
    <w:lvl w:ilvl="7" w:tplc="BD9EDF10" w:tentative="1">
      <w:start w:val="1"/>
      <w:numFmt w:val="upperLetter"/>
      <w:lvlText w:val="%8."/>
      <w:lvlJc w:val="left"/>
      <w:pPr>
        <w:ind w:left="3311" w:hanging="400"/>
      </w:pPr>
    </w:lvl>
    <w:lvl w:ilvl="8" w:tplc="0EE84240" w:tentative="1">
      <w:start w:val="1"/>
      <w:numFmt w:val="lowerRoman"/>
      <w:lvlText w:val="%9."/>
      <w:lvlJc w:val="right"/>
      <w:pPr>
        <w:ind w:left="3711" w:hanging="400"/>
      </w:pPr>
    </w:lvl>
  </w:abstractNum>
  <w:abstractNum w:abstractNumId="133" w15:restartNumberingAfterBreak="0">
    <w:nsid w:val="77E8459F"/>
    <w:multiLevelType w:val="multilevel"/>
    <w:tmpl w:val="661E20C0"/>
    <w:lvl w:ilvl="0">
      <w:start w:val="1"/>
      <w:numFmt w:val="decimal"/>
      <w:lvlText w:val="%1."/>
      <w:lvlJc w:val="left"/>
      <w:pPr>
        <w:ind w:left="672"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2438" w:hanging="562"/>
      </w:pPr>
      <w:rPr>
        <w:rFonts w:hint="default"/>
      </w:rPr>
    </w:lvl>
    <w:lvl w:ilvl="3">
      <w:start w:val="1"/>
      <w:numFmt w:val="bullet"/>
      <w:lvlText w:val="•"/>
      <w:lvlJc w:val="left"/>
      <w:pPr>
        <w:ind w:left="3320" w:hanging="562"/>
      </w:pPr>
      <w:rPr>
        <w:rFonts w:hint="default"/>
      </w:rPr>
    </w:lvl>
    <w:lvl w:ilvl="4">
      <w:start w:val="1"/>
      <w:numFmt w:val="bullet"/>
      <w:lvlText w:val="•"/>
      <w:lvlJc w:val="left"/>
      <w:pPr>
        <w:ind w:left="4203" w:hanging="562"/>
      </w:pPr>
      <w:rPr>
        <w:rFonts w:hint="default"/>
      </w:rPr>
    </w:lvl>
    <w:lvl w:ilvl="5">
      <w:start w:val="1"/>
      <w:numFmt w:val="bullet"/>
      <w:lvlText w:val="•"/>
      <w:lvlJc w:val="left"/>
      <w:pPr>
        <w:ind w:left="5086" w:hanging="562"/>
      </w:pPr>
      <w:rPr>
        <w:rFonts w:hint="default"/>
      </w:rPr>
    </w:lvl>
    <w:lvl w:ilvl="6">
      <w:start w:val="1"/>
      <w:numFmt w:val="bullet"/>
      <w:lvlText w:val="•"/>
      <w:lvlJc w:val="left"/>
      <w:pPr>
        <w:ind w:left="5969" w:hanging="562"/>
      </w:pPr>
      <w:rPr>
        <w:rFonts w:hint="default"/>
      </w:rPr>
    </w:lvl>
    <w:lvl w:ilvl="7">
      <w:start w:val="1"/>
      <w:numFmt w:val="bullet"/>
      <w:lvlText w:val="•"/>
      <w:lvlJc w:val="left"/>
      <w:pPr>
        <w:ind w:left="6851" w:hanging="562"/>
      </w:pPr>
      <w:rPr>
        <w:rFonts w:hint="default"/>
      </w:rPr>
    </w:lvl>
    <w:lvl w:ilvl="8">
      <w:start w:val="1"/>
      <w:numFmt w:val="bullet"/>
      <w:lvlText w:val="•"/>
      <w:lvlJc w:val="left"/>
      <w:pPr>
        <w:ind w:left="7734" w:hanging="562"/>
      </w:pPr>
      <w:rPr>
        <w:rFonts w:hint="default"/>
      </w:rPr>
    </w:lvl>
  </w:abstractNum>
  <w:abstractNum w:abstractNumId="134" w15:restartNumberingAfterBreak="0">
    <w:nsid w:val="78076C81"/>
    <w:multiLevelType w:val="hybridMultilevel"/>
    <w:tmpl w:val="CEA0735A"/>
    <w:lvl w:ilvl="0" w:tplc="97FAF8BE">
      <w:start w:val="1"/>
      <w:numFmt w:val="bullet"/>
      <w:lvlText w:val=""/>
      <w:lvlJc w:val="left"/>
      <w:pPr>
        <w:ind w:left="1734" w:hanging="360"/>
      </w:pPr>
      <w:rPr>
        <w:rFonts w:ascii="Symbol" w:eastAsia="Symbol" w:hAnsi="Symbol" w:hint="default"/>
        <w:sz w:val="22"/>
        <w:szCs w:val="22"/>
      </w:rPr>
    </w:lvl>
    <w:lvl w:ilvl="1" w:tplc="266EA612">
      <w:start w:val="1"/>
      <w:numFmt w:val="bullet"/>
      <w:lvlText w:val="•"/>
      <w:lvlJc w:val="left"/>
      <w:pPr>
        <w:ind w:left="2201" w:hanging="360"/>
      </w:pPr>
      <w:rPr>
        <w:rFonts w:hint="default"/>
      </w:rPr>
    </w:lvl>
    <w:lvl w:ilvl="2" w:tplc="B0B49E0C">
      <w:start w:val="1"/>
      <w:numFmt w:val="bullet"/>
      <w:lvlText w:val="•"/>
      <w:lvlJc w:val="left"/>
      <w:pPr>
        <w:ind w:left="2668" w:hanging="360"/>
      </w:pPr>
      <w:rPr>
        <w:rFonts w:hint="default"/>
      </w:rPr>
    </w:lvl>
    <w:lvl w:ilvl="3" w:tplc="C3C05248">
      <w:start w:val="1"/>
      <w:numFmt w:val="bullet"/>
      <w:lvlText w:val="•"/>
      <w:lvlJc w:val="left"/>
      <w:pPr>
        <w:ind w:left="3136" w:hanging="360"/>
      </w:pPr>
      <w:rPr>
        <w:rFonts w:hint="default"/>
      </w:rPr>
    </w:lvl>
    <w:lvl w:ilvl="4" w:tplc="F98279F8">
      <w:start w:val="1"/>
      <w:numFmt w:val="bullet"/>
      <w:lvlText w:val="•"/>
      <w:lvlJc w:val="left"/>
      <w:pPr>
        <w:ind w:left="3603" w:hanging="360"/>
      </w:pPr>
      <w:rPr>
        <w:rFonts w:hint="default"/>
      </w:rPr>
    </w:lvl>
    <w:lvl w:ilvl="5" w:tplc="918ACAC0">
      <w:start w:val="1"/>
      <w:numFmt w:val="bullet"/>
      <w:lvlText w:val="•"/>
      <w:lvlJc w:val="left"/>
      <w:pPr>
        <w:ind w:left="4071" w:hanging="360"/>
      </w:pPr>
      <w:rPr>
        <w:rFonts w:hint="default"/>
      </w:rPr>
    </w:lvl>
    <w:lvl w:ilvl="6" w:tplc="BC4C25D2">
      <w:start w:val="1"/>
      <w:numFmt w:val="bullet"/>
      <w:lvlText w:val="•"/>
      <w:lvlJc w:val="left"/>
      <w:pPr>
        <w:ind w:left="4538" w:hanging="360"/>
      </w:pPr>
      <w:rPr>
        <w:rFonts w:hint="default"/>
      </w:rPr>
    </w:lvl>
    <w:lvl w:ilvl="7" w:tplc="619E455C">
      <w:start w:val="1"/>
      <w:numFmt w:val="bullet"/>
      <w:lvlText w:val="•"/>
      <w:lvlJc w:val="left"/>
      <w:pPr>
        <w:ind w:left="5006" w:hanging="360"/>
      </w:pPr>
      <w:rPr>
        <w:rFonts w:hint="default"/>
      </w:rPr>
    </w:lvl>
    <w:lvl w:ilvl="8" w:tplc="3884A9D8">
      <w:start w:val="1"/>
      <w:numFmt w:val="bullet"/>
      <w:lvlText w:val="•"/>
      <w:lvlJc w:val="left"/>
      <w:pPr>
        <w:ind w:left="5473" w:hanging="360"/>
      </w:pPr>
      <w:rPr>
        <w:rFonts w:hint="default"/>
      </w:rPr>
    </w:lvl>
  </w:abstractNum>
  <w:abstractNum w:abstractNumId="135" w15:restartNumberingAfterBreak="0">
    <w:nsid w:val="782E3E2E"/>
    <w:multiLevelType w:val="hybridMultilevel"/>
    <w:tmpl w:val="DD348CDC"/>
    <w:lvl w:ilvl="0" w:tplc="092C4E34">
      <w:start w:val="1"/>
      <w:numFmt w:val="upperLetter"/>
      <w:lvlText w:val="%1."/>
      <w:lvlJc w:val="left"/>
      <w:pPr>
        <w:ind w:left="760" w:hanging="360"/>
      </w:pPr>
      <w:rPr>
        <w:rFonts w:hint="default"/>
      </w:rPr>
    </w:lvl>
    <w:lvl w:ilvl="1" w:tplc="6E72A95C" w:tentative="1">
      <w:start w:val="1"/>
      <w:numFmt w:val="upperLetter"/>
      <w:lvlText w:val="%2."/>
      <w:lvlJc w:val="left"/>
      <w:pPr>
        <w:ind w:left="1200" w:hanging="400"/>
      </w:pPr>
    </w:lvl>
    <w:lvl w:ilvl="2" w:tplc="A4E09D7C" w:tentative="1">
      <w:start w:val="1"/>
      <w:numFmt w:val="lowerRoman"/>
      <w:lvlText w:val="%3."/>
      <w:lvlJc w:val="right"/>
      <w:pPr>
        <w:ind w:left="1600" w:hanging="400"/>
      </w:pPr>
    </w:lvl>
    <w:lvl w:ilvl="3" w:tplc="15B4FCE2" w:tentative="1">
      <w:start w:val="1"/>
      <w:numFmt w:val="decimal"/>
      <w:lvlText w:val="%4."/>
      <w:lvlJc w:val="left"/>
      <w:pPr>
        <w:ind w:left="2000" w:hanging="400"/>
      </w:pPr>
    </w:lvl>
    <w:lvl w:ilvl="4" w:tplc="02FA8668" w:tentative="1">
      <w:start w:val="1"/>
      <w:numFmt w:val="upperLetter"/>
      <w:lvlText w:val="%5."/>
      <w:lvlJc w:val="left"/>
      <w:pPr>
        <w:ind w:left="2400" w:hanging="400"/>
      </w:pPr>
    </w:lvl>
    <w:lvl w:ilvl="5" w:tplc="E4FADC68" w:tentative="1">
      <w:start w:val="1"/>
      <w:numFmt w:val="lowerRoman"/>
      <w:lvlText w:val="%6."/>
      <w:lvlJc w:val="right"/>
      <w:pPr>
        <w:ind w:left="2800" w:hanging="400"/>
      </w:pPr>
    </w:lvl>
    <w:lvl w:ilvl="6" w:tplc="06F67F20" w:tentative="1">
      <w:start w:val="1"/>
      <w:numFmt w:val="decimal"/>
      <w:lvlText w:val="%7."/>
      <w:lvlJc w:val="left"/>
      <w:pPr>
        <w:ind w:left="3200" w:hanging="400"/>
      </w:pPr>
    </w:lvl>
    <w:lvl w:ilvl="7" w:tplc="80E6792A" w:tentative="1">
      <w:start w:val="1"/>
      <w:numFmt w:val="upperLetter"/>
      <w:lvlText w:val="%8."/>
      <w:lvlJc w:val="left"/>
      <w:pPr>
        <w:ind w:left="3600" w:hanging="400"/>
      </w:pPr>
    </w:lvl>
    <w:lvl w:ilvl="8" w:tplc="D5FA7E78" w:tentative="1">
      <w:start w:val="1"/>
      <w:numFmt w:val="lowerRoman"/>
      <w:lvlText w:val="%9."/>
      <w:lvlJc w:val="right"/>
      <w:pPr>
        <w:ind w:left="4000" w:hanging="400"/>
      </w:pPr>
    </w:lvl>
  </w:abstractNum>
  <w:abstractNum w:abstractNumId="136" w15:restartNumberingAfterBreak="0">
    <w:nsid w:val="79383759"/>
    <w:multiLevelType w:val="hybridMultilevel"/>
    <w:tmpl w:val="FA8C6630"/>
    <w:lvl w:ilvl="0" w:tplc="9C7CE0F0">
      <w:start w:val="1"/>
      <w:numFmt w:val="decimal"/>
      <w:lvlText w:val="%1."/>
      <w:lvlJc w:val="left"/>
      <w:pPr>
        <w:ind w:left="660" w:hanging="550"/>
      </w:pPr>
      <w:rPr>
        <w:rFonts w:ascii="Times New Roman" w:eastAsia="Times New Roman" w:hAnsi="Times New Roman" w:hint="default"/>
        <w:sz w:val="22"/>
        <w:szCs w:val="22"/>
      </w:rPr>
    </w:lvl>
    <w:lvl w:ilvl="1" w:tplc="E210160E">
      <w:start w:val="1"/>
      <w:numFmt w:val="bullet"/>
      <w:lvlText w:val="•"/>
      <w:lvlJc w:val="left"/>
      <w:pPr>
        <w:ind w:left="1558" w:hanging="550"/>
      </w:pPr>
      <w:rPr>
        <w:rFonts w:hint="default"/>
      </w:rPr>
    </w:lvl>
    <w:lvl w:ilvl="2" w:tplc="7760FF5E">
      <w:start w:val="1"/>
      <w:numFmt w:val="bullet"/>
      <w:lvlText w:val="•"/>
      <w:lvlJc w:val="left"/>
      <w:pPr>
        <w:ind w:left="2456" w:hanging="550"/>
      </w:pPr>
      <w:rPr>
        <w:rFonts w:hint="default"/>
      </w:rPr>
    </w:lvl>
    <w:lvl w:ilvl="3" w:tplc="766C6B28">
      <w:start w:val="1"/>
      <w:numFmt w:val="bullet"/>
      <w:lvlText w:val="•"/>
      <w:lvlJc w:val="left"/>
      <w:pPr>
        <w:ind w:left="3354" w:hanging="550"/>
      </w:pPr>
      <w:rPr>
        <w:rFonts w:hint="default"/>
      </w:rPr>
    </w:lvl>
    <w:lvl w:ilvl="4" w:tplc="50BA52F6">
      <w:start w:val="1"/>
      <w:numFmt w:val="bullet"/>
      <w:lvlText w:val="•"/>
      <w:lvlJc w:val="left"/>
      <w:pPr>
        <w:ind w:left="4252" w:hanging="550"/>
      </w:pPr>
      <w:rPr>
        <w:rFonts w:hint="default"/>
      </w:rPr>
    </w:lvl>
    <w:lvl w:ilvl="5" w:tplc="12128C50">
      <w:start w:val="1"/>
      <w:numFmt w:val="bullet"/>
      <w:lvlText w:val="•"/>
      <w:lvlJc w:val="left"/>
      <w:pPr>
        <w:ind w:left="5150" w:hanging="550"/>
      </w:pPr>
      <w:rPr>
        <w:rFonts w:hint="default"/>
      </w:rPr>
    </w:lvl>
    <w:lvl w:ilvl="6" w:tplc="5E7AC78E">
      <w:start w:val="1"/>
      <w:numFmt w:val="bullet"/>
      <w:lvlText w:val="•"/>
      <w:lvlJc w:val="left"/>
      <w:pPr>
        <w:ind w:left="6048" w:hanging="550"/>
      </w:pPr>
      <w:rPr>
        <w:rFonts w:hint="default"/>
      </w:rPr>
    </w:lvl>
    <w:lvl w:ilvl="7" w:tplc="338E23FA">
      <w:start w:val="1"/>
      <w:numFmt w:val="bullet"/>
      <w:lvlText w:val="•"/>
      <w:lvlJc w:val="left"/>
      <w:pPr>
        <w:ind w:left="6946" w:hanging="550"/>
      </w:pPr>
      <w:rPr>
        <w:rFonts w:hint="default"/>
      </w:rPr>
    </w:lvl>
    <w:lvl w:ilvl="8" w:tplc="95541EBA">
      <w:start w:val="1"/>
      <w:numFmt w:val="bullet"/>
      <w:lvlText w:val="•"/>
      <w:lvlJc w:val="left"/>
      <w:pPr>
        <w:ind w:left="7844" w:hanging="550"/>
      </w:pPr>
      <w:rPr>
        <w:rFonts w:hint="default"/>
      </w:rPr>
    </w:lvl>
  </w:abstractNum>
  <w:abstractNum w:abstractNumId="137"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38" w15:restartNumberingAfterBreak="0">
    <w:nsid w:val="7AA675AE"/>
    <w:multiLevelType w:val="hybridMultilevel"/>
    <w:tmpl w:val="AA284A0C"/>
    <w:lvl w:ilvl="0" w:tplc="FA36810E">
      <w:start w:val="1"/>
      <w:numFmt w:val="decimal"/>
      <w:lvlText w:val="%1."/>
      <w:lvlJc w:val="left"/>
      <w:pPr>
        <w:ind w:hanging="562"/>
      </w:pPr>
      <w:rPr>
        <w:rFonts w:ascii="Times New Roman" w:eastAsia="Times New Roman" w:hAnsi="Times New Roman" w:hint="default"/>
        <w:b/>
        <w:bCs/>
        <w:sz w:val="22"/>
        <w:szCs w:val="22"/>
      </w:rPr>
    </w:lvl>
    <w:lvl w:ilvl="1" w:tplc="7B4C7B2E">
      <w:start w:val="1"/>
      <w:numFmt w:val="bullet"/>
      <w:lvlText w:val=""/>
      <w:lvlJc w:val="left"/>
      <w:pPr>
        <w:ind w:hanging="360"/>
      </w:pPr>
      <w:rPr>
        <w:rFonts w:ascii="Symbol" w:eastAsia="Symbol" w:hAnsi="Symbol" w:hint="default"/>
        <w:sz w:val="22"/>
        <w:szCs w:val="22"/>
      </w:rPr>
    </w:lvl>
    <w:lvl w:ilvl="2" w:tplc="F3EA1CE0">
      <w:start w:val="1"/>
      <w:numFmt w:val="bullet"/>
      <w:lvlText w:val=""/>
      <w:lvlJc w:val="left"/>
      <w:pPr>
        <w:ind w:hanging="360"/>
      </w:pPr>
      <w:rPr>
        <w:rFonts w:ascii="Symbol" w:eastAsia="Symbol" w:hAnsi="Symbol" w:hint="default"/>
        <w:sz w:val="22"/>
        <w:szCs w:val="22"/>
      </w:rPr>
    </w:lvl>
    <w:lvl w:ilvl="3" w:tplc="079E7D90">
      <w:start w:val="1"/>
      <w:numFmt w:val="bullet"/>
      <w:lvlText w:val=""/>
      <w:lvlJc w:val="left"/>
      <w:pPr>
        <w:ind w:hanging="360"/>
      </w:pPr>
      <w:rPr>
        <w:rFonts w:ascii="Symbol" w:eastAsia="Symbol" w:hAnsi="Symbol" w:hint="default"/>
        <w:sz w:val="22"/>
        <w:szCs w:val="22"/>
      </w:rPr>
    </w:lvl>
    <w:lvl w:ilvl="4" w:tplc="65E47C0C">
      <w:start w:val="1"/>
      <w:numFmt w:val="bullet"/>
      <w:lvlText w:val=""/>
      <w:lvlJc w:val="left"/>
      <w:pPr>
        <w:ind w:hanging="360"/>
      </w:pPr>
      <w:rPr>
        <w:rFonts w:ascii="Symbol" w:eastAsia="Symbol" w:hAnsi="Symbol" w:hint="default"/>
        <w:sz w:val="22"/>
        <w:szCs w:val="22"/>
      </w:rPr>
    </w:lvl>
    <w:lvl w:ilvl="5" w:tplc="73B8B77E">
      <w:start w:val="1"/>
      <w:numFmt w:val="bullet"/>
      <w:lvlText w:val="•"/>
      <w:lvlJc w:val="left"/>
      <w:rPr>
        <w:rFonts w:hint="default"/>
      </w:rPr>
    </w:lvl>
    <w:lvl w:ilvl="6" w:tplc="0D749D58">
      <w:start w:val="1"/>
      <w:numFmt w:val="bullet"/>
      <w:lvlText w:val="•"/>
      <w:lvlJc w:val="left"/>
      <w:rPr>
        <w:rFonts w:hint="default"/>
      </w:rPr>
    </w:lvl>
    <w:lvl w:ilvl="7" w:tplc="D19851F8">
      <w:start w:val="1"/>
      <w:numFmt w:val="bullet"/>
      <w:lvlText w:val="•"/>
      <w:lvlJc w:val="left"/>
      <w:rPr>
        <w:rFonts w:hint="default"/>
      </w:rPr>
    </w:lvl>
    <w:lvl w:ilvl="8" w:tplc="071032E6">
      <w:start w:val="1"/>
      <w:numFmt w:val="bullet"/>
      <w:lvlText w:val="•"/>
      <w:lvlJc w:val="left"/>
      <w:rPr>
        <w:rFonts w:hint="default"/>
      </w:rPr>
    </w:lvl>
  </w:abstractNum>
  <w:abstractNum w:abstractNumId="139" w15:restartNumberingAfterBreak="0">
    <w:nsid w:val="7BD60B73"/>
    <w:multiLevelType w:val="hybridMultilevel"/>
    <w:tmpl w:val="BA9CA61C"/>
    <w:lvl w:ilvl="0" w:tplc="9B50ECB2">
      <w:start w:val="6"/>
      <w:numFmt w:val="decimal"/>
      <w:lvlText w:val="%1."/>
      <w:lvlJc w:val="left"/>
      <w:pPr>
        <w:ind w:left="677" w:hanging="567"/>
      </w:pPr>
      <w:rPr>
        <w:rFonts w:ascii="Times New Roman" w:eastAsia="Times New Roman" w:hAnsi="Times New Roman" w:hint="default"/>
        <w:sz w:val="22"/>
        <w:szCs w:val="22"/>
      </w:rPr>
    </w:lvl>
    <w:lvl w:ilvl="1" w:tplc="202480A2">
      <w:start w:val="1"/>
      <w:numFmt w:val="bullet"/>
      <w:lvlText w:val="•"/>
      <w:lvlJc w:val="left"/>
      <w:pPr>
        <w:ind w:left="1569" w:hanging="567"/>
      </w:pPr>
      <w:rPr>
        <w:rFonts w:hint="default"/>
      </w:rPr>
    </w:lvl>
    <w:lvl w:ilvl="2" w:tplc="288C0844">
      <w:start w:val="1"/>
      <w:numFmt w:val="bullet"/>
      <w:lvlText w:val="•"/>
      <w:lvlJc w:val="left"/>
      <w:pPr>
        <w:ind w:left="2462" w:hanging="567"/>
      </w:pPr>
      <w:rPr>
        <w:rFonts w:hint="default"/>
      </w:rPr>
    </w:lvl>
    <w:lvl w:ilvl="3" w:tplc="93D833AC">
      <w:start w:val="1"/>
      <w:numFmt w:val="bullet"/>
      <w:lvlText w:val="•"/>
      <w:lvlJc w:val="left"/>
      <w:pPr>
        <w:ind w:left="3354" w:hanging="567"/>
      </w:pPr>
      <w:rPr>
        <w:rFonts w:hint="default"/>
      </w:rPr>
    </w:lvl>
    <w:lvl w:ilvl="4" w:tplc="B2028896">
      <w:start w:val="1"/>
      <w:numFmt w:val="bullet"/>
      <w:lvlText w:val="•"/>
      <w:lvlJc w:val="left"/>
      <w:pPr>
        <w:ind w:left="4246" w:hanging="567"/>
      </w:pPr>
      <w:rPr>
        <w:rFonts w:hint="default"/>
      </w:rPr>
    </w:lvl>
    <w:lvl w:ilvl="5" w:tplc="7D0CCE46">
      <w:start w:val="1"/>
      <w:numFmt w:val="bullet"/>
      <w:lvlText w:val="•"/>
      <w:lvlJc w:val="left"/>
      <w:pPr>
        <w:ind w:left="5138" w:hanging="567"/>
      </w:pPr>
      <w:rPr>
        <w:rFonts w:hint="default"/>
      </w:rPr>
    </w:lvl>
    <w:lvl w:ilvl="6" w:tplc="CFE4EB7A">
      <w:start w:val="1"/>
      <w:numFmt w:val="bullet"/>
      <w:lvlText w:val="•"/>
      <w:lvlJc w:val="left"/>
      <w:pPr>
        <w:ind w:left="6031" w:hanging="567"/>
      </w:pPr>
      <w:rPr>
        <w:rFonts w:hint="default"/>
      </w:rPr>
    </w:lvl>
    <w:lvl w:ilvl="7" w:tplc="4D02BCF6">
      <w:start w:val="1"/>
      <w:numFmt w:val="bullet"/>
      <w:lvlText w:val="•"/>
      <w:lvlJc w:val="left"/>
      <w:pPr>
        <w:ind w:left="6923" w:hanging="567"/>
      </w:pPr>
      <w:rPr>
        <w:rFonts w:hint="default"/>
      </w:rPr>
    </w:lvl>
    <w:lvl w:ilvl="8" w:tplc="DCA07652">
      <w:start w:val="1"/>
      <w:numFmt w:val="bullet"/>
      <w:lvlText w:val="•"/>
      <w:lvlJc w:val="left"/>
      <w:pPr>
        <w:ind w:left="7815" w:hanging="567"/>
      </w:pPr>
      <w:rPr>
        <w:rFonts w:hint="default"/>
      </w:rPr>
    </w:lvl>
  </w:abstractNum>
  <w:abstractNum w:abstractNumId="140" w15:restartNumberingAfterBreak="0">
    <w:nsid w:val="7C9C337A"/>
    <w:multiLevelType w:val="multilevel"/>
    <w:tmpl w:val="5E36BD7E"/>
    <w:lvl w:ilvl="0">
      <w:start w:val="1"/>
      <w:numFmt w:val="decimal"/>
      <w:lvlText w:val="%1."/>
      <w:lvlJc w:val="left"/>
      <w:pPr>
        <w:ind w:left="357" w:hanging="357"/>
      </w:pPr>
      <w:rPr>
        <w:rFonts w:ascii="Times New Roman" w:hAnsi="Times New Roman" w:cs="Times New Roman" w:hint="default"/>
        <w:b/>
      </w:rPr>
    </w:lvl>
    <w:lvl w:ilvl="1">
      <w:start w:val="1"/>
      <w:numFmt w:val="decimal"/>
      <w:lvlText w:val="%1.%2."/>
      <w:lvlJc w:val="left"/>
      <w:pPr>
        <w:ind w:left="454" w:hanging="454"/>
      </w:pPr>
      <w:rPr>
        <w:rFonts w:hint="eastAsia"/>
      </w:rPr>
    </w:lvl>
    <w:lvl w:ilvl="2">
      <w:start w:val="1"/>
      <w:numFmt w:val="lowerRoman"/>
      <w:lvlText w:val="%3."/>
      <w:lvlJc w:val="right"/>
      <w:pPr>
        <w:ind w:left="1163" w:hanging="357"/>
      </w:pPr>
      <w:rPr>
        <w:rFonts w:hint="eastAsia"/>
      </w:rPr>
    </w:lvl>
    <w:lvl w:ilvl="3">
      <w:start w:val="1"/>
      <w:numFmt w:val="decimal"/>
      <w:lvlText w:val="%4."/>
      <w:lvlJc w:val="left"/>
      <w:pPr>
        <w:ind w:left="1566" w:hanging="357"/>
      </w:pPr>
      <w:rPr>
        <w:rFonts w:hint="eastAsia"/>
      </w:rPr>
    </w:lvl>
    <w:lvl w:ilvl="4">
      <w:start w:val="1"/>
      <w:numFmt w:val="upperLetter"/>
      <w:lvlText w:val="%5."/>
      <w:lvlJc w:val="left"/>
      <w:pPr>
        <w:ind w:left="1969" w:hanging="357"/>
      </w:pPr>
      <w:rPr>
        <w:rFonts w:hint="eastAsia"/>
      </w:rPr>
    </w:lvl>
    <w:lvl w:ilvl="5">
      <w:start w:val="1"/>
      <w:numFmt w:val="lowerRoman"/>
      <w:lvlText w:val="%6."/>
      <w:lvlJc w:val="right"/>
      <w:pPr>
        <w:ind w:left="2372" w:hanging="357"/>
      </w:pPr>
      <w:rPr>
        <w:rFonts w:hint="eastAsia"/>
      </w:rPr>
    </w:lvl>
    <w:lvl w:ilvl="6">
      <w:start w:val="1"/>
      <w:numFmt w:val="decimal"/>
      <w:lvlText w:val="%7."/>
      <w:lvlJc w:val="left"/>
      <w:pPr>
        <w:ind w:left="2775" w:hanging="357"/>
      </w:pPr>
      <w:rPr>
        <w:rFonts w:hint="eastAsia"/>
      </w:rPr>
    </w:lvl>
    <w:lvl w:ilvl="7">
      <w:start w:val="1"/>
      <w:numFmt w:val="upperLetter"/>
      <w:lvlText w:val="%8."/>
      <w:lvlJc w:val="left"/>
      <w:pPr>
        <w:ind w:left="3178" w:hanging="357"/>
      </w:pPr>
      <w:rPr>
        <w:rFonts w:hint="eastAsia"/>
      </w:rPr>
    </w:lvl>
    <w:lvl w:ilvl="8">
      <w:start w:val="1"/>
      <w:numFmt w:val="lowerRoman"/>
      <w:lvlText w:val="%9."/>
      <w:lvlJc w:val="right"/>
      <w:pPr>
        <w:ind w:left="3581" w:hanging="357"/>
      </w:pPr>
      <w:rPr>
        <w:rFonts w:hint="eastAsia"/>
      </w:rPr>
    </w:lvl>
  </w:abstractNum>
  <w:abstractNum w:abstractNumId="141" w15:restartNumberingAfterBreak="0">
    <w:nsid w:val="7CD82BDC"/>
    <w:multiLevelType w:val="hybridMultilevel"/>
    <w:tmpl w:val="959E5904"/>
    <w:lvl w:ilvl="0" w:tplc="14729D14">
      <w:start w:val="1"/>
      <w:numFmt w:val="bullet"/>
      <w:lvlText w:val=""/>
      <w:lvlJc w:val="left"/>
      <w:pPr>
        <w:ind w:left="313" w:hanging="176"/>
      </w:pPr>
      <w:rPr>
        <w:rFonts w:ascii="Symbol" w:eastAsia="Symbol" w:hAnsi="Symbol" w:hint="default"/>
        <w:sz w:val="22"/>
        <w:szCs w:val="22"/>
      </w:rPr>
    </w:lvl>
    <w:lvl w:ilvl="1" w:tplc="805E3996">
      <w:start w:val="1"/>
      <w:numFmt w:val="bullet"/>
      <w:lvlText w:val="•"/>
      <w:lvlJc w:val="left"/>
      <w:pPr>
        <w:ind w:left="965" w:hanging="176"/>
      </w:pPr>
      <w:rPr>
        <w:rFonts w:hint="default"/>
      </w:rPr>
    </w:lvl>
    <w:lvl w:ilvl="2" w:tplc="9AE4C4CE">
      <w:start w:val="1"/>
      <w:numFmt w:val="bullet"/>
      <w:lvlText w:val="•"/>
      <w:lvlJc w:val="left"/>
      <w:pPr>
        <w:ind w:left="1617" w:hanging="176"/>
      </w:pPr>
      <w:rPr>
        <w:rFonts w:hint="default"/>
      </w:rPr>
    </w:lvl>
    <w:lvl w:ilvl="3" w:tplc="87289E06">
      <w:start w:val="1"/>
      <w:numFmt w:val="bullet"/>
      <w:lvlText w:val="•"/>
      <w:lvlJc w:val="left"/>
      <w:pPr>
        <w:ind w:left="2270" w:hanging="176"/>
      </w:pPr>
      <w:rPr>
        <w:rFonts w:hint="default"/>
      </w:rPr>
    </w:lvl>
    <w:lvl w:ilvl="4" w:tplc="C84CAFFA">
      <w:start w:val="1"/>
      <w:numFmt w:val="bullet"/>
      <w:lvlText w:val="•"/>
      <w:lvlJc w:val="left"/>
      <w:pPr>
        <w:ind w:left="2922" w:hanging="176"/>
      </w:pPr>
      <w:rPr>
        <w:rFonts w:hint="default"/>
      </w:rPr>
    </w:lvl>
    <w:lvl w:ilvl="5" w:tplc="7A662F16">
      <w:start w:val="1"/>
      <w:numFmt w:val="bullet"/>
      <w:lvlText w:val="•"/>
      <w:lvlJc w:val="left"/>
      <w:pPr>
        <w:ind w:left="3574" w:hanging="176"/>
      </w:pPr>
      <w:rPr>
        <w:rFonts w:hint="default"/>
      </w:rPr>
    </w:lvl>
    <w:lvl w:ilvl="6" w:tplc="EF38D29A">
      <w:start w:val="1"/>
      <w:numFmt w:val="bullet"/>
      <w:lvlText w:val="•"/>
      <w:lvlJc w:val="left"/>
      <w:pPr>
        <w:ind w:left="4226" w:hanging="176"/>
      </w:pPr>
      <w:rPr>
        <w:rFonts w:hint="default"/>
      </w:rPr>
    </w:lvl>
    <w:lvl w:ilvl="7" w:tplc="1AB4C986">
      <w:start w:val="1"/>
      <w:numFmt w:val="bullet"/>
      <w:lvlText w:val="•"/>
      <w:lvlJc w:val="left"/>
      <w:pPr>
        <w:ind w:left="4878" w:hanging="176"/>
      </w:pPr>
      <w:rPr>
        <w:rFonts w:hint="default"/>
      </w:rPr>
    </w:lvl>
    <w:lvl w:ilvl="8" w:tplc="BF8C1830">
      <w:start w:val="1"/>
      <w:numFmt w:val="bullet"/>
      <w:lvlText w:val="•"/>
      <w:lvlJc w:val="left"/>
      <w:pPr>
        <w:ind w:left="5531" w:hanging="176"/>
      </w:pPr>
      <w:rPr>
        <w:rFonts w:hint="default"/>
      </w:rPr>
    </w:lvl>
  </w:abstractNum>
  <w:abstractNum w:abstractNumId="142" w15:restartNumberingAfterBreak="0">
    <w:nsid w:val="7DDA6D33"/>
    <w:multiLevelType w:val="hybridMultilevel"/>
    <w:tmpl w:val="07EE91F8"/>
    <w:lvl w:ilvl="0" w:tplc="E722B80E">
      <w:start w:val="1"/>
      <w:numFmt w:val="bullet"/>
      <w:lvlText w:val=""/>
      <w:lvlJc w:val="left"/>
      <w:pPr>
        <w:ind w:left="2287" w:hanging="360"/>
      </w:pPr>
      <w:rPr>
        <w:rFonts w:ascii="Symbol" w:eastAsia="Symbol" w:hAnsi="Symbol" w:hint="default"/>
        <w:sz w:val="22"/>
        <w:szCs w:val="22"/>
      </w:rPr>
    </w:lvl>
    <w:lvl w:ilvl="1" w:tplc="805CB75A">
      <w:start w:val="1"/>
      <w:numFmt w:val="bullet"/>
      <w:lvlText w:val="•"/>
      <w:lvlJc w:val="left"/>
      <w:pPr>
        <w:ind w:left="2754" w:hanging="360"/>
      </w:pPr>
      <w:rPr>
        <w:rFonts w:hint="default"/>
      </w:rPr>
    </w:lvl>
    <w:lvl w:ilvl="2" w:tplc="6EBA4A2A">
      <w:start w:val="1"/>
      <w:numFmt w:val="bullet"/>
      <w:lvlText w:val="•"/>
      <w:lvlJc w:val="left"/>
      <w:pPr>
        <w:ind w:left="3222" w:hanging="360"/>
      </w:pPr>
      <w:rPr>
        <w:rFonts w:hint="default"/>
      </w:rPr>
    </w:lvl>
    <w:lvl w:ilvl="3" w:tplc="C02C0DB2">
      <w:start w:val="1"/>
      <w:numFmt w:val="bullet"/>
      <w:lvlText w:val="•"/>
      <w:lvlJc w:val="left"/>
      <w:pPr>
        <w:ind w:left="3689" w:hanging="360"/>
      </w:pPr>
      <w:rPr>
        <w:rFonts w:hint="default"/>
      </w:rPr>
    </w:lvl>
    <w:lvl w:ilvl="4" w:tplc="BBD0CC20">
      <w:start w:val="1"/>
      <w:numFmt w:val="bullet"/>
      <w:lvlText w:val="•"/>
      <w:lvlJc w:val="left"/>
      <w:pPr>
        <w:ind w:left="4156" w:hanging="360"/>
      </w:pPr>
      <w:rPr>
        <w:rFonts w:hint="default"/>
      </w:rPr>
    </w:lvl>
    <w:lvl w:ilvl="5" w:tplc="6E7CFBFE">
      <w:start w:val="1"/>
      <w:numFmt w:val="bullet"/>
      <w:lvlText w:val="•"/>
      <w:lvlJc w:val="left"/>
      <w:pPr>
        <w:ind w:left="4624" w:hanging="360"/>
      </w:pPr>
      <w:rPr>
        <w:rFonts w:hint="default"/>
      </w:rPr>
    </w:lvl>
    <w:lvl w:ilvl="6" w:tplc="F5E85394">
      <w:start w:val="1"/>
      <w:numFmt w:val="bullet"/>
      <w:lvlText w:val="•"/>
      <w:lvlJc w:val="left"/>
      <w:pPr>
        <w:ind w:left="5091" w:hanging="360"/>
      </w:pPr>
      <w:rPr>
        <w:rFonts w:hint="default"/>
      </w:rPr>
    </w:lvl>
    <w:lvl w:ilvl="7" w:tplc="EEE8FE6A">
      <w:start w:val="1"/>
      <w:numFmt w:val="bullet"/>
      <w:lvlText w:val="•"/>
      <w:lvlJc w:val="left"/>
      <w:pPr>
        <w:ind w:left="5559" w:hanging="360"/>
      </w:pPr>
      <w:rPr>
        <w:rFonts w:hint="default"/>
      </w:rPr>
    </w:lvl>
    <w:lvl w:ilvl="8" w:tplc="E884A910">
      <w:start w:val="1"/>
      <w:numFmt w:val="bullet"/>
      <w:lvlText w:val="•"/>
      <w:lvlJc w:val="left"/>
      <w:pPr>
        <w:ind w:left="6026" w:hanging="360"/>
      </w:pPr>
      <w:rPr>
        <w:rFonts w:hint="default"/>
      </w:rPr>
    </w:lvl>
  </w:abstractNum>
  <w:num w:numId="1" w16cid:durableId="1601063686">
    <w:abstractNumId w:val="23"/>
  </w:num>
  <w:num w:numId="2" w16cid:durableId="1938521777">
    <w:abstractNumId w:val="9"/>
  </w:num>
  <w:num w:numId="3" w16cid:durableId="986935291">
    <w:abstractNumId w:val="138"/>
  </w:num>
  <w:num w:numId="4" w16cid:durableId="146823168">
    <w:abstractNumId w:val="74"/>
  </w:num>
  <w:num w:numId="5" w16cid:durableId="917246475">
    <w:abstractNumId w:val="96"/>
  </w:num>
  <w:num w:numId="6" w16cid:durableId="961569820">
    <w:abstractNumId w:val="89"/>
  </w:num>
  <w:num w:numId="7" w16cid:durableId="1601647299">
    <w:abstractNumId w:val="24"/>
  </w:num>
  <w:num w:numId="8" w16cid:durableId="198200281">
    <w:abstractNumId w:val="52"/>
  </w:num>
  <w:num w:numId="9" w16cid:durableId="8987890">
    <w:abstractNumId w:val="51"/>
  </w:num>
  <w:num w:numId="10" w16cid:durableId="1080639431">
    <w:abstractNumId w:val="110"/>
  </w:num>
  <w:num w:numId="11" w16cid:durableId="983656854">
    <w:abstractNumId w:val="121"/>
  </w:num>
  <w:num w:numId="12" w16cid:durableId="1880707330">
    <w:abstractNumId w:val="37"/>
  </w:num>
  <w:num w:numId="13" w16cid:durableId="1085079646">
    <w:abstractNumId w:val="60"/>
  </w:num>
  <w:num w:numId="14" w16cid:durableId="59524598">
    <w:abstractNumId w:val="130"/>
  </w:num>
  <w:num w:numId="15" w16cid:durableId="1486773464">
    <w:abstractNumId w:val="68"/>
  </w:num>
  <w:num w:numId="16" w16cid:durableId="1382750429">
    <w:abstractNumId w:val="112"/>
  </w:num>
  <w:num w:numId="17" w16cid:durableId="461770189">
    <w:abstractNumId w:val="13"/>
  </w:num>
  <w:num w:numId="18" w16cid:durableId="1988506698">
    <w:abstractNumId w:val="62"/>
  </w:num>
  <w:num w:numId="19" w16cid:durableId="1802383282">
    <w:abstractNumId w:val="46"/>
  </w:num>
  <w:num w:numId="20" w16cid:durableId="1131675917">
    <w:abstractNumId w:val="27"/>
  </w:num>
  <w:num w:numId="21" w16cid:durableId="2128502995">
    <w:abstractNumId w:val="0"/>
  </w:num>
  <w:num w:numId="22" w16cid:durableId="1987199175">
    <w:abstractNumId w:val="132"/>
  </w:num>
  <w:num w:numId="23" w16cid:durableId="872814796">
    <w:abstractNumId w:val="113"/>
  </w:num>
  <w:num w:numId="24" w16cid:durableId="688458669">
    <w:abstractNumId w:val="70"/>
  </w:num>
  <w:num w:numId="25" w16cid:durableId="1128669625">
    <w:abstractNumId w:val="48"/>
  </w:num>
  <w:num w:numId="26" w16cid:durableId="26371051">
    <w:abstractNumId w:val="34"/>
  </w:num>
  <w:num w:numId="27" w16cid:durableId="1467622290">
    <w:abstractNumId w:val="1"/>
  </w:num>
  <w:num w:numId="28" w16cid:durableId="447555347">
    <w:abstractNumId w:val="128"/>
  </w:num>
  <w:num w:numId="29" w16cid:durableId="532768572">
    <w:abstractNumId w:val="32"/>
  </w:num>
  <w:num w:numId="30" w16cid:durableId="1720471407">
    <w:abstractNumId w:val="58"/>
  </w:num>
  <w:num w:numId="31" w16cid:durableId="1471052644">
    <w:abstractNumId w:val="6"/>
  </w:num>
  <w:num w:numId="32" w16cid:durableId="1764301179">
    <w:abstractNumId w:val="63"/>
  </w:num>
  <w:num w:numId="33" w16cid:durableId="70544799">
    <w:abstractNumId w:val="21"/>
  </w:num>
  <w:num w:numId="34" w16cid:durableId="1856186237">
    <w:abstractNumId w:val="135"/>
  </w:num>
  <w:num w:numId="35" w16cid:durableId="1855416422">
    <w:abstractNumId w:val="102"/>
  </w:num>
  <w:num w:numId="36" w16cid:durableId="442848321">
    <w:abstractNumId w:val="105"/>
  </w:num>
  <w:num w:numId="37" w16cid:durableId="1243299488">
    <w:abstractNumId w:val="18"/>
  </w:num>
  <w:num w:numId="38" w16cid:durableId="1062944880">
    <w:abstractNumId w:val="7"/>
  </w:num>
  <w:num w:numId="39" w16cid:durableId="1075324339">
    <w:abstractNumId w:val="11"/>
  </w:num>
  <w:num w:numId="40" w16cid:durableId="1277370304">
    <w:abstractNumId w:val="85"/>
  </w:num>
  <w:num w:numId="41" w16cid:durableId="863713555">
    <w:abstractNumId w:val="117"/>
  </w:num>
  <w:num w:numId="42" w16cid:durableId="560989961">
    <w:abstractNumId w:val="104"/>
  </w:num>
  <w:num w:numId="43" w16cid:durableId="242296829">
    <w:abstractNumId w:val="54"/>
  </w:num>
  <w:num w:numId="44" w16cid:durableId="2147234734">
    <w:abstractNumId w:val="123"/>
  </w:num>
  <w:num w:numId="45" w16cid:durableId="1699356159">
    <w:abstractNumId w:val="44"/>
  </w:num>
  <w:num w:numId="46" w16cid:durableId="1229917665">
    <w:abstractNumId w:val="80"/>
  </w:num>
  <w:num w:numId="47" w16cid:durableId="1710953415">
    <w:abstractNumId w:val="12"/>
  </w:num>
  <w:num w:numId="48" w16cid:durableId="842666286">
    <w:abstractNumId w:val="8"/>
  </w:num>
  <w:num w:numId="49" w16cid:durableId="728724957">
    <w:abstractNumId w:val="38"/>
  </w:num>
  <w:num w:numId="50" w16cid:durableId="1079523762">
    <w:abstractNumId w:val="116"/>
  </w:num>
  <w:num w:numId="51" w16cid:durableId="449132821">
    <w:abstractNumId w:val="25"/>
  </w:num>
  <w:num w:numId="52" w16cid:durableId="574821938">
    <w:abstractNumId w:val="142"/>
  </w:num>
  <w:num w:numId="53" w16cid:durableId="574123378">
    <w:abstractNumId w:val="103"/>
  </w:num>
  <w:num w:numId="54" w16cid:durableId="2145460371">
    <w:abstractNumId w:val="17"/>
  </w:num>
  <w:num w:numId="55" w16cid:durableId="474680721">
    <w:abstractNumId w:val="73"/>
  </w:num>
  <w:num w:numId="56" w16cid:durableId="204024258">
    <w:abstractNumId w:val="35"/>
  </w:num>
  <w:num w:numId="57" w16cid:durableId="1978879544">
    <w:abstractNumId w:val="108"/>
  </w:num>
  <w:num w:numId="58" w16cid:durableId="233124521">
    <w:abstractNumId w:val="45"/>
  </w:num>
  <w:num w:numId="59" w16cid:durableId="1680891960">
    <w:abstractNumId w:val="50"/>
  </w:num>
  <w:num w:numId="60" w16cid:durableId="1586451260">
    <w:abstractNumId w:val="139"/>
  </w:num>
  <w:num w:numId="61" w16cid:durableId="1371691077">
    <w:abstractNumId w:val="125"/>
  </w:num>
  <w:num w:numId="62" w16cid:durableId="538854370">
    <w:abstractNumId w:val="75"/>
  </w:num>
  <w:num w:numId="63" w16cid:durableId="2133552267">
    <w:abstractNumId w:val="91"/>
  </w:num>
  <w:num w:numId="64" w16cid:durableId="2039812237">
    <w:abstractNumId w:val="53"/>
  </w:num>
  <w:num w:numId="65" w16cid:durableId="1738433041">
    <w:abstractNumId w:val="65"/>
  </w:num>
  <w:num w:numId="66" w16cid:durableId="391732285">
    <w:abstractNumId w:val="3"/>
  </w:num>
  <w:num w:numId="67" w16cid:durableId="649212191">
    <w:abstractNumId w:val="47"/>
  </w:num>
  <w:num w:numId="68" w16cid:durableId="730269315">
    <w:abstractNumId w:val="10"/>
  </w:num>
  <w:num w:numId="69" w16cid:durableId="1302004300">
    <w:abstractNumId w:val="101"/>
  </w:num>
  <w:num w:numId="70" w16cid:durableId="521168023">
    <w:abstractNumId w:val="134"/>
  </w:num>
  <w:num w:numId="71" w16cid:durableId="154565560">
    <w:abstractNumId w:val="76"/>
  </w:num>
  <w:num w:numId="72" w16cid:durableId="521357657">
    <w:abstractNumId w:val="39"/>
  </w:num>
  <w:num w:numId="73" w16cid:durableId="1345128558">
    <w:abstractNumId w:val="95"/>
  </w:num>
  <w:num w:numId="74" w16cid:durableId="469133251">
    <w:abstractNumId w:val="4"/>
  </w:num>
  <w:num w:numId="75" w16cid:durableId="1535077618">
    <w:abstractNumId w:val="100"/>
  </w:num>
  <w:num w:numId="76" w16cid:durableId="219481378">
    <w:abstractNumId w:val="77"/>
  </w:num>
  <w:num w:numId="77" w16cid:durableId="1794398511">
    <w:abstractNumId w:val="136"/>
  </w:num>
  <w:num w:numId="78" w16cid:durableId="1448692987">
    <w:abstractNumId w:val="41"/>
  </w:num>
  <w:num w:numId="79" w16cid:durableId="1467239412">
    <w:abstractNumId w:val="118"/>
  </w:num>
  <w:num w:numId="80" w16cid:durableId="1970237866">
    <w:abstractNumId w:val="66"/>
  </w:num>
  <w:num w:numId="81" w16cid:durableId="26570321">
    <w:abstractNumId w:val="78"/>
  </w:num>
  <w:num w:numId="82" w16cid:durableId="114106360">
    <w:abstractNumId w:val="83"/>
  </w:num>
  <w:num w:numId="83" w16cid:durableId="613025905">
    <w:abstractNumId w:val="26"/>
  </w:num>
  <w:num w:numId="84" w16cid:durableId="155652142">
    <w:abstractNumId w:val="87"/>
  </w:num>
  <w:num w:numId="85" w16cid:durableId="106433779">
    <w:abstractNumId w:val="124"/>
  </w:num>
  <w:num w:numId="86" w16cid:durableId="932470777">
    <w:abstractNumId w:val="15"/>
  </w:num>
  <w:num w:numId="87" w16cid:durableId="299501766">
    <w:abstractNumId w:val="84"/>
  </w:num>
  <w:num w:numId="88" w16cid:durableId="870798926">
    <w:abstractNumId w:val="28"/>
  </w:num>
  <w:num w:numId="89" w16cid:durableId="1973779859">
    <w:abstractNumId w:val="115"/>
  </w:num>
  <w:num w:numId="90" w16cid:durableId="1202983597">
    <w:abstractNumId w:val="109"/>
  </w:num>
  <w:num w:numId="91" w16cid:durableId="2135293972">
    <w:abstractNumId w:val="57"/>
  </w:num>
  <w:num w:numId="92" w16cid:durableId="1927375296">
    <w:abstractNumId w:val="29"/>
  </w:num>
  <w:num w:numId="93" w16cid:durableId="2022052151">
    <w:abstractNumId w:val="127"/>
  </w:num>
  <w:num w:numId="94" w16cid:durableId="1833402217">
    <w:abstractNumId w:val="71"/>
  </w:num>
  <w:num w:numId="95" w16cid:durableId="1397126187">
    <w:abstractNumId w:val="97"/>
  </w:num>
  <w:num w:numId="96" w16cid:durableId="1934779829">
    <w:abstractNumId w:val="42"/>
  </w:num>
  <w:num w:numId="97" w16cid:durableId="1640987413">
    <w:abstractNumId w:val="86"/>
  </w:num>
  <w:num w:numId="98" w16cid:durableId="354624780">
    <w:abstractNumId w:val="92"/>
  </w:num>
  <w:num w:numId="99" w16cid:durableId="950165379">
    <w:abstractNumId w:val="133"/>
  </w:num>
  <w:num w:numId="100" w16cid:durableId="1654598414">
    <w:abstractNumId w:val="81"/>
  </w:num>
  <w:num w:numId="101" w16cid:durableId="63186598">
    <w:abstractNumId w:val="82"/>
  </w:num>
  <w:num w:numId="102" w16cid:durableId="451899607">
    <w:abstractNumId w:val="72"/>
  </w:num>
  <w:num w:numId="103" w16cid:durableId="1762721975">
    <w:abstractNumId w:val="64"/>
  </w:num>
  <w:num w:numId="104" w16cid:durableId="1959608197">
    <w:abstractNumId w:val="2"/>
  </w:num>
  <w:num w:numId="105" w16cid:durableId="140654914">
    <w:abstractNumId w:val="19"/>
  </w:num>
  <w:num w:numId="106" w16cid:durableId="437457174">
    <w:abstractNumId w:val="141"/>
  </w:num>
  <w:num w:numId="107" w16cid:durableId="1644657826">
    <w:abstractNumId w:val="55"/>
  </w:num>
  <w:num w:numId="108" w16cid:durableId="422261387">
    <w:abstractNumId w:val="14"/>
  </w:num>
  <w:num w:numId="109" w16cid:durableId="230848994">
    <w:abstractNumId w:val="5"/>
  </w:num>
  <w:num w:numId="110" w16cid:durableId="1238981487">
    <w:abstractNumId w:val="31"/>
  </w:num>
  <w:num w:numId="111" w16cid:durableId="1000079599">
    <w:abstractNumId w:val="90"/>
  </w:num>
  <w:num w:numId="112" w16cid:durableId="182983291">
    <w:abstractNumId w:val="137"/>
  </w:num>
  <w:num w:numId="113" w16cid:durableId="242376142">
    <w:abstractNumId w:val="106"/>
  </w:num>
  <w:num w:numId="114" w16cid:durableId="556014170">
    <w:abstractNumId w:val="129"/>
  </w:num>
  <w:num w:numId="115" w16cid:durableId="277446053">
    <w:abstractNumId w:val="140"/>
  </w:num>
  <w:num w:numId="116" w16cid:durableId="652951358">
    <w:abstractNumId w:val="119"/>
  </w:num>
  <w:num w:numId="117" w16cid:durableId="279459425">
    <w:abstractNumId w:val="67"/>
  </w:num>
  <w:num w:numId="118" w16cid:durableId="2032097824">
    <w:abstractNumId w:val="120"/>
  </w:num>
  <w:num w:numId="119" w16cid:durableId="506942159">
    <w:abstractNumId w:val="126"/>
  </w:num>
  <w:num w:numId="120" w16cid:durableId="1487236501">
    <w:abstractNumId w:val="20"/>
  </w:num>
  <w:num w:numId="121" w16cid:durableId="1401253007">
    <w:abstractNumId w:val="43"/>
  </w:num>
  <w:num w:numId="122" w16cid:durableId="1881286134">
    <w:abstractNumId w:val="69"/>
  </w:num>
  <w:num w:numId="123" w16cid:durableId="748579347">
    <w:abstractNumId w:val="107"/>
  </w:num>
  <w:num w:numId="124" w16cid:durableId="1298027970">
    <w:abstractNumId w:val="33"/>
  </w:num>
  <w:num w:numId="125" w16cid:durableId="1572079975">
    <w:abstractNumId w:val="99"/>
  </w:num>
  <w:num w:numId="126" w16cid:durableId="1791895578">
    <w:abstractNumId w:val="49"/>
  </w:num>
  <w:num w:numId="127" w16cid:durableId="1637956345">
    <w:abstractNumId w:val="122"/>
  </w:num>
  <w:num w:numId="128" w16cid:durableId="1625885450">
    <w:abstractNumId w:val="93"/>
  </w:num>
  <w:num w:numId="129" w16cid:durableId="2137791876">
    <w:abstractNumId w:val="40"/>
  </w:num>
  <w:num w:numId="130" w16cid:durableId="706805950">
    <w:abstractNumId w:val="16"/>
  </w:num>
  <w:num w:numId="131" w16cid:durableId="440488704">
    <w:abstractNumId w:val="56"/>
  </w:num>
  <w:num w:numId="132" w16cid:durableId="781072222">
    <w:abstractNumId w:val="114"/>
  </w:num>
  <w:num w:numId="133" w16cid:durableId="1120807033">
    <w:abstractNumId w:val="36"/>
  </w:num>
  <w:num w:numId="134" w16cid:durableId="1678843337">
    <w:abstractNumId w:val="98"/>
  </w:num>
  <w:num w:numId="135" w16cid:durableId="506411086">
    <w:abstractNumId w:val="111"/>
  </w:num>
  <w:num w:numId="136" w16cid:durableId="1266498102">
    <w:abstractNumId w:val="131"/>
  </w:num>
  <w:num w:numId="137" w16cid:durableId="1772704382">
    <w:abstractNumId w:val="59"/>
  </w:num>
  <w:num w:numId="138" w16cid:durableId="1466779520">
    <w:abstractNumId w:val="94"/>
  </w:num>
  <w:num w:numId="139" w16cid:durableId="1325358753">
    <w:abstractNumId w:val="22"/>
  </w:num>
  <w:num w:numId="140" w16cid:durableId="1133140600">
    <w:abstractNumId w:val="79"/>
  </w:num>
  <w:num w:numId="141" w16cid:durableId="2037535622">
    <w:abstractNumId w:val="30"/>
  </w:num>
  <w:num w:numId="142" w16cid:durableId="1961181857">
    <w:abstractNumId w:val="88"/>
  </w:num>
  <w:num w:numId="143" w16cid:durableId="1037580981">
    <w:abstractNumId w:val="61"/>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800"/>
    <w:rsid w:val="00003093"/>
    <w:rsid w:val="00005C93"/>
    <w:rsid w:val="0001089D"/>
    <w:rsid w:val="00012556"/>
    <w:rsid w:val="00025ED4"/>
    <w:rsid w:val="000273EB"/>
    <w:rsid w:val="00033D26"/>
    <w:rsid w:val="00037201"/>
    <w:rsid w:val="0003721A"/>
    <w:rsid w:val="00037346"/>
    <w:rsid w:val="000434DD"/>
    <w:rsid w:val="00045685"/>
    <w:rsid w:val="000537D6"/>
    <w:rsid w:val="00055550"/>
    <w:rsid w:val="0006144C"/>
    <w:rsid w:val="0006161F"/>
    <w:rsid w:val="00064EF6"/>
    <w:rsid w:val="00070BA6"/>
    <w:rsid w:val="0008144B"/>
    <w:rsid w:val="000853D5"/>
    <w:rsid w:val="00091741"/>
    <w:rsid w:val="00094D21"/>
    <w:rsid w:val="00096EAD"/>
    <w:rsid w:val="000A23D0"/>
    <w:rsid w:val="000A3647"/>
    <w:rsid w:val="000A4A2F"/>
    <w:rsid w:val="000A58B3"/>
    <w:rsid w:val="000B0023"/>
    <w:rsid w:val="000B0370"/>
    <w:rsid w:val="000B1F1F"/>
    <w:rsid w:val="000B2CC6"/>
    <w:rsid w:val="000B3EF8"/>
    <w:rsid w:val="000B426E"/>
    <w:rsid w:val="000C0A69"/>
    <w:rsid w:val="000D2457"/>
    <w:rsid w:val="000D3D12"/>
    <w:rsid w:val="000D6EB5"/>
    <w:rsid w:val="000E0B7C"/>
    <w:rsid w:val="000E0DB9"/>
    <w:rsid w:val="000E5A5D"/>
    <w:rsid w:val="000F2F21"/>
    <w:rsid w:val="000F74B5"/>
    <w:rsid w:val="0010002B"/>
    <w:rsid w:val="00114A52"/>
    <w:rsid w:val="00120AE9"/>
    <w:rsid w:val="00130D15"/>
    <w:rsid w:val="00143306"/>
    <w:rsid w:val="001510DB"/>
    <w:rsid w:val="00151D64"/>
    <w:rsid w:val="00157F55"/>
    <w:rsid w:val="00171E41"/>
    <w:rsid w:val="001804D1"/>
    <w:rsid w:val="00180824"/>
    <w:rsid w:val="00190E6B"/>
    <w:rsid w:val="001A3193"/>
    <w:rsid w:val="001A670D"/>
    <w:rsid w:val="001A7692"/>
    <w:rsid w:val="001B153D"/>
    <w:rsid w:val="001B7FBF"/>
    <w:rsid w:val="001C2E77"/>
    <w:rsid w:val="001C5B27"/>
    <w:rsid w:val="001C6B2F"/>
    <w:rsid w:val="001D0743"/>
    <w:rsid w:val="001D0C4F"/>
    <w:rsid w:val="001D4A84"/>
    <w:rsid w:val="001D6B41"/>
    <w:rsid w:val="001E26C4"/>
    <w:rsid w:val="001F7D2C"/>
    <w:rsid w:val="0020147B"/>
    <w:rsid w:val="002104B4"/>
    <w:rsid w:val="00211D8F"/>
    <w:rsid w:val="002257B4"/>
    <w:rsid w:val="00230B84"/>
    <w:rsid w:val="0023510F"/>
    <w:rsid w:val="00235D0D"/>
    <w:rsid w:val="00251E19"/>
    <w:rsid w:val="002525CB"/>
    <w:rsid w:val="00255576"/>
    <w:rsid w:val="00260D7E"/>
    <w:rsid w:val="00264DF0"/>
    <w:rsid w:val="002670C2"/>
    <w:rsid w:val="00270309"/>
    <w:rsid w:val="002721C2"/>
    <w:rsid w:val="00280B22"/>
    <w:rsid w:val="00282458"/>
    <w:rsid w:val="00283292"/>
    <w:rsid w:val="002937B3"/>
    <w:rsid w:val="00294C67"/>
    <w:rsid w:val="002A3657"/>
    <w:rsid w:val="002A3F3D"/>
    <w:rsid w:val="002A6388"/>
    <w:rsid w:val="002B592F"/>
    <w:rsid w:val="002B5A3F"/>
    <w:rsid w:val="002C2858"/>
    <w:rsid w:val="002C43C5"/>
    <w:rsid w:val="002D1085"/>
    <w:rsid w:val="002D49C1"/>
    <w:rsid w:val="002E0384"/>
    <w:rsid w:val="002E13EB"/>
    <w:rsid w:val="002E31E5"/>
    <w:rsid w:val="002E54BA"/>
    <w:rsid w:val="002E5800"/>
    <w:rsid w:val="002E7C6E"/>
    <w:rsid w:val="002F0E38"/>
    <w:rsid w:val="002F2593"/>
    <w:rsid w:val="002F2986"/>
    <w:rsid w:val="002F408D"/>
    <w:rsid w:val="002F6AE9"/>
    <w:rsid w:val="002F7A57"/>
    <w:rsid w:val="003033C1"/>
    <w:rsid w:val="00305BBD"/>
    <w:rsid w:val="00306FE3"/>
    <w:rsid w:val="00311975"/>
    <w:rsid w:val="0031277A"/>
    <w:rsid w:val="00320A0D"/>
    <w:rsid w:val="00322631"/>
    <w:rsid w:val="0032285D"/>
    <w:rsid w:val="00326DA7"/>
    <w:rsid w:val="0032717B"/>
    <w:rsid w:val="00333AC1"/>
    <w:rsid w:val="00347CF2"/>
    <w:rsid w:val="00353E02"/>
    <w:rsid w:val="00365A2B"/>
    <w:rsid w:val="00366531"/>
    <w:rsid w:val="00370380"/>
    <w:rsid w:val="00371F1C"/>
    <w:rsid w:val="00373067"/>
    <w:rsid w:val="00382385"/>
    <w:rsid w:val="0039320B"/>
    <w:rsid w:val="003A2150"/>
    <w:rsid w:val="003B1277"/>
    <w:rsid w:val="003B21F7"/>
    <w:rsid w:val="003C02D5"/>
    <w:rsid w:val="003C136D"/>
    <w:rsid w:val="003C52D4"/>
    <w:rsid w:val="003C562B"/>
    <w:rsid w:val="003E0A24"/>
    <w:rsid w:val="003E28E5"/>
    <w:rsid w:val="003E7668"/>
    <w:rsid w:val="003E7795"/>
    <w:rsid w:val="004003F1"/>
    <w:rsid w:val="00404101"/>
    <w:rsid w:val="00407CE8"/>
    <w:rsid w:val="004142DA"/>
    <w:rsid w:val="00414A66"/>
    <w:rsid w:val="004219C5"/>
    <w:rsid w:val="00432091"/>
    <w:rsid w:val="00444BA0"/>
    <w:rsid w:val="00450E29"/>
    <w:rsid w:val="004627F3"/>
    <w:rsid w:val="004654B2"/>
    <w:rsid w:val="00467525"/>
    <w:rsid w:val="00472739"/>
    <w:rsid w:val="00474BAE"/>
    <w:rsid w:val="004751C2"/>
    <w:rsid w:val="00481F89"/>
    <w:rsid w:val="0048492A"/>
    <w:rsid w:val="0048656E"/>
    <w:rsid w:val="00487580"/>
    <w:rsid w:val="004908FB"/>
    <w:rsid w:val="00493439"/>
    <w:rsid w:val="00494048"/>
    <w:rsid w:val="00494296"/>
    <w:rsid w:val="004948F3"/>
    <w:rsid w:val="0049551A"/>
    <w:rsid w:val="004B282C"/>
    <w:rsid w:val="004B3D26"/>
    <w:rsid w:val="004B3F36"/>
    <w:rsid w:val="004B620B"/>
    <w:rsid w:val="004C2FB1"/>
    <w:rsid w:val="004E5E89"/>
    <w:rsid w:val="004F4BD1"/>
    <w:rsid w:val="004F765B"/>
    <w:rsid w:val="005171CD"/>
    <w:rsid w:val="00531324"/>
    <w:rsid w:val="00532269"/>
    <w:rsid w:val="005377B7"/>
    <w:rsid w:val="00537986"/>
    <w:rsid w:val="0054136E"/>
    <w:rsid w:val="00552727"/>
    <w:rsid w:val="00563E41"/>
    <w:rsid w:val="005644A3"/>
    <w:rsid w:val="00572312"/>
    <w:rsid w:val="00573F5F"/>
    <w:rsid w:val="005750C6"/>
    <w:rsid w:val="00576FAD"/>
    <w:rsid w:val="0058075D"/>
    <w:rsid w:val="00581A50"/>
    <w:rsid w:val="00587BB1"/>
    <w:rsid w:val="0059538A"/>
    <w:rsid w:val="00596932"/>
    <w:rsid w:val="005A50FD"/>
    <w:rsid w:val="005B2F94"/>
    <w:rsid w:val="005C7C93"/>
    <w:rsid w:val="005D05D8"/>
    <w:rsid w:val="005F2F7F"/>
    <w:rsid w:val="005F53C2"/>
    <w:rsid w:val="0060099E"/>
    <w:rsid w:val="006053C4"/>
    <w:rsid w:val="006123AE"/>
    <w:rsid w:val="00616DAD"/>
    <w:rsid w:val="006210A5"/>
    <w:rsid w:val="006251D2"/>
    <w:rsid w:val="006302C2"/>
    <w:rsid w:val="006305C5"/>
    <w:rsid w:val="0065403B"/>
    <w:rsid w:val="0066091A"/>
    <w:rsid w:val="00661032"/>
    <w:rsid w:val="00665359"/>
    <w:rsid w:val="00673585"/>
    <w:rsid w:val="006862AF"/>
    <w:rsid w:val="006A29F5"/>
    <w:rsid w:val="006A381F"/>
    <w:rsid w:val="006A7391"/>
    <w:rsid w:val="006B0454"/>
    <w:rsid w:val="006B22F0"/>
    <w:rsid w:val="006C0E92"/>
    <w:rsid w:val="006D3555"/>
    <w:rsid w:val="006D7011"/>
    <w:rsid w:val="006E24D0"/>
    <w:rsid w:val="006E6FCB"/>
    <w:rsid w:val="006E70B5"/>
    <w:rsid w:val="006E749C"/>
    <w:rsid w:val="007011B1"/>
    <w:rsid w:val="00706C79"/>
    <w:rsid w:val="007126AA"/>
    <w:rsid w:val="00715F8A"/>
    <w:rsid w:val="00716A8A"/>
    <w:rsid w:val="007325D6"/>
    <w:rsid w:val="00741B84"/>
    <w:rsid w:val="00745B36"/>
    <w:rsid w:val="00745F53"/>
    <w:rsid w:val="007526D7"/>
    <w:rsid w:val="00763A62"/>
    <w:rsid w:val="00767CBF"/>
    <w:rsid w:val="007729D6"/>
    <w:rsid w:val="00774617"/>
    <w:rsid w:val="00776F62"/>
    <w:rsid w:val="00780B72"/>
    <w:rsid w:val="007817F7"/>
    <w:rsid w:val="00791828"/>
    <w:rsid w:val="007977BA"/>
    <w:rsid w:val="007A37BE"/>
    <w:rsid w:val="007A3FC0"/>
    <w:rsid w:val="007C2F2D"/>
    <w:rsid w:val="007C75D2"/>
    <w:rsid w:val="007D4B12"/>
    <w:rsid w:val="007E0E03"/>
    <w:rsid w:val="007E5D57"/>
    <w:rsid w:val="007F4EDB"/>
    <w:rsid w:val="008019C3"/>
    <w:rsid w:val="00814C90"/>
    <w:rsid w:val="00817EA2"/>
    <w:rsid w:val="00820956"/>
    <w:rsid w:val="00825BEA"/>
    <w:rsid w:val="008409C3"/>
    <w:rsid w:val="0084344A"/>
    <w:rsid w:val="008464DA"/>
    <w:rsid w:val="008513B0"/>
    <w:rsid w:val="0085187D"/>
    <w:rsid w:val="00857FC3"/>
    <w:rsid w:val="008648FE"/>
    <w:rsid w:val="008766A9"/>
    <w:rsid w:val="0088630F"/>
    <w:rsid w:val="008871F4"/>
    <w:rsid w:val="00890AA2"/>
    <w:rsid w:val="008A03B2"/>
    <w:rsid w:val="008A6C3B"/>
    <w:rsid w:val="008B6723"/>
    <w:rsid w:val="008C3923"/>
    <w:rsid w:val="008D1574"/>
    <w:rsid w:val="008E2659"/>
    <w:rsid w:val="008E4742"/>
    <w:rsid w:val="008E48C5"/>
    <w:rsid w:val="008E70FE"/>
    <w:rsid w:val="008F328C"/>
    <w:rsid w:val="008F4ABA"/>
    <w:rsid w:val="008F59D9"/>
    <w:rsid w:val="00912C9E"/>
    <w:rsid w:val="009137B7"/>
    <w:rsid w:val="00914032"/>
    <w:rsid w:val="0092111E"/>
    <w:rsid w:val="00922810"/>
    <w:rsid w:val="00926183"/>
    <w:rsid w:val="009278CA"/>
    <w:rsid w:val="009327B9"/>
    <w:rsid w:val="00934F2B"/>
    <w:rsid w:val="00935199"/>
    <w:rsid w:val="0093778B"/>
    <w:rsid w:val="00943ADB"/>
    <w:rsid w:val="00944D4F"/>
    <w:rsid w:val="00947BBB"/>
    <w:rsid w:val="00953CA7"/>
    <w:rsid w:val="00964D0A"/>
    <w:rsid w:val="0097235D"/>
    <w:rsid w:val="00972681"/>
    <w:rsid w:val="009804FA"/>
    <w:rsid w:val="009907FF"/>
    <w:rsid w:val="009916E1"/>
    <w:rsid w:val="00992459"/>
    <w:rsid w:val="00992D0A"/>
    <w:rsid w:val="009949F7"/>
    <w:rsid w:val="009958EA"/>
    <w:rsid w:val="009A0963"/>
    <w:rsid w:val="009A2CB5"/>
    <w:rsid w:val="009B38B2"/>
    <w:rsid w:val="009B5C31"/>
    <w:rsid w:val="009C101C"/>
    <w:rsid w:val="009C1686"/>
    <w:rsid w:val="009C6AE5"/>
    <w:rsid w:val="009D0FDB"/>
    <w:rsid w:val="009E0A16"/>
    <w:rsid w:val="009F012F"/>
    <w:rsid w:val="009F0CB9"/>
    <w:rsid w:val="00A02771"/>
    <w:rsid w:val="00A0754F"/>
    <w:rsid w:val="00A228CE"/>
    <w:rsid w:val="00A272BC"/>
    <w:rsid w:val="00A321E2"/>
    <w:rsid w:val="00A34EA4"/>
    <w:rsid w:val="00A5286D"/>
    <w:rsid w:val="00A5374D"/>
    <w:rsid w:val="00A544AB"/>
    <w:rsid w:val="00A62AC7"/>
    <w:rsid w:val="00A637E9"/>
    <w:rsid w:val="00A63E06"/>
    <w:rsid w:val="00A64B3D"/>
    <w:rsid w:val="00A66B62"/>
    <w:rsid w:val="00A92FC5"/>
    <w:rsid w:val="00AC08D4"/>
    <w:rsid w:val="00AC35E3"/>
    <w:rsid w:val="00AD1B24"/>
    <w:rsid w:val="00AD244F"/>
    <w:rsid w:val="00AD43F7"/>
    <w:rsid w:val="00AD57EB"/>
    <w:rsid w:val="00AE3781"/>
    <w:rsid w:val="00AE7A44"/>
    <w:rsid w:val="00AF1464"/>
    <w:rsid w:val="00AF4F99"/>
    <w:rsid w:val="00B053A4"/>
    <w:rsid w:val="00B070EA"/>
    <w:rsid w:val="00B1760B"/>
    <w:rsid w:val="00B17C6A"/>
    <w:rsid w:val="00B20054"/>
    <w:rsid w:val="00B209F6"/>
    <w:rsid w:val="00B2198A"/>
    <w:rsid w:val="00B224C1"/>
    <w:rsid w:val="00B27073"/>
    <w:rsid w:val="00B312EE"/>
    <w:rsid w:val="00B33544"/>
    <w:rsid w:val="00B374BC"/>
    <w:rsid w:val="00B4769F"/>
    <w:rsid w:val="00B511C9"/>
    <w:rsid w:val="00B522DE"/>
    <w:rsid w:val="00B556F6"/>
    <w:rsid w:val="00B56B0C"/>
    <w:rsid w:val="00B573AE"/>
    <w:rsid w:val="00B57875"/>
    <w:rsid w:val="00B617AB"/>
    <w:rsid w:val="00B634CD"/>
    <w:rsid w:val="00B6454C"/>
    <w:rsid w:val="00B66308"/>
    <w:rsid w:val="00B75C31"/>
    <w:rsid w:val="00B82DAA"/>
    <w:rsid w:val="00B9171D"/>
    <w:rsid w:val="00B9190B"/>
    <w:rsid w:val="00BA3A45"/>
    <w:rsid w:val="00BA6EA5"/>
    <w:rsid w:val="00BB2E24"/>
    <w:rsid w:val="00BD7CEF"/>
    <w:rsid w:val="00BE3C8A"/>
    <w:rsid w:val="00BE6B70"/>
    <w:rsid w:val="00BF5525"/>
    <w:rsid w:val="00BF55BB"/>
    <w:rsid w:val="00BF688F"/>
    <w:rsid w:val="00BF6D9B"/>
    <w:rsid w:val="00C169C2"/>
    <w:rsid w:val="00C21254"/>
    <w:rsid w:val="00C2189F"/>
    <w:rsid w:val="00C233C2"/>
    <w:rsid w:val="00C239C8"/>
    <w:rsid w:val="00C241E0"/>
    <w:rsid w:val="00C268C2"/>
    <w:rsid w:val="00C27F39"/>
    <w:rsid w:val="00C40D4E"/>
    <w:rsid w:val="00C4269D"/>
    <w:rsid w:val="00C439E1"/>
    <w:rsid w:val="00C56D63"/>
    <w:rsid w:val="00C63564"/>
    <w:rsid w:val="00C648C3"/>
    <w:rsid w:val="00C82E29"/>
    <w:rsid w:val="00C858F9"/>
    <w:rsid w:val="00C90BC8"/>
    <w:rsid w:val="00C93394"/>
    <w:rsid w:val="00C93888"/>
    <w:rsid w:val="00C93CDE"/>
    <w:rsid w:val="00C93F21"/>
    <w:rsid w:val="00C94045"/>
    <w:rsid w:val="00CA7E7C"/>
    <w:rsid w:val="00CB576B"/>
    <w:rsid w:val="00CB773E"/>
    <w:rsid w:val="00CC0777"/>
    <w:rsid w:val="00CC269B"/>
    <w:rsid w:val="00CC4159"/>
    <w:rsid w:val="00CD5327"/>
    <w:rsid w:val="00CE6EDF"/>
    <w:rsid w:val="00CE7148"/>
    <w:rsid w:val="00CF263C"/>
    <w:rsid w:val="00CF7C7C"/>
    <w:rsid w:val="00D03061"/>
    <w:rsid w:val="00D21CB8"/>
    <w:rsid w:val="00D22235"/>
    <w:rsid w:val="00D22370"/>
    <w:rsid w:val="00D327A3"/>
    <w:rsid w:val="00D44E6D"/>
    <w:rsid w:val="00D45BFB"/>
    <w:rsid w:val="00D46DEA"/>
    <w:rsid w:val="00D4700E"/>
    <w:rsid w:val="00D54497"/>
    <w:rsid w:val="00D61052"/>
    <w:rsid w:val="00D67F3F"/>
    <w:rsid w:val="00D71C09"/>
    <w:rsid w:val="00D71E16"/>
    <w:rsid w:val="00D86F3B"/>
    <w:rsid w:val="00D930EA"/>
    <w:rsid w:val="00D940A1"/>
    <w:rsid w:val="00D97510"/>
    <w:rsid w:val="00D97EE5"/>
    <w:rsid w:val="00DA01FB"/>
    <w:rsid w:val="00DA0833"/>
    <w:rsid w:val="00DA5492"/>
    <w:rsid w:val="00DA6408"/>
    <w:rsid w:val="00DA7A82"/>
    <w:rsid w:val="00DB0478"/>
    <w:rsid w:val="00DB3D91"/>
    <w:rsid w:val="00DC40C3"/>
    <w:rsid w:val="00DC67B1"/>
    <w:rsid w:val="00DC6AEA"/>
    <w:rsid w:val="00DC7480"/>
    <w:rsid w:val="00DD23F6"/>
    <w:rsid w:val="00DD49CE"/>
    <w:rsid w:val="00DD6EFD"/>
    <w:rsid w:val="00DD7281"/>
    <w:rsid w:val="00DE5D92"/>
    <w:rsid w:val="00DF3E6D"/>
    <w:rsid w:val="00E03F57"/>
    <w:rsid w:val="00E04E76"/>
    <w:rsid w:val="00E11CDA"/>
    <w:rsid w:val="00E27006"/>
    <w:rsid w:val="00E347DC"/>
    <w:rsid w:val="00E44076"/>
    <w:rsid w:val="00E47420"/>
    <w:rsid w:val="00E60CC1"/>
    <w:rsid w:val="00E63D43"/>
    <w:rsid w:val="00E759FD"/>
    <w:rsid w:val="00E8250A"/>
    <w:rsid w:val="00E922D5"/>
    <w:rsid w:val="00E93207"/>
    <w:rsid w:val="00E94C63"/>
    <w:rsid w:val="00EB06AB"/>
    <w:rsid w:val="00EB28EA"/>
    <w:rsid w:val="00EB3C80"/>
    <w:rsid w:val="00EB7770"/>
    <w:rsid w:val="00EC0558"/>
    <w:rsid w:val="00EC1B72"/>
    <w:rsid w:val="00EC793D"/>
    <w:rsid w:val="00ED196E"/>
    <w:rsid w:val="00ED2954"/>
    <w:rsid w:val="00ED2D0D"/>
    <w:rsid w:val="00ED2EC6"/>
    <w:rsid w:val="00ED5B8B"/>
    <w:rsid w:val="00ED6A7B"/>
    <w:rsid w:val="00EE3CD3"/>
    <w:rsid w:val="00EE5BA6"/>
    <w:rsid w:val="00EF0C1F"/>
    <w:rsid w:val="00EF1306"/>
    <w:rsid w:val="00F11074"/>
    <w:rsid w:val="00F11CCF"/>
    <w:rsid w:val="00F15E2B"/>
    <w:rsid w:val="00F16D79"/>
    <w:rsid w:val="00F17EE2"/>
    <w:rsid w:val="00F2584C"/>
    <w:rsid w:val="00F57F02"/>
    <w:rsid w:val="00F7487D"/>
    <w:rsid w:val="00F76E61"/>
    <w:rsid w:val="00F773DD"/>
    <w:rsid w:val="00F84413"/>
    <w:rsid w:val="00F85D68"/>
    <w:rsid w:val="00F862DF"/>
    <w:rsid w:val="00F90B57"/>
    <w:rsid w:val="00FA20FC"/>
    <w:rsid w:val="00FB7222"/>
    <w:rsid w:val="00FC382E"/>
    <w:rsid w:val="00FC6C6B"/>
    <w:rsid w:val="00FD79D2"/>
    <w:rsid w:val="00FE49E6"/>
    <w:rsid w:val="00FF18EE"/>
    <w:rsid w:val="00FF474F"/>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5B7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F862DF"/>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iPriority w:val="99"/>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Car17,Car17 C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10">
    <w:name w:val="확인되지 않은 멘션1"/>
    <w:basedOn w:val="a0"/>
    <w:uiPriority w:val="99"/>
    <w:semiHidden/>
    <w:unhideWhenUsed/>
    <w:rsid w:val="000E0B7C"/>
    <w:rPr>
      <w:color w:val="605E5C"/>
      <w:shd w:val="clear" w:color="auto" w:fill="E1DFDD"/>
    </w:rPr>
  </w:style>
  <w:style w:type="paragraph" w:styleId="af1">
    <w:name w:val="Normal (Web)"/>
    <w:basedOn w:val="a"/>
    <w:uiPriority w:val="99"/>
    <w:semiHidden/>
    <w:unhideWhenUsed/>
    <w:rsid w:val="00B56B0C"/>
    <w:pPr>
      <w:widowControl/>
      <w:spacing w:before="100" w:beforeAutospacing="1" w:after="100" w:afterAutospacing="1"/>
    </w:pPr>
    <w:rPr>
      <w:rFonts w:ascii="굴림" w:eastAsia="굴림" w:hAnsi="굴림" w:cs="굴림"/>
      <w:sz w:val="24"/>
      <w:szCs w:val="24"/>
      <w:lang w:eastAsia="ko-KR"/>
    </w:rPr>
  </w:style>
  <w:style w:type="paragraph" w:customStyle="1" w:styleId="gtctablespaceafter">
    <w:name w:val="gtctablespaceafter"/>
    <w:basedOn w:val="a"/>
    <w:rsid w:val="00A02771"/>
    <w:pPr>
      <w:widowControl/>
      <w:spacing w:after="280"/>
    </w:pPr>
    <w:rPr>
      <w:rFonts w:ascii="Times New Roman" w:eastAsia="바탕" w:hAnsi="Times New Roman" w:cs="Times New Roman"/>
      <w:sz w:val="2"/>
      <w:szCs w:val="2"/>
      <w:lang w:val="pl-PL"/>
    </w:rPr>
  </w:style>
  <w:style w:type="character" w:customStyle="1" w:styleId="normaltextrun">
    <w:name w:val="normaltextrun"/>
    <w:basedOn w:val="a0"/>
    <w:rsid w:val="007011B1"/>
  </w:style>
  <w:style w:type="paragraph" w:customStyle="1" w:styleId="gtcbodytext">
    <w:name w:val="gtcbodytext"/>
    <w:basedOn w:val="a"/>
    <w:rsid w:val="006E70B5"/>
    <w:pPr>
      <w:widowControl/>
      <w:tabs>
        <w:tab w:val="left" w:pos="562"/>
      </w:tabs>
      <w:suppressAutoHyphens/>
      <w:spacing w:before="240" w:after="240" w:line="300" w:lineRule="auto"/>
    </w:pPr>
    <w:rPr>
      <w:rFonts w:ascii="Times New Roman" w:eastAsia="바탕" w:hAnsi="Times New Roman" w:cs="Times New Roman"/>
      <w:sz w:val="24"/>
      <w:szCs w:val="24"/>
    </w:rPr>
  </w:style>
  <w:style w:type="paragraph" w:customStyle="1" w:styleId="paragraph">
    <w:name w:val="paragraph"/>
    <w:basedOn w:val="a"/>
    <w:rsid w:val="006E70B5"/>
    <w:pPr>
      <w:widowControl/>
      <w:spacing w:before="100" w:beforeAutospacing="1" w:after="100" w:afterAutospacing="1"/>
    </w:pPr>
    <w:rPr>
      <w:rFonts w:ascii="Times New Roman" w:eastAsia="바탕" w:hAnsi="Times New Roman" w:cs="Times New Roman"/>
      <w:sz w:val="24"/>
      <w:szCs w:val="24"/>
    </w:rPr>
  </w:style>
  <w:style w:type="character" w:customStyle="1" w:styleId="spellingerror">
    <w:name w:val="spellingerror"/>
    <w:basedOn w:val="a0"/>
    <w:rsid w:val="006E70B5"/>
  </w:style>
  <w:style w:type="character" w:customStyle="1" w:styleId="eop">
    <w:name w:val="eop"/>
    <w:basedOn w:val="a0"/>
    <w:rsid w:val="006E70B5"/>
  </w:style>
  <w:style w:type="character" w:styleId="af2">
    <w:name w:val="page number"/>
    <w:basedOn w:val="a0"/>
    <w:rsid w:val="008E48C5"/>
  </w:style>
  <w:style w:type="paragraph" w:customStyle="1" w:styleId="Bullet">
    <w:name w:val="Bullet •"/>
    <w:basedOn w:val="a"/>
    <w:qFormat/>
    <w:rsid w:val="00964D0A"/>
    <w:pPr>
      <w:widowControl/>
      <w:numPr>
        <w:numId w:val="2"/>
      </w:numPr>
      <w:suppressAutoHyphens/>
      <w:ind w:left="567" w:hanging="567"/>
    </w:pPr>
    <w:rPr>
      <w:rFonts w:ascii="Times New Roman" w:eastAsia="SimSun" w:hAnsi="Times New Roman" w:cs="Times New Roman"/>
      <w:lang w:val="en-GB" w:eastAsia="zh-CN"/>
    </w:rPr>
  </w:style>
  <w:style w:type="paragraph" w:styleId="HTML">
    <w:name w:val="HTML Preformatted"/>
    <w:basedOn w:val="a"/>
    <w:link w:val="HTMLChar"/>
    <w:uiPriority w:val="99"/>
    <w:semiHidden/>
    <w:unhideWhenUsed/>
    <w:rsid w:val="00ED295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semiHidden/>
    <w:rsid w:val="00ED2954"/>
    <w:rPr>
      <w:rFonts w:ascii="굴림체" w:eastAsia="굴림체" w:hAnsi="굴림체" w:cs="굴림체"/>
      <w:sz w:val="24"/>
      <w:szCs w:val="24"/>
      <w:lang w:eastAsia="ko-KR"/>
    </w:rPr>
  </w:style>
  <w:style w:type="character" w:customStyle="1" w:styleId="y2iqfc">
    <w:name w:val="y2iqfc"/>
    <w:basedOn w:val="a0"/>
    <w:rsid w:val="00ED2954"/>
  </w:style>
  <w:style w:type="character" w:styleId="af3">
    <w:name w:val="Unresolved Mention"/>
    <w:basedOn w:val="a0"/>
    <w:uiPriority w:val="99"/>
    <w:semiHidden/>
    <w:unhideWhenUsed/>
    <w:rsid w:val="006A381F"/>
    <w:rPr>
      <w:color w:val="605E5C"/>
      <w:shd w:val="clear" w:color="auto" w:fill="E1DFDD"/>
    </w:rPr>
  </w:style>
  <w:style w:type="paragraph" w:customStyle="1" w:styleId="Style1">
    <w:name w:val="Style1"/>
    <w:basedOn w:val="a"/>
    <w:qFormat/>
    <w:rsid w:val="00537986"/>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491508">
      <w:bodyDiv w:val="1"/>
      <w:marLeft w:val="0"/>
      <w:marRight w:val="0"/>
      <w:marTop w:val="0"/>
      <w:marBottom w:val="0"/>
      <w:divBdr>
        <w:top w:val="none" w:sz="0" w:space="0" w:color="auto"/>
        <w:left w:val="none" w:sz="0" w:space="0" w:color="auto"/>
        <w:bottom w:val="none" w:sz="0" w:space="0" w:color="auto"/>
        <w:right w:val="none" w:sz="0" w:space="0" w:color="auto"/>
      </w:divBdr>
    </w:div>
    <w:div w:id="222565763">
      <w:bodyDiv w:val="1"/>
      <w:marLeft w:val="0"/>
      <w:marRight w:val="0"/>
      <w:marTop w:val="0"/>
      <w:marBottom w:val="0"/>
      <w:divBdr>
        <w:top w:val="none" w:sz="0" w:space="0" w:color="auto"/>
        <w:left w:val="none" w:sz="0" w:space="0" w:color="auto"/>
        <w:bottom w:val="none" w:sz="0" w:space="0" w:color="auto"/>
        <w:right w:val="none" w:sz="0" w:space="0" w:color="auto"/>
      </w:divBdr>
    </w:div>
    <w:div w:id="274102208">
      <w:bodyDiv w:val="1"/>
      <w:marLeft w:val="0"/>
      <w:marRight w:val="0"/>
      <w:marTop w:val="0"/>
      <w:marBottom w:val="0"/>
      <w:divBdr>
        <w:top w:val="none" w:sz="0" w:space="0" w:color="auto"/>
        <w:left w:val="none" w:sz="0" w:space="0" w:color="auto"/>
        <w:bottom w:val="none" w:sz="0" w:space="0" w:color="auto"/>
        <w:right w:val="none" w:sz="0" w:space="0" w:color="auto"/>
      </w:divBdr>
    </w:div>
    <w:div w:id="591012606">
      <w:bodyDiv w:val="1"/>
      <w:marLeft w:val="0"/>
      <w:marRight w:val="0"/>
      <w:marTop w:val="0"/>
      <w:marBottom w:val="0"/>
      <w:divBdr>
        <w:top w:val="none" w:sz="0" w:space="0" w:color="auto"/>
        <w:left w:val="none" w:sz="0" w:space="0" w:color="auto"/>
        <w:bottom w:val="none" w:sz="0" w:space="0" w:color="auto"/>
        <w:right w:val="none" w:sz="0" w:space="0" w:color="auto"/>
      </w:divBdr>
    </w:div>
    <w:div w:id="936210797">
      <w:bodyDiv w:val="1"/>
      <w:marLeft w:val="0"/>
      <w:marRight w:val="0"/>
      <w:marTop w:val="0"/>
      <w:marBottom w:val="0"/>
      <w:divBdr>
        <w:top w:val="none" w:sz="0" w:space="0" w:color="auto"/>
        <w:left w:val="none" w:sz="0" w:space="0" w:color="auto"/>
        <w:bottom w:val="none" w:sz="0" w:space="0" w:color="auto"/>
        <w:right w:val="none" w:sz="0" w:space="0" w:color="auto"/>
      </w:divBdr>
    </w:div>
    <w:div w:id="1015108087">
      <w:bodyDiv w:val="1"/>
      <w:marLeft w:val="0"/>
      <w:marRight w:val="0"/>
      <w:marTop w:val="0"/>
      <w:marBottom w:val="0"/>
      <w:divBdr>
        <w:top w:val="none" w:sz="0" w:space="0" w:color="auto"/>
        <w:left w:val="none" w:sz="0" w:space="0" w:color="auto"/>
        <w:bottom w:val="none" w:sz="0" w:space="0" w:color="auto"/>
        <w:right w:val="none" w:sz="0" w:space="0" w:color="auto"/>
      </w:divBdr>
    </w:div>
    <w:div w:id="1786265010">
      <w:bodyDiv w:val="1"/>
      <w:marLeft w:val="0"/>
      <w:marRight w:val="0"/>
      <w:marTop w:val="0"/>
      <w:marBottom w:val="0"/>
      <w:divBdr>
        <w:top w:val="none" w:sz="0" w:space="0" w:color="auto"/>
        <w:left w:val="none" w:sz="0" w:space="0" w:color="auto"/>
        <w:bottom w:val="none" w:sz="0" w:space="0" w:color="auto"/>
        <w:right w:val="none" w:sz="0" w:space="0" w:color="auto"/>
      </w:divBdr>
    </w:div>
    <w:div w:id="1887906877">
      <w:bodyDiv w:val="1"/>
      <w:marLeft w:val="0"/>
      <w:marRight w:val="0"/>
      <w:marTop w:val="0"/>
      <w:marBottom w:val="0"/>
      <w:divBdr>
        <w:top w:val="none" w:sz="0" w:space="0" w:color="auto"/>
        <w:left w:val="none" w:sz="0" w:space="0" w:color="auto"/>
        <w:bottom w:val="none" w:sz="0" w:space="0" w:color="auto"/>
        <w:right w:val="none" w:sz="0" w:space="0" w:color="auto"/>
      </w:divBdr>
    </w:div>
    <w:div w:id="2033412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19.emf"/><Relationship Id="rId63" Type="http://schemas.openxmlformats.org/officeDocument/2006/relationships/image" Target="media/image40.emf"/><Relationship Id="rId84" Type="http://schemas.openxmlformats.org/officeDocument/2006/relationships/image" Target="media/image57.jpeg"/><Relationship Id="rId138" Type="http://schemas.openxmlformats.org/officeDocument/2006/relationships/image" Target="media/image103.png"/><Relationship Id="rId159" Type="http://schemas.openxmlformats.org/officeDocument/2006/relationships/image" Target="media/image120.png"/><Relationship Id="rId170" Type="http://schemas.openxmlformats.org/officeDocument/2006/relationships/image" Target="media/image131.png"/><Relationship Id="rId107" Type="http://schemas.openxmlformats.org/officeDocument/2006/relationships/image" Target="media/image76.png"/><Relationship Id="rId11" Type="http://schemas.openxmlformats.org/officeDocument/2006/relationships/image" Target="media/image1.png"/><Relationship Id="rId32" Type="http://schemas.openxmlformats.org/officeDocument/2006/relationships/hyperlink" Target="http://www.ema.europa.eu" TargetMode="External"/><Relationship Id="rId53" Type="http://schemas.openxmlformats.org/officeDocument/2006/relationships/image" Target="media/image30.jpeg"/><Relationship Id="rId74" Type="http://schemas.openxmlformats.org/officeDocument/2006/relationships/hyperlink" Target="mailto:Contact_no@celltrionhc.com" TargetMode="External"/><Relationship Id="rId128" Type="http://schemas.openxmlformats.org/officeDocument/2006/relationships/image" Target="media/image97.png"/><Relationship Id="rId149" Type="http://schemas.openxmlformats.org/officeDocument/2006/relationships/image" Target="media/image114.png"/><Relationship Id="rId5" Type="http://schemas.openxmlformats.org/officeDocument/2006/relationships/numbering" Target="numbering.xml"/><Relationship Id="rId95" Type="http://schemas.openxmlformats.org/officeDocument/2006/relationships/hyperlink" Target="http://www.ema.europa.eu/docs/en_GB/document_library/Template_or_form/2013/03/WC500139752.doc" TargetMode="External"/><Relationship Id="rId160" Type="http://schemas.openxmlformats.org/officeDocument/2006/relationships/image" Target="media/image121.png"/><Relationship Id="rId22" Type="http://schemas.openxmlformats.org/officeDocument/2006/relationships/hyperlink" Target="http://www.ema.europa.eu/" TargetMode="External"/><Relationship Id="rId43" Type="http://schemas.openxmlformats.org/officeDocument/2006/relationships/image" Target="media/image20.emf"/><Relationship Id="rId64" Type="http://schemas.openxmlformats.org/officeDocument/2006/relationships/image" Target="media/image41.emf"/><Relationship Id="rId118" Type="http://schemas.openxmlformats.org/officeDocument/2006/relationships/image" Target="media/image87.png"/><Relationship Id="rId139" Type="http://schemas.openxmlformats.org/officeDocument/2006/relationships/image" Target="media/image104.png"/><Relationship Id="rId85" Type="http://schemas.openxmlformats.org/officeDocument/2006/relationships/image" Target="media/image58.emf"/><Relationship Id="rId150" Type="http://schemas.openxmlformats.org/officeDocument/2006/relationships/image" Target="media/image115.png"/><Relationship Id="rId171" Type="http://schemas.openxmlformats.org/officeDocument/2006/relationships/image" Target="media/image132.png"/><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image" Target="media/image10.emf"/><Relationship Id="rId108" Type="http://schemas.openxmlformats.org/officeDocument/2006/relationships/image" Target="media/image77.png"/><Relationship Id="rId129" Type="http://schemas.openxmlformats.org/officeDocument/2006/relationships/image" Target="media/image98.png"/><Relationship Id="rId54" Type="http://schemas.openxmlformats.org/officeDocument/2006/relationships/image" Target="media/image31.jpeg"/><Relationship Id="rId75" Type="http://schemas.openxmlformats.org/officeDocument/2006/relationships/hyperlink" Target="mailto:contact_se@celltrionhc.com" TargetMode="External"/><Relationship Id="rId96" Type="http://schemas.openxmlformats.org/officeDocument/2006/relationships/hyperlink" Target="mailto:infoDE@celltrionhc.com" TargetMode="External"/><Relationship Id="rId140" Type="http://schemas.openxmlformats.org/officeDocument/2006/relationships/image" Target="media/image105.png"/><Relationship Id="rId161" Type="http://schemas.openxmlformats.org/officeDocument/2006/relationships/image" Target="media/image122.png"/><Relationship Id="rId6" Type="http://schemas.openxmlformats.org/officeDocument/2006/relationships/styles" Target="styles.xml"/><Relationship Id="rId23" Type="http://schemas.openxmlformats.org/officeDocument/2006/relationships/hyperlink" Target="http://www.ema.europa.eu/docs/en_GB/document_library/Template_or_form/2013/03/WC500139752.doc" TargetMode="External"/><Relationship Id="rId28" Type="http://schemas.openxmlformats.org/officeDocument/2006/relationships/hyperlink" Target="http://www.ema.europa.eu/" TargetMode="External"/><Relationship Id="rId49" Type="http://schemas.openxmlformats.org/officeDocument/2006/relationships/image" Target="media/image26.emf"/><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1.emf"/><Relationship Id="rId60" Type="http://schemas.openxmlformats.org/officeDocument/2006/relationships/image" Target="media/image37.emf"/><Relationship Id="rId65" Type="http://schemas.openxmlformats.org/officeDocument/2006/relationships/image" Target="media/image42.emf"/><Relationship Id="rId81" Type="http://schemas.openxmlformats.org/officeDocument/2006/relationships/image" Target="media/image54.emf"/><Relationship Id="rId86" Type="http://schemas.openxmlformats.org/officeDocument/2006/relationships/image" Target="media/image59.emf"/><Relationship Id="rId130" Type="http://schemas.openxmlformats.org/officeDocument/2006/relationships/image" Target="media/image99.png"/><Relationship Id="rId135" Type="http://schemas.openxmlformats.org/officeDocument/2006/relationships/hyperlink" Target="mailto:contact_se@celltrionhc.com" TargetMode="External"/><Relationship Id="rId151" Type="http://schemas.openxmlformats.org/officeDocument/2006/relationships/image" Target="media/image116.png"/><Relationship Id="rId156" Type="http://schemas.openxmlformats.org/officeDocument/2006/relationships/hyperlink" Target="mailto:infoDE@celltrionhc.com" TargetMode="External"/><Relationship Id="rId177" Type="http://schemas.openxmlformats.org/officeDocument/2006/relationships/fontTable" Target="fontTable.xml"/><Relationship Id="rId172" Type="http://schemas.openxmlformats.org/officeDocument/2006/relationships/image" Target="media/image133.png"/><Relationship Id="rId13" Type="http://schemas.openxmlformats.org/officeDocument/2006/relationships/hyperlink" Target="http://www.ema.europa.eu." TargetMode="External"/><Relationship Id="rId18" Type="http://schemas.openxmlformats.org/officeDocument/2006/relationships/image" Target="media/image6.jpeg"/><Relationship Id="rId39" Type="http://schemas.openxmlformats.org/officeDocument/2006/relationships/image" Target="media/image16.emf"/><Relationship Id="rId109" Type="http://schemas.openxmlformats.org/officeDocument/2006/relationships/image" Target="media/image78.png"/><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49.emf"/><Relationship Id="rId97" Type="http://schemas.openxmlformats.org/officeDocument/2006/relationships/hyperlink" Target="mailto:contact_se@celltrionhc.com" TargetMode="External"/><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28.png"/><Relationship Id="rId7" Type="http://schemas.openxmlformats.org/officeDocument/2006/relationships/settings" Target="settings.xml"/><Relationship Id="rId71" Type="http://schemas.openxmlformats.org/officeDocument/2006/relationships/image" Target="media/image48.emf"/><Relationship Id="rId92" Type="http://schemas.openxmlformats.org/officeDocument/2006/relationships/image" Target="media/image65.emf"/><Relationship Id="rId162" Type="http://schemas.openxmlformats.org/officeDocument/2006/relationships/image" Target="media/image123.png"/><Relationship Id="rId2" Type="http://schemas.openxmlformats.org/officeDocument/2006/relationships/customXml" Target="../customXml/item2.xml"/><Relationship Id="rId29" Type="http://schemas.openxmlformats.org/officeDocument/2006/relationships/hyperlink" Target="http://www.ema.europa.eu/docs/en_GB/document_library/Template_or_form/2013/03/WC500139752.doc" TargetMode="External"/><Relationship Id="rId24" Type="http://schemas.openxmlformats.org/officeDocument/2006/relationships/hyperlink" Target="http://www.ema.europa.eu." TargetMode="External"/><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60.emf"/><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image" Target="media/image101.png"/><Relationship Id="rId157" Type="http://schemas.openxmlformats.org/officeDocument/2006/relationships/hyperlink" Target="mailto:contact_se@celltrionhc.com" TargetMode="External"/><Relationship Id="rId178" Type="http://schemas.openxmlformats.org/officeDocument/2006/relationships/theme" Target="theme/theme1.xml"/><Relationship Id="rId61" Type="http://schemas.openxmlformats.org/officeDocument/2006/relationships/image" Target="media/image38.emf"/><Relationship Id="rId82" Type="http://schemas.openxmlformats.org/officeDocument/2006/relationships/image" Target="media/image55.emf"/><Relationship Id="rId152" Type="http://schemas.openxmlformats.org/officeDocument/2006/relationships/image" Target="media/image117.png"/><Relationship Id="rId173" Type="http://schemas.openxmlformats.org/officeDocument/2006/relationships/image" Target="media/image134.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hyperlink" Target="mailto:infoDE@celltrionhc.com" TargetMode="External"/><Relationship Id="rId35" Type="http://schemas.openxmlformats.org/officeDocument/2006/relationships/image" Target="media/image12.emf"/><Relationship Id="rId56" Type="http://schemas.openxmlformats.org/officeDocument/2006/relationships/image" Target="media/image33.emf"/><Relationship Id="rId77" Type="http://schemas.openxmlformats.org/officeDocument/2006/relationships/image" Target="media/image50.emf"/><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2.png"/><Relationship Id="rId168" Type="http://schemas.openxmlformats.org/officeDocument/2006/relationships/image" Target="media/image129.png"/><Relationship Id="rId8" Type="http://schemas.openxmlformats.org/officeDocument/2006/relationships/webSettings" Target="webSettings.xml"/><Relationship Id="rId51" Type="http://schemas.openxmlformats.org/officeDocument/2006/relationships/image" Target="media/image28.emf"/><Relationship Id="rId72" Type="http://schemas.openxmlformats.org/officeDocument/2006/relationships/hyperlink" Target="http://www.ema.europa.eu/docs/en_GB/document_library/Template_or_form/2013/03/WC500139752.doc" TargetMode="External"/><Relationship Id="rId93" Type="http://schemas.openxmlformats.org/officeDocument/2006/relationships/image" Target="media/image66.jpeg"/><Relationship Id="rId98" Type="http://schemas.openxmlformats.org/officeDocument/2006/relationships/hyperlink" Target="http://www.ema.europa.eu" TargetMode="External"/><Relationship Id="rId121" Type="http://schemas.openxmlformats.org/officeDocument/2006/relationships/image" Target="media/image90.png"/><Relationship Id="rId142" Type="http://schemas.openxmlformats.org/officeDocument/2006/relationships/image" Target="media/image107.png"/><Relationship Id="rId163" Type="http://schemas.openxmlformats.org/officeDocument/2006/relationships/image" Target="media/image124.png"/><Relationship Id="rId3" Type="http://schemas.openxmlformats.org/officeDocument/2006/relationships/customXml" Target="../customXml/item3.xml"/><Relationship Id="rId25" Type="http://schemas.openxmlformats.org/officeDocument/2006/relationships/hyperlink" Target="http://www.ema.europa.eu/" TargetMode="External"/><Relationship Id="rId46" Type="http://schemas.openxmlformats.org/officeDocument/2006/relationships/image" Target="media/image23.emf"/><Relationship Id="rId67" Type="http://schemas.openxmlformats.org/officeDocument/2006/relationships/image" Target="media/image44.emf"/><Relationship Id="rId116" Type="http://schemas.openxmlformats.org/officeDocument/2006/relationships/image" Target="media/image85.png"/><Relationship Id="rId137" Type="http://schemas.openxmlformats.org/officeDocument/2006/relationships/image" Target="media/image102.png"/><Relationship Id="rId158" Type="http://schemas.openxmlformats.org/officeDocument/2006/relationships/hyperlink" Target="http://www.ema.europa.eu" TargetMode="External"/><Relationship Id="rId20" Type="http://schemas.openxmlformats.org/officeDocument/2006/relationships/image" Target="media/image8.png"/><Relationship Id="rId41" Type="http://schemas.openxmlformats.org/officeDocument/2006/relationships/image" Target="media/image18.emf"/><Relationship Id="rId62" Type="http://schemas.openxmlformats.org/officeDocument/2006/relationships/image" Target="media/image39.emf"/><Relationship Id="rId83" Type="http://schemas.openxmlformats.org/officeDocument/2006/relationships/image" Target="media/image56.jpeg"/><Relationship Id="rId88" Type="http://schemas.openxmlformats.org/officeDocument/2006/relationships/image" Target="media/image61.emf"/><Relationship Id="rId111" Type="http://schemas.openxmlformats.org/officeDocument/2006/relationships/image" Target="media/image80.png"/><Relationship Id="rId132" Type="http://schemas.openxmlformats.org/officeDocument/2006/relationships/hyperlink" Target="http://www.ema.europa.eu/docs/en_GB/document_library/Template_or_form/2013/03/WC500139752.doc" TargetMode="External"/><Relationship Id="rId153" Type="http://schemas.openxmlformats.org/officeDocument/2006/relationships/image" Target="media/image118.png"/><Relationship Id="rId174" Type="http://schemas.openxmlformats.org/officeDocument/2006/relationships/image" Target="media/image135.png"/><Relationship Id="rId179" Type="http://schemas.openxmlformats.org/officeDocument/2006/relationships/customXml" Target="../customXml/item5.xml"/><Relationship Id="rId15" Type="http://schemas.openxmlformats.org/officeDocument/2006/relationships/image" Target="media/image3.jpeg"/><Relationship Id="rId36" Type="http://schemas.openxmlformats.org/officeDocument/2006/relationships/image" Target="media/image13.emf"/><Relationship Id="rId57" Type="http://schemas.openxmlformats.org/officeDocument/2006/relationships/image" Target="media/image34.emf"/><Relationship Id="rId106" Type="http://schemas.openxmlformats.org/officeDocument/2006/relationships/image" Target="media/image75.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hyperlink" Target="mailto:contact_se@celltrionhc.com" TargetMode="External"/><Relationship Id="rId52" Type="http://schemas.openxmlformats.org/officeDocument/2006/relationships/image" Target="media/image29.jpeg"/><Relationship Id="rId73" Type="http://schemas.openxmlformats.org/officeDocument/2006/relationships/hyperlink" Target="mailto:infoDE@celltrionhc.com" TargetMode="External"/><Relationship Id="rId78" Type="http://schemas.openxmlformats.org/officeDocument/2006/relationships/image" Target="media/image51.emf"/><Relationship Id="rId94" Type="http://schemas.openxmlformats.org/officeDocument/2006/relationships/image" Target="media/image67.jpe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5.png"/><Relationship Id="rId169" Type="http://schemas.openxmlformats.org/officeDocument/2006/relationships/image" Target="media/image13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ema.europa.eu/docs/en_GB/document_library/Template_or_form/2013/03/WC500139752.doc" TargetMode="External"/><Relationship Id="rId47" Type="http://schemas.openxmlformats.org/officeDocument/2006/relationships/image" Target="media/image24.emf"/><Relationship Id="rId68" Type="http://schemas.openxmlformats.org/officeDocument/2006/relationships/image" Target="media/image45.emf"/><Relationship Id="rId89" Type="http://schemas.openxmlformats.org/officeDocument/2006/relationships/image" Target="media/image62.emf"/><Relationship Id="rId112" Type="http://schemas.openxmlformats.org/officeDocument/2006/relationships/image" Target="media/image81.png"/><Relationship Id="rId133" Type="http://schemas.openxmlformats.org/officeDocument/2006/relationships/hyperlink" Target="mailto:infoDE@celltrionhc.com" TargetMode="External"/><Relationship Id="rId154" Type="http://schemas.openxmlformats.org/officeDocument/2006/relationships/image" Target="media/image119.png"/><Relationship Id="rId175" Type="http://schemas.openxmlformats.org/officeDocument/2006/relationships/image" Target="media/image136.png"/><Relationship Id="rId16" Type="http://schemas.openxmlformats.org/officeDocument/2006/relationships/image" Target="media/image4.jpeg"/><Relationship Id="rId37" Type="http://schemas.openxmlformats.org/officeDocument/2006/relationships/image" Target="media/image14.emf"/><Relationship Id="rId58" Type="http://schemas.openxmlformats.org/officeDocument/2006/relationships/image" Target="media/image35.emf"/><Relationship Id="rId79" Type="http://schemas.openxmlformats.org/officeDocument/2006/relationships/image" Target="media/image52.emf"/><Relationship Id="rId102" Type="http://schemas.openxmlformats.org/officeDocument/2006/relationships/image" Target="media/image71.png"/><Relationship Id="rId123" Type="http://schemas.openxmlformats.org/officeDocument/2006/relationships/image" Target="media/image92.png"/><Relationship Id="rId144" Type="http://schemas.openxmlformats.org/officeDocument/2006/relationships/image" Target="media/image109.png"/><Relationship Id="rId90" Type="http://schemas.openxmlformats.org/officeDocument/2006/relationships/image" Target="media/image63.emf"/><Relationship Id="rId165" Type="http://schemas.openxmlformats.org/officeDocument/2006/relationships/image" Target="media/image126.png"/><Relationship Id="rId27" Type="http://schemas.openxmlformats.org/officeDocument/2006/relationships/hyperlink" Target="http://www.ema.europa.eu." TargetMode="External"/><Relationship Id="rId48" Type="http://schemas.openxmlformats.org/officeDocument/2006/relationships/image" Target="media/image25.emf"/><Relationship Id="rId69" Type="http://schemas.openxmlformats.org/officeDocument/2006/relationships/image" Target="media/image46.emf"/><Relationship Id="rId113" Type="http://schemas.openxmlformats.org/officeDocument/2006/relationships/image" Target="media/image82.png"/><Relationship Id="rId134" Type="http://schemas.openxmlformats.org/officeDocument/2006/relationships/hyperlink" Target="mailto:Contact_no@celltrionhc.com" TargetMode="External"/><Relationship Id="rId80" Type="http://schemas.openxmlformats.org/officeDocument/2006/relationships/image" Target="media/image53.emf"/><Relationship Id="rId155" Type="http://schemas.openxmlformats.org/officeDocument/2006/relationships/hyperlink" Target="http://www.ema.europa.eu/docs/en_GB/document_library/Template_or_form/2013/03/WC500139752.doc" TargetMode="External"/><Relationship Id="rId176" Type="http://schemas.openxmlformats.org/officeDocument/2006/relationships/footer" Target="footer1.xml"/><Relationship Id="rId17" Type="http://schemas.openxmlformats.org/officeDocument/2006/relationships/image" Target="media/image5.jpeg"/><Relationship Id="rId38" Type="http://schemas.openxmlformats.org/officeDocument/2006/relationships/image" Target="media/image15.emf"/><Relationship Id="rId59" Type="http://schemas.openxmlformats.org/officeDocument/2006/relationships/image" Target="media/image36.emf"/><Relationship Id="rId103" Type="http://schemas.openxmlformats.org/officeDocument/2006/relationships/image" Target="media/image72.png"/><Relationship Id="rId124" Type="http://schemas.openxmlformats.org/officeDocument/2006/relationships/image" Target="media/image93.png"/><Relationship Id="rId70" Type="http://schemas.openxmlformats.org/officeDocument/2006/relationships/image" Target="media/image47.emf"/><Relationship Id="rId91" Type="http://schemas.openxmlformats.org/officeDocument/2006/relationships/image" Target="media/image64.emf"/><Relationship Id="rId145" Type="http://schemas.openxmlformats.org/officeDocument/2006/relationships/image" Target="media/image110.png"/><Relationship Id="rId166" Type="http://schemas.openxmlformats.org/officeDocument/2006/relationships/image" Target="media/image127.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EMADOC-1700519818-2474359</_dlc_DocId>
    <_dlc_DocIdUrl xmlns="a034c160-bfb7-45f5-8632-2eb7e0508071">
      <Url>https://euema.sharepoint.com/sites/CRM/_layouts/15/DocIdRedir.aspx?ID=EMADOC-1700519818-2474359</Url>
      <Description>EMADOC-1700519818-2474359</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BDAAD61-5F5B-47C2-AE7E-191FB9B196E7}"/>
</file>

<file path=customXml/itemProps2.xml><?xml version="1.0" encoding="utf-8"?>
<ds:datastoreItem xmlns:ds="http://schemas.openxmlformats.org/officeDocument/2006/customXml" ds:itemID="{2065BB23-B911-4900-80DC-396BD8211911}">
  <ds:schemaRefs>
    <ds:schemaRef ds:uri="http://schemas.microsoft.com/sharepoint/v3/contenttype/forms"/>
  </ds:schemaRefs>
</ds:datastoreItem>
</file>

<file path=customXml/itemProps3.xml><?xml version="1.0" encoding="utf-8"?>
<ds:datastoreItem xmlns:ds="http://schemas.openxmlformats.org/officeDocument/2006/customXml" ds:itemID="{BB69DCC4-5376-424E-ACBE-2FB41469BB50}">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4.xml><?xml version="1.0" encoding="utf-8"?>
<ds:datastoreItem xmlns:ds="http://schemas.openxmlformats.org/officeDocument/2006/customXml" ds:itemID="{A6BC65C9-3AA6-4918-9504-7C4E32248188}">
  <ds:schemaRefs>
    <ds:schemaRef ds:uri="http://schemas.openxmlformats.org/officeDocument/2006/bibliography"/>
  </ds:schemaRefs>
</ds:datastoreItem>
</file>

<file path=customXml/itemProps5.xml><?xml version="1.0" encoding="utf-8"?>
<ds:datastoreItem xmlns:ds="http://schemas.openxmlformats.org/officeDocument/2006/customXml" ds:itemID="{35A55F23-86B3-497B-928D-48227E6F5278}"/>
</file>

<file path=docProps/app.xml><?xml version="1.0" encoding="utf-8"?>
<Properties xmlns="http://schemas.openxmlformats.org/officeDocument/2006/extended-properties" xmlns:vt="http://schemas.openxmlformats.org/officeDocument/2006/docPropsVTypes">
  <Template>Normal</Template>
  <TotalTime>0</TotalTime>
  <Pages>327</Pages>
  <Words>106301</Words>
  <Characters>605917</Characters>
  <Application>Microsoft Office Word</Application>
  <DocSecurity>0</DocSecurity>
  <Lines>5049</Lines>
  <Paragraphs>1421</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710797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cp:lastModifiedBy/>
  <cp:revision>1</cp:revision>
  <dcterms:created xsi:type="dcterms:W3CDTF">2024-04-24T12:42:00Z</dcterms:created>
  <dcterms:modified xsi:type="dcterms:W3CDTF">2025-09-10T05:17:00Z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b4b3d244-edae-4173-b84d-e048b8ba1d66</vt:lpwstr>
  </property>
</Properties>
</file>